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18.xml" ContentType="application/vnd.openxmlformats-officedocument.wordprocessingml.header+xml"/>
  <Override PartName="/word/footer23.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21.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22.xml" ContentType="application/vnd.openxmlformats-officedocument.wordprocessingml.header+xml"/>
  <Override PartName="/word/footer28.xml" ContentType="application/vnd.openxmlformats-officedocument.wordprocessingml.footer+xml"/>
  <Override PartName="/word/header23.xml" ContentType="application/vnd.openxmlformats-officedocument.wordprocessingml.header+xml"/>
  <Override PartName="/word/footer29.xml" ContentType="application/vnd.openxmlformats-officedocument.wordprocessingml.footer+xml"/>
  <Override PartName="/word/header24.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header25.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header26.xml" ContentType="application/vnd.openxmlformats-officedocument.wordprocessingml.header+xml"/>
  <Override PartName="/word/footer34.xml" ContentType="application/vnd.openxmlformats-officedocument.wordprocessingml.footer+xml"/>
  <Override PartName="/word/header27.xml" ContentType="application/vnd.openxmlformats-officedocument.wordprocessingml.header+xml"/>
  <Override PartName="/word/footer35.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36.xml" ContentType="application/vnd.openxmlformats-officedocument.wordprocessingml.footer+xml"/>
  <Override PartName="/word/footer37.xml" ContentType="application/vnd.openxmlformats-officedocument.wordprocessingml.footer+xml"/>
  <Override PartName="/word/header30.xml" ContentType="application/vnd.openxmlformats-officedocument.wordprocessingml.head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header31.xml" ContentType="application/vnd.openxmlformats-officedocument.wordprocessingml.header+xml"/>
  <Override PartName="/word/footer41.xml" ContentType="application/vnd.openxmlformats-officedocument.wordprocessingml.footer+xml"/>
  <Override PartName="/word/header32.xml" ContentType="application/vnd.openxmlformats-officedocument.wordprocessingml.header+xml"/>
  <Override PartName="/word/footer42.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35.xml" ContentType="application/vnd.openxmlformats-officedocument.wordprocessingml.header+xml"/>
  <Override PartName="/word/footer45.xml" ContentType="application/vnd.openxmlformats-officedocument.wordprocessingml.footer+xml"/>
  <Override PartName="/word/footer46.xml" ContentType="application/vnd.openxmlformats-officedocument.wordprocessingml.footer+xml"/>
  <Override PartName="/word/header36.xml" ContentType="application/vnd.openxmlformats-officedocument.wordprocessingml.header+xml"/>
  <Override PartName="/word/footer47.xml" ContentType="application/vnd.openxmlformats-officedocument.wordprocessingml.footer+xml"/>
  <Override PartName="/word/header37.xml" ContentType="application/vnd.openxmlformats-officedocument.wordprocessingml.header+xml"/>
  <Override PartName="/word/footer48.xml" ContentType="application/vnd.openxmlformats-officedocument.wordprocessingml.footer+xml"/>
  <Override PartName="/word/header38.xml" ContentType="application/vnd.openxmlformats-officedocument.wordprocessingml.header+xml"/>
  <Override PartName="/word/header39.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40.xml" ContentType="application/vnd.openxmlformats-officedocument.wordprocessingml.head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header41.xml" ContentType="application/vnd.openxmlformats-officedocument.wordprocessingml.header+xml"/>
  <Override PartName="/word/footer55.xml" ContentType="application/vnd.openxmlformats-officedocument.wordprocessingml.footer+xml"/>
  <Override PartName="/word/header42.xml" ContentType="application/vnd.openxmlformats-officedocument.wordprocessingml.header+xml"/>
  <Override PartName="/word/footer56.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57.xml" ContentType="application/vnd.openxmlformats-officedocument.wordprocessingml.footer+xml"/>
  <Override PartName="/word/footer58.xml" ContentType="application/vnd.openxmlformats-officedocument.wordprocessingml.footer+xml"/>
  <Override PartName="/word/header45.xml" ContentType="application/vnd.openxmlformats-officedocument.wordprocessingml.header+xml"/>
  <Override PartName="/word/footer59.xml" ContentType="application/vnd.openxmlformats-officedocument.wordprocessingml.footer+xml"/>
  <Override PartName="/word/header46.xml" ContentType="application/vnd.openxmlformats-officedocument.wordprocessingml.head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header47.xml" ContentType="application/vnd.openxmlformats-officedocument.wordprocessingml.header+xml"/>
  <Override PartName="/word/footer64.xml" ContentType="application/vnd.openxmlformats-officedocument.wordprocessingml.footer+xml"/>
  <Override PartName="/word/header48.xml" ContentType="application/vnd.openxmlformats-officedocument.wordprocessingml.header+xml"/>
  <Override PartName="/word/footer65.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66.xml" ContentType="application/vnd.openxmlformats-officedocument.wordprocessingml.footer+xml"/>
  <Override PartName="/word/footer67.xml" ContentType="application/vnd.openxmlformats-officedocument.wordprocessingml.footer+xml"/>
  <Override PartName="/word/header51.xml" ContentType="application/vnd.openxmlformats-officedocument.wordprocessingml.head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header52.xml" ContentType="application/vnd.openxmlformats-officedocument.wordprocessingml.header+xml"/>
  <Override PartName="/word/footer71.xml" ContentType="application/vnd.openxmlformats-officedocument.wordprocessingml.footer+xml"/>
  <Override PartName="/word/header53.xml" ContentType="application/vnd.openxmlformats-officedocument.wordprocessingml.header+xml"/>
  <Override PartName="/word/footer72.xml" ContentType="application/vnd.openxmlformats-officedocument.wordprocessingml.footer+xml"/>
  <Override PartName="/word/header54.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55.xml" ContentType="application/vnd.openxmlformats-officedocument.wordprocessingml.header+xml"/>
  <Override PartName="/word/footer75.xml" ContentType="application/vnd.openxmlformats-officedocument.wordprocessingml.footer+xml"/>
  <Override PartName="/word/footer76.xml" ContentType="application/vnd.openxmlformats-officedocument.wordprocessingml.footer+xml"/>
  <Override PartName="/word/header56.xml" ContentType="application/vnd.openxmlformats-officedocument.wordprocessingml.header+xml"/>
  <Override PartName="/word/footer77.xml" ContentType="application/vnd.openxmlformats-officedocument.wordprocessingml.footer+xml"/>
  <Override PartName="/word/header57.xml" ContentType="application/vnd.openxmlformats-officedocument.wordprocessingml.header+xml"/>
  <Override PartName="/word/footer78.xml" ContentType="application/vnd.openxmlformats-officedocument.wordprocessingml.footer+xml"/>
  <Override PartName="/word/header58.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59.xml" ContentType="application/vnd.openxmlformats-officedocument.wordprocessingml.header+xml"/>
  <Override PartName="/word/footer81.xml" ContentType="application/vnd.openxmlformats-officedocument.wordprocessingml.footer+xml"/>
  <Override PartName="/word/footer82.xml" ContentType="application/vnd.openxmlformats-officedocument.wordprocessingml.footer+xml"/>
  <Override PartName="/word/header60.xml" ContentType="application/vnd.openxmlformats-officedocument.wordprocessingml.header+xml"/>
  <Override PartName="/word/footer83.xml" ContentType="application/vnd.openxmlformats-officedocument.wordprocessingml.footer+xml"/>
  <Override PartName="/word/header61.xml" ContentType="application/vnd.openxmlformats-officedocument.wordprocessingml.header+xml"/>
  <Override PartName="/word/footer84.xml" ContentType="application/vnd.openxmlformats-officedocument.wordprocessingml.footer+xml"/>
  <Override PartName="/word/header62.xml" ContentType="application/vnd.openxmlformats-officedocument.wordprocessingml.header+xml"/>
  <Override PartName="/word/footer85.xml" ContentType="application/vnd.openxmlformats-officedocument.wordprocessingml.footer+xml"/>
  <Override PartName="/word/footer86.xml" ContentType="application/vnd.openxmlformats-officedocument.wordprocessingml.footer+xml"/>
  <Override PartName="/word/header63.xml" ContentType="application/vnd.openxmlformats-officedocument.wordprocessingml.head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header64.xml" ContentType="application/vnd.openxmlformats-officedocument.wordprocessingml.header+xml"/>
  <Override PartName="/word/footer91.xml" ContentType="application/vnd.openxmlformats-officedocument.wordprocessingml.footer+xml"/>
  <Override PartName="/word/header65.xml" ContentType="application/vnd.openxmlformats-officedocument.wordprocessingml.header+xml"/>
  <Override PartName="/word/footer92.xml" ContentType="application/vnd.openxmlformats-officedocument.wordprocessingml.footer+xml"/>
  <Override PartName="/word/header66.xml" ContentType="application/vnd.openxmlformats-officedocument.wordprocessingml.header+xml"/>
  <Override PartName="/word/header67.xml" ContentType="application/vnd.openxmlformats-officedocument.wordprocessingml.header+xml"/>
  <Override PartName="/word/footer93.xml" ContentType="application/vnd.openxmlformats-officedocument.wordprocessingml.footer+xml"/>
  <Override PartName="/word/footer94.xml" ContentType="application/vnd.openxmlformats-officedocument.wordprocessingml.footer+xml"/>
  <Override PartName="/word/header68.xml" ContentType="application/vnd.openxmlformats-officedocument.wordprocessingml.header+xml"/>
  <Override PartName="/word/footer95.xml" ContentType="application/vnd.openxmlformats-officedocument.wordprocessingml.footer+xml"/>
  <Override PartName="/word/footer96.xml" ContentType="application/vnd.openxmlformats-officedocument.wordprocessingml.footer+xml"/>
  <Override PartName="/word/header69.xml" ContentType="application/vnd.openxmlformats-officedocument.wordprocessingml.header+xml"/>
  <Override PartName="/word/footer97.xml" ContentType="application/vnd.openxmlformats-officedocument.wordprocessingml.footer+xml"/>
  <Override PartName="/word/header70.xml" ContentType="application/vnd.openxmlformats-officedocument.wordprocessingml.header+xml"/>
  <Override PartName="/word/footer98.xml" ContentType="application/vnd.openxmlformats-officedocument.wordprocessingml.footer+xml"/>
  <Override PartName="/word/header71.xml" ContentType="application/vnd.openxmlformats-officedocument.wordprocessingml.header+xml"/>
  <Override PartName="/word/header72.xml" ContentType="application/vnd.openxmlformats-officedocument.wordprocessingml.header+xml"/>
  <Override PartName="/word/footer99.xml" ContentType="application/vnd.openxmlformats-officedocument.wordprocessingml.footer+xml"/>
  <Override PartName="/word/footer100.xml" ContentType="application/vnd.openxmlformats-officedocument.wordprocessingml.footer+xml"/>
  <Override PartName="/word/header73.xml" ContentType="application/vnd.openxmlformats-officedocument.wordprocessingml.header+xml"/>
  <Override PartName="/word/footer101.xml" ContentType="application/vnd.openxmlformats-officedocument.wordprocessingml.footer+xml"/>
  <Override PartName="/word/footer102.xml" ContentType="application/vnd.openxmlformats-officedocument.wordprocessingml.footer+xml"/>
  <Override PartName="/word/header74.xml" ContentType="application/vnd.openxmlformats-officedocument.wordprocessingml.header+xml"/>
  <Override PartName="/word/header75.xml" ContentType="application/vnd.openxmlformats-officedocument.wordprocessingml.head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CDA830" w14:textId="77777777" w:rsidR="00B03577" w:rsidRPr="001C1412" w:rsidRDefault="00B03577" w:rsidP="00B03577">
      <w:pPr>
        <w:jc w:val="center"/>
        <w:rPr>
          <w:rFonts w:cs="Guttman Hodes"/>
          <w:sz w:val="32"/>
          <w:szCs w:val="32"/>
          <w:rtl/>
        </w:rPr>
      </w:pPr>
      <w:bookmarkStart w:id="0" w:name="_Toc66355228"/>
      <w:bookmarkStart w:id="1" w:name="_Toc54000899"/>
      <w:bookmarkStart w:id="2" w:name="_Toc524638689"/>
      <w:bookmarkStart w:id="3" w:name="_Toc523760816"/>
      <w:bookmarkStart w:id="4" w:name="_Toc523697879"/>
      <w:bookmarkStart w:id="5" w:name="_Toc523490273"/>
      <w:bookmarkStart w:id="6" w:name="_Toc523397169"/>
      <w:bookmarkStart w:id="7" w:name="_Toc530583080"/>
      <w:bookmarkStart w:id="8" w:name="_Toc530647758"/>
      <w:bookmarkStart w:id="9" w:name="_Toc531193276"/>
      <w:bookmarkStart w:id="10" w:name="_Toc531251478"/>
      <w:bookmarkStart w:id="11" w:name="_Toc531251621"/>
      <w:bookmarkStart w:id="12" w:name="_Toc531258163"/>
      <w:bookmarkStart w:id="13" w:name="_Toc531622039"/>
      <w:bookmarkStart w:id="14" w:name="_Toc531629695"/>
      <w:bookmarkStart w:id="15" w:name="_Toc531638966"/>
      <w:bookmarkStart w:id="16" w:name="_Toc531894161"/>
      <w:bookmarkStart w:id="17" w:name="_Toc531894186"/>
      <w:bookmarkStart w:id="18" w:name="_Toc532202994"/>
      <w:bookmarkStart w:id="19" w:name="_Toc532302155"/>
      <w:bookmarkStart w:id="20" w:name="_Toc532453950"/>
      <w:bookmarkStart w:id="21" w:name="_Toc532453984"/>
      <w:bookmarkStart w:id="22" w:name="_Toc532550625"/>
      <w:bookmarkStart w:id="23" w:name="_Toc532550691"/>
      <w:bookmarkStart w:id="24" w:name="_Toc532810054"/>
      <w:bookmarkStart w:id="25" w:name="_Toc533413299"/>
      <w:bookmarkStart w:id="26" w:name="_Toc533441190"/>
      <w:bookmarkStart w:id="27" w:name="_Toc533441236"/>
      <w:bookmarkStart w:id="28" w:name="_Toc533490156"/>
      <w:bookmarkStart w:id="29" w:name="_Toc533506086"/>
      <w:bookmarkStart w:id="30" w:name="_Toc533544294"/>
      <w:bookmarkStart w:id="31" w:name="_Toc533544491"/>
      <w:bookmarkStart w:id="32" w:name="_Toc533585363"/>
      <w:bookmarkStart w:id="33" w:name="_Toc533585374"/>
      <w:bookmarkStart w:id="34" w:name="_Toc18513260"/>
      <w:bookmarkStart w:id="35" w:name="_Toc18874355"/>
      <w:bookmarkStart w:id="36" w:name="_Toc18946770"/>
      <w:bookmarkStart w:id="37" w:name="_Toc19026232"/>
      <w:bookmarkStart w:id="38" w:name="_Toc19029709"/>
      <w:bookmarkStart w:id="39" w:name="_Toc19030093"/>
      <w:bookmarkStart w:id="40" w:name="_Toc19082129"/>
      <w:bookmarkStart w:id="41" w:name="_Toc19092743"/>
      <w:bookmarkStart w:id="42" w:name="_Toc31017199"/>
      <w:bookmarkStart w:id="43" w:name="_Toc31092752"/>
      <w:bookmarkStart w:id="44" w:name="_Toc31194738"/>
      <w:bookmarkStart w:id="45" w:name="_Toc31194870"/>
      <w:bookmarkStart w:id="46" w:name="_Toc31277908"/>
      <w:bookmarkStart w:id="47" w:name="_Toc31298621"/>
      <w:bookmarkStart w:id="48" w:name="_Toc31300774"/>
      <w:bookmarkStart w:id="49" w:name="_Toc32919198"/>
      <w:bookmarkStart w:id="50" w:name="_Toc49977849"/>
      <w:bookmarkStart w:id="51" w:name="_Toc50120214"/>
      <w:bookmarkStart w:id="52" w:name="_Toc50282706"/>
      <w:bookmarkStart w:id="53" w:name="_Toc54000478"/>
      <w:bookmarkStart w:id="54" w:name="_Toc54000902"/>
      <w:bookmarkStart w:id="55" w:name="_Toc65748227"/>
      <w:bookmarkStart w:id="56" w:name="_Toc65788165"/>
      <w:bookmarkStart w:id="57" w:name="_Toc65839196"/>
      <w:bookmarkStart w:id="58" w:name="_Toc66048826"/>
      <w:bookmarkStart w:id="59" w:name="_Toc66055766"/>
      <w:bookmarkStart w:id="60" w:name="_Toc66085872"/>
      <w:bookmarkStart w:id="61" w:name="_Toc66110434"/>
      <w:bookmarkStart w:id="62" w:name="_Toc66123294"/>
      <w:bookmarkStart w:id="63" w:name="_Toc66143742"/>
      <w:bookmarkStart w:id="64" w:name="_Toc66171905"/>
      <w:bookmarkStart w:id="65" w:name="_Toc66183145"/>
      <w:bookmarkStart w:id="66" w:name="_Toc66185925"/>
      <w:bookmarkStart w:id="67" w:name="_Toc66193385"/>
      <w:bookmarkStart w:id="68" w:name="_Toc66355229"/>
      <w:r w:rsidRPr="001C1412">
        <w:rPr>
          <w:rFonts w:cs="Guttman Hodes"/>
          <w:noProof/>
          <w:sz w:val="32"/>
          <w:szCs w:val="32"/>
          <w:rtl/>
        </w:rPr>
        <mc:AlternateContent>
          <mc:Choice Requires="wps">
            <w:drawing>
              <wp:anchor distT="0" distB="0" distL="114300" distR="114300" simplePos="0" relativeHeight="251661312" behindDoc="1" locked="0" layoutInCell="1" allowOverlap="1" wp14:anchorId="7D1C111E" wp14:editId="38C9B89D">
                <wp:simplePos x="0" y="0"/>
                <wp:positionH relativeFrom="column">
                  <wp:posOffset>-38100</wp:posOffset>
                </wp:positionH>
                <wp:positionV relativeFrom="paragraph">
                  <wp:posOffset>0</wp:posOffset>
                </wp:positionV>
                <wp:extent cx="6686550" cy="9696450"/>
                <wp:effectExtent l="19050" t="19050" r="19050" b="19050"/>
                <wp:wrapNone/>
                <wp:docPr id="16" name="מלבן מעוגל 16"/>
                <wp:cNvGraphicFramePr/>
                <a:graphic xmlns:a="http://schemas.openxmlformats.org/drawingml/2006/main">
                  <a:graphicData uri="http://schemas.microsoft.com/office/word/2010/wordprocessingShape">
                    <wps:wsp>
                      <wps:cNvSpPr/>
                      <wps:spPr>
                        <a:xfrm>
                          <a:off x="0" y="0"/>
                          <a:ext cx="6686550" cy="9696450"/>
                        </a:xfrm>
                        <a:prstGeom prst="roundRect">
                          <a:avLst/>
                        </a:prstGeom>
                        <a:noFill/>
                        <a:ln w="31750" cap="rnd" cmpd="tri" algn="ctr">
                          <a:solidFill>
                            <a:sysClr val="windowText" lastClr="000000"/>
                          </a:solidFill>
                          <a:prstDash val="solid"/>
                        </a:ln>
                        <a:effectLst/>
                      </wps:spPr>
                      <wps:txbx>
                        <w:txbxContent>
                          <w:p w14:paraId="6D00B076" w14:textId="77777777" w:rsidR="00B03577" w:rsidRPr="00B84C00" w:rsidRDefault="00B03577" w:rsidP="00B03577">
                            <w:pPr>
                              <w:jc w:val="center"/>
                              <w:rPr>
                                <w:sz w:val="16"/>
                                <w:szCs w:val="16"/>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oundrect w14:anchorId="7D1C111E" id="מלבן מעוגל 16" o:spid="_x0000_s1026" style="position:absolute;left:0;text-align:left;margin-left:-3pt;margin-top:0;width:526.5pt;height:763.5pt;z-index:-2516551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" filled="f" strokecolor="windowText" strokeweight="2.5pt">
                <v:stroke linestyle="thickBetweenThin" endcap="round"/>
                <v:textbox>
                  <w:txbxContent>
                    <w:p w14:paraId="6D00B076" w14:textId="77777777" w:rsidR="00B03577" w:rsidRPr="00B84C00" w:rsidRDefault="00B03577" w:rsidP="00B03577">
                      <w:pPr>
                        <w:jc w:val="center"/>
                        <w:rPr>
                          <w:sz w:val="16"/>
                          <w:szCs w:val="16"/>
                        </w:rPr>
                      </w:pPr>
                    </w:p>
                  </w:txbxContent>
                </v:textbox>
              </v:roundrect>
            </w:pict>
          </mc:Fallback>
        </mc:AlternateContent>
      </w:r>
    </w:p>
    <w:p w14:paraId="0E836187" w14:textId="77777777" w:rsidR="00B03577" w:rsidRPr="001C1412" w:rsidRDefault="00B03577" w:rsidP="00B03577">
      <w:pPr>
        <w:jc w:val="center"/>
        <w:rPr>
          <w:rFonts w:cs="Guttman Hodes"/>
          <w:sz w:val="32"/>
          <w:szCs w:val="32"/>
          <w:rtl/>
        </w:rPr>
      </w:pPr>
    </w:p>
    <w:p w14:paraId="61413901" w14:textId="575DF1B2" w:rsidR="00B03577" w:rsidRPr="001C1412" w:rsidRDefault="00B03577" w:rsidP="00B03577">
      <w:pPr>
        <w:jc w:val="center"/>
        <w:rPr>
          <w:rFonts w:cs="Guttman Hodes"/>
          <w:sz w:val="32"/>
          <w:szCs w:val="32"/>
          <w:rtl/>
        </w:rPr>
      </w:pPr>
      <w:r w:rsidRPr="001C1412">
        <w:rPr>
          <w:rFonts w:cs="Guttman Hodes" w:hint="cs"/>
          <w:sz w:val="32"/>
          <w:szCs w:val="32"/>
          <w:rtl/>
        </w:rPr>
        <w:t>מראי מקומות וביאורים</w:t>
      </w:r>
    </w:p>
    <w:p w14:paraId="1E34C7B6" w14:textId="77777777" w:rsidR="00B03577" w:rsidRPr="001C1412" w:rsidRDefault="00B03577" w:rsidP="00B03577">
      <w:pPr>
        <w:tabs>
          <w:tab w:val="center" w:pos="4153"/>
          <w:tab w:val="right" w:pos="8306"/>
        </w:tabs>
        <w:spacing w:line="240" w:lineRule="auto"/>
        <w:jc w:val="center"/>
        <w:rPr>
          <w:rFonts w:cs="Guttman Hodes"/>
          <w:b/>
          <w:bCs/>
          <w:sz w:val="96"/>
          <w:szCs w:val="96"/>
          <w:rtl/>
        </w:rPr>
      </w:pPr>
      <w:r w:rsidRPr="001C1412">
        <w:rPr>
          <w:rFonts w:cs="Guttman Hodes" w:hint="cs"/>
          <w:b/>
          <w:bCs/>
          <w:sz w:val="96"/>
          <w:szCs w:val="96"/>
          <w:rtl/>
        </w:rPr>
        <w:t>משנתם סדורה</w:t>
      </w:r>
    </w:p>
    <w:p w14:paraId="16AF5BCA" w14:textId="77777777" w:rsidR="00023A92" w:rsidRPr="00CB1227" w:rsidRDefault="00023A92" w:rsidP="00023A92">
      <w:pPr>
        <w:tabs>
          <w:tab w:val="center" w:pos="4153"/>
          <w:tab w:val="right" w:pos="8306"/>
        </w:tabs>
        <w:spacing w:line="240" w:lineRule="auto"/>
        <w:jc w:val="center"/>
        <w:rPr>
          <w:rFonts w:cs="Guttman Hodes"/>
          <w:b/>
          <w:bCs/>
          <w:sz w:val="72"/>
          <w:szCs w:val="72"/>
          <w:rtl/>
        </w:rPr>
      </w:pPr>
      <w:r w:rsidRPr="00CB1227">
        <w:rPr>
          <w:rFonts w:cs="Guttman Hodes" w:hint="cs"/>
          <w:b/>
          <w:bCs/>
          <w:sz w:val="72"/>
          <w:szCs w:val="72"/>
          <w:rtl/>
        </w:rPr>
        <w:t>חלק א'</w:t>
      </w:r>
    </w:p>
    <w:p w14:paraId="60610A1B" w14:textId="77777777" w:rsidR="00023A92" w:rsidRDefault="00023A92" w:rsidP="00023A92">
      <w:pPr>
        <w:jc w:val="center"/>
        <w:rPr>
          <w:rFonts w:cs="Guttman Hodes"/>
          <w:b/>
          <w:bCs/>
          <w:sz w:val="44"/>
          <w:szCs w:val="44"/>
          <w:rtl/>
        </w:rPr>
      </w:pPr>
    </w:p>
    <w:p w14:paraId="05CD90B8" w14:textId="77777777" w:rsidR="00023A92" w:rsidRPr="001C1412" w:rsidRDefault="00023A92" w:rsidP="00023A92">
      <w:pPr>
        <w:jc w:val="center"/>
        <w:rPr>
          <w:rFonts w:cs="Guttman Hodes"/>
          <w:b/>
          <w:bCs/>
          <w:sz w:val="44"/>
          <w:szCs w:val="44"/>
          <w:rtl/>
        </w:rPr>
      </w:pPr>
      <w:r w:rsidRPr="001C1412">
        <w:rPr>
          <w:rFonts w:cs="Guttman Hodes" w:hint="cs"/>
          <w:b/>
          <w:bCs/>
          <w:sz w:val="44"/>
          <w:szCs w:val="44"/>
          <w:rtl/>
        </w:rPr>
        <w:t>על</w:t>
      </w:r>
    </w:p>
    <w:p w14:paraId="18EC0FBC" w14:textId="77777777" w:rsidR="00023A92" w:rsidRPr="001C1412" w:rsidRDefault="00023A92" w:rsidP="00023A92">
      <w:pPr>
        <w:jc w:val="center"/>
        <w:rPr>
          <w:rFonts w:cs="Guttman Hodes"/>
          <w:b/>
          <w:bCs/>
          <w:sz w:val="32"/>
          <w:szCs w:val="32"/>
          <w:rtl/>
        </w:rPr>
      </w:pPr>
      <w:r>
        <w:rPr>
          <w:rFonts w:cs="Guttman Hodes" w:hint="cs"/>
          <w:b/>
          <w:bCs/>
          <w:sz w:val="44"/>
          <w:szCs w:val="44"/>
          <w:rtl/>
        </w:rPr>
        <w:t>עניני מלאכות שבת</w:t>
      </w:r>
    </w:p>
    <w:p w14:paraId="2A0E7A61" w14:textId="77777777" w:rsidR="00023A92" w:rsidRPr="001C1412" w:rsidRDefault="00023A92" w:rsidP="00023A92">
      <w:pPr>
        <w:jc w:val="center"/>
        <w:rPr>
          <w:rFonts w:cs="Guttman Hodes"/>
          <w:sz w:val="32"/>
          <w:szCs w:val="32"/>
          <w:rtl/>
        </w:rPr>
      </w:pPr>
    </w:p>
    <w:p w14:paraId="0879A2E0" w14:textId="77777777" w:rsidR="00023A92" w:rsidRPr="0015157F" w:rsidRDefault="00023A92" w:rsidP="00023A92">
      <w:pPr>
        <w:tabs>
          <w:tab w:val="center" w:pos="4153"/>
          <w:tab w:val="right" w:pos="8306"/>
        </w:tabs>
        <w:spacing w:line="240" w:lineRule="auto"/>
        <w:jc w:val="center"/>
        <w:rPr>
          <w:rFonts w:cs="Guttman Hodes"/>
          <w:b/>
          <w:bCs/>
          <w:sz w:val="32"/>
          <w:szCs w:val="32"/>
          <w:rtl/>
        </w:rPr>
      </w:pPr>
      <w:r w:rsidRPr="0015157F">
        <w:rPr>
          <w:rFonts w:cs="Guttman Hodes" w:hint="cs"/>
          <w:b/>
          <w:bCs/>
          <w:sz w:val="32"/>
          <w:szCs w:val="32"/>
          <w:rtl/>
        </w:rPr>
        <w:t>חלק ב' - משנתם בלשונם נדפס בכרך נפרד</w:t>
      </w:r>
    </w:p>
    <w:p w14:paraId="3D6A115D" w14:textId="77777777" w:rsidR="00023A92" w:rsidRPr="0015157F" w:rsidRDefault="00023A92" w:rsidP="00023A92">
      <w:pPr>
        <w:tabs>
          <w:tab w:val="center" w:pos="4153"/>
          <w:tab w:val="right" w:pos="8306"/>
        </w:tabs>
        <w:spacing w:line="240" w:lineRule="auto"/>
        <w:jc w:val="center"/>
        <w:rPr>
          <w:rFonts w:cs="Guttman Hodes"/>
          <w:b/>
          <w:bCs/>
          <w:sz w:val="32"/>
          <w:szCs w:val="32"/>
          <w:rtl/>
        </w:rPr>
      </w:pPr>
      <w:r w:rsidRPr="0015157F">
        <w:rPr>
          <w:rFonts w:cs="Guttman Hodes" w:hint="cs"/>
          <w:b/>
          <w:bCs/>
          <w:sz w:val="32"/>
          <w:szCs w:val="32"/>
          <w:rtl/>
        </w:rPr>
        <w:t>בו הובאו לשונות הראשונים והאחרונים</w:t>
      </w:r>
    </w:p>
    <w:p w14:paraId="2928FA26" w14:textId="77777777" w:rsidR="00023A92" w:rsidRPr="0015157F" w:rsidRDefault="00023A92" w:rsidP="00023A92">
      <w:pPr>
        <w:tabs>
          <w:tab w:val="center" w:pos="4153"/>
          <w:tab w:val="right" w:pos="8306"/>
        </w:tabs>
        <w:spacing w:line="240" w:lineRule="auto"/>
        <w:jc w:val="center"/>
        <w:rPr>
          <w:rFonts w:cs="Guttman Hodes"/>
          <w:sz w:val="40"/>
          <w:szCs w:val="40"/>
          <w:rtl/>
        </w:rPr>
      </w:pPr>
      <w:r w:rsidRPr="0015157F">
        <w:rPr>
          <w:rFonts w:cs="Guttman Hodes" w:hint="cs"/>
          <w:b/>
          <w:bCs/>
          <w:sz w:val="32"/>
          <w:szCs w:val="32"/>
          <w:rtl/>
        </w:rPr>
        <w:t>מחולקים לקטעים וכותרות כמו בחלק א'</w:t>
      </w:r>
      <w:r w:rsidRPr="0015157F">
        <w:rPr>
          <w:rFonts w:cs="Guttman Hodes" w:hint="cs"/>
          <w:sz w:val="40"/>
          <w:szCs w:val="40"/>
          <w:rtl/>
        </w:rPr>
        <w:t>.</w:t>
      </w:r>
    </w:p>
    <w:p w14:paraId="241143B8" w14:textId="77777777" w:rsidR="00023A92" w:rsidRPr="0015157F" w:rsidRDefault="00023A92" w:rsidP="00023A92">
      <w:pPr>
        <w:spacing w:line="240" w:lineRule="auto"/>
        <w:jc w:val="center"/>
        <w:rPr>
          <w:rFonts w:ascii="Times New Roman" w:eastAsia="Times New Roman" w:hAnsi="Times New Roman" w:cs="Guttman Hodes"/>
          <w:rtl/>
          <w:lang w:eastAsia="he-IL"/>
        </w:rPr>
      </w:pPr>
      <w:r w:rsidRPr="0015157F">
        <w:rPr>
          <w:rFonts w:ascii="Times New Roman" w:eastAsia="Times New Roman" w:hAnsi="Times New Roman" w:cs="Guttman Hodes" w:hint="cs"/>
          <w:rtl/>
          <w:lang w:eastAsia="he-IL"/>
        </w:rPr>
        <w:t>מפתח מפורט בסוף הספר</w:t>
      </w:r>
    </w:p>
    <w:p w14:paraId="09C2D441" w14:textId="77777777" w:rsidR="00B84C00" w:rsidRPr="001C1412" w:rsidRDefault="00B84C00" w:rsidP="00B03577">
      <w:pPr>
        <w:jc w:val="center"/>
        <w:rPr>
          <w:rFonts w:cs="Guttman Hodes"/>
          <w:sz w:val="32"/>
          <w:szCs w:val="32"/>
          <w:rtl/>
        </w:rPr>
      </w:pPr>
    </w:p>
    <w:p w14:paraId="724DEEAD" w14:textId="77777777" w:rsidR="00B03577" w:rsidRPr="001C1412" w:rsidRDefault="00B03577" w:rsidP="00B03577">
      <w:pPr>
        <w:jc w:val="center"/>
        <w:rPr>
          <w:rFonts w:cs="Guttman Hodes"/>
          <w:sz w:val="32"/>
          <w:szCs w:val="32"/>
          <w:rtl/>
        </w:rPr>
      </w:pPr>
    </w:p>
    <w:p w14:paraId="27B4A904" w14:textId="77777777" w:rsidR="00B03577" w:rsidRPr="001C1412" w:rsidRDefault="00B03577" w:rsidP="00B03577">
      <w:pPr>
        <w:spacing w:line="240" w:lineRule="auto"/>
        <w:jc w:val="center"/>
        <w:rPr>
          <w:rFonts w:ascii="Times New Roman" w:eastAsia="Times New Roman" w:hAnsi="Times New Roman" w:cs="Guttman Hodes"/>
          <w:b/>
          <w:bCs/>
          <w:sz w:val="36"/>
          <w:szCs w:val="36"/>
          <w:rtl/>
          <w:lang w:eastAsia="he-IL"/>
        </w:rPr>
      </w:pPr>
      <w:r w:rsidRPr="001C1412">
        <w:rPr>
          <w:rFonts w:ascii="Times New Roman" w:eastAsia="Times New Roman" w:hAnsi="Times New Roman" w:cs="Guttman Hodes" w:hint="cs"/>
          <w:b/>
          <w:bCs/>
          <w:sz w:val="40"/>
          <w:szCs w:val="40"/>
          <w:rtl/>
          <w:lang w:eastAsia="he-IL"/>
        </w:rPr>
        <w:t>שלמה זושא הכהן הנדל</w:t>
      </w:r>
    </w:p>
    <w:p w14:paraId="58C4BDB1" w14:textId="77777777" w:rsidR="00B03577" w:rsidRPr="001C1412" w:rsidRDefault="00B03577" w:rsidP="00B03577">
      <w:pPr>
        <w:spacing w:line="240" w:lineRule="auto"/>
        <w:jc w:val="center"/>
        <w:rPr>
          <w:rFonts w:ascii="Times New Roman" w:eastAsia="Times New Roman" w:hAnsi="Times New Roman" w:cs="Guttman Hodes"/>
          <w:sz w:val="36"/>
          <w:szCs w:val="36"/>
          <w:rtl/>
          <w:lang w:eastAsia="he-IL"/>
        </w:rPr>
      </w:pPr>
      <w:r w:rsidRPr="001C1412">
        <w:rPr>
          <w:rFonts w:ascii="Times New Roman" w:eastAsia="Times New Roman" w:hAnsi="Times New Roman" w:cs="Guttman Hodes" w:hint="cs"/>
          <w:sz w:val="36"/>
          <w:szCs w:val="36"/>
          <w:rtl/>
          <w:lang w:eastAsia="he-IL"/>
        </w:rPr>
        <w:t xml:space="preserve">בלאאמו"ר הרב </w:t>
      </w:r>
      <w:r w:rsidRPr="001C1412">
        <w:rPr>
          <w:rFonts w:ascii="Times New Roman" w:eastAsia="Times New Roman" w:hAnsi="Times New Roman" w:cs="Guttman Hodes" w:hint="cs"/>
          <w:b/>
          <w:bCs/>
          <w:sz w:val="40"/>
          <w:szCs w:val="40"/>
          <w:rtl/>
          <w:lang w:eastAsia="he-IL"/>
        </w:rPr>
        <w:t>אהרן</w:t>
      </w:r>
      <w:r w:rsidRPr="001C1412">
        <w:rPr>
          <w:rFonts w:ascii="Times New Roman" w:eastAsia="Times New Roman" w:hAnsi="Times New Roman" w:cs="Guttman Hodes" w:hint="cs"/>
          <w:sz w:val="36"/>
          <w:szCs w:val="36"/>
          <w:rtl/>
          <w:lang w:eastAsia="he-IL"/>
        </w:rPr>
        <w:t xml:space="preserve"> שליט"א</w:t>
      </w:r>
    </w:p>
    <w:p w14:paraId="0EAE14D5" w14:textId="77777777" w:rsidR="00B03577" w:rsidRPr="001C1412" w:rsidRDefault="00B03577" w:rsidP="00B03577">
      <w:pPr>
        <w:spacing w:line="240" w:lineRule="auto"/>
        <w:jc w:val="center"/>
        <w:rPr>
          <w:rFonts w:ascii="Times New Roman" w:eastAsia="Times New Roman" w:hAnsi="Times New Roman" w:cs="Guttman Hodes"/>
          <w:sz w:val="36"/>
          <w:szCs w:val="36"/>
          <w:rtl/>
          <w:lang w:eastAsia="he-IL"/>
        </w:rPr>
      </w:pPr>
    </w:p>
    <w:p w14:paraId="4761E793" w14:textId="77777777" w:rsidR="00B03577" w:rsidRPr="001C1412" w:rsidRDefault="00B03577" w:rsidP="00B03577">
      <w:pPr>
        <w:spacing w:line="240" w:lineRule="auto"/>
        <w:jc w:val="center"/>
        <w:rPr>
          <w:rFonts w:ascii="Times New Roman" w:eastAsia="Times New Roman" w:hAnsi="Times New Roman" w:cs="Guttman Hodes"/>
          <w:sz w:val="36"/>
          <w:szCs w:val="36"/>
          <w:rtl/>
          <w:lang w:eastAsia="he-IL"/>
        </w:rPr>
      </w:pPr>
      <w:r w:rsidRPr="001C1412">
        <w:rPr>
          <w:rFonts w:ascii="Times New Roman" w:eastAsia="Times New Roman" w:hAnsi="Times New Roman" w:cs="Guttman Hodes" w:hint="cs"/>
          <w:sz w:val="36"/>
          <w:szCs w:val="36"/>
          <w:rtl/>
          <w:lang w:eastAsia="he-IL"/>
        </w:rPr>
        <w:t xml:space="preserve">ישיבת בית הלל </w:t>
      </w:r>
    </w:p>
    <w:p w14:paraId="31AFF33E" w14:textId="7F335E4F" w:rsidR="003F5F49" w:rsidRDefault="00B03577" w:rsidP="00387957">
      <w:pPr>
        <w:spacing w:line="240" w:lineRule="auto"/>
        <w:jc w:val="center"/>
        <w:rPr>
          <w:rFonts w:ascii="Guttman Hodes" w:eastAsia="Guttman Hodes" w:hAnsi="Guttman Hodes" w:cs="Guttman Hodes"/>
          <w:b/>
          <w:bCs/>
          <w:sz w:val="12"/>
          <w:szCs w:val="12"/>
          <w:rtl/>
        </w:rPr>
        <w:sectPr w:rsidR="003F5F49" w:rsidSect="008D1B42">
          <w:headerReference w:type="first" r:id="rId9"/>
          <w:footerReference w:type="first" r:id="rId10"/>
          <w:type w:val="oddPage"/>
          <w:pgSz w:w="11906" w:h="16838"/>
          <w:pgMar w:top="720" w:right="720" w:bottom="720" w:left="720" w:header="708" w:footer="708" w:gutter="0"/>
          <w:cols w:space="720"/>
          <w:bidi/>
          <w:rtlGutter/>
          <w:docGrid w:linePitch="299"/>
        </w:sectPr>
      </w:pPr>
      <w:r w:rsidRPr="001C1412">
        <w:rPr>
          <w:rFonts w:ascii="Times New Roman" w:eastAsia="Times New Roman" w:hAnsi="Times New Roman" w:cs="Guttman Hodes" w:hint="cs"/>
          <w:sz w:val="36"/>
          <w:szCs w:val="36"/>
          <w:rtl/>
          <w:lang w:eastAsia="he-IL"/>
        </w:rPr>
        <w:t>בני ברק</w:t>
      </w:r>
    </w:p>
    <w:p w14:paraId="729844DB" w14:textId="0AEFEEFC" w:rsidR="00B03577" w:rsidRPr="001C1412" w:rsidRDefault="00B03577" w:rsidP="00B03577">
      <w:pPr>
        <w:spacing w:before="200"/>
        <w:jc w:val="center"/>
        <w:outlineLvl w:val="1"/>
        <w:rPr>
          <w:rFonts w:ascii="Guttman Hodes" w:eastAsia="Guttman Hodes" w:hAnsi="Guttman Hodes" w:cs="Guttman Hodes"/>
          <w:b/>
          <w:bCs/>
          <w:sz w:val="12"/>
          <w:szCs w:val="12"/>
          <w:rtl/>
        </w:rPr>
      </w:pPr>
    </w:p>
    <w:p w14:paraId="6354EC86" w14:textId="77777777" w:rsidR="00B03577" w:rsidRPr="001C1412" w:rsidRDefault="00B03577" w:rsidP="00B03577">
      <w:pPr>
        <w:spacing w:line="240" w:lineRule="auto"/>
        <w:jc w:val="center"/>
        <w:rPr>
          <w:rFonts w:ascii="Guttman Hodes" w:eastAsia="Guttman Hodes" w:hAnsi="Guttman Hodes" w:cs="Guttman Hodes"/>
          <w:sz w:val="16"/>
          <w:szCs w:val="16"/>
          <w:rtl/>
        </w:rPr>
      </w:pPr>
      <w:r w:rsidRPr="001C1412">
        <w:rPr>
          <w:rFonts w:ascii="Guttman Hodes" w:eastAsia="Guttman Hodes" w:hAnsi="Guttman Hodes" w:cs="Guttman Hodes" w:hint="cs"/>
          <w:sz w:val="16"/>
          <w:szCs w:val="16"/>
          <w:rtl/>
        </w:rPr>
        <w:t>לתשומת לב המעיינים בקובץ ממוחשב:</w:t>
      </w:r>
    </w:p>
    <w:p w14:paraId="4C02C56B" w14:textId="77777777" w:rsidR="00B03577" w:rsidRPr="001C1412" w:rsidRDefault="00B03577" w:rsidP="00B03577">
      <w:pPr>
        <w:spacing w:line="240" w:lineRule="auto"/>
        <w:jc w:val="center"/>
        <w:rPr>
          <w:rFonts w:ascii="Guttman Hodes" w:eastAsia="Guttman Hodes" w:hAnsi="Guttman Hodes" w:cs="Guttman Hodes"/>
          <w:sz w:val="16"/>
          <w:szCs w:val="16"/>
          <w:rtl/>
        </w:rPr>
      </w:pPr>
      <w:r w:rsidRPr="001C1412">
        <w:rPr>
          <w:rFonts w:ascii="Guttman Hodes" w:eastAsia="Guttman Hodes" w:hAnsi="Guttman Hodes" w:cs="Guttman Hodes" w:hint="cs"/>
          <w:sz w:val="16"/>
          <w:szCs w:val="16"/>
          <w:rtl/>
        </w:rPr>
        <w:t xml:space="preserve">בכל מקום שמופיעה </w:t>
      </w:r>
      <w:r w:rsidRPr="001C1412">
        <w:rPr>
          <w:rFonts w:ascii="Guttman Hodes" w:eastAsia="Guttman Hodes" w:hAnsi="Guttman Hodes" w:cs="Guttman Hodes" w:hint="cs"/>
          <w:sz w:val="16"/>
          <w:szCs w:val="16"/>
          <w:u w:val="single"/>
          <w:rtl/>
        </w:rPr>
        <w:t>בתוך הסימן</w:t>
      </w:r>
      <w:r w:rsidRPr="001C1412">
        <w:rPr>
          <w:rFonts w:ascii="Guttman Hodes" w:eastAsia="Guttman Hodes" w:hAnsi="Guttman Hodes" w:cs="Guttman Hodes" w:hint="cs"/>
          <w:sz w:val="16"/>
          <w:szCs w:val="16"/>
          <w:rtl/>
        </w:rPr>
        <w:t xml:space="preserve"> קישורית לאות אחרת לדוגמא: (עי' אות א'),</w:t>
      </w:r>
    </w:p>
    <w:p w14:paraId="215C7390" w14:textId="39427F46" w:rsidR="00B03577" w:rsidRDefault="00B03577" w:rsidP="00B03577">
      <w:pPr>
        <w:spacing w:line="240" w:lineRule="auto"/>
        <w:jc w:val="center"/>
        <w:rPr>
          <w:rFonts w:ascii="Guttman Hodes" w:eastAsia="Guttman Hodes" w:hAnsi="Guttman Hodes" w:cs="Guttman Hodes"/>
          <w:sz w:val="16"/>
          <w:szCs w:val="16"/>
          <w:rtl/>
        </w:rPr>
      </w:pPr>
      <w:r w:rsidRPr="001C1412">
        <w:rPr>
          <w:rFonts w:ascii="Guttman Hodes" w:eastAsia="Guttman Hodes" w:hAnsi="Guttman Hodes" w:cs="Guttman Hodes" w:hint="cs"/>
          <w:sz w:val="16"/>
          <w:szCs w:val="16"/>
          <w:rtl/>
        </w:rPr>
        <w:t>ניתן לעבור לאות המ</w:t>
      </w:r>
      <w:r w:rsidR="009D697C">
        <w:rPr>
          <w:rFonts w:ascii="Guttman Hodes" w:eastAsia="Guttman Hodes" w:hAnsi="Guttman Hodes" w:cs="Guttman Hodes" w:hint="cs"/>
          <w:sz w:val="16"/>
          <w:szCs w:val="16"/>
          <w:rtl/>
        </w:rPr>
        <w:t>כא</w:t>
      </w:r>
      <w:r w:rsidRPr="001C1412">
        <w:rPr>
          <w:rFonts w:ascii="Guttman Hodes" w:eastAsia="Guttman Hodes" w:hAnsi="Guttman Hodes" w:cs="Guttman Hodes" w:hint="cs"/>
          <w:sz w:val="16"/>
          <w:szCs w:val="16"/>
          <w:rtl/>
        </w:rPr>
        <w:t xml:space="preserve">צויינת, ע"י הקשה בעכבר על האות המצוינת, </w:t>
      </w:r>
    </w:p>
    <w:p w14:paraId="72CA1F0B" w14:textId="77777777" w:rsidR="00B03577" w:rsidRPr="001C1412" w:rsidRDefault="00B03577" w:rsidP="00B03577">
      <w:pPr>
        <w:spacing w:line="240" w:lineRule="auto"/>
        <w:jc w:val="center"/>
        <w:rPr>
          <w:rFonts w:ascii="Guttman Hodes" w:eastAsia="Guttman Hodes" w:hAnsi="Guttman Hodes" w:cs="Cambria"/>
          <w:sz w:val="16"/>
          <w:szCs w:val="16"/>
          <w:rtl/>
        </w:rPr>
      </w:pPr>
      <w:r>
        <w:rPr>
          <w:rFonts w:ascii="Guttman Hodes" w:eastAsia="Guttman Hodes" w:hAnsi="Guttman Hodes" w:cs="Guttman Hodes" w:hint="cs"/>
          <w:sz w:val="16"/>
          <w:szCs w:val="16"/>
          <w:rtl/>
        </w:rPr>
        <w:t>[בחלק מהמחשבים צריך להקיש ב</w:t>
      </w:r>
      <w:r w:rsidRPr="001C1412">
        <w:rPr>
          <w:rFonts w:ascii="Guttman Hodes" w:eastAsia="Guttman Hodes" w:hAnsi="Guttman Hodes" w:cs="Guttman Hodes" w:hint="cs"/>
          <w:sz w:val="16"/>
          <w:szCs w:val="16"/>
          <w:rtl/>
        </w:rPr>
        <w:t>יחד עם מקש קונטרול [</w:t>
      </w:r>
      <w:r w:rsidRPr="001C1412">
        <w:rPr>
          <w:rFonts w:ascii="Guttman Hodes" w:eastAsia="Guttman Hodes" w:hAnsi="Guttman Hodes" w:cs="Cambria" w:hint="cs"/>
          <w:sz w:val="16"/>
          <w:szCs w:val="16"/>
        </w:rPr>
        <w:t>CTRL</w:t>
      </w:r>
      <w:r w:rsidRPr="001C1412">
        <w:rPr>
          <w:rFonts w:ascii="Guttman Hodes" w:eastAsia="Guttman Hodes" w:hAnsi="Guttman Hodes" w:cs="Guttman Hodes" w:hint="cs"/>
          <w:sz w:val="16"/>
          <w:szCs w:val="16"/>
          <w:rtl/>
        </w:rPr>
        <w:t>]</w:t>
      </w:r>
      <w:r w:rsidRPr="001C1412">
        <w:rPr>
          <w:rFonts w:ascii="Guttman Hodes" w:eastAsia="Guttman Hodes" w:hAnsi="Guttman Hodes" w:cs="Cambria" w:hint="cs"/>
          <w:sz w:val="16"/>
          <w:szCs w:val="16"/>
          <w:rtl/>
        </w:rPr>
        <w:t>.</w:t>
      </w:r>
    </w:p>
    <w:p w14:paraId="4F15F0FE" w14:textId="77777777" w:rsidR="00B03577" w:rsidRPr="001C1412" w:rsidRDefault="00B03577" w:rsidP="00B03577">
      <w:pPr>
        <w:spacing w:line="240" w:lineRule="auto"/>
        <w:jc w:val="center"/>
        <w:rPr>
          <w:rFonts w:ascii="Guttman Hodes" w:eastAsia="Guttman Hodes" w:hAnsi="Guttman Hodes" w:cs="Guttman Hodes"/>
          <w:sz w:val="16"/>
          <w:szCs w:val="16"/>
          <w:rtl/>
        </w:rPr>
      </w:pPr>
      <w:r w:rsidRPr="001C1412">
        <w:rPr>
          <w:rFonts w:ascii="Guttman Hodes" w:eastAsia="Guttman Hodes" w:hAnsi="Guttman Hodes" w:cs="Guttman Hodes" w:hint="cs"/>
          <w:sz w:val="16"/>
          <w:szCs w:val="16"/>
          <w:rtl/>
        </w:rPr>
        <w:t xml:space="preserve">וכן בתוכן העניינים המודפס בתחילת הספר, ניתן לעבור לכל סימן לעמוד שבו הוא מצויין, </w:t>
      </w:r>
    </w:p>
    <w:p w14:paraId="17CB0DD4" w14:textId="7BC79DCC" w:rsidR="00B03577" w:rsidRDefault="00B03577" w:rsidP="00B03577">
      <w:pPr>
        <w:spacing w:line="240" w:lineRule="auto"/>
        <w:jc w:val="center"/>
        <w:rPr>
          <w:rFonts w:ascii="Guttman Hodes" w:eastAsia="Guttman Hodes" w:hAnsi="Guttman Hodes" w:cs="Cambria"/>
          <w:sz w:val="16"/>
          <w:szCs w:val="16"/>
          <w:rtl/>
        </w:rPr>
      </w:pPr>
      <w:r w:rsidRPr="001C1412">
        <w:rPr>
          <w:rFonts w:ascii="Guttman Hodes" w:eastAsia="Guttman Hodes" w:hAnsi="Guttman Hodes" w:cs="Guttman Hodes" w:hint="cs"/>
          <w:sz w:val="16"/>
          <w:szCs w:val="16"/>
          <w:rtl/>
        </w:rPr>
        <w:t xml:space="preserve">ע"י הקשה בעכבר על מספר העמוד, </w:t>
      </w:r>
      <w:r>
        <w:rPr>
          <w:rFonts w:ascii="Guttman Hodes" w:eastAsia="Guttman Hodes" w:hAnsi="Guttman Hodes" w:cs="Guttman Hodes" w:hint="cs"/>
          <w:sz w:val="16"/>
          <w:szCs w:val="16"/>
          <w:rtl/>
        </w:rPr>
        <w:t>[בחלק מהמחשבים צריך להקיש ב</w:t>
      </w:r>
      <w:r w:rsidRPr="001C1412">
        <w:rPr>
          <w:rFonts w:ascii="Guttman Hodes" w:eastAsia="Guttman Hodes" w:hAnsi="Guttman Hodes" w:cs="Guttman Hodes" w:hint="cs"/>
          <w:sz w:val="16"/>
          <w:szCs w:val="16"/>
          <w:rtl/>
        </w:rPr>
        <w:t>יחד עם מקש קונטרול [</w:t>
      </w:r>
      <w:r w:rsidRPr="001C1412">
        <w:rPr>
          <w:rFonts w:ascii="Guttman Hodes" w:eastAsia="Guttman Hodes" w:hAnsi="Guttman Hodes" w:cs="Cambria" w:hint="cs"/>
          <w:sz w:val="16"/>
          <w:szCs w:val="16"/>
        </w:rPr>
        <w:t>CTRL</w:t>
      </w:r>
      <w:r w:rsidRPr="001C1412">
        <w:rPr>
          <w:rFonts w:ascii="Guttman Hodes" w:eastAsia="Guttman Hodes" w:hAnsi="Guttman Hodes" w:cs="Guttman Hodes" w:hint="cs"/>
          <w:sz w:val="16"/>
          <w:szCs w:val="16"/>
          <w:rtl/>
        </w:rPr>
        <w:t>]</w:t>
      </w:r>
      <w:r w:rsidRPr="001C1412">
        <w:rPr>
          <w:rFonts w:ascii="Guttman Hodes" w:eastAsia="Guttman Hodes" w:hAnsi="Guttman Hodes" w:cs="Cambria" w:hint="cs"/>
          <w:sz w:val="16"/>
          <w:szCs w:val="16"/>
          <w:rtl/>
        </w:rPr>
        <w:t>.</w:t>
      </w:r>
    </w:p>
    <w:p w14:paraId="33FD91B9" w14:textId="21CC2E5D" w:rsidR="008D1B42" w:rsidRDefault="008D1B42" w:rsidP="00B03577">
      <w:pPr>
        <w:spacing w:line="240" w:lineRule="auto"/>
        <w:jc w:val="center"/>
        <w:rPr>
          <w:rFonts w:ascii="Guttman Hodes" w:eastAsia="Guttman Hodes" w:hAnsi="Guttman Hodes" w:cs="Cambria"/>
          <w:sz w:val="16"/>
          <w:szCs w:val="16"/>
          <w:rtl/>
        </w:rPr>
      </w:pPr>
    </w:p>
    <w:p w14:paraId="311B7C8E" w14:textId="0686141A" w:rsidR="008D1B42" w:rsidRDefault="008D1B42" w:rsidP="00B03577">
      <w:pPr>
        <w:spacing w:line="240" w:lineRule="auto"/>
        <w:jc w:val="center"/>
        <w:rPr>
          <w:rFonts w:ascii="Guttman Hodes" w:eastAsia="Guttman Hodes" w:hAnsi="Guttman Hodes" w:cs="Cambria"/>
          <w:sz w:val="16"/>
          <w:szCs w:val="16"/>
          <w:rtl/>
        </w:rPr>
      </w:pPr>
    </w:p>
    <w:p w14:paraId="60BDEBFB" w14:textId="7112E169" w:rsidR="008D1B42" w:rsidRDefault="008D1B42" w:rsidP="00B03577">
      <w:pPr>
        <w:spacing w:line="240" w:lineRule="auto"/>
        <w:jc w:val="center"/>
        <w:rPr>
          <w:rFonts w:ascii="Guttman Hodes" w:eastAsia="Guttman Hodes" w:hAnsi="Guttman Hodes" w:cs="Cambria"/>
          <w:sz w:val="16"/>
          <w:szCs w:val="16"/>
          <w:rtl/>
        </w:rPr>
      </w:pPr>
    </w:p>
    <w:p w14:paraId="7C5E6231" w14:textId="4BE9E51D" w:rsidR="008D1B42" w:rsidRDefault="008D1B42" w:rsidP="00B03577">
      <w:pPr>
        <w:spacing w:line="240" w:lineRule="auto"/>
        <w:jc w:val="center"/>
        <w:rPr>
          <w:rFonts w:ascii="Guttman Hodes" w:eastAsia="Guttman Hodes" w:hAnsi="Guttman Hodes" w:cs="Cambria"/>
          <w:sz w:val="16"/>
          <w:szCs w:val="16"/>
          <w:rtl/>
        </w:rPr>
      </w:pPr>
    </w:p>
    <w:p w14:paraId="6707785A" w14:textId="24A10756" w:rsidR="008D1B42" w:rsidRDefault="008D1B42" w:rsidP="00B03577">
      <w:pPr>
        <w:spacing w:line="240" w:lineRule="auto"/>
        <w:jc w:val="center"/>
        <w:rPr>
          <w:rFonts w:ascii="Guttman Hodes" w:eastAsia="Guttman Hodes" w:hAnsi="Guttman Hodes" w:cs="Cambria"/>
          <w:sz w:val="16"/>
          <w:szCs w:val="16"/>
          <w:rtl/>
        </w:rPr>
      </w:pPr>
    </w:p>
    <w:p w14:paraId="50A344A2" w14:textId="228CE540" w:rsidR="008D1B42" w:rsidRDefault="008D1B42" w:rsidP="00B03577">
      <w:pPr>
        <w:spacing w:line="240" w:lineRule="auto"/>
        <w:jc w:val="center"/>
        <w:rPr>
          <w:rFonts w:ascii="Guttman Hodes" w:eastAsia="Guttman Hodes" w:hAnsi="Guttman Hodes" w:cs="Cambria"/>
          <w:sz w:val="16"/>
          <w:szCs w:val="16"/>
          <w:rtl/>
        </w:rPr>
      </w:pPr>
    </w:p>
    <w:p w14:paraId="12439F65" w14:textId="77777777" w:rsidR="008D1B42" w:rsidRPr="001C1412" w:rsidRDefault="008D1B42" w:rsidP="00B03577">
      <w:pPr>
        <w:spacing w:line="240" w:lineRule="auto"/>
        <w:jc w:val="center"/>
        <w:rPr>
          <w:rFonts w:ascii="Guttman Hodes" w:eastAsia="Guttman Hodes" w:hAnsi="Guttman Hodes" w:cs="Cambria"/>
          <w:sz w:val="16"/>
          <w:szCs w:val="16"/>
          <w:rtl/>
        </w:rPr>
      </w:pPr>
    </w:p>
    <w:p w14:paraId="46C39132" w14:textId="77777777" w:rsidR="00B03577" w:rsidRPr="001C1412" w:rsidRDefault="00B03577" w:rsidP="00B03577">
      <w:pPr>
        <w:spacing w:before="200"/>
        <w:jc w:val="center"/>
        <w:outlineLvl w:val="1"/>
        <w:rPr>
          <w:rFonts w:ascii="Guttman Hodes" w:eastAsia="Guttman Hodes" w:hAnsi="Guttman Hodes" w:cs="Guttman Hodes"/>
          <w:b/>
          <w:bCs/>
          <w:sz w:val="12"/>
          <w:szCs w:val="12"/>
          <w:rtl/>
        </w:rPr>
      </w:pPr>
      <w:r w:rsidRPr="001C1412">
        <w:rPr>
          <w:rFonts w:ascii="Guttman Hodes" w:eastAsia="Guttman Hodes" w:hAnsi="Guttman Hodes" w:cs="Guttman Hodes" w:hint="cs"/>
          <w:b/>
          <w:bCs/>
          <w:sz w:val="12"/>
          <w:szCs w:val="12"/>
          <w:rtl/>
        </w:rPr>
        <w:t>© כל הזכויות שמורות</w:t>
      </w:r>
    </w:p>
    <w:p w14:paraId="57A60BBF" w14:textId="77777777" w:rsidR="00B03577" w:rsidRPr="001C1412" w:rsidRDefault="00B03577" w:rsidP="00B03577">
      <w:pPr>
        <w:spacing w:line="240" w:lineRule="auto"/>
        <w:jc w:val="center"/>
        <w:rPr>
          <w:rFonts w:cs="Guttman Hodes"/>
          <w:rtl/>
        </w:rPr>
      </w:pPr>
    </w:p>
    <w:p w14:paraId="14FB4EDF" w14:textId="2F4E53BC" w:rsidR="00B03577" w:rsidRPr="001C1412" w:rsidRDefault="00B03577" w:rsidP="005E37C7">
      <w:pPr>
        <w:spacing w:line="240" w:lineRule="auto"/>
        <w:jc w:val="center"/>
        <w:rPr>
          <w:rFonts w:cs="Guttman Hodes"/>
          <w:rtl/>
        </w:rPr>
      </w:pPr>
      <w:r w:rsidRPr="001C1412">
        <w:rPr>
          <w:rFonts w:cs="Guttman Hodes" w:hint="cs"/>
          <w:rtl/>
        </w:rPr>
        <w:t>להערות והארות ובכל עניני הספר</w:t>
      </w:r>
      <w:r w:rsidR="00E6768B">
        <w:rPr>
          <w:rFonts w:cs="Guttman Hodes" w:hint="cs"/>
          <w:rtl/>
        </w:rPr>
        <w:t xml:space="preserve"> </w:t>
      </w:r>
      <w:r w:rsidRPr="001C1412">
        <w:rPr>
          <w:rFonts w:cs="Guttman Hodes" w:hint="cs"/>
          <w:rtl/>
        </w:rPr>
        <w:t>ניתן לפנות:</w:t>
      </w:r>
    </w:p>
    <w:p w14:paraId="095CD884" w14:textId="18FCA4E3" w:rsidR="00B03577" w:rsidRPr="001C1412" w:rsidRDefault="00B03577" w:rsidP="00E6768B">
      <w:pPr>
        <w:spacing w:line="240" w:lineRule="auto"/>
        <w:jc w:val="center"/>
        <w:rPr>
          <w:rFonts w:cs="Guttman Hodes"/>
          <w:rtl/>
        </w:rPr>
      </w:pPr>
      <w:r w:rsidRPr="001C1412">
        <w:rPr>
          <w:rFonts w:cs="Guttman Hodes" w:hint="cs"/>
          <w:rtl/>
        </w:rPr>
        <w:t>שלמה הנדל</w:t>
      </w:r>
      <w:r w:rsidR="00E6768B">
        <w:rPr>
          <w:rFonts w:cs="Guttman Hodes" w:hint="cs"/>
          <w:rtl/>
        </w:rPr>
        <w:t xml:space="preserve"> </w:t>
      </w:r>
      <w:r w:rsidRPr="001C1412">
        <w:rPr>
          <w:rFonts w:cs="Guttman Hodes" w:hint="cs"/>
          <w:rtl/>
        </w:rPr>
        <w:t>רבי יהושע 13 בני ברק</w:t>
      </w:r>
      <w:r w:rsidR="00E6768B">
        <w:rPr>
          <w:rFonts w:cs="Guttman Hodes" w:hint="cs"/>
          <w:rtl/>
        </w:rPr>
        <w:t xml:space="preserve"> </w:t>
      </w:r>
    </w:p>
    <w:p w14:paraId="49EAE33E" w14:textId="0B97F0E6" w:rsidR="00B03577" w:rsidRPr="001C1412" w:rsidRDefault="00B03577" w:rsidP="00B03577">
      <w:pPr>
        <w:spacing w:line="240" w:lineRule="auto"/>
        <w:jc w:val="center"/>
        <w:rPr>
          <w:rFonts w:cs="Guttman Hodes"/>
          <w:rtl/>
        </w:rPr>
      </w:pPr>
      <w:r w:rsidRPr="001C1412">
        <w:rPr>
          <w:rFonts w:cs="Guttman Hodes" w:hint="cs"/>
          <w:rtl/>
        </w:rPr>
        <w:t>טל 052-7676412</w:t>
      </w:r>
    </w:p>
    <w:p w14:paraId="0EAE8BDC" w14:textId="048828E6" w:rsidR="00B03577" w:rsidRPr="001C1412" w:rsidRDefault="00B03577" w:rsidP="00B03577">
      <w:pPr>
        <w:bidi w:val="0"/>
        <w:spacing w:line="240" w:lineRule="auto"/>
        <w:jc w:val="center"/>
        <w:rPr>
          <w:rFonts w:cs="Arial"/>
        </w:rPr>
      </w:pPr>
      <w:r w:rsidRPr="001C1412">
        <w:rPr>
          <w:rFonts w:cs="Cambria"/>
        </w:rPr>
        <w:t>A0</w:t>
      </w:r>
      <w:r w:rsidRPr="001C1412">
        <w:rPr>
          <w:rFonts w:cs="Cambria" w:hint="cs"/>
          <w:rtl/>
        </w:rPr>
        <w:t>527676412</w:t>
      </w:r>
      <w:r w:rsidRPr="001C1412">
        <w:rPr>
          <w:rFonts w:cs="Cambria"/>
        </w:rPr>
        <w:t>@GMAIL</w:t>
      </w:r>
      <w:r w:rsidRPr="001C1412">
        <w:rPr>
          <w:rFonts w:cs="Arial" w:hint="cs"/>
          <w:rtl/>
        </w:rPr>
        <w:t>.</w:t>
      </w:r>
      <w:r w:rsidRPr="001C1412">
        <w:rPr>
          <w:rFonts w:cs="Arial"/>
        </w:rPr>
        <w:t>COM</w:t>
      </w:r>
    </w:p>
    <w:p w14:paraId="434283A3" w14:textId="77777777" w:rsidR="008D1B42" w:rsidRDefault="008D1B42" w:rsidP="00B03577">
      <w:pPr>
        <w:spacing w:line="240" w:lineRule="auto"/>
        <w:jc w:val="center"/>
        <w:outlineLvl w:val="1"/>
        <w:rPr>
          <w:rFonts w:ascii="Guttman Hodes" w:eastAsia="Guttman Hodes" w:hAnsi="Guttman Hodes" w:cs="Guttman Hodes"/>
          <w:noProof/>
          <w:sz w:val="20"/>
          <w:szCs w:val="20"/>
          <w:rtl/>
        </w:rPr>
      </w:pPr>
    </w:p>
    <w:p w14:paraId="28F95AE7" w14:textId="77777777" w:rsidR="008D1B42" w:rsidRDefault="008D1B42" w:rsidP="00B03577">
      <w:pPr>
        <w:spacing w:line="240" w:lineRule="auto"/>
        <w:jc w:val="center"/>
        <w:outlineLvl w:val="1"/>
        <w:rPr>
          <w:rFonts w:ascii="Guttman Hodes" w:eastAsia="Guttman Hodes" w:hAnsi="Guttman Hodes" w:cs="Guttman Hodes"/>
          <w:noProof/>
          <w:sz w:val="20"/>
          <w:szCs w:val="20"/>
          <w:rtl/>
        </w:rPr>
      </w:pPr>
    </w:p>
    <w:p w14:paraId="6F577423" w14:textId="77777777" w:rsidR="008D1B42" w:rsidRDefault="008D1B42" w:rsidP="00B03577">
      <w:pPr>
        <w:spacing w:line="240" w:lineRule="auto"/>
        <w:jc w:val="center"/>
        <w:outlineLvl w:val="1"/>
        <w:rPr>
          <w:rFonts w:ascii="Guttman Hodes" w:eastAsia="Guttman Hodes" w:hAnsi="Guttman Hodes" w:cs="Guttman Hodes"/>
          <w:noProof/>
          <w:sz w:val="20"/>
          <w:szCs w:val="20"/>
          <w:rtl/>
        </w:rPr>
      </w:pPr>
    </w:p>
    <w:p w14:paraId="2F0206B2" w14:textId="77777777" w:rsidR="008D1B42" w:rsidRDefault="008D1B42" w:rsidP="00B03577">
      <w:pPr>
        <w:spacing w:line="240" w:lineRule="auto"/>
        <w:jc w:val="center"/>
        <w:outlineLvl w:val="1"/>
        <w:rPr>
          <w:rFonts w:ascii="Guttman Hodes" w:eastAsia="Guttman Hodes" w:hAnsi="Guttman Hodes" w:cs="Guttman Hodes"/>
          <w:noProof/>
          <w:sz w:val="20"/>
          <w:szCs w:val="20"/>
          <w:rtl/>
        </w:rPr>
      </w:pPr>
    </w:p>
    <w:p w14:paraId="0B25FAC7" w14:textId="090F677E" w:rsidR="00B03577" w:rsidRPr="001C1412" w:rsidRDefault="00B03577" w:rsidP="00B03577">
      <w:pPr>
        <w:spacing w:line="240" w:lineRule="auto"/>
        <w:jc w:val="center"/>
        <w:outlineLvl w:val="1"/>
        <w:rPr>
          <w:rFonts w:ascii="Guttman Hodes" w:eastAsia="Guttman Hodes" w:hAnsi="Guttman Hodes" w:cs="Guttman Hodes"/>
          <w:noProof/>
          <w:sz w:val="20"/>
          <w:szCs w:val="20"/>
        </w:rPr>
      </w:pPr>
      <w:r w:rsidRPr="001C1412">
        <w:rPr>
          <w:rFonts w:ascii="Guttman Hodes" w:eastAsia="Guttman Hodes" w:hAnsi="Guttman Hodes" w:cs="Guttman Hodes" w:hint="cs"/>
          <w:noProof/>
          <w:sz w:val="20"/>
          <w:szCs w:val="20"/>
          <w:rtl/>
        </w:rPr>
        <w:t>כמו"כ ניתן להשיג בכתובת הנ"ל את ספרי "משנתם סדורה":</w:t>
      </w:r>
    </w:p>
    <w:p w14:paraId="526C451E" w14:textId="77777777" w:rsidR="00387957" w:rsidRDefault="00387957" w:rsidP="00387957">
      <w:pPr>
        <w:spacing w:line="240" w:lineRule="auto"/>
        <w:jc w:val="center"/>
        <w:rPr>
          <w:rFonts w:ascii="Guttman Hodes" w:eastAsia="Guttman Hodes" w:hAnsi="Guttman Hodes" w:cs="Guttman Hodes"/>
          <w:b/>
          <w:bCs/>
          <w:sz w:val="20"/>
          <w:szCs w:val="20"/>
          <w:rtl/>
        </w:rPr>
        <w:sectPr w:rsidR="00387957" w:rsidSect="00387957">
          <w:pgSz w:w="11906" w:h="16838"/>
          <w:pgMar w:top="720" w:right="720" w:bottom="720" w:left="720" w:header="708" w:footer="708" w:gutter="0"/>
          <w:cols w:space="113"/>
          <w:bidi/>
          <w:rtlGutter/>
          <w:docGrid w:linePitch="299"/>
        </w:sectPr>
      </w:pPr>
    </w:p>
    <w:p w14:paraId="0DC39344" w14:textId="70006039" w:rsidR="00D47DAF" w:rsidRPr="009A73F0" w:rsidRDefault="00D47DAF" w:rsidP="00D47DAF">
      <w:pPr>
        <w:spacing w:line="240" w:lineRule="auto"/>
        <w:jc w:val="center"/>
        <w:rPr>
          <w:rFonts w:ascii="Guttman Hodes" w:eastAsia="Guttman Hodes" w:hAnsi="Guttman Hodes" w:cs="Guttman Hodes"/>
          <w:b/>
          <w:bCs/>
          <w:sz w:val="20"/>
          <w:szCs w:val="20"/>
          <w:rtl/>
        </w:rPr>
      </w:pPr>
      <w:r w:rsidRPr="00126B3E">
        <w:rPr>
          <w:rFonts w:ascii="Guttman Hodes" w:eastAsia="Guttman Hodes" w:hAnsi="Guttman Hodes" w:cs="Guttman Hodes" w:hint="cs"/>
          <w:b/>
          <w:bCs/>
          <w:sz w:val="20"/>
          <w:szCs w:val="20"/>
          <w:rtl/>
        </w:rPr>
        <w:t>על פרק "המפקיד"</w:t>
      </w:r>
      <w:r w:rsidRPr="00126B3E">
        <w:rPr>
          <w:rFonts w:ascii="Guttman Hodes" w:eastAsia="Guttman Hodes" w:hAnsi="Guttman Hodes" w:cs="Guttman Hodes"/>
          <w:b/>
          <w:bCs/>
          <w:sz w:val="20"/>
          <w:szCs w:val="20"/>
          <w:rtl/>
        </w:rPr>
        <w:t xml:space="preserve">/ </w:t>
      </w:r>
      <w:r w:rsidRPr="00126B3E">
        <w:rPr>
          <w:rFonts w:ascii="Guttman Hodes" w:eastAsia="Guttman Hodes" w:hAnsi="Guttman Hodes" w:cs="Guttman Hodes" w:hint="cs"/>
          <w:b/>
          <w:bCs/>
          <w:noProof/>
          <w:sz w:val="20"/>
          <w:szCs w:val="20"/>
          <w:rtl/>
        </w:rPr>
        <w:t>על פרק "איזהו נשך"</w:t>
      </w:r>
      <w:r w:rsidRPr="00126B3E">
        <w:rPr>
          <w:rFonts w:ascii="Guttman Hodes" w:eastAsia="Guttman Hodes" w:hAnsi="Guttman Hodes" w:cs="Guttman Hodes"/>
          <w:b/>
          <w:bCs/>
          <w:noProof/>
          <w:sz w:val="20"/>
          <w:szCs w:val="20"/>
          <w:rtl/>
        </w:rPr>
        <w:t xml:space="preserve">/ </w:t>
      </w:r>
      <w:r w:rsidRPr="00126B3E">
        <w:rPr>
          <w:rFonts w:ascii="Guttman Hodes" w:eastAsia="Guttman Hodes" w:hAnsi="Guttman Hodes" w:cs="Guttman Hodes" w:hint="cs"/>
          <w:b/>
          <w:bCs/>
          <w:noProof/>
          <w:sz w:val="20"/>
          <w:szCs w:val="20"/>
          <w:rtl/>
        </w:rPr>
        <w:t>על פרק "חזקת הבתים"</w:t>
      </w:r>
      <w:r w:rsidRPr="00126B3E">
        <w:rPr>
          <w:rFonts w:ascii="Guttman Hodes" w:eastAsia="Guttman Hodes" w:hAnsi="Guttman Hodes" w:cs="Guttman Hodes"/>
          <w:b/>
          <w:bCs/>
          <w:noProof/>
          <w:sz w:val="20"/>
          <w:szCs w:val="20"/>
          <w:rtl/>
        </w:rPr>
        <w:t xml:space="preserve">/ </w:t>
      </w:r>
      <w:r w:rsidRPr="00126B3E">
        <w:rPr>
          <w:rFonts w:ascii="Guttman Hodes" w:eastAsia="Guttman Hodes" w:hAnsi="Guttman Hodes" w:cs="Guttman Hodes" w:hint="cs"/>
          <w:b/>
          <w:bCs/>
          <w:noProof/>
          <w:sz w:val="20"/>
          <w:szCs w:val="20"/>
          <w:rtl/>
        </w:rPr>
        <w:t>על פרק "לא יחפור"</w:t>
      </w:r>
      <w:r w:rsidRPr="00126B3E">
        <w:rPr>
          <w:rFonts w:ascii="Guttman Hodes" w:eastAsia="Guttman Hodes" w:hAnsi="Guttman Hodes" w:cs="Guttman Hodes"/>
          <w:b/>
          <w:bCs/>
          <w:noProof/>
          <w:sz w:val="20"/>
          <w:szCs w:val="20"/>
          <w:rtl/>
        </w:rPr>
        <w:t xml:space="preserve">/ </w:t>
      </w:r>
      <w:r w:rsidRPr="00126B3E">
        <w:rPr>
          <w:rFonts w:ascii="Guttman Hodes" w:eastAsia="Guttman Hodes" w:hAnsi="Guttman Hodes" w:cs="Guttman Hodes" w:hint="cs"/>
          <w:b/>
          <w:bCs/>
          <w:noProof/>
          <w:sz w:val="20"/>
          <w:szCs w:val="20"/>
          <w:rtl/>
        </w:rPr>
        <w:t>על פרק "יש נוחלין"</w:t>
      </w:r>
      <w:r w:rsidRPr="00126B3E">
        <w:rPr>
          <w:rFonts w:ascii="Guttman Hodes" w:eastAsia="Guttman Hodes" w:hAnsi="Guttman Hodes" w:cs="Guttman Hodes"/>
          <w:b/>
          <w:bCs/>
          <w:noProof/>
          <w:sz w:val="20"/>
          <w:szCs w:val="20"/>
          <w:rtl/>
        </w:rPr>
        <w:t xml:space="preserve">/ </w:t>
      </w:r>
      <w:r w:rsidRPr="00126B3E">
        <w:rPr>
          <w:rFonts w:ascii="Guttman Hodes" w:eastAsia="Guttman Hodes" w:hAnsi="Guttman Hodes" w:cs="Guttman Hodes" w:hint="cs"/>
          <w:b/>
          <w:bCs/>
          <w:noProof/>
          <w:sz w:val="20"/>
          <w:szCs w:val="20"/>
          <w:rtl/>
        </w:rPr>
        <w:t>על עניני הוצאה בפ"ק דשבת</w:t>
      </w:r>
      <w:r w:rsidRPr="00126B3E">
        <w:rPr>
          <w:rFonts w:ascii="Guttman Hodes" w:eastAsia="Guttman Hodes" w:hAnsi="Guttman Hodes" w:cs="Guttman Hodes"/>
          <w:b/>
          <w:bCs/>
          <w:noProof/>
          <w:sz w:val="20"/>
          <w:szCs w:val="20"/>
          <w:rtl/>
        </w:rPr>
        <w:t xml:space="preserve">/ </w:t>
      </w:r>
      <w:bookmarkStart w:id="69" w:name="_Hlk163419959"/>
      <w:r w:rsidR="008D3636">
        <w:rPr>
          <w:rFonts w:ascii="Guttman Hodes" w:eastAsia="Guttman Hodes" w:hAnsi="Guttman Hodes" w:cs="Guttman Hodes" w:hint="cs"/>
          <w:b/>
          <w:bCs/>
          <w:sz w:val="20"/>
          <w:szCs w:val="20"/>
          <w:rtl/>
        </w:rPr>
        <w:t xml:space="preserve">על ענייני שהייה הטמנה וחזרה בפרק כירה / </w:t>
      </w:r>
      <w:bookmarkEnd w:id="69"/>
      <w:r>
        <w:rPr>
          <w:rFonts w:ascii="Guttman Hodes" w:eastAsia="Guttman Hodes" w:hAnsi="Guttman Hodes" w:cs="Guttman Hodes" w:hint="cs"/>
          <w:b/>
          <w:bCs/>
          <w:sz w:val="20"/>
          <w:szCs w:val="20"/>
          <w:rtl/>
        </w:rPr>
        <w:t xml:space="preserve">על ענייני </w:t>
      </w:r>
      <w:r w:rsidR="008D3636">
        <w:rPr>
          <w:rFonts w:ascii="Guttman Hodes" w:eastAsia="Guttman Hodes" w:hAnsi="Guttman Hodes" w:cs="Guttman Hodes" w:hint="cs"/>
          <w:b/>
          <w:bCs/>
          <w:sz w:val="20"/>
          <w:szCs w:val="20"/>
          <w:rtl/>
        </w:rPr>
        <w:t>מוקצה בפרק כירה</w:t>
      </w:r>
      <w:r>
        <w:rPr>
          <w:rFonts w:ascii="Guttman Hodes" w:eastAsia="Guttman Hodes" w:hAnsi="Guttman Hodes" w:cs="Guttman Hodes" w:hint="cs"/>
          <w:b/>
          <w:bCs/>
          <w:sz w:val="20"/>
          <w:szCs w:val="20"/>
          <w:rtl/>
        </w:rPr>
        <w:t xml:space="preserve">/ על ענייני מלאכות ביו"ט במסכת ביצה / </w:t>
      </w:r>
      <w:r w:rsidRPr="00126B3E">
        <w:rPr>
          <w:rFonts w:ascii="Guttman Hodes" w:eastAsia="Guttman Hodes" w:hAnsi="Guttman Hodes" w:cs="Guttman Hodes" w:hint="cs"/>
          <w:b/>
          <w:bCs/>
          <w:sz w:val="20"/>
          <w:szCs w:val="20"/>
          <w:rtl/>
        </w:rPr>
        <w:t>על מסכת נדרים פ"א</w:t>
      </w:r>
      <w:r w:rsidRPr="00126B3E">
        <w:rPr>
          <w:rFonts w:ascii="Guttman Hodes" w:eastAsia="Guttman Hodes" w:hAnsi="Guttman Hodes" w:cs="Guttman Hodes"/>
          <w:b/>
          <w:bCs/>
          <w:sz w:val="20"/>
          <w:szCs w:val="20"/>
          <w:rtl/>
        </w:rPr>
        <w:t xml:space="preserve">/ </w:t>
      </w:r>
      <w:r w:rsidRPr="00126B3E">
        <w:rPr>
          <w:rFonts w:ascii="Guttman Hodes" w:eastAsia="Guttman Hodes" w:hAnsi="Guttman Hodes" w:cs="Guttman Hodes" w:hint="cs"/>
          <w:b/>
          <w:bCs/>
          <w:sz w:val="20"/>
          <w:szCs w:val="20"/>
          <w:rtl/>
        </w:rPr>
        <w:t xml:space="preserve">על פרק נערה המאורסה במסכת נדרים </w:t>
      </w:r>
      <w:r w:rsidRPr="00126B3E">
        <w:rPr>
          <w:rFonts w:ascii="Guttman Hodes" w:eastAsia="Guttman Hodes" w:hAnsi="Guttman Hodes" w:cs="Guttman Hodes"/>
          <w:b/>
          <w:bCs/>
          <w:sz w:val="20"/>
          <w:szCs w:val="20"/>
          <w:rtl/>
        </w:rPr>
        <w:t>/ על עניני רוב וחזקה הגרמה ובן פקועה</w:t>
      </w:r>
      <w:r w:rsidRPr="00126B3E">
        <w:rPr>
          <w:rFonts w:ascii="Guttman Hodes" w:eastAsia="Guttman Hodes" w:hAnsi="Guttman Hodes" w:cs="Guttman Hodes" w:hint="cs"/>
          <w:b/>
          <w:bCs/>
          <w:sz w:val="20"/>
          <w:szCs w:val="20"/>
          <w:rtl/>
        </w:rPr>
        <w:t xml:space="preserve"> </w:t>
      </w:r>
      <w:r w:rsidRPr="00126B3E">
        <w:rPr>
          <w:rFonts w:ascii="Guttman Hodes" w:eastAsia="Guttman Hodes" w:hAnsi="Guttman Hodes" w:cs="Guttman Hodes"/>
          <w:b/>
          <w:bCs/>
          <w:sz w:val="20"/>
          <w:szCs w:val="20"/>
          <w:rtl/>
        </w:rPr>
        <w:t>במסכת חולין</w:t>
      </w:r>
      <w:r w:rsidRPr="00126B3E">
        <w:rPr>
          <w:rFonts w:ascii="Guttman Hodes" w:eastAsia="Guttman Hodes" w:hAnsi="Guttman Hodes" w:cs="Guttman Hodes" w:hint="cs"/>
          <w:b/>
          <w:bCs/>
          <w:sz w:val="20"/>
          <w:szCs w:val="20"/>
          <w:rtl/>
        </w:rPr>
        <w:t>.</w:t>
      </w:r>
      <w:r w:rsidRPr="00126B3E">
        <w:rPr>
          <w:rFonts w:ascii="Guttman Hodes" w:eastAsia="Guttman Hodes" w:hAnsi="Guttman Hodes" w:cs="Guttman Hodes"/>
          <w:b/>
          <w:bCs/>
          <w:sz w:val="20"/>
          <w:szCs w:val="20"/>
          <w:rtl/>
        </w:rPr>
        <w:t xml:space="preserve">/ על תערובות </w:t>
      </w:r>
      <w:r w:rsidRPr="00126B3E">
        <w:rPr>
          <w:rFonts w:ascii="Guttman Hodes" w:eastAsia="Guttman Hodes" w:hAnsi="Guttman Hodes" w:cs="Guttman Hodes" w:hint="cs"/>
          <w:b/>
          <w:bCs/>
          <w:sz w:val="20"/>
          <w:szCs w:val="20"/>
          <w:rtl/>
        </w:rPr>
        <w:t xml:space="preserve">ובשר בחלב </w:t>
      </w:r>
      <w:r w:rsidRPr="00126B3E">
        <w:rPr>
          <w:rFonts w:ascii="Guttman Hodes" w:eastAsia="Guttman Hodes" w:hAnsi="Guttman Hodes" w:cs="Guttman Hodes"/>
          <w:b/>
          <w:bCs/>
          <w:sz w:val="20"/>
          <w:szCs w:val="20"/>
          <w:rtl/>
        </w:rPr>
        <w:t>במסכתות חולין וע"ז</w:t>
      </w:r>
      <w:r w:rsidRPr="00126B3E">
        <w:rPr>
          <w:rFonts w:ascii="Guttman Hodes" w:eastAsia="Guttman Hodes" w:hAnsi="Guttman Hodes" w:cs="Guttman Hodes" w:hint="cs"/>
          <w:b/>
          <w:bCs/>
          <w:sz w:val="20"/>
          <w:szCs w:val="20"/>
          <w:rtl/>
        </w:rPr>
        <w:t>.</w:t>
      </w:r>
      <w:r w:rsidRPr="00126B3E">
        <w:rPr>
          <w:rFonts w:ascii="Guttman Hodes" w:eastAsia="Guttman Hodes" w:hAnsi="Guttman Hodes" w:cs="Guttman Hodes"/>
          <w:b/>
          <w:bCs/>
          <w:sz w:val="20"/>
          <w:szCs w:val="20"/>
          <w:rtl/>
        </w:rPr>
        <w:t xml:space="preserve"> </w:t>
      </w:r>
      <w:r w:rsidRPr="00126B3E">
        <w:rPr>
          <w:rFonts w:ascii="Guttman Hodes" w:eastAsia="Guttman Hodes" w:hAnsi="Guttman Hodes" w:cs="Guttman Hodes"/>
          <w:sz w:val="16"/>
          <w:szCs w:val="16"/>
          <w:rtl/>
        </w:rPr>
        <w:tab/>
      </w:r>
    </w:p>
    <w:p w14:paraId="2356F665" w14:textId="77777777" w:rsidR="00387957" w:rsidRDefault="00387957" w:rsidP="00387957">
      <w:pPr>
        <w:spacing w:line="240" w:lineRule="auto"/>
        <w:rPr>
          <w:rFonts w:ascii="Guttman Hodes" w:eastAsia="Guttman Hodes" w:hAnsi="Guttman Hodes" w:cs="Guttman Hodes"/>
          <w:sz w:val="16"/>
          <w:szCs w:val="16"/>
          <w:rtl/>
        </w:rPr>
        <w:sectPr w:rsidR="00387957" w:rsidSect="00D47DAF">
          <w:type w:val="continuous"/>
          <w:pgSz w:w="11906" w:h="16838"/>
          <w:pgMar w:top="720" w:right="720" w:bottom="720" w:left="720" w:header="708" w:footer="708" w:gutter="0"/>
          <w:cols w:space="113"/>
          <w:bidi/>
          <w:rtlGutter/>
          <w:docGrid w:linePitch="299"/>
        </w:sectPr>
      </w:pPr>
    </w:p>
    <w:p w14:paraId="20A8A2CB" w14:textId="1EA4622C" w:rsidR="00387957" w:rsidRPr="001C1412" w:rsidRDefault="00387957" w:rsidP="00387957">
      <w:pPr>
        <w:spacing w:line="240" w:lineRule="auto"/>
        <w:rPr>
          <w:rFonts w:ascii="Guttman Hodes" w:eastAsia="Guttman Hodes" w:hAnsi="Guttman Hodes" w:cs="Guttman Hodes" w:hint="cs"/>
          <w:sz w:val="16"/>
          <w:szCs w:val="16"/>
          <w:rtl/>
        </w:rPr>
      </w:pPr>
    </w:p>
    <w:p w14:paraId="007A0524" w14:textId="77777777" w:rsidR="00387957" w:rsidRPr="001C1412" w:rsidRDefault="00387957" w:rsidP="00387957">
      <w:pPr>
        <w:spacing w:line="240" w:lineRule="auto"/>
        <w:jc w:val="center"/>
        <w:outlineLvl w:val="1"/>
        <w:rPr>
          <w:rFonts w:ascii="Guttman Hodes" w:eastAsia="Guttman Hodes" w:hAnsi="Guttman Hodes" w:cs="Guttman Hodes"/>
          <w:b/>
          <w:bCs/>
          <w:noProof/>
          <w:sz w:val="20"/>
          <w:szCs w:val="20"/>
          <w:rtl/>
        </w:rPr>
      </w:pPr>
      <w:r w:rsidRPr="001C1412">
        <w:rPr>
          <w:rFonts w:ascii="Guttman Hodes" w:eastAsia="Guttman Hodes" w:hAnsi="Guttman Hodes" w:cs="Guttman Hodes" w:hint="cs"/>
          <w:b/>
          <w:bCs/>
          <w:noProof/>
          <w:sz w:val="20"/>
          <w:szCs w:val="20"/>
          <w:rtl/>
        </w:rPr>
        <w:t>ניתן לקבל קובץ ממוחשב של הספרים במייל:</w:t>
      </w:r>
    </w:p>
    <w:p w14:paraId="6423DCD0" w14:textId="77777777" w:rsidR="00387957" w:rsidRPr="001C1412" w:rsidRDefault="00387957" w:rsidP="00387957">
      <w:pPr>
        <w:bidi w:val="0"/>
        <w:spacing w:line="240" w:lineRule="auto"/>
        <w:jc w:val="center"/>
        <w:rPr>
          <w:rFonts w:cs="Arial"/>
          <w:b/>
          <w:bCs/>
        </w:rPr>
      </w:pPr>
      <w:r w:rsidRPr="001C1412">
        <w:rPr>
          <w:rFonts w:cs="Cambria"/>
          <w:b/>
          <w:bCs/>
        </w:rPr>
        <w:t>A0</w:t>
      </w:r>
      <w:r w:rsidRPr="001C1412">
        <w:rPr>
          <w:rFonts w:cs="Cambria" w:hint="cs"/>
          <w:b/>
          <w:bCs/>
          <w:rtl/>
        </w:rPr>
        <w:t>527676412</w:t>
      </w:r>
      <w:r w:rsidRPr="001C1412">
        <w:rPr>
          <w:rFonts w:cs="Cambria"/>
          <w:b/>
          <w:bCs/>
        </w:rPr>
        <w:t>@GMAIL</w:t>
      </w:r>
      <w:r w:rsidRPr="001C1412">
        <w:rPr>
          <w:rFonts w:cs="Arial" w:hint="cs"/>
          <w:b/>
          <w:bCs/>
          <w:rtl/>
        </w:rPr>
        <w:t>.</w:t>
      </w:r>
      <w:r w:rsidRPr="001C1412">
        <w:rPr>
          <w:rFonts w:cs="Arial"/>
          <w:b/>
          <w:bCs/>
        </w:rPr>
        <w:t>COM</w:t>
      </w:r>
    </w:p>
    <w:p w14:paraId="17AA4FD1" w14:textId="77777777" w:rsidR="00387957" w:rsidRDefault="00387957" w:rsidP="00387957">
      <w:pPr>
        <w:tabs>
          <w:tab w:val="center" w:pos="4153"/>
          <w:tab w:val="right" w:pos="8306"/>
        </w:tabs>
        <w:spacing w:line="240" w:lineRule="auto"/>
        <w:jc w:val="center"/>
        <w:rPr>
          <w:rFonts w:ascii="Calibri" w:eastAsia="Calibri" w:hAnsi="Calibri" w:cs="Guttman Hodes"/>
          <w:b/>
          <w:bCs/>
          <w:sz w:val="28"/>
          <w:szCs w:val="28"/>
          <w:rtl/>
        </w:rPr>
      </w:pPr>
    </w:p>
    <w:p w14:paraId="4EDB143E" w14:textId="5A37544F" w:rsidR="00387957" w:rsidRDefault="00387957" w:rsidP="00387957">
      <w:pPr>
        <w:tabs>
          <w:tab w:val="center" w:pos="4153"/>
          <w:tab w:val="right" w:pos="8306"/>
        </w:tabs>
        <w:spacing w:line="240" w:lineRule="auto"/>
        <w:jc w:val="center"/>
        <w:rPr>
          <w:rFonts w:ascii="Calibri" w:eastAsia="Calibri" w:hAnsi="Calibri" w:cs="Guttman Hodes"/>
          <w:b/>
          <w:bCs/>
          <w:sz w:val="28"/>
          <w:szCs w:val="28"/>
          <w:rtl/>
        </w:rPr>
        <w:sectPr w:rsidR="00387957" w:rsidSect="00387957">
          <w:type w:val="continuous"/>
          <w:pgSz w:w="11906" w:h="16838"/>
          <w:pgMar w:top="720" w:right="720" w:bottom="720" w:left="720" w:header="708" w:footer="708" w:gutter="0"/>
          <w:cols w:space="113"/>
          <w:bidi/>
          <w:rtlGutter/>
          <w:docGrid w:linePitch="299"/>
        </w:sectPr>
      </w:pPr>
    </w:p>
    <w:p w14:paraId="3734B75E" w14:textId="4BE60108" w:rsidR="00E6768B" w:rsidRDefault="00E6768B" w:rsidP="0097531E">
      <w:pPr>
        <w:tabs>
          <w:tab w:val="center" w:pos="4153"/>
          <w:tab w:val="right" w:pos="8306"/>
        </w:tabs>
        <w:spacing w:line="240" w:lineRule="auto"/>
        <w:jc w:val="center"/>
        <w:rPr>
          <w:rFonts w:ascii="Calibri" w:eastAsia="Calibri" w:hAnsi="Calibri" w:cs="Guttman Hodes"/>
          <w:b/>
          <w:bCs/>
          <w:sz w:val="28"/>
          <w:szCs w:val="28"/>
          <w:rtl/>
        </w:rPr>
      </w:pPr>
    </w:p>
    <w:p w14:paraId="470F3CF6" w14:textId="77777777" w:rsidR="007D6600" w:rsidRPr="009D697C" w:rsidRDefault="007D6600" w:rsidP="007D6600">
      <w:pPr>
        <w:spacing w:line="240" w:lineRule="auto"/>
        <w:jc w:val="center"/>
        <w:rPr>
          <w:rFonts w:ascii="Guttman Hodes" w:eastAsia="Guttman Hodes" w:hAnsi="Guttman Hodes" w:cs="Guttman Hodes"/>
          <w:b/>
          <w:bCs/>
          <w:sz w:val="20"/>
          <w:szCs w:val="20"/>
          <w:rtl/>
        </w:rPr>
      </w:pPr>
      <w:r w:rsidRPr="009D697C">
        <w:rPr>
          <w:rFonts w:ascii="Guttman Hodes" w:eastAsia="Guttman Hodes" w:hAnsi="Guttman Hodes" w:cs="Guttman Hodes" w:hint="cs"/>
          <w:b/>
          <w:bCs/>
          <w:sz w:val="20"/>
          <w:szCs w:val="20"/>
          <w:rtl/>
        </w:rPr>
        <w:t>אל המעיין:</w:t>
      </w:r>
    </w:p>
    <w:p w14:paraId="2EA28096" w14:textId="77777777" w:rsidR="007D6600" w:rsidRDefault="007D6600" w:rsidP="007D6600">
      <w:pPr>
        <w:spacing w:before="240" w:line="240" w:lineRule="auto"/>
        <w:jc w:val="both"/>
        <w:rPr>
          <w:rFonts w:ascii="Guttman Hodes" w:eastAsia="Guttman Hodes" w:hAnsi="Guttman Hodes" w:cs="Guttman Hodes"/>
          <w:sz w:val="20"/>
          <w:szCs w:val="20"/>
          <w:rtl/>
        </w:rPr>
      </w:pPr>
      <w:r>
        <w:rPr>
          <w:rFonts w:ascii="Guttman Hodes" w:eastAsia="Guttman Hodes" w:hAnsi="Guttman Hodes" w:cs="Guttman Hodes" w:hint="cs"/>
          <w:sz w:val="20"/>
          <w:szCs w:val="20"/>
          <w:rtl/>
        </w:rPr>
        <w:t xml:space="preserve">מראי המקומות </w:t>
      </w:r>
      <w:r w:rsidRPr="00444882">
        <w:rPr>
          <w:rFonts w:ascii="Guttman Hodes" w:eastAsia="Guttman Hodes" w:hAnsi="Guttman Hodes" w:cs="Guttman Hodes" w:hint="cs"/>
          <w:b/>
          <w:bCs/>
          <w:sz w:val="20"/>
          <w:szCs w:val="20"/>
          <w:rtl/>
        </w:rPr>
        <w:t>"משנתם סדורה"</w:t>
      </w:r>
      <w:r>
        <w:rPr>
          <w:rFonts w:ascii="Guttman Hodes" w:eastAsia="Guttman Hodes" w:hAnsi="Guttman Hodes" w:cs="Guttman Hodes" w:hint="cs"/>
          <w:sz w:val="20"/>
          <w:szCs w:val="20"/>
          <w:rtl/>
        </w:rPr>
        <w:t xml:space="preserve"> נדפסו בעמוד הימני, ולשונות הראשונים והאחרונים </w:t>
      </w:r>
      <w:r w:rsidRPr="00444882">
        <w:rPr>
          <w:rFonts w:ascii="Guttman Hodes" w:eastAsia="Guttman Hodes" w:hAnsi="Guttman Hodes" w:cs="Guttman Hodes" w:hint="cs"/>
          <w:b/>
          <w:bCs/>
          <w:sz w:val="20"/>
          <w:szCs w:val="20"/>
          <w:rtl/>
        </w:rPr>
        <w:t>"משנתם בלשונם"</w:t>
      </w:r>
      <w:r>
        <w:rPr>
          <w:rFonts w:ascii="Guttman Hodes" w:eastAsia="Guttman Hodes" w:hAnsi="Guttman Hodes" w:cs="Guttman Hodes" w:hint="cs"/>
          <w:sz w:val="20"/>
          <w:szCs w:val="20"/>
          <w:rtl/>
        </w:rPr>
        <w:t xml:space="preserve"> נדפסו בעמוד השמאלי.</w:t>
      </w:r>
    </w:p>
    <w:p w14:paraId="2B2BD575" w14:textId="77777777" w:rsidR="007D6600" w:rsidRDefault="007D6600" w:rsidP="007D6600">
      <w:pPr>
        <w:spacing w:before="240" w:line="240" w:lineRule="auto"/>
        <w:jc w:val="both"/>
        <w:rPr>
          <w:rFonts w:ascii="Guttman Hodes" w:eastAsia="Guttman Hodes" w:hAnsi="Guttman Hodes" w:cs="Guttman Hodes"/>
          <w:sz w:val="20"/>
          <w:szCs w:val="20"/>
          <w:rtl/>
        </w:rPr>
      </w:pPr>
      <w:r>
        <w:rPr>
          <w:rFonts w:ascii="Guttman Hodes" w:eastAsia="Guttman Hodes" w:hAnsi="Guttman Hodes" w:cs="Guttman Hodes" w:hint="cs"/>
          <w:sz w:val="20"/>
          <w:szCs w:val="20"/>
          <w:rtl/>
        </w:rPr>
        <w:t>מספרי האותיות וכן הכותרות של משנתם סדורה, מקבילים למשנתם בלשונם, כדי שיוכל הלומד לעיין בשניהם בשווה.</w:t>
      </w:r>
    </w:p>
    <w:p w14:paraId="4BA8B09C" w14:textId="77777777" w:rsidR="007D6600" w:rsidRPr="001C1412" w:rsidRDefault="007D6600" w:rsidP="007D6600">
      <w:pPr>
        <w:spacing w:before="240" w:line="240" w:lineRule="auto"/>
        <w:jc w:val="both"/>
        <w:rPr>
          <w:rFonts w:ascii="Guttman Hodes" w:eastAsia="Guttman Hodes" w:hAnsi="Guttman Hodes" w:cs="Guttman Hodes"/>
          <w:sz w:val="20"/>
          <w:szCs w:val="20"/>
          <w:rtl/>
        </w:rPr>
      </w:pPr>
      <w:r w:rsidRPr="001C1412">
        <w:rPr>
          <w:rFonts w:ascii="Guttman Hodes" w:eastAsia="Guttman Hodes" w:hAnsi="Guttman Hodes" w:cs="Guttman Hodes" w:hint="cs"/>
          <w:sz w:val="20"/>
          <w:szCs w:val="20"/>
          <w:rtl/>
        </w:rPr>
        <w:t xml:space="preserve">עיקר מטרת המראי מקומות בספר זה, היא להביא לפני הלומד את </w:t>
      </w:r>
      <w:r w:rsidRPr="001C1412">
        <w:rPr>
          <w:rFonts w:ascii="Guttman Hodes" w:eastAsia="Guttman Hodes" w:hAnsi="Guttman Hodes" w:cs="Guttman Hodes" w:hint="cs"/>
          <w:b/>
          <w:bCs/>
          <w:sz w:val="20"/>
          <w:szCs w:val="20"/>
          <w:rtl/>
        </w:rPr>
        <w:t>"משנתם"</w:t>
      </w:r>
      <w:r w:rsidRPr="001C1412">
        <w:rPr>
          <w:rFonts w:ascii="Guttman Hodes" w:eastAsia="Guttman Hodes" w:hAnsi="Guttman Hodes" w:cs="Guttman Hodes" w:hint="cs"/>
          <w:sz w:val="20"/>
          <w:szCs w:val="20"/>
          <w:rtl/>
        </w:rPr>
        <w:t xml:space="preserve"> של הראשונים, האחרונים, וראשי הישיבות, כשהיא </w:t>
      </w:r>
      <w:r w:rsidRPr="001C1412">
        <w:rPr>
          <w:rFonts w:ascii="Guttman Hodes" w:eastAsia="Guttman Hodes" w:hAnsi="Guttman Hodes" w:cs="Guttman Hodes" w:hint="cs"/>
          <w:b/>
          <w:bCs/>
          <w:sz w:val="20"/>
          <w:szCs w:val="20"/>
          <w:rtl/>
        </w:rPr>
        <w:t>"סדורה"</w:t>
      </w:r>
      <w:r w:rsidRPr="001C1412">
        <w:rPr>
          <w:rFonts w:ascii="Guttman Hodes" w:eastAsia="Guttman Hodes" w:hAnsi="Guttman Hodes" w:cs="Guttman Hodes" w:hint="cs"/>
          <w:sz w:val="20"/>
          <w:szCs w:val="20"/>
          <w:rtl/>
        </w:rPr>
        <w:t xml:space="preserve"> בלשון קלה ובהירה, ונעשתה השתדלות גדולה שיהיו הדברים ככתבם, בלא להוסיף ולפרשם יותר מן הנצרך להבנת הדברים</w:t>
      </w:r>
    </w:p>
    <w:p w14:paraId="218C38F9" w14:textId="77777777" w:rsidR="007D6600" w:rsidRPr="001C1412" w:rsidRDefault="007D6600" w:rsidP="007D6600">
      <w:pPr>
        <w:spacing w:before="240" w:line="240" w:lineRule="auto"/>
        <w:jc w:val="both"/>
        <w:rPr>
          <w:rFonts w:ascii="Guttman Hodes" w:eastAsia="Guttman Hodes" w:hAnsi="Guttman Hodes" w:cs="Guttman Hodes"/>
          <w:sz w:val="20"/>
          <w:szCs w:val="20"/>
          <w:rtl/>
        </w:rPr>
      </w:pPr>
      <w:r w:rsidRPr="001C1412">
        <w:rPr>
          <w:rFonts w:ascii="Guttman Hodes" w:eastAsia="Guttman Hodes" w:hAnsi="Guttman Hodes" w:cs="Guttman Hodes" w:hint="cs"/>
          <w:sz w:val="20"/>
          <w:szCs w:val="20"/>
          <w:rtl/>
        </w:rPr>
        <w:t>אך כיון שודאי יש מקומות בהם ניתן לבאר את כוונת הראשונים והאחרונים, באופן שונה ממה שכתבתי, לכן בקשתי שטוחה מכל לומד, שבכל מקום שימצא טעות בביאור דבריהם, או שאפשר לפרשם באופן שונה</w:t>
      </w:r>
      <w:r w:rsidRPr="001C1412">
        <w:rPr>
          <w:rFonts w:ascii="Guttman Hodes" w:eastAsia="Guttman Hodes" w:hAnsi="Guttman Hodes" w:cs="Guttman Hodes"/>
          <w:sz w:val="20"/>
          <w:szCs w:val="20"/>
          <w:rtl/>
        </w:rPr>
        <w:t xml:space="preserve">, </w:t>
      </w:r>
      <w:r>
        <w:rPr>
          <w:rFonts w:ascii="Guttman Hodes" w:eastAsia="Guttman Hodes" w:hAnsi="Guttman Hodes" w:cs="Guttman Hodes" w:hint="cs"/>
          <w:sz w:val="20"/>
          <w:szCs w:val="20"/>
          <w:rtl/>
        </w:rPr>
        <w:t xml:space="preserve">וכן כל טעות אחרת, </w:t>
      </w:r>
      <w:r w:rsidRPr="001C1412">
        <w:rPr>
          <w:rFonts w:ascii="Guttman Hodes" w:eastAsia="Guttman Hodes" w:hAnsi="Guttman Hodes" w:cs="Guttman Hodes"/>
          <w:sz w:val="20"/>
          <w:szCs w:val="20"/>
          <w:rtl/>
        </w:rPr>
        <w:t xml:space="preserve">אם יוכל להעירני ולהעמידני על </w:t>
      </w:r>
      <w:r w:rsidRPr="001C1412">
        <w:rPr>
          <w:rFonts w:ascii="Guttman Hodes" w:eastAsia="Guttman Hodes" w:hAnsi="Guttman Hodes" w:cs="Guttman Hodes" w:hint="cs"/>
          <w:sz w:val="20"/>
          <w:szCs w:val="20"/>
          <w:rtl/>
        </w:rPr>
        <w:t>כך</w:t>
      </w:r>
      <w:r w:rsidRPr="001C1412">
        <w:rPr>
          <w:rFonts w:ascii="Guttman Hodes" w:eastAsia="Guttman Hodes" w:hAnsi="Guttman Hodes" w:cs="Guttman Hodes"/>
          <w:sz w:val="20"/>
          <w:szCs w:val="20"/>
          <w:rtl/>
        </w:rPr>
        <w:t>, אודה לו מאוד</w:t>
      </w:r>
      <w:r w:rsidRPr="001C1412">
        <w:rPr>
          <w:rFonts w:ascii="Guttman Hodes" w:eastAsia="Guttman Hodes" w:hAnsi="Guttman Hodes" w:cs="Guttman Hodes" w:hint="cs"/>
          <w:sz w:val="20"/>
          <w:szCs w:val="20"/>
          <w:rtl/>
        </w:rPr>
        <w:t>.</w:t>
      </w:r>
    </w:p>
    <w:p w14:paraId="3F4542BA" w14:textId="77777777" w:rsidR="0097531E" w:rsidRDefault="0097531E" w:rsidP="0097531E">
      <w:pPr>
        <w:spacing w:line="240" w:lineRule="auto"/>
        <w:rPr>
          <w:rFonts w:ascii="Guttman Hodes" w:eastAsia="Guttman Hodes" w:hAnsi="Guttman Hodes" w:cs="Guttman Hodes"/>
          <w:noProof/>
          <w:sz w:val="20"/>
          <w:szCs w:val="20"/>
          <w:rtl/>
        </w:rPr>
        <w:sectPr w:rsidR="0097531E" w:rsidSect="00387957">
          <w:pgSz w:w="11906" w:h="16838"/>
          <w:pgMar w:top="720" w:right="720" w:bottom="720" w:left="720" w:header="708" w:footer="708" w:gutter="0"/>
          <w:cols w:space="113"/>
          <w:bidi/>
          <w:rtlGutter/>
          <w:docGrid w:linePitch="299"/>
        </w:sectPr>
      </w:pPr>
    </w:p>
    <w:p w14:paraId="05CF157B" w14:textId="5932EAFC" w:rsidR="00B03577" w:rsidRPr="001C1412" w:rsidRDefault="005E39CB" w:rsidP="00B03577">
      <w:pPr>
        <w:spacing w:line="240" w:lineRule="auto"/>
        <w:rPr>
          <w:rFonts w:ascii="Guttman Hodes" w:eastAsia="Guttman Hodes" w:hAnsi="Guttman Hodes" w:cs="Guttman Hodes"/>
          <w:noProof/>
          <w:sz w:val="20"/>
          <w:szCs w:val="20"/>
          <w:rtl/>
        </w:rPr>
        <w:sectPr w:rsidR="00B03577" w:rsidRPr="001C1412" w:rsidSect="007C1C79">
          <w:type w:val="continuous"/>
          <w:pgSz w:w="11906" w:h="16838"/>
          <w:pgMar w:top="1440" w:right="1800" w:bottom="1440" w:left="1800" w:header="708" w:footer="708" w:gutter="0"/>
          <w:cols w:space="113"/>
          <w:bidi/>
          <w:rtlGutter/>
        </w:sectPr>
      </w:pPr>
      <w:r w:rsidRPr="001C1412">
        <w:rPr>
          <w:noProof/>
          <w:rtl/>
        </w:rPr>
        <mc:AlternateContent>
          <mc:Choice Requires="wps">
            <w:drawing>
              <wp:anchor distT="45720" distB="45720" distL="114300" distR="114300" simplePos="0" relativeHeight="251668480" behindDoc="0" locked="0" layoutInCell="1" allowOverlap="1" wp14:anchorId="2B5CD52C" wp14:editId="17092F2F">
                <wp:simplePos x="0" y="0"/>
                <wp:positionH relativeFrom="margin">
                  <wp:posOffset>511810</wp:posOffset>
                </wp:positionH>
                <wp:positionV relativeFrom="paragraph">
                  <wp:posOffset>217805</wp:posOffset>
                </wp:positionV>
                <wp:extent cx="5504180" cy="3329305"/>
                <wp:effectExtent l="19050" t="19050" r="20320" b="23495"/>
                <wp:wrapSquare wrapText="bothSides"/>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504180" cy="3329305"/>
                        </a:xfrm>
                        <a:prstGeom prst="roundRect">
                          <a:avLst/>
                        </a:prstGeom>
                        <a:solidFill>
                          <a:srgbClr val="FFFFFF"/>
                        </a:solidFill>
                        <a:ln w="28575" cap="rnd" cmpd="thickThin">
                          <a:solidFill>
                            <a:sysClr val="windowText" lastClr="000000"/>
                          </a:solidFill>
                          <a:prstDash val="solid"/>
                          <a:round/>
                          <a:headEnd/>
                          <a:tailEnd/>
                        </a:ln>
                      </wps:spPr>
                      <wps:txbx>
                        <w:txbxContent>
                          <w:p w14:paraId="671D1FFB" w14:textId="77777777" w:rsidR="007D6600" w:rsidRPr="00E94D6C" w:rsidRDefault="007D6600" w:rsidP="007D6600">
                            <w:pPr>
                              <w:jc w:val="center"/>
                              <w:rPr>
                                <w:rFonts w:cs="Guttman Hodes"/>
                                <w:sz w:val="24"/>
                                <w:szCs w:val="24"/>
                                <w:rtl/>
                              </w:rPr>
                            </w:pPr>
                            <w:r w:rsidRPr="00E94D6C">
                              <w:rPr>
                                <w:rFonts w:cs="Guttman Hodes" w:hint="cs"/>
                                <w:sz w:val="24"/>
                                <w:szCs w:val="24"/>
                                <w:rtl/>
                              </w:rPr>
                              <w:t>לע"נ</w:t>
                            </w:r>
                          </w:p>
                          <w:p w14:paraId="6360DE70" w14:textId="77777777" w:rsidR="007D6600" w:rsidRPr="00807603" w:rsidRDefault="007D6600" w:rsidP="007D6600">
                            <w:pPr>
                              <w:jc w:val="center"/>
                              <w:rPr>
                                <w:rFonts w:cs="Guttman Hodes"/>
                                <w:b/>
                                <w:bCs/>
                                <w:sz w:val="44"/>
                                <w:szCs w:val="44"/>
                                <w:rtl/>
                              </w:rPr>
                            </w:pPr>
                            <w:r w:rsidRPr="00807603">
                              <w:rPr>
                                <w:rFonts w:cs="Guttman Hodes" w:hint="cs"/>
                                <w:b/>
                                <w:bCs/>
                                <w:sz w:val="44"/>
                                <w:szCs w:val="44"/>
                                <w:rtl/>
                              </w:rPr>
                              <w:t xml:space="preserve"> אמי מורתי</w:t>
                            </w:r>
                          </w:p>
                          <w:p w14:paraId="16424B01" w14:textId="77777777" w:rsidR="007D6600" w:rsidRDefault="007D6600" w:rsidP="007D6600">
                            <w:pPr>
                              <w:jc w:val="center"/>
                              <w:rPr>
                                <w:rFonts w:cs="Guttman Hodes"/>
                                <w:sz w:val="24"/>
                                <w:szCs w:val="24"/>
                                <w:rtl/>
                              </w:rPr>
                            </w:pPr>
                            <w:r w:rsidRPr="009A3AD9">
                              <w:rPr>
                                <w:rFonts w:cs="Guttman Hodes" w:hint="cs"/>
                                <w:b/>
                                <w:bCs/>
                                <w:sz w:val="44"/>
                                <w:szCs w:val="44"/>
                                <w:rtl/>
                              </w:rPr>
                              <w:t>מרת יונה לאה</w:t>
                            </w:r>
                            <w:r>
                              <w:rPr>
                                <w:rFonts w:cs="Guttman Hodes" w:hint="cs"/>
                                <w:rtl/>
                              </w:rPr>
                              <w:t xml:space="preserve"> </w:t>
                            </w:r>
                            <w:r w:rsidRPr="00807603">
                              <w:rPr>
                                <w:rFonts w:cs="Guttman Hodes" w:hint="cs"/>
                                <w:b/>
                                <w:bCs/>
                                <w:sz w:val="44"/>
                                <w:szCs w:val="44"/>
                                <w:rtl/>
                              </w:rPr>
                              <w:t>ע"ה</w:t>
                            </w:r>
                          </w:p>
                          <w:p w14:paraId="08441073" w14:textId="77777777" w:rsidR="007D6600" w:rsidRPr="009A3AD9" w:rsidRDefault="007D6600" w:rsidP="007D6600">
                            <w:pPr>
                              <w:jc w:val="center"/>
                              <w:rPr>
                                <w:rFonts w:cs="Guttman Hodes"/>
                                <w:b/>
                                <w:bCs/>
                                <w:sz w:val="44"/>
                                <w:szCs w:val="44"/>
                                <w:rtl/>
                              </w:rPr>
                            </w:pPr>
                            <w:r w:rsidRPr="00B849F1">
                              <w:rPr>
                                <w:rFonts w:cs="Guttman Hodes" w:hint="cs"/>
                                <w:b/>
                                <w:bCs/>
                                <w:sz w:val="44"/>
                                <w:szCs w:val="44"/>
                                <w:rtl/>
                              </w:rPr>
                              <w:t xml:space="preserve"> ב"ר יהודה</w:t>
                            </w:r>
                            <w:r>
                              <w:rPr>
                                <w:rFonts w:cs="Guttman Hodes" w:hint="cs"/>
                                <w:b/>
                                <w:bCs/>
                                <w:sz w:val="44"/>
                                <w:szCs w:val="44"/>
                                <w:rtl/>
                              </w:rPr>
                              <w:t xml:space="preserve"> זצ"ל</w:t>
                            </w:r>
                          </w:p>
                          <w:p w14:paraId="3637D043" w14:textId="77777777" w:rsidR="007D6600" w:rsidRPr="005723BD" w:rsidRDefault="007D6600" w:rsidP="007D6600">
                            <w:pPr>
                              <w:jc w:val="center"/>
                              <w:rPr>
                                <w:rFonts w:cs="Guttman Hodes"/>
                                <w:rtl/>
                                <w:cs/>
                              </w:rPr>
                            </w:pPr>
                            <w:r w:rsidRPr="005723BD">
                              <w:rPr>
                                <w:rFonts w:cs="Guttman Hodes" w:hint="cs"/>
                                <w:rtl/>
                              </w:rPr>
                              <w:t>עסקה במסירות בחסד ובטהרה, האירה</w:t>
                            </w:r>
                            <w:r w:rsidRPr="005723BD">
                              <w:rPr>
                                <w:rFonts w:cs="Guttman Hodes" w:hint="cs"/>
                                <w:rtl/>
                                <w:cs/>
                              </w:rPr>
                              <w:t xml:space="preserve"> פניה לכל נצרך.</w:t>
                            </w:r>
                          </w:p>
                          <w:p w14:paraId="4EBB9917" w14:textId="77777777" w:rsidR="007D6600" w:rsidRPr="005723BD" w:rsidRDefault="007D6600" w:rsidP="007D6600">
                            <w:pPr>
                              <w:jc w:val="center"/>
                              <w:rPr>
                                <w:rFonts w:cs="Guttman Hodes"/>
                                <w:rtl/>
                                <w:cs/>
                              </w:rPr>
                            </w:pPr>
                            <w:r w:rsidRPr="005723BD">
                              <w:rPr>
                                <w:rFonts w:cs="Guttman Hodes" w:hint="cs"/>
                                <w:rtl/>
                                <w:cs/>
                              </w:rPr>
                              <w:t>אהבת התורה שפיעמה בקרבה, ושמחתה השלימה בגומרה של תורה,</w:t>
                            </w:r>
                          </w:p>
                          <w:p w14:paraId="0DECDDE7" w14:textId="77777777" w:rsidR="007D6600" w:rsidRPr="005723BD" w:rsidRDefault="007D6600" w:rsidP="007D6600">
                            <w:pPr>
                              <w:jc w:val="center"/>
                              <w:rPr>
                                <w:rFonts w:cs="Guttman Hodes"/>
                                <w:rtl/>
                                <w:cs/>
                              </w:rPr>
                            </w:pPr>
                            <w:r w:rsidRPr="005723BD">
                              <w:rPr>
                                <w:rFonts w:cs="Guttman Hodes" w:hint="cs"/>
                                <w:rtl/>
                                <w:cs/>
                              </w:rPr>
                              <w:t>הם שנתנו לי את הכוח למלאכה גדולה זו.</w:t>
                            </w:r>
                          </w:p>
                          <w:p w14:paraId="53099287" w14:textId="77777777" w:rsidR="007D6600" w:rsidRPr="003F2095" w:rsidRDefault="007D6600" w:rsidP="007D6600">
                            <w:pPr>
                              <w:jc w:val="center"/>
                              <w:rPr>
                                <w:rFonts w:cs="Guttman Hodes"/>
                                <w:sz w:val="10"/>
                                <w:szCs w:val="10"/>
                                <w:rtl/>
                                <w:cs/>
                              </w:rPr>
                            </w:pPr>
                          </w:p>
                          <w:p w14:paraId="314713F2" w14:textId="77777777" w:rsidR="007D6600" w:rsidRDefault="007D6600" w:rsidP="007D6600">
                            <w:pPr>
                              <w:jc w:val="center"/>
                              <w:rPr>
                                <w:rFonts w:cs="Guttman Hodes"/>
                                <w:rtl/>
                                <w:cs/>
                              </w:rPr>
                            </w:pPr>
                            <w:r w:rsidRPr="005723BD">
                              <w:rPr>
                                <w:rFonts w:cs="Guttman Hodes" w:hint="cs"/>
                                <w:rtl/>
                                <w:cs/>
                              </w:rPr>
                              <w:t>נלב</w:t>
                            </w:r>
                            <w:r w:rsidRPr="005723BD">
                              <w:rPr>
                                <w:rFonts w:cs="Guttman Hodes" w:hint="cs"/>
                                <w:rtl/>
                              </w:rPr>
                              <w:t>"</w:t>
                            </w:r>
                            <w:r w:rsidRPr="005723BD">
                              <w:rPr>
                                <w:rFonts w:cs="Guttman Hodes" w:hint="cs"/>
                                <w:rtl/>
                                <w:cs/>
                              </w:rPr>
                              <w:t>ע</w:t>
                            </w:r>
                            <w:r w:rsidRPr="00973871">
                              <w:rPr>
                                <w:rFonts w:cs="Guttman Hodes" w:hint="cs"/>
                                <w:rtl/>
                                <w:cs/>
                              </w:rPr>
                              <w:t xml:space="preserve"> </w:t>
                            </w:r>
                            <w:r>
                              <w:rPr>
                                <w:rFonts w:cs="Guttman Hodes" w:hint="cs"/>
                                <w:rtl/>
                                <w:cs/>
                              </w:rPr>
                              <w:t>ביום חג מתן תורה,</w:t>
                            </w:r>
                          </w:p>
                          <w:p w14:paraId="0ED4E8A9" w14:textId="77777777" w:rsidR="007D6600" w:rsidRDefault="007D6600" w:rsidP="007D6600">
                            <w:pPr>
                              <w:jc w:val="center"/>
                              <w:rPr>
                                <w:rFonts w:cs="Guttman Hodes"/>
                                <w:rtl/>
                                <w:cs/>
                              </w:rPr>
                            </w:pPr>
                            <w:r>
                              <w:rPr>
                                <w:rFonts w:cs="Guttman Hodes" w:hint="cs"/>
                                <w:rtl/>
                                <w:cs/>
                              </w:rPr>
                              <w:t>עם דמדומי חמה של כניסת שבת קודש, התשס</w:t>
                            </w:r>
                            <w:r>
                              <w:rPr>
                                <w:rFonts w:cs="Guttman Hodes" w:hint="cs"/>
                                <w:rtl/>
                              </w:rPr>
                              <w:t>"</w:t>
                            </w:r>
                            <w:r>
                              <w:rPr>
                                <w:rFonts w:cs="Guttman Hodes" w:hint="cs"/>
                                <w:rtl/>
                                <w:cs/>
                              </w:rPr>
                              <w:t>ב</w:t>
                            </w:r>
                          </w:p>
                          <w:p w14:paraId="18EE4249" w14:textId="77777777" w:rsidR="007D6600" w:rsidRDefault="007D6600" w:rsidP="007D6600">
                            <w:pPr>
                              <w:jc w:val="center"/>
                              <w:rPr>
                                <w:rFonts w:cs="Guttman Hodes"/>
                                <w:rtl/>
                                <w:cs/>
                              </w:rPr>
                            </w:pPr>
                            <w:r>
                              <w:rPr>
                                <w:rFonts w:cs="Guttman Hodes" w:hint="cs"/>
                                <w:rtl/>
                                <w:cs/>
                              </w:rPr>
                              <w:t>ת.נ.צ.ב.ה.</w:t>
                            </w:r>
                            <w:r w:rsidRPr="005723BD">
                              <w:rPr>
                                <w:rFonts w:cs="Guttman Hodes" w:hint="cs"/>
                                <w:rtl/>
                                <w:cs/>
                              </w:rPr>
                              <w:t xml:space="preserve"> </w:t>
                            </w:r>
                          </w:p>
                          <w:p w14:paraId="0771A86A" w14:textId="77777777" w:rsidR="007D6600" w:rsidRDefault="007D6600" w:rsidP="007D6600">
                            <w:pPr>
                              <w:jc w:val="center"/>
                              <w:rPr>
                                <w:rFonts w:cs="Guttman Hodes"/>
                                <w:rtl/>
                                <w:cs/>
                              </w:rPr>
                            </w:pPr>
                          </w:p>
                          <w:p w14:paraId="2E569F55" w14:textId="77777777" w:rsidR="007D6600" w:rsidRDefault="007D6600" w:rsidP="007D6600">
                            <w:pPr>
                              <w:jc w:val="center"/>
                              <w:rPr>
                                <w:rFonts w:cs="Guttman Hodes"/>
                                <w:rtl/>
                                <w:cs/>
                              </w:rPr>
                            </w:pPr>
                          </w:p>
                          <w:p w14:paraId="4C2B5BE4" w14:textId="77777777" w:rsidR="007D6600" w:rsidRPr="005723BD" w:rsidRDefault="007D6600" w:rsidP="007D6600">
                            <w:pPr>
                              <w:jc w:val="center"/>
                              <w:rPr>
                                <w:rFonts w:cs="Guttman Hodes"/>
                                <w:rtl/>
                                <w:cs/>
                              </w:rP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2B5CD52C" id="תיבת טקסט 2" o:spid="_x0000_s1027" style="position:absolute;left:0;text-align:left;margin-left:40.3pt;margin-top:17.15pt;width:433.4pt;height:262.15pt;flip:x;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" strokecolor="windowText" strokeweight="2.25pt">
                <v:stroke linestyle="thickThin" endcap="round"/>
                <v:textbox>
                  <w:txbxContent>
                    <w:p w14:paraId="671D1FFB" w14:textId="77777777" w:rsidR="007D6600" w:rsidRPr="00E94D6C" w:rsidRDefault="007D6600" w:rsidP="007D6600">
                      <w:pPr>
                        <w:jc w:val="center"/>
                        <w:rPr>
                          <w:rFonts w:cs="Guttman Hodes"/>
                          <w:sz w:val="24"/>
                          <w:szCs w:val="24"/>
                          <w:rtl/>
                        </w:rPr>
                      </w:pPr>
                      <w:r w:rsidRPr="00E94D6C">
                        <w:rPr>
                          <w:rFonts w:cs="Guttman Hodes" w:hint="cs"/>
                          <w:sz w:val="24"/>
                          <w:szCs w:val="24"/>
                          <w:rtl/>
                        </w:rPr>
                        <w:t>לע"נ</w:t>
                      </w:r>
                    </w:p>
                    <w:p w14:paraId="6360DE70" w14:textId="77777777" w:rsidR="007D6600" w:rsidRPr="00807603" w:rsidRDefault="007D6600" w:rsidP="007D6600">
                      <w:pPr>
                        <w:jc w:val="center"/>
                        <w:rPr>
                          <w:rFonts w:cs="Guttman Hodes"/>
                          <w:b/>
                          <w:bCs/>
                          <w:sz w:val="44"/>
                          <w:szCs w:val="44"/>
                          <w:rtl/>
                        </w:rPr>
                      </w:pPr>
                      <w:r w:rsidRPr="00807603">
                        <w:rPr>
                          <w:rFonts w:cs="Guttman Hodes" w:hint="cs"/>
                          <w:b/>
                          <w:bCs/>
                          <w:sz w:val="44"/>
                          <w:szCs w:val="44"/>
                          <w:rtl/>
                        </w:rPr>
                        <w:t xml:space="preserve"> אמי מורתי</w:t>
                      </w:r>
                    </w:p>
                    <w:p w14:paraId="16424B01" w14:textId="77777777" w:rsidR="007D6600" w:rsidRDefault="007D6600" w:rsidP="007D6600">
                      <w:pPr>
                        <w:jc w:val="center"/>
                        <w:rPr>
                          <w:rFonts w:cs="Guttman Hodes"/>
                          <w:sz w:val="24"/>
                          <w:szCs w:val="24"/>
                          <w:rtl/>
                        </w:rPr>
                      </w:pPr>
                      <w:r w:rsidRPr="009A3AD9">
                        <w:rPr>
                          <w:rFonts w:cs="Guttman Hodes" w:hint="cs"/>
                          <w:b/>
                          <w:bCs/>
                          <w:sz w:val="44"/>
                          <w:szCs w:val="44"/>
                          <w:rtl/>
                        </w:rPr>
                        <w:t>מרת יונה לאה</w:t>
                      </w:r>
                      <w:r>
                        <w:rPr>
                          <w:rFonts w:cs="Guttman Hodes" w:hint="cs"/>
                          <w:rtl/>
                        </w:rPr>
                        <w:t xml:space="preserve"> </w:t>
                      </w:r>
                      <w:r w:rsidRPr="00807603">
                        <w:rPr>
                          <w:rFonts w:cs="Guttman Hodes" w:hint="cs"/>
                          <w:b/>
                          <w:bCs/>
                          <w:sz w:val="44"/>
                          <w:szCs w:val="44"/>
                          <w:rtl/>
                        </w:rPr>
                        <w:t>ע"ה</w:t>
                      </w:r>
                    </w:p>
                    <w:p w14:paraId="08441073" w14:textId="77777777" w:rsidR="007D6600" w:rsidRPr="009A3AD9" w:rsidRDefault="007D6600" w:rsidP="007D6600">
                      <w:pPr>
                        <w:jc w:val="center"/>
                        <w:rPr>
                          <w:rFonts w:cs="Guttman Hodes"/>
                          <w:b/>
                          <w:bCs/>
                          <w:sz w:val="44"/>
                          <w:szCs w:val="44"/>
                          <w:rtl/>
                        </w:rPr>
                      </w:pPr>
                      <w:r w:rsidRPr="00B849F1">
                        <w:rPr>
                          <w:rFonts w:cs="Guttman Hodes" w:hint="cs"/>
                          <w:b/>
                          <w:bCs/>
                          <w:sz w:val="44"/>
                          <w:szCs w:val="44"/>
                          <w:rtl/>
                        </w:rPr>
                        <w:t xml:space="preserve"> ב"ר יהודה</w:t>
                      </w:r>
                      <w:r>
                        <w:rPr>
                          <w:rFonts w:cs="Guttman Hodes" w:hint="cs"/>
                          <w:b/>
                          <w:bCs/>
                          <w:sz w:val="44"/>
                          <w:szCs w:val="44"/>
                          <w:rtl/>
                        </w:rPr>
                        <w:t xml:space="preserve"> זצ"ל</w:t>
                      </w:r>
                    </w:p>
                    <w:p w14:paraId="3637D043" w14:textId="77777777" w:rsidR="007D6600" w:rsidRPr="005723BD" w:rsidRDefault="007D6600" w:rsidP="007D6600">
                      <w:pPr>
                        <w:jc w:val="center"/>
                        <w:rPr>
                          <w:rFonts w:cs="Guttman Hodes"/>
                          <w:rtl/>
                          <w:cs/>
                        </w:rPr>
                      </w:pPr>
                      <w:r w:rsidRPr="005723BD">
                        <w:rPr>
                          <w:rFonts w:cs="Guttman Hodes" w:hint="cs"/>
                          <w:rtl/>
                        </w:rPr>
                        <w:t>עסקה במסירות בחסד ובטהרה, האירה</w:t>
                      </w:r>
                      <w:r w:rsidRPr="005723BD">
                        <w:rPr>
                          <w:rFonts w:cs="Guttman Hodes" w:hint="cs"/>
                          <w:rtl/>
                          <w:cs/>
                        </w:rPr>
                        <w:t xml:space="preserve"> פניה לכל נצרך.</w:t>
                      </w:r>
                    </w:p>
                    <w:p w14:paraId="4EBB9917" w14:textId="77777777" w:rsidR="007D6600" w:rsidRPr="005723BD" w:rsidRDefault="007D6600" w:rsidP="007D6600">
                      <w:pPr>
                        <w:jc w:val="center"/>
                        <w:rPr>
                          <w:rFonts w:cs="Guttman Hodes"/>
                          <w:rtl/>
                          <w:cs/>
                        </w:rPr>
                      </w:pPr>
                      <w:r w:rsidRPr="005723BD">
                        <w:rPr>
                          <w:rFonts w:cs="Guttman Hodes" w:hint="cs"/>
                          <w:rtl/>
                          <w:cs/>
                        </w:rPr>
                        <w:t>אהבת התורה שפיעמה בקרבה, ושמחתה השלימה בגומרה של תורה,</w:t>
                      </w:r>
                    </w:p>
                    <w:p w14:paraId="0DECDDE7" w14:textId="77777777" w:rsidR="007D6600" w:rsidRPr="005723BD" w:rsidRDefault="007D6600" w:rsidP="007D6600">
                      <w:pPr>
                        <w:jc w:val="center"/>
                        <w:rPr>
                          <w:rFonts w:cs="Guttman Hodes"/>
                          <w:rtl/>
                          <w:cs/>
                        </w:rPr>
                      </w:pPr>
                      <w:r w:rsidRPr="005723BD">
                        <w:rPr>
                          <w:rFonts w:cs="Guttman Hodes" w:hint="cs"/>
                          <w:rtl/>
                          <w:cs/>
                        </w:rPr>
                        <w:t>הם שנתנו לי את הכוח למלאכה גדולה זו.</w:t>
                      </w:r>
                    </w:p>
                    <w:p w14:paraId="53099287" w14:textId="77777777" w:rsidR="007D6600" w:rsidRPr="003F2095" w:rsidRDefault="007D6600" w:rsidP="007D6600">
                      <w:pPr>
                        <w:jc w:val="center"/>
                        <w:rPr>
                          <w:rFonts w:cs="Guttman Hodes"/>
                          <w:sz w:val="10"/>
                          <w:szCs w:val="10"/>
                          <w:rtl/>
                          <w:cs/>
                        </w:rPr>
                      </w:pPr>
                    </w:p>
                    <w:p w14:paraId="314713F2" w14:textId="77777777" w:rsidR="007D6600" w:rsidRDefault="007D6600" w:rsidP="007D6600">
                      <w:pPr>
                        <w:jc w:val="center"/>
                        <w:rPr>
                          <w:rFonts w:cs="Guttman Hodes"/>
                          <w:rtl/>
                          <w:cs/>
                        </w:rPr>
                      </w:pPr>
                      <w:r w:rsidRPr="005723BD">
                        <w:rPr>
                          <w:rFonts w:cs="Guttman Hodes" w:hint="cs"/>
                          <w:rtl/>
                          <w:cs/>
                        </w:rPr>
                        <w:t>נלב</w:t>
                      </w:r>
                      <w:r w:rsidRPr="005723BD">
                        <w:rPr>
                          <w:rFonts w:cs="Guttman Hodes" w:hint="cs"/>
                          <w:rtl/>
                        </w:rPr>
                        <w:t>"</w:t>
                      </w:r>
                      <w:r w:rsidRPr="005723BD">
                        <w:rPr>
                          <w:rFonts w:cs="Guttman Hodes" w:hint="cs"/>
                          <w:rtl/>
                          <w:cs/>
                        </w:rPr>
                        <w:t>ע</w:t>
                      </w:r>
                      <w:r w:rsidRPr="00973871">
                        <w:rPr>
                          <w:rFonts w:cs="Guttman Hodes" w:hint="cs"/>
                          <w:rtl/>
                          <w:cs/>
                        </w:rPr>
                        <w:t xml:space="preserve"> </w:t>
                      </w:r>
                      <w:r>
                        <w:rPr>
                          <w:rFonts w:cs="Guttman Hodes" w:hint="cs"/>
                          <w:rtl/>
                          <w:cs/>
                        </w:rPr>
                        <w:t>ביום חג מתן תורה,</w:t>
                      </w:r>
                    </w:p>
                    <w:p w14:paraId="0ED4E8A9" w14:textId="77777777" w:rsidR="007D6600" w:rsidRDefault="007D6600" w:rsidP="007D6600">
                      <w:pPr>
                        <w:jc w:val="center"/>
                        <w:rPr>
                          <w:rFonts w:cs="Guttman Hodes"/>
                          <w:rtl/>
                          <w:cs/>
                        </w:rPr>
                      </w:pPr>
                      <w:r>
                        <w:rPr>
                          <w:rFonts w:cs="Guttman Hodes" w:hint="cs"/>
                          <w:rtl/>
                          <w:cs/>
                        </w:rPr>
                        <w:t>עם דמדומי חמה של כניסת שבת קודש, התשס</w:t>
                      </w:r>
                      <w:r>
                        <w:rPr>
                          <w:rFonts w:cs="Guttman Hodes" w:hint="cs"/>
                          <w:rtl/>
                        </w:rPr>
                        <w:t>"</w:t>
                      </w:r>
                      <w:r>
                        <w:rPr>
                          <w:rFonts w:cs="Guttman Hodes" w:hint="cs"/>
                          <w:rtl/>
                          <w:cs/>
                        </w:rPr>
                        <w:t>ב</w:t>
                      </w:r>
                    </w:p>
                    <w:p w14:paraId="18EE4249" w14:textId="77777777" w:rsidR="007D6600" w:rsidRDefault="007D6600" w:rsidP="007D6600">
                      <w:pPr>
                        <w:jc w:val="center"/>
                        <w:rPr>
                          <w:rFonts w:cs="Guttman Hodes"/>
                          <w:rtl/>
                          <w:cs/>
                        </w:rPr>
                      </w:pPr>
                      <w:r>
                        <w:rPr>
                          <w:rFonts w:cs="Guttman Hodes" w:hint="cs"/>
                          <w:rtl/>
                          <w:cs/>
                        </w:rPr>
                        <w:t>ת.נ.צ.ב.ה.</w:t>
                      </w:r>
                      <w:r w:rsidRPr="005723BD">
                        <w:rPr>
                          <w:rFonts w:cs="Guttman Hodes" w:hint="cs"/>
                          <w:rtl/>
                          <w:cs/>
                        </w:rPr>
                        <w:t xml:space="preserve"> </w:t>
                      </w:r>
                    </w:p>
                    <w:p w14:paraId="0771A86A" w14:textId="77777777" w:rsidR="007D6600" w:rsidRDefault="007D6600" w:rsidP="007D6600">
                      <w:pPr>
                        <w:jc w:val="center"/>
                        <w:rPr>
                          <w:rFonts w:cs="Guttman Hodes"/>
                          <w:rtl/>
                          <w:cs/>
                        </w:rPr>
                      </w:pPr>
                    </w:p>
                    <w:p w14:paraId="2E569F55" w14:textId="77777777" w:rsidR="007D6600" w:rsidRDefault="007D6600" w:rsidP="007D6600">
                      <w:pPr>
                        <w:jc w:val="center"/>
                        <w:rPr>
                          <w:rFonts w:cs="Guttman Hodes"/>
                          <w:rtl/>
                          <w:cs/>
                        </w:rPr>
                      </w:pPr>
                    </w:p>
                    <w:p w14:paraId="4C2B5BE4" w14:textId="77777777" w:rsidR="007D6600" w:rsidRPr="005723BD" w:rsidRDefault="007D6600" w:rsidP="007D6600">
                      <w:pPr>
                        <w:jc w:val="center"/>
                        <w:rPr>
                          <w:rFonts w:cs="Guttman Hodes"/>
                          <w:rtl/>
                          <w:cs/>
                        </w:rPr>
                      </w:pPr>
                    </w:p>
                  </w:txbxContent>
                </v:textbox>
                <w10:wrap type="square" anchorx="margin"/>
              </v:roundrect>
            </w:pict>
          </mc:Fallback>
        </mc:AlternateContent>
      </w:r>
    </w:p>
    <w:p w14:paraId="04BB0C77" w14:textId="77777777" w:rsidR="00DE6C71" w:rsidRDefault="00DE6C71" w:rsidP="00B03577">
      <w:pPr>
        <w:bidi w:val="0"/>
        <w:spacing w:line="240" w:lineRule="auto"/>
        <w:rPr>
          <w:rFonts w:eastAsia="Guttman Hodes" w:cs="Guttman Hodes"/>
          <w:noProof/>
          <w:sz w:val="20"/>
          <w:szCs w:val="20"/>
        </w:rPr>
        <w:sectPr w:rsidR="00DE6C71">
          <w:type w:val="continuous"/>
          <w:pgSz w:w="11906" w:h="16838"/>
          <w:pgMar w:top="1440" w:right="1800" w:bottom="1440" w:left="1800" w:header="708" w:footer="708" w:gutter="0"/>
          <w:cols w:num="2" w:space="709"/>
          <w:bidi/>
          <w:rtlGutter/>
        </w:sectPr>
      </w:pPr>
    </w:p>
    <w:p w14:paraId="16D9EB57" w14:textId="77777777" w:rsidR="00DE6C71" w:rsidRDefault="00DE6C71" w:rsidP="00DE6C71">
      <w:pPr>
        <w:tabs>
          <w:tab w:val="center" w:pos="4153"/>
          <w:tab w:val="right" w:pos="8306"/>
        </w:tabs>
        <w:spacing w:line="240" w:lineRule="auto"/>
        <w:jc w:val="center"/>
        <w:rPr>
          <w:rFonts w:ascii="Calibri" w:eastAsia="Calibri" w:hAnsi="Calibri" w:cs="Guttman Hodes"/>
          <w:b/>
          <w:bCs/>
          <w:sz w:val="28"/>
          <w:szCs w:val="28"/>
          <w:rtl/>
        </w:rPr>
      </w:pPr>
      <w:r w:rsidRPr="005E39CB">
        <w:rPr>
          <w:rFonts w:ascii="Calibri" w:eastAsia="Calibri" w:hAnsi="Calibri" w:cs="Guttman Hodes"/>
          <w:b/>
          <w:bCs/>
          <w:sz w:val="28"/>
          <w:szCs w:val="28"/>
          <w:rtl/>
        </w:rPr>
        <w:lastRenderedPageBreak/>
        <w:t>~~~~~~~~~~~~~~~~~~~~~~~~~~~~</w:t>
      </w:r>
    </w:p>
    <w:p w14:paraId="412629FB" w14:textId="05E2DD0F" w:rsidR="00DE6C71" w:rsidRPr="001C1412" w:rsidRDefault="00DE6C71" w:rsidP="00DE6C71">
      <w:pPr>
        <w:tabs>
          <w:tab w:val="center" w:pos="4153"/>
          <w:tab w:val="right" w:pos="8306"/>
        </w:tabs>
        <w:spacing w:line="240" w:lineRule="auto"/>
        <w:jc w:val="center"/>
        <w:rPr>
          <w:rFonts w:ascii="Calibri" w:eastAsia="Calibri" w:hAnsi="Calibri" w:cs="Guttman Hodes"/>
          <w:b/>
          <w:bCs/>
          <w:sz w:val="28"/>
          <w:szCs w:val="28"/>
          <w:rtl/>
        </w:rPr>
      </w:pPr>
      <w:r w:rsidRPr="001C1412">
        <w:rPr>
          <w:rFonts w:ascii="Calibri" w:eastAsia="Calibri" w:hAnsi="Calibri" w:cs="Guttman Hodes" w:hint="cs"/>
          <w:b/>
          <w:bCs/>
          <w:sz w:val="28"/>
          <w:szCs w:val="28"/>
          <w:rtl/>
        </w:rPr>
        <w:t>תוכן העני</w:t>
      </w:r>
      <w:r w:rsidR="00F001AD">
        <w:rPr>
          <w:rFonts w:ascii="Calibri" w:eastAsia="Calibri" w:hAnsi="Calibri" w:cs="Guttman Hodes" w:hint="cs"/>
          <w:b/>
          <w:bCs/>
          <w:sz w:val="28"/>
          <w:szCs w:val="28"/>
          <w:rtl/>
        </w:rPr>
        <w:t>י</w:t>
      </w:r>
      <w:r w:rsidRPr="001C1412">
        <w:rPr>
          <w:rFonts w:ascii="Calibri" w:eastAsia="Calibri" w:hAnsi="Calibri" w:cs="Guttman Hodes" w:hint="cs"/>
          <w:b/>
          <w:bCs/>
          <w:sz w:val="28"/>
          <w:szCs w:val="28"/>
          <w:rtl/>
        </w:rPr>
        <w:t>נים</w:t>
      </w:r>
    </w:p>
    <w:p w14:paraId="70255B4F" w14:textId="77777777" w:rsidR="00DE6C71" w:rsidRPr="001C1412" w:rsidRDefault="00DE6C71" w:rsidP="00DE6C71">
      <w:pPr>
        <w:tabs>
          <w:tab w:val="center" w:pos="4153"/>
          <w:tab w:val="right" w:pos="8306"/>
        </w:tabs>
        <w:spacing w:line="240" w:lineRule="auto"/>
        <w:jc w:val="center"/>
        <w:rPr>
          <w:rFonts w:ascii="Calibri" w:eastAsia="Calibri" w:hAnsi="Calibri" w:cs="Guttman Hodes"/>
          <w:rtl/>
        </w:rPr>
      </w:pPr>
    </w:p>
    <w:p w14:paraId="642CD50A" w14:textId="6B473E3F" w:rsidR="00DE6C71" w:rsidRPr="008009AA" w:rsidRDefault="00DE6C71" w:rsidP="00DE6C71">
      <w:pPr>
        <w:tabs>
          <w:tab w:val="center" w:pos="4153"/>
          <w:tab w:val="right" w:pos="8306"/>
        </w:tabs>
        <w:spacing w:line="240" w:lineRule="auto"/>
        <w:jc w:val="center"/>
        <w:rPr>
          <w:rFonts w:ascii="Calibri" w:eastAsia="Calibri" w:hAnsi="Calibri" w:cs="Guttman Hodes"/>
          <w:sz w:val="18"/>
          <w:szCs w:val="18"/>
          <w:rtl/>
        </w:rPr>
      </w:pPr>
      <w:r w:rsidRPr="005E39CB">
        <w:rPr>
          <w:rFonts w:ascii="Calibri" w:eastAsia="Calibri" w:hAnsi="Calibri" w:cs="Guttman Hodes" w:hint="cs"/>
          <w:sz w:val="18"/>
          <w:szCs w:val="18"/>
          <w:rtl/>
        </w:rPr>
        <w:t>תוכן ענ</w:t>
      </w:r>
      <w:r w:rsidR="00F001AD">
        <w:rPr>
          <w:rFonts w:ascii="Calibri" w:eastAsia="Calibri" w:hAnsi="Calibri" w:cs="Guttman Hodes" w:hint="cs"/>
          <w:sz w:val="18"/>
          <w:szCs w:val="18"/>
          <w:rtl/>
        </w:rPr>
        <w:t>י</w:t>
      </w:r>
      <w:r w:rsidRPr="005E39CB">
        <w:rPr>
          <w:rFonts w:ascii="Calibri" w:eastAsia="Calibri" w:hAnsi="Calibri" w:cs="Guttman Hodes" w:hint="cs"/>
          <w:sz w:val="18"/>
          <w:szCs w:val="18"/>
          <w:rtl/>
        </w:rPr>
        <w:t xml:space="preserve">ינים </w:t>
      </w:r>
      <w:r w:rsidRPr="008009AA">
        <w:rPr>
          <w:rFonts w:ascii="Calibri" w:eastAsia="Calibri" w:hAnsi="Calibri" w:cs="Guttman Hodes" w:hint="cs"/>
          <w:sz w:val="18"/>
          <w:szCs w:val="18"/>
          <w:rtl/>
        </w:rPr>
        <w:t xml:space="preserve">מורחב נדפס בתחילת כל </w:t>
      </w:r>
      <w:r w:rsidR="005956F3" w:rsidRPr="008009AA">
        <w:rPr>
          <w:rFonts w:ascii="Calibri" w:eastAsia="Calibri" w:hAnsi="Calibri" w:cs="Guttman Hodes" w:hint="cs"/>
          <w:sz w:val="18"/>
          <w:szCs w:val="18"/>
          <w:rtl/>
        </w:rPr>
        <w:t>סימן ט</w:t>
      </w:r>
      <w:r w:rsidRPr="008009AA">
        <w:rPr>
          <w:rFonts w:ascii="Calibri" w:eastAsia="Calibri" w:hAnsi="Calibri" w:cs="Guttman Hodes" w:hint="cs"/>
          <w:sz w:val="18"/>
          <w:szCs w:val="18"/>
          <w:rtl/>
        </w:rPr>
        <w:t>מדור תוכן הענינים</w:t>
      </w:r>
    </w:p>
    <w:p w14:paraId="26F5DDD7" w14:textId="09FF6482" w:rsidR="00DE6C71" w:rsidRPr="008009AA" w:rsidRDefault="00DE6C71" w:rsidP="00DE6C71">
      <w:pPr>
        <w:tabs>
          <w:tab w:val="center" w:pos="4153"/>
          <w:tab w:val="right" w:pos="8306"/>
        </w:tabs>
        <w:spacing w:line="240" w:lineRule="auto"/>
        <w:jc w:val="center"/>
        <w:rPr>
          <w:rFonts w:ascii="Calibri" w:eastAsia="Calibri" w:hAnsi="Calibri" w:cs="Guttman Hodes"/>
          <w:sz w:val="18"/>
          <w:szCs w:val="18"/>
          <w:rtl/>
        </w:rPr>
      </w:pPr>
      <w:r w:rsidRPr="008009AA">
        <w:rPr>
          <w:rFonts w:ascii="Calibri" w:eastAsia="Calibri" w:hAnsi="Calibri" w:cs="Guttman Hodes" w:hint="cs"/>
          <w:sz w:val="18"/>
          <w:szCs w:val="18"/>
          <w:rtl/>
        </w:rPr>
        <w:t xml:space="preserve">מפתח לפי שמות ספרי הראשונים והאחרונים נדפס בסוף </w:t>
      </w:r>
      <w:r w:rsidR="005956F3" w:rsidRPr="008009AA">
        <w:rPr>
          <w:rFonts w:ascii="Calibri" w:eastAsia="Calibri" w:hAnsi="Calibri" w:cs="Guttman Hodes" w:hint="cs"/>
          <w:sz w:val="18"/>
          <w:szCs w:val="18"/>
          <w:rtl/>
        </w:rPr>
        <w:t>הספר</w:t>
      </w:r>
    </w:p>
    <w:p w14:paraId="0A39F37F" w14:textId="107EC95F" w:rsidR="00842658" w:rsidRPr="00842658" w:rsidRDefault="00842658" w:rsidP="00842658">
      <w:pPr>
        <w:tabs>
          <w:tab w:val="center" w:pos="4153"/>
          <w:tab w:val="right" w:pos="8306"/>
        </w:tabs>
        <w:spacing w:line="240" w:lineRule="auto"/>
        <w:jc w:val="both"/>
        <w:rPr>
          <w:rFonts w:cs="Guttman Hodes"/>
          <w:b/>
          <w:bCs/>
          <w:noProof/>
          <w:sz w:val="20"/>
          <w:szCs w:val="20"/>
          <w:rtl/>
        </w:rPr>
      </w:pPr>
      <w:r w:rsidRPr="00842658">
        <w:rPr>
          <w:rFonts w:cs="Guttman Hodes"/>
          <w:b/>
          <w:bCs/>
          <w:noProof/>
          <w:sz w:val="20"/>
          <w:szCs w:val="20"/>
          <w:rtl/>
        </w:rPr>
        <w:t>סימן א' במלאכת זורע (א') בגדרי האב והתולדה בזורע / בדין שורה חיטין במים ובעציץ שאינו נקוב........................</w:t>
      </w:r>
      <w:r>
        <w:rPr>
          <w:rFonts w:cs="Guttman Hodes" w:hint="cs"/>
          <w:b/>
          <w:bCs/>
          <w:noProof/>
          <w:sz w:val="20"/>
          <w:szCs w:val="20"/>
          <w:rtl/>
        </w:rPr>
        <w:t>...........</w:t>
      </w:r>
      <w:r w:rsidRPr="00842658">
        <w:rPr>
          <w:rFonts w:cs="Guttman Hodes"/>
          <w:b/>
          <w:bCs/>
          <w:noProof/>
          <w:sz w:val="20"/>
          <w:szCs w:val="20"/>
          <w:rtl/>
        </w:rPr>
        <w:t>.13</w:t>
      </w:r>
    </w:p>
    <w:p w14:paraId="6C3F11AC" w14:textId="6E1553E3" w:rsidR="00842658" w:rsidRPr="00842658" w:rsidRDefault="00842658" w:rsidP="00842658">
      <w:pPr>
        <w:tabs>
          <w:tab w:val="center" w:pos="4153"/>
          <w:tab w:val="right" w:pos="8306"/>
        </w:tabs>
        <w:spacing w:line="240" w:lineRule="auto"/>
        <w:jc w:val="both"/>
        <w:rPr>
          <w:rFonts w:cs="Guttman Hodes"/>
          <w:b/>
          <w:bCs/>
          <w:noProof/>
          <w:sz w:val="20"/>
          <w:szCs w:val="20"/>
          <w:rtl/>
        </w:rPr>
      </w:pPr>
      <w:r w:rsidRPr="00842658">
        <w:rPr>
          <w:rFonts w:cs="Guttman Hodes"/>
          <w:b/>
          <w:bCs/>
          <w:noProof/>
          <w:sz w:val="20"/>
          <w:szCs w:val="20"/>
          <w:rtl/>
        </w:rPr>
        <w:t>סימן ב' במלאכת זורע (ב') בפלוגתת הרש"ש והמנ"ח בגדר המלאכה בזורע בנתינה או בהשרשה</w:t>
      </w:r>
      <w:r w:rsidR="00F26D42">
        <w:rPr>
          <w:rFonts w:cs="Guttman Hodes" w:hint="cs"/>
          <w:b/>
          <w:bCs/>
          <w:noProof/>
          <w:sz w:val="20"/>
          <w:szCs w:val="20"/>
          <w:rtl/>
        </w:rPr>
        <w:t>.........................................</w:t>
      </w:r>
      <w:r w:rsidRPr="00842658">
        <w:rPr>
          <w:rFonts w:cs="Guttman Hodes"/>
          <w:b/>
          <w:bCs/>
          <w:noProof/>
          <w:sz w:val="20"/>
          <w:szCs w:val="20"/>
          <w:rtl/>
        </w:rPr>
        <w:t>31</w:t>
      </w:r>
    </w:p>
    <w:p w14:paraId="4A95D8B6" w14:textId="07AC7FF3" w:rsidR="00842658" w:rsidRPr="00842658" w:rsidRDefault="00842658" w:rsidP="00842658">
      <w:pPr>
        <w:tabs>
          <w:tab w:val="center" w:pos="4153"/>
          <w:tab w:val="right" w:pos="8306"/>
        </w:tabs>
        <w:spacing w:line="240" w:lineRule="auto"/>
        <w:jc w:val="both"/>
        <w:rPr>
          <w:rFonts w:cs="Guttman Hodes"/>
          <w:b/>
          <w:bCs/>
          <w:noProof/>
          <w:sz w:val="20"/>
          <w:szCs w:val="20"/>
          <w:rtl/>
        </w:rPr>
      </w:pPr>
      <w:r w:rsidRPr="00842658">
        <w:rPr>
          <w:rFonts w:cs="Guttman Hodes"/>
          <w:b/>
          <w:bCs/>
          <w:noProof/>
          <w:sz w:val="20"/>
          <w:szCs w:val="20"/>
          <w:rtl/>
        </w:rPr>
        <w:t>סי' ג' במלאכת קוצר (א') באבות ותולדות דקוצר / אי קוצר רק בגידו"ק / בגדר חיבור עציץ נקוב בשבת</w:t>
      </w:r>
      <w:r w:rsidR="00F26D42">
        <w:rPr>
          <w:rFonts w:cs="Guttman Hodes" w:hint="cs"/>
          <w:b/>
          <w:bCs/>
          <w:noProof/>
          <w:sz w:val="20"/>
          <w:szCs w:val="20"/>
          <w:rtl/>
        </w:rPr>
        <w:t>...........................</w:t>
      </w:r>
      <w:r w:rsidRPr="00842658">
        <w:rPr>
          <w:rFonts w:cs="Guttman Hodes"/>
          <w:b/>
          <w:bCs/>
          <w:noProof/>
          <w:sz w:val="20"/>
          <w:szCs w:val="20"/>
          <w:rtl/>
        </w:rPr>
        <w:t>45</w:t>
      </w:r>
    </w:p>
    <w:p w14:paraId="71A7A73D" w14:textId="03886AFA" w:rsidR="00842658" w:rsidRPr="00842658" w:rsidRDefault="00842658" w:rsidP="00842658">
      <w:pPr>
        <w:tabs>
          <w:tab w:val="center" w:pos="4153"/>
          <w:tab w:val="right" w:pos="8306"/>
        </w:tabs>
        <w:spacing w:line="240" w:lineRule="auto"/>
        <w:jc w:val="both"/>
        <w:rPr>
          <w:rFonts w:cs="Guttman Hodes"/>
          <w:b/>
          <w:bCs/>
          <w:noProof/>
          <w:sz w:val="20"/>
          <w:szCs w:val="20"/>
          <w:rtl/>
        </w:rPr>
      </w:pPr>
      <w:r w:rsidRPr="00842658">
        <w:rPr>
          <w:rFonts w:cs="Guttman Hodes"/>
          <w:b/>
          <w:bCs/>
          <w:noProof/>
          <w:sz w:val="20"/>
          <w:szCs w:val="20"/>
          <w:rtl/>
        </w:rPr>
        <w:t>סימן ד' במלאכת קוצר (ב') בגדר מלאכת קוצר אי הוי תלישה ממחובר או הפסקת החיות ובדין מיעוט יניקה</w:t>
      </w:r>
      <w:r w:rsidR="00F26D42">
        <w:rPr>
          <w:rFonts w:cs="Guttman Hodes" w:hint="cs"/>
          <w:b/>
          <w:bCs/>
          <w:noProof/>
          <w:sz w:val="20"/>
          <w:szCs w:val="20"/>
          <w:rtl/>
        </w:rPr>
        <w:t>.....</w:t>
      </w:r>
      <w:r w:rsidR="00F26D42">
        <w:rPr>
          <w:rFonts w:cs="Guttman Hodes" w:hint="cs"/>
          <w:b/>
          <w:bCs/>
          <w:noProof/>
          <w:sz w:val="20"/>
          <w:szCs w:val="20"/>
          <w:rtl/>
        </w:rPr>
        <w:t>...........</w:t>
      </w:r>
      <w:r w:rsidR="00F26D42">
        <w:rPr>
          <w:rFonts w:cs="Guttman Hodes" w:hint="cs"/>
          <w:b/>
          <w:bCs/>
          <w:noProof/>
          <w:sz w:val="20"/>
          <w:szCs w:val="20"/>
          <w:rtl/>
        </w:rPr>
        <w:t>....</w:t>
      </w:r>
      <w:r w:rsidRPr="00842658">
        <w:rPr>
          <w:rFonts w:cs="Guttman Hodes"/>
          <w:b/>
          <w:bCs/>
          <w:noProof/>
          <w:sz w:val="20"/>
          <w:szCs w:val="20"/>
          <w:rtl/>
        </w:rPr>
        <w:t>59</w:t>
      </w:r>
    </w:p>
    <w:p w14:paraId="47C7C94B" w14:textId="7859E7C2" w:rsidR="00842658" w:rsidRPr="00842658" w:rsidRDefault="00842658" w:rsidP="00842658">
      <w:pPr>
        <w:tabs>
          <w:tab w:val="center" w:pos="4153"/>
          <w:tab w:val="right" w:pos="8306"/>
        </w:tabs>
        <w:spacing w:line="240" w:lineRule="auto"/>
        <w:jc w:val="both"/>
        <w:rPr>
          <w:rFonts w:cs="Guttman Hodes"/>
          <w:b/>
          <w:bCs/>
          <w:noProof/>
          <w:sz w:val="20"/>
          <w:szCs w:val="20"/>
          <w:rtl/>
        </w:rPr>
      </w:pPr>
      <w:r w:rsidRPr="00842658">
        <w:rPr>
          <w:rFonts w:cs="Guttman Hodes"/>
          <w:b/>
          <w:bCs/>
          <w:noProof/>
          <w:sz w:val="20"/>
          <w:szCs w:val="20"/>
          <w:rtl/>
        </w:rPr>
        <w:t>סימן ה' בסוגיא דבורר (א') בגדר זורה ובורר אי המלאכה באוכל או בפסולת ובגדר הפרדת חלקים לירושלמי</w:t>
      </w:r>
      <w:r w:rsidR="00F26D42">
        <w:rPr>
          <w:rFonts w:cs="Guttman Hodes" w:hint="cs"/>
          <w:b/>
          <w:bCs/>
          <w:noProof/>
          <w:sz w:val="20"/>
          <w:szCs w:val="20"/>
          <w:rtl/>
        </w:rPr>
        <w:t>...................</w:t>
      </w:r>
      <w:r w:rsidRPr="00842658">
        <w:rPr>
          <w:rFonts w:cs="Guttman Hodes"/>
          <w:b/>
          <w:bCs/>
          <w:noProof/>
          <w:sz w:val="20"/>
          <w:szCs w:val="20"/>
          <w:rtl/>
        </w:rPr>
        <w:t>79</w:t>
      </w:r>
    </w:p>
    <w:p w14:paraId="56821F15" w14:textId="1A0ACFBE" w:rsidR="00842658" w:rsidRPr="00842658" w:rsidRDefault="00842658" w:rsidP="00842658">
      <w:pPr>
        <w:tabs>
          <w:tab w:val="center" w:pos="4153"/>
          <w:tab w:val="right" w:pos="8306"/>
        </w:tabs>
        <w:spacing w:line="240" w:lineRule="auto"/>
        <w:jc w:val="both"/>
        <w:rPr>
          <w:rFonts w:cs="Guttman Hodes"/>
          <w:b/>
          <w:bCs/>
          <w:noProof/>
          <w:sz w:val="20"/>
          <w:szCs w:val="20"/>
          <w:rtl/>
        </w:rPr>
      </w:pPr>
      <w:r w:rsidRPr="00842658">
        <w:rPr>
          <w:rFonts w:cs="Guttman Hodes"/>
          <w:b/>
          <w:bCs/>
          <w:noProof/>
          <w:sz w:val="20"/>
          <w:szCs w:val="20"/>
          <w:rtl/>
        </w:rPr>
        <w:t>סימן ו' בסוגיא דבורר (ב') בגדר בורר באוכל מאוכל</w:t>
      </w:r>
      <w:r w:rsidR="00236144" w:rsidRPr="00842658">
        <w:rPr>
          <w:rFonts w:cs="Guttman Hodes"/>
          <w:b/>
          <w:bCs/>
          <w:noProof/>
          <w:sz w:val="20"/>
          <w:szCs w:val="20"/>
          <w:rtl/>
        </w:rPr>
        <w:t>......................................................</w:t>
      </w:r>
      <w:r w:rsidR="00236144">
        <w:rPr>
          <w:rFonts w:cs="Guttman Hodes" w:hint="cs"/>
          <w:b/>
          <w:bCs/>
          <w:noProof/>
          <w:sz w:val="20"/>
          <w:szCs w:val="20"/>
          <w:rtl/>
        </w:rPr>
        <w:t>..</w:t>
      </w:r>
      <w:r w:rsidR="00236144" w:rsidRPr="00842658">
        <w:rPr>
          <w:rFonts w:cs="Guttman Hodes"/>
          <w:b/>
          <w:bCs/>
          <w:noProof/>
          <w:sz w:val="20"/>
          <w:szCs w:val="20"/>
          <w:rtl/>
        </w:rPr>
        <w:t>.....................................................</w:t>
      </w:r>
      <w:r w:rsidRPr="00842658">
        <w:rPr>
          <w:rFonts w:cs="Guttman Hodes"/>
          <w:b/>
          <w:bCs/>
          <w:noProof/>
          <w:sz w:val="20"/>
          <w:szCs w:val="20"/>
          <w:rtl/>
        </w:rPr>
        <w:t>91</w:t>
      </w:r>
    </w:p>
    <w:p w14:paraId="58EF447D" w14:textId="544C435F" w:rsidR="00842658" w:rsidRPr="00842658" w:rsidRDefault="00842658" w:rsidP="00842658">
      <w:pPr>
        <w:tabs>
          <w:tab w:val="center" w:pos="4153"/>
          <w:tab w:val="right" w:pos="8306"/>
        </w:tabs>
        <w:spacing w:line="240" w:lineRule="auto"/>
        <w:jc w:val="both"/>
        <w:rPr>
          <w:rFonts w:cs="Guttman Hodes"/>
          <w:b/>
          <w:bCs/>
          <w:noProof/>
          <w:sz w:val="20"/>
          <w:szCs w:val="20"/>
          <w:rtl/>
        </w:rPr>
      </w:pPr>
      <w:r w:rsidRPr="00842658">
        <w:rPr>
          <w:rFonts w:cs="Guttman Hodes"/>
          <w:b/>
          <w:bCs/>
          <w:noProof/>
          <w:sz w:val="20"/>
          <w:szCs w:val="20"/>
          <w:rtl/>
        </w:rPr>
        <w:t>סימן ז' בסוגיא דבורר (ג') סיכום עיקרי שיטות הראשונים בהיתרים בבורר</w:t>
      </w:r>
      <w:r w:rsidR="00236144" w:rsidRPr="00842658">
        <w:rPr>
          <w:rFonts w:cs="Guttman Hodes"/>
          <w:b/>
          <w:bCs/>
          <w:noProof/>
          <w:sz w:val="20"/>
          <w:szCs w:val="20"/>
          <w:rtl/>
        </w:rPr>
        <w:t>...........................................................................</w:t>
      </w:r>
      <w:r w:rsidRPr="00842658">
        <w:rPr>
          <w:rFonts w:cs="Guttman Hodes"/>
          <w:b/>
          <w:bCs/>
          <w:noProof/>
          <w:sz w:val="20"/>
          <w:szCs w:val="20"/>
          <w:rtl/>
        </w:rPr>
        <w:t>101</w:t>
      </w:r>
    </w:p>
    <w:p w14:paraId="6E2363C5" w14:textId="57235212" w:rsidR="00842658" w:rsidRPr="00842658" w:rsidRDefault="00842658" w:rsidP="00842658">
      <w:pPr>
        <w:tabs>
          <w:tab w:val="center" w:pos="4153"/>
          <w:tab w:val="right" w:pos="8306"/>
        </w:tabs>
        <w:spacing w:line="240" w:lineRule="auto"/>
        <w:jc w:val="both"/>
        <w:rPr>
          <w:rFonts w:cs="Guttman Hodes"/>
          <w:b/>
          <w:bCs/>
          <w:noProof/>
          <w:sz w:val="20"/>
          <w:szCs w:val="20"/>
          <w:rtl/>
        </w:rPr>
      </w:pPr>
      <w:r w:rsidRPr="00842658">
        <w:rPr>
          <w:rFonts w:cs="Guttman Hodes"/>
          <w:b/>
          <w:bCs/>
          <w:noProof/>
          <w:sz w:val="20"/>
          <w:szCs w:val="20"/>
          <w:rtl/>
        </w:rPr>
        <w:t>סימן ח' בסוגיא דמלאכה שאינה צריכה לגופה (א') בביאור דעת רש"י אי אינו רוצה במלאכה או דא"צ שתשאר ההנאה ממנה</w:t>
      </w:r>
      <w:r w:rsidR="00236144" w:rsidRPr="00842658">
        <w:rPr>
          <w:rFonts w:cs="Guttman Hodes"/>
          <w:b/>
          <w:bCs/>
          <w:noProof/>
          <w:sz w:val="20"/>
          <w:szCs w:val="20"/>
          <w:rtl/>
        </w:rPr>
        <w:t>...................................................</w:t>
      </w:r>
      <w:r w:rsidR="009113AB" w:rsidRPr="00842658">
        <w:rPr>
          <w:rFonts w:cs="Guttman Hodes"/>
          <w:b/>
          <w:bCs/>
          <w:noProof/>
          <w:sz w:val="20"/>
          <w:szCs w:val="20"/>
          <w:rtl/>
        </w:rPr>
        <w:t>.....................................................</w:t>
      </w:r>
      <w:r w:rsidR="009113AB">
        <w:rPr>
          <w:rFonts w:cs="Guttman Hodes" w:hint="cs"/>
          <w:b/>
          <w:bCs/>
          <w:noProof/>
          <w:sz w:val="20"/>
          <w:szCs w:val="20"/>
          <w:rtl/>
        </w:rPr>
        <w:t>.....</w:t>
      </w:r>
      <w:r w:rsidR="009113AB" w:rsidRPr="00842658">
        <w:rPr>
          <w:rFonts w:cs="Guttman Hodes"/>
          <w:b/>
          <w:bCs/>
          <w:noProof/>
          <w:sz w:val="20"/>
          <w:szCs w:val="20"/>
          <w:rtl/>
        </w:rPr>
        <w:t>......................................................................</w:t>
      </w:r>
      <w:r w:rsidRPr="00842658">
        <w:rPr>
          <w:rFonts w:cs="Guttman Hodes"/>
          <w:b/>
          <w:bCs/>
          <w:noProof/>
          <w:sz w:val="20"/>
          <w:szCs w:val="20"/>
          <w:rtl/>
        </w:rPr>
        <w:t>115</w:t>
      </w:r>
    </w:p>
    <w:p w14:paraId="5EB78024" w14:textId="3CE11B48" w:rsidR="00842658" w:rsidRPr="00842658" w:rsidRDefault="00842658" w:rsidP="00842658">
      <w:pPr>
        <w:tabs>
          <w:tab w:val="center" w:pos="4153"/>
          <w:tab w:val="right" w:pos="8306"/>
        </w:tabs>
        <w:spacing w:line="240" w:lineRule="auto"/>
        <w:jc w:val="both"/>
        <w:rPr>
          <w:rFonts w:cs="Guttman Hodes"/>
          <w:b/>
          <w:bCs/>
          <w:noProof/>
          <w:sz w:val="20"/>
          <w:szCs w:val="20"/>
          <w:rtl/>
        </w:rPr>
      </w:pPr>
      <w:r w:rsidRPr="00842658">
        <w:rPr>
          <w:rFonts w:cs="Guttman Hodes"/>
          <w:b/>
          <w:bCs/>
          <w:noProof/>
          <w:sz w:val="20"/>
          <w:szCs w:val="20"/>
          <w:rtl/>
        </w:rPr>
        <w:t>סימן ט' בסוגיא דמלאכה שאינה צריכה לגופה (ב') בביאור דעת התוס' דמשאצל"ג הוא בלא דמי לצורך שהיה במשכן</w:t>
      </w:r>
      <w:r w:rsidRPr="00842658">
        <w:rPr>
          <w:rFonts w:cs="Guttman Hodes"/>
          <w:b/>
          <w:bCs/>
          <w:noProof/>
          <w:sz w:val="20"/>
          <w:szCs w:val="20"/>
          <w:rtl/>
        </w:rPr>
        <w:tab/>
        <w:t>124</w:t>
      </w:r>
    </w:p>
    <w:p w14:paraId="40BBBD6B" w14:textId="0655EFEB" w:rsidR="00842658" w:rsidRPr="00842658" w:rsidRDefault="00842658" w:rsidP="00842658">
      <w:pPr>
        <w:tabs>
          <w:tab w:val="center" w:pos="4153"/>
          <w:tab w:val="right" w:pos="8306"/>
        </w:tabs>
        <w:spacing w:line="240" w:lineRule="auto"/>
        <w:jc w:val="both"/>
        <w:rPr>
          <w:rFonts w:cs="Guttman Hodes"/>
          <w:b/>
          <w:bCs/>
          <w:noProof/>
          <w:sz w:val="20"/>
          <w:szCs w:val="20"/>
          <w:rtl/>
        </w:rPr>
      </w:pPr>
      <w:r w:rsidRPr="00842658">
        <w:rPr>
          <w:rFonts w:cs="Guttman Hodes"/>
          <w:b/>
          <w:bCs/>
          <w:noProof/>
          <w:sz w:val="20"/>
          <w:szCs w:val="20"/>
          <w:rtl/>
        </w:rPr>
        <w:t>סימן י' בסוגיא דמלאכה שאינה צריכה לגופה (ג') ביאור הראשונים במשאצל"ג והמתבאר בגדרי משאצל"ג מסוגיא דמקלקל בחבורה</w:t>
      </w:r>
      <w:r w:rsidR="004A6CC3" w:rsidRPr="00842658">
        <w:rPr>
          <w:rFonts w:cs="Guttman Hodes"/>
          <w:b/>
          <w:bCs/>
          <w:noProof/>
          <w:sz w:val="20"/>
          <w:szCs w:val="20"/>
          <w:rtl/>
        </w:rPr>
        <w:t>.........................................................................................................................................</w:t>
      </w:r>
      <w:r w:rsidR="00D63400">
        <w:rPr>
          <w:rFonts w:cs="Guttman Hodes" w:hint="cs"/>
          <w:b/>
          <w:bCs/>
          <w:noProof/>
          <w:sz w:val="20"/>
          <w:szCs w:val="20"/>
          <w:rtl/>
        </w:rPr>
        <w:t>............</w:t>
      </w:r>
      <w:r w:rsidR="004A6CC3" w:rsidRPr="00842658">
        <w:rPr>
          <w:rFonts w:cs="Guttman Hodes"/>
          <w:b/>
          <w:bCs/>
          <w:noProof/>
          <w:sz w:val="20"/>
          <w:szCs w:val="20"/>
          <w:rtl/>
        </w:rPr>
        <w:t>.........................</w:t>
      </w:r>
      <w:r w:rsidRPr="00842658">
        <w:rPr>
          <w:rFonts w:cs="Guttman Hodes"/>
          <w:b/>
          <w:bCs/>
          <w:noProof/>
          <w:sz w:val="20"/>
          <w:szCs w:val="20"/>
          <w:rtl/>
        </w:rPr>
        <w:t>133</w:t>
      </w:r>
    </w:p>
    <w:p w14:paraId="7D5E91A0" w14:textId="77777777" w:rsidR="00842658" w:rsidRPr="00842658" w:rsidRDefault="00842658" w:rsidP="00842658">
      <w:pPr>
        <w:tabs>
          <w:tab w:val="center" w:pos="4153"/>
          <w:tab w:val="right" w:pos="8306"/>
        </w:tabs>
        <w:spacing w:line="240" w:lineRule="auto"/>
        <w:jc w:val="both"/>
        <w:rPr>
          <w:rFonts w:cs="Guttman Hodes"/>
          <w:b/>
          <w:bCs/>
          <w:noProof/>
          <w:sz w:val="20"/>
          <w:szCs w:val="20"/>
          <w:rtl/>
        </w:rPr>
      </w:pPr>
      <w:r w:rsidRPr="00842658">
        <w:rPr>
          <w:rFonts w:cs="Guttman Hodes"/>
          <w:b/>
          <w:bCs/>
          <w:noProof/>
          <w:sz w:val="20"/>
          <w:szCs w:val="20"/>
          <w:rtl/>
        </w:rPr>
        <w:t>סימן י"א בגדר מלאכת בונה - בדרך בנין / באוהל וקיבוץ חלקים / בבנין דיצירה / בארעי וקבוע / במלאכה מתקיימת</w:t>
      </w:r>
      <w:r w:rsidRPr="00842658">
        <w:rPr>
          <w:rFonts w:cs="Guttman Hodes"/>
          <w:b/>
          <w:bCs/>
          <w:noProof/>
          <w:sz w:val="20"/>
          <w:szCs w:val="20"/>
          <w:rtl/>
        </w:rPr>
        <w:tab/>
        <w:t>147</w:t>
      </w:r>
    </w:p>
    <w:p w14:paraId="3005AC93" w14:textId="68699B1B" w:rsidR="00842658" w:rsidRPr="00842658" w:rsidRDefault="00842658" w:rsidP="00842658">
      <w:pPr>
        <w:tabs>
          <w:tab w:val="center" w:pos="4153"/>
          <w:tab w:val="right" w:pos="8306"/>
        </w:tabs>
        <w:spacing w:line="240" w:lineRule="auto"/>
        <w:jc w:val="both"/>
        <w:rPr>
          <w:rFonts w:cs="Guttman Hodes"/>
          <w:b/>
          <w:bCs/>
          <w:noProof/>
          <w:sz w:val="20"/>
          <w:szCs w:val="20"/>
          <w:rtl/>
        </w:rPr>
      </w:pPr>
      <w:r w:rsidRPr="00842658">
        <w:rPr>
          <w:rFonts w:cs="Guttman Hodes"/>
          <w:b/>
          <w:bCs/>
          <w:noProof/>
          <w:sz w:val="20"/>
          <w:szCs w:val="20"/>
          <w:rtl/>
        </w:rPr>
        <w:t>סימן י"ב בגדר המעשה המחייב במכה בפטיש ובחיובו במקום מלאכה אחרת</w:t>
      </w:r>
      <w:r w:rsidR="00D63400" w:rsidRPr="00842658">
        <w:rPr>
          <w:rFonts w:cs="Guttman Hodes"/>
          <w:b/>
          <w:bCs/>
          <w:noProof/>
          <w:sz w:val="20"/>
          <w:szCs w:val="20"/>
          <w:rtl/>
        </w:rPr>
        <w:t>......................................................</w:t>
      </w:r>
      <w:r w:rsidR="00D63400">
        <w:rPr>
          <w:rFonts w:cs="Guttman Hodes" w:hint="cs"/>
          <w:b/>
          <w:bCs/>
          <w:noProof/>
          <w:sz w:val="20"/>
          <w:szCs w:val="20"/>
          <w:rtl/>
        </w:rPr>
        <w:t>............</w:t>
      </w:r>
      <w:r w:rsidRPr="00842658">
        <w:rPr>
          <w:rFonts w:cs="Guttman Hodes"/>
          <w:b/>
          <w:bCs/>
          <w:noProof/>
          <w:sz w:val="20"/>
          <w:szCs w:val="20"/>
          <w:rtl/>
        </w:rPr>
        <w:t>163</w:t>
      </w:r>
    </w:p>
    <w:p w14:paraId="64BA4A35" w14:textId="7C5F86E3" w:rsidR="00842658" w:rsidRPr="00842658" w:rsidRDefault="00842658" w:rsidP="00842658">
      <w:pPr>
        <w:tabs>
          <w:tab w:val="center" w:pos="4153"/>
          <w:tab w:val="right" w:pos="8306"/>
        </w:tabs>
        <w:spacing w:line="240" w:lineRule="auto"/>
        <w:jc w:val="both"/>
        <w:rPr>
          <w:rFonts w:cs="Guttman Hodes"/>
          <w:b/>
          <w:bCs/>
          <w:noProof/>
          <w:sz w:val="20"/>
          <w:szCs w:val="20"/>
          <w:rtl/>
        </w:rPr>
      </w:pPr>
      <w:r w:rsidRPr="00842658">
        <w:rPr>
          <w:rFonts w:cs="Guttman Hodes"/>
          <w:b/>
          <w:bCs/>
          <w:noProof/>
          <w:sz w:val="20"/>
          <w:szCs w:val="20"/>
          <w:rtl/>
        </w:rPr>
        <w:t>סימן י"ג בענין בנין בכלים (א').....................................</w:t>
      </w:r>
      <w:r w:rsidR="00D63400">
        <w:rPr>
          <w:rFonts w:cs="Guttman Hodes" w:hint="cs"/>
          <w:b/>
          <w:bCs/>
          <w:noProof/>
          <w:sz w:val="20"/>
          <w:szCs w:val="20"/>
          <w:rtl/>
        </w:rPr>
        <w:t>....................................................................</w:t>
      </w:r>
      <w:r w:rsidRPr="00842658">
        <w:rPr>
          <w:rFonts w:cs="Guttman Hodes"/>
          <w:b/>
          <w:bCs/>
          <w:noProof/>
          <w:sz w:val="20"/>
          <w:szCs w:val="20"/>
          <w:rtl/>
        </w:rPr>
        <w:t>.................................159</w:t>
      </w:r>
    </w:p>
    <w:p w14:paraId="1695C7FB" w14:textId="01258A48" w:rsidR="00842658" w:rsidRPr="004E7263" w:rsidRDefault="00842658" w:rsidP="00842658">
      <w:pPr>
        <w:tabs>
          <w:tab w:val="right" w:leader="dot" w:pos="10456"/>
        </w:tabs>
        <w:spacing w:after="240" w:line="360" w:lineRule="auto"/>
        <w:jc w:val="both"/>
        <w:rPr>
          <w:rFonts w:ascii="Calibri" w:eastAsia="Times New Roman" w:hAnsi="Calibri" w:cs="Guttman Hodes"/>
          <w:b/>
          <w:bCs/>
          <w:noProof/>
          <w:sz w:val="20"/>
          <w:szCs w:val="18"/>
        </w:rPr>
      </w:pPr>
      <w:r w:rsidRPr="00842658">
        <w:rPr>
          <w:rFonts w:cs="Guttman Hodes"/>
          <w:b/>
          <w:bCs/>
          <w:noProof/>
          <w:sz w:val="20"/>
          <w:szCs w:val="20"/>
          <w:rtl/>
        </w:rPr>
        <w:t>סימן י"ד בענין בנין בכלים (ב') בדיני תוקע ומהדק ורפוי.................</w:t>
      </w:r>
      <w:r w:rsidR="00770F2B">
        <w:rPr>
          <w:rFonts w:cs="Guttman Hodes" w:hint="cs"/>
          <w:b/>
          <w:bCs/>
          <w:noProof/>
          <w:sz w:val="20"/>
          <w:szCs w:val="20"/>
          <w:rtl/>
        </w:rPr>
        <w:t>........................................................</w:t>
      </w:r>
      <w:r w:rsidRPr="00842658">
        <w:rPr>
          <w:rFonts w:cs="Guttman Hodes"/>
          <w:b/>
          <w:bCs/>
          <w:noProof/>
          <w:sz w:val="20"/>
          <w:szCs w:val="20"/>
          <w:rtl/>
        </w:rPr>
        <w:t>.........................173</w:t>
      </w:r>
      <w:r w:rsidR="008009AA" w:rsidRPr="008009AA">
        <w:rPr>
          <w:rFonts w:cs="Guttman Hodes"/>
          <w:b/>
          <w:bCs/>
          <w:noProof/>
          <w:sz w:val="20"/>
          <w:szCs w:val="20"/>
          <w:rtl/>
        </w:rPr>
        <w:fldChar w:fldCharType="begin"/>
      </w:r>
      <w:r w:rsidR="008009AA" w:rsidRPr="008009AA">
        <w:rPr>
          <w:rFonts w:cs="Guttman Hodes"/>
          <w:b/>
          <w:bCs/>
          <w:noProof/>
          <w:sz w:val="20"/>
          <w:szCs w:val="20"/>
          <w:rtl/>
        </w:rPr>
        <w:instrText xml:space="preserve"> </w:instrText>
      </w:r>
      <w:r w:rsidR="008009AA" w:rsidRPr="008009AA">
        <w:rPr>
          <w:rFonts w:cs="Guttman Hodes"/>
          <w:b/>
          <w:bCs/>
          <w:noProof/>
          <w:sz w:val="20"/>
          <w:szCs w:val="20"/>
        </w:rPr>
        <w:instrText>TOC</w:instrText>
      </w:r>
      <w:r w:rsidR="008009AA" w:rsidRPr="008009AA">
        <w:rPr>
          <w:rFonts w:cs="Guttman Hodes"/>
          <w:b/>
          <w:bCs/>
          <w:noProof/>
          <w:sz w:val="20"/>
          <w:szCs w:val="20"/>
          <w:rtl/>
        </w:rPr>
        <w:instrText xml:space="preserve"> \</w:instrText>
      </w:r>
      <w:r w:rsidR="008009AA" w:rsidRPr="008009AA">
        <w:rPr>
          <w:rFonts w:cs="Guttman Hodes"/>
          <w:b/>
          <w:bCs/>
          <w:noProof/>
          <w:sz w:val="20"/>
          <w:szCs w:val="20"/>
        </w:rPr>
        <w:instrText>h \z \t</w:instrText>
      </w:r>
      <w:r w:rsidR="008009AA" w:rsidRPr="008009AA">
        <w:rPr>
          <w:rFonts w:cs="Guttman Hodes"/>
          <w:b/>
          <w:bCs/>
          <w:noProof/>
          <w:sz w:val="20"/>
          <w:szCs w:val="20"/>
          <w:rtl/>
        </w:rPr>
        <w:instrText xml:space="preserve"> "כות מקטע,2" </w:instrText>
      </w:r>
      <w:r w:rsidR="008009AA" w:rsidRPr="008009AA">
        <w:rPr>
          <w:rFonts w:cs="Guttman Hodes"/>
          <w:b/>
          <w:bCs/>
          <w:noProof/>
          <w:sz w:val="20"/>
          <w:szCs w:val="20"/>
          <w:rtl/>
        </w:rPr>
        <w:fldChar w:fldCharType="separate"/>
      </w:r>
    </w:p>
    <w:p w14:paraId="1451227D" w14:textId="0D4BE5F2" w:rsidR="004E7263" w:rsidRPr="004E7263" w:rsidRDefault="004E7263" w:rsidP="00842658">
      <w:pPr>
        <w:numPr>
          <w:ilvl w:val="0"/>
          <w:numId w:val="4"/>
        </w:numPr>
        <w:tabs>
          <w:tab w:val="right" w:leader="dot" w:pos="5166"/>
        </w:tabs>
        <w:spacing w:after="240" w:line="360" w:lineRule="auto"/>
        <w:jc w:val="both"/>
        <w:rPr>
          <w:rFonts w:ascii="Calibri" w:eastAsia="Times New Roman" w:hAnsi="Calibri" w:cs="Guttman Hodes"/>
          <w:b/>
          <w:bCs/>
          <w:noProof/>
          <w:sz w:val="20"/>
          <w:szCs w:val="18"/>
        </w:rPr>
      </w:pPr>
    </w:p>
    <w:p w14:paraId="082E8860" w14:textId="07669906" w:rsidR="008009AA" w:rsidRPr="008009AA" w:rsidRDefault="008009AA" w:rsidP="00842658">
      <w:pPr>
        <w:tabs>
          <w:tab w:val="right" w:leader="dot" w:pos="10456"/>
        </w:tabs>
        <w:spacing w:after="240" w:line="360" w:lineRule="auto"/>
        <w:jc w:val="both"/>
        <w:rPr>
          <w:rFonts w:cs="Guttman Hodes" w:hint="cs"/>
          <w:noProof/>
          <w:rtl/>
        </w:rPr>
      </w:pPr>
    </w:p>
    <w:p w14:paraId="7C329008" w14:textId="10E652AB" w:rsidR="008009AA" w:rsidRPr="008009AA" w:rsidRDefault="008009AA" w:rsidP="00842658">
      <w:pPr>
        <w:bidi w:val="0"/>
        <w:spacing w:after="240" w:line="360" w:lineRule="auto"/>
        <w:jc w:val="both"/>
        <w:rPr>
          <w:rFonts w:eastAsia="Guttman Hodes" w:cs="Guttman Hodes"/>
          <w:noProof/>
          <w:sz w:val="20"/>
          <w:szCs w:val="20"/>
        </w:rPr>
        <w:sectPr w:rsidR="008009AA" w:rsidRPr="008009AA" w:rsidSect="00DE6C71">
          <w:pgSz w:w="11906" w:h="16838"/>
          <w:pgMar w:top="720" w:right="720" w:bottom="720" w:left="720" w:header="708" w:footer="708" w:gutter="0"/>
          <w:cols w:space="709"/>
          <w:bidi/>
          <w:rtlGutter/>
          <w:docGrid w:linePitch="299"/>
        </w:sectPr>
      </w:pPr>
      <w:r w:rsidRPr="008009AA">
        <w:rPr>
          <w:rFonts w:cs="Guttman Hodes"/>
          <w:noProof/>
          <w:sz w:val="20"/>
          <w:szCs w:val="20"/>
          <w:rtl/>
        </w:rPr>
        <w:fldChar w:fldCharType="end"/>
      </w:r>
    </w:p>
    <w:p w14:paraId="1F0C1F1E" w14:textId="0AB34540" w:rsidR="00F001AD" w:rsidRPr="00F001AD" w:rsidRDefault="00F001AD" w:rsidP="00F001AD">
      <w:pPr>
        <w:pStyle w:val="TOC9"/>
        <w:tabs>
          <w:tab w:val="right" w:pos="10456"/>
        </w:tabs>
        <w:spacing w:after="240" w:line="360" w:lineRule="auto"/>
        <w:jc w:val="both"/>
        <w:rPr>
          <w:rFonts w:cs="Guttman Hodes"/>
          <w:sz w:val="22"/>
          <w:szCs w:val="22"/>
          <w:rtl/>
        </w:rPr>
      </w:pPr>
    </w:p>
    <w:p w14:paraId="01A666DA" w14:textId="77777777" w:rsidR="00EC3A23" w:rsidRPr="00EC3A23" w:rsidRDefault="00EC3A23" w:rsidP="00EC3A23">
      <w:pPr>
        <w:spacing w:after="0" w:line="240" w:lineRule="auto"/>
        <w:jc w:val="center"/>
        <w:rPr>
          <w:rFonts w:ascii="Calibri" w:eastAsia="Calibri" w:hAnsi="Calibri" w:cs="Guttman Hodes"/>
          <w:rtl/>
        </w:rPr>
      </w:pPr>
      <w:r w:rsidRPr="00EC3A23">
        <w:rPr>
          <w:rFonts w:ascii="Calibri" w:eastAsia="Calibri" w:hAnsi="Calibri" w:cs="Guttman Hodes"/>
          <w:b/>
          <w:bCs/>
          <w:noProof/>
          <w:sz w:val="28"/>
          <w:szCs w:val="28"/>
          <w:rtl/>
        </w:rPr>
        <mc:AlternateContent>
          <mc:Choice Requires="wps">
            <w:drawing>
              <wp:anchor distT="45720" distB="45720" distL="114300" distR="114300" simplePos="0" relativeHeight="251665408" behindDoc="1" locked="0" layoutInCell="1" allowOverlap="1" wp14:anchorId="1392656F" wp14:editId="7249FDF5">
                <wp:simplePos x="0" y="0"/>
                <wp:positionH relativeFrom="column">
                  <wp:posOffset>361949</wp:posOffset>
                </wp:positionH>
                <wp:positionV relativeFrom="paragraph">
                  <wp:posOffset>19050</wp:posOffset>
                </wp:positionV>
                <wp:extent cx="4589145" cy="2000250"/>
                <wp:effectExtent l="19050" t="19050" r="20955" b="19050"/>
                <wp:wrapNone/>
                <wp:docPr id="33"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589145" cy="2000250"/>
                        </a:xfrm>
                        <a:prstGeom prst="roundRect">
                          <a:avLst/>
                        </a:prstGeom>
                        <a:solidFill>
                          <a:srgbClr val="FFFFFF"/>
                        </a:solidFill>
                        <a:ln w="28575" cap="rnd">
                          <a:solidFill>
                            <a:sysClr val="windowText" lastClr="000000"/>
                          </a:solidFill>
                          <a:prstDash val="solid"/>
                          <a:round/>
                          <a:headEnd/>
                          <a:tailEnd/>
                        </a:ln>
                      </wps:spPr>
                      <wps:txbx>
                        <w:txbxContent>
                          <w:p w14:paraId="5393F83A" w14:textId="77777777" w:rsidR="00EC3A23" w:rsidRDefault="00EC3A23" w:rsidP="00EC3A23">
                            <w:pPr>
                              <w:jc w:val="center"/>
                              <w:rPr>
                                <w:rFonts w:cs="Guttman Hodes"/>
                                <w:rtl/>
                                <w:cs/>
                              </w:rPr>
                            </w:pPr>
                          </w:p>
                          <w:p w14:paraId="6EA6A00F" w14:textId="77777777" w:rsidR="00EC3A23" w:rsidRDefault="00EC3A23" w:rsidP="00EC3A23">
                            <w:pPr>
                              <w:jc w:val="center"/>
                              <w:rPr>
                                <w:rFonts w:cs="Guttman Hodes"/>
                                <w:rtl/>
                                <w:cs/>
                              </w:rPr>
                            </w:pPr>
                          </w:p>
                          <w:p w14:paraId="09575B3C" w14:textId="77777777" w:rsidR="00EC3A23" w:rsidRDefault="00EC3A23" w:rsidP="00EC3A23">
                            <w:pPr>
                              <w:jc w:val="center"/>
                              <w:rPr>
                                <w:rFonts w:cs="Guttman Hodes"/>
                                <w:rtl/>
                                <w:cs/>
                              </w:rPr>
                            </w:pPr>
                          </w:p>
                          <w:p w14:paraId="7753C2F8" w14:textId="77777777" w:rsidR="00EC3A23" w:rsidRPr="005723BD" w:rsidRDefault="00EC3A23" w:rsidP="00EC3A23">
                            <w:pPr>
                              <w:jc w:val="center"/>
                              <w:rPr>
                                <w:rFonts w:cs="Guttman Hodes"/>
                                <w:rtl/>
                                <w:cs/>
                              </w:rP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1392656F" id="_x0000_s1028" style="position:absolute;left:0;text-align:left;margin-left:28.5pt;margin-top:1.5pt;width:361.35pt;height:157.5pt;flip:x;z-index:-251651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" strokecolor="windowText" strokeweight="2.25pt">
                <v:stroke endcap="round"/>
                <v:textbox>
                  <w:txbxContent>
                    <w:p w14:paraId="5393F83A" w14:textId="77777777" w:rsidR="00EC3A23" w:rsidRDefault="00EC3A23" w:rsidP="00EC3A23">
                      <w:pPr>
                        <w:jc w:val="center"/>
                        <w:rPr>
                          <w:rFonts w:cs="Guttman Hodes"/>
                          <w:rtl/>
                          <w:cs/>
                        </w:rPr>
                      </w:pPr>
                    </w:p>
                    <w:p w14:paraId="6EA6A00F" w14:textId="77777777" w:rsidR="00EC3A23" w:rsidRDefault="00EC3A23" w:rsidP="00EC3A23">
                      <w:pPr>
                        <w:jc w:val="center"/>
                        <w:rPr>
                          <w:rFonts w:cs="Guttman Hodes"/>
                          <w:rtl/>
                          <w:cs/>
                        </w:rPr>
                      </w:pPr>
                    </w:p>
                    <w:p w14:paraId="09575B3C" w14:textId="77777777" w:rsidR="00EC3A23" w:rsidRDefault="00EC3A23" w:rsidP="00EC3A23">
                      <w:pPr>
                        <w:jc w:val="center"/>
                        <w:rPr>
                          <w:rFonts w:cs="Guttman Hodes"/>
                          <w:rtl/>
                          <w:cs/>
                        </w:rPr>
                      </w:pPr>
                    </w:p>
                    <w:p w14:paraId="7753C2F8" w14:textId="77777777" w:rsidR="00EC3A23" w:rsidRPr="005723BD" w:rsidRDefault="00EC3A23" w:rsidP="00EC3A23">
                      <w:pPr>
                        <w:jc w:val="center"/>
                        <w:rPr>
                          <w:rFonts w:cs="Guttman Hodes"/>
                          <w:rtl/>
                          <w:cs/>
                        </w:rPr>
                      </w:pPr>
                    </w:p>
                  </w:txbxContent>
                </v:textbox>
              </v:roundrect>
            </w:pict>
          </mc:Fallback>
        </mc:AlternateContent>
      </w:r>
    </w:p>
    <w:p w14:paraId="67C46361" w14:textId="77777777" w:rsidR="00EC3A23" w:rsidRPr="00EC3A23" w:rsidRDefault="00EC3A23" w:rsidP="00EC3A23">
      <w:pPr>
        <w:spacing w:after="0" w:line="240" w:lineRule="auto"/>
        <w:jc w:val="center"/>
        <w:rPr>
          <w:rFonts w:ascii="Calibri" w:eastAsia="Calibri" w:hAnsi="Calibri" w:cs="Guttman Hodes"/>
          <w:b/>
          <w:bCs/>
          <w:sz w:val="28"/>
          <w:szCs w:val="28"/>
          <w:rtl/>
        </w:rPr>
      </w:pPr>
      <w:r w:rsidRPr="00EC3A23">
        <w:rPr>
          <w:rFonts w:ascii="Calibri" w:eastAsia="Calibri" w:hAnsi="Calibri" w:cs="Guttman Hodes" w:hint="cs"/>
          <w:b/>
          <w:bCs/>
          <w:sz w:val="28"/>
          <w:szCs w:val="28"/>
          <w:rtl/>
        </w:rPr>
        <w:t>לזכר עולם יהיה צדיק</w:t>
      </w:r>
    </w:p>
    <w:p w14:paraId="74256431" w14:textId="77777777" w:rsidR="00EC3A23" w:rsidRPr="00EC3A23" w:rsidRDefault="00EC3A23" w:rsidP="00EC3A23">
      <w:pPr>
        <w:spacing w:after="0" w:line="240" w:lineRule="auto"/>
        <w:jc w:val="center"/>
        <w:rPr>
          <w:rFonts w:ascii="Calibri" w:eastAsia="Calibri" w:hAnsi="Calibri" w:cs="Guttman Hodes"/>
          <w:rtl/>
        </w:rPr>
      </w:pPr>
      <w:r w:rsidRPr="00EC3A23">
        <w:rPr>
          <w:rFonts w:ascii="Calibri" w:eastAsia="Calibri" w:hAnsi="Calibri" w:cs="Guttman Hodes" w:hint="cs"/>
          <w:rtl/>
        </w:rPr>
        <w:t>לע"נ מוח"ז הגה"ק</w:t>
      </w:r>
    </w:p>
    <w:p w14:paraId="59819CF1" w14:textId="77777777" w:rsidR="00EC3A23" w:rsidRPr="00EC3A23" w:rsidRDefault="00EC3A23" w:rsidP="00EC3A23">
      <w:pPr>
        <w:spacing w:after="0" w:line="240" w:lineRule="auto"/>
        <w:jc w:val="center"/>
        <w:rPr>
          <w:rFonts w:ascii="Calibri" w:eastAsia="Calibri" w:hAnsi="Calibri" w:cs="Guttman Hodes"/>
          <w:rtl/>
        </w:rPr>
      </w:pPr>
      <w:r w:rsidRPr="00EC3A23">
        <w:rPr>
          <w:rFonts w:ascii="Calibri" w:eastAsia="Calibri" w:hAnsi="Calibri" w:cs="Guttman Hodes" w:hint="cs"/>
          <w:rtl/>
        </w:rPr>
        <w:t xml:space="preserve">רבי </w:t>
      </w:r>
      <w:r w:rsidRPr="00EC3A23">
        <w:rPr>
          <w:rFonts w:ascii="Calibri" w:eastAsia="Calibri" w:hAnsi="Calibri" w:cs="Guttman Hodes" w:hint="cs"/>
          <w:b/>
          <w:bCs/>
          <w:sz w:val="28"/>
          <w:szCs w:val="28"/>
          <w:rtl/>
        </w:rPr>
        <w:t xml:space="preserve">חיים משה </w:t>
      </w:r>
      <w:r w:rsidRPr="00EC3A23">
        <w:rPr>
          <w:rFonts w:ascii="Calibri" w:eastAsia="Calibri" w:hAnsi="Calibri" w:cs="Guttman Hodes" w:hint="cs"/>
          <w:rtl/>
        </w:rPr>
        <w:t xml:space="preserve">ב"ר מאיר יוסף </w:t>
      </w:r>
      <w:r w:rsidRPr="00EC3A23">
        <w:rPr>
          <w:rFonts w:ascii="Calibri" w:eastAsia="Calibri" w:hAnsi="Calibri" w:cs="Guttman Hodes" w:hint="cs"/>
          <w:b/>
          <w:bCs/>
          <w:sz w:val="28"/>
          <w:szCs w:val="28"/>
          <w:rtl/>
        </w:rPr>
        <w:t>מנדל</w:t>
      </w:r>
      <w:r w:rsidRPr="00EC3A23">
        <w:rPr>
          <w:rFonts w:ascii="Calibri" w:eastAsia="Calibri" w:hAnsi="Calibri" w:cs="Guttman Hodes" w:hint="cs"/>
          <w:rtl/>
        </w:rPr>
        <w:t xml:space="preserve"> זצוקלל"ה</w:t>
      </w:r>
    </w:p>
    <w:p w14:paraId="5C6EAE2E" w14:textId="77777777" w:rsidR="00EC3A23" w:rsidRPr="00EC3A23" w:rsidRDefault="00EC3A23" w:rsidP="00EC3A23">
      <w:pPr>
        <w:spacing w:after="0" w:line="240" w:lineRule="auto"/>
        <w:jc w:val="center"/>
        <w:rPr>
          <w:rFonts w:ascii="Calibri" w:eastAsia="Calibri" w:hAnsi="Calibri" w:cs="Guttman Hodes"/>
          <w:rtl/>
        </w:rPr>
      </w:pPr>
      <w:r w:rsidRPr="00EC3A23">
        <w:rPr>
          <w:rFonts w:ascii="Calibri" w:eastAsia="Calibri" w:hAnsi="Calibri" w:cs="Guttman Hodes" w:hint="cs"/>
          <w:rtl/>
        </w:rPr>
        <w:t>נלב"ע ד' תמוז</w:t>
      </w:r>
    </w:p>
    <w:p w14:paraId="1D1CF261" w14:textId="77777777" w:rsidR="00EC3A23" w:rsidRPr="00EC3A23" w:rsidRDefault="00EC3A23" w:rsidP="00EC3A23">
      <w:pPr>
        <w:spacing w:after="0" w:line="240" w:lineRule="auto"/>
        <w:jc w:val="center"/>
        <w:rPr>
          <w:rFonts w:ascii="Calibri" w:eastAsia="Calibri" w:hAnsi="Calibri" w:cs="Guttman Hodes"/>
          <w:rtl/>
        </w:rPr>
      </w:pPr>
      <w:r w:rsidRPr="00EC3A23">
        <w:rPr>
          <w:rFonts w:ascii="Calibri" w:eastAsia="Calibri" w:hAnsi="Calibri" w:cs="Guttman Hodes" w:hint="cs"/>
          <w:rtl/>
        </w:rPr>
        <w:t>ת.נ.צ.ב.ה.</w:t>
      </w:r>
    </w:p>
    <w:p w14:paraId="7A8B3AA4" w14:textId="77777777" w:rsidR="00EC3A23" w:rsidRPr="00EC3A23" w:rsidRDefault="00EC3A23" w:rsidP="00EC3A23">
      <w:pPr>
        <w:spacing w:after="0" w:line="240" w:lineRule="auto"/>
        <w:jc w:val="center"/>
        <w:rPr>
          <w:rFonts w:ascii="Calibri" w:eastAsia="Calibri" w:hAnsi="Calibri" w:cs="Guttman Hodes"/>
          <w:rtl/>
        </w:rPr>
      </w:pPr>
    </w:p>
    <w:p w14:paraId="4A55A9C0" w14:textId="77777777" w:rsidR="00EC3A23" w:rsidRPr="00EC3A23" w:rsidRDefault="00EC3A23" w:rsidP="00EC3A23">
      <w:pPr>
        <w:spacing w:after="0" w:line="240" w:lineRule="auto"/>
        <w:jc w:val="center"/>
        <w:rPr>
          <w:rFonts w:ascii="Calibri" w:eastAsia="Calibri" w:hAnsi="Calibri" w:cs="Guttman Hodes"/>
          <w:rtl/>
        </w:rPr>
      </w:pPr>
      <w:r w:rsidRPr="00EC3A23">
        <w:rPr>
          <w:rFonts w:ascii="Calibri" w:eastAsia="Calibri" w:hAnsi="Calibri" w:cs="Guttman Hodes" w:hint="cs"/>
          <w:rtl/>
        </w:rPr>
        <w:t>ורעיתו הרבנית מרת פערל ע"ה ב"ר ישראל זצוק"ל</w:t>
      </w:r>
    </w:p>
    <w:p w14:paraId="535E1479" w14:textId="77777777" w:rsidR="00EC3A23" w:rsidRPr="00EC3A23" w:rsidRDefault="00EC3A23" w:rsidP="00EC3A23">
      <w:pPr>
        <w:spacing w:after="0" w:line="240" w:lineRule="auto"/>
        <w:jc w:val="center"/>
        <w:rPr>
          <w:rFonts w:ascii="Calibri" w:eastAsia="Calibri" w:hAnsi="Calibri" w:cs="Guttman Hodes"/>
          <w:rtl/>
        </w:rPr>
      </w:pPr>
      <w:r w:rsidRPr="00EC3A23">
        <w:rPr>
          <w:rFonts w:ascii="Calibri" w:eastAsia="Calibri" w:hAnsi="Calibri" w:cs="Guttman Hodes" w:hint="cs"/>
          <w:rtl/>
        </w:rPr>
        <w:t>נלב"ע ג' חשון</w:t>
      </w:r>
    </w:p>
    <w:p w14:paraId="5B444B1C" w14:textId="77777777" w:rsidR="00EC3A23" w:rsidRPr="00EC3A23" w:rsidRDefault="00EC3A23" w:rsidP="00EC3A23">
      <w:pPr>
        <w:spacing w:after="0" w:line="240" w:lineRule="auto"/>
        <w:jc w:val="center"/>
        <w:rPr>
          <w:rFonts w:ascii="Calibri" w:eastAsia="Calibri" w:hAnsi="Calibri" w:cs="Guttman Hodes"/>
          <w:rtl/>
        </w:rPr>
      </w:pPr>
      <w:r w:rsidRPr="00EC3A23">
        <w:rPr>
          <w:rFonts w:ascii="Calibri" w:eastAsia="Calibri" w:hAnsi="Calibri" w:cs="Guttman Hodes" w:hint="cs"/>
          <w:rtl/>
        </w:rPr>
        <w:t>ת.נ.צ.ב.ה.</w:t>
      </w:r>
    </w:p>
    <w:p w14:paraId="66025340" w14:textId="77777777" w:rsidR="00EC3A23" w:rsidRPr="00EC3A23" w:rsidRDefault="00EC3A23" w:rsidP="00EC3A23">
      <w:pPr>
        <w:spacing w:after="0" w:line="240" w:lineRule="auto"/>
        <w:jc w:val="center"/>
        <w:rPr>
          <w:rFonts w:ascii="Calibri" w:eastAsia="Calibri" w:hAnsi="Calibri" w:cs="Guttman Hodes"/>
          <w:rtl/>
        </w:rPr>
      </w:pPr>
      <w:r w:rsidRPr="00EC3A23">
        <w:rPr>
          <w:rFonts w:ascii="Calibri" w:eastAsia="Calibri" w:hAnsi="Calibri" w:cs="Arial"/>
          <w:noProof/>
          <w:rtl/>
        </w:rPr>
        <mc:AlternateContent>
          <mc:Choice Requires="wps">
            <w:drawing>
              <wp:anchor distT="45720" distB="45720" distL="114300" distR="114300" simplePos="0" relativeHeight="251664384" behindDoc="1" locked="0" layoutInCell="1" allowOverlap="1" wp14:anchorId="1BA08768" wp14:editId="78776DBB">
                <wp:simplePos x="0" y="0"/>
                <wp:positionH relativeFrom="margin">
                  <wp:posOffset>-334789</wp:posOffset>
                </wp:positionH>
                <wp:positionV relativeFrom="paragraph">
                  <wp:posOffset>194371</wp:posOffset>
                </wp:positionV>
                <wp:extent cx="6003925" cy="4524806"/>
                <wp:effectExtent l="19050" t="19050" r="15875" b="28575"/>
                <wp:wrapNone/>
                <wp:docPr id="34" name="תיבת טקסט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003925" cy="4524806"/>
                        </a:xfrm>
                        <a:prstGeom prst="roundRect">
                          <a:avLst/>
                        </a:prstGeom>
                        <a:solidFill>
                          <a:srgbClr val="FFFFFF"/>
                        </a:solidFill>
                        <a:ln w="28575" cap="rnd">
                          <a:solidFill>
                            <a:sysClr val="windowText" lastClr="000000"/>
                          </a:solidFill>
                          <a:prstDash val="solid"/>
                          <a:round/>
                          <a:headEnd/>
                          <a:tailEnd/>
                        </a:ln>
                      </wps:spPr>
                      <wps:txbx>
                        <w:txbxContent>
                          <w:p w14:paraId="636B8A72" w14:textId="77777777" w:rsidR="00EC3A23" w:rsidRDefault="00EC3A23" w:rsidP="00EC3A23">
                            <w:pPr>
                              <w:jc w:val="center"/>
                              <w:rPr>
                                <w:rFonts w:cs="Guttman Hodes"/>
                                <w:rtl/>
                                <w:cs/>
                              </w:rPr>
                            </w:pPr>
                          </w:p>
                          <w:p w14:paraId="2FAB160D" w14:textId="77777777" w:rsidR="00EC3A23" w:rsidRDefault="00EC3A23" w:rsidP="00EC3A23">
                            <w:pPr>
                              <w:jc w:val="center"/>
                              <w:rPr>
                                <w:rFonts w:cs="Guttman Hodes"/>
                                <w:rtl/>
                                <w:cs/>
                              </w:rPr>
                            </w:pPr>
                          </w:p>
                          <w:p w14:paraId="5179B402" w14:textId="77777777" w:rsidR="00EC3A23" w:rsidRPr="005723BD" w:rsidRDefault="00EC3A23" w:rsidP="00EC3A23">
                            <w:pPr>
                              <w:jc w:val="center"/>
                              <w:rPr>
                                <w:rFonts w:cs="Guttman Hodes"/>
                                <w:rtl/>
                                <w:cs/>
                              </w:rP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1BA08768" id="תיבת טקסט 34" o:spid="_x0000_s1029" style="position:absolute;left:0;text-align:left;margin-left:-26.35pt;margin-top:15.3pt;width:472.75pt;height:356.3pt;flip:x;z-index:-2516520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" strokecolor="windowText" strokeweight="2.25pt">
                <v:stroke endcap="round"/>
                <v:textbox>
                  <w:txbxContent>
                    <w:p w14:paraId="636B8A72" w14:textId="77777777" w:rsidR="00EC3A23" w:rsidRDefault="00EC3A23" w:rsidP="00EC3A23">
                      <w:pPr>
                        <w:jc w:val="center"/>
                        <w:rPr>
                          <w:rFonts w:cs="Guttman Hodes"/>
                          <w:rtl/>
                          <w:cs/>
                        </w:rPr>
                      </w:pPr>
                    </w:p>
                    <w:p w14:paraId="2FAB160D" w14:textId="77777777" w:rsidR="00EC3A23" w:rsidRDefault="00EC3A23" w:rsidP="00EC3A23">
                      <w:pPr>
                        <w:jc w:val="center"/>
                        <w:rPr>
                          <w:rFonts w:cs="Guttman Hodes"/>
                          <w:rtl/>
                          <w:cs/>
                        </w:rPr>
                      </w:pPr>
                    </w:p>
                    <w:p w14:paraId="5179B402" w14:textId="77777777" w:rsidR="00EC3A23" w:rsidRPr="005723BD" w:rsidRDefault="00EC3A23" w:rsidP="00EC3A23">
                      <w:pPr>
                        <w:jc w:val="center"/>
                        <w:rPr>
                          <w:rFonts w:cs="Guttman Hodes"/>
                          <w:rtl/>
                          <w:cs/>
                        </w:rPr>
                      </w:pPr>
                    </w:p>
                  </w:txbxContent>
                </v:textbox>
                <w10:wrap anchorx="margin"/>
              </v:roundrect>
            </w:pict>
          </mc:Fallback>
        </mc:AlternateContent>
      </w:r>
    </w:p>
    <w:p w14:paraId="0240B58A" w14:textId="77777777" w:rsidR="00EC3A23" w:rsidRPr="00EC3A23" w:rsidRDefault="00EC3A23" w:rsidP="00EC3A23">
      <w:pPr>
        <w:spacing w:after="0" w:line="240" w:lineRule="auto"/>
        <w:jc w:val="center"/>
        <w:rPr>
          <w:rFonts w:ascii="Calibri" w:eastAsia="Calibri" w:hAnsi="Calibri" w:cs="Guttman Hodes"/>
          <w:rtl/>
        </w:rPr>
        <w:sectPr w:rsidR="00EC3A23" w:rsidRPr="00EC3A23" w:rsidSect="00553801">
          <w:headerReference w:type="default" r:id="rId11"/>
          <w:pgSz w:w="11906" w:h="16838"/>
          <w:pgMar w:top="1440" w:right="1800" w:bottom="1440" w:left="1800" w:header="708" w:footer="708" w:gutter="0"/>
          <w:cols w:space="709"/>
          <w:bidi/>
          <w:rtlGutter/>
          <w:docGrid w:linePitch="360"/>
        </w:sectPr>
      </w:pPr>
    </w:p>
    <w:p w14:paraId="07812935" w14:textId="77777777" w:rsidR="00EC3A23" w:rsidRPr="00EC3A23" w:rsidRDefault="00EC3A23" w:rsidP="00EC3A23">
      <w:pPr>
        <w:spacing w:after="0" w:line="240" w:lineRule="auto"/>
        <w:jc w:val="center"/>
        <w:rPr>
          <w:rFonts w:ascii="Calibri" w:eastAsia="Calibri" w:hAnsi="Calibri" w:cs="Guttman Hodes"/>
          <w:sz w:val="20"/>
          <w:szCs w:val="20"/>
          <w:rtl/>
        </w:rPr>
      </w:pPr>
    </w:p>
    <w:p w14:paraId="011680F8" w14:textId="77777777" w:rsidR="00EC3A23" w:rsidRPr="00EC3A23" w:rsidRDefault="00EC3A23" w:rsidP="00EC3A23">
      <w:pPr>
        <w:spacing w:after="0" w:line="240" w:lineRule="auto"/>
        <w:jc w:val="center"/>
        <w:rPr>
          <w:rFonts w:ascii="Calibri" w:eastAsia="Calibri" w:hAnsi="Calibri" w:cs="Guttman Hodes"/>
          <w:sz w:val="18"/>
          <w:szCs w:val="18"/>
          <w:rtl/>
        </w:rPr>
      </w:pPr>
      <w:r w:rsidRPr="00EC3A23">
        <w:rPr>
          <w:rFonts w:ascii="Calibri" w:eastAsia="Calibri" w:hAnsi="Calibri" w:cs="Guttman Hodes" w:hint="cs"/>
          <w:sz w:val="18"/>
          <w:szCs w:val="18"/>
          <w:rtl/>
        </w:rPr>
        <w:t>לע"נ אא"ז</w:t>
      </w:r>
    </w:p>
    <w:p w14:paraId="575E62BB" w14:textId="77777777" w:rsidR="00EC3A23" w:rsidRPr="00EC3A23" w:rsidRDefault="00EC3A23" w:rsidP="00EC3A23">
      <w:pPr>
        <w:spacing w:after="0" w:line="240" w:lineRule="auto"/>
        <w:jc w:val="center"/>
        <w:rPr>
          <w:rFonts w:ascii="Calibri" w:eastAsia="Calibri" w:hAnsi="Calibri" w:cs="Guttman Hodes"/>
          <w:sz w:val="18"/>
          <w:szCs w:val="18"/>
          <w:rtl/>
        </w:rPr>
      </w:pPr>
      <w:r w:rsidRPr="00EC3A23">
        <w:rPr>
          <w:rFonts w:ascii="Calibri" w:eastAsia="Calibri" w:hAnsi="Calibri" w:cs="Guttman Hodes" w:hint="cs"/>
          <w:sz w:val="18"/>
          <w:szCs w:val="18"/>
          <w:rtl/>
        </w:rPr>
        <w:t>הרב דוד משה הכהן הנדל זצ"ל</w:t>
      </w:r>
    </w:p>
    <w:p w14:paraId="5AFE76CE" w14:textId="77777777" w:rsidR="00EC3A23" w:rsidRPr="00EC3A23" w:rsidRDefault="00EC3A23" w:rsidP="00EC3A23">
      <w:pPr>
        <w:spacing w:after="0" w:line="240" w:lineRule="auto"/>
        <w:jc w:val="center"/>
        <w:rPr>
          <w:rFonts w:ascii="Calibri" w:eastAsia="Calibri" w:hAnsi="Calibri" w:cs="Guttman Hodes"/>
          <w:sz w:val="18"/>
          <w:szCs w:val="18"/>
          <w:rtl/>
        </w:rPr>
      </w:pPr>
      <w:r w:rsidRPr="00EC3A23">
        <w:rPr>
          <w:rFonts w:ascii="Calibri" w:eastAsia="Calibri" w:hAnsi="Calibri" w:cs="Guttman Hodes" w:hint="cs"/>
          <w:sz w:val="18"/>
          <w:szCs w:val="18"/>
          <w:rtl/>
        </w:rPr>
        <w:t>ב"ר בן ציון ז"ל</w:t>
      </w:r>
    </w:p>
    <w:p w14:paraId="6F209732" w14:textId="77777777" w:rsidR="00EC3A23" w:rsidRPr="00EC3A23" w:rsidRDefault="00EC3A23" w:rsidP="00EC3A23">
      <w:pPr>
        <w:spacing w:after="0" w:line="240" w:lineRule="auto"/>
        <w:jc w:val="center"/>
        <w:rPr>
          <w:rFonts w:ascii="Calibri" w:eastAsia="Calibri" w:hAnsi="Calibri" w:cs="Guttman Hodes"/>
          <w:sz w:val="18"/>
          <w:szCs w:val="18"/>
          <w:rtl/>
        </w:rPr>
      </w:pPr>
      <w:r w:rsidRPr="00EC3A23">
        <w:rPr>
          <w:rFonts w:ascii="Calibri" w:eastAsia="Calibri" w:hAnsi="Calibri" w:cs="Guttman Hodes" w:hint="cs"/>
          <w:sz w:val="18"/>
          <w:szCs w:val="18"/>
          <w:rtl/>
        </w:rPr>
        <w:t>נלב"ע ט"ו אב</w:t>
      </w:r>
    </w:p>
    <w:p w14:paraId="50555B9D" w14:textId="77777777" w:rsidR="00EC3A23" w:rsidRPr="00EC3A23" w:rsidRDefault="00EC3A23" w:rsidP="00EC3A23">
      <w:pPr>
        <w:spacing w:after="0" w:line="240" w:lineRule="auto"/>
        <w:jc w:val="center"/>
        <w:rPr>
          <w:rFonts w:ascii="Calibri" w:eastAsia="Calibri" w:hAnsi="Calibri" w:cs="Guttman Hodes"/>
          <w:sz w:val="18"/>
          <w:szCs w:val="18"/>
          <w:rtl/>
        </w:rPr>
      </w:pPr>
      <w:r w:rsidRPr="00EC3A23">
        <w:rPr>
          <w:rFonts w:ascii="Calibri" w:eastAsia="Calibri" w:hAnsi="Calibri" w:cs="Guttman Hodes" w:hint="cs"/>
          <w:sz w:val="18"/>
          <w:szCs w:val="18"/>
          <w:rtl/>
        </w:rPr>
        <w:t>ת.נ.צ.ב.ה.</w:t>
      </w:r>
    </w:p>
    <w:p w14:paraId="75A87903" w14:textId="77777777" w:rsidR="00EC3A23" w:rsidRPr="00EC3A23" w:rsidRDefault="00EC3A23" w:rsidP="00EC3A23">
      <w:pPr>
        <w:spacing w:after="0" w:line="240" w:lineRule="auto"/>
        <w:jc w:val="center"/>
        <w:rPr>
          <w:rFonts w:ascii="Calibri" w:eastAsia="Calibri" w:hAnsi="Calibri" w:cs="Guttman Hodes"/>
          <w:sz w:val="18"/>
          <w:szCs w:val="18"/>
          <w:rtl/>
        </w:rPr>
      </w:pPr>
    </w:p>
    <w:p w14:paraId="5B376645" w14:textId="77777777" w:rsidR="00EC3A23" w:rsidRPr="00EC3A23" w:rsidRDefault="00EC3A23" w:rsidP="00EC3A23">
      <w:pPr>
        <w:spacing w:after="0" w:line="240" w:lineRule="auto"/>
        <w:jc w:val="center"/>
        <w:rPr>
          <w:rFonts w:ascii="Calibri" w:eastAsia="Calibri" w:hAnsi="Calibri" w:cs="Guttman Hodes"/>
          <w:sz w:val="18"/>
          <w:szCs w:val="18"/>
          <w:rtl/>
        </w:rPr>
      </w:pPr>
      <w:r w:rsidRPr="00EC3A23">
        <w:rPr>
          <w:rFonts w:ascii="Calibri" w:eastAsia="Calibri" w:hAnsi="Calibri" w:cs="Guttman Hodes" w:hint="cs"/>
          <w:sz w:val="18"/>
          <w:szCs w:val="18"/>
          <w:rtl/>
        </w:rPr>
        <w:t>ורעיתו א"ז מרת רחל פייגא הנדל ע"ה</w:t>
      </w:r>
    </w:p>
    <w:p w14:paraId="775B3A68" w14:textId="77777777" w:rsidR="00EC3A23" w:rsidRPr="00EC3A23" w:rsidRDefault="00EC3A23" w:rsidP="00EC3A23">
      <w:pPr>
        <w:spacing w:after="0" w:line="240" w:lineRule="auto"/>
        <w:jc w:val="center"/>
        <w:rPr>
          <w:rFonts w:ascii="Calibri" w:eastAsia="Calibri" w:hAnsi="Calibri" w:cs="Guttman Hodes"/>
          <w:sz w:val="18"/>
          <w:szCs w:val="18"/>
          <w:rtl/>
        </w:rPr>
      </w:pPr>
      <w:r w:rsidRPr="00EC3A23">
        <w:rPr>
          <w:rFonts w:ascii="Calibri" w:eastAsia="Calibri" w:hAnsi="Calibri" w:cs="Guttman Hodes" w:hint="cs"/>
          <w:sz w:val="18"/>
          <w:szCs w:val="18"/>
          <w:rtl/>
        </w:rPr>
        <w:t>ב"ר אהרן הי"ד</w:t>
      </w:r>
    </w:p>
    <w:p w14:paraId="01DCA3B7" w14:textId="77777777" w:rsidR="00EC3A23" w:rsidRPr="00EC3A23" w:rsidRDefault="00EC3A23" w:rsidP="00EC3A23">
      <w:pPr>
        <w:spacing w:after="0" w:line="240" w:lineRule="auto"/>
        <w:jc w:val="center"/>
        <w:rPr>
          <w:rFonts w:ascii="Calibri" w:eastAsia="Calibri" w:hAnsi="Calibri" w:cs="Guttman Hodes"/>
          <w:sz w:val="18"/>
          <w:szCs w:val="18"/>
          <w:rtl/>
        </w:rPr>
      </w:pPr>
      <w:r w:rsidRPr="00EC3A23">
        <w:rPr>
          <w:rFonts w:ascii="Calibri" w:eastAsia="Calibri" w:hAnsi="Calibri" w:cs="Guttman Hodes" w:hint="cs"/>
          <w:sz w:val="18"/>
          <w:szCs w:val="18"/>
          <w:rtl/>
        </w:rPr>
        <w:t>נלב"ע ח' טבת</w:t>
      </w:r>
    </w:p>
    <w:p w14:paraId="088167BE" w14:textId="77777777" w:rsidR="00EC3A23" w:rsidRPr="00EC3A23" w:rsidRDefault="00EC3A23" w:rsidP="00EC3A23">
      <w:pPr>
        <w:spacing w:after="0" w:line="240" w:lineRule="auto"/>
        <w:jc w:val="center"/>
        <w:rPr>
          <w:rFonts w:ascii="Calibri" w:eastAsia="Calibri" w:hAnsi="Calibri" w:cs="Guttman Hodes"/>
          <w:sz w:val="18"/>
          <w:szCs w:val="18"/>
          <w:rtl/>
        </w:rPr>
      </w:pPr>
      <w:r w:rsidRPr="00EC3A23">
        <w:rPr>
          <w:rFonts w:ascii="Calibri" w:eastAsia="Calibri" w:hAnsi="Calibri" w:cs="Guttman Hodes" w:hint="cs"/>
          <w:sz w:val="18"/>
          <w:szCs w:val="18"/>
          <w:rtl/>
        </w:rPr>
        <w:t>ת.נ.צ.ב.ה.</w:t>
      </w:r>
    </w:p>
    <w:p w14:paraId="6775A9B5" w14:textId="77777777" w:rsidR="00EC3A23" w:rsidRPr="00EC3A23" w:rsidRDefault="00EC3A23" w:rsidP="00EC3A23">
      <w:pPr>
        <w:spacing w:after="0" w:line="240" w:lineRule="auto"/>
        <w:jc w:val="center"/>
        <w:rPr>
          <w:rFonts w:ascii="Calibri" w:eastAsia="Calibri" w:hAnsi="Calibri" w:cs="Guttman Hodes"/>
          <w:sz w:val="18"/>
          <w:szCs w:val="18"/>
          <w:rtl/>
        </w:rPr>
      </w:pPr>
    </w:p>
    <w:p w14:paraId="27FC72BE" w14:textId="77777777" w:rsidR="00EC3A23" w:rsidRPr="00EC3A23" w:rsidRDefault="00EC3A23" w:rsidP="00EC3A23">
      <w:pPr>
        <w:spacing w:after="0" w:line="240" w:lineRule="auto"/>
        <w:jc w:val="center"/>
        <w:rPr>
          <w:rFonts w:ascii="Calibri" w:eastAsia="Calibri" w:hAnsi="Calibri" w:cs="Guttman Hodes"/>
          <w:sz w:val="18"/>
          <w:szCs w:val="18"/>
          <w:rtl/>
        </w:rPr>
      </w:pPr>
      <w:r w:rsidRPr="00EC3A23">
        <w:rPr>
          <w:rFonts w:ascii="Calibri" w:eastAsia="Calibri" w:hAnsi="Calibri" w:cs="Guttman Hodes" w:hint="cs"/>
          <w:sz w:val="18"/>
          <w:szCs w:val="18"/>
          <w:rtl/>
        </w:rPr>
        <w:t>לע"נ אא"ז</w:t>
      </w:r>
    </w:p>
    <w:p w14:paraId="1ACAA018" w14:textId="77777777" w:rsidR="00EC3A23" w:rsidRPr="00EC3A23" w:rsidRDefault="00EC3A23" w:rsidP="00EC3A23">
      <w:pPr>
        <w:spacing w:after="0" w:line="240" w:lineRule="auto"/>
        <w:jc w:val="center"/>
        <w:rPr>
          <w:rFonts w:ascii="Calibri" w:eastAsia="Calibri" w:hAnsi="Calibri" w:cs="Guttman Hodes"/>
          <w:sz w:val="20"/>
          <w:szCs w:val="20"/>
          <w:rtl/>
        </w:rPr>
      </w:pPr>
      <w:r w:rsidRPr="00EC3A23">
        <w:rPr>
          <w:rFonts w:ascii="Calibri" w:eastAsia="Calibri" w:hAnsi="Calibri" w:cs="Guttman Hodes" w:hint="cs"/>
          <w:sz w:val="20"/>
          <w:szCs w:val="20"/>
          <w:rtl/>
        </w:rPr>
        <w:t>הרב שמחה גרינבוים זצ"ל</w:t>
      </w:r>
    </w:p>
    <w:p w14:paraId="6A6C6D9E" w14:textId="77777777" w:rsidR="00EC3A23" w:rsidRPr="00EC3A23" w:rsidRDefault="00EC3A23" w:rsidP="00EC3A23">
      <w:pPr>
        <w:spacing w:after="0" w:line="240" w:lineRule="auto"/>
        <w:jc w:val="center"/>
        <w:rPr>
          <w:rFonts w:ascii="Calibri" w:eastAsia="Calibri" w:hAnsi="Calibri" w:cs="Guttman Hodes"/>
          <w:sz w:val="20"/>
          <w:szCs w:val="20"/>
          <w:rtl/>
        </w:rPr>
      </w:pPr>
      <w:r w:rsidRPr="00EC3A23">
        <w:rPr>
          <w:rFonts w:ascii="Calibri" w:eastAsia="Calibri" w:hAnsi="Calibri" w:cs="Guttman Hodes" w:hint="cs"/>
          <w:sz w:val="20"/>
          <w:szCs w:val="20"/>
          <w:rtl/>
        </w:rPr>
        <w:t>ב"ר יהודה זצ"ל</w:t>
      </w:r>
    </w:p>
    <w:p w14:paraId="5CB62961" w14:textId="77777777" w:rsidR="00EC3A23" w:rsidRPr="00EC3A23" w:rsidRDefault="00EC3A23" w:rsidP="00EC3A23">
      <w:pPr>
        <w:spacing w:after="0" w:line="240" w:lineRule="auto"/>
        <w:jc w:val="center"/>
        <w:rPr>
          <w:rFonts w:ascii="Calibri" w:eastAsia="Calibri" w:hAnsi="Calibri" w:cs="Guttman Hodes"/>
          <w:sz w:val="20"/>
          <w:szCs w:val="20"/>
          <w:rtl/>
        </w:rPr>
      </w:pPr>
      <w:r w:rsidRPr="00EC3A23">
        <w:rPr>
          <w:rFonts w:ascii="Calibri" w:eastAsia="Calibri" w:hAnsi="Calibri" w:cs="Guttman Hodes" w:hint="cs"/>
          <w:sz w:val="20"/>
          <w:szCs w:val="20"/>
          <w:rtl/>
        </w:rPr>
        <w:t>נלב"ע כ"ג שבט</w:t>
      </w:r>
    </w:p>
    <w:p w14:paraId="535E460E" w14:textId="77777777" w:rsidR="00EC3A23" w:rsidRPr="00EC3A23" w:rsidRDefault="00EC3A23" w:rsidP="00EC3A23">
      <w:pPr>
        <w:spacing w:after="0" w:line="240" w:lineRule="auto"/>
        <w:jc w:val="center"/>
        <w:rPr>
          <w:rFonts w:ascii="Calibri" w:eastAsia="Calibri" w:hAnsi="Calibri" w:cs="Guttman Hodes"/>
          <w:sz w:val="20"/>
          <w:szCs w:val="20"/>
          <w:rtl/>
        </w:rPr>
      </w:pPr>
      <w:r w:rsidRPr="00EC3A23">
        <w:rPr>
          <w:rFonts w:ascii="Calibri" w:eastAsia="Calibri" w:hAnsi="Calibri" w:cs="Guttman Hodes" w:hint="cs"/>
          <w:sz w:val="20"/>
          <w:szCs w:val="20"/>
          <w:rtl/>
        </w:rPr>
        <w:t>ת.נ.צ.ב.ה.</w:t>
      </w:r>
    </w:p>
    <w:p w14:paraId="62B25C6D" w14:textId="77777777" w:rsidR="00EC3A23" w:rsidRPr="00EC3A23" w:rsidRDefault="00EC3A23" w:rsidP="00EC3A23">
      <w:pPr>
        <w:spacing w:after="0" w:line="240" w:lineRule="auto"/>
        <w:jc w:val="center"/>
        <w:rPr>
          <w:rFonts w:ascii="Calibri" w:eastAsia="Calibri" w:hAnsi="Calibri" w:cs="Guttman Hodes"/>
          <w:sz w:val="18"/>
          <w:szCs w:val="18"/>
          <w:rtl/>
        </w:rPr>
      </w:pPr>
    </w:p>
    <w:p w14:paraId="6F90BD87" w14:textId="77777777" w:rsidR="00EC3A23" w:rsidRPr="00EC3A23" w:rsidRDefault="00EC3A23" w:rsidP="00EC3A23">
      <w:pPr>
        <w:spacing w:after="0" w:line="240" w:lineRule="auto"/>
        <w:jc w:val="center"/>
        <w:rPr>
          <w:rFonts w:ascii="Calibri" w:eastAsia="Calibri" w:hAnsi="Calibri" w:cs="Guttman Hodes"/>
          <w:sz w:val="18"/>
          <w:szCs w:val="18"/>
          <w:rtl/>
        </w:rPr>
      </w:pPr>
      <w:r w:rsidRPr="00EC3A23">
        <w:rPr>
          <w:rFonts w:ascii="Calibri" w:eastAsia="Calibri" w:hAnsi="Calibri" w:cs="Guttman Hodes" w:hint="cs"/>
          <w:sz w:val="18"/>
          <w:szCs w:val="18"/>
          <w:rtl/>
        </w:rPr>
        <w:t>לע"נ אא"ז</w:t>
      </w:r>
    </w:p>
    <w:p w14:paraId="1EC3CE85" w14:textId="77777777" w:rsidR="00EC3A23" w:rsidRPr="00EC3A23" w:rsidRDefault="00EC3A23" w:rsidP="00EC3A23">
      <w:pPr>
        <w:spacing w:after="0" w:line="240" w:lineRule="auto"/>
        <w:jc w:val="center"/>
        <w:rPr>
          <w:rFonts w:ascii="Calibri" w:eastAsia="Calibri" w:hAnsi="Calibri" w:cs="Guttman Hodes"/>
          <w:sz w:val="18"/>
          <w:szCs w:val="18"/>
          <w:rtl/>
        </w:rPr>
      </w:pPr>
      <w:r w:rsidRPr="00EC3A23">
        <w:rPr>
          <w:rFonts w:ascii="Calibri" w:eastAsia="Calibri" w:hAnsi="Calibri" w:cs="Guttman Hodes" w:hint="cs"/>
          <w:sz w:val="18"/>
          <w:szCs w:val="18"/>
          <w:rtl/>
        </w:rPr>
        <w:t>הרב יהודה גרינבוים זצ"ל</w:t>
      </w:r>
    </w:p>
    <w:p w14:paraId="58D67C23" w14:textId="77777777" w:rsidR="00EC3A23" w:rsidRPr="00EC3A23" w:rsidRDefault="00EC3A23" w:rsidP="00EC3A23">
      <w:pPr>
        <w:spacing w:after="0" w:line="240" w:lineRule="auto"/>
        <w:jc w:val="center"/>
        <w:rPr>
          <w:rFonts w:ascii="Calibri" w:eastAsia="Calibri" w:hAnsi="Calibri" w:cs="Guttman Hodes"/>
          <w:sz w:val="18"/>
          <w:szCs w:val="18"/>
          <w:rtl/>
        </w:rPr>
      </w:pPr>
      <w:r w:rsidRPr="00EC3A23">
        <w:rPr>
          <w:rFonts w:ascii="Calibri" w:eastAsia="Calibri" w:hAnsi="Calibri" w:cs="Guttman Hodes" w:hint="cs"/>
          <w:sz w:val="18"/>
          <w:szCs w:val="18"/>
          <w:rtl/>
        </w:rPr>
        <w:t xml:space="preserve">ב"ר שמחה זצ"ל </w:t>
      </w:r>
    </w:p>
    <w:p w14:paraId="376530EB" w14:textId="77777777" w:rsidR="00EC3A23" w:rsidRPr="00EC3A23" w:rsidRDefault="00EC3A23" w:rsidP="00EC3A23">
      <w:pPr>
        <w:spacing w:after="0" w:line="240" w:lineRule="auto"/>
        <w:jc w:val="center"/>
        <w:rPr>
          <w:rFonts w:ascii="Calibri" w:eastAsia="Calibri" w:hAnsi="Calibri" w:cs="Guttman Hodes"/>
          <w:sz w:val="18"/>
          <w:szCs w:val="18"/>
          <w:rtl/>
        </w:rPr>
      </w:pPr>
      <w:r w:rsidRPr="00EC3A23">
        <w:rPr>
          <w:rFonts w:ascii="Calibri" w:eastAsia="Calibri" w:hAnsi="Calibri" w:cs="Guttman Hodes" w:hint="cs"/>
          <w:sz w:val="18"/>
          <w:szCs w:val="18"/>
          <w:rtl/>
        </w:rPr>
        <w:t>נלב"ע י"ב אב</w:t>
      </w:r>
    </w:p>
    <w:p w14:paraId="401277EB" w14:textId="77777777" w:rsidR="00EC3A23" w:rsidRPr="00EC3A23" w:rsidRDefault="00EC3A23" w:rsidP="00EC3A23">
      <w:pPr>
        <w:spacing w:after="0" w:line="240" w:lineRule="auto"/>
        <w:jc w:val="center"/>
        <w:rPr>
          <w:rFonts w:ascii="Calibri" w:eastAsia="Calibri" w:hAnsi="Calibri" w:cs="Guttman Hodes"/>
          <w:sz w:val="18"/>
          <w:szCs w:val="18"/>
          <w:rtl/>
        </w:rPr>
      </w:pPr>
    </w:p>
    <w:p w14:paraId="1F8F5654" w14:textId="77777777" w:rsidR="00EC3A23" w:rsidRPr="00EC3A23" w:rsidRDefault="00EC3A23" w:rsidP="00EC3A23">
      <w:pPr>
        <w:spacing w:after="0" w:line="240" w:lineRule="auto"/>
        <w:jc w:val="center"/>
        <w:rPr>
          <w:rFonts w:ascii="Calibri" w:eastAsia="Calibri" w:hAnsi="Calibri" w:cs="Guttman Hodes"/>
          <w:sz w:val="18"/>
          <w:szCs w:val="18"/>
          <w:rtl/>
        </w:rPr>
      </w:pPr>
    </w:p>
    <w:p w14:paraId="58EF93D4" w14:textId="77777777" w:rsidR="00EC3A23" w:rsidRPr="00EC3A23" w:rsidRDefault="00EC3A23" w:rsidP="00EC3A23">
      <w:pPr>
        <w:spacing w:after="0" w:line="240" w:lineRule="auto"/>
        <w:jc w:val="center"/>
        <w:rPr>
          <w:rFonts w:ascii="Calibri" w:eastAsia="Calibri" w:hAnsi="Calibri" w:cs="Guttman Hodes"/>
          <w:sz w:val="18"/>
          <w:szCs w:val="18"/>
          <w:rtl/>
        </w:rPr>
      </w:pPr>
    </w:p>
    <w:p w14:paraId="7A071882" w14:textId="77777777" w:rsidR="00EC3A23" w:rsidRPr="00EC3A23" w:rsidRDefault="00EC3A23" w:rsidP="00EC3A23">
      <w:pPr>
        <w:spacing w:after="0" w:line="240" w:lineRule="auto"/>
        <w:jc w:val="center"/>
        <w:rPr>
          <w:rFonts w:ascii="Calibri" w:eastAsia="Calibri" w:hAnsi="Calibri" w:cs="Guttman Hodes"/>
          <w:sz w:val="18"/>
          <w:szCs w:val="18"/>
          <w:rtl/>
        </w:rPr>
      </w:pPr>
    </w:p>
    <w:p w14:paraId="7D443406" w14:textId="77777777" w:rsidR="00EC3A23" w:rsidRPr="00EC3A23" w:rsidRDefault="00EC3A23" w:rsidP="00EC3A23">
      <w:pPr>
        <w:spacing w:after="0" w:line="240" w:lineRule="auto"/>
        <w:jc w:val="center"/>
        <w:rPr>
          <w:rFonts w:ascii="Calibri" w:eastAsia="Calibri" w:hAnsi="Calibri" w:cs="Guttman Hodes"/>
          <w:sz w:val="18"/>
          <w:szCs w:val="18"/>
          <w:rtl/>
        </w:rPr>
      </w:pPr>
    </w:p>
    <w:p w14:paraId="3C8CD3AC" w14:textId="77777777" w:rsidR="00EC3A23" w:rsidRPr="00EC3A23" w:rsidRDefault="00EC3A23" w:rsidP="00EC3A23">
      <w:pPr>
        <w:spacing w:after="0" w:line="240" w:lineRule="auto"/>
        <w:jc w:val="center"/>
        <w:rPr>
          <w:rFonts w:ascii="Calibri" w:eastAsia="Calibri" w:hAnsi="Calibri" w:cs="Guttman Hodes"/>
          <w:sz w:val="18"/>
          <w:szCs w:val="18"/>
          <w:rtl/>
        </w:rPr>
      </w:pPr>
      <w:r w:rsidRPr="00EC3A23">
        <w:rPr>
          <w:rFonts w:ascii="Calibri" w:eastAsia="Calibri" w:hAnsi="Calibri" w:cs="Guttman Hodes" w:hint="cs"/>
          <w:sz w:val="18"/>
          <w:szCs w:val="18"/>
          <w:rtl/>
        </w:rPr>
        <w:t>לע"ז מוח"ז</w:t>
      </w:r>
    </w:p>
    <w:p w14:paraId="01A15351" w14:textId="77777777" w:rsidR="00EC3A23" w:rsidRPr="00EC3A23" w:rsidRDefault="00EC3A23" w:rsidP="00EC3A23">
      <w:pPr>
        <w:spacing w:after="0" w:line="240" w:lineRule="auto"/>
        <w:jc w:val="center"/>
        <w:rPr>
          <w:rFonts w:ascii="Calibri" w:eastAsia="Calibri" w:hAnsi="Calibri" w:cs="Guttman Hodes"/>
          <w:sz w:val="18"/>
          <w:szCs w:val="18"/>
          <w:rtl/>
        </w:rPr>
      </w:pPr>
      <w:r w:rsidRPr="00EC3A23">
        <w:rPr>
          <w:rFonts w:ascii="Calibri" w:eastAsia="Calibri" w:hAnsi="Calibri" w:cs="Guttman Hodes" w:hint="cs"/>
          <w:sz w:val="18"/>
          <w:szCs w:val="18"/>
          <w:rtl/>
        </w:rPr>
        <w:t>הרב גבריאל שטרנפלד זצ"ל</w:t>
      </w:r>
    </w:p>
    <w:p w14:paraId="2505F822" w14:textId="77777777" w:rsidR="00EC3A23" w:rsidRPr="00EC3A23" w:rsidRDefault="00EC3A23" w:rsidP="00EC3A23">
      <w:pPr>
        <w:spacing w:after="0" w:line="240" w:lineRule="auto"/>
        <w:jc w:val="center"/>
        <w:rPr>
          <w:rFonts w:ascii="Calibri" w:eastAsia="Calibri" w:hAnsi="Calibri" w:cs="Guttman Hodes"/>
          <w:sz w:val="18"/>
          <w:szCs w:val="18"/>
          <w:rtl/>
        </w:rPr>
      </w:pPr>
      <w:r w:rsidRPr="00EC3A23">
        <w:rPr>
          <w:rFonts w:ascii="Calibri" w:eastAsia="Calibri" w:hAnsi="Calibri" w:cs="Guttman Hodes" w:hint="cs"/>
          <w:sz w:val="18"/>
          <w:szCs w:val="18"/>
          <w:rtl/>
        </w:rPr>
        <w:t>ב"ר מיכאל ז"ל נלב"ע ז' ניסן</w:t>
      </w:r>
    </w:p>
    <w:p w14:paraId="710D028C" w14:textId="77777777" w:rsidR="00EC3A23" w:rsidRPr="00EC3A23" w:rsidRDefault="00EC3A23" w:rsidP="00EC3A23">
      <w:pPr>
        <w:spacing w:after="0" w:line="240" w:lineRule="auto"/>
        <w:jc w:val="center"/>
        <w:rPr>
          <w:rFonts w:ascii="Calibri" w:eastAsia="Calibri" w:hAnsi="Calibri" w:cs="Guttman Hodes"/>
          <w:sz w:val="18"/>
          <w:szCs w:val="18"/>
          <w:rtl/>
        </w:rPr>
      </w:pPr>
      <w:r w:rsidRPr="00EC3A23">
        <w:rPr>
          <w:rFonts w:ascii="Calibri" w:eastAsia="Calibri" w:hAnsi="Calibri" w:cs="Guttman Hodes" w:hint="cs"/>
          <w:sz w:val="18"/>
          <w:szCs w:val="18"/>
          <w:rtl/>
        </w:rPr>
        <w:t>ת.נ.צ.ב.ה.</w:t>
      </w:r>
    </w:p>
    <w:p w14:paraId="1B27A42B" w14:textId="77777777" w:rsidR="00EC3A23" w:rsidRPr="00EC3A23" w:rsidRDefault="00EC3A23" w:rsidP="00EC3A23">
      <w:pPr>
        <w:spacing w:after="0" w:line="240" w:lineRule="auto"/>
        <w:jc w:val="center"/>
        <w:rPr>
          <w:rFonts w:ascii="Calibri" w:eastAsia="Calibri" w:hAnsi="Calibri" w:cs="Guttman Hodes"/>
          <w:sz w:val="18"/>
          <w:szCs w:val="18"/>
          <w:rtl/>
        </w:rPr>
      </w:pPr>
    </w:p>
    <w:p w14:paraId="5AD1C5AF" w14:textId="77777777" w:rsidR="00EC3A23" w:rsidRPr="00EC3A23" w:rsidRDefault="00EC3A23" w:rsidP="00EC3A23">
      <w:pPr>
        <w:spacing w:after="0" w:line="240" w:lineRule="auto"/>
        <w:jc w:val="center"/>
        <w:rPr>
          <w:rFonts w:ascii="Calibri" w:eastAsia="Calibri" w:hAnsi="Calibri" w:cs="Guttman Hodes"/>
          <w:sz w:val="18"/>
          <w:szCs w:val="18"/>
          <w:rtl/>
        </w:rPr>
      </w:pPr>
      <w:r w:rsidRPr="00EC3A23">
        <w:rPr>
          <w:rFonts w:ascii="Calibri" w:eastAsia="Calibri" w:hAnsi="Calibri" w:cs="Guttman Hodes" w:hint="cs"/>
          <w:sz w:val="18"/>
          <w:szCs w:val="18"/>
          <w:rtl/>
        </w:rPr>
        <w:t>ורעיתו מרת מרת רעכל שטרנפלד ע"ה</w:t>
      </w:r>
    </w:p>
    <w:p w14:paraId="3C99B007" w14:textId="77777777" w:rsidR="00EC3A23" w:rsidRPr="00EC3A23" w:rsidRDefault="00EC3A23" w:rsidP="00EC3A23">
      <w:pPr>
        <w:spacing w:after="0" w:line="240" w:lineRule="auto"/>
        <w:jc w:val="center"/>
        <w:rPr>
          <w:rFonts w:ascii="Calibri" w:eastAsia="Calibri" w:hAnsi="Calibri" w:cs="Guttman Hodes"/>
          <w:sz w:val="18"/>
          <w:szCs w:val="18"/>
          <w:rtl/>
        </w:rPr>
      </w:pPr>
      <w:r w:rsidRPr="00EC3A23">
        <w:rPr>
          <w:rFonts w:ascii="Calibri" w:eastAsia="Calibri" w:hAnsi="Calibri" w:cs="Guttman Hodes" w:hint="cs"/>
          <w:sz w:val="18"/>
          <w:szCs w:val="18"/>
          <w:rtl/>
        </w:rPr>
        <w:t>ב"ר יוסף יצחק זצ"ל</w:t>
      </w:r>
    </w:p>
    <w:p w14:paraId="6F02D422" w14:textId="77777777" w:rsidR="00EC3A23" w:rsidRPr="00EC3A23" w:rsidRDefault="00EC3A23" w:rsidP="00EC3A23">
      <w:pPr>
        <w:spacing w:after="0" w:line="240" w:lineRule="auto"/>
        <w:jc w:val="center"/>
        <w:rPr>
          <w:rFonts w:ascii="Calibri" w:eastAsia="Calibri" w:hAnsi="Calibri" w:cs="Guttman Hodes"/>
          <w:sz w:val="18"/>
          <w:szCs w:val="18"/>
          <w:rtl/>
        </w:rPr>
      </w:pPr>
      <w:r w:rsidRPr="00EC3A23">
        <w:rPr>
          <w:rFonts w:ascii="Calibri" w:eastAsia="Calibri" w:hAnsi="Calibri" w:cs="Guttman Hodes" w:hint="cs"/>
          <w:sz w:val="18"/>
          <w:szCs w:val="18"/>
          <w:rtl/>
        </w:rPr>
        <w:t>נלב"ע כ' כסליו</w:t>
      </w:r>
    </w:p>
    <w:p w14:paraId="5A910327" w14:textId="77777777" w:rsidR="00EC3A23" w:rsidRPr="00EC3A23" w:rsidRDefault="00EC3A23" w:rsidP="00EC3A23">
      <w:pPr>
        <w:spacing w:after="0" w:line="240" w:lineRule="auto"/>
        <w:jc w:val="center"/>
        <w:rPr>
          <w:rFonts w:ascii="Calibri" w:eastAsia="Calibri" w:hAnsi="Calibri" w:cs="Guttman Hodes"/>
          <w:sz w:val="18"/>
          <w:szCs w:val="18"/>
          <w:rtl/>
        </w:rPr>
      </w:pPr>
      <w:r w:rsidRPr="00EC3A23">
        <w:rPr>
          <w:rFonts w:ascii="Calibri" w:eastAsia="Calibri" w:hAnsi="Calibri" w:cs="Guttman Hodes" w:hint="cs"/>
          <w:sz w:val="18"/>
          <w:szCs w:val="18"/>
          <w:rtl/>
        </w:rPr>
        <w:t>ת.נ.צ.ב.ה.</w:t>
      </w:r>
    </w:p>
    <w:p w14:paraId="0832D11A" w14:textId="77777777" w:rsidR="00EC3A23" w:rsidRPr="00EC3A23" w:rsidRDefault="00EC3A23" w:rsidP="00EC3A23">
      <w:pPr>
        <w:spacing w:after="0" w:line="240" w:lineRule="auto"/>
        <w:jc w:val="center"/>
        <w:rPr>
          <w:rFonts w:ascii="Calibri" w:eastAsia="Calibri" w:hAnsi="Calibri" w:cs="Guttman Hodes"/>
          <w:sz w:val="18"/>
          <w:szCs w:val="18"/>
          <w:rtl/>
        </w:rPr>
      </w:pPr>
    </w:p>
    <w:p w14:paraId="208C956F" w14:textId="77777777" w:rsidR="00EC3A23" w:rsidRPr="00EC3A23" w:rsidRDefault="00EC3A23" w:rsidP="00EC3A23">
      <w:pPr>
        <w:spacing w:after="0" w:line="240" w:lineRule="auto"/>
        <w:jc w:val="center"/>
        <w:rPr>
          <w:rFonts w:ascii="Calibri" w:eastAsia="Calibri" w:hAnsi="Calibri" w:cs="Guttman Hodes"/>
          <w:sz w:val="18"/>
          <w:szCs w:val="18"/>
          <w:rtl/>
        </w:rPr>
      </w:pPr>
    </w:p>
    <w:p w14:paraId="4C4D85A3" w14:textId="77777777" w:rsidR="00EC3A23" w:rsidRPr="00EC3A23" w:rsidRDefault="00EC3A23" w:rsidP="00EC3A23">
      <w:pPr>
        <w:spacing w:after="0" w:line="240" w:lineRule="auto"/>
        <w:jc w:val="center"/>
        <w:rPr>
          <w:rFonts w:ascii="Calibri" w:eastAsia="Calibri" w:hAnsi="Calibri" w:cs="Guttman Hodes"/>
          <w:sz w:val="18"/>
          <w:szCs w:val="18"/>
          <w:rtl/>
        </w:rPr>
      </w:pPr>
      <w:r w:rsidRPr="00EC3A23">
        <w:rPr>
          <w:rFonts w:ascii="Calibri" w:eastAsia="Calibri" w:hAnsi="Calibri" w:cs="Guttman Hodes" w:hint="cs"/>
          <w:sz w:val="18"/>
          <w:szCs w:val="18"/>
          <w:rtl/>
        </w:rPr>
        <w:t xml:space="preserve">לע"נ אמי זקנתי </w:t>
      </w:r>
    </w:p>
    <w:p w14:paraId="550C8E89" w14:textId="77777777" w:rsidR="00EC3A23" w:rsidRPr="00EC3A23" w:rsidRDefault="00EC3A23" w:rsidP="00EC3A23">
      <w:pPr>
        <w:spacing w:after="0" w:line="240" w:lineRule="auto"/>
        <w:jc w:val="center"/>
        <w:rPr>
          <w:rFonts w:ascii="Calibri" w:eastAsia="Calibri" w:hAnsi="Calibri" w:cs="Guttman Hodes"/>
          <w:sz w:val="18"/>
          <w:szCs w:val="18"/>
          <w:rtl/>
        </w:rPr>
      </w:pPr>
      <w:r w:rsidRPr="00EC3A23">
        <w:rPr>
          <w:rFonts w:ascii="Calibri" w:eastAsia="Calibri" w:hAnsi="Calibri" w:cs="Guttman Hodes" w:hint="cs"/>
          <w:sz w:val="18"/>
          <w:szCs w:val="18"/>
          <w:rtl/>
        </w:rPr>
        <w:t>הרבנית מרת רחל לאה בירנצוויג ע"ה</w:t>
      </w:r>
    </w:p>
    <w:p w14:paraId="5DC5132E" w14:textId="77777777" w:rsidR="00EC3A23" w:rsidRPr="00EC3A23" w:rsidRDefault="00EC3A23" w:rsidP="00EC3A23">
      <w:pPr>
        <w:spacing w:after="0" w:line="240" w:lineRule="auto"/>
        <w:jc w:val="center"/>
        <w:rPr>
          <w:rFonts w:ascii="Calibri" w:eastAsia="Calibri" w:hAnsi="Calibri" w:cs="Guttman Hodes"/>
          <w:sz w:val="18"/>
          <w:szCs w:val="18"/>
          <w:rtl/>
        </w:rPr>
      </w:pPr>
      <w:r w:rsidRPr="00EC3A23">
        <w:rPr>
          <w:rFonts w:ascii="Calibri" w:eastAsia="Calibri" w:hAnsi="Calibri" w:cs="Guttman Hodes" w:hint="cs"/>
          <w:sz w:val="18"/>
          <w:szCs w:val="18"/>
          <w:rtl/>
        </w:rPr>
        <w:t xml:space="preserve">בת הרה"צ רבי חיים משה מנדל זצוק"ל </w:t>
      </w:r>
    </w:p>
    <w:p w14:paraId="6C7DBDC0" w14:textId="77777777" w:rsidR="00EC3A23" w:rsidRPr="00EC3A23" w:rsidRDefault="00EC3A23" w:rsidP="00EC3A23">
      <w:pPr>
        <w:spacing w:after="0" w:line="240" w:lineRule="auto"/>
        <w:jc w:val="center"/>
        <w:rPr>
          <w:rFonts w:ascii="Calibri" w:eastAsia="Calibri" w:hAnsi="Calibri" w:cs="Guttman Hodes"/>
          <w:sz w:val="18"/>
          <w:szCs w:val="18"/>
          <w:rtl/>
        </w:rPr>
      </w:pPr>
      <w:r w:rsidRPr="00EC3A23">
        <w:rPr>
          <w:rFonts w:ascii="Calibri" w:eastAsia="Calibri" w:hAnsi="Calibri" w:cs="Guttman Hodes" w:hint="cs"/>
          <w:sz w:val="18"/>
          <w:szCs w:val="18"/>
          <w:rtl/>
        </w:rPr>
        <w:t>נלב"ע י"א ניסן</w:t>
      </w:r>
    </w:p>
    <w:p w14:paraId="2EE55A20" w14:textId="77777777" w:rsidR="00EC3A23" w:rsidRPr="00EC3A23" w:rsidRDefault="00EC3A23" w:rsidP="00EC3A23">
      <w:pPr>
        <w:spacing w:after="0" w:line="240" w:lineRule="auto"/>
        <w:jc w:val="center"/>
        <w:rPr>
          <w:rFonts w:ascii="Calibri" w:eastAsia="Calibri" w:hAnsi="Calibri" w:cs="Guttman Hodes"/>
          <w:sz w:val="18"/>
          <w:szCs w:val="18"/>
          <w:rtl/>
        </w:rPr>
      </w:pPr>
      <w:r w:rsidRPr="00EC3A23">
        <w:rPr>
          <w:rFonts w:ascii="Calibri" w:eastAsia="Calibri" w:hAnsi="Calibri" w:cs="Guttman Hodes" w:hint="cs"/>
          <w:sz w:val="18"/>
          <w:szCs w:val="18"/>
          <w:rtl/>
        </w:rPr>
        <w:t>ת.נ.צ.ב.ה</w:t>
      </w:r>
    </w:p>
    <w:p w14:paraId="2FBF3C57" w14:textId="77777777" w:rsidR="00EC3A23" w:rsidRPr="00EC3A23" w:rsidRDefault="00EC3A23" w:rsidP="00EC3A23">
      <w:pPr>
        <w:spacing w:after="0" w:line="240" w:lineRule="auto"/>
        <w:jc w:val="center"/>
        <w:rPr>
          <w:rFonts w:ascii="Calibri" w:eastAsia="Calibri" w:hAnsi="Calibri" w:cs="Guttman Hodes"/>
          <w:sz w:val="18"/>
          <w:szCs w:val="18"/>
          <w:rtl/>
        </w:rPr>
      </w:pPr>
    </w:p>
    <w:p w14:paraId="567AB0B8" w14:textId="77777777" w:rsidR="00EC3A23" w:rsidRPr="00EC3A23" w:rsidRDefault="00EC3A23" w:rsidP="00EC3A23">
      <w:pPr>
        <w:spacing w:after="0" w:line="240" w:lineRule="auto"/>
        <w:jc w:val="center"/>
        <w:rPr>
          <w:rFonts w:ascii="Calibri" w:eastAsia="Calibri" w:hAnsi="Calibri" w:cs="Guttman Hodes"/>
          <w:sz w:val="18"/>
          <w:szCs w:val="18"/>
          <w:rtl/>
        </w:rPr>
        <w:sectPr w:rsidR="00EC3A23" w:rsidRPr="00EC3A23" w:rsidSect="009D4D60">
          <w:type w:val="continuous"/>
          <w:pgSz w:w="11906" w:h="16838"/>
          <w:pgMar w:top="1440" w:right="1800" w:bottom="1440" w:left="1800" w:header="708" w:footer="708" w:gutter="0"/>
          <w:cols w:num="2" w:space="709"/>
          <w:bidi/>
          <w:rtlGutter/>
          <w:docGrid w:linePitch="360"/>
        </w:sectPr>
      </w:pPr>
    </w:p>
    <w:p w14:paraId="3BDA57E3" w14:textId="77777777" w:rsidR="00EC3A23" w:rsidRPr="00EC3A23" w:rsidRDefault="00EC3A23" w:rsidP="00EC3A23">
      <w:pPr>
        <w:spacing w:after="0" w:line="240" w:lineRule="auto"/>
        <w:jc w:val="center"/>
        <w:rPr>
          <w:rFonts w:ascii="Calibri" w:eastAsia="Calibri" w:hAnsi="Calibri" w:cs="Guttman Hodes"/>
          <w:sz w:val="18"/>
          <w:szCs w:val="18"/>
          <w:rtl/>
        </w:rPr>
      </w:pPr>
      <w:r w:rsidRPr="00EC3A23">
        <w:rPr>
          <w:rFonts w:ascii="Calibri" w:eastAsia="Calibri" w:hAnsi="Calibri" w:cs="Guttman Hodes" w:hint="cs"/>
          <w:sz w:val="18"/>
          <w:szCs w:val="18"/>
          <w:rtl/>
        </w:rPr>
        <w:t>ת.נ.צ.ב.ה.</w:t>
      </w:r>
    </w:p>
    <w:p w14:paraId="426A7F86" w14:textId="77777777" w:rsidR="00EC3A23" w:rsidRPr="00EC3A23" w:rsidRDefault="00EC3A23" w:rsidP="00EC3A23">
      <w:pPr>
        <w:spacing w:after="0" w:line="240" w:lineRule="auto"/>
        <w:jc w:val="center"/>
        <w:rPr>
          <w:rFonts w:ascii="Calibri" w:eastAsia="Calibri" w:hAnsi="Calibri" w:cs="Guttman Hodes"/>
          <w:sz w:val="18"/>
          <w:szCs w:val="18"/>
          <w:rtl/>
        </w:rPr>
      </w:pPr>
    </w:p>
    <w:p w14:paraId="0AAB0C47" w14:textId="77777777" w:rsidR="00EC3A23" w:rsidRPr="00EC3A23" w:rsidRDefault="00EC3A23" w:rsidP="00EC3A23">
      <w:pPr>
        <w:spacing w:after="0" w:line="240" w:lineRule="auto"/>
        <w:jc w:val="center"/>
        <w:rPr>
          <w:rFonts w:ascii="Calibri" w:eastAsia="Calibri" w:hAnsi="Calibri" w:cs="Guttman Hodes"/>
          <w:sz w:val="18"/>
          <w:szCs w:val="18"/>
          <w:rtl/>
        </w:rPr>
      </w:pPr>
      <w:r w:rsidRPr="00EC3A23">
        <w:rPr>
          <w:rFonts w:ascii="Calibri" w:eastAsia="Calibri" w:hAnsi="Calibri" w:cs="Guttman Hodes" w:hint="cs"/>
          <w:sz w:val="18"/>
          <w:szCs w:val="18"/>
          <w:rtl/>
        </w:rPr>
        <w:t xml:space="preserve">ורעיתו א"ז מרת ביילא גרינבוים ע"ה </w:t>
      </w:r>
    </w:p>
    <w:p w14:paraId="5F02B60A" w14:textId="77777777" w:rsidR="00EC3A23" w:rsidRPr="00EC3A23" w:rsidRDefault="00EC3A23" w:rsidP="00EC3A23">
      <w:pPr>
        <w:spacing w:after="0" w:line="240" w:lineRule="auto"/>
        <w:jc w:val="center"/>
        <w:rPr>
          <w:rFonts w:ascii="Calibri" w:eastAsia="Calibri" w:hAnsi="Calibri" w:cs="Guttman Hodes"/>
          <w:sz w:val="18"/>
          <w:szCs w:val="18"/>
          <w:rtl/>
        </w:rPr>
      </w:pPr>
      <w:r w:rsidRPr="00EC3A23">
        <w:rPr>
          <w:rFonts w:ascii="Calibri" w:eastAsia="Calibri" w:hAnsi="Calibri" w:cs="Guttman Hodes" w:hint="cs"/>
          <w:sz w:val="18"/>
          <w:szCs w:val="18"/>
          <w:rtl/>
        </w:rPr>
        <w:t>ב"ר אליעזר ליפא הי"ד</w:t>
      </w:r>
    </w:p>
    <w:p w14:paraId="060E8AF5" w14:textId="77777777" w:rsidR="00EC3A23" w:rsidRPr="00EC3A23" w:rsidRDefault="00EC3A23" w:rsidP="00EC3A23">
      <w:pPr>
        <w:spacing w:after="0" w:line="240" w:lineRule="auto"/>
        <w:jc w:val="center"/>
        <w:rPr>
          <w:rFonts w:ascii="Calibri" w:eastAsia="Calibri" w:hAnsi="Calibri" w:cs="Guttman Hodes"/>
          <w:sz w:val="18"/>
          <w:szCs w:val="18"/>
          <w:rtl/>
        </w:rPr>
      </w:pPr>
      <w:r w:rsidRPr="00EC3A23">
        <w:rPr>
          <w:rFonts w:ascii="Calibri" w:eastAsia="Calibri" w:hAnsi="Calibri" w:cs="Guttman Hodes" w:hint="cs"/>
          <w:sz w:val="18"/>
          <w:szCs w:val="18"/>
          <w:rtl/>
        </w:rPr>
        <w:t>נלב"ע כ"ט ניסן</w:t>
      </w:r>
    </w:p>
    <w:p w14:paraId="76F58D00" w14:textId="77777777" w:rsidR="00EC3A23" w:rsidRPr="00EC3A23" w:rsidRDefault="00EC3A23" w:rsidP="00EC3A23">
      <w:pPr>
        <w:spacing w:after="0" w:line="240" w:lineRule="auto"/>
        <w:jc w:val="center"/>
        <w:rPr>
          <w:rFonts w:ascii="Calibri" w:eastAsia="Calibri" w:hAnsi="Calibri" w:cs="Guttman Hodes"/>
          <w:sz w:val="18"/>
          <w:szCs w:val="18"/>
          <w:rtl/>
        </w:rPr>
      </w:pPr>
      <w:r w:rsidRPr="00EC3A23">
        <w:rPr>
          <w:rFonts w:ascii="Calibri" w:eastAsia="Calibri" w:hAnsi="Calibri" w:cs="Guttman Hodes" w:hint="cs"/>
          <w:sz w:val="18"/>
          <w:szCs w:val="18"/>
          <w:rtl/>
        </w:rPr>
        <w:t>ת.נ.צ.ב.ה.</w:t>
      </w:r>
    </w:p>
    <w:p w14:paraId="452F3B73" w14:textId="77777777" w:rsidR="00EC3A23" w:rsidRPr="00EC3A23" w:rsidRDefault="00EC3A23" w:rsidP="00EC3A23">
      <w:pPr>
        <w:spacing w:after="0" w:line="240" w:lineRule="auto"/>
        <w:jc w:val="center"/>
        <w:rPr>
          <w:rFonts w:ascii="Calibri" w:eastAsia="Calibri" w:hAnsi="Calibri" w:cs="Guttman Hodes"/>
          <w:sz w:val="18"/>
          <w:szCs w:val="18"/>
          <w:rtl/>
        </w:rPr>
      </w:pPr>
    </w:p>
    <w:p w14:paraId="40088DC2" w14:textId="77777777" w:rsidR="00EC3A23" w:rsidRPr="00EC3A23" w:rsidRDefault="00EC3A23" w:rsidP="00EC3A23">
      <w:pPr>
        <w:spacing w:after="0" w:line="240" w:lineRule="auto"/>
        <w:jc w:val="center"/>
        <w:rPr>
          <w:rFonts w:ascii="Calibri" w:eastAsia="Calibri" w:hAnsi="Calibri" w:cs="Guttman Hodes"/>
          <w:sz w:val="18"/>
          <w:szCs w:val="18"/>
          <w:rtl/>
        </w:rPr>
      </w:pPr>
    </w:p>
    <w:p w14:paraId="2333234B" w14:textId="77777777" w:rsidR="00EC3A23" w:rsidRPr="00EC3A23" w:rsidRDefault="00EC3A23" w:rsidP="00EC3A23">
      <w:pPr>
        <w:spacing w:after="0" w:line="240" w:lineRule="auto"/>
        <w:jc w:val="center"/>
        <w:rPr>
          <w:rFonts w:ascii="Calibri" w:eastAsia="Calibri" w:hAnsi="Calibri" w:cs="Guttman Hodes"/>
          <w:sz w:val="18"/>
          <w:szCs w:val="18"/>
          <w:rtl/>
        </w:rPr>
      </w:pPr>
    </w:p>
    <w:p w14:paraId="7BDDC996" w14:textId="77777777" w:rsidR="00EC3A23" w:rsidRPr="00EC3A23" w:rsidRDefault="00EC3A23" w:rsidP="00EC3A23">
      <w:pPr>
        <w:spacing w:after="0" w:line="240" w:lineRule="auto"/>
        <w:jc w:val="center"/>
        <w:rPr>
          <w:rFonts w:ascii="Calibri" w:eastAsia="Calibri" w:hAnsi="Calibri" w:cs="Guttman Hodes"/>
          <w:sz w:val="18"/>
          <w:szCs w:val="18"/>
          <w:rtl/>
        </w:rPr>
      </w:pPr>
    </w:p>
    <w:p w14:paraId="068B7B6D" w14:textId="77777777" w:rsidR="00EC3A23" w:rsidRPr="00EC3A23" w:rsidRDefault="00EC3A23" w:rsidP="00EC3A23">
      <w:pPr>
        <w:spacing w:after="0" w:line="240" w:lineRule="auto"/>
        <w:jc w:val="center"/>
        <w:rPr>
          <w:rFonts w:ascii="Calibri" w:eastAsia="Calibri" w:hAnsi="Calibri" w:cs="Guttman Hodes"/>
          <w:sz w:val="16"/>
          <w:szCs w:val="16"/>
          <w:rtl/>
        </w:rPr>
      </w:pPr>
    </w:p>
    <w:p w14:paraId="300AC8DC" w14:textId="77777777" w:rsidR="00EC3A23" w:rsidRPr="00EC3A23" w:rsidRDefault="00EC3A23" w:rsidP="00EC3A23">
      <w:pPr>
        <w:spacing w:after="0" w:line="240" w:lineRule="auto"/>
        <w:jc w:val="center"/>
        <w:rPr>
          <w:rFonts w:ascii="Calibri" w:eastAsia="Calibri" w:hAnsi="Calibri" w:cs="Guttman Hodes"/>
          <w:sz w:val="16"/>
          <w:szCs w:val="16"/>
          <w:rtl/>
        </w:rPr>
      </w:pPr>
      <w:r w:rsidRPr="00EC3A23">
        <w:rPr>
          <w:rFonts w:ascii="Calibri" w:eastAsia="Calibri" w:hAnsi="Calibri" w:cs="Guttman Hodes"/>
          <w:sz w:val="16"/>
          <w:szCs w:val="16"/>
          <w:rtl/>
        </w:rPr>
        <w:t>לע"נ דודי הרב</w:t>
      </w:r>
      <w:r w:rsidRPr="00EC3A23">
        <w:rPr>
          <w:rFonts w:ascii="Calibri" w:eastAsia="Calibri" w:hAnsi="Calibri" w:cs="Guttman Hodes" w:hint="cs"/>
          <w:sz w:val="16"/>
          <w:szCs w:val="16"/>
          <w:rtl/>
        </w:rPr>
        <w:t xml:space="preserve"> </w:t>
      </w:r>
      <w:r w:rsidRPr="00EC3A23">
        <w:rPr>
          <w:rFonts w:ascii="Calibri" w:eastAsia="Calibri" w:hAnsi="Calibri" w:cs="Guttman Hodes"/>
          <w:sz w:val="16"/>
          <w:szCs w:val="16"/>
          <w:rtl/>
        </w:rPr>
        <w:t xml:space="preserve">אברהם אבא הכהן רובין </w:t>
      </w:r>
      <w:r w:rsidRPr="00EC3A23">
        <w:rPr>
          <w:rFonts w:ascii="Calibri" w:eastAsia="Calibri" w:hAnsi="Calibri" w:cs="Guttman Hodes" w:hint="cs"/>
          <w:sz w:val="16"/>
          <w:szCs w:val="16"/>
          <w:rtl/>
        </w:rPr>
        <w:t>זצ"ל</w:t>
      </w:r>
    </w:p>
    <w:p w14:paraId="28C8659B" w14:textId="77777777" w:rsidR="00EC3A23" w:rsidRPr="00EC3A23" w:rsidRDefault="00EC3A23" w:rsidP="00EC3A23">
      <w:pPr>
        <w:spacing w:after="0" w:line="240" w:lineRule="auto"/>
        <w:jc w:val="center"/>
        <w:rPr>
          <w:rFonts w:ascii="Calibri" w:eastAsia="Calibri" w:hAnsi="Calibri" w:cs="Guttman Hodes"/>
          <w:sz w:val="16"/>
          <w:szCs w:val="16"/>
          <w:rtl/>
        </w:rPr>
      </w:pPr>
      <w:r w:rsidRPr="00EC3A23">
        <w:rPr>
          <w:rFonts w:ascii="Calibri" w:eastAsia="Calibri" w:hAnsi="Calibri" w:cs="Guttman Hodes"/>
          <w:sz w:val="16"/>
          <w:szCs w:val="16"/>
          <w:rtl/>
        </w:rPr>
        <w:t xml:space="preserve">ב"ר יחיאל מיכל </w:t>
      </w:r>
      <w:r w:rsidRPr="00EC3A23">
        <w:rPr>
          <w:rFonts w:ascii="Calibri" w:eastAsia="Calibri" w:hAnsi="Calibri" w:cs="Guttman Hodes" w:hint="cs"/>
          <w:sz w:val="16"/>
          <w:szCs w:val="16"/>
          <w:rtl/>
        </w:rPr>
        <w:t>שיבלט"א נלב"ע י"ד תשרי ת.נ.צ.ב.ה.</w:t>
      </w:r>
    </w:p>
    <w:p w14:paraId="2AEEC24D" w14:textId="77777777" w:rsidR="00EC3A23" w:rsidRPr="00EC3A23" w:rsidRDefault="00EC3A23" w:rsidP="00EC3A23">
      <w:pPr>
        <w:spacing w:after="0" w:line="240" w:lineRule="auto"/>
        <w:jc w:val="center"/>
        <w:rPr>
          <w:rFonts w:ascii="Calibri" w:eastAsia="Calibri" w:hAnsi="Calibri" w:cs="Guttman Hodes"/>
          <w:sz w:val="16"/>
          <w:szCs w:val="16"/>
          <w:rtl/>
        </w:rPr>
      </w:pPr>
    </w:p>
    <w:p w14:paraId="24A0D965" w14:textId="77777777" w:rsidR="00EC3A23" w:rsidRPr="00EC3A23" w:rsidRDefault="00EC3A23" w:rsidP="00EC3A23">
      <w:pPr>
        <w:spacing w:after="0" w:line="240" w:lineRule="auto"/>
        <w:jc w:val="center"/>
        <w:rPr>
          <w:rFonts w:ascii="Calibri" w:eastAsia="Calibri" w:hAnsi="Calibri" w:cs="Guttman Hodes"/>
          <w:sz w:val="16"/>
          <w:szCs w:val="16"/>
          <w:rtl/>
        </w:rPr>
      </w:pPr>
      <w:r w:rsidRPr="00EC3A23">
        <w:rPr>
          <w:rFonts w:ascii="Calibri" w:eastAsia="Calibri" w:hAnsi="Calibri" w:cs="Guttman Hodes"/>
          <w:sz w:val="16"/>
          <w:szCs w:val="16"/>
          <w:rtl/>
        </w:rPr>
        <w:t>לע"נ דודי הרב</w:t>
      </w:r>
      <w:r w:rsidRPr="00EC3A23">
        <w:rPr>
          <w:rFonts w:ascii="Calibri" w:eastAsia="Calibri" w:hAnsi="Calibri" w:cs="Guttman Hodes" w:hint="cs"/>
          <w:sz w:val="16"/>
          <w:szCs w:val="16"/>
          <w:rtl/>
        </w:rPr>
        <w:t xml:space="preserve"> </w:t>
      </w:r>
      <w:r w:rsidRPr="00EC3A23">
        <w:rPr>
          <w:rFonts w:ascii="Calibri" w:eastAsia="Calibri" w:hAnsi="Calibri" w:cs="Guttman Hodes"/>
          <w:sz w:val="16"/>
          <w:szCs w:val="16"/>
          <w:rtl/>
        </w:rPr>
        <w:t>משה שטרנפלד</w:t>
      </w:r>
      <w:r w:rsidRPr="00EC3A23">
        <w:rPr>
          <w:rFonts w:ascii="Calibri" w:eastAsia="Calibri" w:hAnsi="Calibri" w:cs="Guttman Hodes" w:hint="cs"/>
          <w:sz w:val="16"/>
          <w:szCs w:val="16"/>
          <w:rtl/>
        </w:rPr>
        <w:t xml:space="preserve"> זצ"ל</w:t>
      </w:r>
    </w:p>
    <w:p w14:paraId="49C0ADDD" w14:textId="77777777" w:rsidR="00EC3A23" w:rsidRPr="00EC3A23" w:rsidRDefault="00EC3A23" w:rsidP="00EC3A23">
      <w:pPr>
        <w:spacing w:after="0" w:line="240" w:lineRule="auto"/>
        <w:jc w:val="center"/>
        <w:rPr>
          <w:rFonts w:ascii="Calibri" w:eastAsia="Calibri" w:hAnsi="Calibri" w:cs="Guttman Hodes"/>
          <w:sz w:val="16"/>
          <w:szCs w:val="16"/>
          <w:rtl/>
        </w:rPr>
      </w:pPr>
      <w:r w:rsidRPr="00EC3A23">
        <w:rPr>
          <w:rFonts w:ascii="Calibri" w:eastAsia="Calibri" w:hAnsi="Calibri" w:cs="Guttman Hodes"/>
          <w:sz w:val="16"/>
          <w:szCs w:val="16"/>
          <w:rtl/>
        </w:rPr>
        <w:t>ב"ר גבריאל ז</w:t>
      </w:r>
      <w:r w:rsidRPr="00EC3A23">
        <w:rPr>
          <w:rFonts w:ascii="Calibri" w:eastAsia="Calibri" w:hAnsi="Calibri" w:cs="Guttman Hodes" w:hint="cs"/>
          <w:sz w:val="16"/>
          <w:szCs w:val="16"/>
          <w:rtl/>
        </w:rPr>
        <w:t>צ</w:t>
      </w:r>
      <w:r w:rsidRPr="00EC3A23">
        <w:rPr>
          <w:rFonts w:ascii="Calibri" w:eastAsia="Calibri" w:hAnsi="Calibri" w:cs="Guttman Hodes"/>
          <w:sz w:val="16"/>
          <w:szCs w:val="16"/>
          <w:rtl/>
        </w:rPr>
        <w:t>"ל</w:t>
      </w:r>
      <w:r w:rsidRPr="00EC3A23">
        <w:rPr>
          <w:rFonts w:ascii="Calibri" w:eastAsia="Calibri" w:hAnsi="Calibri" w:cs="Guttman Hodes" w:hint="cs"/>
          <w:sz w:val="16"/>
          <w:szCs w:val="16"/>
          <w:rtl/>
        </w:rPr>
        <w:t xml:space="preserve"> נלב"ע כ"ג אב ת.נ.צ.ב.ה.</w:t>
      </w:r>
    </w:p>
    <w:p w14:paraId="7FDADDA2" w14:textId="77777777" w:rsidR="00EC3A23" w:rsidRPr="00EC3A23" w:rsidRDefault="00EC3A23" w:rsidP="00EC3A23">
      <w:pPr>
        <w:spacing w:after="0" w:line="240" w:lineRule="auto"/>
        <w:jc w:val="center"/>
        <w:rPr>
          <w:rFonts w:ascii="Calibri" w:eastAsia="Calibri" w:hAnsi="Calibri" w:cs="Guttman Hodes"/>
          <w:sz w:val="16"/>
          <w:szCs w:val="16"/>
          <w:rtl/>
        </w:rPr>
      </w:pPr>
    </w:p>
    <w:p w14:paraId="0A7594B4" w14:textId="77777777" w:rsidR="00EC3A23" w:rsidRPr="00EC3A23" w:rsidRDefault="00EC3A23" w:rsidP="00EC3A23">
      <w:pPr>
        <w:spacing w:after="0" w:line="240" w:lineRule="auto"/>
        <w:jc w:val="center"/>
        <w:rPr>
          <w:rFonts w:ascii="Calibri" w:eastAsia="Calibri" w:hAnsi="Calibri" w:cs="Guttman Hodes"/>
          <w:sz w:val="16"/>
          <w:szCs w:val="16"/>
          <w:rtl/>
        </w:rPr>
      </w:pPr>
      <w:r w:rsidRPr="00EC3A23">
        <w:rPr>
          <w:rFonts w:ascii="Calibri" w:eastAsia="Calibri" w:hAnsi="Calibri" w:cs="Guttman Hodes"/>
          <w:sz w:val="16"/>
          <w:szCs w:val="16"/>
          <w:rtl/>
        </w:rPr>
        <w:t>לע"נ</w:t>
      </w:r>
      <w:r w:rsidRPr="00EC3A23">
        <w:rPr>
          <w:rFonts w:ascii="Calibri" w:eastAsia="Calibri" w:hAnsi="Calibri" w:cs="Guttman Hodes" w:hint="cs"/>
          <w:sz w:val="16"/>
          <w:szCs w:val="16"/>
          <w:rtl/>
        </w:rPr>
        <w:t xml:space="preserve"> </w:t>
      </w:r>
      <w:r w:rsidRPr="00EC3A23">
        <w:rPr>
          <w:rFonts w:ascii="Calibri" w:eastAsia="Calibri" w:hAnsi="Calibri" w:cs="Guttman Hodes"/>
          <w:sz w:val="16"/>
          <w:szCs w:val="16"/>
          <w:rtl/>
        </w:rPr>
        <w:t>הרב אליעזר דוד</w:t>
      </w:r>
      <w:r w:rsidRPr="00EC3A23">
        <w:rPr>
          <w:rFonts w:ascii="Calibri" w:eastAsia="Calibri" w:hAnsi="Calibri" w:cs="Guttman Hodes" w:hint="cs"/>
          <w:sz w:val="16"/>
          <w:szCs w:val="16"/>
          <w:rtl/>
        </w:rPr>
        <w:t xml:space="preserve"> זצ"ל </w:t>
      </w:r>
      <w:r w:rsidRPr="00EC3A23">
        <w:rPr>
          <w:rFonts w:ascii="Calibri" w:eastAsia="Calibri" w:hAnsi="Calibri" w:cs="Guttman Hodes"/>
          <w:sz w:val="16"/>
          <w:szCs w:val="16"/>
          <w:rtl/>
        </w:rPr>
        <w:t>ב"ר משה יהושע ז</w:t>
      </w:r>
      <w:r w:rsidRPr="00EC3A23">
        <w:rPr>
          <w:rFonts w:ascii="Calibri" w:eastAsia="Calibri" w:hAnsi="Calibri" w:cs="Guttman Hodes" w:hint="cs"/>
          <w:sz w:val="16"/>
          <w:szCs w:val="16"/>
          <w:rtl/>
        </w:rPr>
        <w:t>צ</w:t>
      </w:r>
      <w:r w:rsidRPr="00EC3A23">
        <w:rPr>
          <w:rFonts w:ascii="Calibri" w:eastAsia="Calibri" w:hAnsi="Calibri" w:cs="Guttman Hodes"/>
          <w:sz w:val="16"/>
          <w:szCs w:val="16"/>
          <w:rtl/>
        </w:rPr>
        <w:t>"ל</w:t>
      </w:r>
    </w:p>
    <w:p w14:paraId="5BD672D0" w14:textId="77777777" w:rsidR="00EC3A23" w:rsidRPr="00EC3A23" w:rsidRDefault="00EC3A23" w:rsidP="00EC3A23">
      <w:pPr>
        <w:spacing w:after="0" w:line="240" w:lineRule="auto"/>
        <w:jc w:val="center"/>
        <w:rPr>
          <w:rFonts w:ascii="Calibri" w:eastAsia="Calibri" w:hAnsi="Calibri" w:cs="Guttman Hodes"/>
          <w:sz w:val="16"/>
          <w:szCs w:val="16"/>
          <w:rtl/>
        </w:rPr>
      </w:pPr>
      <w:r w:rsidRPr="00EC3A23">
        <w:rPr>
          <w:rFonts w:ascii="Calibri" w:eastAsia="Calibri" w:hAnsi="Calibri" w:cs="Guttman Hodes"/>
          <w:sz w:val="16"/>
          <w:szCs w:val="16"/>
          <w:rtl/>
        </w:rPr>
        <w:t>נלב"ע כ"ד אייר</w:t>
      </w:r>
      <w:r w:rsidRPr="00EC3A23">
        <w:rPr>
          <w:rFonts w:ascii="Calibri" w:eastAsia="Calibri" w:hAnsi="Calibri" w:cs="Guttman Hodes" w:hint="cs"/>
          <w:sz w:val="16"/>
          <w:szCs w:val="16"/>
          <w:rtl/>
        </w:rPr>
        <w:t xml:space="preserve"> ת.נ.צ.ב.ה.</w:t>
      </w:r>
    </w:p>
    <w:p w14:paraId="4CFF82F5" w14:textId="77777777" w:rsidR="00EC3A23" w:rsidRPr="00EC3A23" w:rsidRDefault="00EC3A23" w:rsidP="00EC3A23">
      <w:pPr>
        <w:spacing w:after="0" w:line="240" w:lineRule="auto"/>
        <w:jc w:val="center"/>
        <w:rPr>
          <w:rFonts w:ascii="Calibri" w:eastAsia="Calibri" w:hAnsi="Calibri" w:cs="Guttman Hodes"/>
          <w:sz w:val="16"/>
          <w:szCs w:val="16"/>
          <w:rtl/>
        </w:rPr>
      </w:pPr>
    </w:p>
    <w:p w14:paraId="014FD257" w14:textId="77777777" w:rsidR="00EC3A23" w:rsidRPr="00EC3A23" w:rsidRDefault="00EC3A23" w:rsidP="00EC3A23">
      <w:pPr>
        <w:spacing w:after="0" w:line="240" w:lineRule="auto"/>
        <w:jc w:val="center"/>
        <w:rPr>
          <w:rFonts w:ascii="Calibri" w:eastAsia="Calibri" w:hAnsi="Calibri" w:cs="Guttman Hodes"/>
          <w:sz w:val="16"/>
          <w:szCs w:val="16"/>
          <w:rtl/>
        </w:rPr>
      </w:pPr>
    </w:p>
    <w:p w14:paraId="6E450535" w14:textId="77777777" w:rsidR="00EC3A23" w:rsidRPr="00EC3A23" w:rsidRDefault="00EC3A23" w:rsidP="00EC3A23">
      <w:pPr>
        <w:spacing w:after="0" w:line="240" w:lineRule="auto"/>
        <w:jc w:val="center"/>
        <w:rPr>
          <w:rFonts w:ascii="Calibri" w:eastAsia="Calibri" w:hAnsi="Calibri" w:cs="Guttman Hodes"/>
          <w:sz w:val="16"/>
          <w:szCs w:val="16"/>
          <w:rtl/>
        </w:rPr>
      </w:pPr>
    </w:p>
    <w:p w14:paraId="68E5A588" w14:textId="77777777" w:rsidR="00EC3A23" w:rsidRPr="00EC3A23" w:rsidRDefault="00EC3A23" w:rsidP="00EC3A23">
      <w:pPr>
        <w:spacing w:after="0" w:line="240" w:lineRule="auto"/>
        <w:jc w:val="center"/>
        <w:rPr>
          <w:rFonts w:ascii="Calibri" w:eastAsia="Calibri" w:hAnsi="Calibri" w:cs="Guttman Hodes"/>
          <w:sz w:val="16"/>
          <w:szCs w:val="16"/>
          <w:rtl/>
        </w:rPr>
      </w:pPr>
    </w:p>
    <w:p w14:paraId="4D0C51B5" w14:textId="77777777" w:rsidR="00EC3A23" w:rsidRPr="00EC3A23" w:rsidRDefault="00EC3A23" w:rsidP="00EC3A23">
      <w:pPr>
        <w:spacing w:after="0" w:line="240" w:lineRule="auto"/>
        <w:jc w:val="center"/>
        <w:rPr>
          <w:rFonts w:ascii="Calibri" w:eastAsia="Calibri" w:hAnsi="Calibri" w:cs="Guttman Hodes"/>
          <w:sz w:val="16"/>
          <w:szCs w:val="16"/>
          <w:rtl/>
        </w:rPr>
      </w:pPr>
    </w:p>
    <w:p w14:paraId="6CA77DE5" w14:textId="77777777" w:rsidR="00EC3A23" w:rsidRPr="00EC3A23" w:rsidRDefault="00EC3A23" w:rsidP="00EC3A23">
      <w:pPr>
        <w:spacing w:after="0" w:line="240" w:lineRule="auto"/>
        <w:jc w:val="center"/>
        <w:rPr>
          <w:rFonts w:ascii="Calibri" w:eastAsia="Calibri" w:hAnsi="Calibri" w:cs="Guttman Hodes"/>
          <w:sz w:val="16"/>
          <w:szCs w:val="16"/>
          <w:rtl/>
        </w:rPr>
      </w:pPr>
    </w:p>
    <w:p w14:paraId="70959EAB" w14:textId="77777777" w:rsidR="00EC3A23" w:rsidRPr="00EC3A23" w:rsidRDefault="00EC3A23" w:rsidP="00EC3A23">
      <w:pPr>
        <w:spacing w:after="0" w:line="240" w:lineRule="auto"/>
        <w:jc w:val="center"/>
        <w:rPr>
          <w:rFonts w:ascii="Calibri" w:eastAsia="Calibri" w:hAnsi="Calibri" w:cs="Guttman Hodes"/>
          <w:sz w:val="16"/>
          <w:szCs w:val="16"/>
          <w:rtl/>
        </w:rPr>
      </w:pPr>
    </w:p>
    <w:p w14:paraId="36F4F64A" w14:textId="77777777" w:rsidR="00EC3A23" w:rsidRPr="00EC3A23" w:rsidRDefault="00EC3A23" w:rsidP="00EC3A23">
      <w:pPr>
        <w:spacing w:after="0" w:line="240" w:lineRule="auto"/>
        <w:jc w:val="center"/>
        <w:rPr>
          <w:rFonts w:ascii="Calibri" w:eastAsia="Calibri" w:hAnsi="Calibri" w:cs="Guttman Hodes"/>
          <w:sz w:val="16"/>
          <w:szCs w:val="16"/>
          <w:rtl/>
        </w:rPr>
      </w:pPr>
    </w:p>
    <w:p w14:paraId="6E994B93" w14:textId="77777777" w:rsidR="00EC3A23" w:rsidRPr="00EC3A23" w:rsidRDefault="00EC3A23" w:rsidP="00EC3A23">
      <w:pPr>
        <w:spacing w:after="0" w:line="240" w:lineRule="auto"/>
        <w:jc w:val="center"/>
        <w:rPr>
          <w:rFonts w:ascii="Calibri" w:eastAsia="Calibri" w:hAnsi="Calibri" w:cs="Guttman Hodes"/>
          <w:sz w:val="16"/>
          <w:szCs w:val="16"/>
          <w:rtl/>
        </w:rPr>
      </w:pPr>
    </w:p>
    <w:p w14:paraId="09F52650" w14:textId="77777777" w:rsidR="00EC3A23" w:rsidRPr="00EC3A23" w:rsidRDefault="00EC3A23" w:rsidP="00EC3A23">
      <w:pPr>
        <w:spacing w:after="0" w:line="240" w:lineRule="auto"/>
        <w:jc w:val="center"/>
        <w:rPr>
          <w:rFonts w:ascii="Calibri" w:eastAsia="Calibri" w:hAnsi="Calibri" w:cs="Guttman Hodes"/>
          <w:sz w:val="16"/>
          <w:szCs w:val="16"/>
          <w:rtl/>
        </w:rPr>
      </w:pPr>
    </w:p>
    <w:p w14:paraId="1CCB91B9" w14:textId="77777777" w:rsidR="00EC3A23" w:rsidRPr="00EC3A23" w:rsidRDefault="00EC3A23" w:rsidP="00EC3A23">
      <w:pPr>
        <w:spacing w:after="0" w:line="240" w:lineRule="auto"/>
        <w:jc w:val="center"/>
        <w:rPr>
          <w:rFonts w:ascii="Calibri" w:eastAsia="Calibri" w:hAnsi="Calibri" w:cs="Guttman Hodes"/>
          <w:sz w:val="16"/>
          <w:szCs w:val="16"/>
          <w:rtl/>
        </w:rPr>
      </w:pPr>
      <w:r w:rsidRPr="00EC3A23">
        <w:rPr>
          <w:rFonts w:ascii="Calibri" w:eastAsia="Calibri" w:hAnsi="Calibri" w:cs="Arial"/>
          <w:noProof/>
          <w:sz w:val="18"/>
          <w:szCs w:val="18"/>
          <w:rtl/>
        </w:rPr>
        <mc:AlternateContent>
          <mc:Choice Requires="wps">
            <w:drawing>
              <wp:anchor distT="45720" distB="45720" distL="114300" distR="114300" simplePos="0" relativeHeight="251666432" behindDoc="1" locked="0" layoutInCell="1" allowOverlap="1" wp14:anchorId="18B98DAE" wp14:editId="217D11AC">
                <wp:simplePos x="0" y="0"/>
                <wp:positionH relativeFrom="margin">
                  <wp:posOffset>-470475</wp:posOffset>
                </wp:positionH>
                <wp:positionV relativeFrom="paragraph">
                  <wp:posOffset>188636</wp:posOffset>
                </wp:positionV>
                <wp:extent cx="6003925" cy="1675417"/>
                <wp:effectExtent l="19050" t="19050" r="15875" b="20320"/>
                <wp:wrapNone/>
                <wp:docPr id="40" name="תיבת טקסט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003925" cy="1675417"/>
                        </a:xfrm>
                        <a:prstGeom prst="roundRect">
                          <a:avLst/>
                        </a:prstGeom>
                        <a:solidFill>
                          <a:srgbClr val="FFFFFF"/>
                        </a:solidFill>
                        <a:ln w="28575" cap="rnd">
                          <a:solidFill>
                            <a:sysClr val="windowText" lastClr="000000"/>
                          </a:solidFill>
                          <a:prstDash val="solid"/>
                          <a:round/>
                          <a:headEnd/>
                          <a:tailEnd/>
                        </a:ln>
                      </wps:spPr>
                      <wps:txbx>
                        <w:txbxContent>
                          <w:p w14:paraId="44FB8EE9" w14:textId="77777777" w:rsidR="00EC3A23" w:rsidRDefault="00EC3A23" w:rsidP="00EC3A23">
                            <w:pPr>
                              <w:rPr>
                                <w:rFonts w:cs="Guttman Hodes"/>
                                <w:rtl/>
                                <w:cs/>
                              </w:rP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18B98DAE" id="תיבת טקסט 40" o:spid="_x0000_s1030" style="position:absolute;left:0;text-align:left;margin-left:-37.05pt;margin-top:14.85pt;width:472.75pt;height:131.9pt;flip:x;z-index:-2516500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" strokecolor="windowText" strokeweight="2.25pt">
                <v:stroke endcap="round"/>
                <v:textbox>
                  <w:txbxContent>
                    <w:p w14:paraId="44FB8EE9" w14:textId="77777777" w:rsidR="00EC3A23" w:rsidRDefault="00EC3A23" w:rsidP="00EC3A23">
                      <w:pPr>
                        <w:rPr>
                          <w:rFonts w:cs="Guttman Hodes"/>
                          <w:rtl/>
                          <w:cs/>
                        </w:rPr>
                      </w:pPr>
                    </w:p>
                  </w:txbxContent>
                </v:textbox>
                <w10:wrap anchorx="margin"/>
              </v:roundrect>
            </w:pict>
          </mc:Fallback>
        </mc:AlternateContent>
      </w:r>
    </w:p>
    <w:p w14:paraId="48A224B2" w14:textId="77777777" w:rsidR="00EC3A23" w:rsidRPr="00EC3A23" w:rsidRDefault="00EC3A23" w:rsidP="00EC3A23">
      <w:pPr>
        <w:spacing w:after="0" w:line="240" w:lineRule="auto"/>
        <w:jc w:val="center"/>
        <w:rPr>
          <w:rFonts w:ascii="Calibri" w:eastAsia="Calibri" w:hAnsi="Calibri" w:cs="Guttman Hodes"/>
          <w:sz w:val="18"/>
          <w:szCs w:val="18"/>
          <w:rtl/>
        </w:rPr>
      </w:pPr>
    </w:p>
    <w:p w14:paraId="0F66AD3D" w14:textId="77777777" w:rsidR="00EC3A23" w:rsidRPr="00EC3A23" w:rsidRDefault="00EC3A23" w:rsidP="00EC3A23">
      <w:pPr>
        <w:spacing w:after="0" w:line="240" w:lineRule="auto"/>
        <w:jc w:val="center"/>
        <w:rPr>
          <w:rFonts w:ascii="Calibri" w:eastAsia="Calibri" w:hAnsi="Calibri" w:cs="Guttman Hodes"/>
          <w:sz w:val="18"/>
          <w:szCs w:val="18"/>
          <w:rtl/>
        </w:rPr>
      </w:pPr>
    </w:p>
    <w:p w14:paraId="7110B833" w14:textId="77777777" w:rsidR="00EC3A23" w:rsidRPr="00EC3A23" w:rsidRDefault="00EC3A23" w:rsidP="00EC3A23">
      <w:pPr>
        <w:spacing w:after="0" w:line="240" w:lineRule="auto"/>
        <w:jc w:val="center"/>
        <w:rPr>
          <w:rFonts w:ascii="Calibri" w:eastAsia="Calibri" w:hAnsi="Calibri" w:cs="Guttman Hodes"/>
          <w:sz w:val="16"/>
          <w:szCs w:val="16"/>
          <w:rtl/>
        </w:rPr>
      </w:pPr>
      <w:r w:rsidRPr="00EC3A23">
        <w:rPr>
          <w:rFonts w:ascii="Calibri" w:eastAsia="Calibri" w:hAnsi="Calibri" w:cs="Guttman Hodes" w:hint="cs"/>
          <w:sz w:val="16"/>
          <w:szCs w:val="16"/>
          <w:rtl/>
        </w:rPr>
        <w:t>לע"נ הרב משה ב"ר ירמיהו זצ"ל</w:t>
      </w:r>
    </w:p>
    <w:p w14:paraId="297781D4" w14:textId="77777777" w:rsidR="00EC3A23" w:rsidRPr="00EC3A23" w:rsidRDefault="00EC3A23" w:rsidP="00EC3A23">
      <w:pPr>
        <w:spacing w:after="0" w:line="240" w:lineRule="auto"/>
        <w:jc w:val="center"/>
        <w:rPr>
          <w:rFonts w:ascii="Calibri" w:eastAsia="Calibri" w:hAnsi="Calibri" w:cs="Guttman Hodes"/>
          <w:sz w:val="16"/>
          <w:szCs w:val="16"/>
          <w:rtl/>
        </w:rPr>
      </w:pPr>
      <w:r w:rsidRPr="00EC3A23">
        <w:rPr>
          <w:rFonts w:ascii="Calibri" w:eastAsia="Calibri" w:hAnsi="Calibri" w:cs="Guttman Hodes" w:hint="cs"/>
          <w:sz w:val="16"/>
          <w:szCs w:val="16"/>
          <w:rtl/>
        </w:rPr>
        <w:t>נבל"ע כ"ו אב תשע"ט ת.נ.צ.ב.ה.</w:t>
      </w:r>
    </w:p>
    <w:p w14:paraId="68BC5AE2" w14:textId="77777777" w:rsidR="00EC3A23" w:rsidRPr="00EC3A23" w:rsidRDefault="00EC3A23" w:rsidP="00EC3A23">
      <w:pPr>
        <w:spacing w:after="0" w:line="240" w:lineRule="auto"/>
        <w:jc w:val="center"/>
        <w:rPr>
          <w:rFonts w:ascii="Calibri" w:eastAsia="Calibri" w:hAnsi="Calibri" w:cs="Guttman Hodes"/>
          <w:sz w:val="18"/>
          <w:szCs w:val="18"/>
          <w:rtl/>
        </w:rPr>
      </w:pPr>
    </w:p>
    <w:p w14:paraId="1CF78B23" w14:textId="77777777" w:rsidR="00EC3A23" w:rsidRPr="00EC3A23" w:rsidRDefault="00EC3A23" w:rsidP="00EC3A23">
      <w:pPr>
        <w:spacing w:after="0" w:line="240" w:lineRule="auto"/>
        <w:jc w:val="center"/>
        <w:rPr>
          <w:rFonts w:ascii="Calibri" w:eastAsia="Calibri" w:hAnsi="Calibri" w:cs="Guttman Hodes"/>
          <w:sz w:val="16"/>
          <w:szCs w:val="16"/>
          <w:rtl/>
        </w:rPr>
      </w:pPr>
      <w:r w:rsidRPr="00EC3A23">
        <w:rPr>
          <w:rFonts w:ascii="Calibri" w:eastAsia="Calibri" w:hAnsi="Calibri" w:cs="Guttman Hodes" w:hint="cs"/>
          <w:sz w:val="16"/>
          <w:szCs w:val="16"/>
          <w:rtl/>
        </w:rPr>
        <w:t>לע"נ הרב משה ב"ר נתן זצ"ל</w:t>
      </w:r>
    </w:p>
    <w:p w14:paraId="5FA17AEE" w14:textId="77777777" w:rsidR="00EC3A23" w:rsidRPr="00EC3A23" w:rsidRDefault="00EC3A23" w:rsidP="00EC3A23">
      <w:pPr>
        <w:spacing w:after="0" w:line="240" w:lineRule="auto"/>
        <w:jc w:val="center"/>
        <w:rPr>
          <w:rFonts w:ascii="Calibri" w:eastAsia="Calibri" w:hAnsi="Calibri" w:cs="Guttman Hodes"/>
          <w:sz w:val="16"/>
          <w:szCs w:val="16"/>
          <w:rtl/>
        </w:rPr>
      </w:pPr>
      <w:r w:rsidRPr="00EC3A23">
        <w:rPr>
          <w:rFonts w:ascii="Calibri" w:eastAsia="Calibri" w:hAnsi="Calibri" w:cs="Guttman Hodes" w:hint="cs"/>
          <w:sz w:val="16"/>
          <w:szCs w:val="16"/>
          <w:rtl/>
        </w:rPr>
        <w:t>נבל"ע ח' סיון תשע"ו ת.נ.צ.ב.ה.</w:t>
      </w:r>
    </w:p>
    <w:p w14:paraId="50F5E5A9" w14:textId="77777777" w:rsidR="00EC3A23" w:rsidRPr="00EC3A23" w:rsidRDefault="00EC3A23" w:rsidP="00EC3A23">
      <w:pPr>
        <w:spacing w:after="0" w:line="240" w:lineRule="auto"/>
        <w:jc w:val="center"/>
        <w:rPr>
          <w:rFonts w:ascii="Calibri" w:eastAsia="Calibri" w:hAnsi="Calibri" w:cs="Guttman Hodes"/>
          <w:sz w:val="16"/>
          <w:szCs w:val="16"/>
          <w:rtl/>
        </w:rPr>
      </w:pPr>
    </w:p>
    <w:p w14:paraId="04785F23" w14:textId="77777777" w:rsidR="00EC3A23" w:rsidRPr="00EC3A23" w:rsidRDefault="00EC3A23" w:rsidP="00EC3A23">
      <w:pPr>
        <w:spacing w:after="0" w:line="240" w:lineRule="auto"/>
        <w:jc w:val="center"/>
        <w:rPr>
          <w:rFonts w:ascii="Calibri" w:eastAsia="Calibri" w:hAnsi="Calibri" w:cs="Guttman Hodes"/>
          <w:sz w:val="16"/>
          <w:szCs w:val="16"/>
          <w:rtl/>
        </w:rPr>
      </w:pPr>
      <w:r w:rsidRPr="00EC3A23">
        <w:rPr>
          <w:rFonts w:ascii="Calibri" w:eastAsia="Calibri" w:hAnsi="Calibri" w:cs="Guttman Hodes"/>
          <w:sz w:val="16"/>
          <w:szCs w:val="16"/>
          <w:rtl/>
        </w:rPr>
        <w:t xml:space="preserve">לע"נ </w:t>
      </w:r>
      <w:r w:rsidRPr="00EC3A23">
        <w:rPr>
          <w:rFonts w:ascii="Calibri" w:eastAsia="Calibri" w:hAnsi="Calibri" w:cs="Guttman Hodes" w:hint="cs"/>
          <w:sz w:val="16"/>
          <w:szCs w:val="16"/>
          <w:rtl/>
        </w:rPr>
        <w:t>הרב משה זצ"ל ב"ר יצחק זצ"ל</w:t>
      </w:r>
    </w:p>
    <w:p w14:paraId="18E673EB" w14:textId="77777777" w:rsidR="00EC3A23" w:rsidRPr="00EC3A23" w:rsidRDefault="00EC3A23" w:rsidP="00EC3A23">
      <w:pPr>
        <w:spacing w:after="0" w:line="240" w:lineRule="auto"/>
        <w:jc w:val="center"/>
        <w:rPr>
          <w:rFonts w:ascii="Calibri" w:eastAsia="Calibri" w:hAnsi="Calibri" w:cs="Guttman Hodes"/>
          <w:sz w:val="16"/>
          <w:szCs w:val="16"/>
          <w:rtl/>
        </w:rPr>
      </w:pPr>
      <w:r w:rsidRPr="00EC3A23">
        <w:rPr>
          <w:rFonts w:ascii="Calibri" w:eastAsia="Calibri" w:hAnsi="Calibri" w:cs="Guttman Hodes" w:hint="cs"/>
          <w:sz w:val="16"/>
          <w:szCs w:val="16"/>
          <w:rtl/>
        </w:rPr>
        <w:t>נלב"ע י"ז סיון ת.נ.צ.ב.ה.</w:t>
      </w:r>
    </w:p>
    <w:p w14:paraId="5BF9CCAB" w14:textId="77777777" w:rsidR="00EC3A23" w:rsidRPr="00EC3A23" w:rsidRDefault="00EC3A23" w:rsidP="00EC3A23">
      <w:pPr>
        <w:spacing w:after="0" w:line="240" w:lineRule="auto"/>
        <w:jc w:val="center"/>
        <w:rPr>
          <w:rFonts w:ascii="Calibri" w:eastAsia="Calibri" w:hAnsi="Calibri" w:cs="Guttman Hodes"/>
          <w:sz w:val="16"/>
          <w:szCs w:val="16"/>
          <w:rtl/>
        </w:rPr>
      </w:pPr>
    </w:p>
    <w:p w14:paraId="192DB535" w14:textId="77777777" w:rsidR="00EC3A23" w:rsidRPr="00EC3A23" w:rsidRDefault="00EC3A23" w:rsidP="00EC3A23">
      <w:pPr>
        <w:spacing w:after="0" w:line="240" w:lineRule="auto"/>
        <w:jc w:val="both"/>
        <w:rPr>
          <w:rFonts w:ascii="Calibri" w:eastAsia="Calibri" w:hAnsi="Calibri" w:cs="Guttman Hodes"/>
          <w:rtl/>
        </w:rPr>
        <w:sectPr w:rsidR="00EC3A23" w:rsidRPr="00EC3A23" w:rsidSect="009D4D60">
          <w:type w:val="continuous"/>
          <w:pgSz w:w="11906" w:h="16838"/>
          <w:pgMar w:top="1440" w:right="1800" w:bottom="1440" w:left="1800" w:header="708" w:footer="708" w:gutter="0"/>
          <w:cols w:num="2" w:space="709"/>
          <w:bidi/>
          <w:rtlGutter/>
          <w:docGrid w:linePitch="360"/>
        </w:sectPr>
      </w:pPr>
    </w:p>
    <w:p w14:paraId="098D7A1D" w14:textId="77777777" w:rsidR="00EC3A23" w:rsidRPr="00EC3A23" w:rsidRDefault="00EC3A23" w:rsidP="00EC3A23">
      <w:pPr>
        <w:spacing w:after="0" w:line="240" w:lineRule="auto"/>
        <w:rPr>
          <w:rFonts w:ascii="Calibri" w:eastAsia="Calibri" w:hAnsi="Calibri" w:cs="Arial"/>
          <w:rtl/>
        </w:rPr>
        <w:sectPr w:rsidR="00EC3A23" w:rsidRPr="00EC3A23" w:rsidSect="009D4D60">
          <w:type w:val="continuous"/>
          <w:pgSz w:w="11906" w:h="16838"/>
          <w:pgMar w:top="1440" w:right="1800" w:bottom="1440" w:left="1800" w:header="708" w:footer="708" w:gutter="0"/>
          <w:cols w:space="708"/>
          <w:bidi/>
          <w:rtlGutter/>
          <w:docGrid w:linePitch="360"/>
        </w:sectPr>
      </w:pPr>
    </w:p>
    <w:p w14:paraId="3A9C41F4" w14:textId="77777777" w:rsidR="009E0F82" w:rsidRDefault="009E0F82" w:rsidP="00B03577">
      <w:pPr>
        <w:spacing w:line="240" w:lineRule="auto"/>
        <w:rPr>
          <w:rFonts w:ascii="Calibri" w:eastAsia="Calibri" w:hAnsi="Calibri" w:cs="Arial"/>
          <w:rtl/>
        </w:rPr>
        <w:sectPr w:rsidR="009E0F82" w:rsidSect="00323AB6">
          <w:type w:val="continuous"/>
          <w:pgSz w:w="11906" w:h="16838"/>
          <w:pgMar w:top="1440" w:right="1800" w:bottom="1440" w:left="1800" w:header="708" w:footer="708" w:gutter="0"/>
          <w:cols w:space="708"/>
          <w:bidi/>
          <w:rtlGutter/>
          <w:docGrid w:linePitch="360"/>
        </w:sectPr>
      </w:pPr>
    </w:p>
    <w:p w14:paraId="179AF5E0" w14:textId="77777777" w:rsidR="009E0F82" w:rsidRPr="001C1412" w:rsidRDefault="009E0F82" w:rsidP="009E0F82">
      <w:pPr>
        <w:jc w:val="center"/>
        <w:rPr>
          <w:rFonts w:ascii="Guttman Hodes" w:eastAsia="Guttman Hodes" w:hAnsi="Guttman Hodes" w:cs="Guttman Hodes"/>
          <w:b/>
          <w:bCs/>
        </w:rPr>
      </w:pPr>
      <w:r w:rsidRPr="001C1412">
        <w:rPr>
          <w:rFonts w:ascii="Guttman Hodes" w:eastAsia="Guttman Hodes" w:hAnsi="Guttman Hodes" w:cs="Guttman Hodes" w:hint="cs"/>
          <w:b/>
          <w:bCs/>
          <w:rtl/>
        </w:rPr>
        <w:lastRenderedPageBreak/>
        <w:t>דברים אחדים</w:t>
      </w:r>
    </w:p>
    <w:p w14:paraId="2ED749C0" w14:textId="77777777" w:rsidR="009E0F82" w:rsidRPr="001C1412" w:rsidRDefault="009E0F82" w:rsidP="009E0F82">
      <w:pPr>
        <w:spacing w:before="240" w:line="240" w:lineRule="auto"/>
        <w:jc w:val="both"/>
        <w:rPr>
          <w:rFonts w:ascii="Guttman Hodes" w:eastAsia="Guttman Hodes" w:hAnsi="Guttman Hodes" w:cs="Guttman Hodes"/>
          <w:sz w:val="18"/>
          <w:szCs w:val="18"/>
          <w:rtl/>
        </w:rPr>
      </w:pPr>
      <w:r w:rsidRPr="001C1412">
        <w:rPr>
          <w:rFonts w:ascii="Guttman Hodes" w:eastAsia="Guttman Hodes" w:hAnsi="Guttman Hodes" w:cs="Guttman Hodes" w:hint="cs"/>
          <w:sz w:val="18"/>
          <w:szCs w:val="18"/>
          <w:rtl/>
        </w:rPr>
        <w:t xml:space="preserve">"אודה ה' בכל לבב בסוד ישרים ועדה", על הזכות הגדולה שנפלה בחלקי, לערוך ולסדר לפני עמלי התורה, את דברי הראשונים, האחרונים, וראשי הישיבות, לפי סדר הסוגית. </w:t>
      </w:r>
    </w:p>
    <w:p w14:paraId="14350725" w14:textId="3901E2B8" w:rsidR="009E0F82" w:rsidRPr="001C1412" w:rsidRDefault="009E0F82" w:rsidP="009E0F82">
      <w:pPr>
        <w:spacing w:before="240" w:line="240" w:lineRule="auto"/>
        <w:jc w:val="both"/>
        <w:rPr>
          <w:rFonts w:ascii="Guttman Hodes" w:eastAsia="Guttman Hodes" w:hAnsi="Guttman Hodes" w:cs="Guttman Hodes"/>
          <w:sz w:val="18"/>
          <w:szCs w:val="18"/>
          <w:rtl/>
        </w:rPr>
      </w:pPr>
      <w:r w:rsidRPr="001C1412">
        <w:rPr>
          <w:rFonts w:ascii="Guttman Hodes" w:eastAsia="Guttman Hodes" w:hAnsi="Guttman Hodes" w:cs="Guttman Hodes" w:hint="cs"/>
          <w:sz w:val="18"/>
          <w:szCs w:val="18"/>
          <w:rtl/>
        </w:rPr>
        <w:t xml:space="preserve">לתועלת הלומדים אפרט את סדר העריכה שבספר זה, בכל סוגיא וסוגיא ערוכה לפני הלומד </w:t>
      </w:r>
      <w:r w:rsidRPr="001C1412">
        <w:rPr>
          <w:rFonts w:ascii="Guttman Hodes" w:eastAsia="Guttman Hodes" w:hAnsi="Guttman Hodes" w:cs="Guttman Hodes" w:hint="cs"/>
          <w:b/>
          <w:bCs/>
          <w:sz w:val="18"/>
          <w:szCs w:val="18"/>
          <w:rtl/>
        </w:rPr>
        <w:t>"משנתם"</w:t>
      </w:r>
      <w:r w:rsidRPr="001C1412">
        <w:rPr>
          <w:rFonts w:ascii="Guttman Hodes" w:eastAsia="Guttman Hodes" w:hAnsi="Guttman Hodes" w:cs="Guttman Hodes" w:hint="cs"/>
          <w:sz w:val="18"/>
          <w:szCs w:val="18"/>
          <w:rtl/>
        </w:rPr>
        <w:t xml:space="preserve"> של הראשונים, האחרונים וראשי הישיבות </w:t>
      </w:r>
      <w:r w:rsidRPr="001C1412">
        <w:rPr>
          <w:rFonts w:ascii="Guttman Hodes" w:eastAsia="Guttman Hodes" w:hAnsi="Guttman Hodes" w:cs="Guttman Hodes" w:hint="cs"/>
          <w:b/>
          <w:bCs/>
          <w:sz w:val="18"/>
          <w:szCs w:val="18"/>
          <w:rtl/>
        </w:rPr>
        <w:t>"סדורה"</w:t>
      </w:r>
      <w:r w:rsidRPr="001C1412">
        <w:rPr>
          <w:rFonts w:ascii="Guttman Hodes" w:eastAsia="Guttman Hodes" w:hAnsi="Guttman Hodes" w:cs="Guttman Hodes" w:hint="cs"/>
          <w:sz w:val="18"/>
          <w:szCs w:val="18"/>
          <w:rtl/>
        </w:rPr>
        <w:t xml:space="preserve"> בלשון קלה ובהירה, נעשתה השתדלות גדולה שיהיו הדברים ככתבם, בלא להוסיף ולפרשם יותר מן הנצרך להבנת הדברים, אלא שנסדרו וחולקו לפי עניני וסדרי הסוגית, כך שהלומד שעוסק בתוך הסוגית, יכול למצא בהם תועלת גדולה, ולכן קראתי את שם הספר "</w:t>
      </w:r>
      <w:r w:rsidRPr="001C1412">
        <w:rPr>
          <w:rFonts w:ascii="Guttman Hodes" w:eastAsia="Guttman Hodes" w:hAnsi="Guttman Hodes" w:cs="Guttman Hodes" w:hint="cs"/>
          <w:b/>
          <w:bCs/>
          <w:sz w:val="18"/>
          <w:szCs w:val="18"/>
          <w:rtl/>
        </w:rPr>
        <w:t>משנתם סדורה</w:t>
      </w:r>
      <w:r w:rsidRPr="001C1412">
        <w:rPr>
          <w:rFonts w:ascii="Guttman Hodes" w:eastAsia="Guttman Hodes" w:hAnsi="Guttman Hodes" w:cs="Guttman Hodes" w:hint="cs"/>
          <w:sz w:val="18"/>
          <w:szCs w:val="18"/>
          <w:rtl/>
        </w:rPr>
        <w:t xml:space="preserve">", שהוא </w:t>
      </w:r>
      <w:r w:rsidRPr="001C1412">
        <w:rPr>
          <w:rFonts w:ascii="Guttman Hodes" w:eastAsia="Guttman Hodes" w:hAnsi="Guttman Hodes" w:cs="Guttman Hodes" w:hint="cs"/>
          <w:b/>
          <w:bCs/>
          <w:sz w:val="18"/>
          <w:szCs w:val="18"/>
          <w:rtl/>
        </w:rPr>
        <w:t>"משנתם"</w:t>
      </w:r>
      <w:r w:rsidRPr="001C1412">
        <w:rPr>
          <w:rFonts w:ascii="Guttman Hodes" w:eastAsia="Guttman Hodes" w:hAnsi="Guttman Hodes" w:cs="Guttman Hodes" w:hint="cs"/>
          <w:sz w:val="18"/>
          <w:szCs w:val="18"/>
          <w:rtl/>
        </w:rPr>
        <w:t xml:space="preserve"> של הראשונים והאחרונים וראשי הישיבות, אשר נערכו ונסדרו כדי שתהיה הסוגיא </w:t>
      </w:r>
      <w:r w:rsidRPr="001C1412">
        <w:rPr>
          <w:rFonts w:ascii="Guttman Hodes" w:eastAsia="Guttman Hodes" w:hAnsi="Guttman Hodes" w:cs="Guttman Hodes" w:hint="cs"/>
          <w:b/>
          <w:bCs/>
          <w:sz w:val="18"/>
          <w:szCs w:val="18"/>
          <w:rtl/>
        </w:rPr>
        <w:t>"סדורה"</w:t>
      </w:r>
      <w:r w:rsidRPr="001C1412">
        <w:rPr>
          <w:rFonts w:ascii="Guttman Hodes" w:eastAsia="Guttman Hodes" w:hAnsi="Guttman Hodes" w:cs="Guttman Hodes" w:hint="cs"/>
          <w:sz w:val="18"/>
          <w:szCs w:val="18"/>
          <w:rtl/>
        </w:rPr>
        <w:t xml:space="preserve"> לפני הלומד.</w:t>
      </w:r>
    </w:p>
    <w:p w14:paraId="515FD95A" w14:textId="1C66DD3D" w:rsidR="009E0F82" w:rsidRPr="001C1412" w:rsidRDefault="009E0F82" w:rsidP="009E0F82">
      <w:pPr>
        <w:spacing w:before="240" w:line="240" w:lineRule="auto"/>
        <w:jc w:val="both"/>
        <w:rPr>
          <w:rFonts w:ascii="Guttman Hodes" w:eastAsia="Guttman Hodes" w:hAnsi="Guttman Hodes" w:cs="Guttman Hodes"/>
          <w:sz w:val="18"/>
          <w:szCs w:val="18"/>
        </w:rPr>
      </w:pPr>
      <w:r w:rsidRPr="001C1412">
        <w:rPr>
          <w:rFonts w:ascii="Guttman Hodes" w:eastAsia="Guttman Hodes" w:hAnsi="Guttman Hodes" w:cs="Guttman Hodes" w:hint="cs"/>
          <w:sz w:val="18"/>
          <w:szCs w:val="18"/>
          <w:rtl/>
        </w:rPr>
        <w:t>בתחילת כל סימן נכתב "</w:t>
      </w:r>
      <w:r w:rsidRPr="001C1412">
        <w:rPr>
          <w:rFonts w:ascii="Guttman Hodes" w:eastAsia="Guttman Hodes" w:hAnsi="Guttman Hodes" w:cs="Guttman Hodes" w:hint="cs"/>
          <w:b/>
          <w:bCs/>
          <w:sz w:val="18"/>
          <w:szCs w:val="18"/>
          <w:rtl/>
        </w:rPr>
        <w:t>תוכן הענינים</w:t>
      </w:r>
      <w:r w:rsidRPr="001C1412">
        <w:rPr>
          <w:rFonts w:ascii="Guttman Hodes" w:eastAsia="Guttman Hodes" w:hAnsi="Guttman Hodes" w:cs="Guttman Hodes" w:hint="cs"/>
          <w:sz w:val="18"/>
          <w:szCs w:val="18"/>
          <w:rtl/>
        </w:rPr>
        <w:t>", בו הובאו כל הכותרות וכותרות המשנה, מסודרים לפי סדר האותיות שבתוך הסימן, עיקר מטרתו של מדור זה הוא בכדי שימצא הלומד בקל את מבוקשו בתוך הסוגיא, ויוכל לעיין בתוך ה</w:t>
      </w:r>
      <w:r w:rsidR="005956F3">
        <w:rPr>
          <w:rFonts w:ascii="Guttman Hodes" w:eastAsia="Guttman Hodes" w:hAnsi="Guttman Hodes" w:cs="Guttman Hodes" w:hint="cs"/>
          <w:sz w:val="18"/>
          <w:szCs w:val="18"/>
          <w:rtl/>
        </w:rPr>
        <w:t>סימן ט</w:t>
      </w:r>
      <w:r w:rsidRPr="001C1412">
        <w:rPr>
          <w:rFonts w:ascii="Guttman Hodes" w:eastAsia="Guttman Hodes" w:hAnsi="Guttman Hodes" w:cs="Guttman Hodes" w:hint="cs"/>
          <w:sz w:val="18"/>
          <w:szCs w:val="18"/>
          <w:rtl/>
        </w:rPr>
        <w:t>אותיות של הנושא שעוסק בו, ולא יצטרך לטרוח ולראות בתחילת הסוגיא את כל דברי הראשונים והאחרונים, בכמה נושאים שונים, כפי שהובאו באריכות בתוך הסימן, כמו"כ בתחילת הסוגית יכול הלומד לעיין במהירות בכל הכותרות שהובאו בתוך הסימן ולראות מה הם הנדונים בסוגיא, ולעיין במה שלבו חפץ.</w:t>
      </w:r>
    </w:p>
    <w:p w14:paraId="65223366" w14:textId="77777777" w:rsidR="009E0F82" w:rsidRPr="001C1412" w:rsidRDefault="009E0F82" w:rsidP="009E0F82">
      <w:pPr>
        <w:spacing w:before="240" w:line="240" w:lineRule="auto"/>
        <w:jc w:val="both"/>
        <w:rPr>
          <w:rFonts w:ascii="Cambria" w:eastAsia="Guttman Hodes" w:hAnsi="Cambria" w:cs="Guttman Hodes"/>
          <w:sz w:val="18"/>
          <w:szCs w:val="18"/>
          <w:rtl/>
        </w:rPr>
      </w:pPr>
      <w:r w:rsidRPr="001C1412">
        <w:rPr>
          <w:rFonts w:ascii="Guttman Hodes" w:eastAsia="Guttman Hodes" w:hAnsi="Guttman Hodes" w:cs="Guttman Hodes" w:hint="cs"/>
          <w:sz w:val="18"/>
          <w:szCs w:val="18"/>
          <w:rtl/>
        </w:rPr>
        <w:t xml:space="preserve">בתוך הסימן הובאו באריכות דברי הראשונים והאחרונים, ואחריהם נכתבו </w:t>
      </w:r>
      <w:r w:rsidRPr="001C1412">
        <w:rPr>
          <w:rFonts w:ascii="Cambria" w:eastAsia="Guttman Hodes" w:hAnsi="Cambria" w:cs="Guttman Hodes" w:hint="cs"/>
          <w:sz w:val="18"/>
          <w:szCs w:val="18"/>
          <w:rtl/>
        </w:rPr>
        <w:t>במדור נפרד "</w:t>
      </w:r>
      <w:r w:rsidRPr="001C1412">
        <w:rPr>
          <w:rFonts w:ascii="Cambria" w:eastAsia="Guttman Hodes" w:hAnsi="Cambria" w:cs="Guttman Hodes" w:hint="cs"/>
          <w:b/>
          <w:bCs/>
          <w:sz w:val="18"/>
          <w:szCs w:val="18"/>
          <w:rtl/>
        </w:rPr>
        <w:t>ביאורי ראשי הישיבות</w:t>
      </w:r>
      <w:r w:rsidRPr="001C1412">
        <w:rPr>
          <w:rFonts w:ascii="Cambria" w:eastAsia="Guttman Hodes" w:hAnsi="Cambria" w:cs="Guttman Hodes" w:hint="cs"/>
          <w:sz w:val="18"/>
          <w:szCs w:val="18"/>
          <w:rtl/>
        </w:rPr>
        <w:t>", בו הובאו דבריהם של רבותינו ראשי הישיבות, החל מרבינו הגר"ח מבריסק ואילך, כאשר המטרה בחלוקה זו, היא בכדי להעמיד בבירור את גדרי הדינים והבנת הסברות, כפי דרך הלימוד המקובלת בישיבות.</w:t>
      </w:r>
    </w:p>
    <w:p w14:paraId="6C1ACADC" w14:textId="219E1183" w:rsidR="009E0F82" w:rsidRPr="001C1412" w:rsidRDefault="009E0F82" w:rsidP="009E0F82">
      <w:pPr>
        <w:spacing w:before="240" w:line="240" w:lineRule="auto"/>
        <w:jc w:val="both"/>
        <w:rPr>
          <w:rFonts w:ascii="Guttman Hodes" w:eastAsia="Guttman Hodes" w:hAnsi="Guttman Hodes" w:cs="Guttman Hodes"/>
          <w:sz w:val="18"/>
          <w:szCs w:val="18"/>
          <w:rtl/>
        </w:rPr>
      </w:pPr>
      <w:r w:rsidRPr="001C1412">
        <w:rPr>
          <w:rFonts w:ascii="Guttman Hodes" w:eastAsia="Guttman Hodes" w:hAnsi="Guttman Hodes" w:cs="Guttman Hodes" w:hint="cs"/>
          <w:sz w:val="18"/>
          <w:szCs w:val="18"/>
          <w:rtl/>
        </w:rPr>
        <w:t xml:space="preserve">מראי מקומות אלו נכתבו תוך כדי לימוד הסוגיות </w:t>
      </w:r>
      <w:r w:rsidR="00D96519">
        <w:rPr>
          <w:rFonts w:ascii="Guttman Hodes" w:eastAsia="Guttman Hodes" w:hAnsi="Guttman Hodes" w:cs="Guttman Hodes" w:hint="cs"/>
          <w:sz w:val="18"/>
          <w:szCs w:val="18"/>
          <w:rtl/>
        </w:rPr>
        <w:t>בזמן קיץ תשפ"ג</w:t>
      </w:r>
      <w:r w:rsidRPr="001C1412">
        <w:rPr>
          <w:rFonts w:ascii="Guttman Hodes" w:eastAsia="Guttman Hodes" w:hAnsi="Guttman Hodes" w:cs="Guttman Hodes" w:hint="cs"/>
          <w:sz w:val="18"/>
          <w:szCs w:val="18"/>
          <w:rtl/>
        </w:rPr>
        <w:t xml:space="preserve">, </w:t>
      </w:r>
      <w:r w:rsidRPr="001C1412">
        <w:rPr>
          <w:rFonts w:ascii="Guttman Hodes" w:eastAsia="Guttman Hodes" w:hAnsi="Guttman Hodes" w:cs="Guttman Hodes" w:hint="cs"/>
          <w:b/>
          <w:bCs/>
          <w:sz w:val="18"/>
          <w:szCs w:val="18"/>
          <w:rtl/>
        </w:rPr>
        <w:t>במבצר התורה "ישיבת בית הלל" בעיר התורה בני ברק</w:t>
      </w:r>
      <w:r w:rsidRPr="001C1412">
        <w:rPr>
          <w:rFonts w:ascii="Guttman Hodes" w:eastAsia="Guttman Hodes" w:hAnsi="Guttman Hodes" w:cs="Guttman Hodes" w:hint="cs"/>
          <w:sz w:val="18"/>
          <w:szCs w:val="18"/>
          <w:rtl/>
        </w:rPr>
        <w:t>, סדר הלימוד וכן הספק הסוגיות, הוא כפי מה שה</w:t>
      </w:r>
      <w:r>
        <w:rPr>
          <w:rFonts w:ascii="Guttman Hodes" w:eastAsia="Guttman Hodes" w:hAnsi="Guttman Hodes" w:cs="Guttman Hodes" w:hint="cs"/>
          <w:sz w:val="18"/>
          <w:szCs w:val="18"/>
          <w:rtl/>
        </w:rPr>
        <w:t>תאפשר</w:t>
      </w:r>
      <w:r w:rsidRPr="001C1412">
        <w:rPr>
          <w:rFonts w:ascii="Guttman Hodes" w:eastAsia="Guttman Hodes" w:hAnsi="Guttman Hodes" w:cs="Guttman Hodes" w:hint="cs"/>
          <w:sz w:val="18"/>
          <w:szCs w:val="18"/>
          <w:rtl/>
        </w:rPr>
        <w:t xml:space="preserve"> לכתוב בכפוף לקצב הלימוד וההתקדמות בכולל, כך שישנם </w:t>
      </w:r>
      <w:r w:rsidR="00D01BA5">
        <w:rPr>
          <w:rFonts w:ascii="Guttman Hodes" w:eastAsia="Guttman Hodes" w:hAnsi="Guttman Hodes" w:cs="Guttman Hodes" w:hint="cs"/>
          <w:sz w:val="18"/>
          <w:szCs w:val="18"/>
          <w:rtl/>
        </w:rPr>
        <w:t>נושאים</w:t>
      </w:r>
      <w:r w:rsidRPr="001C1412">
        <w:rPr>
          <w:rFonts w:ascii="Guttman Hodes" w:eastAsia="Guttman Hodes" w:hAnsi="Guttman Hodes" w:cs="Guttman Hodes" w:hint="cs"/>
          <w:sz w:val="18"/>
          <w:szCs w:val="18"/>
          <w:rtl/>
        </w:rPr>
        <w:t xml:space="preserve"> שהתאפשר להאריך בהם יותר, וישנם </w:t>
      </w:r>
      <w:r w:rsidR="00D01BA5">
        <w:rPr>
          <w:rFonts w:ascii="Guttman Hodes" w:eastAsia="Guttman Hodes" w:hAnsi="Guttman Hodes" w:cs="Guttman Hodes" w:hint="cs"/>
          <w:sz w:val="18"/>
          <w:szCs w:val="18"/>
          <w:rtl/>
        </w:rPr>
        <w:t>נושאים</w:t>
      </w:r>
      <w:r w:rsidRPr="001C1412">
        <w:rPr>
          <w:rFonts w:ascii="Guttman Hodes" w:eastAsia="Guttman Hodes" w:hAnsi="Guttman Hodes" w:cs="Guttman Hodes" w:hint="cs"/>
          <w:sz w:val="18"/>
          <w:szCs w:val="18"/>
          <w:rtl/>
        </w:rPr>
        <w:t xml:space="preserve"> </w:t>
      </w:r>
      <w:r w:rsidR="00D01BA5">
        <w:rPr>
          <w:rFonts w:ascii="Guttman Hodes" w:eastAsia="Guttman Hodes" w:hAnsi="Guttman Hodes" w:cs="Guttman Hodes" w:hint="cs"/>
          <w:sz w:val="18"/>
          <w:szCs w:val="18"/>
          <w:rtl/>
        </w:rPr>
        <w:t>ש</w:t>
      </w:r>
      <w:r w:rsidRPr="001C1412">
        <w:rPr>
          <w:rFonts w:ascii="Guttman Hodes" w:eastAsia="Guttman Hodes" w:hAnsi="Guttman Hodes" w:cs="Guttman Hodes" w:hint="cs"/>
          <w:sz w:val="18"/>
          <w:szCs w:val="18"/>
          <w:rtl/>
        </w:rPr>
        <w:t xml:space="preserve">לא </w:t>
      </w:r>
      <w:r>
        <w:rPr>
          <w:rFonts w:ascii="Guttman Hodes" w:eastAsia="Guttman Hodes" w:hAnsi="Guttman Hodes" w:cs="Guttman Hodes" w:hint="cs"/>
          <w:sz w:val="18"/>
          <w:szCs w:val="18"/>
          <w:rtl/>
        </w:rPr>
        <w:t>נכתבו</w:t>
      </w:r>
      <w:r w:rsidRPr="001C1412">
        <w:rPr>
          <w:rFonts w:ascii="Guttman Hodes" w:eastAsia="Guttman Hodes" w:hAnsi="Guttman Hodes" w:cs="Guttman Hodes" w:hint="cs"/>
          <w:sz w:val="18"/>
          <w:szCs w:val="18"/>
          <w:rtl/>
        </w:rPr>
        <w:t xml:space="preserve"> כלל.</w:t>
      </w:r>
    </w:p>
    <w:p w14:paraId="5AE54EF5" w14:textId="77777777" w:rsidR="009E0F82" w:rsidRPr="001C1412" w:rsidRDefault="009E0F82" w:rsidP="009E0F82">
      <w:pPr>
        <w:spacing w:before="240" w:line="240" w:lineRule="auto"/>
        <w:jc w:val="both"/>
        <w:rPr>
          <w:rFonts w:ascii="Guttman Hodes" w:eastAsia="Guttman Hodes" w:hAnsi="Guttman Hodes" w:cs="Guttman Hodes"/>
          <w:sz w:val="18"/>
          <w:szCs w:val="18"/>
          <w:rtl/>
        </w:rPr>
      </w:pPr>
      <w:r w:rsidRPr="001C1412">
        <w:rPr>
          <w:rFonts w:ascii="Guttman Hodes" w:eastAsia="Guttman Hodes" w:hAnsi="Guttman Hodes" w:cs="Guttman Hodes" w:hint="cs"/>
          <w:sz w:val="18"/>
          <w:szCs w:val="18"/>
          <w:rtl/>
        </w:rPr>
        <w:t xml:space="preserve">בראש ובראשונה נתונה התודה </w:t>
      </w:r>
      <w:r w:rsidRPr="001C1412">
        <w:rPr>
          <w:rFonts w:ascii="Guttman Hodes" w:eastAsia="Guttman Hodes" w:hAnsi="Guttman Hodes" w:cs="Guttman Hodes" w:hint="cs"/>
          <w:b/>
          <w:bCs/>
          <w:sz w:val="18"/>
          <w:szCs w:val="18"/>
          <w:rtl/>
        </w:rPr>
        <w:t>למורינו ראש הכולל הגאון רבי יוסף יעקב מן שליט"א</w:t>
      </w:r>
      <w:r w:rsidRPr="001C1412">
        <w:rPr>
          <w:rFonts w:ascii="Guttman Hodes" w:eastAsia="Guttman Hodes" w:hAnsi="Guttman Hodes" w:cs="Guttman Hodes" w:hint="cs"/>
          <w:sz w:val="18"/>
          <w:szCs w:val="18"/>
          <w:rtl/>
        </w:rPr>
        <w:t xml:space="preserve">, אשר מלבד דאגתו המיוחדת לכל צרכי הכולל, תמידים כסדרם ללא כל הפסק ואיחור, אשר הינה מהמפורסמות. מלבד זאת עיניו ולבו נתונים כל היום להוסיף עוד ועוד בעמלה של תורה בביהמ"ד, והינו מוביל ומנהיג את סדרי הסוגיות, בחכמה ובתבונה רבה עד למאוד, </w:t>
      </w:r>
      <w:r w:rsidRPr="001C1412">
        <w:rPr>
          <w:rFonts w:ascii="Guttman Hodes" w:eastAsia="Guttman Hodes" w:hAnsi="Guttman Hodes" w:cs="Guttman Hodes" w:hint="cs"/>
          <w:b/>
          <w:bCs/>
          <w:sz w:val="18"/>
          <w:szCs w:val="18"/>
          <w:rtl/>
        </w:rPr>
        <w:t>ומסור בכל לבו ונפשו לראות איך כל אברך ואברך יקיף בעיון את כל הסוגית מכל עבריה מחד, ומאידך יספיק ללמוד בהספק גדול ככל הניתן</w:t>
      </w:r>
      <w:r w:rsidRPr="001C1412">
        <w:rPr>
          <w:rFonts w:ascii="Guttman Hodes" w:eastAsia="Guttman Hodes" w:hAnsi="Guttman Hodes" w:cs="Guttman Hodes" w:hint="cs"/>
          <w:sz w:val="18"/>
          <w:szCs w:val="18"/>
          <w:rtl/>
        </w:rPr>
        <w:t>,</w:t>
      </w:r>
      <w:r w:rsidRPr="001C1412">
        <w:rPr>
          <w:rtl/>
        </w:rPr>
        <w:t xml:space="preserve"> </w:t>
      </w:r>
      <w:r w:rsidRPr="001C1412">
        <w:rPr>
          <w:rFonts w:ascii="Guttman Hodes" w:eastAsia="Guttman Hodes" w:hAnsi="Guttman Hodes" w:cs="Guttman Hodes" w:hint="cs"/>
          <w:sz w:val="18"/>
          <w:szCs w:val="18"/>
          <w:rtl/>
        </w:rPr>
        <w:t>וכל זאת בהשקפה גדולה להמשיך את צורת הישיבה, כפי שהנחילו אביו מרן הגאון הגדול רבי מרדכי לייב מן זצוק"ל, הברכה אחת היא שיזכה להגדיל תורה ולהאדירה, וירחיב ה' את גבולו בעמלי תורה, מתוך מנוחת הדעת ושלוות הנפש.</w:t>
      </w:r>
    </w:p>
    <w:p w14:paraId="2A1302B8" w14:textId="77777777" w:rsidR="009E0F82" w:rsidRPr="001C1412" w:rsidRDefault="009E0F82" w:rsidP="009E0F82">
      <w:pPr>
        <w:spacing w:before="240" w:line="240" w:lineRule="auto"/>
        <w:jc w:val="both"/>
        <w:rPr>
          <w:rFonts w:ascii="Guttman Hodes" w:eastAsia="Guttman Hodes" w:hAnsi="Guttman Hodes" w:cs="Guttman Hodes"/>
          <w:sz w:val="18"/>
          <w:szCs w:val="18"/>
          <w:rtl/>
        </w:rPr>
      </w:pPr>
      <w:r w:rsidRPr="001C1412">
        <w:rPr>
          <w:rFonts w:ascii="Guttman Hodes" w:eastAsia="Guttman Hodes" w:hAnsi="Guttman Hodes" w:cs="Guttman Hodes" w:hint="cs"/>
          <w:sz w:val="18"/>
          <w:szCs w:val="18"/>
          <w:rtl/>
        </w:rPr>
        <w:t>כאן המקום להודות ולהכיר טובה, לכל רבותי שלימדוני תורה, והעמידוני בקרן אורה, ולימדוני את דרכי הלימוד הגירסא ההבנה והסברא, ואברכם בברכת כהן, שיזכו להמשיך ולהרביץ תורה, ולהעמיד תלמידים הרבה, מעוטרים בכתרה של תורה.</w:t>
      </w:r>
    </w:p>
    <w:p w14:paraId="365C0E08" w14:textId="77777777" w:rsidR="009E0F82" w:rsidRPr="001C1412" w:rsidRDefault="009E0F82" w:rsidP="009E0F82">
      <w:pPr>
        <w:spacing w:before="240" w:line="240" w:lineRule="auto"/>
        <w:jc w:val="both"/>
        <w:rPr>
          <w:rFonts w:ascii="Guttman Hodes" w:eastAsia="Guttman Hodes" w:hAnsi="Guttman Hodes" w:cs="Guttman Hodes"/>
          <w:sz w:val="18"/>
          <w:szCs w:val="18"/>
          <w:rtl/>
        </w:rPr>
      </w:pPr>
      <w:r w:rsidRPr="001C1412">
        <w:rPr>
          <w:rFonts w:ascii="Guttman Hodes" w:eastAsia="Guttman Hodes" w:hAnsi="Guttman Hodes" w:cs="Guttman Hodes" w:hint="cs"/>
          <w:sz w:val="18"/>
          <w:szCs w:val="18"/>
          <w:rtl/>
        </w:rPr>
        <w:t>וכן אודה לכל בני החבורה בישיבת בית הלל כל אחד ואחד לפי מעלתו, אשר היו שותפים בעצה ובתבונה והאירו עיני בהרבה ענינים, ופעמים רבות עד למאוד תיקנו והעירו על כל הדרוש תיקון, וניתן לומר שהכתיבה היתה כידא אריכתא של בני הכולל, אברכם שיזכו להמשיך לעמול ולהתיגע בתורה, ולא תמוש התורה מפיהם ומפי זרעם עד עולם.</w:t>
      </w:r>
    </w:p>
    <w:p w14:paraId="049323CC" w14:textId="0CFD9F73" w:rsidR="009E0F82" w:rsidRPr="001C1412" w:rsidRDefault="009E0F82" w:rsidP="009E0F82">
      <w:pPr>
        <w:spacing w:before="240" w:line="240" w:lineRule="auto"/>
        <w:jc w:val="both"/>
        <w:rPr>
          <w:rFonts w:ascii="Guttman Hodes" w:eastAsia="Guttman Hodes" w:hAnsi="Guttman Hodes" w:cs="Guttman Hodes"/>
          <w:sz w:val="18"/>
          <w:szCs w:val="18"/>
          <w:rtl/>
        </w:rPr>
      </w:pPr>
      <w:r w:rsidRPr="001C1412">
        <w:rPr>
          <w:rFonts w:ascii="Guttman Hodes" w:eastAsia="Guttman Hodes" w:hAnsi="Guttman Hodes" w:cs="Guttman Hodes" w:hint="cs"/>
          <w:sz w:val="18"/>
          <w:szCs w:val="18"/>
          <w:rtl/>
        </w:rPr>
        <w:t xml:space="preserve">וכן אודה לכל הת"ח הגדולים </w:t>
      </w:r>
      <w:r w:rsidRPr="001C1412">
        <w:rPr>
          <w:rFonts w:ascii="Guttman Hodes" w:eastAsia="Guttman Hodes" w:hAnsi="Guttman Hodes" w:cs="Guttman Hodes" w:hint="cs"/>
          <w:b/>
          <w:bCs/>
          <w:sz w:val="18"/>
          <w:szCs w:val="18"/>
          <w:rtl/>
        </w:rPr>
        <w:t xml:space="preserve">מחברי הספרים והמראי מקומות על </w:t>
      </w:r>
      <w:r>
        <w:rPr>
          <w:rFonts w:ascii="Guttman Hodes" w:eastAsia="Guttman Hodes" w:hAnsi="Guttman Hodes" w:cs="Guttman Hodes" w:hint="cs"/>
          <w:b/>
          <w:bCs/>
          <w:sz w:val="18"/>
          <w:szCs w:val="18"/>
          <w:rtl/>
        </w:rPr>
        <w:t xml:space="preserve">עניני </w:t>
      </w:r>
      <w:r w:rsidR="005956F3">
        <w:rPr>
          <w:rFonts w:ascii="Guttman Hodes" w:eastAsia="Guttman Hodes" w:hAnsi="Guttman Hodes" w:cs="Guttman Hodes" w:hint="cs"/>
          <w:b/>
          <w:bCs/>
          <w:sz w:val="18"/>
          <w:szCs w:val="18"/>
          <w:rtl/>
        </w:rPr>
        <w:t>מלאכות שבת</w:t>
      </w:r>
      <w:r w:rsidRPr="001C1412">
        <w:rPr>
          <w:rFonts w:ascii="Guttman Hodes" w:eastAsia="Guttman Hodes" w:hAnsi="Guttman Hodes" w:cs="Guttman Hodes" w:hint="cs"/>
          <w:sz w:val="18"/>
          <w:szCs w:val="18"/>
          <w:rtl/>
        </w:rPr>
        <w:t xml:space="preserve"> אשר העמידו בבהירות את מראי המקומות והנקודות הנחוצות להבנת הסוגיות, </w:t>
      </w:r>
      <w:r w:rsidRPr="001C1412">
        <w:rPr>
          <w:rFonts w:ascii="Guttman Hodes" w:eastAsia="Guttman Hodes" w:hAnsi="Guttman Hodes" w:cs="Guttman Hodes" w:hint="cs"/>
          <w:b/>
          <w:bCs/>
          <w:sz w:val="18"/>
          <w:szCs w:val="18"/>
          <w:rtl/>
        </w:rPr>
        <w:t>שנעזרתי בהם רבות בלימוד המסכת</w:t>
      </w:r>
      <w:r w:rsidRPr="001C1412">
        <w:rPr>
          <w:rFonts w:ascii="Guttman Hodes" w:eastAsia="Guttman Hodes" w:hAnsi="Guttman Hodes" w:cs="Guttman Hodes" w:hint="cs"/>
          <w:sz w:val="18"/>
          <w:szCs w:val="18"/>
          <w:rtl/>
        </w:rPr>
        <w:t>, לכולם אודה מעומק לבי, ואברכם בברכת כהן שיזכו להמשיך להגדיל תורה ולהאדירה.</w:t>
      </w:r>
    </w:p>
    <w:p w14:paraId="1BD10940" w14:textId="77777777" w:rsidR="009E0F82" w:rsidRPr="001C1412" w:rsidRDefault="009E0F82" w:rsidP="009E0F82">
      <w:pPr>
        <w:spacing w:before="240" w:line="240" w:lineRule="auto"/>
        <w:jc w:val="both"/>
        <w:rPr>
          <w:rFonts w:ascii="Guttman Hodes" w:eastAsia="Guttman Hodes" w:hAnsi="Guttman Hodes" w:cs="Guttman Hodes"/>
          <w:sz w:val="18"/>
          <w:szCs w:val="18"/>
          <w:rtl/>
        </w:rPr>
      </w:pPr>
      <w:r w:rsidRPr="001C1412">
        <w:rPr>
          <w:rFonts w:ascii="Guttman Hodes" w:eastAsia="Guttman Hodes" w:hAnsi="Guttman Hodes" w:cs="Guttman Hodes" w:hint="cs"/>
          <w:sz w:val="18"/>
          <w:szCs w:val="18"/>
          <w:rtl/>
        </w:rPr>
        <w:t>ברגשי אהבה וכבוד אודה לאבי מורי הרב אהרן הכהן הנדל שליט"א, שחינכני ליראת שמים ואהבת תורה ומידות טובות, ולעמול ולהתייגע בדברי תורה, ולרעייתו מרת הינדא שתחי', המסורה לכולנו בכל ליבה ונפשה, ומעניקה בשפע מטוב ליבה לכל בני המשפחה. בהערכה גדולה אודה למורי חמי זקני הגאון רבי ירחמיאל בירנצוויג שליט"א ראש הכוללים "אהל חיים משה ופנינה", שדמותו המוסרית משמשת לנו לסמל ולדוגמא, [כאן המקום להעלות את זכרה של רעייתו שעמדה לימינו במסירות מיוחדת ומופלאה, בהגברת קול התורה והתפילה בביהמ"ד, הרבנית מרת רחל לאה בירנצוויג ע"ה, בתו של האי צדיקא ופרישא, המקובל הגה"ק רבי חיים משה מנדל זצוק"ל, אשר רבים נושעו מברכותיו]. ברגש תודה מיוחד אודה למורי חמי הרב בן ציון שטרנפלד שליט"א וחמותי מרת אהובה שתחי', שזכיתי להכנס לתוך ביתם, בית שכל כולו נתינה וספוג באהבת התורה ותלמידי חכמים, יזכו כולם לאריכות ימים ושנים, בבריות גופא ונהורא מעליא, ולרוב נחת דקדושה מכל יוצ"ח.</w:t>
      </w:r>
    </w:p>
    <w:p w14:paraId="3D5CA24F" w14:textId="77777777" w:rsidR="009E0F82" w:rsidRPr="001C1412" w:rsidRDefault="009E0F82" w:rsidP="009E0F82">
      <w:pPr>
        <w:spacing w:before="240" w:line="240" w:lineRule="auto"/>
        <w:jc w:val="both"/>
        <w:rPr>
          <w:rFonts w:ascii="Guttman Hodes" w:eastAsia="Guttman Hodes" w:hAnsi="Guttman Hodes" w:cs="Guttman Hodes"/>
          <w:sz w:val="18"/>
          <w:szCs w:val="18"/>
          <w:rtl/>
        </w:rPr>
      </w:pPr>
      <w:r w:rsidRPr="001C1412">
        <w:rPr>
          <w:rFonts w:ascii="Guttman Hodes" w:eastAsia="Guttman Hodes" w:hAnsi="Guttman Hodes" w:cs="Guttman Hodes" w:hint="cs"/>
          <w:sz w:val="18"/>
          <w:szCs w:val="18"/>
          <w:rtl/>
        </w:rPr>
        <w:t>אציין שכתיבת המראי מקומות, היתה תוך כדי הלימוד בכולל, ולא ימלט שיהיו טעויות, ואין עתה סיפק בידי ללמוד ולעבור על הכל מחדש במתינות, ובקשתי שטוחה מכל לומד שימצא טעות בדברי, אם יוכל להעירני ולהעמידני על טעותי, אודה לו מאוד על כך.</w:t>
      </w:r>
    </w:p>
    <w:p w14:paraId="25CB842C" w14:textId="77777777" w:rsidR="009E0F82" w:rsidRPr="001C1412" w:rsidRDefault="009E0F82" w:rsidP="009E0F82">
      <w:pPr>
        <w:spacing w:before="240" w:line="240" w:lineRule="auto"/>
        <w:jc w:val="both"/>
        <w:rPr>
          <w:rFonts w:ascii="Guttman Hodes" w:eastAsia="Guttman Hodes" w:hAnsi="Guttman Hodes" w:cs="Guttman Hodes"/>
          <w:sz w:val="18"/>
          <w:szCs w:val="18"/>
          <w:rtl/>
        </w:rPr>
      </w:pPr>
      <w:r w:rsidRPr="001C1412">
        <w:rPr>
          <w:rFonts w:ascii="Guttman Hodes" w:eastAsia="Guttman Hodes" w:hAnsi="Guttman Hodes" w:cs="Guttman Hodes" w:hint="cs"/>
          <w:sz w:val="18"/>
          <w:szCs w:val="18"/>
          <w:rtl/>
        </w:rPr>
        <w:t>ובצאתי אפרוש כפי בתפילה, שאזכה לישב באהלה של תורה, ולעמול ולהתיגע בה כל ימי חיי, ואזכה יחד עם רעייתי שתחי', לגדל את ילדינו לתורה וליראת שמים ומידות טובות, ושלא תמוש התורה מפינו ומפי זרעינו וזרע זרעינו עד עולם.</w:t>
      </w:r>
    </w:p>
    <w:p w14:paraId="39810C85" w14:textId="77777777" w:rsidR="009E0F82" w:rsidRPr="001C1412" w:rsidRDefault="009E0F82" w:rsidP="009E0F82">
      <w:pPr>
        <w:spacing w:line="240" w:lineRule="auto"/>
        <w:jc w:val="right"/>
        <w:rPr>
          <w:rFonts w:ascii="Guttman Hodes" w:eastAsia="Guttman Hodes" w:hAnsi="Guttman Hodes" w:cs="Guttman Hodes"/>
          <w:sz w:val="18"/>
          <w:szCs w:val="18"/>
          <w:rtl/>
        </w:rPr>
      </w:pPr>
    </w:p>
    <w:p w14:paraId="26CA1F10" w14:textId="77777777" w:rsidR="009E0F82" w:rsidRPr="001C1412" w:rsidRDefault="009E0F82" w:rsidP="009E0F82">
      <w:pPr>
        <w:spacing w:line="240" w:lineRule="auto"/>
        <w:jc w:val="right"/>
        <w:rPr>
          <w:rFonts w:ascii="Guttman Hodes" w:eastAsia="Guttman Hodes" w:hAnsi="Guttman Hodes" w:cs="Guttman Hodes"/>
          <w:sz w:val="18"/>
          <w:szCs w:val="18"/>
          <w:rtl/>
        </w:rPr>
      </w:pPr>
      <w:r w:rsidRPr="001C1412">
        <w:rPr>
          <w:rFonts w:ascii="Guttman Hodes" w:eastAsia="Guttman Hodes" w:hAnsi="Guttman Hodes" w:cs="Guttman Hodes" w:hint="cs"/>
          <w:sz w:val="18"/>
          <w:szCs w:val="18"/>
          <w:rtl/>
        </w:rPr>
        <w:t>שלמה זושא הכהן הנדל</w:t>
      </w:r>
    </w:p>
    <w:p w14:paraId="33166D00" w14:textId="77777777" w:rsidR="009E0F82" w:rsidRPr="001C1412" w:rsidRDefault="009E0F82" w:rsidP="009E0F82">
      <w:pPr>
        <w:spacing w:line="240" w:lineRule="auto"/>
        <w:jc w:val="right"/>
        <w:rPr>
          <w:rFonts w:ascii="Guttman Hodes" w:eastAsia="Guttman Hodes" w:hAnsi="Guttman Hodes" w:cs="Guttman Hodes"/>
          <w:sz w:val="18"/>
          <w:szCs w:val="18"/>
          <w:rtl/>
        </w:rPr>
      </w:pPr>
      <w:r w:rsidRPr="001C1412">
        <w:rPr>
          <w:rFonts w:ascii="Guttman Hodes" w:eastAsia="Guttman Hodes" w:hAnsi="Guttman Hodes" w:cs="Guttman Hodes" w:hint="cs"/>
          <w:sz w:val="18"/>
          <w:szCs w:val="18"/>
          <w:rtl/>
        </w:rPr>
        <w:t>ישיבת בית הלל בני ברק</w:t>
      </w:r>
    </w:p>
    <w:p w14:paraId="0BB4777B" w14:textId="1AF81722" w:rsidR="00B03577" w:rsidRPr="001C1412" w:rsidRDefault="00B03577" w:rsidP="00B03577">
      <w:pPr>
        <w:spacing w:line="240" w:lineRule="auto"/>
        <w:rPr>
          <w:rFonts w:ascii="Calibri" w:eastAsia="Calibri" w:hAnsi="Calibri" w:cs="Arial"/>
          <w:rtl/>
        </w:rPr>
        <w:sectPr w:rsidR="00B03577" w:rsidRPr="001C1412" w:rsidSect="009E0F82">
          <w:type w:val="oddPage"/>
          <w:pgSz w:w="11906" w:h="16838"/>
          <w:pgMar w:top="720" w:right="720" w:bottom="720" w:left="720" w:header="708" w:footer="708" w:gutter="0"/>
          <w:cols w:space="708"/>
          <w:bidi/>
          <w:rtlGutter/>
          <w:docGrid w:linePitch="360"/>
        </w:sectPr>
      </w:pPr>
    </w:p>
    <w:p w14:paraId="04331418" w14:textId="77777777" w:rsidR="00D4212B" w:rsidRDefault="00D4212B" w:rsidP="00B03577">
      <w:pPr>
        <w:spacing w:line="240" w:lineRule="auto"/>
        <w:jc w:val="center"/>
        <w:rPr>
          <w:rFonts w:ascii="Guttman Hodes" w:eastAsia="Guttman Hodes" w:hAnsi="Guttman Hodes" w:cs="Guttman Hodes"/>
          <w:b/>
          <w:bCs/>
          <w:rtl/>
        </w:rPr>
        <w:sectPr w:rsidR="00D4212B" w:rsidSect="00D90E58">
          <w:headerReference w:type="even" r:id="rId12"/>
          <w:headerReference w:type="default" r:id="rId13"/>
          <w:footerReference w:type="even" r:id="rId14"/>
          <w:footerReference w:type="default" r:id="rId15"/>
          <w:headerReference w:type="first" r:id="rId16"/>
          <w:footerReference w:type="first" r:id="rId17"/>
          <w:type w:val="continuous"/>
          <w:pgSz w:w="11906" w:h="16838"/>
          <w:pgMar w:top="720" w:right="720" w:bottom="720" w:left="720" w:header="283" w:footer="283" w:gutter="0"/>
          <w:cols w:space="113"/>
          <w:titlePg/>
          <w:bidi/>
          <w:rtlGutter/>
          <w:docGrid w:linePitch="299"/>
        </w:sectPr>
      </w:pPr>
    </w:p>
    <w:p w14:paraId="3B8BC013" w14:textId="3696A15B" w:rsidR="00B03577" w:rsidRDefault="00B03577" w:rsidP="00B03577">
      <w:pPr>
        <w:spacing w:line="240" w:lineRule="auto"/>
        <w:jc w:val="center"/>
        <w:rPr>
          <w:rFonts w:ascii="Guttman Hodes" w:eastAsia="Guttman Hodes" w:hAnsi="Guttman Hodes" w:cs="Guttman Hodes"/>
          <w:b/>
          <w:bCs/>
          <w:rtl/>
        </w:rPr>
      </w:pPr>
      <w:r w:rsidRPr="001C1412">
        <w:rPr>
          <w:rFonts w:ascii="Guttman Hodes" w:eastAsia="Guttman Hodes" w:hAnsi="Guttman Hodes" w:cs="Guttman Hodes" w:hint="cs"/>
          <w:b/>
          <w:bCs/>
          <w:rtl/>
        </w:rPr>
        <w:lastRenderedPageBreak/>
        <w:t>מכתב ברכה ממורינו ראש הכולל הגאון רבי יעקב יוסף מן שליט"א</w:t>
      </w:r>
    </w:p>
    <w:p w14:paraId="4BB8EDB7" w14:textId="10847547" w:rsidR="00D4212B" w:rsidRDefault="00D4212B" w:rsidP="00B03577">
      <w:pPr>
        <w:spacing w:line="240" w:lineRule="auto"/>
        <w:jc w:val="center"/>
        <w:rPr>
          <w:rFonts w:ascii="Guttman Hodes" w:eastAsia="Guttman Hodes" w:hAnsi="Guttman Hodes" w:cs="Guttman Hodes"/>
          <w:b/>
          <w:bCs/>
          <w:rtl/>
        </w:rPr>
      </w:pPr>
    </w:p>
    <w:p w14:paraId="4493D892" w14:textId="77777777" w:rsidR="00D4212B" w:rsidRPr="001C1412" w:rsidRDefault="00D4212B" w:rsidP="00B03577">
      <w:pPr>
        <w:spacing w:line="240" w:lineRule="auto"/>
        <w:jc w:val="center"/>
        <w:rPr>
          <w:rFonts w:ascii="Guttman Hodes" w:eastAsia="Guttman Hodes" w:hAnsi="Guttman Hodes" w:cs="Guttman Hodes"/>
          <w:b/>
          <w:bCs/>
          <w:rtl/>
        </w:rPr>
      </w:pPr>
    </w:p>
    <w:p w14:paraId="05321D73" w14:textId="75D0EDCF" w:rsidR="00B03577" w:rsidRDefault="00B03577" w:rsidP="00B03577">
      <w:pPr>
        <w:spacing w:line="240" w:lineRule="auto"/>
        <w:jc w:val="center"/>
        <w:rPr>
          <w:rFonts w:ascii="Guttman Hodes" w:eastAsia="Guttman Hodes" w:hAnsi="Guttman Hodes" w:cs="Guttman Hodes"/>
          <w:b/>
          <w:bCs/>
          <w:noProof/>
          <w:rtl/>
        </w:rPr>
      </w:pPr>
      <w:r w:rsidRPr="001C1412">
        <w:rPr>
          <w:rFonts w:ascii="Guttman Hodes" w:eastAsia="Guttman Hodes" w:hAnsi="Guttman Hodes" w:cs="Guttman Hodes"/>
          <w:b/>
          <w:bCs/>
          <w:noProof/>
          <w:rtl/>
        </w:rPr>
        <w:drawing>
          <wp:inline distT="0" distB="0" distL="0" distR="0" wp14:anchorId="01CD4C91" wp14:editId="3BFF0FD9">
            <wp:extent cx="5598000" cy="7635600"/>
            <wp:effectExtent l="0" t="0" r="3175" b="3810"/>
            <wp:docPr id="30" name="תמונה 30" descr="C:\Users\User\Desktop\הסכמת ראש כולל בית הלל.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022" descr="C:\Users\User\Desktop\הסכמת ראש כולל בית הלל.jp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612" r="2297" b="2517"/>
                    <a:stretch/>
                  </pic:blipFill>
                  <pic:spPr bwMode="auto">
                    <a:xfrm>
                      <a:off x="0" y="0"/>
                      <a:ext cx="5598000" cy="7635600"/>
                    </a:xfrm>
                    <a:prstGeom prst="rect">
                      <a:avLst/>
                    </a:prstGeom>
                    <a:noFill/>
                    <a:ln>
                      <a:noFill/>
                    </a:ln>
                    <a:extLst>
                      <a:ext uri="{53640926-AAD7-44D8-BBD7-CCE9431645EC}">
                        <a14:shadowObscured xmlns:a14="http://schemas.microsoft.com/office/drawing/2010/main"/>
                      </a:ext>
                    </a:extLst>
                  </pic:spPr>
                </pic:pic>
              </a:graphicData>
            </a:graphic>
          </wp:inline>
        </w:drawing>
      </w:r>
    </w:p>
    <w:p w14:paraId="6B401B8D" w14:textId="156DEC15" w:rsidR="00862C5F" w:rsidRDefault="00862C5F" w:rsidP="00B03577">
      <w:pPr>
        <w:spacing w:line="240" w:lineRule="auto"/>
        <w:jc w:val="center"/>
        <w:rPr>
          <w:rFonts w:ascii="Guttman Hodes" w:eastAsia="Guttman Hodes" w:hAnsi="Guttman Hodes" w:cs="Guttman Hodes"/>
          <w:b/>
          <w:bCs/>
          <w:noProof/>
          <w:rtl/>
        </w:rPr>
      </w:pPr>
    </w:p>
    <w:p w14:paraId="52706AF2" w14:textId="77777777" w:rsidR="00862C5F" w:rsidRDefault="00862C5F" w:rsidP="00B03577">
      <w:pPr>
        <w:spacing w:line="240" w:lineRule="auto"/>
        <w:jc w:val="center"/>
        <w:rPr>
          <w:rFonts w:ascii="Guttman Hodes" w:eastAsia="Guttman Hodes" w:hAnsi="Guttman Hodes" w:cs="Guttman Hodes"/>
          <w:b/>
          <w:bCs/>
          <w:rtl/>
        </w:rPr>
        <w:sectPr w:rsidR="00862C5F" w:rsidSect="00541C1C">
          <w:headerReference w:type="default" r:id="rId19"/>
          <w:headerReference w:type="first" r:id="rId20"/>
          <w:footerReference w:type="first" r:id="rId21"/>
          <w:type w:val="oddPage"/>
          <w:pgSz w:w="11906" w:h="16838"/>
          <w:pgMar w:top="720" w:right="720" w:bottom="720" w:left="720" w:header="283" w:footer="283" w:gutter="0"/>
          <w:cols w:space="113"/>
          <w:bidi/>
          <w:rtlGutter/>
          <w:docGrid w:linePitch="299"/>
        </w:sectPr>
      </w:pPr>
    </w:p>
    <w:p w14:paraId="2D7987A4" w14:textId="7B21957A" w:rsidR="00B03577" w:rsidRPr="001C1412" w:rsidRDefault="00B03577" w:rsidP="00B03577">
      <w:pPr>
        <w:spacing w:line="240" w:lineRule="auto"/>
        <w:jc w:val="center"/>
        <w:rPr>
          <w:rFonts w:ascii="Guttman Hodes" w:eastAsia="Guttman Hodes" w:hAnsi="Guttman Hodes" w:cs="Guttman Hodes"/>
          <w:b/>
          <w:bCs/>
          <w:rtl/>
        </w:rPr>
      </w:pPr>
      <w:r w:rsidRPr="001C1412">
        <w:rPr>
          <w:rFonts w:ascii="Guttman Hodes" w:eastAsia="Guttman Hodes" w:hAnsi="Guttman Hodes" w:cs="Guttman Hodes" w:hint="cs"/>
          <w:b/>
          <w:bCs/>
          <w:rtl/>
        </w:rPr>
        <w:lastRenderedPageBreak/>
        <w:t>מכתב ברכה מהגאון רבי דוד מילר שליט"א מראשי ישיבת פוניבז'</w:t>
      </w:r>
    </w:p>
    <w:p w14:paraId="2A5564DD" w14:textId="77777777" w:rsidR="00B03577" w:rsidRPr="001C1412" w:rsidRDefault="00B03577" w:rsidP="00B03577">
      <w:pPr>
        <w:tabs>
          <w:tab w:val="left" w:pos="1163"/>
        </w:tabs>
        <w:spacing w:after="120" w:line="240" w:lineRule="auto"/>
        <w:ind w:left="284" w:right="284"/>
        <w:rPr>
          <w:rFonts w:ascii="David" w:eastAsia="Guttman Hodes" w:hAnsi="David" w:cs="David"/>
          <w:b/>
          <w:bCs/>
          <w:noProof/>
          <w:sz w:val="30"/>
          <w:szCs w:val="30"/>
          <w:rtl/>
        </w:rPr>
      </w:pPr>
    </w:p>
    <w:p w14:paraId="290B344C" w14:textId="77777777" w:rsidR="00B03577" w:rsidRPr="001C1412" w:rsidRDefault="00B03577" w:rsidP="00B03577">
      <w:pPr>
        <w:tabs>
          <w:tab w:val="left" w:pos="1163"/>
        </w:tabs>
        <w:spacing w:after="120" w:line="240" w:lineRule="auto"/>
        <w:ind w:left="284" w:right="284"/>
        <w:rPr>
          <w:rFonts w:ascii="David" w:eastAsia="Guttman Hodes" w:hAnsi="David" w:cs="David"/>
          <w:b/>
          <w:bCs/>
          <w:noProof/>
          <w:sz w:val="30"/>
          <w:szCs w:val="30"/>
          <w:rtl/>
        </w:rPr>
      </w:pPr>
      <w:r w:rsidRPr="001C1412">
        <w:rPr>
          <w:rFonts w:ascii="Guttman Hodes" w:eastAsia="Guttman Hodes" w:hAnsi="Guttman Hodes" w:cs="Guttman Hodes"/>
          <w:noProof/>
          <w:sz w:val="18"/>
          <w:szCs w:val="18"/>
        </w:rPr>
        <w:drawing>
          <wp:anchor distT="0" distB="0" distL="114300" distR="114300" simplePos="0" relativeHeight="251660288" behindDoc="1" locked="0" layoutInCell="1" allowOverlap="1" wp14:anchorId="430FC203" wp14:editId="4E92D730">
            <wp:simplePos x="0" y="0"/>
            <wp:positionH relativeFrom="margin">
              <wp:posOffset>146649</wp:posOffset>
            </wp:positionH>
            <wp:positionV relativeFrom="page">
              <wp:posOffset>1449238</wp:posOffset>
            </wp:positionV>
            <wp:extent cx="6364605" cy="8039819"/>
            <wp:effectExtent l="0" t="0" r="0" b="0"/>
            <wp:wrapNone/>
            <wp:docPr id="23" name="תמונה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364605" cy="803981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E2226D" w14:textId="77777777" w:rsidR="00B03577" w:rsidRPr="001C1412" w:rsidRDefault="00B03577" w:rsidP="00B03577">
      <w:pPr>
        <w:tabs>
          <w:tab w:val="left" w:pos="1163"/>
        </w:tabs>
        <w:spacing w:after="120" w:line="240" w:lineRule="auto"/>
        <w:ind w:left="284" w:right="284"/>
        <w:rPr>
          <w:rFonts w:ascii="David" w:eastAsia="Guttman Hodes" w:hAnsi="David" w:cs="David"/>
          <w:b/>
          <w:bCs/>
          <w:noProof/>
          <w:sz w:val="30"/>
          <w:szCs w:val="30"/>
          <w:rtl/>
        </w:rPr>
      </w:pPr>
    </w:p>
    <w:p w14:paraId="574F68C4" w14:textId="77777777" w:rsidR="00B03577" w:rsidRPr="001C1412" w:rsidRDefault="00B03577" w:rsidP="00B03577">
      <w:pPr>
        <w:tabs>
          <w:tab w:val="left" w:pos="1163"/>
        </w:tabs>
        <w:spacing w:after="120" w:line="240" w:lineRule="auto"/>
        <w:ind w:left="284" w:right="284"/>
        <w:rPr>
          <w:rFonts w:ascii="David" w:eastAsia="Guttman Hodes" w:hAnsi="David" w:cs="David"/>
          <w:b/>
          <w:bCs/>
          <w:noProof/>
          <w:sz w:val="30"/>
          <w:szCs w:val="30"/>
          <w:rtl/>
        </w:rPr>
      </w:pPr>
    </w:p>
    <w:p w14:paraId="1C7317BF" w14:textId="77777777" w:rsidR="00B03577" w:rsidRPr="001C1412" w:rsidRDefault="00B03577" w:rsidP="00B03577">
      <w:pPr>
        <w:tabs>
          <w:tab w:val="left" w:pos="1163"/>
        </w:tabs>
        <w:spacing w:after="120" w:line="240" w:lineRule="auto"/>
        <w:ind w:left="284" w:right="284"/>
        <w:rPr>
          <w:rFonts w:ascii="David" w:eastAsia="Guttman Hodes" w:hAnsi="David" w:cs="David"/>
          <w:b/>
          <w:bCs/>
          <w:noProof/>
          <w:sz w:val="30"/>
          <w:szCs w:val="30"/>
          <w:rtl/>
        </w:rPr>
      </w:pPr>
    </w:p>
    <w:p w14:paraId="0662CD7C" w14:textId="77777777" w:rsidR="00B03577" w:rsidRPr="001C1412" w:rsidRDefault="00B03577" w:rsidP="00B03577">
      <w:pPr>
        <w:tabs>
          <w:tab w:val="left" w:pos="1163"/>
        </w:tabs>
        <w:spacing w:after="120" w:line="240" w:lineRule="auto"/>
        <w:ind w:left="284" w:right="284"/>
        <w:rPr>
          <w:rFonts w:ascii="David" w:eastAsia="Guttman Hodes" w:hAnsi="David" w:cs="David"/>
          <w:b/>
          <w:bCs/>
          <w:noProof/>
          <w:sz w:val="30"/>
          <w:szCs w:val="30"/>
          <w:rtl/>
        </w:rPr>
      </w:pPr>
    </w:p>
    <w:p w14:paraId="1771D262" w14:textId="77777777" w:rsidR="00B03577" w:rsidRPr="001C1412" w:rsidRDefault="00B03577" w:rsidP="00B03577">
      <w:pPr>
        <w:tabs>
          <w:tab w:val="left" w:pos="1163"/>
        </w:tabs>
        <w:spacing w:after="120" w:line="240" w:lineRule="auto"/>
        <w:ind w:left="284" w:right="284"/>
        <w:rPr>
          <w:rFonts w:ascii="David" w:eastAsia="Guttman Hodes" w:hAnsi="David" w:cs="David"/>
          <w:b/>
          <w:bCs/>
          <w:noProof/>
          <w:sz w:val="30"/>
          <w:szCs w:val="30"/>
          <w:rtl/>
        </w:rPr>
      </w:pPr>
    </w:p>
    <w:p w14:paraId="04A0C642" w14:textId="77777777" w:rsidR="00B03577" w:rsidRPr="001C1412" w:rsidRDefault="00B03577" w:rsidP="00B03577">
      <w:pPr>
        <w:tabs>
          <w:tab w:val="left" w:pos="1163"/>
        </w:tabs>
        <w:spacing w:after="120" w:line="240" w:lineRule="auto"/>
        <w:ind w:left="284" w:right="284"/>
        <w:rPr>
          <w:rFonts w:ascii="David" w:eastAsia="Guttman Hodes" w:hAnsi="David" w:cs="David"/>
          <w:b/>
          <w:bCs/>
          <w:noProof/>
          <w:sz w:val="31"/>
          <w:szCs w:val="31"/>
          <w:rtl/>
        </w:rPr>
      </w:pPr>
    </w:p>
    <w:p w14:paraId="26E27E7C" w14:textId="77777777" w:rsidR="00B03577" w:rsidRPr="001C1412" w:rsidRDefault="00B03577" w:rsidP="00B03577">
      <w:pPr>
        <w:tabs>
          <w:tab w:val="left" w:pos="1163"/>
        </w:tabs>
        <w:spacing w:after="120" w:line="240" w:lineRule="auto"/>
        <w:ind w:left="454" w:right="454"/>
        <w:rPr>
          <w:rFonts w:ascii="David" w:eastAsia="Guttman Hodes" w:hAnsi="David" w:cs="David"/>
          <w:b/>
          <w:bCs/>
          <w:noProof/>
          <w:sz w:val="31"/>
          <w:szCs w:val="31"/>
          <w:rtl/>
        </w:rPr>
      </w:pPr>
    </w:p>
    <w:p w14:paraId="5A1B30D7" w14:textId="77777777" w:rsidR="00B03577" w:rsidRPr="001C1412" w:rsidRDefault="00B03577" w:rsidP="00B03577">
      <w:pPr>
        <w:tabs>
          <w:tab w:val="left" w:pos="1163"/>
        </w:tabs>
        <w:spacing w:after="120" w:line="240" w:lineRule="auto"/>
        <w:ind w:left="454" w:right="454"/>
        <w:rPr>
          <w:rFonts w:ascii="David" w:eastAsia="Guttman Hodes" w:hAnsi="David" w:cs="David"/>
          <w:b/>
          <w:bCs/>
          <w:noProof/>
          <w:sz w:val="36"/>
          <w:szCs w:val="36"/>
          <w:rtl/>
        </w:rPr>
      </w:pPr>
    </w:p>
    <w:p w14:paraId="602D811E" w14:textId="77777777" w:rsidR="00B03577" w:rsidRPr="001C1412" w:rsidRDefault="00B03577" w:rsidP="00B03577">
      <w:pPr>
        <w:tabs>
          <w:tab w:val="left" w:pos="1163"/>
        </w:tabs>
        <w:spacing w:after="120" w:line="240" w:lineRule="auto"/>
        <w:ind w:left="454" w:right="454"/>
        <w:rPr>
          <w:rFonts w:ascii="David" w:eastAsia="Guttman Hodes" w:hAnsi="David" w:cs="David"/>
          <w:b/>
          <w:bCs/>
          <w:noProof/>
          <w:sz w:val="36"/>
          <w:szCs w:val="36"/>
        </w:rPr>
      </w:pPr>
      <w:r w:rsidRPr="001C1412">
        <w:rPr>
          <w:rFonts w:ascii="David" w:eastAsia="Guttman Hodes" w:hAnsi="David" w:cs="David"/>
          <w:b/>
          <w:bCs/>
          <w:noProof/>
          <w:sz w:val="36"/>
          <w:szCs w:val="36"/>
          <w:rtl/>
        </w:rPr>
        <w:t>לכב' הרב הגאון ר' שלמה הנדל שליט"א</w:t>
      </w:r>
    </w:p>
    <w:p w14:paraId="4CBF5402" w14:textId="77777777" w:rsidR="00B03577" w:rsidRPr="001C1412" w:rsidRDefault="00B03577" w:rsidP="00B03577">
      <w:pPr>
        <w:tabs>
          <w:tab w:val="left" w:pos="1163"/>
        </w:tabs>
        <w:spacing w:after="120" w:line="240" w:lineRule="auto"/>
        <w:ind w:left="454" w:right="454"/>
        <w:rPr>
          <w:rFonts w:ascii="David" w:eastAsia="Guttman Hodes" w:hAnsi="David" w:cs="David"/>
          <w:b/>
          <w:bCs/>
          <w:noProof/>
          <w:sz w:val="36"/>
          <w:szCs w:val="36"/>
          <w:rtl/>
        </w:rPr>
      </w:pPr>
      <w:r w:rsidRPr="001C1412">
        <w:rPr>
          <w:rFonts w:ascii="David" w:eastAsia="Guttman Hodes" w:hAnsi="David" w:cs="David"/>
          <w:b/>
          <w:bCs/>
          <w:noProof/>
          <w:sz w:val="36"/>
          <w:szCs w:val="36"/>
          <w:rtl/>
        </w:rPr>
        <w:t>שלום וברכה !</w:t>
      </w:r>
    </w:p>
    <w:p w14:paraId="6306B115" w14:textId="77777777" w:rsidR="00B03577" w:rsidRPr="001C1412" w:rsidRDefault="00B03577" w:rsidP="00B03577">
      <w:pPr>
        <w:tabs>
          <w:tab w:val="left" w:pos="1163"/>
        </w:tabs>
        <w:spacing w:after="120" w:line="240" w:lineRule="auto"/>
        <w:ind w:left="454" w:right="454"/>
        <w:rPr>
          <w:rFonts w:ascii="David" w:eastAsia="Guttman Hodes" w:hAnsi="David" w:cs="David"/>
          <w:b/>
          <w:bCs/>
          <w:noProof/>
          <w:sz w:val="36"/>
          <w:szCs w:val="36"/>
          <w:rtl/>
        </w:rPr>
      </w:pPr>
      <w:r w:rsidRPr="001C1412">
        <w:rPr>
          <w:rFonts w:ascii="David" w:eastAsia="Guttman Hodes" w:hAnsi="David" w:cs="David"/>
          <w:b/>
          <w:bCs/>
          <w:noProof/>
          <w:sz w:val="36"/>
          <w:szCs w:val="36"/>
          <w:rtl/>
        </w:rPr>
        <w:t xml:space="preserve">הנני להודות לכת"ר על הקונטרס הנפלא "ליקוטי </w:t>
      </w:r>
      <w:r w:rsidRPr="001C1412">
        <w:rPr>
          <w:rFonts w:ascii="David" w:eastAsia="Guttman Hodes" w:hAnsi="David" w:cs="David" w:hint="cs"/>
          <w:b/>
          <w:bCs/>
          <w:noProof/>
          <w:sz w:val="36"/>
          <w:szCs w:val="36"/>
          <w:rtl/>
        </w:rPr>
        <w:t>הרמב"ם</w:t>
      </w:r>
      <w:r w:rsidRPr="001C1412">
        <w:rPr>
          <w:rFonts w:ascii="David" w:eastAsia="Guttman Hodes" w:hAnsi="David" w:cs="David" w:hint="cs"/>
          <w:b/>
          <w:bCs/>
          <w:noProof/>
          <w:sz w:val="36"/>
          <w:szCs w:val="36"/>
          <w:vertAlign w:val="superscript"/>
          <w:rtl/>
        </w:rPr>
        <w:t>*</w:t>
      </w:r>
      <w:r w:rsidRPr="001C1412">
        <w:rPr>
          <w:rFonts w:ascii="David" w:eastAsia="Guttman Hodes" w:hAnsi="David" w:cs="David"/>
          <w:b/>
          <w:bCs/>
          <w:noProof/>
          <w:sz w:val="36"/>
          <w:szCs w:val="36"/>
          <w:rtl/>
        </w:rPr>
        <w:t xml:space="preserve"> עם מראי מקומות וביאורים" עמ"ס בב"מ ששדר מר לכולל "שיח יצחק" שכון ה' ב"ב, אשר הוא לתועלת גדולה ללומדי ביהמד"ר, בהיותו "משנה סדורה" בכל נושא וסוגית, בהבאת השיטות השונות ובביאורם, ובחישוב הנפ"מ שביניהם, והמו"מ בדבריהם, מתוך הסוגית בבהירות נפלאה, ובלשון צחה וקצרה מועט המחזיק את המרובה</w:t>
      </w:r>
      <w:r w:rsidRPr="001C1412">
        <w:rPr>
          <w:rFonts w:ascii="David" w:eastAsia="Guttman Hodes" w:hAnsi="David" w:cs="David" w:hint="cs"/>
          <w:b/>
          <w:bCs/>
          <w:noProof/>
          <w:sz w:val="36"/>
          <w:szCs w:val="36"/>
          <w:rtl/>
        </w:rPr>
        <w:t>.</w:t>
      </w:r>
    </w:p>
    <w:p w14:paraId="12C46319" w14:textId="77777777" w:rsidR="00B03577" w:rsidRPr="001C1412" w:rsidRDefault="00B03577" w:rsidP="00B03577">
      <w:pPr>
        <w:tabs>
          <w:tab w:val="left" w:pos="1163"/>
        </w:tabs>
        <w:spacing w:after="120" w:line="240" w:lineRule="auto"/>
        <w:ind w:left="454" w:right="454"/>
        <w:rPr>
          <w:rFonts w:ascii="David" w:eastAsia="Guttman Hodes" w:hAnsi="David" w:cs="David"/>
          <w:b/>
          <w:bCs/>
          <w:noProof/>
          <w:sz w:val="36"/>
          <w:szCs w:val="36"/>
          <w:rtl/>
        </w:rPr>
      </w:pPr>
      <w:r w:rsidRPr="001C1412">
        <w:rPr>
          <w:rFonts w:ascii="David" w:eastAsia="Guttman Hodes" w:hAnsi="David" w:cs="David"/>
          <w:b/>
          <w:bCs/>
          <w:noProof/>
          <w:sz w:val="36"/>
          <w:szCs w:val="36"/>
          <w:rtl/>
        </w:rPr>
        <w:t>כולו "חכמה" ואינה מלאכה</w:t>
      </w:r>
      <w:r w:rsidRPr="001C1412">
        <w:rPr>
          <w:rFonts w:ascii="David" w:eastAsia="Guttman Hodes" w:hAnsi="David" w:cs="David" w:hint="cs"/>
          <w:b/>
          <w:bCs/>
          <w:noProof/>
          <w:sz w:val="36"/>
          <w:szCs w:val="36"/>
          <w:rtl/>
        </w:rPr>
        <w:t>.</w:t>
      </w:r>
    </w:p>
    <w:p w14:paraId="131A8236" w14:textId="77777777" w:rsidR="00B03577" w:rsidRPr="001C1412" w:rsidRDefault="00B03577" w:rsidP="00B03577">
      <w:pPr>
        <w:tabs>
          <w:tab w:val="left" w:pos="1163"/>
        </w:tabs>
        <w:spacing w:after="120" w:line="240" w:lineRule="auto"/>
        <w:ind w:left="454" w:right="454"/>
        <w:rPr>
          <w:rFonts w:ascii="David" w:eastAsia="Guttman Hodes" w:hAnsi="David" w:cs="David"/>
          <w:b/>
          <w:bCs/>
          <w:noProof/>
          <w:sz w:val="36"/>
          <w:szCs w:val="36"/>
          <w:rtl/>
        </w:rPr>
      </w:pPr>
      <w:r w:rsidRPr="001C1412">
        <w:rPr>
          <w:rFonts w:ascii="David" w:eastAsia="Guttman Hodes" w:hAnsi="David" w:cs="David"/>
          <w:b/>
          <w:bCs/>
          <w:noProof/>
          <w:sz w:val="36"/>
          <w:szCs w:val="36"/>
          <w:rtl/>
        </w:rPr>
        <w:t>ישר כוחכם על כך.</w:t>
      </w:r>
    </w:p>
    <w:p w14:paraId="7B021A12" w14:textId="77777777" w:rsidR="00B03577" w:rsidRPr="001C1412" w:rsidRDefault="00B03577" w:rsidP="00B03577">
      <w:pPr>
        <w:tabs>
          <w:tab w:val="left" w:pos="1163"/>
        </w:tabs>
        <w:spacing w:after="120" w:line="240" w:lineRule="auto"/>
        <w:ind w:left="454" w:right="454"/>
        <w:rPr>
          <w:rFonts w:ascii="David" w:eastAsia="Guttman Hodes" w:hAnsi="David" w:cs="David"/>
          <w:b/>
          <w:bCs/>
          <w:noProof/>
          <w:sz w:val="36"/>
          <w:szCs w:val="36"/>
          <w:rtl/>
        </w:rPr>
      </w:pPr>
      <w:r w:rsidRPr="001C1412">
        <w:rPr>
          <w:rFonts w:ascii="David" w:eastAsia="Guttman Hodes" w:hAnsi="David" w:cs="David"/>
          <w:b/>
          <w:bCs/>
          <w:noProof/>
          <w:sz w:val="36"/>
          <w:szCs w:val="36"/>
          <w:rtl/>
        </w:rPr>
        <w:t xml:space="preserve">והנני לברכך שתזכה לברר עוד חלקים בתוה"ק מתוך מנוחת הנפש ולהעלותם עלי כתב להפיצם בישראל. </w:t>
      </w:r>
    </w:p>
    <w:p w14:paraId="1AAF172F" w14:textId="77777777" w:rsidR="00B03577" w:rsidRPr="001C1412" w:rsidRDefault="00B03577" w:rsidP="00B03577">
      <w:pPr>
        <w:spacing w:after="160" w:line="259" w:lineRule="auto"/>
        <w:rPr>
          <w:rFonts w:ascii="Calibri" w:eastAsia="Calibri" w:hAnsi="Calibri" w:cs="Arial"/>
        </w:rPr>
      </w:pPr>
    </w:p>
    <w:p w14:paraId="4A191641" w14:textId="77777777" w:rsidR="00B03577" w:rsidRPr="001C1412" w:rsidRDefault="00B03577" w:rsidP="00B03577">
      <w:pPr>
        <w:spacing w:after="160" w:line="259" w:lineRule="auto"/>
        <w:rPr>
          <w:rFonts w:ascii="Calibri" w:eastAsia="Calibri" w:hAnsi="Calibri" w:cs="Arial"/>
          <w:b/>
          <w:bCs/>
          <w:rtl/>
        </w:rPr>
      </w:pPr>
    </w:p>
    <w:p w14:paraId="3F778D96" w14:textId="77777777" w:rsidR="00B03577" w:rsidRPr="001C1412" w:rsidRDefault="00B03577" w:rsidP="00B03577">
      <w:pPr>
        <w:spacing w:after="160" w:line="259" w:lineRule="auto"/>
        <w:rPr>
          <w:rFonts w:ascii="Calibri" w:eastAsia="Calibri" w:hAnsi="Calibri" w:cs="Arial"/>
          <w:b/>
          <w:bCs/>
          <w:rtl/>
        </w:rPr>
      </w:pPr>
    </w:p>
    <w:p w14:paraId="687F8264" w14:textId="77777777" w:rsidR="00B03577" w:rsidRPr="001C1412" w:rsidRDefault="00B03577" w:rsidP="00B03577">
      <w:pPr>
        <w:spacing w:after="160" w:line="259" w:lineRule="auto"/>
        <w:rPr>
          <w:rFonts w:ascii="Calibri" w:eastAsia="Calibri" w:hAnsi="Calibri" w:cs="Arial"/>
          <w:b/>
          <w:bCs/>
          <w:rtl/>
        </w:rPr>
      </w:pPr>
      <w:r w:rsidRPr="001C1412">
        <w:rPr>
          <w:rFonts w:ascii="David" w:eastAsia="Guttman Hodes" w:hAnsi="David" w:cs="David" w:hint="cs"/>
          <w:b/>
          <w:bCs/>
          <w:noProof/>
          <w:sz w:val="36"/>
          <w:szCs w:val="36"/>
          <w:vertAlign w:val="superscript"/>
          <w:rtl/>
        </w:rPr>
        <w:t>*</w:t>
      </w:r>
      <w:r w:rsidRPr="001C1412">
        <w:rPr>
          <w:rFonts w:ascii="Calibri" w:eastAsia="Calibri" w:hAnsi="Calibri" w:cs="Arial" w:hint="cs"/>
          <w:b/>
          <w:bCs/>
          <w:rtl/>
        </w:rPr>
        <w:t xml:space="preserve"> </w:t>
      </w:r>
      <w:r w:rsidRPr="001C1412">
        <w:rPr>
          <w:rFonts w:ascii="David" w:eastAsia="Guttman Hodes" w:hAnsi="David" w:cs="David" w:hint="cs"/>
          <w:noProof/>
          <w:sz w:val="18"/>
          <w:szCs w:val="18"/>
          <w:rtl/>
        </w:rPr>
        <w:t>ספר "משנתם סדורה" נד' בתחילה בקונט' בשם זה.</w:t>
      </w:r>
    </w:p>
    <w:p w14:paraId="7EBA1A6E" w14:textId="77777777" w:rsidR="00B03577" w:rsidRPr="001C1412" w:rsidRDefault="00B03577" w:rsidP="00B03577">
      <w:pPr>
        <w:spacing w:after="160" w:line="259" w:lineRule="auto"/>
        <w:rPr>
          <w:rFonts w:ascii="Calibri" w:eastAsia="Calibri" w:hAnsi="Calibri" w:cs="Arial"/>
          <w:b/>
          <w:bCs/>
          <w:rtl/>
        </w:rPr>
      </w:pPr>
    </w:p>
    <w:p w14:paraId="4494E193" w14:textId="77777777" w:rsidR="00B03577" w:rsidRPr="001C1412" w:rsidRDefault="00B03577" w:rsidP="00B03577">
      <w:pPr>
        <w:spacing w:after="160" w:line="259" w:lineRule="auto"/>
        <w:rPr>
          <w:rFonts w:ascii="Calibri" w:eastAsia="Calibri" w:hAnsi="Calibri" w:cs="Arial"/>
          <w:b/>
          <w:bCs/>
          <w:rtl/>
        </w:rPr>
      </w:pPr>
    </w:p>
    <w:p w14:paraId="1E9EA8BC" w14:textId="77777777" w:rsidR="00B03577" w:rsidRPr="001C1412" w:rsidRDefault="00B03577" w:rsidP="00B03577">
      <w:pPr>
        <w:spacing w:after="160" w:line="259" w:lineRule="auto"/>
        <w:rPr>
          <w:rFonts w:ascii="Calibri" w:eastAsia="Calibri" w:hAnsi="Calibri" w:cs="Arial"/>
          <w:b/>
          <w:bCs/>
          <w:rtl/>
        </w:rPr>
      </w:pPr>
    </w:p>
    <w:p w14:paraId="47BBF017" w14:textId="77777777" w:rsidR="00B03577" w:rsidRPr="001C1412" w:rsidRDefault="00B03577" w:rsidP="00B03577">
      <w:pPr>
        <w:spacing w:after="160" w:line="259" w:lineRule="auto"/>
        <w:rPr>
          <w:rFonts w:ascii="Calibri" w:eastAsia="Calibri" w:hAnsi="Calibri" w:cs="Arial"/>
          <w:b/>
          <w:bCs/>
          <w:rtl/>
        </w:rPr>
      </w:pPr>
    </w:p>
    <w:p w14:paraId="0FF67A40" w14:textId="77777777" w:rsidR="00B03577" w:rsidRPr="001C1412" w:rsidRDefault="00B03577" w:rsidP="00B03577">
      <w:pPr>
        <w:spacing w:after="160" w:line="259" w:lineRule="auto"/>
        <w:rPr>
          <w:rFonts w:ascii="Calibri" w:eastAsia="Calibri" w:hAnsi="Calibri" w:cs="Arial"/>
          <w:b/>
          <w:bCs/>
          <w:rtl/>
        </w:rPr>
      </w:pPr>
    </w:p>
    <w:p w14:paraId="7DBC9F32" w14:textId="5AC4587F" w:rsidR="00B03577" w:rsidRDefault="00B03577" w:rsidP="00B03577">
      <w:pPr>
        <w:spacing w:after="160" w:line="259" w:lineRule="auto"/>
        <w:rPr>
          <w:rFonts w:ascii="Calibri" w:eastAsia="Calibri" w:hAnsi="Calibri" w:cs="Arial"/>
          <w:b/>
          <w:bCs/>
          <w:rtl/>
        </w:rPr>
      </w:pPr>
    </w:p>
    <w:p w14:paraId="3983D6AE" w14:textId="77777777" w:rsidR="00FA7716" w:rsidRPr="001C1412" w:rsidRDefault="00FA7716" w:rsidP="00B03577">
      <w:pPr>
        <w:spacing w:after="160" w:line="259" w:lineRule="auto"/>
        <w:rPr>
          <w:rFonts w:ascii="Calibri" w:eastAsia="Calibri" w:hAnsi="Calibri" w:cs="Arial"/>
          <w:b/>
          <w:bCs/>
          <w:rtl/>
        </w:rPr>
      </w:pPr>
    </w:p>
    <w:p w14:paraId="7D48EB44" w14:textId="77777777" w:rsidR="00B03577" w:rsidRDefault="00B03577" w:rsidP="00B03577">
      <w:pPr>
        <w:spacing w:line="240" w:lineRule="auto"/>
        <w:jc w:val="center"/>
        <w:rPr>
          <w:rFonts w:ascii="Guttman Hodes" w:eastAsia="Guttman Hodes" w:hAnsi="Guttman Hodes" w:cs="Guttman Hodes"/>
          <w:sz w:val="20"/>
          <w:szCs w:val="20"/>
          <w:rtl/>
        </w:rPr>
      </w:pPr>
      <w:r w:rsidRPr="001C1412">
        <w:rPr>
          <w:rFonts w:ascii="Guttman Hodes" w:eastAsia="Guttman Hodes" w:hAnsi="Guttman Hodes" w:cs="Guttman Hodes" w:hint="cs"/>
          <w:sz w:val="20"/>
          <w:szCs w:val="20"/>
          <w:rtl/>
        </w:rPr>
        <w:t>מכתב זה ניתן לספר "משנתם סדורה" על פרק איזהו נשך ונדפס כאן ברשות ראש הישיבה שליט"א</w:t>
      </w:r>
    </w:p>
    <w:p w14:paraId="7E14DD6A" w14:textId="77777777" w:rsidR="00D4212B" w:rsidRDefault="00D4212B" w:rsidP="00B03577">
      <w:pPr>
        <w:spacing w:line="240" w:lineRule="auto"/>
        <w:jc w:val="center"/>
        <w:rPr>
          <w:rFonts w:ascii="Guttman Hodes" w:eastAsia="Guttman Hodes" w:hAnsi="Guttman Hodes" w:cs="Guttman Hodes"/>
          <w:sz w:val="20"/>
          <w:szCs w:val="20"/>
          <w:rtl/>
        </w:rPr>
        <w:sectPr w:rsidR="00D4212B" w:rsidSect="00862C5F">
          <w:pgSz w:w="11906" w:h="16838"/>
          <w:pgMar w:top="720" w:right="720" w:bottom="720" w:left="720" w:header="283" w:footer="283" w:gutter="0"/>
          <w:cols w:space="113"/>
          <w:bidi/>
          <w:rtlGutter/>
          <w:docGrid w:linePitch="299"/>
        </w:sectPr>
      </w:pPr>
    </w:p>
    <w:p w14:paraId="6A2E439D" w14:textId="40AB136C" w:rsidR="00D4212B" w:rsidRDefault="00D4212B" w:rsidP="00B03577">
      <w:pPr>
        <w:spacing w:line="240" w:lineRule="auto"/>
        <w:jc w:val="center"/>
        <w:rPr>
          <w:rFonts w:ascii="Guttman Hodes" w:eastAsia="Guttman Hodes" w:hAnsi="Guttman Hodes" w:cs="Guttman Hodes"/>
          <w:sz w:val="20"/>
          <w:szCs w:val="20"/>
          <w:rtl/>
        </w:rPr>
      </w:pPr>
    </w:p>
    <w:p w14:paraId="57A1459E" w14:textId="77777777" w:rsidR="00B03577" w:rsidRPr="001C1412" w:rsidRDefault="00B03577" w:rsidP="00B03577">
      <w:pPr>
        <w:spacing w:line="240" w:lineRule="auto"/>
        <w:jc w:val="center"/>
        <w:rPr>
          <w:rFonts w:ascii="Guttman Hodes" w:eastAsia="Guttman Hodes" w:hAnsi="Guttman Hodes" w:cs="Guttman Hodes"/>
          <w:b/>
          <w:bCs/>
          <w:rtl/>
        </w:rPr>
      </w:pPr>
      <w:r w:rsidRPr="001C1412">
        <w:rPr>
          <w:rFonts w:ascii="Guttman Hodes" w:eastAsia="Guttman Hodes" w:hAnsi="Guttman Hodes" w:cs="Guttman Hodes" w:hint="cs"/>
          <w:b/>
          <w:bCs/>
          <w:rtl/>
        </w:rPr>
        <w:t>מכתב ברכה מהגאון רבי איתמר גרבוז שליט"א ראש ישיבת אורחות תורה</w:t>
      </w:r>
    </w:p>
    <w:p w14:paraId="60F89563" w14:textId="77777777" w:rsidR="00B03577" w:rsidRPr="001C1412" w:rsidRDefault="00B03577" w:rsidP="00B03577">
      <w:pPr>
        <w:spacing w:after="160" w:line="480" w:lineRule="auto"/>
        <w:ind w:right="1418"/>
        <w:rPr>
          <w:rFonts w:ascii="David" w:eastAsia="Calibri" w:hAnsi="David" w:cs="David"/>
          <w:b/>
          <w:bCs/>
          <w:sz w:val="36"/>
          <w:szCs w:val="36"/>
          <w:rtl/>
        </w:rPr>
      </w:pPr>
      <w:r w:rsidRPr="001C1412">
        <w:rPr>
          <w:rFonts w:hint="cs"/>
          <w:noProof/>
          <w:rtl/>
        </w:rPr>
        <w:drawing>
          <wp:anchor distT="0" distB="0" distL="114300" distR="114300" simplePos="0" relativeHeight="251659264" behindDoc="1" locked="0" layoutInCell="1" allowOverlap="1" wp14:anchorId="72562E11" wp14:editId="6F323603">
            <wp:simplePos x="0" y="0"/>
            <wp:positionH relativeFrom="margin">
              <wp:align>left</wp:align>
            </wp:positionH>
            <wp:positionV relativeFrom="page">
              <wp:posOffset>1414021</wp:posOffset>
            </wp:positionV>
            <wp:extent cx="6536690" cy="8436989"/>
            <wp:effectExtent l="0" t="0" r="0" b="2540"/>
            <wp:wrapNone/>
            <wp:docPr id="15" name="תמונה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2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36690" cy="8436989"/>
                    </a:xfrm>
                    <a:prstGeom prst="rect">
                      <a:avLst/>
                    </a:prstGeom>
                    <a:noFill/>
                  </pic:spPr>
                </pic:pic>
              </a:graphicData>
            </a:graphic>
            <wp14:sizeRelH relativeFrom="page">
              <wp14:pctWidth>0</wp14:pctWidth>
            </wp14:sizeRelH>
            <wp14:sizeRelV relativeFrom="page">
              <wp14:pctHeight>0</wp14:pctHeight>
            </wp14:sizeRelV>
          </wp:anchor>
        </w:drawing>
      </w:r>
      <w:r w:rsidRPr="001C1412">
        <w:rPr>
          <w:rFonts w:ascii="David" w:eastAsia="Calibri" w:hAnsi="David" w:cs="David"/>
          <w:b/>
          <w:bCs/>
          <w:sz w:val="36"/>
          <w:szCs w:val="36"/>
          <w:rtl/>
        </w:rPr>
        <w:t xml:space="preserve"> </w:t>
      </w:r>
    </w:p>
    <w:p w14:paraId="3B87F2BF" w14:textId="77777777" w:rsidR="00B03577" w:rsidRPr="001C1412" w:rsidRDefault="00B03577" w:rsidP="00B03577">
      <w:pPr>
        <w:spacing w:after="160" w:line="480" w:lineRule="auto"/>
        <w:ind w:right="1418"/>
        <w:rPr>
          <w:rFonts w:ascii="David" w:eastAsia="Calibri" w:hAnsi="David" w:cs="David"/>
          <w:b/>
          <w:bCs/>
          <w:sz w:val="36"/>
          <w:szCs w:val="36"/>
          <w:rtl/>
        </w:rPr>
      </w:pPr>
    </w:p>
    <w:p w14:paraId="697865EC" w14:textId="77777777" w:rsidR="00B03577" w:rsidRPr="001C1412" w:rsidRDefault="00B03577" w:rsidP="00B03577">
      <w:pPr>
        <w:spacing w:after="160" w:line="480" w:lineRule="auto"/>
        <w:ind w:right="1418"/>
        <w:rPr>
          <w:rFonts w:ascii="David" w:eastAsia="Calibri" w:hAnsi="David" w:cs="David"/>
          <w:b/>
          <w:bCs/>
          <w:sz w:val="36"/>
          <w:szCs w:val="36"/>
          <w:rtl/>
        </w:rPr>
      </w:pPr>
    </w:p>
    <w:p w14:paraId="4AEAF516" w14:textId="77777777" w:rsidR="00B03577" w:rsidRPr="001C1412" w:rsidRDefault="00B03577" w:rsidP="00B03577">
      <w:pPr>
        <w:spacing w:after="160" w:line="480" w:lineRule="auto"/>
        <w:ind w:right="1418"/>
        <w:rPr>
          <w:rFonts w:ascii="David" w:eastAsia="Calibri" w:hAnsi="David" w:cs="David"/>
          <w:b/>
          <w:bCs/>
          <w:sz w:val="16"/>
          <w:szCs w:val="16"/>
          <w:rtl/>
        </w:rPr>
      </w:pPr>
    </w:p>
    <w:p w14:paraId="32C92B7A" w14:textId="77777777" w:rsidR="00B03577" w:rsidRPr="001C1412" w:rsidRDefault="00B03577" w:rsidP="00B03577">
      <w:pPr>
        <w:spacing w:after="160" w:line="480" w:lineRule="auto"/>
        <w:ind w:left="340" w:right="1418"/>
        <w:rPr>
          <w:rFonts w:ascii="David" w:eastAsia="Calibri" w:hAnsi="David" w:cs="David"/>
          <w:b/>
          <w:bCs/>
          <w:sz w:val="36"/>
          <w:szCs w:val="36"/>
          <w:rtl/>
        </w:rPr>
      </w:pPr>
    </w:p>
    <w:p w14:paraId="6A95C308" w14:textId="77777777" w:rsidR="00B03577" w:rsidRPr="001C1412" w:rsidRDefault="00B03577" w:rsidP="00B03577">
      <w:pPr>
        <w:spacing w:after="160" w:line="480" w:lineRule="auto"/>
        <w:ind w:left="340" w:right="1418"/>
        <w:rPr>
          <w:rFonts w:ascii="David" w:eastAsia="Calibri" w:hAnsi="David" w:cs="David"/>
          <w:b/>
          <w:bCs/>
          <w:sz w:val="36"/>
          <w:szCs w:val="36"/>
          <w:rtl/>
        </w:rPr>
      </w:pPr>
      <w:r w:rsidRPr="001C1412">
        <w:rPr>
          <w:rFonts w:ascii="David" w:eastAsia="Calibri" w:hAnsi="David" w:cs="David"/>
          <w:b/>
          <w:bCs/>
          <w:sz w:val="36"/>
          <w:szCs w:val="36"/>
          <w:rtl/>
        </w:rPr>
        <w:t>הנני בזה להוקיר את הרה"ג הנעלה והמצויין</w:t>
      </w:r>
    </w:p>
    <w:p w14:paraId="0E67F056" w14:textId="77777777" w:rsidR="00B03577" w:rsidRPr="001C1412" w:rsidRDefault="00B03577" w:rsidP="00B03577">
      <w:pPr>
        <w:spacing w:after="160" w:line="480" w:lineRule="auto"/>
        <w:ind w:left="340" w:right="1418"/>
        <w:rPr>
          <w:rFonts w:ascii="David" w:eastAsia="Calibri" w:hAnsi="David" w:cs="David"/>
          <w:b/>
          <w:bCs/>
          <w:sz w:val="36"/>
          <w:szCs w:val="36"/>
          <w:rtl/>
        </w:rPr>
      </w:pPr>
      <w:r w:rsidRPr="001C1412">
        <w:rPr>
          <w:rFonts w:ascii="David" w:eastAsia="Calibri" w:hAnsi="David" w:cs="David"/>
          <w:b/>
          <w:bCs/>
          <w:sz w:val="36"/>
          <w:szCs w:val="36"/>
          <w:rtl/>
        </w:rPr>
        <w:t>רבי שלמה הנדל שליט"א מטובי האברכים</w:t>
      </w:r>
    </w:p>
    <w:p w14:paraId="447BD255" w14:textId="77777777" w:rsidR="00B03577" w:rsidRPr="001C1412" w:rsidRDefault="00B03577" w:rsidP="00B03577">
      <w:pPr>
        <w:spacing w:after="160" w:line="480" w:lineRule="auto"/>
        <w:ind w:left="340" w:right="1418"/>
        <w:rPr>
          <w:rFonts w:ascii="David" w:eastAsia="Calibri" w:hAnsi="David" w:cs="David"/>
          <w:b/>
          <w:bCs/>
          <w:sz w:val="36"/>
          <w:szCs w:val="36"/>
          <w:rtl/>
        </w:rPr>
      </w:pPr>
      <w:r w:rsidRPr="001C1412">
        <w:rPr>
          <w:rFonts w:ascii="David" w:eastAsia="Calibri" w:hAnsi="David" w:cs="David"/>
          <w:b/>
          <w:bCs/>
          <w:sz w:val="36"/>
          <w:szCs w:val="36"/>
          <w:rtl/>
        </w:rPr>
        <w:t>בישיבת בית הלל, אשר עורך ומסדר בטוטו"ד</w:t>
      </w:r>
    </w:p>
    <w:p w14:paraId="5D40DE78" w14:textId="77777777" w:rsidR="00B03577" w:rsidRPr="001C1412" w:rsidRDefault="00B03577" w:rsidP="00B03577">
      <w:pPr>
        <w:spacing w:after="160" w:line="480" w:lineRule="auto"/>
        <w:ind w:left="340" w:right="1418"/>
        <w:rPr>
          <w:rFonts w:ascii="David" w:eastAsia="Calibri" w:hAnsi="David" w:cs="David"/>
          <w:b/>
          <w:bCs/>
          <w:sz w:val="36"/>
          <w:szCs w:val="36"/>
          <w:rtl/>
        </w:rPr>
      </w:pPr>
      <w:r w:rsidRPr="001C1412">
        <w:rPr>
          <w:rFonts w:ascii="David" w:eastAsia="Calibri" w:hAnsi="David" w:cs="David"/>
          <w:b/>
          <w:bCs/>
          <w:sz w:val="36"/>
          <w:szCs w:val="36"/>
          <w:rtl/>
        </w:rPr>
        <w:t>יסודות הסוגיות החמורות דפרק איזהו נשך,</w:t>
      </w:r>
    </w:p>
    <w:p w14:paraId="1CA38866" w14:textId="77777777" w:rsidR="00B03577" w:rsidRPr="001C1412" w:rsidRDefault="00B03577" w:rsidP="00B03577">
      <w:pPr>
        <w:spacing w:after="160" w:line="480" w:lineRule="auto"/>
        <w:ind w:left="340" w:right="1418"/>
        <w:rPr>
          <w:rFonts w:ascii="David" w:eastAsia="Calibri" w:hAnsi="David" w:cs="David"/>
          <w:b/>
          <w:bCs/>
          <w:sz w:val="36"/>
          <w:szCs w:val="36"/>
          <w:rtl/>
        </w:rPr>
      </w:pPr>
      <w:r w:rsidRPr="001C1412">
        <w:rPr>
          <w:rFonts w:ascii="David" w:eastAsia="Calibri" w:hAnsi="David" w:cs="David"/>
          <w:b/>
          <w:bCs/>
          <w:sz w:val="36"/>
          <w:szCs w:val="36"/>
          <w:rtl/>
        </w:rPr>
        <w:t>מדברי רבותינו ראשי הישיבות,</w:t>
      </w:r>
    </w:p>
    <w:p w14:paraId="48B46C9F" w14:textId="77777777" w:rsidR="00B03577" w:rsidRPr="001C1412" w:rsidRDefault="00B03577" w:rsidP="00B03577">
      <w:pPr>
        <w:spacing w:after="160" w:line="480" w:lineRule="auto"/>
        <w:ind w:left="340" w:right="1418"/>
        <w:rPr>
          <w:rFonts w:ascii="David" w:eastAsia="Calibri" w:hAnsi="David" w:cs="David"/>
          <w:b/>
          <w:bCs/>
          <w:sz w:val="36"/>
          <w:szCs w:val="36"/>
          <w:rtl/>
        </w:rPr>
      </w:pPr>
      <w:r w:rsidRPr="001C1412">
        <w:rPr>
          <w:rFonts w:ascii="David" w:eastAsia="Calibri" w:hAnsi="David" w:cs="David"/>
          <w:b/>
          <w:bCs/>
          <w:sz w:val="36"/>
          <w:szCs w:val="36"/>
          <w:rtl/>
        </w:rPr>
        <w:t>וגם מאריך לבאר שיטת הרמב"ם בכל סוגית וסוגית,</w:t>
      </w:r>
    </w:p>
    <w:p w14:paraId="4CB7F91C" w14:textId="77777777" w:rsidR="00B03577" w:rsidRPr="001C1412" w:rsidRDefault="00B03577" w:rsidP="00B03577">
      <w:pPr>
        <w:spacing w:after="160" w:line="480" w:lineRule="auto"/>
        <w:ind w:left="340" w:right="1418"/>
        <w:rPr>
          <w:rFonts w:ascii="David" w:eastAsia="Calibri" w:hAnsi="David" w:cs="David"/>
          <w:b/>
          <w:bCs/>
          <w:sz w:val="36"/>
          <w:szCs w:val="36"/>
          <w:rtl/>
        </w:rPr>
      </w:pPr>
      <w:r w:rsidRPr="001C1412">
        <w:rPr>
          <w:rFonts w:ascii="David" w:eastAsia="Calibri" w:hAnsi="David" w:cs="David"/>
          <w:b/>
          <w:bCs/>
          <w:sz w:val="36"/>
          <w:szCs w:val="36"/>
          <w:rtl/>
        </w:rPr>
        <w:t>בדברים מאירים ומשמחים,</w:t>
      </w:r>
    </w:p>
    <w:p w14:paraId="48DC8FD9" w14:textId="77777777" w:rsidR="00B03577" w:rsidRPr="001C1412" w:rsidRDefault="00B03577" w:rsidP="00B03577">
      <w:pPr>
        <w:spacing w:after="160" w:line="480" w:lineRule="auto"/>
        <w:ind w:left="340" w:right="1418"/>
        <w:rPr>
          <w:rFonts w:ascii="David" w:eastAsia="Calibri" w:hAnsi="David" w:cs="David"/>
          <w:b/>
          <w:bCs/>
          <w:sz w:val="36"/>
          <w:szCs w:val="36"/>
          <w:rtl/>
        </w:rPr>
      </w:pPr>
      <w:r w:rsidRPr="001C1412">
        <w:rPr>
          <w:rFonts w:ascii="David" w:eastAsia="Calibri" w:hAnsi="David" w:cs="David"/>
          <w:b/>
          <w:bCs/>
          <w:sz w:val="36"/>
          <w:szCs w:val="36"/>
          <w:rtl/>
        </w:rPr>
        <w:t>ורבים נהנו מזה והיה לתועלת.</w:t>
      </w:r>
    </w:p>
    <w:p w14:paraId="50874828" w14:textId="77777777" w:rsidR="00B03577" w:rsidRPr="001C1412" w:rsidRDefault="00B03577" w:rsidP="00B03577">
      <w:pPr>
        <w:spacing w:line="240" w:lineRule="auto"/>
        <w:jc w:val="center"/>
        <w:rPr>
          <w:rFonts w:ascii="Guttman Hodes" w:eastAsia="Guttman Hodes" w:hAnsi="Guttman Hodes" w:cs="Guttman Hodes"/>
          <w:sz w:val="20"/>
          <w:szCs w:val="20"/>
          <w:rtl/>
        </w:rPr>
      </w:pPr>
    </w:p>
    <w:p w14:paraId="70E7F594" w14:textId="77777777" w:rsidR="00B03577" w:rsidRPr="001C1412" w:rsidRDefault="00B03577" w:rsidP="00B03577">
      <w:pPr>
        <w:spacing w:line="240" w:lineRule="auto"/>
        <w:jc w:val="center"/>
        <w:rPr>
          <w:rFonts w:ascii="Guttman Hodes" w:eastAsia="Guttman Hodes" w:hAnsi="Guttman Hodes" w:cs="Guttman Hodes"/>
          <w:sz w:val="20"/>
          <w:szCs w:val="20"/>
          <w:rtl/>
        </w:rPr>
      </w:pPr>
    </w:p>
    <w:p w14:paraId="0DC520CF" w14:textId="77777777" w:rsidR="00B03577" w:rsidRPr="001C1412" w:rsidRDefault="00B03577" w:rsidP="00B03577">
      <w:pPr>
        <w:spacing w:line="240" w:lineRule="auto"/>
        <w:jc w:val="center"/>
        <w:rPr>
          <w:rFonts w:ascii="Guttman Hodes" w:eastAsia="Guttman Hodes" w:hAnsi="Guttman Hodes" w:cs="Guttman Hodes"/>
          <w:sz w:val="20"/>
          <w:szCs w:val="20"/>
          <w:rtl/>
        </w:rPr>
      </w:pPr>
    </w:p>
    <w:p w14:paraId="177155C4" w14:textId="5C34EB9B" w:rsidR="00A31243" w:rsidRDefault="00A31243" w:rsidP="00B03577">
      <w:pPr>
        <w:spacing w:line="240" w:lineRule="auto"/>
        <w:jc w:val="center"/>
        <w:rPr>
          <w:rFonts w:ascii="Guttman Hodes" w:eastAsia="Guttman Hodes" w:hAnsi="Guttman Hodes" w:cs="Guttman Hodes"/>
          <w:sz w:val="20"/>
          <w:szCs w:val="20"/>
          <w:rtl/>
        </w:rPr>
      </w:pPr>
    </w:p>
    <w:p w14:paraId="753F8C52" w14:textId="21F71F06" w:rsidR="00CF3BDA" w:rsidRDefault="00CF3BDA" w:rsidP="00B03577">
      <w:pPr>
        <w:spacing w:line="240" w:lineRule="auto"/>
        <w:jc w:val="center"/>
        <w:rPr>
          <w:rFonts w:ascii="Guttman Hodes" w:eastAsia="Guttman Hodes" w:hAnsi="Guttman Hodes" w:cs="Guttman Hodes"/>
          <w:sz w:val="20"/>
          <w:szCs w:val="20"/>
          <w:rtl/>
        </w:rPr>
      </w:pPr>
    </w:p>
    <w:p w14:paraId="206DFF20" w14:textId="77777777" w:rsidR="00CF3BDA" w:rsidRDefault="00CF3BDA" w:rsidP="00B03577">
      <w:pPr>
        <w:spacing w:line="240" w:lineRule="auto"/>
        <w:jc w:val="center"/>
        <w:rPr>
          <w:rFonts w:ascii="Guttman Hodes" w:eastAsia="Guttman Hodes" w:hAnsi="Guttman Hodes" w:cs="Guttman Hodes"/>
          <w:sz w:val="20"/>
          <w:szCs w:val="20"/>
          <w:rtl/>
        </w:rPr>
      </w:pPr>
    </w:p>
    <w:p w14:paraId="59204E4A" w14:textId="39119C41" w:rsidR="00DA1063" w:rsidRDefault="00B03577" w:rsidP="00541C1C">
      <w:pPr>
        <w:spacing w:line="240" w:lineRule="auto"/>
        <w:jc w:val="center"/>
        <w:rPr>
          <w:rFonts w:ascii="Guttman Hodes" w:eastAsia="Guttman Hodes" w:hAnsi="Guttman Hodes" w:cs="Guttman Hodes"/>
          <w:sz w:val="20"/>
          <w:szCs w:val="20"/>
          <w:rtl/>
        </w:rPr>
      </w:pPr>
      <w:r w:rsidRPr="001C1412">
        <w:rPr>
          <w:rFonts w:ascii="Guttman Hodes" w:eastAsia="Guttman Hodes" w:hAnsi="Guttman Hodes" w:cs="Guttman Hodes" w:hint="cs"/>
          <w:sz w:val="20"/>
          <w:szCs w:val="20"/>
          <w:rtl/>
        </w:rPr>
        <w:t>מכתב זה ניתן לספר "משנתם סדורה" על פרק איזהו נשך ונדפס כאן ברשות ראש הישיבה שליט"א</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p>
    <w:p w14:paraId="6F7A8FE0" w14:textId="40349B24" w:rsidR="00541C1C" w:rsidRPr="00B03577" w:rsidRDefault="00541C1C" w:rsidP="00541C1C">
      <w:pPr>
        <w:spacing w:line="240" w:lineRule="auto"/>
        <w:rPr>
          <w:rFonts w:ascii="Guttman Adii-Light" w:eastAsia="Guttman Adii-Light" w:hAnsi="Guttman Adii-Light" w:cs="Guttman Hodes"/>
          <w:bCs/>
          <w:szCs w:val="28"/>
          <w:rtl/>
        </w:rPr>
        <w:sectPr w:rsidR="00541C1C" w:rsidRPr="00B03577" w:rsidSect="00D4212B">
          <w:pgSz w:w="11906" w:h="16838"/>
          <w:pgMar w:top="720" w:right="720" w:bottom="720" w:left="720" w:header="283" w:footer="283" w:gutter="0"/>
          <w:cols w:space="113"/>
          <w:bidi/>
          <w:rtlGutter/>
          <w:docGrid w:linePitch="299"/>
        </w:sectPr>
      </w:pPr>
    </w:p>
    <w:p w14:paraId="45D2D817" w14:textId="77777777" w:rsidR="009623A2" w:rsidRPr="00224A5A" w:rsidRDefault="009623A2" w:rsidP="00A35851">
      <w:pPr>
        <w:pStyle w:val="af9"/>
        <w:rPr>
          <w:rtl/>
        </w:rPr>
      </w:pPr>
      <w:bookmarkStart w:id="70" w:name="_Toc141131178"/>
      <w:r w:rsidRPr="00224A5A">
        <w:rPr>
          <w:rFonts w:hint="cs"/>
          <w:rtl/>
        </w:rPr>
        <w:lastRenderedPageBreak/>
        <w:t xml:space="preserve">סימן </w:t>
      </w:r>
      <w:r>
        <w:rPr>
          <w:rFonts w:hint="cs"/>
          <w:rtl/>
        </w:rPr>
        <w:t>א'</w:t>
      </w:r>
    </w:p>
    <w:p w14:paraId="44B8BE0D" w14:textId="77777777" w:rsidR="009623A2" w:rsidRDefault="009623A2" w:rsidP="00A35851">
      <w:pPr>
        <w:pStyle w:val="af9"/>
        <w:rPr>
          <w:rtl/>
        </w:rPr>
      </w:pPr>
      <w:r>
        <w:rPr>
          <w:rFonts w:hint="cs"/>
          <w:rtl/>
        </w:rPr>
        <w:t>במלאכת זורע (א')</w:t>
      </w:r>
    </w:p>
    <w:p w14:paraId="7E5FCE70" w14:textId="77777777" w:rsidR="009623A2" w:rsidRDefault="009623A2" w:rsidP="00A35851">
      <w:pPr>
        <w:pStyle w:val="af9"/>
        <w:rPr>
          <w:rtl/>
        </w:rPr>
      </w:pPr>
      <w:r>
        <w:rPr>
          <w:rFonts w:hint="cs"/>
          <w:rtl/>
        </w:rPr>
        <w:t>בגדרי האב והתולדה בזורע / בדין שורה חיטין במים ובעציץ שאינו נקוב</w:t>
      </w:r>
    </w:p>
    <w:p w14:paraId="3C7F9719" w14:textId="77777777" w:rsidR="009623A2" w:rsidRPr="00224A5A" w:rsidRDefault="009623A2" w:rsidP="009623A2">
      <w:pPr>
        <w:keepNext/>
        <w:keepLines/>
        <w:spacing w:after="0" w:line="240" w:lineRule="auto"/>
        <w:jc w:val="center"/>
        <w:outlineLvl w:val="1"/>
        <w:rPr>
          <w:rFonts w:ascii="FrankRuehl" w:eastAsia="Guttman Adii-Light" w:hAnsi="FrankRuehl" w:cs="Guttman Hodes"/>
          <w:b/>
          <w:bCs/>
          <w:noProof/>
          <w:sz w:val="24"/>
          <w:szCs w:val="24"/>
          <w:rtl/>
        </w:rPr>
        <w:sectPr w:rsidR="009623A2" w:rsidRPr="00224A5A" w:rsidSect="00CF7733">
          <w:headerReference w:type="default" r:id="rId24"/>
          <w:footerReference w:type="default" r:id="rId25"/>
          <w:headerReference w:type="first" r:id="rId26"/>
          <w:footerReference w:type="first" r:id="rId27"/>
          <w:type w:val="oddPage"/>
          <w:pgSz w:w="11906" w:h="16838"/>
          <w:pgMar w:top="720" w:right="720" w:bottom="720" w:left="720" w:header="283" w:footer="283" w:gutter="0"/>
          <w:cols w:space="113"/>
          <w:bidi/>
          <w:rtlGutter/>
          <w:docGrid w:linePitch="299"/>
        </w:sectPr>
      </w:pPr>
      <w:r w:rsidRPr="00224A5A">
        <w:rPr>
          <w:rFonts w:ascii="FrankRuehl" w:eastAsia="Guttman Adii-Light" w:hAnsi="FrankRuehl" w:cs="Guttman Hodes"/>
          <w:b/>
          <w:bCs/>
          <w:noProof/>
          <w:sz w:val="24"/>
          <w:szCs w:val="24"/>
          <w:rtl/>
        </w:rPr>
        <w:t>~~~~~~~</w:t>
      </w:r>
      <w:r w:rsidRPr="00224A5A">
        <w:rPr>
          <w:rFonts w:ascii="FrankRuehl" w:eastAsia="Guttman Adii-Light" w:hAnsi="FrankRuehl" w:cs="Guttman Hodes" w:hint="cs"/>
          <w:b/>
          <w:bCs/>
          <w:noProof/>
          <w:sz w:val="24"/>
          <w:szCs w:val="24"/>
          <w:rtl/>
        </w:rPr>
        <w:t xml:space="preserve"> תוכן הענייני</w:t>
      </w:r>
      <w:r w:rsidRPr="00224A5A">
        <w:rPr>
          <w:rFonts w:ascii="FrankRuehl" w:eastAsia="Guttman Adii-Light" w:hAnsi="FrankRuehl" w:cs="Guttman Hodes" w:hint="eastAsia"/>
          <w:b/>
          <w:bCs/>
          <w:noProof/>
          <w:sz w:val="24"/>
          <w:szCs w:val="24"/>
          <w:rtl/>
        </w:rPr>
        <w:t>ם</w:t>
      </w:r>
      <w:r w:rsidRPr="00224A5A">
        <w:rPr>
          <w:rFonts w:ascii="FrankRuehl" w:eastAsia="Guttman Adii-Light" w:hAnsi="FrankRuehl" w:cs="Guttman Hodes" w:hint="cs"/>
          <w:b/>
          <w:bCs/>
          <w:noProof/>
          <w:sz w:val="24"/>
          <w:szCs w:val="24"/>
          <w:rtl/>
        </w:rPr>
        <w:t xml:space="preserve"> </w:t>
      </w:r>
      <w:r w:rsidRPr="00224A5A">
        <w:rPr>
          <w:rFonts w:ascii="FrankRuehl" w:eastAsia="Guttman Adii-Light" w:hAnsi="FrankRuehl" w:cs="Guttman Hodes"/>
          <w:b/>
          <w:bCs/>
          <w:noProof/>
          <w:sz w:val="24"/>
          <w:szCs w:val="24"/>
          <w:rtl/>
        </w:rPr>
        <w:t>~~~~~~~</w:t>
      </w:r>
    </w:p>
    <w:p w14:paraId="05D47007" w14:textId="77777777" w:rsidR="009623A2" w:rsidRDefault="009623A2" w:rsidP="009623A2">
      <w:pPr>
        <w:pStyle w:val="TOC1"/>
        <w:rPr>
          <w:rFonts w:asciiTheme="minorHAnsi" w:hAnsiTheme="minorHAnsi" w:cstheme="minorBidi"/>
          <w:b w:val="0"/>
          <w:bCs w:val="0"/>
          <w:caps w:val="0"/>
          <w:sz w:val="22"/>
          <w:szCs w:val="22"/>
          <w:rtl/>
        </w:rPr>
      </w:pPr>
      <w:r w:rsidRPr="00224A5A">
        <w:rPr>
          <w:rtl/>
        </w:rPr>
        <w:fldChar w:fldCharType="begin"/>
      </w:r>
      <w:r w:rsidRPr="00224A5A">
        <w:rPr>
          <w:rtl/>
        </w:rPr>
        <w:instrText xml:space="preserve"> </w:instrText>
      </w:r>
      <w:r w:rsidRPr="00224A5A">
        <w:rPr>
          <w:rFonts w:hint="cs"/>
        </w:rPr>
        <w:instrText>TOC</w:instrText>
      </w:r>
      <w:r w:rsidRPr="00224A5A">
        <w:rPr>
          <w:rFonts w:hint="cs"/>
          <w:rtl/>
        </w:rPr>
        <w:instrText xml:space="preserve"> \</w:instrText>
      </w:r>
      <w:r w:rsidRPr="00224A5A">
        <w:rPr>
          <w:rFonts w:hint="cs"/>
        </w:rPr>
        <w:instrText>n \p " " \h \z \t</w:instrText>
      </w:r>
      <w:r w:rsidRPr="00224A5A">
        <w:rPr>
          <w:rFonts w:hint="cs"/>
          <w:rtl/>
        </w:rPr>
        <w:instrText xml:space="preserve"> "כותרת 1,2,כות קט,3,כות מק פנ,1"</w:instrText>
      </w:r>
      <w:r w:rsidRPr="00224A5A">
        <w:rPr>
          <w:rtl/>
        </w:rPr>
        <w:instrText xml:space="preserve"> </w:instrText>
      </w:r>
      <w:r w:rsidRPr="00224A5A">
        <w:rPr>
          <w:rtl/>
        </w:rPr>
        <w:fldChar w:fldCharType="separate"/>
      </w:r>
      <w:hyperlink w:anchor="_Toc134419559" w:history="1">
        <w:r w:rsidRPr="004323D5">
          <w:rPr>
            <w:rStyle w:val="Hyperlink"/>
            <w:rtl/>
          </w:rPr>
          <w:t>בי' רש"י דנוטע וכו' אבות וזומר תולדה</w:t>
        </w:r>
      </w:hyperlink>
    </w:p>
    <w:p w14:paraId="41DA7D22" w14:textId="77777777" w:rsidR="009623A2" w:rsidRDefault="00AD16A0" w:rsidP="009623A2">
      <w:pPr>
        <w:pStyle w:val="TOC2"/>
        <w:rPr>
          <w:rFonts w:cstheme="minorBidi"/>
          <w:b w:val="0"/>
          <w:bCs w:val="0"/>
          <w:sz w:val="22"/>
          <w:szCs w:val="22"/>
          <w:rtl/>
        </w:rPr>
      </w:pPr>
      <w:hyperlink w:anchor="_Toc134419560" w:history="1">
        <w:r w:rsidR="009623A2" w:rsidRPr="004323D5">
          <w:rPr>
            <w:rStyle w:val="Hyperlink"/>
            <w:rtl/>
          </w:rPr>
          <w:t>בי' רש"י דכל המלאכות דנוטע וכו' אבות אך זומר היא תולדה</w:t>
        </w:r>
      </w:hyperlink>
    </w:p>
    <w:p w14:paraId="75FF4ADA"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561" w:history="1">
        <w:r w:rsidR="009623A2" w:rsidRPr="004323D5">
          <w:rPr>
            <w:rStyle w:val="Hyperlink"/>
            <w:rtl/>
          </w:rPr>
          <w:t>בי' רש"י דזומר בכלל זורע כיון דהזומר עושה כן בשביל להצמיח את האילן והוא תולדת נוטע</w:t>
        </w:r>
      </w:hyperlink>
    </w:p>
    <w:p w14:paraId="5DE794AA"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562" w:history="1">
        <w:r w:rsidR="009623A2" w:rsidRPr="004323D5">
          <w:rPr>
            <w:rStyle w:val="Hyperlink"/>
            <w:rtl/>
          </w:rPr>
          <w:t>בי' רש"י דנוטע ומבריך ומרכיב הם אותו אב דזורע וחייב חטאת א' דזורע בזרעים ונוטע באילנות</w:t>
        </w:r>
      </w:hyperlink>
    </w:p>
    <w:p w14:paraId="183F272F"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563" w:history="1">
        <w:r w:rsidR="009623A2" w:rsidRPr="004323D5">
          <w:rPr>
            <w:rStyle w:val="Hyperlink"/>
            <w:rtl/>
          </w:rPr>
          <w:t>בי' רש"י דאין חילוק בין אב דזורע לנוטע ומבריך ומרכיב אלא דזורע הוא בזרעים והם באילנות</w:t>
        </w:r>
      </w:hyperlink>
    </w:p>
    <w:p w14:paraId="49CEFF5B"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564" w:history="1">
        <w:r w:rsidR="009623A2" w:rsidRPr="004323D5">
          <w:rPr>
            <w:rStyle w:val="Hyperlink"/>
            <w:rtl/>
          </w:rPr>
          <w:t>בי' רש"י דקו' הגמ' דאמאי מבריך ומרכיב חייב רק משום זורע ותי' דאם עשה עם זורע חייב א'</w:t>
        </w:r>
      </w:hyperlink>
    </w:p>
    <w:p w14:paraId="25271243"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565" w:history="1">
        <w:r w:rsidR="009623A2" w:rsidRPr="004323D5">
          <w:rPr>
            <w:rStyle w:val="Hyperlink"/>
            <w:rtl/>
          </w:rPr>
          <w:t>קו' השואל בשו"ת רבי בצלאל אשכנזי בסתירת רש"י אי זומר אב או תולדה בשבת ובשביעית</w:t>
        </w:r>
      </w:hyperlink>
    </w:p>
    <w:p w14:paraId="66F463C3"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566" w:history="1">
        <w:r w:rsidR="009623A2" w:rsidRPr="004323D5">
          <w:rPr>
            <w:rStyle w:val="Hyperlink"/>
            <w:rtl/>
          </w:rPr>
          <w:t>תי' רבי בצלאל אשכנזי דלשבת שם האב תלוי במשכן ולשביעית המפורש בפסו' וזומר הוי אב</w:t>
        </w:r>
      </w:hyperlink>
    </w:p>
    <w:p w14:paraId="48A41E5C"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567" w:history="1">
        <w:r w:rsidR="009623A2" w:rsidRPr="004323D5">
          <w:rPr>
            <w:rStyle w:val="Hyperlink"/>
            <w:rtl/>
          </w:rPr>
          <w:t>בי' רבי בצלאל אשכנזי ברש"י דמוכח דזומר פחות מזורע בב' דרגות ודלא כרמב"ם דהוי אב</w:t>
        </w:r>
      </w:hyperlink>
    </w:p>
    <w:p w14:paraId="5B2D8630"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568" w:history="1">
        <w:r w:rsidR="009623A2" w:rsidRPr="004323D5">
          <w:rPr>
            <w:rStyle w:val="Hyperlink"/>
            <w:rtl/>
          </w:rPr>
          <w:t>בי' התוצ"ח דלכו"ע זומר דמי במחשבה לזורע וחלוק ממנה לגמרי במעשה דהמעשה דמי לקוצר</w:t>
        </w:r>
      </w:hyperlink>
    </w:p>
    <w:p w14:paraId="7C81C650"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569" w:history="1">
        <w:r w:rsidR="009623A2" w:rsidRPr="004323D5">
          <w:rPr>
            <w:rStyle w:val="Hyperlink"/>
            <w:rtl/>
          </w:rPr>
          <w:t>בי' התוצ"ח דרש"י והרמב"ם נח' אי מלאכת מחשבת עיקר המלאכה ובלא המחשבה ל"ה מלאכה</w:t>
        </w:r>
      </w:hyperlink>
    </w:p>
    <w:p w14:paraId="19A1D3F7"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570" w:history="1">
        <w:r w:rsidR="009623A2" w:rsidRPr="004323D5">
          <w:rPr>
            <w:rStyle w:val="Hyperlink"/>
            <w:rtl/>
          </w:rPr>
          <w:t>בי' התוצ"ח דעיקר המלאכה לרמב"ם במחשבה ולרש"י במעשה וזומר דל"ד במעשה הוי תולדה</w:t>
        </w:r>
      </w:hyperlink>
    </w:p>
    <w:p w14:paraId="704D6998" w14:textId="77777777" w:rsidR="009623A2" w:rsidRDefault="00AD16A0" w:rsidP="009623A2">
      <w:pPr>
        <w:pStyle w:val="TOC1"/>
        <w:rPr>
          <w:rFonts w:asciiTheme="minorHAnsi" w:hAnsiTheme="minorHAnsi" w:cstheme="minorBidi"/>
          <w:b w:val="0"/>
          <w:bCs w:val="0"/>
          <w:caps w:val="0"/>
          <w:sz w:val="22"/>
          <w:szCs w:val="22"/>
          <w:rtl/>
        </w:rPr>
      </w:pPr>
      <w:hyperlink w:anchor="_Toc134419571" w:history="1">
        <w:r w:rsidR="009623A2" w:rsidRPr="004323D5">
          <w:rPr>
            <w:rStyle w:val="Hyperlink"/>
            <w:rtl/>
          </w:rPr>
          <w:t>בדעת התוס' אי כולהו תולדות או אבות</w:t>
        </w:r>
      </w:hyperlink>
    </w:p>
    <w:p w14:paraId="64D8D544" w14:textId="77777777" w:rsidR="009623A2" w:rsidRDefault="00AD16A0" w:rsidP="009623A2">
      <w:pPr>
        <w:pStyle w:val="TOC2"/>
        <w:rPr>
          <w:rFonts w:cstheme="minorBidi"/>
          <w:b w:val="0"/>
          <w:bCs w:val="0"/>
          <w:sz w:val="22"/>
          <w:szCs w:val="22"/>
          <w:rtl/>
        </w:rPr>
      </w:pPr>
      <w:hyperlink w:anchor="_Toc134419572" w:history="1">
        <w:r w:rsidR="009623A2" w:rsidRPr="004323D5">
          <w:rPr>
            <w:rStyle w:val="Hyperlink"/>
            <w:rtl/>
          </w:rPr>
          <w:t>בי' האחרו' בתוס' דאפש"ל דכל המלאכות תולדות זורע כרמ"ך</w:t>
        </w:r>
      </w:hyperlink>
    </w:p>
    <w:p w14:paraId="6D7A8504"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573" w:history="1">
        <w:r w:rsidR="009623A2" w:rsidRPr="004323D5">
          <w:rPr>
            <w:rStyle w:val="Hyperlink"/>
            <w:rtl/>
          </w:rPr>
          <w:t>בי' התוס' דלא מוכח בסוגיין מתרה בתולדה בשם אב חייב או דפטור כיון דסבור שמלעיג בו</w:t>
        </w:r>
      </w:hyperlink>
    </w:p>
    <w:p w14:paraId="104DD933"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574" w:history="1">
        <w:r w:rsidR="009623A2" w:rsidRPr="004323D5">
          <w:rPr>
            <w:rStyle w:val="Hyperlink"/>
            <w:rtl/>
          </w:rPr>
          <w:t>בי' המהר"ם בתוס' דהקו' על מבריך ומרכיב היא לענין התראה ודלא כרש"י דבי' לענין חטאת</w:t>
        </w:r>
      </w:hyperlink>
    </w:p>
    <w:p w14:paraId="15923EFD"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575" w:history="1">
        <w:r w:rsidR="009623A2" w:rsidRPr="004323D5">
          <w:rPr>
            <w:rStyle w:val="Hyperlink"/>
            <w:rtl/>
          </w:rPr>
          <w:t>בי' הראש יוסף בתוס' דאפשר לבאר כרמ"ך דכל המלאכות תולדות ולכן אין ראיה מסוגיין</w:t>
        </w:r>
      </w:hyperlink>
    </w:p>
    <w:p w14:paraId="26873200"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576" w:history="1">
        <w:r w:rsidR="009623A2" w:rsidRPr="004323D5">
          <w:rPr>
            <w:rStyle w:val="Hyperlink"/>
            <w:rtl/>
          </w:rPr>
          <w:t>בי האגל"ט בתוס' דכל המלאכות הם תולדת זורע ולא אב דמוכח בתוס' דמבריך ומרכיב תולדות</w:t>
        </w:r>
      </w:hyperlink>
    </w:p>
    <w:p w14:paraId="2B95E56B"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577" w:history="1">
        <w:r w:rsidR="009623A2" w:rsidRPr="004323D5">
          <w:rPr>
            <w:rStyle w:val="Hyperlink"/>
            <w:rtl/>
          </w:rPr>
          <w:t>בי' האגל"ט דלמסקנת התוס' אפש"ל דמבריך ומרכיב הם אבות ואין הוכחה מה ס"ל לתוס'</w:t>
        </w:r>
      </w:hyperlink>
    </w:p>
    <w:p w14:paraId="308F1549" w14:textId="77777777" w:rsidR="009623A2" w:rsidRDefault="00AD16A0" w:rsidP="009623A2">
      <w:pPr>
        <w:pStyle w:val="TOC2"/>
        <w:rPr>
          <w:rFonts w:cstheme="minorBidi"/>
          <w:b w:val="0"/>
          <w:bCs w:val="0"/>
          <w:sz w:val="22"/>
          <w:szCs w:val="22"/>
          <w:rtl/>
        </w:rPr>
      </w:pPr>
      <w:hyperlink w:anchor="_Toc134419578" w:history="1">
        <w:r w:rsidR="009623A2" w:rsidRPr="004323D5">
          <w:rPr>
            <w:rStyle w:val="Hyperlink"/>
            <w:rtl/>
          </w:rPr>
          <w:t>בי' הראש יוסף בדין ההתראה באב ובתולדה לרש"י ולרמב"ם</w:t>
        </w:r>
      </w:hyperlink>
    </w:p>
    <w:p w14:paraId="7C305C12"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579" w:history="1">
        <w:r w:rsidR="009623A2" w:rsidRPr="004323D5">
          <w:rPr>
            <w:rStyle w:val="Hyperlink"/>
            <w:rtl/>
          </w:rPr>
          <w:t>בי' הראש יוסף ברש"י דקו' הגמ' דמבריך עם זורע חייב שתים ותי' דקמ"ל דאף בזורע חייב א'</w:t>
        </w:r>
      </w:hyperlink>
    </w:p>
    <w:p w14:paraId="66491479"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580" w:history="1">
        <w:r w:rsidR="009623A2" w:rsidRPr="004323D5">
          <w:rPr>
            <w:rStyle w:val="Hyperlink"/>
            <w:rtl/>
          </w:rPr>
          <w:t>בי' הראש יוסף דלרמב"ם דהם אבות ומתרה בשם המלאכה וא"כ בתולדה מתרה רק בשמה</w:t>
        </w:r>
      </w:hyperlink>
    </w:p>
    <w:p w14:paraId="1CA36291"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581" w:history="1">
        <w:r w:rsidR="009623A2" w:rsidRPr="004323D5">
          <w:rPr>
            <w:rStyle w:val="Hyperlink"/>
            <w:rtl/>
          </w:rPr>
          <w:t>בי' הראש יוסף ברמ"ך דהם תולדות א"כ קמ"ל דמתרה בהם גם בשם האב וכ"ש בשם עצמם</w:t>
        </w:r>
      </w:hyperlink>
    </w:p>
    <w:p w14:paraId="43090AC6"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582" w:history="1">
        <w:r w:rsidR="009623A2" w:rsidRPr="004323D5">
          <w:rPr>
            <w:rStyle w:val="Hyperlink"/>
            <w:rtl/>
          </w:rPr>
          <w:t>בי' הראש יוסף דלא מפורש ברמב"ם אי המתרה בתולדה בשמה חייב או רק בשם האב</w:t>
        </w:r>
      </w:hyperlink>
    </w:p>
    <w:p w14:paraId="4CEF2D50"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583" w:history="1">
        <w:r w:rsidR="009623A2" w:rsidRPr="004323D5">
          <w:rPr>
            <w:rStyle w:val="Hyperlink"/>
            <w:rtl/>
          </w:rPr>
          <w:t>ספק הראש יוסף אי התראה בזורע משום נוטע מהני דאפש"ל דסבור שמלעיג עליו ופטור</w:t>
        </w:r>
      </w:hyperlink>
    </w:p>
    <w:p w14:paraId="0EAA38AC" w14:textId="77777777" w:rsidR="009623A2" w:rsidRDefault="00AD16A0" w:rsidP="009623A2">
      <w:pPr>
        <w:pStyle w:val="TOC1"/>
        <w:rPr>
          <w:rFonts w:asciiTheme="minorHAnsi" w:hAnsiTheme="minorHAnsi" w:cstheme="minorBidi"/>
          <w:b w:val="0"/>
          <w:bCs w:val="0"/>
          <w:caps w:val="0"/>
          <w:sz w:val="22"/>
          <w:szCs w:val="22"/>
          <w:rtl/>
        </w:rPr>
      </w:pPr>
      <w:hyperlink w:anchor="_Toc134419584" w:history="1">
        <w:r w:rsidR="009623A2" w:rsidRPr="004323D5">
          <w:rPr>
            <w:rStyle w:val="Hyperlink"/>
            <w:rtl/>
          </w:rPr>
          <w:t>ביאורי הריטב"א בחיובי האב והתולדה</w:t>
        </w:r>
      </w:hyperlink>
    </w:p>
    <w:p w14:paraId="334CD376" w14:textId="77777777" w:rsidR="009623A2" w:rsidRDefault="00AD16A0" w:rsidP="009623A2">
      <w:pPr>
        <w:pStyle w:val="TOC2"/>
        <w:rPr>
          <w:rFonts w:cstheme="minorBidi"/>
          <w:b w:val="0"/>
          <w:bCs w:val="0"/>
          <w:sz w:val="22"/>
          <w:szCs w:val="22"/>
          <w:rtl/>
        </w:rPr>
      </w:pPr>
      <w:hyperlink w:anchor="_Toc134419585" w:history="1">
        <w:r w:rsidR="009623A2" w:rsidRPr="004323D5">
          <w:rPr>
            <w:rStyle w:val="Hyperlink"/>
            <w:rtl/>
          </w:rPr>
          <w:t>בי' הריטב"א ברש"י דנוטע וזורע חייב ב' ואם עשה כולם חייב א'</w:t>
        </w:r>
      </w:hyperlink>
    </w:p>
    <w:p w14:paraId="25591974"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586" w:history="1">
        <w:r w:rsidR="009623A2" w:rsidRPr="004323D5">
          <w:rPr>
            <w:rStyle w:val="Hyperlink"/>
            <w:rtl/>
          </w:rPr>
          <w:t>בי' הריטב"א דהחידוש בברייתא דאף דהם אבות חייב א' והברייתא מפרשת את סתימת מתני'</w:t>
        </w:r>
      </w:hyperlink>
    </w:p>
    <w:p w14:paraId="66324AD5"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587" w:history="1">
        <w:r w:rsidR="009623A2" w:rsidRPr="004323D5">
          <w:rPr>
            <w:rStyle w:val="Hyperlink"/>
            <w:rtl/>
          </w:rPr>
          <w:t>קו' הריטב"א בשם תוס' דאי זומר חייב רק משום נוטע אי עשה את שניהם יתחייב ב' חטאות</w:t>
        </w:r>
      </w:hyperlink>
    </w:p>
    <w:p w14:paraId="326DC976"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588" w:history="1">
        <w:r w:rsidR="009623A2" w:rsidRPr="004323D5">
          <w:rPr>
            <w:rStyle w:val="Hyperlink"/>
            <w:rtl/>
          </w:rPr>
          <w:t>תי' הריטב"א ברש"י דהא דאמרי' דחייב א' הוא רק בעשה כולם יחד אבל נוטע וזומר חייב ב'</w:t>
        </w:r>
      </w:hyperlink>
    </w:p>
    <w:p w14:paraId="38D685EA"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589" w:history="1">
        <w:r w:rsidR="009623A2" w:rsidRPr="004323D5">
          <w:rPr>
            <w:rStyle w:val="Hyperlink"/>
            <w:rtl/>
          </w:rPr>
          <w:t>קו' הריטב"א בשם תוס' דאי עשה יותר מלאכות חייב פחות חטאות והול"ל דחייב "אלא" אחת</w:t>
        </w:r>
      </w:hyperlink>
    </w:p>
    <w:p w14:paraId="18DC37E1" w14:textId="77777777" w:rsidR="009623A2" w:rsidRDefault="00AD16A0" w:rsidP="009623A2">
      <w:pPr>
        <w:pStyle w:val="TOC2"/>
        <w:rPr>
          <w:rFonts w:cstheme="minorBidi"/>
          <w:b w:val="0"/>
          <w:bCs w:val="0"/>
          <w:sz w:val="22"/>
          <w:szCs w:val="22"/>
          <w:rtl/>
        </w:rPr>
      </w:pPr>
      <w:hyperlink w:anchor="_Toc134419590" w:history="1">
        <w:r w:rsidR="009623A2" w:rsidRPr="004323D5">
          <w:rPr>
            <w:rStyle w:val="Hyperlink"/>
            <w:rtl/>
          </w:rPr>
          <w:t>בי' הריטב"א בתוס' דזומר משום נוטע להתראה וכולם הם אבות</w:t>
        </w:r>
      </w:hyperlink>
    </w:p>
    <w:p w14:paraId="53586C5B"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591" w:history="1">
        <w:r w:rsidR="009623A2" w:rsidRPr="004323D5">
          <w:rPr>
            <w:rStyle w:val="Hyperlink"/>
            <w:rtl/>
          </w:rPr>
          <w:t>בי' הריטב"א בשם תוס' דלענין התראה זומר אינו בכלל זורע דסבור שמלעיג בו</w:t>
        </w:r>
      </w:hyperlink>
    </w:p>
    <w:p w14:paraId="0241D30D"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592" w:history="1">
        <w:r w:rsidR="009623A2" w:rsidRPr="004323D5">
          <w:rPr>
            <w:rStyle w:val="Hyperlink"/>
            <w:rtl/>
          </w:rPr>
          <w:t>בי' הריטב"א בשם תוס' דכל המלאכות הם אבות והמתרה בשם האב פטור דסבור שמלעיג בו</w:t>
        </w:r>
      </w:hyperlink>
    </w:p>
    <w:p w14:paraId="324A5418" w14:textId="77777777" w:rsidR="009623A2" w:rsidRDefault="00AD16A0" w:rsidP="009623A2">
      <w:pPr>
        <w:pStyle w:val="TOC2"/>
        <w:rPr>
          <w:rFonts w:cstheme="minorBidi"/>
          <w:b w:val="0"/>
          <w:bCs w:val="0"/>
          <w:sz w:val="22"/>
          <w:szCs w:val="22"/>
          <w:rtl/>
        </w:rPr>
      </w:pPr>
      <w:hyperlink w:anchor="_Toc134419593" w:history="1">
        <w:r w:rsidR="009623A2" w:rsidRPr="004323D5">
          <w:rPr>
            <w:rStyle w:val="Hyperlink"/>
            <w:rtl/>
          </w:rPr>
          <w:t>בי' רבו של הריטב"א דרק זורע ונוטע אבות והשאר תולדות</w:t>
        </w:r>
      </w:hyperlink>
    </w:p>
    <w:p w14:paraId="6888E34D"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594" w:history="1">
        <w:r w:rsidR="009623A2" w:rsidRPr="004323D5">
          <w:rPr>
            <w:rStyle w:val="Hyperlink"/>
            <w:rtl/>
          </w:rPr>
          <w:t>בי' הריטב"א בשם רבו דכולם מלאכה א' דרק זורע ונוטע הם אבות ושאר המלאכות הם תולדות</w:t>
        </w:r>
      </w:hyperlink>
    </w:p>
    <w:p w14:paraId="6684F5DC" w14:textId="77777777" w:rsidR="009623A2" w:rsidRDefault="00AD16A0" w:rsidP="009623A2">
      <w:pPr>
        <w:pStyle w:val="TOC1"/>
        <w:rPr>
          <w:rFonts w:asciiTheme="minorHAnsi" w:hAnsiTheme="minorHAnsi" w:cstheme="minorBidi"/>
          <w:b w:val="0"/>
          <w:bCs w:val="0"/>
          <w:caps w:val="0"/>
          <w:sz w:val="22"/>
          <w:szCs w:val="22"/>
          <w:rtl/>
        </w:rPr>
      </w:pPr>
      <w:hyperlink w:anchor="_Toc134419595" w:history="1">
        <w:r w:rsidR="009623A2" w:rsidRPr="004323D5">
          <w:rPr>
            <w:rStyle w:val="Hyperlink"/>
            <w:rtl/>
          </w:rPr>
          <w:t>דעת הרמב"ם בגדרי אבות ותולדות</w:t>
        </w:r>
      </w:hyperlink>
    </w:p>
    <w:p w14:paraId="15D8E08D" w14:textId="77777777" w:rsidR="009623A2" w:rsidRDefault="00AD16A0" w:rsidP="009623A2">
      <w:pPr>
        <w:pStyle w:val="TOC2"/>
        <w:rPr>
          <w:rFonts w:cstheme="minorBidi"/>
          <w:b w:val="0"/>
          <w:bCs w:val="0"/>
          <w:sz w:val="22"/>
          <w:szCs w:val="22"/>
          <w:rtl/>
        </w:rPr>
      </w:pPr>
      <w:hyperlink w:anchor="_Toc134419596" w:history="1">
        <w:r w:rsidR="009623A2" w:rsidRPr="004323D5">
          <w:rPr>
            <w:rStyle w:val="Hyperlink"/>
            <w:rtl/>
          </w:rPr>
          <w:t>בי' הרמב"ם בגדרי אב ותלדה ובזורע המלאכות בברייתא אבות</w:t>
        </w:r>
      </w:hyperlink>
    </w:p>
    <w:p w14:paraId="3C2B3CB7"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597" w:history="1">
        <w:r w:rsidR="009623A2" w:rsidRPr="004323D5">
          <w:rPr>
            <w:rStyle w:val="Hyperlink"/>
            <w:rtl/>
          </w:rPr>
          <w:t>בי' הרמב"ם דל"ט אבות וכל דבר שהוא מאותו העניין נקרא ג"כ אב כחורש וחופר ועושה חריץ</w:t>
        </w:r>
      </w:hyperlink>
    </w:p>
    <w:p w14:paraId="61C51ADC"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598" w:history="1">
        <w:r w:rsidR="009623A2" w:rsidRPr="004323D5">
          <w:rPr>
            <w:rStyle w:val="Hyperlink"/>
            <w:rtl/>
          </w:rPr>
          <w:t>בי' הרמב"ם דזורע ונוטע ומבריך ומרכיב וזומר הם אב אחד דהם אותו עניין דכוונתו להצמיח</w:t>
        </w:r>
      </w:hyperlink>
    </w:p>
    <w:p w14:paraId="61A456B7"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599" w:history="1">
        <w:r w:rsidR="009623A2" w:rsidRPr="004323D5">
          <w:rPr>
            <w:rStyle w:val="Hyperlink"/>
            <w:rtl/>
          </w:rPr>
          <w:t>בי' הרמב"ם דבוצר וגודר ומוסק הם אב דקוצר דבמתכוון לעקור דבר מגידולו וה"ה בכל האבות</w:t>
        </w:r>
      </w:hyperlink>
    </w:p>
    <w:p w14:paraId="789FA0CA"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00" w:history="1">
        <w:r w:rsidR="009623A2" w:rsidRPr="004323D5">
          <w:rPr>
            <w:rStyle w:val="Hyperlink"/>
            <w:rtl/>
          </w:rPr>
          <w:t>בי' הרמב"ם דזורע כ"ש חייב וזומר כעין זורע ומשקה הוא תולדה וכן שורה חיטין במים תולדה</w:t>
        </w:r>
      </w:hyperlink>
    </w:p>
    <w:p w14:paraId="1EE85E52"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01" w:history="1">
        <w:r w:rsidR="009623A2" w:rsidRPr="004323D5">
          <w:rPr>
            <w:rStyle w:val="Hyperlink"/>
            <w:rtl/>
          </w:rPr>
          <w:t>בי' הרמב"ם בפיהמ"ש דהאבות הם דוגמא לכל המלאכות שהם מעין האב כמבואר במתני' לעיל</w:t>
        </w:r>
      </w:hyperlink>
    </w:p>
    <w:p w14:paraId="537729DC"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02" w:history="1">
        <w:r w:rsidR="009623A2" w:rsidRPr="004323D5">
          <w:rPr>
            <w:rStyle w:val="Hyperlink"/>
            <w:rtl/>
          </w:rPr>
          <w:t>בי' הרמב"ם בפיהמ"ש דתולדה היא מלאכה אחרת מהאב אך היא מאותו ענין של האב</w:t>
        </w:r>
      </w:hyperlink>
    </w:p>
    <w:p w14:paraId="1D8DADFF"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03" w:history="1">
        <w:r w:rsidR="009623A2" w:rsidRPr="004323D5">
          <w:rPr>
            <w:rStyle w:val="Hyperlink"/>
            <w:rtl/>
          </w:rPr>
          <w:t>הוכחת האו"ז מהגמ' במו"ק דאף זומר הוא אב כרמב"ם ולא כרש"י ולכן לא תני בברייתא משקה</w:t>
        </w:r>
      </w:hyperlink>
    </w:p>
    <w:p w14:paraId="5F58D7A4"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04" w:history="1">
        <w:r w:rsidR="009623A2" w:rsidRPr="004323D5">
          <w:rPr>
            <w:rStyle w:val="Hyperlink"/>
            <w:rtl/>
          </w:rPr>
          <w:t>בי' המאירי דזורע הוא האב למלאכות שמצמיחות והדומה להם וזומר בכללם דכוונתו להצמיח</w:t>
        </w:r>
      </w:hyperlink>
    </w:p>
    <w:p w14:paraId="6E559DC5" w14:textId="77777777" w:rsidR="009623A2" w:rsidRDefault="00AD16A0" w:rsidP="009623A2">
      <w:pPr>
        <w:pStyle w:val="TOC2"/>
        <w:rPr>
          <w:rFonts w:cstheme="minorBidi"/>
          <w:b w:val="0"/>
          <w:bCs w:val="0"/>
          <w:sz w:val="22"/>
          <w:szCs w:val="22"/>
          <w:rtl/>
        </w:rPr>
      </w:pPr>
      <w:hyperlink w:anchor="_Toc134419605" w:history="1">
        <w:r w:rsidR="009623A2" w:rsidRPr="004323D5">
          <w:rPr>
            <w:rStyle w:val="Hyperlink"/>
            <w:rtl/>
          </w:rPr>
          <w:t>בי' המ"מ ברמב"ם בגדרי אבות ותולדות והחילוק ביניהם</w:t>
        </w:r>
      </w:hyperlink>
    </w:p>
    <w:p w14:paraId="65927DAF"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06" w:history="1">
        <w:r w:rsidR="009623A2" w:rsidRPr="004323D5">
          <w:rPr>
            <w:rStyle w:val="Hyperlink"/>
            <w:rtl/>
          </w:rPr>
          <w:t>בי' המ"מ ברמב"ם דמלאכה שדומה לגמרי לאב וחלוקה רק באיכות הפעולה או בתוצאה הוי אב</w:t>
        </w:r>
      </w:hyperlink>
    </w:p>
    <w:p w14:paraId="3FEC8ACD"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07" w:history="1">
        <w:r w:rsidR="009623A2" w:rsidRPr="004323D5">
          <w:rPr>
            <w:rStyle w:val="Hyperlink"/>
            <w:rtl/>
          </w:rPr>
          <w:t>בי' המ"מ דזורע ונוטע וכו' הם אב דחלוקים רק באיכות הפעולה ואי ל"ה אב כל מין זרע אינו אב</w:t>
        </w:r>
      </w:hyperlink>
    </w:p>
    <w:p w14:paraId="7095A759"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08" w:history="1">
        <w:r w:rsidR="009623A2" w:rsidRPr="004323D5">
          <w:rPr>
            <w:rStyle w:val="Hyperlink"/>
            <w:rtl/>
          </w:rPr>
          <w:t>בי' המ"מ ברמב"ם דמלאכה שדומה לאב במקצת היא תולדה כחיתוך ירק דדמי במקצת לטוחן</w:t>
        </w:r>
      </w:hyperlink>
    </w:p>
    <w:p w14:paraId="3841E91C"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09" w:history="1">
        <w:r w:rsidR="009623A2" w:rsidRPr="004323D5">
          <w:rPr>
            <w:rStyle w:val="Hyperlink"/>
            <w:rtl/>
          </w:rPr>
          <w:t>בי' הלח"מ ברמב"ם דזומר חלוק לגמרי מזורע בעצם הפעולה ודמי לה באיכות דכוונתו להצמיח</w:t>
        </w:r>
      </w:hyperlink>
    </w:p>
    <w:p w14:paraId="5398A0AD"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10" w:history="1">
        <w:r w:rsidR="009623A2" w:rsidRPr="004323D5">
          <w:rPr>
            <w:rStyle w:val="Hyperlink"/>
            <w:rtl/>
          </w:rPr>
          <w:t>בי' הלח"מ דאי כוונת הברייתא דהמלאכות הללו אב זהו חידוש אך אי כוונתה לתולדה פשיטא</w:t>
        </w:r>
      </w:hyperlink>
    </w:p>
    <w:p w14:paraId="2158EDF5"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11" w:history="1">
        <w:r w:rsidR="009623A2" w:rsidRPr="004323D5">
          <w:rPr>
            <w:rStyle w:val="Hyperlink"/>
            <w:rtl/>
          </w:rPr>
          <w:t>בי' הלח"מ דאף להרמב"ם חיוב זומר מדין נוטע שהוא כעין זורע ואין כוונתו דחייב מדין זורע</w:t>
        </w:r>
      </w:hyperlink>
    </w:p>
    <w:p w14:paraId="6BAD9310"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12" w:history="1">
        <w:r w:rsidR="009623A2" w:rsidRPr="004323D5">
          <w:rPr>
            <w:rStyle w:val="Hyperlink"/>
            <w:rtl/>
          </w:rPr>
          <w:t>התי' הב' בלח"מ דלמסקנא זומר חייב אף משום נוטע היינו גם משום זורע דהוא החיוב בנוטע</w:t>
        </w:r>
      </w:hyperlink>
    </w:p>
    <w:p w14:paraId="7CEFBC74" w14:textId="77777777" w:rsidR="009623A2" w:rsidRDefault="00AD16A0" w:rsidP="009623A2">
      <w:pPr>
        <w:pStyle w:val="TOC1"/>
        <w:rPr>
          <w:rFonts w:asciiTheme="minorHAnsi" w:hAnsiTheme="minorHAnsi" w:cstheme="minorBidi"/>
          <w:b w:val="0"/>
          <w:bCs w:val="0"/>
          <w:caps w:val="0"/>
          <w:sz w:val="22"/>
          <w:szCs w:val="22"/>
          <w:rtl/>
        </w:rPr>
      </w:pPr>
      <w:hyperlink w:anchor="_Toc134419613" w:history="1">
        <w:r w:rsidR="009623A2" w:rsidRPr="004323D5">
          <w:rPr>
            <w:rStyle w:val="Hyperlink"/>
            <w:rtl/>
          </w:rPr>
          <w:t>בגדרי אבות ותולדות בשבת ובשביעית</w:t>
        </w:r>
      </w:hyperlink>
    </w:p>
    <w:p w14:paraId="141DA0DC" w14:textId="77777777" w:rsidR="009623A2" w:rsidRDefault="00AD16A0" w:rsidP="009623A2">
      <w:pPr>
        <w:pStyle w:val="TOC2"/>
        <w:rPr>
          <w:rFonts w:cstheme="minorBidi"/>
          <w:b w:val="0"/>
          <w:bCs w:val="0"/>
          <w:sz w:val="22"/>
          <w:szCs w:val="22"/>
          <w:rtl/>
        </w:rPr>
      </w:pPr>
      <w:hyperlink w:anchor="_Toc134419614" w:history="1">
        <w:r w:rsidR="009623A2" w:rsidRPr="004323D5">
          <w:rPr>
            <w:rStyle w:val="Hyperlink"/>
            <w:rtl/>
          </w:rPr>
          <w:t>בי' ר"ב אשכנזי ברמב"ם דיש אבות ומעין אבות ותולדות</w:t>
        </w:r>
      </w:hyperlink>
    </w:p>
    <w:p w14:paraId="4FB0CEFE"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15" w:history="1">
        <w:r w:rsidR="009623A2" w:rsidRPr="004323D5">
          <w:rPr>
            <w:rStyle w:val="Hyperlink"/>
            <w:rtl/>
          </w:rPr>
          <w:t>קו' השואל בשו"ת ר"ב אשכנזי ברמב"ם דבשבת זומר ובוצר אב ובשביעית תולדה כדאי' במו"ק</w:t>
        </w:r>
      </w:hyperlink>
    </w:p>
    <w:p w14:paraId="4D01D385"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16" w:history="1">
        <w:r w:rsidR="009623A2" w:rsidRPr="004323D5">
          <w:rPr>
            <w:rStyle w:val="Hyperlink"/>
            <w:rtl/>
          </w:rPr>
          <w:t>בי' רבי בצלאל אשכנזי ברמב"ם דיש ג' דרגות אבות מעין אבות ותולדות ונוטע וכו' מעין האב</w:t>
        </w:r>
      </w:hyperlink>
    </w:p>
    <w:p w14:paraId="5A1C68B6"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17" w:history="1">
        <w:r w:rsidR="009623A2" w:rsidRPr="004323D5">
          <w:rPr>
            <w:rStyle w:val="Hyperlink"/>
            <w:rtl/>
          </w:rPr>
          <w:t>בי' ר"ב אשכנזי ברמב"ם דהאב היה במשכן ומעין האב דומה לו לגמרי ותולדה דומה במקצת</w:t>
        </w:r>
      </w:hyperlink>
    </w:p>
    <w:p w14:paraId="0EE9EE54"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18" w:history="1">
        <w:r w:rsidR="009623A2" w:rsidRPr="004323D5">
          <w:rPr>
            <w:rStyle w:val="Hyperlink"/>
            <w:rtl/>
          </w:rPr>
          <w:t>בי' ר"ב אשכנזי ברמב"ם דנוטע וכו' הם מלאכה אחת היינו מעין האב דזורע דכוונתו להצמיח</w:t>
        </w:r>
      </w:hyperlink>
    </w:p>
    <w:p w14:paraId="3F68C8AF"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19" w:history="1">
        <w:r w:rsidR="009623A2" w:rsidRPr="004323D5">
          <w:rPr>
            <w:rStyle w:val="Hyperlink"/>
            <w:rtl/>
          </w:rPr>
          <w:t>תי' ר"ב אשכנזי ברמב"ם דזומר ובוצר בשבת ובשביעית אינם ממש תולדות אלא מעין האב</w:t>
        </w:r>
      </w:hyperlink>
    </w:p>
    <w:p w14:paraId="31E7B5F2" w14:textId="77777777" w:rsidR="009623A2" w:rsidRDefault="00AD16A0" w:rsidP="009623A2">
      <w:pPr>
        <w:pStyle w:val="TOC2"/>
        <w:rPr>
          <w:rFonts w:cstheme="minorBidi"/>
          <w:b w:val="0"/>
          <w:bCs w:val="0"/>
          <w:sz w:val="22"/>
          <w:szCs w:val="22"/>
          <w:rtl/>
        </w:rPr>
      </w:pPr>
      <w:hyperlink w:anchor="_Toc134419620" w:history="1">
        <w:r w:rsidR="009623A2" w:rsidRPr="004323D5">
          <w:rPr>
            <w:rStyle w:val="Hyperlink"/>
            <w:rtl/>
          </w:rPr>
          <w:t>בי' הקר"א והאגל"ט בחילוק בין אבות ותולדות בשבת לשביעית</w:t>
        </w:r>
      </w:hyperlink>
    </w:p>
    <w:p w14:paraId="213BCC9F"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21" w:history="1">
        <w:r w:rsidR="009623A2" w:rsidRPr="004323D5">
          <w:rPr>
            <w:rStyle w:val="Hyperlink"/>
            <w:rtl/>
          </w:rPr>
          <w:t>בי' הקר"א דהא דלשביעית זומר ובוצר הם תולדה אינם ממש תולדה אלא דאינם אבות</w:t>
        </w:r>
      </w:hyperlink>
    </w:p>
    <w:p w14:paraId="0E25C316"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22" w:history="1">
        <w:r w:rsidR="009623A2" w:rsidRPr="004323D5">
          <w:rPr>
            <w:rStyle w:val="Hyperlink"/>
            <w:rtl/>
          </w:rPr>
          <w:t>קו' האגל"ט ברמב"ם דבמו"ק מפורש דזומר תולדה בשביעית ובוצר תולדה ולהרמב"ם הוי אב</w:t>
        </w:r>
      </w:hyperlink>
    </w:p>
    <w:p w14:paraId="59B9D5DE"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23" w:history="1">
        <w:r w:rsidR="009623A2" w:rsidRPr="004323D5">
          <w:rPr>
            <w:rStyle w:val="Hyperlink"/>
            <w:rtl/>
          </w:rPr>
          <w:t>בי' האגל"ט דלשבת תלוי במלאכת מחשבת וכל מלאכה שהיא באותה כוונה של האב הוי אב</w:t>
        </w:r>
      </w:hyperlink>
    </w:p>
    <w:p w14:paraId="494E8C4D"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24" w:history="1">
        <w:r w:rsidR="009623A2" w:rsidRPr="004323D5">
          <w:rPr>
            <w:rStyle w:val="Hyperlink"/>
            <w:rtl/>
          </w:rPr>
          <w:t>בי' האגל"ט דבשביעית א"צ מלאכת מחשבת ומלאכה שחלוקה במעשה מהאב הוי תולדה</w:t>
        </w:r>
      </w:hyperlink>
    </w:p>
    <w:p w14:paraId="656939F7"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25" w:history="1">
        <w:r w:rsidR="009623A2" w:rsidRPr="004323D5">
          <w:rPr>
            <w:rStyle w:val="Hyperlink"/>
            <w:rtl/>
          </w:rPr>
          <w:t>בי' האגל"ט דלדינא ל"פ רש"י והרמב"ם בזומר ונח' מהו נקרא מלאכת זומר</w:t>
        </w:r>
      </w:hyperlink>
    </w:p>
    <w:p w14:paraId="10E1AA53" w14:textId="77777777" w:rsidR="009623A2" w:rsidRDefault="00AD16A0" w:rsidP="009623A2">
      <w:pPr>
        <w:pStyle w:val="TOC1"/>
        <w:rPr>
          <w:rFonts w:asciiTheme="minorHAnsi" w:hAnsiTheme="minorHAnsi" w:cstheme="minorBidi"/>
          <w:b w:val="0"/>
          <w:bCs w:val="0"/>
          <w:caps w:val="0"/>
          <w:sz w:val="22"/>
          <w:szCs w:val="22"/>
          <w:rtl/>
        </w:rPr>
      </w:pPr>
      <w:hyperlink w:anchor="_Toc134419626" w:history="1">
        <w:r w:rsidR="009623A2" w:rsidRPr="004323D5">
          <w:rPr>
            <w:rStyle w:val="Hyperlink"/>
            <w:rtl/>
          </w:rPr>
          <w:t>הסוברים דהמלאכות דנוטע וכו' תולדות</w:t>
        </w:r>
      </w:hyperlink>
    </w:p>
    <w:p w14:paraId="3C4FF3B7" w14:textId="77777777" w:rsidR="009623A2" w:rsidRDefault="00AD16A0" w:rsidP="009623A2">
      <w:pPr>
        <w:pStyle w:val="TOC2"/>
        <w:rPr>
          <w:rFonts w:cstheme="minorBidi"/>
          <w:b w:val="0"/>
          <w:bCs w:val="0"/>
          <w:sz w:val="22"/>
          <w:szCs w:val="22"/>
          <w:rtl/>
        </w:rPr>
      </w:pPr>
      <w:hyperlink w:anchor="_Toc134419627" w:history="1">
        <w:r w:rsidR="009623A2" w:rsidRPr="004323D5">
          <w:rPr>
            <w:rStyle w:val="Hyperlink"/>
            <w:rtl/>
          </w:rPr>
          <w:t>ביאורי ר"ח והיראים והרמ"ך דכל המלאכות תולדות דזורע</w:t>
        </w:r>
      </w:hyperlink>
    </w:p>
    <w:p w14:paraId="62458AD8"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28" w:history="1">
        <w:r w:rsidR="009623A2" w:rsidRPr="004323D5">
          <w:rPr>
            <w:rStyle w:val="Hyperlink"/>
            <w:rtl/>
          </w:rPr>
          <w:t>בי' ר"ח דזומר תולדה דנוטע שהיא תולדת זורע ויש תולדה לתולדה וכולם כלולים באב דזורע</w:t>
        </w:r>
      </w:hyperlink>
    </w:p>
    <w:p w14:paraId="20EC78BB"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29" w:history="1">
        <w:r w:rsidR="009623A2" w:rsidRPr="004323D5">
          <w:rPr>
            <w:rStyle w:val="Hyperlink"/>
            <w:rtl/>
          </w:rPr>
          <w:t>בי' ר"ח דהחילוק בין נוטע לזורע דנוטע יחור של אילן בקרקע ודמי לזורע דמשליך זרע לארץ</w:t>
        </w:r>
      </w:hyperlink>
    </w:p>
    <w:p w14:paraId="2AE065DE"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30" w:history="1">
        <w:r w:rsidR="009623A2" w:rsidRPr="004323D5">
          <w:rPr>
            <w:rStyle w:val="Hyperlink"/>
            <w:rtl/>
          </w:rPr>
          <w:t>בי' היראים דנוטע ומרכיב ומבריך וזומר בכלל תולדות זורע וכן משקה הוא תולדת זורע</w:t>
        </w:r>
      </w:hyperlink>
    </w:p>
    <w:p w14:paraId="7DB0B782"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31" w:history="1">
        <w:r w:rsidR="009623A2" w:rsidRPr="004323D5">
          <w:rPr>
            <w:rStyle w:val="Hyperlink"/>
            <w:rtl/>
          </w:rPr>
          <w:t>קו' הרמ"ך על הרמב"ם דאי כל הדומה לאב הוא אב יש יותר מל"ט ועוד דלא היו במשכן</w:t>
        </w:r>
      </w:hyperlink>
    </w:p>
    <w:p w14:paraId="7F7CE976"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32" w:history="1">
        <w:r w:rsidR="009623A2" w:rsidRPr="004323D5">
          <w:rPr>
            <w:rStyle w:val="Hyperlink"/>
            <w:rtl/>
          </w:rPr>
          <w:t>בי' הרמ"ך דכל המלאכות הללו מלאכה א' היינו דהם תולדות וקמ"ל דב' תולדות חייב חטאת א'</w:t>
        </w:r>
      </w:hyperlink>
    </w:p>
    <w:p w14:paraId="76156227"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33" w:history="1">
        <w:r w:rsidR="009623A2" w:rsidRPr="004323D5">
          <w:rPr>
            <w:rStyle w:val="Hyperlink"/>
            <w:rtl/>
          </w:rPr>
          <w:t>בי' המ"מ בשם י"מ דהא דכולם הם מלאכה אחת הכוונה שהם תולדות אף שחלוקים רק בשם</w:t>
        </w:r>
      </w:hyperlink>
    </w:p>
    <w:p w14:paraId="2D636FF9"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34" w:history="1">
        <w:r w:rsidR="009623A2" w:rsidRPr="004323D5">
          <w:rPr>
            <w:rStyle w:val="Hyperlink"/>
            <w:rtl/>
          </w:rPr>
          <w:t>תי' רבי בצלאל אשכנזי דלבי' פיהמ"ש אין הכוונה שכולם כמו האב עצמו אלא דהם מעין האב</w:t>
        </w:r>
      </w:hyperlink>
    </w:p>
    <w:p w14:paraId="5ACB7C65"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35" w:history="1">
        <w:r w:rsidR="009623A2" w:rsidRPr="004323D5">
          <w:rPr>
            <w:rStyle w:val="Hyperlink"/>
            <w:rtl/>
          </w:rPr>
          <w:t>בי' רבי בצלאל אשכנזי בפיהמ"ש דמוכח דאין כוונת הרמב"ם דהם כאב עצמו אלא מעין האב</w:t>
        </w:r>
      </w:hyperlink>
    </w:p>
    <w:p w14:paraId="4B701FD5"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36" w:history="1">
        <w:r w:rsidR="009623A2" w:rsidRPr="004323D5">
          <w:rPr>
            <w:rStyle w:val="Hyperlink"/>
            <w:rtl/>
          </w:rPr>
          <w:t>תי' המרכה"מ דהא לא תני מלאכות שהם אב דזורע במנין ל"ט מלאכות דלא חלוקים לחטאת</w:t>
        </w:r>
      </w:hyperlink>
    </w:p>
    <w:p w14:paraId="278212DC"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37" w:history="1">
        <w:r w:rsidR="009623A2" w:rsidRPr="004323D5">
          <w:rPr>
            <w:rStyle w:val="Hyperlink"/>
            <w:rtl/>
          </w:rPr>
          <w:t>בי' המרכה"מ דמלאכות שחלוקות קצת אי היו במשכן חלוקים לאבות אך מלאכות הללו הם א'</w:t>
        </w:r>
      </w:hyperlink>
    </w:p>
    <w:p w14:paraId="441A4BA7" w14:textId="77777777" w:rsidR="009623A2" w:rsidRDefault="00AD16A0" w:rsidP="009623A2">
      <w:pPr>
        <w:pStyle w:val="TOC2"/>
        <w:rPr>
          <w:rFonts w:cstheme="minorBidi"/>
          <w:b w:val="0"/>
          <w:bCs w:val="0"/>
          <w:sz w:val="22"/>
          <w:szCs w:val="22"/>
          <w:rtl/>
        </w:rPr>
      </w:pPr>
      <w:hyperlink w:anchor="_Toc134419638" w:history="1">
        <w:r w:rsidR="009623A2" w:rsidRPr="004323D5">
          <w:rPr>
            <w:rStyle w:val="Hyperlink"/>
            <w:rtl/>
          </w:rPr>
          <w:t>סתירת המיוחסים לר"ן אי הוי אב או תולדה ומ"ש מזורה ומרקד</w:t>
        </w:r>
      </w:hyperlink>
    </w:p>
    <w:p w14:paraId="3FD51551"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39" w:history="1">
        <w:r w:rsidR="009623A2" w:rsidRPr="004323D5">
          <w:rPr>
            <w:rStyle w:val="Hyperlink"/>
            <w:rtl/>
          </w:rPr>
          <w:t>בי' המיוחסים לר"ן דכולם אבות ומונים אותם בזורע דהם אותו ענין וחייב עליהם חטאת אחת</w:t>
        </w:r>
      </w:hyperlink>
    </w:p>
    <w:p w14:paraId="6C9FA17C"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40" w:history="1">
        <w:r w:rsidR="009623A2" w:rsidRPr="004323D5">
          <w:rPr>
            <w:rStyle w:val="Hyperlink"/>
            <w:rtl/>
          </w:rPr>
          <w:t>בי' הרא"ה דזורה ובורר ומרקד דבדבר א' עושה שלושתן אבל מלאכות הללו כ"א נעשה במקו"א</w:t>
        </w:r>
      </w:hyperlink>
    </w:p>
    <w:p w14:paraId="430302D0"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41" w:history="1">
        <w:r w:rsidR="009623A2" w:rsidRPr="004323D5">
          <w:rPr>
            <w:rStyle w:val="Hyperlink"/>
            <w:rtl/>
          </w:rPr>
          <w:t>בי' הרא"ה דאי הם תולדות הול"ל דחייב משום אב ומדאמרי' מלאכה א' מוכח דכלולים באב א'</w:t>
        </w:r>
      </w:hyperlink>
    </w:p>
    <w:p w14:paraId="658FCDA3"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42" w:history="1">
        <w:r w:rsidR="009623A2" w:rsidRPr="004323D5">
          <w:rPr>
            <w:rStyle w:val="Hyperlink"/>
            <w:rtl/>
          </w:rPr>
          <w:t>סתירה בחי' המיוחסים לר"ן דכ' דזומר תולדת נוטע ומבריך ומרכיב תולדות ונוטע וזורע אבות</w:t>
        </w:r>
      </w:hyperlink>
    </w:p>
    <w:p w14:paraId="58D0CB84"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43" w:history="1">
        <w:r w:rsidR="009623A2" w:rsidRPr="004323D5">
          <w:rPr>
            <w:rStyle w:val="Hyperlink"/>
            <w:rtl/>
          </w:rPr>
          <w:t>בי' המיוחסים לר"ן דמתרין במבריך ומרכיב משום בזורע או נוטע אך זומר רק נוטע ולא זורע</w:t>
        </w:r>
      </w:hyperlink>
    </w:p>
    <w:p w14:paraId="5D1C76F8"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44" w:history="1">
        <w:r w:rsidR="009623A2" w:rsidRPr="004323D5">
          <w:rPr>
            <w:rStyle w:val="Hyperlink"/>
            <w:rtl/>
          </w:rPr>
          <w:t>בי' התוס' שאנץ דזורע ונוטע ממש אותה מלאכה ולכן הוי אב ל"ד לזורה ומרקד דחלוקים קצת</w:t>
        </w:r>
      </w:hyperlink>
    </w:p>
    <w:p w14:paraId="280CF724" w14:textId="77777777" w:rsidR="009623A2" w:rsidRDefault="00AD16A0" w:rsidP="009623A2">
      <w:pPr>
        <w:pStyle w:val="TOC1"/>
        <w:rPr>
          <w:rFonts w:asciiTheme="minorHAnsi" w:hAnsiTheme="minorHAnsi" w:cstheme="minorBidi"/>
          <w:b w:val="0"/>
          <w:bCs w:val="0"/>
          <w:caps w:val="0"/>
          <w:sz w:val="22"/>
          <w:szCs w:val="22"/>
          <w:rtl/>
        </w:rPr>
      </w:pPr>
      <w:hyperlink w:anchor="_Toc134419645" w:history="1">
        <w:r w:rsidR="009623A2" w:rsidRPr="004323D5">
          <w:rPr>
            <w:rStyle w:val="Hyperlink"/>
            <w:rtl/>
          </w:rPr>
          <w:t>~~~~~~~~~~~~~~~~~~~~~~~~~~~~</w:t>
        </w:r>
      </w:hyperlink>
    </w:p>
    <w:p w14:paraId="1471DAE6" w14:textId="77777777" w:rsidR="009623A2" w:rsidRDefault="00AD16A0" w:rsidP="009623A2">
      <w:pPr>
        <w:pStyle w:val="TOC1"/>
        <w:rPr>
          <w:rFonts w:asciiTheme="minorHAnsi" w:hAnsiTheme="minorHAnsi" w:cstheme="minorBidi"/>
          <w:b w:val="0"/>
          <w:bCs w:val="0"/>
          <w:caps w:val="0"/>
          <w:sz w:val="22"/>
          <w:szCs w:val="22"/>
          <w:rtl/>
        </w:rPr>
      </w:pPr>
      <w:hyperlink w:anchor="_Toc134419646" w:history="1">
        <w:r w:rsidR="009623A2" w:rsidRPr="004323D5">
          <w:rPr>
            <w:rStyle w:val="Hyperlink"/>
            <w:rtl/>
          </w:rPr>
          <w:t>בפלו' הראשונים במלאכת זורע במשכן</w:t>
        </w:r>
      </w:hyperlink>
    </w:p>
    <w:p w14:paraId="6EE77395" w14:textId="77777777" w:rsidR="009623A2" w:rsidRDefault="00AD16A0" w:rsidP="009623A2">
      <w:pPr>
        <w:pStyle w:val="TOC2"/>
        <w:rPr>
          <w:rFonts w:cstheme="minorBidi"/>
          <w:b w:val="0"/>
          <w:bCs w:val="0"/>
          <w:sz w:val="22"/>
          <w:szCs w:val="22"/>
          <w:rtl/>
        </w:rPr>
      </w:pPr>
      <w:hyperlink w:anchor="_Toc134419647" w:history="1">
        <w:r w:rsidR="009623A2" w:rsidRPr="004323D5">
          <w:rPr>
            <w:rStyle w:val="Hyperlink"/>
            <w:rtl/>
          </w:rPr>
          <w:t>בי' האגל"ט דלרש"י ורמב"ם זרעו לסממנין ולר"ח ורה"ג למנחות</w:t>
        </w:r>
      </w:hyperlink>
    </w:p>
    <w:p w14:paraId="404A06A7"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48" w:history="1">
        <w:r w:rsidR="009623A2" w:rsidRPr="004323D5">
          <w:rPr>
            <w:rStyle w:val="Hyperlink"/>
            <w:rtl/>
          </w:rPr>
          <w:t>בי' האגל"ט ברש"י וברמב"ם דמשכן זרעו לסממנין אבל מלאכות דלצורך המנחות ל"ה אבות</w:t>
        </w:r>
      </w:hyperlink>
    </w:p>
    <w:p w14:paraId="72EE0151"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49" w:history="1">
        <w:r w:rsidR="009623A2" w:rsidRPr="004323D5">
          <w:rPr>
            <w:rStyle w:val="Hyperlink"/>
            <w:rtl/>
          </w:rPr>
          <w:t>בי' האגל"ט ברב האי גאון ור"ח דזורע היה במשכן לצורך המנחות</w:t>
        </w:r>
      </w:hyperlink>
    </w:p>
    <w:p w14:paraId="2FB579A9" w14:textId="77777777" w:rsidR="009623A2" w:rsidRDefault="00AD16A0" w:rsidP="009623A2">
      <w:pPr>
        <w:pStyle w:val="TOC2"/>
        <w:rPr>
          <w:rFonts w:cstheme="minorBidi"/>
          <w:b w:val="0"/>
          <w:bCs w:val="0"/>
          <w:sz w:val="22"/>
          <w:szCs w:val="22"/>
          <w:rtl/>
        </w:rPr>
      </w:pPr>
      <w:hyperlink w:anchor="_Toc134419650" w:history="1">
        <w:r w:rsidR="009623A2" w:rsidRPr="004323D5">
          <w:rPr>
            <w:rStyle w:val="Hyperlink"/>
            <w:rtl/>
          </w:rPr>
          <w:t>בי' האגל"ט דנוטע בקרקע עצמה ובוצר מהאילן והוי תולדה</w:t>
        </w:r>
      </w:hyperlink>
    </w:p>
    <w:p w14:paraId="60091E56"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51" w:history="1">
        <w:r w:rsidR="009623A2" w:rsidRPr="004323D5">
          <w:rPr>
            <w:rStyle w:val="Hyperlink"/>
            <w:rtl/>
          </w:rPr>
          <w:t>קו' האגל"ט ברש"י וברמב"ם דלא נטעו במשכן לסממנין ואמאי הוי אב ומ"ש מבוצר דתולדה</w:t>
        </w:r>
      </w:hyperlink>
    </w:p>
    <w:p w14:paraId="58DDB031"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52" w:history="1">
        <w:r w:rsidR="009623A2" w:rsidRPr="004323D5">
          <w:rPr>
            <w:rStyle w:val="Hyperlink"/>
            <w:rtl/>
          </w:rPr>
          <w:t>בי' האגל"ט דנוטע שתוחבו בקרקע עצמה הוי אב כזורע ואילו בצירה היא מהאילן ולא מהקרקע</w:t>
        </w:r>
      </w:hyperlink>
    </w:p>
    <w:p w14:paraId="4BBD37AB" w14:textId="77777777" w:rsidR="009623A2" w:rsidRDefault="00AD16A0" w:rsidP="009623A2">
      <w:pPr>
        <w:pStyle w:val="TOC2"/>
        <w:rPr>
          <w:rFonts w:cstheme="minorBidi"/>
          <w:b w:val="0"/>
          <w:bCs w:val="0"/>
          <w:sz w:val="22"/>
          <w:szCs w:val="22"/>
          <w:rtl/>
        </w:rPr>
      </w:pPr>
      <w:hyperlink w:anchor="_Toc134419653" w:history="1">
        <w:r w:rsidR="009623A2" w:rsidRPr="004323D5">
          <w:rPr>
            <w:rStyle w:val="Hyperlink"/>
            <w:rtl/>
          </w:rPr>
          <w:t>בי' אגל"ט דנוטע עצי סרק אב דזורע אף לסוברים דנוטע תולדה</w:t>
        </w:r>
      </w:hyperlink>
    </w:p>
    <w:p w14:paraId="350D7C3B"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54" w:history="1">
        <w:r w:rsidR="009623A2" w:rsidRPr="004323D5">
          <w:rPr>
            <w:rStyle w:val="Hyperlink"/>
            <w:rtl/>
          </w:rPr>
          <w:t>בי' האגל"ט דלסוברים דתולדה הוא נוטע צ"ל דרק מלאכות שנעשו אחר ציווי המשכן הם אבות</w:t>
        </w:r>
      </w:hyperlink>
    </w:p>
    <w:p w14:paraId="6163A67E"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55" w:history="1">
        <w:r w:rsidR="009623A2" w:rsidRPr="004323D5">
          <w:rPr>
            <w:rStyle w:val="Hyperlink"/>
            <w:rtl/>
          </w:rPr>
          <w:t>קו' האגל"ט דלרש"י והרמב"ם אף מלאכות שלפני הציווי הם אבות והא יעקב נטע ארזים למשכן</w:t>
        </w:r>
      </w:hyperlink>
    </w:p>
    <w:p w14:paraId="46F71F6B"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56" w:history="1">
        <w:r w:rsidR="009623A2" w:rsidRPr="004323D5">
          <w:rPr>
            <w:rStyle w:val="Hyperlink"/>
            <w:rtl/>
          </w:rPr>
          <w:t>בי' האגל"ט דנוטע עצי סרק לצורך עצים דמי לזורע ונוטע עצי פרי דלא גדלים בקרקע ל"ד לזורע</w:t>
        </w:r>
      </w:hyperlink>
    </w:p>
    <w:p w14:paraId="117D1814"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57" w:history="1">
        <w:r w:rsidR="009623A2" w:rsidRPr="004323D5">
          <w:rPr>
            <w:rStyle w:val="Hyperlink"/>
            <w:rtl/>
          </w:rPr>
          <w:t>בי' האגל"ט דכוונתו בנטיעה לפירות ואין מלאכת מחשבת לעץ ולא הוי במשכן והיא תולדה</w:t>
        </w:r>
      </w:hyperlink>
    </w:p>
    <w:p w14:paraId="07116055" w14:textId="77777777" w:rsidR="009623A2" w:rsidRDefault="00AD16A0" w:rsidP="009623A2">
      <w:pPr>
        <w:pStyle w:val="TOC1"/>
        <w:rPr>
          <w:rFonts w:asciiTheme="minorHAnsi" w:hAnsiTheme="minorHAnsi" w:cstheme="minorBidi"/>
          <w:b w:val="0"/>
          <w:bCs w:val="0"/>
          <w:caps w:val="0"/>
          <w:sz w:val="22"/>
          <w:szCs w:val="22"/>
          <w:rtl/>
        </w:rPr>
      </w:pPr>
      <w:hyperlink w:anchor="_Toc134419658" w:history="1">
        <w:r w:rsidR="009623A2" w:rsidRPr="004323D5">
          <w:rPr>
            <w:rStyle w:val="Hyperlink"/>
            <w:rtl/>
          </w:rPr>
          <w:t>~~~~~~~~~~~~~~~~~~~~~~~~~~~~</w:t>
        </w:r>
      </w:hyperlink>
    </w:p>
    <w:p w14:paraId="40A93EAC" w14:textId="77777777" w:rsidR="009623A2" w:rsidRDefault="00AD16A0" w:rsidP="009623A2">
      <w:pPr>
        <w:pStyle w:val="TOC1"/>
        <w:rPr>
          <w:rFonts w:asciiTheme="minorHAnsi" w:hAnsiTheme="minorHAnsi" w:cstheme="minorBidi"/>
          <w:b w:val="0"/>
          <w:bCs w:val="0"/>
          <w:caps w:val="0"/>
          <w:sz w:val="22"/>
          <w:szCs w:val="22"/>
          <w:rtl/>
        </w:rPr>
      </w:pPr>
      <w:hyperlink w:anchor="_Toc134419659" w:history="1">
        <w:r w:rsidR="009623A2" w:rsidRPr="004323D5">
          <w:rPr>
            <w:rStyle w:val="Hyperlink"/>
            <w:rtl/>
          </w:rPr>
          <w:t>אי זורע חייב רק בחיפוי או גם מגולה</w:t>
        </w:r>
      </w:hyperlink>
    </w:p>
    <w:p w14:paraId="37D62341" w14:textId="77777777" w:rsidR="009623A2" w:rsidRDefault="00AD16A0" w:rsidP="009623A2">
      <w:pPr>
        <w:pStyle w:val="TOC2"/>
        <w:rPr>
          <w:rFonts w:cstheme="minorBidi"/>
          <w:b w:val="0"/>
          <w:bCs w:val="0"/>
          <w:sz w:val="22"/>
          <w:szCs w:val="22"/>
          <w:rtl/>
        </w:rPr>
      </w:pPr>
      <w:hyperlink w:anchor="_Toc134419660" w:history="1">
        <w:r w:rsidR="009623A2" w:rsidRPr="004323D5">
          <w:rPr>
            <w:rStyle w:val="Hyperlink"/>
            <w:rtl/>
          </w:rPr>
          <w:t>פלו' המגן אבות והאגל"ט אי זורע והניח את הזרע מגולה חייב</w:t>
        </w:r>
      </w:hyperlink>
    </w:p>
    <w:p w14:paraId="2D133521"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61" w:history="1">
        <w:r w:rsidR="009623A2" w:rsidRPr="004323D5">
          <w:rPr>
            <w:rStyle w:val="Hyperlink"/>
            <w:rtl/>
          </w:rPr>
          <w:t>בי' המגן אבות דזורע הוא רק כשחפהו בקרקע ולא במגולה כמבו' בתוס' לעיל דבמכוסה הוי זרוע</w:t>
        </w:r>
      </w:hyperlink>
    </w:p>
    <w:p w14:paraId="54E9F586"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62" w:history="1">
        <w:r w:rsidR="009623A2" w:rsidRPr="004323D5">
          <w:rPr>
            <w:rStyle w:val="Hyperlink"/>
            <w:rtl/>
          </w:rPr>
          <w:t>בי' האגל"ט דאף כשהזרע מגולה הוי זורע דאל"ה מה החידוש במכות דהמחפה בכלאים לוקה</w:t>
        </w:r>
      </w:hyperlink>
    </w:p>
    <w:p w14:paraId="2E7CFAE9" w14:textId="77777777" w:rsidR="009623A2" w:rsidRDefault="00AD16A0" w:rsidP="009623A2">
      <w:pPr>
        <w:pStyle w:val="TOC1"/>
        <w:rPr>
          <w:rFonts w:asciiTheme="minorHAnsi" w:hAnsiTheme="minorHAnsi" w:cstheme="minorBidi"/>
          <w:b w:val="0"/>
          <w:bCs w:val="0"/>
          <w:caps w:val="0"/>
          <w:sz w:val="22"/>
          <w:szCs w:val="22"/>
          <w:rtl/>
        </w:rPr>
      </w:pPr>
      <w:hyperlink w:anchor="_Toc134419663" w:history="1">
        <w:r w:rsidR="009623A2" w:rsidRPr="004323D5">
          <w:rPr>
            <w:rStyle w:val="Hyperlink"/>
            <w:rtl/>
          </w:rPr>
          <w:t>~~~~~~~~~~~~~~~~~~~~~~~~~~~~</w:t>
        </w:r>
      </w:hyperlink>
    </w:p>
    <w:p w14:paraId="0BB27F56" w14:textId="77777777" w:rsidR="009623A2" w:rsidRDefault="00AD16A0" w:rsidP="009623A2">
      <w:pPr>
        <w:pStyle w:val="TOC1"/>
        <w:rPr>
          <w:rFonts w:asciiTheme="minorHAnsi" w:hAnsiTheme="minorHAnsi" w:cstheme="minorBidi"/>
          <w:b w:val="0"/>
          <w:bCs w:val="0"/>
          <w:caps w:val="0"/>
          <w:sz w:val="22"/>
          <w:szCs w:val="22"/>
          <w:rtl/>
        </w:rPr>
      </w:pPr>
      <w:hyperlink w:anchor="_Toc134419664" w:history="1">
        <w:r w:rsidR="009623A2" w:rsidRPr="004323D5">
          <w:rPr>
            <w:rStyle w:val="Hyperlink"/>
            <w:rtl/>
          </w:rPr>
          <w:t>ד' הרמב"ם דהשורה חיטין במים חייב</w:t>
        </w:r>
      </w:hyperlink>
    </w:p>
    <w:p w14:paraId="59CBACAE" w14:textId="77777777" w:rsidR="009623A2" w:rsidRDefault="00AD16A0" w:rsidP="009623A2">
      <w:pPr>
        <w:pStyle w:val="TOC2"/>
        <w:rPr>
          <w:rFonts w:cstheme="minorBidi"/>
          <w:b w:val="0"/>
          <w:bCs w:val="0"/>
          <w:sz w:val="22"/>
          <w:szCs w:val="22"/>
          <w:rtl/>
        </w:rPr>
      </w:pPr>
      <w:hyperlink w:anchor="_Toc134419665" w:history="1">
        <w:r w:rsidR="009623A2" w:rsidRPr="004323D5">
          <w:rPr>
            <w:rStyle w:val="Hyperlink"/>
            <w:rtl/>
          </w:rPr>
          <w:t>בי' הרמב"ם דהשורה חיטין במים הוא תולדת זורע וחייב</w:t>
        </w:r>
      </w:hyperlink>
    </w:p>
    <w:p w14:paraId="75AC7004"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66" w:history="1">
        <w:r w:rsidR="009623A2" w:rsidRPr="004323D5">
          <w:rPr>
            <w:rStyle w:val="Hyperlink"/>
            <w:rtl/>
          </w:rPr>
          <w:t>בי' הרמב"ם דהשורה חיטין במים תולדת זורע ובי' המ"מ דמקורו מזבחים וקו' המג"א דל"מ כן</w:t>
        </w:r>
      </w:hyperlink>
    </w:p>
    <w:p w14:paraId="73523D5D" w14:textId="77777777" w:rsidR="009623A2" w:rsidRDefault="00AD16A0" w:rsidP="009623A2">
      <w:pPr>
        <w:pStyle w:val="TOC2"/>
        <w:rPr>
          <w:rFonts w:cstheme="minorBidi"/>
          <w:b w:val="0"/>
          <w:bCs w:val="0"/>
          <w:sz w:val="22"/>
          <w:szCs w:val="22"/>
          <w:rtl/>
        </w:rPr>
      </w:pPr>
      <w:hyperlink w:anchor="_Toc134419667" w:history="1">
        <w:r w:rsidR="009623A2" w:rsidRPr="004323D5">
          <w:rPr>
            <w:rStyle w:val="Hyperlink"/>
            <w:rtl/>
          </w:rPr>
          <w:t>קו' רבינו שמואל על הרמב"ם דמנליה ומ"ש מעציץ שאינו נקוב</w:t>
        </w:r>
      </w:hyperlink>
    </w:p>
    <w:p w14:paraId="350918FD"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68" w:history="1">
        <w:r w:rsidR="009623A2" w:rsidRPr="004323D5">
          <w:rPr>
            <w:rStyle w:val="Hyperlink"/>
            <w:rtl/>
          </w:rPr>
          <w:t>בי' פי' קדמון ממצרים ברמב"ם דאף שלא יוצא מהחיטין זרע גמור כיון דמתרכך וצומח קצת חייב</w:t>
        </w:r>
      </w:hyperlink>
    </w:p>
    <w:p w14:paraId="391073A8"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69" w:history="1">
        <w:r w:rsidR="009623A2" w:rsidRPr="004323D5">
          <w:rPr>
            <w:rStyle w:val="Hyperlink"/>
            <w:rtl/>
          </w:rPr>
          <w:t>קו' רבינו שמואל על הרמב"ם דל"מ בגמ' דשורה במים חייב ועוד דמ"ש מעציץ שאינו נקוב</w:t>
        </w:r>
      </w:hyperlink>
    </w:p>
    <w:p w14:paraId="4731D464" w14:textId="77777777" w:rsidR="009623A2" w:rsidRDefault="00AD16A0" w:rsidP="009623A2">
      <w:pPr>
        <w:pStyle w:val="TOC2"/>
        <w:rPr>
          <w:rFonts w:cstheme="minorBidi"/>
          <w:b w:val="0"/>
          <w:bCs w:val="0"/>
          <w:sz w:val="22"/>
          <w:szCs w:val="22"/>
          <w:rtl/>
        </w:rPr>
      </w:pPr>
      <w:hyperlink w:anchor="_Toc134419670" w:history="1">
        <w:r w:rsidR="009623A2" w:rsidRPr="004323D5">
          <w:rPr>
            <w:rStyle w:val="Hyperlink"/>
            <w:rtl/>
          </w:rPr>
          <w:t>בי' הרמב"ם בתשו' בגמ' בזבחים ובחילוק שורה מעציץ שא"נ</w:t>
        </w:r>
      </w:hyperlink>
    </w:p>
    <w:p w14:paraId="5DADCA6E"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71" w:history="1">
        <w:r w:rsidR="009623A2" w:rsidRPr="004323D5">
          <w:rPr>
            <w:rStyle w:val="Hyperlink"/>
            <w:rtl/>
          </w:rPr>
          <w:t>בי' הרמב"ם בתשו' דמבו' בגמ' בזבחים דנקטה בפשתן משום לש דאי משום זורע ה"ה בחיטין</w:t>
        </w:r>
      </w:hyperlink>
    </w:p>
    <w:p w14:paraId="6F3BD073"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72" w:history="1">
        <w:r w:rsidR="009623A2" w:rsidRPr="004323D5">
          <w:rPr>
            <w:rStyle w:val="Hyperlink"/>
            <w:rtl/>
          </w:rPr>
          <w:t>בי' הרמב"ם בתשו' דבחיטין כ' לשון שרייה דמשמע שיגדל ויתנפח ובפשתן כ' נתינה דחייב מיד</w:t>
        </w:r>
      </w:hyperlink>
    </w:p>
    <w:p w14:paraId="64B8BA98"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73" w:history="1">
        <w:r w:rsidR="009623A2" w:rsidRPr="004323D5">
          <w:rPr>
            <w:rStyle w:val="Hyperlink"/>
            <w:rtl/>
          </w:rPr>
          <w:t>בי' הרמב"ם בתשו' דזרע בעציץ שאינו נקוב הוי כתלוש דאין לו קיום ולכן התולש ממנו פטור</w:t>
        </w:r>
      </w:hyperlink>
    </w:p>
    <w:p w14:paraId="1DDB4BF0"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74" w:history="1">
        <w:r w:rsidR="009623A2" w:rsidRPr="004323D5">
          <w:rPr>
            <w:rStyle w:val="Hyperlink"/>
            <w:rtl/>
          </w:rPr>
          <w:t>בי' הרמב"ם בתשו' דשורה במים אף שאינו צומח לגמרי מ"מ בזורע החיוב אף בצמיחה כל דהו</w:t>
        </w:r>
      </w:hyperlink>
    </w:p>
    <w:p w14:paraId="00FCED30"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75" w:history="1">
        <w:r w:rsidR="009623A2" w:rsidRPr="004323D5">
          <w:rPr>
            <w:rStyle w:val="Hyperlink"/>
            <w:rtl/>
          </w:rPr>
          <w:t>בי' הפי' קדמון ממצרים ברמב"ם דהחיוב בשורה במים רק כששהו זמן מרובה דקרובין להצמיח</w:t>
        </w:r>
      </w:hyperlink>
    </w:p>
    <w:p w14:paraId="02240A5B" w14:textId="77777777" w:rsidR="009623A2" w:rsidRDefault="00AD16A0" w:rsidP="009623A2">
      <w:pPr>
        <w:pStyle w:val="TOC2"/>
        <w:rPr>
          <w:rFonts w:cstheme="minorBidi"/>
          <w:b w:val="0"/>
          <w:bCs w:val="0"/>
          <w:sz w:val="22"/>
          <w:szCs w:val="22"/>
          <w:rtl/>
        </w:rPr>
      </w:pPr>
      <w:hyperlink w:anchor="_Toc134419676" w:history="1">
        <w:r w:rsidR="009623A2" w:rsidRPr="004323D5">
          <w:rPr>
            <w:rStyle w:val="Hyperlink"/>
            <w:rtl/>
          </w:rPr>
          <w:t>בי' הרדב"ז דע"י השריה החיטין נוחין לזריעה וה"ה בטוחן</w:t>
        </w:r>
      </w:hyperlink>
    </w:p>
    <w:p w14:paraId="3BADF637"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77" w:history="1">
        <w:r w:rsidR="009623A2" w:rsidRPr="004323D5">
          <w:rPr>
            <w:rStyle w:val="Hyperlink"/>
            <w:rtl/>
          </w:rPr>
          <w:t>קו' השואל ברדב"ז דמה מקור הרמב"ם ועוד דאף אם יניח חיטין במים ימים רבים לא יצמחו</w:t>
        </w:r>
      </w:hyperlink>
    </w:p>
    <w:p w14:paraId="1BCB60F4"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78" w:history="1">
        <w:r w:rsidR="009623A2" w:rsidRPr="004323D5">
          <w:rPr>
            <w:rStyle w:val="Hyperlink"/>
            <w:rtl/>
          </w:rPr>
          <w:t>בי' הרדב"ז ברמב"ם דשריית חיטין במים מכינה אותם לזריעה שיהיו נוחין לזריעה בקרקע</w:t>
        </w:r>
      </w:hyperlink>
    </w:p>
    <w:p w14:paraId="64532803"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79" w:history="1">
        <w:r w:rsidR="009623A2" w:rsidRPr="004323D5">
          <w:rPr>
            <w:rStyle w:val="Hyperlink"/>
            <w:rtl/>
          </w:rPr>
          <w:t>בי' הרדב"ז דהשורה חיטין במים לתקנם לטחינה חייב משום טוחן כמו בשורה לתקנם לזריעה</w:t>
        </w:r>
      </w:hyperlink>
    </w:p>
    <w:p w14:paraId="6532DDD8"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80" w:history="1">
        <w:r w:rsidR="009623A2" w:rsidRPr="004323D5">
          <w:rPr>
            <w:rStyle w:val="Hyperlink"/>
            <w:rtl/>
          </w:rPr>
          <w:t>הוכחת הרדב"ז ברמב"ם דהשורה חיטין רק לזמן מרובה חייב בזורע ול"ה פס"ר דיכול להסירם</w:t>
        </w:r>
      </w:hyperlink>
    </w:p>
    <w:p w14:paraId="6B7590BE"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81" w:history="1">
        <w:r w:rsidR="009623A2" w:rsidRPr="004323D5">
          <w:rPr>
            <w:rStyle w:val="Hyperlink"/>
            <w:rtl/>
          </w:rPr>
          <w:t>בי' הרדב"ז בגמ' בזבחים דרק פשתן חייב מיד בלש אבל חיטין חייב רק כשקדחי לאחר שרייה</w:t>
        </w:r>
      </w:hyperlink>
    </w:p>
    <w:p w14:paraId="183EAABC"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82" w:history="1">
        <w:r w:rsidR="009623A2" w:rsidRPr="004323D5">
          <w:rPr>
            <w:rStyle w:val="Hyperlink"/>
            <w:rtl/>
          </w:rPr>
          <w:t>בי' הרדב"ז דמשליך חיטין למים ע"מ לסלם מיד פטור דאינו לישה ובשורה לזמן הוי פס"ר דקדחי</w:t>
        </w:r>
      </w:hyperlink>
    </w:p>
    <w:p w14:paraId="37289C61" w14:textId="77777777" w:rsidR="009623A2" w:rsidRDefault="00AD16A0" w:rsidP="009623A2">
      <w:pPr>
        <w:pStyle w:val="TOC2"/>
        <w:rPr>
          <w:rFonts w:cstheme="minorBidi"/>
          <w:b w:val="0"/>
          <w:bCs w:val="0"/>
          <w:sz w:val="22"/>
          <w:szCs w:val="22"/>
          <w:rtl/>
        </w:rPr>
      </w:pPr>
      <w:hyperlink w:anchor="_Toc134419683" w:history="1">
        <w:r w:rsidR="009623A2" w:rsidRPr="004323D5">
          <w:rPr>
            <w:rStyle w:val="Hyperlink"/>
            <w:rtl/>
          </w:rPr>
          <w:t>בי' המג"א ברמב"ם דחיוב שורה רק לזמן מרובה כחצי היום</w:t>
        </w:r>
      </w:hyperlink>
    </w:p>
    <w:p w14:paraId="2C0403EA"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84" w:history="1">
        <w:r w:rsidR="009623A2" w:rsidRPr="004323D5">
          <w:rPr>
            <w:rStyle w:val="Hyperlink"/>
            <w:rtl/>
          </w:rPr>
          <w:t>קו' המג"א דבזבחים מבו' דרק בפשתן חייב משום לש ובחיטין פטור ועוד מבו' דאין חיוב זורע</w:t>
        </w:r>
      </w:hyperlink>
    </w:p>
    <w:p w14:paraId="3116F735"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85" w:history="1">
        <w:r w:rsidR="009623A2" w:rsidRPr="004323D5">
          <w:rPr>
            <w:rStyle w:val="Hyperlink"/>
            <w:rtl/>
          </w:rPr>
          <w:t>תי' המג"א דבפשתן חייב בלש מיד ובחיטין חייב בזורע לזמן מרובה לזמן מועט פשיטא דמותר</w:t>
        </w:r>
      </w:hyperlink>
    </w:p>
    <w:p w14:paraId="591685DE"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86" w:history="1">
        <w:r w:rsidR="009623A2" w:rsidRPr="004323D5">
          <w:rPr>
            <w:rStyle w:val="Hyperlink"/>
            <w:rtl/>
          </w:rPr>
          <w:t>בי' הב"מ במג"א דדייק מלשון "נותן פשתן" "שורה חיטין" ברמב"ם דחיוב חטין רק לזמן מרובה</w:t>
        </w:r>
      </w:hyperlink>
    </w:p>
    <w:p w14:paraId="501A78C7"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87" w:history="1">
        <w:r w:rsidR="009623A2" w:rsidRPr="004323D5">
          <w:rPr>
            <w:rStyle w:val="Hyperlink"/>
            <w:rtl/>
          </w:rPr>
          <w:t>בי' הב"מ בגמ' דקו' הגמ' בזבחים דאי פשתן חייב בזורע מיד ה"ה חיטין ותי' דפשתן חייב בלש</w:t>
        </w:r>
      </w:hyperlink>
    </w:p>
    <w:p w14:paraId="2298500C"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88" w:history="1">
        <w:r w:rsidR="009623A2" w:rsidRPr="004323D5">
          <w:rPr>
            <w:rStyle w:val="Hyperlink"/>
            <w:rtl/>
          </w:rPr>
          <w:t>בי' הב"מ דהרמב"ם בי' כן בגמ' בזבחים דמוכח בגמ' לעיל דשורה כרשינין בשבת חייב בזורע</w:t>
        </w:r>
      </w:hyperlink>
    </w:p>
    <w:p w14:paraId="4843A976" w14:textId="77777777" w:rsidR="009623A2" w:rsidRDefault="00AD16A0" w:rsidP="009623A2">
      <w:pPr>
        <w:pStyle w:val="TOC2"/>
        <w:rPr>
          <w:rFonts w:cstheme="minorBidi"/>
          <w:b w:val="0"/>
          <w:bCs w:val="0"/>
          <w:sz w:val="22"/>
          <w:szCs w:val="22"/>
          <w:rtl/>
        </w:rPr>
      </w:pPr>
      <w:hyperlink w:anchor="_Toc134419689" w:history="1">
        <w:r w:rsidR="009623A2" w:rsidRPr="004323D5">
          <w:rPr>
            <w:rStyle w:val="Hyperlink"/>
            <w:rtl/>
          </w:rPr>
          <w:t>בי' החיי"א דשורה להצמיח חייב מיד ומותר לשרות לא להצמיח</w:t>
        </w:r>
      </w:hyperlink>
    </w:p>
    <w:p w14:paraId="66C8EA2F"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90" w:history="1">
        <w:r w:rsidR="009623A2" w:rsidRPr="004323D5">
          <w:rPr>
            <w:rStyle w:val="Hyperlink"/>
            <w:rtl/>
          </w:rPr>
          <w:t>בי' החיי"א דשורה בכוונה שיתרככו או לעשות חיטה נבוטה דכוונתו להצמיח חייב מיד בנתינה</w:t>
        </w:r>
      </w:hyperlink>
    </w:p>
    <w:p w14:paraId="44CCF081"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91" w:history="1">
        <w:r w:rsidR="009623A2" w:rsidRPr="004323D5">
          <w:rPr>
            <w:rStyle w:val="Hyperlink"/>
            <w:rtl/>
          </w:rPr>
          <w:t>בי' החיי"א דבנותן חיטין במים ואין כוונתו להצמיח מותר כבשורה חיטין לבהמתו דלא מצמיח</w:t>
        </w:r>
      </w:hyperlink>
    </w:p>
    <w:p w14:paraId="05336021"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92" w:history="1">
        <w:r w:rsidR="009623A2" w:rsidRPr="004323D5">
          <w:rPr>
            <w:rStyle w:val="Hyperlink"/>
            <w:rtl/>
          </w:rPr>
          <w:t>דחיית הנשמ"א למג"א דלמג"א ע"י עכו"ם מותר אף להצמיח וא"א לחלק בין חצי יום לפחות</w:t>
        </w:r>
      </w:hyperlink>
    </w:p>
    <w:p w14:paraId="1EFB8E9C"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93" w:history="1">
        <w:r w:rsidR="009623A2" w:rsidRPr="004323D5">
          <w:rPr>
            <w:rStyle w:val="Hyperlink"/>
            <w:rtl/>
          </w:rPr>
          <w:t>קו' הנשמ"א דאי שרייה במים היא דרך חייב מיד כמו בקרקע ואי אינה דרך אף לזמן מרובה פטור</w:t>
        </w:r>
      </w:hyperlink>
    </w:p>
    <w:p w14:paraId="339AA820"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94" w:history="1">
        <w:r w:rsidR="009623A2" w:rsidRPr="004323D5">
          <w:rPr>
            <w:rStyle w:val="Hyperlink"/>
            <w:rtl/>
          </w:rPr>
          <w:t>בי' הנשמ"א ביראים דמשליך לזמן שלא יצמח אף במקום לח מותר ודלא כמג"א דאסר במים</w:t>
        </w:r>
      </w:hyperlink>
    </w:p>
    <w:p w14:paraId="4F30A8F8"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95" w:history="1">
        <w:r w:rsidR="009623A2" w:rsidRPr="004323D5">
          <w:rPr>
            <w:rStyle w:val="Hyperlink"/>
            <w:rtl/>
          </w:rPr>
          <w:t>בי' המשנ"א ברמב"ם דלשון שרייה אין רק לזמן מרובה כדמוכח בדיו דנתינה למים נקרא שרייה</w:t>
        </w:r>
      </w:hyperlink>
    </w:p>
    <w:p w14:paraId="18CF07AA"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96" w:history="1">
        <w:r w:rsidR="009623A2" w:rsidRPr="004323D5">
          <w:rPr>
            <w:rStyle w:val="Hyperlink"/>
            <w:rtl/>
          </w:rPr>
          <w:t>בי' הנשמ"א בזבחים דבכוונה להצמיח חייב מיד כזורע בקרקע אף כשאין דרך זריעה בכך</w:t>
        </w:r>
      </w:hyperlink>
    </w:p>
    <w:p w14:paraId="5965C8DE"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97" w:history="1">
        <w:r w:rsidR="009623A2" w:rsidRPr="004323D5">
          <w:rPr>
            <w:rStyle w:val="Hyperlink"/>
            <w:rtl/>
          </w:rPr>
          <w:t>בי' הנשמ"א דהקו' בזבחים דאי נותן למים חייב מיד אמאי נקט פשתן ותי' דפשתן חייב אף בלש</w:t>
        </w:r>
      </w:hyperlink>
    </w:p>
    <w:p w14:paraId="30D7CAC2"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98" w:history="1">
        <w:r w:rsidR="009623A2" w:rsidRPr="004323D5">
          <w:rPr>
            <w:rStyle w:val="Hyperlink"/>
            <w:rtl/>
          </w:rPr>
          <w:t>בי' הנשמ"א דעיקר חידוש הגמ' בזבחים דלש בפשתן פס"ר וחייב אף דלא כיוון להצמיח וללוש</w:t>
        </w:r>
      </w:hyperlink>
    </w:p>
    <w:p w14:paraId="618A53B5"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699" w:history="1">
        <w:r w:rsidR="009623A2" w:rsidRPr="004323D5">
          <w:rPr>
            <w:rStyle w:val="Hyperlink"/>
            <w:rtl/>
          </w:rPr>
          <w:t>בי' המשנ"א דע"מ להצמיח חייב מיד משום זורע ואסור לתת לעכו"ם להשרות אף סמוך לחשיכה</w:t>
        </w:r>
      </w:hyperlink>
    </w:p>
    <w:p w14:paraId="12BA41CA" w14:textId="77777777" w:rsidR="009623A2" w:rsidRDefault="00AD16A0" w:rsidP="009623A2">
      <w:pPr>
        <w:pStyle w:val="TOC2"/>
        <w:rPr>
          <w:rFonts w:cstheme="minorBidi"/>
          <w:b w:val="0"/>
          <w:bCs w:val="0"/>
          <w:sz w:val="22"/>
          <w:szCs w:val="22"/>
          <w:rtl/>
        </w:rPr>
      </w:pPr>
      <w:hyperlink w:anchor="_Toc134419700" w:history="1">
        <w:r w:rsidR="009623A2" w:rsidRPr="004323D5">
          <w:rPr>
            <w:rStyle w:val="Hyperlink"/>
            <w:rtl/>
          </w:rPr>
          <w:t>בי' המנחת חינוך דשורה ל"ד לזורע וחייב מדין תולדה דהצמחה</w:t>
        </w:r>
      </w:hyperlink>
    </w:p>
    <w:p w14:paraId="0E7A9F9A"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701" w:history="1">
        <w:r w:rsidR="009623A2" w:rsidRPr="004323D5">
          <w:rPr>
            <w:rStyle w:val="Hyperlink"/>
            <w:rtl/>
          </w:rPr>
          <w:t>בי' המנ"ח דזורע חייב מיד בלא השרשה וההשרשה עצמה וכן הצמחה הם תולדות זורע</w:t>
        </w:r>
      </w:hyperlink>
    </w:p>
    <w:p w14:paraId="114999C9"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702" w:history="1">
        <w:r w:rsidR="009623A2" w:rsidRPr="004323D5">
          <w:rPr>
            <w:rStyle w:val="Hyperlink"/>
            <w:rtl/>
          </w:rPr>
          <w:t>בי' המנ"ח דשריה במים אינה זריעה עצמה דל"ד לזורע אלא הוי הצמחה דהיא תולדת זורע</w:t>
        </w:r>
      </w:hyperlink>
    </w:p>
    <w:p w14:paraId="4F9D6865"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703" w:history="1">
        <w:r w:rsidR="009623A2" w:rsidRPr="004323D5">
          <w:rPr>
            <w:rStyle w:val="Hyperlink"/>
            <w:rtl/>
          </w:rPr>
          <w:t>בי' המנ"ח דשורה חייב רק משום הצמחה ולכן חיובו בהצמחה עצמה כאופה דחייב באפיה</w:t>
        </w:r>
      </w:hyperlink>
    </w:p>
    <w:p w14:paraId="64BAC341"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704" w:history="1">
        <w:r w:rsidR="009623A2" w:rsidRPr="004323D5">
          <w:rPr>
            <w:rStyle w:val="Hyperlink"/>
            <w:rtl/>
          </w:rPr>
          <w:t>בי' המנ"ח בזבחים דבלש חייב מיד ובהצמחה לאח"ז אך יל"ע בזה דאפש"ל דהצמחה ל"ה זורע</w:t>
        </w:r>
      </w:hyperlink>
    </w:p>
    <w:p w14:paraId="6BE18946" w14:textId="77777777" w:rsidR="009623A2" w:rsidRDefault="00AD16A0" w:rsidP="009623A2">
      <w:pPr>
        <w:pStyle w:val="TOC2"/>
        <w:rPr>
          <w:rFonts w:cstheme="minorBidi"/>
          <w:b w:val="0"/>
          <w:bCs w:val="0"/>
          <w:sz w:val="22"/>
          <w:szCs w:val="22"/>
          <w:rtl/>
        </w:rPr>
      </w:pPr>
      <w:hyperlink w:anchor="_Toc134419705" w:history="1">
        <w:r w:rsidR="009623A2" w:rsidRPr="004323D5">
          <w:rPr>
            <w:rStyle w:val="Hyperlink"/>
            <w:rtl/>
          </w:rPr>
          <w:t>בי' המשנ"ב דאף למג"א בשורה לזמן מתחייב מיד בשעת נתינה</w:t>
        </w:r>
      </w:hyperlink>
    </w:p>
    <w:p w14:paraId="465C3B84"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706" w:history="1">
        <w:r w:rsidR="009623A2" w:rsidRPr="004323D5">
          <w:rPr>
            <w:rStyle w:val="Hyperlink"/>
            <w:rtl/>
          </w:rPr>
          <w:t>בי' המשנ"ב דאף למג"א השורה בכוונה לחצי יום חייב מיד דיתכן שיצמחו קצת בחצי יום</w:t>
        </w:r>
      </w:hyperlink>
    </w:p>
    <w:p w14:paraId="5B63FECF"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707" w:history="1">
        <w:r w:rsidR="009623A2" w:rsidRPr="004323D5">
          <w:rPr>
            <w:rStyle w:val="Hyperlink"/>
            <w:rtl/>
          </w:rPr>
          <w:t>בי' השביתת השבת דלמנ"ח שורה חייב רק בהצמחה ואף מניח ע"מ לשרות חייב רק בהצמחה</w:t>
        </w:r>
      </w:hyperlink>
    </w:p>
    <w:p w14:paraId="26332C75" w14:textId="77777777" w:rsidR="009623A2" w:rsidRDefault="00AD16A0" w:rsidP="009623A2">
      <w:pPr>
        <w:pStyle w:val="TOC2"/>
        <w:rPr>
          <w:rFonts w:cstheme="minorBidi"/>
          <w:b w:val="0"/>
          <w:bCs w:val="0"/>
          <w:sz w:val="22"/>
          <w:szCs w:val="22"/>
          <w:rtl/>
        </w:rPr>
      </w:pPr>
      <w:hyperlink w:anchor="_Toc134419708" w:history="1">
        <w:r w:rsidR="009623A2" w:rsidRPr="004323D5">
          <w:rPr>
            <w:rStyle w:val="Hyperlink"/>
            <w:rtl/>
          </w:rPr>
          <w:t>בי' המשנ"ב דבנותן שלא ע"מ לזרוע וצמח התחייב למפרע</w:t>
        </w:r>
      </w:hyperlink>
    </w:p>
    <w:p w14:paraId="143D5581"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709" w:history="1">
        <w:r w:rsidR="009623A2" w:rsidRPr="004323D5">
          <w:rPr>
            <w:rStyle w:val="Hyperlink"/>
            <w:rtl/>
          </w:rPr>
          <w:t>בי' היראים דמותר לזרוק זרעים לתרנגולים במקום לח רק בשיעור שיאכלום ביום או יומיים</w:t>
        </w:r>
      </w:hyperlink>
    </w:p>
    <w:p w14:paraId="1005F6E7"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710" w:history="1">
        <w:r w:rsidR="009623A2" w:rsidRPr="004323D5">
          <w:rPr>
            <w:rStyle w:val="Hyperlink"/>
            <w:rtl/>
          </w:rPr>
          <w:t>קו' התוספת השבת דבמשליך זרעים לזמן ארוך מותר דלא מכוון לזריעה וכ' דאולי הוא חומרא</w:t>
        </w:r>
      </w:hyperlink>
    </w:p>
    <w:p w14:paraId="4FDDC8DE"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711" w:history="1">
        <w:r w:rsidR="009623A2" w:rsidRPr="004323D5">
          <w:rPr>
            <w:rStyle w:val="Hyperlink"/>
            <w:rtl/>
          </w:rPr>
          <w:t>בי' המשנ"ב דביום או יומיים הזרעים לא יצמחו אבל בג' ימים צומחים וחייב למפרע בזורע</w:t>
        </w:r>
      </w:hyperlink>
    </w:p>
    <w:p w14:paraId="0A6FDB65" w14:textId="77777777" w:rsidR="009623A2" w:rsidRDefault="00AD16A0" w:rsidP="009623A2">
      <w:pPr>
        <w:pStyle w:val="TOC1"/>
        <w:rPr>
          <w:rFonts w:asciiTheme="minorHAnsi" w:hAnsiTheme="minorHAnsi" w:cstheme="minorBidi"/>
          <w:b w:val="0"/>
          <w:bCs w:val="0"/>
          <w:caps w:val="0"/>
          <w:sz w:val="22"/>
          <w:szCs w:val="22"/>
          <w:rtl/>
        </w:rPr>
      </w:pPr>
      <w:hyperlink w:anchor="_Toc134419712" w:history="1">
        <w:r w:rsidR="009623A2" w:rsidRPr="004323D5">
          <w:rPr>
            <w:rStyle w:val="Hyperlink"/>
            <w:rtl/>
          </w:rPr>
          <w:t>בדין זורע בעציץ שאינו נקוב</w:t>
        </w:r>
      </w:hyperlink>
    </w:p>
    <w:p w14:paraId="00407701" w14:textId="77777777" w:rsidR="009623A2" w:rsidRDefault="00AD16A0" w:rsidP="009623A2">
      <w:pPr>
        <w:pStyle w:val="TOC2"/>
        <w:rPr>
          <w:rFonts w:cstheme="minorBidi"/>
          <w:b w:val="0"/>
          <w:bCs w:val="0"/>
          <w:sz w:val="22"/>
          <w:szCs w:val="22"/>
          <w:rtl/>
        </w:rPr>
      </w:pPr>
      <w:hyperlink w:anchor="_Toc134419713" w:history="1">
        <w:r w:rsidR="009623A2" w:rsidRPr="004323D5">
          <w:rPr>
            <w:rStyle w:val="Hyperlink"/>
            <w:rtl/>
          </w:rPr>
          <w:t>בי' המגן אבות דבפשטות הזורע בעציץ שאינו נקוב פטור כתולש</w:t>
        </w:r>
      </w:hyperlink>
    </w:p>
    <w:p w14:paraId="44221583"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714" w:history="1">
        <w:r w:rsidR="009623A2" w:rsidRPr="004323D5">
          <w:rPr>
            <w:rStyle w:val="Hyperlink"/>
            <w:rtl/>
          </w:rPr>
          <w:t>בי' המגן אבות דהיה אפש"ל דאף דתולש מעציץ שאינו נקוב פטור הזורע חייב אך לא נראה כן</w:t>
        </w:r>
      </w:hyperlink>
    </w:p>
    <w:p w14:paraId="6AA02C9D" w14:textId="77777777" w:rsidR="009623A2" w:rsidRDefault="00AD16A0" w:rsidP="009623A2">
      <w:pPr>
        <w:pStyle w:val="TOC2"/>
        <w:rPr>
          <w:rFonts w:cstheme="minorBidi"/>
          <w:b w:val="0"/>
          <w:bCs w:val="0"/>
          <w:sz w:val="22"/>
          <w:szCs w:val="22"/>
          <w:rtl/>
        </w:rPr>
      </w:pPr>
      <w:hyperlink w:anchor="_Toc134419715" w:history="1">
        <w:r w:rsidR="009623A2" w:rsidRPr="004323D5">
          <w:rPr>
            <w:rStyle w:val="Hyperlink"/>
            <w:rtl/>
          </w:rPr>
          <w:t>בי' הנשמ"א דלרמב"ם זורע בעציץ שאינו נקוב להצמיח חייב</w:t>
        </w:r>
      </w:hyperlink>
    </w:p>
    <w:p w14:paraId="1DDC6C16"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716" w:history="1">
        <w:r w:rsidR="009623A2" w:rsidRPr="004323D5">
          <w:rPr>
            <w:rStyle w:val="Hyperlink"/>
            <w:rtl/>
          </w:rPr>
          <w:t>בי' הנשמ"א דהא דהתולש מעציץ שאינו נקוב פטור הוא כיון דאין דרך לגדל כך ול"ה מחובה</w:t>
        </w:r>
      </w:hyperlink>
    </w:p>
    <w:p w14:paraId="2C2B54CC"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717" w:history="1">
        <w:r w:rsidR="009623A2" w:rsidRPr="004323D5">
          <w:rPr>
            <w:rStyle w:val="Hyperlink"/>
            <w:rtl/>
          </w:rPr>
          <w:t>בי' הנשמ"א דמסתבר דזורע בעציץ שאינו נקוב חייב דכוונתו להצמיח ודמי לשורה חיטין במים</w:t>
        </w:r>
      </w:hyperlink>
    </w:p>
    <w:p w14:paraId="1560D08E"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718" w:history="1">
        <w:r w:rsidR="009623A2" w:rsidRPr="004323D5">
          <w:rPr>
            <w:rStyle w:val="Hyperlink"/>
            <w:rtl/>
          </w:rPr>
          <w:t>דחיית המנ"ח דאין הכרח בדברי רש"י לקמן לחלק בעציץ שאינו נקוב בין תולש לבין זורע</w:t>
        </w:r>
      </w:hyperlink>
    </w:p>
    <w:p w14:paraId="3E2DA523" w14:textId="77777777" w:rsidR="009623A2" w:rsidRDefault="00AD16A0" w:rsidP="009623A2">
      <w:pPr>
        <w:pStyle w:val="TOC1"/>
        <w:rPr>
          <w:rFonts w:asciiTheme="minorHAnsi" w:hAnsiTheme="minorHAnsi" w:cstheme="minorBidi"/>
          <w:b w:val="0"/>
          <w:bCs w:val="0"/>
          <w:caps w:val="0"/>
          <w:sz w:val="22"/>
          <w:szCs w:val="22"/>
          <w:rtl/>
        </w:rPr>
      </w:pPr>
      <w:hyperlink w:anchor="_Toc134419719" w:history="1">
        <w:r w:rsidR="009623A2" w:rsidRPr="004323D5">
          <w:rPr>
            <w:rStyle w:val="Hyperlink"/>
            <w:rtl/>
          </w:rPr>
          <w:t>~~~~~~~~~~~~~~~~~~~~~~~~~~~~</w:t>
        </w:r>
      </w:hyperlink>
    </w:p>
    <w:p w14:paraId="7825097A" w14:textId="77777777" w:rsidR="009623A2" w:rsidRDefault="00AD16A0" w:rsidP="009623A2">
      <w:pPr>
        <w:pStyle w:val="TOC1"/>
        <w:rPr>
          <w:rFonts w:asciiTheme="minorHAnsi" w:hAnsiTheme="minorHAnsi" w:cstheme="minorBidi"/>
          <w:b w:val="0"/>
          <w:bCs w:val="0"/>
          <w:caps w:val="0"/>
          <w:sz w:val="22"/>
          <w:szCs w:val="22"/>
          <w:rtl/>
        </w:rPr>
      </w:pPr>
      <w:hyperlink w:anchor="_Toc134419720" w:history="1">
        <w:r w:rsidR="009623A2" w:rsidRPr="004323D5">
          <w:rPr>
            <w:rStyle w:val="Hyperlink"/>
            <w:rtl/>
          </w:rPr>
          <w:t>אי זורע גרעין של אילן הוי נוטע או זורע</w:t>
        </w:r>
      </w:hyperlink>
    </w:p>
    <w:p w14:paraId="3FE97E63" w14:textId="77777777" w:rsidR="009623A2" w:rsidRDefault="00AD16A0" w:rsidP="009623A2">
      <w:pPr>
        <w:pStyle w:val="TOC2"/>
        <w:rPr>
          <w:rFonts w:cstheme="minorBidi"/>
          <w:b w:val="0"/>
          <w:bCs w:val="0"/>
          <w:sz w:val="22"/>
          <w:szCs w:val="22"/>
          <w:rtl/>
        </w:rPr>
      </w:pPr>
      <w:hyperlink w:anchor="_Toc134419721" w:history="1">
        <w:r w:rsidR="009623A2" w:rsidRPr="004323D5">
          <w:rPr>
            <w:rStyle w:val="Hyperlink"/>
            <w:rtl/>
          </w:rPr>
          <w:t>פלו' המנ"ח והחזו"א אי זריעת גרעין אילן הוי כזורע זרע</w:t>
        </w:r>
      </w:hyperlink>
    </w:p>
    <w:p w14:paraId="7BA2798C"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722" w:history="1">
        <w:r w:rsidR="009623A2" w:rsidRPr="004323D5">
          <w:rPr>
            <w:rStyle w:val="Hyperlink"/>
            <w:rtl/>
          </w:rPr>
          <w:t>בי' המנ"ח ברמב"ם דנוטע ומבריך ומרכיב וזומר בשבת הוי דאו' ובשביעית הם תולדות דרבנן</w:t>
        </w:r>
      </w:hyperlink>
    </w:p>
    <w:p w14:paraId="231DEB0B"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723" w:history="1">
        <w:r w:rsidR="009623A2" w:rsidRPr="004323D5">
          <w:rPr>
            <w:rStyle w:val="Hyperlink"/>
            <w:rtl/>
          </w:rPr>
          <w:t>בי' המנ"ח דאף דבשביעית נוטע פטור מ"מ הזורע גרעין אילן אסור בשביעית אף דבכלאים מותר</w:t>
        </w:r>
      </w:hyperlink>
    </w:p>
    <w:p w14:paraId="4DCED026"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724" w:history="1">
        <w:r w:rsidR="009623A2" w:rsidRPr="004323D5">
          <w:rPr>
            <w:rStyle w:val="Hyperlink"/>
            <w:rtl/>
          </w:rPr>
          <w:t>בי' המנ"ח דבשביעית כתי' "שדך לא תזרע" ולא מפורש דהוא רק בזרעים ולא בזריעת אילנות</w:t>
        </w:r>
      </w:hyperlink>
    </w:p>
    <w:p w14:paraId="121422C4"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725" w:history="1">
        <w:r w:rsidR="009623A2" w:rsidRPr="004323D5">
          <w:rPr>
            <w:rStyle w:val="Hyperlink"/>
            <w:rtl/>
          </w:rPr>
          <w:t>בי' החזו"א דמוכח בגיטין דנוטע אסור ואפש"ל דאסור מק"ו ואין לוקין עליו וה"ה בגרעין אילן</w:t>
        </w:r>
      </w:hyperlink>
    </w:p>
    <w:p w14:paraId="29866E54" w14:textId="77777777" w:rsidR="009623A2" w:rsidRDefault="00AD16A0" w:rsidP="009623A2">
      <w:pPr>
        <w:pStyle w:val="TOC1"/>
        <w:rPr>
          <w:rFonts w:asciiTheme="minorHAnsi" w:hAnsiTheme="minorHAnsi" w:cstheme="minorBidi"/>
          <w:b w:val="0"/>
          <w:bCs w:val="0"/>
          <w:caps w:val="0"/>
          <w:sz w:val="22"/>
          <w:szCs w:val="22"/>
          <w:rtl/>
        </w:rPr>
      </w:pPr>
      <w:hyperlink w:anchor="_Toc134419726" w:history="1">
        <w:r w:rsidR="009623A2" w:rsidRPr="004323D5">
          <w:rPr>
            <w:rStyle w:val="Hyperlink"/>
            <w:rtl/>
          </w:rPr>
          <w:t>~~~~~~~ ביאורי ראשי הישיבות ~~~~~~~</w:t>
        </w:r>
      </w:hyperlink>
    </w:p>
    <w:p w14:paraId="25435E0A" w14:textId="77777777" w:rsidR="009623A2" w:rsidRDefault="00AD16A0" w:rsidP="009623A2">
      <w:pPr>
        <w:pStyle w:val="TOC1"/>
        <w:rPr>
          <w:rFonts w:asciiTheme="minorHAnsi" w:hAnsiTheme="minorHAnsi" w:cstheme="minorBidi"/>
          <w:b w:val="0"/>
          <w:bCs w:val="0"/>
          <w:caps w:val="0"/>
          <w:sz w:val="22"/>
          <w:szCs w:val="22"/>
          <w:rtl/>
        </w:rPr>
      </w:pPr>
      <w:hyperlink w:anchor="_Toc134419727" w:history="1">
        <w:r w:rsidR="009623A2" w:rsidRPr="004323D5">
          <w:rPr>
            <w:rStyle w:val="Hyperlink"/>
            <w:rtl/>
          </w:rPr>
          <w:t>בזורע בשבת דמצמיח לשביעית דבקרקע</w:t>
        </w:r>
      </w:hyperlink>
    </w:p>
    <w:p w14:paraId="247B7116" w14:textId="77777777" w:rsidR="009623A2" w:rsidRDefault="00AD16A0" w:rsidP="009623A2">
      <w:pPr>
        <w:pStyle w:val="TOC2"/>
        <w:rPr>
          <w:rFonts w:cstheme="minorBidi"/>
          <w:b w:val="0"/>
          <w:bCs w:val="0"/>
          <w:sz w:val="22"/>
          <w:szCs w:val="22"/>
          <w:rtl/>
        </w:rPr>
      </w:pPr>
      <w:hyperlink w:anchor="_Toc134419728" w:history="1">
        <w:r w:rsidR="009623A2" w:rsidRPr="004323D5">
          <w:rPr>
            <w:rStyle w:val="Hyperlink"/>
            <w:rtl/>
          </w:rPr>
          <w:t>בי' הקה"י דבשבת האיסור להצמיח ובשביעית אילן ל"ה כקרקע</w:t>
        </w:r>
      </w:hyperlink>
    </w:p>
    <w:p w14:paraId="2EAE2F76"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729" w:history="1">
        <w:r w:rsidR="009623A2" w:rsidRPr="004323D5">
          <w:rPr>
            <w:rStyle w:val="Hyperlink"/>
            <w:rtl/>
          </w:rPr>
          <w:t>בי' הקה"י ברש"י דמסברא זומר תולדה ולא אב דזריעה היא נתינת דבר בקרקע וזמירה להיפך</w:t>
        </w:r>
      </w:hyperlink>
    </w:p>
    <w:p w14:paraId="6B5F8CDE"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730" w:history="1">
        <w:r w:rsidR="009623A2" w:rsidRPr="004323D5">
          <w:rPr>
            <w:rStyle w:val="Hyperlink"/>
            <w:rtl/>
          </w:rPr>
          <w:t>קו' הקה"י על האגל"ט דאף דבשביעית א"צ מלאכת מחשבת מ"מ משקה תולדה ומ"ש זומר</w:t>
        </w:r>
      </w:hyperlink>
    </w:p>
    <w:p w14:paraId="4BAC1A08"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731" w:history="1">
        <w:r w:rsidR="009623A2" w:rsidRPr="004323D5">
          <w:rPr>
            <w:rStyle w:val="Hyperlink"/>
            <w:rtl/>
          </w:rPr>
          <w:t>בי' הקה"י דצריך לדחוק באגל"ט דזמירה דמי קצת לקוצר וכיון דכוונתו להצמיח הוי תולדה</w:t>
        </w:r>
      </w:hyperlink>
    </w:p>
    <w:p w14:paraId="246F88A3"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732" w:history="1">
        <w:r w:rsidR="009623A2" w:rsidRPr="004323D5">
          <w:rPr>
            <w:rStyle w:val="Hyperlink"/>
            <w:rtl/>
          </w:rPr>
          <w:t>בי' הקה"י דבזורע בשבת האיסור בכל הצמחה אף שאינה בקרקע כדמוכח בשורה חיטין במים</w:t>
        </w:r>
      </w:hyperlink>
    </w:p>
    <w:p w14:paraId="65D9A5FC"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733" w:history="1">
        <w:r w:rsidR="009623A2" w:rsidRPr="004323D5">
          <w:rPr>
            <w:rStyle w:val="Hyperlink"/>
            <w:rtl/>
          </w:rPr>
          <w:t>בי' הקה"י דבשביעית האיסור רק בשביתת קרקע ולא בשורה במים וזומר דבאילן מותר</w:t>
        </w:r>
      </w:hyperlink>
    </w:p>
    <w:p w14:paraId="69C1AD67"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734" w:history="1">
        <w:r w:rsidR="009623A2" w:rsidRPr="004323D5">
          <w:rPr>
            <w:rStyle w:val="Hyperlink"/>
            <w:rtl/>
          </w:rPr>
          <w:t>בי' הקה"י דבוצר מותר בשביעית מדאו' דהוא באילן ולא בקרקע ול"ד לקוצר דהוא בקרקע</w:t>
        </w:r>
      </w:hyperlink>
    </w:p>
    <w:p w14:paraId="46264819" w14:textId="77777777" w:rsidR="009623A2" w:rsidRDefault="00AD16A0" w:rsidP="00ED704E">
      <w:pPr>
        <w:pStyle w:val="TOC3"/>
        <w:numPr>
          <w:ilvl w:val="0"/>
          <w:numId w:val="5"/>
        </w:numPr>
        <w:rPr>
          <w:rFonts w:asciiTheme="minorHAnsi" w:eastAsiaTheme="minorEastAsia" w:hAnsiTheme="minorHAnsi" w:cstheme="minorBidi"/>
          <w:sz w:val="22"/>
          <w:szCs w:val="22"/>
          <w:rtl/>
        </w:rPr>
      </w:pPr>
      <w:hyperlink w:anchor="_Toc134419735" w:history="1">
        <w:r w:rsidR="009623A2" w:rsidRPr="004323D5">
          <w:rPr>
            <w:rStyle w:val="Hyperlink"/>
            <w:rtl/>
          </w:rPr>
          <w:t>מסקנת הקה"י ד</w:t>
        </w:r>
        <w:r w:rsidR="009623A2" w:rsidRPr="004323D5">
          <w:rPr>
            <w:rStyle w:val="Hyperlink"/>
            <w:rtl/>
          </w:rPr>
          <w:t>י</w:t>
        </w:r>
        <w:r w:rsidR="009623A2" w:rsidRPr="004323D5">
          <w:rPr>
            <w:rStyle w:val="Hyperlink"/>
            <w:rtl/>
          </w:rPr>
          <w:t>ל"ע אי בשביעית יש חילוק בין מלאכה בקרקע עצמה לבין מלאכה באילן</w:t>
        </w:r>
      </w:hyperlink>
    </w:p>
    <w:p w14:paraId="45A8AE57" w14:textId="77777777" w:rsidR="009623A2" w:rsidRDefault="009623A2" w:rsidP="009623A2">
      <w:pPr>
        <w:keepNext/>
        <w:keepLines/>
        <w:spacing w:after="0" w:line="240" w:lineRule="auto"/>
        <w:jc w:val="center"/>
        <w:outlineLvl w:val="1"/>
        <w:rPr>
          <w:rFonts w:eastAsiaTheme="minorHAnsi" w:cs="Guttman Hodes"/>
          <w:b/>
          <w:bCs/>
          <w:noProof/>
          <w:sz w:val="14"/>
          <w:szCs w:val="14"/>
          <w:rtl/>
        </w:rPr>
        <w:sectPr w:rsidR="009623A2" w:rsidSect="006479D7">
          <w:headerReference w:type="even" r:id="rId28"/>
          <w:footerReference w:type="even" r:id="rId29"/>
          <w:footerReference w:type="default" r:id="rId30"/>
          <w:headerReference w:type="first" r:id="rId31"/>
          <w:footerReference w:type="first" r:id="rId32"/>
          <w:type w:val="continuous"/>
          <w:pgSz w:w="11906" w:h="16838"/>
          <w:pgMar w:top="720" w:right="720" w:bottom="720" w:left="720" w:header="283" w:footer="283" w:gutter="0"/>
          <w:cols w:num="2" w:space="113"/>
          <w:titlePg/>
          <w:bidi/>
          <w:rtlGutter/>
          <w:docGrid w:linePitch="299"/>
        </w:sectPr>
      </w:pPr>
      <w:r w:rsidRPr="00224A5A">
        <w:rPr>
          <w:rFonts w:eastAsiaTheme="minorHAnsi" w:cs="Guttman Hodes"/>
          <w:b/>
          <w:bCs/>
          <w:noProof/>
          <w:sz w:val="14"/>
          <w:szCs w:val="14"/>
          <w:rtl/>
        </w:rPr>
        <w:fldChar w:fldCharType="end"/>
      </w:r>
    </w:p>
    <w:p w14:paraId="73350F7A" w14:textId="77777777" w:rsidR="009623A2" w:rsidRPr="00224A5A" w:rsidRDefault="009623A2" w:rsidP="009623A2">
      <w:pPr>
        <w:keepNext/>
        <w:keepLines/>
        <w:spacing w:after="0" w:line="240" w:lineRule="auto"/>
        <w:jc w:val="center"/>
        <w:outlineLvl w:val="1"/>
        <w:rPr>
          <w:rFonts w:ascii="FrankRuehl" w:eastAsia="Guttman Adii-Light" w:hAnsi="FrankRuehl" w:cs="Guttman Hodes"/>
          <w:b/>
          <w:bCs/>
          <w:noProof/>
          <w:sz w:val="24"/>
          <w:szCs w:val="24"/>
          <w:rtl/>
        </w:rPr>
        <w:sectPr w:rsidR="009623A2" w:rsidRPr="00224A5A" w:rsidSect="006479D7">
          <w:type w:val="continuous"/>
          <w:pgSz w:w="11906" w:h="16838"/>
          <w:pgMar w:top="720" w:right="720" w:bottom="720" w:left="720" w:header="283" w:footer="283" w:gutter="0"/>
          <w:cols w:num="2" w:space="113"/>
          <w:titlePg/>
          <w:bidi/>
          <w:rtlGutter/>
          <w:docGrid w:linePitch="299"/>
        </w:sectPr>
      </w:pPr>
    </w:p>
    <w:p w14:paraId="559FAD49" w14:textId="77777777" w:rsidR="009623A2" w:rsidRPr="00224A5A" w:rsidRDefault="009623A2" w:rsidP="009623A2">
      <w:pPr>
        <w:spacing w:before="240" w:after="0" w:line="360" w:lineRule="auto"/>
        <w:jc w:val="center"/>
        <w:outlineLvl w:val="1"/>
        <w:rPr>
          <w:rFonts w:ascii="Guttman Adii-Light" w:eastAsia="Guttman Adii-Light" w:hAnsi="Guttman Adii-Light" w:cs="Guttman Hodes"/>
          <w:b/>
          <w:bCs/>
          <w:sz w:val="18"/>
          <w:szCs w:val="28"/>
          <w:rtl/>
        </w:rPr>
        <w:sectPr w:rsidR="009623A2" w:rsidRPr="00224A5A" w:rsidSect="00C83122">
          <w:pgSz w:w="11906" w:h="16838"/>
          <w:pgMar w:top="720" w:right="720" w:bottom="720" w:left="720" w:header="283" w:footer="283" w:gutter="0"/>
          <w:cols w:space="720"/>
          <w:bidi/>
          <w:rtlGutter/>
          <w:docGrid w:linePitch="299"/>
        </w:sectPr>
      </w:pPr>
      <w:r w:rsidRPr="00224A5A">
        <w:rPr>
          <w:rFonts w:ascii="Guttman Adii-Light" w:eastAsia="Guttman Adii-Light" w:hAnsi="Guttman Adii-Light" w:cs="Guttman Hodes" w:hint="cs"/>
          <w:b/>
          <w:bCs/>
          <w:sz w:val="18"/>
          <w:szCs w:val="28"/>
          <w:rtl/>
        </w:rPr>
        <w:lastRenderedPageBreak/>
        <w:t>~~~</w:t>
      </w:r>
      <w:r w:rsidRPr="00224A5A">
        <w:rPr>
          <w:rFonts w:ascii="Guttman Adii-Light" w:eastAsia="Guttman Adii-Light" w:hAnsi="Guttman Adii-Light" w:cs="Guttman Hodes"/>
          <w:b/>
          <w:bCs/>
          <w:noProof/>
          <w:sz w:val="18"/>
          <w:szCs w:val="28"/>
          <w:rtl/>
        </w:rPr>
        <w:t>~~</w:t>
      </w:r>
      <w:r w:rsidRPr="00224A5A">
        <w:rPr>
          <w:rFonts w:ascii="Guttman Adii-Light" w:eastAsia="Guttman Adii-Light" w:hAnsi="Guttman Adii-Light" w:cs="Guttman Hodes" w:hint="cs"/>
          <w:b/>
          <w:bCs/>
          <w:sz w:val="18"/>
          <w:szCs w:val="28"/>
          <w:rtl/>
        </w:rPr>
        <w:t>~~ מראי מקומות וביאורים ~~~</w:t>
      </w:r>
      <w:r w:rsidRPr="00224A5A">
        <w:rPr>
          <w:rFonts w:ascii="Guttman Adii-Light" w:eastAsia="Guttman Adii-Light" w:hAnsi="Guttman Adii-Light" w:cs="Guttman Hodes"/>
          <w:b/>
          <w:bCs/>
          <w:noProof/>
          <w:sz w:val="18"/>
          <w:szCs w:val="28"/>
          <w:rtl/>
        </w:rPr>
        <w:t>~~</w:t>
      </w:r>
      <w:r w:rsidRPr="00224A5A">
        <w:rPr>
          <w:rFonts w:ascii="Guttman Adii-Light" w:eastAsia="Guttman Adii-Light" w:hAnsi="Guttman Adii-Light" w:cs="Guttman Hodes" w:hint="cs"/>
          <w:b/>
          <w:bCs/>
          <w:sz w:val="18"/>
          <w:szCs w:val="28"/>
          <w:rtl/>
        </w:rPr>
        <w:t>~~</w:t>
      </w:r>
    </w:p>
    <w:p w14:paraId="69C7ADFF" w14:textId="77777777" w:rsidR="009623A2" w:rsidRDefault="009623A2" w:rsidP="009623A2">
      <w:pPr>
        <w:pStyle w:val="affff5"/>
        <w:rPr>
          <w:rtl/>
        </w:rPr>
      </w:pPr>
      <w:bookmarkStart w:id="71" w:name="_Toc134419559"/>
      <w:r>
        <w:rPr>
          <w:rFonts w:hint="cs"/>
          <w:rtl/>
        </w:rPr>
        <w:t>בי' רש"י דנוטע וכו' אבות וזומר תולדה</w:t>
      </w:r>
      <w:bookmarkEnd w:id="71"/>
    </w:p>
    <w:p w14:paraId="2C6AFFBB" w14:textId="77777777" w:rsidR="009623A2" w:rsidRPr="00224A5A" w:rsidRDefault="009623A2" w:rsidP="009623A2">
      <w:pPr>
        <w:pStyle w:val="1"/>
        <w:rPr>
          <w:rtl/>
        </w:rPr>
      </w:pPr>
      <w:bookmarkStart w:id="72" w:name="_Toc134419560"/>
      <w:r w:rsidRPr="00224A5A">
        <w:rPr>
          <w:rFonts w:hint="cs"/>
          <w:rtl/>
        </w:rPr>
        <w:t xml:space="preserve">בי' </w:t>
      </w:r>
      <w:r>
        <w:rPr>
          <w:rFonts w:hint="cs"/>
          <w:rtl/>
        </w:rPr>
        <w:t>רש"י דכל המלאכות דנוטע וכו' אבות אך זומר היא תולדה</w:t>
      </w:r>
      <w:bookmarkEnd w:id="72"/>
    </w:p>
    <w:p w14:paraId="1FE17896" w14:textId="77777777" w:rsidR="009623A2" w:rsidRDefault="009623A2" w:rsidP="009623A2">
      <w:pPr>
        <w:pStyle w:val="afffff7"/>
        <w:rPr>
          <w:rtl/>
        </w:rPr>
      </w:pPr>
      <w:bookmarkStart w:id="73" w:name="_Toc133841620"/>
      <w:bookmarkStart w:id="74" w:name="_Toc163505368"/>
      <w:r>
        <w:rPr>
          <w:rtl/>
        </w:rPr>
        <w:t>רש"י שבת ע"ג ע"ב</w:t>
      </w:r>
      <w:r>
        <w:rPr>
          <w:rFonts w:hint="cs"/>
          <w:rtl/>
        </w:rPr>
        <w:t xml:space="preserve"> ד"ה כולן</w:t>
      </w:r>
      <w:bookmarkEnd w:id="73"/>
      <w:bookmarkEnd w:id="74"/>
    </w:p>
    <w:p w14:paraId="27DBC931" w14:textId="77777777" w:rsidR="009623A2" w:rsidRDefault="009623A2" w:rsidP="009623A2">
      <w:pPr>
        <w:pStyle w:val="a7"/>
        <w:rPr>
          <w:rtl/>
        </w:rPr>
      </w:pPr>
      <w:bookmarkStart w:id="75" w:name="_Toc134419561"/>
      <w:r>
        <w:rPr>
          <w:rFonts w:hint="cs"/>
          <w:rtl/>
        </w:rPr>
        <w:t>בי' רש"י דזומר בכלל זורע כיון דהזומר עושה כן בשביל להצמיח את האילן והוא תולדת נוטע</w:t>
      </w:r>
      <w:bookmarkEnd w:id="75"/>
    </w:p>
    <w:p w14:paraId="35C22735" w14:textId="5597C389" w:rsidR="009623A2" w:rsidRDefault="009623A2" w:rsidP="00BC7DC8">
      <w:pPr>
        <w:pStyle w:val="a3"/>
      </w:pPr>
      <w:bookmarkStart w:id="76" w:name="_Ref133481736"/>
      <w:bookmarkStart w:id="77" w:name="_Ref130205734"/>
      <w:r>
        <w:rPr>
          <w:rFonts w:hint="cs"/>
          <w:rtl/>
        </w:rPr>
        <w:t>בהא דתני בברייתא ד</w:t>
      </w:r>
      <w:r>
        <w:rPr>
          <w:rtl/>
        </w:rPr>
        <w:t>הזורע והזומר והנוטע והמבריך והמרכיב</w:t>
      </w:r>
      <w:r>
        <w:rPr>
          <w:rFonts w:hint="cs"/>
          <w:rtl/>
        </w:rPr>
        <w:t xml:space="preserve">, כולם הם מלאכה אחת, ביאר </w:t>
      </w:r>
      <w:r w:rsidRPr="00C444C9">
        <w:rPr>
          <w:rStyle w:val="aff4"/>
          <w:rFonts w:hint="cs"/>
          <w:vanish/>
          <w:rtl/>
        </w:rPr>
        <w:t xml:space="preserve">-&lt;. </w:t>
      </w:r>
      <w:r w:rsidRPr="00C444C9">
        <w:rPr>
          <w:rStyle w:val="aff4"/>
          <w:vanish/>
          <w:rtl/>
        </w:rPr>
        <w:fldChar w:fldCharType="begin"/>
      </w:r>
      <w:r w:rsidRPr="00C444C9">
        <w:rPr>
          <w:rStyle w:val="aff4"/>
          <w:vanish/>
          <w:rtl/>
        </w:rPr>
        <w:instrText xml:space="preserve"> </w:instrText>
      </w:r>
      <w:r w:rsidRPr="00C444C9">
        <w:rPr>
          <w:rStyle w:val="aff4"/>
          <w:rFonts w:hint="cs"/>
          <w:vanish/>
        </w:rPr>
        <w:instrText>REF</w:instrText>
      </w:r>
      <w:r w:rsidRPr="00C444C9">
        <w:rPr>
          <w:rStyle w:val="aff4"/>
          <w:rFonts w:hint="cs"/>
          <w:vanish/>
          <w:rtl/>
        </w:rPr>
        <w:instrText xml:space="preserve"> _</w:instrText>
      </w:r>
      <w:r w:rsidRPr="00C444C9">
        <w:rPr>
          <w:rStyle w:val="aff4"/>
          <w:rFonts w:hint="cs"/>
          <w:vanish/>
        </w:rPr>
        <w:instrText>Ref130205734 \r \h</w:instrText>
      </w:r>
      <w:r w:rsidRPr="00C444C9">
        <w:rPr>
          <w:rStyle w:val="aff4"/>
          <w:vanish/>
          <w:rtl/>
        </w:rPr>
        <w:instrText xml:space="preserve">  \* </w:instrText>
      </w:r>
      <w:r w:rsidRPr="00C444C9">
        <w:rPr>
          <w:rStyle w:val="aff4"/>
          <w:vanish/>
        </w:rPr>
        <w:instrText>MERGEFORMAT</w:instrText>
      </w:r>
      <w:r w:rsidRPr="00C444C9">
        <w:rPr>
          <w:rStyle w:val="aff4"/>
          <w:vanish/>
          <w:rtl/>
        </w:rPr>
        <w:instrText xml:space="preserve"> </w:instrText>
      </w:r>
      <w:r w:rsidRPr="00C444C9">
        <w:rPr>
          <w:rStyle w:val="aff4"/>
          <w:vanish/>
          <w:rtl/>
        </w:rPr>
      </w:r>
      <w:r w:rsidRPr="00C444C9">
        <w:rPr>
          <w:rStyle w:val="aff4"/>
          <w:vanish/>
          <w:rtl/>
        </w:rPr>
        <w:fldChar w:fldCharType="separate"/>
      </w:r>
      <w:r w:rsidR="00D82181">
        <w:rPr>
          <w:rStyle w:val="aff4"/>
          <w:vanish/>
          <w:cs/>
        </w:rPr>
        <w:t>‎</w:t>
      </w:r>
      <w:r w:rsidR="00D82181">
        <w:rPr>
          <w:rStyle w:val="aff4"/>
          <w:vanish/>
          <w:rtl/>
        </w:rPr>
        <w:t>א)</w:t>
      </w:r>
      <w:r w:rsidRPr="00C444C9">
        <w:rPr>
          <w:rStyle w:val="aff4"/>
          <w:vanish/>
          <w:rtl/>
        </w:rPr>
        <w:fldChar w:fldCharType="end"/>
      </w:r>
      <w:r w:rsidRPr="00C444C9">
        <w:rPr>
          <w:rStyle w:val="aff4"/>
          <w:rFonts w:hint="cs"/>
          <w:vanish/>
          <w:rtl/>
        </w:rPr>
        <w:t xml:space="preserve"> &gt;</w:t>
      </w:r>
      <w:r w:rsidRPr="004F32D2">
        <w:rPr>
          <w:rStyle w:val="aff4"/>
          <w:rFonts w:hint="cs"/>
          <w:rtl/>
        </w:rPr>
        <w:t>רש"י</w:t>
      </w:r>
      <w:r w:rsidRPr="00C444C9">
        <w:rPr>
          <w:rStyle w:val="aff4"/>
          <w:rFonts w:hint="cs"/>
          <w:vanish/>
          <w:rtl/>
        </w:rPr>
        <w:t>-</w:t>
      </w:r>
      <w:r>
        <w:rPr>
          <w:rFonts w:hint="cs"/>
          <w:rtl/>
        </w:rPr>
        <w:t xml:space="preserve"> </w:t>
      </w:r>
      <w:r w:rsidRPr="002A0D0C">
        <w:rPr>
          <w:rStyle w:val="af2"/>
          <w:rFonts w:eastAsia="Guttman Hodes" w:hint="cs"/>
          <w:rtl/>
        </w:rPr>
        <w:t>(ד"ה כולן)</w:t>
      </w:r>
      <w:r>
        <w:rPr>
          <w:rFonts w:hint="cs"/>
          <w:vanish/>
          <w:rtl/>
        </w:rPr>
        <w:t>=</w:t>
      </w:r>
      <w:r>
        <w:rPr>
          <w:rFonts w:hint="cs"/>
          <w:rtl/>
        </w:rPr>
        <w:t xml:space="preserve"> דהזומר עושה כן בכדי להצמיח את האילן, ולכן הוא בכלל זורע,</w:t>
      </w:r>
      <w:r w:rsidRPr="00CD5F1F">
        <w:rPr>
          <w:rFonts w:hint="cs"/>
          <w:rtl/>
        </w:rPr>
        <w:t xml:space="preserve"> </w:t>
      </w:r>
      <w:r>
        <w:rPr>
          <w:rFonts w:hint="cs"/>
          <w:rtl/>
        </w:rPr>
        <w:t xml:space="preserve">אך כתב </w:t>
      </w:r>
      <w:r w:rsidRPr="00C444C9">
        <w:rPr>
          <w:rStyle w:val="aff4"/>
          <w:rFonts w:hint="cs"/>
          <w:vanish/>
          <w:rtl/>
        </w:rPr>
        <w:t>-</w:t>
      </w:r>
      <w:r w:rsidRPr="004F32D2">
        <w:rPr>
          <w:rStyle w:val="aff4"/>
          <w:rFonts w:hint="cs"/>
          <w:rtl/>
        </w:rPr>
        <w:t>רש"י</w:t>
      </w:r>
      <w:r w:rsidRPr="00C444C9">
        <w:rPr>
          <w:rStyle w:val="aff4"/>
          <w:rFonts w:hint="cs"/>
          <w:vanish/>
          <w:rtl/>
        </w:rPr>
        <w:t>-</w:t>
      </w:r>
      <w:r>
        <w:rPr>
          <w:rFonts w:hint="cs"/>
          <w:rtl/>
        </w:rPr>
        <w:t xml:space="preserve"> דזומר הוא תולדה ואינו אב, וכ"כ </w:t>
      </w:r>
      <w:r w:rsidRPr="00C444C9">
        <w:rPr>
          <w:rStyle w:val="aff4"/>
          <w:rFonts w:hint="cs"/>
          <w:vanish/>
          <w:rtl/>
        </w:rPr>
        <w:t>-</w:t>
      </w:r>
      <w:r w:rsidRPr="004F32D2">
        <w:rPr>
          <w:rStyle w:val="aff4"/>
          <w:rFonts w:hint="cs"/>
          <w:rtl/>
        </w:rPr>
        <w:t>ה</w:t>
      </w:r>
      <w:r w:rsidRPr="00C444C9">
        <w:rPr>
          <w:rStyle w:val="aff4"/>
          <w:rFonts w:hint="cs"/>
          <w:vanish/>
          <w:rtl/>
        </w:rPr>
        <w:t>&lt; &gt;</w:t>
      </w:r>
      <w:r w:rsidRPr="004F32D2">
        <w:rPr>
          <w:rStyle w:val="aff4"/>
          <w:rFonts w:hint="cs"/>
          <w:rtl/>
        </w:rPr>
        <w:t>ר"ן על הרי"ף</w:t>
      </w:r>
      <w:r w:rsidRPr="00C444C9">
        <w:rPr>
          <w:rStyle w:val="aff4"/>
          <w:rFonts w:hint="cs"/>
          <w:vanish/>
          <w:rtl/>
        </w:rPr>
        <w:t>-</w:t>
      </w:r>
      <w:r>
        <w:rPr>
          <w:rFonts w:hint="cs"/>
          <w:rtl/>
        </w:rPr>
        <w:t xml:space="preserve"> </w:t>
      </w:r>
      <w:r w:rsidRPr="002A0D0C">
        <w:rPr>
          <w:rStyle w:val="af2"/>
          <w:rFonts w:eastAsia="Guttman Hodes" w:hint="cs"/>
          <w:rtl/>
        </w:rPr>
        <w:t>(לא: מדה"ר ד"ה תנא)</w:t>
      </w:r>
      <w:r w:rsidRPr="00EE2346">
        <w:rPr>
          <w:rFonts w:hint="cs"/>
          <w:vanish/>
          <w:rtl/>
        </w:rPr>
        <w:t>=</w:t>
      </w:r>
      <w:r>
        <w:rPr>
          <w:rFonts w:hint="cs"/>
          <w:rtl/>
        </w:rPr>
        <w:t xml:space="preserve">, וכן </w:t>
      </w:r>
      <w:r w:rsidRPr="00F04987">
        <w:rPr>
          <w:rFonts w:hint="cs"/>
          <w:rtl/>
        </w:rPr>
        <w:t xml:space="preserve">בדברי רבי אמי דזומר </w:t>
      </w:r>
      <w:r>
        <w:rPr>
          <w:rFonts w:hint="cs"/>
          <w:rtl/>
        </w:rPr>
        <w:t>חייב משום</w:t>
      </w:r>
      <w:r w:rsidRPr="00F04987">
        <w:rPr>
          <w:rFonts w:hint="cs"/>
          <w:rtl/>
        </w:rPr>
        <w:t xml:space="preserve"> נוטע, ביאר </w:t>
      </w:r>
      <w:r w:rsidRPr="00C444C9">
        <w:rPr>
          <w:rStyle w:val="aff4"/>
          <w:rFonts w:hint="cs"/>
          <w:vanish/>
          <w:rtl/>
        </w:rPr>
        <w:t>-&lt; &gt;</w:t>
      </w:r>
      <w:r w:rsidRPr="004F32D2">
        <w:rPr>
          <w:rStyle w:val="aff4"/>
          <w:rFonts w:hint="cs"/>
          <w:rtl/>
        </w:rPr>
        <w:t>רש"י</w:t>
      </w:r>
      <w:r w:rsidRPr="00C444C9">
        <w:rPr>
          <w:rStyle w:val="aff4"/>
          <w:rFonts w:hint="cs"/>
          <w:vanish/>
          <w:rtl/>
        </w:rPr>
        <w:t>-</w:t>
      </w:r>
      <w:r w:rsidRPr="00F04987">
        <w:rPr>
          <w:rFonts w:hint="cs"/>
          <w:rtl/>
        </w:rPr>
        <w:t xml:space="preserve"> </w:t>
      </w:r>
      <w:r w:rsidRPr="002A0D0C">
        <w:rPr>
          <w:rStyle w:val="af2"/>
          <w:rFonts w:eastAsia="Guttman Hodes" w:hint="cs"/>
          <w:rtl/>
        </w:rPr>
        <w:t>(ד"ה זומר)</w:t>
      </w:r>
      <w:r w:rsidRPr="00EE2346">
        <w:rPr>
          <w:rFonts w:hint="cs"/>
          <w:vanish/>
          <w:rtl/>
        </w:rPr>
        <w:t>=</w:t>
      </w:r>
      <w:r>
        <w:rPr>
          <w:rFonts w:hint="cs"/>
          <w:rtl/>
        </w:rPr>
        <w:t xml:space="preserve"> דהזומר חייב משום תולדה של נוטע, כיון דהזומר עושה כן בשביל להצמיח</w:t>
      </w:r>
      <w:r w:rsidRPr="003A2328">
        <w:rPr>
          <w:rFonts w:hint="cs"/>
          <w:rtl/>
        </w:rPr>
        <w:t xml:space="preserve"> </w:t>
      </w:r>
      <w:r>
        <w:rPr>
          <w:rFonts w:hint="cs"/>
          <w:rtl/>
        </w:rPr>
        <w:t xml:space="preserve">את האילן, ועי' במה שביאר </w:t>
      </w:r>
      <w:r w:rsidRPr="00C444C9">
        <w:rPr>
          <w:rStyle w:val="aff4"/>
          <w:rFonts w:hint="cs"/>
          <w:vanish/>
          <w:rtl/>
        </w:rPr>
        <w:t>-</w:t>
      </w:r>
      <w:r w:rsidRPr="004F32D2">
        <w:rPr>
          <w:rStyle w:val="aff4"/>
          <w:rFonts w:hint="cs"/>
          <w:rtl/>
        </w:rPr>
        <w:t xml:space="preserve">בכתבי קה"י </w:t>
      </w:r>
      <w:r>
        <w:rPr>
          <w:rStyle w:val="aff4"/>
          <w:rFonts w:hint="cs"/>
          <w:rtl/>
        </w:rPr>
        <w:t>ב</w:t>
      </w:r>
      <w:r w:rsidRPr="004F32D2">
        <w:rPr>
          <w:rStyle w:val="aff4"/>
          <w:rFonts w:hint="cs"/>
          <w:rtl/>
        </w:rPr>
        <w:t>מועד</w:t>
      </w:r>
      <w:r w:rsidRPr="00C444C9">
        <w:rPr>
          <w:rStyle w:val="aff4"/>
          <w:rFonts w:hint="cs"/>
          <w:vanish/>
          <w:rtl/>
        </w:rPr>
        <w:t>-</w:t>
      </w:r>
      <w:r>
        <w:rPr>
          <w:rFonts w:hint="cs"/>
          <w:rtl/>
        </w:rPr>
        <w:t xml:space="preserve"> </w:t>
      </w:r>
      <w:r>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Ref133360954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קכה)</w:t>
      </w:r>
      <w:r>
        <w:rPr>
          <w:rStyle w:val="af2"/>
          <w:rFonts w:eastAsia="Guttman Hodes"/>
          <w:rtl/>
        </w:rPr>
        <w:fldChar w:fldCharType="end"/>
      </w:r>
      <w:r>
        <w:rPr>
          <w:rStyle w:val="af2"/>
          <w:rFonts w:eastAsia="Guttman Hodes" w:hint="cs"/>
          <w:rtl/>
        </w:rPr>
        <w:t xml:space="preserve"> </w:t>
      </w:r>
      <w:r>
        <w:rPr>
          <w:rFonts w:hint="cs"/>
          <w:rtl/>
        </w:rPr>
        <w:t xml:space="preserve">בדברי </w:t>
      </w:r>
      <w:r w:rsidRPr="00C444C9">
        <w:rPr>
          <w:rStyle w:val="aff4"/>
          <w:rFonts w:hint="cs"/>
          <w:vanish/>
          <w:rtl/>
        </w:rPr>
        <w:t>-</w:t>
      </w:r>
      <w:r w:rsidRPr="004F32D2">
        <w:rPr>
          <w:rStyle w:val="aff4"/>
          <w:rFonts w:hint="cs"/>
          <w:rtl/>
        </w:rPr>
        <w:t>רש"י</w:t>
      </w:r>
      <w:r w:rsidRPr="00C444C9">
        <w:rPr>
          <w:rStyle w:val="aff4"/>
          <w:rFonts w:hint="cs"/>
          <w:vanish/>
          <w:rtl/>
        </w:rPr>
        <w:t>-</w:t>
      </w:r>
      <w:r>
        <w:rPr>
          <w:rFonts w:hint="cs"/>
          <w:rtl/>
        </w:rPr>
        <w:t>.</w:t>
      </w:r>
      <w:bookmarkEnd w:id="76"/>
    </w:p>
    <w:p w14:paraId="7466DDE3" w14:textId="77777777" w:rsidR="009623A2" w:rsidRPr="00747170" w:rsidRDefault="009623A2" w:rsidP="00747170">
      <w:pPr>
        <w:pStyle w:val="a2"/>
        <w:rPr>
          <w:rtl/>
        </w:rPr>
      </w:pPr>
      <w:r w:rsidRPr="00747170">
        <w:rPr>
          <w:rtl/>
        </w:rPr>
        <w:t>כולן מלאכה אחת הן - דזומר נמי לצמוחי אילנא הוא</w:t>
      </w:r>
      <w:r w:rsidRPr="00747170">
        <w:rPr>
          <w:rFonts w:hint="cs"/>
          <w:rtl/>
        </w:rPr>
        <w:t>, וכו'</w:t>
      </w:r>
      <w:r w:rsidRPr="00747170">
        <w:rPr>
          <w:rtl/>
        </w:rPr>
        <w:t>, אבל זומר תולדה</w:t>
      </w:r>
      <w:r w:rsidRPr="00747170">
        <w:rPr>
          <w:rFonts w:hint="cs"/>
          <w:rtl/>
        </w:rPr>
        <w:t>.</w:t>
      </w:r>
    </w:p>
    <w:p w14:paraId="295B522A" w14:textId="2649FC3C" w:rsidR="009623A2" w:rsidRDefault="009623A2" w:rsidP="009623A2">
      <w:pPr>
        <w:pStyle w:val="afffff7"/>
        <w:rPr>
          <w:rtl/>
        </w:rPr>
      </w:pPr>
      <w:bookmarkStart w:id="78" w:name="_Toc133841621"/>
      <w:bookmarkStart w:id="79" w:name="_Toc163505369"/>
      <w:r w:rsidRPr="003C1EF0">
        <w:rPr>
          <w:rtl/>
        </w:rPr>
        <w:t>רש"י שבת ע"ג ע"ב</w:t>
      </w:r>
      <w:r>
        <w:rPr>
          <w:rFonts w:hint="cs"/>
          <w:rtl/>
        </w:rPr>
        <w:t xml:space="preserve"> ד"ה זומר</w:t>
      </w:r>
      <w:bookmarkEnd w:id="78"/>
      <w:bookmarkEnd w:id="79"/>
    </w:p>
    <w:p w14:paraId="2F6BE31C" w14:textId="77777777" w:rsidR="009623A2" w:rsidRPr="00C3176C" w:rsidRDefault="009623A2" w:rsidP="00747170">
      <w:pPr>
        <w:pStyle w:val="afffff5"/>
        <w:rPr>
          <w:rtl/>
        </w:rPr>
      </w:pPr>
      <w:r w:rsidRPr="00C3176C">
        <w:rPr>
          <w:rtl/>
        </w:rPr>
        <w:t>זומר חייב - משום תולדת נוטע, דלצמוחי עביד.</w:t>
      </w:r>
    </w:p>
    <w:p w14:paraId="58F47872" w14:textId="5CDCE672" w:rsidR="009623A2" w:rsidRDefault="009623A2" w:rsidP="009623A2">
      <w:pPr>
        <w:pStyle w:val="afffff7"/>
        <w:rPr>
          <w:rtl/>
        </w:rPr>
      </w:pPr>
      <w:bookmarkStart w:id="80" w:name="_Toc133841622"/>
      <w:bookmarkStart w:id="81" w:name="_Toc163505370"/>
      <w:r>
        <w:rPr>
          <w:rtl/>
        </w:rPr>
        <w:t>ר"ן</w:t>
      </w:r>
      <w:r>
        <w:rPr>
          <w:rFonts w:hint="cs"/>
          <w:rtl/>
        </w:rPr>
        <w:t xml:space="preserve"> </w:t>
      </w:r>
      <w:r>
        <w:rPr>
          <w:rtl/>
        </w:rPr>
        <w:t>על הרי"ף שבת ל"א ע"ב</w:t>
      </w:r>
      <w:bookmarkEnd w:id="80"/>
      <w:bookmarkEnd w:id="81"/>
    </w:p>
    <w:p w14:paraId="35BD8DFF" w14:textId="77777777" w:rsidR="009623A2" w:rsidRPr="00C3176C" w:rsidRDefault="009623A2" w:rsidP="00747170">
      <w:pPr>
        <w:pStyle w:val="afffff5"/>
      </w:pPr>
      <w:r w:rsidRPr="00C3176C">
        <w:rPr>
          <w:rtl/>
        </w:rPr>
        <w:t>גמ' תנא הזורע והזומר וכו'. כולן מלאכה אחת הן דזומר נמי לצמוחי אילנא הוא</w:t>
      </w:r>
      <w:r w:rsidRPr="00C3176C">
        <w:rPr>
          <w:rFonts w:hint="cs"/>
          <w:rtl/>
        </w:rPr>
        <w:t xml:space="preserve">, וכו', </w:t>
      </w:r>
      <w:r w:rsidRPr="00C3176C">
        <w:rPr>
          <w:rtl/>
        </w:rPr>
        <w:t>אבל זומר תולדה היא:</w:t>
      </w:r>
    </w:p>
    <w:p w14:paraId="43FD4EA5" w14:textId="04BEE0B4" w:rsidR="009623A2" w:rsidRPr="00FC197F" w:rsidRDefault="009623A2" w:rsidP="009623A2">
      <w:pPr>
        <w:pStyle w:val="a7"/>
      </w:pPr>
      <w:bookmarkStart w:id="82" w:name="_Toc134419562"/>
      <w:r>
        <w:rPr>
          <w:rFonts w:hint="cs"/>
          <w:rtl/>
        </w:rPr>
        <w:t>בי' רש"י דנוטע ומבריך ומרכיב הם אותו אב דזורע וחייב חטאת א' דזורע בזרעים ונוטע באילנות</w:t>
      </w:r>
      <w:bookmarkEnd w:id="82"/>
    </w:p>
    <w:p w14:paraId="67BEF611" w14:textId="77777777" w:rsidR="009623A2" w:rsidRDefault="009623A2" w:rsidP="00BC7DC8">
      <w:pPr>
        <w:pStyle w:val="a3"/>
      </w:pPr>
      <w:bookmarkStart w:id="83" w:name="_Ref133823857"/>
      <w:r>
        <w:rPr>
          <w:rFonts w:hint="cs"/>
          <w:rtl/>
        </w:rPr>
        <w:t>ובהא דאמרינן דהברייתא קמ"ל ד</w:t>
      </w:r>
      <w:r>
        <w:rPr>
          <w:rtl/>
        </w:rPr>
        <w:t>העושה מלאכות הרבה מעין מלאכה אחת אינו חייב אלא חטאת אחת</w:t>
      </w:r>
      <w:r>
        <w:rPr>
          <w:rFonts w:hint="cs"/>
          <w:rtl/>
        </w:rPr>
        <w:t xml:space="preserve">, כתב </w:t>
      </w:r>
      <w:r w:rsidRPr="00C444C9">
        <w:rPr>
          <w:rStyle w:val="aff4"/>
          <w:rFonts w:hint="cs"/>
          <w:vanish/>
          <w:rtl/>
        </w:rPr>
        <w:t>-</w:t>
      </w:r>
      <w:r w:rsidRPr="004F32D2">
        <w:rPr>
          <w:rStyle w:val="aff4"/>
          <w:rFonts w:hint="cs"/>
          <w:rtl/>
        </w:rPr>
        <w:t>רש"י</w:t>
      </w:r>
      <w:r w:rsidRPr="00C444C9">
        <w:rPr>
          <w:rStyle w:val="aff4"/>
          <w:rFonts w:hint="cs"/>
          <w:vanish/>
          <w:rtl/>
        </w:rPr>
        <w:t>-</w:t>
      </w:r>
      <w:r>
        <w:rPr>
          <w:rFonts w:hint="cs"/>
          <w:rtl/>
        </w:rPr>
        <w:t xml:space="preserve"> דאם עשה את כל המלאכות הללו יחד עם מלאכת זורע, חייב רק אחת, כיון דזורע הוא אב מלאכה, ונוטע הוא הוא אותו אב מלאכה דזורע, וכן מבריך ומרכיב, וכ"כ </w:t>
      </w:r>
      <w:r w:rsidRPr="00C444C9">
        <w:rPr>
          <w:rStyle w:val="aff4"/>
          <w:rFonts w:hint="cs"/>
          <w:vanish/>
          <w:rtl/>
        </w:rPr>
        <w:t>-</w:t>
      </w:r>
      <w:r w:rsidRPr="004F32D2">
        <w:rPr>
          <w:rStyle w:val="aff4"/>
          <w:rFonts w:hint="cs"/>
          <w:rtl/>
        </w:rPr>
        <w:t>הר"ן על הרי"ף</w:t>
      </w:r>
      <w:r w:rsidRPr="00C444C9">
        <w:rPr>
          <w:rStyle w:val="aff4"/>
          <w:rFonts w:hint="cs"/>
          <w:vanish/>
          <w:rtl/>
        </w:rPr>
        <w:t>-</w:t>
      </w:r>
      <w:r>
        <w:rPr>
          <w:rFonts w:hint="cs"/>
          <w:rtl/>
        </w:rPr>
        <w:t>.</w:t>
      </w:r>
      <w:bookmarkEnd w:id="83"/>
    </w:p>
    <w:bookmarkEnd w:id="77"/>
    <w:p w14:paraId="23F2DA1F" w14:textId="77777777" w:rsidR="009623A2" w:rsidRPr="00747170" w:rsidRDefault="009623A2" w:rsidP="00747170">
      <w:pPr>
        <w:pStyle w:val="a2"/>
      </w:pPr>
      <w:r w:rsidRPr="00747170">
        <w:rPr>
          <w:rtl/>
        </w:rPr>
        <w:t xml:space="preserve">ונפקא מינה דאי עבד ליה כולן בהדי זורע - לא מיחייב אלא חדא, דהעושה מלאכות הרבה כו' זורע אב מלאכה, ונוטע נמי אב מלאכה הוא - דהיינו זורע, אלא שזה בזרעים וזה באילנות, וכן מבריך ומרכיב. </w:t>
      </w:r>
    </w:p>
    <w:p w14:paraId="36A698FA" w14:textId="77777777" w:rsidR="009623A2" w:rsidRDefault="009623A2" w:rsidP="009623A2">
      <w:pPr>
        <w:pStyle w:val="afffffb"/>
        <w:rPr>
          <w:rtl/>
        </w:rPr>
      </w:pPr>
      <w:r w:rsidRPr="00370771">
        <w:rPr>
          <w:rtl/>
        </w:rPr>
        <w:t xml:space="preserve"> </w:t>
      </w:r>
      <w:r>
        <w:rPr>
          <w:rtl/>
        </w:rPr>
        <w:t>ר"ן</w:t>
      </w:r>
      <w:r>
        <w:rPr>
          <w:rFonts w:hint="cs"/>
          <w:rtl/>
        </w:rPr>
        <w:t xml:space="preserve"> </w:t>
      </w:r>
      <w:r>
        <w:rPr>
          <w:rtl/>
        </w:rPr>
        <w:t>על הרי"ף שבת ל"א ע"ב</w:t>
      </w:r>
    </w:p>
    <w:p w14:paraId="30476DC3" w14:textId="77777777" w:rsidR="009623A2" w:rsidRPr="00C3176C" w:rsidRDefault="009623A2" w:rsidP="00747170">
      <w:pPr>
        <w:pStyle w:val="afffff5"/>
      </w:pPr>
      <w:r w:rsidRPr="00C3176C">
        <w:rPr>
          <w:rtl/>
        </w:rPr>
        <w:t>גמ' תנא הזורע והזומר וכו'. כולן מלאכה אחת הן דזומר נמי לצמוחי אילנא הוא ונפקא מינה דאי עביד כולהו בהדי זורע לא מחייב אלא חדא דהעושה מלאכות הרבה מעין מלאכה אחת אינו חייב אלא חטאת אחת. זורע אב מלאכה ונוטע נמי אב מלאכה דהיינו זורע אלא שזה באילנות וזה בזרעים מבריך ומרכיב כמו כן אבל זומר תולדה היא:</w:t>
      </w:r>
    </w:p>
    <w:p w14:paraId="3F4A9B7F" w14:textId="7F9A53C6" w:rsidR="009623A2" w:rsidRDefault="009623A2" w:rsidP="009623A2">
      <w:pPr>
        <w:pStyle w:val="afffff7"/>
        <w:rPr>
          <w:rtl/>
        </w:rPr>
      </w:pPr>
      <w:bookmarkStart w:id="84" w:name="_Toc133841623"/>
      <w:bookmarkStart w:id="85" w:name="_Toc163505371"/>
      <w:r>
        <w:rPr>
          <w:rtl/>
        </w:rPr>
        <w:t>רש"י שבת ע"ג ע"ב</w:t>
      </w:r>
      <w:r>
        <w:rPr>
          <w:rFonts w:hint="cs"/>
          <w:rtl/>
        </w:rPr>
        <w:t xml:space="preserve"> ד"ה כולן, ונוטע, חייב</w:t>
      </w:r>
      <w:bookmarkEnd w:id="84"/>
      <w:bookmarkEnd w:id="85"/>
    </w:p>
    <w:p w14:paraId="2C3C1FD2" w14:textId="77777777" w:rsidR="009623A2" w:rsidRDefault="009623A2" w:rsidP="009623A2">
      <w:pPr>
        <w:pStyle w:val="a7"/>
        <w:rPr>
          <w:rtl/>
        </w:rPr>
      </w:pPr>
      <w:bookmarkStart w:id="86" w:name="_Toc134419563"/>
      <w:r>
        <w:rPr>
          <w:rFonts w:hint="cs"/>
          <w:rtl/>
        </w:rPr>
        <w:t>בי' רש"י דאין חילוק בין אב דזורע לנוטע ומבריך ומרכיב אלא דזורע הוא בזרעים והם באילנות</w:t>
      </w:r>
      <w:bookmarkEnd w:id="86"/>
    </w:p>
    <w:p w14:paraId="199D761C" w14:textId="719B1D85" w:rsidR="009623A2" w:rsidRDefault="009623A2" w:rsidP="00BC7DC8">
      <w:pPr>
        <w:pStyle w:val="a3"/>
      </w:pPr>
      <w:bookmarkStart w:id="87" w:name="_Ref133824412"/>
      <w:bookmarkStart w:id="88" w:name="_Ref130205683"/>
      <w:r>
        <w:rPr>
          <w:rFonts w:hint="cs"/>
          <w:rtl/>
        </w:rPr>
        <w:t xml:space="preserve">כתב </w:t>
      </w:r>
      <w:r w:rsidRPr="00C444C9">
        <w:rPr>
          <w:rStyle w:val="aff4"/>
          <w:rFonts w:hint="cs"/>
          <w:vanish/>
          <w:rtl/>
        </w:rPr>
        <w:t xml:space="preserve">-&lt;. </w:t>
      </w:r>
      <w:r w:rsidRPr="00C444C9">
        <w:rPr>
          <w:rStyle w:val="aff4"/>
          <w:vanish/>
          <w:rtl/>
        </w:rPr>
        <w:fldChar w:fldCharType="begin"/>
      </w:r>
      <w:r w:rsidRPr="00C444C9">
        <w:rPr>
          <w:rStyle w:val="aff4"/>
          <w:vanish/>
          <w:rtl/>
        </w:rPr>
        <w:instrText xml:space="preserve"> </w:instrText>
      </w:r>
      <w:r w:rsidRPr="00C444C9">
        <w:rPr>
          <w:rStyle w:val="aff4"/>
          <w:rFonts w:hint="cs"/>
          <w:vanish/>
        </w:rPr>
        <w:instrText>REF</w:instrText>
      </w:r>
      <w:r w:rsidRPr="00C444C9">
        <w:rPr>
          <w:rStyle w:val="aff4"/>
          <w:rFonts w:hint="cs"/>
          <w:vanish/>
          <w:rtl/>
        </w:rPr>
        <w:instrText xml:space="preserve"> _</w:instrText>
      </w:r>
      <w:r w:rsidRPr="00C444C9">
        <w:rPr>
          <w:rStyle w:val="aff4"/>
          <w:rFonts w:hint="cs"/>
          <w:vanish/>
        </w:rPr>
        <w:instrText>Ref130205683 \r \h</w:instrText>
      </w:r>
      <w:r w:rsidRPr="00C444C9">
        <w:rPr>
          <w:rStyle w:val="aff4"/>
          <w:vanish/>
          <w:rtl/>
        </w:rPr>
        <w:instrText xml:space="preserve">  \* </w:instrText>
      </w:r>
      <w:r w:rsidRPr="00C444C9">
        <w:rPr>
          <w:rStyle w:val="aff4"/>
          <w:vanish/>
        </w:rPr>
        <w:instrText>MERGEFORMAT</w:instrText>
      </w:r>
      <w:r w:rsidRPr="00C444C9">
        <w:rPr>
          <w:rStyle w:val="aff4"/>
          <w:vanish/>
          <w:rtl/>
        </w:rPr>
        <w:instrText xml:space="preserve"> </w:instrText>
      </w:r>
      <w:r w:rsidRPr="00C444C9">
        <w:rPr>
          <w:rStyle w:val="aff4"/>
          <w:vanish/>
          <w:rtl/>
        </w:rPr>
      </w:r>
      <w:r w:rsidRPr="00C444C9">
        <w:rPr>
          <w:rStyle w:val="aff4"/>
          <w:vanish/>
          <w:rtl/>
        </w:rPr>
        <w:fldChar w:fldCharType="separate"/>
      </w:r>
      <w:r w:rsidR="00D82181">
        <w:rPr>
          <w:rStyle w:val="aff4"/>
          <w:vanish/>
          <w:cs/>
        </w:rPr>
        <w:t>‎</w:t>
      </w:r>
      <w:r w:rsidR="00D82181">
        <w:rPr>
          <w:rStyle w:val="aff4"/>
          <w:vanish/>
          <w:rtl/>
        </w:rPr>
        <w:t>ג)</w:t>
      </w:r>
      <w:r w:rsidRPr="00C444C9">
        <w:rPr>
          <w:rStyle w:val="aff4"/>
          <w:vanish/>
          <w:rtl/>
        </w:rPr>
        <w:fldChar w:fldCharType="end"/>
      </w:r>
      <w:r w:rsidRPr="00C444C9">
        <w:rPr>
          <w:rStyle w:val="aff4"/>
          <w:rFonts w:hint="cs"/>
          <w:vanish/>
          <w:rtl/>
        </w:rPr>
        <w:t xml:space="preserve"> &gt;</w:t>
      </w:r>
      <w:r w:rsidRPr="004F32D2">
        <w:rPr>
          <w:rStyle w:val="aff4"/>
          <w:rFonts w:hint="cs"/>
          <w:rtl/>
        </w:rPr>
        <w:t>רש"י</w:t>
      </w:r>
      <w:r w:rsidRPr="00C444C9">
        <w:rPr>
          <w:rStyle w:val="aff4"/>
          <w:rFonts w:hint="cs"/>
          <w:vanish/>
          <w:rtl/>
        </w:rPr>
        <w:t>-</w:t>
      </w:r>
      <w:r>
        <w:rPr>
          <w:rFonts w:hint="cs"/>
          <w:rtl/>
        </w:rPr>
        <w:t xml:space="preserve"> </w:t>
      </w:r>
      <w:r w:rsidRPr="002A0D0C">
        <w:rPr>
          <w:rStyle w:val="af2"/>
          <w:rFonts w:eastAsia="Guttman Hodes" w:hint="cs"/>
          <w:rtl/>
        </w:rPr>
        <w:t>(ד"ה כולן)</w:t>
      </w:r>
      <w:r>
        <w:rPr>
          <w:rFonts w:hint="cs"/>
          <w:vanish/>
          <w:rtl/>
        </w:rPr>
        <w:t>=</w:t>
      </w:r>
      <w:r>
        <w:rPr>
          <w:rFonts w:hint="cs"/>
          <w:rtl/>
        </w:rPr>
        <w:t xml:space="preserve"> דנוטע הוא הוא אותו אב מלאכה דזורע, דאין חילוק בין זורע לנוטע, אלא דזורע הוא אב בזרעים ונוטע הוא אב באילנות, וכן מבריך ומרכיב הם אב מלאכה דזורע באילנות, וכ"כ </w:t>
      </w:r>
      <w:r w:rsidRPr="00C444C9">
        <w:rPr>
          <w:rStyle w:val="aff4"/>
          <w:rFonts w:hint="cs"/>
          <w:vanish/>
          <w:rtl/>
        </w:rPr>
        <w:t>-</w:t>
      </w:r>
      <w:r w:rsidRPr="004F32D2">
        <w:rPr>
          <w:rStyle w:val="aff4"/>
          <w:rFonts w:hint="cs"/>
          <w:rtl/>
        </w:rPr>
        <w:t>ה</w:t>
      </w:r>
      <w:r w:rsidRPr="00C444C9">
        <w:rPr>
          <w:rStyle w:val="aff4"/>
          <w:rFonts w:hint="cs"/>
          <w:vanish/>
          <w:rtl/>
        </w:rPr>
        <w:t>&lt; &gt;</w:t>
      </w:r>
      <w:r w:rsidRPr="004F32D2">
        <w:rPr>
          <w:rStyle w:val="aff4"/>
          <w:rFonts w:hint="cs"/>
          <w:rtl/>
        </w:rPr>
        <w:t>ר"ן על הרי"ף</w:t>
      </w:r>
      <w:r w:rsidRPr="00C444C9">
        <w:rPr>
          <w:rStyle w:val="aff4"/>
          <w:rFonts w:hint="cs"/>
          <w:vanish/>
          <w:rtl/>
        </w:rPr>
        <w:t>-</w:t>
      </w:r>
      <w:r>
        <w:rPr>
          <w:rFonts w:hint="cs"/>
          <w:rtl/>
        </w:rPr>
        <w:t xml:space="preserve"> </w:t>
      </w:r>
      <w:r w:rsidRPr="002A0D0C">
        <w:rPr>
          <w:rStyle w:val="af2"/>
          <w:rFonts w:eastAsia="Guttman Hodes" w:hint="cs"/>
          <w:rtl/>
        </w:rPr>
        <w:t>(לא: מדה"ר ד"ה תנא)</w:t>
      </w:r>
      <w:r>
        <w:rPr>
          <w:rFonts w:hint="cs"/>
          <w:vanish/>
          <w:rtl/>
        </w:rPr>
        <w:t>=</w:t>
      </w:r>
      <w:r>
        <w:rPr>
          <w:rFonts w:hint="cs"/>
          <w:rtl/>
        </w:rPr>
        <w:t xml:space="preserve">, וכן בהא דאמר </w:t>
      </w:r>
      <w:r w:rsidRPr="00F04987">
        <w:rPr>
          <w:rFonts w:hint="cs"/>
          <w:rtl/>
        </w:rPr>
        <w:t>רבי אמי ד</w:t>
      </w:r>
      <w:r>
        <w:rPr>
          <w:rFonts w:hint="cs"/>
          <w:rtl/>
        </w:rPr>
        <w:t xml:space="preserve">נוטע ומבריך ומרכיב חייב משום זורע, </w:t>
      </w:r>
      <w:r w:rsidRPr="00F04987">
        <w:rPr>
          <w:rFonts w:hint="cs"/>
          <w:rtl/>
        </w:rPr>
        <w:t xml:space="preserve">ביאר </w:t>
      </w:r>
      <w:r w:rsidRPr="00C444C9">
        <w:rPr>
          <w:rStyle w:val="aff4"/>
          <w:rFonts w:hint="cs"/>
          <w:vanish/>
          <w:rtl/>
        </w:rPr>
        <w:t>-&lt; &gt;</w:t>
      </w:r>
      <w:r w:rsidRPr="004F32D2">
        <w:rPr>
          <w:rStyle w:val="aff4"/>
          <w:rFonts w:hint="cs"/>
          <w:rtl/>
        </w:rPr>
        <w:t>רש"י</w:t>
      </w:r>
      <w:r w:rsidRPr="00C444C9">
        <w:rPr>
          <w:rStyle w:val="aff4"/>
          <w:rFonts w:hint="cs"/>
          <w:vanish/>
          <w:rtl/>
        </w:rPr>
        <w:t>-</w:t>
      </w:r>
      <w:r w:rsidRPr="00F04987">
        <w:rPr>
          <w:rFonts w:hint="cs"/>
          <w:rtl/>
        </w:rPr>
        <w:t xml:space="preserve"> </w:t>
      </w:r>
      <w:r w:rsidRPr="002A0D0C">
        <w:rPr>
          <w:rStyle w:val="af2"/>
          <w:rFonts w:eastAsia="Guttman Hodes" w:hint="cs"/>
          <w:rtl/>
        </w:rPr>
        <w:t xml:space="preserve">(ד"ה </w:t>
      </w:r>
      <w:r w:rsidRPr="002A0D0C">
        <w:rPr>
          <w:rStyle w:val="af2"/>
          <w:rFonts w:eastAsia="Guttman Hodes"/>
          <w:rtl/>
        </w:rPr>
        <w:t>ונוטע</w:t>
      </w:r>
      <w:r w:rsidRPr="002A0D0C">
        <w:rPr>
          <w:rStyle w:val="af2"/>
          <w:rFonts w:eastAsia="Guttman Hodes" w:hint="cs"/>
          <w:rtl/>
        </w:rPr>
        <w:t>, ד"ה חייב)</w:t>
      </w:r>
      <w:r>
        <w:rPr>
          <w:rFonts w:hint="cs"/>
          <w:vanish/>
          <w:rtl/>
        </w:rPr>
        <w:t>=</w:t>
      </w:r>
      <w:r>
        <w:rPr>
          <w:rFonts w:hint="cs"/>
          <w:rtl/>
        </w:rPr>
        <w:t xml:space="preserve"> דנוטע עצמו ומבריך ומרכיב חייב משום זורע, כיון דמלאכות אלו הם גם זורע, דזורע הוא אב בזרעים והם אב באילנות, ועי' במ"ש </w:t>
      </w:r>
      <w:r w:rsidRPr="00A50574">
        <w:rPr>
          <w:rStyle w:val="aff4"/>
          <w:rFonts w:hint="cs"/>
          <w:vanish/>
          <w:rtl/>
        </w:rPr>
        <w:t>-</w:t>
      </w:r>
      <w:r w:rsidRPr="00A50574">
        <w:rPr>
          <w:rStyle w:val="aff4"/>
          <w:rFonts w:hint="cs"/>
          <w:rtl/>
        </w:rPr>
        <w:t>ר"ח</w:t>
      </w:r>
      <w:r w:rsidRPr="006075A1">
        <w:rPr>
          <w:rStyle w:val="aff4"/>
          <w:rFonts w:hint="cs"/>
          <w:vanish/>
          <w:rtl/>
        </w:rPr>
        <w:t>-</w:t>
      </w:r>
      <w:r>
        <w:rPr>
          <w:rFonts w:hint="cs"/>
          <w:rtl/>
        </w:rPr>
        <w:t xml:space="preserve"> </w:t>
      </w:r>
      <w:r w:rsidRPr="006075A1">
        <w:rPr>
          <w:rStyle w:val="af2"/>
          <w:rFonts w:eastAsia="Guttman Hodes" w:hint="cs"/>
          <w:rtl/>
        </w:rPr>
        <w:t xml:space="preserve">(עי' אות </w:t>
      </w:r>
      <w:r w:rsidRPr="006075A1">
        <w:rPr>
          <w:rStyle w:val="af2"/>
          <w:rFonts w:eastAsia="Guttman Hodes"/>
          <w:rtl/>
        </w:rPr>
        <w:fldChar w:fldCharType="begin"/>
      </w:r>
      <w:r w:rsidRPr="006075A1">
        <w:rPr>
          <w:rStyle w:val="af2"/>
          <w:rFonts w:eastAsia="Guttman Hodes"/>
          <w:rtl/>
        </w:rPr>
        <w:instrText xml:space="preserve"> </w:instrText>
      </w:r>
      <w:r w:rsidRPr="006075A1">
        <w:rPr>
          <w:rStyle w:val="af2"/>
          <w:rFonts w:eastAsia="Guttman Hodes" w:hint="cs"/>
        </w:rPr>
        <w:instrText>REF</w:instrText>
      </w:r>
      <w:r w:rsidRPr="006075A1">
        <w:rPr>
          <w:rStyle w:val="af2"/>
          <w:rFonts w:eastAsia="Guttman Hodes" w:hint="cs"/>
          <w:rtl/>
        </w:rPr>
        <w:instrText xml:space="preserve"> _</w:instrText>
      </w:r>
      <w:r w:rsidRPr="006075A1">
        <w:rPr>
          <w:rStyle w:val="af2"/>
          <w:rFonts w:eastAsia="Guttman Hodes" w:hint="cs"/>
        </w:rPr>
        <w:instrText>Ref133824443 \r \h</w:instrText>
      </w:r>
      <w:r w:rsidRPr="006075A1">
        <w:rPr>
          <w:rStyle w:val="af2"/>
          <w:rFonts w:eastAsia="Guttman Hodes"/>
          <w:rtl/>
        </w:rPr>
        <w:instrText xml:space="preserve"> </w:instrText>
      </w:r>
      <w:r w:rsidRPr="006075A1">
        <w:rPr>
          <w:rStyle w:val="af2"/>
          <w:rFonts w:eastAsia="Guttman Hodes"/>
          <w:rtl/>
        </w:rPr>
      </w:r>
      <w:r w:rsidRPr="006075A1">
        <w:rPr>
          <w:rStyle w:val="af2"/>
          <w:rFonts w:eastAsia="Guttman Hodes"/>
          <w:rtl/>
        </w:rPr>
        <w:fldChar w:fldCharType="separate"/>
      </w:r>
      <w:r w:rsidR="00D82181">
        <w:rPr>
          <w:rStyle w:val="af2"/>
          <w:rFonts w:eastAsia="Guttman Hodes"/>
          <w:cs/>
        </w:rPr>
        <w:t>‎</w:t>
      </w:r>
      <w:r w:rsidR="00D82181">
        <w:rPr>
          <w:rStyle w:val="af2"/>
          <w:rFonts w:eastAsia="Guttman Hodes"/>
          <w:rtl/>
        </w:rPr>
        <w:t>נד)</w:t>
      </w:r>
      <w:r w:rsidRPr="006075A1">
        <w:rPr>
          <w:rStyle w:val="af2"/>
          <w:rFonts w:eastAsia="Guttman Hodes"/>
          <w:rtl/>
        </w:rPr>
        <w:fldChar w:fldCharType="end"/>
      </w:r>
      <w:r>
        <w:rPr>
          <w:rFonts w:hint="cs"/>
          <w:rtl/>
        </w:rPr>
        <w:t>.</w:t>
      </w:r>
      <w:bookmarkEnd w:id="87"/>
    </w:p>
    <w:bookmarkEnd w:id="88"/>
    <w:p w14:paraId="48C8DA33" w14:textId="77777777" w:rsidR="009623A2" w:rsidRPr="00747170" w:rsidRDefault="009623A2" w:rsidP="00747170">
      <w:pPr>
        <w:pStyle w:val="a2"/>
        <w:rPr>
          <w:rtl/>
        </w:rPr>
      </w:pPr>
      <w:r w:rsidRPr="00747170">
        <w:rPr>
          <w:rtl/>
        </w:rPr>
        <w:t>ונוטע נמי אב מלאכה הוא - דהיינו זורע, אלא שזה בזרעים וזה באילנות, וכן מבריך ומרכיב, אבל זומר תולדה.</w:t>
      </w:r>
    </w:p>
    <w:p w14:paraId="5C67C20C" w14:textId="77777777" w:rsidR="009623A2" w:rsidRPr="00C3176C" w:rsidRDefault="009623A2" w:rsidP="00747170">
      <w:pPr>
        <w:pStyle w:val="afffff5"/>
        <w:rPr>
          <w:rtl/>
        </w:rPr>
      </w:pPr>
      <w:r w:rsidRPr="00C3176C">
        <w:rPr>
          <w:rtl/>
        </w:rPr>
        <w:t>ונוטע - גופיה, וכן מבריך ומרכיב.</w:t>
      </w:r>
    </w:p>
    <w:p w14:paraId="138C394D" w14:textId="77777777" w:rsidR="009623A2" w:rsidRPr="00C3176C" w:rsidRDefault="009623A2" w:rsidP="00747170">
      <w:pPr>
        <w:pStyle w:val="afffff5"/>
        <w:rPr>
          <w:rtl/>
        </w:rPr>
      </w:pPr>
      <w:r w:rsidRPr="00C3176C">
        <w:rPr>
          <w:rtl/>
        </w:rPr>
        <w:t>חייב משום זורע - כלומר: אינהו נמי זורע הן, זה אב בזרעים וזה אב באילנות.</w:t>
      </w:r>
    </w:p>
    <w:p w14:paraId="057F0AE1" w14:textId="52CE1D7E" w:rsidR="009623A2" w:rsidRDefault="009623A2" w:rsidP="009623A2">
      <w:pPr>
        <w:pStyle w:val="afffff7"/>
        <w:rPr>
          <w:rtl/>
        </w:rPr>
      </w:pPr>
      <w:bookmarkStart w:id="89" w:name="_Toc133841624"/>
      <w:bookmarkStart w:id="90" w:name="_Toc163505372"/>
      <w:r w:rsidRPr="003C1EF0">
        <w:rPr>
          <w:rtl/>
        </w:rPr>
        <w:t>רש"י שבת ע"ג ע"ב</w:t>
      </w:r>
      <w:r>
        <w:rPr>
          <w:rFonts w:hint="cs"/>
          <w:rtl/>
        </w:rPr>
        <w:t xml:space="preserve"> ד"ה משום, ד"ה אימא</w:t>
      </w:r>
      <w:bookmarkEnd w:id="89"/>
      <w:bookmarkEnd w:id="90"/>
    </w:p>
    <w:p w14:paraId="75D10D49" w14:textId="77777777" w:rsidR="009623A2" w:rsidRDefault="009623A2" w:rsidP="009623A2">
      <w:pPr>
        <w:pStyle w:val="a7"/>
        <w:rPr>
          <w:rtl/>
        </w:rPr>
      </w:pPr>
      <w:bookmarkStart w:id="91" w:name="_Toc134419564"/>
      <w:r>
        <w:rPr>
          <w:rFonts w:hint="cs"/>
          <w:rtl/>
        </w:rPr>
        <w:t>בי' רש"י דקו' הגמ' דאמאי מבריך ומרכיב חייב רק משום זורע ותי' דאם עשה עם זורע חייב א'</w:t>
      </w:r>
      <w:bookmarkEnd w:id="91"/>
    </w:p>
    <w:p w14:paraId="6FF7A885" w14:textId="32422ACA" w:rsidR="009623A2" w:rsidRPr="008D24F3" w:rsidRDefault="009623A2" w:rsidP="00BC7DC8">
      <w:pPr>
        <w:pStyle w:val="a3"/>
        <w:rPr>
          <w:rtl/>
        </w:rPr>
      </w:pPr>
      <w:bookmarkStart w:id="92" w:name="_Ref132026659"/>
      <w:r>
        <w:rPr>
          <w:rFonts w:hint="cs"/>
          <w:rtl/>
        </w:rPr>
        <w:t>ובקושית הגמ' על רבי אמי, "</w:t>
      </w:r>
      <w:r>
        <w:rPr>
          <w:rtl/>
        </w:rPr>
        <w:t>משום זורע אין משום נוטע לא</w:t>
      </w:r>
      <w:r>
        <w:rPr>
          <w:rFonts w:hint="cs"/>
          <w:rtl/>
        </w:rPr>
        <w:t xml:space="preserve">", ביאר </w:t>
      </w:r>
      <w:r w:rsidRPr="00081D76">
        <w:rPr>
          <w:rStyle w:val="aff4"/>
          <w:rFonts w:hint="cs"/>
          <w:vanish/>
          <w:rtl/>
        </w:rPr>
        <w:t xml:space="preserve">-&lt; </w:t>
      </w:r>
      <w:r w:rsidRPr="00081D76">
        <w:rPr>
          <w:rStyle w:val="aff4"/>
          <w:vanish/>
          <w:rtl/>
        </w:rPr>
        <w:fldChar w:fldCharType="begin"/>
      </w:r>
      <w:r w:rsidRPr="00081D76">
        <w:rPr>
          <w:rStyle w:val="aff4"/>
          <w:vanish/>
          <w:rtl/>
        </w:rPr>
        <w:instrText xml:space="preserve"> </w:instrText>
      </w:r>
      <w:r w:rsidRPr="00081D76">
        <w:rPr>
          <w:rStyle w:val="aff4"/>
          <w:rFonts w:hint="cs"/>
          <w:vanish/>
        </w:rPr>
        <w:instrText>REF</w:instrText>
      </w:r>
      <w:r w:rsidRPr="00081D76">
        <w:rPr>
          <w:rStyle w:val="aff4"/>
          <w:rFonts w:hint="cs"/>
          <w:vanish/>
          <w:rtl/>
        </w:rPr>
        <w:instrText xml:space="preserve"> _</w:instrText>
      </w:r>
      <w:r w:rsidRPr="00081D76">
        <w:rPr>
          <w:rStyle w:val="aff4"/>
          <w:rFonts w:hint="cs"/>
          <w:vanish/>
        </w:rPr>
        <w:instrText>Ref132026659 \r \h</w:instrText>
      </w:r>
      <w:r w:rsidRPr="00081D76">
        <w:rPr>
          <w:rStyle w:val="aff4"/>
          <w:vanish/>
          <w:rtl/>
        </w:rPr>
        <w:instrText xml:space="preserve">  \* </w:instrText>
      </w:r>
      <w:r w:rsidRPr="00081D76">
        <w:rPr>
          <w:rStyle w:val="aff4"/>
          <w:vanish/>
        </w:rPr>
        <w:instrText>MERGEFORMAT</w:instrText>
      </w:r>
      <w:r w:rsidRPr="00081D76">
        <w:rPr>
          <w:rStyle w:val="aff4"/>
          <w:vanish/>
          <w:rtl/>
        </w:rPr>
        <w:instrText xml:space="preserve"> </w:instrText>
      </w:r>
      <w:r w:rsidRPr="00081D76">
        <w:rPr>
          <w:rStyle w:val="aff4"/>
          <w:vanish/>
          <w:rtl/>
        </w:rPr>
      </w:r>
      <w:r w:rsidRPr="00081D76">
        <w:rPr>
          <w:rStyle w:val="aff4"/>
          <w:vanish/>
          <w:rtl/>
        </w:rPr>
        <w:fldChar w:fldCharType="separate"/>
      </w:r>
      <w:r w:rsidR="00D82181">
        <w:rPr>
          <w:rStyle w:val="aff4"/>
          <w:vanish/>
          <w:cs/>
        </w:rPr>
        <w:t>‎</w:t>
      </w:r>
      <w:r w:rsidR="00D82181">
        <w:rPr>
          <w:rStyle w:val="aff4"/>
          <w:vanish/>
          <w:rtl/>
        </w:rPr>
        <w:t>ד)</w:t>
      </w:r>
      <w:r w:rsidRPr="00081D76">
        <w:rPr>
          <w:rStyle w:val="aff4"/>
          <w:vanish/>
          <w:rtl/>
        </w:rPr>
        <w:fldChar w:fldCharType="end"/>
      </w:r>
      <w:r w:rsidRPr="00081D76">
        <w:rPr>
          <w:rStyle w:val="aff4"/>
          <w:rFonts w:hint="cs"/>
          <w:vanish/>
          <w:rtl/>
        </w:rPr>
        <w:t xml:space="preserve"> &gt;</w:t>
      </w:r>
      <w:r w:rsidRPr="004F32D2">
        <w:rPr>
          <w:rStyle w:val="aff4"/>
          <w:rFonts w:hint="cs"/>
          <w:rtl/>
        </w:rPr>
        <w:t>רש"י</w:t>
      </w:r>
      <w:r w:rsidRPr="00C444C9">
        <w:rPr>
          <w:rStyle w:val="aff4"/>
          <w:rFonts w:hint="cs"/>
          <w:vanish/>
          <w:rtl/>
        </w:rPr>
        <w:t>-</w:t>
      </w:r>
      <w:r>
        <w:rPr>
          <w:rFonts w:hint="cs"/>
          <w:rtl/>
        </w:rPr>
        <w:t xml:space="preserve"> </w:t>
      </w:r>
      <w:r w:rsidRPr="002A0D0C">
        <w:rPr>
          <w:rStyle w:val="af2"/>
          <w:rFonts w:eastAsia="Guttman Hodes" w:hint="cs"/>
          <w:rtl/>
        </w:rPr>
        <w:t>(ד"ה משום)</w:t>
      </w:r>
      <w:r>
        <w:rPr>
          <w:rFonts w:hint="cs"/>
          <w:vanish/>
          <w:rtl/>
        </w:rPr>
        <w:t>=</w:t>
      </w:r>
      <w:r>
        <w:rPr>
          <w:rFonts w:hint="cs"/>
          <w:rtl/>
        </w:rPr>
        <w:t xml:space="preserve"> דהקושיה היא על המבריך והמרכיב, ובתירוץ הגמ' "</w:t>
      </w:r>
      <w:r w:rsidRPr="003C1EF0">
        <w:rPr>
          <w:rtl/>
        </w:rPr>
        <w:t>אימא אף משום זורע</w:t>
      </w:r>
      <w:r>
        <w:rPr>
          <w:rFonts w:hint="cs"/>
          <w:rtl/>
        </w:rPr>
        <w:t xml:space="preserve">", ביאר </w:t>
      </w:r>
      <w:r w:rsidRPr="00C444C9">
        <w:rPr>
          <w:rStyle w:val="aff4"/>
          <w:rFonts w:hint="cs"/>
          <w:vanish/>
          <w:rtl/>
        </w:rPr>
        <w:t>-&lt; &gt;</w:t>
      </w:r>
      <w:r w:rsidRPr="004F32D2">
        <w:rPr>
          <w:rStyle w:val="aff4"/>
          <w:rFonts w:hint="cs"/>
          <w:rtl/>
        </w:rPr>
        <w:t>רש"י</w:t>
      </w:r>
      <w:r w:rsidRPr="00C444C9">
        <w:rPr>
          <w:rStyle w:val="aff4"/>
          <w:rFonts w:hint="cs"/>
          <w:vanish/>
          <w:rtl/>
        </w:rPr>
        <w:t>-</w:t>
      </w:r>
      <w:r>
        <w:rPr>
          <w:rFonts w:hint="cs"/>
          <w:rtl/>
        </w:rPr>
        <w:t xml:space="preserve"> </w:t>
      </w:r>
      <w:r w:rsidRPr="002A0D0C">
        <w:rPr>
          <w:rStyle w:val="af2"/>
          <w:rFonts w:eastAsia="Guttman Hodes" w:hint="cs"/>
          <w:rtl/>
        </w:rPr>
        <w:t>(ד"ה אימא)</w:t>
      </w:r>
      <w:r>
        <w:rPr>
          <w:rFonts w:hint="cs"/>
          <w:vanish/>
          <w:rtl/>
        </w:rPr>
        <w:t>=</w:t>
      </w:r>
      <w:r>
        <w:rPr>
          <w:rFonts w:hint="cs"/>
          <w:rtl/>
        </w:rPr>
        <w:t xml:space="preserve"> דנוטע הוא זריעה באילנות, ולכן אם נטע יחד עם זורע חייב רק אחת ולא יותר.</w:t>
      </w:r>
      <w:bookmarkEnd w:id="92"/>
    </w:p>
    <w:p w14:paraId="0B08F207" w14:textId="77777777" w:rsidR="009623A2" w:rsidRPr="00747170" w:rsidRDefault="009623A2" w:rsidP="00747170">
      <w:pPr>
        <w:pStyle w:val="a2"/>
        <w:rPr>
          <w:rtl/>
        </w:rPr>
      </w:pPr>
      <w:r w:rsidRPr="00747170">
        <w:rPr>
          <w:rtl/>
        </w:rPr>
        <w:t>משום נוטע לא - אמבריך ואמרכיב קאי.</w:t>
      </w:r>
    </w:p>
    <w:p w14:paraId="7139A5D2" w14:textId="77777777" w:rsidR="009623A2" w:rsidRPr="00C3176C" w:rsidRDefault="009623A2" w:rsidP="00747170">
      <w:pPr>
        <w:pStyle w:val="afffff5"/>
        <w:rPr>
          <w:rtl/>
        </w:rPr>
      </w:pPr>
      <w:r w:rsidRPr="00C3176C">
        <w:rPr>
          <w:rtl/>
        </w:rPr>
        <w:t>אימא אף משום זורע - דהך זריעה באילנות ואי עביד ליה בהדי זורע מיחייב חדא ותו לא.</w:t>
      </w:r>
    </w:p>
    <w:p w14:paraId="4B9B5ABB" w14:textId="3B160F5F" w:rsidR="009623A2" w:rsidRDefault="009623A2" w:rsidP="009623A2">
      <w:pPr>
        <w:pStyle w:val="afffff7"/>
        <w:rPr>
          <w:rtl/>
        </w:rPr>
      </w:pPr>
      <w:bookmarkStart w:id="93" w:name="_Toc133841625"/>
      <w:bookmarkStart w:id="94" w:name="_Toc163505373"/>
      <w:r>
        <w:rPr>
          <w:rtl/>
        </w:rPr>
        <w:t>שו"ת רבי בצלאל אשכנזי סימן לח</w:t>
      </w:r>
      <w:bookmarkEnd w:id="93"/>
      <w:bookmarkEnd w:id="94"/>
    </w:p>
    <w:p w14:paraId="21F49213" w14:textId="77777777" w:rsidR="009623A2" w:rsidRDefault="009623A2" w:rsidP="009623A2">
      <w:pPr>
        <w:pStyle w:val="a7"/>
        <w:rPr>
          <w:rtl/>
        </w:rPr>
      </w:pPr>
      <w:bookmarkStart w:id="95" w:name="_Toc134419565"/>
      <w:r>
        <w:rPr>
          <w:rFonts w:hint="cs"/>
          <w:rtl/>
        </w:rPr>
        <w:t>קו' השואל בשו"ת רבי בצלאל אשכנזי בסתירת רש"י אי זומר אב או תולדה בשבת ובשביעית</w:t>
      </w:r>
      <w:bookmarkEnd w:id="95"/>
    </w:p>
    <w:p w14:paraId="3E94AA16" w14:textId="7B1FA7F4" w:rsidR="009623A2" w:rsidRPr="00FE6B4D" w:rsidRDefault="009623A2" w:rsidP="00BC7DC8">
      <w:pPr>
        <w:pStyle w:val="a3"/>
        <w:rPr>
          <w:rStyle w:val="af"/>
          <w:rtl/>
        </w:rPr>
      </w:pPr>
      <w:bookmarkStart w:id="96" w:name="_Ref133480809"/>
      <w:r>
        <w:rPr>
          <w:rFonts w:hint="cs"/>
          <w:rtl/>
        </w:rPr>
        <w:t xml:space="preserve">במ"ש </w:t>
      </w:r>
      <w:r w:rsidRPr="00C444C9">
        <w:rPr>
          <w:rStyle w:val="aff4"/>
          <w:rFonts w:hint="cs"/>
          <w:vanish/>
          <w:rtl/>
        </w:rPr>
        <w:t>-</w:t>
      </w:r>
      <w:r w:rsidRPr="004F32D2">
        <w:rPr>
          <w:rStyle w:val="aff4"/>
          <w:rFonts w:hint="cs"/>
          <w:rtl/>
        </w:rPr>
        <w:t>רש"י</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sidRPr="002A0D0C">
        <w:rPr>
          <w:rStyle w:val="af2"/>
          <w:rFonts w:eastAsia="Guttman Hodes"/>
          <w:rtl/>
        </w:rPr>
        <w:fldChar w:fldCharType="begin"/>
      </w:r>
      <w:r w:rsidRPr="002A0D0C">
        <w:rPr>
          <w:rStyle w:val="af2"/>
          <w:rFonts w:eastAsia="Guttman Hodes"/>
          <w:rtl/>
        </w:rPr>
        <w:instrText xml:space="preserve"> </w:instrText>
      </w:r>
      <w:r w:rsidRPr="002A0D0C">
        <w:rPr>
          <w:rStyle w:val="af2"/>
          <w:rFonts w:eastAsia="Guttman Hodes" w:hint="cs"/>
        </w:rPr>
        <w:instrText>REF</w:instrText>
      </w:r>
      <w:r w:rsidRPr="002A0D0C">
        <w:rPr>
          <w:rStyle w:val="af2"/>
          <w:rFonts w:eastAsia="Guttman Hodes" w:hint="cs"/>
          <w:rtl/>
        </w:rPr>
        <w:instrText xml:space="preserve"> _</w:instrText>
      </w:r>
      <w:r w:rsidRPr="002A0D0C">
        <w:rPr>
          <w:rStyle w:val="af2"/>
          <w:rFonts w:eastAsia="Guttman Hodes" w:hint="cs"/>
        </w:rPr>
        <w:instrText>Ref133481736 \r \h</w:instrText>
      </w:r>
      <w:r w:rsidRPr="002A0D0C">
        <w:rPr>
          <w:rStyle w:val="af2"/>
          <w:rFonts w:eastAsia="Guttman Hodes"/>
          <w:rtl/>
        </w:rPr>
        <w:instrText xml:space="preserve"> </w:instrText>
      </w:r>
      <w:r w:rsidRPr="002A0D0C">
        <w:rPr>
          <w:rStyle w:val="af2"/>
          <w:rFonts w:eastAsia="Guttman Hodes"/>
          <w:rtl/>
        </w:rPr>
      </w:r>
      <w:r w:rsidRPr="002A0D0C">
        <w:rPr>
          <w:rStyle w:val="af2"/>
          <w:rFonts w:eastAsia="Guttman Hodes"/>
          <w:rtl/>
        </w:rPr>
        <w:fldChar w:fldCharType="separate"/>
      </w:r>
      <w:r w:rsidR="00D82181">
        <w:rPr>
          <w:rStyle w:val="af2"/>
          <w:rFonts w:eastAsia="Guttman Hodes"/>
          <w:cs/>
        </w:rPr>
        <w:t>‎</w:t>
      </w:r>
      <w:r w:rsidR="00D82181">
        <w:rPr>
          <w:rStyle w:val="af2"/>
          <w:rFonts w:eastAsia="Guttman Hodes"/>
          <w:rtl/>
        </w:rPr>
        <w:t>א)</w:t>
      </w:r>
      <w:r w:rsidRPr="002A0D0C">
        <w:rPr>
          <w:rStyle w:val="af2"/>
          <w:rFonts w:eastAsia="Guttman Hodes"/>
          <w:rtl/>
        </w:rPr>
        <w:fldChar w:fldCharType="end"/>
      </w:r>
      <w:r>
        <w:rPr>
          <w:rFonts w:hint="cs"/>
          <w:rtl/>
        </w:rPr>
        <w:t xml:space="preserve"> דזורע ונוטע</w:t>
      </w:r>
      <w:r w:rsidRPr="00780A1D">
        <w:rPr>
          <w:rtl/>
        </w:rPr>
        <w:t xml:space="preserve"> </w:t>
      </w:r>
      <w:r>
        <w:rPr>
          <w:rtl/>
        </w:rPr>
        <w:t>ומבריך ומרכיב</w:t>
      </w:r>
      <w:r>
        <w:rPr>
          <w:rFonts w:hint="cs"/>
          <w:rtl/>
        </w:rPr>
        <w:t xml:space="preserve"> הם אבות וזומר הוא תולדה, הקשה </w:t>
      </w:r>
      <w:r w:rsidRPr="00C444C9">
        <w:rPr>
          <w:rStyle w:val="aff4"/>
          <w:rFonts w:hint="cs"/>
          <w:vanish/>
          <w:rtl/>
        </w:rPr>
        <w:t xml:space="preserve">-&lt;. </w:t>
      </w:r>
      <w:r w:rsidRPr="00C444C9">
        <w:rPr>
          <w:rStyle w:val="aff4"/>
          <w:vanish/>
          <w:rtl/>
        </w:rPr>
        <w:fldChar w:fldCharType="begin"/>
      </w:r>
      <w:r w:rsidRPr="00C444C9">
        <w:rPr>
          <w:rStyle w:val="aff4"/>
          <w:vanish/>
          <w:rtl/>
        </w:rPr>
        <w:instrText xml:space="preserve"> </w:instrText>
      </w:r>
      <w:r w:rsidRPr="00C444C9">
        <w:rPr>
          <w:rStyle w:val="aff4"/>
          <w:rFonts w:hint="cs"/>
          <w:vanish/>
        </w:rPr>
        <w:instrText>REF</w:instrText>
      </w:r>
      <w:r w:rsidRPr="00C444C9">
        <w:rPr>
          <w:rStyle w:val="aff4"/>
          <w:rFonts w:hint="cs"/>
          <w:vanish/>
          <w:rtl/>
        </w:rPr>
        <w:instrText xml:space="preserve"> _</w:instrText>
      </w:r>
      <w:r w:rsidRPr="00C444C9">
        <w:rPr>
          <w:rStyle w:val="aff4"/>
          <w:rFonts w:hint="cs"/>
          <w:vanish/>
        </w:rPr>
        <w:instrText>Ref133480809 \r \h</w:instrText>
      </w:r>
      <w:r w:rsidRPr="00C444C9">
        <w:rPr>
          <w:rStyle w:val="aff4"/>
          <w:vanish/>
          <w:rtl/>
        </w:rPr>
        <w:instrText xml:space="preserve"> </w:instrText>
      </w:r>
      <w:r w:rsidRPr="00C444C9">
        <w:rPr>
          <w:rStyle w:val="aff4"/>
          <w:vanish/>
          <w:rtl/>
        </w:rPr>
      </w:r>
      <w:r w:rsidRPr="00C444C9">
        <w:rPr>
          <w:rStyle w:val="aff4"/>
          <w:vanish/>
          <w:rtl/>
        </w:rPr>
        <w:fldChar w:fldCharType="separate"/>
      </w:r>
      <w:r w:rsidR="00D82181">
        <w:rPr>
          <w:rStyle w:val="aff4"/>
          <w:vanish/>
          <w:cs/>
        </w:rPr>
        <w:t>‎</w:t>
      </w:r>
      <w:r w:rsidR="00D82181">
        <w:rPr>
          <w:rStyle w:val="aff4"/>
          <w:vanish/>
          <w:rtl/>
        </w:rPr>
        <w:t>ה)</w:t>
      </w:r>
      <w:r w:rsidRPr="00C444C9">
        <w:rPr>
          <w:rStyle w:val="aff4"/>
          <w:vanish/>
          <w:rtl/>
        </w:rPr>
        <w:fldChar w:fldCharType="end"/>
      </w:r>
      <w:r w:rsidRPr="00C444C9">
        <w:rPr>
          <w:rStyle w:val="aff4"/>
          <w:rFonts w:hint="cs"/>
          <w:vanish/>
          <w:rtl/>
        </w:rPr>
        <w:t xml:space="preserve"> &gt;</w:t>
      </w:r>
      <w:r w:rsidRPr="004F32D2">
        <w:rPr>
          <w:rStyle w:val="aff4"/>
          <w:rFonts w:hint="cs"/>
          <w:rtl/>
        </w:rPr>
        <w:t>השואל בשו"ת רבי בצלאל אשכנזי</w:t>
      </w:r>
      <w:r w:rsidRPr="00C444C9">
        <w:rPr>
          <w:rStyle w:val="aff4"/>
          <w:rFonts w:hint="cs"/>
          <w:vanish/>
          <w:rtl/>
        </w:rPr>
        <w:t>-</w:t>
      </w:r>
      <w:r>
        <w:rPr>
          <w:rFonts w:hint="cs"/>
          <w:rtl/>
        </w:rPr>
        <w:t xml:space="preserve"> </w:t>
      </w:r>
      <w:r w:rsidRPr="002A0D0C">
        <w:rPr>
          <w:rStyle w:val="af2"/>
          <w:rFonts w:eastAsia="Guttman Hodes" w:hint="cs"/>
          <w:rtl/>
        </w:rPr>
        <w:t>(סי' ל"ח)</w:t>
      </w:r>
      <w:r w:rsidRPr="00D636FB">
        <w:rPr>
          <w:rFonts w:hint="cs"/>
          <w:vanish/>
          <w:rtl/>
        </w:rPr>
        <w:t>=</w:t>
      </w:r>
      <w:r>
        <w:rPr>
          <w:rFonts w:hint="cs"/>
          <w:rtl/>
        </w:rPr>
        <w:t xml:space="preserve"> דאילו לענין שביעית, כתב </w:t>
      </w:r>
      <w:r w:rsidRPr="00C444C9">
        <w:rPr>
          <w:rStyle w:val="aff4"/>
          <w:rFonts w:hint="cs"/>
          <w:vanish/>
          <w:rtl/>
        </w:rPr>
        <w:t>-</w:t>
      </w:r>
      <w:r w:rsidRPr="004F32D2">
        <w:rPr>
          <w:rStyle w:val="aff4"/>
          <w:rFonts w:hint="cs"/>
          <w:rtl/>
        </w:rPr>
        <w:t>רש"י לעיל</w:t>
      </w:r>
      <w:r w:rsidRPr="00C444C9">
        <w:rPr>
          <w:rStyle w:val="aff4"/>
          <w:rFonts w:hint="cs"/>
          <w:vanish/>
          <w:rtl/>
        </w:rPr>
        <w:t>-</w:t>
      </w:r>
      <w:r>
        <w:rPr>
          <w:rFonts w:hint="cs"/>
          <w:rtl/>
        </w:rPr>
        <w:t xml:space="preserve"> </w:t>
      </w:r>
      <w:r w:rsidRPr="002A0D0C">
        <w:rPr>
          <w:rStyle w:val="af2"/>
          <w:rFonts w:eastAsia="Guttman Hodes" w:hint="cs"/>
          <w:rtl/>
        </w:rPr>
        <w:t>(סח. ד"ה דאית)</w:t>
      </w:r>
      <w:r>
        <w:rPr>
          <w:rFonts w:hint="cs"/>
          <w:rtl/>
        </w:rPr>
        <w:t xml:space="preserve"> דזורע וקוצר וזומר ובוצר הם אבות, ובגמ' במועד קטן </w:t>
      </w:r>
      <w:r w:rsidRPr="002A0D0C">
        <w:rPr>
          <w:rStyle w:val="af2"/>
          <w:rFonts w:eastAsia="Guttman Hodes" w:hint="cs"/>
          <w:rtl/>
        </w:rPr>
        <w:t>(ג.)</w:t>
      </w:r>
      <w:r w:rsidRPr="00D033D1">
        <w:rPr>
          <w:rStyle w:val="af2"/>
          <w:rFonts w:eastAsia="Guttman Hodes" w:hint="cs"/>
          <w:rtl/>
        </w:rPr>
        <w:t xml:space="preserve"> </w:t>
      </w:r>
      <w:r>
        <w:rPr>
          <w:rFonts w:hint="cs"/>
          <w:rtl/>
        </w:rPr>
        <w:t xml:space="preserve">מבואר דזומר ובוצר הם תולדות. </w:t>
      </w:r>
      <w:r w:rsidRPr="002A0D0C">
        <w:rPr>
          <w:rStyle w:val="af"/>
          <w:rFonts w:hint="cs"/>
          <w:rtl/>
        </w:rPr>
        <w:t xml:space="preserve">[וע"ע במה שהקשה </w:t>
      </w:r>
      <w:r w:rsidRPr="001145E2">
        <w:rPr>
          <w:rStyle w:val="aff9"/>
          <w:rFonts w:hint="cs"/>
          <w:vanish/>
          <w:rtl/>
        </w:rPr>
        <w:t>-</w:t>
      </w:r>
      <w:r w:rsidRPr="002A0D0C">
        <w:rPr>
          <w:rStyle w:val="aff9"/>
          <w:rFonts w:hint="cs"/>
          <w:rtl/>
        </w:rPr>
        <w:t>השואל בשו"ת רבי בצלאל אשכנזי</w:t>
      </w:r>
      <w:r w:rsidRPr="001145E2">
        <w:rPr>
          <w:rStyle w:val="aff9"/>
          <w:rFonts w:hint="cs"/>
          <w:vanish/>
          <w:rtl/>
        </w:rPr>
        <w:t>-</w:t>
      </w:r>
      <w:r w:rsidRPr="002A0D0C">
        <w:rPr>
          <w:rStyle w:val="af"/>
          <w:rFonts w:hint="cs"/>
          <w:rtl/>
        </w:rPr>
        <w:t xml:space="preserve"> </w:t>
      </w:r>
      <w:r w:rsidRPr="002A0D0C">
        <w:rPr>
          <w:rStyle w:val="aff5"/>
          <w:rFonts w:hint="cs"/>
          <w:rtl/>
        </w:rPr>
        <w:t xml:space="preserve">(עי' אות </w:t>
      </w:r>
      <w:r w:rsidRPr="002A0D0C">
        <w:rPr>
          <w:rStyle w:val="aff5"/>
          <w:rtl/>
        </w:rPr>
        <w:fldChar w:fldCharType="begin"/>
      </w:r>
      <w:r w:rsidRPr="002A0D0C">
        <w:rPr>
          <w:rStyle w:val="aff5"/>
          <w:rtl/>
        </w:rPr>
        <w:instrText xml:space="preserve"> </w:instrText>
      </w:r>
      <w:r w:rsidRPr="002A0D0C">
        <w:rPr>
          <w:rStyle w:val="aff5"/>
          <w:rFonts w:hint="cs"/>
        </w:rPr>
        <w:instrText>REF</w:instrText>
      </w:r>
      <w:r w:rsidRPr="002A0D0C">
        <w:rPr>
          <w:rStyle w:val="aff5"/>
          <w:rFonts w:hint="cs"/>
          <w:rtl/>
        </w:rPr>
        <w:instrText xml:space="preserve"> _</w:instrText>
      </w:r>
      <w:r w:rsidRPr="002A0D0C">
        <w:rPr>
          <w:rStyle w:val="aff5"/>
          <w:rFonts w:hint="cs"/>
        </w:rPr>
        <w:instrText>Ref133335975 \r \h</w:instrText>
      </w:r>
      <w:r w:rsidRPr="002A0D0C">
        <w:rPr>
          <w:rStyle w:val="aff5"/>
          <w:rtl/>
        </w:rPr>
        <w:instrText xml:space="preserve">  \* </w:instrText>
      </w:r>
      <w:r w:rsidRPr="002A0D0C">
        <w:rPr>
          <w:rStyle w:val="aff5"/>
        </w:rPr>
        <w:instrText>MERGEFORMAT</w:instrText>
      </w:r>
      <w:r w:rsidRPr="002A0D0C">
        <w:rPr>
          <w:rStyle w:val="aff5"/>
          <w:rtl/>
        </w:rPr>
        <w:instrText xml:space="preserve"> </w:instrText>
      </w:r>
      <w:r w:rsidRPr="002A0D0C">
        <w:rPr>
          <w:rStyle w:val="aff5"/>
          <w:rtl/>
        </w:rPr>
      </w:r>
      <w:r w:rsidRPr="002A0D0C">
        <w:rPr>
          <w:rStyle w:val="aff5"/>
          <w:rtl/>
        </w:rPr>
        <w:fldChar w:fldCharType="separate"/>
      </w:r>
      <w:r w:rsidR="00D82181">
        <w:rPr>
          <w:rStyle w:val="aff5"/>
          <w:cs/>
        </w:rPr>
        <w:t>‎</w:t>
      </w:r>
      <w:r w:rsidR="00D82181">
        <w:rPr>
          <w:rStyle w:val="aff5"/>
          <w:rtl/>
        </w:rPr>
        <w:t>מג)</w:t>
      </w:r>
      <w:r w:rsidRPr="002A0D0C">
        <w:rPr>
          <w:rStyle w:val="aff5"/>
          <w:rtl/>
        </w:rPr>
        <w:fldChar w:fldCharType="end"/>
      </w:r>
      <w:r w:rsidRPr="002A0D0C">
        <w:rPr>
          <w:rStyle w:val="af"/>
          <w:rFonts w:hint="cs"/>
          <w:rtl/>
        </w:rPr>
        <w:t xml:space="preserve"> על </w:t>
      </w:r>
      <w:r w:rsidRPr="001145E2">
        <w:rPr>
          <w:rStyle w:val="aff9"/>
          <w:rFonts w:hint="cs"/>
          <w:vanish/>
          <w:rtl/>
        </w:rPr>
        <w:t>-</w:t>
      </w:r>
      <w:r w:rsidRPr="002A0D0C">
        <w:rPr>
          <w:rStyle w:val="aff9"/>
          <w:rFonts w:hint="cs"/>
          <w:rtl/>
        </w:rPr>
        <w:t>הרמב"ם</w:t>
      </w:r>
      <w:r w:rsidRPr="001145E2">
        <w:rPr>
          <w:rStyle w:val="aff9"/>
          <w:rFonts w:hint="cs"/>
          <w:vanish/>
          <w:rtl/>
        </w:rPr>
        <w:t>-</w:t>
      </w:r>
      <w:bookmarkEnd w:id="96"/>
      <w:r w:rsidRPr="002A0D0C">
        <w:rPr>
          <w:rStyle w:val="af"/>
          <w:rFonts w:hint="cs"/>
          <w:rtl/>
        </w:rPr>
        <w:t>]</w:t>
      </w:r>
      <w:r w:rsidRPr="00783802">
        <w:rPr>
          <w:rStyle w:val="af"/>
          <w:rFonts w:hint="cs"/>
          <w:rtl/>
        </w:rPr>
        <w:t>.</w:t>
      </w:r>
    </w:p>
    <w:p w14:paraId="684DD6E5" w14:textId="77777777" w:rsidR="009623A2" w:rsidRPr="00747170" w:rsidRDefault="009623A2" w:rsidP="00747170">
      <w:pPr>
        <w:pStyle w:val="a2"/>
        <w:rPr>
          <w:rtl/>
        </w:rPr>
      </w:pPr>
      <w:r w:rsidRPr="00747170">
        <w:rPr>
          <w:rStyle w:val="afff7"/>
          <w:rtl/>
        </w:rPr>
        <w:t>שאלה במה שכתב הרמב"ם ז"ל בה' שבת פ' שביעי דזומר ובוצר הן אבות מלאכות ובה' שמיטה ויובל פ' ראשון כתב שזומר ובוצר הן תולדות זומר תולדה דזורע ובוצר תולדה דקוצר וכן במ"ק פ"ק אמרו בבירור שזומר ובוצר הן תולדות דזורע וקוצר אם כן קשיא להרמב"ם ז"ל מדידיה אדידיה וקשיא ליה מהגמ' של מ"ק</w:t>
      </w:r>
      <w:r w:rsidRPr="00747170">
        <w:rPr>
          <w:rtl/>
        </w:rPr>
        <w:t xml:space="preserve"> וכן קשיא לרש"י ז"ל מדידיה אדידיה ומדידיה אל הגמ' דבמס' שבת בריש פ' כלל גדול כתב אבות דשביעית זריעה וקצירה וזמירה ובצירה ולפנים בפ' עצמו כתב הוא ז"ל על מה שאמרו בגמ' על המשנה דארבעים מלאכות חסר אחת תנא הזורע והזומר וכו' כולן מלאכה אחת הן זה לשונו זורע אב מלאכה ונוטע נמי אב מלאכה הוא דהיינו זורע אלא שזה בזרעים וזה באילנות וכן מבריך ומרכיב אבל זומר תולדה הנה אומר שהנוטע ומבריך ומרכיב שהן הדומו' לזורע הנז' במשנה הן אב מלאכה בכל מקום בשבת ובשביעית וזומר תולדה ובמ"ק אמרו בהדיא שזומר ובוצר הן תולדות א"כ קשיא מדידיה אדידיה כפי מה שכתב בפ' כלל גדול ומדידיה אל הגמ' של מועד קטן עכ"ל. </w:t>
      </w:r>
    </w:p>
    <w:p w14:paraId="0D3A0548" w14:textId="77777777" w:rsidR="009623A2" w:rsidRDefault="009623A2" w:rsidP="009623A2">
      <w:pPr>
        <w:pStyle w:val="afffff7"/>
        <w:rPr>
          <w:rtl/>
        </w:rPr>
      </w:pPr>
      <w:bookmarkStart w:id="97" w:name="_Toc133841626"/>
      <w:bookmarkStart w:id="98" w:name="_Hlk133442955"/>
      <w:bookmarkStart w:id="99" w:name="_Toc163505374"/>
      <w:r>
        <w:rPr>
          <w:rtl/>
        </w:rPr>
        <w:t>שו"ת רבי בצלאל אשכנזי סימן לח</w:t>
      </w:r>
      <w:r>
        <w:rPr>
          <w:rFonts w:hint="cs"/>
          <w:rtl/>
        </w:rPr>
        <w:t xml:space="preserve"> ד"ה גם לרש"י</w:t>
      </w:r>
      <w:bookmarkEnd w:id="97"/>
      <w:bookmarkEnd w:id="99"/>
    </w:p>
    <w:p w14:paraId="05E958D3" w14:textId="77777777" w:rsidR="009623A2" w:rsidRDefault="009623A2" w:rsidP="009623A2">
      <w:pPr>
        <w:pStyle w:val="a7"/>
        <w:rPr>
          <w:rtl/>
        </w:rPr>
      </w:pPr>
      <w:bookmarkStart w:id="100" w:name="_Toc134419566"/>
      <w:r>
        <w:rPr>
          <w:rFonts w:hint="cs"/>
          <w:rtl/>
        </w:rPr>
        <w:t>תי' רבי בצלאל אשכנזי דלשבת שם האב תלוי במשכן ולשביעית המפורש בפסו' וזומר הוי אב</w:t>
      </w:r>
      <w:bookmarkEnd w:id="100"/>
    </w:p>
    <w:p w14:paraId="64015CEF" w14:textId="06BFFC40" w:rsidR="009623A2" w:rsidRPr="00F04926" w:rsidRDefault="009623A2" w:rsidP="00BC7DC8">
      <w:pPr>
        <w:pStyle w:val="a3"/>
      </w:pPr>
      <w:bookmarkStart w:id="101" w:name="_Ref133481838"/>
      <w:r>
        <w:rPr>
          <w:rFonts w:hint="cs"/>
          <w:rtl/>
        </w:rPr>
        <w:t xml:space="preserve">ותירץ </w:t>
      </w:r>
      <w:r w:rsidRPr="00C444C9">
        <w:rPr>
          <w:rStyle w:val="aff4"/>
          <w:rFonts w:hint="cs"/>
          <w:vanish/>
          <w:rtl/>
        </w:rPr>
        <w:t>-</w:t>
      </w:r>
      <w:r w:rsidRPr="004F32D2">
        <w:rPr>
          <w:rStyle w:val="aff4"/>
          <w:rFonts w:hint="cs"/>
          <w:rtl/>
        </w:rPr>
        <w:t>ב</w:t>
      </w:r>
      <w:r w:rsidRPr="00C444C9">
        <w:rPr>
          <w:rStyle w:val="aff4"/>
          <w:rFonts w:hint="cs"/>
          <w:vanish/>
          <w:rtl/>
        </w:rPr>
        <w:t xml:space="preserve">&lt;. </w:t>
      </w:r>
      <w:r w:rsidRPr="00C444C9">
        <w:rPr>
          <w:rStyle w:val="aff4"/>
          <w:vanish/>
          <w:rtl/>
        </w:rPr>
        <w:fldChar w:fldCharType="begin"/>
      </w:r>
      <w:r w:rsidRPr="00C444C9">
        <w:rPr>
          <w:rStyle w:val="aff4"/>
          <w:vanish/>
          <w:rtl/>
        </w:rPr>
        <w:instrText xml:space="preserve"> </w:instrText>
      </w:r>
      <w:r w:rsidRPr="00C444C9">
        <w:rPr>
          <w:rStyle w:val="aff4"/>
          <w:rFonts w:hint="cs"/>
          <w:vanish/>
        </w:rPr>
        <w:instrText>REF</w:instrText>
      </w:r>
      <w:r w:rsidRPr="00C444C9">
        <w:rPr>
          <w:rStyle w:val="aff4"/>
          <w:rFonts w:hint="cs"/>
          <w:vanish/>
          <w:rtl/>
        </w:rPr>
        <w:instrText xml:space="preserve"> _</w:instrText>
      </w:r>
      <w:r w:rsidRPr="00C444C9">
        <w:rPr>
          <w:rStyle w:val="aff4"/>
          <w:rFonts w:hint="cs"/>
          <w:vanish/>
        </w:rPr>
        <w:instrText>Ref133481838 \r \h</w:instrText>
      </w:r>
      <w:r w:rsidRPr="00C444C9">
        <w:rPr>
          <w:rStyle w:val="aff4"/>
          <w:vanish/>
          <w:rtl/>
        </w:rPr>
        <w:instrText xml:space="preserve">  \* </w:instrText>
      </w:r>
      <w:r w:rsidRPr="00C444C9">
        <w:rPr>
          <w:rStyle w:val="aff4"/>
          <w:vanish/>
        </w:rPr>
        <w:instrText>MERGEFORMAT</w:instrText>
      </w:r>
      <w:r w:rsidRPr="00C444C9">
        <w:rPr>
          <w:rStyle w:val="aff4"/>
          <w:vanish/>
          <w:rtl/>
        </w:rPr>
        <w:instrText xml:space="preserve"> </w:instrText>
      </w:r>
      <w:r w:rsidRPr="00C444C9">
        <w:rPr>
          <w:rStyle w:val="aff4"/>
          <w:vanish/>
          <w:rtl/>
        </w:rPr>
      </w:r>
      <w:r w:rsidRPr="00C444C9">
        <w:rPr>
          <w:rStyle w:val="aff4"/>
          <w:vanish/>
          <w:rtl/>
        </w:rPr>
        <w:fldChar w:fldCharType="separate"/>
      </w:r>
      <w:r w:rsidR="00D82181">
        <w:rPr>
          <w:rStyle w:val="aff4"/>
          <w:vanish/>
          <w:cs/>
        </w:rPr>
        <w:t>‎</w:t>
      </w:r>
      <w:r w:rsidR="00D82181">
        <w:rPr>
          <w:rStyle w:val="aff4"/>
          <w:vanish/>
          <w:rtl/>
        </w:rPr>
        <w:t>ו)</w:t>
      </w:r>
      <w:r w:rsidRPr="00C444C9">
        <w:rPr>
          <w:rStyle w:val="aff4"/>
          <w:vanish/>
          <w:rtl/>
        </w:rPr>
        <w:fldChar w:fldCharType="end"/>
      </w:r>
      <w:r w:rsidRPr="00C444C9">
        <w:rPr>
          <w:rStyle w:val="aff4"/>
          <w:rFonts w:hint="cs"/>
          <w:vanish/>
          <w:rtl/>
        </w:rPr>
        <w:t xml:space="preserve"> &gt;</w:t>
      </w:r>
      <w:r w:rsidRPr="004F32D2">
        <w:rPr>
          <w:rStyle w:val="aff4"/>
          <w:rFonts w:hint="cs"/>
          <w:rtl/>
        </w:rPr>
        <w:t>שו"ת רבי בצלאל אשכנזי</w:t>
      </w:r>
      <w:r w:rsidRPr="00C444C9">
        <w:rPr>
          <w:rStyle w:val="aff4"/>
          <w:rFonts w:hint="cs"/>
          <w:vanish/>
          <w:rtl/>
        </w:rPr>
        <w:t>-</w:t>
      </w:r>
      <w:r>
        <w:rPr>
          <w:rFonts w:hint="cs"/>
          <w:rtl/>
        </w:rPr>
        <w:t xml:space="preserve"> </w:t>
      </w:r>
      <w:r w:rsidRPr="002A0D0C">
        <w:rPr>
          <w:rStyle w:val="af2"/>
          <w:rFonts w:eastAsia="Guttman Hodes" w:hint="cs"/>
          <w:rtl/>
        </w:rPr>
        <w:t>(סו"ס ל"ח ד"ה גם לרש"י)</w:t>
      </w:r>
      <w:r w:rsidRPr="002E34C6">
        <w:rPr>
          <w:rFonts w:hint="cs"/>
          <w:vanish/>
          <w:rtl/>
        </w:rPr>
        <w:t>=</w:t>
      </w:r>
      <w:r>
        <w:rPr>
          <w:rFonts w:hint="cs"/>
          <w:rtl/>
        </w:rPr>
        <w:t xml:space="preserve"> דרק לענין שבת שם האב תלוי במשכן, אבל לשאר דברים כגון נזיקין שם האב תלוי במאי דכתיבא להדיא, וה"ה לענין שביעית, וכיון דרק זריעה וקצירה וזמירה ובצירה כתובים להדיא בתורה, רק הם אבות, והשאר אסמיכנהו אקרא כדאיתא בגמ' במו"ק </w:t>
      </w:r>
      <w:r w:rsidRPr="002A0D0C">
        <w:rPr>
          <w:rStyle w:val="af2"/>
          <w:rFonts w:eastAsia="Guttman Hodes" w:hint="cs"/>
          <w:rtl/>
        </w:rPr>
        <w:t>(ג.)</w:t>
      </w:r>
      <w:r>
        <w:rPr>
          <w:rFonts w:hint="cs"/>
          <w:rtl/>
        </w:rPr>
        <w:t xml:space="preserve">, דהם תולדות ולדעת רבא אסורים רק מדרבנן, ומ"ש </w:t>
      </w:r>
      <w:r w:rsidRPr="00C444C9">
        <w:rPr>
          <w:rStyle w:val="aff4"/>
          <w:rFonts w:hint="cs"/>
          <w:vanish/>
          <w:rtl/>
        </w:rPr>
        <w:t>-</w:t>
      </w:r>
      <w:r w:rsidRPr="004F32D2">
        <w:rPr>
          <w:rStyle w:val="aff4"/>
          <w:rFonts w:hint="cs"/>
          <w:rtl/>
        </w:rPr>
        <w:t>רש"י</w:t>
      </w:r>
      <w:r w:rsidRPr="00C444C9">
        <w:rPr>
          <w:rStyle w:val="aff4"/>
          <w:rFonts w:hint="cs"/>
          <w:vanish/>
          <w:rtl/>
        </w:rPr>
        <w:t>-</w:t>
      </w:r>
      <w:r>
        <w:rPr>
          <w:rFonts w:hint="cs"/>
          <w:rtl/>
        </w:rPr>
        <w:t xml:space="preserve"> דזומר ובוצר הם תולדות היינו לענין שבת דלא היו במשכן, ולא לענין שביעית דהם מפורשים בתורה.</w:t>
      </w:r>
      <w:bookmarkEnd w:id="101"/>
      <w:r>
        <w:rPr>
          <w:rFonts w:hint="cs"/>
          <w:rtl/>
        </w:rPr>
        <w:t xml:space="preserve"> </w:t>
      </w:r>
      <w:r w:rsidRPr="002A0D0C">
        <w:rPr>
          <w:rStyle w:val="af"/>
          <w:rFonts w:hint="cs"/>
          <w:rtl/>
        </w:rPr>
        <w:t xml:space="preserve">[והא דמבואר בגמ' במו"ק דזומר ובוצר הם תולדות, עי' במה שביאר </w:t>
      </w:r>
      <w:r w:rsidRPr="001145E2">
        <w:rPr>
          <w:rStyle w:val="aff9"/>
          <w:rFonts w:hint="cs"/>
          <w:vanish/>
          <w:rtl/>
        </w:rPr>
        <w:t>-</w:t>
      </w:r>
      <w:r w:rsidRPr="002A0D0C">
        <w:rPr>
          <w:rStyle w:val="aff9"/>
          <w:rFonts w:hint="cs"/>
          <w:rtl/>
        </w:rPr>
        <w:t>בשו"ת רבי בצלאל אשכנזי</w:t>
      </w:r>
      <w:r w:rsidRPr="001145E2">
        <w:rPr>
          <w:rStyle w:val="aff9"/>
          <w:rFonts w:hint="cs"/>
          <w:vanish/>
          <w:rtl/>
        </w:rPr>
        <w:t>-</w:t>
      </w:r>
      <w:r w:rsidRPr="002A0D0C">
        <w:rPr>
          <w:rStyle w:val="af"/>
          <w:rFonts w:hint="cs"/>
          <w:rtl/>
        </w:rPr>
        <w:t xml:space="preserve"> </w:t>
      </w:r>
      <w:r w:rsidRPr="002A0D0C">
        <w:rPr>
          <w:rStyle w:val="aff5"/>
          <w:rFonts w:hint="cs"/>
          <w:rtl/>
        </w:rPr>
        <w:t xml:space="preserve">(עי' אות </w:t>
      </w:r>
      <w:r w:rsidRPr="002A0D0C">
        <w:rPr>
          <w:rStyle w:val="aff5"/>
          <w:rtl/>
        </w:rPr>
        <w:fldChar w:fldCharType="begin"/>
      </w:r>
      <w:r w:rsidRPr="002A0D0C">
        <w:rPr>
          <w:rStyle w:val="aff5"/>
          <w:rtl/>
        </w:rPr>
        <w:instrText xml:space="preserve"> </w:instrText>
      </w:r>
      <w:r w:rsidRPr="002A0D0C">
        <w:rPr>
          <w:rStyle w:val="aff5"/>
          <w:rFonts w:hint="cs"/>
        </w:rPr>
        <w:instrText>REF</w:instrText>
      </w:r>
      <w:r w:rsidRPr="002A0D0C">
        <w:rPr>
          <w:rStyle w:val="aff5"/>
          <w:rFonts w:hint="cs"/>
          <w:rtl/>
        </w:rPr>
        <w:instrText xml:space="preserve"> _</w:instrText>
      </w:r>
      <w:r w:rsidRPr="002A0D0C">
        <w:rPr>
          <w:rStyle w:val="aff5"/>
          <w:rFonts w:hint="cs"/>
        </w:rPr>
        <w:instrText>Ref133482563 \r \h</w:instrText>
      </w:r>
      <w:r w:rsidRPr="002A0D0C">
        <w:rPr>
          <w:rStyle w:val="aff5"/>
          <w:rtl/>
        </w:rPr>
        <w:instrText xml:space="preserve"> </w:instrText>
      </w:r>
      <w:r w:rsidRPr="002A0D0C">
        <w:rPr>
          <w:rStyle w:val="aff5"/>
          <w:rtl/>
        </w:rPr>
      </w:r>
      <w:r w:rsidRPr="002A0D0C">
        <w:rPr>
          <w:rStyle w:val="aff5"/>
          <w:rtl/>
        </w:rPr>
        <w:fldChar w:fldCharType="separate"/>
      </w:r>
      <w:r w:rsidR="00D82181">
        <w:rPr>
          <w:rStyle w:val="aff5"/>
          <w:cs/>
        </w:rPr>
        <w:t>‎</w:t>
      </w:r>
      <w:r w:rsidR="00D82181">
        <w:rPr>
          <w:rStyle w:val="aff5"/>
          <w:rtl/>
        </w:rPr>
        <w:t>מז)</w:t>
      </w:r>
      <w:r w:rsidRPr="002A0D0C">
        <w:rPr>
          <w:rStyle w:val="aff5"/>
          <w:rtl/>
        </w:rPr>
        <w:fldChar w:fldCharType="end"/>
      </w:r>
      <w:r w:rsidRPr="002A0D0C">
        <w:rPr>
          <w:rStyle w:val="af"/>
          <w:rFonts w:hint="cs"/>
          <w:rtl/>
        </w:rPr>
        <w:t xml:space="preserve"> </w:t>
      </w:r>
      <w:r w:rsidRPr="002A0D0C">
        <w:rPr>
          <w:rStyle w:val="af"/>
          <w:rtl/>
        </w:rPr>
        <w:fldChar w:fldCharType="begin"/>
      </w:r>
      <w:r w:rsidRPr="002A0D0C">
        <w:rPr>
          <w:rStyle w:val="af"/>
          <w:rtl/>
        </w:rPr>
        <w:instrText xml:space="preserve"> </w:instrText>
      </w:r>
      <w:r w:rsidRPr="002A0D0C">
        <w:rPr>
          <w:rStyle w:val="af"/>
          <w:rFonts w:hint="cs"/>
        </w:rPr>
        <w:instrText>REF</w:instrText>
      </w:r>
      <w:r w:rsidRPr="002A0D0C">
        <w:rPr>
          <w:rStyle w:val="af"/>
          <w:rFonts w:hint="cs"/>
          <w:rtl/>
        </w:rPr>
        <w:instrText xml:space="preserve"> _</w:instrText>
      </w:r>
      <w:r w:rsidRPr="002A0D0C">
        <w:rPr>
          <w:rStyle w:val="af"/>
          <w:rFonts w:hint="cs"/>
        </w:rPr>
        <w:instrText>Ref133335975 \r \h</w:instrText>
      </w:r>
      <w:r w:rsidRPr="002A0D0C">
        <w:rPr>
          <w:rStyle w:val="af"/>
          <w:rtl/>
        </w:rPr>
        <w:instrText xml:space="preserve">  \* </w:instrText>
      </w:r>
      <w:r w:rsidRPr="002A0D0C">
        <w:rPr>
          <w:rStyle w:val="af"/>
        </w:rPr>
        <w:instrText>MERGEFORMAT</w:instrText>
      </w:r>
      <w:r w:rsidRPr="002A0D0C">
        <w:rPr>
          <w:rStyle w:val="af"/>
          <w:rtl/>
        </w:rPr>
        <w:instrText xml:space="preserve"> </w:instrText>
      </w:r>
      <w:r w:rsidRPr="002A0D0C">
        <w:rPr>
          <w:rStyle w:val="af"/>
          <w:rtl/>
        </w:rPr>
      </w:r>
      <w:r w:rsidRPr="002A0D0C">
        <w:rPr>
          <w:rStyle w:val="af"/>
          <w:rtl/>
        </w:rPr>
        <w:fldChar w:fldCharType="separate"/>
      </w:r>
      <w:r w:rsidR="00D82181">
        <w:rPr>
          <w:rStyle w:val="af"/>
          <w:cs/>
        </w:rPr>
        <w:t>‎</w:t>
      </w:r>
      <w:r w:rsidR="00D82181">
        <w:rPr>
          <w:rStyle w:val="af"/>
          <w:rtl/>
        </w:rPr>
        <w:t>מג)</w:t>
      </w:r>
      <w:r w:rsidRPr="002A0D0C">
        <w:rPr>
          <w:rStyle w:val="af"/>
          <w:rtl/>
        </w:rPr>
        <w:fldChar w:fldCharType="end"/>
      </w:r>
      <w:r w:rsidRPr="002A0D0C">
        <w:rPr>
          <w:rStyle w:val="af"/>
          <w:rFonts w:hint="cs"/>
          <w:rtl/>
        </w:rPr>
        <w:t xml:space="preserve">בדעת </w:t>
      </w:r>
      <w:r w:rsidRPr="001145E2">
        <w:rPr>
          <w:rStyle w:val="aff9"/>
          <w:rFonts w:hint="cs"/>
          <w:vanish/>
          <w:rtl/>
        </w:rPr>
        <w:t>-</w:t>
      </w:r>
      <w:r w:rsidRPr="002A0D0C">
        <w:rPr>
          <w:rStyle w:val="aff9"/>
          <w:rFonts w:hint="cs"/>
          <w:rtl/>
        </w:rPr>
        <w:t>הרמב"ם</w:t>
      </w:r>
      <w:r w:rsidRPr="001145E2">
        <w:rPr>
          <w:rStyle w:val="aff9"/>
          <w:rFonts w:hint="cs"/>
          <w:vanish/>
          <w:rtl/>
        </w:rPr>
        <w:t>-</w:t>
      </w:r>
      <w:r w:rsidRPr="002A0D0C">
        <w:rPr>
          <w:rStyle w:val="af"/>
          <w:rFonts w:hint="cs"/>
          <w:rtl/>
        </w:rPr>
        <w:t xml:space="preserve"> דכוונת הגמ' לומר דאינם אבות ממש, אלא כעין אבות, אך אינם תולדות, ונקטה הגמ' תולדות בכדי ללמוד מהם על שאר התולדות]</w:t>
      </w:r>
      <w:r w:rsidRPr="00783802">
        <w:rPr>
          <w:rStyle w:val="af"/>
          <w:rFonts w:hint="cs"/>
          <w:rtl/>
        </w:rPr>
        <w:t>.</w:t>
      </w:r>
    </w:p>
    <w:p w14:paraId="23572534" w14:textId="77777777" w:rsidR="009623A2" w:rsidRPr="00747170" w:rsidRDefault="009623A2" w:rsidP="00747170">
      <w:pPr>
        <w:pStyle w:val="a2"/>
        <w:rPr>
          <w:rtl/>
        </w:rPr>
      </w:pPr>
      <w:r w:rsidRPr="00747170">
        <w:rPr>
          <w:rtl/>
        </w:rPr>
        <w:t>גם לרש"י ז"ל לא קשיא ולא מידי דהא כתיבנא לעיל דלגבי שבת דוקא תלוי קריאת שם אבות במשכן אבל בשאר מילי כגון בנזקין תלוי במאי דכתיבא להדיא והילכך גבי שביעית נמי תלוי במאי דכתיבא וזריעה וקצירה וזמירה ובצירה דכתיבן להדיא בקרא קרויין אבות ושאר עבודות שבשדה וכרם דאסמכינהו אקרא וכדאית' במסכת מ"ק וכדכתבינן הם תולדות ולרבא לא הוו אלא מדרבנן וכמו שכתבו התוספות</w:t>
      </w:r>
      <w:r w:rsidRPr="00747170">
        <w:rPr>
          <w:rFonts w:hint="cs"/>
          <w:rtl/>
        </w:rPr>
        <w:t xml:space="preserve">, וכו', </w:t>
      </w:r>
      <w:r w:rsidRPr="00747170">
        <w:rPr>
          <w:rtl/>
        </w:rPr>
        <w:t>ומה שאמרו דזומר ובוצר הן תולדות היינו לגבי שבת ומיהו לגבי שביעית כיון דכתיבן ביה להדיא נקראו אבות וכל זה ברור מאד לא ניתן ליכתב לרוב פשיטותו אבל להפיס דעת החכם השואל הארכתי גם הארכתי בפי' שמועות ולשונות התוספות ז"ל והר"מ במז"ל יען כי ראיתי באותה פיתקא דכתיבה כמאן דתהי בקנקן ולכן אמרתי תורה שלימה לא תהיה כשיחה קלה והאל ינקנו משגיאות ומהכשל בדבר הלכה ויראנו נפלאות מתורתו:</w:t>
      </w:r>
    </w:p>
    <w:p w14:paraId="613AF057" w14:textId="056ECDFD" w:rsidR="009623A2" w:rsidRDefault="009623A2" w:rsidP="009623A2">
      <w:pPr>
        <w:pStyle w:val="afffff7"/>
        <w:rPr>
          <w:rtl/>
        </w:rPr>
      </w:pPr>
      <w:bookmarkStart w:id="102" w:name="_Toc133841627"/>
      <w:bookmarkStart w:id="103" w:name="_Toc163505375"/>
      <w:bookmarkEnd w:id="98"/>
      <w:r>
        <w:rPr>
          <w:rtl/>
        </w:rPr>
        <w:t>שו"ת רבי בצלאל אשכנזי סימן לח</w:t>
      </w:r>
      <w:r>
        <w:rPr>
          <w:rFonts w:hint="cs"/>
          <w:rtl/>
        </w:rPr>
        <w:t xml:space="preserve"> ד"ה גם לרש"י</w:t>
      </w:r>
      <w:bookmarkEnd w:id="102"/>
      <w:bookmarkEnd w:id="103"/>
    </w:p>
    <w:p w14:paraId="2D231924" w14:textId="77777777" w:rsidR="009623A2" w:rsidRDefault="009623A2" w:rsidP="009623A2">
      <w:pPr>
        <w:pStyle w:val="a7"/>
        <w:rPr>
          <w:rtl/>
        </w:rPr>
      </w:pPr>
      <w:bookmarkStart w:id="104" w:name="_Toc134419567"/>
      <w:r>
        <w:rPr>
          <w:rFonts w:hint="cs"/>
          <w:rtl/>
        </w:rPr>
        <w:t>בי' רבי בצלאל אשכנזי ברש"י דמוכח דזומר פחות מזורע בב' דרגות ודלא כרמב"ם דהוי אב</w:t>
      </w:r>
      <w:bookmarkEnd w:id="104"/>
    </w:p>
    <w:p w14:paraId="36884442" w14:textId="4E965449" w:rsidR="009623A2" w:rsidRPr="00F04926" w:rsidRDefault="009623A2" w:rsidP="00BC7DC8">
      <w:pPr>
        <w:pStyle w:val="a3"/>
      </w:pPr>
      <w:r>
        <w:rPr>
          <w:rFonts w:hint="cs"/>
          <w:rtl/>
        </w:rPr>
        <w:t xml:space="preserve">והוסיף </w:t>
      </w:r>
      <w:r w:rsidRPr="00C444C9">
        <w:rPr>
          <w:rStyle w:val="aff4"/>
          <w:rFonts w:hint="cs"/>
          <w:vanish/>
          <w:rtl/>
        </w:rPr>
        <w:t>-</w:t>
      </w:r>
      <w:r w:rsidRPr="004F32D2">
        <w:rPr>
          <w:rStyle w:val="aff4"/>
          <w:rFonts w:hint="cs"/>
          <w:rtl/>
        </w:rPr>
        <w:t>בשו"ת רבי בצלאל אשכנזי</w:t>
      </w:r>
      <w:r w:rsidRPr="00C444C9">
        <w:rPr>
          <w:rStyle w:val="aff4"/>
          <w:rFonts w:hint="cs"/>
          <w:vanish/>
          <w:rtl/>
        </w:rPr>
        <w:t>-</w:t>
      </w:r>
      <w:r>
        <w:rPr>
          <w:rFonts w:hint="cs"/>
          <w:rtl/>
        </w:rPr>
        <w:t xml:space="preserve"> דהא דבזומר ס"ל </w:t>
      </w:r>
      <w:r w:rsidRPr="00C444C9">
        <w:rPr>
          <w:rStyle w:val="aff4"/>
          <w:rFonts w:hint="cs"/>
          <w:vanish/>
          <w:rtl/>
        </w:rPr>
        <w:t>-</w:t>
      </w:r>
      <w:r w:rsidRPr="004F32D2">
        <w:rPr>
          <w:rStyle w:val="aff4"/>
          <w:rFonts w:hint="cs"/>
          <w:rtl/>
        </w:rPr>
        <w:t>לרש"י</w:t>
      </w:r>
      <w:r w:rsidRPr="00C444C9">
        <w:rPr>
          <w:rStyle w:val="aff4"/>
          <w:rFonts w:hint="cs"/>
          <w:vanish/>
          <w:rtl/>
        </w:rPr>
        <w:t>-</w:t>
      </w:r>
      <w:r>
        <w:rPr>
          <w:rFonts w:hint="cs"/>
          <w:rtl/>
        </w:rPr>
        <w:t xml:space="preserve"> דהוי תולדה ודלא </w:t>
      </w:r>
      <w:r w:rsidRPr="00C444C9">
        <w:rPr>
          <w:rStyle w:val="aff4"/>
          <w:rFonts w:hint="cs"/>
          <w:vanish/>
          <w:rtl/>
        </w:rPr>
        <w:t>-</w:t>
      </w:r>
      <w:r w:rsidRPr="004F32D2">
        <w:rPr>
          <w:rStyle w:val="aff4"/>
          <w:rFonts w:hint="cs"/>
          <w:rtl/>
        </w:rPr>
        <w:t>כהרמב"ם</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sidRPr="002A0D0C">
        <w:rPr>
          <w:rStyle w:val="af2"/>
          <w:rFonts w:eastAsia="Guttman Hodes"/>
          <w:rtl/>
        </w:rPr>
        <w:fldChar w:fldCharType="begin"/>
      </w:r>
      <w:r w:rsidRPr="002A0D0C">
        <w:rPr>
          <w:rStyle w:val="af2"/>
          <w:rFonts w:eastAsia="Guttman Hodes"/>
          <w:rtl/>
        </w:rPr>
        <w:instrText xml:space="preserve"> </w:instrText>
      </w:r>
      <w:r w:rsidRPr="002A0D0C">
        <w:rPr>
          <w:rStyle w:val="af2"/>
          <w:rFonts w:eastAsia="Guttman Hodes" w:hint="cs"/>
        </w:rPr>
        <w:instrText>REF</w:instrText>
      </w:r>
      <w:r w:rsidRPr="002A0D0C">
        <w:rPr>
          <w:rStyle w:val="af2"/>
          <w:rFonts w:eastAsia="Guttman Hodes" w:hint="cs"/>
          <w:rtl/>
        </w:rPr>
        <w:instrText xml:space="preserve"> _</w:instrText>
      </w:r>
      <w:r w:rsidRPr="002A0D0C">
        <w:rPr>
          <w:rStyle w:val="af2"/>
          <w:rFonts w:eastAsia="Guttman Hodes" w:hint="cs"/>
        </w:rPr>
        <w:instrText>Ref133477286 \r \h</w:instrText>
      </w:r>
      <w:r w:rsidRPr="002A0D0C">
        <w:rPr>
          <w:rStyle w:val="af2"/>
          <w:rFonts w:eastAsia="Guttman Hodes"/>
          <w:rtl/>
        </w:rPr>
        <w:instrText xml:space="preserve"> </w:instrText>
      </w:r>
      <w:r w:rsidRPr="002A0D0C">
        <w:rPr>
          <w:rStyle w:val="af2"/>
          <w:rFonts w:eastAsia="Guttman Hodes"/>
          <w:rtl/>
        </w:rPr>
      </w:r>
      <w:r w:rsidRPr="002A0D0C">
        <w:rPr>
          <w:rStyle w:val="af2"/>
          <w:rFonts w:eastAsia="Guttman Hodes"/>
          <w:rtl/>
        </w:rPr>
        <w:fldChar w:fldCharType="separate"/>
      </w:r>
      <w:r w:rsidR="00D82181">
        <w:rPr>
          <w:rStyle w:val="af2"/>
          <w:rFonts w:eastAsia="Guttman Hodes"/>
          <w:cs/>
        </w:rPr>
        <w:t>‎</w:t>
      </w:r>
      <w:r w:rsidR="00D82181">
        <w:rPr>
          <w:rStyle w:val="af2"/>
          <w:rFonts w:eastAsia="Guttman Hodes"/>
          <w:rtl/>
        </w:rPr>
        <w:t>כט)</w:t>
      </w:r>
      <w:r w:rsidRPr="002A0D0C">
        <w:rPr>
          <w:rStyle w:val="af2"/>
          <w:rFonts w:eastAsia="Guttman Hodes"/>
          <w:rtl/>
        </w:rPr>
        <w:fldChar w:fldCharType="end"/>
      </w:r>
      <w:r w:rsidRPr="00B03C8A">
        <w:rPr>
          <w:rStyle w:val="af2"/>
          <w:rFonts w:eastAsia="Guttman Hodes" w:hint="cs"/>
          <w:rtl/>
        </w:rPr>
        <w:t xml:space="preserve"> </w:t>
      </w:r>
      <w:r>
        <w:rPr>
          <w:rFonts w:hint="cs"/>
          <w:rtl/>
        </w:rPr>
        <w:t>דכתב דגם זומר הוא אב, הוא כיון דאמרינן בגמ' דחייב משום נוטע ונוטע חייב משום זורע, ומשמע דזומר הוא ב' דרגות פחות מזורע, שהוא האב הגמור, ולכן קרינן לזומר תולדה.</w:t>
      </w:r>
    </w:p>
    <w:p w14:paraId="24AF6B13" w14:textId="77777777" w:rsidR="009623A2" w:rsidRPr="00747170" w:rsidRDefault="009623A2" w:rsidP="00747170">
      <w:pPr>
        <w:pStyle w:val="a2"/>
        <w:rPr>
          <w:rtl/>
        </w:rPr>
      </w:pPr>
      <w:r w:rsidRPr="00747170">
        <w:rPr>
          <w:rtl/>
        </w:rPr>
        <w:t>וכן כתב רש"י להדיא בריש פרק כלל גדול ומה שכתב לקמן זורע אב מלאכה ונוטע נמי וכו' אבל זומר תולדה מיירי לגבי שבת דוקא ומשמע דס"ל כהר"מ במז"ל חוץ מבזומר דפליג עליה וס"ל דהויא תולדה והיינו טעמא משום דבזומר אמרינן חייב משום נוטע והנוטע וכו' משום זורע והילכך כיון דנחתינן ליה תרי דרגי מזורע דהיינו האב הגמור להכי קרי ליה לזומר תולדה</w:t>
      </w:r>
      <w:r w:rsidRPr="00747170">
        <w:rPr>
          <w:rFonts w:hint="cs"/>
          <w:rtl/>
        </w:rPr>
        <w:t>.</w:t>
      </w:r>
    </w:p>
    <w:p w14:paraId="78AB7C3C" w14:textId="1CF215F1" w:rsidR="009623A2" w:rsidRDefault="009623A2" w:rsidP="009623A2">
      <w:pPr>
        <w:pStyle w:val="afffff7"/>
        <w:rPr>
          <w:rtl/>
        </w:rPr>
      </w:pPr>
      <w:bookmarkStart w:id="105" w:name="_Toc133841628"/>
      <w:bookmarkStart w:id="106" w:name="_Toc163505376"/>
      <w:r>
        <w:rPr>
          <w:rFonts w:hint="cs"/>
          <w:rtl/>
        </w:rPr>
        <w:t>תוצאות חיים סימן ח' סק"ג</w:t>
      </w:r>
      <w:bookmarkEnd w:id="105"/>
      <w:bookmarkEnd w:id="106"/>
    </w:p>
    <w:p w14:paraId="65C9FCCF" w14:textId="77777777" w:rsidR="009623A2" w:rsidRDefault="009623A2" w:rsidP="009623A2">
      <w:pPr>
        <w:pStyle w:val="a7"/>
        <w:rPr>
          <w:rtl/>
        </w:rPr>
      </w:pPr>
      <w:bookmarkStart w:id="107" w:name="_Toc134419568"/>
      <w:r>
        <w:rPr>
          <w:rFonts w:hint="cs"/>
          <w:rtl/>
        </w:rPr>
        <w:t>בי' התוצ"ח דלכו"ע זומר דמי במחשבה לזורע וחלוק ממנה לגמרי במעשה דהמעשה דמי לקוצר</w:t>
      </w:r>
      <w:bookmarkEnd w:id="107"/>
    </w:p>
    <w:p w14:paraId="10F48A83" w14:textId="3160FECF" w:rsidR="009623A2" w:rsidRDefault="009623A2" w:rsidP="00BC7DC8">
      <w:pPr>
        <w:pStyle w:val="a3"/>
        <w:rPr>
          <w:rtl/>
        </w:rPr>
      </w:pPr>
      <w:bookmarkStart w:id="108" w:name="_Ref133361282"/>
      <w:r>
        <w:rPr>
          <w:rFonts w:hint="cs"/>
          <w:rtl/>
        </w:rPr>
        <w:t xml:space="preserve">בהא דנחלקו </w:t>
      </w:r>
      <w:r w:rsidRPr="00C444C9">
        <w:rPr>
          <w:rStyle w:val="aff4"/>
          <w:rFonts w:hint="cs"/>
          <w:vanish/>
          <w:rtl/>
        </w:rPr>
        <w:t>-</w:t>
      </w:r>
      <w:r w:rsidRPr="004F32D2">
        <w:rPr>
          <w:rStyle w:val="aff4"/>
          <w:rFonts w:hint="cs"/>
          <w:rtl/>
        </w:rPr>
        <w:t>רש"י</w:t>
      </w:r>
      <w:r w:rsidRPr="00C444C9">
        <w:rPr>
          <w:rStyle w:val="aff4"/>
          <w:rFonts w:hint="cs"/>
          <w:vanish/>
          <w:rtl/>
        </w:rPr>
        <w:t>-</w:t>
      </w:r>
      <w:r>
        <w:rPr>
          <w:rFonts w:hint="cs"/>
          <w:rtl/>
        </w:rPr>
        <w:t xml:space="preserve"> </w:t>
      </w:r>
      <w:bookmarkStart w:id="109" w:name="_Hlk132281296"/>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Ref133481736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א)</w:t>
      </w:r>
      <w:r>
        <w:rPr>
          <w:rStyle w:val="af2"/>
          <w:rFonts w:eastAsia="Guttman Hodes"/>
          <w:rtl/>
        </w:rPr>
        <w:fldChar w:fldCharType="end"/>
      </w:r>
      <w:r>
        <w:rPr>
          <w:rFonts w:hint="cs"/>
          <w:rtl/>
        </w:rPr>
        <w:t xml:space="preserve"> </w:t>
      </w:r>
      <w:bookmarkEnd w:id="109"/>
      <w:r w:rsidRPr="00C444C9">
        <w:rPr>
          <w:rStyle w:val="aff4"/>
          <w:rFonts w:hint="cs"/>
          <w:vanish/>
          <w:rtl/>
        </w:rPr>
        <w:t>-</w:t>
      </w:r>
      <w:r w:rsidRPr="004F32D2">
        <w:rPr>
          <w:rStyle w:val="aff4"/>
          <w:rFonts w:hint="cs"/>
          <w:rtl/>
        </w:rPr>
        <w:t>והרמב"ם</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Ref133477286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כט)</w:t>
      </w:r>
      <w:r>
        <w:rPr>
          <w:rStyle w:val="af2"/>
          <w:rFonts w:eastAsia="Guttman Hodes"/>
          <w:rtl/>
        </w:rPr>
        <w:fldChar w:fldCharType="end"/>
      </w:r>
      <w:r>
        <w:rPr>
          <w:rFonts w:hint="cs"/>
          <w:rtl/>
        </w:rPr>
        <w:t xml:space="preserve"> בדין זומר דלדעת </w:t>
      </w:r>
      <w:r w:rsidRPr="00C444C9">
        <w:rPr>
          <w:rStyle w:val="aff4"/>
          <w:rFonts w:hint="cs"/>
          <w:vanish/>
          <w:rtl/>
        </w:rPr>
        <w:t>-</w:t>
      </w:r>
      <w:r w:rsidRPr="004F32D2">
        <w:rPr>
          <w:rStyle w:val="aff4"/>
          <w:rFonts w:hint="cs"/>
          <w:rtl/>
        </w:rPr>
        <w:t>רש"י</w:t>
      </w:r>
      <w:r w:rsidRPr="00C444C9">
        <w:rPr>
          <w:rStyle w:val="aff4"/>
          <w:rFonts w:hint="cs"/>
          <w:vanish/>
          <w:rtl/>
        </w:rPr>
        <w:t>-</w:t>
      </w:r>
      <w:r>
        <w:rPr>
          <w:rFonts w:hint="cs"/>
          <w:rtl/>
        </w:rPr>
        <w:t xml:space="preserve"> הוא תולדה, </w:t>
      </w:r>
      <w:r w:rsidRPr="00C444C9">
        <w:rPr>
          <w:rStyle w:val="aff4"/>
          <w:rFonts w:hint="cs"/>
          <w:vanish/>
          <w:rtl/>
        </w:rPr>
        <w:t>-</w:t>
      </w:r>
      <w:r w:rsidRPr="004F32D2">
        <w:rPr>
          <w:rStyle w:val="aff4"/>
          <w:rFonts w:hint="cs"/>
          <w:rtl/>
        </w:rPr>
        <w:t>ולהרמב"ם</w:t>
      </w:r>
      <w:r w:rsidRPr="00C444C9">
        <w:rPr>
          <w:rStyle w:val="aff4"/>
          <w:rFonts w:hint="cs"/>
          <w:vanish/>
          <w:rtl/>
        </w:rPr>
        <w:t>-</w:t>
      </w:r>
      <w:r>
        <w:rPr>
          <w:rFonts w:hint="cs"/>
          <w:rtl/>
        </w:rPr>
        <w:t xml:space="preserve"> הוא אב, כתב </w:t>
      </w:r>
      <w:r w:rsidRPr="00C444C9">
        <w:rPr>
          <w:rStyle w:val="aff4"/>
          <w:rFonts w:hint="cs"/>
          <w:vanish/>
          <w:rtl/>
        </w:rPr>
        <w:t>-</w:t>
      </w:r>
      <w:r w:rsidRPr="004F32D2">
        <w:rPr>
          <w:rStyle w:val="aff4"/>
          <w:rFonts w:hint="cs"/>
          <w:rtl/>
        </w:rPr>
        <w:t>ה</w:t>
      </w:r>
      <w:r w:rsidRPr="00C444C9">
        <w:rPr>
          <w:rStyle w:val="aff4"/>
          <w:rFonts w:hint="cs"/>
          <w:vanish/>
          <w:rtl/>
        </w:rPr>
        <w:t xml:space="preserve">&lt;. </w:t>
      </w:r>
      <w:r w:rsidRPr="00C444C9">
        <w:rPr>
          <w:rStyle w:val="aff4"/>
          <w:vanish/>
          <w:rtl/>
        </w:rPr>
        <w:fldChar w:fldCharType="begin"/>
      </w:r>
      <w:r w:rsidRPr="00C444C9">
        <w:rPr>
          <w:rStyle w:val="aff4"/>
          <w:vanish/>
          <w:rtl/>
        </w:rPr>
        <w:instrText xml:space="preserve"> </w:instrText>
      </w:r>
      <w:r w:rsidRPr="00C444C9">
        <w:rPr>
          <w:rStyle w:val="aff4"/>
          <w:rFonts w:hint="cs"/>
          <w:vanish/>
        </w:rPr>
        <w:instrText>REF</w:instrText>
      </w:r>
      <w:r w:rsidRPr="00C444C9">
        <w:rPr>
          <w:rStyle w:val="aff4"/>
          <w:rFonts w:hint="cs"/>
          <w:vanish/>
          <w:rtl/>
        </w:rPr>
        <w:instrText xml:space="preserve"> _</w:instrText>
      </w:r>
      <w:r w:rsidRPr="00C444C9">
        <w:rPr>
          <w:rStyle w:val="aff4"/>
          <w:rFonts w:hint="cs"/>
          <w:vanish/>
        </w:rPr>
        <w:instrText>Ref133361282 \r \h</w:instrText>
      </w:r>
      <w:r w:rsidRPr="00C444C9">
        <w:rPr>
          <w:rStyle w:val="aff4"/>
          <w:vanish/>
          <w:rtl/>
        </w:rPr>
        <w:instrText xml:space="preserve"> </w:instrText>
      </w:r>
      <w:r w:rsidRPr="00C444C9">
        <w:rPr>
          <w:rStyle w:val="aff4"/>
          <w:vanish/>
          <w:rtl/>
        </w:rPr>
      </w:r>
      <w:r w:rsidRPr="00C444C9">
        <w:rPr>
          <w:rStyle w:val="aff4"/>
          <w:vanish/>
          <w:rtl/>
        </w:rPr>
        <w:fldChar w:fldCharType="separate"/>
      </w:r>
      <w:r w:rsidR="00D82181">
        <w:rPr>
          <w:rStyle w:val="aff4"/>
          <w:vanish/>
          <w:cs/>
        </w:rPr>
        <w:t>‎</w:t>
      </w:r>
      <w:r w:rsidR="00D82181">
        <w:rPr>
          <w:rStyle w:val="aff4"/>
          <w:vanish/>
          <w:rtl/>
        </w:rPr>
        <w:t>ח)</w:t>
      </w:r>
      <w:r w:rsidRPr="00C444C9">
        <w:rPr>
          <w:rStyle w:val="aff4"/>
          <w:vanish/>
          <w:rtl/>
        </w:rPr>
        <w:fldChar w:fldCharType="end"/>
      </w:r>
      <w:r w:rsidRPr="00C444C9">
        <w:rPr>
          <w:rStyle w:val="aff4"/>
          <w:rFonts w:hint="cs"/>
          <w:vanish/>
          <w:rtl/>
        </w:rPr>
        <w:t xml:space="preserve"> &gt;</w:t>
      </w:r>
      <w:r w:rsidRPr="004F32D2">
        <w:rPr>
          <w:rStyle w:val="aff4"/>
          <w:rFonts w:hint="cs"/>
          <w:rtl/>
        </w:rPr>
        <w:t>תוצאות חיים</w:t>
      </w:r>
      <w:r w:rsidRPr="00C444C9">
        <w:rPr>
          <w:rStyle w:val="aff4"/>
          <w:rFonts w:hint="cs"/>
          <w:vanish/>
          <w:rtl/>
        </w:rPr>
        <w:t>-</w:t>
      </w:r>
      <w:r>
        <w:rPr>
          <w:rFonts w:hint="cs"/>
          <w:rtl/>
        </w:rPr>
        <w:t xml:space="preserve"> </w:t>
      </w:r>
      <w:r w:rsidRPr="002A0D0C">
        <w:rPr>
          <w:rStyle w:val="af2"/>
          <w:rFonts w:eastAsia="Guttman Hodes" w:hint="cs"/>
          <w:rtl/>
        </w:rPr>
        <w:t>(סימן ח' סק"ג)</w:t>
      </w:r>
      <w:r w:rsidRPr="00753705">
        <w:rPr>
          <w:rFonts w:hint="cs"/>
          <w:vanish/>
          <w:rtl/>
        </w:rPr>
        <w:t>=</w:t>
      </w:r>
      <w:r>
        <w:rPr>
          <w:rFonts w:hint="cs"/>
          <w:rtl/>
        </w:rPr>
        <w:t xml:space="preserve"> דא"א לומר דנחלקו אי זומר הוי אב אף שלא היה במשכן, כיון דהוא דומה לאב בדמיון גמור, כדביאר </w:t>
      </w:r>
      <w:r w:rsidRPr="00C444C9">
        <w:rPr>
          <w:rStyle w:val="aff4"/>
          <w:rFonts w:hint="cs"/>
          <w:vanish/>
          <w:rtl/>
        </w:rPr>
        <w:t>-</w:t>
      </w:r>
      <w:r w:rsidRPr="004F32D2">
        <w:rPr>
          <w:rStyle w:val="aff4"/>
          <w:rFonts w:hint="cs"/>
          <w:rtl/>
        </w:rPr>
        <w:t>המ"מ</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Ref133477285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לו)</w:t>
      </w:r>
      <w:r>
        <w:rPr>
          <w:rStyle w:val="af2"/>
          <w:rFonts w:eastAsia="Guttman Hodes"/>
          <w:rtl/>
        </w:rPr>
        <w:fldChar w:fldCharType="end"/>
      </w:r>
      <w:r>
        <w:rPr>
          <w:rFonts w:hint="cs"/>
          <w:rtl/>
        </w:rPr>
        <w:t xml:space="preserve"> בדעת </w:t>
      </w:r>
      <w:r w:rsidRPr="00C444C9">
        <w:rPr>
          <w:rStyle w:val="aff4"/>
          <w:rFonts w:hint="cs"/>
          <w:vanish/>
          <w:rtl/>
        </w:rPr>
        <w:t>-</w:t>
      </w:r>
      <w:r w:rsidRPr="004F32D2">
        <w:rPr>
          <w:rStyle w:val="aff4"/>
          <w:rFonts w:hint="cs"/>
          <w:rtl/>
        </w:rPr>
        <w:t>הרמב"ם</w:t>
      </w:r>
      <w:r w:rsidRPr="00C444C9">
        <w:rPr>
          <w:rStyle w:val="aff4"/>
          <w:rFonts w:hint="cs"/>
          <w:vanish/>
          <w:rtl/>
        </w:rPr>
        <w:t>-</w:t>
      </w:r>
      <w:r>
        <w:rPr>
          <w:rFonts w:hint="cs"/>
          <w:rtl/>
        </w:rPr>
        <w:t xml:space="preserve">, דהא אף </w:t>
      </w:r>
      <w:r w:rsidRPr="00C444C9">
        <w:rPr>
          <w:rStyle w:val="aff4"/>
          <w:rFonts w:hint="cs"/>
          <w:vanish/>
          <w:rtl/>
        </w:rPr>
        <w:t>-</w:t>
      </w:r>
      <w:r w:rsidRPr="004F32D2">
        <w:rPr>
          <w:rStyle w:val="aff4"/>
          <w:rFonts w:hint="cs"/>
          <w:rtl/>
        </w:rPr>
        <w:t>לרש"י</w:t>
      </w:r>
      <w:r w:rsidRPr="00C444C9">
        <w:rPr>
          <w:rStyle w:val="aff4"/>
          <w:rFonts w:hint="cs"/>
          <w:vanish/>
          <w:rtl/>
        </w:rPr>
        <w:t>-</w:t>
      </w:r>
      <w:r>
        <w:rPr>
          <w:rFonts w:hint="cs"/>
          <w:rtl/>
        </w:rPr>
        <w:t xml:space="preserve"> נוטע ומבריך ומרכיב הם אב, אף שלא היו במשכן כיון דהם דומים לאב, אלא כתב </w:t>
      </w:r>
      <w:r w:rsidRPr="00C444C9">
        <w:rPr>
          <w:rStyle w:val="aff4"/>
          <w:rFonts w:hint="cs"/>
          <w:vanish/>
          <w:rtl/>
        </w:rPr>
        <w:t>-</w:t>
      </w:r>
      <w:r w:rsidRPr="004F32D2">
        <w:rPr>
          <w:rStyle w:val="aff4"/>
          <w:rFonts w:hint="cs"/>
          <w:rtl/>
        </w:rPr>
        <w:t>התוצאות חיים</w:t>
      </w:r>
      <w:r w:rsidRPr="00C444C9">
        <w:rPr>
          <w:rStyle w:val="aff4"/>
          <w:rFonts w:hint="cs"/>
          <w:vanish/>
          <w:rtl/>
        </w:rPr>
        <w:t>-</w:t>
      </w:r>
      <w:r>
        <w:rPr>
          <w:rFonts w:hint="cs"/>
          <w:rtl/>
        </w:rPr>
        <w:t xml:space="preserve"> דנוטע ומבריך הם דומים לאב דזורע גם במעשה, דהוא מניח זרעים בקרקע, ונוטע ומבריך הוא עושה כעין זריעה באילנות, אבל זומר אינו דומה במעשה לזורע, דאדרבה במעשה שלו הוא דומה לקוצר דהוא מסלק את הענפים מהקרקע, אלא דמ"מ הוא בכלל זורע כיון דמחשבתו היא לזריעה.</w:t>
      </w:r>
      <w:bookmarkEnd w:id="108"/>
      <w:r>
        <w:rPr>
          <w:rFonts w:hint="cs"/>
          <w:rtl/>
        </w:rPr>
        <w:t xml:space="preserve"> </w:t>
      </w:r>
    </w:p>
    <w:p w14:paraId="107279FE" w14:textId="77777777" w:rsidR="009623A2" w:rsidRPr="00747170" w:rsidRDefault="009623A2" w:rsidP="00747170">
      <w:pPr>
        <w:pStyle w:val="a2"/>
        <w:rPr>
          <w:rtl/>
        </w:rPr>
      </w:pPr>
    </w:p>
    <w:p w14:paraId="12BEB3CF" w14:textId="77777777" w:rsidR="009623A2" w:rsidRPr="00C3176C" w:rsidRDefault="009623A2" w:rsidP="00747170">
      <w:pPr>
        <w:pStyle w:val="afffff5"/>
        <w:rPr>
          <w:rtl/>
        </w:rPr>
      </w:pPr>
      <w:r w:rsidRPr="00C3176C">
        <w:rPr>
          <w:noProof/>
          <w:rtl/>
        </w:rPr>
        <w:drawing>
          <wp:inline distT="0" distB="0" distL="0" distR="0" wp14:anchorId="2A394ED8" wp14:editId="73928636">
            <wp:extent cx="2962603" cy="2146300"/>
            <wp:effectExtent l="0" t="0" r="0" b="0"/>
            <wp:docPr id="21" name="תמונה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1752" t="1685" r="3927" b="75231"/>
                    <a:stretch/>
                  </pic:blipFill>
                  <pic:spPr bwMode="auto">
                    <a:xfrm>
                      <a:off x="0" y="0"/>
                      <a:ext cx="2964141" cy="2147414"/>
                    </a:xfrm>
                    <a:prstGeom prst="rect">
                      <a:avLst/>
                    </a:prstGeom>
                    <a:ln>
                      <a:noFill/>
                    </a:ln>
                    <a:extLst>
                      <a:ext uri="{53640926-AAD7-44D8-BBD7-CCE9431645EC}">
                        <a14:shadowObscured xmlns:a14="http://schemas.microsoft.com/office/drawing/2010/main"/>
                      </a:ext>
                    </a:extLst>
                  </pic:spPr>
                </pic:pic>
              </a:graphicData>
            </a:graphic>
          </wp:inline>
        </w:drawing>
      </w:r>
    </w:p>
    <w:p w14:paraId="3904B7F5" w14:textId="77777777" w:rsidR="009623A2" w:rsidRPr="00C3176C" w:rsidRDefault="009623A2" w:rsidP="00747170">
      <w:pPr>
        <w:pStyle w:val="afffff5"/>
      </w:pPr>
    </w:p>
    <w:p w14:paraId="05120ED8" w14:textId="77777777" w:rsidR="009623A2" w:rsidRPr="00C3176C" w:rsidRDefault="009623A2" w:rsidP="00747170">
      <w:pPr>
        <w:pStyle w:val="afffff5"/>
      </w:pPr>
      <w:r w:rsidRPr="00C3176C">
        <w:rPr>
          <w:noProof/>
          <w:rtl/>
        </w:rPr>
        <w:drawing>
          <wp:inline distT="0" distB="0" distL="0" distR="0" wp14:anchorId="5733CC56" wp14:editId="7932EFDB">
            <wp:extent cx="2959100" cy="770255"/>
            <wp:effectExtent l="0" t="0" r="0" b="0"/>
            <wp:docPr id="22" name="תמונה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t="88785" r="5741" b="2926"/>
                    <a:stretch/>
                  </pic:blipFill>
                  <pic:spPr bwMode="auto">
                    <a:xfrm>
                      <a:off x="0" y="0"/>
                      <a:ext cx="2962196" cy="771061"/>
                    </a:xfrm>
                    <a:prstGeom prst="rect">
                      <a:avLst/>
                    </a:prstGeom>
                    <a:ln>
                      <a:noFill/>
                    </a:ln>
                    <a:extLst>
                      <a:ext uri="{53640926-AAD7-44D8-BBD7-CCE9431645EC}">
                        <a14:shadowObscured xmlns:a14="http://schemas.microsoft.com/office/drawing/2010/main"/>
                      </a:ext>
                    </a:extLst>
                  </pic:spPr>
                </pic:pic>
              </a:graphicData>
            </a:graphic>
          </wp:inline>
        </w:drawing>
      </w:r>
    </w:p>
    <w:p w14:paraId="20D029F8" w14:textId="0F264FCE" w:rsidR="009623A2" w:rsidRDefault="009623A2" w:rsidP="009623A2">
      <w:pPr>
        <w:pStyle w:val="a7"/>
        <w:rPr>
          <w:rtl/>
        </w:rPr>
      </w:pPr>
      <w:bookmarkStart w:id="110" w:name="_Toc134419569"/>
      <w:r>
        <w:rPr>
          <w:rFonts w:hint="cs"/>
          <w:rtl/>
        </w:rPr>
        <w:t>בי' התוצ"ח דרש"י והרמב"ם נח' אי מלאכת מחשבת עיקר המלאכה ובלא המחשבה ל"ה מלאכה</w:t>
      </w:r>
      <w:bookmarkEnd w:id="110"/>
      <w:r>
        <w:rPr>
          <w:rFonts w:hint="cs"/>
          <w:rtl/>
        </w:rPr>
        <w:t xml:space="preserve"> </w:t>
      </w:r>
    </w:p>
    <w:p w14:paraId="6CE6DD17" w14:textId="77777777" w:rsidR="009623A2" w:rsidRDefault="009623A2" w:rsidP="00BC7DC8">
      <w:pPr>
        <w:pStyle w:val="a3"/>
        <w:rPr>
          <w:rtl/>
        </w:rPr>
      </w:pPr>
      <w:r>
        <w:rPr>
          <w:rFonts w:hint="cs"/>
          <w:rtl/>
        </w:rPr>
        <w:t xml:space="preserve">ולפי"ז ביאר </w:t>
      </w:r>
      <w:r w:rsidRPr="00C444C9">
        <w:rPr>
          <w:rStyle w:val="aff4"/>
          <w:rFonts w:hint="cs"/>
          <w:vanish/>
          <w:rtl/>
        </w:rPr>
        <w:t>-</w:t>
      </w:r>
      <w:r w:rsidRPr="004F32D2">
        <w:rPr>
          <w:rStyle w:val="aff4"/>
          <w:rFonts w:hint="cs"/>
          <w:rtl/>
        </w:rPr>
        <w:t>התוצאות חיים</w:t>
      </w:r>
      <w:r w:rsidRPr="00C444C9">
        <w:rPr>
          <w:rStyle w:val="aff4"/>
          <w:rFonts w:hint="cs"/>
          <w:vanish/>
          <w:rtl/>
        </w:rPr>
        <w:t>-</w:t>
      </w:r>
      <w:r>
        <w:rPr>
          <w:rFonts w:hint="cs"/>
          <w:rtl/>
        </w:rPr>
        <w:t xml:space="preserve"> דנחלקו </w:t>
      </w:r>
      <w:r w:rsidRPr="00C444C9">
        <w:rPr>
          <w:rStyle w:val="aff4"/>
          <w:rFonts w:hint="cs"/>
          <w:vanish/>
          <w:rtl/>
        </w:rPr>
        <w:t>-</w:t>
      </w:r>
      <w:r w:rsidRPr="004F32D2">
        <w:rPr>
          <w:rStyle w:val="aff4"/>
          <w:rFonts w:hint="cs"/>
          <w:rtl/>
        </w:rPr>
        <w:t>רש"י והרמב"ם</w:t>
      </w:r>
      <w:r w:rsidRPr="00C444C9">
        <w:rPr>
          <w:rStyle w:val="aff4"/>
          <w:rFonts w:hint="cs"/>
          <w:vanish/>
          <w:rtl/>
        </w:rPr>
        <w:t>-</w:t>
      </w:r>
      <w:r>
        <w:rPr>
          <w:rFonts w:hint="cs"/>
          <w:rtl/>
        </w:rPr>
        <w:t xml:space="preserve"> בגדר חיוב מלאכת מחשבה בשבת, אי המחשבה היא בעיקר המלאכה, וכל שעשה מלאכה בלא מחשבה חסר בשם מלאכה, והוא כמו עקירה בלא הנחה דהוא חצי מלאכה, או דהמלאכה היא מלאכה גמורה, רק דאינו חייב עליה בשבת דהוא גזיה"כ דהחיוב הוא רק במלאכת מחשבת.</w:t>
      </w:r>
    </w:p>
    <w:p w14:paraId="6FBCBEED" w14:textId="77777777" w:rsidR="009623A2" w:rsidRPr="00747170" w:rsidRDefault="009623A2" w:rsidP="00747170">
      <w:pPr>
        <w:pStyle w:val="a2"/>
        <w:rPr>
          <w:rtl/>
        </w:rPr>
      </w:pPr>
    </w:p>
    <w:p w14:paraId="36F588CD" w14:textId="77777777" w:rsidR="009623A2" w:rsidRPr="00C3176C" w:rsidRDefault="009623A2" w:rsidP="00747170">
      <w:pPr>
        <w:pStyle w:val="afffff5"/>
        <w:rPr>
          <w:rtl/>
        </w:rPr>
      </w:pPr>
      <w:r w:rsidRPr="00C3176C">
        <w:rPr>
          <w:noProof/>
          <w:rtl/>
        </w:rPr>
        <w:drawing>
          <wp:inline distT="0" distB="0" distL="0" distR="0" wp14:anchorId="3228A4FD" wp14:editId="5C4E3E46">
            <wp:extent cx="2962165" cy="1479762"/>
            <wp:effectExtent l="0" t="0" r="0" b="0"/>
            <wp:docPr id="32" name="תמונה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1752" t="22947" r="3927" b="61136"/>
                    <a:stretch/>
                  </pic:blipFill>
                  <pic:spPr bwMode="auto">
                    <a:xfrm>
                      <a:off x="0" y="0"/>
                      <a:ext cx="2964141" cy="1480749"/>
                    </a:xfrm>
                    <a:prstGeom prst="rect">
                      <a:avLst/>
                    </a:prstGeom>
                    <a:ln>
                      <a:noFill/>
                    </a:ln>
                    <a:extLst>
                      <a:ext uri="{53640926-AAD7-44D8-BBD7-CCE9431645EC}">
                        <a14:shadowObscured xmlns:a14="http://schemas.microsoft.com/office/drawing/2010/main"/>
                      </a:ext>
                    </a:extLst>
                  </pic:spPr>
                </pic:pic>
              </a:graphicData>
            </a:graphic>
          </wp:inline>
        </w:drawing>
      </w:r>
    </w:p>
    <w:p w14:paraId="048E004F" w14:textId="7864C0AA" w:rsidR="009623A2" w:rsidRPr="009615EC" w:rsidRDefault="009623A2" w:rsidP="009623A2">
      <w:pPr>
        <w:pStyle w:val="a7"/>
      </w:pPr>
      <w:bookmarkStart w:id="111" w:name="_Toc134419570"/>
      <w:r>
        <w:rPr>
          <w:rFonts w:hint="cs"/>
          <w:rtl/>
        </w:rPr>
        <w:t>בי' התוצ"ח דעיקר המלאכה לרמב"ם במחשבה ולרש"י במעשה וזומר דל"ד במעשה הוי תולדה</w:t>
      </w:r>
      <w:bookmarkEnd w:id="111"/>
      <w:r>
        <w:rPr>
          <w:rFonts w:hint="cs"/>
          <w:rtl/>
        </w:rPr>
        <w:t xml:space="preserve"> </w:t>
      </w:r>
    </w:p>
    <w:p w14:paraId="56AE9663" w14:textId="77777777" w:rsidR="009623A2" w:rsidRDefault="009623A2" w:rsidP="00BC7DC8">
      <w:pPr>
        <w:pStyle w:val="a3"/>
      </w:pPr>
      <w:r>
        <w:rPr>
          <w:rFonts w:hint="cs"/>
          <w:rtl/>
        </w:rPr>
        <w:t xml:space="preserve">וכתב </w:t>
      </w:r>
      <w:r w:rsidRPr="00C444C9">
        <w:rPr>
          <w:rStyle w:val="aff4"/>
          <w:rFonts w:hint="cs"/>
          <w:vanish/>
          <w:rtl/>
        </w:rPr>
        <w:t>-</w:t>
      </w:r>
      <w:r w:rsidRPr="004F32D2">
        <w:rPr>
          <w:rStyle w:val="aff4"/>
          <w:rFonts w:hint="cs"/>
          <w:rtl/>
        </w:rPr>
        <w:t>התוצאות חיים</w:t>
      </w:r>
      <w:r w:rsidRPr="00C444C9">
        <w:rPr>
          <w:rStyle w:val="aff4"/>
          <w:rFonts w:hint="cs"/>
          <w:vanish/>
          <w:rtl/>
        </w:rPr>
        <w:t>-</w:t>
      </w:r>
      <w:r>
        <w:rPr>
          <w:rFonts w:hint="cs"/>
          <w:rtl/>
        </w:rPr>
        <w:t xml:space="preserve"> דלדעת </w:t>
      </w:r>
      <w:r w:rsidRPr="00C444C9">
        <w:rPr>
          <w:rStyle w:val="aff4"/>
          <w:rFonts w:hint="cs"/>
          <w:vanish/>
          <w:rtl/>
        </w:rPr>
        <w:t>-</w:t>
      </w:r>
      <w:r w:rsidRPr="004F32D2">
        <w:rPr>
          <w:rStyle w:val="aff4"/>
          <w:rFonts w:hint="cs"/>
          <w:rtl/>
        </w:rPr>
        <w:t>רש"י</w:t>
      </w:r>
      <w:r w:rsidRPr="00C444C9">
        <w:rPr>
          <w:rStyle w:val="aff4"/>
          <w:rFonts w:hint="cs"/>
          <w:vanish/>
          <w:rtl/>
        </w:rPr>
        <w:t>-</w:t>
      </w:r>
      <w:r>
        <w:rPr>
          <w:rFonts w:hint="cs"/>
          <w:rtl/>
        </w:rPr>
        <w:t xml:space="preserve"> המחשבה אינה בעיקר המלאכה אלא במעשה, ולכן רק דבר שבמעשה דומה לאב הוא בכלל האב, אבל לדעת </w:t>
      </w:r>
      <w:r w:rsidRPr="00C444C9">
        <w:rPr>
          <w:rStyle w:val="aff4"/>
          <w:rFonts w:hint="cs"/>
          <w:vanish/>
          <w:rtl/>
        </w:rPr>
        <w:t>-</w:t>
      </w:r>
      <w:r w:rsidRPr="004F32D2">
        <w:rPr>
          <w:rStyle w:val="aff4"/>
          <w:rFonts w:hint="cs"/>
          <w:rtl/>
        </w:rPr>
        <w:t>הרמב"ם</w:t>
      </w:r>
      <w:r w:rsidRPr="00C444C9">
        <w:rPr>
          <w:rStyle w:val="aff4"/>
          <w:rFonts w:hint="cs"/>
          <w:vanish/>
          <w:rtl/>
        </w:rPr>
        <w:t>-</w:t>
      </w:r>
      <w:r>
        <w:rPr>
          <w:rFonts w:hint="cs"/>
          <w:rtl/>
        </w:rPr>
        <w:t xml:space="preserve"> המחשבה היא בעיקר המלאכה, וכיון דזומר דמי במחשבתו לזורע, הוא בכלל האב דזורע אעפ"י דבמעשה לא דמי לאב.</w:t>
      </w:r>
    </w:p>
    <w:p w14:paraId="02CC3CF2" w14:textId="77777777" w:rsidR="009623A2" w:rsidRPr="00747170" w:rsidRDefault="009623A2" w:rsidP="00747170">
      <w:pPr>
        <w:pStyle w:val="a2"/>
        <w:rPr>
          <w:rtl/>
        </w:rPr>
      </w:pPr>
    </w:p>
    <w:p w14:paraId="704AAF62" w14:textId="77777777" w:rsidR="009623A2" w:rsidRPr="00C3176C" w:rsidRDefault="009623A2" w:rsidP="00747170">
      <w:pPr>
        <w:pStyle w:val="afffff5"/>
      </w:pPr>
      <w:r w:rsidRPr="00C3176C">
        <w:rPr>
          <w:noProof/>
          <w:rtl/>
        </w:rPr>
        <w:drawing>
          <wp:inline distT="0" distB="0" distL="0" distR="0" wp14:anchorId="40B7DE65" wp14:editId="68DB8FCC">
            <wp:extent cx="2942167" cy="770255"/>
            <wp:effectExtent l="0" t="0" r="0" b="0"/>
            <wp:docPr id="24" name="תמונה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t="88785" r="6281" b="2926"/>
                    <a:stretch/>
                  </pic:blipFill>
                  <pic:spPr bwMode="auto">
                    <a:xfrm>
                      <a:off x="0" y="0"/>
                      <a:ext cx="2945246" cy="771061"/>
                    </a:xfrm>
                    <a:prstGeom prst="rect">
                      <a:avLst/>
                    </a:prstGeom>
                    <a:ln>
                      <a:noFill/>
                    </a:ln>
                    <a:extLst>
                      <a:ext uri="{53640926-AAD7-44D8-BBD7-CCE9431645EC}">
                        <a14:shadowObscured xmlns:a14="http://schemas.microsoft.com/office/drawing/2010/main"/>
                      </a:ext>
                    </a:extLst>
                  </pic:spPr>
                </pic:pic>
              </a:graphicData>
            </a:graphic>
          </wp:inline>
        </w:drawing>
      </w:r>
    </w:p>
    <w:p w14:paraId="7C372787" w14:textId="77777777" w:rsidR="009623A2" w:rsidRPr="00C3176C" w:rsidRDefault="009623A2" w:rsidP="00747170">
      <w:pPr>
        <w:pStyle w:val="afffff5"/>
      </w:pPr>
      <w:r w:rsidRPr="00C3176C">
        <w:rPr>
          <w:noProof/>
          <w:rtl/>
        </w:rPr>
        <w:drawing>
          <wp:inline distT="0" distB="0" distL="0" distR="0" wp14:anchorId="4A286D69" wp14:editId="0BFA28FE">
            <wp:extent cx="3018155" cy="3183467"/>
            <wp:effectExtent l="0" t="0" r="0" b="0"/>
            <wp:docPr id="19" name="תמונה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1751" t="1629" r="2202" b="42695"/>
                    <a:stretch/>
                  </pic:blipFill>
                  <pic:spPr bwMode="auto">
                    <a:xfrm>
                      <a:off x="0" y="0"/>
                      <a:ext cx="3018364" cy="3183687"/>
                    </a:xfrm>
                    <a:prstGeom prst="rect">
                      <a:avLst/>
                    </a:prstGeom>
                    <a:ln>
                      <a:noFill/>
                    </a:ln>
                    <a:extLst>
                      <a:ext uri="{53640926-AAD7-44D8-BBD7-CCE9431645EC}">
                        <a14:shadowObscured xmlns:a14="http://schemas.microsoft.com/office/drawing/2010/main"/>
                      </a:ext>
                    </a:extLst>
                  </pic:spPr>
                </pic:pic>
              </a:graphicData>
            </a:graphic>
          </wp:inline>
        </w:drawing>
      </w:r>
    </w:p>
    <w:p w14:paraId="6AF47095" w14:textId="7282E679" w:rsidR="009623A2" w:rsidRDefault="009623A2" w:rsidP="009623A2">
      <w:pPr>
        <w:pStyle w:val="affff5"/>
        <w:rPr>
          <w:rtl/>
        </w:rPr>
      </w:pPr>
      <w:bookmarkStart w:id="112" w:name="_Toc134419571"/>
      <w:r>
        <w:rPr>
          <w:rFonts w:hint="cs"/>
          <w:rtl/>
        </w:rPr>
        <w:t>בדעת התוס' אי כולהו תולדות או אבות</w:t>
      </w:r>
      <w:bookmarkEnd w:id="112"/>
    </w:p>
    <w:p w14:paraId="3E8FFEC9" w14:textId="77777777" w:rsidR="009623A2" w:rsidRDefault="009623A2" w:rsidP="009623A2">
      <w:pPr>
        <w:pStyle w:val="1"/>
        <w:rPr>
          <w:rtl/>
        </w:rPr>
      </w:pPr>
      <w:bookmarkStart w:id="113" w:name="_Toc134419572"/>
      <w:r>
        <w:rPr>
          <w:rFonts w:hint="cs"/>
          <w:rtl/>
        </w:rPr>
        <w:t>בי' האחרו' בתוס' דאפש"ל דכל המלאכות תולדות זורע כרמ"ך</w:t>
      </w:r>
      <w:bookmarkEnd w:id="113"/>
    </w:p>
    <w:p w14:paraId="352E4C32" w14:textId="77777777" w:rsidR="009623A2" w:rsidRDefault="009623A2" w:rsidP="009623A2">
      <w:pPr>
        <w:pStyle w:val="afffff7"/>
        <w:rPr>
          <w:rtl/>
        </w:rPr>
      </w:pPr>
      <w:bookmarkStart w:id="114" w:name="_Toc133841629"/>
      <w:bookmarkStart w:id="115" w:name="_Toc163505377"/>
      <w:r>
        <w:rPr>
          <w:rtl/>
        </w:rPr>
        <w:t>תוספות שבת ע"ג ע"ב</w:t>
      </w:r>
      <w:r>
        <w:rPr>
          <w:rFonts w:hint="cs"/>
          <w:rtl/>
        </w:rPr>
        <w:t xml:space="preserve"> ד"ה משום</w:t>
      </w:r>
      <w:bookmarkEnd w:id="114"/>
      <w:bookmarkEnd w:id="115"/>
    </w:p>
    <w:p w14:paraId="4C2DF893" w14:textId="77777777" w:rsidR="009623A2" w:rsidRDefault="009623A2" w:rsidP="009623A2">
      <w:pPr>
        <w:pStyle w:val="a7"/>
        <w:rPr>
          <w:rtl/>
        </w:rPr>
      </w:pPr>
      <w:bookmarkStart w:id="116" w:name="_Toc134419573"/>
      <w:r>
        <w:rPr>
          <w:rFonts w:hint="cs"/>
          <w:rtl/>
        </w:rPr>
        <w:t>בי' התוס' דלא מוכח בסוגיין מתרה בתולדה בשם אב חייב או דפטור כיון דסבור שמלעיג בו</w:t>
      </w:r>
      <w:bookmarkEnd w:id="116"/>
    </w:p>
    <w:p w14:paraId="1AA5F426" w14:textId="1B7F5B17" w:rsidR="009623A2" w:rsidRPr="00B45732" w:rsidRDefault="009623A2" w:rsidP="00BC7DC8">
      <w:pPr>
        <w:pStyle w:val="a3"/>
        <w:rPr>
          <w:rtl/>
        </w:rPr>
      </w:pPr>
      <w:bookmarkStart w:id="117" w:name="_Ref133361034"/>
      <w:r w:rsidRPr="00F04987">
        <w:rPr>
          <w:rFonts w:hint="cs"/>
          <w:rtl/>
        </w:rPr>
        <w:t>בדברי רבי אמי ד</w:t>
      </w:r>
      <w:r>
        <w:rPr>
          <w:rFonts w:hint="cs"/>
          <w:rtl/>
        </w:rPr>
        <w:t xml:space="preserve">נוטע ומבריך ומרכיב חייב משום זורע, כתבו </w:t>
      </w:r>
      <w:r w:rsidRPr="00C444C9">
        <w:rPr>
          <w:rStyle w:val="aff4"/>
          <w:rFonts w:hint="cs"/>
          <w:vanish/>
          <w:rtl/>
        </w:rPr>
        <w:t>-</w:t>
      </w:r>
      <w:r w:rsidRPr="004F32D2">
        <w:rPr>
          <w:rStyle w:val="aff4"/>
          <w:rFonts w:hint="cs"/>
          <w:rtl/>
        </w:rPr>
        <w:t>ה</w:t>
      </w:r>
      <w:r w:rsidRPr="00C444C9">
        <w:rPr>
          <w:rStyle w:val="aff4"/>
          <w:rFonts w:hint="cs"/>
          <w:vanish/>
          <w:rtl/>
        </w:rPr>
        <w:t xml:space="preserve">&lt;. </w:t>
      </w:r>
      <w:r w:rsidRPr="00C444C9">
        <w:rPr>
          <w:rStyle w:val="aff4"/>
          <w:vanish/>
          <w:rtl/>
        </w:rPr>
        <w:fldChar w:fldCharType="begin"/>
      </w:r>
      <w:r w:rsidRPr="00C444C9">
        <w:rPr>
          <w:rStyle w:val="aff4"/>
          <w:vanish/>
          <w:rtl/>
        </w:rPr>
        <w:instrText xml:space="preserve"> </w:instrText>
      </w:r>
      <w:r w:rsidRPr="00C444C9">
        <w:rPr>
          <w:rStyle w:val="aff4"/>
          <w:rFonts w:hint="cs"/>
          <w:vanish/>
        </w:rPr>
        <w:instrText>REF</w:instrText>
      </w:r>
      <w:r w:rsidRPr="00C444C9">
        <w:rPr>
          <w:rStyle w:val="aff4"/>
          <w:rFonts w:hint="cs"/>
          <w:vanish/>
          <w:rtl/>
        </w:rPr>
        <w:instrText xml:space="preserve"> _</w:instrText>
      </w:r>
      <w:r w:rsidRPr="00C444C9">
        <w:rPr>
          <w:rStyle w:val="aff4"/>
          <w:rFonts w:hint="cs"/>
          <w:vanish/>
        </w:rPr>
        <w:instrText>Ref133361034 \r \h</w:instrText>
      </w:r>
      <w:r w:rsidRPr="00C444C9">
        <w:rPr>
          <w:rStyle w:val="aff4"/>
          <w:vanish/>
          <w:rtl/>
        </w:rPr>
        <w:instrText xml:space="preserve"> </w:instrText>
      </w:r>
      <w:r w:rsidRPr="00C444C9">
        <w:rPr>
          <w:rStyle w:val="aff4"/>
          <w:vanish/>
          <w:rtl/>
        </w:rPr>
      </w:r>
      <w:r w:rsidRPr="00C444C9">
        <w:rPr>
          <w:rStyle w:val="aff4"/>
          <w:vanish/>
          <w:rtl/>
        </w:rPr>
        <w:fldChar w:fldCharType="separate"/>
      </w:r>
      <w:r w:rsidR="00D82181">
        <w:rPr>
          <w:rStyle w:val="aff4"/>
          <w:vanish/>
          <w:cs/>
        </w:rPr>
        <w:t>‎</w:t>
      </w:r>
      <w:r w:rsidR="00D82181">
        <w:rPr>
          <w:rStyle w:val="aff4"/>
          <w:vanish/>
          <w:rtl/>
        </w:rPr>
        <w:t>יא)</w:t>
      </w:r>
      <w:r w:rsidRPr="00C444C9">
        <w:rPr>
          <w:rStyle w:val="aff4"/>
          <w:vanish/>
          <w:rtl/>
        </w:rPr>
        <w:fldChar w:fldCharType="end"/>
      </w:r>
      <w:r w:rsidRPr="00C444C9">
        <w:rPr>
          <w:rStyle w:val="aff4"/>
          <w:rFonts w:hint="cs"/>
          <w:vanish/>
          <w:rtl/>
        </w:rPr>
        <w:t xml:space="preserve"> &gt;</w:t>
      </w:r>
      <w:r w:rsidRPr="004F32D2">
        <w:rPr>
          <w:rStyle w:val="aff4"/>
          <w:rFonts w:hint="cs"/>
          <w:rtl/>
        </w:rPr>
        <w:t>תוס'</w:t>
      </w:r>
      <w:r w:rsidRPr="00C444C9">
        <w:rPr>
          <w:rStyle w:val="aff4"/>
          <w:rFonts w:hint="cs"/>
          <w:vanish/>
          <w:rtl/>
        </w:rPr>
        <w:t>-</w:t>
      </w:r>
      <w:r>
        <w:rPr>
          <w:rFonts w:hint="cs"/>
          <w:rtl/>
        </w:rPr>
        <w:t xml:space="preserve"> </w:t>
      </w:r>
      <w:r w:rsidRPr="002A0D0C">
        <w:rPr>
          <w:rStyle w:val="af2"/>
          <w:rFonts w:eastAsia="Guttman Hodes" w:hint="cs"/>
          <w:rtl/>
        </w:rPr>
        <w:t>(ד"ה משום)</w:t>
      </w:r>
      <w:r>
        <w:rPr>
          <w:rFonts w:hint="cs"/>
          <w:vanish/>
          <w:rtl/>
        </w:rPr>
        <w:t>=</w:t>
      </w:r>
      <w:r>
        <w:rPr>
          <w:rFonts w:hint="cs"/>
          <w:rtl/>
        </w:rPr>
        <w:t xml:space="preserve"> דא"א להוכיח מזה דצריך להתרות על תולדה רק משום האב, כיון דרב אמי אמר דאם התרה משום זורע ג"כ חייב, אך כתבו </w:t>
      </w:r>
      <w:r w:rsidRPr="00C444C9">
        <w:rPr>
          <w:rStyle w:val="aff4"/>
          <w:rFonts w:hint="cs"/>
          <w:vanish/>
          <w:rtl/>
        </w:rPr>
        <w:t>-</w:t>
      </w:r>
      <w:r w:rsidRPr="004F32D2">
        <w:rPr>
          <w:rStyle w:val="aff4"/>
          <w:rFonts w:hint="cs"/>
          <w:rtl/>
        </w:rPr>
        <w:t>התוס'</w:t>
      </w:r>
      <w:r w:rsidRPr="00C444C9">
        <w:rPr>
          <w:rStyle w:val="aff4"/>
          <w:rFonts w:hint="cs"/>
          <w:vanish/>
          <w:rtl/>
        </w:rPr>
        <w:t>-</w:t>
      </w:r>
      <w:r>
        <w:rPr>
          <w:rFonts w:hint="cs"/>
          <w:rtl/>
        </w:rPr>
        <w:t xml:space="preserve"> דבגמ' לקמן </w:t>
      </w:r>
      <w:r w:rsidRPr="002A0D0C">
        <w:rPr>
          <w:rStyle w:val="af2"/>
          <w:rFonts w:eastAsia="Guttman Hodes" w:hint="cs"/>
          <w:rtl/>
        </w:rPr>
        <w:t>(קלח.)</w:t>
      </w:r>
      <w:r>
        <w:rPr>
          <w:rFonts w:hint="cs"/>
          <w:rtl/>
        </w:rPr>
        <w:t xml:space="preserve"> משמע קצת דצריך להתרות בתולדה משום האב, כיון דאם מתרה בדבר שאינו דומה לו משמע דפטור דסבור שמלעיג בו, אבל אם התרה לו בשם של התולדה עצמה, כתבו </w:t>
      </w:r>
      <w:r w:rsidRPr="00C444C9">
        <w:rPr>
          <w:rStyle w:val="aff4"/>
          <w:rFonts w:hint="cs"/>
          <w:vanish/>
          <w:rtl/>
        </w:rPr>
        <w:t>-</w:t>
      </w:r>
      <w:r w:rsidRPr="004F32D2">
        <w:rPr>
          <w:rStyle w:val="aff4"/>
          <w:rFonts w:hint="cs"/>
          <w:rtl/>
        </w:rPr>
        <w:t>התוס'</w:t>
      </w:r>
      <w:r w:rsidRPr="00C444C9">
        <w:rPr>
          <w:rStyle w:val="aff4"/>
          <w:rFonts w:hint="cs"/>
          <w:vanish/>
          <w:rtl/>
        </w:rPr>
        <w:t>-</w:t>
      </w:r>
      <w:r>
        <w:rPr>
          <w:rFonts w:hint="cs"/>
          <w:rtl/>
        </w:rPr>
        <w:t xml:space="preserve"> דמשמע שהוא חייב, וכן משמע מדברי </w:t>
      </w:r>
      <w:r w:rsidRPr="00C444C9">
        <w:rPr>
          <w:rStyle w:val="aff4"/>
          <w:rFonts w:hint="cs"/>
          <w:vanish/>
          <w:rtl/>
        </w:rPr>
        <w:t>-</w:t>
      </w:r>
      <w:r w:rsidRPr="004F32D2">
        <w:rPr>
          <w:rStyle w:val="aff4"/>
          <w:rFonts w:hint="cs"/>
          <w:rtl/>
        </w:rPr>
        <w:t>ר"ח</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Ref133823688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נג)</w:t>
      </w:r>
      <w:r>
        <w:rPr>
          <w:rStyle w:val="af2"/>
          <w:rFonts w:eastAsia="Guttman Hodes"/>
          <w:rtl/>
        </w:rPr>
        <w:fldChar w:fldCharType="end"/>
      </w:r>
      <w:r>
        <w:rPr>
          <w:rFonts w:hint="cs"/>
          <w:rtl/>
        </w:rPr>
        <w:t xml:space="preserve">, וכתבו </w:t>
      </w:r>
      <w:r w:rsidRPr="00C444C9">
        <w:rPr>
          <w:rStyle w:val="aff4"/>
          <w:rFonts w:hint="cs"/>
          <w:vanish/>
          <w:rtl/>
        </w:rPr>
        <w:t>-</w:t>
      </w:r>
      <w:r w:rsidRPr="004F32D2">
        <w:rPr>
          <w:rStyle w:val="aff4"/>
          <w:rFonts w:hint="cs"/>
          <w:rtl/>
        </w:rPr>
        <w:t>התוס'</w:t>
      </w:r>
      <w:r w:rsidRPr="00C444C9">
        <w:rPr>
          <w:rStyle w:val="aff4"/>
          <w:rFonts w:hint="cs"/>
          <w:vanish/>
          <w:rtl/>
        </w:rPr>
        <w:t>-</w:t>
      </w:r>
      <w:r>
        <w:rPr>
          <w:rFonts w:hint="cs"/>
          <w:rtl/>
        </w:rPr>
        <w:t xml:space="preserve"> דכן משמע בגמ' בב"ק </w:t>
      </w:r>
      <w:r w:rsidRPr="002A0D0C">
        <w:rPr>
          <w:rStyle w:val="af2"/>
          <w:rFonts w:eastAsia="Guttman Hodes" w:hint="cs"/>
          <w:rtl/>
        </w:rPr>
        <w:t>(ב.)</w:t>
      </w:r>
      <w:r>
        <w:rPr>
          <w:rFonts w:hint="cs"/>
          <w:rtl/>
        </w:rPr>
        <w:t>.</w:t>
      </w:r>
      <w:bookmarkEnd w:id="117"/>
    </w:p>
    <w:p w14:paraId="6B9419FD" w14:textId="77777777" w:rsidR="009623A2" w:rsidRPr="00747170" w:rsidRDefault="009623A2" w:rsidP="00747170">
      <w:pPr>
        <w:pStyle w:val="a2"/>
        <w:rPr>
          <w:rtl/>
        </w:rPr>
      </w:pPr>
      <w:r w:rsidRPr="00747170">
        <w:rPr>
          <w:rtl/>
        </w:rPr>
        <w:t>משום זורע - אין להוכיח מכאן דצריך להתרות אתולדה משום אב דהא לא קאמר שצריך להתרותו משום זורע אלא דאם התרה בו משום זורע דחייב אבל בריש פרק תולין (לקמן קלח.) משמע קצת דצריך להתרות אתולדה משום אב דקאמר משמר משום מאי מתרינן ביה (שיהא חייב) רבה אמר משום בורר רבי זירא אמר משום מרקד וגם זה יש לדחות דהכי פירושו משום מאי מתרינן ביה שיהא חייב רבה אמר משום בורר אבל אם התרו בו משום מרקד פטור כיון דמתרהו משום דבר שאינו דומה לו הוא סבר שהוא מלעיג בו ופטור אבל אם התרה בו סתם אל תשמר חייב ונראה שגם ר"ח רוצה לפרש כן ועוד ראיה דבריש בבא קמא (דף ב.) קאמר ולר' אליעזר דמחייב אתולדה במקום אב אמאי קרי ליה אב ואמאי קרי ליה תולדה ולא משני דלהכי קרי ליה אב דצריך להתרות אתולדה [משום] אב.</w:t>
      </w:r>
    </w:p>
    <w:p w14:paraId="2BB5E3FD" w14:textId="5EDB17EB" w:rsidR="009623A2" w:rsidRDefault="009623A2" w:rsidP="009623A2">
      <w:pPr>
        <w:pStyle w:val="afffff7"/>
        <w:rPr>
          <w:rtl/>
        </w:rPr>
      </w:pPr>
      <w:bookmarkStart w:id="118" w:name="_Toc133841630"/>
      <w:bookmarkStart w:id="119" w:name="_Toc163505378"/>
      <w:r>
        <w:rPr>
          <w:rtl/>
        </w:rPr>
        <w:t>מהר"ם מלובלין שבת ע"ג ע"ב</w:t>
      </w:r>
      <w:r>
        <w:rPr>
          <w:rFonts w:hint="cs"/>
          <w:rtl/>
        </w:rPr>
        <w:t xml:space="preserve"> על תוד"ה משום</w:t>
      </w:r>
      <w:bookmarkEnd w:id="118"/>
      <w:bookmarkEnd w:id="119"/>
    </w:p>
    <w:p w14:paraId="7BF83C18" w14:textId="77777777" w:rsidR="009623A2" w:rsidRDefault="009623A2" w:rsidP="009623A2">
      <w:pPr>
        <w:pStyle w:val="a7"/>
        <w:rPr>
          <w:rtl/>
        </w:rPr>
      </w:pPr>
      <w:bookmarkStart w:id="120" w:name="_Toc134419574"/>
      <w:r>
        <w:rPr>
          <w:rFonts w:hint="cs"/>
          <w:rtl/>
        </w:rPr>
        <w:t>בי' המהר"ם בתוס' דהקו' על מבריך ומרכיב היא לענין התראה ודלא כרש"י דבי' לענין חטאת</w:t>
      </w:r>
      <w:bookmarkEnd w:id="120"/>
    </w:p>
    <w:p w14:paraId="7D266717" w14:textId="7730CFC6" w:rsidR="009623A2" w:rsidRPr="009D540A" w:rsidRDefault="009623A2" w:rsidP="00BC7DC8">
      <w:pPr>
        <w:pStyle w:val="a3"/>
      </w:pPr>
      <w:bookmarkStart w:id="121" w:name="_Ref133361050"/>
      <w:r>
        <w:rPr>
          <w:rFonts w:hint="cs"/>
          <w:rtl/>
        </w:rPr>
        <w:t xml:space="preserve">וכתב </w:t>
      </w:r>
      <w:r w:rsidRPr="00C444C9">
        <w:rPr>
          <w:rStyle w:val="aff4"/>
          <w:rFonts w:hint="cs"/>
          <w:vanish/>
          <w:rtl/>
        </w:rPr>
        <w:t>-</w:t>
      </w:r>
      <w:r w:rsidRPr="004F32D2">
        <w:rPr>
          <w:rStyle w:val="aff4"/>
          <w:rFonts w:hint="cs"/>
          <w:rtl/>
        </w:rPr>
        <w:t>ה</w:t>
      </w:r>
      <w:r w:rsidRPr="00C444C9">
        <w:rPr>
          <w:rStyle w:val="aff4"/>
          <w:rFonts w:hint="cs"/>
          <w:vanish/>
          <w:rtl/>
        </w:rPr>
        <w:t xml:space="preserve">&lt;. </w:t>
      </w:r>
      <w:r w:rsidRPr="00C444C9">
        <w:rPr>
          <w:rStyle w:val="aff4"/>
          <w:vanish/>
          <w:rtl/>
        </w:rPr>
        <w:fldChar w:fldCharType="begin"/>
      </w:r>
      <w:r w:rsidRPr="00C444C9">
        <w:rPr>
          <w:rStyle w:val="aff4"/>
          <w:vanish/>
          <w:rtl/>
        </w:rPr>
        <w:instrText xml:space="preserve"> </w:instrText>
      </w:r>
      <w:r w:rsidRPr="00C444C9">
        <w:rPr>
          <w:rStyle w:val="aff4"/>
          <w:rFonts w:hint="cs"/>
          <w:vanish/>
        </w:rPr>
        <w:instrText>REF</w:instrText>
      </w:r>
      <w:r w:rsidRPr="00C444C9">
        <w:rPr>
          <w:rStyle w:val="aff4"/>
          <w:rFonts w:hint="cs"/>
          <w:vanish/>
          <w:rtl/>
        </w:rPr>
        <w:instrText xml:space="preserve"> _</w:instrText>
      </w:r>
      <w:r w:rsidRPr="00C444C9">
        <w:rPr>
          <w:rStyle w:val="aff4"/>
          <w:rFonts w:hint="cs"/>
          <w:vanish/>
        </w:rPr>
        <w:instrText>Ref133361050 \r \h</w:instrText>
      </w:r>
      <w:r w:rsidRPr="00C444C9">
        <w:rPr>
          <w:rStyle w:val="aff4"/>
          <w:vanish/>
          <w:rtl/>
        </w:rPr>
        <w:instrText xml:space="preserve"> </w:instrText>
      </w:r>
      <w:r w:rsidRPr="00C444C9">
        <w:rPr>
          <w:rStyle w:val="aff4"/>
          <w:vanish/>
          <w:rtl/>
        </w:rPr>
      </w:r>
      <w:r w:rsidRPr="00C444C9">
        <w:rPr>
          <w:rStyle w:val="aff4"/>
          <w:vanish/>
          <w:rtl/>
        </w:rPr>
        <w:fldChar w:fldCharType="separate"/>
      </w:r>
      <w:r w:rsidR="00D82181">
        <w:rPr>
          <w:rStyle w:val="aff4"/>
          <w:vanish/>
          <w:cs/>
        </w:rPr>
        <w:t>‎</w:t>
      </w:r>
      <w:r w:rsidR="00D82181">
        <w:rPr>
          <w:rStyle w:val="aff4"/>
          <w:vanish/>
          <w:rtl/>
        </w:rPr>
        <w:t>יב)</w:t>
      </w:r>
      <w:r w:rsidRPr="00C444C9">
        <w:rPr>
          <w:rStyle w:val="aff4"/>
          <w:vanish/>
          <w:rtl/>
        </w:rPr>
        <w:fldChar w:fldCharType="end"/>
      </w:r>
      <w:r w:rsidRPr="00C444C9">
        <w:rPr>
          <w:rStyle w:val="aff4"/>
          <w:rFonts w:hint="cs"/>
          <w:vanish/>
          <w:rtl/>
        </w:rPr>
        <w:t xml:space="preserve"> &gt;</w:t>
      </w:r>
      <w:r w:rsidRPr="004F32D2">
        <w:rPr>
          <w:rStyle w:val="aff4"/>
          <w:rFonts w:hint="cs"/>
          <w:rtl/>
        </w:rPr>
        <w:t>מהר"ם</w:t>
      </w:r>
      <w:r w:rsidRPr="00C444C9">
        <w:rPr>
          <w:rStyle w:val="aff4"/>
          <w:rFonts w:hint="cs"/>
          <w:vanish/>
          <w:rtl/>
        </w:rPr>
        <w:t>-</w:t>
      </w:r>
      <w:r>
        <w:rPr>
          <w:rFonts w:hint="cs"/>
          <w:rtl/>
        </w:rPr>
        <w:t xml:space="preserve"> </w:t>
      </w:r>
      <w:r w:rsidRPr="002A0D0C">
        <w:rPr>
          <w:rStyle w:val="af2"/>
          <w:rFonts w:eastAsia="Guttman Hodes" w:hint="cs"/>
          <w:rtl/>
        </w:rPr>
        <w:t>(על תוד"ה משום)</w:t>
      </w:r>
      <w:r>
        <w:rPr>
          <w:rFonts w:hint="cs"/>
          <w:vanish/>
          <w:rtl/>
        </w:rPr>
        <w:t>=</w:t>
      </w:r>
      <w:r>
        <w:rPr>
          <w:rFonts w:hint="cs"/>
          <w:rtl/>
        </w:rPr>
        <w:t xml:space="preserve"> דמשמע מדברי </w:t>
      </w:r>
      <w:r w:rsidRPr="00C444C9">
        <w:rPr>
          <w:rStyle w:val="aff4"/>
          <w:rFonts w:hint="cs"/>
          <w:vanish/>
          <w:rtl/>
        </w:rPr>
        <w:t>-</w:t>
      </w:r>
      <w:r w:rsidRPr="004F32D2">
        <w:rPr>
          <w:rStyle w:val="aff4"/>
          <w:rFonts w:hint="cs"/>
          <w:rtl/>
        </w:rPr>
        <w:t>התוס'</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sidRPr="002A0D0C">
        <w:rPr>
          <w:rStyle w:val="af2"/>
          <w:rFonts w:eastAsia="Guttman Hodes"/>
          <w:rtl/>
        </w:rPr>
        <w:fldChar w:fldCharType="begin"/>
      </w:r>
      <w:r w:rsidRPr="002A0D0C">
        <w:rPr>
          <w:rStyle w:val="af2"/>
          <w:rFonts w:eastAsia="Guttman Hodes"/>
          <w:rtl/>
        </w:rPr>
        <w:instrText xml:space="preserve"> </w:instrText>
      </w:r>
      <w:r w:rsidRPr="002A0D0C">
        <w:rPr>
          <w:rStyle w:val="af2"/>
          <w:rFonts w:eastAsia="Guttman Hodes" w:hint="cs"/>
        </w:rPr>
        <w:instrText>REF</w:instrText>
      </w:r>
      <w:r w:rsidRPr="002A0D0C">
        <w:rPr>
          <w:rStyle w:val="af2"/>
          <w:rFonts w:eastAsia="Guttman Hodes" w:hint="cs"/>
          <w:rtl/>
        </w:rPr>
        <w:instrText xml:space="preserve"> _</w:instrText>
      </w:r>
      <w:r w:rsidRPr="002A0D0C">
        <w:rPr>
          <w:rStyle w:val="af2"/>
          <w:rFonts w:eastAsia="Guttman Hodes" w:hint="cs"/>
        </w:rPr>
        <w:instrText>Ref133361034 \r \h</w:instrText>
      </w:r>
      <w:r w:rsidRPr="002A0D0C">
        <w:rPr>
          <w:rStyle w:val="af2"/>
          <w:rFonts w:eastAsia="Guttman Hodes"/>
          <w:rtl/>
        </w:rPr>
        <w:instrText xml:space="preserve"> </w:instrText>
      </w:r>
      <w:r w:rsidRPr="002A0D0C">
        <w:rPr>
          <w:rStyle w:val="af2"/>
          <w:rFonts w:eastAsia="Guttman Hodes"/>
          <w:rtl/>
        </w:rPr>
      </w:r>
      <w:r w:rsidRPr="002A0D0C">
        <w:rPr>
          <w:rStyle w:val="af2"/>
          <w:rFonts w:eastAsia="Guttman Hodes"/>
          <w:rtl/>
        </w:rPr>
        <w:fldChar w:fldCharType="separate"/>
      </w:r>
      <w:r w:rsidR="00D82181">
        <w:rPr>
          <w:rStyle w:val="af2"/>
          <w:rFonts w:eastAsia="Guttman Hodes"/>
          <w:cs/>
        </w:rPr>
        <w:t>‎</w:t>
      </w:r>
      <w:r w:rsidR="00D82181">
        <w:rPr>
          <w:rStyle w:val="af2"/>
          <w:rFonts w:eastAsia="Guttman Hodes"/>
          <w:rtl/>
        </w:rPr>
        <w:t>יא)</w:t>
      </w:r>
      <w:r w:rsidRPr="002A0D0C">
        <w:rPr>
          <w:rStyle w:val="af2"/>
          <w:rFonts w:eastAsia="Guttman Hodes"/>
          <w:rtl/>
        </w:rPr>
        <w:fldChar w:fldCharType="end"/>
      </w:r>
      <w:r>
        <w:rPr>
          <w:rFonts w:hint="cs"/>
          <w:rtl/>
        </w:rPr>
        <w:t xml:space="preserve"> דביארו דהא דאמר רב אמי דזומר חייב משום נוטע, הוא לענין התראה דבהתרה בו משום נוטע חייב, וא"כ קושית הגמ' על מבריך ומרכיב, "משום זורע אין משום נוטע לא", היינו ג"כ לענין התראה, דמקשה הגמ' דמשמע שאם התרה בו על נוטע לא יתחייב, ותירוץ הגמ' "אף משום זורע", הכוונה דאם התרה בו משום נוטע פשיטא דחייב, והחידוש הוא דאף אם התרה משום זורע חייב, וכתב </w:t>
      </w:r>
      <w:r w:rsidRPr="00C444C9">
        <w:rPr>
          <w:rStyle w:val="aff4"/>
          <w:rFonts w:hint="cs"/>
          <w:vanish/>
          <w:rtl/>
        </w:rPr>
        <w:t>-</w:t>
      </w:r>
      <w:r w:rsidRPr="004F32D2">
        <w:rPr>
          <w:rStyle w:val="aff4"/>
          <w:rFonts w:hint="cs"/>
          <w:rtl/>
        </w:rPr>
        <w:t>המהר"ם</w:t>
      </w:r>
      <w:r w:rsidRPr="00C444C9">
        <w:rPr>
          <w:rStyle w:val="aff4"/>
          <w:rFonts w:hint="cs"/>
          <w:vanish/>
          <w:rtl/>
        </w:rPr>
        <w:t>-</w:t>
      </w:r>
      <w:r>
        <w:rPr>
          <w:rFonts w:hint="cs"/>
          <w:rtl/>
        </w:rPr>
        <w:t xml:space="preserve"> דהוא דלא כביאור </w:t>
      </w:r>
      <w:r w:rsidRPr="00C444C9">
        <w:rPr>
          <w:rStyle w:val="aff4"/>
          <w:rFonts w:hint="cs"/>
          <w:vanish/>
          <w:rtl/>
        </w:rPr>
        <w:t>-</w:t>
      </w:r>
      <w:r w:rsidRPr="004F32D2">
        <w:rPr>
          <w:rStyle w:val="aff4"/>
          <w:rFonts w:hint="cs"/>
          <w:rtl/>
        </w:rPr>
        <w:t>רש"י</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Ref132026659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ד)</w:t>
      </w:r>
      <w:r>
        <w:rPr>
          <w:rStyle w:val="af2"/>
          <w:rFonts w:eastAsia="Guttman Hodes"/>
          <w:rtl/>
        </w:rPr>
        <w:fldChar w:fldCharType="end"/>
      </w:r>
      <w:r>
        <w:rPr>
          <w:rFonts w:hint="cs"/>
          <w:rtl/>
        </w:rPr>
        <w:t xml:space="preserve"> דדברי רב אמי הם לענין שאם הבריך או הרכיב יחד עם זורע חייב רק חטאת אחת, וביאר </w:t>
      </w:r>
      <w:r w:rsidRPr="00C444C9">
        <w:rPr>
          <w:rStyle w:val="aff4"/>
          <w:rFonts w:hint="cs"/>
          <w:vanish/>
          <w:rtl/>
        </w:rPr>
        <w:t>-</w:t>
      </w:r>
      <w:r w:rsidRPr="004F32D2">
        <w:rPr>
          <w:rStyle w:val="aff4"/>
          <w:rFonts w:hint="cs"/>
          <w:rtl/>
        </w:rPr>
        <w:t>המהר"ם</w:t>
      </w:r>
      <w:r w:rsidRPr="00C444C9">
        <w:rPr>
          <w:rStyle w:val="aff4"/>
          <w:rFonts w:hint="cs"/>
          <w:vanish/>
          <w:rtl/>
        </w:rPr>
        <w:t>-</w:t>
      </w:r>
      <w:r>
        <w:rPr>
          <w:rFonts w:hint="cs"/>
          <w:rtl/>
        </w:rPr>
        <w:t xml:space="preserve"> דביארו </w:t>
      </w:r>
      <w:r w:rsidRPr="00C444C9">
        <w:rPr>
          <w:rStyle w:val="aff4"/>
          <w:rFonts w:hint="cs"/>
          <w:vanish/>
          <w:rtl/>
        </w:rPr>
        <w:t>-</w:t>
      </w:r>
      <w:r w:rsidRPr="004F32D2">
        <w:rPr>
          <w:rStyle w:val="aff4"/>
          <w:rFonts w:hint="cs"/>
          <w:rtl/>
        </w:rPr>
        <w:t>התוס'</w:t>
      </w:r>
      <w:r w:rsidRPr="00C444C9">
        <w:rPr>
          <w:rStyle w:val="aff4"/>
          <w:rFonts w:hint="cs"/>
          <w:vanish/>
          <w:rtl/>
        </w:rPr>
        <w:t>-</w:t>
      </w:r>
      <w:r>
        <w:rPr>
          <w:rFonts w:hint="cs"/>
          <w:rtl/>
        </w:rPr>
        <w:t xml:space="preserve"> כן כיון דדין זה דחייב רק אחת הוא כבר מבואר בברייתא דכולן מלאכה אחת. </w:t>
      </w:r>
      <w:r w:rsidRPr="002A0D0C">
        <w:rPr>
          <w:rStyle w:val="af"/>
          <w:rFonts w:hint="cs"/>
          <w:rtl/>
        </w:rPr>
        <w:t xml:space="preserve">[אך הקשה </w:t>
      </w:r>
      <w:r w:rsidRPr="001145E2">
        <w:rPr>
          <w:rStyle w:val="aff9"/>
          <w:rFonts w:hint="cs"/>
          <w:vanish/>
          <w:rtl/>
        </w:rPr>
        <w:t>-</w:t>
      </w:r>
      <w:r w:rsidRPr="002A0D0C">
        <w:rPr>
          <w:rStyle w:val="aff9"/>
          <w:rFonts w:hint="cs"/>
          <w:rtl/>
        </w:rPr>
        <w:t>המהר"ם</w:t>
      </w:r>
      <w:r w:rsidRPr="001145E2">
        <w:rPr>
          <w:rStyle w:val="aff9"/>
          <w:rFonts w:hint="cs"/>
          <w:vanish/>
          <w:rtl/>
        </w:rPr>
        <w:t>-</w:t>
      </w:r>
      <w:r w:rsidRPr="002A0D0C">
        <w:rPr>
          <w:rStyle w:val="af"/>
          <w:rFonts w:hint="cs"/>
          <w:rtl/>
        </w:rPr>
        <w:t xml:space="preserve"> דלפי"ז משמע דהא דאמר רבי אמי דנוטע ומבריך ומרכיב חייב משום זורע, הכוונה שאם התרו בו משום זורע חייב, וכתב </w:t>
      </w:r>
      <w:r w:rsidRPr="001145E2">
        <w:rPr>
          <w:rStyle w:val="aff9"/>
          <w:rFonts w:hint="cs"/>
          <w:vanish/>
          <w:rtl/>
        </w:rPr>
        <w:t>-</w:t>
      </w:r>
      <w:r w:rsidRPr="002A0D0C">
        <w:rPr>
          <w:rStyle w:val="aff9"/>
          <w:rFonts w:hint="cs"/>
          <w:rtl/>
        </w:rPr>
        <w:t>המהר"ם</w:t>
      </w:r>
      <w:r w:rsidRPr="001145E2">
        <w:rPr>
          <w:rStyle w:val="aff9"/>
          <w:rFonts w:hint="cs"/>
          <w:vanish/>
          <w:rtl/>
        </w:rPr>
        <w:t>-</w:t>
      </w:r>
      <w:r w:rsidRPr="002A0D0C">
        <w:rPr>
          <w:rStyle w:val="af"/>
          <w:rFonts w:hint="cs"/>
          <w:rtl/>
        </w:rPr>
        <w:t xml:space="preserve"> דדוחק לומר כן, דהא נוטע עצמו הוא אב]</w:t>
      </w:r>
      <w:r w:rsidRPr="00345748">
        <w:rPr>
          <w:rStyle w:val="af"/>
          <w:rFonts w:hint="cs"/>
          <w:rtl/>
        </w:rPr>
        <w:t>.</w:t>
      </w:r>
      <w:bookmarkEnd w:id="121"/>
    </w:p>
    <w:p w14:paraId="454DDFA8" w14:textId="77777777" w:rsidR="009623A2" w:rsidRPr="00747170" w:rsidRDefault="009623A2" w:rsidP="00747170">
      <w:pPr>
        <w:pStyle w:val="a2"/>
        <w:rPr>
          <w:rtl/>
        </w:rPr>
      </w:pPr>
      <w:r w:rsidRPr="00747170">
        <w:rPr>
          <w:rtl/>
        </w:rPr>
        <w:t>בתוס' ד"ה משום זורע אין להוכיח מכאן דצריך להתרות אתולדה משום אב פי' כגון הזומר צריך להתרותו אל תזמור משום שתתחייב משום נוטע אבל אם התרה בו סתם לא תזמור שהוא מלאכה אינו חייב זה אינו דהא לא קאמר וכו' ומשמע מדברי התוס' שהם מפרשים דהא דקאמר בגמ' זומר חייב משום נוטע הוי פירושו לענין שאם התרה בו משום נוטע חייב וכן הא דפריך אהא דקאמר המבריך והמרכיב חייב משום זורע משום זורע אין משום נוטע לא וכו' הוי נמי פירושו שאם התרה בו משום נוטע לא בתמיה ומשני אף משום זורע פי' היכא שאם התרה בו משום נוטע פשיטא שחייב אלא אף אם התרה בו משום זורע נמי חייב ולא כפי' רש"י דמפרש דאיירי לענין דאם עביד ליה בהדי זורע מחייב חדא ותו לא שזה שמעינן מברייתא דלעיל דתנא הזורע והזומר והנוטע כו' כולם מלאכה אחת הן כדאמר לעיל מזה בגמ'</w:t>
      </w:r>
      <w:r w:rsidRPr="00747170">
        <w:rPr>
          <w:rFonts w:hint="cs"/>
          <w:rtl/>
        </w:rPr>
        <w:t>,</w:t>
      </w:r>
      <w:r w:rsidRPr="00747170">
        <w:rPr>
          <w:rtl/>
        </w:rPr>
        <w:t>אלא שלפי פי' זה של התוס' נצטרך לומר דהא דהנוטע והמבריך וכו' חייב משום זורע ר"ל ג"כ שאם התרה להנוטע משום זורע חייב וזה דוחק קצת דהא נוטע גופיה אב הוא וק"ל:</w:t>
      </w:r>
    </w:p>
    <w:p w14:paraId="578A0513" w14:textId="437EC2ED" w:rsidR="009623A2" w:rsidRDefault="009623A2" w:rsidP="009623A2">
      <w:pPr>
        <w:pStyle w:val="afffff7"/>
        <w:rPr>
          <w:rtl/>
        </w:rPr>
      </w:pPr>
      <w:bookmarkStart w:id="122" w:name="_Toc133841631"/>
      <w:bookmarkStart w:id="123" w:name="_Toc163505379"/>
      <w:r w:rsidRPr="00F536D0">
        <w:rPr>
          <w:rtl/>
        </w:rPr>
        <w:t>ראש יוסף שבת ע"ג ע"ב</w:t>
      </w:r>
      <w:r w:rsidRPr="00F536D0">
        <w:rPr>
          <w:rFonts w:hint="cs"/>
          <w:rtl/>
        </w:rPr>
        <w:t xml:space="preserve"> ד"ה </w:t>
      </w:r>
      <w:r>
        <w:rPr>
          <w:rtl/>
        </w:rPr>
        <w:t>והנה בפירוש</w:t>
      </w:r>
      <w:bookmarkEnd w:id="122"/>
      <w:bookmarkEnd w:id="123"/>
      <w:r>
        <w:rPr>
          <w:rtl/>
        </w:rPr>
        <w:t xml:space="preserve"> </w:t>
      </w:r>
    </w:p>
    <w:p w14:paraId="64F189F5" w14:textId="77777777" w:rsidR="009623A2" w:rsidRPr="009C60B2" w:rsidRDefault="009623A2" w:rsidP="009623A2">
      <w:pPr>
        <w:pStyle w:val="a7"/>
        <w:rPr>
          <w:rtl/>
        </w:rPr>
      </w:pPr>
      <w:bookmarkStart w:id="124" w:name="_Toc134419575"/>
      <w:r>
        <w:rPr>
          <w:rFonts w:hint="cs"/>
          <w:rtl/>
        </w:rPr>
        <w:t>בי' הראש יוסף בתוס' דאפשר לבאר כרמ"ך דכל המלאכות תולדות ולכן אין ראיה מסוגיין</w:t>
      </w:r>
      <w:bookmarkEnd w:id="124"/>
    </w:p>
    <w:p w14:paraId="214676F7" w14:textId="03C3D1F7" w:rsidR="009623A2" w:rsidRPr="009C60B2" w:rsidRDefault="009623A2" w:rsidP="00BC7DC8">
      <w:pPr>
        <w:pStyle w:val="a3"/>
        <w:rPr>
          <w:rtl/>
        </w:rPr>
      </w:pPr>
      <w:bookmarkStart w:id="125" w:name="_Ref133361068"/>
      <w:r>
        <w:rPr>
          <w:rFonts w:hint="cs"/>
          <w:rtl/>
        </w:rPr>
        <w:t xml:space="preserve">וכתב </w:t>
      </w:r>
      <w:r w:rsidRPr="00C444C9">
        <w:rPr>
          <w:rStyle w:val="aff4"/>
          <w:rFonts w:hint="cs"/>
          <w:vanish/>
          <w:rtl/>
        </w:rPr>
        <w:t>-</w:t>
      </w:r>
      <w:r w:rsidRPr="004F32D2">
        <w:rPr>
          <w:rStyle w:val="aff4"/>
          <w:rFonts w:hint="cs"/>
          <w:rtl/>
        </w:rPr>
        <w:t>ה</w:t>
      </w:r>
      <w:r w:rsidRPr="00C444C9">
        <w:rPr>
          <w:rStyle w:val="aff4"/>
          <w:rFonts w:hint="cs"/>
          <w:vanish/>
          <w:rtl/>
        </w:rPr>
        <w:t xml:space="preserve">&lt;. </w:t>
      </w:r>
      <w:r w:rsidRPr="00C444C9">
        <w:rPr>
          <w:rStyle w:val="aff4"/>
          <w:vanish/>
          <w:rtl/>
        </w:rPr>
        <w:fldChar w:fldCharType="begin"/>
      </w:r>
      <w:r w:rsidRPr="00C444C9">
        <w:rPr>
          <w:rStyle w:val="aff4"/>
          <w:vanish/>
          <w:rtl/>
        </w:rPr>
        <w:instrText xml:space="preserve"> </w:instrText>
      </w:r>
      <w:r w:rsidRPr="00C444C9">
        <w:rPr>
          <w:rStyle w:val="aff4"/>
          <w:rFonts w:hint="cs"/>
          <w:vanish/>
        </w:rPr>
        <w:instrText>REF</w:instrText>
      </w:r>
      <w:r w:rsidRPr="00C444C9">
        <w:rPr>
          <w:rStyle w:val="aff4"/>
          <w:rFonts w:hint="cs"/>
          <w:vanish/>
          <w:rtl/>
        </w:rPr>
        <w:instrText xml:space="preserve"> _</w:instrText>
      </w:r>
      <w:r w:rsidRPr="00C444C9">
        <w:rPr>
          <w:rStyle w:val="aff4"/>
          <w:rFonts w:hint="cs"/>
          <w:vanish/>
        </w:rPr>
        <w:instrText>Ref133361068 \r \h</w:instrText>
      </w:r>
      <w:r w:rsidRPr="00C444C9">
        <w:rPr>
          <w:rStyle w:val="aff4"/>
          <w:vanish/>
          <w:rtl/>
        </w:rPr>
        <w:instrText xml:space="preserve"> </w:instrText>
      </w:r>
      <w:r w:rsidRPr="00C444C9">
        <w:rPr>
          <w:rStyle w:val="aff4"/>
          <w:vanish/>
          <w:rtl/>
        </w:rPr>
      </w:r>
      <w:r w:rsidRPr="00C444C9">
        <w:rPr>
          <w:rStyle w:val="aff4"/>
          <w:vanish/>
          <w:rtl/>
        </w:rPr>
        <w:fldChar w:fldCharType="separate"/>
      </w:r>
      <w:r w:rsidR="00D82181">
        <w:rPr>
          <w:rStyle w:val="aff4"/>
          <w:vanish/>
          <w:cs/>
        </w:rPr>
        <w:t>‎</w:t>
      </w:r>
      <w:r w:rsidR="00D82181">
        <w:rPr>
          <w:rStyle w:val="aff4"/>
          <w:vanish/>
          <w:rtl/>
        </w:rPr>
        <w:t>יג)</w:t>
      </w:r>
      <w:r w:rsidRPr="00C444C9">
        <w:rPr>
          <w:rStyle w:val="aff4"/>
          <w:vanish/>
          <w:rtl/>
        </w:rPr>
        <w:fldChar w:fldCharType="end"/>
      </w:r>
      <w:r w:rsidRPr="00C444C9">
        <w:rPr>
          <w:rStyle w:val="aff4"/>
          <w:rFonts w:hint="cs"/>
          <w:vanish/>
          <w:rtl/>
        </w:rPr>
        <w:t xml:space="preserve"> &gt;</w:t>
      </w:r>
      <w:r w:rsidRPr="004F32D2">
        <w:rPr>
          <w:rStyle w:val="aff4"/>
          <w:rFonts w:hint="cs"/>
          <w:rtl/>
        </w:rPr>
        <w:t>ראש יוסף</w:t>
      </w:r>
      <w:r w:rsidRPr="00C444C9">
        <w:rPr>
          <w:rStyle w:val="aff4"/>
          <w:rFonts w:hint="cs"/>
          <w:vanish/>
          <w:rtl/>
        </w:rPr>
        <w:t>-</w:t>
      </w:r>
      <w:r>
        <w:rPr>
          <w:rFonts w:hint="cs"/>
          <w:rtl/>
        </w:rPr>
        <w:t xml:space="preserve"> </w:t>
      </w:r>
      <w:r w:rsidRPr="002A0D0C">
        <w:rPr>
          <w:rStyle w:val="af2"/>
          <w:rFonts w:eastAsia="Guttman Hodes" w:hint="cs"/>
          <w:rtl/>
        </w:rPr>
        <w:t>(ד"ה והנה בפירוש)</w:t>
      </w:r>
      <w:r>
        <w:rPr>
          <w:rFonts w:hint="cs"/>
          <w:vanish/>
          <w:rtl/>
        </w:rPr>
        <w:t>=</w:t>
      </w:r>
      <w:r>
        <w:rPr>
          <w:rFonts w:hint="cs"/>
          <w:rtl/>
        </w:rPr>
        <w:t xml:space="preserve"> דלפי ביאור </w:t>
      </w:r>
      <w:r w:rsidRPr="00C444C9">
        <w:rPr>
          <w:rStyle w:val="aff4"/>
          <w:rFonts w:hint="cs"/>
          <w:vanish/>
          <w:rtl/>
        </w:rPr>
        <w:t>-</w:t>
      </w:r>
      <w:r w:rsidRPr="004F32D2">
        <w:rPr>
          <w:rStyle w:val="aff4"/>
          <w:rFonts w:hint="cs"/>
          <w:rtl/>
        </w:rPr>
        <w:t>המהר"ם</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Ref133361050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יב)</w:t>
      </w:r>
      <w:r>
        <w:rPr>
          <w:rStyle w:val="af2"/>
          <w:rFonts w:eastAsia="Guttman Hodes"/>
          <w:rtl/>
        </w:rPr>
        <w:fldChar w:fldCharType="end"/>
      </w:r>
      <w:r>
        <w:rPr>
          <w:rFonts w:hint="cs"/>
          <w:rtl/>
        </w:rPr>
        <w:t xml:space="preserve"> בדברי </w:t>
      </w:r>
      <w:r w:rsidRPr="00C444C9">
        <w:rPr>
          <w:rStyle w:val="aff4"/>
          <w:rFonts w:hint="cs"/>
          <w:vanish/>
          <w:rtl/>
        </w:rPr>
        <w:t>-</w:t>
      </w:r>
      <w:r w:rsidRPr="004F32D2">
        <w:rPr>
          <w:rStyle w:val="aff4"/>
          <w:rFonts w:hint="cs"/>
          <w:rtl/>
        </w:rPr>
        <w:t>התוס'</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sidRPr="002A0D0C">
        <w:rPr>
          <w:rStyle w:val="af2"/>
          <w:rFonts w:eastAsia="Guttman Hodes"/>
          <w:rtl/>
        </w:rPr>
        <w:fldChar w:fldCharType="begin"/>
      </w:r>
      <w:r w:rsidRPr="002A0D0C">
        <w:rPr>
          <w:rStyle w:val="af2"/>
          <w:rFonts w:eastAsia="Guttman Hodes"/>
          <w:rtl/>
        </w:rPr>
        <w:instrText xml:space="preserve"> </w:instrText>
      </w:r>
      <w:r w:rsidRPr="002A0D0C">
        <w:rPr>
          <w:rStyle w:val="af2"/>
          <w:rFonts w:eastAsia="Guttman Hodes" w:hint="cs"/>
        </w:rPr>
        <w:instrText>REF</w:instrText>
      </w:r>
      <w:r w:rsidRPr="002A0D0C">
        <w:rPr>
          <w:rStyle w:val="af2"/>
          <w:rFonts w:eastAsia="Guttman Hodes" w:hint="cs"/>
          <w:rtl/>
        </w:rPr>
        <w:instrText xml:space="preserve"> _</w:instrText>
      </w:r>
      <w:r w:rsidRPr="002A0D0C">
        <w:rPr>
          <w:rStyle w:val="af2"/>
          <w:rFonts w:eastAsia="Guttman Hodes" w:hint="cs"/>
        </w:rPr>
        <w:instrText>Ref133361034 \r \h</w:instrText>
      </w:r>
      <w:r w:rsidRPr="002A0D0C">
        <w:rPr>
          <w:rStyle w:val="af2"/>
          <w:rFonts w:eastAsia="Guttman Hodes"/>
          <w:rtl/>
        </w:rPr>
        <w:instrText xml:space="preserve"> </w:instrText>
      </w:r>
      <w:r w:rsidRPr="002A0D0C">
        <w:rPr>
          <w:rStyle w:val="af2"/>
          <w:rFonts w:eastAsia="Guttman Hodes"/>
          <w:rtl/>
        </w:rPr>
      </w:r>
      <w:r w:rsidRPr="002A0D0C">
        <w:rPr>
          <w:rStyle w:val="af2"/>
          <w:rFonts w:eastAsia="Guttman Hodes"/>
          <w:rtl/>
        </w:rPr>
        <w:fldChar w:fldCharType="separate"/>
      </w:r>
      <w:r w:rsidR="00D82181">
        <w:rPr>
          <w:rStyle w:val="af2"/>
          <w:rFonts w:eastAsia="Guttman Hodes"/>
          <w:cs/>
        </w:rPr>
        <w:t>‎</w:t>
      </w:r>
      <w:r w:rsidR="00D82181">
        <w:rPr>
          <w:rStyle w:val="af2"/>
          <w:rFonts w:eastAsia="Guttman Hodes"/>
          <w:rtl/>
        </w:rPr>
        <w:t>יא)</w:t>
      </w:r>
      <w:r w:rsidRPr="002A0D0C">
        <w:rPr>
          <w:rStyle w:val="af2"/>
          <w:rFonts w:eastAsia="Guttman Hodes"/>
          <w:rtl/>
        </w:rPr>
        <w:fldChar w:fldCharType="end"/>
      </w:r>
      <w:r>
        <w:rPr>
          <w:rFonts w:hint="cs"/>
          <w:rtl/>
        </w:rPr>
        <w:t xml:space="preserve"> דקושית הגמ' "משום זורע אין משום נוטע לא", היינו דמשמע דאם התרו במבריך או מרכיב משום נוטע יפטר, ותירצה הגמ' דהחידוש דאף אם התרו משום זורע חייב, ולכן כתבו </w:t>
      </w:r>
      <w:r w:rsidRPr="00C444C9">
        <w:rPr>
          <w:rStyle w:val="aff4"/>
          <w:rFonts w:hint="cs"/>
          <w:vanish/>
          <w:rtl/>
        </w:rPr>
        <w:t>-</w:t>
      </w:r>
      <w:r w:rsidRPr="004F32D2">
        <w:rPr>
          <w:rStyle w:val="aff4"/>
          <w:rFonts w:hint="cs"/>
          <w:rtl/>
        </w:rPr>
        <w:t>התוס'</w:t>
      </w:r>
      <w:r w:rsidRPr="00C444C9">
        <w:rPr>
          <w:rStyle w:val="aff4"/>
          <w:rFonts w:hint="cs"/>
          <w:vanish/>
          <w:rtl/>
        </w:rPr>
        <w:t>-</w:t>
      </w:r>
      <w:r>
        <w:rPr>
          <w:rFonts w:hint="cs"/>
          <w:rtl/>
        </w:rPr>
        <w:t xml:space="preserve"> דהיה אפשר להוכיח מזה דצריך להתרות בתולדה משום האב, דרק אם התרה בזומר משום נוטע חייב, אבל אם התרה משום זומר עצמו יפטר, אך כתבו </w:t>
      </w:r>
      <w:r w:rsidRPr="00C444C9">
        <w:rPr>
          <w:rStyle w:val="aff4"/>
          <w:rFonts w:hint="cs"/>
          <w:vanish/>
          <w:rtl/>
        </w:rPr>
        <w:t>-</w:t>
      </w:r>
      <w:r w:rsidRPr="004F32D2">
        <w:rPr>
          <w:rStyle w:val="aff4"/>
          <w:rFonts w:hint="cs"/>
          <w:rtl/>
        </w:rPr>
        <w:t>התוס'</w:t>
      </w:r>
      <w:r w:rsidRPr="00C444C9">
        <w:rPr>
          <w:rStyle w:val="aff4"/>
          <w:rFonts w:hint="cs"/>
          <w:vanish/>
          <w:rtl/>
        </w:rPr>
        <w:t>-</w:t>
      </w:r>
      <w:r>
        <w:rPr>
          <w:rFonts w:hint="cs"/>
          <w:rtl/>
        </w:rPr>
        <w:t xml:space="preserve"> דאי"ז ראיה, וביאר </w:t>
      </w:r>
      <w:r w:rsidRPr="00C444C9">
        <w:rPr>
          <w:rStyle w:val="aff4"/>
          <w:rFonts w:hint="cs"/>
          <w:vanish/>
          <w:rtl/>
        </w:rPr>
        <w:t>-</w:t>
      </w:r>
      <w:r w:rsidRPr="004F32D2">
        <w:rPr>
          <w:rStyle w:val="aff4"/>
          <w:rFonts w:hint="cs"/>
          <w:rtl/>
        </w:rPr>
        <w:t>הראש יוסף</w:t>
      </w:r>
      <w:r w:rsidRPr="00C444C9">
        <w:rPr>
          <w:rStyle w:val="aff4"/>
          <w:rFonts w:hint="cs"/>
          <w:vanish/>
          <w:rtl/>
        </w:rPr>
        <w:t>-</w:t>
      </w:r>
      <w:r>
        <w:rPr>
          <w:rFonts w:hint="cs"/>
          <w:rtl/>
        </w:rPr>
        <w:t xml:space="preserve"> דכוונתם לומר דלא מוכח דכוונת הגמ' לומר דכל המלאכות הללו הם אבות, הא אפש"ל דכולם הם תולדות של זורע, כדביאר </w:t>
      </w:r>
      <w:r w:rsidRPr="00C444C9">
        <w:rPr>
          <w:rStyle w:val="aff4"/>
          <w:rFonts w:hint="cs"/>
          <w:vanish/>
          <w:rtl/>
        </w:rPr>
        <w:t>-</w:t>
      </w:r>
      <w:r w:rsidRPr="004F32D2">
        <w:rPr>
          <w:rStyle w:val="aff4"/>
          <w:rFonts w:hint="cs"/>
          <w:rtl/>
        </w:rPr>
        <w:t>הרמ"ך</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Ref133823439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נז)</w:t>
      </w:r>
      <w:r>
        <w:rPr>
          <w:rStyle w:val="af2"/>
          <w:rFonts w:eastAsia="Guttman Hodes"/>
          <w:rtl/>
        </w:rPr>
        <w:fldChar w:fldCharType="end"/>
      </w:r>
      <w:r>
        <w:rPr>
          <w:rFonts w:hint="cs"/>
          <w:rtl/>
        </w:rPr>
        <w:t>, וא"כ מוכח בגמ' להיפך דבמתרה בתולדה בשם עצמה פשיטא דחייב, והחידוש דאם התרה בזומר גם משום נוטע ג"כ חייב, וכ"ש אם התרה משום זורע שהוא האב שלו.</w:t>
      </w:r>
      <w:bookmarkEnd w:id="125"/>
    </w:p>
    <w:p w14:paraId="274E97FB" w14:textId="77777777" w:rsidR="009623A2" w:rsidRPr="00747170" w:rsidRDefault="009623A2" w:rsidP="00747170">
      <w:pPr>
        <w:pStyle w:val="a2"/>
      </w:pPr>
      <w:r w:rsidRPr="00747170">
        <w:rPr>
          <w:rtl/>
        </w:rPr>
        <w:t xml:space="preserve">אבל התוס' ד"ה משום זורע סוברים דלענין התראה קאמר (עיין מור"ם מלובלין ז"ל) וה"פ נוטע מבריך ומרכיב מתרין משום זורע הא משום נוטע בנוטע ומבריך ומרכיב לא בתמי' אימא אף משום זורע וע"ז כתבו דאין להוכיח מכאן דצריך להתרות התולדה בשם אב מדאמר זומר משום נוטע דהיינו אב דידי' הא משום התולדה זומר לא ע"ז (אמרו) דאינו דמדאמר נוטע אף משום זורע ה"ה זומר אף משום </w:t>
      </w:r>
      <w:r w:rsidRPr="00747170">
        <w:rPr>
          <w:rFonts w:hint="cs"/>
          <w:rtl/>
        </w:rPr>
        <w:t>מ</w:t>
      </w:r>
      <w:r w:rsidRPr="00747170">
        <w:rPr>
          <w:rtl/>
        </w:rPr>
        <w:t>נוטע ומיהו ז"א אלא ה"פ דמאן נימא לן דכולן אבות דלמא כולן תולדות הן (כסברת הי"א והרמ"ך שהובא בכ"מ ומ"מ) וא"כ מוכח דאיפכא דאם התרו התולדה בשמה פשיטא חייב וזומר משום נוטע נקיט רבותא וכ"ש משום זורע אב דידי' ועיין מור"ם ז"ל בזה:</w:t>
      </w:r>
    </w:p>
    <w:p w14:paraId="0D293F25" w14:textId="1CC937E2" w:rsidR="009623A2" w:rsidRDefault="009623A2" w:rsidP="009623A2">
      <w:pPr>
        <w:pStyle w:val="afffff7"/>
        <w:rPr>
          <w:rtl/>
        </w:rPr>
      </w:pPr>
      <w:bookmarkStart w:id="126" w:name="_Toc133841632"/>
      <w:bookmarkStart w:id="127" w:name="_Toc163505380"/>
      <w:r>
        <w:rPr>
          <w:rtl/>
        </w:rPr>
        <w:t>אגלי טל באורים מלאכת זורע</w:t>
      </w:r>
      <w:r>
        <w:rPr>
          <w:rFonts w:hint="cs"/>
          <w:rtl/>
        </w:rPr>
        <w:t xml:space="preserve"> סק"ג</w:t>
      </w:r>
      <w:bookmarkEnd w:id="126"/>
      <w:bookmarkEnd w:id="127"/>
    </w:p>
    <w:p w14:paraId="02682272" w14:textId="77777777" w:rsidR="009623A2" w:rsidRPr="00A17EDC" w:rsidRDefault="009623A2" w:rsidP="009623A2">
      <w:pPr>
        <w:pStyle w:val="a7"/>
        <w:rPr>
          <w:rtl/>
        </w:rPr>
      </w:pPr>
      <w:bookmarkStart w:id="128" w:name="_Toc134419576"/>
      <w:r>
        <w:rPr>
          <w:rFonts w:hint="cs"/>
          <w:rtl/>
        </w:rPr>
        <w:t>בי האגל"ט בתוס' דכל המלאכות הם תולדת זורע ולא אב דמוכח בתוס' דמבריך ומרכיב תולדות</w:t>
      </w:r>
      <w:bookmarkEnd w:id="128"/>
    </w:p>
    <w:p w14:paraId="6FFE2523" w14:textId="2B2D750E" w:rsidR="009623A2" w:rsidRDefault="009623A2" w:rsidP="00BC7DC8">
      <w:pPr>
        <w:pStyle w:val="a3"/>
      </w:pPr>
      <w:bookmarkStart w:id="129" w:name="_Ref133361057"/>
      <w:r>
        <w:rPr>
          <w:rFonts w:hint="cs"/>
          <w:rtl/>
        </w:rPr>
        <w:t xml:space="preserve">במ"ש </w:t>
      </w:r>
      <w:r w:rsidRPr="00C444C9">
        <w:rPr>
          <w:rStyle w:val="aff4"/>
          <w:rFonts w:hint="cs"/>
          <w:vanish/>
          <w:rtl/>
        </w:rPr>
        <w:t>-</w:t>
      </w:r>
      <w:r w:rsidRPr="004F32D2">
        <w:rPr>
          <w:rStyle w:val="aff4"/>
          <w:rFonts w:hint="cs"/>
          <w:rtl/>
        </w:rPr>
        <w:t>התוס'</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sidRPr="002A0D0C">
        <w:rPr>
          <w:rStyle w:val="af2"/>
          <w:rFonts w:eastAsia="Guttman Hodes"/>
          <w:rtl/>
        </w:rPr>
        <w:fldChar w:fldCharType="begin"/>
      </w:r>
      <w:r w:rsidRPr="002A0D0C">
        <w:rPr>
          <w:rStyle w:val="af2"/>
          <w:rFonts w:eastAsia="Guttman Hodes"/>
          <w:rtl/>
        </w:rPr>
        <w:instrText xml:space="preserve"> </w:instrText>
      </w:r>
      <w:r w:rsidRPr="002A0D0C">
        <w:rPr>
          <w:rStyle w:val="af2"/>
          <w:rFonts w:eastAsia="Guttman Hodes" w:hint="cs"/>
        </w:rPr>
        <w:instrText>REF</w:instrText>
      </w:r>
      <w:r w:rsidRPr="002A0D0C">
        <w:rPr>
          <w:rStyle w:val="af2"/>
          <w:rFonts w:eastAsia="Guttman Hodes" w:hint="cs"/>
          <w:rtl/>
        </w:rPr>
        <w:instrText xml:space="preserve"> _</w:instrText>
      </w:r>
      <w:r w:rsidRPr="002A0D0C">
        <w:rPr>
          <w:rStyle w:val="af2"/>
          <w:rFonts w:eastAsia="Guttman Hodes" w:hint="cs"/>
        </w:rPr>
        <w:instrText>Ref133361034 \r \h</w:instrText>
      </w:r>
      <w:r w:rsidRPr="002A0D0C">
        <w:rPr>
          <w:rStyle w:val="af2"/>
          <w:rFonts w:eastAsia="Guttman Hodes"/>
          <w:rtl/>
        </w:rPr>
        <w:instrText xml:space="preserve"> </w:instrText>
      </w:r>
      <w:r w:rsidRPr="002A0D0C">
        <w:rPr>
          <w:rStyle w:val="af2"/>
          <w:rFonts w:eastAsia="Guttman Hodes"/>
          <w:rtl/>
        </w:rPr>
      </w:r>
      <w:r w:rsidRPr="002A0D0C">
        <w:rPr>
          <w:rStyle w:val="af2"/>
          <w:rFonts w:eastAsia="Guttman Hodes"/>
          <w:rtl/>
        </w:rPr>
        <w:fldChar w:fldCharType="separate"/>
      </w:r>
      <w:r w:rsidR="00D82181">
        <w:rPr>
          <w:rStyle w:val="af2"/>
          <w:rFonts w:eastAsia="Guttman Hodes"/>
          <w:cs/>
        </w:rPr>
        <w:t>‎</w:t>
      </w:r>
      <w:r w:rsidR="00D82181">
        <w:rPr>
          <w:rStyle w:val="af2"/>
          <w:rFonts w:eastAsia="Guttman Hodes"/>
          <w:rtl/>
        </w:rPr>
        <w:t>יא)</w:t>
      </w:r>
      <w:r w:rsidRPr="002A0D0C">
        <w:rPr>
          <w:rStyle w:val="af2"/>
          <w:rFonts w:eastAsia="Guttman Hodes"/>
          <w:rtl/>
        </w:rPr>
        <w:fldChar w:fldCharType="end"/>
      </w:r>
      <w:r>
        <w:rPr>
          <w:rFonts w:hint="cs"/>
          <w:rtl/>
        </w:rPr>
        <w:t xml:space="preserve"> דדברי רבי אמי הם לענין התראה, כתב </w:t>
      </w:r>
      <w:r w:rsidRPr="00C444C9">
        <w:rPr>
          <w:rStyle w:val="aff4"/>
          <w:rFonts w:hint="cs"/>
          <w:vanish/>
          <w:rtl/>
        </w:rPr>
        <w:t>-</w:t>
      </w:r>
      <w:r w:rsidRPr="004F32D2">
        <w:rPr>
          <w:rStyle w:val="aff4"/>
          <w:rFonts w:hint="cs"/>
          <w:rtl/>
        </w:rPr>
        <w:t>ה</w:t>
      </w:r>
      <w:r w:rsidRPr="00C444C9">
        <w:rPr>
          <w:rStyle w:val="aff4"/>
          <w:rFonts w:hint="cs"/>
          <w:vanish/>
          <w:rtl/>
        </w:rPr>
        <w:t xml:space="preserve">&lt;. </w:t>
      </w:r>
      <w:r w:rsidRPr="00C444C9">
        <w:rPr>
          <w:rStyle w:val="aff4"/>
          <w:vanish/>
          <w:rtl/>
        </w:rPr>
        <w:fldChar w:fldCharType="begin"/>
      </w:r>
      <w:r w:rsidRPr="00C444C9">
        <w:rPr>
          <w:rStyle w:val="aff4"/>
          <w:vanish/>
          <w:rtl/>
        </w:rPr>
        <w:instrText xml:space="preserve"> </w:instrText>
      </w:r>
      <w:r w:rsidRPr="00C444C9">
        <w:rPr>
          <w:rStyle w:val="aff4"/>
          <w:rFonts w:hint="cs"/>
          <w:vanish/>
        </w:rPr>
        <w:instrText>REF</w:instrText>
      </w:r>
      <w:r w:rsidRPr="00C444C9">
        <w:rPr>
          <w:rStyle w:val="aff4"/>
          <w:rFonts w:hint="cs"/>
          <w:vanish/>
          <w:rtl/>
        </w:rPr>
        <w:instrText xml:space="preserve"> _</w:instrText>
      </w:r>
      <w:r w:rsidRPr="00C444C9">
        <w:rPr>
          <w:rStyle w:val="aff4"/>
          <w:rFonts w:hint="cs"/>
          <w:vanish/>
        </w:rPr>
        <w:instrText>Ref133361057 \r \h</w:instrText>
      </w:r>
      <w:r w:rsidRPr="00C444C9">
        <w:rPr>
          <w:rStyle w:val="aff4"/>
          <w:vanish/>
          <w:rtl/>
        </w:rPr>
        <w:instrText xml:space="preserve"> </w:instrText>
      </w:r>
      <w:r w:rsidRPr="00C444C9">
        <w:rPr>
          <w:rStyle w:val="aff4"/>
          <w:vanish/>
          <w:rtl/>
        </w:rPr>
      </w:r>
      <w:r w:rsidRPr="00C444C9">
        <w:rPr>
          <w:rStyle w:val="aff4"/>
          <w:vanish/>
          <w:rtl/>
        </w:rPr>
        <w:fldChar w:fldCharType="separate"/>
      </w:r>
      <w:r w:rsidR="00D82181">
        <w:rPr>
          <w:rStyle w:val="aff4"/>
          <w:vanish/>
          <w:cs/>
        </w:rPr>
        <w:t>‎</w:t>
      </w:r>
      <w:r w:rsidR="00D82181">
        <w:rPr>
          <w:rStyle w:val="aff4"/>
          <w:vanish/>
          <w:rtl/>
        </w:rPr>
        <w:t>יד)</w:t>
      </w:r>
      <w:r w:rsidRPr="00C444C9">
        <w:rPr>
          <w:rStyle w:val="aff4"/>
          <w:vanish/>
          <w:rtl/>
        </w:rPr>
        <w:fldChar w:fldCharType="end"/>
      </w:r>
      <w:r w:rsidRPr="00C444C9">
        <w:rPr>
          <w:rStyle w:val="aff4"/>
          <w:rFonts w:hint="cs"/>
          <w:vanish/>
          <w:rtl/>
        </w:rPr>
        <w:t xml:space="preserve"> &gt;</w:t>
      </w:r>
      <w:r w:rsidRPr="004F32D2">
        <w:rPr>
          <w:rStyle w:val="aff4"/>
          <w:rFonts w:hint="cs"/>
          <w:rtl/>
        </w:rPr>
        <w:t>אגלי טל</w:t>
      </w:r>
      <w:r w:rsidRPr="00C444C9">
        <w:rPr>
          <w:rStyle w:val="aff4"/>
          <w:rFonts w:hint="cs"/>
          <w:vanish/>
          <w:rtl/>
        </w:rPr>
        <w:t>-</w:t>
      </w:r>
      <w:r>
        <w:rPr>
          <w:rFonts w:hint="cs"/>
          <w:rtl/>
        </w:rPr>
        <w:t xml:space="preserve"> </w:t>
      </w:r>
      <w:r w:rsidRPr="002A0D0C">
        <w:rPr>
          <w:rStyle w:val="af2"/>
          <w:rFonts w:eastAsia="Guttman Hodes" w:hint="cs"/>
          <w:rtl/>
        </w:rPr>
        <w:t>(זורע סק"ג)</w:t>
      </w:r>
      <w:r>
        <w:rPr>
          <w:rFonts w:hint="cs"/>
          <w:vanish/>
          <w:rtl/>
        </w:rPr>
        <w:t>=</w:t>
      </w:r>
      <w:r>
        <w:rPr>
          <w:rFonts w:hint="cs"/>
          <w:rtl/>
        </w:rPr>
        <w:t xml:space="preserve"> דמבואר מדברי </w:t>
      </w:r>
      <w:r w:rsidRPr="00C444C9">
        <w:rPr>
          <w:rStyle w:val="aff4"/>
          <w:rFonts w:hint="cs"/>
          <w:vanish/>
          <w:rtl/>
        </w:rPr>
        <w:t>-</w:t>
      </w:r>
      <w:r w:rsidRPr="004F32D2">
        <w:rPr>
          <w:rStyle w:val="aff4"/>
          <w:rFonts w:hint="cs"/>
          <w:rtl/>
        </w:rPr>
        <w:t>התוס'</w:t>
      </w:r>
      <w:r w:rsidRPr="00C444C9">
        <w:rPr>
          <w:rStyle w:val="aff4"/>
          <w:rFonts w:hint="cs"/>
          <w:vanish/>
          <w:rtl/>
        </w:rPr>
        <w:t>-</w:t>
      </w:r>
      <w:r>
        <w:rPr>
          <w:rFonts w:hint="cs"/>
          <w:rtl/>
        </w:rPr>
        <w:t xml:space="preserve"> דכל המלאכות הללו הם תולדה ולא אב, ודלא </w:t>
      </w:r>
      <w:r w:rsidRPr="00C444C9">
        <w:rPr>
          <w:rStyle w:val="aff4"/>
          <w:rFonts w:hint="cs"/>
          <w:vanish/>
          <w:rtl/>
        </w:rPr>
        <w:t>-</w:t>
      </w:r>
      <w:r w:rsidRPr="004F32D2">
        <w:rPr>
          <w:rStyle w:val="aff4"/>
          <w:rFonts w:hint="cs"/>
          <w:rtl/>
        </w:rPr>
        <w:t>כרש"י</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Ref133481736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א)</w:t>
      </w:r>
      <w:r>
        <w:rPr>
          <w:rStyle w:val="af2"/>
          <w:rFonts w:eastAsia="Guttman Hodes"/>
          <w:rtl/>
        </w:rPr>
        <w:fldChar w:fldCharType="end"/>
      </w:r>
      <w:r>
        <w:rPr>
          <w:rFonts w:hint="cs"/>
          <w:rtl/>
        </w:rPr>
        <w:t xml:space="preserve"> דכתב דכולם אבות חוץ מזומר, ודלא </w:t>
      </w:r>
      <w:r w:rsidRPr="00C444C9">
        <w:rPr>
          <w:rStyle w:val="aff4"/>
          <w:rFonts w:hint="cs"/>
          <w:vanish/>
          <w:rtl/>
        </w:rPr>
        <w:t>-</w:t>
      </w:r>
      <w:r w:rsidRPr="004F32D2">
        <w:rPr>
          <w:rStyle w:val="aff4"/>
          <w:rFonts w:hint="cs"/>
          <w:rtl/>
        </w:rPr>
        <w:t>כהרמב"ם</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Ref133477286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כט)</w:t>
      </w:r>
      <w:r>
        <w:rPr>
          <w:rStyle w:val="af2"/>
          <w:rFonts w:eastAsia="Guttman Hodes"/>
          <w:rtl/>
        </w:rPr>
        <w:fldChar w:fldCharType="end"/>
      </w:r>
      <w:r>
        <w:rPr>
          <w:rFonts w:hint="cs"/>
          <w:rtl/>
        </w:rPr>
        <w:t xml:space="preserve"> דכתבו דכולם הם אבות, וביאר </w:t>
      </w:r>
      <w:r w:rsidRPr="00C444C9">
        <w:rPr>
          <w:rStyle w:val="aff4"/>
          <w:rFonts w:hint="cs"/>
          <w:vanish/>
          <w:rtl/>
        </w:rPr>
        <w:t>-</w:t>
      </w:r>
      <w:r w:rsidRPr="004F32D2">
        <w:rPr>
          <w:rStyle w:val="aff4"/>
          <w:rFonts w:hint="cs"/>
          <w:rtl/>
        </w:rPr>
        <w:t>האגלי טל</w:t>
      </w:r>
      <w:r w:rsidRPr="00C444C9">
        <w:rPr>
          <w:rStyle w:val="aff4"/>
          <w:rFonts w:hint="cs"/>
          <w:vanish/>
          <w:rtl/>
        </w:rPr>
        <w:t>-</w:t>
      </w:r>
      <w:r>
        <w:rPr>
          <w:rFonts w:hint="cs"/>
          <w:rtl/>
        </w:rPr>
        <w:t xml:space="preserve"> </w:t>
      </w:r>
      <w:r>
        <w:rPr>
          <w:rFonts w:hint="cs"/>
          <w:rtl/>
        </w:rPr>
        <w:t xml:space="preserve">דלפי ביאור </w:t>
      </w:r>
      <w:r w:rsidRPr="00C444C9">
        <w:rPr>
          <w:rStyle w:val="aff4"/>
          <w:rFonts w:hint="cs"/>
          <w:vanish/>
          <w:rtl/>
        </w:rPr>
        <w:t>-</w:t>
      </w:r>
      <w:r w:rsidRPr="004F32D2">
        <w:rPr>
          <w:rStyle w:val="aff4"/>
          <w:rFonts w:hint="cs"/>
          <w:rtl/>
        </w:rPr>
        <w:t>התוס'</w:t>
      </w:r>
      <w:r w:rsidRPr="00C444C9">
        <w:rPr>
          <w:rStyle w:val="aff4"/>
          <w:rFonts w:hint="cs"/>
          <w:vanish/>
          <w:rtl/>
        </w:rPr>
        <w:t>-</w:t>
      </w:r>
      <w:r>
        <w:rPr>
          <w:rFonts w:hint="cs"/>
          <w:rtl/>
        </w:rPr>
        <w:t xml:space="preserve"> דביארו את דברי רבי אמי דצריך להתרות משום זורע, היינו לענין </w:t>
      </w:r>
      <w:bookmarkStart w:id="130" w:name="נקודה_זמנית"/>
      <w:bookmarkEnd w:id="130"/>
      <w:r>
        <w:rPr>
          <w:rFonts w:hint="cs"/>
          <w:rtl/>
        </w:rPr>
        <w:t xml:space="preserve">מבריך ומרכיב, דהא בנוטע מוכח להדיא בגמ' דאם התרה משום נוטע חייב, דהא אף על זומר חייב אם התרה משום נוטע, וכ"ש בנוטע עצמו, ולמסקנת הגמ' דאף משום זורע, היינו דגם אם התרו בו משום נוטע חייב, וכתב </w:t>
      </w:r>
      <w:r w:rsidRPr="00C444C9">
        <w:rPr>
          <w:rStyle w:val="aff4"/>
          <w:rFonts w:hint="cs"/>
          <w:vanish/>
          <w:rtl/>
        </w:rPr>
        <w:t>-</w:t>
      </w:r>
      <w:r w:rsidRPr="004F32D2">
        <w:rPr>
          <w:rStyle w:val="aff4"/>
          <w:rFonts w:hint="cs"/>
          <w:rtl/>
        </w:rPr>
        <w:t>האגלי טל</w:t>
      </w:r>
      <w:r w:rsidRPr="00C444C9">
        <w:rPr>
          <w:rStyle w:val="aff4"/>
          <w:rFonts w:hint="cs"/>
          <w:vanish/>
          <w:rtl/>
        </w:rPr>
        <w:t>-</w:t>
      </w:r>
      <w:r>
        <w:rPr>
          <w:rFonts w:hint="cs"/>
          <w:rtl/>
        </w:rPr>
        <w:t xml:space="preserve"> דמהא דסברו </w:t>
      </w:r>
      <w:r w:rsidRPr="00C444C9">
        <w:rPr>
          <w:rStyle w:val="aff4"/>
          <w:rFonts w:hint="cs"/>
          <w:vanish/>
          <w:rtl/>
        </w:rPr>
        <w:t>-</w:t>
      </w:r>
      <w:r w:rsidRPr="004F32D2">
        <w:rPr>
          <w:rStyle w:val="aff4"/>
          <w:rFonts w:hint="cs"/>
          <w:rtl/>
        </w:rPr>
        <w:t>התוס'</w:t>
      </w:r>
      <w:r w:rsidRPr="00C444C9">
        <w:rPr>
          <w:rStyle w:val="aff4"/>
          <w:rFonts w:hint="cs"/>
          <w:vanish/>
          <w:rtl/>
        </w:rPr>
        <w:t>-</w:t>
      </w:r>
      <w:r>
        <w:rPr>
          <w:rFonts w:hint="cs"/>
          <w:rtl/>
        </w:rPr>
        <w:t xml:space="preserve"> בתחילת דבריהם דאם התרו בו בשם המלאכה עצמה דלא תבריך ולא תרכיב פטור, מוכח להדיא דלדעת </w:t>
      </w:r>
      <w:r w:rsidRPr="00C444C9">
        <w:rPr>
          <w:rStyle w:val="aff4"/>
          <w:rFonts w:hint="cs"/>
          <w:vanish/>
          <w:rtl/>
        </w:rPr>
        <w:t>-</w:t>
      </w:r>
      <w:r w:rsidRPr="004F32D2">
        <w:rPr>
          <w:rStyle w:val="aff4"/>
          <w:rFonts w:hint="cs"/>
          <w:rtl/>
        </w:rPr>
        <w:t>התוס'</w:t>
      </w:r>
      <w:r w:rsidRPr="00C444C9">
        <w:rPr>
          <w:rStyle w:val="aff4"/>
          <w:rFonts w:hint="cs"/>
          <w:vanish/>
          <w:rtl/>
        </w:rPr>
        <w:t>-</w:t>
      </w:r>
      <w:r>
        <w:rPr>
          <w:rFonts w:hint="cs"/>
          <w:rtl/>
        </w:rPr>
        <w:t xml:space="preserve"> מבריך ומרכיב הם רק תולדות.</w:t>
      </w:r>
      <w:bookmarkEnd w:id="129"/>
    </w:p>
    <w:p w14:paraId="03E392A0" w14:textId="77777777" w:rsidR="009623A2" w:rsidRPr="00747170" w:rsidRDefault="009623A2" w:rsidP="00747170">
      <w:pPr>
        <w:pStyle w:val="a2"/>
        <w:rPr>
          <w:rtl/>
        </w:rPr>
      </w:pPr>
      <w:r w:rsidRPr="00747170">
        <w:rPr>
          <w:rtl/>
        </w:rPr>
        <w:t>[ג] ואחד המבריך אילנות. זה דעת רש"י והרמב"ם שהבאנו בסק"ב אך מדברי התוס' מכילתין ד' ע"ג: ד"ה משום משמע לכאורה שהיא תולדה שכתבו וז"ל אין להוכיח מכאן דצריך להתרות אתולדה משום אב דהא לא קאמר שצריך להתרות בו משום זורע אלא שאם התרה בו משום זורע דחייב עכ"ל. והנה למה שרצו לפרש שצריך להתרות משום זורע אמבריך ומרכיב קאי שצריך להתרותו משום זורע [דנוטע קאמר בש"ס להדיא דאם התרה בו משום נוטע דחייב שהרי אף זומר מתרין בו משום נוטע. וכן פירש"י על הא דמקשה הש"ס משום זורע אין משום נוטע לא. אמבריך ומרכיב קאי. הרי דפשיטא ליה להש"ס דנוטע הוי אב] ולמה דמסיק הש"ס אי אתרו בי' משום נוטע נמי חייב ומ"מ אי לא אתרו ביה לא משום נוטע ולא משום זורע רק לא תבריך ולא תרכיב לא יתחייב. הנה מפורש דמבריך ומרכיב הוויין רק תולדות:</w:t>
      </w:r>
    </w:p>
    <w:p w14:paraId="4C7CC5B0" w14:textId="17F42B3B" w:rsidR="009623A2" w:rsidRDefault="009623A2" w:rsidP="009623A2">
      <w:pPr>
        <w:pStyle w:val="afffff7"/>
        <w:rPr>
          <w:rtl/>
        </w:rPr>
      </w:pPr>
      <w:bookmarkStart w:id="131" w:name="_Toc133841633"/>
      <w:bookmarkStart w:id="132" w:name="_Toc163505381"/>
      <w:r>
        <w:rPr>
          <w:rtl/>
        </w:rPr>
        <w:t>אגלי טל באורים מלאכת זורע</w:t>
      </w:r>
      <w:r>
        <w:rPr>
          <w:rFonts w:hint="cs"/>
          <w:rtl/>
        </w:rPr>
        <w:t xml:space="preserve"> סק"ג ד"ה אולם</w:t>
      </w:r>
      <w:bookmarkEnd w:id="131"/>
      <w:bookmarkEnd w:id="132"/>
    </w:p>
    <w:p w14:paraId="69B8C84D" w14:textId="77777777" w:rsidR="009623A2" w:rsidRDefault="009623A2" w:rsidP="009623A2">
      <w:pPr>
        <w:pStyle w:val="a7"/>
        <w:rPr>
          <w:rtl/>
        </w:rPr>
      </w:pPr>
      <w:bookmarkStart w:id="133" w:name="_Toc134419577"/>
      <w:r>
        <w:rPr>
          <w:rFonts w:hint="cs"/>
          <w:rtl/>
        </w:rPr>
        <w:t>בי' האגל"ט דלמסקנת התוס' אפש"ל דמבריך ומרכיב הם אבות ואין הוכחה מה ס"ל לתוס'</w:t>
      </w:r>
      <w:bookmarkEnd w:id="133"/>
    </w:p>
    <w:p w14:paraId="70E92A3B" w14:textId="3E985C31" w:rsidR="009623A2" w:rsidRPr="008A6DC9" w:rsidRDefault="009623A2" w:rsidP="00BC7DC8">
      <w:pPr>
        <w:pStyle w:val="a3"/>
        <w:rPr>
          <w:rtl/>
        </w:rPr>
      </w:pPr>
      <w:bookmarkStart w:id="134" w:name="_Ref133361148"/>
      <w:r>
        <w:rPr>
          <w:rFonts w:hint="cs"/>
          <w:rtl/>
        </w:rPr>
        <w:t xml:space="preserve">אך כתב </w:t>
      </w:r>
      <w:r w:rsidRPr="00C444C9">
        <w:rPr>
          <w:rStyle w:val="aff4"/>
          <w:rFonts w:hint="cs"/>
          <w:vanish/>
          <w:rtl/>
        </w:rPr>
        <w:t>-</w:t>
      </w:r>
      <w:r w:rsidRPr="004F32D2">
        <w:rPr>
          <w:rStyle w:val="aff4"/>
          <w:rFonts w:hint="cs"/>
          <w:rtl/>
        </w:rPr>
        <w:t>ה</w:t>
      </w:r>
      <w:r w:rsidRPr="00C444C9">
        <w:rPr>
          <w:rStyle w:val="aff4"/>
          <w:rFonts w:hint="cs"/>
          <w:vanish/>
          <w:rtl/>
        </w:rPr>
        <w:t xml:space="preserve">&lt;. </w:t>
      </w:r>
      <w:r w:rsidRPr="00C444C9">
        <w:rPr>
          <w:rStyle w:val="aff4"/>
          <w:vanish/>
          <w:rtl/>
        </w:rPr>
        <w:fldChar w:fldCharType="begin"/>
      </w:r>
      <w:r w:rsidRPr="00C444C9">
        <w:rPr>
          <w:rStyle w:val="aff4"/>
          <w:vanish/>
          <w:rtl/>
        </w:rPr>
        <w:instrText xml:space="preserve"> </w:instrText>
      </w:r>
      <w:r w:rsidRPr="00C444C9">
        <w:rPr>
          <w:rStyle w:val="aff4"/>
          <w:rFonts w:hint="cs"/>
          <w:vanish/>
        </w:rPr>
        <w:instrText>REF</w:instrText>
      </w:r>
      <w:r w:rsidRPr="00C444C9">
        <w:rPr>
          <w:rStyle w:val="aff4"/>
          <w:rFonts w:hint="cs"/>
          <w:vanish/>
          <w:rtl/>
        </w:rPr>
        <w:instrText xml:space="preserve"> _</w:instrText>
      </w:r>
      <w:r w:rsidRPr="00C444C9">
        <w:rPr>
          <w:rStyle w:val="aff4"/>
          <w:rFonts w:hint="cs"/>
          <w:vanish/>
        </w:rPr>
        <w:instrText>Ref133361148 \r \h</w:instrText>
      </w:r>
      <w:r w:rsidRPr="00C444C9">
        <w:rPr>
          <w:rStyle w:val="aff4"/>
          <w:vanish/>
          <w:rtl/>
        </w:rPr>
        <w:instrText xml:space="preserve"> </w:instrText>
      </w:r>
      <w:r w:rsidRPr="00C444C9">
        <w:rPr>
          <w:rStyle w:val="aff4"/>
          <w:vanish/>
          <w:rtl/>
        </w:rPr>
      </w:r>
      <w:r w:rsidRPr="00C444C9">
        <w:rPr>
          <w:rStyle w:val="aff4"/>
          <w:vanish/>
          <w:rtl/>
        </w:rPr>
        <w:fldChar w:fldCharType="separate"/>
      </w:r>
      <w:r w:rsidR="00D82181">
        <w:rPr>
          <w:rStyle w:val="aff4"/>
          <w:vanish/>
          <w:cs/>
        </w:rPr>
        <w:t>‎</w:t>
      </w:r>
      <w:r w:rsidR="00D82181">
        <w:rPr>
          <w:rStyle w:val="aff4"/>
          <w:vanish/>
          <w:rtl/>
        </w:rPr>
        <w:t>טו)</w:t>
      </w:r>
      <w:r w:rsidRPr="00C444C9">
        <w:rPr>
          <w:rStyle w:val="aff4"/>
          <w:vanish/>
          <w:rtl/>
        </w:rPr>
        <w:fldChar w:fldCharType="end"/>
      </w:r>
      <w:r w:rsidRPr="00C444C9">
        <w:rPr>
          <w:rStyle w:val="aff4"/>
          <w:rFonts w:hint="cs"/>
          <w:vanish/>
          <w:rtl/>
        </w:rPr>
        <w:t xml:space="preserve"> &gt;</w:t>
      </w:r>
      <w:r w:rsidRPr="004F32D2">
        <w:rPr>
          <w:rStyle w:val="aff4"/>
          <w:rFonts w:hint="cs"/>
          <w:rtl/>
        </w:rPr>
        <w:t>אגלי טל</w:t>
      </w:r>
      <w:r w:rsidRPr="00C444C9">
        <w:rPr>
          <w:rStyle w:val="aff4"/>
          <w:rFonts w:hint="cs"/>
          <w:vanish/>
          <w:rtl/>
        </w:rPr>
        <w:t>-</w:t>
      </w:r>
      <w:r>
        <w:rPr>
          <w:rFonts w:hint="cs"/>
          <w:rtl/>
        </w:rPr>
        <w:t xml:space="preserve"> </w:t>
      </w:r>
      <w:r w:rsidRPr="002A0D0C">
        <w:rPr>
          <w:rStyle w:val="af2"/>
          <w:rFonts w:eastAsia="Guttman Hodes" w:hint="cs"/>
          <w:rtl/>
        </w:rPr>
        <w:t>(זורע סק"ג ד"ה אולם)</w:t>
      </w:r>
      <w:r>
        <w:rPr>
          <w:rFonts w:hint="cs"/>
          <w:vanish/>
          <w:rtl/>
        </w:rPr>
        <w:t>=</w:t>
      </w:r>
      <w:r>
        <w:rPr>
          <w:rFonts w:hint="cs"/>
          <w:rtl/>
        </w:rPr>
        <w:t xml:space="preserve"> דלמסקנת </w:t>
      </w:r>
      <w:r w:rsidRPr="00C444C9">
        <w:rPr>
          <w:rStyle w:val="aff4"/>
          <w:rFonts w:hint="cs"/>
          <w:vanish/>
          <w:rtl/>
        </w:rPr>
        <w:t>-</w:t>
      </w:r>
      <w:r w:rsidRPr="004F32D2">
        <w:rPr>
          <w:rStyle w:val="aff4"/>
          <w:rFonts w:hint="cs"/>
          <w:rtl/>
        </w:rPr>
        <w:t>התוס'</w:t>
      </w:r>
      <w:r w:rsidRPr="00C444C9">
        <w:rPr>
          <w:rStyle w:val="aff4"/>
          <w:rFonts w:hint="cs"/>
          <w:vanish/>
          <w:rtl/>
        </w:rPr>
        <w:t>-</w:t>
      </w:r>
      <w:r>
        <w:rPr>
          <w:rFonts w:hint="cs"/>
          <w:rtl/>
        </w:rPr>
        <w:t xml:space="preserve"> דאפשר להתרות גם בשם של התולדה עצמה, א"כ אפש"ל דמבריך ומרכיב הם אבות ולא תולדות, ורק להו"א של </w:t>
      </w:r>
      <w:r w:rsidRPr="00C444C9">
        <w:rPr>
          <w:rStyle w:val="aff4"/>
          <w:rFonts w:hint="cs"/>
          <w:vanish/>
          <w:rtl/>
        </w:rPr>
        <w:t>-</w:t>
      </w:r>
      <w:r w:rsidRPr="004F32D2">
        <w:rPr>
          <w:rStyle w:val="aff4"/>
          <w:rFonts w:hint="cs"/>
          <w:rtl/>
        </w:rPr>
        <w:t>התוס'</w:t>
      </w:r>
      <w:r w:rsidRPr="00C444C9">
        <w:rPr>
          <w:rStyle w:val="aff4"/>
          <w:rFonts w:hint="cs"/>
          <w:vanish/>
          <w:rtl/>
        </w:rPr>
        <w:t>-</w:t>
      </w:r>
      <w:r w:rsidRPr="00373C7B">
        <w:rPr>
          <w:rStyle w:val="aff4"/>
          <w:rFonts w:hint="cs"/>
          <w:rtl/>
        </w:rPr>
        <w:t xml:space="preserve"> </w:t>
      </w:r>
      <w:r w:rsidRPr="007465F8">
        <w:rPr>
          <w:rStyle w:val="aff4"/>
          <w:rFonts w:hint="cs"/>
          <w:b w:val="0"/>
          <w:bCs w:val="0"/>
          <w:rtl/>
        </w:rPr>
        <w:t xml:space="preserve">מוכח דהם תולדות, ועיי"ש במה שהביא </w:t>
      </w:r>
      <w:r w:rsidRPr="00C444C9">
        <w:rPr>
          <w:rStyle w:val="aff4"/>
          <w:rFonts w:hint="cs"/>
          <w:vanish/>
          <w:rtl/>
        </w:rPr>
        <w:t>-</w:t>
      </w:r>
      <w:r w:rsidRPr="004F32D2">
        <w:rPr>
          <w:rStyle w:val="aff4"/>
          <w:rFonts w:hint="cs"/>
          <w:rtl/>
        </w:rPr>
        <w:t>האגלי טל</w:t>
      </w:r>
      <w:r w:rsidRPr="00C444C9">
        <w:rPr>
          <w:rStyle w:val="aff4"/>
          <w:rFonts w:hint="cs"/>
          <w:vanish/>
          <w:rtl/>
        </w:rPr>
        <w:t>-</w:t>
      </w:r>
      <w:r w:rsidRPr="007465F8">
        <w:rPr>
          <w:rStyle w:val="aff4"/>
          <w:rFonts w:hint="cs"/>
          <w:b w:val="0"/>
          <w:bCs w:val="0"/>
          <w:rtl/>
        </w:rPr>
        <w:t xml:space="preserve"> ראיה דלדעת </w:t>
      </w:r>
      <w:r w:rsidRPr="00C444C9">
        <w:rPr>
          <w:rStyle w:val="aff4"/>
          <w:rFonts w:hint="cs"/>
          <w:vanish/>
          <w:rtl/>
        </w:rPr>
        <w:t>-</w:t>
      </w:r>
      <w:r w:rsidRPr="004F32D2">
        <w:rPr>
          <w:rStyle w:val="aff4"/>
          <w:rFonts w:hint="cs"/>
          <w:rtl/>
        </w:rPr>
        <w:t>התוס'</w:t>
      </w:r>
      <w:r w:rsidRPr="00C444C9">
        <w:rPr>
          <w:rStyle w:val="aff4"/>
          <w:rFonts w:hint="cs"/>
          <w:vanish/>
          <w:rtl/>
        </w:rPr>
        <w:t>-</w:t>
      </w:r>
      <w:r w:rsidRPr="007465F8">
        <w:rPr>
          <w:rStyle w:val="aff4"/>
          <w:rFonts w:hint="cs"/>
          <w:b w:val="0"/>
          <w:bCs w:val="0"/>
          <w:rtl/>
        </w:rPr>
        <w:t xml:space="preserve"> מבריך ומרכיב הם אבות, מדברי </w:t>
      </w:r>
      <w:r w:rsidRPr="00C444C9">
        <w:rPr>
          <w:rStyle w:val="aff4"/>
          <w:rFonts w:hint="cs"/>
          <w:vanish/>
          <w:rtl/>
        </w:rPr>
        <w:t>-</w:t>
      </w:r>
      <w:r w:rsidRPr="00373C7B">
        <w:rPr>
          <w:rStyle w:val="aff4"/>
          <w:rFonts w:hint="cs"/>
          <w:rtl/>
        </w:rPr>
        <w:t>ה</w:t>
      </w:r>
      <w:r w:rsidRPr="00E526A0">
        <w:rPr>
          <w:rStyle w:val="aff4"/>
          <w:rFonts w:hint="cs"/>
          <w:vanish/>
          <w:rtl/>
        </w:rPr>
        <w:t>&lt; &gt;</w:t>
      </w:r>
      <w:r w:rsidRPr="00373C7B">
        <w:rPr>
          <w:rStyle w:val="aff4"/>
          <w:rFonts w:hint="cs"/>
          <w:rtl/>
        </w:rPr>
        <w:t>תוס' בבכורות</w:t>
      </w:r>
      <w:r w:rsidRPr="00C444C9">
        <w:rPr>
          <w:rStyle w:val="aff4"/>
          <w:rFonts w:hint="cs"/>
          <w:vanish/>
          <w:rtl/>
        </w:rPr>
        <w:t>-</w:t>
      </w:r>
      <w:r w:rsidRPr="004F32D2">
        <w:rPr>
          <w:rStyle w:val="aff4"/>
          <w:rFonts w:hint="cs"/>
          <w:rtl/>
        </w:rPr>
        <w:t xml:space="preserve"> </w:t>
      </w:r>
      <w:r w:rsidRPr="002A0D0C">
        <w:rPr>
          <w:rStyle w:val="af2"/>
          <w:rFonts w:eastAsia="Guttman Hodes" w:hint="cs"/>
          <w:rtl/>
        </w:rPr>
        <w:t>(כה. ד"ה  ואמר)</w:t>
      </w:r>
      <w:r w:rsidRPr="0017220F">
        <w:rPr>
          <w:rFonts w:hint="cs"/>
          <w:vanish/>
          <w:rtl/>
        </w:rPr>
        <w:t xml:space="preserve"> </w:t>
      </w:r>
      <w:r w:rsidRPr="00D22F70">
        <w:rPr>
          <w:rFonts w:hint="cs"/>
          <w:vanish/>
          <w:rtl/>
        </w:rPr>
        <w:t>=</w:t>
      </w:r>
      <w:r w:rsidRPr="0017220F">
        <w:rPr>
          <w:rFonts w:hint="cs"/>
          <w:rtl/>
        </w:rPr>
        <w:t>, וכתב</w:t>
      </w:r>
      <w:r w:rsidRPr="004F32D2">
        <w:rPr>
          <w:rStyle w:val="aff4"/>
          <w:rFonts w:hint="cs"/>
          <w:rtl/>
        </w:rPr>
        <w:t xml:space="preserve"> </w:t>
      </w:r>
      <w:r w:rsidRPr="0017220F">
        <w:rPr>
          <w:rStyle w:val="aff4"/>
          <w:rFonts w:hint="cs"/>
          <w:vanish/>
          <w:rtl/>
        </w:rPr>
        <w:t>-</w:t>
      </w:r>
      <w:r w:rsidRPr="0017220F">
        <w:rPr>
          <w:rStyle w:val="aff4"/>
          <w:rFonts w:hint="cs"/>
          <w:rtl/>
        </w:rPr>
        <w:t>ה</w:t>
      </w:r>
      <w:r w:rsidRPr="0017220F">
        <w:rPr>
          <w:rStyle w:val="aff4"/>
          <w:rFonts w:hint="cs"/>
          <w:vanish/>
          <w:rtl/>
        </w:rPr>
        <w:t>&lt; &gt;</w:t>
      </w:r>
      <w:r w:rsidRPr="0017220F">
        <w:rPr>
          <w:rStyle w:val="aff4"/>
          <w:rFonts w:hint="cs"/>
          <w:rtl/>
        </w:rPr>
        <w:t>אגלי טל</w:t>
      </w:r>
      <w:r w:rsidRPr="0017220F">
        <w:rPr>
          <w:rStyle w:val="aff4"/>
          <w:rFonts w:hint="cs"/>
          <w:vanish/>
          <w:rtl/>
        </w:rPr>
        <w:t>-</w:t>
      </w:r>
      <w:r w:rsidRPr="004F32D2">
        <w:rPr>
          <w:rStyle w:val="aff4"/>
          <w:rFonts w:hint="cs"/>
          <w:rtl/>
        </w:rPr>
        <w:t xml:space="preserve"> </w:t>
      </w:r>
      <w:r w:rsidRPr="002A0D0C">
        <w:rPr>
          <w:rStyle w:val="af2"/>
          <w:rFonts w:eastAsia="Guttman Hodes" w:hint="cs"/>
          <w:rtl/>
        </w:rPr>
        <w:t>(זורע סק"ה)</w:t>
      </w:r>
      <w:r w:rsidRPr="0017220F">
        <w:rPr>
          <w:rFonts w:hint="cs"/>
          <w:vanish/>
          <w:rtl/>
        </w:rPr>
        <w:t xml:space="preserve"> </w:t>
      </w:r>
      <w:r>
        <w:rPr>
          <w:rFonts w:hint="cs"/>
          <w:vanish/>
          <w:rtl/>
        </w:rPr>
        <w:t>=</w:t>
      </w:r>
      <w:r w:rsidRPr="004F32D2">
        <w:rPr>
          <w:rStyle w:val="aff4"/>
          <w:rFonts w:hint="cs"/>
          <w:rtl/>
        </w:rPr>
        <w:t xml:space="preserve"> </w:t>
      </w:r>
      <w:r w:rsidRPr="0017220F">
        <w:rPr>
          <w:rFonts w:hint="cs"/>
          <w:rtl/>
        </w:rPr>
        <w:t>דא"כ אין הוכחה מה ס"ל</w:t>
      </w:r>
      <w:r w:rsidRPr="004F32D2">
        <w:rPr>
          <w:rStyle w:val="aff4"/>
          <w:rFonts w:hint="cs"/>
          <w:rtl/>
        </w:rPr>
        <w:t xml:space="preserve"> </w:t>
      </w:r>
      <w:r w:rsidRPr="0017220F">
        <w:rPr>
          <w:rStyle w:val="aff4"/>
          <w:rFonts w:hint="cs"/>
          <w:vanish/>
          <w:rtl/>
        </w:rPr>
        <w:t>-</w:t>
      </w:r>
      <w:r w:rsidRPr="0017220F">
        <w:rPr>
          <w:rStyle w:val="aff4"/>
          <w:rFonts w:hint="cs"/>
          <w:rtl/>
        </w:rPr>
        <w:t>לתוס'</w:t>
      </w:r>
      <w:r w:rsidRPr="0017220F">
        <w:rPr>
          <w:rStyle w:val="aff4"/>
          <w:rFonts w:hint="cs"/>
          <w:vanish/>
          <w:rtl/>
        </w:rPr>
        <w:t>-</w:t>
      </w:r>
      <w:r>
        <w:rPr>
          <w:rFonts w:hint="cs"/>
          <w:rtl/>
        </w:rPr>
        <w:t xml:space="preserve"> אי מבריך ומרכיב הם אבות או תולדות, ועי' במ"ש </w:t>
      </w:r>
      <w:r w:rsidRPr="0017220F">
        <w:rPr>
          <w:rStyle w:val="aff4"/>
          <w:rFonts w:hint="cs"/>
          <w:vanish/>
          <w:rtl/>
        </w:rPr>
        <w:t>-</w:t>
      </w:r>
      <w:r w:rsidRPr="004F32D2">
        <w:rPr>
          <w:rStyle w:val="aff4"/>
          <w:rFonts w:hint="cs"/>
          <w:rtl/>
        </w:rPr>
        <w:t>הריטב"א</w:t>
      </w:r>
      <w:r w:rsidRPr="00C444C9">
        <w:rPr>
          <w:rStyle w:val="aff4"/>
          <w:rFonts w:hint="cs"/>
          <w:vanish/>
          <w:rtl/>
        </w:rPr>
        <w:t>-</w:t>
      </w:r>
      <w:r>
        <w:rPr>
          <w:rFonts w:hint="cs"/>
          <w:rtl/>
        </w:rPr>
        <w:t xml:space="preserve"> </w:t>
      </w:r>
      <w:r w:rsidRPr="00D22F70">
        <w:rPr>
          <w:rStyle w:val="af2"/>
          <w:rFonts w:eastAsia="Guttman Hodes" w:hint="cs"/>
          <w:rtl/>
        </w:rPr>
        <w:t xml:space="preserve">(עי' אות </w:t>
      </w:r>
      <w:r w:rsidRPr="00D22F70">
        <w:rPr>
          <w:rStyle w:val="af2"/>
          <w:rFonts w:eastAsia="Guttman Hodes"/>
          <w:rtl/>
        </w:rPr>
        <w:fldChar w:fldCharType="begin"/>
      </w:r>
      <w:r w:rsidRPr="00D22F70">
        <w:rPr>
          <w:rStyle w:val="af2"/>
          <w:rFonts w:eastAsia="Guttman Hodes"/>
          <w:rtl/>
        </w:rPr>
        <w:instrText xml:space="preserve"> </w:instrText>
      </w:r>
      <w:r w:rsidRPr="00D22F70">
        <w:rPr>
          <w:rStyle w:val="af2"/>
          <w:rFonts w:eastAsia="Guttman Hodes" w:hint="cs"/>
        </w:rPr>
        <w:instrText>REF</w:instrText>
      </w:r>
      <w:r w:rsidRPr="00D22F70">
        <w:rPr>
          <w:rStyle w:val="af2"/>
          <w:rFonts w:eastAsia="Guttman Hodes" w:hint="cs"/>
          <w:rtl/>
        </w:rPr>
        <w:instrText xml:space="preserve"> _</w:instrText>
      </w:r>
      <w:r w:rsidRPr="00D22F70">
        <w:rPr>
          <w:rStyle w:val="af2"/>
          <w:rFonts w:eastAsia="Guttman Hodes" w:hint="cs"/>
        </w:rPr>
        <w:instrText>Ref130417332 \r \h</w:instrText>
      </w:r>
      <w:r w:rsidRPr="00D22F70">
        <w:rPr>
          <w:rStyle w:val="af2"/>
          <w:rFonts w:eastAsia="Guttman Hodes"/>
          <w:rtl/>
        </w:rPr>
        <w:instrText xml:space="preserve"> </w:instrText>
      </w:r>
      <w:r w:rsidRPr="00D22F70">
        <w:rPr>
          <w:rStyle w:val="af2"/>
          <w:rFonts w:eastAsia="Guttman Hodes"/>
          <w:rtl/>
        </w:rPr>
      </w:r>
      <w:r w:rsidRPr="00D22F70">
        <w:rPr>
          <w:rStyle w:val="af2"/>
          <w:rFonts w:eastAsia="Guttman Hodes"/>
          <w:rtl/>
        </w:rPr>
        <w:fldChar w:fldCharType="separate"/>
      </w:r>
      <w:r w:rsidR="00D82181">
        <w:rPr>
          <w:rStyle w:val="af2"/>
          <w:rFonts w:eastAsia="Guttman Hodes"/>
          <w:cs/>
        </w:rPr>
        <w:t>‎</w:t>
      </w:r>
      <w:r w:rsidR="00D82181">
        <w:rPr>
          <w:rStyle w:val="af2"/>
          <w:rFonts w:eastAsia="Guttman Hodes"/>
          <w:rtl/>
        </w:rPr>
        <w:t>כו)</w:t>
      </w:r>
      <w:r w:rsidRPr="00D22F70">
        <w:rPr>
          <w:rStyle w:val="af2"/>
          <w:rFonts w:eastAsia="Guttman Hodes"/>
          <w:rtl/>
        </w:rPr>
        <w:fldChar w:fldCharType="end"/>
      </w:r>
      <w:r>
        <w:rPr>
          <w:rFonts w:hint="cs"/>
          <w:rtl/>
        </w:rPr>
        <w:t xml:space="preserve"> בשם </w:t>
      </w:r>
      <w:r w:rsidRPr="00C444C9">
        <w:rPr>
          <w:rStyle w:val="aff4"/>
          <w:rFonts w:hint="cs"/>
          <w:vanish/>
          <w:rtl/>
        </w:rPr>
        <w:t>-</w:t>
      </w:r>
      <w:r w:rsidRPr="004F32D2">
        <w:rPr>
          <w:rStyle w:val="aff4"/>
          <w:rFonts w:hint="cs"/>
          <w:rtl/>
        </w:rPr>
        <w:t>תוס'</w:t>
      </w:r>
      <w:r w:rsidRPr="00C444C9">
        <w:rPr>
          <w:rStyle w:val="aff4"/>
          <w:rFonts w:hint="cs"/>
          <w:vanish/>
          <w:rtl/>
        </w:rPr>
        <w:t>-</w:t>
      </w:r>
      <w:r>
        <w:rPr>
          <w:rFonts w:hint="cs"/>
          <w:rtl/>
        </w:rPr>
        <w:t>.</w:t>
      </w:r>
      <w:bookmarkEnd w:id="134"/>
    </w:p>
    <w:p w14:paraId="3C0607BB" w14:textId="77777777" w:rsidR="009623A2" w:rsidRPr="00747170" w:rsidRDefault="009623A2" w:rsidP="00747170">
      <w:pPr>
        <w:pStyle w:val="a2"/>
        <w:rPr>
          <w:rtl/>
        </w:rPr>
      </w:pPr>
      <w:r w:rsidRPr="00747170">
        <w:rPr>
          <w:rtl/>
        </w:rPr>
        <w:t>אולם נראה דלמסקנת התוס' דאין צריך להתרות אתולדה משום אב דווקא. שפיר אמרינן דאף מבריך ומרכיב הוויין אבות. ורק לפי מה דס"ד של תוס' היה מוכרח לומר שהן רק תולדות ולא לפי המסקנא [ועוד יתבאר [להלן ס"ק ה']]:</w:t>
      </w:r>
    </w:p>
    <w:p w14:paraId="4E6352CC" w14:textId="77777777" w:rsidR="009623A2" w:rsidRPr="00C3176C" w:rsidRDefault="009623A2" w:rsidP="00747170">
      <w:pPr>
        <w:pStyle w:val="afffff5"/>
        <w:rPr>
          <w:rtl/>
        </w:rPr>
      </w:pPr>
      <w:r w:rsidRPr="00C3176C">
        <w:rPr>
          <w:rtl/>
        </w:rPr>
        <w:t>וראי' שהרי התוס' בכורות כ"ה. ד"ה ואמר. כתבו דאין חיוב בתולדות רק בשבת ולא בשאר איסורין כגון בעומר דאסור קצירה קודם לעומר וקיטוף שרי אף דבשבת הוה תולדה דקוצר וכן דלדל עובר שבמעי' דבמוקדשין לא מחייב משום גוזז ובשבת הוי תולדה דגוזז ועי"ש עוד. ואי אמרת הברכה והרכבה הוא רק תולדה דנטיעה א"כ לא יתחייב המבריך ומרכיב בערלה. ובהדיא תנינן בפ"ק דר"ה דף ט': אחד הנוטע ואחד המבריך ואחד המרכיב וכו' אם לערלה ערלה:</w:t>
      </w:r>
    </w:p>
    <w:p w14:paraId="536C28FC" w14:textId="77777777" w:rsidR="009623A2" w:rsidRPr="00C3176C" w:rsidRDefault="009623A2" w:rsidP="00747170">
      <w:pPr>
        <w:pStyle w:val="afffff5"/>
        <w:rPr>
          <w:rtl/>
        </w:rPr>
      </w:pPr>
      <w:r w:rsidRPr="00C3176C">
        <w:rPr>
          <w:rtl/>
        </w:rPr>
        <w:t>אך לפי' הרמב"ן שהביא הר"ן שם תליא הך דינא דנוהג ערלה בהברכה והרכבה בפלוגתא דחכמים וראב"י שלהי סוטה מ"ג: דלראב"י דאמר כרם כמשמעו לגבי רבעי וה"ה נטע כמשמעו נטע אין מבריך ומרכיב לא לענין חזרה מעורכי המלחמה כדאיתא בסוטה שם כמו כן לענין ערלה ונטעתם כמשמעו אבל לא מבריך ומרכיב. ולפי"ז לראב"י מוכח להדיא דחייב מבריך ומרכיב בשבת משום דהוא תולדה דנוטע דאם הי' אב הו"ל כמו נוטע ממש ולמה יפטר מערלה. אלא ודאי דהן רק תולדות נוטע ולכן לראב"י דס"ל ונטעתם כמשמעו שיהי' נוטע ממש ולא תולדות נטיעה ממעטינן המבריך ומרכיב מערלה:</w:t>
      </w:r>
    </w:p>
    <w:p w14:paraId="776D3352" w14:textId="77777777" w:rsidR="009623A2" w:rsidRPr="00C3176C" w:rsidRDefault="009623A2" w:rsidP="00747170">
      <w:pPr>
        <w:pStyle w:val="afffff5"/>
        <w:rPr>
          <w:rtl/>
        </w:rPr>
      </w:pPr>
      <w:r w:rsidRPr="00C3176C">
        <w:rPr>
          <w:rtl/>
        </w:rPr>
        <w:t xml:space="preserve">ולפי"ז ניחא תחילת דברי התוס' דלפי מה דס"ד דפי' הברייתא הוא דצריך להתרות למבריך ומרכיב משום זורע דווקא ולא די להתרות בו אל תבריך ואל תרכיב. וע"כ משום דהן רק תולדות והי' צריכין לומר דהברייתא ראב"י היא. אך למאי דמסקי דאין צריכין להתרות משום אב דווקא שוב אין צריכין לומר דמבריך ומרכיב הוויין תולדות רק דהברייתא אתייא כרבנן דראב"י דקיי"ל כותייהו ושפיר הוויין אבות. ועיין בט"א פ"ק דר"ה שהשיג על הרמב"ן וכתב דאף ראב"י ס"ל דהברכה והרכבה הוא כמו נטיעה ממש לענין ערלה והא דאינו חוזר מעורכי המלחמה טעם אחר יש ע"ש באריכות. וא"כ בודאי הוי אב כמו נוטע: </w:t>
      </w:r>
    </w:p>
    <w:p w14:paraId="3356C095" w14:textId="6AF97D23" w:rsidR="009623A2" w:rsidRDefault="009623A2" w:rsidP="009623A2">
      <w:pPr>
        <w:pStyle w:val="afffff7"/>
        <w:rPr>
          <w:rtl/>
        </w:rPr>
      </w:pPr>
      <w:bookmarkStart w:id="135" w:name="_Toc133841634"/>
      <w:bookmarkStart w:id="136" w:name="_Toc163505382"/>
      <w:r>
        <w:rPr>
          <w:rtl/>
        </w:rPr>
        <w:t>אגלי טל באורים מלאכת זורע אות ה</w:t>
      </w:r>
      <w:bookmarkEnd w:id="135"/>
      <w:bookmarkEnd w:id="136"/>
    </w:p>
    <w:p w14:paraId="2226EE45" w14:textId="77777777" w:rsidR="009623A2" w:rsidRPr="00C3176C" w:rsidRDefault="009623A2" w:rsidP="00747170">
      <w:pPr>
        <w:pStyle w:val="afffff5"/>
        <w:rPr>
          <w:rtl/>
        </w:rPr>
      </w:pPr>
      <w:r w:rsidRPr="00C3176C">
        <w:rPr>
          <w:rtl/>
        </w:rPr>
        <w:t>[ה] וי"א שהנוטע וכו'. י"א אלו הם הרא"ם בס' יראים [סי' רעד, דף קלא ב] והמאירי [עג א] והרמ"כ הביאו הכ"מ [פ"ז ה"ב] ובתוס' שהבאנו בסק"ג אין הכרע וניהו שבתחילת דבריהם דהוי ס"ל דצריך להתרות תולדה משום אב. וע"ז קאמר הש"ס משום זורע. ומדקאמר הש"ס ג"כ משום נוטע שאם התרה משום נוטע נמי חייב מוכח דנוטע ג"כ הוי אב. אך מ"מ למסקנא אין ראי' שיהי' חשובים אב. ואף דודאי מבריך ומרכיב כמו נוטע ממש כדמוכח מערלה כמבואר בסק"ג. מ"מ נוטע גופי' י"ל דחשוב תולדה והא דאמר בש"ס משום זורע אין משום נוטע לא. היינו שאם התרה בו משום נוטע חייב:</w:t>
      </w:r>
    </w:p>
    <w:p w14:paraId="4A8F943F" w14:textId="40729C89" w:rsidR="009623A2" w:rsidRPr="00FC4F24" w:rsidRDefault="009623A2" w:rsidP="009623A2">
      <w:pPr>
        <w:pStyle w:val="1"/>
        <w:rPr>
          <w:rtl/>
        </w:rPr>
      </w:pPr>
      <w:bookmarkStart w:id="137" w:name="_Toc134419578"/>
      <w:r>
        <w:rPr>
          <w:rFonts w:hint="cs"/>
          <w:rtl/>
        </w:rPr>
        <w:t>בי' הראש יוסף בדין ההתראה באב ובתולדה לרש"י ולרמב"ם</w:t>
      </w:r>
      <w:bookmarkEnd w:id="137"/>
    </w:p>
    <w:p w14:paraId="01372429" w14:textId="77777777" w:rsidR="009623A2" w:rsidRPr="00F536D0" w:rsidRDefault="009623A2" w:rsidP="009623A2">
      <w:pPr>
        <w:pStyle w:val="afffff7"/>
        <w:rPr>
          <w:rtl/>
        </w:rPr>
      </w:pPr>
      <w:bookmarkStart w:id="138" w:name="_Toc133841635"/>
      <w:bookmarkStart w:id="139" w:name="_Toc163505383"/>
      <w:r w:rsidRPr="00F536D0">
        <w:rPr>
          <w:rtl/>
        </w:rPr>
        <w:t>ראש יוסף שבת ע"ג ע"ב</w:t>
      </w:r>
      <w:r w:rsidRPr="00F536D0">
        <w:rPr>
          <w:rFonts w:hint="cs"/>
          <w:rtl/>
        </w:rPr>
        <w:t xml:space="preserve"> ד"ה </w:t>
      </w:r>
      <w:r>
        <w:rPr>
          <w:rtl/>
        </w:rPr>
        <w:t>והנה בפירוש</w:t>
      </w:r>
      <w:bookmarkEnd w:id="138"/>
      <w:bookmarkEnd w:id="139"/>
      <w:r>
        <w:rPr>
          <w:rtl/>
        </w:rPr>
        <w:t xml:space="preserve"> </w:t>
      </w:r>
    </w:p>
    <w:p w14:paraId="3B72E241" w14:textId="77777777" w:rsidR="009623A2" w:rsidRDefault="009623A2" w:rsidP="009623A2">
      <w:pPr>
        <w:pStyle w:val="a7"/>
        <w:rPr>
          <w:rtl/>
        </w:rPr>
      </w:pPr>
      <w:bookmarkStart w:id="140" w:name="_Toc134419579"/>
      <w:r>
        <w:rPr>
          <w:rFonts w:hint="cs"/>
          <w:rtl/>
        </w:rPr>
        <w:t>בי' הראש יוסף ברש"י דקו' הגמ' דמבריך עם זורע חייב שתים ותי' דקמ"ל דאף בזורע חייב א'</w:t>
      </w:r>
      <w:bookmarkEnd w:id="140"/>
    </w:p>
    <w:p w14:paraId="415EBBA5" w14:textId="683BE2C7" w:rsidR="009623A2" w:rsidRDefault="009623A2" w:rsidP="00BC7DC8">
      <w:pPr>
        <w:pStyle w:val="a3"/>
      </w:pPr>
      <w:bookmarkStart w:id="141" w:name="_Ref130490369"/>
      <w:r>
        <w:rPr>
          <w:rFonts w:hint="cs"/>
          <w:rtl/>
        </w:rPr>
        <w:t xml:space="preserve">במ"ש </w:t>
      </w:r>
      <w:r w:rsidRPr="00C444C9">
        <w:rPr>
          <w:rStyle w:val="aff4"/>
          <w:rFonts w:hint="cs"/>
          <w:vanish/>
          <w:rtl/>
        </w:rPr>
        <w:t>-</w:t>
      </w:r>
      <w:r w:rsidRPr="004F32D2">
        <w:rPr>
          <w:rStyle w:val="aff4"/>
          <w:rFonts w:hint="cs"/>
          <w:rtl/>
        </w:rPr>
        <w:t>רש"י</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sidRPr="002A0D0C">
        <w:rPr>
          <w:rStyle w:val="af2"/>
          <w:rFonts w:eastAsia="Guttman Hodes"/>
          <w:rtl/>
        </w:rPr>
        <w:fldChar w:fldCharType="begin"/>
      </w:r>
      <w:r w:rsidRPr="002A0D0C">
        <w:rPr>
          <w:rStyle w:val="af2"/>
          <w:rFonts w:eastAsia="Guttman Hodes"/>
          <w:rtl/>
        </w:rPr>
        <w:instrText xml:space="preserve"> </w:instrText>
      </w:r>
      <w:r w:rsidRPr="002A0D0C">
        <w:rPr>
          <w:rStyle w:val="af2"/>
          <w:rFonts w:eastAsia="Guttman Hodes" w:hint="cs"/>
        </w:rPr>
        <w:instrText>REF</w:instrText>
      </w:r>
      <w:r w:rsidRPr="002A0D0C">
        <w:rPr>
          <w:rStyle w:val="af2"/>
          <w:rFonts w:eastAsia="Guttman Hodes" w:hint="cs"/>
          <w:rtl/>
        </w:rPr>
        <w:instrText xml:space="preserve"> _</w:instrText>
      </w:r>
      <w:r w:rsidRPr="002A0D0C">
        <w:rPr>
          <w:rStyle w:val="af2"/>
          <w:rFonts w:eastAsia="Guttman Hodes" w:hint="cs"/>
        </w:rPr>
        <w:instrText>Ref132026659 \r \h</w:instrText>
      </w:r>
      <w:r w:rsidRPr="002A0D0C">
        <w:rPr>
          <w:rStyle w:val="af2"/>
          <w:rFonts w:eastAsia="Guttman Hodes"/>
          <w:rtl/>
        </w:rPr>
        <w:instrText xml:space="preserve"> </w:instrText>
      </w:r>
      <w:r w:rsidRPr="002A0D0C">
        <w:rPr>
          <w:rStyle w:val="af2"/>
          <w:rFonts w:eastAsia="Guttman Hodes"/>
          <w:rtl/>
        </w:rPr>
      </w:r>
      <w:r w:rsidRPr="002A0D0C">
        <w:rPr>
          <w:rStyle w:val="af2"/>
          <w:rFonts w:eastAsia="Guttman Hodes"/>
          <w:rtl/>
        </w:rPr>
        <w:fldChar w:fldCharType="separate"/>
      </w:r>
      <w:r w:rsidR="00D82181">
        <w:rPr>
          <w:rStyle w:val="af2"/>
          <w:rFonts w:eastAsia="Guttman Hodes"/>
          <w:cs/>
        </w:rPr>
        <w:t>‎</w:t>
      </w:r>
      <w:r w:rsidR="00D82181">
        <w:rPr>
          <w:rStyle w:val="af2"/>
          <w:rFonts w:eastAsia="Guttman Hodes"/>
          <w:rtl/>
        </w:rPr>
        <w:t>ד)</w:t>
      </w:r>
      <w:r w:rsidRPr="002A0D0C">
        <w:rPr>
          <w:rStyle w:val="af2"/>
          <w:rFonts w:eastAsia="Guttman Hodes"/>
          <w:rtl/>
        </w:rPr>
        <w:fldChar w:fldCharType="end"/>
      </w:r>
      <w:r>
        <w:rPr>
          <w:rFonts w:hint="cs"/>
          <w:rtl/>
        </w:rPr>
        <w:t xml:space="preserve"> דקושית הגמ' דיתחייב רק משום זורע ולא משום נוטע, היא על מבריך ומרכיב, ביאר </w:t>
      </w:r>
      <w:r w:rsidRPr="00C444C9">
        <w:rPr>
          <w:rStyle w:val="aff4"/>
          <w:rFonts w:hint="cs"/>
          <w:vanish/>
          <w:rtl/>
        </w:rPr>
        <w:t>-</w:t>
      </w:r>
      <w:r w:rsidRPr="004F32D2">
        <w:rPr>
          <w:rStyle w:val="aff4"/>
          <w:rFonts w:hint="cs"/>
          <w:rtl/>
        </w:rPr>
        <w:t>ה</w:t>
      </w:r>
      <w:r w:rsidRPr="00C444C9">
        <w:rPr>
          <w:rStyle w:val="aff4"/>
          <w:rFonts w:hint="cs"/>
          <w:vanish/>
          <w:rtl/>
        </w:rPr>
        <w:t xml:space="preserve">&lt;. </w:t>
      </w:r>
      <w:r w:rsidRPr="00C444C9">
        <w:rPr>
          <w:rStyle w:val="aff4"/>
          <w:vanish/>
          <w:rtl/>
        </w:rPr>
        <w:fldChar w:fldCharType="begin"/>
      </w:r>
      <w:r w:rsidRPr="00C444C9">
        <w:rPr>
          <w:rStyle w:val="aff4"/>
          <w:vanish/>
          <w:rtl/>
        </w:rPr>
        <w:instrText xml:space="preserve"> </w:instrText>
      </w:r>
      <w:r w:rsidRPr="00C444C9">
        <w:rPr>
          <w:rStyle w:val="aff4"/>
          <w:rFonts w:hint="cs"/>
          <w:vanish/>
        </w:rPr>
        <w:instrText>REF</w:instrText>
      </w:r>
      <w:r w:rsidRPr="00C444C9">
        <w:rPr>
          <w:rStyle w:val="aff4"/>
          <w:rFonts w:hint="cs"/>
          <w:vanish/>
          <w:rtl/>
        </w:rPr>
        <w:instrText xml:space="preserve"> _</w:instrText>
      </w:r>
      <w:r w:rsidRPr="00C444C9">
        <w:rPr>
          <w:rStyle w:val="aff4"/>
          <w:rFonts w:hint="cs"/>
          <w:vanish/>
        </w:rPr>
        <w:instrText>Ref130490369 \r \h</w:instrText>
      </w:r>
      <w:r w:rsidRPr="00C444C9">
        <w:rPr>
          <w:rStyle w:val="aff4"/>
          <w:vanish/>
          <w:rtl/>
        </w:rPr>
        <w:instrText xml:space="preserve"> </w:instrText>
      </w:r>
      <w:r w:rsidRPr="00C444C9">
        <w:rPr>
          <w:rStyle w:val="aff4"/>
          <w:vanish/>
          <w:rtl/>
        </w:rPr>
      </w:r>
      <w:r w:rsidRPr="00C444C9">
        <w:rPr>
          <w:rStyle w:val="aff4"/>
          <w:vanish/>
          <w:rtl/>
        </w:rPr>
        <w:fldChar w:fldCharType="separate"/>
      </w:r>
      <w:r w:rsidR="00D82181">
        <w:rPr>
          <w:rStyle w:val="aff4"/>
          <w:vanish/>
          <w:cs/>
        </w:rPr>
        <w:t>‎</w:t>
      </w:r>
      <w:r w:rsidR="00D82181">
        <w:rPr>
          <w:rStyle w:val="aff4"/>
          <w:vanish/>
          <w:rtl/>
        </w:rPr>
        <w:t>טז)</w:t>
      </w:r>
      <w:r w:rsidRPr="00C444C9">
        <w:rPr>
          <w:rStyle w:val="aff4"/>
          <w:vanish/>
          <w:rtl/>
        </w:rPr>
        <w:fldChar w:fldCharType="end"/>
      </w:r>
      <w:r w:rsidRPr="00C444C9">
        <w:rPr>
          <w:rStyle w:val="aff4"/>
          <w:rFonts w:hint="cs"/>
          <w:vanish/>
          <w:rtl/>
        </w:rPr>
        <w:t xml:space="preserve"> &gt;</w:t>
      </w:r>
      <w:r w:rsidRPr="004F32D2">
        <w:rPr>
          <w:rStyle w:val="aff4"/>
          <w:rFonts w:hint="cs"/>
          <w:rtl/>
        </w:rPr>
        <w:t>ראש יוסף</w:t>
      </w:r>
      <w:r w:rsidRPr="00C444C9">
        <w:rPr>
          <w:rStyle w:val="aff4"/>
          <w:rFonts w:hint="cs"/>
          <w:vanish/>
          <w:rtl/>
        </w:rPr>
        <w:t>-</w:t>
      </w:r>
      <w:r>
        <w:rPr>
          <w:rFonts w:hint="cs"/>
          <w:rtl/>
        </w:rPr>
        <w:t xml:space="preserve"> </w:t>
      </w:r>
      <w:r w:rsidRPr="002A0D0C">
        <w:rPr>
          <w:rStyle w:val="af2"/>
          <w:rFonts w:eastAsia="Guttman Hodes" w:hint="cs"/>
          <w:rtl/>
        </w:rPr>
        <w:t xml:space="preserve">(ד"ה </w:t>
      </w:r>
      <w:r w:rsidRPr="002A0D0C">
        <w:rPr>
          <w:rStyle w:val="af2"/>
          <w:rFonts w:eastAsia="Guttman Hodes"/>
          <w:rtl/>
        </w:rPr>
        <w:t>והנה בפירוש</w:t>
      </w:r>
      <w:r w:rsidRPr="002A0D0C">
        <w:rPr>
          <w:rStyle w:val="af2"/>
          <w:rFonts w:eastAsia="Guttman Hodes" w:hint="cs"/>
          <w:rtl/>
        </w:rPr>
        <w:t>)</w:t>
      </w:r>
      <w:r>
        <w:rPr>
          <w:rFonts w:hint="cs"/>
          <w:vanish/>
          <w:rtl/>
        </w:rPr>
        <w:t>=</w:t>
      </w:r>
      <w:r>
        <w:rPr>
          <w:rFonts w:hint="cs"/>
          <w:rtl/>
        </w:rPr>
        <w:t xml:space="preserve"> דכיון דלביאור </w:t>
      </w:r>
      <w:r w:rsidRPr="00C444C9">
        <w:rPr>
          <w:rStyle w:val="aff4"/>
          <w:rFonts w:hint="cs"/>
          <w:vanish/>
          <w:rtl/>
        </w:rPr>
        <w:t>-</w:t>
      </w:r>
      <w:r w:rsidRPr="004F32D2">
        <w:rPr>
          <w:rStyle w:val="aff4"/>
          <w:rFonts w:hint="cs"/>
          <w:rtl/>
        </w:rPr>
        <w:t>רש"י</w:t>
      </w:r>
      <w:r w:rsidRPr="00C444C9">
        <w:rPr>
          <w:rStyle w:val="aff4"/>
          <w:rFonts w:hint="cs"/>
          <w:vanish/>
          <w:rtl/>
        </w:rPr>
        <w:t>-</w:t>
      </w:r>
      <w:r>
        <w:rPr>
          <w:rFonts w:hint="cs"/>
          <w:rtl/>
        </w:rPr>
        <w:t xml:space="preserve"> הא דכולן הן מלאכה אחת הוא לענין חיוב חטאת, ולא לענין התראה </w:t>
      </w:r>
      <w:r w:rsidRPr="00C444C9">
        <w:rPr>
          <w:rStyle w:val="aff4"/>
          <w:rFonts w:hint="cs"/>
          <w:vanish/>
          <w:rtl/>
        </w:rPr>
        <w:t>-</w:t>
      </w:r>
      <w:r w:rsidRPr="004F32D2">
        <w:rPr>
          <w:rStyle w:val="aff4"/>
          <w:rFonts w:hint="cs"/>
          <w:rtl/>
        </w:rPr>
        <w:t>כתוס'</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Ref133361034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יא)</w:t>
      </w:r>
      <w:r>
        <w:rPr>
          <w:rStyle w:val="af2"/>
          <w:rFonts w:eastAsia="Guttman Hodes"/>
          <w:rtl/>
        </w:rPr>
        <w:fldChar w:fldCharType="end"/>
      </w:r>
      <w:r>
        <w:rPr>
          <w:rFonts w:hint="cs"/>
          <w:rtl/>
        </w:rPr>
        <w:t xml:space="preserve">, </w:t>
      </w:r>
      <w:bookmarkEnd w:id="141"/>
      <w:r w:rsidRPr="001A1E61">
        <w:rPr>
          <w:rFonts w:hint="cs"/>
          <w:rtl/>
        </w:rPr>
        <w:t>והיינו דמשמע דהא דחייב אחת הוא רק אם הבריך או הרכיב יחד עם זורע, אבל אם הבריך או הרכיב יחד עם נוטע חייב שתיים, ו</w:t>
      </w:r>
      <w:r>
        <w:rPr>
          <w:rFonts w:hint="cs"/>
          <w:rtl/>
        </w:rPr>
        <w:t xml:space="preserve">לכן </w:t>
      </w:r>
      <w:r w:rsidRPr="001A1E61">
        <w:rPr>
          <w:rFonts w:hint="cs"/>
          <w:rtl/>
        </w:rPr>
        <w:t>מקשה הגמ' דכיון דכולן הם מלאכה אחת כ"ש דבזה יתחייב רק אחת, ותירצה הגמ' דבנוטע יחד מבריך או מרכיב פשיטא דחייב רק אחת, וכוונת הברייתא לומר רבותא דאף בזורע יחד עם מבריך או מרכיב, חייב רק אחת.</w:t>
      </w:r>
    </w:p>
    <w:p w14:paraId="6A517AB0" w14:textId="77777777" w:rsidR="009623A2" w:rsidRPr="00747170" w:rsidRDefault="009623A2" w:rsidP="00747170">
      <w:pPr>
        <w:pStyle w:val="a2"/>
      </w:pPr>
      <w:r w:rsidRPr="00747170">
        <w:rPr>
          <w:rtl/>
        </w:rPr>
        <w:t>והנה בפירוש השמועה מחולקין רש"י ותוספת כי רש"י פירש כולן מלאכה א' הן אם עשאן אין חייב אלא א' ואמר זומר משום נוטע כלומר אי עביד זומר ונוטע (דהיינו אב ותולדה דידי' לפירש"י ז"ל) חייב א' ונוטע ומבריך ומרכיב אם עביד בהדי זורע אחת חייב (לא לענין התראה) ופריך משום זורע אין נוטע לא אמבריך ומרכיב כפירש"י דמשמע מבריך או מרכיב בהדי זורע א' הוא הא נוטע עם מרכיב או מבריך שתיים והא כולן א' הוא כ"ש נוטע עם מבריך ומשני אף משום זורע רבותא אפילו מבריך עם זורע א' חייב אבל הנוטע לא מקשה כלל</w:t>
      </w:r>
      <w:r w:rsidRPr="00747170">
        <w:rPr>
          <w:rFonts w:hint="cs"/>
          <w:rtl/>
        </w:rPr>
        <w:t>.</w:t>
      </w:r>
    </w:p>
    <w:p w14:paraId="52DC924B" w14:textId="67C02122" w:rsidR="009623A2" w:rsidRDefault="009623A2" w:rsidP="009623A2">
      <w:pPr>
        <w:pStyle w:val="afffff7"/>
      </w:pPr>
      <w:bookmarkStart w:id="142" w:name="_Toc133841636"/>
      <w:bookmarkStart w:id="143" w:name="_Toc163505384"/>
      <w:r>
        <w:rPr>
          <w:rFonts w:hint="cs"/>
          <w:rtl/>
        </w:rPr>
        <w:t>ראש יוסף שבת ע"ג ע"ב ד"ה תנא</w:t>
      </w:r>
      <w:bookmarkEnd w:id="142"/>
      <w:bookmarkEnd w:id="143"/>
    </w:p>
    <w:p w14:paraId="72E537B6" w14:textId="77777777" w:rsidR="009623A2" w:rsidRPr="00AF5464" w:rsidRDefault="009623A2" w:rsidP="009623A2">
      <w:pPr>
        <w:pStyle w:val="a7"/>
        <w:rPr>
          <w:rtl/>
        </w:rPr>
      </w:pPr>
      <w:bookmarkStart w:id="144" w:name="_Toc134419580"/>
      <w:r>
        <w:rPr>
          <w:rFonts w:hint="cs"/>
          <w:rtl/>
        </w:rPr>
        <w:t>בי' הראש יוסף דלרמב"ם דהם אבות ומתרה בשם המלאכה וא"כ בתולדה מתרה רק בשמה</w:t>
      </w:r>
      <w:bookmarkEnd w:id="144"/>
    </w:p>
    <w:p w14:paraId="5E97339B" w14:textId="76CC8C68" w:rsidR="009623A2" w:rsidRDefault="009623A2" w:rsidP="00BC7DC8">
      <w:pPr>
        <w:pStyle w:val="a3"/>
        <w:rPr>
          <w:rtl/>
        </w:rPr>
      </w:pPr>
      <w:bookmarkStart w:id="145" w:name="_Ref130417451"/>
      <w:r>
        <w:rPr>
          <w:rFonts w:hint="cs"/>
          <w:rtl/>
        </w:rPr>
        <w:t xml:space="preserve">הביא </w:t>
      </w:r>
      <w:r w:rsidRPr="00C444C9">
        <w:rPr>
          <w:rStyle w:val="aff4"/>
          <w:rFonts w:hint="cs"/>
          <w:vanish/>
          <w:rtl/>
        </w:rPr>
        <w:t>-</w:t>
      </w:r>
      <w:r w:rsidRPr="004F32D2">
        <w:rPr>
          <w:rStyle w:val="aff4"/>
          <w:rFonts w:hint="cs"/>
          <w:rtl/>
        </w:rPr>
        <w:t>ה</w:t>
      </w:r>
      <w:r w:rsidRPr="00C444C9">
        <w:rPr>
          <w:rStyle w:val="aff4"/>
          <w:rFonts w:hint="cs"/>
          <w:vanish/>
          <w:rtl/>
        </w:rPr>
        <w:t xml:space="preserve">&lt;. </w:t>
      </w:r>
      <w:r w:rsidRPr="00C444C9">
        <w:rPr>
          <w:rStyle w:val="aff4"/>
          <w:vanish/>
          <w:rtl/>
        </w:rPr>
        <w:fldChar w:fldCharType="begin"/>
      </w:r>
      <w:r w:rsidRPr="00C444C9">
        <w:rPr>
          <w:rStyle w:val="aff4"/>
          <w:vanish/>
          <w:rtl/>
        </w:rPr>
        <w:instrText xml:space="preserve"> </w:instrText>
      </w:r>
      <w:r w:rsidRPr="00C444C9">
        <w:rPr>
          <w:rStyle w:val="aff4"/>
          <w:rFonts w:hint="cs"/>
          <w:vanish/>
        </w:rPr>
        <w:instrText>REF</w:instrText>
      </w:r>
      <w:r w:rsidRPr="00C444C9">
        <w:rPr>
          <w:rStyle w:val="aff4"/>
          <w:rFonts w:hint="cs"/>
          <w:vanish/>
          <w:rtl/>
        </w:rPr>
        <w:instrText xml:space="preserve"> _</w:instrText>
      </w:r>
      <w:r w:rsidRPr="00C444C9">
        <w:rPr>
          <w:rStyle w:val="aff4"/>
          <w:rFonts w:hint="cs"/>
          <w:vanish/>
        </w:rPr>
        <w:instrText>Ref130417451 \r \h</w:instrText>
      </w:r>
      <w:r w:rsidRPr="00C444C9">
        <w:rPr>
          <w:rStyle w:val="aff4"/>
          <w:vanish/>
          <w:rtl/>
        </w:rPr>
        <w:instrText xml:space="preserve"> </w:instrText>
      </w:r>
      <w:r w:rsidRPr="00C444C9">
        <w:rPr>
          <w:rStyle w:val="aff4"/>
          <w:vanish/>
          <w:rtl/>
        </w:rPr>
      </w:r>
      <w:r w:rsidRPr="00C444C9">
        <w:rPr>
          <w:rStyle w:val="aff4"/>
          <w:vanish/>
          <w:rtl/>
        </w:rPr>
        <w:fldChar w:fldCharType="separate"/>
      </w:r>
      <w:r w:rsidR="00D82181">
        <w:rPr>
          <w:rStyle w:val="aff4"/>
          <w:vanish/>
          <w:cs/>
        </w:rPr>
        <w:t>‎</w:t>
      </w:r>
      <w:r w:rsidR="00D82181">
        <w:rPr>
          <w:rStyle w:val="aff4"/>
          <w:vanish/>
          <w:rtl/>
        </w:rPr>
        <w:t>יז)</w:t>
      </w:r>
      <w:r w:rsidRPr="00C444C9">
        <w:rPr>
          <w:rStyle w:val="aff4"/>
          <w:vanish/>
          <w:rtl/>
        </w:rPr>
        <w:fldChar w:fldCharType="end"/>
      </w:r>
      <w:r w:rsidRPr="00C444C9">
        <w:rPr>
          <w:rStyle w:val="aff4"/>
          <w:rFonts w:hint="cs"/>
          <w:vanish/>
          <w:rtl/>
        </w:rPr>
        <w:t xml:space="preserve"> &gt;</w:t>
      </w:r>
      <w:r w:rsidRPr="004F32D2">
        <w:rPr>
          <w:rStyle w:val="aff4"/>
          <w:rFonts w:hint="cs"/>
          <w:rtl/>
        </w:rPr>
        <w:t>ראש יוסף</w:t>
      </w:r>
      <w:r w:rsidRPr="00C444C9">
        <w:rPr>
          <w:rStyle w:val="aff4"/>
          <w:rFonts w:hint="cs"/>
          <w:vanish/>
          <w:rtl/>
        </w:rPr>
        <w:t>-</w:t>
      </w:r>
      <w:r>
        <w:rPr>
          <w:rFonts w:hint="cs"/>
          <w:rtl/>
        </w:rPr>
        <w:t xml:space="preserve"> </w:t>
      </w:r>
      <w:r w:rsidRPr="002A0D0C">
        <w:rPr>
          <w:rStyle w:val="af2"/>
          <w:rFonts w:eastAsia="Guttman Hodes" w:hint="cs"/>
          <w:rtl/>
        </w:rPr>
        <w:t>(ד"ה תנא)</w:t>
      </w:r>
      <w:r>
        <w:rPr>
          <w:rFonts w:hint="cs"/>
          <w:vanish/>
          <w:rtl/>
        </w:rPr>
        <w:t>=</w:t>
      </w:r>
      <w:r>
        <w:rPr>
          <w:rFonts w:hint="cs"/>
          <w:rtl/>
        </w:rPr>
        <w:t xml:space="preserve"> את דעת </w:t>
      </w:r>
      <w:r w:rsidRPr="00C444C9">
        <w:rPr>
          <w:rStyle w:val="aff4"/>
          <w:rFonts w:hint="cs"/>
          <w:vanish/>
          <w:rtl/>
        </w:rPr>
        <w:t>-</w:t>
      </w:r>
      <w:r w:rsidRPr="004F32D2">
        <w:rPr>
          <w:rStyle w:val="aff4"/>
          <w:rFonts w:hint="cs"/>
          <w:rtl/>
        </w:rPr>
        <w:t>רש"י</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sidRPr="002A0D0C">
        <w:rPr>
          <w:rStyle w:val="af2"/>
          <w:rFonts w:eastAsia="Guttman Hodes"/>
          <w:rtl/>
        </w:rPr>
        <w:fldChar w:fldCharType="begin"/>
      </w:r>
      <w:r w:rsidRPr="002A0D0C">
        <w:rPr>
          <w:rStyle w:val="af2"/>
          <w:rFonts w:eastAsia="Guttman Hodes"/>
          <w:rtl/>
        </w:rPr>
        <w:instrText xml:space="preserve"> </w:instrText>
      </w:r>
      <w:r w:rsidRPr="002A0D0C">
        <w:rPr>
          <w:rStyle w:val="af2"/>
          <w:rFonts w:eastAsia="Guttman Hodes" w:hint="cs"/>
        </w:rPr>
        <w:instrText>REF</w:instrText>
      </w:r>
      <w:r w:rsidRPr="002A0D0C">
        <w:rPr>
          <w:rStyle w:val="af2"/>
          <w:rFonts w:eastAsia="Guttman Hodes" w:hint="cs"/>
          <w:rtl/>
        </w:rPr>
        <w:instrText xml:space="preserve"> _</w:instrText>
      </w:r>
      <w:r w:rsidRPr="002A0D0C">
        <w:rPr>
          <w:rStyle w:val="af2"/>
          <w:rFonts w:eastAsia="Guttman Hodes" w:hint="cs"/>
        </w:rPr>
        <w:instrText>Ref133481736 \r \h</w:instrText>
      </w:r>
      <w:r w:rsidRPr="002A0D0C">
        <w:rPr>
          <w:rStyle w:val="af2"/>
          <w:rFonts w:eastAsia="Guttman Hodes"/>
          <w:rtl/>
        </w:rPr>
        <w:instrText xml:space="preserve"> </w:instrText>
      </w:r>
      <w:r w:rsidRPr="002A0D0C">
        <w:rPr>
          <w:rStyle w:val="af2"/>
          <w:rFonts w:eastAsia="Guttman Hodes"/>
          <w:rtl/>
        </w:rPr>
      </w:r>
      <w:r w:rsidRPr="002A0D0C">
        <w:rPr>
          <w:rStyle w:val="af2"/>
          <w:rFonts w:eastAsia="Guttman Hodes"/>
          <w:rtl/>
        </w:rPr>
        <w:fldChar w:fldCharType="separate"/>
      </w:r>
      <w:r w:rsidR="00D82181">
        <w:rPr>
          <w:rStyle w:val="af2"/>
          <w:rFonts w:eastAsia="Guttman Hodes"/>
          <w:cs/>
        </w:rPr>
        <w:t>‎</w:t>
      </w:r>
      <w:r w:rsidR="00D82181">
        <w:rPr>
          <w:rStyle w:val="af2"/>
          <w:rFonts w:eastAsia="Guttman Hodes"/>
          <w:rtl/>
        </w:rPr>
        <w:t>א)</w:t>
      </w:r>
      <w:r w:rsidRPr="002A0D0C">
        <w:rPr>
          <w:rStyle w:val="af2"/>
          <w:rFonts w:eastAsia="Guttman Hodes"/>
          <w:rtl/>
        </w:rPr>
        <w:fldChar w:fldCharType="end"/>
      </w:r>
      <w:r>
        <w:rPr>
          <w:rFonts w:hint="cs"/>
          <w:rtl/>
        </w:rPr>
        <w:t xml:space="preserve"> דנוטע ושאר המלאכות הם אב, וזומר הוא תולדה, ואת דעת </w:t>
      </w:r>
      <w:r w:rsidRPr="00C444C9">
        <w:rPr>
          <w:rStyle w:val="aff4"/>
          <w:rFonts w:hint="cs"/>
          <w:vanish/>
          <w:rtl/>
        </w:rPr>
        <w:t>-</w:t>
      </w:r>
      <w:r w:rsidRPr="004F32D2">
        <w:rPr>
          <w:rStyle w:val="aff4"/>
          <w:rFonts w:hint="cs"/>
          <w:rtl/>
        </w:rPr>
        <w:t>הרמב"ם</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Ref130228911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לא)</w:t>
      </w:r>
      <w:r>
        <w:rPr>
          <w:rStyle w:val="af2"/>
          <w:rFonts w:eastAsia="Guttman Hodes"/>
          <w:rtl/>
        </w:rPr>
        <w:fldChar w:fldCharType="end"/>
      </w:r>
      <w:r>
        <w:rPr>
          <w:rFonts w:hint="cs"/>
          <w:rtl/>
        </w:rPr>
        <w:t xml:space="preserve"> דאף זומר הוא אב, ואת דעת </w:t>
      </w:r>
      <w:r w:rsidRPr="00C444C9">
        <w:rPr>
          <w:rStyle w:val="aff4"/>
          <w:rFonts w:hint="cs"/>
          <w:vanish/>
          <w:rtl/>
        </w:rPr>
        <w:t>-</w:t>
      </w:r>
      <w:r w:rsidRPr="004F32D2">
        <w:rPr>
          <w:rStyle w:val="aff4"/>
          <w:rFonts w:hint="cs"/>
          <w:rtl/>
        </w:rPr>
        <w:t>הי"מ במ"מ</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Ref133477457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נח)</w:t>
      </w:r>
      <w:r>
        <w:rPr>
          <w:rStyle w:val="af2"/>
          <w:rFonts w:eastAsia="Guttman Hodes"/>
          <w:rtl/>
        </w:rPr>
        <w:fldChar w:fldCharType="end"/>
      </w:r>
      <w:r>
        <w:rPr>
          <w:rFonts w:hint="cs"/>
          <w:rtl/>
        </w:rPr>
        <w:t xml:space="preserve"> </w:t>
      </w:r>
      <w:r w:rsidRPr="00C444C9">
        <w:rPr>
          <w:rStyle w:val="aff4"/>
          <w:rFonts w:hint="cs"/>
          <w:vanish/>
          <w:rtl/>
        </w:rPr>
        <w:t>-</w:t>
      </w:r>
      <w:r w:rsidRPr="004F32D2">
        <w:rPr>
          <w:rStyle w:val="aff4"/>
          <w:rFonts w:hint="cs"/>
          <w:rtl/>
        </w:rPr>
        <w:t>והרמ"ך</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Ref133823439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נז)</w:t>
      </w:r>
      <w:r>
        <w:rPr>
          <w:rStyle w:val="af2"/>
          <w:rFonts w:eastAsia="Guttman Hodes"/>
          <w:rtl/>
        </w:rPr>
        <w:fldChar w:fldCharType="end"/>
      </w:r>
      <w:r>
        <w:rPr>
          <w:rFonts w:hint="cs"/>
          <w:rtl/>
        </w:rPr>
        <w:t xml:space="preserve"> דרק זורע הוא אב, והשאר הם תולדה, וכתב </w:t>
      </w:r>
      <w:r w:rsidRPr="00C444C9">
        <w:rPr>
          <w:rStyle w:val="aff4"/>
          <w:rFonts w:hint="cs"/>
          <w:vanish/>
          <w:rtl/>
        </w:rPr>
        <w:t>-</w:t>
      </w:r>
      <w:r w:rsidRPr="004F32D2">
        <w:rPr>
          <w:rStyle w:val="aff4"/>
          <w:rFonts w:hint="cs"/>
          <w:rtl/>
        </w:rPr>
        <w:t>הראש יוסף</w:t>
      </w:r>
      <w:r w:rsidRPr="00C444C9">
        <w:rPr>
          <w:rStyle w:val="aff4"/>
          <w:rFonts w:hint="cs"/>
          <w:vanish/>
          <w:rtl/>
        </w:rPr>
        <w:t>-</w:t>
      </w:r>
      <w:r>
        <w:rPr>
          <w:rFonts w:hint="cs"/>
          <w:rtl/>
        </w:rPr>
        <w:t xml:space="preserve"> דהנ"מ היא דאי כל המלאכות הם </w:t>
      </w:r>
      <w:r w:rsidRPr="000F622D">
        <w:rPr>
          <w:rFonts w:hint="cs"/>
          <w:rtl/>
        </w:rPr>
        <w:t xml:space="preserve">אבות, כדעת </w:t>
      </w:r>
      <w:r w:rsidRPr="000F622D">
        <w:rPr>
          <w:rStyle w:val="aff4"/>
          <w:rFonts w:hint="cs"/>
          <w:vanish/>
          <w:rtl/>
        </w:rPr>
        <w:t>-</w:t>
      </w:r>
      <w:r w:rsidRPr="000F622D">
        <w:rPr>
          <w:rStyle w:val="aff4"/>
          <w:rFonts w:hint="cs"/>
          <w:rtl/>
        </w:rPr>
        <w:t>הרמב"ם</w:t>
      </w:r>
      <w:r w:rsidRPr="000F622D">
        <w:rPr>
          <w:rStyle w:val="aff4"/>
          <w:rFonts w:hint="cs"/>
          <w:vanish/>
          <w:rtl/>
        </w:rPr>
        <w:t>-</w:t>
      </w:r>
      <w:r w:rsidRPr="000F622D">
        <w:rPr>
          <w:rFonts w:hint="cs"/>
          <w:rtl/>
        </w:rPr>
        <w:t xml:space="preserve"> א"כ הא דאמרינן</w:t>
      </w:r>
      <w:r>
        <w:rPr>
          <w:rFonts w:hint="cs"/>
          <w:rtl/>
        </w:rPr>
        <w:t xml:space="preserve"> דנוטע ומבריך חייב אף משום זורע, הכוונה היא שאפשר להתרות עליהם בשמות של המלאכות עצמם, כיון שהם אבות, ולפי"ז מבואר דעל תולדה צריך להתרות רק בשם של האב ולא בשם של התולדה.</w:t>
      </w:r>
    </w:p>
    <w:p w14:paraId="69A3B020" w14:textId="77777777" w:rsidR="009623A2" w:rsidRPr="00747170" w:rsidRDefault="009623A2" w:rsidP="00747170">
      <w:pPr>
        <w:pStyle w:val="a2"/>
      </w:pPr>
      <w:r w:rsidRPr="00747170">
        <w:rPr>
          <w:rFonts w:hint="cs"/>
          <w:rtl/>
        </w:rPr>
        <w:t>תנא הזורע והזומר והנוטע כו' אף משום זורע כו' יש בזה שלש שיטות לרש"י נוטע ואינך אבות וזומר תולדה ולהר"מ אף זומר אב ולי"מ במ"מ פ"ז מה"ש וכ"ה דעת הרמ"ך ז"ל דכולן בר מזורע תולדות הן והנה הנ"מ אם נאמר דכולן אבות הן אפשר דמש"ה נוטע ומבריך כו' חייב משום נוטע ואף משום זורע הא תולדה מאב צריך דוקא להתרות משום אב לא משום תולדה.</w:t>
      </w:r>
    </w:p>
    <w:p w14:paraId="47A8AE44" w14:textId="77777777" w:rsidR="009623A2" w:rsidRPr="000F622D" w:rsidRDefault="009623A2" w:rsidP="009623A2">
      <w:pPr>
        <w:pStyle w:val="a7"/>
      </w:pPr>
      <w:bookmarkStart w:id="146" w:name="_Toc134419581"/>
      <w:r>
        <w:rPr>
          <w:rFonts w:hint="cs"/>
          <w:rtl/>
        </w:rPr>
        <w:t>בי' הראש יוסף ברמ"ך דהם תולדות א"כ קמ"ל דמתרה בהם גם בשם האב וכ"ש בשם עצמם</w:t>
      </w:r>
      <w:bookmarkEnd w:id="146"/>
    </w:p>
    <w:p w14:paraId="2D323D19" w14:textId="7614B618" w:rsidR="009623A2" w:rsidRDefault="009623A2" w:rsidP="00BC7DC8">
      <w:pPr>
        <w:pStyle w:val="a3"/>
        <w:rPr>
          <w:rtl/>
        </w:rPr>
      </w:pPr>
      <w:r>
        <w:rPr>
          <w:rFonts w:hint="cs"/>
          <w:rtl/>
        </w:rPr>
        <w:t xml:space="preserve">אך כתב </w:t>
      </w:r>
      <w:r w:rsidRPr="00C444C9">
        <w:rPr>
          <w:rStyle w:val="aff4"/>
          <w:rFonts w:hint="cs"/>
          <w:vanish/>
          <w:rtl/>
        </w:rPr>
        <w:t>-</w:t>
      </w:r>
      <w:r w:rsidRPr="004F32D2">
        <w:rPr>
          <w:rStyle w:val="aff4"/>
          <w:rFonts w:hint="cs"/>
          <w:rtl/>
        </w:rPr>
        <w:t>הראש יוסף</w:t>
      </w:r>
      <w:r w:rsidRPr="00C444C9">
        <w:rPr>
          <w:rStyle w:val="aff4"/>
          <w:rFonts w:hint="cs"/>
          <w:vanish/>
          <w:rtl/>
        </w:rPr>
        <w:t>-</w:t>
      </w:r>
      <w:r>
        <w:rPr>
          <w:rFonts w:hint="cs"/>
          <w:rtl/>
        </w:rPr>
        <w:t xml:space="preserve"> דאי כל המלאכות הם </w:t>
      </w:r>
      <w:r w:rsidRPr="000F622D">
        <w:rPr>
          <w:rFonts w:hint="cs"/>
          <w:rtl/>
        </w:rPr>
        <w:t xml:space="preserve">תולדות, כדעת </w:t>
      </w:r>
      <w:r w:rsidRPr="000F622D">
        <w:rPr>
          <w:rStyle w:val="aff4"/>
          <w:rFonts w:hint="cs"/>
          <w:vanish/>
          <w:rtl/>
        </w:rPr>
        <w:t>-</w:t>
      </w:r>
      <w:r w:rsidRPr="000F622D">
        <w:rPr>
          <w:rStyle w:val="aff4"/>
          <w:rFonts w:hint="cs"/>
          <w:rtl/>
        </w:rPr>
        <w:t>הרמ"ך</w:t>
      </w:r>
      <w:r w:rsidRPr="000F622D">
        <w:rPr>
          <w:rStyle w:val="aff4"/>
          <w:rFonts w:hint="cs"/>
          <w:vanish/>
          <w:rtl/>
        </w:rPr>
        <w:t>-</w:t>
      </w:r>
      <w:r w:rsidRPr="000F622D">
        <w:rPr>
          <w:rFonts w:hint="cs"/>
          <w:rtl/>
        </w:rPr>
        <w:t xml:space="preserve"> א"כ צריך להתרות בשם של האב ולא בשם של ה</w:t>
      </w:r>
      <w:r>
        <w:rPr>
          <w:rFonts w:hint="cs"/>
          <w:rtl/>
        </w:rPr>
        <w:t xml:space="preserve">תולדה, א"כ כוונת הגמ' לומר דאף שהם תולדות אפשר להתרות בשם של המלאכות עצמם, וגם בשם של האב, וכ"ש אם התרה על התולדה בשמה דחייב, וכדעת </w:t>
      </w:r>
      <w:r w:rsidRPr="00C444C9">
        <w:rPr>
          <w:rStyle w:val="aff4"/>
          <w:rFonts w:hint="cs"/>
          <w:vanish/>
          <w:rtl/>
        </w:rPr>
        <w:t>-</w:t>
      </w:r>
      <w:r w:rsidRPr="004F32D2">
        <w:rPr>
          <w:rStyle w:val="aff4"/>
          <w:rFonts w:hint="cs"/>
          <w:rtl/>
        </w:rPr>
        <w:t>התוס'</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Ref133361034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יא)</w:t>
      </w:r>
      <w:r>
        <w:rPr>
          <w:rStyle w:val="af2"/>
          <w:rFonts w:eastAsia="Guttman Hodes"/>
          <w:rtl/>
        </w:rPr>
        <w:fldChar w:fldCharType="end"/>
      </w:r>
      <w:r>
        <w:rPr>
          <w:rFonts w:hint="cs"/>
          <w:rtl/>
        </w:rPr>
        <w:t xml:space="preserve">, וכדביאר </w:t>
      </w:r>
      <w:r w:rsidRPr="00C444C9">
        <w:rPr>
          <w:rStyle w:val="aff4"/>
          <w:rFonts w:hint="cs"/>
          <w:vanish/>
          <w:rtl/>
        </w:rPr>
        <w:t>-</w:t>
      </w:r>
      <w:r w:rsidRPr="004F32D2">
        <w:rPr>
          <w:rStyle w:val="aff4"/>
          <w:rFonts w:hint="cs"/>
          <w:rtl/>
        </w:rPr>
        <w:t>ה</w:t>
      </w:r>
      <w:r w:rsidRPr="00C444C9">
        <w:rPr>
          <w:rStyle w:val="aff4"/>
          <w:rFonts w:hint="cs"/>
          <w:vanish/>
          <w:rtl/>
        </w:rPr>
        <w:t>&lt; &gt;</w:t>
      </w:r>
      <w:r w:rsidRPr="004F32D2">
        <w:rPr>
          <w:rStyle w:val="aff4"/>
          <w:rFonts w:hint="cs"/>
          <w:rtl/>
        </w:rPr>
        <w:t>ראש יוסף</w:t>
      </w:r>
      <w:r w:rsidRPr="00C444C9">
        <w:rPr>
          <w:rStyle w:val="aff4"/>
          <w:rFonts w:hint="cs"/>
          <w:vanish/>
          <w:rtl/>
        </w:rPr>
        <w:t>-</w:t>
      </w:r>
      <w:r>
        <w:rPr>
          <w:rFonts w:hint="cs"/>
          <w:rtl/>
        </w:rPr>
        <w:t xml:space="preserve"> </w:t>
      </w:r>
      <w:r w:rsidRPr="002A0D0C">
        <w:rPr>
          <w:rStyle w:val="af2"/>
          <w:rFonts w:eastAsia="Guttman Hode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rPr>
        <w:instrText>REF</w:instrText>
      </w:r>
      <w:r>
        <w:rPr>
          <w:rStyle w:val="af2"/>
          <w:rFonts w:eastAsia="Guttman Hodes"/>
          <w:rtl/>
        </w:rPr>
        <w:instrText xml:space="preserve"> _</w:instrText>
      </w:r>
      <w:r>
        <w:rPr>
          <w:rStyle w:val="af2"/>
          <w:rFonts w:eastAsia="Guttman Hodes"/>
        </w:rPr>
        <w:instrText>Ref133361068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יג)</w:t>
      </w:r>
      <w:r>
        <w:rPr>
          <w:rStyle w:val="af2"/>
          <w:rFonts w:eastAsia="Guttman Hodes"/>
          <w:rtl/>
        </w:rPr>
        <w:fldChar w:fldCharType="end"/>
      </w:r>
      <w:r w:rsidRPr="0070768D">
        <w:rPr>
          <w:rFonts w:hint="cs"/>
          <w:vanish/>
          <w:rtl/>
        </w:rPr>
        <w:t xml:space="preserve"> </w:t>
      </w:r>
      <w:r w:rsidRPr="00350A80">
        <w:rPr>
          <w:rFonts w:hint="cs"/>
          <w:vanish/>
          <w:rtl/>
        </w:rPr>
        <w:t>=</w:t>
      </w:r>
      <w:r>
        <w:rPr>
          <w:rFonts w:hint="cs"/>
          <w:rtl/>
        </w:rPr>
        <w:t>.</w:t>
      </w:r>
      <w:bookmarkEnd w:id="145"/>
    </w:p>
    <w:p w14:paraId="7B5EAC1D" w14:textId="77777777" w:rsidR="009623A2" w:rsidRPr="00747170" w:rsidRDefault="009623A2" w:rsidP="00747170">
      <w:pPr>
        <w:pStyle w:val="a2"/>
        <w:rPr>
          <w:rtl/>
        </w:rPr>
      </w:pPr>
      <w:r w:rsidRPr="00747170">
        <w:rPr>
          <w:rFonts w:hint="cs"/>
          <w:rtl/>
        </w:rPr>
        <w:t>משא"כ אי הנך תולדות נינהו מוכח דתולדה דהתרו בשמה חייב כדמסיק אף משום זורע וכ"ש בשם התולדה דחייב וכפירוש התוס' ד"ה משום זורע וכדבעינן למימר לקמן אי"ה.</w:t>
      </w:r>
    </w:p>
    <w:p w14:paraId="79FDD209" w14:textId="1EF5A2C5" w:rsidR="009623A2" w:rsidRDefault="009623A2" w:rsidP="009623A2">
      <w:pPr>
        <w:pStyle w:val="a7"/>
        <w:rPr>
          <w:rtl/>
        </w:rPr>
      </w:pPr>
      <w:bookmarkStart w:id="147" w:name="_Toc134419582"/>
      <w:r>
        <w:rPr>
          <w:rFonts w:hint="cs"/>
          <w:rtl/>
        </w:rPr>
        <w:t>בי' הראש יוסף דלא מפורש ברמב"ם אי המתרה בתולדה בשמה חייב או רק בשם האב</w:t>
      </w:r>
      <w:bookmarkEnd w:id="147"/>
    </w:p>
    <w:p w14:paraId="196FAD11" w14:textId="77777777" w:rsidR="009623A2" w:rsidRDefault="009623A2" w:rsidP="00BC7DC8">
      <w:pPr>
        <w:pStyle w:val="a3"/>
        <w:rPr>
          <w:rtl/>
        </w:rPr>
      </w:pPr>
      <w:r>
        <w:rPr>
          <w:rFonts w:hint="cs"/>
          <w:rtl/>
        </w:rPr>
        <w:lastRenderedPageBreak/>
        <w:t xml:space="preserve">אך כתב </w:t>
      </w:r>
      <w:r w:rsidRPr="00C444C9">
        <w:rPr>
          <w:rStyle w:val="aff4"/>
          <w:rFonts w:hint="cs"/>
          <w:vanish/>
          <w:rtl/>
        </w:rPr>
        <w:t>-</w:t>
      </w:r>
      <w:r w:rsidRPr="004F32D2">
        <w:rPr>
          <w:rStyle w:val="aff4"/>
          <w:rFonts w:hint="cs"/>
          <w:rtl/>
        </w:rPr>
        <w:t>הראש יוסף</w:t>
      </w:r>
      <w:r w:rsidRPr="00C444C9">
        <w:rPr>
          <w:rStyle w:val="aff4"/>
          <w:rFonts w:hint="cs"/>
          <w:vanish/>
          <w:rtl/>
        </w:rPr>
        <w:t>-</w:t>
      </w:r>
      <w:r>
        <w:rPr>
          <w:rFonts w:hint="cs"/>
          <w:rtl/>
        </w:rPr>
        <w:t xml:space="preserve"> דלא מצינו מפורש </w:t>
      </w:r>
      <w:r w:rsidRPr="00C444C9">
        <w:rPr>
          <w:rStyle w:val="aff4"/>
          <w:rFonts w:hint="cs"/>
          <w:vanish/>
          <w:rtl/>
        </w:rPr>
        <w:t>-</w:t>
      </w:r>
      <w:r w:rsidRPr="004F32D2">
        <w:rPr>
          <w:rStyle w:val="aff4"/>
          <w:rFonts w:hint="cs"/>
          <w:rtl/>
        </w:rPr>
        <w:t>ברמב"ם</w:t>
      </w:r>
      <w:r w:rsidRPr="00C444C9">
        <w:rPr>
          <w:rStyle w:val="aff4"/>
          <w:rFonts w:hint="cs"/>
          <w:vanish/>
          <w:rtl/>
        </w:rPr>
        <w:t>-</w:t>
      </w:r>
      <w:r>
        <w:rPr>
          <w:rFonts w:hint="cs"/>
          <w:rtl/>
        </w:rPr>
        <w:t xml:space="preserve"> אי המתרה בתולדה בשמה חייב, או דרק אם מתרה בשם האב חייב, עיי"ש בדבריו.</w:t>
      </w:r>
    </w:p>
    <w:p w14:paraId="6C4F1A26" w14:textId="77777777" w:rsidR="009623A2" w:rsidRPr="00747170" w:rsidRDefault="009623A2" w:rsidP="00747170">
      <w:pPr>
        <w:pStyle w:val="a2"/>
      </w:pPr>
      <w:r w:rsidRPr="00747170">
        <w:rPr>
          <w:rFonts w:hint="cs"/>
          <w:rtl/>
        </w:rPr>
        <w:t>ובר"מ ז"ל לא מצאתיו כעת אם בעינן דוקא להתרות התולדה משום אב או אפילו משום התולדה חייב ובפ"ח מה"ש הי"א משמר חייב משום בורר ומרקד אין הכרע ושם פסק כרב' בקל"ח א' וכפירש"י שם דלרב' חייב משום בורר ומרקד ולר"ז לא ורבא בתרא הוא ומ"מ מה שסיים שזורה ובורר ומרקד ענינם א' הוא משמע מהאי טעמא חייב אמשמר בין משום מרקד ובורר והיינו נמי כרבא:</w:t>
      </w:r>
    </w:p>
    <w:p w14:paraId="31AB0DC1" w14:textId="2D4E14C5" w:rsidR="009623A2" w:rsidRPr="00F536D0" w:rsidRDefault="009623A2" w:rsidP="009623A2">
      <w:pPr>
        <w:pStyle w:val="afffff7"/>
        <w:rPr>
          <w:rtl/>
        </w:rPr>
      </w:pPr>
      <w:bookmarkStart w:id="148" w:name="_Toc133841637"/>
      <w:bookmarkStart w:id="149" w:name="_Toc163505385"/>
      <w:r w:rsidRPr="00F536D0">
        <w:rPr>
          <w:rtl/>
        </w:rPr>
        <w:t>ראש יוסף שבת ע"ג ע"ב</w:t>
      </w:r>
      <w:r w:rsidRPr="00F536D0">
        <w:rPr>
          <w:rFonts w:hint="cs"/>
          <w:rtl/>
        </w:rPr>
        <w:t xml:space="preserve"> ד"ה </w:t>
      </w:r>
      <w:r>
        <w:rPr>
          <w:rFonts w:hint="cs"/>
          <w:rtl/>
        </w:rPr>
        <w:t>והוי יודע</w:t>
      </w:r>
      <w:bookmarkEnd w:id="148"/>
      <w:bookmarkEnd w:id="149"/>
    </w:p>
    <w:p w14:paraId="0A3B78F6" w14:textId="77777777" w:rsidR="009623A2" w:rsidRDefault="009623A2" w:rsidP="009623A2">
      <w:pPr>
        <w:pStyle w:val="a7"/>
        <w:rPr>
          <w:rtl/>
        </w:rPr>
      </w:pPr>
      <w:bookmarkStart w:id="150" w:name="_Toc134419583"/>
      <w:r>
        <w:rPr>
          <w:rFonts w:hint="cs"/>
          <w:rtl/>
        </w:rPr>
        <w:t>ספק הראש יוסף אי התראה בזורע משום נוטע מהני דאפש"ל דסבור שמלעיג עליו ופטור</w:t>
      </w:r>
      <w:bookmarkEnd w:id="150"/>
    </w:p>
    <w:p w14:paraId="269C32A9" w14:textId="771F6AAD" w:rsidR="009623A2" w:rsidRPr="00C878F0" w:rsidRDefault="009623A2" w:rsidP="00BC7DC8">
      <w:pPr>
        <w:pStyle w:val="a3"/>
      </w:pPr>
      <w:bookmarkStart w:id="151" w:name="_Ref130490300"/>
      <w:r>
        <w:rPr>
          <w:rFonts w:hint="cs"/>
          <w:rtl/>
        </w:rPr>
        <w:t xml:space="preserve">וכתב </w:t>
      </w:r>
      <w:r w:rsidRPr="00C444C9">
        <w:rPr>
          <w:rStyle w:val="aff4"/>
          <w:rFonts w:hint="cs"/>
          <w:vanish/>
          <w:rtl/>
        </w:rPr>
        <w:t>-</w:t>
      </w:r>
      <w:r w:rsidRPr="004F32D2">
        <w:rPr>
          <w:rStyle w:val="aff4"/>
          <w:rFonts w:hint="cs"/>
          <w:rtl/>
        </w:rPr>
        <w:t>ה</w:t>
      </w:r>
      <w:r w:rsidRPr="00C444C9">
        <w:rPr>
          <w:rStyle w:val="aff4"/>
          <w:rFonts w:hint="cs"/>
          <w:vanish/>
          <w:rtl/>
        </w:rPr>
        <w:t xml:space="preserve">&lt;. </w:t>
      </w:r>
      <w:r w:rsidRPr="00C444C9">
        <w:rPr>
          <w:rStyle w:val="aff4"/>
          <w:vanish/>
          <w:rtl/>
        </w:rPr>
        <w:fldChar w:fldCharType="begin"/>
      </w:r>
      <w:r w:rsidRPr="00C444C9">
        <w:rPr>
          <w:rStyle w:val="aff4"/>
          <w:vanish/>
          <w:rtl/>
        </w:rPr>
        <w:instrText xml:space="preserve"> </w:instrText>
      </w:r>
      <w:r w:rsidRPr="00C444C9">
        <w:rPr>
          <w:rStyle w:val="aff4"/>
          <w:rFonts w:hint="cs"/>
          <w:vanish/>
        </w:rPr>
        <w:instrText>REF</w:instrText>
      </w:r>
      <w:r w:rsidRPr="00C444C9">
        <w:rPr>
          <w:rStyle w:val="aff4"/>
          <w:rFonts w:hint="cs"/>
          <w:vanish/>
          <w:rtl/>
        </w:rPr>
        <w:instrText xml:space="preserve"> _</w:instrText>
      </w:r>
      <w:r w:rsidRPr="00C444C9">
        <w:rPr>
          <w:rStyle w:val="aff4"/>
          <w:rFonts w:hint="cs"/>
          <w:vanish/>
        </w:rPr>
        <w:instrText>Ref130490300 \r \h</w:instrText>
      </w:r>
      <w:r w:rsidRPr="00C444C9">
        <w:rPr>
          <w:rStyle w:val="aff4"/>
          <w:vanish/>
          <w:rtl/>
        </w:rPr>
        <w:instrText xml:space="preserve"> </w:instrText>
      </w:r>
      <w:r w:rsidRPr="00C444C9">
        <w:rPr>
          <w:rStyle w:val="aff4"/>
          <w:vanish/>
          <w:rtl/>
        </w:rPr>
      </w:r>
      <w:r w:rsidRPr="00C444C9">
        <w:rPr>
          <w:rStyle w:val="aff4"/>
          <w:vanish/>
          <w:rtl/>
        </w:rPr>
        <w:fldChar w:fldCharType="separate"/>
      </w:r>
      <w:r w:rsidR="00D82181">
        <w:rPr>
          <w:rStyle w:val="aff4"/>
          <w:vanish/>
          <w:cs/>
        </w:rPr>
        <w:t>‎</w:t>
      </w:r>
      <w:r w:rsidR="00D82181">
        <w:rPr>
          <w:rStyle w:val="aff4"/>
          <w:vanish/>
          <w:rtl/>
        </w:rPr>
        <w:t>כ)</w:t>
      </w:r>
      <w:r w:rsidRPr="00C444C9">
        <w:rPr>
          <w:rStyle w:val="aff4"/>
          <w:vanish/>
          <w:rtl/>
        </w:rPr>
        <w:fldChar w:fldCharType="end"/>
      </w:r>
      <w:r w:rsidRPr="00C444C9">
        <w:rPr>
          <w:rStyle w:val="aff4"/>
          <w:rFonts w:hint="cs"/>
          <w:vanish/>
          <w:rtl/>
        </w:rPr>
        <w:t xml:space="preserve"> &gt;</w:t>
      </w:r>
      <w:r w:rsidRPr="004F32D2">
        <w:rPr>
          <w:rStyle w:val="aff4"/>
          <w:rFonts w:hint="cs"/>
          <w:rtl/>
        </w:rPr>
        <w:t>ראש יוסף</w:t>
      </w:r>
      <w:r w:rsidRPr="00C444C9">
        <w:rPr>
          <w:rStyle w:val="aff4"/>
          <w:rFonts w:hint="cs"/>
          <w:vanish/>
          <w:rtl/>
        </w:rPr>
        <w:t>-</w:t>
      </w:r>
      <w:r>
        <w:rPr>
          <w:rFonts w:hint="cs"/>
          <w:rtl/>
        </w:rPr>
        <w:t xml:space="preserve"> </w:t>
      </w:r>
      <w:r w:rsidRPr="002A0D0C">
        <w:rPr>
          <w:rStyle w:val="af2"/>
          <w:rFonts w:eastAsia="Guttman Hodes" w:hint="cs"/>
          <w:rtl/>
        </w:rPr>
        <w:t>(ד"ה והוי יודע)</w:t>
      </w:r>
      <w:r>
        <w:rPr>
          <w:rFonts w:hint="cs"/>
          <w:vanish/>
          <w:rtl/>
        </w:rPr>
        <w:t>=</w:t>
      </w:r>
      <w:r>
        <w:rPr>
          <w:rFonts w:hint="cs"/>
          <w:rtl/>
        </w:rPr>
        <w:t xml:space="preserve"> דמלאכות שכ"א מהם היא אב והם אותו האב, כנוטע ומבריך שהם באב של זורע, אם התרו בנוטע משום האב של זורע ודאי דחייב, כיון דזורע היה במשכן והוא העיקר וכ"ש כשהתרו בו משום נוטע, כדאמרינן בגמ' דאף משום זורע, אבל אם התרו על זורע משום נוטע, כתב </w:t>
      </w:r>
      <w:r w:rsidRPr="00C444C9">
        <w:rPr>
          <w:rStyle w:val="aff4"/>
          <w:rFonts w:hint="cs"/>
          <w:vanish/>
          <w:rtl/>
        </w:rPr>
        <w:t>-</w:t>
      </w:r>
      <w:r w:rsidRPr="004F32D2">
        <w:rPr>
          <w:rStyle w:val="aff4"/>
          <w:rFonts w:hint="cs"/>
          <w:rtl/>
        </w:rPr>
        <w:t>הראש יוסף</w:t>
      </w:r>
      <w:r w:rsidRPr="00C444C9">
        <w:rPr>
          <w:rStyle w:val="aff4"/>
          <w:rFonts w:hint="cs"/>
          <w:vanish/>
          <w:rtl/>
        </w:rPr>
        <w:t>-</w:t>
      </w:r>
      <w:r>
        <w:rPr>
          <w:rFonts w:hint="cs"/>
          <w:rtl/>
        </w:rPr>
        <w:t xml:space="preserve"> דיתכן דהוא פטור, כיון דזורע היה במשכן ונוטע לא היה במשכן, והוא אב רק כיון דהוא דומה ממש לזורע, וכשמתרה בו משום נוטע הוא סובר שהוא מלעיג עליו, אך הביא </w:t>
      </w:r>
      <w:r w:rsidRPr="00C444C9">
        <w:rPr>
          <w:rStyle w:val="aff4"/>
          <w:rFonts w:hint="cs"/>
          <w:vanish/>
          <w:rtl/>
        </w:rPr>
        <w:t>-</w:t>
      </w:r>
      <w:r w:rsidRPr="004F32D2">
        <w:rPr>
          <w:rStyle w:val="aff4"/>
          <w:rFonts w:hint="cs"/>
          <w:rtl/>
        </w:rPr>
        <w:t>הראש יוסף</w:t>
      </w:r>
      <w:r w:rsidRPr="00C444C9">
        <w:rPr>
          <w:rStyle w:val="aff4"/>
          <w:rFonts w:hint="cs"/>
          <w:vanish/>
          <w:rtl/>
        </w:rPr>
        <w:t>-</w:t>
      </w:r>
      <w:r>
        <w:rPr>
          <w:rFonts w:hint="cs"/>
          <w:rtl/>
        </w:rPr>
        <w:t xml:space="preserve"> את דברי </w:t>
      </w:r>
      <w:r w:rsidRPr="00C444C9">
        <w:rPr>
          <w:rStyle w:val="aff4"/>
          <w:rFonts w:hint="cs"/>
          <w:vanish/>
          <w:rtl/>
        </w:rPr>
        <w:t>-</w:t>
      </w:r>
      <w:r w:rsidRPr="004F32D2">
        <w:rPr>
          <w:rStyle w:val="aff4"/>
          <w:rFonts w:hint="cs"/>
          <w:rtl/>
        </w:rPr>
        <w:t>הלח"מ בתי' הב'</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Ref133823518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מב)</w:t>
      </w:r>
      <w:r>
        <w:rPr>
          <w:rStyle w:val="af2"/>
          <w:rFonts w:eastAsia="Guttman Hodes"/>
          <w:rtl/>
        </w:rPr>
        <w:fldChar w:fldCharType="end"/>
      </w:r>
      <w:r>
        <w:rPr>
          <w:rFonts w:hint="cs"/>
          <w:rtl/>
        </w:rPr>
        <w:t xml:space="preserve"> דכתב דכיון דזורע חייב משום נוטע ונוטע חייב משום זורע, ה"ה דזומר חייב משום זורע, וכתב </w:t>
      </w:r>
      <w:r w:rsidRPr="00C444C9">
        <w:rPr>
          <w:rStyle w:val="aff4"/>
          <w:rFonts w:hint="cs"/>
          <w:vanish/>
          <w:rtl/>
        </w:rPr>
        <w:t>-</w:t>
      </w:r>
      <w:r w:rsidRPr="004F32D2">
        <w:rPr>
          <w:rStyle w:val="aff4"/>
          <w:rFonts w:hint="cs"/>
          <w:rtl/>
        </w:rPr>
        <w:t>הראש יוסף</w:t>
      </w:r>
      <w:r w:rsidRPr="00C444C9">
        <w:rPr>
          <w:rStyle w:val="aff4"/>
          <w:rFonts w:hint="cs"/>
          <w:vanish/>
          <w:rtl/>
        </w:rPr>
        <w:t>-</w:t>
      </w:r>
      <w:r>
        <w:rPr>
          <w:rFonts w:hint="cs"/>
          <w:rtl/>
        </w:rPr>
        <w:t xml:space="preserve"> דיש ט"ס בדברי </w:t>
      </w:r>
      <w:r w:rsidRPr="00C444C9">
        <w:rPr>
          <w:rStyle w:val="aff4"/>
          <w:rFonts w:hint="cs"/>
          <w:vanish/>
          <w:rtl/>
        </w:rPr>
        <w:t>-</w:t>
      </w:r>
      <w:r w:rsidRPr="004F32D2">
        <w:rPr>
          <w:rStyle w:val="aff4"/>
          <w:rFonts w:hint="cs"/>
          <w:rtl/>
        </w:rPr>
        <w:t>הלח"מ</w:t>
      </w:r>
      <w:r w:rsidRPr="00C444C9">
        <w:rPr>
          <w:rStyle w:val="aff4"/>
          <w:rFonts w:hint="cs"/>
          <w:vanish/>
          <w:rtl/>
        </w:rPr>
        <w:t>-</w:t>
      </w:r>
      <w:r>
        <w:rPr>
          <w:rFonts w:hint="cs"/>
          <w:rtl/>
        </w:rPr>
        <w:t xml:space="preserve"> וכוונתו לומר דזומר חייב משום נוטע ונוטע חייב משום זורע, ולכן צריך להתחייב אף על זומר משום נוטע, אך אין כוונתו לומר דזורע חייב משום נוטע דהא הוא סבור שמלעיג עליו.</w:t>
      </w:r>
      <w:bookmarkEnd w:id="151"/>
    </w:p>
    <w:p w14:paraId="51504733" w14:textId="77777777" w:rsidR="009623A2" w:rsidRPr="00747170" w:rsidRDefault="009623A2" w:rsidP="00747170">
      <w:pPr>
        <w:pStyle w:val="a2"/>
        <w:rPr>
          <w:rtl/>
        </w:rPr>
      </w:pPr>
      <w:r w:rsidRPr="00747170">
        <w:rPr>
          <w:rtl/>
        </w:rPr>
        <w:t>והוי יודע דאבות רבים שענינם אחד הוא כמו נוטע ומבריך ומרכיב עם זורע כלום אבות הם אם התרו בי' בנוטע משום זורע חייב וכ"ש משום נוטע כדמסיק אף משום זורע לפי' התוס' ומיהו זורע אם התרו בי' משום נוטע א"י דאפשר אין חייב כיון דזורע הוה במשכן ונוטע לא הי' אלא דומה ממש הוה אב ומש"ה התרו נוטע משום זורע שפיר חייב משא"כ זורע משום נוטע אפשר לא דסובר מלעיגין עליו כיון דזורע עיקר אין ראוי שיתרה לזורע משום נוטע אלא שלח"מ פ"ח משבת ה"ב כתב תדע דזורע חייב משום נוטע ונוטע משום זורע א"כ ראוי דזומר חייב משום זורע ויראה דט"ס הוא וצ"ל תדע דזומר חייב משום נוטע ונוטע משום זורע א"כ ראוי דזומר נמי משום זורע יעוין שם:</w:t>
      </w:r>
    </w:p>
    <w:p w14:paraId="0FC84626" w14:textId="715ACA84" w:rsidR="009623A2" w:rsidRPr="0083167C" w:rsidRDefault="009623A2" w:rsidP="009623A2">
      <w:pPr>
        <w:pStyle w:val="affff5"/>
      </w:pPr>
      <w:bookmarkStart w:id="152" w:name="_Toc134419584"/>
      <w:r>
        <w:rPr>
          <w:rFonts w:hint="cs"/>
          <w:rtl/>
        </w:rPr>
        <w:t>ביאורי הריטב"א בחיובי האב והתולדה</w:t>
      </w:r>
      <w:bookmarkEnd w:id="152"/>
    </w:p>
    <w:p w14:paraId="1137D262" w14:textId="77777777" w:rsidR="009623A2" w:rsidRPr="00757106" w:rsidRDefault="009623A2" w:rsidP="009623A2">
      <w:pPr>
        <w:pStyle w:val="1"/>
        <w:rPr>
          <w:rtl/>
        </w:rPr>
      </w:pPr>
      <w:bookmarkStart w:id="153" w:name="_Toc134419585"/>
      <w:r>
        <w:rPr>
          <w:rFonts w:hint="cs"/>
          <w:rtl/>
        </w:rPr>
        <w:t>בי' הריטב"א ברש"י דנוטע וזורע חייב ב' ואם עשה כולם חייב א'</w:t>
      </w:r>
      <w:bookmarkEnd w:id="153"/>
    </w:p>
    <w:p w14:paraId="258EC462" w14:textId="77777777" w:rsidR="009623A2" w:rsidRDefault="009623A2" w:rsidP="009623A2">
      <w:pPr>
        <w:pStyle w:val="afffff7"/>
        <w:rPr>
          <w:rtl/>
        </w:rPr>
      </w:pPr>
      <w:bookmarkStart w:id="154" w:name="_Toc133841638"/>
      <w:bookmarkStart w:id="155" w:name="_Toc163505386"/>
      <w:r>
        <w:rPr>
          <w:rtl/>
        </w:rPr>
        <w:t>חדושי הריטב"א שבת ע"ג ע"ב</w:t>
      </w:r>
      <w:r>
        <w:rPr>
          <w:rFonts w:hint="cs"/>
          <w:rtl/>
        </w:rPr>
        <w:t xml:space="preserve"> ד"ה תנא</w:t>
      </w:r>
      <w:bookmarkEnd w:id="154"/>
      <w:bookmarkEnd w:id="155"/>
    </w:p>
    <w:p w14:paraId="7110A1B7" w14:textId="77777777" w:rsidR="009623A2" w:rsidRDefault="009623A2" w:rsidP="009623A2">
      <w:pPr>
        <w:pStyle w:val="a7"/>
        <w:rPr>
          <w:rtl/>
        </w:rPr>
      </w:pPr>
      <w:bookmarkStart w:id="156" w:name="_Toc134419586"/>
      <w:r>
        <w:rPr>
          <w:rFonts w:hint="cs"/>
          <w:rtl/>
        </w:rPr>
        <w:t>בי' הריטב"א דהחידוש בברייתא דאף דהם אבות חייב א' והברייתא מפרשת את סתימת מתני'</w:t>
      </w:r>
      <w:bookmarkEnd w:id="156"/>
    </w:p>
    <w:p w14:paraId="2618D993" w14:textId="0F7AE9D2" w:rsidR="009623A2" w:rsidRPr="00934A4C" w:rsidRDefault="009623A2" w:rsidP="00BC7DC8">
      <w:pPr>
        <w:pStyle w:val="a3"/>
        <w:rPr>
          <w:rtl/>
        </w:rPr>
      </w:pPr>
      <w:bookmarkStart w:id="157" w:name="_Ref130417468"/>
      <w:r>
        <w:rPr>
          <w:rFonts w:hint="cs"/>
          <w:rtl/>
        </w:rPr>
        <w:t xml:space="preserve">בהא דאמרינן דבזורע וזומר וכו' חייב רק אחת, כתב </w:t>
      </w:r>
      <w:r w:rsidRPr="00C444C9">
        <w:rPr>
          <w:rStyle w:val="aff4"/>
          <w:rFonts w:hint="cs"/>
          <w:vanish/>
          <w:rtl/>
        </w:rPr>
        <w:t>-</w:t>
      </w:r>
      <w:r w:rsidRPr="004F32D2">
        <w:rPr>
          <w:rStyle w:val="aff4"/>
          <w:rFonts w:hint="cs"/>
          <w:rtl/>
        </w:rPr>
        <w:t>ה</w:t>
      </w:r>
      <w:r w:rsidRPr="00C444C9">
        <w:rPr>
          <w:rStyle w:val="aff4"/>
          <w:rFonts w:hint="cs"/>
          <w:vanish/>
          <w:rtl/>
        </w:rPr>
        <w:t xml:space="preserve">&lt;. </w:t>
      </w:r>
      <w:r w:rsidRPr="00C444C9">
        <w:rPr>
          <w:rStyle w:val="aff4"/>
          <w:vanish/>
          <w:rtl/>
        </w:rPr>
        <w:fldChar w:fldCharType="begin"/>
      </w:r>
      <w:r w:rsidRPr="00C444C9">
        <w:rPr>
          <w:rStyle w:val="aff4"/>
          <w:vanish/>
          <w:rtl/>
        </w:rPr>
        <w:instrText xml:space="preserve"> </w:instrText>
      </w:r>
      <w:r w:rsidRPr="00C444C9">
        <w:rPr>
          <w:rStyle w:val="aff4"/>
          <w:rFonts w:hint="cs"/>
          <w:vanish/>
        </w:rPr>
        <w:instrText>REF</w:instrText>
      </w:r>
      <w:r w:rsidRPr="00C444C9">
        <w:rPr>
          <w:rStyle w:val="aff4"/>
          <w:rFonts w:hint="cs"/>
          <w:vanish/>
          <w:rtl/>
        </w:rPr>
        <w:instrText xml:space="preserve"> _</w:instrText>
      </w:r>
      <w:r w:rsidRPr="00C444C9">
        <w:rPr>
          <w:rStyle w:val="aff4"/>
          <w:rFonts w:hint="cs"/>
          <w:vanish/>
        </w:rPr>
        <w:instrText>Ref130417468 \r \h</w:instrText>
      </w:r>
      <w:r w:rsidRPr="00C444C9">
        <w:rPr>
          <w:rStyle w:val="aff4"/>
          <w:vanish/>
          <w:rtl/>
        </w:rPr>
        <w:instrText xml:space="preserve"> </w:instrText>
      </w:r>
      <w:r w:rsidRPr="00C444C9">
        <w:rPr>
          <w:rStyle w:val="aff4"/>
          <w:vanish/>
          <w:rtl/>
        </w:rPr>
      </w:r>
      <w:r w:rsidRPr="00C444C9">
        <w:rPr>
          <w:rStyle w:val="aff4"/>
          <w:vanish/>
          <w:rtl/>
        </w:rPr>
        <w:fldChar w:fldCharType="separate"/>
      </w:r>
      <w:r w:rsidR="00D82181">
        <w:rPr>
          <w:rStyle w:val="aff4"/>
          <w:vanish/>
          <w:cs/>
        </w:rPr>
        <w:t>‎</w:t>
      </w:r>
      <w:r w:rsidR="00D82181">
        <w:rPr>
          <w:rStyle w:val="aff4"/>
          <w:vanish/>
          <w:rtl/>
        </w:rPr>
        <w:t>כא)</w:t>
      </w:r>
      <w:r w:rsidRPr="00C444C9">
        <w:rPr>
          <w:rStyle w:val="aff4"/>
          <w:vanish/>
          <w:rtl/>
        </w:rPr>
        <w:fldChar w:fldCharType="end"/>
      </w:r>
      <w:r w:rsidRPr="00C444C9">
        <w:rPr>
          <w:rStyle w:val="aff4"/>
          <w:rFonts w:hint="cs"/>
          <w:vanish/>
          <w:rtl/>
        </w:rPr>
        <w:t xml:space="preserve"> &gt;</w:t>
      </w:r>
      <w:r w:rsidRPr="004F32D2">
        <w:rPr>
          <w:rStyle w:val="aff4"/>
          <w:rFonts w:hint="cs"/>
          <w:rtl/>
        </w:rPr>
        <w:t>ריטב"א</w:t>
      </w:r>
      <w:r w:rsidRPr="00C444C9">
        <w:rPr>
          <w:rStyle w:val="aff4"/>
          <w:rFonts w:hint="cs"/>
          <w:vanish/>
          <w:rtl/>
        </w:rPr>
        <w:t>-</w:t>
      </w:r>
      <w:r>
        <w:rPr>
          <w:rFonts w:hint="cs"/>
          <w:rtl/>
        </w:rPr>
        <w:t xml:space="preserve"> </w:t>
      </w:r>
      <w:r w:rsidRPr="002A0D0C">
        <w:rPr>
          <w:rStyle w:val="af2"/>
          <w:rFonts w:eastAsia="Guttman Hodes" w:hint="cs"/>
          <w:rtl/>
        </w:rPr>
        <w:t>(ד"ה תנא)</w:t>
      </w:r>
      <w:r>
        <w:rPr>
          <w:rFonts w:hint="cs"/>
          <w:vanish/>
          <w:rtl/>
        </w:rPr>
        <w:t>=</w:t>
      </w:r>
      <w:r>
        <w:rPr>
          <w:rFonts w:hint="cs"/>
          <w:rtl/>
        </w:rPr>
        <w:t xml:space="preserve"> דהחידוש בברייתא הוא דאעפ"י דכולם הם אבות, מ"מ חייב עליהם רק אחת, וכתב </w:t>
      </w:r>
      <w:r w:rsidRPr="00C444C9">
        <w:rPr>
          <w:rStyle w:val="aff4"/>
          <w:rFonts w:hint="cs"/>
          <w:vanish/>
          <w:rtl/>
        </w:rPr>
        <w:t>-</w:t>
      </w:r>
      <w:r w:rsidRPr="004F32D2">
        <w:rPr>
          <w:rStyle w:val="aff4"/>
          <w:rFonts w:hint="cs"/>
          <w:rtl/>
        </w:rPr>
        <w:t>הריטב"א</w:t>
      </w:r>
      <w:r w:rsidRPr="00C444C9">
        <w:rPr>
          <w:rStyle w:val="aff4"/>
          <w:rFonts w:hint="cs"/>
          <w:vanish/>
          <w:rtl/>
        </w:rPr>
        <w:t>-</w:t>
      </w:r>
      <w:r>
        <w:rPr>
          <w:rFonts w:hint="cs"/>
          <w:rtl/>
        </w:rPr>
        <w:t xml:space="preserve"> דהברייתא לא באה לחדש דין בזה, דהא גם דין זה נלמד או מסיפא דמתני' לעיל </w:t>
      </w:r>
      <w:r w:rsidRPr="002A0D0C">
        <w:rPr>
          <w:rStyle w:val="af2"/>
          <w:rFonts w:eastAsia="Guttman Hodes" w:hint="cs"/>
          <w:rtl/>
        </w:rPr>
        <w:t>(סח.)</w:t>
      </w:r>
      <w:r>
        <w:rPr>
          <w:rFonts w:hint="cs"/>
          <w:rtl/>
        </w:rPr>
        <w:t xml:space="preserve"> דהעושה מלאכות הרבה מעין מלאכה אחת אינו חייב אלא אחת, או מדתנן מנין של ל"ט מלאכות מוכח שיש רק ל"ט חטאות, והברייתא מפרשת את סתימת המשנה.</w:t>
      </w:r>
      <w:bookmarkEnd w:id="157"/>
    </w:p>
    <w:p w14:paraId="225FAC0E" w14:textId="77777777" w:rsidR="009623A2" w:rsidRPr="00747170" w:rsidRDefault="009623A2" w:rsidP="00747170">
      <w:pPr>
        <w:pStyle w:val="a2"/>
        <w:rPr>
          <w:rtl/>
        </w:rPr>
      </w:pPr>
      <w:r w:rsidRPr="00747170">
        <w:rPr>
          <w:rtl/>
        </w:rPr>
        <w:t>תנא הזורע והזומר [והנוטע] והמבריך והמרכיב כולן מלאכה אחת הן מאי קמ"ל שהעושה מלאכות הרבה מעין מלאכה אחת אינו חייב אלא אחת. פירוש כי אף על פי שהם כולן אבות, כחדא חשיבי אם עשאם כולם, והא נמי מדיוקא דמתני' הוה שמעינן לה, או מסיפא דקתני העושה מלאכות הרבה מעין מלאכה אחת אינו חייב אלא אחת, ואו מדקתני מנינא לאשמעינן דלית לן אלא ל"ט חטאות, אלא דתנא ברא מפרש מאי דסתים לן תנא דמתני'.</w:t>
      </w:r>
    </w:p>
    <w:p w14:paraId="4B584BC9" w14:textId="52081E89" w:rsidR="009623A2" w:rsidRDefault="009623A2" w:rsidP="009623A2">
      <w:pPr>
        <w:pStyle w:val="afffff7"/>
        <w:rPr>
          <w:rtl/>
        </w:rPr>
      </w:pPr>
      <w:bookmarkStart w:id="158" w:name="_Toc133841639"/>
      <w:bookmarkStart w:id="159" w:name="_Toc163505387"/>
      <w:r>
        <w:rPr>
          <w:rtl/>
        </w:rPr>
        <w:t>חדושי הריטב"א שבת ע"ג ע"ב</w:t>
      </w:r>
      <w:r>
        <w:rPr>
          <w:rFonts w:hint="cs"/>
          <w:rtl/>
        </w:rPr>
        <w:t xml:space="preserve"> ד"ה אימא</w:t>
      </w:r>
      <w:bookmarkEnd w:id="158"/>
      <w:bookmarkEnd w:id="159"/>
    </w:p>
    <w:p w14:paraId="1560286D" w14:textId="77777777" w:rsidR="009623A2" w:rsidRDefault="009623A2" w:rsidP="009623A2">
      <w:pPr>
        <w:pStyle w:val="a7"/>
        <w:rPr>
          <w:rtl/>
        </w:rPr>
      </w:pPr>
      <w:bookmarkStart w:id="160" w:name="_Toc134419587"/>
      <w:r>
        <w:rPr>
          <w:rFonts w:hint="cs"/>
          <w:rtl/>
        </w:rPr>
        <w:t>קו' הריטב"א בשם תוס' דאי זומר חייב רק משום נוטע אי עשה את שניהם יתחייב ב' חטאות</w:t>
      </w:r>
      <w:bookmarkEnd w:id="160"/>
    </w:p>
    <w:p w14:paraId="24FB9F3D" w14:textId="6E76A116" w:rsidR="009623A2" w:rsidRDefault="009623A2" w:rsidP="00BC7DC8">
      <w:pPr>
        <w:pStyle w:val="a3"/>
        <w:rPr>
          <w:rtl/>
        </w:rPr>
      </w:pPr>
      <w:bookmarkStart w:id="161" w:name="_Ref130417320"/>
      <w:r>
        <w:rPr>
          <w:rFonts w:hint="cs"/>
          <w:rtl/>
        </w:rPr>
        <w:t xml:space="preserve">במ"ש </w:t>
      </w:r>
      <w:r w:rsidRPr="00C444C9">
        <w:rPr>
          <w:rStyle w:val="aff4"/>
          <w:rFonts w:hint="cs"/>
          <w:vanish/>
          <w:rtl/>
        </w:rPr>
        <w:t>-</w:t>
      </w:r>
      <w:r w:rsidRPr="004F32D2">
        <w:rPr>
          <w:rStyle w:val="aff4"/>
          <w:rFonts w:hint="cs"/>
          <w:rtl/>
        </w:rPr>
        <w:t>רש"י</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Ref133823857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ב)</w:t>
      </w:r>
      <w:r>
        <w:rPr>
          <w:rStyle w:val="af2"/>
          <w:rFonts w:eastAsia="Guttman Hodes"/>
          <w:rtl/>
        </w:rPr>
        <w:fldChar w:fldCharType="end"/>
      </w:r>
      <w:r>
        <w:rPr>
          <w:rFonts w:hint="cs"/>
          <w:rtl/>
        </w:rPr>
        <w:t xml:space="preserve"> דתירוץ הגמ' דנוטע ומבריך ומרכיב חייב אף משום זורע, דאם עשה אותם יחד עם זורע חייב רק אחת, הביא </w:t>
      </w:r>
      <w:r w:rsidRPr="00C444C9">
        <w:rPr>
          <w:rStyle w:val="aff4"/>
          <w:rFonts w:hint="cs"/>
          <w:vanish/>
          <w:rtl/>
        </w:rPr>
        <w:t>-</w:t>
      </w:r>
      <w:r w:rsidRPr="004F32D2">
        <w:rPr>
          <w:rStyle w:val="aff4"/>
          <w:rFonts w:hint="cs"/>
          <w:rtl/>
        </w:rPr>
        <w:t>ה</w:t>
      </w:r>
      <w:r w:rsidRPr="00C444C9">
        <w:rPr>
          <w:rStyle w:val="aff4"/>
          <w:rFonts w:hint="cs"/>
          <w:vanish/>
          <w:rtl/>
        </w:rPr>
        <w:t xml:space="preserve">&lt;. </w:t>
      </w:r>
      <w:r w:rsidRPr="00C444C9">
        <w:rPr>
          <w:rStyle w:val="aff4"/>
          <w:vanish/>
          <w:rtl/>
        </w:rPr>
        <w:fldChar w:fldCharType="begin"/>
      </w:r>
      <w:r w:rsidRPr="00C444C9">
        <w:rPr>
          <w:rStyle w:val="aff4"/>
          <w:vanish/>
          <w:rtl/>
        </w:rPr>
        <w:instrText xml:space="preserve"> </w:instrText>
      </w:r>
      <w:r w:rsidRPr="00C444C9">
        <w:rPr>
          <w:rStyle w:val="aff4"/>
          <w:rFonts w:hint="cs"/>
          <w:vanish/>
        </w:rPr>
        <w:instrText>REF</w:instrText>
      </w:r>
      <w:r w:rsidRPr="00C444C9">
        <w:rPr>
          <w:rStyle w:val="aff4"/>
          <w:rFonts w:hint="cs"/>
          <w:vanish/>
          <w:rtl/>
        </w:rPr>
        <w:instrText xml:space="preserve"> _</w:instrText>
      </w:r>
      <w:r w:rsidRPr="00C444C9">
        <w:rPr>
          <w:rStyle w:val="aff4"/>
          <w:rFonts w:hint="cs"/>
          <w:vanish/>
        </w:rPr>
        <w:instrText>Ref130417320 \r \h</w:instrText>
      </w:r>
      <w:r w:rsidRPr="00C444C9">
        <w:rPr>
          <w:rStyle w:val="aff4"/>
          <w:vanish/>
          <w:rtl/>
        </w:rPr>
        <w:instrText xml:space="preserve"> </w:instrText>
      </w:r>
      <w:r w:rsidRPr="00C444C9">
        <w:rPr>
          <w:rStyle w:val="aff4"/>
          <w:vanish/>
          <w:rtl/>
        </w:rPr>
      </w:r>
      <w:r w:rsidRPr="00C444C9">
        <w:rPr>
          <w:rStyle w:val="aff4"/>
          <w:vanish/>
          <w:rtl/>
        </w:rPr>
        <w:fldChar w:fldCharType="separate"/>
      </w:r>
      <w:r w:rsidR="00D82181">
        <w:rPr>
          <w:rStyle w:val="aff4"/>
          <w:vanish/>
          <w:cs/>
        </w:rPr>
        <w:t>‎</w:t>
      </w:r>
      <w:r w:rsidR="00D82181">
        <w:rPr>
          <w:rStyle w:val="aff4"/>
          <w:vanish/>
          <w:rtl/>
        </w:rPr>
        <w:t>כב)</w:t>
      </w:r>
      <w:r w:rsidRPr="00C444C9">
        <w:rPr>
          <w:rStyle w:val="aff4"/>
          <w:vanish/>
          <w:rtl/>
        </w:rPr>
        <w:fldChar w:fldCharType="end"/>
      </w:r>
      <w:r w:rsidRPr="00C444C9">
        <w:rPr>
          <w:rStyle w:val="aff4"/>
          <w:rFonts w:hint="cs"/>
          <w:vanish/>
          <w:rtl/>
        </w:rPr>
        <w:t xml:space="preserve"> &gt;</w:t>
      </w:r>
      <w:r w:rsidRPr="004F32D2">
        <w:rPr>
          <w:rStyle w:val="aff4"/>
          <w:rFonts w:hint="cs"/>
          <w:rtl/>
        </w:rPr>
        <w:t>ריטב"א</w:t>
      </w:r>
      <w:r w:rsidRPr="00C444C9">
        <w:rPr>
          <w:rStyle w:val="aff4"/>
          <w:rFonts w:hint="cs"/>
          <w:vanish/>
          <w:rtl/>
        </w:rPr>
        <w:t>-</w:t>
      </w:r>
      <w:r>
        <w:rPr>
          <w:rFonts w:hint="cs"/>
          <w:rtl/>
        </w:rPr>
        <w:t xml:space="preserve"> </w:t>
      </w:r>
      <w:r>
        <w:rPr>
          <w:rStyle w:val="af2"/>
          <w:rFonts w:eastAsia="Guttman Hodes" w:hint="cs"/>
          <w:rtl/>
        </w:rPr>
        <w:t>(</w:t>
      </w:r>
      <w:r w:rsidRPr="002A0D0C">
        <w:rPr>
          <w:rStyle w:val="af2"/>
          <w:rFonts w:eastAsia="Guttman Hodes" w:hint="cs"/>
          <w:rtl/>
        </w:rPr>
        <w:t>ד"ה תנא)</w:t>
      </w:r>
      <w:r>
        <w:rPr>
          <w:rFonts w:hint="cs"/>
          <w:rtl/>
        </w:rPr>
        <w:t xml:space="preserve"> בשם </w:t>
      </w:r>
      <w:r w:rsidRPr="00C444C9">
        <w:rPr>
          <w:rStyle w:val="aff4"/>
          <w:rFonts w:hint="cs"/>
          <w:vanish/>
          <w:rtl/>
        </w:rPr>
        <w:t>-</w:t>
      </w:r>
      <w:r w:rsidRPr="004F32D2">
        <w:rPr>
          <w:rStyle w:val="aff4"/>
          <w:rFonts w:hint="cs"/>
          <w:rtl/>
        </w:rPr>
        <w:t>תוס'</w:t>
      </w:r>
      <w:r w:rsidRPr="00C444C9">
        <w:rPr>
          <w:rStyle w:val="aff4"/>
          <w:rFonts w:hint="cs"/>
          <w:vanish/>
          <w:rtl/>
        </w:rPr>
        <w:t>-</w:t>
      </w:r>
      <w:r>
        <w:rPr>
          <w:rFonts w:hint="cs"/>
          <w:vanish/>
          <w:rtl/>
        </w:rPr>
        <w:t>=</w:t>
      </w:r>
      <w:r>
        <w:rPr>
          <w:rFonts w:hint="cs"/>
          <w:rtl/>
        </w:rPr>
        <w:t xml:space="preserve"> דהקשו דאי חייב על זומר רק משום נוטע, א"כ אי עביד נוטע עם זורע יתחייב שתיים, ולא יתכן לומר כן דהא תני שהם מלאכה אחת, ועל כולם חייב רק אחת.</w:t>
      </w:r>
    </w:p>
    <w:p w14:paraId="64189F21" w14:textId="77777777" w:rsidR="009623A2" w:rsidRPr="00747170" w:rsidRDefault="009623A2" w:rsidP="00747170">
      <w:pPr>
        <w:pStyle w:val="a2"/>
      </w:pPr>
      <w:r w:rsidRPr="00747170">
        <w:rPr>
          <w:rtl/>
        </w:rPr>
        <w:t>אימא אף משום זורע. פרש"י ז"ל דאי עביד להו אף בהדי זורע לא מיחייב אלא חדא, והקשו בתוספות דא"כ זומר דחייב משום נוטע בלבד אי עביד להו בהדי זורע חייב תרתי, ואי אפשר לומר כן דהא קתני שכולם מלאכה אחת הן ואינו חייב על כולם אלא אחת</w:t>
      </w:r>
      <w:r w:rsidRPr="00747170">
        <w:rPr>
          <w:rFonts w:hint="cs"/>
          <w:rtl/>
        </w:rPr>
        <w:t>.</w:t>
      </w:r>
    </w:p>
    <w:p w14:paraId="1F9DA921" w14:textId="77777777" w:rsidR="009623A2" w:rsidRPr="009B59F4" w:rsidRDefault="009623A2" w:rsidP="009623A2">
      <w:pPr>
        <w:pStyle w:val="a7"/>
      </w:pPr>
      <w:bookmarkStart w:id="162" w:name="_Toc134419588"/>
      <w:r>
        <w:rPr>
          <w:rFonts w:hint="cs"/>
          <w:rtl/>
        </w:rPr>
        <w:t>תי' הריטב"א ברש"י דהא דאמרי' דחייב א' הוא רק בעשה כולם יחד אבל נוטע וזומר חייב ב'</w:t>
      </w:r>
      <w:bookmarkEnd w:id="162"/>
    </w:p>
    <w:p w14:paraId="7E6E1F4A" w14:textId="1503372C" w:rsidR="009623A2" w:rsidRPr="00A078BF" w:rsidRDefault="009623A2" w:rsidP="00BC7DC8">
      <w:pPr>
        <w:pStyle w:val="a3"/>
        <w:rPr>
          <w:rtl/>
        </w:rPr>
      </w:pPr>
      <w:r>
        <w:rPr>
          <w:rFonts w:hint="cs"/>
          <w:rtl/>
        </w:rPr>
        <w:t xml:space="preserve">ותירץ </w:t>
      </w:r>
      <w:r w:rsidRPr="00C444C9">
        <w:rPr>
          <w:rStyle w:val="aff4"/>
          <w:rFonts w:hint="cs"/>
          <w:vanish/>
          <w:rtl/>
        </w:rPr>
        <w:t>-</w:t>
      </w:r>
      <w:r w:rsidRPr="004F32D2">
        <w:rPr>
          <w:rStyle w:val="aff4"/>
          <w:rFonts w:hint="cs"/>
          <w:rtl/>
        </w:rPr>
        <w:t>הריטב"א</w:t>
      </w:r>
      <w:r w:rsidRPr="00C444C9">
        <w:rPr>
          <w:rStyle w:val="aff4"/>
          <w:rFonts w:hint="cs"/>
          <w:vanish/>
          <w:rtl/>
        </w:rPr>
        <w:t>-</w:t>
      </w:r>
      <w:r>
        <w:rPr>
          <w:rFonts w:hint="cs"/>
          <w:rtl/>
        </w:rPr>
        <w:t xml:space="preserve"> דס"ל </w:t>
      </w:r>
      <w:r w:rsidRPr="00C444C9">
        <w:rPr>
          <w:rStyle w:val="aff4"/>
          <w:rFonts w:hint="cs"/>
          <w:vanish/>
          <w:rtl/>
        </w:rPr>
        <w:t>-</w:t>
      </w:r>
      <w:r w:rsidRPr="004F32D2">
        <w:rPr>
          <w:rStyle w:val="aff4"/>
          <w:rFonts w:hint="cs"/>
          <w:rtl/>
        </w:rPr>
        <w:t>לרש"י</w:t>
      </w:r>
      <w:r w:rsidRPr="00C444C9">
        <w:rPr>
          <w:rStyle w:val="aff4"/>
          <w:rFonts w:hint="cs"/>
          <w:vanish/>
          <w:rtl/>
        </w:rPr>
        <w:t>-</w:t>
      </w:r>
      <w:r>
        <w:rPr>
          <w:rFonts w:hint="cs"/>
          <w:rtl/>
        </w:rPr>
        <w:t xml:space="preserve"> דהא דאמרינן דחייב רק אחת היינו דוקא באופן שעשה את כל המלאכות הללו יחד, דכיון שעשה את נוטע יחד עם זומר, הוא פטור על זומר, אבל אם עשה את מקצת מהמלאכות יש אופנים שהוא חייב שתים כגון זומר וזורע.</w:t>
      </w:r>
      <w:bookmarkEnd w:id="161"/>
    </w:p>
    <w:p w14:paraId="61B364F3" w14:textId="77777777" w:rsidR="009623A2" w:rsidRPr="00747170" w:rsidRDefault="009623A2" w:rsidP="00747170">
      <w:pPr>
        <w:pStyle w:val="a2"/>
        <w:rPr>
          <w:rtl/>
        </w:rPr>
      </w:pPr>
      <w:r w:rsidRPr="00747170">
        <w:rPr>
          <w:rtl/>
        </w:rPr>
        <w:t>נ"ל לתרץ לדעת רש"י ז"ל דהתם כשעשאם כולם דכיון דאיכא נוטע מיפטר אף זומר בהדי נוטע והיינו דפריש לן רב דבכולהו ליכא אלא חטאת אחת, אבל בעושה מקצתם בלבד אפשר שהוא חייב שתים כגון זומר וזורע</w:t>
      </w:r>
      <w:r w:rsidRPr="00747170">
        <w:rPr>
          <w:rFonts w:hint="cs"/>
          <w:rtl/>
        </w:rPr>
        <w:t>.</w:t>
      </w:r>
    </w:p>
    <w:p w14:paraId="3A349CEA" w14:textId="217D0207" w:rsidR="009623A2" w:rsidRDefault="009623A2" w:rsidP="009623A2">
      <w:pPr>
        <w:pStyle w:val="a7"/>
        <w:rPr>
          <w:rtl/>
        </w:rPr>
      </w:pPr>
      <w:bookmarkStart w:id="163" w:name="_Toc134419589"/>
      <w:r>
        <w:rPr>
          <w:rFonts w:hint="cs"/>
          <w:rtl/>
        </w:rPr>
        <w:t>קו' הריטב"א בשם תוס' דאי עשה יותר מלאכות חייב פחות חטאות והול"ל דחייב "אלא" אחת</w:t>
      </w:r>
      <w:bookmarkEnd w:id="163"/>
    </w:p>
    <w:p w14:paraId="0F74804C" w14:textId="77777777" w:rsidR="009623A2" w:rsidRDefault="009623A2" w:rsidP="00BC7DC8">
      <w:pPr>
        <w:pStyle w:val="a3"/>
        <w:rPr>
          <w:rtl/>
        </w:rPr>
      </w:pPr>
      <w:r>
        <w:rPr>
          <w:rFonts w:hint="cs"/>
          <w:rtl/>
        </w:rPr>
        <w:t xml:space="preserve">וכתב </w:t>
      </w:r>
      <w:r w:rsidRPr="00C444C9">
        <w:rPr>
          <w:rStyle w:val="aff4"/>
          <w:rFonts w:hint="cs"/>
          <w:vanish/>
          <w:rtl/>
        </w:rPr>
        <w:t>-</w:t>
      </w:r>
      <w:r w:rsidRPr="004F32D2">
        <w:rPr>
          <w:rStyle w:val="aff4"/>
          <w:rFonts w:hint="cs"/>
          <w:rtl/>
        </w:rPr>
        <w:t>הריטב"א</w:t>
      </w:r>
      <w:r w:rsidRPr="00C444C9">
        <w:rPr>
          <w:rStyle w:val="aff4"/>
          <w:rFonts w:hint="cs"/>
          <w:vanish/>
          <w:rtl/>
        </w:rPr>
        <w:t>-</w:t>
      </w:r>
      <w:r>
        <w:rPr>
          <w:rFonts w:hint="cs"/>
          <w:rtl/>
        </w:rPr>
        <w:t xml:space="preserve"> דא"כ אם עשה יותר מלאכות הוא חייב פחות קרבנות, והביא </w:t>
      </w:r>
      <w:r w:rsidRPr="00C444C9">
        <w:rPr>
          <w:rStyle w:val="aff4"/>
          <w:rFonts w:hint="cs"/>
          <w:vanish/>
          <w:rtl/>
        </w:rPr>
        <w:t>-</w:t>
      </w:r>
      <w:r w:rsidRPr="004F32D2">
        <w:rPr>
          <w:rStyle w:val="aff4"/>
          <w:rFonts w:hint="cs"/>
          <w:rtl/>
        </w:rPr>
        <w:t>הריטב"א</w:t>
      </w:r>
      <w:r w:rsidRPr="00C444C9">
        <w:rPr>
          <w:rStyle w:val="aff4"/>
          <w:rFonts w:hint="cs"/>
          <w:vanish/>
          <w:rtl/>
        </w:rPr>
        <w:t>-</w:t>
      </w:r>
      <w:r>
        <w:rPr>
          <w:rFonts w:hint="cs"/>
          <w:rtl/>
        </w:rPr>
        <w:t xml:space="preserve"> בשם </w:t>
      </w:r>
      <w:r w:rsidRPr="00C444C9">
        <w:rPr>
          <w:rStyle w:val="aff4"/>
          <w:rFonts w:hint="cs"/>
          <w:vanish/>
          <w:rtl/>
        </w:rPr>
        <w:t>-</w:t>
      </w:r>
      <w:r w:rsidRPr="004F32D2">
        <w:rPr>
          <w:rStyle w:val="aff4"/>
          <w:rFonts w:hint="cs"/>
          <w:rtl/>
        </w:rPr>
        <w:t>תוס'</w:t>
      </w:r>
      <w:r w:rsidRPr="00C444C9">
        <w:rPr>
          <w:rStyle w:val="aff4"/>
          <w:rFonts w:hint="cs"/>
          <w:vanish/>
          <w:rtl/>
        </w:rPr>
        <w:t>-</w:t>
      </w:r>
      <w:r>
        <w:rPr>
          <w:rFonts w:hint="cs"/>
          <w:rtl/>
        </w:rPr>
        <w:t xml:space="preserve"> דהקשו דא"כ לא היה לברייתא לומר דחייב משום כך אלא אחת.</w:t>
      </w:r>
    </w:p>
    <w:p w14:paraId="036A9B6F" w14:textId="77777777" w:rsidR="009623A2" w:rsidRPr="00747170" w:rsidRDefault="009623A2" w:rsidP="00747170">
      <w:pPr>
        <w:pStyle w:val="a2"/>
        <w:rPr>
          <w:rtl/>
        </w:rPr>
      </w:pPr>
      <w:r w:rsidRPr="00747170">
        <w:rPr>
          <w:rtl/>
        </w:rPr>
        <w:t>ונמצא ריבוי המלאכות ממעט הקרבנות ועוד הקשו בתוספות דא"כ לא הוה ליה למינקט לישנא דחייב משום כך</w:t>
      </w:r>
      <w:r w:rsidRPr="00747170">
        <w:rPr>
          <w:rFonts w:hint="cs"/>
          <w:rtl/>
        </w:rPr>
        <w:t>.</w:t>
      </w:r>
    </w:p>
    <w:p w14:paraId="2BD9B12A" w14:textId="397C8105" w:rsidR="009623A2" w:rsidRDefault="009623A2" w:rsidP="009623A2">
      <w:pPr>
        <w:pStyle w:val="1"/>
        <w:rPr>
          <w:rtl/>
        </w:rPr>
      </w:pPr>
      <w:bookmarkStart w:id="164" w:name="_Toc134419590"/>
      <w:r>
        <w:rPr>
          <w:rFonts w:hint="cs"/>
          <w:rtl/>
        </w:rPr>
        <w:t>בי' הריטב"א בתוס' דזומר משום נוטע להתראה וכולם הם אבות</w:t>
      </w:r>
      <w:bookmarkEnd w:id="164"/>
    </w:p>
    <w:p w14:paraId="596E68CE" w14:textId="77777777" w:rsidR="009623A2" w:rsidRPr="0001002D" w:rsidRDefault="009623A2" w:rsidP="009623A2">
      <w:pPr>
        <w:pStyle w:val="a7"/>
      </w:pPr>
      <w:bookmarkStart w:id="165" w:name="_Toc134419591"/>
      <w:r>
        <w:rPr>
          <w:rFonts w:hint="cs"/>
          <w:rtl/>
        </w:rPr>
        <w:t>בי' הריטב"א בשם תוס' דלענין התראה זומר אינו בכלל זורע דסבור שמלעיג בו</w:t>
      </w:r>
      <w:bookmarkEnd w:id="165"/>
    </w:p>
    <w:p w14:paraId="7BB78AC9" w14:textId="45B489AD" w:rsidR="009623A2" w:rsidRPr="007C1981" w:rsidRDefault="009623A2" w:rsidP="00BC7DC8">
      <w:pPr>
        <w:pStyle w:val="a3"/>
      </w:pPr>
      <w:bookmarkStart w:id="166" w:name="_Ref133834270"/>
      <w:r>
        <w:rPr>
          <w:rFonts w:hint="cs"/>
          <w:rtl/>
        </w:rPr>
        <w:t xml:space="preserve">והביא </w:t>
      </w:r>
      <w:r w:rsidRPr="00C444C9">
        <w:rPr>
          <w:rStyle w:val="aff4"/>
          <w:rFonts w:hint="cs"/>
          <w:vanish/>
          <w:rtl/>
        </w:rPr>
        <w:t>-</w:t>
      </w:r>
      <w:r w:rsidRPr="004F32D2">
        <w:rPr>
          <w:rStyle w:val="aff4"/>
          <w:rFonts w:hint="cs"/>
          <w:rtl/>
        </w:rPr>
        <w:t>הריטב"א</w:t>
      </w:r>
      <w:r w:rsidRPr="00C444C9">
        <w:rPr>
          <w:rStyle w:val="aff4"/>
          <w:rFonts w:hint="cs"/>
          <w:vanish/>
          <w:rtl/>
        </w:rPr>
        <w:t>-</w:t>
      </w:r>
      <w:r>
        <w:rPr>
          <w:rFonts w:hint="cs"/>
          <w:rtl/>
        </w:rPr>
        <w:t xml:space="preserve"> </w:t>
      </w:r>
      <w:r>
        <w:rPr>
          <w:rStyle w:val="af2"/>
          <w:rFonts w:eastAsia="Guttman Hodes" w:hint="cs"/>
          <w:rtl/>
        </w:rPr>
        <w:t>(</w:t>
      </w:r>
      <w:r w:rsidRPr="002A0D0C">
        <w:rPr>
          <w:rStyle w:val="af2"/>
          <w:rFonts w:eastAsia="Guttman Hodes" w:hint="cs"/>
          <w:rtl/>
        </w:rPr>
        <w:t>ד"ה תנא)</w:t>
      </w:r>
      <w:r>
        <w:rPr>
          <w:rFonts w:hint="cs"/>
          <w:rtl/>
        </w:rPr>
        <w:t xml:space="preserve"> דלכן ביאר </w:t>
      </w:r>
      <w:r w:rsidRPr="00C444C9">
        <w:rPr>
          <w:rStyle w:val="aff4"/>
          <w:rFonts w:hint="cs"/>
          <w:vanish/>
          <w:rtl/>
        </w:rPr>
        <w:t>-</w:t>
      </w:r>
      <w:r w:rsidRPr="004F32D2">
        <w:rPr>
          <w:rStyle w:val="aff4"/>
          <w:rFonts w:hint="cs"/>
          <w:rtl/>
        </w:rPr>
        <w:t>ר"י בתוס'</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Ref133361034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יא)</w:t>
      </w:r>
      <w:r>
        <w:rPr>
          <w:rStyle w:val="af2"/>
          <w:rFonts w:eastAsia="Guttman Hodes"/>
          <w:rtl/>
        </w:rPr>
        <w:fldChar w:fldCharType="end"/>
      </w:r>
      <w:r>
        <w:rPr>
          <w:rFonts w:hint="cs"/>
          <w:rtl/>
        </w:rPr>
        <w:t xml:space="preserve"> דהא דאמרינן דזומר חייב משום נוטע, היינו לענין התראה, שאם זמר והתרו בו משום נוטע חייב, אבל אם התרו בו משום זורע פטור, דכשהוא זומר אינו מעלה בדעתו שעושה מלאכה שיש בה איסור זורע, וסובר שהמתרה מלעיג בו, וכתב </w:t>
      </w:r>
      <w:r w:rsidRPr="00C444C9">
        <w:rPr>
          <w:rStyle w:val="aff4"/>
          <w:rFonts w:hint="cs"/>
          <w:vanish/>
          <w:rtl/>
        </w:rPr>
        <w:t>-</w:t>
      </w:r>
      <w:r w:rsidRPr="004F32D2">
        <w:rPr>
          <w:rStyle w:val="aff4"/>
          <w:rFonts w:hint="cs"/>
          <w:rtl/>
        </w:rPr>
        <w:t>הריטב"א</w:t>
      </w:r>
      <w:r w:rsidRPr="00C444C9">
        <w:rPr>
          <w:rStyle w:val="aff4"/>
          <w:rFonts w:hint="cs"/>
          <w:vanish/>
          <w:rtl/>
        </w:rPr>
        <w:t>-</w:t>
      </w:r>
      <w:r>
        <w:rPr>
          <w:rFonts w:hint="cs"/>
          <w:rtl/>
        </w:rPr>
        <w:t xml:space="preserve"> דלפי"ז מבואר הא דתני בברייתא דכולן מלאכה אחת, הוא לענין דאינו חייב אלא אחת, ולא ביארה הברייתא את הדין לענין התראה, כיון דלענין התראה זומר אינו</w:t>
      </w:r>
      <w:r w:rsidRPr="00997C24">
        <w:rPr>
          <w:rFonts w:hint="cs"/>
          <w:rtl/>
        </w:rPr>
        <w:t xml:space="preserve"> </w:t>
      </w:r>
      <w:r>
        <w:rPr>
          <w:rFonts w:hint="cs"/>
          <w:rtl/>
        </w:rPr>
        <w:t>בכלל זורע.</w:t>
      </w:r>
      <w:bookmarkEnd w:id="166"/>
    </w:p>
    <w:p w14:paraId="4B544D0F" w14:textId="77777777" w:rsidR="009623A2" w:rsidRPr="00747170" w:rsidRDefault="009623A2" w:rsidP="00747170">
      <w:pPr>
        <w:pStyle w:val="a2"/>
        <w:rPr>
          <w:rtl/>
        </w:rPr>
      </w:pPr>
      <w:r w:rsidRPr="00747170">
        <w:rPr>
          <w:rtl/>
        </w:rPr>
        <w:t>לכך פירש ר"י ז"ל דלענין התראה קאמר שאם התרו בזומר משום נוטע חייב אבל אם התרו בו משום זורע פטור, דלא מסיק הזומר אדעתיה דעביד מלאכה שיש בה משום זורע וסבור הוא דאחוכי מחייכי ביה, ובהכי ניחא הא דמפרש לעיל כולן מלאכה אחת הן לענין שאינו חייב אלא [אחת ולא] פירשו דלענין התראה קאמר דהא לא הוי זומר בכלל זורע ע"כ.</w:t>
      </w:r>
    </w:p>
    <w:p w14:paraId="7C1D2504" w14:textId="0E0EB241" w:rsidR="009623A2" w:rsidRDefault="009623A2" w:rsidP="009623A2">
      <w:pPr>
        <w:pStyle w:val="afffff7"/>
        <w:rPr>
          <w:rtl/>
        </w:rPr>
      </w:pPr>
      <w:bookmarkStart w:id="167" w:name="_Toc133841640"/>
      <w:bookmarkStart w:id="168" w:name="_Toc163505388"/>
      <w:r>
        <w:rPr>
          <w:rtl/>
        </w:rPr>
        <w:t>חדושי הריטב"א שבת ע"ג ע"ב</w:t>
      </w:r>
      <w:r>
        <w:rPr>
          <w:rFonts w:hint="cs"/>
          <w:rtl/>
        </w:rPr>
        <w:t xml:space="preserve"> ד"ה ואומרים</w:t>
      </w:r>
      <w:bookmarkEnd w:id="167"/>
      <w:bookmarkEnd w:id="168"/>
    </w:p>
    <w:p w14:paraId="0522123A" w14:textId="77777777" w:rsidR="009623A2" w:rsidRDefault="009623A2" w:rsidP="009623A2">
      <w:pPr>
        <w:pStyle w:val="a7"/>
        <w:rPr>
          <w:rtl/>
        </w:rPr>
      </w:pPr>
      <w:bookmarkStart w:id="169" w:name="_Toc134419592"/>
      <w:r>
        <w:rPr>
          <w:rFonts w:hint="cs"/>
          <w:rtl/>
        </w:rPr>
        <w:t>בי' הריטב"א בשם תוס' דכל המלאכות הם אבות והמתרה בשם האב פטור דסבור שמלעיג בו</w:t>
      </w:r>
      <w:bookmarkEnd w:id="169"/>
    </w:p>
    <w:p w14:paraId="0721F3A5" w14:textId="7482D0BC" w:rsidR="009623A2" w:rsidRPr="001B587C" w:rsidRDefault="009623A2" w:rsidP="00BC7DC8">
      <w:pPr>
        <w:pStyle w:val="a3"/>
        <w:rPr>
          <w:rtl/>
        </w:rPr>
      </w:pPr>
      <w:bookmarkStart w:id="170" w:name="_Ref130417332"/>
      <w:r>
        <w:rPr>
          <w:rFonts w:hint="cs"/>
          <w:rtl/>
        </w:rPr>
        <w:t xml:space="preserve">הביא </w:t>
      </w:r>
      <w:r w:rsidRPr="00C444C9">
        <w:rPr>
          <w:rStyle w:val="aff4"/>
          <w:rFonts w:hint="cs"/>
          <w:vanish/>
          <w:rtl/>
        </w:rPr>
        <w:t>-</w:t>
      </w:r>
      <w:r w:rsidRPr="004F32D2">
        <w:rPr>
          <w:rStyle w:val="aff4"/>
          <w:rFonts w:hint="cs"/>
          <w:rtl/>
        </w:rPr>
        <w:t>ה</w:t>
      </w:r>
      <w:r w:rsidRPr="00C444C9">
        <w:rPr>
          <w:rStyle w:val="aff4"/>
          <w:rFonts w:hint="cs"/>
          <w:vanish/>
          <w:rtl/>
        </w:rPr>
        <w:t xml:space="preserve">&lt;. </w:t>
      </w:r>
      <w:r w:rsidRPr="00C444C9">
        <w:rPr>
          <w:rStyle w:val="aff4"/>
          <w:vanish/>
          <w:rtl/>
        </w:rPr>
        <w:fldChar w:fldCharType="begin"/>
      </w:r>
      <w:r w:rsidRPr="00C444C9">
        <w:rPr>
          <w:rStyle w:val="aff4"/>
          <w:vanish/>
          <w:rtl/>
        </w:rPr>
        <w:instrText xml:space="preserve"> </w:instrText>
      </w:r>
      <w:r w:rsidRPr="00C444C9">
        <w:rPr>
          <w:rStyle w:val="aff4"/>
          <w:rFonts w:hint="cs"/>
          <w:vanish/>
        </w:rPr>
        <w:instrText>REF</w:instrText>
      </w:r>
      <w:r w:rsidRPr="00C444C9">
        <w:rPr>
          <w:rStyle w:val="aff4"/>
          <w:rFonts w:hint="cs"/>
          <w:vanish/>
          <w:rtl/>
        </w:rPr>
        <w:instrText xml:space="preserve"> _</w:instrText>
      </w:r>
      <w:r w:rsidRPr="00C444C9">
        <w:rPr>
          <w:rStyle w:val="aff4"/>
          <w:rFonts w:hint="cs"/>
          <w:vanish/>
        </w:rPr>
        <w:instrText>Ref130417332 \r \h</w:instrText>
      </w:r>
      <w:r w:rsidRPr="00C444C9">
        <w:rPr>
          <w:rStyle w:val="aff4"/>
          <w:vanish/>
          <w:rtl/>
        </w:rPr>
        <w:instrText xml:space="preserve"> </w:instrText>
      </w:r>
      <w:r w:rsidRPr="00C444C9">
        <w:rPr>
          <w:rStyle w:val="aff4"/>
          <w:vanish/>
          <w:rtl/>
        </w:rPr>
      </w:r>
      <w:r w:rsidRPr="00C444C9">
        <w:rPr>
          <w:rStyle w:val="aff4"/>
          <w:vanish/>
          <w:rtl/>
        </w:rPr>
        <w:fldChar w:fldCharType="separate"/>
      </w:r>
      <w:r w:rsidR="00D82181">
        <w:rPr>
          <w:rStyle w:val="aff4"/>
          <w:vanish/>
          <w:cs/>
        </w:rPr>
        <w:t>‎</w:t>
      </w:r>
      <w:r w:rsidR="00D82181">
        <w:rPr>
          <w:rStyle w:val="aff4"/>
          <w:vanish/>
          <w:rtl/>
        </w:rPr>
        <w:t>כו)</w:t>
      </w:r>
      <w:r w:rsidRPr="00C444C9">
        <w:rPr>
          <w:rStyle w:val="aff4"/>
          <w:vanish/>
          <w:rtl/>
        </w:rPr>
        <w:fldChar w:fldCharType="end"/>
      </w:r>
      <w:r w:rsidRPr="00C444C9">
        <w:rPr>
          <w:rStyle w:val="aff4"/>
          <w:rFonts w:hint="cs"/>
          <w:vanish/>
          <w:rtl/>
        </w:rPr>
        <w:t xml:space="preserve"> &gt;</w:t>
      </w:r>
      <w:r w:rsidRPr="004F32D2">
        <w:rPr>
          <w:rStyle w:val="aff4"/>
          <w:rFonts w:hint="cs"/>
          <w:rtl/>
        </w:rPr>
        <w:t>ריטב"א</w:t>
      </w:r>
      <w:r w:rsidRPr="00C444C9">
        <w:rPr>
          <w:rStyle w:val="aff4"/>
          <w:rFonts w:hint="cs"/>
          <w:vanish/>
          <w:rtl/>
        </w:rPr>
        <w:t>-</w:t>
      </w:r>
      <w:r>
        <w:rPr>
          <w:rFonts w:hint="cs"/>
          <w:rtl/>
        </w:rPr>
        <w:t xml:space="preserve"> </w:t>
      </w:r>
      <w:r w:rsidRPr="002A0D0C">
        <w:rPr>
          <w:rStyle w:val="af2"/>
          <w:rFonts w:eastAsia="Guttman Hodes" w:hint="cs"/>
          <w:rtl/>
        </w:rPr>
        <w:t>(ד"ה ואומרים)</w:t>
      </w:r>
      <w:r>
        <w:rPr>
          <w:rFonts w:hint="cs"/>
          <w:rtl/>
        </w:rPr>
        <w:t xml:space="preserve"> בשם</w:t>
      </w:r>
      <w:r>
        <w:rPr>
          <w:rFonts w:hint="cs"/>
          <w:vanish/>
          <w:rtl/>
        </w:rPr>
        <w:t>=</w:t>
      </w:r>
      <w:r>
        <w:rPr>
          <w:rFonts w:hint="cs"/>
          <w:rtl/>
        </w:rPr>
        <w:t xml:space="preserve"> </w:t>
      </w:r>
      <w:r w:rsidRPr="00C444C9">
        <w:rPr>
          <w:rStyle w:val="aff4"/>
          <w:rFonts w:hint="cs"/>
          <w:vanish/>
          <w:rtl/>
        </w:rPr>
        <w:t>-</w:t>
      </w:r>
      <w:r w:rsidRPr="004F32D2">
        <w:rPr>
          <w:rStyle w:val="aff4"/>
          <w:rFonts w:hint="cs"/>
          <w:rtl/>
        </w:rPr>
        <w:t>ה</w:t>
      </w:r>
      <w:r w:rsidRPr="00C444C9">
        <w:rPr>
          <w:rStyle w:val="aff4"/>
          <w:rFonts w:hint="cs"/>
          <w:vanish/>
          <w:rtl/>
        </w:rPr>
        <w:t>&lt; &gt;</w:t>
      </w:r>
      <w:r w:rsidRPr="004F32D2">
        <w:rPr>
          <w:rStyle w:val="aff4"/>
          <w:rFonts w:hint="cs"/>
          <w:rtl/>
        </w:rPr>
        <w:t>תוס'</w:t>
      </w:r>
      <w:r w:rsidRPr="00C444C9">
        <w:rPr>
          <w:rStyle w:val="aff4"/>
          <w:rFonts w:hint="cs"/>
          <w:vanish/>
          <w:rtl/>
        </w:rPr>
        <w:t>-</w:t>
      </w:r>
      <w:r>
        <w:rPr>
          <w:rFonts w:hint="cs"/>
          <w:vanish/>
          <w:rtl/>
        </w:rPr>
        <w:t>=</w:t>
      </w:r>
      <w:r>
        <w:rPr>
          <w:rFonts w:hint="cs"/>
          <w:rtl/>
        </w:rPr>
        <w:t xml:space="preserve"> דביארו דכל המלאכות הללו הם אבות, דכן משמע בתוספתא דכולם הם מלאכה אחת, וכשבאים לומר על מלאכה דהיא תולדה, אמרינן כן להדיא, וביאר </w:t>
      </w:r>
      <w:r w:rsidRPr="00C444C9">
        <w:rPr>
          <w:rStyle w:val="aff4"/>
          <w:rFonts w:hint="cs"/>
          <w:vanish/>
          <w:rtl/>
        </w:rPr>
        <w:t>-</w:t>
      </w:r>
      <w:r w:rsidRPr="004F32D2">
        <w:rPr>
          <w:rStyle w:val="aff4"/>
          <w:rFonts w:hint="cs"/>
          <w:rtl/>
        </w:rPr>
        <w:t>הריטב"א</w:t>
      </w:r>
      <w:r w:rsidRPr="00C444C9">
        <w:rPr>
          <w:rStyle w:val="aff4"/>
          <w:rFonts w:hint="cs"/>
          <w:vanish/>
          <w:rtl/>
        </w:rPr>
        <w:t>-</w:t>
      </w:r>
      <w:r>
        <w:rPr>
          <w:rFonts w:hint="cs"/>
          <w:rtl/>
        </w:rPr>
        <w:t xml:space="preserve"> דאם התרה על כל אחת מהם בשם המלאכה עצמה שעושה הוא  חייב, והחידוש הוא דהמתרה על זומר משום זורע פטור, דסובר שהוא מלעיג בו, </w:t>
      </w:r>
      <w:r w:rsidRPr="002A0D0C">
        <w:rPr>
          <w:rStyle w:val="af"/>
          <w:rFonts w:hint="cs"/>
          <w:rtl/>
        </w:rPr>
        <w:t xml:space="preserve">[כדביאר </w:t>
      </w:r>
      <w:r w:rsidRPr="001145E2">
        <w:rPr>
          <w:rStyle w:val="aff9"/>
          <w:rFonts w:hint="cs"/>
          <w:vanish/>
          <w:rtl/>
        </w:rPr>
        <w:t>-</w:t>
      </w:r>
      <w:r w:rsidRPr="002A0D0C">
        <w:rPr>
          <w:rStyle w:val="aff9"/>
          <w:rFonts w:hint="cs"/>
          <w:rtl/>
        </w:rPr>
        <w:t>הריטב"א</w:t>
      </w:r>
      <w:r w:rsidRPr="001145E2">
        <w:rPr>
          <w:rStyle w:val="aff9"/>
          <w:rFonts w:hint="cs"/>
          <w:vanish/>
          <w:rtl/>
        </w:rPr>
        <w:t>-</w:t>
      </w:r>
      <w:r w:rsidRPr="002A0D0C">
        <w:rPr>
          <w:rStyle w:val="af"/>
          <w:rFonts w:hint="cs"/>
          <w:rtl/>
        </w:rPr>
        <w:t xml:space="preserve"> </w:t>
      </w:r>
      <w:r w:rsidRPr="002A0D0C">
        <w:rPr>
          <w:rStyle w:val="aff5"/>
          <w:rFonts w:hint="cs"/>
          <w:rtl/>
        </w:rPr>
        <w:t xml:space="preserve">(עי' אות </w:t>
      </w:r>
      <w:r>
        <w:rPr>
          <w:rStyle w:val="aff5"/>
          <w:rtl/>
        </w:rPr>
        <w:fldChar w:fldCharType="begin"/>
      </w:r>
      <w:r>
        <w:rPr>
          <w:rStyle w:val="aff5"/>
          <w:rtl/>
        </w:rPr>
        <w:instrText xml:space="preserve"> </w:instrText>
      </w:r>
      <w:r>
        <w:rPr>
          <w:rStyle w:val="aff5"/>
          <w:rFonts w:hint="cs"/>
        </w:rPr>
        <w:instrText>REF</w:instrText>
      </w:r>
      <w:r>
        <w:rPr>
          <w:rStyle w:val="aff5"/>
          <w:rFonts w:hint="cs"/>
          <w:rtl/>
        </w:rPr>
        <w:instrText xml:space="preserve"> _</w:instrText>
      </w:r>
      <w:r>
        <w:rPr>
          <w:rStyle w:val="aff5"/>
          <w:rFonts w:hint="cs"/>
        </w:rPr>
        <w:instrText>Ref133834270 \r \h</w:instrText>
      </w:r>
      <w:r>
        <w:rPr>
          <w:rStyle w:val="aff5"/>
          <w:rtl/>
        </w:rPr>
        <w:instrText xml:space="preserve"> </w:instrText>
      </w:r>
      <w:r>
        <w:rPr>
          <w:rStyle w:val="aff5"/>
          <w:rtl/>
        </w:rPr>
      </w:r>
      <w:r>
        <w:rPr>
          <w:rStyle w:val="aff5"/>
          <w:rtl/>
        </w:rPr>
        <w:fldChar w:fldCharType="separate"/>
      </w:r>
      <w:r w:rsidR="00D82181">
        <w:rPr>
          <w:rStyle w:val="aff5"/>
          <w:cs/>
        </w:rPr>
        <w:t>‎</w:t>
      </w:r>
      <w:r w:rsidR="00D82181">
        <w:rPr>
          <w:rStyle w:val="aff5"/>
          <w:rtl/>
        </w:rPr>
        <w:t>כה)</w:t>
      </w:r>
      <w:r>
        <w:rPr>
          <w:rStyle w:val="aff5"/>
          <w:rtl/>
        </w:rPr>
        <w:fldChar w:fldCharType="end"/>
      </w:r>
      <w:r w:rsidRPr="002A0D0C">
        <w:rPr>
          <w:rStyle w:val="af"/>
          <w:rFonts w:hint="cs"/>
          <w:rtl/>
        </w:rPr>
        <w:t>]</w:t>
      </w:r>
      <w:r w:rsidRPr="00345748">
        <w:rPr>
          <w:rStyle w:val="af"/>
          <w:rFonts w:hint="cs"/>
          <w:rtl/>
        </w:rPr>
        <w:t>,</w:t>
      </w:r>
      <w:r>
        <w:rPr>
          <w:rFonts w:hint="cs"/>
          <w:rtl/>
        </w:rPr>
        <w:t xml:space="preserve"> וכתב </w:t>
      </w:r>
      <w:r w:rsidRPr="00C444C9">
        <w:rPr>
          <w:rStyle w:val="aff4"/>
          <w:rFonts w:hint="cs"/>
          <w:vanish/>
          <w:rtl/>
        </w:rPr>
        <w:t>-</w:t>
      </w:r>
      <w:r w:rsidRPr="004F32D2">
        <w:rPr>
          <w:rStyle w:val="aff4"/>
          <w:rFonts w:hint="cs"/>
          <w:rtl/>
        </w:rPr>
        <w:t>הריטב"א</w:t>
      </w:r>
      <w:r w:rsidRPr="00C444C9">
        <w:rPr>
          <w:rStyle w:val="aff4"/>
          <w:rFonts w:hint="cs"/>
          <w:vanish/>
          <w:rtl/>
        </w:rPr>
        <w:t>-</w:t>
      </w:r>
      <w:r>
        <w:rPr>
          <w:rFonts w:hint="cs"/>
          <w:rtl/>
        </w:rPr>
        <w:t xml:space="preserve"> דהמתרה בתולדה בשם שלה עצמה, ולא בשם של האב נחלקו בזה </w:t>
      </w:r>
      <w:r w:rsidRPr="00C444C9">
        <w:rPr>
          <w:rStyle w:val="aff4"/>
          <w:rFonts w:hint="cs"/>
          <w:vanish/>
          <w:rtl/>
        </w:rPr>
        <w:t>-</w:t>
      </w:r>
      <w:r w:rsidRPr="004F32D2">
        <w:rPr>
          <w:rStyle w:val="aff4"/>
          <w:rFonts w:hint="cs"/>
          <w:rtl/>
        </w:rPr>
        <w:t>בתוס' לקמן</w:t>
      </w:r>
      <w:r w:rsidRPr="00C444C9">
        <w:rPr>
          <w:rStyle w:val="aff4"/>
          <w:rFonts w:hint="cs"/>
          <w:vanish/>
          <w:rtl/>
        </w:rPr>
        <w:t>-</w:t>
      </w:r>
      <w:r>
        <w:rPr>
          <w:rFonts w:hint="cs"/>
          <w:rtl/>
        </w:rPr>
        <w:t xml:space="preserve"> וציין למה שביאר </w:t>
      </w:r>
      <w:r w:rsidRPr="00C444C9">
        <w:rPr>
          <w:rStyle w:val="aff4"/>
          <w:rFonts w:hint="cs"/>
          <w:vanish/>
          <w:rtl/>
        </w:rPr>
        <w:t>-</w:t>
      </w:r>
      <w:r w:rsidRPr="004F32D2">
        <w:rPr>
          <w:rStyle w:val="aff4"/>
          <w:rFonts w:hint="cs"/>
          <w:rtl/>
        </w:rPr>
        <w:t>הריטב"א לקמן</w:t>
      </w:r>
      <w:r w:rsidRPr="00C444C9">
        <w:rPr>
          <w:rStyle w:val="aff4"/>
          <w:rFonts w:hint="cs"/>
          <w:vanish/>
          <w:rtl/>
        </w:rPr>
        <w:t>-</w:t>
      </w:r>
      <w:r>
        <w:rPr>
          <w:rFonts w:hint="cs"/>
          <w:rtl/>
        </w:rPr>
        <w:t xml:space="preserve"> </w:t>
      </w:r>
      <w:r w:rsidRPr="002A0D0C">
        <w:rPr>
          <w:rStyle w:val="af2"/>
          <w:rFonts w:eastAsia="Guttman Hodes" w:hint="cs"/>
          <w:rtl/>
        </w:rPr>
        <w:t>(</w:t>
      </w:r>
      <w:r>
        <w:rPr>
          <w:rStyle w:val="af2"/>
          <w:rFonts w:eastAsia="Guttman Hodes" w:hint="cs"/>
          <w:rtl/>
        </w:rPr>
        <w:t>צו: ד"ה ומהדרינן</w:t>
      </w:r>
      <w:r w:rsidRPr="002A0D0C">
        <w:rPr>
          <w:rStyle w:val="af2"/>
          <w:rFonts w:eastAsia="Guttman Hodes" w:hint="cs"/>
          <w:rtl/>
        </w:rPr>
        <w:t>)</w:t>
      </w:r>
      <w:r>
        <w:rPr>
          <w:rFonts w:hint="cs"/>
          <w:rtl/>
        </w:rPr>
        <w:t>.</w:t>
      </w:r>
      <w:bookmarkEnd w:id="170"/>
    </w:p>
    <w:p w14:paraId="3C8CB9BD" w14:textId="77777777" w:rsidR="009623A2" w:rsidRPr="00747170" w:rsidRDefault="009623A2" w:rsidP="00747170">
      <w:pPr>
        <w:pStyle w:val="a2"/>
        <w:rPr>
          <w:rtl/>
        </w:rPr>
      </w:pPr>
      <w:r w:rsidRPr="00747170">
        <w:rPr>
          <w:rtl/>
        </w:rPr>
        <w:t>ואומרים בתוספות דכולהו אבות נינהו, כדמשמע לישנא דתוספתא גופא דקתני כולן מלאכה אחת הן, וכי בעי למימר דהוי תולדה מפרש לה בהדיא, ואילו התרה בכל אחת מהן משום עצמה חיובי מחייב אלא דאשמעינן רב דלאתרויי בזומר משום זורע לא מיחייב מטעמא דאמרן, ולענין התולדה אי מיחייב משום התראה דנפשה נמי או לא מיחייב אלא בהתראה דאב דידה, פלוגתא היא בתוספות ולקמן (צ"ו ב') נפרש בס"ד.</w:t>
      </w:r>
    </w:p>
    <w:p w14:paraId="7DBE555B" w14:textId="1F6B76AA" w:rsidR="009623A2" w:rsidRPr="004F33B2" w:rsidRDefault="009623A2" w:rsidP="009623A2">
      <w:pPr>
        <w:pStyle w:val="1"/>
        <w:rPr>
          <w:rtl/>
        </w:rPr>
      </w:pPr>
      <w:bookmarkStart w:id="171" w:name="_Toc134419593"/>
      <w:r>
        <w:rPr>
          <w:rFonts w:hint="cs"/>
          <w:rtl/>
        </w:rPr>
        <w:t>בי' רבו של הריטב"א דרק זורע ונוטע אבות והשאר תולדות</w:t>
      </w:r>
      <w:bookmarkEnd w:id="171"/>
      <w:r>
        <w:rPr>
          <w:rFonts w:hint="cs"/>
          <w:rtl/>
        </w:rPr>
        <w:t xml:space="preserve"> </w:t>
      </w:r>
    </w:p>
    <w:p w14:paraId="09DD9220" w14:textId="77777777" w:rsidR="009623A2" w:rsidRDefault="009623A2" w:rsidP="009623A2">
      <w:pPr>
        <w:pStyle w:val="afffff7"/>
        <w:rPr>
          <w:rtl/>
        </w:rPr>
      </w:pPr>
      <w:bookmarkStart w:id="172" w:name="_Toc133841641"/>
      <w:bookmarkStart w:id="173" w:name="_Toc163505389"/>
      <w:r>
        <w:rPr>
          <w:rtl/>
        </w:rPr>
        <w:t>חדושי הריטב"א שבת ע"ג ע"ב</w:t>
      </w:r>
      <w:r>
        <w:rPr>
          <w:rFonts w:hint="cs"/>
          <w:rtl/>
        </w:rPr>
        <w:t xml:space="preserve"> ד"ה ומורי</w:t>
      </w:r>
      <w:bookmarkEnd w:id="172"/>
      <w:bookmarkEnd w:id="173"/>
    </w:p>
    <w:p w14:paraId="143B9817" w14:textId="77777777" w:rsidR="009623A2" w:rsidRDefault="009623A2" w:rsidP="009623A2">
      <w:pPr>
        <w:pStyle w:val="a7"/>
        <w:rPr>
          <w:rtl/>
        </w:rPr>
      </w:pPr>
      <w:bookmarkStart w:id="174" w:name="_Toc134419594"/>
      <w:r>
        <w:rPr>
          <w:rFonts w:hint="cs"/>
          <w:rtl/>
        </w:rPr>
        <w:t>בי' הריטב"א בשם רבו דכולם מלאכה א' דרק זורע ונוטע הם אבות ושאר המלאכות הם תולדות</w:t>
      </w:r>
      <w:bookmarkEnd w:id="174"/>
    </w:p>
    <w:p w14:paraId="4D466240" w14:textId="546F25D5" w:rsidR="009623A2" w:rsidRPr="00F7761B" w:rsidRDefault="009623A2" w:rsidP="00BC7DC8">
      <w:pPr>
        <w:pStyle w:val="a3"/>
        <w:rPr>
          <w:rtl/>
        </w:rPr>
      </w:pPr>
      <w:bookmarkStart w:id="175" w:name="_Ref130417338"/>
      <w:r>
        <w:rPr>
          <w:rFonts w:hint="cs"/>
          <w:rtl/>
        </w:rPr>
        <w:t xml:space="preserve">הביא </w:t>
      </w:r>
      <w:r w:rsidRPr="00C444C9">
        <w:rPr>
          <w:rStyle w:val="aff4"/>
          <w:rFonts w:hint="cs"/>
          <w:vanish/>
          <w:rtl/>
        </w:rPr>
        <w:t>-</w:t>
      </w:r>
      <w:r w:rsidRPr="004F32D2">
        <w:rPr>
          <w:rStyle w:val="aff4"/>
          <w:rFonts w:hint="cs"/>
          <w:rtl/>
        </w:rPr>
        <w:t>ה</w:t>
      </w:r>
      <w:r w:rsidRPr="00C444C9">
        <w:rPr>
          <w:rStyle w:val="aff4"/>
          <w:rFonts w:hint="cs"/>
          <w:vanish/>
          <w:rtl/>
        </w:rPr>
        <w:t xml:space="preserve">&lt;. </w:t>
      </w:r>
      <w:r w:rsidRPr="00C444C9">
        <w:rPr>
          <w:rStyle w:val="aff4"/>
          <w:vanish/>
          <w:rtl/>
        </w:rPr>
        <w:fldChar w:fldCharType="begin"/>
      </w:r>
      <w:r w:rsidRPr="00C444C9">
        <w:rPr>
          <w:rStyle w:val="aff4"/>
          <w:vanish/>
          <w:rtl/>
        </w:rPr>
        <w:instrText xml:space="preserve"> </w:instrText>
      </w:r>
      <w:r w:rsidRPr="00C444C9">
        <w:rPr>
          <w:rStyle w:val="aff4"/>
          <w:rFonts w:hint="cs"/>
          <w:vanish/>
        </w:rPr>
        <w:instrText>REF</w:instrText>
      </w:r>
      <w:r w:rsidRPr="00C444C9">
        <w:rPr>
          <w:rStyle w:val="aff4"/>
          <w:rFonts w:hint="cs"/>
          <w:vanish/>
          <w:rtl/>
        </w:rPr>
        <w:instrText xml:space="preserve"> _</w:instrText>
      </w:r>
      <w:r w:rsidRPr="00C444C9">
        <w:rPr>
          <w:rStyle w:val="aff4"/>
          <w:rFonts w:hint="cs"/>
          <w:vanish/>
        </w:rPr>
        <w:instrText>Ref130417338 \r \h</w:instrText>
      </w:r>
      <w:r w:rsidRPr="00C444C9">
        <w:rPr>
          <w:rStyle w:val="aff4"/>
          <w:vanish/>
          <w:rtl/>
        </w:rPr>
        <w:instrText xml:space="preserve"> </w:instrText>
      </w:r>
      <w:r w:rsidRPr="00C444C9">
        <w:rPr>
          <w:rStyle w:val="aff4"/>
          <w:vanish/>
          <w:rtl/>
        </w:rPr>
      </w:r>
      <w:r w:rsidRPr="00C444C9">
        <w:rPr>
          <w:rStyle w:val="aff4"/>
          <w:vanish/>
          <w:rtl/>
        </w:rPr>
        <w:fldChar w:fldCharType="separate"/>
      </w:r>
      <w:r w:rsidR="00D82181">
        <w:rPr>
          <w:rStyle w:val="aff4"/>
          <w:vanish/>
          <w:cs/>
        </w:rPr>
        <w:t>‎</w:t>
      </w:r>
      <w:r w:rsidR="00D82181">
        <w:rPr>
          <w:rStyle w:val="aff4"/>
          <w:vanish/>
          <w:rtl/>
        </w:rPr>
        <w:t>כז)</w:t>
      </w:r>
      <w:r w:rsidRPr="00C444C9">
        <w:rPr>
          <w:rStyle w:val="aff4"/>
          <w:vanish/>
          <w:rtl/>
        </w:rPr>
        <w:fldChar w:fldCharType="end"/>
      </w:r>
      <w:r w:rsidRPr="00C444C9">
        <w:rPr>
          <w:rStyle w:val="aff4"/>
          <w:rFonts w:hint="cs"/>
          <w:vanish/>
          <w:rtl/>
        </w:rPr>
        <w:t xml:space="preserve"> &gt;</w:t>
      </w:r>
      <w:r w:rsidRPr="004F32D2">
        <w:rPr>
          <w:rStyle w:val="aff4"/>
          <w:rFonts w:hint="cs"/>
          <w:rtl/>
        </w:rPr>
        <w:t>ריטב"א</w:t>
      </w:r>
      <w:r w:rsidRPr="00C444C9">
        <w:rPr>
          <w:rStyle w:val="aff4"/>
          <w:rFonts w:hint="cs"/>
          <w:vanish/>
          <w:rtl/>
        </w:rPr>
        <w:t>-</w:t>
      </w:r>
      <w:r>
        <w:rPr>
          <w:rFonts w:hint="cs"/>
          <w:rtl/>
        </w:rPr>
        <w:t xml:space="preserve"> </w:t>
      </w:r>
      <w:r w:rsidRPr="002A0D0C">
        <w:rPr>
          <w:rStyle w:val="af2"/>
          <w:rFonts w:eastAsia="Guttman Hodes" w:hint="cs"/>
          <w:rtl/>
        </w:rPr>
        <w:t>(ד"ה ומורי)</w:t>
      </w:r>
      <w:r>
        <w:rPr>
          <w:rFonts w:hint="cs"/>
          <w:rtl/>
        </w:rPr>
        <w:t xml:space="preserve"> בשם </w:t>
      </w:r>
      <w:r w:rsidRPr="00C444C9">
        <w:rPr>
          <w:rStyle w:val="aff4"/>
          <w:rFonts w:hint="cs"/>
          <w:vanish/>
          <w:rtl/>
        </w:rPr>
        <w:t>-</w:t>
      </w:r>
      <w:r w:rsidRPr="004F32D2">
        <w:rPr>
          <w:rStyle w:val="aff4"/>
          <w:rFonts w:hint="cs"/>
          <w:rtl/>
        </w:rPr>
        <w:t>רבו</w:t>
      </w:r>
      <w:r w:rsidRPr="00C444C9">
        <w:rPr>
          <w:rStyle w:val="aff4"/>
          <w:rFonts w:hint="cs"/>
          <w:vanish/>
          <w:rtl/>
        </w:rPr>
        <w:t>-</w:t>
      </w:r>
      <w:r>
        <w:rPr>
          <w:rFonts w:hint="cs"/>
          <w:vanish/>
          <w:rtl/>
        </w:rPr>
        <w:t>=</w:t>
      </w:r>
      <w:r>
        <w:rPr>
          <w:rFonts w:hint="cs"/>
          <w:rtl/>
        </w:rPr>
        <w:t xml:space="preserve"> דביאר דהא דאמרינן דכולם הם מלאכה אחת, דמשמע שהם אבות, הכוונה רק לזורע ונוטע, אבל שאר המלאכות הם תולדות.</w:t>
      </w:r>
      <w:bookmarkEnd w:id="175"/>
    </w:p>
    <w:p w14:paraId="20341E6C" w14:textId="77777777" w:rsidR="009623A2" w:rsidRPr="00747170" w:rsidRDefault="009623A2" w:rsidP="00747170">
      <w:pPr>
        <w:pStyle w:val="a2"/>
        <w:rPr>
          <w:rtl/>
        </w:rPr>
      </w:pPr>
      <w:r w:rsidRPr="00747170">
        <w:rPr>
          <w:rtl/>
        </w:rPr>
        <w:t>ומורי נ"ר מפרש דרב פריש לן דכי קתני כולן מלאכה אחת הן דמשמע דהוו אבות היינו משום זורע ונוטע, אבל כולהו אידך תולדות נינהו.</w:t>
      </w:r>
    </w:p>
    <w:p w14:paraId="0A7FE1AA" w14:textId="2BADB97A" w:rsidR="009623A2" w:rsidRDefault="009623A2" w:rsidP="009623A2">
      <w:pPr>
        <w:pStyle w:val="affff5"/>
        <w:rPr>
          <w:rtl/>
        </w:rPr>
      </w:pPr>
      <w:bookmarkStart w:id="176" w:name="_Toc134419595"/>
      <w:r>
        <w:rPr>
          <w:rFonts w:hint="cs"/>
          <w:rtl/>
        </w:rPr>
        <w:t>דעת הרמב"ם בגדרי אבות ותולדות</w:t>
      </w:r>
      <w:bookmarkEnd w:id="176"/>
      <w:r>
        <w:rPr>
          <w:rFonts w:hint="cs"/>
          <w:rtl/>
        </w:rPr>
        <w:t xml:space="preserve"> </w:t>
      </w:r>
    </w:p>
    <w:p w14:paraId="6700F4B9" w14:textId="77777777" w:rsidR="009623A2" w:rsidRDefault="009623A2" w:rsidP="009623A2">
      <w:pPr>
        <w:pStyle w:val="1"/>
        <w:rPr>
          <w:rtl/>
        </w:rPr>
      </w:pPr>
      <w:bookmarkStart w:id="177" w:name="_Toc134419596"/>
      <w:r>
        <w:rPr>
          <w:rFonts w:hint="cs"/>
          <w:rtl/>
        </w:rPr>
        <w:t>בי' הרמב"ם בגדרי אב ותלדה ובזורע המלאכות בברייתא אבות</w:t>
      </w:r>
      <w:bookmarkEnd w:id="177"/>
    </w:p>
    <w:p w14:paraId="2AB93F5D" w14:textId="77777777" w:rsidR="009623A2" w:rsidRDefault="009623A2" w:rsidP="009623A2">
      <w:pPr>
        <w:pStyle w:val="afffff7"/>
        <w:rPr>
          <w:rtl/>
        </w:rPr>
      </w:pPr>
      <w:bookmarkStart w:id="178" w:name="_Toc133841642"/>
      <w:bookmarkStart w:id="179" w:name="_Toc163505390"/>
      <w:r w:rsidRPr="005C1D76">
        <w:rPr>
          <w:rtl/>
        </w:rPr>
        <w:t>רמב"ם שבת ז' ב'</w:t>
      </w:r>
      <w:bookmarkEnd w:id="178"/>
      <w:bookmarkEnd w:id="179"/>
    </w:p>
    <w:p w14:paraId="1FC0AAAE" w14:textId="77777777" w:rsidR="009623A2" w:rsidRDefault="009623A2" w:rsidP="009623A2">
      <w:pPr>
        <w:pStyle w:val="a7"/>
        <w:rPr>
          <w:rtl/>
        </w:rPr>
      </w:pPr>
      <w:bookmarkStart w:id="180" w:name="_Toc134419597"/>
      <w:r>
        <w:rPr>
          <w:rFonts w:hint="cs"/>
          <w:rtl/>
        </w:rPr>
        <w:t>בי' הרמב"ם דל"ט אבות וכל דבר שהוא מאותו העניין נקרא ג"כ אב כחורש וחופר ועושה חריץ</w:t>
      </w:r>
      <w:bookmarkEnd w:id="180"/>
    </w:p>
    <w:p w14:paraId="3D608B29" w14:textId="5A053430" w:rsidR="009623A2" w:rsidRPr="005C1D76" w:rsidRDefault="009623A2" w:rsidP="00BC7DC8">
      <w:pPr>
        <w:pStyle w:val="a3"/>
        <w:rPr>
          <w:rtl/>
        </w:rPr>
      </w:pPr>
      <w:bookmarkStart w:id="181" w:name="_Ref130239677"/>
      <w:r>
        <w:rPr>
          <w:rFonts w:hint="cs"/>
          <w:rtl/>
        </w:rPr>
        <w:t xml:space="preserve">כתב </w:t>
      </w:r>
      <w:bookmarkStart w:id="182" w:name="_Hlk130239692"/>
      <w:r w:rsidRPr="00C444C9">
        <w:rPr>
          <w:rStyle w:val="aff4"/>
          <w:rFonts w:hint="cs"/>
          <w:vanish/>
          <w:rtl/>
        </w:rPr>
        <w:t>-</w:t>
      </w:r>
      <w:r w:rsidRPr="004F32D2">
        <w:rPr>
          <w:rStyle w:val="aff4"/>
          <w:rFonts w:hint="cs"/>
          <w:rtl/>
        </w:rPr>
        <w:t>ה</w:t>
      </w:r>
      <w:r w:rsidRPr="00C444C9">
        <w:rPr>
          <w:rStyle w:val="aff4"/>
          <w:rFonts w:hint="cs"/>
          <w:vanish/>
          <w:rtl/>
        </w:rPr>
        <w:t xml:space="preserve">&lt;. </w:t>
      </w:r>
      <w:r w:rsidRPr="00C444C9">
        <w:rPr>
          <w:rStyle w:val="aff4"/>
          <w:vanish/>
          <w:rtl/>
        </w:rPr>
        <w:fldChar w:fldCharType="begin"/>
      </w:r>
      <w:r w:rsidRPr="00C444C9">
        <w:rPr>
          <w:rStyle w:val="aff4"/>
          <w:vanish/>
          <w:rtl/>
        </w:rPr>
        <w:instrText xml:space="preserve"> </w:instrText>
      </w:r>
      <w:r w:rsidRPr="00C444C9">
        <w:rPr>
          <w:rStyle w:val="aff4"/>
          <w:rFonts w:hint="cs"/>
          <w:vanish/>
        </w:rPr>
        <w:instrText>REF</w:instrText>
      </w:r>
      <w:r w:rsidRPr="00C444C9">
        <w:rPr>
          <w:rStyle w:val="aff4"/>
          <w:rFonts w:hint="cs"/>
          <w:vanish/>
          <w:rtl/>
        </w:rPr>
        <w:instrText xml:space="preserve"> _</w:instrText>
      </w:r>
      <w:r w:rsidRPr="00C444C9">
        <w:rPr>
          <w:rStyle w:val="aff4"/>
          <w:rFonts w:hint="cs"/>
          <w:vanish/>
        </w:rPr>
        <w:instrText>Ref130239677 \r \h</w:instrText>
      </w:r>
      <w:r w:rsidRPr="00C444C9">
        <w:rPr>
          <w:rStyle w:val="aff4"/>
          <w:vanish/>
          <w:rtl/>
        </w:rPr>
        <w:instrText xml:space="preserve"> </w:instrText>
      </w:r>
      <w:r w:rsidRPr="00C444C9">
        <w:rPr>
          <w:rStyle w:val="aff4"/>
          <w:vanish/>
          <w:rtl/>
        </w:rPr>
      </w:r>
      <w:r w:rsidRPr="00C444C9">
        <w:rPr>
          <w:rStyle w:val="aff4"/>
          <w:vanish/>
          <w:rtl/>
        </w:rPr>
        <w:fldChar w:fldCharType="separate"/>
      </w:r>
      <w:r w:rsidR="00D82181">
        <w:rPr>
          <w:rStyle w:val="aff4"/>
          <w:vanish/>
          <w:cs/>
        </w:rPr>
        <w:t>‎</w:t>
      </w:r>
      <w:r w:rsidR="00D82181">
        <w:rPr>
          <w:rStyle w:val="aff4"/>
          <w:vanish/>
          <w:rtl/>
        </w:rPr>
        <w:t>כח)</w:t>
      </w:r>
      <w:r w:rsidRPr="00C444C9">
        <w:rPr>
          <w:rStyle w:val="aff4"/>
          <w:vanish/>
          <w:rtl/>
        </w:rPr>
        <w:fldChar w:fldCharType="end"/>
      </w:r>
      <w:r w:rsidRPr="00C444C9">
        <w:rPr>
          <w:rStyle w:val="aff4"/>
          <w:rFonts w:hint="cs"/>
          <w:vanish/>
          <w:rtl/>
        </w:rPr>
        <w:t xml:space="preserve"> &gt;</w:t>
      </w:r>
      <w:r w:rsidRPr="004F32D2">
        <w:rPr>
          <w:rStyle w:val="aff4"/>
          <w:rFonts w:hint="cs"/>
          <w:rtl/>
        </w:rPr>
        <w:t>רמב"ם</w:t>
      </w:r>
      <w:r w:rsidRPr="00C444C9">
        <w:rPr>
          <w:rStyle w:val="aff4"/>
          <w:rFonts w:hint="cs"/>
          <w:vanish/>
          <w:rtl/>
        </w:rPr>
        <w:t>-</w:t>
      </w:r>
      <w:r>
        <w:rPr>
          <w:rFonts w:hint="cs"/>
          <w:rtl/>
        </w:rPr>
        <w:t xml:space="preserve"> </w:t>
      </w:r>
      <w:bookmarkStart w:id="183" w:name="_Hlk130239742"/>
      <w:bookmarkEnd w:id="182"/>
      <w:r w:rsidRPr="002A0D0C">
        <w:rPr>
          <w:rStyle w:val="af2"/>
          <w:rFonts w:eastAsia="Guttman Hodes" w:hint="cs"/>
          <w:rtl/>
        </w:rPr>
        <w:t>(שבת פ"ז ה"ב)</w:t>
      </w:r>
      <w:r>
        <w:rPr>
          <w:rFonts w:hint="cs"/>
          <w:vanish/>
          <w:rtl/>
        </w:rPr>
        <w:t>=</w:t>
      </w:r>
      <w:r>
        <w:rPr>
          <w:rFonts w:hint="cs"/>
          <w:rtl/>
        </w:rPr>
        <w:t xml:space="preserve"> </w:t>
      </w:r>
      <w:bookmarkEnd w:id="183"/>
      <w:r>
        <w:rPr>
          <w:rFonts w:hint="cs"/>
          <w:rtl/>
        </w:rPr>
        <w:t>דכל הל"ט מלאכות וכל דבר שהוא מענינם נקראים אבות, כגון החורש או החופר או העושה חריץ, שכ"א מהם הוא אב מלאכה כיון שכל אחד מהם הוא חפירה בקרקע והוא ענין אחד.</w:t>
      </w:r>
      <w:bookmarkEnd w:id="181"/>
      <w:r>
        <w:rPr>
          <w:rFonts w:hint="cs"/>
          <w:rtl/>
        </w:rPr>
        <w:t xml:space="preserve"> </w:t>
      </w:r>
    </w:p>
    <w:p w14:paraId="3BC77558" w14:textId="77777777" w:rsidR="009623A2" w:rsidRPr="00747170" w:rsidRDefault="009623A2" w:rsidP="00747170">
      <w:pPr>
        <w:pStyle w:val="a2"/>
        <w:rPr>
          <w:rtl/>
        </w:rPr>
      </w:pPr>
      <w:r w:rsidRPr="00747170">
        <w:rPr>
          <w:rtl/>
        </w:rPr>
        <w:t xml:space="preserve">כל אלו המלאכות וכל שהוא מענינם הם הנקראין אבות מלאכות, כיצד הוא ענינן, אחד החורש או החופר או העושה חריץ הרי זה אב מלאכה, שכל אחת ואחת מהן חפירה בקרקע וענין אחד הוא. </w:t>
      </w:r>
    </w:p>
    <w:p w14:paraId="6DED7573" w14:textId="44FB8C11" w:rsidR="009623A2" w:rsidRDefault="009623A2" w:rsidP="009623A2">
      <w:pPr>
        <w:pStyle w:val="afffff7"/>
        <w:rPr>
          <w:rtl/>
        </w:rPr>
      </w:pPr>
      <w:bookmarkStart w:id="184" w:name="_Toc133841643"/>
      <w:bookmarkStart w:id="185" w:name="_Toc163505391"/>
      <w:r>
        <w:rPr>
          <w:rtl/>
        </w:rPr>
        <w:t>רמב"ם שבת ז' ג'</w:t>
      </w:r>
      <w:bookmarkEnd w:id="184"/>
      <w:bookmarkEnd w:id="185"/>
    </w:p>
    <w:p w14:paraId="49BFBDBB" w14:textId="77777777" w:rsidR="009623A2" w:rsidRDefault="009623A2" w:rsidP="009623A2">
      <w:pPr>
        <w:pStyle w:val="a7"/>
        <w:rPr>
          <w:rtl/>
        </w:rPr>
      </w:pPr>
      <w:bookmarkStart w:id="186" w:name="_Toc134419598"/>
      <w:r>
        <w:rPr>
          <w:rFonts w:hint="cs"/>
          <w:rtl/>
        </w:rPr>
        <w:t>בי' הרמב"ם דזורע ונוטע ומבריך ומרכיב וזומר הם אב אחד דהם אותו עניין דכוונתו להצמיח</w:t>
      </w:r>
      <w:bookmarkEnd w:id="186"/>
    </w:p>
    <w:p w14:paraId="5BDE79A3" w14:textId="323C9725" w:rsidR="009623A2" w:rsidRDefault="009623A2" w:rsidP="00BC7DC8">
      <w:pPr>
        <w:pStyle w:val="a3"/>
      </w:pPr>
      <w:bookmarkStart w:id="187" w:name="_Ref133477286"/>
      <w:bookmarkStart w:id="188" w:name="_Ref130205677"/>
      <w:r>
        <w:rPr>
          <w:rFonts w:hint="cs"/>
          <w:rtl/>
        </w:rPr>
        <w:t xml:space="preserve">וכתב </w:t>
      </w:r>
      <w:r w:rsidRPr="00C444C9">
        <w:rPr>
          <w:rStyle w:val="aff4"/>
          <w:rFonts w:hint="cs"/>
          <w:vanish/>
          <w:rtl/>
        </w:rPr>
        <w:t>-</w:t>
      </w:r>
      <w:r w:rsidRPr="004F32D2">
        <w:rPr>
          <w:rStyle w:val="aff4"/>
          <w:rFonts w:hint="cs"/>
          <w:rtl/>
        </w:rPr>
        <w:t>ה</w:t>
      </w:r>
      <w:r w:rsidRPr="00C444C9">
        <w:rPr>
          <w:rStyle w:val="aff4"/>
          <w:rFonts w:hint="cs"/>
          <w:vanish/>
          <w:rtl/>
        </w:rPr>
        <w:t xml:space="preserve">&lt;. </w:t>
      </w:r>
      <w:r w:rsidRPr="00C444C9">
        <w:rPr>
          <w:rStyle w:val="aff4"/>
          <w:vanish/>
          <w:rtl/>
        </w:rPr>
        <w:fldChar w:fldCharType="begin"/>
      </w:r>
      <w:r w:rsidRPr="00C444C9">
        <w:rPr>
          <w:rStyle w:val="aff4"/>
          <w:vanish/>
          <w:rtl/>
        </w:rPr>
        <w:instrText xml:space="preserve"> </w:instrText>
      </w:r>
      <w:r w:rsidRPr="00C444C9">
        <w:rPr>
          <w:rStyle w:val="aff4"/>
          <w:rFonts w:hint="cs"/>
          <w:vanish/>
        </w:rPr>
        <w:instrText>REF</w:instrText>
      </w:r>
      <w:r w:rsidRPr="00C444C9">
        <w:rPr>
          <w:rStyle w:val="aff4"/>
          <w:rFonts w:hint="cs"/>
          <w:vanish/>
          <w:rtl/>
        </w:rPr>
        <w:instrText xml:space="preserve"> _</w:instrText>
      </w:r>
      <w:r w:rsidRPr="00C444C9">
        <w:rPr>
          <w:rStyle w:val="aff4"/>
          <w:rFonts w:hint="cs"/>
          <w:vanish/>
        </w:rPr>
        <w:instrText>Ref130205677 \r \h</w:instrText>
      </w:r>
      <w:r w:rsidRPr="00C444C9">
        <w:rPr>
          <w:rStyle w:val="aff4"/>
          <w:vanish/>
          <w:rtl/>
        </w:rPr>
        <w:instrText xml:space="preserve"> </w:instrText>
      </w:r>
      <w:r w:rsidRPr="00C444C9">
        <w:rPr>
          <w:rStyle w:val="aff4"/>
          <w:vanish/>
          <w:rtl/>
        </w:rPr>
      </w:r>
      <w:r w:rsidRPr="00C444C9">
        <w:rPr>
          <w:rStyle w:val="aff4"/>
          <w:vanish/>
          <w:rtl/>
        </w:rPr>
        <w:fldChar w:fldCharType="separate"/>
      </w:r>
      <w:r w:rsidR="00D82181">
        <w:rPr>
          <w:rStyle w:val="aff4"/>
          <w:vanish/>
          <w:cs/>
        </w:rPr>
        <w:t>‎</w:t>
      </w:r>
      <w:r w:rsidR="00D82181">
        <w:rPr>
          <w:rStyle w:val="aff4"/>
          <w:vanish/>
          <w:rtl/>
        </w:rPr>
        <w:t>כט)</w:t>
      </w:r>
      <w:r w:rsidRPr="00C444C9">
        <w:rPr>
          <w:rStyle w:val="aff4"/>
          <w:vanish/>
          <w:rtl/>
        </w:rPr>
        <w:fldChar w:fldCharType="end"/>
      </w:r>
      <w:r w:rsidRPr="00C444C9">
        <w:rPr>
          <w:rStyle w:val="aff4"/>
          <w:rFonts w:hint="cs"/>
          <w:vanish/>
          <w:rtl/>
        </w:rPr>
        <w:t xml:space="preserve"> &gt;</w:t>
      </w:r>
      <w:r w:rsidRPr="004F32D2">
        <w:rPr>
          <w:rStyle w:val="aff4"/>
          <w:rFonts w:hint="cs"/>
          <w:rtl/>
        </w:rPr>
        <w:t>רמב"ם</w:t>
      </w:r>
      <w:r w:rsidRPr="00C444C9">
        <w:rPr>
          <w:rStyle w:val="aff4"/>
          <w:rFonts w:hint="cs"/>
          <w:vanish/>
          <w:rtl/>
        </w:rPr>
        <w:t>-</w:t>
      </w:r>
      <w:r>
        <w:rPr>
          <w:rFonts w:hint="cs"/>
          <w:rtl/>
        </w:rPr>
        <w:t xml:space="preserve"> </w:t>
      </w:r>
      <w:r w:rsidRPr="002A0D0C">
        <w:rPr>
          <w:rStyle w:val="af2"/>
          <w:rFonts w:eastAsia="Guttman Hodes" w:hint="cs"/>
          <w:rtl/>
        </w:rPr>
        <w:t>(שבת פ"ז ה"ג)</w:t>
      </w:r>
      <w:r>
        <w:rPr>
          <w:rFonts w:hint="cs"/>
          <w:vanish/>
          <w:rtl/>
        </w:rPr>
        <w:t>=</w:t>
      </w:r>
      <w:r>
        <w:rPr>
          <w:rFonts w:hint="cs"/>
          <w:rtl/>
        </w:rPr>
        <w:t xml:space="preserve"> דכן הזורע זרעים או הנוטע אילנות, או המבריך אילנות, או המרכיב, או הזומר, כולם הם אב אחד מאבות מלאכות, דכולם הם אותו הענין דהכוונה שלו בכל אחת מהמלאכות הללו הוא להצמיח דבר.</w:t>
      </w:r>
      <w:bookmarkEnd w:id="187"/>
    </w:p>
    <w:bookmarkEnd w:id="188"/>
    <w:p w14:paraId="00ED3FBB" w14:textId="77777777" w:rsidR="009623A2" w:rsidRPr="00747170" w:rsidRDefault="009623A2" w:rsidP="00747170">
      <w:pPr>
        <w:pStyle w:val="a2"/>
        <w:rPr>
          <w:rtl/>
        </w:rPr>
      </w:pPr>
      <w:r w:rsidRPr="00747170">
        <w:rPr>
          <w:rtl/>
        </w:rPr>
        <w:t>וכן אחד הזורע זרעים או הנוטע אילנות או המבריך אילנות או המרכיב או הזומר, כל אלו אב אחד הן מאבות מלאכות וענין אחד הוא, שכל אחת מהן לצמח דבר הוא מתכוין.</w:t>
      </w:r>
    </w:p>
    <w:p w14:paraId="28B2906C" w14:textId="03FA10D5" w:rsidR="009623A2" w:rsidRDefault="009623A2" w:rsidP="009623A2">
      <w:pPr>
        <w:pStyle w:val="afffff7"/>
        <w:rPr>
          <w:rtl/>
        </w:rPr>
      </w:pPr>
      <w:bookmarkStart w:id="189" w:name="_Toc133841644"/>
      <w:bookmarkStart w:id="190" w:name="_Toc163505392"/>
      <w:r>
        <w:rPr>
          <w:rtl/>
        </w:rPr>
        <w:t>רמב"ם שבת ז' ד'</w:t>
      </w:r>
      <w:bookmarkEnd w:id="189"/>
      <w:bookmarkEnd w:id="190"/>
    </w:p>
    <w:p w14:paraId="655B4E82" w14:textId="77777777" w:rsidR="009623A2" w:rsidRPr="005F544A" w:rsidRDefault="009623A2" w:rsidP="009623A2">
      <w:pPr>
        <w:pStyle w:val="a7"/>
        <w:rPr>
          <w:rtl/>
        </w:rPr>
      </w:pPr>
      <w:bookmarkStart w:id="191" w:name="_Toc134419599"/>
      <w:r>
        <w:rPr>
          <w:rFonts w:hint="cs"/>
          <w:rtl/>
        </w:rPr>
        <w:t>בי' הרמב"ם דבוצר וגודר ומוסק הם אב דקוצר דבמתכוון לעקור דבר מגידולו וה"ה בכל האבות</w:t>
      </w:r>
      <w:bookmarkEnd w:id="191"/>
    </w:p>
    <w:p w14:paraId="7ADFBD4F" w14:textId="1856440A" w:rsidR="009623A2" w:rsidRPr="001F42F3" w:rsidRDefault="009623A2" w:rsidP="00BC7DC8">
      <w:pPr>
        <w:pStyle w:val="a3"/>
        <w:rPr>
          <w:rtl/>
        </w:rPr>
      </w:pPr>
      <w:bookmarkStart w:id="192" w:name="_Ref130240129"/>
      <w:r>
        <w:rPr>
          <w:rFonts w:hint="cs"/>
          <w:rtl/>
        </w:rPr>
        <w:lastRenderedPageBreak/>
        <w:t xml:space="preserve">והוסיף </w:t>
      </w:r>
      <w:r w:rsidRPr="00C444C9">
        <w:rPr>
          <w:rStyle w:val="aff4"/>
          <w:rFonts w:hint="cs"/>
          <w:vanish/>
          <w:rtl/>
        </w:rPr>
        <w:t>-</w:t>
      </w:r>
      <w:r w:rsidRPr="004F32D2">
        <w:rPr>
          <w:rStyle w:val="aff4"/>
          <w:rFonts w:hint="cs"/>
          <w:rtl/>
        </w:rPr>
        <w:t>ה</w:t>
      </w:r>
      <w:r w:rsidRPr="00C444C9">
        <w:rPr>
          <w:rStyle w:val="aff4"/>
          <w:rFonts w:hint="cs"/>
          <w:vanish/>
          <w:rtl/>
        </w:rPr>
        <w:t xml:space="preserve">&lt;. </w:t>
      </w:r>
      <w:r w:rsidRPr="00C444C9">
        <w:rPr>
          <w:rStyle w:val="aff4"/>
          <w:vanish/>
          <w:rtl/>
        </w:rPr>
        <w:fldChar w:fldCharType="begin"/>
      </w:r>
      <w:r w:rsidRPr="00C444C9">
        <w:rPr>
          <w:rStyle w:val="aff4"/>
          <w:vanish/>
          <w:rtl/>
        </w:rPr>
        <w:instrText xml:space="preserve"> </w:instrText>
      </w:r>
      <w:r w:rsidRPr="00C444C9">
        <w:rPr>
          <w:rStyle w:val="aff4"/>
          <w:rFonts w:hint="cs"/>
          <w:vanish/>
        </w:rPr>
        <w:instrText>REF</w:instrText>
      </w:r>
      <w:r w:rsidRPr="00C444C9">
        <w:rPr>
          <w:rStyle w:val="aff4"/>
          <w:rFonts w:hint="cs"/>
          <w:vanish/>
          <w:rtl/>
        </w:rPr>
        <w:instrText xml:space="preserve"> _</w:instrText>
      </w:r>
      <w:r w:rsidRPr="00C444C9">
        <w:rPr>
          <w:rStyle w:val="aff4"/>
          <w:rFonts w:hint="cs"/>
          <w:vanish/>
        </w:rPr>
        <w:instrText>Ref130240129 \r \h</w:instrText>
      </w:r>
      <w:r w:rsidRPr="00C444C9">
        <w:rPr>
          <w:rStyle w:val="aff4"/>
          <w:vanish/>
          <w:rtl/>
        </w:rPr>
        <w:instrText xml:space="preserve"> </w:instrText>
      </w:r>
      <w:r w:rsidRPr="00C444C9">
        <w:rPr>
          <w:rStyle w:val="aff4"/>
          <w:vanish/>
          <w:rtl/>
        </w:rPr>
      </w:r>
      <w:r w:rsidRPr="00C444C9">
        <w:rPr>
          <w:rStyle w:val="aff4"/>
          <w:vanish/>
          <w:rtl/>
        </w:rPr>
        <w:fldChar w:fldCharType="separate"/>
      </w:r>
      <w:r w:rsidR="00D82181">
        <w:rPr>
          <w:rStyle w:val="aff4"/>
          <w:vanish/>
          <w:cs/>
        </w:rPr>
        <w:t>‎</w:t>
      </w:r>
      <w:r w:rsidR="00D82181">
        <w:rPr>
          <w:rStyle w:val="aff4"/>
          <w:vanish/>
          <w:rtl/>
        </w:rPr>
        <w:t>ל)</w:t>
      </w:r>
      <w:r w:rsidRPr="00C444C9">
        <w:rPr>
          <w:rStyle w:val="aff4"/>
          <w:vanish/>
          <w:rtl/>
        </w:rPr>
        <w:fldChar w:fldCharType="end"/>
      </w:r>
      <w:r w:rsidRPr="00C444C9">
        <w:rPr>
          <w:rStyle w:val="aff4"/>
          <w:rFonts w:hint="cs"/>
          <w:vanish/>
          <w:rtl/>
        </w:rPr>
        <w:t xml:space="preserve"> &gt;</w:t>
      </w:r>
      <w:r w:rsidRPr="004F32D2">
        <w:rPr>
          <w:rStyle w:val="aff4"/>
          <w:rFonts w:hint="cs"/>
          <w:rtl/>
        </w:rPr>
        <w:t>רמב"ם</w:t>
      </w:r>
      <w:r w:rsidRPr="00C444C9">
        <w:rPr>
          <w:rStyle w:val="aff4"/>
          <w:rFonts w:hint="cs"/>
          <w:vanish/>
          <w:rtl/>
        </w:rPr>
        <w:t>-</w:t>
      </w:r>
      <w:r w:rsidRPr="001C0105">
        <w:rPr>
          <w:rStyle w:val="aff4"/>
          <w:rFonts w:hint="cs"/>
          <w:rtl/>
        </w:rPr>
        <w:t xml:space="preserve"> </w:t>
      </w:r>
      <w:r w:rsidRPr="002A0D0C">
        <w:rPr>
          <w:rStyle w:val="af2"/>
          <w:rFonts w:eastAsia="Guttman Hodes" w:hint="cs"/>
          <w:rtl/>
        </w:rPr>
        <w:t>(שבת פ"ז ה"ד)</w:t>
      </w:r>
      <w:r>
        <w:rPr>
          <w:rStyle w:val="aff4"/>
          <w:rFonts w:hint="cs"/>
          <w:vanish/>
          <w:rtl/>
        </w:rPr>
        <w:t>=</w:t>
      </w:r>
      <w:r w:rsidRPr="001C0105">
        <w:rPr>
          <w:rStyle w:val="aff4"/>
          <w:rFonts w:hint="cs"/>
          <w:rtl/>
        </w:rPr>
        <w:t xml:space="preserve"> </w:t>
      </w:r>
      <w:r w:rsidRPr="00174090">
        <w:rPr>
          <w:rFonts w:hint="cs"/>
          <w:rtl/>
        </w:rPr>
        <w:t>דכן בוצר וגודר ומוסק וכו' הם אב מלאכה דקוצר, כיון דבכ"א מהם מתכוון לעקור דבר מגידולו, וכתב</w:t>
      </w:r>
      <w:r w:rsidRPr="001C0105">
        <w:rPr>
          <w:rStyle w:val="aff4"/>
          <w:rFonts w:hint="cs"/>
          <w:rtl/>
        </w:rPr>
        <w:t xml:space="preserve"> </w:t>
      </w:r>
      <w:r w:rsidRPr="00C444C9">
        <w:rPr>
          <w:rStyle w:val="aff4"/>
          <w:rFonts w:hint="cs"/>
          <w:vanish/>
          <w:rtl/>
        </w:rPr>
        <w:t>-</w:t>
      </w:r>
      <w:r w:rsidRPr="004F32D2">
        <w:rPr>
          <w:rStyle w:val="aff4"/>
          <w:rFonts w:hint="cs"/>
          <w:rtl/>
        </w:rPr>
        <w:t>הרמב"ם</w:t>
      </w:r>
      <w:r w:rsidRPr="00C444C9">
        <w:rPr>
          <w:rStyle w:val="aff4"/>
          <w:rFonts w:hint="cs"/>
          <w:vanish/>
          <w:rtl/>
        </w:rPr>
        <w:t>-</w:t>
      </w:r>
      <w:r>
        <w:rPr>
          <w:rFonts w:hint="cs"/>
          <w:rtl/>
        </w:rPr>
        <w:t xml:space="preserve"> דכן הדין בשאר אבות מלאכות.</w:t>
      </w:r>
      <w:bookmarkEnd w:id="192"/>
    </w:p>
    <w:p w14:paraId="746E6D64" w14:textId="77777777" w:rsidR="009623A2" w:rsidRPr="00747170" w:rsidRDefault="009623A2" w:rsidP="00747170">
      <w:pPr>
        <w:pStyle w:val="a2"/>
        <w:rPr>
          <w:rtl/>
        </w:rPr>
      </w:pPr>
      <w:r w:rsidRPr="00747170">
        <w:rPr>
          <w:rtl/>
        </w:rPr>
        <w:t xml:space="preserve">וכן אחד הקוצר תבואה או קטנית או הבוצר ענבים או הגודר תמרים או המוסק זיתים או האורה תאנים, כל אלו אב מלאכה אחת הן, שכל אחת מהן לעקור דבר מגידוליו מתכוון, ועל דרך זו שאר האבות. </w:t>
      </w:r>
    </w:p>
    <w:p w14:paraId="4B679288" w14:textId="305CFE1A" w:rsidR="009623A2" w:rsidRDefault="009623A2" w:rsidP="009623A2">
      <w:pPr>
        <w:pStyle w:val="afffff7"/>
        <w:rPr>
          <w:rtl/>
        </w:rPr>
      </w:pPr>
      <w:bookmarkStart w:id="193" w:name="_Toc133841645"/>
      <w:bookmarkStart w:id="194" w:name="_Toc163505393"/>
      <w:r>
        <w:rPr>
          <w:rtl/>
        </w:rPr>
        <w:t>רמב"ם שבת ח' ב'</w:t>
      </w:r>
      <w:bookmarkEnd w:id="193"/>
      <w:bookmarkEnd w:id="194"/>
    </w:p>
    <w:p w14:paraId="5F6D5953" w14:textId="77777777" w:rsidR="009623A2" w:rsidRPr="004E056E" w:rsidRDefault="009623A2" w:rsidP="009623A2">
      <w:pPr>
        <w:pStyle w:val="a7"/>
        <w:rPr>
          <w:rtl/>
        </w:rPr>
      </w:pPr>
      <w:bookmarkStart w:id="195" w:name="_Toc134419600"/>
      <w:r>
        <w:rPr>
          <w:rFonts w:hint="cs"/>
          <w:rtl/>
        </w:rPr>
        <w:t>בי' הרמב"ם דזורע כ"ש חייב וזומר כעין זורע ומשקה הוא תולדה וכן שורה חיטין במים תולדה</w:t>
      </w:r>
      <w:bookmarkEnd w:id="195"/>
    </w:p>
    <w:p w14:paraId="0108B0E7" w14:textId="6DCBA0CB" w:rsidR="009623A2" w:rsidRPr="00A31B9F" w:rsidRDefault="009623A2" w:rsidP="00BC7DC8">
      <w:pPr>
        <w:pStyle w:val="a3"/>
        <w:rPr>
          <w:rtl/>
        </w:rPr>
      </w:pPr>
      <w:bookmarkStart w:id="196" w:name="_Ref130228911"/>
      <w:r>
        <w:rPr>
          <w:rFonts w:hint="cs"/>
          <w:rtl/>
        </w:rPr>
        <w:t xml:space="preserve">כתב </w:t>
      </w:r>
      <w:r w:rsidRPr="00C444C9">
        <w:rPr>
          <w:rStyle w:val="aff4"/>
          <w:rFonts w:hint="cs"/>
          <w:vanish/>
          <w:rtl/>
        </w:rPr>
        <w:t>-</w:t>
      </w:r>
      <w:r w:rsidRPr="004F32D2">
        <w:rPr>
          <w:rStyle w:val="aff4"/>
          <w:rFonts w:hint="cs"/>
          <w:rtl/>
        </w:rPr>
        <w:t>ה</w:t>
      </w:r>
      <w:r w:rsidRPr="00C444C9">
        <w:rPr>
          <w:rStyle w:val="aff4"/>
          <w:rFonts w:hint="cs"/>
          <w:vanish/>
          <w:rtl/>
        </w:rPr>
        <w:t xml:space="preserve">&lt;. </w:t>
      </w:r>
      <w:r w:rsidRPr="00C444C9">
        <w:rPr>
          <w:rStyle w:val="aff4"/>
          <w:vanish/>
          <w:rtl/>
        </w:rPr>
        <w:fldChar w:fldCharType="begin"/>
      </w:r>
      <w:r w:rsidRPr="00C444C9">
        <w:rPr>
          <w:rStyle w:val="aff4"/>
          <w:vanish/>
          <w:rtl/>
        </w:rPr>
        <w:instrText xml:space="preserve"> </w:instrText>
      </w:r>
      <w:r w:rsidRPr="00C444C9">
        <w:rPr>
          <w:rStyle w:val="aff4"/>
          <w:rFonts w:hint="cs"/>
          <w:vanish/>
        </w:rPr>
        <w:instrText>REF</w:instrText>
      </w:r>
      <w:r w:rsidRPr="00C444C9">
        <w:rPr>
          <w:rStyle w:val="aff4"/>
          <w:rFonts w:hint="cs"/>
          <w:vanish/>
          <w:rtl/>
        </w:rPr>
        <w:instrText xml:space="preserve"> _</w:instrText>
      </w:r>
      <w:r w:rsidRPr="00C444C9">
        <w:rPr>
          <w:rStyle w:val="aff4"/>
          <w:rFonts w:hint="cs"/>
          <w:vanish/>
        </w:rPr>
        <w:instrText>Ref130228911 \r \h</w:instrText>
      </w:r>
      <w:r w:rsidRPr="00C444C9">
        <w:rPr>
          <w:rStyle w:val="aff4"/>
          <w:vanish/>
          <w:rtl/>
        </w:rPr>
        <w:instrText xml:space="preserve"> </w:instrText>
      </w:r>
      <w:r w:rsidRPr="00C444C9">
        <w:rPr>
          <w:rStyle w:val="aff4"/>
          <w:vanish/>
          <w:rtl/>
        </w:rPr>
      </w:r>
      <w:r w:rsidRPr="00C444C9">
        <w:rPr>
          <w:rStyle w:val="aff4"/>
          <w:vanish/>
          <w:rtl/>
        </w:rPr>
        <w:fldChar w:fldCharType="separate"/>
      </w:r>
      <w:r w:rsidR="00D82181">
        <w:rPr>
          <w:rStyle w:val="aff4"/>
          <w:vanish/>
          <w:cs/>
        </w:rPr>
        <w:t>‎</w:t>
      </w:r>
      <w:r w:rsidR="00D82181">
        <w:rPr>
          <w:rStyle w:val="aff4"/>
          <w:vanish/>
          <w:rtl/>
        </w:rPr>
        <w:t>לא)</w:t>
      </w:r>
      <w:r w:rsidRPr="00C444C9">
        <w:rPr>
          <w:rStyle w:val="aff4"/>
          <w:vanish/>
          <w:rtl/>
        </w:rPr>
        <w:fldChar w:fldCharType="end"/>
      </w:r>
      <w:r w:rsidRPr="00C444C9">
        <w:rPr>
          <w:rStyle w:val="aff4"/>
          <w:rFonts w:hint="cs"/>
          <w:vanish/>
          <w:rtl/>
        </w:rPr>
        <w:t xml:space="preserve"> &gt;</w:t>
      </w:r>
      <w:r w:rsidRPr="004F32D2">
        <w:rPr>
          <w:rStyle w:val="aff4"/>
          <w:rFonts w:hint="cs"/>
          <w:rtl/>
        </w:rPr>
        <w:t>רמב"ם</w:t>
      </w:r>
      <w:r w:rsidRPr="00C444C9">
        <w:rPr>
          <w:rStyle w:val="aff4"/>
          <w:rFonts w:hint="cs"/>
          <w:vanish/>
          <w:rtl/>
        </w:rPr>
        <w:t>-</w:t>
      </w:r>
      <w:r>
        <w:rPr>
          <w:rFonts w:hint="cs"/>
          <w:rtl/>
        </w:rPr>
        <w:t xml:space="preserve"> </w:t>
      </w:r>
      <w:r w:rsidRPr="002A0D0C">
        <w:rPr>
          <w:rStyle w:val="af2"/>
          <w:rFonts w:eastAsia="Guttman Hodes" w:hint="cs"/>
          <w:rtl/>
        </w:rPr>
        <w:t>(שבת פ"ח ה"ב)</w:t>
      </w:r>
      <w:r>
        <w:rPr>
          <w:rFonts w:hint="cs"/>
          <w:vanish/>
          <w:rtl/>
        </w:rPr>
        <w:t>=</w:t>
      </w:r>
      <w:r>
        <w:rPr>
          <w:rFonts w:hint="cs"/>
          <w:rtl/>
        </w:rPr>
        <w:t xml:space="preserve"> דהזורע כל שהוא חייב, והזומר את האילן כדי שיצמח האילן הוא כעין זורע, אבל המשקה צמחים ואילנות בשבת הוא תולדה של זורע, וחייב בכל שהוא וכן השורה חיטין ושעורין וכיו"ב במים, הוא תולדה של זורע וחייב בכל שהוא.</w:t>
      </w:r>
      <w:bookmarkEnd w:id="196"/>
    </w:p>
    <w:p w14:paraId="45774909" w14:textId="77777777" w:rsidR="009623A2" w:rsidRPr="00747170" w:rsidRDefault="009623A2" w:rsidP="00747170">
      <w:pPr>
        <w:pStyle w:val="a2"/>
        <w:rPr>
          <w:rtl/>
        </w:rPr>
      </w:pPr>
      <w:r w:rsidRPr="00747170">
        <w:rPr>
          <w:rtl/>
        </w:rPr>
        <w:t>הזורע כל שהוא חייב, הזומר את האילן כדי שיצמח הרי זה מעין זורע, אבל המשקה צמחין ואילנות בשבת הרי זה תולדת זורע וחייב בכל שהוא, וכן השורה חיטין ושעורין וכיוצא בהן במים הרי זה תולדת זורע וחייב בכל שהוא.</w:t>
      </w:r>
    </w:p>
    <w:p w14:paraId="0C39C42D" w14:textId="3BE51E1D" w:rsidR="009623A2" w:rsidRDefault="009623A2" w:rsidP="009623A2">
      <w:pPr>
        <w:pStyle w:val="afffff7"/>
        <w:rPr>
          <w:rtl/>
        </w:rPr>
      </w:pPr>
      <w:bookmarkStart w:id="197" w:name="_Toc133841646"/>
      <w:bookmarkStart w:id="198" w:name="_Toc163505394"/>
      <w:r w:rsidRPr="007405F3">
        <w:rPr>
          <w:rtl/>
        </w:rPr>
        <w:t>פירוש המשנה לרמב"ם מסכת שבת פרק ז משנה ב</w:t>
      </w:r>
      <w:bookmarkEnd w:id="197"/>
      <w:bookmarkEnd w:id="198"/>
    </w:p>
    <w:p w14:paraId="1F27B27D" w14:textId="77777777" w:rsidR="009623A2" w:rsidRDefault="009623A2" w:rsidP="009623A2">
      <w:pPr>
        <w:pStyle w:val="a7"/>
        <w:rPr>
          <w:rtl/>
        </w:rPr>
      </w:pPr>
      <w:bookmarkStart w:id="199" w:name="_Toc134419601"/>
      <w:r>
        <w:rPr>
          <w:rFonts w:hint="cs"/>
          <w:rtl/>
        </w:rPr>
        <w:t>בי' הרמב"ם בפיהמ"ש דהאבות הם דוגמא לכל המלאכות שהם מעין האב כמבואר במתני' לעיל</w:t>
      </w:r>
      <w:bookmarkEnd w:id="199"/>
    </w:p>
    <w:p w14:paraId="50F72B78" w14:textId="5CD13D23" w:rsidR="009623A2" w:rsidRPr="00B61476" w:rsidRDefault="009623A2" w:rsidP="00BC7DC8">
      <w:pPr>
        <w:pStyle w:val="a3"/>
        <w:rPr>
          <w:rtl/>
        </w:rPr>
      </w:pPr>
      <w:bookmarkStart w:id="200" w:name="_Ref133575250"/>
      <w:r>
        <w:rPr>
          <w:rFonts w:hint="cs"/>
          <w:rtl/>
        </w:rPr>
        <w:t xml:space="preserve">כתב </w:t>
      </w:r>
      <w:r w:rsidRPr="00C444C9">
        <w:rPr>
          <w:rStyle w:val="aff4"/>
          <w:rFonts w:hint="cs"/>
          <w:vanish/>
          <w:rtl/>
        </w:rPr>
        <w:t>-</w:t>
      </w:r>
      <w:r w:rsidRPr="004F32D2">
        <w:rPr>
          <w:rStyle w:val="aff4"/>
          <w:rFonts w:hint="cs"/>
          <w:rtl/>
        </w:rPr>
        <w:t>ה</w:t>
      </w:r>
      <w:r w:rsidRPr="00C444C9">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Ref133575250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לב)</w:t>
      </w:r>
      <w:r>
        <w:rPr>
          <w:rStyle w:val="aff4"/>
          <w:vanish/>
          <w:rtl/>
        </w:rPr>
        <w:fldChar w:fldCharType="end"/>
      </w:r>
      <w:r w:rsidRPr="00C444C9">
        <w:rPr>
          <w:rStyle w:val="aff4"/>
          <w:rFonts w:hint="cs"/>
          <w:vanish/>
          <w:rtl/>
        </w:rPr>
        <w:t xml:space="preserve"> &gt;</w:t>
      </w:r>
      <w:r w:rsidRPr="004F32D2">
        <w:rPr>
          <w:rStyle w:val="aff4"/>
          <w:rFonts w:hint="cs"/>
          <w:rtl/>
        </w:rPr>
        <w:t>רמב"ם בפיהמ"ש</w:t>
      </w:r>
      <w:r w:rsidRPr="00C444C9">
        <w:rPr>
          <w:rStyle w:val="aff4"/>
          <w:rFonts w:hint="cs"/>
          <w:vanish/>
          <w:rtl/>
        </w:rPr>
        <w:t>-</w:t>
      </w:r>
      <w:r>
        <w:rPr>
          <w:rFonts w:hint="cs"/>
          <w:rtl/>
        </w:rPr>
        <w:t xml:space="preserve"> </w:t>
      </w:r>
      <w:r w:rsidRPr="002A0D0C">
        <w:rPr>
          <w:rStyle w:val="af2"/>
          <w:rFonts w:eastAsia="Guttman Hodes" w:hint="cs"/>
          <w:rtl/>
        </w:rPr>
        <w:t>(פ"ז מ"ב)</w:t>
      </w:r>
      <w:r w:rsidRPr="00345748">
        <w:rPr>
          <w:rFonts w:hint="cs"/>
          <w:vanish/>
          <w:rtl/>
        </w:rPr>
        <w:t>=</w:t>
      </w:r>
      <w:r>
        <w:rPr>
          <w:rFonts w:hint="cs"/>
          <w:rtl/>
        </w:rPr>
        <w:t xml:space="preserve"> דכל האבות הם דוגמא למלאכה של האב עצמו, דכל דבר שדומה להם הוא בכלל האב, וביאר </w:t>
      </w:r>
      <w:r w:rsidRPr="00C444C9">
        <w:rPr>
          <w:rStyle w:val="aff4"/>
          <w:rFonts w:hint="cs"/>
          <w:vanish/>
          <w:rtl/>
        </w:rPr>
        <w:t>-</w:t>
      </w:r>
      <w:r w:rsidRPr="004F32D2">
        <w:rPr>
          <w:rStyle w:val="aff4"/>
          <w:rFonts w:hint="cs"/>
          <w:rtl/>
        </w:rPr>
        <w:t>הרמב"ם בפיהמ"ש</w:t>
      </w:r>
      <w:r w:rsidRPr="00C444C9">
        <w:rPr>
          <w:rStyle w:val="aff4"/>
          <w:rFonts w:hint="cs"/>
          <w:vanish/>
          <w:rtl/>
        </w:rPr>
        <w:t>-</w:t>
      </w:r>
      <w:r>
        <w:rPr>
          <w:rFonts w:hint="cs"/>
          <w:rtl/>
        </w:rPr>
        <w:t xml:space="preserve"> דקוצר הוא אב, וה"ה תולש צמח שמחובר לקרקע כשמתכוין לתלוש את הצמח הזה, וה"ה באורה תאנים ובצר ענבים וחובט זיתים, דא"א לומר שהם תולדה של קוצר, אלא הם האב דקוצר עצמו, דכמו שא"א לומר דהשוחט כבש או שור הוא תולדה, וכן א"א לומר דהמבשל איזה שהוא תבשיל דהוא תולדה של אופה, דהא פשיטא דהוא אב דאופה עצמו, ה"ה במלאכות הללו דא"א לומר דהם תולדת קוצר, אלא הם קוצר ממש, וכתב </w:t>
      </w:r>
      <w:r w:rsidRPr="00C444C9">
        <w:rPr>
          <w:rStyle w:val="aff4"/>
          <w:rFonts w:hint="cs"/>
          <w:vanish/>
          <w:rtl/>
        </w:rPr>
        <w:t>-</w:t>
      </w:r>
      <w:r w:rsidRPr="004F32D2">
        <w:rPr>
          <w:rStyle w:val="aff4"/>
          <w:rFonts w:hint="cs"/>
          <w:rtl/>
        </w:rPr>
        <w:t>הרמב"ם בפיהמ"ש</w:t>
      </w:r>
      <w:r w:rsidRPr="00C444C9">
        <w:rPr>
          <w:rStyle w:val="aff4"/>
          <w:rFonts w:hint="cs"/>
          <w:vanish/>
          <w:rtl/>
        </w:rPr>
        <w:t>-</w:t>
      </w:r>
      <w:r>
        <w:rPr>
          <w:rFonts w:hint="cs"/>
          <w:rtl/>
        </w:rPr>
        <w:t xml:space="preserve"> דזה הביאור בהא דתנן במתני' לעיל </w:t>
      </w:r>
      <w:r w:rsidRPr="002A0D0C">
        <w:rPr>
          <w:rStyle w:val="af2"/>
          <w:rFonts w:eastAsia="Guttman Hodes" w:hint="cs"/>
          <w:rtl/>
        </w:rPr>
        <w:t>(סח.)</w:t>
      </w:r>
      <w:r>
        <w:rPr>
          <w:rFonts w:hint="cs"/>
          <w:rtl/>
        </w:rPr>
        <w:t xml:space="preserve"> "מלאכות הרבה מעין מלאכה אחת". </w:t>
      </w:r>
      <w:r w:rsidRPr="002A0D0C">
        <w:rPr>
          <w:rStyle w:val="af"/>
          <w:rFonts w:hint="cs"/>
          <w:rtl/>
        </w:rPr>
        <w:t xml:space="preserve">[הוספה זו נד' רק בתרגומים החדשים, ובתשו' </w:t>
      </w:r>
      <w:r w:rsidRPr="001145E2">
        <w:rPr>
          <w:rStyle w:val="aff9"/>
          <w:rFonts w:hint="cs"/>
          <w:vanish/>
          <w:rtl/>
        </w:rPr>
        <w:t>-</w:t>
      </w:r>
      <w:r w:rsidRPr="002A0D0C">
        <w:rPr>
          <w:rStyle w:val="aff9"/>
          <w:rFonts w:hint="cs"/>
          <w:rtl/>
        </w:rPr>
        <w:t>רבי בצלאל אשכנזי</w:t>
      </w:r>
      <w:r w:rsidRPr="001145E2">
        <w:rPr>
          <w:rStyle w:val="aff9"/>
          <w:rFonts w:hint="cs"/>
          <w:vanish/>
          <w:rtl/>
        </w:rPr>
        <w:t>-</w:t>
      </w:r>
      <w:r w:rsidRPr="002A0D0C">
        <w:rPr>
          <w:rStyle w:val="af"/>
          <w:rFonts w:hint="cs"/>
          <w:rtl/>
        </w:rPr>
        <w:t xml:space="preserve"> </w:t>
      </w:r>
      <w:r w:rsidRPr="002A0D0C">
        <w:rPr>
          <w:rStyle w:val="aff5"/>
          <w:rFonts w:hint="cs"/>
          <w:rtl/>
        </w:rPr>
        <w:t xml:space="preserve">(עי' אות </w:t>
      </w:r>
      <w:r>
        <w:rPr>
          <w:rStyle w:val="aff5"/>
          <w:rtl/>
        </w:rPr>
        <w:fldChar w:fldCharType="begin"/>
      </w:r>
      <w:r>
        <w:rPr>
          <w:rStyle w:val="aff5"/>
          <w:rtl/>
        </w:rPr>
        <w:instrText xml:space="preserve"> </w:instrText>
      </w:r>
      <w:r>
        <w:rPr>
          <w:rStyle w:val="aff5"/>
          <w:rFonts w:hint="cs"/>
        </w:rPr>
        <w:instrText>REF</w:instrText>
      </w:r>
      <w:r>
        <w:rPr>
          <w:rStyle w:val="aff5"/>
          <w:rFonts w:hint="cs"/>
          <w:rtl/>
        </w:rPr>
        <w:instrText xml:space="preserve"> _</w:instrText>
      </w:r>
      <w:r>
        <w:rPr>
          <w:rStyle w:val="aff5"/>
          <w:rFonts w:hint="cs"/>
        </w:rPr>
        <w:instrText>Ref133824021 \r \h</w:instrText>
      </w:r>
      <w:r>
        <w:rPr>
          <w:rStyle w:val="aff5"/>
          <w:rtl/>
        </w:rPr>
        <w:instrText xml:space="preserve"> </w:instrText>
      </w:r>
      <w:r>
        <w:rPr>
          <w:rStyle w:val="aff5"/>
          <w:rtl/>
        </w:rPr>
      </w:r>
      <w:r>
        <w:rPr>
          <w:rStyle w:val="aff5"/>
          <w:rtl/>
        </w:rPr>
        <w:fldChar w:fldCharType="separate"/>
      </w:r>
      <w:r w:rsidR="00D82181">
        <w:rPr>
          <w:rStyle w:val="aff5"/>
          <w:cs/>
        </w:rPr>
        <w:t>‎</w:t>
      </w:r>
      <w:r w:rsidR="00D82181">
        <w:rPr>
          <w:rStyle w:val="aff5"/>
          <w:rtl/>
        </w:rPr>
        <w:t>ס)</w:t>
      </w:r>
      <w:r>
        <w:rPr>
          <w:rStyle w:val="aff5"/>
          <w:rtl/>
        </w:rPr>
        <w:fldChar w:fldCharType="end"/>
      </w:r>
      <w:r w:rsidRPr="002A0D0C">
        <w:rPr>
          <w:rStyle w:val="af"/>
          <w:rFonts w:hint="cs"/>
          <w:rtl/>
        </w:rPr>
        <w:t xml:space="preserve">, דכתב דמדברי </w:t>
      </w:r>
      <w:r w:rsidRPr="001145E2">
        <w:rPr>
          <w:rStyle w:val="aff9"/>
          <w:rFonts w:hint="cs"/>
          <w:vanish/>
          <w:rtl/>
        </w:rPr>
        <w:t>-</w:t>
      </w:r>
      <w:r w:rsidRPr="002A0D0C">
        <w:rPr>
          <w:rStyle w:val="aff9"/>
          <w:rFonts w:hint="cs"/>
          <w:rtl/>
        </w:rPr>
        <w:t>הרמב"ם</w:t>
      </w:r>
      <w:r w:rsidRPr="001145E2">
        <w:rPr>
          <w:rStyle w:val="aff9"/>
          <w:rFonts w:hint="cs"/>
          <w:vanish/>
          <w:rtl/>
        </w:rPr>
        <w:t>-</w:t>
      </w:r>
      <w:r w:rsidRPr="002A0D0C">
        <w:rPr>
          <w:rStyle w:val="af"/>
          <w:rFonts w:hint="cs"/>
          <w:rtl/>
        </w:rPr>
        <w:t xml:space="preserve"> הללו מוכח דמ"ש דכולם הם אבות, הכוונה שיש דבר שהוא מעין האב, ואינו האב עצמו אך אינו תולדה]</w:t>
      </w:r>
      <w:r w:rsidRPr="00345748">
        <w:rPr>
          <w:rStyle w:val="af"/>
          <w:rFonts w:hint="cs"/>
          <w:rtl/>
        </w:rPr>
        <w:t>.</w:t>
      </w:r>
      <w:bookmarkEnd w:id="200"/>
    </w:p>
    <w:p w14:paraId="354B6E11" w14:textId="77777777" w:rsidR="009623A2" w:rsidRPr="00747170" w:rsidRDefault="009623A2" w:rsidP="00747170">
      <w:pPr>
        <w:pStyle w:val="a2"/>
      </w:pPr>
      <w:r w:rsidRPr="00747170">
        <w:rPr>
          <w:rtl/>
        </w:rPr>
        <w:t>ואלו האבות כולם דמיונות והוא כי אמרם קוצר הוא מאבות מלאכות וכמו כן כל התולש צמח מחובר לארץ כשכוונתו באותו דבר שתולש כמי שאורה תאנים או בוצר ענבים או חובט זיתים כל אחד מאלו המלאכות לא נאמר בהם שהן תולדות קוצר אבל הוא קוצר ממש כאשר לא נאמר במי ששחט כבש או שור שהוא תולדות השוחט או במי שבשל תבשיל מן התבשילין שהוא תולדות האופה אבל הוא אופה עצמו</w:t>
      </w:r>
      <w:r w:rsidRPr="00747170">
        <w:rPr>
          <w:rFonts w:hint="cs"/>
          <w:rtl/>
        </w:rPr>
        <w:t>.</w:t>
      </w:r>
    </w:p>
    <w:p w14:paraId="29CA42FE" w14:textId="77777777" w:rsidR="009623A2" w:rsidRPr="00747170" w:rsidRDefault="009623A2" w:rsidP="00747170">
      <w:pPr>
        <w:pStyle w:val="a2"/>
        <w:numPr>
          <w:ilvl w:val="0"/>
          <w:numId w:val="0"/>
        </w:numPr>
        <w:rPr>
          <w:rtl/>
        </w:rPr>
      </w:pPr>
      <w:r w:rsidRPr="00747170">
        <w:rPr>
          <w:rStyle w:val="afff9"/>
          <w:rFonts w:hint="cs"/>
          <w:rtl/>
        </w:rPr>
        <w:t>תרגום מהדו' מוה"ק:</w:t>
      </w:r>
      <w:r w:rsidRPr="00747170">
        <w:rPr>
          <w:rFonts w:hint="cs"/>
          <w:rtl/>
        </w:rPr>
        <w:t xml:space="preserve"> </w:t>
      </w:r>
      <w:r w:rsidRPr="00747170">
        <w:rPr>
          <w:rtl/>
        </w:rPr>
        <w:t>וכל אלו האבות הם רק דוגמאות, כגון אמרו קוצר הוא מאבות מלאכות והוא הדין לכל חותך צמח מחובר לארץ אם נתכוון לאותו דבר שהוא חותך, כגון האורה בתאנים הבוצר בענבים והמוסק בזתים, שכל אחת ממלאכות אלו אין אומרים בה שהיא תולדת קוצר אלא היא הקוצר עצמה, כמו שאין אומרים בשוחט כבש או שור שהיא תולדת שוחט, או מי שבשל מאכל מן המאכלים שהיא תולדת אופה אלא היא האופה בעצמה, וזהו שאומרים בו מלאכות הרבה מעין מלאכה אחת</w:t>
      </w:r>
      <w:r w:rsidRPr="00747170">
        <w:rPr>
          <w:rFonts w:hint="cs"/>
          <w:rtl/>
        </w:rPr>
        <w:t>.</w:t>
      </w:r>
    </w:p>
    <w:p w14:paraId="4F78C252" w14:textId="27E9A7BF" w:rsidR="009623A2" w:rsidRDefault="009623A2" w:rsidP="009623A2">
      <w:pPr>
        <w:pStyle w:val="a7"/>
        <w:rPr>
          <w:rtl/>
        </w:rPr>
      </w:pPr>
      <w:bookmarkStart w:id="201" w:name="_Toc134419602"/>
      <w:r>
        <w:rPr>
          <w:rFonts w:hint="cs"/>
          <w:rtl/>
        </w:rPr>
        <w:t>בי' הרמב"ם בפיהמ"ש דתולדה היא מלאכה אחרת מהאב אך היא מאותו ענין של האב</w:t>
      </w:r>
      <w:bookmarkEnd w:id="201"/>
    </w:p>
    <w:p w14:paraId="66C39888" w14:textId="77777777" w:rsidR="009623A2" w:rsidRPr="002E4B37" w:rsidRDefault="009623A2" w:rsidP="00BC7DC8">
      <w:pPr>
        <w:pStyle w:val="a3"/>
      </w:pPr>
      <w:r>
        <w:rPr>
          <w:rFonts w:hint="cs"/>
          <w:rtl/>
        </w:rPr>
        <w:t xml:space="preserve">וכתב </w:t>
      </w:r>
      <w:r w:rsidRPr="00C444C9">
        <w:rPr>
          <w:rStyle w:val="aff4"/>
          <w:rFonts w:hint="cs"/>
          <w:vanish/>
          <w:rtl/>
        </w:rPr>
        <w:t>-</w:t>
      </w:r>
      <w:r w:rsidRPr="004F32D2">
        <w:rPr>
          <w:rStyle w:val="aff4"/>
          <w:rFonts w:hint="cs"/>
          <w:rtl/>
        </w:rPr>
        <w:t>הרמב"ם בפיהמ"ש</w:t>
      </w:r>
      <w:r w:rsidRPr="00C444C9">
        <w:rPr>
          <w:rStyle w:val="aff4"/>
          <w:rFonts w:hint="cs"/>
          <w:vanish/>
          <w:rtl/>
        </w:rPr>
        <w:t>-</w:t>
      </w:r>
      <w:r>
        <w:rPr>
          <w:rFonts w:hint="cs"/>
          <w:rtl/>
        </w:rPr>
        <w:t xml:space="preserve"> דתולדה היא דבר שהוא מאותו העניין של האב, דאחר שנשנו ל"ט אבות במתני', צריך לחשב מהו העניין בכל אחד מהאבות, ובכל מלאכה שנמצא בה אותו העניין של האב היא נקרא תולדה, וביאר </w:t>
      </w:r>
      <w:r w:rsidRPr="00C444C9">
        <w:rPr>
          <w:rStyle w:val="aff4"/>
          <w:rFonts w:hint="cs"/>
          <w:vanish/>
          <w:rtl/>
        </w:rPr>
        <w:t>-</w:t>
      </w:r>
      <w:r w:rsidRPr="004F32D2">
        <w:rPr>
          <w:rStyle w:val="aff4"/>
          <w:rFonts w:hint="cs"/>
          <w:rtl/>
        </w:rPr>
        <w:t>הרמב"ם בפיהמ"ש</w:t>
      </w:r>
      <w:r w:rsidRPr="00C444C9">
        <w:rPr>
          <w:rStyle w:val="aff4"/>
          <w:rFonts w:hint="cs"/>
          <w:vanish/>
          <w:rtl/>
        </w:rPr>
        <w:t>-</w:t>
      </w:r>
      <w:r>
        <w:rPr>
          <w:rFonts w:hint="cs"/>
          <w:rtl/>
        </w:rPr>
        <w:t xml:space="preserve"> דאחר שנשנית מלאכת טוחן, מבואר דהעניין של המלאכה הוא שטוחן דבר גדול לחלקים קטנים, א"כ תולדות טוחן, הם כשחותך ירקות או מנסר את העץ בכדי לקבל את הנוסרת הוא ששף מתכת בכדי לקבל את השפייה שלה, שמבקע עצים להסקה, והוסיף </w:t>
      </w:r>
      <w:r w:rsidRPr="00C444C9">
        <w:rPr>
          <w:rStyle w:val="aff4"/>
          <w:rFonts w:hint="cs"/>
          <w:vanish/>
          <w:rtl/>
        </w:rPr>
        <w:t>-</w:t>
      </w:r>
      <w:r w:rsidRPr="004F32D2">
        <w:rPr>
          <w:rStyle w:val="aff4"/>
          <w:rFonts w:hint="cs"/>
          <w:rtl/>
        </w:rPr>
        <w:t>הרמב"ם בפיהמ"ש</w:t>
      </w:r>
      <w:r w:rsidRPr="00C444C9">
        <w:rPr>
          <w:rStyle w:val="aff4"/>
          <w:rFonts w:hint="cs"/>
          <w:vanish/>
          <w:rtl/>
        </w:rPr>
        <w:t>-</w:t>
      </w:r>
      <w:r>
        <w:rPr>
          <w:rFonts w:hint="cs"/>
          <w:rtl/>
        </w:rPr>
        <w:t xml:space="preserve"> דה"ה בבישול דעניין המלאכה הוא ריכוך גוף קשה, לכן המתיך מתכת או המחמם אותה הוא תולדה של אופה, אף שלא הבעיר אש כלל ולא ליבה את האש, ורק הביא את המתכת לתוך אש בוערת עד שהתחממה, וכתב </w:t>
      </w:r>
      <w:r w:rsidRPr="00C444C9">
        <w:rPr>
          <w:rStyle w:val="aff4"/>
          <w:rFonts w:hint="cs"/>
          <w:vanish/>
          <w:rtl/>
        </w:rPr>
        <w:t>-</w:t>
      </w:r>
      <w:r w:rsidRPr="004F32D2">
        <w:rPr>
          <w:rStyle w:val="aff4"/>
          <w:rFonts w:hint="cs"/>
          <w:rtl/>
        </w:rPr>
        <w:t>הרמב"ם בפיהמ"ש</w:t>
      </w:r>
      <w:r w:rsidRPr="00C444C9">
        <w:rPr>
          <w:rStyle w:val="aff4"/>
          <w:rFonts w:hint="cs"/>
          <w:vanish/>
          <w:rtl/>
        </w:rPr>
        <w:t>-</w:t>
      </w:r>
      <w:r>
        <w:rPr>
          <w:rFonts w:hint="cs"/>
          <w:rtl/>
        </w:rPr>
        <w:t xml:space="preserve"> דזהו הביאור בכל התולדות, עיי"ש בדבריו דביאר את העניין במלאכות אורג ומעבד .</w:t>
      </w:r>
    </w:p>
    <w:p w14:paraId="78BF83F3" w14:textId="77777777" w:rsidR="009623A2" w:rsidRPr="00747170" w:rsidRDefault="009623A2" w:rsidP="00747170">
      <w:pPr>
        <w:pStyle w:val="a2"/>
      </w:pPr>
      <w:r w:rsidRPr="00747170">
        <w:rPr>
          <w:rtl/>
        </w:rPr>
        <w:t>אבל התולדה שתקח ענין אותה המלאכה המנויה באבות בלבד ובאיזה מקום שתמצא אותו הענין הוא תולדה לאותו האב המשל על זה אמרנו כי הטוחן הוא מאבות מלאכות וענין הטחינה הוא כתיתת החלק הגדול ועשייתו חלקים קטנים ולפיכך חתוך הירקות בשבת או נסירת עץ לקבל הנסורת שלו או טחינת שפיית חתיכת מתכת לקחת טחינתו או כריתת עצים לשריפה כל זה תולדות טוחן וכמו כן ענין הבשול הוא רפיון העצמים הקשים</w:t>
      </w:r>
      <w:r w:rsidRPr="00747170">
        <w:rPr>
          <w:rFonts w:hint="cs"/>
          <w:rtl/>
        </w:rPr>
        <w:t xml:space="preserve">, ולפיכך כל מי </w:t>
      </w:r>
      <w:r w:rsidRPr="00747170">
        <w:rPr>
          <w:rtl/>
        </w:rPr>
        <w:t>שיתיך דבר מן המתכות או יחם אותם הוא תולדות אופה אע"פ שאינו מדליק אש ואינו מבעיר אותה אלא שנותן ההתכה באש בוער עד שתתחמם ועל זה הדרך תקח הסברא כי ענין האריגה קבוץ החלקים הנפרדים ודבוקם והכנסת קצתם בקצתם וענין העבוד חזוק הדברים הרפים כדי שלא יפסדו במהרה והבן הענין ושמרהו וזכור אותו תמיד כשתראה מלאכה מן המלאכות תעיין תולדות איזה אב היא ולא יתערב עליך המעשה שהוא אב מן האבות עם התולדה כאשר בארתי לך</w:t>
      </w:r>
      <w:r w:rsidRPr="00747170">
        <w:rPr>
          <w:rFonts w:hint="cs"/>
          <w:rtl/>
        </w:rPr>
        <w:t>.</w:t>
      </w:r>
    </w:p>
    <w:p w14:paraId="66360CB8" w14:textId="77777777" w:rsidR="009623A2" w:rsidRPr="00747170" w:rsidRDefault="009623A2" w:rsidP="00747170">
      <w:pPr>
        <w:pStyle w:val="a2"/>
        <w:numPr>
          <w:ilvl w:val="0"/>
          <w:numId w:val="0"/>
        </w:numPr>
      </w:pPr>
      <w:r w:rsidRPr="00747170">
        <w:rPr>
          <w:rStyle w:val="afff9"/>
          <w:rFonts w:hint="cs"/>
          <w:rtl/>
        </w:rPr>
        <w:t>תרגום מהדו' מוה"ק:</w:t>
      </w:r>
      <w:r w:rsidRPr="00747170">
        <w:rPr>
          <w:rFonts w:hint="cs"/>
          <w:rtl/>
        </w:rPr>
        <w:t xml:space="preserve"> </w:t>
      </w:r>
      <w:r w:rsidRPr="00747170">
        <w:rPr>
          <w:rtl/>
        </w:rPr>
        <w:t>והתולדה, הוא שתחשוב בלבך על תוצאות פעולת אותה מלאכה המנויה באבות, וכל מקום שתמצא אותה פעולה זהו תולדה לאותו האב, כגון זה שאמרנו שטוחן מאבות מלאכות, וענין טוחן הוא טחינת חלק גדול והפיכתו חלקים קטנים, ולפיכך חיתוך הירקות בשבת, או נסירת העץ לקחת הנסורת שלו, או שיפת המתכת לקחת הנסורת שלה, או בקוע העצים להסקה כל זה תולדת טוחן. וכן ענין הבשול הוא לרכך הגופים</w:t>
      </w:r>
      <w:r w:rsidRPr="00747170">
        <w:rPr>
          <w:rFonts w:hint="cs"/>
          <w:rtl/>
        </w:rPr>
        <w:t>,</w:t>
      </w:r>
      <w:r w:rsidRPr="00747170">
        <w:rPr>
          <w:rtl/>
        </w:rPr>
        <w:t xml:space="preserve"> ולפיכך המתיך אחת מן המתכות או המחמם אותה הרי זה תולדת אופה אף על פי שלא הבעיר אש ולא לבה אותה אלא הכניס אותה המתכת לתוך אש בוערת עד שנתחממה. ועל דרך זו תדון בכולן. לפי שענין האריגה הוא צירוף חלקים נפרדים וחבורם זה לזה על ידי שלוב. וענין העבוד הוא חזוק הדברים הרכים כדי שלא ימהרו להתקלקל. והבן ענין זה והתבונן בו תמיד כשתראה מלאכה מן המלאכות שתדע תולדת איזה אב היא, ולא תתחלף לך מלאכה שהיא כאב מן האבות בתולדה כמו שביארתי לך.</w:t>
      </w:r>
    </w:p>
    <w:p w14:paraId="4292CA08" w14:textId="50363600" w:rsidR="009623A2" w:rsidRDefault="009623A2" w:rsidP="009623A2">
      <w:pPr>
        <w:pStyle w:val="afffff7"/>
        <w:rPr>
          <w:rtl/>
        </w:rPr>
      </w:pPr>
      <w:bookmarkStart w:id="202" w:name="_Toc133841647"/>
      <w:bookmarkStart w:id="203" w:name="_Toc163505395"/>
      <w:r>
        <w:rPr>
          <w:rtl/>
        </w:rPr>
        <w:t xml:space="preserve">אור זרוע </w:t>
      </w:r>
      <w:r>
        <w:rPr>
          <w:rFonts w:hint="cs"/>
          <w:rtl/>
        </w:rPr>
        <w:t>ח</w:t>
      </w:r>
      <w:r>
        <w:rPr>
          <w:rFonts w:cs="Guttman Hodes" w:hint="cs"/>
          <w:rtl/>
        </w:rPr>
        <w:t>"</w:t>
      </w:r>
      <w:r>
        <w:rPr>
          <w:rFonts w:hint="cs"/>
          <w:rtl/>
        </w:rPr>
        <w:t>ב</w:t>
      </w:r>
      <w:r>
        <w:rPr>
          <w:rtl/>
        </w:rPr>
        <w:t xml:space="preserve"> הלכות שבת סימן נד</w:t>
      </w:r>
      <w:bookmarkEnd w:id="202"/>
      <w:bookmarkEnd w:id="203"/>
    </w:p>
    <w:p w14:paraId="145D70EC" w14:textId="77777777" w:rsidR="009623A2" w:rsidRDefault="009623A2" w:rsidP="009623A2">
      <w:pPr>
        <w:pStyle w:val="a7"/>
        <w:rPr>
          <w:rtl/>
        </w:rPr>
      </w:pPr>
      <w:bookmarkStart w:id="204" w:name="_Toc134419603"/>
      <w:r>
        <w:rPr>
          <w:rFonts w:hint="cs"/>
          <w:rtl/>
        </w:rPr>
        <w:t>הוכחת האו"ז מהגמ' במו"ק דאף זומר הוא אב כרמב"ם ולא כרש"י ולכן לא תני בברייתא משקה</w:t>
      </w:r>
      <w:bookmarkEnd w:id="204"/>
    </w:p>
    <w:p w14:paraId="5FC1C34E" w14:textId="5A52D502" w:rsidR="009623A2" w:rsidRPr="00960FEE" w:rsidRDefault="009623A2" w:rsidP="00BC7DC8">
      <w:pPr>
        <w:pStyle w:val="a3"/>
        <w:rPr>
          <w:rtl/>
        </w:rPr>
      </w:pPr>
      <w:bookmarkStart w:id="205" w:name="_Ref133483801"/>
      <w:r>
        <w:rPr>
          <w:rFonts w:hint="cs"/>
          <w:rtl/>
        </w:rPr>
        <w:t xml:space="preserve">בהא דנחלקו רבה ורב יוסף בגמ' במו"ק </w:t>
      </w:r>
      <w:r w:rsidRPr="002A0D0C">
        <w:rPr>
          <w:rStyle w:val="af2"/>
          <w:rFonts w:eastAsia="Guttman Hodes" w:hint="cs"/>
          <w:rtl/>
        </w:rPr>
        <w:t>(ב:)</w:t>
      </w:r>
      <w:r>
        <w:rPr>
          <w:rFonts w:hint="cs"/>
          <w:rtl/>
        </w:rPr>
        <w:t xml:space="preserve"> במנכש ומשקה אי מתרינן ביה משום חורש, או משום זורע, הקשה </w:t>
      </w:r>
      <w:r w:rsidRPr="00C444C9">
        <w:rPr>
          <w:rStyle w:val="aff4"/>
          <w:rFonts w:hint="cs"/>
          <w:vanish/>
          <w:rtl/>
        </w:rPr>
        <w:t>-</w:t>
      </w:r>
      <w:r w:rsidRPr="004F32D2">
        <w:rPr>
          <w:rStyle w:val="aff4"/>
          <w:rFonts w:hint="cs"/>
          <w:rtl/>
        </w:rPr>
        <w:t>ה</w:t>
      </w:r>
      <w:r w:rsidRPr="00C444C9">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Ref133483801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לד)</w:t>
      </w:r>
      <w:r>
        <w:rPr>
          <w:rStyle w:val="aff4"/>
          <w:vanish/>
          <w:rtl/>
        </w:rPr>
        <w:fldChar w:fldCharType="end"/>
      </w:r>
      <w:r w:rsidRPr="00C444C9">
        <w:rPr>
          <w:rStyle w:val="aff4"/>
          <w:rFonts w:hint="cs"/>
          <w:vanish/>
          <w:rtl/>
        </w:rPr>
        <w:t xml:space="preserve"> &gt;</w:t>
      </w:r>
      <w:r w:rsidRPr="004F32D2">
        <w:rPr>
          <w:rStyle w:val="aff4"/>
          <w:rFonts w:hint="cs"/>
          <w:rtl/>
        </w:rPr>
        <w:t>אור זרוע</w:t>
      </w:r>
      <w:r w:rsidRPr="00C444C9">
        <w:rPr>
          <w:rStyle w:val="aff4"/>
          <w:rFonts w:hint="cs"/>
          <w:vanish/>
          <w:rtl/>
        </w:rPr>
        <w:t>-</w:t>
      </w:r>
      <w:r>
        <w:rPr>
          <w:rFonts w:hint="cs"/>
          <w:rtl/>
        </w:rPr>
        <w:t xml:space="preserve"> </w:t>
      </w:r>
      <w:r w:rsidRPr="002A0D0C">
        <w:rPr>
          <w:rStyle w:val="af2"/>
          <w:rFonts w:eastAsia="Guttman Hodes" w:hint="cs"/>
          <w:rtl/>
        </w:rPr>
        <w:t>(ח"ב שבת נ"ד ד"ה הזורע)</w:t>
      </w:r>
      <w:r w:rsidRPr="00350A80">
        <w:rPr>
          <w:rFonts w:hint="cs"/>
          <w:vanish/>
          <w:rtl/>
        </w:rPr>
        <w:t>=</w:t>
      </w:r>
      <w:r>
        <w:rPr>
          <w:rFonts w:hint="cs"/>
          <w:rtl/>
        </w:rPr>
        <w:t xml:space="preserve"> דלרב יוסף דס"ל דמשקה חייב משום זורע, אמאי לא תני גם משקה בברייתא דמהמבריך והמרכיב וכו'</w:t>
      </w:r>
      <w:r w:rsidRPr="009D585A">
        <w:rPr>
          <w:rFonts w:hint="cs"/>
          <w:rtl/>
        </w:rPr>
        <w:t xml:space="preserve"> </w:t>
      </w:r>
      <w:r>
        <w:rPr>
          <w:rFonts w:hint="cs"/>
          <w:rtl/>
        </w:rPr>
        <w:t xml:space="preserve">כולן מלאכה אחת הן, וכן לרבה דס"ל דחייב משום חורש, אמאי לא תני לה בברייתא דחופר וחורש וכו' כולן מלאכה אחת הן, ותירץ </w:t>
      </w:r>
      <w:r w:rsidRPr="00C444C9">
        <w:rPr>
          <w:rStyle w:val="aff4"/>
          <w:rFonts w:hint="cs"/>
          <w:vanish/>
          <w:rtl/>
        </w:rPr>
        <w:t>-</w:t>
      </w:r>
      <w:r w:rsidRPr="004F32D2">
        <w:rPr>
          <w:rStyle w:val="aff4"/>
          <w:rFonts w:hint="cs"/>
          <w:rtl/>
        </w:rPr>
        <w:t>האור זרוע</w:t>
      </w:r>
      <w:r w:rsidRPr="00C444C9">
        <w:rPr>
          <w:rStyle w:val="aff4"/>
          <w:rFonts w:hint="cs"/>
          <w:vanish/>
          <w:rtl/>
        </w:rPr>
        <w:t>-</w:t>
      </w:r>
      <w:r>
        <w:rPr>
          <w:rFonts w:hint="cs"/>
          <w:rtl/>
        </w:rPr>
        <w:t xml:space="preserve"> דכוונת הבברייתא דכולן מלאכה אחת הן, היא דכולן הם אבות, ואילו משקה ומנכש הם תולדות, וכתב </w:t>
      </w:r>
      <w:r w:rsidRPr="00C444C9">
        <w:rPr>
          <w:rStyle w:val="aff4"/>
          <w:rFonts w:hint="cs"/>
          <w:vanish/>
          <w:rtl/>
        </w:rPr>
        <w:t>-</w:t>
      </w:r>
      <w:r w:rsidRPr="004F32D2">
        <w:rPr>
          <w:rStyle w:val="aff4"/>
          <w:rFonts w:hint="cs"/>
          <w:rtl/>
        </w:rPr>
        <w:t>האור זרוע</w:t>
      </w:r>
      <w:r w:rsidRPr="00C444C9">
        <w:rPr>
          <w:rStyle w:val="aff4"/>
          <w:rFonts w:hint="cs"/>
          <w:vanish/>
          <w:rtl/>
        </w:rPr>
        <w:t>-</w:t>
      </w:r>
      <w:r>
        <w:rPr>
          <w:rFonts w:hint="cs"/>
          <w:rtl/>
        </w:rPr>
        <w:t xml:space="preserve"> דא"כ מהגמ' במו"ק מוכח כדעת </w:t>
      </w:r>
      <w:r w:rsidRPr="00C444C9">
        <w:rPr>
          <w:rStyle w:val="aff4"/>
          <w:rFonts w:hint="cs"/>
          <w:vanish/>
          <w:rtl/>
        </w:rPr>
        <w:t>-</w:t>
      </w:r>
      <w:r w:rsidRPr="004F32D2">
        <w:rPr>
          <w:rStyle w:val="aff4"/>
          <w:rFonts w:hint="cs"/>
          <w:rtl/>
        </w:rPr>
        <w:t>הרמב"ם</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sidRPr="002A0D0C">
        <w:rPr>
          <w:rStyle w:val="af2"/>
          <w:rFonts w:eastAsia="Guttman Hodes"/>
          <w:rtl/>
        </w:rPr>
        <w:fldChar w:fldCharType="begin"/>
      </w:r>
      <w:r w:rsidRPr="002A0D0C">
        <w:rPr>
          <w:rStyle w:val="af2"/>
          <w:rFonts w:eastAsia="Guttman Hodes"/>
          <w:rtl/>
        </w:rPr>
        <w:instrText xml:space="preserve"> </w:instrText>
      </w:r>
      <w:r w:rsidRPr="002A0D0C">
        <w:rPr>
          <w:rStyle w:val="af2"/>
          <w:rFonts w:eastAsia="Guttman Hodes" w:hint="cs"/>
        </w:rPr>
        <w:instrText>REF</w:instrText>
      </w:r>
      <w:r w:rsidRPr="002A0D0C">
        <w:rPr>
          <w:rStyle w:val="af2"/>
          <w:rFonts w:eastAsia="Guttman Hodes" w:hint="cs"/>
          <w:rtl/>
        </w:rPr>
        <w:instrText xml:space="preserve"> _</w:instrText>
      </w:r>
      <w:r w:rsidRPr="002A0D0C">
        <w:rPr>
          <w:rStyle w:val="af2"/>
          <w:rFonts w:eastAsia="Guttman Hodes" w:hint="cs"/>
        </w:rPr>
        <w:instrText>Ref133477286 \r \h</w:instrText>
      </w:r>
      <w:r w:rsidRPr="002A0D0C">
        <w:rPr>
          <w:rStyle w:val="af2"/>
          <w:rFonts w:eastAsia="Guttman Hodes"/>
          <w:rtl/>
        </w:rPr>
        <w:instrText xml:space="preserve"> </w:instrText>
      </w:r>
      <w:r w:rsidRPr="002A0D0C">
        <w:rPr>
          <w:rStyle w:val="af2"/>
          <w:rFonts w:eastAsia="Guttman Hodes"/>
          <w:rtl/>
        </w:rPr>
      </w:r>
      <w:r w:rsidRPr="002A0D0C">
        <w:rPr>
          <w:rStyle w:val="af2"/>
          <w:rFonts w:eastAsia="Guttman Hodes"/>
          <w:rtl/>
        </w:rPr>
        <w:fldChar w:fldCharType="separate"/>
      </w:r>
      <w:r w:rsidR="00D82181">
        <w:rPr>
          <w:rStyle w:val="af2"/>
          <w:rFonts w:eastAsia="Guttman Hodes"/>
          <w:cs/>
        </w:rPr>
        <w:t>‎</w:t>
      </w:r>
      <w:r w:rsidR="00D82181">
        <w:rPr>
          <w:rStyle w:val="af2"/>
          <w:rFonts w:eastAsia="Guttman Hodes"/>
          <w:rtl/>
        </w:rPr>
        <w:t>כט)</w:t>
      </w:r>
      <w:r w:rsidRPr="002A0D0C">
        <w:rPr>
          <w:rStyle w:val="af2"/>
          <w:rFonts w:eastAsia="Guttman Hodes"/>
          <w:rtl/>
        </w:rPr>
        <w:fldChar w:fldCharType="end"/>
      </w:r>
      <w:r>
        <w:rPr>
          <w:rFonts w:hint="cs"/>
          <w:rtl/>
        </w:rPr>
        <w:t xml:space="preserve"> דכולן הם אבות, ודלא </w:t>
      </w:r>
      <w:r w:rsidRPr="00C444C9">
        <w:rPr>
          <w:rStyle w:val="aff4"/>
          <w:rFonts w:hint="cs"/>
          <w:vanish/>
          <w:rtl/>
        </w:rPr>
        <w:t>-</w:t>
      </w:r>
      <w:r w:rsidRPr="004F32D2">
        <w:rPr>
          <w:rStyle w:val="aff4"/>
          <w:rFonts w:hint="cs"/>
          <w:rtl/>
        </w:rPr>
        <w:t>כרש"י</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sidRPr="002A0D0C">
        <w:rPr>
          <w:rStyle w:val="af2"/>
          <w:rFonts w:eastAsia="Guttman Hodes"/>
          <w:rtl/>
        </w:rPr>
        <w:fldChar w:fldCharType="begin"/>
      </w:r>
      <w:r w:rsidRPr="002A0D0C">
        <w:rPr>
          <w:rStyle w:val="af2"/>
          <w:rFonts w:eastAsia="Guttman Hodes"/>
          <w:rtl/>
        </w:rPr>
        <w:instrText xml:space="preserve"> </w:instrText>
      </w:r>
      <w:r w:rsidRPr="002A0D0C">
        <w:rPr>
          <w:rStyle w:val="af2"/>
          <w:rFonts w:eastAsia="Guttman Hodes" w:hint="cs"/>
        </w:rPr>
        <w:instrText>REF</w:instrText>
      </w:r>
      <w:r w:rsidRPr="002A0D0C">
        <w:rPr>
          <w:rStyle w:val="af2"/>
          <w:rFonts w:eastAsia="Guttman Hodes" w:hint="cs"/>
          <w:rtl/>
        </w:rPr>
        <w:instrText xml:space="preserve"> _</w:instrText>
      </w:r>
      <w:r w:rsidRPr="002A0D0C">
        <w:rPr>
          <w:rStyle w:val="af2"/>
          <w:rFonts w:eastAsia="Guttman Hodes" w:hint="cs"/>
        </w:rPr>
        <w:instrText>Ref133481736 \r \h</w:instrText>
      </w:r>
      <w:r w:rsidRPr="002A0D0C">
        <w:rPr>
          <w:rStyle w:val="af2"/>
          <w:rFonts w:eastAsia="Guttman Hodes"/>
          <w:rtl/>
        </w:rPr>
        <w:instrText xml:space="preserve"> </w:instrText>
      </w:r>
      <w:r w:rsidRPr="002A0D0C">
        <w:rPr>
          <w:rStyle w:val="af2"/>
          <w:rFonts w:eastAsia="Guttman Hodes"/>
          <w:rtl/>
        </w:rPr>
      </w:r>
      <w:r w:rsidRPr="002A0D0C">
        <w:rPr>
          <w:rStyle w:val="af2"/>
          <w:rFonts w:eastAsia="Guttman Hodes"/>
          <w:rtl/>
        </w:rPr>
        <w:fldChar w:fldCharType="separate"/>
      </w:r>
      <w:r w:rsidR="00D82181">
        <w:rPr>
          <w:rStyle w:val="af2"/>
          <w:rFonts w:eastAsia="Guttman Hodes"/>
          <w:cs/>
        </w:rPr>
        <w:t>‎</w:t>
      </w:r>
      <w:r w:rsidR="00D82181">
        <w:rPr>
          <w:rStyle w:val="af2"/>
          <w:rFonts w:eastAsia="Guttman Hodes"/>
          <w:rtl/>
        </w:rPr>
        <w:t>א)</w:t>
      </w:r>
      <w:r w:rsidRPr="002A0D0C">
        <w:rPr>
          <w:rStyle w:val="af2"/>
          <w:rFonts w:eastAsia="Guttman Hodes"/>
          <w:rtl/>
        </w:rPr>
        <w:fldChar w:fldCharType="end"/>
      </w:r>
      <w:r>
        <w:rPr>
          <w:rFonts w:hint="cs"/>
          <w:rtl/>
        </w:rPr>
        <w:t xml:space="preserve"> דס"ל דזומר הוא תולדה.</w:t>
      </w:r>
      <w:bookmarkEnd w:id="205"/>
    </w:p>
    <w:p w14:paraId="276E82AB" w14:textId="77777777" w:rsidR="009623A2" w:rsidRPr="00747170" w:rsidRDefault="009623A2" w:rsidP="00747170">
      <w:pPr>
        <w:pStyle w:val="a2"/>
        <w:rPr>
          <w:rtl/>
        </w:rPr>
      </w:pPr>
      <w:r w:rsidRPr="00747170">
        <w:rPr>
          <w:rtl/>
        </w:rPr>
        <w:t>הזורע אתמר המנכש והמשקה מים בשבת משום מאי מתרינן ביה רבה אמר משום חורש רב יוסף אמר משום זורע אמר רבה כוותיה דידי מסתברא מה דרכו של חורש לרפויי ארעא אף האי נמי מרפה ארעא פי' רשב"ם דבתר עיקר המלאכה אזלינן ודמי לחורש אבל לזורע לא דמי כלל והיינו סברת רבה דבתר המעשה אזלינן ולא אחר המחשבה ורב יוסף [סבר] כיון שמחשבתו לאצמוחי פירא בתר המחשבה אזלינן דהוי' עיקר ולא אזלינן בתר הדמיון עכ"ל ובספר שלפני כתוב רבא וטעות הוא דרבא בתר מחשבה אזיל כדמוכח בפ' ר' ישמעאל כמה שאפרש מיד ולא תקשה לך ההוא דכלל גדול דתנא הזורע והזומר והנוטע והמבריך והמרכיב כולן מלאכה אחת הן לרב יוסף דאמר משקה משום זורע לתני והמשקה דה"נ התם תנא החופר והחורש והחורץ כולן מלאכה אחת הן ולרבה לתני והמשקה אלא בין לרבה בין לרב יוסף לא קשיא דהתם ה"פ כולן מלאכה אחת הן כלומר הכל הוי אב מלאכה אחת וכן נמי פי' בההיא דהחופר והחורש והחורץ דאי תולדות [נמי] קתני להו הא קיי"ל דאתולד' במקום אב לא מחייב והשתא אתי שפיר דלא תני המנכש והמשקה לא בכלל זורע ולא בכלל חורש דהנהו תולדות נינהו וכן פירש הדבר ר' משה מיימון זצ"ל אחד הזורע זרעים ואחד הנוטע אילנות או המבריך או המרכיב אילנות או הזומר כל אילו אב אחד הן מאבות מלאכות וענין אחד הוא שכל אחת מהן לצמח דבר מתכוין עכ"ל ודלא כפרש"י דפירש זומר תולדה.</w:t>
      </w:r>
    </w:p>
    <w:p w14:paraId="5597B336" w14:textId="3E0469DD" w:rsidR="009623A2" w:rsidRDefault="009623A2" w:rsidP="009623A2">
      <w:pPr>
        <w:pStyle w:val="afffff7"/>
        <w:rPr>
          <w:rtl/>
        </w:rPr>
      </w:pPr>
      <w:bookmarkStart w:id="206" w:name="_Toc133841648"/>
      <w:bookmarkStart w:id="207" w:name="_Toc163505396"/>
      <w:r w:rsidRPr="00383B81">
        <w:rPr>
          <w:rtl/>
        </w:rPr>
        <w:t>מאירי שבת ע"ג ע"</w:t>
      </w:r>
      <w:r w:rsidRPr="004504F2">
        <w:rPr>
          <w:rtl/>
        </w:rPr>
        <w:t>א</w:t>
      </w:r>
      <w:r>
        <w:rPr>
          <w:rFonts w:hint="cs"/>
          <w:rtl/>
        </w:rPr>
        <w:t xml:space="preserve"> ד"ה א' הזורע</w:t>
      </w:r>
      <w:bookmarkEnd w:id="206"/>
      <w:bookmarkEnd w:id="207"/>
    </w:p>
    <w:p w14:paraId="37C2F755" w14:textId="77777777" w:rsidR="009623A2" w:rsidRDefault="009623A2" w:rsidP="009623A2">
      <w:pPr>
        <w:pStyle w:val="a7"/>
        <w:rPr>
          <w:rtl/>
        </w:rPr>
      </w:pPr>
      <w:bookmarkStart w:id="208" w:name="_Toc134419604"/>
      <w:r>
        <w:rPr>
          <w:rFonts w:hint="cs"/>
          <w:rtl/>
        </w:rPr>
        <w:t>בי' המאירי דזורע הוא האב למלאכות שמצמיחות והדומה להם וזומר בכללם דכוונתו להצמיח</w:t>
      </w:r>
      <w:bookmarkEnd w:id="208"/>
    </w:p>
    <w:p w14:paraId="4D97541D" w14:textId="6366CE59" w:rsidR="009623A2" w:rsidRPr="00EC4E4C" w:rsidRDefault="009623A2" w:rsidP="00BC7DC8">
      <w:pPr>
        <w:pStyle w:val="a3"/>
        <w:rPr>
          <w:rtl/>
        </w:rPr>
      </w:pPr>
      <w:bookmarkStart w:id="209" w:name="_Ref133361194"/>
      <w:r>
        <w:rPr>
          <w:rFonts w:hint="cs"/>
          <w:rtl/>
        </w:rPr>
        <w:t xml:space="preserve">כתב </w:t>
      </w:r>
      <w:r w:rsidRPr="00C444C9">
        <w:rPr>
          <w:rStyle w:val="aff4"/>
          <w:rFonts w:hint="cs"/>
          <w:vanish/>
          <w:rtl/>
        </w:rPr>
        <w:t>-</w:t>
      </w:r>
      <w:r w:rsidRPr="004F32D2">
        <w:rPr>
          <w:rStyle w:val="aff4"/>
          <w:rFonts w:hint="cs"/>
          <w:rtl/>
        </w:rPr>
        <w:t>ה</w:t>
      </w:r>
      <w:r w:rsidRPr="00C444C9">
        <w:rPr>
          <w:rStyle w:val="aff4"/>
          <w:rFonts w:hint="cs"/>
          <w:vanish/>
          <w:rtl/>
        </w:rPr>
        <w:t xml:space="preserve">&lt;. </w:t>
      </w:r>
      <w:r w:rsidRPr="00C444C9">
        <w:rPr>
          <w:rStyle w:val="aff4"/>
          <w:vanish/>
          <w:rtl/>
        </w:rPr>
        <w:fldChar w:fldCharType="begin"/>
      </w:r>
      <w:r w:rsidRPr="00C444C9">
        <w:rPr>
          <w:rStyle w:val="aff4"/>
          <w:vanish/>
          <w:rtl/>
        </w:rPr>
        <w:instrText xml:space="preserve"> </w:instrText>
      </w:r>
      <w:r w:rsidRPr="00C444C9">
        <w:rPr>
          <w:rStyle w:val="aff4"/>
          <w:rFonts w:hint="cs"/>
          <w:vanish/>
        </w:rPr>
        <w:instrText>REF</w:instrText>
      </w:r>
      <w:r w:rsidRPr="00C444C9">
        <w:rPr>
          <w:rStyle w:val="aff4"/>
          <w:rFonts w:hint="cs"/>
          <w:vanish/>
          <w:rtl/>
        </w:rPr>
        <w:instrText xml:space="preserve"> _</w:instrText>
      </w:r>
      <w:r w:rsidRPr="00C444C9">
        <w:rPr>
          <w:rStyle w:val="aff4"/>
          <w:rFonts w:hint="cs"/>
          <w:vanish/>
        </w:rPr>
        <w:instrText>Ref133361194 \r \h</w:instrText>
      </w:r>
      <w:r w:rsidRPr="00C444C9">
        <w:rPr>
          <w:rStyle w:val="aff4"/>
          <w:vanish/>
          <w:rtl/>
        </w:rPr>
        <w:instrText xml:space="preserve"> </w:instrText>
      </w:r>
      <w:r w:rsidRPr="00C444C9">
        <w:rPr>
          <w:rStyle w:val="aff4"/>
          <w:vanish/>
          <w:rtl/>
        </w:rPr>
      </w:r>
      <w:r w:rsidRPr="00C444C9">
        <w:rPr>
          <w:rStyle w:val="aff4"/>
          <w:vanish/>
          <w:rtl/>
        </w:rPr>
        <w:fldChar w:fldCharType="separate"/>
      </w:r>
      <w:r w:rsidR="00D82181">
        <w:rPr>
          <w:rStyle w:val="aff4"/>
          <w:vanish/>
          <w:cs/>
        </w:rPr>
        <w:t>‎</w:t>
      </w:r>
      <w:r w:rsidR="00D82181">
        <w:rPr>
          <w:rStyle w:val="aff4"/>
          <w:vanish/>
          <w:rtl/>
        </w:rPr>
        <w:t>לה)</w:t>
      </w:r>
      <w:r w:rsidRPr="00C444C9">
        <w:rPr>
          <w:rStyle w:val="aff4"/>
          <w:vanish/>
          <w:rtl/>
        </w:rPr>
        <w:fldChar w:fldCharType="end"/>
      </w:r>
      <w:r w:rsidRPr="00C444C9">
        <w:rPr>
          <w:rStyle w:val="aff4"/>
          <w:rFonts w:hint="cs"/>
          <w:vanish/>
          <w:rtl/>
        </w:rPr>
        <w:t xml:space="preserve"> &gt;</w:t>
      </w:r>
      <w:r w:rsidRPr="004F32D2">
        <w:rPr>
          <w:rStyle w:val="aff4"/>
          <w:rFonts w:hint="cs"/>
          <w:rtl/>
        </w:rPr>
        <w:t>מאירי</w:t>
      </w:r>
      <w:r w:rsidRPr="00C444C9">
        <w:rPr>
          <w:rStyle w:val="aff4"/>
          <w:rFonts w:hint="cs"/>
          <w:vanish/>
          <w:rtl/>
        </w:rPr>
        <w:t>-</w:t>
      </w:r>
      <w:r>
        <w:rPr>
          <w:rFonts w:hint="cs"/>
          <w:rtl/>
        </w:rPr>
        <w:t xml:space="preserve"> </w:t>
      </w:r>
      <w:r w:rsidRPr="002A0D0C">
        <w:rPr>
          <w:rStyle w:val="af2"/>
          <w:rFonts w:eastAsia="Guttman Hodes" w:hint="cs"/>
          <w:rtl/>
        </w:rPr>
        <w:t>(ד"ה א' הזורע)</w:t>
      </w:r>
      <w:r>
        <w:rPr>
          <w:rFonts w:hint="cs"/>
          <w:vanish/>
          <w:rtl/>
        </w:rPr>
        <w:t>=</w:t>
      </w:r>
      <w:r>
        <w:rPr>
          <w:rFonts w:hint="cs"/>
          <w:rtl/>
        </w:rPr>
        <w:t xml:space="preserve"> דזורע הוא האב לכל הדברים שמצמיחים, והתולדות הם נוטע מבריך ומרכיב והדומים להם, וכתב </w:t>
      </w:r>
      <w:r w:rsidRPr="00C444C9">
        <w:rPr>
          <w:rStyle w:val="aff4"/>
          <w:rFonts w:hint="cs"/>
          <w:vanish/>
          <w:rtl/>
        </w:rPr>
        <w:t>-</w:t>
      </w:r>
      <w:r w:rsidRPr="004F32D2">
        <w:rPr>
          <w:rStyle w:val="aff4"/>
          <w:rFonts w:hint="cs"/>
          <w:rtl/>
        </w:rPr>
        <w:t>ה</w:t>
      </w:r>
      <w:r w:rsidRPr="00C444C9">
        <w:rPr>
          <w:rStyle w:val="aff4"/>
          <w:rFonts w:hint="cs"/>
          <w:vanish/>
          <w:rtl/>
        </w:rPr>
        <w:t>&lt; &gt;</w:t>
      </w:r>
      <w:r w:rsidRPr="004F32D2">
        <w:rPr>
          <w:rStyle w:val="aff4"/>
          <w:rFonts w:hint="cs"/>
          <w:rtl/>
        </w:rPr>
        <w:t>מאירי</w:t>
      </w:r>
      <w:r w:rsidRPr="00C444C9">
        <w:rPr>
          <w:rStyle w:val="aff4"/>
          <w:rFonts w:hint="cs"/>
          <w:vanish/>
          <w:rtl/>
        </w:rPr>
        <w:t>-</w:t>
      </w:r>
      <w:r>
        <w:rPr>
          <w:rFonts w:hint="cs"/>
          <w:rtl/>
        </w:rPr>
        <w:t xml:space="preserve"> </w:t>
      </w:r>
      <w:r w:rsidRPr="002A0D0C">
        <w:rPr>
          <w:rStyle w:val="af2"/>
          <w:rFonts w:eastAsia="Guttman Hodes" w:hint="cs"/>
          <w:rtl/>
        </w:rPr>
        <w:t>(ד"ה אף)</w:t>
      </w:r>
      <w:r>
        <w:rPr>
          <w:rFonts w:hint="cs"/>
          <w:vanish/>
          <w:rtl/>
        </w:rPr>
        <w:t>=</w:t>
      </w:r>
      <w:r>
        <w:rPr>
          <w:rFonts w:hint="cs"/>
          <w:rtl/>
        </w:rPr>
        <w:t xml:space="preserve"> דגם זומר הוא בכלל נוטע כיון דכוונתו להצמיח.</w:t>
      </w:r>
      <w:bookmarkEnd w:id="209"/>
    </w:p>
    <w:p w14:paraId="4182CD61" w14:textId="77777777" w:rsidR="009623A2" w:rsidRPr="00747170" w:rsidRDefault="009623A2" w:rsidP="00747170">
      <w:pPr>
        <w:pStyle w:val="a2"/>
        <w:rPr>
          <w:rtl/>
        </w:rPr>
      </w:pPr>
      <w:r w:rsidRPr="00747170">
        <w:rPr>
          <w:rtl/>
        </w:rPr>
        <w:t>א' הזורע והוא אב לכל מיני הצמחה ותולדות שלו נטיעה והברכה והרכבה ודומיהם</w:t>
      </w:r>
    </w:p>
    <w:p w14:paraId="520DCAD8" w14:textId="290E2CE1" w:rsidR="009623A2" w:rsidRPr="004504F2" w:rsidRDefault="009623A2" w:rsidP="009623A2">
      <w:pPr>
        <w:pStyle w:val="afffff7"/>
        <w:rPr>
          <w:rtl/>
        </w:rPr>
      </w:pPr>
      <w:bookmarkStart w:id="210" w:name="_Toc133841649"/>
      <w:bookmarkStart w:id="211" w:name="_Toc163505397"/>
      <w:r w:rsidRPr="00383B81">
        <w:rPr>
          <w:rtl/>
        </w:rPr>
        <w:t>מאירי שבת ע"ג ע"ב</w:t>
      </w:r>
      <w:r>
        <w:rPr>
          <w:rFonts w:hint="cs"/>
          <w:rtl/>
        </w:rPr>
        <w:t xml:space="preserve"> ד</w:t>
      </w:r>
      <w:r>
        <w:rPr>
          <w:rFonts w:cs="Guttman Hodes" w:hint="cs"/>
          <w:rtl/>
        </w:rPr>
        <w:t>"</w:t>
      </w:r>
      <w:r>
        <w:rPr>
          <w:rFonts w:hint="cs"/>
          <w:rtl/>
        </w:rPr>
        <w:t>ה אף</w:t>
      </w:r>
      <w:bookmarkEnd w:id="210"/>
      <w:bookmarkEnd w:id="211"/>
    </w:p>
    <w:p w14:paraId="762B9AAE" w14:textId="77777777" w:rsidR="009623A2" w:rsidRPr="00C3176C" w:rsidRDefault="009623A2" w:rsidP="00747170">
      <w:pPr>
        <w:pStyle w:val="afffff5"/>
        <w:rPr>
          <w:rtl/>
        </w:rPr>
      </w:pPr>
      <w:r w:rsidRPr="00C3176C">
        <w:rPr>
          <w:rtl/>
        </w:rPr>
        <w:t>אף הזומר בכלל נוטע או זורע הוא שהרי כונתו להצמיח</w:t>
      </w:r>
      <w:r w:rsidRPr="00C3176C">
        <w:rPr>
          <w:rFonts w:hint="cs"/>
          <w:rtl/>
        </w:rPr>
        <w:t>.</w:t>
      </w:r>
    </w:p>
    <w:p w14:paraId="01D9F9BB" w14:textId="5B2E60F1" w:rsidR="009623A2" w:rsidRDefault="009623A2" w:rsidP="009623A2">
      <w:pPr>
        <w:pStyle w:val="1"/>
        <w:rPr>
          <w:rtl/>
        </w:rPr>
      </w:pPr>
      <w:bookmarkStart w:id="212" w:name="_Toc134419605"/>
      <w:r>
        <w:rPr>
          <w:rFonts w:hint="cs"/>
          <w:rtl/>
        </w:rPr>
        <w:t>בי' המ"מ ברמב"ם בגדרי אבות ותולדות והחילוק ביניהם</w:t>
      </w:r>
      <w:bookmarkEnd w:id="212"/>
    </w:p>
    <w:p w14:paraId="224E196E" w14:textId="77777777" w:rsidR="009623A2" w:rsidRDefault="009623A2" w:rsidP="009623A2">
      <w:pPr>
        <w:pStyle w:val="afffff7"/>
      </w:pPr>
      <w:bookmarkStart w:id="213" w:name="_Toc133841650"/>
      <w:bookmarkStart w:id="214" w:name="_Toc163505398"/>
      <w:r>
        <w:rPr>
          <w:rFonts w:hint="cs"/>
          <w:rtl/>
        </w:rPr>
        <w:t>מגיד משנה שבת ז' ד'</w:t>
      </w:r>
      <w:bookmarkEnd w:id="213"/>
      <w:bookmarkEnd w:id="214"/>
    </w:p>
    <w:p w14:paraId="29326808" w14:textId="77777777" w:rsidR="009623A2" w:rsidRPr="00996918" w:rsidRDefault="009623A2" w:rsidP="009623A2">
      <w:pPr>
        <w:pStyle w:val="a7"/>
        <w:rPr>
          <w:rtl/>
        </w:rPr>
      </w:pPr>
      <w:bookmarkStart w:id="215" w:name="_Toc134419606"/>
      <w:r w:rsidRPr="00996918">
        <w:rPr>
          <w:rFonts w:hint="cs"/>
          <w:rtl/>
        </w:rPr>
        <w:t xml:space="preserve">בי' המ"מ ברמב"ם </w:t>
      </w:r>
      <w:r>
        <w:rPr>
          <w:rFonts w:hint="cs"/>
          <w:rtl/>
        </w:rPr>
        <w:t>דמלאכה שדומה לגמרי לאב וחלוקה</w:t>
      </w:r>
      <w:r w:rsidRPr="005E6E4E">
        <w:rPr>
          <w:rFonts w:hint="cs"/>
          <w:rtl/>
        </w:rPr>
        <w:t xml:space="preserve"> </w:t>
      </w:r>
      <w:r>
        <w:rPr>
          <w:rFonts w:hint="cs"/>
          <w:rtl/>
        </w:rPr>
        <w:t>רק באיכות הפעולה או בתוצאה הוי אב</w:t>
      </w:r>
      <w:bookmarkEnd w:id="215"/>
    </w:p>
    <w:p w14:paraId="0DCDC7F0" w14:textId="0733AB89" w:rsidR="009623A2" w:rsidRDefault="009623A2" w:rsidP="00BC7DC8">
      <w:pPr>
        <w:pStyle w:val="a3"/>
      </w:pPr>
      <w:bookmarkStart w:id="216" w:name="_Ref133477285"/>
      <w:bookmarkStart w:id="217" w:name="_Ref130417403"/>
      <w:r>
        <w:rPr>
          <w:rFonts w:hint="cs"/>
          <w:rtl/>
        </w:rPr>
        <w:t xml:space="preserve">במ"ש </w:t>
      </w:r>
      <w:r w:rsidRPr="00C444C9">
        <w:rPr>
          <w:rStyle w:val="aff4"/>
          <w:rFonts w:hint="cs"/>
          <w:vanish/>
          <w:rtl/>
        </w:rPr>
        <w:t>-</w:t>
      </w:r>
      <w:r w:rsidRPr="004F32D2">
        <w:rPr>
          <w:rStyle w:val="aff4"/>
          <w:rFonts w:hint="cs"/>
          <w:rtl/>
        </w:rPr>
        <w:t>הרמב"ם</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sidRPr="002A0D0C">
        <w:rPr>
          <w:rStyle w:val="af2"/>
          <w:rFonts w:eastAsia="Guttman Hodes"/>
          <w:rtl/>
        </w:rPr>
        <w:fldChar w:fldCharType="begin"/>
      </w:r>
      <w:r w:rsidRPr="002A0D0C">
        <w:rPr>
          <w:rStyle w:val="af2"/>
          <w:rFonts w:eastAsia="Guttman Hodes"/>
          <w:rtl/>
        </w:rPr>
        <w:instrText xml:space="preserve"> </w:instrText>
      </w:r>
      <w:r w:rsidRPr="002A0D0C">
        <w:rPr>
          <w:rStyle w:val="af2"/>
          <w:rFonts w:eastAsia="Guttman Hodes" w:hint="cs"/>
        </w:rPr>
        <w:instrText>REF</w:instrText>
      </w:r>
      <w:r w:rsidRPr="002A0D0C">
        <w:rPr>
          <w:rStyle w:val="af2"/>
          <w:rFonts w:eastAsia="Guttman Hodes" w:hint="cs"/>
          <w:rtl/>
        </w:rPr>
        <w:instrText xml:space="preserve"> _</w:instrText>
      </w:r>
      <w:r w:rsidRPr="002A0D0C">
        <w:rPr>
          <w:rStyle w:val="af2"/>
          <w:rFonts w:eastAsia="Guttman Hodes" w:hint="cs"/>
        </w:rPr>
        <w:instrText>Ref133477286 \r \h</w:instrText>
      </w:r>
      <w:r w:rsidRPr="002A0D0C">
        <w:rPr>
          <w:rStyle w:val="af2"/>
          <w:rFonts w:eastAsia="Guttman Hodes"/>
          <w:rtl/>
        </w:rPr>
        <w:instrText xml:space="preserve"> </w:instrText>
      </w:r>
      <w:r w:rsidRPr="002A0D0C">
        <w:rPr>
          <w:rStyle w:val="af2"/>
          <w:rFonts w:eastAsia="Guttman Hodes"/>
          <w:rtl/>
        </w:rPr>
      </w:r>
      <w:r w:rsidRPr="002A0D0C">
        <w:rPr>
          <w:rStyle w:val="af2"/>
          <w:rFonts w:eastAsia="Guttman Hodes"/>
          <w:rtl/>
        </w:rPr>
        <w:fldChar w:fldCharType="separate"/>
      </w:r>
      <w:r w:rsidR="00D82181">
        <w:rPr>
          <w:rStyle w:val="af2"/>
          <w:rFonts w:eastAsia="Guttman Hodes"/>
          <w:cs/>
        </w:rPr>
        <w:t>‎</w:t>
      </w:r>
      <w:r w:rsidR="00D82181">
        <w:rPr>
          <w:rStyle w:val="af2"/>
          <w:rFonts w:eastAsia="Guttman Hodes"/>
          <w:rtl/>
        </w:rPr>
        <w:t>כט)</w:t>
      </w:r>
      <w:r w:rsidRPr="002A0D0C">
        <w:rPr>
          <w:rStyle w:val="af2"/>
          <w:rFonts w:eastAsia="Guttman Hodes"/>
          <w:rtl/>
        </w:rPr>
        <w:fldChar w:fldCharType="end"/>
      </w:r>
      <w:r>
        <w:rPr>
          <w:rFonts w:hint="cs"/>
          <w:rtl/>
        </w:rPr>
        <w:t xml:space="preserve"> דנוטע וזורע וכו' הם מלאכה אחת, וכן במ"ש </w:t>
      </w:r>
      <w:r w:rsidRPr="00C444C9">
        <w:rPr>
          <w:rStyle w:val="aff4"/>
          <w:rFonts w:hint="cs"/>
          <w:vanish/>
          <w:rtl/>
        </w:rPr>
        <w:t>-</w:t>
      </w:r>
      <w:r w:rsidRPr="004F32D2">
        <w:rPr>
          <w:rStyle w:val="aff4"/>
          <w:rFonts w:hint="cs"/>
          <w:rtl/>
        </w:rPr>
        <w:t>הרמב"ם</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sidRPr="002A0D0C">
        <w:rPr>
          <w:rStyle w:val="af2"/>
          <w:rFonts w:eastAsia="Guttman Hodes"/>
          <w:rtl/>
        </w:rPr>
        <w:fldChar w:fldCharType="begin"/>
      </w:r>
      <w:r w:rsidRPr="002A0D0C">
        <w:rPr>
          <w:rStyle w:val="af2"/>
          <w:rFonts w:eastAsia="Guttman Hodes"/>
          <w:rtl/>
        </w:rPr>
        <w:instrText xml:space="preserve"> </w:instrText>
      </w:r>
      <w:r w:rsidRPr="002A0D0C">
        <w:rPr>
          <w:rStyle w:val="af2"/>
          <w:rFonts w:eastAsia="Guttman Hodes" w:hint="cs"/>
        </w:rPr>
        <w:instrText>REF</w:instrText>
      </w:r>
      <w:r w:rsidRPr="002A0D0C">
        <w:rPr>
          <w:rStyle w:val="af2"/>
          <w:rFonts w:eastAsia="Guttman Hodes" w:hint="cs"/>
          <w:rtl/>
        </w:rPr>
        <w:instrText xml:space="preserve"> _</w:instrText>
      </w:r>
      <w:r w:rsidRPr="002A0D0C">
        <w:rPr>
          <w:rStyle w:val="af2"/>
          <w:rFonts w:eastAsia="Guttman Hodes" w:hint="cs"/>
        </w:rPr>
        <w:instrText>Ref130239677 \r \h</w:instrText>
      </w:r>
      <w:r w:rsidRPr="002A0D0C">
        <w:rPr>
          <w:rStyle w:val="af2"/>
          <w:rFonts w:eastAsia="Guttman Hodes"/>
          <w:rtl/>
        </w:rPr>
        <w:instrText xml:space="preserve"> </w:instrText>
      </w:r>
      <w:r w:rsidRPr="002A0D0C">
        <w:rPr>
          <w:rStyle w:val="af2"/>
          <w:rFonts w:eastAsia="Guttman Hodes"/>
          <w:rtl/>
        </w:rPr>
      </w:r>
      <w:r w:rsidRPr="002A0D0C">
        <w:rPr>
          <w:rStyle w:val="af2"/>
          <w:rFonts w:eastAsia="Guttman Hodes"/>
          <w:rtl/>
        </w:rPr>
        <w:fldChar w:fldCharType="separate"/>
      </w:r>
      <w:r w:rsidR="00D82181">
        <w:rPr>
          <w:rStyle w:val="af2"/>
          <w:rFonts w:eastAsia="Guttman Hodes"/>
          <w:cs/>
        </w:rPr>
        <w:t>‎</w:t>
      </w:r>
      <w:r w:rsidR="00D82181">
        <w:rPr>
          <w:rStyle w:val="af2"/>
          <w:rFonts w:eastAsia="Guttman Hodes"/>
          <w:rtl/>
        </w:rPr>
        <w:t>כח)</w:t>
      </w:r>
      <w:r w:rsidRPr="002A0D0C">
        <w:rPr>
          <w:rStyle w:val="af2"/>
          <w:rFonts w:eastAsia="Guttman Hodes"/>
          <w:rtl/>
        </w:rPr>
        <w:fldChar w:fldCharType="end"/>
      </w:r>
      <w:r>
        <w:rPr>
          <w:rFonts w:hint="cs"/>
          <w:rtl/>
        </w:rPr>
        <w:t xml:space="preserve"> דחורש וחופר וכו' הם מלאכה אחת, וכן במ"ש </w:t>
      </w:r>
      <w:r w:rsidRPr="00C444C9">
        <w:rPr>
          <w:rStyle w:val="aff4"/>
          <w:rFonts w:hint="cs"/>
          <w:vanish/>
          <w:rtl/>
        </w:rPr>
        <w:t>-</w:t>
      </w:r>
      <w:r w:rsidRPr="004F32D2">
        <w:rPr>
          <w:rStyle w:val="aff4"/>
          <w:rFonts w:hint="cs"/>
          <w:rtl/>
        </w:rPr>
        <w:t>הרמב"ם</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sidRPr="002A0D0C">
        <w:rPr>
          <w:rStyle w:val="af2"/>
          <w:rFonts w:eastAsia="Guttman Hodes"/>
          <w:rtl/>
        </w:rPr>
        <w:fldChar w:fldCharType="begin"/>
      </w:r>
      <w:r w:rsidRPr="002A0D0C">
        <w:rPr>
          <w:rStyle w:val="af2"/>
          <w:rFonts w:eastAsia="Guttman Hodes"/>
          <w:rtl/>
        </w:rPr>
        <w:instrText xml:space="preserve"> </w:instrText>
      </w:r>
      <w:r w:rsidRPr="002A0D0C">
        <w:rPr>
          <w:rStyle w:val="af2"/>
          <w:rFonts w:eastAsia="Guttman Hodes" w:hint="cs"/>
        </w:rPr>
        <w:instrText>REF</w:instrText>
      </w:r>
      <w:r w:rsidRPr="002A0D0C">
        <w:rPr>
          <w:rStyle w:val="af2"/>
          <w:rFonts w:eastAsia="Guttman Hodes" w:hint="cs"/>
          <w:rtl/>
        </w:rPr>
        <w:instrText xml:space="preserve"> _</w:instrText>
      </w:r>
      <w:r w:rsidRPr="002A0D0C">
        <w:rPr>
          <w:rStyle w:val="af2"/>
          <w:rFonts w:eastAsia="Guttman Hodes" w:hint="cs"/>
        </w:rPr>
        <w:instrText>Ref130240129 \r \h</w:instrText>
      </w:r>
      <w:r w:rsidRPr="002A0D0C">
        <w:rPr>
          <w:rStyle w:val="af2"/>
          <w:rFonts w:eastAsia="Guttman Hodes"/>
          <w:rtl/>
        </w:rPr>
        <w:instrText xml:space="preserve"> </w:instrText>
      </w:r>
      <w:r w:rsidRPr="002A0D0C">
        <w:rPr>
          <w:rStyle w:val="af2"/>
          <w:rFonts w:eastAsia="Guttman Hodes"/>
          <w:rtl/>
        </w:rPr>
      </w:r>
      <w:r w:rsidRPr="002A0D0C">
        <w:rPr>
          <w:rStyle w:val="af2"/>
          <w:rFonts w:eastAsia="Guttman Hodes"/>
          <w:rtl/>
        </w:rPr>
        <w:fldChar w:fldCharType="separate"/>
      </w:r>
      <w:r w:rsidR="00D82181">
        <w:rPr>
          <w:rStyle w:val="af2"/>
          <w:rFonts w:eastAsia="Guttman Hodes"/>
          <w:cs/>
        </w:rPr>
        <w:t>‎</w:t>
      </w:r>
      <w:r w:rsidR="00D82181">
        <w:rPr>
          <w:rStyle w:val="af2"/>
          <w:rFonts w:eastAsia="Guttman Hodes"/>
          <w:rtl/>
        </w:rPr>
        <w:t>ל)</w:t>
      </w:r>
      <w:r w:rsidRPr="002A0D0C">
        <w:rPr>
          <w:rStyle w:val="af2"/>
          <w:rFonts w:eastAsia="Guttman Hodes"/>
          <w:rtl/>
        </w:rPr>
        <w:fldChar w:fldCharType="end"/>
      </w:r>
      <w:r>
        <w:rPr>
          <w:rFonts w:hint="cs"/>
          <w:rtl/>
        </w:rPr>
        <w:t xml:space="preserve"> דקוצר ובוצר וכו' הם מלאכה אחת, ביאר </w:t>
      </w:r>
      <w:r w:rsidRPr="00C444C9">
        <w:rPr>
          <w:rStyle w:val="aff4"/>
          <w:rFonts w:hint="cs"/>
          <w:vanish/>
          <w:rtl/>
        </w:rPr>
        <w:t>-</w:t>
      </w:r>
      <w:r w:rsidRPr="004F32D2">
        <w:rPr>
          <w:rStyle w:val="aff4"/>
          <w:rFonts w:hint="cs"/>
          <w:rtl/>
        </w:rPr>
        <w:t>ה</w:t>
      </w:r>
      <w:r w:rsidRPr="00C444C9">
        <w:rPr>
          <w:rStyle w:val="aff4"/>
          <w:rFonts w:hint="cs"/>
          <w:vanish/>
          <w:rtl/>
        </w:rPr>
        <w:t xml:space="preserve">&lt;. </w:t>
      </w:r>
      <w:r w:rsidRPr="00C444C9">
        <w:rPr>
          <w:rStyle w:val="aff4"/>
          <w:vanish/>
          <w:rtl/>
        </w:rPr>
        <w:fldChar w:fldCharType="begin"/>
      </w:r>
      <w:r w:rsidRPr="00C444C9">
        <w:rPr>
          <w:rStyle w:val="aff4"/>
          <w:vanish/>
          <w:rtl/>
        </w:rPr>
        <w:instrText xml:space="preserve"> </w:instrText>
      </w:r>
      <w:r w:rsidRPr="00C444C9">
        <w:rPr>
          <w:rStyle w:val="aff4"/>
          <w:rFonts w:hint="cs"/>
          <w:vanish/>
        </w:rPr>
        <w:instrText>REF</w:instrText>
      </w:r>
      <w:r w:rsidRPr="00C444C9">
        <w:rPr>
          <w:rStyle w:val="aff4"/>
          <w:rFonts w:hint="cs"/>
          <w:vanish/>
          <w:rtl/>
        </w:rPr>
        <w:instrText xml:space="preserve"> _</w:instrText>
      </w:r>
      <w:r w:rsidRPr="00C444C9">
        <w:rPr>
          <w:rStyle w:val="aff4"/>
          <w:rFonts w:hint="cs"/>
          <w:vanish/>
        </w:rPr>
        <w:instrText>Ref130417403 \r \h</w:instrText>
      </w:r>
      <w:r w:rsidRPr="00C444C9">
        <w:rPr>
          <w:rStyle w:val="aff4"/>
          <w:vanish/>
          <w:rtl/>
        </w:rPr>
        <w:instrText xml:space="preserve"> </w:instrText>
      </w:r>
      <w:r w:rsidRPr="00C444C9">
        <w:rPr>
          <w:rStyle w:val="aff4"/>
          <w:vanish/>
          <w:rtl/>
        </w:rPr>
      </w:r>
      <w:r w:rsidRPr="00C444C9">
        <w:rPr>
          <w:rStyle w:val="aff4"/>
          <w:vanish/>
          <w:rtl/>
        </w:rPr>
        <w:fldChar w:fldCharType="separate"/>
      </w:r>
      <w:r w:rsidR="00D82181">
        <w:rPr>
          <w:rStyle w:val="aff4"/>
          <w:vanish/>
          <w:cs/>
        </w:rPr>
        <w:t>‎</w:t>
      </w:r>
      <w:r w:rsidR="00D82181">
        <w:rPr>
          <w:rStyle w:val="aff4"/>
          <w:vanish/>
          <w:rtl/>
        </w:rPr>
        <w:t>לו)</w:t>
      </w:r>
      <w:r w:rsidRPr="00C444C9">
        <w:rPr>
          <w:rStyle w:val="aff4"/>
          <w:vanish/>
          <w:rtl/>
        </w:rPr>
        <w:fldChar w:fldCharType="end"/>
      </w:r>
      <w:r w:rsidRPr="00C444C9">
        <w:rPr>
          <w:rStyle w:val="aff4"/>
          <w:rFonts w:hint="cs"/>
          <w:vanish/>
          <w:rtl/>
        </w:rPr>
        <w:t xml:space="preserve"> &gt;</w:t>
      </w:r>
      <w:r w:rsidRPr="004F32D2">
        <w:rPr>
          <w:rStyle w:val="aff4"/>
          <w:rFonts w:hint="cs"/>
          <w:rtl/>
        </w:rPr>
        <w:t>מ"מ</w:t>
      </w:r>
      <w:r w:rsidRPr="00C444C9">
        <w:rPr>
          <w:rStyle w:val="aff4"/>
          <w:rFonts w:hint="cs"/>
          <w:vanish/>
          <w:rtl/>
        </w:rPr>
        <w:t>-</w:t>
      </w:r>
      <w:r>
        <w:rPr>
          <w:rFonts w:hint="cs"/>
          <w:rtl/>
        </w:rPr>
        <w:t xml:space="preserve"> </w:t>
      </w:r>
      <w:r w:rsidRPr="002A0D0C">
        <w:rPr>
          <w:rStyle w:val="af2"/>
          <w:rFonts w:eastAsia="Guttman Hodes" w:hint="cs"/>
          <w:rtl/>
        </w:rPr>
        <w:t>(שבת פ"ז ה"ד)</w:t>
      </w:r>
      <w:r>
        <w:rPr>
          <w:rFonts w:hint="cs"/>
          <w:vanish/>
          <w:rtl/>
        </w:rPr>
        <w:t>=</w:t>
      </w:r>
      <w:r>
        <w:rPr>
          <w:rFonts w:hint="cs"/>
          <w:rtl/>
        </w:rPr>
        <w:t xml:space="preserve"> דכוונת </w:t>
      </w:r>
      <w:r w:rsidRPr="00C444C9">
        <w:rPr>
          <w:rStyle w:val="aff4"/>
          <w:rFonts w:hint="cs"/>
          <w:vanish/>
          <w:rtl/>
        </w:rPr>
        <w:t>-</w:t>
      </w:r>
      <w:r w:rsidRPr="004F32D2">
        <w:rPr>
          <w:rStyle w:val="aff4"/>
          <w:rFonts w:hint="cs"/>
          <w:rtl/>
        </w:rPr>
        <w:t>הרמב"ם</w:t>
      </w:r>
      <w:r w:rsidRPr="00C444C9">
        <w:rPr>
          <w:rStyle w:val="aff4"/>
          <w:rFonts w:hint="cs"/>
          <w:vanish/>
          <w:rtl/>
        </w:rPr>
        <w:t>-</w:t>
      </w:r>
      <w:r>
        <w:rPr>
          <w:rFonts w:hint="cs"/>
          <w:rtl/>
        </w:rPr>
        <w:t xml:space="preserve"> לומר דכל מלאכה שדומה לאב בדמיון גמור, ויש חילוק ביניהם רק באיכות הפעולה, או באיכות של התוצאה של המלאכה, דבכה"ג המלאכה אינה תולדה אלא אב גמור, כמו האב של המלאכה.</w:t>
      </w:r>
      <w:bookmarkEnd w:id="216"/>
    </w:p>
    <w:p w14:paraId="2A7BEB2D" w14:textId="77777777" w:rsidR="009623A2" w:rsidRPr="00747170" w:rsidRDefault="009623A2" w:rsidP="00747170">
      <w:pPr>
        <w:pStyle w:val="a2"/>
        <w:rPr>
          <w:rtl/>
        </w:rPr>
      </w:pPr>
      <w:r w:rsidRPr="00747170">
        <w:rPr>
          <w:rFonts w:hint="cs"/>
          <w:rtl/>
        </w:rPr>
        <w:t>[ד] וכן הקוצר תבואה או קטנית וכו'. תנא הקוצר והבוצר והגודר והמוסק והאורה כלן מלאכה אחת הן. ודע שכוונת רבינו היא שכל מלאכה שהיא דומה לאב בדמיון גמור אלא שחלוקה ממנה באיכות הפעולה או באיכות הנפעל הרי זו אב כמותה, וכו'.</w:t>
      </w:r>
    </w:p>
    <w:p w14:paraId="6EF9DE88" w14:textId="77777777" w:rsidR="009623A2" w:rsidRPr="00D215EE" w:rsidRDefault="009623A2" w:rsidP="009623A2">
      <w:pPr>
        <w:pStyle w:val="a7"/>
      </w:pPr>
      <w:bookmarkStart w:id="218" w:name="_Toc134419607"/>
      <w:r>
        <w:rPr>
          <w:rFonts w:hint="cs"/>
          <w:rtl/>
        </w:rPr>
        <w:t>בי' המ"מ דזורע ונוטע וכו' הם אב דחלוקים רק באיכות הפעולה ואי ל"ה אב כל מין זרע אינו אב</w:t>
      </w:r>
      <w:bookmarkEnd w:id="218"/>
    </w:p>
    <w:p w14:paraId="02DB08A9" w14:textId="2B11D26E" w:rsidR="009623A2" w:rsidRDefault="009623A2" w:rsidP="00BC7DC8">
      <w:pPr>
        <w:pStyle w:val="a3"/>
        <w:rPr>
          <w:rtl/>
        </w:rPr>
      </w:pPr>
      <w:r>
        <w:rPr>
          <w:rFonts w:hint="cs"/>
          <w:rtl/>
        </w:rPr>
        <w:t xml:space="preserve">וכתב </w:t>
      </w:r>
      <w:r w:rsidRPr="00C444C9">
        <w:rPr>
          <w:rStyle w:val="aff4"/>
          <w:rFonts w:hint="cs"/>
          <w:vanish/>
          <w:rtl/>
        </w:rPr>
        <w:t>-</w:t>
      </w:r>
      <w:r w:rsidRPr="004F32D2">
        <w:rPr>
          <w:rStyle w:val="aff4"/>
          <w:rFonts w:hint="cs"/>
          <w:rtl/>
        </w:rPr>
        <w:t>המ"מ</w:t>
      </w:r>
      <w:r w:rsidRPr="00C444C9">
        <w:rPr>
          <w:rStyle w:val="aff4"/>
          <w:rFonts w:hint="cs"/>
          <w:vanish/>
          <w:rtl/>
        </w:rPr>
        <w:t>-</w:t>
      </w:r>
      <w:r>
        <w:rPr>
          <w:rFonts w:hint="cs"/>
          <w:rtl/>
        </w:rPr>
        <w:t xml:space="preserve"> דלכן זורע ונוטע וחורש וחופר הם אב, כיון שהחילוק ביניהם הוא רק באיכות הפעולה, אבל הם דומים לגמרי, ולכן הם מלאכה אחת, וכתב </w:t>
      </w:r>
      <w:r w:rsidRPr="00C444C9">
        <w:rPr>
          <w:rStyle w:val="aff4"/>
          <w:rFonts w:hint="cs"/>
          <w:vanish/>
          <w:rtl/>
        </w:rPr>
        <w:t>-</w:t>
      </w:r>
      <w:r w:rsidRPr="004F32D2">
        <w:rPr>
          <w:rStyle w:val="aff4"/>
          <w:rFonts w:hint="cs"/>
          <w:rtl/>
        </w:rPr>
        <w:t>המ"מ</w:t>
      </w:r>
      <w:r w:rsidRPr="00C444C9">
        <w:rPr>
          <w:rStyle w:val="aff4"/>
          <w:rFonts w:hint="cs"/>
          <w:vanish/>
          <w:rtl/>
        </w:rPr>
        <w:t>-</w:t>
      </w:r>
      <w:r>
        <w:rPr>
          <w:rFonts w:hint="cs"/>
          <w:rtl/>
        </w:rPr>
        <w:t xml:space="preserve"> דלדעת </w:t>
      </w:r>
      <w:r w:rsidRPr="00C444C9">
        <w:rPr>
          <w:rStyle w:val="aff4"/>
          <w:rFonts w:hint="cs"/>
          <w:vanish/>
          <w:rtl/>
        </w:rPr>
        <w:t>-</w:t>
      </w:r>
      <w:r w:rsidRPr="004F32D2">
        <w:rPr>
          <w:rStyle w:val="aff4"/>
          <w:rFonts w:hint="cs"/>
          <w:rtl/>
        </w:rPr>
        <w:t>הרמב"ם</w:t>
      </w:r>
      <w:r w:rsidRPr="00C444C9">
        <w:rPr>
          <w:rStyle w:val="aff4"/>
          <w:rFonts w:hint="cs"/>
          <w:vanish/>
          <w:rtl/>
        </w:rPr>
        <w:t>-</w:t>
      </w:r>
      <w:r>
        <w:rPr>
          <w:rFonts w:hint="cs"/>
          <w:rtl/>
        </w:rPr>
        <w:t xml:space="preserve"> כן הדין בכל המלאכות</w:t>
      </w:r>
      <w:bookmarkEnd w:id="217"/>
      <w:r>
        <w:rPr>
          <w:rFonts w:hint="cs"/>
          <w:rtl/>
        </w:rPr>
        <w:t>,</w:t>
      </w:r>
      <w:r w:rsidRPr="00A405A5">
        <w:rPr>
          <w:rFonts w:hint="cs"/>
          <w:rtl/>
        </w:rPr>
        <w:t xml:space="preserve"> </w:t>
      </w:r>
      <w:r>
        <w:rPr>
          <w:rFonts w:hint="cs"/>
          <w:rtl/>
        </w:rPr>
        <w:t xml:space="preserve">וכתב </w:t>
      </w:r>
      <w:r w:rsidRPr="00C444C9">
        <w:rPr>
          <w:rStyle w:val="aff4"/>
          <w:rFonts w:hint="cs"/>
          <w:vanish/>
          <w:rtl/>
        </w:rPr>
        <w:t>-</w:t>
      </w:r>
      <w:r w:rsidRPr="004F32D2">
        <w:rPr>
          <w:rStyle w:val="aff4"/>
          <w:rFonts w:hint="cs"/>
          <w:rtl/>
        </w:rPr>
        <w:t>המ"מ</w:t>
      </w:r>
      <w:r w:rsidRPr="00C444C9">
        <w:rPr>
          <w:rStyle w:val="aff4"/>
          <w:rFonts w:hint="cs"/>
          <w:vanish/>
          <w:rtl/>
        </w:rPr>
        <w:t>-</w:t>
      </w:r>
      <w:r>
        <w:rPr>
          <w:rFonts w:hint="cs"/>
          <w:rtl/>
        </w:rPr>
        <w:t xml:space="preserve"> דאם נחלק בין מלאכות אלו דאינם מלאכה אחת, א"כ צריך לחלק גם במיני הזרעים ומיני הכלים, דכל דבר הוא מלאכה לפי הפעולה והתוצאה שנעשית בהם.</w:t>
      </w:r>
    </w:p>
    <w:p w14:paraId="27E7FB9C" w14:textId="77777777" w:rsidR="009623A2" w:rsidRPr="00747170" w:rsidRDefault="009623A2" w:rsidP="00747170">
      <w:pPr>
        <w:pStyle w:val="a2"/>
      </w:pPr>
      <w:r w:rsidRPr="00747170">
        <w:rPr>
          <w:rFonts w:hint="cs"/>
          <w:rtl/>
        </w:rPr>
        <w:t>והמשל בזה הקוצר והבוצר שהם בדמיון גמור אלא שחלוקין הנפעלים וכן הזורע והנוטע וכן החורש והחופר שהם חלוקי איכות הפעולה אבל הם בדמיון גמור. עליהם אמרו כולם מלאכת אחת הם. שאם באנו לחלק בהן נחלק במיני הזרעים גם כן ובמיני הכלים אשר יעשה בהם וכיוצא בזה.</w:t>
      </w:r>
    </w:p>
    <w:p w14:paraId="09AC5CB4" w14:textId="6B33411F" w:rsidR="009623A2" w:rsidRPr="007E5E8B" w:rsidRDefault="009623A2" w:rsidP="009623A2">
      <w:pPr>
        <w:pStyle w:val="a7"/>
      </w:pPr>
      <w:bookmarkStart w:id="219" w:name="_Toc134419608"/>
      <w:r>
        <w:rPr>
          <w:rFonts w:hint="cs"/>
          <w:rtl/>
        </w:rPr>
        <w:t>בי' המ"מ ברמב"ם דמלאכה שדומה לאב במקצת היא תולדה כחיתוך ירק דדמי במקצת לטוחן</w:t>
      </w:r>
      <w:bookmarkEnd w:id="219"/>
    </w:p>
    <w:p w14:paraId="346D2561" w14:textId="77777777" w:rsidR="009623A2" w:rsidRDefault="009623A2" w:rsidP="00BC7DC8">
      <w:pPr>
        <w:pStyle w:val="a3"/>
      </w:pPr>
      <w:bookmarkStart w:id="220" w:name="_Ref133836759"/>
      <w:r>
        <w:rPr>
          <w:rFonts w:hint="cs"/>
          <w:rtl/>
        </w:rPr>
        <w:t xml:space="preserve">וכתב </w:t>
      </w:r>
      <w:r w:rsidRPr="00C444C9">
        <w:rPr>
          <w:rStyle w:val="aff4"/>
          <w:rFonts w:hint="cs"/>
          <w:vanish/>
          <w:rtl/>
        </w:rPr>
        <w:t>-</w:t>
      </w:r>
      <w:r w:rsidRPr="004F32D2">
        <w:rPr>
          <w:rStyle w:val="aff4"/>
          <w:rFonts w:hint="cs"/>
          <w:rtl/>
        </w:rPr>
        <w:t>המ"מ</w:t>
      </w:r>
      <w:r w:rsidRPr="00C444C9">
        <w:rPr>
          <w:rStyle w:val="aff4"/>
          <w:rFonts w:hint="cs"/>
          <w:vanish/>
          <w:rtl/>
        </w:rPr>
        <w:t>-</w:t>
      </w:r>
      <w:r>
        <w:rPr>
          <w:rFonts w:hint="cs"/>
          <w:rtl/>
        </w:rPr>
        <w:t xml:space="preserve"> דרק מלאכה שדומה לאב במקצת, היא נקראת תולדה, כגון חיתוך ירק דאינו דומה ממש לטחינה, דטחינה משנה את הדבר שהיה לדבר אחר לגמרי, ואילו חיתוך ירק אין הירק משתנה, אך מ"מ כיון שהם דומים במה שע"י המלאכה דבר אחד נעשה לחתיכות רבות, לכן חיתוך ירק הוא תולדה דטחינה, וכתב </w:t>
      </w:r>
      <w:r w:rsidRPr="00C444C9">
        <w:rPr>
          <w:rStyle w:val="aff4"/>
          <w:rFonts w:hint="cs"/>
          <w:vanish/>
          <w:rtl/>
        </w:rPr>
        <w:t>-</w:t>
      </w:r>
      <w:r w:rsidRPr="004F32D2">
        <w:rPr>
          <w:rStyle w:val="aff4"/>
          <w:rFonts w:hint="cs"/>
          <w:rtl/>
        </w:rPr>
        <w:t>המ"מ</w:t>
      </w:r>
      <w:r w:rsidRPr="00C444C9">
        <w:rPr>
          <w:rStyle w:val="aff4"/>
          <w:rFonts w:hint="cs"/>
          <w:vanish/>
          <w:rtl/>
        </w:rPr>
        <w:t>-</w:t>
      </w:r>
      <w:r>
        <w:rPr>
          <w:rFonts w:hint="cs"/>
          <w:rtl/>
        </w:rPr>
        <w:t xml:space="preserve"> דלדעת </w:t>
      </w:r>
      <w:r w:rsidRPr="00C444C9">
        <w:rPr>
          <w:rStyle w:val="aff4"/>
          <w:rFonts w:hint="cs"/>
          <w:vanish/>
          <w:rtl/>
        </w:rPr>
        <w:t>-</w:t>
      </w:r>
      <w:r w:rsidRPr="004F32D2">
        <w:rPr>
          <w:rStyle w:val="aff4"/>
          <w:rFonts w:hint="cs"/>
          <w:rtl/>
        </w:rPr>
        <w:t>הרמב"ם</w:t>
      </w:r>
      <w:r w:rsidRPr="00C444C9">
        <w:rPr>
          <w:rStyle w:val="aff4"/>
          <w:rFonts w:hint="cs"/>
          <w:vanish/>
          <w:rtl/>
        </w:rPr>
        <w:t>-</w:t>
      </w:r>
      <w:r>
        <w:rPr>
          <w:rFonts w:hint="cs"/>
          <w:rtl/>
        </w:rPr>
        <w:t xml:space="preserve"> כן הדין בכל המלאכות.</w:t>
      </w:r>
      <w:bookmarkEnd w:id="220"/>
    </w:p>
    <w:p w14:paraId="5A3FD8B9" w14:textId="77777777" w:rsidR="009623A2" w:rsidRPr="00747170" w:rsidRDefault="009623A2" w:rsidP="00747170">
      <w:pPr>
        <w:pStyle w:val="a2"/>
      </w:pPr>
      <w:r w:rsidRPr="00747170">
        <w:rPr>
          <w:rFonts w:hint="cs"/>
          <w:rtl/>
        </w:rPr>
        <w:t>אבל מלאכה הדומה לה במקצת זו היא הנקראת תולדה, וכו', אבל בשאין שם אלא קצת דמיון כגון המחתך את הירק שאינו דומה לטחינה רק בהעשות מגוף אחד גופים רבים אף על פי שהטחינה משנה הגוף הראשון לגמרי ואין החתוך כן זו הוא תולדה והיקש זה ניתן לכלן. זהו דעת רבינו.</w:t>
      </w:r>
    </w:p>
    <w:p w14:paraId="5E6A0CEB" w14:textId="7B498E76" w:rsidR="009623A2" w:rsidRDefault="009623A2" w:rsidP="009623A2">
      <w:pPr>
        <w:pStyle w:val="afffff7"/>
      </w:pPr>
      <w:bookmarkStart w:id="221" w:name="_Toc133841651"/>
      <w:bookmarkStart w:id="222" w:name="_Toc163505399"/>
      <w:r>
        <w:rPr>
          <w:rFonts w:hint="cs"/>
          <w:rtl/>
        </w:rPr>
        <w:t>מגיד משנה שבת ז' ד'</w:t>
      </w:r>
      <w:bookmarkEnd w:id="221"/>
      <w:bookmarkEnd w:id="222"/>
    </w:p>
    <w:p w14:paraId="257E79CD" w14:textId="77777777" w:rsidR="009623A2" w:rsidRDefault="009623A2" w:rsidP="009623A2">
      <w:pPr>
        <w:pStyle w:val="afffff7"/>
      </w:pPr>
      <w:bookmarkStart w:id="223" w:name="_Toc133841652"/>
      <w:bookmarkStart w:id="224" w:name="_Toc163505400"/>
      <w:r>
        <w:rPr>
          <w:rFonts w:hint="cs"/>
          <w:rtl/>
        </w:rPr>
        <w:t>לחם משנה שבת ז' ד'</w:t>
      </w:r>
      <w:bookmarkEnd w:id="223"/>
      <w:bookmarkEnd w:id="224"/>
    </w:p>
    <w:p w14:paraId="00136C91" w14:textId="77777777" w:rsidR="009623A2" w:rsidRDefault="009623A2" w:rsidP="009623A2">
      <w:pPr>
        <w:pStyle w:val="a7"/>
        <w:rPr>
          <w:rtl/>
        </w:rPr>
      </w:pPr>
      <w:bookmarkStart w:id="225" w:name="_Toc134419609"/>
      <w:r>
        <w:rPr>
          <w:rFonts w:hint="cs"/>
          <w:rtl/>
        </w:rPr>
        <w:t>בי' הלח"מ ברמב"ם דזומר חלוק לגמרי מזורע בעצם הפעולה ודמי לה באיכות דכוונתו להצמיח</w:t>
      </w:r>
      <w:bookmarkEnd w:id="225"/>
    </w:p>
    <w:p w14:paraId="0438A7E8" w14:textId="7E827CF5" w:rsidR="009623A2" w:rsidRDefault="009623A2" w:rsidP="00BC7DC8">
      <w:pPr>
        <w:pStyle w:val="a3"/>
      </w:pPr>
      <w:bookmarkStart w:id="226" w:name="_Ref130417422"/>
      <w:r>
        <w:rPr>
          <w:rFonts w:hint="cs"/>
          <w:rtl/>
        </w:rPr>
        <w:t xml:space="preserve">במ"ש </w:t>
      </w:r>
      <w:r w:rsidRPr="00C444C9">
        <w:rPr>
          <w:rStyle w:val="aff4"/>
          <w:rFonts w:hint="cs"/>
          <w:vanish/>
          <w:rtl/>
        </w:rPr>
        <w:t>-</w:t>
      </w:r>
      <w:r w:rsidRPr="004F32D2">
        <w:rPr>
          <w:rStyle w:val="aff4"/>
          <w:rFonts w:hint="cs"/>
          <w:rtl/>
        </w:rPr>
        <w:t>המ"מ</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sidRPr="002A0D0C">
        <w:rPr>
          <w:rStyle w:val="af2"/>
          <w:rFonts w:eastAsia="Guttman Hodes"/>
          <w:rtl/>
        </w:rPr>
        <w:fldChar w:fldCharType="begin"/>
      </w:r>
      <w:r w:rsidRPr="002A0D0C">
        <w:rPr>
          <w:rStyle w:val="af2"/>
          <w:rFonts w:eastAsia="Guttman Hodes"/>
          <w:rtl/>
        </w:rPr>
        <w:instrText xml:space="preserve"> </w:instrText>
      </w:r>
      <w:r w:rsidRPr="002A0D0C">
        <w:rPr>
          <w:rStyle w:val="af2"/>
          <w:rFonts w:eastAsia="Guttman Hodes" w:hint="cs"/>
        </w:rPr>
        <w:instrText>REF</w:instrText>
      </w:r>
      <w:r w:rsidRPr="002A0D0C">
        <w:rPr>
          <w:rStyle w:val="af2"/>
          <w:rFonts w:eastAsia="Guttman Hodes" w:hint="cs"/>
          <w:rtl/>
        </w:rPr>
        <w:instrText xml:space="preserve"> _</w:instrText>
      </w:r>
      <w:r w:rsidRPr="002A0D0C">
        <w:rPr>
          <w:rStyle w:val="af2"/>
          <w:rFonts w:eastAsia="Guttman Hodes" w:hint="cs"/>
        </w:rPr>
        <w:instrText>Ref133477285 \r \h</w:instrText>
      </w:r>
      <w:r w:rsidRPr="002A0D0C">
        <w:rPr>
          <w:rStyle w:val="af2"/>
          <w:rFonts w:eastAsia="Guttman Hodes"/>
          <w:rtl/>
        </w:rPr>
        <w:instrText xml:space="preserve"> </w:instrText>
      </w:r>
      <w:r w:rsidRPr="002A0D0C">
        <w:rPr>
          <w:rStyle w:val="af2"/>
          <w:rFonts w:eastAsia="Guttman Hodes"/>
          <w:rtl/>
        </w:rPr>
      </w:r>
      <w:r w:rsidRPr="002A0D0C">
        <w:rPr>
          <w:rStyle w:val="af2"/>
          <w:rFonts w:eastAsia="Guttman Hodes"/>
          <w:rtl/>
        </w:rPr>
        <w:fldChar w:fldCharType="separate"/>
      </w:r>
      <w:r w:rsidR="00D82181">
        <w:rPr>
          <w:rStyle w:val="af2"/>
          <w:rFonts w:eastAsia="Guttman Hodes"/>
          <w:cs/>
        </w:rPr>
        <w:t>‎</w:t>
      </w:r>
      <w:r w:rsidR="00D82181">
        <w:rPr>
          <w:rStyle w:val="af2"/>
          <w:rFonts w:eastAsia="Guttman Hodes"/>
          <w:rtl/>
        </w:rPr>
        <w:t>לו)</w:t>
      </w:r>
      <w:r w:rsidRPr="002A0D0C">
        <w:rPr>
          <w:rStyle w:val="af2"/>
          <w:rFonts w:eastAsia="Guttman Hodes"/>
          <w:rtl/>
        </w:rPr>
        <w:fldChar w:fldCharType="end"/>
      </w:r>
      <w:r>
        <w:rPr>
          <w:rFonts w:hint="cs"/>
          <w:rtl/>
        </w:rPr>
        <w:t xml:space="preserve"> בדעת </w:t>
      </w:r>
      <w:r w:rsidRPr="00C444C9">
        <w:rPr>
          <w:rStyle w:val="aff4"/>
          <w:rFonts w:hint="cs"/>
          <w:vanish/>
          <w:rtl/>
        </w:rPr>
        <w:t>-</w:t>
      </w:r>
      <w:r w:rsidRPr="004F32D2">
        <w:rPr>
          <w:rStyle w:val="aff4"/>
          <w:rFonts w:hint="cs"/>
          <w:rtl/>
        </w:rPr>
        <w:t>הרמב"ם</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sidRPr="002A0D0C">
        <w:rPr>
          <w:rStyle w:val="af2"/>
          <w:rFonts w:eastAsia="Guttman Hodes"/>
          <w:rtl/>
        </w:rPr>
        <w:fldChar w:fldCharType="begin"/>
      </w:r>
      <w:r w:rsidRPr="002A0D0C">
        <w:rPr>
          <w:rStyle w:val="af2"/>
          <w:rFonts w:eastAsia="Guttman Hodes"/>
          <w:rtl/>
        </w:rPr>
        <w:instrText xml:space="preserve"> </w:instrText>
      </w:r>
      <w:r w:rsidRPr="002A0D0C">
        <w:rPr>
          <w:rStyle w:val="af2"/>
          <w:rFonts w:eastAsia="Guttman Hodes" w:hint="cs"/>
        </w:rPr>
        <w:instrText>REF</w:instrText>
      </w:r>
      <w:r w:rsidRPr="002A0D0C">
        <w:rPr>
          <w:rStyle w:val="af2"/>
          <w:rFonts w:eastAsia="Guttman Hodes" w:hint="cs"/>
          <w:rtl/>
        </w:rPr>
        <w:instrText xml:space="preserve"> _</w:instrText>
      </w:r>
      <w:r w:rsidRPr="002A0D0C">
        <w:rPr>
          <w:rStyle w:val="af2"/>
          <w:rFonts w:eastAsia="Guttman Hodes" w:hint="cs"/>
        </w:rPr>
        <w:instrText>Ref133477286 \r \h</w:instrText>
      </w:r>
      <w:r w:rsidRPr="002A0D0C">
        <w:rPr>
          <w:rStyle w:val="af2"/>
          <w:rFonts w:eastAsia="Guttman Hodes"/>
          <w:rtl/>
        </w:rPr>
        <w:instrText xml:space="preserve"> </w:instrText>
      </w:r>
      <w:r w:rsidRPr="002A0D0C">
        <w:rPr>
          <w:rStyle w:val="af2"/>
          <w:rFonts w:eastAsia="Guttman Hodes"/>
          <w:rtl/>
        </w:rPr>
      </w:r>
      <w:r w:rsidRPr="002A0D0C">
        <w:rPr>
          <w:rStyle w:val="af2"/>
          <w:rFonts w:eastAsia="Guttman Hodes"/>
          <w:rtl/>
        </w:rPr>
        <w:fldChar w:fldCharType="separate"/>
      </w:r>
      <w:r w:rsidR="00D82181">
        <w:rPr>
          <w:rStyle w:val="af2"/>
          <w:rFonts w:eastAsia="Guttman Hodes"/>
          <w:cs/>
        </w:rPr>
        <w:t>‎</w:t>
      </w:r>
      <w:r w:rsidR="00D82181">
        <w:rPr>
          <w:rStyle w:val="af2"/>
          <w:rFonts w:eastAsia="Guttman Hodes"/>
          <w:rtl/>
        </w:rPr>
        <w:t>כט)</w:t>
      </w:r>
      <w:r w:rsidRPr="002A0D0C">
        <w:rPr>
          <w:rStyle w:val="af2"/>
          <w:rFonts w:eastAsia="Guttman Hodes"/>
          <w:rtl/>
        </w:rPr>
        <w:fldChar w:fldCharType="end"/>
      </w:r>
      <w:r>
        <w:rPr>
          <w:rFonts w:hint="cs"/>
          <w:rtl/>
        </w:rPr>
        <w:t xml:space="preserve"> דמלאכה שדומה לאב באיכות הפעולה הם מלאכה אחת, ואף היא אב מלאכה, כתב </w:t>
      </w:r>
      <w:r w:rsidRPr="00C444C9">
        <w:rPr>
          <w:rStyle w:val="aff4"/>
          <w:rFonts w:hint="cs"/>
          <w:vanish/>
          <w:rtl/>
        </w:rPr>
        <w:t>-</w:t>
      </w:r>
      <w:r w:rsidRPr="004F32D2">
        <w:rPr>
          <w:rStyle w:val="aff4"/>
          <w:rFonts w:hint="cs"/>
          <w:rtl/>
        </w:rPr>
        <w:t>ה</w:t>
      </w:r>
      <w:r w:rsidRPr="00C444C9">
        <w:rPr>
          <w:rStyle w:val="aff4"/>
          <w:rFonts w:hint="cs"/>
          <w:vanish/>
          <w:rtl/>
        </w:rPr>
        <w:t xml:space="preserve">&lt;. </w:t>
      </w:r>
      <w:r w:rsidRPr="00C444C9">
        <w:rPr>
          <w:rStyle w:val="aff4"/>
          <w:vanish/>
          <w:rtl/>
        </w:rPr>
        <w:fldChar w:fldCharType="begin"/>
      </w:r>
      <w:r w:rsidRPr="00C444C9">
        <w:rPr>
          <w:rStyle w:val="aff4"/>
          <w:vanish/>
          <w:rtl/>
        </w:rPr>
        <w:instrText xml:space="preserve"> </w:instrText>
      </w:r>
      <w:r w:rsidRPr="00C444C9">
        <w:rPr>
          <w:rStyle w:val="aff4"/>
          <w:rFonts w:hint="cs"/>
          <w:vanish/>
        </w:rPr>
        <w:instrText>REF</w:instrText>
      </w:r>
      <w:r w:rsidRPr="00C444C9">
        <w:rPr>
          <w:rStyle w:val="aff4"/>
          <w:rFonts w:hint="cs"/>
          <w:vanish/>
          <w:rtl/>
        </w:rPr>
        <w:instrText xml:space="preserve"> _</w:instrText>
      </w:r>
      <w:r w:rsidRPr="00C444C9">
        <w:rPr>
          <w:rStyle w:val="aff4"/>
          <w:rFonts w:hint="cs"/>
          <w:vanish/>
        </w:rPr>
        <w:instrText>Ref130417422 \r \h</w:instrText>
      </w:r>
      <w:r w:rsidRPr="00C444C9">
        <w:rPr>
          <w:rStyle w:val="aff4"/>
          <w:vanish/>
          <w:rtl/>
        </w:rPr>
        <w:instrText xml:space="preserve"> </w:instrText>
      </w:r>
      <w:r w:rsidRPr="00C444C9">
        <w:rPr>
          <w:rStyle w:val="aff4"/>
          <w:vanish/>
          <w:rtl/>
        </w:rPr>
      </w:r>
      <w:r w:rsidRPr="00C444C9">
        <w:rPr>
          <w:rStyle w:val="aff4"/>
          <w:vanish/>
          <w:rtl/>
        </w:rPr>
        <w:fldChar w:fldCharType="separate"/>
      </w:r>
      <w:r w:rsidR="00D82181">
        <w:rPr>
          <w:rStyle w:val="aff4"/>
          <w:vanish/>
          <w:cs/>
        </w:rPr>
        <w:t>‎</w:t>
      </w:r>
      <w:r w:rsidR="00D82181">
        <w:rPr>
          <w:rStyle w:val="aff4"/>
          <w:vanish/>
          <w:rtl/>
        </w:rPr>
        <w:t>לט)</w:t>
      </w:r>
      <w:r w:rsidRPr="00C444C9">
        <w:rPr>
          <w:rStyle w:val="aff4"/>
          <w:vanish/>
          <w:rtl/>
        </w:rPr>
        <w:fldChar w:fldCharType="end"/>
      </w:r>
      <w:r w:rsidRPr="00C444C9">
        <w:rPr>
          <w:rStyle w:val="aff4"/>
          <w:rFonts w:hint="cs"/>
          <w:vanish/>
          <w:rtl/>
        </w:rPr>
        <w:t xml:space="preserve"> &gt;</w:t>
      </w:r>
      <w:r w:rsidRPr="004F32D2">
        <w:rPr>
          <w:rStyle w:val="aff4"/>
          <w:rFonts w:hint="cs"/>
          <w:rtl/>
        </w:rPr>
        <w:t>לח"מ</w:t>
      </w:r>
      <w:r w:rsidRPr="00C444C9">
        <w:rPr>
          <w:rStyle w:val="aff4"/>
          <w:rFonts w:hint="cs"/>
          <w:vanish/>
          <w:rtl/>
        </w:rPr>
        <w:t>-</w:t>
      </w:r>
      <w:r>
        <w:rPr>
          <w:rFonts w:hint="cs"/>
          <w:rtl/>
        </w:rPr>
        <w:t xml:space="preserve"> </w:t>
      </w:r>
      <w:r w:rsidRPr="002A0D0C">
        <w:rPr>
          <w:rStyle w:val="af2"/>
          <w:rFonts w:eastAsia="Guttman Hodes" w:hint="cs"/>
          <w:rtl/>
        </w:rPr>
        <w:t>(שבת פ"ז ה"ד)</w:t>
      </w:r>
      <w:r>
        <w:rPr>
          <w:rFonts w:hint="cs"/>
          <w:vanish/>
          <w:rtl/>
        </w:rPr>
        <w:t>=</w:t>
      </w:r>
      <w:r>
        <w:rPr>
          <w:rFonts w:hint="cs"/>
          <w:rtl/>
        </w:rPr>
        <w:t xml:space="preserve"> דאעפ"י דזומר חלוק לגמרי מזורע בפעולה עצמה, מ"מ היא דומה לזורע באיכות של הפעולה, כיון דהכוונה של הזומר היא להצמיח כמו הפעולה של זורע.</w:t>
      </w:r>
    </w:p>
    <w:p w14:paraId="0C8E2FB9" w14:textId="77777777" w:rsidR="009623A2" w:rsidRPr="00747170" w:rsidRDefault="009623A2" w:rsidP="00747170">
      <w:pPr>
        <w:pStyle w:val="a2"/>
        <w:rPr>
          <w:rtl/>
        </w:rPr>
      </w:pPr>
      <w:r w:rsidRPr="00747170">
        <w:rPr>
          <w:rFonts w:hint="cs"/>
          <w:rtl/>
        </w:rPr>
        <w:t>[ד] הקוצר תבואה וכו' כל אלו אב מלאכה אחת הן. כתב ה"ה ודע שכונת רבינו היא שכל מלאכה שהיא דומה וכו' נראה דזומר דומה לזורע באיכות הפעולה שכוונת הזומר היא כדי שיצמח אף על פי שהם הפכים בפעולות. עוד כתב אף על פי שאין לנו בזה כלל אין לנו חילוק בין שנאמר שהוא אב ממנה או שהוא תולדה שאין חילוק בזה לענין החטאות מ"מ זה עיקר.</w:t>
      </w:r>
    </w:p>
    <w:p w14:paraId="45C9956E" w14:textId="77777777" w:rsidR="009623A2" w:rsidRPr="005F658B" w:rsidRDefault="009623A2" w:rsidP="009623A2">
      <w:pPr>
        <w:pStyle w:val="a7"/>
      </w:pPr>
      <w:bookmarkStart w:id="227" w:name="_Toc134419610"/>
      <w:r>
        <w:rPr>
          <w:rFonts w:hint="cs"/>
          <w:rtl/>
        </w:rPr>
        <w:t>בי' הלח"מ דאי כוונת הברייתא דהמלאכות הללו אב זהו חידוש אך אי כוונתה לתולדה פשיטא</w:t>
      </w:r>
      <w:bookmarkEnd w:id="227"/>
    </w:p>
    <w:p w14:paraId="617680B5" w14:textId="0A48641B" w:rsidR="009623A2" w:rsidRDefault="009623A2" w:rsidP="00BC7DC8">
      <w:pPr>
        <w:pStyle w:val="a3"/>
        <w:rPr>
          <w:rtl/>
        </w:rPr>
      </w:pPr>
      <w:r>
        <w:rPr>
          <w:rFonts w:hint="cs"/>
          <w:rtl/>
        </w:rPr>
        <w:t xml:space="preserve">ובמ"ש </w:t>
      </w:r>
      <w:r w:rsidRPr="00C444C9">
        <w:rPr>
          <w:rStyle w:val="aff4"/>
          <w:rFonts w:hint="cs"/>
          <w:vanish/>
          <w:rtl/>
        </w:rPr>
        <w:t>-</w:t>
      </w:r>
      <w:r w:rsidRPr="004F32D2">
        <w:rPr>
          <w:rStyle w:val="aff4"/>
          <w:rFonts w:hint="cs"/>
          <w:rtl/>
        </w:rPr>
        <w:t>המ"מ</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sidRPr="002A0D0C">
        <w:rPr>
          <w:rStyle w:val="af2"/>
          <w:rFonts w:eastAsia="Guttman Hodes"/>
          <w:rtl/>
        </w:rPr>
        <w:fldChar w:fldCharType="begin"/>
      </w:r>
      <w:r w:rsidRPr="002A0D0C">
        <w:rPr>
          <w:rStyle w:val="af2"/>
          <w:rFonts w:eastAsia="Guttman Hodes"/>
          <w:rtl/>
        </w:rPr>
        <w:instrText xml:space="preserve"> </w:instrText>
      </w:r>
      <w:r w:rsidRPr="002A0D0C">
        <w:rPr>
          <w:rStyle w:val="af2"/>
          <w:rFonts w:eastAsia="Guttman Hodes" w:hint="cs"/>
        </w:rPr>
        <w:instrText>REF</w:instrText>
      </w:r>
      <w:r w:rsidRPr="002A0D0C">
        <w:rPr>
          <w:rStyle w:val="af2"/>
          <w:rFonts w:eastAsia="Guttman Hodes" w:hint="cs"/>
          <w:rtl/>
        </w:rPr>
        <w:instrText xml:space="preserve"> _</w:instrText>
      </w:r>
      <w:r w:rsidRPr="002A0D0C">
        <w:rPr>
          <w:rStyle w:val="af2"/>
          <w:rFonts w:eastAsia="Guttman Hodes" w:hint="cs"/>
        </w:rPr>
        <w:instrText>Ref133477457 \r \h</w:instrText>
      </w:r>
      <w:r w:rsidRPr="002A0D0C">
        <w:rPr>
          <w:rStyle w:val="af2"/>
          <w:rFonts w:eastAsia="Guttman Hodes"/>
          <w:rtl/>
        </w:rPr>
        <w:instrText xml:space="preserve"> </w:instrText>
      </w:r>
      <w:r w:rsidRPr="002A0D0C">
        <w:rPr>
          <w:rStyle w:val="af2"/>
          <w:rFonts w:eastAsia="Guttman Hodes"/>
          <w:rtl/>
        </w:rPr>
      </w:r>
      <w:r w:rsidRPr="002A0D0C">
        <w:rPr>
          <w:rStyle w:val="af2"/>
          <w:rFonts w:eastAsia="Guttman Hodes"/>
          <w:rtl/>
        </w:rPr>
        <w:fldChar w:fldCharType="separate"/>
      </w:r>
      <w:r w:rsidR="00D82181">
        <w:rPr>
          <w:rStyle w:val="af2"/>
          <w:rFonts w:eastAsia="Guttman Hodes"/>
          <w:cs/>
        </w:rPr>
        <w:t>‎</w:t>
      </w:r>
      <w:r w:rsidR="00D82181">
        <w:rPr>
          <w:rStyle w:val="af2"/>
          <w:rFonts w:eastAsia="Guttman Hodes"/>
          <w:rtl/>
        </w:rPr>
        <w:t>נח)</w:t>
      </w:r>
      <w:r w:rsidRPr="002A0D0C">
        <w:rPr>
          <w:rStyle w:val="af2"/>
          <w:rFonts w:eastAsia="Guttman Hodes"/>
          <w:rtl/>
        </w:rPr>
        <w:fldChar w:fldCharType="end"/>
      </w:r>
      <w:r>
        <w:rPr>
          <w:rFonts w:hint="cs"/>
          <w:rtl/>
        </w:rPr>
        <w:t xml:space="preserve"> בסוף דבריו דזהו החידוש בברייתא, כתב </w:t>
      </w:r>
      <w:r w:rsidRPr="00C444C9">
        <w:rPr>
          <w:rStyle w:val="aff4"/>
          <w:rFonts w:hint="cs"/>
          <w:vanish/>
          <w:rtl/>
        </w:rPr>
        <w:t>-</w:t>
      </w:r>
      <w:r w:rsidRPr="004F32D2">
        <w:rPr>
          <w:rStyle w:val="aff4"/>
          <w:rFonts w:hint="cs"/>
          <w:rtl/>
        </w:rPr>
        <w:t>הלח"מ</w:t>
      </w:r>
      <w:r w:rsidRPr="00C444C9">
        <w:rPr>
          <w:rStyle w:val="aff4"/>
          <w:rFonts w:hint="cs"/>
          <w:vanish/>
          <w:rtl/>
        </w:rPr>
        <w:t>-</w:t>
      </w:r>
      <w:r>
        <w:rPr>
          <w:rFonts w:hint="cs"/>
          <w:rtl/>
        </w:rPr>
        <w:t xml:space="preserve"> דלענין חטאת אין כל חילוק אי שאר המלאכות הם אב בעצמם או שהם תולדה של האב, דאי כוונת הברייתא לומר דהם מלאכה אחת ושאר המלאכות הם תולדה של האב, א"כ אין בזה כל חידוש, ורק אם הם אותו אב, יש חידוש בברייתא.</w:t>
      </w:r>
      <w:bookmarkEnd w:id="226"/>
    </w:p>
    <w:p w14:paraId="1A348F06" w14:textId="77777777" w:rsidR="009623A2" w:rsidRPr="00747170" w:rsidRDefault="009623A2" w:rsidP="00747170">
      <w:pPr>
        <w:pStyle w:val="a2"/>
        <w:rPr>
          <w:rtl/>
        </w:rPr>
      </w:pPr>
      <w:r w:rsidRPr="00747170">
        <w:rPr>
          <w:rFonts w:hint="cs"/>
          <w:rtl/>
        </w:rPr>
        <w:t xml:space="preserve">וא"ש לפ"ז שהודיענו חידוש שהוא אב כמותה אבל אם הודיענו שהיא תולדה אין בזה חידוש: </w:t>
      </w:r>
    </w:p>
    <w:p w14:paraId="6D5FA8E7" w14:textId="2BE42442" w:rsidR="009623A2" w:rsidRDefault="009623A2" w:rsidP="009623A2">
      <w:pPr>
        <w:pStyle w:val="afffff7"/>
        <w:rPr>
          <w:rtl/>
        </w:rPr>
      </w:pPr>
      <w:bookmarkStart w:id="228" w:name="_Toc133841653"/>
      <w:bookmarkStart w:id="229" w:name="_Toc163505401"/>
      <w:r w:rsidRPr="004504F2">
        <w:rPr>
          <w:rtl/>
        </w:rPr>
        <w:t>לחם משנה שבת ח' ב'</w:t>
      </w:r>
      <w:bookmarkEnd w:id="228"/>
      <w:bookmarkEnd w:id="229"/>
    </w:p>
    <w:p w14:paraId="09DF89F3" w14:textId="77777777" w:rsidR="009623A2" w:rsidRDefault="009623A2" w:rsidP="009623A2">
      <w:pPr>
        <w:pStyle w:val="a7"/>
        <w:rPr>
          <w:rtl/>
        </w:rPr>
      </w:pPr>
      <w:bookmarkStart w:id="230" w:name="_Toc134419611"/>
      <w:r>
        <w:rPr>
          <w:rFonts w:hint="cs"/>
          <w:rtl/>
        </w:rPr>
        <w:t>בי' הלח"מ דאף להרמב"ם חיוב זומר מדין נוטע שהוא כעין זורע ואין כוונתו דחייב מדין זורע</w:t>
      </w:r>
      <w:bookmarkEnd w:id="230"/>
    </w:p>
    <w:p w14:paraId="5FBBF5A2" w14:textId="3CC3BC80" w:rsidR="009623A2" w:rsidRDefault="009623A2" w:rsidP="00BC7DC8">
      <w:pPr>
        <w:pStyle w:val="a3"/>
      </w:pPr>
      <w:bookmarkStart w:id="231" w:name="_Ref133313373"/>
      <w:r>
        <w:rPr>
          <w:rFonts w:hint="cs"/>
          <w:rtl/>
        </w:rPr>
        <w:lastRenderedPageBreak/>
        <w:t xml:space="preserve">במ"ש </w:t>
      </w:r>
      <w:r w:rsidRPr="00C444C9">
        <w:rPr>
          <w:rStyle w:val="aff4"/>
          <w:rFonts w:hint="cs"/>
          <w:vanish/>
          <w:rtl/>
        </w:rPr>
        <w:t>-</w:t>
      </w:r>
      <w:r w:rsidRPr="004F32D2">
        <w:rPr>
          <w:rStyle w:val="aff4"/>
          <w:rFonts w:hint="cs"/>
          <w:rtl/>
        </w:rPr>
        <w:t>הרמב"ם</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sidRPr="002A0D0C">
        <w:rPr>
          <w:rStyle w:val="af2"/>
          <w:rFonts w:eastAsia="Guttman Hodes"/>
          <w:rtl/>
        </w:rPr>
        <w:fldChar w:fldCharType="begin"/>
      </w:r>
      <w:r w:rsidRPr="002A0D0C">
        <w:rPr>
          <w:rStyle w:val="af2"/>
          <w:rFonts w:eastAsia="Guttman Hodes"/>
          <w:rtl/>
        </w:rPr>
        <w:instrText xml:space="preserve"> </w:instrText>
      </w:r>
      <w:r w:rsidRPr="002A0D0C">
        <w:rPr>
          <w:rStyle w:val="af2"/>
          <w:rFonts w:eastAsia="Guttman Hodes" w:hint="cs"/>
        </w:rPr>
        <w:instrText>REF</w:instrText>
      </w:r>
      <w:r w:rsidRPr="002A0D0C">
        <w:rPr>
          <w:rStyle w:val="af2"/>
          <w:rFonts w:eastAsia="Guttman Hodes" w:hint="cs"/>
          <w:rtl/>
        </w:rPr>
        <w:instrText xml:space="preserve"> _</w:instrText>
      </w:r>
      <w:r w:rsidRPr="002A0D0C">
        <w:rPr>
          <w:rStyle w:val="af2"/>
          <w:rFonts w:eastAsia="Guttman Hodes" w:hint="cs"/>
        </w:rPr>
        <w:instrText>Ref130228911 \r \h</w:instrText>
      </w:r>
      <w:r w:rsidRPr="002A0D0C">
        <w:rPr>
          <w:rStyle w:val="af2"/>
          <w:rFonts w:eastAsia="Guttman Hodes"/>
          <w:rtl/>
        </w:rPr>
        <w:instrText xml:space="preserve"> </w:instrText>
      </w:r>
      <w:r w:rsidRPr="002A0D0C">
        <w:rPr>
          <w:rStyle w:val="af2"/>
          <w:rFonts w:eastAsia="Guttman Hodes"/>
          <w:rtl/>
        </w:rPr>
      </w:r>
      <w:r w:rsidRPr="002A0D0C">
        <w:rPr>
          <w:rStyle w:val="af2"/>
          <w:rFonts w:eastAsia="Guttman Hodes"/>
          <w:rtl/>
        </w:rPr>
        <w:fldChar w:fldCharType="separate"/>
      </w:r>
      <w:r w:rsidR="00D82181">
        <w:rPr>
          <w:rStyle w:val="af2"/>
          <w:rFonts w:eastAsia="Guttman Hodes"/>
          <w:cs/>
        </w:rPr>
        <w:t>‎</w:t>
      </w:r>
      <w:r w:rsidR="00D82181">
        <w:rPr>
          <w:rStyle w:val="af2"/>
          <w:rFonts w:eastAsia="Guttman Hodes"/>
          <w:rtl/>
        </w:rPr>
        <w:t>לא)</w:t>
      </w:r>
      <w:r w:rsidRPr="002A0D0C">
        <w:rPr>
          <w:rStyle w:val="af2"/>
          <w:rFonts w:eastAsia="Guttman Hodes"/>
          <w:rtl/>
        </w:rPr>
        <w:fldChar w:fldCharType="end"/>
      </w:r>
      <w:r>
        <w:rPr>
          <w:rFonts w:hint="cs"/>
          <w:rtl/>
        </w:rPr>
        <w:t xml:space="preserve"> דהזומר את האילן כדי שיצמח הוא כעין זורע, הקשה </w:t>
      </w:r>
      <w:r w:rsidRPr="00C444C9">
        <w:rPr>
          <w:rStyle w:val="aff4"/>
          <w:rFonts w:hint="cs"/>
          <w:vanish/>
          <w:rtl/>
        </w:rPr>
        <w:t>-</w:t>
      </w:r>
      <w:r w:rsidRPr="004F32D2">
        <w:rPr>
          <w:rStyle w:val="aff4"/>
          <w:rFonts w:hint="cs"/>
          <w:rtl/>
        </w:rPr>
        <w:t>ה</w:t>
      </w:r>
      <w:r w:rsidRPr="002E7E1F">
        <w:rPr>
          <w:rStyle w:val="aff4"/>
          <w:rFonts w:hint="cs"/>
          <w:vanish/>
          <w:rtl/>
        </w:rPr>
        <w:t xml:space="preserve">&lt;. </w:t>
      </w:r>
      <w:r w:rsidRPr="002E7E1F">
        <w:rPr>
          <w:rStyle w:val="aff4"/>
          <w:vanish/>
          <w:rtl/>
        </w:rPr>
        <w:fldChar w:fldCharType="begin"/>
      </w:r>
      <w:r w:rsidRPr="002E7E1F">
        <w:rPr>
          <w:rStyle w:val="aff4"/>
          <w:vanish/>
          <w:rtl/>
        </w:rPr>
        <w:instrText xml:space="preserve"> </w:instrText>
      </w:r>
      <w:r w:rsidRPr="002E7E1F">
        <w:rPr>
          <w:rStyle w:val="aff4"/>
          <w:rFonts w:hint="cs"/>
          <w:vanish/>
        </w:rPr>
        <w:instrText>REF</w:instrText>
      </w:r>
      <w:r w:rsidRPr="002E7E1F">
        <w:rPr>
          <w:rStyle w:val="aff4"/>
          <w:rFonts w:hint="cs"/>
          <w:vanish/>
          <w:rtl/>
        </w:rPr>
        <w:instrText xml:space="preserve"> _</w:instrText>
      </w:r>
      <w:r w:rsidRPr="002E7E1F">
        <w:rPr>
          <w:rStyle w:val="aff4"/>
          <w:rFonts w:hint="cs"/>
          <w:vanish/>
        </w:rPr>
        <w:instrText>Ref133313373 \r \h</w:instrText>
      </w:r>
      <w:r w:rsidRPr="002E7E1F">
        <w:rPr>
          <w:rStyle w:val="aff4"/>
          <w:vanish/>
          <w:rtl/>
        </w:rPr>
        <w:instrText xml:space="preserve"> </w:instrText>
      </w:r>
      <w:r>
        <w:rPr>
          <w:rStyle w:val="aff4"/>
          <w:vanish/>
          <w:rtl/>
        </w:rPr>
        <w:instrText xml:space="preserve"> \* </w:instrText>
      </w:r>
      <w:r>
        <w:rPr>
          <w:rStyle w:val="aff4"/>
          <w:vanish/>
        </w:rPr>
        <w:instrText>MERGEFORMAT</w:instrText>
      </w:r>
      <w:r>
        <w:rPr>
          <w:rStyle w:val="aff4"/>
          <w:vanish/>
          <w:rtl/>
        </w:rPr>
        <w:instrText xml:space="preserve"> </w:instrText>
      </w:r>
      <w:r w:rsidRPr="002E7E1F">
        <w:rPr>
          <w:rStyle w:val="aff4"/>
          <w:vanish/>
          <w:rtl/>
        </w:rPr>
      </w:r>
      <w:r w:rsidRPr="002E7E1F">
        <w:rPr>
          <w:rStyle w:val="aff4"/>
          <w:vanish/>
          <w:rtl/>
        </w:rPr>
        <w:fldChar w:fldCharType="separate"/>
      </w:r>
      <w:r w:rsidR="00D82181">
        <w:rPr>
          <w:rStyle w:val="aff4"/>
          <w:vanish/>
          <w:cs/>
        </w:rPr>
        <w:t>‎</w:t>
      </w:r>
      <w:r w:rsidR="00D82181">
        <w:rPr>
          <w:rStyle w:val="aff4"/>
          <w:vanish/>
          <w:rtl/>
        </w:rPr>
        <w:t>מא)</w:t>
      </w:r>
      <w:r w:rsidRPr="002E7E1F">
        <w:rPr>
          <w:rStyle w:val="aff4"/>
          <w:vanish/>
          <w:rtl/>
        </w:rPr>
        <w:fldChar w:fldCharType="end"/>
      </w:r>
      <w:r w:rsidRPr="002E7E1F">
        <w:rPr>
          <w:rStyle w:val="aff4"/>
          <w:rFonts w:hint="cs"/>
          <w:vanish/>
          <w:rtl/>
        </w:rPr>
        <w:t xml:space="preserve"> &gt;</w:t>
      </w:r>
      <w:r w:rsidRPr="004F32D2">
        <w:rPr>
          <w:rStyle w:val="aff4"/>
          <w:rFonts w:hint="cs"/>
          <w:rtl/>
        </w:rPr>
        <w:t>לח"מ</w:t>
      </w:r>
      <w:r w:rsidRPr="00C444C9">
        <w:rPr>
          <w:rStyle w:val="aff4"/>
          <w:rFonts w:hint="cs"/>
          <w:vanish/>
          <w:rtl/>
        </w:rPr>
        <w:t>-</w:t>
      </w:r>
      <w:r w:rsidRPr="00F6438D">
        <w:rPr>
          <w:rStyle w:val="aff4"/>
          <w:rFonts w:hint="cs"/>
          <w:rtl/>
        </w:rPr>
        <w:t xml:space="preserve"> </w:t>
      </w:r>
      <w:r w:rsidRPr="002A0D0C">
        <w:rPr>
          <w:rStyle w:val="af2"/>
          <w:rFonts w:eastAsia="Guttman Hodes" w:hint="cs"/>
          <w:rtl/>
        </w:rPr>
        <w:t>(שבת פ"ח ה"ב)</w:t>
      </w:r>
      <w:r>
        <w:rPr>
          <w:rFonts w:hint="cs"/>
          <w:vanish/>
          <w:rtl/>
        </w:rPr>
        <w:t>=</w:t>
      </w:r>
      <w:r>
        <w:rPr>
          <w:rFonts w:hint="cs"/>
          <w:rtl/>
        </w:rPr>
        <w:t xml:space="preserve"> דמהא דאמרינן בגמ' דבכל שאר המלאכות חייב אף משום זורע, וזומר חייב רק משום נוטע, משמע בפשטות דזומר חייב רק משום נוטע ולא משום זורע, </w:t>
      </w:r>
      <w:r w:rsidRPr="002A0D0C">
        <w:rPr>
          <w:rStyle w:val="af"/>
          <w:rFonts w:hint="cs"/>
          <w:rtl/>
        </w:rPr>
        <w:t xml:space="preserve">[כדביאר </w:t>
      </w:r>
      <w:r w:rsidRPr="001145E2">
        <w:rPr>
          <w:rStyle w:val="aff9"/>
          <w:rFonts w:hint="cs"/>
          <w:vanish/>
          <w:rtl/>
        </w:rPr>
        <w:t>-</w:t>
      </w:r>
      <w:r w:rsidRPr="002A0D0C">
        <w:rPr>
          <w:rStyle w:val="aff9"/>
          <w:rFonts w:hint="cs"/>
          <w:rtl/>
        </w:rPr>
        <w:t>רש"י</w:t>
      </w:r>
      <w:r w:rsidRPr="001145E2">
        <w:rPr>
          <w:rStyle w:val="aff9"/>
          <w:rFonts w:hint="cs"/>
          <w:vanish/>
          <w:rtl/>
        </w:rPr>
        <w:t>-</w:t>
      </w:r>
      <w:r w:rsidRPr="002A0D0C">
        <w:rPr>
          <w:rStyle w:val="af"/>
          <w:rFonts w:hint="cs"/>
          <w:rtl/>
        </w:rPr>
        <w:t xml:space="preserve"> </w:t>
      </w:r>
      <w:r w:rsidRPr="002A0D0C">
        <w:rPr>
          <w:rStyle w:val="aff5"/>
          <w:rFonts w:hint="cs"/>
          <w:rtl/>
        </w:rPr>
        <w:t xml:space="preserve">(עי' אות </w:t>
      </w:r>
      <w:r>
        <w:rPr>
          <w:rStyle w:val="aff5"/>
          <w:rtl/>
        </w:rPr>
        <w:fldChar w:fldCharType="begin"/>
      </w:r>
      <w:r>
        <w:rPr>
          <w:rStyle w:val="aff5"/>
          <w:rtl/>
        </w:rPr>
        <w:instrText xml:space="preserve"> </w:instrText>
      </w:r>
      <w:r>
        <w:rPr>
          <w:rStyle w:val="aff5"/>
          <w:rFonts w:hint="cs"/>
        </w:rPr>
        <w:instrText>REF</w:instrText>
      </w:r>
      <w:r>
        <w:rPr>
          <w:rStyle w:val="aff5"/>
          <w:rFonts w:hint="cs"/>
          <w:rtl/>
        </w:rPr>
        <w:instrText xml:space="preserve"> _</w:instrText>
      </w:r>
      <w:r>
        <w:rPr>
          <w:rStyle w:val="aff5"/>
          <w:rFonts w:hint="cs"/>
        </w:rPr>
        <w:instrText>Ref133481736 \r \h</w:instrText>
      </w:r>
      <w:r>
        <w:rPr>
          <w:rStyle w:val="aff5"/>
          <w:rtl/>
        </w:rPr>
        <w:instrText xml:space="preserve"> </w:instrText>
      </w:r>
      <w:r>
        <w:rPr>
          <w:rStyle w:val="aff5"/>
          <w:rtl/>
        </w:rPr>
      </w:r>
      <w:r>
        <w:rPr>
          <w:rStyle w:val="aff5"/>
          <w:rtl/>
        </w:rPr>
        <w:fldChar w:fldCharType="separate"/>
      </w:r>
      <w:r w:rsidR="00D82181">
        <w:rPr>
          <w:rStyle w:val="aff5"/>
          <w:cs/>
        </w:rPr>
        <w:t>‎</w:t>
      </w:r>
      <w:r w:rsidR="00D82181">
        <w:rPr>
          <w:rStyle w:val="aff5"/>
          <w:rtl/>
        </w:rPr>
        <w:t>א)</w:t>
      </w:r>
      <w:r>
        <w:rPr>
          <w:rStyle w:val="aff5"/>
          <w:rtl/>
        </w:rPr>
        <w:fldChar w:fldCharType="end"/>
      </w:r>
      <w:r w:rsidRPr="002A0D0C">
        <w:rPr>
          <w:rStyle w:val="af"/>
          <w:rFonts w:hint="cs"/>
          <w:rtl/>
        </w:rPr>
        <w:t>]</w:t>
      </w:r>
      <w:r w:rsidRPr="00FF4D6D">
        <w:rPr>
          <w:rStyle w:val="af"/>
          <w:rFonts w:hint="cs"/>
          <w:rtl/>
        </w:rPr>
        <w:t>,</w:t>
      </w:r>
      <w:r>
        <w:rPr>
          <w:rFonts w:hint="cs"/>
          <w:rtl/>
        </w:rPr>
        <w:t xml:space="preserve"> והיאך כתב </w:t>
      </w:r>
      <w:r w:rsidRPr="00C444C9">
        <w:rPr>
          <w:rStyle w:val="aff4"/>
          <w:rFonts w:hint="cs"/>
          <w:vanish/>
          <w:rtl/>
        </w:rPr>
        <w:t>-</w:t>
      </w:r>
      <w:r w:rsidRPr="004F32D2">
        <w:rPr>
          <w:rStyle w:val="aff4"/>
          <w:rFonts w:hint="cs"/>
          <w:rtl/>
        </w:rPr>
        <w:t>הרמב"ם</w:t>
      </w:r>
      <w:r w:rsidRPr="00C444C9">
        <w:rPr>
          <w:rStyle w:val="aff4"/>
          <w:rFonts w:hint="cs"/>
          <w:vanish/>
          <w:rtl/>
        </w:rPr>
        <w:t>-</w:t>
      </w:r>
      <w:r>
        <w:rPr>
          <w:rFonts w:hint="cs"/>
          <w:rtl/>
        </w:rPr>
        <w:t xml:space="preserve"> דזומר הוא כעין זורע, דמשמע שחייב משום זורע, ותירץ </w:t>
      </w:r>
      <w:r w:rsidRPr="00C444C9">
        <w:rPr>
          <w:rStyle w:val="aff4"/>
          <w:rFonts w:hint="cs"/>
          <w:vanish/>
          <w:rtl/>
        </w:rPr>
        <w:t>-</w:t>
      </w:r>
      <w:r w:rsidRPr="004F32D2">
        <w:rPr>
          <w:rStyle w:val="aff4"/>
          <w:rFonts w:hint="cs"/>
          <w:rtl/>
        </w:rPr>
        <w:t>הלח"מ</w:t>
      </w:r>
      <w:r w:rsidRPr="00C444C9">
        <w:rPr>
          <w:rStyle w:val="aff4"/>
          <w:rFonts w:hint="cs"/>
          <w:vanish/>
          <w:rtl/>
        </w:rPr>
        <w:t>-</w:t>
      </w:r>
      <w:r>
        <w:rPr>
          <w:rFonts w:hint="cs"/>
          <w:rtl/>
        </w:rPr>
        <w:t xml:space="preserve"> דמ"ש </w:t>
      </w:r>
      <w:r w:rsidRPr="00C444C9">
        <w:rPr>
          <w:rStyle w:val="aff4"/>
          <w:rFonts w:hint="cs"/>
          <w:vanish/>
          <w:rtl/>
        </w:rPr>
        <w:t>-</w:t>
      </w:r>
      <w:r w:rsidRPr="004F32D2">
        <w:rPr>
          <w:rStyle w:val="aff4"/>
          <w:rFonts w:hint="cs"/>
          <w:rtl/>
        </w:rPr>
        <w:t>הרמב"ם</w:t>
      </w:r>
      <w:r w:rsidRPr="00C444C9">
        <w:rPr>
          <w:rStyle w:val="aff4"/>
          <w:rFonts w:hint="cs"/>
          <w:vanish/>
          <w:rtl/>
        </w:rPr>
        <w:t>-</w:t>
      </w:r>
      <w:r>
        <w:rPr>
          <w:rFonts w:hint="cs"/>
          <w:rtl/>
        </w:rPr>
        <w:t xml:space="preserve"> דהוא כעין זורע כוונתו לומר דכיון דחיוב זומר הוא מדין נוטע ונוטע חייב משום זורע, א"כ אף זומר הוא כעין זורע, אך אין כוונתו לומר דחייב משום זורע אלא חיובו הוא רק משום נוטע.</w:t>
      </w:r>
      <w:bookmarkEnd w:id="231"/>
    </w:p>
    <w:p w14:paraId="48CB3732" w14:textId="77777777" w:rsidR="009623A2" w:rsidRPr="00747170" w:rsidRDefault="009623A2" w:rsidP="00747170">
      <w:pPr>
        <w:pStyle w:val="a2"/>
        <w:rPr>
          <w:rtl/>
        </w:rPr>
      </w:pPr>
      <w:r w:rsidRPr="00747170">
        <w:rPr>
          <w:rtl/>
        </w:rPr>
        <w:t>[ב] הזומר את האילן וכו' ה"ז מעין זורע. בגמרא פרק כלל גדול (דף ע"ג ב) א"ר אמי זומר חייב משום נוטע והנוטע והמבריך והמרכיב חייב משום זורע והקשו משום זורע אין משום נוטע לא אימא אף משום זורע ע"כ. לפום ריהטא משמע דזומר חייב משום נוטע בלבד מדאמר בכל הני משום זורע ונוטע ובהך לא קאמר אלא משום נוטע וא"כ קשה איך כתב כאן ה"ז מעין זורע דמשמע דחייב משום זורע. ואפשר לומר דמ"ש מעין זורע ר"ל אבל אינו חייב אלא משום נוטע ומפני שנוטע חייב משום זורע אמר ה"ז מעין זורע.</w:t>
      </w:r>
    </w:p>
    <w:p w14:paraId="37114FDB" w14:textId="1EB40984" w:rsidR="009623A2" w:rsidRPr="00674513" w:rsidRDefault="009623A2" w:rsidP="009623A2">
      <w:pPr>
        <w:pStyle w:val="a7"/>
      </w:pPr>
      <w:bookmarkStart w:id="232" w:name="_Toc134419612"/>
      <w:r>
        <w:rPr>
          <w:rFonts w:hint="cs"/>
          <w:rtl/>
        </w:rPr>
        <w:t>התי' הב' בלח"מ דלמסקנא זומר חייב אף משום נוטע היינו גם משום זורע דהוא החיוב בנוטע</w:t>
      </w:r>
      <w:bookmarkEnd w:id="232"/>
    </w:p>
    <w:p w14:paraId="2E316478" w14:textId="333C15B5" w:rsidR="009623A2" w:rsidRPr="000060CB" w:rsidRDefault="009623A2" w:rsidP="00BC7DC8">
      <w:pPr>
        <w:pStyle w:val="a3"/>
        <w:rPr>
          <w:rtl/>
        </w:rPr>
      </w:pPr>
      <w:bookmarkStart w:id="233" w:name="_Ref133823518"/>
      <w:r>
        <w:rPr>
          <w:rFonts w:hint="cs"/>
          <w:rtl/>
        </w:rPr>
        <w:t xml:space="preserve">ועוד תירץ </w:t>
      </w:r>
      <w:r w:rsidRPr="00C444C9">
        <w:rPr>
          <w:rStyle w:val="aff4"/>
          <w:rFonts w:hint="cs"/>
          <w:vanish/>
          <w:rtl/>
        </w:rPr>
        <w:t>-</w:t>
      </w:r>
      <w:r w:rsidRPr="004F32D2">
        <w:rPr>
          <w:rStyle w:val="aff4"/>
          <w:rFonts w:hint="cs"/>
          <w:rtl/>
        </w:rPr>
        <w:t>הלח"מ בתי' הב'</w:t>
      </w:r>
      <w:r w:rsidRPr="00C444C9">
        <w:rPr>
          <w:rStyle w:val="aff4"/>
          <w:rFonts w:hint="cs"/>
          <w:vanish/>
          <w:rtl/>
        </w:rPr>
        <w:t>-</w:t>
      </w:r>
      <w:r>
        <w:rPr>
          <w:rFonts w:hint="cs"/>
          <w:rtl/>
        </w:rPr>
        <w:t xml:space="preserve"> דבאמת במסקנא כוונת הגמ' לומר דזומר חייב אף משום נוטע, והיינו דחייב גם משום זורע, וכדמוכח מהא דזורע חייב משום נוטע, ונוטע חייב משום זורע, וא"כ זומר שחייב משום נוטע, צריך להתחייב עליו גם משום זורע, ועי' במ"ש </w:t>
      </w:r>
      <w:r w:rsidRPr="00C444C9">
        <w:rPr>
          <w:rStyle w:val="aff4"/>
          <w:rFonts w:hint="cs"/>
          <w:vanish/>
          <w:rtl/>
        </w:rPr>
        <w:t>-</w:t>
      </w:r>
      <w:r w:rsidRPr="004F32D2">
        <w:rPr>
          <w:rStyle w:val="aff4"/>
          <w:rFonts w:hint="cs"/>
          <w:rtl/>
        </w:rPr>
        <w:t>הראש יוסף</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Ref130490300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w:t>
      </w:r>
      <w:r>
        <w:rPr>
          <w:rStyle w:val="af2"/>
          <w:rFonts w:eastAsia="Guttman Hodes"/>
          <w:rtl/>
        </w:rPr>
        <w:fldChar w:fldCharType="end"/>
      </w:r>
      <w:r>
        <w:rPr>
          <w:rFonts w:hint="cs"/>
          <w:rtl/>
        </w:rPr>
        <w:t xml:space="preserve"> דיש ט"ס בדברי </w:t>
      </w:r>
      <w:r w:rsidRPr="00C444C9">
        <w:rPr>
          <w:rStyle w:val="aff4"/>
          <w:rFonts w:hint="cs"/>
          <w:vanish/>
          <w:rtl/>
        </w:rPr>
        <w:t>-</w:t>
      </w:r>
      <w:r w:rsidRPr="004F32D2">
        <w:rPr>
          <w:rStyle w:val="aff4"/>
          <w:rFonts w:hint="cs"/>
          <w:rtl/>
        </w:rPr>
        <w:t>הלח"מ</w:t>
      </w:r>
      <w:r w:rsidRPr="00C444C9">
        <w:rPr>
          <w:rStyle w:val="aff4"/>
          <w:rFonts w:hint="cs"/>
          <w:vanish/>
          <w:rtl/>
        </w:rPr>
        <w:t>-</w:t>
      </w:r>
      <w:r>
        <w:rPr>
          <w:rFonts w:hint="cs"/>
          <w:rtl/>
        </w:rPr>
        <w:t>.</w:t>
      </w:r>
      <w:bookmarkEnd w:id="233"/>
    </w:p>
    <w:p w14:paraId="37E81640" w14:textId="77777777" w:rsidR="009623A2" w:rsidRPr="00747170" w:rsidRDefault="009623A2" w:rsidP="00747170">
      <w:pPr>
        <w:pStyle w:val="a2"/>
        <w:rPr>
          <w:rtl/>
        </w:rPr>
      </w:pPr>
      <w:r w:rsidRPr="00747170">
        <w:rPr>
          <w:rtl/>
        </w:rPr>
        <w:t>ועוד י"ל דלפי תירוץ הגמרא כי היכי דאמרינן בהך משום זורע ר"ל אף משום זורע גם משום נוטע ר"ל אף משום נוטע תדע לך דזורע חייב משום נוטע ונוטע חייב משום זורע אם כן ראוי להיות דזומר חייב משום זורע:</w:t>
      </w:r>
    </w:p>
    <w:p w14:paraId="5DAA7A1A" w14:textId="29DC8E99" w:rsidR="009623A2" w:rsidRDefault="009623A2" w:rsidP="009623A2">
      <w:pPr>
        <w:pStyle w:val="affff5"/>
        <w:rPr>
          <w:rtl/>
        </w:rPr>
      </w:pPr>
      <w:bookmarkStart w:id="234" w:name="_Toc134419613"/>
      <w:r>
        <w:rPr>
          <w:rFonts w:hint="cs"/>
          <w:rtl/>
        </w:rPr>
        <w:t>בגדרי אבות ותולדות בשבת ובשביעית</w:t>
      </w:r>
      <w:bookmarkEnd w:id="234"/>
    </w:p>
    <w:p w14:paraId="701B2404" w14:textId="77777777" w:rsidR="009623A2" w:rsidRDefault="009623A2" w:rsidP="009623A2">
      <w:pPr>
        <w:pStyle w:val="1"/>
        <w:rPr>
          <w:rtl/>
        </w:rPr>
      </w:pPr>
      <w:bookmarkStart w:id="235" w:name="_Toc134419614"/>
      <w:r>
        <w:rPr>
          <w:rFonts w:hint="cs"/>
          <w:rtl/>
        </w:rPr>
        <w:t>בי' ר"ב אשכנזי ברמב"ם דיש אבות ומעין אבות ותולדות</w:t>
      </w:r>
      <w:bookmarkEnd w:id="235"/>
    </w:p>
    <w:p w14:paraId="5C418EDC" w14:textId="77777777" w:rsidR="009623A2" w:rsidRDefault="009623A2" w:rsidP="009623A2">
      <w:pPr>
        <w:pStyle w:val="afffff7"/>
        <w:rPr>
          <w:rtl/>
        </w:rPr>
      </w:pPr>
      <w:bookmarkStart w:id="236" w:name="_Toc133841654"/>
      <w:bookmarkStart w:id="237" w:name="_Toc163505402"/>
      <w:r>
        <w:rPr>
          <w:rtl/>
        </w:rPr>
        <w:t>שו"ת רבי בצלאל אשכנזי סימן לח</w:t>
      </w:r>
      <w:bookmarkEnd w:id="236"/>
      <w:bookmarkEnd w:id="237"/>
    </w:p>
    <w:p w14:paraId="5A126CDB" w14:textId="77777777" w:rsidR="009623A2" w:rsidRDefault="009623A2" w:rsidP="009623A2">
      <w:pPr>
        <w:pStyle w:val="a7"/>
        <w:rPr>
          <w:rtl/>
        </w:rPr>
      </w:pPr>
      <w:bookmarkStart w:id="238" w:name="_Toc134419615"/>
      <w:r>
        <w:rPr>
          <w:rFonts w:hint="cs"/>
          <w:rtl/>
        </w:rPr>
        <w:t>קו' השואל בשו"ת ר"ב אשכנזי ברמב"ם דבשבת זומר ובוצר אב ובשביעית תולדה כדאי' במו"ק</w:t>
      </w:r>
      <w:bookmarkEnd w:id="238"/>
    </w:p>
    <w:p w14:paraId="0FE6ECB9" w14:textId="2886084E" w:rsidR="009623A2" w:rsidRPr="003E1523" w:rsidRDefault="009623A2" w:rsidP="00BC7DC8">
      <w:pPr>
        <w:pStyle w:val="a3"/>
        <w:rPr>
          <w:rStyle w:val="af"/>
          <w:rtl/>
        </w:rPr>
      </w:pPr>
      <w:bookmarkStart w:id="239" w:name="_Ref133335975"/>
      <w:r>
        <w:rPr>
          <w:rFonts w:hint="cs"/>
          <w:rtl/>
        </w:rPr>
        <w:t xml:space="preserve">במ"ש </w:t>
      </w:r>
      <w:r w:rsidRPr="00C444C9">
        <w:rPr>
          <w:rStyle w:val="aff4"/>
          <w:rFonts w:hint="cs"/>
          <w:vanish/>
          <w:rtl/>
        </w:rPr>
        <w:t>-</w:t>
      </w:r>
      <w:r w:rsidRPr="004F32D2">
        <w:rPr>
          <w:rStyle w:val="aff4"/>
          <w:rFonts w:hint="cs"/>
          <w:rtl/>
        </w:rPr>
        <w:t>הרמב"ם</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Ref133477286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כט)</w:t>
      </w:r>
      <w:r>
        <w:rPr>
          <w:rStyle w:val="af2"/>
          <w:rFonts w:eastAsia="Guttman Hodes"/>
          <w:rtl/>
        </w:rPr>
        <w:fldChar w:fldCharType="end"/>
      </w:r>
      <w:r>
        <w:rPr>
          <w:rFonts w:hint="cs"/>
          <w:rtl/>
        </w:rPr>
        <w:t xml:space="preserve"> דזומר ובוצר הם אבות מלאכות, הקשה </w:t>
      </w:r>
      <w:r w:rsidRPr="00C444C9">
        <w:rPr>
          <w:rStyle w:val="aff4"/>
          <w:rFonts w:hint="cs"/>
          <w:vanish/>
          <w:rtl/>
        </w:rPr>
        <w:t xml:space="preserve">-&lt;. </w:t>
      </w:r>
      <w:r w:rsidRPr="00C444C9">
        <w:rPr>
          <w:rStyle w:val="aff4"/>
          <w:vanish/>
          <w:rtl/>
        </w:rPr>
        <w:fldChar w:fldCharType="begin"/>
      </w:r>
      <w:r w:rsidRPr="00C444C9">
        <w:rPr>
          <w:rStyle w:val="aff4"/>
          <w:vanish/>
          <w:rtl/>
        </w:rPr>
        <w:instrText xml:space="preserve"> </w:instrText>
      </w:r>
      <w:r w:rsidRPr="00C444C9">
        <w:rPr>
          <w:rStyle w:val="aff4"/>
          <w:rFonts w:hint="cs"/>
          <w:vanish/>
        </w:rPr>
        <w:instrText>REF</w:instrText>
      </w:r>
      <w:r w:rsidRPr="00C444C9">
        <w:rPr>
          <w:rStyle w:val="aff4"/>
          <w:rFonts w:hint="cs"/>
          <w:vanish/>
          <w:rtl/>
        </w:rPr>
        <w:instrText xml:space="preserve"> _</w:instrText>
      </w:r>
      <w:r w:rsidRPr="00C444C9">
        <w:rPr>
          <w:rStyle w:val="aff4"/>
          <w:rFonts w:hint="cs"/>
          <w:vanish/>
        </w:rPr>
        <w:instrText>Ref133335975 \r \h</w:instrText>
      </w:r>
      <w:r w:rsidRPr="00C444C9">
        <w:rPr>
          <w:rStyle w:val="aff4"/>
          <w:vanish/>
          <w:rtl/>
        </w:rPr>
        <w:instrText xml:space="preserve">  \* </w:instrText>
      </w:r>
      <w:r w:rsidRPr="00C444C9">
        <w:rPr>
          <w:rStyle w:val="aff4"/>
          <w:vanish/>
        </w:rPr>
        <w:instrText>MERGEFORMAT</w:instrText>
      </w:r>
      <w:r w:rsidRPr="00C444C9">
        <w:rPr>
          <w:rStyle w:val="aff4"/>
          <w:vanish/>
          <w:rtl/>
        </w:rPr>
        <w:instrText xml:space="preserve"> </w:instrText>
      </w:r>
      <w:r w:rsidRPr="00C444C9">
        <w:rPr>
          <w:rStyle w:val="aff4"/>
          <w:vanish/>
          <w:rtl/>
        </w:rPr>
      </w:r>
      <w:r w:rsidRPr="00C444C9">
        <w:rPr>
          <w:rStyle w:val="aff4"/>
          <w:vanish/>
          <w:rtl/>
        </w:rPr>
        <w:fldChar w:fldCharType="separate"/>
      </w:r>
      <w:r w:rsidR="00D82181">
        <w:rPr>
          <w:rStyle w:val="aff4"/>
          <w:vanish/>
          <w:cs/>
        </w:rPr>
        <w:t>‎</w:t>
      </w:r>
      <w:r w:rsidR="00D82181">
        <w:rPr>
          <w:rStyle w:val="aff4"/>
          <w:vanish/>
          <w:rtl/>
        </w:rPr>
        <w:t>מג)</w:t>
      </w:r>
      <w:r w:rsidRPr="00C444C9">
        <w:rPr>
          <w:rStyle w:val="aff4"/>
          <w:vanish/>
          <w:rtl/>
        </w:rPr>
        <w:fldChar w:fldCharType="end"/>
      </w:r>
      <w:r w:rsidRPr="00C444C9">
        <w:rPr>
          <w:rStyle w:val="aff4"/>
          <w:rFonts w:hint="cs"/>
          <w:vanish/>
          <w:rtl/>
        </w:rPr>
        <w:t xml:space="preserve"> &gt;</w:t>
      </w:r>
      <w:r w:rsidRPr="004F32D2">
        <w:rPr>
          <w:rStyle w:val="aff4"/>
          <w:rFonts w:hint="cs"/>
          <w:rtl/>
        </w:rPr>
        <w:t>השואל בשו"ת רבי בצלאל אשכנזי</w:t>
      </w:r>
      <w:r w:rsidRPr="00C444C9">
        <w:rPr>
          <w:rStyle w:val="aff4"/>
          <w:rFonts w:hint="cs"/>
          <w:vanish/>
          <w:rtl/>
        </w:rPr>
        <w:t>-</w:t>
      </w:r>
      <w:r>
        <w:rPr>
          <w:rFonts w:hint="cs"/>
          <w:rtl/>
        </w:rPr>
        <w:t xml:space="preserve"> </w:t>
      </w:r>
      <w:r w:rsidRPr="002A0D0C">
        <w:rPr>
          <w:rStyle w:val="af2"/>
          <w:rFonts w:eastAsia="Guttman Hodes" w:hint="cs"/>
          <w:rtl/>
        </w:rPr>
        <w:t>(סי' ל"ח)</w:t>
      </w:r>
      <w:r w:rsidRPr="006B5A55">
        <w:rPr>
          <w:rFonts w:hint="cs"/>
          <w:vanish/>
          <w:rtl/>
        </w:rPr>
        <w:t>=</w:t>
      </w:r>
      <w:r>
        <w:rPr>
          <w:rFonts w:hint="cs"/>
          <w:rtl/>
        </w:rPr>
        <w:t xml:space="preserve"> דהא לענין שמיטה כתב </w:t>
      </w:r>
      <w:r w:rsidRPr="00C444C9">
        <w:rPr>
          <w:rStyle w:val="aff4"/>
          <w:rFonts w:hint="cs"/>
          <w:vanish/>
          <w:rtl/>
        </w:rPr>
        <w:t>-</w:t>
      </w:r>
      <w:r w:rsidRPr="004F32D2">
        <w:rPr>
          <w:rStyle w:val="aff4"/>
          <w:rFonts w:hint="cs"/>
          <w:rtl/>
        </w:rPr>
        <w:t>ה</w:t>
      </w:r>
      <w:r w:rsidRPr="00C444C9">
        <w:rPr>
          <w:rStyle w:val="aff4"/>
          <w:rFonts w:hint="cs"/>
          <w:vanish/>
          <w:rtl/>
        </w:rPr>
        <w:t>&lt; &gt;</w:t>
      </w:r>
      <w:r w:rsidRPr="004F32D2">
        <w:rPr>
          <w:rStyle w:val="aff4"/>
          <w:rFonts w:hint="cs"/>
          <w:rtl/>
        </w:rPr>
        <w:t>רמב"ם</w:t>
      </w:r>
      <w:r w:rsidRPr="00C444C9">
        <w:rPr>
          <w:rStyle w:val="aff4"/>
          <w:rFonts w:hint="cs"/>
          <w:vanish/>
          <w:rtl/>
        </w:rPr>
        <w:t>-</w:t>
      </w:r>
      <w:r>
        <w:rPr>
          <w:rFonts w:hint="cs"/>
          <w:rtl/>
        </w:rPr>
        <w:t xml:space="preserve"> </w:t>
      </w:r>
      <w:r w:rsidRPr="002A0D0C">
        <w:rPr>
          <w:rStyle w:val="af2"/>
          <w:rFonts w:eastAsia="Guttman Hodes" w:hint="cs"/>
          <w:rtl/>
        </w:rPr>
        <w:t>(שמיטה פ"א ה"ג)</w:t>
      </w:r>
      <w:r w:rsidRPr="006B5A55">
        <w:rPr>
          <w:rFonts w:hint="cs"/>
          <w:vanish/>
          <w:rtl/>
        </w:rPr>
        <w:t>=</w:t>
      </w:r>
      <w:r>
        <w:rPr>
          <w:rFonts w:hint="cs"/>
          <w:rtl/>
        </w:rPr>
        <w:t xml:space="preserve"> </w:t>
      </w:r>
      <w:bookmarkStart w:id="240" w:name="_Hlk133429968"/>
      <w:r>
        <w:rPr>
          <w:rFonts w:hint="cs"/>
          <w:rtl/>
        </w:rPr>
        <w:t>דזומר ובוצר הם תולדת זורע וקוצר,</w:t>
      </w:r>
      <w:bookmarkEnd w:id="240"/>
      <w:r>
        <w:rPr>
          <w:rFonts w:hint="cs"/>
          <w:rtl/>
        </w:rPr>
        <w:t xml:space="preserve"> וכן מבואר להדיא בגמ' במועד קטן </w:t>
      </w:r>
      <w:r w:rsidRPr="002A0D0C">
        <w:rPr>
          <w:rStyle w:val="af2"/>
          <w:rFonts w:eastAsia="Guttman Hodes" w:hint="cs"/>
          <w:rtl/>
        </w:rPr>
        <w:t>(ג.)</w:t>
      </w:r>
      <w:r>
        <w:rPr>
          <w:rFonts w:hint="cs"/>
          <w:rtl/>
        </w:rPr>
        <w:t xml:space="preserve">. </w:t>
      </w:r>
      <w:r w:rsidRPr="002A0D0C">
        <w:rPr>
          <w:rStyle w:val="af"/>
          <w:rFonts w:hint="cs"/>
          <w:rtl/>
        </w:rPr>
        <w:t xml:space="preserve">[וע"ע במה שהקשה </w:t>
      </w:r>
      <w:r w:rsidRPr="001145E2">
        <w:rPr>
          <w:rStyle w:val="aff9"/>
          <w:rFonts w:hint="cs"/>
          <w:vanish/>
          <w:rtl/>
        </w:rPr>
        <w:t>-</w:t>
      </w:r>
      <w:r w:rsidRPr="002A0D0C">
        <w:rPr>
          <w:rStyle w:val="aff9"/>
          <w:rFonts w:hint="cs"/>
          <w:rtl/>
        </w:rPr>
        <w:t>השואל בשו"ת רבי בצלאל אשכנזי</w:t>
      </w:r>
      <w:r w:rsidRPr="001145E2">
        <w:rPr>
          <w:rStyle w:val="aff9"/>
          <w:rFonts w:hint="cs"/>
          <w:vanish/>
          <w:rtl/>
        </w:rPr>
        <w:t>-</w:t>
      </w:r>
      <w:r w:rsidRPr="002A0D0C">
        <w:rPr>
          <w:rStyle w:val="af"/>
          <w:rFonts w:hint="cs"/>
          <w:rtl/>
        </w:rPr>
        <w:t xml:space="preserve"> </w:t>
      </w:r>
      <w:r w:rsidRPr="002A0D0C">
        <w:rPr>
          <w:rStyle w:val="aff5"/>
          <w:rFonts w:hint="cs"/>
          <w:rtl/>
        </w:rPr>
        <w:t xml:space="preserve">(עי' אות </w:t>
      </w:r>
      <w:r w:rsidRPr="002A0D0C">
        <w:rPr>
          <w:rStyle w:val="aff5"/>
          <w:rtl/>
        </w:rPr>
        <w:fldChar w:fldCharType="begin"/>
      </w:r>
      <w:r w:rsidRPr="002A0D0C">
        <w:rPr>
          <w:rStyle w:val="aff5"/>
          <w:rtl/>
        </w:rPr>
        <w:instrText xml:space="preserve"> </w:instrText>
      </w:r>
      <w:r w:rsidRPr="002A0D0C">
        <w:rPr>
          <w:rStyle w:val="aff5"/>
          <w:rFonts w:hint="cs"/>
        </w:rPr>
        <w:instrText>REF</w:instrText>
      </w:r>
      <w:r w:rsidRPr="002A0D0C">
        <w:rPr>
          <w:rStyle w:val="aff5"/>
          <w:rFonts w:hint="cs"/>
          <w:rtl/>
        </w:rPr>
        <w:instrText xml:space="preserve"> _</w:instrText>
      </w:r>
      <w:r w:rsidRPr="002A0D0C">
        <w:rPr>
          <w:rStyle w:val="aff5"/>
          <w:rFonts w:hint="cs"/>
        </w:rPr>
        <w:instrText>Ref133480809 \r \h</w:instrText>
      </w:r>
      <w:r w:rsidRPr="002A0D0C">
        <w:rPr>
          <w:rStyle w:val="aff5"/>
          <w:rtl/>
        </w:rPr>
        <w:instrText xml:space="preserve"> </w:instrText>
      </w:r>
      <w:r w:rsidRPr="002A0D0C">
        <w:rPr>
          <w:rStyle w:val="aff5"/>
          <w:rtl/>
        </w:rPr>
      </w:r>
      <w:r w:rsidRPr="002A0D0C">
        <w:rPr>
          <w:rStyle w:val="aff5"/>
          <w:rtl/>
        </w:rPr>
        <w:fldChar w:fldCharType="separate"/>
      </w:r>
      <w:r w:rsidR="00D82181">
        <w:rPr>
          <w:rStyle w:val="aff5"/>
          <w:cs/>
        </w:rPr>
        <w:t>‎</w:t>
      </w:r>
      <w:r w:rsidR="00D82181">
        <w:rPr>
          <w:rStyle w:val="aff5"/>
          <w:rtl/>
        </w:rPr>
        <w:t>ה)</w:t>
      </w:r>
      <w:r w:rsidRPr="002A0D0C">
        <w:rPr>
          <w:rStyle w:val="aff5"/>
          <w:rtl/>
        </w:rPr>
        <w:fldChar w:fldCharType="end"/>
      </w:r>
      <w:r w:rsidRPr="002A0D0C">
        <w:rPr>
          <w:rStyle w:val="af"/>
          <w:rFonts w:hint="cs"/>
          <w:rtl/>
        </w:rPr>
        <w:t xml:space="preserve"> על </w:t>
      </w:r>
      <w:r w:rsidRPr="001145E2">
        <w:rPr>
          <w:rStyle w:val="aff9"/>
          <w:rFonts w:hint="cs"/>
          <w:vanish/>
          <w:rtl/>
        </w:rPr>
        <w:t>-</w:t>
      </w:r>
      <w:r w:rsidRPr="002A0D0C">
        <w:rPr>
          <w:rStyle w:val="aff9"/>
          <w:rFonts w:hint="cs"/>
          <w:rtl/>
        </w:rPr>
        <w:t>רש"י</w:t>
      </w:r>
      <w:r w:rsidRPr="001145E2">
        <w:rPr>
          <w:rStyle w:val="aff9"/>
          <w:rFonts w:hint="cs"/>
          <w:vanish/>
          <w:rtl/>
        </w:rPr>
        <w:t>-</w:t>
      </w:r>
      <w:r w:rsidRPr="002A0D0C">
        <w:rPr>
          <w:rStyle w:val="af"/>
          <w:rFonts w:hint="cs"/>
          <w:rtl/>
        </w:rPr>
        <w:t>]</w:t>
      </w:r>
      <w:r w:rsidRPr="003E1523">
        <w:rPr>
          <w:rStyle w:val="af"/>
          <w:rFonts w:hint="cs"/>
          <w:rtl/>
        </w:rPr>
        <w:t>.</w:t>
      </w:r>
      <w:bookmarkEnd w:id="239"/>
    </w:p>
    <w:p w14:paraId="29141C8C" w14:textId="77777777" w:rsidR="009623A2" w:rsidRPr="00747170" w:rsidRDefault="009623A2" w:rsidP="00747170">
      <w:pPr>
        <w:pStyle w:val="a2"/>
        <w:rPr>
          <w:rtl/>
        </w:rPr>
      </w:pPr>
      <w:r w:rsidRPr="00747170">
        <w:rPr>
          <w:rtl/>
        </w:rPr>
        <w:t xml:space="preserve">שאלה במה שכתב הרמב"ם ז"ל בה' שבת פ' שביעי דזומר ובוצר הן אבות מלאכות ובה' שמיטה ויובל פ' ראשון כתב שזומר ובוצר הן תולדות זומר תולדה דזורע ובוצר תולדה דקוצר וכן במ"ק פ"ק אמרו בבירור שזומר ובוצר הן תולדות דזורע וקוצר אם כן קשיא להרמב"ם ז"ל מדידיה אדידיה וקשיא ליה מהגמ' של מ"ק </w:t>
      </w:r>
      <w:r w:rsidRPr="00747170">
        <w:rPr>
          <w:rStyle w:val="afff7"/>
          <w:rtl/>
        </w:rPr>
        <w:t>וכן קשיא לרש"י ז"ל מדידיה אדידיה ומדידיה אל הגמ' דבמס' שבת בריש פ' כלל גדול כתב אבות דשביעית זריעה וקצירה וזמירה ובצירה ולפנים בפ' עצמו כתב הוא ז"ל על מה שאמרו בגמ' על המשנה דארבעים מלאכות חסר אחת תנא הזורע והזומר וכו' כולן מלאכה אחת הן זה לשונו זורע אב מלאכה ונוטע נמי אב מלאכה הוא דהיינו זורע אלא שזה בזרעים וזה באילנות וכן מבריך ומרכיב אבל זומר תולדה הנה אומר שהנוטע ומבריך ומרכיב שהן הדומו' לזורע הנז' במשנה הן אב מלאכה בכל מקום בשבת ובשביעית וזומר תולדה ובמ"ק אמרו בהדיא שזומר ובוצר הן תולדות א"כ קשיא מדידיה אדידיה כפי מה שכתב בפ' כלל גדול ומדידיה אל הגמ' של מועד קטן עכ"ל.</w:t>
      </w:r>
      <w:r w:rsidRPr="00747170">
        <w:rPr>
          <w:rtl/>
        </w:rPr>
        <w:t xml:space="preserve"> </w:t>
      </w:r>
    </w:p>
    <w:p w14:paraId="0397E833" w14:textId="75819E1E" w:rsidR="009623A2" w:rsidRDefault="009623A2" w:rsidP="009623A2">
      <w:pPr>
        <w:pStyle w:val="afffff7"/>
        <w:rPr>
          <w:rtl/>
        </w:rPr>
      </w:pPr>
      <w:bookmarkStart w:id="241" w:name="_Toc133841655"/>
      <w:bookmarkStart w:id="242" w:name="_Toc163505403"/>
      <w:r>
        <w:rPr>
          <w:rtl/>
        </w:rPr>
        <w:t>שו"ת רבי בצלאל אשכנזי סימן לח</w:t>
      </w:r>
      <w:r>
        <w:rPr>
          <w:rFonts w:hint="cs"/>
          <w:rtl/>
        </w:rPr>
        <w:t xml:space="preserve"> ד"ה </w:t>
      </w:r>
      <w:r w:rsidRPr="004504F2">
        <w:rPr>
          <w:rtl/>
        </w:rPr>
        <w:t>ולענין קריאת שם</w:t>
      </w:r>
      <w:bookmarkEnd w:id="241"/>
      <w:bookmarkEnd w:id="242"/>
    </w:p>
    <w:p w14:paraId="75B3AEFC" w14:textId="77777777" w:rsidR="009623A2" w:rsidRPr="00734763" w:rsidRDefault="009623A2" w:rsidP="009623A2">
      <w:pPr>
        <w:pStyle w:val="a7"/>
        <w:rPr>
          <w:rtl/>
        </w:rPr>
      </w:pPr>
      <w:bookmarkStart w:id="243" w:name="_Toc134419616"/>
      <w:r>
        <w:rPr>
          <w:rFonts w:hint="cs"/>
          <w:rtl/>
        </w:rPr>
        <w:t>בי' רבי בצלאל אשכנזי ברמב"ם דיש ג' דרגות אבות מעין אבות ותולדות ונוטע וכו' מעין האב</w:t>
      </w:r>
      <w:bookmarkEnd w:id="243"/>
    </w:p>
    <w:p w14:paraId="094CFE2C" w14:textId="7CE4EDD9" w:rsidR="009623A2" w:rsidRDefault="009623A2" w:rsidP="00BC7DC8">
      <w:pPr>
        <w:pStyle w:val="a3"/>
        <w:rPr>
          <w:rtl/>
        </w:rPr>
      </w:pPr>
      <w:bookmarkStart w:id="244" w:name="_Ref133335988"/>
      <w:r>
        <w:rPr>
          <w:rFonts w:hint="cs"/>
          <w:rtl/>
        </w:rPr>
        <w:t xml:space="preserve">ועיי"ש במה שהאריך </w:t>
      </w:r>
      <w:bookmarkStart w:id="245" w:name="_Hlk133425661"/>
      <w:r w:rsidRPr="00C444C9">
        <w:rPr>
          <w:rStyle w:val="aff4"/>
          <w:rFonts w:hint="cs"/>
          <w:vanish/>
          <w:rtl/>
        </w:rPr>
        <w:t>-</w:t>
      </w:r>
      <w:r w:rsidRPr="004F32D2">
        <w:rPr>
          <w:rStyle w:val="aff4"/>
          <w:rFonts w:hint="cs"/>
          <w:rtl/>
        </w:rPr>
        <w:t>ב</w:t>
      </w:r>
      <w:r w:rsidRPr="00C444C9">
        <w:rPr>
          <w:rStyle w:val="aff4"/>
          <w:rFonts w:hint="cs"/>
          <w:vanish/>
          <w:rtl/>
        </w:rPr>
        <w:t xml:space="preserve">&lt;. </w:t>
      </w:r>
      <w:r w:rsidRPr="00C444C9">
        <w:rPr>
          <w:rStyle w:val="aff4"/>
          <w:vanish/>
          <w:rtl/>
        </w:rPr>
        <w:fldChar w:fldCharType="begin"/>
      </w:r>
      <w:r w:rsidRPr="00C444C9">
        <w:rPr>
          <w:rStyle w:val="aff4"/>
          <w:vanish/>
          <w:rtl/>
        </w:rPr>
        <w:instrText xml:space="preserve"> </w:instrText>
      </w:r>
      <w:r w:rsidRPr="00C444C9">
        <w:rPr>
          <w:rStyle w:val="aff4"/>
          <w:rFonts w:hint="cs"/>
          <w:vanish/>
        </w:rPr>
        <w:instrText>REF</w:instrText>
      </w:r>
      <w:r w:rsidRPr="00C444C9">
        <w:rPr>
          <w:rStyle w:val="aff4"/>
          <w:rFonts w:hint="cs"/>
          <w:vanish/>
          <w:rtl/>
        </w:rPr>
        <w:instrText xml:space="preserve"> _</w:instrText>
      </w:r>
      <w:r w:rsidRPr="00C444C9">
        <w:rPr>
          <w:rStyle w:val="aff4"/>
          <w:rFonts w:hint="cs"/>
          <w:vanish/>
        </w:rPr>
        <w:instrText>Ref133335988 \r \h</w:instrText>
      </w:r>
      <w:r w:rsidRPr="00C444C9">
        <w:rPr>
          <w:rStyle w:val="aff4"/>
          <w:vanish/>
          <w:rtl/>
        </w:rPr>
        <w:instrText xml:space="preserve"> </w:instrText>
      </w:r>
      <w:r w:rsidRPr="00C444C9">
        <w:rPr>
          <w:rStyle w:val="aff4"/>
          <w:vanish/>
          <w:rtl/>
        </w:rPr>
      </w:r>
      <w:r w:rsidRPr="00C444C9">
        <w:rPr>
          <w:rStyle w:val="aff4"/>
          <w:vanish/>
          <w:rtl/>
        </w:rPr>
        <w:fldChar w:fldCharType="separate"/>
      </w:r>
      <w:r w:rsidR="00D82181">
        <w:rPr>
          <w:rStyle w:val="aff4"/>
          <w:vanish/>
          <w:cs/>
        </w:rPr>
        <w:t>‎</w:t>
      </w:r>
      <w:r w:rsidR="00D82181">
        <w:rPr>
          <w:rStyle w:val="aff4"/>
          <w:vanish/>
          <w:rtl/>
        </w:rPr>
        <w:t>מד)</w:t>
      </w:r>
      <w:r w:rsidRPr="00C444C9">
        <w:rPr>
          <w:rStyle w:val="aff4"/>
          <w:vanish/>
          <w:rtl/>
        </w:rPr>
        <w:fldChar w:fldCharType="end"/>
      </w:r>
      <w:r w:rsidRPr="00C444C9">
        <w:rPr>
          <w:rStyle w:val="aff4"/>
          <w:rFonts w:hint="cs"/>
          <w:vanish/>
          <w:rtl/>
        </w:rPr>
        <w:t xml:space="preserve"> &gt;</w:t>
      </w:r>
      <w:r w:rsidRPr="004F32D2">
        <w:rPr>
          <w:rStyle w:val="aff4"/>
          <w:rFonts w:hint="cs"/>
          <w:rtl/>
        </w:rPr>
        <w:t>שו"ת רבי בצלאל אשכנזי</w:t>
      </w:r>
      <w:r w:rsidRPr="00C444C9">
        <w:rPr>
          <w:rStyle w:val="aff4"/>
          <w:rFonts w:hint="cs"/>
          <w:vanish/>
          <w:rtl/>
        </w:rPr>
        <w:t>-</w:t>
      </w:r>
      <w:r>
        <w:rPr>
          <w:rFonts w:hint="cs"/>
          <w:rtl/>
        </w:rPr>
        <w:t xml:space="preserve"> </w:t>
      </w:r>
      <w:r w:rsidRPr="002A0D0C">
        <w:rPr>
          <w:rStyle w:val="af2"/>
          <w:rFonts w:eastAsia="Guttman Hodes" w:hint="cs"/>
          <w:rtl/>
        </w:rPr>
        <w:t>(סי' ל"ח סוד"ה ולענין קריאת שם)</w:t>
      </w:r>
      <w:r w:rsidRPr="006B5A55">
        <w:rPr>
          <w:rFonts w:hint="cs"/>
          <w:vanish/>
          <w:rtl/>
        </w:rPr>
        <w:t>=</w:t>
      </w:r>
      <w:bookmarkEnd w:id="245"/>
      <w:r>
        <w:rPr>
          <w:rFonts w:hint="cs"/>
          <w:rtl/>
        </w:rPr>
        <w:t xml:space="preserve"> להוכיח דמדברי </w:t>
      </w:r>
      <w:r w:rsidRPr="00C444C9">
        <w:rPr>
          <w:rStyle w:val="aff4"/>
          <w:rFonts w:hint="cs"/>
          <w:vanish/>
          <w:rtl/>
        </w:rPr>
        <w:t>-</w:t>
      </w:r>
      <w:r w:rsidRPr="004F32D2">
        <w:rPr>
          <w:rStyle w:val="aff4"/>
          <w:rFonts w:hint="cs"/>
          <w:rtl/>
        </w:rPr>
        <w:t>הרמב"ם</w:t>
      </w:r>
      <w:r w:rsidRPr="00C444C9">
        <w:rPr>
          <w:rStyle w:val="aff4"/>
          <w:rFonts w:hint="cs"/>
          <w:vanish/>
          <w:rtl/>
        </w:rPr>
        <w:t>-</w:t>
      </w:r>
      <w:r>
        <w:rPr>
          <w:rFonts w:hint="cs"/>
          <w:rtl/>
        </w:rPr>
        <w:t xml:space="preserve"> מבואר דחילק את מלאכות שבת לג' חלקים, החלק הא' הם האבות והחלק הב' הם מעין אבות, והחלק הג' הם התולדות, והביא </w:t>
      </w:r>
      <w:r w:rsidRPr="00C444C9">
        <w:rPr>
          <w:rStyle w:val="aff4"/>
          <w:rFonts w:hint="cs"/>
          <w:vanish/>
          <w:rtl/>
        </w:rPr>
        <w:t>-</w:t>
      </w:r>
      <w:r w:rsidRPr="004F32D2">
        <w:rPr>
          <w:rStyle w:val="aff4"/>
          <w:rFonts w:hint="cs"/>
          <w:rtl/>
        </w:rPr>
        <w:t>ב</w:t>
      </w:r>
      <w:r w:rsidRPr="00C444C9">
        <w:rPr>
          <w:rStyle w:val="aff4"/>
          <w:rFonts w:hint="cs"/>
          <w:vanish/>
          <w:rtl/>
        </w:rPr>
        <w:t>&lt; &gt;</w:t>
      </w:r>
      <w:r w:rsidRPr="004F32D2">
        <w:rPr>
          <w:rStyle w:val="aff4"/>
          <w:rFonts w:hint="cs"/>
          <w:rtl/>
        </w:rPr>
        <w:t>שו"ת רבי בצלאל אשכנזי</w:t>
      </w:r>
      <w:r w:rsidRPr="00C444C9">
        <w:rPr>
          <w:rStyle w:val="aff4"/>
          <w:rFonts w:hint="cs"/>
          <w:vanish/>
          <w:rtl/>
        </w:rPr>
        <w:t>-</w:t>
      </w:r>
      <w:r>
        <w:rPr>
          <w:rFonts w:hint="cs"/>
          <w:rtl/>
        </w:rPr>
        <w:t xml:space="preserve"> </w:t>
      </w:r>
      <w:r w:rsidRPr="002A0D0C">
        <w:rPr>
          <w:rStyle w:val="af2"/>
          <w:rFonts w:eastAsia="Guttman Hodes" w:hint="cs"/>
          <w:rtl/>
        </w:rPr>
        <w:t>(סי' ל"ח ד"ה ולענין החלק השלישי)</w:t>
      </w:r>
      <w:r w:rsidRPr="006B5A55">
        <w:rPr>
          <w:rFonts w:hint="cs"/>
          <w:vanish/>
          <w:rtl/>
        </w:rPr>
        <w:t>=</w:t>
      </w:r>
      <w:r>
        <w:rPr>
          <w:rFonts w:hint="cs"/>
          <w:rtl/>
        </w:rPr>
        <w:t xml:space="preserve"> את דברי </w:t>
      </w:r>
      <w:r w:rsidRPr="00C444C9">
        <w:rPr>
          <w:rStyle w:val="aff4"/>
          <w:rFonts w:hint="cs"/>
          <w:vanish/>
          <w:rtl/>
        </w:rPr>
        <w:t>-</w:t>
      </w:r>
      <w:r w:rsidRPr="004F32D2">
        <w:rPr>
          <w:rStyle w:val="aff4"/>
          <w:rFonts w:hint="cs"/>
          <w:rtl/>
        </w:rPr>
        <w:t>הרמב"ם</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sidRPr="002A0D0C">
        <w:rPr>
          <w:rStyle w:val="af2"/>
          <w:rFonts w:eastAsia="Guttman Hodes"/>
          <w:rtl/>
        </w:rPr>
        <w:fldChar w:fldCharType="begin"/>
      </w:r>
      <w:r w:rsidRPr="002A0D0C">
        <w:rPr>
          <w:rStyle w:val="af2"/>
          <w:rFonts w:eastAsia="Guttman Hodes"/>
          <w:rtl/>
        </w:rPr>
        <w:instrText xml:space="preserve"> </w:instrText>
      </w:r>
      <w:r w:rsidRPr="002A0D0C">
        <w:rPr>
          <w:rStyle w:val="af2"/>
          <w:rFonts w:eastAsia="Guttman Hodes" w:hint="cs"/>
        </w:rPr>
        <w:instrText>REF</w:instrText>
      </w:r>
      <w:r w:rsidRPr="002A0D0C">
        <w:rPr>
          <w:rStyle w:val="af2"/>
          <w:rFonts w:eastAsia="Guttman Hodes" w:hint="cs"/>
          <w:rtl/>
        </w:rPr>
        <w:instrText xml:space="preserve"> _</w:instrText>
      </w:r>
      <w:r w:rsidRPr="002A0D0C">
        <w:rPr>
          <w:rStyle w:val="af2"/>
          <w:rFonts w:eastAsia="Guttman Hodes" w:hint="cs"/>
        </w:rPr>
        <w:instrText>Ref130228911 \r \h</w:instrText>
      </w:r>
      <w:r w:rsidRPr="002A0D0C">
        <w:rPr>
          <w:rStyle w:val="af2"/>
          <w:rFonts w:eastAsia="Guttman Hodes"/>
          <w:rtl/>
        </w:rPr>
        <w:instrText xml:space="preserve"> </w:instrText>
      </w:r>
      <w:r w:rsidRPr="002A0D0C">
        <w:rPr>
          <w:rStyle w:val="af2"/>
          <w:rFonts w:eastAsia="Guttman Hodes"/>
          <w:rtl/>
        </w:rPr>
      </w:r>
      <w:r w:rsidRPr="002A0D0C">
        <w:rPr>
          <w:rStyle w:val="af2"/>
          <w:rFonts w:eastAsia="Guttman Hodes"/>
          <w:rtl/>
        </w:rPr>
        <w:fldChar w:fldCharType="separate"/>
      </w:r>
      <w:r w:rsidR="00D82181">
        <w:rPr>
          <w:rStyle w:val="af2"/>
          <w:rFonts w:eastAsia="Guttman Hodes"/>
          <w:cs/>
        </w:rPr>
        <w:t>‎</w:t>
      </w:r>
      <w:r w:rsidR="00D82181">
        <w:rPr>
          <w:rStyle w:val="af2"/>
          <w:rFonts w:eastAsia="Guttman Hodes"/>
          <w:rtl/>
        </w:rPr>
        <w:t>לא)</w:t>
      </w:r>
      <w:r w:rsidRPr="002A0D0C">
        <w:rPr>
          <w:rStyle w:val="af2"/>
          <w:rFonts w:eastAsia="Guttman Hodes"/>
          <w:rtl/>
        </w:rPr>
        <w:fldChar w:fldCharType="end"/>
      </w:r>
      <w:r>
        <w:rPr>
          <w:rFonts w:hint="cs"/>
          <w:rtl/>
        </w:rPr>
        <w:t xml:space="preserve"> דכתב דזומר הוא מעין זורע, ומשקה הוא תולדה, ואת דברי </w:t>
      </w:r>
      <w:r w:rsidRPr="00C444C9">
        <w:rPr>
          <w:rStyle w:val="aff4"/>
          <w:rFonts w:hint="cs"/>
          <w:vanish/>
          <w:rtl/>
        </w:rPr>
        <w:t>-</w:t>
      </w:r>
      <w:r w:rsidRPr="004F32D2">
        <w:rPr>
          <w:rStyle w:val="aff4"/>
          <w:rFonts w:hint="cs"/>
          <w:rtl/>
        </w:rPr>
        <w:t>ה</w:t>
      </w:r>
      <w:r w:rsidRPr="00C444C9">
        <w:rPr>
          <w:rStyle w:val="aff4"/>
          <w:rFonts w:hint="cs"/>
          <w:vanish/>
          <w:rtl/>
        </w:rPr>
        <w:t>&lt; &gt;</w:t>
      </w:r>
      <w:r w:rsidRPr="004F32D2">
        <w:rPr>
          <w:rStyle w:val="aff4"/>
          <w:rFonts w:hint="cs"/>
          <w:rtl/>
        </w:rPr>
        <w:t>רמב"ם</w:t>
      </w:r>
      <w:r w:rsidRPr="00C444C9">
        <w:rPr>
          <w:rStyle w:val="aff4"/>
          <w:rFonts w:hint="cs"/>
          <w:vanish/>
          <w:rtl/>
        </w:rPr>
        <w:t>-</w:t>
      </w:r>
      <w:r>
        <w:rPr>
          <w:rFonts w:hint="cs"/>
          <w:rtl/>
        </w:rPr>
        <w:t xml:space="preserve"> </w:t>
      </w:r>
      <w:r w:rsidRPr="002A0D0C">
        <w:rPr>
          <w:rStyle w:val="af2"/>
          <w:rFonts w:eastAsia="Guttman Hodes" w:hint="cs"/>
          <w:rtl/>
        </w:rPr>
        <w:t>(שגגות פ"ז ה"ז)</w:t>
      </w:r>
      <w:r w:rsidRPr="006B5A55">
        <w:rPr>
          <w:rFonts w:hint="cs"/>
          <w:vanish/>
          <w:rtl/>
        </w:rPr>
        <w:t>=</w:t>
      </w:r>
      <w:r>
        <w:rPr>
          <w:rFonts w:hint="cs"/>
          <w:rtl/>
        </w:rPr>
        <w:t xml:space="preserve"> דכתב להדיא דבשבת יש אבות ותולדות ומלאכות שהם מעין האבות.</w:t>
      </w:r>
    </w:p>
    <w:bookmarkEnd w:id="244"/>
    <w:p w14:paraId="69BFA4F0" w14:textId="77777777" w:rsidR="009623A2" w:rsidRPr="00747170" w:rsidRDefault="009623A2" w:rsidP="00747170">
      <w:pPr>
        <w:pStyle w:val="a2"/>
      </w:pPr>
      <w:r w:rsidRPr="00747170">
        <w:rPr>
          <w:rtl/>
        </w:rPr>
        <w:t>ונראה לפרש כל השמועות לדעת רבינו ז"ל הכין והוא כי הרב ז"ל חילק מלאכות של שבת לשלשה חלקים החלק הא' קראו אבות והחלק הב' קראו מעין אבות</w:t>
      </w:r>
      <w:r w:rsidRPr="00747170">
        <w:rPr>
          <w:rFonts w:hint="cs"/>
          <w:rtl/>
        </w:rPr>
        <w:t>.</w:t>
      </w:r>
    </w:p>
    <w:p w14:paraId="78278BE9" w14:textId="77777777" w:rsidR="009623A2" w:rsidRPr="00C3176C" w:rsidRDefault="009623A2" w:rsidP="00747170">
      <w:pPr>
        <w:pStyle w:val="afffff5"/>
        <w:rPr>
          <w:rtl/>
        </w:rPr>
      </w:pPr>
      <w:r w:rsidRPr="00C3176C">
        <w:rPr>
          <w:rtl/>
        </w:rPr>
        <w:t>החלק השלישי קראו תולדות. וכן כתב להדיא בפ"ז מה' שבת וכדבעינן למכתב בס"ד גם בפ"ח כתב הזומר את האילן כדי שיצמח הרי זה מעין זורע אבל המשקה צמחין ואילנות בשבת הרי זה תולדת זורע וכו' ע"כ. הרי שכתב לשון חלוק דלזומר קראו מעין ולמשקה את הצמחין קראו תולדה גם בה' שגגות פ"ח כתב וז"ל וכבר נתבאר בה' שבת האבות והתולדות והמלאכות שהן מעין אבות עד כאן.</w:t>
      </w:r>
    </w:p>
    <w:p w14:paraId="202F6C19" w14:textId="452D5486" w:rsidR="009623A2" w:rsidRPr="006A798A" w:rsidRDefault="009623A2" w:rsidP="009623A2">
      <w:pPr>
        <w:pStyle w:val="a7"/>
      </w:pPr>
      <w:bookmarkStart w:id="246" w:name="_Toc134419617"/>
      <w:r>
        <w:rPr>
          <w:rFonts w:hint="cs"/>
          <w:rtl/>
        </w:rPr>
        <w:t>בי' ר"ב אשכנזי ברמב"ם דהאב היה במשכן ומעין האב דומה לו לגמרי ותולדה דומה במקצת</w:t>
      </w:r>
      <w:bookmarkEnd w:id="246"/>
    </w:p>
    <w:p w14:paraId="5652B7B3" w14:textId="22FE0628" w:rsidR="009623A2" w:rsidRDefault="009623A2" w:rsidP="00BC7DC8">
      <w:pPr>
        <w:pStyle w:val="a3"/>
        <w:rPr>
          <w:rtl/>
        </w:rPr>
      </w:pPr>
      <w:r>
        <w:rPr>
          <w:rFonts w:hint="cs"/>
          <w:rtl/>
        </w:rPr>
        <w:t xml:space="preserve">וביאר </w:t>
      </w:r>
      <w:r w:rsidRPr="00C444C9">
        <w:rPr>
          <w:rStyle w:val="aff4"/>
          <w:rFonts w:hint="cs"/>
          <w:vanish/>
          <w:rtl/>
        </w:rPr>
        <w:t>-</w:t>
      </w:r>
      <w:r w:rsidRPr="004F32D2">
        <w:rPr>
          <w:rStyle w:val="aff4"/>
          <w:rFonts w:hint="cs"/>
          <w:rtl/>
        </w:rPr>
        <w:t>בשו"ת רבי בצלאל אשכנזי</w:t>
      </w:r>
      <w:r w:rsidRPr="00C444C9">
        <w:rPr>
          <w:rStyle w:val="aff4"/>
          <w:rFonts w:hint="cs"/>
          <w:vanish/>
          <w:rtl/>
        </w:rPr>
        <w:t>-</w:t>
      </w:r>
      <w:r>
        <w:rPr>
          <w:rFonts w:hint="cs"/>
          <w:rtl/>
        </w:rPr>
        <w:t xml:space="preserve"> דהאבות עצמם היו במשכן, והמלאכות שהם מעין האבות, הם המלאכות שדומין לאב בדמיון גמור, ויש חילוק ביניהם רק באיכות הפעולה, או באיכות של התוצאה של המלאכה, כדביאר </w:t>
      </w:r>
      <w:r w:rsidRPr="00C444C9">
        <w:rPr>
          <w:rStyle w:val="aff4"/>
          <w:rFonts w:hint="cs"/>
          <w:vanish/>
          <w:rtl/>
        </w:rPr>
        <w:t>-</w:t>
      </w:r>
      <w:r w:rsidRPr="004F32D2">
        <w:rPr>
          <w:rStyle w:val="aff4"/>
          <w:rFonts w:hint="cs"/>
          <w:rtl/>
        </w:rPr>
        <w:t>המ"מ</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Ref133477285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לו)</w:t>
      </w:r>
      <w:r>
        <w:rPr>
          <w:rStyle w:val="af2"/>
          <w:rFonts w:eastAsia="Guttman Hodes"/>
          <w:rtl/>
        </w:rPr>
        <w:fldChar w:fldCharType="end"/>
      </w:r>
      <w:r>
        <w:rPr>
          <w:rFonts w:hint="cs"/>
          <w:rtl/>
        </w:rPr>
        <w:t>, והתולדות הם מלאכות שדומין לאב במקצת.</w:t>
      </w:r>
    </w:p>
    <w:p w14:paraId="3E5E25D8" w14:textId="77777777" w:rsidR="009623A2" w:rsidRPr="00747170" w:rsidRDefault="009623A2" w:rsidP="00747170">
      <w:pPr>
        <w:pStyle w:val="a2"/>
      </w:pPr>
      <w:r w:rsidRPr="00747170">
        <w:rPr>
          <w:rtl/>
        </w:rPr>
        <w:t>והאבות הם אשר היו במשכן ומעין אבות הן הדומין לאב בדמיון גמור אלא שחלוקה ממנה באיכות הפעולה או באיכות הנפעל כגון הקוצר והבוצר שהם בדמיון גמור אלא שחלוקין הנפעלין וכמו שכתב הרב המגיד ז"ל. והתולדות הם הדומין לאב במקצת.</w:t>
      </w:r>
    </w:p>
    <w:p w14:paraId="3CDEA4D0" w14:textId="3D5AF6D3" w:rsidR="009623A2" w:rsidRPr="00E83B4D" w:rsidRDefault="009623A2" w:rsidP="009623A2">
      <w:pPr>
        <w:pStyle w:val="a7"/>
      </w:pPr>
      <w:bookmarkStart w:id="247" w:name="_Toc134419618"/>
      <w:r>
        <w:rPr>
          <w:rFonts w:hint="cs"/>
          <w:rtl/>
        </w:rPr>
        <w:t>בי' ר"ב אשכנזי ברמב"ם דנוטע וכו' הם מלאכה אחת היינו מעין האב דזורע דכוונתו להצמיח</w:t>
      </w:r>
      <w:bookmarkEnd w:id="247"/>
    </w:p>
    <w:p w14:paraId="44659521" w14:textId="48A999C9" w:rsidR="009623A2" w:rsidRPr="00811B99" w:rsidRDefault="009623A2" w:rsidP="00BC7DC8">
      <w:pPr>
        <w:pStyle w:val="a3"/>
      </w:pPr>
      <w:r>
        <w:rPr>
          <w:rFonts w:hint="cs"/>
          <w:rtl/>
        </w:rPr>
        <w:t xml:space="preserve">וכתב </w:t>
      </w:r>
      <w:r w:rsidRPr="00C444C9">
        <w:rPr>
          <w:rStyle w:val="aff4"/>
          <w:rFonts w:hint="cs"/>
          <w:vanish/>
          <w:rtl/>
        </w:rPr>
        <w:t>-</w:t>
      </w:r>
      <w:r w:rsidRPr="004F32D2">
        <w:rPr>
          <w:rStyle w:val="aff4"/>
          <w:rFonts w:hint="cs"/>
          <w:rtl/>
        </w:rPr>
        <w:t>בשו"ת רבי בצלאל אשכנזי</w:t>
      </w:r>
      <w:r w:rsidRPr="00C444C9">
        <w:rPr>
          <w:rStyle w:val="aff4"/>
          <w:rFonts w:hint="cs"/>
          <w:vanish/>
          <w:rtl/>
        </w:rPr>
        <w:t>-</w:t>
      </w:r>
      <w:r>
        <w:rPr>
          <w:rFonts w:hint="cs"/>
          <w:rtl/>
        </w:rPr>
        <w:t xml:space="preserve"> דלפי"ז מבואר דבהא דתני בברייתא דזורע וזומר ונוטע ומבריך ומרכיב הם מלאכה אחת, ביאר </w:t>
      </w:r>
      <w:r w:rsidRPr="00C444C9">
        <w:rPr>
          <w:rStyle w:val="aff4"/>
          <w:rFonts w:hint="cs"/>
          <w:vanish/>
          <w:rtl/>
        </w:rPr>
        <w:t>-</w:t>
      </w:r>
      <w:r w:rsidRPr="004F32D2">
        <w:rPr>
          <w:rStyle w:val="aff4"/>
          <w:rFonts w:hint="cs"/>
          <w:rtl/>
        </w:rPr>
        <w:t>הרמב"ם</w:t>
      </w:r>
      <w:r w:rsidRPr="00C444C9">
        <w:rPr>
          <w:rStyle w:val="aff4"/>
          <w:rFonts w:hint="cs"/>
          <w:vanish/>
          <w:rtl/>
        </w:rPr>
        <w:t>-</w:t>
      </w:r>
      <w:r>
        <w:rPr>
          <w:rFonts w:hint="cs"/>
          <w:rtl/>
        </w:rPr>
        <w:t xml:space="preserve"> דהמלאכות הללו הם מעין האב של זורע, ולכן הם בכלל האב, דבכל המלאכות כוונתו להצמיח דבר. ועי' במה שתירץ לפי"ז </w:t>
      </w:r>
      <w:r w:rsidRPr="00C444C9">
        <w:rPr>
          <w:rStyle w:val="aff4"/>
          <w:rFonts w:hint="cs"/>
          <w:vanish/>
          <w:rtl/>
        </w:rPr>
        <w:t>-</w:t>
      </w:r>
      <w:r w:rsidRPr="004F32D2">
        <w:rPr>
          <w:rStyle w:val="aff4"/>
          <w:rFonts w:hint="cs"/>
          <w:rtl/>
        </w:rPr>
        <w:t>בשו"ת רבי בצלאל אשכנזי</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Ref133477951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נט)</w:t>
      </w:r>
      <w:r>
        <w:rPr>
          <w:rStyle w:val="af2"/>
          <w:rFonts w:eastAsia="Guttman Hodes"/>
          <w:rtl/>
        </w:rPr>
        <w:fldChar w:fldCharType="end"/>
      </w:r>
      <w:r>
        <w:rPr>
          <w:rFonts w:hint="cs"/>
          <w:rtl/>
        </w:rPr>
        <w:t xml:space="preserve"> את קושית </w:t>
      </w:r>
      <w:r w:rsidRPr="00C444C9">
        <w:rPr>
          <w:rStyle w:val="aff4"/>
          <w:rFonts w:hint="cs"/>
          <w:vanish/>
          <w:rtl/>
        </w:rPr>
        <w:t>-</w:t>
      </w:r>
      <w:r w:rsidRPr="004F32D2">
        <w:rPr>
          <w:rStyle w:val="aff4"/>
          <w:rFonts w:hint="cs"/>
          <w:rtl/>
        </w:rPr>
        <w:t>הרמ"ך</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Ref130417432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נו)</w:t>
      </w:r>
      <w:r>
        <w:rPr>
          <w:rStyle w:val="af2"/>
          <w:rFonts w:eastAsia="Guttman Hodes"/>
          <w:rtl/>
        </w:rPr>
        <w:fldChar w:fldCharType="end"/>
      </w:r>
      <w:r>
        <w:rPr>
          <w:rFonts w:hint="cs"/>
          <w:rtl/>
        </w:rPr>
        <w:t xml:space="preserve"> על </w:t>
      </w:r>
      <w:r w:rsidRPr="00C444C9">
        <w:rPr>
          <w:rStyle w:val="aff4"/>
          <w:rFonts w:hint="cs"/>
          <w:vanish/>
          <w:rtl/>
        </w:rPr>
        <w:t>-</w:t>
      </w:r>
      <w:r w:rsidRPr="004F32D2">
        <w:rPr>
          <w:rStyle w:val="aff4"/>
          <w:rFonts w:hint="cs"/>
          <w:rtl/>
        </w:rPr>
        <w:t>הרמב"ם</w:t>
      </w:r>
      <w:r w:rsidRPr="00C444C9">
        <w:rPr>
          <w:rStyle w:val="aff4"/>
          <w:rFonts w:hint="cs"/>
          <w:vanish/>
          <w:rtl/>
        </w:rPr>
        <w:t>-</w:t>
      </w:r>
      <w:r>
        <w:rPr>
          <w:rFonts w:hint="cs"/>
          <w:rtl/>
        </w:rPr>
        <w:t>.</w:t>
      </w:r>
      <w:r w:rsidRPr="00382023">
        <w:rPr>
          <w:rStyle w:val="af"/>
          <w:rFonts w:hint="cs"/>
          <w:rtl/>
        </w:rPr>
        <w:t xml:space="preserve"> </w:t>
      </w:r>
      <w:r w:rsidRPr="002A0D0C">
        <w:rPr>
          <w:rStyle w:val="af"/>
          <w:rFonts w:hint="cs"/>
          <w:rtl/>
        </w:rPr>
        <w:t xml:space="preserve">[ועיי"ש במ"ש </w:t>
      </w:r>
      <w:r w:rsidRPr="001145E2">
        <w:rPr>
          <w:rStyle w:val="aff9"/>
          <w:rFonts w:hint="cs"/>
          <w:vanish/>
          <w:rtl/>
        </w:rPr>
        <w:t>-</w:t>
      </w:r>
      <w:r w:rsidRPr="002A0D0C">
        <w:rPr>
          <w:rStyle w:val="aff9"/>
          <w:rFonts w:hint="cs"/>
          <w:rtl/>
        </w:rPr>
        <w:t>בשו"ת רבי בצלאל אשכנזי</w:t>
      </w:r>
      <w:r w:rsidRPr="001145E2">
        <w:rPr>
          <w:rStyle w:val="aff9"/>
          <w:rFonts w:hint="cs"/>
          <w:vanish/>
          <w:rtl/>
        </w:rPr>
        <w:t>-</w:t>
      </w:r>
      <w:r w:rsidRPr="002A0D0C">
        <w:rPr>
          <w:rStyle w:val="af"/>
          <w:rFonts w:hint="cs"/>
          <w:rtl/>
        </w:rPr>
        <w:t xml:space="preserve"> דלפי"ז מתורצת קושית </w:t>
      </w:r>
      <w:r w:rsidRPr="001145E2">
        <w:rPr>
          <w:rStyle w:val="aff9"/>
          <w:rFonts w:hint="cs"/>
          <w:vanish/>
          <w:rtl/>
        </w:rPr>
        <w:t>-</w:t>
      </w:r>
      <w:r w:rsidRPr="002A0D0C">
        <w:rPr>
          <w:rStyle w:val="aff9"/>
          <w:rFonts w:hint="cs"/>
          <w:rtl/>
        </w:rPr>
        <w:t xml:space="preserve">התוס' </w:t>
      </w:r>
      <w:r w:rsidRPr="002A0D0C">
        <w:rPr>
          <w:rStyle w:val="aff9"/>
          <w:rFonts w:hint="cs"/>
          <w:rtl/>
        </w:rPr>
        <w:t>לקמן</w:t>
      </w:r>
      <w:r w:rsidRPr="001145E2">
        <w:rPr>
          <w:rStyle w:val="aff9"/>
          <w:rFonts w:hint="cs"/>
          <w:vanish/>
          <w:rtl/>
        </w:rPr>
        <w:t>-</w:t>
      </w:r>
      <w:r w:rsidRPr="002A0D0C">
        <w:rPr>
          <w:rStyle w:val="af"/>
          <w:rFonts w:hint="cs"/>
          <w:rtl/>
        </w:rPr>
        <w:t xml:space="preserve"> </w:t>
      </w:r>
      <w:r w:rsidRPr="002A0D0C">
        <w:rPr>
          <w:rStyle w:val="aff5"/>
          <w:rFonts w:hint="cs"/>
          <w:rtl/>
        </w:rPr>
        <w:t>(עה: ד"ה הרי)</w:t>
      </w:r>
      <w:r w:rsidRPr="002A0D0C">
        <w:rPr>
          <w:rStyle w:val="af"/>
          <w:rFonts w:hint="cs"/>
          <w:rtl/>
        </w:rPr>
        <w:t xml:space="preserve">, בדעת ר"א דמחייב אל תולדה וכמבואר בדברי </w:t>
      </w:r>
      <w:r w:rsidRPr="001145E2">
        <w:rPr>
          <w:rStyle w:val="aff9"/>
          <w:rFonts w:hint="cs"/>
          <w:vanish/>
          <w:rtl/>
        </w:rPr>
        <w:t>-</w:t>
      </w:r>
      <w:r w:rsidRPr="002A0D0C">
        <w:rPr>
          <w:rStyle w:val="aff9"/>
          <w:rFonts w:hint="cs"/>
          <w:rtl/>
        </w:rPr>
        <w:t>הרמב"ם בפיהמ"ש בכריתות</w:t>
      </w:r>
      <w:r w:rsidRPr="001145E2">
        <w:rPr>
          <w:rStyle w:val="aff9"/>
          <w:rFonts w:hint="cs"/>
          <w:vanish/>
          <w:rtl/>
        </w:rPr>
        <w:t>-</w:t>
      </w:r>
      <w:r w:rsidRPr="002A0D0C">
        <w:rPr>
          <w:rStyle w:val="af"/>
          <w:rFonts w:hint="cs"/>
          <w:rtl/>
        </w:rPr>
        <w:t xml:space="preserve"> </w:t>
      </w:r>
      <w:r w:rsidRPr="002A0D0C">
        <w:rPr>
          <w:rStyle w:val="aff5"/>
          <w:rFonts w:hint="cs"/>
          <w:rtl/>
        </w:rPr>
        <w:t>(פ"ג מ"י)</w:t>
      </w:r>
      <w:r w:rsidRPr="002A0D0C">
        <w:rPr>
          <w:rStyle w:val="af"/>
          <w:rFonts w:hint="cs"/>
          <w:rtl/>
        </w:rPr>
        <w:t>]</w:t>
      </w:r>
      <w:r>
        <w:rPr>
          <w:rStyle w:val="af"/>
          <w:rFonts w:hint="cs"/>
          <w:rtl/>
        </w:rPr>
        <w:t>.</w:t>
      </w:r>
    </w:p>
    <w:p w14:paraId="0816FD77" w14:textId="77777777" w:rsidR="009623A2" w:rsidRPr="00747170" w:rsidRDefault="009623A2" w:rsidP="00747170">
      <w:pPr>
        <w:pStyle w:val="a2"/>
        <w:rPr>
          <w:rtl/>
        </w:rPr>
      </w:pPr>
      <w:r w:rsidRPr="00747170">
        <w:rPr>
          <w:rtl/>
        </w:rPr>
        <w:t>והא דתניא הזורע והזומר והנוטע והמבריך והמרכיב כולן מלאכה אחת הן קא מפרש הרב ז"ל דהן מעין האב דהיינו זורע ונקראו מעין אבות והן אב אחד מאבות מלאכות וענין אחד הוא שכל אחת מהן לצמח דבר הוא מתכוין</w:t>
      </w:r>
      <w:r w:rsidRPr="00747170">
        <w:rPr>
          <w:rFonts w:hint="cs"/>
          <w:rtl/>
        </w:rPr>
        <w:t xml:space="preserve">. </w:t>
      </w:r>
      <w:r w:rsidRPr="00747170">
        <w:rPr>
          <w:rStyle w:val="afff7"/>
          <w:rtl/>
        </w:rPr>
        <w:t>ולפירושו ז"ל ניחא מאי דקשיא להו לתוספות ז"ל עלה הא דאמרינן בפרק כלל גדול אלו אבות מלאכות אלו לאפוקי מדרבי אליעזר דמחייב על תולדה דלמה לי למתני אלו אבות וכו' לאפוקי מדרבי אליעזר והא מרישא ש"מ דתנן העושה מלאכות הרבה מעין מלאכה אחת אינו חייב אלא אחת ותרצו בתוספות דאי מרישא ה"א מעין מלאכה אחת היינו שתי תולדות מאב אחד אבל אאב ותולדה דידיה מחייב תרתי קמ"ל. וקשה דבכריתות בפרק אמרו לו אמרינן אימא סיפא העושה מלאכות הרבה מעין מלאכה אחת אינו חייב אלא אחת ואי רבי אליעזר חייב על כל ולדי מלאכות כמלאכות וכו'. הא קמן להדיא דמהך אתינן לאפוקי מדרבי אליעזר בדוחק יש לתרץ דהתם בכריתות אסיפא דאידך מתניתין דתנן אלו מלאכות וכו' קא סמיך וכדאמרינן הכא בפ' כלל גדול ולדעת הרב ז"ל ניחא טפי דרבי אליעזר אתרתי פליג וקא מחייב בין אמעין אב במקום אב בין אתולדה במקום אב ומרישא דתנן העושה מלאכות הרבה מעין וכו' לא שמעי' דאתא לאפוקי מדרבי אליעזר אלא במעין אב דכולהו כחדא מלאכה דמיא ודמי לקצר וקצר דלרב יוסף אפילו רבי אליעזר מודה דלא מחייב אלא חדא הילכך איצטריך הא דתנן אלו אבות מלאכות וכו' לאפוקי מדרבי אליעזר דאפילו אתולדה במקום אב לא מחייבינן אף על גב דהן מלאכות חלוקות וכן כתב הרב ז"ל בפי' המשנה דרבי אליעזר בתרתי פליג דבמסכת כריתות בפ"ג עלה הא דתנן אמר רבי עקיבא שאלתי את רבי אליעזר העושה מלאכות הרבה בשבתות הרבה מעין מלאכה אחת וכו' כתב ז"ל וז"ל צריך אתה לזכור כל מה שבארנו בשביעי משבת ואח"כ תדע שרבי עקיבא שאל ממנו שתי שאלות האחת מי שעשה מלאכות הרבה מעין מלאכה אחת בשבת א' כגון שיהיו ארבע וחמש מלאכות כולן מעין אב אחד או כלן תולדות אב אחד ושגג באותן תולדות בשבת א' אם הוא כמי שעשה אבות הרבה בהעלם אחת שחייב על כל אב ואב או אינו חייב אלא אחת הואיל והן מעין מלאכה אחד השיבו שהוא חייב על כל אחד ואחד לפי שהתולדות לדעת רבי אליעזר כאבות דמיין ולא קבל ממנו רבי עקיבא וכו' עד כאן. כך כתוב בנוסחא מדוייקת בלשון ערבי. ועלה הא דתנן בריש פרק כלל גדול העושה מלאכות הרבה מעין מלאכה אח' אינו חייב אלא חטאת אחת כתב ז"ל וז"ל ואמרו מלאכות הרבה מעין מלאכה אחת הוא שיעשה בשגגה מלאכות הרבה מעין אב אחד כמו שיבצור ויקצור וימסוק בהעלם אחד וכן אם עשה בשגגה אב מאבות מלאכות עם תולדותיו אינו חייב אלא חטאת אחת ודרך משל אומר שטחן חטים בשגגה שהוא אב מאבות מלאכות ואחר כך ישור עץ במשור לקבל הנסורת שלו וישוף חתיכה של מתכת לקחת שפייתה וכל זה בהעלם אחד אינו חייב אלא אחת לפי שהנסורת והשפייה תולדות טוחן הן עד כאן. כן כתוב בלשון ערבי בנוסחא מדוייקת.</w:t>
      </w:r>
    </w:p>
    <w:p w14:paraId="750675F9" w14:textId="368D58F4" w:rsidR="009623A2" w:rsidRDefault="009623A2" w:rsidP="009623A2">
      <w:pPr>
        <w:pStyle w:val="afffff7"/>
        <w:rPr>
          <w:rtl/>
        </w:rPr>
      </w:pPr>
      <w:bookmarkStart w:id="248" w:name="_Toc133841656"/>
      <w:bookmarkStart w:id="249" w:name="_Toc163505404"/>
      <w:r>
        <w:rPr>
          <w:rtl/>
        </w:rPr>
        <w:t>רמב"ם שגגות ז' ז'</w:t>
      </w:r>
      <w:bookmarkEnd w:id="248"/>
      <w:bookmarkEnd w:id="249"/>
    </w:p>
    <w:p w14:paraId="13E8D70F" w14:textId="77777777" w:rsidR="009623A2" w:rsidRPr="00C3176C" w:rsidRDefault="009623A2" w:rsidP="00747170">
      <w:pPr>
        <w:pStyle w:val="afffff5"/>
        <w:rPr>
          <w:rtl/>
        </w:rPr>
      </w:pPr>
      <w:r w:rsidRPr="00C3176C">
        <w:rPr>
          <w:rtl/>
        </w:rPr>
        <w:t>עשה מלאכות הרבה מעין מלאכה אחת, כגון שזרע והבריך והרכיב בהעלם אחת אינו חייב אלא חטאת אחת, וכבר נתבאר בהלכות שבת האבות והתולדות והמלאכות שהן מעין אבות.</w:t>
      </w:r>
    </w:p>
    <w:p w14:paraId="668F08D4" w14:textId="4E34A22F" w:rsidR="009623A2" w:rsidRDefault="009623A2" w:rsidP="009623A2">
      <w:pPr>
        <w:pStyle w:val="afffff7"/>
        <w:rPr>
          <w:rtl/>
        </w:rPr>
      </w:pPr>
      <w:bookmarkStart w:id="250" w:name="_Toc133841657"/>
      <w:bookmarkStart w:id="251" w:name="_Toc163505405"/>
      <w:r>
        <w:rPr>
          <w:rtl/>
        </w:rPr>
        <w:t>שו"ת רבי בצלאל אשכנזי סימן לח</w:t>
      </w:r>
      <w:r>
        <w:rPr>
          <w:rFonts w:hint="cs"/>
          <w:rtl/>
        </w:rPr>
        <w:t xml:space="preserve"> ד"ה ובזה נשיב, ד"ה ולמדנו מפסקו</w:t>
      </w:r>
      <w:bookmarkEnd w:id="250"/>
      <w:bookmarkEnd w:id="251"/>
    </w:p>
    <w:p w14:paraId="18529791" w14:textId="77777777" w:rsidR="009623A2" w:rsidRDefault="009623A2" w:rsidP="009623A2">
      <w:pPr>
        <w:pStyle w:val="a7"/>
        <w:rPr>
          <w:rtl/>
        </w:rPr>
      </w:pPr>
      <w:bookmarkStart w:id="252" w:name="_Toc134419619"/>
      <w:r>
        <w:rPr>
          <w:rFonts w:hint="cs"/>
          <w:rtl/>
        </w:rPr>
        <w:t>תי' ר"ב אשכנזי ברמב"ם דזומר ובוצר בשבת ובשביעית אינם ממש תולדות אלא מעין האב</w:t>
      </w:r>
      <w:bookmarkEnd w:id="252"/>
    </w:p>
    <w:p w14:paraId="338D5464" w14:textId="582F1651" w:rsidR="009623A2" w:rsidRPr="0000069E" w:rsidRDefault="009623A2" w:rsidP="00BC7DC8">
      <w:pPr>
        <w:pStyle w:val="a3"/>
      </w:pPr>
      <w:bookmarkStart w:id="253" w:name="_Ref133482563"/>
      <w:r>
        <w:rPr>
          <w:rFonts w:hint="cs"/>
          <w:rtl/>
        </w:rPr>
        <w:t xml:space="preserve">ולפי"ז תירץ </w:t>
      </w:r>
      <w:r w:rsidRPr="00C444C9">
        <w:rPr>
          <w:rStyle w:val="aff4"/>
          <w:rFonts w:hint="cs"/>
          <w:vanish/>
          <w:rtl/>
        </w:rPr>
        <w:t>-</w:t>
      </w:r>
      <w:r w:rsidRPr="004F32D2">
        <w:rPr>
          <w:rStyle w:val="aff4"/>
          <w:rFonts w:hint="cs"/>
          <w:rtl/>
        </w:rPr>
        <w:t>ב</w:t>
      </w:r>
      <w:r w:rsidRPr="00C444C9">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Ref133482563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מז)</w:t>
      </w:r>
      <w:r>
        <w:rPr>
          <w:rStyle w:val="aff4"/>
          <w:vanish/>
          <w:rtl/>
        </w:rPr>
        <w:fldChar w:fldCharType="end"/>
      </w:r>
      <w:r w:rsidRPr="00C444C9">
        <w:rPr>
          <w:rStyle w:val="aff4"/>
          <w:rFonts w:hint="cs"/>
          <w:vanish/>
          <w:rtl/>
        </w:rPr>
        <w:t xml:space="preserve"> &gt;</w:t>
      </w:r>
      <w:r w:rsidRPr="004F32D2">
        <w:rPr>
          <w:rStyle w:val="aff4"/>
          <w:rFonts w:hint="cs"/>
          <w:rtl/>
        </w:rPr>
        <w:t>שו"ת רבי בצלאל אשכנזי</w:t>
      </w:r>
      <w:r w:rsidRPr="00C444C9">
        <w:rPr>
          <w:rStyle w:val="aff4"/>
          <w:rFonts w:hint="cs"/>
          <w:vanish/>
          <w:rtl/>
        </w:rPr>
        <w:t>-</w:t>
      </w:r>
      <w:r>
        <w:rPr>
          <w:rFonts w:hint="cs"/>
          <w:rtl/>
        </w:rPr>
        <w:t xml:space="preserve"> </w:t>
      </w:r>
      <w:r w:rsidRPr="002A0D0C">
        <w:rPr>
          <w:rStyle w:val="af2"/>
          <w:rFonts w:eastAsia="Guttman Hodes" w:hint="cs"/>
          <w:rtl/>
        </w:rPr>
        <w:t xml:space="preserve">(סי' ל"ח ד"ה </w:t>
      </w:r>
      <w:r w:rsidRPr="002A0D0C">
        <w:rPr>
          <w:rStyle w:val="af2"/>
          <w:rFonts w:eastAsia="Guttman Hodes"/>
          <w:rtl/>
        </w:rPr>
        <w:t>ובזה נשיב</w:t>
      </w:r>
      <w:r w:rsidRPr="002A0D0C">
        <w:rPr>
          <w:rStyle w:val="af2"/>
          <w:rFonts w:eastAsia="Guttman Hodes" w:hint="cs"/>
          <w:rtl/>
        </w:rPr>
        <w:t>)</w:t>
      </w:r>
      <w:r w:rsidRPr="006B5A55">
        <w:rPr>
          <w:rFonts w:hint="cs"/>
          <w:vanish/>
          <w:rtl/>
        </w:rPr>
        <w:t>=</w:t>
      </w:r>
      <w:r>
        <w:rPr>
          <w:rFonts w:hint="cs"/>
          <w:rtl/>
        </w:rPr>
        <w:t xml:space="preserve"> </w:t>
      </w:r>
      <w:bookmarkStart w:id="254" w:name="_Hlk133441547"/>
      <w:r>
        <w:rPr>
          <w:rFonts w:hint="cs"/>
          <w:rtl/>
        </w:rPr>
        <w:t xml:space="preserve">את קושית </w:t>
      </w:r>
      <w:r w:rsidRPr="00C444C9">
        <w:rPr>
          <w:rStyle w:val="aff4"/>
          <w:rFonts w:hint="cs"/>
          <w:vanish/>
          <w:rtl/>
        </w:rPr>
        <w:t>-</w:t>
      </w:r>
      <w:r w:rsidRPr="004F32D2">
        <w:rPr>
          <w:rStyle w:val="aff4"/>
          <w:rFonts w:hint="cs"/>
          <w:rtl/>
        </w:rPr>
        <w:t>השואל</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sidRPr="002A0D0C">
        <w:rPr>
          <w:rStyle w:val="af2"/>
          <w:rFonts w:eastAsia="Guttman Hodes"/>
          <w:rtl/>
        </w:rPr>
        <w:fldChar w:fldCharType="begin"/>
      </w:r>
      <w:r w:rsidRPr="002A0D0C">
        <w:rPr>
          <w:rStyle w:val="af2"/>
          <w:rFonts w:eastAsia="Guttman Hodes"/>
          <w:rtl/>
        </w:rPr>
        <w:instrText xml:space="preserve"> </w:instrText>
      </w:r>
      <w:r w:rsidRPr="002A0D0C">
        <w:rPr>
          <w:rStyle w:val="af2"/>
          <w:rFonts w:eastAsia="Guttman Hodes" w:hint="cs"/>
        </w:rPr>
        <w:instrText>REF</w:instrText>
      </w:r>
      <w:r w:rsidRPr="002A0D0C">
        <w:rPr>
          <w:rStyle w:val="af2"/>
          <w:rFonts w:eastAsia="Guttman Hodes" w:hint="cs"/>
          <w:rtl/>
        </w:rPr>
        <w:instrText xml:space="preserve"> _</w:instrText>
      </w:r>
      <w:r w:rsidRPr="002A0D0C">
        <w:rPr>
          <w:rStyle w:val="af2"/>
          <w:rFonts w:eastAsia="Guttman Hodes" w:hint="cs"/>
        </w:rPr>
        <w:instrText>Ref133335975 \r \h</w:instrText>
      </w:r>
      <w:r w:rsidRPr="002A0D0C">
        <w:rPr>
          <w:rStyle w:val="af2"/>
          <w:rFonts w:eastAsia="Guttman Hodes"/>
          <w:rtl/>
        </w:rPr>
        <w:instrText xml:space="preserve"> </w:instrText>
      </w:r>
      <w:r w:rsidRPr="002A0D0C">
        <w:rPr>
          <w:rStyle w:val="af2"/>
          <w:rFonts w:eastAsia="Guttman Hodes"/>
          <w:rtl/>
        </w:rPr>
      </w:r>
      <w:r w:rsidRPr="002A0D0C">
        <w:rPr>
          <w:rStyle w:val="af2"/>
          <w:rFonts w:eastAsia="Guttman Hodes"/>
          <w:rtl/>
        </w:rPr>
        <w:fldChar w:fldCharType="separate"/>
      </w:r>
      <w:r w:rsidR="00D82181">
        <w:rPr>
          <w:rStyle w:val="af2"/>
          <w:rFonts w:eastAsia="Guttman Hodes"/>
          <w:cs/>
        </w:rPr>
        <w:t>‎</w:t>
      </w:r>
      <w:r w:rsidR="00D82181">
        <w:rPr>
          <w:rStyle w:val="af2"/>
          <w:rFonts w:eastAsia="Guttman Hodes"/>
          <w:rtl/>
        </w:rPr>
        <w:t>מג)</w:t>
      </w:r>
      <w:r w:rsidRPr="002A0D0C">
        <w:rPr>
          <w:rStyle w:val="af2"/>
          <w:rFonts w:eastAsia="Guttman Hodes"/>
          <w:rtl/>
        </w:rPr>
        <w:fldChar w:fldCharType="end"/>
      </w:r>
      <w:r>
        <w:rPr>
          <w:rFonts w:hint="cs"/>
          <w:rtl/>
        </w:rPr>
        <w:t xml:space="preserve"> </w:t>
      </w:r>
      <w:bookmarkEnd w:id="254"/>
      <w:r>
        <w:rPr>
          <w:rFonts w:hint="cs"/>
          <w:rtl/>
        </w:rPr>
        <w:t xml:space="preserve">דלענין שבת כתב </w:t>
      </w:r>
      <w:r w:rsidRPr="00C444C9">
        <w:rPr>
          <w:rStyle w:val="aff4"/>
          <w:rFonts w:hint="cs"/>
          <w:vanish/>
          <w:rtl/>
        </w:rPr>
        <w:t>-</w:t>
      </w:r>
      <w:r w:rsidRPr="004F32D2">
        <w:rPr>
          <w:rStyle w:val="aff4"/>
          <w:rFonts w:hint="cs"/>
          <w:rtl/>
        </w:rPr>
        <w:t>הרמב"ם</w:t>
      </w:r>
      <w:r w:rsidRPr="00C444C9">
        <w:rPr>
          <w:rStyle w:val="aff4"/>
          <w:rFonts w:hint="cs"/>
          <w:vanish/>
          <w:rtl/>
        </w:rPr>
        <w:t>-</w:t>
      </w:r>
      <w:r>
        <w:rPr>
          <w:rFonts w:hint="cs"/>
          <w:rtl/>
        </w:rPr>
        <w:t xml:space="preserve"> דזומר ובוצר הם אבות, ולענין שמיטה כתב </w:t>
      </w:r>
      <w:r w:rsidRPr="00C444C9">
        <w:rPr>
          <w:rStyle w:val="aff4"/>
          <w:rFonts w:hint="cs"/>
          <w:vanish/>
          <w:rtl/>
        </w:rPr>
        <w:t>-</w:t>
      </w:r>
      <w:r w:rsidRPr="004F32D2">
        <w:rPr>
          <w:rStyle w:val="aff4"/>
          <w:rFonts w:hint="cs"/>
          <w:rtl/>
        </w:rPr>
        <w:t>הרמב"ם</w:t>
      </w:r>
      <w:r w:rsidRPr="00C444C9">
        <w:rPr>
          <w:rStyle w:val="aff4"/>
          <w:rFonts w:hint="cs"/>
          <w:vanish/>
          <w:rtl/>
        </w:rPr>
        <w:t>-</w:t>
      </w:r>
      <w:r>
        <w:rPr>
          <w:rFonts w:hint="cs"/>
          <w:rtl/>
        </w:rPr>
        <w:t xml:space="preserve"> דזומר ובוצר הם תולדת זורע וקוצר, דבאמת אין כוונת </w:t>
      </w:r>
      <w:r w:rsidRPr="00C444C9">
        <w:rPr>
          <w:rStyle w:val="aff4"/>
          <w:rFonts w:hint="cs"/>
          <w:vanish/>
          <w:rtl/>
        </w:rPr>
        <w:t>-</w:t>
      </w:r>
      <w:r w:rsidRPr="004F32D2">
        <w:rPr>
          <w:rStyle w:val="aff4"/>
          <w:rFonts w:hint="cs"/>
          <w:rtl/>
        </w:rPr>
        <w:t>הרמב"ם</w:t>
      </w:r>
      <w:r w:rsidRPr="00C444C9">
        <w:rPr>
          <w:rStyle w:val="aff4"/>
          <w:rFonts w:hint="cs"/>
          <w:vanish/>
          <w:rtl/>
        </w:rPr>
        <w:t>-</w:t>
      </w:r>
      <w:r>
        <w:rPr>
          <w:rFonts w:hint="cs"/>
          <w:rtl/>
        </w:rPr>
        <w:t xml:space="preserve"> לומר דזומר ובוצר הם ממש האב עצמו, אלא דהם מעין האב, דזומר ובוצר הם תולדת זורע וקוצר, כדכתב </w:t>
      </w:r>
      <w:r w:rsidRPr="00C444C9">
        <w:rPr>
          <w:rStyle w:val="aff4"/>
          <w:rFonts w:hint="cs"/>
          <w:vanish/>
          <w:rtl/>
        </w:rPr>
        <w:t>-</w:t>
      </w:r>
      <w:r w:rsidRPr="004F32D2">
        <w:rPr>
          <w:rStyle w:val="aff4"/>
          <w:rFonts w:hint="cs"/>
          <w:rtl/>
        </w:rPr>
        <w:t>הרמב"ם</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Ref133477286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כט)</w:t>
      </w:r>
      <w:r>
        <w:rPr>
          <w:rStyle w:val="af2"/>
          <w:rFonts w:eastAsia="Guttman Hodes"/>
          <w:rtl/>
        </w:rPr>
        <w:fldChar w:fldCharType="end"/>
      </w:r>
      <w:r>
        <w:rPr>
          <w:rFonts w:hint="cs"/>
          <w:rtl/>
        </w:rPr>
        <w:t xml:space="preserve"> ובוצר הוא מעין קוצר, ועיי"ש במה שהאריך </w:t>
      </w:r>
      <w:r w:rsidRPr="00C444C9">
        <w:rPr>
          <w:rStyle w:val="aff4"/>
          <w:rFonts w:hint="cs"/>
          <w:vanish/>
          <w:rtl/>
        </w:rPr>
        <w:t>-</w:t>
      </w:r>
      <w:r w:rsidRPr="004F32D2">
        <w:rPr>
          <w:rStyle w:val="aff4"/>
          <w:rFonts w:hint="cs"/>
          <w:rtl/>
        </w:rPr>
        <w:t>בשו"ת רבי בצלאל אשכנזי</w:t>
      </w:r>
      <w:r w:rsidRPr="00C444C9">
        <w:rPr>
          <w:rStyle w:val="aff4"/>
          <w:rFonts w:hint="cs"/>
          <w:vanish/>
          <w:rtl/>
        </w:rPr>
        <w:t>-</w:t>
      </w:r>
      <w:r>
        <w:rPr>
          <w:rFonts w:hint="cs"/>
          <w:rtl/>
        </w:rPr>
        <w:t xml:space="preserve"> בביאור הגמ' במו"ק </w:t>
      </w:r>
      <w:r w:rsidRPr="002A0D0C">
        <w:rPr>
          <w:rStyle w:val="af2"/>
          <w:rFonts w:eastAsia="Guttman Hodes" w:hint="cs"/>
          <w:rtl/>
        </w:rPr>
        <w:t>(ג.)</w:t>
      </w:r>
      <w:r>
        <w:rPr>
          <w:rFonts w:hint="cs"/>
          <w:rtl/>
        </w:rPr>
        <w:t xml:space="preserve"> לדעת </w:t>
      </w:r>
      <w:r w:rsidRPr="00C444C9">
        <w:rPr>
          <w:rStyle w:val="aff4"/>
          <w:rFonts w:hint="cs"/>
          <w:vanish/>
          <w:rtl/>
        </w:rPr>
        <w:t>-</w:t>
      </w:r>
      <w:r w:rsidRPr="004F32D2">
        <w:rPr>
          <w:rStyle w:val="aff4"/>
          <w:rFonts w:hint="cs"/>
          <w:rtl/>
        </w:rPr>
        <w:t>הרמב"ם</w:t>
      </w:r>
      <w:r w:rsidRPr="00C444C9">
        <w:rPr>
          <w:rStyle w:val="aff4"/>
          <w:rFonts w:hint="cs"/>
          <w:vanish/>
          <w:rtl/>
        </w:rPr>
        <w:t>-</w:t>
      </w:r>
      <w:r w:rsidRPr="000011AE">
        <w:rPr>
          <w:rStyle w:val="aff4"/>
          <w:rFonts w:hint="cs"/>
          <w:rtl/>
        </w:rPr>
        <w:t xml:space="preserve"> </w:t>
      </w:r>
      <w:r>
        <w:rPr>
          <w:rFonts w:hint="cs"/>
          <w:rtl/>
        </w:rPr>
        <w:t xml:space="preserve">וכתב </w:t>
      </w:r>
      <w:r w:rsidRPr="00C444C9">
        <w:rPr>
          <w:rStyle w:val="aff4"/>
          <w:rFonts w:hint="cs"/>
          <w:vanish/>
          <w:rtl/>
        </w:rPr>
        <w:t>-</w:t>
      </w:r>
      <w:r w:rsidRPr="004F32D2">
        <w:rPr>
          <w:rStyle w:val="aff4"/>
          <w:rFonts w:hint="cs"/>
          <w:rtl/>
        </w:rPr>
        <w:t>ב</w:t>
      </w:r>
      <w:r w:rsidRPr="00C444C9">
        <w:rPr>
          <w:rStyle w:val="aff4"/>
          <w:rFonts w:hint="cs"/>
          <w:vanish/>
          <w:rtl/>
        </w:rPr>
        <w:t>&lt; &gt;</w:t>
      </w:r>
      <w:r w:rsidRPr="004F32D2">
        <w:rPr>
          <w:rStyle w:val="aff4"/>
          <w:rFonts w:hint="cs"/>
          <w:rtl/>
        </w:rPr>
        <w:t>שו"ת רבי בצלאל אשכנזי</w:t>
      </w:r>
      <w:r w:rsidRPr="00C444C9">
        <w:rPr>
          <w:rStyle w:val="aff4"/>
          <w:rFonts w:hint="cs"/>
          <w:vanish/>
          <w:rtl/>
        </w:rPr>
        <w:t>-</w:t>
      </w:r>
      <w:r>
        <w:rPr>
          <w:rFonts w:hint="cs"/>
          <w:rtl/>
        </w:rPr>
        <w:t xml:space="preserve"> </w:t>
      </w:r>
      <w:r w:rsidRPr="002A0D0C">
        <w:rPr>
          <w:rStyle w:val="af2"/>
          <w:rFonts w:eastAsia="Guttman Hodes" w:hint="cs"/>
          <w:rtl/>
        </w:rPr>
        <w:t xml:space="preserve">(סי' ל"ח ד"ה </w:t>
      </w:r>
      <w:r w:rsidRPr="002A0D0C">
        <w:rPr>
          <w:rStyle w:val="af2"/>
          <w:rFonts w:eastAsia="Guttman Hodes"/>
          <w:rtl/>
        </w:rPr>
        <w:t>ולמדנו מפסקו</w:t>
      </w:r>
      <w:r w:rsidRPr="002A0D0C">
        <w:rPr>
          <w:rStyle w:val="af2"/>
          <w:rFonts w:eastAsia="Guttman Hodes" w:hint="cs"/>
          <w:rtl/>
        </w:rPr>
        <w:t>)</w:t>
      </w:r>
      <w:r w:rsidRPr="006B5A55">
        <w:rPr>
          <w:rFonts w:hint="cs"/>
          <w:vanish/>
          <w:rtl/>
        </w:rPr>
        <w:t>=</w:t>
      </w:r>
      <w:r>
        <w:rPr>
          <w:rFonts w:hint="cs"/>
          <w:rtl/>
        </w:rPr>
        <w:t xml:space="preserve"> דלפי ביאור </w:t>
      </w:r>
      <w:r w:rsidRPr="00C444C9">
        <w:rPr>
          <w:rStyle w:val="aff4"/>
          <w:rFonts w:hint="cs"/>
          <w:vanish/>
          <w:rtl/>
        </w:rPr>
        <w:t>-</w:t>
      </w:r>
      <w:r w:rsidRPr="004F32D2">
        <w:rPr>
          <w:rStyle w:val="aff4"/>
          <w:rFonts w:hint="cs"/>
          <w:rtl/>
        </w:rPr>
        <w:t>הרמב"ם</w:t>
      </w:r>
      <w:r w:rsidRPr="00C444C9">
        <w:rPr>
          <w:rStyle w:val="aff4"/>
          <w:rFonts w:hint="cs"/>
          <w:vanish/>
          <w:rtl/>
        </w:rPr>
        <w:t>-</w:t>
      </w:r>
      <w:r w:rsidRPr="000011AE">
        <w:rPr>
          <w:rStyle w:val="aff4"/>
          <w:rFonts w:hint="cs"/>
          <w:rtl/>
        </w:rPr>
        <w:t xml:space="preserve"> </w:t>
      </w:r>
      <w:r>
        <w:rPr>
          <w:rFonts w:hint="cs"/>
          <w:rtl/>
        </w:rPr>
        <w:t xml:space="preserve">בגמ' במו"ק מוכח דזומר ובוצר בשביעית אינם ממש תולדות, אלא הם מלאכות מעין האב, ומ"ש </w:t>
      </w:r>
      <w:r w:rsidRPr="00C444C9">
        <w:rPr>
          <w:rStyle w:val="aff4"/>
          <w:rFonts w:hint="cs"/>
          <w:vanish/>
          <w:rtl/>
        </w:rPr>
        <w:t>-</w:t>
      </w:r>
      <w:r w:rsidRPr="004F32D2">
        <w:rPr>
          <w:rStyle w:val="aff4"/>
          <w:rFonts w:hint="cs"/>
          <w:rtl/>
        </w:rPr>
        <w:t>הרמב"ם</w:t>
      </w:r>
      <w:r w:rsidRPr="00C444C9">
        <w:rPr>
          <w:rStyle w:val="aff4"/>
          <w:rFonts w:hint="cs"/>
          <w:vanish/>
          <w:rtl/>
        </w:rPr>
        <w:t>-</w:t>
      </w:r>
      <w:r w:rsidRPr="000011AE">
        <w:rPr>
          <w:rStyle w:val="aff4"/>
          <w:rFonts w:hint="cs"/>
          <w:rtl/>
        </w:rPr>
        <w:t xml:space="preserve"> </w:t>
      </w:r>
      <w:r>
        <w:rPr>
          <w:rFonts w:hint="cs"/>
          <w:rtl/>
        </w:rPr>
        <w:t>דהם תולדות כוונתו לומר דמהם ילפינן לשאר התולדות דאין לוקין עליהם בשביעית חוץ מאלו שמפורשים בתורה, עיי"ש בדבריו.</w:t>
      </w:r>
      <w:bookmarkEnd w:id="253"/>
    </w:p>
    <w:p w14:paraId="4FEB5B71" w14:textId="77777777" w:rsidR="009623A2" w:rsidRPr="00747170" w:rsidRDefault="009623A2" w:rsidP="00747170">
      <w:pPr>
        <w:pStyle w:val="a2"/>
      </w:pPr>
      <w:r w:rsidRPr="00747170">
        <w:rPr>
          <w:rtl/>
        </w:rPr>
        <w:t xml:space="preserve">ובזה נשיב מאי דקשיא ליה לשואל דבה' שבת כתב דזומר ובוצר הן אבות מלאכות ובה' שמיטה ויובל וכו' דאיברא דכתב הרב ז"ל דהם ענין אחד עם האב ומיהו לא קראם אב גמור כגון זורע וקוצר אלא דזומר מעין זורע וכמו שכתב לקמן בפ"ח ובוצר מעין קוצר ומה שכתב בה' שמיטה ויובל פ"א אפרש בקוצר השמועה דבמסכת מועד קטן </w:t>
      </w:r>
      <w:r w:rsidRPr="00747170">
        <w:rPr>
          <w:rStyle w:val="afff7"/>
          <w:rtl/>
        </w:rPr>
        <w:t>ובזה יתפרש היטב בס"ד דגרסינן התם אתמר החורש בשביעית רבי יוחנן ורבי אליעזר חד אמר לוקה וחד אמר אינו לוקה ופריך גמרא לימא בדרבי אבין אמר רבי אלעא קמפלגי דאמר רבי אבין אמר רבי אילעא כל מקום שנאמר כלל בעשה ופרט בלא תעשה אין דנין אותו בכלל ופרט וכלל וכו' ומשני דכ"ע לית להו דרבי אבין ומ"ד לוקה שפיר ומ"ד אינו לוקה אמר לך מכדי זמירה בכלל זריעה ובצירה בכלל קצירה למאי הילכתא כתבינהו רחמנא למימר דאהני תולדות הוא דמיחייב אתולדה אחרינא לא מחייב ולא והתניא וכו' ע"כ. והרב ז"ל פסק כמ"ד אינו לוקה וכתב בכסף משנה דהיינו משום דרבא דאמר אהני מחייב אחרנייתא לא מחייב ס"ל כותיה ולא ידעתי מהו דאדרבה רבא פליג דלדידיה כל האבות אסר רחמנא ולא ממעטינין מהן דרשא דזמירה ובצירה אלא התולדות ולא אבות ומ"ד אינו לוקה ממעט מהך דרשא אפי' חרישה דהוי אב ויש לפרש דה"ק דכ"ע לית להו דר' אבין אלא שפיר הויא כלל ופרט וכלל ובשנה השביעית שבת שבתון וגו' כלל שדך לא תזרע וגו' פרט שנת שבתון יהיה לארץ חזר וכלל ואי אתה דן אלא כעין הפרט ונרבי כל מידי דדמי לפרט ומ"ד לוקה שפיר ומ"ד אינו לוקה אמר לך מכדי זמירה בכלל זריעה וכו' וכיון דבע"כ זמירה ובצירה אתי למעוטי שאר תולדות גבי זריעה וקצירה אתו למעוטי שאר האבות ולא ניתן לידרש בכלל ופרט וכלל ולא נהירא דאימא אהני מדת כלל ופרט וכלל לאתויי שאר אבות ואהני מיעוטי דזמירה ובצירה למעוטי תולדות ומהי תיתי למעט נמי שאר אבות כולהו ונראה דהכי קא דריש דאיברא אילו היו זמירה ובצירה מכלל התולדות אה"נ דהוה דרשינן הכי אבל זמירה בכלל זריעה דהיינו מעין זריעה ובצירה בכלל קצירה והתנא דמני מ' מלאכות חסר א' לא רצה למנותן משום דהם כלולים באבות וכדכתיבנא לעיל והיאך הכתוב פרטן אלא פרטן הכתוב ללמדנו בין על האבות בין על התולדות דאינו לוקה עליהן ולפי שאלו הם מעין אבות כלולים מאבות ותולדות אמרי דאתו ללמד על האבות ועל התולדות ואילו הוו תולדות לא היו מלמדים כי אם על התולדות לבד ואפשר דאילו היו תולדות גמורים לא היו מלמדים כלל דהוה אמינא קא מני קרא אבות וקא מני קרא תולדות ומיהו כיון דהוו מעין אבות והם כלולים באבות לא היה צריך הכתוב לפרט אותן ולא פרטן אלא ללמד אכולהו וכדכתבינן תדע דלקמן אמרינן כי אתא רב דימי אמר יכול ילקה על התוספת ונסיב לה גמרא לפטורא ולא ידענא מאי גמרא ומאי תוספת רבי אלעזר אמר חרישה וה"ק יכול ילקה אחרישה דאתיא מכלל ופרט וכלל ונסיב לה גמרא לפטורא דא"כ כל הני פרטי למה לי ורבי יוחנן אם /אמר/ ימים שהוסיפו חכמים לפני ר"ה וכו' ע"כ. וקשיא להו לתוס' דאמאי ל... /לא/ קאמר תסתיים דרבי אלעזר הוא דאמר לעיל אינו לוקה ותרצוה בתוספות ואני אוסיף נופך משלי דליכא למימר דרבי אלעזר דלעיל הוא דאמר אינו לוקה משום דפירש דברי רב דימי כן דהא אין הלימודים שוים דהכא קא יליף לפטורא משום דא"כ כל הני פרטי למה לי ולעיל לא סגי ליה בהכי משום דאיכא למדרש כל הני פרטי ולמילף נמי בכלל ופרט וכלל וכדדרשינן בריש מרובה לכך יליף לה מדפרט זמירה ובצירה וכדפרשינן וזהו דרשה גמורה ועליה אין להשיב וכיון דאין הלימודים שוים אלמא דלא אזיל לשיטתיה אלא דפירש דברי רב דימי בחרישה בטעם שאינו נכון ולדידיה לא ס"ל וכמו שפירשו התוספות ז"ל בתירוץ ראשון ורבי יוחנן קא מפרש דברי רב דימי בימים שהוסיפו וכו' דבהכי מיתרצא לישנא דרב דימי טפי ומיהו לענין דינא ס"ל דאין לוקין בטעם נכון וכדכתבינן לעיל ורבי אליעזר פליג בטעם דס"ל דאין כאן גמרא לפטורא דחרישה אלא לומר כל הני פרטי למה לי ואלו בקל יש למצוא להם מיעוטים והמדה דכלל ופרט וכלל תדרש ופסק הרמב"ם ז"ל כרבי יוחנן ובירושלמי פרק כלל גדול דשבת סיימו להדיא דרבי יוחנן ס"ל דאין לוקין. ומיהו בירושלמי נסיב גם הא דרב דימי להפך דרבי יוחנן פריש לה בחרישה עיין שם ומ"מ גם לגמרא דידן אין לסיים דרבי אלעזר הוא דקאמר אין לוקין וכדכתבתי' פסק הרב ז"ל כרבי יוחנן וכמו דסיימו בירושלמי ואף על גב דלכאורה רבא פליג וכדכתיבנא והיינו דכפל גמרא לאקשויי ולא והתניא שדך וכו' עלה דרבי יוחנן דחרישה אף על גב דכבר אקשי לה עלה דרבא משום דרבא לא איירי אלא בתולדות ולכך איכא למימר דכל מאי דתני בברייתא היינו אסמכתא בעלמא אבל לרבי יוחנן דאפילו אחרישה נמי לא לקי הא ודאי קשיא טפי דקתני אפילו אתולדות דמקרא נפיק דלא יעשה ומשני דאפילו הכי איכא למימר דהיינו מדרבנן וקרא אסמכתא בעלמא ומ"מ פסק הרב ז"ל כמ"ד אינו לוקה דטעמיה מסתבר וכדכתיבנא.</w:t>
      </w:r>
    </w:p>
    <w:p w14:paraId="131FD319" w14:textId="77777777" w:rsidR="009623A2" w:rsidRPr="00C3176C" w:rsidRDefault="009623A2" w:rsidP="00747170">
      <w:pPr>
        <w:pStyle w:val="afffff5"/>
      </w:pPr>
      <w:r w:rsidRPr="00C3176C">
        <w:rPr>
          <w:rtl/>
        </w:rPr>
        <w:t>ולמדנו מפסקו ז"ל דאדרבה משום דסבר דזמירה ובצירה אינן תולדות גמורים אלא מעין אבות להכי פסק בחרישה דאינו לוקה עליה והא דנקט בלשונו על שתי תולדות אלו וכו' לאו דהוו תולדות אלא דקרינהו תולדות משום דאתו למילף גם על התולדות והא כתיבנא דזימנין דקרו להו גמרא למעין אבות תולדות משום דבעו למידן מיניהו לתולדות ולרבא הא כתיבנא דלא אתו למידן אלא על התולדות הילכך מוכרח למנקט לשון תולדות וגם לרבי יוחנן אף על גב דאתו למילף נמי על האבות מ"מ הא יליף נמי על התולדות ולכך לא זו /זז/ גמרא מלמנקט בהו לשון תולדות ולאו דוקא דכל מעין אבות זימנין דקרו להו גמרא תולדות וכדפרישנא לעיל והרב ז"ל נקט נמי כלישנא דגמרא ועיקר טעמו ז"ל משום דהוו כעין אבות ודו"ק דקא מסיים הרב ז"ל כיצד החופר או החורש וכו' וכן המבריך וכו' ע"כ. דנקט חלוקות דלא נזכרו בגמרא כלל ועיקר פלוגתא דגמרא בחרישה ובמאי דכתיבנא ניחא דנקט כל מעין אב וממילא יליף נמי לאב גמור וכדכתיבנא כנ"ל ועלו דברי הר"מ במז"ל כהוג /כהוגן/ וליכא עליה שום קושיא לא מדידיה ולא מהגמ'.</w:t>
      </w:r>
    </w:p>
    <w:p w14:paraId="46F21FC7" w14:textId="29297D37" w:rsidR="009623A2" w:rsidRDefault="009623A2" w:rsidP="009623A2">
      <w:pPr>
        <w:pStyle w:val="1"/>
        <w:rPr>
          <w:rtl/>
        </w:rPr>
      </w:pPr>
      <w:bookmarkStart w:id="255" w:name="_Toc134419620"/>
      <w:r>
        <w:rPr>
          <w:rFonts w:hint="cs"/>
          <w:rtl/>
        </w:rPr>
        <w:t>בי' הקר"א והאגל"ט בחילוק בין אבות ותולדות בשבת לשביעית</w:t>
      </w:r>
      <w:bookmarkEnd w:id="255"/>
    </w:p>
    <w:p w14:paraId="51B9E9E3" w14:textId="77777777" w:rsidR="009623A2" w:rsidRDefault="009623A2" w:rsidP="009623A2">
      <w:pPr>
        <w:pStyle w:val="afffff7"/>
        <w:rPr>
          <w:rtl/>
        </w:rPr>
      </w:pPr>
      <w:bookmarkStart w:id="256" w:name="_Toc133841658"/>
      <w:bookmarkStart w:id="257" w:name="_Toc163505406"/>
      <w:r>
        <w:rPr>
          <w:rtl/>
        </w:rPr>
        <w:t>קרן אורה מו"ק ג' ע"א</w:t>
      </w:r>
      <w:r>
        <w:rPr>
          <w:rFonts w:hint="cs"/>
          <w:rtl/>
        </w:rPr>
        <w:t xml:space="preserve"> ד"ה למאי</w:t>
      </w:r>
      <w:bookmarkEnd w:id="256"/>
      <w:bookmarkEnd w:id="257"/>
    </w:p>
    <w:p w14:paraId="644E8613" w14:textId="77777777" w:rsidR="009623A2" w:rsidRDefault="009623A2" w:rsidP="009623A2">
      <w:pPr>
        <w:pStyle w:val="a7"/>
        <w:rPr>
          <w:rtl/>
        </w:rPr>
      </w:pPr>
      <w:bookmarkStart w:id="258" w:name="_Toc134419621"/>
      <w:r>
        <w:rPr>
          <w:rFonts w:hint="cs"/>
          <w:rtl/>
        </w:rPr>
        <w:t>בי' הקר"א דהא דלשביעית זומר ובוצר הם תולדה אינם ממש תולדה אלא דאינם אבות</w:t>
      </w:r>
      <w:bookmarkEnd w:id="258"/>
    </w:p>
    <w:p w14:paraId="337A7439" w14:textId="1BE89FD6" w:rsidR="009623A2" w:rsidRPr="000646DE" w:rsidRDefault="009623A2" w:rsidP="00BC7DC8">
      <w:pPr>
        <w:pStyle w:val="a3"/>
        <w:rPr>
          <w:rtl/>
        </w:rPr>
      </w:pPr>
      <w:bookmarkStart w:id="259" w:name="_Ref133361230"/>
      <w:r>
        <w:rPr>
          <w:rFonts w:hint="cs"/>
          <w:rtl/>
        </w:rPr>
        <w:t xml:space="preserve">במ"ש </w:t>
      </w:r>
      <w:r w:rsidRPr="004461C9">
        <w:rPr>
          <w:rStyle w:val="aff4"/>
          <w:rFonts w:hint="cs"/>
          <w:vanish/>
          <w:rtl/>
        </w:rPr>
        <w:t>-</w:t>
      </w:r>
      <w:r w:rsidRPr="004F32D2">
        <w:rPr>
          <w:rStyle w:val="aff4"/>
          <w:rFonts w:hint="cs"/>
          <w:rtl/>
        </w:rPr>
        <w:t>הרמב"ם</w:t>
      </w:r>
      <w:r w:rsidRPr="004461C9">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Ref133477286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כט)</w:t>
      </w:r>
      <w:r>
        <w:rPr>
          <w:rStyle w:val="af2"/>
          <w:rFonts w:eastAsia="Guttman Hodes"/>
          <w:rtl/>
        </w:rPr>
        <w:fldChar w:fldCharType="end"/>
      </w:r>
      <w:r>
        <w:rPr>
          <w:rFonts w:hint="cs"/>
          <w:rtl/>
        </w:rPr>
        <w:t xml:space="preserve"> דזומר הוא אב דזורע, וכן במ"ש </w:t>
      </w:r>
      <w:r w:rsidRPr="004461C9">
        <w:rPr>
          <w:rStyle w:val="aff4"/>
          <w:rFonts w:hint="cs"/>
          <w:vanish/>
          <w:rtl/>
        </w:rPr>
        <w:t>-</w:t>
      </w:r>
      <w:r w:rsidRPr="004F32D2">
        <w:rPr>
          <w:rStyle w:val="aff4"/>
          <w:rFonts w:hint="cs"/>
          <w:rtl/>
        </w:rPr>
        <w:t>הרמב"ם</w:t>
      </w:r>
      <w:r w:rsidRPr="004461C9">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Ref130240129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w:t>
      </w:r>
      <w:r>
        <w:rPr>
          <w:rStyle w:val="af2"/>
          <w:rFonts w:eastAsia="Guttman Hodes"/>
          <w:rtl/>
        </w:rPr>
        <w:fldChar w:fldCharType="end"/>
      </w:r>
      <w:r>
        <w:rPr>
          <w:rFonts w:hint="cs"/>
          <w:rtl/>
        </w:rPr>
        <w:t xml:space="preserve"> דבוצר הוא אב דקוצר, הקשה </w:t>
      </w:r>
      <w:r w:rsidRPr="004461C9">
        <w:rPr>
          <w:rStyle w:val="aff4"/>
          <w:rFonts w:hint="cs"/>
          <w:vanish/>
          <w:rtl/>
        </w:rPr>
        <w:t>-</w:t>
      </w:r>
      <w:r w:rsidRPr="004F32D2">
        <w:rPr>
          <w:rStyle w:val="aff4"/>
          <w:rFonts w:hint="cs"/>
          <w:rtl/>
        </w:rPr>
        <w:t>ה</w:t>
      </w:r>
      <w:r w:rsidRPr="004461C9">
        <w:rPr>
          <w:rStyle w:val="aff4"/>
          <w:rFonts w:hint="cs"/>
          <w:vanish/>
          <w:rtl/>
        </w:rPr>
        <w:t xml:space="preserve">&lt;. </w:t>
      </w:r>
      <w:r w:rsidRPr="004461C9">
        <w:rPr>
          <w:rStyle w:val="aff4"/>
          <w:vanish/>
          <w:rtl/>
        </w:rPr>
        <w:fldChar w:fldCharType="begin"/>
      </w:r>
      <w:r w:rsidRPr="004461C9">
        <w:rPr>
          <w:rStyle w:val="aff4"/>
          <w:vanish/>
          <w:rtl/>
        </w:rPr>
        <w:instrText xml:space="preserve"> </w:instrText>
      </w:r>
      <w:r w:rsidRPr="004461C9">
        <w:rPr>
          <w:rStyle w:val="aff4"/>
          <w:rFonts w:hint="cs"/>
          <w:vanish/>
        </w:rPr>
        <w:instrText>REF</w:instrText>
      </w:r>
      <w:r w:rsidRPr="004461C9">
        <w:rPr>
          <w:rStyle w:val="aff4"/>
          <w:rFonts w:hint="cs"/>
          <w:vanish/>
          <w:rtl/>
        </w:rPr>
        <w:instrText xml:space="preserve"> _</w:instrText>
      </w:r>
      <w:r w:rsidRPr="004461C9">
        <w:rPr>
          <w:rStyle w:val="aff4"/>
          <w:rFonts w:hint="cs"/>
          <w:vanish/>
        </w:rPr>
        <w:instrText>Ref133361230 \r \h</w:instrText>
      </w:r>
      <w:r w:rsidRPr="004461C9">
        <w:rPr>
          <w:rStyle w:val="aff4"/>
          <w:vanish/>
          <w:rtl/>
        </w:rPr>
        <w:instrText xml:space="preserve"> </w:instrText>
      </w:r>
      <w:r w:rsidRPr="004461C9">
        <w:rPr>
          <w:rStyle w:val="aff4"/>
          <w:vanish/>
          <w:rtl/>
        </w:rPr>
      </w:r>
      <w:r w:rsidRPr="004461C9">
        <w:rPr>
          <w:rStyle w:val="aff4"/>
          <w:vanish/>
          <w:rtl/>
        </w:rPr>
        <w:fldChar w:fldCharType="separate"/>
      </w:r>
      <w:r w:rsidR="00D82181">
        <w:rPr>
          <w:rStyle w:val="aff4"/>
          <w:vanish/>
          <w:cs/>
        </w:rPr>
        <w:t>‎</w:t>
      </w:r>
      <w:r w:rsidR="00D82181">
        <w:rPr>
          <w:rStyle w:val="aff4"/>
          <w:vanish/>
          <w:rtl/>
        </w:rPr>
        <w:t>מח)</w:t>
      </w:r>
      <w:r w:rsidRPr="004461C9">
        <w:rPr>
          <w:rStyle w:val="aff4"/>
          <w:vanish/>
          <w:rtl/>
        </w:rPr>
        <w:fldChar w:fldCharType="end"/>
      </w:r>
      <w:r w:rsidRPr="004461C9">
        <w:rPr>
          <w:rStyle w:val="aff4"/>
          <w:rFonts w:hint="cs"/>
          <w:vanish/>
          <w:rtl/>
        </w:rPr>
        <w:t xml:space="preserve"> &gt;</w:t>
      </w:r>
      <w:r w:rsidRPr="004F32D2">
        <w:rPr>
          <w:rStyle w:val="aff4"/>
          <w:rFonts w:hint="cs"/>
          <w:rtl/>
        </w:rPr>
        <w:t>קרן אורה במו"ק</w:t>
      </w:r>
      <w:r w:rsidRPr="004461C9">
        <w:rPr>
          <w:rStyle w:val="aff4"/>
          <w:rFonts w:hint="cs"/>
          <w:vanish/>
          <w:rtl/>
        </w:rPr>
        <w:t>-</w:t>
      </w:r>
      <w:r>
        <w:rPr>
          <w:rFonts w:hint="cs"/>
          <w:rtl/>
        </w:rPr>
        <w:t xml:space="preserve"> </w:t>
      </w:r>
      <w:r w:rsidRPr="002A0D0C">
        <w:rPr>
          <w:rStyle w:val="af2"/>
          <w:rFonts w:eastAsia="Guttman Hodes" w:hint="cs"/>
          <w:rtl/>
        </w:rPr>
        <w:t>(ג. ד"ה למאי)</w:t>
      </w:r>
      <w:r w:rsidRPr="004461C9">
        <w:rPr>
          <w:rFonts w:hint="cs"/>
          <w:vanish/>
          <w:rtl/>
        </w:rPr>
        <w:t>=</w:t>
      </w:r>
      <w:r>
        <w:rPr>
          <w:rFonts w:hint="cs"/>
          <w:rtl/>
        </w:rPr>
        <w:t xml:space="preserve"> דהא לענין שביעית איתא להדיא בגמ' במו"ק </w:t>
      </w:r>
      <w:r w:rsidRPr="002A0D0C">
        <w:rPr>
          <w:rStyle w:val="af2"/>
          <w:rFonts w:eastAsia="Guttman Hodes" w:hint="cs"/>
          <w:rtl/>
        </w:rPr>
        <w:t>(ג.)</w:t>
      </w:r>
      <w:r>
        <w:rPr>
          <w:rFonts w:hint="cs"/>
          <w:rtl/>
        </w:rPr>
        <w:t xml:space="preserve"> דהוי תולדות, דאמרינן דמהא דבשביעית כתיב </w:t>
      </w:r>
      <w:r w:rsidRPr="002A0D0C">
        <w:rPr>
          <w:rStyle w:val="af2"/>
          <w:rFonts w:eastAsia="Guttman Hodes" w:hint="cs"/>
          <w:rtl/>
        </w:rPr>
        <w:t>(</w:t>
      </w:r>
      <w:r w:rsidRPr="002A0D0C">
        <w:rPr>
          <w:rStyle w:val="af2"/>
          <w:rFonts w:eastAsia="Guttman Hodes"/>
          <w:rtl/>
        </w:rPr>
        <w:t xml:space="preserve">ויקרא פכ"ה </w:t>
      </w:r>
      <w:r w:rsidRPr="002A0D0C">
        <w:rPr>
          <w:rStyle w:val="af2"/>
          <w:rFonts w:eastAsia="Guttman Hodes" w:hint="cs"/>
          <w:rtl/>
        </w:rPr>
        <w:t>ד'</w:t>
      </w:r>
      <w:r w:rsidRPr="002A0D0C">
        <w:rPr>
          <w:rStyle w:val="af2"/>
          <w:rFonts w:eastAsia="Guttman Hodes"/>
          <w:rtl/>
        </w:rPr>
        <w:t>)</w:t>
      </w:r>
      <w:r>
        <w:rPr>
          <w:rFonts w:hint="cs"/>
          <w:rtl/>
        </w:rPr>
        <w:t xml:space="preserve"> "</w:t>
      </w:r>
      <w:r>
        <w:rPr>
          <w:rtl/>
        </w:rPr>
        <w:t>שדך לא תזרע וכרמך לא תזמר</w:t>
      </w:r>
      <w:r>
        <w:rPr>
          <w:rFonts w:hint="cs"/>
          <w:rtl/>
        </w:rPr>
        <w:t xml:space="preserve">", ילפינן דרק את התולדות דזמירה ובצירה אסורין בשביעית, </w:t>
      </w:r>
      <w:r w:rsidRPr="002A0D0C">
        <w:rPr>
          <w:rStyle w:val="af"/>
          <w:rtl/>
        </w:rPr>
        <w:t>[</w:t>
      </w:r>
      <w:r w:rsidRPr="002A0D0C">
        <w:rPr>
          <w:rStyle w:val="af"/>
          <w:rFonts w:hint="cs"/>
          <w:rtl/>
        </w:rPr>
        <w:t xml:space="preserve">וכן </w:t>
      </w:r>
      <w:r w:rsidRPr="002A0D0C">
        <w:rPr>
          <w:rStyle w:val="af"/>
          <w:rtl/>
        </w:rPr>
        <w:t xml:space="preserve">הקשה </w:t>
      </w:r>
      <w:r w:rsidRPr="001145E2">
        <w:rPr>
          <w:rStyle w:val="aff9"/>
          <w:vanish/>
          <w:rtl/>
        </w:rPr>
        <w:t>-</w:t>
      </w:r>
      <w:r w:rsidRPr="002A0D0C">
        <w:rPr>
          <w:rStyle w:val="aff9"/>
          <w:rtl/>
        </w:rPr>
        <w:t>השואל בשו"ת רבי בצלאל אשכנזי</w:t>
      </w:r>
      <w:r w:rsidRPr="001145E2">
        <w:rPr>
          <w:rStyle w:val="aff9"/>
          <w:vanish/>
          <w:rtl/>
        </w:rPr>
        <w:t>-</w:t>
      </w:r>
      <w:r w:rsidRPr="002A0D0C">
        <w:rPr>
          <w:rStyle w:val="af"/>
          <w:rtl/>
        </w:rPr>
        <w:t xml:space="preserve"> </w:t>
      </w:r>
      <w:r w:rsidRPr="002A0D0C">
        <w:rPr>
          <w:rStyle w:val="aff5"/>
          <w:rtl/>
        </w:rPr>
        <w:t xml:space="preserve">(עי' אות </w:t>
      </w:r>
      <w:r w:rsidRPr="002A0D0C">
        <w:rPr>
          <w:rStyle w:val="aff5"/>
          <w:rtl/>
        </w:rPr>
        <w:fldChar w:fldCharType="begin"/>
      </w:r>
      <w:r w:rsidRPr="002A0D0C">
        <w:rPr>
          <w:rStyle w:val="aff5"/>
          <w:rtl/>
        </w:rPr>
        <w:instrText xml:space="preserve"> </w:instrText>
      </w:r>
      <w:r w:rsidRPr="002A0D0C">
        <w:rPr>
          <w:rStyle w:val="aff5"/>
        </w:rPr>
        <w:instrText>REF</w:instrText>
      </w:r>
      <w:r w:rsidRPr="002A0D0C">
        <w:rPr>
          <w:rStyle w:val="aff5"/>
          <w:rtl/>
        </w:rPr>
        <w:instrText xml:space="preserve"> _</w:instrText>
      </w:r>
      <w:r w:rsidRPr="002A0D0C">
        <w:rPr>
          <w:rStyle w:val="aff5"/>
        </w:rPr>
        <w:instrText>Ref133335975 \r \h</w:instrText>
      </w:r>
      <w:r w:rsidRPr="002A0D0C">
        <w:rPr>
          <w:rStyle w:val="aff5"/>
          <w:rtl/>
        </w:rPr>
        <w:instrText xml:space="preserve">  \* </w:instrText>
      </w:r>
      <w:r w:rsidRPr="002A0D0C">
        <w:rPr>
          <w:rStyle w:val="aff5"/>
        </w:rPr>
        <w:instrText>MERGEFORMAT</w:instrText>
      </w:r>
      <w:r w:rsidRPr="002A0D0C">
        <w:rPr>
          <w:rStyle w:val="aff5"/>
          <w:rtl/>
        </w:rPr>
        <w:instrText xml:space="preserve"> </w:instrText>
      </w:r>
      <w:r w:rsidRPr="002A0D0C">
        <w:rPr>
          <w:rStyle w:val="aff5"/>
          <w:rtl/>
        </w:rPr>
      </w:r>
      <w:r w:rsidRPr="002A0D0C">
        <w:rPr>
          <w:rStyle w:val="aff5"/>
          <w:rtl/>
        </w:rPr>
        <w:fldChar w:fldCharType="separate"/>
      </w:r>
      <w:r w:rsidR="00D82181">
        <w:rPr>
          <w:rStyle w:val="aff5"/>
          <w:cs/>
        </w:rPr>
        <w:t>‎</w:t>
      </w:r>
      <w:r w:rsidR="00D82181">
        <w:rPr>
          <w:rStyle w:val="aff5"/>
          <w:rtl/>
        </w:rPr>
        <w:t>מג)</w:t>
      </w:r>
      <w:r w:rsidRPr="002A0D0C">
        <w:rPr>
          <w:rStyle w:val="aff5"/>
          <w:rtl/>
        </w:rPr>
        <w:fldChar w:fldCharType="end"/>
      </w:r>
      <w:r w:rsidRPr="002A0D0C">
        <w:rPr>
          <w:rStyle w:val="af"/>
          <w:rtl/>
        </w:rPr>
        <w:t xml:space="preserve"> על </w:t>
      </w:r>
      <w:r w:rsidRPr="001145E2">
        <w:rPr>
          <w:rStyle w:val="aff9"/>
          <w:vanish/>
          <w:rtl/>
        </w:rPr>
        <w:t>-</w:t>
      </w:r>
      <w:r w:rsidRPr="002A0D0C">
        <w:rPr>
          <w:rStyle w:val="aff9"/>
          <w:rtl/>
        </w:rPr>
        <w:t>הרמב"ם</w:t>
      </w:r>
      <w:r w:rsidRPr="001145E2">
        <w:rPr>
          <w:rStyle w:val="aff9"/>
          <w:vanish/>
          <w:rtl/>
        </w:rPr>
        <w:t>-</w:t>
      </w:r>
      <w:r w:rsidRPr="002A0D0C">
        <w:rPr>
          <w:rStyle w:val="af"/>
          <w:rtl/>
        </w:rPr>
        <w:t>]</w:t>
      </w:r>
      <w:r>
        <w:rPr>
          <w:rStyle w:val="af"/>
          <w:rtl/>
        </w:rPr>
        <w:t>.</w:t>
      </w:r>
      <w:r>
        <w:rPr>
          <w:rFonts w:hint="cs"/>
          <w:rtl/>
        </w:rPr>
        <w:t xml:space="preserve"> ותירץ </w:t>
      </w:r>
      <w:r w:rsidRPr="004461C9">
        <w:rPr>
          <w:rStyle w:val="aff4"/>
          <w:rFonts w:hint="cs"/>
          <w:vanish/>
          <w:rtl/>
        </w:rPr>
        <w:t>-</w:t>
      </w:r>
      <w:r w:rsidRPr="004F32D2">
        <w:rPr>
          <w:rStyle w:val="aff4"/>
          <w:rFonts w:hint="cs"/>
          <w:rtl/>
        </w:rPr>
        <w:t>הקרן אורה</w:t>
      </w:r>
      <w:r w:rsidRPr="004461C9">
        <w:rPr>
          <w:rStyle w:val="aff4"/>
          <w:rFonts w:hint="cs"/>
          <w:vanish/>
          <w:rtl/>
        </w:rPr>
        <w:t>-</w:t>
      </w:r>
      <w:r>
        <w:rPr>
          <w:rFonts w:hint="cs"/>
          <w:rtl/>
        </w:rPr>
        <w:t xml:space="preserve"> דהלשון "תולדות" אין הכוונה שהם ממש תולדות, אלא דלענין שביעית כתיב בקרא רק זריעה וקצירה, ואת כל התולדות ילפינן מכלל ופרט, </w:t>
      </w:r>
      <w:r w:rsidRPr="002A0D0C">
        <w:rPr>
          <w:rStyle w:val="af"/>
          <w:rFonts w:hint="cs"/>
          <w:rtl/>
        </w:rPr>
        <w:t xml:space="preserve">[עיי"ש במה שהוכיח </w:t>
      </w:r>
      <w:r w:rsidRPr="001145E2">
        <w:rPr>
          <w:rStyle w:val="aff9"/>
          <w:rFonts w:hint="cs"/>
          <w:vanish/>
          <w:rtl/>
        </w:rPr>
        <w:t>-</w:t>
      </w:r>
      <w:r w:rsidRPr="002A0D0C">
        <w:rPr>
          <w:rStyle w:val="aff9"/>
          <w:rFonts w:hint="cs"/>
          <w:rtl/>
        </w:rPr>
        <w:t>הקרן אורה</w:t>
      </w:r>
      <w:r w:rsidRPr="001145E2">
        <w:rPr>
          <w:rStyle w:val="aff9"/>
          <w:rFonts w:hint="cs"/>
          <w:vanish/>
          <w:rtl/>
        </w:rPr>
        <w:t>-</w:t>
      </w:r>
      <w:r w:rsidRPr="002A0D0C">
        <w:rPr>
          <w:rStyle w:val="af"/>
          <w:rFonts w:hint="cs"/>
          <w:rtl/>
        </w:rPr>
        <w:t xml:space="preserve"> כן]</w:t>
      </w:r>
      <w:r w:rsidRPr="00345748">
        <w:rPr>
          <w:rStyle w:val="af"/>
          <w:rFonts w:hint="cs"/>
          <w:rtl/>
        </w:rPr>
        <w:t>,</w:t>
      </w:r>
      <w:r>
        <w:rPr>
          <w:rFonts w:hint="cs"/>
          <w:rtl/>
        </w:rPr>
        <w:t xml:space="preserve"> ומהא דהוסיפה התורה זמירה ובצירה אעפ"י דזמירה ובצירה דמו ממש לאבות ומסברא ילפינן להו, מזה הוכיחה הגמ' דהחיוב בשביעית רק באבות, ובמקום שיש פרט וכלל ילפינן גם תולדות, אבל לענין שבת דכתיב "לא תעשה כל מלאכה", לכן התולדות הם בכלל האב מסברא וא"צ ילפותא לתולדות, לכן זומר דדמי לאב דזורע וכן בוצר לאב דקוצר הם בכלל האב עצמו, ולא דמי לשביעית דהם תולדה, וכעי"ז ביאר </w:t>
      </w:r>
      <w:r w:rsidRPr="00C444C9">
        <w:rPr>
          <w:rStyle w:val="aff4"/>
          <w:rFonts w:hint="cs"/>
          <w:vanish/>
          <w:rtl/>
        </w:rPr>
        <w:t>-</w:t>
      </w:r>
      <w:r w:rsidRPr="004F32D2">
        <w:rPr>
          <w:rStyle w:val="aff4"/>
          <w:rFonts w:hint="cs"/>
          <w:rtl/>
        </w:rPr>
        <w:t>בשו"ת רבי בצלאל אשכנזי</w:t>
      </w:r>
      <w:r w:rsidRPr="00C444C9">
        <w:rPr>
          <w:rStyle w:val="aff4"/>
          <w:rFonts w:hint="cs"/>
          <w:vanish/>
          <w:rtl/>
        </w:rPr>
        <w:t>-</w:t>
      </w:r>
      <w:r w:rsidRPr="00543D2F">
        <w:rPr>
          <w:rStyle w:val="aff4"/>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Ref133482563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מז)</w:t>
      </w:r>
      <w:r>
        <w:rPr>
          <w:rStyle w:val="af2"/>
          <w:rFonts w:eastAsia="Guttman Hodes"/>
          <w:rtl/>
        </w:rPr>
        <w:fldChar w:fldCharType="end"/>
      </w:r>
      <w:r>
        <w:rPr>
          <w:rFonts w:hint="cs"/>
          <w:rtl/>
        </w:rPr>
        <w:t>.</w:t>
      </w:r>
      <w:bookmarkEnd w:id="259"/>
    </w:p>
    <w:p w14:paraId="7BC98911" w14:textId="77777777" w:rsidR="009623A2" w:rsidRPr="00747170" w:rsidRDefault="009623A2" w:rsidP="00747170">
      <w:pPr>
        <w:pStyle w:val="a2"/>
      </w:pPr>
      <w:r w:rsidRPr="00747170">
        <w:rPr>
          <w:rtl/>
        </w:rPr>
        <w:t>גמרא, למאי הלכתא כו', למימרא דאהני תולדות מחייב אאחרנייתא לא מחייב. לישנא דהני תולדות אינו מדוקדק קצת, דהא זמירה ובצירה שניהם אבות הם כמבואר ברמב"ם ז"ל פ"ז מהלכות שבת (ה"ב - ד') ועיין בכסף משנה מש"כ בשם (הר"י קורקוס) [אולי צ"ל "הרמ"ך"] ז"ל. והנה רש"י ז"ל פירש לעיל ד"ה חרישה בשביעית מי שרי, הא נפקא מבחריש, דאמרינן אם אינו ענין לשבת כו', ולשונו ז"ל צריך ביאור, דר' עקיבא הכי קאמר אינו צריך לחריש וקציר של שביעית שהרי כבר נאמר שדך לא תזרע, משמע דשביעית עצמה (דלאו) [בלאו] קרא דבחריש כו' פשיטא ליה דאסור, ונראה כמו שכתבו התוס' לקמן (ד"ה אין) דיליף מכלל ופרט, וא"כ הכא נמי הא דסלקא דעתיה דהש"ס דחרישה אסירא היינו מחמת כלל ופרט, ועל כרחין צריך לומר כן, מדפשיטא ליה נמי דהשקאת מים אסורה, ולקמן בכל הני ברייתות משמע דלא שמעינן לכל תולדות אלא מכלל ופרט, כדאמרינן לקמן זריעה בכלל היתה ולמה יצאתה להקיש אליה, וכי תימא מאי שנא לענין שבת הוי התולדות בכלל האבות מסברא, והכא לענין שביעית ילפינן מכלל ופרט, ולא מסברא, משום דלענין שבת נאמר בתורה סתם לא תעשה כל מלאכה, והתולדות בכלל האבות הם, אבל גבי שביעית דאמרה תורה זריעה וקצירה בפרט לא שמעינן לתולדות מסברא אלא מכלל ופרט. והא דאמרינן מכדי זמירה בכלל זריעה ובצירה בכלל קצירה, ואם לא נאמרו מסברא שמעינן להו, היינו משום דאבות הם כמותן, וכמו שכתבתי לעיל, אבל כל שאר מלאכות דלא דמי לגמרי לזריעה ובצירה ודאי לא שמעינן אלא מכללא ופרטא.</w:t>
      </w:r>
    </w:p>
    <w:p w14:paraId="7D9C539F" w14:textId="0993C2C8" w:rsidR="009623A2" w:rsidRDefault="009623A2" w:rsidP="009623A2">
      <w:pPr>
        <w:pStyle w:val="afffff7"/>
        <w:rPr>
          <w:rtl/>
        </w:rPr>
      </w:pPr>
      <w:bookmarkStart w:id="260" w:name="_Toc133841659"/>
      <w:bookmarkStart w:id="261" w:name="_Toc163505407"/>
      <w:r>
        <w:rPr>
          <w:rtl/>
        </w:rPr>
        <w:t>אגלי טל מלאכת זורע</w:t>
      </w:r>
      <w:r>
        <w:rPr>
          <w:rFonts w:hint="cs"/>
          <w:rtl/>
        </w:rPr>
        <w:t xml:space="preserve"> סק"ו</w:t>
      </w:r>
      <w:bookmarkEnd w:id="260"/>
      <w:bookmarkEnd w:id="261"/>
    </w:p>
    <w:p w14:paraId="7141041A" w14:textId="77777777" w:rsidR="009623A2" w:rsidRDefault="009623A2" w:rsidP="009623A2">
      <w:pPr>
        <w:pStyle w:val="a7"/>
        <w:rPr>
          <w:rtl/>
        </w:rPr>
      </w:pPr>
      <w:bookmarkStart w:id="262" w:name="_Toc134419622"/>
      <w:r>
        <w:rPr>
          <w:rFonts w:hint="cs"/>
          <w:rtl/>
        </w:rPr>
        <w:t>קו' האגל"ט ברמב"ם דבמו"ק מפורש דזומר תולדה בשביעית ובוצר תולדה ולהרמב"ם הוי אב</w:t>
      </w:r>
      <w:bookmarkEnd w:id="262"/>
    </w:p>
    <w:p w14:paraId="664757B3" w14:textId="71262475" w:rsidR="009623A2" w:rsidRPr="005432A7" w:rsidRDefault="009623A2" w:rsidP="00BC7DC8">
      <w:pPr>
        <w:pStyle w:val="a3"/>
        <w:rPr>
          <w:rtl/>
        </w:rPr>
      </w:pPr>
      <w:bookmarkStart w:id="263" w:name="_Ref133361245"/>
      <w:r>
        <w:rPr>
          <w:rFonts w:hint="cs"/>
          <w:rtl/>
        </w:rPr>
        <w:t xml:space="preserve">בהא דנחלקו </w:t>
      </w:r>
      <w:r w:rsidRPr="00C444C9">
        <w:rPr>
          <w:rStyle w:val="aff4"/>
          <w:rFonts w:hint="cs"/>
          <w:vanish/>
          <w:rtl/>
        </w:rPr>
        <w:t>-</w:t>
      </w:r>
      <w:r w:rsidRPr="004F32D2">
        <w:rPr>
          <w:rStyle w:val="aff4"/>
          <w:rFonts w:hint="cs"/>
          <w:rtl/>
        </w:rPr>
        <w:t>רש"י</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Ref133481736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א)</w:t>
      </w:r>
      <w:r>
        <w:rPr>
          <w:rStyle w:val="af2"/>
          <w:rFonts w:eastAsia="Guttman Hodes"/>
          <w:rtl/>
        </w:rPr>
        <w:fldChar w:fldCharType="end"/>
      </w:r>
      <w:r>
        <w:rPr>
          <w:rFonts w:hint="cs"/>
          <w:rtl/>
        </w:rPr>
        <w:t xml:space="preserve"> </w:t>
      </w:r>
      <w:r w:rsidRPr="00C444C9">
        <w:rPr>
          <w:rStyle w:val="aff4"/>
          <w:rFonts w:hint="cs"/>
          <w:vanish/>
          <w:rtl/>
        </w:rPr>
        <w:t>-</w:t>
      </w:r>
      <w:r w:rsidRPr="004F32D2">
        <w:rPr>
          <w:rStyle w:val="aff4"/>
          <w:rFonts w:hint="cs"/>
          <w:rtl/>
        </w:rPr>
        <w:t>והרמב"ם</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Ref133477286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כט)</w:t>
      </w:r>
      <w:r>
        <w:rPr>
          <w:rStyle w:val="af2"/>
          <w:rFonts w:eastAsia="Guttman Hodes"/>
          <w:rtl/>
        </w:rPr>
        <w:fldChar w:fldCharType="end"/>
      </w:r>
      <w:r>
        <w:rPr>
          <w:rFonts w:hint="cs"/>
          <w:rtl/>
        </w:rPr>
        <w:t xml:space="preserve"> בדין זומר דלדעת </w:t>
      </w:r>
      <w:r w:rsidRPr="00C444C9">
        <w:rPr>
          <w:rStyle w:val="aff4"/>
          <w:rFonts w:hint="cs"/>
          <w:vanish/>
          <w:rtl/>
        </w:rPr>
        <w:t>-</w:t>
      </w:r>
      <w:r w:rsidRPr="004F32D2">
        <w:rPr>
          <w:rStyle w:val="aff4"/>
          <w:rFonts w:hint="cs"/>
          <w:rtl/>
        </w:rPr>
        <w:t>רש"י</w:t>
      </w:r>
      <w:r w:rsidRPr="00C444C9">
        <w:rPr>
          <w:rStyle w:val="aff4"/>
          <w:rFonts w:hint="cs"/>
          <w:vanish/>
          <w:rtl/>
        </w:rPr>
        <w:t>-</w:t>
      </w:r>
      <w:r>
        <w:rPr>
          <w:rFonts w:hint="cs"/>
          <w:rtl/>
        </w:rPr>
        <w:t xml:space="preserve"> הוא תולדה, </w:t>
      </w:r>
      <w:r w:rsidRPr="00C444C9">
        <w:rPr>
          <w:rStyle w:val="aff4"/>
          <w:rFonts w:hint="cs"/>
          <w:vanish/>
          <w:rtl/>
        </w:rPr>
        <w:t>-</w:t>
      </w:r>
      <w:r w:rsidRPr="004F32D2">
        <w:rPr>
          <w:rStyle w:val="aff4"/>
          <w:rFonts w:hint="cs"/>
          <w:rtl/>
        </w:rPr>
        <w:t>ולהרמב"ם</w:t>
      </w:r>
      <w:r w:rsidRPr="00C444C9">
        <w:rPr>
          <w:rStyle w:val="aff4"/>
          <w:rFonts w:hint="cs"/>
          <w:vanish/>
          <w:rtl/>
        </w:rPr>
        <w:t>-</w:t>
      </w:r>
      <w:r>
        <w:rPr>
          <w:rFonts w:hint="cs"/>
          <w:rtl/>
        </w:rPr>
        <w:t xml:space="preserve"> הוא אב, הקשה </w:t>
      </w:r>
      <w:r w:rsidRPr="00C444C9">
        <w:rPr>
          <w:rStyle w:val="aff4"/>
          <w:rFonts w:hint="cs"/>
          <w:vanish/>
          <w:rtl/>
        </w:rPr>
        <w:t>-</w:t>
      </w:r>
      <w:r w:rsidRPr="004F32D2">
        <w:rPr>
          <w:rStyle w:val="aff4"/>
          <w:rFonts w:hint="cs"/>
          <w:rtl/>
        </w:rPr>
        <w:t>ה</w:t>
      </w:r>
      <w:r w:rsidRPr="00C444C9">
        <w:rPr>
          <w:rStyle w:val="aff4"/>
          <w:rFonts w:hint="cs"/>
          <w:vanish/>
          <w:rtl/>
        </w:rPr>
        <w:t xml:space="preserve">&lt;. </w:t>
      </w:r>
      <w:r w:rsidRPr="00C444C9">
        <w:rPr>
          <w:rStyle w:val="aff4"/>
          <w:vanish/>
          <w:rtl/>
        </w:rPr>
        <w:fldChar w:fldCharType="begin"/>
      </w:r>
      <w:r w:rsidRPr="00C444C9">
        <w:rPr>
          <w:rStyle w:val="aff4"/>
          <w:vanish/>
          <w:rtl/>
        </w:rPr>
        <w:instrText xml:space="preserve"> </w:instrText>
      </w:r>
      <w:r w:rsidRPr="00C444C9">
        <w:rPr>
          <w:rStyle w:val="aff4"/>
          <w:rFonts w:hint="cs"/>
          <w:vanish/>
        </w:rPr>
        <w:instrText>REF</w:instrText>
      </w:r>
      <w:r w:rsidRPr="00C444C9">
        <w:rPr>
          <w:rStyle w:val="aff4"/>
          <w:rFonts w:hint="cs"/>
          <w:vanish/>
          <w:rtl/>
        </w:rPr>
        <w:instrText xml:space="preserve"> _</w:instrText>
      </w:r>
      <w:r w:rsidRPr="00C444C9">
        <w:rPr>
          <w:rStyle w:val="aff4"/>
          <w:rFonts w:hint="cs"/>
          <w:vanish/>
        </w:rPr>
        <w:instrText>Ref133361245 \r \h</w:instrText>
      </w:r>
      <w:r w:rsidRPr="00C444C9">
        <w:rPr>
          <w:rStyle w:val="aff4"/>
          <w:vanish/>
          <w:rtl/>
        </w:rPr>
        <w:instrText xml:space="preserve"> </w:instrText>
      </w:r>
      <w:r w:rsidRPr="00C444C9">
        <w:rPr>
          <w:rStyle w:val="aff4"/>
          <w:vanish/>
          <w:rtl/>
        </w:rPr>
      </w:r>
      <w:r w:rsidRPr="00C444C9">
        <w:rPr>
          <w:rStyle w:val="aff4"/>
          <w:vanish/>
          <w:rtl/>
        </w:rPr>
        <w:fldChar w:fldCharType="separate"/>
      </w:r>
      <w:r w:rsidR="00D82181">
        <w:rPr>
          <w:rStyle w:val="aff4"/>
          <w:vanish/>
          <w:cs/>
        </w:rPr>
        <w:t>‎</w:t>
      </w:r>
      <w:r w:rsidR="00D82181">
        <w:rPr>
          <w:rStyle w:val="aff4"/>
          <w:vanish/>
          <w:rtl/>
        </w:rPr>
        <w:t>מט)</w:t>
      </w:r>
      <w:r w:rsidRPr="00C444C9">
        <w:rPr>
          <w:rStyle w:val="aff4"/>
          <w:vanish/>
          <w:rtl/>
        </w:rPr>
        <w:fldChar w:fldCharType="end"/>
      </w:r>
      <w:r w:rsidRPr="00C444C9">
        <w:rPr>
          <w:rStyle w:val="aff4"/>
          <w:rFonts w:hint="cs"/>
          <w:vanish/>
          <w:rtl/>
        </w:rPr>
        <w:t xml:space="preserve"> &gt;</w:t>
      </w:r>
      <w:r w:rsidRPr="004F32D2">
        <w:rPr>
          <w:rStyle w:val="aff4"/>
          <w:rFonts w:hint="cs"/>
          <w:rtl/>
        </w:rPr>
        <w:t>אגלי טל</w:t>
      </w:r>
      <w:r w:rsidRPr="00C444C9">
        <w:rPr>
          <w:rStyle w:val="aff4"/>
          <w:rFonts w:hint="cs"/>
          <w:vanish/>
          <w:rtl/>
        </w:rPr>
        <w:t>-</w:t>
      </w:r>
      <w:r>
        <w:rPr>
          <w:rFonts w:hint="cs"/>
          <w:rtl/>
        </w:rPr>
        <w:t xml:space="preserve"> </w:t>
      </w:r>
      <w:r w:rsidRPr="002A0D0C">
        <w:rPr>
          <w:rStyle w:val="af2"/>
          <w:rFonts w:eastAsia="Guttman Hodes" w:hint="cs"/>
          <w:rtl/>
        </w:rPr>
        <w:t>(זורע סק"ו)</w:t>
      </w:r>
      <w:r w:rsidRPr="00753705">
        <w:rPr>
          <w:rFonts w:hint="cs"/>
          <w:vanish/>
          <w:rtl/>
        </w:rPr>
        <w:t>=</w:t>
      </w:r>
      <w:r>
        <w:rPr>
          <w:rFonts w:hint="cs"/>
          <w:rtl/>
        </w:rPr>
        <w:t xml:space="preserve"> דבגמ' במו"ק </w:t>
      </w:r>
      <w:r w:rsidRPr="002A0D0C">
        <w:rPr>
          <w:rStyle w:val="af2"/>
          <w:rFonts w:eastAsia="Guttman Hodes" w:hint="cs"/>
          <w:rtl/>
        </w:rPr>
        <w:t>(ג.)</w:t>
      </w:r>
      <w:r>
        <w:rPr>
          <w:rFonts w:hint="cs"/>
          <w:rtl/>
        </w:rPr>
        <w:t xml:space="preserve"> איתא להדיא כדעת </w:t>
      </w:r>
      <w:r w:rsidRPr="00C444C9">
        <w:rPr>
          <w:rStyle w:val="aff4"/>
          <w:rFonts w:hint="cs"/>
          <w:vanish/>
          <w:rtl/>
        </w:rPr>
        <w:t>-</w:t>
      </w:r>
      <w:r w:rsidRPr="004F32D2">
        <w:rPr>
          <w:rStyle w:val="aff4"/>
          <w:rFonts w:hint="cs"/>
          <w:rtl/>
        </w:rPr>
        <w:t>רש"י</w:t>
      </w:r>
      <w:r w:rsidRPr="00C444C9">
        <w:rPr>
          <w:rStyle w:val="aff4"/>
          <w:rFonts w:hint="cs"/>
          <w:vanish/>
          <w:rtl/>
        </w:rPr>
        <w:t>-</w:t>
      </w:r>
      <w:r>
        <w:rPr>
          <w:rFonts w:hint="cs"/>
          <w:rtl/>
        </w:rPr>
        <w:t xml:space="preserve"> דלענין שביעית זומר הוא תולדה, ועוד הקשה </w:t>
      </w:r>
      <w:r w:rsidRPr="00C444C9">
        <w:rPr>
          <w:rStyle w:val="aff4"/>
          <w:rFonts w:hint="cs"/>
          <w:vanish/>
          <w:rtl/>
        </w:rPr>
        <w:t>-</w:t>
      </w:r>
      <w:r w:rsidRPr="004F32D2">
        <w:rPr>
          <w:rStyle w:val="aff4"/>
          <w:rFonts w:hint="cs"/>
          <w:rtl/>
        </w:rPr>
        <w:t>האגלי טל</w:t>
      </w:r>
      <w:r w:rsidRPr="00C444C9">
        <w:rPr>
          <w:rStyle w:val="aff4"/>
          <w:rFonts w:hint="cs"/>
          <w:vanish/>
          <w:rtl/>
        </w:rPr>
        <w:t>-</w:t>
      </w:r>
      <w:r>
        <w:rPr>
          <w:rFonts w:hint="cs"/>
          <w:rtl/>
        </w:rPr>
        <w:t xml:space="preserve"> דבגמ' במו"ק מבואר דלענין שביעית בוצר הוא תולדה של קוצר, ואילו לענין שבת, כתב </w:t>
      </w:r>
      <w:r w:rsidRPr="00C444C9">
        <w:rPr>
          <w:rStyle w:val="aff4"/>
          <w:rFonts w:hint="cs"/>
          <w:vanish/>
          <w:rtl/>
        </w:rPr>
        <w:t>-</w:t>
      </w:r>
      <w:r w:rsidRPr="004F32D2">
        <w:rPr>
          <w:rStyle w:val="aff4"/>
          <w:rFonts w:hint="cs"/>
          <w:rtl/>
        </w:rPr>
        <w:t>הרמב"ם</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Ref130240129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w:t>
      </w:r>
      <w:r>
        <w:rPr>
          <w:rStyle w:val="af2"/>
          <w:rFonts w:eastAsia="Guttman Hodes"/>
          <w:rtl/>
        </w:rPr>
        <w:fldChar w:fldCharType="end"/>
      </w:r>
      <w:r>
        <w:rPr>
          <w:rFonts w:hint="cs"/>
          <w:rtl/>
        </w:rPr>
        <w:t xml:space="preserve"> דהוא אב של קוצר.</w:t>
      </w:r>
      <w:bookmarkEnd w:id="263"/>
    </w:p>
    <w:p w14:paraId="59FC4A6A" w14:textId="77777777" w:rsidR="009623A2" w:rsidRPr="00747170" w:rsidRDefault="009623A2" w:rsidP="00747170">
      <w:pPr>
        <w:pStyle w:val="a2"/>
        <w:rPr>
          <w:rtl/>
        </w:rPr>
      </w:pPr>
      <w:r w:rsidRPr="00747170">
        <w:rPr>
          <w:rtl/>
        </w:rPr>
        <w:t>(ו) אך מה שכתב רש"י ז"ל הנ"ל דמבריך ומרכיב נמי חשיבי אב ורמב"ם פ"ז מה"ש ה"ג הוסיף נמי זומר. ובש"ס דמ"ק הנ"ל משמע להיפך. ועוד שבמלאכת קצירה חשיב הרמב"ם הבוצר אב כמו קוצר ובש"ס מ"ק הנ"ל הא מפורש דהוי תולדה.</w:t>
      </w:r>
    </w:p>
    <w:p w14:paraId="3EBF9CEC" w14:textId="1A6A31F7" w:rsidR="009623A2" w:rsidRDefault="009623A2" w:rsidP="009623A2">
      <w:pPr>
        <w:pStyle w:val="a7"/>
        <w:rPr>
          <w:rtl/>
        </w:rPr>
      </w:pPr>
      <w:bookmarkStart w:id="264" w:name="_Toc134419623"/>
      <w:r>
        <w:rPr>
          <w:rFonts w:hint="cs"/>
          <w:rtl/>
        </w:rPr>
        <w:t>בי' האגל"ט דלשבת תלוי במלאכת מחשבת וכל מלאכה שהיא באותה כוונה של האב הוי אב</w:t>
      </w:r>
      <w:bookmarkEnd w:id="264"/>
    </w:p>
    <w:p w14:paraId="57F3F076" w14:textId="05B861AF" w:rsidR="009623A2" w:rsidRDefault="009623A2" w:rsidP="00BC7DC8">
      <w:pPr>
        <w:pStyle w:val="a3"/>
      </w:pPr>
      <w:bookmarkStart w:id="265" w:name="_Ref133837249"/>
      <w:r>
        <w:rPr>
          <w:rFonts w:hint="cs"/>
          <w:rtl/>
        </w:rPr>
        <w:t xml:space="preserve">ותירץ </w:t>
      </w:r>
      <w:r w:rsidRPr="00C444C9">
        <w:rPr>
          <w:rStyle w:val="aff4"/>
          <w:rFonts w:hint="cs"/>
          <w:vanish/>
          <w:rtl/>
        </w:rPr>
        <w:t>-</w:t>
      </w:r>
      <w:r w:rsidRPr="004F32D2">
        <w:rPr>
          <w:rStyle w:val="aff4"/>
          <w:rFonts w:hint="cs"/>
          <w:rtl/>
        </w:rPr>
        <w:t>האגלי טל</w:t>
      </w:r>
      <w:r w:rsidRPr="00C444C9">
        <w:rPr>
          <w:rStyle w:val="aff4"/>
          <w:rFonts w:hint="cs"/>
          <w:vanish/>
          <w:rtl/>
        </w:rPr>
        <w:t>-</w:t>
      </w:r>
      <w:r>
        <w:rPr>
          <w:rFonts w:hint="cs"/>
          <w:rtl/>
        </w:rPr>
        <w:t xml:space="preserve"> דס"ל </w:t>
      </w:r>
      <w:r w:rsidRPr="00C444C9">
        <w:rPr>
          <w:rStyle w:val="aff4"/>
          <w:rFonts w:hint="cs"/>
          <w:vanish/>
          <w:rtl/>
        </w:rPr>
        <w:t>-</w:t>
      </w:r>
      <w:r w:rsidRPr="004F32D2">
        <w:rPr>
          <w:rStyle w:val="aff4"/>
          <w:rFonts w:hint="cs"/>
          <w:rtl/>
        </w:rPr>
        <w:t>להרמב"ם</w:t>
      </w:r>
      <w:r w:rsidRPr="00C444C9">
        <w:rPr>
          <w:rStyle w:val="aff4"/>
          <w:rFonts w:hint="cs"/>
          <w:vanish/>
          <w:rtl/>
        </w:rPr>
        <w:t>-</w:t>
      </w:r>
      <w:r>
        <w:rPr>
          <w:rFonts w:hint="cs"/>
          <w:rtl/>
        </w:rPr>
        <w:t xml:space="preserve"> לענין שבת דמלאכת מחשבת אסרה תורה, כל שהמלאכה היא באותה הכוונה של האב, חשיב אב</w:t>
      </w:r>
      <w:r w:rsidRPr="00282A1A">
        <w:rPr>
          <w:rFonts w:hint="cs"/>
          <w:rtl/>
        </w:rPr>
        <w:t xml:space="preserve"> </w:t>
      </w:r>
      <w:r>
        <w:rPr>
          <w:rFonts w:hint="cs"/>
          <w:rtl/>
        </w:rPr>
        <w:t xml:space="preserve">אף שהמעשה עצמו חלוק במקצת מהאב, מ"מ כיון שהכוונה בשניהם היא אחת הוי אב, ולכן זומר הוא אב דזורע, כדכתב </w:t>
      </w:r>
      <w:r w:rsidRPr="00C444C9">
        <w:rPr>
          <w:rStyle w:val="aff4"/>
          <w:rFonts w:hint="cs"/>
          <w:vanish/>
          <w:rtl/>
        </w:rPr>
        <w:lastRenderedPageBreak/>
        <w:t>-</w:t>
      </w:r>
      <w:r w:rsidRPr="004F32D2">
        <w:rPr>
          <w:rStyle w:val="aff4"/>
          <w:rFonts w:hint="cs"/>
          <w:rtl/>
        </w:rPr>
        <w:t>הרמב"ם</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Ref133477286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כט)</w:t>
      </w:r>
      <w:r>
        <w:rPr>
          <w:rStyle w:val="af2"/>
          <w:rFonts w:eastAsia="Guttman Hodes"/>
          <w:rtl/>
        </w:rPr>
        <w:fldChar w:fldCharType="end"/>
      </w:r>
      <w:r>
        <w:rPr>
          <w:rFonts w:hint="cs"/>
          <w:rtl/>
        </w:rPr>
        <w:t xml:space="preserve"> דבשניהם כוונתו להצמיח, ובוצר הוא אב דקוצר, כדכתב </w:t>
      </w:r>
      <w:r w:rsidRPr="00C444C9">
        <w:rPr>
          <w:rStyle w:val="aff4"/>
          <w:rFonts w:hint="cs"/>
          <w:vanish/>
          <w:rtl/>
        </w:rPr>
        <w:t>-</w:t>
      </w:r>
      <w:r w:rsidRPr="004F32D2">
        <w:rPr>
          <w:rStyle w:val="aff4"/>
          <w:rFonts w:hint="cs"/>
          <w:rtl/>
        </w:rPr>
        <w:t>הרמב"ם</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Ref130240129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w:t>
      </w:r>
      <w:r>
        <w:rPr>
          <w:rStyle w:val="af2"/>
          <w:rFonts w:eastAsia="Guttman Hodes"/>
          <w:rtl/>
        </w:rPr>
        <w:fldChar w:fldCharType="end"/>
      </w:r>
      <w:r>
        <w:rPr>
          <w:rFonts w:hint="cs"/>
          <w:rtl/>
        </w:rPr>
        <w:t xml:space="preserve"> דבשניהם כוונתו לעקור דבר מגידולו, ועי' במ"ש בזה </w:t>
      </w:r>
      <w:r w:rsidRPr="00C444C9">
        <w:rPr>
          <w:rStyle w:val="aff4"/>
          <w:rFonts w:hint="cs"/>
          <w:vanish/>
          <w:rtl/>
        </w:rPr>
        <w:t>-</w:t>
      </w:r>
      <w:r w:rsidRPr="004F32D2">
        <w:rPr>
          <w:rStyle w:val="aff4"/>
          <w:rFonts w:hint="cs"/>
          <w:rtl/>
        </w:rPr>
        <w:t xml:space="preserve">בכתבי קה"י </w:t>
      </w:r>
      <w:r>
        <w:rPr>
          <w:rStyle w:val="aff4"/>
          <w:rFonts w:hint="cs"/>
          <w:rtl/>
        </w:rPr>
        <w:t>ב</w:t>
      </w:r>
      <w:r w:rsidRPr="004F32D2">
        <w:rPr>
          <w:rStyle w:val="aff4"/>
          <w:rFonts w:hint="cs"/>
          <w:rtl/>
        </w:rPr>
        <w:t>מועד</w:t>
      </w:r>
      <w:r w:rsidRPr="00C444C9">
        <w:rPr>
          <w:rStyle w:val="aff4"/>
          <w:rFonts w:hint="cs"/>
          <w:vanish/>
          <w:rtl/>
        </w:rPr>
        <w:t>-</w:t>
      </w:r>
      <w:r>
        <w:rPr>
          <w:rFonts w:hint="cs"/>
          <w:rtl/>
        </w:rPr>
        <w:t xml:space="preserve"> </w:t>
      </w:r>
      <w:r>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Ref133837310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קכו)</w:t>
      </w:r>
      <w:r>
        <w:rPr>
          <w:rStyle w:val="af2"/>
          <w:rFonts w:eastAsia="Guttman Hodes"/>
          <w:rtl/>
        </w:rPr>
        <w:fldChar w:fldCharType="end"/>
      </w:r>
      <w:r>
        <w:rPr>
          <w:rFonts w:hint="cs"/>
          <w:rtl/>
        </w:rPr>
        <w:t>.</w:t>
      </w:r>
      <w:bookmarkEnd w:id="265"/>
    </w:p>
    <w:p w14:paraId="445CB9D5" w14:textId="77777777" w:rsidR="009623A2" w:rsidRPr="00747170" w:rsidRDefault="009623A2" w:rsidP="00747170">
      <w:pPr>
        <w:pStyle w:val="a2"/>
        <w:rPr>
          <w:rtl/>
        </w:rPr>
      </w:pPr>
      <w:r w:rsidRPr="00747170">
        <w:rPr>
          <w:rtl/>
        </w:rPr>
        <w:t>והנ"ל בזה דיש חילוק בין שבת לשביעית דהנה זה לשון הרמב"ם פ"ז מה"ש הלכה ג' ד' גבי מבריך ומרכיב וזומר שהם אב כמו הזורע שכל אחת מהם לצמח דבר הוא מתכוין. וכן גבי בוצר גודר מוסק אורה שהם אב כמו הקוצר שכל אחת לעקור דבר מגידולו מתכוין. הנה מבואר דחשוב אב משום שהכוונה אחת. והיינו שהמעשה באמת מוחלק קצת ולא היה ראוי להחשב רק תולדה. אך משום שהכוונה אחת הוי אב. והתינח לענין שבת דמלאכת מחשבת אסרה תורה אזלינן בתר הכוונה.</w:t>
      </w:r>
    </w:p>
    <w:p w14:paraId="3451E77D" w14:textId="679CA58D" w:rsidR="009623A2" w:rsidRPr="000C1ED4" w:rsidRDefault="009623A2" w:rsidP="009623A2">
      <w:pPr>
        <w:pStyle w:val="a7"/>
      </w:pPr>
      <w:bookmarkStart w:id="266" w:name="_Toc134419624"/>
      <w:r>
        <w:rPr>
          <w:rFonts w:hint="cs"/>
          <w:rtl/>
        </w:rPr>
        <w:t>בי' האגל"ט דבשביעית א"צ מלאכת מחשבת ומלאכה שחלוקה במעשה מהאב הוי תולדה</w:t>
      </w:r>
      <w:bookmarkEnd w:id="266"/>
    </w:p>
    <w:p w14:paraId="452A6859" w14:textId="77777777" w:rsidR="009623A2" w:rsidRPr="005B6010" w:rsidRDefault="009623A2" w:rsidP="00BC7DC8">
      <w:pPr>
        <w:pStyle w:val="a3"/>
      </w:pPr>
      <w:r>
        <w:rPr>
          <w:rFonts w:hint="cs"/>
          <w:rtl/>
        </w:rPr>
        <w:t xml:space="preserve">אבל לענין שביעית הביא </w:t>
      </w:r>
      <w:r w:rsidRPr="00C444C9">
        <w:rPr>
          <w:rStyle w:val="aff4"/>
          <w:rFonts w:hint="cs"/>
          <w:vanish/>
          <w:rtl/>
        </w:rPr>
        <w:t>-</w:t>
      </w:r>
      <w:r w:rsidRPr="004F32D2">
        <w:rPr>
          <w:rStyle w:val="aff4"/>
          <w:rFonts w:hint="cs"/>
          <w:rtl/>
        </w:rPr>
        <w:t>האגלי טל</w:t>
      </w:r>
      <w:r w:rsidRPr="00C444C9">
        <w:rPr>
          <w:rStyle w:val="aff4"/>
          <w:rFonts w:hint="cs"/>
          <w:vanish/>
          <w:rtl/>
        </w:rPr>
        <w:t>-</w:t>
      </w:r>
      <w:r>
        <w:rPr>
          <w:rFonts w:hint="cs"/>
          <w:rtl/>
        </w:rPr>
        <w:t xml:space="preserve"> את דברי </w:t>
      </w:r>
      <w:r w:rsidRPr="00C444C9">
        <w:rPr>
          <w:rStyle w:val="aff4"/>
          <w:rFonts w:hint="cs"/>
          <w:vanish/>
          <w:rtl/>
        </w:rPr>
        <w:t>-</w:t>
      </w:r>
      <w:r w:rsidRPr="004F32D2">
        <w:rPr>
          <w:rStyle w:val="aff4"/>
          <w:rFonts w:hint="cs"/>
          <w:rtl/>
        </w:rPr>
        <w:t>התוס' במו"ק</w:t>
      </w:r>
      <w:r w:rsidRPr="00C444C9">
        <w:rPr>
          <w:rStyle w:val="aff4"/>
          <w:rFonts w:hint="cs"/>
          <w:vanish/>
          <w:rtl/>
        </w:rPr>
        <w:t>-</w:t>
      </w:r>
      <w:r>
        <w:rPr>
          <w:rFonts w:hint="cs"/>
          <w:rtl/>
        </w:rPr>
        <w:t xml:space="preserve"> </w:t>
      </w:r>
      <w:r w:rsidRPr="002A0D0C">
        <w:rPr>
          <w:rStyle w:val="af2"/>
          <w:rFonts w:eastAsia="Guttman Hodes" w:hint="cs"/>
          <w:rtl/>
        </w:rPr>
        <w:t>(יג. ד"ה נטייבה או נדיירה)</w:t>
      </w:r>
      <w:r>
        <w:rPr>
          <w:rFonts w:hint="cs"/>
          <w:rtl/>
        </w:rPr>
        <w:t xml:space="preserve"> דכתבו דלענין שביעית לא בעינן מלאכת מחשבת, וכתב </w:t>
      </w:r>
      <w:r w:rsidRPr="00C444C9">
        <w:rPr>
          <w:rStyle w:val="aff4"/>
          <w:rFonts w:hint="cs"/>
          <w:vanish/>
          <w:rtl/>
        </w:rPr>
        <w:t>-</w:t>
      </w:r>
      <w:r w:rsidRPr="004F32D2">
        <w:rPr>
          <w:rStyle w:val="aff4"/>
          <w:rFonts w:hint="cs"/>
          <w:rtl/>
        </w:rPr>
        <w:t>האגלי טל</w:t>
      </w:r>
      <w:r w:rsidRPr="00C444C9">
        <w:rPr>
          <w:rStyle w:val="aff4"/>
          <w:rFonts w:hint="cs"/>
          <w:vanish/>
          <w:rtl/>
        </w:rPr>
        <w:t>-</w:t>
      </w:r>
      <w:r>
        <w:rPr>
          <w:rFonts w:hint="cs"/>
          <w:rtl/>
        </w:rPr>
        <w:t xml:space="preserve"> דלכן אף דהכוונה בשניהם היא אותה הכוונה, מ"מ כיון דהמעשה חלוק הוי תולדה ולא אב.</w:t>
      </w:r>
    </w:p>
    <w:p w14:paraId="06F1F22E" w14:textId="77777777" w:rsidR="009623A2" w:rsidRPr="00747170" w:rsidRDefault="009623A2" w:rsidP="00747170">
      <w:pPr>
        <w:pStyle w:val="a2"/>
        <w:rPr>
          <w:rtl/>
        </w:rPr>
      </w:pPr>
      <w:r w:rsidRPr="00747170">
        <w:rPr>
          <w:rtl/>
        </w:rPr>
        <w:t xml:space="preserve">אבל לענין שביעית דכתבו התוס' מ"ק י"ג. סד"ה נטייבה דגבי שביעית לא בעינן מלאכת מחשבת וכיון דאין דין מלאכת מחשבת בשביעית ע"כ לא הויין אב רק תולדה. דכל עיקר דחשיבי הני אב הוא רק משום דמלאכת מחשבת אסרה תורה והמחשבה אחת הוא כמבואר בלשון הרמב"ם הנ"ל. מה שאין לומר כן בשביעית. ועי' מהרש"א סנהדרין כ"ו.: </w:t>
      </w:r>
    </w:p>
    <w:p w14:paraId="0AE48C01" w14:textId="260D8A90" w:rsidR="009623A2" w:rsidRDefault="009623A2" w:rsidP="009623A2">
      <w:pPr>
        <w:pStyle w:val="afffff7"/>
        <w:rPr>
          <w:rtl/>
        </w:rPr>
      </w:pPr>
      <w:bookmarkStart w:id="267" w:name="_Toc133841660"/>
      <w:bookmarkStart w:id="268" w:name="_Toc163505408"/>
      <w:r>
        <w:rPr>
          <w:rtl/>
        </w:rPr>
        <w:t>אגלי טל באורים מלאכת זורע</w:t>
      </w:r>
      <w:r>
        <w:rPr>
          <w:rFonts w:hint="cs"/>
          <w:rtl/>
        </w:rPr>
        <w:t xml:space="preserve"> סק"ד</w:t>
      </w:r>
      <w:bookmarkEnd w:id="267"/>
      <w:bookmarkEnd w:id="268"/>
    </w:p>
    <w:p w14:paraId="7CDBCC2A" w14:textId="77777777" w:rsidR="009623A2" w:rsidRDefault="009623A2" w:rsidP="009623A2">
      <w:pPr>
        <w:pStyle w:val="a7"/>
        <w:rPr>
          <w:rtl/>
        </w:rPr>
      </w:pPr>
      <w:bookmarkStart w:id="269" w:name="_Toc134419625"/>
      <w:r>
        <w:rPr>
          <w:rFonts w:hint="cs"/>
          <w:rtl/>
        </w:rPr>
        <w:t>בי' האגל"ט דלדינא ל"פ רש"י והרמב"ם בזומר ונח' מהו נקרא מלאכת זומר</w:t>
      </w:r>
      <w:bookmarkEnd w:id="269"/>
    </w:p>
    <w:p w14:paraId="1734643E" w14:textId="4788347A" w:rsidR="009623A2" w:rsidRPr="00675ECF" w:rsidRDefault="009623A2" w:rsidP="00BC7DC8">
      <w:pPr>
        <w:pStyle w:val="a3"/>
        <w:rPr>
          <w:rtl/>
        </w:rPr>
      </w:pPr>
      <w:bookmarkStart w:id="270" w:name="_Ref133361268"/>
      <w:r>
        <w:rPr>
          <w:rFonts w:hint="cs"/>
          <w:rtl/>
        </w:rPr>
        <w:t xml:space="preserve">ועוד כתב </w:t>
      </w:r>
      <w:r w:rsidRPr="00C444C9">
        <w:rPr>
          <w:rStyle w:val="aff4"/>
          <w:rFonts w:hint="cs"/>
          <w:vanish/>
          <w:rtl/>
        </w:rPr>
        <w:t>-</w:t>
      </w:r>
      <w:r w:rsidRPr="004F32D2">
        <w:rPr>
          <w:rStyle w:val="aff4"/>
          <w:rFonts w:hint="cs"/>
          <w:rtl/>
        </w:rPr>
        <w:t>ה</w:t>
      </w:r>
      <w:r w:rsidRPr="00C444C9">
        <w:rPr>
          <w:rStyle w:val="aff4"/>
          <w:rFonts w:hint="cs"/>
          <w:vanish/>
          <w:rtl/>
        </w:rPr>
        <w:t xml:space="preserve">&lt;. </w:t>
      </w:r>
      <w:r w:rsidRPr="00C444C9">
        <w:rPr>
          <w:rStyle w:val="aff4"/>
          <w:vanish/>
          <w:rtl/>
        </w:rPr>
        <w:fldChar w:fldCharType="begin"/>
      </w:r>
      <w:r w:rsidRPr="00C444C9">
        <w:rPr>
          <w:rStyle w:val="aff4"/>
          <w:vanish/>
          <w:rtl/>
        </w:rPr>
        <w:instrText xml:space="preserve"> </w:instrText>
      </w:r>
      <w:r w:rsidRPr="00C444C9">
        <w:rPr>
          <w:rStyle w:val="aff4"/>
          <w:rFonts w:hint="cs"/>
          <w:vanish/>
        </w:rPr>
        <w:instrText>REF</w:instrText>
      </w:r>
      <w:r w:rsidRPr="00C444C9">
        <w:rPr>
          <w:rStyle w:val="aff4"/>
          <w:rFonts w:hint="cs"/>
          <w:vanish/>
          <w:rtl/>
        </w:rPr>
        <w:instrText xml:space="preserve"> _</w:instrText>
      </w:r>
      <w:r w:rsidRPr="00C444C9">
        <w:rPr>
          <w:rStyle w:val="aff4"/>
          <w:rFonts w:hint="cs"/>
          <w:vanish/>
        </w:rPr>
        <w:instrText>Ref133361268 \r \h</w:instrText>
      </w:r>
      <w:r w:rsidRPr="00C444C9">
        <w:rPr>
          <w:rStyle w:val="aff4"/>
          <w:vanish/>
          <w:rtl/>
        </w:rPr>
        <w:instrText xml:space="preserve"> </w:instrText>
      </w:r>
      <w:r w:rsidRPr="00C444C9">
        <w:rPr>
          <w:rStyle w:val="aff4"/>
          <w:vanish/>
          <w:rtl/>
        </w:rPr>
      </w:r>
      <w:r w:rsidRPr="00C444C9">
        <w:rPr>
          <w:rStyle w:val="aff4"/>
          <w:vanish/>
          <w:rtl/>
        </w:rPr>
        <w:fldChar w:fldCharType="separate"/>
      </w:r>
      <w:r w:rsidR="00D82181">
        <w:rPr>
          <w:rStyle w:val="aff4"/>
          <w:vanish/>
          <w:cs/>
        </w:rPr>
        <w:t>‎</w:t>
      </w:r>
      <w:r w:rsidR="00D82181">
        <w:rPr>
          <w:rStyle w:val="aff4"/>
          <w:vanish/>
          <w:rtl/>
        </w:rPr>
        <w:t>נב)</w:t>
      </w:r>
      <w:r w:rsidRPr="00C444C9">
        <w:rPr>
          <w:rStyle w:val="aff4"/>
          <w:vanish/>
          <w:rtl/>
        </w:rPr>
        <w:fldChar w:fldCharType="end"/>
      </w:r>
      <w:r w:rsidRPr="00C444C9">
        <w:rPr>
          <w:rStyle w:val="aff4"/>
          <w:rFonts w:hint="cs"/>
          <w:vanish/>
          <w:rtl/>
        </w:rPr>
        <w:t xml:space="preserve"> &gt;</w:t>
      </w:r>
      <w:r w:rsidRPr="004F32D2">
        <w:rPr>
          <w:rStyle w:val="aff4"/>
          <w:rFonts w:hint="cs"/>
          <w:rtl/>
        </w:rPr>
        <w:t>אגלי טל</w:t>
      </w:r>
      <w:r w:rsidRPr="00C444C9">
        <w:rPr>
          <w:rStyle w:val="aff4"/>
          <w:rFonts w:hint="cs"/>
          <w:vanish/>
          <w:rtl/>
        </w:rPr>
        <w:t>-</w:t>
      </w:r>
      <w:r>
        <w:rPr>
          <w:rFonts w:hint="cs"/>
          <w:rtl/>
        </w:rPr>
        <w:t xml:space="preserve"> </w:t>
      </w:r>
      <w:r w:rsidRPr="002A0D0C">
        <w:rPr>
          <w:rStyle w:val="af2"/>
          <w:rFonts w:eastAsia="Guttman Hodes" w:hint="cs"/>
          <w:rtl/>
        </w:rPr>
        <w:t>(זורע סק"ד)</w:t>
      </w:r>
      <w:r w:rsidRPr="00350A80">
        <w:rPr>
          <w:rFonts w:hint="cs"/>
          <w:vanish/>
          <w:rtl/>
        </w:rPr>
        <w:t>=</w:t>
      </w:r>
      <w:r>
        <w:rPr>
          <w:rFonts w:hint="cs"/>
          <w:rtl/>
        </w:rPr>
        <w:t xml:space="preserve"> דאעפ"י </w:t>
      </w:r>
      <w:r w:rsidRPr="00C444C9">
        <w:rPr>
          <w:rStyle w:val="aff4"/>
          <w:rFonts w:hint="cs"/>
          <w:vanish/>
          <w:rtl/>
        </w:rPr>
        <w:t>-</w:t>
      </w:r>
      <w:r w:rsidRPr="004F32D2">
        <w:rPr>
          <w:rStyle w:val="aff4"/>
          <w:rFonts w:hint="cs"/>
          <w:rtl/>
        </w:rPr>
        <w:t>דרש"י</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Ref133481736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א)</w:t>
      </w:r>
      <w:r>
        <w:rPr>
          <w:rStyle w:val="af2"/>
          <w:rFonts w:eastAsia="Guttman Hodes"/>
          <w:rtl/>
        </w:rPr>
        <w:fldChar w:fldCharType="end"/>
      </w:r>
      <w:r>
        <w:rPr>
          <w:rFonts w:hint="cs"/>
          <w:rtl/>
        </w:rPr>
        <w:t xml:space="preserve"> כתב דזומר הוא תולדה, </w:t>
      </w:r>
      <w:r w:rsidRPr="00C444C9">
        <w:rPr>
          <w:rStyle w:val="aff4"/>
          <w:rFonts w:hint="cs"/>
          <w:vanish/>
          <w:rtl/>
        </w:rPr>
        <w:t>-</w:t>
      </w:r>
      <w:r w:rsidRPr="004F32D2">
        <w:rPr>
          <w:rStyle w:val="aff4"/>
          <w:rFonts w:hint="cs"/>
          <w:rtl/>
        </w:rPr>
        <w:t>והרמב"ם</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Ref133477286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כט)</w:t>
      </w:r>
      <w:r>
        <w:rPr>
          <w:rStyle w:val="af2"/>
          <w:rFonts w:eastAsia="Guttman Hodes"/>
          <w:rtl/>
        </w:rPr>
        <w:fldChar w:fldCharType="end"/>
      </w:r>
      <w:r>
        <w:rPr>
          <w:rFonts w:hint="cs"/>
          <w:rtl/>
        </w:rPr>
        <w:t xml:space="preserve"> כתב דהוא אב, מ"מ נראה דאין מחלוקת לדינא בין </w:t>
      </w:r>
      <w:r w:rsidRPr="00C444C9">
        <w:rPr>
          <w:rStyle w:val="aff4"/>
          <w:rFonts w:hint="cs"/>
          <w:vanish/>
          <w:rtl/>
        </w:rPr>
        <w:t>-</w:t>
      </w:r>
      <w:r w:rsidRPr="004F32D2">
        <w:rPr>
          <w:rStyle w:val="aff4"/>
          <w:rFonts w:hint="cs"/>
          <w:rtl/>
        </w:rPr>
        <w:t>רש"י להרמב"ם</w:t>
      </w:r>
      <w:r w:rsidRPr="00C444C9">
        <w:rPr>
          <w:rStyle w:val="aff4"/>
          <w:rFonts w:hint="cs"/>
          <w:vanish/>
          <w:rtl/>
        </w:rPr>
        <w:t>-</w:t>
      </w:r>
      <w:r>
        <w:rPr>
          <w:rFonts w:hint="cs"/>
          <w:rtl/>
        </w:rPr>
        <w:t xml:space="preserve">, דהזומר דלדעת </w:t>
      </w:r>
      <w:r w:rsidRPr="001145E2">
        <w:rPr>
          <w:rStyle w:val="aff4"/>
          <w:rFonts w:hint="cs"/>
          <w:vanish/>
          <w:rtl/>
        </w:rPr>
        <w:t>-</w:t>
      </w:r>
      <w:r w:rsidRPr="002A0D0C">
        <w:rPr>
          <w:rStyle w:val="aff4"/>
          <w:rFonts w:hint="cs"/>
          <w:rtl/>
        </w:rPr>
        <w:t>רש"י</w:t>
      </w:r>
      <w:r w:rsidRPr="001145E2">
        <w:rPr>
          <w:rStyle w:val="aff4"/>
          <w:rFonts w:hint="cs"/>
          <w:vanish/>
          <w:rtl/>
        </w:rPr>
        <w:t>-</w:t>
      </w:r>
      <w:r>
        <w:rPr>
          <w:rFonts w:hint="cs"/>
          <w:rtl/>
        </w:rPr>
        <w:t xml:space="preserve"> הוא תולדה, אף לדעת </w:t>
      </w:r>
      <w:r w:rsidRPr="001145E2">
        <w:rPr>
          <w:rStyle w:val="aff4"/>
          <w:rFonts w:hint="cs"/>
          <w:vanish/>
          <w:rtl/>
        </w:rPr>
        <w:t>-</w:t>
      </w:r>
      <w:r w:rsidRPr="002A0D0C">
        <w:rPr>
          <w:rStyle w:val="aff4"/>
          <w:rFonts w:hint="cs"/>
          <w:rtl/>
        </w:rPr>
        <w:t>הרמב"ם</w:t>
      </w:r>
      <w:r w:rsidRPr="001145E2">
        <w:rPr>
          <w:rStyle w:val="aff4"/>
          <w:rFonts w:hint="cs"/>
          <w:vanish/>
          <w:rtl/>
        </w:rPr>
        <w:t>-</w:t>
      </w:r>
      <w:r>
        <w:rPr>
          <w:rFonts w:hint="cs"/>
          <w:rtl/>
        </w:rPr>
        <w:t xml:space="preserve"> הוא  תולדה, והזומר דלדעת </w:t>
      </w:r>
      <w:r w:rsidRPr="001145E2">
        <w:rPr>
          <w:rStyle w:val="aff4"/>
          <w:rFonts w:hint="cs"/>
          <w:vanish/>
          <w:rtl/>
        </w:rPr>
        <w:t>-</w:t>
      </w:r>
      <w:r w:rsidRPr="002A0D0C">
        <w:rPr>
          <w:rStyle w:val="aff4"/>
          <w:rFonts w:hint="cs"/>
          <w:rtl/>
        </w:rPr>
        <w:t>הרמב"ם</w:t>
      </w:r>
      <w:r w:rsidRPr="001145E2">
        <w:rPr>
          <w:rStyle w:val="aff4"/>
          <w:rFonts w:hint="cs"/>
          <w:vanish/>
          <w:rtl/>
        </w:rPr>
        <w:t>-</w:t>
      </w:r>
      <w:r>
        <w:rPr>
          <w:rFonts w:hint="cs"/>
          <w:rtl/>
        </w:rPr>
        <w:t xml:space="preserve"> הוא אב, אף לדעת </w:t>
      </w:r>
      <w:r w:rsidRPr="001145E2">
        <w:rPr>
          <w:rStyle w:val="aff4"/>
          <w:rFonts w:hint="cs"/>
          <w:vanish/>
          <w:rtl/>
        </w:rPr>
        <w:t>-</w:t>
      </w:r>
      <w:r w:rsidRPr="002A0D0C">
        <w:rPr>
          <w:rStyle w:val="aff4"/>
          <w:rFonts w:hint="cs"/>
          <w:rtl/>
        </w:rPr>
        <w:t>רש"י</w:t>
      </w:r>
      <w:r w:rsidRPr="001145E2">
        <w:rPr>
          <w:rStyle w:val="aff4"/>
          <w:rFonts w:hint="cs"/>
          <w:vanish/>
          <w:rtl/>
        </w:rPr>
        <w:t>-</w:t>
      </w:r>
      <w:r>
        <w:rPr>
          <w:rFonts w:hint="cs"/>
          <w:rtl/>
        </w:rPr>
        <w:t xml:space="preserve"> הוא אב, אלא דכ"א איירי באופן אחר דזומר, ועיי"ש במה שהאריך </w:t>
      </w:r>
      <w:r w:rsidRPr="00C444C9">
        <w:rPr>
          <w:rStyle w:val="aff4"/>
          <w:rFonts w:hint="cs"/>
          <w:vanish/>
          <w:rtl/>
        </w:rPr>
        <w:t>-</w:t>
      </w:r>
      <w:r w:rsidRPr="004F32D2">
        <w:rPr>
          <w:rStyle w:val="aff4"/>
          <w:rFonts w:hint="cs"/>
          <w:rtl/>
        </w:rPr>
        <w:t>האגלי טל</w:t>
      </w:r>
      <w:r w:rsidRPr="00C444C9">
        <w:rPr>
          <w:rStyle w:val="aff4"/>
          <w:rFonts w:hint="cs"/>
          <w:vanish/>
          <w:rtl/>
        </w:rPr>
        <w:t>-</w:t>
      </w:r>
      <w:r>
        <w:rPr>
          <w:rFonts w:hint="cs"/>
          <w:rtl/>
        </w:rPr>
        <w:t xml:space="preserve"> להוכיח דלכו"ע הכורת ענפים מהאילן במקום שידוע שמועיל לגידול האילן הוא אב, והכורת ענפים יבשים לכו"ע הוא תולדה.</w:t>
      </w:r>
      <w:bookmarkEnd w:id="270"/>
    </w:p>
    <w:p w14:paraId="4FF65119" w14:textId="77777777" w:rsidR="009623A2" w:rsidRPr="00747170" w:rsidRDefault="009623A2" w:rsidP="00747170">
      <w:pPr>
        <w:pStyle w:val="a2"/>
        <w:rPr>
          <w:rtl/>
        </w:rPr>
      </w:pPr>
      <w:r w:rsidRPr="00747170">
        <w:rPr>
          <w:rtl/>
        </w:rPr>
        <w:t>[ד] ואחד הזומר. זה דעת הרמב"ם פ"ז מה"ש ה"ג דזומר הוא אב [וכבר ביארנו לעיל ס"ק ב' [אות ו'] דאף דלענין שביעית מפורש בש"ס מ"ק דהוי תולדה אין ראי' משביעית לשבת] אך רש"י מכילתין דף ע"ג: כתב דהוא תולדה. ואחר העיון נראה דאין מחלוקת ביניהם ומה דחשיב לרש"י תולדה גם להרמב"ם הוי תולדה ומה דחשיב לרמב"ם אב גם לרש"י נראה דהוה אב:</w:t>
      </w:r>
    </w:p>
    <w:p w14:paraId="37921D39" w14:textId="77777777" w:rsidR="009623A2" w:rsidRPr="00C3176C" w:rsidRDefault="009623A2" w:rsidP="00747170">
      <w:pPr>
        <w:pStyle w:val="afffff5"/>
        <w:rPr>
          <w:rtl/>
        </w:rPr>
      </w:pPr>
      <w:r w:rsidRPr="00C3176C">
        <w:rPr>
          <w:rtl/>
        </w:rPr>
        <w:t>דהנה רש"י במ"ק ג'. פי' מקרסמין היינו זימור אלא שקרסום שייך באילנות. וכ"כ הר"ש פ"ב דשביעית מ"ג וז"ל מקרסמין מלשון קרסמוה נמלים והיינו זימור אלא שלשון קרסום באילנות וזימור בכרם מלשון זמורות. ולפי"ז קשה על הרמב"ם פ"א מה' שמיטה ויובל ה"ב וז"ל אינו לוקה מן התורה אלא על הזריעה או על הזמירה או על הקצירה או על הבצירה ואחד הכרם ואחד שאר האילנות. וא"כ לפי דברי רש"י ור"ש הנ"ל דקרסום באילן כזימור בכרם המקרסם בשביעית לוקה [זימור פרש"י חותך ענפים יבישים מן הכרם וגם בדף ק"ג. פירש"י מקרסם קוצץ ענפים יבישים מן האילן לתקנו] ובמ"ק ג'. מביא הש"ס ברייתא ערוכה דחשיב הרבה עבודות בשביעית דמפיק להו מקרא לא כל מלאכה שבשדך ולא כל מלאכה שבכרמך. ומקשה מינה אהא דאמר שם תולדות בשביעית לא אסר רחמנא ומשני קרא אסמכתא. וברייתא זו חשיב ג"כ מניין שאין מקרסמין ומפיק לה מדרשא ההוא וכיון דכל הברייתא הוא רק אסמכתא גם הא דאין מקרסמין הוא אסמכתא והוא רק מדרבנן והא קרסום היינו זימור דמפורש בתורה אלא שאינו בכרם רק בשאר אילנות והרי מפורש ברמב"ם שגם על עבודות שאר אילנות לוקה:</w:t>
      </w:r>
    </w:p>
    <w:p w14:paraId="7B77F82F" w14:textId="77777777" w:rsidR="009623A2" w:rsidRPr="00C3176C" w:rsidRDefault="009623A2" w:rsidP="00747170">
      <w:pPr>
        <w:pStyle w:val="afffff5"/>
        <w:rPr>
          <w:rtl/>
        </w:rPr>
      </w:pPr>
      <w:r w:rsidRPr="00C3176C">
        <w:rPr>
          <w:rtl/>
        </w:rPr>
        <w:t>וכן קשה על הרמב"ם שכתב שם הל' ה' ולא יפרק הבדים היבישים כו' ואם עשה אחת מהן מכין אותו מכת מרדות והרי פירוק בדים היבישים היינו זימור כפרש"י הנ"ל דמה"ת גם בשאר אילנות כמפורש ברמב"ם הנ"ל:</w:t>
      </w:r>
    </w:p>
    <w:p w14:paraId="4479132B" w14:textId="77777777" w:rsidR="009623A2" w:rsidRPr="00C3176C" w:rsidRDefault="009623A2" w:rsidP="00747170">
      <w:pPr>
        <w:pStyle w:val="afffff5"/>
        <w:rPr>
          <w:rtl/>
        </w:rPr>
      </w:pPr>
      <w:r w:rsidRPr="00C3176C">
        <w:rPr>
          <w:rtl/>
        </w:rPr>
        <w:t>עוד קשה דבמשנה ב' שם פירש הר"ש דכל הני דשרינן עד ר"ה משום שאין איסורן מן התורה דתולדות לא אסר רחמנא. וקשה כיון דקרסום היינו זימור ולפי דברי הרמב"ם הנ"ל דכל אילנות איסור העבודה בהם דאורייתא למה תנן שם מקרסמין עד ר"ה [שוב מצאתי קושיא זו על הר"ש בשם הרש"ש] אשר ע"כ נראה ברור דלרש"י ור"ש דס"ל קרסום וזימור דבר אחד הוא דזימור היינו ג"כ קיצוץ ענפים יבישים כמו קרסום ס"ל דכל עבודות האילנות אינם מה"ת דתולדות הם ואין איסור תולדות רק בצירה זמירה דכתיבי בקרא ושאר אילנות דלא כתיבי ושם אחר להם מסיקה בזיתים כו' וכן קרסום באילנות אינם מה"ת מיהו בנוטע כתב הר"ש פ"א דשביעית מ"א דחייב מדאורייתא ומשמע אפי' שאר אילנות דלאו כרם והיינו משום דנוטע כרם וודאי חייב מקו"ח דזימור ושוב גם כל אילנות חייב על נטיעתם דשם אחד לנטיעת כרם ונטיעת שאר אילנות דזה וזה נוטע מיקרי רק בקרסום פטור אף דלרש"י ור"ש הוא כעין זימור דמ"מ שם אחר להם זה זימור וזה קרסום אבל נוטע אף דאסור מקו"ח דזימור וכעין זימור בשאר אילנות פטור מ"מ למדין קו"ח לנוטע כרם מזימור ושוב גם בשאר אילנות מחויב כיון דזה וזה נוטע הוא. ורמב"ם שסובר עבודת שאר אילנות מה"ת ס"ל זימור לאו היינו קיצוץ ענפים יבישים דכן משמע מדבריו בפי' המשנה פ"ד דשביעית משנה ה' וז"ל והשקמה מין מן התאנים כורתין האילן במקום ידוע ממנו כדי שיתחזק כוחו ויתן פריו בעתו לרוב כמו הזימור לכרמים. וע"כ קיצוץ ענפים יבישים בשביעית אינו מה"ת. וכן בש"ס מ"ק בקרסום ומשום דלאו היינו זימור. ומעתה מובן המחלוקת שבין רש"י לרמב"ם בזומר דלרש"י תולדה ולהרמב"ם הוא אב דמשום דרש"י מפרש זומר היינו קיצוץ ענפים יבישים הוא כעין מנכש שעוקר העשבים הרעים כדי שיצמחו הטובים טפי כן הזומר קיצוץ ענפים היבישים והוא כמו המנכש. ומשום שאינו מסדר הנטיעה רק משום שמתיבש הוצרך לקוצצו. ע"כ הוא רק תולדה. אבל להרמב"ם דזומר הוא שקוצץ במקום ידוע ממנו כדי שיתחזק כוחו הוא מסדר הנטיעה כי כן באמת הוא דרך כל בעלי כרמים כידוע והרי הוא כמו הברכה והרכבה שהוא מסדר הנטיעה שפיר הוי אב:</w:t>
      </w:r>
    </w:p>
    <w:p w14:paraId="73E12844" w14:textId="77777777" w:rsidR="009623A2" w:rsidRPr="00C3176C" w:rsidRDefault="009623A2" w:rsidP="00747170">
      <w:pPr>
        <w:pStyle w:val="afffff5"/>
        <w:rPr>
          <w:rtl/>
        </w:rPr>
      </w:pPr>
      <w:r w:rsidRPr="00C3176C">
        <w:rPr>
          <w:rtl/>
        </w:rPr>
        <w:t xml:space="preserve">נמצא לדינא אין מחלוקת ביניהם בשבת דלכ"ע זמירה שכורת במקום ידוע כדרך שבעלי הכרמים עושין תמיד הוא אב וזמירה שכורת ענפים היבישים היא תולדה: </w:t>
      </w:r>
    </w:p>
    <w:p w14:paraId="1FD2BC21" w14:textId="21E19E2E" w:rsidR="009623A2" w:rsidRDefault="009623A2" w:rsidP="009623A2">
      <w:pPr>
        <w:pStyle w:val="affff5"/>
        <w:rPr>
          <w:rtl/>
        </w:rPr>
      </w:pPr>
      <w:bookmarkStart w:id="271" w:name="_Toc134419626"/>
      <w:r>
        <w:rPr>
          <w:rFonts w:hint="cs"/>
          <w:rtl/>
        </w:rPr>
        <w:t>הסוברים דהמלאכות דנוטע וכו' תולדות</w:t>
      </w:r>
      <w:bookmarkEnd w:id="271"/>
    </w:p>
    <w:p w14:paraId="7288088A" w14:textId="77777777" w:rsidR="009623A2" w:rsidRDefault="009623A2" w:rsidP="009623A2">
      <w:pPr>
        <w:pStyle w:val="1"/>
        <w:rPr>
          <w:rtl/>
        </w:rPr>
      </w:pPr>
      <w:bookmarkStart w:id="272" w:name="_Toc134419627"/>
      <w:r>
        <w:rPr>
          <w:rFonts w:hint="cs"/>
          <w:rtl/>
        </w:rPr>
        <w:t>ביאורי ר"ח והיראים והרמ"ך דכל המלאכות תולדות דזורע</w:t>
      </w:r>
      <w:bookmarkEnd w:id="272"/>
    </w:p>
    <w:p w14:paraId="67BC8C11" w14:textId="77777777" w:rsidR="009623A2" w:rsidRDefault="009623A2" w:rsidP="009623A2">
      <w:pPr>
        <w:pStyle w:val="afffff7"/>
        <w:rPr>
          <w:rtl/>
        </w:rPr>
      </w:pPr>
      <w:bookmarkStart w:id="273" w:name="_Toc133841661"/>
      <w:bookmarkStart w:id="274" w:name="_Toc163505409"/>
      <w:r>
        <w:rPr>
          <w:rtl/>
        </w:rPr>
        <w:t>רבינו חננאל שבת ע"ג ע"ב</w:t>
      </w:r>
      <w:r>
        <w:rPr>
          <w:rFonts w:hint="cs"/>
          <w:rtl/>
        </w:rPr>
        <w:t xml:space="preserve"> ד</w:t>
      </w:r>
      <w:r>
        <w:rPr>
          <w:rFonts w:cs="Guttman Hodes" w:hint="cs"/>
          <w:rtl/>
        </w:rPr>
        <w:t>"</w:t>
      </w:r>
      <w:r>
        <w:rPr>
          <w:rFonts w:hint="cs"/>
          <w:rtl/>
        </w:rPr>
        <w:t>ה אמרינן</w:t>
      </w:r>
      <w:bookmarkEnd w:id="273"/>
      <w:bookmarkEnd w:id="274"/>
    </w:p>
    <w:p w14:paraId="475664C8" w14:textId="77777777" w:rsidR="009623A2" w:rsidRDefault="009623A2" w:rsidP="009623A2">
      <w:pPr>
        <w:pStyle w:val="a7"/>
        <w:rPr>
          <w:rtl/>
        </w:rPr>
      </w:pPr>
      <w:bookmarkStart w:id="275" w:name="_Toc134419628"/>
      <w:r>
        <w:rPr>
          <w:rFonts w:hint="cs"/>
          <w:rtl/>
        </w:rPr>
        <w:t>בי' ר"ח דזומר תולדה דנוטע שהיא תולדת זורע ויש תולדה לתולדה וכולם כלולים באב דזורע</w:t>
      </w:r>
      <w:bookmarkEnd w:id="275"/>
    </w:p>
    <w:p w14:paraId="5865291E" w14:textId="6B0A2348" w:rsidR="009623A2" w:rsidRDefault="009623A2" w:rsidP="00BC7DC8">
      <w:pPr>
        <w:pStyle w:val="a3"/>
        <w:rPr>
          <w:rtl/>
        </w:rPr>
      </w:pPr>
      <w:bookmarkStart w:id="276" w:name="_Ref133823688"/>
      <w:bookmarkStart w:id="277" w:name="_Ref133361178"/>
      <w:r>
        <w:rPr>
          <w:rFonts w:hint="cs"/>
          <w:rtl/>
        </w:rPr>
        <w:t xml:space="preserve">כתב </w:t>
      </w:r>
      <w:r w:rsidRPr="00C444C9">
        <w:rPr>
          <w:rStyle w:val="aff4"/>
          <w:rFonts w:hint="cs"/>
          <w:vanish/>
          <w:rtl/>
        </w:rPr>
        <w:t xml:space="preserve">-&lt;. </w:t>
      </w:r>
      <w:r w:rsidRPr="00C444C9">
        <w:rPr>
          <w:rStyle w:val="aff4"/>
          <w:vanish/>
          <w:rtl/>
        </w:rPr>
        <w:fldChar w:fldCharType="begin"/>
      </w:r>
      <w:r w:rsidRPr="00C444C9">
        <w:rPr>
          <w:rStyle w:val="aff4"/>
          <w:vanish/>
          <w:rtl/>
        </w:rPr>
        <w:instrText xml:space="preserve"> </w:instrText>
      </w:r>
      <w:r w:rsidRPr="00C444C9">
        <w:rPr>
          <w:rStyle w:val="aff4"/>
          <w:rFonts w:hint="cs"/>
          <w:vanish/>
        </w:rPr>
        <w:instrText>REF</w:instrText>
      </w:r>
      <w:r w:rsidRPr="00C444C9">
        <w:rPr>
          <w:rStyle w:val="aff4"/>
          <w:rFonts w:hint="cs"/>
          <w:vanish/>
          <w:rtl/>
        </w:rPr>
        <w:instrText xml:space="preserve"> _</w:instrText>
      </w:r>
      <w:r w:rsidRPr="00C444C9">
        <w:rPr>
          <w:rStyle w:val="aff4"/>
          <w:rFonts w:hint="cs"/>
          <w:vanish/>
        </w:rPr>
        <w:instrText>Ref133361178 \r \h</w:instrText>
      </w:r>
      <w:r w:rsidRPr="00C444C9">
        <w:rPr>
          <w:rStyle w:val="aff4"/>
          <w:vanish/>
          <w:rtl/>
        </w:rPr>
        <w:instrText xml:space="preserve"> </w:instrText>
      </w:r>
      <w:r w:rsidRPr="00C444C9">
        <w:rPr>
          <w:rStyle w:val="aff4"/>
          <w:vanish/>
          <w:rtl/>
        </w:rPr>
      </w:r>
      <w:r w:rsidRPr="00C444C9">
        <w:rPr>
          <w:rStyle w:val="aff4"/>
          <w:vanish/>
          <w:rtl/>
        </w:rPr>
        <w:fldChar w:fldCharType="separate"/>
      </w:r>
      <w:r w:rsidR="00D82181">
        <w:rPr>
          <w:rStyle w:val="aff4"/>
          <w:vanish/>
          <w:cs/>
        </w:rPr>
        <w:t>‎</w:t>
      </w:r>
      <w:r w:rsidR="00D82181">
        <w:rPr>
          <w:rStyle w:val="aff4"/>
          <w:vanish/>
          <w:rtl/>
        </w:rPr>
        <w:t>נג)</w:t>
      </w:r>
      <w:r w:rsidRPr="00C444C9">
        <w:rPr>
          <w:rStyle w:val="aff4"/>
          <w:vanish/>
          <w:rtl/>
        </w:rPr>
        <w:fldChar w:fldCharType="end"/>
      </w:r>
      <w:r w:rsidRPr="00C444C9">
        <w:rPr>
          <w:rStyle w:val="aff4"/>
          <w:rFonts w:hint="cs"/>
          <w:vanish/>
          <w:rtl/>
        </w:rPr>
        <w:t xml:space="preserve"> &gt;</w:t>
      </w:r>
      <w:r w:rsidRPr="004F32D2">
        <w:rPr>
          <w:rStyle w:val="aff4"/>
          <w:rFonts w:hint="cs"/>
          <w:rtl/>
        </w:rPr>
        <w:t>ר"ח</w:t>
      </w:r>
      <w:r>
        <w:rPr>
          <w:rStyle w:val="aff4"/>
          <w:rFonts w:hint="cs"/>
          <w:rtl/>
        </w:rPr>
        <w:t xml:space="preserve"> בסוגיין</w:t>
      </w:r>
      <w:r w:rsidRPr="00C444C9">
        <w:rPr>
          <w:rStyle w:val="aff4"/>
          <w:rFonts w:hint="cs"/>
          <w:vanish/>
          <w:rtl/>
        </w:rPr>
        <w:t>-</w:t>
      </w:r>
      <w:r>
        <w:rPr>
          <w:rFonts w:hint="cs"/>
          <w:rtl/>
        </w:rPr>
        <w:t xml:space="preserve"> </w:t>
      </w:r>
      <w:r w:rsidRPr="002A0D0C">
        <w:rPr>
          <w:rStyle w:val="af2"/>
          <w:rFonts w:eastAsia="Guttman Hodes" w:hint="cs"/>
          <w:rtl/>
        </w:rPr>
        <w:t>(ד"ה אמרינן)</w:t>
      </w:r>
      <w:r>
        <w:rPr>
          <w:rFonts w:hint="cs"/>
          <w:vanish/>
          <w:rtl/>
        </w:rPr>
        <w:t>=</w:t>
      </w:r>
      <w:r>
        <w:rPr>
          <w:rFonts w:hint="cs"/>
          <w:rtl/>
        </w:rPr>
        <w:t xml:space="preserve"> דמהא דאמר רב דזומר חייב משום נוטע, ונוטע ומבריך ומרכיב חייב משום זורע, מבואר דחייב במבריך ומרכיב גם משום זורע, ומבואר דיש תולדה לתולדה, וכולם כלולים באותו האב, דנוטע הוא תולדה של זורע, ומשמע מדברי </w:t>
      </w:r>
      <w:r w:rsidRPr="00C444C9">
        <w:rPr>
          <w:rStyle w:val="aff4"/>
          <w:rFonts w:hint="cs"/>
          <w:vanish/>
          <w:rtl/>
        </w:rPr>
        <w:t>-</w:t>
      </w:r>
      <w:r w:rsidRPr="004F32D2">
        <w:rPr>
          <w:rStyle w:val="aff4"/>
          <w:rFonts w:hint="cs"/>
          <w:rtl/>
        </w:rPr>
        <w:t>ר"ח</w:t>
      </w:r>
      <w:r w:rsidRPr="00C444C9">
        <w:rPr>
          <w:rStyle w:val="aff4"/>
          <w:rFonts w:hint="cs"/>
          <w:vanish/>
          <w:rtl/>
        </w:rPr>
        <w:t>-</w:t>
      </w:r>
      <w:r>
        <w:rPr>
          <w:rFonts w:hint="cs"/>
          <w:rtl/>
        </w:rPr>
        <w:t xml:space="preserve"> דנוטע הוא תולדה, וכן מפורש להדיא בדברי </w:t>
      </w:r>
      <w:r w:rsidRPr="00E526A0">
        <w:rPr>
          <w:rFonts w:hint="cs"/>
          <w:b/>
          <w:bCs/>
          <w:vanish/>
          <w:rtl/>
        </w:rPr>
        <w:t>&lt; &gt;</w:t>
      </w:r>
      <w:r w:rsidRPr="00C444C9">
        <w:rPr>
          <w:rStyle w:val="aff4"/>
          <w:rFonts w:hint="cs"/>
          <w:vanish/>
          <w:rtl/>
        </w:rPr>
        <w:t>-</w:t>
      </w:r>
      <w:r w:rsidRPr="004F32D2">
        <w:rPr>
          <w:rStyle w:val="aff4"/>
          <w:rFonts w:hint="cs"/>
          <w:rtl/>
        </w:rPr>
        <w:t>ר"ח בב"ק</w:t>
      </w:r>
      <w:r w:rsidRPr="00C444C9">
        <w:rPr>
          <w:rStyle w:val="aff4"/>
          <w:rFonts w:hint="cs"/>
          <w:vanish/>
          <w:rtl/>
        </w:rPr>
        <w:t>-</w:t>
      </w:r>
      <w:r w:rsidRPr="00200716">
        <w:rPr>
          <w:rFonts w:hint="cs"/>
          <w:rtl/>
        </w:rPr>
        <w:t xml:space="preserve"> </w:t>
      </w:r>
      <w:r w:rsidRPr="002A0D0C">
        <w:rPr>
          <w:rStyle w:val="af2"/>
          <w:rFonts w:eastAsia="Guttman Hodes" w:hint="cs"/>
          <w:rtl/>
        </w:rPr>
        <w:t>(ב. ד"ה גבי)</w:t>
      </w:r>
      <w:r>
        <w:rPr>
          <w:rFonts w:hint="cs"/>
          <w:vanish/>
          <w:rtl/>
        </w:rPr>
        <w:t>=</w:t>
      </w:r>
      <w:r>
        <w:rPr>
          <w:rFonts w:hint="cs"/>
          <w:rtl/>
        </w:rPr>
        <w:t xml:space="preserve"> דכתב דזורע הוא אב ונוטע הוא תולדה.</w:t>
      </w:r>
      <w:bookmarkEnd w:id="276"/>
    </w:p>
    <w:p w14:paraId="3BE74348" w14:textId="77777777" w:rsidR="009623A2" w:rsidRPr="00747170" w:rsidRDefault="009623A2" w:rsidP="00747170">
      <w:pPr>
        <w:pStyle w:val="a2"/>
      </w:pPr>
      <w:r w:rsidRPr="00747170">
        <w:rPr>
          <w:rtl/>
        </w:rPr>
        <w:t>אמרינן משמיה דרב הזומר חייב משום נוטע והנוטע והמבריך והמרכיב חייב משום זורע. שמעינן מינה מדמוקים המבריך והמרכיב משום נוטע ואף משום זורע דיש תולדה לתולדה. וכולן נכללין בכלל אב אחד. הנוטע וולד הוא של זורע.</w:t>
      </w:r>
    </w:p>
    <w:p w14:paraId="320D03C3" w14:textId="77777777" w:rsidR="009623A2" w:rsidRDefault="009623A2" w:rsidP="009623A2">
      <w:pPr>
        <w:pStyle w:val="afffff7"/>
        <w:rPr>
          <w:rtl/>
        </w:rPr>
      </w:pPr>
      <w:bookmarkStart w:id="278" w:name="_Toc133841662"/>
      <w:bookmarkStart w:id="279" w:name="_Toc163505410"/>
      <w:r>
        <w:rPr>
          <w:rtl/>
        </w:rPr>
        <w:t>רבינו חננאל ב"ק ב' ע"א</w:t>
      </w:r>
      <w:r>
        <w:rPr>
          <w:rFonts w:hint="cs"/>
          <w:rtl/>
        </w:rPr>
        <w:t xml:space="preserve"> ד"ה גבי</w:t>
      </w:r>
      <w:bookmarkEnd w:id="278"/>
      <w:bookmarkEnd w:id="279"/>
    </w:p>
    <w:p w14:paraId="38562B2E" w14:textId="77777777" w:rsidR="009623A2" w:rsidRPr="00C3176C" w:rsidRDefault="009623A2" w:rsidP="00747170">
      <w:pPr>
        <w:pStyle w:val="afffff5"/>
      </w:pPr>
      <w:r w:rsidRPr="00C3176C">
        <w:rPr>
          <w:rtl/>
        </w:rPr>
        <w:t>גבי שבת תנן אבות מלאכות תולדותיהן כיוצא בהן בשגגה בין אבות בין תולדות חטאת במזיד סקילה פי' אבות זורע תולדות נוטע וכיוצא בו וכן הארבעים חסר אחת כולן בענין הזה פירושם.</w:t>
      </w:r>
    </w:p>
    <w:p w14:paraId="5CC3474B" w14:textId="77777777" w:rsidR="009623A2" w:rsidRDefault="009623A2" w:rsidP="009623A2">
      <w:pPr>
        <w:pStyle w:val="afffffb"/>
        <w:rPr>
          <w:rtl/>
        </w:rPr>
      </w:pPr>
      <w:r>
        <w:rPr>
          <w:rtl/>
        </w:rPr>
        <w:t>רבינו חננאל שבת ע"ג ע"ב</w:t>
      </w:r>
      <w:r>
        <w:rPr>
          <w:rFonts w:hint="cs"/>
          <w:rtl/>
        </w:rPr>
        <w:t xml:space="preserve"> ד</w:t>
      </w:r>
      <w:r>
        <w:rPr>
          <w:rFonts w:cs="Guttman Hodes" w:hint="cs"/>
          <w:rtl/>
        </w:rPr>
        <w:t>"</w:t>
      </w:r>
      <w:r>
        <w:rPr>
          <w:rFonts w:hint="cs"/>
          <w:rtl/>
        </w:rPr>
        <w:t>ה אמרינן</w:t>
      </w:r>
    </w:p>
    <w:p w14:paraId="4A93024E" w14:textId="77777777" w:rsidR="009623A2" w:rsidRPr="00046B16" w:rsidRDefault="009623A2" w:rsidP="009623A2">
      <w:pPr>
        <w:pStyle w:val="a7"/>
      </w:pPr>
      <w:bookmarkStart w:id="280" w:name="_Toc134419629"/>
      <w:r>
        <w:rPr>
          <w:rFonts w:hint="cs"/>
          <w:rtl/>
        </w:rPr>
        <w:t>בי' ר"ח דהחילוק בין נוטע לזורע דנוטע יחור של אילן בקרקע ודמי לזורע דמשליך זרע לארץ</w:t>
      </w:r>
      <w:bookmarkEnd w:id="280"/>
    </w:p>
    <w:p w14:paraId="04CC400F" w14:textId="19FF5658" w:rsidR="009623A2" w:rsidRPr="00F10CFB" w:rsidRDefault="009623A2" w:rsidP="00BC7DC8">
      <w:pPr>
        <w:pStyle w:val="a3"/>
        <w:rPr>
          <w:rStyle w:val="afff9"/>
          <w:bCs w:val="0"/>
          <w:color w:val="auto"/>
          <w:u w:val="none"/>
        </w:rPr>
      </w:pPr>
      <w:bookmarkStart w:id="281" w:name="_Ref133824443"/>
      <w:r>
        <w:rPr>
          <w:rFonts w:hint="cs"/>
          <w:rtl/>
        </w:rPr>
        <w:t xml:space="preserve">וביאר </w:t>
      </w:r>
      <w:r w:rsidRPr="00F10CFB">
        <w:rPr>
          <w:rStyle w:val="aff4"/>
          <w:rFonts w:hint="cs"/>
          <w:vanish/>
          <w:rtl/>
        </w:rPr>
        <w:t>-</w:t>
      </w:r>
      <w:r w:rsidRPr="004F32D2">
        <w:rPr>
          <w:rStyle w:val="aff4"/>
          <w:rFonts w:hint="cs"/>
          <w:rtl/>
        </w:rPr>
        <w:t>ר"ח</w:t>
      </w:r>
      <w:r>
        <w:rPr>
          <w:rStyle w:val="aff4"/>
          <w:rFonts w:hint="cs"/>
          <w:rtl/>
        </w:rPr>
        <w:t xml:space="preserve"> בסוגיין</w:t>
      </w:r>
      <w:r w:rsidRPr="00F10CFB">
        <w:rPr>
          <w:rStyle w:val="aff4"/>
          <w:rFonts w:hint="cs"/>
          <w:vanish/>
          <w:rtl/>
        </w:rPr>
        <w:t>-</w:t>
      </w:r>
      <w:r>
        <w:rPr>
          <w:rFonts w:hint="cs"/>
          <w:rtl/>
        </w:rPr>
        <w:t xml:space="preserve"> דנוטע הוא תולדה של זורע, כיון דנוטע יחור של אילן בקרקע ועי"ז הוא האילן צומח, ודומה לזורע דמשליך זרע לארץ ועי"ז הוא צומח, וכן בזומר, דבמקום שזומר את האילן גודל האילן שם ומוסיף עוד פירות והוא כמו נוטע, ועי' במה שביאר </w:t>
      </w:r>
      <w:r w:rsidRPr="001145E2">
        <w:rPr>
          <w:rStyle w:val="aff4"/>
          <w:rFonts w:hint="cs"/>
          <w:vanish/>
          <w:rtl/>
        </w:rPr>
        <w:t>-</w:t>
      </w:r>
      <w:r w:rsidRPr="002A0D0C">
        <w:rPr>
          <w:rStyle w:val="aff4"/>
          <w:rFonts w:hint="cs"/>
          <w:rtl/>
        </w:rPr>
        <w:t>רש"י</w:t>
      </w:r>
      <w:r w:rsidRPr="001145E2">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Ref133824412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ג)</w:t>
      </w:r>
      <w:r>
        <w:rPr>
          <w:rStyle w:val="af2"/>
          <w:rFonts w:eastAsia="Guttman Hodes"/>
          <w:rtl/>
        </w:rPr>
        <w:fldChar w:fldCharType="end"/>
      </w:r>
      <w:r>
        <w:rPr>
          <w:rFonts w:hint="cs"/>
          <w:rtl/>
        </w:rPr>
        <w:t xml:space="preserve"> דנוטע הוא באילן וזורע בקרקע.</w:t>
      </w:r>
      <w:bookmarkEnd w:id="281"/>
      <w:r>
        <w:rPr>
          <w:rFonts w:hint="cs"/>
          <w:rtl/>
        </w:rPr>
        <w:t xml:space="preserve"> </w:t>
      </w:r>
      <w:bookmarkEnd w:id="277"/>
    </w:p>
    <w:p w14:paraId="2AC22B22" w14:textId="77777777" w:rsidR="009623A2" w:rsidRPr="00747170" w:rsidRDefault="009623A2" w:rsidP="00747170">
      <w:pPr>
        <w:pStyle w:val="a2"/>
      </w:pPr>
      <w:r w:rsidRPr="00747170">
        <w:rPr>
          <w:rtl/>
        </w:rPr>
        <w:t>כי הנוטע נועץ יחור של אילן בארץ ומתגדל כגון המפיל הזרע לארץ וצומח והזומר המקום שזומר באילן מתגדל המקום ההוא ומוסיף פירות ונמצא כנוטע</w:t>
      </w:r>
      <w:r w:rsidRPr="00747170">
        <w:rPr>
          <w:rFonts w:hint="cs"/>
          <w:rtl/>
        </w:rPr>
        <w:t>.</w:t>
      </w:r>
    </w:p>
    <w:p w14:paraId="75FD8D37" w14:textId="241D8F11" w:rsidR="009623A2" w:rsidRDefault="009623A2" w:rsidP="009623A2">
      <w:pPr>
        <w:pStyle w:val="afffff7"/>
        <w:rPr>
          <w:rtl/>
        </w:rPr>
      </w:pPr>
      <w:bookmarkStart w:id="282" w:name="_Toc133841663"/>
      <w:bookmarkStart w:id="283" w:name="_Toc163505411"/>
      <w:r w:rsidRPr="004504F2">
        <w:rPr>
          <w:rtl/>
        </w:rPr>
        <w:t xml:space="preserve">יראים סימן רעד </w:t>
      </w:r>
      <w:bookmarkStart w:id="284" w:name="_Hlk132713503"/>
      <w:r>
        <w:rPr>
          <w:rFonts w:hint="cs"/>
          <w:rtl/>
        </w:rPr>
        <w:t>ד"ה הזורע</w:t>
      </w:r>
      <w:bookmarkEnd w:id="282"/>
      <w:bookmarkEnd w:id="283"/>
      <w:bookmarkEnd w:id="284"/>
    </w:p>
    <w:p w14:paraId="1B1F7D54" w14:textId="77777777" w:rsidR="009623A2" w:rsidRDefault="009623A2" w:rsidP="009623A2">
      <w:pPr>
        <w:pStyle w:val="a7"/>
        <w:rPr>
          <w:rtl/>
        </w:rPr>
      </w:pPr>
      <w:bookmarkStart w:id="285" w:name="_Toc134419630"/>
      <w:r>
        <w:rPr>
          <w:rFonts w:hint="cs"/>
          <w:rtl/>
        </w:rPr>
        <w:t>בי' היראים דנוטע ומרכיב ומבריך וזומר בכלל תולדות זורע וכן משקה הוא תולדת זורע</w:t>
      </w:r>
      <w:bookmarkEnd w:id="285"/>
    </w:p>
    <w:p w14:paraId="2217CD38" w14:textId="622CD8B4" w:rsidR="009623A2" w:rsidRPr="007835A6" w:rsidRDefault="009623A2" w:rsidP="00BC7DC8">
      <w:pPr>
        <w:pStyle w:val="a3"/>
        <w:rPr>
          <w:rtl/>
        </w:rPr>
      </w:pPr>
      <w:bookmarkStart w:id="286" w:name="_Ref133519169"/>
      <w:r>
        <w:rPr>
          <w:rFonts w:hint="cs"/>
          <w:rtl/>
        </w:rPr>
        <w:t xml:space="preserve">בביאור תולדות זורע דאו', הביא </w:t>
      </w:r>
      <w:r w:rsidRPr="00C444C9">
        <w:rPr>
          <w:rStyle w:val="aff4"/>
          <w:rFonts w:hint="cs"/>
          <w:vanish/>
          <w:rtl/>
        </w:rPr>
        <w:t>-</w:t>
      </w:r>
      <w:r w:rsidRPr="004F32D2">
        <w:rPr>
          <w:rStyle w:val="aff4"/>
          <w:rFonts w:hint="cs"/>
          <w:rtl/>
        </w:rPr>
        <w:t>ה</w:t>
      </w:r>
      <w:r w:rsidRPr="00C444C9">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Ref133519169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נה)</w:t>
      </w:r>
      <w:r>
        <w:rPr>
          <w:rStyle w:val="aff4"/>
          <w:vanish/>
          <w:rtl/>
        </w:rPr>
        <w:fldChar w:fldCharType="end"/>
      </w:r>
      <w:r w:rsidRPr="00C444C9">
        <w:rPr>
          <w:rStyle w:val="aff4"/>
          <w:rFonts w:hint="cs"/>
          <w:vanish/>
          <w:rtl/>
        </w:rPr>
        <w:t xml:space="preserve"> &gt;</w:t>
      </w:r>
      <w:r w:rsidRPr="004F32D2">
        <w:rPr>
          <w:rStyle w:val="aff4"/>
          <w:rFonts w:hint="cs"/>
          <w:rtl/>
        </w:rPr>
        <w:t>יראים</w:t>
      </w:r>
      <w:r w:rsidRPr="00C444C9">
        <w:rPr>
          <w:rStyle w:val="aff4"/>
          <w:rFonts w:hint="cs"/>
          <w:vanish/>
          <w:rtl/>
        </w:rPr>
        <w:t>-</w:t>
      </w:r>
      <w:r>
        <w:rPr>
          <w:rFonts w:hint="cs"/>
          <w:rtl/>
        </w:rPr>
        <w:t xml:space="preserve"> </w:t>
      </w:r>
      <w:r w:rsidRPr="002A0D0C">
        <w:rPr>
          <w:rStyle w:val="af2"/>
          <w:rFonts w:eastAsia="Guttman Hodes" w:hint="cs"/>
          <w:rtl/>
        </w:rPr>
        <w:t>(סי' רע"ד ד"ה הזורע)</w:t>
      </w:r>
      <w:r w:rsidRPr="00350A80">
        <w:rPr>
          <w:rFonts w:hint="cs"/>
          <w:vanish/>
          <w:rtl/>
        </w:rPr>
        <w:t>=</w:t>
      </w:r>
      <w:r>
        <w:rPr>
          <w:rFonts w:hint="cs"/>
          <w:rtl/>
        </w:rPr>
        <w:t xml:space="preserve"> את דברי רבא דזומר חייב משום נוטע ומרכיב ומבריך חייב משום זורע, והוסיף </w:t>
      </w:r>
      <w:r w:rsidRPr="00C444C9">
        <w:rPr>
          <w:rStyle w:val="aff4"/>
          <w:rFonts w:hint="cs"/>
          <w:vanish/>
          <w:rtl/>
        </w:rPr>
        <w:t>-</w:t>
      </w:r>
      <w:r w:rsidRPr="004F32D2">
        <w:rPr>
          <w:rStyle w:val="aff4"/>
          <w:rFonts w:hint="cs"/>
          <w:rtl/>
        </w:rPr>
        <w:t>היראים</w:t>
      </w:r>
      <w:r w:rsidRPr="00C444C9">
        <w:rPr>
          <w:rStyle w:val="aff4"/>
          <w:rFonts w:hint="cs"/>
          <w:vanish/>
          <w:rtl/>
        </w:rPr>
        <w:t>-</w:t>
      </w:r>
      <w:r>
        <w:rPr>
          <w:rFonts w:hint="cs"/>
          <w:rtl/>
        </w:rPr>
        <w:t xml:space="preserve"> דמשקה חייב משום זורע, ומבואר דס"ל דרק נוטע הוא אב, והשאר הם תולדות.</w:t>
      </w:r>
      <w:bookmarkEnd w:id="286"/>
    </w:p>
    <w:p w14:paraId="06289EAF" w14:textId="77777777" w:rsidR="009623A2" w:rsidRPr="00747170" w:rsidRDefault="009623A2" w:rsidP="00747170">
      <w:pPr>
        <w:pStyle w:val="a2"/>
        <w:rPr>
          <w:rtl/>
        </w:rPr>
      </w:pPr>
      <w:r w:rsidRPr="00747170">
        <w:rPr>
          <w:rtl/>
        </w:rPr>
        <w:t xml:space="preserve">הזורע. תולדה דאורייתא אמרינן בכלל גדול [ע"ג ב'] אמר רבא אמר רב חייא בר אשי אמר רב זומר חייב משום נוטע הנוטע המרכיב והמבריך חייב משום זורע ומשקה מים לזרעים פירשנו למעלה בחורש דחייב משום זורע. </w:t>
      </w:r>
    </w:p>
    <w:p w14:paraId="5F5C6209" w14:textId="616A3B07" w:rsidR="009623A2" w:rsidRDefault="009623A2" w:rsidP="009623A2">
      <w:pPr>
        <w:pStyle w:val="afffff7"/>
        <w:rPr>
          <w:rtl/>
        </w:rPr>
      </w:pPr>
      <w:bookmarkStart w:id="287" w:name="_Toc133841664"/>
      <w:bookmarkStart w:id="288" w:name="_Toc163505412"/>
      <w:r>
        <w:rPr>
          <w:rtl/>
        </w:rPr>
        <w:t>כסף משנה שבת ז' ב'</w:t>
      </w:r>
      <w:bookmarkEnd w:id="287"/>
      <w:bookmarkEnd w:id="288"/>
    </w:p>
    <w:p w14:paraId="7629D187" w14:textId="77777777" w:rsidR="009623A2" w:rsidRDefault="009623A2" w:rsidP="009623A2">
      <w:pPr>
        <w:pStyle w:val="a7"/>
        <w:rPr>
          <w:rtl/>
        </w:rPr>
      </w:pPr>
      <w:bookmarkStart w:id="289" w:name="_Toc134419631"/>
      <w:r>
        <w:rPr>
          <w:rFonts w:hint="cs"/>
          <w:rtl/>
        </w:rPr>
        <w:t>קו' הרמ"ך על הרמב"ם דאי כל הדומה לאב הוא אב יש יותר מל"ט ועוד דלא היו במשכן</w:t>
      </w:r>
      <w:bookmarkEnd w:id="289"/>
    </w:p>
    <w:p w14:paraId="3D581537" w14:textId="48B6FB0D" w:rsidR="009623A2" w:rsidRPr="00901D14" w:rsidRDefault="009623A2" w:rsidP="00BC7DC8">
      <w:pPr>
        <w:pStyle w:val="a3"/>
        <w:rPr>
          <w:rtl/>
        </w:rPr>
      </w:pPr>
      <w:bookmarkStart w:id="290" w:name="_Ref130417432"/>
      <w:r>
        <w:rPr>
          <w:rFonts w:hint="cs"/>
          <w:rtl/>
        </w:rPr>
        <w:t xml:space="preserve">במ"ש </w:t>
      </w:r>
      <w:r w:rsidRPr="00C444C9">
        <w:rPr>
          <w:rStyle w:val="aff4"/>
          <w:rFonts w:hint="cs"/>
          <w:vanish/>
          <w:rtl/>
        </w:rPr>
        <w:t>-</w:t>
      </w:r>
      <w:r w:rsidRPr="004F32D2">
        <w:rPr>
          <w:rStyle w:val="aff4"/>
          <w:rFonts w:hint="cs"/>
          <w:rtl/>
        </w:rPr>
        <w:t>הרמב"ם</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sidRPr="002A0D0C">
        <w:rPr>
          <w:rStyle w:val="af2"/>
          <w:rFonts w:eastAsia="Guttman Hodes"/>
          <w:rtl/>
        </w:rPr>
        <w:fldChar w:fldCharType="begin"/>
      </w:r>
      <w:r w:rsidRPr="002A0D0C">
        <w:rPr>
          <w:rStyle w:val="af2"/>
          <w:rFonts w:eastAsia="Guttman Hodes"/>
          <w:rtl/>
        </w:rPr>
        <w:instrText xml:space="preserve"> </w:instrText>
      </w:r>
      <w:r w:rsidRPr="002A0D0C">
        <w:rPr>
          <w:rStyle w:val="af2"/>
          <w:rFonts w:eastAsia="Guttman Hodes" w:hint="cs"/>
        </w:rPr>
        <w:instrText>REF</w:instrText>
      </w:r>
      <w:r w:rsidRPr="002A0D0C">
        <w:rPr>
          <w:rStyle w:val="af2"/>
          <w:rFonts w:eastAsia="Guttman Hodes" w:hint="cs"/>
          <w:rtl/>
        </w:rPr>
        <w:instrText xml:space="preserve"> _</w:instrText>
      </w:r>
      <w:r w:rsidRPr="002A0D0C">
        <w:rPr>
          <w:rStyle w:val="af2"/>
          <w:rFonts w:eastAsia="Guttman Hodes" w:hint="cs"/>
        </w:rPr>
        <w:instrText>Ref130239677 \r \h</w:instrText>
      </w:r>
      <w:r w:rsidRPr="002A0D0C">
        <w:rPr>
          <w:rStyle w:val="af2"/>
          <w:rFonts w:eastAsia="Guttman Hodes"/>
          <w:rtl/>
        </w:rPr>
        <w:instrText xml:space="preserve"> </w:instrText>
      </w:r>
      <w:r w:rsidRPr="002A0D0C">
        <w:rPr>
          <w:rStyle w:val="af2"/>
          <w:rFonts w:eastAsia="Guttman Hodes"/>
          <w:rtl/>
        </w:rPr>
      </w:r>
      <w:r w:rsidRPr="002A0D0C">
        <w:rPr>
          <w:rStyle w:val="af2"/>
          <w:rFonts w:eastAsia="Guttman Hodes"/>
          <w:rtl/>
        </w:rPr>
        <w:fldChar w:fldCharType="separate"/>
      </w:r>
      <w:r w:rsidR="00D82181">
        <w:rPr>
          <w:rStyle w:val="af2"/>
          <w:rFonts w:eastAsia="Guttman Hodes"/>
          <w:cs/>
        </w:rPr>
        <w:t>‎</w:t>
      </w:r>
      <w:r w:rsidR="00D82181">
        <w:rPr>
          <w:rStyle w:val="af2"/>
          <w:rFonts w:eastAsia="Guttman Hodes"/>
          <w:rtl/>
        </w:rPr>
        <w:t>כח)</w:t>
      </w:r>
      <w:r w:rsidRPr="002A0D0C">
        <w:rPr>
          <w:rStyle w:val="af2"/>
          <w:rFonts w:eastAsia="Guttman Hodes"/>
          <w:rtl/>
        </w:rPr>
        <w:fldChar w:fldCharType="end"/>
      </w:r>
      <w:r>
        <w:rPr>
          <w:rFonts w:hint="cs"/>
          <w:rtl/>
        </w:rPr>
        <w:t xml:space="preserve"> דל"ט מלאכות וכל דבר שהוא מענינם הוא אב, כחופר וחורץ וכו', ומבריך ומרכיב וכו' הביא </w:t>
      </w:r>
      <w:r w:rsidRPr="00C444C9">
        <w:rPr>
          <w:rStyle w:val="aff4"/>
          <w:rFonts w:hint="cs"/>
          <w:vanish/>
          <w:rtl/>
        </w:rPr>
        <w:t>-</w:t>
      </w:r>
      <w:r w:rsidRPr="004F32D2">
        <w:rPr>
          <w:rStyle w:val="aff4"/>
          <w:rFonts w:hint="cs"/>
          <w:rtl/>
        </w:rPr>
        <w:t>ה</w:t>
      </w:r>
      <w:r w:rsidRPr="00C444C9">
        <w:rPr>
          <w:rStyle w:val="aff4"/>
          <w:rFonts w:hint="cs"/>
          <w:vanish/>
          <w:rtl/>
        </w:rPr>
        <w:t xml:space="preserve">&lt;. </w:t>
      </w:r>
      <w:r w:rsidRPr="00C444C9">
        <w:rPr>
          <w:rStyle w:val="aff4"/>
          <w:vanish/>
          <w:rtl/>
        </w:rPr>
        <w:fldChar w:fldCharType="begin"/>
      </w:r>
      <w:r w:rsidRPr="00C444C9">
        <w:rPr>
          <w:rStyle w:val="aff4"/>
          <w:vanish/>
          <w:rtl/>
        </w:rPr>
        <w:instrText xml:space="preserve"> </w:instrText>
      </w:r>
      <w:r w:rsidRPr="00C444C9">
        <w:rPr>
          <w:rStyle w:val="aff4"/>
          <w:rFonts w:hint="cs"/>
          <w:vanish/>
        </w:rPr>
        <w:instrText>REF</w:instrText>
      </w:r>
      <w:r w:rsidRPr="00C444C9">
        <w:rPr>
          <w:rStyle w:val="aff4"/>
          <w:rFonts w:hint="cs"/>
          <w:vanish/>
          <w:rtl/>
        </w:rPr>
        <w:instrText xml:space="preserve"> _</w:instrText>
      </w:r>
      <w:r w:rsidRPr="00C444C9">
        <w:rPr>
          <w:rStyle w:val="aff4"/>
          <w:rFonts w:hint="cs"/>
          <w:vanish/>
        </w:rPr>
        <w:instrText>Ref130417432 \r \h</w:instrText>
      </w:r>
      <w:r w:rsidRPr="00C444C9">
        <w:rPr>
          <w:rStyle w:val="aff4"/>
          <w:vanish/>
          <w:rtl/>
        </w:rPr>
        <w:instrText xml:space="preserve"> </w:instrText>
      </w:r>
      <w:r w:rsidRPr="00C444C9">
        <w:rPr>
          <w:rStyle w:val="aff4"/>
          <w:vanish/>
          <w:rtl/>
        </w:rPr>
      </w:r>
      <w:r w:rsidRPr="00C444C9">
        <w:rPr>
          <w:rStyle w:val="aff4"/>
          <w:vanish/>
          <w:rtl/>
        </w:rPr>
        <w:fldChar w:fldCharType="separate"/>
      </w:r>
      <w:r w:rsidR="00D82181">
        <w:rPr>
          <w:rStyle w:val="aff4"/>
          <w:vanish/>
          <w:cs/>
        </w:rPr>
        <w:t>‎</w:t>
      </w:r>
      <w:r w:rsidR="00D82181">
        <w:rPr>
          <w:rStyle w:val="aff4"/>
          <w:vanish/>
          <w:rtl/>
        </w:rPr>
        <w:t>נו)</w:t>
      </w:r>
      <w:r w:rsidRPr="00C444C9">
        <w:rPr>
          <w:rStyle w:val="aff4"/>
          <w:vanish/>
          <w:rtl/>
        </w:rPr>
        <w:fldChar w:fldCharType="end"/>
      </w:r>
      <w:r w:rsidRPr="00C444C9">
        <w:rPr>
          <w:rStyle w:val="aff4"/>
          <w:rFonts w:hint="cs"/>
          <w:vanish/>
          <w:rtl/>
        </w:rPr>
        <w:t xml:space="preserve"> &gt;</w:t>
      </w:r>
      <w:r w:rsidRPr="004F32D2">
        <w:rPr>
          <w:rStyle w:val="aff4"/>
          <w:rFonts w:hint="cs"/>
          <w:rtl/>
        </w:rPr>
        <w:t>כס"מ</w:t>
      </w:r>
      <w:r w:rsidRPr="00C444C9">
        <w:rPr>
          <w:rStyle w:val="aff4"/>
          <w:rFonts w:hint="cs"/>
          <w:vanish/>
          <w:rtl/>
        </w:rPr>
        <w:t>-</w:t>
      </w:r>
      <w:r>
        <w:rPr>
          <w:rFonts w:hint="cs"/>
          <w:rtl/>
        </w:rPr>
        <w:t xml:space="preserve"> </w:t>
      </w:r>
      <w:r w:rsidRPr="002A0D0C">
        <w:rPr>
          <w:rStyle w:val="af2"/>
          <w:rFonts w:eastAsia="Guttman Hodes" w:hint="cs"/>
          <w:rtl/>
        </w:rPr>
        <w:t>(שבת פ"ז ה"ב)</w:t>
      </w:r>
      <w:r>
        <w:rPr>
          <w:rFonts w:hint="cs"/>
          <w:rtl/>
        </w:rPr>
        <w:t xml:space="preserve"> בשם</w:t>
      </w:r>
      <w:r>
        <w:rPr>
          <w:rFonts w:hint="cs"/>
          <w:vanish/>
          <w:rtl/>
        </w:rPr>
        <w:t>=</w:t>
      </w:r>
      <w:r>
        <w:rPr>
          <w:rFonts w:hint="cs"/>
          <w:rtl/>
        </w:rPr>
        <w:t xml:space="preserve"> </w:t>
      </w:r>
      <w:r w:rsidRPr="00C444C9">
        <w:rPr>
          <w:rStyle w:val="aff4"/>
          <w:rFonts w:hint="cs"/>
          <w:vanish/>
          <w:rtl/>
        </w:rPr>
        <w:t>-</w:t>
      </w:r>
      <w:r w:rsidRPr="004F32D2">
        <w:rPr>
          <w:rStyle w:val="aff4"/>
          <w:rFonts w:hint="cs"/>
          <w:rtl/>
        </w:rPr>
        <w:t>ה</w:t>
      </w:r>
      <w:r w:rsidRPr="00C444C9">
        <w:rPr>
          <w:rStyle w:val="aff4"/>
          <w:rFonts w:hint="cs"/>
          <w:vanish/>
          <w:rtl/>
        </w:rPr>
        <w:t>&lt; &gt;</w:t>
      </w:r>
      <w:r w:rsidRPr="004F32D2">
        <w:rPr>
          <w:rStyle w:val="aff4"/>
          <w:rFonts w:hint="cs"/>
          <w:rtl/>
        </w:rPr>
        <w:t>רמ"ך</w:t>
      </w:r>
      <w:r w:rsidRPr="00C444C9">
        <w:rPr>
          <w:rStyle w:val="aff4"/>
          <w:rFonts w:hint="cs"/>
          <w:vanish/>
          <w:rtl/>
        </w:rPr>
        <w:t>-</w:t>
      </w:r>
      <w:r>
        <w:rPr>
          <w:rStyle w:val="aff4"/>
          <w:rFonts w:hint="cs"/>
          <w:vanish/>
          <w:rtl/>
        </w:rPr>
        <w:t>=</w:t>
      </w:r>
      <w:r w:rsidRPr="001C0105">
        <w:rPr>
          <w:rStyle w:val="aff4"/>
          <w:rFonts w:hint="cs"/>
          <w:rtl/>
        </w:rPr>
        <w:t xml:space="preserve"> </w:t>
      </w:r>
      <w:r w:rsidRPr="00294A8C">
        <w:rPr>
          <w:rFonts w:hint="cs"/>
          <w:rtl/>
        </w:rPr>
        <w:t>דהקשה דאי כולם חשיבי אבות, א"כ אמאי תנן שיש ל"ט אבות מלאכות, הא יש יותר מחמישים אבות, ועוד הקשה</w:t>
      </w:r>
      <w:r w:rsidRPr="001C0105">
        <w:rPr>
          <w:rStyle w:val="aff4"/>
          <w:rFonts w:hint="cs"/>
          <w:rtl/>
        </w:rPr>
        <w:t xml:space="preserve"> </w:t>
      </w:r>
      <w:r w:rsidRPr="00C444C9">
        <w:rPr>
          <w:rStyle w:val="aff4"/>
          <w:rFonts w:hint="cs"/>
          <w:vanish/>
          <w:rtl/>
        </w:rPr>
        <w:t>-</w:t>
      </w:r>
      <w:r w:rsidRPr="004F32D2">
        <w:rPr>
          <w:rStyle w:val="aff4"/>
          <w:rFonts w:hint="cs"/>
          <w:rtl/>
        </w:rPr>
        <w:t>הרמ"ך</w:t>
      </w:r>
      <w:r w:rsidRPr="00C444C9">
        <w:rPr>
          <w:rStyle w:val="aff4"/>
          <w:rFonts w:hint="cs"/>
          <w:vanish/>
          <w:rtl/>
        </w:rPr>
        <w:t>-</w:t>
      </w:r>
      <w:r>
        <w:rPr>
          <w:rFonts w:hint="cs"/>
          <w:rtl/>
        </w:rPr>
        <w:t xml:space="preserve"> דהא אמרינן בגמ' לקמן </w:t>
      </w:r>
      <w:r w:rsidRPr="002A0D0C">
        <w:rPr>
          <w:rStyle w:val="af2"/>
          <w:rFonts w:eastAsia="Guttman Hodes" w:hint="cs"/>
          <w:rtl/>
        </w:rPr>
        <w:t>(צו:, ב"ק ב.)</w:t>
      </w:r>
      <w:r>
        <w:rPr>
          <w:rFonts w:hint="cs"/>
          <w:rtl/>
        </w:rPr>
        <w:t xml:space="preserve"> דהך דהוה במשכן חשיבא קרי לה אב, ודלא הוה במשכן קרי לה תולדה, והא חופר וחורץ ומבריך ומרכיב ובוצר ומוסק, לא היו במשכן, דאין כל צורך למשכן בכל אלו.</w:t>
      </w:r>
      <w:bookmarkEnd w:id="290"/>
    </w:p>
    <w:p w14:paraId="7732AB7B" w14:textId="77777777" w:rsidR="009623A2" w:rsidRPr="00747170" w:rsidRDefault="009623A2" w:rsidP="00747170">
      <w:pPr>
        <w:pStyle w:val="a2"/>
        <w:rPr>
          <w:rtl/>
        </w:rPr>
      </w:pPr>
      <w:r w:rsidRPr="00747170">
        <w:rPr>
          <w:rtl/>
        </w:rPr>
        <w:t>כל אלו המלאכות וכל שהוא מענינם וכו'. כתב הרמ"ך תימה הוא אם כל אלו אבות אמאי חשיב ארבעים חסר אחת ה"ל לחשוב יותר מחמשים ועוד דאמרינן מלאכה דהוה במשכן חשיבא קרי לה אב דלא הוה במשכן קרי לה תולדה וחופר וחורץ ומבריך ומרכיב ובוצר ומוסק לא היו במשכן שלא היה צורך המשכן לחפור ולחרוץ וגם לא היו צריכים להבריך ולהרכיב וליטע אילנות ולא לגדור תמרים ולמסוק זיתים</w:t>
      </w:r>
      <w:r w:rsidRPr="00747170">
        <w:rPr>
          <w:rFonts w:hint="cs"/>
          <w:rtl/>
        </w:rPr>
        <w:t>.</w:t>
      </w:r>
    </w:p>
    <w:p w14:paraId="6DE978FA" w14:textId="1BBC9A7B" w:rsidR="009623A2" w:rsidRDefault="009623A2" w:rsidP="009623A2">
      <w:pPr>
        <w:pStyle w:val="a7"/>
        <w:rPr>
          <w:rtl/>
        </w:rPr>
      </w:pPr>
      <w:bookmarkStart w:id="291" w:name="_Toc134419632"/>
      <w:r>
        <w:rPr>
          <w:rFonts w:hint="cs"/>
          <w:rtl/>
        </w:rPr>
        <w:t>בי' הרמ"ך דכל המלאכות הללו מלאכה א' היינו דהם תולדות וקמ"ל דב' תולדות חייב חטאת א'</w:t>
      </w:r>
      <w:bookmarkEnd w:id="291"/>
    </w:p>
    <w:p w14:paraId="30D31338" w14:textId="77777777" w:rsidR="009623A2" w:rsidRPr="00042C33" w:rsidRDefault="009623A2" w:rsidP="00BC7DC8">
      <w:pPr>
        <w:pStyle w:val="a3"/>
      </w:pPr>
      <w:bookmarkStart w:id="292" w:name="_Ref133823439"/>
      <w:r>
        <w:rPr>
          <w:rFonts w:hint="cs"/>
          <w:rtl/>
        </w:rPr>
        <w:t xml:space="preserve">אלא הביא </w:t>
      </w:r>
      <w:r w:rsidRPr="00C444C9">
        <w:rPr>
          <w:rStyle w:val="aff4"/>
          <w:rFonts w:hint="cs"/>
          <w:vanish/>
          <w:rtl/>
        </w:rPr>
        <w:t>-</w:t>
      </w:r>
      <w:r w:rsidRPr="004F32D2">
        <w:rPr>
          <w:rStyle w:val="aff4"/>
          <w:rFonts w:hint="cs"/>
          <w:rtl/>
        </w:rPr>
        <w:t>הכס"מ</w:t>
      </w:r>
      <w:r w:rsidRPr="00C444C9">
        <w:rPr>
          <w:rStyle w:val="aff4"/>
          <w:rFonts w:hint="cs"/>
          <w:vanish/>
          <w:rtl/>
        </w:rPr>
        <w:t>-</w:t>
      </w:r>
      <w:r>
        <w:rPr>
          <w:rFonts w:hint="cs"/>
          <w:rtl/>
        </w:rPr>
        <w:t xml:space="preserve"> את דברי</w:t>
      </w:r>
      <w:r w:rsidRPr="00042C33">
        <w:rPr>
          <w:rFonts w:hint="cs"/>
          <w:rtl/>
        </w:rPr>
        <w:t xml:space="preserve"> </w:t>
      </w:r>
      <w:r w:rsidRPr="00C444C9">
        <w:rPr>
          <w:rStyle w:val="aff4"/>
          <w:rFonts w:hint="cs"/>
          <w:vanish/>
          <w:rtl/>
        </w:rPr>
        <w:t>-</w:t>
      </w:r>
      <w:r w:rsidRPr="004F32D2">
        <w:rPr>
          <w:rStyle w:val="aff4"/>
          <w:rFonts w:hint="cs"/>
          <w:rtl/>
        </w:rPr>
        <w:t>הרמ"ך</w:t>
      </w:r>
      <w:r w:rsidRPr="00C444C9">
        <w:rPr>
          <w:rStyle w:val="aff4"/>
          <w:rFonts w:hint="cs"/>
          <w:vanish/>
          <w:rtl/>
        </w:rPr>
        <w:t>-</w:t>
      </w:r>
      <w:r>
        <w:rPr>
          <w:rFonts w:hint="cs"/>
          <w:rtl/>
        </w:rPr>
        <w:t xml:space="preserve"> דביאר דהא דאמרינן דכולם מלאכה אחת הן, הכוונה שכל המלאכות דנוטע ומבריך ומרכיב וזומר, הם תולדה של זורע, וביאר </w:t>
      </w:r>
      <w:r w:rsidRPr="00C444C9">
        <w:rPr>
          <w:rStyle w:val="aff4"/>
          <w:rFonts w:hint="cs"/>
          <w:vanish/>
          <w:rtl/>
        </w:rPr>
        <w:t>-</w:t>
      </w:r>
      <w:r w:rsidRPr="004F32D2">
        <w:rPr>
          <w:rStyle w:val="aff4"/>
          <w:rFonts w:hint="cs"/>
          <w:rtl/>
        </w:rPr>
        <w:t>הרמ"ך</w:t>
      </w:r>
      <w:r w:rsidRPr="00C444C9">
        <w:rPr>
          <w:rStyle w:val="aff4"/>
          <w:rFonts w:hint="cs"/>
          <w:vanish/>
          <w:rtl/>
        </w:rPr>
        <w:t>-</w:t>
      </w:r>
      <w:r>
        <w:rPr>
          <w:rFonts w:hint="cs"/>
          <w:rtl/>
        </w:rPr>
        <w:t xml:space="preserve"> דהחידוש הוא דחייב רק חטאת אחת על ב' תולדות ועל אב ותולדה, וכתב </w:t>
      </w:r>
      <w:r w:rsidRPr="00C444C9">
        <w:rPr>
          <w:rStyle w:val="aff4"/>
          <w:rFonts w:hint="cs"/>
          <w:vanish/>
          <w:rtl/>
        </w:rPr>
        <w:t>-</w:t>
      </w:r>
      <w:r w:rsidRPr="004F32D2">
        <w:rPr>
          <w:rStyle w:val="aff4"/>
          <w:rFonts w:hint="cs"/>
          <w:rtl/>
        </w:rPr>
        <w:t>הרמ"ך</w:t>
      </w:r>
      <w:r w:rsidRPr="00C444C9">
        <w:rPr>
          <w:rStyle w:val="aff4"/>
          <w:rFonts w:hint="cs"/>
          <w:vanish/>
          <w:rtl/>
        </w:rPr>
        <w:t>-</w:t>
      </w:r>
      <w:r>
        <w:rPr>
          <w:rFonts w:hint="cs"/>
          <w:rtl/>
        </w:rPr>
        <w:t xml:space="preserve"> דהא דאמרינן דזומר חייב משום נוטע, אינו ראיה לביאור </w:t>
      </w:r>
      <w:r w:rsidRPr="00C444C9">
        <w:rPr>
          <w:rStyle w:val="aff4"/>
          <w:rFonts w:hint="cs"/>
          <w:vanish/>
          <w:rtl/>
        </w:rPr>
        <w:t>-</w:t>
      </w:r>
      <w:r w:rsidRPr="004F32D2">
        <w:rPr>
          <w:rStyle w:val="aff4"/>
          <w:rFonts w:hint="cs"/>
          <w:rtl/>
        </w:rPr>
        <w:t>הרמב"ם</w:t>
      </w:r>
      <w:r w:rsidRPr="00C444C9">
        <w:rPr>
          <w:rStyle w:val="aff4"/>
          <w:rFonts w:hint="cs"/>
          <w:vanish/>
          <w:rtl/>
        </w:rPr>
        <w:t>-</w:t>
      </w:r>
      <w:r>
        <w:rPr>
          <w:rFonts w:hint="cs"/>
          <w:rtl/>
        </w:rPr>
        <w:t xml:space="preserve"> כדביארו </w:t>
      </w:r>
      <w:r w:rsidRPr="00C444C9">
        <w:rPr>
          <w:rStyle w:val="aff4"/>
          <w:rFonts w:hint="cs"/>
          <w:vanish/>
          <w:rtl/>
        </w:rPr>
        <w:t>-</w:t>
      </w:r>
      <w:r w:rsidRPr="004F32D2">
        <w:rPr>
          <w:rStyle w:val="aff4"/>
          <w:rFonts w:hint="cs"/>
          <w:rtl/>
        </w:rPr>
        <w:t>המפרשים</w:t>
      </w:r>
      <w:r w:rsidRPr="00C444C9">
        <w:rPr>
          <w:rStyle w:val="aff4"/>
          <w:rFonts w:hint="cs"/>
          <w:vanish/>
          <w:rtl/>
        </w:rPr>
        <w:t>-</w:t>
      </w:r>
      <w:r>
        <w:rPr>
          <w:rFonts w:hint="cs"/>
          <w:rtl/>
        </w:rPr>
        <w:t xml:space="preserve">, והניח </w:t>
      </w:r>
      <w:r w:rsidRPr="00C444C9">
        <w:rPr>
          <w:rStyle w:val="aff4"/>
          <w:rFonts w:hint="cs"/>
          <w:vanish/>
          <w:rtl/>
        </w:rPr>
        <w:t>-</w:t>
      </w:r>
      <w:r w:rsidRPr="004F32D2">
        <w:rPr>
          <w:rStyle w:val="aff4"/>
          <w:rFonts w:hint="cs"/>
          <w:rtl/>
        </w:rPr>
        <w:t>הרמ"ך</w:t>
      </w:r>
      <w:r w:rsidRPr="00C444C9">
        <w:rPr>
          <w:rStyle w:val="aff4"/>
          <w:rFonts w:hint="cs"/>
          <w:vanish/>
          <w:rtl/>
        </w:rPr>
        <w:t>-</w:t>
      </w:r>
      <w:r>
        <w:rPr>
          <w:rFonts w:hint="cs"/>
          <w:rtl/>
        </w:rPr>
        <w:t xml:space="preserve"> את דברי </w:t>
      </w:r>
      <w:r w:rsidRPr="00C444C9">
        <w:rPr>
          <w:rStyle w:val="aff4"/>
          <w:rFonts w:hint="cs"/>
          <w:vanish/>
          <w:rtl/>
        </w:rPr>
        <w:t>-</w:t>
      </w:r>
      <w:r w:rsidRPr="004F32D2">
        <w:rPr>
          <w:rStyle w:val="aff4"/>
          <w:rFonts w:hint="cs"/>
          <w:rtl/>
        </w:rPr>
        <w:t>הרמב"ם</w:t>
      </w:r>
      <w:r w:rsidRPr="00C444C9">
        <w:rPr>
          <w:rStyle w:val="aff4"/>
          <w:rFonts w:hint="cs"/>
          <w:vanish/>
          <w:rtl/>
        </w:rPr>
        <w:t>-</w:t>
      </w:r>
      <w:r>
        <w:rPr>
          <w:rFonts w:hint="cs"/>
          <w:rtl/>
        </w:rPr>
        <w:t xml:space="preserve"> בצ"ע.</w:t>
      </w:r>
      <w:bookmarkEnd w:id="292"/>
    </w:p>
    <w:p w14:paraId="2C9523B0" w14:textId="77777777" w:rsidR="009623A2" w:rsidRPr="00747170" w:rsidRDefault="009623A2" w:rsidP="00747170">
      <w:pPr>
        <w:pStyle w:val="a2"/>
        <w:rPr>
          <w:rtl/>
        </w:rPr>
      </w:pPr>
      <w:r w:rsidRPr="00747170">
        <w:rPr>
          <w:rtl/>
        </w:rPr>
        <w:t>וה"פ כולם מלאכה אחת הם וכולן תולדה מזורע ולאשמועינן אתא דאינו חייב אלא אחת על שתי תולדות ועל אב ותולדה וההיא דאמר זומר חייב משום נוטע לא מסייע ליה דמפרשינן ליה כמו שפירשוה המפרשים וצ"ע, עכ"ל:</w:t>
      </w:r>
    </w:p>
    <w:p w14:paraId="7086D054" w14:textId="74A4D655" w:rsidR="009623A2" w:rsidRDefault="009623A2" w:rsidP="009623A2">
      <w:pPr>
        <w:pStyle w:val="a7"/>
      </w:pPr>
      <w:bookmarkStart w:id="293" w:name="_Toc134419633"/>
      <w:r>
        <w:rPr>
          <w:rFonts w:hint="cs"/>
          <w:rtl/>
        </w:rPr>
        <w:t>בי' המ"מ בשם י"מ דהא דכולם הם מלאכה אחת הכוונה שהם תולדות אף שחלוקים רק בשם</w:t>
      </w:r>
      <w:bookmarkEnd w:id="293"/>
    </w:p>
    <w:p w14:paraId="7EF32BF6" w14:textId="3AA99339" w:rsidR="009623A2" w:rsidRDefault="009623A2" w:rsidP="00BC7DC8">
      <w:pPr>
        <w:pStyle w:val="a3"/>
        <w:rPr>
          <w:rtl/>
        </w:rPr>
      </w:pPr>
      <w:bookmarkStart w:id="294" w:name="_Ref133477457"/>
      <w:r>
        <w:rPr>
          <w:rFonts w:hint="cs"/>
          <w:rtl/>
        </w:rPr>
        <w:t xml:space="preserve">וכן הביא </w:t>
      </w:r>
      <w:r w:rsidRPr="00C444C9">
        <w:rPr>
          <w:rStyle w:val="aff4"/>
          <w:rFonts w:hint="cs"/>
          <w:vanish/>
          <w:rtl/>
        </w:rPr>
        <w:t>-</w:t>
      </w:r>
      <w:r w:rsidRPr="004F32D2">
        <w:rPr>
          <w:rStyle w:val="aff4"/>
          <w:rFonts w:hint="cs"/>
          <w:rtl/>
        </w:rPr>
        <w:t>ה</w:t>
      </w:r>
      <w:r w:rsidRPr="00C444C9">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Ref133477457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נח)</w:t>
      </w:r>
      <w:r>
        <w:rPr>
          <w:rStyle w:val="aff4"/>
          <w:vanish/>
          <w:rtl/>
        </w:rPr>
        <w:fldChar w:fldCharType="end"/>
      </w:r>
      <w:r w:rsidRPr="00C444C9">
        <w:rPr>
          <w:rStyle w:val="aff4"/>
          <w:rFonts w:hint="cs"/>
          <w:vanish/>
          <w:rtl/>
        </w:rPr>
        <w:t xml:space="preserve"> &gt;</w:t>
      </w:r>
      <w:r w:rsidRPr="004F32D2">
        <w:rPr>
          <w:rStyle w:val="aff4"/>
          <w:rFonts w:hint="cs"/>
          <w:rtl/>
        </w:rPr>
        <w:t>מ"מ</w:t>
      </w:r>
      <w:r w:rsidRPr="00C444C9">
        <w:rPr>
          <w:rStyle w:val="aff4"/>
          <w:rFonts w:hint="cs"/>
          <w:vanish/>
          <w:rtl/>
        </w:rPr>
        <w:t>-</w:t>
      </w:r>
      <w:r>
        <w:rPr>
          <w:rFonts w:hint="cs"/>
          <w:rtl/>
        </w:rPr>
        <w:t xml:space="preserve"> </w:t>
      </w:r>
      <w:r w:rsidRPr="002A0D0C">
        <w:rPr>
          <w:rStyle w:val="af2"/>
          <w:rFonts w:eastAsia="Guttman Hodes" w:hint="cs"/>
          <w:rtl/>
        </w:rPr>
        <w:t>(שבת פ"ז ה"ד)</w:t>
      </w:r>
      <w:r>
        <w:rPr>
          <w:rFonts w:hint="cs"/>
          <w:vanish/>
          <w:rtl/>
        </w:rPr>
        <w:t>=</w:t>
      </w:r>
      <w:r>
        <w:rPr>
          <w:rFonts w:hint="cs"/>
          <w:rtl/>
        </w:rPr>
        <w:t xml:space="preserve">  בשם </w:t>
      </w:r>
      <w:r w:rsidRPr="00C444C9">
        <w:rPr>
          <w:rStyle w:val="aff4"/>
          <w:rFonts w:hint="cs"/>
          <w:vanish/>
          <w:rtl/>
        </w:rPr>
        <w:t>-</w:t>
      </w:r>
      <w:r w:rsidRPr="004F32D2">
        <w:rPr>
          <w:rStyle w:val="aff4"/>
          <w:rFonts w:hint="cs"/>
          <w:rtl/>
        </w:rPr>
        <w:t>י"מ</w:t>
      </w:r>
      <w:r w:rsidRPr="00C444C9">
        <w:rPr>
          <w:rStyle w:val="aff4"/>
          <w:rFonts w:hint="cs"/>
          <w:vanish/>
          <w:rtl/>
        </w:rPr>
        <w:t>-</w:t>
      </w:r>
      <w:r>
        <w:rPr>
          <w:rFonts w:hint="cs"/>
          <w:rtl/>
        </w:rPr>
        <w:t xml:space="preserve"> </w:t>
      </w:r>
      <w:r w:rsidRPr="00CC24B8">
        <w:rPr>
          <w:rStyle w:val="af"/>
          <w:rFonts w:hint="cs"/>
          <w:rtl/>
        </w:rPr>
        <w:t>[</w:t>
      </w:r>
      <w:r w:rsidRPr="00C444C9">
        <w:rPr>
          <w:rStyle w:val="aff9"/>
          <w:rFonts w:hint="cs"/>
          <w:vanish/>
          <w:rtl/>
        </w:rPr>
        <w:t>-</w:t>
      </w:r>
      <w:r w:rsidRPr="00C444C9">
        <w:rPr>
          <w:rStyle w:val="aff9"/>
          <w:rFonts w:hint="cs"/>
          <w:rtl/>
        </w:rPr>
        <w:t>רמ"ך</w:t>
      </w:r>
      <w:r w:rsidRPr="00C444C9">
        <w:rPr>
          <w:rStyle w:val="aff9"/>
          <w:rFonts w:hint="cs"/>
          <w:vanish/>
          <w:rtl/>
        </w:rPr>
        <w:t>-</w:t>
      </w:r>
      <w:r w:rsidRPr="00CC24B8">
        <w:rPr>
          <w:rStyle w:val="af"/>
          <w:rFonts w:hint="cs"/>
          <w:rtl/>
        </w:rPr>
        <w:t xml:space="preserve"> </w:t>
      </w:r>
      <w:r w:rsidRPr="002A0D0C">
        <w:rPr>
          <w:rStyle w:val="af2"/>
          <w:rFonts w:eastAsia="Guttman Rashi" w:hint="cs"/>
          <w:rtl/>
        </w:rPr>
        <w:t xml:space="preserve">(עי' אות </w:t>
      </w:r>
      <w:r>
        <w:rPr>
          <w:rStyle w:val="af2"/>
          <w:rFonts w:eastAsia="Guttman Rashi"/>
          <w:rtl/>
        </w:rPr>
        <w:fldChar w:fldCharType="begin"/>
      </w:r>
      <w:r>
        <w:rPr>
          <w:rStyle w:val="af2"/>
          <w:rFonts w:eastAsia="Guttman Rashi"/>
          <w:rtl/>
        </w:rPr>
        <w:instrText xml:space="preserve"> </w:instrText>
      </w:r>
      <w:r>
        <w:rPr>
          <w:rStyle w:val="af2"/>
          <w:rFonts w:eastAsia="Guttman Rashi" w:hint="cs"/>
        </w:rPr>
        <w:instrText>REF</w:instrText>
      </w:r>
      <w:r>
        <w:rPr>
          <w:rStyle w:val="af2"/>
          <w:rFonts w:eastAsia="Guttman Rashi" w:hint="cs"/>
          <w:rtl/>
        </w:rPr>
        <w:instrText xml:space="preserve"> _</w:instrText>
      </w:r>
      <w:r>
        <w:rPr>
          <w:rStyle w:val="af2"/>
          <w:rFonts w:eastAsia="Guttman Rashi" w:hint="cs"/>
        </w:rPr>
        <w:instrText>Ref133823439 \r \h</w:instrText>
      </w:r>
      <w:r>
        <w:rPr>
          <w:rStyle w:val="af2"/>
          <w:rFonts w:eastAsia="Guttman Rashi"/>
          <w:rtl/>
        </w:rPr>
        <w:instrText xml:space="preserve"> </w:instrText>
      </w:r>
      <w:r>
        <w:rPr>
          <w:rStyle w:val="af2"/>
          <w:rFonts w:eastAsia="Guttman Rashi"/>
          <w:rtl/>
        </w:rPr>
      </w:r>
      <w:r>
        <w:rPr>
          <w:rStyle w:val="af2"/>
          <w:rFonts w:eastAsia="Guttman Rashi"/>
          <w:rtl/>
        </w:rPr>
        <w:fldChar w:fldCharType="separate"/>
      </w:r>
      <w:r w:rsidR="00D82181">
        <w:rPr>
          <w:rStyle w:val="af2"/>
          <w:rFonts w:eastAsia="Guttman Rashi"/>
          <w:cs/>
        </w:rPr>
        <w:t>‎</w:t>
      </w:r>
      <w:r w:rsidR="00D82181">
        <w:rPr>
          <w:rStyle w:val="af2"/>
          <w:rFonts w:eastAsia="Guttman Rashi"/>
          <w:rtl/>
        </w:rPr>
        <w:t>נז)</w:t>
      </w:r>
      <w:r>
        <w:rPr>
          <w:rStyle w:val="af2"/>
          <w:rFonts w:eastAsia="Guttman Rashi"/>
          <w:rtl/>
        </w:rPr>
        <w:fldChar w:fldCharType="end"/>
      </w:r>
      <w:r w:rsidRPr="00CC24B8">
        <w:rPr>
          <w:rStyle w:val="af"/>
          <w:rFonts w:hint="cs"/>
          <w:rtl/>
        </w:rPr>
        <w:t>]</w:t>
      </w:r>
      <w:r>
        <w:rPr>
          <w:rFonts w:hint="cs"/>
          <w:rtl/>
        </w:rPr>
        <w:t xml:space="preserve"> דביארו דהא דכולם הם מלאכה אחת, היינו שכולם תולדות של האב, אעפ"י שהחילוק ביניהם הוא רק בשם המלאכה, וכתב </w:t>
      </w:r>
      <w:r w:rsidRPr="00C444C9">
        <w:rPr>
          <w:rStyle w:val="aff4"/>
          <w:rFonts w:hint="cs"/>
          <w:vanish/>
          <w:rtl/>
        </w:rPr>
        <w:t>-</w:t>
      </w:r>
      <w:r w:rsidRPr="004F32D2">
        <w:rPr>
          <w:rStyle w:val="aff4"/>
          <w:rFonts w:hint="cs"/>
          <w:rtl/>
        </w:rPr>
        <w:t>המ"מ</w:t>
      </w:r>
      <w:r w:rsidRPr="00C444C9">
        <w:rPr>
          <w:rStyle w:val="aff4"/>
          <w:rFonts w:hint="cs"/>
          <w:vanish/>
          <w:rtl/>
        </w:rPr>
        <w:t>-</w:t>
      </w:r>
      <w:r>
        <w:rPr>
          <w:rFonts w:hint="cs"/>
          <w:rtl/>
        </w:rPr>
        <w:t xml:space="preserve"> דביאור </w:t>
      </w:r>
      <w:r w:rsidRPr="00C444C9">
        <w:rPr>
          <w:rStyle w:val="aff4"/>
          <w:rFonts w:hint="cs"/>
          <w:vanish/>
          <w:rtl/>
        </w:rPr>
        <w:t>-</w:t>
      </w:r>
      <w:r w:rsidRPr="004F32D2">
        <w:rPr>
          <w:rStyle w:val="aff4"/>
          <w:rFonts w:hint="cs"/>
          <w:rtl/>
        </w:rPr>
        <w:t>הרמב"ם</w:t>
      </w:r>
      <w:r w:rsidRPr="00C444C9">
        <w:rPr>
          <w:rStyle w:val="aff4"/>
          <w:rFonts w:hint="cs"/>
          <w:vanish/>
          <w:rtl/>
        </w:rPr>
        <w:t>-</w:t>
      </w:r>
      <w:r>
        <w:rPr>
          <w:rFonts w:hint="cs"/>
          <w:rtl/>
        </w:rPr>
        <w:t xml:space="preserve"> </w:t>
      </w:r>
      <w:r w:rsidRPr="00DA05D6">
        <w:rPr>
          <w:rStyle w:val="af2"/>
          <w:rFonts w:eastAsia="Guttman Hodes" w:hint="cs"/>
          <w:rtl/>
        </w:rPr>
        <w:t xml:space="preserve">(עי' אות </w:t>
      </w:r>
      <w:r w:rsidRPr="00DA05D6">
        <w:rPr>
          <w:rStyle w:val="af2"/>
          <w:rFonts w:eastAsia="Guttman Hodes"/>
          <w:rtl/>
        </w:rPr>
        <w:fldChar w:fldCharType="begin"/>
      </w:r>
      <w:r w:rsidRPr="00DA05D6">
        <w:rPr>
          <w:rStyle w:val="af2"/>
          <w:rFonts w:eastAsia="Guttman Hodes"/>
          <w:rtl/>
        </w:rPr>
        <w:instrText xml:space="preserve"> </w:instrText>
      </w:r>
      <w:r w:rsidRPr="00DA05D6">
        <w:rPr>
          <w:rStyle w:val="af2"/>
          <w:rFonts w:eastAsia="Guttman Hodes" w:hint="cs"/>
        </w:rPr>
        <w:instrText>REF</w:instrText>
      </w:r>
      <w:r w:rsidRPr="00DA05D6">
        <w:rPr>
          <w:rStyle w:val="af2"/>
          <w:rFonts w:eastAsia="Guttman Hodes" w:hint="cs"/>
          <w:rtl/>
        </w:rPr>
        <w:instrText xml:space="preserve"> _</w:instrText>
      </w:r>
      <w:r w:rsidRPr="00DA05D6">
        <w:rPr>
          <w:rStyle w:val="af2"/>
          <w:rFonts w:eastAsia="Guttman Hodes" w:hint="cs"/>
        </w:rPr>
        <w:instrText>Ref133477286 \r \h</w:instrText>
      </w:r>
      <w:r w:rsidRPr="00DA05D6">
        <w:rPr>
          <w:rStyle w:val="af2"/>
          <w:rFonts w:eastAsia="Guttman Hodes"/>
          <w:rtl/>
        </w:rPr>
        <w:instrText xml:space="preserve"> </w:instrText>
      </w:r>
      <w:r w:rsidRPr="00DA05D6">
        <w:rPr>
          <w:rStyle w:val="af2"/>
          <w:rFonts w:eastAsia="Guttman Hodes"/>
          <w:rtl/>
        </w:rPr>
      </w:r>
      <w:r w:rsidRPr="00DA05D6">
        <w:rPr>
          <w:rStyle w:val="af2"/>
          <w:rFonts w:eastAsia="Guttman Hodes"/>
          <w:rtl/>
        </w:rPr>
        <w:fldChar w:fldCharType="separate"/>
      </w:r>
      <w:r w:rsidR="00D82181">
        <w:rPr>
          <w:rStyle w:val="af2"/>
          <w:rFonts w:eastAsia="Guttman Hodes"/>
          <w:cs/>
        </w:rPr>
        <w:t>‎</w:t>
      </w:r>
      <w:r w:rsidR="00D82181">
        <w:rPr>
          <w:rStyle w:val="af2"/>
          <w:rFonts w:eastAsia="Guttman Hodes"/>
          <w:rtl/>
        </w:rPr>
        <w:t>כט)</w:t>
      </w:r>
      <w:r w:rsidRPr="00DA05D6">
        <w:rPr>
          <w:rStyle w:val="af2"/>
          <w:rFonts w:eastAsia="Guttman Hodes"/>
          <w:rtl/>
        </w:rPr>
        <w:fldChar w:fldCharType="end"/>
      </w:r>
      <w:r>
        <w:rPr>
          <w:rFonts w:hint="cs"/>
          <w:rtl/>
        </w:rPr>
        <w:t xml:space="preserve"> דכל המלאכות הללו הם אבות נראה עיקר, וזהו החידוש של הברייתא.</w:t>
      </w:r>
      <w:bookmarkEnd w:id="294"/>
      <w:r>
        <w:rPr>
          <w:rFonts w:hint="cs"/>
          <w:rtl/>
        </w:rPr>
        <w:t xml:space="preserve"> </w:t>
      </w:r>
    </w:p>
    <w:p w14:paraId="51EA6989" w14:textId="77777777" w:rsidR="009623A2" w:rsidRPr="00747170" w:rsidRDefault="009623A2" w:rsidP="00747170">
      <w:pPr>
        <w:pStyle w:val="a2"/>
      </w:pPr>
      <w:r w:rsidRPr="00747170">
        <w:rPr>
          <w:rFonts w:hint="cs"/>
          <w:rtl/>
        </w:rPr>
        <w:t>ויש מי שפירש כלן מלאכה אחת הן שהן תולדות לאב אחד ואף על פי שאין לנו בזה אלא שינוי השמות הפירוש הראשון נראה עיקר וזהו חידוש הברייתות:</w:t>
      </w:r>
    </w:p>
    <w:p w14:paraId="28DF9FA3" w14:textId="4EEF1ECE" w:rsidR="009623A2" w:rsidRDefault="009623A2" w:rsidP="009623A2">
      <w:pPr>
        <w:pStyle w:val="afffff7"/>
        <w:rPr>
          <w:rtl/>
        </w:rPr>
      </w:pPr>
      <w:bookmarkStart w:id="295" w:name="_Toc133841665"/>
      <w:bookmarkStart w:id="296" w:name="_Toc163505413"/>
      <w:r>
        <w:rPr>
          <w:rtl/>
        </w:rPr>
        <w:t>שו"ת רבי בצלאל אשכנזי סימן לח</w:t>
      </w:r>
      <w:r w:rsidRPr="00B61476">
        <w:rPr>
          <w:rFonts w:hint="cs"/>
          <w:rtl/>
        </w:rPr>
        <w:t xml:space="preserve"> </w:t>
      </w:r>
      <w:r>
        <w:rPr>
          <w:rFonts w:hint="cs"/>
          <w:rtl/>
        </w:rPr>
        <w:t>ד</w:t>
      </w:r>
      <w:r>
        <w:rPr>
          <w:rFonts w:cs="Guttman Hodes" w:hint="cs"/>
          <w:rtl/>
        </w:rPr>
        <w:t>"</w:t>
      </w:r>
      <w:r>
        <w:rPr>
          <w:rFonts w:hint="cs"/>
          <w:rtl/>
        </w:rPr>
        <w:t>ה והקשה הרב</w:t>
      </w:r>
      <w:bookmarkEnd w:id="295"/>
      <w:bookmarkEnd w:id="296"/>
    </w:p>
    <w:p w14:paraId="25FBF527" w14:textId="77777777" w:rsidR="009623A2" w:rsidRDefault="009623A2" w:rsidP="009623A2">
      <w:pPr>
        <w:pStyle w:val="a7"/>
        <w:rPr>
          <w:rtl/>
        </w:rPr>
      </w:pPr>
      <w:bookmarkStart w:id="297" w:name="_Toc134419634"/>
      <w:r>
        <w:rPr>
          <w:rFonts w:hint="cs"/>
          <w:rtl/>
        </w:rPr>
        <w:t>תי' רבי בצלאל אשכנזי דלבי' פיהמ"ש אין הכוונה שכולם כמו האב עצמו אלא דהם מעין האב</w:t>
      </w:r>
      <w:bookmarkEnd w:id="297"/>
    </w:p>
    <w:p w14:paraId="4DF890D7" w14:textId="202DB136" w:rsidR="009623A2" w:rsidRPr="00A5189C" w:rsidRDefault="009623A2" w:rsidP="00BC7DC8">
      <w:pPr>
        <w:pStyle w:val="a3"/>
      </w:pPr>
      <w:bookmarkStart w:id="298" w:name="_Ref133477951"/>
      <w:r>
        <w:rPr>
          <w:rFonts w:hint="cs"/>
          <w:rtl/>
        </w:rPr>
        <w:t xml:space="preserve">במה שהקשה </w:t>
      </w:r>
      <w:r w:rsidRPr="00C444C9">
        <w:rPr>
          <w:rStyle w:val="aff4"/>
          <w:rFonts w:hint="cs"/>
          <w:vanish/>
          <w:rtl/>
        </w:rPr>
        <w:t>-</w:t>
      </w:r>
      <w:r w:rsidRPr="004F32D2">
        <w:rPr>
          <w:rStyle w:val="aff4"/>
          <w:rFonts w:hint="cs"/>
          <w:rtl/>
        </w:rPr>
        <w:t>הרמ"ך</w:t>
      </w:r>
      <w:r w:rsidRPr="00C444C9">
        <w:rPr>
          <w:rStyle w:val="aff4"/>
          <w:rFonts w:hint="cs"/>
          <w:vanish/>
          <w:rtl/>
        </w:rPr>
        <w:t>-</w:t>
      </w:r>
      <w:r w:rsidRPr="001C0105">
        <w:rPr>
          <w:rStyle w:val="aff4"/>
          <w:rFonts w:hint="cs"/>
          <w:rtl/>
        </w:rPr>
        <w:t xml:space="preserve"> </w:t>
      </w:r>
      <w:r w:rsidRPr="002A0D0C">
        <w:rPr>
          <w:rStyle w:val="af2"/>
          <w:rFonts w:eastAsia="Guttman Hodes" w:hint="cs"/>
          <w:rtl/>
        </w:rPr>
        <w:t xml:space="preserve">(עי' אות </w:t>
      </w:r>
      <w:r w:rsidRPr="002A0D0C">
        <w:rPr>
          <w:rStyle w:val="af2"/>
          <w:rFonts w:eastAsia="Guttman Hodes"/>
          <w:rtl/>
        </w:rPr>
        <w:fldChar w:fldCharType="begin"/>
      </w:r>
      <w:r w:rsidRPr="002A0D0C">
        <w:rPr>
          <w:rStyle w:val="af2"/>
          <w:rFonts w:eastAsia="Guttman Hodes"/>
          <w:rtl/>
        </w:rPr>
        <w:instrText xml:space="preserve"> </w:instrText>
      </w:r>
      <w:r w:rsidRPr="002A0D0C">
        <w:rPr>
          <w:rStyle w:val="af2"/>
          <w:rFonts w:eastAsia="Guttman Hodes" w:hint="cs"/>
        </w:rPr>
        <w:instrText>REF</w:instrText>
      </w:r>
      <w:r w:rsidRPr="002A0D0C">
        <w:rPr>
          <w:rStyle w:val="af2"/>
          <w:rFonts w:eastAsia="Guttman Hodes" w:hint="cs"/>
          <w:rtl/>
        </w:rPr>
        <w:instrText xml:space="preserve"> _</w:instrText>
      </w:r>
      <w:r w:rsidRPr="002A0D0C">
        <w:rPr>
          <w:rStyle w:val="af2"/>
          <w:rFonts w:eastAsia="Guttman Hodes" w:hint="cs"/>
        </w:rPr>
        <w:instrText>Ref130417432 \r \h</w:instrText>
      </w:r>
      <w:r w:rsidRPr="002A0D0C">
        <w:rPr>
          <w:rStyle w:val="af2"/>
          <w:rFonts w:eastAsia="Guttman Hodes"/>
          <w:rtl/>
        </w:rPr>
        <w:instrText xml:space="preserve"> </w:instrText>
      </w:r>
      <w:r w:rsidRPr="002A0D0C">
        <w:rPr>
          <w:rStyle w:val="af2"/>
          <w:rFonts w:eastAsia="Guttman Hodes"/>
          <w:rtl/>
        </w:rPr>
      </w:r>
      <w:r w:rsidRPr="002A0D0C">
        <w:rPr>
          <w:rStyle w:val="af2"/>
          <w:rFonts w:eastAsia="Guttman Hodes"/>
          <w:rtl/>
        </w:rPr>
        <w:fldChar w:fldCharType="separate"/>
      </w:r>
      <w:r w:rsidR="00D82181">
        <w:rPr>
          <w:rStyle w:val="af2"/>
          <w:rFonts w:eastAsia="Guttman Hodes"/>
          <w:cs/>
        </w:rPr>
        <w:t>‎</w:t>
      </w:r>
      <w:r w:rsidR="00D82181">
        <w:rPr>
          <w:rStyle w:val="af2"/>
          <w:rFonts w:eastAsia="Guttman Hodes"/>
          <w:rtl/>
        </w:rPr>
        <w:t>נו)</w:t>
      </w:r>
      <w:r w:rsidRPr="002A0D0C">
        <w:rPr>
          <w:rStyle w:val="af2"/>
          <w:rFonts w:eastAsia="Guttman Hodes"/>
          <w:rtl/>
        </w:rPr>
        <w:fldChar w:fldCharType="end"/>
      </w:r>
      <w:r>
        <w:rPr>
          <w:rFonts w:hint="cs"/>
          <w:rtl/>
        </w:rPr>
        <w:t xml:space="preserve"> על מ"ש </w:t>
      </w:r>
      <w:r w:rsidRPr="00C444C9">
        <w:rPr>
          <w:rStyle w:val="aff4"/>
          <w:rFonts w:hint="cs"/>
          <w:vanish/>
          <w:rtl/>
        </w:rPr>
        <w:t>-</w:t>
      </w:r>
      <w:r w:rsidRPr="004F32D2">
        <w:rPr>
          <w:rStyle w:val="aff4"/>
          <w:rFonts w:hint="cs"/>
          <w:rtl/>
        </w:rPr>
        <w:t>הרמב"ם</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sidRPr="002A0D0C">
        <w:rPr>
          <w:rStyle w:val="af2"/>
          <w:rFonts w:eastAsia="Guttman Hodes"/>
          <w:rtl/>
        </w:rPr>
        <w:fldChar w:fldCharType="begin"/>
      </w:r>
      <w:r w:rsidRPr="002A0D0C">
        <w:rPr>
          <w:rStyle w:val="af2"/>
          <w:rFonts w:eastAsia="Guttman Hodes"/>
          <w:rtl/>
        </w:rPr>
        <w:instrText xml:space="preserve"> </w:instrText>
      </w:r>
      <w:r w:rsidRPr="002A0D0C">
        <w:rPr>
          <w:rStyle w:val="af2"/>
          <w:rFonts w:eastAsia="Guttman Hodes" w:hint="cs"/>
        </w:rPr>
        <w:instrText>REF</w:instrText>
      </w:r>
      <w:r w:rsidRPr="002A0D0C">
        <w:rPr>
          <w:rStyle w:val="af2"/>
          <w:rFonts w:eastAsia="Guttman Hodes" w:hint="cs"/>
          <w:rtl/>
        </w:rPr>
        <w:instrText xml:space="preserve"> _</w:instrText>
      </w:r>
      <w:r w:rsidRPr="002A0D0C">
        <w:rPr>
          <w:rStyle w:val="af2"/>
          <w:rFonts w:eastAsia="Guttman Hodes" w:hint="cs"/>
        </w:rPr>
        <w:instrText>Ref130239677 \r \h</w:instrText>
      </w:r>
      <w:r w:rsidRPr="002A0D0C">
        <w:rPr>
          <w:rStyle w:val="af2"/>
          <w:rFonts w:eastAsia="Guttman Hodes"/>
          <w:rtl/>
        </w:rPr>
        <w:instrText xml:space="preserve"> </w:instrText>
      </w:r>
      <w:r w:rsidRPr="002A0D0C">
        <w:rPr>
          <w:rStyle w:val="af2"/>
          <w:rFonts w:eastAsia="Guttman Hodes"/>
          <w:rtl/>
        </w:rPr>
      </w:r>
      <w:r w:rsidRPr="002A0D0C">
        <w:rPr>
          <w:rStyle w:val="af2"/>
          <w:rFonts w:eastAsia="Guttman Hodes"/>
          <w:rtl/>
        </w:rPr>
        <w:fldChar w:fldCharType="separate"/>
      </w:r>
      <w:r w:rsidR="00D82181">
        <w:rPr>
          <w:rStyle w:val="af2"/>
          <w:rFonts w:eastAsia="Guttman Hodes"/>
          <w:cs/>
        </w:rPr>
        <w:t>‎</w:t>
      </w:r>
      <w:r w:rsidR="00D82181">
        <w:rPr>
          <w:rStyle w:val="af2"/>
          <w:rFonts w:eastAsia="Guttman Hodes"/>
          <w:rtl/>
        </w:rPr>
        <w:t>כח)</w:t>
      </w:r>
      <w:r w:rsidRPr="002A0D0C">
        <w:rPr>
          <w:rStyle w:val="af2"/>
          <w:rFonts w:eastAsia="Guttman Hodes"/>
          <w:rtl/>
        </w:rPr>
        <w:fldChar w:fldCharType="end"/>
      </w:r>
      <w:r>
        <w:rPr>
          <w:rFonts w:hint="cs"/>
          <w:rtl/>
        </w:rPr>
        <w:t xml:space="preserve"> דל"ט מלאכות וכל דבר שהוא מענינם הוא אב, ד</w:t>
      </w:r>
      <w:r w:rsidRPr="00294A8C">
        <w:rPr>
          <w:rFonts w:hint="cs"/>
          <w:rtl/>
        </w:rPr>
        <w:t>אמאי תנן שיש ל"ט אבות מלאכות, הא יש יותר מחמישים אבות,</w:t>
      </w:r>
      <w:r>
        <w:rPr>
          <w:rFonts w:hint="cs"/>
          <w:rtl/>
        </w:rPr>
        <w:t xml:space="preserve"> הביא</w:t>
      </w:r>
      <w:r w:rsidRPr="00294A8C">
        <w:rPr>
          <w:rFonts w:hint="cs"/>
          <w:rtl/>
        </w:rPr>
        <w:t xml:space="preserve"> </w:t>
      </w:r>
      <w:r w:rsidRPr="00C444C9">
        <w:rPr>
          <w:rStyle w:val="aff4"/>
          <w:rFonts w:hint="cs"/>
          <w:vanish/>
          <w:rtl/>
        </w:rPr>
        <w:t>-</w:t>
      </w:r>
      <w:r w:rsidRPr="004F32D2">
        <w:rPr>
          <w:rStyle w:val="aff4"/>
          <w:rFonts w:hint="cs"/>
          <w:rtl/>
        </w:rPr>
        <w:t>ב</w:t>
      </w:r>
      <w:r w:rsidRPr="00C444C9">
        <w:rPr>
          <w:rStyle w:val="aff4"/>
          <w:rFonts w:hint="cs"/>
          <w:vanish/>
          <w:rtl/>
        </w:rPr>
        <w:t xml:space="preserve">&lt;. </w:t>
      </w:r>
      <w:r w:rsidRPr="00C444C9">
        <w:rPr>
          <w:rStyle w:val="aff4"/>
          <w:vanish/>
          <w:rtl/>
        </w:rPr>
        <w:fldChar w:fldCharType="begin"/>
      </w:r>
      <w:r w:rsidRPr="00C444C9">
        <w:rPr>
          <w:rStyle w:val="aff4"/>
          <w:vanish/>
          <w:rtl/>
        </w:rPr>
        <w:instrText xml:space="preserve"> </w:instrText>
      </w:r>
      <w:r w:rsidRPr="00C444C9">
        <w:rPr>
          <w:rStyle w:val="aff4"/>
          <w:rFonts w:hint="cs"/>
          <w:vanish/>
        </w:rPr>
        <w:instrText>REF</w:instrText>
      </w:r>
      <w:r w:rsidRPr="00C444C9">
        <w:rPr>
          <w:rStyle w:val="aff4"/>
          <w:rFonts w:hint="cs"/>
          <w:vanish/>
          <w:rtl/>
        </w:rPr>
        <w:instrText xml:space="preserve"> _</w:instrText>
      </w:r>
      <w:r w:rsidRPr="00C444C9">
        <w:rPr>
          <w:rStyle w:val="aff4"/>
          <w:rFonts w:hint="cs"/>
          <w:vanish/>
        </w:rPr>
        <w:instrText>Ref133477951 \r \h</w:instrText>
      </w:r>
      <w:r w:rsidRPr="00C444C9">
        <w:rPr>
          <w:rStyle w:val="aff4"/>
          <w:vanish/>
          <w:rtl/>
        </w:rPr>
        <w:instrText xml:space="preserve">  \* </w:instrText>
      </w:r>
      <w:r w:rsidRPr="00C444C9">
        <w:rPr>
          <w:rStyle w:val="aff4"/>
          <w:vanish/>
        </w:rPr>
        <w:instrText>MERGEFORMAT</w:instrText>
      </w:r>
      <w:r w:rsidRPr="00C444C9">
        <w:rPr>
          <w:rStyle w:val="aff4"/>
          <w:vanish/>
          <w:rtl/>
        </w:rPr>
        <w:instrText xml:space="preserve"> </w:instrText>
      </w:r>
      <w:r w:rsidRPr="00C444C9">
        <w:rPr>
          <w:rStyle w:val="aff4"/>
          <w:vanish/>
          <w:rtl/>
        </w:rPr>
      </w:r>
      <w:r w:rsidRPr="00C444C9">
        <w:rPr>
          <w:rStyle w:val="aff4"/>
          <w:vanish/>
          <w:rtl/>
        </w:rPr>
        <w:fldChar w:fldCharType="separate"/>
      </w:r>
      <w:r w:rsidR="00D82181">
        <w:rPr>
          <w:rStyle w:val="aff4"/>
          <w:vanish/>
          <w:cs/>
        </w:rPr>
        <w:t>‎</w:t>
      </w:r>
      <w:r w:rsidR="00D82181">
        <w:rPr>
          <w:rStyle w:val="aff4"/>
          <w:vanish/>
          <w:rtl/>
        </w:rPr>
        <w:t>נט)</w:t>
      </w:r>
      <w:r w:rsidRPr="00C444C9">
        <w:rPr>
          <w:rStyle w:val="aff4"/>
          <w:vanish/>
          <w:rtl/>
        </w:rPr>
        <w:fldChar w:fldCharType="end"/>
      </w:r>
      <w:r w:rsidRPr="00C444C9">
        <w:rPr>
          <w:rStyle w:val="aff4"/>
          <w:rFonts w:hint="cs"/>
          <w:vanish/>
          <w:rtl/>
        </w:rPr>
        <w:t xml:space="preserve"> &gt;</w:t>
      </w:r>
      <w:r w:rsidRPr="004F32D2">
        <w:rPr>
          <w:rStyle w:val="aff4"/>
          <w:rFonts w:hint="cs"/>
          <w:rtl/>
        </w:rPr>
        <w:t>שו"ת רבי בצלאל אשכנזי</w:t>
      </w:r>
      <w:r w:rsidRPr="00C444C9">
        <w:rPr>
          <w:rStyle w:val="aff4"/>
          <w:rFonts w:hint="cs"/>
          <w:vanish/>
          <w:rtl/>
        </w:rPr>
        <w:t>-</w:t>
      </w:r>
      <w:r>
        <w:rPr>
          <w:rFonts w:hint="cs"/>
          <w:rtl/>
        </w:rPr>
        <w:t xml:space="preserve"> </w:t>
      </w:r>
      <w:r w:rsidRPr="002A0D0C">
        <w:rPr>
          <w:rStyle w:val="af2"/>
          <w:rFonts w:eastAsia="Guttman Hodes" w:hint="cs"/>
          <w:rtl/>
        </w:rPr>
        <w:t>(סי' ל"ח ד"ה והקשה הרב)</w:t>
      </w:r>
      <w:r w:rsidRPr="00345748">
        <w:rPr>
          <w:rFonts w:hint="cs"/>
          <w:vanish/>
          <w:rtl/>
        </w:rPr>
        <w:t>=</w:t>
      </w:r>
      <w:r>
        <w:rPr>
          <w:rFonts w:hint="cs"/>
          <w:rtl/>
        </w:rPr>
        <w:t xml:space="preserve"> את דברי </w:t>
      </w:r>
      <w:r w:rsidRPr="00C444C9">
        <w:rPr>
          <w:rStyle w:val="aff4"/>
          <w:rFonts w:hint="cs"/>
          <w:vanish/>
          <w:rtl/>
        </w:rPr>
        <w:t>-</w:t>
      </w:r>
      <w:r w:rsidRPr="004F32D2">
        <w:rPr>
          <w:rStyle w:val="aff4"/>
          <w:rFonts w:hint="cs"/>
          <w:rtl/>
        </w:rPr>
        <w:t>הרמב"ם בפיהמ"ש</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Ref133575250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לב)</w:t>
      </w:r>
      <w:r>
        <w:rPr>
          <w:rStyle w:val="af2"/>
          <w:rFonts w:eastAsia="Guttman Hodes"/>
          <w:rtl/>
        </w:rPr>
        <w:fldChar w:fldCharType="end"/>
      </w:r>
      <w:r>
        <w:rPr>
          <w:rFonts w:hint="cs"/>
          <w:rtl/>
        </w:rPr>
        <w:t xml:space="preserve">  דכתב דכל האבות הם דוגמא למלאכה של האב עצמו, דכל דבר שדומה להם הוא בכלל האב, וביאר </w:t>
      </w:r>
      <w:r w:rsidRPr="00C444C9">
        <w:rPr>
          <w:rStyle w:val="aff4"/>
          <w:rFonts w:hint="cs"/>
          <w:vanish/>
          <w:rtl/>
        </w:rPr>
        <w:t>-</w:t>
      </w:r>
      <w:r w:rsidRPr="004F32D2">
        <w:rPr>
          <w:rStyle w:val="aff4"/>
          <w:rFonts w:hint="cs"/>
          <w:rtl/>
        </w:rPr>
        <w:t>הרמב"ם בפיהמ"ש</w:t>
      </w:r>
      <w:r w:rsidRPr="00C444C9">
        <w:rPr>
          <w:rStyle w:val="aff4"/>
          <w:rFonts w:hint="cs"/>
          <w:vanish/>
          <w:rtl/>
        </w:rPr>
        <w:t>-</w:t>
      </w:r>
      <w:r>
        <w:rPr>
          <w:rFonts w:hint="cs"/>
          <w:rtl/>
        </w:rPr>
        <w:t xml:space="preserve"> דקוצר הוא אב, וה"ה תולש ואורה ובוצר דא"א לומר דהם תולדת קוצר, אלא הם קוצר ממש, וכתב </w:t>
      </w:r>
      <w:r w:rsidRPr="00C444C9">
        <w:rPr>
          <w:rStyle w:val="aff4"/>
          <w:rFonts w:hint="cs"/>
          <w:vanish/>
          <w:rtl/>
        </w:rPr>
        <w:t>-</w:t>
      </w:r>
      <w:r w:rsidRPr="004F32D2">
        <w:rPr>
          <w:rStyle w:val="aff4"/>
          <w:rFonts w:hint="cs"/>
          <w:rtl/>
        </w:rPr>
        <w:t>הרמב"ם בפיהמ"ש</w:t>
      </w:r>
      <w:r w:rsidRPr="00C444C9">
        <w:rPr>
          <w:rStyle w:val="aff4"/>
          <w:rFonts w:hint="cs"/>
          <w:vanish/>
          <w:rtl/>
        </w:rPr>
        <w:t>-</w:t>
      </w:r>
      <w:r>
        <w:rPr>
          <w:rFonts w:hint="cs"/>
          <w:rtl/>
        </w:rPr>
        <w:t xml:space="preserve"> דזה הביאור בהא דתנן במתני' לעיל </w:t>
      </w:r>
      <w:r w:rsidRPr="002A0D0C">
        <w:rPr>
          <w:rStyle w:val="af2"/>
          <w:rFonts w:eastAsia="Guttman Hodes" w:hint="cs"/>
          <w:rtl/>
        </w:rPr>
        <w:t>(סח.)</w:t>
      </w:r>
      <w:r>
        <w:rPr>
          <w:rFonts w:hint="cs"/>
          <w:rtl/>
        </w:rPr>
        <w:t xml:space="preserve"> "מלאכות הרבה מעין מלאכה אחת"</w:t>
      </w:r>
      <w:r w:rsidRPr="007A3F72">
        <w:rPr>
          <w:rFonts w:hint="cs"/>
          <w:rtl/>
        </w:rPr>
        <w:t xml:space="preserve"> </w:t>
      </w:r>
      <w:r>
        <w:rPr>
          <w:rFonts w:hint="cs"/>
          <w:rtl/>
        </w:rPr>
        <w:t xml:space="preserve">וכתב </w:t>
      </w:r>
      <w:r w:rsidRPr="00C444C9">
        <w:rPr>
          <w:rStyle w:val="aff4"/>
          <w:rFonts w:hint="cs"/>
          <w:vanish/>
          <w:rtl/>
        </w:rPr>
        <w:t>-</w:t>
      </w:r>
      <w:r w:rsidRPr="004F32D2">
        <w:rPr>
          <w:rStyle w:val="aff4"/>
          <w:rFonts w:hint="cs"/>
          <w:rtl/>
        </w:rPr>
        <w:t>בשו"ת רבי בצלאל אשכנזי</w:t>
      </w:r>
      <w:r w:rsidRPr="00C444C9">
        <w:rPr>
          <w:rStyle w:val="aff4"/>
          <w:rFonts w:hint="cs"/>
          <w:vanish/>
          <w:rtl/>
        </w:rPr>
        <w:t>-</w:t>
      </w:r>
      <w:r>
        <w:rPr>
          <w:rFonts w:hint="cs"/>
          <w:rtl/>
        </w:rPr>
        <w:t xml:space="preserve"> דלפי"ז מתורצת קושית </w:t>
      </w:r>
      <w:r w:rsidRPr="00C444C9">
        <w:rPr>
          <w:rStyle w:val="aff4"/>
          <w:rFonts w:hint="cs"/>
          <w:vanish/>
          <w:rtl/>
        </w:rPr>
        <w:t>-</w:t>
      </w:r>
      <w:r w:rsidRPr="004F32D2">
        <w:rPr>
          <w:rStyle w:val="aff4"/>
          <w:rFonts w:hint="cs"/>
          <w:rtl/>
        </w:rPr>
        <w:t>הרמ"ך</w:t>
      </w:r>
      <w:r w:rsidRPr="00C444C9">
        <w:rPr>
          <w:rStyle w:val="aff4"/>
          <w:rFonts w:hint="cs"/>
          <w:vanish/>
          <w:rtl/>
        </w:rPr>
        <w:t>-</w:t>
      </w:r>
      <w:r>
        <w:rPr>
          <w:rFonts w:hint="cs"/>
          <w:rtl/>
        </w:rPr>
        <w:t xml:space="preserve"> דלא הוסיף </w:t>
      </w:r>
      <w:r w:rsidRPr="00C444C9">
        <w:rPr>
          <w:rStyle w:val="aff4"/>
          <w:rFonts w:hint="cs"/>
          <w:vanish/>
          <w:rtl/>
        </w:rPr>
        <w:t>-</w:t>
      </w:r>
      <w:r w:rsidRPr="004F32D2">
        <w:rPr>
          <w:rStyle w:val="aff4"/>
          <w:rFonts w:hint="cs"/>
          <w:rtl/>
        </w:rPr>
        <w:t>הרמב"ם</w:t>
      </w:r>
      <w:r w:rsidRPr="00C444C9">
        <w:rPr>
          <w:rStyle w:val="aff4"/>
          <w:rFonts w:hint="cs"/>
          <w:vanish/>
          <w:rtl/>
        </w:rPr>
        <w:t>-</w:t>
      </w:r>
      <w:r>
        <w:rPr>
          <w:rFonts w:hint="cs"/>
          <w:rtl/>
        </w:rPr>
        <w:t xml:space="preserve"> כלל על ל"ט אבות, אלא ביאר דמבריך ומרכיב ובוצר ומוסק הם האב עצמו אף שלא היו במשכן. </w:t>
      </w:r>
      <w:r w:rsidRPr="002A0D0C">
        <w:rPr>
          <w:rStyle w:val="af"/>
          <w:rFonts w:hint="cs"/>
          <w:rtl/>
        </w:rPr>
        <w:t xml:space="preserve">[והוסיף </w:t>
      </w:r>
      <w:r w:rsidRPr="001145E2">
        <w:rPr>
          <w:rStyle w:val="aff9"/>
          <w:rFonts w:hint="cs"/>
          <w:vanish/>
          <w:rtl/>
        </w:rPr>
        <w:t>-</w:t>
      </w:r>
      <w:r w:rsidRPr="002A0D0C">
        <w:rPr>
          <w:rStyle w:val="aff9"/>
          <w:rFonts w:hint="cs"/>
          <w:rtl/>
        </w:rPr>
        <w:t>בשו"ת רבי בצלאל אשכנזי</w:t>
      </w:r>
      <w:r w:rsidRPr="001145E2">
        <w:rPr>
          <w:rStyle w:val="aff9"/>
          <w:rFonts w:hint="cs"/>
          <w:vanish/>
          <w:rtl/>
        </w:rPr>
        <w:t>-</w:t>
      </w:r>
      <w:r w:rsidRPr="002A0D0C">
        <w:rPr>
          <w:rStyle w:val="af"/>
          <w:rFonts w:hint="cs"/>
          <w:rtl/>
        </w:rPr>
        <w:t xml:space="preserve"> דלכן שינה </w:t>
      </w:r>
      <w:r w:rsidRPr="001145E2">
        <w:rPr>
          <w:rStyle w:val="aff9"/>
          <w:rFonts w:hint="cs"/>
          <w:vanish/>
          <w:rtl/>
        </w:rPr>
        <w:t>-</w:t>
      </w:r>
      <w:r w:rsidRPr="002A0D0C">
        <w:rPr>
          <w:rStyle w:val="aff9"/>
          <w:rFonts w:hint="cs"/>
          <w:rtl/>
        </w:rPr>
        <w:t>הרמב"ם</w:t>
      </w:r>
      <w:r w:rsidRPr="001145E2">
        <w:rPr>
          <w:rStyle w:val="aff9"/>
          <w:rFonts w:hint="cs"/>
          <w:vanish/>
          <w:rtl/>
        </w:rPr>
        <w:t>-</w:t>
      </w:r>
      <w:r w:rsidRPr="002A0D0C">
        <w:rPr>
          <w:rStyle w:val="af"/>
          <w:rFonts w:hint="cs"/>
          <w:rtl/>
        </w:rPr>
        <w:t xml:space="preserve"> בלשונו מלשון מתני', דבמתני' תני "הזורע החורש" שהם על פעולת האדם, ואילו </w:t>
      </w:r>
      <w:r w:rsidRPr="001145E2">
        <w:rPr>
          <w:rStyle w:val="aff9"/>
          <w:rFonts w:hint="cs"/>
          <w:vanish/>
          <w:rtl/>
        </w:rPr>
        <w:t>-</w:t>
      </w:r>
      <w:r w:rsidRPr="002A0D0C">
        <w:rPr>
          <w:rStyle w:val="aff9"/>
          <w:rFonts w:hint="cs"/>
          <w:rtl/>
        </w:rPr>
        <w:t>הרמב"ם</w:t>
      </w:r>
      <w:r w:rsidRPr="001145E2">
        <w:rPr>
          <w:rStyle w:val="aff9"/>
          <w:rFonts w:hint="cs"/>
          <w:vanish/>
          <w:rtl/>
        </w:rPr>
        <w:t>-</w:t>
      </w:r>
      <w:r w:rsidRPr="002A0D0C">
        <w:rPr>
          <w:rStyle w:val="af"/>
          <w:rFonts w:hint="cs"/>
          <w:rtl/>
        </w:rPr>
        <w:t xml:space="preserve"> כתב "הזריעה החרישה" שהם על מעשה המלאכה, כיון דהמשנה ביארה את המלאכה עצמה שהייתה במשכן, בלשון האדם שפועל את המלאכה, </w:t>
      </w:r>
      <w:r w:rsidRPr="001145E2">
        <w:rPr>
          <w:rStyle w:val="aff9"/>
          <w:rFonts w:hint="cs"/>
          <w:vanish/>
          <w:rtl/>
        </w:rPr>
        <w:t>-</w:t>
      </w:r>
      <w:r w:rsidRPr="002A0D0C">
        <w:rPr>
          <w:rStyle w:val="aff9"/>
          <w:rFonts w:hint="cs"/>
          <w:rtl/>
        </w:rPr>
        <w:t>והרמב"ם</w:t>
      </w:r>
      <w:r w:rsidRPr="001145E2">
        <w:rPr>
          <w:rStyle w:val="aff9"/>
          <w:rFonts w:hint="cs"/>
          <w:vanish/>
          <w:rtl/>
        </w:rPr>
        <w:t>-</w:t>
      </w:r>
      <w:r w:rsidRPr="002A0D0C">
        <w:rPr>
          <w:rStyle w:val="af"/>
          <w:rFonts w:hint="cs"/>
          <w:rtl/>
        </w:rPr>
        <w:t xml:space="preserve"> כתב בלשון של שם המלאכה לכלול בה את כל מה שהוא בכלל הענין של האב]</w:t>
      </w:r>
      <w:r w:rsidRPr="00345748">
        <w:rPr>
          <w:rStyle w:val="af"/>
          <w:rFonts w:hint="cs"/>
          <w:rtl/>
        </w:rPr>
        <w:t>.</w:t>
      </w:r>
      <w:bookmarkEnd w:id="298"/>
    </w:p>
    <w:p w14:paraId="53D9605F" w14:textId="77777777" w:rsidR="009623A2" w:rsidRPr="00747170" w:rsidRDefault="009623A2" w:rsidP="00747170">
      <w:pPr>
        <w:pStyle w:val="a2"/>
      </w:pPr>
      <w:r w:rsidRPr="00747170">
        <w:rPr>
          <w:rtl/>
        </w:rPr>
        <w:t xml:space="preserve"> והקשה הרב רבי משה הכהן ז"ל על הרב ז"ל אם כל אלו הם אבות אמאי חשיב מ' חסר א' ה"ל לחשוב יותר מנ' ועוד דאמרי' בכמה מקומות מלאכה דהוה במשכן חשיבא וקרי לה אב דלא הוה במשכן קרי לה תולדה וחופר וחורש ומבריך ומרכיב ובוצר ומוסק לא היו במשכן וכו' ולכך פירש דהא דתניא הקוצר והבוצר וכו' כולן מלאכה אחת הן שהן תולדות לאב אחד. ודע דכדי לתרץ זה כתב הרב ז"ל בפי' המשנה ז"ל ואלו האבות כלם דמיונות והוא כי אמרם קוצר הוא מאבות מלאכות וכמו כן על התולש צמח מחובר לארץ כשכונתו באותו דבר שתולש כמי שאורה תאני' או בוצר ענבים או חובט זתים כל א' מאלו המלאכות לא נאמר בהם שהן תולדות קוצר אבל הוא קוצר ממש כאשר לא נאמר במי ששחט כבש או שור שהוא תולדת השוחט או במי שבשל תבשיל מן התבשילין שהוא תולדת האופה אלא הוא אופה עצמו וזהו שאמרו בו מלאכות הרבה מעין מלאכה אחת אבל התולדה היא שתקח ענין אותה המלאכה המנויה באבות בשכלך ובאיזה מקום שתמצא אותו הענין הוא תולדה לאותו האב המשל לזה אמרנו כי הטוחן הוא מאבות מלאכות וענין הטחינה הוא כתיתת החלק הגדול ועשייתו חלקים קטנים ולפיכך חתוך הירקות בשבת או נסירת עץ לקבץ הנסורת שלו או שפיית חתיכת מתכת לקחת טחינתו כל זה תולדת טוחן וכמו כן ענין הבשול הוא רפיון העצמי' הקשים וכו' ע"כ. כן כתוב בנוסחא מדוייקת בלשון ערבי</w:t>
      </w:r>
      <w:r w:rsidRPr="00747170">
        <w:rPr>
          <w:rFonts w:hint="cs"/>
          <w:rtl/>
        </w:rPr>
        <w:t>,</w:t>
      </w:r>
      <w:r w:rsidRPr="00747170">
        <w:rPr>
          <w:rtl/>
        </w:rPr>
        <w:t xml:space="preserve"> והשתא ניחא דלית כאן שום תוספ' מנין על מה שמנו ארבעים חסר אחת וגם אף על גב דלא תמצא מבריך ומרכיב ובוצר ומוסק במשכן מ"מ נקראו אבות לפי שהם כאבות ממש והם ענין אחד ולכך הרב ז"ל שינה לשונו מלשון המשנה דבמשנה הוזכרו המלאכות בלשון אדם הפועל וכדקתני הזורע החורש וכו' והרב הזכיר שם הפעולה וכדקאמר החרישה והזריעה וכו' והיינו כדי לכלול בכל אב מה שהוא מעניינו.</w:t>
      </w:r>
    </w:p>
    <w:p w14:paraId="5552F54D" w14:textId="17AAFFC0" w:rsidR="009623A2" w:rsidRDefault="009623A2" w:rsidP="009623A2">
      <w:pPr>
        <w:pStyle w:val="a7"/>
        <w:rPr>
          <w:rtl/>
        </w:rPr>
      </w:pPr>
      <w:bookmarkStart w:id="299" w:name="_Toc134419635"/>
      <w:r>
        <w:rPr>
          <w:rFonts w:hint="cs"/>
          <w:rtl/>
        </w:rPr>
        <w:t>בי' רבי בצלאל אשכנזי בפיהמ"ש דמוכח דאין כוונת הרמב"ם דהם כאב עצמו אלא מעין האב</w:t>
      </w:r>
      <w:bookmarkEnd w:id="299"/>
    </w:p>
    <w:p w14:paraId="6A996E2D" w14:textId="77777777" w:rsidR="009623A2" w:rsidRPr="00FF4C73" w:rsidRDefault="009623A2" w:rsidP="00BC7DC8">
      <w:pPr>
        <w:pStyle w:val="a3"/>
      </w:pPr>
      <w:bookmarkStart w:id="300" w:name="_Ref133824021"/>
      <w:r>
        <w:rPr>
          <w:rFonts w:hint="cs"/>
          <w:rtl/>
        </w:rPr>
        <w:t xml:space="preserve">אך כתב </w:t>
      </w:r>
      <w:r w:rsidRPr="00C444C9">
        <w:rPr>
          <w:rStyle w:val="aff4"/>
          <w:rFonts w:hint="cs"/>
          <w:vanish/>
          <w:rtl/>
        </w:rPr>
        <w:t>-</w:t>
      </w:r>
      <w:r w:rsidRPr="004F32D2">
        <w:rPr>
          <w:rStyle w:val="aff4"/>
          <w:rFonts w:hint="cs"/>
          <w:rtl/>
        </w:rPr>
        <w:t>בשו"ת רבי בצלאל אשכנזי</w:t>
      </w:r>
      <w:r w:rsidRPr="00C444C9">
        <w:rPr>
          <w:rStyle w:val="aff4"/>
          <w:rFonts w:hint="cs"/>
          <w:vanish/>
          <w:rtl/>
        </w:rPr>
        <w:t>-</w:t>
      </w:r>
      <w:r>
        <w:rPr>
          <w:rFonts w:hint="cs"/>
          <w:rtl/>
        </w:rPr>
        <w:t xml:space="preserve"> דאעפ"י דכתב </w:t>
      </w:r>
      <w:r w:rsidRPr="00C444C9">
        <w:rPr>
          <w:rStyle w:val="aff4"/>
          <w:rFonts w:hint="cs"/>
          <w:vanish/>
          <w:rtl/>
        </w:rPr>
        <w:t>-</w:t>
      </w:r>
      <w:r w:rsidRPr="004F32D2">
        <w:rPr>
          <w:rStyle w:val="aff4"/>
          <w:rFonts w:hint="cs"/>
          <w:rtl/>
        </w:rPr>
        <w:t>הרמב"ם בפיהמ"ש</w:t>
      </w:r>
      <w:r w:rsidRPr="00C444C9">
        <w:rPr>
          <w:rStyle w:val="aff4"/>
          <w:rFonts w:hint="cs"/>
          <w:vanish/>
          <w:rtl/>
        </w:rPr>
        <w:t>-</w:t>
      </w:r>
      <w:r>
        <w:rPr>
          <w:rFonts w:hint="cs"/>
          <w:rtl/>
        </w:rPr>
        <w:t xml:space="preserve"> דהדברים שהם מעין האבות הם כאב ממש, א"א לומר דכוונתו שהם האב עצמו, אלא כוונתו לומר דהם מעין האב עצמו ואינם תולדה שהיא רחוקה ממנו, דהא כתב </w:t>
      </w:r>
      <w:r w:rsidRPr="00C444C9">
        <w:rPr>
          <w:rStyle w:val="aff4"/>
          <w:rFonts w:hint="cs"/>
          <w:vanish/>
          <w:rtl/>
        </w:rPr>
        <w:t>-</w:t>
      </w:r>
      <w:r w:rsidRPr="004F32D2">
        <w:rPr>
          <w:rStyle w:val="aff4"/>
          <w:rFonts w:hint="cs"/>
          <w:rtl/>
        </w:rPr>
        <w:t>הרמב"ם</w:t>
      </w:r>
      <w:r w:rsidRPr="00C444C9">
        <w:rPr>
          <w:rStyle w:val="aff4"/>
          <w:rFonts w:hint="cs"/>
          <w:vanish/>
          <w:rtl/>
        </w:rPr>
        <w:t>-</w:t>
      </w:r>
      <w:r>
        <w:rPr>
          <w:rFonts w:hint="cs"/>
          <w:rtl/>
        </w:rPr>
        <w:t xml:space="preserve"> </w:t>
      </w:r>
      <w:r w:rsidRPr="002A0D0C">
        <w:rPr>
          <w:rStyle w:val="af2"/>
          <w:rFonts w:eastAsia="Guttman Hodes" w:hint="cs"/>
          <w:rtl/>
        </w:rPr>
        <w:t>(פ"ז ה"ח, ה"ט)</w:t>
      </w:r>
      <w:r>
        <w:rPr>
          <w:rFonts w:hint="cs"/>
          <w:rtl/>
        </w:rPr>
        <w:t xml:space="preserve"> דהוחורש וזורע וקוצר חייב ג' חטאות, אם טחן וחתך ירק ושף מתכת, </w:t>
      </w:r>
      <w:r w:rsidRPr="002A0D0C">
        <w:rPr>
          <w:rStyle w:val="af"/>
          <w:rFonts w:hint="cs"/>
          <w:rtl/>
        </w:rPr>
        <w:t>[דהם תולדות טוחן]</w:t>
      </w:r>
      <w:r w:rsidRPr="00345748">
        <w:rPr>
          <w:rStyle w:val="af"/>
          <w:rFonts w:hint="cs"/>
          <w:rtl/>
        </w:rPr>
        <w:t>,</w:t>
      </w:r>
      <w:r>
        <w:rPr>
          <w:rFonts w:hint="cs"/>
          <w:rtl/>
        </w:rPr>
        <w:t xml:space="preserve"> חייב חטאת אחת, ואם עשה מלאכות הרבה מעיל מלאכה אחת כגון שזרע ונטע והבריך והרכיב וזמר, דחייב חטאת אחת דהם כולם אב אחד, וכתב </w:t>
      </w:r>
      <w:r w:rsidRPr="00C444C9">
        <w:rPr>
          <w:rStyle w:val="aff4"/>
          <w:rFonts w:hint="cs"/>
          <w:vanish/>
          <w:rtl/>
        </w:rPr>
        <w:t>-</w:t>
      </w:r>
      <w:r w:rsidRPr="004F32D2">
        <w:rPr>
          <w:rStyle w:val="aff4"/>
          <w:rFonts w:hint="cs"/>
          <w:rtl/>
        </w:rPr>
        <w:t>בשו"ת רבי בצלאל אשכנזי</w:t>
      </w:r>
      <w:r w:rsidRPr="00C444C9">
        <w:rPr>
          <w:rStyle w:val="aff4"/>
          <w:rFonts w:hint="cs"/>
          <w:vanish/>
          <w:rtl/>
        </w:rPr>
        <w:t>-</w:t>
      </w:r>
      <w:r>
        <w:rPr>
          <w:rFonts w:hint="cs"/>
          <w:rtl/>
        </w:rPr>
        <w:t xml:space="preserve"> דמהא דהוצרך </w:t>
      </w:r>
      <w:r w:rsidRPr="00C444C9">
        <w:rPr>
          <w:rStyle w:val="aff4"/>
          <w:rFonts w:hint="cs"/>
          <w:vanish/>
          <w:rtl/>
        </w:rPr>
        <w:t>-</w:t>
      </w:r>
      <w:r w:rsidRPr="004F32D2">
        <w:rPr>
          <w:rStyle w:val="aff4"/>
          <w:rFonts w:hint="cs"/>
          <w:rtl/>
        </w:rPr>
        <w:t>הרמב"ם</w:t>
      </w:r>
      <w:r w:rsidRPr="00C444C9">
        <w:rPr>
          <w:rStyle w:val="aff4"/>
          <w:rFonts w:hint="cs"/>
          <w:vanish/>
          <w:rtl/>
        </w:rPr>
        <w:t>-</w:t>
      </w:r>
      <w:r>
        <w:rPr>
          <w:rFonts w:hint="cs"/>
          <w:rtl/>
        </w:rPr>
        <w:t xml:space="preserve"> לומר דחייב חטאת אחת, מוכח דאינם ממש אב </w:t>
      </w:r>
      <w:r>
        <w:rPr>
          <w:rFonts w:hint="cs"/>
          <w:rtl/>
        </w:rPr>
        <w:lastRenderedPageBreak/>
        <w:t>דזורע, דפשיטא דעל האב עצמו חייב אחת בזורע וחוזר וזורע, אלא כוונתו לומר דהם כעין האב ואינם תולדה,</w:t>
      </w:r>
      <w:r w:rsidRPr="00D60A50">
        <w:rPr>
          <w:rFonts w:hint="cs"/>
          <w:rtl/>
        </w:rPr>
        <w:t xml:space="preserve"> </w:t>
      </w:r>
      <w:r w:rsidRPr="002A0D0C">
        <w:rPr>
          <w:rStyle w:val="af"/>
          <w:rFonts w:hint="cs"/>
          <w:rtl/>
        </w:rPr>
        <w:t xml:space="preserve">[ועיי"ש במה שהוסיף </w:t>
      </w:r>
      <w:r w:rsidRPr="001145E2">
        <w:rPr>
          <w:rStyle w:val="aff9"/>
          <w:rFonts w:hint="cs"/>
          <w:vanish/>
          <w:rtl/>
        </w:rPr>
        <w:t>-</w:t>
      </w:r>
      <w:r w:rsidRPr="002A0D0C">
        <w:rPr>
          <w:rStyle w:val="aff9"/>
          <w:rFonts w:hint="cs"/>
          <w:rtl/>
        </w:rPr>
        <w:t>בשו"ת רבי בצלאל אשכנזי</w:t>
      </w:r>
      <w:r w:rsidRPr="001145E2">
        <w:rPr>
          <w:rStyle w:val="aff9"/>
          <w:rFonts w:hint="cs"/>
          <w:vanish/>
          <w:rtl/>
        </w:rPr>
        <w:t>-</w:t>
      </w:r>
      <w:r w:rsidRPr="002A0D0C">
        <w:rPr>
          <w:rStyle w:val="af"/>
          <w:rFonts w:hint="cs"/>
          <w:rtl/>
        </w:rPr>
        <w:t xml:space="preserve"> להוכיח דאף בוצר אינו קוצר ממש, וכוונתו לומר דהוא מעין המלאכה]</w:t>
      </w:r>
      <w:r w:rsidRPr="00345748">
        <w:rPr>
          <w:rStyle w:val="af"/>
          <w:rFonts w:hint="cs"/>
          <w:rtl/>
        </w:rPr>
        <w:t>,</w:t>
      </w:r>
      <w:r>
        <w:rPr>
          <w:rFonts w:hint="cs"/>
          <w:rtl/>
        </w:rPr>
        <w:t xml:space="preserve"> וביאר </w:t>
      </w:r>
      <w:r w:rsidRPr="00C444C9">
        <w:rPr>
          <w:rStyle w:val="aff4"/>
          <w:rFonts w:hint="cs"/>
          <w:vanish/>
          <w:rtl/>
        </w:rPr>
        <w:t>-</w:t>
      </w:r>
      <w:r w:rsidRPr="004F32D2">
        <w:rPr>
          <w:rStyle w:val="aff4"/>
          <w:rFonts w:hint="cs"/>
          <w:rtl/>
        </w:rPr>
        <w:t>בשו"ת רבי בצלאל אשכנזי</w:t>
      </w:r>
      <w:r w:rsidRPr="00C444C9">
        <w:rPr>
          <w:rStyle w:val="aff4"/>
          <w:rFonts w:hint="cs"/>
          <w:vanish/>
          <w:rtl/>
        </w:rPr>
        <w:t>-</w:t>
      </w:r>
      <w:r>
        <w:rPr>
          <w:rFonts w:hint="cs"/>
          <w:rtl/>
        </w:rPr>
        <w:t xml:space="preserve"> לר"א בב"ק </w:t>
      </w:r>
      <w:r w:rsidRPr="002A0D0C">
        <w:rPr>
          <w:rStyle w:val="af2"/>
          <w:rFonts w:eastAsia="Guttman Hodes" w:hint="cs"/>
          <w:rtl/>
        </w:rPr>
        <w:t>(ב.)</w:t>
      </w:r>
      <w:r>
        <w:rPr>
          <w:rFonts w:hint="cs"/>
          <w:rtl/>
        </w:rPr>
        <w:t xml:space="preserve"> יש חילוק בין אב למלאכה שהיא מעין האב,</w:t>
      </w:r>
      <w:r w:rsidRPr="00532E67">
        <w:rPr>
          <w:rFonts w:hint="cs"/>
          <w:rtl/>
        </w:rPr>
        <w:t xml:space="preserve"> </w:t>
      </w:r>
      <w:r>
        <w:rPr>
          <w:rFonts w:hint="cs"/>
          <w:rtl/>
        </w:rPr>
        <w:t>אבל לדידן דקיי"ל כרבנן אין כל חילוק בזה, עיי"ש בדבריו.</w:t>
      </w:r>
      <w:bookmarkEnd w:id="300"/>
    </w:p>
    <w:p w14:paraId="1B24A112" w14:textId="77777777" w:rsidR="009623A2" w:rsidRPr="00747170" w:rsidRDefault="009623A2" w:rsidP="00747170">
      <w:pPr>
        <w:pStyle w:val="a2"/>
      </w:pPr>
      <w:r w:rsidRPr="00747170">
        <w:rPr>
          <w:rtl/>
        </w:rPr>
        <w:t>ומ"מ אף על גב דהרב כתב בפי' המשנה דכל הני דאמרי' עליהו מעין האבות היינו באב ממש כגון בוצר או אורה דהוא כקוצר ממש בע"כ אית לן למימר דלאו קוצר ממש קאמר דהא רבי אליעזר לדעת רב יוסף מודה בקוצר וקוצר שאינו חייב אלא אחת ובקוצר ובוצר מחייב תרתי וכדכתבינן לעיל דרבי אליעזר בתרתי פליג וכן בפ"ז מה' שבת לאחר שכתב אבל אם טוחן וחתך הירק ושף לשון של מתכת בהעלם א' אינו חייב אלא חטאת אחד וכו' כתב ז"ל העושה מלאכות הרבה מעין מלאכה אחת בהעלם א' אינו חייב אלא חטאת אחת כיצד הרי שזרע ונטע וכו' ע"כ. אלמא דלאו ממש זורע הויא אלא הוו מעין זורע דאי זורע ממש קאמר לא היה צריך ללמדנו דזרע וזרע אינו חייב אלא אחת גם בזה הפרק כתב ז"ל ומגוף המלאכה הנעשית בשבת תדע מעין איזה אב היא ותולדת איזה אב היא ע"כ</w:t>
      </w:r>
      <w:r w:rsidRPr="00747170">
        <w:rPr>
          <w:rFonts w:hint="cs"/>
          <w:rtl/>
        </w:rPr>
        <w:t>,</w:t>
      </w:r>
      <w:r w:rsidRPr="00747170">
        <w:rPr>
          <w:rtl/>
        </w:rPr>
        <w:t xml:space="preserve"> אלמא גם כדי לידע מעין איזה אב היא צריך הבחנת השכל קרוב לידיעת תולדת איזה אב היא הלכך מה שכתב הרב ז"ל בפי' המשנה דבוצר הוא קוצר ממש לאו ממש קאמר אלא כדי לשלול שאינו תולדה שהיא רחוקה מן האב להכי קאמר דהוא קוצר ממש מפני שדומה לאב בדמיון גמור ומיהו מ"מ חלוקין הן בנפעלין וכדכתיבנא ואיברא דלרבנן דלא קא מחייבי תרתי אלא באבות אין חילוק בין האבות הגמורים להני דמעין אבות וכל הל"ט מלאכות וכל שהיא מעניינם נקראו אבות מלאכות אליבא דרבנן ומיהו לרבי אליעזר דקא מחייב תרתי אתולדה במקום אב ואמעין אב במקום אב כגון קצר ובצר אבל קצר וקצר לא מחייב תרתי יש חילוק בין האבות הגמורים למעין אבות ומשמע דהכנסה לגבי הוצאה היא מעין לדעת הרמב"ם ז"ל</w:t>
      </w:r>
      <w:r w:rsidRPr="00747170">
        <w:rPr>
          <w:rFonts w:hint="cs"/>
          <w:rtl/>
        </w:rPr>
        <w:t>.</w:t>
      </w:r>
      <w:r w:rsidRPr="00747170">
        <w:rPr>
          <w:rtl/>
        </w:rPr>
        <w:t xml:space="preserve"> </w:t>
      </w:r>
      <w:r w:rsidRPr="00747170">
        <w:rPr>
          <w:rStyle w:val="afff7"/>
          <w:rtl/>
        </w:rPr>
        <w:t>וס"ל דבהכי פליגי בשמעתא קמייתא דשבת</w:t>
      </w:r>
      <w:r w:rsidRPr="00747170">
        <w:rPr>
          <w:rStyle w:val="afff7"/>
          <w:rFonts w:hint="cs"/>
          <w:rtl/>
        </w:rPr>
        <w:t xml:space="preserve"> </w:t>
      </w:r>
      <w:r w:rsidRPr="00747170">
        <w:rPr>
          <w:rStyle w:val="afff7"/>
          <w:rtl/>
        </w:rPr>
        <w:t>דמעיקרא קא משני הכא דעיקר שבת הוא תני אבות ותני תולדות התם דלא עיקר שבת וכו' פי' וס"ל דההכנסה היא תולדה משום דויעבירו קול במחנה לא משמע אלא הוצאה ורב פפא ס"ל דכיון דהסברא נותנת דמה לי אפוקי מה לי עיולי הילכך איברא דאב גמור לא הוי ומיהו מעין הויא שההוצאה וההכנסה הבאה ממקום למקום הוי וענין אחד הוא.</w:t>
      </w:r>
    </w:p>
    <w:p w14:paraId="6743F884" w14:textId="659565CC" w:rsidR="009623A2" w:rsidRDefault="009623A2" w:rsidP="009623A2">
      <w:pPr>
        <w:pStyle w:val="afffff7"/>
        <w:rPr>
          <w:rtl/>
        </w:rPr>
      </w:pPr>
      <w:bookmarkStart w:id="301" w:name="_Toc133841666"/>
      <w:bookmarkStart w:id="302" w:name="_Toc163505414"/>
      <w:r>
        <w:rPr>
          <w:rtl/>
        </w:rPr>
        <w:t>רמב"ם שבת ז' ח'</w:t>
      </w:r>
      <w:r>
        <w:rPr>
          <w:rFonts w:hint="cs"/>
          <w:rtl/>
        </w:rPr>
        <w:t>,</w:t>
      </w:r>
      <w:r w:rsidRPr="00E026DC">
        <w:rPr>
          <w:rtl/>
        </w:rPr>
        <w:t xml:space="preserve"> </w:t>
      </w:r>
      <w:r w:rsidRPr="00CB1431">
        <w:rPr>
          <w:rtl/>
        </w:rPr>
        <w:t>ט'</w:t>
      </w:r>
      <w:bookmarkEnd w:id="301"/>
      <w:bookmarkEnd w:id="302"/>
    </w:p>
    <w:p w14:paraId="35A1DD02" w14:textId="77777777" w:rsidR="009623A2" w:rsidRPr="00C3176C" w:rsidRDefault="009623A2" w:rsidP="00747170">
      <w:pPr>
        <w:pStyle w:val="afffff5"/>
        <w:rPr>
          <w:rtl/>
        </w:rPr>
      </w:pPr>
      <w:r w:rsidRPr="00C3176C">
        <w:rPr>
          <w:rtl/>
        </w:rPr>
        <w:t xml:space="preserve">כיצד הרי שחרש וזרע וקצר בשבת בהעלם אחד חייב שלש חטאות, ואפילו עשה הארבעים חסר אחת בשגגה כגון ששכח שאלו המלאכות אסורות לעשות בשבת חייב על כל מלאכה ומלאכה חטאת אחת, אבל אם טחן וחתך הירק ושף לשון של מתכת בהעלם אחד אינו חייב אלא חטאת אחת, שהרי לא עשה אלא אב אחד ותולדותיו, וכן כל כיוצא בזה. </w:t>
      </w:r>
    </w:p>
    <w:p w14:paraId="1DA875A3" w14:textId="77777777" w:rsidR="009623A2" w:rsidRPr="00C3176C" w:rsidRDefault="009623A2" w:rsidP="00747170">
      <w:pPr>
        <w:pStyle w:val="afffff5"/>
        <w:rPr>
          <w:rtl/>
        </w:rPr>
      </w:pPr>
      <w:r w:rsidRPr="00C3176C">
        <w:rPr>
          <w:rtl/>
        </w:rPr>
        <w:t>העושה מלאכות הרבה מעין מלאכה אחת בהעלם אחד אינו חייב אלא חטאת אחת, כיצד הרי שזרע ונטע והבריך והרכיב וזמר בהעלם אחד אינו חייב אלא חטאת אחת שכולן אב אחד הן, וכן כל כיוצא בזה.</w:t>
      </w:r>
    </w:p>
    <w:p w14:paraId="62B5B4DF" w14:textId="39223503" w:rsidR="009623A2" w:rsidRDefault="009623A2" w:rsidP="009623A2">
      <w:pPr>
        <w:pStyle w:val="afffff7"/>
        <w:rPr>
          <w:rtl/>
        </w:rPr>
      </w:pPr>
      <w:bookmarkStart w:id="303" w:name="_Toc133841667"/>
      <w:bookmarkStart w:id="304" w:name="_Toc163505415"/>
      <w:r>
        <w:rPr>
          <w:rtl/>
        </w:rPr>
        <w:t>מרכבת המשנה שבת ז' ב'</w:t>
      </w:r>
      <w:bookmarkEnd w:id="303"/>
      <w:bookmarkEnd w:id="304"/>
    </w:p>
    <w:p w14:paraId="6FE8B3DD" w14:textId="77777777" w:rsidR="009623A2" w:rsidRDefault="009623A2" w:rsidP="009623A2">
      <w:pPr>
        <w:pStyle w:val="a7"/>
        <w:rPr>
          <w:rtl/>
        </w:rPr>
      </w:pPr>
      <w:bookmarkStart w:id="305" w:name="_Toc134419636"/>
      <w:r>
        <w:rPr>
          <w:rFonts w:hint="cs"/>
          <w:rtl/>
        </w:rPr>
        <w:t>תי' המרכה"מ דהא לא תני מלאכות שהם אב דזורע במנין ל"ט מלאכות דלא חלוקים לחטאת</w:t>
      </w:r>
      <w:bookmarkEnd w:id="305"/>
      <w:r>
        <w:rPr>
          <w:rFonts w:hint="cs"/>
          <w:rtl/>
        </w:rPr>
        <w:t xml:space="preserve"> </w:t>
      </w:r>
    </w:p>
    <w:p w14:paraId="4D4911DB" w14:textId="4BB9E1FA" w:rsidR="009623A2" w:rsidRDefault="009623A2" w:rsidP="00BC7DC8">
      <w:pPr>
        <w:pStyle w:val="a3"/>
      </w:pPr>
      <w:bookmarkStart w:id="306" w:name="_Ref130417442"/>
      <w:r w:rsidRPr="00C444C9">
        <w:rPr>
          <w:rStyle w:val="aff4"/>
          <w:rFonts w:hint="cs"/>
          <w:vanish/>
          <w:rtl/>
        </w:rPr>
        <w:t>-</w:t>
      </w:r>
      <w:r w:rsidRPr="004F32D2">
        <w:rPr>
          <w:rStyle w:val="aff4"/>
          <w:rFonts w:hint="cs"/>
          <w:rtl/>
        </w:rPr>
        <w:t>וה</w:t>
      </w:r>
      <w:r w:rsidRPr="00C444C9">
        <w:rPr>
          <w:rStyle w:val="aff4"/>
          <w:rFonts w:hint="cs"/>
          <w:vanish/>
          <w:rtl/>
        </w:rPr>
        <w:t xml:space="preserve">&lt;. </w:t>
      </w:r>
      <w:r w:rsidRPr="00C444C9">
        <w:rPr>
          <w:rStyle w:val="aff4"/>
          <w:vanish/>
          <w:rtl/>
        </w:rPr>
        <w:fldChar w:fldCharType="begin"/>
      </w:r>
      <w:r w:rsidRPr="00C444C9">
        <w:rPr>
          <w:rStyle w:val="aff4"/>
          <w:vanish/>
          <w:rtl/>
        </w:rPr>
        <w:instrText xml:space="preserve"> </w:instrText>
      </w:r>
      <w:r w:rsidRPr="00C444C9">
        <w:rPr>
          <w:rStyle w:val="aff4"/>
          <w:rFonts w:hint="cs"/>
          <w:vanish/>
        </w:rPr>
        <w:instrText>REF</w:instrText>
      </w:r>
      <w:r w:rsidRPr="00C444C9">
        <w:rPr>
          <w:rStyle w:val="aff4"/>
          <w:rFonts w:hint="cs"/>
          <w:vanish/>
          <w:rtl/>
        </w:rPr>
        <w:instrText xml:space="preserve"> _</w:instrText>
      </w:r>
      <w:r w:rsidRPr="00C444C9">
        <w:rPr>
          <w:rStyle w:val="aff4"/>
          <w:rFonts w:hint="cs"/>
          <w:vanish/>
        </w:rPr>
        <w:instrText>Ref130417442 \r \h</w:instrText>
      </w:r>
      <w:r w:rsidRPr="00C444C9">
        <w:rPr>
          <w:rStyle w:val="aff4"/>
          <w:vanish/>
          <w:rtl/>
        </w:rPr>
        <w:instrText xml:space="preserve"> </w:instrText>
      </w:r>
      <w:r w:rsidRPr="00C444C9">
        <w:rPr>
          <w:rStyle w:val="aff4"/>
          <w:vanish/>
          <w:rtl/>
        </w:rPr>
      </w:r>
      <w:r w:rsidRPr="00C444C9">
        <w:rPr>
          <w:rStyle w:val="aff4"/>
          <w:vanish/>
          <w:rtl/>
        </w:rPr>
        <w:fldChar w:fldCharType="separate"/>
      </w:r>
      <w:r w:rsidR="00D82181">
        <w:rPr>
          <w:rStyle w:val="aff4"/>
          <w:vanish/>
          <w:cs/>
        </w:rPr>
        <w:t>‎</w:t>
      </w:r>
      <w:r w:rsidR="00D82181">
        <w:rPr>
          <w:rStyle w:val="aff4"/>
          <w:vanish/>
          <w:rtl/>
        </w:rPr>
        <w:t>סא)</w:t>
      </w:r>
      <w:r w:rsidRPr="00C444C9">
        <w:rPr>
          <w:rStyle w:val="aff4"/>
          <w:vanish/>
          <w:rtl/>
        </w:rPr>
        <w:fldChar w:fldCharType="end"/>
      </w:r>
      <w:r w:rsidRPr="00C444C9">
        <w:rPr>
          <w:rStyle w:val="aff4"/>
          <w:rFonts w:hint="cs"/>
          <w:vanish/>
          <w:rtl/>
        </w:rPr>
        <w:t xml:space="preserve"> &gt;</w:t>
      </w:r>
      <w:r w:rsidRPr="004F32D2">
        <w:rPr>
          <w:rStyle w:val="aff4"/>
          <w:rFonts w:hint="cs"/>
          <w:rtl/>
        </w:rPr>
        <w:t>מרכה"מ</w:t>
      </w:r>
      <w:r w:rsidRPr="00C444C9">
        <w:rPr>
          <w:rStyle w:val="aff4"/>
          <w:rFonts w:hint="cs"/>
          <w:vanish/>
          <w:rtl/>
        </w:rPr>
        <w:t>-</w:t>
      </w:r>
      <w:r>
        <w:rPr>
          <w:rFonts w:hint="cs"/>
          <w:rtl/>
        </w:rPr>
        <w:t xml:space="preserve"> </w:t>
      </w:r>
      <w:r w:rsidRPr="002A0D0C">
        <w:rPr>
          <w:rStyle w:val="af2"/>
          <w:rFonts w:eastAsia="Guttman Hodes" w:hint="cs"/>
          <w:rtl/>
        </w:rPr>
        <w:t>(שבת פ"ז ה"ב)</w:t>
      </w:r>
      <w:r>
        <w:rPr>
          <w:rFonts w:hint="cs"/>
          <w:vanish/>
          <w:rtl/>
        </w:rPr>
        <w:t>=</w:t>
      </w:r>
      <w:r>
        <w:rPr>
          <w:rFonts w:hint="cs"/>
          <w:rtl/>
        </w:rPr>
        <w:t xml:space="preserve"> תירץ את קושית </w:t>
      </w:r>
      <w:r w:rsidRPr="00C444C9">
        <w:rPr>
          <w:rStyle w:val="aff4"/>
          <w:rFonts w:hint="cs"/>
          <w:vanish/>
          <w:rtl/>
        </w:rPr>
        <w:t>-</w:t>
      </w:r>
      <w:r w:rsidRPr="004F32D2">
        <w:rPr>
          <w:rStyle w:val="aff4"/>
          <w:rFonts w:hint="cs"/>
          <w:rtl/>
        </w:rPr>
        <w:t>הרמ"ך</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sidRPr="002A0D0C">
        <w:rPr>
          <w:rStyle w:val="af2"/>
          <w:rFonts w:eastAsia="Guttman Hodes"/>
          <w:rtl/>
        </w:rPr>
        <w:fldChar w:fldCharType="begin"/>
      </w:r>
      <w:r w:rsidRPr="002A0D0C">
        <w:rPr>
          <w:rStyle w:val="af2"/>
          <w:rFonts w:eastAsia="Guttman Hodes"/>
          <w:rtl/>
        </w:rPr>
        <w:instrText xml:space="preserve"> </w:instrText>
      </w:r>
      <w:r w:rsidRPr="002A0D0C">
        <w:rPr>
          <w:rStyle w:val="af2"/>
          <w:rFonts w:eastAsia="Guttman Hodes" w:hint="cs"/>
        </w:rPr>
        <w:instrText>REF</w:instrText>
      </w:r>
      <w:r w:rsidRPr="002A0D0C">
        <w:rPr>
          <w:rStyle w:val="af2"/>
          <w:rFonts w:eastAsia="Guttman Hodes" w:hint="cs"/>
          <w:rtl/>
        </w:rPr>
        <w:instrText xml:space="preserve"> _</w:instrText>
      </w:r>
      <w:r w:rsidRPr="002A0D0C">
        <w:rPr>
          <w:rStyle w:val="af2"/>
          <w:rFonts w:eastAsia="Guttman Hodes" w:hint="cs"/>
        </w:rPr>
        <w:instrText>Ref130417432 \r \h</w:instrText>
      </w:r>
      <w:r w:rsidRPr="002A0D0C">
        <w:rPr>
          <w:rStyle w:val="af2"/>
          <w:rFonts w:eastAsia="Guttman Hodes"/>
          <w:rtl/>
        </w:rPr>
        <w:instrText xml:space="preserve"> </w:instrText>
      </w:r>
      <w:r w:rsidRPr="002A0D0C">
        <w:rPr>
          <w:rStyle w:val="af2"/>
          <w:rFonts w:eastAsia="Guttman Hodes"/>
          <w:rtl/>
        </w:rPr>
      </w:r>
      <w:r w:rsidRPr="002A0D0C">
        <w:rPr>
          <w:rStyle w:val="af2"/>
          <w:rFonts w:eastAsia="Guttman Hodes"/>
          <w:rtl/>
        </w:rPr>
        <w:fldChar w:fldCharType="separate"/>
      </w:r>
      <w:r w:rsidR="00D82181">
        <w:rPr>
          <w:rStyle w:val="af2"/>
          <w:rFonts w:eastAsia="Guttman Hodes"/>
          <w:cs/>
        </w:rPr>
        <w:t>‎</w:t>
      </w:r>
      <w:r w:rsidR="00D82181">
        <w:rPr>
          <w:rStyle w:val="af2"/>
          <w:rFonts w:eastAsia="Guttman Hodes"/>
          <w:rtl/>
        </w:rPr>
        <w:t>נו)</w:t>
      </w:r>
      <w:r w:rsidRPr="002A0D0C">
        <w:rPr>
          <w:rStyle w:val="af2"/>
          <w:rFonts w:eastAsia="Guttman Hodes"/>
          <w:rtl/>
        </w:rPr>
        <w:fldChar w:fldCharType="end"/>
      </w:r>
      <w:r>
        <w:rPr>
          <w:rFonts w:hint="cs"/>
          <w:rtl/>
        </w:rPr>
        <w:t xml:space="preserve"> דהא דתנן ל"ט מלאכות, הוא כיון שבכל אלו אם עשאן בהעלם אחד, חייב ל"ט חטאות, ולא תנן זורע ונוטע ומבריך ומרכיב וזומר, כיון שאם עשאן בהעלם אחד חייב חטאת אחת.</w:t>
      </w:r>
      <w:bookmarkEnd w:id="306"/>
    </w:p>
    <w:p w14:paraId="073EE00B" w14:textId="77777777" w:rsidR="009623A2" w:rsidRPr="00747170" w:rsidRDefault="009623A2" w:rsidP="00747170">
      <w:pPr>
        <w:pStyle w:val="a2"/>
        <w:rPr>
          <w:rtl/>
        </w:rPr>
      </w:pPr>
      <w:r w:rsidRPr="00747170">
        <w:rPr>
          <w:rtl/>
        </w:rPr>
        <w:t>כל אלו המלאכות וכו'. עיין בכ"מ מה שהקשה בשם הרמ"ך ולק"מ דלהכי לא חשיב במתני' יותר מל"ט מלאכות שאם עשאן כולם בהעלם אחד חייב ל"ט משא"כ זורע ונוטע ומבריך ומרכיב וזומר שאם עשאן בהעלם אחד אינו חייב אלא אחד</w:t>
      </w:r>
      <w:r w:rsidRPr="00747170">
        <w:rPr>
          <w:rFonts w:hint="cs"/>
          <w:rtl/>
        </w:rPr>
        <w:t>.</w:t>
      </w:r>
    </w:p>
    <w:p w14:paraId="1225C58A" w14:textId="2F350747" w:rsidR="009623A2" w:rsidRPr="00231E1C" w:rsidRDefault="009623A2" w:rsidP="009623A2">
      <w:pPr>
        <w:pStyle w:val="a7"/>
      </w:pPr>
      <w:bookmarkStart w:id="307" w:name="_Toc134419637"/>
      <w:r>
        <w:rPr>
          <w:rFonts w:hint="cs"/>
          <w:rtl/>
        </w:rPr>
        <w:t>בי' המרכה"מ דמלאכות שחלוקות קצת אי היו במשכן חלוקים לאבות אך מלאכות הללו הם א'</w:t>
      </w:r>
      <w:bookmarkEnd w:id="307"/>
      <w:r>
        <w:rPr>
          <w:rFonts w:hint="cs"/>
          <w:rtl/>
        </w:rPr>
        <w:t xml:space="preserve"> </w:t>
      </w:r>
    </w:p>
    <w:p w14:paraId="4E17F3CF" w14:textId="77777777" w:rsidR="009623A2" w:rsidRPr="00637EDE" w:rsidRDefault="009623A2" w:rsidP="00BC7DC8">
      <w:pPr>
        <w:pStyle w:val="a3"/>
        <w:rPr>
          <w:rtl/>
        </w:rPr>
      </w:pPr>
      <w:r>
        <w:rPr>
          <w:rFonts w:hint="cs"/>
          <w:rtl/>
        </w:rPr>
        <w:t xml:space="preserve">אך הקשה </w:t>
      </w:r>
      <w:r w:rsidRPr="00C444C9">
        <w:rPr>
          <w:rStyle w:val="aff4"/>
          <w:rFonts w:hint="cs"/>
          <w:vanish/>
          <w:rtl/>
        </w:rPr>
        <w:t>-</w:t>
      </w:r>
      <w:r w:rsidRPr="004F32D2">
        <w:rPr>
          <w:rStyle w:val="aff4"/>
          <w:rFonts w:hint="cs"/>
          <w:rtl/>
        </w:rPr>
        <w:t>המרכה"מ</w:t>
      </w:r>
      <w:r w:rsidRPr="00C444C9">
        <w:rPr>
          <w:rStyle w:val="aff4"/>
          <w:rFonts w:hint="cs"/>
          <w:vanish/>
          <w:rtl/>
        </w:rPr>
        <w:t>-</w:t>
      </w:r>
      <w:r>
        <w:rPr>
          <w:rFonts w:hint="cs"/>
          <w:rtl/>
        </w:rPr>
        <w:t xml:space="preserve"> דהא דמקשה הגמ' בהמשך דזורה היינו מרקד, ותירצו אביי ורבא דכל מלאכה שהייתה במשכן, אף דאיכא דדמיא לה חשיב לה, ותירץ </w:t>
      </w:r>
      <w:r w:rsidRPr="00C444C9">
        <w:rPr>
          <w:rStyle w:val="aff4"/>
          <w:rFonts w:hint="cs"/>
          <w:vanish/>
          <w:rtl/>
        </w:rPr>
        <w:t>-</w:t>
      </w:r>
      <w:r w:rsidRPr="004F32D2">
        <w:rPr>
          <w:rStyle w:val="aff4"/>
          <w:rFonts w:hint="cs"/>
          <w:rtl/>
        </w:rPr>
        <w:t>המרכה"מ</w:t>
      </w:r>
      <w:r w:rsidRPr="00C444C9">
        <w:rPr>
          <w:rStyle w:val="aff4"/>
          <w:rFonts w:hint="cs"/>
          <w:vanish/>
          <w:rtl/>
        </w:rPr>
        <w:t>-</w:t>
      </w:r>
      <w:r>
        <w:rPr>
          <w:rFonts w:hint="cs"/>
          <w:rtl/>
        </w:rPr>
        <w:t xml:space="preserve"> דצ"ל דזורה ומרקד אינם דומים לגמרי ויש קצת חילוק ביניהם, והדמיון ביניהם הוא כמו אב ותולדה, ולכן אם אחד מהם לא היה במשכן, ועשה את שניהם יחד היה חייב רק אחת, אך כיון דשניהם היו במשכן חייב על כל אחת ואחת, אבל בזורע ונוטע, כתב </w:t>
      </w:r>
      <w:r w:rsidRPr="00C444C9">
        <w:rPr>
          <w:rStyle w:val="aff4"/>
          <w:rFonts w:hint="cs"/>
          <w:vanish/>
          <w:rtl/>
        </w:rPr>
        <w:t>-</w:t>
      </w:r>
      <w:r w:rsidRPr="004F32D2">
        <w:rPr>
          <w:rStyle w:val="aff4"/>
          <w:rFonts w:hint="cs"/>
          <w:rtl/>
        </w:rPr>
        <w:t>המרכה"מ</w:t>
      </w:r>
      <w:r w:rsidRPr="00C444C9">
        <w:rPr>
          <w:rStyle w:val="aff4"/>
          <w:rFonts w:hint="cs"/>
          <w:vanish/>
          <w:rtl/>
        </w:rPr>
        <w:t>-</w:t>
      </w:r>
      <w:r>
        <w:rPr>
          <w:rFonts w:hint="cs"/>
          <w:rtl/>
        </w:rPr>
        <w:t xml:space="preserve"> דהם אותה הפעולה ממש, ואין כל חילוק ביניהם, רק דנוטע הוא באילן וזורע הוא בעשבים, ולכן בין אם שניהם היו במשכן, ובין אם אחד מהם היה במשכן, הם חשובים כמלאכה אחת ממש. </w:t>
      </w:r>
      <w:r w:rsidRPr="002A0D0C">
        <w:rPr>
          <w:rStyle w:val="af"/>
          <w:rFonts w:hint="cs"/>
          <w:rtl/>
        </w:rPr>
        <w:t xml:space="preserve">[ובמ"ש </w:t>
      </w:r>
      <w:r w:rsidRPr="001145E2">
        <w:rPr>
          <w:rStyle w:val="aff9"/>
          <w:rFonts w:hint="cs"/>
          <w:vanish/>
          <w:rtl/>
        </w:rPr>
        <w:t>-</w:t>
      </w:r>
      <w:r w:rsidRPr="002A0D0C">
        <w:rPr>
          <w:rStyle w:val="aff9"/>
          <w:rFonts w:hint="cs"/>
          <w:rtl/>
        </w:rPr>
        <w:t>הרמ"ך</w:t>
      </w:r>
      <w:r w:rsidRPr="001145E2">
        <w:rPr>
          <w:rStyle w:val="aff9"/>
          <w:rFonts w:hint="cs"/>
          <w:vanish/>
          <w:rtl/>
        </w:rPr>
        <w:t>-</w:t>
      </w:r>
      <w:r w:rsidRPr="002A0D0C">
        <w:rPr>
          <w:rStyle w:val="af"/>
          <w:rFonts w:hint="cs"/>
          <w:rtl/>
        </w:rPr>
        <w:t xml:space="preserve"> דנוטע וחופר לא היי במשכן, עי' במה שתמה </w:t>
      </w:r>
      <w:r w:rsidRPr="001145E2">
        <w:rPr>
          <w:rStyle w:val="aff9"/>
          <w:rFonts w:hint="cs"/>
          <w:vanish/>
          <w:rtl/>
        </w:rPr>
        <w:t>-</w:t>
      </w:r>
      <w:r w:rsidRPr="002A0D0C">
        <w:rPr>
          <w:rStyle w:val="aff9"/>
          <w:rFonts w:hint="cs"/>
          <w:rtl/>
        </w:rPr>
        <w:t>המרכה"מ</w:t>
      </w:r>
      <w:r w:rsidRPr="001145E2">
        <w:rPr>
          <w:rStyle w:val="aff9"/>
          <w:rFonts w:hint="cs"/>
          <w:vanish/>
          <w:rtl/>
        </w:rPr>
        <w:t>-</w:t>
      </w:r>
      <w:r w:rsidRPr="002A0D0C">
        <w:rPr>
          <w:rStyle w:val="af"/>
          <w:rFonts w:hint="cs"/>
          <w:rtl/>
        </w:rPr>
        <w:t xml:space="preserve"> דמוכח דהם היו במשכן]</w:t>
      </w:r>
      <w:r w:rsidRPr="00345748">
        <w:rPr>
          <w:rStyle w:val="af"/>
          <w:rFonts w:hint="cs"/>
          <w:rtl/>
        </w:rPr>
        <w:t>.</w:t>
      </w:r>
    </w:p>
    <w:p w14:paraId="07F11A47" w14:textId="77777777" w:rsidR="009623A2" w:rsidRPr="00747170" w:rsidRDefault="009623A2" w:rsidP="00747170">
      <w:pPr>
        <w:pStyle w:val="a2"/>
        <w:rPr>
          <w:rtl/>
        </w:rPr>
      </w:pPr>
      <w:r w:rsidRPr="00747170">
        <w:rPr>
          <w:rtl/>
        </w:rPr>
        <w:t>והא דקאמרינן בגמרא היינו זורה היינו בורר היינו מרקד אביי ורבא דאמרי תרווייהו כל מלתא דהויא במשכן אף על גב דאיכא דדמי לה חשיב לה צריך לומר דמ"מ הם נפרדים קצת ואין פעולה זו דומה לזו ממש דמיון גמור אלא שהם מתדמים במדרגת אב לתולדה הילכך לולי שהיה במשכן אם עשאן בהעלם אחד לא היה חייב אלא אחת והואיל שהיה במשכן חייבין על כל אחת ואחת משא"כ זורע ונוטע שהוא פעולה אחת ממש באילן ובעשבים בין שהיו שניהם במשכן בין שהיה אחד מהם במשכן מ"מ חשובים מלאכה אחת ממש כמו זה כן זה ואני תמה על הרמ"ך שכתב נטיעה לא היתה במשכן שהרי היו נוטעים אילנות לצבעים ובירושלמי מה חרישה היתה במשכן שהיו חורשין ליטע סממנים וכן חופר היה במשכן לחפור את הארץ להניח בה היסוד.</w:t>
      </w:r>
    </w:p>
    <w:p w14:paraId="4789D39C" w14:textId="72E3E0B1" w:rsidR="009623A2" w:rsidRDefault="009623A2" w:rsidP="009623A2">
      <w:pPr>
        <w:pStyle w:val="1"/>
        <w:rPr>
          <w:rtl/>
        </w:rPr>
      </w:pPr>
      <w:bookmarkStart w:id="308" w:name="_Toc134419638"/>
      <w:r>
        <w:rPr>
          <w:rFonts w:hint="cs"/>
          <w:rtl/>
        </w:rPr>
        <w:t>סתירת המיוחסים לר"ן אי הוי אב או תולדה ומ"ש מזורה ומרקד</w:t>
      </w:r>
      <w:bookmarkEnd w:id="308"/>
    </w:p>
    <w:p w14:paraId="0D87DBE5" w14:textId="77777777" w:rsidR="009623A2" w:rsidRDefault="009623A2" w:rsidP="009623A2">
      <w:pPr>
        <w:pStyle w:val="afffff7"/>
        <w:rPr>
          <w:rtl/>
        </w:rPr>
      </w:pPr>
      <w:bookmarkStart w:id="309" w:name="_Toc133841668"/>
      <w:bookmarkStart w:id="310" w:name="_Toc163505416"/>
      <w:r w:rsidRPr="004504F2">
        <w:rPr>
          <w:rtl/>
        </w:rPr>
        <w:t xml:space="preserve">חדושי הר"ן </w:t>
      </w:r>
      <w:r>
        <w:rPr>
          <w:rFonts w:hint="cs"/>
          <w:rtl/>
        </w:rPr>
        <w:t xml:space="preserve">- </w:t>
      </w:r>
      <w:r w:rsidRPr="004504F2">
        <w:rPr>
          <w:rtl/>
        </w:rPr>
        <w:t>מיוחס לו</w:t>
      </w:r>
      <w:r>
        <w:rPr>
          <w:rFonts w:hint="cs"/>
          <w:rtl/>
        </w:rPr>
        <w:t xml:space="preserve"> </w:t>
      </w:r>
      <w:r w:rsidRPr="004504F2">
        <w:rPr>
          <w:rtl/>
        </w:rPr>
        <w:t>שבת ע"ג ע"ב</w:t>
      </w:r>
      <w:r>
        <w:rPr>
          <w:rFonts w:hint="cs"/>
          <w:rtl/>
        </w:rPr>
        <w:t xml:space="preserve"> ד</w:t>
      </w:r>
      <w:r>
        <w:rPr>
          <w:rFonts w:cs="Guttman Hodes" w:hint="cs"/>
          <w:rtl/>
        </w:rPr>
        <w:t>"</w:t>
      </w:r>
      <w:r>
        <w:rPr>
          <w:rFonts w:hint="cs"/>
          <w:rtl/>
        </w:rPr>
        <w:t>ה תנא</w:t>
      </w:r>
      <w:bookmarkEnd w:id="309"/>
      <w:bookmarkEnd w:id="310"/>
    </w:p>
    <w:p w14:paraId="300B99F6" w14:textId="77777777" w:rsidR="009623A2" w:rsidRDefault="009623A2" w:rsidP="009623A2">
      <w:pPr>
        <w:pStyle w:val="a7"/>
        <w:rPr>
          <w:rtl/>
        </w:rPr>
      </w:pPr>
      <w:bookmarkStart w:id="311" w:name="_Toc134419639"/>
      <w:r>
        <w:rPr>
          <w:rFonts w:hint="cs"/>
          <w:rtl/>
        </w:rPr>
        <w:t>בי' המיוחסים לר"ן דכולם אבות ומונים אותם בזורע דהם אותו ענין וחייב עליהם חטאת אחת</w:t>
      </w:r>
      <w:bookmarkEnd w:id="311"/>
    </w:p>
    <w:p w14:paraId="481E4DEE" w14:textId="04B1EEAE" w:rsidR="009623A2" w:rsidRDefault="009623A2" w:rsidP="00BC7DC8">
      <w:pPr>
        <w:pStyle w:val="a3"/>
      </w:pPr>
      <w:bookmarkStart w:id="312" w:name="_Ref133826517"/>
      <w:bookmarkStart w:id="313" w:name="_Ref133361294"/>
      <w:r>
        <w:rPr>
          <w:rFonts w:hint="cs"/>
          <w:rtl/>
        </w:rPr>
        <w:t xml:space="preserve">כתב </w:t>
      </w:r>
      <w:r w:rsidRPr="00C444C9">
        <w:rPr>
          <w:rStyle w:val="aff4"/>
          <w:rFonts w:hint="cs"/>
          <w:vanish/>
          <w:rtl/>
        </w:rPr>
        <w:t>-</w:t>
      </w:r>
      <w:r w:rsidRPr="004F32D2">
        <w:rPr>
          <w:rStyle w:val="aff4"/>
          <w:rFonts w:hint="cs"/>
          <w:rtl/>
        </w:rPr>
        <w:t>ב</w:t>
      </w:r>
      <w:r w:rsidRPr="00C444C9">
        <w:rPr>
          <w:rStyle w:val="aff4"/>
          <w:rFonts w:hint="cs"/>
          <w:vanish/>
          <w:rtl/>
        </w:rPr>
        <w:t xml:space="preserve">&lt;. </w:t>
      </w:r>
      <w:r w:rsidRPr="00C444C9">
        <w:rPr>
          <w:rStyle w:val="aff4"/>
          <w:vanish/>
          <w:rtl/>
        </w:rPr>
        <w:fldChar w:fldCharType="begin"/>
      </w:r>
      <w:r w:rsidRPr="00C444C9">
        <w:rPr>
          <w:rStyle w:val="aff4"/>
          <w:vanish/>
          <w:rtl/>
        </w:rPr>
        <w:instrText xml:space="preserve"> </w:instrText>
      </w:r>
      <w:r w:rsidRPr="00C444C9">
        <w:rPr>
          <w:rStyle w:val="aff4"/>
          <w:rFonts w:hint="cs"/>
          <w:vanish/>
        </w:rPr>
        <w:instrText>REF</w:instrText>
      </w:r>
      <w:r w:rsidRPr="00C444C9">
        <w:rPr>
          <w:rStyle w:val="aff4"/>
          <w:rFonts w:hint="cs"/>
          <w:vanish/>
          <w:rtl/>
        </w:rPr>
        <w:instrText xml:space="preserve"> _</w:instrText>
      </w:r>
      <w:r w:rsidRPr="00C444C9">
        <w:rPr>
          <w:rStyle w:val="aff4"/>
          <w:rFonts w:hint="cs"/>
          <w:vanish/>
        </w:rPr>
        <w:instrText>Ref133361294 \r \h</w:instrText>
      </w:r>
      <w:r w:rsidRPr="00C444C9">
        <w:rPr>
          <w:rStyle w:val="aff4"/>
          <w:vanish/>
          <w:rtl/>
        </w:rPr>
        <w:instrText xml:space="preserve"> </w:instrText>
      </w:r>
      <w:r w:rsidRPr="00C444C9">
        <w:rPr>
          <w:rStyle w:val="aff4"/>
          <w:vanish/>
          <w:rtl/>
        </w:rPr>
      </w:r>
      <w:r w:rsidRPr="00C444C9">
        <w:rPr>
          <w:rStyle w:val="aff4"/>
          <w:vanish/>
          <w:rtl/>
        </w:rPr>
        <w:fldChar w:fldCharType="separate"/>
      </w:r>
      <w:r w:rsidR="00D82181">
        <w:rPr>
          <w:rStyle w:val="aff4"/>
          <w:vanish/>
          <w:cs/>
        </w:rPr>
        <w:t>‎</w:t>
      </w:r>
      <w:r w:rsidR="00D82181">
        <w:rPr>
          <w:rStyle w:val="aff4"/>
          <w:vanish/>
          <w:rtl/>
        </w:rPr>
        <w:t>סג)</w:t>
      </w:r>
      <w:r w:rsidRPr="00C444C9">
        <w:rPr>
          <w:rStyle w:val="aff4"/>
          <w:vanish/>
          <w:rtl/>
        </w:rPr>
        <w:fldChar w:fldCharType="end"/>
      </w:r>
      <w:r w:rsidRPr="00C444C9">
        <w:rPr>
          <w:rStyle w:val="aff4"/>
          <w:rFonts w:hint="cs"/>
          <w:vanish/>
          <w:rtl/>
        </w:rPr>
        <w:t xml:space="preserve"> &gt;</w:t>
      </w:r>
      <w:r w:rsidRPr="004F32D2">
        <w:rPr>
          <w:rStyle w:val="aff4"/>
          <w:rFonts w:hint="cs"/>
          <w:rtl/>
        </w:rPr>
        <w:t>חי' המיוחסים לר"ן</w:t>
      </w:r>
      <w:r w:rsidRPr="00C444C9">
        <w:rPr>
          <w:rStyle w:val="aff4"/>
          <w:rFonts w:hint="cs"/>
          <w:vanish/>
          <w:rtl/>
        </w:rPr>
        <w:t>-</w:t>
      </w:r>
      <w:r>
        <w:rPr>
          <w:rFonts w:hint="cs"/>
          <w:rtl/>
        </w:rPr>
        <w:t xml:space="preserve"> </w:t>
      </w:r>
      <w:r w:rsidRPr="002A0D0C">
        <w:rPr>
          <w:rStyle w:val="af2"/>
          <w:rFonts w:eastAsia="Guttman Hodes" w:hint="cs"/>
          <w:rtl/>
        </w:rPr>
        <w:t>(ד"ה תנא)</w:t>
      </w:r>
      <w:r>
        <w:rPr>
          <w:rFonts w:hint="cs"/>
          <w:vanish/>
          <w:rtl/>
        </w:rPr>
        <w:t>=</w:t>
      </w:r>
      <w:r>
        <w:rPr>
          <w:rFonts w:hint="cs"/>
          <w:rtl/>
        </w:rPr>
        <w:t xml:space="preserve"> דכולן מלאכה אחת הן, הכוונה שכולם הם אבות, רק כיון שכל המלאכות הללו הם מאותו הענין, מונים אותם באב אחד דכלולים בזורע, ואם עשה את כל החמישה מלאכות הללו בהעלם אחד, חייב רק חטאת אחת.</w:t>
      </w:r>
      <w:bookmarkEnd w:id="312"/>
    </w:p>
    <w:p w14:paraId="4DA07BF3" w14:textId="77777777" w:rsidR="009623A2" w:rsidRPr="00747170" w:rsidRDefault="009623A2" w:rsidP="00747170">
      <w:pPr>
        <w:pStyle w:val="a2"/>
        <w:rPr>
          <w:rtl/>
        </w:rPr>
      </w:pPr>
      <w:r w:rsidRPr="00747170">
        <w:rPr>
          <w:rtl/>
        </w:rPr>
        <w:t>תנא הזורע והזומר והנוטע וכו' כולן מלאכה אחת הן. פי' כולן אבות הן אלא שהן מענין אחד ונמני' באחד ובכלל זורע נינהו ואם עשאן כולן חמשה בהעלם אחד אינו חייב אלא חטאת אחת וכדאמרי' העושה מלאכות הרבה מעין מלאכה א' וכו' והוה ליה כאוכל חלב וחלב בהעלם אחד שאינו חייב אלא אחת.</w:t>
      </w:r>
    </w:p>
    <w:p w14:paraId="20C006F9" w14:textId="77777777" w:rsidR="009623A2" w:rsidRPr="0072763D" w:rsidRDefault="009623A2" w:rsidP="009623A2">
      <w:pPr>
        <w:pStyle w:val="a7"/>
      </w:pPr>
      <w:bookmarkStart w:id="314" w:name="_Toc134419640"/>
      <w:r>
        <w:rPr>
          <w:rFonts w:hint="cs"/>
          <w:rtl/>
        </w:rPr>
        <w:t>בי' הרא"ה דזורה ובורר ומרקד דבדבר א' עושה שלושתן אבל מלאכות הללו כ"א נעשה במקו"א</w:t>
      </w:r>
      <w:bookmarkEnd w:id="314"/>
    </w:p>
    <w:p w14:paraId="01D8554E" w14:textId="77777777" w:rsidR="009623A2" w:rsidRPr="00EA48D3" w:rsidRDefault="009623A2" w:rsidP="00BC7DC8">
      <w:pPr>
        <w:pStyle w:val="a3"/>
      </w:pPr>
      <w:r>
        <w:rPr>
          <w:rFonts w:hint="cs"/>
          <w:rtl/>
        </w:rPr>
        <w:t xml:space="preserve">וביאר </w:t>
      </w:r>
      <w:r w:rsidRPr="00C444C9">
        <w:rPr>
          <w:rStyle w:val="aff4"/>
          <w:rFonts w:hint="cs"/>
          <w:vanish/>
          <w:rtl/>
        </w:rPr>
        <w:t>-</w:t>
      </w:r>
      <w:r w:rsidRPr="004F32D2">
        <w:rPr>
          <w:rStyle w:val="aff4"/>
          <w:rFonts w:hint="cs"/>
          <w:rtl/>
        </w:rPr>
        <w:t>בחי' המיוחסים לר"ן</w:t>
      </w:r>
      <w:r w:rsidRPr="00C444C9">
        <w:rPr>
          <w:rStyle w:val="aff4"/>
          <w:rFonts w:hint="cs"/>
          <w:vanish/>
          <w:rtl/>
        </w:rPr>
        <w:t>-</w:t>
      </w:r>
      <w:r>
        <w:rPr>
          <w:rFonts w:hint="cs"/>
          <w:rtl/>
        </w:rPr>
        <w:t xml:space="preserve"> </w:t>
      </w:r>
      <w:r w:rsidRPr="00E526A0">
        <w:rPr>
          <w:rFonts w:hint="cs"/>
          <w:b/>
          <w:bCs/>
          <w:vanish/>
          <w:rtl/>
        </w:rPr>
        <w:t>&lt; &gt;</w:t>
      </w:r>
      <w:r>
        <w:rPr>
          <w:rFonts w:hint="cs"/>
          <w:rtl/>
        </w:rPr>
        <w:t>בשם</w:t>
      </w:r>
      <w:r>
        <w:rPr>
          <w:rFonts w:hint="cs"/>
          <w:vanish/>
          <w:rtl/>
        </w:rPr>
        <w:t>=</w:t>
      </w:r>
      <w:r>
        <w:rPr>
          <w:rFonts w:hint="cs"/>
          <w:rtl/>
        </w:rPr>
        <w:t xml:space="preserve"> </w:t>
      </w:r>
      <w:r w:rsidRPr="00C444C9">
        <w:rPr>
          <w:rStyle w:val="aff4"/>
          <w:rFonts w:hint="cs"/>
          <w:vanish/>
          <w:rtl/>
        </w:rPr>
        <w:t>-</w:t>
      </w:r>
      <w:r w:rsidRPr="004F32D2">
        <w:rPr>
          <w:rStyle w:val="aff4"/>
          <w:rFonts w:hint="cs"/>
          <w:rtl/>
        </w:rPr>
        <w:t>ה</w:t>
      </w:r>
      <w:r w:rsidRPr="00C444C9">
        <w:rPr>
          <w:rStyle w:val="aff4"/>
          <w:rFonts w:hint="cs"/>
          <w:vanish/>
          <w:rtl/>
        </w:rPr>
        <w:t>&lt; &gt;</w:t>
      </w:r>
      <w:r w:rsidRPr="004F32D2">
        <w:rPr>
          <w:rStyle w:val="aff4"/>
          <w:rFonts w:hint="cs"/>
          <w:rtl/>
        </w:rPr>
        <w:t>רא"ה</w:t>
      </w:r>
      <w:r w:rsidRPr="00C444C9">
        <w:rPr>
          <w:rStyle w:val="aff4"/>
          <w:rFonts w:hint="cs"/>
          <w:vanish/>
          <w:rtl/>
        </w:rPr>
        <w:t>-</w:t>
      </w:r>
      <w:r>
        <w:rPr>
          <w:rFonts w:hint="cs"/>
          <w:vanish/>
          <w:rtl/>
        </w:rPr>
        <w:t>=</w:t>
      </w:r>
      <w:r>
        <w:rPr>
          <w:rFonts w:hint="cs"/>
          <w:rtl/>
        </w:rPr>
        <w:t xml:space="preserve"> דלא דמי לזורה ובורר ומרקד דמונים אותם בשלושה אבות, כיון דבדבר אחד צריך לעשות את שלושת המלאכות הללו, </w:t>
      </w:r>
      <w:r w:rsidRPr="002A0D0C">
        <w:rPr>
          <w:rStyle w:val="af"/>
          <w:rFonts w:hint="cs"/>
          <w:rtl/>
        </w:rPr>
        <w:t xml:space="preserve">[בכדי לברור </w:t>
      </w:r>
      <w:r w:rsidRPr="00EA48D3">
        <w:rPr>
          <w:rStyle w:val="af"/>
          <w:rFonts w:hint="cs"/>
          <w:rtl/>
        </w:rPr>
        <w:t>את האוכל מהפסולת],</w:t>
      </w:r>
      <w:r w:rsidRPr="00EA48D3">
        <w:rPr>
          <w:rFonts w:hint="cs"/>
          <w:rtl/>
        </w:rPr>
        <w:t xml:space="preserve"> אבל בזורע ונוטע וכו', בכל מקום צריך מלאכה אחרת, ובמקום שעושה מלאכה אחת אינו עושה את המלאכה האחרת.</w:t>
      </w:r>
    </w:p>
    <w:p w14:paraId="634D3274" w14:textId="77777777" w:rsidR="009623A2" w:rsidRPr="00747170" w:rsidRDefault="009623A2" w:rsidP="00747170">
      <w:pPr>
        <w:pStyle w:val="a2"/>
        <w:rPr>
          <w:rtl/>
        </w:rPr>
      </w:pPr>
      <w:r w:rsidRPr="00747170">
        <w:rPr>
          <w:rtl/>
        </w:rPr>
        <w:t>וכתב הרא"ה ז"ל דלא דמי לזורה ובורר ומרקד שנמנין בשלשה דהתם שלשתן צריכין בדבר אחד אבל כאן היכא דאית' להאי ליתא להאי וכולן ענין נטיעה וזריעה הן</w:t>
      </w:r>
      <w:r w:rsidRPr="00747170">
        <w:rPr>
          <w:rFonts w:hint="cs"/>
          <w:rtl/>
        </w:rPr>
        <w:t>.</w:t>
      </w:r>
    </w:p>
    <w:p w14:paraId="239570EC" w14:textId="77777777" w:rsidR="009623A2" w:rsidRPr="00EA48D3" w:rsidRDefault="009623A2" w:rsidP="009623A2">
      <w:pPr>
        <w:pStyle w:val="a7"/>
      </w:pPr>
      <w:bookmarkStart w:id="315" w:name="_Toc134419641"/>
      <w:r w:rsidRPr="00EA48D3">
        <w:rPr>
          <w:rFonts w:hint="cs"/>
          <w:rtl/>
        </w:rPr>
        <w:t>בי' הרא"ה דאי הם תולדות הול"ל דחייב משום אב ומדאמרי' מלאכה א' מוכח דכלולים באב א'</w:t>
      </w:r>
      <w:bookmarkEnd w:id="315"/>
    </w:p>
    <w:p w14:paraId="3719E3FA" w14:textId="33EEB970" w:rsidR="009623A2" w:rsidRPr="00EA48D3" w:rsidRDefault="009623A2" w:rsidP="00BC7DC8">
      <w:pPr>
        <w:pStyle w:val="a3"/>
        <w:rPr>
          <w:rtl/>
        </w:rPr>
      </w:pPr>
      <w:r w:rsidRPr="00EA48D3">
        <w:rPr>
          <w:rFonts w:hint="cs"/>
          <w:rtl/>
        </w:rPr>
        <w:t xml:space="preserve">וכתב </w:t>
      </w:r>
      <w:r w:rsidRPr="00EA48D3">
        <w:rPr>
          <w:rStyle w:val="aff4"/>
          <w:rFonts w:hint="cs"/>
          <w:vanish/>
          <w:rtl/>
        </w:rPr>
        <w:t>-</w:t>
      </w:r>
      <w:r w:rsidRPr="00EA48D3">
        <w:rPr>
          <w:rStyle w:val="aff4"/>
          <w:rFonts w:hint="cs"/>
          <w:rtl/>
        </w:rPr>
        <w:t>בחי' המיוחסים לר"ן</w:t>
      </w:r>
      <w:r w:rsidRPr="00EA48D3">
        <w:rPr>
          <w:rStyle w:val="aff4"/>
          <w:rFonts w:hint="cs"/>
          <w:vanish/>
          <w:rtl/>
        </w:rPr>
        <w:t>-</w:t>
      </w:r>
      <w:r w:rsidRPr="00EA48D3">
        <w:rPr>
          <w:rFonts w:hint="cs"/>
          <w:rtl/>
        </w:rPr>
        <w:t xml:space="preserve"> בשם</w:t>
      </w:r>
      <w:r w:rsidRPr="00EA48D3">
        <w:rPr>
          <w:rFonts w:hint="cs"/>
          <w:vanish/>
          <w:rtl/>
        </w:rPr>
        <w:t>=</w:t>
      </w:r>
      <w:r w:rsidRPr="00EA48D3">
        <w:rPr>
          <w:rFonts w:hint="cs"/>
          <w:rtl/>
        </w:rPr>
        <w:t xml:space="preserve"> </w:t>
      </w:r>
      <w:r w:rsidRPr="00EA48D3">
        <w:rPr>
          <w:rStyle w:val="aff4"/>
          <w:rFonts w:hint="cs"/>
          <w:vanish/>
          <w:rtl/>
        </w:rPr>
        <w:t>-</w:t>
      </w:r>
      <w:r w:rsidRPr="00EA48D3">
        <w:rPr>
          <w:rStyle w:val="aff4"/>
          <w:rFonts w:hint="cs"/>
          <w:rtl/>
        </w:rPr>
        <w:t>ה</w:t>
      </w:r>
      <w:r w:rsidRPr="00EA48D3">
        <w:rPr>
          <w:rStyle w:val="aff4"/>
          <w:rFonts w:hint="cs"/>
          <w:vanish/>
          <w:rtl/>
        </w:rPr>
        <w:t>&lt; &gt;</w:t>
      </w:r>
      <w:r w:rsidRPr="00EA48D3">
        <w:rPr>
          <w:rStyle w:val="aff4"/>
          <w:rFonts w:hint="cs"/>
          <w:rtl/>
        </w:rPr>
        <w:t>רא"ה</w:t>
      </w:r>
      <w:r w:rsidRPr="00EA48D3">
        <w:rPr>
          <w:rStyle w:val="aff4"/>
          <w:rFonts w:hint="cs"/>
          <w:vanish/>
          <w:rtl/>
        </w:rPr>
        <w:t>-</w:t>
      </w:r>
      <w:r w:rsidRPr="00EA48D3">
        <w:rPr>
          <w:rFonts w:hint="cs"/>
          <w:vanish/>
          <w:rtl/>
        </w:rPr>
        <w:t>=</w:t>
      </w:r>
      <w:r w:rsidRPr="00EA48D3">
        <w:rPr>
          <w:rFonts w:hint="cs"/>
          <w:rtl/>
        </w:rPr>
        <w:t xml:space="preserve"> דמוכח דאינם תולדות, כיון דבתולדות אמרינן דחייב משום האב, ולא אמרינן רק דכולם הם מלאכה אחת, דמשמע דהם אבות רק דהם כלולים באותו הענין ולכן הם אב אחד.</w:t>
      </w:r>
      <w:bookmarkEnd w:id="313"/>
    </w:p>
    <w:p w14:paraId="774BCA47" w14:textId="77777777" w:rsidR="009623A2" w:rsidRPr="00747170" w:rsidRDefault="009623A2" w:rsidP="00747170">
      <w:pPr>
        <w:pStyle w:val="a2"/>
        <w:rPr>
          <w:rtl/>
        </w:rPr>
      </w:pPr>
      <w:r w:rsidRPr="00747170">
        <w:rPr>
          <w:rtl/>
        </w:rPr>
        <w:t>וכי בעי למימר דהוי תולדה פריש בהדיא חייב משום הכי עכ"ל:</w:t>
      </w:r>
    </w:p>
    <w:p w14:paraId="319C0B8B" w14:textId="0AB8BAA3" w:rsidR="009623A2" w:rsidRPr="00EA48D3" w:rsidRDefault="009623A2" w:rsidP="009623A2">
      <w:pPr>
        <w:pStyle w:val="afffff7"/>
        <w:rPr>
          <w:rtl/>
        </w:rPr>
      </w:pPr>
      <w:bookmarkStart w:id="316" w:name="_Toc133841669"/>
      <w:bookmarkStart w:id="317" w:name="_Toc163505417"/>
      <w:r w:rsidRPr="00EA48D3">
        <w:rPr>
          <w:rtl/>
        </w:rPr>
        <w:t xml:space="preserve">חדושי הר"ן </w:t>
      </w:r>
      <w:r w:rsidRPr="00EA48D3">
        <w:rPr>
          <w:rFonts w:hint="cs"/>
          <w:rtl/>
        </w:rPr>
        <w:t xml:space="preserve">- </w:t>
      </w:r>
      <w:r w:rsidRPr="00EA48D3">
        <w:rPr>
          <w:rtl/>
        </w:rPr>
        <w:t>מיוחס לו</w:t>
      </w:r>
      <w:r w:rsidRPr="00EA48D3">
        <w:rPr>
          <w:rFonts w:hint="cs"/>
          <w:rtl/>
        </w:rPr>
        <w:t xml:space="preserve"> </w:t>
      </w:r>
      <w:r w:rsidRPr="00EA48D3">
        <w:rPr>
          <w:rtl/>
        </w:rPr>
        <w:t>שבת ע"ג ע"ב</w:t>
      </w:r>
      <w:r w:rsidRPr="00EA48D3">
        <w:rPr>
          <w:rFonts w:hint="cs"/>
          <w:rtl/>
        </w:rPr>
        <w:t xml:space="preserve"> ד"ה זומר</w:t>
      </w:r>
      <w:bookmarkEnd w:id="316"/>
      <w:bookmarkEnd w:id="317"/>
    </w:p>
    <w:p w14:paraId="4A738FD0" w14:textId="77777777" w:rsidR="009623A2" w:rsidRPr="00EA48D3" w:rsidRDefault="009623A2" w:rsidP="009623A2">
      <w:pPr>
        <w:pStyle w:val="a7"/>
        <w:rPr>
          <w:rtl/>
        </w:rPr>
      </w:pPr>
      <w:bookmarkStart w:id="318" w:name="_Toc134419642"/>
      <w:r w:rsidRPr="00EA48D3">
        <w:rPr>
          <w:rFonts w:hint="cs"/>
          <w:rtl/>
        </w:rPr>
        <w:t>סתירה בחי' המיוחסים לר"ן דכ' דזומר תולדת נוטע ומבריך ומרכיב תולדות ונוטע וזורע אבות</w:t>
      </w:r>
      <w:bookmarkEnd w:id="318"/>
    </w:p>
    <w:p w14:paraId="4E6100DE" w14:textId="328AD054" w:rsidR="009623A2" w:rsidRPr="00EA48D3" w:rsidRDefault="009623A2" w:rsidP="00BC7DC8">
      <w:pPr>
        <w:pStyle w:val="a3"/>
        <w:rPr>
          <w:rtl/>
        </w:rPr>
      </w:pPr>
      <w:bookmarkStart w:id="319" w:name="_Ref133361307"/>
      <w:r w:rsidRPr="00EA48D3">
        <w:rPr>
          <w:rFonts w:hint="cs"/>
          <w:rtl/>
        </w:rPr>
        <w:t xml:space="preserve">אמנם צ"ע בדברי </w:t>
      </w:r>
      <w:r w:rsidRPr="00EA48D3">
        <w:rPr>
          <w:rStyle w:val="aff4"/>
          <w:rFonts w:hint="cs"/>
          <w:vanish/>
          <w:rtl/>
        </w:rPr>
        <w:t>-</w:t>
      </w:r>
      <w:r w:rsidRPr="00EA48D3">
        <w:rPr>
          <w:rStyle w:val="aff4"/>
          <w:rFonts w:hint="cs"/>
          <w:rtl/>
        </w:rPr>
        <w:t>החי' המיוחסים לר"ן</w:t>
      </w:r>
      <w:r w:rsidRPr="00EA48D3">
        <w:rPr>
          <w:rStyle w:val="aff4"/>
          <w:rFonts w:hint="cs"/>
          <w:vanish/>
          <w:rtl/>
        </w:rPr>
        <w:t>-</w:t>
      </w:r>
      <w:r w:rsidRPr="00EA48D3">
        <w:rPr>
          <w:rStyle w:val="aff4"/>
          <w:rFonts w:hint="cs"/>
          <w:b w:val="0"/>
          <w:bCs w:val="0"/>
          <w:rtl/>
        </w:rPr>
        <w:t>, דבהא דאמרינן דזומר חייב משום נוטע, ביאר</w:t>
      </w:r>
      <w:r w:rsidRPr="00EA48D3">
        <w:rPr>
          <w:rStyle w:val="aff4"/>
          <w:rFonts w:hint="cs"/>
          <w:rtl/>
        </w:rPr>
        <w:t xml:space="preserve"> </w:t>
      </w:r>
      <w:r w:rsidRPr="00EA48D3">
        <w:rPr>
          <w:rStyle w:val="aff4"/>
          <w:rFonts w:hint="cs"/>
          <w:vanish/>
          <w:rtl/>
        </w:rPr>
        <w:t>-</w:t>
      </w:r>
      <w:r w:rsidRPr="00EA48D3">
        <w:rPr>
          <w:rStyle w:val="aff4"/>
          <w:rFonts w:hint="cs"/>
          <w:rtl/>
        </w:rPr>
        <w:t>ב</w:t>
      </w:r>
      <w:r w:rsidRPr="00EA48D3">
        <w:rPr>
          <w:rStyle w:val="aff4"/>
          <w:rFonts w:hint="cs"/>
          <w:vanish/>
          <w:rtl/>
        </w:rPr>
        <w:t xml:space="preserve">&lt;. </w:t>
      </w:r>
      <w:r w:rsidRPr="00EA48D3">
        <w:rPr>
          <w:rStyle w:val="aff4"/>
          <w:vanish/>
          <w:rtl/>
        </w:rPr>
        <w:fldChar w:fldCharType="begin"/>
      </w:r>
      <w:r w:rsidRPr="00EA48D3">
        <w:rPr>
          <w:rStyle w:val="aff4"/>
          <w:vanish/>
          <w:rtl/>
        </w:rPr>
        <w:instrText xml:space="preserve"> </w:instrText>
      </w:r>
      <w:r w:rsidRPr="00EA48D3">
        <w:rPr>
          <w:rStyle w:val="aff4"/>
          <w:rFonts w:hint="cs"/>
          <w:vanish/>
        </w:rPr>
        <w:instrText>REF</w:instrText>
      </w:r>
      <w:r w:rsidRPr="00EA48D3">
        <w:rPr>
          <w:rStyle w:val="aff4"/>
          <w:rFonts w:hint="cs"/>
          <w:vanish/>
          <w:rtl/>
        </w:rPr>
        <w:instrText xml:space="preserve"> _</w:instrText>
      </w:r>
      <w:r w:rsidRPr="00EA48D3">
        <w:rPr>
          <w:rStyle w:val="aff4"/>
          <w:rFonts w:hint="cs"/>
          <w:vanish/>
        </w:rPr>
        <w:instrText>Ref133361307 \r \h</w:instrText>
      </w:r>
      <w:r w:rsidRPr="00EA48D3">
        <w:rPr>
          <w:rStyle w:val="aff4"/>
          <w:vanish/>
          <w:rtl/>
        </w:rPr>
        <w:instrText xml:space="preserve"> </w:instrText>
      </w:r>
      <w:r w:rsidRPr="00EA48D3">
        <w:rPr>
          <w:rStyle w:val="aff4"/>
          <w:vanish/>
          <w:rtl/>
        </w:rPr>
      </w:r>
      <w:r w:rsidRPr="00EA48D3">
        <w:rPr>
          <w:rStyle w:val="aff4"/>
          <w:vanish/>
          <w:rtl/>
        </w:rPr>
        <w:fldChar w:fldCharType="separate"/>
      </w:r>
      <w:r w:rsidR="00D82181">
        <w:rPr>
          <w:rStyle w:val="aff4"/>
          <w:vanish/>
          <w:cs/>
        </w:rPr>
        <w:t>‎</w:t>
      </w:r>
      <w:r w:rsidR="00D82181">
        <w:rPr>
          <w:rStyle w:val="aff4"/>
          <w:vanish/>
          <w:rtl/>
        </w:rPr>
        <w:t>סו)</w:t>
      </w:r>
      <w:r w:rsidRPr="00EA48D3">
        <w:rPr>
          <w:rStyle w:val="aff4"/>
          <w:vanish/>
          <w:rtl/>
        </w:rPr>
        <w:fldChar w:fldCharType="end"/>
      </w:r>
      <w:r w:rsidRPr="00EA48D3">
        <w:rPr>
          <w:rStyle w:val="aff4"/>
          <w:rFonts w:hint="cs"/>
          <w:vanish/>
          <w:rtl/>
        </w:rPr>
        <w:t xml:space="preserve"> &gt;</w:t>
      </w:r>
      <w:r w:rsidRPr="00EA48D3">
        <w:rPr>
          <w:rStyle w:val="aff4"/>
          <w:rFonts w:hint="cs"/>
          <w:rtl/>
        </w:rPr>
        <w:t>חי' המיוחסים לר"ן</w:t>
      </w:r>
      <w:r w:rsidRPr="00EA48D3">
        <w:rPr>
          <w:rStyle w:val="aff4"/>
          <w:rFonts w:hint="cs"/>
          <w:vanish/>
          <w:rtl/>
        </w:rPr>
        <w:t>-</w:t>
      </w:r>
      <w:r w:rsidRPr="00EA48D3">
        <w:rPr>
          <w:rStyle w:val="aff4"/>
          <w:rFonts w:hint="cs"/>
          <w:rtl/>
        </w:rPr>
        <w:t xml:space="preserve"> </w:t>
      </w:r>
      <w:r w:rsidRPr="00EA48D3">
        <w:rPr>
          <w:rStyle w:val="af2"/>
          <w:rFonts w:eastAsia="Guttman Hodes" w:hint="cs"/>
          <w:rtl/>
        </w:rPr>
        <w:t>(ד"ה זומר)</w:t>
      </w:r>
      <w:r w:rsidRPr="00EA48D3">
        <w:rPr>
          <w:rStyle w:val="aff4"/>
          <w:rFonts w:hint="cs"/>
          <w:vanish/>
          <w:rtl/>
        </w:rPr>
        <w:t>=</w:t>
      </w:r>
      <w:r w:rsidRPr="00EA48D3">
        <w:rPr>
          <w:rStyle w:val="aff4"/>
          <w:rFonts w:hint="cs"/>
          <w:rtl/>
        </w:rPr>
        <w:t xml:space="preserve"> </w:t>
      </w:r>
      <w:r w:rsidRPr="00EA48D3">
        <w:rPr>
          <w:rStyle w:val="aff4"/>
          <w:rFonts w:hint="cs"/>
          <w:b w:val="0"/>
          <w:bCs w:val="0"/>
          <w:rtl/>
        </w:rPr>
        <w:t xml:space="preserve">דזומר הוא </w:t>
      </w:r>
      <w:r w:rsidRPr="00EA48D3">
        <w:rPr>
          <w:rStyle w:val="aff4"/>
          <w:rFonts w:hint="cs"/>
          <w:b w:val="0"/>
          <w:bCs w:val="0"/>
          <w:rtl/>
        </w:rPr>
        <w:t xml:space="preserve">תולדה של נוטע, ואף מבריך ומרכיב הם תולדה של זורע, והא דאמרינן בברייתא דכולן הם מלאכה אחת הכוונה רק לענין זורע ונוטע, אך שאר המלאכות הם תולדות. </w:t>
      </w:r>
      <w:r w:rsidRPr="00EA48D3">
        <w:rPr>
          <w:rStyle w:val="af"/>
          <w:rFonts w:hint="cs"/>
          <w:rtl/>
        </w:rPr>
        <w:t xml:space="preserve">[וסותר למ"ש </w:t>
      </w:r>
      <w:r w:rsidRPr="00EA48D3">
        <w:rPr>
          <w:rStyle w:val="aff9"/>
          <w:rFonts w:hint="cs"/>
          <w:vanish/>
          <w:rtl/>
        </w:rPr>
        <w:t>-</w:t>
      </w:r>
      <w:r w:rsidRPr="00EA48D3">
        <w:rPr>
          <w:rStyle w:val="aff9"/>
          <w:rFonts w:hint="cs"/>
          <w:rtl/>
        </w:rPr>
        <w:t>בחי' המיוחסים לר"ן</w:t>
      </w:r>
      <w:r w:rsidRPr="00EA48D3">
        <w:rPr>
          <w:rStyle w:val="aff9"/>
          <w:rFonts w:hint="cs"/>
          <w:vanish/>
          <w:rtl/>
        </w:rPr>
        <w:t>-</w:t>
      </w:r>
      <w:r w:rsidRPr="00EA48D3">
        <w:rPr>
          <w:rStyle w:val="af"/>
          <w:rFonts w:hint="cs"/>
          <w:rtl/>
        </w:rPr>
        <w:t xml:space="preserve"> </w:t>
      </w:r>
      <w:r w:rsidRPr="00EA48D3">
        <w:rPr>
          <w:rStyle w:val="aff5"/>
          <w:rFonts w:hint="cs"/>
          <w:rtl/>
        </w:rPr>
        <w:t xml:space="preserve">(עי' אות </w:t>
      </w:r>
      <w:r w:rsidRPr="00EA48D3">
        <w:rPr>
          <w:rStyle w:val="aff5"/>
          <w:rtl/>
        </w:rPr>
        <w:fldChar w:fldCharType="begin"/>
      </w:r>
      <w:r w:rsidRPr="00EA48D3">
        <w:rPr>
          <w:rStyle w:val="aff5"/>
          <w:rtl/>
        </w:rPr>
        <w:instrText xml:space="preserve"> </w:instrText>
      </w:r>
      <w:r w:rsidRPr="00EA48D3">
        <w:rPr>
          <w:rStyle w:val="aff5"/>
          <w:rFonts w:hint="cs"/>
        </w:rPr>
        <w:instrText>REF</w:instrText>
      </w:r>
      <w:r w:rsidRPr="00EA48D3">
        <w:rPr>
          <w:rStyle w:val="aff5"/>
          <w:rFonts w:hint="cs"/>
          <w:rtl/>
        </w:rPr>
        <w:instrText xml:space="preserve"> _</w:instrText>
      </w:r>
      <w:r w:rsidRPr="00EA48D3">
        <w:rPr>
          <w:rStyle w:val="aff5"/>
          <w:rFonts w:hint="cs"/>
        </w:rPr>
        <w:instrText>Ref133826517 \r \h</w:instrText>
      </w:r>
      <w:r w:rsidRPr="00EA48D3">
        <w:rPr>
          <w:rStyle w:val="aff5"/>
          <w:rtl/>
        </w:rPr>
        <w:instrText xml:space="preserve"> </w:instrText>
      </w:r>
      <w:r w:rsidRPr="00EA48D3">
        <w:rPr>
          <w:rStyle w:val="aff5"/>
          <w:rtl/>
        </w:rPr>
      </w:r>
      <w:r w:rsidRPr="00EA48D3">
        <w:rPr>
          <w:rStyle w:val="aff5"/>
          <w:rtl/>
        </w:rPr>
        <w:fldChar w:fldCharType="separate"/>
      </w:r>
      <w:r w:rsidR="00D82181">
        <w:rPr>
          <w:rStyle w:val="aff5"/>
          <w:cs/>
        </w:rPr>
        <w:t>‎</w:t>
      </w:r>
      <w:r w:rsidR="00D82181">
        <w:rPr>
          <w:rStyle w:val="aff5"/>
          <w:rtl/>
        </w:rPr>
        <w:t>סג)</w:t>
      </w:r>
      <w:r w:rsidRPr="00EA48D3">
        <w:rPr>
          <w:rStyle w:val="aff5"/>
          <w:rtl/>
        </w:rPr>
        <w:fldChar w:fldCharType="end"/>
      </w:r>
      <w:r w:rsidRPr="00EA48D3">
        <w:rPr>
          <w:rStyle w:val="af"/>
          <w:rFonts w:hint="cs"/>
          <w:rtl/>
        </w:rPr>
        <w:t xml:space="preserve"> בתחילת דבריו דכולם הם אבות, ואולי ס"ל דבמסקנא הגמ' חוזרת בה, וביארה דרק זורע ונוטע הם אבות].</w:t>
      </w:r>
      <w:bookmarkEnd w:id="319"/>
    </w:p>
    <w:p w14:paraId="7A6B2A79" w14:textId="77777777" w:rsidR="009623A2" w:rsidRPr="00747170" w:rsidRDefault="009623A2" w:rsidP="00747170">
      <w:pPr>
        <w:pStyle w:val="a2"/>
        <w:rPr>
          <w:rtl/>
        </w:rPr>
      </w:pPr>
      <w:r w:rsidRPr="00747170">
        <w:rPr>
          <w:rtl/>
        </w:rPr>
        <w:t>זומר חייב משום נוטע. פי' תולדה דנוטע הוא ומבריך ומרכיב נמי תולדה דזורע היא ומאי דאיתמר לעיל כולן מלאכה אחת הן אזורע ונוטע קאי ואינך כולהו תולדות:</w:t>
      </w:r>
    </w:p>
    <w:p w14:paraId="7C495E63" w14:textId="3E334984" w:rsidR="009623A2" w:rsidRPr="00EA48D3" w:rsidRDefault="009623A2" w:rsidP="009623A2">
      <w:pPr>
        <w:pStyle w:val="afffff7"/>
        <w:rPr>
          <w:rtl/>
        </w:rPr>
      </w:pPr>
      <w:bookmarkStart w:id="320" w:name="_Toc133841670"/>
      <w:bookmarkStart w:id="321" w:name="_Toc163505418"/>
      <w:r w:rsidRPr="00EA48D3">
        <w:rPr>
          <w:rtl/>
        </w:rPr>
        <w:t xml:space="preserve">חדושי הר"ן </w:t>
      </w:r>
      <w:r w:rsidRPr="00EA48D3">
        <w:rPr>
          <w:rFonts w:hint="cs"/>
          <w:rtl/>
        </w:rPr>
        <w:t xml:space="preserve">- </w:t>
      </w:r>
      <w:r w:rsidRPr="00EA48D3">
        <w:rPr>
          <w:rtl/>
        </w:rPr>
        <w:t>מיוחס לו</w:t>
      </w:r>
      <w:r w:rsidRPr="00EA48D3">
        <w:rPr>
          <w:rFonts w:hint="cs"/>
          <w:rtl/>
        </w:rPr>
        <w:t xml:space="preserve"> </w:t>
      </w:r>
      <w:r w:rsidRPr="00EA48D3">
        <w:rPr>
          <w:rtl/>
        </w:rPr>
        <w:t>שבת ע"ג ע"ב</w:t>
      </w:r>
      <w:r w:rsidRPr="00EA48D3">
        <w:rPr>
          <w:rFonts w:hint="cs"/>
          <w:rtl/>
        </w:rPr>
        <w:t xml:space="preserve"> ד"ה אימא</w:t>
      </w:r>
      <w:bookmarkEnd w:id="320"/>
      <w:bookmarkEnd w:id="321"/>
    </w:p>
    <w:p w14:paraId="25B6F4AD" w14:textId="77777777" w:rsidR="009623A2" w:rsidRPr="00EA48D3" w:rsidRDefault="009623A2" w:rsidP="009623A2">
      <w:pPr>
        <w:pStyle w:val="a7"/>
        <w:rPr>
          <w:rtl/>
        </w:rPr>
      </w:pPr>
      <w:bookmarkStart w:id="322" w:name="_Toc134419643"/>
      <w:r w:rsidRPr="00EA48D3">
        <w:rPr>
          <w:rFonts w:hint="cs"/>
          <w:rtl/>
        </w:rPr>
        <w:t>בי' המיוחסים לר"ן דמתרין במבריך ומרכיב משום בזורע או נוטע אך זומר רק נוטע ולא זורע</w:t>
      </w:r>
      <w:bookmarkEnd w:id="322"/>
    </w:p>
    <w:p w14:paraId="76D55C4C" w14:textId="5307AE71" w:rsidR="009623A2" w:rsidRPr="00EA48D3" w:rsidRDefault="009623A2" w:rsidP="00BC7DC8">
      <w:pPr>
        <w:pStyle w:val="a3"/>
        <w:rPr>
          <w:rtl/>
        </w:rPr>
      </w:pPr>
      <w:bookmarkStart w:id="323" w:name="_Ref133361319"/>
      <w:r w:rsidRPr="00EA48D3">
        <w:rPr>
          <w:rFonts w:hint="cs"/>
          <w:rtl/>
        </w:rPr>
        <w:t xml:space="preserve">ובתירוץ הגמ' "אימא אף משום זורע", ביאר </w:t>
      </w:r>
      <w:r w:rsidRPr="00EA48D3">
        <w:rPr>
          <w:rStyle w:val="aff4"/>
          <w:rFonts w:hint="cs"/>
          <w:vanish/>
          <w:rtl/>
        </w:rPr>
        <w:t>-</w:t>
      </w:r>
      <w:r w:rsidRPr="00EA48D3">
        <w:rPr>
          <w:rStyle w:val="aff4"/>
          <w:rFonts w:hint="cs"/>
          <w:rtl/>
        </w:rPr>
        <w:t>ב</w:t>
      </w:r>
      <w:r w:rsidRPr="00EA48D3">
        <w:rPr>
          <w:rStyle w:val="aff4"/>
          <w:rFonts w:hint="cs"/>
          <w:vanish/>
          <w:rtl/>
        </w:rPr>
        <w:t xml:space="preserve">&lt;. </w:t>
      </w:r>
      <w:r w:rsidRPr="00EA48D3">
        <w:rPr>
          <w:rStyle w:val="aff4"/>
          <w:vanish/>
          <w:rtl/>
        </w:rPr>
        <w:fldChar w:fldCharType="begin"/>
      </w:r>
      <w:r w:rsidRPr="00EA48D3">
        <w:rPr>
          <w:rStyle w:val="aff4"/>
          <w:vanish/>
          <w:rtl/>
        </w:rPr>
        <w:instrText xml:space="preserve"> </w:instrText>
      </w:r>
      <w:r w:rsidRPr="00EA48D3">
        <w:rPr>
          <w:rStyle w:val="aff4"/>
          <w:rFonts w:hint="cs"/>
          <w:vanish/>
        </w:rPr>
        <w:instrText>REF</w:instrText>
      </w:r>
      <w:r w:rsidRPr="00EA48D3">
        <w:rPr>
          <w:rStyle w:val="aff4"/>
          <w:rFonts w:hint="cs"/>
          <w:vanish/>
          <w:rtl/>
        </w:rPr>
        <w:instrText xml:space="preserve"> _</w:instrText>
      </w:r>
      <w:r w:rsidRPr="00EA48D3">
        <w:rPr>
          <w:rStyle w:val="aff4"/>
          <w:rFonts w:hint="cs"/>
          <w:vanish/>
        </w:rPr>
        <w:instrText>Ref133361319 \r \h</w:instrText>
      </w:r>
      <w:r w:rsidRPr="00EA48D3">
        <w:rPr>
          <w:rStyle w:val="aff4"/>
          <w:vanish/>
          <w:rtl/>
        </w:rPr>
        <w:instrText xml:space="preserve"> </w:instrText>
      </w:r>
      <w:r w:rsidRPr="00EA48D3">
        <w:rPr>
          <w:rStyle w:val="aff4"/>
          <w:vanish/>
          <w:rtl/>
        </w:rPr>
      </w:r>
      <w:r w:rsidRPr="00EA48D3">
        <w:rPr>
          <w:rStyle w:val="aff4"/>
          <w:vanish/>
          <w:rtl/>
        </w:rPr>
        <w:fldChar w:fldCharType="separate"/>
      </w:r>
      <w:r w:rsidR="00D82181">
        <w:rPr>
          <w:rStyle w:val="aff4"/>
          <w:vanish/>
          <w:cs/>
        </w:rPr>
        <w:t>‎</w:t>
      </w:r>
      <w:r w:rsidR="00D82181">
        <w:rPr>
          <w:rStyle w:val="aff4"/>
          <w:vanish/>
          <w:rtl/>
        </w:rPr>
        <w:t>סז)</w:t>
      </w:r>
      <w:r w:rsidRPr="00EA48D3">
        <w:rPr>
          <w:rStyle w:val="aff4"/>
          <w:vanish/>
          <w:rtl/>
        </w:rPr>
        <w:fldChar w:fldCharType="end"/>
      </w:r>
      <w:r w:rsidRPr="00EA48D3">
        <w:rPr>
          <w:rStyle w:val="aff4"/>
          <w:rFonts w:hint="cs"/>
          <w:vanish/>
          <w:rtl/>
        </w:rPr>
        <w:t xml:space="preserve"> &gt;</w:t>
      </w:r>
      <w:r w:rsidRPr="00EA48D3">
        <w:rPr>
          <w:rStyle w:val="aff4"/>
          <w:rFonts w:hint="cs"/>
          <w:rtl/>
        </w:rPr>
        <w:t>חי' המיוחסים לר"ן</w:t>
      </w:r>
      <w:r w:rsidRPr="00EA48D3">
        <w:rPr>
          <w:rStyle w:val="aff4"/>
          <w:rFonts w:hint="cs"/>
          <w:vanish/>
          <w:rtl/>
        </w:rPr>
        <w:t>-</w:t>
      </w:r>
      <w:r w:rsidRPr="00EA48D3">
        <w:rPr>
          <w:rFonts w:hint="cs"/>
          <w:rtl/>
        </w:rPr>
        <w:t xml:space="preserve"> </w:t>
      </w:r>
      <w:r w:rsidRPr="00EA48D3">
        <w:rPr>
          <w:rStyle w:val="af2"/>
          <w:rFonts w:eastAsia="Guttman Hodes" w:hint="cs"/>
          <w:rtl/>
        </w:rPr>
        <w:t>(ד"ה אימא)</w:t>
      </w:r>
      <w:r w:rsidRPr="00EA48D3">
        <w:rPr>
          <w:rFonts w:hint="cs"/>
          <w:vanish/>
          <w:rtl/>
        </w:rPr>
        <w:t>=</w:t>
      </w:r>
      <w:r w:rsidRPr="00EA48D3">
        <w:rPr>
          <w:rFonts w:hint="cs"/>
          <w:rtl/>
        </w:rPr>
        <w:t xml:space="preserve"> דדוקא מרכיב ומבריך חייב גם משום נוטע וגם משום זורע, אבל בזומר חייב רק משום נוטע ולא משום זורע, ונ"מ לענין התראה, דמתרים בו רק משום נוטע, ובמבריך ומרכיב מתרים גם משום זורע, והביא </w:t>
      </w:r>
      <w:r w:rsidRPr="00EA48D3">
        <w:rPr>
          <w:rStyle w:val="aff4"/>
          <w:rFonts w:hint="cs"/>
          <w:vanish/>
          <w:rtl/>
        </w:rPr>
        <w:t>-</w:t>
      </w:r>
      <w:r w:rsidRPr="00EA48D3">
        <w:rPr>
          <w:rStyle w:val="aff4"/>
          <w:rFonts w:hint="cs"/>
          <w:rtl/>
        </w:rPr>
        <w:t>בחי' המיוחסים לר"ן</w:t>
      </w:r>
      <w:r w:rsidRPr="00EA48D3">
        <w:rPr>
          <w:rStyle w:val="aff4"/>
          <w:rFonts w:hint="cs"/>
          <w:vanish/>
          <w:rtl/>
        </w:rPr>
        <w:t>-</w:t>
      </w:r>
      <w:r w:rsidRPr="00EA48D3">
        <w:rPr>
          <w:rFonts w:hint="cs"/>
          <w:rtl/>
        </w:rPr>
        <w:t xml:space="preserve"> את דברי </w:t>
      </w:r>
      <w:r w:rsidRPr="00EA48D3">
        <w:rPr>
          <w:rStyle w:val="aff4"/>
          <w:rFonts w:hint="cs"/>
          <w:vanish/>
          <w:rtl/>
        </w:rPr>
        <w:t>-</w:t>
      </w:r>
      <w:r w:rsidRPr="00EA48D3">
        <w:rPr>
          <w:rStyle w:val="aff4"/>
          <w:rFonts w:hint="cs"/>
          <w:rtl/>
        </w:rPr>
        <w:t>רש"י</w:t>
      </w:r>
      <w:r w:rsidRPr="00EA48D3">
        <w:rPr>
          <w:rStyle w:val="aff4"/>
          <w:rFonts w:hint="cs"/>
          <w:vanish/>
          <w:rtl/>
        </w:rPr>
        <w:t>-</w:t>
      </w:r>
      <w:r w:rsidRPr="00EA48D3">
        <w:rPr>
          <w:rFonts w:hint="cs"/>
          <w:rtl/>
        </w:rPr>
        <w:t xml:space="preserve"> </w:t>
      </w:r>
      <w:r w:rsidRPr="00EA48D3">
        <w:rPr>
          <w:rStyle w:val="af2"/>
          <w:rFonts w:eastAsia="Guttman Hodes" w:hint="cs"/>
          <w:rtl/>
        </w:rPr>
        <w:t xml:space="preserve">(עי' אות </w:t>
      </w:r>
      <w:r w:rsidRPr="00EA48D3">
        <w:rPr>
          <w:rStyle w:val="af2"/>
          <w:rFonts w:eastAsia="Guttman Hodes"/>
          <w:rtl/>
        </w:rPr>
        <w:fldChar w:fldCharType="begin"/>
      </w:r>
      <w:r w:rsidRPr="00EA48D3">
        <w:rPr>
          <w:rStyle w:val="af2"/>
          <w:rFonts w:eastAsia="Guttman Hodes"/>
          <w:rtl/>
        </w:rPr>
        <w:instrText xml:space="preserve"> </w:instrText>
      </w:r>
      <w:r w:rsidRPr="00EA48D3">
        <w:rPr>
          <w:rStyle w:val="af2"/>
          <w:rFonts w:eastAsia="Guttman Hodes" w:hint="cs"/>
        </w:rPr>
        <w:instrText>REF</w:instrText>
      </w:r>
      <w:r w:rsidRPr="00EA48D3">
        <w:rPr>
          <w:rStyle w:val="af2"/>
          <w:rFonts w:eastAsia="Guttman Hodes" w:hint="cs"/>
          <w:rtl/>
        </w:rPr>
        <w:instrText xml:space="preserve"> _</w:instrText>
      </w:r>
      <w:r w:rsidRPr="00EA48D3">
        <w:rPr>
          <w:rStyle w:val="af2"/>
          <w:rFonts w:eastAsia="Guttman Hodes" w:hint="cs"/>
        </w:rPr>
        <w:instrText>Ref133823857 \r \h</w:instrText>
      </w:r>
      <w:r w:rsidRPr="00EA48D3">
        <w:rPr>
          <w:rStyle w:val="af2"/>
          <w:rFonts w:eastAsia="Guttman Hodes"/>
          <w:rtl/>
        </w:rPr>
        <w:instrText xml:space="preserve"> </w:instrText>
      </w:r>
      <w:r w:rsidRPr="00EA48D3">
        <w:rPr>
          <w:rStyle w:val="af2"/>
          <w:rFonts w:eastAsia="Guttman Hodes"/>
          <w:rtl/>
        </w:rPr>
      </w:r>
      <w:r w:rsidRPr="00EA48D3">
        <w:rPr>
          <w:rStyle w:val="af2"/>
          <w:rFonts w:eastAsia="Guttman Hodes"/>
          <w:rtl/>
        </w:rPr>
        <w:fldChar w:fldCharType="separate"/>
      </w:r>
      <w:r w:rsidR="00D82181">
        <w:rPr>
          <w:rStyle w:val="af2"/>
          <w:rFonts w:eastAsia="Guttman Hodes"/>
          <w:cs/>
        </w:rPr>
        <w:t>‎</w:t>
      </w:r>
      <w:r w:rsidR="00D82181">
        <w:rPr>
          <w:rStyle w:val="af2"/>
          <w:rFonts w:eastAsia="Guttman Hodes"/>
          <w:rtl/>
        </w:rPr>
        <w:t>ב)</w:t>
      </w:r>
      <w:r w:rsidRPr="00EA48D3">
        <w:rPr>
          <w:rStyle w:val="af2"/>
          <w:rFonts w:eastAsia="Guttman Hodes"/>
          <w:rtl/>
        </w:rPr>
        <w:fldChar w:fldCharType="end"/>
      </w:r>
      <w:r w:rsidRPr="00EA48D3">
        <w:rPr>
          <w:rFonts w:hint="cs"/>
          <w:rtl/>
        </w:rPr>
        <w:t xml:space="preserve"> דהנ"מ היא לא לענין התראה, אלא דאם עשה את האבות יחד עם התולדות חייב חטאת אחת ולא יותר. </w:t>
      </w:r>
      <w:r w:rsidRPr="00EA48D3">
        <w:rPr>
          <w:rStyle w:val="af"/>
          <w:rFonts w:hint="cs"/>
          <w:rtl/>
        </w:rPr>
        <w:t xml:space="preserve">[אמנם </w:t>
      </w:r>
      <w:r w:rsidRPr="00EA48D3">
        <w:rPr>
          <w:rStyle w:val="aff9"/>
          <w:rFonts w:hint="cs"/>
          <w:vanish/>
          <w:rtl/>
        </w:rPr>
        <w:t>-</w:t>
      </w:r>
      <w:r w:rsidRPr="00EA48D3">
        <w:rPr>
          <w:rStyle w:val="aff9"/>
          <w:rFonts w:hint="cs"/>
          <w:rtl/>
        </w:rPr>
        <w:t>ברש"י</w:t>
      </w:r>
      <w:r w:rsidRPr="00EA48D3">
        <w:rPr>
          <w:rStyle w:val="aff9"/>
          <w:rFonts w:hint="cs"/>
          <w:vanish/>
          <w:rtl/>
        </w:rPr>
        <w:t>-</w:t>
      </w:r>
      <w:r w:rsidRPr="00EA48D3">
        <w:rPr>
          <w:rStyle w:val="af"/>
          <w:rFonts w:hint="cs"/>
          <w:rtl/>
        </w:rPr>
        <w:t xml:space="preserve"> </w:t>
      </w:r>
      <w:r w:rsidRPr="00EA48D3">
        <w:rPr>
          <w:rStyle w:val="aff5"/>
          <w:rFonts w:hint="cs"/>
          <w:rtl/>
        </w:rPr>
        <w:t xml:space="preserve">(עי' אות </w:t>
      </w:r>
      <w:r w:rsidRPr="00EA48D3">
        <w:rPr>
          <w:rStyle w:val="aff5"/>
          <w:rtl/>
        </w:rPr>
        <w:fldChar w:fldCharType="begin"/>
      </w:r>
      <w:r w:rsidRPr="00EA48D3">
        <w:rPr>
          <w:rStyle w:val="aff5"/>
          <w:rtl/>
        </w:rPr>
        <w:instrText xml:space="preserve"> </w:instrText>
      </w:r>
      <w:r w:rsidRPr="00EA48D3">
        <w:rPr>
          <w:rStyle w:val="aff5"/>
          <w:rFonts w:hint="cs"/>
        </w:rPr>
        <w:instrText>REF</w:instrText>
      </w:r>
      <w:r w:rsidRPr="00EA48D3">
        <w:rPr>
          <w:rStyle w:val="aff5"/>
          <w:rFonts w:hint="cs"/>
          <w:rtl/>
        </w:rPr>
        <w:instrText xml:space="preserve"> _</w:instrText>
      </w:r>
      <w:r w:rsidRPr="00EA48D3">
        <w:rPr>
          <w:rStyle w:val="aff5"/>
          <w:rFonts w:hint="cs"/>
        </w:rPr>
        <w:instrText>Ref133481736 \r \h</w:instrText>
      </w:r>
      <w:r w:rsidRPr="00EA48D3">
        <w:rPr>
          <w:rStyle w:val="aff5"/>
          <w:rtl/>
        </w:rPr>
        <w:instrText xml:space="preserve"> </w:instrText>
      </w:r>
      <w:r w:rsidRPr="00EA48D3">
        <w:rPr>
          <w:rStyle w:val="aff5"/>
          <w:rtl/>
        </w:rPr>
      </w:r>
      <w:r w:rsidRPr="00EA48D3">
        <w:rPr>
          <w:rStyle w:val="aff5"/>
          <w:rtl/>
        </w:rPr>
        <w:fldChar w:fldCharType="separate"/>
      </w:r>
      <w:r w:rsidR="00D82181">
        <w:rPr>
          <w:rStyle w:val="aff5"/>
          <w:cs/>
        </w:rPr>
        <w:t>‎</w:t>
      </w:r>
      <w:r w:rsidR="00D82181">
        <w:rPr>
          <w:rStyle w:val="aff5"/>
          <w:rtl/>
        </w:rPr>
        <w:t>א)</w:t>
      </w:r>
      <w:r w:rsidRPr="00EA48D3">
        <w:rPr>
          <w:rStyle w:val="aff5"/>
          <w:rtl/>
        </w:rPr>
        <w:fldChar w:fldCharType="end"/>
      </w:r>
      <w:r w:rsidRPr="00EA48D3">
        <w:rPr>
          <w:rStyle w:val="af"/>
          <w:rFonts w:hint="cs"/>
          <w:rtl/>
        </w:rPr>
        <w:t xml:space="preserve"> לפנינו כתב דאף נוטע ומבריך ומרכיב הם אבות].</w:t>
      </w:r>
      <w:bookmarkEnd w:id="323"/>
    </w:p>
    <w:p w14:paraId="7242CC70" w14:textId="77777777" w:rsidR="009623A2" w:rsidRPr="00747170" w:rsidRDefault="009623A2" w:rsidP="00747170">
      <w:pPr>
        <w:pStyle w:val="a2"/>
        <w:rPr>
          <w:rtl/>
        </w:rPr>
      </w:pPr>
      <w:r w:rsidRPr="00747170">
        <w:rPr>
          <w:rtl/>
        </w:rPr>
        <w:t>אימא אף משום זורע. פירוש אבל זומר דוקא משום נוטע ולא משום זורע ונפקא מינה לענין התראה דזומר אי איתרי בי' משום נוטע חייב אבל משום אינך לא ומבריך ומרכיב הויא התראה בין משום נוטע בין משום זורע. ורש"י ז"ל פי' דנפקא מינה למאן דעביד תולדות עם האבות דמאן דעביד עם אב דידי' מיחייב חדא ותו לא:</w:t>
      </w:r>
      <w:r w:rsidRPr="00747170">
        <w:t xml:space="preserve"> </w:t>
      </w:r>
    </w:p>
    <w:p w14:paraId="07A9D635" w14:textId="021114D2" w:rsidR="009623A2" w:rsidRPr="00EA48D3" w:rsidRDefault="009623A2" w:rsidP="009623A2">
      <w:pPr>
        <w:pStyle w:val="afffff7"/>
        <w:rPr>
          <w:rtl/>
        </w:rPr>
      </w:pPr>
      <w:bookmarkStart w:id="324" w:name="_Toc133841671"/>
      <w:bookmarkStart w:id="325" w:name="_Toc163505419"/>
      <w:r w:rsidRPr="00EA48D3">
        <w:rPr>
          <w:rtl/>
        </w:rPr>
        <w:t>שיטה מקובצת ב"ק ב' ע"א</w:t>
      </w:r>
      <w:r w:rsidRPr="00EA48D3">
        <w:rPr>
          <w:rFonts w:hint="cs"/>
          <w:rtl/>
        </w:rPr>
        <w:t xml:space="preserve"> ד"ה אית ספרים</w:t>
      </w:r>
      <w:bookmarkEnd w:id="324"/>
      <w:bookmarkEnd w:id="325"/>
    </w:p>
    <w:p w14:paraId="198B69ED" w14:textId="77777777" w:rsidR="009623A2" w:rsidRPr="00EA48D3" w:rsidRDefault="009623A2" w:rsidP="009623A2">
      <w:pPr>
        <w:pStyle w:val="a7"/>
        <w:rPr>
          <w:rtl/>
        </w:rPr>
      </w:pPr>
      <w:bookmarkStart w:id="326" w:name="_Toc134419644"/>
      <w:r w:rsidRPr="00EA48D3">
        <w:rPr>
          <w:rFonts w:hint="cs"/>
          <w:rtl/>
        </w:rPr>
        <w:t>בי' התוס' שאנץ דזורע ונוטע ממש אותה מלאכה ולכן הוי אב ל"ד לזורה ומרקד דחלוקים קצת</w:t>
      </w:r>
      <w:bookmarkEnd w:id="326"/>
    </w:p>
    <w:p w14:paraId="146B6531" w14:textId="0E50EC76" w:rsidR="009623A2" w:rsidRPr="00EA48D3" w:rsidRDefault="009623A2" w:rsidP="00BC7DC8">
      <w:pPr>
        <w:pStyle w:val="a3"/>
        <w:rPr>
          <w:rtl/>
        </w:rPr>
      </w:pPr>
      <w:bookmarkStart w:id="327" w:name="_Ref133313471"/>
      <w:r w:rsidRPr="00EA48D3">
        <w:rPr>
          <w:rFonts w:hint="cs"/>
          <w:rtl/>
        </w:rPr>
        <w:t xml:space="preserve">וע"ע במה שהקשה </w:t>
      </w:r>
      <w:r w:rsidRPr="00EA48D3">
        <w:rPr>
          <w:rStyle w:val="aff4"/>
          <w:rFonts w:hint="cs"/>
          <w:vanish/>
          <w:rtl/>
        </w:rPr>
        <w:t>-</w:t>
      </w:r>
      <w:r w:rsidRPr="00EA48D3">
        <w:rPr>
          <w:rStyle w:val="aff4"/>
          <w:rFonts w:hint="cs"/>
          <w:rtl/>
        </w:rPr>
        <w:t>ה</w:t>
      </w:r>
      <w:r w:rsidRPr="00EA48D3">
        <w:rPr>
          <w:rStyle w:val="aff4"/>
          <w:rFonts w:hint="cs"/>
          <w:vanish/>
          <w:rtl/>
        </w:rPr>
        <w:t xml:space="preserve">&lt; </w:t>
      </w:r>
      <w:r w:rsidRPr="00EA48D3">
        <w:rPr>
          <w:rStyle w:val="aff4"/>
          <w:vanish/>
          <w:rtl/>
        </w:rPr>
        <w:fldChar w:fldCharType="begin"/>
      </w:r>
      <w:r w:rsidRPr="00EA48D3">
        <w:rPr>
          <w:rStyle w:val="aff4"/>
          <w:vanish/>
          <w:rtl/>
        </w:rPr>
        <w:instrText xml:space="preserve"> </w:instrText>
      </w:r>
      <w:r w:rsidRPr="00EA48D3">
        <w:rPr>
          <w:rStyle w:val="aff4"/>
          <w:rFonts w:hint="cs"/>
          <w:vanish/>
        </w:rPr>
        <w:instrText>REF</w:instrText>
      </w:r>
      <w:r w:rsidRPr="00EA48D3">
        <w:rPr>
          <w:rStyle w:val="aff4"/>
          <w:rFonts w:hint="cs"/>
          <w:vanish/>
          <w:rtl/>
        </w:rPr>
        <w:instrText xml:space="preserve"> _</w:instrText>
      </w:r>
      <w:r w:rsidRPr="00EA48D3">
        <w:rPr>
          <w:rStyle w:val="aff4"/>
          <w:rFonts w:hint="cs"/>
          <w:vanish/>
        </w:rPr>
        <w:instrText>Ref133313471 \r \h</w:instrText>
      </w:r>
      <w:r w:rsidRPr="00EA48D3">
        <w:rPr>
          <w:rStyle w:val="aff4"/>
          <w:vanish/>
          <w:rtl/>
        </w:rPr>
        <w:instrText xml:space="preserve">  \* </w:instrText>
      </w:r>
      <w:r w:rsidRPr="00EA48D3">
        <w:rPr>
          <w:rStyle w:val="aff4"/>
          <w:vanish/>
        </w:rPr>
        <w:instrText>MERGEFORMAT</w:instrText>
      </w:r>
      <w:r w:rsidRPr="00EA48D3">
        <w:rPr>
          <w:rStyle w:val="aff4"/>
          <w:vanish/>
          <w:rtl/>
        </w:rPr>
        <w:instrText xml:space="preserve"> </w:instrText>
      </w:r>
      <w:r w:rsidRPr="00EA48D3">
        <w:rPr>
          <w:rStyle w:val="aff4"/>
          <w:vanish/>
          <w:rtl/>
        </w:rPr>
      </w:r>
      <w:r w:rsidRPr="00EA48D3">
        <w:rPr>
          <w:rStyle w:val="aff4"/>
          <w:vanish/>
          <w:rtl/>
        </w:rPr>
        <w:fldChar w:fldCharType="separate"/>
      </w:r>
      <w:r w:rsidR="00D82181">
        <w:rPr>
          <w:rStyle w:val="aff4"/>
          <w:vanish/>
          <w:cs/>
        </w:rPr>
        <w:t>‎</w:t>
      </w:r>
      <w:r w:rsidR="00D82181">
        <w:rPr>
          <w:rStyle w:val="aff4"/>
          <w:vanish/>
          <w:rtl/>
        </w:rPr>
        <w:t>סח)</w:t>
      </w:r>
      <w:r w:rsidRPr="00EA48D3">
        <w:rPr>
          <w:rStyle w:val="aff4"/>
          <w:vanish/>
          <w:rtl/>
        </w:rPr>
        <w:fldChar w:fldCharType="end"/>
      </w:r>
      <w:r w:rsidRPr="00EA48D3">
        <w:rPr>
          <w:rStyle w:val="aff4"/>
          <w:rFonts w:hint="cs"/>
          <w:vanish/>
          <w:rtl/>
        </w:rPr>
        <w:t xml:space="preserve"> &gt;</w:t>
      </w:r>
      <w:r w:rsidRPr="00EA48D3">
        <w:rPr>
          <w:rStyle w:val="aff4"/>
          <w:rtl/>
        </w:rPr>
        <w:t>תוס' שאנץ</w:t>
      </w:r>
      <w:r w:rsidRPr="00EA48D3">
        <w:rPr>
          <w:rStyle w:val="aff4"/>
          <w:rFonts w:hint="cs"/>
          <w:rtl/>
        </w:rPr>
        <w:t xml:space="preserve"> בשיטמ"ק בב"ק</w:t>
      </w:r>
      <w:r w:rsidRPr="00EA48D3">
        <w:rPr>
          <w:rStyle w:val="aff4"/>
          <w:rFonts w:hint="cs"/>
          <w:vanish/>
          <w:rtl/>
        </w:rPr>
        <w:t>-</w:t>
      </w:r>
      <w:r w:rsidRPr="00EA48D3">
        <w:rPr>
          <w:rFonts w:hint="cs"/>
          <w:rtl/>
        </w:rPr>
        <w:t xml:space="preserve"> </w:t>
      </w:r>
      <w:r w:rsidRPr="00EA48D3">
        <w:rPr>
          <w:rStyle w:val="af2"/>
          <w:rFonts w:eastAsia="Guttman Hodes" w:hint="cs"/>
          <w:rtl/>
        </w:rPr>
        <w:t>(ב. ד"ה אית ספרים)</w:t>
      </w:r>
      <w:r w:rsidRPr="00EA48D3">
        <w:rPr>
          <w:rFonts w:hint="cs"/>
          <w:vanish/>
          <w:rtl/>
        </w:rPr>
        <w:t>=</w:t>
      </w:r>
      <w:r w:rsidRPr="00EA48D3">
        <w:rPr>
          <w:rFonts w:hint="cs"/>
          <w:rtl/>
        </w:rPr>
        <w:t xml:space="preserve"> דאמאי זורע הוא אב ונוטע הוא תולדה ולא שניהם אבות, דהא שניהם היו במשכן בזריעת סממנין ונטיעתם, דיש סממנין שזורעים אותם ויש סממנין שנוטעים אותם, ומ"ש מזורה ומרקד דאמרינן בגמ' בסוגיין בהמשך דשניהם אבות כיון שהיו במשכן, ותירץ </w:t>
      </w:r>
      <w:r w:rsidRPr="00EA48D3">
        <w:rPr>
          <w:rStyle w:val="aff4"/>
          <w:rFonts w:hint="cs"/>
          <w:vanish/>
          <w:rtl/>
        </w:rPr>
        <w:t>-</w:t>
      </w:r>
      <w:r w:rsidRPr="00EA48D3">
        <w:rPr>
          <w:rStyle w:val="aff4"/>
          <w:rFonts w:hint="cs"/>
          <w:rtl/>
        </w:rPr>
        <w:t>התוס' שאנץ</w:t>
      </w:r>
      <w:r w:rsidRPr="00EA48D3">
        <w:rPr>
          <w:rStyle w:val="aff4"/>
          <w:rFonts w:hint="cs"/>
          <w:vanish/>
          <w:rtl/>
        </w:rPr>
        <w:t>-</w:t>
      </w:r>
      <w:r w:rsidRPr="00EA48D3">
        <w:rPr>
          <w:rFonts w:hint="cs"/>
          <w:rtl/>
        </w:rPr>
        <w:t xml:space="preserve"> דאין כל חילוק בין זורע לנוטע שהם ממש אותה מלאכה, משא"כ זורה ומרקד דאינם ממש אותה מלאכה.</w:t>
      </w:r>
      <w:bookmarkEnd w:id="327"/>
    </w:p>
    <w:p w14:paraId="7715D633" w14:textId="77777777" w:rsidR="009623A2" w:rsidRPr="00747170" w:rsidRDefault="009623A2" w:rsidP="00747170">
      <w:pPr>
        <w:pStyle w:val="a2"/>
      </w:pPr>
      <w:r w:rsidRPr="00747170">
        <w:rPr>
          <w:rtl/>
        </w:rPr>
        <w:t>והשתא אתי שפיר הא דאמרינן בפרק כלל גדול היינו זורה היינו מרקד ומשני כל מילתא דהואי במשכן וכו' והתם כלהו חשיבי זו כזו אבל הכא כיון שאין התולדה חשיבא לא מיקריא אב אף על גב דהואי במשכן. זורע ונוטע אמאי אינם אבות דתרווייהו הוו במשכן זריעת סמנים ונטיעתם שיש מהן בזריעה ויש מהן בנטיעה. וי"ל דהנהו הוו יותר ממש מענין אחד מבורר וזורה ומרקד ודמו טפי למלאכה אחת.</w:t>
      </w:r>
      <w:r w:rsidRPr="00747170">
        <w:rPr>
          <w:rFonts w:hint="cs"/>
          <w:rtl/>
        </w:rPr>
        <w:t xml:space="preserve"> וכו'.</w:t>
      </w:r>
      <w:r w:rsidRPr="00747170">
        <w:rPr>
          <w:rtl/>
        </w:rPr>
        <w:t xml:space="preserve"> תוספות שאנץ.</w:t>
      </w:r>
    </w:p>
    <w:p w14:paraId="1BC754B8" w14:textId="08EDB8C4" w:rsidR="009623A2" w:rsidRPr="00EA48D3" w:rsidRDefault="009623A2" w:rsidP="009623A2">
      <w:pPr>
        <w:pStyle w:val="affff5"/>
      </w:pPr>
      <w:bookmarkStart w:id="328" w:name="_Toc134419645"/>
      <w:r w:rsidRPr="00EA48D3">
        <w:rPr>
          <w:rFonts w:hint="cs"/>
          <w:rtl/>
        </w:rPr>
        <w:t>~~~~~~~~~~~~~~~~~~~~~~~~~~~~</w:t>
      </w:r>
      <w:bookmarkEnd w:id="328"/>
    </w:p>
    <w:p w14:paraId="4909E9CA" w14:textId="77777777" w:rsidR="009623A2" w:rsidRPr="00EA48D3" w:rsidRDefault="009623A2" w:rsidP="009623A2">
      <w:pPr>
        <w:pStyle w:val="affff5"/>
        <w:rPr>
          <w:rtl/>
        </w:rPr>
      </w:pPr>
      <w:bookmarkStart w:id="329" w:name="_Toc134419646"/>
      <w:r w:rsidRPr="00EA48D3">
        <w:rPr>
          <w:rFonts w:hint="cs"/>
          <w:rtl/>
        </w:rPr>
        <w:t>בפלו' הראשונים במלאכת זורע במשכן</w:t>
      </w:r>
      <w:bookmarkEnd w:id="329"/>
      <w:r w:rsidRPr="00EA48D3">
        <w:rPr>
          <w:rFonts w:hint="cs"/>
          <w:rtl/>
        </w:rPr>
        <w:t xml:space="preserve"> </w:t>
      </w:r>
    </w:p>
    <w:p w14:paraId="1C5AC726" w14:textId="77777777" w:rsidR="009623A2" w:rsidRPr="00EA48D3" w:rsidRDefault="009623A2" w:rsidP="009623A2">
      <w:pPr>
        <w:pStyle w:val="1"/>
        <w:rPr>
          <w:rtl/>
        </w:rPr>
      </w:pPr>
      <w:bookmarkStart w:id="330" w:name="_Toc134419647"/>
      <w:r w:rsidRPr="00EA48D3">
        <w:rPr>
          <w:rFonts w:hint="cs"/>
          <w:rtl/>
        </w:rPr>
        <w:t>בי' האגל"ט דלרש"י ורמב"ם זרעו לסממנין ולר"ח ורה"ג למנחות</w:t>
      </w:r>
      <w:bookmarkEnd w:id="330"/>
    </w:p>
    <w:p w14:paraId="6196AB55" w14:textId="77777777" w:rsidR="009623A2" w:rsidRPr="00EA48D3" w:rsidRDefault="009623A2" w:rsidP="009623A2">
      <w:pPr>
        <w:pStyle w:val="afffff7"/>
        <w:rPr>
          <w:rtl/>
        </w:rPr>
      </w:pPr>
      <w:bookmarkStart w:id="331" w:name="_Toc133841672"/>
      <w:bookmarkStart w:id="332" w:name="_Toc163505420"/>
      <w:r w:rsidRPr="00EA48D3">
        <w:rPr>
          <w:rtl/>
        </w:rPr>
        <w:t xml:space="preserve">אגלי טל באורים פתיחה אות </w:t>
      </w:r>
      <w:r w:rsidRPr="00EA48D3">
        <w:rPr>
          <w:rFonts w:hint="cs"/>
          <w:rtl/>
        </w:rPr>
        <w:t>ד</w:t>
      </w:r>
      <w:bookmarkEnd w:id="331"/>
      <w:bookmarkEnd w:id="332"/>
    </w:p>
    <w:p w14:paraId="6C37D45C" w14:textId="77777777" w:rsidR="009623A2" w:rsidRPr="00EA48D3" w:rsidRDefault="009623A2" w:rsidP="009623A2">
      <w:pPr>
        <w:pStyle w:val="a7"/>
        <w:rPr>
          <w:rtl/>
        </w:rPr>
      </w:pPr>
      <w:bookmarkStart w:id="333" w:name="_Toc134419648"/>
      <w:r w:rsidRPr="00EA48D3">
        <w:rPr>
          <w:rFonts w:hint="cs"/>
          <w:rtl/>
        </w:rPr>
        <w:t>בי' האגל"ט ברש"י וברמב"ם דמשכן זרעו לסממנין אבל מלאכות דלצורך המנחות ל"ה אבות</w:t>
      </w:r>
      <w:bookmarkEnd w:id="333"/>
    </w:p>
    <w:p w14:paraId="34DAD09F" w14:textId="08F33672" w:rsidR="009623A2" w:rsidRPr="00EA48D3" w:rsidRDefault="009623A2" w:rsidP="00BC7DC8">
      <w:pPr>
        <w:pStyle w:val="a3"/>
        <w:rPr>
          <w:rtl/>
        </w:rPr>
      </w:pPr>
      <w:bookmarkStart w:id="334" w:name="_Ref133310797"/>
      <w:r w:rsidRPr="00EA48D3">
        <w:rPr>
          <w:rFonts w:hint="cs"/>
          <w:rtl/>
        </w:rPr>
        <w:t xml:space="preserve">עי' במ"ש </w:t>
      </w:r>
      <w:r w:rsidRPr="00EA48D3">
        <w:rPr>
          <w:rStyle w:val="aff4"/>
          <w:rFonts w:hint="cs"/>
          <w:vanish/>
          <w:rtl/>
        </w:rPr>
        <w:t>-</w:t>
      </w:r>
      <w:r w:rsidRPr="00EA48D3">
        <w:rPr>
          <w:rStyle w:val="aff4"/>
          <w:rFonts w:hint="cs"/>
          <w:rtl/>
        </w:rPr>
        <w:t>ה</w:t>
      </w:r>
      <w:r w:rsidRPr="00EA48D3">
        <w:rPr>
          <w:rStyle w:val="aff4"/>
          <w:rFonts w:hint="cs"/>
          <w:vanish/>
          <w:rtl/>
        </w:rPr>
        <w:t xml:space="preserve">&lt;. </w:t>
      </w:r>
      <w:r w:rsidRPr="00EA48D3">
        <w:rPr>
          <w:rStyle w:val="aff4"/>
          <w:vanish/>
          <w:rtl/>
        </w:rPr>
        <w:fldChar w:fldCharType="begin"/>
      </w:r>
      <w:r w:rsidRPr="00EA48D3">
        <w:rPr>
          <w:rStyle w:val="aff4"/>
          <w:vanish/>
          <w:rtl/>
        </w:rPr>
        <w:instrText xml:space="preserve"> </w:instrText>
      </w:r>
      <w:r w:rsidRPr="00EA48D3">
        <w:rPr>
          <w:rStyle w:val="aff4"/>
          <w:rFonts w:hint="cs"/>
          <w:vanish/>
        </w:rPr>
        <w:instrText>REF</w:instrText>
      </w:r>
      <w:r w:rsidRPr="00EA48D3">
        <w:rPr>
          <w:rStyle w:val="aff4"/>
          <w:rFonts w:hint="cs"/>
          <w:vanish/>
          <w:rtl/>
        </w:rPr>
        <w:instrText xml:space="preserve"> _</w:instrText>
      </w:r>
      <w:r w:rsidRPr="00EA48D3">
        <w:rPr>
          <w:rStyle w:val="aff4"/>
          <w:rFonts w:hint="cs"/>
          <w:vanish/>
        </w:rPr>
        <w:instrText>Ref133310797 \r \h</w:instrText>
      </w:r>
      <w:r w:rsidRPr="00EA48D3">
        <w:rPr>
          <w:rStyle w:val="aff4"/>
          <w:vanish/>
          <w:rtl/>
        </w:rPr>
        <w:instrText xml:space="preserve">  \* </w:instrText>
      </w:r>
      <w:r w:rsidRPr="00EA48D3">
        <w:rPr>
          <w:rStyle w:val="aff4"/>
          <w:vanish/>
        </w:rPr>
        <w:instrText>MERGEFORMAT</w:instrText>
      </w:r>
      <w:r w:rsidRPr="00EA48D3">
        <w:rPr>
          <w:rStyle w:val="aff4"/>
          <w:vanish/>
          <w:rtl/>
        </w:rPr>
        <w:instrText xml:space="preserve"> </w:instrText>
      </w:r>
      <w:r w:rsidRPr="00EA48D3">
        <w:rPr>
          <w:rStyle w:val="aff4"/>
          <w:vanish/>
          <w:rtl/>
        </w:rPr>
      </w:r>
      <w:r w:rsidRPr="00EA48D3">
        <w:rPr>
          <w:rStyle w:val="aff4"/>
          <w:vanish/>
          <w:rtl/>
        </w:rPr>
        <w:fldChar w:fldCharType="separate"/>
      </w:r>
      <w:r w:rsidR="00D82181">
        <w:rPr>
          <w:rStyle w:val="aff4"/>
          <w:vanish/>
          <w:cs/>
        </w:rPr>
        <w:t>‎</w:t>
      </w:r>
      <w:r w:rsidR="00D82181">
        <w:rPr>
          <w:rStyle w:val="aff4"/>
          <w:vanish/>
          <w:rtl/>
        </w:rPr>
        <w:t>סט)</w:t>
      </w:r>
      <w:r w:rsidRPr="00EA48D3">
        <w:rPr>
          <w:rStyle w:val="aff4"/>
          <w:vanish/>
          <w:rtl/>
        </w:rPr>
        <w:fldChar w:fldCharType="end"/>
      </w:r>
      <w:r w:rsidRPr="00EA48D3">
        <w:rPr>
          <w:rStyle w:val="aff4"/>
          <w:rFonts w:hint="cs"/>
          <w:vanish/>
          <w:rtl/>
        </w:rPr>
        <w:t xml:space="preserve"> &gt;</w:t>
      </w:r>
      <w:r w:rsidRPr="00EA48D3">
        <w:rPr>
          <w:rStyle w:val="aff4"/>
          <w:rFonts w:hint="cs"/>
          <w:rtl/>
        </w:rPr>
        <w:t>אגלי טל</w:t>
      </w:r>
      <w:r w:rsidRPr="00EA48D3">
        <w:rPr>
          <w:rStyle w:val="aff4"/>
          <w:rFonts w:hint="cs"/>
          <w:vanish/>
          <w:rtl/>
        </w:rPr>
        <w:t>-</w:t>
      </w:r>
      <w:r w:rsidRPr="00EA48D3">
        <w:rPr>
          <w:rFonts w:hint="cs"/>
          <w:rtl/>
        </w:rPr>
        <w:t xml:space="preserve"> </w:t>
      </w:r>
      <w:r w:rsidRPr="00EA48D3">
        <w:rPr>
          <w:rStyle w:val="af2"/>
          <w:rFonts w:eastAsia="Guttman Hodes" w:hint="cs"/>
          <w:rtl/>
        </w:rPr>
        <w:t>(פתיחה או' ד')</w:t>
      </w:r>
      <w:r w:rsidRPr="00EA48D3">
        <w:rPr>
          <w:rFonts w:hint="cs"/>
          <w:vanish/>
          <w:rtl/>
        </w:rPr>
        <w:t>=</w:t>
      </w:r>
      <w:r w:rsidRPr="00EA48D3">
        <w:rPr>
          <w:rFonts w:hint="cs"/>
          <w:rtl/>
        </w:rPr>
        <w:t xml:space="preserve"> דמדברי </w:t>
      </w:r>
      <w:r w:rsidRPr="00EA48D3">
        <w:rPr>
          <w:rStyle w:val="aff4"/>
          <w:rFonts w:hint="cs"/>
          <w:vanish/>
          <w:rtl/>
        </w:rPr>
        <w:t>-&lt; &gt;</w:t>
      </w:r>
      <w:r w:rsidRPr="00EA48D3">
        <w:rPr>
          <w:rStyle w:val="aff4"/>
          <w:rFonts w:hint="cs"/>
          <w:rtl/>
        </w:rPr>
        <w:t>רש"י לעיל</w:t>
      </w:r>
      <w:r w:rsidRPr="00EA48D3">
        <w:rPr>
          <w:rStyle w:val="aff4"/>
          <w:rFonts w:hint="cs"/>
          <w:vanish/>
          <w:rtl/>
        </w:rPr>
        <w:t>-</w:t>
      </w:r>
      <w:r w:rsidRPr="00EA48D3">
        <w:rPr>
          <w:rFonts w:hint="cs"/>
          <w:rtl/>
        </w:rPr>
        <w:t xml:space="preserve"> </w:t>
      </w:r>
      <w:r w:rsidRPr="00EA48D3">
        <w:rPr>
          <w:rStyle w:val="af2"/>
          <w:rFonts w:eastAsia="Guttman Hodes" w:hint="cs"/>
          <w:rtl/>
        </w:rPr>
        <w:t>(מט: ד"ה הם)</w:t>
      </w:r>
      <w:r w:rsidRPr="00EA48D3">
        <w:rPr>
          <w:rFonts w:hint="cs"/>
          <w:vanish/>
          <w:rtl/>
        </w:rPr>
        <w:t>=</w:t>
      </w:r>
      <w:r w:rsidRPr="00EA48D3">
        <w:rPr>
          <w:rFonts w:hint="cs"/>
          <w:rtl/>
        </w:rPr>
        <w:t xml:space="preserve"> מבואר דמלאכת זורע הייתה במשכן לצורך הסממנין, וכתב </w:t>
      </w:r>
      <w:r w:rsidRPr="00EA48D3">
        <w:rPr>
          <w:rStyle w:val="aff4"/>
          <w:rFonts w:hint="cs"/>
          <w:vanish/>
          <w:rtl/>
        </w:rPr>
        <w:t>-</w:t>
      </w:r>
      <w:r w:rsidRPr="00EA48D3">
        <w:rPr>
          <w:rStyle w:val="aff4"/>
          <w:rFonts w:hint="cs"/>
          <w:rtl/>
        </w:rPr>
        <w:t>האגלי טל</w:t>
      </w:r>
      <w:r w:rsidRPr="00EA48D3">
        <w:rPr>
          <w:rStyle w:val="aff4"/>
          <w:rFonts w:hint="cs"/>
          <w:vanish/>
          <w:rtl/>
        </w:rPr>
        <w:t>-</w:t>
      </w:r>
      <w:r w:rsidRPr="00EA48D3">
        <w:rPr>
          <w:rFonts w:hint="cs"/>
          <w:rtl/>
        </w:rPr>
        <w:t xml:space="preserve"> דמהא דלא כתב </w:t>
      </w:r>
      <w:r w:rsidRPr="00EA48D3">
        <w:rPr>
          <w:rStyle w:val="aff4"/>
          <w:rFonts w:hint="cs"/>
          <w:vanish/>
          <w:rtl/>
        </w:rPr>
        <w:t>-</w:t>
      </w:r>
      <w:r w:rsidRPr="00EA48D3">
        <w:rPr>
          <w:rStyle w:val="aff4"/>
          <w:rFonts w:hint="cs"/>
          <w:rtl/>
        </w:rPr>
        <w:t>רש"י</w:t>
      </w:r>
      <w:r w:rsidRPr="00EA48D3">
        <w:rPr>
          <w:rStyle w:val="aff4"/>
          <w:rFonts w:hint="cs"/>
          <w:vanish/>
          <w:rtl/>
        </w:rPr>
        <w:t>-</w:t>
      </w:r>
      <w:r w:rsidRPr="00EA48D3">
        <w:rPr>
          <w:rFonts w:hint="cs"/>
          <w:rtl/>
        </w:rPr>
        <w:t xml:space="preserve"> דהייתה במשכן בזריעת חיטין למנחות, מבואר דס"ל </w:t>
      </w:r>
      <w:r w:rsidRPr="00EA48D3">
        <w:rPr>
          <w:rStyle w:val="aff4"/>
          <w:rFonts w:hint="cs"/>
          <w:vanish/>
          <w:rtl/>
        </w:rPr>
        <w:t>-</w:t>
      </w:r>
      <w:r w:rsidRPr="00EA48D3">
        <w:rPr>
          <w:rStyle w:val="aff4"/>
          <w:rFonts w:hint="cs"/>
          <w:rtl/>
        </w:rPr>
        <w:t>לרש"י</w:t>
      </w:r>
      <w:r w:rsidRPr="00EA48D3">
        <w:rPr>
          <w:rStyle w:val="aff4"/>
          <w:rFonts w:hint="cs"/>
          <w:vanish/>
          <w:rtl/>
        </w:rPr>
        <w:t>-</w:t>
      </w:r>
      <w:r w:rsidRPr="00EA48D3">
        <w:rPr>
          <w:rFonts w:hint="cs"/>
          <w:rtl/>
        </w:rPr>
        <w:t xml:space="preserve"> דצריך שהמלאכה תהיה במשכן עצמו ולא בקרבנות, ועיי"ש במה שהוכיח </w:t>
      </w:r>
      <w:r w:rsidRPr="00EA48D3">
        <w:rPr>
          <w:rStyle w:val="aff4"/>
          <w:rFonts w:hint="cs"/>
          <w:vanish/>
          <w:rtl/>
        </w:rPr>
        <w:t>-</w:t>
      </w:r>
      <w:r w:rsidRPr="00EA48D3">
        <w:rPr>
          <w:rStyle w:val="aff4"/>
          <w:rFonts w:hint="cs"/>
          <w:rtl/>
        </w:rPr>
        <w:t>ה</w:t>
      </w:r>
      <w:r w:rsidRPr="00EA48D3">
        <w:rPr>
          <w:rStyle w:val="aff4"/>
          <w:rFonts w:hint="cs"/>
          <w:vanish/>
          <w:rtl/>
        </w:rPr>
        <w:t>&lt; &gt;</w:t>
      </w:r>
      <w:r w:rsidRPr="00EA48D3">
        <w:rPr>
          <w:rStyle w:val="aff4"/>
          <w:rFonts w:hint="cs"/>
          <w:rtl/>
        </w:rPr>
        <w:t>אגלי טל</w:t>
      </w:r>
      <w:r w:rsidRPr="00EA48D3">
        <w:rPr>
          <w:rStyle w:val="aff4"/>
          <w:rFonts w:hint="cs"/>
          <w:vanish/>
          <w:rtl/>
        </w:rPr>
        <w:t>-</w:t>
      </w:r>
      <w:r w:rsidRPr="00EA48D3">
        <w:rPr>
          <w:rFonts w:hint="cs"/>
          <w:rtl/>
        </w:rPr>
        <w:t xml:space="preserve"> </w:t>
      </w:r>
      <w:r w:rsidRPr="00EA48D3">
        <w:rPr>
          <w:rStyle w:val="af2"/>
          <w:rFonts w:eastAsia="Guttman Hodes" w:hint="cs"/>
          <w:rtl/>
        </w:rPr>
        <w:t>(פתיחה או' ו')</w:t>
      </w:r>
      <w:r w:rsidRPr="00EA48D3">
        <w:rPr>
          <w:rFonts w:hint="cs"/>
          <w:vanish/>
          <w:rtl/>
        </w:rPr>
        <w:t>=</w:t>
      </w:r>
      <w:r w:rsidRPr="00EA48D3">
        <w:rPr>
          <w:rFonts w:hint="cs"/>
          <w:rtl/>
        </w:rPr>
        <w:t xml:space="preserve"> דכן דעת </w:t>
      </w:r>
      <w:r w:rsidRPr="00EA48D3">
        <w:rPr>
          <w:rStyle w:val="aff4"/>
          <w:rFonts w:hint="cs"/>
          <w:vanish/>
          <w:rtl/>
        </w:rPr>
        <w:t>-</w:t>
      </w:r>
      <w:r w:rsidRPr="00EA48D3">
        <w:rPr>
          <w:rStyle w:val="aff4"/>
          <w:rFonts w:hint="cs"/>
          <w:rtl/>
        </w:rPr>
        <w:t>ה</w:t>
      </w:r>
      <w:r w:rsidRPr="00EA48D3">
        <w:rPr>
          <w:rStyle w:val="aff4"/>
          <w:rFonts w:hint="cs"/>
          <w:vanish/>
          <w:rtl/>
        </w:rPr>
        <w:t>&lt; &gt;</w:t>
      </w:r>
      <w:r w:rsidRPr="00EA48D3">
        <w:rPr>
          <w:rStyle w:val="aff4"/>
          <w:rFonts w:hint="cs"/>
          <w:rtl/>
        </w:rPr>
        <w:t>רמב"ם</w:t>
      </w:r>
      <w:r w:rsidRPr="00EA48D3">
        <w:rPr>
          <w:rStyle w:val="aff4"/>
          <w:rFonts w:hint="cs"/>
          <w:vanish/>
          <w:rtl/>
        </w:rPr>
        <w:t>-</w:t>
      </w:r>
      <w:r w:rsidRPr="00EA48D3">
        <w:rPr>
          <w:rFonts w:hint="cs"/>
          <w:rtl/>
        </w:rPr>
        <w:t xml:space="preserve"> </w:t>
      </w:r>
      <w:r w:rsidRPr="00EA48D3">
        <w:rPr>
          <w:rStyle w:val="af2"/>
          <w:rFonts w:eastAsia="Guttman Hodes" w:hint="cs"/>
          <w:rtl/>
        </w:rPr>
        <w:t>(שבת פי"ב הי"ב)</w:t>
      </w:r>
      <w:r w:rsidRPr="00EA48D3">
        <w:rPr>
          <w:rFonts w:hint="cs"/>
          <w:vanish/>
          <w:rtl/>
        </w:rPr>
        <w:t>=</w:t>
      </w:r>
      <w:r w:rsidRPr="00EA48D3">
        <w:rPr>
          <w:rFonts w:hint="cs"/>
          <w:rtl/>
        </w:rPr>
        <w:t>.</w:t>
      </w:r>
      <w:bookmarkEnd w:id="334"/>
    </w:p>
    <w:p w14:paraId="49823FB3" w14:textId="77777777" w:rsidR="009623A2" w:rsidRPr="00747170" w:rsidRDefault="009623A2" w:rsidP="00747170">
      <w:pPr>
        <w:pStyle w:val="a2"/>
        <w:rPr>
          <w:rtl/>
        </w:rPr>
      </w:pPr>
      <w:r w:rsidRPr="00747170">
        <w:rPr>
          <w:rtl/>
        </w:rPr>
        <w:t>(ד) והנה רש"י במשנה דפרק כלל גדול ע"ג. ובדף מ"ט: שהבאנו לעיל שפירש זריעה וקצירה וכו' בסמנים שהי' צריכין לצבוע ולא פירש בזריעת חטין למנחות. משמע דס"ל דלא ילפינן אלא ממשכן עצמו ולא מקרבנות שהוקרבו במשכן. וכן יש להוכיח מדמקשה הש"ס ע"ד: גבי מלאכת האופה. שבק תנא דידן בישול סממנין דהוה במשכן ונקט אופה דלא הוה במשכן. ואי אמרת דגמרינן נמי מקרבנות שהוקרבו במשכן. הא הוי אפיית לחם הפנים וחביתין. אלא ודאי דלא גמרינן אלא ממשכן עצמו. ובני ר' שמואל נ"י הביא ראי' משאלת הגמ' ע"ה. שוחט משום מאי חייב. ואי גמרינן מקרבנות שבמשכן. הא הוי שחיטה בקרבנות:</w:t>
      </w:r>
    </w:p>
    <w:p w14:paraId="24D28AFF" w14:textId="3029D1FD" w:rsidR="009623A2" w:rsidRPr="00EA48D3" w:rsidRDefault="009623A2" w:rsidP="009623A2">
      <w:pPr>
        <w:pStyle w:val="afffff7"/>
        <w:rPr>
          <w:rtl/>
        </w:rPr>
      </w:pPr>
      <w:bookmarkStart w:id="335" w:name="_Toc133841673"/>
      <w:bookmarkStart w:id="336" w:name="_Toc163505421"/>
      <w:r w:rsidRPr="00EA48D3">
        <w:rPr>
          <w:rtl/>
        </w:rPr>
        <w:t xml:space="preserve">אגלי טל באורים פתיחה אות </w:t>
      </w:r>
      <w:r w:rsidRPr="00EA48D3">
        <w:rPr>
          <w:rFonts w:hint="cs"/>
          <w:rtl/>
        </w:rPr>
        <w:t>ה, ו</w:t>
      </w:r>
      <w:bookmarkEnd w:id="335"/>
      <w:bookmarkEnd w:id="336"/>
    </w:p>
    <w:p w14:paraId="3C2B31BA" w14:textId="77777777" w:rsidR="009623A2" w:rsidRPr="00EA48D3" w:rsidRDefault="009623A2" w:rsidP="009623A2">
      <w:pPr>
        <w:pStyle w:val="a7"/>
      </w:pPr>
      <w:bookmarkStart w:id="337" w:name="_Toc134419649"/>
      <w:r w:rsidRPr="00EA48D3">
        <w:rPr>
          <w:rFonts w:hint="cs"/>
          <w:rtl/>
        </w:rPr>
        <w:t>בי' האגל"ט ברב האי גאון ור"ח דזורע היה במשכן לצורך המנחות</w:t>
      </w:r>
      <w:bookmarkEnd w:id="337"/>
      <w:r w:rsidRPr="00EA48D3">
        <w:rPr>
          <w:rFonts w:hint="cs"/>
          <w:rtl/>
        </w:rPr>
        <w:t xml:space="preserve"> </w:t>
      </w:r>
    </w:p>
    <w:p w14:paraId="601F8549" w14:textId="57504EE6" w:rsidR="009623A2" w:rsidRPr="00EA48D3" w:rsidRDefault="009623A2" w:rsidP="00BC7DC8">
      <w:pPr>
        <w:pStyle w:val="a3"/>
        <w:rPr>
          <w:rtl/>
        </w:rPr>
      </w:pPr>
      <w:bookmarkStart w:id="338" w:name="_Ref133310864"/>
      <w:r w:rsidRPr="00EA48D3">
        <w:rPr>
          <w:rFonts w:hint="cs"/>
          <w:rtl/>
        </w:rPr>
        <w:t xml:space="preserve">אך הביא </w:t>
      </w:r>
      <w:r w:rsidRPr="00EA48D3">
        <w:rPr>
          <w:rStyle w:val="aff4"/>
          <w:rFonts w:hint="cs"/>
          <w:vanish/>
          <w:rtl/>
        </w:rPr>
        <w:t>-</w:t>
      </w:r>
      <w:r w:rsidRPr="00EA48D3">
        <w:rPr>
          <w:rStyle w:val="aff4"/>
          <w:rFonts w:hint="cs"/>
          <w:rtl/>
        </w:rPr>
        <w:t>האגלי טל</w:t>
      </w:r>
      <w:r w:rsidRPr="00EA48D3">
        <w:rPr>
          <w:rStyle w:val="aff4"/>
          <w:rFonts w:hint="cs"/>
          <w:vanish/>
          <w:rtl/>
        </w:rPr>
        <w:t>-</w:t>
      </w:r>
      <w:r w:rsidRPr="00EA48D3">
        <w:rPr>
          <w:rFonts w:hint="cs"/>
          <w:rtl/>
        </w:rPr>
        <w:t xml:space="preserve"> </w:t>
      </w:r>
      <w:r w:rsidRPr="00EA48D3">
        <w:rPr>
          <w:rStyle w:val="af2"/>
          <w:rFonts w:eastAsia="Guttman Hodes" w:hint="cs"/>
          <w:rtl/>
        </w:rPr>
        <w:t>(פתיחה או' ה', ו')</w:t>
      </w:r>
      <w:r w:rsidRPr="00EA48D3">
        <w:rPr>
          <w:rFonts w:hint="cs"/>
          <w:rtl/>
        </w:rPr>
        <w:t xml:space="preserve"> את </w:t>
      </w:r>
      <w:r w:rsidRPr="00EA48D3">
        <w:rPr>
          <w:rStyle w:val="aff4"/>
          <w:rFonts w:hint="cs"/>
          <w:vanish/>
          <w:rtl/>
        </w:rPr>
        <w:t xml:space="preserve">-&lt;. </w:t>
      </w:r>
      <w:r w:rsidRPr="00EA48D3">
        <w:rPr>
          <w:rStyle w:val="aff4"/>
          <w:vanish/>
          <w:rtl/>
        </w:rPr>
        <w:fldChar w:fldCharType="begin"/>
      </w:r>
      <w:r w:rsidRPr="00EA48D3">
        <w:rPr>
          <w:rStyle w:val="aff4"/>
          <w:vanish/>
          <w:rtl/>
        </w:rPr>
        <w:instrText xml:space="preserve"> </w:instrText>
      </w:r>
      <w:r w:rsidRPr="00EA48D3">
        <w:rPr>
          <w:rStyle w:val="aff4"/>
          <w:rFonts w:hint="cs"/>
          <w:vanish/>
        </w:rPr>
        <w:instrText>REF</w:instrText>
      </w:r>
      <w:r w:rsidRPr="00EA48D3">
        <w:rPr>
          <w:rStyle w:val="aff4"/>
          <w:rFonts w:hint="cs"/>
          <w:vanish/>
          <w:rtl/>
        </w:rPr>
        <w:instrText xml:space="preserve"> _</w:instrText>
      </w:r>
      <w:r w:rsidRPr="00EA48D3">
        <w:rPr>
          <w:rStyle w:val="aff4"/>
          <w:rFonts w:hint="cs"/>
          <w:vanish/>
        </w:rPr>
        <w:instrText>Ref133310864 \r \h</w:instrText>
      </w:r>
      <w:r w:rsidRPr="00EA48D3">
        <w:rPr>
          <w:rStyle w:val="aff4"/>
          <w:vanish/>
          <w:rtl/>
        </w:rPr>
        <w:instrText xml:space="preserve">  \* </w:instrText>
      </w:r>
      <w:r w:rsidRPr="00EA48D3">
        <w:rPr>
          <w:rStyle w:val="aff4"/>
          <w:vanish/>
        </w:rPr>
        <w:instrText>MERGEFORMAT</w:instrText>
      </w:r>
      <w:r w:rsidRPr="00EA48D3">
        <w:rPr>
          <w:rStyle w:val="aff4"/>
          <w:vanish/>
          <w:rtl/>
        </w:rPr>
        <w:instrText xml:space="preserve"> </w:instrText>
      </w:r>
      <w:r w:rsidRPr="00EA48D3">
        <w:rPr>
          <w:rStyle w:val="aff4"/>
          <w:vanish/>
          <w:rtl/>
        </w:rPr>
      </w:r>
      <w:r w:rsidRPr="00EA48D3">
        <w:rPr>
          <w:rStyle w:val="aff4"/>
          <w:vanish/>
          <w:rtl/>
        </w:rPr>
        <w:fldChar w:fldCharType="separate"/>
      </w:r>
      <w:r w:rsidR="00D82181">
        <w:rPr>
          <w:rStyle w:val="aff4"/>
          <w:vanish/>
          <w:cs/>
        </w:rPr>
        <w:t>‎</w:t>
      </w:r>
      <w:r w:rsidR="00D82181">
        <w:rPr>
          <w:rStyle w:val="aff4"/>
          <w:vanish/>
          <w:rtl/>
        </w:rPr>
        <w:t>ע)</w:t>
      </w:r>
      <w:r w:rsidRPr="00EA48D3">
        <w:rPr>
          <w:rStyle w:val="aff4"/>
          <w:vanish/>
          <w:rtl/>
        </w:rPr>
        <w:fldChar w:fldCharType="end"/>
      </w:r>
      <w:r w:rsidRPr="00EA48D3">
        <w:rPr>
          <w:rStyle w:val="aff4"/>
          <w:rFonts w:hint="cs"/>
          <w:vanish/>
          <w:rtl/>
        </w:rPr>
        <w:t xml:space="preserve"> &gt;</w:t>
      </w:r>
      <w:r w:rsidRPr="00EA48D3">
        <w:rPr>
          <w:rStyle w:val="aff4"/>
          <w:rFonts w:hint="cs"/>
          <w:rtl/>
        </w:rPr>
        <w:t>תשובת רבינו אברהם בן הרמב"ם</w:t>
      </w:r>
      <w:r w:rsidRPr="00EA48D3">
        <w:rPr>
          <w:rStyle w:val="aff4"/>
          <w:rFonts w:hint="cs"/>
          <w:vanish/>
          <w:rtl/>
        </w:rPr>
        <w:t>-</w:t>
      </w:r>
      <w:r w:rsidRPr="00EA48D3">
        <w:rPr>
          <w:rFonts w:hint="cs"/>
          <w:rtl/>
        </w:rPr>
        <w:t xml:space="preserve"> בשם </w:t>
      </w:r>
      <w:r w:rsidRPr="00EA48D3">
        <w:rPr>
          <w:rStyle w:val="aff4"/>
          <w:rFonts w:hint="cs"/>
          <w:vanish/>
          <w:rtl/>
        </w:rPr>
        <w:t>-</w:t>
      </w:r>
      <w:r w:rsidRPr="00EA48D3">
        <w:rPr>
          <w:rStyle w:val="aff4"/>
          <w:rFonts w:hint="cs"/>
          <w:rtl/>
        </w:rPr>
        <w:t>רב האי גאון</w:t>
      </w:r>
      <w:r w:rsidRPr="00EA48D3">
        <w:rPr>
          <w:rStyle w:val="aff4"/>
          <w:rFonts w:hint="cs"/>
          <w:vanish/>
          <w:rtl/>
        </w:rPr>
        <w:t>-</w:t>
      </w:r>
      <w:r w:rsidRPr="00EA48D3">
        <w:rPr>
          <w:rFonts w:hint="cs"/>
          <w:vanish/>
          <w:rtl/>
        </w:rPr>
        <w:t>=</w:t>
      </w:r>
      <w:r w:rsidRPr="00EA48D3">
        <w:rPr>
          <w:rFonts w:hint="cs"/>
          <w:rtl/>
        </w:rPr>
        <w:t xml:space="preserve"> דכתב די"א המלאכות דסידורא דפת כולם היו בקרבנות ובחביתי כהן גדול, דכולם ע"י זריעה וקצירה, וכדתניא בגמ' לקמן </w:t>
      </w:r>
      <w:r w:rsidRPr="00EA48D3">
        <w:rPr>
          <w:rStyle w:val="af2"/>
          <w:rFonts w:eastAsia="Guttman Hodes" w:hint="cs"/>
          <w:rtl/>
        </w:rPr>
        <w:t>(</w:t>
      </w:r>
      <w:r w:rsidRPr="00EA48D3">
        <w:rPr>
          <w:rStyle w:val="af2"/>
          <w:rFonts w:eastAsia="Guttman Hodes"/>
          <w:rtl/>
        </w:rPr>
        <w:t>מ"ט</w:t>
      </w:r>
      <w:r w:rsidRPr="00EA48D3">
        <w:rPr>
          <w:rStyle w:val="af2"/>
          <w:rFonts w:eastAsia="Guttman Hodes" w:hint="cs"/>
          <w:rtl/>
        </w:rPr>
        <w:t>:)</w:t>
      </w:r>
      <w:r w:rsidRPr="00EA48D3">
        <w:rPr>
          <w:rFonts w:hint="cs"/>
          <w:rtl/>
        </w:rPr>
        <w:t xml:space="preserve"> "</w:t>
      </w:r>
      <w:r w:rsidRPr="00EA48D3">
        <w:rPr>
          <w:rtl/>
        </w:rPr>
        <w:t>אין חייבין אלא על מלאכה שכיוצא בה היתה במשכן</w:t>
      </w:r>
      <w:r w:rsidRPr="00EA48D3">
        <w:rPr>
          <w:rFonts w:hint="cs"/>
          <w:rtl/>
        </w:rPr>
        <w:t>,</w:t>
      </w:r>
      <w:r w:rsidRPr="00EA48D3">
        <w:rPr>
          <w:rtl/>
        </w:rPr>
        <w:t xml:space="preserve"> הם זרעו ואתם לא תזרעו הם קצרו ואתם לא תקצרו</w:t>
      </w:r>
      <w:r w:rsidRPr="00EA48D3">
        <w:rPr>
          <w:rFonts w:hint="cs"/>
          <w:rtl/>
        </w:rPr>
        <w:t xml:space="preserve">", וכתב </w:t>
      </w:r>
      <w:r w:rsidRPr="00EA48D3">
        <w:rPr>
          <w:rStyle w:val="aff4"/>
          <w:rFonts w:hint="cs"/>
          <w:vanish/>
          <w:rtl/>
        </w:rPr>
        <w:t>-</w:t>
      </w:r>
      <w:r w:rsidRPr="00EA48D3">
        <w:rPr>
          <w:rStyle w:val="aff4"/>
          <w:rFonts w:hint="cs"/>
          <w:rtl/>
        </w:rPr>
        <w:t>האגלי טל</w:t>
      </w:r>
      <w:r w:rsidRPr="00EA48D3">
        <w:rPr>
          <w:rStyle w:val="aff4"/>
          <w:rFonts w:hint="cs"/>
          <w:vanish/>
          <w:rtl/>
        </w:rPr>
        <w:t>-</w:t>
      </w:r>
      <w:r w:rsidRPr="00EA48D3">
        <w:rPr>
          <w:rFonts w:hint="cs"/>
          <w:rtl/>
        </w:rPr>
        <w:t xml:space="preserve"> דמבואר מדברי </w:t>
      </w:r>
      <w:r w:rsidRPr="00EA48D3">
        <w:rPr>
          <w:rStyle w:val="aff4"/>
          <w:rFonts w:hint="cs"/>
          <w:vanish/>
          <w:rtl/>
        </w:rPr>
        <w:t>-</w:t>
      </w:r>
      <w:r w:rsidRPr="00EA48D3">
        <w:rPr>
          <w:rStyle w:val="aff4"/>
          <w:rFonts w:hint="cs"/>
          <w:rtl/>
        </w:rPr>
        <w:t>רב האי גאון</w:t>
      </w:r>
      <w:r w:rsidRPr="00EA48D3">
        <w:rPr>
          <w:rStyle w:val="aff4"/>
          <w:rFonts w:hint="cs"/>
          <w:vanish/>
          <w:rtl/>
        </w:rPr>
        <w:t>-</w:t>
      </w:r>
      <w:r w:rsidRPr="00EA48D3">
        <w:rPr>
          <w:rFonts w:hint="cs"/>
          <w:rtl/>
        </w:rPr>
        <w:t xml:space="preserve"> דמלאכת קוצר הייתה בזריעת חיטין למנחות, ועיי"ש במה שביאר </w:t>
      </w:r>
      <w:r w:rsidRPr="00EA48D3">
        <w:rPr>
          <w:rStyle w:val="aff4"/>
          <w:rFonts w:hint="cs"/>
          <w:vanish/>
          <w:rtl/>
        </w:rPr>
        <w:t>-</w:t>
      </w:r>
      <w:r w:rsidRPr="00EA48D3">
        <w:rPr>
          <w:rStyle w:val="aff4"/>
          <w:rFonts w:hint="cs"/>
          <w:rtl/>
        </w:rPr>
        <w:t>האגלי טל</w:t>
      </w:r>
      <w:r w:rsidRPr="00EA48D3">
        <w:rPr>
          <w:rStyle w:val="aff4"/>
          <w:rFonts w:hint="cs"/>
          <w:vanish/>
          <w:rtl/>
        </w:rPr>
        <w:t>-</w:t>
      </w:r>
      <w:r w:rsidRPr="00EA48D3">
        <w:rPr>
          <w:rFonts w:hint="cs"/>
          <w:rtl/>
        </w:rPr>
        <w:t xml:space="preserve"> </w:t>
      </w:r>
      <w:r w:rsidRPr="00EA48D3">
        <w:rPr>
          <w:rStyle w:val="af2"/>
          <w:rFonts w:eastAsia="Guttman Hodes" w:hint="cs"/>
          <w:rtl/>
        </w:rPr>
        <w:t>(פתיחה או' ו')</w:t>
      </w:r>
      <w:r w:rsidRPr="00EA48D3">
        <w:rPr>
          <w:rFonts w:hint="cs"/>
          <w:rtl/>
        </w:rPr>
        <w:t xml:space="preserve"> </w:t>
      </w:r>
      <w:r w:rsidRPr="00EA48D3">
        <w:rPr>
          <w:rStyle w:val="aff4"/>
          <w:rFonts w:hint="cs"/>
          <w:vanish/>
          <w:rtl/>
        </w:rPr>
        <w:t>-</w:t>
      </w:r>
      <w:r w:rsidRPr="00EA48D3">
        <w:rPr>
          <w:rStyle w:val="aff4"/>
          <w:rFonts w:hint="cs"/>
          <w:rtl/>
        </w:rPr>
        <w:t xml:space="preserve">דרב </w:t>
      </w:r>
      <w:r w:rsidRPr="00EA48D3">
        <w:rPr>
          <w:rStyle w:val="aff4"/>
          <w:rFonts w:hint="cs"/>
          <w:rtl/>
        </w:rPr>
        <w:lastRenderedPageBreak/>
        <w:t>האי גאון</w:t>
      </w:r>
      <w:r w:rsidRPr="00EA48D3">
        <w:rPr>
          <w:rStyle w:val="aff4"/>
          <w:rFonts w:hint="cs"/>
          <w:vanish/>
          <w:rtl/>
        </w:rPr>
        <w:t>-</w:t>
      </w:r>
      <w:r w:rsidRPr="00EA48D3">
        <w:rPr>
          <w:rFonts w:hint="cs"/>
          <w:rtl/>
        </w:rPr>
        <w:t xml:space="preserve"> פסק כדברי הירושלמי </w:t>
      </w:r>
      <w:r w:rsidRPr="00EA48D3">
        <w:rPr>
          <w:rStyle w:val="af2"/>
          <w:rFonts w:eastAsia="Guttman Hodes" w:hint="cs"/>
          <w:rtl/>
        </w:rPr>
        <w:t>(פ"י ה"ג, סב:)</w:t>
      </w:r>
      <w:r w:rsidRPr="00EA48D3">
        <w:rPr>
          <w:rFonts w:hint="cs"/>
          <w:rtl/>
        </w:rPr>
        <w:t xml:space="preserve"> דילפינן מקרבנות, והביא </w:t>
      </w:r>
      <w:r w:rsidRPr="00EA48D3">
        <w:rPr>
          <w:rStyle w:val="aff4"/>
          <w:rFonts w:hint="cs"/>
          <w:vanish/>
          <w:rtl/>
        </w:rPr>
        <w:t>-</w:t>
      </w:r>
      <w:r w:rsidRPr="00EA48D3">
        <w:rPr>
          <w:rStyle w:val="aff4"/>
          <w:rFonts w:hint="cs"/>
          <w:rtl/>
        </w:rPr>
        <w:t>האגלי טל</w:t>
      </w:r>
      <w:r w:rsidRPr="00EA48D3">
        <w:rPr>
          <w:rStyle w:val="aff4"/>
          <w:rFonts w:hint="cs"/>
          <w:vanish/>
          <w:rtl/>
        </w:rPr>
        <w:t>-</w:t>
      </w:r>
      <w:r w:rsidRPr="00EA48D3">
        <w:rPr>
          <w:rFonts w:hint="cs"/>
          <w:rtl/>
        </w:rPr>
        <w:t xml:space="preserve"> דכן ביאר </w:t>
      </w:r>
      <w:r w:rsidRPr="00EA48D3">
        <w:rPr>
          <w:rStyle w:val="aff4"/>
          <w:rFonts w:hint="cs"/>
          <w:vanish/>
          <w:rtl/>
        </w:rPr>
        <w:t>-&lt; &gt;</w:t>
      </w:r>
      <w:r w:rsidRPr="00EA48D3">
        <w:rPr>
          <w:rStyle w:val="aff4"/>
          <w:rFonts w:hint="cs"/>
          <w:rtl/>
        </w:rPr>
        <w:t>ר"ח לקמן</w:t>
      </w:r>
      <w:r w:rsidRPr="00EA48D3">
        <w:rPr>
          <w:rStyle w:val="aff4"/>
          <w:rFonts w:hint="cs"/>
          <w:vanish/>
          <w:rtl/>
        </w:rPr>
        <w:t>-</w:t>
      </w:r>
      <w:r w:rsidRPr="00EA48D3">
        <w:rPr>
          <w:rFonts w:hint="cs"/>
          <w:rtl/>
        </w:rPr>
        <w:t xml:space="preserve"> </w:t>
      </w:r>
      <w:r w:rsidRPr="00EA48D3">
        <w:rPr>
          <w:rStyle w:val="af2"/>
          <w:rFonts w:eastAsia="Guttman Hodes" w:hint="cs"/>
          <w:rtl/>
        </w:rPr>
        <w:t>(צג. ד"ה בין)</w:t>
      </w:r>
      <w:r w:rsidRPr="00EA48D3">
        <w:rPr>
          <w:rFonts w:hint="cs"/>
          <w:vanish/>
          <w:rtl/>
        </w:rPr>
        <w:t>=</w:t>
      </w:r>
      <w:r w:rsidRPr="00EA48D3">
        <w:rPr>
          <w:rFonts w:hint="cs"/>
          <w:rtl/>
        </w:rPr>
        <w:t xml:space="preserve"> כדעת </w:t>
      </w:r>
      <w:r w:rsidRPr="00EA48D3">
        <w:rPr>
          <w:rStyle w:val="aff4"/>
          <w:rFonts w:hint="cs"/>
          <w:vanish/>
          <w:rtl/>
        </w:rPr>
        <w:t>-</w:t>
      </w:r>
      <w:r w:rsidRPr="00EA48D3">
        <w:rPr>
          <w:rStyle w:val="aff4"/>
          <w:rFonts w:hint="cs"/>
          <w:rtl/>
        </w:rPr>
        <w:t>רב האי גאון</w:t>
      </w:r>
      <w:r w:rsidRPr="00EA48D3">
        <w:rPr>
          <w:rStyle w:val="aff4"/>
          <w:rFonts w:hint="cs"/>
          <w:vanish/>
          <w:rtl/>
        </w:rPr>
        <w:t>-</w:t>
      </w:r>
      <w:r w:rsidRPr="00EA48D3">
        <w:rPr>
          <w:rFonts w:hint="cs"/>
          <w:rtl/>
        </w:rPr>
        <w:t xml:space="preserve"> וכירושלמי, וכתב </w:t>
      </w:r>
      <w:r w:rsidRPr="00EA48D3">
        <w:rPr>
          <w:rStyle w:val="aff4"/>
          <w:rFonts w:hint="cs"/>
          <w:vanish/>
          <w:rtl/>
        </w:rPr>
        <w:t>-</w:t>
      </w:r>
      <w:r w:rsidRPr="00EA48D3">
        <w:rPr>
          <w:rStyle w:val="aff4"/>
          <w:rFonts w:hint="cs"/>
          <w:rtl/>
        </w:rPr>
        <w:t>האגלי טל</w:t>
      </w:r>
      <w:r w:rsidRPr="00EA48D3">
        <w:rPr>
          <w:rStyle w:val="aff4"/>
          <w:rFonts w:hint="cs"/>
          <w:vanish/>
          <w:rtl/>
        </w:rPr>
        <w:t>-</w:t>
      </w:r>
      <w:r w:rsidRPr="00EA48D3">
        <w:rPr>
          <w:rFonts w:hint="cs"/>
          <w:rtl/>
        </w:rPr>
        <w:t xml:space="preserve"> דמדברי </w:t>
      </w:r>
      <w:r w:rsidRPr="00EA48D3">
        <w:rPr>
          <w:rStyle w:val="aff4"/>
          <w:rFonts w:hint="cs"/>
          <w:vanish/>
          <w:rtl/>
        </w:rPr>
        <w:t>-</w:t>
      </w:r>
      <w:r w:rsidRPr="00EA48D3">
        <w:rPr>
          <w:rStyle w:val="aff4"/>
          <w:rFonts w:hint="cs"/>
          <w:rtl/>
        </w:rPr>
        <w:t>רש"י והרמב"ם</w:t>
      </w:r>
      <w:r w:rsidRPr="00EA48D3">
        <w:rPr>
          <w:rStyle w:val="aff4"/>
          <w:rFonts w:hint="cs"/>
          <w:vanish/>
          <w:rtl/>
        </w:rPr>
        <w:t>-</w:t>
      </w:r>
      <w:r w:rsidRPr="00EA48D3">
        <w:rPr>
          <w:rFonts w:hint="cs"/>
          <w:rtl/>
        </w:rPr>
        <w:t xml:space="preserve"> </w:t>
      </w:r>
      <w:r w:rsidRPr="00EA48D3">
        <w:rPr>
          <w:rStyle w:val="af2"/>
          <w:rFonts w:eastAsia="Guttman Hodes" w:hint="cs"/>
          <w:rtl/>
        </w:rPr>
        <w:t xml:space="preserve">(עי' אות </w:t>
      </w:r>
      <w:r w:rsidRPr="00EA48D3">
        <w:rPr>
          <w:rStyle w:val="af2"/>
          <w:rFonts w:eastAsia="Guttman Hodes"/>
          <w:rtl/>
        </w:rPr>
        <w:fldChar w:fldCharType="begin"/>
      </w:r>
      <w:r w:rsidRPr="00EA48D3">
        <w:rPr>
          <w:rStyle w:val="af2"/>
          <w:rFonts w:eastAsia="Guttman Hodes"/>
          <w:rtl/>
        </w:rPr>
        <w:instrText xml:space="preserve"> </w:instrText>
      </w:r>
      <w:r w:rsidRPr="00EA48D3">
        <w:rPr>
          <w:rStyle w:val="af2"/>
          <w:rFonts w:eastAsia="Guttman Hodes" w:hint="cs"/>
        </w:rPr>
        <w:instrText>REF</w:instrText>
      </w:r>
      <w:r w:rsidRPr="00EA48D3">
        <w:rPr>
          <w:rStyle w:val="af2"/>
          <w:rFonts w:eastAsia="Guttman Hodes" w:hint="cs"/>
          <w:rtl/>
        </w:rPr>
        <w:instrText xml:space="preserve"> _</w:instrText>
      </w:r>
      <w:r w:rsidRPr="00EA48D3">
        <w:rPr>
          <w:rStyle w:val="af2"/>
          <w:rFonts w:eastAsia="Guttman Hodes" w:hint="cs"/>
        </w:rPr>
        <w:instrText>Ref133310797 \r \h</w:instrText>
      </w:r>
      <w:r w:rsidRPr="00EA48D3">
        <w:rPr>
          <w:rStyle w:val="af2"/>
          <w:rFonts w:eastAsia="Guttman Hodes"/>
          <w:rtl/>
        </w:rPr>
        <w:instrText xml:space="preserve"> </w:instrText>
      </w:r>
      <w:r w:rsidRPr="00EA48D3">
        <w:rPr>
          <w:rStyle w:val="af2"/>
          <w:rFonts w:eastAsia="Guttman Hodes"/>
          <w:rtl/>
        </w:rPr>
      </w:r>
      <w:r w:rsidRPr="00EA48D3">
        <w:rPr>
          <w:rStyle w:val="af2"/>
          <w:rFonts w:eastAsia="Guttman Hodes"/>
          <w:rtl/>
        </w:rPr>
        <w:fldChar w:fldCharType="separate"/>
      </w:r>
      <w:r w:rsidR="00D82181">
        <w:rPr>
          <w:rStyle w:val="af2"/>
          <w:rFonts w:eastAsia="Guttman Hodes"/>
          <w:cs/>
        </w:rPr>
        <w:t>‎</w:t>
      </w:r>
      <w:r w:rsidR="00D82181">
        <w:rPr>
          <w:rStyle w:val="af2"/>
          <w:rFonts w:eastAsia="Guttman Hodes"/>
          <w:rtl/>
        </w:rPr>
        <w:t>סט)</w:t>
      </w:r>
      <w:r w:rsidRPr="00EA48D3">
        <w:rPr>
          <w:rStyle w:val="af2"/>
          <w:rFonts w:eastAsia="Guttman Hodes"/>
          <w:rtl/>
        </w:rPr>
        <w:fldChar w:fldCharType="end"/>
      </w:r>
      <w:r w:rsidRPr="00EA48D3">
        <w:rPr>
          <w:rFonts w:hint="cs"/>
          <w:rtl/>
        </w:rPr>
        <w:t xml:space="preserve"> מבואר דפסקו להלכה דלא כירושלמי, אלא כמבואר בגמ' לקמן </w:t>
      </w:r>
      <w:r w:rsidRPr="00EA48D3">
        <w:rPr>
          <w:rStyle w:val="af2"/>
          <w:rFonts w:eastAsia="Guttman Hodes" w:hint="cs"/>
          <w:rtl/>
        </w:rPr>
        <w:t>(צב.)</w:t>
      </w:r>
      <w:r w:rsidRPr="00EA48D3">
        <w:rPr>
          <w:rFonts w:hint="cs"/>
          <w:rtl/>
        </w:rPr>
        <w:t>, דצריך שהמלאכה תהיה במשכן עצמו ולא בקרבנות.</w:t>
      </w:r>
      <w:bookmarkEnd w:id="338"/>
    </w:p>
    <w:p w14:paraId="34491DC2" w14:textId="77777777" w:rsidR="009623A2" w:rsidRPr="00747170" w:rsidRDefault="009623A2" w:rsidP="00747170">
      <w:pPr>
        <w:pStyle w:val="a2"/>
        <w:rPr>
          <w:rtl/>
        </w:rPr>
      </w:pPr>
      <w:r w:rsidRPr="00747170">
        <w:rPr>
          <w:rtl/>
        </w:rPr>
        <w:t>(ה) אך בחידושי הרב ר' אברהם בנו של הרמב"ם ז"ל הנדפסים בראש ספר מעשה רוקח ובתשובת הרמב"ם דפוס לפסיא מחודש קל"ד זה לשונו העימור הוא מה שמקבצים העמרים חבילות חבילות וכו' וכתב רבינו האי גאון ז"ל שאלו האחד עשר מלאכות ישנן בקרבן תמיד בכל יום ובחביתי כהן גדול ובמלואים כולן מזרע וקציר וכן גרסינן בפרק במה טומנין הם זרעו אתם אל תזרעו הם קצרו אתם אל תקצרו וכו' עכ"ל:</w:t>
      </w:r>
    </w:p>
    <w:p w14:paraId="740765F4" w14:textId="77777777" w:rsidR="009623A2" w:rsidRPr="00EA48D3" w:rsidRDefault="009623A2" w:rsidP="00747170">
      <w:pPr>
        <w:pStyle w:val="afffff5"/>
        <w:rPr>
          <w:rtl/>
        </w:rPr>
      </w:pPr>
      <w:r w:rsidRPr="00EA48D3">
        <w:rPr>
          <w:rFonts w:hint="cs"/>
          <w:rtl/>
        </w:rPr>
        <w:t>(ו) ונראה דשורש מחלוקת שבין רב האי גאון לרש"י ז"ל ממשנה דפרק המצניע צ"ב. המוציא בין בימינו בין בשמאלו בתוך חיקו או על כתפיו חייב שכן משא בני קהת. ופירש"י משא בני קהת בכתף ישאו וימין ושמאל וחיק אורח ארעא [וכן פירש הרמב"ם בפירוש המשנה וז"ל הוצאת בני קהת לארון היתה בכתף. ובחיבורו פרק י"ב הלכה י"ב המוציא בין בימינו בין בשמאלו בין בתוך חיקו חייב מפני שהוציא כדרך המוציאין המוציא על כתיפו חייב אף שהמשאוי למעלה מעשרה שכן הי' משא בני קהת וכל המלאכות ממשכן אנו לומדין אותן. הנה שמפורש כפירש"י ימין ושמאל וחיק כדרך המוציאין ועל כתיפו לבד לומדין ממשא בני קהת] ובשם ר"י בר"י מצאתי שאמר רב האי שמפורש בירושלמי [סב ב] ופקודת אלעזר בן אהרן הכהן שמן המאור וקטורת הסמים ומנחת התמיד ושמן המשחה שמן אחד בימין ושמן אחד בשמאל והקטורת בחיקו והחביתין בכתף עכ"ל. וכן פי' ר"ח כפי' הירושלמי:</w:t>
      </w:r>
    </w:p>
    <w:p w14:paraId="5ADF309C" w14:textId="078D4CBF" w:rsidR="009623A2" w:rsidRPr="00EA48D3" w:rsidRDefault="009623A2" w:rsidP="009623A2">
      <w:pPr>
        <w:pStyle w:val="1"/>
        <w:rPr>
          <w:rtl/>
        </w:rPr>
      </w:pPr>
      <w:bookmarkStart w:id="339" w:name="_Toc134419650"/>
      <w:r w:rsidRPr="00EA48D3">
        <w:rPr>
          <w:rFonts w:hint="cs"/>
          <w:rtl/>
        </w:rPr>
        <w:t>בי' האגל"ט דנוטע בקרקע עצמה ובוצר מהאילן והוי תולדה</w:t>
      </w:r>
      <w:bookmarkEnd w:id="339"/>
    </w:p>
    <w:p w14:paraId="3F58AAF6" w14:textId="77777777" w:rsidR="009623A2" w:rsidRPr="00EA48D3" w:rsidRDefault="009623A2" w:rsidP="009623A2">
      <w:pPr>
        <w:pStyle w:val="afffff7"/>
        <w:rPr>
          <w:rtl/>
        </w:rPr>
      </w:pPr>
      <w:bookmarkStart w:id="340" w:name="_Toc133841674"/>
      <w:bookmarkStart w:id="341" w:name="_Toc163505422"/>
      <w:r w:rsidRPr="00EA48D3">
        <w:rPr>
          <w:rtl/>
        </w:rPr>
        <w:t>אגלי טל מלאכת זורע</w:t>
      </w:r>
      <w:r w:rsidRPr="00EA48D3">
        <w:rPr>
          <w:rFonts w:hint="cs"/>
          <w:rtl/>
        </w:rPr>
        <w:t xml:space="preserve"> סק"א, סק"ב</w:t>
      </w:r>
      <w:bookmarkEnd w:id="340"/>
      <w:bookmarkEnd w:id="341"/>
    </w:p>
    <w:p w14:paraId="47A3747C" w14:textId="77777777" w:rsidR="009623A2" w:rsidRPr="00EA48D3" w:rsidRDefault="009623A2" w:rsidP="009623A2">
      <w:pPr>
        <w:pStyle w:val="a7"/>
        <w:rPr>
          <w:rtl/>
        </w:rPr>
      </w:pPr>
      <w:bookmarkStart w:id="342" w:name="_Toc134419651"/>
      <w:r w:rsidRPr="00EA48D3">
        <w:rPr>
          <w:rFonts w:hint="cs"/>
          <w:rtl/>
        </w:rPr>
        <w:t>קו' האגל"ט ברש"י וברמב"ם דלא נטעו במשכן לסממנין ואמאי הוי אב ומ"ש מבוצר דתולדה</w:t>
      </w:r>
      <w:bookmarkEnd w:id="342"/>
    </w:p>
    <w:p w14:paraId="64B8A012" w14:textId="555343E3" w:rsidR="009623A2" w:rsidRPr="00EA48D3" w:rsidRDefault="009623A2" w:rsidP="00BC7DC8">
      <w:pPr>
        <w:pStyle w:val="a3"/>
        <w:rPr>
          <w:rtl/>
        </w:rPr>
      </w:pPr>
      <w:bookmarkStart w:id="343" w:name="_Ref133311136"/>
      <w:r w:rsidRPr="00EA48D3">
        <w:rPr>
          <w:rFonts w:hint="cs"/>
          <w:rtl/>
        </w:rPr>
        <w:t xml:space="preserve">וכתב </w:t>
      </w:r>
      <w:r w:rsidRPr="00EA48D3">
        <w:rPr>
          <w:rStyle w:val="aff4"/>
          <w:rFonts w:hint="cs"/>
          <w:vanish/>
          <w:rtl/>
        </w:rPr>
        <w:t>-</w:t>
      </w:r>
      <w:r w:rsidRPr="00EA48D3">
        <w:rPr>
          <w:rStyle w:val="aff4"/>
          <w:rFonts w:hint="cs"/>
          <w:rtl/>
        </w:rPr>
        <w:t>ה</w:t>
      </w:r>
      <w:r w:rsidRPr="00EA48D3">
        <w:rPr>
          <w:rStyle w:val="aff4"/>
          <w:rFonts w:hint="cs"/>
          <w:vanish/>
          <w:rtl/>
        </w:rPr>
        <w:t xml:space="preserve">&lt;. </w:t>
      </w:r>
      <w:r w:rsidRPr="00EA48D3">
        <w:rPr>
          <w:rStyle w:val="aff4"/>
          <w:vanish/>
          <w:rtl/>
        </w:rPr>
        <w:fldChar w:fldCharType="begin"/>
      </w:r>
      <w:r w:rsidRPr="00EA48D3">
        <w:rPr>
          <w:rStyle w:val="aff4"/>
          <w:vanish/>
          <w:rtl/>
        </w:rPr>
        <w:instrText xml:space="preserve"> </w:instrText>
      </w:r>
      <w:r w:rsidRPr="00EA48D3">
        <w:rPr>
          <w:rStyle w:val="aff4"/>
          <w:rFonts w:hint="cs"/>
          <w:vanish/>
        </w:rPr>
        <w:instrText>REF</w:instrText>
      </w:r>
      <w:r w:rsidRPr="00EA48D3">
        <w:rPr>
          <w:rStyle w:val="aff4"/>
          <w:rFonts w:hint="cs"/>
          <w:vanish/>
          <w:rtl/>
        </w:rPr>
        <w:instrText xml:space="preserve"> _</w:instrText>
      </w:r>
      <w:r w:rsidRPr="00EA48D3">
        <w:rPr>
          <w:rStyle w:val="aff4"/>
          <w:rFonts w:hint="cs"/>
          <w:vanish/>
        </w:rPr>
        <w:instrText>Ref133311136 \r \h</w:instrText>
      </w:r>
      <w:r w:rsidRPr="00EA48D3">
        <w:rPr>
          <w:rStyle w:val="aff4"/>
          <w:vanish/>
          <w:rtl/>
        </w:rPr>
        <w:instrText xml:space="preserve"> </w:instrText>
      </w:r>
      <w:r w:rsidRPr="00EA48D3">
        <w:rPr>
          <w:rStyle w:val="aff4"/>
          <w:vanish/>
          <w:rtl/>
        </w:rPr>
      </w:r>
      <w:r w:rsidRPr="00EA48D3">
        <w:rPr>
          <w:rStyle w:val="aff4"/>
          <w:vanish/>
          <w:rtl/>
        </w:rPr>
        <w:fldChar w:fldCharType="separate"/>
      </w:r>
      <w:r w:rsidR="00D82181">
        <w:rPr>
          <w:rStyle w:val="aff4"/>
          <w:vanish/>
          <w:cs/>
        </w:rPr>
        <w:t>‎</w:t>
      </w:r>
      <w:r w:rsidR="00D82181">
        <w:rPr>
          <w:rStyle w:val="aff4"/>
          <w:vanish/>
          <w:rtl/>
        </w:rPr>
        <w:t>עא)</w:t>
      </w:r>
      <w:r w:rsidRPr="00EA48D3">
        <w:rPr>
          <w:rStyle w:val="aff4"/>
          <w:vanish/>
          <w:rtl/>
        </w:rPr>
        <w:fldChar w:fldCharType="end"/>
      </w:r>
      <w:r w:rsidRPr="00EA48D3">
        <w:rPr>
          <w:rStyle w:val="aff4"/>
          <w:rFonts w:hint="cs"/>
          <w:vanish/>
          <w:rtl/>
        </w:rPr>
        <w:t xml:space="preserve"> &gt;</w:t>
      </w:r>
      <w:r w:rsidRPr="00EA48D3">
        <w:rPr>
          <w:rStyle w:val="aff4"/>
          <w:rFonts w:hint="cs"/>
          <w:rtl/>
        </w:rPr>
        <w:t>אגלי טל</w:t>
      </w:r>
      <w:r w:rsidRPr="00EA48D3">
        <w:rPr>
          <w:rStyle w:val="aff4"/>
          <w:rFonts w:hint="cs"/>
          <w:vanish/>
          <w:rtl/>
        </w:rPr>
        <w:t>-</w:t>
      </w:r>
      <w:r w:rsidRPr="00EA48D3">
        <w:rPr>
          <w:rFonts w:hint="cs"/>
          <w:rtl/>
        </w:rPr>
        <w:t xml:space="preserve"> </w:t>
      </w:r>
      <w:r w:rsidRPr="00EA48D3">
        <w:rPr>
          <w:rStyle w:val="af2"/>
          <w:rFonts w:eastAsia="Guttman Hodes" w:hint="cs"/>
          <w:rtl/>
        </w:rPr>
        <w:t>(זורע סק"א)</w:t>
      </w:r>
      <w:r w:rsidRPr="00EA48D3">
        <w:rPr>
          <w:rFonts w:hint="cs"/>
          <w:vanish/>
          <w:rtl/>
        </w:rPr>
        <w:t>=</w:t>
      </w:r>
      <w:r w:rsidRPr="00EA48D3">
        <w:rPr>
          <w:rFonts w:hint="cs"/>
          <w:rtl/>
        </w:rPr>
        <w:t xml:space="preserve"> דדעת </w:t>
      </w:r>
      <w:r w:rsidRPr="00EA48D3">
        <w:rPr>
          <w:rStyle w:val="aff4"/>
          <w:rFonts w:hint="cs"/>
          <w:vanish/>
          <w:rtl/>
        </w:rPr>
        <w:t>-</w:t>
      </w:r>
      <w:r w:rsidRPr="00EA48D3">
        <w:rPr>
          <w:rStyle w:val="aff4"/>
          <w:rFonts w:hint="cs"/>
          <w:rtl/>
        </w:rPr>
        <w:t>רש"י</w:t>
      </w:r>
      <w:r w:rsidRPr="00EA48D3">
        <w:rPr>
          <w:rStyle w:val="aff4"/>
          <w:rFonts w:hint="cs"/>
          <w:vanish/>
          <w:rtl/>
        </w:rPr>
        <w:t>-</w:t>
      </w:r>
      <w:r w:rsidRPr="00EA48D3">
        <w:rPr>
          <w:rFonts w:hint="cs"/>
          <w:rtl/>
        </w:rPr>
        <w:t xml:space="preserve"> </w:t>
      </w:r>
      <w:r w:rsidRPr="00EA48D3">
        <w:rPr>
          <w:rStyle w:val="aff4"/>
          <w:rFonts w:hint="cs"/>
          <w:vanish/>
          <w:rtl/>
        </w:rPr>
        <w:t>-</w:t>
      </w:r>
      <w:r w:rsidRPr="00EA48D3">
        <w:rPr>
          <w:rStyle w:val="aff4"/>
          <w:rFonts w:hint="cs"/>
          <w:rtl/>
        </w:rPr>
        <w:t>והרמב"ם</w:t>
      </w:r>
      <w:r w:rsidRPr="00EA48D3">
        <w:rPr>
          <w:rStyle w:val="aff4"/>
          <w:rFonts w:hint="cs"/>
          <w:vanish/>
          <w:rtl/>
        </w:rPr>
        <w:t>-</w:t>
      </w:r>
      <w:r w:rsidRPr="00EA48D3">
        <w:rPr>
          <w:rFonts w:hint="cs"/>
          <w:rtl/>
        </w:rPr>
        <w:t xml:space="preserve"> </w:t>
      </w:r>
      <w:r w:rsidRPr="00EA48D3">
        <w:rPr>
          <w:rStyle w:val="af2"/>
          <w:rFonts w:eastAsia="Guttman Hodes" w:hint="cs"/>
          <w:rtl/>
        </w:rPr>
        <w:t xml:space="preserve">(עי' אות </w:t>
      </w:r>
      <w:r w:rsidRPr="00EA48D3">
        <w:rPr>
          <w:rStyle w:val="af2"/>
          <w:rFonts w:eastAsia="Guttman Hodes"/>
          <w:rtl/>
        </w:rPr>
        <w:fldChar w:fldCharType="begin"/>
      </w:r>
      <w:r w:rsidRPr="00EA48D3">
        <w:rPr>
          <w:rStyle w:val="af2"/>
          <w:rFonts w:eastAsia="Guttman Hodes"/>
          <w:rtl/>
        </w:rPr>
        <w:instrText xml:space="preserve"> </w:instrText>
      </w:r>
      <w:r w:rsidRPr="00EA48D3">
        <w:rPr>
          <w:rStyle w:val="af2"/>
          <w:rFonts w:eastAsia="Guttman Hodes" w:hint="cs"/>
        </w:rPr>
        <w:instrText>REF</w:instrText>
      </w:r>
      <w:r w:rsidRPr="00EA48D3">
        <w:rPr>
          <w:rStyle w:val="af2"/>
          <w:rFonts w:eastAsia="Guttman Hodes" w:hint="cs"/>
          <w:rtl/>
        </w:rPr>
        <w:instrText xml:space="preserve"> _</w:instrText>
      </w:r>
      <w:r w:rsidRPr="00EA48D3">
        <w:rPr>
          <w:rStyle w:val="af2"/>
          <w:rFonts w:eastAsia="Guttman Hodes" w:hint="cs"/>
        </w:rPr>
        <w:instrText>Ref133310797 \r \h</w:instrText>
      </w:r>
      <w:r w:rsidRPr="00EA48D3">
        <w:rPr>
          <w:rStyle w:val="af2"/>
          <w:rFonts w:eastAsia="Guttman Hodes"/>
          <w:rtl/>
        </w:rPr>
        <w:instrText xml:space="preserve"> </w:instrText>
      </w:r>
      <w:r w:rsidRPr="00EA48D3">
        <w:rPr>
          <w:rStyle w:val="af2"/>
          <w:rFonts w:eastAsia="Guttman Hodes"/>
          <w:rtl/>
        </w:rPr>
      </w:r>
      <w:r w:rsidRPr="00EA48D3">
        <w:rPr>
          <w:rStyle w:val="af2"/>
          <w:rFonts w:eastAsia="Guttman Hodes"/>
          <w:rtl/>
        </w:rPr>
        <w:fldChar w:fldCharType="separate"/>
      </w:r>
      <w:r w:rsidR="00D82181">
        <w:rPr>
          <w:rStyle w:val="af2"/>
          <w:rFonts w:eastAsia="Guttman Hodes"/>
          <w:cs/>
        </w:rPr>
        <w:t>‎</w:t>
      </w:r>
      <w:r w:rsidR="00D82181">
        <w:rPr>
          <w:rStyle w:val="af2"/>
          <w:rFonts w:eastAsia="Guttman Hodes"/>
          <w:rtl/>
        </w:rPr>
        <w:t>סט)</w:t>
      </w:r>
      <w:r w:rsidRPr="00EA48D3">
        <w:rPr>
          <w:rStyle w:val="af2"/>
          <w:rFonts w:eastAsia="Guttman Hodes"/>
          <w:rtl/>
        </w:rPr>
        <w:fldChar w:fldCharType="end"/>
      </w:r>
      <w:r w:rsidRPr="00EA48D3">
        <w:rPr>
          <w:rFonts w:hint="cs"/>
          <w:rtl/>
        </w:rPr>
        <w:t xml:space="preserve"> דמלאכת זורע הייתה במשכן לצורך הסממנין, ולדעת </w:t>
      </w:r>
      <w:r w:rsidRPr="00EA48D3">
        <w:rPr>
          <w:rStyle w:val="aff4"/>
          <w:rFonts w:hint="cs"/>
          <w:vanish/>
          <w:rtl/>
        </w:rPr>
        <w:t>-</w:t>
      </w:r>
      <w:r w:rsidRPr="00EA48D3">
        <w:rPr>
          <w:rStyle w:val="aff4"/>
          <w:rFonts w:hint="cs"/>
          <w:rtl/>
        </w:rPr>
        <w:t>רב האי גאון ור"ח</w:t>
      </w:r>
      <w:r w:rsidRPr="00EA48D3">
        <w:rPr>
          <w:rStyle w:val="aff4"/>
          <w:rFonts w:hint="cs"/>
          <w:vanish/>
          <w:rtl/>
        </w:rPr>
        <w:t>-</w:t>
      </w:r>
      <w:r w:rsidRPr="00EA48D3">
        <w:rPr>
          <w:rFonts w:hint="cs"/>
          <w:rtl/>
        </w:rPr>
        <w:t xml:space="preserve"> </w:t>
      </w:r>
      <w:r w:rsidRPr="00EA48D3">
        <w:rPr>
          <w:rStyle w:val="af2"/>
          <w:rFonts w:eastAsia="Guttman Hodes" w:hint="cs"/>
          <w:rtl/>
        </w:rPr>
        <w:t xml:space="preserve">(עי' אות </w:t>
      </w:r>
      <w:r w:rsidRPr="00EA48D3">
        <w:rPr>
          <w:rStyle w:val="af2"/>
          <w:rFonts w:eastAsia="Guttman Hodes"/>
          <w:rtl/>
        </w:rPr>
        <w:fldChar w:fldCharType="begin"/>
      </w:r>
      <w:r w:rsidRPr="00EA48D3">
        <w:rPr>
          <w:rStyle w:val="af2"/>
          <w:rFonts w:eastAsia="Guttman Hodes"/>
          <w:rtl/>
        </w:rPr>
        <w:instrText xml:space="preserve"> </w:instrText>
      </w:r>
      <w:r w:rsidRPr="00EA48D3">
        <w:rPr>
          <w:rStyle w:val="af2"/>
          <w:rFonts w:eastAsia="Guttman Hodes" w:hint="cs"/>
        </w:rPr>
        <w:instrText>REF</w:instrText>
      </w:r>
      <w:r w:rsidRPr="00EA48D3">
        <w:rPr>
          <w:rStyle w:val="af2"/>
          <w:rFonts w:eastAsia="Guttman Hodes" w:hint="cs"/>
          <w:rtl/>
        </w:rPr>
        <w:instrText xml:space="preserve"> _</w:instrText>
      </w:r>
      <w:r w:rsidRPr="00EA48D3">
        <w:rPr>
          <w:rStyle w:val="af2"/>
          <w:rFonts w:eastAsia="Guttman Hodes" w:hint="cs"/>
        </w:rPr>
        <w:instrText>Ref133310864 \r \h</w:instrText>
      </w:r>
      <w:r w:rsidRPr="00EA48D3">
        <w:rPr>
          <w:rStyle w:val="af2"/>
          <w:rFonts w:eastAsia="Guttman Hodes"/>
          <w:rtl/>
        </w:rPr>
        <w:instrText xml:space="preserve"> </w:instrText>
      </w:r>
      <w:r w:rsidRPr="00EA48D3">
        <w:rPr>
          <w:rStyle w:val="af2"/>
          <w:rFonts w:eastAsia="Guttman Hodes"/>
          <w:rtl/>
        </w:rPr>
      </w:r>
      <w:r w:rsidRPr="00EA48D3">
        <w:rPr>
          <w:rStyle w:val="af2"/>
          <w:rFonts w:eastAsia="Guttman Hodes"/>
          <w:rtl/>
        </w:rPr>
        <w:fldChar w:fldCharType="separate"/>
      </w:r>
      <w:r w:rsidR="00D82181">
        <w:rPr>
          <w:rStyle w:val="af2"/>
          <w:rFonts w:eastAsia="Guttman Hodes"/>
          <w:cs/>
        </w:rPr>
        <w:t>‎</w:t>
      </w:r>
      <w:r w:rsidR="00D82181">
        <w:rPr>
          <w:rStyle w:val="af2"/>
          <w:rFonts w:eastAsia="Guttman Hodes"/>
          <w:rtl/>
        </w:rPr>
        <w:t>ע)</w:t>
      </w:r>
      <w:r w:rsidRPr="00EA48D3">
        <w:rPr>
          <w:rStyle w:val="af2"/>
          <w:rFonts w:eastAsia="Guttman Hodes"/>
          <w:rtl/>
        </w:rPr>
        <w:fldChar w:fldCharType="end"/>
      </w:r>
      <w:r w:rsidRPr="00EA48D3">
        <w:rPr>
          <w:rFonts w:hint="cs"/>
          <w:rtl/>
        </w:rPr>
        <w:t xml:space="preserve"> לצורך המנחות, וכתב </w:t>
      </w:r>
      <w:r w:rsidRPr="00EA48D3">
        <w:rPr>
          <w:rStyle w:val="aff4"/>
          <w:rFonts w:hint="cs"/>
          <w:vanish/>
          <w:rtl/>
        </w:rPr>
        <w:t>-</w:t>
      </w:r>
      <w:r w:rsidRPr="00EA48D3">
        <w:rPr>
          <w:rStyle w:val="aff4"/>
          <w:rFonts w:hint="cs"/>
          <w:rtl/>
        </w:rPr>
        <w:t>ה</w:t>
      </w:r>
      <w:r w:rsidRPr="00EA48D3">
        <w:rPr>
          <w:rStyle w:val="aff4"/>
          <w:rFonts w:hint="cs"/>
          <w:vanish/>
          <w:rtl/>
        </w:rPr>
        <w:t>&lt; &gt;</w:t>
      </w:r>
      <w:r w:rsidRPr="00EA48D3">
        <w:rPr>
          <w:rStyle w:val="aff4"/>
          <w:rFonts w:hint="cs"/>
          <w:rtl/>
        </w:rPr>
        <w:t>אגלי טל</w:t>
      </w:r>
      <w:r w:rsidRPr="00EA48D3">
        <w:rPr>
          <w:rStyle w:val="aff4"/>
          <w:rFonts w:hint="cs"/>
          <w:vanish/>
          <w:rtl/>
        </w:rPr>
        <w:t>-</w:t>
      </w:r>
      <w:r w:rsidRPr="00EA48D3">
        <w:rPr>
          <w:rStyle w:val="aff4"/>
          <w:rFonts w:hint="cs"/>
          <w:rtl/>
        </w:rPr>
        <w:t xml:space="preserve"> </w:t>
      </w:r>
      <w:r w:rsidRPr="00EA48D3">
        <w:rPr>
          <w:rStyle w:val="af2"/>
          <w:rFonts w:eastAsia="Guttman Hodes" w:hint="cs"/>
          <w:rtl/>
        </w:rPr>
        <w:t>(זורע סק"ב)</w:t>
      </w:r>
      <w:r w:rsidRPr="00EA48D3">
        <w:rPr>
          <w:rFonts w:hint="cs"/>
          <w:vanish/>
          <w:rtl/>
        </w:rPr>
        <w:t>=</w:t>
      </w:r>
      <w:r w:rsidRPr="00EA48D3">
        <w:rPr>
          <w:rFonts w:hint="cs"/>
          <w:rtl/>
        </w:rPr>
        <w:t xml:space="preserve"> דממ"ש </w:t>
      </w:r>
      <w:r w:rsidRPr="00EA48D3">
        <w:rPr>
          <w:rStyle w:val="aff4"/>
          <w:rFonts w:hint="cs"/>
          <w:vanish/>
          <w:rtl/>
        </w:rPr>
        <w:t>-</w:t>
      </w:r>
      <w:r w:rsidRPr="00EA48D3">
        <w:rPr>
          <w:rStyle w:val="aff4"/>
          <w:rFonts w:hint="cs"/>
          <w:rtl/>
        </w:rPr>
        <w:t>רש"י</w:t>
      </w:r>
      <w:r w:rsidRPr="00EA48D3">
        <w:rPr>
          <w:rStyle w:val="aff4"/>
          <w:rFonts w:hint="cs"/>
          <w:vanish/>
          <w:rtl/>
        </w:rPr>
        <w:t>-</w:t>
      </w:r>
      <w:r w:rsidRPr="00EA48D3">
        <w:rPr>
          <w:rFonts w:hint="cs"/>
          <w:rtl/>
        </w:rPr>
        <w:t xml:space="preserve"> </w:t>
      </w:r>
      <w:r w:rsidRPr="00EA48D3">
        <w:rPr>
          <w:rStyle w:val="af2"/>
          <w:rFonts w:eastAsia="Guttman Hodes" w:hint="cs"/>
          <w:rtl/>
        </w:rPr>
        <w:t xml:space="preserve">(עי' אות </w:t>
      </w:r>
      <w:r w:rsidRPr="00EA48D3">
        <w:rPr>
          <w:rStyle w:val="af2"/>
          <w:rFonts w:eastAsia="Guttman Hodes"/>
          <w:rtl/>
        </w:rPr>
        <w:fldChar w:fldCharType="begin"/>
      </w:r>
      <w:r w:rsidRPr="00EA48D3">
        <w:rPr>
          <w:rStyle w:val="af2"/>
          <w:rFonts w:eastAsia="Guttman Hodes"/>
          <w:rtl/>
        </w:rPr>
        <w:instrText xml:space="preserve"> </w:instrText>
      </w:r>
      <w:r w:rsidRPr="00EA48D3">
        <w:rPr>
          <w:rStyle w:val="af2"/>
          <w:rFonts w:eastAsia="Guttman Hodes" w:hint="cs"/>
        </w:rPr>
        <w:instrText>REF</w:instrText>
      </w:r>
      <w:r w:rsidRPr="00EA48D3">
        <w:rPr>
          <w:rStyle w:val="af2"/>
          <w:rFonts w:eastAsia="Guttman Hodes" w:hint="cs"/>
          <w:rtl/>
        </w:rPr>
        <w:instrText xml:space="preserve"> _</w:instrText>
      </w:r>
      <w:r w:rsidRPr="00EA48D3">
        <w:rPr>
          <w:rStyle w:val="af2"/>
          <w:rFonts w:eastAsia="Guttman Hodes" w:hint="cs"/>
        </w:rPr>
        <w:instrText>Ref133481736 \r \h</w:instrText>
      </w:r>
      <w:r w:rsidRPr="00EA48D3">
        <w:rPr>
          <w:rStyle w:val="af2"/>
          <w:rFonts w:eastAsia="Guttman Hodes"/>
          <w:rtl/>
        </w:rPr>
        <w:instrText xml:space="preserve"> </w:instrText>
      </w:r>
      <w:r w:rsidRPr="00EA48D3">
        <w:rPr>
          <w:rStyle w:val="af2"/>
          <w:rFonts w:eastAsia="Guttman Hodes"/>
          <w:rtl/>
        </w:rPr>
      </w:r>
      <w:r w:rsidRPr="00EA48D3">
        <w:rPr>
          <w:rStyle w:val="af2"/>
          <w:rFonts w:eastAsia="Guttman Hodes"/>
          <w:rtl/>
        </w:rPr>
        <w:fldChar w:fldCharType="separate"/>
      </w:r>
      <w:r w:rsidR="00D82181">
        <w:rPr>
          <w:rStyle w:val="af2"/>
          <w:rFonts w:eastAsia="Guttman Hodes"/>
          <w:cs/>
        </w:rPr>
        <w:t>‎</w:t>
      </w:r>
      <w:r w:rsidR="00D82181">
        <w:rPr>
          <w:rStyle w:val="af2"/>
          <w:rFonts w:eastAsia="Guttman Hodes"/>
          <w:rtl/>
        </w:rPr>
        <w:t>א)</w:t>
      </w:r>
      <w:r w:rsidRPr="00EA48D3">
        <w:rPr>
          <w:rStyle w:val="af2"/>
          <w:rFonts w:eastAsia="Guttman Hodes"/>
          <w:rtl/>
        </w:rPr>
        <w:fldChar w:fldCharType="end"/>
      </w:r>
      <w:r w:rsidRPr="00EA48D3">
        <w:rPr>
          <w:rFonts w:hint="cs"/>
          <w:rtl/>
        </w:rPr>
        <w:t xml:space="preserve"> </w:t>
      </w:r>
      <w:r w:rsidRPr="00EA48D3">
        <w:rPr>
          <w:rStyle w:val="aff4"/>
          <w:rFonts w:hint="cs"/>
          <w:vanish/>
          <w:rtl/>
        </w:rPr>
        <w:t>-</w:t>
      </w:r>
      <w:r w:rsidRPr="00EA48D3">
        <w:rPr>
          <w:rStyle w:val="aff4"/>
          <w:rFonts w:hint="cs"/>
          <w:rtl/>
        </w:rPr>
        <w:t>והרמב"ם</w:t>
      </w:r>
      <w:r w:rsidRPr="00EA48D3">
        <w:rPr>
          <w:rStyle w:val="aff4"/>
          <w:rFonts w:hint="cs"/>
          <w:vanish/>
          <w:rtl/>
        </w:rPr>
        <w:t>-</w:t>
      </w:r>
      <w:r w:rsidRPr="00EA48D3">
        <w:rPr>
          <w:rFonts w:hint="cs"/>
          <w:rtl/>
        </w:rPr>
        <w:t xml:space="preserve"> </w:t>
      </w:r>
      <w:r w:rsidRPr="00EA48D3">
        <w:rPr>
          <w:rStyle w:val="af2"/>
          <w:rFonts w:eastAsia="Guttman Hodes" w:hint="cs"/>
          <w:rtl/>
        </w:rPr>
        <w:t xml:space="preserve">(עי' אות </w:t>
      </w:r>
      <w:r w:rsidRPr="00EA48D3">
        <w:rPr>
          <w:rStyle w:val="af2"/>
          <w:rFonts w:eastAsia="Guttman Hodes"/>
          <w:rtl/>
        </w:rPr>
        <w:fldChar w:fldCharType="begin"/>
      </w:r>
      <w:r w:rsidRPr="00EA48D3">
        <w:rPr>
          <w:rStyle w:val="af2"/>
          <w:rFonts w:eastAsia="Guttman Hodes"/>
          <w:rtl/>
        </w:rPr>
        <w:instrText xml:space="preserve"> </w:instrText>
      </w:r>
      <w:r w:rsidRPr="00EA48D3">
        <w:rPr>
          <w:rStyle w:val="af2"/>
          <w:rFonts w:eastAsia="Guttman Hodes" w:hint="cs"/>
        </w:rPr>
        <w:instrText>REF</w:instrText>
      </w:r>
      <w:r w:rsidRPr="00EA48D3">
        <w:rPr>
          <w:rStyle w:val="af2"/>
          <w:rFonts w:eastAsia="Guttman Hodes" w:hint="cs"/>
          <w:rtl/>
        </w:rPr>
        <w:instrText xml:space="preserve"> _</w:instrText>
      </w:r>
      <w:r w:rsidRPr="00EA48D3">
        <w:rPr>
          <w:rStyle w:val="af2"/>
          <w:rFonts w:eastAsia="Guttman Hodes" w:hint="cs"/>
        </w:rPr>
        <w:instrText>Ref133477286 \r \h</w:instrText>
      </w:r>
      <w:r w:rsidRPr="00EA48D3">
        <w:rPr>
          <w:rStyle w:val="af2"/>
          <w:rFonts w:eastAsia="Guttman Hodes"/>
          <w:rtl/>
        </w:rPr>
        <w:instrText xml:space="preserve"> </w:instrText>
      </w:r>
      <w:r w:rsidRPr="00EA48D3">
        <w:rPr>
          <w:rStyle w:val="af2"/>
          <w:rFonts w:eastAsia="Guttman Hodes"/>
          <w:rtl/>
        </w:rPr>
      </w:r>
      <w:r w:rsidRPr="00EA48D3">
        <w:rPr>
          <w:rStyle w:val="af2"/>
          <w:rFonts w:eastAsia="Guttman Hodes"/>
          <w:rtl/>
        </w:rPr>
        <w:fldChar w:fldCharType="separate"/>
      </w:r>
      <w:r w:rsidR="00D82181">
        <w:rPr>
          <w:rStyle w:val="af2"/>
          <w:rFonts w:eastAsia="Guttman Hodes"/>
          <w:cs/>
        </w:rPr>
        <w:t>‎</w:t>
      </w:r>
      <w:r w:rsidR="00D82181">
        <w:rPr>
          <w:rStyle w:val="af2"/>
          <w:rFonts w:eastAsia="Guttman Hodes"/>
          <w:rtl/>
        </w:rPr>
        <w:t>כט)</w:t>
      </w:r>
      <w:r w:rsidRPr="00EA48D3">
        <w:rPr>
          <w:rStyle w:val="af2"/>
          <w:rFonts w:eastAsia="Guttman Hodes"/>
          <w:rtl/>
        </w:rPr>
        <w:fldChar w:fldCharType="end"/>
      </w:r>
      <w:r w:rsidRPr="00EA48D3">
        <w:rPr>
          <w:rFonts w:hint="cs"/>
          <w:rtl/>
        </w:rPr>
        <w:t xml:space="preserve"> דנוטע הוא אב מלאכה, מבואר דאעפ"י דבמשכן רק זרעו למסממנין או חיטין למלאכות, ולא נטעו במשכן דאין נטיעה לצורך הסממנין, מ"מ הוי אב, </w:t>
      </w:r>
      <w:r w:rsidRPr="00EA48D3">
        <w:rPr>
          <w:rStyle w:val="af"/>
          <w:rFonts w:hint="cs"/>
          <w:rtl/>
        </w:rPr>
        <w:t xml:space="preserve">[אבל לדעת </w:t>
      </w:r>
      <w:r w:rsidRPr="00EA48D3">
        <w:rPr>
          <w:rStyle w:val="aff9"/>
          <w:rFonts w:hint="cs"/>
          <w:vanish/>
          <w:rtl/>
        </w:rPr>
        <w:t>-</w:t>
      </w:r>
      <w:r w:rsidRPr="00EA48D3">
        <w:rPr>
          <w:rStyle w:val="aff9"/>
          <w:rFonts w:hint="cs"/>
          <w:rtl/>
        </w:rPr>
        <w:t>ר"ח ורה"ג</w:t>
      </w:r>
      <w:r w:rsidRPr="00EA48D3">
        <w:rPr>
          <w:rStyle w:val="aff9"/>
          <w:rFonts w:hint="cs"/>
          <w:vanish/>
          <w:rtl/>
        </w:rPr>
        <w:t>-</w:t>
      </w:r>
      <w:r w:rsidRPr="00EA48D3">
        <w:rPr>
          <w:rStyle w:val="af"/>
          <w:rFonts w:hint="cs"/>
          <w:rtl/>
        </w:rPr>
        <w:t xml:space="preserve"> כתב </w:t>
      </w:r>
      <w:r w:rsidRPr="00EA48D3">
        <w:rPr>
          <w:rStyle w:val="aff9"/>
          <w:rFonts w:hint="cs"/>
          <w:vanish/>
          <w:rtl/>
        </w:rPr>
        <w:t>-</w:t>
      </w:r>
      <w:r w:rsidRPr="00EA48D3">
        <w:rPr>
          <w:rStyle w:val="aff9"/>
          <w:rFonts w:hint="cs"/>
          <w:rtl/>
        </w:rPr>
        <w:t>האגלי טל</w:t>
      </w:r>
      <w:r w:rsidRPr="00EA48D3">
        <w:rPr>
          <w:rStyle w:val="aff9"/>
          <w:rFonts w:hint="cs"/>
          <w:vanish/>
          <w:rtl/>
        </w:rPr>
        <w:t>-</w:t>
      </w:r>
      <w:r w:rsidRPr="00EA48D3">
        <w:rPr>
          <w:rStyle w:val="af"/>
          <w:rFonts w:hint="cs"/>
          <w:rtl/>
        </w:rPr>
        <w:t xml:space="preserve"> </w:t>
      </w:r>
      <w:r w:rsidRPr="00EA48D3">
        <w:rPr>
          <w:rStyle w:val="aff5"/>
          <w:rFonts w:hint="cs"/>
          <w:rtl/>
        </w:rPr>
        <w:t>(זורע סק"ו)</w:t>
      </w:r>
      <w:r w:rsidRPr="00EA48D3">
        <w:rPr>
          <w:rStyle w:val="af"/>
          <w:rFonts w:hint="cs"/>
          <w:rtl/>
        </w:rPr>
        <w:t xml:space="preserve"> דנוטע היה במשכן דנטעו אילנות לשמן ונסכים לצורך המנחות],</w:t>
      </w:r>
      <w:r w:rsidRPr="00EA48D3">
        <w:rPr>
          <w:rFonts w:hint="cs"/>
          <w:rtl/>
        </w:rPr>
        <w:t xml:space="preserve"> והקשה</w:t>
      </w:r>
      <w:r w:rsidRPr="00EA48D3">
        <w:rPr>
          <w:rStyle w:val="aff4"/>
          <w:rFonts w:hint="cs"/>
          <w:rtl/>
        </w:rPr>
        <w:t xml:space="preserve"> </w:t>
      </w:r>
      <w:r w:rsidRPr="00EA48D3">
        <w:rPr>
          <w:rStyle w:val="aff4"/>
          <w:rFonts w:hint="cs"/>
          <w:vanish/>
          <w:rtl/>
        </w:rPr>
        <w:t>-</w:t>
      </w:r>
      <w:r w:rsidRPr="00EA48D3">
        <w:rPr>
          <w:rStyle w:val="aff4"/>
          <w:rFonts w:hint="cs"/>
          <w:rtl/>
        </w:rPr>
        <w:t>האגלי טל</w:t>
      </w:r>
      <w:r w:rsidRPr="00EA48D3">
        <w:rPr>
          <w:rStyle w:val="aff4"/>
          <w:rFonts w:hint="cs"/>
          <w:vanish/>
          <w:rtl/>
        </w:rPr>
        <w:t>-</w:t>
      </w:r>
      <w:r w:rsidRPr="00EA48D3">
        <w:rPr>
          <w:rFonts w:hint="cs"/>
          <w:rtl/>
        </w:rPr>
        <w:t xml:space="preserve"> דא"כ אף בוצר הוא אב דקוצר, והא איתא בגמ' במו"ק </w:t>
      </w:r>
      <w:r w:rsidRPr="00EA48D3">
        <w:rPr>
          <w:rStyle w:val="af2"/>
          <w:rFonts w:eastAsia="Guttman Hodes" w:hint="cs"/>
          <w:rtl/>
        </w:rPr>
        <w:t>(ג.)</w:t>
      </w:r>
      <w:r w:rsidRPr="00EA48D3">
        <w:rPr>
          <w:rFonts w:hint="cs"/>
          <w:rtl/>
        </w:rPr>
        <w:t xml:space="preserve"> דלענין שביעית בוצר הוא תולדה.</w:t>
      </w:r>
      <w:bookmarkEnd w:id="343"/>
    </w:p>
    <w:p w14:paraId="19E1C961" w14:textId="77777777" w:rsidR="009623A2" w:rsidRPr="00747170" w:rsidRDefault="009623A2" w:rsidP="00747170">
      <w:pPr>
        <w:pStyle w:val="a2"/>
        <w:rPr>
          <w:rtl/>
        </w:rPr>
      </w:pPr>
      <w:r w:rsidRPr="00747170">
        <w:rPr>
          <w:rtl/>
        </w:rPr>
        <w:t xml:space="preserve">[א] אחד הזורע זרעים. כבר כתבנו בהפתיחה [אות ד'] שיטת רש"י ורמב"ם שזריעה היה במשכן לצורך הסממנין לצבוע בהן תכלת וארגמן ותולעת שני. ולרב האי והר"ח היה לצורך מנחות: </w:t>
      </w:r>
    </w:p>
    <w:p w14:paraId="05F744DD" w14:textId="77777777" w:rsidR="009623A2" w:rsidRPr="00EA48D3" w:rsidRDefault="009623A2" w:rsidP="00747170">
      <w:pPr>
        <w:pStyle w:val="afffff5"/>
        <w:rPr>
          <w:rtl/>
        </w:rPr>
      </w:pPr>
      <w:r w:rsidRPr="00EA48D3">
        <w:rPr>
          <w:rtl/>
        </w:rPr>
        <w:t>[ב] (א) ש"ס מכילתין ע"ג: תנא הזורע והזומר והנוטע והמבריך והמרכיב כולם מלאכה אחת הן. [פירש"י דזומר נמי לצמוחי אילנא הוא ונפקא מינה וכו' זורע אב מלאכה ונוטע נמי אב מלאכה הוא דהיינו זורע אלא שזה בזרעים וזה באילנות וכן מבריך ומרכיב אבל זומר תולדה] עוד שם אמר רב חייא בר אשי א"ר אמי זומר חייב משום נוטע והנוטע והמבריך והמרכיב חייב משום זורע [פירש"י חייב משום זורע כלומר אינהו נמי זורע הן זה אב בזרעים וזה אב באילנות] משום זורע אין משום נוטע לא [פירש"י אמבריך ומרכיב קאי] אימא אף משום זורע [פירש"י דהך זריעה באילנות ואי עביד ליה בהדי זורע מיחייב חדא ותו לא] ע"כ סוגיית הגמ'. והנה מפורש בדברי רש"י דנוטע הוא אב מלאכה אף דבמשכן לא היה רק זריעת סממנין או חיטין למנחות כמבואר בסק"א. וכן הוא ברמב"ם פ"ז מהל' שבת הלכה ג' וכן הזורע זרעים או הנוטע אילנות או המבריך אילנות או המרכיב או הזומר כל אלו אב אחד הן מאבות מלאכות וענין אחד הוא שכל אחת מהן לצמח דבר הוא מתכוין עכ"ל:</w:t>
      </w:r>
    </w:p>
    <w:p w14:paraId="7A1995B8" w14:textId="77777777" w:rsidR="009623A2" w:rsidRPr="00EA48D3" w:rsidRDefault="009623A2" w:rsidP="00747170">
      <w:pPr>
        <w:pStyle w:val="afffff5"/>
        <w:rPr>
          <w:rtl/>
        </w:rPr>
      </w:pPr>
      <w:r w:rsidRPr="00EA48D3">
        <w:rPr>
          <w:rtl/>
        </w:rPr>
        <w:t>(ב) ולפי"ז נראה דה"ה הבוצר פירות מאילן הוא נמי אב מלאכה כמו קוצר. אמנם במ"ק ג'. איתא מכדי בצירה בכלל קצירה זמירה בכלל זריעה למה ליה דכתבינהו רחמנא [גבי שביעית] למימרא דאהני תולדות מחייב אאחרנייתא לא מחייב. הרי דבצירה נמי תולדה היא. ולכאורה קשה מ"ש מנוטע דחשיב אב:</w:t>
      </w:r>
    </w:p>
    <w:p w14:paraId="42919FF7" w14:textId="2BFA8889" w:rsidR="009623A2" w:rsidRPr="00EA48D3" w:rsidRDefault="009623A2" w:rsidP="009623A2">
      <w:pPr>
        <w:pStyle w:val="a7"/>
        <w:rPr>
          <w:rtl/>
        </w:rPr>
      </w:pPr>
      <w:bookmarkStart w:id="344" w:name="_Toc134419652"/>
      <w:r w:rsidRPr="00EA48D3">
        <w:rPr>
          <w:rFonts w:hint="cs"/>
          <w:rtl/>
        </w:rPr>
        <w:t>בי' האגל"ט דנוטע שתוחבו בקרקע עצמה הוי אב כזורע ואילו בצירה היא מהאילן ולא מהקרקע</w:t>
      </w:r>
      <w:bookmarkEnd w:id="344"/>
    </w:p>
    <w:p w14:paraId="67B2A4C3" w14:textId="77777777" w:rsidR="009623A2" w:rsidRPr="00EA48D3" w:rsidRDefault="009623A2" w:rsidP="00BC7DC8">
      <w:pPr>
        <w:pStyle w:val="a3"/>
        <w:rPr>
          <w:rtl/>
        </w:rPr>
      </w:pPr>
      <w:r w:rsidRPr="00EA48D3">
        <w:rPr>
          <w:rFonts w:hint="cs"/>
          <w:rtl/>
        </w:rPr>
        <w:t xml:space="preserve">והביא </w:t>
      </w:r>
      <w:r w:rsidRPr="00EA48D3">
        <w:rPr>
          <w:rStyle w:val="aff4"/>
          <w:rFonts w:hint="cs"/>
          <w:vanish/>
          <w:rtl/>
        </w:rPr>
        <w:t>-</w:t>
      </w:r>
      <w:r w:rsidRPr="00EA48D3">
        <w:rPr>
          <w:rStyle w:val="aff4"/>
          <w:rFonts w:hint="cs"/>
          <w:rtl/>
        </w:rPr>
        <w:t>האגלי טל</w:t>
      </w:r>
      <w:r w:rsidRPr="00EA48D3">
        <w:rPr>
          <w:rStyle w:val="aff4"/>
          <w:rFonts w:hint="cs"/>
          <w:vanish/>
          <w:rtl/>
        </w:rPr>
        <w:t>-</w:t>
      </w:r>
      <w:r w:rsidRPr="00EA48D3">
        <w:rPr>
          <w:rFonts w:hint="cs"/>
          <w:rtl/>
        </w:rPr>
        <w:t xml:space="preserve"> דבהא דאמרינן בגמ' לקמן </w:t>
      </w:r>
      <w:r w:rsidRPr="00EA48D3">
        <w:rPr>
          <w:rStyle w:val="af2"/>
          <w:rFonts w:eastAsia="Guttman Hodes" w:hint="cs"/>
          <w:rtl/>
        </w:rPr>
        <w:t>(קז:)</w:t>
      </w:r>
      <w:r w:rsidRPr="00EA48D3">
        <w:rPr>
          <w:rFonts w:hint="cs"/>
          <w:rtl/>
        </w:rPr>
        <w:t xml:space="preserve"> דהמדלדל עובר במעי בהמה חייב דעוקר דבר מגידולו כמו תולש כשותא מהיזמי והיגי, כתב </w:t>
      </w:r>
      <w:r w:rsidRPr="00EA48D3">
        <w:rPr>
          <w:rStyle w:val="aff4"/>
          <w:rFonts w:hint="cs"/>
          <w:vanish/>
          <w:rtl/>
        </w:rPr>
        <w:t>-</w:t>
      </w:r>
      <w:r w:rsidRPr="00EA48D3">
        <w:rPr>
          <w:rStyle w:val="aff4"/>
          <w:rFonts w:hint="cs"/>
          <w:rtl/>
        </w:rPr>
        <w:t>הרמב"ן לקמן</w:t>
      </w:r>
      <w:r w:rsidRPr="00EA48D3">
        <w:rPr>
          <w:rStyle w:val="aff4"/>
          <w:rFonts w:hint="cs"/>
          <w:vanish/>
          <w:rtl/>
        </w:rPr>
        <w:t>-</w:t>
      </w:r>
      <w:r w:rsidRPr="00EA48D3">
        <w:rPr>
          <w:rFonts w:hint="cs"/>
          <w:rtl/>
        </w:rPr>
        <w:t xml:space="preserve"> </w:t>
      </w:r>
      <w:r w:rsidRPr="00EA48D3">
        <w:rPr>
          <w:rStyle w:val="af2"/>
          <w:rFonts w:eastAsia="Guttman Hodes" w:hint="cs"/>
          <w:rtl/>
        </w:rPr>
        <w:t>(קז: ד"ה הא)</w:t>
      </w:r>
      <w:r w:rsidRPr="00EA48D3">
        <w:rPr>
          <w:rFonts w:hint="cs"/>
          <w:rtl/>
        </w:rPr>
        <w:t xml:space="preserve"> דאף דהעובר אין לו חיות בפנ"ע ותלוי באמו, מ"מ חשיב עוקר דבר מגידולו, כמו הכשותא דאינו יונק מהקרקע אלא מההיזמי, וכתב </w:t>
      </w:r>
      <w:r w:rsidRPr="00EA48D3">
        <w:rPr>
          <w:rStyle w:val="aff4"/>
          <w:rFonts w:hint="cs"/>
          <w:vanish/>
          <w:rtl/>
        </w:rPr>
        <w:t>-</w:t>
      </w:r>
      <w:r w:rsidRPr="00EA48D3">
        <w:rPr>
          <w:rStyle w:val="aff4"/>
          <w:rFonts w:hint="cs"/>
          <w:rtl/>
        </w:rPr>
        <w:t>האגלי טל</w:t>
      </w:r>
      <w:r w:rsidRPr="00EA48D3">
        <w:rPr>
          <w:rStyle w:val="aff4"/>
          <w:rFonts w:hint="cs"/>
          <w:vanish/>
          <w:rtl/>
        </w:rPr>
        <w:t>-</w:t>
      </w:r>
      <w:r w:rsidRPr="00EA48D3">
        <w:rPr>
          <w:rFonts w:hint="cs"/>
          <w:rtl/>
        </w:rPr>
        <w:t xml:space="preserve"> דלפי"ז אפש"ל דנוטע שהוא תוחב את את היחור בקרקע עצמה, לכן הוי אב, אבל בוצר שהוא בוצר את הענבים מהאילן ולא מהקרקע עצמה, לכן הוי תולדה.</w:t>
      </w:r>
    </w:p>
    <w:p w14:paraId="4B67CB78" w14:textId="77777777" w:rsidR="009623A2" w:rsidRPr="00747170" w:rsidRDefault="009623A2" w:rsidP="00747170">
      <w:pPr>
        <w:pStyle w:val="a2"/>
        <w:rPr>
          <w:rtl/>
        </w:rPr>
      </w:pPr>
      <w:r w:rsidRPr="00747170">
        <w:rPr>
          <w:rtl/>
        </w:rPr>
        <w:t>(ג) ונראה לי ע"פ מ"ש בחידושי הר"ן [הוא הנדפס בטעות על שם חידושי הריטב"א ובאמת היא שיטה להר"ן] בשם הרמב"ן לקמן ק"ז: בהא דדלדל עובר שבמעיה חייב משום עוקר דבר מגידולו לאו אמר רב ששת האי מאן דתלש כשותא מהיזמי והיגי חייב משום עוקר דבר מגידולו ה"נ כו' ופי' הרמב"ן דדלדל עובר חיוביה משום נטילת נשמה. אלא דה"א דאין חיוב נטילת נשמה אלא בדבר שחיותו מעצמו ולא בדבר שתלוי בחיות אמו. ע"כ הוכיח מתולש כשותא מהיזמי אף שחיות היזמי מארעא ואי שקיל היזמי מארעא מיית כשותא. ואינו דומה לקוצר מקרקע שחיות הקרקע מעצמו ואינו יונק מאחר אעפ"כ חייב ה"נ כיוצא בו ע"ש. וע"כ שפיר יש לחלק בין נוטע לבוצר דבוצר מאילן אינו דומה לקוצר כיון דאילן אין חיותו מעצמו אלא שיונק מארץ ע"כ חשוב רק תולדה כשאר עוקר דבר מגידולו. מה שאין כן נוטע שתוחב היחור בארץ ודומה ממש לזורע חשוב אב:</w:t>
      </w:r>
    </w:p>
    <w:p w14:paraId="67F59362" w14:textId="7CC972FE" w:rsidR="009623A2" w:rsidRPr="00EA48D3" w:rsidRDefault="009623A2" w:rsidP="009623A2">
      <w:pPr>
        <w:pStyle w:val="1"/>
        <w:rPr>
          <w:rtl/>
        </w:rPr>
      </w:pPr>
      <w:bookmarkStart w:id="345" w:name="_Toc134419653"/>
      <w:r w:rsidRPr="00EA48D3">
        <w:rPr>
          <w:rFonts w:hint="cs"/>
          <w:rtl/>
        </w:rPr>
        <w:t>בי' אגל"ט דנוטע עצי סרק אב דזורע אף לסוברים דנוטע תולדה</w:t>
      </w:r>
      <w:bookmarkEnd w:id="345"/>
    </w:p>
    <w:p w14:paraId="5323F9CE" w14:textId="77777777" w:rsidR="009623A2" w:rsidRPr="00EA48D3" w:rsidRDefault="009623A2" w:rsidP="009623A2">
      <w:pPr>
        <w:pStyle w:val="afffff7"/>
        <w:rPr>
          <w:rtl/>
        </w:rPr>
      </w:pPr>
      <w:bookmarkStart w:id="346" w:name="_Toc133841675"/>
      <w:bookmarkStart w:id="347" w:name="_Toc163505423"/>
      <w:r w:rsidRPr="00EA48D3">
        <w:rPr>
          <w:rtl/>
        </w:rPr>
        <w:t xml:space="preserve">אגלי טל באורים מלאכת זורע </w:t>
      </w:r>
      <w:r w:rsidRPr="00EA48D3">
        <w:rPr>
          <w:rFonts w:hint="cs"/>
          <w:rtl/>
        </w:rPr>
        <w:t>סק"</w:t>
      </w:r>
      <w:r w:rsidRPr="00EA48D3">
        <w:rPr>
          <w:rtl/>
        </w:rPr>
        <w:t>ו</w:t>
      </w:r>
      <w:bookmarkEnd w:id="346"/>
      <w:bookmarkEnd w:id="347"/>
    </w:p>
    <w:p w14:paraId="2633408F" w14:textId="77777777" w:rsidR="009623A2" w:rsidRPr="00EA48D3" w:rsidRDefault="009623A2" w:rsidP="009623A2">
      <w:pPr>
        <w:pStyle w:val="a7"/>
        <w:rPr>
          <w:rtl/>
        </w:rPr>
      </w:pPr>
      <w:bookmarkStart w:id="348" w:name="_Toc134419654"/>
      <w:r w:rsidRPr="00EA48D3">
        <w:rPr>
          <w:rFonts w:hint="cs"/>
          <w:rtl/>
        </w:rPr>
        <w:t>בי' האגל"ט דלסוברים דתולדה הוא נוטע צ"ל דרק מלאכות שנעשו אחר ציווי המשכן הם אבות</w:t>
      </w:r>
      <w:bookmarkEnd w:id="348"/>
    </w:p>
    <w:p w14:paraId="174076EF" w14:textId="044875DA" w:rsidR="009623A2" w:rsidRPr="00EA48D3" w:rsidRDefault="009623A2" w:rsidP="00BC7DC8">
      <w:pPr>
        <w:pStyle w:val="a3"/>
        <w:rPr>
          <w:rtl/>
        </w:rPr>
      </w:pPr>
      <w:bookmarkStart w:id="349" w:name="_Ref133575262"/>
      <w:r w:rsidRPr="00EA48D3">
        <w:rPr>
          <w:rFonts w:hint="cs"/>
          <w:rtl/>
        </w:rPr>
        <w:t xml:space="preserve">בדעת </w:t>
      </w:r>
      <w:r w:rsidRPr="00EA48D3">
        <w:rPr>
          <w:rStyle w:val="aff4"/>
          <w:rFonts w:hint="cs"/>
          <w:vanish/>
          <w:rtl/>
        </w:rPr>
        <w:t>-</w:t>
      </w:r>
      <w:r w:rsidRPr="00EA48D3">
        <w:rPr>
          <w:rStyle w:val="aff4"/>
          <w:rFonts w:hint="cs"/>
          <w:rtl/>
        </w:rPr>
        <w:t>הסוברים</w:t>
      </w:r>
      <w:r w:rsidRPr="00EA48D3">
        <w:rPr>
          <w:rStyle w:val="aff4"/>
          <w:rFonts w:hint="cs"/>
          <w:vanish/>
          <w:rtl/>
        </w:rPr>
        <w:t>-</w:t>
      </w:r>
      <w:r w:rsidRPr="00EA48D3">
        <w:rPr>
          <w:rFonts w:hint="cs"/>
          <w:rtl/>
        </w:rPr>
        <w:t xml:space="preserve"> </w:t>
      </w:r>
      <w:r w:rsidRPr="00EA48D3">
        <w:rPr>
          <w:rStyle w:val="af"/>
          <w:rFonts w:hint="cs"/>
          <w:rtl/>
        </w:rPr>
        <w:t>[</w:t>
      </w:r>
      <w:r w:rsidRPr="00EA48D3">
        <w:rPr>
          <w:rStyle w:val="aff9"/>
          <w:rFonts w:hint="cs"/>
          <w:vanish/>
          <w:rtl/>
        </w:rPr>
        <w:t>-</w:t>
      </w:r>
      <w:r w:rsidRPr="00EA48D3">
        <w:rPr>
          <w:rStyle w:val="aff9"/>
          <w:rFonts w:hint="cs"/>
          <w:rtl/>
        </w:rPr>
        <w:t>ר"ח</w:t>
      </w:r>
      <w:r w:rsidRPr="00EA48D3">
        <w:rPr>
          <w:rStyle w:val="aff9"/>
          <w:rFonts w:hint="cs"/>
          <w:vanish/>
          <w:rtl/>
        </w:rPr>
        <w:t>-</w:t>
      </w:r>
      <w:r w:rsidRPr="00EA48D3">
        <w:rPr>
          <w:rStyle w:val="af"/>
          <w:rFonts w:hint="cs"/>
          <w:rtl/>
        </w:rPr>
        <w:t xml:space="preserve"> </w:t>
      </w:r>
      <w:r w:rsidRPr="00EA48D3">
        <w:rPr>
          <w:rStyle w:val="aff5"/>
          <w:rFonts w:hint="cs"/>
          <w:rtl/>
        </w:rPr>
        <w:t xml:space="preserve">(עי' אות </w:t>
      </w:r>
      <w:r w:rsidRPr="00EA48D3">
        <w:rPr>
          <w:rStyle w:val="aff5"/>
          <w:rtl/>
        </w:rPr>
        <w:fldChar w:fldCharType="begin"/>
      </w:r>
      <w:r w:rsidRPr="00EA48D3">
        <w:rPr>
          <w:rStyle w:val="aff5"/>
          <w:rtl/>
        </w:rPr>
        <w:instrText xml:space="preserve"> </w:instrText>
      </w:r>
      <w:r w:rsidRPr="00EA48D3">
        <w:rPr>
          <w:rStyle w:val="aff5"/>
          <w:rFonts w:hint="cs"/>
        </w:rPr>
        <w:instrText>REF</w:instrText>
      </w:r>
      <w:r w:rsidRPr="00EA48D3">
        <w:rPr>
          <w:rStyle w:val="aff5"/>
          <w:rFonts w:hint="cs"/>
          <w:rtl/>
        </w:rPr>
        <w:instrText xml:space="preserve"> _</w:instrText>
      </w:r>
      <w:r w:rsidRPr="00EA48D3">
        <w:rPr>
          <w:rStyle w:val="aff5"/>
          <w:rFonts w:hint="cs"/>
        </w:rPr>
        <w:instrText>Ref133823688 \r \h</w:instrText>
      </w:r>
      <w:r w:rsidRPr="00EA48D3">
        <w:rPr>
          <w:rStyle w:val="aff5"/>
          <w:rtl/>
        </w:rPr>
        <w:instrText xml:space="preserve"> </w:instrText>
      </w:r>
      <w:r w:rsidRPr="00EA48D3">
        <w:rPr>
          <w:rStyle w:val="aff5"/>
          <w:rtl/>
        </w:rPr>
      </w:r>
      <w:r w:rsidRPr="00EA48D3">
        <w:rPr>
          <w:rStyle w:val="aff5"/>
          <w:rtl/>
        </w:rPr>
        <w:fldChar w:fldCharType="separate"/>
      </w:r>
      <w:r w:rsidR="00D82181">
        <w:rPr>
          <w:rStyle w:val="aff5"/>
          <w:cs/>
        </w:rPr>
        <w:t>‎</w:t>
      </w:r>
      <w:r w:rsidR="00D82181">
        <w:rPr>
          <w:rStyle w:val="aff5"/>
          <w:rtl/>
        </w:rPr>
        <w:t>נג)</w:t>
      </w:r>
      <w:r w:rsidRPr="00EA48D3">
        <w:rPr>
          <w:rStyle w:val="aff5"/>
          <w:rtl/>
        </w:rPr>
        <w:fldChar w:fldCharType="end"/>
      </w:r>
      <w:r w:rsidRPr="00EA48D3">
        <w:rPr>
          <w:rStyle w:val="af"/>
          <w:rFonts w:hint="cs"/>
          <w:rtl/>
        </w:rPr>
        <w:t xml:space="preserve"> </w:t>
      </w:r>
      <w:r w:rsidRPr="00EA48D3">
        <w:rPr>
          <w:rStyle w:val="aff9"/>
          <w:rFonts w:hint="cs"/>
          <w:vanish/>
          <w:rtl/>
        </w:rPr>
        <w:t>-</w:t>
      </w:r>
      <w:r w:rsidRPr="00EA48D3">
        <w:rPr>
          <w:rStyle w:val="aff9"/>
          <w:rFonts w:hint="cs"/>
          <w:rtl/>
        </w:rPr>
        <w:t>רמ"ך</w:t>
      </w:r>
      <w:r w:rsidRPr="00EA48D3">
        <w:rPr>
          <w:rStyle w:val="aff9"/>
          <w:rFonts w:hint="cs"/>
          <w:vanish/>
          <w:rtl/>
        </w:rPr>
        <w:t>-</w:t>
      </w:r>
      <w:r w:rsidRPr="00EA48D3">
        <w:rPr>
          <w:rStyle w:val="af"/>
          <w:rFonts w:hint="cs"/>
          <w:rtl/>
        </w:rPr>
        <w:t xml:space="preserve"> </w:t>
      </w:r>
      <w:r w:rsidRPr="00EA48D3">
        <w:rPr>
          <w:rStyle w:val="aff5"/>
          <w:rFonts w:hint="cs"/>
          <w:rtl/>
        </w:rPr>
        <w:t xml:space="preserve">(עי' אות </w:t>
      </w:r>
      <w:r w:rsidRPr="00EA48D3">
        <w:rPr>
          <w:rStyle w:val="aff5"/>
          <w:rtl/>
        </w:rPr>
        <w:fldChar w:fldCharType="begin"/>
      </w:r>
      <w:r w:rsidRPr="00EA48D3">
        <w:rPr>
          <w:rStyle w:val="aff5"/>
          <w:rtl/>
        </w:rPr>
        <w:instrText xml:space="preserve"> </w:instrText>
      </w:r>
      <w:r w:rsidRPr="00EA48D3">
        <w:rPr>
          <w:rStyle w:val="aff5"/>
          <w:rFonts w:hint="cs"/>
        </w:rPr>
        <w:instrText>REF</w:instrText>
      </w:r>
      <w:r w:rsidRPr="00EA48D3">
        <w:rPr>
          <w:rStyle w:val="aff5"/>
          <w:rFonts w:hint="cs"/>
          <w:rtl/>
        </w:rPr>
        <w:instrText xml:space="preserve"> _</w:instrText>
      </w:r>
      <w:r w:rsidRPr="00EA48D3">
        <w:rPr>
          <w:rStyle w:val="aff5"/>
          <w:rFonts w:hint="cs"/>
        </w:rPr>
        <w:instrText>Ref133823439 \r \h</w:instrText>
      </w:r>
      <w:r w:rsidRPr="00EA48D3">
        <w:rPr>
          <w:rStyle w:val="aff5"/>
          <w:rtl/>
        </w:rPr>
        <w:instrText xml:space="preserve"> </w:instrText>
      </w:r>
      <w:r w:rsidRPr="00EA48D3">
        <w:rPr>
          <w:rStyle w:val="aff5"/>
          <w:rtl/>
        </w:rPr>
      </w:r>
      <w:r w:rsidRPr="00EA48D3">
        <w:rPr>
          <w:rStyle w:val="aff5"/>
          <w:rtl/>
        </w:rPr>
        <w:fldChar w:fldCharType="separate"/>
      </w:r>
      <w:r w:rsidR="00D82181">
        <w:rPr>
          <w:rStyle w:val="aff5"/>
          <w:cs/>
        </w:rPr>
        <w:t>‎</w:t>
      </w:r>
      <w:r w:rsidR="00D82181">
        <w:rPr>
          <w:rStyle w:val="aff5"/>
          <w:rtl/>
        </w:rPr>
        <w:t>נז)</w:t>
      </w:r>
      <w:r w:rsidRPr="00EA48D3">
        <w:rPr>
          <w:rStyle w:val="aff5"/>
          <w:rtl/>
        </w:rPr>
        <w:fldChar w:fldCharType="end"/>
      </w:r>
      <w:r w:rsidRPr="00EA48D3">
        <w:rPr>
          <w:rStyle w:val="af"/>
          <w:rFonts w:hint="cs"/>
          <w:rtl/>
        </w:rPr>
        <w:t xml:space="preserve"> </w:t>
      </w:r>
      <w:r w:rsidRPr="00EA48D3">
        <w:rPr>
          <w:rStyle w:val="aff9"/>
          <w:rFonts w:hint="cs"/>
          <w:vanish/>
          <w:rtl/>
        </w:rPr>
        <w:t>-</w:t>
      </w:r>
      <w:r w:rsidRPr="00EA48D3">
        <w:rPr>
          <w:rStyle w:val="aff9"/>
          <w:rFonts w:hint="cs"/>
          <w:rtl/>
        </w:rPr>
        <w:t>יראים</w:t>
      </w:r>
      <w:r w:rsidRPr="00EA48D3">
        <w:rPr>
          <w:rStyle w:val="aff9"/>
          <w:rFonts w:hint="cs"/>
          <w:vanish/>
          <w:rtl/>
        </w:rPr>
        <w:t>-</w:t>
      </w:r>
      <w:r w:rsidRPr="00EA48D3">
        <w:rPr>
          <w:rStyle w:val="af"/>
          <w:rFonts w:hint="cs"/>
          <w:rtl/>
        </w:rPr>
        <w:t xml:space="preserve"> </w:t>
      </w:r>
      <w:r w:rsidRPr="00EA48D3">
        <w:rPr>
          <w:rStyle w:val="aff5"/>
          <w:rFonts w:hint="cs"/>
          <w:rtl/>
        </w:rPr>
        <w:t xml:space="preserve">(עי' אות </w:t>
      </w:r>
      <w:r w:rsidRPr="00EA48D3">
        <w:rPr>
          <w:rStyle w:val="aff5"/>
          <w:rtl/>
        </w:rPr>
        <w:fldChar w:fldCharType="begin"/>
      </w:r>
      <w:r w:rsidRPr="00EA48D3">
        <w:rPr>
          <w:rStyle w:val="aff5"/>
          <w:rtl/>
        </w:rPr>
        <w:instrText xml:space="preserve"> </w:instrText>
      </w:r>
      <w:r w:rsidRPr="00EA48D3">
        <w:rPr>
          <w:rStyle w:val="aff5"/>
          <w:rFonts w:hint="cs"/>
        </w:rPr>
        <w:instrText>REF</w:instrText>
      </w:r>
      <w:r w:rsidRPr="00EA48D3">
        <w:rPr>
          <w:rStyle w:val="aff5"/>
          <w:rFonts w:hint="cs"/>
          <w:rtl/>
        </w:rPr>
        <w:instrText xml:space="preserve"> _</w:instrText>
      </w:r>
      <w:r w:rsidRPr="00EA48D3">
        <w:rPr>
          <w:rStyle w:val="aff5"/>
          <w:rFonts w:hint="cs"/>
        </w:rPr>
        <w:instrText>Ref133519169 \r \h</w:instrText>
      </w:r>
      <w:r w:rsidRPr="00EA48D3">
        <w:rPr>
          <w:rStyle w:val="aff5"/>
          <w:rtl/>
        </w:rPr>
        <w:instrText xml:space="preserve"> </w:instrText>
      </w:r>
      <w:r w:rsidRPr="00EA48D3">
        <w:rPr>
          <w:rStyle w:val="aff5"/>
          <w:rtl/>
        </w:rPr>
      </w:r>
      <w:r w:rsidRPr="00EA48D3">
        <w:rPr>
          <w:rStyle w:val="aff5"/>
          <w:rtl/>
        </w:rPr>
        <w:fldChar w:fldCharType="separate"/>
      </w:r>
      <w:r w:rsidR="00D82181">
        <w:rPr>
          <w:rStyle w:val="aff5"/>
          <w:cs/>
        </w:rPr>
        <w:t>‎</w:t>
      </w:r>
      <w:r w:rsidR="00D82181">
        <w:rPr>
          <w:rStyle w:val="aff5"/>
          <w:rtl/>
        </w:rPr>
        <w:t>נה)</w:t>
      </w:r>
      <w:r w:rsidRPr="00EA48D3">
        <w:rPr>
          <w:rStyle w:val="aff5"/>
          <w:rtl/>
        </w:rPr>
        <w:fldChar w:fldCharType="end"/>
      </w:r>
      <w:r w:rsidRPr="00EA48D3">
        <w:rPr>
          <w:rStyle w:val="af"/>
          <w:rFonts w:hint="cs"/>
          <w:rtl/>
        </w:rPr>
        <w:t>]</w:t>
      </w:r>
      <w:r w:rsidRPr="00EA48D3">
        <w:rPr>
          <w:rFonts w:hint="cs"/>
          <w:rtl/>
        </w:rPr>
        <w:t xml:space="preserve"> דנוטע הוא תולדה ולא אב, הקשה </w:t>
      </w:r>
      <w:r w:rsidRPr="00EA48D3">
        <w:rPr>
          <w:rStyle w:val="aff4"/>
          <w:rFonts w:hint="cs"/>
          <w:vanish/>
          <w:rtl/>
        </w:rPr>
        <w:t>-</w:t>
      </w:r>
      <w:r w:rsidRPr="00EA48D3">
        <w:rPr>
          <w:rStyle w:val="aff4"/>
          <w:rFonts w:hint="cs"/>
          <w:rtl/>
        </w:rPr>
        <w:t>ה</w:t>
      </w:r>
      <w:r w:rsidRPr="00EA48D3">
        <w:rPr>
          <w:rStyle w:val="aff4"/>
          <w:rFonts w:hint="cs"/>
          <w:vanish/>
          <w:rtl/>
        </w:rPr>
        <w:t xml:space="preserve">&lt;. </w:t>
      </w:r>
      <w:r w:rsidRPr="00EA48D3">
        <w:rPr>
          <w:rStyle w:val="aff4"/>
          <w:vanish/>
          <w:rtl/>
        </w:rPr>
        <w:fldChar w:fldCharType="begin"/>
      </w:r>
      <w:r w:rsidRPr="00EA48D3">
        <w:rPr>
          <w:rStyle w:val="aff4"/>
          <w:vanish/>
          <w:rtl/>
        </w:rPr>
        <w:instrText xml:space="preserve"> </w:instrText>
      </w:r>
      <w:r w:rsidRPr="00EA48D3">
        <w:rPr>
          <w:rStyle w:val="aff4"/>
          <w:rFonts w:hint="cs"/>
          <w:vanish/>
        </w:rPr>
        <w:instrText>REF</w:instrText>
      </w:r>
      <w:r w:rsidRPr="00EA48D3">
        <w:rPr>
          <w:rStyle w:val="aff4"/>
          <w:rFonts w:hint="cs"/>
          <w:vanish/>
          <w:rtl/>
        </w:rPr>
        <w:instrText xml:space="preserve"> _</w:instrText>
      </w:r>
      <w:r w:rsidRPr="00EA48D3">
        <w:rPr>
          <w:rStyle w:val="aff4"/>
          <w:rFonts w:hint="cs"/>
          <w:vanish/>
        </w:rPr>
        <w:instrText>Ref133575262 \r \h</w:instrText>
      </w:r>
      <w:r w:rsidRPr="00EA48D3">
        <w:rPr>
          <w:rStyle w:val="aff4"/>
          <w:vanish/>
          <w:rtl/>
        </w:rPr>
        <w:instrText xml:space="preserve"> </w:instrText>
      </w:r>
      <w:r w:rsidRPr="00EA48D3">
        <w:rPr>
          <w:rStyle w:val="aff4"/>
          <w:vanish/>
          <w:rtl/>
        </w:rPr>
      </w:r>
      <w:r w:rsidRPr="00EA48D3">
        <w:rPr>
          <w:rStyle w:val="aff4"/>
          <w:vanish/>
          <w:rtl/>
        </w:rPr>
        <w:fldChar w:fldCharType="separate"/>
      </w:r>
      <w:r w:rsidR="00D82181">
        <w:rPr>
          <w:rStyle w:val="aff4"/>
          <w:vanish/>
          <w:cs/>
        </w:rPr>
        <w:t>‎</w:t>
      </w:r>
      <w:r w:rsidR="00D82181">
        <w:rPr>
          <w:rStyle w:val="aff4"/>
          <w:vanish/>
          <w:rtl/>
        </w:rPr>
        <w:t>עג)</w:t>
      </w:r>
      <w:r w:rsidRPr="00EA48D3">
        <w:rPr>
          <w:rStyle w:val="aff4"/>
          <w:vanish/>
          <w:rtl/>
        </w:rPr>
        <w:fldChar w:fldCharType="end"/>
      </w:r>
      <w:r w:rsidRPr="00EA48D3">
        <w:rPr>
          <w:rStyle w:val="aff4"/>
          <w:rFonts w:hint="cs"/>
          <w:vanish/>
          <w:rtl/>
        </w:rPr>
        <w:t xml:space="preserve"> &gt;</w:t>
      </w:r>
      <w:r w:rsidRPr="00EA48D3">
        <w:rPr>
          <w:rStyle w:val="aff4"/>
          <w:rFonts w:hint="cs"/>
          <w:rtl/>
        </w:rPr>
        <w:t>אגלי טל</w:t>
      </w:r>
      <w:r w:rsidRPr="00EA48D3">
        <w:rPr>
          <w:rStyle w:val="aff4"/>
          <w:rFonts w:hint="cs"/>
          <w:vanish/>
          <w:rtl/>
        </w:rPr>
        <w:t>-</w:t>
      </w:r>
      <w:r w:rsidRPr="00EA48D3">
        <w:rPr>
          <w:rFonts w:hint="cs"/>
          <w:rtl/>
        </w:rPr>
        <w:t xml:space="preserve"> </w:t>
      </w:r>
      <w:r w:rsidRPr="00EA48D3">
        <w:rPr>
          <w:rStyle w:val="af2"/>
          <w:rFonts w:eastAsia="Guttman Hodes" w:hint="cs"/>
          <w:rtl/>
        </w:rPr>
        <w:t>(זורע סק"ו)</w:t>
      </w:r>
      <w:r w:rsidRPr="00EA48D3">
        <w:rPr>
          <w:rFonts w:hint="cs"/>
          <w:vanish/>
          <w:rtl/>
        </w:rPr>
        <w:t>=</w:t>
      </w:r>
      <w:r w:rsidRPr="00EA48D3">
        <w:rPr>
          <w:rFonts w:hint="cs"/>
          <w:rtl/>
        </w:rPr>
        <w:t xml:space="preserve"> דלדעת </w:t>
      </w:r>
      <w:r w:rsidRPr="00EA48D3">
        <w:rPr>
          <w:rStyle w:val="aff4"/>
          <w:rFonts w:hint="cs"/>
          <w:vanish/>
          <w:rtl/>
        </w:rPr>
        <w:t>-</w:t>
      </w:r>
      <w:r w:rsidRPr="00EA48D3">
        <w:rPr>
          <w:rStyle w:val="aff4"/>
          <w:rFonts w:hint="cs"/>
          <w:rtl/>
        </w:rPr>
        <w:t>רב האי גאון ור"ח</w:t>
      </w:r>
      <w:r w:rsidRPr="00EA48D3">
        <w:rPr>
          <w:rStyle w:val="aff4"/>
          <w:rFonts w:hint="cs"/>
          <w:vanish/>
          <w:rtl/>
        </w:rPr>
        <w:t>-</w:t>
      </w:r>
      <w:r w:rsidRPr="00EA48D3">
        <w:rPr>
          <w:rFonts w:hint="cs"/>
          <w:rtl/>
        </w:rPr>
        <w:t xml:space="preserve"> דמלאכות שהיו במשכן לצורך הקרבנות חשיבי אבות, א"כ נוטע היה במשכן ואמאי הוי תולדה ולא אב, ותירץ </w:t>
      </w:r>
      <w:r w:rsidRPr="00EA48D3">
        <w:rPr>
          <w:rStyle w:val="aff4"/>
          <w:rFonts w:hint="cs"/>
          <w:vanish/>
          <w:rtl/>
        </w:rPr>
        <w:t>-</w:t>
      </w:r>
      <w:r w:rsidRPr="00EA48D3">
        <w:rPr>
          <w:rStyle w:val="aff4"/>
          <w:rFonts w:hint="cs"/>
          <w:rtl/>
        </w:rPr>
        <w:t>האגלי טל</w:t>
      </w:r>
      <w:r w:rsidRPr="00EA48D3">
        <w:rPr>
          <w:rStyle w:val="aff4"/>
          <w:rFonts w:hint="cs"/>
          <w:vanish/>
          <w:rtl/>
        </w:rPr>
        <w:t>-</w:t>
      </w:r>
      <w:r w:rsidRPr="00EA48D3">
        <w:rPr>
          <w:rFonts w:hint="cs"/>
          <w:rtl/>
        </w:rPr>
        <w:t xml:space="preserve"> דלדעת </w:t>
      </w:r>
      <w:r w:rsidRPr="00EA48D3">
        <w:rPr>
          <w:rStyle w:val="aff4"/>
          <w:rFonts w:hint="cs"/>
          <w:vanish/>
          <w:rtl/>
        </w:rPr>
        <w:t>-</w:t>
      </w:r>
      <w:r w:rsidRPr="00EA48D3">
        <w:rPr>
          <w:rStyle w:val="aff4"/>
          <w:rFonts w:hint="cs"/>
          <w:rtl/>
        </w:rPr>
        <w:t>רב האי גאון ור"ח</w:t>
      </w:r>
      <w:r w:rsidRPr="00EA48D3">
        <w:rPr>
          <w:rStyle w:val="aff4"/>
          <w:rFonts w:hint="cs"/>
          <w:vanish/>
          <w:rtl/>
        </w:rPr>
        <w:t>-</w:t>
      </w:r>
      <w:r w:rsidRPr="00EA48D3">
        <w:rPr>
          <w:rFonts w:hint="cs"/>
          <w:rtl/>
        </w:rPr>
        <w:t xml:space="preserve"> רק המלאכות שהיו לצורך הקרבנות ונעשו לפני שנצטוו בהקמת המשכן, חשיבי כמלאכות לענין דהוו אב, ולא מלאכות שנעשו לאחר הציווי, </w:t>
      </w:r>
      <w:r w:rsidRPr="00EA48D3">
        <w:rPr>
          <w:rStyle w:val="af"/>
          <w:rFonts w:hint="cs"/>
          <w:rtl/>
        </w:rPr>
        <w:t xml:space="preserve">[כדביאר </w:t>
      </w:r>
      <w:r w:rsidRPr="00EA48D3">
        <w:rPr>
          <w:rStyle w:val="aff9"/>
          <w:rFonts w:hint="cs"/>
          <w:vanish/>
          <w:rtl/>
        </w:rPr>
        <w:t>-</w:t>
      </w:r>
      <w:r w:rsidRPr="00EA48D3">
        <w:rPr>
          <w:rStyle w:val="aff9"/>
          <w:rFonts w:hint="cs"/>
          <w:rtl/>
        </w:rPr>
        <w:t>האגלי  טל</w:t>
      </w:r>
      <w:r w:rsidRPr="00EA48D3">
        <w:rPr>
          <w:rStyle w:val="aff9"/>
          <w:rFonts w:hint="cs"/>
          <w:vanish/>
          <w:rtl/>
        </w:rPr>
        <w:t>-</w:t>
      </w:r>
      <w:r w:rsidRPr="00EA48D3">
        <w:rPr>
          <w:rStyle w:val="af"/>
          <w:rFonts w:hint="cs"/>
          <w:rtl/>
        </w:rPr>
        <w:t xml:space="preserve"> </w:t>
      </w:r>
      <w:r w:rsidRPr="00EA48D3">
        <w:rPr>
          <w:rStyle w:val="aff5"/>
          <w:rFonts w:hint="cs"/>
          <w:rtl/>
        </w:rPr>
        <w:t>(פתיחה אות כ</w:t>
      </w:r>
      <w:r w:rsidRPr="00EA48D3">
        <w:rPr>
          <w:rStyle w:val="aff5"/>
          <w:rtl/>
        </w:rPr>
        <w:t>"</w:t>
      </w:r>
      <w:r w:rsidRPr="00EA48D3">
        <w:rPr>
          <w:rStyle w:val="aff5"/>
          <w:rFonts w:hint="cs"/>
          <w:rtl/>
        </w:rPr>
        <w:t>ח)</w:t>
      </w:r>
      <w:r w:rsidRPr="00EA48D3">
        <w:rPr>
          <w:rStyle w:val="af"/>
          <w:rFonts w:hint="cs"/>
          <w:rtl/>
        </w:rPr>
        <w:t>],</w:t>
      </w:r>
      <w:r w:rsidRPr="00EA48D3">
        <w:rPr>
          <w:rFonts w:hint="cs"/>
          <w:rtl/>
        </w:rPr>
        <w:t xml:space="preserve"> וא"כ מסתבר דלא נטעו זיתים וגפנים לצורך המנחות והנסכים לאחר הציווי, כיון דהוי נאסרים בערלה, ולא ידעו שיחנו במקום אחד יותר מג' שנים.</w:t>
      </w:r>
    </w:p>
    <w:p w14:paraId="1F1F5F28" w14:textId="77777777" w:rsidR="009623A2" w:rsidRPr="00747170" w:rsidRDefault="009623A2" w:rsidP="00747170">
      <w:pPr>
        <w:pStyle w:val="a2"/>
        <w:rPr>
          <w:rtl/>
        </w:rPr>
      </w:pPr>
      <w:r w:rsidRPr="00747170">
        <w:rPr>
          <w:rtl/>
        </w:rPr>
        <w:t>[ו] לצורך עצים. יש לעיין לשיטת הסוברים דנוטע הוא תולדה ולא אב הלא נוטע גופא הוי במשכן לשיטת רב האי והר"ח שביארנו בהפתיחה דמחשבין מה שהי' במשכן לצורך מנחת התמיד והחביתין ושם הי' יין ושמן לנסכין א"כ הרי הי' נטיעה גופא במשכן כמו זורע ומה לי זריעת חיטין למנחות לנטיעת זתים וגפנים לנסכים. אך לק"מ דכבר ביארנו שם בהפתיחה [אות כ"ח] דלשיטת רב האי והר"ח מחשבין רק מה שהי' עושין להמשכן אחר שנצטוו ולא קודם הצווי וא"כ מסתמא לא הי' נוטעין זתים וגפנים שהרי נוהג בהן ערלה דערלה בחו"ל הלכה ולא הי' יכולין להסתפק מהן לנסכים רק אחר ג' שני ערלה. והם לא ידעו מקודם שיהי' חנייתן במקום אחד זמן מרובה כ"כ ואולי באמת לא הי' בכל המסעות חניי' גדולה כ"כ. ע"כ מסתמא לא נטעו לצורך נסכים כלל ולא הי' לדידהו נטיעה במשכן כלל אחר הציווי.</w:t>
      </w:r>
    </w:p>
    <w:p w14:paraId="11923B14" w14:textId="77777777" w:rsidR="009623A2" w:rsidRPr="00EA48D3" w:rsidRDefault="009623A2" w:rsidP="009623A2">
      <w:pPr>
        <w:pStyle w:val="a7"/>
      </w:pPr>
      <w:bookmarkStart w:id="350" w:name="_Toc134419655"/>
      <w:r w:rsidRPr="00EA48D3">
        <w:rPr>
          <w:rFonts w:hint="cs"/>
          <w:rtl/>
        </w:rPr>
        <w:t>קו' האגל"ט דלרש"י והרמב"ם אף מלאכות שלפני הציווי הם אבות והא יעקב נטע ארזים למשכן</w:t>
      </w:r>
      <w:bookmarkEnd w:id="350"/>
    </w:p>
    <w:p w14:paraId="31F134ED" w14:textId="1F0BA275" w:rsidR="009623A2" w:rsidRPr="00EA48D3" w:rsidRDefault="009623A2" w:rsidP="00BC7DC8">
      <w:pPr>
        <w:pStyle w:val="a3"/>
        <w:rPr>
          <w:rtl/>
        </w:rPr>
      </w:pPr>
      <w:r w:rsidRPr="00EA48D3">
        <w:rPr>
          <w:rFonts w:hint="cs"/>
          <w:rtl/>
        </w:rPr>
        <w:t xml:space="preserve">אך הקשה </w:t>
      </w:r>
      <w:r w:rsidRPr="00EA48D3">
        <w:rPr>
          <w:rStyle w:val="aff4"/>
          <w:rFonts w:hint="cs"/>
          <w:vanish/>
          <w:rtl/>
        </w:rPr>
        <w:t>-</w:t>
      </w:r>
      <w:r w:rsidRPr="00EA48D3">
        <w:rPr>
          <w:rStyle w:val="aff4"/>
          <w:rFonts w:hint="cs"/>
          <w:rtl/>
        </w:rPr>
        <w:t>האגלי טל</w:t>
      </w:r>
      <w:r w:rsidRPr="00EA48D3">
        <w:rPr>
          <w:rStyle w:val="aff4"/>
          <w:rFonts w:hint="cs"/>
          <w:vanish/>
          <w:rtl/>
        </w:rPr>
        <w:t>-</w:t>
      </w:r>
      <w:r w:rsidRPr="00EA48D3">
        <w:rPr>
          <w:rFonts w:hint="cs"/>
          <w:rtl/>
        </w:rPr>
        <w:t xml:space="preserve"> דלדעת </w:t>
      </w:r>
      <w:r w:rsidRPr="00EA48D3">
        <w:rPr>
          <w:rStyle w:val="aff4"/>
          <w:rFonts w:hint="cs"/>
          <w:vanish/>
          <w:rtl/>
        </w:rPr>
        <w:t>-</w:t>
      </w:r>
      <w:r w:rsidRPr="00EA48D3">
        <w:rPr>
          <w:rStyle w:val="aff4"/>
          <w:rFonts w:hint="cs"/>
          <w:rtl/>
        </w:rPr>
        <w:t>רש"י והרמב"ם</w:t>
      </w:r>
      <w:r w:rsidRPr="00EA48D3">
        <w:rPr>
          <w:rStyle w:val="aff4"/>
          <w:rFonts w:hint="cs"/>
          <w:vanish/>
          <w:rtl/>
        </w:rPr>
        <w:t>-</w:t>
      </w:r>
      <w:r w:rsidRPr="00EA48D3">
        <w:rPr>
          <w:rFonts w:hint="cs"/>
          <w:rtl/>
        </w:rPr>
        <w:t xml:space="preserve"> </w:t>
      </w:r>
      <w:r w:rsidRPr="00EA48D3">
        <w:rPr>
          <w:rStyle w:val="af2"/>
          <w:rFonts w:eastAsia="Guttman Hodes" w:hint="cs"/>
          <w:rtl/>
        </w:rPr>
        <w:t xml:space="preserve">(עי' אות </w:t>
      </w:r>
      <w:r w:rsidRPr="00EA48D3">
        <w:rPr>
          <w:rStyle w:val="af2"/>
          <w:rFonts w:eastAsia="Guttman Hodes"/>
          <w:rtl/>
        </w:rPr>
        <w:fldChar w:fldCharType="begin"/>
      </w:r>
      <w:r w:rsidRPr="00EA48D3">
        <w:rPr>
          <w:rStyle w:val="af2"/>
          <w:rFonts w:eastAsia="Guttman Hodes"/>
          <w:rtl/>
        </w:rPr>
        <w:instrText xml:space="preserve"> </w:instrText>
      </w:r>
      <w:r w:rsidRPr="00EA48D3">
        <w:rPr>
          <w:rStyle w:val="af2"/>
          <w:rFonts w:eastAsia="Guttman Hodes" w:hint="cs"/>
        </w:rPr>
        <w:instrText>REF</w:instrText>
      </w:r>
      <w:r w:rsidRPr="00EA48D3">
        <w:rPr>
          <w:rStyle w:val="af2"/>
          <w:rFonts w:eastAsia="Guttman Hodes" w:hint="cs"/>
          <w:rtl/>
        </w:rPr>
        <w:instrText xml:space="preserve"> _</w:instrText>
      </w:r>
      <w:r w:rsidRPr="00EA48D3">
        <w:rPr>
          <w:rStyle w:val="af2"/>
          <w:rFonts w:eastAsia="Guttman Hodes" w:hint="cs"/>
        </w:rPr>
        <w:instrText>Ref133311136 \r \h</w:instrText>
      </w:r>
      <w:r w:rsidRPr="00EA48D3">
        <w:rPr>
          <w:rStyle w:val="af2"/>
          <w:rFonts w:eastAsia="Guttman Hodes"/>
          <w:rtl/>
        </w:rPr>
        <w:instrText xml:space="preserve"> </w:instrText>
      </w:r>
      <w:r w:rsidRPr="00EA48D3">
        <w:rPr>
          <w:rStyle w:val="af2"/>
          <w:rFonts w:eastAsia="Guttman Hodes"/>
          <w:rtl/>
        </w:rPr>
      </w:r>
      <w:r w:rsidRPr="00EA48D3">
        <w:rPr>
          <w:rStyle w:val="af2"/>
          <w:rFonts w:eastAsia="Guttman Hodes"/>
          <w:rtl/>
        </w:rPr>
        <w:fldChar w:fldCharType="separate"/>
      </w:r>
      <w:r w:rsidR="00D82181">
        <w:rPr>
          <w:rStyle w:val="af2"/>
          <w:rFonts w:eastAsia="Guttman Hodes"/>
          <w:cs/>
        </w:rPr>
        <w:t>‎</w:t>
      </w:r>
      <w:r w:rsidR="00D82181">
        <w:rPr>
          <w:rStyle w:val="af2"/>
          <w:rFonts w:eastAsia="Guttman Hodes"/>
          <w:rtl/>
        </w:rPr>
        <w:t>עא)</w:t>
      </w:r>
      <w:r w:rsidRPr="00EA48D3">
        <w:rPr>
          <w:rStyle w:val="af2"/>
          <w:rFonts w:eastAsia="Guttman Hodes"/>
          <w:rtl/>
        </w:rPr>
        <w:fldChar w:fldCharType="end"/>
      </w:r>
      <w:r w:rsidRPr="00EA48D3">
        <w:rPr>
          <w:rFonts w:hint="cs"/>
          <w:rtl/>
        </w:rPr>
        <w:t xml:space="preserve"> דס"ל דאף מלאכות שהיו לאחר שנצטוו בהקמת המשכן, חשיבי כמלאכות לענין דהוו אב, </w:t>
      </w:r>
      <w:r w:rsidRPr="00EA48D3">
        <w:rPr>
          <w:rStyle w:val="af"/>
          <w:rFonts w:hint="cs"/>
          <w:rtl/>
        </w:rPr>
        <w:t xml:space="preserve">[כדביאר </w:t>
      </w:r>
      <w:r w:rsidRPr="00EA48D3">
        <w:rPr>
          <w:rStyle w:val="aff9"/>
          <w:rFonts w:hint="cs"/>
          <w:vanish/>
          <w:rtl/>
        </w:rPr>
        <w:t>-</w:t>
      </w:r>
      <w:r w:rsidRPr="00EA48D3">
        <w:rPr>
          <w:rStyle w:val="aff9"/>
          <w:rFonts w:hint="cs"/>
          <w:rtl/>
        </w:rPr>
        <w:t>האגלי  טל</w:t>
      </w:r>
      <w:r w:rsidRPr="00EA48D3">
        <w:rPr>
          <w:rStyle w:val="aff9"/>
          <w:rFonts w:hint="cs"/>
          <w:vanish/>
          <w:rtl/>
        </w:rPr>
        <w:t>-</w:t>
      </w:r>
      <w:r w:rsidRPr="00EA48D3">
        <w:rPr>
          <w:rStyle w:val="af"/>
          <w:rFonts w:hint="cs"/>
          <w:rtl/>
        </w:rPr>
        <w:t xml:space="preserve"> </w:t>
      </w:r>
      <w:r w:rsidRPr="00EA48D3">
        <w:rPr>
          <w:rStyle w:val="aff5"/>
          <w:rFonts w:hint="cs"/>
          <w:rtl/>
        </w:rPr>
        <w:t>(פתיחה אות כ</w:t>
      </w:r>
      <w:r w:rsidRPr="00EA48D3">
        <w:rPr>
          <w:rStyle w:val="aff5"/>
          <w:rtl/>
        </w:rPr>
        <w:t>"</w:t>
      </w:r>
      <w:r w:rsidRPr="00EA48D3">
        <w:rPr>
          <w:rStyle w:val="aff5"/>
          <w:rFonts w:hint="cs"/>
          <w:rtl/>
        </w:rPr>
        <w:t>ח)</w:t>
      </w:r>
      <w:r w:rsidRPr="00EA48D3">
        <w:rPr>
          <w:rStyle w:val="af"/>
          <w:rFonts w:hint="cs"/>
          <w:rtl/>
        </w:rPr>
        <w:t>],</w:t>
      </w:r>
      <w:r w:rsidRPr="00EA48D3">
        <w:rPr>
          <w:rFonts w:hint="cs"/>
          <w:rtl/>
        </w:rPr>
        <w:t xml:space="preserve"> א"כ נוטע ודאי דהוא אב, דהא יעקב אבינו ע"ה נטע ארזים במצרים לצורך המשכן, והיאך אפש"ל דנוטע הוא תולדה, וכתב </w:t>
      </w:r>
      <w:r w:rsidRPr="00EA48D3">
        <w:rPr>
          <w:rStyle w:val="aff4"/>
          <w:rFonts w:hint="cs"/>
          <w:vanish/>
          <w:rtl/>
        </w:rPr>
        <w:t>-</w:t>
      </w:r>
      <w:r w:rsidRPr="00EA48D3">
        <w:rPr>
          <w:rStyle w:val="aff4"/>
          <w:rFonts w:hint="cs"/>
          <w:rtl/>
        </w:rPr>
        <w:t>האגלי טל</w:t>
      </w:r>
      <w:r w:rsidRPr="00EA48D3">
        <w:rPr>
          <w:rStyle w:val="aff4"/>
          <w:rFonts w:hint="cs"/>
          <w:vanish/>
          <w:rtl/>
        </w:rPr>
        <w:t>-</w:t>
      </w:r>
      <w:r w:rsidRPr="00EA48D3">
        <w:rPr>
          <w:rFonts w:hint="cs"/>
          <w:rtl/>
        </w:rPr>
        <w:t xml:space="preserve"> דאעפ"י דעל </w:t>
      </w:r>
      <w:r w:rsidRPr="00EA48D3">
        <w:rPr>
          <w:rStyle w:val="aff4"/>
          <w:rFonts w:hint="cs"/>
          <w:vanish/>
          <w:rtl/>
        </w:rPr>
        <w:t>-</w:t>
      </w:r>
      <w:r w:rsidRPr="00EA48D3">
        <w:rPr>
          <w:rStyle w:val="aff4"/>
          <w:rFonts w:hint="cs"/>
          <w:rtl/>
        </w:rPr>
        <w:t>רש"י</w:t>
      </w:r>
      <w:r w:rsidRPr="00EA48D3">
        <w:rPr>
          <w:rStyle w:val="aff4"/>
          <w:rFonts w:hint="cs"/>
          <w:vanish/>
          <w:rtl/>
        </w:rPr>
        <w:t>-</w:t>
      </w:r>
      <w:r w:rsidRPr="00EA48D3">
        <w:rPr>
          <w:rFonts w:hint="cs"/>
          <w:rtl/>
        </w:rPr>
        <w:t xml:space="preserve"> </w:t>
      </w:r>
      <w:r w:rsidRPr="00EA48D3">
        <w:rPr>
          <w:rStyle w:val="af2"/>
          <w:rFonts w:eastAsia="Guttman Hodes" w:hint="cs"/>
          <w:rtl/>
        </w:rPr>
        <w:t xml:space="preserve">(עי' אות </w:t>
      </w:r>
      <w:r w:rsidRPr="00EA48D3">
        <w:rPr>
          <w:rStyle w:val="af2"/>
          <w:rFonts w:eastAsia="Guttman Hodes"/>
          <w:rtl/>
        </w:rPr>
        <w:fldChar w:fldCharType="begin"/>
      </w:r>
      <w:r w:rsidRPr="00EA48D3">
        <w:rPr>
          <w:rStyle w:val="af2"/>
          <w:rFonts w:eastAsia="Guttman Hodes"/>
          <w:rtl/>
        </w:rPr>
        <w:instrText xml:space="preserve"> </w:instrText>
      </w:r>
      <w:r w:rsidRPr="00EA48D3">
        <w:rPr>
          <w:rStyle w:val="af2"/>
          <w:rFonts w:eastAsia="Guttman Hodes" w:hint="cs"/>
        </w:rPr>
        <w:instrText>REF</w:instrText>
      </w:r>
      <w:r w:rsidRPr="00EA48D3">
        <w:rPr>
          <w:rStyle w:val="af2"/>
          <w:rFonts w:eastAsia="Guttman Hodes" w:hint="cs"/>
          <w:rtl/>
        </w:rPr>
        <w:instrText xml:space="preserve"> _</w:instrText>
      </w:r>
      <w:r w:rsidRPr="00EA48D3">
        <w:rPr>
          <w:rStyle w:val="af2"/>
          <w:rFonts w:eastAsia="Guttman Hodes" w:hint="cs"/>
        </w:rPr>
        <w:instrText>Ref133481736 \r \h</w:instrText>
      </w:r>
      <w:r w:rsidRPr="00EA48D3">
        <w:rPr>
          <w:rStyle w:val="af2"/>
          <w:rFonts w:eastAsia="Guttman Hodes"/>
          <w:rtl/>
        </w:rPr>
        <w:instrText xml:space="preserve"> </w:instrText>
      </w:r>
      <w:r w:rsidRPr="00EA48D3">
        <w:rPr>
          <w:rStyle w:val="af2"/>
          <w:rFonts w:eastAsia="Guttman Hodes"/>
          <w:rtl/>
        </w:rPr>
      </w:r>
      <w:r w:rsidRPr="00EA48D3">
        <w:rPr>
          <w:rStyle w:val="af2"/>
          <w:rFonts w:eastAsia="Guttman Hodes"/>
          <w:rtl/>
        </w:rPr>
        <w:fldChar w:fldCharType="separate"/>
      </w:r>
      <w:r w:rsidR="00D82181">
        <w:rPr>
          <w:rStyle w:val="af2"/>
          <w:rFonts w:eastAsia="Guttman Hodes"/>
          <w:cs/>
        </w:rPr>
        <w:t>‎</w:t>
      </w:r>
      <w:r w:rsidR="00D82181">
        <w:rPr>
          <w:rStyle w:val="af2"/>
          <w:rFonts w:eastAsia="Guttman Hodes"/>
          <w:rtl/>
        </w:rPr>
        <w:t>א)</w:t>
      </w:r>
      <w:r w:rsidRPr="00EA48D3">
        <w:rPr>
          <w:rStyle w:val="af2"/>
          <w:rFonts w:eastAsia="Guttman Hodes"/>
          <w:rtl/>
        </w:rPr>
        <w:fldChar w:fldCharType="end"/>
      </w:r>
      <w:r w:rsidRPr="00EA48D3">
        <w:rPr>
          <w:rFonts w:hint="cs"/>
          <w:rtl/>
        </w:rPr>
        <w:t xml:space="preserve"> </w:t>
      </w:r>
      <w:r w:rsidRPr="00EA48D3">
        <w:rPr>
          <w:rStyle w:val="aff4"/>
          <w:rFonts w:hint="cs"/>
          <w:vanish/>
          <w:rtl/>
        </w:rPr>
        <w:t>-</w:t>
      </w:r>
      <w:r w:rsidRPr="00EA48D3">
        <w:rPr>
          <w:rStyle w:val="aff4"/>
          <w:rFonts w:hint="cs"/>
          <w:rtl/>
        </w:rPr>
        <w:t>והרמב"ם</w:t>
      </w:r>
      <w:r w:rsidRPr="00EA48D3">
        <w:rPr>
          <w:rStyle w:val="aff4"/>
          <w:rFonts w:hint="cs"/>
          <w:vanish/>
          <w:rtl/>
        </w:rPr>
        <w:t>-</w:t>
      </w:r>
      <w:r w:rsidRPr="00EA48D3">
        <w:rPr>
          <w:rFonts w:hint="cs"/>
          <w:rtl/>
        </w:rPr>
        <w:t xml:space="preserve"> </w:t>
      </w:r>
      <w:r w:rsidRPr="00EA48D3">
        <w:rPr>
          <w:rStyle w:val="af2"/>
          <w:rFonts w:eastAsia="Guttman Hodes" w:hint="cs"/>
          <w:rtl/>
        </w:rPr>
        <w:t xml:space="preserve">(עי' אות </w:t>
      </w:r>
      <w:r w:rsidRPr="00EA48D3">
        <w:rPr>
          <w:rStyle w:val="af2"/>
          <w:rFonts w:eastAsia="Guttman Hodes"/>
          <w:rtl/>
        </w:rPr>
        <w:fldChar w:fldCharType="begin"/>
      </w:r>
      <w:r w:rsidRPr="00EA48D3">
        <w:rPr>
          <w:rStyle w:val="af2"/>
          <w:rFonts w:eastAsia="Guttman Hodes"/>
          <w:rtl/>
        </w:rPr>
        <w:instrText xml:space="preserve"> </w:instrText>
      </w:r>
      <w:r w:rsidRPr="00EA48D3">
        <w:rPr>
          <w:rStyle w:val="af2"/>
          <w:rFonts w:eastAsia="Guttman Hodes" w:hint="cs"/>
        </w:rPr>
        <w:instrText>REF</w:instrText>
      </w:r>
      <w:r w:rsidRPr="00EA48D3">
        <w:rPr>
          <w:rStyle w:val="af2"/>
          <w:rFonts w:eastAsia="Guttman Hodes" w:hint="cs"/>
          <w:rtl/>
        </w:rPr>
        <w:instrText xml:space="preserve"> _</w:instrText>
      </w:r>
      <w:r w:rsidRPr="00EA48D3">
        <w:rPr>
          <w:rStyle w:val="af2"/>
          <w:rFonts w:eastAsia="Guttman Hodes" w:hint="cs"/>
        </w:rPr>
        <w:instrText>Ref133477286 \r \h</w:instrText>
      </w:r>
      <w:r w:rsidRPr="00EA48D3">
        <w:rPr>
          <w:rStyle w:val="af2"/>
          <w:rFonts w:eastAsia="Guttman Hodes"/>
          <w:rtl/>
        </w:rPr>
        <w:instrText xml:space="preserve"> </w:instrText>
      </w:r>
      <w:r w:rsidRPr="00EA48D3">
        <w:rPr>
          <w:rStyle w:val="af2"/>
          <w:rFonts w:eastAsia="Guttman Hodes"/>
          <w:rtl/>
        </w:rPr>
      </w:r>
      <w:r w:rsidRPr="00EA48D3">
        <w:rPr>
          <w:rStyle w:val="af2"/>
          <w:rFonts w:eastAsia="Guttman Hodes"/>
          <w:rtl/>
        </w:rPr>
        <w:fldChar w:fldCharType="separate"/>
      </w:r>
      <w:r w:rsidR="00D82181">
        <w:rPr>
          <w:rStyle w:val="af2"/>
          <w:rFonts w:eastAsia="Guttman Hodes"/>
          <w:cs/>
        </w:rPr>
        <w:t>‎</w:t>
      </w:r>
      <w:r w:rsidR="00D82181">
        <w:rPr>
          <w:rStyle w:val="af2"/>
          <w:rFonts w:eastAsia="Guttman Hodes"/>
          <w:rtl/>
        </w:rPr>
        <w:t>כט)</w:t>
      </w:r>
      <w:r w:rsidRPr="00EA48D3">
        <w:rPr>
          <w:rStyle w:val="af2"/>
          <w:rFonts w:eastAsia="Guttman Hodes"/>
          <w:rtl/>
        </w:rPr>
        <w:fldChar w:fldCharType="end"/>
      </w:r>
      <w:r w:rsidRPr="00EA48D3">
        <w:rPr>
          <w:rFonts w:hint="cs"/>
          <w:rtl/>
        </w:rPr>
        <w:t xml:space="preserve"> עצמם לא קשה דהא ס"ל דנוטע הוא אב, מ"מ לדעת </w:t>
      </w:r>
      <w:r w:rsidRPr="00EA48D3">
        <w:rPr>
          <w:rStyle w:val="aff4"/>
          <w:rFonts w:hint="cs"/>
          <w:vanish/>
          <w:rtl/>
        </w:rPr>
        <w:t>-</w:t>
      </w:r>
      <w:r w:rsidRPr="00EA48D3">
        <w:rPr>
          <w:rStyle w:val="aff4"/>
          <w:rFonts w:hint="cs"/>
          <w:rtl/>
        </w:rPr>
        <w:t>הסוברים</w:t>
      </w:r>
      <w:r w:rsidRPr="00EA48D3">
        <w:rPr>
          <w:rStyle w:val="aff4"/>
          <w:rFonts w:hint="cs"/>
          <w:vanish/>
          <w:rtl/>
        </w:rPr>
        <w:t>-</w:t>
      </w:r>
      <w:r w:rsidRPr="00EA48D3">
        <w:rPr>
          <w:rFonts w:hint="cs"/>
          <w:rtl/>
        </w:rPr>
        <w:t xml:space="preserve"> </w:t>
      </w:r>
      <w:r w:rsidRPr="00EA48D3">
        <w:rPr>
          <w:rStyle w:val="af"/>
          <w:rFonts w:hint="cs"/>
          <w:rtl/>
        </w:rPr>
        <w:t>[</w:t>
      </w:r>
      <w:r w:rsidRPr="00EA48D3">
        <w:rPr>
          <w:rStyle w:val="aff9"/>
          <w:rFonts w:hint="cs"/>
          <w:vanish/>
          <w:rtl/>
        </w:rPr>
        <w:t>-</w:t>
      </w:r>
      <w:r w:rsidRPr="00EA48D3">
        <w:rPr>
          <w:rStyle w:val="aff9"/>
          <w:rFonts w:hint="cs"/>
          <w:rtl/>
        </w:rPr>
        <w:t>ר"ח רמ"ך יראים</w:t>
      </w:r>
      <w:r w:rsidRPr="00EA48D3">
        <w:rPr>
          <w:rStyle w:val="aff9"/>
          <w:rFonts w:hint="cs"/>
          <w:vanish/>
          <w:rtl/>
        </w:rPr>
        <w:t>-</w:t>
      </w:r>
      <w:r w:rsidRPr="00EA48D3">
        <w:rPr>
          <w:rStyle w:val="af"/>
          <w:rFonts w:hint="cs"/>
          <w:rtl/>
        </w:rPr>
        <w:t xml:space="preserve">] </w:t>
      </w:r>
      <w:r w:rsidRPr="00EA48D3">
        <w:rPr>
          <w:rFonts w:hint="cs"/>
          <w:rtl/>
        </w:rPr>
        <w:t xml:space="preserve">דנוטע הוא תולדה, קשה אמאי לא הוי אב, ודוחק לומר דס"ל כדעת </w:t>
      </w:r>
      <w:r w:rsidRPr="00EA48D3">
        <w:rPr>
          <w:rStyle w:val="aff4"/>
          <w:rFonts w:hint="cs"/>
          <w:vanish/>
          <w:rtl/>
        </w:rPr>
        <w:t>-</w:t>
      </w:r>
      <w:r w:rsidRPr="00EA48D3">
        <w:rPr>
          <w:rStyle w:val="aff4"/>
          <w:rFonts w:hint="cs"/>
          <w:rtl/>
        </w:rPr>
        <w:t>רב האי גאון ור"ח</w:t>
      </w:r>
      <w:r w:rsidRPr="00EA48D3">
        <w:rPr>
          <w:rStyle w:val="aff4"/>
          <w:rFonts w:hint="cs"/>
          <w:vanish/>
          <w:rtl/>
        </w:rPr>
        <w:t>-</w:t>
      </w:r>
      <w:r w:rsidRPr="00EA48D3">
        <w:rPr>
          <w:rFonts w:hint="cs"/>
          <w:rtl/>
        </w:rPr>
        <w:t>.</w:t>
      </w:r>
      <w:bookmarkEnd w:id="349"/>
    </w:p>
    <w:p w14:paraId="0D882697" w14:textId="77777777" w:rsidR="009623A2" w:rsidRPr="00747170" w:rsidRDefault="009623A2" w:rsidP="00747170">
      <w:pPr>
        <w:pStyle w:val="a2"/>
        <w:rPr>
          <w:rtl/>
        </w:rPr>
      </w:pPr>
      <w:r w:rsidRPr="00747170">
        <w:rPr>
          <w:rtl/>
        </w:rPr>
        <w:t>אך אי קשיא הא קשיא לשיטת רש"י והרמב"ם שביארנו שם בהפתיחה דאף מה שנעשה קודם הציווי הואיל ונצרך זה למשכן חשוב שהי' במשכן א"כ הרי הי' נטיעת עצי ארזים שנטע יע"א ע"ה במצרים. ולמה לא יהא נוטע אב כמו זורע. הגם דלרש"י והרמב"ם לא תיקשי דלדידהו באמת נוטע הוא אב. אך להסוברים דנוטע הוא תולדה דוחק לומר דכרב האי והר"ח סבירא להו בזה. ונדו מפירש"י בסתמא:</w:t>
      </w:r>
    </w:p>
    <w:p w14:paraId="3B3D3510" w14:textId="7F709E9A" w:rsidR="009623A2" w:rsidRPr="00EA48D3" w:rsidRDefault="009623A2" w:rsidP="009623A2">
      <w:pPr>
        <w:pStyle w:val="afffff7"/>
        <w:rPr>
          <w:rtl/>
        </w:rPr>
      </w:pPr>
      <w:bookmarkStart w:id="351" w:name="_Toc133841676"/>
      <w:bookmarkStart w:id="352" w:name="_Toc163505424"/>
      <w:r w:rsidRPr="00EA48D3">
        <w:rPr>
          <w:rtl/>
        </w:rPr>
        <w:t xml:space="preserve">אגלי טל באורים מלאכת זורע </w:t>
      </w:r>
      <w:r w:rsidRPr="00EA48D3">
        <w:rPr>
          <w:rFonts w:hint="cs"/>
          <w:rtl/>
        </w:rPr>
        <w:t>סק"</w:t>
      </w:r>
      <w:r w:rsidRPr="00EA48D3">
        <w:rPr>
          <w:rtl/>
        </w:rPr>
        <w:t>ו</w:t>
      </w:r>
      <w:r w:rsidRPr="00EA48D3">
        <w:rPr>
          <w:rFonts w:hint="cs"/>
          <w:rtl/>
        </w:rPr>
        <w:t xml:space="preserve"> ד"ה ויותר נכון</w:t>
      </w:r>
      <w:bookmarkEnd w:id="351"/>
      <w:bookmarkEnd w:id="352"/>
    </w:p>
    <w:p w14:paraId="36298838" w14:textId="77777777" w:rsidR="009623A2" w:rsidRPr="00EA48D3" w:rsidRDefault="009623A2" w:rsidP="009623A2">
      <w:pPr>
        <w:pStyle w:val="a7"/>
        <w:rPr>
          <w:rtl/>
        </w:rPr>
      </w:pPr>
      <w:bookmarkStart w:id="353" w:name="_Toc134419656"/>
      <w:r w:rsidRPr="00EA48D3">
        <w:rPr>
          <w:rFonts w:hint="cs"/>
          <w:rtl/>
        </w:rPr>
        <w:t>בי' האגל"ט דנוטע עצי סרק לצורך עצים דמי לזורע ונוטע עצי פרי דלא גדלים בקרקע ל"ד לזורע</w:t>
      </w:r>
      <w:bookmarkEnd w:id="353"/>
    </w:p>
    <w:p w14:paraId="725BAB46" w14:textId="4BD6545D" w:rsidR="009623A2" w:rsidRPr="00EA48D3" w:rsidRDefault="009623A2" w:rsidP="00BC7DC8">
      <w:pPr>
        <w:pStyle w:val="a3"/>
        <w:rPr>
          <w:rtl/>
        </w:rPr>
      </w:pPr>
      <w:bookmarkStart w:id="354" w:name="_Ref133575274"/>
      <w:r w:rsidRPr="00EA48D3">
        <w:rPr>
          <w:rFonts w:hint="cs"/>
          <w:rtl/>
        </w:rPr>
        <w:t xml:space="preserve">ותירץ </w:t>
      </w:r>
      <w:r w:rsidRPr="00EA48D3">
        <w:rPr>
          <w:rStyle w:val="aff4"/>
          <w:rFonts w:hint="cs"/>
          <w:vanish/>
          <w:rtl/>
        </w:rPr>
        <w:t>-</w:t>
      </w:r>
      <w:r w:rsidRPr="00EA48D3">
        <w:rPr>
          <w:rStyle w:val="aff4"/>
          <w:rFonts w:hint="cs"/>
          <w:rtl/>
        </w:rPr>
        <w:t>ה</w:t>
      </w:r>
      <w:r w:rsidRPr="00EA48D3">
        <w:rPr>
          <w:rStyle w:val="aff4"/>
          <w:rFonts w:hint="cs"/>
          <w:vanish/>
          <w:rtl/>
        </w:rPr>
        <w:t xml:space="preserve">&lt;. </w:t>
      </w:r>
      <w:r w:rsidRPr="00EA48D3">
        <w:rPr>
          <w:rStyle w:val="aff4"/>
          <w:vanish/>
          <w:rtl/>
        </w:rPr>
        <w:fldChar w:fldCharType="begin"/>
      </w:r>
      <w:r w:rsidRPr="00EA48D3">
        <w:rPr>
          <w:rStyle w:val="aff4"/>
          <w:vanish/>
          <w:rtl/>
        </w:rPr>
        <w:instrText xml:space="preserve"> </w:instrText>
      </w:r>
      <w:r w:rsidRPr="00EA48D3">
        <w:rPr>
          <w:rStyle w:val="aff4"/>
          <w:rFonts w:hint="cs"/>
          <w:vanish/>
        </w:rPr>
        <w:instrText>REF</w:instrText>
      </w:r>
      <w:r w:rsidRPr="00EA48D3">
        <w:rPr>
          <w:rStyle w:val="aff4"/>
          <w:rFonts w:hint="cs"/>
          <w:vanish/>
          <w:rtl/>
        </w:rPr>
        <w:instrText xml:space="preserve"> _</w:instrText>
      </w:r>
      <w:r w:rsidRPr="00EA48D3">
        <w:rPr>
          <w:rStyle w:val="aff4"/>
          <w:rFonts w:hint="cs"/>
          <w:vanish/>
        </w:rPr>
        <w:instrText>Ref133575274 \r \h</w:instrText>
      </w:r>
      <w:r w:rsidRPr="00EA48D3">
        <w:rPr>
          <w:rStyle w:val="aff4"/>
          <w:vanish/>
          <w:rtl/>
        </w:rPr>
        <w:instrText xml:space="preserve"> </w:instrText>
      </w:r>
      <w:r w:rsidRPr="00EA48D3">
        <w:rPr>
          <w:rStyle w:val="aff4"/>
          <w:vanish/>
          <w:rtl/>
        </w:rPr>
      </w:r>
      <w:r w:rsidRPr="00EA48D3">
        <w:rPr>
          <w:rStyle w:val="aff4"/>
          <w:vanish/>
          <w:rtl/>
        </w:rPr>
        <w:fldChar w:fldCharType="separate"/>
      </w:r>
      <w:r w:rsidR="00D82181">
        <w:rPr>
          <w:rStyle w:val="aff4"/>
          <w:vanish/>
          <w:cs/>
        </w:rPr>
        <w:t>‎</w:t>
      </w:r>
      <w:r w:rsidR="00D82181">
        <w:rPr>
          <w:rStyle w:val="aff4"/>
          <w:vanish/>
          <w:rtl/>
        </w:rPr>
        <w:t>עה)</w:t>
      </w:r>
      <w:r w:rsidRPr="00EA48D3">
        <w:rPr>
          <w:rStyle w:val="aff4"/>
          <w:vanish/>
          <w:rtl/>
        </w:rPr>
        <w:fldChar w:fldCharType="end"/>
      </w:r>
      <w:r w:rsidRPr="00EA48D3">
        <w:rPr>
          <w:rStyle w:val="aff4"/>
          <w:rFonts w:hint="cs"/>
          <w:vanish/>
          <w:rtl/>
        </w:rPr>
        <w:t xml:space="preserve"> &gt;</w:t>
      </w:r>
      <w:r w:rsidRPr="00EA48D3">
        <w:rPr>
          <w:rStyle w:val="aff4"/>
          <w:rFonts w:hint="cs"/>
          <w:rtl/>
        </w:rPr>
        <w:t>אגלי טל</w:t>
      </w:r>
      <w:r w:rsidRPr="00EA48D3">
        <w:rPr>
          <w:rStyle w:val="aff4"/>
          <w:rFonts w:hint="cs"/>
          <w:vanish/>
          <w:rtl/>
        </w:rPr>
        <w:t>-</w:t>
      </w:r>
      <w:r w:rsidRPr="00EA48D3">
        <w:rPr>
          <w:rFonts w:hint="cs"/>
          <w:rtl/>
        </w:rPr>
        <w:t xml:space="preserve"> </w:t>
      </w:r>
      <w:r w:rsidRPr="00EA48D3">
        <w:rPr>
          <w:rStyle w:val="af2"/>
          <w:rFonts w:eastAsia="Guttman Hodes" w:hint="cs"/>
          <w:rtl/>
        </w:rPr>
        <w:t>(זורע סק"ו ד"ה ויותר נכון)</w:t>
      </w:r>
      <w:r w:rsidRPr="00EA48D3">
        <w:rPr>
          <w:rFonts w:hint="cs"/>
          <w:vanish/>
          <w:rtl/>
        </w:rPr>
        <w:t>=</w:t>
      </w:r>
      <w:r w:rsidRPr="00EA48D3">
        <w:rPr>
          <w:rFonts w:hint="cs"/>
          <w:rtl/>
        </w:rPr>
        <w:t xml:space="preserve"> שיש לחלק בין נוטע עצים לצורך העצים עצמם, </w:t>
      </w:r>
      <w:r w:rsidRPr="00EA48D3">
        <w:rPr>
          <w:rStyle w:val="af"/>
          <w:rFonts w:hint="cs"/>
          <w:rtl/>
        </w:rPr>
        <w:t>[בעצי סרק],</w:t>
      </w:r>
      <w:r w:rsidRPr="00EA48D3">
        <w:rPr>
          <w:rFonts w:hint="cs"/>
          <w:rtl/>
        </w:rPr>
        <w:t xml:space="preserve"> דדמי ממש לאב דזורע, דאין כל חילוק בין הנחת הזרעים בקרקע, לבין אם מניח גרעין של פרי בקרקע או שתוחב את היחור עצמו בקרקע, דכולם הם אותה מלאכה ממש, ונוטע כזה הוא אב, אבל כשנוטע עצים לצורך פירות, דהפרי עצמו לא גדל בקרקע כלל, והוא גודל על העץ שגדל בקרקע, מלאכה זו לא דמי ממש לזורע והוי אב ולא תולדה.</w:t>
      </w:r>
    </w:p>
    <w:p w14:paraId="41C6A1F4" w14:textId="77777777" w:rsidR="009623A2" w:rsidRPr="00747170" w:rsidRDefault="009623A2" w:rsidP="00747170">
      <w:pPr>
        <w:pStyle w:val="a2"/>
      </w:pPr>
      <w:r w:rsidRPr="00747170">
        <w:rPr>
          <w:rtl/>
        </w:rPr>
        <w:t>ויותר נכון לומר דס"ל דשאני נטיעת עצים לצורך הפרי מנטיעת העצים לצורך העצים גופייהו. דגם בלא"ה נטיעת אילן לצורך העצים הוא ממש כמו זורע דמה לי הניח הזרעים בארץ או הגרעין או אפי' תוחב היחור בארץ וממש מלאכה אחת היא. אבל הנוטע לצורך הפרי שהפרי לא יגדל בארץ רק ע"י אמצעות האילן בזה ס"ל דהוא רק תולדה דאינו ממש זורע רק בדומה לו.</w:t>
      </w:r>
    </w:p>
    <w:p w14:paraId="7C3FDB7D" w14:textId="77777777" w:rsidR="009623A2" w:rsidRPr="00EA48D3" w:rsidRDefault="009623A2" w:rsidP="009623A2">
      <w:pPr>
        <w:pStyle w:val="a7"/>
      </w:pPr>
      <w:bookmarkStart w:id="355" w:name="_Toc134419657"/>
      <w:r w:rsidRPr="00EA48D3">
        <w:rPr>
          <w:rFonts w:hint="cs"/>
          <w:rtl/>
        </w:rPr>
        <w:t>בי' האגל"ט דכוונתו בנטיעה לפירות ואין מלאכת מחשבת לעץ ולא הוי במשכן והיא תולדה</w:t>
      </w:r>
      <w:bookmarkEnd w:id="355"/>
    </w:p>
    <w:p w14:paraId="38D4400C" w14:textId="5C5529C0" w:rsidR="009623A2" w:rsidRPr="00EA48D3" w:rsidRDefault="009623A2" w:rsidP="00BC7DC8">
      <w:pPr>
        <w:pStyle w:val="a3"/>
        <w:rPr>
          <w:rtl/>
        </w:rPr>
      </w:pPr>
      <w:r w:rsidRPr="00EA48D3">
        <w:rPr>
          <w:rFonts w:hint="cs"/>
          <w:rtl/>
        </w:rPr>
        <w:t xml:space="preserve">וביאר </w:t>
      </w:r>
      <w:r w:rsidRPr="00EA48D3">
        <w:rPr>
          <w:rStyle w:val="aff4"/>
          <w:rFonts w:hint="cs"/>
          <w:vanish/>
          <w:rtl/>
        </w:rPr>
        <w:t>-</w:t>
      </w:r>
      <w:r w:rsidRPr="00EA48D3">
        <w:rPr>
          <w:rStyle w:val="aff4"/>
          <w:rFonts w:hint="cs"/>
          <w:rtl/>
        </w:rPr>
        <w:t>האגלי טל</w:t>
      </w:r>
      <w:r w:rsidRPr="00EA48D3">
        <w:rPr>
          <w:rStyle w:val="aff4"/>
          <w:rFonts w:hint="cs"/>
          <w:vanish/>
          <w:rtl/>
        </w:rPr>
        <w:t>-</w:t>
      </w:r>
      <w:r w:rsidRPr="00EA48D3">
        <w:rPr>
          <w:rFonts w:hint="cs"/>
          <w:rtl/>
        </w:rPr>
        <w:t xml:space="preserve"> דעל הנטיעה של העץ עצמו א"א לחייב בשבת, כיון דהחיוב הוא רק במלאכת מחשבת, וכוונתו בנטיעה היא לצורך הפירות ולא לצורך העץ עצמו, ולפי"ז תירץ </w:t>
      </w:r>
      <w:r w:rsidRPr="00EA48D3">
        <w:rPr>
          <w:rStyle w:val="aff4"/>
          <w:rFonts w:hint="cs"/>
          <w:vanish/>
          <w:rtl/>
        </w:rPr>
        <w:t>-</w:t>
      </w:r>
      <w:r w:rsidRPr="00EA48D3">
        <w:rPr>
          <w:rStyle w:val="aff4"/>
          <w:rFonts w:hint="cs"/>
          <w:rtl/>
        </w:rPr>
        <w:t>האגלי טל</w:t>
      </w:r>
      <w:r w:rsidRPr="00EA48D3">
        <w:rPr>
          <w:rStyle w:val="aff4"/>
          <w:rFonts w:hint="cs"/>
          <w:vanish/>
          <w:rtl/>
        </w:rPr>
        <w:t>-</w:t>
      </w:r>
      <w:r w:rsidRPr="00EA48D3">
        <w:rPr>
          <w:rFonts w:hint="cs"/>
          <w:rtl/>
        </w:rPr>
        <w:t xml:space="preserve"> דאף שנטעו עצים לצורך העצים עצמם למלאכת המשכן, </w:t>
      </w:r>
      <w:r w:rsidRPr="00EA48D3">
        <w:rPr>
          <w:rStyle w:val="af"/>
          <w:rFonts w:hint="cs"/>
          <w:rtl/>
        </w:rPr>
        <w:t>[בעצי סרק],</w:t>
      </w:r>
      <w:r w:rsidRPr="00EA48D3">
        <w:rPr>
          <w:rFonts w:hint="cs"/>
          <w:rtl/>
        </w:rPr>
        <w:t xml:space="preserve"> מ"מ א"א לומר דכל נוטע אילן לפירות הוא אב, מחמת מלאכה זו שהייתה במשכן, כיון דנטיעה לצורך בפירות לא דמי לאב דזורע, ורק נטיעה לצורך העצים </w:t>
      </w:r>
      <w:r w:rsidRPr="00EA48D3">
        <w:rPr>
          <w:rStyle w:val="af"/>
          <w:rFonts w:hint="cs"/>
          <w:rtl/>
        </w:rPr>
        <w:t>[בעצי סרק],</w:t>
      </w:r>
      <w:r w:rsidRPr="00EA48D3">
        <w:rPr>
          <w:rFonts w:hint="cs"/>
          <w:rtl/>
        </w:rPr>
        <w:t xml:space="preserve"> דמי לזורע, וכתב </w:t>
      </w:r>
      <w:r w:rsidRPr="00EA48D3">
        <w:rPr>
          <w:rStyle w:val="aff4"/>
          <w:rFonts w:hint="cs"/>
          <w:vanish/>
          <w:rtl/>
        </w:rPr>
        <w:t>-</w:t>
      </w:r>
      <w:r w:rsidRPr="00EA48D3">
        <w:rPr>
          <w:rStyle w:val="aff4"/>
          <w:rFonts w:hint="cs"/>
          <w:rtl/>
        </w:rPr>
        <w:t>האגלי טל</w:t>
      </w:r>
      <w:r w:rsidRPr="00EA48D3">
        <w:rPr>
          <w:rStyle w:val="aff4"/>
          <w:rFonts w:hint="cs"/>
          <w:vanish/>
          <w:rtl/>
        </w:rPr>
        <w:t>-</w:t>
      </w:r>
      <w:r w:rsidRPr="00EA48D3">
        <w:rPr>
          <w:rFonts w:hint="cs"/>
          <w:rtl/>
        </w:rPr>
        <w:t xml:space="preserve"> דלפי"ז אף לדעת </w:t>
      </w:r>
      <w:r w:rsidRPr="00EA48D3">
        <w:rPr>
          <w:rStyle w:val="aff4"/>
          <w:rFonts w:hint="cs"/>
          <w:vanish/>
          <w:rtl/>
        </w:rPr>
        <w:t>--</w:t>
      </w:r>
      <w:r w:rsidRPr="00EA48D3">
        <w:rPr>
          <w:rStyle w:val="aff4"/>
          <w:rFonts w:hint="cs"/>
          <w:rtl/>
        </w:rPr>
        <w:t>הסוברים</w:t>
      </w:r>
      <w:r w:rsidRPr="00EA48D3">
        <w:rPr>
          <w:rStyle w:val="aff4"/>
          <w:rFonts w:hint="cs"/>
          <w:vanish/>
          <w:rtl/>
        </w:rPr>
        <w:t>-</w:t>
      </w:r>
      <w:r w:rsidRPr="00EA48D3">
        <w:rPr>
          <w:rFonts w:hint="cs"/>
          <w:rtl/>
        </w:rPr>
        <w:t xml:space="preserve"> </w:t>
      </w:r>
      <w:r w:rsidRPr="00EA48D3">
        <w:rPr>
          <w:rStyle w:val="af"/>
          <w:rFonts w:hint="cs"/>
          <w:rtl/>
        </w:rPr>
        <w:t>[</w:t>
      </w:r>
      <w:r w:rsidRPr="00EA48D3">
        <w:rPr>
          <w:rStyle w:val="aff9"/>
          <w:rFonts w:hint="cs"/>
          <w:vanish/>
          <w:rtl/>
        </w:rPr>
        <w:t>-</w:t>
      </w:r>
      <w:r w:rsidRPr="00EA48D3">
        <w:rPr>
          <w:rStyle w:val="aff9"/>
          <w:rFonts w:hint="cs"/>
          <w:rtl/>
        </w:rPr>
        <w:t>ר"ח רמ"ך יראים</w:t>
      </w:r>
      <w:r w:rsidRPr="00EA48D3">
        <w:rPr>
          <w:rStyle w:val="aff9"/>
          <w:rFonts w:hint="cs"/>
          <w:vanish/>
          <w:rtl/>
        </w:rPr>
        <w:t>-</w:t>
      </w:r>
      <w:r w:rsidRPr="00EA48D3">
        <w:rPr>
          <w:rStyle w:val="af"/>
          <w:rFonts w:hint="cs"/>
          <w:rtl/>
        </w:rPr>
        <w:t xml:space="preserve">] </w:t>
      </w:r>
      <w:r w:rsidRPr="00EA48D3">
        <w:rPr>
          <w:rFonts w:hint="cs"/>
          <w:rtl/>
        </w:rPr>
        <w:t xml:space="preserve">דנוטע הוא תולדה, היינו דוקא בנוטע לצורך פירות, אבל בנוטע לצורך העצים עצמם, </w:t>
      </w:r>
      <w:r w:rsidRPr="00EA48D3">
        <w:rPr>
          <w:rStyle w:val="af"/>
          <w:rFonts w:hint="cs"/>
          <w:rtl/>
        </w:rPr>
        <w:t>[בעצי סרק],</w:t>
      </w:r>
      <w:r w:rsidRPr="00EA48D3">
        <w:rPr>
          <w:rFonts w:hint="cs"/>
          <w:rtl/>
        </w:rPr>
        <w:t xml:space="preserve"> מודו דהוי אב.</w:t>
      </w:r>
      <w:bookmarkEnd w:id="354"/>
    </w:p>
    <w:p w14:paraId="41A9ED18" w14:textId="77777777" w:rsidR="009623A2" w:rsidRPr="00747170" w:rsidRDefault="009623A2" w:rsidP="00747170">
      <w:pPr>
        <w:pStyle w:val="a2"/>
        <w:rPr>
          <w:rtl/>
        </w:rPr>
      </w:pPr>
      <w:r w:rsidRPr="00747170">
        <w:rPr>
          <w:rtl/>
        </w:rPr>
        <w:t xml:space="preserve">[ועל העצים אין לחייבו דאין מחשבתו על העצים ובשבת מלאכת מחשבת אסרה תורה] ולפי"ז שוב לא נוכל לומר שיהי' אב מחמת שהי' נטיעת עצים במשכן שהרי אינו ממש כמו נטיעה דהתם רק דומה לו כמו שדומה לזורע. והיוצא לנו מזה שנטיעת אילנות לצורך העצים. גם הי"א מודים שהוא אב מלאכה: </w:t>
      </w:r>
    </w:p>
    <w:p w14:paraId="2EF9784D" w14:textId="15073D91" w:rsidR="009623A2" w:rsidRPr="00EA48D3" w:rsidRDefault="009623A2" w:rsidP="009623A2">
      <w:pPr>
        <w:pStyle w:val="affff5"/>
      </w:pPr>
      <w:bookmarkStart w:id="356" w:name="_Toc134419658"/>
      <w:r w:rsidRPr="00EA48D3">
        <w:rPr>
          <w:rFonts w:hint="cs"/>
          <w:rtl/>
        </w:rPr>
        <w:t>~~~~~~~~~~~~~~~~~~~~~~~~~~~~</w:t>
      </w:r>
      <w:bookmarkEnd w:id="356"/>
    </w:p>
    <w:p w14:paraId="3388FFDC" w14:textId="77777777" w:rsidR="009623A2" w:rsidRPr="00EA48D3" w:rsidRDefault="009623A2" w:rsidP="009623A2">
      <w:pPr>
        <w:pStyle w:val="affff5"/>
        <w:rPr>
          <w:rtl/>
        </w:rPr>
      </w:pPr>
      <w:bookmarkStart w:id="357" w:name="_Toc134419659"/>
      <w:r w:rsidRPr="00EA48D3">
        <w:rPr>
          <w:rFonts w:hint="cs"/>
          <w:rtl/>
        </w:rPr>
        <w:t>אי זורע חייב רק בחיפוי או גם מגולה</w:t>
      </w:r>
      <w:bookmarkEnd w:id="357"/>
    </w:p>
    <w:p w14:paraId="29CC6541" w14:textId="77777777" w:rsidR="009623A2" w:rsidRPr="00EA48D3" w:rsidRDefault="009623A2" w:rsidP="009623A2">
      <w:pPr>
        <w:pStyle w:val="1"/>
        <w:rPr>
          <w:rtl/>
        </w:rPr>
      </w:pPr>
      <w:bookmarkStart w:id="358" w:name="_Toc134419660"/>
      <w:r w:rsidRPr="00EA48D3">
        <w:rPr>
          <w:rFonts w:hint="cs"/>
          <w:rtl/>
        </w:rPr>
        <w:t>פלו' המגן אבות והאגל"ט אי זורע והניח את הזרע מגולה חייב</w:t>
      </w:r>
      <w:bookmarkEnd w:id="358"/>
    </w:p>
    <w:p w14:paraId="21552949" w14:textId="77777777" w:rsidR="009623A2" w:rsidRPr="00EA48D3" w:rsidRDefault="009623A2" w:rsidP="009623A2">
      <w:pPr>
        <w:pStyle w:val="afffff7"/>
        <w:rPr>
          <w:rtl/>
        </w:rPr>
      </w:pPr>
      <w:bookmarkStart w:id="359" w:name="_Toc133841677"/>
      <w:bookmarkStart w:id="360" w:name="_Toc163505425"/>
      <w:r w:rsidRPr="00EA48D3">
        <w:rPr>
          <w:rtl/>
        </w:rPr>
        <w:t>אגלי טל באורים מלאכת זורע</w:t>
      </w:r>
      <w:r w:rsidRPr="00EA48D3">
        <w:rPr>
          <w:rFonts w:hint="cs"/>
          <w:rtl/>
        </w:rPr>
        <w:t xml:space="preserve"> סק"ז</w:t>
      </w:r>
      <w:bookmarkEnd w:id="359"/>
      <w:bookmarkEnd w:id="360"/>
    </w:p>
    <w:p w14:paraId="5B1D919C" w14:textId="77777777" w:rsidR="009623A2" w:rsidRPr="00EA48D3" w:rsidRDefault="009623A2" w:rsidP="009623A2">
      <w:pPr>
        <w:pStyle w:val="a7"/>
        <w:rPr>
          <w:rtl/>
        </w:rPr>
      </w:pPr>
      <w:bookmarkStart w:id="361" w:name="_Toc134419661"/>
      <w:r w:rsidRPr="00EA48D3">
        <w:rPr>
          <w:rFonts w:hint="cs"/>
          <w:rtl/>
        </w:rPr>
        <w:t>בי' המגן אבות דזורע הוא רק כשחפהו בקרקע ולא במגולה כמבו' בתוס' לעיל דבמכוסה הוי זרוע</w:t>
      </w:r>
      <w:bookmarkEnd w:id="361"/>
    </w:p>
    <w:p w14:paraId="18680170" w14:textId="644EDEC6" w:rsidR="009623A2" w:rsidRPr="00EA48D3" w:rsidRDefault="009623A2" w:rsidP="00BC7DC8">
      <w:pPr>
        <w:pStyle w:val="a3"/>
      </w:pPr>
      <w:bookmarkStart w:id="362" w:name="_Ref133360928"/>
      <w:r w:rsidRPr="00EA48D3">
        <w:rPr>
          <w:rFonts w:hint="cs"/>
          <w:rtl/>
        </w:rPr>
        <w:t xml:space="preserve">הביא </w:t>
      </w:r>
      <w:r w:rsidRPr="00EA48D3">
        <w:rPr>
          <w:rStyle w:val="aff4"/>
          <w:rFonts w:hint="cs"/>
          <w:vanish/>
          <w:rtl/>
        </w:rPr>
        <w:t>-</w:t>
      </w:r>
      <w:r w:rsidRPr="00EA48D3">
        <w:rPr>
          <w:rStyle w:val="aff4"/>
          <w:rFonts w:hint="cs"/>
          <w:rtl/>
        </w:rPr>
        <w:t>ה</w:t>
      </w:r>
      <w:r w:rsidRPr="00EA48D3">
        <w:rPr>
          <w:rStyle w:val="aff4"/>
          <w:rFonts w:hint="cs"/>
          <w:vanish/>
          <w:rtl/>
        </w:rPr>
        <w:t xml:space="preserve">&lt;. </w:t>
      </w:r>
      <w:r w:rsidRPr="00EA48D3">
        <w:rPr>
          <w:rStyle w:val="aff4"/>
          <w:vanish/>
          <w:rtl/>
        </w:rPr>
        <w:fldChar w:fldCharType="begin"/>
      </w:r>
      <w:r w:rsidRPr="00EA48D3">
        <w:rPr>
          <w:rStyle w:val="aff4"/>
          <w:vanish/>
          <w:rtl/>
        </w:rPr>
        <w:instrText xml:space="preserve"> </w:instrText>
      </w:r>
      <w:r w:rsidRPr="00EA48D3">
        <w:rPr>
          <w:rStyle w:val="aff4"/>
          <w:rFonts w:hint="cs"/>
          <w:vanish/>
        </w:rPr>
        <w:instrText>REF</w:instrText>
      </w:r>
      <w:r w:rsidRPr="00EA48D3">
        <w:rPr>
          <w:rStyle w:val="aff4"/>
          <w:rFonts w:hint="cs"/>
          <w:vanish/>
          <w:rtl/>
        </w:rPr>
        <w:instrText xml:space="preserve"> _</w:instrText>
      </w:r>
      <w:r w:rsidRPr="00EA48D3">
        <w:rPr>
          <w:rStyle w:val="aff4"/>
          <w:rFonts w:hint="cs"/>
          <w:vanish/>
        </w:rPr>
        <w:instrText>Ref133360928 \r \h</w:instrText>
      </w:r>
      <w:r w:rsidRPr="00EA48D3">
        <w:rPr>
          <w:rStyle w:val="aff4"/>
          <w:vanish/>
          <w:rtl/>
        </w:rPr>
        <w:instrText xml:space="preserve"> </w:instrText>
      </w:r>
      <w:r w:rsidRPr="00EA48D3">
        <w:rPr>
          <w:rStyle w:val="aff4"/>
          <w:vanish/>
          <w:rtl/>
        </w:rPr>
      </w:r>
      <w:r w:rsidRPr="00EA48D3">
        <w:rPr>
          <w:rStyle w:val="aff4"/>
          <w:vanish/>
          <w:rtl/>
        </w:rPr>
        <w:fldChar w:fldCharType="separate"/>
      </w:r>
      <w:r w:rsidR="00D82181">
        <w:rPr>
          <w:rStyle w:val="aff4"/>
          <w:vanish/>
          <w:cs/>
        </w:rPr>
        <w:t>‎</w:t>
      </w:r>
      <w:r w:rsidR="00D82181">
        <w:rPr>
          <w:rStyle w:val="aff4"/>
          <w:vanish/>
          <w:rtl/>
        </w:rPr>
        <w:t>עז)</w:t>
      </w:r>
      <w:r w:rsidRPr="00EA48D3">
        <w:rPr>
          <w:rStyle w:val="aff4"/>
          <w:vanish/>
          <w:rtl/>
        </w:rPr>
        <w:fldChar w:fldCharType="end"/>
      </w:r>
      <w:r w:rsidRPr="00EA48D3">
        <w:rPr>
          <w:rStyle w:val="aff4"/>
          <w:rFonts w:hint="cs"/>
          <w:vanish/>
          <w:rtl/>
        </w:rPr>
        <w:t xml:space="preserve"> &gt;</w:t>
      </w:r>
      <w:r w:rsidRPr="00EA48D3">
        <w:rPr>
          <w:rStyle w:val="aff4"/>
          <w:rFonts w:hint="cs"/>
          <w:rtl/>
        </w:rPr>
        <w:t>אגלי טל</w:t>
      </w:r>
      <w:r w:rsidRPr="00EA48D3">
        <w:rPr>
          <w:rStyle w:val="aff4"/>
          <w:rFonts w:hint="cs"/>
          <w:vanish/>
          <w:rtl/>
        </w:rPr>
        <w:t>-</w:t>
      </w:r>
      <w:r w:rsidRPr="00EA48D3">
        <w:rPr>
          <w:rFonts w:hint="cs"/>
          <w:rtl/>
        </w:rPr>
        <w:t xml:space="preserve"> </w:t>
      </w:r>
      <w:r w:rsidRPr="00EA48D3">
        <w:rPr>
          <w:rStyle w:val="af2"/>
          <w:rFonts w:eastAsia="Guttman Hodes" w:hint="cs"/>
          <w:rtl/>
        </w:rPr>
        <w:t>(זורע סק"ז)</w:t>
      </w:r>
      <w:r w:rsidRPr="00EA48D3">
        <w:rPr>
          <w:rFonts w:hint="cs"/>
          <w:vanish/>
          <w:rtl/>
        </w:rPr>
        <w:t>=</w:t>
      </w:r>
      <w:r w:rsidRPr="00EA48D3">
        <w:rPr>
          <w:rFonts w:hint="cs"/>
          <w:rtl/>
        </w:rPr>
        <w:t xml:space="preserve"> את דברי </w:t>
      </w:r>
      <w:r w:rsidRPr="00EA48D3">
        <w:rPr>
          <w:rStyle w:val="aff4"/>
          <w:rFonts w:hint="cs"/>
          <w:vanish/>
          <w:rtl/>
        </w:rPr>
        <w:t>-</w:t>
      </w:r>
      <w:r w:rsidRPr="00EA48D3">
        <w:rPr>
          <w:rStyle w:val="aff4"/>
          <w:rFonts w:hint="cs"/>
          <w:rtl/>
        </w:rPr>
        <w:t>ה</w:t>
      </w:r>
      <w:r w:rsidRPr="00EA48D3">
        <w:rPr>
          <w:rStyle w:val="aff4"/>
          <w:rFonts w:hint="cs"/>
          <w:vanish/>
          <w:rtl/>
        </w:rPr>
        <w:t>&lt; &gt;</w:t>
      </w:r>
      <w:r w:rsidRPr="00EA48D3">
        <w:rPr>
          <w:rStyle w:val="aff4"/>
          <w:rFonts w:hint="cs"/>
          <w:rtl/>
        </w:rPr>
        <w:t>מגן אבות</w:t>
      </w:r>
      <w:r w:rsidRPr="00EA48D3">
        <w:rPr>
          <w:rStyle w:val="aff4"/>
          <w:rFonts w:hint="cs"/>
          <w:vanish/>
          <w:rtl/>
        </w:rPr>
        <w:t>-</w:t>
      </w:r>
      <w:r w:rsidRPr="00EA48D3">
        <w:rPr>
          <w:rFonts w:hint="cs"/>
          <w:rtl/>
        </w:rPr>
        <w:t xml:space="preserve"> </w:t>
      </w:r>
      <w:r w:rsidRPr="00EA48D3">
        <w:rPr>
          <w:rStyle w:val="af2"/>
          <w:rFonts w:eastAsia="Guttman Hodes" w:hint="cs"/>
          <w:rtl/>
        </w:rPr>
        <w:t>(זורע)</w:t>
      </w:r>
      <w:r w:rsidRPr="00EA48D3">
        <w:rPr>
          <w:rFonts w:hint="cs"/>
          <w:vanish/>
          <w:rtl/>
        </w:rPr>
        <w:t>=</w:t>
      </w:r>
      <w:r w:rsidRPr="00EA48D3">
        <w:rPr>
          <w:rFonts w:hint="cs"/>
          <w:rtl/>
        </w:rPr>
        <w:t xml:space="preserve"> דכתב דמהות זריעה היא כיסוי הזרע בקרקע, כדמשמע בגמ' במכות </w:t>
      </w:r>
      <w:r w:rsidRPr="00EA48D3">
        <w:rPr>
          <w:rStyle w:val="af2"/>
          <w:rFonts w:eastAsia="Guttman Hodes" w:hint="cs"/>
          <w:rtl/>
        </w:rPr>
        <w:t>(כא:)</w:t>
      </w:r>
      <w:r w:rsidRPr="00EA48D3">
        <w:rPr>
          <w:rFonts w:hint="cs"/>
          <w:rtl/>
        </w:rPr>
        <w:t xml:space="preserve"> דכשהוא חורש מכסה את הזרע והו"ל זורע, וכן משמע בהא דהביאה הגמ' לעיל </w:t>
      </w:r>
      <w:r w:rsidRPr="00EA48D3">
        <w:rPr>
          <w:rStyle w:val="af2"/>
          <w:rFonts w:eastAsia="Guttman Hodes" w:hint="cs"/>
          <w:rtl/>
        </w:rPr>
        <w:t>(נ:)</w:t>
      </w:r>
      <w:r w:rsidRPr="00EA48D3">
        <w:rPr>
          <w:rFonts w:hint="cs"/>
          <w:rtl/>
        </w:rPr>
        <w:t xml:space="preserve"> את המשנה בכלאים </w:t>
      </w:r>
      <w:r w:rsidRPr="00EA48D3">
        <w:rPr>
          <w:rStyle w:val="af2"/>
          <w:rFonts w:eastAsia="Guttman Hodes" w:hint="cs"/>
          <w:rtl/>
        </w:rPr>
        <w:t>(פ"ט מ"א)</w:t>
      </w:r>
      <w:r w:rsidRPr="00EA48D3">
        <w:rPr>
          <w:rFonts w:hint="cs"/>
          <w:rtl/>
        </w:rPr>
        <w:t xml:space="preserve"> דטומן לפת איירי במגולה מקצתו, וביארו </w:t>
      </w:r>
      <w:r w:rsidRPr="00EA48D3">
        <w:rPr>
          <w:rStyle w:val="aff4"/>
          <w:rFonts w:hint="cs"/>
          <w:vanish/>
          <w:rtl/>
        </w:rPr>
        <w:t>-</w:t>
      </w:r>
      <w:r w:rsidRPr="00EA48D3">
        <w:rPr>
          <w:rStyle w:val="aff4"/>
          <w:rFonts w:hint="cs"/>
          <w:rtl/>
        </w:rPr>
        <w:t>התוס' לעיל</w:t>
      </w:r>
      <w:r w:rsidRPr="00EA48D3">
        <w:rPr>
          <w:rStyle w:val="aff4"/>
          <w:rFonts w:hint="cs"/>
          <w:vanish/>
          <w:rtl/>
        </w:rPr>
        <w:t>-</w:t>
      </w:r>
      <w:r w:rsidRPr="00EA48D3">
        <w:rPr>
          <w:rFonts w:hint="cs"/>
          <w:rtl/>
        </w:rPr>
        <w:t xml:space="preserve"> </w:t>
      </w:r>
      <w:r w:rsidRPr="00EA48D3">
        <w:rPr>
          <w:rStyle w:val="af2"/>
          <w:rFonts w:eastAsia="Guttman Hodes" w:hint="cs"/>
          <w:rtl/>
        </w:rPr>
        <w:t>(נ: ד"ה מקצת)</w:t>
      </w:r>
      <w:r w:rsidRPr="00EA48D3">
        <w:rPr>
          <w:rFonts w:hint="cs"/>
          <w:rtl/>
        </w:rPr>
        <w:t xml:space="preserve"> בשם </w:t>
      </w:r>
      <w:r w:rsidRPr="00EA48D3">
        <w:rPr>
          <w:rStyle w:val="aff4"/>
          <w:rFonts w:hint="cs"/>
          <w:vanish/>
          <w:rtl/>
        </w:rPr>
        <w:t>-</w:t>
      </w:r>
      <w:r w:rsidRPr="00EA48D3">
        <w:rPr>
          <w:rStyle w:val="aff4"/>
          <w:rFonts w:hint="cs"/>
          <w:rtl/>
        </w:rPr>
        <w:t>רב האי גאון</w:t>
      </w:r>
      <w:r w:rsidRPr="00EA48D3">
        <w:rPr>
          <w:rStyle w:val="aff4"/>
          <w:rFonts w:hint="cs"/>
          <w:vanish/>
          <w:rtl/>
        </w:rPr>
        <w:t>-</w:t>
      </w:r>
      <w:r w:rsidRPr="00EA48D3">
        <w:rPr>
          <w:rFonts w:hint="cs"/>
          <w:rtl/>
        </w:rPr>
        <w:t xml:space="preserve"> דאם מכוסה כולו הו"ל זורע, ומשמע דכל שהוא מגולה אינו זורע.</w:t>
      </w:r>
    </w:p>
    <w:p w14:paraId="690BF183" w14:textId="77777777" w:rsidR="009623A2" w:rsidRPr="00747170" w:rsidRDefault="009623A2" w:rsidP="00747170">
      <w:pPr>
        <w:pStyle w:val="a2"/>
        <w:rPr>
          <w:rtl/>
        </w:rPr>
      </w:pPr>
      <w:r w:rsidRPr="00747170">
        <w:rPr>
          <w:rtl/>
        </w:rPr>
        <w:t>[ז] לא חיפה הזרע בעפר. הנה ראיתי בס' מגן אבות שכתב וז"ל מהות הזריעה שמכסה הזרע בקרקע כ"מ בסוף מכות דקאמר שם דבהדי דחריש קמכסה לה לזרע והו"ל זורע. וכ"כ משמע במשנה דאייתי הש"ס לעיל פ' במה טומנין דף נ': הטומן לפת כו' דפי' רב האי גאון שם דר"ל שמגלה מקצתו דאל"כ הוי לי' זריעה משמע במגולה ליכא זריעה.</w:t>
      </w:r>
    </w:p>
    <w:p w14:paraId="0A3D27E7" w14:textId="77777777" w:rsidR="009623A2" w:rsidRPr="00EA48D3" w:rsidRDefault="009623A2" w:rsidP="009623A2">
      <w:pPr>
        <w:pStyle w:val="a7"/>
      </w:pPr>
      <w:bookmarkStart w:id="363" w:name="_Toc134419662"/>
      <w:r w:rsidRPr="00EA48D3">
        <w:rPr>
          <w:rtl/>
        </w:rPr>
        <w:t>בי' האגל"ט דאף כשהזרע מגולה הוי זורע</w:t>
      </w:r>
      <w:r w:rsidRPr="00EA48D3">
        <w:rPr>
          <w:rFonts w:hint="cs"/>
          <w:rtl/>
        </w:rPr>
        <w:t xml:space="preserve"> דאל"ה מה החידוש במכות דהמחפה בכלאים לוקה</w:t>
      </w:r>
      <w:bookmarkEnd w:id="363"/>
    </w:p>
    <w:p w14:paraId="67307F50" w14:textId="340F414B" w:rsidR="009623A2" w:rsidRPr="00EA48D3" w:rsidRDefault="009623A2" w:rsidP="00BC7DC8">
      <w:pPr>
        <w:pStyle w:val="a3"/>
        <w:rPr>
          <w:rtl/>
        </w:rPr>
      </w:pPr>
      <w:r w:rsidRPr="00EA48D3">
        <w:rPr>
          <w:rFonts w:hint="cs"/>
          <w:rtl/>
        </w:rPr>
        <w:t xml:space="preserve">ודחה </w:t>
      </w:r>
      <w:r w:rsidRPr="00EA48D3">
        <w:rPr>
          <w:rStyle w:val="aff4"/>
          <w:rFonts w:hint="cs"/>
          <w:vanish/>
          <w:rtl/>
        </w:rPr>
        <w:t>-</w:t>
      </w:r>
      <w:r w:rsidRPr="00EA48D3">
        <w:rPr>
          <w:rStyle w:val="aff4"/>
          <w:rFonts w:hint="cs"/>
          <w:rtl/>
        </w:rPr>
        <w:t>האגלי טל</w:t>
      </w:r>
      <w:r w:rsidRPr="00EA48D3">
        <w:rPr>
          <w:rStyle w:val="aff4"/>
          <w:rFonts w:hint="cs"/>
          <w:vanish/>
          <w:rtl/>
        </w:rPr>
        <w:t>-</w:t>
      </w:r>
      <w:r w:rsidRPr="00EA48D3">
        <w:rPr>
          <w:rFonts w:hint="cs"/>
          <w:rtl/>
        </w:rPr>
        <w:t xml:space="preserve"> דחיוב זורע הוא אף כשהזרע מגולה, דאל"ה מה החידוש בגמ' במכות דהמפה בכלאים לוקה, הא פשיטא דהוי זורע, ועיי"ש במה שהוסיף </w:t>
      </w:r>
      <w:r w:rsidRPr="00EA48D3">
        <w:rPr>
          <w:rStyle w:val="aff4"/>
          <w:rFonts w:hint="cs"/>
          <w:vanish/>
          <w:rtl/>
        </w:rPr>
        <w:t>-</w:t>
      </w:r>
      <w:r w:rsidRPr="00EA48D3">
        <w:rPr>
          <w:rStyle w:val="aff4"/>
          <w:rFonts w:hint="cs"/>
          <w:rtl/>
        </w:rPr>
        <w:t>האגלי טל</w:t>
      </w:r>
      <w:r w:rsidRPr="00EA48D3">
        <w:rPr>
          <w:rStyle w:val="aff4"/>
          <w:rFonts w:hint="cs"/>
          <w:vanish/>
          <w:rtl/>
        </w:rPr>
        <w:t>-</w:t>
      </w:r>
      <w:r w:rsidRPr="00EA48D3">
        <w:rPr>
          <w:rFonts w:hint="cs"/>
          <w:rtl/>
        </w:rPr>
        <w:t xml:space="preserve"> להוכיח כן, וע"ע במ"ש בזה </w:t>
      </w:r>
      <w:r w:rsidRPr="00EA48D3">
        <w:rPr>
          <w:rStyle w:val="aff4"/>
          <w:rFonts w:hint="cs"/>
          <w:rtl/>
        </w:rPr>
        <w:t>ה</w:t>
      </w:r>
      <w:r w:rsidRPr="00EA48D3">
        <w:rPr>
          <w:rStyle w:val="aff4"/>
          <w:rFonts w:hint="cs"/>
          <w:vanish/>
          <w:rtl/>
        </w:rPr>
        <w:t>&lt; &gt;</w:t>
      </w:r>
      <w:r w:rsidRPr="00EA48D3">
        <w:rPr>
          <w:rStyle w:val="aff4"/>
          <w:rtl/>
        </w:rPr>
        <w:t>אפיקי ים</w:t>
      </w:r>
      <w:r w:rsidRPr="00EA48D3">
        <w:rPr>
          <w:rStyle w:val="aff4"/>
          <w:rFonts w:hint="cs"/>
          <w:vanish/>
          <w:rtl/>
        </w:rPr>
        <w:t>-</w:t>
      </w:r>
      <w:r w:rsidRPr="00EA48D3">
        <w:rPr>
          <w:rtl/>
        </w:rPr>
        <w:t xml:space="preserve"> </w:t>
      </w:r>
      <w:r w:rsidRPr="00EA48D3">
        <w:rPr>
          <w:rStyle w:val="af2"/>
          <w:rFonts w:eastAsia="Guttman Hodes" w:hint="cs"/>
          <w:rtl/>
        </w:rPr>
        <w:t>(ח"</w:t>
      </w:r>
      <w:r w:rsidRPr="00EA48D3">
        <w:rPr>
          <w:rStyle w:val="af2"/>
          <w:rFonts w:eastAsia="Guttman Hodes"/>
          <w:rtl/>
        </w:rPr>
        <w:t>ב סי</w:t>
      </w:r>
      <w:r w:rsidRPr="00EA48D3">
        <w:rPr>
          <w:rStyle w:val="af2"/>
          <w:rFonts w:eastAsia="Guttman Hodes" w:hint="cs"/>
          <w:rtl/>
        </w:rPr>
        <w:t>'</w:t>
      </w:r>
      <w:r w:rsidRPr="00EA48D3">
        <w:rPr>
          <w:rStyle w:val="af2"/>
          <w:rFonts w:eastAsia="Guttman Hodes"/>
          <w:rtl/>
        </w:rPr>
        <w:t xml:space="preserve"> ד</w:t>
      </w:r>
      <w:r w:rsidRPr="00EA48D3">
        <w:rPr>
          <w:rStyle w:val="af2"/>
          <w:rFonts w:eastAsia="Guttman Hodes" w:hint="cs"/>
          <w:rtl/>
        </w:rPr>
        <w:t>'</w:t>
      </w:r>
      <w:r w:rsidRPr="00EA48D3">
        <w:rPr>
          <w:rStyle w:val="af2"/>
          <w:rFonts w:eastAsia="Guttman Hodes"/>
          <w:rtl/>
        </w:rPr>
        <w:t xml:space="preserve"> ענף א</w:t>
      </w:r>
      <w:r w:rsidRPr="00EA48D3">
        <w:rPr>
          <w:rStyle w:val="af2"/>
          <w:rFonts w:eastAsia="Guttman Hodes" w:hint="cs"/>
          <w:rtl/>
        </w:rPr>
        <w:t>' ד"ה וראיתי במגן אבות)</w:t>
      </w:r>
      <w:r w:rsidRPr="00EA48D3">
        <w:rPr>
          <w:rFonts w:hint="cs"/>
          <w:vanish/>
          <w:rtl/>
        </w:rPr>
        <w:t>=</w:t>
      </w:r>
      <w:r w:rsidRPr="00EA48D3">
        <w:rPr>
          <w:rFonts w:hint="cs"/>
          <w:rtl/>
        </w:rPr>
        <w:t>.</w:t>
      </w:r>
      <w:bookmarkEnd w:id="362"/>
    </w:p>
    <w:p w14:paraId="4A911B52" w14:textId="77777777" w:rsidR="009623A2" w:rsidRPr="00747170" w:rsidRDefault="009623A2" w:rsidP="00747170">
      <w:pPr>
        <w:pStyle w:val="a2"/>
        <w:rPr>
          <w:rtl/>
        </w:rPr>
      </w:pPr>
      <w:r w:rsidRPr="00747170">
        <w:rPr>
          <w:rtl/>
        </w:rPr>
        <w:t xml:space="preserve">ולדידי הני מילי ליתנייהו אלא הזורע אף שלא חיפה בעפר חייב. ואם תאמר דזריעה היינו שמכסה הזרע בעפר א"כ מה חידש ר' ינאי במכות [כא ב] דאמר המחפה בכלאים לוקה. לדבריו כל זריעה כך הוא. ועוד בגמ' ע"ג: דמקשה מכדי מיכרב כרבי ברישא ליתני חורש והדר ליתני זורע ומשני תנא בא"י קאי דזרעי ברישא והדר כרבי. פירש"י בא"י קשה הוא ואינו יכול לכסות בלא חרישה עד כאן. וא"כ הזורע דתני במשנה קודם החורש היינו זריעה בלא כסוי הרי דזריעה בלא כסוי הוא אב מלאכה ור' ינאי חידש דמחפה ג"כ נחשב זורע שהיא מצרכי הזריעה וכעין שכ' הרמב"ם [פ"ט הי"א] בסחיטה שהיא מצרכי הכיבוס כמו שהגסה מצרכי הבישול וע"כ חייב המחפה ג"כ והא דהטומן לפת כו' יתבאר לפנינו במלאכת קוצר באר היטב בעז"ה ושם יתבאר דאדרבא משם מוכח דאף במגולה הוי זריעה: </w:t>
      </w:r>
    </w:p>
    <w:p w14:paraId="3BD1EAE9" w14:textId="147925D2" w:rsidR="009623A2" w:rsidRPr="00EA48D3" w:rsidRDefault="009623A2" w:rsidP="009623A2">
      <w:pPr>
        <w:pStyle w:val="afffff7"/>
        <w:rPr>
          <w:rtl/>
        </w:rPr>
      </w:pPr>
      <w:bookmarkStart w:id="364" w:name="_Toc133841678"/>
      <w:bookmarkStart w:id="365" w:name="_Toc163505426"/>
      <w:r w:rsidRPr="00EA48D3">
        <w:rPr>
          <w:rFonts w:hint="cs"/>
          <w:rtl/>
        </w:rPr>
        <w:t>מגן אבות זורע</w:t>
      </w:r>
      <w:bookmarkEnd w:id="364"/>
      <w:bookmarkEnd w:id="365"/>
    </w:p>
    <w:p w14:paraId="7F2DC97A" w14:textId="77777777" w:rsidR="009623A2" w:rsidRPr="00EA48D3" w:rsidRDefault="009623A2" w:rsidP="00747170">
      <w:pPr>
        <w:pStyle w:val="afffff5"/>
        <w:rPr>
          <w:rtl/>
        </w:rPr>
      </w:pPr>
      <w:r w:rsidRPr="00EA48D3">
        <w:rPr>
          <w:rtl/>
        </w:rPr>
        <w:t>הזורק מהות ה</w:t>
      </w:r>
      <w:r w:rsidRPr="00EA48D3">
        <w:rPr>
          <w:rFonts w:hint="cs"/>
          <w:rtl/>
        </w:rPr>
        <w:t>ז</w:t>
      </w:r>
      <w:r w:rsidRPr="00EA48D3">
        <w:rPr>
          <w:rtl/>
        </w:rPr>
        <w:t>ריעה שמכסה זרע בקרקע כ"מ בסוף מכות דף כ"א ע"ב דקאמר שם דבהדי דקא חריש קא מכסה לה ל</w:t>
      </w:r>
      <w:r w:rsidRPr="00EA48D3">
        <w:rPr>
          <w:rFonts w:hint="cs"/>
          <w:rtl/>
        </w:rPr>
        <w:t>ז</w:t>
      </w:r>
      <w:r w:rsidRPr="00EA48D3">
        <w:rPr>
          <w:rtl/>
        </w:rPr>
        <w:t xml:space="preserve">רע והוי ליה זורע ג"כ משמע במשנה דאייתי הש"ס לעיל בפרק במה טומנין דף נ' ע"ב הטומן לפת כו' דפירש רב האי גאון שם הובא בתוס' ד"ה מקצת דר"ל שמגלה מקצתו </w:t>
      </w:r>
      <w:r w:rsidRPr="00EA48D3">
        <w:rPr>
          <w:rFonts w:hint="cs"/>
          <w:rtl/>
        </w:rPr>
        <w:t>ד</w:t>
      </w:r>
      <w:r w:rsidRPr="00EA48D3">
        <w:rPr>
          <w:rtl/>
        </w:rPr>
        <w:t>אם לא כן הוי ליה זריעה ואף לפי' התוס' והר"ש שם כלאיים פ"א מ"ט לא פליגי בהא על רבינו האי ובכי האי גוונא מיירי הך דלעיל בדף מ"ה ע"א בעי מיניה כו' חטין שזרען קרקע כו' דר"ל בעודן מגולה אבל אי מכוסין בהן כיון דהוי ליה לזרעי' הנוטל משם הוי ליה תלישה ויש לדחות דמיירי בלא השרישו כפרש"י שם ולכאורה להירושלמי שם בהך דלפת שטמנן כו' דר"ל דוקא באגודה ופירשו הר"ש והתוס' שאז אינם כדרך השרשה א"כ לכאורה יש ללמוד משם בזורע אגודה יחד אין חייב משום זורע ורק מדרבנן אסור ויש לדחות דרק התם לענין שנוטלן משם כיון דלא השרישו אין בו משום תלישה אבל מכל מקום הזרען אדעתא שישרשו חייב אפילו באגודה</w:t>
      </w:r>
      <w:r w:rsidRPr="00EA48D3">
        <w:rPr>
          <w:rFonts w:hint="cs"/>
          <w:rtl/>
        </w:rPr>
        <w:t>.</w:t>
      </w:r>
    </w:p>
    <w:p w14:paraId="1A974F8C" w14:textId="77777777" w:rsidR="009623A2" w:rsidRPr="00EA48D3" w:rsidRDefault="009623A2" w:rsidP="009623A2">
      <w:pPr>
        <w:pStyle w:val="a7"/>
        <w:rPr>
          <w:rtl/>
        </w:rPr>
      </w:pPr>
    </w:p>
    <w:p w14:paraId="39D37C03" w14:textId="77777777" w:rsidR="009623A2" w:rsidRPr="00EA48D3" w:rsidRDefault="009623A2" w:rsidP="009623A2">
      <w:pPr>
        <w:pStyle w:val="affff5"/>
      </w:pPr>
      <w:bookmarkStart w:id="366" w:name="_Toc134419663"/>
      <w:r w:rsidRPr="00EA48D3">
        <w:rPr>
          <w:rFonts w:hint="cs"/>
          <w:rtl/>
        </w:rPr>
        <w:t>~~~~~~~~~~~~~~~~~~~~~~~~~~~~</w:t>
      </w:r>
      <w:bookmarkEnd w:id="366"/>
    </w:p>
    <w:p w14:paraId="014943E1" w14:textId="77777777" w:rsidR="009623A2" w:rsidRPr="00EA48D3" w:rsidRDefault="009623A2" w:rsidP="009623A2">
      <w:pPr>
        <w:pStyle w:val="affff5"/>
        <w:rPr>
          <w:rtl/>
        </w:rPr>
      </w:pPr>
      <w:bookmarkStart w:id="367" w:name="_Toc134419664"/>
      <w:r w:rsidRPr="00EA48D3">
        <w:rPr>
          <w:rFonts w:hint="cs"/>
          <w:rtl/>
        </w:rPr>
        <w:t>ד' הרמב"ם דהשורה חיטין במים חייב</w:t>
      </w:r>
      <w:bookmarkEnd w:id="367"/>
    </w:p>
    <w:p w14:paraId="72BDB878" w14:textId="77777777" w:rsidR="009623A2" w:rsidRPr="00EA48D3" w:rsidRDefault="009623A2" w:rsidP="009623A2">
      <w:pPr>
        <w:pStyle w:val="1"/>
        <w:rPr>
          <w:rtl/>
        </w:rPr>
      </w:pPr>
      <w:bookmarkStart w:id="368" w:name="_Toc134419665"/>
      <w:r w:rsidRPr="00EA48D3">
        <w:rPr>
          <w:rFonts w:hint="cs"/>
          <w:rtl/>
        </w:rPr>
        <w:lastRenderedPageBreak/>
        <w:t>בי' הרמב"ם דהשורה חיטין במים הוא תולדת זורע וחייב</w:t>
      </w:r>
      <w:bookmarkEnd w:id="368"/>
    </w:p>
    <w:p w14:paraId="735ADA77" w14:textId="77777777" w:rsidR="009623A2" w:rsidRPr="00EA48D3" w:rsidRDefault="009623A2" w:rsidP="009623A2">
      <w:pPr>
        <w:pStyle w:val="afffff7"/>
        <w:rPr>
          <w:rtl/>
        </w:rPr>
      </w:pPr>
      <w:bookmarkStart w:id="369" w:name="_Toc133841679"/>
      <w:bookmarkStart w:id="370" w:name="_Toc163505427"/>
      <w:r w:rsidRPr="00EA48D3">
        <w:rPr>
          <w:rtl/>
        </w:rPr>
        <w:t>רמב"ם שבת ח' ב'</w:t>
      </w:r>
      <w:bookmarkEnd w:id="369"/>
      <w:bookmarkEnd w:id="370"/>
    </w:p>
    <w:p w14:paraId="7F7BEACE" w14:textId="77777777" w:rsidR="009623A2" w:rsidRPr="00EA48D3" w:rsidRDefault="009623A2" w:rsidP="009623A2">
      <w:pPr>
        <w:pStyle w:val="a7"/>
        <w:rPr>
          <w:rtl/>
        </w:rPr>
      </w:pPr>
      <w:bookmarkStart w:id="371" w:name="_Toc134419666"/>
      <w:r w:rsidRPr="00EA48D3">
        <w:rPr>
          <w:rFonts w:hint="cs"/>
          <w:rtl/>
        </w:rPr>
        <w:t>בי' הרמב"ם דהשורה חיטין במים תולדת זורע ובי' המ"מ דמקורו מזבחים וקו' המג"א דל"מ כן</w:t>
      </w:r>
      <w:bookmarkEnd w:id="371"/>
    </w:p>
    <w:p w14:paraId="4FEBF079" w14:textId="6EDB0F92" w:rsidR="009623A2" w:rsidRPr="00EA48D3" w:rsidRDefault="009623A2" w:rsidP="00BC7DC8">
      <w:pPr>
        <w:pStyle w:val="a3"/>
        <w:rPr>
          <w:rtl/>
        </w:rPr>
      </w:pPr>
      <w:bookmarkStart w:id="372" w:name="_Ref133143291"/>
      <w:r w:rsidRPr="00EA48D3">
        <w:rPr>
          <w:rFonts w:hint="cs"/>
          <w:rtl/>
        </w:rPr>
        <w:t xml:space="preserve">כתב </w:t>
      </w:r>
      <w:r w:rsidRPr="00EA48D3">
        <w:rPr>
          <w:rStyle w:val="aff4"/>
          <w:rFonts w:hint="cs"/>
          <w:vanish/>
          <w:rtl/>
        </w:rPr>
        <w:t>-</w:t>
      </w:r>
      <w:r w:rsidRPr="00EA48D3">
        <w:rPr>
          <w:rStyle w:val="aff4"/>
          <w:rFonts w:hint="cs"/>
          <w:rtl/>
        </w:rPr>
        <w:t>ה</w:t>
      </w:r>
      <w:r w:rsidRPr="00EA48D3">
        <w:rPr>
          <w:rStyle w:val="aff4"/>
          <w:rFonts w:hint="cs"/>
          <w:vanish/>
          <w:rtl/>
        </w:rPr>
        <w:t xml:space="preserve">&lt;. </w:t>
      </w:r>
      <w:r w:rsidRPr="00EA48D3">
        <w:rPr>
          <w:rStyle w:val="aff4"/>
          <w:vanish/>
          <w:rtl/>
        </w:rPr>
        <w:fldChar w:fldCharType="begin"/>
      </w:r>
      <w:r w:rsidRPr="00EA48D3">
        <w:rPr>
          <w:rStyle w:val="aff4"/>
          <w:vanish/>
          <w:rtl/>
        </w:rPr>
        <w:instrText xml:space="preserve"> </w:instrText>
      </w:r>
      <w:r w:rsidRPr="00EA48D3">
        <w:rPr>
          <w:rStyle w:val="aff4"/>
          <w:rFonts w:hint="cs"/>
          <w:vanish/>
        </w:rPr>
        <w:instrText>REF</w:instrText>
      </w:r>
      <w:r w:rsidRPr="00EA48D3">
        <w:rPr>
          <w:rStyle w:val="aff4"/>
          <w:rFonts w:hint="cs"/>
          <w:vanish/>
          <w:rtl/>
        </w:rPr>
        <w:instrText xml:space="preserve"> _</w:instrText>
      </w:r>
      <w:r w:rsidRPr="00EA48D3">
        <w:rPr>
          <w:rStyle w:val="aff4"/>
          <w:rFonts w:hint="cs"/>
          <w:vanish/>
        </w:rPr>
        <w:instrText>Ref133143291 \r \h</w:instrText>
      </w:r>
      <w:r w:rsidRPr="00EA48D3">
        <w:rPr>
          <w:rStyle w:val="aff4"/>
          <w:vanish/>
          <w:rtl/>
        </w:rPr>
        <w:instrText xml:space="preserve"> </w:instrText>
      </w:r>
      <w:r w:rsidRPr="00EA48D3">
        <w:rPr>
          <w:rStyle w:val="aff4"/>
          <w:vanish/>
          <w:rtl/>
        </w:rPr>
      </w:r>
      <w:r w:rsidRPr="00EA48D3">
        <w:rPr>
          <w:rStyle w:val="aff4"/>
          <w:vanish/>
          <w:rtl/>
        </w:rPr>
        <w:fldChar w:fldCharType="separate"/>
      </w:r>
      <w:r w:rsidR="00D82181">
        <w:rPr>
          <w:rStyle w:val="aff4"/>
          <w:vanish/>
          <w:cs/>
        </w:rPr>
        <w:t>‎</w:t>
      </w:r>
      <w:r w:rsidR="00D82181">
        <w:rPr>
          <w:rStyle w:val="aff4"/>
          <w:vanish/>
          <w:rtl/>
        </w:rPr>
        <w:t>עט)</w:t>
      </w:r>
      <w:r w:rsidRPr="00EA48D3">
        <w:rPr>
          <w:rStyle w:val="aff4"/>
          <w:vanish/>
          <w:rtl/>
        </w:rPr>
        <w:fldChar w:fldCharType="end"/>
      </w:r>
      <w:r w:rsidRPr="00EA48D3">
        <w:rPr>
          <w:rStyle w:val="aff4"/>
          <w:rFonts w:hint="cs"/>
          <w:vanish/>
          <w:rtl/>
        </w:rPr>
        <w:t xml:space="preserve"> &gt;</w:t>
      </w:r>
      <w:r w:rsidRPr="00EA48D3">
        <w:rPr>
          <w:rStyle w:val="aff4"/>
          <w:rFonts w:hint="cs"/>
          <w:rtl/>
        </w:rPr>
        <w:t>רמב"ם</w:t>
      </w:r>
      <w:r w:rsidRPr="00EA48D3">
        <w:rPr>
          <w:rStyle w:val="aff4"/>
          <w:rFonts w:hint="cs"/>
          <w:vanish/>
          <w:rtl/>
        </w:rPr>
        <w:t>-</w:t>
      </w:r>
      <w:r w:rsidRPr="00EA48D3">
        <w:rPr>
          <w:rFonts w:hint="cs"/>
          <w:rtl/>
        </w:rPr>
        <w:t xml:space="preserve"> </w:t>
      </w:r>
      <w:r w:rsidRPr="00EA48D3">
        <w:rPr>
          <w:rStyle w:val="af2"/>
          <w:rFonts w:eastAsia="Guttman Hodes" w:hint="cs"/>
          <w:rtl/>
        </w:rPr>
        <w:t>(שבת פ"ח ה"ב)</w:t>
      </w:r>
      <w:r w:rsidRPr="00EA48D3">
        <w:rPr>
          <w:rFonts w:hint="cs"/>
          <w:vanish/>
          <w:rtl/>
        </w:rPr>
        <w:t>=</w:t>
      </w:r>
      <w:r w:rsidRPr="00EA48D3">
        <w:rPr>
          <w:rFonts w:hint="cs"/>
          <w:rtl/>
        </w:rPr>
        <w:t xml:space="preserve"> דהשורה חיטין ושעורין וכיו"ב במים, הוא תולדה של זורע וחייב בכל שהוא, וביאר </w:t>
      </w:r>
      <w:r w:rsidRPr="00EA48D3">
        <w:rPr>
          <w:rStyle w:val="aff4"/>
          <w:rFonts w:hint="cs"/>
          <w:vanish/>
          <w:rtl/>
        </w:rPr>
        <w:t>-</w:t>
      </w:r>
      <w:r w:rsidRPr="00EA48D3">
        <w:rPr>
          <w:rStyle w:val="aff4"/>
          <w:rFonts w:hint="cs"/>
          <w:rtl/>
        </w:rPr>
        <w:t>ה</w:t>
      </w:r>
      <w:r w:rsidRPr="00EA48D3">
        <w:rPr>
          <w:rStyle w:val="aff4"/>
          <w:rFonts w:hint="cs"/>
          <w:vanish/>
          <w:rtl/>
        </w:rPr>
        <w:t>&lt; &gt;</w:t>
      </w:r>
      <w:r w:rsidRPr="00EA48D3">
        <w:rPr>
          <w:rStyle w:val="aff4"/>
          <w:rFonts w:hint="cs"/>
          <w:rtl/>
        </w:rPr>
        <w:t>מ"מ</w:t>
      </w:r>
      <w:r w:rsidRPr="00EA48D3">
        <w:rPr>
          <w:rStyle w:val="aff4"/>
          <w:rFonts w:hint="cs"/>
          <w:vanish/>
          <w:rtl/>
        </w:rPr>
        <w:t>-</w:t>
      </w:r>
      <w:r w:rsidRPr="00EA48D3">
        <w:rPr>
          <w:rFonts w:hint="cs"/>
          <w:rtl/>
        </w:rPr>
        <w:t xml:space="preserve"> </w:t>
      </w:r>
      <w:r w:rsidRPr="00EA48D3">
        <w:rPr>
          <w:rStyle w:val="af2"/>
          <w:rFonts w:eastAsia="Guttman Hodes" w:hint="cs"/>
          <w:rtl/>
        </w:rPr>
        <w:t>(שבת פ"ח ה"ב)</w:t>
      </w:r>
      <w:r w:rsidRPr="00EA48D3">
        <w:rPr>
          <w:rFonts w:hint="cs"/>
          <w:vanish/>
          <w:rtl/>
        </w:rPr>
        <w:t>=</w:t>
      </w:r>
      <w:r w:rsidRPr="00EA48D3">
        <w:rPr>
          <w:rFonts w:hint="cs"/>
          <w:rtl/>
        </w:rPr>
        <w:t xml:space="preserve"> דמקור דברי </w:t>
      </w:r>
      <w:r w:rsidRPr="00EA48D3">
        <w:rPr>
          <w:rStyle w:val="aff4"/>
          <w:rFonts w:hint="cs"/>
          <w:vanish/>
          <w:rtl/>
        </w:rPr>
        <w:t>-</w:t>
      </w:r>
      <w:r w:rsidRPr="00EA48D3">
        <w:rPr>
          <w:rStyle w:val="aff4"/>
          <w:rFonts w:hint="cs"/>
          <w:rtl/>
        </w:rPr>
        <w:t>הרמב"ם</w:t>
      </w:r>
      <w:r w:rsidRPr="00EA48D3">
        <w:rPr>
          <w:rStyle w:val="aff4"/>
          <w:rFonts w:hint="cs"/>
          <w:vanish/>
          <w:rtl/>
        </w:rPr>
        <w:t>-</w:t>
      </w:r>
      <w:r w:rsidRPr="00EA48D3">
        <w:rPr>
          <w:rFonts w:hint="cs"/>
          <w:rtl/>
        </w:rPr>
        <w:t xml:space="preserve"> הוא מהגמ' בזבחים </w:t>
      </w:r>
      <w:r w:rsidRPr="00EA48D3">
        <w:rPr>
          <w:rStyle w:val="af2"/>
          <w:rFonts w:eastAsia="Guttman Hodes" w:hint="cs"/>
          <w:rtl/>
        </w:rPr>
        <w:t>(צד:)</w:t>
      </w:r>
      <w:r w:rsidRPr="00EA48D3">
        <w:rPr>
          <w:rFonts w:hint="cs"/>
          <w:rtl/>
        </w:rPr>
        <w:t xml:space="preserve">, ועי' במה שהקשה </w:t>
      </w:r>
      <w:r w:rsidRPr="00EA48D3">
        <w:rPr>
          <w:rStyle w:val="aff4"/>
          <w:rFonts w:hint="cs"/>
          <w:vanish/>
          <w:rtl/>
        </w:rPr>
        <w:t>-</w:t>
      </w:r>
      <w:r w:rsidRPr="00EA48D3">
        <w:rPr>
          <w:rStyle w:val="aff4"/>
          <w:rFonts w:hint="cs"/>
          <w:rtl/>
        </w:rPr>
        <w:t>המג"א</w:t>
      </w:r>
      <w:r w:rsidRPr="00EA48D3">
        <w:rPr>
          <w:rStyle w:val="aff4"/>
          <w:rFonts w:hint="cs"/>
          <w:vanish/>
          <w:rtl/>
        </w:rPr>
        <w:t>-</w:t>
      </w:r>
      <w:r w:rsidRPr="00EA48D3">
        <w:rPr>
          <w:rFonts w:hint="cs"/>
          <w:rtl/>
        </w:rPr>
        <w:t xml:space="preserve"> </w:t>
      </w:r>
      <w:r w:rsidRPr="00EA48D3">
        <w:rPr>
          <w:rStyle w:val="af2"/>
          <w:rFonts w:eastAsia="Guttman Hodes" w:hint="cs"/>
          <w:rtl/>
        </w:rPr>
        <w:t xml:space="preserve">(עי' אות </w:t>
      </w:r>
      <w:r w:rsidRPr="00EA48D3">
        <w:rPr>
          <w:rStyle w:val="af2"/>
          <w:rFonts w:eastAsia="Guttman Hodes"/>
          <w:rtl/>
        </w:rPr>
        <w:fldChar w:fldCharType="begin"/>
      </w:r>
      <w:r w:rsidRPr="00EA48D3">
        <w:rPr>
          <w:rStyle w:val="af2"/>
          <w:rFonts w:eastAsia="Guttman Hodes"/>
          <w:rtl/>
        </w:rPr>
        <w:instrText xml:space="preserve"> </w:instrText>
      </w:r>
      <w:r w:rsidRPr="00EA48D3">
        <w:rPr>
          <w:rStyle w:val="af2"/>
          <w:rFonts w:eastAsia="Guttman Hodes" w:hint="cs"/>
        </w:rPr>
        <w:instrText>REF</w:instrText>
      </w:r>
      <w:r w:rsidRPr="00EA48D3">
        <w:rPr>
          <w:rStyle w:val="af2"/>
          <w:rFonts w:eastAsia="Guttman Hodes" w:hint="cs"/>
          <w:rtl/>
        </w:rPr>
        <w:instrText xml:space="preserve"> _</w:instrText>
      </w:r>
      <w:r w:rsidRPr="00EA48D3">
        <w:rPr>
          <w:rStyle w:val="af2"/>
          <w:rFonts w:eastAsia="Guttman Hodes" w:hint="cs"/>
        </w:rPr>
        <w:instrText>Ref133575302 \r \h</w:instrText>
      </w:r>
      <w:r w:rsidRPr="00EA48D3">
        <w:rPr>
          <w:rStyle w:val="af2"/>
          <w:rFonts w:eastAsia="Guttman Hodes"/>
          <w:rtl/>
        </w:rPr>
        <w:instrText xml:space="preserve"> </w:instrText>
      </w:r>
      <w:r w:rsidRPr="00EA48D3">
        <w:rPr>
          <w:rStyle w:val="af2"/>
          <w:rFonts w:eastAsia="Guttman Hodes"/>
          <w:rtl/>
        </w:rPr>
      </w:r>
      <w:r w:rsidRPr="00EA48D3">
        <w:rPr>
          <w:rStyle w:val="af2"/>
          <w:rFonts w:eastAsia="Guttman Hodes"/>
          <w:rtl/>
        </w:rPr>
        <w:fldChar w:fldCharType="separate"/>
      </w:r>
      <w:r w:rsidR="00D82181">
        <w:rPr>
          <w:rStyle w:val="af2"/>
          <w:rFonts w:eastAsia="Guttman Hodes"/>
          <w:cs/>
        </w:rPr>
        <w:t>‎</w:t>
      </w:r>
      <w:r w:rsidR="00D82181">
        <w:rPr>
          <w:rStyle w:val="af2"/>
          <w:rFonts w:eastAsia="Guttman Hodes"/>
          <w:rtl/>
        </w:rPr>
        <w:t>צג)</w:t>
      </w:r>
      <w:r w:rsidRPr="00EA48D3">
        <w:rPr>
          <w:rStyle w:val="af2"/>
          <w:rFonts w:eastAsia="Guttman Hodes"/>
          <w:rtl/>
        </w:rPr>
        <w:fldChar w:fldCharType="end"/>
      </w:r>
      <w:r w:rsidRPr="00EA48D3">
        <w:rPr>
          <w:rFonts w:hint="cs"/>
          <w:rtl/>
        </w:rPr>
        <w:t xml:space="preserve"> דלא משמע כן בגמ' בזבחים, וע"ע במ"ש </w:t>
      </w:r>
      <w:r w:rsidRPr="00EA48D3">
        <w:rPr>
          <w:rStyle w:val="aff4"/>
          <w:rFonts w:hint="cs"/>
          <w:vanish/>
          <w:rtl/>
        </w:rPr>
        <w:t>-</w:t>
      </w:r>
      <w:r w:rsidRPr="00EA48D3">
        <w:rPr>
          <w:rStyle w:val="aff4"/>
          <w:rFonts w:hint="cs"/>
          <w:rtl/>
        </w:rPr>
        <w:t>ה</w:t>
      </w:r>
      <w:r w:rsidRPr="00EA48D3">
        <w:rPr>
          <w:rStyle w:val="aff4"/>
          <w:rFonts w:hint="cs"/>
          <w:vanish/>
          <w:rtl/>
        </w:rPr>
        <w:t>&lt; &gt;</w:t>
      </w:r>
      <w:r w:rsidRPr="00EA48D3">
        <w:rPr>
          <w:rStyle w:val="aff4"/>
          <w:rFonts w:hint="cs"/>
          <w:rtl/>
        </w:rPr>
        <w:t>גר"א על</w:t>
      </w:r>
      <w:r w:rsidRPr="00EA48D3">
        <w:rPr>
          <w:rFonts w:hint="cs"/>
          <w:rtl/>
        </w:rPr>
        <w:t xml:space="preserve"> </w:t>
      </w:r>
      <w:r w:rsidRPr="00EA48D3">
        <w:rPr>
          <w:rStyle w:val="aff4"/>
          <w:rFonts w:hint="cs"/>
          <w:rtl/>
        </w:rPr>
        <w:t>הרמב"ם</w:t>
      </w:r>
      <w:r w:rsidRPr="00EA48D3">
        <w:rPr>
          <w:rStyle w:val="aff4"/>
          <w:rFonts w:hint="cs"/>
          <w:vanish/>
          <w:rtl/>
        </w:rPr>
        <w:t>-</w:t>
      </w:r>
      <w:r w:rsidRPr="00EA48D3">
        <w:rPr>
          <w:rFonts w:hint="cs"/>
          <w:rtl/>
        </w:rPr>
        <w:t xml:space="preserve"> </w:t>
      </w:r>
      <w:r w:rsidRPr="00EA48D3">
        <w:rPr>
          <w:rStyle w:val="af2"/>
          <w:rFonts w:eastAsia="Guttman Hodes" w:hint="cs"/>
          <w:rtl/>
        </w:rPr>
        <w:t>(שבת פ"ח ה"ב, מהדו' פרנקל)</w:t>
      </w:r>
      <w:r w:rsidRPr="00EA48D3">
        <w:rPr>
          <w:rFonts w:hint="cs"/>
          <w:rtl/>
        </w:rPr>
        <w:t xml:space="preserve"> דהיה </w:t>
      </w:r>
      <w:r w:rsidRPr="00EA48D3">
        <w:rPr>
          <w:rStyle w:val="aff4"/>
          <w:rFonts w:hint="cs"/>
          <w:vanish/>
          <w:rtl/>
        </w:rPr>
        <w:t>-</w:t>
      </w:r>
      <w:r w:rsidRPr="00EA48D3">
        <w:rPr>
          <w:rStyle w:val="aff4"/>
          <w:rFonts w:hint="cs"/>
          <w:rtl/>
        </w:rPr>
        <w:t>לרמב"ם</w:t>
      </w:r>
      <w:r w:rsidRPr="00EA48D3">
        <w:rPr>
          <w:rStyle w:val="aff4"/>
          <w:rFonts w:hint="cs"/>
          <w:vanish/>
          <w:rtl/>
        </w:rPr>
        <w:t>-</w:t>
      </w:r>
      <w:r w:rsidRPr="00EA48D3">
        <w:rPr>
          <w:rFonts w:hint="cs"/>
          <w:rtl/>
        </w:rPr>
        <w:t xml:space="preserve"> גירסא אחרת בגמ' בזבחים, ועי' במה שביאר </w:t>
      </w:r>
      <w:r w:rsidRPr="00EA48D3">
        <w:rPr>
          <w:rStyle w:val="aff4"/>
          <w:rFonts w:hint="cs"/>
          <w:vanish/>
          <w:rtl/>
        </w:rPr>
        <w:t>-</w:t>
      </w:r>
      <w:r w:rsidRPr="00EA48D3">
        <w:rPr>
          <w:rStyle w:val="aff4"/>
          <w:rFonts w:hint="cs"/>
          <w:rtl/>
        </w:rPr>
        <w:t>הרמב"ם בתשו'</w:t>
      </w:r>
      <w:r w:rsidRPr="00EA48D3">
        <w:rPr>
          <w:rStyle w:val="aff4"/>
          <w:rFonts w:hint="cs"/>
          <w:vanish/>
          <w:rtl/>
        </w:rPr>
        <w:t>-</w:t>
      </w:r>
      <w:r w:rsidRPr="00EA48D3">
        <w:rPr>
          <w:rFonts w:hint="cs"/>
          <w:rtl/>
        </w:rPr>
        <w:t xml:space="preserve"> </w:t>
      </w:r>
      <w:r w:rsidRPr="00EA48D3">
        <w:rPr>
          <w:rStyle w:val="af2"/>
          <w:rFonts w:eastAsia="Guttman Hodes" w:hint="cs"/>
          <w:rtl/>
        </w:rPr>
        <w:t xml:space="preserve">(עי' אות </w:t>
      </w:r>
      <w:r w:rsidRPr="00EA48D3">
        <w:rPr>
          <w:rStyle w:val="af2"/>
          <w:rFonts w:eastAsia="Guttman Hodes"/>
          <w:rtl/>
        </w:rPr>
        <w:fldChar w:fldCharType="begin"/>
      </w:r>
      <w:r w:rsidRPr="00EA48D3">
        <w:rPr>
          <w:rStyle w:val="af2"/>
          <w:rFonts w:eastAsia="Guttman Hodes"/>
          <w:rtl/>
        </w:rPr>
        <w:instrText xml:space="preserve"> </w:instrText>
      </w:r>
      <w:r w:rsidRPr="00EA48D3">
        <w:rPr>
          <w:rStyle w:val="af2"/>
          <w:rFonts w:eastAsia="Guttman Hodes" w:hint="cs"/>
        </w:rPr>
        <w:instrText>REF</w:instrText>
      </w:r>
      <w:r w:rsidRPr="00EA48D3">
        <w:rPr>
          <w:rStyle w:val="af2"/>
          <w:rFonts w:eastAsia="Guttman Hodes" w:hint="cs"/>
          <w:rtl/>
        </w:rPr>
        <w:instrText xml:space="preserve"> _</w:instrText>
      </w:r>
      <w:r w:rsidRPr="00EA48D3">
        <w:rPr>
          <w:rStyle w:val="af2"/>
          <w:rFonts w:eastAsia="Guttman Hodes" w:hint="cs"/>
        </w:rPr>
        <w:instrText>Ref133537562 \r \h</w:instrText>
      </w:r>
      <w:r w:rsidRPr="00EA48D3">
        <w:rPr>
          <w:rStyle w:val="af2"/>
          <w:rFonts w:eastAsia="Guttman Hodes"/>
          <w:rtl/>
        </w:rPr>
        <w:instrText xml:space="preserve"> </w:instrText>
      </w:r>
      <w:r w:rsidRPr="00EA48D3">
        <w:rPr>
          <w:rStyle w:val="af2"/>
          <w:rFonts w:eastAsia="Guttman Hodes"/>
          <w:rtl/>
        </w:rPr>
      </w:r>
      <w:r w:rsidRPr="00EA48D3">
        <w:rPr>
          <w:rStyle w:val="af2"/>
          <w:rFonts w:eastAsia="Guttman Hodes"/>
          <w:rtl/>
        </w:rPr>
        <w:fldChar w:fldCharType="separate"/>
      </w:r>
      <w:r w:rsidR="00D82181">
        <w:rPr>
          <w:rStyle w:val="af2"/>
          <w:rFonts w:eastAsia="Guttman Hodes"/>
          <w:cs/>
        </w:rPr>
        <w:t>‎</w:t>
      </w:r>
      <w:r w:rsidR="00D82181">
        <w:rPr>
          <w:rStyle w:val="af2"/>
          <w:rFonts w:eastAsia="Guttman Hodes"/>
          <w:rtl/>
        </w:rPr>
        <w:t>פב)</w:t>
      </w:r>
      <w:r w:rsidRPr="00EA48D3">
        <w:rPr>
          <w:rStyle w:val="af2"/>
          <w:rFonts w:eastAsia="Guttman Hodes"/>
          <w:rtl/>
        </w:rPr>
        <w:fldChar w:fldCharType="end"/>
      </w:r>
      <w:r w:rsidRPr="00EA48D3">
        <w:rPr>
          <w:rFonts w:hint="cs"/>
          <w:rtl/>
        </w:rPr>
        <w:t xml:space="preserve"> את הגמ' בזבחים.</w:t>
      </w:r>
      <w:bookmarkEnd w:id="372"/>
    </w:p>
    <w:p w14:paraId="297533BD" w14:textId="77777777" w:rsidR="009623A2" w:rsidRPr="00747170" w:rsidRDefault="009623A2" w:rsidP="00747170">
      <w:pPr>
        <w:pStyle w:val="a2"/>
        <w:rPr>
          <w:rtl/>
        </w:rPr>
      </w:pPr>
      <w:r w:rsidRPr="00747170">
        <w:rPr>
          <w:rtl/>
        </w:rPr>
        <w:t>וכן השורה חיטין ושעורין וכיוצא בהן במים הרי זה תולדת זורע וחייב בכל שהוא.</w:t>
      </w:r>
    </w:p>
    <w:p w14:paraId="104EB513" w14:textId="34502E1B" w:rsidR="009623A2" w:rsidRPr="00EA48D3" w:rsidRDefault="009623A2" w:rsidP="009623A2">
      <w:pPr>
        <w:pStyle w:val="afffff7"/>
        <w:rPr>
          <w:rtl/>
        </w:rPr>
      </w:pPr>
      <w:bookmarkStart w:id="373" w:name="_Toc133841680"/>
      <w:bookmarkStart w:id="374" w:name="_Toc163505428"/>
      <w:r w:rsidRPr="00EA48D3">
        <w:rPr>
          <w:rtl/>
        </w:rPr>
        <w:t>מגיד משנה שבת ח' ב'</w:t>
      </w:r>
      <w:bookmarkEnd w:id="373"/>
      <w:bookmarkEnd w:id="374"/>
    </w:p>
    <w:p w14:paraId="36856475" w14:textId="77777777" w:rsidR="009623A2" w:rsidRPr="00EA48D3" w:rsidRDefault="009623A2" w:rsidP="00747170">
      <w:pPr>
        <w:pStyle w:val="afffff5"/>
        <w:rPr>
          <w:rtl/>
        </w:rPr>
      </w:pPr>
      <w:r w:rsidRPr="00EA48D3">
        <w:rPr>
          <w:rtl/>
        </w:rPr>
        <w:t>וכן השורה וכו'. מהסוגיא שבזבחים (דף צד:) פרק דם חטאת:</w:t>
      </w:r>
    </w:p>
    <w:p w14:paraId="366BAC14" w14:textId="6AE6DCFF" w:rsidR="009623A2" w:rsidRPr="00EA48D3" w:rsidRDefault="009623A2" w:rsidP="009623A2">
      <w:pPr>
        <w:pStyle w:val="1"/>
        <w:rPr>
          <w:rtl/>
        </w:rPr>
      </w:pPr>
      <w:bookmarkStart w:id="375" w:name="_Toc134419667"/>
      <w:r w:rsidRPr="00EA48D3">
        <w:rPr>
          <w:rFonts w:hint="cs"/>
          <w:rtl/>
        </w:rPr>
        <w:t>קו' רבינו שמואל על הרמב"ם דמנליה ומ"ש מעציץ שאינו נקוב</w:t>
      </w:r>
      <w:bookmarkEnd w:id="375"/>
    </w:p>
    <w:p w14:paraId="5BB5515B" w14:textId="77777777" w:rsidR="009623A2" w:rsidRPr="00EA48D3" w:rsidRDefault="009623A2" w:rsidP="009623A2">
      <w:pPr>
        <w:rPr>
          <w:rFonts w:ascii="FrankRuehl" w:eastAsia="Guttman Hodes" w:hAnsi="FrankRuehl" w:cs="Guttman Rashi"/>
          <w:bCs/>
          <w:noProof/>
          <w:sz w:val="16"/>
          <w:szCs w:val="16"/>
          <w:rtl/>
        </w:rPr>
      </w:pPr>
      <w:bookmarkStart w:id="376" w:name="_Toc133841681"/>
      <w:bookmarkStart w:id="377" w:name="_Toc163505429"/>
      <w:r w:rsidRPr="00EA48D3">
        <w:rPr>
          <w:rStyle w:val="afffff9"/>
          <w:rFonts w:hint="cs"/>
          <w:rtl/>
        </w:rPr>
        <w:t>פי' קדמון ממצרים שבת ח' ב',</w:t>
      </w:r>
      <w:r w:rsidRPr="00EA48D3">
        <w:rPr>
          <w:rStyle w:val="afffff9"/>
          <w:rtl/>
        </w:rPr>
        <w:t xml:space="preserve"> שו"ת הרמב"ם</w:t>
      </w:r>
      <w:bookmarkEnd w:id="376"/>
      <w:bookmarkEnd w:id="377"/>
      <w:r w:rsidRPr="00EA48D3">
        <w:rPr>
          <w:rFonts w:ascii="FrankRuehl" w:eastAsia="Guttman Hodes" w:hAnsi="FrankRuehl" w:cs="Guttman Rashi"/>
          <w:bCs/>
          <w:noProof/>
          <w:sz w:val="16"/>
          <w:szCs w:val="16"/>
          <w:rtl/>
        </w:rPr>
        <w:t xml:space="preserve"> סימן תסד</w:t>
      </w:r>
      <w:r w:rsidRPr="00EA48D3">
        <w:rPr>
          <w:rFonts w:ascii="FrankRuehl" w:eastAsia="Guttman Hodes" w:hAnsi="FrankRuehl" w:cs="Guttman Rashi" w:hint="cs"/>
          <w:bCs/>
          <w:noProof/>
          <w:sz w:val="16"/>
          <w:szCs w:val="16"/>
          <w:rtl/>
        </w:rPr>
        <w:t xml:space="preserve"> [מהדו' חד' קי"ב ג']</w:t>
      </w:r>
    </w:p>
    <w:p w14:paraId="55FF04F2" w14:textId="77777777" w:rsidR="009623A2" w:rsidRPr="00EA48D3" w:rsidRDefault="009623A2" w:rsidP="009623A2">
      <w:pPr>
        <w:pStyle w:val="a7"/>
        <w:rPr>
          <w:rtl/>
        </w:rPr>
      </w:pPr>
      <w:bookmarkStart w:id="378" w:name="_Toc134419668"/>
      <w:r w:rsidRPr="00EA48D3">
        <w:rPr>
          <w:rFonts w:hint="cs"/>
          <w:rtl/>
        </w:rPr>
        <w:t>בי' פי' קדמון ממצרים ברמב"ם דאף שלא יוצא מהחיטין זרע גמור כיון דמתרכך וצומח קצת חייב</w:t>
      </w:r>
      <w:bookmarkEnd w:id="378"/>
    </w:p>
    <w:p w14:paraId="336D9F8A" w14:textId="7AC3F1B4" w:rsidR="009623A2" w:rsidRPr="00EA48D3" w:rsidRDefault="009623A2" w:rsidP="00BC7DC8">
      <w:pPr>
        <w:pStyle w:val="a3"/>
      </w:pPr>
      <w:bookmarkStart w:id="379" w:name="_Ref133313832"/>
      <w:r w:rsidRPr="00EA48D3">
        <w:rPr>
          <w:rFonts w:hint="cs"/>
          <w:rtl/>
        </w:rPr>
        <w:t xml:space="preserve">במ"ש </w:t>
      </w:r>
      <w:r w:rsidRPr="00EA48D3">
        <w:rPr>
          <w:rStyle w:val="aff4"/>
          <w:rFonts w:hint="cs"/>
          <w:vanish/>
          <w:rtl/>
        </w:rPr>
        <w:t>-</w:t>
      </w:r>
      <w:r w:rsidRPr="00EA48D3">
        <w:rPr>
          <w:rStyle w:val="aff4"/>
          <w:rFonts w:hint="cs"/>
          <w:rtl/>
        </w:rPr>
        <w:t>הרמב"ם</w:t>
      </w:r>
      <w:r w:rsidRPr="00EA48D3">
        <w:rPr>
          <w:rStyle w:val="aff4"/>
          <w:rFonts w:hint="cs"/>
          <w:vanish/>
          <w:rtl/>
        </w:rPr>
        <w:t>-</w:t>
      </w:r>
      <w:r w:rsidRPr="00EA48D3">
        <w:rPr>
          <w:rFonts w:hint="cs"/>
          <w:rtl/>
        </w:rPr>
        <w:t xml:space="preserve"> </w:t>
      </w:r>
      <w:r w:rsidRPr="00EA48D3">
        <w:rPr>
          <w:rStyle w:val="af2"/>
          <w:rFonts w:eastAsia="Guttman Hodes" w:hint="cs"/>
          <w:rtl/>
        </w:rPr>
        <w:t xml:space="preserve">(עי' אות </w:t>
      </w:r>
      <w:r w:rsidRPr="00EA48D3">
        <w:rPr>
          <w:rStyle w:val="af2"/>
          <w:rFonts w:eastAsia="Guttman Hodes"/>
          <w:rtl/>
        </w:rPr>
        <w:fldChar w:fldCharType="begin"/>
      </w:r>
      <w:r w:rsidRPr="00EA48D3">
        <w:rPr>
          <w:rStyle w:val="af2"/>
          <w:rFonts w:eastAsia="Guttman Hodes"/>
          <w:rtl/>
        </w:rPr>
        <w:instrText xml:space="preserve"> </w:instrText>
      </w:r>
      <w:r w:rsidRPr="00EA48D3">
        <w:rPr>
          <w:rStyle w:val="af2"/>
          <w:rFonts w:eastAsia="Guttman Hodes" w:hint="cs"/>
        </w:rPr>
        <w:instrText>REF</w:instrText>
      </w:r>
      <w:r w:rsidRPr="00EA48D3">
        <w:rPr>
          <w:rStyle w:val="af2"/>
          <w:rFonts w:eastAsia="Guttman Hodes" w:hint="cs"/>
          <w:rtl/>
        </w:rPr>
        <w:instrText xml:space="preserve"> _</w:instrText>
      </w:r>
      <w:r w:rsidRPr="00EA48D3">
        <w:rPr>
          <w:rStyle w:val="af2"/>
          <w:rFonts w:eastAsia="Guttman Hodes" w:hint="cs"/>
        </w:rPr>
        <w:instrText>Ref133143291 \r \h</w:instrText>
      </w:r>
      <w:r w:rsidRPr="00EA48D3">
        <w:rPr>
          <w:rStyle w:val="af2"/>
          <w:rFonts w:eastAsia="Guttman Hodes"/>
          <w:rtl/>
        </w:rPr>
        <w:instrText xml:space="preserve"> </w:instrText>
      </w:r>
      <w:r w:rsidRPr="00EA48D3">
        <w:rPr>
          <w:rStyle w:val="af2"/>
          <w:rFonts w:eastAsia="Guttman Hodes"/>
          <w:rtl/>
        </w:rPr>
      </w:r>
      <w:r w:rsidRPr="00EA48D3">
        <w:rPr>
          <w:rStyle w:val="af2"/>
          <w:rFonts w:eastAsia="Guttman Hodes"/>
          <w:rtl/>
        </w:rPr>
        <w:fldChar w:fldCharType="separate"/>
      </w:r>
      <w:r w:rsidR="00D82181">
        <w:rPr>
          <w:rStyle w:val="af2"/>
          <w:rFonts w:eastAsia="Guttman Hodes"/>
          <w:cs/>
        </w:rPr>
        <w:t>‎</w:t>
      </w:r>
      <w:r w:rsidR="00D82181">
        <w:rPr>
          <w:rStyle w:val="af2"/>
          <w:rFonts w:eastAsia="Guttman Hodes"/>
          <w:rtl/>
        </w:rPr>
        <w:t>עט)</w:t>
      </w:r>
      <w:r w:rsidRPr="00EA48D3">
        <w:rPr>
          <w:rStyle w:val="af2"/>
          <w:rFonts w:eastAsia="Guttman Hodes"/>
          <w:rtl/>
        </w:rPr>
        <w:fldChar w:fldCharType="end"/>
      </w:r>
      <w:r w:rsidRPr="00EA48D3">
        <w:rPr>
          <w:rFonts w:hint="cs"/>
          <w:rtl/>
        </w:rPr>
        <w:t xml:space="preserve"> דהשורה חיטין ושעורין וכיו"ב במים, הוא תולדה של זורע וחייב, ביאר </w:t>
      </w:r>
      <w:r w:rsidRPr="00EA48D3">
        <w:rPr>
          <w:rStyle w:val="aff4"/>
          <w:rFonts w:hint="cs"/>
          <w:vanish/>
          <w:rtl/>
        </w:rPr>
        <w:t>-</w:t>
      </w:r>
      <w:r w:rsidRPr="00EA48D3">
        <w:rPr>
          <w:rStyle w:val="aff4"/>
          <w:rFonts w:hint="cs"/>
          <w:rtl/>
        </w:rPr>
        <w:t>ב</w:t>
      </w:r>
      <w:r w:rsidRPr="00EA48D3">
        <w:rPr>
          <w:rStyle w:val="aff4"/>
          <w:rFonts w:hint="cs"/>
          <w:vanish/>
          <w:rtl/>
        </w:rPr>
        <w:t xml:space="preserve">&lt;. </w:t>
      </w:r>
      <w:r w:rsidRPr="00EA48D3">
        <w:rPr>
          <w:rStyle w:val="aff4"/>
          <w:vanish/>
          <w:rtl/>
        </w:rPr>
        <w:fldChar w:fldCharType="begin"/>
      </w:r>
      <w:r w:rsidRPr="00EA48D3">
        <w:rPr>
          <w:rStyle w:val="aff4"/>
          <w:vanish/>
          <w:rtl/>
        </w:rPr>
        <w:instrText xml:space="preserve"> </w:instrText>
      </w:r>
      <w:r w:rsidRPr="00EA48D3">
        <w:rPr>
          <w:rStyle w:val="aff4"/>
          <w:rFonts w:hint="cs"/>
          <w:vanish/>
        </w:rPr>
        <w:instrText>REF</w:instrText>
      </w:r>
      <w:r w:rsidRPr="00EA48D3">
        <w:rPr>
          <w:rStyle w:val="aff4"/>
          <w:rFonts w:hint="cs"/>
          <w:vanish/>
          <w:rtl/>
        </w:rPr>
        <w:instrText xml:space="preserve"> _</w:instrText>
      </w:r>
      <w:r w:rsidRPr="00EA48D3">
        <w:rPr>
          <w:rStyle w:val="aff4"/>
          <w:rFonts w:hint="cs"/>
          <w:vanish/>
        </w:rPr>
        <w:instrText>Ref133313832 \r \h</w:instrText>
      </w:r>
      <w:r w:rsidRPr="00EA48D3">
        <w:rPr>
          <w:rStyle w:val="aff4"/>
          <w:vanish/>
          <w:rtl/>
        </w:rPr>
        <w:instrText xml:space="preserve"> </w:instrText>
      </w:r>
      <w:r w:rsidRPr="00EA48D3">
        <w:rPr>
          <w:rStyle w:val="aff4"/>
          <w:vanish/>
          <w:rtl/>
        </w:rPr>
      </w:r>
      <w:r w:rsidRPr="00EA48D3">
        <w:rPr>
          <w:rStyle w:val="aff4"/>
          <w:vanish/>
          <w:rtl/>
        </w:rPr>
        <w:fldChar w:fldCharType="separate"/>
      </w:r>
      <w:r w:rsidR="00D82181">
        <w:rPr>
          <w:rStyle w:val="aff4"/>
          <w:vanish/>
          <w:cs/>
        </w:rPr>
        <w:t>‎</w:t>
      </w:r>
      <w:r w:rsidR="00D82181">
        <w:rPr>
          <w:rStyle w:val="aff4"/>
          <w:vanish/>
          <w:rtl/>
        </w:rPr>
        <w:t>פ)</w:t>
      </w:r>
      <w:r w:rsidRPr="00EA48D3">
        <w:rPr>
          <w:rStyle w:val="aff4"/>
          <w:vanish/>
          <w:rtl/>
        </w:rPr>
        <w:fldChar w:fldCharType="end"/>
      </w:r>
      <w:r w:rsidRPr="00EA48D3">
        <w:rPr>
          <w:rStyle w:val="aff4"/>
          <w:rFonts w:hint="cs"/>
          <w:vanish/>
          <w:rtl/>
        </w:rPr>
        <w:t xml:space="preserve"> &gt;</w:t>
      </w:r>
      <w:r w:rsidRPr="00EA48D3">
        <w:rPr>
          <w:rStyle w:val="aff4"/>
          <w:rFonts w:hint="cs"/>
          <w:rtl/>
        </w:rPr>
        <w:t>פי' קדמון ממצרים</w:t>
      </w:r>
      <w:r w:rsidRPr="00EA48D3">
        <w:rPr>
          <w:rStyle w:val="aff4"/>
          <w:rFonts w:hint="cs"/>
          <w:vanish/>
          <w:rtl/>
        </w:rPr>
        <w:t>-</w:t>
      </w:r>
      <w:r w:rsidRPr="00EA48D3">
        <w:rPr>
          <w:rFonts w:hint="cs"/>
          <w:rtl/>
        </w:rPr>
        <w:t xml:space="preserve"> </w:t>
      </w:r>
      <w:r w:rsidRPr="00EA48D3">
        <w:rPr>
          <w:rStyle w:val="af2"/>
          <w:rFonts w:eastAsia="Guttman Hodes" w:hint="cs"/>
          <w:rtl/>
        </w:rPr>
        <w:t>(שבת פ"ח ה"ב, נד' בסוף רמב"ם פרנקל)</w:t>
      </w:r>
      <w:r w:rsidRPr="00EA48D3">
        <w:rPr>
          <w:rFonts w:hint="cs"/>
          <w:vanish/>
          <w:rtl/>
        </w:rPr>
        <w:t>=</w:t>
      </w:r>
      <w:r w:rsidRPr="00EA48D3">
        <w:rPr>
          <w:rFonts w:hint="cs"/>
          <w:rtl/>
        </w:rPr>
        <w:t xml:space="preserve"> דכששורין את החיטין במים הם מתרככים וצומים ויוצא מהם כעין יד, ואף שלא יוצא מזה זרע גמור חייב בזה משום זורע.</w:t>
      </w:r>
    </w:p>
    <w:p w14:paraId="0F8E52FE" w14:textId="77777777" w:rsidR="009623A2" w:rsidRPr="00747170" w:rsidRDefault="009623A2" w:rsidP="00747170">
      <w:pPr>
        <w:pStyle w:val="a2"/>
        <w:rPr>
          <w:rtl/>
        </w:rPr>
      </w:pPr>
      <w:r w:rsidRPr="00747170">
        <w:rPr>
          <w:rtl/>
        </w:rPr>
        <w:t>וכ</w:t>
      </w:r>
      <w:r w:rsidRPr="00747170">
        <w:rPr>
          <w:rFonts w:hint="cs"/>
          <w:rtl/>
        </w:rPr>
        <w:t>ן</w:t>
      </w:r>
      <w:r w:rsidRPr="00747170">
        <w:rPr>
          <w:rtl/>
        </w:rPr>
        <w:t xml:space="preserve"> השורה חטין ושעורין </w:t>
      </w:r>
      <w:r w:rsidRPr="00747170">
        <w:rPr>
          <w:rFonts w:hint="cs"/>
          <w:rtl/>
        </w:rPr>
        <w:t xml:space="preserve">וכו'. </w:t>
      </w:r>
      <w:r w:rsidRPr="00747170">
        <w:rPr>
          <w:rtl/>
        </w:rPr>
        <w:t>כששורין הזרעים במים זמן רב יתרככו ויצמחו ויצא להם כמו יד ואעפ"י שלא יבא ממ</w:t>
      </w:r>
      <w:r w:rsidRPr="00747170">
        <w:rPr>
          <w:rFonts w:hint="cs"/>
          <w:rtl/>
        </w:rPr>
        <w:t>נ</w:t>
      </w:r>
      <w:r w:rsidRPr="00747170">
        <w:rPr>
          <w:rtl/>
        </w:rPr>
        <w:t>ו זרע גמור חייב משום זורע</w:t>
      </w:r>
      <w:r w:rsidRPr="00747170">
        <w:rPr>
          <w:rFonts w:hint="cs"/>
          <w:rtl/>
        </w:rPr>
        <w:t>.</w:t>
      </w:r>
    </w:p>
    <w:p w14:paraId="6212964A" w14:textId="77777777" w:rsidR="009623A2" w:rsidRPr="00EA48D3" w:rsidRDefault="009623A2" w:rsidP="009623A2">
      <w:pPr>
        <w:pStyle w:val="a7"/>
      </w:pPr>
      <w:bookmarkStart w:id="380" w:name="_Toc134419669"/>
      <w:r w:rsidRPr="00EA48D3">
        <w:rPr>
          <w:rFonts w:hint="cs"/>
          <w:rtl/>
        </w:rPr>
        <w:t>קו' רבינו שמואל על הרמב"ם דל"מ בגמ' דשורה במים חייב ועוד דמ"ש מעציץ שאינו נקוב</w:t>
      </w:r>
      <w:bookmarkEnd w:id="380"/>
    </w:p>
    <w:p w14:paraId="7E1C81AD" w14:textId="375082A8" w:rsidR="009623A2" w:rsidRPr="00EA48D3" w:rsidRDefault="009623A2" w:rsidP="00BC7DC8">
      <w:pPr>
        <w:pStyle w:val="a3"/>
        <w:rPr>
          <w:rtl/>
        </w:rPr>
      </w:pPr>
      <w:r w:rsidRPr="00EA48D3">
        <w:rPr>
          <w:rFonts w:hint="cs"/>
          <w:rtl/>
        </w:rPr>
        <w:t xml:space="preserve">והביא </w:t>
      </w:r>
      <w:r w:rsidRPr="00EA48D3">
        <w:rPr>
          <w:rStyle w:val="aff4"/>
          <w:rFonts w:hint="cs"/>
          <w:vanish/>
          <w:rtl/>
        </w:rPr>
        <w:t>-</w:t>
      </w:r>
      <w:r w:rsidRPr="00EA48D3">
        <w:rPr>
          <w:rStyle w:val="aff4"/>
          <w:rFonts w:hint="cs"/>
          <w:rtl/>
        </w:rPr>
        <w:t>בפי' קדמון ממצרים וב</w:t>
      </w:r>
      <w:r w:rsidRPr="00EA48D3">
        <w:rPr>
          <w:rStyle w:val="aff4"/>
          <w:rFonts w:hint="cs"/>
          <w:vanish/>
          <w:rtl/>
        </w:rPr>
        <w:t>&lt; &gt;</w:t>
      </w:r>
      <w:r w:rsidRPr="00EA48D3">
        <w:rPr>
          <w:rStyle w:val="aff4"/>
          <w:rFonts w:hint="cs"/>
          <w:rtl/>
        </w:rPr>
        <w:t>תשו' הרמב"ם</w:t>
      </w:r>
      <w:r w:rsidRPr="00EA48D3">
        <w:rPr>
          <w:rStyle w:val="aff4"/>
          <w:rFonts w:hint="cs"/>
          <w:vanish/>
          <w:rtl/>
        </w:rPr>
        <w:t>-</w:t>
      </w:r>
      <w:r w:rsidRPr="00EA48D3">
        <w:rPr>
          <w:rFonts w:hint="cs"/>
          <w:rtl/>
        </w:rPr>
        <w:t xml:space="preserve"> </w:t>
      </w:r>
      <w:r w:rsidRPr="00EA48D3">
        <w:rPr>
          <w:rStyle w:val="af2"/>
          <w:rFonts w:eastAsia="Guttman Hodes" w:hint="cs"/>
          <w:rtl/>
        </w:rPr>
        <w:t xml:space="preserve">(סי' תס"ד, מהדו' הרב קורח סי' קי"ב ג') </w:t>
      </w:r>
      <w:r w:rsidRPr="00EA48D3">
        <w:rPr>
          <w:rFonts w:hint="cs"/>
          <w:rtl/>
        </w:rPr>
        <w:t xml:space="preserve">בשם </w:t>
      </w:r>
      <w:r w:rsidRPr="00EA48D3">
        <w:rPr>
          <w:rStyle w:val="aff4"/>
          <w:rFonts w:hint="cs"/>
          <w:vanish/>
          <w:rtl/>
        </w:rPr>
        <w:t>-</w:t>
      </w:r>
      <w:r w:rsidRPr="00EA48D3">
        <w:rPr>
          <w:rStyle w:val="aff4"/>
          <w:rFonts w:hint="cs"/>
          <w:rtl/>
        </w:rPr>
        <w:t>רבינו שמואל ראש הישיבה</w:t>
      </w:r>
      <w:r w:rsidRPr="00EA48D3">
        <w:rPr>
          <w:rStyle w:val="aff4"/>
          <w:rFonts w:hint="cs"/>
          <w:vanish/>
          <w:rtl/>
        </w:rPr>
        <w:t>-</w:t>
      </w:r>
      <w:r w:rsidRPr="00EA48D3">
        <w:rPr>
          <w:rFonts w:hint="cs"/>
          <w:vanish/>
          <w:rtl/>
        </w:rPr>
        <w:t>=</w:t>
      </w:r>
      <w:r w:rsidRPr="00EA48D3">
        <w:rPr>
          <w:rFonts w:hint="cs"/>
          <w:rtl/>
        </w:rPr>
        <w:t xml:space="preserve"> דהקשה על </w:t>
      </w:r>
      <w:r w:rsidRPr="00EA48D3">
        <w:rPr>
          <w:rStyle w:val="aff4"/>
          <w:rFonts w:hint="cs"/>
          <w:vanish/>
          <w:rtl/>
        </w:rPr>
        <w:t>-</w:t>
      </w:r>
      <w:r w:rsidRPr="00EA48D3">
        <w:rPr>
          <w:rStyle w:val="aff4"/>
          <w:rFonts w:hint="cs"/>
          <w:rtl/>
        </w:rPr>
        <w:t>הרמב"ם</w:t>
      </w:r>
      <w:r w:rsidRPr="00EA48D3">
        <w:rPr>
          <w:rStyle w:val="aff4"/>
          <w:rFonts w:hint="cs"/>
          <w:vanish/>
          <w:rtl/>
        </w:rPr>
        <w:t>-</w:t>
      </w:r>
      <w:r w:rsidRPr="00EA48D3">
        <w:rPr>
          <w:rFonts w:hint="cs"/>
          <w:rtl/>
        </w:rPr>
        <w:t xml:space="preserve"> דלא מצינו בגמ' בשבת דחייב בזה, ועוד דדמי לתולש </w:t>
      </w:r>
      <w:bookmarkStart w:id="381" w:name="_Hlk132597590"/>
      <w:r w:rsidRPr="00EA48D3">
        <w:rPr>
          <w:rFonts w:hint="cs"/>
          <w:rtl/>
        </w:rPr>
        <w:t xml:space="preserve">מעציץ שאינו נקוב דתנן לקמן </w:t>
      </w:r>
      <w:r w:rsidRPr="00EA48D3">
        <w:rPr>
          <w:rStyle w:val="af2"/>
          <w:rFonts w:eastAsia="Guttman Hodes" w:hint="cs"/>
          <w:rtl/>
        </w:rPr>
        <w:t>(צה.)</w:t>
      </w:r>
      <w:r w:rsidRPr="00EA48D3">
        <w:rPr>
          <w:rFonts w:hint="cs"/>
          <w:rtl/>
        </w:rPr>
        <w:t xml:space="preserve"> דהוא פטור, ותולש דינו כזורע, </w:t>
      </w:r>
      <w:bookmarkEnd w:id="381"/>
      <w:r w:rsidRPr="00EA48D3">
        <w:rPr>
          <w:rFonts w:hint="cs"/>
          <w:rtl/>
        </w:rPr>
        <w:t>וכ"ש כשרק שורה את החיטים במים.</w:t>
      </w:r>
      <w:bookmarkEnd w:id="379"/>
      <w:r w:rsidRPr="00EA48D3">
        <w:rPr>
          <w:rFonts w:hint="cs"/>
          <w:rtl/>
        </w:rPr>
        <w:t xml:space="preserve"> </w:t>
      </w:r>
    </w:p>
    <w:p w14:paraId="26A7C029" w14:textId="77777777" w:rsidR="009623A2" w:rsidRPr="00747170" w:rsidRDefault="009623A2" w:rsidP="00747170">
      <w:pPr>
        <w:pStyle w:val="a2"/>
        <w:rPr>
          <w:rtl/>
        </w:rPr>
      </w:pPr>
      <w:r w:rsidRPr="00747170">
        <w:rPr>
          <w:rtl/>
        </w:rPr>
        <w:t xml:space="preserve">וכבר תפש </w:t>
      </w:r>
      <w:r w:rsidRPr="00747170">
        <w:rPr>
          <w:rFonts w:hint="cs"/>
          <w:rtl/>
        </w:rPr>
        <w:t>רבינו</w:t>
      </w:r>
      <w:r w:rsidRPr="00747170">
        <w:rPr>
          <w:rtl/>
        </w:rPr>
        <w:t xml:space="preserve"> שמואל ראש ישיבה על רבינו מפני שלא מצא זה הדין </w:t>
      </w:r>
      <w:r w:rsidRPr="00747170">
        <w:rPr>
          <w:rFonts w:hint="cs"/>
          <w:rtl/>
        </w:rPr>
        <w:t>בגמרא ד</w:t>
      </w:r>
      <w:r w:rsidRPr="00747170">
        <w:rPr>
          <w:rtl/>
        </w:rPr>
        <w:t>שבת ועוד אמר שהיה ראוי להקיש אותו לתולש מעציץ שאינו נקוב שהוא פטור והא לך דברי רבינו מועתקים מלשון ערבי וכן אמרו על אמרנו השורה חטים ושעורים וכיוצא בהם במים ששגגה הוא שאפי' זורע בעציץ שאינו נקוב פטור וכ"ש שורה והאריכו בזה והקישו זורע לתולש</w:t>
      </w:r>
      <w:r w:rsidRPr="00747170">
        <w:rPr>
          <w:rFonts w:hint="cs"/>
          <w:rtl/>
        </w:rPr>
        <w:t>.</w:t>
      </w:r>
    </w:p>
    <w:p w14:paraId="0C83B78B" w14:textId="5CB8E9E5" w:rsidR="009623A2" w:rsidRPr="00EA48D3" w:rsidRDefault="009623A2" w:rsidP="009623A2">
      <w:pPr>
        <w:pStyle w:val="1"/>
        <w:rPr>
          <w:rtl/>
        </w:rPr>
      </w:pPr>
      <w:bookmarkStart w:id="382" w:name="_Toc134419670"/>
      <w:r w:rsidRPr="00EA48D3">
        <w:rPr>
          <w:rFonts w:hint="cs"/>
          <w:rtl/>
        </w:rPr>
        <w:t>בי' הרמב"ם בתשו' בגמ' בזבחים ובחילוק שורה מעציץ שא"נ</w:t>
      </w:r>
      <w:bookmarkEnd w:id="382"/>
    </w:p>
    <w:p w14:paraId="34251063" w14:textId="77777777" w:rsidR="009623A2" w:rsidRPr="00EA48D3" w:rsidRDefault="009623A2" w:rsidP="009623A2">
      <w:pPr>
        <w:pStyle w:val="a7"/>
        <w:rPr>
          <w:rtl/>
        </w:rPr>
      </w:pPr>
      <w:bookmarkStart w:id="383" w:name="_Toc134419671"/>
      <w:r w:rsidRPr="00EA48D3">
        <w:rPr>
          <w:rFonts w:hint="cs"/>
          <w:rtl/>
        </w:rPr>
        <w:t>בי' הרמב"ם בתשו' דמבו' בגמ' בזבחים דנקטה בפשתן משום לש דאי משום זורע ה"ה בחיטין</w:t>
      </w:r>
      <w:bookmarkEnd w:id="383"/>
      <w:r w:rsidRPr="00EA48D3">
        <w:rPr>
          <w:rFonts w:hint="cs"/>
          <w:rtl/>
        </w:rPr>
        <w:t xml:space="preserve"> </w:t>
      </w:r>
    </w:p>
    <w:p w14:paraId="0CF264FC" w14:textId="380682ED" w:rsidR="009623A2" w:rsidRPr="00EA48D3" w:rsidRDefault="009623A2" w:rsidP="00BC7DC8">
      <w:pPr>
        <w:pStyle w:val="a3"/>
      </w:pPr>
      <w:bookmarkStart w:id="384" w:name="_Ref133537562"/>
      <w:r w:rsidRPr="00EA48D3">
        <w:rPr>
          <w:rFonts w:hint="cs"/>
          <w:rtl/>
        </w:rPr>
        <w:t xml:space="preserve">והביא </w:t>
      </w:r>
      <w:r w:rsidRPr="00EA48D3">
        <w:rPr>
          <w:rStyle w:val="aff4"/>
          <w:rFonts w:hint="cs"/>
          <w:vanish/>
          <w:rtl/>
        </w:rPr>
        <w:t>-</w:t>
      </w:r>
      <w:r w:rsidRPr="00EA48D3">
        <w:rPr>
          <w:rStyle w:val="aff4"/>
          <w:rFonts w:hint="cs"/>
          <w:rtl/>
        </w:rPr>
        <w:t>ב</w:t>
      </w:r>
      <w:r w:rsidRPr="00EA48D3">
        <w:rPr>
          <w:rStyle w:val="aff4"/>
          <w:rFonts w:hint="cs"/>
          <w:vanish/>
          <w:rtl/>
        </w:rPr>
        <w:t xml:space="preserve">&lt;. </w:t>
      </w:r>
      <w:r w:rsidRPr="00EA48D3">
        <w:rPr>
          <w:rStyle w:val="aff4"/>
          <w:vanish/>
          <w:rtl/>
        </w:rPr>
        <w:fldChar w:fldCharType="begin"/>
      </w:r>
      <w:r w:rsidRPr="00EA48D3">
        <w:rPr>
          <w:rStyle w:val="aff4"/>
          <w:vanish/>
          <w:rtl/>
        </w:rPr>
        <w:instrText xml:space="preserve"> </w:instrText>
      </w:r>
      <w:r w:rsidRPr="00EA48D3">
        <w:rPr>
          <w:rStyle w:val="aff4"/>
          <w:rFonts w:hint="cs"/>
          <w:vanish/>
        </w:rPr>
        <w:instrText>REF</w:instrText>
      </w:r>
      <w:r w:rsidRPr="00EA48D3">
        <w:rPr>
          <w:rStyle w:val="aff4"/>
          <w:rFonts w:hint="cs"/>
          <w:vanish/>
          <w:rtl/>
        </w:rPr>
        <w:instrText xml:space="preserve"> _</w:instrText>
      </w:r>
      <w:r w:rsidRPr="00EA48D3">
        <w:rPr>
          <w:rStyle w:val="aff4"/>
          <w:rFonts w:hint="cs"/>
          <w:vanish/>
        </w:rPr>
        <w:instrText>Ref133537562 \r \h</w:instrText>
      </w:r>
      <w:r w:rsidRPr="00EA48D3">
        <w:rPr>
          <w:rStyle w:val="aff4"/>
          <w:vanish/>
          <w:rtl/>
        </w:rPr>
        <w:instrText xml:space="preserve"> </w:instrText>
      </w:r>
      <w:r w:rsidRPr="00EA48D3">
        <w:rPr>
          <w:rStyle w:val="aff4"/>
          <w:vanish/>
          <w:rtl/>
        </w:rPr>
      </w:r>
      <w:r w:rsidRPr="00EA48D3">
        <w:rPr>
          <w:rStyle w:val="aff4"/>
          <w:vanish/>
          <w:rtl/>
        </w:rPr>
        <w:fldChar w:fldCharType="separate"/>
      </w:r>
      <w:r w:rsidR="00D82181">
        <w:rPr>
          <w:rStyle w:val="aff4"/>
          <w:vanish/>
          <w:cs/>
        </w:rPr>
        <w:t>‎</w:t>
      </w:r>
      <w:r w:rsidR="00D82181">
        <w:rPr>
          <w:rStyle w:val="aff4"/>
          <w:vanish/>
          <w:rtl/>
        </w:rPr>
        <w:t>פב)</w:t>
      </w:r>
      <w:r w:rsidRPr="00EA48D3">
        <w:rPr>
          <w:rStyle w:val="aff4"/>
          <w:vanish/>
          <w:rtl/>
        </w:rPr>
        <w:fldChar w:fldCharType="end"/>
      </w:r>
      <w:r w:rsidRPr="00EA48D3">
        <w:rPr>
          <w:rStyle w:val="aff4"/>
          <w:rFonts w:hint="cs"/>
          <w:vanish/>
          <w:rtl/>
        </w:rPr>
        <w:t xml:space="preserve"> &gt;</w:t>
      </w:r>
      <w:r w:rsidRPr="00EA48D3">
        <w:rPr>
          <w:rStyle w:val="aff4"/>
          <w:rFonts w:hint="cs"/>
          <w:rtl/>
        </w:rPr>
        <w:t>פי' קדמון ממצרים</w:t>
      </w:r>
      <w:r w:rsidRPr="00EA48D3">
        <w:rPr>
          <w:rStyle w:val="aff4"/>
          <w:rFonts w:hint="cs"/>
          <w:vanish/>
          <w:rtl/>
        </w:rPr>
        <w:t>-</w:t>
      </w:r>
      <w:r w:rsidRPr="00EA48D3">
        <w:rPr>
          <w:rFonts w:hint="cs"/>
          <w:rtl/>
        </w:rPr>
        <w:t xml:space="preserve"> בשם </w:t>
      </w:r>
      <w:r w:rsidRPr="00EA48D3">
        <w:rPr>
          <w:rStyle w:val="aff4"/>
          <w:rFonts w:hint="cs"/>
          <w:vanish/>
          <w:rtl/>
        </w:rPr>
        <w:t>-</w:t>
      </w:r>
      <w:r w:rsidRPr="00EA48D3">
        <w:rPr>
          <w:rStyle w:val="aff4"/>
          <w:rFonts w:hint="cs"/>
          <w:rtl/>
        </w:rPr>
        <w:t>הרמב"ם בתשו'</w:t>
      </w:r>
      <w:r w:rsidRPr="00EA48D3">
        <w:rPr>
          <w:rStyle w:val="aff4"/>
          <w:rFonts w:hint="cs"/>
          <w:vanish/>
          <w:rtl/>
        </w:rPr>
        <w:t>-</w:t>
      </w:r>
      <w:r w:rsidRPr="00EA48D3">
        <w:rPr>
          <w:rFonts w:hint="cs"/>
          <w:vanish/>
          <w:rtl/>
        </w:rPr>
        <w:t>=</w:t>
      </w:r>
      <w:r w:rsidRPr="00EA48D3">
        <w:rPr>
          <w:rFonts w:hint="cs"/>
          <w:rtl/>
        </w:rPr>
        <w:t xml:space="preserve"> דתירץ דמבואר כן בגמ' בזבחים </w:t>
      </w:r>
      <w:r w:rsidRPr="00EA48D3">
        <w:rPr>
          <w:rStyle w:val="af2"/>
          <w:rFonts w:eastAsia="Guttman Hodes" w:hint="cs"/>
          <w:rtl/>
        </w:rPr>
        <w:t>(צד:)</w:t>
      </w:r>
      <w:r w:rsidRPr="00EA48D3">
        <w:rPr>
          <w:rFonts w:hint="cs"/>
          <w:rtl/>
        </w:rPr>
        <w:t xml:space="preserve"> דהזורק זרע פשתן למים חייב, ומקשה הגמ' דאי החיוב הוא מחמת דהזרע צומח, א"כ אמאי רק זרע פשתן הא אף חיטין ושעורין ג"כ חייב, ותירצה הגמ' דחייב משום לישה, וביאר </w:t>
      </w:r>
      <w:r w:rsidRPr="00EA48D3">
        <w:rPr>
          <w:rStyle w:val="aff4"/>
          <w:rFonts w:hint="cs"/>
          <w:vanish/>
          <w:rtl/>
        </w:rPr>
        <w:t>-</w:t>
      </w:r>
      <w:r w:rsidRPr="00EA48D3">
        <w:rPr>
          <w:rStyle w:val="aff4"/>
          <w:rFonts w:hint="cs"/>
          <w:rtl/>
        </w:rPr>
        <w:t>הרמב"ם בתשו'</w:t>
      </w:r>
      <w:r w:rsidRPr="00EA48D3">
        <w:rPr>
          <w:rStyle w:val="aff4"/>
          <w:rFonts w:hint="cs"/>
          <w:vanish/>
          <w:rtl/>
        </w:rPr>
        <w:t>-</w:t>
      </w:r>
      <w:r w:rsidRPr="00EA48D3">
        <w:rPr>
          <w:rFonts w:hint="cs"/>
          <w:rtl/>
        </w:rPr>
        <w:t xml:space="preserve"> דכוונת הגמ' להקשות דאי החיוב בזרע פשתן הוא כיון שהוא גודל וצומח, א"כ אמאי נקטה הגמ' רק זרע פשתן, והא בכל זרע דחיטין ושעורין ג"כ חייב בזה, דהא כל תבואה כששורין אותם במים היא גודלת וחייב משום זורע, ותירצה הגמ' דאין הכוונה דחייב בזרע פשתן מחמת דהזרע גדל והתנפח, אלא רק </w:t>
      </w:r>
      <w:r w:rsidRPr="00EA48D3">
        <w:rPr>
          <w:rFonts w:hint="cs"/>
          <w:rtl/>
        </w:rPr>
        <w:t xml:space="preserve">על מה שהזרעים מתערבים יחד, דבזרע פשתן חייב בכה"ג מדין לש. </w:t>
      </w:r>
      <w:r w:rsidRPr="00EA48D3">
        <w:rPr>
          <w:rStyle w:val="af"/>
          <w:rFonts w:hint="cs"/>
          <w:rtl/>
        </w:rPr>
        <w:t>[אבל בחיטין ושעורין אין בכה"ג חיוב לישה דאינם מתערבין יחד].</w:t>
      </w:r>
      <w:bookmarkEnd w:id="384"/>
    </w:p>
    <w:p w14:paraId="4A18C1CE" w14:textId="77777777" w:rsidR="009623A2" w:rsidRPr="00747170" w:rsidRDefault="009623A2" w:rsidP="00747170">
      <w:pPr>
        <w:pStyle w:val="a2"/>
        <w:rPr>
          <w:rtl/>
        </w:rPr>
      </w:pPr>
      <w:r w:rsidRPr="00747170">
        <w:rPr>
          <w:rStyle w:val="afff9"/>
          <w:rFonts w:hint="cs"/>
          <w:color w:val="auto"/>
          <w:rtl/>
        </w:rPr>
        <w:t>בפי' קדמון ממצרים:</w:t>
      </w:r>
      <w:r w:rsidRPr="00747170">
        <w:rPr>
          <w:rFonts w:hint="cs"/>
          <w:rtl/>
        </w:rPr>
        <w:t xml:space="preserve"> </w:t>
      </w:r>
      <w:r w:rsidRPr="00747170">
        <w:rPr>
          <w:rtl/>
        </w:rPr>
        <w:t>ו</w:t>
      </w:r>
      <w:r w:rsidRPr="00747170">
        <w:rPr>
          <w:rFonts w:hint="cs"/>
          <w:rtl/>
        </w:rPr>
        <w:t>ה</w:t>
      </w:r>
      <w:r w:rsidRPr="00747170">
        <w:rPr>
          <w:rtl/>
        </w:rPr>
        <w:t>כלל שחפשתי בתלמוד בגמ' זבחים דף צ"ד ומצאתי רבא לטעמיה דאמר זרק סודר למים חייב זרק זרע פשתן למים חייב בשלמא סודר משום דעביד ליה כיבוס אלא זרע פשתן מאי טעמא אי משום דמקדח אפי' חטי ושערי נמי אלא משום לי</w:t>
      </w:r>
      <w:r w:rsidRPr="00747170">
        <w:rPr>
          <w:rFonts w:hint="cs"/>
          <w:rtl/>
        </w:rPr>
        <w:t>ש</w:t>
      </w:r>
      <w:r w:rsidRPr="00747170">
        <w:rPr>
          <w:rtl/>
        </w:rPr>
        <w:t>ה</w:t>
      </w:r>
      <w:r w:rsidRPr="00747170">
        <w:rPr>
          <w:rFonts w:hint="cs"/>
          <w:rtl/>
        </w:rPr>
        <w:t>.</w:t>
      </w:r>
      <w:r w:rsidRPr="00747170">
        <w:rPr>
          <w:rtl/>
        </w:rPr>
        <w:t xml:space="preserve"> רצו</w:t>
      </w:r>
      <w:r w:rsidRPr="00747170">
        <w:rPr>
          <w:rFonts w:hint="cs"/>
          <w:rtl/>
        </w:rPr>
        <w:t>נו</w:t>
      </w:r>
      <w:r w:rsidRPr="00747170">
        <w:rPr>
          <w:rtl/>
        </w:rPr>
        <w:t xml:space="preserve"> לומר אם לסבת צמיחתו כלומר שיגדל ויצמח לאיזו סבה זכר זרע פשתן כל תבואה כשישרו אותה ת</w:t>
      </w:r>
      <w:r w:rsidRPr="00747170">
        <w:rPr>
          <w:rFonts w:hint="cs"/>
          <w:rtl/>
        </w:rPr>
        <w:t>ג</w:t>
      </w:r>
      <w:r w:rsidRPr="00747170">
        <w:rPr>
          <w:rtl/>
        </w:rPr>
        <w:t>דל והוא זורע ואמ' שאין הכוונה שיצמח ויתנפח אלא על ערוב חלקיו בלבד להיותו אז חייב משו</w:t>
      </w:r>
      <w:r w:rsidRPr="00747170">
        <w:rPr>
          <w:rFonts w:hint="cs"/>
          <w:rtl/>
        </w:rPr>
        <w:t>ם</w:t>
      </w:r>
      <w:r w:rsidRPr="00747170">
        <w:rPr>
          <w:rtl/>
        </w:rPr>
        <w:t xml:space="preserve"> לש</w:t>
      </w:r>
      <w:r w:rsidRPr="00747170">
        <w:rPr>
          <w:rFonts w:hint="cs"/>
          <w:rtl/>
        </w:rPr>
        <w:t>.</w:t>
      </w:r>
    </w:p>
    <w:p w14:paraId="32CFE6C2" w14:textId="77777777" w:rsidR="009623A2" w:rsidRPr="00EA48D3" w:rsidRDefault="009623A2" w:rsidP="00747170">
      <w:pPr>
        <w:pStyle w:val="afffff5"/>
        <w:rPr>
          <w:rtl/>
        </w:rPr>
      </w:pPr>
      <w:r w:rsidRPr="00EA48D3">
        <w:rPr>
          <w:rStyle w:val="afff9"/>
          <w:rFonts w:hint="cs"/>
          <w:color w:val="auto"/>
          <w:rtl/>
        </w:rPr>
        <w:t>במהדו' מכון ירושלים:</w:t>
      </w:r>
      <w:r w:rsidRPr="00EA48D3">
        <w:rPr>
          <w:rFonts w:hint="cs"/>
          <w:rtl/>
        </w:rPr>
        <w:t xml:space="preserve"> </w:t>
      </w:r>
      <w:r w:rsidRPr="00EA48D3">
        <w:rPr>
          <w:rtl/>
        </w:rPr>
        <w:t xml:space="preserve">ובקיצור הוא לשון תלמוד בגמר זבחים ואזדא רבא לטעמיה דאמר רבא זרק סודר למים חייב זרע פשתן למים חייב בשלמא סודר משום דעביד ליה כבוס אלא זרע פשתן מאי טעמא אי משום דמקדח אפילו חיטי ושערי נמי אלא משום לישה כלומר אם משום צמיחתו כוונתי שהוא גדל וצומח למה פירט רק זרע פשתן כל הזרעים אם נשרו עד שגדלו הרי הוא זורע ולכן אמר שאין הכוונה שיגדלו ויתפחו אלא על דיבוקו לאלתר בלבד הוא חייב משום </w:t>
      </w:r>
      <w:r w:rsidRPr="00EA48D3">
        <w:rPr>
          <w:rFonts w:hint="cs"/>
          <w:rtl/>
        </w:rPr>
        <w:t>לש.</w:t>
      </w:r>
    </w:p>
    <w:p w14:paraId="6CD48208" w14:textId="1651AB9B" w:rsidR="009623A2" w:rsidRPr="00EA48D3" w:rsidRDefault="009623A2" w:rsidP="009623A2">
      <w:pPr>
        <w:pStyle w:val="a7"/>
      </w:pPr>
      <w:bookmarkStart w:id="385" w:name="_Toc134419672"/>
      <w:r w:rsidRPr="00EA48D3">
        <w:rPr>
          <w:rFonts w:hint="cs"/>
          <w:rtl/>
        </w:rPr>
        <w:t>בי' הרמב"ם בתשו' דבחיטין כ' לשון שרייה דמשמע שיגדל ויתנפח ובפשתן כ' נתינה דחייב מיד</w:t>
      </w:r>
      <w:bookmarkEnd w:id="385"/>
    </w:p>
    <w:p w14:paraId="2F8D59C7" w14:textId="14C4CC55" w:rsidR="009623A2" w:rsidRPr="00EA48D3" w:rsidRDefault="009623A2" w:rsidP="00BC7DC8">
      <w:pPr>
        <w:pStyle w:val="a3"/>
      </w:pPr>
      <w:bookmarkStart w:id="386" w:name="_Ref133537551"/>
      <w:r w:rsidRPr="00EA48D3">
        <w:rPr>
          <w:rFonts w:hint="cs"/>
          <w:rtl/>
        </w:rPr>
        <w:t xml:space="preserve">וכתב </w:t>
      </w:r>
      <w:r w:rsidRPr="00EA48D3">
        <w:rPr>
          <w:rStyle w:val="aff4"/>
          <w:rFonts w:hint="cs"/>
          <w:vanish/>
          <w:rtl/>
        </w:rPr>
        <w:t>-</w:t>
      </w:r>
      <w:r w:rsidRPr="00EA48D3">
        <w:rPr>
          <w:rStyle w:val="aff4"/>
          <w:rFonts w:hint="cs"/>
          <w:rtl/>
        </w:rPr>
        <w:t>בפי' קדמון ממצרים</w:t>
      </w:r>
      <w:r w:rsidRPr="00EA48D3">
        <w:rPr>
          <w:rStyle w:val="aff4"/>
          <w:rFonts w:hint="cs"/>
          <w:vanish/>
          <w:rtl/>
        </w:rPr>
        <w:t>-</w:t>
      </w:r>
      <w:r w:rsidRPr="00EA48D3">
        <w:rPr>
          <w:rFonts w:hint="cs"/>
          <w:rtl/>
        </w:rPr>
        <w:t xml:space="preserve"> בשם </w:t>
      </w:r>
      <w:r w:rsidRPr="00EA48D3">
        <w:rPr>
          <w:rStyle w:val="aff4"/>
          <w:rFonts w:hint="cs"/>
          <w:vanish/>
          <w:rtl/>
        </w:rPr>
        <w:t>-</w:t>
      </w:r>
      <w:r w:rsidRPr="00EA48D3">
        <w:rPr>
          <w:rStyle w:val="aff4"/>
          <w:rFonts w:hint="cs"/>
          <w:rtl/>
        </w:rPr>
        <w:t>הרמב"ם בתשו'</w:t>
      </w:r>
      <w:r w:rsidRPr="00EA48D3">
        <w:rPr>
          <w:rStyle w:val="aff4"/>
          <w:rFonts w:hint="cs"/>
          <w:vanish/>
          <w:rtl/>
        </w:rPr>
        <w:t>-</w:t>
      </w:r>
      <w:r w:rsidRPr="00EA48D3">
        <w:rPr>
          <w:rFonts w:hint="cs"/>
          <w:rtl/>
        </w:rPr>
        <w:t xml:space="preserve"> דמ"ש </w:t>
      </w:r>
      <w:r w:rsidRPr="00EA48D3">
        <w:rPr>
          <w:rStyle w:val="aff4"/>
          <w:rFonts w:hint="cs"/>
          <w:vanish/>
          <w:rtl/>
        </w:rPr>
        <w:t>-</w:t>
      </w:r>
      <w:r w:rsidRPr="00EA48D3">
        <w:rPr>
          <w:rStyle w:val="aff4"/>
          <w:rFonts w:hint="cs"/>
          <w:rtl/>
        </w:rPr>
        <w:t>הרמב"ם</w:t>
      </w:r>
      <w:r w:rsidRPr="00EA48D3">
        <w:rPr>
          <w:rStyle w:val="aff4"/>
          <w:rFonts w:hint="cs"/>
          <w:vanish/>
          <w:rtl/>
        </w:rPr>
        <w:t>-</w:t>
      </w:r>
      <w:r w:rsidRPr="00EA48D3">
        <w:rPr>
          <w:rFonts w:hint="cs"/>
          <w:rtl/>
        </w:rPr>
        <w:t xml:space="preserve"> </w:t>
      </w:r>
      <w:r w:rsidRPr="00EA48D3">
        <w:rPr>
          <w:rStyle w:val="af2"/>
          <w:rFonts w:eastAsia="Guttman Hodes" w:hint="cs"/>
          <w:rtl/>
        </w:rPr>
        <w:t xml:space="preserve">(עי' אות </w:t>
      </w:r>
      <w:r w:rsidRPr="00EA48D3">
        <w:rPr>
          <w:rStyle w:val="af2"/>
          <w:rFonts w:eastAsia="Guttman Hodes"/>
          <w:rtl/>
        </w:rPr>
        <w:fldChar w:fldCharType="begin"/>
      </w:r>
      <w:r w:rsidRPr="00EA48D3">
        <w:rPr>
          <w:rStyle w:val="af2"/>
          <w:rFonts w:eastAsia="Guttman Hodes"/>
          <w:rtl/>
        </w:rPr>
        <w:instrText xml:space="preserve"> </w:instrText>
      </w:r>
      <w:r w:rsidRPr="00EA48D3">
        <w:rPr>
          <w:rStyle w:val="af2"/>
          <w:rFonts w:eastAsia="Guttman Hodes" w:hint="cs"/>
        </w:rPr>
        <w:instrText>REF</w:instrText>
      </w:r>
      <w:r w:rsidRPr="00EA48D3">
        <w:rPr>
          <w:rStyle w:val="af2"/>
          <w:rFonts w:eastAsia="Guttman Hodes" w:hint="cs"/>
          <w:rtl/>
        </w:rPr>
        <w:instrText xml:space="preserve"> _</w:instrText>
      </w:r>
      <w:r w:rsidRPr="00EA48D3">
        <w:rPr>
          <w:rStyle w:val="af2"/>
          <w:rFonts w:eastAsia="Guttman Hodes" w:hint="cs"/>
        </w:rPr>
        <w:instrText>Ref133143291 \r \h</w:instrText>
      </w:r>
      <w:r w:rsidRPr="00EA48D3">
        <w:rPr>
          <w:rStyle w:val="af2"/>
          <w:rFonts w:eastAsia="Guttman Hodes"/>
          <w:rtl/>
        </w:rPr>
        <w:instrText xml:space="preserve"> </w:instrText>
      </w:r>
      <w:r w:rsidRPr="00EA48D3">
        <w:rPr>
          <w:rStyle w:val="af2"/>
          <w:rFonts w:eastAsia="Guttman Hodes"/>
          <w:rtl/>
        </w:rPr>
      </w:r>
      <w:r w:rsidRPr="00EA48D3">
        <w:rPr>
          <w:rStyle w:val="af2"/>
          <w:rFonts w:eastAsia="Guttman Hodes"/>
          <w:rtl/>
        </w:rPr>
        <w:fldChar w:fldCharType="separate"/>
      </w:r>
      <w:r w:rsidR="00D82181">
        <w:rPr>
          <w:rStyle w:val="af2"/>
          <w:rFonts w:eastAsia="Guttman Hodes"/>
          <w:cs/>
        </w:rPr>
        <w:t>‎</w:t>
      </w:r>
      <w:r w:rsidR="00D82181">
        <w:rPr>
          <w:rStyle w:val="af2"/>
          <w:rFonts w:eastAsia="Guttman Hodes"/>
          <w:rtl/>
        </w:rPr>
        <w:t>עט)</w:t>
      </w:r>
      <w:r w:rsidRPr="00EA48D3">
        <w:rPr>
          <w:rStyle w:val="af2"/>
          <w:rFonts w:eastAsia="Guttman Hodes"/>
          <w:rtl/>
        </w:rPr>
        <w:fldChar w:fldCharType="end"/>
      </w:r>
      <w:r w:rsidRPr="00EA48D3">
        <w:rPr>
          <w:rFonts w:hint="cs"/>
          <w:rtl/>
        </w:rPr>
        <w:t xml:space="preserve"> דהשורה חיטים במים חייב, כ"כ דוקא בלשון "שרייה", כיון דמשמעות לשון "שרייה" הוא שמחייב שהזרע יגדל ויתנפח, </w:t>
      </w:r>
      <w:r w:rsidRPr="00EA48D3">
        <w:rPr>
          <w:rStyle w:val="af"/>
          <w:rFonts w:hint="cs"/>
          <w:rtl/>
        </w:rPr>
        <w:t>[והיינו דלשון "שרייה הוא לזמן מרובה],</w:t>
      </w:r>
      <w:r w:rsidRPr="00EA48D3">
        <w:rPr>
          <w:rFonts w:hint="cs"/>
          <w:rtl/>
        </w:rPr>
        <w:t xml:space="preserve"> וציין למ"ש </w:t>
      </w:r>
      <w:r w:rsidRPr="00EA48D3">
        <w:rPr>
          <w:rStyle w:val="aff4"/>
          <w:rFonts w:hint="cs"/>
          <w:vanish/>
          <w:rtl/>
        </w:rPr>
        <w:t>-</w:t>
      </w:r>
      <w:r w:rsidRPr="00EA48D3">
        <w:rPr>
          <w:rStyle w:val="aff4"/>
          <w:rFonts w:hint="cs"/>
          <w:rtl/>
        </w:rPr>
        <w:t>ה</w:t>
      </w:r>
      <w:r w:rsidRPr="00EA48D3">
        <w:rPr>
          <w:rStyle w:val="aff4"/>
          <w:rFonts w:hint="cs"/>
          <w:vanish/>
          <w:rtl/>
        </w:rPr>
        <w:t xml:space="preserve">&lt;. </w:t>
      </w:r>
      <w:r w:rsidRPr="00EA48D3">
        <w:rPr>
          <w:rStyle w:val="aff4"/>
          <w:vanish/>
          <w:rtl/>
        </w:rPr>
        <w:fldChar w:fldCharType="begin"/>
      </w:r>
      <w:r w:rsidRPr="00EA48D3">
        <w:rPr>
          <w:rStyle w:val="aff4"/>
          <w:vanish/>
          <w:rtl/>
        </w:rPr>
        <w:instrText xml:space="preserve"> </w:instrText>
      </w:r>
      <w:r w:rsidRPr="00EA48D3">
        <w:rPr>
          <w:rStyle w:val="aff4"/>
          <w:rFonts w:hint="cs"/>
          <w:vanish/>
        </w:rPr>
        <w:instrText>REF</w:instrText>
      </w:r>
      <w:r w:rsidRPr="00EA48D3">
        <w:rPr>
          <w:rStyle w:val="aff4"/>
          <w:rFonts w:hint="cs"/>
          <w:vanish/>
          <w:rtl/>
        </w:rPr>
        <w:instrText xml:space="preserve"> _</w:instrText>
      </w:r>
      <w:r w:rsidRPr="00EA48D3">
        <w:rPr>
          <w:rStyle w:val="aff4"/>
          <w:rFonts w:hint="cs"/>
          <w:vanish/>
        </w:rPr>
        <w:instrText>Ref133537551 \r \h</w:instrText>
      </w:r>
      <w:r w:rsidRPr="00EA48D3">
        <w:rPr>
          <w:rStyle w:val="aff4"/>
          <w:vanish/>
          <w:rtl/>
        </w:rPr>
        <w:instrText xml:space="preserve"> </w:instrText>
      </w:r>
      <w:r w:rsidRPr="00EA48D3">
        <w:rPr>
          <w:rStyle w:val="aff4"/>
          <w:vanish/>
          <w:rtl/>
        </w:rPr>
      </w:r>
      <w:r w:rsidRPr="00EA48D3">
        <w:rPr>
          <w:rStyle w:val="aff4"/>
          <w:vanish/>
          <w:rtl/>
        </w:rPr>
        <w:fldChar w:fldCharType="separate"/>
      </w:r>
      <w:r w:rsidR="00D82181">
        <w:rPr>
          <w:rStyle w:val="aff4"/>
          <w:vanish/>
          <w:cs/>
        </w:rPr>
        <w:t>‎</w:t>
      </w:r>
      <w:r w:rsidR="00D82181">
        <w:rPr>
          <w:rStyle w:val="aff4"/>
          <w:vanish/>
          <w:rtl/>
        </w:rPr>
        <w:t>פג)</w:t>
      </w:r>
      <w:r w:rsidRPr="00EA48D3">
        <w:rPr>
          <w:rStyle w:val="aff4"/>
          <w:vanish/>
          <w:rtl/>
        </w:rPr>
        <w:fldChar w:fldCharType="end"/>
      </w:r>
      <w:r w:rsidRPr="00EA48D3">
        <w:rPr>
          <w:rStyle w:val="aff4"/>
          <w:rFonts w:hint="cs"/>
          <w:vanish/>
          <w:rtl/>
        </w:rPr>
        <w:t xml:space="preserve"> &gt;</w:t>
      </w:r>
      <w:r w:rsidRPr="00EA48D3">
        <w:rPr>
          <w:rStyle w:val="aff4"/>
          <w:rFonts w:hint="cs"/>
          <w:rtl/>
        </w:rPr>
        <w:t>רמב"ם</w:t>
      </w:r>
      <w:r w:rsidRPr="00EA48D3">
        <w:rPr>
          <w:rStyle w:val="aff4"/>
          <w:rFonts w:hint="cs"/>
          <w:vanish/>
          <w:rtl/>
        </w:rPr>
        <w:t>-</w:t>
      </w:r>
      <w:r w:rsidRPr="00EA48D3">
        <w:rPr>
          <w:rFonts w:hint="cs"/>
          <w:rtl/>
        </w:rPr>
        <w:t xml:space="preserve"> </w:t>
      </w:r>
      <w:r w:rsidRPr="00EA48D3">
        <w:rPr>
          <w:rStyle w:val="af2"/>
          <w:rFonts w:eastAsia="Guttman Hodes" w:hint="cs"/>
          <w:rtl/>
        </w:rPr>
        <w:t>(שבת פ"ח הט"ז)</w:t>
      </w:r>
      <w:r w:rsidRPr="00EA48D3">
        <w:rPr>
          <w:rFonts w:hint="cs"/>
          <w:vanish/>
          <w:rtl/>
        </w:rPr>
        <w:t>=</w:t>
      </w:r>
      <w:r w:rsidRPr="00EA48D3">
        <w:rPr>
          <w:rFonts w:hint="cs"/>
          <w:rtl/>
        </w:rPr>
        <w:t xml:space="preserve"> דהנותן זרע פשתן במים חייב משום לש, וביאר </w:t>
      </w:r>
      <w:r w:rsidRPr="00EA48D3">
        <w:rPr>
          <w:rStyle w:val="aff4"/>
          <w:rFonts w:hint="cs"/>
          <w:vanish/>
          <w:rtl/>
        </w:rPr>
        <w:t>-</w:t>
      </w:r>
      <w:r w:rsidRPr="00EA48D3">
        <w:rPr>
          <w:rStyle w:val="aff4"/>
          <w:rFonts w:hint="cs"/>
          <w:rtl/>
        </w:rPr>
        <w:t>הרמב"ם</w:t>
      </w:r>
      <w:r w:rsidRPr="00EA48D3">
        <w:rPr>
          <w:rStyle w:val="aff4"/>
          <w:rFonts w:hint="cs"/>
          <w:vanish/>
          <w:rtl/>
        </w:rPr>
        <w:t>-</w:t>
      </w:r>
      <w:r w:rsidRPr="00EA48D3">
        <w:rPr>
          <w:rFonts w:hint="cs"/>
          <w:rtl/>
        </w:rPr>
        <w:t xml:space="preserve"> דבזה הכוונה רק מחמת עירוב החלקים, דכיון דזרע פשתן הוא דק כשמתערב במים חייב עליו משום לש. </w:t>
      </w:r>
      <w:r w:rsidRPr="00EA48D3">
        <w:rPr>
          <w:rStyle w:val="af"/>
          <w:rFonts w:hint="cs"/>
          <w:rtl/>
        </w:rPr>
        <w:t>[והיינו דלשון "נותן" משמע לזמן מועט, דבכה"ג אינו מצמיח ויש רק חיוב לש ולא חיוב זורע, ואילו בחיטין ושעורין שאין חיוב מדין לש, החיוב הוא רק בשורה לזמן מרובה].</w:t>
      </w:r>
      <w:bookmarkEnd w:id="386"/>
    </w:p>
    <w:p w14:paraId="5CB9FE49" w14:textId="77777777" w:rsidR="009623A2" w:rsidRPr="00747170" w:rsidRDefault="009623A2" w:rsidP="00747170">
      <w:pPr>
        <w:pStyle w:val="a2"/>
        <w:rPr>
          <w:rtl/>
        </w:rPr>
      </w:pPr>
      <w:r w:rsidRPr="00747170">
        <w:rPr>
          <w:rStyle w:val="afff9"/>
          <w:rFonts w:hint="cs"/>
          <w:color w:val="auto"/>
          <w:rtl/>
        </w:rPr>
        <w:t>בפי' קדמון ממצרים:</w:t>
      </w:r>
      <w:r w:rsidRPr="00747170">
        <w:rPr>
          <w:rFonts w:hint="cs"/>
          <w:rtl/>
        </w:rPr>
        <w:t xml:space="preserve"> </w:t>
      </w:r>
      <w:r w:rsidRPr="00747170">
        <w:rPr>
          <w:rtl/>
        </w:rPr>
        <w:t>וע"כ אמרנו אנחנו השורה הטים ושעורים וכיוצא בהם לפי שמילת שרייה תחייב הגדול והניפוח וכזה הפירוש עצמו לקמן הלכ' ט"ז והנותן זרע שומשמין או זרע פשתן וכיוצא בהן במים חייב משום לש מפני שהם מתערבין ונתלים רצו</w:t>
      </w:r>
      <w:r w:rsidRPr="00747170">
        <w:rPr>
          <w:rFonts w:hint="cs"/>
          <w:rtl/>
        </w:rPr>
        <w:t>ני</w:t>
      </w:r>
      <w:r w:rsidRPr="00747170">
        <w:rPr>
          <w:rtl/>
        </w:rPr>
        <w:t xml:space="preserve"> לומר</w:t>
      </w:r>
      <w:r w:rsidRPr="00747170">
        <w:rPr>
          <w:rFonts w:hint="cs"/>
          <w:rtl/>
        </w:rPr>
        <w:t xml:space="preserve"> </w:t>
      </w:r>
      <w:r w:rsidRPr="00747170">
        <w:rPr>
          <w:rtl/>
        </w:rPr>
        <w:t>לדקות גרגיריהם וחלקיותם והתערבם בהיותם במים</w:t>
      </w:r>
      <w:r w:rsidRPr="00747170">
        <w:rPr>
          <w:rFonts w:hint="cs"/>
          <w:rtl/>
        </w:rPr>
        <w:t>.</w:t>
      </w:r>
    </w:p>
    <w:p w14:paraId="665D0BF0" w14:textId="77777777" w:rsidR="009623A2" w:rsidRPr="00EA48D3" w:rsidRDefault="009623A2" w:rsidP="00747170">
      <w:pPr>
        <w:pStyle w:val="afffff5"/>
        <w:rPr>
          <w:rtl/>
        </w:rPr>
      </w:pPr>
      <w:r w:rsidRPr="00EA48D3">
        <w:rPr>
          <w:rStyle w:val="afff9"/>
          <w:rFonts w:hint="cs"/>
          <w:color w:val="auto"/>
          <w:rtl/>
        </w:rPr>
        <w:t>במהדו' מכון ירושלים:</w:t>
      </w:r>
      <w:r w:rsidRPr="00EA48D3">
        <w:rPr>
          <w:rFonts w:hint="cs"/>
          <w:rtl/>
        </w:rPr>
        <w:t xml:space="preserve"> </w:t>
      </w:r>
      <w:r w:rsidRPr="00EA48D3">
        <w:rPr>
          <w:rtl/>
        </w:rPr>
        <w:t>ועל כן דקדקנו אנחנו ואמרנו וכן השורה חטין ושעורין וכיוצא בהן כי מלת שרייה כוללת את הגידול וההשרות</w:t>
      </w:r>
      <w:r w:rsidRPr="00EA48D3">
        <w:rPr>
          <w:rFonts w:hint="cs"/>
          <w:rtl/>
        </w:rPr>
        <w:t xml:space="preserve">, </w:t>
      </w:r>
      <w:r w:rsidRPr="00EA48D3">
        <w:rPr>
          <w:rtl/>
        </w:rPr>
        <w:t>ובאותו הפרק עצמו אמרנו והנותן זרע שומשמין או זרע פשתן וכיוצא בהן במים חייב משום לש מפני שהן מתערבין ונתלין ר"ל דקת זרען ודביקותם והתאחדם מחמת בואם במים גרידא</w:t>
      </w:r>
      <w:r w:rsidRPr="00EA48D3">
        <w:rPr>
          <w:rFonts w:hint="cs"/>
          <w:rtl/>
        </w:rPr>
        <w:t>.</w:t>
      </w:r>
    </w:p>
    <w:p w14:paraId="1A9FD2BA" w14:textId="6506863C" w:rsidR="009623A2" w:rsidRPr="00EA48D3" w:rsidRDefault="009623A2" w:rsidP="009623A2">
      <w:pPr>
        <w:pStyle w:val="afffff7"/>
        <w:rPr>
          <w:rtl/>
        </w:rPr>
      </w:pPr>
      <w:bookmarkStart w:id="387" w:name="_Toc133841682"/>
      <w:bookmarkStart w:id="388" w:name="_Toc163505430"/>
      <w:r w:rsidRPr="00EA48D3">
        <w:rPr>
          <w:rtl/>
        </w:rPr>
        <w:t>רמב"ם שבת ח' ט"ז</w:t>
      </w:r>
      <w:bookmarkEnd w:id="387"/>
      <w:bookmarkEnd w:id="388"/>
    </w:p>
    <w:p w14:paraId="0063E990" w14:textId="77777777" w:rsidR="009623A2" w:rsidRPr="00EA48D3" w:rsidRDefault="009623A2" w:rsidP="00747170">
      <w:pPr>
        <w:pStyle w:val="afffff5"/>
      </w:pPr>
      <w:r w:rsidRPr="00EA48D3">
        <w:rPr>
          <w:rtl/>
        </w:rPr>
        <w:t>והנותן זרע שומשמין או זרע פשתן וכיוצא בהן במים חייב משום לש</w:t>
      </w:r>
      <w:r w:rsidRPr="00EA48D3">
        <w:rPr>
          <w:rFonts w:hint="cs"/>
          <w:rtl/>
        </w:rPr>
        <w:t>.</w:t>
      </w:r>
    </w:p>
    <w:p w14:paraId="1403F170" w14:textId="77777777" w:rsidR="009623A2" w:rsidRPr="00EA48D3" w:rsidRDefault="009623A2" w:rsidP="009623A2">
      <w:pPr>
        <w:pStyle w:val="afffffb"/>
        <w:rPr>
          <w:rtl/>
        </w:rPr>
      </w:pPr>
      <w:r w:rsidRPr="00EA48D3">
        <w:rPr>
          <w:rFonts w:hint="cs"/>
          <w:rtl/>
        </w:rPr>
        <w:t>פי' קדמון ממצרים [נד' בסוף רמב"ם פרנקל] שבת ח' ב'</w:t>
      </w:r>
      <w:r w:rsidRPr="00EA48D3">
        <w:rPr>
          <w:rStyle w:val="afffff9"/>
          <w:rFonts w:hint="cs"/>
          <w:bCs w:val="0"/>
          <w:sz w:val="12"/>
          <w:szCs w:val="12"/>
          <w:rtl/>
        </w:rPr>
        <w:t>,</w:t>
      </w:r>
      <w:r w:rsidRPr="00EA48D3">
        <w:rPr>
          <w:rStyle w:val="afffff9"/>
          <w:bCs w:val="0"/>
          <w:sz w:val="12"/>
          <w:szCs w:val="12"/>
          <w:rtl/>
        </w:rPr>
        <w:t xml:space="preserve"> שו"ת הרמב"ם</w:t>
      </w:r>
      <w:r w:rsidRPr="00EA48D3">
        <w:rPr>
          <w:rtl/>
        </w:rPr>
        <w:t xml:space="preserve"> סימן תסד</w:t>
      </w:r>
    </w:p>
    <w:p w14:paraId="76520B09" w14:textId="77777777" w:rsidR="009623A2" w:rsidRPr="00EA48D3" w:rsidRDefault="009623A2" w:rsidP="009623A2">
      <w:pPr>
        <w:pStyle w:val="a7"/>
        <w:rPr>
          <w:rtl/>
        </w:rPr>
      </w:pPr>
      <w:bookmarkStart w:id="389" w:name="_Toc134419673"/>
      <w:r w:rsidRPr="00EA48D3">
        <w:rPr>
          <w:rFonts w:hint="cs"/>
          <w:rtl/>
        </w:rPr>
        <w:t>בי' הרמב"ם בתשו' דזרע בעציץ שאינו נקוב הוי כתלוש דאין לו קיום ולכן התולש ממנו פטור</w:t>
      </w:r>
      <w:bookmarkEnd w:id="389"/>
    </w:p>
    <w:p w14:paraId="447E4D10" w14:textId="77777777" w:rsidR="009623A2" w:rsidRPr="00EA48D3" w:rsidRDefault="009623A2" w:rsidP="00BC7DC8">
      <w:pPr>
        <w:pStyle w:val="a3"/>
        <w:rPr>
          <w:rtl/>
        </w:rPr>
      </w:pPr>
      <w:bookmarkStart w:id="390" w:name="_Ref133836607"/>
      <w:r w:rsidRPr="00EA48D3">
        <w:rPr>
          <w:rFonts w:hint="cs"/>
          <w:rtl/>
        </w:rPr>
        <w:t xml:space="preserve">והוסיף </w:t>
      </w:r>
      <w:r w:rsidRPr="00EA48D3">
        <w:rPr>
          <w:rStyle w:val="aff4"/>
          <w:rFonts w:hint="cs"/>
          <w:vanish/>
          <w:rtl/>
        </w:rPr>
        <w:t>-</w:t>
      </w:r>
      <w:r w:rsidRPr="00EA48D3">
        <w:rPr>
          <w:rStyle w:val="aff4"/>
          <w:rFonts w:hint="cs"/>
          <w:rtl/>
        </w:rPr>
        <w:t>בפי' קדמון ממצרים</w:t>
      </w:r>
      <w:r w:rsidRPr="00EA48D3">
        <w:rPr>
          <w:rStyle w:val="aff4"/>
          <w:rFonts w:hint="cs"/>
          <w:vanish/>
          <w:rtl/>
        </w:rPr>
        <w:t>-</w:t>
      </w:r>
      <w:r w:rsidRPr="00EA48D3">
        <w:rPr>
          <w:rFonts w:hint="cs"/>
          <w:rtl/>
        </w:rPr>
        <w:t xml:space="preserve"> בשם </w:t>
      </w:r>
      <w:r w:rsidRPr="00EA48D3">
        <w:rPr>
          <w:rStyle w:val="aff4"/>
          <w:rFonts w:hint="cs"/>
          <w:vanish/>
          <w:rtl/>
        </w:rPr>
        <w:t>-</w:t>
      </w:r>
      <w:r w:rsidRPr="00EA48D3">
        <w:rPr>
          <w:rStyle w:val="aff4"/>
          <w:rFonts w:hint="cs"/>
          <w:rtl/>
        </w:rPr>
        <w:t>הרמב"ם בתשו'</w:t>
      </w:r>
      <w:r w:rsidRPr="00EA48D3">
        <w:rPr>
          <w:rStyle w:val="aff4"/>
          <w:rFonts w:hint="cs"/>
          <w:vanish/>
          <w:rtl/>
        </w:rPr>
        <w:t>-</w:t>
      </w:r>
      <w:r w:rsidRPr="00EA48D3">
        <w:rPr>
          <w:rFonts w:hint="cs"/>
          <w:rtl/>
        </w:rPr>
        <w:t xml:space="preserve"> דא"א לדמות שורה חיטין במים, לתולש מעציץ שאינו נקוב, כיון דדבר שזרוע בעציץ שאינו נקוב, חשיב כתלוש כבר דהא אין לו קיום.</w:t>
      </w:r>
      <w:bookmarkEnd w:id="390"/>
    </w:p>
    <w:p w14:paraId="3C5F4757" w14:textId="77777777" w:rsidR="009623A2" w:rsidRPr="00747170" w:rsidRDefault="009623A2" w:rsidP="00747170">
      <w:pPr>
        <w:pStyle w:val="a2"/>
        <w:rPr>
          <w:rtl/>
        </w:rPr>
      </w:pPr>
      <w:r w:rsidRPr="00747170">
        <w:rPr>
          <w:rStyle w:val="afff9"/>
          <w:rFonts w:hint="cs"/>
          <w:color w:val="auto"/>
          <w:rtl/>
        </w:rPr>
        <w:t>בפי' קדמון ממצרים:</w:t>
      </w:r>
      <w:r w:rsidRPr="00747170">
        <w:rPr>
          <w:rFonts w:hint="cs"/>
          <w:rtl/>
        </w:rPr>
        <w:t xml:space="preserve"> </w:t>
      </w:r>
      <w:r w:rsidRPr="00747170">
        <w:rPr>
          <w:rtl/>
        </w:rPr>
        <w:t>ואין להקיש שורה לתלש מעציץ שאינו נקוב לפי שהדבר שנזרע בעציץ שאינו נקוב דינו כדין הדבר שכבר נתלש להיות שאין לו קיום והזורע לא נתנה בו שיצמח על כל פנים ויגיע לתכליתו</w:t>
      </w:r>
      <w:r w:rsidRPr="00747170">
        <w:rPr>
          <w:rFonts w:hint="cs"/>
          <w:rtl/>
        </w:rPr>
        <w:t>.</w:t>
      </w:r>
      <w:r w:rsidRPr="00747170">
        <w:rPr>
          <w:rtl/>
        </w:rPr>
        <w:t xml:space="preserve"> </w:t>
      </w:r>
    </w:p>
    <w:p w14:paraId="2E4096FE" w14:textId="77777777" w:rsidR="009623A2" w:rsidRPr="00EA48D3" w:rsidRDefault="009623A2" w:rsidP="00747170">
      <w:pPr>
        <w:pStyle w:val="afffff5"/>
        <w:rPr>
          <w:rtl/>
        </w:rPr>
      </w:pPr>
      <w:r w:rsidRPr="00EA48D3">
        <w:rPr>
          <w:rStyle w:val="afff9"/>
          <w:rFonts w:hint="cs"/>
          <w:color w:val="auto"/>
          <w:rtl/>
        </w:rPr>
        <w:t>במהדו' מכון ירושלים:</w:t>
      </w:r>
      <w:r w:rsidRPr="00EA48D3">
        <w:rPr>
          <w:rFonts w:hint="cs"/>
          <w:rtl/>
        </w:rPr>
        <w:t xml:space="preserve"> </w:t>
      </w:r>
      <w:r w:rsidRPr="00EA48D3">
        <w:rPr>
          <w:rtl/>
        </w:rPr>
        <w:t>ואין להקיש שורה לתולש מעציץ שאינו נקוב לפי שהדבר הזרוע בעציץ שאינו נקוב כדין הדבר התלוש אשר אין לו קיום וה זורע אין אנו מתנים בו שיצמח דוקא ויגיע לתכליתו</w:t>
      </w:r>
      <w:r w:rsidRPr="00EA48D3">
        <w:rPr>
          <w:rFonts w:hint="cs"/>
          <w:rtl/>
        </w:rPr>
        <w:t>.</w:t>
      </w:r>
    </w:p>
    <w:p w14:paraId="7EED6590" w14:textId="77777777" w:rsidR="009623A2" w:rsidRPr="00EA48D3" w:rsidRDefault="009623A2" w:rsidP="00747170">
      <w:pPr>
        <w:pStyle w:val="afffff5"/>
      </w:pPr>
      <w:r w:rsidRPr="00EA48D3">
        <w:rPr>
          <w:rStyle w:val="afff9"/>
          <w:rFonts w:hint="cs"/>
          <w:color w:val="auto"/>
          <w:rtl/>
        </w:rPr>
        <w:t>השינויים בין הנוסחאות, הנוסח הנדפס מוקף בסוגריים:</w:t>
      </w:r>
      <w:r w:rsidRPr="00EA48D3">
        <w:rPr>
          <w:rFonts w:hint="cs"/>
          <w:rtl/>
        </w:rPr>
        <w:t xml:space="preserve"> </w:t>
      </w:r>
      <w:r w:rsidRPr="00EA48D3">
        <w:rPr>
          <w:rtl/>
        </w:rPr>
        <w:t xml:space="preserve">ואין להקיש שורה לתלש מעציץ שאינו נקוב לפי שהדבר </w:t>
      </w:r>
      <w:r w:rsidRPr="00EA48D3">
        <w:rPr>
          <w:rFonts w:hint="cs"/>
          <w:rtl/>
        </w:rPr>
        <w:t>(</w:t>
      </w:r>
      <w:r w:rsidRPr="00EA48D3">
        <w:rPr>
          <w:rtl/>
        </w:rPr>
        <w:t>שנזרע</w:t>
      </w:r>
      <w:r w:rsidRPr="00EA48D3">
        <w:rPr>
          <w:rFonts w:hint="cs"/>
          <w:rtl/>
        </w:rPr>
        <w:t>) [הזרוע]</w:t>
      </w:r>
      <w:r w:rsidRPr="00EA48D3">
        <w:rPr>
          <w:rtl/>
        </w:rPr>
        <w:t xml:space="preserve"> בעציץ שאינו נקוב </w:t>
      </w:r>
      <w:r w:rsidRPr="00EA48D3">
        <w:rPr>
          <w:rFonts w:hint="cs"/>
          <w:rtl/>
        </w:rPr>
        <w:t>(</w:t>
      </w:r>
      <w:r w:rsidRPr="00EA48D3">
        <w:rPr>
          <w:rtl/>
        </w:rPr>
        <w:t>דינו</w:t>
      </w:r>
      <w:r w:rsidRPr="00EA48D3">
        <w:rPr>
          <w:rFonts w:hint="cs"/>
          <w:rtl/>
        </w:rPr>
        <w:t>)</w:t>
      </w:r>
      <w:r w:rsidRPr="00EA48D3">
        <w:rPr>
          <w:rtl/>
        </w:rPr>
        <w:t xml:space="preserve"> כדין הדבר </w:t>
      </w:r>
      <w:r w:rsidRPr="00EA48D3">
        <w:rPr>
          <w:rFonts w:hint="cs"/>
          <w:rtl/>
        </w:rPr>
        <w:t>(</w:t>
      </w:r>
      <w:r w:rsidRPr="00EA48D3">
        <w:rPr>
          <w:rtl/>
        </w:rPr>
        <w:t>שכבר נתלש</w:t>
      </w:r>
      <w:r w:rsidRPr="00EA48D3">
        <w:rPr>
          <w:rFonts w:hint="cs"/>
          <w:rtl/>
        </w:rPr>
        <w:t>) [התלוש]</w:t>
      </w:r>
      <w:r w:rsidRPr="00EA48D3">
        <w:rPr>
          <w:rtl/>
        </w:rPr>
        <w:t xml:space="preserve"> </w:t>
      </w:r>
      <w:r w:rsidRPr="00EA48D3">
        <w:rPr>
          <w:rFonts w:hint="cs"/>
          <w:rtl/>
        </w:rPr>
        <w:t>(</w:t>
      </w:r>
      <w:r w:rsidRPr="00EA48D3">
        <w:rPr>
          <w:rtl/>
        </w:rPr>
        <w:t>להיות שאין</w:t>
      </w:r>
      <w:r w:rsidRPr="00EA48D3">
        <w:rPr>
          <w:rFonts w:hint="cs"/>
          <w:rtl/>
        </w:rPr>
        <w:t>) [אשר אין]</w:t>
      </w:r>
      <w:r w:rsidRPr="00EA48D3">
        <w:rPr>
          <w:rtl/>
        </w:rPr>
        <w:t xml:space="preserve"> לו קיום</w:t>
      </w:r>
      <w:r w:rsidRPr="00EA48D3">
        <w:rPr>
          <w:rFonts w:hint="cs"/>
          <w:rtl/>
        </w:rPr>
        <w:t>.</w:t>
      </w:r>
    </w:p>
    <w:p w14:paraId="745E369A" w14:textId="24E219D6" w:rsidR="009623A2" w:rsidRPr="00EA48D3" w:rsidRDefault="009623A2" w:rsidP="009623A2">
      <w:pPr>
        <w:pStyle w:val="a7"/>
      </w:pPr>
      <w:bookmarkStart w:id="391" w:name="_Toc134419674"/>
      <w:r w:rsidRPr="00EA48D3">
        <w:rPr>
          <w:rFonts w:hint="cs"/>
          <w:rtl/>
        </w:rPr>
        <w:t>בי' הרמב"ם בתשו' דשורה במים אף שאינו צומח לגמרי מ"מ בזורע החיוב אף בצמיחה כל דהו</w:t>
      </w:r>
      <w:bookmarkEnd w:id="391"/>
      <w:r w:rsidRPr="00EA48D3">
        <w:rPr>
          <w:rFonts w:hint="cs"/>
          <w:rtl/>
        </w:rPr>
        <w:t xml:space="preserve"> </w:t>
      </w:r>
    </w:p>
    <w:p w14:paraId="5D61A45C" w14:textId="77777777" w:rsidR="009623A2" w:rsidRPr="00EA48D3" w:rsidRDefault="009623A2" w:rsidP="00BC7DC8">
      <w:pPr>
        <w:pStyle w:val="a3"/>
        <w:rPr>
          <w:rtl/>
        </w:rPr>
      </w:pPr>
      <w:r w:rsidRPr="00EA48D3">
        <w:rPr>
          <w:rFonts w:hint="cs"/>
          <w:rtl/>
        </w:rPr>
        <w:t xml:space="preserve">אבל בשורה חיטין במים, ביאר </w:t>
      </w:r>
      <w:r w:rsidRPr="00EA48D3">
        <w:rPr>
          <w:rStyle w:val="aff4"/>
          <w:rFonts w:hint="cs"/>
          <w:vanish/>
          <w:rtl/>
        </w:rPr>
        <w:t>-</w:t>
      </w:r>
      <w:r w:rsidRPr="00EA48D3">
        <w:rPr>
          <w:rStyle w:val="aff4"/>
          <w:rFonts w:hint="cs"/>
          <w:rtl/>
        </w:rPr>
        <w:t>בפי' קדמון ממצרים</w:t>
      </w:r>
      <w:r w:rsidRPr="00EA48D3">
        <w:rPr>
          <w:rStyle w:val="aff4"/>
          <w:rFonts w:hint="cs"/>
          <w:vanish/>
          <w:rtl/>
        </w:rPr>
        <w:t>-</w:t>
      </w:r>
      <w:r w:rsidRPr="00EA48D3">
        <w:rPr>
          <w:rFonts w:hint="cs"/>
          <w:rtl/>
        </w:rPr>
        <w:t xml:space="preserve"> בשם </w:t>
      </w:r>
      <w:r w:rsidRPr="00EA48D3">
        <w:rPr>
          <w:rStyle w:val="aff4"/>
          <w:rFonts w:hint="cs"/>
          <w:vanish/>
          <w:rtl/>
        </w:rPr>
        <w:t>-</w:t>
      </w:r>
      <w:r w:rsidRPr="00EA48D3">
        <w:rPr>
          <w:rStyle w:val="aff4"/>
          <w:rFonts w:hint="cs"/>
          <w:rtl/>
        </w:rPr>
        <w:t>הרמב"ם בתשו'</w:t>
      </w:r>
      <w:r w:rsidRPr="00EA48D3">
        <w:rPr>
          <w:rStyle w:val="aff4"/>
          <w:rFonts w:hint="cs"/>
          <w:vanish/>
          <w:rtl/>
        </w:rPr>
        <w:t>-</w:t>
      </w:r>
      <w:r w:rsidRPr="00EA48D3">
        <w:rPr>
          <w:rFonts w:hint="cs"/>
          <w:rtl/>
        </w:rPr>
        <w:t xml:space="preserve"> אעפ"י דהשרייה אינה מאפשרת לזרע לצמוח עד שיגיע לתכליתו, מ"מ מתחילת הזמן שגרגיר מתחיל לצמוח בדבר מועט חייב עליו. </w:t>
      </w:r>
      <w:r w:rsidRPr="00EA48D3">
        <w:rPr>
          <w:rStyle w:val="af"/>
          <w:rFonts w:hint="cs"/>
          <w:rtl/>
        </w:rPr>
        <w:t xml:space="preserve">[ביאור זה הוא לפי לשון </w:t>
      </w:r>
      <w:r w:rsidRPr="00EA48D3">
        <w:rPr>
          <w:rStyle w:val="aff9"/>
          <w:rFonts w:hint="cs"/>
          <w:vanish/>
          <w:rtl/>
        </w:rPr>
        <w:t>-</w:t>
      </w:r>
      <w:r w:rsidRPr="00EA48D3">
        <w:rPr>
          <w:rStyle w:val="aff9"/>
          <w:rFonts w:hint="cs"/>
          <w:rtl/>
        </w:rPr>
        <w:t>הרמב"ם בתשו'</w:t>
      </w:r>
      <w:r w:rsidRPr="00EA48D3">
        <w:rPr>
          <w:rStyle w:val="aff9"/>
          <w:rFonts w:hint="cs"/>
          <w:vanish/>
          <w:rtl/>
        </w:rPr>
        <w:t>-</w:t>
      </w:r>
      <w:r w:rsidRPr="00EA48D3">
        <w:rPr>
          <w:rStyle w:val="aff9"/>
          <w:rFonts w:hint="cs"/>
          <w:rtl/>
        </w:rPr>
        <w:t xml:space="preserve"> </w:t>
      </w:r>
      <w:r w:rsidRPr="00EA48D3">
        <w:rPr>
          <w:rStyle w:val="af"/>
          <w:rFonts w:hint="cs"/>
          <w:rtl/>
        </w:rPr>
        <w:t xml:space="preserve">במהדו' מכון ירושלים, אבל לפי הנדפס </w:t>
      </w:r>
      <w:r w:rsidRPr="00EA48D3">
        <w:rPr>
          <w:rStyle w:val="aff9"/>
          <w:rFonts w:hint="cs"/>
          <w:vanish/>
          <w:rtl/>
        </w:rPr>
        <w:t>-</w:t>
      </w:r>
      <w:r w:rsidRPr="00EA48D3">
        <w:rPr>
          <w:rStyle w:val="aff9"/>
          <w:rFonts w:hint="cs"/>
          <w:rtl/>
        </w:rPr>
        <w:t>בפי' קדמון ממצרים ובתשו' הרמב"ם</w:t>
      </w:r>
      <w:r w:rsidRPr="00EA48D3">
        <w:rPr>
          <w:rStyle w:val="aff9"/>
          <w:rFonts w:hint="cs"/>
          <w:vanish/>
          <w:rtl/>
        </w:rPr>
        <w:t>-</w:t>
      </w:r>
      <w:r w:rsidRPr="00EA48D3">
        <w:rPr>
          <w:rStyle w:val="aff9"/>
          <w:rFonts w:hint="cs"/>
          <w:rtl/>
        </w:rPr>
        <w:t xml:space="preserve"> </w:t>
      </w:r>
      <w:r w:rsidRPr="00EA48D3">
        <w:rPr>
          <w:rStyle w:val="af"/>
          <w:rFonts w:hint="cs"/>
          <w:rtl/>
        </w:rPr>
        <w:t>אפשר לבאר באופן אחר, ועי' בהערה].</w:t>
      </w:r>
      <w:bookmarkStart w:id="392" w:name="_Ref133836618"/>
      <w:r w:rsidRPr="00EA48D3">
        <w:rPr>
          <w:rStyle w:val="afff0"/>
          <w:rtl/>
        </w:rPr>
        <w:footnoteReference w:id="1"/>
      </w:r>
      <w:bookmarkEnd w:id="392"/>
    </w:p>
    <w:p w14:paraId="05EB455A" w14:textId="77777777" w:rsidR="009623A2" w:rsidRPr="00747170" w:rsidRDefault="009623A2" w:rsidP="00747170">
      <w:pPr>
        <w:pStyle w:val="a2"/>
        <w:rPr>
          <w:rtl/>
        </w:rPr>
      </w:pPr>
      <w:r w:rsidRPr="00747170">
        <w:rPr>
          <w:rStyle w:val="afff9"/>
          <w:rFonts w:hint="cs"/>
          <w:color w:val="auto"/>
          <w:rtl/>
        </w:rPr>
        <w:t>בפי' קדמון ממצרים:</w:t>
      </w:r>
      <w:r w:rsidRPr="00747170">
        <w:rPr>
          <w:rFonts w:hint="cs"/>
          <w:rtl/>
        </w:rPr>
        <w:t xml:space="preserve"> </w:t>
      </w:r>
      <w:r w:rsidRPr="00747170">
        <w:rPr>
          <w:rtl/>
        </w:rPr>
        <w:t>והזורע לא נתנה בו שיצמח על כל פנים ויגיע לתכליתו אבל מעת שנתפשט הגרגיר לצמוח בדבר מועט נתחייב ואתה בני עמוד על דברי והראה אותם לזולת להיישירם עד כאן דבריו</w:t>
      </w:r>
      <w:r w:rsidRPr="00747170">
        <w:rPr>
          <w:rFonts w:hint="cs"/>
          <w:rtl/>
        </w:rPr>
        <w:t>.</w:t>
      </w:r>
      <w:r w:rsidRPr="00747170">
        <w:rPr>
          <w:rtl/>
        </w:rPr>
        <w:t xml:space="preserve"> </w:t>
      </w:r>
    </w:p>
    <w:p w14:paraId="2DD03EB3" w14:textId="77777777" w:rsidR="009623A2" w:rsidRPr="00EA48D3" w:rsidRDefault="009623A2" w:rsidP="00747170">
      <w:pPr>
        <w:pStyle w:val="afffff5"/>
        <w:rPr>
          <w:rtl/>
        </w:rPr>
      </w:pPr>
      <w:r w:rsidRPr="00EA48D3">
        <w:rPr>
          <w:rStyle w:val="afff9"/>
          <w:rFonts w:hint="cs"/>
          <w:color w:val="auto"/>
          <w:rtl/>
        </w:rPr>
        <w:t>במהדו' מכון ירושלים:</w:t>
      </w:r>
      <w:r w:rsidRPr="00EA48D3">
        <w:rPr>
          <w:rFonts w:hint="cs"/>
          <w:rtl/>
        </w:rPr>
        <w:t xml:space="preserve"> </w:t>
      </w:r>
      <w:r w:rsidRPr="00EA48D3">
        <w:rPr>
          <w:rtl/>
        </w:rPr>
        <w:t>והזורע אין אנו מתנים בו שיצמח דוקא ויגיע לתכליתו אלא כיון שהתחיל הזרע לצמוח כל שהוא נתחייב יעמוד נא הבן על דברינו וימסרם לאחרים להיישירם וה' יסייע להועיל לו ושלומך ושלום כל התלמידים יגדל וירבה</w:t>
      </w:r>
      <w:r w:rsidRPr="00EA48D3">
        <w:rPr>
          <w:rFonts w:hint="cs"/>
          <w:rtl/>
        </w:rPr>
        <w:t>.</w:t>
      </w:r>
    </w:p>
    <w:p w14:paraId="29022AED" w14:textId="77777777" w:rsidR="009623A2" w:rsidRPr="00EA48D3" w:rsidRDefault="009623A2" w:rsidP="00747170">
      <w:pPr>
        <w:pStyle w:val="afffff5"/>
      </w:pPr>
      <w:r w:rsidRPr="00EA48D3">
        <w:rPr>
          <w:rStyle w:val="afff9"/>
          <w:rFonts w:hint="cs"/>
          <w:color w:val="auto"/>
          <w:rtl/>
        </w:rPr>
        <w:t>השינויים בין הנוסחאות, הנוסח הנדפס מוקף בסוגריים:</w:t>
      </w:r>
      <w:r w:rsidRPr="00EA48D3">
        <w:rPr>
          <w:rFonts w:hint="cs"/>
          <w:rtl/>
        </w:rPr>
        <w:t xml:space="preserve"> (</w:t>
      </w:r>
      <w:r w:rsidRPr="00EA48D3">
        <w:rPr>
          <w:rtl/>
        </w:rPr>
        <w:t>אבל מעת שנתפשט הגרגיר</w:t>
      </w:r>
      <w:r w:rsidRPr="00EA48D3">
        <w:rPr>
          <w:rFonts w:hint="cs"/>
          <w:rtl/>
        </w:rPr>
        <w:t>) [אלא כיון שהתחיל הזרע]</w:t>
      </w:r>
      <w:r w:rsidRPr="00EA48D3">
        <w:rPr>
          <w:rtl/>
        </w:rPr>
        <w:t xml:space="preserve"> לצמוח </w:t>
      </w:r>
      <w:r w:rsidRPr="00EA48D3">
        <w:rPr>
          <w:rFonts w:hint="cs"/>
          <w:rtl/>
        </w:rPr>
        <w:t>(</w:t>
      </w:r>
      <w:r w:rsidRPr="00EA48D3">
        <w:rPr>
          <w:rtl/>
        </w:rPr>
        <w:t>בדבר מועט</w:t>
      </w:r>
      <w:r w:rsidRPr="00EA48D3">
        <w:rPr>
          <w:rFonts w:hint="cs"/>
          <w:rtl/>
        </w:rPr>
        <w:t>) [כל שהוא]</w:t>
      </w:r>
      <w:r w:rsidRPr="00EA48D3">
        <w:rPr>
          <w:rtl/>
        </w:rPr>
        <w:t xml:space="preserve"> נתחייב</w:t>
      </w:r>
      <w:r w:rsidRPr="00EA48D3">
        <w:rPr>
          <w:rFonts w:hint="cs"/>
          <w:rtl/>
        </w:rPr>
        <w:t>,</w:t>
      </w:r>
      <w:r w:rsidRPr="00EA48D3">
        <w:rPr>
          <w:rtl/>
        </w:rPr>
        <w:t xml:space="preserve"> ואתה בני עמוד על דברי והראה אותם לזולת להיישירם עד כאן דבריו</w:t>
      </w:r>
      <w:r w:rsidRPr="00EA48D3">
        <w:rPr>
          <w:rFonts w:hint="cs"/>
          <w:rtl/>
        </w:rPr>
        <w:t>.</w:t>
      </w:r>
    </w:p>
    <w:p w14:paraId="53358E07" w14:textId="21897105" w:rsidR="009623A2" w:rsidRPr="00EA48D3" w:rsidRDefault="009623A2" w:rsidP="009623A2">
      <w:pPr>
        <w:pStyle w:val="a7"/>
      </w:pPr>
      <w:bookmarkStart w:id="393" w:name="_Toc134419675"/>
      <w:r w:rsidRPr="00EA48D3">
        <w:rPr>
          <w:rFonts w:hint="cs"/>
          <w:rtl/>
        </w:rPr>
        <w:t>בי' הפי' קדמון ממצרים ברמב"ם דהחיוב בשורה במים רק כששהו זמן מרובה דקרובין להצמיח</w:t>
      </w:r>
      <w:bookmarkEnd w:id="393"/>
    </w:p>
    <w:p w14:paraId="48968AC5" w14:textId="31D63468" w:rsidR="009623A2" w:rsidRPr="00EA48D3" w:rsidRDefault="009623A2" w:rsidP="00BC7DC8">
      <w:pPr>
        <w:pStyle w:val="a3"/>
        <w:rPr>
          <w:rStyle w:val="af"/>
          <w:rtl/>
        </w:rPr>
      </w:pPr>
      <w:r w:rsidRPr="00EA48D3">
        <w:rPr>
          <w:rFonts w:hint="cs"/>
          <w:rtl/>
        </w:rPr>
        <w:t xml:space="preserve">וכתב </w:t>
      </w:r>
      <w:r w:rsidRPr="00EA48D3">
        <w:rPr>
          <w:rStyle w:val="aff4"/>
          <w:rFonts w:hint="cs"/>
          <w:vanish/>
          <w:rtl/>
        </w:rPr>
        <w:t>-</w:t>
      </w:r>
      <w:r w:rsidRPr="00EA48D3">
        <w:rPr>
          <w:rStyle w:val="aff4"/>
          <w:rFonts w:hint="cs"/>
          <w:rtl/>
        </w:rPr>
        <w:t>בפי' קדמון ממצרים</w:t>
      </w:r>
      <w:r w:rsidRPr="00EA48D3">
        <w:rPr>
          <w:rStyle w:val="aff4"/>
          <w:rFonts w:hint="cs"/>
          <w:vanish/>
          <w:rtl/>
        </w:rPr>
        <w:t>-</w:t>
      </w:r>
      <w:r w:rsidRPr="00EA48D3">
        <w:rPr>
          <w:rFonts w:hint="cs"/>
          <w:rtl/>
        </w:rPr>
        <w:t xml:space="preserve"> דמבואר מדברי </w:t>
      </w:r>
      <w:r w:rsidRPr="00EA48D3">
        <w:rPr>
          <w:rStyle w:val="aff4"/>
          <w:rFonts w:hint="cs"/>
          <w:vanish/>
          <w:rtl/>
        </w:rPr>
        <w:t>-</w:t>
      </w:r>
      <w:r w:rsidRPr="00EA48D3">
        <w:rPr>
          <w:rStyle w:val="aff4"/>
          <w:rFonts w:hint="cs"/>
          <w:rtl/>
        </w:rPr>
        <w:t>הרמב"ם בתשו'</w:t>
      </w:r>
      <w:r w:rsidRPr="00EA48D3">
        <w:rPr>
          <w:rStyle w:val="aff4"/>
          <w:rFonts w:hint="cs"/>
          <w:vanish/>
          <w:rtl/>
        </w:rPr>
        <w:t>-</w:t>
      </w:r>
      <w:r w:rsidRPr="00EA48D3">
        <w:rPr>
          <w:rFonts w:hint="cs"/>
          <w:rtl/>
        </w:rPr>
        <w:t xml:space="preserve"> דהחיוב בשורה חיטין במים, הוא רק כששהו במים זמן מרובה בכדי שיתפחו והם קרובים להצמיח. </w:t>
      </w:r>
      <w:r w:rsidRPr="00EA48D3">
        <w:rPr>
          <w:rStyle w:val="af"/>
          <w:rFonts w:hint="cs"/>
          <w:rtl/>
        </w:rPr>
        <w:t>[וכ"כ</w:t>
      </w:r>
      <w:r w:rsidRPr="00EA48D3">
        <w:rPr>
          <w:rFonts w:hint="cs"/>
          <w:rtl/>
        </w:rPr>
        <w:t xml:space="preserve"> </w:t>
      </w:r>
      <w:r w:rsidRPr="00EA48D3">
        <w:rPr>
          <w:rStyle w:val="aff9"/>
          <w:rFonts w:hint="cs"/>
          <w:vanish/>
          <w:rtl/>
        </w:rPr>
        <w:t>-</w:t>
      </w:r>
      <w:r w:rsidRPr="00EA48D3">
        <w:rPr>
          <w:rStyle w:val="aff9"/>
          <w:rFonts w:hint="cs"/>
          <w:rtl/>
        </w:rPr>
        <w:t>המג"א</w:t>
      </w:r>
      <w:r w:rsidRPr="00EA48D3">
        <w:rPr>
          <w:rStyle w:val="aff9"/>
          <w:rFonts w:hint="cs"/>
          <w:vanish/>
          <w:rtl/>
        </w:rPr>
        <w:t>-</w:t>
      </w:r>
      <w:r w:rsidRPr="00EA48D3">
        <w:rPr>
          <w:rStyle w:val="aff9"/>
          <w:rFonts w:hint="cs"/>
          <w:rtl/>
        </w:rPr>
        <w:t xml:space="preserve"> </w:t>
      </w:r>
      <w:r w:rsidRPr="00EA48D3">
        <w:rPr>
          <w:rStyle w:val="aff5"/>
          <w:rFonts w:hint="cs"/>
          <w:rtl/>
        </w:rPr>
        <w:t xml:space="preserve">(עי' אות </w:t>
      </w:r>
      <w:r w:rsidRPr="00EA48D3">
        <w:rPr>
          <w:rStyle w:val="aff5"/>
          <w:rtl/>
        </w:rPr>
        <w:fldChar w:fldCharType="begin"/>
      </w:r>
      <w:r w:rsidRPr="00EA48D3">
        <w:rPr>
          <w:rStyle w:val="aff5"/>
          <w:rtl/>
        </w:rPr>
        <w:instrText xml:space="preserve"> </w:instrText>
      </w:r>
      <w:r w:rsidRPr="00EA48D3">
        <w:rPr>
          <w:rStyle w:val="aff5"/>
          <w:rFonts w:hint="cs"/>
        </w:rPr>
        <w:instrText>REF</w:instrText>
      </w:r>
      <w:r w:rsidRPr="00EA48D3">
        <w:rPr>
          <w:rStyle w:val="aff5"/>
          <w:rFonts w:hint="cs"/>
          <w:rtl/>
        </w:rPr>
        <w:instrText xml:space="preserve"> _</w:instrText>
      </w:r>
      <w:r w:rsidRPr="00EA48D3">
        <w:rPr>
          <w:rStyle w:val="aff5"/>
          <w:rFonts w:hint="cs"/>
        </w:rPr>
        <w:instrText>Ref133749987 \r \h</w:instrText>
      </w:r>
      <w:r w:rsidRPr="00EA48D3">
        <w:rPr>
          <w:rStyle w:val="aff5"/>
          <w:rtl/>
        </w:rPr>
        <w:instrText xml:space="preserve"> </w:instrText>
      </w:r>
      <w:r w:rsidRPr="00EA48D3">
        <w:rPr>
          <w:rStyle w:val="aff5"/>
          <w:rtl/>
        </w:rPr>
      </w:r>
      <w:r w:rsidRPr="00EA48D3">
        <w:rPr>
          <w:rStyle w:val="aff5"/>
          <w:rtl/>
        </w:rPr>
        <w:fldChar w:fldCharType="separate"/>
      </w:r>
      <w:r w:rsidR="00D82181">
        <w:rPr>
          <w:rStyle w:val="aff5"/>
          <w:cs/>
        </w:rPr>
        <w:t>‎</w:t>
      </w:r>
      <w:r w:rsidR="00D82181">
        <w:rPr>
          <w:rStyle w:val="aff5"/>
          <w:rtl/>
        </w:rPr>
        <w:t>צד)</w:t>
      </w:r>
      <w:r w:rsidRPr="00EA48D3">
        <w:rPr>
          <w:rStyle w:val="aff5"/>
          <w:rtl/>
        </w:rPr>
        <w:fldChar w:fldCharType="end"/>
      </w:r>
      <w:r w:rsidRPr="00EA48D3">
        <w:rPr>
          <w:rStyle w:val="aff9"/>
          <w:rFonts w:hint="cs"/>
          <w:rtl/>
        </w:rPr>
        <w:t xml:space="preserve"> </w:t>
      </w:r>
      <w:r w:rsidRPr="00EA48D3">
        <w:rPr>
          <w:rStyle w:val="aff9"/>
          <w:rFonts w:hint="cs"/>
          <w:vanish/>
          <w:rtl/>
        </w:rPr>
        <w:t>-</w:t>
      </w:r>
      <w:r w:rsidRPr="00EA48D3">
        <w:rPr>
          <w:rStyle w:val="aff9"/>
          <w:rFonts w:hint="cs"/>
          <w:rtl/>
        </w:rPr>
        <w:t>והרדב"ז</w:t>
      </w:r>
      <w:r w:rsidRPr="00EA48D3">
        <w:rPr>
          <w:rStyle w:val="aff9"/>
          <w:rFonts w:hint="cs"/>
          <w:vanish/>
          <w:rtl/>
        </w:rPr>
        <w:t>-</w:t>
      </w:r>
      <w:r w:rsidRPr="00EA48D3">
        <w:rPr>
          <w:rFonts w:hint="cs"/>
          <w:rtl/>
        </w:rPr>
        <w:t xml:space="preserve"> </w:t>
      </w:r>
      <w:r w:rsidRPr="00EA48D3">
        <w:rPr>
          <w:rStyle w:val="aff5"/>
          <w:rFonts w:hint="cs"/>
          <w:rtl/>
        </w:rPr>
        <w:t xml:space="preserve">(עי' אות </w:t>
      </w:r>
      <w:r w:rsidRPr="00EA48D3">
        <w:rPr>
          <w:rStyle w:val="af"/>
          <w:rtl/>
        </w:rPr>
        <w:fldChar w:fldCharType="begin"/>
      </w:r>
      <w:r w:rsidRPr="00EA48D3">
        <w:rPr>
          <w:rStyle w:val="af"/>
          <w:rtl/>
        </w:rPr>
        <w:instrText xml:space="preserve"> </w:instrText>
      </w:r>
      <w:r w:rsidRPr="00EA48D3">
        <w:rPr>
          <w:rStyle w:val="af"/>
          <w:rFonts w:hint="cs"/>
        </w:rPr>
        <w:instrText>REF</w:instrText>
      </w:r>
      <w:r w:rsidRPr="00EA48D3">
        <w:rPr>
          <w:rStyle w:val="af"/>
          <w:rFonts w:hint="cs"/>
          <w:rtl/>
        </w:rPr>
        <w:instrText xml:space="preserve"> _</w:instrText>
      </w:r>
      <w:r w:rsidRPr="00EA48D3">
        <w:rPr>
          <w:rStyle w:val="af"/>
          <w:rFonts w:hint="cs"/>
        </w:rPr>
        <w:instrText>Ref133575286 \r \h</w:instrText>
      </w:r>
      <w:r w:rsidRPr="00EA48D3">
        <w:rPr>
          <w:rStyle w:val="af"/>
          <w:rtl/>
        </w:rPr>
        <w:instrText xml:space="preserve">  \* </w:instrText>
      </w:r>
      <w:r w:rsidRPr="00EA48D3">
        <w:rPr>
          <w:rStyle w:val="af"/>
        </w:rPr>
        <w:instrText>MERGEFORMAT</w:instrText>
      </w:r>
      <w:r w:rsidRPr="00EA48D3">
        <w:rPr>
          <w:rStyle w:val="af"/>
          <w:rtl/>
        </w:rPr>
        <w:instrText xml:space="preserve"> </w:instrText>
      </w:r>
      <w:r w:rsidRPr="00EA48D3">
        <w:rPr>
          <w:rStyle w:val="af"/>
          <w:rtl/>
        </w:rPr>
      </w:r>
      <w:r w:rsidRPr="00EA48D3">
        <w:rPr>
          <w:rStyle w:val="af"/>
          <w:rtl/>
        </w:rPr>
        <w:fldChar w:fldCharType="separate"/>
      </w:r>
      <w:r w:rsidR="00D82181">
        <w:rPr>
          <w:rStyle w:val="af"/>
          <w:cs/>
        </w:rPr>
        <w:t>‎</w:t>
      </w:r>
      <w:r w:rsidR="00D82181" w:rsidRPr="00D82181">
        <w:rPr>
          <w:rStyle w:val="aff5"/>
          <w:rtl/>
        </w:rPr>
        <w:t>צא)</w:t>
      </w:r>
      <w:r w:rsidRPr="00EA48D3">
        <w:rPr>
          <w:rStyle w:val="af"/>
          <w:rtl/>
        </w:rPr>
        <w:fldChar w:fldCharType="end"/>
      </w:r>
      <w:r w:rsidRPr="00EA48D3">
        <w:rPr>
          <w:rStyle w:val="af"/>
          <w:rFonts w:hint="cs"/>
          <w:rtl/>
        </w:rPr>
        <w:t>].</w:t>
      </w:r>
    </w:p>
    <w:p w14:paraId="52567471" w14:textId="77777777" w:rsidR="009623A2" w:rsidRPr="00747170" w:rsidRDefault="009623A2" w:rsidP="00747170">
      <w:pPr>
        <w:pStyle w:val="a2"/>
      </w:pPr>
      <w:r w:rsidRPr="00747170">
        <w:rPr>
          <w:rtl/>
        </w:rPr>
        <w:t>ונראה מדבריו ז"ל שאינו חייב על שריית ח</w:t>
      </w:r>
      <w:r w:rsidRPr="00747170">
        <w:rPr>
          <w:rFonts w:hint="cs"/>
          <w:rtl/>
        </w:rPr>
        <w:t>ט</w:t>
      </w:r>
      <w:r w:rsidRPr="00747170">
        <w:rPr>
          <w:rtl/>
        </w:rPr>
        <w:t>ים ושעורים אלא אם שהו במים כדי שיתפחו ויהיו קרוב ל</w:t>
      </w:r>
      <w:r w:rsidRPr="00747170">
        <w:rPr>
          <w:rFonts w:hint="cs"/>
          <w:rtl/>
        </w:rPr>
        <w:t>ה</w:t>
      </w:r>
      <w:r w:rsidRPr="00747170">
        <w:rPr>
          <w:rtl/>
        </w:rPr>
        <w:t>צמחה</w:t>
      </w:r>
      <w:r w:rsidRPr="00747170">
        <w:rPr>
          <w:rFonts w:hint="cs"/>
          <w:rtl/>
        </w:rPr>
        <w:t>.</w:t>
      </w:r>
    </w:p>
    <w:p w14:paraId="59BDFAD3" w14:textId="405B1686" w:rsidR="009623A2" w:rsidRPr="00EA48D3" w:rsidRDefault="009623A2" w:rsidP="009623A2">
      <w:pPr>
        <w:pStyle w:val="1"/>
        <w:rPr>
          <w:rtl/>
        </w:rPr>
      </w:pPr>
      <w:bookmarkStart w:id="394" w:name="_Toc134419676"/>
      <w:r w:rsidRPr="00EA48D3">
        <w:rPr>
          <w:rFonts w:hint="cs"/>
          <w:rtl/>
        </w:rPr>
        <w:t>בי' הרדב"ז דע"י השריה החיטין נוחין לזריעה וה"ה בטוחן</w:t>
      </w:r>
      <w:bookmarkEnd w:id="394"/>
    </w:p>
    <w:p w14:paraId="684C6071" w14:textId="77777777" w:rsidR="009623A2" w:rsidRPr="00EA48D3" w:rsidRDefault="009623A2" w:rsidP="009623A2">
      <w:pPr>
        <w:pStyle w:val="afffff7"/>
        <w:rPr>
          <w:rtl/>
        </w:rPr>
      </w:pPr>
      <w:bookmarkStart w:id="395" w:name="_Toc133841683"/>
      <w:bookmarkStart w:id="396" w:name="_Toc163505431"/>
      <w:r w:rsidRPr="00EA48D3">
        <w:rPr>
          <w:rtl/>
        </w:rPr>
        <w:t>שו"ת רדב"ז ח</w:t>
      </w:r>
      <w:r w:rsidRPr="00EA48D3">
        <w:rPr>
          <w:rFonts w:hint="cs"/>
          <w:rtl/>
        </w:rPr>
        <w:t>"</w:t>
      </w:r>
      <w:r w:rsidRPr="00EA48D3">
        <w:rPr>
          <w:rtl/>
        </w:rPr>
        <w:t>ה ללשונות הרמב"ם סימן רמח (אלף תריא)</w:t>
      </w:r>
      <w:bookmarkEnd w:id="395"/>
      <w:bookmarkEnd w:id="396"/>
    </w:p>
    <w:p w14:paraId="551CCF8D" w14:textId="77777777" w:rsidR="009623A2" w:rsidRPr="00EA48D3" w:rsidRDefault="009623A2" w:rsidP="009623A2">
      <w:pPr>
        <w:pStyle w:val="a7"/>
        <w:rPr>
          <w:rtl/>
        </w:rPr>
      </w:pPr>
      <w:bookmarkStart w:id="397" w:name="_Toc134419677"/>
      <w:r w:rsidRPr="00EA48D3">
        <w:rPr>
          <w:rFonts w:hint="cs"/>
          <w:rtl/>
        </w:rPr>
        <w:t>קו' השואל ברדב"ז דמה מקור הרמב"ם ועוד דאף אם יניח חיטין במים ימים רבים לא יצמחו</w:t>
      </w:r>
      <w:bookmarkEnd w:id="397"/>
    </w:p>
    <w:p w14:paraId="4D5341C4" w14:textId="50DE286A" w:rsidR="009623A2" w:rsidRPr="00EA48D3" w:rsidRDefault="009623A2" w:rsidP="00BC7DC8">
      <w:pPr>
        <w:pStyle w:val="a3"/>
        <w:rPr>
          <w:rtl/>
        </w:rPr>
      </w:pPr>
      <w:bookmarkStart w:id="398" w:name="_Ref133537593"/>
      <w:r w:rsidRPr="00EA48D3">
        <w:rPr>
          <w:rFonts w:hint="cs"/>
          <w:rtl/>
        </w:rPr>
        <w:t xml:space="preserve">במ"ש </w:t>
      </w:r>
      <w:r w:rsidRPr="00EA48D3">
        <w:rPr>
          <w:rStyle w:val="aff4"/>
          <w:rFonts w:hint="cs"/>
          <w:vanish/>
          <w:rtl/>
        </w:rPr>
        <w:t>-</w:t>
      </w:r>
      <w:r w:rsidRPr="00EA48D3">
        <w:rPr>
          <w:rStyle w:val="aff4"/>
          <w:rFonts w:hint="cs"/>
          <w:rtl/>
        </w:rPr>
        <w:t>הרמב"ם</w:t>
      </w:r>
      <w:r w:rsidRPr="00EA48D3">
        <w:rPr>
          <w:rStyle w:val="aff4"/>
          <w:rFonts w:hint="cs"/>
          <w:vanish/>
          <w:rtl/>
        </w:rPr>
        <w:t>-</w:t>
      </w:r>
      <w:r w:rsidRPr="00EA48D3">
        <w:rPr>
          <w:rFonts w:hint="cs"/>
          <w:rtl/>
        </w:rPr>
        <w:t xml:space="preserve"> </w:t>
      </w:r>
      <w:r w:rsidRPr="00EA48D3">
        <w:rPr>
          <w:rStyle w:val="af2"/>
          <w:rFonts w:eastAsia="Guttman Hodes" w:hint="cs"/>
          <w:rtl/>
        </w:rPr>
        <w:t xml:space="preserve">(עי' אות </w:t>
      </w:r>
      <w:r w:rsidRPr="00EA48D3">
        <w:rPr>
          <w:rStyle w:val="af2"/>
          <w:rFonts w:eastAsia="Guttman Hodes"/>
          <w:rtl/>
        </w:rPr>
        <w:fldChar w:fldCharType="begin"/>
      </w:r>
      <w:r w:rsidRPr="00EA48D3">
        <w:rPr>
          <w:rStyle w:val="af2"/>
          <w:rFonts w:eastAsia="Guttman Hodes"/>
          <w:rtl/>
        </w:rPr>
        <w:instrText xml:space="preserve"> </w:instrText>
      </w:r>
      <w:r w:rsidRPr="00EA48D3">
        <w:rPr>
          <w:rStyle w:val="af2"/>
          <w:rFonts w:eastAsia="Guttman Hodes" w:hint="cs"/>
        </w:rPr>
        <w:instrText>REF</w:instrText>
      </w:r>
      <w:r w:rsidRPr="00EA48D3">
        <w:rPr>
          <w:rStyle w:val="af2"/>
          <w:rFonts w:eastAsia="Guttman Hodes" w:hint="cs"/>
          <w:rtl/>
        </w:rPr>
        <w:instrText xml:space="preserve"> _</w:instrText>
      </w:r>
      <w:r w:rsidRPr="00EA48D3">
        <w:rPr>
          <w:rStyle w:val="af2"/>
          <w:rFonts w:eastAsia="Guttman Hodes" w:hint="cs"/>
        </w:rPr>
        <w:instrText>Ref133143291 \r \h</w:instrText>
      </w:r>
      <w:r w:rsidRPr="00EA48D3">
        <w:rPr>
          <w:rStyle w:val="af2"/>
          <w:rFonts w:eastAsia="Guttman Hodes"/>
          <w:rtl/>
        </w:rPr>
        <w:instrText xml:space="preserve"> </w:instrText>
      </w:r>
      <w:r w:rsidRPr="00EA48D3">
        <w:rPr>
          <w:rStyle w:val="af2"/>
          <w:rFonts w:eastAsia="Guttman Hodes"/>
          <w:rtl/>
        </w:rPr>
      </w:r>
      <w:r w:rsidRPr="00EA48D3">
        <w:rPr>
          <w:rStyle w:val="af2"/>
          <w:rFonts w:eastAsia="Guttman Hodes"/>
          <w:rtl/>
        </w:rPr>
        <w:fldChar w:fldCharType="separate"/>
      </w:r>
      <w:r w:rsidR="00D82181">
        <w:rPr>
          <w:rStyle w:val="af2"/>
          <w:rFonts w:eastAsia="Guttman Hodes"/>
          <w:cs/>
        </w:rPr>
        <w:t>‎</w:t>
      </w:r>
      <w:r w:rsidR="00D82181">
        <w:rPr>
          <w:rStyle w:val="af2"/>
          <w:rFonts w:eastAsia="Guttman Hodes"/>
          <w:rtl/>
        </w:rPr>
        <w:t>עט)</w:t>
      </w:r>
      <w:r w:rsidRPr="00EA48D3">
        <w:rPr>
          <w:rStyle w:val="af2"/>
          <w:rFonts w:eastAsia="Guttman Hodes"/>
          <w:rtl/>
        </w:rPr>
        <w:fldChar w:fldCharType="end"/>
      </w:r>
      <w:r w:rsidRPr="00EA48D3">
        <w:rPr>
          <w:rFonts w:hint="cs"/>
          <w:rtl/>
        </w:rPr>
        <w:t xml:space="preserve"> דהשורה חיטין ושעורין וכיו"ב במים, הוא תולדה של זורע וחייב, הקשה </w:t>
      </w:r>
      <w:r w:rsidRPr="00EA48D3">
        <w:rPr>
          <w:rStyle w:val="aff4"/>
          <w:rFonts w:hint="cs"/>
          <w:vanish/>
          <w:rtl/>
        </w:rPr>
        <w:t xml:space="preserve">-&lt;. </w:t>
      </w:r>
      <w:r w:rsidRPr="00EA48D3">
        <w:rPr>
          <w:rStyle w:val="aff4"/>
          <w:vanish/>
          <w:rtl/>
        </w:rPr>
        <w:fldChar w:fldCharType="begin"/>
      </w:r>
      <w:r w:rsidRPr="00EA48D3">
        <w:rPr>
          <w:rStyle w:val="aff4"/>
          <w:vanish/>
          <w:rtl/>
        </w:rPr>
        <w:instrText xml:space="preserve"> </w:instrText>
      </w:r>
      <w:r w:rsidRPr="00EA48D3">
        <w:rPr>
          <w:rStyle w:val="aff4"/>
          <w:rFonts w:hint="cs"/>
          <w:vanish/>
        </w:rPr>
        <w:instrText>REF</w:instrText>
      </w:r>
      <w:r w:rsidRPr="00EA48D3">
        <w:rPr>
          <w:rStyle w:val="aff4"/>
          <w:rFonts w:hint="cs"/>
          <w:vanish/>
          <w:rtl/>
        </w:rPr>
        <w:instrText xml:space="preserve"> _</w:instrText>
      </w:r>
      <w:r w:rsidRPr="00EA48D3">
        <w:rPr>
          <w:rStyle w:val="aff4"/>
          <w:rFonts w:hint="cs"/>
          <w:vanish/>
        </w:rPr>
        <w:instrText>Ref133537593 \r \h</w:instrText>
      </w:r>
      <w:r w:rsidRPr="00EA48D3">
        <w:rPr>
          <w:rStyle w:val="aff4"/>
          <w:vanish/>
          <w:rtl/>
        </w:rPr>
        <w:instrText xml:space="preserve">  \* </w:instrText>
      </w:r>
      <w:r w:rsidRPr="00EA48D3">
        <w:rPr>
          <w:rStyle w:val="aff4"/>
          <w:vanish/>
        </w:rPr>
        <w:instrText>MERGEFORMAT</w:instrText>
      </w:r>
      <w:r w:rsidRPr="00EA48D3">
        <w:rPr>
          <w:rStyle w:val="aff4"/>
          <w:vanish/>
          <w:rtl/>
        </w:rPr>
        <w:instrText xml:space="preserve"> </w:instrText>
      </w:r>
      <w:r w:rsidRPr="00EA48D3">
        <w:rPr>
          <w:rStyle w:val="aff4"/>
          <w:vanish/>
          <w:rtl/>
        </w:rPr>
      </w:r>
      <w:r w:rsidRPr="00EA48D3">
        <w:rPr>
          <w:rStyle w:val="aff4"/>
          <w:vanish/>
          <w:rtl/>
        </w:rPr>
        <w:fldChar w:fldCharType="separate"/>
      </w:r>
      <w:r w:rsidR="00D82181">
        <w:rPr>
          <w:rStyle w:val="aff4"/>
          <w:vanish/>
          <w:cs/>
        </w:rPr>
        <w:t>‎</w:t>
      </w:r>
      <w:r w:rsidR="00D82181">
        <w:rPr>
          <w:rStyle w:val="aff4"/>
          <w:vanish/>
          <w:rtl/>
        </w:rPr>
        <w:t>פז)</w:t>
      </w:r>
      <w:r w:rsidRPr="00EA48D3">
        <w:rPr>
          <w:rStyle w:val="aff4"/>
          <w:vanish/>
          <w:rtl/>
        </w:rPr>
        <w:fldChar w:fldCharType="end"/>
      </w:r>
      <w:r w:rsidRPr="00EA48D3">
        <w:rPr>
          <w:rStyle w:val="aff4"/>
          <w:rFonts w:hint="cs"/>
          <w:vanish/>
          <w:rtl/>
        </w:rPr>
        <w:t xml:space="preserve"> &gt;</w:t>
      </w:r>
      <w:r w:rsidRPr="00EA48D3">
        <w:rPr>
          <w:rStyle w:val="aff4"/>
          <w:rFonts w:hint="cs"/>
          <w:rtl/>
        </w:rPr>
        <w:t>השואל בשו"ת הרדב"ז</w:t>
      </w:r>
      <w:r w:rsidRPr="00EA48D3">
        <w:rPr>
          <w:rStyle w:val="aff4"/>
          <w:rFonts w:hint="cs"/>
          <w:vanish/>
          <w:rtl/>
        </w:rPr>
        <w:t>-</w:t>
      </w:r>
      <w:r w:rsidRPr="00EA48D3">
        <w:rPr>
          <w:rFonts w:hint="cs"/>
          <w:rtl/>
        </w:rPr>
        <w:t xml:space="preserve"> </w:t>
      </w:r>
      <w:r w:rsidRPr="00EA48D3">
        <w:rPr>
          <w:rStyle w:val="af2"/>
          <w:rFonts w:eastAsia="Guttman Hodes" w:hint="cs"/>
          <w:rtl/>
        </w:rPr>
        <w:t>(סי' רמ"ח – אלף תרי"א)</w:t>
      </w:r>
      <w:r w:rsidRPr="00EA48D3">
        <w:rPr>
          <w:rFonts w:hint="cs"/>
          <w:vanish/>
          <w:rtl/>
        </w:rPr>
        <w:t>=</w:t>
      </w:r>
      <w:r w:rsidRPr="00EA48D3">
        <w:rPr>
          <w:rFonts w:hint="cs"/>
          <w:rtl/>
        </w:rPr>
        <w:t xml:space="preserve"> דמנליה </w:t>
      </w:r>
      <w:r w:rsidRPr="00EA48D3">
        <w:rPr>
          <w:rStyle w:val="aff4"/>
          <w:rFonts w:hint="cs"/>
          <w:vanish/>
          <w:rtl/>
        </w:rPr>
        <w:t>-</w:t>
      </w:r>
      <w:r w:rsidRPr="00EA48D3">
        <w:rPr>
          <w:rStyle w:val="aff4"/>
          <w:rFonts w:hint="cs"/>
          <w:rtl/>
        </w:rPr>
        <w:t>להרמב"ם</w:t>
      </w:r>
      <w:r w:rsidRPr="00EA48D3">
        <w:rPr>
          <w:rStyle w:val="aff4"/>
          <w:rFonts w:hint="cs"/>
          <w:vanish/>
          <w:rtl/>
        </w:rPr>
        <w:t>-</w:t>
      </w:r>
      <w:r w:rsidRPr="00EA48D3">
        <w:rPr>
          <w:rFonts w:hint="cs"/>
          <w:rtl/>
        </w:rPr>
        <w:t xml:space="preserve"> דחייב, ומה טעם החיוב, הא אף אם יניח את החיטין ימים רבים בתוך המים, הם לא יצמחו כיון שאין בהם עפר.</w:t>
      </w:r>
      <w:bookmarkEnd w:id="398"/>
    </w:p>
    <w:p w14:paraId="0E0EEB7A" w14:textId="77777777" w:rsidR="009623A2" w:rsidRPr="00747170" w:rsidRDefault="009623A2" w:rsidP="00747170">
      <w:pPr>
        <w:pStyle w:val="a2"/>
        <w:rPr>
          <w:rtl/>
        </w:rPr>
      </w:pPr>
      <w:r w:rsidRPr="00747170">
        <w:rPr>
          <w:rtl/>
        </w:rPr>
        <w:lastRenderedPageBreak/>
        <w:t>(אלף תרי"א) שאלת על מה שכתב הרב פ"ח מהלכות שבת וז"ל וכן השורה חטין ושעורין וכיוצא בהן במים הרי זה תולדת זורע וחייב בכל שהו. ושאלת מאין הוציא זה הדין ומאי טעמיה שהרי אפי' יעמדו שם ימים רבים לא יצמחו כיון שאין שם עפר:</w:t>
      </w:r>
    </w:p>
    <w:p w14:paraId="6D6C50AE" w14:textId="24617D20" w:rsidR="009623A2" w:rsidRPr="00EA48D3" w:rsidRDefault="009623A2" w:rsidP="009623A2">
      <w:pPr>
        <w:pStyle w:val="afffff7"/>
        <w:rPr>
          <w:rtl/>
        </w:rPr>
      </w:pPr>
      <w:bookmarkStart w:id="399" w:name="_Toc133841684"/>
      <w:bookmarkStart w:id="400" w:name="_Toc163505432"/>
      <w:r w:rsidRPr="00EA48D3">
        <w:rPr>
          <w:rtl/>
        </w:rPr>
        <w:t>שו"ת רדב"ז ח</w:t>
      </w:r>
      <w:r w:rsidRPr="00EA48D3">
        <w:rPr>
          <w:rFonts w:hint="cs"/>
          <w:rtl/>
        </w:rPr>
        <w:t>"</w:t>
      </w:r>
      <w:r w:rsidRPr="00EA48D3">
        <w:rPr>
          <w:rtl/>
        </w:rPr>
        <w:t>ה ללשונות הרמב"ם סימן רמח (אלף תריא)</w:t>
      </w:r>
      <w:r w:rsidRPr="00EA48D3">
        <w:rPr>
          <w:rFonts w:hint="cs"/>
          <w:rtl/>
        </w:rPr>
        <w:t xml:space="preserve"> ד"ה תשובה</w:t>
      </w:r>
      <w:bookmarkEnd w:id="399"/>
      <w:bookmarkEnd w:id="400"/>
    </w:p>
    <w:p w14:paraId="6F60073D" w14:textId="77777777" w:rsidR="009623A2" w:rsidRPr="00EA48D3" w:rsidRDefault="009623A2" w:rsidP="009623A2">
      <w:pPr>
        <w:pStyle w:val="a7"/>
        <w:rPr>
          <w:rtl/>
        </w:rPr>
      </w:pPr>
      <w:bookmarkStart w:id="401" w:name="_Toc134419678"/>
      <w:r w:rsidRPr="00EA48D3">
        <w:rPr>
          <w:rFonts w:hint="cs"/>
          <w:rtl/>
        </w:rPr>
        <w:t>בי' הרדב"ז ברמב"ם דשריית חיטין במים מכינה אותם לזריעה שיהיו נוחין לזריעה בקרקע</w:t>
      </w:r>
      <w:bookmarkEnd w:id="401"/>
    </w:p>
    <w:p w14:paraId="52029BE1" w14:textId="11AFE449" w:rsidR="009623A2" w:rsidRPr="00EA48D3" w:rsidRDefault="009623A2" w:rsidP="00BC7DC8">
      <w:pPr>
        <w:pStyle w:val="a3"/>
        <w:rPr>
          <w:rtl/>
        </w:rPr>
      </w:pPr>
      <w:bookmarkStart w:id="402" w:name="_Ref133537530"/>
      <w:r w:rsidRPr="00EA48D3">
        <w:rPr>
          <w:rFonts w:hint="cs"/>
          <w:rtl/>
        </w:rPr>
        <w:t xml:space="preserve">ותירץ </w:t>
      </w:r>
      <w:r w:rsidRPr="00EA48D3">
        <w:rPr>
          <w:rStyle w:val="aff4"/>
          <w:rFonts w:hint="cs"/>
          <w:vanish/>
          <w:rtl/>
        </w:rPr>
        <w:t>-</w:t>
      </w:r>
      <w:r w:rsidRPr="00EA48D3">
        <w:rPr>
          <w:rStyle w:val="aff4"/>
          <w:rFonts w:hint="cs"/>
          <w:rtl/>
        </w:rPr>
        <w:t>ב</w:t>
      </w:r>
      <w:r w:rsidRPr="00EA48D3">
        <w:rPr>
          <w:rStyle w:val="aff4"/>
          <w:rFonts w:hint="cs"/>
          <w:vanish/>
          <w:rtl/>
        </w:rPr>
        <w:t xml:space="preserve">&lt;. </w:t>
      </w:r>
      <w:r w:rsidRPr="00EA48D3">
        <w:rPr>
          <w:rStyle w:val="aff4"/>
          <w:vanish/>
          <w:rtl/>
        </w:rPr>
        <w:fldChar w:fldCharType="begin"/>
      </w:r>
      <w:r w:rsidRPr="00EA48D3">
        <w:rPr>
          <w:rStyle w:val="aff4"/>
          <w:vanish/>
          <w:rtl/>
        </w:rPr>
        <w:instrText xml:space="preserve"> </w:instrText>
      </w:r>
      <w:r w:rsidRPr="00EA48D3">
        <w:rPr>
          <w:rStyle w:val="aff4"/>
          <w:rFonts w:hint="cs"/>
          <w:vanish/>
        </w:rPr>
        <w:instrText>REF</w:instrText>
      </w:r>
      <w:r w:rsidRPr="00EA48D3">
        <w:rPr>
          <w:rStyle w:val="aff4"/>
          <w:rFonts w:hint="cs"/>
          <w:vanish/>
          <w:rtl/>
        </w:rPr>
        <w:instrText xml:space="preserve"> _</w:instrText>
      </w:r>
      <w:r w:rsidRPr="00EA48D3">
        <w:rPr>
          <w:rStyle w:val="aff4"/>
          <w:rFonts w:hint="cs"/>
          <w:vanish/>
        </w:rPr>
        <w:instrText>Ref133537530 \r \h</w:instrText>
      </w:r>
      <w:r w:rsidRPr="00EA48D3">
        <w:rPr>
          <w:rStyle w:val="aff4"/>
          <w:vanish/>
          <w:rtl/>
        </w:rPr>
        <w:instrText xml:space="preserve"> </w:instrText>
      </w:r>
      <w:r w:rsidRPr="00EA48D3">
        <w:rPr>
          <w:rStyle w:val="aff4"/>
          <w:vanish/>
          <w:rtl/>
        </w:rPr>
      </w:r>
      <w:r w:rsidRPr="00EA48D3">
        <w:rPr>
          <w:rStyle w:val="aff4"/>
          <w:vanish/>
          <w:rtl/>
        </w:rPr>
        <w:fldChar w:fldCharType="separate"/>
      </w:r>
      <w:r w:rsidR="00D82181">
        <w:rPr>
          <w:rStyle w:val="aff4"/>
          <w:vanish/>
          <w:cs/>
        </w:rPr>
        <w:t>‎</w:t>
      </w:r>
      <w:r w:rsidR="00D82181">
        <w:rPr>
          <w:rStyle w:val="aff4"/>
          <w:vanish/>
          <w:rtl/>
        </w:rPr>
        <w:t>פח)</w:t>
      </w:r>
      <w:r w:rsidRPr="00EA48D3">
        <w:rPr>
          <w:rStyle w:val="aff4"/>
          <w:vanish/>
          <w:rtl/>
        </w:rPr>
        <w:fldChar w:fldCharType="end"/>
      </w:r>
      <w:r w:rsidRPr="00EA48D3">
        <w:rPr>
          <w:rStyle w:val="aff4"/>
          <w:rFonts w:hint="cs"/>
          <w:vanish/>
          <w:rtl/>
        </w:rPr>
        <w:t xml:space="preserve"> &gt;</w:t>
      </w:r>
      <w:r w:rsidRPr="00EA48D3">
        <w:rPr>
          <w:rStyle w:val="aff4"/>
          <w:rFonts w:hint="cs"/>
          <w:rtl/>
        </w:rPr>
        <w:t>שו"ת הרדב"ז</w:t>
      </w:r>
      <w:r w:rsidRPr="00EA48D3">
        <w:rPr>
          <w:rStyle w:val="aff4"/>
          <w:rFonts w:hint="cs"/>
          <w:vanish/>
          <w:rtl/>
        </w:rPr>
        <w:t>-</w:t>
      </w:r>
      <w:r w:rsidRPr="00EA48D3">
        <w:rPr>
          <w:rFonts w:hint="cs"/>
          <w:rtl/>
        </w:rPr>
        <w:t xml:space="preserve"> </w:t>
      </w:r>
      <w:r w:rsidRPr="00EA48D3">
        <w:rPr>
          <w:rStyle w:val="af2"/>
          <w:rFonts w:eastAsia="Guttman Hodes" w:hint="cs"/>
          <w:rtl/>
        </w:rPr>
        <w:t>(סי' רמ"ח – אלף תרי"א ד"ה תשובה)</w:t>
      </w:r>
      <w:r w:rsidRPr="00EA48D3">
        <w:rPr>
          <w:rFonts w:hint="cs"/>
          <w:vanish/>
          <w:rtl/>
        </w:rPr>
        <w:t>=</w:t>
      </w:r>
      <w:r w:rsidRPr="00EA48D3">
        <w:rPr>
          <w:rFonts w:hint="cs"/>
          <w:rtl/>
        </w:rPr>
        <w:t xml:space="preserve"> דאעפ"י דהחיטין אינם צומחים במים, מ"מ איירי באופן ששורה אותם במים לזמן רב, כדי שיהיו נוחין לזריעה, ואחר שיזרעו אותם בקרקע, הם יצמחו במהרה.</w:t>
      </w:r>
      <w:bookmarkEnd w:id="402"/>
    </w:p>
    <w:p w14:paraId="4922F628" w14:textId="77777777" w:rsidR="009623A2" w:rsidRPr="00747170" w:rsidRDefault="009623A2" w:rsidP="00747170">
      <w:pPr>
        <w:pStyle w:val="a2"/>
      </w:pPr>
      <w:r w:rsidRPr="00747170">
        <w:rPr>
          <w:rtl/>
        </w:rPr>
        <w:t>תשובה הכא במאי עסקינן בשורה אותם לזמן מרובה כדי שיהיו נוחין לזריעה ויצמחו מהרה וזהו תולדת זורע</w:t>
      </w:r>
      <w:r w:rsidRPr="00747170">
        <w:rPr>
          <w:rFonts w:hint="cs"/>
          <w:rtl/>
        </w:rPr>
        <w:t>.</w:t>
      </w:r>
    </w:p>
    <w:p w14:paraId="5D4A3A31" w14:textId="5C08DEB5" w:rsidR="009623A2" w:rsidRPr="00EA48D3" w:rsidRDefault="009623A2" w:rsidP="009623A2">
      <w:pPr>
        <w:pStyle w:val="afffff7"/>
        <w:rPr>
          <w:rtl/>
        </w:rPr>
      </w:pPr>
      <w:bookmarkStart w:id="403" w:name="_Toc133841685"/>
      <w:bookmarkStart w:id="404" w:name="_Toc163505433"/>
      <w:r w:rsidRPr="00EA48D3">
        <w:rPr>
          <w:rtl/>
        </w:rPr>
        <w:t xml:space="preserve">שו"ת רדב"ז ח"ה ללשונות הרמב"ם סימן רמח (אלף תריא) ד"ה </w:t>
      </w:r>
      <w:r w:rsidRPr="00EA48D3">
        <w:rPr>
          <w:rFonts w:hint="cs"/>
          <w:rtl/>
        </w:rPr>
        <w:t>ומסתברא לי</w:t>
      </w:r>
      <w:bookmarkEnd w:id="403"/>
      <w:bookmarkEnd w:id="404"/>
    </w:p>
    <w:p w14:paraId="03A74598" w14:textId="77777777" w:rsidR="009623A2" w:rsidRPr="00EA48D3" w:rsidRDefault="009623A2" w:rsidP="009623A2">
      <w:pPr>
        <w:pStyle w:val="a7"/>
        <w:rPr>
          <w:rtl/>
        </w:rPr>
      </w:pPr>
      <w:bookmarkStart w:id="405" w:name="_Toc134419679"/>
      <w:r w:rsidRPr="00EA48D3">
        <w:rPr>
          <w:rFonts w:hint="cs"/>
          <w:rtl/>
        </w:rPr>
        <w:t>בי' הרדב"ז דהשורה חיטין במים לתקנם לטחינה חייב משום טוחן כמו בשורה לתקנם לזריעה</w:t>
      </w:r>
      <w:bookmarkEnd w:id="405"/>
    </w:p>
    <w:p w14:paraId="432578E3" w14:textId="4EA5CC1A" w:rsidR="009623A2" w:rsidRPr="00EA48D3" w:rsidRDefault="009623A2" w:rsidP="00BC7DC8">
      <w:pPr>
        <w:pStyle w:val="a3"/>
      </w:pPr>
      <w:bookmarkStart w:id="406" w:name="_Ref133537727"/>
      <w:r w:rsidRPr="00EA48D3">
        <w:rPr>
          <w:rFonts w:hint="cs"/>
          <w:rtl/>
        </w:rPr>
        <w:t xml:space="preserve">ולפי"ז כתב </w:t>
      </w:r>
      <w:r w:rsidRPr="00EA48D3">
        <w:rPr>
          <w:rStyle w:val="aff4"/>
          <w:vanish/>
          <w:rtl/>
        </w:rPr>
        <w:t>-</w:t>
      </w:r>
      <w:r w:rsidRPr="00EA48D3">
        <w:rPr>
          <w:rStyle w:val="aff4"/>
          <w:rtl/>
        </w:rPr>
        <w:t>ב</w:t>
      </w:r>
      <w:r w:rsidRPr="00EA48D3">
        <w:rPr>
          <w:rStyle w:val="aff4"/>
          <w:vanish/>
          <w:rtl/>
        </w:rPr>
        <w:t xml:space="preserve">&lt;. </w:t>
      </w:r>
      <w:r w:rsidRPr="00EA48D3">
        <w:rPr>
          <w:rStyle w:val="aff4"/>
          <w:vanish/>
          <w:rtl/>
        </w:rPr>
        <w:fldChar w:fldCharType="begin"/>
      </w:r>
      <w:r w:rsidRPr="00EA48D3">
        <w:rPr>
          <w:rStyle w:val="aff4"/>
          <w:vanish/>
          <w:rtl/>
        </w:rPr>
        <w:instrText xml:space="preserve"> </w:instrText>
      </w:r>
      <w:r w:rsidRPr="00EA48D3">
        <w:rPr>
          <w:rStyle w:val="aff4"/>
          <w:vanish/>
        </w:rPr>
        <w:instrText>REF</w:instrText>
      </w:r>
      <w:r w:rsidRPr="00EA48D3">
        <w:rPr>
          <w:rStyle w:val="aff4"/>
          <w:vanish/>
          <w:rtl/>
        </w:rPr>
        <w:instrText xml:space="preserve"> _</w:instrText>
      </w:r>
      <w:r w:rsidRPr="00EA48D3">
        <w:rPr>
          <w:rStyle w:val="aff4"/>
          <w:vanish/>
        </w:rPr>
        <w:instrText>Ref133537727 \r \h</w:instrText>
      </w:r>
      <w:r w:rsidRPr="00EA48D3">
        <w:rPr>
          <w:rStyle w:val="aff4"/>
          <w:vanish/>
          <w:rtl/>
        </w:rPr>
        <w:instrText xml:space="preserve"> </w:instrText>
      </w:r>
      <w:r w:rsidRPr="00EA48D3">
        <w:rPr>
          <w:rStyle w:val="aff4"/>
          <w:vanish/>
          <w:rtl/>
        </w:rPr>
      </w:r>
      <w:r w:rsidRPr="00EA48D3">
        <w:rPr>
          <w:rStyle w:val="aff4"/>
          <w:vanish/>
          <w:rtl/>
        </w:rPr>
        <w:fldChar w:fldCharType="separate"/>
      </w:r>
      <w:r w:rsidR="00D82181">
        <w:rPr>
          <w:rStyle w:val="aff4"/>
          <w:vanish/>
          <w:cs/>
        </w:rPr>
        <w:t>‎</w:t>
      </w:r>
      <w:r w:rsidR="00D82181">
        <w:rPr>
          <w:rStyle w:val="aff4"/>
          <w:vanish/>
          <w:rtl/>
        </w:rPr>
        <w:t>פט)</w:t>
      </w:r>
      <w:r w:rsidRPr="00EA48D3">
        <w:rPr>
          <w:rStyle w:val="aff4"/>
          <w:vanish/>
          <w:rtl/>
        </w:rPr>
        <w:fldChar w:fldCharType="end"/>
      </w:r>
      <w:r w:rsidRPr="00EA48D3">
        <w:rPr>
          <w:rStyle w:val="aff4"/>
          <w:vanish/>
          <w:rtl/>
        </w:rPr>
        <w:t xml:space="preserve"> &gt;</w:t>
      </w:r>
      <w:r w:rsidRPr="00EA48D3">
        <w:rPr>
          <w:rStyle w:val="aff4"/>
          <w:rtl/>
        </w:rPr>
        <w:t>שו"ת הרדב"ז</w:t>
      </w:r>
      <w:r w:rsidRPr="00EA48D3">
        <w:rPr>
          <w:rStyle w:val="aff4"/>
          <w:vanish/>
          <w:rtl/>
        </w:rPr>
        <w:t>-</w:t>
      </w:r>
      <w:r w:rsidRPr="00EA48D3">
        <w:rPr>
          <w:rtl/>
        </w:rPr>
        <w:t xml:space="preserve"> </w:t>
      </w:r>
      <w:r w:rsidRPr="00EA48D3">
        <w:rPr>
          <w:rStyle w:val="af2"/>
          <w:rFonts w:eastAsia="Guttman Hodes"/>
          <w:rtl/>
        </w:rPr>
        <w:t xml:space="preserve">(סי' רמ"ח – אלף תרי"א ד"ה </w:t>
      </w:r>
      <w:r w:rsidRPr="00EA48D3">
        <w:rPr>
          <w:rStyle w:val="af2"/>
          <w:rFonts w:eastAsia="Guttman Hodes" w:hint="cs"/>
          <w:rtl/>
        </w:rPr>
        <w:t>ומסתברא לי</w:t>
      </w:r>
      <w:r w:rsidRPr="00EA48D3">
        <w:rPr>
          <w:rStyle w:val="af2"/>
          <w:rFonts w:eastAsia="Guttman Hodes"/>
          <w:rtl/>
        </w:rPr>
        <w:t>)</w:t>
      </w:r>
      <w:r w:rsidRPr="00EA48D3">
        <w:rPr>
          <w:vanish/>
          <w:rtl/>
        </w:rPr>
        <w:t>=</w:t>
      </w:r>
      <w:r w:rsidRPr="00EA48D3">
        <w:rPr>
          <w:rFonts w:hint="cs"/>
          <w:rtl/>
        </w:rPr>
        <w:t xml:space="preserve"> לחדש  דאם שרה את החיטין במים, וכוונתו שיהיו מתוקנים יותר לטחינה, דחייב משום טוחן, דכמו דע"י שרייה בכדי שיתרככו ויהיו נוחין לזריעה, חייב משום זורע, ה"ה בשרייה בכדי שיתרככו לצורך טחינה חייב משום טוחן.</w:t>
      </w:r>
      <w:bookmarkEnd w:id="406"/>
    </w:p>
    <w:p w14:paraId="0F9B7DCD" w14:textId="77777777" w:rsidR="009623A2" w:rsidRPr="00747170" w:rsidRDefault="009623A2" w:rsidP="00747170">
      <w:pPr>
        <w:pStyle w:val="a2"/>
      </w:pPr>
      <w:r w:rsidRPr="00747170">
        <w:rPr>
          <w:rtl/>
        </w:rPr>
        <w:t>ומסתברא לי שאם שרה אותם במים ונתכוון לתקן אותם לטחינה דחייב משום טוחן שזה ממלאכת הטחינה היא. אבל להשליך אותם למים ולסלקן מיד אין כאן חיוב כלל ודומיא דזרע פשתן פריך תלמודא אי הכי חיטי ושערי נמי דהיינו נתינה לבד ודוק ותשכח:</w:t>
      </w:r>
    </w:p>
    <w:p w14:paraId="5B35D313" w14:textId="77777777" w:rsidR="009623A2" w:rsidRPr="00EA48D3" w:rsidRDefault="009623A2" w:rsidP="009623A2">
      <w:pPr>
        <w:pStyle w:val="afffffb"/>
        <w:rPr>
          <w:rtl/>
        </w:rPr>
      </w:pPr>
      <w:r w:rsidRPr="00EA48D3">
        <w:rPr>
          <w:rtl/>
        </w:rPr>
        <w:t>שו"ת רדב"ז ח</w:t>
      </w:r>
      <w:r w:rsidRPr="00EA48D3">
        <w:rPr>
          <w:rFonts w:hint="cs"/>
          <w:rtl/>
        </w:rPr>
        <w:t>"</w:t>
      </w:r>
      <w:r w:rsidRPr="00EA48D3">
        <w:rPr>
          <w:rtl/>
        </w:rPr>
        <w:t>ה ללשונות הרמב"ם סימן רמח (אלף תריא)</w:t>
      </w:r>
      <w:r w:rsidRPr="00EA48D3">
        <w:rPr>
          <w:rFonts w:hint="cs"/>
          <w:rtl/>
        </w:rPr>
        <w:t xml:space="preserve"> ד"ה תשובה</w:t>
      </w:r>
    </w:p>
    <w:p w14:paraId="3AEF632F" w14:textId="77777777" w:rsidR="009623A2" w:rsidRPr="00EA48D3" w:rsidRDefault="009623A2" w:rsidP="009623A2">
      <w:pPr>
        <w:pStyle w:val="a7"/>
      </w:pPr>
      <w:bookmarkStart w:id="407" w:name="_Toc134419680"/>
      <w:r w:rsidRPr="00EA48D3">
        <w:rPr>
          <w:rFonts w:hint="cs"/>
          <w:rtl/>
        </w:rPr>
        <w:t>הוכחת הרדב"ז ברמב"ם דהשורה חיטין רק לזמן מרובה חייב בזורע ול"ה פס"ר דיכול להסירם</w:t>
      </w:r>
      <w:bookmarkEnd w:id="407"/>
    </w:p>
    <w:p w14:paraId="0CBCCF67" w14:textId="10D0C78E" w:rsidR="009623A2" w:rsidRPr="00EA48D3" w:rsidRDefault="009623A2" w:rsidP="00BC7DC8">
      <w:pPr>
        <w:pStyle w:val="a3"/>
        <w:rPr>
          <w:rtl/>
        </w:rPr>
      </w:pPr>
      <w:bookmarkStart w:id="408" w:name="_Ref133537719"/>
      <w:r w:rsidRPr="00EA48D3">
        <w:rPr>
          <w:rFonts w:hint="cs"/>
          <w:rtl/>
        </w:rPr>
        <w:t xml:space="preserve">וכתב </w:t>
      </w:r>
      <w:r w:rsidRPr="00EA48D3">
        <w:rPr>
          <w:rStyle w:val="aff4"/>
          <w:rFonts w:hint="cs"/>
          <w:vanish/>
          <w:rtl/>
        </w:rPr>
        <w:t>-</w:t>
      </w:r>
      <w:r w:rsidRPr="00EA48D3">
        <w:rPr>
          <w:rStyle w:val="aff4"/>
          <w:rFonts w:hint="cs"/>
          <w:rtl/>
        </w:rPr>
        <w:t>ב</w:t>
      </w:r>
      <w:r w:rsidRPr="00EA48D3">
        <w:rPr>
          <w:rStyle w:val="aff4"/>
          <w:rFonts w:hint="cs"/>
          <w:vanish/>
          <w:rtl/>
        </w:rPr>
        <w:t xml:space="preserve">&lt;. </w:t>
      </w:r>
      <w:r w:rsidRPr="00EA48D3">
        <w:rPr>
          <w:rStyle w:val="aff4"/>
          <w:vanish/>
          <w:rtl/>
        </w:rPr>
        <w:fldChar w:fldCharType="begin"/>
      </w:r>
      <w:r w:rsidRPr="00EA48D3">
        <w:rPr>
          <w:rStyle w:val="aff4"/>
          <w:vanish/>
          <w:rtl/>
        </w:rPr>
        <w:instrText xml:space="preserve"> </w:instrText>
      </w:r>
      <w:r w:rsidRPr="00EA48D3">
        <w:rPr>
          <w:rStyle w:val="aff4"/>
          <w:rFonts w:hint="cs"/>
          <w:vanish/>
        </w:rPr>
        <w:instrText>REF</w:instrText>
      </w:r>
      <w:r w:rsidRPr="00EA48D3">
        <w:rPr>
          <w:rStyle w:val="aff4"/>
          <w:rFonts w:hint="cs"/>
          <w:vanish/>
          <w:rtl/>
        </w:rPr>
        <w:instrText xml:space="preserve"> _</w:instrText>
      </w:r>
      <w:r w:rsidRPr="00EA48D3">
        <w:rPr>
          <w:rStyle w:val="aff4"/>
          <w:rFonts w:hint="cs"/>
          <w:vanish/>
        </w:rPr>
        <w:instrText>Ref133537719 \r \h</w:instrText>
      </w:r>
      <w:r w:rsidRPr="00EA48D3">
        <w:rPr>
          <w:rStyle w:val="aff4"/>
          <w:vanish/>
          <w:rtl/>
        </w:rPr>
        <w:instrText xml:space="preserve"> </w:instrText>
      </w:r>
      <w:r w:rsidRPr="00EA48D3">
        <w:rPr>
          <w:rStyle w:val="aff4"/>
          <w:vanish/>
          <w:rtl/>
        </w:rPr>
      </w:r>
      <w:r w:rsidRPr="00EA48D3">
        <w:rPr>
          <w:rStyle w:val="aff4"/>
          <w:vanish/>
          <w:rtl/>
        </w:rPr>
        <w:fldChar w:fldCharType="separate"/>
      </w:r>
      <w:r w:rsidR="00D82181">
        <w:rPr>
          <w:rStyle w:val="aff4"/>
          <w:vanish/>
          <w:cs/>
        </w:rPr>
        <w:t>‎</w:t>
      </w:r>
      <w:r w:rsidR="00D82181">
        <w:rPr>
          <w:rStyle w:val="aff4"/>
          <w:vanish/>
          <w:rtl/>
        </w:rPr>
        <w:t>צ)</w:t>
      </w:r>
      <w:r w:rsidRPr="00EA48D3">
        <w:rPr>
          <w:rStyle w:val="aff4"/>
          <w:vanish/>
          <w:rtl/>
        </w:rPr>
        <w:fldChar w:fldCharType="end"/>
      </w:r>
      <w:r w:rsidRPr="00EA48D3">
        <w:rPr>
          <w:rStyle w:val="aff4"/>
          <w:rFonts w:hint="cs"/>
          <w:vanish/>
          <w:rtl/>
        </w:rPr>
        <w:t xml:space="preserve"> &gt;</w:t>
      </w:r>
      <w:r w:rsidRPr="00EA48D3">
        <w:rPr>
          <w:rStyle w:val="aff4"/>
          <w:rFonts w:hint="cs"/>
          <w:rtl/>
        </w:rPr>
        <w:t>שו"ת הרדב"ז</w:t>
      </w:r>
      <w:r w:rsidRPr="00EA48D3">
        <w:rPr>
          <w:rStyle w:val="aff4"/>
          <w:rFonts w:hint="cs"/>
          <w:vanish/>
          <w:rtl/>
        </w:rPr>
        <w:t>-</w:t>
      </w:r>
      <w:r w:rsidRPr="00EA48D3">
        <w:rPr>
          <w:rFonts w:hint="cs"/>
          <w:rtl/>
        </w:rPr>
        <w:t xml:space="preserve"> </w:t>
      </w:r>
      <w:r w:rsidRPr="00EA48D3">
        <w:rPr>
          <w:rStyle w:val="af2"/>
          <w:rFonts w:eastAsia="Guttman Hodes" w:hint="cs"/>
          <w:rtl/>
        </w:rPr>
        <w:t>(סי' רמ"ח – אלף תרי"א ד"ה תשובה)</w:t>
      </w:r>
      <w:r w:rsidRPr="00EA48D3">
        <w:rPr>
          <w:rFonts w:hint="cs"/>
          <w:vanish/>
          <w:rtl/>
        </w:rPr>
        <w:t>=</w:t>
      </w:r>
      <w:r w:rsidRPr="00EA48D3">
        <w:rPr>
          <w:rFonts w:hint="cs"/>
          <w:rtl/>
        </w:rPr>
        <w:t xml:space="preserve"> דמוכח דהשורה חיטין במים לתקנם לזריעה חייב, מהא דלענין זרע פשתן, כתב </w:t>
      </w:r>
      <w:r w:rsidRPr="00EA48D3">
        <w:rPr>
          <w:rStyle w:val="aff4"/>
          <w:rFonts w:hint="cs"/>
          <w:vanish/>
          <w:rtl/>
        </w:rPr>
        <w:t>-</w:t>
      </w:r>
      <w:r w:rsidRPr="00EA48D3">
        <w:rPr>
          <w:rStyle w:val="aff4"/>
          <w:rFonts w:hint="cs"/>
          <w:rtl/>
        </w:rPr>
        <w:t>הרמב"ם</w:t>
      </w:r>
      <w:r w:rsidRPr="00EA48D3">
        <w:rPr>
          <w:rStyle w:val="aff4"/>
          <w:rFonts w:hint="cs"/>
          <w:vanish/>
          <w:rtl/>
        </w:rPr>
        <w:t>-</w:t>
      </w:r>
      <w:r w:rsidRPr="00EA48D3">
        <w:rPr>
          <w:rFonts w:hint="cs"/>
          <w:rtl/>
        </w:rPr>
        <w:t xml:space="preserve"> </w:t>
      </w:r>
      <w:r w:rsidRPr="00EA48D3">
        <w:rPr>
          <w:rStyle w:val="af2"/>
          <w:rFonts w:eastAsia="Guttman Hodes" w:hint="cs"/>
          <w:rtl/>
        </w:rPr>
        <w:t xml:space="preserve">(עי' אות </w:t>
      </w:r>
      <w:r w:rsidRPr="00EA48D3">
        <w:rPr>
          <w:rStyle w:val="af2"/>
          <w:rFonts w:eastAsia="Guttman Hodes"/>
          <w:rtl/>
        </w:rPr>
        <w:fldChar w:fldCharType="begin"/>
      </w:r>
      <w:r w:rsidRPr="00EA48D3">
        <w:rPr>
          <w:rStyle w:val="af2"/>
          <w:rFonts w:eastAsia="Guttman Hodes"/>
          <w:rtl/>
        </w:rPr>
        <w:instrText xml:space="preserve"> </w:instrText>
      </w:r>
      <w:r w:rsidRPr="00EA48D3">
        <w:rPr>
          <w:rStyle w:val="af2"/>
          <w:rFonts w:eastAsia="Guttman Hodes" w:hint="cs"/>
        </w:rPr>
        <w:instrText>REF</w:instrText>
      </w:r>
      <w:r w:rsidRPr="00EA48D3">
        <w:rPr>
          <w:rStyle w:val="af2"/>
          <w:rFonts w:eastAsia="Guttman Hodes" w:hint="cs"/>
          <w:rtl/>
        </w:rPr>
        <w:instrText xml:space="preserve"> _</w:instrText>
      </w:r>
      <w:r w:rsidRPr="00EA48D3">
        <w:rPr>
          <w:rStyle w:val="af2"/>
          <w:rFonts w:eastAsia="Guttman Hodes" w:hint="cs"/>
        </w:rPr>
        <w:instrText>Ref133537551 \r \h</w:instrText>
      </w:r>
      <w:r w:rsidRPr="00EA48D3">
        <w:rPr>
          <w:rStyle w:val="af2"/>
          <w:rFonts w:eastAsia="Guttman Hodes"/>
          <w:rtl/>
        </w:rPr>
        <w:instrText xml:space="preserve"> </w:instrText>
      </w:r>
      <w:r w:rsidRPr="00EA48D3">
        <w:rPr>
          <w:rStyle w:val="af2"/>
          <w:rFonts w:eastAsia="Guttman Hodes"/>
          <w:rtl/>
        </w:rPr>
      </w:r>
      <w:r w:rsidRPr="00EA48D3">
        <w:rPr>
          <w:rStyle w:val="af2"/>
          <w:rFonts w:eastAsia="Guttman Hodes"/>
          <w:rtl/>
        </w:rPr>
        <w:fldChar w:fldCharType="separate"/>
      </w:r>
      <w:r w:rsidR="00D82181">
        <w:rPr>
          <w:rStyle w:val="af2"/>
          <w:rFonts w:eastAsia="Guttman Hodes"/>
          <w:cs/>
        </w:rPr>
        <w:t>‎</w:t>
      </w:r>
      <w:r w:rsidR="00D82181">
        <w:rPr>
          <w:rStyle w:val="af2"/>
          <w:rFonts w:eastAsia="Guttman Hodes"/>
          <w:rtl/>
        </w:rPr>
        <w:t>פג)</w:t>
      </w:r>
      <w:r w:rsidRPr="00EA48D3">
        <w:rPr>
          <w:rStyle w:val="af2"/>
          <w:rFonts w:eastAsia="Guttman Hodes"/>
          <w:rtl/>
        </w:rPr>
        <w:fldChar w:fldCharType="end"/>
      </w:r>
      <w:r w:rsidRPr="00EA48D3">
        <w:rPr>
          <w:rFonts w:hint="cs"/>
          <w:rtl/>
        </w:rPr>
        <w:t xml:space="preserve"> דכשנותן אותם במים חייב משום לש, והיינו כיון דזרעי הפשתן מתערבים ונתלין זה בזה והוי לישה, וחייב מיד כשנתנם למים, משא"כ בחיטין ושעורין דאינם מתערבין ואין בהם לישה וחיובם הוא רק משום זורע, והיינו דוקא באופן ששורה אותם במים לזמן מרובה, וכמשמעות לשון </w:t>
      </w:r>
      <w:r w:rsidRPr="00EA48D3">
        <w:rPr>
          <w:rStyle w:val="aff4"/>
          <w:rFonts w:hint="cs"/>
          <w:vanish/>
          <w:rtl/>
        </w:rPr>
        <w:t>-</w:t>
      </w:r>
      <w:r w:rsidRPr="00EA48D3">
        <w:rPr>
          <w:rStyle w:val="aff4"/>
          <w:rFonts w:hint="cs"/>
          <w:rtl/>
        </w:rPr>
        <w:t>הרמב"ם</w:t>
      </w:r>
      <w:r w:rsidRPr="00EA48D3">
        <w:rPr>
          <w:rStyle w:val="aff4"/>
          <w:rFonts w:hint="cs"/>
          <w:vanish/>
          <w:rtl/>
        </w:rPr>
        <w:t>-</w:t>
      </w:r>
      <w:r w:rsidRPr="00EA48D3">
        <w:rPr>
          <w:rFonts w:hint="cs"/>
          <w:rtl/>
        </w:rPr>
        <w:t xml:space="preserve"> דכתב "שורה" חיטין דשרייה היא לזמן מרובה, כדי שהחיטין יתרככו ויהיו נוחין לזריעה, </w:t>
      </w:r>
      <w:r w:rsidRPr="00EA48D3">
        <w:rPr>
          <w:rStyle w:val="af"/>
          <w:rFonts w:hint="cs"/>
          <w:rtl/>
        </w:rPr>
        <w:t xml:space="preserve">[וכן מבואר בדברי </w:t>
      </w:r>
      <w:r w:rsidRPr="00EA48D3">
        <w:rPr>
          <w:rStyle w:val="aff9"/>
          <w:rFonts w:hint="cs"/>
          <w:vanish/>
          <w:rtl/>
        </w:rPr>
        <w:t>-</w:t>
      </w:r>
      <w:r w:rsidRPr="00EA48D3">
        <w:rPr>
          <w:rStyle w:val="aff9"/>
          <w:rFonts w:hint="cs"/>
          <w:rtl/>
        </w:rPr>
        <w:t>הרמב"ם בתשו'</w:t>
      </w:r>
      <w:r w:rsidRPr="00EA48D3">
        <w:rPr>
          <w:rStyle w:val="aff9"/>
          <w:rFonts w:hint="cs"/>
          <w:vanish/>
          <w:rtl/>
        </w:rPr>
        <w:t>-</w:t>
      </w:r>
      <w:r w:rsidRPr="00EA48D3">
        <w:rPr>
          <w:rStyle w:val="af"/>
          <w:rFonts w:hint="cs"/>
          <w:rtl/>
        </w:rPr>
        <w:t xml:space="preserve"> </w:t>
      </w:r>
      <w:r w:rsidRPr="00EA48D3">
        <w:rPr>
          <w:rStyle w:val="aff5"/>
          <w:rFonts w:hint="cs"/>
          <w:rtl/>
        </w:rPr>
        <w:t xml:space="preserve">(עי' אות </w:t>
      </w:r>
      <w:r w:rsidRPr="00EA48D3">
        <w:rPr>
          <w:rStyle w:val="aff5"/>
          <w:rtl/>
        </w:rPr>
        <w:fldChar w:fldCharType="begin"/>
      </w:r>
      <w:r w:rsidRPr="00EA48D3">
        <w:rPr>
          <w:rStyle w:val="aff5"/>
          <w:rtl/>
        </w:rPr>
        <w:instrText xml:space="preserve"> </w:instrText>
      </w:r>
      <w:r w:rsidRPr="00EA48D3">
        <w:rPr>
          <w:rStyle w:val="aff5"/>
          <w:rFonts w:hint="cs"/>
        </w:rPr>
        <w:instrText>REF</w:instrText>
      </w:r>
      <w:r w:rsidRPr="00EA48D3">
        <w:rPr>
          <w:rStyle w:val="aff5"/>
          <w:rFonts w:hint="cs"/>
          <w:rtl/>
        </w:rPr>
        <w:instrText xml:space="preserve"> _</w:instrText>
      </w:r>
      <w:r w:rsidRPr="00EA48D3">
        <w:rPr>
          <w:rStyle w:val="aff5"/>
          <w:rFonts w:hint="cs"/>
        </w:rPr>
        <w:instrText>Ref133537551 \r \h</w:instrText>
      </w:r>
      <w:r w:rsidRPr="00EA48D3">
        <w:rPr>
          <w:rStyle w:val="aff5"/>
          <w:rtl/>
        </w:rPr>
        <w:instrText xml:space="preserve"> </w:instrText>
      </w:r>
      <w:r w:rsidRPr="00EA48D3">
        <w:rPr>
          <w:rStyle w:val="aff5"/>
          <w:rtl/>
        </w:rPr>
      </w:r>
      <w:r w:rsidRPr="00EA48D3">
        <w:rPr>
          <w:rStyle w:val="aff5"/>
          <w:rtl/>
        </w:rPr>
        <w:fldChar w:fldCharType="separate"/>
      </w:r>
      <w:r w:rsidR="00D82181">
        <w:rPr>
          <w:rStyle w:val="aff5"/>
          <w:cs/>
        </w:rPr>
        <w:t>‎</w:t>
      </w:r>
      <w:r w:rsidR="00D82181">
        <w:rPr>
          <w:rStyle w:val="aff5"/>
          <w:rtl/>
        </w:rPr>
        <w:t>פג)</w:t>
      </w:r>
      <w:r w:rsidRPr="00EA48D3">
        <w:rPr>
          <w:rStyle w:val="aff5"/>
          <w:rtl/>
        </w:rPr>
        <w:fldChar w:fldCharType="end"/>
      </w:r>
      <w:r w:rsidRPr="00EA48D3">
        <w:rPr>
          <w:rStyle w:val="af"/>
          <w:rFonts w:hint="cs"/>
          <w:rtl/>
        </w:rPr>
        <w:t xml:space="preserve"> וכ"כ </w:t>
      </w:r>
      <w:r w:rsidRPr="00EA48D3">
        <w:rPr>
          <w:rStyle w:val="aff9"/>
          <w:rFonts w:hint="cs"/>
          <w:vanish/>
          <w:rtl/>
        </w:rPr>
        <w:t>-</w:t>
      </w:r>
      <w:r w:rsidRPr="00EA48D3">
        <w:rPr>
          <w:rStyle w:val="aff9"/>
          <w:rFonts w:hint="cs"/>
          <w:rtl/>
        </w:rPr>
        <w:t>המג"א</w:t>
      </w:r>
      <w:r w:rsidRPr="00EA48D3">
        <w:rPr>
          <w:rStyle w:val="aff9"/>
          <w:rFonts w:hint="cs"/>
          <w:vanish/>
          <w:rtl/>
        </w:rPr>
        <w:t>-</w:t>
      </w:r>
      <w:r w:rsidRPr="00EA48D3">
        <w:rPr>
          <w:rStyle w:val="af"/>
          <w:rFonts w:hint="cs"/>
          <w:rtl/>
        </w:rPr>
        <w:t xml:space="preserve"> </w:t>
      </w:r>
      <w:r w:rsidRPr="00EA48D3">
        <w:rPr>
          <w:rStyle w:val="aff5"/>
          <w:rFonts w:hint="cs"/>
          <w:rtl/>
        </w:rPr>
        <w:t xml:space="preserve">(עי' אות </w:t>
      </w:r>
      <w:r w:rsidRPr="00EA48D3">
        <w:rPr>
          <w:rStyle w:val="aff5"/>
          <w:rtl/>
        </w:rPr>
        <w:fldChar w:fldCharType="begin"/>
      </w:r>
      <w:r w:rsidRPr="00EA48D3">
        <w:rPr>
          <w:rStyle w:val="aff5"/>
          <w:rtl/>
        </w:rPr>
        <w:instrText xml:space="preserve"> </w:instrText>
      </w:r>
      <w:r w:rsidRPr="00EA48D3">
        <w:rPr>
          <w:rStyle w:val="aff5"/>
          <w:rFonts w:hint="cs"/>
        </w:rPr>
        <w:instrText>REF</w:instrText>
      </w:r>
      <w:r w:rsidRPr="00EA48D3">
        <w:rPr>
          <w:rStyle w:val="aff5"/>
          <w:rFonts w:hint="cs"/>
          <w:rtl/>
        </w:rPr>
        <w:instrText xml:space="preserve"> _</w:instrText>
      </w:r>
      <w:r w:rsidRPr="00EA48D3">
        <w:rPr>
          <w:rStyle w:val="aff5"/>
          <w:rFonts w:hint="cs"/>
        </w:rPr>
        <w:instrText>Ref133749987 \r \h</w:instrText>
      </w:r>
      <w:r w:rsidRPr="00EA48D3">
        <w:rPr>
          <w:rStyle w:val="aff5"/>
          <w:rtl/>
        </w:rPr>
        <w:instrText xml:space="preserve"> </w:instrText>
      </w:r>
      <w:r w:rsidRPr="00EA48D3">
        <w:rPr>
          <w:rStyle w:val="aff5"/>
          <w:rtl/>
        </w:rPr>
      </w:r>
      <w:r w:rsidRPr="00EA48D3">
        <w:rPr>
          <w:rStyle w:val="aff5"/>
          <w:rtl/>
        </w:rPr>
        <w:fldChar w:fldCharType="separate"/>
      </w:r>
      <w:r w:rsidR="00D82181">
        <w:rPr>
          <w:rStyle w:val="aff5"/>
          <w:cs/>
        </w:rPr>
        <w:t>‎</w:t>
      </w:r>
      <w:r w:rsidR="00D82181">
        <w:rPr>
          <w:rStyle w:val="aff5"/>
          <w:rtl/>
        </w:rPr>
        <w:t>צד)</w:t>
      </w:r>
      <w:r w:rsidRPr="00EA48D3">
        <w:rPr>
          <w:rStyle w:val="aff5"/>
          <w:rtl/>
        </w:rPr>
        <w:fldChar w:fldCharType="end"/>
      </w:r>
      <w:r w:rsidRPr="00EA48D3">
        <w:rPr>
          <w:rStyle w:val="af"/>
          <w:rFonts w:hint="cs"/>
          <w:rtl/>
        </w:rPr>
        <w:t>],</w:t>
      </w:r>
      <w:r w:rsidRPr="00EA48D3">
        <w:rPr>
          <w:rFonts w:hint="cs"/>
          <w:rtl/>
        </w:rPr>
        <w:t xml:space="preserve"> וכתב </w:t>
      </w:r>
      <w:r w:rsidRPr="00EA48D3">
        <w:rPr>
          <w:rStyle w:val="aff4"/>
          <w:rFonts w:hint="cs"/>
          <w:vanish/>
          <w:rtl/>
        </w:rPr>
        <w:t>-</w:t>
      </w:r>
      <w:r w:rsidRPr="00EA48D3">
        <w:rPr>
          <w:rStyle w:val="aff4"/>
          <w:rFonts w:hint="cs"/>
          <w:rtl/>
        </w:rPr>
        <w:t>הרדב"ז</w:t>
      </w:r>
      <w:r w:rsidRPr="00EA48D3">
        <w:rPr>
          <w:rStyle w:val="aff4"/>
          <w:rFonts w:hint="cs"/>
          <w:vanish/>
          <w:rtl/>
        </w:rPr>
        <w:t>-</w:t>
      </w:r>
      <w:r w:rsidRPr="00EA48D3">
        <w:rPr>
          <w:rFonts w:hint="cs"/>
          <w:rtl/>
        </w:rPr>
        <w:t xml:space="preserve"> דהחיוב בזה הוא רק באופן שזו כוונתו בשרייה לצורך הזריעה שאח"כ, אבל אם אינו מתכוין לזריעה פטור דקיי"ל כר"ש דדבר שאינו מתכוון מותר, וביאר </w:t>
      </w:r>
      <w:r w:rsidRPr="00EA48D3">
        <w:rPr>
          <w:rStyle w:val="aff4"/>
          <w:rFonts w:hint="cs"/>
          <w:vanish/>
          <w:rtl/>
        </w:rPr>
        <w:t>-</w:t>
      </w:r>
      <w:r w:rsidRPr="00EA48D3">
        <w:rPr>
          <w:rStyle w:val="aff4"/>
          <w:rFonts w:hint="cs"/>
          <w:rtl/>
        </w:rPr>
        <w:t>הרדב"ז</w:t>
      </w:r>
      <w:r w:rsidRPr="00EA48D3">
        <w:rPr>
          <w:rStyle w:val="aff4"/>
          <w:rFonts w:hint="cs"/>
          <w:vanish/>
          <w:rtl/>
        </w:rPr>
        <w:t>-</w:t>
      </w:r>
      <w:r w:rsidRPr="00EA48D3">
        <w:rPr>
          <w:rFonts w:hint="cs"/>
          <w:rtl/>
        </w:rPr>
        <w:t xml:space="preserve"> דאי"ז פסיק רישיה כיון שהוא יכול להסיר את החיטין מהמים ולא יצמחו החיטין כלל.</w:t>
      </w:r>
      <w:bookmarkEnd w:id="408"/>
      <w:r w:rsidRPr="00EA48D3">
        <w:rPr>
          <w:rFonts w:hint="cs"/>
          <w:rtl/>
        </w:rPr>
        <w:t xml:space="preserve"> </w:t>
      </w:r>
    </w:p>
    <w:p w14:paraId="426D6747" w14:textId="77777777" w:rsidR="009623A2" w:rsidRPr="00747170" w:rsidRDefault="009623A2" w:rsidP="00747170">
      <w:pPr>
        <w:pStyle w:val="a2"/>
      </w:pPr>
      <w:r w:rsidRPr="00747170">
        <w:rPr>
          <w:rtl/>
        </w:rPr>
        <w:t xml:space="preserve">תדע דהכא כתב ז"ל השורה וגבי זרע שומשמין כתב ז"ל והנותן זרע שומשמין או זרע פשתן וכיוצא בהם במים חייב משום לש שהפשתן מיד בנתינת המים מתערבין ונתלין זה בזה אבל החטים או השעורים אינם מתערבים ולפיכך אין בהם משום לש אלא משום זורע והיינו דנקט שרייה שהיא לזמן מרובה כדי שיתרככו ויהיו טובים לזריעה וצריך שיתכוין בשרייתן לזריעה ואם לאו קי"ל כר' שמעון דאמר דבר שאין מתכוין מותר ולא שייך הכא פסיק רישיה שהרי השרייה גופה אינה מלאכה ואפשר שיסיר אותם מן המים ולא יצמחו כלל וק"ל. </w:t>
      </w:r>
    </w:p>
    <w:p w14:paraId="7A1FE5DB" w14:textId="7CBADEBD" w:rsidR="009623A2" w:rsidRPr="00EA48D3" w:rsidRDefault="009623A2" w:rsidP="009623A2">
      <w:pPr>
        <w:pStyle w:val="afffff7"/>
        <w:rPr>
          <w:rtl/>
        </w:rPr>
      </w:pPr>
      <w:bookmarkStart w:id="409" w:name="_Toc133841686"/>
      <w:bookmarkStart w:id="410" w:name="_Toc163505434"/>
      <w:r w:rsidRPr="00EA48D3">
        <w:rPr>
          <w:rtl/>
        </w:rPr>
        <w:t xml:space="preserve">שו"ת רדב"ז ח"ה ללשונות הרמב"ם סימן רמח (אלף תריא) ד"ה </w:t>
      </w:r>
      <w:r w:rsidRPr="00EA48D3">
        <w:rPr>
          <w:rFonts w:hint="cs"/>
          <w:rtl/>
        </w:rPr>
        <w:t>ולמדה</w:t>
      </w:r>
      <w:bookmarkEnd w:id="409"/>
      <w:bookmarkEnd w:id="410"/>
    </w:p>
    <w:p w14:paraId="34C2054F" w14:textId="77777777" w:rsidR="009623A2" w:rsidRPr="00EA48D3" w:rsidRDefault="009623A2" w:rsidP="009623A2">
      <w:pPr>
        <w:pStyle w:val="a7"/>
        <w:rPr>
          <w:rtl/>
        </w:rPr>
      </w:pPr>
      <w:bookmarkStart w:id="411" w:name="_Toc134419681"/>
      <w:r w:rsidRPr="00EA48D3">
        <w:rPr>
          <w:rFonts w:hint="cs"/>
          <w:rtl/>
        </w:rPr>
        <w:t>בי' הרדב"ז בגמ' בזבחים דרק פשתן חייב מיד בלש אבל חיטין חייב רק כשקדחי לאחר שרייה</w:t>
      </w:r>
      <w:bookmarkEnd w:id="411"/>
    </w:p>
    <w:p w14:paraId="12528031" w14:textId="59152535" w:rsidR="009623A2" w:rsidRPr="00EA48D3" w:rsidRDefault="009623A2" w:rsidP="00BC7DC8">
      <w:pPr>
        <w:pStyle w:val="a3"/>
      </w:pPr>
      <w:bookmarkStart w:id="412" w:name="_Ref133575286"/>
      <w:r w:rsidRPr="00EA48D3">
        <w:rPr>
          <w:rFonts w:hint="cs"/>
          <w:rtl/>
        </w:rPr>
        <w:t>וכתב</w:t>
      </w:r>
      <w:r w:rsidRPr="00EA48D3">
        <w:rPr>
          <w:rtl/>
        </w:rPr>
        <w:t xml:space="preserve"> </w:t>
      </w:r>
      <w:r w:rsidRPr="00EA48D3">
        <w:rPr>
          <w:rStyle w:val="aff4"/>
          <w:vanish/>
          <w:rtl/>
        </w:rPr>
        <w:t>-</w:t>
      </w:r>
      <w:r w:rsidRPr="00EA48D3">
        <w:rPr>
          <w:rStyle w:val="aff4"/>
          <w:rtl/>
        </w:rPr>
        <w:t>ב</w:t>
      </w:r>
      <w:r w:rsidRPr="00EA48D3">
        <w:rPr>
          <w:rStyle w:val="aff4"/>
          <w:vanish/>
          <w:rtl/>
        </w:rPr>
        <w:t xml:space="preserve">&lt;. </w:t>
      </w:r>
      <w:r w:rsidRPr="00EA48D3">
        <w:rPr>
          <w:rStyle w:val="aff4"/>
          <w:vanish/>
          <w:rtl/>
        </w:rPr>
        <w:fldChar w:fldCharType="begin"/>
      </w:r>
      <w:r w:rsidRPr="00EA48D3">
        <w:rPr>
          <w:rStyle w:val="aff4"/>
          <w:vanish/>
          <w:rtl/>
        </w:rPr>
        <w:instrText xml:space="preserve"> </w:instrText>
      </w:r>
      <w:r w:rsidRPr="00EA48D3">
        <w:rPr>
          <w:rStyle w:val="aff4"/>
          <w:vanish/>
        </w:rPr>
        <w:instrText>REF</w:instrText>
      </w:r>
      <w:r w:rsidRPr="00EA48D3">
        <w:rPr>
          <w:rStyle w:val="aff4"/>
          <w:vanish/>
          <w:rtl/>
        </w:rPr>
        <w:instrText xml:space="preserve"> _</w:instrText>
      </w:r>
      <w:r w:rsidRPr="00EA48D3">
        <w:rPr>
          <w:rStyle w:val="aff4"/>
          <w:vanish/>
        </w:rPr>
        <w:instrText>Ref133575286 \r \h</w:instrText>
      </w:r>
      <w:r w:rsidRPr="00EA48D3">
        <w:rPr>
          <w:rStyle w:val="aff4"/>
          <w:vanish/>
          <w:rtl/>
        </w:rPr>
        <w:instrText xml:space="preserve"> </w:instrText>
      </w:r>
      <w:r w:rsidRPr="00EA48D3">
        <w:rPr>
          <w:rStyle w:val="aff4"/>
          <w:vanish/>
          <w:rtl/>
        </w:rPr>
      </w:r>
      <w:r w:rsidRPr="00EA48D3">
        <w:rPr>
          <w:rStyle w:val="aff4"/>
          <w:vanish/>
          <w:rtl/>
        </w:rPr>
        <w:fldChar w:fldCharType="separate"/>
      </w:r>
      <w:r w:rsidR="00D82181">
        <w:rPr>
          <w:rStyle w:val="aff4"/>
          <w:vanish/>
          <w:cs/>
        </w:rPr>
        <w:t>‎</w:t>
      </w:r>
      <w:r w:rsidR="00D82181">
        <w:rPr>
          <w:rStyle w:val="aff4"/>
          <w:vanish/>
          <w:rtl/>
        </w:rPr>
        <w:t>צא)</w:t>
      </w:r>
      <w:r w:rsidRPr="00EA48D3">
        <w:rPr>
          <w:rStyle w:val="aff4"/>
          <w:vanish/>
          <w:rtl/>
        </w:rPr>
        <w:fldChar w:fldCharType="end"/>
      </w:r>
      <w:r w:rsidRPr="00EA48D3">
        <w:rPr>
          <w:rStyle w:val="aff4"/>
          <w:vanish/>
          <w:rtl/>
        </w:rPr>
        <w:t xml:space="preserve"> &gt;</w:t>
      </w:r>
      <w:r w:rsidRPr="00EA48D3">
        <w:rPr>
          <w:rStyle w:val="aff4"/>
          <w:rtl/>
        </w:rPr>
        <w:t>שו"ת הרדב"ז</w:t>
      </w:r>
      <w:r w:rsidRPr="00EA48D3">
        <w:rPr>
          <w:rStyle w:val="aff4"/>
          <w:vanish/>
          <w:rtl/>
        </w:rPr>
        <w:t>-</w:t>
      </w:r>
      <w:r w:rsidRPr="00EA48D3">
        <w:rPr>
          <w:rtl/>
        </w:rPr>
        <w:t xml:space="preserve"> </w:t>
      </w:r>
      <w:r w:rsidRPr="00EA48D3">
        <w:rPr>
          <w:rStyle w:val="af2"/>
          <w:rFonts w:eastAsia="Guttman Hodes"/>
          <w:rtl/>
        </w:rPr>
        <w:t xml:space="preserve">(סי' רמ"ח – אלף תרי"א ד"ה </w:t>
      </w:r>
      <w:r w:rsidRPr="00EA48D3">
        <w:rPr>
          <w:rStyle w:val="af2"/>
          <w:rFonts w:eastAsia="Guttman Hodes" w:hint="cs"/>
          <w:rtl/>
        </w:rPr>
        <w:t>ולמדה</w:t>
      </w:r>
      <w:r w:rsidRPr="00EA48D3">
        <w:rPr>
          <w:rStyle w:val="af2"/>
          <w:rFonts w:eastAsia="Guttman Hodes"/>
          <w:rtl/>
        </w:rPr>
        <w:t>)</w:t>
      </w:r>
      <w:r w:rsidRPr="00EA48D3">
        <w:rPr>
          <w:vanish/>
          <w:rtl/>
        </w:rPr>
        <w:t>=</w:t>
      </w:r>
      <w:r w:rsidRPr="00EA48D3">
        <w:rPr>
          <w:rFonts w:hint="cs"/>
          <w:rtl/>
        </w:rPr>
        <w:t xml:space="preserve"> דמקור דברי </w:t>
      </w:r>
      <w:r w:rsidRPr="00EA48D3">
        <w:rPr>
          <w:rStyle w:val="aff4"/>
          <w:rFonts w:hint="cs"/>
          <w:vanish/>
          <w:rtl/>
        </w:rPr>
        <w:t>-</w:t>
      </w:r>
      <w:r w:rsidRPr="00EA48D3">
        <w:rPr>
          <w:rStyle w:val="aff4"/>
          <w:rFonts w:hint="cs"/>
          <w:rtl/>
        </w:rPr>
        <w:t>הרמב"ם</w:t>
      </w:r>
      <w:r w:rsidRPr="00EA48D3">
        <w:rPr>
          <w:rStyle w:val="aff4"/>
          <w:rFonts w:hint="cs"/>
          <w:vanish/>
          <w:rtl/>
        </w:rPr>
        <w:t>-</w:t>
      </w:r>
      <w:r w:rsidRPr="00EA48D3">
        <w:rPr>
          <w:rFonts w:hint="cs"/>
          <w:rtl/>
        </w:rPr>
        <w:t xml:space="preserve"> הם מהגמ' בזבחים </w:t>
      </w:r>
      <w:r w:rsidRPr="00EA48D3">
        <w:rPr>
          <w:rStyle w:val="af2"/>
          <w:rFonts w:eastAsia="Guttman Hodes" w:hint="cs"/>
          <w:rtl/>
        </w:rPr>
        <w:t>(צד:)</w:t>
      </w:r>
      <w:r w:rsidRPr="00EA48D3">
        <w:rPr>
          <w:rFonts w:hint="cs"/>
          <w:rtl/>
        </w:rPr>
        <w:t xml:space="preserve"> דהזורק זרע פשתן למים חייב, ומקשה הגמ' דאי החיוב הוא מחמת דהזרע צומח, א"כ אמאי רק זרע פשתן הא אף חיטין ושעורין ג"כ חייב כיון דקדחי, ותירצה הגמ' דחייב משום לישה, כיון דזרע פשתן יש לו ריר, וביאר </w:t>
      </w:r>
      <w:r w:rsidRPr="00EA48D3">
        <w:rPr>
          <w:rStyle w:val="aff4"/>
          <w:rFonts w:hint="cs"/>
          <w:vanish/>
          <w:rtl/>
        </w:rPr>
        <w:t>-</w:t>
      </w:r>
      <w:r w:rsidRPr="00EA48D3">
        <w:rPr>
          <w:rStyle w:val="aff4"/>
          <w:rFonts w:hint="cs"/>
          <w:rtl/>
        </w:rPr>
        <w:t>הרדב"ז</w:t>
      </w:r>
      <w:r w:rsidRPr="00EA48D3">
        <w:rPr>
          <w:rStyle w:val="aff4"/>
          <w:rFonts w:hint="cs"/>
          <w:vanish/>
          <w:rtl/>
        </w:rPr>
        <w:t>-</w:t>
      </w:r>
      <w:r w:rsidRPr="00EA48D3">
        <w:rPr>
          <w:rFonts w:hint="cs"/>
          <w:rtl/>
        </w:rPr>
        <w:t xml:space="preserve"> דמשמע בגמ' דכיון שיש לזרע פשתן ריר לכן מיד כשהוא נותן אותם למים חייב משום לש, אבל בחיטין ושעורין אין בהם חיוב לישה, והצמיחה שלהם אינה מיד כשנותן אותם למים, ורק כשקדחי לאחר זמן והם מוכנים לזריעה בקרקע, חייב עליהם.</w:t>
      </w:r>
      <w:bookmarkEnd w:id="412"/>
    </w:p>
    <w:p w14:paraId="020C9F23" w14:textId="77777777" w:rsidR="009623A2" w:rsidRPr="00747170" w:rsidRDefault="009623A2" w:rsidP="00747170">
      <w:pPr>
        <w:pStyle w:val="a2"/>
        <w:rPr>
          <w:rtl/>
        </w:rPr>
      </w:pPr>
      <w:r w:rsidRPr="00747170">
        <w:rPr>
          <w:rtl/>
        </w:rPr>
        <w:t xml:space="preserve">ולמדה הרב מהך סוגיא דבפרק דם חטאת דגרסינן התם אמר רבא כל כיבוס דלית ליה כיסכוס לא שמיה כיבוס והא דאמר רב חייא בר אשי זימנין סגיאין וכו' ומשני אי ברכין וכדברי הכל אי בקשין וכאחרים ופריך אי הכי בגד נמי כיון דאמרת דבעינן כיסכוס בגד נמי יתן עליו מים ולא יכסכס ואמאי תנא מקנחה בסמרטוט ומשני בגד שרייתו זהו כבוסו ופריך זרע פשתן מאי טעמא וכי תימא משום דמקדח כלומר צומח במים ומשום הכי חייב חטי ושערי נמי צמחי במיא ויהיה חייב עליהם. ומשני התם קא עביד לישה כלומר לפי שעה אבל חיטי ושערי לא עבדי לישה אבל ודאי צמחי לאחר זמן והדר פריך א"ה שלחים נמי ומשני הנך אית להו רירא כלומר זרע פשתן וכיוצא בהן אית להו רירא למדנו מסוגיא זו דזרע פשתן וכיוצא בהן אית להו רירה ומיד שנותן המים עביד לישה וחייב וזהו שכתב הרב הנותן זרע שומשמין משמע משעת נתינה משום דאית להו רירא. </w:t>
      </w:r>
    </w:p>
    <w:p w14:paraId="3941B232" w14:textId="4D44E80F" w:rsidR="009623A2" w:rsidRPr="00EA48D3" w:rsidRDefault="009623A2" w:rsidP="009623A2">
      <w:pPr>
        <w:pStyle w:val="a7"/>
      </w:pPr>
      <w:bookmarkStart w:id="413" w:name="_Toc134419682"/>
      <w:r w:rsidRPr="00EA48D3">
        <w:rPr>
          <w:rFonts w:hint="cs"/>
          <w:rtl/>
        </w:rPr>
        <w:t>בי' הרדב"ז דמשליך חיטין למים ע"מ לסלם מיד פטור דאינו לישה ובשורה לזמן הוי פס"ר דקדחי</w:t>
      </w:r>
      <w:bookmarkEnd w:id="413"/>
    </w:p>
    <w:p w14:paraId="285DEFA6" w14:textId="77777777" w:rsidR="009623A2" w:rsidRPr="00EA48D3" w:rsidRDefault="009623A2" w:rsidP="00BC7DC8">
      <w:pPr>
        <w:pStyle w:val="a3"/>
      </w:pPr>
      <w:r w:rsidRPr="00EA48D3">
        <w:rPr>
          <w:rFonts w:hint="cs"/>
          <w:rtl/>
        </w:rPr>
        <w:t xml:space="preserve">וכתב </w:t>
      </w:r>
      <w:r w:rsidRPr="00EA48D3">
        <w:rPr>
          <w:rStyle w:val="aff4"/>
          <w:rFonts w:hint="cs"/>
          <w:vanish/>
          <w:rtl/>
        </w:rPr>
        <w:t>-</w:t>
      </w:r>
      <w:r w:rsidRPr="00EA48D3">
        <w:rPr>
          <w:rStyle w:val="aff4"/>
          <w:rFonts w:hint="cs"/>
          <w:rtl/>
        </w:rPr>
        <w:t>הרדב"ז</w:t>
      </w:r>
      <w:r w:rsidRPr="00EA48D3">
        <w:rPr>
          <w:rStyle w:val="aff4"/>
          <w:rFonts w:hint="cs"/>
          <w:vanish/>
          <w:rtl/>
        </w:rPr>
        <w:t>-</w:t>
      </w:r>
      <w:r w:rsidRPr="00EA48D3">
        <w:rPr>
          <w:rFonts w:hint="cs"/>
          <w:rtl/>
        </w:rPr>
        <w:t xml:space="preserve"> דאם השליך את החיטין למים ע"מ לסלק אותם מיד אין חיוב כלל, כמבואר בגמ' בזבחים דמקשה בהו"א דאי החיוב בפשתן מיד בנתינה למים, א"כ אף בחיטין ושעורין יתחייב, ומבואר דלמסקנא דהחיוב בפשתן בנתינה מיד הוא רק משום לש, א"כ בחיטין ושעורין שאין לישה, החיוב הוא רק בנתינה לזמן מרובה, וכתב </w:t>
      </w:r>
      <w:r w:rsidRPr="00EA48D3">
        <w:rPr>
          <w:rStyle w:val="aff4"/>
          <w:rFonts w:hint="cs"/>
          <w:vanish/>
          <w:rtl/>
        </w:rPr>
        <w:t>-</w:t>
      </w:r>
      <w:r w:rsidRPr="00EA48D3">
        <w:rPr>
          <w:rStyle w:val="aff4"/>
          <w:rFonts w:hint="cs"/>
          <w:rtl/>
        </w:rPr>
        <w:t>הרדב"ז</w:t>
      </w:r>
      <w:r w:rsidRPr="00EA48D3">
        <w:rPr>
          <w:rStyle w:val="aff4"/>
          <w:rFonts w:hint="cs"/>
          <w:vanish/>
          <w:rtl/>
        </w:rPr>
        <w:t>-</w:t>
      </w:r>
      <w:r w:rsidRPr="00EA48D3">
        <w:rPr>
          <w:rFonts w:hint="cs"/>
          <w:rtl/>
        </w:rPr>
        <w:t xml:space="preserve"> דאם מיד לאחר שנתן את החיטין במים סילקם, לא מקדחי כלל, ולכן החיוב הוא רק בשורה לזמן מרובה, ומתכוון שע"י השרייה יהיו מתוקנים לזריעה, אבל אם הניחם בלא להתכוון לזריעה, והשהה אותם במים לזמן מרובה חייב, כיון דהוא פסיק רישיה.</w:t>
      </w:r>
    </w:p>
    <w:p w14:paraId="36BF88B9" w14:textId="77777777" w:rsidR="009623A2" w:rsidRPr="00747170" w:rsidRDefault="009623A2" w:rsidP="00747170">
      <w:pPr>
        <w:pStyle w:val="a2"/>
        <w:rPr>
          <w:rtl/>
        </w:rPr>
      </w:pPr>
      <w:r w:rsidRPr="00747170">
        <w:rPr>
          <w:rtl/>
        </w:rPr>
        <w:t>ועוד למדנו דחיטי ושערי צמחי ע"י המים אבל אין צמיחתן מיד אלא דמקדחי ונמצאו מוכנים לזריעה</w:t>
      </w:r>
      <w:r w:rsidRPr="00747170">
        <w:rPr>
          <w:rFonts w:hint="cs"/>
          <w:rtl/>
        </w:rPr>
        <w:t xml:space="preserve">. וכו' </w:t>
      </w:r>
      <w:r w:rsidRPr="00747170">
        <w:rPr>
          <w:rtl/>
        </w:rPr>
        <w:t>אבל להשליך אותם למים ולסלקן מיד אין כאן חיוב כלל ודומיא דזרע פשתן פריך תלמודא אי הכי חיטי ושערי נמי דהיינו נתינה לבד ודוק ותשכח:</w:t>
      </w:r>
      <w:r w:rsidRPr="00747170">
        <w:rPr>
          <w:rFonts w:hint="cs"/>
          <w:rtl/>
        </w:rPr>
        <w:t xml:space="preserve"> </w:t>
      </w:r>
      <w:r w:rsidRPr="00747170">
        <w:rPr>
          <w:rtl/>
        </w:rPr>
        <w:t>אבל אם נתן אותם לתוך המים וסלקן מיד לא מקדחי כלל ולפיכך לא מחייב אלא עד דמשרה להו במים ויכוון בזה לתקנן לזריעה כ"כ לעיל ואם השהה אותן במים עד דהוי פסיק רישיה חייב.</w:t>
      </w:r>
    </w:p>
    <w:p w14:paraId="6CECFDBE" w14:textId="0ADBF80C" w:rsidR="009623A2" w:rsidRPr="00EA48D3" w:rsidRDefault="009623A2" w:rsidP="009623A2">
      <w:pPr>
        <w:pStyle w:val="1"/>
        <w:rPr>
          <w:rtl/>
        </w:rPr>
      </w:pPr>
      <w:bookmarkStart w:id="414" w:name="_Toc134419683"/>
      <w:r w:rsidRPr="00EA48D3">
        <w:rPr>
          <w:rFonts w:hint="cs"/>
          <w:rtl/>
        </w:rPr>
        <w:t>בי' המג"א ברמב"ם דחיוב שורה רק לזמן מרובה כחצי היום</w:t>
      </w:r>
      <w:bookmarkEnd w:id="414"/>
    </w:p>
    <w:p w14:paraId="5ACF4860" w14:textId="77777777" w:rsidR="009623A2" w:rsidRPr="00EA48D3" w:rsidRDefault="009623A2" w:rsidP="009623A2">
      <w:pPr>
        <w:pStyle w:val="afffff7"/>
        <w:rPr>
          <w:rtl/>
        </w:rPr>
      </w:pPr>
      <w:bookmarkStart w:id="415" w:name="_Toc133841687"/>
      <w:bookmarkStart w:id="416" w:name="_Toc163505435"/>
      <w:r w:rsidRPr="00EA48D3">
        <w:rPr>
          <w:rtl/>
        </w:rPr>
        <w:t>מגן אברהם סימן שלו ס"ק יב</w:t>
      </w:r>
      <w:bookmarkEnd w:id="415"/>
      <w:bookmarkEnd w:id="416"/>
    </w:p>
    <w:p w14:paraId="5D186982" w14:textId="77777777" w:rsidR="009623A2" w:rsidRPr="00EA48D3" w:rsidRDefault="009623A2" w:rsidP="009623A2">
      <w:pPr>
        <w:pStyle w:val="a7"/>
        <w:rPr>
          <w:rtl/>
        </w:rPr>
      </w:pPr>
      <w:bookmarkStart w:id="417" w:name="_Toc134419684"/>
      <w:r w:rsidRPr="00EA48D3">
        <w:rPr>
          <w:rFonts w:hint="cs"/>
          <w:rtl/>
        </w:rPr>
        <w:t>קו' המג"א דבזבחים מבו' דרק בפשתן חייב משום לש ובחיטין פטור ועוד מבו' דאין חיוב זורע</w:t>
      </w:r>
      <w:bookmarkEnd w:id="417"/>
    </w:p>
    <w:p w14:paraId="0C9489E1" w14:textId="5600857E" w:rsidR="009623A2" w:rsidRPr="00EA48D3" w:rsidRDefault="009623A2" w:rsidP="00BC7DC8">
      <w:pPr>
        <w:pStyle w:val="a3"/>
      </w:pPr>
      <w:bookmarkStart w:id="418" w:name="_Ref133575302"/>
      <w:r w:rsidRPr="00EA48D3">
        <w:rPr>
          <w:rFonts w:hint="cs"/>
          <w:rtl/>
        </w:rPr>
        <w:t xml:space="preserve">במ"ש </w:t>
      </w:r>
      <w:r w:rsidRPr="00EA48D3">
        <w:rPr>
          <w:rStyle w:val="aff4"/>
          <w:rFonts w:hint="cs"/>
          <w:vanish/>
          <w:rtl/>
        </w:rPr>
        <w:t>-</w:t>
      </w:r>
      <w:r w:rsidRPr="00EA48D3">
        <w:rPr>
          <w:rStyle w:val="aff4"/>
          <w:rFonts w:hint="cs"/>
          <w:rtl/>
        </w:rPr>
        <w:t>הרמב"ם</w:t>
      </w:r>
      <w:r w:rsidRPr="00EA48D3">
        <w:rPr>
          <w:rStyle w:val="aff4"/>
          <w:rFonts w:hint="cs"/>
          <w:vanish/>
          <w:rtl/>
        </w:rPr>
        <w:t>-</w:t>
      </w:r>
      <w:r w:rsidRPr="00EA48D3">
        <w:rPr>
          <w:rFonts w:hint="cs"/>
          <w:rtl/>
        </w:rPr>
        <w:t xml:space="preserve"> </w:t>
      </w:r>
      <w:r w:rsidRPr="00EA48D3">
        <w:rPr>
          <w:rStyle w:val="af2"/>
          <w:rFonts w:eastAsia="Guttman Hodes" w:hint="cs"/>
          <w:rtl/>
        </w:rPr>
        <w:t xml:space="preserve">(עי' אות </w:t>
      </w:r>
      <w:r w:rsidRPr="00EA48D3">
        <w:rPr>
          <w:rStyle w:val="af2"/>
          <w:rFonts w:eastAsia="Guttman Hodes"/>
          <w:rtl/>
        </w:rPr>
        <w:fldChar w:fldCharType="begin"/>
      </w:r>
      <w:r w:rsidRPr="00EA48D3">
        <w:rPr>
          <w:rStyle w:val="af2"/>
          <w:rFonts w:eastAsia="Guttman Hodes"/>
          <w:rtl/>
        </w:rPr>
        <w:instrText xml:space="preserve"> </w:instrText>
      </w:r>
      <w:r w:rsidRPr="00EA48D3">
        <w:rPr>
          <w:rStyle w:val="af2"/>
          <w:rFonts w:eastAsia="Guttman Hodes" w:hint="cs"/>
        </w:rPr>
        <w:instrText>REF</w:instrText>
      </w:r>
      <w:r w:rsidRPr="00EA48D3">
        <w:rPr>
          <w:rStyle w:val="af2"/>
          <w:rFonts w:eastAsia="Guttman Hodes" w:hint="cs"/>
          <w:rtl/>
        </w:rPr>
        <w:instrText xml:space="preserve"> _</w:instrText>
      </w:r>
      <w:r w:rsidRPr="00EA48D3">
        <w:rPr>
          <w:rStyle w:val="af2"/>
          <w:rFonts w:eastAsia="Guttman Hodes" w:hint="cs"/>
        </w:rPr>
        <w:instrText>Ref133143291 \r \h</w:instrText>
      </w:r>
      <w:r w:rsidRPr="00EA48D3">
        <w:rPr>
          <w:rStyle w:val="af2"/>
          <w:rFonts w:eastAsia="Guttman Hodes"/>
          <w:rtl/>
        </w:rPr>
        <w:instrText xml:space="preserve"> </w:instrText>
      </w:r>
      <w:r w:rsidRPr="00EA48D3">
        <w:rPr>
          <w:rStyle w:val="af2"/>
          <w:rFonts w:eastAsia="Guttman Hodes"/>
          <w:rtl/>
        </w:rPr>
      </w:r>
      <w:r w:rsidRPr="00EA48D3">
        <w:rPr>
          <w:rStyle w:val="af2"/>
          <w:rFonts w:eastAsia="Guttman Hodes"/>
          <w:rtl/>
        </w:rPr>
        <w:fldChar w:fldCharType="separate"/>
      </w:r>
      <w:r w:rsidR="00D82181">
        <w:rPr>
          <w:rStyle w:val="af2"/>
          <w:rFonts w:eastAsia="Guttman Hodes"/>
          <w:cs/>
        </w:rPr>
        <w:t>‎</w:t>
      </w:r>
      <w:r w:rsidR="00D82181">
        <w:rPr>
          <w:rStyle w:val="af2"/>
          <w:rFonts w:eastAsia="Guttman Hodes"/>
          <w:rtl/>
        </w:rPr>
        <w:t>עט)</w:t>
      </w:r>
      <w:r w:rsidRPr="00EA48D3">
        <w:rPr>
          <w:rStyle w:val="af2"/>
          <w:rFonts w:eastAsia="Guttman Hodes"/>
          <w:rtl/>
        </w:rPr>
        <w:fldChar w:fldCharType="end"/>
      </w:r>
      <w:r w:rsidRPr="00EA48D3">
        <w:rPr>
          <w:rFonts w:hint="cs"/>
          <w:rtl/>
        </w:rPr>
        <w:t xml:space="preserve"> דהשורה חיטין ושעורין וכיו"ב במים, הוא תולדה של זורע וחייב, הקשה </w:t>
      </w:r>
      <w:r w:rsidRPr="00EA48D3">
        <w:rPr>
          <w:rStyle w:val="aff4"/>
          <w:rFonts w:hint="cs"/>
          <w:vanish/>
          <w:rtl/>
        </w:rPr>
        <w:t>-</w:t>
      </w:r>
      <w:r w:rsidRPr="00EA48D3">
        <w:rPr>
          <w:rStyle w:val="aff4"/>
          <w:rFonts w:hint="cs"/>
          <w:rtl/>
        </w:rPr>
        <w:t>ה</w:t>
      </w:r>
      <w:r w:rsidRPr="00EA48D3">
        <w:rPr>
          <w:rStyle w:val="aff4"/>
          <w:rFonts w:hint="cs"/>
          <w:vanish/>
          <w:rtl/>
        </w:rPr>
        <w:t xml:space="preserve">&lt;. </w:t>
      </w:r>
      <w:r w:rsidRPr="00EA48D3">
        <w:rPr>
          <w:rStyle w:val="aff4"/>
          <w:vanish/>
          <w:rtl/>
        </w:rPr>
        <w:fldChar w:fldCharType="begin"/>
      </w:r>
      <w:r w:rsidRPr="00EA48D3">
        <w:rPr>
          <w:rStyle w:val="aff4"/>
          <w:vanish/>
          <w:rtl/>
        </w:rPr>
        <w:instrText xml:space="preserve"> </w:instrText>
      </w:r>
      <w:r w:rsidRPr="00EA48D3">
        <w:rPr>
          <w:rStyle w:val="aff4"/>
          <w:rFonts w:hint="cs"/>
          <w:vanish/>
        </w:rPr>
        <w:instrText>REF</w:instrText>
      </w:r>
      <w:r w:rsidRPr="00EA48D3">
        <w:rPr>
          <w:rStyle w:val="aff4"/>
          <w:rFonts w:hint="cs"/>
          <w:vanish/>
          <w:rtl/>
        </w:rPr>
        <w:instrText xml:space="preserve"> _</w:instrText>
      </w:r>
      <w:r w:rsidRPr="00EA48D3">
        <w:rPr>
          <w:rStyle w:val="aff4"/>
          <w:rFonts w:hint="cs"/>
          <w:vanish/>
        </w:rPr>
        <w:instrText>Ref133575302 \r \h</w:instrText>
      </w:r>
      <w:r w:rsidRPr="00EA48D3">
        <w:rPr>
          <w:rStyle w:val="aff4"/>
          <w:vanish/>
          <w:rtl/>
        </w:rPr>
        <w:instrText xml:space="preserve"> </w:instrText>
      </w:r>
      <w:r w:rsidRPr="00EA48D3">
        <w:rPr>
          <w:rStyle w:val="aff4"/>
          <w:vanish/>
          <w:rtl/>
        </w:rPr>
      </w:r>
      <w:r w:rsidRPr="00EA48D3">
        <w:rPr>
          <w:rStyle w:val="aff4"/>
          <w:vanish/>
          <w:rtl/>
        </w:rPr>
        <w:fldChar w:fldCharType="separate"/>
      </w:r>
      <w:r w:rsidR="00D82181">
        <w:rPr>
          <w:rStyle w:val="aff4"/>
          <w:vanish/>
          <w:cs/>
        </w:rPr>
        <w:t>‎</w:t>
      </w:r>
      <w:r w:rsidR="00D82181">
        <w:rPr>
          <w:rStyle w:val="aff4"/>
          <w:vanish/>
          <w:rtl/>
        </w:rPr>
        <w:t>צג)</w:t>
      </w:r>
      <w:r w:rsidRPr="00EA48D3">
        <w:rPr>
          <w:rStyle w:val="aff4"/>
          <w:vanish/>
          <w:rtl/>
        </w:rPr>
        <w:fldChar w:fldCharType="end"/>
      </w:r>
      <w:r w:rsidRPr="00EA48D3">
        <w:rPr>
          <w:rStyle w:val="aff4"/>
          <w:rFonts w:hint="cs"/>
          <w:vanish/>
          <w:rtl/>
        </w:rPr>
        <w:t xml:space="preserve"> &gt;</w:t>
      </w:r>
      <w:r w:rsidRPr="00EA48D3">
        <w:rPr>
          <w:rStyle w:val="aff4"/>
          <w:rFonts w:hint="cs"/>
          <w:rtl/>
        </w:rPr>
        <w:t>מג"א</w:t>
      </w:r>
      <w:r w:rsidRPr="00EA48D3">
        <w:rPr>
          <w:rStyle w:val="aff4"/>
          <w:rFonts w:hint="cs"/>
          <w:vanish/>
          <w:rtl/>
        </w:rPr>
        <w:t>-</w:t>
      </w:r>
      <w:r w:rsidRPr="00EA48D3">
        <w:rPr>
          <w:rFonts w:hint="cs"/>
          <w:rtl/>
        </w:rPr>
        <w:t xml:space="preserve"> </w:t>
      </w:r>
      <w:r w:rsidRPr="00EA48D3">
        <w:rPr>
          <w:rStyle w:val="af2"/>
          <w:rFonts w:eastAsia="Guttman Hodes" w:hint="cs"/>
          <w:rtl/>
        </w:rPr>
        <w:t>(סי' של"ו סקי"ב)</w:t>
      </w:r>
      <w:r w:rsidRPr="00EA48D3">
        <w:rPr>
          <w:vanish/>
          <w:rtl/>
        </w:rPr>
        <w:t>=</w:t>
      </w:r>
      <w:r w:rsidRPr="00EA48D3">
        <w:rPr>
          <w:rFonts w:hint="cs"/>
          <w:rtl/>
        </w:rPr>
        <w:t xml:space="preserve"> דהא איתא בגמ' בזבחים </w:t>
      </w:r>
      <w:r w:rsidRPr="00EA48D3">
        <w:rPr>
          <w:rStyle w:val="af2"/>
          <w:rFonts w:eastAsia="Guttman Hodes"/>
          <w:rtl/>
        </w:rPr>
        <w:t>(צד:)</w:t>
      </w:r>
      <w:r w:rsidRPr="00EA48D3">
        <w:rPr>
          <w:rtl/>
        </w:rPr>
        <w:t xml:space="preserve"> דהזורק זרע פשתן למים חייב, ומקשה הגמ' דאי החיוב הוא מחמת דהזרע צומח, א"כ אמאי רק זרע פשתן הא אף חיטין ושעורין ג"כ </w:t>
      </w:r>
      <w:r w:rsidRPr="00EA48D3">
        <w:rPr>
          <w:rFonts w:hint="cs"/>
          <w:rtl/>
        </w:rPr>
        <w:t>צריך להת</w:t>
      </w:r>
      <w:r w:rsidRPr="00EA48D3">
        <w:rPr>
          <w:rtl/>
        </w:rPr>
        <w:t>חייב, ותירצה הגמ' דחייב משום לישה,</w:t>
      </w:r>
      <w:r w:rsidRPr="00EA48D3">
        <w:rPr>
          <w:rFonts w:hint="cs"/>
          <w:rtl/>
        </w:rPr>
        <w:t xml:space="preserve"> וביאר </w:t>
      </w:r>
      <w:r w:rsidRPr="00EA48D3">
        <w:rPr>
          <w:rStyle w:val="aff4"/>
          <w:rFonts w:hint="cs"/>
          <w:vanish/>
          <w:rtl/>
        </w:rPr>
        <w:t>-</w:t>
      </w:r>
      <w:r w:rsidRPr="00EA48D3">
        <w:rPr>
          <w:rStyle w:val="aff4"/>
          <w:rFonts w:hint="cs"/>
          <w:rtl/>
        </w:rPr>
        <w:t>המגן אברהם</w:t>
      </w:r>
      <w:r w:rsidRPr="00EA48D3">
        <w:rPr>
          <w:rStyle w:val="aff4"/>
          <w:rFonts w:hint="cs"/>
          <w:vanish/>
          <w:rtl/>
        </w:rPr>
        <w:t>-</w:t>
      </w:r>
      <w:r w:rsidRPr="00EA48D3">
        <w:rPr>
          <w:rFonts w:hint="cs"/>
          <w:rtl/>
        </w:rPr>
        <w:t xml:space="preserve"> דהחיוב לישה הוא כיון דהזרעים נדבקים זה בזה, ומשמע דהחיוב הוא רק בפשתן מדין לישה, אבל בחיטין ושעורים פטור, דאינו חייב מדין זורע, ועוד הקשה </w:t>
      </w:r>
      <w:r w:rsidRPr="00EA48D3">
        <w:rPr>
          <w:rStyle w:val="aff4"/>
          <w:rFonts w:hint="cs"/>
          <w:vanish/>
          <w:rtl/>
        </w:rPr>
        <w:t>-</w:t>
      </w:r>
      <w:r w:rsidRPr="00EA48D3">
        <w:rPr>
          <w:rStyle w:val="aff4"/>
          <w:rFonts w:hint="cs"/>
          <w:rtl/>
        </w:rPr>
        <w:t>המג"א</w:t>
      </w:r>
      <w:r w:rsidRPr="00EA48D3">
        <w:rPr>
          <w:rStyle w:val="aff4"/>
          <w:rFonts w:hint="cs"/>
          <w:vanish/>
          <w:rtl/>
        </w:rPr>
        <w:t>-</w:t>
      </w:r>
      <w:r w:rsidRPr="00EA48D3">
        <w:rPr>
          <w:rFonts w:hint="cs"/>
          <w:rtl/>
        </w:rPr>
        <w:t xml:space="preserve"> דאי שורה במים חייב משום זורע, אמאי נקטה הגמ' דבפשתן חייב משום לש. </w:t>
      </w:r>
      <w:r w:rsidRPr="00EA48D3">
        <w:rPr>
          <w:rStyle w:val="af"/>
          <w:rFonts w:hint="cs"/>
          <w:rtl/>
        </w:rPr>
        <w:t xml:space="preserve">[ועי' במה שביאר </w:t>
      </w:r>
      <w:r w:rsidRPr="00EA48D3">
        <w:rPr>
          <w:rStyle w:val="aff9"/>
          <w:rFonts w:hint="cs"/>
          <w:vanish/>
          <w:rtl/>
        </w:rPr>
        <w:t>-</w:t>
      </w:r>
      <w:r w:rsidRPr="00EA48D3">
        <w:rPr>
          <w:rStyle w:val="aff9"/>
          <w:rFonts w:hint="cs"/>
          <w:rtl/>
        </w:rPr>
        <w:t>הרמב"ם בתשו'</w:t>
      </w:r>
      <w:r w:rsidRPr="00EA48D3">
        <w:rPr>
          <w:rStyle w:val="aff9"/>
          <w:rFonts w:hint="cs"/>
          <w:vanish/>
          <w:rtl/>
        </w:rPr>
        <w:t>-</w:t>
      </w:r>
      <w:r w:rsidRPr="00EA48D3">
        <w:rPr>
          <w:rStyle w:val="af"/>
          <w:rFonts w:hint="cs"/>
          <w:rtl/>
        </w:rPr>
        <w:t xml:space="preserve"> </w:t>
      </w:r>
      <w:r w:rsidRPr="00EA48D3">
        <w:rPr>
          <w:rStyle w:val="aff5"/>
          <w:rFonts w:hint="cs"/>
          <w:rtl/>
        </w:rPr>
        <w:t xml:space="preserve">(עי' אות </w:t>
      </w:r>
      <w:r w:rsidRPr="00EA48D3">
        <w:rPr>
          <w:rStyle w:val="aff5"/>
          <w:rtl/>
        </w:rPr>
        <w:fldChar w:fldCharType="begin"/>
      </w:r>
      <w:r w:rsidRPr="00EA48D3">
        <w:rPr>
          <w:rStyle w:val="aff5"/>
          <w:rtl/>
        </w:rPr>
        <w:instrText xml:space="preserve"> </w:instrText>
      </w:r>
      <w:r w:rsidRPr="00EA48D3">
        <w:rPr>
          <w:rStyle w:val="aff5"/>
          <w:rFonts w:hint="cs"/>
        </w:rPr>
        <w:instrText>REF</w:instrText>
      </w:r>
      <w:r w:rsidRPr="00EA48D3">
        <w:rPr>
          <w:rStyle w:val="aff5"/>
          <w:rFonts w:hint="cs"/>
          <w:rtl/>
        </w:rPr>
        <w:instrText xml:space="preserve"> _</w:instrText>
      </w:r>
      <w:r w:rsidRPr="00EA48D3">
        <w:rPr>
          <w:rStyle w:val="aff5"/>
          <w:rFonts w:hint="cs"/>
        </w:rPr>
        <w:instrText>Ref133537562 \r \h</w:instrText>
      </w:r>
      <w:r w:rsidRPr="00EA48D3">
        <w:rPr>
          <w:rStyle w:val="aff5"/>
          <w:rtl/>
        </w:rPr>
        <w:instrText xml:space="preserve">  \* </w:instrText>
      </w:r>
      <w:r w:rsidRPr="00EA48D3">
        <w:rPr>
          <w:rStyle w:val="aff5"/>
        </w:rPr>
        <w:instrText>MERGEFORMAT</w:instrText>
      </w:r>
      <w:r w:rsidRPr="00EA48D3">
        <w:rPr>
          <w:rStyle w:val="aff5"/>
          <w:rtl/>
        </w:rPr>
        <w:instrText xml:space="preserve"> </w:instrText>
      </w:r>
      <w:r w:rsidRPr="00EA48D3">
        <w:rPr>
          <w:rStyle w:val="aff5"/>
          <w:rtl/>
        </w:rPr>
      </w:r>
      <w:r w:rsidRPr="00EA48D3">
        <w:rPr>
          <w:rStyle w:val="aff5"/>
          <w:rtl/>
        </w:rPr>
        <w:fldChar w:fldCharType="separate"/>
      </w:r>
      <w:r w:rsidR="00D82181">
        <w:rPr>
          <w:rStyle w:val="aff5"/>
          <w:cs/>
        </w:rPr>
        <w:t>‎</w:t>
      </w:r>
      <w:r w:rsidR="00D82181">
        <w:rPr>
          <w:rStyle w:val="aff5"/>
          <w:rtl/>
        </w:rPr>
        <w:t>פב)</w:t>
      </w:r>
      <w:r w:rsidRPr="00EA48D3">
        <w:rPr>
          <w:rStyle w:val="aff5"/>
          <w:rtl/>
        </w:rPr>
        <w:fldChar w:fldCharType="end"/>
      </w:r>
      <w:r w:rsidRPr="00EA48D3">
        <w:rPr>
          <w:rFonts w:hint="cs"/>
          <w:rtl/>
        </w:rPr>
        <w:t xml:space="preserve"> </w:t>
      </w:r>
      <w:r w:rsidRPr="00EA48D3">
        <w:rPr>
          <w:rStyle w:val="af"/>
          <w:rFonts w:hint="cs"/>
          <w:rtl/>
        </w:rPr>
        <w:t>בגמ' בזבחים].</w:t>
      </w:r>
      <w:bookmarkEnd w:id="418"/>
    </w:p>
    <w:p w14:paraId="397A3490" w14:textId="77777777" w:rsidR="009623A2" w:rsidRPr="00747170" w:rsidRDefault="009623A2" w:rsidP="00747170">
      <w:pPr>
        <w:pStyle w:val="a2"/>
        <w:rPr>
          <w:rtl/>
        </w:rPr>
      </w:pPr>
      <w:r w:rsidRPr="00747170">
        <w:rPr>
          <w:rtl/>
        </w:rPr>
        <w:t>וחייב בכל שהוא. וצ"ע דבזבחים ד' צ"ד אמרי' הזורק זרע פשתן במים מ"ט חייב אילימא משום דמצמח ממים וה"ל זורע אי הכי חיטים ושעורים נמי התם קעביד לישה פי' שנדבקין זה בזה וכו' ע"ש דמשמע דאין חייב אלא בפשתן משום לש אבל בחיטי ושערי פטור כמ"ש סי' ש"מ סי"ב וע"ק למה בפשתן טעמא משום לש הל"ל משום זורע</w:t>
      </w:r>
      <w:r w:rsidRPr="00747170">
        <w:rPr>
          <w:rFonts w:hint="cs"/>
          <w:rtl/>
        </w:rPr>
        <w:t>.</w:t>
      </w:r>
    </w:p>
    <w:p w14:paraId="203F3827" w14:textId="050317E8" w:rsidR="009623A2" w:rsidRPr="00EA48D3" w:rsidRDefault="009623A2" w:rsidP="009623A2">
      <w:pPr>
        <w:pStyle w:val="a7"/>
      </w:pPr>
      <w:bookmarkStart w:id="419" w:name="_Toc134419685"/>
      <w:r w:rsidRPr="00EA48D3">
        <w:rPr>
          <w:rFonts w:hint="cs"/>
          <w:rtl/>
        </w:rPr>
        <w:t>תי' המג"א דבפשתן חייב בלש מיד ובחיטין חייב בזורע לזמן מרובה לזמן מועט פשיטא דמותר</w:t>
      </w:r>
      <w:bookmarkEnd w:id="419"/>
    </w:p>
    <w:p w14:paraId="345A00B8" w14:textId="63609035" w:rsidR="009623A2" w:rsidRPr="00EA48D3" w:rsidRDefault="009623A2" w:rsidP="00BC7DC8">
      <w:pPr>
        <w:pStyle w:val="a3"/>
        <w:rPr>
          <w:rtl/>
        </w:rPr>
      </w:pPr>
      <w:bookmarkStart w:id="420" w:name="_Ref133749987"/>
      <w:r w:rsidRPr="00EA48D3">
        <w:rPr>
          <w:rFonts w:hint="cs"/>
          <w:rtl/>
        </w:rPr>
        <w:t xml:space="preserve">ותירץ </w:t>
      </w:r>
      <w:r w:rsidRPr="00EA48D3">
        <w:rPr>
          <w:rStyle w:val="aff4"/>
          <w:rFonts w:hint="cs"/>
          <w:vanish/>
          <w:rtl/>
        </w:rPr>
        <w:t>-</w:t>
      </w:r>
      <w:r w:rsidRPr="00EA48D3">
        <w:rPr>
          <w:rStyle w:val="aff4"/>
          <w:rFonts w:hint="cs"/>
          <w:rtl/>
        </w:rPr>
        <w:t>המג"א</w:t>
      </w:r>
      <w:r w:rsidRPr="00EA48D3">
        <w:rPr>
          <w:rStyle w:val="aff4"/>
          <w:rFonts w:hint="cs"/>
          <w:vanish/>
          <w:rtl/>
        </w:rPr>
        <w:t>-</w:t>
      </w:r>
      <w:r w:rsidRPr="00EA48D3">
        <w:rPr>
          <w:rFonts w:hint="cs"/>
          <w:rtl/>
        </w:rPr>
        <w:t xml:space="preserve"> דס"ל </w:t>
      </w:r>
      <w:r w:rsidRPr="00EA48D3">
        <w:rPr>
          <w:rStyle w:val="aff4"/>
          <w:rFonts w:hint="cs"/>
          <w:vanish/>
          <w:rtl/>
        </w:rPr>
        <w:t>-</w:t>
      </w:r>
      <w:r w:rsidRPr="00EA48D3">
        <w:rPr>
          <w:rStyle w:val="aff4"/>
          <w:rFonts w:hint="cs"/>
          <w:rtl/>
        </w:rPr>
        <w:t>להרמב"ם</w:t>
      </w:r>
      <w:r w:rsidRPr="00EA48D3">
        <w:rPr>
          <w:rStyle w:val="aff4"/>
          <w:rFonts w:hint="cs"/>
          <w:vanish/>
          <w:rtl/>
        </w:rPr>
        <w:t>-</w:t>
      </w:r>
      <w:r w:rsidRPr="00EA48D3">
        <w:rPr>
          <w:rFonts w:hint="cs"/>
          <w:rtl/>
        </w:rPr>
        <w:t xml:space="preserve"> דהחיוב בפשתן הוא מיד כשזורק את הזרעים למים מדין לש, אבל בחיטין ושעורין חייב מדין זורע רק בשורה זמן מרובה כמו חצי יום, ולכן נקט </w:t>
      </w:r>
      <w:r w:rsidRPr="00EA48D3">
        <w:rPr>
          <w:rStyle w:val="aff4"/>
          <w:rFonts w:hint="cs"/>
          <w:vanish/>
          <w:rtl/>
        </w:rPr>
        <w:t>-</w:t>
      </w:r>
      <w:r w:rsidRPr="00EA48D3">
        <w:rPr>
          <w:rStyle w:val="aff4"/>
          <w:rFonts w:hint="cs"/>
          <w:rtl/>
        </w:rPr>
        <w:t>הרמב"ם</w:t>
      </w:r>
      <w:r w:rsidRPr="00EA48D3">
        <w:rPr>
          <w:rStyle w:val="aff4"/>
          <w:rFonts w:hint="cs"/>
          <w:vanish/>
          <w:rtl/>
        </w:rPr>
        <w:t>-</w:t>
      </w:r>
      <w:r w:rsidRPr="00EA48D3">
        <w:rPr>
          <w:rFonts w:hint="cs"/>
          <w:rtl/>
        </w:rPr>
        <w:t xml:space="preserve"> לשון "שורה", </w:t>
      </w:r>
      <w:r w:rsidRPr="00EA48D3">
        <w:rPr>
          <w:rStyle w:val="af"/>
          <w:rFonts w:hint="cs"/>
          <w:rtl/>
        </w:rPr>
        <w:t xml:space="preserve">[וכן מבואר בדברי </w:t>
      </w:r>
      <w:r w:rsidRPr="00EA48D3">
        <w:rPr>
          <w:rStyle w:val="aff9"/>
          <w:rFonts w:hint="cs"/>
          <w:vanish/>
          <w:rtl/>
        </w:rPr>
        <w:t>-</w:t>
      </w:r>
      <w:r w:rsidRPr="00EA48D3">
        <w:rPr>
          <w:rStyle w:val="aff9"/>
          <w:rFonts w:hint="cs"/>
          <w:rtl/>
        </w:rPr>
        <w:t>הרמב"ם בתשו'</w:t>
      </w:r>
      <w:r w:rsidRPr="00EA48D3">
        <w:rPr>
          <w:rStyle w:val="aff9"/>
          <w:rFonts w:hint="cs"/>
          <w:vanish/>
          <w:rtl/>
        </w:rPr>
        <w:t>-</w:t>
      </w:r>
      <w:r w:rsidRPr="00EA48D3">
        <w:rPr>
          <w:rStyle w:val="af"/>
          <w:rFonts w:hint="cs"/>
          <w:rtl/>
        </w:rPr>
        <w:t xml:space="preserve"> </w:t>
      </w:r>
      <w:r w:rsidRPr="00EA48D3">
        <w:rPr>
          <w:rStyle w:val="aff5"/>
          <w:rFonts w:hint="cs"/>
          <w:rtl/>
        </w:rPr>
        <w:t xml:space="preserve">(עי' אות </w:t>
      </w:r>
      <w:r w:rsidRPr="00EA48D3">
        <w:rPr>
          <w:rStyle w:val="aff5"/>
          <w:rtl/>
        </w:rPr>
        <w:fldChar w:fldCharType="begin"/>
      </w:r>
      <w:r w:rsidRPr="00EA48D3">
        <w:rPr>
          <w:rStyle w:val="aff5"/>
          <w:rtl/>
        </w:rPr>
        <w:instrText xml:space="preserve"> </w:instrText>
      </w:r>
      <w:r w:rsidRPr="00EA48D3">
        <w:rPr>
          <w:rStyle w:val="aff5"/>
          <w:rFonts w:hint="cs"/>
        </w:rPr>
        <w:instrText>REF</w:instrText>
      </w:r>
      <w:r w:rsidRPr="00EA48D3">
        <w:rPr>
          <w:rStyle w:val="aff5"/>
          <w:rFonts w:hint="cs"/>
          <w:rtl/>
        </w:rPr>
        <w:instrText xml:space="preserve"> _</w:instrText>
      </w:r>
      <w:r w:rsidRPr="00EA48D3">
        <w:rPr>
          <w:rStyle w:val="aff5"/>
          <w:rFonts w:hint="cs"/>
        </w:rPr>
        <w:instrText>Ref133537551 \r \h</w:instrText>
      </w:r>
      <w:r w:rsidRPr="00EA48D3">
        <w:rPr>
          <w:rStyle w:val="aff5"/>
          <w:rtl/>
        </w:rPr>
        <w:instrText xml:space="preserve"> </w:instrText>
      </w:r>
      <w:r w:rsidRPr="00EA48D3">
        <w:rPr>
          <w:rStyle w:val="aff5"/>
          <w:rtl/>
        </w:rPr>
      </w:r>
      <w:r w:rsidRPr="00EA48D3">
        <w:rPr>
          <w:rStyle w:val="aff5"/>
          <w:rtl/>
        </w:rPr>
        <w:fldChar w:fldCharType="separate"/>
      </w:r>
      <w:r w:rsidR="00D82181">
        <w:rPr>
          <w:rStyle w:val="aff5"/>
          <w:cs/>
        </w:rPr>
        <w:t>‎</w:t>
      </w:r>
      <w:r w:rsidR="00D82181">
        <w:rPr>
          <w:rStyle w:val="aff5"/>
          <w:rtl/>
        </w:rPr>
        <w:t>פג)</w:t>
      </w:r>
      <w:r w:rsidRPr="00EA48D3">
        <w:rPr>
          <w:rStyle w:val="aff5"/>
          <w:rtl/>
        </w:rPr>
        <w:fldChar w:fldCharType="end"/>
      </w:r>
      <w:r w:rsidRPr="00EA48D3">
        <w:rPr>
          <w:rStyle w:val="af"/>
          <w:rFonts w:hint="cs"/>
          <w:rtl/>
        </w:rPr>
        <w:t xml:space="preserve">, וכ"כ </w:t>
      </w:r>
      <w:r w:rsidRPr="00EA48D3">
        <w:rPr>
          <w:rStyle w:val="aff9"/>
          <w:rFonts w:hint="cs"/>
          <w:vanish/>
          <w:rtl/>
        </w:rPr>
        <w:t>-</w:t>
      </w:r>
      <w:r w:rsidRPr="00EA48D3">
        <w:rPr>
          <w:rStyle w:val="aff9"/>
          <w:rFonts w:hint="cs"/>
          <w:rtl/>
        </w:rPr>
        <w:t>הרדב"ז</w:t>
      </w:r>
      <w:r w:rsidRPr="00EA48D3">
        <w:rPr>
          <w:rStyle w:val="aff9"/>
          <w:rFonts w:hint="cs"/>
          <w:vanish/>
          <w:rtl/>
        </w:rPr>
        <w:t>-</w:t>
      </w:r>
      <w:r w:rsidRPr="00EA48D3">
        <w:rPr>
          <w:rStyle w:val="af"/>
          <w:rFonts w:hint="cs"/>
          <w:rtl/>
        </w:rPr>
        <w:t xml:space="preserve"> </w:t>
      </w:r>
      <w:r w:rsidRPr="00EA48D3">
        <w:rPr>
          <w:rStyle w:val="aff5"/>
          <w:rFonts w:hint="cs"/>
          <w:rtl/>
        </w:rPr>
        <w:t xml:space="preserve">(עי' אות </w:t>
      </w:r>
      <w:r w:rsidRPr="00EA48D3">
        <w:rPr>
          <w:rStyle w:val="aff5"/>
          <w:rtl/>
        </w:rPr>
        <w:fldChar w:fldCharType="begin"/>
      </w:r>
      <w:r w:rsidRPr="00EA48D3">
        <w:rPr>
          <w:rStyle w:val="aff5"/>
          <w:rtl/>
        </w:rPr>
        <w:instrText xml:space="preserve"> </w:instrText>
      </w:r>
      <w:r w:rsidRPr="00EA48D3">
        <w:rPr>
          <w:rStyle w:val="aff5"/>
          <w:rFonts w:hint="cs"/>
        </w:rPr>
        <w:instrText>REF</w:instrText>
      </w:r>
      <w:r w:rsidRPr="00EA48D3">
        <w:rPr>
          <w:rStyle w:val="aff5"/>
          <w:rFonts w:hint="cs"/>
          <w:rtl/>
        </w:rPr>
        <w:instrText xml:space="preserve"> _</w:instrText>
      </w:r>
      <w:r w:rsidRPr="00EA48D3">
        <w:rPr>
          <w:rStyle w:val="aff5"/>
          <w:rFonts w:hint="cs"/>
        </w:rPr>
        <w:instrText>Ref133537719 \r \h</w:instrText>
      </w:r>
      <w:r w:rsidRPr="00EA48D3">
        <w:rPr>
          <w:rStyle w:val="aff5"/>
          <w:rtl/>
        </w:rPr>
        <w:instrText xml:space="preserve"> </w:instrText>
      </w:r>
      <w:r w:rsidRPr="00EA48D3">
        <w:rPr>
          <w:rStyle w:val="aff5"/>
          <w:rtl/>
        </w:rPr>
      </w:r>
      <w:r w:rsidRPr="00EA48D3">
        <w:rPr>
          <w:rStyle w:val="aff5"/>
          <w:rtl/>
        </w:rPr>
        <w:fldChar w:fldCharType="separate"/>
      </w:r>
      <w:r w:rsidR="00D82181">
        <w:rPr>
          <w:rStyle w:val="aff5"/>
          <w:cs/>
        </w:rPr>
        <w:t>‎</w:t>
      </w:r>
      <w:r w:rsidR="00D82181">
        <w:rPr>
          <w:rStyle w:val="aff5"/>
          <w:rtl/>
        </w:rPr>
        <w:t>צ)</w:t>
      </w:r>
      <w:r w:rsidRPr="00EA48D3">
        <w:rPr>
          <w:rStyle w:val="aff5"/>
          <w:rtl/>
        </w:rPr>
        <w:fldChar w:fldCharType="end"/>
      </w:r>
      <w:r w:rsidRPr="00EA48D3">
        <w:rPr>
          <w:rStyle w:val="af"/>
          <w:rFonts w:hint="cs"/>
          <w:rtl/>
        </w:rPr>
        <w:t>],</w:t>
      </w:r>
      <w:r w:rsidRPr="00EA48D3">
        <w:rPr>
          <w:rFonts w:hint="cs"/>
          <w:rtl/>
        </w:rPr>
        <w:t xml:space="preserve"> וכתב </w:t>
      </w:r>
      <w:r w:rsidRPr="00EA48D3">
        <w:rPr>
          <w:rStyle w:val="aff4"/>
          <w:rFonts w:hint="cs"/>
          <w:vanish/>
          <w:rtl/>
        </w:rPr>
        <w:t>-</w:t>
      </w:r>
      <w:r w:rsidRPr="00EA48D3">
        <w:rPr>
          <w:rStyle w:val="aff4"/>
          <w:rFonts w:hint="cs"/>
          <w:rtl/>
        </w:rPr>
        <w:t>המג"א</w:t>
      </w:r>
      <w:r w:rsidRPr="00EA48D3">
        <w:rPr>
          <w:rStyle w:val="aff4"/>
          <w:rFonts w:hint="cs"/>
          <w:vanish/>
          <w:rtl/>
        </w:rPr>
        <w:t>-</w:t>
      </w:r>
      <w:r w:rsidRPr="00EA48D3">
        <w:rPr>
          <w:rFonts w:hint="cs"/>
          <w:rtl/>
        </w:rPr>
        <w:t xml:space="preserve"> דהוא מעשים שבכל יום שנותנים חיטים במים ומאכילין את הבהמות, דהאיסור הוא רק לשרות לזמן מרובה, אך הקשה </w:t>
      </w:r>
      <w:r w:rsidRPr="00EA48D3">
        <w:rPr>
          <w:rStyle w:val="aff4"/>
          <w:rFonts w:hint="cs"/>
          <w:vanish/>
          <w:rtl/>
        </w:rPr>
        <w:t>-</w:t>
      </w:r>
      <w:r w:rsidRPr="00EA48D3">
        <w:rPr>
          <w:rStyle w:val="aff4"/>
          <w:rFonts w:hint="cs"/>
          <w:rtl/>
        </w:rPr>
        <w:t>המג"א</w:t>
      </w:r>
      <w:r w:rsidRPr="00EA48D3">
        <w:rPr>
          <w:rStyle w:val="aff4"/>
          <w:rFonts w:hint="cs"/>
          <w:vanish/>
          <w:rtl/>
        </w:rPr>
        <w:t>-</w:t>
      </w:r>
      <w:r w:rsidRPr="00EA48D3">
        <w:rPr>
          <w:rFonts w:hint="cs"/>
          <w:rtl/>
        </w:rPr>
        <w:t xml:space="preserve"> דמהיכן הוציא </w:t>
      </w:r>
      <w:r w:rsidRPr="00EA48D3">
        <w:rPr>
          <w:rStyle w:val="aff4"/>
          <w:rFonts w:hint="cs"/>
          <w:vanish/>
          <w:rtl/>
        </w:rPr>
        <w:t>-</w:t>
      </w:r>
      <w:r w:rsidRPr="00EA48D3">
        <w:rPr>
          <w:rStyle w:val="aff4"/>
          <w:rFonts w:hint="cs"/>
          <w:rtl/>
        </w:rPr>
        <w:t>הרמב"ם</w:t>
      </w:r>
      <w:r w:rsidRPr="00EA48D3">
        <w:rPr>
          <w:rStyle w:val="aff4"/>
          <w:rFonts w:hint="cs"/>
          <w:vanish/>
          <w:rtl/>
        </w:rPr>
        <w:t>-</w:t>
      </w:r>
      <w:r w:rsidRPr="00EA48D3">
        <w:rPr>
          <w:rFonts w:hint="cs"/>
          <w:rtl/>
        </w:rPr>
        <w:t xml:space="preserve"> דין זה.</w:t>
      </w:r>
      <w:bookmarkEnd w:id="420"/>
      <w:r w:rsidRPr="00EA48D3">
        <w:rPr>
          <w:rFonts w:hint="cs"/>
          <w:rtl/>
        </w:rPr>
        <w:t xml:space="preserve"> </w:t>
      </w:r>
    </w:p>
    <w:p w14:paraId="7BDA506E" w14:textId="77777777" w:rsidR="009623A2" w:rsidRPr="00747170" w:rsidRDefault="009623A2" w:rsidP="00747170">
      <w:pPr>
        <w:pStyle w:val="a2"/>
      </w:pPr>
      <w:r w:rsidRPr="00747170">
        <w:rPr>
          <w:rtl/>
        </w:rPr>
        <w:t>וי"ל דבפשתן חייב תכף כשנותנו במים משום לש אבל בחיטים ושעורים אינו חייב אלא בשורה זמן ארוך כמו חצי יום ולהכי נקט השורה וכן מעשים בכל יום שנותנים חטים למים ומאכילן לבהמות ומכל מקום צ"ע מנ"ל להרמב"ם הא:</w:t>
      </w:r>
    </w:p>
    <w:p w14:paraId="014C9802" w14:textId="48199C02" w:rsidR="009623A2" w:rsidRPr="00EA48D3" w:rsidRDefault="009623A2" w:rsidP="009623A2">
      <w:pPr>
        <w:pStyle w:val="afffff7"/>
        <w:rPr>
          <w:rtl/>
        </w:rPr>
      </w:pPr>
      <w:bookmarkStart w:id="421" w:name="_Toc133841688"/>
      <w:bookmarkStart w:id="422" w:name="_Toc163505436"/>
      <w:r w:rsidRPr="00EA48D3">
        <w:rPr>
          <w:rtl/>
        </w:rPr>
        <w:t>בית מאיר אורח חיים סימן שלו סעיף י"</w:t>
      </w:r>
      <w:r w:rsidRPr="00EA48D3">
        <w:rPr>
          <w:rFonts w:hint="cs"/>
          <w:rtl/>
        </w:rPr>
        <w:t>א</w:t>
      </w:r>
      <w:bookmarkEnd w:id="421"/>
      <w:bookmarkEnd w:id="422"/>
    </w:p>
    <w:p w14:paraId="72702491" w14:textId="77777777" w:rsidR="009623A2" w:rsidRPr="00EA48D3" w:rsidRDefault="009623A2" w:rsidP="009623A2">
      <w:pPr>
        <w:pStyle w:val="a7"/>
        <w:rPr>
          <w:rtl/>
        </w:rPr>
      </w:pPr>
      <w:bookmarkStart w:id="423" w:name="_Toc134419686"/>
      <w:r w:rsidRPr="00EA48D3">
        <w:rPr>
          <w:rFonts w:hint="cs"/>
          <w:rtl/>
        </w:rPr>
        <w:t>בי' הב"מ במג"א דדייק מלשון "נותן פשתן" "שורה חיטין" ברמב"ם דחיוב חטין רק לזמן מרובה</w:t>
      </w:r>
      <w:bookmarkEnd w:id="423"/>
    </w:p>
    <w:p w14:paraId="5337D672" w14:textId="67AFC80D" w:rsidR="009623A2" w:rsidRPr="00EA48D3" w:rsidRDefault="009623A2" w:rsidP="00BC7DC8">
      <w:pPr>
        <w:pStyle w:val="a3"/>
      </w:pPr>
      <w:bookmarkStart w:id="424" w:name="_Ref133575330"/>
      <w:r w:rsidRPr="00EA48D3">
        <w:rPr>
          <w:rFonts w:hint="cs"/>
          <w:rtl/>
        </w:rPr>
        <w:t xml:space="preserve">וביאר </w:t>
      </w:r>
      <w:r w:rsidRPr="00EA48D3">
        <w:rPr>
          <w:rStyle w:val="aff4"/>
          <w:rFonts w:hint="cs"/>
          <w:vanish/>
          <w:rtl/>
        </w:rPr>
        <w:t>-</w:t>
      </w:r>
      <w:r w:rsidRPr="00EA48D3">
        <w:rPr>
          <w:rStyle w:val="aff4"/>
          <w:rFonts w:hint="cs"/>
          <w:rtl/>
        </w:rPr>
        <w:t>ה</w:t>
      </w:r>
      <w:r w:rsidRPr="00EA48D3">
        <w:rPr>
          <w:rStyle w:val="aff4"/>
          <w:rFonts w:hint="cs"/>
          <w:vanish/>
          <w:rtl/>
        </w:rPr>
        <w:t xml:space="preserve">&lt;. </w:t>
      </w:r>
      <w:r w:rsidRPr="00EA48D3">
        <w:rPr>
          <w:rStyle w:val="aff4"/>
          <w:vanish/>
          <w:rtl/>
        </w:rPr>
        <w:fldChar w:fldCharType="begin"/>
      </w:r>
      <w:r w:rsidRPr="00EA48D3">
        <w:rPr>
          <w:rStyle w:val="aff4"/>
          <w:vanish/>
          <w:rtl/>
        </w:rPr>
        <w:instrText xml:space="preserve"> </w:instrText>
      </w:r>
      <w:r w:rsidRPr="00EA48D3">
        <w:rPr>
          <w:rStyle w:val="aff4"/>
          <w:rFonts w:hint="cs"/>
          <w:vanish/>
        </w:rPr>
        <w:instrText>REF</w:instrText>
      </w:r>
      <w:r w:rsidRPr="00EA48D3">
        <w:rPr>
          <w:rStyle w:val="aff4"/>
          <w:rFonts w:hint="cs"/>
          <w:vanish/>
          <w:rtl/>
        </w:rPr>
        <w:instrText xml:space="preserve"> _</w:instrText>
      </w:r>
      <w:r w:rsidRPr="00EA48D3">
        <w:rPr>
          <w:rStyle w:val="aff4"/>
          <w:rFonts w:hint="cs"/>
          <w:vanish/>
        </w:rPr>
        <w:instrText>Ref133575330 \r \h</w:instrText>
      </w:r>
      <w:r w:rsidRPr="00EA48D3">
        <w:rPr>
          <w:rStyle w:val="aff4"/>
          <w:vanish/>
          <w:rtl/>
        </w:rPr>
        <w:instrText xml:space="preserve"> </w:instrText>
      </w:r>
      <w:r w:rsidRPr="00EA48D3">
        <w:rPr>
          <w:rStyle w:val="aff4"/>
          <w:vanish/>
          <w:rtl/>
        </w:rPr>
      </w:r>
      <w:r w:rsidRPr="00EA48D3">
        <w:rPr>
          <w:rStyle w:val="aff4"/>
          <w:vanish/>
          <w:rtl/>
        </w:rPr>
        <w:fldChar w:fldCharType="separate"/>
      </w:r>
      <w:r w:rsidR="00D82181">
        <w:rPr>
          <w:rStyle w:val="aff4"/>
          <w:vanish/>
          <w:cs/>
        </w:rPr>
        <w:t>‎</w:t>
      </w:r>
      <w:r w:rsidR="00D82181">
        <w:rPr>
          <w:rStyle w:val="aff4"/>
          <w:vanish/>
          <w:rtl/>
        </w:rPr>
        <w:t>צה)</w:t>
      </w:r>
      <w:r w:rsidRPr="00EA48D3">
        <w:rPr>
          <w:rStyle w:val="aff4"/>
          <w:vanish/>
          <w:rtl/>
        </w:rPr>
        <w:fldChar w:fldCharType="end"/>
      </w:r>
      <w:r w:rsidRPr="00EA48D3">
        <w:rPr>
          <w:rStyle w:val="aff4"/>
          <w:rFonts w:hint="cs"/>
          <w:vanish/>
          <w:rtl/>
        </w:rPr>
        <w:t xml:space="preserve"> &gt;</w:t>
      </w:r>
      <w:r w:rsidRPr="00EA48D3">
        <w:rPr>
          <w:rStyle w:val="aff4"/>
          <w:rFonts w:hint="cs"/>
          <w:rtl/>
        </w:rPr>
        <w:t>בית מאיר</w:t>
      </w:r>
      <w:r w:rsidRPr="00EA48D3">
        <w:rPr>
          <w:rStyle w:val="aff4"/>
          <w:rFonts w:hint="cs"/>
          <w:vanish/>
          <w:rtl/>
        </w:rPr>
        <w:t>-</w:t>
      </w:r>
      <w:r w:rsidRPr="00EA48D3">
        <w:rPr>
          <w:rFonts w:hint="cs"/>
          <w:rtl/>
        </w:rPr>
        <w:t xml:space="preserve"> </w:t>
      </w:r>
      <w:r w:rsidRPr="00EA48D3">
        <w:rPr>
          <w:rStyle w:val="af2"/>
          <w:rFonts w:eastAsia="Guttman Hodes" w:hint="cs"/>
          <w:rtl/>
        </w:rPr>
        <w:t>(סי' של"ו י"א)</w:t>
      </w:r>
      <w:r w:rsidRPr="00EA48D3">
        <w:rPr>
          <w:rFonts w:hint="cs"/>
          <w:vanish/>
          <w:rtl/>
        </w:rPr>
        <w:t>=</w:t>
      </w:r>
      <w:r w:rsidRPr="00EA48D3">
        <w:rPr>
          <w:rFonts w:hint="cs"/>
          <w:rtl/>
        </w:rPr>
        <w:t xml:space="preserve"> דדייק </w:t>
      </w:r>
      <w:r w:rsidRPr="00EA48D3">
        <w:rPr>
          <w:rStyle w:val="aff4"/>
          <w:rFonts w:hint="cs"/>
          <w:vanish/>
          <w:rtl/>
        </w:rPr>
        <w:t>-</w:t>
      </w:r>
      <w:r w:rsidRPr="00EA48D3">
        <w:rPr>
          <w:rStyle w:val="aff4"/>
          <w:rFonts w:hint="cs"/>
          <w:rtl/>
        </w:rPr>
        <w:t>המג"א</w:t>
      </w:r>
      <w:r w:rsidRPr="00EA48D3">
        <w:rPr>
          <w:rStyle w:val="aff4"/>
          <w:rFonts w:hint="cs"/>
          <w:vanish/>
          <w:rtl/>
        </w:rPr>
        <w:t>-</w:t>
      </w:r>
      <w:r w:rsidRPr="00EA48D3">
        <w:rPr>
          <w:rFonts w:hint="cs"/>
          <w:rtl/>
        </w:rPr>
        <w:t xml:space="preserve"> דהחיוב זורע בשורה חיטין במים הוא רק לזמן מרובה, ממ"ש </w:t>
      </w:r>
      <w:r w:rsidRPr="00EA48D3">
        <w:rPr>
          <w:rStyle w:val="aff4"/>
          <w:rFonts w:hint="cs"/>
          <w:vanish/>
          <w:rtl/>
        </w:rPr>
        <w:t>-</w:t>
      </w:r>
      <w:r w:rsidRPr="00EA48D3">
        <w:rPr>
          <w:rStyle w:val="aff4"/>
          <w:rFonts w:hint="cs"/>
          <w:rtl/>
        </w:rPr>
        <w:t>הרמב"ם</w:t>
      </w:r>
      <w:r w:rsidRPr="00EA48D3">
        <w:rPr>
          <w:rStyle w:val="aff4"/>
          <w:rFonts w:hint="cs"/>
          <w:vanish/>
          <w:rtl/>
        </w:rPr>
        <w:t>-</w:t>
      </w:r>
      <w:r w:rsidRPr="00EA48D3">
        <w:rPr>
          <w:rFonts w:hint="cs"/>
          <w:rtl/>
        </w:rPr>
        <w:t xml:space="preserve"> </w:t>
      </w:r>
      <w:r w:rsidRPr="00EA48D3">
        <w:rPr>
          <w:rStyle w:val="af2"/>
          <w:rFonts w:eastAsia="Guttman Hodes" w:hint="cs"/>
          <w:rtl/>
        </w:rPr>
        <w:t xml:space="preserve">(עי' אות </w:t>
      </w:r>
      <w:r w:rsidRPr="00EA48D3">
        <w:rPr>
          <w:rStyle w:val="af2"/>
          <w:rFonts w:eastAsia="Guttman Hodes"/>
          <w:rtl/>
        </w:rPr>
        <w:fldChar w:fldCharType="begin"/>
      </w:r>
      <w:r w:rsidRPr="00EA48D3">
        <w:rPr>
          <w:rStyle w:val="af2"/>
          <w:rFonts w:eastAsia="Guttman Hodes"/>
          <w:rtl/>
        </w:rPr>
        <w:instrText xml:space="preserve"> </w:instrText>
      </w:r>
      <w:r w:rsidRPr="00EA48D3">
        <w:rPr>
          <w:rStyle w:val="af2"/>
          <w:rFonts w:eastAsia="Guttman Hodes" w:hint="cs"/>
        </w:rPr>
        <w:instrText>REF</w:instrText>
      </w:r>
      <w:r w:rsidRPr="00EA48D3">
        <w:rPr>
          <w:rStyle w:val="af2"/>
          <w:rFonts w:eastAsia="Guttman Hodes" w:hint="cs"/>
          <w:rtl/>
        </w:rPr>
        <w:instrText xml:space="preserve"> _</w:instrText>
      </w:r>
      <w:r w:rsidRPr="00EA48D3">
        <w:rPr>
          <w:rStyle w:val="af2"/>
          <w:rFonts w:eastAsia="Guttman Hodes" w:hint="cs"/>
        </w:rPr>
        <w:instrText>Ref133143291 \r \h</w:instrText>
      </w:r>
      <w:r w:rsidRPr="00EA48D3">
        <w:rPr>
          <w:rStyle w:val="af2"/>
          <w:rFonts w:eastAsia="Guttman Hodes"/>
          <w:rtl/>
        </w:rPr>
        <w:instrText xml:space="preserve"> </w:instrText>
      </w:r>
      <w:r w:rsidRPr="00EA48D3">
        <w:rPr>
          <w:rStyle w:val="af2"/>
          <w:rFonts w:eastAsia="Guttman Hodes"/>
          <w:rtl/>
        </w:rPr>
      </w:r>
      <w:r w:rsidRPr="00EA48D3">
        <w:rPr>
          <w:rStyle w:val="af2"/>
          <w:rFonts w:eastAsia="Guttman Hodes"/>
          <w:rtl/>
        </w:rPr>
        <w:fldChar w:fldCharType="separate"/>
      </w:r>
      <w:r w:rsidR="00D82181">
        <w:rPr>
          <w:rStyle w:val="af2"/>
          <w:rFonts w:eastAsia="Guttman Hodes"/>
          <w:cs/>
        </w:rPr>
        <w:t>‎</w:t>
      </w:r>
      <w:r w:rsidR="00D82181">
        <w:rPr>
          <w:rStyle w:val="af2"/>
          <w:rFonts w:eastAsia="Guttman Hodes"/>
          <w:rtl/>
        </w:rPr>
        <w:t>עט)</w:t>
      </w:r>
      <w:r w:rsidRPr="00EA48D3">
        <w:rPr>
          <w:rStyle w:val="af2"/>
          <w:rFonts w:eastAsia="Guttman Hodes"/>
          <w:rtl/>
        </w:rPr>
        <w:fldChar w:fldCharType="end"/>
      </w:r>
      <w:r w:rsidRPr="00EA48D3">
        <w:rPr>
          <w:rFonts w:hint="cs"/>
          <w:rtl/>
        </w:rPr>
        <w:t xml:space="preserve"> דהשורה חיטין חייב משום זורע, וממ"ש </w:t>
      </w:r>
      <w:r w:rsidRPr="00EA48D3">
        <w:rPr>
          <w:rStyle w:val="aff4"/>
          <w:rFonts w:hint="cs"/>
          <w:vanish/>
          <w:rtl/>
        </w:rPr>
        <w:t>-</w:t>
      </w:r>
      <w:r w:rsidRPr="00EA48D3">
        <w:rPr>
          <w:rStyle w:val="aff4"/>
          <w:rFonts w:hint="cs"/>
          <w:rtl/>
        </w:rPr>
        <w:t>הרמב"ם</w:t>
      </w:r>
      <w:r w:rsidRPr="00EA48D3">
        <w:rPr>
          <w:rStyle w:val="aff4"/>
          <w:rFonts w:hint="cs"/>
          <w:vanish/>
          <w:rtl/>
        </w:rPr>
        <w:t>-</w:t>
      </w:r>
      <w:r w:rsidRPr="00EA48D3">
        <w:rPr>
          <w:rFonts w:hint="cs"/>
          <w:rtl/>
        </w:rPr>
        <w:t xml:space="preserve"> </w:t>
      </w:r>
      <w:r w:rsidRPr="00EA48D3">
        <w:rPr>
          <w:rStyle w:val="af2"/>
          <w:rFonts w:eastAsia="Guttman Hodes" w:hint="cs"/>
          <w:rtl/>
        </w:rPr>
        <w:t xml:space="preserve">(עי' אות </w:t>
      </w:r>
      <w:r w:rsidRPr="00EA48D3">
        <w:rPr>
          <w:rStyle w:val="af2"/>
          <w:rFonts w:eastAsia="Guttman Hodes"/>
          <w:rtl/>
        </w:rPr>
        <w:fldChar w:fldCharType="begin"/>
      </w:r>
      <w:r w:rsidRPr="00EA48D3">
        <w:rPr>
          <w:rStyle w:val="af2"/>
          <w:rFonts w:eastAsia="Guttman Hodes"/>
          <w:rtl/>
        </w:rPr>
        <w:instrText xml:space="preserve"> </w:instrText>
      </w:r>
      <w:r w:rsidRPr="00EA48D3">
        <w:rPr>
          <w:rStyle w:val="af2"/>
          <w:rFonts w:eastAsia="Guttman Hodes" w:hint="cs"/>
        </w:rPr>
        <w:instrText>REF</w:instrText>
      </w:r>
      <w:r w:rsidRPr="00EA48D3">
        <w:rPr>
          <w:rStyle w:val="af2"/>
          <w:rFonts w:eastAsia="Guttman Hodes" w:hint="cs"/>
          <w:rtl/>
        </w:rPr>
        <w:instrText xml:space="preserve"> _</w:instrText>
      </w:r>
      <w:r w:rsidRPr="00EA48D3">
        <w:rPr>
          <w:rStyle w:val="af2"/>
          <w:rFonts w:eastAsia="Guttman Hodes" w:hint="cs"/>
        </w:rPr>
        <w:instrText>Ref133537551 \r \h</w:instrText>
      </w:r>
      <w:r w:rsidRPr="00EA48D3">
        <w:rPr>
          <w:rStyle w:val="af2"/>
          <w:rFonts w:eastAsia="Guttman Hodes"/>
          <w:rtl/>
        </w:rPr>
        <w:instrText xml:space="preserve"> </w:instrText>
      </w:r>
      <w:r w:rsidRPr="00EA48D3">
        <w:rPr>
          <w:rStyle w:val="af2"/>
          <w:rFonts w:eastAsia="Guttman Hodes"/>
          <w:rtl/>
        </w:rPr>
      </w:r>
      <w:r w:rsidRPr="00EA48D3">
        <w:rPr>
          <w:rStyle w:val="af2"/>
          <w:rFonts w:eastAsia="Guttman Hodes"/>
          <w:rtl/>
        </w:rPr>
        <w:fldChar w:fldCharType="separate"/>
      </w:r>
      <w:r w:rsidR="00D82181">
        <w:rPr>
          <w:rStyle w:val="af2"/>
          <w:rFonts w:eastAsia="Guttman Hodes"/>
          <w:cs/>
        </w:rPr>
        <w:t>‎</w:t>
      </w:r>
      <w:r w:rsidR="00D82181">
        <w:rPr>
          <w:rStyle w:val="af2"/>
          <w:rFonts w:eastAsia="Guttman Hodes"/>
          <w:rtl/>
        </w:rPr>
        <w:t>פג)</w:t>
      </w:r>
      <w:r w:rsidRPr="00EA48D3">
        <w:rPr>
          <w:rStyle w:val="af2"/>
          <w:rFonts w:eastAsia="Guttman Hodes"/>
          <w:rtl/>
        </w:rPr>
        <w:fldChar w:fldCharType="end"/>
      </w:r>
      <w:r w:rsidRPr="00EA48D3">
        <w:rPr>
          <w:rFonts w:hint="cs"/>
          <w:rtl/>
        </w:rPr>
        <w:t xml:space="preserve"> דהנותן זרע פשתן במים חייב משום לש, ומשמע דרק בשורה זמן מרובה חייב מדין זורע. </w:t>
      </w:r>
      <w:r w:rsidRPr="00EA48D3">
        <w:rPr>
          <w:rStyle w:val="af"/>
          <w:rtl/>
        </w:rPr>
        <w:t xml:space="preserve">[וכן </w:t>
      </w:r>
      <w:r w:rsidRPr="00EA48D3">
        <w:rPr>
          <w:rStyle w:val="af"/>
          <w:rFonts w:hint="cs"/>
          <w:rtl/>
        </w:rPr>
        <w:t>הוא להדיא</w:t>
      </w:r>
      <w:r w:rsidRPr="00EA48D3">
        <w:rPr>
          <w:rStyle w:val="af"/>
          <w:rtl/>
        </w:rPr>
        <w:t xml:space="preserve"> בדברי </w:t>
      </w:r>
      <w:r w:rsidRPr="00EA48D3">
        <w:rPr>
          <w:rStyle w:val="aff9"/>
          <w:vanish/>
          <w:rtl/>
        </w:rPr>
        <w:t>-</w:t>
      </w:r>
      <w:r w:rsidRPr="00EA48D3">
        <w:rPr>
          <w:rStyle w:val="aff9"/>
          <w:rtl/>
        </w:rPr>
        <w:t>הרמב"ם בתשו'</w:t>
      </w:r>
      <w:r w:rsidRPr="00EA48D3">
        <w:rPr>
          <w:rStyle w:val="aff9"/>
          <w:vanish/>
          <w:rtl/>
        </w:rPr>
        <w:t>-</w:t>
      </w:r>
      <w:r w:rsidRPr="00EA48D3">
        <w:rPr>
          <w:rStyle w:val="af"/>
          <w:rtl/>
        </w:rPr>
        <w:t xml:space="preserve"> </w:t>
      </w:r>
      <w:r w:rsidRPr="00EA48D3">
        <w:rPr>
          <w:rStyle w:val="aff5"/>
          <w:rtl/>
        </w:rPr>
        <w:t xml:space="preserve">(עי' אות </w:t>
      </w:r>
      <w:r w:rsidRPr="00EA48D3">
        <w:rPr>
          <w:rStyle w:val="aff5"/>
          <w:rtl/>
        </w:rPr>
        <w:fldChar w:fldCharType="begin"/>
      </w:r>
      <w:r w:rsidRPr="00EA48D3">
        <w:rPr>
          <w:rStyle w:val="aff5"/>
          <w:rtl/>
        </w:rPr>
        <w:instrText xml:space="preserve"> </w:instrText>
      </w:r>
      <w:r w:rsidRPr="00EA48D3">
        <w:rPr>
          <w:rStyle w:val="aff5"/>
        </w:rPr>
        <w:instrText>REF</w:instrText>
      </w:r>
      <w:r w:rsidRPr="00EA48D3">
        <w:rPr>
          <w:rStyle w:val="aff5"/>
          <w:rtl/>
        </w:rPr>
        <w:instrText xml:space="preserve"> _</w:instrText>
      </w:r>
      <w:r w:rsidRPr="00EA48D3">
        <w:rPr>
          <w:rStyle w:val="aff5"/>
        </w:rPr>
        <w:instrText>Ref133537551 \r \h</w:instrText>
      </w:r>
      <w:r w:rsidRPr="00EA48D3">
        <w:rPr>
          <w:rStyle w:val="aff5"/>
          <w:rtl/>
        </w:rPr>
        <w:instrText xml:space="preserve"> </w:instrText>
      </w:r>
      <w:r w:rsidRPr="00EA48D3">
        <w:rPr>
          <w:rStyle w:val="aff5"/>
          <w:rtl/>
        </w:rPr>
      </w:r>
      <w:r w:rsidRPr="00EA48D3">
        <w:rPr>
          <w:rStyle w:val="aff5"/>
          <w:rtl/>
        </w:rPr>
        <w:fldChar w:fldCharType="separate"/>
      </w:r>
      <w:r w:rsidR="00D82181">
        <w:rPr>
          <w:rStyle w:val="aff5"/>
          <w:cs/>
        </w:rPr>
        <w:t>‎</w:t>
      </w:r>
      <w:r w:rsidR="00D82181">
        <w:rPr>
          <w:rStyle w:val="aff5"/>
          <w:rtl/>
        </w:rPr>
        <w:t>פג)</w:t>
      </w:r>
      <w:r w:rsidRPr="00EA48D3">
        <w:rPr>
          <w:rStyle w:val="aff5"/>
          <w:rtl/>
        </w:rPr>
        <w:fldChar w:fldCharType="end"/>
      </w:r>
      <w:r w:rsidRPr="00EA48D3">
        <w:rPr>
          <w:rStyle w:val="af"/>
          <w:rtl/>
        </w:rPr>
        <w:t>]</w:t>
      </w:r>
      <w:r w:rsidRPr="00EA48D3">
        <w:rPr>
          <w:rStyle w:val="af"/>
          <w:rFonts w:hint="cs"/>
          <w:rtl/>
        </w:rPr>
        <w:t>.</w:t>
      </w:r>
    </w:p>
    <w:bookmarkEnd w:id="424"/>
    <w:p w14:paraId="202ABDE4" w14:textId="77777777" w:rsidR="009623A2" w:rsidRPr="00747170" w:rsidRDefault="009623A2" w:rsidP="00747170">
      <w:pPr>
        <w:pStyle w:val="a2"/>
        <w:rPr>
          <w:rtl/>
        </w:rPr>
      </w:pPr>
      <w:r w:rsidRPr="00747170">
        <w:rPr>
          <w:rtl/>
        </w:rPr>
        <w:t>השורה וכו'. עיין מ"א ומ"ש וי"ל וכו' כחילוק זה נראה מדקדוק לשון הרמב"ם שבפ"ח הלכה ב' כ' וכן השורה חטין וכו' ובסוף הפרק כתב והנותן זרע שומשמין וכו' חייב משום לש. וכן הש"ע הכא ובסי' ש"מ דקדק הכי.</w:t>
      </w:r>
    </w:p>
    <w:p w14:paraId="22C38B94" w14:textId="047F295F" w:rsidR="009623A2" w:rsidRPr="00EA48D3" w:rsidRDefault="009623A2" w:rsidP="009623A2">
      <w:pPr>
        <w:pStyle w:val="a7"/>
      </w:pPr>
      <w:bookmarkStart w:id="425" w:name="_Toc134419687"/>
      <w:r w:rsidRPr="00EA48D3">
        <w:rPr>
          <w:rFonts w:hint="cs"/>
          <w:rtl/>
        </w:rPr>
        <w:t>בי' הב"מ בגמ' דקו' הגמ' בזבחים דאי פשתן חייב בזורע מיד ה"ה חיטין ותי' דפשתן חייב בלש</w:t>
      </w:r>
      <w:bookmarkEnd w:id="425"/>
    </w:p>
    <w:p w14:paraId="42CE65A3" w14:textId="0BBB2FDD" w:rsidR="009623A2" w:rsidRPr="00EA48D3" w:rsidRDefault="009623A2" w:rsidP="00BC7DC8">
      <w:pPr>
        <w:pStyle w:val="a3"/>
      </w:pPr>
      <w:r w:rsidRPr="00EA48D3">
        <w:rPr>
          <w:rFonts w:hint="cs"/>
          <w:rtl/>
        </w:rPr>
        <w:t xml:space="preserve">וכתב </w:t>
      </w:r>
      <w:r w:rsidRPr="00EA48D3">
        <w:rPr>
          <w:rStyle w:val="aff4"/>
          <w:rFonts w:hint="cs"/>
          <w:vanish/>
          <w:rtl/>
        </w:rPr>
        <w:t>-</w:t>
      </w:r>
      <w:r w:rsidRPr="00EA48D3">
        <w:rPr>
          <w:rStyle w:val="aff4"/>
          <w:rFonts w:hint="cs"/>
          <w:rtl/>
        </w:rPr>
        <w:t>הבית מאיר</w:t>
      </w:r>
      <w:r w:rsidRPr="00EA48D3">
        <w:rPr>
          <w:rStyle w:val="aff4"/>
          <w:rFonts w:hint="cs"/>
          <w:vanish/>
          <w:rtl/>
        </w:rPr>
        <w:t>-</w:t>
      </w:r>
      <w:r w:rsidRPr="00EA48D3">
        <w:rPr>
          <w:rFonts w:hint="cs"/>
          <w:rtl/>
        </w:rPr>
        <w:t xml:space="preserve"> דלפי"ז הביאור בגמ' בזבחים </w:t>
      </w:r>
      <w:r w:rsidRPr="00EA48D3">
        <w:rPr>
          <w:rStyle w:val="af2"/>
          <w:rFonts w:eastAsia="Guttman Hodes" w:hint="cs"/>
          <w:rtl/>
        </w:rPr>
        <w:t>(צד:)</w:t>
      </w:r>
      <w:r w:rsidRPr="00EA48D3">
        <w:rPr>
          <w:rFonts w:hint="cs"/>
          <w:rtl/>
        </w:rPr>
        <w:t xml:space="preserve"> דמקשה הגמ' דאמאי חייב בזורק פשתן למים, דאי החיוב משום זורע, והחיוב הוא מיד כשזרקו למים, א"כ אף חיטין ושעורין ג"כ יתחייב מיד, אלא מוכח דמיד כשזורק למים א"א לחייב משום זורע, וא"כ אמאי חייב בפשתן, ותירצה הגמ' דחייב משום לש, ובזה החיוב הוא מיד, משא"כ בחיטין ושעורין דהחיוב הוא רק לאחר ששראם במים, וכ"כ </w:t>
      </w:r>
      <w:r w:rsidRPr="00EA48D3">
        <w:rPr>
          <w:rStyle w:val="aff4"/>
          <w:rFonts w:hint="cs"/>
          <w:vanish/>
          <w:rtl/>
        </w:rPr>
        <w:t>-</w:t>
      </w:r>
      <w:r w:rsidRPr="00EA48D3">
        <w:rPr>
          <w:rStyle w:val="aff4"/>
          <w:rFonts w:hint="cs"/>
          <w:rtl/>
        </w:rPr>
        <w:t>ה</w:t>
      </w:r>
      <w:r w:rsidRPr="00EA48D3">
        <w:rPr>
          <w:rStyle w:val="aff4"/>
          <w:rFonts w:hint="cs"/>
          <w:vanish/>
          <w:rtl/>
        </w:rPr>
        <w:t>&lt; &gt;</w:t>
      </w:r>
      <w:r w:rsidRPr="00EA48D3">
        <w:rPr>
          <w:rStyle w:val="aff4"/>
          <w:rFonts w:hint="cs"/>
          <w:rtl/>
        </w:rPr>
        <w:t>אגלי טל</w:t>
      </w:r>
      <w:r w:rsidRPr="00EA48D3">
        <w:rPr>
          <w:rStyle w:val="aff4"/>
          <w:rFonts w:hint="cs"/>
          <w:vanish/>
          <w:rtl/>
        </w:rPr>
        <w:t>-</w:t>
      </w:r>
      <w:r w:rsidRPr="00EA48D3">
        <w:rPr>
          <w:rFonts w:hint="cs"/>
          <w:rtl/>
        </w:rPr>
        <w:t xml:space="preserve"> </w:t>
      </w:r>
      <w:r w:rsidRPr="00EA48D3">
        <w:rPr>
          <w:rStyle w:val="af2"/>
          <w:rFonts w:eastAsia="Guttman Hodes" w:hint="cs"/>
          <w:rtl/>
        </w:rPr>
        <w:t>(זורע ס"ק י"ז)</w:t>
      </w:r>
      <w:r w:rsidRPr="00EA48D3">
        <w:rPr>
          <w:rFonts w:hint="cs"/>
          <w:vanish/>
          <w:rtl/>
        </w:rPr>
        <w:t>=</w:t>
      </w:r>
      <w:r w:rsidRPr="00EA48D3">
        <w:rPr>
          <w:rFonts w:hint="cs"/>
          <w:rtl/>
        </w:rPr>
        <w:t>.</w:t>
      </w:r>
      <w:r w:rsidRPr="00EA48D3">
        <w:rPr>
          <w:rStyle w:val="aff4"/>
          <w:rFonts w:hint="cs"/>
          <w:rtl/>
        </w:rPr>
        <w:t xml:space="preserve"> </w:t>
      </w:r>
      <w:r w:rsidRPr="00EA48D3">
        <w:rPr>
          <w:rStyle w:val="af"/>
          <w:rFonts w:hint="cs"/>
          <w:rtl/>
        </w:rPr>
        <w:t xml:space="preserve">[ועי' במה שביאר </w:t>
      </w:r>
      <w:r w:rsidRPr="00EA48D3">
        <w:rPr>
          <w:rStyle w:val="aff9"/>
          <w:rFonts w:hint="cs"/>
          <w:vanish/>
          <w:rtl/>
        </w:rPr>
        <w:t>-</w:t>
      </w:r>
      <w:r w:rsidRPr="00EA48D3">
        <w:rPr>
          <w:rStyle w:val="aff9"/>
          <w:rFonts w:hint="cs"/>
          <w:rtl/>
        </w:rPr>
        <w:t>הרמב"ם בתשו'</w:t>
      </w:r>
      <w:r w:rsidRPr="00EA48D3">
        <w:rPr>
          <w:rStyle w:val="aff9"/>
          <w:rFonts w:hint="cs"/>
          <w:vanish/>
          <w:rtl/>
        </w:rPr>
        <w:t>-</w:t>
      </w:r>
      <w:r w:rsidRPr="00EA48D3">
        <w:rPr>
          <w:rStyle w:val="af"/>
          <w:rFonts w:hint="cs"/>
          <w:rtl/>
        </w:rPr>
        <w:t xml:space="preserve"> </w:t>
      </w:r>
      <w:r w:rsidRPr="00EA48D3">
        <w:rPr>
          <w:rStyle w:val="aff5"/>
          <w:rFonts w:hint="cs"/>
          <w:rtl/>
        </w:rPr>
        <w:t xml:space="preserve">(עי' אות </w:t>
      </w:r>
      <w:r w:rsidRPr="00EA48D3">
        <w:rPr>
          <w:rStyle w:val="aff5"/>
          <w:rtl/>
        </w:rPr>
        <w:fldChar w:fldCharType="begin"/>
      </w:r>
      <w:r w:rsidRPr="00EA48D3">
        <w:rPr>
          <w:rStyle w:val="aff5"/>
          <w:rtl/>
        </w:rPr>
        <w:instrText xml:space="preserve"> </w:instrText>
      </w:r>
      <w:r w:rsidRPr="00EA48D3">
        <w:rPr>
          <w:rStyle w:val="aff5"/>
          <w:rFonts w:hint="cs"/>
        </w:rPr>
        <w:instrText>REF</w:instrText>
      </w:r>
      <w:r w:rsidRPr="00EA48D3">
        <w:rPr>
          <w:rStyle w:val="aff5"/>
          <w:rFonts w:hint="cs"/>
          <w:rtl/>
        </w:rPr>
        <w:instrText xml:space="preserve"> _</w:instrText>
      </w:r>
      <w:r w:rsidRPr="00EA48D3">
        <w:rPr>
          <w:rStyle w:val="aff5"/>
          <w:rFonts w:hint="cs"/>
        </w:rPr>
        <w:instrText>Ref133537562 \r \h</w:instrText>
      </w:r>
      <w:r w:rsidRPr="00EA48D3">
        <w:rPr>
          <w:rStyle w:val="aff5"/>
          <w:rtl/>
        </w:rPr>
        <w:instrText xml:space="preserve"> </w:instrText>
      </w:r>
      <w:r w:rsidRPr="00EA48D3">
        <w:rPr>
          <w:rStyle w:val="aff5"/>
          <w:rtl/>
        </w:rPr>
      </w:r>
      <w:r w:rsidRPr="00EA48D3">
        <w:rPr>
          <w:rStyle w:val="aff5"/>
          <w:rtl/>
        </w:rPr>
        <w:fldChar w:fldCharType="separate"/>
      </w:r>
      <w:r w:rsidR="00D82181">
        <w:rPr>
          <w:rStyle w:val="aff5"/>
          <w:cs/>
        </w:rPr>
        <w:t>‎</w:t>
      </w:r>
      <w:r w:rsidR="00D82181">
        <w:rPr>
          <w:rStyle w:val="aff5"/>
          <w:rtl/>
        </w:rPr>
        <w:t>פב)</w:t>
      </w:r>
      <w:r w:rsidRPr="00EA48D3">
        <w:rPr>
          <w:rStyle w:val="aff5"/>
          <w:rtl/>
        </w:rPr>
        <w:fldChar w:fldCharType="end"/>
      </w:r>
      <w:r w:rsidRPr="00EA48D3">
        <w:rPr>
          <w:rStyle w:val="af"/>
          <w:rFonts w:hint="cs"/>
          <w:rtl/>
        </w:rPr>
        <w:t xml:space="preserve"> בגמ' בזבחים].</w:t>
      </w:r>
    </w:p>
    <w:p w14:paraId="031DF2E3" w14:textId="77777777" w:rsidR="009623A2" w:rsidRPr="00747170" w:rsidRDefault="009623A2" w:rsidP="00747170">
      <w:pPr>
        <w:pStyle w:val="a2"/>
      </w:pPr>
      <w:r w:rsidRPr="00747170">
        <w:rPr>
          <w:rtl/>
        </w:rPr>
        <w:t xml:space="preserve">וא"כ הסוגי' דזבחים הכי מתפרשי אמר רבא זרק פשתן למים חייב מ"ט וכ"ת משום דמקדח ומיד בנתרכה חייב משום זורע א"ה חטי ושערי נמי א"ו דאינו חייב בנתינה למים מיד משום זורע ומה טעמו דפשתן ומשני דאית להו רירי וקעביד לישה וחייב מיד משום לישה משא"כ חטי ושערי עד שישורו. </w:t>
      </w:r>
    </w:p>
    <w:p w14:paraId="2EFBABAF" w14:textId="77777777" w:rsidR="009623A2" w:rsidRPr="00EA48D3" w:rsidRDefault="009623A2" w:rsidP="009623A2">
      <w:pPr>
        <w:pStyle w:val="afffff7"/>
        <w:rPr>
          <w:rtl/>
        </w:rPr>
      </w:pPr>
      <w:bookmarkStart w:id="426" w:name="_Toc163505437"/>
      <w:r w:rsidRPr="00EA48D3">
        <w:rPr>
          <w:rFonts w:hint="cs"/>
          <w:rtl/>
        </w:rPr>
        <w:t>אגלי טל זורע ס</w:t>
      </w:r>
      <w:r w:rsidRPr="00EA48D3">
        <w:rPr>
          <w:rFonts w:cs="Guttman Hodes" w:hint="cs"/>
          <w:rtl/>
        </w:rPr>
        <w:t>"</w:t>
      </w:r>
      <w:r w:rsidRPr="00EA48D3">
        <w:rPr>
          <w:rFonts w:hint="cs"/>
          <w:rtl/>
        </w:rPr>
        <w:t>ק י</w:t>
      </w:r>
      <w:r w:rsidRPr="00EA48D3">
        <w:rPr>
          <w:rFonts w:cs="Guttman Hodes" w:hint="cs"/>
          <w:rtl/>
        </w:rPr>
        <w:t>"</w:t>
      </w:r>
      <w:r w:rsidRPr="00EA48D3">
        <w:rPr>
          <w:rFonts w:hint="cs"/>
          <w:rtl/>
        </w:rPr>
        <w:t>ז</w:t>
      </w:r>
      <w:bookmarkEnd w:id="426"/>
    </w:p>
    <w:p w14:paraId="07F61B6B" w14:textId="77777777" w:rsidR="009623A2" w:rsidRPr="009901AC" w:rsidRDefault="009623A2" w:rsidP="00747170">
      <w:pPr>
        <w:pStyle w:val="afffff5"/>
        <w:rPr>
          <w:rtl/>
        </w:rPr>
      </w:pPr>
      <w:r w:rsidRPr="00EA48D3">
        <w:rPr>
          <w:rtl/>
        </w:rPr>
        <w:t xml:space="preserve">[יז] וכגון שנתנם במים על דעת. המג"א סי' של"ו [ס"ק י"ב] כתב דווקא ששורה זמן ארוך. </w:t>
      </w:r>
      <w:r w:rsidRPr="009901AC">
        <w:rPr>
          <w:rtl/>
        </w:rPr>
        <w:t>וכתב כן ליישב דברי הרמב"ם דלא תקשה עליו מה שלכאורה נראה מסקנת הש"ס זבחים צ"ד: שה"ה והכ"מ ציינו הש"ס הלז למקור מוצא דין זה של הרמב"ם הלז. ולכאורה נראה להיפוך. והכי איתא שם זרק זרע פשתן למים חייב מאי טעמא וכ"ת משום דמקדח א"ה אפי' חיטי ושערי נמי הנך אית להו רירי א"ה שלחים נמי התם קעביד לישה [ופירש"י דמקדח. צומח במים והויא לה זריעה. הנך אית להו רירי. זרע פשתן במים נפקא רירי מיני' ומדבקים אהדדי. א"ה שלחים נמי. אי משום דמדבקי ברירייהו מחייבין להו בשלחים נמי עורות שאינן עבודין ונתנם במים. ומשני התם גבי זרע פשתן כי מדבקת ברירי דנפקא מיני' הוי תולדת לישה אבל שלחים לא שייכא בדביקות דידהו ענין לישה. עכ"ל]. ומשמע דדווקא למאי דס"ד מחייבינן בזרע חיטין ושעורין משום דמקדח אבל למסקנא רק בזרע פשתן חייב משום לישה אבל בחיטי ושערי פטור ועוד הקשה למה לי' בפשתן טעמא משום לש הל"ל משום זורע. וע"ז תירץ המג"א דבפשתן חייב תיכף כשנותנו במים משום לש אבל בחיטי ושערי אינו חייב אלא בשורה זמן ארוך כמו חצי יום עכ"ד המג"א. [ולפמ"ש באות הקודם היינו בהניחם במים ע"ד שישרה זמן ארוך. דלרבא דס"ל בפ' נוטל [קמא ב] מלאכה שאינה צריכה לגופה פטור עלי' וע"כ אינו חייב אלא כשרוצה בצמיחתו וא"כ נתחייב תיכף] וחילוק זה רומז בהרמב"ם עצמו שגבי תולדות זורע כתב השורה חיטין וכו' וגבי זרע פשתן משום לש כתב הנותן זרע פשתן במים חייב משום דבזרע פשתן תיכף כשנותנם במים מתדבקים זה בזה. ואילו בחיטי ושערי דחיובם משום זורע צריך שריי' זמן מרובה עד שיצמחו. שוב ראיתי ברדב"ז סי' רמ"ח ובספר בית מאיר כתוב כן ונהניתי:</w:t>
      </w:r>
    </w:p>
    <w:p w14:paraId="07867CE4" w14:textId="3996B70E" w:rsidR="009623A2" w:rsidRPr="00D30D7A" w:rsidRDefault="009623A2" w:rsidP="009623A2">
      <w:pPr>
        <w:pStyle w:val="a7"/>
      </w:pPr>
      <w:bookmarkStart w:id="427" w:name="_Toc134419688"/>
      <w:r>
        <w:rPr>
          <w:rFonts w:hint="cs"/>
          <w:rtl/>
        </w:rPr>
        <w:t>בי' הב"מ דהרמב"ם בי' כן בגמ' בזבחים דמוכח בגמ' לעיל דשורה כרשינין בשבת חייב בזורע</w:t>
      </w:r>
      <w:bookmarkEnd w:id="427"/>
    </w:p>
    <w:p w14:paraId="4D71DFF7" w14:textId="77777777" w:rsidR="009623A2" w:rsidRPr="00E12E5C" w:rsidRDefault="009623A2" w:rsidP="00BC7DC8">
      <w:pPr>
        <w:pStyle w:val="a3"/>
        <w:rPr>
          <w:rtl/>
        </w:rPr>
      </w:pPr>
      <w:r>
        <w:rPr>
          <w:rFonts w:hint="cs"/>
          <w:rtl/>
        </w:rPr>
        <w:t xml:space="preserve">ובמה שהקשה </w:t>
      </w:r>
      <w:r w:rsidRPr="00C444C9">
        <w:rPr>
          <w:rStyle w:val="aff4"/>
          <w:rFonts w:hint="cs"/>
          <w:vanish/>
          <w:rtl/>
        </w:rPr>
        <w:t>-</w:t>
      </w:r>
      <w:r w:rsidRPr="004F32D2">
        <w:rPr>
          <w:rStyle w:val="aff4"/>
          <w:rFonts w:hint="cs"/>
          <w:rtl/>
        </w:rPr>
        <w:t>המג"א</w:t>
      </w:r>
      <w:r w:rsidRPr="00C444C9">
        <w:rPr>
          <w:rStyle w:val="aff4"/>
          <w:rFonts w:hint="cs"/>
          <w:vanish/>
          <w:rtl/>
        </w:rPr>
        <w:t>-</w:t>
      </w:r>
      <w:r>
        <w:rPr>
          <w:rFonts w:hint="cs"/>
          <w:rtl/>
        </w:rPr>
        <w:t xml:space="preserve"> דמהיכן הוציא </w:t>
      </w:r>
      <w:r w:rsidRPr="00C444C9">
        <w:rPr>
          <w:rStyle w:val="aff4"/>
          <w:rFonts w:hint="cs"/>
          <w:vanish/>
          <w:rtl/>
        </w:rPr>
        <w:t>-</w:t>
      </w:r>
      <w:r w:rsidRPr="004F32D2">
        <w:rPr>
          <w:rStyle w:val="aff4"/>
          <w:rFonts w:hint="cs"/>
          <w:rtl/>
        </w:rPr>
        <w:t>הרמב"ם</w:t>
      </w:r>
      <w:r w:rsidRPr="00C444C9">
        <w:rPr>
          <w:rStyle w:val="aff4"/>
          <w:rFonts w:hint="cs"/>
          <w:vanish/>
          <w:rtl/>
        </w:rPr>
        <w:t>-</w:t>
      </w:r>
      <w:r>
        <w:rPr>
          <w:rFonts w:hint="cs"/>
          <w:rtl/>
        </w:rPr>
        <w:t xml:space="preserve"> דין זה, ביאר </w:t>
      </w:r>
      <w:r w:rsidRPr="00C444C9">
        <w:rPr>
          <w:rStyle w:val="aff4"/>
          <w:rFonts w:hint="cs"/>
          <w:vanish/>
          <w:rtl/>
        </w:rPr>
        <w:t>-</w:t>
      </w:r>
      <w:r w:rsidRPr="004F32D2">
        <w:rPr>
          <w:rStyle w:val="aff4"/>
          <w:rFonts w:hint="cs"/>
          <w:rtl/>
        </w:rPr>
        <w:t>הבית מאיר</w:t>
      </w:r>
      <w:r w:rsidRPr="00C444C9">
        <w:rPr>
          <w:rStyle w:val="aff4"/>
          <w:rFonts w:hint="cs"/>
          <w:vanish/>
          <w:rtl/>
        </w:rPr>
        <w:t>-</w:t>
      </w:r>
      <w:r>
        <w:rPr>
          <w:rFonts w:hint="cs"/>
          <w:rtl/>
        </w:rPr>
        <w:t xml:space="preserve"> דכוונת </w:t>
      </w:r>
      <w:r w:rsidRPr="00C444C9">
        <w:rPr>
          <w:rStyle w:val="aff4"/>
          <w:rFonts w:hint="cs"/>
          <w:vanish/>
          <w:rtl/>
        </w:rPr>
        <w:t>-</w:t>
      </w:r>
      <w:r w:rsidRPr="004F32D2">
        <w:rPr>
          <w:rStyle w:val="aff4"/>
          <w:rFonts w:hint="cs"/>
          <w:rtl/>
        </w:rPr>
        <w:t>המג"א</w:t>
      </w:r>
      <w:r w:rsidRPr="00C444C9">
        <w:rPr>
          <w:rStyle w:val="aff4"/>
          <w:rFonts w:hint="cs"/>
          <w:vanish/>
          <w:rtl/>
        </w:rPr>
        <w:t>-</w:t>
      </w:r>
      <w:r>
        <w:rPr>
          <w:rFonts w:hint="cs"/>
          <w:rtl/>
        </w:rPr>
        <w:t xml:space="preserve"> להקשות דמנא ליה </w:t>
      </w:r>
      <w:r w:rsidRPr="00C444C9">
        <w:rPr>
          <w:rStyle w:val="aff4"/>
          <w:rFonts w:hint="cs"/>
          <w:vanish/>
          <w:rtl/>
        </w:rPr>
        <w:t>-</w:t>
      </w:r>
      <w:r w:rsidRPr="004F32D2">
        <w:rPr>
          <w:rStyle w:val="aff4"/>
          <w:rFonts w:hint="cs"/>
          <w:rtl/>
        </w:rPr>
        <w:t>להרמב"ם</w:t>
      </w:r>
      <w:r w:rsidRPr="00C444C9">
        <w:rPr>
          <w:rStyle w:val="aff4"/>
          <w:rFonts w:hint="cs"/>
          <w:vanish/>
          <w:rtl/>
        </w:rPr>
        <w:t>-</w:t>
      </w:r>
      <w:r>
        <w:rPr>
          <w:rFonts w:hint="cs"/>
          <w:rtl/>
        </w:rPr>
        <w:t xml:space="preserve"> לבאר כן בגמ' בזבחים, הא משמעות הסוגיא בפשיטות דבחיטין ושעורין אין חיוב כלל אף בשראם לזמן מרובה, ותירץ </w:t>
      </w:r>
      <w:r w:rsidRPr="00C444C9">
        <w:rPr>
          <w:rStyle w:val="aff4"/>
          <w:rFonts w:hint="cs"/>
          <w:vanish/>
          <w:rtl/>
        </w:rPr>
        <w:t>-</w:t>
      </w:r>
      <w:r w:rsidRPr="004F32D2">
        <w:rPr>
          <w:rStyle w:val="aff4"/>
          <w:rFonts w:hint="cs"/>
          <w:rtl/>
        </w:rPr>
        <w:t>הבית מאיר</w:t>
      </w:r>
      <w:r w:rsidRPr="00C444C9">
        <w:rPr>
          <w:rStyle w:val="aff4"/>
          <w:rFonts w:hint="cs"/>
          <w:vanish/>
          <w:rtl/>
        </w:rPr>
        <w:t>-</w:t>
      </w:r>
      <w:r>
        <w:rPr>
          <w:rFonts w:hint="cs"/>
          <w:rtl/>
        </w:rPr>
        <w:t xml:space="preserve"> דלמד כן </w:t>
      </w:r>
      <w:r w:rsidRPr="00C444C9">
        <w:rPr>
          <w:rStyle w:val="aff4"/>
          <w:rFonts w:hint="cs"/>
          <w:vanish/>
          <w:rtl/>
        </w:rPr>
        <w:t>-</w:t>
      </w:r>
      <w:r w:rsidRPr="004F32D2">
        <w:rPr>
          <w:rStyle w:val="aff4"/>
          <w:rFonts w:hint="cs"/>
          <w:rtl/>
        </w:rPr>
        <w:t>הרמב"ם</w:t>
      </w:r>
      <w:r w:rsidRPr="00C444C9">
        <w:rPr>
          <w:rStyle w:val="aff4"/>
          <w:rFonts w:hint="cs"/>
          <w:vanish/>
          <w:rtl/>
        </w:rPr>
        <w:t>-</w:t>
      </w:r>
      <w:r>
        <w:rPr>
          <w:rFonts w:hint="cs"/>
          <w:rtl/>
        </w:rPr>
        <w:t xml:space="preserve"> מהא דתנן לעיל </w:t>
      </w:r>
      <w:r w:rsidRPr="002A0D0C">
        <w:rPr>
          <w:rStyle w:val="af2"/>
          <w:rFonts w:eastAsia="Guttman Hodes" w:hint="cs"/>
          <w:rtl/>
        </w:rPr>
        <w:t>(</w:t>
      </w:r>
      <w:r w:rsidRPr="002A0D0C">
        <w:rPr>
          <w:rStyle w:val="af2"/>
          <w:rFonts w:eastAsia="Guttman Hodes"/>
          <w:rtl/>
        </w:rPr>
        <w:t>י"ז</w:t>
      </w:r>
      <w:r w:rsidRPr="002A0D0C">
        <w:rPr>
          <w:rStyle w:val="af2"/>
          <w:rFonts w:eastAsia="Guttman Hodes" w:hint="cs"/>
          <w:rtl/>
        </w:rPr>
        <w:t>:)</w:t>
      </w:r>
      <w:r>
        <w:rPr>
          <w:rFonts w:hint="cs"/>
          <w:rtl/>
        </w:rPr>
        <w:t xml:space="preserve"> </w:t>
      </w:r>
      <w:r>
        <w:rPr>
          <w:rtl/>
        </w:rPr>
        <w:t>בית שמאי אומרים אין שורין דיו וסמנים וכרשינין אלא כדי שישורו מבעוד יום ובית הלל מתירין</w:t>
      </w:r>
      <w:r>
        <w:rPr>
          <w:rFonts w:hint="cs"/>
          <w:rtl/>
        </w:rPr>
        <w:t xml:space="preserve">, ואיתא בגמ' לעיל </w:t>
      </w:r>
      <w:r w:rsidRPr="002A0D0C">
        <w:rPr>
          <w:rStyle w:val="af2"/>
          <w:rFonts w:eastAsia="Guttman Hodes" w:hint="cs"/>
          <w:rtl/>
        </w:rPr>
        <w:t>(יט:)</w:t>
      </w:r>
      <w:r>
        <w:rPr>
          <w:rFonts w:hint="cs"/>
          <w:rtl/>
        </w:rPr>
        <w:t xml:space="preserve"> דב"ש גזרו מבעו"י רק בדבר שיש בו חיוב חטאת בשבת, ומוכח דבשורה כרשינין בשבת חייב, ומזה למד </w:t>
      </w:r>
      <w:r w:rsidRPr="00C444C9">
        <w:rPr>
          <w:rStyle w:val="aff4"/>
          <w:rFonts w:hint="cs"/>
          <w:vanish/>
          <w:rtl/>
        </w:rPr>
        <w:t>-</w:t>
      </w:r>
      <w:r w:rsidRPr="004F32D2">
        <w:rPr>
          <w:rStyle w:val="aff4"/>
          <w:rFonts w:hint="cs"/>
          <w:rtl/>
        </w:rPr>
        <w:t>הרמב"ם</w:t>
      </w:r>
      <w:r w:rsidRPr="00C444C9">
        <w:rPr>
          <w:rStyle w:val="aff4"/>
          <w:rFonts w:hint="cs"/>
          <w:vanish/>
          <w:rtl/>
        </w:rPr>
        <w:t>-</w:t>
      </w:r>
      <w:r>
        <w:rPr>
          <w:rFonts w:hint="cs"/>
          <w:rtl/>
        </w:rPr>
        <w:t xml:space="preserve"> דחייב משום זורע וה"ה לחיטין ושעורין דחייב בהם רק בשורה לזמן </w:t>
      </w:r>
      <w:r>
        <w:rPr>
          <w:rFonts w:hint="cs"/>
          <w:rtl/>
        </w:rPr>
        <w:lastRenderedPageBreak/>
        <w:t xml:space="preserve">מרובה, אבל בפשתן חייב מיד מדין לש, ואם שראו חייב גם מדין זורע, ועי' במה שדחה </w:t>
      </w:r>
      <w:r w:rsidRPr="00523918">
        <w:rPr>
          <w:rStyle w:val="aff4"/>
          <w:rFonts w:hint="cs"/>
          <w:vanish/>
          <w:rtl/>
        </w:rPr>
        <w:t>-</w:t>
      </w:r>
      <w:r w:rsidRPr="00523918">
        <w:rPr>
          <w:rStyle w:val="aff4"/>
          <w:rFonts w:hint="cs"/>
          <w:rtl/>
        </w:rPr>
        <w:t>ה</w:t>
      </w:r>
      <w:r w:rsidRPr="00523918">
        <w:rPr>
          <w:rStyle w:val="aff4"/>
          <w:rFonts w:hint="cs"/>
          <w:vanish/>
          <w:rtl/>
        </w:rPr>
        <w:t>&lt; &gt;</w:t>
      </w:r>
      <w:r w:rsidRPr="00523918">
        <w:rPr>
          <w:rStyle w:val="aff4"/>
          <w:rFonts w:hint="cs"/>
          <w:rtl/>
        </w:rPr>
        <w:t>אגלי טל</w:t>
      </w:r>
      <w:r w:rsidRPr="00523918">
        <w:rPr>
          <w:rStyle w:val="aff4"/>
          <w:rFonts w:hint="cs"/>
          <w:vanish/>
          <w:rtl/>
        </w:rPr>
        <w:t>-</w:t>
      </w:r>
      <w:r>
        <w:rPr>
          <w:rFonts w:hint="cs"/>
          <w:rtl/>
        </w:rPr>
        <w:t xml:space="preserve"> </w:t>
      </w:r>
      <w:r w:rsidRPr="00523918">
        <w:rPr>
          <w:rStyle w:val="af2"/>
          <w:rFonts w:eastAsia="Guttman Hodes" w:hint="cs"/>
          <w:rtl/>
        </w:rPr>
        <w:t>(זורע ס"ק י"ז</w:t>
      </w:r>
      <w:r>
        <w:rPr>
          <w:rStyle w:val="af2"/>
          <w:rFonts w:eastAsia="Guttman Hodes" w:hint="cs"/>
          <w:rtl/>
        </w:rPr>
        <w:t xml:space="preserve"> ד"ה אך</w:t>
      </w:r>
      <w:r w:rsidRPr="00523918">
        <w:rPr>
          <w:rStyle w:val="af2"/>
          <w:rFonts w:eastAsia="Guttman Hodes" w:hint="cs"/>
          <w:rtl/>
        </w:rPr>
        <w:t>)</w:t>
      </w:r>
      <w:r w:rsidRPr="00523918">
        <w:rPr>
          <w:rFonts w:hint="cs"/>
          <w:vanish/>
          <w:rtl/>
        </w:rPr>
        <w:t>=</w:t>
      </w:r>
      <w:r>
        <w:rPr>
          <w:rFonts w:hint="cs"/>
          <w:rtl/>
        </w:rPr>
        <w:t xml:space="preserve"> את דברי </w:t>
      </w:r>
      <w:r w:rsidRPr="00C444C9">
        <w:rPr>
          <w:rStyle w:val="aff4"/>
          <w:rFonts w:hint="cs"/>
          <w:vanish/>
          <w:rtl/>
        </w:rPr>
        <w:t>-</w:t>
      </w:r>
      <w:r w:rsidRPr="004F32D2">
        <w:rPr>
          <w:rStyle w:val="aff4"/>
          <w:rFonts w:hint="cs"/>
          <w:rtl/>
        </w:rPr>
        <w:t>הבית מאיר</w:t>
      </w:r>
      <w:r w:rsidRPr="00C444C9">
        <w:rPr>
          <w:rStyle w:val="aff4"/>
          <w:rFonts w:hint="cs"/>
          <w:vanish/>
          <w:rtl/>
        </w:rPr>
        <w:t>-</w:t>
      </w:r>
      <w:r>
        <w:rPr>
          <w:rFonts w:hint="cs"/>
          <w:rtl/>
        </w:rPr>
        <w:t>.</w:t>
      </w:r>
    </w:p>
    <w:p w14:paraId="24A9D5DB" w14:textId="77777777" w:rsidR="009623A2" w:rsidRPr="00747170" w:rsidRDefault="009623A2" w:rsidP="00747170">
      <w:pPr>
        <w:pStyle w:val="a2"/>
        <w:rPr>
          <w:rtl/>
        </w:rPr>
      </w:pPr>
      <w:r w:rsidRPr="00747170">
        <w:rPr>
          <w:rtl/>
        </w:rPr>
        <w:t>אלא שהמ"א הניח בצ"ע דמנ"ל להרמב"ם הא כלומר דילמא בחטי ושערי תמיד אין בם חיוב ואפילו בשרי' וכמשמעות פשטות הסוגי'.</w:t>
      </w:r>
      <w:r w:rsidRPr="00747170">
        <w:rPr>
          <w:rFonts w:hint="cs"/>
          <w:rtl/>
        </w:rPr>
        <w:t xml:space="preserve"> </w:t>
      </w:r>
      <w:r w:rsidRPr="00747170">
        <w:rPr>
          <w:rtl/>
        </w:rPr>
        <w:t>וזה לק"מ שהרי תנן אין שורין כרשינין אלא כדי שישורו מבע"י ושם דף י"ט מבואר דכל מה שבשבת אין חיוב חטאת לא גזרו ב"ש ש"מ דבשריות כרשינין בשבת חייב. והיינו משום זורע וה"ה לחטי ושערי חוץ פשתן וכיוצא בם דאית להו רירי וחייב מיד משום לש ובשרי' משום זורע נמי וק"ל:</w:t>
      </w:r>
    </w:p>
    <w:p w14:paraId="227E0535" w14:textId="77777777" w:rsidR="009623A2" w:rsidRDefault="009623A2" w:rsidP="009623A2">
      <w:pPr>
        <w:pStyle w:val="afffff7"/>
        <w:rPr>
          <w:rtl/>
        </w:rPr>
      </w:pPr>
      <w:bookmarkStart w:id="428" w:name="_Toc163505438"/>
      <w:r>
        <w:rPr>
          <w:rtl/>
        </w:rPr>
        <w:t>אגלי טל באורים מלאכת זורע אות יז</w:t>
      </w:r>
      <w:r>
        <w:rPr>
          <w:rFonts w:hint="cs"/>
          <w:rtl/>
        </w:rPr>
        <w:t xml:space="preserve"> ד"ה אך</w:t>
      </w:r>
      <w:bookmarkEnd w:id="428"/>
    </w:p>
    <w:p w14:paraId="579A8324" w14:textId="77777777" w:rsidR="009623A2" w:rsidRPr="00840442" w:rsidRDefault="009623A2" w:rsidP="00747170">
      <w:pPr>
        <w:pStyle w:val="afffff5"/>
      </w:pPr>
      <w:r>
        <w:rPr>
          <w:rtl/>
        </w:rPr>
        <w:t>אך מה שהניח המג"א שם עוד בצ"ע דמנ"ל להרמב"ם דין זה. וכתב הבית מאיר דלק"מ דדין זה מוכח ממתני' בפ"ק דמכילתין [יז ב] דאין שורין כרשינין אלא כדי שישורו מבעוד יום. והא שם דף י"ט. מבואר דכל מה שבשבת אין חיוב חטאת לא גזרו בית שמאי ע"ש עם חשיכה. וע"כ דבשריית כרשינין בשבת איכא חיוב חטאת משום זורע. עכת"ד. ואנכי לא ידעתי מה זה שהרי בפ"ט הי"ד שכתב הרמב"ם העושה עין הצבע חייב משום צובע וכתב הראב"ד ואני לא הייתי סבור שיתחייב משום צובע עד שיצבע דבר שנגמרה בו מלאכת הצבע אבל צביעת מים שאינה לצורך לא. ושריית דיו וסמנין משום לש באו לה ולא משום צבע המים כמו שריית הכרשינין וכמו מים וקמח או מים ועפר עכ"ל. הרי דשריית הכרשינין משום לש הוא. ועכ"פ יקשה על הראב"ד למה לא השיג ג"כ על הא דהשורה חיטין ושעורין במים הרי זה תולדת זורע לדבריו שכל ראיות הרמב"ם הוא משריית כרשינין ולהראב"ד אין ראי'. ונכונים דברי המג"א שהניח בצ"ע:</w:t>
      </w:r>
    </w:p>
    <w:p w14:paraId="5DA5E174" w14:textId="3DCE4BA3" w:rsidR="009623A2" w:rsidRDefault="009623A2" w:rsidP="009623A2">
      <w:pPr>
        <w:pStyle w:val="1"/>
        <w:rPr>
          <w:rtl/>
        </w:rPr>
      </w:pPr>
      <w:bookmarkStart w:id="429" w:name="_Toc134419689"/>
      <w:r>
        <w:rPr>
          <w:rFonts w:hint="cs"/>
          <w:rtl/>
        </w:rPr>
        <w:t>בי' החיי"א דשורה להצמיח חייב מיד ומותר לשרות לא להצמיח</w:t>
      </w:r>
      <w:bookmarkEnd w:id="429"/>
      <w:r>
        <w:rPr>
          <w:rFonts w:hint="cs"/>
          <w:rtl/>
        </w:rPr>
        <w:t xml:space="preserve"> </w:t>
      </w:r>
    </w:p>
    <w:p w14:paraId="3FC71621" w14:textId="77777777" w:rsidR="009623A2" w:rsidRDefault="009623A2" w:rsidP="009623A2">
      <w:pPr>
        <w:pStyle w:val="afffff7"/>
        <w:rPr>
          <w:rtl/>
        </w:rPr>
      </w:pPr>
      <w:bookmarkStart w:id="430" w:name="_Toc133841689"/>
      <w:bookmarkStart w:id="431" w:name="_Toc163505439"/>
      <w:r>
        <w:rPr>
          <w:rtl/>
        </w:rPr>
        <w:t>חיי אדם הלכות שבת כלל יא סעיף ב</w:t>
      </w:r>
      <w:bookmarkEnd w:id="430"/>
      <w:bookmarkEnd w:id="431"/>
    </w:p>
    <w:p w14:paraId="53A8B48C" w14:textId="77777777" w:rsidR="009623A2" w:rsidRDefault="009623A2" w:rsidP="009623A2">
      <w:pPr>
        <w:pStyle w:val="a7"/>
        <w:rPr>
          <w:rtl/>
        </w:rPr>
      </w:pPr>
      <w:bookmarkStart w:id="432" w:name="_Toc134419690"/>
      <w:r>
        <w:rPr>
          <w:rFonts w:hint="cs"/>
          <w:rtl/>
        </w:rPr>
        <w:t>בי' החיי"א דשורה בכוונה שיתרככו או לעשות חיטה נבוטה דכוונתו להצמיח חייב מיד בנתינה</w:t>
      </w:r>
      <w:bookmarkEnd w:id="432"/>
    </w:p>
    <w:p w14:paraId="0A23406B" w14:textId="5D84696B" w:rsidR="009623A2" w:rsidRDefault="009623A2" w:rsidP="00BC7DC8">
      <w:pPr>
        <w:pStyle w:val="a3"/>
      </w:pPr>
      <w:bookmarkStart w:id="433" w:name="_Ref133835560"/>
      <w:bookmarkStart w:id="434" w:name="_Ref133575370"/>
      <w:r>
        <w:rPr>
          <w:rFonts w:hint="cs"/>
          <w:rtl/>
        </w:rPr>
        <w:t xml:space="preserve">כתב </w:t>
      </w:r>
      <w:r w:rsidRPr="00C444C9">
        <w:rPr>
          <w:rStyle w:val="aff4"/>
          <w:rFonts w:hint="cs"/>
          <w:vanish/>
          <w:rtl/>
        </w:rPr>
        <w:t>-</w:t>
      </w:r>
      <w:r w:rsidRPr="004F32D2">
        <w:rPr>
          <w:rStyle w:val="aff4"/>
          <w:rFonts w:hint="cs"/>
          <w:rtl/>
        </w:rPr>
        <w:t>ה</w:t>
      </w:r>
      <w:r w:rsidRPr="00C444C9">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Ref133575370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צח)</w:t>
      </w:r>
      <w:r>
        <w:rPr>
          <w:rStyle w:val="aff4"/>
          <w:vanish/>
          <w:rtl/>
        </w:rPr>
        <w:fldChar w:fldCharType="end"/>
      </w:r>
      <w:r>
        <w:rPr>
          <w:rStyle w:val="aff4"/>
          <w:rFonts w:hint="cs"/>
          <w:vanish/>
          <w:rtl/>
        </w:rPr>
        <w:t xml:space="preserve"> </w:t>
      </w:r>
      <w:r w:rsidRPr="00C444C9">
        <w:rPr>
          <w:rStyle w:val="aff4"/>
          <w:rFonts w:hint="cs"/>
          <w:vanish/>
          <w:rtl/>
        </w:rPr>
        <w:t>&gt;</w:t>
      </w:r>
      <w:r w:rsidRPr="004F32D2">
        <w:rPr>
          <w:rStyle w:val="aff4"/>
          <w:rFonts w:hint="cs"/>
          <w:rtl/>
        </w:rPr>
        <w:t>חיי אדם</w:t>
      </w:r>
      <w:r w:rsidRPr="00C444C9">
        <w:rPr>
          <w:rStyle w:val="aff4"/>
          <w:rFonts w:hint="cs"/>
          <w:vanish/>
          <w:rtl/>
        </w:rPr>
        <w:t>-</w:t>
      </w:r>
      <w:r>
        <w:rPr>
          <w:rFonts w:hint="cs"/>
          <w:rtl/>
        </w:rPr>
        <w:t xml:space="preserve"> </w:t>
      </w:r>
      <w:r w:rsidRPr="002A0D0C">
        <w:rPr>
          <w:rStyle w:val="af2"/>
          <w:rFonts w:eastAsia="Guttman Hodes" w:hint="cs"/>
          <w:rtl/>
        </w:rPr>
        <w:t>(שבת כלל י"א ב')</w:t>
      </w:r>
      <w:r w:rsidRPr="00350A80">
        <w:rPr>
          <w:rFonts w:hint="cs"/>
          <w:vanish/>
          <w:rtl/>
        </w:rPr>
        <w:t>=</w:t>
      </w:r>
      <w:r>
        <w:rPr>
          <w:rFonts w:hint="cs"/>
          <w:rtl/>
        </w:rPr>
        <w:t xml:space="preserve"> דהשורה חיטין במים בכוונה שיתרככו ויצמחו, כמו שהדרך לשרות קטניות במים לפני שזורעין אותם, וכן מי ששורה חיטין במים בכדי לעשות מהם חיטה נבוטה לשיכר, דידוע דכוונתו להצמיח, חייב אפילו בשרה גרגיר אחד, וכתב </w:t>
      </w:r>
      <w:r w:rsidRPr="00C444C9">
        <w:rPr>
          <w:rStyle w:val="aff4"/>
          <w:rFonts w:hint="cs"/>
          <w:vanish/>
          <w:rtl/>
        </w:rPr>
        <w:t>-</w:t>
      </w:r>
      <w:r w:rsidRPr="004F32D2">
        <w:rPr>
          <w:rStyle w:val="aff4"/>
          <w:rFonts w:hint="cs"/>
          <w:rtl/>
        </w:rPr>
        <w:t>החיי אדם</w:t>
      </w:r>
      <w:r w:rsidRPr="00C444C9">
        <w:rPr>
          <w:rStyle w:val="aff4"/>
          <w:rFonts w:hint="cs"/>
          <w:vanish/>
          <w:rtl/>
        </w:rPr>
        <w:t>-</w:t>
      </w:r>
      <w:r>
        <w:rPr>
          <w:rFonts w:hint="cs"/>
          <w:rtl/>
        </w:rPr>
        <w:t xml:space="preserve"> דנראה דחייב מיד כשנתנם בתוך המים, ודלא </w:t>
      </w:r>
      <w:r w:rsidRPr="00C444C9">
        <w:rPr>
          <w:rStyle w:val="aff4"/>
          <w:rFonts w:hint="cs"/>
          <w:vanish/>
          <w:rtl/>
        </w:rPr>
        <w:t>-</w:t>
      </w:r>
      <w:r w:rsidRPr="004F32D2">
        <w:rPr>
          <w:rStyle w:val="aff4"/>
          <w:rFonts w:hint="cs"/>
          <w:rtl/>
        </w:rPr>
        <w:t>כהמג"א</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Ref133749987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צד)</w:t>
      </w:r>
      <w:r>
        <w:rPr>
          <w:rStyle w:val="af2"/>
          <w:rFonts w:eastAsia="Guttman Hodes"/>
          <w:rtl/>
        </w:rPr>
        <w:fldChar w:fldCharType="end"/>
      </w:r>
      <w:r>
        <w:rPr>
          <w:rFonts w:hint="cs"/>
          <w:rtl/>
        </w:rPr>
        <w:t>.</w:t>
      </w:r>
      <w:bookmarkEnd w:id="433"/>
    </w:p>
    <w:p w14:paraId="056B0F62" w14:textId="77777777" w:rsidR="009623A2" w:rsidRPr="00747170" w:rsidRDefault="009623A2" w:rsidP="00747170">
      <w:pPr>
        <w:pStyle w:val="a2"/>
      </w:pPr>
      <w:r w:rsidRPr="00747170">
        <w:rPr>
          <w:rtl/>
        </w:rPr>
        <w:t>השורה חטים ושאר זרעונים במים כדי שיתרככו ויצמיחו כדרך ששורין קטניות קודם הזריעה וכן השורה תבואה לעשות מהן מלצי"ן [חטה נבוטה] וידוע דכוונתו להצמיח, חייב, ואפילו בגרגיר אחד. ונראה לי דתיכף משנתן למים, חייב (ודלא כמ"א).</w:t>
      </w:r>
    </w:p>
    <w:p w14:paraId="7739D327" w14:textId="77777777" w:rsidR="009623A2" w:rsidRDefault="009623A2" w:rsidP="009623A2">
      <w:pPr>
        <w:pStyle w:val="a7"/>
      </w:pPr>
      <w:bookmarkStart w:id="435" w:name="_Toc134419691"/>
      <w:r>
        <w:rPr>
          <w:rFonts w:hint="cs"/>
          <w:rtl/>
        </w:rPr>
        <w:t>בי' החיי"א דבנותן חיטין במים ואין כוונתו להצמיח מותר כבשורה חיטין לבהמתו דלא מצמיח</w:t>
      </w:r>
      <w:bookmarkEnd w:id="435"/>
    </w:p>
    <w:p w14:paraId="006673FC" w14:textId="43F29FAF" w:rsidR="009623A2" w:rsidRPr="0074012E" w:rsidRDefault="009623A2" w:rsidP="00BC7DC8">
      <w:pPr>
        <w:pStyle w:val="a3"/>
        <w:rPr>
          <w:rtl/>
        </w:rPr>
      </w:pPr>
      <w:r>
        <w:rPr>
          <w:rFonts w:hint="cs"/>
          <w:rtl/>
        </w:rPr>
        <w:t xml:space="preserve">אך כתב </w:t>
      </w:r>
      <w:r w:rsidRPr="00C444C9">
        <w:rPr>
          <w:rStyle w:val="aff4"/>
          <w:rFonts w:hint="cs"/>
          <w:vanish/>
          <w:rtl/>
        </w:rPr>
        <w:t>-</w:t>
      </w:r>
      <w:r w:rsidRPr="004F32D2">
        <w:rPr>
          <w:rStyle w:val="aff4"/>
          <w:rFonts w:hint="cs"/>
          <w:rtl/>
        </w:rPr>
        <w:t>החיי אדם</w:t>
      </w:r>
      <w:r w:rsidRPr="00C444C9">
        <w:rPr>
          <w:rStyle w:val="aff4"/>
          <w:rFonts w:hint="cs"/>
          <w:vanish/>
          <w:rtl/>
        </w:rPr>
        <w:t>-</w:t>
      </w:r>
      <w:r>
        <w:rPr>
          <w:rFonts w:hint="cs"/>
          <w:rtl/>
        </w:rPr>
        <w:t xml:space="preserve"> דאם אין כוונתו להצמיח מותר, כגון ששורה תבואה במים לבהמתו, דכוונתו רק לרכך את התבואה וגם אינה באה לידי הצמחה כלל, ודלא </w:t>
      </w:r>
      <w:r w:rsidRPr="00C444C9">
        <w:rPr>
          <w:rStyle w:val="aff4"/>
          <w:rFonts w:hint="cs"/>
          <w:vanish/>
          <w:rtl/>
        </w:rPr>
        <w:t>-</w:t>
      </w:r>
      <w:r w:rsidRPr="004F32D2">
        <w:rPr>
          <w:rStyle w:val="aff4"/>
          <w:rFonts w:hint="cs"/>
          <w:rtl/>
        </w:rPr>
        <w:t>כהמג"א</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Ref133749987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צד)</w:t>
      </w:r>
      <w:r>
        <w:rPr>
          <w:rStyle w:val="af2"/>
          <w:rFonts w:eastAsia="Guttman Hodes"/>
          <w:rtl/>
        </w:rPr>
        <w:fldChar w:fldCharType="end"/>
      </w:r>
      <w:r>
        <w:rPr>
          <w:rFonts w:hint="cs"/>
          <w:rtl/>
        </w:rPr>
        <w:t>.</w:t>
      </w:r>
      <w:bookmarkEnd w:id="434"/>
    </w:p>
    <w:p w14:paraId="757C44EA" w14:textId="77777777" w:rsidR="009623A2" w:rsidRPr="00747170" w:rsidRDefault="009623A2" w:rsidP="00747170">
      <w:pPr>
        <w:pStyle w:val="a2"/>
      </w:pPr>
      <w:r w:rsidRPr="00747170">
        <w:rPr>
          <w:rtl/>
        </w:rPr>
        <w:t>אבל מותר לשרות תבואה לבהמתו, דאין כוונתו רק להתרכך, וכן כל כיוצא בזה שאין כוונתו להצמיח כלל וגם לא יבא לידי הצמחה.</w:t>
      </w:r>
    </w:p>
    <w:p w14:paraId="3B6CB1F5" w14:textId="507AB529" w:rsidR="009623A2" w:rsidRDefault="009623A2" w:rsidP="009623A2">
      <w:pPr>
        <w:pStyle w:val="afffff7"/>
        <w:rPr>
          <w:rtl/>
        </w:rPr>
      </w:pPr>
      <w:bookmarkStart w:id="436" w:name="_Toc133841690"/>
      <w:bookmarkStart w:id="437" w:name="_Toc163505440"/>
      <w:r>
        <w:rPr>
          <w:rtl/>
        </w:rPr>
        <w:t xml:space="preserve">נשמת אדם הלכות שבת כלל יא </w:t>
      </w:r>
      <w:r>
        <w:rPr>
          <w:rFonts w:hint="cs"/>
          <w:rtl/>
        </w:rPr>
        <w:t>אות</w:t>
      </w:r>
      <w:r>
        <w:rPr>
          <w:rtl/>
        </w:rPr>
        <w:t xml:space="preserve"> א</w:t>
      </w:r>
      <w:bookmarkEnd w:id="436"/>
      <w:bookmarkEnd w:id="437"/>
    </w:p>
    <w:p w14:paraId="53F3C9E9" w14:textId="77777777" w:rsidR="009623A2" w:rsidRDefault="009623A2" w:rsidP="009623A2">
      <w:pPr>
        <w:pStyle w:val="a7"/>
        <w:rPr>
          <w:rtl/>
        </w:rPr>
      </w:pPr>
      <w:bookmarkStart w:id="438" w:name="_Toc134419692"/>
      <w:r>
        <w:rPr>
          <w:rFonts w:hint="cs"/>
          <w:rtl/>
        </w:rPr>
        <w:t>דחיית הנשמ"א למג"א דלמג"א ע"י עכו"ם מותר אף להצמיח וא"א לחלק בין חצי יום לפחות</w:t>
      </w:r>
      <w:bookmarkEnd w:id="438"/>
      <w:r>
        <w:rPr>
          <w:rFonts w:hint="cs"/>
          <w:rtl/>
        </w:rPr>
        <w:t xml:space="preserve"> </w:t>
      </w:r>
    </w:p>
    <w:p w14:paraId="4A95DB8A" w14:textId="09200641" w:rsidR="009623A2" w:rsidRPr="00994398" w:rsidRDefault="009623A2" w:rsidP="00BC7DC8">
      <w:pPr>
        <w:pStyle w:val="a3"/>
        <w:rPr>
          <w:rtl/>
        </w:rPr>
      </w:pPr>
      <w:bookmarkStart w:id="439" w:name="_Ref133575399"/>
      <w:r>
        <w:rPr>
          <w:rFonts w:hint="cs"/>
          <w:rtl/>
        </w:rPr>
        <w:t xml:space="preserve">ובמ"ש </w:t>
      </w:r>
      <w:r w:rsidRPr="00C444C9">
        <w:rPr>
          <w:rStyle w:val="aff4"/>
          <w:rFonts w:hint="cs"/>
          <w:vanish/>
          <w:rtl/>
        </w:rPr>
        <w:t>-</w:t>
      </w:r>
      <w:r w:rsidRPr="004F32D2">
        <w:rPr>
          <w:rStyle w:val="aff4"/>
          <w:rFonts w:hint="cs"/>
          <w:rtl/>
        </w:rPr>
        <w:t>המג"א</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Ref133749987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צד)</w:t>
      </w:r>
      <w:r>
        <w:rPr>
          <w:rStyle w:val="af2"/>
          <w:rFonts w:eastAsia="Guttman Hodes"/>
          <w:rtl/>
        </w:rPr>
        <w:fldChar w:fldCharType="end"/>
      </w:r>
      <w:r>
        <w:rPr>
          <w:rFonts w:hint="cs"/>
          <w:rtl/>
        </w:rPr>
        <w:t xml:space="preserve"> דהאיסור בשורה חיטין במים הוא רק בשורה לזמן מרובה כמו חצי היום, כתב </w:t>
      </w:r>
      <w:r w:rsidRPr="00C444C9">
        <w:rPr>
          <w:rStyle w:val="aff4"/>
          <w:rFonts w:hint="cs"/>
          <w:vanish/>
          <w:rtl/>
        </w:rPr>
        <w:t>-</w:t>
      </w:r>
      <w:r w:rsidRPr="004F32D2">
        <w:rPr>
          <w:rStyle w:val="aff4"/>
          <w:rFonts w:hint="cs"/>
          <w:rtl/>
        </w:rPr>
        <w:t>ה</w:t>
      </w:r>
      <w:r w:rsidRPr="00C444C9">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Ref133575399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ק)</w:t>
      </w:r>
      <w:r>
        <w:rPr>
          <w:rStyle w:val="aff4"/>
          <w:vanish/>
          <w:rtl/>
        </w:rPr>
        <w:fldChar w:fldCharType="end"/>
      </w:r>
      <w:r w:rsidRPr="00C444C9">
        <w:rPr>
          <w:rStyle w:val="aff4"/>
          <w:rFonts w:hint="cs"/>
          <w:vanish/>
          <w:rtl/>
        </w:rPr>
        <w:t xml:space="preserve"> &gt;</w:t>
      </w:r>
      <w:r w:rsidRPr="004F32D2">
        <w:rPr>
          <w:rStyle w:val="aff4"/>
          <w:rFonts w:hint="cs"/>
          <w:rtl/>
        </w:rPr>
        <w:t>נשמת אדם</w:t>
      </w:r>
      <w:r w:rsidRPr="00C444C9">
        <w:rPr>
          <w:rStyle w:val="aff4"/>
          <w:rFonts w:hint="cs"/>
          <w:vanish/>
          <w:rtl/>
        </w:rPr>
        <w:t>-</w:t>
      </w:r>
      <w:r>
        <w:rPr>
          <w:rFonts w:hint="cs"/>
          <w:rtl/>
        </w:rPr>
        <w:t xml:space="preserve"> </w:t>
      </w:r>
      <w:r w:rsidRPr="002A0D0C">
        <w:rPr>
          <w:rStyle w:val="af2"/>
          <w:rFonts w:eastAsia="Guttman Hodes" w:hint="cs"/>
          <w:rtl/>
        </w:rPr>
        <w:t>(שבת כלל י"א אות א')</w:t>
      </w:r>
      <w:r w:rsidRPr="00350A80">
        <w:rPr>
          <w:rFonts w:hint="cs"/>
          <w:vanish/>
          <w:rtl/>
        </w:rPr>
        <w:t>=</w:t>
      </w:r>
      <w:r>
        <w:rPr>
          <w:rFonts w:hint="cs"/>
          <w:rtl/>
        </w:rPr>
        <w:t xml:space="preserve"> דלפי"ז במקום הפסד מותר לומר לנכרי לשרות חיטין במים סמוך לחשיכה, אף באופן שכוונתו להשרותם בכדי לעשות חיטה נבוטה</w:t>
      </w:r>
      <w:r w:rsidRPr="009F53DE">
        <w:rPr>
          <w:rFonts w:hint="cs"/>
          <w:rtl/>
        </w:rPr>
        <w:t xml:space="preserve"> </w:t>
      </w:r>
      <w:r>
        <w:rPr>
          <w:rFonts w:hint="cs"/>
          <w:rtl/>
        </w:rPr>
        <w:t xml:space="preserve">לשיכר, כיון דבשבת אינו שורה את החיטין לחצי היום, ודחה </w:t>
      </w:r>
      <w:r w:rsidRPr="00C444C9">
        <w:rPr>
          <w:rStyle w:val="aff4"/>
          <w:rFonts w:hint="cs"/>
          <w:vanish/>
          <w:rtl/>
        </w:rPr>
        <w:t>-</w:t>
      </w:r>
      <w:r w:rsidRPr="004F32D2">
        <w:rPr>
          <w:rStyle w:val="aff4"/>
          <w:rFonts w:hint="cs"/>
          <w:rtl/>
        </w:rPr>
        <w:t>הנשמת אדם</w:t>
      </w:r>
      <w:r w:rsidRPr="00C444C9">
        <w:rPr>
          <w:rStyle w:val="aff4"/>
          <w:rFonts w:hint="cs"/>
          <w:vanish/>
          <w:rtl/>
        </w:rPr>
        <w:t>-</w:t>
      </w:r>
      <w:r>
        <w:rPr>
          <w:rFonts w:hint="cs"/>
          <w:rtl/>
        </w:rPr>
        <w:t xml:space="preserve"> דאין כל סברא לחלק בין חצי יום לכמה שעות, דהא אף אם ישרה חצי יום ידוע שאינו צומח בזמן כזה.</w:t>
      </w:r>
      <w:bookmarkEnd w:id="439"/>
    </w:p>
    <w:p w14:paraId="72142C8C" w14:textId="77777777" w:rsidR="009623A2" w:rsidRPr="00747170" w:rsidRDefault="009623A2" w:rsidP="00747170">
      <w:pPr>
        <w:pStyle w:val="a2"/>
      </w:pPr>
      <w:r w:rsidRPr="00747170">
        <w:rPr>
          <w:rtl/>
        </w:rPr>
        <w:t>בסימן של"ו השורה חטים במים הרי זה תולדת זורע, והם דברי רמב"ם בפ"ח, ועיין שם במ"א שהקשה דאדרבה מסוגיא דזבחים משמע דאינו חייב משום זורע וכן הקשו כל אחרונים, ולכן כתב המ"א דדוקא בשורה חצי יום חייב, דהא מעשים בכל יום ששורין תבואה לבהמות בשבת ע"ש. וכפי הנראה מדבריו היה אפשר להתיר במקום הפסד לומר להנכרי בשבת סמוך לחשיכה לשרות שעורים לעשות מאלצי"ן כיון שלא ישרה חצי יום בשבת. ולענ"ד דבר זה אינו אלא דברי נביאות לחלק בין חצי יום לאיזה שעות, דאף אם ישרה חצי יום ידוע שעדיין לא יצמח.</w:t>
      </w:r>
    </w:p>
    <w:p w14:paraId="0AFDFAE3" w14:textId="195E146C" w:rsidR="009623A2" w:rsidRPr="00601ADD" w:rsidRDefault="009623A2" w:rsidP="009623A2">
      <w:pPr>
        <w:pStyle w:val="afffff7"/>
        <w:rPr>
          <w:rtl/>
        </w:rPr>
      </w:pPr>
      <w:bookmarkStart w:id="440" w:name="_Toc133841691"/>
      <w:bookmarkStart w:id="441" w:name="_Toc163505441"/>
      <w:r w:rsidRPr="00601ADD">
        <w:rPr>
          <w:rtl/>
        </w:rPr>
        <w:t xml:space="preserve">נשמת אדם הלכות שבת כלל יא </w:t>
      </w:r>
      <w:r w:rsidRPr="00601ADD">
        <w:rPr>
          <w:rFonts w:hint="cs"/>
          <w:rtl/>
        </w:rPr>
        <w:t>אות</w:t>
      </w:r>
      <w:r w:rsidRPr="00601ADD">
        <w:rPr>
          <w:rtl/>
        </w:rPr>
        <w:t xml:space="preserve"> א</w:t>
      </w:r>
      <w:r>
        <w:rPr>
          <w:rFonts w:hint="cs"/>
          <w:rtl/>
        </w:rPr>
        <w:t xml:space="preserve"> ד"ה </w:t>
      </w:r>
      <w:r w:rsidRPr="00CB00E7">
        <w:rPr>
          <w:rtl/>
        </w:rPr>
        <w:t>והגהות מימוניות</w:t>
      </w:r>
      <w:bookmarkEnd w:id="440"/>
      <w:bookmarkEnd w:id="441"/>
    </w:p>
    <w:p w14:paraId="4C8E8C0A" w14:textId="77777777" w:rsidR="009623A2" w:rsidRDefault="009623A2" w:rsidP="009623A2">
      <w:pPr>
        <w:pStyle w:val="a7"/>
        <w:rPr>
          <w:rtl/>
        </w:rPr>
      </w:pPr>
      <w:bookmarkStart w:id="442" w:name="_Toc134419693"/>
      <w:r>
        <w:rPr>
          <w:rFonts w:hint="cs"/>
          <w:rtl/>
        </w:rPr>
        <w:t>קו' הנשמ"א דאי שרייה במים היא דרך חייב מיד כמו בקרקע ואי אינה דרך אף לזמן מרובה פטור</w:t>
      </w:r>
      <w:bookmarkEnd w:id="442"/>
    </w:p>
    <w:p w14:paraId="139F309B" w14:textId="2454F45C" w:rsidR="009623A2" w:rsidRPr="009C05C9" w:rsidRDefault="009623A2" w:rsidP="00BC7DC8">
      <w:pPr>
        <w:pStyle w:val="a3"/>
      </w:pPr>
      <w:bookmarkStart w:id="443" w:name="_Ref133575470"/>
      <w:r>
        <w:rPr>
          <w:rFonts w:hint="cs"/>
          <w:rtl/>
        </w:rPr>
        <w:t xml:space="preserve">ועוד הקשה </w:t>
      </w:r>
      <w:bookmarkStart w:id="444" w:name="_Hlk132597535"/>
      <w:r w:rsidRPr="00C444C9">
        <w:rPr>
          <w:rStyle w:val="aff4"/>
          <w:rFonts w:hint="cs"/>
          <w:vanish/>
          <w:rtl/>
        </w:rPr>
        <w:t>-</w:t>
      </w:r>
      <w:r w:rsidRPr="004F32D2">
        <w:rPr>
          <w:rStyle w:val="aff4"/>
          <w:rFonts w:hint="cs"/>
          <w:rtl/>
        </w:rPr>
        <w:t>ה</w:t>
      </w:r>
      <w:r w:rsidRPr="00C444C9">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Ref133575470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קא)</w:t>
      </w:r>
      <w:r>
        <w:rPr>
          <w:rStyle w:val="aff4"/>
          <w:vanish/>
          <w:rtl/>
        </w:rPr>
        <w:fldChar w:fldCharType="end"/>
      </w:r>
      <w:r w:rsidRPr="00C444C9">
        <w:rPr>
          <w:rStyle w:val="aff4"/>
          <w:rFonts w:hint="cs"/>
          <w:vanish/>
          <w:rtl/>
        </w:rPr>
        <w:t xml:space="preserve"> &gt;</w:t>
      </w:r>
      <w:r w:rsidRPr="004F32D2">
        <w:rPr>
          <w:rStyle w:val="aff4"/>
          <w:rFonts w:hint="cs"/>
          <w:rtl/>
        </w:rPr>
        <w:t>נשמת אדם</w:t>
      </w:r>
      <w:r w:rsidRPr="00C444C9">
        <w:rPr>
          <w:rStyle w:val="aff4"/>
          <w:rFonts w:hint="cs"/>
          <w:vanish/>
          <w:rtl/>
        </w:rPr>
        <w:t>-</w:t>
      </w:r>
      <w:r>
        <w:rPr>
          <w:rFonts w:hint="cs"/>
          <w:rtl/>
        </w:rPr>
        <w:t xml:space="preserve"> </w:t>
      </w:r>
      <w:r w:rsidRPr="002A0D0C">
        <w:rPr>
          <w:rStyle w:val="af2"/>
          <w:rFonts w:eastAsia="Guttman Hodes" w:hint="cs"/>
          <w:rtl/>
        </w:rPr>
        <w:t xml:space="preserve">(שבת כלל י"א אות א' ד"ה </w:t>
      </w:r>
      <w:r w:rsidRPr="002A0D0C">
        <w:rPr>
          <w:rStyle w:val="af2"/>
          <w:rFonts w:eastAsia="Guttman Hodes"/>
          <w:rtl/>
        </w:rPr>
        <w:t>והגהות מימוניות</w:t>
      </w:r>
      <w:r w:rsidRPr="002A0D0C">
        <w:rPr>
          <w:rStyle w:val="af2"/>
          <w:rFonts w:eastAsia="Guttman Hodes" w:hint="cs"/>
          <w:rtl/>
        </w:rPr>
        <w:t>)</w:t>
      </w:r>
      <w:r w:rsidRPr="00350A80">
        <w:rPr>
          <w:rFonts w:hint="cs"/>
          <w:vanish/>
          <w:rtl/>
        </w:rPr>
        <w:t>=</w:t>
      </w:r>
      <w:r>
        <w:rPr>
          <w:rFonts w:hint="cs"/>
          <w:rtl/>
        </w:rPr>
        <w:t xml:space="preserve">  </w:t>
      </w:r>
      <w:bookmarkEnd w:id="444"/>
      <w:r>
        <w:rPr>
          <w:rFonts w:hint="cs"/>
          <w:rtl/>
        </w:rPr>
        <w:t xml:space="preserve">על </w:t>
      </w:r>
      <w:r w:rsidRPr="00C444C9">
        <w:rPr>
          <w:rStyle w:val="aff4"/>
          <w:rFonts w:hint="cs"/>
          <w:vanish/>
          <w:rtl/>
        </w:rPr>
        <w:t>-</w:t>
      </w:r>
      <w:r w:rsidRPr="004F32D2">
        <w:rPr>
          <w:rStyle w:val="aff4"/>
          <w:rFonts w:hint="cs"/>
          <w:rtl/>
        </w:rPr>
        <w:t>המג"א</w:t>
      </w:r>
      <w:r w:rsidRPr="00C444C9">
        <w:rPr>
          <w:rStyle w:val="aff4"/>
          <w:rFonts w:hint="cs"/>
          <w:vanish/>
          <w:rtl/>
        </w:rPr>
        <w:t>-</w:t>
      </w:r>
      <w:r>
        <w:rPr>
          <w:rFonts w:hint="cs"/>
          <w:rtl/>
        </w:rPr>
        <w:t xml:space="preserve"> דאי השורה חיטין במים דרך זריעה בכך, א"כ מ"ש מזורע בקרקע דחייב מיד, בשעה שחיפה את הזרע בעפר אעפ"י דהזרע צומח רק לאחר כמה ימים, ואי שרייה במים אינה דרך זריעה, א"כ אף לזמן מרובה יהיה פטור, ועי' במה שתירץ </w:t>
      </w:r>
      <w:r w:rsidRPr="00C444C9">
        <w:rPr>
          <w:rStyle w:val="aff4"/>
          <w:rFonts w:hint="cs"/>
          <w:vanish/>
          <w:rtl/>
        </w:rPr>
        <w:t>-</w:t>
      </w:r>
      <w:r w:rsidRPr="004F32D2">
        <w:rPr>
          <w:rStyle w:val="aff4"/>
          <w:rFonts w:hint="cs"/>
          <w:rtl/>
        </w:rPr>
        <w:t>השביתת השבת</w:t>
      </w:r>
      <w:r w:rsidRPr="00C444C9">
        <w:rPr>
          <w:rStyle w:val="aff4"/>
          <w:rFonts w:hint="cs"/>
          <w:vanish/>
          <w:rtl/>
        </w:rPr>
        <w:t>-</w:t>
      </w:r>
      <w:r>
        <w:rPr>
          <w:rFonts w:hint="cs"/>
          <w:rtl/>
        </w:rPr>
        <w:t xml:space="preserve"> </w:t>
      </w:r>
      <w:r>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Ref133574485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קיג)</w:t>
      </w:r>
      <w:r>
        <w:rPr>
          <w:rStyle w:val="af2"/>
          <w:rFonts w:eastAsia="Guttman Hodes"/>
          <w:rtl/>
        </w:rPr>
        <w:fldChar w:fldCharType="end"/>
      </w:r>
      <w:r>
        <w:rPr>
          <w:rFonts w:hint="cs"/>
          <w:rtl/>
        </w:rPr>
        <w:t>.</w:t>
      </w:r>
      <w:bookmarkEnd w:id="443"/>
    </w:p>
    <w:p w14:paraId="5D185D09" w14:textId="77777777" w:rsidR="009623A2" w:rsidRPr="00747170" w:rsidRDefault="009623A2" w:rsidP="00747170">
      <w:pPr>
        <w:pStyle w:val="a2"/>
        <w:rPr>
          <w:rtl/>
        </w:rPr>
      </w:pPr>
      <w:r w:rsidRPr="00747170">
        <w:rPr>
          <w:rtl/>
        </w:rPr>
        <w:t>ועוד קשה דממה נפשך דאם דרך זריעה בכך, אם כן מאי שנא מזורע בקרקע דחייב תיכף משיחפה בעפר אף על גב דלא יצמיח עד אחר כמה ימים, ואם אין דרך זריעה בכך מה בכך ששרה חצי יום או חודש ימים:</w:t>
      </w:r>
    </w:p>
    <w:p w14:paraId="0AB5FAFD" w14:textId="7C6C4129" w:rsidR="009623A2" w:rsidRDefault="009623A2" w:rsidP="009623A2">
      <w:pPr>
        <w:pStyle w:val="a7"/>
        <w:rPr>
          <w:rtl/>
        </w:rPr>
      </w:pPr>
      <w:bookmarkStart w:id="445" w:name="_Toc134419694"/>
      <w:r>
        <w:rPr>
          <w:rFonts w:hint="cs"/>
          <w:rtl/>
        </w:rPr>
        <w:t>בי' הנשמ"א ביראים דמשליך לזמן שלא יצמח אף במקום לח מותר ודלא כמג"א דאסר במים</w:t>
      </w:r>
      <w:bookmarkEnd w:id="445"/>
    </w:p>
    <w:p w14:paraId="026A71CA" w14:textId="3B1BCA0D" w:rsidR="009623A2" w:rsidRPr="00003053" w:rsidRDefault="009623A2" w:rsidP="00BC7DC8">
      <w:pPr>
        <w:pStyle w:val="a3"/>
      </w:pPr>
      <w:bookmarkStart w:id="446" w:name="_Ref133751371"/>
      <w:r>
        <w:rPr>
          <w:rFonts w:hint="cs"/>
          <w:rtl/>
        </w:rPr>
        <w:t xml:space="preserve">והביא </w:t>
      </w:r>
      <w:r w:rsidRPr="00C444C9">
        <w:rPr>
          <w:rStyle w:val="aff4"/>
          <w:rFonts w:hint="cs"/>
          <w:vanish/>
          <w:rtl/>
        </w:rPr>
        <w:t>-</w:t>
      </w:r>
      <w:r w:rsidRPr="004F32D2">
        <w:rPr>
          <w:rStyle w:val="aff4"/>
          <w:rFonts w:hint="cs"/>
          <w:rtl/>
        </w:rPr>
        <w:t>הנשמת אדם</w:t>
      </w:r>
      <w:r w:rsidRPr="00C444C9">
        <w:rPr>
          <w:rStyle w:val="aff4"/>
          <w:rFonts w:hint="cs"/>
          <w:vanish/>
          <w:rtl/>
        </w:rPr>
        <w:t>-</w:t>
      </w:r>
      <w:r>
        <w:rPr>
          <w:rFonts w:hint="cs"/>
          <w:rtl/>
        </w:rPr>
        <w:t xml:space="preserve"> את מ"ש </w:t>
      </w:r>
      <w:r w:rsidRPr="00C444C9">
        <w:rPr>
          <w:rStyle w:val="aff4"/>
          <w:rFonts w:hint="cs"/>
          <w:vanish/>
          <w:rtl/>
        </w:rPr>
        <w:t>-</w:t>
      </w:r>
      <w:r w:rsidRPr="004F32D2">
        <w:rPr>
          <w:rStyle w:val="aff4"/>
          <w:rFonts w:hint="cs"/>
          <w:rtl/>
        </w:rPr>
        <w:t>ההג"מ והשו"ע</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sidRPr="002A0D0C">
        <w:rPr>
          <w:rStyle w:val="af2"/>
          <w:rFonts w:eastAsia="Guttman Hodes"/>
          <w:rtl/>
        </w:rPr>
        <w:fldChar w:fldCharType="begin"/>
      </w:r>
      <w:r w:rsidRPr="002A0D0C">
        <w:rPr>
          <w:rStyle w:val="af2"/>
          <w:rFonts w:eastAsia="Guttman Hodes"/>
          <w:rtl/>
        </w:rPr>
        <w:instrText xml:space="preserve"> </w:instrText>
      </w:r>
      <w:r w:rsidRPr="002A0D0C">
        <w:rPr>
          <w:rStyle w:val="af2"/>
          <w:rFonts w:eastAsia="Guttman Hodes" w:hint="cs"/>
        </w:rPr>
        <w:instrText>REF</w:instrText>
      </w:r>
      <w:r w:rsidRPr="002A0D0C">
        <w:rPr>
          <w:rStyle w:val="af2"/>
          <w:rFonts w:eastAsia="Guttman Hodes" w:hint="cs"/>
          <w:rtl/>
        </w:rPr>
        <w:instrText xml:space="preserve"> _</w:instrText>
      </w:r>
      <w:r w:rsidRPr="002A0D0C">
        <w:rPr>
          <w:rStyle w:val="af2"/>
          <w:rFonts w:eastAsia="Guttman Hodes" w:hint="cs"/>
        </w:rPr>
        <w:instrText>Ref133574486 \r \h</w:instrText>
      </w:r>
      <w:r w:rsidRPr="002A0D0C">
        <w:rPr>
          <w:rStyle w:val="af2"/>
          <w:rFonts w:eastAsia="Guttman Hodes"/>
          <w:rtl/>
        </w:rPr>
        <w:instrText xml:space="preserve"> </w:instrText>
      </w:r>
      <w:r w:rsidRPr="002A0D0C">
        <w:rPr>
          <w:rStyle w:val="af2"/>
          <w:rFonts w:eastAsia="Guttman Hodes"/>
          <w:rtl/>
        </w:rPr>
      </w:r>
      <w:r w:rsidRPr="002A0D0C">
        <w:rPr>
          <w:rStyle w:val="af2"/>
          <w:rFonts w:eastAsia="Guttman Hodes"/>
          <w:rtl/>
        </w:rPr>
        <w:fldChar w:fldCharType="separate"/>
      </w:r>
      <w:r w:rsidR="00D82181">
        <w:rPr>
          <w:rStyle w:val="af2"/>
          <w:rFonts w:eastAsia="Guttman Hodes"/>
          <w:cs/>
        </w:rPr>
        <w:t>‎</w:t>
      </w:r>
      <w:r w:rsidR="00D82181">
        <w:rPr>
          <w:rStyle w:val="af2"/>
          <w:rFonts w:eastAsia="Guttman Hodes"/>
          <w:rtl/>
        </w:rPr>
        <w:t>קיד)</w:t>
      </w:r>
      <w:r w:rsidRPr="002A0D0C">
        <w:rPr>
          <w:rStyle w:val="af2"/>
          <w:rFonts w:eastAsia="Guttman Hodes"/>
          <w:rtl/>
        </w:rPr>
        <w:fldChar w:fldCharType="end"/>
      </w:r>
      <w:r>
        <w:rPr>
          <w:rFonts w:hint="cs"/>
          <w:rtl/>
        </w:rPr>
        <w:t xml:space="preserve"> את דברי </w:t>
      </w:r>
      <w:r w:rsidRPr="00C444C9">
        <w:rPr>
          <w:rStyle w:val="aff4"/>
          <w:rFonts w:hint="cs"/>
          <w:vanish/>
          <w:rtl/>
        </w:rPr>
        <w:t>-</w:t>
      </w:r>
      <w:r w:rsidRPr="004F32D2">
        <w:rPr>
          <w:rStyle w:val="aff4"/>
          <w:rFonts w:hint="cs"/>
          <w:rtl/>
        </w:rPr>
        <w:t>היראים</w:t>
      </w:r>
      <w:r w:rsidRPr="00C444C9">
        <w:rPr>
          <w:rStyle w:val="aff4"/>
          <w:rFonts w:hint="cs"/>
          <w:vanish/>
          <w:rtl/>
        </w:rPr>
        <w:t>-</w:t>
      </w:r>
      <w:r>
        <w:rPr>
          <w:rFonts w:hint="cs"/>
          <w:rtl/>
        </w:rPr>
        <w:t xml:space="preserve"> דמותר להשליך חיטין לתרנגולין בשיעור שהם אוכלים יום או יומיים, ואת מה שהקשה </w:t>
      </w:r>
      <w:r w:rsidRPr="00C444C9">
        <w:rPr>
          <w:rStyle w:val="aff4"/>
          <w:rFonts w:hint="cs"/>
          <w:vanish/>
          <w:rtl/>
        </w:rPr>
        <w:t>-</w:t>
      </w:r>
      <w:r w:rsidRPr="004F32D2">
        <w:rPr>
          <w:rStyle w:val="aff4"/>
          <w:rFonts w:hint="cs"/>
          <w:rtl/>
        </w:rPr>
        <w:t>התוספת שבת</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Ref133835501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קטו)</w:t>
      </w:r>
      <w:r>
        <w:rPr>
          <w:rStyle w:val="af2"/>
          <w:rFonts w:eastAsia="Guttman Hodes"/>
          <w:rtl/>
        </w:rPr>
        <w:fldChar w:fldCharType="end"/>
      </w:r>
      <w:r>
        <w:rPr>
          <w:rFonts w:hint="cs"/>
          <w:rtl/>
        </w:rPr>
        <w:t xml:space="preserve"> דאף יותר מיומיים אין הזרעין נקלטין בקרקע, דקיי"ל דקליטה היא בב' שבתות, וכתב </w:t>
      </w:r>
      <w:r w:rsidRPr="00C444C9">
        <w:rPr>
          <w:rStyle w:val="aff4"/>
          <w:rFonts w:hint="cs"/>
          <w:vanish/>
          <w:rtl/>
        </w:rPr>
        <w:t>-</w:t>
      </w:r>
      <w:r w:rsidRPr="004F32D2">
        <w:rPr>
          <w:rStyle w:val="aff4"/>
          <w:rFonts w:hint="cs"/>
          <w:rtl/>
        </w:rPr>
        <w:t>הנשמת אדם</w:t>
      </w:r>
      <w:r w:rsidRPr="00C444C9">
        <w:rPr>
          <w:rStyle w:val="aff4"/>
          <w:rFonts w:hint="cs"/>
          <w:vanish/>
          <w:rtl/>
        </w:rPr>
        <w:t>-</w:t>
      </w:r>
      <w:r>
        <w:rPr>
          <w:rFonts w:hint="cs"/>
          <w:rtl/>
        </w:rPr>
        <w:t xml:space="preserve"> דההיתר אינו מחמת דביום או יומיים אינם נקלטין בקרקע, אלא דאף שהוא משליכם במקום לח, מ"מ לא יצמחו כלל ביום או יומיים, וא"כ מוכח מדבריהם דלא </w:t>
      </w:r>
      <w:r w:rsidRPr="00C444C9">
        <w:rPr>
          <w:rStyle w:val="aff4"/>
          <w:rFonts w:hint="cs"/>
          <w:vanish/>
          <w:rtl/>
        </w:rPr>
        <w:t>-</w:t>
      </w:r>
      <w:r w:rsidRPr="004F32D2">
        <w:rPr>
          <w:rStyle w:val="aff4"/>
          <w:rFonts w:hint="cs"/>
          <w:rtl/>
        </w:rPr>
        <w:t>כהמג"א</w:t>
      </w:r>
      <w:r w:rsidRPr="00C444C9">
        <w:rPr>
          <w:rStyle w:val="aff4"/>
          <w:rFonts w:hint="cs"/>
          <w:vanish/>
          <w:rtl/>
        </w:rPr>
        <w:t>-</w:t>
      </w:r>
      <w:r>
        <w:rPr>
          <w:rFonts w:hint="cs"/>
          <w:rtl/>
        </w:rPr>
        <w:t xml:space="preserve"> דאף בב' ימים מותר להניח זרע במקום לח, כיון שלא יצמח, ואין לחלק בין מקום לח לבין שריה במים. </w:t>
      </w:r>
      <w:r w:rsidRPr="002A0D0C">
        <w:rPr>
          <w:rStyle w:val="af"/>
          <w:rFonts w:hint="cs"/>
          <w:rtl/>
        </w:rPr>
        <w:t xml:space="preserve">[ומוכח דכל האיסור בשורה במים, הוא רק בכוונתו להצמיח, כדביאר </w:t>
      </w:r>
      <w:r w:rsidRPr="001145E2">
        <w:rPr>
          <w:rStyle w:val="aff9"/>
          <w:rFonts w:hint="cs"/>
          <w:vanish/>
          <w:rtl/>
        </w:rPr>
        <w:t>-</w:t>
      </w:r>
      <w:r w:rsidRPr="002A0D0C">
        <w:rPr>
          <w:rStyle w:val="aff9"/>
          <w:rFonts w:hint="cs"/>
          <w:rtl/>
        </w:rPr>
        <w:t>החיי אדם</w:t>
      </w:r>
      <w:r w:rsidRPr="001145E2">
        <w:rPr>
          <w:rStyle w:val="aff9"/>
          <w:rFonts w:hint="cs"/>
          <w:vanish/>
          <w:rtl/>
        </w:rPr>
        <w:t>-</w:t>
      </w:r>
      <w:r w:rsidRPr="002A0D0C">
        <w:rPr>
          <w:rStyle w:val="af"/>
          <w:rFonts w:hint="cs"/>
          <w:rtl/>
        </w:rPr>
        <w:t xml:space="preserve"> </w:t>
      </w:r>
      <w:r w:rsidRPr="002A0D0C">
        <w:rPr>
          <w:rStyle w:val="aff5"/>
          <w:rFonts w:hint="cs"/>
          <w:rtl/>
        </w:rPr>
        <w:t xml:space="preserve">(עי' אות </w:t>
      </w:r>
      <w:r>
        <w:rPr>
          <w:rStyle w:val="aff5"/>
          <w:rtl/>
        </w:rPr>
        <w:fldChar w:fldCharType="begin"/>
      </w:r>
      <w:r>
        <w:rPr>
          <w:rStyle w:val="aff5"/>
          <w:rtl/>
        </w:rPr>
        <w:instrText xml:space="preserve"> </w:instrText>
      </w:r>
      <w:r>
        <w:rPr>
          <w:rStyle w:val="aff5"/>
          <w:rFonts w:hint="cs"/>
        </w:rPr>
        <w:instrText>REF</w:instrText>
      </w:r>
      <w:r>
        <w:rPr>
          <w:rStyle w:val="aff5"/>
          <w:rFonts w:hint="cs"/>
          <w:rtl/>
        </w:rPr>
        <w:instrText xml:space="preserve"> _</w:instrText>
      </w:r>
      <w:r>
        <w:rPr>
          <w:rStyle w:val="aff5"/>
          <w:rFonts w:hint="cs"/>
        </w:rPr>
        <w:instrText>Ref133835560 \r \h</w:instrText>
      </w:r>
      <w:r>
        <w:rPr>
          <w:rStyle w:val="aff5"/>
          <w:rtl/>
        </w:rPr>
        <w:instrText xml:space="preserve"> </w:instrText>
      </w:r>
      <w:r>
        <w:rPr>
          <w:rStyle w:val="aff5"/>
          <w:rtl/>
        </w:rPr>
      </w:r>
      <w:r>
        <w:rPr>
          <w:rStyle w:val="aff5"/>
          <w:rtl/>
        </w:rPr>
        <w:fldChar w:fldCharType="separate"/>
      </w:r>
      <w:r w:rsidR="00D82181">
        <w:rPr>
          <w:rStyle w:val="aff5"/>
          <w:cs/>
        </w:rPr>
        <w:t>‎</w:t>
      </w:r>
      <w:r w:rsidR="00D82181">
        <w:rPr>
          <w:rStyle w:val="aff5"/>
          <w:rtl/>
        </w:rPr>
        <w:t>צח)</w:t>
      </w:r>
      <w:r>
        <w:rPr>
          <w:rStyle w:val="aff5"/>
          <w:rtl/>
        </w:rPr>
        <w:fldChar w:fldCharType="end"/>
      </w:r>
      <w:r w:rsidRPr="002A0D0C">
        <w:rPr>
          <w:rStyle w:val="af"/>
          <w:rFonts w:hint="cs"/>
          <w:rtl/>
        </w:rPr>
        <w:t>]</w:t>
      </w:r>
      <w:r w:rsidRPr="00345748">
        <w:rPr>
          <w:rStyle w:val="af"/>
          <w:rFonts w:hint="cs"/>
          <w:rtl/>
        </w:rPr>
        <w:t>.</w:t>
      </w:r>
      <w:bookmarkEnd w:id="446"/>
    </w:p>
    <w:p w14:paraId="489BF680" w14:textId="77777777" w:rsidR="009623A2" w:rsidRPr="00747170" w:rsidRDefault="009623A2" w:rsidP="00747170">
      <w:pPr>
        <w:pStyle w:val="a2"/>
        <w:rPr>
          <w:rtl/>
        </w:rPr>
      </w:pPr>
      <w:r w:rsidRPr="00747170">
        <w:rPr>
          <w:rtl/>
        </w:rPr>
        <w:t>והגהות מימוניות בשם רא"ם כתב וכן כתב הש"ע שם דמותר להשליך זרעים במקום לח על יום ויומים, והת"ש הניח דבר זה בצ"ע דהא לקליטה בעינן ב' שבתות, ולענ"ד דאין הטעם משום קליטה בקרקע, אלא הטעם משום דבמקום לח יצמיחו אם יניח שם איזה ימים, ולכן כתב דרק על יומים דידוע דביומים ודאי לא יצמח וזה ברור. ואם כן על כל פנים מוכח דלא כמ"א, דאפילו ב' ימים מותר דמאי שנא מקום לח או מים.</w:t>
      </w:r>
    </w:p>
    <w:p w14:paraId="224C551C" w14:textId="40549D1A" w:rsidR="009623A2" w:rsidRDefault="009623A2" w:rsidP="009623A2">
      <w:pPr>
        <w:pStyle w:val="a7"/>
        <w:rPr>
          <w:rtl/>
        </w:rPr>
      </w:pPr>
      <w:bookmarkStart w:id="447" w:name="_Toc134419695"/>
      <w:r>
        <w:rPr>
          <w:rFonts w:hint="cs"/>
          <w:rtl/>
        </w:rPr>
        <w:t>בי' המשנ"א ברמב"ם דלשון שרייה אין רק לזמן מרובה כדמוכח בדיו דנתינה למים נקרא שרייה</w:t>
      </w:r>
      <w:bookmarkEnd w:id="447"/>
    </w:p>
    <w:p w14:paraId="6569DE06" w14:textId="17D38F4A" w:rsidR="009623A2" w:rsidRPr="002A686D" w:rsidRDefault="009623A2" w:rsidP="00BC7DC8">
      <w:pPr>
        <w:pStyle w:val="a3"/>
      </w:pPr>
      <w:r>
        <w:rPr>
          <w:rFonts w:hint="cs"/>
          <w:rtl/>
        </w:rPr>
        <w:t xml:space="preserve">ובמ"ש </w:t>
      </w:r>
      <w:r w:rsidRPr="00C444C9">
        <w:rPr>
          <w:rStyle w:val="aff4"/>
          <w:rFonts w:hint="cs"/>
          <w:vanish/>
          <w:rtl/>
        </w:rPr>
        <w:t>-</w:t>
      </w:r>
      <w:r w:rsidRPr="004F32D2">
        <w:rPr>
          <w:rStyle w:val="aff4"/>
          <w:rFonts w:hint="cs"/>
          <w:rtl/>
        </w:rPr>
        <w:t>המג"א</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Ref133749987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צד)</w:t>
      </w:r>
      <w:r>
        <w:rPr>
          <w:rStyle w:val="af2"/>
          <w:rFonts w:eastAsia="Guttman Hodes"/>
          <w:rtl/>
        </w:rPr>
        <w:fldChar w:fldCharType="end"/>
      </w:r>
      <w:r>
        <w:rPr>
          <w:rFonts w:hint="cs"/>
          <w:rtl/>
        </w:rPr>
        <w:t xml:space="preserve"> דמלשון </w:t>
      </w:r>
      <w:r w:rsidRPr="00C444C9">
        <w:rPr>
          <w:rStyle w:val="aff4"/>
          <w:rFonts w:hint="cs"/>
          <w:vanish/>
          <w:rtl/>
        </w:rPr>
        <w:t>-</w:t>
      </w:r>
      <w:r w:rsidRPr="004F32D2">
        <w:rPr>
          <w:rStyle w:val="aff4"/>
          <w:rFonts w:hint="cs"/>
          <w:rtl/>
        </w:rPr>
        <w:t>הרמב"ם</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Ref133143291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עט)</w:t>
      </w:r>
      <w:r>
        <w:rPr>
          <w:rStyle w:val="af2"/>
          <w:rFonts w:eastAsia="Guttman Hodes"/>
          <w:rtl/>
        </w:rPr>
        <w:fldChar w:fldCharType="end"/>
      </w:r>
      <w:r>
        <w:rPr>
          <w:rFonts w:hint="cs"/>
          <w:rtl/>
        </w:rPr>
        <w:t xml:space="preserve"> "השורה" חיטין במים משמע דכוונתו לזמן ארוך, דחה </w:t>
      </w:r>
      <w:r w:rsidRPr="00C444C9">
        <w:rPr>
          <w:rStyle w:val="aff4"/>
          <w:rFonts w:hint="cs"/>
          <w:vanish/>
          <w:rtl/>
        </w:rPr>
        <w:t>-</w:t>
      </w:r>
      <w:r w:rsidRPr="004F32D2">
        <w:rPr>
          <w:rStyle w:val="aff4"/>
          <w:rFonts w:hint="cs"/>
          <w:rtl/>
        </w:rPr>
        <w:t>המשנת אדם</w:t>
      </w:r>
      <w:r w:rsidRPr="00C444C9">
        <w:rPr>
          <w:rStyle w:val="aff4"/>
          <w:rFonts w:hint="cs"/>
          <w:vanish/>
          <w:rtl/>
        </w:rPr>
        <w:t>-</w:t>
      </w:r>
      <w:r>
        <w:rPr>
          <w:rFonts w:hint="cs"/>
          <w:rtl/>
        </w:rPr>
        <w:t xml:space="preserve"> דאף במתני' </w:t>
      </w:r>
      <w:r>
        <w:rPr>
          <w:rFonts w:hint="cs"/>
          <w:rtl/>
        </w:rPr>
        <w:t xml:space="preserve">לעיל </w:t>
      </w:r>
      <w:r w:rsidRPr="002A0D0C">
        <w:rPr>
          <w:rStyle w:val="af2"/>
          <w:rFonts w:eastAsia="Guttman Hodes" w:hint="cs"/>
          <w:rtl/>
        </w:rPr>
        <w:t>(יז:)</w:t>
      </w:r>
      <w:r>
        <w:rPr>
          <w:rFonts w:hint="cs"/>
          <w:rtl/>
        </w:rPr>
        <w:t xml:space="preserve"> תנן דאין שורין דיו וסממנין, אמרינן בגמ' דנתינת מים היא גיבולו, ומבואר דאף בזמן שהוא נותן מים נקרא שרייה.</w:t>
      </w:r>
    </w:p>
    <w:p w14:paraId="297777A1" w14:textId="77777777" w:rsidR="009623A2" w:rsidRPr="00747170" w:rsidRDefault="009623A2" w:rsidP="00747170">
      <w:pPr>
        <w:pStyle w:val="a2"/>
        <w:rPr>
          <w:rtl/>
        </w:rPr>
      </w:pPr>
      <w:r w:rsidRPr="00747170">
        <w:rPr>
          <w:rtl/>
        </w:rPr>
        <w:t xml:space="preserve">ומה שכתב המ"א דלכן כתב הרמב"ם השורה דמשמע זמן ארוך, אינו הוכחה שהרי במתני' איתא אין שורין דיו וסממנים כו' ובגמרא שם מאן תנא דנתינת מים זהו גיבולו, וע"ש ברש"י, הרי דאפילו לנתינת מים קרי שורין. </w:t>
      </w:r>
    </w:p>
    <w:p w14:paraId="67352118" w14:textId="4706A14D" w:rsidR="009623A2" w:rsidRPr="00601ADD" w:rsidRDefault="009623A2" w:rsidP="009623A2">
      <w:pPr>
        <w:pStyle w:val="afffff7"/>
        <w:rPr>
          <w:rtl/>
        </w:rPr>
      </w:pPr>
      <w:bookmarkStart w:id="448" w:name="_Toc133841692"/>
      <w:bookmarkStart w:id="449" w:name="_Toc163505442"/>
      <w:r w:rsidRPr="00601ADD">
        <w:rPr>
          <w:rtl/>
        </w:rPr>
        <w:t xml:space="preserve">נשמת אדם הלכות שבת כלל יא </w:t>
      </w:r>
      <w:r w:rsidRPr="00601ADD">
        <w:rPr>
          <w:rFonts w:hint="cs"/>
          <w:rtl/>
        </w:rPr>
        <w:t>אות</w:t>
      </w:r>
      <w:r w:rsidRPr="00601ADD">
        <w:rPr>
          <w:rtl/>
        </w:rPr>
        <w:t xml:space="preserve"> א</w:t>
      </w:r>
      <w:r>
        <w:rPr>
          <w:rFonts w:hint="cs"/>
          <w:rtl/>
        </w:rPr>
        <w:t xml:space="preserve"> ד"ה </w:t>
      </w:r>
      <w:r w:rsidRPr="006D6B30">
        <w:rPr>
          <w:rtl/>
        </w:rPr>
        <w:t>והכי מוכח</w:t>
      </w:r>
      <w:bookmarkEnd w:id="448"/>
      <w:bookmarkEnd w:id="449"/>
    </w:p>
    <w:p w14:paraId="7C438C1A" w14:textId="77777777" w:rsidR="009623A2" w:rsidRDefault="009623A2" w:rsidP="009623A2">
      <w:pPr>
        <w:pStyle w:val="a7"/>
        <w:rPr>
          <w:rtl/>
        </w:rPr>
      </w:pPr>
      <w:bookmarkStart w:id="450" w:name="_Toc134419696"/>
      <w:r>
        <w:rPr>
          <w:rFonts w:hint="cs"/>
          <w:rtl/>
        </w:rPr>
        <w:t>בי' הנשמ"א בזבחים דבכוונה להצמיח חייב מיד כזורע בקרקע אף כשאין דרך זריעה בכך</w:t>
      </w:r>
      <w:bookmarkEnd w:id="450"/>
    </w:p>
    <w:p w14:paraId="4662C159" w14:textId="155D1693" w:rsidR="009623A2" w:rsidRDefault="009623A2" w:rsidP="00BC7DC8">
      <w:pPr>
        <w:pStyle w:val="a3"/>
        <w:rPr>
          <w:rtl/>
        </w:rPr>
      </w:pPr>
      <w:bookmarkStart w:id="451" w:name="_Ref133575415"/>
      <w:r>
        <w:rPr>
          <w:rFonts w:hint="cs"/>
          <w:rtl/>
        </w:rPr>
        <w:t xml:space="preserve">והביא </w:t>
      </w:r>
      <w:r w:rsidRPr="00C444C9">
        <w:rPr>
          <w:rStyle w:val="aff4"/>
          <w:rFonts w:hint="cs"/>
          <w:vanish/>
          <w:rtl/>
        </w:rPr>
        <w:t>-</w:t>
      </w:r>
      <w:r w:rsidRPr="004F32D2">
        <w:rPr>
          <w:rStyle w:val="aff4"/>
          <w:rFonts w:hint="cs"/>
          <w:rtl/>
        </w:rPr>
        <w:t>ה</w:t>
      </w:r>
      <w:r w:rsidRPr="00C444C9">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Ref133575415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קד)</w:t>
      </w:r>
      <w:r>
        <w:rPr>
          <w:rStyle w:val="aff4"/>
          <w:vanish/>
          <w:rtl/>
        </w:rPr>
        <w:fldChar w:fldCharType="end"/>
      </w:r>
      <w:r w:rsidRPr="00C444C9">
        <w:rPr>
          <w:rStyle w:val="aff4"/>
          <w:rFonts w:hint="cs"/>
          <w:vanish/>
          <w:rtl/>
        </w:rPr>
        <w:t xml:space="preserve"> &gt;</w:t>
      </w:r>
      <w:r w:rsidRPr="004F32D2">
        <w:rPr>
          <w:rStyle w:val="aff4"/>
          <w:rFonts w:hint="cs"/>
          <w:rtl/>
        </w:rPr>
        <w:t>נשמת אדם</w:t>
      </w:r>
      <w:r w:rsidRPr="00C444C9">
        <w:rPr>
          <w:rStyle w:val="aff4"/>
          <w:rFonts w:hint="cs"/>
          <w:vanish/>
          <w:rtl/>
        </w:rPr>
        <w:t>-</w:t>
      </w:r>
      <w:r>
        <w:rPr>
          <w:rFonts w:hint="cs"/>
          <w:rtl/>
        </w:rPr>
        <w:t xml:space="preserve"> </w:t>
      </w:r>
      <w:r w:rsidRPr="002A0D0C">
        <w:rPr>
          <w:rStyle w:val="af2"/>
          <w:rFonts w:eastAsia="Guttman Hodes" w:hint="cs"/>
          <w:rtl/>
        </w:rPr>
        <w:t xml:space="preserve">(שבת כלל י"א אות א' ד"ה </w:t>
      </w:r>
      <w:r w:rsidRPr="002A0D0C">
        <w:rPr>
          <w:rStyle w:val="af2"/>
          <w:rFonts w:eastAsia="Guttman Hodes"/>
          <w:rtl/>
        </w:rPr>
        <w:t>קלג] והכי מוכח</w:t>
      </w:r>
      <w:r w:rsidRPr="002A0D0C">
        <w:rPr>
          <w:rStyle w:val="af2"/>
          <w:rFonts w:eastAsia="Guttman Hodes" w:hint="cs"/>
          <w:rtl/>
        </w:rPr>
        <w:t>)</w:t>
      </w:r>
      <w:r w:rsidRPr="00350A80">
        <w:rPr>
          <w:rFonts w:hint="cs"/>
          <w:vanish/>
          <w:rtl/>
        </w:rPr>
        <w:t>=</w:t>
      </w:r>
      <w:r>
        <w:rPr>
          <w:rFonts w:hint="cs"/>
          <w:rtl/>
        </w:rPr>
        <w:t xml:space="preserve">  ראיה דהאיסור בשרייה במים הוא רק בכוונתו להצמיח, ובזה החיוב מיד בשעת הנתינה, מהא דאיתא בגמ' בזבחים </w:t>
      </w:r>
      <w:r w:rsidRPr="002A0D0C">
        <w:rPr>
          <w:rStyle w:val="af2"/>
          <w:rFonts w:eastAsia="Guttman Hodes"/>
          <w:rtl/>
        </w:rPr>
        <w:t>(צד:)</w:t>
      </w:r>
      <w:r w:rsidRPr="00CC05CD">
        <w:rPr>
          <w:rtl/>
        </w:rPr>
        <w:t xml:space="preserve"> דהזורק זרע פשתן למים חייב, ומקשה הגמ' דאי החיוב הוא מחמת דהזרע צומח, א"כ אמאי רק זרע פשתן הא אף חיטין ושעורין ג"כ </w:t>
      </w:r>
      <w:r>
        <w:rPr>
          <w:rFonts w:hint="cs"/>
          <w:rtl/>
        </w:rPr>
        <w:t>צריך להת</w:t>
      </w:r>
      <w:r w:rsidRPr="00CC05CD">
        <w:rPr>
          <w:rtl/>
        </w:rPr>
        <w:t xml:space="preserve">חייב, </w:t>
      </w:r>
      <w:r>
        <w:rPr>
          <w:rFonts w:hint="cs"/>
          <w:rtl/>
        </w:rPr>
        <w:t xml:space="preserve">והקשה </w:t>
      </w:r>
      <w:r w:rsidRPr="00C444C9">
        <w:rPr>
          <w:rStyle w:val="aff4"/>
          <w:rFonts w:hint="cs"/>
          <w:vanish/>
          <w:rtl/>
        </w:rPr>
        <w:t>-</w:t>
      </w:r>
      <w:r w:rsidRPr="004F32D2">
        <w:rPr>
          <w:rStyle w:val="aff4"/>
          <w:rFonts w:hint="cs"/>
          <w:rtl/>
        </w:rPr>
        <w:t>הנשמת אדם</w:t>
      </w:r>
      <w:r w:rsidRPr="00C444C9">
        <w:rPr>
          <w:rStyle w:val="aff4"/>
          <w:rFonts w:hint="cs"/>
          <w:vanish/>
          <w:rtl/>
        </w:rPr>
        <w:t>-</w:t>
      </w:r>
      <w:r>
        <w:rPr>
          <w:rFonts w:hint="cs"/>
          <w:rtl/>
        </w:rPr>
        <w:t xml:space="preserve"> דהיה לגמ' להקשות על עיקר החיוב אף בפשתן דאי"ז דרך זריעה ואמאי חייב, ולא להקשות דאף בחיטין יתחייב, דהוא קושיה רק על הלשון דנקטה הברייתא פשתן, אלא כתב </w:t>
      </w:r>
      <w:r w:rsidRPr="00C444C9">
        <w:rPr>
          <w:rStyle w:val="aff4"/>
          <w:rFonts w:hint="cs"/>
          <w:vanish/>
          <w:rtl/>
        </w:rPr>
        <w:t>-</w:t>
      </w:r>
      <w:r w:rsidRPr="004F32D2">
        <w:rPr>
          <w:rStyle w:val="aff4"/>
          <w:rFonts w:hint="cs"/>
          <w:rtl/>
        </w:rPr>
        <w:t>הנשמת אדם</w:t>
      </w:r>
      <w:r w:rsidRPr="00C444C9">
        <w:rPr>
          <w:rStyle w:val="aff4"/>
          <w:rFonts w:hint="cs"/>
          <w:vanish/>
          <w:rtl/>
        </w:rPr>
        <w:t>-</w:t>
      </w:r>
      <w:r>
        <w:rPr>
          <w:rFonts w:hint="cs"/>
          <w:rtl/>
        </w:rPr>
        <w:t xml:space="preserve"> דמוכח דכל שכוונתו להצמיח חייב בין אם כוונתו לרכך את הזרעים במים ויתחילו לצמוח, ואח"כ יזרע אותם בקרקע, כמו שהדרך לעשות כן בקטניות, ובין אם כוונתו להשרות את החיטין כדי לעשות חיטה נבוטה</w:t>
      </w:r>
      <w:r w:rsidRPr="009F53DE">
        <w:rPr>
          <w:rFonts w:hint="cs"/>
          <w:rtl/>
        </w:rPr>
        <w:t xml:space="preserve"> </w:t>
      </w:r>
      <w:r>
        <w:rPr>
          <w:rFonts w:hint="cs"/>
          <w:rtl/>
        </w:rPr>
        <w:t>לשיכר דכן הדרך בחיטין, דבכה"ג החיוב הוא מיד בשעת הנתינה במים, דהוא כמו זורע בקרקע, ולכן א"א להקשות דאין דרך זריעה בכך.</w:t>
      </w:r>
    </w:p>
    <w:p w14:paraId="55A04F91" w14:textId="77777777" w:rsidR="009623A2" w:rsidRPr="00747170" w:rsidRDefault="009623A2" w:rsidP="00747170">
      <w:pPr>
        <w:pStyle w:val="a2"/>
      </w:pPr>
      <w:r w:rsidRPr="00747170">
        <w:rPr>
          <w:rtl/>
        </w:rPr>
        <w:t>והכי מוכח מסוגיא דזבחים דפריך, אילימא משום דמקדח, ר"ל מצמיח, אי הכי חיטי ושערי נמי, וטפי הוי ליה להקשות הא אין דרך זריעה בכך, דהרי קשה על עיקר הדין שאמר חייב, ולמה ליה להקשות שיאמר חטי ושערי דלא הקשה אלא על הלשון, אלא על כרחך דאין ספק דאם כוונתו להצמיח בין שיתרככו במים ויצמחו לזורעם בקרקע כמו שעושין בקטניות ושאר זרעים, ובין ששורה שעורים לעשות מאלצי"ן בודאי תיכף משנתנם במים חייב משום זורע כאלו זרעם בקרקע</w:t>
      </w:r>
      <w:r w:rsidRPr="00747170">
        <w:rPr>
          <w:rFonts w:hint="cs"/>
          <w:rtl/>
        </w:rPr>
        <w:t>.</w:t>
      </w:r>
    </w:p>
    <w:p w14:paraId="02195E86" w14:textId="77777777" w:rsidR="009623A2" w:rsidRPr="00313B42" w:rsidRDefault="009623A2" w:rsidP="009623A2">
      <w:pPr>
        <w:pStyle w:val="a7"/>
      </w:pPr>
      <w:bookmarkStart w:id="452" w:name="_Toc134419697"/>
      <w:r>
        <w:rPr>
          <w:rFonts w:hint="cs"/>
          <w:rtl/>
        </w:rPr>
        <w:t>בי' הנשמ"א דהקו' בזבחים דאי נותן למים חייב מיד אמאי נקט פשתן ותי' דפשתן חייב אף בלש</w:t>
      </w:r>
      <w:bookmarkEnd w:id="452"/>
    </w:p>
    <w:p w14:paraId="224BDCED" w14:textId="0380D6F8" w:rsidR="009623A2" w:rsidRDefault="009623A2" w:rsidP="00BC7DC8">
      <w:pPr>
        <w:pStyle w:val="a3"/>
      </w:pPr>
      <w:r>
        <w:rPr>
          <w:rFonts w:hint="cs"/>
          <w:rtl/>
        </w:rPr>
        <w:t xml:space="preserve">וביאר </w:t>
      </w:r>
      <w:r w:rsidRPr="00C444C9">
        <w:rPr>
          <w:rStyle w:val="aff4"/>
          <w:rFonts w:hint="cs"/>
          <w:vanish/>
          <w:rtl/>
        </w:rPr>
        <w:t>-</w:t>
      </w:r>
      <w:r w:rsidRPr="004F32D2">
        <w:rPr>
          <w:rStyle w:val="aff4"/>
          <w:rFonts w:hint="cs"/>
          <w:rtl/>
        </w:rPr>
        <w:t>המשנת אדם</w:t>
      </w:r>
      <w:r w:rsidRPr="00C444C9">
        <w:rPr>
          <w:rStyle w:val="aff4"/>
          <w:rFonts w:hint="cs"/>
          <w:vanish/>
          <w:rtl/>
        </w:rPr>
        <w:t>-</w:t>
      </w:r>
      <w:r>
        <w:rPr>
          <w:rFonts w:hint="cs"/>
          <w:rtl/>
        </w:rPr>
        <w:t xml:space="preserve"> דההו"א בגמ' בזבחים היא דהחידוש בנותן פשתן למים הוא דחייב כשוזרקו למים, ולכן מקשה הגמ' דא"כ החידוש הוא בכל הזרעים כשנותנם למים, ולא רק בפשתן ונקטה הגמ' חיטין ושעורין לדוגמא לכל זרעים, ותירצה הגמ' דאין כל חידוש בנותן זרע למים, דפשיטא דחייב דאין חילוק בין זורע במים לזורע בקרקע, והחידוש הוא דבפשתן החיוב הוא מיד כשנתנו במים מדין לש, ומהא דלא מקשה הגמ' דאין דרך זריעה בכך, הוכיח </w:t>
      </w:r>
      <w:r w:rsidRPr="00C444C9">
        <w:rPr>
          <w:rStyle w:val="aff4"/>
          <w:rFonts w:hint="cs"/>
          <w:vanish/>
          <w:rtl/>
        </w:rPr>
        <w:t>-</w:t>
      </w:r>
      <w:r w:rsidRPr="004F32D2">
        <w:rPr>
          <w:rStyle w:val="aff4"/>
          <w:rFonts w:hint="cs"/>
          <w:rtl/>
        </w:rPr>
        <w:t>הרמב"ם</w:t>
      </w:r>
      <w:r w:rsidRPr="00C444C9">
        <w:rPr>
          <w:rStyle w:val="aff4"/>
          <w:rFonts w:hint="cs"/>
          <w:vanish/>
          <w:rtl/>
        </w:rPr>
        <w:t>-</w:t>
      </w:r>
      <w:r>
        <w:rPr>
          <w:rFonts w:hint="cs"/>
          <w:rtl/>
        </w:rPr>
        <w:t xml:space="preserve"> דהשורה חיטין במים חייב,</w:t>
      </w:r>
      <w:r w:rsidRPr="00DC2FD7">
        <w:rPr>
          <w:rFonts w:hint="cs"/>
          <w:rtl/>
        </w:rPr>
        <w:t xml:space="preserve"> </w:t>
      </w:r>
      <w:r>
        <w:rPr>
          <w:rFonts w:hint="cs"/>
          <w:rtl/>
        </w:rPr>
        <w:t>ואין כוונת הגמ' לחדש דחייב משום זורע, כיון דהוא מילתא דפשיטא.</w:t>
      </w:r>
      <w:bookmarkEnd w:id="451"/>
    </w:p>
    <w:p w14:paraId="536723F3" w14:textId="77777777" w:rsidR="009623A2" w:rsidRPr="00747170" w:rsidRDefault="009623A2" w:rsidP="00747170">
      <w:pPr>
        <w:pStyle w:val="a2"/>
        <w:rPr>
          <w:rtl/>
        </w:rPr>
      </w:pPr>
      <w:r w:rsidRPr="00747170">
        <w:rPr>
          <w:rtl/>
        </w:rPr>
        <w:t>אלא דהכי פריך ארבא דאמר זרק פשתן למים חייב וס"ד דרבא אתא לאשמעינן זה הדין דזורק במים חייב, ולכן פריך לימא חיטי ושערי, ולאו דוקא חיטי ושערי אלא שיאמר סתם זרק זרעים במים חייב, אלא על כרחך דרבא לא אתא לאשמעינן דין זה, דזה פשיטא דמאי שנא זורע במים או בקרקע, ולכן משני דרבא אתא לאשמועינן דבפשתן חייב תיכף משום לש כדאיתא בסי' ש"מ ובזה לא קשה מידי נמי מה שהקשה המ"א דלמה ליה לומר משום לש לימא דחייב משום זורע, וקושיא זה קשה נמי על הרמב"ם דבשורה חטים חייב משום זורע וא"כ באמת למה לא אמר רבא הזורק חטים במים חייב משום זורע, ולפי מה שכתבתי לא קשה מידי, דדין זה לא צריך רבא לאשמועינן דהוא מילתא דפשיטא, אלא דאשמועינן דבפשתן חייב משום לש דנפק מיניה רירי, ואדרבה מסוגיא דזבחים הוכיח הרמב"ם דין זה, דאל"כ קשה לפרוך הא אין דרך זריעה בכך.</w:t>
      </w:r>
    </w:p>
    <w:p w14:paraId="36DB066E" w14:textId="36EC8849" w:rsidR="009623A2" w:rsidRDefault="009623A2" w:rsidP="009623A2">
      <w:pPr>
        <w:pStyle w:val="a7"/>
        <w:rPr>
          <w:rtl/>
        </w:rPr>
      </w:pPr>
      <w:bookmarkStart w:id="453" w:name="_Toc134419698"/>
      <w:r>
        <w:rPr>
          <w:rFonts w:hint="cs"/>
          <w:rtl/>
        </w:rPr>
        <w:t>בי' הנשמ"א דעיקר חידוש הגמ' בזבחים דלש בפשתן פס"ר וחייב אף דלא כיוון להצמיח וללוש</w:t>
      </w:r>
      <w:bookmarkEnd w:id="453"/>
      <w:r>
        <w:rPr>
          <w:rFonts w:hint="cs"/>
          <w:rtl/>
        </w:rPr>
        <w:t xml:space="preserve"> </w:t>
      </w:r>
    </w:p>
    <w:p w14:paraId="0B928C0C" w14:textId="08BF15C6" w:rsidR="009623A2" w:rsidRDefault="009623A2" w:rsidP="00BC7DC8">
      <w:pPr>
        <w:pStyle w:val="a3"/>
        <w:rPr>
          <w:rtl/>
        </w:rPr>
      </w:pPr>
      <w:r>
        <w:rPr>
          <w:rFonts w:hint="cs"/>
          <w:rtl/>
        </w:rPr>
        <w:t xml:space="preserve">והוסיף </w:t>
      </w:r>
      <w:r w:rsidRPr="00C444C9">
        <w:rPr>
          <w:rStyle w:val="aff4"/>
          <w:rFonts w:hint="cs"/>
          <w:vanish/>
          <w:rtl/>
        </w:rPr>
        <w:t>-</w:t>
      </w:r>
      <w:r w:rsidRPr="004F32D2">
        <w:rPr>
          <w:rStyle w:val="aff4"/>
          <w:rFonts w:hint="cs"/>
          <w:rtl/>
        </w:rPr>
        <w:t>הנשמת אדם</w:t>
      </w:r>
      <w:r w:rsidRPr="00C444C9">
        <w:rPr>
          <w:rStyle w:val="aff4"/>
          <w:rFonts w:hint="cs"/>
          <w:vanish/>
          <w:rtl/>
        </w:rPr>
        <w:t>-</w:t>
      </w:r>
      <w:r>
        <w:rPr>
          <w:rFonts w:hint="cs"/>
          <w:rtl/>
        </w:rPr>
        <w:t xml:space="preserve"> דעיקר החידוש בגמ' בזבחים הוא דאף במקום שאין כוונתו להצמיח חייב משום לש,</w:t>
      </w:r>
      <w:r w:rsidRPr="004A3059">
        <w:rPr>
          <w:rFonts w:hint="cs"/>
          <w:rtl/>
        </w:rPr>
        <w:t xml:space="preserve"> </w:t>
      </w:r>
      <w:r>
        <w:rPr>
          <w:rFonts w:hint="cs"/>
          <w:rtl/>
        </w:rPr>
        <w:t xml:space="preserve">דאעפ"י דאין כוונתו ללישה, מ"מ חייב דהוא פסיק רישיה, אבל לענין להצמיח החיוב הוא רק כשכוונתו להצמיח, דהא במקום דאין כוונתו להצמיח ובוודאי דבשבת עצמה לא יתחיל לצמוח אין בזה כל חיוב מדין זורע, ובזה ישב </w:t>
      </w:r>
      <w:r w:rsidRPr="00C444C9">
        <w:rPr>
          <w:rStyle w:val="aff4"/>
          <w:rFonts w:hint="cs"/>
          <w:vanish/>
          <w:rtl/>
        </w:rPr>
        <w:t>-</w:t>
      </w:r>
      <w:r w:rsidRPr="004F32D2">
        <w:rPr>
          <w:rStyle w:val="aff4"/>
          <w:rFonts w:hint="cs"/>
          <w:rtl/>
        </w:rPr>
        <w:t>הנשמת אדם</w:t>
      </w:r>
      <w:r w:rsidRPr="00C444C9">
        <w:rPr>
          <w:rStyle w:val="aff4"/>
          <w:rFonts w:hint="cs"/>
          <w:vanish/>
          <w:rtl/>
        </w:rPr>
        <w:t>-</w:t>
      </w:r>
      <w:r>
        <w:rPr>
          <w:rFonts w:hint="cs"/>
          <w:rtl/>
        </w:rPr>
        <w:t xml:space="preserve"> את מ"ש </w:t>
      </w:r>
      <w:r w:rsidRPr="00C444C9">
        <w:rPr>
          <w:rStyle w:val="aff4"/>
          <w:rFonts w:hint="cs"/>
          <w:vanish/>
          <w:rtl/>
        </w:rPr>
        <w:t>-</w:t>
      </w:r>
      <w:r w:rsidRPr="004F32D2">
        <w:rPr>
          <w:rStyle w:val="aff4"/>
          <w:rFonts w:hint="cs"/>
          <w:rtl/>
        </w:rPr>
        <w:t>המג"א</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Ref133749987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צד)</w:t>
      </w:r>
      <w:r>
        <w:rPr>
          <w:rStyle w:val="af2"/>
          <w:rFonts w:eastAsia="Guttman Hodes"/>
          <w:rtl/>
        </w:rPr>
        <w:fldChar w:fldCharType="end"/>
      </w:r>
      <w:r>
        <w:rPr>
          <w:rFonts w:hint="cs"/>
          <w:rtl/>
        </w:rPr>
        <w:t xml:space="preserve"> דמעשים שבכל יום דשורין חיטין לבהמה, ולא מדקדקין כמה זמן ישהו החיטין במים, כיון דאין כוונתו להצמיח וגם לא יבואו לידי הצמחה.</w:t>
      </w:r>
    </w:p>
    <w:p w14:paraId="101352EC" w14:textId="77777777" w:rsidR="009623A2" w:rsidRPr="00747170" w:rsidRDefault="009623A2" w:rsidP="00747170">
      <w:pPr>
        <w:pStyle w:val="a2"/>
      </w:pPr>
      <w:r w:rsidRPr="00747170">
        <w:rPr>
          <w:rtl/>
        </w:rPr>
        <w:t>ואין לומר דעדיין קשה דאם כן לימא רבא דחייב שניים, אחד משום זורע ואחד משום לש, ונ"ל דרבא אתי לאשמועינן בזורק ואין כוונתו כלל להצמיח, ולא איצטריך לאשמועינן דין אלא דחייב משום לש אפי' אינו מתכוין כלל שיתדבקו חייב תיכף דהוי פסיק רישיה, משא"כ לענין צמיחה דדוקא כשמתכוין שיצמיח אזי חייב תיכף משא"כ כשאין כוונתו להצמיח בודאי אינו חייב כלום ולא שייך בזה פסיק רישיה, שהרי כיון שאין כוונתו כלל להצמיח וגם לא יצמח בודאי בשבת א"כ באמת אינו חייב כלום משום זורע, ולכן מעשים בכל יום דשורים שעורים לבהמה ואין מדקדקין בזמן כמה ישרה כיון דאין כוונתו שיצמיח וגם לא יבוא לידי צמיחה.</w:t>
      </w:r>
    </w:p>
    <w:p w14:paraId="5060E1CE" w14:textId="3CE4A570" w:rsidR="009623A2" w:rsidRPr="00343AB8" w:rsidRDefault="009623A2" w:rsidP="009623A2">
      <w:pPr>
        <w:pStyle w:val="a7"/>
      </w:pPr>
      <w:bookmarkStart w:id="454" w:name="_Toc134419699"/>
      <w:r>
        <w:rPr>
          <w:rFonts w:hint="cs"/>
          <w:rtl/>
        </w:rPr>
        <w:t>בי' המשנ"א דע"מ להצמיח חייב מיד משום זורע ואסור לתת לעכו"ם להשרות אף סמוך לחשיכה</w:t>
      </w:r>
      <w:bookmarkEnd w:id="454"/>
    </w:p>
    <w:p w14:paraId="2FC36CE9" w14:textId="60FAD23E" w:rsidR="009623A2" w:rsidRPr="004A3059" w:rsidRDefault="009623A2" w:rsidP="00BC7DC8">
      <w:pPr>
        <w:pStyle w:val="a3"/>
      </w:pPr>
      <w:r>
        <w:rPr>
          <w:rFonts w:hint="cs"/>
          <w:rtl/>
        </w:rPr>
        <w:t xml:space="preserve">וכתב </w:t>
      </w:r>
      <w:r w:rsidRPr="00C444C9">
        <w:rPr>
          <w:rStyle w:val="aff4"/>
          <w:rFonts w:hint="cs"/>
          <w:vanish/>
          <w:rtl/>
        </w:rPr>
        <w:t>-</w:t>
      </w:r>
      <w:r w:rsidRPr="004F32D2">
        <w:rPr>
          <w:rStyle w:val="aff4"/>
          <w:rFonts w:hint="cs"/>
          <w:rtl/>
        </w:rPr>
        <w:t>המשנת אדם</w:t>
      </w:r>
      <w:r w:rsidRPr="00C444C9">
        <w:rPr>
          <w:rStyle w:val="aff4"/>
          <w:rFonts w:hint="cs"/>
          <w:vanish/>
          <w:rtl/>
        </w:rPr>
        <w:t>-</w:t>
      </w:r>
      <w:r>
        <w:rPr>
          <w:rFonts w:hint="cs"/>
          <w:rtl/>
        </w:rPr>
        <w:t xml:space="preserve"> דלפי"ז בכוונתו להצמיח כשנותן חיטין במים לעשות חיטה נבוטה לשיכר, חייב מיד משום זורע, ואסור לתת לעכו"ם לעשות כן אף במקום הפסד, ואף סמוך לחשיכה, ולא כמבואר מדברי </w:t>
      </w:r>
      <w:r w:rsidRPr="00C444C9">
        <w:rPr>
          <w:rStyle w:val="aff4"/>
          <w:rFonts w:hint="cs"/>
          <w:vanish/>
          <w:rtl/>
        </w:rPr>
        <w:t>-</w:t>
      </w:r>
      <w:r w:rsidRPr="004F32D2">
        <w:rPr>
          <w:rStyle w:val="aff4"/>
          <w:rFonts w:hint="cs"/>
          <w:rtl/>
        </w:rPr>
        <w:t>המג"א</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sidRPr="002A0D0C">
        <w:rPr>
          <w:rStyle w:val="af2"/>
          <w:rFonts w:eastAsia="Guttman Hodes"/>
          <w:rtl/>
        </w:rPr>
        <w:fldChar w:fldCharType="begin"/>
      </w:r>
      <w:r w:rsidRPr="002A0D0C">
        <w:rPr>
          <w:rStyle w:val="af2"/>
          <w:rFonts w:eastAsia="Guttman Hodes"/>
          <w:rtl/>
        </w:rPr>
        <w:instrText xml:space="preserve"> </w:instrText>
      </w:r>
      <w:r w:rsidRPr="002A0D0C">
        <w:rPr>
          <w:rStyle w:val="af2"/>
          <w:rFonts w:eastAsia="Guttman Hodes" w:hint="cs"/>
        </w:rPr>
        <w:instrText>REF</w:instrText>
      </w:r>
      <w:r w:rsidRPr="002A0D0C">
        <w:rPr>
          <w:rStyle w:val="af2"/>
          <w:rFonts w:eastAsia="Guttman Hodes" w:hint="cs"/>
          <w:rtl/>
        </w:rPr>
        <w:instrText xml:space="preserve"> _</w:instrText>
      </w:r>
      <w:r w:rsidRPr="002A0D0C">
        <w:rPr>
          <w:rStyle w:val="af2"/>
          <w:rFonts w:eastAsia="Guttman Hodes" w:hint="cs"/>
        </w:rPr>
        <w:instrText>Ref133575399 \r \h</w:instrText>
      </w:r>
      <w:r w:rsidRPr="002A0D0C">
        <w:rPr>
          <w:rStyle w:val="af2"/>
          <w:rFonts w:eastAsia="Guttman Hodes"/>
          <w:rtl/>
        </w:rPr>
        <w:instrText xml:space="preserve"> </w:instrText>
      </w:r>
      <w:r w:rsidRPr="002A0D0C">
        <w:rPr>
          <w:rStyle w:val="af2"/>
          <w:rFonts w:eastAsia="Guttman Hodes"/>
          <w:rtl/>
        </w:rPr>
      </w:r>
      <w:r w:rsidRPr="002A0D0C">
        <w:rPr>
          <w:rStyle w:val="af2"/>
          <w:rFonts w:eastAsia="Guttman Hodes"/>
          <w:rtl/>
        </w:rPr>
        <w:fldChar w:fldCharType="separate"/>
      </w:r>
      <w:r w:rsidR="00D82181">
        <w:rPr>
          <w:rStyle w:val="af2"/>
          <w:rFonts w:eastAsia="Guttman Hodes"/>
          <w:cs/>
        </w:rPr>
        <w:t>‎</w:t>
      </w:r>
      <w:r w:rsidR="00D82181">
        <w:rPr>
          <w:rStyle w:val="af2"/>
          <w:rFonts w:eastAsia="Guttman Hodes"/>
          <w:rtl/>
        </w:rPr>
        <w:t>ק)</w:t>
      </w:r>
      <w:r w:rsidRPr="002A0D0C">
        <w:rPr>
          <w:rStyle w:val="af2"/>
          <w:rFonts w:eastAsia="Guttman Hodes"/>
          <w:rtl/>
        </w:rPr>
        <w:fldChar w:fldCharType="end"/>
      </w:r>
      <w:r>
        <w:rPr>
          <w:rFonts w:hint="cs"/>
          <w:rtl/>
        </w:rPr>
        <w:t xml:space="preserve">, כיון דהוא איסור דאו'. </w:t>
      </w:r>
    </w:p>
    <w:p w14:paraId="7735EEA6" w14:textId="77777777" w:rsidR="009623A2" w:rsidRPr="00747170" w:rsidRDefault="009623A2" w:rsidP="00747170">
      <w:pPr>
        <w:pStyle w:val="a2"/>
        <w:rPr>
          <w:rtl/>
        </w:rPr>
      </w:pPr>
      <w:r w:rsidRPr="00747170">
        <w:rPr>
          <w:rtl/>
        </w:rPr>
        <w:t>ולפ"ז אין שום היתר לומר לנכרי לשרות תבואה בשבת לעשות ממנה "מלצין" אפילו במקום הפסד אפילו סמוך לחשיכה דהוי מלאכה דאורייתא:</w:t>
      </w:r>
    </w:p>
    <w:p w14:paraId="6B11457F" w14:textId="19B89C8B" w:rsidR="009623A2" w:rsidRDefault="009623A2" w:rsidP="009623A2">
      <w:pPr>
        <w:pStyle w:val="1"/>
        <w:rPr>
          <w:rtl/>
        </w:rPr>
      </w:pPr>
      <w:bookmarkStart w:id="455" w:name="_Toc134419700"/>
      <w:r>
        <w:rPr>
          <w:rFonts w:hint="cs"/>
          <w:rtl/>
        </w:rPr>
        <w:t>בי' המנחת חינוך דשורה ל"ד לזורע וחייב מדין תולדה דהצמחה</w:t>
      </w:r>
      <w:bookmarkEnd w:id="455"/>
      <w:r>
        <w:rPr>
          <w:rFonts w:hint="cs"/>
          <w:rtl/>
        </w:rPr>
        <w:t xml:space="preserve"> </w:t>
      </w:r>
    </w:p>
    <w:p w14:paraId="10A40842" w14:textId="77777777" w:rsidR="009623A2" w:rsidRPr="00AD36BD" w:rsidRDefault="009623A2" w:rsidP="009623A2">
      <w:pPr>
        <w:pStyle w:val="afffff7"/>
        <w:rPr>
          <w:rtl/>
        </w:rPr>
      </w:pPr>
      <w:bookmarkStart w:id="456" w:name="_Toc133841693"/>
      <w:bookmarkStart w:id="457" w:name="_Toc163505443"/>
      <w:r w:rsidRPr="00AD36BD">
        <w:rPr>
          <w:rtl/>
        </w:rPr>
        <w:t xml:space="preserve">מנחת חינוך מוסך השבת </w:t>
      </w:r>
      <w:r w:rsidRPr="00AD36BD">
        <w:rPr>
          <w:rFonts w:hint="cs"/>
          <w:rtl/>
        </w:rPr>
        <w:t>זורע</w:t>
      </w:r>
      <w:r>
        <w:rPr>
          <w:rFonts w:hint="cs"/>
          <w:rtl/>
        </w:rPr>
        <w:t xml:space="preserve"> אות ב' ד"ה עוד כתב</w:t>
      </w:r>
      <w:bookmarkEnd w:id="456"/>
      <w:bookmarkEnd w:id="457"/>
    </w:p>
    <w:p w14:paraId="7FDD8DD6" w14:textId="77777777" w:rsidR="009623A2" w:rsidRPr="00AD36BD" w:rsidRDefault="009623A2" w:rsidP="009623A2">
      <w:pPr>
        <w:pStyle w:val="a7"/>
        <w:rPr>
          <w:rtl/>
        </w:rPr>
      </w:pPr>
      <w:bookmarkStart w:id="458" w:name="_Toc134419701"/>
      <w:r>
        <w:rPr>
          <w:rFonts w:hint="cs"/>
          <w:rtl/>
        </w:rPr>
        <w:t>בי' המנ"ח דזורע חייב מיד בלא השרשה וההשרשה עצמה וכן הצמחה הם תולדות זורע</w:t>
      </w:r>
      <w:bookmarkEnd w:id="458"/>
      <w:r>
        <w:rPr>
          <w:rFonts w:hint="cs"/>
          <w:rtl/>
        </w:rPr>
        <w:t xml:space="preserve"> </w:t>
      </w:r>
    </w:p>
    <w:p w14:paraId="71973DFB" w14:textId="489291F1" w:rsidR="009623A2" w:rsidRDefault="009623A2" w:rsidP="00BC7DC8">
      <w:pPr>
        <w:pStyle w:val="a3"/>
        <w:rPr>
          <w:rtl/>
        </w:rPr>
      </w:pPr>
      <w:bookmarkStart w:id="459" w:name="_Ref133575427"/>
      <w:r>
        <w:rPr>
          <w:rFonts w:hint="cs"/>
          <w:rtl/>
        </w:rPr>
        <w:t xml:space="preserve">במ"ש </w:t>
      </w:r>
      <w:r w:rsidRPr="00C444C9">
        <w:rPr>
          <w:rStyle w:val="aff4"/>
          <w:rFonts w:hint="cs"/>
          <w:vanish/>
          <w:rtl/>
        </w:rPr>
        <w:t>-</w:t>
      </w:r>
      <w:r w:rsidRPr="004F32D2">
        <w:rPr>
          <w:rStyle w:val="aff4"/>
          <w:rFonts w:hint="cs"/>
          <w:rtl/>
        </w:rPr>
        <w:t>המג"א</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Ref133749987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צד)</w:t>
      </w:r>
      <w:r>
        <w:rPr>
          <w:rStyle w:val="af2"/>
          <w:rFonts w:eastAsia="Guttman Hodes"/>
          <w:rtl/>
        </w:rPr>
        <w:fldChar w:fldCharType="end"/>
      </w:r>
      <w:r>
        <w:rPr>
          <w:rFonts w:hint="cs"/>
          <w:rtl/>
        </w:rPr>
        <w:t xml:space="preserve"> דהחיוב בשורה חיטין במים הוא רק כששרה אותם לזמן ארוך, דחה</w:t>
      </w:r>
      <w:r w:rsidRPr="00AD36BD">
        <w:rPr>
          <w:rFonts w:hint="cs"/>
          <w:rtl/>
        </w:rPr>
        <w:t xml:space="preserve"> </w:t>
      </w:r>
      <w:r w:rsidRPr="00C444C9">
        <w:rPr>
          <w:rStyle w:val="aff4"/>
          <w:rFonts w:hint="cs"/>
          <w:vanish/>
          <w:rtl/>
        </w:rPr>
        <w:t>-</w:t>
      </w:r>
      <w:r w:rsidRPr="004F32D2">
        <w:rPr>
          <w:rStyle w:val="aff4"/>
          <w:rFonts w:hint="cs"/>
          <w:rtl/>
        </w:rPr>
        <w:t>ה</w:t>
      </w:r>
      <w:r w:rsidRPr="00C444C9">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Ref133575427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קח)</w:t>
      </w:r>
      <w:r>
        <w:rPr>
          <w:rStyle w:val="aff4"/>
          <w:vanish/>
          <w:rtl/>
        </w:rPr>
        <w:fldChar w:fldCharType="end"/>
      </w:r>
      <w:r w:rsidRPr="00C444C9">
        <w:rPr>
          <w:rStyle w:val="aff4"/>
          <w:rFonts w:hint="cs"/>
          <w:vanish/>
          <w:rtl/>
        </w:rPr>
        <w:t xml:space="preserve"> &gt;</w:t>
      </w:r>
      <w:r w:rsidRPr="004F32D2">
        <w:rPr>
          <w:rStyle w:val="aff4"/>
          <w:rFonts w:hint="cs"/>
          <w:rtl/>
        </w:rPr>
        <w:t>מנחת חינוך</w:t>
      </w:r>
      <w:r w:rsidRPr="00C444C9">
        <w:rPr>
          <w:rStyle w:val="aff4"/>
          <w:rFonts w:hint="cs"/>
          <w:vanish/>
          <w:rtl/>
        </w:rPr>
        <w:t>-</w:t>
      </w:r>
      <w:r w:rsidRPr="00AD36BD">
        <w:rPr>
          <w:rFonts w:hint="cs"/>
          <w:rtl/>
        </w:rPr>
        <w:t xml:space="preserve"> </w:t>
      </w:r>
      <w:r w:rsidRPr="002A0D0C">
        <w:rPr>
          <w:rStyle w:val="af2"/>
          <w:rFonts w:eastAsia="Guttman Hodes" w:hint="cs"/>
          <w:rtl/>
        </w:rPr>
        <w:t>(מוסך השבת זורע אות ב' ד"ה עוד כתב)</w:t>
      </w:r>
      <w:r w:rsidRPr="00350A80">
        <w:rPr>
          <w:rFonts w:hint="cs"/>
          <w:vanish/>
          <w:rtl/>
        </w:rPr>
        <w:t>=</w:t>
      </w:r>
      <w:r>
        <w:rPr>
          <w:rFonts w:hint="cs"/>
          <w:rtl/>
        </w:rPr>
        <w:t xml:space="preserve"> דלא מובן החילוק בין זמן קצר לזמן ארוך, אלא כתב דהביאור </w:t>
      </w:r>
      <w:r>
        <w:rPr>
          <w:rFonts w:hint="cs"/>
          <w:rtl/>
        </w:rPr>
        <w:lastRenderedPageBreak/>
        <w:t xml:space="preserve">הוא לפי מ"ש </w:t>
      </w:r>
      <w:r w:rsidRPr="00C444C9">
        <w:rPr>
          <w:rStyle w:val="aff4"/>
          <w:rFonts w:hint="cs"/>
          <w:vanish/>
          <w:rtl/>
        </w:rPr>
        <w:t>-</w:t>
      </w:r>
      <w:r w:rsidRPr="004F32D2">
        <w:rPr>
          <w:rStyle w:val="aff4"/>
          <w:rFonts w:hint="cs"/>
          <w:rtl/>
        </w:rPr>
        <w:t>המנחת חינוך</w:t>
      </w:r>
      <w:r w:rsidRPr="00C444C9">
        <w:rPr>
          <w:rStyle w:val="aff4"/>
          <w:rFonts w:hint="cs"/>
          <w:vanish/>
          <w:rtl/>
        </w:rPr>
        <w:t>-</w:t>
      </w:r>
      <w:r>
        <w:rPr>
          <w:rFonts w:hint="cs"/>
          <w:rtl/>
        </w:rPr>
        <w:t xml:space="preserve"> </w:t>
      </w:r>
      <w:r w:rsidRPr="002A0D0C">
        <w:rPr>
          <w:rStyle w:val="af2"/>
          <w:rFonts w:eastAsia="Guttman Hodes" w:hint="cs"/>
          <w:rtl/>
        </w:rPr>
        <w:t xml:space="preserve">(מצוה רח"צ י"ד ד"ה </w:t>
      </w:r>
      <w:r w:rsidRPr="002A0D0C">
        <w:rPr>
          <w:rStyle w:val="af2"/>
          <w:rFonts w:eastAsia="Guttman Hodes"/>
          <w:rtl/>
        </w:rPr>
        <w:t xml:space="preserve">אך </w:t>
      </w:r>
      <w:r w:rsidRPr="002A0D0C">
        <w:rPr>
          <w:rStyle w:val="af2"/>
          <w:rFonts w:eastAsia="Guttman Hodes" w:hint="cs"/>
          <w:rtl/>
        </w:rPr>
        <w:t>זה אינו, מוסך השבת זורע ד"ה והנה, ד"ה ונראה פשוט)</w:t>
      </w:r>
      <w:r>
        <w:rPr>
          <w:rFonts w:hint="cs"/>
          <w:rtl/>
        </w:rPr>
        <w:t xml:space="preserve"> </w:t>
      </w:r>
      <w:r w:rsidRPr="002A0D0C">
        <w:rPr>
          <w:rStyle w:val="af"/>
          <w:rFonts w:hint="cs"/>
          <w:rtl/>
        </w:rPr>
        <w:t>[אי"ה יובאו דבריו בהמשך]</w:t>
      </w:r>
      <w:r w:rsidRPr="009877C4">
        <w:rPr>
          <w:rStyle w:val="af"/>
          <w:rFonts w:hint="cs"/>
          <w:rtl/>
        </w:rPr>
        <w:t>,</w:t>
      </w:r>
      <w:r>
        <w:rPr>
          <w:rFonts w:hint="cs"/>
          <w:rtl/>
        </w:rPr>
        <w:t xml:space="preserve"> דזריעה בקרקע היא מלאכה מיד בשעת הזריעה, אף שהזרע עדיין לא נקלט ולא צמח כלל, והוסיף </w:t>
      </w:r>
      <w:r w:rsidRPr="00C444C9">
        <w:rPr>
          <w:rStyle w:val="aff4"/>
          <w:rFonts w:hint="cs"/>
          <w:vanish/>
          <w:rtl/>
        </w:rPr>
        <w:t>-</w:t>
      </w:r>
      <w:r w:rsidRPr="004F32D2">
        <w:rPr>
          <w:rStyle w:val="aff4"/>
          <w:rFonts w:hint="cs"/>
          <w:rtl/>
        </w:rPr>
        <w:t>המנחת חינוך</w:t>
      </w:r>
      <w:r w:rsidRPr="00C444C9">
        <w:rPr>
          <w:rStyle w:val="aff4"/>
          <w:rFonts w:hint="cs"/>
          <w:vanish/>
          <w:rtl/>
        </w:rPr>
        <w:t>-</w:t>
      </w:r>
      <w:r>
        <w:rPr>
          <w:rFonts w:hint="cs"/>
          <w:rtl/>
        </w:rPr>
        <w:t xml:space="preserve"> דאף הקליטה עצמה חשיבא זריעה, כמבואר במתני' בשביעית </w:t>
      </w:r>
      <w:r w:rsidRPr="002A0D0C">
        <w:rPr>
          <w:rStyle w:val="af2"/>
          <w:rFonts w:eastAsia="Guttman Hodes" w:hint="cs"/>
          <w:rtl/>
        </w:rPr>
        <w:t>(פ"ב מ"ו)</w:t>
      </w:r>
      <w:r>
        <w:rPr>
          <w:rFonts w:hint="cs"/>
          <w:rtl/>
        </w:rPr>
        <w:t xml:space="preserve"> דאסור לזרוע פחות מל' יום לפני השביעית, כיון דהקליטה היא בשביעית, וכתב </w:t>
      </w:r>
      <w:r w:rsidRPr="00C444C9">
        <w:rPr>
          <w:rStyle w:val="aff4"/>
          <w:rFonts w:hint="cs"/>
          <w:vanish/>
          <w:rtl/>
        </w:rPr>
        <w:t>-</w:t>
      </w:r>
      <w:r w:rsidRPr="004F32D2">
        <w:rPr>
          <w:rStyle w:val="aff4"/>
          <w:rFonts w:hint="cs"/>
          <w:rtl/>
        </w:rPr>
        <w:t>המנחת חינוך</w:t>
      </w:r>
      <w:r w:rsidRPr="00C444C9">
        <w:rPr>
          <w:rStyle w:val="aff4"/>
          <w:rFonts w:hint="cs"/>
          <w:vanish/>
          <w:rtl/>
        </w:rPr>
        <w:t>-</w:t>
      </w:r>
      <w:r>
        <w:rPr>
          <w:rFonts w:hint="cs"/>
          <w:rtl/>
        </w:rPr>
        <w:t xml:space="preserve"> דה"ה הצמיחה עצמה חשיבא כזריעה.</w:t>
      </w:r>
    </w:p>
    <w:p w14:paraId="5231AE1C" w14:textId="77777777" w:rsidR="009623A2" w:rsidRPr="00747170" w:rsidRDefault="009623A2" w:rsidP="00747170">
      <w:pPr>
        <w:pStyle w:val="a2"/>
      </w:pPr>
      <w:r w:rsidRPr="00747170">
        <w:rPr>
          <w:rtl/>
        </w:rPr>
        <w:t>עוד כתב הר"מ דהשורה חטים ושעורין וכיוצא בהם במים ה"ז תולדת זורע והה"מ הרשים ע"ז זבחים צ"ד ומג"א של"ו תמה ע"ז דאדרבא שם מוכח להיפך דאמרינן התם ר"א זרק פשתן למים חייב ואמרינן מ"ט אילימא משום דמקדיח (פי' שצומח) אפי' חיטי ושערי נמי אלא משום לש וכ"ה בר"מ ספ"ז הנותן זרע פשתן וכו' חייב משום לש א"כ משמע דא"ח משום זורע ומחלק המג"א בין זמן קצר לזמן ארוך ובפשתן חייב תיכף משום לש ואין מובן החילוק כ"כ. ולענ"ד לפמש"ל ובה</w:t>
      </w:r>
      <w:r w:rsidRPr="00747170">
        <w:rPr>
          <w:rFonts w:hint="cs"/>
          <w:rtl/>
        </w:rPr>
        <w:t xml:space="preserve">לכות </w:t>
      </w:r>
      <w:r w:rsidRPr="00747170">
        <w:rPr>
          <w:rtl/>
        </w:rPr>
        <w:t>יו"ט דהזריעה בקרקע הוי מלאכה אף שלא נקלט ולא צמח כלל וגם הקליטה הו"ל זורע כמ"ש בשביעית דפחות מל' יום קודם שביעית אסור לנטוע דנקלט בשביעית והו"ל זריעה ובשבת לא משכחת לה זריעה וקליטה ביום א' כי עכ"פ צריך ג' ימים ובזורע תוך ג"י לשבת אף שנקלט בשבת א"ח כי קודם שבת מותר לעשות מלאכה אף שנעשה בשבת כידוע אך באופן דמשכחת לה ע</w:t>
      </w:r>
      <w:r w:rsidRPr="00747170">
        <w:rPr>
          <w:rFonts w:hint="cs"/>
          <w:rtl/>
        </w:rPr>
        <w:t>יין להלן</w:t>
      </w:r>
      <w:r w:rsidRPr="00747170">
        <w:rPr>
          <w:rtl/>
        </w:rPr>
        <w:t xml:space="preserve"> ה</w:t>
      </w:r>
      <w:r w:rsidRPr="00747170">
        <w:rPr>
          <w:rFonts w:hint="cs"/>
          <w:rtl/>
        </w:rPr>
        <w:t xml:space="preserve">לכות </w:t>
      </w:r>
      <w:r w:rsidRPr="00747170">
        <w:rPr>
          <w:rtl/>
        </w:rPr>
        <w:t>יו"ט דיש מינים שנקלטים בו ביום. והנה נהי דאם הי' בהעלם א' א"ח אלא א' דעושה כמה מלאכו' משם א' א"ח אלא א' אבל אם הי' ידיעה בינתיים דידיעות מחלקות חייב ב' חטאות דהו"ל כמו זורע ונודע וחזר וזרע כי הקליטה ה"ל ג"כ זריעה וה"ה הצמיחה ודאי הו"ל זריעה.</w:t>
      </w:r>
    </w:p>
    <w:p w14:paraId="56F13F9D" w14:textId="77777777" w:rsidR="009623A2" w:rsidRPr="008C3AF1" w:rsidRDefault="009623A2" w:rsidP="009623A2">
      <w:pPr>
        <w:pStyle w:val="a7"/>
      </w:pPr>
      <w:bookmarkStart w:id="460" w:name="_Toc134419702"/>
      <w:r>
        <w:rPr>
          <w:rFonts w:hint="cs"/>
          <w:rtl/>
        </w:rPr>
        <w:t>בי' המנ"ח דשריה במים אינה זריעה עצמה דל"ד לזורע אלא הוי הצמחה דהיא תולדת זורע</w:t>
      </w:r>
      <w:bookmarkEnd w:id="460"/>
    </w:p>
    <w:p w14:paraId="002242E8" w14:textId="520A456C" w:rsidR="009623A2" w:rsidRDefault="009623A2" w:rsidP="00BC7DC8">
      <w:pPr>
        <w:pStyle w:val="a3"/>
      </w:pPr>
      <w:r>
        <w:rPr>
          <w:rFonts w:hint="cs"/>
          <w:rtl/>
        </w:rPr>
        <w:t xml:space="preserve">וכתב </w:t>
      </w:r>
      <w:r w:rsidRPr="00C444C9">
        <w:rPr>
          <w:rStyle w:val="aff4"/>
          <w:rFonts w:hint="cs"/>
          <w:vanish/>
          <w:rtl/>
        </w:rPr>
        <w:t>-</w:t>
      </w:r>
      <w:r w:rsidRPr="004F32D2">
        <w:rPr>
          <w:rStyle w:val="aff4"/>
          <w:rFonts w:hint="cs"/>
          <w:rtl/>
        </w:rPr>
        <w:t>המנחת חינוך</w:t>
      </w:r>
      <w:r w:rsidRPr="00C444C9">
        <w:rPr>
          <w:rStyle w:val="aff4"/>
          <w:rFonts w:hint="cs"/>
          <w:vanish/>
          <w:rtl/>
        </w:rPr>
        <w:t>-</w:t>
      </w:r>
      <w:r>
        <w:rPr>
          <w:rFonts w:hint="cs"/>
          <w:rtl/>
        </w:rPr>
        <w:t xml:space="preserve"> דא"כ בשורה חיטין במים א"א לומר דהשרייה עצמה חשיבא כזריעה, דהא התולדה צריכה להיות דומה לאב בדמיון גדול, כדכתב </w:t>
      </w:r>
      <w:r w:rsidRPr="00C444C9">
        <w:rPr>
          <w:rStyle w:val="aff4"/>
          <w:rFonts w:hint="cs"/>
          <w:vanish/>
          <w:rtl/>
        </w:rPr>
        <w:t>-</w:t>
      </w:r>
      <w:r w:rsidRPr="004F32D2">
        <w:rPr>
          <w:rStyle w:val="aff4"/>
          <w:rFonts w:hint="cs"/>
          <w:rtl/>
        </w:rPr>
        <w:t>הרמב"ם</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Ref130239677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כח)</w:t>
      </w:r>
      <w:r>
        <w:rPr>
          <w:rStyle w:val="af2"/>
          <w:rFonts w:eastAsia="Guttman Hodes"/>
          <w:rtl/>
        </w:rPr>
        <w:fldChar w:fldCharType="end"/>
      </w:r>
      <w:r>
        <w:rPr>
          <w:rFonts w:hint="cs"/>
          <w:rtl/>
        </w:rPr>
        <w:t xml:space="preserve">, </w:t>
      </w:r>
      <w:r w:rsidRPr="00E02F81">
        <w:rPr>
          <w:rStyle w:val="af"/>
          <w:rFonts w:hint="cs"/>
          <w:rtl/>
        </w:rPr>
        <w:t xml:space="preserve">[וכדביאר </w:t>
      </w:r>
      <w:r w:rsidRPr="00E02F81">
        <w:rPr>
          <w:rStyle w:val="aff9"/>
          <w:rFonts w:hint="cs"/>
          <w:vanish/>
          <w:rtl/>
        </w:rPr>
        <w:t>-</w:t>
      </w:r>
      <w:r w:rsidRPr="00E02F81">
        <w:rPr>
          <w:rStyle w:val="aff9"/>
          <w:rFonts w:hint="cs"/>
          <w:rtl/>
        </w:rPr>
        <w:t>המ"מ</w:t>
      </w:r>
      <w:r w:rsidRPr="00E02F81">
        <w:rPr>
          <w:rStyle w:val="aff9"/>
          <w:rFonts w:hint="cs"/>
          <w:vanish/>
          <w:rtl/>
        </w:rPr>
        <w:t>-</w:t>
      </w:r>
      <w:r w:rsidRPr="00E02F81">
        <w:rPr>
          <w:rStyle w:val="af"/>
          <w:rFonts w:hint="cs"/>
          <w:rtl/>
        </w:rPr>
        <w:t xml:space="preserve"> </w:t>
      </w:r>
      <w:r w:rsidRPr="00E02F81">
        <w:rPr>
          <w:rStyle w:val="aff5"/>
          <w:rFonts w:hint="cs"/>
          <w:rtl/>
        </w:rPr>
        <w:t xml:space="preserve">(עי' אות </w:t>
      </w:r>
      <w:r w:rsidRPr="00E02F81">
        <w:rPr>
          <w:rStyle w:val="aff5"/>
          <w:rtl/>
        </w:rPr>
        <w:fldChar w:fldCharType="begin"/>
      </w:r>
      <w:r w:rsidRPr="00E02F81">
        <w:rPr>
          <w:rStyle w:val="aff5"/>
          <w:rtl/>
        </w:rPr>
        <w:instrText xml:space="preserve"> </w:instrText>
      </w:r>
      <w:r w:rsidRPr="00E02F81">
        <w:rPr>
          <w:rStyle w:val="aff5"/>
          <w:rFonts w:hint="cs"/>
        </w:rPr>
        <w:instrText>REF</w:instrText>
      </w:r>
      <w:r w:rsidRPr="00E02F81">
        <w:rPr>
          <w:rStyle w:val="aff5"/>
          <w:rFonts w:hint="cs"/>
          <w:rtl/>
        </w:rPr>
        <w:instrText xml:space="preserve"> _</w:instrText>
      </w:r>
      <w:r w:rsidRPr="00E02F81">
        <w:rPr>
          <w:rStyle w:val="aff5"/>
          <w:rFonts w:hint="cs"/>
        </w:rPr>
        <w:instrText>Ref133477285 \r \h</w:instrText>
      </w:r>
      <w:r w:rsidRPr="00E02F81">
        <w:rPr>
          <w:rStyle w:val="aff5"/>
          <w:rtl/>
        </w:rPr>
        <w:instrText xml:space="preserve"> </w:instrText>
      </w:r>
      <w:r>
        <w:rPr>
          <w:rStyle w:val="aff5"/>
          <w:rtl/>
        </w:rPr>
        <w:instrText xml:space="preserve"> \* </w:instrText>
      </w:r>
      <w:r>
        <w:rPr>
          <w:rStyle w:val="aff5"/>
        </w:rPr>
        <w:instrText>MERGEFORMAT</w:instrText>
      </w:r>
      <w:r>
        <w:rPr>
          <w:rStyle w:val="aff5"/>
          <w:rtl/>
        </w:rPr>
        <w:instrText xml:space="preserve"> </w:instrText>
      </w:r>
      <w:r w:rsidRPr="00E02F81">
        <w:rPr>
          <w:rStyle w:val="aff5"/>
          <w:rtl/>
        </w:rPr>
      </w:r>
      <w:r w:rsidRPr="00E02F81">
        <w:rPr>
          <w:rStyle w:val="aff5"/>
          <w:rtl/>
        </w:rPr>
        <w:fldChar w:fldCharType="separate"/>
      </w:r>
      <w:r w:rsidR="00D82181">
        <w:rPr>
          <w:rStyle w:val="aff5"/>
          <w:cs/>
        </w:rPr>
        <w:t>‎</w:t>
      </w:r>
      <w:r w:rsidR="00D82181">
        <w:rPr>
          <w:rStyle w:val="aff5"/>
          <w:rtl/>
        </w:rPr>
        <w:t>לו)</w:t>
      </w:r>
      <w:r w:rsidRPr="00E02F81">
        <w:rPr>
          <w:rStyle w:val="aff5"/>
          <w:rtl/>
        </w:rPr>
        <w:fldChar w:fldCharType="end"/>
      </w:r>
      <w:r w:rsidRPr="00E02F81">
        <w:rPr>
          <w:rStyle w:val="af"/>
          <w:rFonts w:hint="cs"/>
          <w:rtl/>
        </w:rPr>
        <w:t>],</w:t>
      </w:r>
      <w:r>
        <w:rPr>
          <w:rFonts w:hint="cs"/>
          <w:rtl/>
        </w:rPr>
        <w:t xml:space="preserve"> ושרייה במים לא דמי כלל לזריעה בקרקע, אלא מוכח דחייב על ההצמחה עצמה דהיא כעין האב דזורע, דבאב יש צמיחה מהקרקע, ובשורה חיטין במים יש צמיחה במים.</w:t>
      </w:r>
      <w:bookmarkEnd w:id="459"/>
    </w:p>
    <w:p w14:paraId="3D6D5BBB" w14:textId="77777777" w:rsidR="009623A2" w:rsidRPr="00747170" w:rsidRDefault="009623A2" w:rsidP="00747170">
      <w:pPr>
        <w:pStyle w:val="a2"/>
        <w:rPr>
          <w:rtl/>
        </w:rPr>
      </w:pPr>
      <w:r w:rsidRPr="00747170">
        <w:rPr>
          <w:rtl/>
        </w:rPr>
        <w:t>וער"מ פ"ז כ' דהתולדה דומה לאב היינו אף שא"ד לגמרי כמ"ש לפ"ז עכ"פ צריך דמיון גדול לאב והנה הזריעה דאסרה תורה שהי' אב ובמשכן היו זורעים כדרך כל העולם על הארץ אין שייך לומר הזורע במים הו"ל תולדה כי אין דמיון כלל לקרוא זורע דל"ש זריעה כלל במים א"כ על הזריעה בעצמה במים א"ח כלל ואם זרע במים ולא צמח או שלקחה תיכף מן המים ודאי פטור דל"ש תולדת זורע כלל כי מה ענין מים לאדמה וא"ד האב לתולדה כלל אבל השורה במים עד שצמח חייב על הצמיחה דהצמיחה שפיר הו"ל תולדת צמיחה בדבר הגדל מן הארץ דשם צומח וכאן נמי צומח הוי"ל דמיון</w:t>
      </w:r>
      <w:r w:rsidRPr="00747170">
        <w:rPr>
          <w:rFonts w:hint="cs"/>
          <w:rtl/>
        </w:rPr>
        <w:t>.</w:t>
      </w:r>
    </w:p>
    <w:p w14:paraId="2764D72C" w14:textId="4B27AEFC" w:rsidR="009623A2" w:rsidRDefault="009623A2" w:rsidP="009623A2">
      <w:pPr>
        <w:pStyle w:val="a7"/>
        <w:rPr>
          <w:rtl/>
        </w:rPr>
      </w:pPr>
      <w:bookmarkStart w:id="461" w:name="_Toc134419703"/>
      <w:r>
        <w:rPr>
          <w:rFonts w:hint="cs"/>
          <w:rtl/>
        </w:rPr>
        <w:t>בי' המנ"ח דשורה חייב רק משום הצמחה ולכן חיובו בהצמחה עצמה כאופה דחייב באפיה</w:t>
      </w:r>
      <w:bookmarkEnd w:id="461"/>
    </w:p>
    <w:p w14:paraId="629F8AB9" w14:textId="77777777" w:rsidR="009623A2" w:rsidRDefault="009623A2" w:rsidP="00BC7DC8">
      <w:pPr>
        <w:pStyle w:val="a3"/>
      </w:pPr>
      <w:r>
        <w:rPr>
          <w:rFonts w:hint="cs"/>
          <w:rtl/>
        </w:rPr>
        <w:t xml:space="preserve">וכתב </w:t>
      </w:r>
      <w:r w:rsidRPr="00C444C9">
        <w:rPr>
          <w:rStyle w:val="aff4"/>
          <w:rFonts w:hint="cs"/>
          <w:vanish/>
          <w:rtl/>
        </w:rPr>
        <w:t>-</w:t>
      </w:r>
      <w:r w:rsidRPr="004F32D2">
        <w:rPr>
          <w:rStyle w:val="aff4"/>
          <w:rFonts w:hint="cs"/>
          <w:rtl/>
        </w:rPr>
        <w:t>המנחת חינוך</w:t>
      </w:r>
      <w:r w:rsidRPr="00C444C9">
        <w:rPr>
          <w:rStyle w:val="aff4"/>
          <w:rFonts w:hint="cs"/>
          <w:vanish/>
          <w:rtl/>
        </w:rPr>
        <w:t>-</w:t>
      </w:r>
      <w:r>
        <w:rPr>
          <w:rFonts w:hint="cs"/>
          <w:rtl/>
        </w:rPr>
        <w:t xml:space="preserve"> דכיון דהחיוב בשורה במים הוא רק מחמת דהצמיחה דומה לאב דזורע, א"כ החיוב הוא רק לאחר שצמח, אבל על הזריעה עצמה במים אין כל חיוב, ודמי לאופה דההנחה בתנור אינה מחייבת עד האפיה, </w:t>
      </w:r>
      <w:r w:rsidRPr="002A0D0C">
        <w:rPr>
          <w:rStyle w:val="af"/>
          <w:rFonts w:hint="cs"/>
          <w:rtl/>
        </w:rPr>
        <w:t xml:space="preserve">[כדעת </w:t>
      </w:r>
      <w:r w:rsidRPr="001145E2">
        <w:rPr>
          <w:rStyle w:val="aff9"/>
          <w:rFonts w:hint="cs"/>
          <w:vanish/>
          <w:rtl/>
        </w:rPr>
        <w:t>-</w:t>
      </w:r>
      <w:r w:rsidRPr="002A0D0C">
        <w:rPr>
          <w:rStyle w:val="aff9"/>
          <w:rFonts w:hint="cs"/>
          <w:rtl/>
        </w:rPr>
        <w:t>המנחת חינוך</w:t>
      </w:r>
      <w:r w:rsidRPr="001145E2">
        <w:rPr>
          <w:rStyle w:val="aff9"/>
          <w:rFonts w:hint="cs"/>
          <w:vanish/>
          <w:rtl/>
        </w:rPr>
        <w:t>-</w:t>
      </w:r>
      <w:r w:rsidRPr="002A0D0C">
        <w:rPr>
          <w:rStyle w:val="af"/>
          <w:rFonts w:hint="cs"/>
          <w:rtl/>
        </w:rPr>
        <w:t xml:space="preserve"> </w:t>
      </w:r>
      <w:r w:rsidRPr="002A0D0C">
        <w:rPr>
          <w:rStyle w:val="aff5"/>
          <w:rFonts w:hint="cs"/>
          <w:rtl/>
        </w:rPr>
        <w:t xml:space="preserve">(מצוה רח"צ י"ד ד"ה </w:t>
      </w:r>
      <w:r w:rsidRPr="002A0D0C">
        <w:rPr>
          <w:rStyle w:val="aff5"/>
          <w:rtl/>
        </w:rPr>
        <w:t xml:space="preserve">אך </w:t>
      </w:r>
      <w:r w:rsidRPr="002A0D0C">
        <w:rPr>
          <w:rStyle w:val="aff5"/>
          <w:rFonts w:hint="cs"/>
          <w:rtl/>
        </w:rPr>
        <w:t>זה אינו, מוסך השבת זורע ד"ה והנה, ד"ה ונראה פשוט)</w:t>
      </w:r>
      <w:r w:rsidRPr="002A0D0C">
        <w:rPr>
          <w:rStyle w:val="af"/>
          <w:rFonts w:hint="cs"/>
          <w:rtl/>
        </w:rPr>
        <w:t xml:space="preserve"> [אי"ה יובאו דבריו בהמשך]</w:t>
      </w:r>
      <w:r w:rsidRPr="007E3DC1">
        <w:rPr>
          <w:rStyle w:val="af"/>
          <w:rFonts w:hint="cs"/>
          <w:rtl/>
        </w:rPr>
        <w:t xml:space="preserve">, </w:t>
      </w:r>
      <w:r>
        <w:rPr>
          <w:rFonts w:hint="cs"/>
          <w:rtl/>
        </w:rPr>
        <w:t xml:space="preserve">דחילק בין זורע לאופה], וכתב </w:t>
      </w:r>
      <w:r w:rsidRPr="00C444C9">
        <w:rPr>
          <w:rStyle w:val="aff4"/>
          <w:rFonts w:hint="cs"/>
          <w:vanish/>
          <w:rtl/>
        </w:rPr>
        <w:t>-</w:t>
      </w:r>
      <w:r w:rsidRPr="004F32D2">
        <w:rPr>
          <w:rStyle w:val="aff4"/>
          <w:rFonts w:hint="cs"/>
          <w:rtl/>
        </w:rPr>
        <w:t>המנחת חינוך</w:t>
      </w:r>
      <w:r w:rsidRPr="00C444C9">
        <w:rPr>
          <w:rStyle w:val="aff4"/>
          <w:rFonts w:hint="cs"/>
          <w:vanish/>
          <w:rtl/>
        </w:rPr>
        <w:t>-</w:t>
      </w:r>
      <w:r>
        <w:rPr>
          <w:rFonts w:hint="cs"/>
          <w:rtl/>
        </w:rPr>
        <w:t xml:space="preserve"> דבאופן ששרה את החיטין במים עד שהצמיחו, הוא פשיטא דחייב.</w:t>
      </w:r>
    </w:p>
    <w:p w14:paraId="1D99CFF3" w14:textId="77777777" w:rsidR="009623A2" w:rsidRPr="00747170" w:rsidRDefault="009623A2" w:rsidP="00747170">
      <w:pPr>
        <w:pStyle w:val="a2"/>
        <w:rPr>
          <w:rtl/>
        </w:rPr>
      </w:pPr>
      <w:r w:rsidRPr="00747170">
        <w:rPr>
          <w:rtl/>
        </w:rPr>
        <w:t>א"כ בשורה במים א"ח עד שצמח ובלא צמח על הזריעה עצמה במים א"ח דשם זריעה במים לזריעה על הארץ אין לו דמיון כלל א"כ במים א"ח עד שצמח והו"ל כמו אפיה. והנה בשורה עד שצומח הדבר פשוט דחייב דה"ל תולדה</w:t>
      </w:r>
      <w:r w:rsidRPr="00747170">
        <w:rPr>
          <w:rFonts w:hint="cs"/>
          <w:rtl/>
        </w:rPr>
        <w:t>.</w:t>
      </w:r>
    </w:p>
    <w:p w14:paraId="30CB509B" w14:textId="555EEF5E" w:rsidR="009623A2" w:rsidRPr="007E3DC1" w:rsidRDefault="009623A2" w:rsidP="009623A2">
      <w:pPr>
        <w:pStyle w:val="a7"/>
      </w:pPr>
      <w:bookmarkStart w:id="462" w:name="_Toc134419704"/>
      <w:r>
        <w:rPr>
          <w:rFonts w:hint="cs"/>
          <w:rtl/>
        </w:rPr>
        <w:t>בי' המנ"ח בזבחים דבלש חייב מיד ובהצמחה לאח"ז אך יל"ע בזה דאפש"ל דהצמחה ל"ה זורע</w:t>
      </w:r>
      <w:bookmarkEnd w:id="462"/>
    </w:p>
    <w:p w14:paraId="02E00E0C" w14:textId="419C326A" w:rsidR="009623A2" w:rsidRPr="006B20EC" w:rsidRDefault="009623A2" w:rsidP="00BC7DC8">
      <w:pPr>
        <w:pStyle w:val="a3"/>
      </w:pPr>
      <w:bookmarkStart w:id="463" w:name="_Ref133836309"/>
      <w:r>
        <w:rPr>
          <w:rFonts w:hint="cs"/>
          <w:rtl/>
        </w:rPr>
        <w:t xml:space="preserve">ולפי"ז ביאר </w:t>
      </w:r>
      <w:r w:rsidRPr="00C444C9">
        <w:rPr>
          <w:rStyle w:val="aff4"/>
          <w:rFonts w:hint="cs"/>
          <w:vanish/>
          <w:rtl/>
        </w:rPr>
        <w:t>-</w:t>
      </w:r>
      <w:r w:rsidRPr="004F32D2">
        <w:rPr>
          <w:rStyle w:val="aff4"/>
          <w:rFonts w:hint="cs"/>
          <w:rtl/>
        </w:rPr>
        <w:t>המנחת חינוך</w:t>
      </w:r>
      <w:r w:rsidRPr="00C444C9">
        <w:rPr>
          <w:rStyle w:val="aff4"/>
          <w:rFonts w:hint="cs"/>
          <w:vanish/>
          <w:rtl/>
        </w:rPr>
        <w:t>-</w:t>
      </w:r>
      <w:r>
        <w:rPr>
          <w:rFonts w:hint="cs"/>
          <w:rtl/>
        </w:rPr>
        <w:t xml:space="preserve"> את הגמ' בזבחים </w:t>
      </w:r>
      <w:r w:rsidRPr="002A0D0C">
        <w:rPr>
          <w:rStyle w:val="af2"/>
          <w:rFonts w:eastAsia="Guttman Hodes" w:hint="cs"/>
          <w:rtl/>
        </w:rPr>
        <w:t>(צד:)</w:t>
      </w:r>
      <w:r>
        <w:rPr>
          <w:rFonts w:hint="cs"/>
          <w:rtl/>
        </w:rPr>
        <w:t xml:space="preserve"> לדעת </w:t>
      </w:r>
      <w:r w:rsidRPr="00C444C9">
        <w:rPr>
          <w:rStyle w:val="aff4"/>
          <w:rFonts w:hint="cs"/>
          <w:vanish/>
          <w:rtl/>
        </w:rPr>
        <w:t>-</w:t>
      </w:r>
      <w:r w:rsidRPr="004F32D2">
        <w:rPr>
          <w:rStyle w:val="aff4"/>
          <w:rFonts w:hint="cs"/>
          <w:rtl/>
        </w:rPr>
        <w:t>הרמב"ם</w:t>
      </w:r>
      <w:r w:rsidRPr="00C444C9">
        <w:rPr>
          <w:rStyle w:val="aff4"/>
          <w:rFonts w:hint="cs"/>
          <w:vanish/>
          <w:rtl/>
        </w:rPr>
        <w:t>-</w:t>
      </w:r>
      <w:r>
        <w:rPr>
          <w:rFonts w:hint="cs"/>
          <w:rtl/>
        </w:rPr>
        <w:t xml:space="preserve"> דמקשה הגמ' דאי החיוב בזורק זרע פשתן למים הוא מחמת ההצמחה, א"כ ודאי דהחיוב הוא רק לאחר ההצמחה, ואמאי נקטה הגמ' רק פשתן הא ה"ה בחיטין ושעורין, ותירצה הגמ' דהחיוב בפשתן הוא מדין לש, דמתחייב מיד כשנותן את הזרע במים, אבל בחיטין ושעורין חייב רק לאחר שהצמיחו, וביאר </w:t>
      </w:r>
      <w:r w:rsidRPr="00C444C9">
        <w:rPr>
          <w:rStyle w:val="aff4"/>
          <w:rFonts w:hint="cs"/>
          <w:vanish/>
          <w:rtl/>
        </w:rPr>
        <w:t>-</w:t>
      </w:r>
      <w:r w:rsidRPr="004F32D2">
        <w:rPr>
          <w:rStyle w:val="aff4"/>
          <w:rFonts w:hint="cs"/>
          <w:rtl/>
        </w:rPr>
        <w:t>המנחת חינוך</w:t>
      </w:r>
      <w:r w:rsidRPr="00C444C9">
        <w:rPr>
          <w:rStyle w:val="aff4"/>
          <w:rFonts w:hint="cs"/>
          <w:vanish/>
          <w:rtl/>
        </w:rPr>
        <w:t>-</w:t>
      </w:r>
      <w:r>
        <w:rPr>
          <w:rFonts w:hint="cs"/>
          <w:rtl/>
        </w:rPr>
        <w:t xml:space="preserve"> דהא </w:t>
      </w:r>
      <w:r w:rsidRPr="00C444C9">
        <w:rPr>
          <w:rStyle w:val="aff4"/>
          <w:rFonts w:hint="cs"/>
          <w:vanish/>
          <w:rtl/>
        </w:rPr>
        <w:t>-</w:t>
      </w:r>
      <w:r w:rsidRPr="004F32D2">
        <w:rPr>
          <w:rStyle w:val="aff4"/>
          <w:rFonts w:hint="cs"/>
          <w:rtl/>
        </w:rPr>
        <w:t>דהרמב"ם</w:t>
      </w:r>
      <w:r w:rsidRPr="00C444C9">
        <w:rPr>
          <w:rStyle w:val="aff4"/>
          <w:rFonts w:hint="cs"/>
          <w:vanish/>
          <w:rtl/>
        </w:rPr>
        <w:t>-</w:t>
      </w:r>
      <w:r>
        <w:rPr>
          <w:rFonts w:hint="cs"/>
          <w:rtl/>
        </w:rPr>
        <w:t xml:space="preserve"> לא ביאר דהחיוב רק בהצמיחו, הוא כיון דכתב </w:t>
      </w:r>
      <w:r w:rsidRPr="00C444C9">
        <w:rPr>
          <w:rStyle w:val="aff4"/>
          <w:rFonts w:hint="cs"/>
          <w:vanish/>
          <w:rtl/>
        </w:rPr>
        <w:t>-</w:t>
      </w:r>
      <w:r w:rsidRPr="004F32D2">
        <w:rPr>
          <w:rStyle w:val="aff4"/>
          <w:rFonts w:hint="cs"/>
          <w:rtl/>
        </w:rPr>
        <w:t>הרמב"ם</w:t>
      </w:r>
      <w:r w:rsidRPr="00C444C9">
        <w:rPr>
          <w:rStyle w:val="aff4"/>
          <w:rFonts w:hint="cs"/>
          <w:vanish/>
          <w:rtl/>
        </w:rPr>
        <w:t>-</w:t>
      </w:r>
      <w:r>
        <w:rPr>
          <w:rFonts w:hint="cs"/>
          <w:rtl/>
        </w:rPr>
        <w:t xml:space="preserve"> לשון "שרייה" ופשיטא ליה דהכוונה ששהה עד שהצמיחו, וציין </w:t>
      </w:r>
      <w:r w:rsidRPr="00C444C9">
        <w:rPr>
          <w:rStyle w:val="aff4"/>
          <w:rFonts w:hint="cs"/>
          <w:vanish/>
          <w:rtl/>
        </w:rPr>
        <w:t>-</w:t>
      </w:r>
      <w:r w:rsidRPr="004F32D2">
        <w:rPr>
          <w:rStyle w:val="aff4"/>
          <w:rFonts w:hint="cs"/>
          <w:rtl/>
        </w:rPr>
        <w:t>המנחת חינוך</w:t>
      </w:r>
      <w:r w:rsidRPr="00C444C9">
        <w:rPr>
          <w:rStyle w:val="aff4"/>
          <w:rFonts w:hint="cs"/>
          <w:vanish/>
          <w:rtl/>
        </w:rPr>
        <w:t>-</w:t>
      </w:r>
      <w:r>
        <w:rPr>
          <w:rFonts w:hint="cs"/>
          <w:rtl/>
        </w:rPr>
        <w:t xml:space="preserve"> דכעי"ז ביאר </w:t>
      </w:r>
      <w:r w:rsidRPr="00C444C9">
        <w:rPr>
          <w:rStyle w:val="aff4"/>
          <w:rFonts w:hint="cs"/>
          <w:vanish/>
          <w:rtl/>
        </w:rPr>
        <w:t>-</w:t>
      </w:r>
      <w:r w:rsidRPr="004F32D2">
        <w:rPr>
          <w:rStyle w:val="aff4"/>
          <w:rFonts w:hint="cs"/>
          <w:rtl/>
        </w:rPr>
        <w:t>החיי אדם</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Ref133835560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צח)</w:t>
      </w:r>
      <w:r>
        <w:rPr>
          <w:rStyle w:val="af2"/>
          <w:rFonts w:eastAsia="Guttman Hodes"/>
          <w:rtl/>
        </w:rPr>
        <w:fldChar w:fldCharType="end"/>
      </w:r>
      <w:r>
        <w:rPr>
          <w:rFonts w:hint="cs"/>
          <w:rtl/>
        </w:rPr>
        <w:t xml:space="preserve">, אך כתב </w:t>
      </w:r>
      <w:r w:rsidRPr="00C444C9">
        <w:rPr>
          <w:rStyle w:val="aff4"/>
          <w:rFonts w:hint="cs"/>
          <w:vanish/>
          <w:rtl/>
        </w:rPr>
        <w:t>-</w:t>
      </w:r>
      <w:r w:rsidRPr="004F32D2">
        <w:rPr>
          <w:rStyle w:val="aff4"/>
          <w:rFonts w:hint="cs"/>
          <w:rtl/>
        </w:rPr>
        <w:t>המנחת חינוך</w:t>
      </w:r>
      <w:r w:rsidRPr="00C444C9">
        <w:rPr>
          <w:rStyle w:val="aff4"/>
          <w:rFonts w:hint="cs"/>
          <w:vanish/>
          <w:rtl/>
        </w:rPr>
        <w:t>-</w:t>
      </w:r>
      <w:r>
        <w:rPr>
          <w:rFonts w:hint="cs"/>
          <w:rtl/>
        </w:rPr>
        <w:t xml:space="preserve"> דיל"ע בזה דאפש"ל דצמיחה לא חשיב זריעה, כדמשמע </w:t>
      </w:r>
      <w:r w:rsidRPr="00C444C9">
        <w:rPr>
          <w:rStyle w:val="aff4"/>
          <w:rFonts w:hint="cs"/>
          <w:vanish/>
          <w:rtl/>
        </w:rPr>
        <w:t>-</w:t>
      </w:r>
      <w:r w:rsidRPr="004F32D2">
        <w:rPr>
          <w:rStyle w:val="aff4"/>
          <w:rFonts w:hint="cs"/>
          <w:rtl/>
        </w:rPr>
        <w:t>בתוס' בר"ה</w:t>
      </w:r>
      <w:r w:rsidRPr="00C444C9">
        <w:rPr>
          <w:rStyle w:val="aff4"/>
          <w:rFonts w:hint="cs"/>
          <w:vanish/>
          <w:rtl/>
        </w:rPr>
        <w:t>-</w:t>
      </w:r>
      <w:r>
        <w:rPr>
          <w:rFonts w:hint="cs"/>
          <w:rtl/>
        </w:rPr>
        <w:t xml:space="preserve"> </w:t>
      </w:r>
      <w:r w:rsidRPr="002A0D0C">
        <w:rPr>
          <w:rStyle w:val="af2"/>
          <w:rFonts w:eastAsia="Guttman Hodes" w:hint="cs"/>
          <w:rtl/>
        </w:rPr>
        <w:t>(ט: ד"ה ומותר)</w:t>
      </w:r>
      <w:r>
        <w:rPr>
          <w:rFonts w:hint="cs"/>
          <w:rtl/>
        </w:rPr>
        <w:t>.</w:t>
      </w:r>
      <w:bookmarkEnd w:id="463"/>
    </w:p>
    <w:p w14:paraId="68879DA0" w14:textId="77777777" w:rsidR="009623A2" w:rsidRPr="00747170" w:rsidRDefault="009623A2" w:rsidP="00747170">
      <w:pPr>
        <w:pStyle w:val="a2"/>
        <w:rPr>
          <w:rtl/>
        </w:rPr>
      </w:pPr>
      <w:r w:rsidRPr="00747170">
        <w:rPr>
          <w:rtl/>
        </w:rPr>
        <w:t>ובזה מיושב ד' הר"מ דבש"ס דא"ר זרק פשתן למים חייב ומקשה אי משום דמצמיח א"כ א"ח עד שמצמיח א"ה חיטי ושערי נמי דפשוט אם מצמיח חייב ומסיק דרבא דאסר פשתן משום לש וחייב תיכף שנתנו במים מחמת לש וא"צ שישהה כלל ובחיטי וכו' צריך שישהה עד שיצמחו והר"מ דכתב השורה ולא כ' עד שיצמיח הי' ז"פ בעיניו ולא הי' צריך לפרש וע' בח"א נ' דדרך קצת בזה הדרך ועדיין לא הבאתי בכור הבחינה וגם אפשר הצמיחה ל"ה זריעה כמ"ש תוס' בר"ה דכל הזרעים גדלים בשביעית ע"ש ואי"ה אשנה פ"ז:</w:t>
      </w:r>
    </w:p>
    <w:p w14:paraId="35B6F6F8" w14:textId="45D753FD" w:rsidR="009623A2" w:rsidRDefault="009623A2" w:rsidP="009623A2">
      <w:pPr>
        <w:pStyle w:val="1"/>
        <w:rPr>
          <w:rtl/>
        </w:rPr>
      </w:pPr>
      <w:bookmarkStart w:id="464" w:name="_Toc134419705"/>
      <w:r>
        <w:rPr>
          <w:rFonts w:hint="cs"/>
          <w:rtl/>
        </w:rPr>
        <w:t>בי' המשנ"ב דאף למג"א בשורה לזמן מתחייב מיד בשעת נתינה</w:t>
      </w:r>
      <w:bookmarkEnd w:id="464"/>
    </w:p>
    <w:p w14:paraId="472D4B87" w14:textId="77777777" w:rsidR="009623A2" w:rsidRDefault="009623A2" w:rsidP="009623A2">
      <w:pPr>
        <w:pStyle w:val="afffff7"/>
        <w:rPr>
          <w:rtl/>
        </w:rPr>
      </w:pPr>
      <w:bookmarkStart w:id="465" w:name="_Toc133841694"/>
      <w:bookmarkStart w:id="466" w:name="_Toc163505444"/>
      <w:r>
        <w:rPr>
          <w:rtl/>
        </w:rPr>
        <w:t>משנה ברורה סימן של</w:t>
      </w:r>
      <w:r>
        <w:rPr>
          <w:rFonts w:hint="cs"/>
          <w:rtl/>
        </w:rPr>
        <w:t>"</w:t>
      </w:r>
      <w:r>
        <w:rPr>
          <w:rtl/>
        </w:rPr>
        <w:t>ו ס"ק נ</w:t>
      </w:r>
      <w:r>
        <w:rPr>
          <w:rFonts w:hint="cs"/>
          <w:rtl/>
        </w:rPr>
        <w:t xml:space="preserve">', </w:t>
      </w:r>
      <w:r>
        <w:rPr>
          <w:rtl/>
        </w:rPr>
        <w:t>נ</w:t>
      </w:r>
      <w:r>
        <w:rPr>
          <w:rFonts w:hint="cs"/>
          <w:rtl/>
        </w:rPr>
        <w:t>"</w:t>
      </w:r>
      <w:r>
        <w:rPr>
          <w:rtl/>
        </w:rPr>
        <w:t>א</w:t>
      </w:r>
      <w:bookmarkEnd w:id="465"/>
      <w:bookmarkEnd w:id="466"/>
    </w:p>
    <w:p w14:paraId="2FB7662A" w14:textId="77777777" w:rsidR="009623A2" w:rsidRDefault="009623A2" w:rsidP="009623A2">
      <w:pPr>
        <w:pStyle w:val="a7"/>
        <w:rPr>
          <w:rtl/>
        </w:rPr>
      </w:pPr>
      <w:bookmarkStart w:id="467" w:name="_Toc134419706"/>
      <w:r>
        <w:rPr>
          <w:rFonts w:hint="cs"/>
          <w:rtl/>
        </w:rPr>
        <w:t>בי' המשנ"ב דאף למג"א השורה בכוונה לחצי יום חייב מיד דיתכן שיצמחו קצת בחצי יום</w:t>
      </w:r>
      <w:bookmarkEnd w:id="467"/>
    </w:p>
    <w:p w14:paraId="29D73738" w14:textId="734262E5" w:rsidR="009623A2" w:rsidRDefault="009623A2" w:rsidP="00BC7DC8">
      <w:pPr>
        <w:pStyle w:val="a3"/>
        <w:rPr>
          <w:rtl/>
        </w:rPr>
      </w:pPr>
      <w:bookmarkStart w:id="468" w:name="_Hlk132705259"/>
      <w:r w:rsidRPr="00C444C9">
        <w:rPr>
          <w:rStyle w:val="aff4"/>
          <w:rFonts w:hint="cs"/>
          <w:vanish/>
          <w:rtl/>
        </w:rPr>
        <w:t>-</w:t>
      </w:r>
      <w:bookmarkStart w:id="469" w:name="_Ref133575482"/>
      <w:r w:rsidRPr="004F32D2">
        <w:rPr>
          <w:rStyle w:val="aff4"/>
          <w:rFonts w:hint="cs"/>
          <w:rtl/>
        </w:rPr>
        <w:t>וב</w:t>
      </w:r>
      <w:r w:rsidRPr="00C444C9">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Ref133575482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קיב)</w:t>
      </w:r>
      <w:r>
        <w:rPr>
          <w:rStyle w:val="aff4"/>
          <w:vanish/>
          <w:rtl/>
        </w:rPr>
        <w:fldChar w:fldCharType="end"/>
      </w:r>
      <w:r w:rsidRPr="00C444C9">
        <w:rPr>
          <w:rStyle w:val="aff4"/>
          <w:rFonts w:hint="cs"/>
          <w:vanish/>
          <w:rtl/>
        </w:rPr>
        <w:t xml:space="preserve"> &gt;</w:t>
      </w:r>
      <w:r w:rsidRPr="004F32D2">
        <w:rPr>
          <w:rStyle w:val="aff4"/>
          <w:rFonts w:hint="cs"/>
          <w:rtl/>
        </w:rPr>
        <w:t>משנה ברורה</w:t>
      </w:r>
      <w:r w:rsidRPr="00C444C9">
        <w:rPr>
          <w:rStyle w:val="aff4"/>
          <w:rFonts w:hint="cs"/>
          <w:vanish/>
          <w:rtl/>
        </w:rPr>
        <w:t>-</w:t>
      </w:r>
      <w:r>
        <w:rPr>
          <w:rFonts w:hint="cs"/>
          <w:rtl/>
        </w:rPr>
        <w:t xml:space="preserve"> </w:t>
      </w:r>
      <w:r w:rsidRPr="002A0D0C">
        <w:rPr>
          <w:rStyle w:val="af2"/>
          <w:rFonts w:eastAsia="Guttman Hodes" w:hint="cs"/>
          <w:rtl/>
        </w:rPr>
        <w:t>(סי' של"ו סק"נ, נ"א)</w:t>
      </w:r>
      <w:r w:rsidRPr="00350A80">
        <w:rPr>
          <w:rFonts w:hint="cs"/>
          <w:vanish/>
          <w:rtl/>
        </w:rPr>
        <w:t>=</w:t>
      </w:r>
      <w:r>
        <w:rPr>
          <w:rFonts w:hint="cs"/>
          <w:rtl/>
        </w:rPr>
        <w:t xml:space="preserve"> פסק כדעת </w:t>
      </w:r>
      <w:r w:rsidRPr="00C444C9">
        <w:rPr>
          <w:rStyle w:val="aff4"/>
          <w:rFonts w:hint="cs"/>
          <w:vanish/>
          <w:rtl/>
        </w:rPr>
        <w:t>-</w:t>
      </w:r>
      <w:r w:rsidRPr="004F32D2">
        <w:rPr>
          <w:rStyle w:val="aff4"/>
          <w:rFonts w:hint="cs"/>
          <w:rtl/>
        </w:rPr>
        <w:t>החיי אדם</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Ref133835560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צח)</w:t>
      </w:r>
      <w:r>
        <w:rPr>
          <w:rStyle w:val="af2"/>
          <w:rFonts w:eastAsia="Guttman Hodes"/>
          <w:rtl/>
        </w:rPr>
        <w:fldChar w:fldCharType="end"/>
      </w:r>
      <w:r>
        <w:rPr>
          <w:rFonts w:hint="cs"/>
          <w:rtl/>
        </w:rPr>
        <w:t xml:space="preserve"> דהחיוב בשורה חיטין במים, רק באופן דכוונתו להצמיח, והחיוב הוא מיד בשעת הנתינה, אעפ"י דהם צומחים רק לאחר כמה ימים, ובזרעים שמתערבים חייב מיד מדין לש, והוסיף </w:t>
      </w:r>
      <w:r w:rsidRPr="00C444C9">
        <w:rPr>
          <w:rStyle w:val="aff4"/>
          <w:rFonts w:hint="cs"/>
          <w:vanish/>
          <w:rtl/>
        </w:rPr>
        <w:t>-</w:t>
      </w:r>
      <w:r w:rsidRPr="004F32D2">
        <w:rPr>
          <w:rStyle w:val="aff4"/>
          <w:rFonts w:hint="cs"/>
          <w:rtl/>
        </w:rPr>
        <w:t>ה</w:t>
      </w:r>
      <w:r w:rsidRPr="00C444C9">
        <w:rPr>
          <w:rStyle w:val="aff4"/>
          <w:rFonts w:hint="cs"/>
          <w:vanish/>
          <w:rtl/>
        </w:rPr>
        <w:t>&lt; &gt;</w:t>
      </w:r>
      <w:r w:rsidRPr="004F32D2">
        <w:rPr>
          <w:rStyle w:val="aff4"/>
          <w:rFonts w:hint="cs"/>
          <w:rtl/>
        </w:rPr>
        <w:t>שער הציון</w:t>
      </w:r>
      <w:r w:rsidRPr="00C444C9">
        <w:rPr>
          <w:rStyle w:val="aff4"/>
          <w:rFonts w:hint="cs"/>
          <w:vanish/>
          <w:rtl/>
        </w:rPr>
        <w:t>-</w:t>
      </w:r>
      <w:r>
        <w:rPr>
          <w:rFonts w:hint="cs"/>
          <w:rtl/>
        </w:rPr>
        <w:t xml:space="preserve"> </w:t>
      </w:r>
      <w:r w:rsidRPr="002A0D0C">
        <w:rPr>
          <w:rStyle w:val="af2"/>
          <w:rFonts w:eastAsia="Guttman Hodes" w:hint="cs"/>
          <w:rtl/>
        </w:rPr>
        <w:t>(סי' של"ו סקמ"ו)</w:t>
      </w:r>
      <w:r w:rsidRPr="00350A80">
        <w:rPr>
          <w:rFonts w:hint="cs"/>
          <w:vanish/>
          <w:rtl/>
        </w:rPr>
        <w:t>=</w:t>
      </w:r>
      <w:r>
        <w:rPr>
          <w:rFonts w:hint="cs"/>
          <w:rtl/>
        </w:rPr>
        <w:t xml:space="preserve"> דאף </w:t>
      </w:r>
      <w:r w:rsidRPr="00C444C9">
        <w:rPr>
          <w:rStyle w:val="aff4"/>
          <w:rFonts w:hint="cs"/>
          <w:vanish/>
          <w:rtl/>
        </w:rPr>
        <w:t>-</w:t>
      </w:r>
      <w:r w:rsidRPr="004F32D2">
        <w:rPr>
          <w:rStyle w:val="aff4"/>
          <w:rFonts w:hint="cs"/>
          <w:rtl/>
        </w:rPr>
        <w:t>המג"א</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Ref133749987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צד)</w:t>
      </w:r>
      <w:r>
        <w:rPr>
          <w:rStyle w:val="af2"/>
          <w:rFonts w:eastAsia="Guttman Hodes"/>
          <w:rtl/>
        </w:rPr>
        <w:fldChar w:fldCharType="end"/>
      </w:r>
      <w:r>
        <w:rPr>
          <w:rFonts w:hint="cs"/>
          <w:rtl/>
        </w:rPr>
        <w:t xml:space="preserve"> מודה לדברי </w:t>
      </w:r>
      <w:r w:rsidRPr="00C444C9">
        <w:rPr>
          <w:rStyle w:val="aff4"/>
          <w:rFonts w:hint="cs"/>
          <w:vanish/>
          <w:rtl/>
        </w:rPr>
        <w:t>-</w:t>
      </w:r>
      <w:r w:rsidRPr="004F32D2">
        <w:rPr>
          <w:rStyle w:val="aff4"/>
          <w:rFonts w:hint="cs"/>
          <w:rtl/>
        </w:rPr>
        <w:t>החיי אדם</w:t>
      </w:r>
      <w:r w:rsidRPr="00C444C9">
        <w:rPr>
          <w:rStyle w:val="aff4"/>
          <w:rFonts w:hint="cs"/>
          <w:vanish/>
          <w:rtl/>
        </w:rPr>
        <w:t>-</w:t>
      </w:r>
      <w:r>
        <w:rPr>
          <w:rFonts w:hint="cs"/>
          <w:rtl/>
        </w:rPr>
        <w:t xml:space="preserve"> דהחיוב בנותן חיטין למים הוא מיד בשעת הנתינה, ומ"ש </w:t>
      </w:r>
      <w:r w:rsidRPr="00C444C9">
        <w:rPr>
          <w:rStyle w:val="aff4"/>
          <w:rFonts w:hint="cs"/>
          <w:vanish/>
          <w:rtl/>
        </w:rPr>
        <w:t>-</w:t>
      </w:r>
      <w:r w:rsidRPr="004F32D2">
        <w:rPr>
          <w:rStyle w:val="aff4"/>
          <w:rFonts w:hint="cs"/>
          <w:rtl/>
        </w:rPr>
        <w:t>המג"א</w:t>
      </w:r>
      <w:r w:rsidRPr="00C444C9">
        <w:rPr>
          <w:rStyle w:val="aff4"/>
          <w:rFonts w:hint="cs"/>
          <w:vanish/>
          <w:rtl/>
        </w:rPr>
        <w:t>-</w:t>
      </w:r>
      <w:r>
        <w:rPr>
          <w:rFonts w:hint="cs"/>
          <w:rtl/>
        </w:rPr>
        <w:t xml:space="preserve"> דהחיוב הוא רק כששורה חצי היום, כוונתו דאם מתחילה שרה את החיטים רק לזמן קצר, דלא יתכן שיצמחו כלל פטור, אבל כשנותן לחצי היום, ס"ל </w:t>
      </w:r>
      <w:r w:rsidRPr="00C444C9">
        <w:rPr>
          <w:rStyle w:val="aff4"/>
          <w:rFonts w:hint="cs"/>
          <w:vanish/>
          <w:rtl/>
        </w:rPr>
        <w:t>-</w:t>
      </w:r>
      <w:r w:rsidRPr="004F32D2">
        <w:rPr>
          <w:rStyle w:val="aff4"/>
          <w:rFonts w:hint="cs"/>
          <w:rtl/>
        </w:rPr>
        <w:t>להמג"א</w:t>
      </w:r>
      <w:r w:rsidRPr="00C444C9">
        <w:rPr>
          <w:rStyle w:val="aff4"/>
          <w:rFonts w:hint="cs"/>
          <w:vanish/>
          <w:rtl/>
        </w:rPr>
        <w:t>-</w:t>
      </w:r>
      <w:r>
        <w:rPr>
          <w:rFonts w:hint="cs"/>
          <w:rtl/>
        </w:rPr>
        <w:t xml:space="preserve"> דבזמן כזה יתכן שיצמחו קצת ואף אם נתנם סמוך לחשיכה חייב מיד, כמו בזורע סמוך לחשיכה.</w:t>
      </w:r>
      <w:bookmarkEnd w:id="469"/>
    </w:p>
    <w:bookmarkEnd w:id="468"/>
    <w:p w14:paraId="406E30A4" w14:textId="77777777" w:rsidR="009623A2" w:rsidRPr="00747170" w:rsidRDefault="009623A2" w:rsidP="00747170">
      <w:pPr>
        <w:pStyle w:val="a2"/>
        <w:rPr>
          <w:rtl/>
        </w:rPr>
      </w:pPr>
      <w:r w:rsidRPr="00747170">
        <w:rPr>
          <w:rtl/>
        </w:rPr>
        <w:t>(נ) השורה - כדי שיתרככו ויצמיחו כדרך ששורין איזה תבואות קודם הזריעה:</w:t>
      </w:r>
    </w:p>
    <w:p w14:paraId="5E4CE07D" w14:textId="77777777" w:rsidR="009623A2" w:rsidRPr="00C3176C" w:rsidRDefault="009623A2" w:rsidP="00747170">
      <w:pPr>
        <w:pStyle w:val="afffff5"/>
        <w:rPr>
          <w:rtl/>
        </w:rPr>
      </w:pPr>
      <w:r w:rsidRPr="00C3176C">
        <w:rPr>
          <w:rtl/>
        </w:rPr>
        <w:t>(נא) תולדת זורע - דמה זורע מכוין לאצמוחי פירי אף זה כן [מו"ק ב'] וכתב בח"א דה"ה השורה תבואה לעשות מהן (מאלצין) לשכר חייב דידוע דכונתו להצמיח. וכתב עוד דתיכף משנתן למים חייב אף על גב דלא יצמיחו אלא לאחר כמה ימים ומסיים דאעפ"כ מותר לשרות תבואה לבהמתו דאין כונתו להצמיח אלא לרכך הזרעונים וגם לא יבוא לידי צמיחה דקודם שיצמיחו יאכלום הבהמות. ודע דכ"ז בזרעונים שאין נבללים במים אבל בזרעונים שמתערבים ונתלים זה בזה במים כמו כרשינין וכיו"ב שמתרככין ונימוחים שם והמים מתעבים בסיבתם ונעשים כמים שעיסה או קמח בלולים בתוכה אסור לשרותן לבהמתו משום לש [כדלקמן ש"מ סי"ב וכמתניתין דשבת י"ז וע"ש בפירוש המשנה להרמב"ם ובמאירי]. צמוקין ושאר פירות יבשים מותר לשרות בשבת ומ"מ בכובש כבשים אסור [פמ"ג]:</w:t>
      </w:r>
    </w:p>
    <w:p w14:paraId="464CFE3E" w14:textId="42DE39D1" w:rsidR="009623A2" w:rsidRDefault="009623A2" w:rsidP="009623A2">
      <w:pPr>
        <w:pStyle w:val="afffff7"/>
        <w:rPr>
          <w:rtl/>
        </w:rPr>
      </w:pPr>
      <w:bookmarkStart w:id="470" w:name="_Toc133841695"/>
      <w:bookmarkStart w:id="471" w:name="_Toc163505445"/>
      <w:r>
        <w:rPr>
          <w:rtl/>
        </w:rPr>
        <w:t>שער הציון סימן שלו ס"ק מו</w:t>
      </w:r>
      <w:bookmarkEnd w:id="470"/>
      <w:bookmarkEnd w:id="471"/>
    </w:p>
    <w:p w14:paraId="12C25A68" w14:textId="77777777" w:rsidR="009623A2" w:rsidRPr="00C3176C" w:rsidRDefault="009623A2" w:rsidP="00747170">
      <w:pPr>
        <w:pStyle w:val="afffff5"/>
        <w:rPr>
          <w:rtl/>
        </w:rPr>
      </w:pPr>
      <w:r w:rsidRPr="00C3176C">
        <w:rPr>
          <w:rtl/>
        </w:rPr>
        <w:t>(מו) ולי נראה דאף המגן אברהם מודה בזה, וממעט רק אם נתן לכתחלה על זמן מועט דלא אפשר שיצמיח בזה הזמן, אבל אם נתן על זמן חצי יום [לדידיה דסובר דבזה הזמן יוכל להצמיח], אפילו אם נתן ביום השבת סמוך לחשכה חייב, דומיא דזורע בזה הזמן:</w:t>
      </w:r>
    </w:p>
    <w:p w14:paraId="4512FF01" w14:textId="20293326" w:rsidR="009623A2" w:rsidRDefault="009623A2" w:rsidP="009623A2">
      <w:pPr>
        <w:pStyle w:val="afffff7"/>
      </w:pPr>
      <w:bookmarkStart w:id="472" w:name="_Toc133841696"/>
      <w:bookmarkStart w:id="473" w:name="_Toc163505446"/>
      <w:r>
        <w:rPr>
          <w:rFonts w:hint="cs"/>
          <w:rtl/>
        </w:rPr>
        <w:t>שביתת השבת זורע אות ט' ד"ה ודברי</w:t>
      </w:r>
      <w:bookmarkEnd w:id="472"/>
      <w:bookmarkEnd w:id="473"/>
    </w:p>
    <w:p w14:paraId="04CD9E30" w14:textId="77777777" w:rsidR="009623A2" w:rsidRPr="00C1049F" w:rsidRDefault="009623A2" w:rsidP="009623A2">
      <w:pPr>
        <w:pStyle w:val="a7"/>
      </w:pPr>
      <w:bookmarkStart w:id="474" w:name="_Toc134419707"/>
      <w:r>
        <w:rPr>
          <w:rFonts w:hint="cs"/>
          <w:rtl/>
        </w:rPr>
        <w:t>בי' השביתת השבת דלמנ"ח שורה חייב רק בהצמחה ואף מניח ע"מ לשרות חייב רק בהצמחה</w:t>
      </w:r>
      <w:bookmarkEnd w:id="474"/>
    </w:p>
    <w:p w14:paraId="5F3A3C3A" w14:textId="5E2CADDE" w:rsidR="009623A2" w:rsidRDefault="009623A2" w:rsidP="00BC7DC8">
      <w:pPr>
        <w:pStyle w:val="a3"/>
        <w:rPr>
          <w:rtl/>
        </w:rPr>
      </w:pPr>
      <w:bookmarkStart w:id="475" w:name="_Ref133574485"/>
      <w:r>
        <w:rPr>
          <w:rFonts w:hint="cs"/>
          <w:rtl/>
        </w:rPr>
        <w:t xml:space="preserve">במה שהקשה </w:t>
      </w:r>
      <w:r w:rsidRPr="00C444C9">
        <w:rPr>
          <w:rStyle w:val="aff4"/>
          <w:rFonts w:hint="cs"/>
          <w:vanish/>
          <w:rtl/>
        </w:rPr>
        <w:t>-</w:t>
      </w:r>
      <w:r w:rsidRPr="004F32D2">
        <w:rPr>
          <w:rStyle w:val="aff4"/>
          <w:rFonts w:hint="cs"/>
          <w:rtl/>
        </w:rPr>
        <w:t>החיי אדם</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rPr>
        <w:instrText>REF</w:instrText>
      </w:r>
      <w:r>
        <w:rPr>
          <w:rStyle w:val="af2"/>
          <w:rFonts w:eastAsia="Guttman Hodes"/>
          <w:rtl/>
        </w:rPr>
        <w:instrText xml:space="preserve"> _</w:instrText>
      </w:r>
      <w:r>
        <w:rPr>
          <w:rStyle w:val="af2"/>
          <w:rFonts w:eastAsia="Guttman Hodes"/>
        </w:rPr>
        <w:instrText>Ref133575470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קא)</w:t>
      </w:r>
      <w:r>
        <w:rPr>
          <w:rStyle w:val="af2"/>
          <w:rFonts w:eastAsia="Guttman Hodes"/>
          <w:rtl/>
        </w:rPr>
        <w:fldChar w:fldCharType="end"/>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Ref133575399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ק)</w:t>
      </w:r>
      <w:r>
        <w:rPr>
          <w:rStyle w:val="af2"/>
          <w:rFonts w:eastAsia="Guttman Hodes"/>
          <w:rtl/>
        </w:rPr>
        <w:fldChar w:fldCharType="end"/>
      </w:r>
      <w:r>
        <w:rPr>
          <w:rFonts w:hint="cs"/>
          <w:rtl/>
        </w:rPr>
        <w:t xml:space="preserve"> על </w:t>
      </w:r>
      <w:r w:rsidRPr="00C444C9">
        <w:rPr>
          <w:rStyle w:val="aff4"/>
          <w:rFonts w:hint="cs"/>
          <w:vanish/>
          <w:rtl/>
        </w:rPr>
        <w:t>-</w:t>
      </w:r>
      <w:r w:rsidRPr="004F32D2">
        <w:rPr>
          <w:rStyle w:val="aff4"/>
          <w:rFonts w:hint="cs"/>
          <w:rtl/>
        </w:rPr>
        <w:t>המג"א</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Ref133749987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צד)</w:t>
      </w:r>
      <w:r>
        <w:rPr>
          <w:rStyle w:val="af2"/>
          <w:rFonts w:eastAsia="Guttman Hodes"/>
          <w:rtl/>
        </w:rPr>
        <w:fldChar w:fldCharType="end"/>
      </w:r>
      <w:r>
        <w:rPr>
          <w:rFonts w:hint="cs"/>
          <w:rtl/>
        </w:rPr>
        <w:t xml:space="preserve"> דאי שרייה במים היא דרך זריעה, א"כ החיוב הוא מיד בשעת הנתינה, ובמ"ש </w:t>
      </w:r>
      <w:r w:rsidRPr="00C444C9">
        <w:rPr>
          <w:rStyle w:val="aff4"/>
          <w:rFonts w:hint="cs"/>
          <w:vanish/>
          <w:rtl/>
        </w:rPr>
        <w:t>-</w:t>
      </w:r>
      <w:r w:rsidRPr="004F32D2">
        <w:rPr>
          <w:rStyle w:val="aff4"/>
          <w:rFonts w:hint="cs"/>
          <w:rtl/>
        </w:rPr>
        <w:t xml:space="preserve">המשנה ברורה </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sidRPr="002A0D0C">
        <w:rPr>
          <w:rStyle w:val="af2"/>
          <w:rFonts w:eastAsia="Guttman Hodes"/>
          <w:rtl/>
        </w:rPr>
        <w:fldChar w:fldCharType="begin"/>
      </w:r>
      <w:r w:rsidRPr="002A0D0C">
        <w:rPr>
          <w:rStyle w:val="af2"/>
          <w:rFonts w:eastAsia="Guttman Hodes"/>
          <w:rtl/>
        </w:rPr>
        <w:instrText xml:space="preserve"> </w:instrText>
      </w:r>
      <w:r w:rsidRPr="002A0D0C">
        <w:rPr>
          <w:rStyle w:val="af2"/>
          <w:rFonts w:eastAsia="Guttman Hodes" w:hint="cs"/>
        </w:rPr>
        <w:instrText>REF</w:instrText>
      </w:r>
      <w:r w:rsidRPr="002A0D0C">
        <w:rPr>
          <w:rStyle w:val="af2"/>
          <w:rFonts w:eastAsia="Guttman Hodes" w:hint="cs"/>
          <w:rtl/>
        </w:rPr>
        <w:instrText xml:space="preserve"> _</w:instrText>
      </w:r>
      <w:r w:rsidRPr="002A0D0C">
        <w:rPr>
          <w:rStyle w:val="af2"/>
          <w:rFonts w:eastAsia="Guttman Hodes" w:hint="cs"/>
        </w:rPr>
        <w:instrText>Ref133575482 \r \h</w:instrText>
      </w:r>
      <w:r w:rsidRPr="002A0D0C">
        <w:rPr>
          <w:rStyle w:val="af2"/>
          <w:rFonts w:eastAsia="Guttman Hodes"/>
          <w:rtl/>
        </w:rPr>
        <w:instrText xml:space="preserve"> </w:instrText>
      </w:r>
      <w:r w:rsidRPr="002A0D0C">
        <w:rPr>
          <w:rStyle w:val="af2"/>
          <w:rFonts w:eastAsia="Guttman Hodes"/>
          <w:rtl/>
        </w:rPr>
      </w:r>
      <w:r w:rsidRPr="002A0D0C">
        <w:rPr>
          <w:rStyle w:val="af2"/>
          <w:rFonts w:eastAsia="Guttman Hodes"/>
          <w:rtl/>
        </w:rPr>
        <w:fldChar w:fldCharType="separate"/>
      </w:r>
      <w:r w:rsidR="00D82181">
        <w:rPr>
          <w:rStyle w:val="af2"/>
          <w:rFonts w:eastAsia="Guttman Hodes"/>
          <w:cs/>
        </w:rPr>
        <w:t>‎</w:t>
      </w:r>
      <w:r w:rsidR="00D82181">
        <w:rPr>
          <w:rStyle w:val="af2"/>
          <w:rFonts w:eastAsia="Guttman Hodes"/>
          <w:rtl/>
        </w:rPr>
        <w:t>קיב)</w:t>
      </w:r>
      <w:r w:rsidRPr="002A0D0C">
        <w:rPr>
          <w:rStyle w:val="af2"/>
          <w:rFonts w:eastAsia="Guttman Hodes"/>
          <w:rtl/>
        </w:rPr>
        <w:fldChar w:fldCharType="end"/>
      </w:r>
      <w:r>
        <w:rPr>
          <w:rFonts w:hint="cs"/>
          <w:rtl/>
        </w:rPr>
        <w:t xml:space="preserve"> דאף </w:t>
      </w:r>
      <w:r w:rsidRPr="00C444C9">
        <w:rPr>
          <w:rStyle w:val="aff4"/>
          <w:rFonts w:hint="cs"/>
          <w:vanish/>
          <w:rtl/>
        </w:rPr>
        <w:t>-</w:t>
      </w:r>
      <w:r w:rsidRPr="004F32D2">
        <w:rPr>
          <w:rStyle w:val="aff4"/>
          <w:rFonts w:hint="cs"/>
          <w:rtl/>
        </w:rPr>
        <w:t>המג"א</w:t>
      </w:r>
      <w:r w:rsidRPr="00C444C9">
        <w:rPr>
          <w:rStyle w:val="aff4"/>
          <w:rFonts w:hint="cs"/>
          <w:vanish/>
          <w:rtl/>
        </w:rPr>
        <w:t>-</w:t>
      </w:r>
      <w:r>
        <w:rPr>
          <w:rFonts w:hint="cs"/>
          <w:rtl/>
        </w:rPr>
        <w:t xml:space="preserve"> מודה לדברי </w:t>
      </w:r>
      <w:r w:rsidRPr="00C444C9">
        <w:rPr>
          <w:rStyle w:val="aff4"/>
          <w:rFonts w:hint="cs"/>
          <w:vanish/>
          <w:rtl/>
        </w:rPr>
        <w:t>-</w:t>
      </w:r>
      <w:r w:rsidRPr="004F32D2">
        <w:rPr>
          <w:rStyle w:val="aff4"/>
          <w:rFonts w:hint="cs"/>
          <w:rtl/>
        </w:rPr>
        <w:t>החיי אדם</w:t>
      </w:r>
      <w:r w:rsidRPr="00C444C9">
        <w:rPr>
          <w:rStyle w:val="aff4"/>
          <w:rFonts w:hint="cs"/>
          <w:vanish/>
          <w:rtl/>
        </w:rPr>
        <w:t>-</w:t>
      </w:r>
      <w:r>
        <w:rPr>
          <w:rFonts w:hint="cs"/>
          <w:rtl/>
        </w:rPr>
        <w:t xml:space="preserve"> דהחיוב בנותן חיטין למים ע"מ שיצמחו הוא מיד בשעת הנתינה, דחה </w:t>
      </w:r>
      <w:r w:rsidRPr="00C444C9">
        <w:rPr>
          <w:rStyle w:val="aff4"/>
          <w:rFonts w:hint="cs"/>
          <w:vanish/>
          <w:rtl/>
        </w:rPr>
        <w:t>-</w:t>
      </w:r>
      <w:r w:rsidRPr="004F32D2">
        <w:rPr>
          <w:rStyle w:val="aff4"/>
          <w:rFonts w:hint="cs"/>
          <w:rtl/>
        </w:rPr>
        <w:t>ה</w:t>
      </w:r>
      <w:r w:rsidRPr="00C444C9">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Ref133574485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קיג)</w:t>
      </w:r>
      <w:r>
        <w:rPr>
          <w:rStyle w:val="aff4"/>
          <w:vanish/>
          <w:rtl/>
        </w:rPr>
        <w:fldChar w:fldCharType="end"/>
      </w:r>
      <w:r w:rsidRPr="00C444C9">
        <w:rPr>
          <w:rStyle w:val="aff4"/>
          <w:rFonts w:hint="cs"/>
          <w:vanish/>
          <w:rtl/>
        </w:rPr>
        <w:t xml:space="preserve"> &gt;</w:t>
      </w:r>
      <w:r w:rsidRPr="004F32D2">
        <w:rPr>
          <w:rStyle w:val="aff4"/>
          <w:rFonts w:hint="cs"/>
          <w:rtl/>
        </w:rPr>
        <w:t>שביתת השבת</w:t>
      </w:r>
      <w:r w:rsidRPr="00C444C9">
        <w:rPr>
          <w:rStyle w:val="aff4"/>
          <w:rFonts w:hint="cs"/>
          <w:vanish/>
          <w:rtl/>
        </w:rPr>
        <w:t>-</w:t>
      </w:r>
      <w:r>
        <w:rPr>
          <w:rFonts w:hint="cs"/>
          <w:rtl/>
        </w:rPr>
        <w:t xml:space="preserve"> </w:t>
      </w:r>
      <w:r w:rsidRPr="002A0D0C">
        <w:rPr>
          <w:rStyle w:val="af2"/>
          <w:rFonts w:eastAsia="Guttman Hodes" w:hint="cs"/>
          <w:rtl/>
        </w:rPr>
        <w:t>(זורע אות ט' ד"ה ודברי)</w:t>
      </w:r>
      <w:r w:rsidRPr="007A3F72">
        <w:rPr>
          <w:rFonts w:hint="cs"/>
          <w:vanish/>
          <w:rtl/>
        </w:rPr>
        <w:t>=</w:t>
      </w:r>
      <w:r>
        <w:rPr>
          <w:rFonts w:hint="cs"/>
          <w:rtl/>
        </w:rPr>
        <w:t xml:space="preserve"> דלפימ"ש </w:t>
      </w:r>
      <w:r w:rsidRPr="00C444C9">
        <w:rPr>
          <w:rStyle w:val="aff4"/>
          <w:rFonts w:hint="cs"/>
          <w:vanish/>
          <w:rtl/>
        </w:rPr>
        <w:t>-</w:t>
      </w:r>
      <w:r w:rsidRPr="004F32D2">
        <w:rPr>
          <w:rStyle w:val="aff4"/>
          <w:rFonts w:hint="cs"/>
          <w:rtl/>
        </w:rPr>
        <w:t>המנחת חינוך</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Ref133836309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קיא)</w:t>
      </w:r>
      <w:r>
        <w:rPr>
          <w:rStyle w:val="af2"/>
          <w:rFonts w:eastAsia="Guttman Hodes"/>
          <w:rtl/>
        </w:rPr>
        <w:fldChar w:fldCharType="end"/>
      </w:r>
      <w:r>
        <w:rPr>
          <w:rFonts w:hint="cs"/>
          <w:rtl/>
        </w:rPr>
        <w:t xml:space="preserve"> דכל החיוב בשרייה במים הוא רק בהצמחה דהיא דומה לזריעה, אבל השרייה במים מצד עצמה אין בה כל חיוב דלא דמי כלל לאב של זורע בקרקע, א"כ לק"מ קושית </w:t>
      </w:r>
      <w:r w:rsidRPr="00C444C9">
        <w:rPr>
          <w:rStyle w:val="aff4"/>
          <w:rFonts w:hint="cs"/>
          <w:vanish/>
          <w:rtl/>
        </w:rPr>
        <w:t>-</w:t>
      </w:r>
      <w:r w:rsidRPr="004F32D2">
        <w:rPr>
          <w:rStyle w:val="aff4"/>
          <w:rFonts w:hint="cs"/>
          <w:rtl/>
        </w:rPr>
        <w:t>החיי אדם</w:t>
      </w:r>
      <w:r w:rsidRPr="00C444C9">
        <w:rPr>
          <w:rStyle w:val="aff4"/>
          <w:rFonts w:hint="cs"/>
          <w:vanish/>
          <w:rtl/>
        </w:rPr>
        <w:t>-</w:t>
      </w:r>
      <w:r>
        <w:rPr>
          <w:rFonts w:hint="cs"/>
          <w:rtl/>
        </w:rPr>
        <w:t xml:space="preserve"> דאף דדרך זריעה בכך מ"מ התולדה היא רק לאחר ההצמחה ולא מיד בשעת הנתינה במים, ולכן כתב </w:t>
      </w:r>
      <w:r w:rsidRPr="00C444C9">
        <w:rPr>
          <w:rStyle w:val="aff4"/>
          <w:rFonts w:hint="cs"/>
          <w:vanish/>
          <w:rtl/>
        </w:rPr>
        <w:t>-</w:t>
      </w:r>
      <w:r w:rsidRPr="004F32D2">
        <w:rPr>
          <w:rStyle w:val="aff4"/>
          <w:rFonts w:hint="cs"/>
          <w:rtl/>
        </w:rPr>
        <w:t>המג"א</w:t>
      </w:r>
      <w:r w:rsidRPr="00C444C9">
        <w:rPr>
          <w:rStyle w:val="aff4"/>
          <w:rFonts w:hint="cs"/>
          <w:vanish/>
          <w:rtl/>
        </w:rPr>
        <w:t>-</w:t>
      </w:r>
      <w:r>
        <w:rPr>
          <w:rFonts w:hint="cs"/>
          <w:rtl/>
        </w:rPr>
        <w:t xml:space="preserve"> דחייב רק לאחר זמן מרובה, ודלא כביאור </w:t>
      </w:r>
      <w:r w:rsidRPr="00C444C9">
        <w:rPr>
          <w:rStyle w:val="aff4"/>
          <w:rFonts w:hint="cs"/>
          <w:vanish/>
          <w:rtl/>
        </w:rPr>
        <w:t>-</w:t>
      </w:r>
      <w:r w:rsidRPr="004F32D2">
        <w:rPr>
          <w:rStyle w:val="aff4"/>
          <w:rFonts w:hint="cs"/>
          <w:rtl/>
        </w:rPr>
        <w:t>המשנה ברורה</w:t>
      </w:r>
      <w:r w:rsidRPr="00C444C9">
        <w:rPr>
          <w:rStyle w:val="aff4"/>
          <w:rFonts w:hint="cs"/>
          <w:vanish/>
          <w:rtl/>
        </w:rPr>
        <w:t>-</w:t>
      </w:r>
      <w:r>
        <w:rPr>
          <w:rFonts w:hint="cs"/>
          <w:rtl/>
        </w:rPr>
        <w:t xml:space="preserve"> בדבריו.</w:t>
      </w:r>
      <w:bookmarkEnd w:id="475"/>
    </w:p>
    <w:p w14:paraId="58255E07" w14:textId="77777777" w:rsidR="009623A2" w:rsidRPr="00747170" w:rsidRDefault="009623A2" w:rsidP="00747170">
      <w:pPr>
        <w:pStyle w:val="a2"/>
        <w:rPr>
          <w:rtl/>
        </w:rPr>
      </w:pPr>
    </w:p>
    <w:p w14:paraId="3C17EE0D" w14:textId="13CC1F00" w:rsidR="009623A2" w:rsidRDefault="009623A2" w:rsidP="009623A2">
      <w:pPr>
        <w:pStyle w:val="1"/>
        <w:rPr>
          <w:rtl/>
        </w:rPr>
      </w:pPr>
      <w:bookmarkStart w:id="476" w:name="_Toc134419708"/>
      <w:r>
        <w:rPr>
          <w:rFonts w:hint="cs"/>
          <w:rtl/>
        </w:rPr>
        <w:t>בי' המשנ"ב דבנותן שלא ע"מ לזרוע וצמח התחייב למפרע</w:t>
      </w:r>
      <w:bookmarkEnd w:id="476"/>
    </w:p>
    <w:p w14:paraId="7D143AB1" w14:textId="77777777" w:rsidR="009623A2" w:rsidRPr="004504F2" w:rsidRDefault="009623A2" w:rsidP="009623A2">
      <w:pPr>
        <w:pStyle w:val="afffff7"/>
        <w:rPr>
          <w:rtl/>
        </w:rPr>
      </w:pPr>
      <w:bookmarkStart w:id="477" w:name="_Toc133841697"/>
      <w:bookmarkStart w:id="478" w:name="_Toc163505447"/>
      <w:r w:rsidRPr="004504F2">
        <w:rPr>
          <w:rtl/>
        </w:rPr>
        <w:t xml:space="preserve">יראים סימן רעד </w:t>
      </w:r>
      <w:r>
        <w:rPr>
          <w:rFonts w:hint="cs"/>
          <w:rtl/>
        </w:rPr>
        <w:t>ד"ה הזורע</w:t>
      </w:r>
      <w:bookmarkEnd w:id="477"/>
      <w:bookmarkEnd w:id="478"/>
    </w:p>
    <w:p w14:paraId="0C1CA492" w14:textId="77777777" w:rsidR="009623A2" w:rsidRDefault="009623A2" w:rsidP="009623A2">
      <w:pPr>
        <w:pStyle w:val="a7"/>
        <w:rPr>
          <w:rtl/>
        </w:rPr>
      </w:pPr>
      <w:bookmarkStart w:id="479" w:name="_Toc134419709"/>
      <w:r>
        <w:rPr>
          <w:rFonts w:hint="cs"/>
          <w:rtl/>
        </w:rPr>
        <w:t>בי' היראים דמותר לזרוק זרעים לתרנגולים במקום לח רק בשיעור שיאכלום ביום או יומיים</w:t>
      </w:r>
      <w:bookmarkEnd w:id="479"/>
    </w:p>
    <w:p w14:paraId="41E229B7" w14:textId="31523815" w:rsidR="009623A2" w:rsidRDefault="009623A2" w:rsidP="00BC7DC8">
      <w:pPr>
        <w:pStyle w:val="a3"/>
      </w:pPr>
      <w:bookmarkStart w:id="480" w:name="_Ref133574486"/>
      <w:r>
        <w:rPr>
          <w:rFonts w:hint="cs"/>
          <w:rtl/>
        </w:rPr>
        <w:t xml:space="preserve">הביאו </w:t>
      </w:r>
      <w:r w:rsidRPr="00C444C9">
        <w:rPr>
          <w:rStyle w:val="aff4"/>
          <w:rFonts w:hint="cs"/>
          <w:vanish/>
          <w:rtl/>
        </w:rPr>
        <w:t>-</w:t>
      </w:r>
      <w:r w:rsidRPr="004F32D2">
        <w:rPr>
          <w:rStyle w:val="aff4"/>
          <w:rFonts w:hint="cs"/>
          <w:rtl/>
        </w:rPr>
        <w:t>ה</w:t>
      </w:r>
      <w:r w:rsidRPr="00C444C9">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Ref133574486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קיד)</w:t>
      </w:r>
      <w:r>
        <w:rPr>
          <w:rStyle w:val="aff4"/>
          <w:vanish/>
          <w:rtl/>
        </w:rPr>
        <w:fldChar w:fldCharType="end"/>
      </w:r>
      <w:r w:rsidRPr="00C444C9">
        <w:rPr>
          <w:rStyle w:val="aff4"/>
          <w:rFonts w:hint="cs"/>
          <w:vanish/>
          <w:rtl/>
        </w:rPr>
        <w:t xml:space="preserve"> &gt;</w:t>
      </w:r>
      <w:r>
        <w:rPr>
          <w:rStyle w:val="aff4"/>
          <w:rFonts w:hint="cs"/>
          <w:rtl/>
        </w:rPr>
        <w:t>הגהות מיימוניות</w:t>
      </w:r>
      <w:r w:rsidRPr="009C500C">
        <w:rPr>
          <w:rStyle w:val="aff4"/>
          <w:rFonts w:hint="cs"/>
          <w:vanish/>
          <w:rtl/>
        </w:rPr>
        <w:t>-</w:t>
      </w:r>
      <w:r>
        <w:rPr>
          <w:rStyle w:val="aff4"/>
          <w:rFonts w:hint="cs"/>
          <w:rtl/>
        </w:rPr>
        <w:t xml:space="preserve"> </w:t>
      </w:r>
      <w:r w:rsidRPr="002A0D0C">
        <w:rPr>
          <w:rStyle w:val="af2"/>
          <w:rFonts w:eastAsia="Guttman Hodes" w:hint="cs"/>
          <w:rtl/>
        </w:rPr>
        <w:t>(שבת פ"ח ה"ב)</w:t>
      </w:r>
      <w:r w:rsidRPr="009C500C">
        <w:rPr>
          <w:rStyle w:val="aff4"/>
          <w:rFonts w:hint="cs"/>
          <w:vanish/>
          <w:rtl/>
        </w:rPr>
        <w:t>=</w:t>
      </w:r>
      <w:r>
        <w:rPr>
          <w:rStyle w:val="aff4"/>
          <w:rFonts w:hint="cs"/>
          <w:rtl/>
        </w:rPr>
        <w:t xml:space="preserve"> וה</w:t>
      </w:r>
      <w:r w:rsidRPr="009C500C">
        <w:rPr>
          <w:rStyle w:val="aff4"/>
          <w:rFonts w:hint="cs"/>
          <w:vanish/>
          <w:rtl/>
        </w:rPr>
        <w:t>&lt; &gt;</w:t>
      </w:r>
      <w:r w:rsidRPr="004F32D2">
        <w:rPr>
          <w:rStyle w:val="aff4"/>
          <w:rFonts w:hint="cs"/>
          <w:rtl/>
        </w:rPr>
        <w:t>שו"ע</w:t>
      </w:r>
      <w:r w:rsidRPr="00C444C9">
        <w:rPr>
          <w:rStyle w:val="aff4"/>
          <w:rFonts w:hint="cs"/>
          <w:vanish/>
          <w:rtl/>
        </w:rPr>
        <w:t>-</w:t>
      </w:r>
      <w:r>
        <w:rPr>
          <w:rFonts w:hint="cs"/>
          <w:rtl/>
        </w:rPr>
        <w:t xml:space="preserve"> </w:t>
      </w:r>
      <w:r w:rsidRPr="002A0D0C">
        <w:rPr>
          <w:rStyle w:val="af2"/>
          <w:rFonts w:eastAsia="Guttman Hodes" w:hint="cs"/>
          <w:rtl/>
        </w:rPr>
        <w:t>(סי' רל"ו ד')</w:t>
      </w:r>
      <w:r w:rsidRPr="00350A80">
        <w:rPr>
          <w:rFonts w:hint="cs"/>
          <w:vanish/>
          <w:rtl/>
        </w:rPr>
        <w:t>=</w:t>
      </w:r>
      <w:r>
        <w:rPr>
          <w:rFonts w:hint="cs"/>
          <w:rtl/>
        </w:rPr>
        <w:t xml:space="preserve"> את דברי </w:t>
      </w:r>
      <w:bookmarkStart w:id="481" w:name="_Hlk132713536"/>
      <w:r w:rsidRPr="00C444C9">
        <w:rPr>
          <w:rStyle w:val="aff4"/>
          <w:rFonts w:hint="cs"/>
          <w:vanish/>
          <w:rtl/>
        </w:rPr>
        <w:t>-</w:t>
      </w:r>
      <w:r w:rsidRPr="004F32D2">
        <w:rPr>
          <w:rStyle w:val="aff4"/>
          <w:rFonts w:hint="cs"/>
          <w:rtl/>
        </w:rPr>
        <w:t>ה</w:t>
      </w:r>
      <w:r w:rsidRPr="00C444C9">
        <w:rPr>
          <w:rStyle w:val="aff4"/>
          <w:rFonts w:hint="cs"/>
          <w:vanish/>
          <w:rtl/>
        </w:rPr>
        <w:t>&lt; &gt;</w:t>
      </w:r>
      <w:r w:rsidRPr="004F32D2">
        <w:rPr>
          <w:rStyle w:val="aff4"/>
          <w:rFonts w:hint="cs"/>
          <w:rtl/>
        </w:rPr>
        <w:t>יראים</w:t>
      </w:r>
      <w:r w:rsidRPr="00C444C9">
        <w:rPr>
          <w:rStyle w:val="aff4"/>
          <w:rFonts w:hint="cs"/>
          <w:vanish/>
          <w:rtl/>
        </w:rPr>
        <w:t>-</w:t>
      </w:r>
      <w:r>
        <w:rPr>
          <w:rFonts w:hint="cs"/>
          <w:rtl/>
        </w:rPr>
        <w:t xml:space="preserve"> </w:t>
      </w:r>
      <w:r w:rsidRPr="002A0D0C">
        <w:rPr>
          <w:rStyle w:val="af2"/>
          <w:rFonts w:eastAsia="Guttman Hodes" w:hint="cs"/>
          <w:rtl/>
        </w:rPr>
        <w:t>(סי' רע"ד ד"ה הזורע)</w:t>
      </w:r>
      <w:r w:rsidRPr="00350A80">
        <w:rPr>
          <w:rFonts w:hint="cs"/>
          <w:vanish/>
          <w:rtl/>
        </w:rPr>
        <w:t>=</w:t>
      </w:r>
      <w:bookmarkEnd w:id="481"/>
      <w:r>
        <w:rPr>
          <w:rFonts w:hint="cs"/>
          <w:rtl/>
        </w:rPr>
        <w:t xml:space="preserve"> דכתב דכשאדם זורק זרעים לתרנגולים בשבת, אם הוא בחצר במקום שיורדים גשמים וסופן לצמוח, צריך להזהר להשליך רק זרעים שיאכלום התרנגולים ביום או יומיים.</w:t>
      </w:r>
      <w:bookmarkEnd w:id="480"/>
    </w:p>
    <w:p w14:paraId="1C671F8F" w14:textId="77777777" w:rsidR="009623A2" w:rsidRPr="00747170" w:rsidRDefault="009623A2" w:rsidP="00747170">
      <w:pPr>
        <w:pStyle w:val="a2"/>
        <w:rPr>
          <w:rtl/>
        </w:rPr>
      </w:pPr>
      <w:r w:rsidRPr="00747170">
        <w:rPr>
          <w:rtl/>
        </w:rPr>
        <w:t>ומזקנים אתבונן שיזהר האדם שלא להשליך זרעים בחצר במקום ירידת גשמים שסופן לצמוח ואם משליך לתרנגולים יזהר שלא ישליך אלא שיעור אכילת תרנגולים לאכול ביום או ביומיים ואם מקום דריסת רגלי בני אדם שאין סופן לצמוח מותר ואין כאן משום זורע.</w:t>
      </w:r>
    </w:p>
    <w:p w14:paraId="3B326EC4" w14:textId="32E77582" w:rsidR="009623A2" w:rsidRDefault="009623A2" w:rsidP="009623A2">
      <w:pPr>
        <w:pStyle w:val="afffff7"/>
        <w:rPr>
          <w:rtl/>
        </w:rPr>
      </w:pPr>
      <w:bookmarkStart w:id="482" w:name="_Toc133841698"/>
      <w:bookmarkStart w:id="483" w:name="_Toc163505448"/>
      <w:r>
        <w:rPr>
          <w:rtl/>
        </w:rPr>
        <w:t>הגהות מיימוניות שבת ח' ב'</w:t>
      </w:r>
      <w:bookmarkEnd w:id="482"/>
      <w:bookmarkEnd w:id="483"/>
    </w:p>
    <w:p w14:paraId="18D0296D" w14:textId="77777777" w:rsidR="009623A2" w:rsidRPr="00C3176C" w:rsidRDefault="009623A2" w:rsidP="00747170">
      <w:pPr>
        <w:pStyle w:val="afffff5"/>
        <w:rPr>
          <w:rtl/>
        </w:rPr>
      </w:pPr>
      <w:r w:rsidRPr="00C3176C">
        <w:rPr>
          <w:rtl/>
        </w:rPr>
        <w:t xml:space="preserve">[ב] וכ"כ רא"ם וז"ל משקה מים לזרעים וכו' עד גם תולדה דרבנן. לא מצאתי מפורש בתלמוד ומזקנים נתבונן שיזהר אדם שלא להשליך זרעים בחצר במקום ירידת גשמים שסופן לצמוח ואם משליך לתרנגולת יזהר שלא ישליך אלא שיעור אכילת התרנגולים בו ביום או יומים ואם מקום דריסת רגלי בני אדם הוא שאין סופן לצמוח מותר ואין בו משום זורע עכ"ל בסי' רצ"ז: </w:t>
      </w:r>
    </w:p>
    <w:p w14:paraId="04D1F45F" w14:textId="387F3391" w:rsidR="009623A2" w:rsidRDefault="009623A2" w:rsidP="009623A2">
      <w:pPr>
        <w:pStyle w:val="afffff7"/>
        <w:rPr>
          <w:rtl/>
        </w:rPr>
      </w:pPr>
      <w:bookmarkStart w:id="484" w:name="_Toc133841699"/>
      <w:bookmarkStart w:id="485" w:name="_Toc163505449"/>
      <w:r>
        <w:rPr>
          <w:rtl/>
        </w:rPr>
        <w:t>שו"ע או"ח סי' של"ו ד'</w:t>
      </w:r>
      <w:bookmarkEnd w:id="484"/>
      <w:bookmarkEnd w:id="485"/>
    </w:p>
    <w:p w14:paraId="059895B7" w14:textId="77777777" w:rsidR="009623A2" w:rsidRPr="00C3176C" w:rsidRDefault="009623A2" w:rsidP="00747170">
      <w:pPr>
        <w:pStyle w:val="afffff5"/>
        <w:rPr>
          <w:rtl/>
        </w:rPr>
      </w:pPr>
      <w:r w:rsidRPr="00C3176C">
        <w:rPr>
          <w:rtl/>
        </w:rPr>
        <w:t>יש ליזהר מלהשליך זרעים במקום ירידת גשמים, שסופן להצמיח; ואם ישליך לתרנגולים, לא ישליך אלא כשיעור שיאכלו בו ביום או ליומים; ואם הוא במקום דריסת רגלי אדם, מותר, שאין סופו לצמוח.</w:t>
      </w:r>
    </w:p>
    <w:p w14:paraId="49B43F9B" w14:textId="6FB2CED9" w:rsidR="009623A2" w:rsidRPr="00714028" w:rsidRDefault="009623A2" w:rsidP="009623A2">
      <w:pPr>
        <w:pStyle w:val="afffff7"/>
        <w:rPr>
          <w:rtl/>
        </w:rPr>
      </w:pPr>
      <w:bookmarkStart w:id="486" w:name="_Toc133841700"/>
      <w:bookmarkStart w:id="487" w:name="_Toc163505450"/>
      <w:r>
        <w:rPr>
          <w:rFonts w:hint="cs"/>
          <w:rtl/>
        </w:rPr>
        <w:t>תוספת שבת סי' של"ו סקי"ב</w:t>
      </w:r>
      <w:bookmarkEnd w:id="486"/>
      <w:bookmarkEnd w:id="487"/>
    </w:p>
    <w:p w14:paraId="22F90B01" w14:textId="77777777" w:rsidR="009623A2" w:rsidRDefault="009623A2" w:rsidP="009623A2">
      <w:pPr>
        <w:pStyle w:val="a7"/>
        <w:rPr>
          <w:rtl/>
        </w:rPr>
      </w:pPr>
      <w:bookmarkStart w:id="488" w:name="_Toc134419710"/>
      <w:r>
        <w:rPr>
          <w:rFonts w:hint="cs"/>
          <w:rtl/>
        </w:rPr>
        <w:t>קו' התוספת השבת דבמשליך זרעים לזמן ארוך מותר דלא מכוון לזריעה וכ' דאולי הוא חומרא</w:t>
      </w:r>
      <w:bookmarkEnd w:id="488"/>
      <w:r>
        <w:rPr>
          <w:rFonts w:hint="cs"/>
          <w:rtl/>
        </w:rPr>
        <w:t xml:space="preserve"> </w:t>
      </w:r>
    </w:p>
    <w:p w14:paraId="4727FC34" w14:textId="57CA3269" w:rsidR="009623A2" w:rsidRDefault="009623A2" w:rsidP="00BC7DC8">
      <w:pPr>
        <w:pStyle w:val="a3"/>
        <w:rPr>
          <w:rtl/>
        </w:rPr>
      </w:pPr>
      <w:bookmarkStart w:id="489" w:name="_Ref133760360"/>
      <w:bookmarkStart w:id="490" w:name="_Ref133835501"/>
      <w:r>
        <w:rPr>
          <w:rFonts w:hint="cs"/>
          <w:rtl/>
        </w:rPr>
        <w:t xml:space="preserve">במ"ש </w:t>
      </w:r>
      <w:r w:rsidRPr="001145E2">
        <w:rPr>
          <w:rStyle w:val="aff4"/>
          <w:rFonts w:hint="cs"/>
          <w:vanish/>
          <w:rtl/>
        </w:rPr>
        <w:t>-</w:t>
      </w:r>
      <w:r w:rsidRPr="002A0D0C">
        <w:rPr>
          <w:rStyle w:val="aff4"/>
          <w:rFonts w:hint="cs"/>
          <w:rtl/>
        </w:rPr>
        <w:t>היראים</w:t>
      </w:r>
      <w:r w:rsidRPr="001145E2">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Ref133574486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קיד)</w:t>
      </w:r>
      <w:r>
        <w:rPr>
          <w:rStyle w:val="af2"/>
          <w:rFonts w:eastAsia="Guttman Hodes"/>
          <w:rtl/>
        </w:rPr>
        <w:fldChar w:fldCharType="end"/>
      </w:r>
      <w:r>
        <w:rPr>
          <w:rFonts w:hint="cs"/>
          <w:rtl/>
        </w:rPr>
        <w:t xml:space="preserve"> דמותר להשליך רק זרעים שיאכלום התרנגולים ביום או יומיים, הקשה </w:t>
      </w:r>
      <w:r w:rsidRPr="001145E2">
        <w:rPr>
          <w:rStyle w:val="aff4"/>
          <w:rFonts w:hint="cs"/>
          <w:vanish/>
          <w:rtl/>
        </w:rPr>
        <w:t>-</w:t>
      </w:r>
      <w:r w:rsidRPr="002A0D0C">
        <w:rPr>
          <w:rStyle w:val="aff4"/>
          <w:rFonts w:hint="cs"/>
          <w:rtl/>
        </w:rPr>
        <w:t>ה</w:t>
      </w:r>
      <w:r w:rsidRPr="001145E2">
        <w:rPr>
          <w:rStyle w:val="aff4"/>
          <w:rFonts w:hint="cs"/>
          <w:vanish/>
          <w:rtl/>
        </w:rPr>
        <w:t xml:space="preserve">&lt;. </w:t>
      </w:r>
      <w:r w:rsidRPr="001145E2">
        <w:rPr>
          <w:rStyle w:val="aff4"/>
          <w:vanish/>
          <w:rtl/>
        </w:rPr>
        <w:fldChar w:fldCharType="begin"/>
      </w:r>
      <w:r w:rsidRPr="001145E2">
        <w:rPr>
          <w:rStyle w:val="aff4"/>
          <w:vanish/>
          <w:rtl/>
        </w:rPr>
        <w:instrText xml:space="preserve"> </w:instrText>
      </w:r>
      <w:r w:rsidRPr="001145E2">
        <w:rPr>
          <w:rStyle w:val="aff4"/>
          <w:rFonts w:hint="cs"/>
          <w:vanish/>
        </w:rPr>
        <w:instrText>REF</w:instrText>
      </w:r>
      <w:r w:rsidRPr="001145E2">
        <w:rPr>
          <w:rStyle w:val="aff4"/>
          <w:rFonts w:hint="cs"/>
          <w:vanish/>
          <w:rtl/>
        </w:rPr>
        <w:instrText xml:space="preserve"> _</w:instrText>
      </w:r>
      <w:r w:rsidRPr="001145E2">
        <w:rPr>
          <w:rStyle w:val="aff4"/>
          <w:rFonts w:hint="cs"/>
          <w:vanish/>
        </w:rPr>
        <w:instrText>Ref133760360 \r \h</w:instrText>
      </w:r>
      <w:r w:rsidRPr="001145E2">
        <w:rPr>
          <w:rStyle w:val="aff4"/>
          <w:vanish/>
          <w:rtl/>
        </w:rPr>
        <w:instrText xml:space="preserve">  \* </w:instrText>
      </w:r>
      <w:r w:rsidRPr="001145E2">
        <w:rPr>
          <w:rStyle w:val="aff4"/>
          <w:vanish/>
        </w:rPr>
        <w:instrText>MERGEFORMAT</w:instrText>
      </w:r>
      <w:r w:rsidRPr="001145E2">
        <w:rPr>
          <w:rStyle w:val="aff4"/>
          <w:vanish/>
          <w:rtl/>
        </w:rPr>
        <w:instrText xml:space="preserve"> </w:instrText>
      </w:r>
      <w:r w:rsidRPr="001145E2">
        <w:rPr>
          <w:rStyle w:val="aff4"/>
          <w:vanish/>
          <w:rtl/>
        </w:rPr>
      </w:r>
      <w:r w:rsidRPr="001145E2">
        <w:rPr>
          <w:rStyle w:val="aff4"/>
          <w:vanish/>
          <w:rtl/>
        </w:rPr>
        <w:fldChar w:fldCharType="separate"/>
      </w:r>
      <w:r w:rsidR="00D82181">
        <w:rPr>
          <w:rStyle w:val="aff4"/>
          <w:vanish/>
          <w:cs/>
        </w:rPr>
        <w:t>‎</w:t>
      </w:r>
      <w:r w:rsidR="00D82181">
        <w:rPr>
          <w:rStyle w:val="aff4"/>
          <w:vanish/>
          <w:rtl/>
        </w:rPr>
        <w:t>קטו)</w:t>
      </w:r>
      <w:r w:rsidRPr="001145E2">
        <w:rPr>
          <w:rStyle w:val="aff4"/>
          <w:vanish/>
          <w:rtl/>
        </w:rPr>
        <w:fldChar w:fldCharType="end"/>
      </w:r>
      <w:r w:rsidRPr="001145E2">
        <w:rPr>
          <w:rStyle w:val="aff4"/>
          <w:rFonts w:hint="cs"/>
          <w:vanish/>
          <w:rtl/>
        </w:rPr>
        <w:t xml:space="preserve"> &gt;</w:t>
      </w:r>
      <w:r w:rsidRPr="002A0D0C">
        <w:rPr>
          <w:rStyle w:val="aff4"/>
          <w:rFonts w:hint="cs"/>
          <w:rtl/>
        </w:rPr>
        <w:t>תוספת שבת</w:t>
      </w:r>
      <w:r w:rsidRPr="001145E2">
        <w:rPr>
          <w:rStyle w:val="aff4"/>
          <w:rFonts w:hint="cs"/>
          <w:vanish/>
          <w:rtl/>
        </w:rPr>
        <w:t>-</w:t>
      </w:r>
      <w:r>
        <w:rPr>
          <w:rFonts w:hint="cs"/>
          <w:rtl/>
        </w:rPr>
        <w:t xml:space="preserve"> </w:t>
      </w:r>
      <w:r w:rsidRPr="002A0D0C">
        <w:rPr>
          <w:rStyle w:val="af2"/>
          <w:rFonts w:eastAsia="Guttman Hodes" w:hint="cs"/>
          <w:rtl/>
        </w:rPr>
        <w:t>(סי' של"ו סקי"ב)</w:t>
      </w:r>
      <w:r w:rsidRPr="00EF0317">
        <w:rPr>
          <w:rFonts w:hint="cs"/>
          <w:vanish/>
          <w:rtl/>
        </w:rPr>
        <w:t>=</w:t>
      </w:r>
      <w:bookmarkEnd w:id="489"/>
      <w:r>
        <w:rPr>
          <w:rFonts w:hint="cs"/>
          <w:rtl/>
        </w:rPr>
        <w:t xml:space="preserve"> דמאי נ"מ אי משליך זרעים יותר משיעור יום או יומיים, הא אינו מתכוון לזריעה ודבר שאינו מתכוון מותר, וא"א לומר דהוא פסיק רישיה, דהא כתב </w:t>
      </w:r>
      <w:r w:rsidRPr="001145E2">
        <w:rPr>
          <w:rStyle w:val="aff4"/>
          <w:rFonts w:hint="cs"/>
          <w:vanish/>
          <w:rtl/>
        </w:rPr>
        <w:t>-</w:t>
      </w:r>
      <w:r w:rsidRPr="002A0D0C">
        <w:rPr>
          <w:rStyle w:val="aff4"/>
          <w:rFonts w:hint="cs"/>
          <w:rtl/>
        </w:rPr>
        <w:t>השו"ע</w:t>
      </w:r>
      <w:r w:rsidRPr="001145E2">
        <w:rPr>
          <w:rStyle w:val="aff4"/>
          <w:rFonts w:hint="cs"/>
          <w:vanish/>
          <w:rtl/>
        </w:rPr>
        <w:t>-</w:t>
      </w:r>
      <w:r>
        <w:rPr>
          <w:rFonts w:hint="cs"/>
          <w:rtl/>
        </w:rPr>
        <w:t xml:space="preserve"> </w:t>
      </w:r>
      <w:r w:rsidRPr="002A0D0C">
        <w:rPr>
          <w:rStyle w:val="af2"/>
          <w:rFonts w:eastAsia="Guttman Hodes" w:hint="cs"/>
          <w:rtl/>
        </w:rPr>
        <w:t>(יו"ד סי' רצ"ד)</w:t>
      </w:r>
      <w:r>
        <w:rPr>
          <w:rFonts w:hint="cs"/>
          <w:rtl/>
        </w:rPr>
        <w:t xml:space="preserve"> דקיי"ל דזמן קליטת זרע הוא ב' שבתות, ואיתא בגמ' בפסחים </w:t>
      </w:r>
      <w:r w:rsidRPr="002A0D0C">
        <w:rPr>
          <w:rStyle w:val="af2"/>
          <w:rFonts w:eastAsia="Guttman Hodes" w:hint="cs"/>
          <w:rtl/>
        </w:rPr>
        <w:t>(נב:)</w:t>
      </w:r>
      <w:r>
        <w:rPr>
          <w:rFonts w:hint="cs"/>
          <w:rtl/>
        </w:rPr>
        <w:t xml:space="preserve"> דאין חילוק בין זרעים לאילנות בזה, וכתב </w:t>
      </w:r>
      <w:r w:rsidRPr="001145E2">
        <w:rPr>
          <w:rStyle w:val="aff4"/>
          <w:rFonts w:hint="cs"/>
          <w:vanish/>
          <w:rtl/>
        </w:rPr>
        <w:t>-</w:t>
      </w:r>
      <w:r w:rsidRPr="002A0D0C">
        <w:rPr>
          <w:rStyle w:val="aff4"/>
          <w:rFonts w:hint="cs"/>
          <w:rtl/>
        </w:rPr>
        <w:t>התוספת השבת</w:t>
      </w:r>
      <w:r w:rsidRPr="001145E2">
        <w:rPr>
          <w:rStyle w:val="aff4"/>
          <w:rFonts w:hint="cs"/>
          <w:vanish/>
          <w:rtl/>
        </w:rPr>
        <w:t>-</w:t>
      </w:r>
      <w:r>
        <w:rPr>
          <w:rFonts w:hint="cs"/>
          <w:rtl/>
        </w:rPr>
        <w:t xml:space="preserve"> דאפש"ל </w:t>
      </w:r>
      <w:r w:rsidRPr="001145E2">
        <w:rPr>
          <w:rStyle w:val="aff4"/>
          <w:rFonts w:hint="cs"/>
          <w:vanish/>
          <w:rtl/>
        </w:rPr>
        <w:t>-</w:t>
      </w:r>
      <w:r w:rsidRPr="002A0D0C">
        <w:rPr>
          <w:rStyle w:val="aff4"/>
          <w:rFonts w:hint="cs"/>
          <w:rtl/>
        </w:rPr>
        <w:t>דהיראים</w:t>
      </w:r>
      <w:r w:rsidRPr="001145E2">
        <w:rPr>
          <w:rStyle w:val="aff4"/>
          <w:rFonts w:hint="cs"/>
          <w:vanish/>
          <w:rtl/>
        </w:rPr>
        <w:t>-</w:t>
      </w:r>
      <w:r>
        <w:rPr>
          <w:rFonts w:hint="cs"/>
          <w:rtl/>
        </w:rPr>
        <w:t xml:space="preserve"> כ"כ לחומרא בעלמא, ומ"ש </w:t>
      </w:r>
      <w:r w:rsidRPr="001145E2">
        <w:rPr>
          <w:rStyle w:val="aff4"/>
          <w:rFonts w:hint="cs"/>
          <w:vanish/>
          <w:rtl/>
        </w:rPr>
        <w:t>-</w:t>
      </w:r>
      <w:r w:rsidRPr="002A0D0C">
        <w:rPr>
          <w:rStyle w:val="aff4"/>
          <w:rFonts w:hint="cs"/>
          <w:rtl/>
        </w:rPr>
        <w:t xml:space="preserve">הש"ם , ועי' במה שביאר </w:t>
      </w:r>
      <w:r w:rsidRPr="001145E2">
        <w:rPr>
          <w:rStyle w:val="aff4"/>
          <w:rFonts w:hint="cs"/>
          <w:vanish/>
          <w:rtl/>
        </w:rPr>
        <w:t>-</w:t>
      </w:r>
      <w:r>
        <w:rPr>
          <w:rFonts w:hint="cs"/>
          <w:rtl/>
        </w:rPr>
        <w:t>הנשמת אדם</w:t>
      </w:r>
      <w:r w:rsidRPr="001145E2">
        <w:rPr>
          <w:rStyle w:val="aff4"/>
          <w:rFonts w:hint="cs"/>
          <w:vanish/>
          <w:rtl/>
        </w:rPr>
        <w:t>-</w:t>
      </w:r>
      <w:r w:rsidRPr="002A0D0C">
        <w:rPr>
          <w:rStyle w:val="aff4"/>
          <w:rFonts w:hint="cs"/>
          <w:rtl/>
        </w:rPr>
        <w:t xml:space="preserve"> </w:t>
      </w:r>
      <w:r w:rsidRPr="002A0D0C">
        <w:rPr>
          <w:rStyle w:val="af2"/>
          <w:rFonts w:eastAsia="Guttman Hodes" w:hint="cs"/>
          <w:rtl/>
        </w:rPr>
        <w:t xml:space="preserve">(עי' אות </w:t>
      </w:r>
      <w:r w:rsidRPr="002A0D0C">
        <w:rPr>
          <w:rStyle w:val="af2"/>
          <w:rFonts w:eastAsia="Guttman Hodes"/>
          <w:rtl/>
        </w:rPr>
        <w:fldChar w:fldCharType="begin"/>
      </w:r>
      <w:r w:rsidRPr="002A0D0C">
        <w:rPr>
          <w:rStyle w:val="af2"/>
          <w:rFonts w:eastAsia="Guttman Hodes"/>
          <w:rtl/>
        </w:rPr>
        <w:instrText xml:space="preserve"> </w:instrText>
      </w:r>
      <w:r w:rsidRPr="002A0D0C">
        <w:rPr>
          <w:rStyle w:val="af2"/>
          <w:rFonts w:eastAsia="Guttman Hodes" w:hint="cs"/>
        </w:rPr>
        <w:instrText>REF</w:instrText>
      </w:r>
      <w:r w:rsidRPr="002A0D0C">
        <w:rPr>
          <w:rStyle w:val="af2"/>
          <w:rFonts w:eastAsia="Guttman Hodes" w:hint="cs"/>
          <w:rtl/>
        </w:rPr>
        <w:instrText xml:space="preserve"> _</w:instrText>
      </w:r>
      <w:r w:rsidRPr="002A0D0C">
        <w:rPr>
          <w:rStyle w:val="af2"/>
          <w:rFonts w:eastAsia="Guttman Hodes" w:hint="cs"/>
        </w:rPr>
        <w:instrText>Ref133751371 \r \h</w:instrText>
      </w:r>
      <w:r w:rsidRPr="002A0D0C">
        <w:rPr>
          <w:rStyle w:val="af2"/>
          <w:rFonts w:eastAsia="Guttman Hodes"/>
          <w:rtl/>
        </w:rPr>
        <w:instrText xml:space="preserve"> </w:instrText>
      </w:r>
      <w:r w:rsidRPr="002A0D0C">
        <w:rPr>
          <w:rStyle w:val="af2"/>
          <w:rFonts w:eastAsia="Guttman Hodes"/>
          <w:rtl/>
        </w:rPr>
      </w:r>
      <w:r w:rsidRPr="002A0D0C">
        <w:rPr>
          <w:rStyle w:val="af2"/>
          <w:rFonts w:eastAsia="Guttman Hodes"/>
          <w:rtl/>
        </w:rPr>
        <w:fldChar w:fldCharType="separate"/>
      </w:r>
      <w:r w:rsidR="00D82181">
        <w:rPr>
          <w:rStyle w:val="af2"/>
          <w:rFonts w:eastAsia="Guttman Hodes"/>
          <w:cs/>
        </w:rPr>
        <w:t>‎</w:t>
      </w:r>
      <w:r w:rsidR="00D82181">
        <w:rPr>
          <w:rStyle w:val="af2"/>
          <w:rFonts w:eastAsia="Guttman Hodes"/>
          <w:rtl/>
        </w:rPr>
        <w:t>קב)</w:t>
      </w:r>
      <w:r w:rsidRPr="002A0D0C">
        <w:rPr>
          <w:rStyle w:val="af2"/>
          <w:rFonts w:eastAsia="Guttman Hodes"/>
          <w:rtl/>
        </w:rPr>
        <w:fldChar w:fldCharType="end"/>
      </w:r>
      <w:r w:rsidRPr="002A0D0C">
        <w:rPr>
          <w:rStyle w:val="aff4"/>
          <w:rFonts w:hint="cs"/>
          <w:rtl/>
        </w:rPr>
        <w:t xml:space="preserve"> בדברי </w:t>
      </w:r>
      <w:r w:rsidRPr="001145E2">
        <w:rPr>
          <w:rStyle w:val="aff4"/>
          <w:rFonts w:hint="cs"/>
          <w:vanish/>
          <w:rtl/>
        </w:rPr>
        <w:t>-</w:t>
      </w:r>
      <w:r>
        <w:rPr>
          <w:rFonts w:hint="cs"/>
          <w:rtl/>
        </w:rPr>
        <w:t>היראים</w:t>
      </w:r>
      <w:r w:rsidRPr="001145E2">
        <w:rPr>
          <w:rFonts w:hint="cs"/>
          <w:vanish/>
          <w:rtl/>
        </w:rPr>
        <w:t>-</w:t>
      </w:r>
      <w:r>
        <w:rPr>
          <w:rFonts w:hint="cs"/>
          <w:rtl/>
        </w:rPr>
        <w:t>.</w:t>
      </w:r>
      <w:bookmarkEnd w:id="490"/>
      <w:r>
        <w:rPr>
          <w:rFonts w:hint="cs"/>
          <w:rtl/>
        </w:rPr>
        <w:t xml:space="preserve"> </w:t>
      </w:r>
    </w:p>
    <w:p w14:paraId="640344BC" w14:textId="77777777" w:rsidR="009623A2" w:rsidRPr="00747170" w:rsidRDefault="009623A2" w:rsidP="00747170">
      <w:pPr>
        <w:pStyle w:val="a2"/>
        <w:rPr>
          <w:rtl/>
        </w:rPr>
      </w:pPr>
      <w:r w:rsidRPr="00747170">
        <w:rPr>
          <w:rStyle w:val="afff7"/>
          <w:rtl/>
        </w:rPr>
        <w:t>יב בו ביום או ייומים וצ"ל דנותן להם בפעם אחד דאל"כ הרי מכין משבת לחול אבל כשנותן להם בפעם אחד הוי חד טירחא וליכא משום הכנה כמ"ש סי' תק"ג עסי' תקי"ד ס"ה ולא זו אף זו קתני עבח"מ סי' ש"ו וסי' תנ"ג</w:t>
      </w:r>
      <w:r w:rsidRPr="00747170">
        <w:rPr>
          <w:rtl/>
        </w:rPr>
        <w:t xml:space="preserve"> מיהו שיעורא דיום או יומים לא </w:t>
      </w:r>
      <w:r w:rsidRPr="00747170">
        <w:rPr>
          <w:rFonts w:hint="cs"/>
          <w:rtl/>
        </w:rPr>
        <w:t>י</w:t>
      </w:r>
      <w:r w:rsidRPr="00747170">
        <w:rPr>
          <w:rtl/>
        </w:rPr>
        <w:t>דענא מהיכי קיליף דהא הוי דבר שאינו מתכוון וליכא למימר דהוי פ"ר דהא אנן קי"ל בי"ד סי' רצ"ד דזמן קליטה הוי ב' שבתות ובפרק מקום שנהגו איתא דזמן קליטה דאילן ודזרעים שוים הם ומ"ש הש"ך ביו"ד סי' רצ"ג בשם התה"ד דזמן קליטה היא ג' ימים כבר תמה ע"ז בנה"כ ע"ש ואולי לא קאמר אלא לחומרא בעלמא</w:t>
      </w:r>
      <w:r w:rsidRPr="00747170">
        <w:rPr>
          <w:rFonts w:hint="cs"/>
          <w:rtl/>
        </w:rPr>
        <w:t>.</w:t>
      </w:r>
    </w:p>
    <w:p w14:paraId="6C70C513" w14:textId="391A3529" w:rsidR="009623A2" w:rsidRDefault="009623A2" w:rsidP="009623A2">
      <w:pPr>
        <w:pStyle w:val="afffff7"/>
        <w:rPr>
          <w:rtl/>
        </w:rPr>
      </w:pPr>
      <w:bookmarkStart w:id="491" w:name="_Toc133841701"/>
      <w:bookmarkStart w:id="492" w:name="_Toc163505451"/>
      <w:r>
        <w:rPr>
          <w:rtl/>
        </w:rPr>
        <w:t>משנה ברורה סימן שלו ס"ק לג</w:t>
      </w:r>
      <w:bookmarkEnd w:id="491"/>
      <w:bookmarkEnd w:id="492"/>
    </w:p>
    <w:p w14:paraId="3D454F81" w14:textId="77777777" w:rsidR="009623A2" w:rsidRPr="002B43DC" w:rsidRDefault="009623A2" w:rsidP="009623A2">
      <w:pPr>
        <w:pStyle w:val="a7"/>
        <w:rPr>
          <w:rtl/>
        </w:rPr>
      </w:pPr>
      <w:bookmarkStart w:id="493" w:name="_Toc134419711"/>
      <w:r>
        <w:rPr>
          <w:rFonts w:hint="cs"/>
          <w:rtl/>
        </w:rPr>
        <w:t>בי' המשנ"ב דביום או יומיים הזרעים לא יצמחו אבל בג' ימים צומחים וחייב למפרע בזורע</w:t>
      </w:r>
      <w:bookmarkEnd w:id="493"/>
      <w:r>
        <w:rPr>
          <w:rFonts w:hint="cs"/>
          <w:rtl/>
        </w:rPr>
        <w:t xml:space="preserve"> </w:t>
      </w:r>
    </w:p>
    <w:p w14:paraId="2707ED65" w14:textId="37B99D10" w:rsidR="009623A2" w:rsidRPr="00171949" w:rsidRDefault="009623A2" w:rsidP="00BC7DC8">
      <w:pPr>
        <w:pStyle w:val="a3"/>
        <w:rPr>
          <w:rStyle w:val="af"/>
          <w:sz w:val="18"/>
          <w:szCs w:val="18"/>
        </w:rPr>
      </w:pPr>
      <w:bookmarkStart w:id="494" w:name="_Ref133575494"/>
      <w:r>
        <w:rPr>
          <w:rFonts w:hint="cs"/>
          <w:rtl/>
        </w:rPr>
        <w:t xml:space="preserve">וביאר </w:t>
      </w:r>
      <w:r w:rsidRPr="00171949">
        <w:rPr>
          <w:rStyle w:val="aff4"/>
          <w:rFonts w:hint="cs"/>
          <w:vanish/>
          <w:rtl/>
        </w:rPr>
        <w:t>-</w:t>
      </w:r>
      <w:r w:rsidRPr="004F32D2">
        <w:rPr>
          <w:rStyle w:val="aff4"/>
          <w:rFonts w:hint="cs"/>
          <w:rtl/>
        </w:rPr>
        <w:t>ה</w:t>
      </w:r>
      <w:r w:rsidRPr="00171949">
        <w:rPr>
          <w:rStyle w:val="aff4"/>
          <w:rFonts w:hint="cs"/>
          <w:vanish/>
          <w:rtl/>
        </w:rPr>
        <w:t xml:space="preserve">&lt;. </w:t>
      </w:r>
      <w:r w:rsidRPr="00171949">
        <w:rPr>
          <w:rStyle w:val="aff4"/>
          <w:vanish/>
          <w:rtl/>
        </w:rPr>
        <w:fldChar w:fldCharType="begin"/>
      </w:r>
      <w:r w:rsidRPr="00171949">
        <w:rPr>
          <w:rStyle w:val="aff4"/>
          <w:vanish/>
          <w:rtl/>
        </w:rPr>
        <w:instrText xml:space="preserve"> </w:instrText>
      </w:r>
      <w:r w:rsidRPr="00171949">
        <w:rPr>
          <w:rStyle w:val="aff4"/>
          <w:rFonts w:hint="cs"/>
          <w:vanish/>
        </w:rPr>
        <w:instrText>REF</w:instrText>
      </w:r>
      <w:r w:rsidRPr="00171949">
        <w:rPr>
          <w:rStyle w:val="aff4"/>
          <w:rFonts w:hint="cs"/>
          <w:vanish/>
          <w:rtl/>
        </w:rPr>
        <w:instrText xml:space="preserve"> _</w:instrText>
      </w:r>
      <w:r w:rsidRPr="00171949">
        <w:rPr>
          <w:rStyle w:val="aff4"/>
          <w:rFonts w:hint="cs"/>
          <w:vanish/>
        </w:rPr>
        <w:instrText>Ref133575494 \r \h</w:instrText>
      </w:r>
      <w:r w:rsidRPr="00171949">
        <w:rPr>
          <w:rStyle w:val="aff4"/>
          <w:vanish/>
          <w:rtl/>
        </w:rPr>
        <w:instrText xml:space="preserve"> </w:instrText>
      </w:r>
      <w:r w:rsidRPr="00171949">
        <w:rPr>
          <w:rStyle w:val="aff4"/>
          <w:vanish/>
          <w:rtl/>
        </w:rPr>
      </w:r>
      <w:r w:rsidRPr="00171949">
        <w:rPr>
          <w:rStyle w:val="aff4"/>
          <w:vanish/>
          <w:rtl/>
        </w:rPr>
        <w:fldChar w:fldCharType="separate"/>
      </w:r>
      <w:r w:rsidR="00D82181">
        <w:rPr>
          <w:rStyle w:val="aff4"/>
          <w:vanish/>
          <w:cs/>
        </w:rPr>
        <w:t>‎</w:t>
      </w:r>
      <w:r w:rsidR="00D82181">
        <w:rPr>
          <w:rStyle w:val="aff4"/>
          <w:vanish/>
          <w:rtl/>
        </w:rPr>
        <w:t>קטז)</w:t>
      </w:r>
      <w:r w:rsidRPr="00171949">
        <w:rPr>
          <w:rStyle w:val="aff4"/>
          <w:vanish/>
          <w:rtl/>
        </w:rPr>
        <w:fldChar w:fldCharType="end"/>
      </w:r>
      <w:r w:rsidRPr="00171949">
        <w:rPr>
          <w:rStyle w:val="aff4"/>
          <w:rFonts w:hint="cs"/>
          <w:vanish/>
          <w:rtl/>
        </w:rPr>
        <w:t xml:space="preserve"> &gt;</w:t>
      </w:r>
      <w:r w:rsidRPr="004F32D2">
        <w:rPr>
          <w:rStyle w:val="aff4"/>
          <w:rFonts w:hint="cs"/>
          <w:rtl/>
        </w:rPr>
        <w:t>משנה ברורה</w:t>
      </w:r>
      <w:r w:rsidRPr="00171949">
        <w:rPr>
          <w:rStyle w:val="aff4"/>
          <w:rFonts w:hint="cs"/>
          <w:vanish/>
          <w:rtl/>
        </w:rPr>
        <w:t>-</w:t>
      </w:r>
      <w:r>
        <w:rPr>
          <w:rFonts w:hint="cs"/>
          <w:rtl/>
        </w:rPr>
        <w:t xml:space="preserve"> </w:t>
      </w:r>
      <w:r w:rsidRPr="00171949">
        <w:rPr>
          <w:rStyle w:val="af2"/>
          <w:rFonts w:eastAsia="Guttman Hodes" w:hint="cs"/>
          <w:rtl/>
        </w:rPr>
        <w:t>(סי' של"ו סקל"ג)</w:t>
      </w:r>
      <w:r w:rsidRPr="00171949">
        <w:rPr>
          <w:rFonts w:hint="cs"/>
          <w:vanish/>
          <w:rtl/>
        </w:rPr>
        <w:t>=</w:t>
      </w:r>
      <w:r>
        <w:rPr>
          <w:rFonts w:hint="cs"/>
          <w:rtl/>
        </w:rPr>
        <w:t xml:space="preserve"> דביום או יומיים לא יצמחו הזרעים אבל בג' ימים ויותר הזרעים יצמחו, וכשיצמחו הזרעים יתחייב למפרע משום זורע. </w:t>
      </w:r>
      <w:bookmarkEnd w:id="494"/>
    </w:p>
    <w:p w14:paraId="762AF3E2" w14:textId="77777777" w:rsidR="009623A2" w:rsidRPr="00747170" w:rsidRDefault="009623A2" w:rsidP="00747170">
      <w:pPr>
        <w:pStyle w:val="a2"/>
        <w:rPr>
          <w:rtl/>
        </w:rPr>
      </w:pPr>
      <w:r w:rsidRPr="00747170">
        <w:rPr>
          <w:rtl/>
        </w:rPr>
        <w:t>או ליומים - דבזמן מועט כזה לא יצמחו וכ"ש דלא ישרשו בקרקע משא"כ לג' ימים ויותר יצמחו הזרעים ויתחייב למפרע משום זורע גם לחד דעה ביו"ד סימן רצ"ג כל שיעור השרשה אינו אלא ג' ימים [עי"ש בפ"ת] ודע דמיירי דהשליך את הזרעים בפעם אחת דאל"ה אסור להכין לימי החול [תוס' שבת]:</w:t>
      </w:r>
    </w:p>
    <w:p w14:paraId="68DB2E25" w14:textId="76D4B58F" w:rsidR="009623A2" w:rsidRDefault="009623A2" w:rsidP="009623A2">
      <w:pPr>
        <w:pStyle w:val="affff5"/>
        <w:rPr>
          <w:rtl/>
        </w:rPr>
      </w:pPr>
      <w:bookmarkStart w:id="495" w:name="_Toc134419712"/>
      <w:r>
        <w:rPr>
          <w:rFonts w:hint="cs"/>
          <w:rtl/>
        </w:rPr>
        <w:t>בדין זורע בעציץ שאינו נקוב</w:t>
      </w:r>
      <w:bookmarkEnd w:id="495"/>
    </w:p>
    <w:p w14:paraId="3B8623D3" w14:textId="77777777" w:rsidR="009623A2" w:rsidRPr="008A611A" w:rsidRDefault="009623A2" w:rsidP="009623A2">
      <w:pPr>
        <w:pStyle w:val="1"/>
      </w:pPr>
      <w:bookmarkStart w:id="496" w:name="_Toc134419713"/>
      <w:r>
        <w:rPr>
          <w:rFonts w:hint="cs"/>
          <w:rtl/>
        </w:rPr>
        <w:t>בי' המגן אבות דבפשטות הזורע בעציץ שאינו נקוב פטור כתולש</w:t>
      </w:r>
      <w:bookmarkEnd w:id="496"/>
    </w:p>
    <w:p w14:paraId="24191C16" w14:textId="77777777" w:rsidR="009623A2" w:rsidRDefault="009623A2" w:rsidP="009623A2">
      <w:pPr>
        <w:pStyle w:val="afffff7"/>
        <w:rPr>
          <w:rtl/>
        </w:rPr>
      </w:pPr>
      <w:bookmarkStart w:id="497" w:name="_Toc133841702"/>
      <w:bookmarkStart w:id="498" w:name="_Toc163505452"/>
      <w:r>
        <w:rPr>
          <w:rFonts w:hint="cs"/>
          <w:rtl/>
        </w:rPr>
        <w:t>מגן אבות הזורע ד</w:t>
      </w:r>
      <w:r>
        <w:rPr>
          <w:rFonts w:cs="Guttman Hodes" w:hint="cs"/>
          <w:rtl/>
        </w:rPr>
        <w:t>"</w:t>
      </w:r>
      <w:r>
        <w:rPr>
          <w:rFonts w:hint="cs"/>
          <w:rtl/>
        </w:rPr>
        <w:t>ה ולכאורה</w:t>
      </w:r>
      <w:bookmarkEnd w:id="497"/>
      <w:bookmarkEnd w:id="498"/>
    </w:p>
    <w:p w14:paraId="725747F0" w14:textId="77777777" w:rsidR="009623A2" w:rsidRDefault="009623A2" w:rsidP="009623A2">
      <w:pPr>
        <w:pStyle w:val="a7"/>
        <w:rPr>
          <w:rtl/>
        </w:rPr>
      </w:pPr>
      <w:bookmarkStart w:id="499" w:name="_Toc134419714"/>
      <w:r>
        <w:rPr>
          <w:rFonts w:hint="cs"/>
          <w:rtl/>
        </w:rPr>
        <w:t>בי' המגן אבות דהיה אפש"ל דאף דתולש מעציץ שאינו נקוב פטור הזורע חייב אך לא נראה כן</w:t>
      </w:r>
      <w:bookmarkEnd w:id="499"/>
    </w:p>
    <w:p w14:paraId="196FBB20" w14:textId="77A8D135" w:rsidR="009623A2" w:rsidRPr="00B176D9" w:rsidRDefault="009623A2" w:rsidP="00BC7DC8">
      <w:pPr>
        <w:pStyle w:val="a3"/>
      </w:pPr>
      <w:bookmarkStart w:id="500" w:name="_Ref133771863"/>
      <w:r>
        <w:rPr>
          <w:rFonts w:hint="cs"/>
          <w:rtl/>
        </w:rPr>
        <w:t xml:space="preserve">כתב </w:t>
      </w:r>
      <w:r w:rsidRPr="008A611A">
        <w:rPr>
          <w:rFonts w:hint="cs"/>
          <w:vanish/>
          <w:rtl/>
        </w:rPr>
        <w:t>-</w:t>
      </w:r>
      <w:r>
        <w:rPr>
          <w:rStyle w:val="aff4"/>
          <w:rFonts w:hint="cs"/>
          <w:rtl/>
        </w:rPr>
        <w:t>ה</w:t>
      </w:r>
      <w:r w:rsidRPr="008A611A">
        <w:rPr>
          <w:rStyle w:val="aff4"/>
          <w:rFonts w:hint="cs"/>
          <w:vanish/>
          <w:rtl/>
        </w:rPr>
        <w:t xml:space="preserve">&lt;. </w:t>
      </w:r>
      <w:r w:rsidRPr="008A611A">
        <w:rPr>
          <w:rStyle w:val="aff4"/>
          <w:vanish/>
          <w:rtl/>
        </w:rPr>
        <w:fldChar w:fldCharType="begin"/>
      </w:r>
      <w:r w:rsidRPr="008A611A">
        <w:rPr>
          <w:rStyle w:val="aff4"/>
          <w:vanish/>
          <w:rtl/>
        </w:rPr>
        <w:instrText xml:space="preserve"> </w:instrText>
      </w:r>
      <w:r w:rsidRPr="008A611A">
        <w:rPr>
          <w:rStyle w:val="aff4"/>
          <w:rFonts w:hint="cs"/>
          <w:vanish/>
        </w:rPr>
        <w:instrText>REF</w:instrText>
      </w:r>
      <w:r w:rsidRPr="008A611A">
        <w:rPr>
          <w:rStyle w:val="aff4"/>
          <w:rFonts w:hint="cs"/>
          <w:vanish/>
          <w:rtl/>
        </w:rPr>
        <w:instrText xml:space="preserve"> _</w:instrText>
      </w:r>
      <w:r w:rsidRPr="008A611A">
        <w:rPr>
          <w:rStyle w:val="aff4"/>
          <w:rFonts w:hint="cs"/>
          <w:vanish/>
        </w:rPr>
        <w:instrText>Ref133771863 \r \h</w:instrText>
      </w:r>
      <w:r w:rsidRPr="008A611A">
        <w:rPr>
          <w:rStyle w:val="aff4"/>
          <w:vanish/>
          <w:rtl/>
        </w:rPr>
        <w:instrText xml:space="preserve"> </w:instrText>
      </w:r>
      <w:r w:rsidRPr="008A611A">
        <w:rPr>
          <w:rStyle w:val="aff4"/>
          <w:vanish/>
          <w:rtl/>
        </w:rPr>
      </w:r>
      <w:r w:rsidRPr="008A611A">
        <w:rPr>
          <w:rStyle w:val="aff4"/>
          <w:vanish/>
          <w:rtl/>
        </w:rPr>
        <w:fldChar w:fldCharType="separate"/>
      </w:r>
      <w:r w:rsidR="00D82181">
        <w:rPr>
          <w:rStyle w:val="aff4"/>
          <w:vanish/>
          <w:cs/>
        </w:rPr>
        <w:t>‎</w:t>
      </w:r>
      <w:r w:rsidR="00D82181">
        <w:rPr>
          <w:rStyle w:val="aff4"/>
          <w:vanish/>
          <w:rtl/>
        </w:rPr>
        <w:t>קיז)</w:t>
      </w:r>
      <w:r w:rsidRPr="008A611A">
        <w:rPr>
          <w:rStyle w:val="aff4"/>
          <w:vanish/>
          <w:rtl/>
        </w:rPr>
        <w:fldChar w:fldCharType="end"/>
      </w:r>
      <w:r w:rsidRPr="008A611A">
        <w:rPr>
          <w:rStyle w:val="aff4"/>
          <w:rFonts w:hint="cs"/>
          <w:vanish/>
          <w:rtl/>
        </w:rPr>
        <w:t xml:space="preserve"> &gt;</w:t>
      </w:r>
      <w:r w:rsidRPr="00D276A0">
        <w:rPr>
          <w:rStyle w:val="aff4"/>
          <w:rFonts w:hint="cs"/>
          <w:rtl/>
        </w:rPr>
        <w:t>מגן א</w:t>
      </w:r>
      <w:r>
        <w:rPr>
          <w:rStyle w:val="aff4"/>
          <w:rFonts w:hint="cs"/>
          <w:rtl/>
        </w:rPr>
        <w:t>בות</w:t>
      </w:r>
      <w:r w:rsidRPr="008A611A">
        <w:rPr>
          <w:rFonts w:hint="cs"/>
          <w:vanish/>
          <w:rtl/>
        </w:rPr>
        <w:t>-</w:t>
      </w:r>
      <w:r w:rsidRPr="00DF0FA9">
        <w:rPr>
          <w:rFonts w:hint="cs"/>
          <w:rtl/>
        </w:rPr>
        <w:t xml:space="preserve"> </w:t>
      </w:r>
      <w:r w:rsidRPr="009D7E0D">
        <w:rPr>
          <w:rStyle w:val="af2"/>
          <w:rFonts w:eastAsia="Guttman Hodes" w:hint="cs"/>
          <w:rtl/>
        </w:rPr>
        <w:t>(הזורע ד"ה ולכאורה)</w:t>
      </w:r>
      <w:bookmarkEnd w:id="500"/>
      <w:r w:rsidRPr="008A611A">
        <w:rPr>
          <w:rFonts w:hint="cs"/>
          <w:vanish/>
          <w:rtl/>
        </w:rPr>
        <w:t>=</w:t>
      </w:r>
      <w:r>
        <w:rPr>
          <w:rFonts w:hint="cs"/>
          <w:rtl/>
        </w:rPr>
        <w:t xml:space="preserve"> דבפשטות כמו דתנן לקמן </w:t>
      </w:r>
      <w:r w:rsidRPr="009D7E0D">
        <w:rPr>
          <w:rStyle w:val="af2"/>
          <w:rFonts w:eastAsia="Guttman Hodes" w:hint="cs"/>
          <w:rtl/>
        </w:rPr>
        <w:t>(צה.)</w:t>
      </w:r>
      <w:r>
        <w:rPr>
          <w:rFonts w:hint="cs"/>
          <w:rtl/>
        </w:rPr>
        <w:t xml:space="preserve"> דהתולש מעציץ שאינו נקוב פטור, ה"ה הזורע פטור, אך כתב </w:t>
      </w:r>
      <w:r w:rsidRPr="009D7E0D">
        <w:rPr>
          <w:rStyle w:val="aff4"/>
          <w:rFonts w:hint="cs"/>
          <w:vanish/>
          <w:rtl/>
        </w:rPr>
        <w:t>-</w:t>
      </w:r>
      <w:r w:rsidRPr="009D7E0D">
        <w:rPr>
          <w:rStyle w:val="aff4"/>
          <w:rFonts w:hint="cs"/>
          <w:rtl/>
        </w:rPr>
        <w:t>המגן אבות</w:t>
      </w:r>
      <w:r w:rsidRPr="009D7E0D">
        <w:rPr>
          <w:rStyle w:val="aff4"/>
          <w:rFonts w:hint="cs"/>
          <w:vanish/>
          <w:rtl/>
        </w:rPr>
        <w:t>-</w:t>
      </w:r>
      <w:r>
        <w:rPr>
          <w:rFonts w:hint="cs"/>
          <w:rtl/>
        </w:rPr>
        <w:t xml:space="preserve"> דאפש"ל דרק תולש פטור כמו דמצינו בגמ' לעיל </w:t>
      </w:r>
      <w:r w:rsidRPr="009D7E0D">
        <w:rPr>
          <w:rStyle w:val="af2"/>
          <w:rFonts w:eastAsia="Guttman Hodes" w:hint="cs"/>
          <w:rtl/>
        </w:rPr>
        <w:t>(נ.)</w:t>
      </w:r>
      <w:r>
        <w:rPr>
          <w:rFonts w:hint="cs"/>
          <w:rtl/>
        </w:rPr>
        <w:t xml:space="preserve"> דהטומן </w:t>
      </w:r>
      <w:r>
        <w:rPr>
          <w:rFonts w:hint="cs"/>
          <w:rtl/>
        </w:rPr>
        <w:lastRenderedPageBreak/>
        <w:t xml:space="preserve">לפת שלא השרישה פטור אף דתלשה מהקרקע, וה"ה בעציץ שאינו נקוב דאינו מחובר, אך דחה </w:t>
      </w:r>
      <w:r w:rsidRPr="009D7E0D">
        <w:rPr>
          <w:rStyle w:val="aff4"/>
          <w:rFonts w:hint="cs"/>
          <w:vanish/>
          <w:rtl/>
        </w:rPr>
        <w:t>-</w:t>
      </w:r>
      <w:r w:rsidRPr="009D7E0D">
        <w:rPr>
          <w:rStyle w:val="aff4"/>
          <w:rFonts w:hint="cs"/>
          <w:rtl/>
        </w:rPr>
        <w:t>המגן אבות</w:t>
      </w:r>
      <w:r w:rsidRPr="009D7E0D">
        <w:rPr>
          <w:rStyle w:val="aff4"/>
          <w:rFonts w:hint="cs"/>
          <w:vanish/>
          <w:rtl/>
        </w:rPr>
        <w:t>-</w:t>
      </w:r>
      <w:r>
        <w:rPr>
          <w:rFonts w:hint="cs"/>
          <w:rtl/>
        </w:rPr>
        <w:t xml:space="preserve"> דבעציץ שאינו נקוב א"א לחלק בין תליש לזריעה, וציין לדברי </w:t>
      </w:r>
      <w:r w:rsidRPr="009D7E0D">
        <w:rPr>
          <w:rStyle w:val="aff4"/>
          <w:rFonts w:hint="cs"/>
          <w:vanish/>
          <w:rtl/>
        </w:rPr>
        <w:t>-</w:t>
      </w:r>
      <w:r w:rsidRPr="009D7E0D">
        <w:rPr>
          <w:rStyle w:val="aff4"/>
          <w:rFonts w:hint="cs"/>
          <w:rtl/>
        </w:rPr>
        <w:t>ה</w:t>
      </w:r>
      <w:r w:rsidRPr="009D7E0D">
        <w:rPr>
          <w:rStyle w:val="aff4"/>
          <w:rFonts w:hint="cs"/>
          <w:vanish/>
          <w:rtl/>
        </w:rPr>
        <w:t>&lt; &gt;</w:t>
      </w:r>
      <w:r w:rsidRPr="009D7E0D">
        <w:rPr>
          <w:rStyle w:val="aff4"/>
          <w:rFonts w:hint="cs"/>
          <w:rtl/>
        </w:rPr>
        <w:t>הג' אשר"י לקמן</w:t>
      </w:r>
      <w:r w:rsidRPr="009D7E0D">
        <w:rPr>
          <w:rStyle w:val="aff4"/>
          <w:rFonts w:hint="cs"/>
          <w:vanish/>
          <w:rtl/>
        </w:rPr>
        <w:t>-</w:t>
      </w:r>
      <w:r>
        <w:rPr>
          <w:rFonts w:hint="cs"/>
          <w:rtl/>
        </w:rPr>
        <w:t xml:space="preserve"> </w:t>
      </w:r>
      <w:r w:rsidRPr="009D7E0D">
        <w:rPr>
          <w:rStyle w:val="af2"/>
          <w:rFonts w:eastAsia="Guttman Hodes" w:hint="cs"/>
          <w:rtl/>
        </w:rPr>
        <w:t>(על הרא"ש פ"ח סי' ב')</w:t>
      </w:r>
      <w:r w:rsidRPr="003A6EA6">
        <w:rPr>
          <w:rFonts w:hint="cs"/>
          <w:vanish/>
          <w:rtl/>
        </w:rPr>
        <w:t>=</w:t>
      </w:r>
      <w:r>
        <w:rPr>
          <w:rFonts w:hint="cs"/>
          <w:rtl/>
        </w:rPr>
        <w:t xml:space="preserve"> דדימה תלישה לנטיעה בעציץ שאינו נקוב, ועי' במ"ש בזה </w:t>
      </w:r>
      <w:r w:rsidRPr="008E71DC">
        <w:rPr>
          <w:rStyle w:val="aff4"/>
          <w:rFonts w:hint="cs"/>
          <w:vanish/>
          <w:rtl/>
        </w:rPr>
        <w:t>-</w:t>
      </w:r>
      <w:r w:rsidRPr="008E71DC">
        <w:rPr>
          <w:rStyle w:val="aff4"/>
          <w:rFonts w:hint="cs"/>
          <w:rtl/>
        </w:rPr>
        <w:t>הרמב"ם בתשו'</w:t>
      </w:r>
      <w:r w:rsidRPr="008E71DC">
        <w:rPr>
          <w:rStyle w:val="aff4"/>
          <w:rFonts w:hint="cs"/>
          <w:vanish/>
          <w:rtl/>
        </w:rPr>
        <w:t>-</w:t>
      </w:r>
      <w:r>
        <w:rPr>
          <w:rFonts w:hint="cs"/>
          <w:rtl/>
        </w:rPr>
        <w:t xml:space="preserve"> </w:t>
      </w:r>
      <w:r w:rsidRPr="008E71DC">
        <w:rPr>
          <w:rStyle w:val="af2"/>
          <w:rFonts w:eastAsia="Guttman Hodes" w:hint="cs"/>
          <w:rtl/>
        </w:rPr>
        <w:t xml:space="preserve">(עי' אות </w:t>
      </w:r>
      <w:r w:rsidRPr="008E71DC">
        <w:rPr>
          <w:rStyle w:val="af2"/>
          <w:rFonts w:eastAsia="Guttman Hodes"/>
          <w:rtl/>
        </w:rPr>
        <w:fldChar w:fldCharType="begin"/>
      </w:r>
      <w:r w:rsidRPr="008E71DC">
        <w:rPr>
          <w:rStyle w:val="af2"/>
          <w:rFonts w:eastAsia="Guttman Hodes"/>
          <w:rtl/>
        </w:rPr>
        <w:instrText xml:space="preserve"> </w:instrText>
      </w:r>
      <w:r w:rsidRPr="008E71DC">
        <w:rPr>
          <w:rStyle w:val="af2"/>
          <w:rFonts w:eastAsia="Guttman Hodes" w:hint="cs"/>
        </w:rPr>
        <w:instrText>REF</w:instrText>
      </w:r>
      <w:r w:rsidRPr="008E71DC">
        <w:rPr>
          <w:rStyle w:val="af2"/>
          <w:rFonts w:eastAsia="Guttman Hodes" w:hint="cs"/>
          <w:rtl/>
        </w:rPr>
        <w:instrText xml:space="preserve"> _</w:instrText>
      </w:r>
      <w:r w:rsidRPr="008E71DC">
        <w:rPr>
          <w:rStyle w:val="af2"/>
          <w:rFonts w:eastAsia="Guttman Hodes" w:hint="cs"/>
        </w:rPr>
        <w:instrText>Ref133836607 \r \h</w:instrText>
      </w:r>
      <w:r w:rsidRPr="008E71DC">
        <w:rPr>
          <w:rStyle w:val="af2"/>
          <w:rFonts w:eastAsia="Guttman Hodes"/>
          <w:rtl/>
        </w:rPr>
        <w:instrText xml:space="preserve"> </w:instrText>
      </w:r>
      <w:r w:rsidRPr="008E71DC">
        <w:rPr>
          <w:rStyle w:val="af2"/>
          <w:rFonts w:eastAsia="Guttman Hodes"/>
          <w:rtl/>
        </w:rPr>
      </w:r>
      <w:r w:rsidRPr="008E71DC">
        <w:rPr>
          <w:rStyle w:val="af2"/>
          <w:rFonts w:eastAsia="Guttman Hodes"/>
          <w:rtl/>
        </w:rPr>
        <w:fldChar w:fldCharType="separate"/>
      </w:r>
      <w:r w:rsidR="00D82181">
        <w:rPr>
          <w:rStyle w:val="af2"/>
          <w:rFonts w:eastAsia="Guttman Hodes"/>
          <w:cs/>
        </w:rPr>
        <w:t>‎</w:t>
      </w:r>
      <w:r w:rsidR="00D82181">
        <w:rPr>
          <w:rStyle w:val="af2"/>
          <w:rFonts w:eastAsia="Guttman Hodes"/>
          <w:rtl/>
        </w:rPr>
        <w:t>פד)</w:t>
      </w:r>
      <w:r w:rsidRPr="008E71DC">
        <w:rPr>
          <w:rStyle w:val="af2"/>
          <w:rFonts w:eastAsia="Guttman Hodes"/>
          <w:rtl/>
        </w:rPr>
        <w:fldChar w:fldCharType="end"/>
      </w:r>
      <w:r>
        <w:rPr>
          <w:rFonts w:hint="cs"/>
          <w:rtl/>
        </w:rPr>
        <w:t xml:space="preserve"> וע"ע בהערה</w:t>
      </w:r>
      <w:r w:rsidRPr="008E71DC">
        <w:rPr>
          <w:vertAlign w:val="superscript"/>
          <w:rtl/>
        </w:rPr>
        <w:fldChar w:fldCharType="begin"/>
      </w:r>
      <w:r w:rsidRPr="008E71DC">
        <w:rPr>
          <w:vertAlign w:val="superscript"/>
          <w:rtl/>
        </w:rPr>
        <w:instrText xml:space="preserve"> </w:instrText>
      </w:r>
      <w:r w:rsidRPr="008E71DC">
        <w:rPr>
          <w:rFonts w:hint="cs"/>
          <w:vertAlign w:val="superscript"/>
        </w:rPr>
        <w:instrText>NOTEREF</w:instrText>
      </w:r>
      <w:r w:rsidRPr="008E71DC">
        <w:rPr>
          <w:rFonts w:hint="cs"/>
          <w:vertAlign w:val="superscript"/>
          <w:rtl/>
        </w:rPr>
        <w:instrText xml:space="preserve"> _</w:instrText>
      </w:r>
      <w:r w:rsidRPr="008E71DC">
        <w:rPr>
          <w:rFonts w:hint="cs"/>
          <w:vertAlign w:val="superscript"/>
        </w:rPr>
        <w:instrText>Ref133836618 \h</w:instrText>
      </w:r>
      <w:r w:rsidRPr="008E71DC">
        <w:rPr>
          <w:vertAlign w:val="superscript"/>
          <w:rtl/>
        </w:rPr>
        <w:instrText xml:space="preserve"> </w:instrText>
      </w:r>
      <w:r>
        <w:rPr>
          <w:vertAlign w:val="superscript"/>
          <w:rtl/>
        </w:rPr>
        <w:instrText xml:space="preserve"> \* </w:instrText>
      </w:r>
      <w:r>
        <w:rPr>
          <w:vertAlign w:val="superscript"/>
        </w:rPr>
        <w:instrText>MERGEFORMAT</w:instrText>
      </w:r>
      <w:r>
        <w:rPr>
          <w:vertAlign w:val="superscript"/>
          <w:rtl/>
        </w:rPr>
        <w:instrText xml:space="preserve"> </w:instrText>
      </w:r>
      <w:r w:rsidRPr="008E71DC">
        <w:rPr>
          <w:vertAlign w:val="superscript"/>
          <w:rtl/>
        </w:rPr>
      </w:r>
      <w:r w:rsidRPr="008E71DC">
        <w:rPr>
          <w:vertAlign w:val="superscript"/>
          <w:rtl/>
        </w:rPr>
        <w:fldChar w:fldCharType="separate"/>
      </w:r>
      <w:r w:rsidR="00D82181">
        <w:rPr>
          <w:vertAlign w:val="superscript"/>
          <w:rtl/>
        </w:rPr>
        <w:t>1</w:t>
      </w:r>
      <w:r w:rsidRPr="008E71DC">
        <w:rPr>
          <w:vertAlign w:val="superscript"/>
          <w:rtl/>
        </w:rPr>
        <w:fldChar w:fldCharType="end"/>
      </w:r>
      <w:r>
        <w:rPr>
          <w:rFonts w:hint="cs"/>
          <w:rtl/>
        </w:rPr>
        <w:t>.</w:t>
      </w:r>
    </w:p>
    <w:p w14:paraId="6E6A74B1" w14:textId="77777777" w:rsidR="009623A2" w:rsidRPr="00747170" w:rsidRDefault="009623A2" w:rsidP="00747170">
      <w:pPr>
        <w:pStyle w:val="a2"/>
      </w:pPr>
      <w:r w:rsidRPr="00747170">
        <w:rPr>
          <w:rtl/>
        </w:rPr>
        <w:t>ולכאורה בזורע בעציץ שאינו נקוב כמו שהת</w:t>
      </w:r>
      <w:r w:rsidRPr="00747170">
        <w:rPr>
          <w:rFonts w:hint="cs"/>
          <w:rtl/>
        </w:rPr>
        <w:t>ול</w:t>
      </w:r>
      <w:r w:rsidRPr="00747170">
        <w:rPr>
          <w:rtl/>
        </w:rPr>
        <w:t xml:space="preserve">ש משם אין חייב כדלקמן </w:t>
      </w:r>
      <w:r w:rsidRPr="00747170">
        <w:rPr>
          <w:rFonts w:hint="cs"/>
          <w:rtl/>
        </w:rPr>
        <w:t>(</w:t>
      </w:r>
      <w:r w:rsidRPr="00747170">
        <w:rPr>
          <w:rtl/>
        </w:rPr>
        <w:t>דף צ"ה ע"א</w:t>
      </w:r>
      <w:r w:rsidRPr="00747170">
        <w:rPr>
          <w:rFonts w:hint="cs"/>
          <w:rtl/>
        </w:rPr>
        <w:t>)</w:t>
      </w:r>
      <w:r w:rsidRPr="00747170">
        <w:rPr>
          <w:rtl/>
        </w:rPr>
        <w:t xml:space="preserve"> כן הזורע שם אינו חייב</w:t>
      </w:r>
      <w:r w:rsidRPr="00747170">
        <w:rPr>
          <w:rFonts w:hint="cs"/>
          <w:rtl/>
        </w:rPr>
        <w:t>,</w:t>
      </w:r>
      <w:r w:rsidRPr="00747170">
        <w:rPr>
          <w:rtl/>
        </w:rPr>
        <w:t xml:space="preserve"> ויש לדחות גם כן דדלמא אין ללמוד זריעה מתלישה ר"ל אף על גב דלא הוי תלישה ממנו תלישה מכל מקום הזורע שם חייב</w:t>
      </w:r>
      <w:r w:rsidRPr="00747170">
        <w:rPr>
          <w:rFonts w:hint="cs"/>
          <w:rtl/>
        </w:rPr>
        <w:t>,</w:t>
      </w:r>
      <w:r w:rsidRPr="00747170">
        <w:rPr>
          <w:rtl/>
        </w:rPr>
        <w:t xml:space="preserve"> כמו ד</w:t>
      </w:r>
      <w:r w:rsidRPr="00747170">
        <w:rPr>
          <w:rFonts w:hint="cs"/>
          <w:rtl/>
        </w:rPr>
        <w:t>צ</w:t>
      </w:r>
      <w:r w:rsidRPr="00747170">
        <w:rPr>
          <w:rtl/>
        </w:rPr>
        <w:t xml:space="preserve">ריך לומר </w:t>
      </w:r>
      <w:r w:rsidRPr="00747170">
        <w:rPr>
          <w:rFonts w:hint="cs"/>
          <w:rtl/>
        </w:rPr>
        <w:t>ד</w:t>
      </w:r>
      <w:r w:rsidRPr="00747170">
        <w:rPr>
          <w:rtl/>
        </w:rPr>
        <w:t>תלישה כל זמן שלא השריש אין חייב משום תולש כדלעיל בלפת וחייב בזורע מיד קודם שהשריש</w:t>
      </w:r>
      <w:r w:rsidRPr="00747170">
        <w:rPr>
          <w:rFonts w:hint="cs"/>
          <w:rtl/>
        </w:rPr>
        <w:t>,</w:t>
      </w:r>
      <w:r w:rsidRPr="00747170">
        <w:rPr>
          <w:rtl/>
        </w:rPr>
        <w:t xml:space="preserve"> ויש לדחות דלענין עציץ שאינו נקוב אין לחלק בין תלישה לזריעה</w:t>
      </w:r>
      <w:r w:rsidRPr="00747170">
        <w:rPr>
          <w:rFonts w:hint="cs"/>
          <w:rtl/>
        </w:rPr>
        <w:t>,</w:t>
      </w:r>
      <w:r w:rsidRPr="00747170">
        <w:rPr>
          <w:rtl/>
        </w:rPr>
        <w:t xml:space="preserve"> ולא דמי כלל להך דלא השריש</w:t>
      </w:r>
      <w:r w:rsidRPr="00747170">
        <w:rPr>
          <w:rFonts w:hint="cs"/>
          <w:rtl/>
        </w:rPr>
        <w:t>.</w:t>
      </w:r>
      <w:r w:rsidRPr="00747170">
        <w:rPr>
          <w:rtl/>
        </w:rPr>
        <w:t xml:space="preserve"> והחילוק מבואר וק"ל</w:t>
      </w:r>
      <w:r w:rsidRPr="00747170">
        <w:rPr>
          <w:rFonts w:hint="cs"/>
          <w:rtl/>
        </w:rPr>
        <w:t xml:space="preserve">. </w:t>
      </w:r>
      <w:r w:rsidRPr="00747170">
        <w:rPr>
          <w:rStyle w:val="afff7"/>
          <w:rFonts w:hint="cs"/>
          <w:rtl/>
        </w:rPr>
        <w:t>[</w:t>
      </w:r>
      <w:r w:rsidRPr="00747170">
        <w:rPr>
          <w:rStyle w:val="afff7"/>
          <w:rtl/>
        </w:rPr>
        <w:t xml:space="preserve">ועיין בהגהת אשר"י שבת דף פ"ב ע"ב בסופו דנקט נטיעה ותלישא בחרא מחתא משמע </w:t>
      </w:r>
      <w:r w:rsidRPr="00747170">
        <w:rPr>
          <w:rStyle w:val="afff7"/>
          <w:rFonts w:hint="cs"/>
          <w:rtl/>
        </w:rPr>
        <w:t>ד</w:t>
      </w:r>
      <w:r w:rsidRPr="00747170">
        <w:rPr>
          <w:rStyle w:val="afff7"/>
          <w:rtl/>
        </w:rPr>
        <w:t>אין חילוק</w:t>
      </w:r>
      <w:r w:rsidRPr="00747170">
        <w:rPr>
          <w:rStyle w:val="afff7"/>
          <w:rFonts w:hint="cs"/>
          <w:rtl/>
        </w:rPr>
        <w:t>].</w:t>
      </w:r>
    </w:p>
    <w:p w14:paraId="050BA1BE" w14:textId="2E35C236" w:rsidR="009623A2" w:rsidRPr="00A5140E" w:rsidRDefault="009623A2" w:rsidP="009623A2">
      <w:pPr>
        <w:pStyle w:val="1"/>
      </w:pPr>
      <w:bookmarkStart w:id="501" w:name="_Toc134419715"/>
      <w:r>
        <w:rPr>
          <w:rFonts w:hint="cs"/>
          <w:rtl/>
        </w:rPr>
        <w:t>בי' הנשמ"א דלרמב"ם זורע בעציץ שאינו נקוב להצמיח חייב</w:t>
      </w:r>
      <w:bookmarkEnd w:id="501"/>
    </w:p>
    <w:p w14:paraId="2A4897D1" w14:textId="77777777" w:rsidR="009623A2" w:rsidRDefault="009623A2" w:rsidP="009623A2">
      <w:pPr>
        <w:pStyle w:val="afffff7"/>
        <w:rPr>
          <w:rtl/>
        </w:rPr>
      </w:pPr>
      <w:bookmarkStart w:id="502" w:name="_Toc133841703"/>
      <w:bookmarkStart w:id="503" w:name="_Toc163505453"/>
      <w:r w:rsidRPr="00601ADD">
        <w:rPr>
          <w:rtl/>
        </w:rPr>
        <w:t xml:space="preserve">נשמת אדם הלכות שבת כלל יא </w:t>
      </w:r>
      <w:r w:rsidRPr="00601ADD">
        <w:rPr>
          <w:rFonts w:hint="cs"/>
          <w:rtl/>
        </w:rPr>
        <w:t>אות</w:t>
      </w:r>
      <w:r w:rsidRPr="00601ADD">
        <w:rPr>
          <w:rtl/>
        </w:rPr>
        <w:t xml:space="preserve"> א</w:t>
      </w:r>
      <w:r>
        <w:rPr>
          <w:rFonts w:hint="cs"/>
          <w:rtl/>
        </w:rPr>
        <w:t xml:space="preserve"> ד"ה והנה</w:t>
      </w:r>
      <w:bookmarkEnd w:id="502"/>
      <w:bookmarkEnd w:id="503"/>
    </w:p>
    <w:p w14:paraId="3DF503B1" w14:textId="77777777" w:rsidR="009623A2" w:rsidRPr="006F5BD7" w:rsidRDefault="009623A2" w:rsidP="009623A2">
      <w:pPr>
        <w:pStyle w:val="a7"/>
        <w:ind w:left="2160" w:hanging="2160"/>
        <w:rPr>
          <w:rtl/>
        </w:rPr>
      </w:pPr>
      <w:bookmarkStart w:id="504" w:name="_Toc134419716"/>
      <w:r>
        <w:rPr>
          <w:rFonts w:hint="cs"/>
          <w:rtl/>
        </w:rPr>
        <w:t>בי' הנשמ"א דהא דהתולש מעציץ שאינו נקוב פטור הוא כיון דאין דרך לגדל כך ול"ה מחובה</w:t>
      </w:r>
      <w:bookmarkEnd w:id="504"/>
    </w:p>
    <w:p w14:paraId="7B9B842D" w14:textId="1289DDFB" w:rsidR="009623A2" w:rsidRDefault="009623A2" w:rsidP="00BC7DC8">
      <w:pPr>
        <w:pStyle w:val="a3"/>
        <w:rPr>
          <w:rtl/>
        </w:rPr>
      </w:pPr>
      <w:bookmarkStart w:id="505" w:name="_Ref133575405"/>
      <w:r>
        <w:rPr>
          <w:rFonts w:hint="cs"/>
          <w:rtl/>
        </w:rPr>
        <w:t xml:space="preserve">כתב </w:t>
      </w:r>
      <w:r w:rsidRPr="00C444C9">
        <w:rPr>
          <w:rStyle w:val="aff4"/>
          <w:rFonts w:hint="cs"/>
          <w:vanish/>
          <w:rtl/>
        </w:rPr>
        <w:t>-</w:t>
      </w:r>
      <w:r w:rsidRPr="004F32D2">
        <w:rPr>
          <w:rStyle w:val="aff4"/>
          <w:rFonts w:hint="cs"/>
          <w:rtl/>
        </w:rPr>
        <w:t>ה</w:t>
      </w:r>
      <w:r w:rsidRPr="00C444C9">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Ref133575405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קיח)</w:t>
      </w:r>
      <w:r>
        <w:rPr>
          <w:rStyle w:val="aff4"/>
          <w:vanish/>
          <w:rtl/>
        </w:rPr>
        <w:fldChar w:fldCharType="end"/>
      </w:r>
      <w:r w:rsidRPr="00C444C9">
        <w:rPr>
          <w:rStyle w:val="aff4"/>
          <w:rFonts w:hint="cs"/>
          <w:vanish/>
          <w:rtl/>
        </w:rPr>
        <w:t xml:space="preserve"> &gt;</w:t>
      </w:r>
      <w:r w:rsidRPr="004F32D2">
        <w:rPr>
          <w:rStyle w:val="aff4"/>
          <w:rFonts w:hint="cs"/>
          <w:rtl/>
        </w:rPr>
        <w:t>נשמת אדם</w:t>
      </w:r>
      <w:r w:rsidRPr="00C444C9">
        <w:rPr>
          <w:rStyle w:val="aff4"/>
          <w:rFonts w:hint="cs"/>
          <w:vanish/>
          <w:rtl/>
        </w:rPr>
        <w:t>-</w:t>
      </w:r>
      <w:r>
        <w:rPr>
          <w:rFonts w:hint="cs"/>
          <w:rtl/>
        </w:rPr>
        <w:t xml:space="preserve"> </w:t>
      </w:r>
      <w:r w:rsidRPr="002A0D0C">
        <w:rPr>
          <w:rStyle w:val="af2"/>
          <w:rFonts w:eastAsia="Guttman Hodes" w:hint="cs"/>
          <w:rtl/>
        </w:rPr>
        <w:t xml:space="preserve">(שבת כלל י"א אות א' ד"ה </w:t>
      </w:r>
      <w:r w:rsidRPr="002A0D0C">
        <w:rPr>
          <w:rStyle w:val="af2"/>
          <w:rFonts w:eastAsia="Guttman Hodes"/>
          <w:rtl/>
        </w:rPr>
        <w:t>וה</w:t>
      </w:r>
      <w:r w:rsidRPr="002A0D0C">
        <w:rPr>
          <w:rStyle w:val="af2"/>
          <w:rFonts w:eastAsia="Guttman Hodes" w:hint="cs"/>
          <w:rtl/>
        </w:rPr>
        <w:t>נ</w:t>
      </w:r>
      <w:r w:rsidRPr="002A0D0C">
        <w:rPr>
          <w:rStyle w:val="af2"/>
          <w:rFonts w:eastAsia="Guttman Hodes"/>
          <w:rtl/>
        </w:rPr>
        <w:t>ה</w:t>
      </w:r>
      <w:r w:rsidRPr="002A0D0C">
        <w:rPr>
          <w:rStyle w:val="af2"/>
          <w:rFonts w:eastAsia="Guttman Hodes" w:hint="cs"/>
          <w:rtl/>
        </w:rPr>
        <w:t>)</w:t>
      </w:r>
      <w:r w:rsidRPr="00350A80">
        <w:rPr>
          <w:rFonts w:hint="cs"/>
          <w:vanish/>
          <w:rtl/>
        </w:rPr>
        <w:t>=</w:t>
      </w:r>
      <w:r>
        <w:rPr>
          <w:rFonts w:hint="cs"/>
          <w:rtl/>
        </w:rPr>
        <w:t xml:space="preserve"> דלא מצינו מה הדין בזורע בשבת בעציץ שאינו נקוב, ורק בתולש מעציץ שאינו נקוב תנן לקמן </w:t>
      </w:r>
      <w:r w:rsidRPr="002A0D0C">
        <w:rPr>
          <w:rStyle w:val="af2"/>
          <w:rFonts w:eastAsia="Guttman Hodes" w:hint="cs"/>
          <w:rtl/>
        </w:rPr>
        <w:t>(צה.)</w:t>
      </w:r>
      <w:r>
        <w:rPr>
          <w:rFonts w:hint="cs"/>
          <w:rtl/>
        </w:rPr>
        <w:t xml:space="preserve"> דהוא פטור, וכתב </w:t>
      </w:r>
      <w:r w:rsidRPr="00C444C9">
        <w:rPr>
          <w:rStyle w:val="aff4"/>
          <w:rFonts w:hint="cs"/>
          <w:vanish/>
          <w:rtl/>
        </w:rPr>
        <w:t>-</w:t>
      </w:r>
      <w:r w:rsidRPr="004F32D2">
        <w:rPr>
          <w:rStyle w:val="aff4"/>
          <w:rFonts w:hint="cs"/>
          <w:rtl/>
        </w:rPr>
        <w:t>הנשמת אדם</w:t>
      </w:r>
      <w:r w:rsidRPr="00C444C9">
        <w:rPr>
          <w:rStyle w:val="aff4"/>
          <w:rFonts w:hint="cs"/>
          <w:vanish/>
          <w:rtl/>
        </w:rPr>
        <w:t>-</w:t>
      </w:r>
      <w:r>
        <w:rPr>
          <w:rFonts w:hint="cs"/>
          <w:rtl/>
        </w:rPr>
        <w:t xml:space="preserve"> דמסתבר דכל הפטור רק לענין תולש ולא לענין זורע, כיון דחיוב תולש הוא רק מדבר המחובר לקרקע, ועציץ שאינו נקוב לא נקרא מחובר, כמבואר בגמ' לקמן </w:t>
      </w:r>
      <w:r w:rsidRPr="002A0D0C">
        <w:rPr>
          <w:rStyle w:val="af2"/>
          <w:rFonts w:eastAsia="Guttman Hodes" w:hint="cs"/>
          <w:rtl/>
        </w:rPr>
        <w:t>(קז:)</w:t>
      </w:r>
      <w:r>
        <w:rPr>
          <w:rFonts w:hint="cs"/>
          <w:rtl/>
        </w:rPr>
        <w:t xml:space="preserve"> דהתולש פיטרא מאונא דחצבא חייב משום עוקר דבר מגידולו, כיון דדרך גידולו שם ולא דמי לעציץ שאינו נקוב, וביאר </w:t>
      </w:r>
      <w:r w:rsidRPr="00C444C9">
        <w:rPr>
          <w:rStyle w:val="aff4"/>
          <w:rFonts w:hint="cs"/>
          <w:vanish/>
          <w:rtl/>
        </w:rPr>
        <w:t>-</w:t>
      </w:r>
      <w:r w:rsidRPr="004F32D2">
        <w:rPr>
          <w:rStyle w:val="aff4"/>
          <w:rFonts w:hint="cs"/>
          <w:rtl/>
        </w:rPr>
        <w:t>רש"י לקמן</w:t>
      </w:r>
      <w:r w:rsidRPr="00C444C9">
        <w:rPr>
          <w:rStyle w:val="aff4"/>
          <w:rFonts w:hint="cs"/>
          <w:vanish/>
          <w:rtl/>
        </w:rPr>
        <w:t>-</w:t>
      </w:r>
      <w:r>
        <w:rPr>
          <w:rFonts w:hint="cs"/>
          <w:rtl/>
        </w:rPr>
        <w:t xml:space="preserve"> </w:t>
      </w:r>
      <w:r w:rsidRPr="002A0D0C">
        <w:rPr>
          <w:rStyle w:val="af2"/>
          <w:rFonts w:eastAsia="Guttman Hodes" w:hint="cs"/>
          <w:rtl/>
        </w:rPr>
        <w:t>(קח. ד"ה לאו)</w:t>
      </w:r>
      <w:r>
        <w:rPr>
          <w:rFonts w:hint="cs"/>
          <w:rtl/>
        </w:rPr>
        <w:t xml:space="preserve"> דאין דרך לזרוע בעציץ שאינו נקוב, וכתב </w:t>
      </w:r>
      <w:r w:rsidRPr="00C444C9">
        <w:rPr>
          <w:rStyle w:val="aff4"/>
          <w:rFonts w:hint="cs"/>
          <w:vanish/>
          <w:rtl/>
        </w:rPr>
        <w:t>-</w:t>
      </w:r>
      <w:r w:rsidRPr="004F32D2">
        <w:rPr>
          <w:rStyle w:val="aff4"/>
          <w:rFonts w:hint="cs"/>
          <w:rtl/>
        </w:rPr>
        <w:t>הנשמת אדם</w:t>
      </w:r>
      <w:r w:rsidRPr="00C444C9">
        <w:rPr>
          <w:rStyle w:val="aff4"/>
          <w:rFonts w:hint="cs"/>
          <w:vanish/>
          <w:rtl/>
        </w:rPr>
        <w:t>-</w:t>
      </w:r>
      <w:r>
        <w:rPr>
          <w:rFonts w:hint="cs"/>
          <w:rtl/>
        </w:rPr>
        <w:t xml:space="preserve"> דמבואר דדבר שדרך גידולו בכך הוא נקרא מחובר, וכיון דאין דרך לזרוע בעציץ שאינו נקוב, א"כ לא חשיב מחובר ולכן התולש ממנו פטור, דדמי לחותך מדבר תלוש דפטור.</w:t>
      </w:r>
      <w:bookmarkEnd w:id="505"/>
    </w:p>
    <w:p w14:paraId="182A9B40" w14:textId="77777777" w:rsidR="009623A2" w:rsidRPr="00747170" w:rsidRDefault="009623A2" w:rsidP="00747170">
      <w:pPr>
        <w:pStyle w:val="a2"/>
      </w:pPr>
      <w:r w:rsidRPr="00747170">
        <w:rPr>
          <w:rtl/>
        </w:rPr>
        <w:t>והנה לא מצינו דין זה לענין שבת הזורע בעציץ שאינו נקוב אם חייב, ולא מצינו אלא לענין תולש מעציץ שאינו נקוב דפטור כדאיתא סוף פרק המצניע, ולא אמרו הזורע בעציץ שאינו נקוב. ומסתברא דחייב, דדוקא בתולש דאינו חייב אלא בדבר שהוא מחובר לקרקע, כדאיתא לקמן (בכלל ג') [כלל י"ב סי' א' וב'], ובעציץ שאינו נקוב לא הוי מחובר, כדאיתא בשבת דף (קח) [קז, ב] האי מאן דתלש פיטרא מאונא דחצבא חייב משום עוקר דבר מגידולו, פרש"י פטריות שגדל בשפת הדלי ממים, ומתיב רב אושעיא, התולש מעציץ שאינו נקוב פטור, פירש"י משום דלא מחובר בקרקע עולם הוא, ומשני התם לאו היינו רביתא, פרש"י דאין דרך זריעה שם, הכא היינו רביתא, ע"ש. הרי דדוקא מה שדרך לגדל מאיליו קרי מחובר, ובעציץ שאינו נקוב אינו קרוי זריעה, כיון דאין דרך זריעה שם והוי כתלוש ודומה למחתך התלוש דפטור</w:t>
      </w:r>
      <w:r w:rsidRPr="00747170">
        <w:rPr>
          <w:rFonts w:hint="cs"/>
          <w:rtl/>
        </w:rPr>
        <w:t>.</w:t>
      </w:r>
    </w:p>
    <w:p w14:paraId="3592A51E" w14:textId="2F3E75F5" w:rsidR="009623A2" w:rsidRPr="00890410" w:rsidRDefault="009623A2" w:rsidP="009623A2">
      <w:pPr>
        <w:pStyle w:val="a7"/>
      </w:pPr>
      <w:bookmarkStart w:id="506" w:name="_Toc134419717"/>
      <w:r w:rsidRPr="006F5BD7">
        <w:rPr>
          <w:rtl/>
        </w:rPr>
        <w:t>בי' הנשמ"א דמסתבר דזורע בעציץ שאינו נקוב חייב</w:t>
      </w:r>
      <w:r>
        <w:rPr>
          <w:rFonts w:hint="cs"/>
          <w:rtl/>
        </w:rPr>
        <w:t xml:space="preserve"> דכוונתו להצמיח ודמי לשורה חיטין במים</w:t>
      </w:r>
      <w:bookmarkEnd w:id="506"/>
    </w:p>
    <w:p w14:paraId="55D53295" w14:textId="27B5FFE3" w:rsidR="009623A2" w:rsidRPr="00D46038" w:rsidRDefault="009623A2" w:rsidP="00BC7DC8">
      <w:pPr>
        <w:pStyle w:val="a3"/>
        <w:rPr>
          <w:rtl/>
        </w:rPr>
      </w:pPr>
      <w:bookmarkStart w:id="507" w:name="_Ref133836836"/>
      <w:r>
        <w:rPr>
          <w:rFonts w:hint="cs"/>
          <w:rtl/>
        </w:rPr>
        <w:t xml:space="preserve">אבל לענין זורע, כתב </w:t>
      </w:r>
      <w:r w:rsidRPr="00C444C9">
        <w:rPr>
          <w:rStyle w:val="aff4"/>
          <w:rFonts w:hint="cs"/>
          <w:vanish/>
          <w:rtl/>
        </w:rPr>
        <w:t>-</w:t>
      </w:r>
      <w:r w:rsidRPr="004F32D2">
        <w:rPr>
          <w:rStyle w:val="aff4"/>
          <w:rFonts w:hint="cs"/>
          <w:rtl/>
        </w:rPr>
        <w:t>הנשמת אדם</w:t>
      </w:r>
      <w:r w:rsidRPr="00C444C9">
        <w:rPr>
          <w:rStyle w:val="aff4"/>
          <w:rFonts w:hint="cs"/>
          <w:vanish/>
          <w:rtl/>
        </w:rPr>
        <w:t>-</w:t>
      </w:r>
      <w:r>
        <w:rPr>
          <w:rFonts w:hint="cs"/>
          <w:rtl/>
        </w:rPr>
        <w:t xml:space="preserve"> לומר דמסתבר לומר דהזורע בעציץ שאינו נקוב חייב, כיון החיוב בתולדת זורע הוא בכל דבר שכוונתו להצמיח, וא"כ אין כל חילוק בין עציץ נקוב, לעציץ שאינו נקוב, וה"ה בשורה חיטין במים ובכל דבר, דחייב משום תולדה, דהא התולדות עצמם לא היו במשכן וחייב עליהם כיון שהם דומים במקצת לאב, כדביאר </w:t>
      </w:r>
      <w:r w:rsidRPr="00C444C9">
        <w:rPr>
          <w:rStyle w:val="aff4"/>
          <w:rFonts w:hint="cs"/>
          <w:vanish/>
          <w:rtl/>
        </w:rPr>
        <w:t>-</w:t>
      </w:r>
      <w:r w:rsidRPr="004F32D2">
        <w:rPr>
          <w:rStyle w:val="aff4"/>
          <w:rFonts w:hint="cs"/>
          <w:rtl/>
        </w:rPr>
        <w:t>המ"מ</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Ref133836759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לח)</w:t>
      </w:r>
      <w:r>
        <w:rPr>
          <w:rStyle w:val="af2"/>
          <w:rFonts w:eastAsia="Guttman Hodes"/>
          <w:rtl/>
        </w:rPr>
        <w:fldChar w:fldCharType="end"/>
      </w:r>
      <w:r>
        <w:rPr>
          <w:rFonts w:hint="cs"/>
          <w:rtl/>
        </w:rPr>
        <w:t xml:space="preserve"> בדברי </w:t>
      </w:r>
      <w:r w:rsidRPr="00C444C9">
        <w:rPr>
          <w:rStyle w:val="aff4"/>
          <w:rFonts w:hint="cs"/>
          <w:vanish/>
          <w:rtl/>
        </w:rPr>
        <w:t>-</w:t>
      </w:r>
      <w:r w:rsidRPr="004F32D2">
        <w:rPr>
          <w:rStyle w:val="aff4"/>
          <w:rFonts w:hint="cs"/>
          <w:rtl/>
        </w:rPr>
        <w:t>הרמב"ם</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Ref130239677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כח)</w:t>
      </w:r>
      <w:r>
        <w:rPr>
          <w:rStyle w:val="af2"/>
          <w:rFonts w:eastAsia="Guttman Hodes"/>
          <w:rtl/>
        </w:rPr>
        <w:fldChar w:fldCharType="end"/>
      </w:r>
      <w:r>
        <w:rPr>
          <w:rFonts w:hint="cs"/>
          <w:rtl/>
        </w:rPr>
        <w:t xml:space="preserve">, ולכן כל השורה במים וכוונתו להצמיח חייב, והוסיף </w:t>
      </w:r>
      <w:r w:rsidRPr="00C444C9">
        <w:rPr>
          <w:rStyle w:val="aff4"/>
          <w:rFonts w:hint="cs"/>
          <w:vanish/>
          <w:rtl/>
        </w:rPr>
        <w:t>-</w:t>
      </w:r>
      <w:r w:rsidRPr="004F32D2">
        <w:rPr>
          <w:rStyle w:val="aff4"/>
          <w:rFonts w:hint="cs"/>
          <w:rtl/>
        </w:rPr>
        <w:t>הנשמת אדם</w:t>
      </w:r>
      <w:r w:rsidRPr="00C444C9">
        <w:rPr>
          <w:rStyle w:val="aff4"/>
          <w:rFonts w:hint="cs"/>
          <w:vanish/>
          <w:rtl/>
        </w:rPr>
        <w:t>-</w:t>
      </w:r>
      <w:r>
        <w:rPr>
          <w:rFonts w:hint="cs"/>
          <w:rtl/>
        </w:rPr>
        <w:t xml:space="preserve"> דהא דאיתא בגמ' במנחות </w:t>
      </w:r>
      <w:r w:rsidRPr="002A0D0C">
        <w:rPr>
          <w:rStyle w:val="af2"/>
          <w:rFonts w:eastAsia="Guttman Hodes" w:hint="cs"/>
          <w:rtl/>
        </w:rPr>
        <w:t>(ע.)</w:t>
      </w:r>
      <w:r>
        <w:rPr>
          <w:rFonts w:hint="cs"/>
          <w:rtl/>
        </w:rPr>
        <w:t xml:space="preserve"> דלענין כלאים ותרומה עציץ שאינו נקוב חשיב זריעה מדרבנן, הוא כיון דכתיב בהו "שדך", אבל בשבת ילפינן לאסור כל תולדה שדומה לאב, ועי' במ"ש בזה </w:t>
      </w:r>
      <w:r w:rsidRPr="008E71DC">
        <w:rPr>
          <w:rStyle w:val="aff4"/>
          <w:rFonts w:hint="cs"/>
          <w:vanish/>
          <w:rtl/>
        </w:rPr>
        <w:t>-</w:t>
      </w:r>
      <w:r w:rsidRPr="008E71DC">
        <w:rPr>
          <w:rStyle w:val="aff4"/>
          <w:rFonts w:hint="cs"/>
          <w:rtl/>
        </w:rPr>
        <w:t>הרמב"ם בתשו'</w:t>
      </w:r>
      <w:r w:rsidRPr="008E71DC">
        <w:rPr>
          <w:rStyle w:val="aff4"/>
          <w:rFonts w:hint="cs"/>
          <w:vanish/>
          <w:rtl/>
        </w:rPr>
        <w:t>-</w:t>
      </w:r>
      <w:r>
        <w:rPr>
          <w:rFonts w:hint="cs"/>
          <w:rtl/>
        </w:rPr>
        <w:t xml:space="preserve"> </w:t>
      </w:r>
      <w:r w:rsidRPr="008E71DC">
        <w:rPr>
          <w:rStyle w:val="af2"/>
          <w:rFonts w:eastAsia="Guttman Hodes" w:hint="cs"/>
          <w:rtl/>
        </w:rPr>
        <w:t xml:space="preserve">(עי' אות </w:t>
      </w:r>
      <w:r w:rsidRPr="008E71DC">
        <w:rPr>
          <w:rStyle w:val="af2"/>
          <w:rFonts w:eastAsia="Guttman Hodes"/>
          <w:rtl/>
        </w:rPr>
        <w:fldChar w:fldCharType="begin"/>
      </w:r>
      <w:r w:rsidRPr="008E71DC">
        <w:rPr>
          <w:rStyle w:val="af2"/>
          <w:rFonts w:eastAsia="Guttman Hodes"/>
          <w:rtl/>
        </w:rPr>
        <w:instrText xml:space="preserve"> </w:instrText>
      </w:r>
      <w:r w:rsidRPr="008E71DC">
        <w:rPr>
          <w:rStyle w:val="af2"/>
          <w:rFonts w:eastAsia="Guttman Hodes" w:hint="cs"/>
        </w:rPr>
        <w:instrText>REF</w:instrText>
      </w:r>
      <w:r w:rsidRPr="008E71DC">
        <w:rPr>
          <w:rStyle w:val="af2"/>
          <w:rFonts w:eastAsia="Guttman Hodes" w:hint="cs"/>
          <w:rtl/>
        </w:rPr>
        <w:instrText xml:space="preserve"> _</w:instrText>
      </w:r>
      <w:r w:rsidRPr="008E71DC">
        <w:rPr>
          <w:rStyle w:val="af2"/>
          <w:rFonts w:eastAsia="Guttman Hodes" w:hint="cs"/>
        </w:rPr>
        <w:instrText>Ref133836607 \r \h</w:instrText>
      </w:r>
      <w:r w:rsidRPr="008E71DC">
        <w:rPr>
          <w:rStyle w:val="af2"/>
          <w:rFonts w:eastAsia="Guttman Hodes"/>
          <w:rtl/>
        </w:rPr>
        <w:instrText xml:space="preserve"> </w:instrText>
      </w:r>
      <w:r w:rsidRPr="008E71DC">
        <w:rPr>
          <w:rStyle w:val="af2"/>
          <w:rFonts w:eastAsia="Guttman Hodes"/>
          <w:rtl/>
        </w:rPr>
      </w:r>
      <w:r w:rsidRPr="008E71DC">
        <w:rPr>
          <w:rStyle w:val="af2"/>
          <w:rFonts w:eastAsia="Guttman Hodes"/>
          <w:rtl/>
        </w:rPr>
        <w:fldChar w:fldCharType="separate"/>
      </w:r>
      <w:r w:rsidR="00D82181">
        <w:rPr>
          <w:rStyle w:val="af2"/>
          <w:rFonts w:eastAsia="Guttman Hodes"/>
          <w:cs/>
        </w:rPr>
        <w:t>‎</w:t>
      </w:r>
      <w:r w:rsidR="00D82181">
        <w:rPr>
          <w:rStyle w:val="af2"/>
          <w:rFonts w:eastAsia="Guttman Hodes"/>
          <w:rtl/>
        </w:rPr>
        <w:t>פד)</w:t>
      </w:r>
      <w:r w:rsidRPr="008E71DC">
        <w:rPr>
          <w:rStyle w:val="af2"/>
          <w:rFonts w:eastAsia="Guttman Hodes"/>
          <w:rtl/>
        </w:rPr>
        <w:fldChar w:fldCharType="end"/>
      </w:r>
      <w:r>
        <w:rPr>
          <w:rFonts w:hint="cs"/>
          <w:rtl/>
        </w:rPr>
        <w:t xml:space="preserve"> וע"ע בהערה</w:t>
      </w:r>
      <w:r w:rsidRPr="008E71DC">
        <w:rPr>
          <w:vertAlign w:val="superscript"/>
          <w:rtl/>
        </w:rPr>
        <w:fldChar w:fldCharType="begin"/>
      </w:r>
      <w:r w:rsidRPr="008E71DC">
        <w:rPr>
          <w:vertAlign w:val="superscript"/>
          <w:rtl/>
        </w:rPr>
        <w:instrText xml:space="preserve"> </w:instrText>
      </w:r>
      <w:r w:rsidRPr="008E71DC">
        <w:rPr>
          <w:rFonts w:hint="cs"/>
          <w:vertAlign w:val="superscript"/>
        </w:rPr>
        <w:instrText>NOTEREF</w:instrText>
      </w:r>
      <w:r w:rsidRPr="008E71DC">
        <w:rPr>
          <w:rFonts w:hint="cs"/>
          <w:vertAlign w:val="superscript"/>
          <w:rtl/>
        </w:rPr>
        <w:instrText xml:space="preserve"> _</w:instrText>
      </w:r>
      <w:r w:rsidRPr="008E71DC">
        <w:rPr>
          <w:rFonts w:hint="cs"/>
          <w:vertAlign w:val="superscript"/>
        </w:rPr>
        <w:instrText>Ref133836618 \h</w:instrText>
      </w:r>
      <w:r w:rsidRPr="008E71DC">
        <w:rPr>
          <w:vertAlign w:val="superscript"/>
          <w:rtl/>
        </w:rPr>
        <w:instrText xml:space="preserve"> </w:instrText>
      </w:r>
      <w:r>
        <w:rPr>
          <w:vertAlign w:val="superscript"/>
          <w:rtl/>
        </w:rPr>
        <w:instrText xml:space="preserve"> \* </w:instrText>
      </w:r>
      <w:r>
        <w:rPr>
          <w:vertAlign w:val="superscript"/>
        </w:rPr>
        <w:instrText>MERGEFORMAT</w:instrText>
      </w:r>
      <w:r>
        <w:rPr>
          <w:vertAlign w:val="superscript"/>
          <w:rtl/>
        </w:rPr>
        <w:instrText xml:space="preserve"> </w:instrText>
      </w:r>
      <w:r w:rsidRPr="008E71DC">
        <w:rPr>
          <w:vertAlign w:val="superscript"/>
          <w:rtl/>
        </w:rPr>
      </w:r>
      <w:r w:rsidRPr="008E71DC">
        <w:rPr>
          <w:vertAlign w:val="superscript"/>
          <w:rtl/>
        </w:rPr>
        <w:fldChar w:fldCharType="separate"/>
      </w:r>
      <w:r w:rsidR="00D82181">
        <w:rPr>
          <w:vertAlign w:val="superscript"/>
          <w:rtl/>
        </w:rPr>
        <w:t>1</w:t>
      </w:r>
      <w:r w:rsidRPr="008E71DC">
        <w:rPr>
          <w:vertAlign w:val="superscript"/>
          <w:rtl/>
        </w:rPr>
        <w:fldChar w:fldCharType="end"/>
      </w:r>
      <w:r>
        <w:rPr>
          <w:rFonts w:hint="cs"/>
          <w:rtl/>
        </w:rPr>
        <w:t>.</w:t>
      </w:r>
      <w:bookmarkEnd w:id="507"/>
    </w:p>
    <w:p w14:paraId="6F02714B" w14:textId="77777777" w:rsidR="009623A2" w:rsidRPr="00747170" w:rsidRDefault="009623A2" w:rsidP="00747170">
      <w:pPr>
        <w:pStyle w:val="a2"/>
        <w:rPr>
          <w:rtl/>
        </w:rPr>
      </w:pPr>
      <w:r w:rsidRPr="00747170">
        <w:rPr>
          <w:rtl/>
        </w:rPr>
        <w:t>אבל לענין חיובא דזורע דמרבינן תולדת כל שכוונתו להצמיח, וא"כ מאי שנא נקוב משאינו נקוב, וה"ה במים ובכל דבר, שהרי כל תולדות לא היו במשכן אלא כיון שהן דומין לאב קצת דמיון חייב, כדאיתא ברמב"ם ועיין במ"מ שם ועיין בסי' תצ"ז במ"א, וה"נ כיון שכוונתו להצמיח וגם יצמח למה לא יהיה חייב. ואף דבמנחות דף ע' ע"א איתא דהזורע כלאים בעציץ שא"נ אינו אלא מדרבנן וכן לענין תרומה שם דאינו אלא מדרבנן, התם שאני דכתיב שדך לא תזרע כלאים, וכן בתרומה כתיב תבואת זרעך היוצא השדה כו', ולכן בעינן דוקא בשדה, מה שאין כן לענין שבת דמרבינן תולדת כל שהוא דומה לאב, ודאי דחייב:</w:t>
      </w:r>
    </w:p>
    <w:p w14:paraId="4BC12B0E" w14:textId="543AF447" w:rsidR="009623A2" w:rsidRPr="00DF0FA9" w:rsidRDefault="009623A2" w:rsidP="009623A2">
      <w:pPr>
        <w:pStyle w:val="afffff7"/>
        <w:rPr>
          <w:rtl/>
        </w:rPr>
      </w:pPr>
      <w:bookmarkStart w:id="508" w:name="_Toc133841704"/>
      <w:bookmarkStart w:id="509" w:name="_Toc163505454"/>
      <w:r w:rsidRPr="00DF0FA9">
        <w:rPr>
          <w:rtl/>
        </w:rPr>
        <w:t xml:space="preserve">מנחת חינוך מוסך השבת </w:t>
      </w:r>
      <w:r w:rsidRPr="00DF0FA9">
        <w:rPr>
          <w:rFonts w:hint="cs"/>
          <w:rtl/>
        </w:rPr>
        <w:t xml:space="preserve">זורע אות </w:t>
      </w:r>
      <w:r>
        <w:rPr>
          <w:rFonts w:hint="cs"/>
          <w:rtl/>
        </w:rPr>
        <w:t>ג</w:t>
      </w:r>
      <w:r w:rsidRPr="00DF0FA9">
        <w:rPr>
          <w:rFonts w:hint="cs"/>
          <w:rtl/>
        </w:rPr>
        <w:t xml:space="preserve">' ד"ה </w:t>
      </w:r>
      <w:r>
        <w:rPr>
          <w:rFonts w:hint="cs"/>
          <w:rtl/>
        </w:rPr>
        <w:t>והנה הזורע</w:t>
      </w:r>
      <w:bookmarkEnd w:id="508"/>
      <w:bookmarkEnd w:id="509"/>
    </w:p>
    <w:p w14:paraId="4C9D85A3" w14:textId="77777777" w:rsidR="009623A2" w:rsidRPr="00DF0FA9" w:rsidRDefault="009623A2" w:rsidP="009623A2">
      <w:pPr>
        <w:pStyle w:val="a7"/>
        <w:rPr>
          <w:rtl/>
        </w:rPr>
      </w:pPr>
      <w:bookmarkStart w:id="510" w:name="_Toc134419718"/>
      <w:r>
        <w:rPr>
          <w:rFonts w:hint="cs"/>
          <w:rtl/>
        </w:rPr>
        <w:t>דחיית המנ"ח דאין הכרח בדברי רש"י לקמן לחלק בעציץ שאינו נקוב בין תולש לבין זורע</w:t>
      </w:r>
      <w:bookmarkEnd w:id="510"/>
    </w:p>
    <w:p w14:paraId="521C97FA" w14:textId="2AFBA3AF" w:rsidR="009623A2" w:rsidRPr="00516524" w:rsidRDefault="009623A2" w:rsidP="00BC7DC8">
      <w:pPr>
        <w:pStyle w:val="a3"/>
        <w:rPr>
          <w:rtl/>
        </w:rPr>
      </w:pPr>
      <w:bookmarkStart w:id="511" w:name="_Ref133575439"/>
      <w:r>
        <w:rPr>
          <w:rFonts w:hint="cs"/>
          <w:rtl/>
        </w:rPr>
        <w:t>וכתב</w:t>
      </w:r>
      <w:r w:rsidRPr="00DF0FA9">
        <w:rPr>
          <w:rFonts w:hint="cs"/>
          <w:rtl/>
        </w:rPr>
        <w:t xml:space="preserve"> </w:t>
      </w:r>
      <w:r w:rsidRPr="003B307E">
        <w:rPr>
          <w:rStyle w:val="aff4"/>
          <w:rFonts w:hint="cs"/>
          <w:vanish/>
          <w:rtl/>
        </w:rPr>
        <w:t>-</w:t>
      </w:r>
      <w:r w:rsidRPr="004F32D2">
        <w:rPr>
          <w:rStyle w:val="aff4"/>
          <w:rFonts w:hint="cs"/>
          <w:rtl/>
        </w:rPr>
        <w:t>ה</w:t>
      </w:r>
      <w:r w:rsidRPr="003B307E">
        <w:rPr>
          <w:rStyle w:val="aff4"/>
          <w:rFonts w:hint="cs"/>
          <w:vanish/>
          <w:rtl/>
        </w:rPr>
        <w:t xml:space="preserve">&lt;. </w:t>
      </w:r>
      <w:r w:rsidRPr="003B307E">
        <w:rPr>
          <w:rStyle w:val="aff4"/>
          <w:vanish/>
          <w:rtl/>
        </w:rPr>
        <w:fldChar w:fldCharType="begin"/>
      </w:r>
      <w:r w:rsidRPr="003B307E">
        <w:rPr>
          <w:rStyle w:val="aff4"/>
          <w:vanish/>
          <w:rtl/>
        </w:rPr>
        <w:instrText xml:space="preserve"> </w:instrText>
      </w:r>
      <w:r w:rsidRPr="003B307E">
        <w:rPr>
          <w:rStyle w:val="aff4"/>
          <w:rFonts w:hint="cs"/>
          <w:vanish/>
        </w:rPr>
        <w:instrText>REF</w:instrText>
      </w:r>
      <w:r w:rsidRPr="003B307E">
        <w:rPr>
          <w:rStyle w:val="aff4"/>
          <w:rFonts w:hint="cs"/>
          <w:vanish/>
          <w:rtl/>
        </w:rPr>
        <w:instrText xml:space="preserve"> _</w:instrText>
      </w:r>
      <w:r w:rsidRPr="003B307E">
        <w:rPr>
          <w:rStyle w:val="aff4"/>
          <w:rFonts w:hint="cs"/>
          <w:vanish/>
        </w:rPr>
        <w:instrText>Ref133575439 \r \h</w:instrText>
      </w:r>
      <w:r w:rsidRPr="003B307E">
        <w:rPr>
          <w:rStyle w:val="aff4"/>
          <w:vanish/>
          <w:rtl/>
        </w:rPr>
        <w:instrText xml:space="preserve"> </w:instrText>
      </w:r>
      <w:r w:rsidRPr="003B307E">
        <w:rPr>
          <w:rStyle w:val="aff4"/>
          <w:vanish/>
          <w:rtl/>
        </w:rPr>
      </w:r>
      <w:r w:rsidRPr="003B307E">
        <w:rPr>
          <w:rStyle w:val="aff4"/>
          <w:vanish/>
          <w:rtl/>
        </w:rPr>
        <w:fldChar w:fldCharType="separate"/>
      </w:r>
      <w:r w:rsidR="00D82181">
        <w:rPr>
          <w:rStyle w:val="aff4"/>
          <w:vanish/>
          <w:cs/>
        </w:rPr>
        <w:t>‎</w:t>
      </w:r>
      <w:r w:rsidR="00D82181">
        <w:rPr>
          <w:rStyle w:val="aff4"/>
          <w:vanish/>
          <w:rtl/>
        </w:rPr>
        <w:t>קכ)</w:t>
      </w:r>
      <w:r w:rsidRPr="003B307E">
        <w:rPr>
          <w:rStyle w:val="aff4"/>
          <w:vanish/>
          <w:rtl/>
        </w:rPr>
        <w:fldChar w:fldCharType="end"/>
      </w:r>
      <w:r w:rsidRPr="003B307E">
        <w:rPr>
          <w:rStyle w:val="aff4"/>
          <w:rFonts w:hint="cs"/>
          <w:vanish/>
          <w:rtl/>
        </w:rPr>
        <w:t xml:space="preserve"> &gt;</w:t>
      </w:r>
      <w:r w:rsidRPr="004F32D2">
        <w:rPr>
          <w:rStyle w:val="aff4"/>
          <w:rFonts w:hint="cs"/>
          <w:rtl/>
        </w:rPr>
        <w:t>מנחת חינוך</w:t>
      </w:r>
      <w:r w:rsidRPr="003B307E">
        <w:rPr>
          <w:rStyle w:val="aff4"/>
          <w:rFonts w:hint="cs"/>
          <w:vanish/>
          <w:rtl/>
        </w:rPr>
        <w:t>-</w:t>
      </w:r>
      <w:r w:rsidRPr="00DF0FA9">
        <w:rPr>
          <w:rFonts w:hint="cs"/>
          <w:rtl/>
        </w:rPr>
        <w:t xml:space="preserve"> </w:t>
      </w:r>
      <w:r w:rsidRPr="002A0D0C">
        <w:rPr>
          <w:rStyle w:val="af2"/>
          <w:rFonts w:eastAsia="Guttman Hodes" w:hint="cs"/>
          <w:rtl/>
        </w:rPr>
        <w:t xml:space="preserve">(מוסך השבת זורע אות </w:t>
      </w:r>
      <w:r>
        <w:rPr>
          <w:rStyle w:val="af2"/>
          <w:rFonts w:eastAsia="Guttman Hodes" w:hint="cs"/>
          <w:rtl/>
        </w:rPr>
        <w:t>ג</w:t>
      </w:r>
      <w:r w:rsidRPr="002A0D0C">
        <w:rPr>
          <w:rStyle w:val="af2"/>
          <w:rFonts w:eastAsia="Guttman Hodes" w:hint="cs"/>
          <w:rtl/>
        </w:rPr>
        <w:t>' ד"ה והנה הזורע)</w:t>
      </w:r>
      <w:r w:rsidRPr="003B307E">
        <w:rPr>
          <w:rFonts w:hint="cs"/>
          <w:vanish/>
          <w:rtl/>
        </w:rPr>
        <w:t>=</w:t>
      </w:r>
      <w:r w:rsidRPr="00516524">
        <w:rPr>
          <w:rFonts w:hint="cs"/>
          <w:rtl/>
        </w:rPr>
        <w:t xml:space="preserve"> </w:t>
      </w:r>
      <w:r>
        <w:rPr>
          <w:rFonts w:hint="cs"/>
          <w:rtl/>
        </w:rPr>
        <w:t xml:space="preserve">דהא דחילק </w:t>
      </w:r>
      <w:r w:rsidRPr="003B307E">
        <w:rPr>
          <w:rStyle w:val="aff4"/>
          <w:rFonts w:hint="cs"/>
          <w:vanish/>
          <w:rtl/>
        </w:rPr>
        <w:t>-</w:t>
      </w:r>
      <w:r w:rsidRPr="004F32D2">
        <w:rPr>
          <w:rStyle w:val="aff4"/>
          <w:rFonts w:hint="cs"/>
          <w:rtl/>
        </w:rPr>
        <w:t>החיי אדם</w:t>
      </w:r>
      <w:r w:rsidRPr="003B307E">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Ref133836836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קיט)</w:t>
      </w:r>
      <w:r>
        <w:rPr>
          <w:rStyle w:val="af2"/>
          <w:rFonts w:eastAsia="Guttman Hodes"/>
          <w:rtl/>
        </w:rPr>
        <w:fldChar w:fldCharType="end"/>
      </w:r>
      <w:r>
        <w:rPr>
          <w:rFonts w:hint="cs"/>
          <w:rtl/>
        </w:rPr>
        <w:t xml:space="preserve"> בין תולש לזורע וס"ל דזורע חייב וא"כ מ"ש </w:t>
      </w:r>
      <w:r w:rsidRPr="003B307E">
        <w:rPr>
          <w:rStyle w:val="aff4"/>
          <w:rFonts w:hint="cs"/>
          <w:vanish/>
          <w:rtl/>
        </w:rPr>
        <w:t>-</w:t>
      </w:r>
      <w:r w:rsidRPr="004F32D2">
        <w:rPr>
          <w:rStyle w:val="aff4"/>
          <w:rFonts w:hint="cs"/>
          <w:rtl/>
        </w:rPr>
        <w:t>רש"י לקמן</w:t>
      </w:r>
      <w:r w:rsidRPr="003B307E">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Ref133575405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קיח)</w:t>
      </w:r>
      <w:r>
        <w:rPr>
          <w:rStyle w:val="af2"/>
          <w:rFonts w:eastAsia="Guttman Hodes"/>
          <w:rtl/>
        </w:rPr>
        <w:fldChar w:fldCharType="end"/>
      </w:r>
      <w:r>
        <w:rPr>
          <w:rFonts w:hint="cs"/>
          <w:rtl/>
        </w:rPr>
        <w:t xml:space="preserve"> דאין דרך לזרוע שם, היינו ענין תולש ולא לענין זורע, כתב </w:t>
      </w:r>
      <w:r w:rsidRPr="003B307E">
        <w:rPr>
          <w:rStyle w:val="aff4"/>
          <w:rFonts w:hint="cs"/>
          <w:vanish/>
          <w:rtl/>
        </w:rPr>
        <w:t>-</w:t>
      </w:r>
      <w:r w:rsidRPr="004F32D2">
        <w:rPr>
          <w:rStyle w:val="aff4"/>
          <w:rFonts w:hint="cs"/>
          <w:rtl/>
        </w:rPr>
        <w:t>המנחת חינוך</w:t>
      </w:r>
      <w:r w:rsidRPr="003B307E">
        <w:rPr>
          <w:rStyle w:val="aff4"/>
          <w:rFonts w:hint="cs"/>
          <w:vanish/>
          <w:rtl/>
        </w:rPr>
        <w:t>-</w:t>
      </w:r>
      <w:r>
        <w:rPr>
          <w:rFonts w:hint="cs"/>
          <w:rtl/>
        </w:rPr>
        <w:t xml:space="preserve"> דאי"ז מוכח בביאור דברי </w:t>
      </w:r>
      <w:r w:rsidRPr="003B307E">
        <w:rPr>
          <w:rStyle w:val="aff4"/>
          <w:rFonts w:hint="cs"/>
          <w:vanish/>
          <w:rtl/>
        </w:rPr>
        <w:t>-</w:t>
      </w:r>
      <w:r w:rsidRPr="004F32D2">
        <w:rPr>
          <w:rStyle w:val="aff4"/>
          <w:rFonts w:hint="cs"/>
          <w:rtl/>
        </w:rPr>
        <w:t>רש"י</w:t>
      </w:r>
      <w:bookmarkEnd w:id="511"/>
      <w:r w:rsidRPr="003B307E">
        <w:rPr>
          <w:rStyle w:val="aff4"/>
          <w:rFonts w:hint="cs"/>
          <w:vanish/>
          <w:rtl/>
        </w:rPr>
        <w:t>-</w:t>
      </w:r>
      <w:r>
        <w:rPr>
          <w:rFonts w:hint="cs"/>
          <w:rtl/>
        </w:rPr>
        <w:t>.</w:t>
      </w:r>
    </w:p>
    <w:p w14:paraId="2DFF42E3" w14:textId="77777777" w:rsidR="009623A2" w:rsidRPr="00747170" w:rsidRDefault="009623A2" w:rsidP="00747170">
      <w:pPr>
        <w:pStyle w:val="a2"/>
      </w:pPr>
      <w:r w:rsidRPr="00747170">
        <w:rPr>
          <w:rtl/>
        </w:rPr>
        <w:t>והנה הזורע בעציץ שא"נ אינו מבואר הדין ובמג"א מסתפק בזה ובח"א דעתו לחייב גם בעציץ שא"נ ומביא פירש"י שבת שכ' דלאו היינו רבותא לענין עציץ שא"נ פי' דאין זריעה בכך וכ' דכוונתו לענין תלישה אבל לא לענין זריעה ואינו מוכרח וצ"ע.</w:t>
      </w:r>
    </w:p>
    <w:p w14:paraId="34B5DBFA" w14:textId="6E587E68" w:rsidR="009623A2" w:rsidRPr="00716C93" w:rsidRDefault="009623A2" w:rsidP="009623A2">
      <w:pPr>
        <w:pStyle w:val="affff5"/>
      </w:pPr>
      <w:bookmarkStart w:id="512" w:name="_Toc134419719"/>
      <w:r w:rsidRPr="00716C93">
        <w:rPr>
          <w:rFonts w:hint="cs"/>
          <w:rtl/>
        </w:rPr>
        <w:t>~~~~~~~~~~~~~~~~~~~~~~~~~~~~</w:t>
      </w:r>
      <w:bookmarkEnd w:id="512"/>
    </w:p>
    <w:p w14:paraId="3FC4D3AC" w14:textId="77777777" w:rsidR="009623A2" w:rsidRDefault="009623A2" w:rsidP="009623A2">
      <w:pPr>
        <w:pStyle w:val="affff5"/>
        <w:rPr>
          <w:rtl/>
        </w:rPr>
      </w:pPr>
      <w:bookmarkStart w:id="513" w:name="_Toc134419720"/>
      <w:r>
        <w:rPr>
          <w:rFonts w:hint="cs"/>
          <w:rtl/>
        </w:rPr>
        <w:t>אי זורע גרעין של אילן הוי נוטע או זורע</w:t>
      </w:r>
      <w:bookmarkEnd w:id="513"/>
    </w:p>
    <w:p w14:paraId="7CF93CC1" w14:textId="77777777" w:rsidR="009623A2" w:rsidRDefault="009623A2" w:rsidP="009623A2">
      <w:pPr>
        <w:pStyle w:val="1"/>
        <w:rPr>
          <w:rtl/>
        </w:rPr>
      </w:pPr>
      <w:bookmarkStart w:id="514" w:name="_Toc134419721"/>
      <w:r>
        <w:rPr>
          <w:rFonts w:hint="cs"/>
          <w:rtl/>
        </w:rPr>
        <w:t>פלו' המנ"ח והחזו"א אי זריעת גרעין אילן הוי כזורע זרע</w:t>
      </w:r>
      <w:bookmarkEnd w:id="514"/>
    </w:p>
    <w:p w14:paraId="009CBF10" w14:textId="77777777" w:rsidR="009623A2" w:rsidRDefault="009623A2" w:rsidP="009623A2">
      <w:pPr>
        <w:pStyle w:val="afffff7"/>
        <w:rPr>
          <w:rtl/>
        </w:rPr>
      </w:pPr>
      <w:bookmarkStart w:id="515" w:name="_Toc133841705"/>
      <w:bookmarkStart w:id="516" w:name="_Toc163505455"/>
      <w:r>
        <w:rPr>
          <w:rtl/>
        </w:rPr>
        <w:t>מנחת חינוך פרשת בהר מצוה שכז</w:t>
      </w:r>
      <w:r>
        <w:rPr>
          <w:rFonts w:hint="cs"/>
          <w:rtl/>
        </w:rPr>
        <w:t xml:space="preserve"> אות א</w:t>
      </w:r>
      <w:bookmarkEnd w:id="515"/>
      <w:bookmarkEnd w:id="516"/>
    </w:p>
    <w:p w14:paraId="185A8189" w14:textId="77777777" w:rsidR="009623A2" w:rsidRDefault="009623A2" w:rsidP="009623A2">
      <w:pPr>
        <w:pStyle w:val="a7"/>
        <w:rPr>
          <w:rtl/>
        </w:rPr>
      </w:pPr>
      <w:bookmarkStart w:id="517" w:name="_Toc134419722"/>
      <w:r>
        <w:rPr>
          <w:rFonts w:hint="cs"/>
          <w:rtl/>
        </w:rPr>
        <w:t>בי' המנ"ח ברמב"ם דנוטע ומבריך ומרכיב וזומר בשבת הוי דאו' ובשביעית הם תולדות דרבנן</w:t>
      </w:r>
      <w:bookmarkEnd w:id="517"/>
    </w:p>
    <w:p w14:paraId="63282B80" w14:textId="607A76E8" w:rsidR="009623A2" w:rsidRPr="00A653CC" w:rsidRDefault="009623A2" w:rsidP="00BC7DC8">
      <w:pPr>
        <w:pStyle w:val="a3"/>
        <w:rPr>
          <w:rtl/>
        </w:rPr>
      </w:pPr>
      <w:bookmarkStart w:id="518" w:name="_Ref133317794"/>
      <w:r>
        <w:rPr>
          <w:rFonts w:hint="cs"/>
          <w:rtl/>
        </w:rPr>
        <w:t xml:space="preserve">הביא </w:t>
      </w:r>
      <w:r w:rsidRPr="00C444C9">
        <w:rPr>
          <w:rStyle w:val="aff4"/>
          <w:rFonts w:hint="cs"/>
          <w:vanish/>
          <w:rtl/>
        </w:rPr>
        <w:t>-</w:t>
      </w:r>
      <w:r w:rsidRPr="004F32D2">
        <w:rPr>
          <w:rStyle w:val="aff4"/>
          <w:rFonts w:hint="cs"/>
          <w:rtl/>
        </w:rPr>
        <w:t>ה</w:t>
      </w:r>
      <w:r w:rsidRPr="00C444C9">
        <w:rPr>
          <w:rStyle w:val="aff4"/>
          <w:rFonts w:hint="cs"/>
          <w:vanish/>
          <w:rtl/>
        </w:rPr>
        <w:t xml:space="preserve">&lt;. </w:t>
      </w:r>
      <w:r w:rsidRPr="00C444C9">
        <w:rPr>
          <w:rStyle w:val="aff4"/>
          <w:vanish/>
          <w:rtl/>
        </w:rPr>
        <w:fldChar w:fldCharType="begin"/>
      </w:r>
      <w:r w:rsidRPr="00C444C9">
        <w:rPr>
          <w:rStyle w:val="aff4"/>
          <w:vanish/>
          <w:rtl/>
        </w:rPr>
        <w:instrText xml:space="preserve"> </w:instrText>
      </w:r>
      <w:r w:rsidRPr="00C444C9">
        <w:rPr>
          <w:rStyle w:val="aff4"/>
          <w:rFonts w:hint="cs"/>
          <w:vanish/>
        </w:rPr>
        <w:instrText>REF</w:instrText>
      </w:r>
      <w:r w:rsidRPr="00C444C9">
        <w:rPr>
          <w:rStyle w:val="aff4"/>
          <w:rFonts w:hint="cs"/>
          <w:vanish/>
          <w:rtl/>
        </w:rPr>
        <w:instrText xml:space="preserve"> _</w:instrText>
      </w:r>
      <w:r w:rsidRPr="00C444C9">
        <w:rPr>
          <w:rStyle w:val="aff4"/>
          <w:rFonts w:hint="cs"/>
          <w:vanish/>
        </w:rPr>
        <w:instrText>Ref133317794 \r \h</w:instrText>
      </w:r>
      <w:r w:rsidRPr="00C444C9">
        <w:rPr>
          <w:rStyle w:val="aff4"/>
          <w:vanish/>
          <w:rtl/>
        </w:rPr>
        <w:instrText xml:space="preserve">  \* </w:instrText>
      </w:r>
      <w:r w:rsidRPr="00C444C9">
        <w:rPr>
          <w:rStyle w:val="aff4"/>
          <w:vanish/>
        </w:rPr>
        <w:instrText>MERGEFORMAT</w:instrText>
      </w:r>
      <w:r w:rsidRPr="00C444C9">
        <w:rPr>
          <w:rStyle w:val="aff4"/>
          <w:vanish/>
          <w:rtl/>
        </w:rPr>
        <w:instrText xml:space="preserve"> </w:instrText>
      </w:r>
      <w:r w:rsidRPr="00C444C9">
        <w:rPr>
          <w:rStyle w:val="aff4"/>
          <w:vanish/>
          <w:rtl/>
        </w:rPr>
      </w:r>
      <w:r w:rsidRPr="00C444C9">
        <w:rPr>
          <w:rStyle w:val="aff4"/>
          <w:vanish/>
          <w:rtl/>
        </w:rPr>
        <w:fldChar w:fldCharType="separate"/>
      </w:r>
      <w:r w:rsidR="00D82181">
        <w:rPr>
          <w:rStyle w:val="aff4"/>
          <w:vanish/>
          <w:cs/>
        </w:rPr>
        <w:t>‎</w:t>
      </w:r>
      <w:r w:rsidR="00D82181">
        <w:rPr>
          <w:rStyle w:val="aff4"/>
          <w:vanish/>
          <w:rtl/>
        </w:rPr>
        <w:t>קכא)</w:t>
      </w:r>
      <w:r w:rsidRPr="00C444C9">
        <w:rPr>
          <w:rStyle w:val="aff4"/>
          <w:vanish/>
          <w:rtl/>
        </w:rPr>
        <w:fldChar w:fldCharType="end"/>
      </w:r>
      <w:r w:rsidRPr="00C444C9">
        <w:rPr>
          <w:rStyle w:val="aff4"/>
          <w:rFonts w:hint="cs"/>
          <w:vanish/>
          <w:rtl/>
        </w:rPr>
        <w:t xml:space="preserve"> &gt;</w:t>
      </w:r>
      <w:r w:rsidRPr="004F32D2">
        <w:rPr>
          <w:rStyle w:val="aff4"/>
          <w:rFonts w:hint="cs"/>
          <w:rtl/>
        </w:rPr>
        <w:t>מנחת חינוך</w:t>
      </w:r>
      <w:r w:rsidRPr="00C444C9">
        <w:rPr>
          <w:rStyle w:val="aff4"/>
          <w:rFonts w:hint="cs"/>
          <w:vanish/>
          <w:rtl/>
        </w:rPr>
        <w:t>-</w:t>
      </w:r>
      <w:r>
        <w:rPr>
          <w:rFonts w:hint="cs"/>
          <w:rtl/>
        </w:rPr>
        <w:t xml:space="preserve"> </w:t>
      </w:r>
      <w:r w:rsidRPr="002A0D0C">
        <w:rPr>
          <w:rStyle w:val="af2"/>
          <w:rFonts w:eastAsia="Guttman Hodes" w:hint="cs"/>
          <w:rtl/>
        </w:rPr>
        <w:t>(מצוה שכ"ז א')</w:t>
      </w:r>
      <w:r w:rsidRPr="00F80C94">
        <w:rPr>
          <w:rFonts w:hint="cs"/>
          <w:vanish/>
          <w:rtl/>
        </w:rPr>
        <w:t>=</w:t>
      </w:r>
      <w:r>
        <w:rPr>
          <w:rFonts w:hint="cs"/>
          <w:rtl/>
        </w:rPr>
        <w:t xml:space="preserve"> את דברי </w:t>
      </w:r>
      <w:r w:rsidRPr="00C444C9">
        <w:rPr>
          <w:rStyle w:val="aff4"/>
          <w:rFonts w:hint="cs"/>
          <w:vanish/>
          <w:rtl/>
        </w:rPr>
        <w:t>-</w:t>
      </w:r>
      <w:r w:rsidRPr="004F32D2">
        <w:rPr>
          <w:rStyle w:val="aff4"/>
          <w:rFonts w:hint="cs"/>
          <w:rtl/>
        </w:rPr>
        <w:t>ה</w:t>
      </w:r>
      <w:r w:rsidRPr="00C444C9">
        <w:rPr>
          <w:rStyle w:val="aff4"/>
          <w:rFonts w:hint="cs"/>
          <w:vanish/>
          <w:rtl/>
        </w:rPr>
        <w:t>&lt; &gt;</w:t>
      </w:r>
      <w:r w:rsidRPr="004F32D2">
        <w:rPr>
          <w:rStyle w:val="aff4"/>
          <w:rFonts w:hint="cs"/>
          <w:rtl/>
        </w:rPr>
        <w:t>רמב"ם</w:t>
      </w:r>
      <w:r w:rsidRPr="00C444C9">
        <w:rPr>
          <w:rStyle w:val="aff4"/>
          <w:rFonts w:hint="cs"/>
          <w:vanish/>
          <w:rtl/>
        </w:rPr>
        <w:t>-</w:t>
      </w:r>
      <w:r>
        <w:rPr>
          <w:rFonts w:hint="cs"/>
          <w:rtl/>
        </w:rPr>
        <w:t xml:space="preserve"> </w:t>
      </w:r>
      <w:r w:rsidRPr="002A0D0C">
        <w:rPr>
          <w:rStyle w:val="af2"/>
          <w:rFonts w:eastAsia="Guttman Hodes" w:hint="cs"/>
          <w:rtl/>
        </w:rPr>
        <w:t>(שמיטה ויובל פ"א ה"א, ה"ב, ה"ג, ה"ד)</w:t>
      </w:r>
      <w:r w:rsidRPr="00F80C94">
        <w:rPr>
          <w:rFonts w:hint="cs"/>
          <w:vanish/>
          <w:rtl/>
        </w:rPr>
        <w:t>=</w:t>
      </w:r>
      <w:r>
        <w:rPr>
          <w:rFonts w:hint="cs"/>
          <w:rtl/>
        </w:rPr>
        <w:t xml:space="preserve"> דכתב דבשביעית לוקין מדאו' רק על זריעה וזמירה וקצירה ובצירה, כיון דכתיב "</w:t>
      </w:r>
      <w:r>
        <w:rPr>
          <w:rtl/>
        </w:rPr>
        <w:t>שדך לא תזרע וכרמך לא תזמור</w:t>
      </w:r>
      <w:r>
        <w:rPr>
          <w:rFonts w:hint="cs"/>
          <w:rtl/>
        </w:rPr>
        <w:t xml:space="preserve">", וזמירה בכלל זריעה ובצירה בכלל קצירה, וכתבה אותם התורה בפירוש לומר דרק על התולדות הללו לוקין, וכתב </w:t>
      </w:r>
      <w:r w:rsidRPr="00C444C9">
        <w:rPr>
          <w:rStyle w:val="aff4"/>
          <w:rFonts w:hint="cs"/>
          <w:vanish/>
          <w:rtl/>
        </w:rPr>
        <w:t>-</w:t>
      </w:r>
      <w:r w:rsidRPr="004F32D2">
        <w:rPr>
          <w:rStyle w:val="aff4"/>
          <w:rFonts w:hint="cs"/>
          <w:rtl/>
        </w:rPr>
        <w:t>הרמב"ם</w:t>
      </w:r>
      <w:r w:rsidRPr="00C444C9">
        <w:rPr>
          <w:rStyle w:val="aff4"/>
          <w:rFonts w:hint="cs"/>
          <w:vanish/>
          <w:rtl/>
        </w:rPr>
        <w:t>-</w:t>
      </w:r>
      <w:r>
        <w:rPr>
          <w:rFonts w:hint="cs"/>
          <w:rtl/>
        </w:rPr>
        <w:t xml:space="preserve"> דעל שאר התולדות לוקין מכת מרדות, וביאר </w:t>
      </w:r>
      <w:r w:rsidRPr="00C444C9">
        <w:rPr>
          <w:rStyle w:val="aff4"/>
          <w:rFonts w:hint="cs"/>
          <w:vanish/>
          <w:rtl/>
        </w:rPr>
        <w:t>-</w:t>
      </w:r>
      <w:r w:rsidRPr="004F32D2">
        <w:rPr>
          <w:rStyle w:val="aff4"/>
          <w:rFonts w:hint="cs"/>
          <w:rtl/>
        </w:rPr>
        <w:t>הרמב"ם</w:t>
      </w:r>
      <w:r w:rsidRPr="00C444C9">
        <w:rPr>
          <w:rStyle w:val="aff4"/>
          <w:rFonts w:hint="cs"/>
          <w:vanish/>
          <w:rtl/>
        </w:rPr>
        <w:t>-</w:t>
      </w:r>
      <w:r>
        <w:rPr>
          <w:rFonts w:hint="cs"/>
          <w:rtl/>
        </w:rPr>
        <w:t xml:space="preserve"> דעל מבריך ומרכיב חייב מכת מרדות, וכתב </w:t>
      </w:r>
      <w:r w:rsidRPr="00C444C9">
        <w:rPr>
          <w:rStyle w:val="aff4"/>
          <w:rFonts w:hint="cs"/>
          <w:vanish/>
          <w:rtl/>
        </w:rPr>
        <w:t>-</w:t>
      </w:r>
      <w:r w:rsidRPr="004F32D2">
        <w:rPr>
          <w:rStyle w:val="aff4"/>
          <w:rFonts w:hint="cs"/>
          <w:rtl/>
        </w:rPr>
        <w:t>המנחת חינוך</w:t>
      </w:r>
      <w:r w:rsidRPr="00C444C9">
        <w:rPr>
          <w:rStyle w:val="aff4"/>
          <w:rFonts w:hint="cs"/>
          <w:vanish/>
          <w:rtl/>
        </w:rPr>
        <w:t>-</w:t>
      </w:r>
      <w:r>
        <w:rPr>
          <w:rFonts w:hint="cs"/>
          <w:rtl/>
        </w:rPr>
        <w:t xml:space="preserve"> דאף דלענין שבת, כתב </w:t>
      </w:r>
      <w:r w:rsidRPr="00C444C9">
        <w:rPr>
          <w:rStyle w:val="aff4"/>
          <w:rFonts w:hint="cs"/>
          <w:vanish/>
          <w:rtl/>
        </w:rPr>
        <w:t>-</w:t>
      </w:r>
      <w:r w:rsidRPr="004F32D2">
        <w:rPr>
          <w:rStyle w:val="aff4"/>
          <w:rFonts w:hint="cs"/>
          <w:rtl/>
        </w:rPr>
        <w:t>הרמב"ם</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Ref133477286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כט)</w:t>
      </w:r>
      <w:r>
        <w:rPr>
          <w:rStyle w:val="af2"/>
          <w:rFonts w:eastAsia="Guttman Hodes"/>
          <w:rtl/>
        </w:rPr>
        <w:fldChar w:fldCharType="end"/>
      </w:r>
      <w:r>
        <w:rPr>
          <w:rFonts w:hint="cs"/>
          <w:rtl/>
        </w:rPr>
        <w:t xml:space="preserve"> דנוטע ומבריך ומרכיב וזומר הם אבות דזורע, וביאר </w:t>
      </w:r>
      <w:r w:rsidRPr="00C444C9">
        <w:rPr>
          <w:rStyle w:val="aff4"/>
          <w:rFonts w:hint="cs"/>
          <w:vanish/>
          <w:rtl/>
        </w:rPr>
        <w:t>-</w:t>
      </w:r>
      <w:r w:rsidRPr="004F32D2">
        <w:rPr>
          <w:rStyle w:val="aff4"/>
          <w:rFonts w:hint="cs"/>
          <w:rtl/>
        </w:rPr>
        <w:t>המ"מ</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Ref133477285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לו)</w:t>
      </w:r>
      <w:r>
        <w:rPr>
          <w:rStyle w:val="af2"/>
          <w:rFonts w:eastAsia="Guttman Hodes"/>
          <w:rtl/>
        </w:rPr>
        <w:fldChar w:fldCharType="end"/>
      </w:r>
      <w:r>
        <w:rPr>
          <w:rFonts w:hint="cs"/>
          <w:rtl/>
        </w:rPr>
        <w:t xml:space="preserve"> דכיון שהם דומים לאב בדמיון גמור הם בכלל האב, מ"מ לענין שביעית מבואר </w:t>
      </w:r>
      <w:r w:rsidRPr="00C444C9">
        <w:rPr>
          <w:rStyle w:val="aff4"/>
          <w:rFonts w:hint="cs"/>
          <w:vanish/>
          <w:rtl/>
        </w:rPr>
        <w:t>-</w:t>
      </w:r>
      <w:r w:rsidRPr="004F32D2">
        <w:rPr>
          <w:rStyle w:val="aff4"/>
          <w:rFonts w:hint="cs"/>
          <w:rtl/>
        </w:rPr>
        <w:t>ברמב"ם</w:t>
      </w:r>
      <w:r w:rsidRPr="00C444C9">
        <w:rPr>
          <w:rStyle w:val="aff4"/>
          <w:rFonts w:hint="cs"/>
          <w:vanish/>
          <w:rtl/>
        </w:rPr>
        <w:t>-</w:t>
      </w:r>
      <w:r>
        <w:rPr>
          <w:rFonts w:hint="cs"/>
          <w:rtl/>
        </w:rPr>
        <w:t xml:space="preserve"> דאין חייב עליהם מדאו' ואסורין רק מדרבנן, </w:t>
      </w:r>
      <w:bookmarkStart w:id="519" w:name="_Hlk133316995"/>
      <w:r>
        <w:rPr>
          <w:rFonts w:hint="cs"/>
          <w:rtl/>
        </w:rPr>
        <w:t xml:space="preserve">והקשה </w:t>
      </w:r>
      <w:r w:rsidRPr="00C444C9">
        <w:rPr>
          <w:rStyle w:val="aff4"/>
          <w:rFonts w:hint="cs"/>
          <w:vanish/>
          <w:rtl/>
        </w:rPr>
        <w:t>-</w:t>
      </w:r>
      <w:r w:rsidRPr="004F32D2">
        <w:rPr>
          <w:rStyle w:val="aff4"/>
          <w:rFonts w:hint="cs"/>
          <w:rtl/>
        </w:rPr>
        <w:t>המנחת חינוך</w:t>
      </w:r>
      <w:r w:rsidRPr="00C444C9">
        <w:rPr>
          <w:rStyle w:val="aff4"/>
          <w:rFonts w:hint="cs"/>
          <w:vanish/>
          <w:rtl/>
        </w:rPr>
        <w:t>-</w:t>
      </w:r>
      <w:r>
        <w:rPr>
          <w:rFonts w:hint="cs"/>
          <w:rtl/>
        </w:rPr>
        <w:t xml:space="preserve"> דהא בגמ' בגיטין </w:t>
      </w:r>
      <w:r w:rsidRPr="002A0D0C">
        <w:rPr>
          <w:rStyle w:val="af2"/>
          <w:rFonts w:eastAsia="Guttman Hodes" w:hint="cs"/>
          <w:rtl/>
        </w:rPr>
        <w:t>(נג:)</w:t>
      </w:r>
      <w:r>
        <w:rPr>
          <w:rFonts w:hint="cs"/>
          <w:rtl/>
        </w:rPr>
        <w:t xml:space="preserve"> איתא להדיא דנוטע בשביעית אסור מדאו', </w:t>
      </w:r>
      <w:bookmarkEnd w:id="519"/>
      <w:r>
        <w:rPr>
          <w:rFonts w:hint="cs"/>
          <w:rtl/>
        </w:rPr>
        <w:t xml:space="preserve">ותירץ </w:t>
      </w:r>
      <w:r w:rsidRPr="00C444C9">
        <w:rPr>
          <w:rStyle w:val="aff4"/>
          <w:rFonts w:hint="cs"/>
          <w:vanish/>
          <w:rtl/>
        </w:rPr>
        <w:t>-</w:t>
      </w:r>
      <w:r w:rsidRPr="004F32D2">
        <w:rPr>
          <w:rStyle w:val="aff4"/>
          <w:rFonts w:hint="cs"/>
          <w:rtl/>
        </w:rPr>
        <w:t>המנחת חינוך</w:t>
      </w:r>
      <w:r w:rsidRPr="00C444C9">
        <w:rPr>
          <w:rStyle w:val="aff4"/>
          <w:rFonts w:hint="cs"/>
          <w:vanish/>
          <w:rtl/>
        </w:rPr>
        <w:t>-</w:t>
      </w:r>
      <w:r>
        <w:rPr>
          <w:rFonts w:hint="cs"/>
          <w:rtl/>
        </w:rPr>
        <w:t xml:space="preserve"> דהגמ' שם היא כמ"ד דנוטע בשביעית דאו' ולא קיי"ל כן.</w:t>
      </w:r>
      <w:bookmarkEnd w:id="518"/>
    </w:p>
    <w:p w14:paraId="1719C4D3" w14:textId="77777777" w:rsidR="009623A2" w:rsidRPr="00747170" w:rsidRDefault="009623A2" w:rsidP="00747170">
      <w:pPr>
        <w:pStyle w:val="a2"/>
      </w:pPr>
      <w:r w:rsidRPr="00747170">
        <w:rPr>
          <w:rtl/>
        </w:rPr>
        <w:t>(א) שלא נעשה עבודה כו' ולשון ספרא כו'. הדינים מבוארים בר"מ שם. והנה הספרא שמביא הרהמ"ח הזריעה וזמירה בכלל היה היינו בכלל שביתה ושבתה הארץ כו' ולמה יצאו כו' איני מבין דיצאו לעבור בלאו דהשביתה היא רק בעשה ולא ללקות ואין הספרא ת"י כעת. ומבואר במ"ק דזמירה בכלל זריעה כו' למימר דאהני תולדות מחייב אאחרינא לא מחייב. ועיין כאן בלשון הר"ם פ"א ה"ג כתב דעל שאר התולדות כו' עם שאר האבות שלא נתפרשו בענין זה אין לוקין. וער"מ פ"ז מה' שבת כתב דזורע ונוטע ומבריך כו' והזומר כל אלו אבות מלאכות הם וע"ש בה"ד ובמ"מ שם דאלו שדומים לאב בדמיון גמור הם אבות מלאכות ולא תולדות ע"ש. והנה כאן דכתב הר"מ דאבות שלא נתפרשו ג"כ אינם בכלל דזריעה וזמירה דוקא א"כ אפי' על האבות האחרים א"ח וכ"ה בר"מ כאן ה"ד וכן המבריך והנוטע כו' מכין אותו מכות מרדות מדבריהם וכ"כ בה"ה והטעם דלא נתפרשו בתורה. ונראה מד' הר"מ ד"ז אסור רק מדרבנן</w:t>
      </w:r>
      <w:r w:rsidRPr="00747170">
        <w:rPr>
          <w:rFonts w:hint="cs"/>
          <w:rtl/>
        </w:rPr>
        <w:t>.</w:t>
      </w:r>
      <w:r w:rsidRPr="00747170">
        <w:rPr>
          <w:rtl/>
        </w:rPr>
        <w:t xml:space="preserve"> ולכאורה תמוה מהש"ס דגיטין דף י"ג דנטיעה אסור מה"ת ע"ש גבי והנוטע בשביעית מכדי הא דאורייתא והא דאורייתא ע"ש. אך אין זה תמיה כ"כ די"ל דהש"ס שם אזיל למ"ד נוטע דאורייתא ולהלכה אינו כן.</w:t>
      </w:r>
    </w:p>
    <w:p w14:paraId="52A0A36D" w14:textId="7631030E" w:rsidR="009623A2" w:rsidRDefault="009623A2" w:rsidP="009623A2">
      <w:pPr>
        <w:pStyle w:val="afffff7"/>
        <w:rPr>
          <w:rtl/>
        </w:rPr>
      </w:pPr>
      <w:bookmarkStart w:id="520" w:name="_Toc133841706"/>
      <w:bookmarkStart w:id="521" w:name="_Toc163505456"/>
      <w:r>
        <w:rPr>
          <w:rtl/>
        </w:rPr>
        <w:t>רמב"ם שמיטה ויובל א' א'</w:t>
      </w:r>
      <w:r>
        <w:rPr>
          <w:rFonts w:hint="cs"/>
          <w:rtl/>
        </w:rPr>
        <w:t>, ב', ג', ד'</w:t>
      </w:r>
      <w:bookmarkEnd w:id="520"/>
      <w:bookmarkEnd w:id="521"/>
    </w:p>
    <w:p w14:paraId="77AA5F17" w14:textId="77777777" w:rsidR="009623A2" w:rsidRPr="00C3176C" w:rsidRDefault="009623A2" w:rsidP="00747170">
      <w:pPr>
        <w:pStyle w:val="afffff5"/>
      </w:pPr>
      <w:r w:rsidRPr="00C3176C">
        <w:rPr>
          <w:rStyle w:val="afff7"/>
          <w:rtl/>
        </w:rPr>
        <w:t>מצות עשה לשבות מעבודת הארץ ועבודת האילן בשנה שביעית שנאמר ושבתה הארץ שבת ליי' ונאמר בחריש ובקציר תשבות,</w:t>
      </w:r>
      <w:r w:rsidRPr="00C3176C">
        <w:rPr>
          <w:rtl/>
        </w:rPr>
        <w:t xml:space="preserve"> וכל העושה מלאכה מעבודת הארץ או האילנות בשנה זו </w:t>
      </w:r>
      <w:r w:rsidRPr="00C3176C">
        <w:rPr>
          <w:rStyle w:val="afff7"/>
          <w:rtl/>
        </w:rPr>
        <w:t>ביטל מצות עשה</w:t>
      </w:r>
      <w:r w:rsidRPr="00C3176C">
        <w:rPr>
          <w:rtl/>
        </w:rPr>
        <w:t xml:space="preserve"> ועבר על לא תעשה שנאמר שדך לא תזרע וכרמך לא תזמור.</w:t>
      </w:r>
    </w:p>
    <w:p w14:paraId="5E0EF508" w14:textId="77777777" w:rsidR="009623A2" w:rsidRPr="00C3176C" w:rsidRDefault="009623A2" w:rsidP="00747170">
      <w:pPr>
        <w:pStyle w:val="afffff5"/>
      </w:pPr>
      <w:r w:rsidRPr="00C3176C">
        <w:rPr>
          <w:rtl/>
        </w:rPr>
        <w:t>אינו לוקה מן התורה אלא על הזריעה או על הזמירה ועל הקצירה או על הבצירה</w:t>
      </w:r>
      <w:r w:rsidRPr="00C3176C">
        <w:rPr>
          <w:rStyle w:val="afff7"/>
          <w:rtl/>
        </w:rPr>
        <w:t>, ואחד הכרם ואחד שאר האילנות.</w:t>
      </w:r>
    </w:p>
    <w:p w14:paraId="7EDB2186" w14:textId="77777777" w:rsidR="009623A2" w:rsidRPr="00C3176C" w:rsidRDefault="009623A2" w:rsidP="00747170">
      <w:pPr>
        <w:pStyle w:val="afffff5"/>
        <w:rPr>
          <w:rtl/>
        </w:rPr>
      </w:pPr>
      <w:r w:rsidRPr="00C3176C">
        <w:rPr>
          <w:rtl/>
        </w:rPr>
        <w:t>וזמירה בכלל זריעה ובצירה בכלל קצירה, ולמה פרטן הכתוב לומר לך על שתי תולדות אלו בלבד הוא חייב ועל שאר התולדות שבעבודת הארץ עם שאר האבות שלא נתפרשו בענין זה אינו לוקה עליהן, אבל מכין אותו מכת מרדות.</w:t>
      </w:r>
    </w:p>
    <w:p w14:paraId="37A207EB" w14:textId="77777777" w:rsidR="009623A2" w:rsidRPr="00C3176C" w:rsidRDefault="009623A2" w:rsidP="00747170">
      <w:pPr>
        <w:pStyle w:val="afffff5"/>
      </w:pPr>
      <w:r w:rsidRPr="00C3176C">
        <w:rPr>
          <w:rStyle w:val="afff7"/>
          <w:rtl/>
        </w:rPr>
        <w:t>כיצד החופר או החורש לצורך הקרקע או המסקל או המזבל וכיוצא בהן משאר עבודת הארץ,</w:t>
      </w:r>
      <w:r w:rsidRPr="00C3176C">
        <w:rPr>
          <w:rtl/>
        </w:rPr>
        <w:t xml:space="preserve"> וכן המבריך או המרכיב או הנוטע וכיוצא בהן מעבודת האילנות מכין אותו מכת מרדות מדבריהן.</w:t>
      </w:r>
    </w:p>
    <w:p w14:paraId="5E168E1F" w14:textId="4CEA1943" w:rsidR="009623A2" w:rsidRDefault="009623A2" w:rsidP="009623A2">
      <w:pPr>
        <w:pStyle w:val="afffff7"/>
        <w:rPr>
          <w:rtl/>
        </w:rPr>
      </w:pPr>
      <w:bookmarkStart w:id="522" w:name="_Toc133841707"/>
      <w:bookmarkStart w:id="523" w:name="_Toc163505457"/>
      <w:r>
        <w:rPr>
          <w:rtl/>
        </w:rPr>
        <w:t xml:space="preserve">מנחת חינוך פרשת בהר מצוה שכז אות </w:t>
      </w:r>
      <w:r>
        <w:rPr>
          <w:rFonts w:hint="cs"/>
          <w:rtl/>
        </w:rPr>
        <w:t>ד</w:t>
      </w:r>
      <w:bookmarkEnd w:id="522"/>
      <w:bookmarkEnd w:id="523"/>
    </w:p>
    <w:p w14:paraId="22572D9B" w14:textId="77777777" w:rsidR="009623A2" w:rsidRPr="00855A2A" w:rsidRDefault="009623A2" w:rsidP="009623A2">
      <w:pPr>
        <w:pStyle w:val="a7"/>
        <w:rPr>
          <w:rtl/>
        </w:rPr>
      </w:pPr>
      <w:bookmarkStart w:id="524" w:name="_Toc134419723"/>
      <w:r>
        <w:rPr>
          <w:rFonts w:hint="cs"/>
          <w:rtl/>
        </w:rPr>
        <w:t>בי' המנ"ח דאף דבשביעית נוטע פטור מ"מ הזורע גרעין אילן אסור בשביעית אף דבכלאים מותר</w:t>
      </w:r>
      <w:bookmarkEnd w:id="524"/>
    </w:p>
    <w:p w14:paraId="057D4DD5" w14:textId="43525DB0" w:rsidR="009623A2" w:rsidRDefault="009623A2" w:rsidP="00BC7DC8">
      <w:pPr>
        <w:pStyle w:val="a3"/>
      </w:pPr>
      <w:bookmarkStart w:id="525" w:name="_Ref133575506"/>
      <w:r>
        <w:rPr>
          <w:rFonts w:hint="cs"/>
          <w:rtl/>
        </w:rPr>
        <w:t>וכתב</w:t>
      </w:r>
      <w:r>
        <w:rPr>
          <w:rtl/>
        </w:rPr>
        <w:t xml:space="preserve"> </w:t>
      </w:r>
      <w:r w:rsidRPr="00C444C9">
        <w:rPr>
          <w:rStyle w:val="aff4"/>
          <w:vanish/>
          <w:rtl/>
        </w:rPr>
        <w:t>-</w:t>
      </w:r>
      <w:r w:rsidRPr="004F32D2">
        <w:rPr>
          <w:rStyle w:val="aff4"/>
          <w:rtl/>
        </w:rPr>
        <w:t>ה</w:t>
      </w:r>
      <w:r w:rsidRPr="00C444C9">
        <w:rPr>
          <w:rStyle w:val="aff4"/>
          <w:vanish/>
          <w:rtl/>
        </w:rPr>
        <w:t xml:space="preserve">&lt;. </w:t>
      </w:r>
      <w:r>
        <w:rPr>
          <w:rStyle w:val="aff4"/>
          <w:vanish/>
          <w:rtl/>
        </w:rPr>
        <w:fldChar w:fldCharType="begin"/>
      </w:r>
      <w:r>
        <w:rPr>
          <w:rStyle w:val="aff4"/>
          <w:vanish/>
          <w:rtl/>
        </w:rPr>
        <w:instrText xml:space="preserve"> </w:instrText>
      </w:r>
      <w:r>
        <w:rPr>
          <w:rStyle w:val="aff4"/>
          <w:vanish/>
        </w:rPr>
        <w:instrText>REF</w:instrText>
      </w:r>
      <w:r>
        <w:rPr>
          <w:rStyle w:val="aff4"/>
          <w:vanish/>
          <w:rtl/>
        </w:rPr>
        <w:instrText xml:space="preserve"> _</w:instrText>
      </w:r>
      <w:r>
        <w:rPr>
          <w:rStyle w:val="aff4"/>
          <w:vanish/>
        </w:rPr>
        <w:instrText>Ref133575506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קכב)</w:t>
      </w:r>
      <w:r>
        <w:rPr>
          <w:rStyle w:val="aff4"/>
          <w:vanish/>
          <w:rtl/>
        </w:rPr>
        <w:fldChar w:fldCharType="end"/>
      </w:r>
      <w:r w:rsidRPr="00C444C9">
        <w:rPr>
          <w:rStyle w:val="aff4"/>
          <w:vanish/>
          <w:rtl/>
        </w:rPr>
        <w:t xml:space="preserve"> &gt;</w:t>
      </w:r>
      <w:r w:rsidRPr="004F32D2">
        <w:rPr>
          <w:rStyle w:val="aff4"/>
          <w:rtl/>
        </w:rPr>
        <w:t>מנחת חינוך</w:t>
      </w:r>
      <w:r w:rsidRPr="00C444C9">
        <w:rPr>
          <w:rStyle w:val="aff4"/>
          <w:vanish/>
          <w:rtl/>
        </w:rPr>
        <w:t>-</w:t>
      </w:r>
      <w:r>
        <w:rPr>
          <w:rtl/>
        </w:rPr>
        <w:t xml:space="preserve"> </w:t>
      </w:r>
      <w:r w:rsidRPr="002A0D0C">
        <w:rPr>
          <w:rStyle w:val="af2"/>
          <w:rFonts w:eastAsia="Guttman Hodes"/>
          <w:rtl/>
        </w:rPr>
        <w:t xml:space="preserve">(מצוה שכ"ז </w:t>
      </w:r>
      <w:r w:rsidRPr="002A0D0C">
        <w:rPr>
          <w:rStyle w:val="af2"/>
          <w:rFonts w:eastAsia="Guttman Hodes" w:hint="cs"/>
          <w:rtl/>
        </w:rPr>
        <w:t>ד</w:t>
      </w:r>
      <w:r w:rsidRPr="002A0D0C">
        <w:rPr>
          <w:rStyle w:val="af2"/>
          <w:rFonts w:eastAsia="Guttman Hodes"/>
          <w:rtl/>
        </w:rPr>
        <w:t>')</w:t>
      </w:r>
      <w:r w:rsidRPr="00F80C94">
        <w:rPr>
          <w:vanish/>
          <w:rtl/>
        </w:rPr>
        <w:t>=</w:t>
      </w:r>
      <w:r>
        <w:rPr>
          <w:rFonts w:hint="cs"/>
          <w:rtl/>
        </w:rPr>
        <w:t xml:space="preserve"> דאעפ"י דבשביעית אין חיוב בנוטע, מ"מ הזורע זרע של אילן חייב בשביעית, כיון דכתיב "שדך לא תזרע", ואעפ"י דלענין כלאי הכרם אין חיוב בזורע זרע של אילן. </w:t>
      </w:r>
      <w:r w:rsidRPr="002A0D0C">
        <w:rPr>
          <w:rStyle w:val="af"/>
          <w:rFonts w:hint="cs"/>
          <w:rtl/>
        </w:rPr>
        <w:t xml:space="preserve">[כדכתבו </w:t>
      </w:r>
      <w:r w:rsidRPr="001145E2">
        <w:rPr>
          <w:rStyle w:val="aff9"/>
          <w:rFonts w:hint="cs"/>
          <w:vanish/>
          <w:rtl/>
        </w:rPr>
        <w:t>-</w:t>
      </w:r>
      <w:r w:rsidRPr="002A0D0C">
        <w:rPr>
          <w:rStyle w:val="aff9"/>
          <w:rFonts w:hint="cs"/>
          <w:rtl/>
        </w:rPr>
        <w:t>הרמב"ם</w:t>
      </w:r>
      <w:r w:rsidRPr="001145E2">
        <w:rPr>
          <w:rStyle w:val="aff9"/>
          <w:rFonts w:hint="cs"/>
          <w:vanish/>
          <w:rtl/>
        </w:rPr>
        <w:t>-</w:t>
      </w:r>
      <w:r w:rsidRPr="002A0D0C">
        <w:rPr>
          <w:rStyle w:val="af"/>
          <w:rFonts w:hint="cs"/>
          <w:rtl/>
        </w:rPr>
        <w:t xml:space="preserve"> </w:t>
      </w:r>
      <w:r w:rsidRPr="002A0D0C">
        <w:rPr>
          <w:rStyle w:val="aff5"/>
          <w:rFonts w:hint="cs"/>
          <w:rtl/>
        </w:rPr>
        <w:t>(כלאים פ"א ה"ו)</w:t>
      </w:r>
      <w:r w:rsidRPr="002A0D0C">
        <w:rPr>
          <w:rStyle w:val="af"/>
          <w:rFonts w:hint="cs"/>
          <w:rtl/>
        </w:rPr>
        <w:t xml:space="preserve"> </w:t>
      </w:r>
      <w:r w:rsidRPr="001145E2">
        <w:rPr>
          <w:rStyle w:val="aff9"/>
          <w:rFonts w:hint="cs"/>
          <w:vanish/>
          <w:rtl/>
        </w:rPr>
        <w:t>-</w:t>
      </w:r>
      <w:r w:rsidRPr="002A0D0C">
        <w:rPr>
          <w:rStyle w:val="aff9"/>
          <w:rFonts w:hint="cs"/>
          <w:rtl/>
        </w:rPr>
        <w:t>והחינוך</w:t>
      </w:r>
      <w:r w:rsidRPr="001145E2">
        <w:rPr>
          <w:rStyle w:val="aff9"/>
          <w:rFonts w:hint="cs"/>
          <w:vanish/>
          <w:rtl/>
        </w:rPr>
        <w:t>-</w:t>
      </w:r>
      <w:r w:rsidRPr="002A0D0C">
        <w:rPr>
          <w:rStyle w:val="af"/>
          <w:rFonts w:hint="cs"/>
          <w:rtl/>
        </w:rPr>
        <w:t xml:space="preserve"> </w:t>
      </w:r>
      <w:r w:rsidRPr="002A0D0C">
        <w:rPr>
          <w:rStyle w:val="aff5"/>
          <w:rFonts w:hint="cs"/>
          <w:rtl/>
        </w:rPr>
        <w:t>(מצוה רמ"ה)</w:t>
      </w:r>
      <w:r w:rsidRPr="002A0D0C">
        <w:rPr>
          <w:rStyle w:val="af"/>
          <w:rFonts w:hint="cs"/>
          <w:rtl/>
        </w:rPr>
        <w:t>]</w:t>
      </w:r>
      <w:r>
        <w:rPr>
          <w:rStyle w:val="af"/>
          <w:rFonts w:hint="cs"/>
          <w:rtl/>
        </w:rPr>
        <w:t>.</w:t>
      </w:r>
    </w:p>
    <w:p w14:paraId="331F9289" w14:textId="77777777" w:rsidR="009623A2" w:rsidRPr="00747170" w:rsidRDefault="009623A2" w:rsidP="00747170">
      <w:pPr>
        <w:pStyle w:val="a2"/>
        <w:rPr>
          <w:rtl/>
        </w:rPr>
      </w:pPr>
      <w:r w:rsidRPr="00747170">
        <w:rPr>
          <w:rtl/>
        </w:rPr>
        <w:t>ונראה דגם באילנות אם זרע אילן עובר דזריעה זרע אילנות הם בכלל לאו זה דשדך לא תזרע ואף דבכלאי זרעים א"ח אם זרע זרע אילנות ער"מ פ"ח דכלאים ובהרהמ"ח פ' קדושים</w:t>
      </w:r>
      <w:r w:rsidRPr="00747170">
        <w:rPr>
          <w:rFonts w:hint="cs"/>
          <w:rtl/>
        </w:rPr>
        <w:t>.</w:t>
      </w:r>
    </w:p>
    <w:p w14:paraId="5D456769" w14:textId="77777777" w:rsidR="009623A2" w:rsidRPr="00C44417" w:rsidRDefault="009623A2" w:rsidP="009623A2">
      <w:pPr>
        <w:pStyle w:val="a7"/>
      </w:pPr>
      <w:bookmarkStart w:id="526" w:name="_Toc134419724"/>
      <w:r>
        <w:rPr>
          <w:rFonts w:hint="cs"/>
          <w:rtl/>
        </w:rPr>
        <w:t>בי' המנ"ח דבשביעית כתי' "שדך לא תזרע" ולא מפורש דהוא רק בזרעים ולא בזריעת אילנות</w:t>
      </w:r>
      <w:bookmarkEnd w:id="526"/>
    </w:p>
    <w:p w14:paraId="4A9D1896" w14:textId="3607117C" w:rsidR="009623A2" w:rsidRDefault="009623A2" w:rsidP="00BC7DC8">
      <w:pPr>
        <w:pStyle w:val="a3"/>
      </w:pPr>
      <w:r>
        <w:rPr>
          <w:rFonts w:hint="cs"/>
          <w:rtl/>
        </w:rPr>
        <w:t>וביאר</w:t>
      </w:r>
      <w:r>
        <w:rPr>
          <w:rtl/>
        </w:rPr>
        <w:t xml:space="preserve"> </w:t>
      </w:r>
      <w:r w:rsidRPr="00C444C9">
        <w:rPr>
          <w:rStyle w:val="aff4"/>
          <w:vanish/>
          <w:rtl/>
        </w:rPr>
        <w:t>-</w:t>
      </w:r>
      <w:r w:rsidRPr="004F32D2">
        <w:rPr>
          <w:rStyle w:val="aff4"/>
          <w:rtl/>
        </w:rPr>
        <w:t>המנחת חינוך</w:t>
      </w:r>
      <w:r w:rsidRPr="00C444C9">
        <w:rPr>
          <w:rStyle w:val="aff4"/>
          <w:vanish/>
          <w:rtl/>
        </w:rPr>
        <w:t>-</w:t>
      </w:r>
      <w:r>
        <w:rPr>
          <w:rtl/>
        </w:rPr>
        <w:t xml:space="preserve"> </w:t>
      </w:r>
      <w:r>
        <w:rPr>
          <w:rFonts w:hint="cs"/>
          <w:rtl/>
        </w:rPr>
        <w:t>מ"מ בשביעית אסור, כיון דכתיב "שדך לא תזרע", ולא מפורש דהוא רק בזריעה של זרעים ולא בזריעה של אילנות, וא"כ פשיטא דאף זרע של אילן הוא בכלל.</w:t>
      </w:r>
      <w:bookmarkEnd w:id="525"/>
    </w:p>
    <w:p w14:paraId="07C50C7C" w14:textId="77777777" w:rsidR="009623A2" w:rsidRPr="00747170" w:rsidRDefault="009623A2" w:rsidP="00747170">
      <w:pPr>
        <w:pStyle w:val="a2"/>
      </w:pPr>
      <w:r w:rsidRPr="00747170">
        <w:rPr>
          <w:rtl/>
        </w:rPr>
        <w:t>אבל כאן דכתיב שדך לא תזרע ואין מפורש איזה זריעה נ"פ דזריעות זרע אילנות הם בכלל לאו זה דשדך לא תזרע ועמש"ל בלאו הקודם ובמ"ש לקמן:</w:t>
      </w:r>
    </w:p>
    <w:p w14:paraId="2D7CAA4B" w14:textId="77E81F3B" w:rsidR="009623A2" w:rsidRDefault="009623A2" w:rsidP="009623A2">
      <w:pPr>
        <w:pStyle w:val="afffff7"/>
        <w:rPr>
          <w:rtl/>
        </w:rPr>
      </w:pPr>
      <w:bookmarkStart w:id="527" w:name="_Toc133841708"/>
      <w:bookmarkStart w:id="528" w:name="_Toc163505458"/>
      <w:r>
        <w:rPr>
          <w:rFonts w:hint="cs"/>
          <w:rtl/>
        </w:rPr>
        <w:t>חזון איש שביעית סי' י</w:t>
      </w:r>
      <w:r>
        <w:rPr>
          <w:rFonts w:cs="Guttman Hodes" w:hint="cs"/>
          <w:rtl/>
        </w:rPr>
        <w:t>"</w:t>
      </w:r>
      <w:r>
        <w:rPr>
          <w:rFonts w:hint="cs"/>
          <w:rtl/>
        </w:rPr>
        <w:t>ז סק</w:t>
      </w:r>
      <w:r>
        <w:rPr>
          <w:rFonts w:cs="Guttman Hodes" w:hint="cs"/>
          <w:rtl/>
        </w:rPr>
        <w:t>"</w:t>
      </w:r>
      <w:r>
        <w:rPr>
          <w:rFonts w:hint="cs"/>
          <w:rtl/>
        </w:rPr>
        <w:t>כ ד</w:t>
      </w:r>
      <w:r>
        <w:rPr>
          <w:rFonts w:cs="Guttman Hodes" w:hint="cs"/>
          <w:rtl/>
        </w:rPr>
        <w:t>"</w:t>
      </w:r>
      <w:r>
        <w:rPr>
          <w:rFonts w:hint="cs"/>
          <w:rtl/>
        </w:rPr>
        <w:t>ה שם ה</w:t>
      </w:r>
      <w:r>
        <w:rPr>
          <w:rFonts w:cs="Guttman Hodes" w:hint="cs"/>
          <w:rtl/>
        </w:rPr>
        <w:t>"</w:t>
      </w:r>
      <w:r>
        <w:rPr>
          <w:rFonts w:hint="cs"/>
          <w:rtl/>
        </w:rPr>
        <w:t>ד</w:t>
      </w:r>
      <w:bookmarkEnd w:id="527"/>
      <w:bookmarkEnd w:id="528"/>
    </w:p>
    <w:p w14:paraId="229DD065" w14:textId="77777777" w:rsidR="009623A2" w:rsidRDefault="009623A2" w:rsidP="009623A2">
      <w:pPr>
        <w:pStyle w:val="a7"/>
        <w:rPr>
          <w:rtl/>
        </w:rPr>
      </w:pPr>
      <w:bookmarkStart w:id="529" w:name="_Toc134419725"/>
      <w:r>
        <w:rPr>
          <w:rFonts w:hint="cs"/>
          <w:rtl/>
        </w:rPr>
        <w:t>בי' החזו"א דמוכח בגיטין דנוטע אסור ואפש"ל דאסור מק"ו ואין לוקין עליו וה"ה בגרעין אילן</w:t>
      </w:r>
      <w:bookmarkEnd w:id="529"/>
    </w:p>
    <w:p w14:paraId="1B5081AB" w14:textId="455A76CD" w:rsidR="009623A2" w:rsidRPr="007316BA" w:rsidRDefault="009623A2" w:rsidP="00BC7DC8">
      <w:pPr>
        <w:pStyle w:val="a3"/>
      </w:pPr>
      <w:bookmarkStart w:id="530" w:name="_Ref133575521"/>
      <w:r>
        <w:rPr>
          <w:rFonts w:hint="cs"/>
          <w:rtl/>
        </w:rPr>
        <w:t xml:space="preserve">במ"ש </w:t>
      </w:r>
      <w:r w:rsidRPr="00C444C9">
        <w:rPr>
          <w:rStyle w:val="aff4"/>
          <w:rFonts w:hint="cs"/>
          <w:vanish/>
          <w:rtl/>
        </w:rPr>
        <w:t>-</w:t>
      </w:r>
      <w:r w:rsidRPr="004F32D2">
        <w:rPr>
          <w:rStyle w:val="aff4"/>
          <w:rFonts w:hint="cs"/>
          <w:rtl/>
        </w:rPr>
        <w:t>הרמב"ם</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sidRPr="002A0D0C">
        <w:rPr>
          <w:rStyle w:val="af2"/>
          <w:rFonts w:eastAsia="Guttman Hodes"/>
          <w:rtl/>
        </w:rPr>
        <w:fldChar w:fldCharType="begin"/>
      </w:r>
      <w:r w:rsidRPr="002A0D0C">
        <w:rPr>
          <w:rStyle w:val="af2"/>
          <w:rFonts w:eastAsia="Guttman Hodes"/>
          <w:rtl/>
        </w:rPr>
        <w:instrText xml:space="preserve"> </w:instrText>
      </w:r>
      <w:r w:rsidRPr="002A0D0C">
        <w:rPr>
          <w:rStyle w:val="af2"/>
          <w:rFonts w:eastAsia="Guttman Hodes" w:hint="cs"/>
        </w:rPr>
        <w:instrText>REF</w:instrText>
      </w:r>
      <w:r w:rsidRPr="002A0D0C">
        <w:rPr>
          <w:rStyle w:val="af2"/>
          <w:rFonts w:eastAsia="Guttman Hodes" w:hint="cs"/>
          <w:rtl/>
        </w:rPr>
        <w:instrText xml:space="preserve"> _</w:instrText>
      </w:r>
      <w:r w:rsidRPr="002A0D0C">
        <w:rPr>
          <w:rStyle w:val="af2"/>
          <w:rFonts w:eastAsia="Guttman Hodes" w:hint="cs"/>
        </w:rPr>
        <w:instrText>Ref133317794 \r \h</w:instrText>
      </w:r>
      <w:r w:rsidRPr="002A0D0C">
        <w:rPr>
          <w:rStyle w:val="af2"/>
          <w:rFonts w:eastAsia="Guttman Hodes"/>
          <w:rtl/>
        </w:rPr>
        <w:instrText xml:space="preserve"> </w:instrText>
      </w:r>
      <w:r w:rsidRPr="002A0D0C">
        <w:rPr>
          <w:rStyle w:val="af2"/>
          <w:rFonts w:eastAsia="Guttman Hodes"/>
          <w:rtl/>
        </w:rPr>
      </w:r>
      <w:r w:rsidRPr="002A0D0C">
        <w:rPr>
          <w:rStyle w:val="af2"/>
          <w:rFonts w:eastAsia="Guttman Hodes"/>
          <w:rtl/>
        </w:rPr>
        <w:fldChar w:fldCharType="separate"/>
      </w:r>
      <w:r w:rsidR="00D82181">
        <w:rPr>
          <w:rStyle w:val="af2"/>
          <w:rFonts w:eastAsia="Guttman Hodes"/>
          <w:cs/>
        </w:rPr>
        <w:t>‎</w:t>
      </w:r>
      <w:r w:rsidR="00D82181">
        <w:rPr>
          <w:rStyle w:val="af2"/>
          <w:rFonts w:eastAsia="Guttman Hodes"/>
          <w:rtl/>
        </w:rPr>
        <w:t>קכא)</w:t>
      </w:r>
      <w:r w:rsidRPr="002A0D0C">
        <w:rPr>
          <w:rStyle w:val="af2"/>
          <w:rFonts w:eastAsia="Guttman Hodes"/>
          <w:rtl/>
        </w:rPr>
        <w:fldChar w:fldCharType="end"/>
      </w:r>
      <w:r>
        <w:rPr>
          <w:rFonts w:hint="cs"/>
          <w:rtl/>
        </w:rPr>
        <w:t xml:space="preserve"> דנוטע בשביעית לוקה מכת מרדות מדרבנן, הקשה </w:t>
      </w:r>
      <w:r w:rsidRPr="00C444C9">
        <w:rPr>
          <w:rStyle w:val="aff4"/>
          <w:rFonts w:hint="cs"/>
          <w:vanish/>
          <w:rtl/>
        </w:rPr>
        <w:t>-</w:t>
      </w:r>
      <w:r w:rsidRPr="004F32D2">
        <w:rPr>
          <w:rStyle w:val="aff4"/>
          <w:rFonts w:hint="cs"/>
          <w:rtl/>
        </w:rPr>
        <w:t>ה</w:t>
      </w:r>
      <w:r w:rsidRPr="00C444C9">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Ref133575521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קכד)</w:t>
      </w:r>
      <w:r>
        <w:rPr>
          <w:rStyle w:val="aff4"/>
          <w:vanish/>
          <w:rtl/>
        </w:rPr>
        <w:fldChar w:fldCharType="end"/>
      </w:r>
      <w:r w:rsidRPr="00C444C9">
        <w:rPr>
          <w:rStyle w:val="aff4"/>
          <w:rFonts w:hint="cs"/>
          <w:vanish/>
          <w:rtl/>
        </w:rPr>
        <w:t xml:space="preserve"> &gt;</w:t>
      </w:r>
      <w:r w:rsidRPr="004F32D2">
        <w:rPr>
          <w:rStyle w:val="aff4"/>
          <w:rFonts w:hint="cs"/>
          <w:rtl/>
        </w:rPr>
        <w:t>חזו"א</w:t>
      </w:r>
      <w:r w:rsidRPr="00C444C9">
        <w:rPr>
          <w:rStyle w:val="aff4"/>
          <w:rFonts w:hint="cs"/>
          <w:vanish/>
          <w:rtl/>
        </w:rPr>
        <w:t>-</w:t>
      </w:r>
      <w:r>
        <w:rPr>
          <w:rFonts w:hint="cs"/>
          <w:rtl/>
        </w:rPr>
        <w:t xml:space="preserve"> </w:t>
      </w:r>
      <w:r w:rsidRPr="002A0D0C">
        <w:rPr>
          <w:rStyle w:val="af2"/>
          <w:rFonts w:eastAsia="Guttman Hodes" w:hint="cs"/>
          <w:rtl/>
        </w:rPr>
        <w:t>(שביעית סי' י"ז סק"כ ד"ה שם ה"ד)</w:t>
      </w:r>
      <w:r w:rsidRPr="00F80C94">
        <w:rPr>
          <w:rFonts w:hint="cs"/>
          <w:vanish/>
          <w:rtl/>
        </w:rPr>
        <w:t>=</w:t>
      </w:r>
      <w:r>
        <w:rPr>
          <w:rFonts w:hint="cs"/>
          <w:rtl/>
        </w:rPr>
        <w:t xml:space="preserve"> דהא בגמ' בגיטין </w:t>
      </w:r>
      <w:r w:rsidRPr="002A0D0C">
        <w:rPr>
          <w:rStyle w:val="af2"/>
          <w:rFonts w:eastAsia="Guttman Hodes" w:hint="cs"/>
          <w:rtl/>
        </w:rPr>
        <w:t>(נג:)</w:t>
      </w:r>
      <w:r>
        <w:rPr>
          <w:rFonts w:hint="cs"/>
          <w:rtl/>
        </w:rPr>
        <w:t xml:space="preserve"> איתא להדיא דנוטע בשביעית אסור מדאו', </w:t>
      </w:r>
      <w:r w:rsidRPr="002A0D0C">
        <w:rPr>
          <w:rStyle w:val="af"/>
          <w:rFonts w:hint="cs"/>
          <w:rtl/>
        </w:rPr>
        <w:t xml:space="preserve">[וכן הקשה </w:t>
      </w:r>
      <w:r w:rsidRPr="001145E2">
        <w:rPr>
          <w:rStyle w:val="aff9"/>
          <w:rFonts w:hint="cs"/>
          <w:vanish/>
          <w:rtl/>
        </w:rPr>
        <w:t>-</w:t>
      </w:r>
      <w:r w:rsidRPr="002A0D0C">
        <w:rPr>
          <w:rStyle w:val="aff9"/>
          <w:rFonts w:hint="cs"/>
          <w:rtl/>
        </w:rPr>
        <w:t>המנחת חינוך</w:t>
      </w:r>
      <w:r w:rsidRPr="001145E2">
        <w:rPr>
          <w:rStyle w:val="aff9"/>
          <w:rFonts w:hint="cs"/>
          <w:vanish/>
          <w:rtl/>
        </w:rPr>
        <w:t>-</w:t>
      </w:r>
      <w:r w:rsidRPr="002A0D0C">
        <w:rPr>
          <w:rStyle w:val="af"/>
          <w:rFonts w:hint="cs"/>
          <w:rtl/>
        </w:rPr>
        <w:t xml:space="preserve"> </w:t>
      </w:r>
      <w:r w:rsidRPr="002A0D0C">
        <w:rPr>
          <w:rStyle w:val="aff5"/>
          <w:rFonts w:hint="cs"/>
          <w:rtl/>
        </w:rPr>
        <w:t xml:space="preserve">(עי' אות </w:t>
      </w:r>
      <w:r w:rsidRPr="002A0D0C">
        <w:rPr>
          <w:rStyle w:val="aff5"/>
          <w:rtl/>
        </w:rPr>
        <w:fldChar w:fldCharType="begin"/>
      </w:r>
      <w:r w:rsidRPr="002A0D0C">
        <w:rPr>
          <w:rStyle w:val="aff5"/>
          <w:rtl/>
        </w:rPr>
        <w:instrText xml:space="preserve"> </w:instrText>
      </w:r>
      <w:r w:rsidRPr="002A0D0C">
        <w:rPr>
          <w:rStyle w:val="aff5"/>
          <w:rFonts w:hint="cs"/>
        </w:rPr>
        <w:instrText>REF</w:instrText>
      </w:r>
      <w:r w:rsidRPr="002A0D0C">
        <w:rPr>
          <w:rStyle w:val="aff5"/>
          <w:rFonts w:hint="cs"/>
          <w:rtl/>
        </w:rPr>
        <w:instrText xml:space="preserve"> _</w:instrText>
      </w:r>
      <w:r w:rsidRPr="002A0D0C">
        <w:rPr>
          <w:rStyle w:val="aff5"/>
          <w:rFonts w:hint="cs"/>
        </w:rPr>
        <w:instrText>Ref133317794 \r \h</w:instrText>
      </w:r>
      <w:r w:rsidRPr="002A0D0C">
        <w:rPr>
          <w:rStyle w:val="aff5"/>
          <w:rtl/>
        </w:rPr>
        <w:instrText xml:space="preserve">  \* </w:instrText>
      </w:r>
      <w:r w:rsidRPr="002A0D0C">
        <w:rPr>
          <w:rStyle w:val="aff5"/>
        </w:rPr>
        <w:instrText>MERGEFORMAT</w:instrText>
      </w:r>
      <w:r w:rsidRPr="002A0D0C">
        <w:rPr>
          <w:rStyle w:val="aff5"/>
          <w:rtl/>
        </w:rPr>
        <w:instrText xml:space="preserve"> </w:instrText>
      </w:r>
      <w:r w:rsidRPr="002A0D0C">
        <w:rPr>
          <w:rStyle w:val="aff5"/>
          <w:rtl/>
        </w:rPr>
      </w:r>
      <w:r w:rsidRPr="002A0D0C">
        <w:rPr>
          <w:rStyle w:val="aff5"/>
          <w:rtl/>
        </w:rPr>
        <w:fldChar w:fldCharType="separate"/>
      </w:r>
      <w:r w:rsidR="00D82181">
        <w:rPr>
          <w:rStyle w:val="aff5"/>
          <w:cs/>
        </w:rPr>
        <w:t>‎</w:t>
      </w:r>
      <w:r w:rsidR="00D82181">
        <w:rPr>
          <w:rStyle w:val="aff5"/>
          <w:rtl/>
        </w:rPr>
        <w:t>קכא)</w:t>
      </w:r>
      <w:r w:rsidRPr="002A0D0C">
        <w:rPr>
          <w:rStyle w:val="aff5"/>
          <w:rtl/>
        </w:rPr>
        <w:fldChar w:fldCharType="end"/>
      </w:r>
      <w:r w:rsidRPr="002A0D0C">
        <w:rPr>
          <w:rStyle w:val="af"/>
          <w:rFonts w:hint="cs"/>
          <w:rtl/>
        </w:rPr>
        <w:t>]</w:t>
      </w:r>
      <w:r w:rsidRPr="00345748">
        <w:rPr>
          <w:rStyle w:val="af"/>
          <w:rFonts w:hint="cs"/>
          <w:rtl/>
        </w:rPr>
        <w:t>,</w:t>
      </w:r>
      <w:r w:rsidRPr="00C65BED">
        <w:rPr>
          <w:rStyle w:val="af"/>
          <w:rFonts w:hint="cs"/>
          <w:rtl/>
        </w:rPr>
        <w:t xml:space="preserve"> </w:t>
      </w:r>
      <w:r w:rsidRPr="00C65BED">
        <w:rPr>
          <w:rFonts w:hint="cs"/>
          <w:rtl/>
        </w:rPr>
        <w:t xml:space="preserve">וכתב </w:t>
      </w:r>
      <w:r w:rsidRPr="00C444C9">
        <w:rPr>
          <w:rStyle w:val="aff4"/>
          <w:rFonts w:hint="cs"/>
          <w:vanish/>
          <w:rtl/>
        </w:rPr>
        <w:t>-</w:t>
      </w:r>
      <w:r w:rsidRPr="004F32D2">
        <w:rPr>
          <w:rStyle w:val="aff4"/>
          <w:rFonts w:hint="cs"/>
          <w:rtl/>
        </w:rPr>
        <w:t>החזו"א</w:t>
      </w:r>
      <w:r w:rsidRPr="00C444C9">
        <w:rPr>
          <w:rStyle w:val="aff4"/>
          <w:rFonts w:hint="cs"/>
          <w:vanish/>
          <w:rtl/>
        </w:rPr>
        <w:t>-</w:t>
      </w:r>
      <w:r w:rsidRPr="00C65BED">
        <w:rPr>
          <w:rFonts w:hint="cs"/>
          <w:rtl/>
        </w:rPr>
        <w:t xml:space="preserve"> דאפש"ל דנוטע אסור מדאו' מק"ו דנטיעה היא בכלל זימור, ואין לוקין עליו כיון דאין מזהירין מן הדין, והוסיף </w:t>
      </w:r>
      <w:r w:rsidRPr="00C444C9">
        <w:rPr>
          <w:rStyle w:val="aff4"/>
          <w:rFonts w:hint="cs"/>
          <w:vanish/>
          <w:rtl/>
        </w:rPr>
        <w:t>-</w:t>
      </w:r>
      <w:r w:rsidRPr="004F32D2">
        <w:rPr>
          <w:rStyle w:val="aff4"/>
          <w:rFonts w:hint="cs"/>
          <w:rtl/>
        </w:rPr>
        <w:t>החזו"א</w:t>
      </w:r>
      <w:r w:rsidRPr="00C444C9">
        <w:rPr>
          <w:rStyle w:val="aff4"/>
          <w:rFonts w:hint="cs"/>
          <w:vanish/>
          <w:rtl/>
        </w:rPr>
        <w:t>-</w:t>
      </w:r>
      <w:r w:rsidRPr="00C65BED">
        <w:rPr>
          <w:rFonts w:hint="cs"/>
          <w:rtl/>
        </w:rPr>
        <w:t xml:space="preserve"> דאף נוטע גרעין של אילן, אינו לוקה בשביעית, דזורע גרעין של אילן לא חשיב זורע כדאיתא בירושלמי בפאה </w:t>
      </w:r>
      <w:r w:rsidRPr="002A0D0C">
        <w:rPr>
          <w:rStyle w:val="af2"/>
          <w:rFonts w:eastAsia="Guttman Hodes" w:hint="cs"/>
          <w:rtl/>
        </w:rPr>
        <w:t>(פ"א ה"ד, ז:)</w:t>
      </w:r>
      <w:r w:rsidRPr="00C65BED">
        <w:rPr>
          <w:rFonts w:hint="cs"/>
          <w:rtl/>
        </w:rPr>
        <w:t xml:space="preserve"> דזרעי אילן אינן קרוים זרעים.</w:t>
      </w:r>
      <w:r w:rsidRPr="00352D70">
        <w:rPr>
          <w:rStyle w:val="aff4"/>
          <w:rFonts w:hint="cs"/>
          <w:rtl/>
        </w:rPr>
        <w:t xml:space="preserve"> </w:t>
      </w:r>
      <w:r w:rsidRPr="002A0D0C">
        <w:rPr>
          <w:rStyle w:val="af"/>
          <w:rFonts w:hint="cs"/>
          <w:rtl/>
        </w:rPr>
        <w:t xml:space="preserve">[כגירסת </w:t>
      </w:r>
      <w:r w:rsidRPr="001145E2">
        <w:rPr>
          <w:rStyle w:val="aff9"/>
          <w:rFonts w:hint="cs"/>
          <w:vanish/>
          <w:rtl/>
        </w:rPr>
        <w:t>-</w:t>
      </w:r>
      <w:r w:rsidRPr="002A0D0C">
        <w:rPr>
          <w:rStyle w:val="aff9"/>
          <w:rFonts w:hint="cs"/>
          <w:rtl/>
        </w:rPr>
        <w:t>הגר"א</w:t>
      </w:r>
      <w:r w:rsidRPr="001145E2">
        <w:rPr>
          <w:rStyle w:val="aff9"/>
          <w:rFonts w:hint="cs"/>
          <w:vanish/>
          <w:rtl/>
        </w:rPr>
        <w:t>-</w:t>
      </w:r>
      <w:r w:rsidRPr="002A0D0C">
        <w:rPr>
          <w:rStyle w:val="af"/>
          <w:rFonts w:hint="cs"/>
          <w:rtl/>
        </w:rPr>
        <w:t>]</w:t>
      </w:r>
      <w:r w:rsidRPr="00345748">
        <w:rPr>
          <w:rStyle w:val="af"/>
          <w:rFonts w:hint="cs"/>
          <w:rtl/>
        </w:rPr>
        <w:t>.</w:t>
      </w:r>
      <w:bookmarkEnd w:id="530"/>
      <w:r>
        <w:rPr>
          <w:rFonts w:hint="cs"/>
          <w:rtl/>
        </w:rPr>
        <w:t xml:space="preserve"> </w:t>
      </w:r>
    </w:p>
    <w:p w14:paraId="7A8B41D4" w14:textId="77777777" w:rsidR="009623A2" w:rsidRPr="00747170" w:rsidRDefault="009623A2" w:rsidP="00747170">
      <w:pPr>
        <w:pStyle w:val="a2"/>
        <w:rPr>
          <w:rtl/>
        </w:rPr>
      </w:pPr>
      <w:r w:rsidRPr="00747170">
        <w:rPr>
          <w:rFonts w:hint="cs"/>
          <w:rtl/>
        </w:rPr>
        <w:t xml:space="preserve">שם ה"ד </w:t>
      </w:r>
      <w:r w:rsidRPr="00747170">
        <w:rPr>
          <w:rtl/>
        </w:rPr>
        <w:t>או נוטע תימא הא אמר גיטין נ"ג ב' דנטיעה דאוריתא וע"כ נטיעה בכלל זימור ועי' לק' ס"ק כ"ד ואפשר דהוי בכלל אין מזהירין מן הדין ולפיכך אין לוקין על הנטיעה אע"ג דהוי דאוריתא ונראה דא</w:t>
      </w:r>
      <w:r w:rsidRPr="00747170">
        <w:rPr>
          <w:rFonts w:hint="cs"/>
          <w:rtl/>
        </w:rPr>
        <w:t>ף נ</w:t>
      </w:r>
      <w:r w:rsidRPr="00747170">
        <w:rPr>
          <w:rtl/>
        </w:rPr>
        <w:t>וטע גרעין לא חשיב זורע וכדאמר פאה פ"א ה"ד זרעי אילן א</w:t>
      </w:r>
      <w:r w:rsidRPr="00747170">
        <w:rPr>
          <w:rFonts w:hint="cs"/>
          <w:rtl/>
        </w:rPr>
        <w:t>י</w:t>
      </w:r>
      <w:r w:rsidRPr="00747170">
        <w:rPr>
          <w:rtl/>
        </w:rPr>
        <w:t xml:space="preserve">נן קרוים זרעים </w:t>
      </w:r>
      <w:r w:rsidRPr="00747170">
        <w:rPr>
          <w:rFonts w:hint="cs"/>
          <w:rtl/>
        </w:rPr>
        <w:t>ע</w:t>
      </w:r>
      <w:r w:rsidRPr="00747170">
        <w:rPr>
          <w:rtl/>
        </w:rPr>
        <w:t>יי"ש בבהגר"א</w:t>
      </w:r>
      <w:r w:rsidRPr="00747170">
        <w:rPr>
          <w:rFonts w:hint="cs"/>
          <w:rtl/>
        </w:rPr>
        <w:t>.</w:t>
      </w:r>
    </w:p>
    <w:p w14:paraId="4B695182" w14:textId="77777777" w:rsidR="009623A2" w:rsidRPr="00F84F5C" w:rsidRDefault="009623A2" w:rsidP="009623A2">
      <w:pPr>
        <w:pStyle w:val="a7"/>
        <w:rPr>
          <w:rtl/>
        </w:rPr>
      </w:pPr>
    </w:p>
    <w:p w14:paraId="2268CCDB" w14:textId="77777777" w:rsidR="009623A2" w:rsidRPr="00D609C3" w:rsidRDefault="009623A2" w:rsidP="009623A2">
      <w:pPr>
        <w:pStyle w:val="a7"/>
        <w:rPr>
          <w:rtl/>
        </w:rPr>
        <w:sectPr w:rsidR="009623A2" w:rsidRPr="00D609C3" w:rsidSect="00773771">
          <w:footerReference w:type="default" r:id="rId35"/>
          <w:type w:val="continuous"/>
          <w:pgSz w:w="11906" w:h="16838"/>
          <w:pgMar w:top="720" w:right="720" w:bottom="720" w:left="720" w:header="283" w:footer="283" w:gutter="0"/>
          <w:cols w:num="2" w:space="567"/>
          <w:titlePg/>
          <w:bidi/>
          <w:rtlGutter/>
          <w:docGrid w:linePitch="299"/>
        </w:sectPr>
      </w:pPr>
    </w:p>
    <w:p w14:paraId="2987C53A" w14:textId="77777777" w:rsidR="009623A2" w:rsidRPr="00126B3E" w:rsidRDefault="009623A2" w:rsidP="009623A2">
      <w:pPr>
        <w:pStyle w:val="a7"/>
        <w:rPr>
          <w:rtl/>
        </w:rPr>
        <w:sectPr w:rsidR="009623A2" w:rsidRPr="00126B3E" w:rsidSect="00773771">
          <w:type w:val="continuous"/>
          <w:pgSz w:w="11906" w:h="16838"/>
          <w:pgMar w:top="720" w:right="720" w:bottom="720" w:left="720" w:header="283" w:footer="283" w:gutter="0"/>
          <w:cols w:num="2" w:space="567"/>
          <w:titlePg/>
          <w:bidi/>
          <w:rtlGutter/>
          <w:docGrid w:linePitch="299"/>
        </w:sectPr>
      </w:pPr>
    </w:p>
    <w:p w14:paraId="58A6097A" w14:textId="77777777" w:rsidR="009623A2" w:rsidRPr="00126B3E" w:rsidRDefault="008D6ECA" w:rsidP="009623A2">
      <w:pPr>
        <w:tabs>
          <w:tab w:val="left" w:pos="1163"/>
        </w:tabs>
        <w:spacing w:after="0" w:line="240" w:lineRule="auto"/>
        <w:jc w:val="center"/>
        <w:rPr>
          <w:rFonts w:eastAsiaTheme="minorHAnsi"/>
        </w:rPr>
      </w:pPr>
      <w:r>
        <w:rPr>
          <w:rFonts w:ascii="Guttman Hodes" w:eastAsia="Guttman Hodes" w:hAnsi="Guttman Hodes" w:cs="Guttman Hodes"/>
          <w:noProof/>
          <w:sz w:val="18"/>
          <w:szCs w:val="18"/>
        </w:rPr>
        <w:lastRenderedPageBreak/>
        <w:pict w14:anchorId="358197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850" type="#_x0000_t75" style="width:404.55pt;height:6.8pt" o:hrpct="0" o:hralign="center" o:hr="t">
            <v:imagedata r:id="rId36" o:title="BD14845_"/>
          </v:shape>
        </w:pict>
      </w:r>
    </w:p>
    <w:p w14:paraId="74C66B21" w14:textId="77777777" w:rsidR="009623A2" w:rsidRPr="00126B3E" w:rsidRDefault="009623A2" w:rsidP="009623A2">
      <w:pPr>
        <w:pStyle w:val="affff5"/>
        <w:rPr>
          <w:rtl/>
        </w:rPr>
        <w:sectPr w:rsidR="009623A2" w:rsidRPr="00126B3E">
          <w:pgSz w:w="11906" w:h="16838"/>
          <w:pgMar w:top="720" w:right="720" w:bottom="720" w:left="720" w:header="283" w:footer="283" w:gutter="0"/>
          <w:cols w:space="720"/>
          <w:bidi/>
          <w:rtlGutter/>
        </w:sectPr>
      </w:pPr>
      <w:bookmarkStart w:id="531" w:name="_Toc134419726"/>
      <w:r w:rsidRPr="00126B3E">
        <w:rPr>
          <w:rFonts w:hint="cs"/>
          <w:rtl/>
        </w:rPr>
        <w:t>~</w:t>
      </w:r>
      <w:r w:rsidRPr="00126B3E">
        <w:rPr>
          <w:rFonts w:hint="cs"/>
          <w:noProof/>
          <w:rtl/>
        </w:rPr>
        <w:t>~~~~~~</w:t>
      </w:r>
      <w:r w:rsidRPr="00126B3E">
        <w:rPr>
          <w:rFonts w:hint="cs"/>
          <w:rtl/>
        </w:rPr>
        <w:t xml:space="preserve"> ביאורי ראשי הישיבות ~</w:t>
      </w:r>
      <w:r w:rsidRPr="00126B3E">
        <w:rPr>
          <w:rFonts w:hint="cs"/>
          <w:noProof/>
          <w:rtl/>
        </w:rPr>
        <w:t>~~~~</w:t>
      </w:r>
      <w:r w:rsidRPr="00126B3E">
        <w:rPr>
          <w:rFonts w:hint="cs"/>
          <w:rtl/>
        </w:rPr>
        <w:t>~~</w:t>
      </w:r>
      <w:bookmarkEnd w:id="531"/>
    </w:p>
    <w:p w14:paraId="7B08BAB5" w14:textId="77777777" w:rsidR="009623A2" w:rsidRDefault="009623A2" w:rsidP="009623A2">
      <w:pPr>
        <w:pStyle w:val="affff5"/>
        <w:rPr>
          <w:rtl/>
        </w:rPr>
      </w:pPr>
      <w:bookmarkStart w:id="532" w:name="_Toc134419727"/>
      <w:r>
        <w:rPr>
          <w:rFonts w:hint="cs"/>
          <w:rtl/>
        </w:rPr>
        <w:t>בזורע בשבת דמצמיח לשביעית דבקרקע</w:t>
      </w:r>
      <w:bookmarkEnd w:id="532"/>
    </w:p>
    <w:p w14:paraId="18EFBD59" w14:textId="77777777" w:rsidR="009623A2" w:rsidRDefault="009623A2" w:rsidP="009623A2">
      <w:pPr>
        <w:pStyle w:val="afffff7"/>
        <w:rPr>
          <w:rtl/>
        </w:rPr>
      </w:pPr>
      <w:bookmarkStart w:id="533" w:name="_Toc133841709"/>
      <w:bookmarkStart w:id="534" w:name="_Toc163505459"/>
      <w:r>
        <w:rPr>
          <w:rFonts w:hint="cs"/>
          <w:rtl/>
        </w:rPr>
        <w:t>כתבי קה"י מועד סי' כ"ז</w:t>
      </w:r>
      <w:bookmarkEnd w:id="533"/>
      <w:bookmarkEnd w:id="534"/>
    </w:p>
    <w:p w14:paraId="403FC218" w14:textId="77777777" w:rsidR="009623A2" w:rsidRDefault="009623A2" w:rsidP="009623A2">
      <w:pPr>
        <w:pStyle w:val="1"/>
        <w:rPr>
          <w:rtl/>
        </w:rPr>
      </w:pPr>
      <w:bookmarkStart w:id="535" w:name="_Toc134419728"/>
      <w:r>
        <w:rPr>
          <w:rFonts w:hint="cs"/>
          <w:rtl/>
        </w:rPr>
        <w:t>בי' הקה"י דבשבת האיסור להצמיח ובשביעית אילן ל"ה כקרקע</w:t>
      </w:r>
      <w:bookmarkEnd w:id="535"/>
    </w:p>
    <w:p w14:paraId="6905E67D" w14:textId="77777777" w:rsidR="009623A2" w:rsidRPr="001363C3" w:rsidRDefault="009623A2" w:rsidP="009623A2">
      <w:pPr>
        <w:pStyle w:val="a7"/>
        <w:rPr>
          <w:rtl/>
        </w:rPr>
      </w:pPr>
      <w:bookmarkStart w:id="536" w:name="_Toc134419729"/>
      <w:r>
        <w:rPr>
          <w:rFonts w:hint="cs"/>
          <w:rtl/>
        </w:rPr>
        <w:t>בי' הקה"י ברש"י דמסברא זומר תולדה ולא אב דזריעה היא נתינת דבר בקרקע וזמירה להיפך</w:t>
      </w:r>
      <w:bookmarkEnd w:id="536"/>
      <w:r>
        <w:rPr>
          <w:rFonts w:hint="cs"/>
          <w:rtl/>
        </w:rPr>
        <w:t xml:space="preserve"> </w:t>
      </w:r>
    </w:p>
    <w:p w14:paraId="22682619" w14:textId="01C29C35" w:rsidR="009623A2" w:rsidRPr="00637C87" w:rsidRDefault="009623A2" w:rsidP="00BC7DC8">
      <w:pPr>
        <w:pStyle w:val="a3"/>
      </w:pPr>
      <w:bookmarkStart w:id="537" w:name="_Ref133360954"/>
      <w:r>
        <w:rPr>
          <w:rFonts w:hint="cs"/>
          <w:rtl/>
        </w:rPr>
        <w:t xml:space="preserve">במ"ש </w:t>
      </w:r>
      <w:r w:rsidRPr="00C444C9">
        <w:rPr>
          <w:rStyle w:val="aff4"/>
          <w:rFonts w:hint="cs"/>
          <w:vanish/>
          <w:rtl/>
        </w:rPr>
        <w:t>-</w:t>
      </w:r>
      <w:r w:rsidRPr="004F32D2">
        <w:rPr>
          <w:rStyle w:val="aff4"/>
          <w:rFonts w:hint="cs"/>
          <w:rtl/>
        </w:rPr>
        <w:t>רש"י</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Ref133481736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א)</w:t>
      </w:r>
      <w:r>
        <w:rPr>
          <w:rStyle w:val="af2"/>
          <w:rFonts w:eastAsia="Guttman Hodes"/>
          <w:rtl/>
        </w:rPr>
        <w:fldChar w:fldCharType="end"/>
      </w:r>
      <w:r>
        <w:rPr>
          <w:rFonts w:hint="cs"/>
          <w:rtl/>
        </w:rPr>
        <w:t xml:space="preserve"> דזומר היא תולדה, כתב </w:t>
      </w:r>
      <w:r w:rsidRPr="00C444C9">
        <w:rPr>
          <w:rStyle w:val="aff4"/>
          <w:rFonts w:hint="cs"/>
          <w:vanish/>
          <w:rtl/>
        </w:rPr>
        <w:t>-</w:t>
      </w:r>
      <w:r w:rsidRPr="004F32D2">
        <w:rPr>
          <w:rStyle w:val="aff4"/>
          <w:rFonts w:hint="cs"/>
          <w:rtl/>
        </w:rPr>
        <w:t>ב</w:t>
      </w:r>
      <w:r w:rsidRPr="00C444C9">
        <w:rPr>
          <w:rStyle w:val="aff4"/>
          <w:rFonts w:hint="cs"/>
          <w:vanish/>
          <w:rtl/>
        </w:rPr>
        <w:t xml:space="preserve">&lt;. </w:t>
      </w:r>
      <w:r w:rsidRPr="00C444C9">
        <w:rPr>
          <w:rStyle w:val="aff4"/>
          <w:vanish/>
          <w:rtl/>
        </w:rPr>
        <w:fldChar w:fldCharType="begin"/>
      </w:r>
      <w:r w:rsidRPr="00C444C9">
        <w:rPr>
          <w:rStyle w:val="aff4"/>
          <w:vanish/>
          <w:rtl/>
        </w:rPr>
        <w:instrText xml:space="preserve"> </w:instrText>
      </w:r>
      <w:r w:rsidRPr="00C444C9">
        <w:rPr>
          <w:rStyle w:val="aff4"/>
          <w:rFonts w:hint="cs"/>
          <w:vanish/>
        </w:rPr>
        <w:instrText>REF</w:instrText>
      </w:r>
      <w:r w:rsidRPr="00C444C9">
        <w:rPr>
          <w:rStyle w:val="aff4"/>
          <w:rFonts w:hint="cs"/>
          <w:vanish/>
          <w:rtl/>
        </w:rPr>
        <w:instrText xml:space="preserve"> _</w:instrText>
      </w:r>
      <w:r w:rsidRPr="00C444C9">
        <w:rPr>
          <w:rStyle w:val="aff4"/>
          <w:rFonts w:hint="cs"/>
          <w:vanish/>
        </w:rPr>
        <w:instrText>Ref133360954 \r \h</w:instrText>
      </w:r>
      <w:r w:rsidRPr="00C444C9">
        <w:rPr>
          <w:rStyle w:val="aff4"/>
          <w:vanish/>
          <w:rtl/>
        </w:rPr>
        <w:instrText xml:space="preserve"> </w:instrText>
      </w:r>
      <w:r w:rsidRPr="00C444C9">
        <w:rPr>
          <w:rStyle w:val="aff4"/>
          <w:vanish/>
          <w:rtl/>
        </w:rPr>
      </w:r>
      <w:r w:rsidRPr="00C444C9">
        <w:rPr>
          <w:rStyle w:val="aff4"/>
          <w:vanish/>
          <w:rtl/>
        </w:rPr>
        <w:fldChar w:fldCharType="separate"/>
      </w:r>
      <w:r w:rsidR="00D82181">
        <w:rPr>
          <w:rStyle w:val="aff4"/>
          <w:vanish/>
          <w:cs/>
        </w:rPr>
        <w:t>‎</w:t>
      </w:r>
      <w:r w:rsidR="00D82181">
        <w:rPr>
          <w:rStyle w:val="aff4"/>
          <w:vanish/>
          <w:rtl/>
        </w:rPr>
        <w:t>קכה)</w:t>
      </w:r>
      <w:r w:rsidRPr="00C444C9">
        <w:rPr>
          <w:rStyle w:val="aff4"/>
          <w:vanish/>
          <w:rtl/>
        </w:rPr>
        <w:fldChar w:fldCharType="end"/>
      </w:r>
      <w:r w:rsidRPr="00C444C9">
        <w:rPr>
          <w:rStyle w:val="aff4"/>
          <w:rFonts w:hint="cs"/>
          <w:vanish/>
          <w:rtl/>
        </w:rPr>
        <w:t xml:space="preserve"> &gt;</w:t>
      </w:r>
      <w:r w:rsidRPr="004F32D2">
        <w:rPr>
          <w:rStyle w:val="aff4"/>
          <w:rFonts w:hint="cs"/>
          <w:rtl/>
        </w:rPr>
        <w:t xml:space="preserve">כתבי קה"י </w:t>
      </w:r>
      <w:r>
        <w:rPr>
          <w:rStyle w:val="aff4"/>
          <w:rFonts w:hint="cs"/>
          <w:rtl/>
        </w:rPr>
        <w:t>ב</w:t>
      </w:r>
      <w:r w:rsidRPr="004F32D2">
        <w:rPr>
          <w:rStyle w:val="aff4"/>
          <w:rFonts w:hint="cs"/>
          <w:rtl/>
        </w:rPr>
        <w:t>מועד</w:t>
      </w:r>
      <w:r w:rsidRPr="00C444C9">
        <w:rPr>
          <w:rStyle w:val="aff4"/>
          <w:rFonts w:hint="cs"/>
          <w:vanish/>
          <w:rtl/>
        </w:rPr>
        <w:t>-</w:t>
      </w:r>
      <w:r>
        <w:rPr>
          <w:rFonts w:hint="cs"/>
          <w:rtl/>
        </w:rPr>
        <w:t xml:space="preserve"> </w:t>
      </w:r>
      <w:r w:rsidRPr="002A0D0C">
        <w:rPr>
          <w:rStyle w:val="af2"/>
          <w:rFonts w:eastAsia="Guttman Hodes" w:hint="cs"/>
          <w:rtl/>
        </w:rPr>
        <w:t>(סי' כ"ז)</w:t>
      </w:r>
      <w:r w:rsidRPr="00753705">
        <w:rPr>
          <w:rFonts w:hint="cs"/>
          <w:vanish/>
          <w:rtl/>
        </w:rPr>
        <w:t>=</w:t>
      </w:r>
      <w:r>
        <w:rPr>
          <w:rFonts w:hint="cs"/>
          <w:rtl/>
        </w:rPr>
        <w:t xml:space="preserve"> דמסברא מבואר כן דהא זומר לא דמי לאב של זורע, כיון דכל זריעה היא כשהוא נותן דבר בתוך הקרקע, ואילו זומר עושה להיפך דנוטל מקצת מהדבר, ועי"ז צומח מה שנשאר מהעץ שנטל ממנו, ולכן זומר דומה לזורע רק בתכלית וכוונת מלאכת זריעה, אבל לא באופן של הזריעה, והביא </w:t>
      </w:r>
      <w:r w:rsidRPr="00C444C9">
        <w:rPr>
          <w:rStyle w:val="aff4"/>
          <w:rFonts w:hint="cs"/>
          <w:vanish/>
          <w:rtl/>
        </w:rPr>
        <w:t>-</w:t>
      </w:r>
      <w:r w:rsidRPr="004F32D2">
        <w:rPr>
          <w:rStyle w:val="aff4"/>
          <w:rFonts w:hint="cs"/>
          <w:rtl/>
        </w:rPr>
        <w:t>בכתבי קה"י</w:t>
      </w:r>
      <w:r w:rsidRPr="00C444C9">
        <w:rPr>
          <w:rStyle w:val="aff4"/>
          <w:rFonts w:hint="cs"/>
          <w:vanish/>
          <w:rtl/>
        </w:rPr>
        <w:t>-</w:t>
      </w:r>
      <w:r>
        <w:rPr>
          <w:rFonts w:hint="cs"/>
          <w:rtl/>
        </w:rPr>
        <w:t xml:space="preserve"> את דברי </w:t>
      </w:r>
      <w:r w:rsidRPr="00C444C9">
        <w:rPr>
          <w:rStyle w:val="aff4"/>
          <w:rFonts w:hint="cs"/>
          <w:vanish/>
          <w:rtl/>
        </w:rPr>
        <w:t>-</w:t>
      </w:r>
      <w:r w:rsidRPr="004F32D2">
        <w:rPr>
          <w:rStyle w:val="aff4"/>
          <w:rFonts w:hint="cs"/>
          <w:rtl/>
        </w:rPr>
        <w:t>האגלי טל</w:t>
      </w:r>
      <w:r w:rsidRPr="00C444C9">
        <w:rPr>
          <w:rStyle w:val="aff4"/>
          <w:rFonts w:hint="cs"/>
          <w:vanish/>
          <w:rtl/>
        </w:rPr>
        <w:t>-</w:t>
      </w:r>
      <w:r>
        <w:rPr>
          <w:rFonts w:hint="cs"/>
          <w:rtl/>
        </w:rPr>
        <w:t xml:space="preserve"> דכן איתא להדיא בגמ' במו"ק </w:t>
      </w:r>
      <w:r w:rsidRPr="002A0D0C">
        <w:rPr>
          <w:rStyle w:val="af2"/>
          <w:rFonts w:eastAsia="Guttman Hodes" w:hint="cs"/>
          <w:rtl/>
        </w:rPr>
        <w:t>(ג.)</w:t>
      </w:r>
      <w:r>
        <w:rPr>
          <w:rFonts w:hint="cs"/>
          <w:rtl/>
        </w:rPr>
        <w:t xml:space="preserve"> דלענין שביעית זמירה היא תולדה של זורע.</w:t>
      </w:r>
      <w:bookmarkEnd w:id="537"/>
    </w:p>
    <w:p w14:paraId="68D3D38E" w14:textId="77777777" w:rsidR="009623A2" w:rsidRDefault="009623A2" w:rsidP="009623A2">
      <w:pPr>
        <w:pStyle w:val="afffff7"/>
        <w:rPr>
          <w:rtl/>
        </w:rPr>
      </w:pPr>
      <w:bookmarkStart w:id="538" w:name="_Toc133841710"/>
      <w:bookmarkStart w:id="539" w:name="_Toc163505460"/>
      <w:r>
        <w:rPr>
          <w:rFonts w:hint="cs"/>
          <w:rtl/>
        </w:rPr>
        <w:t>כתבי קה"י מועד סי' כ"ז</w:t>
      </w:r>
      <w:r w:rsidRPr="00C65928">
        <w:rPr>
          <w:rFonts w:hint="cs"/>
          <w:rtl/>
        </w:rPr>
        <w:t xml:space="preserve"> </w:t>
      </w:r>
      <w:r>
        <w:rPr>
          <w:rFonts w:hint="cs"/>
          <w:rtl/>
        </w:rPr>
        <w:t>ד</w:t>
      </w:r>
      <w:r>
        <w:rPr>
          <w:rFonts w:cs="Guttman Hodes" w:hint="cs"/>
          <w:rtl/>
        </w:rPr>
        <w:t>"</w:t>
      </w:r>
      <w:r>
        <w:rPr>
          <w:rFonts w:hint="cs"/>
          <w:rtl/>
        </w:rPr>
        <w:t>ה ובאג</w:t>
      </w:r>
      <w:r>
        <w:rPr>
          <w:rFonts w:cs="Guttman Hodes" w:hint="cs"/>
          <w:rtl/>
        </w:rPr>
        <w:t>"</w:t>
      </w:r>
      <w:r>
        <w:rPr>
          <w:rFonts w:hint="cs"/>
          <w:rtl/>
        </w:rPr>
        <w:t>ט</w:t>
      </w:r>
      <w:bookmarkEnd w:id="538"/>
      <w:bookmarkEnd w:id="539"/>
    </w:p>
    <w:p w14:paraId="2167CDF9" w14:textId="77777777" w:rsidR="009623A2" w:rsidRPr="00A42957" w:rsidRDefault="009623A2" w:rsidP="009623A2">
      <w:pPr>
        <w:pStyle w:val="a7"/>
      </w:pPr>
      <w:bookmarkStart w:id="540" w:name="_Toc134419730"/>
      <w:r>
        <w:rPr>
          <w:rFonts w:hint="cs"/>
          <w:rtl/>
        </w:rPr>
        <w:t>קו' הקה"י על האגל"ט דאף דבשביעית א"צ מלאכת מחשבת מ"מ משקה תולדה ומ"ש זומר</w:t>
      </w:r>
      <w:bookmarkEnd w:id="540"/>
    </w:p>
    <w:p w14:paraId="265585B4" w14:textId="7FC5426C" w:rsidR="009623A2" w:rsidRDefault="009623A2" w:rsidP="00BC7DC8">
      <w:pPr>
        <w:pStyle w:val="a3"/>
        <w:rPr>
          <w:rtl/>
        </w:rPr>
      </w:pPr>
      <w:bookmarkStart w:id="541" w:name="_Ref133837310"/>
      <w:bookmarkStart w:id="542" w:name="_Ref133360977"/>
      <w:r>
        <w:rPr>
          <w:rFonts w:hint="cs"/>
          <w:rtl/>
        </w:rPr>
        <w:t xml:space="preserve">ובמ"ש </w:t>
      </w:r>
      <w:r w:rsidRPr="00C444C9">
        <w:rPr>
          <w:rStyle w:val="aff4"/>
          <w:rFonts w:hint="cs"/>
          <w:vanish/>
          <w:rtl/>
        </w:rPr>
        <w:t>-</w:t>
      </w:r>
      <w:r w:rsidRPr="004F32D2">
        <w:rPr>
          <w:rStyle w:val="aff4"/>
          <w:rFonts w:hint="cs"/>
          <w:rtl/>
        </w:rPr>
        <w:t>האגלי טל</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Ref133837249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נ)</w:t>
      </w:r>
      <w:r>
        <w:rPr>
          <w:rStyle w:val="af2"/>
          <w:rFonts w:eastAsia="Guttman Hodes"/>
          <w:rtl/>
        </w:rPr>
        <w:fldChar w:fldCharType="end"/>
      </w:r>
      <w:r>
        <w:rPr>
          <w:rFonts w:hint="cs"/>
          <w:rtl/>
        </w:rPr>
        <w:t xml:space="preserve"> בדעת </w:t>
      </w:r>
      <w:r w:rsidRPr="00C444C9">
        <w:rPr>
          <w:rStyle w:val="aff4"/>
          <w:rFonts w:hint="cs"/>
          <w:vanish/>
          <w:rtl/>
        </w:rPr>
        <w:t>-</w:t>
      </w:r>
      <w:r w:rsidRPr="004F32D2">
        <w:rPr>
          <w:rStyle w:val="aff4"/>
          <w:rFonts w:hint="cs"/>
          <w:rtl/>
        </w:rPr>
        <w:t>הרמב"ם</w:t>
      </w:r>
      <w:r w:rsidRPr="00C444C9">
        <w:rPr>
          <w:rStyle w:val="aff4"/>
          <w:rFonts w:hint="cs"/>
          <w:vanish/>
          <w:rtl/>
        </w:rPr>
        <w:t>-</w:t>
      </w:r>
      <w:r>
        <w:rPr>
          <w:rFonts w:hint="cs"/>
          <w:rtl/>
        </w:rPr>
        <w:t xml:space="preserve"> דהא דזומר הוא אב, אעפ"י דמבואר בגמ' במו"ק </w:t>
      </w:r>
      <w:r w:rsidRPr="002A0D0C">
        <w:rPr>
          <w:rStyle w:val="af2"/>
          <w:rFonts w:eastAsia="Guttman Hodes" w:hint="cs"/>
          <w:rtl/>
        </w:rPr>
        <w:t>(ג.)</w:t>
      </w:r>
      <w:r>
        <w:rPr>
          <w:rFonts w:hint="cs"/>
          <w:rtl/>
        </w:rPr>
        <w:t xml:space="preserve"> לענין שביעית דהוא תולדה, הוא כיון דלא בעינן בשביעית מלאכת מחשבת כמו בשבת, הקשה </w:t>
      </w:r>
      <w:r w:rsidRPr="00C444C9">
        <w:rPr>
          <w:rStyle w:val="aff4"/>
          <w:rFonts w:hint="cs"/>
          <w:vanish/>
          <w:rtl/>
        </w:rPr>
        <w:t>-</w:t>
      </w:r>
      <w:r w:rsidRPr="004F32D2">
        <w:rPr>
          <w:rStyle w:val="aff4"/>
          <w:rFonts w:hint="cs"/>
          <w:rtl/>
        </w:rPr>
        <w:t>ב</w:t>
      </w:r>
      <w:r w:rsidRPr="00C444C9">
        <w:rPr>
          <w:rStyle w:val="aff4"/>
          <w:rFonts w:hint="cs"/>
          <w:vanish/>
          <w:rtl/>
        </w:rPr>
        <w:t xml:space="preserve">&lt;. </w:t>
      </w:r>
      <w:r w:rsidRPr="00C444C9">
        <w:rPr>
          <w:rStyle w:val="aff4"/>
          <w:vanish/>
          <w:rtl/>
        </w:rPr>
        <w:fldChar w:fldCharType="begin"/>
      </w:r>
      <w:r w:rsidRPr="00C444C9">
        <w:rPr>
          <w:rStyle w:val="aff4"/>
          <w:vanish/>
          <w:rtl/>
        </w:rPr>
        <w:instrText xml:space="preserve"> </w:instrText>
      </w:r>
      <w:r w:rsidRPr="00C444C9">
        <w:rPr>
          <w:rStyle w:val="aff4"/>
          <w:rFonts w:hint="cs"/>
          <w:vanish/>
        </w:rPr>
        <w:instrText>REF</w:instrText>
      </w:r>
      <w:r w:rsidRPr="00C444C9">
        <w:rPr>
          <w:rStyle w:val="aff4"/>
          <w:rFonts w:hint="cs"/>
          <w:vanish/>
          <w:rtl/>
        </w:rPr>
        <w:instrText xml:space="preserve"> _</w:instrText>
      </w:r>
      <w:r w:rsidRPr="00C444C9">
        <w:rPr>
          <w:rStyle w:val="aff4"/>
          <w:rFonts w:hint="cs"/>
          <w:vanish/>
        </w:rPr>
        <w:instrText>Ref133360977 \r \h</w:instrText>
      </w:r>
      <w:r w:rsidRPr="00C444C9">
        <w:rPr>
          <w:rStyle w:val="aff4"/>
          <w:vanish/>
          <w:rtl/>
        </w:rPr>
        <w:instrText xml:space="preserve"> </w:instrText>
      </w:r>
      <w:r w:rsidRPr="00C444C9">
        <w:rPr>
          <w:rStyle w:val="aff4"/>
          <w:vanish/>
          <w:rtl/>
        </w:rPr>
      </w:r>
      <w:r w:rsidRPr="00C444C9">
        <w:rPr>
          <w:rStyle w:val="aff4"/>
          <w:vanish/>
          <w:rtl/>
        </w:rPr>
        <w:fldChar w:fldCharType="separate"/>
      </w:r>
      <w:r w:rsidR="00D82181">
        <w:rPr>
          <w:rStyle w:val="aff4"/>
          <w:vanish/>
          <w:cs/>
        </w:rPr>
        <w:t>‎</w:t>
      </w:r>
      <w:r w:rsidR="00D82181">
        <w:rPr>
          <w:rStyle w:val="aff4"/>
          <w:vanish/>
          <w:rtl/>
        </w:rPr>
        <w:t>קכו)</w:t>
      </w:r>
      <w:r w:rsidRPr="00C444C9">
        <w:rPr>
          <w:rStyle w:val="aff4"/>
          <w:vanish/>
          <w:rtl/>
        </w:rPr>
        <w:fldChar w:fldCharType="end"/>
      </w:r>
      <w:r w:rsidRPr="00C444C9">
        <w:rPr>
          <w:rStyle w:val="aff4"/>
          <w:rFonts w:hint="cs"/>
          <w:vanish/>
          <w:rtl/>
        </w:rPr>
        <w:t xml:space="preserve"> &gt;</w:t>
      </w:r>
      <w:r w:rsidRPr="004F32D2">
        <w:rPr>
          <w:rStyle w:val="aff4"/>
          <w:rFonts w:hint="cs"/>
          <w:rtl/>
        </w:rPr>
        <w:t xml:space="preserve">כתבי הקה"י </w:t>
      </w:r>
      <w:r>
        <w:rPr>
          <w:rStyle w:val="aff4"/>
          <w:rFonts w:hint="cs"/>
          <w:rtl/>
        </w:rPr>
        <w:t>ב</w:t>
      </w:r>
      <w:r w:rsidRPr="004F32D2">
        <w:rPr>
          <w:rStyle w:val="aff4"/>
          <w:rFonts w:hint="cs"/>
          <w:rtl/>
        </w:rPr>
        <w:t>מועד</w:t>
      </w:r>
      <w:r w:rsidRPr="00C444C9">
        <w:rPr>
          <w:rStyle w:val="aff4"/>
          <w:rFonts w:hint="cs"/>
          <w:vanish/>
          <w:rtl/>
        </w:rPr>
        <w:t>-</w:t>
      </w:r>
      <w:r>
        <w:rPr>
          <w:rFonts w:hint="cs"/>
          <w:rtl/>
        </w:rPr>
        <w:t xml:space="preserve"> </w:t>
      </w:r>
      <w:r w:rsidRPr="002A0D0C">
        <w:rPr>
          <w:rStyle w:val="af2"/>
          <w:rFonts w:eastAsia="Guttman Hodes" w:hint="cs"/>
          <w:rtl/>
        </w:rPr>
        <w:t>(סי' כ"ז ד"ה ובאג"ט)</w:t>
      </w:r>
      <w:r w:rsidRPr="00753705">
        <w:rPr>
          <w:rFonts w:hint="cs"/>
          <w:vanish/>
          <w:rtl/>
        </w:rPr>
        <w:t>=</w:t>
      </w:r>
      <w:r>
        <w:rPr>
          <w:rFonts w:hint="cs"/>
          <w:rtl/>
        </w:rPr>
        <w:t xml:space="preserve"> דאף משקה כוונתו להצמיח, ומ"מ אינו אב דזורע אלא תולדה כיון דהמעשה לא דומה לאב של זורע.</w:t>
      </w:r>
      <w:bookmarkEnd w:id="541"/>
    </w:p>
    <w:p w14:paraId="0E510BFF" w14:textId="77777777" w:rsidR="009623A2" w:rsidRDefault="009623A2" w:rsidP="009623A2">
      <w:pPr>
        <w:pStyle w:val="a7"/>
      </w:pPr>
      <w:bookmarkStart w:id="543" w:name="_Toc134419731"/>
      <w:bookmarkEnd w:id="542"/>
      <w:r>
        <w:rPr>
          <w:rFonts w:hint="cs"/>
          <w:rtl/>
        </w:rPr>
        <w:t>בי' הקה"י דצריך לדחוק באגל"ט דזמירה דמי קצת לקוצר וכיון דכוונתו להצמיח הוי תולדה</w:t>
      </w:r>
      <w:bookmarkEnd w:id="543"/>
    </w:p>
    <w:p w14:paraId="5645E4FE" w14:textId="77777777" w:rsidR="009623A2" w:rsidRDefault="009623A2" w:rsidP="00BC7DC8">
      <w:pPr>
        <w:pStyle w:val="a3"/>
        <w:rPr>
          <w:rtl/>
        </w:rPr>
      </w:pPr>
      <w:r>
        <w:rPr>
          <w:rFonts w:hint="cs"/>
          <w:rtl/>
        </w:rPr>
        <w:t xml:space="preserve">וכתב </w:t>
      </w:r>
      <w:r w:rsidRPr="00C444C9">
        <w:rPr>
          <w:rStyle w:val="aff4"/>
          <w:rFonts w:hint="cs"/>
          <w:vanish/>
          <w:rtl/>
        </w:rPr>
        <w:t>-</w:t>
      </w:r>
      <w:r w:rsidRPr="004F32D2">
        <w:rPr>
          <w:rStyle w:val="aff4"/>
          <w:rFonts w:hint="cs"/>
          <w:rtl/>
        </w:rPr>
        <w:t>בכתבי הקה"י</w:t>
      </w:r>
      <w:r w:rsidRPr="00C444C9">
        <w:rPr>
          <w:rStyle w:val="aff4"/>
          <w:rFonts w:hint="cs"/>
          <w:vanish/>
          <w:rtl/>
        </w:rPr>
        <w:t>-</w:t>
      </w:r>
      <w:r>
        <w:rPr>
          <w:rFonts w:hint="cs"/>
          <w:rtl/>
        </w:rPr>
        <w:t xml:space="preserve"> דצריך לדחוק דכוונת </w:t>
      </w:r>
      <w:r w:rsidRPr="00C444C9">
        <w:rPr>
          <w:rStyle w:val="aff4"/>
          <w:rFonts w:hint="cs"/>
          <w:vanish/>
          <w:rtl/>
        </w:rPr>
        <w:t>-</w:t>
      </w:r>
      <w:r w:rsidRPr="004F32D2">
        <w:rPr>
          <w:rStyle w:val="aff4"/>
          <w:rFonts w:hint="cs"/>
          <w:rtl/>
        </w:rPr>
        <w:t>האגלי טל</w:t>
      </w:r>
      <w:r w:rsidRPr="00C444C9">
        <w:rPr>
          <w:rStyle w:val="aff4"/>
          <w:rFonts w:hint="cs"/>
          <w:vanish/>
          <w:rtl/>
        </w:rPr>
        <w:t>-</w:t>
      </w:r>
      <w:r>
        <w:rPr>
          <w:rFonts w:hint="cs"/>
          <w:rtl/>
        </w:rPr>
        <w:t xml:space="preserve"> לומר דמעשה זמירה דמי במקצת למעשה של זורע, ובצירוף זה שבשניהם כוונתו להצמיח הוי אב, אך זהו דוחק.</w:t>
      </w:r>
    </w:p>
    <w:p w14:paraId="2DC40528" w14:textId="77777777" w:rsidR="009623A2" w:rsidRDefault="009623A2" w:rsidP="009623A2">
      <w:pPr>
        <w:pStyle w:val="afffff7"/>
        <w:rPr>
          <w:rtl/>
        </w:rPr>
      </w:pPr>
      <w:bookmarkStart w:id="544" w:name="_Toc133841711"/>
      <w:bookmarkStart w:id="545" w:name="_Toc163505461"/>
      <w:r>
        <w:rPr>
          <w:rFonts w:hint="cs"/>
          <w:rtl/>
        </w:rPr>
        <w:t>כתבי קה"י מועד סי' כ"ז</w:t>
      </w:r>
      <w:r w:rsidRPr="00C65928">
        <w:rPr>
          <w:rFonts w:hint="cs"/>
          <w:rtl/>
        </w:rPr>
        <w:t xml:space="preserve"> </w:t>
      </w:r>
      <w:r>
        <w:rPr>
          <w:rFonts w:hint="cs"/>
          <w:rtl/>
        </w:rPr>
        <w:t>ד</w:t>
      </w:r>
      <w:r>
        <w:rPr>
          <w:rFonts w:cs="Guttman Hodes" w:hint="cs"/>
          <w:rtl/>
        </w:rPr>
        <w:t>"</w:t>
      </w:r>
      <w:r>
        <w:rPr>
          <w:rFonts w:hint="cs"/>
          <w:rtl/>
        </w:rPr>
        <w:t>ה ולענ"ד</w:t>
      </w:r>
      <w:bookmarkEnd w:id="544"/>
      <w:bookmarkEnd w:id="545"/>
    </w:p>
    <w:p w14:paraId="540690F1" w14:textId="77777777" w:rsidR="009623A2" w:rsidRDefault="009623A2" w:rsidP="009623A2">
      <w:pPr>
        <w:pStyle w:val="a7"/>
      </w:pPr>
      <w:bookmarkStart w:id="546" w:name="_Toc134419732"/>
      <w:r>
        <w:rPr>
          <w:rFonts w:hint="cs"/>
          <w:rtl/>
        </w:rPr>
        <w:t>בי' הקה"י דבזורע בשבת האיסור בכל הצמחה אף שאינה בקרקע כדמוכח בשורה חיטין במים</w:t>
      </w:r>
      <w:bookmarkEnd w:id="546"/>
    </w:p>
    <w:p w14:paraId="1AF35D59" w14:textId="12048C51" w:rsidR="009623A2" w:rsidRDefault="009623A2" w:rsidP="00BC7DC8">
      <w:pPr>
        <w:pStyle w:val="a3"/>
        <w:rPr>
          <w:rtl/>
        </w:rPr>
      </w:pPr>
      <w:bookmarkStart w:id="547" w:name="_Ref133361012"/>
      <w:r>
        <w:rPr>
          <w:rFonts w:hint="cs"/>
          <w:rtl/>
        </w:rPr>
        <w:t xml:space="preserve">אלא ביאר </w:t>
      </w:r>
      <w:r w:rsidRPr="00C444C9">
        <w:rPr>
          <w:rStyle w:val="aff4"/>
          <w:rFonts w:hint="cs"/>
          <w:vanish/>
          <w:rtl/>
        </w:rPr>
        <w:t>-</w:t>
      </w:r>
      <w:r w:rsidRPr="004F32D2">
        <w:rPr>
          <w:rStyle w:val="aff4"/>
          <w:rFonts w:hint="cs"/>
          <w:rtl/>
        </w:rPr>
        <w:t>ב</w:t>
      </w:r>
      <w:r w:rsidRPr="00C444C9">
        <w:rPr>
          <w:rStyle w:val="aff4"/>
          <w:rFonts w:hint="cs"/>
          <w:vanish/>
          <w:rtl/>
        </w:rPr>
        <w:t xml:space="preserve">&lt;. </w:t>
      </w:r>
      <w:r w:rsidRPr="00C444C9">
        <w:rPr>
          <w:rStyle w:val="aff4"/>
          <w:vanish/>
          <w:rtl/>
        </w:rPr>
        <w:fldChar w:fldCharType="begin"/>
      </w:r>
      <w:r w:rsidRPr="00C444C9">
        <w:rPr>
          <w:rStyle w:val="aff4"/>
          <w:vanish/>
          <w:rtl/>
        </w:rPr>
        <w:instrText xml:space="preserve"> </w:instrText>
      </w:r>
      <w:r w:rsidRPr="00C444C9">
        <w:rPr>
          <w:rStyle w:val="aff4"/>
          <w:rFonts w:hint="cs"/>
          <w:vanish/>
        </w:rPr>
        <w:instrText>REF</w:instrText>
      </w:r>
      <w:r w:rsidRPr="00C444C9">
        <w:rPr>
          <w:rStyle w:val="aff4"/>
          <w:rFonts w:hint="cs"/>
          <w:vanish/>
          <w:rtl/>
        </w:rPr>
        <w:instrText xml:space="preserve"> _</w:instrText>
      </w:r>
      <w:r w:rsidRPr="00C444C9">
        <w:rPr>
          <w:rStyle w:val="aff4"/>
          <w:rFonts w:hint="cs"/>
          <w:vanish/>
        </w:rPr>
        <w:instrText>Ref133361012 \r \h</w:instrText>
      </w:r>
      <w:r w:rsidRPr="00C444C9">
        <w:rPr>
          <w:rStyle w:val="aff4"/>
          <w:vanish/>
          <w:rtl/>
        </w:rPr>
        <w:instrText xml:space="preserve"> </w:instrText>
      </w:r>
      <w:r w:rsidRPr="00C444C9">
        <w:rPr>
          <w:rStyle w:val="aff4"/>
          <w:vanish/>
          <w:rtl/>
        </w:rPr>
      </w:r>
      <w:r w:rsidRPr="00C444C9">
        <w:rPr>
          <w:rStyle w:val="aff4"/>
          <w:vanish/>
          <w:rtl/>
        </w:rPr>
        <w:fldChar w:fldCharType="separate"/>
      </w:r>
      <w:r w:rsidR="00D82181">
        <w:rPr>
          <w:rStyle w:val="aff4"/>
          <w:vanish/>
          <w:cs/>
        </w:rPr>
        <w:t>‎</w:t>
      </w:r>
      <w:r w:rsidR="00D82181">
        <w:rPr>
          <w:rStyle w:val="aff4"/>
          <w:vanish/>
          <w:rtl/>
        </w:rPr>
        <w:t>קכח)</w:t>
      </w:r>
      <w:r w:rsidRPr="00C444C9">
        <w:rPr>
          <w:rStyle w:val="aff4"/>
          <w:vanish/>
          <w:rtl/>
        </w:rPr>
        <w:fldChar w:fldCharType="end"/>
      </w:r>
      <w:r w:rsidRPr="00C444C9">
        <w:rPr>
          <w:rStyle w:val="aff4"/>
          <w:rFonts w:hint="cs"/>
          <w:vanish/>
          <w:rtl/>
        </w:rPr>
        <w:t xml:space="preserve"> &gt;</w:t>
      </w:r>
      <w:r w:rsidRPr="004F32D2">
        <w:rPr>
          <w:rStyle w:val="aff4"/>
          <w:rFonts w:hint="cs"/>
          <w:rtl/>
        </w:rPr>
        <w:t xml:space="preserve">כתבי הקה"י </w:t>
      </w:r>
      <w:r>
        <w:rPr>
          <w:rStyle w:val="aff4"/>
          <w:rFonts w:hint="cs"/>
          <w:rtl/>
        </w:rPr>
        <w:t>ב</w:t>
      </w:r>
      <w:r w:rsidRPr="004F32D2">
        <w:rPr>
          <w:rStyle w:val="aff4"/>
          <w:rFonts w:hint="cs"/>
          <w:rtl/>
        </w:rPr>
        <w:t>מועד</w:t>
      </w:r>
      <w:r w:rsidRPr="00C444C9">
        <w:rPr>
          <w:rStyle w:val="aff4"/>
          <w:rFonts w:hint="cs"/>
          <w:vanish/>
          <w:rtl/>
        </w:rPr>
        <w:t>-</w:t>
      </w:r>
      <w:r>
        <w:rPr>
          <w:rFonts w:hint="cs"/>
          <w:rtl/>
        </w:rPr>
        <w:t xml:space="preserve"> </w:t>
      </w:r>
      <w:r w:rsidRPr="002A0D0C">
        <w:rPr>
          <w:rStyle w:val="af2"/>
          <w:rFonts w:eastAsia="Guttman Hodes" w:hint="cs"/>
          <w:rtl/>
        </w:rPr>
        <w:t>(סי' כ"ז ד"ה ולענ"ד)</w:t>
      </w:r>
      <w:r w:rsidRPr="00753705">
        <w:rPr>
          <w:rFonts w:hint="cs"/>
          <w:vanish/>
          <w:rtl/>
        </w:rPr>
        <w:t>=</w:t>
      </w:r>
      <w:r>
        <w:rPr>
          <w:rFonts w:hint="cs"/>
          <w:rtl/>
        </w:rPr>
        <w:t xml:space="preserve"> דבזורע בשבת אסרה תורה כל מעשה שמצמיח אף אם אינו מצמיח ע"י הקרקע, וכמבואר בדברי </w:t>
      </w:r>
      <w:r w:rsidRPr="00C444C9">
        <w:rPr>
          <w:rStyle w:val="aff4"/>
          <w:rFonts w:hint="cs"/>
          <w:vanish/>
          <w:rtl/>
        </w:rPr>
        <w:t>-</w:t>
      </w:r>
      <w:r w:rsidRPr="004F32D2">
        <w:rPr>
          <w:rStyle w:val="aff4"/>
          <w:rFonts w:hint="cs"/>
          <w:rtl/>
        </w:rPr>
        <w:t>הרמב"ם</w:t>
      </w:r>
      <w:r w:rsidRPr="00C444C9">
        <w:rPr>
          <w:rStyle w:val="aff4"/>
          <w:rFonts w:hint="cs"/>
          <w:vanish/>
          <w:rtl/>
        </w:rPr>
        <w:t>-</w:t>
      </w:r>
      <w:r>
        <w:rPr>
          <w:rFonts w:hint="cs"/>
          <w:rtl/>
        </w:rPr>
        <w:t xml:space="preserve"> </w:t>
      </w:r>
      <w:r w:rsidRPr="002A0D0C">
        <w:rPr>
          <w:rStyle w:val="af2"/>
          <w:rFonts w:eastAsia="Guttman Hodes" w:hint="cs"/>
          <w:rtl/>
        </w:rPr>
        <w:t xml:space="preserve">(עי' אות </w:t>
      </w:r>
      <w:r w:rsidRPr="002A0D0C">
        <w:rPr>
          <w:rStyle w:val="af2"/>
          <w:rFonts w:eastAsia="Guttman Hodes"/>
          <w:rtl/>
        </w:rPr>
        <w:fldChar w:fldCharType="begin"/>
      </w:r>
      <w:r w:rsidRPr="002A0D0C">
        <w:rPr>
          <w:rStyle w:val="af2"/>
          <w:rFonts w:eastAsia="Guttman Hodes"/>
          <w:rtl/>
        </w:rPr>
        <w:instrText xml:space="preserve"> </w:instrText>
      </w:r>
      <w:r w:rsidRPr="002A0D0C">
        <w:rPr>
          <w:rStyle w:val="af2"/>
          <w:rFonts w:eastAsia="Guttman Hodes" w:hint="cs"/>
        </w:rPr>
        <w:instrText>REF</w:instrText>
      </w:r>
      <w:r w:rsidRPr="002A0D0C">
        <w:rPr>
          <w:rStyle w:val="af2"/>
          <w:rFonts w:eastAsia="Guttman Hodes" w:hint="cs"/>
          <w:rtl/>
        </w:rPr>
        <w:instrText xml:space="preserve"> _</w:instrText>
      </w:r>
      <w:r w:rsidRPr="002A0D0C">
        <w:rPr>
          <w:rStyle w:val="af2"/>
          <w:rFonts w:eastAsia="Guttman Hodes" w:hint="cs"/>
        </w:rPr>
        <w:instrText>Ref133143291 \r \h</w:instrText>
      </w:r>
      <w:r w:rsidRPr="002A0D0C">
        <w:rPr>
          <w:rStyle w:val="af2"/>
          <w:rFonts w:eastAsia="Guttman Hodes"/>
          <w:rtl/>
        </w:rPr>
        <w:instrText xml:space="preserve"> </w:instrText>
      </w:r>
      <w:r w:rsidRPr="002A0D0C">
        <w:rPr>
          <w:rStyle w:val="af2"/>
          <w:rFonts w:eastAsia="Guttman Hodes"/>
          <w:rtl/>
        </w:rPr>
      </w:r>
      <w:r w:rsidRPr="002A0D0C">
        <w:rPr>
          <w:rStyle w:val="af2"/>
          <w:rFonts w:eastAsia="Guttman Hodes"/>
          <w:rtl/>
        </w:rPr>
        <w:fldChar w:fldCharType="separate"/>
      </w:r>
      <w:r w:rsidR="00D82181">
        <w:rPr>
          <w:rStyle w:val="af2"/>
          <w:rFonts w:eastAsia="Guttman Hodes"/>
          <w:cs/>
        </w:rPr>
        <w:t>‎</w:t>
      </w:r>
      <w:r w:rsidR="00D82181">
        <w:rPr>
          <w:rStyle w:val="af2"/>
          <w:rFonts w:eastAsia="Guttman Hodes"/>
          <w:rtl/>
        </w:rPr>
        <w:t>עט)</w:t>
      </w:r>
      <w:r w:rsidRPr="002A0D0C">
        <w:rPr>
          <w:rStyle w:val="af2"/>
          <w:rFonts w:eastAsia="Guttman Hodes"/>
          <w:rtl/>
        </w:rPr>
        <w:fldChar w:fldCharType="end"/>
      </w:r>
      <w:r>
        <w:rPr>
          <w:rFonts w:hint="cs"/>
          <w:rtl/>
        </w:rPr>
        <w:t xml:space="preserve"> דהשורה חיטים במים חייב, ולכן ס"ל </w:t>
      </w:r>
      <w:r w:rsidRPr="00C444C9">
        <w:rPr>
          <w:rStyle w:val="aff4"/>
          <w:rFonts w:hint="cs"/>
          <w:vanish/>
          <w:rtl/>
        </w:rPr>
        <w:t>-</w:t>
      </w:r>
      <w:r w:rsidRPr="004F32D2">
        <w:rPr>
          <w:rStyle w:val="aff4"/>
          <w:rFonts w:hint="cs"/>
          <w:rtl/>
        </w:rPr>
        <w:t>להרמב"ם</w:t>
      </w:r>
      <w:r w:rsidRPr="00C444C9">
        <w:rPr>
          <w:rStyle w:val="aff4"/>
          <w:rFonts w:hint="cs"/>
          <w:vanish/>
          <w:rtl/>
        </w:rPr>
        <w:t>-</w:t>
      </w:r>
      <w:r>
        <w:rPr>
          <w:rFonts w:hint="cs"/>
          <w:rtl/>
        </w:rPr>
        <w:t xml:space="preserve"> דאף זומר הוא אב דזורע דהוא מצמיח כמו זורע אף שאינו מצמיח בקרקע כלל.</w:t>
      </w:r>
    </w:p>
    <w:p w14:paraId="17415275" w14:textId="77777777" w:rsidR="009623A2" w:rsidRDefault="009623A2" w:rsidP="009623A2">
      <w:pPr>
        <w:pStyle w:val="a7"/>
      </w:pPr>
      <w:bookmarkStart w:id="548" w:name="_Toc134419733"/>
      <w:r>
        <w:rPr>
          <w:rFonts w:hint="cs"/>
          <w:rtl/>
        </w:rPr>
        <w:t>בי' הקה"י דבשביעית האיסור רק בשביתת קרקע ולא בשורה במים וזומר דבאילן מותר</w:t>
      </w:r>
      <w:bookmarkEnd w:id="548"/>
    </w:p>
    <w:p w14:paraId="4005102C" w14:textId="77777777" w:rsidR="009623A2" w:rsidRDefault="009623A2" w:rsidP="00BC7DC8">
      <w:pPr>
        <w:pStyle w:val="a3"/>
        <w:rPr>
          <w:rtl/>
        </w:rPr>
      </w:pPr>
      <w:r>
        <w:rPr>
          <w:rFonts w:hint="cs"/>
          <w:rtl/>
        </w:rPr>
        <w:t xml:space="preserve">אבל בשביעית ביאר </w:t>
      </w:r>
      <w:r w:rsidRPr="00C444C9">
        <w:rPr>
          <w:rStyle w:val="aff4"/>
          <w:rFonts w:hint="cs"/>
          <w:vanish/>
          <w:rtl/>
        </w:rPr>
        <w:t>-</w:t>
      </w:r>
      <w:r w:rsidRPr="004F32D2">
        <w:rPr>
          <w:rStyle w:val="aff4"/>
          <w:rFonts w:hint="cs"/>
          <w:rtl/>
        </w:rPr>
        <w:t xml:space="preserve">בכתבי הקה"י </w:t>
      </w:r>
      <w:r>
        <w:rPr>
          <w:rStyle w:val="aff4"/>
          <w:rFonts w:hint="cs"/>
          <w:rtl/>
        </w:rPr>
        <w:t>ב</w:t>
      </w:r>
      <w:r w:rsidRPr="004F32D2">
        <w:rPr>
          <w:rStyle w:val="aff4"/>
          <w:rFonts w:hint="cs"/>
          <w:rtl/>
        </w:rPr>
        <w:t>מועד</w:t>
      </w:r>
      <w:r w:rsidRPr="00C444C9">
        <w:rPr>
          <w:rStyle w:val="aff4"/>
          <w:rFonts w:hint="cs"/>
          <w:vanish/>
          <w:rtl/>
        </w:rPr>
        <w:t>-</w:t>
      </w:r>
      <w:r>
        <w:rPr>
          <w:rFonts w:hint="cs"/>
          <w:rtl/>
        </w:rPr>
        <w:t xml:space="preserve"> דהאיסור זורע בשביעית הוא בשביתת הארץ, ואין כל איסור לשרות חיטים במים, ולכן רק מלאכה שנעשית בקרקע עצמה היא אב, אבל זומר שהמלאכה היא באילן המחובר לקרקע ולא בקרקע עצמה הוי תולדה, דהאיסור הוא ללקט פירות מהקרקע.</w:t>
      </w:r>
    </w:p>
    <w:p w14:paraId="755E0D13" w14:textId="77777777" w:rsidR="009623A2" w:rsidRDefault="009623A2" w:rsidP="009623A2">
      <w:pPr>
        <w:pStyle w:val="a7"/>
      </w:pPr>
      <w:bookmarkStart w:id="549" w:name="_Toc134419734"/>
      <w:r>
        <w:rPr>
          <w:rFonts w:hint="cs"/>
          <w:rtl/>
        </w:rPr>
        <w:t>בי' הקה"י דבוצר מותר בשביעית מדאו' דהוא באילן ולא בקרקע ול"ד לקוצר דהוא בקרקע</w:t>
      </w:r>
      <w:bookmarkEnd w:id="549"/>
    </w:p>
    <w:p w14:paraId="342897CD" w14:textId="77777777" w:rsidR="009623A2" w:rsidRDefault="009623A2" w:rsidP="00BC7DC8">
      <w:pPr>
        <w:pStyle w:val="a3"/>
        <w:rPr>
          <w:rtl/>
        </w:rPr>
      </w:pPr>
      <w:r>
        <w:rPr>
          <w:rFonts w:hint="cs"/>
          <w:rtl/>
        </w:rPr>
        <w:t xml:space="preserve">וכתב </w:t>
      </w:r>
      <w:r w:rsidRPr="00C444C9">
        <w:rPr>
          <w:rStyle w:val="aff4"/>
          <w:rFonts w:hint="cs"/>
          <w:vanish/>
          <w:rtl/>
        </w:rPr>
        <w:t>-</w:t>
      </w:r>
      <w:r w:rsidRPr="004F32D2">
        <w:rPr>
          <w:rStyle w:val="aff4"/>
          <w:rFonts w:hint="cs"/>
          <w:rtl/>
        </w:rPr>
        <w:t xml:space="preserve">בכתבי הקה"י </w:t>
      </w:r>
      <w:r>
        <w:rPr>
          <w:rStyle w:val="aff4"/>
          <w:rFonts w:hint="cs"/>
          <w:rtl/>
        </w:rPr>
        <w:t>ב</w:t>
      </w:r>
      <w:r w:rsidRPr="004F32D2">
        <w:rPr>
          <w:rStyle w:val="aff4"/>
          <w:rFonts w:hint="cs"/>
          <w:rtl/>
        </w:rPr>
        <w:t>מועד</w:t>
      </w:r>
      <w:r w:rsidRPr="00C444C9">
        <w:rPr>
          <w:rStyle w:val="aff4"/>
          <w:rFonts w:hint="cs"/>
          <w:vanish/>
          <w:rtl/>
        </w:rPr>
        <w:t>-</w:t>
      </w:r>
      <w:r>
        <w:rPr>
          <w:rFonts w:hint="cs"/>
          <w:rtl/>
        </w:rPr>
        <w:t xml:space="preserve"> דה"ה בבוצר דמותר מדאו' בשביעית, כיון שהוא עוקר דבר מגידולו מהאילן ולא מהקרקע עצמה, לא דמי לגמרי לקוצר והוי תולדה, אבל לענין שבת האיסור הוא להפסיק את היניקה של הדבר ואינו תלוי בקרקע, ולכן הוי אב.</w:t>
      </w:r>
    </w:p>
    <w:p w14:paraId="5C28B3FC" w14:textId="77777777" w:rsidR="009623A2" w:rsidRPr="00F36648" w:rsidRDefault="009623A2" w:rsidP="009623A2">
      <w:pPr>
        <w:pStyle w:val="a7"/>
      </w:pPr>
      <w:bookmarkStart w:id="550" w:name="_Toc134419735"/>
      <w:r>
        <w:rPr>
          <w:rFonts w:hint="cs"/>
          <w:rtl/>
        </w:rPr>
        <w:t>מסקנת הקה"י דיל"ע אי בשביעית יש חילוק בין מלאכה בקרקע עצמה לבין מלאכה באילן</w:t>
      </w:r>
      <w:bookmarkEnd w:id="550"/>
    </w:p>
    <w:p w14:paraId="208DC043" w14:textId="77777777" w:rsidR="009623A2" w:rsidRDefault="009623A2" w:rsidP="00BC7DC8">
      <w:pPr>
        <w:pStyle w:val="a3"/>
        <w:rPr>
          <w:rtl/>
        </w:rPr>
      </w:pPr>
      <w:r>
        <w:rPr>
          <w:rFonts w:hint="cs"/>
          <w:rtl/>
        </w:rPr>
        <w:t xml:space="preserve">אך כתב </w:t>
      </w:r>
      <w:r w:rsidRPr="00C444C9">
        <w:rPr>
          <w:rStyle w:val="aff4"/>
          <w:rFonts w:hint="cs"/>
          <w:vanish/>
          <w:rtl/>
        </w:rPr>
        <w:t>-</w:t>
      </w:r>
      <w:r w:rsidRPr="004F32D2">
        <w:rPr>
          <w:rStyle w:val="aff4"/>
          <w:rFonts w:hint="cs"/>
          <w:rtl/>
        </w:rPr>
        <w:t>בכתבי הקה"י</w:t>
      </w:r>
      <w:r w:rsidRPr="00B9551E">
        <w:rPr>
          <w:rStyle w:val="aff4"/>
          <w:rFonts w:hint="cs"/>
          <w:rtl/>
        </w:rPr>
        <w:t xml:space="preserve"> </w:t>
      </w:r>
      <w:r>
        <w:rPr>
          <w:rStyle w:val="aff4"/>
          <w:rFonts w:hint="cs"/>
          <w:rtl/>
        </w:rPr>
        <w:t>ב</w:t>
      </w:r>
      <w:r w:rsidRPr="004F32D2">
        <w:rPr>
          <w:rStyle w:val="aff4"/>
          <w:rFonts w:hint="cs"/>
          <w:rtl/>
        </w:rPr>
        <w:t>מועד</w:t>
      </w:r>
      <w:r w:rsidRPr="00C444C9">
        <w:rPr>
          <w:rStyle w:val="aff4"/>
          <w:rFonts w:hint="cs"/>
          <w:vanish/>
          <w:rtl/>
        </w:rPr>
        <w:t>-</w:t>
      </w:r>
      <w:r>
        <w:rPr>
          <w:rFonts w:hint="cs"/>
          <w:rtl/>
        </w:rPr>
        <w:t xml:space="preserve"> דיש לדון בסברא זו, אי לענין שביעית יש חילוק בין מלאכה בקרקע עצמה לבין מלאכה באילן, וציין לדברי </w:t>
      </w:r>
      <w:r w:rsidRPr="00C444C9">
        <w:rPr>
          <w:rStyle w:val="aff4"/>
          <w:rFonts w:hint="cs"/>
          <w:vanish/>
          <w:rtl/>
        </w:rPr>
        <w:t>-</w:t>
      </w:r>
      <w:r w:rsidRPr="004F32D2">
        <w:rPr>
          <w:rStyle w:val="aff4"/>
          <w:rFonts w:hint="cs"/>
          <w:rtl/>
        </w:rPr>
        <w:t>השואל באבני נזר</w:t>
      </w:r>
      <w:r w:rsidRPr="00C444C9">
        <w:rPr>
          <w:rStyle w:val="aff4"/>
          <w:rFonts w:hint="cs"/>
          <w:vanish/>
          <w:rtl/>
        </w:rPr>
        <w:t>-</w:t>
      </w:r>
      <w:r>
        <w:rPr>
          <w:rFonts w:hint="cs"/>
          <w:rtl/>
        </w:rPr>
        <w:t xml:space="preserve"> </w:t>
      </w:r>
      <w:r w:rsidRPr="00B860EF">
        <w:rPr>
          <w:rStyle w:val="af2"/>
          <w:rFonts w:eastAsia="Guttman Hodes" w:hint="cs"/>
          <w:rtl/>
        </w:rPr>
        <w:t>(או"ח סי' ס"ה)</w:t>
      </w:r>
      <w:r>
        <w:rPr>
          <w:rFonts w:hint="cs"/>
          <w:rtl/>
        </w:rPr>
        <w:t xml:space="preserve"> דכתב דבשביעית מפורש בתורה זריעה וקצירה ולכן השאר הוו תולדות, ולפי"ז מבואר היטב החילוק בין שבת לשביעית.</w:t>
      </w:r>
      <w:bookmarkEnd w:id="547"/>
    </w:p>
    <w:p w14:paraId="2E4B717A" w14:textId="77777777" w:rsidR="009623A2" w:rsidRDefault="009623A2" w:rsidP="009623A2">
      <w:pPr>
        <w:pStyle w:val="a7"/>
        <w:rPr>
          <w:rtl/>
        </w:rPr>
      </w:pPr>
    </w:p>
    <w:p w14:paraId="065F7BBF" w14:textId="146CD59C" w:rsidR="00351E66" w:rsidRPr="00351E66" w:rsidRDefault="00351E66" w:rsidP="00BC7DC8">
      <w:pPr>
        <w:pStyle w:val="a3"/>
        <w:rPr>
          <w:rtl/>
        </w:rPr>
        <w:sectPr w:rsidR="00351E66" w:rsidRPr="00351E66" w:rsidSect="003F4F0D">
          <w:footerReference w:type="default" r:id="rId37"/>
          <w:type w:val="continuous"/>
          <w:pgSz w:w="11906" w:h="16838"/>
          <w:pgMar w:top="720" w:right="720" w:bottom="720" w:left="720" w:header="283" w:footer="283" w:gutter="0"/>
          <w:cols w:num="2" w:space="567"/>
          <w:bidi/>
          <w:rtlGutter/>
        </w:sectPr>
      </w:pPr>
    </w:p>
    <w:p w14:paraId="181B0F94" w14:textId="77777777" w:rsidR="009623A2" w:rsidRPr="008E1B37" w:rsidRDefault="009623A2" w:rsidP="009623A2">
      <w:pPr>
        <w:pStyle w:val="a7"/>
        <w:rPr>
          <w:rtl/>
        </w:rPr>
      </w:pPr>
    </w:p>
    <w:p w14:paraId="6131554A" w14:textId="77777777" w:rsidR="009623A2" w:rsidRDefault="009623A2" w:rsidP="009623A2">
      <w:pPr>
        <w:keepNext/>
        <w:keepLines/>
        <w:spacing w:after="0" w:line="240" w:lineRule="auto"/>
        <w:jc w:val="center"/>
        <w:outlineLvl w:val="1"/>
        <w:rPr>
          <w:rFonts w:ascii="FrankRuehl" w:eastAsia="Guttman Adii-Light" w:hAnsi="FrankRuehl" w:cs="Guttman Hodes"/>
          <w:b/>
          <w:bCs/>
          <w:noProof/>
          <w:sz w:val="24"/>
          <w:szCs w:val="24"/>
          <w:rtl/>
        </w:rPr>
        <w:sectPr w:rsidR="009623A2" w:rsidSect="00FD3856">
          <w:type w:val="continuous"/>
          <w:pgSz w:w="11906" w:h="16838"/>
          <w:pgMar w:top="720" w:right="720" w:bottom="720" w:left="720" w:header="283" w:footer="283" w:gutter="0"/>
          <w:cols w:space="567"/>
          <w:bidi/>
          <w:rtlGutter/>
          <w:docGrid w:linePitch="299"/>
        </w:sectPr>
      </w:pPr>
    </w:p>
    <w:p w14:paraId="2CA67388" w14:textId="77777777" w:rsidR="001C69A8" w:rsidRDefault="001C69A8" w:rsidP="00A35851">
      <w:pPr>
        <w:pStyle w:val="af9"/>
        <w:rPr>
          <w:rtl/>
        </w:rPr>
      </w:pPr>
      <w:bookmarkStart w:id="551" w:name="_Hlk134350472"/>
      <w:r w:rsidRPr="00224A5A">
        <w:rPr>
          <w:rFonts w:hint="cs"/>
          <w:rtl/>
        </w:rPr>
        <w:lastRenderedPageBreak/>
        <w:t xml:space="preserve">סימן </w:t>
      </w:r>
      <w:r>
        <w:rPr>
          <w:rFonts w:hint="cs"/>
          <w:rtl/>
        </w:rPr>
        <w:t>ב'</w:t>
      </w:r>
    </w:p>
    <w:p w14:paraId="08AAED58" w14:textId="77777777" w:rsidR="001C69A8" w:rsidRDefault="001C69A8" w:rsidP="00A35851">
      <w:pPr>
        <w:pStyle w:val="af9"/>
        <w:rPr>
          <w:rtl/>
        </w:rPr>
      </w:pPr>
      <w:bookmarkStart w:id="552" w:name="_Hlk134350528"/>
      <w:r>
        <w:rPr>
          <w:rFonts w:hint="cs"/>
          <w:rtl/>
        </w:rPr>
        <w:t>במלאכת זורע (ב')</w:t>
      </w:r>
    </w:p>
    <w:bookmarkEnd w:id="552"/>
    <w:p w14:paraId="206000A5" w14:textId="77777777" w:rsidR="001C69A8" w:rsidRDefault="001C69A8" w:rsidP="00A35851">
      <w:pPr>
        <w:pStyle w:val="af9"/>
        <w:rPr>
          <w:rtl/>
        </w:rPr>
      </w:pPr>
      <w:r>
        <w:rPr>
          <w:rFonts w:hint="cs"/>
          <w:rtl/>
        </w:rPr>
        <w:t>בפלוגתת הרש"ש והמנ"ח בגדר המלאכה בזורע בנתינה או בהשרשה</w:t>
      </w:r>
    </w:p>
    <w:bookmarkEnd w:id="551"/>
    <w:p w14:paraId="1E056BD9" w14:textId="77777777" w:rsidR="001C69A8" w:rsidRPr="00224A5A" w:rsidRDefault="001C69A8" w:rsidP="001C69A8">
      <w:pPr>
        <w:keepNext/>
        <w:keepLines/>
        <w:spacing w:after="0" w:line="240" w:lineRule="auto"/>
        <w:jc w:val="center"/>
        <w:outlineLvl w:val="1"/>
        <w:rPr>
          <w:rFonts w:ascii="FrankRuehl" w:eastAsia="Guttman Adii-Light" w:hAnsi="FrankRuehl" w:cs="Guttman Hodes"/>
          <w:b/>
          <w:bCs/>
          <w:noProof/>
          <w:sz w:val="24"/>
          <w:szCs w:val="24"/>
          <w:rtl/>
        </w:rPr>
        <w:sectPr w:rsidR="001C69A8" w:rsidRPr="00224A5A" w:rsidSect="00702FC6">
          <w:footerReference w:type="default" r:id="rId38"/>
          <w:headerReference w:type="first" r:id="rId39"/>
          <w:footerReference w:type="first" r:id="rId40"/>
          <w:type w:val="oddPage"/>
          <w:pgSz w:w="11906" w:h="16838"/>
          <w:pgMar w:top="720" w:right="720" w:bottom="720" w:left="720" w:header="283" w:footer="283" w:gutter="0"/>
          <w:cols w:space="113"/>
          <w:bidi/>
          <w:rtlGutter/>
          <w:docGrid w:linePitch="299"/>
        </w:sectPr>
      </w:pPr>
      <w:r w:rsidRPr="00224A5A">
        <w:rPr>
          <w:rFonts w:ascii="FrankRuehl" w:eastAsia="Guttman Adii-Light" w:hAnsi="FrankRuehl" w:cs="Guttman Hodes"/>
          <w:b/>
          <w:bCs/>
          <w:noProof/>
          <w:sz w:val="24"/>
          <w:szCs w:val="24"/>
          <w:rtl/>
        </w:rPr>
        <w:t>~~~~~~~</w:t>
      </w:r>
      <w:r w:rsidRPr="00224A5A">
        <w:rPr>
          <w:rFonts w:ascii="FrankRuehl" w:eastAsia="Guttman Adii-Light" w:hAnsi="FrankRuehl" w:cs="Guttman Hodes" w:hint="cs"/>
          <w:b/>
          <w:bCs/>
          <w:noProof/>
          <w:sz w:val="24"/>
          <w:szCs w:val="24"/>
          <w:rtl/>
        </w:rPr>
        <w:t xml:space="preserve"> תוכן הענייני</w:t>
      </w:r>
      <w:r w:rsidRPr="00224A5A">
        <w:rPr>
          <w:rFonts w:ascii="FrankRuehl" w:eastAsia="Guttman Adii-Light" w:hAnsi="FrankRuehl" w:cs="Guttman Hodes" w:hint="eastAsia"/>
          <w:b/>
          <w:bCs/>
          <w:noProof/>
          <w:sz w:val="24"/>
          <w:szCs w:val="24"/>
          <w:rtl/>
        </w:rPr>
        <w:t>ם</w:t>
      </w:r>
      <w:r w:rsidRPr="00224A5A">
        <w:rPr>
          <w:rFonts w:ascii="FrankRuehl" w:eastAsia="Guttman Adii-Light" w:hAnsi="FrankRuehl" w:cs="Guttman Hodes" w:hint="cs"/>
          <w:b/>
          <w:bCs/>
          <w:noProof/>
          <w:sz w:val="24"/>
          <w:szCs w:val="24"/>
          <w:rtl/>
        </w:rPr>
        <w:t xml:space="preserve"> </w:t>
      </w:r>
      <w:r w:rsidRPr="00224A5A">
        <w:rPr>
          <w:rFonts w:ascii="FrankRuehl" w:eastAsia="Guttman Adii-Light" w:hAnsi="FrankRuehl" w:cs="Guttman Hodes"/>
          <w:b/>
          <w:bCs/>
          <w:noProof/>
          <w:sz w:val="24"/>
          <w:szCs w:val="24"/>
          <w:rtl/>
        </w:rPr>
        <w:t>~~~~~~~</w:t>
      </w:r>
    </w:p>
    <w:p w14:paraId="51071642" w14:textId="77777777" w:rsidR="001C69A8" w:rsidRDefault="001C69A8" w:rsidP="001C69A8">
      <w:pPr>
        <w:pStyle w:val="TOC1"/>
        <w:rPr>
          <w:rFonts w:asciiTheme="minorHAnsi" w:hAnsiTheme="minorHAnsi" w:cstheme="minorBidi"/>
          <w:b w:val="0"/>
          <w:bCs w:val="0"/>
          <w:caps w:val="0"/>
          <w:sz w:val="22"/>
          <w:szCs w:val="22"/>
          <w:rtl/>
        </w:rPr>
      </w:pPr>
      <w:r w:rsidRPr="00224A5A">
        <w:rPr>
          <w:rtl/>
        </w:rPr>
        <w:fldChar w:fldCharType="begin"/>
      </w:r>
      <w:r w:rsidRPr="00224A5A">
        <w:rPr>
          <w:rtl/>
        </w:rPr>
        <w:instrText xml:space="preserve"> </w:instrText>
      </w:r>
      <w:r w:rsidRPr="00224A5A">
        <w:rPr>
          <w:rFonts w:hint="cs"/>
        </w:rPr>
        <w:instrText>TOC</w:instrText>
      </w:r>
      <w:r w:rsidRPr="00224A5A">
        <w:rPr>
          <w:rFonts w:hint="cs"/>
          <w:rtl/>
        </w:rPr>
        <w:instrText xml:space="preserve"> \</w:instrText>
      </w:r>
      <w:r w:rsidRPr="00224A5A">
        <w:rPr>
          <w:rFonts w:hint="cs"/>
        </w:rPr>
        <w:instrText>n \p " " \h \z \t</w:instrText>
      </w:r>
      <w:r w:rsidRPr="00224A5A">
        <w:rPr>
          <w:rFonts w:hint="cs"/>
          <w:rtl/>
        </w:rPr>
        <w:instrText xml:space="preserve"> "כותרת 1,2,כות קט,3,כות מק פנ,1"</w:instrText>
      </w:r>
      <w:r w:rsidRPr="00224A5A">
        <w:rPr>
          <w:rtl/>
        </w:rPr>
        <w:instrText xml:space="preserve"> </w:instrText>
      </w:r>
      <w:r w:rsidRPr="00224A5A">
        <w:rPr>
          <w:rtl/>
        </w:rPr>
        <w:fldChar w:fldCharType="separate"/>
      </w:r>
      <w:hyperlink w:anchor="_Toc134347595" w:history="1">
        <w:r w:rsidRPr="007423D2">
          <w:rPr>
            <w:rStyle w:val="Hyperlink"/>
            <w:rtl/>
          </w:rPr>
          <w:t>הסוברים דזורע חייב מיד ול"ד לאופה</w:t>
        </w:r>
      </w:hyperlink>
    </w:p>
    <w:p w14:paraId="17EDC52F" w14:textId="77777777" w:rsidR="001C69A8" w:rsidRDefault="00AD16A0" w:rsidP="001C69A8">
      <w:pPr>
        <w:pStyle w:val="TOC2"/>
        <w:rPr>
          <w:rFonts w:cstheme="minorBidi"/>
          <w:b w:val="0"/>
          <w:bCs w:val="0"/>
          <w:sz w:val="22"/>
          <w:szCs w:val="22"/>
          <w:rtl/>
        </w:rPr>
      </w:pPr>
      <w:hyperlink w:anchor="_Toc134347596" w:history="1">
        <w:r w:rsidR="001C69A8" w:rsidRPr="007423D2">
          <w:rPr>
            <w:rStyle w:val="Hyperlink"/>
            <w:rtl/>
          </w:rPr>
          <w:t>בי' הר"מ קזיס דזורע ל"ד לאופה דשם המלאכה כדרך וכמשכן</w:t>
        </w:r>
      </w:hyperlink>
    </w:p>
    <w:p w14:paraId="17B2626F" w14:textId="77777777" w:rsidR="001C69A8" w:rsidRDefault="00AD16A0" w:rsidP="00ED704E">
      <w:pPr>
        <w:pStyle w:val="TOC3"/>
        <w:rPr>
          <w:rFonts w:asciiTheme="minorHAnsi" w:eastAsiaTheme="minorEastAsia" w:hAnsiTheme="minorHAnsi" w:cstheme="minorBidi"/>
          <w:sz w:val="22"/>
          <w:szCs w:val="22"/>
          <w:rtl/>
        </w:rPr>
      </w:pPr>
      <w:hyperlink w:anchor="_Toc134347597" w:history="1">
        <w:r w:rsidR="001C69A8" w:rsidRPr="007423D2">
          <w:rPr>
            <w:rStyle w:val="Hyperlink"/>
            <w:rtl/>
          </w:rPr>
          <w:t>בי' הר"מ קזיס דיש מלאכות שעושה מתחילה ועד סוף ובאופה עושה בתחילה ונגמרת מאליה</w:t>
        </w:r>
      </w:hyperlink>
    </w:p>
    <w:p w14:paraId="3177054E" w14:textId="77777777" w:rsidR="001C69A8" w:rsidRDefault="00AD16A0" w:rsidP="00ED704E">
      <w:pPr>
        <w:pStyle w:val="TOC3"/>
        <w:rPr>
          <w:rFonts w:asciiTheme="minorHAnsi" w:eastAsiaTheme="minorEastAsia" w:hAnsiTheme="minorHAnsi" w:cstheme="minorBidi"/>
          <w:sz w:val="22"/>
          <w:szCs w:val="22"/>
          <w:rtl/>
        </w:rPr>
      </w:pPr>
      <w:hyperlink w:anchor="_Toc134347598" w:history="1">
        <w:r w:rsidR="001C69A8" w:rsidRPr="007423D2">
          <w:rPr>
            <w:rStyle w:val="Hyperlink"/>
            <w:rtl/>
          </w:rPr>
          <w:t>בי' הר"מ קזיס דנ"ל דזורע חייב מיד כשהניח וא"צ להמתין שישריש ואף אם הסירם חייב</w:t>
        </w:r>
      </w:hyperlink>
    </w:p>
    <w:p w14:paraId="3E135807" w14:textId="77777777" w:rsidR="001C69A8" w:rsidRDefault="00AD16A0" w:rsidP="00ED704E">
      <w:pPr>
        <w:pStyle w:val="TOC3"/>
        <w:rPr>
          <w:rFonts w:asciiTheme="minorHAnsi" w:eastAsiaTheme="minorEastAsia" w:hAnsiTheme="minorHAnsi" w:cstheme="minorBidi"/>
          <w:sz w:val="22"/>
          <w:szCs w:val="22"/>
          <w:rtl/>
        </w:rPr>
      </w:pPr>
      <w:hyperlink w:anchor="_Toc134347599" w:history="1">
        <w:r w:rsidR="001C69A8" w:rsidRPr="007423D2">
          <w:rPr>
            <w:rStyle w:val="Hyperlink"/>
            <w:rtl/>
          </w:rPr>
          <w:t>בי' המהר"ם קזיס דשם המלאכה נקבע כמשכן שעשו כדרך וזורע הדרך דהמלאכה נגמרת מאליה</w:t>
        </w:r>
      </w:hyperlink>
    </w:p>
    <w:p w14:paraId="0724E474" w14:textId="77777777" w:rsidR="001C69A8" w:rsidRDefault="00AD16A0" w:rsidP="00ED704E">
      <w:pPr>
        <w:pStyle w:val="TOC3"/>
        <w:rPr>
          <w:rFonts w:asciiTheme="minorHAnsi" w:eastAsiaTheme="minorEastAsia" w:hAnsiTheme="minorHAnsi" w:cstheme="minorBidi"/>
          <w:sz w:val="22"/>
          <w:szCs w:val="22"/>
          <w:rtl/>
        </w:rPr>
      </w:pPr>
      <w:hyperlink w:anchor="_Toc134347600" w:history="1">
        <w:r w:rsidR="001C69A8" w:rsidRPr="007423D2">
          <w:rPr>
            <w:rStyle w:val="Hyperlink"/>
            <w:rtl/>
          </w:rPr>
          <w:t>בי' הר"מ קזיס דאופה ילפי' מבישול במשכן דעפ"י רוב הייתה בכל זמן הבישול דמגיס בה</w:t>
        </w:r>
      </w:hyperlink>
    </w:p>
    <w:p w14:paraId="2D5CFCCD" w14:textId="77777777" w:rsidR="001C69A8" w:rsidRDefault="00AD16A0" w:rsidP="00ED704E">
      <w:pPr>
        <w:pStyle w:val="TOC3"/>
        <w:rPr>
          <w:rFonts w:asciiTheme="minorHAnsi" w:eastAsiaTheme="minorEastAsia" w:hAnsiTheme="minorHAnsi" w:cstheme="minorBidi"/>
          <w:sz w:val="22"/>
          <w:szCs w:val="22"/>
          <w:rtl/>
        </w:rPr>
      </w:pPr>
      <w:hyperlink w:anchor="_Toc134347601" w:history="1">
        <w:r w:rsidR="001C69A8" w:rsidRPr="007423D2">
          <w:rPr>
            <w:rStyle w:val="Hyperlink"/>
            <w:rtl/>
          </w:rPr>
          <w:t>בי' הר"מ קזיס דבזורק המעשה נגמר מיד ומ"מ חייב בהנחה דתולדת הוצאה דהמעשה בכולה</w:t>
        </w:r>
      </w:hyperlink>
    </w:p>
    <w:p w14:paraId="635B02F6" w14:textId="77777777" w:rsidR="001C69A8" w:rsidRDefault="00AD16A0" w:rsidP="001C69A8">
      <w:pPr>
        <w:pStyle w:val="TOC2"/>
        <w:rPr>
          <w:rFonts w:cstheme="minorBidi"/>
          <w:b w:val="0"/>
          <w:bCs w:val="0"/>
          <w:sz w:val="22"/>
          <w:szCs w:val="22"/>
          <w:rtl/>
        </w:rPr>
      </w:pPr>
      <w:hyperlink w:anchor="_Toc134347602" w:history="1">
        <w:r w:rsidR="001C69A8" w:rsidRPr="007423D2">
          <w:rPr>
            <w:rStyle w:val="Hyperlink"/>
            <w:rtl/>
          </w:rPr>
          <w:t>בי' התפא"י דהזריעה נעשית מיד ונתינה בתנור לא אופה כלל</w:t>
        </w:r>
      </w:hyperlink>
    </w:p>
    <w:p w14:paraId="358D83F0" w14:textId="77777777" w:rsidR="001C69A8" w:rsidRDefault="00AD16A0" w:rsidP="00ED704E">
      <w:pPr>
        <w:pStyle w:val="TOC3"/>
        <w:rPr>
          <w:rFonts w:asciiTheme="minorHAnsi" w:eastAsiaTheme="minorEastAsia" w:hAnsiTheme="minorHAnsi" w:cstheme="minorBidi"/>
          <w:sz w:val="22"/>
          <w:szCs w:val="22"/>
          <w:rtl/>
        </w:rPr>
      </w:pPr>
      <w:hyperlink w:anchor="_Toc134347603" w:history="1">
        <w:r w:rsidR="001C69A8" w:rsidRPr="007423D2">
          <w:rPr>
            <w:rStyle w:val="Hyperlink"/>
            <w:rtl/>
          </w:rPr>
          <w:t>בי' התפארת ישראל דהזריעה היא בנתינת הזרע וחייב אף בסילק ול"ד לאפיה דלא אפה כלל</w:t>
        </w:r>
      </w:hyperlink>
    </w:p>
    <w:p w14:paraId="110B6F99" w14:textId="77777777" w:rsidR="001C69A8" w:rsidRDefault="00AD16A0" w:rsidP="001C69A8">
      <w:pPr>
        <w:pStyle w:val="TOC2"/>
        <w:rPr>
          <w:rFonts w:cstheme="minorBidi"/>
          <w:b w:val="0"/>
          <w:bCs w:val="0"/>
          <w:sz w:val="22"/>
          <w:szCs w:val="22"/>
          <w:rtl/>
        </w:rPr>
      </w:pPr>
      <w:hyperlink w:anchor="_Toc134347604" w:history="1">
        <w:r w:rsidR="001C69A8" w:rsidRPr="007423D2">
          <w:rPr>
            <w:rStyle w:val="Hyperlink"/>
            <w:rtl/>
          </w:rPr>
          <w:t>בי' השואל במהר"ם חביב דבלא נשרש בטל לקרקע אף בסילק</w:t>
        </w:r>
      </w:hyperlink>
    </w:p>
    <w:p w14:paraId="7EC4F926" w14:textId="77777777" w:rsidR="001C69A8" w:rsidRDefault="00AD16A0" w:rsidP="00ED704E">
      <w:pPr>
        <w:pStyle w:val="TOC3"/>
        <w:rPr>
          <w:rFonts w:asciiTheme="minorHAnsi" w:eastAsiaTheme="minorEastAsia" w:hAnsiTheme="minorHAnsi" w:cstheme="minorBidi"/>
          <w:sz w:val="22"/>
          <w:szCs w:val="22"/>
          <w:rtl/>
        </w:rPr>
      </w:pPr>
      <w:hyperlink w:anchor="_Toc134347605" w:history="1">
        <w:r w:rsidR="001C69A8" w:rsidRPr="007423D2">
          <w:rPr>
            <w:rStyle w:val="Hyperlink"/>
            <w:rtl/>
          </w:rPr>
          <w:t>קו' השואל במהר"ם חביב דהו"ל לגמ' בב"מ להסתפק בזרעים שלא השרישו לענין שבת</w:t>
        </w:r>
      </w:hyperlink>
    </w:p>
    <w:p w14:paraId="65972C53" w14:textId="77777777" w:rsidR="001C69A8" w:rsidRDefault="00AD16A0" w:rsidP="00ED704E">
      <w:pPr>
        <w:pStyle w:val="TOC3"/>
        <w:rPr>
          <w:rFonts w:asciiTheme="minorHAnsi" w:eastAsiaTheme="minorEastAsia" w:hAnsiTheme="minorHAnsi" w:cstheme="minorBidi"/>
          <w:sz w:val="22"/>
          <w:szCs w:val="22"/>
          <w:rtl/>
        </w:rPr>
      </w:pPr>
      <w:hyperlink w:anchor="_Toc134347606" w:history="1">
        <w:r w:rsidR="001C69A8" w:rsidRPr="007423D2">
          <w:rPr>
            <w:rStyle w:val="Hyperlink"/>
            <w:rtl/>
          </w:rPr>
          <w:t>בי' השואל בשו"ת המהר"ם חביב דזרע שלא נשרש בטל לקרקע ואף בסילקו אח"כ חייב</w:t>
        </w:r>
      </w:hyperlink>
    </w:p>
    <w:p w14:paraId="738C605D" w14:textId="77777777" w:rsidR="001C69A8" w:rsidRDefault="00AD16A0" w:rsidP="001C69A8">
      <w:pPr>
        <w:pStyle w:val="TOC2"/>
        <w:rPr>
          <w:rFonts w:cstheme="minorBidi"/>
          <w:b w:val="0"/>
          <w:bCs w:val="0"/>
          <w:sz w:val="22"/>
          <w:szCs w:val="22"/>
          <w:rtl/>
        </w:rPr>
      </w:pPr>
      <w:hyperlink w:anchor="_Toc134347607" w:history="1">
        <w:r w:rsidR="001C69A8" w:rsidRPr="007423D2">
          <w:rPr>
            <w:rStyle w:val="Hyperlink"/>
            <w:rtl/>
          </w:rPr>
          <w:t>בי' המנ"ח דזריעה נקראת ע"ש תחילתה ואפיה ע"ש גומרה</w:t>
        </w:r>
      </w:hyperlink>
    </w:p>
    <w:p w14:paraId="6B59C56C" w14:textId="77777777" w:rsidR="001C69A8" w:rsidRDefault="00AD16A0" w:rsidP="00ED704E">
      <w:pPr>
        <w:pStyle w:val="TOC3"/>
        <w:rPr>
          <w:rFonts w:asciiTheme="minorHAnsi" w:eastAsiaTheme="minorEastAsia" w:hAnsiTheme="minorHAnsi" w:cstheme="minorBidi"/>
          <w:sz w:val="22"/>
          <w:szCs w:val="22"/>
          <w:rtl/>
        </w:rPr>
      </w:pPr>
      <w:hyperlink w:anchor="_Toc134347608" w:history="1">
        <w:r w:rsidR="001C69A8" w:rsidRPr="007423D2">
          <w:rPr>
            <w:rStyle w:val="Hyperlink"/>
            <w:rtl/>
          </w:rPr>
          <w:t>בי' המנ"ח דהיה אפש"ל דזורע חייב רק בהשרשה כאופה דכל שלא השריש הזרע כמונח בכד</w:t>
        </w:r>
      </w:hyperlink>
    </w:p>
    <w:p w14:paraId="6DF7A0F7" w14:textId="77777777" w:rsidR="001C69A8" w:rsidRDefault="00AD16A0" w:rsidP="00ED704E">
      <w:pPr>
        <w:pStyle w:val="TOC3"/>
        <w:rPr>
          <w:rFonts w:asciiTheme="minorHAnsi" w:eastAsiaTheme="minorEastAsia" w:hAnsiTheme="minorHAnsi" w:cstheme="minorBidi"/>
          <w:sz w:val="22"/>
          <w:szCs w:val="22"/>
          <w:rtl/>
        </w:rPr>
      </w:pPr>
      <w:hyperlink w:anchor="_Toc134347609" w:history="1">
        <w:r w:rsidR="001C69A8" w:rsidRPr="007423D2">
          <w:rPr>
            <w:rStyle w:val="Hyperlink"/>
            <w:rtl/>
          </w:rPr>
          <w:t>דחיית המנ"ח דאי חיוב זורע בהשרשה א"א לחייב עליו בשבת דמשריש בחול ובאופה פטור בזה</w:t>
        </w:r>
      </w:hyperlink>
    </w:p>
    <w:p w14:paraId="4FE710C0" w14:textId="77777777" w:rsidR="001C69A8" w:rsidRDefault="00AD16A0" w:rsidP="00ED704E">
      <w:pPr>
        <w:pStyle w:val="TOC3"/>
        <w:rPr>
          <w:rFonts w:asciiTheme="minorHAnsi" w:eastAsiaTheme="minorEastAsia" w:hAnsiTheme="minorHAnsi" w:cstheme="minorBidi"/>
          <w:sz w:val="22"/>
          <w:szCs w:val="22"/>
          <w:rtl/>
        </w:rPr>
      </w:pPr>
      <w:hyperlink w:anchor="_Toc134347610" w:history="1">
        <w:r w:rsidR="001C69A8" w:rsidRPr="007423D2">
          <w:rPr>
            <w:rStyle w:val="Hyperlink"/>
            <w:rtl/>
          </w:rPr>
          <w:t>בי' המנ"ח דאפיה נקראת ע"ש גמרה וזריעה נקראת ע"ש הזריעה עצמה ולשבת ל"ה כמונח בכד</w:t>
        </w:r>
      </w:hyperlink>
    </w:p>
    <w:p w14:paraId="6E7A7AAD" w14:textId="77777777" w:rsidR="001C69A8" w:rsidRDefault="00AD16A0" w:rsidP="00ED704E">
      <w:pPr>
        <w:pStyle w:val="TOC3"/>
        <w:rPr>
          <w:rFonts w:asciiTheme="minorHAnsi" w:eastAsiaTheme="minorEastAsia" w:hAnsiTheme="minorHAnsi" w:cstheme="minorBidi"/>
          <w:sz w:val="22"/>
          <w:szCs w:val="22"/>
          <w:rtl/>
        </w:rPr>
      </w:pPr>
      <w:hyperlink w:anchor="_Toc134347611" w:history="1">
        <w:r w:rsidR="001C69A8" w:rsidRPr="007423D2">
          <w:rPr>
            <w:rStyle w:val="Hyperlink"/>
            <w:rtl/>
          </w:rPr>
          <w:t>בי' המנ"ח דכיון דהחיוב בזריעה אף בליקט לפני השרשה חייב ככותב ומוחק אף בע"מ למחוק</w:t>
        </w:r>
      </w:hyperlink>
    </w:p>
    <w:p w14:paraId="6BC13262" w14:textId="77777777" w:rsidR="001C69A8" w:rsidRDefault="00AD16A0" w:rsidP="00ED704E">
      <w:pPr>
        <w:pStyle w:val="TOC3"/>
        <w:rPr>
          <w:rFonts w:asciiTheme="minorHAnsi" w:eastAsiaTheme="minorEastAsia" w:hAnsiTheme="minorHAnsi" w:cstheme="minorBidi"/>
          <w:sz w:val="22"/>
          <w:szCs w:val="22"/>
          <w:rtl/>
        </w:rPr>
      </w:pPr>
      <w:hyperlink w:anchor="_Toc134347612" w:history="1">
        <w:r w:rsidR="001C69A8" w:rsidRPr="007423D2">
          <w:rPr>
            <w:rStyle w:val="Hyperlink"/>
            <w:rtl/>
          </w:rPr>
          <w:t>בי' המנ"ח דלכלאים מונח בכד ואף למלקות יל"ע בזה מ"מ לשבת הוי כזרוע דאל"ה פטור בשבת</w:t>
        </w:r>
      </w:hyperlink>
    </w:p>
    <w:p w14:paraId="6DB6DD66" w14:textId="77777777" w:rsidR="001C69A8" w:rsidRDefault="00AD16A0" w:rsidP="00ED704E">
      <w:pPr>
        <w:pStyle w:val="TOC3"/>
        <w:rPr>
          <w:rFonts w:asciiTheme="minorHAnsi" w:eastAsiaTheme="minorEastAsia" w:hAnsiTheme="minorHAnsi" w:cstheme="minorBidi"/>
          <w:sz w:val="22"/>
          <w:szCs w:val="22"/>
          <w:rtl/>
        </w:rPr>
      </w:pPr>
      <w:hyperlink w:anchor="_Toc134347613" w:history="1">
        <w:r w:rsidR="001C69A8" w:rsidRPr="007423D2">
          <w:rPr>
            <w:rStyle w:val="Hyperlink"/>
            <w:rtl/>
          </w:rPr>
          <w:t>בי' המנ"ח דברמב"ם ובחינוך מוכח דלכלאים החיוב בזורע מיד וא"כ ה"ה לענין שבת</w:t>
        </w:r>
      </w:hyperlink>
    </w:p>
    <w:p w14:paraId="1B587F61" w14:textId="77777777" w:rsidR="001C69A8" w:rsidRDefault="00AD16A0" w:rsidP="001C69A8">
      <w:pPr>
        <w:pStyle w:val="TOC2"/>
        <w:rPr>
          <w:rFonts w:cstheme="minorBidi"/>
          <w:b w:val="0"/>
          <w:bCs w:val="0"/>
          <w:sz w:val="22"/>
          <w:szCs w:val="22"/>
          <w:rtl/>
        </w:rPr>
      </w:pPr>
      <w:hyperlink w:anchor="_Toc134347614" w:history="1">
        <w:r w:rsidR="001C69A8" w:rsidRPr="007423D2">
          <w:rPr>
            <w:rStyle w:val="Hyperlink"/>
            <w:rtl/>
          </w:rPr>
          <w:t>בי' המנ"ח דהזורע ע"מ ללקט ג"כ חייב ככותב ע"מ למחוק</w:t>
        </w:r>
      </w:hyperlink>
    </w:p>
    <w:p w14:paraId="2D1B6051" w14:textId="77777777" w:rsidR="001C69A8" w:rsidRDefault="00AD16A0" w:rsidP="00ED704E">
      <w:pPr>
        <w:pStyle w:val="TOC3"/>
        <w:rPr>
          <w:rFonts w:asciiTheme="minorHAnsi" w:eastAsiaTheme="minorEastAsia" w:hAnsiTheme="minorHAnsi" w:cstheme="minorBidi"/>
          <w:sz w:val="22"/>
          <w:szCs w:val="22"/>
          <w:rtl/>
        </w:rPr>
      </w:pPr>
      <w:hyperlink w:anchor="_Toc134347615" w:history="1">
        <w:r w:rsidR="001C69A8" w:rsidRPr="007423D2">
          <w:rPr>
            <w:rStyle w:val="Hyperlink"/>
            <w:rtl/>
          </w:rPr>
          <w:t>בי' המנ"ח דזורע חייב אף בהתקלקל הזרע וה"ה זורע במקום הראוי להצמיח ע"מ ליטלו מיד חייב</w:t>
        </w:r>
      </w:hyperlink>
    </w:p>
    <w:p w14:paraId="0E4AC01F" w14:textId="77777777" w:rsidR="001C69A8" w:rsidRDefault="00AD16A0" w:rsidP="001C69A8">
      <w:pPr>
        <w:pStyle w:val="TOC2"/>
        <w:rPr>
          <w:rFonts w:cstheme="minorBidi"/>
          <w:b w:val="0"/>
          <w:bCs w:val="0"/>
          <w:sz w:val="22"/>
          <w:szCs w:val="22"/>
          <w:rtl/>
        </w:rPr>
      </w:pPr>
      <w:hyperlink w:anchor="_Toc134347616" w:history="1">
        <w:r w:rsidR="001C69A8" w:rsidRPr="007423D2">
          <w:rPr>
            <w:rStyle w:val="Hyperlink"/>
            <w:rtl/>
          </w:rPr>
          <w:t>בי' המגן אבות והאגל"ט דזורע בכוונה שיקלט הוא גורם השרשה</w:t>
        </w:r>
      </w:hyperlink>
    </w:p>
    <w:p w14:paraId="64B91DAE" w14:textId="77777777" w:rsidR="001C69A8" w:rsidRDefault="00AD16A0" w:rsidP="00ED704E">
      <w:pPr>
        <w:pStyle w:val="TOC3"/>
        <w:rPr>
          <w:rFonts w:asciiTheme="minorHAnsi" w:eastAsiaTheme="minorEastAsia" w:hAnsiTheme="minorHAnsi" w:cstheme="minorBidi"/>
          <w:sz w:val="22"/>
          <w:szCs w:val="22"/>
          <w:rtl/>
        </w:rPr>
      </w:pPr>
      <w:hyperlink w:anchor="_Toc134347617" w:history="1">
        <w:r w:rsidR="001C69A8" w:rsidRPr="007423D2">
          <w:rPr>
            <w:rStyle w:val="Hyperlink"/>
            <w:rtl/>
          </w:rPr>
          <w:t>בי' האגל"ט דמוכח בירושלמי ובחינוך דבליקט לפני השרשה חייב דהחיוב נגמר בשעת הזריעה</w:t>
        </w:r>
      </w:hyperlink>
    </w:p>
    <w:p w14:paraId="2CB493CC" w14:textId="77777777" w:rsidR="001C69A8" w:rsidRDefault="00AD16A0" w:rsidP="00ED704E">
      <w:pPr>
        <w:pStyle w:val="TOC3"/>
        <w:rPr>
          <w:rFonts w:asciiTheme="minorHAnsi" w:eastAsiaTheme="minorEastAsia" w:hAnsiTheme="minorHAnsi" w:cstheme="minorBidi"/>
          <w:sz w:val="22"/>
          <w:szCs w:val="22"/>
          <w:rtl/>
        </w:rPr>
      </w:pPr>
      <w:hyperlink w:anchor="_Toc134347618" w:history="1">
        <w:r w:rsidR="001C69A8" w:rsidRPr="007423D2">
          <w:rPr>
            <w:rStyle w:val="Hyperlink"/>
            <w:rtl/>
          </w:rPr>
          <w:t>בי' המגן אבות דחיוב זורע בלא השריש כיון דזורע על דעת שישריש והזריעה גורמת השרשה</w:t>
        </w:r>
      </w:hyperlink>
    </w:p>
    <w:p w14:paraId="2696CF0E" w14:textId="77777777" w:rsidR="001C69A8" w:rsidRDefault="00AD16A0" w:rsidP="001C69A8">
      <w:pPr>
        <w:pStyle w:val="TOC2"/>
        <w:rPr>
          <w:rFonts w:cstheme="minorBidi"/>
          <w:b w:val="0"/>
          <w:bCs w:val="0"/>
          <w:sz w:val="22"/>
          <w:szCs w:val="22"/>
          <w:rtl/>
        </w:rPr>
      </w:pPr>
      <w:hyperlink w:anchor="_Toc134347619" w:history="1">
        <w:r w:rsidR="001C69A8" w:rsidRPr="007423D2">
          <w:rPr>
            <w:rStyle w:val="Hyperlink"/>
            <w:rtl/>
          </w:rPr>
          <w:t>בי' האגל"ט דחיוב זורע הוא רק כשכוונתו שישרישו בקרקע</w:t>
        </w:r>
      </w:hyperlink>
    </w:p>
    <w:p w14:paraId="02920CAE" w14:textId="77777777" w:rsidR="001C69A8" w:rsidRDefault="00AD16A0" w:rsidP="00ED704E">
      <w:pPr>
        <w:pStyle w:val="TOC3"/>
        <w:rPr>
          <w:rFonts w:asciiTheme="minorHAnsi" w:eastAsiaTheme="minorEastAsia" w:hAnsiTheme="minorHAnsi" w:cstheme="minorBidi"/>
          <w:sz w:val="22"/>
          <w:szCs w:val="22"/>
          <w:rtl/>
        </w:rPr>
      </w:pPr>
      <w:hyperlink w:anchor="_Toc134347620" w:history="1">
        <w:r w:rsidR="001C69A8" w:rsidRPr="007423D2">
          <w:rPr>
            <w:rStyle w:val="Hyperlink"/>
            <w:rtl/>
          </w:rPr>
          <w:t>בי' האגל"ט דחיוב זורע הוא רק כשרוצה בהשרשת הזרעים בקרקע ולא בע"מ לנוטלם לפני כן</w:t>
        </w:r>
      </w:hyperlink>
    </w:p>
    <w:p w14:paraId="37FD125A" w14:textId="77777777" w:rsidR="001C69A8" w:rsidRDefault="00AD16A0" w:rsidP="001C69A8">
      <w:pPr>
        <w:pStyle w:val="TOC2"/>
        <w:rPr>
          <w:rFonts w:cstheme="minorBidi"/>
          <w:b w:val="0"/>
          <w:bCs w:val="0"/>
          <w:sz w:val="22"/>
          <w:szCs w:val="22"/>
          <w:rtl/>
        </w:rPr>
      </w:pPr>
      <w:hyperlink w:anchor="_Toc134347621" w:history="1">
        <w:r w:rsidR="001C69A8" w:rsidRPr="007423D2">
          <w:rPr>
            <w:rStyle w:val="Hyperlink"/>
            <w:rtl/>
          </w:rPr>
          <w:t>משמעות החיי"א דחיוב זורע מיד מדכ' דשורה במים חייב מיד</w:t>
        </w:r>
      </w:hyperlink>
    </w:p>
    <w:p w14:paraId="02B5E7CF" w14:textId="77777777" w:rsidR="001C69A8" w:rsidRDefault="00AD16A0" w:rsidP="00ED704E">
      <w:pPr>
        <w:pStyle w:val="TOC3"/>
        <w:rPr>
          <w:rFonts w:asciiTheme="minorHAnsi" w:eastAsiaTheme="minorEastAsia" w:hAnsiTheme="minorHAnsi" w:cstheme="minorBidi"/>
          <w:sz w:val="22"/>
          <w:szCs w:val="22"/>
          <w:rtl/>
        </w:rPr>
      </w:pPr>
      <w:hyperlink w:anchor="_Toc134347622" w:history="1">
        <w:r w:rsidR="001C69A8" w:rsidRPr="007423D2">
          <w:rPr>
            <w:rStyle w:val="Hyperlink"/>
            <w:rtl/>
          </w:rPr>
          <w:t>בי' החיי"א דשורה חיטין להצמיח חייב מיד בנתינה ומ' דחיוב זורע בשעת נתינה ולא בהשרשה</w:t>
        </w:r>
      </w:hyperlink>
    </w:p>
    <w:p w14:paraId="178AA3E7" w14:textId="77777777" w:rsidR="001C69A8" w:rsidRDefault="00AD16A0" w:rsidP="001C69A8">
      <w:pPr>
        <w:pStyle w:val="TOC2"/>
        <w:rPr>
          <w:rFonts w:cstheme="minorBidi"/>
          <w:b w:val="0"/>
          <w:bCs w:val="0"/>
          <w:sz w:val="22"/>
          <w:szCs w:val="22"/>
          <w:rtl/>
        </w:rPr>
      </w:pPr>
      <w:hyperlink w:anchor="_Toc134347623" w:history="1">
        <w:r w:rsidR="001C69A8" w:rsidRPr="007423D2">
          <w:rPr>
            <w:rStyle w:val="Hyperlink"/>
            <w:rtl/>
          </w:rPr>
          <w:t>בי' ההל' קט' דזורע אדם גומרו ובטל לקרקע ונגמרה מלאכתו</w:t>
        </w:r>
      </w:hyperlink>
    </w:p>
    <w:p w14:paraId="3CBE9522" w14:textId="77777777" w:rsidR="001C69A8" w:rsidRDefault="00AD16A0" w:rsidP="00ED704E">
      <w:pPr>
        <w:pStyle w:val="TOC3"/>
        <w:rPr>
          <w:rFonts w:asciiTheme="minorHAnsi" w:eastAsiaTheme="minorEastAsia" w:hAnsiTheme="minorHAnsi" w:cstheme="minorBidi"/>
          <w:sz w:val="22"/>
          <w:szCs w:val="22"/>
          <w:rtl/>
        </w:rPr>
      </w:pPr>
      <w:hyperlink w:anchor="_Toc134347624" w:history="1">
        <w:r w:rsidR="001C69A8" w:rsidRPr="007423D2">
          <w:rPr>
            <w:rStyle w:val="Hyperlink"/>
            <w:rtl/>
          </w:rPr>
          <w:t>בי' ההלכות קטנות דבישול שגומרי בידי אדם חייב בסופו וזורע דגומרו בידי שמים חייב מיד</w:t>
        </w:r>
      </w:hyperlink>
    </w:p>
    <w:p w14:paraId="766C1D61" w14:textId="77777777" w:rsidR="001C69A8" w:rsidRDefault="00AD16A0" w:rsidP="00ED704E">
      <w:pPr>
        <w:pStyle w:val="TOC3"/>
        <w:rPr>
          <w:rFonts w:asciiTheme="minorHAnsi" w:eastAsiaTheme="minorEastAsia" w:hAnsiTheme="minorHAnsi" w:cstheme="minorBidi"/>
          <w:sz w:val="22"/>
          <w:szCs w:val="22"/>
          <w:rtl/>
        </w:rPr>
      </w:pPr>
      <w:hyperlink w:anchor="_Toc134347625" w:history="1">
        <w:r w:rsidR="001C69A8" w:rsidRPr="007423D2">
          <w:rPr>
            <w:rStyle w:val="Hyperlink"/>
            <w:rtl/>
          </w:rPr>
          <w:t>הבי' הב' בהלכות קטנות דזרע שלא השריש בטל לקרקע ודמי לעובר דבטל לאמו</w:t>
        </w:r>
      </w:hyperlink>
    </w:p>
    <w:p w14:paraId="2CAFFEE3" w14:textId="77777777" w:rsidR="001C69A8" w:rsidRDefault="00AD16A0" w:rsidP="00ED704E">
      <w:pPr>
        <w:pStyle w:val="TOC3"/>
        <w:rPr>
          <w:rFonts w:asciiTheme="minorHAnsi" w:eastAsiaTheme="minorEastAsia" w:hAnsiTheme="minorHAnsi" w:cstheme="minorBidi"/>
          <w:sz w:val="22"/>
          <w:szCs w:val="22"/>
          <w:rtl/>
        </w:rPr>
      </w:pPr>
      <w:hyperlink w:anchor="_Toc134347626" w:history="1">
        <w:r w:rsidR="001C69A8" w:rsidRPr="007423D2">
          <w:rPr>
            <w:rStyle w:val="Hyperlink"/>
            <w:rtl/>
          </w:rPr>
          <w:t>הבי' הג' בהלכות קטנות דזורע נגמרה המלאכה בזריעה אך בבישול אין שינוי בהנחה ע"ג האש</w:t>
        </w:r>
      </w:hyperlink>
    </w:p>
    <w:p w14:paraId="76D20CA0" w14:textId="77777777" w:rsidR="001C69A8" w:rsidRDefault="00AD16A0" w:rsidP="001C69A8">
      <w:pPr>
        <w:pStyle w:val="TOC2"/>
        <w:rPr>
          <w:rFonts w:cstheme="minorBidi"/>
          <w:b w:val="0"/>
          <w:bCs w:val="0"/>
          <w:sz w:val="22"/>
          <w:szCs w:val="22"/>
          <w:rtl/>
        </w:rPr>
      </w:pPr>
      <w:hyperlink w:anchor="_Toc134347627" w:history="1">
        <w:r w:rsidR="001C69A8" w:rsidRPr="007423D2">
          <w:rPr>
            <w:rStyle w:val="Hyperlink"/>
            <w:rtl/>
          </w:rPr>
          <w:t>בי' הדב"א בהל' קטנות דגמר בידי אדם הוי חלק מגוף המלאכה</w:t>
        </w:r>
      </w:hyperlink>
    </w:p>
    <w:p w14:paraId="733B3EDF" w14:textId="77777777" w:rsidR="001C69A8" w:rsidRDefault="00AD16A0" w:rsidP="00ED704E">
      <w:pPr>
        <w:pStyle w:val="TOC3"/>
        <w:rPr>
          <w:rFonts w:asciiTheme="minorHAnsi" w:eastAsiaTheme="minorEastAsia" w:hAnsiTheme="minorHAnsi" w:cstheme="minorBidi"/>
          <w:sz w:val="22"/>
          <w:szCs w:val="22"/>
          <w:rtl/>
        </w:rPr>
      </w:pPr>
      <w:hyperlink w:anchor="_Toc134347628" w:history="1">
        <w:r w:rsidR="001C69A8" w:rsidRPr="007423D2">
          <w:rPr>
            <w:rStyle w:val="Hyperlink"/>
            <w:rtl/>
          </w:rPr>
          <w:t>בי' הדב"א בהל' קטנות דמלאכה שאפשר לגומרה בידי אדם אי לא גמרה חשיב חצי מלאכה</w:t>
        </w:r>
      </w:hyperlink>
    </w:p>
    <w:p w14:paraId="42E7EED1" w14:textId="77777777" w:rsidR="001C69A8" w:rsidRDefault="00AD16A0" w:rsidP="00ED704E">
      <w:pPr>
        <w:pStyle w:val="TOC3"/>
        <w:rPr>
          <w:rFonts w:asciiTheme="minorHAnsi" w:eastAsiaTheme="minorEastAsia" w:hAnsiTheme="minorHAnsi" w:cstheme="minorBidi"/>
          <w:sz w:val="22"/>
          <w:szCs w:val="22"/>
          <w:rtl/>
        </w:rPr>
      </w:pPr>
      <w:hyperlink w:anchor="_Toc134347629" w:history="1">
        <w:r w:rsidR="001C69A8" w:rsidRPr="007423D2">
          <w:rPr>
            <w:rStyle w:val="Hyperlink"/>
            <w:rtl/>
          </w:rPr>
          <w:t>בי' הדב"א דמלאכה שנגמרת רק בידים שמים או דאפשר לגומרה כך הגמר אינו מגוף המלאכה</w:t>
        </w:r>
      </w:hyperlink>
    </w:p>
    <w:p w14:paraId="56C1A0DD" w14:textId="77777777" w:rsidR="001C69A8" w:rsidRDefault="00AD16A0" w:rsidP="00ED704E">
      <w:pPr>
        <w:pStyle w:val="TOC3"/>
        <w:rPr>
          <w:rFonts w:asciiTheme="minorHAnsi" w:eastAsiaTheme="minorEastAsia" w:hAnsiTheme="minorHAnsi" w:cstheme="minorBidi"/>
          <w:sz w:val="22"/>
          <w:szCs w:val="22"/>
          <w:rtl/>
        </w:rPr>
      </w:pPr>
      <w:hyperlink w:anchor="_Toc134347630" w:history="1">
        <w:r w:rsidR="001C69A8" w:rsidRPr="007423D2">
          <w:rPr>
            <w:rStyle w:val="Hyperlink"/>
            <w:rtl/>
          </w:rPr>
          <w:t>בי' הדב"א דלא מסתבר לומר דרק מלאכה שהגמר שלה הוא רק בידי אדם הגמר מגוף המלאכה</w:t>
        </w:r>
      </w:hyperlink>
    </w:p>
    <w:p w14:paraId="5D452F6D" w14:textId="77777777" w:rsidR="001C69A8" w:rsidRDefault="00AD16A0" w:rsidP="00ED704E">
      <w:pPr>
        <w:pStyle w:val="TOC3"/>
        <w:rPr>
          <w:rFonts w:asciiTheme="minorHAnsi" w:eastAsiaTheme="minorEastAsia" w:hAnsiTheme="minorHAnsi" w:cstheme="minorBidi"/>
          <w:sz w:val="22"/>
          <w:szCs w:val="22"/>
          <w:rtl/>
        </w:rPr>
      </w:pPr>
      <w:hyperlink w:anchor="_Toc134347631" w:history="1">
        <w:r w:rsidR="001C69A8" w:rsidRPr="007423D2">
          <w:rPr>
            <w:rStyle w:val="Hyperlink"/>
            <w:rtl/>
          </w:rPr>
          <w:t>הוכחת הדב"א משולה דג דחייב כשיבש דאף שאפשר לגומרה בידי שמים הגמר מגוף המלאכה</w:t>
        </w:r>
      </w:hyperlink>
    </w:p>
    <w:p w14:paraId="42394D14" w14:textId="77777777" w:rsidR="001C69A8" w:rsidRDefault="00AD16A0" w:rsidP="00ED704E">
      <w:pPr>
        <w:pStyle w:val="TOC3"/>
        <w:rPr>
          <w:rFonts w:asciiTheme="minorHAnsi" w:eastAsiaTheme="minorEastAsia" w:hAnsiTheme="minorHAnsi" w:cstheme="minorBidi"/>
          <w:sz w:val="22"/>
          <w:szCs w:val="22"/>
          <w:rtl/>
        </w:rPr>
      </w:pPr>
      <w:hyperlink w:anchor="_Toc134347632" w:history="1">
        <w:r w:rsidR="001C69A8" w:rsidRPr="007423D2">
          <w:rPr>
            <w:rStyle w:val="Hyperlink"/>
            <w:rtl/>
          </w:rPr>
          <w:t>בי' הדב"א דבאפשר לגומרה בידי אדם הגמר מגוף המלאכה ובשולה דג אפשר לגומרה באדם</w:t>
        </w:r>
      </w:hyperlink>
    </w:p>
    <w:p w14:paraId="2B4EC1FF" w14:textId="77777777" w:rsidR="001C69A8" w:rsidRDefault="00AD16A0" w:rsidP="001C69A8">
      <w:pPr>
        <w:pStyle w:val="TOC2"/>
        <w:rPr>
          <w:rFonts w:cstheme="minorBidi"/>
          <w:b w:val="0"/>
          <w:bCs w:val="0"/>
          <w:sz w:val="22"/>
          <w:szCs w:val="22"/>
          <w:rtl/>
        </w:rPr>
      </w:pPr>
      <w:hyperlink w:anchor="_Toc134347633" w:history="1">
        <w:r w:rsidR="001C69A8" w:rsidRPr="007423D2">
          <w:rPr>
            <w:rStyle w:val="Hyperlink"/>
            <w:rtl/>
          </w:rPr>
          <w:t>בי' ההר צבי בהל' קטנות דחיוב מלאכה כמו שהייתה במשכן</w:t>
        </w:r>
      </w:hyperlink>
    </w:p>
    <w:p w14:paraId="0775234A" w14:textId="77777777" w:rsidR="001C69A8" w:rsidRDefault="00AD16A0" w:rsidP="00ED704E">
      <w:pPr>
        <w:pStyle w:val="TOC3"/>
        <w:rPr>
          <w:rFonts w:asciiTheme="minorHAnsi" w:eastAsiaTheme="minorEastAsia" w:hAnsiTheme="minorHAnsi" w:cstheme="minorBidi"/>
          <w:sz w:val="22"/>
          <w:szCs w:val="22"/>
          <w:rtl/>
        </w:rPr>
      </w:pPr>
      <w:hyperlink w:anchor="_Toc134347634" w:history="1">
        <w:r w:rsidR="001C69A8" w:rsidRPr="007423D2">
          <w:rPr>
            <w:rStyle w:val="Hyperlink"/>
            <w:rtl/>
          </w:rPr>
          <w:t>קו' ההר צבי במנ"ח דמנלן דשם המלאכה גורם ובהל' קטנות ק' דאפשר לאפות שלא בידי אדם</w:t>
        </w:r>
      </w:hyperlink>
    </w:p>
    <w:p w14:paraId="33D78495" w14:textId="77777777" w:rsidR="001C69A8" w:rsidRDefault="00AD16A0" w:rsidP="00ED704E">
      <w:pPr>
        <w:pStyle w:val="TOC3"/>
        <w:rPr>
          <w:rFonts w:asciiTheme="minorHAnsi" w:eastAsiaTheme="minorEastAsia" w:hAnsiTheme="minorHAnsi" w:cstheme="minorBidi"/>
          <w:sz w:val="22"/>
          <w:szCs w:val="22"/>
          <w:rtl/>
        </w:rPr>
      </w:pPr>
      <w:hyperlink w:anchor="_Toc134347635" w:history="1">
        <w:r w:rsidR="001C69A8" w:rsidRPr="007423D2">
          <w:rPr>
            <w:rStyle w:val="Hyperlink"/>
            <w:rtl/>
          </w:rPr>
          <w:t>בי' ההר צבי בהל' קטנות דס"ל כמג"א דהחיוב כמו שהיה במשכן וזורע היה ממילא ואופה בידים</w:t>
        </w:r>
      </w:hyperlink>
    </w:p>
    <w:p w14:paraId="6E061288" w14:textId="77777777" w:rsidR="001C69A8" w:rsidRDefault="00AD16A0" w:rsidP="001C69A8">
      <w:pPr>
        <w:pStyle w:val="TOC2"/>
        <w:rPr>
          <w:rFonts w:cstheme="minorBidi"/>
          <w:b w:val="0"/>
          <w:bCs w:val="0"/>
          <w:sz w:val="22"/>
          <w:szCs w:val="22"/>
          <w:rtl/>
        </w:rPr>
      </w:pPr>
      <w:hyperlink w:anchor="_Toc134347636" w:history="1">
        <w:r w:rsidR="001C69A8" w:rsidRPr="007423D2">
          <w:rPr>
            <w:rStyle w:val="Hyperlink"/>
            <w:rtl/>
          </w:rPr>
          <w:t>בי' הדב"א דגדר זורע שמביא להשרשה והמעשה נגמר בזריעה</w:t>
        </w:r>
      </w:hyperlink>
    </w:p>
    <w:p w14:paraId="7A01D367" w14:textId="77777777" w:rsidR="001C69A8" w:rsidRDefault="00AD16A0" w:rsidP="00ED704E">
      <w:pPr>
        <w:pStyle w:val="TOC3"/>
        <w:rPr>
          <w:rFonts w:asciiTheme="minorHAnsi" w:eastAsiaTheme="minorEastAsia" w:hAnsiTheme="minorHAnsi" w:cstheme="minorBidi"/>
          <w:sz w:val="22"/>
          <w:szCs w:val="22"/>
          <w:rtl/>
        </w:rPr>
      </w:pPr>
      <w:hyperlink w:anchor="_Toc134347637" w:history="1">
        <w:r w:rsidR="001C69A8" w:rsidRPr="007423D2">
          <w:rPr>
            <w:rStyle w:val="Hyperlink"/>
            <w:rtl/>
          </w:rPr>
          <w:t>בי' הדב"א דגדר זורע שמביאו להשרשה דהא בלא ראוי לזריעה פטור ושורה במים ומשקה חייב</w:t>
        </w:r>
      </w:hyperlink>
    </w:p>
    <w:p w14:paraId="33181B1E" w14:textId="77777777" w:rsidR="001C69A8" w:rsidRDefault="00AD16A0" w:rsidP="00ED704E">
      <w:pPr>
        <w:pStyle w:val="TOC3"/>
        <w:rPr>
          <w:rFonts w:asciiTheme="minorHAnsi" w:eastAsiaTheme="minorEastAsia" w:hAnsiTheme="minorHAnsi" w:cstheme="minorBidi"/>
          <w:sz w:val="22"/>
          <w:szCs w:val="22"/>
          <w:rtl/>
        </w:rPr>
      </w:pPr>
      <w:hyperlink w:anchor="_Toc134347638" w:history="1">
        <w:r w:rsidR="001C69A8" w:rsidRPr="007423D2">
          <w:rPr>
            <w:rStyle w:val="Hyperlink"/>
            <w:rtl/>
          </w:rPr>
          <w:t>בי' הדב"א דהחיוב במעשה הזריעה אף דנקלט בחול ואף אי לא נקלט כלל כיון דהביאו להשרשה</w:t>
        </w:r>
      </w:hyperlink>
    </w:p>
    <w:p w14:paraId="3ED51BC0" w14:textId="77777777" w:rsidR="001C69A8" w:rsidRDefault="00AD16A0" w:rsidP="001C69A8">
      <w:pPr>
        <w:pStyle w:val="TOC2"/>
        <w:rPr>
          <w:rFonts w:cstheme="minorBidi"/>
          <w:b w:val="0"/>
          <w:bCs w:val="0"/>
          <w:sz w:val="22"/>
          <w:szCs w:val="22"/>
          <w:rtl/>
        </w:rPr>
      </w:pPr>
      <w:hyperlink w:anchor="_Toc134347639" w:history="1">
        <w:r w:rsidR="001C69A8" w:rsidRPr="007423D2">
          <w:rPr>
            <w:rStyle w:val="Hyperlink"/>
            <w:rtl/>
          </w:rPr>
          <w:t>בי' הדב"א דמלאכה דודאי נגמרת מיד אחר המעשה חייב בגמר</w:t>
        </w:r>
      </w:hyperlink>
    </w:p>
    <w:p w14:paraId="10966407" w14:textId="77777777" w:rsidR="001C69A8" w:rsidRDefault="00AD16A0" w:rsidP="00ED704E">
      <w:pPr>
        <w:pStyle w:val="TOC3"/>
        <w:rPr>
          <w:rFonts w:asciiTheme="minorHAnsi" w:eastAsiaTheme="minorEastAsia" w:hAnsiTheme="minorHAnsi" w:cstheme="minorBidi"/>
          <w:sz w:val="22"/>
          <w:szCs w:val="22"/>
          <w:rtl/>
        </w:rPr>
      </w:pPr>
      <w:hyperlink w:anchor="_Toc134347640" w:history="1">
        <w:r w:rsidR="001C69A8" w:rsidRPr="007423D2">
          <w:rPr>
            <w:rStyle w:val="Hyperlink"/>
            <w:rtl/>
          </w:rPr>
          <w:t>בי' הדב"א דאופה לפני האפיה אין שם אופה כלל ובזורע מיד נקרא זורע וחלוקים בגדר המלאכה</w:t>
        </w:r>
      </w:hyperlink>
    </w:p>
    <w:p w14:paraId="74881AC2" w14:textId="77777777" w:rsidR="001C69A8" w:rsidRDefault="00AD16A0" w:rsidP="00ED704E">
      <w:pPr>
        <w:pStyle w:val="TOC3"/>
        <w:rPr>
          <w:rFonts w:asciiTheme="minorHAnsi" w:eastAsiaTheme="minorEastAsia" w:hAnsiTheme="minorHAnsi" w:cstheme="minorBidi"/>
          <w:sz w:val="22"/>
          <w:szCs w:val="22"/>
          <w:rtl/>
        </w:rPr>
      </w:pPr>
      <w:hyperlink w:anchor="_Toc134347641" w:history="1">
        <w:r w:rsidR="001C69A8" w:rsidRPr="007423D2">
          <w:rPr>
            <w:rStyle w:val="Hyperlink"/>
            <w:rtl/>
          </w:rPr>
          <w:t>בי' הדב"א דבזריעה הקליטה רחוקה מהמלאכה וספק אם הזרע יקלט ולכן אינה חלק מהמלאכה</w:t>
        </w:r>
      </w:hyperlink>
    </w:p>
    <w:p w14:paraId="247789DA" w14:textId="77777777" w:rsidR="001C69A8" w:rsidRDefault="00AD16A0" w:rsidP="00ED704E">
      <w:pPr>
        <w:pStyle w:val="TOC3"/>
        <w:rPr>
          <w:rFonts w:asciiTheme="minorHAnsi" w:eastAsiaTheme="minorEastAsia" w:hAnsiTheme="minorHAnsi" w:cstheme="minorBidi"/>
          <w:sz w:val="22"/>
          <w:szCs w:val="22"/>
          <w:rtl/>
        </w:rPr>
      </w:pPr>
      <w:hyperlink w:anchor="_Toc134347642" w:history="1">
        <w:r w:rsidR="001C69A8" w:rsidRPr="007423D2">
          <w:rPr>
            <w:rStyle w:val="Hyperlink"/>
            <w:rtl/>
          </w:rPr>
          <w:t>בי' הדב"א דבאופה האפיה נעשית מיד אחר המלאכה וודאי שהפת תאפה ולכן היא גמר מלאכה</w:t>
        </w:r>
      </w:hyperlink>
    </w:p>
    <w:p w14:paraId="18F02FF6" w14:textId="77777777" w:rsidR="001C69A8" w:rsidRDefault="00AD16A0" w:rsidP="001C69A8">
      <w:pPr>
        <w:pStyle w:val="TOC2"/>
        <w:rPr>
          <w:rFonts w:cstheme="minorBidi"/>
          <w:b w:val="0"/>
          <w:bCs w:val="0"/>
          <w:sz w:val="22"/>
          <w:szCs w:val="22"/>
          <w:rtl/>
        </w:rPr>
      </w:pPr>
      <w:hyperlink w:anchor="_Toc134347643" w:history="1">
        <w:r w:rsidR="001C69A8" w:rsidRPr="007423D2">
          <w:rPr>
            <w:rStyle w:val="Hyperlink"/>
            <w:rtl/>
          </w:rPr>
          <w:t>בי' האפיק"י דהאפיה מעצם מלאכת אופה ול"ד להשרשה בזורע</w:t>
        </w:r>
      </w:hyperlink>
    </w:p>
    <w:p w14:paraId="516CB9F2" w14:textId="77777777" w:rsidR="001C69A8" w:rsidRDefault="00AD16A0" w:rsidP="00ED704E">
      <w:pPr>
        <w:pStyle w:val="TOC3"/>
        <w:rPr>
          <w:rFonts w:asciiTheme="minorHAnsi" w:eastAsiaTheme="minorEastAsia" w:hAnsiTheme="minorHAnsi" w:cstheme="minorBidi"/>
          <w:sz w:val="22"/>
          <w:szCs w:val="22"/>
          <w:rtl/>
        </w:rPr>
      </w:pPr>
      <w:hyperlink w:anchor="_Toc134347644" w:history="1">
        <w:r w:rsidR="001C69A8" w:rsidRPr="007423D2">
          <w:rPr>
            <w:rStyle w:val="Hyperlink"/>
            <w:rtl/>
          </w:rPr>
          <w:t>בי' האפיק"י דהאפיה היא מעצם המלאכה דצריך שיהיה שוגג באפיה משא"כ בזורע</w:t>
        </w:r>
      </w:hyperlink>
    </w:p>
    <w:p w14:paraId="532660FD" w14:textId="77777777" w:rsidR="001C69A8" w:rsidRDefault="00AD16A0" w:rsidP="001C69A8">
      <w:pPr>
        <w:pStyle w:val="TOC2"/>
        <w:rPr>
          <w:rFonts w:cstheme="minorBidi"/>
          <w:b w:val="0"/>
          <w:bCs w:val="0"/>
          <w:sz w:val="22"/>
          <w:szCs w:val="22"/>
          <w:rtl/>
        </w:rPr>
      </w:pPr>
      <w:hyperlink w:anchor="_Toc134347645" w:history="1">
        <w:r w:rsidR="001C69A8" w:rsidRPr="007423D2">
          <w:rPr>
            <w:rStyle w:val="Hyperlink"/>
            <w:rtl/>
          </w:rPr>
          <w:t>בי' האגל"ט דמקרב גידול פטור כיון דמלאכת זורע בשעת נתינה</w:t>
        </w:r>
      </w:hyperlink>
    </w:p>
    <w:p w14:paraId="0263AF38" w14:textId="77777777" w:rsidR="001C69A8" w:rsidRDefault="00AD16A0" w:rsidP="00ED704E">
      <w:pPr>
        <w:pStyle w:val="TOC3"/>
        <w:rPr>
          <w:rFonts w:asciiTheme="minorHAnsi" w:eastAsiaTheme="minorEastAsia" w:hAnsiTheme="minorHAnsi" w:cstheme="minorBidi"/>
          <w:sz w:val="22"/>
          <w:szCs w:val="22"/>
          <w:rtl/>
        </w:rPr>
      </w:pPr>
      <w:hyperlink w:anchor="_Toc134347646" w:history="1">
        <w:r w:rsidR="001C69A8" w:rsidRPr="007423D2">
          <w:rPr>
            <w:rStyle w:val="Hyperlink"/>
            <w:rtl/>
          </w:rPr>
          <w:t>בי' האגל"ט בהג' אשר"י דהנחת עציץ שאינו נקוב מע"ג יתדות לקרקע רק מקרב גידול ולא זורע</w:t>
        </w:r>
      </w:hyperlink>
    </w:p>
    <w:p w14:paraId="45459AA3" w14:textId="77777777" w:rsidR="001C69A8" w:rsidRDefault="00AD16A0" w:rsidP="00ED704E">
      <w:pPr>
        <w:pStyle w:val="TOC3"/>
        <w:rPr>
          <w:rFonts w:asciiTheme="minorHAnsi" w:eastAsiaTheme="minorEastAsia" w:hAnsiTheme="minorHAnsi" w:cstheme="minorBidi"/>
          <w:sz w:val="22"/>
          <w:szCs w:val="22"/>
          <w:rtl/>
        </w:rPr>
      </w:pPr>
      <w:hyperlink w:anchor="_Toc134347647" w:history="1">
        <w:r w:rsidR="001C69A8" w:rsidRPr="007423D2">
          <w:rPr>
            <w:rStyle w:val="Hyperlink"/>
            <w:rtl/>
          </w:rPr>
          <w:t>בי' האגל"ט דהמקרב בישול חייב כיון דהמלאכה היא בגמר בישול אבל המקרב גידול פטור</w:t>
        </w:r>
      </w:hyperlink>
    </w:p>
    <w:p w14:paraId="1A4A27E6" w14:textId="77777777" w:rsidR="001C69A8" w:rsidRDefault="00AD16A0" w:rsidP="001C69A8">
      <w:pPr>
        <w:pStyle w:val="TOC1"/>
        <w:rPr>
          <w:rFonts w:asciiTheme="minorHAnsi" w:hAnsiTheme="minorHAnsi" w:cstheme="minorBidi"/>
          <w:b w:val="0"/>
          <w:bCs w:val="0"/>
          <w:caps w:val="0"/>
          <w:sz w:val="22"/>
          <w:szCs w:val="22"/>
          <w:rtl/>
        </w:rPr>
      </w:pPr>
      <w:hyperlink w:anchor="_Toc134347648" w:history="1">
        <w:r w:rsidR="001C69A8" w:rsidRPr="007423D2">
          <w:rPr>
            <w:rStyle w:val="Hyperlink"/>
            <w:rtl/>
          </w:rPr>
          <w:t>ד' ההל' קט' דרק בהשריש בשבת חייב</w:t>
        </w:r>
      </w:hyperlink>
    </w:p>
    <w:p w14:paraId="29E97461" w14:textId="77777777" w:rsidR="001C69A8" w:rsidRDefault="00AD16A0" w:rsidP="001C69A8">
      <w:pPr>
        <w:pStyle w:val="TOC2"/>
        <w:rPr>
          <w:rFonts w:cstheme="minorBidi"/>
          <w:b w:val="0"/>
          <w:bCs w:val="0"/>
          <w:sz w:val="22"/>
          <w:szCs w:val="22"/>
          <w:rtl/>
        </w:rPr>
      </w:pPr>
      <w:hyperlink w:anchor="_Toc134347649" w:history="1">
        <w:r w:rsidR="001C69A8" w:rsidRPr="007423D2">
          <w:rPr>
            <w:rStyle w:val="Hyperlink"/>
            <w:rtl/>
          </w:rPr>
          <w:t>מסקנת ההל' קטנות דחיוב זורע רק בהשריש או הנץ בשבת</w:t>
        </w:r>
      </w:hyperlink>
    </w:p>
    <w:p w14:paraId="7C226E33" w14:textId="77777777" w:rsidR="001C69A8" w:rsidRDefault="00AD16A0" w:rsidP="00ED704E">
      <w:pPr>
        <w:pStyle w:val="TOC3"/>
        <w:rPr>
          <w:rFonts w:asciiTheme="minorHAnsi" w:eastAsiaTheme="minorEastAsia" w:hAnsiTheme="minorHAnsi" w:cstheme="minorBidi"/>
          <w:sz w:val="22"/>
          <w:szCs w:val="22"/>
          <w:rtl/>
        </w:rPr>
      </w:pPr>
      <w:hyperlink w:anchor="_Toc134347650" w:history="1">
        <w:r w:rsidR="001C69A8" w:rsidRPr="007423D2">
          <w:rPr>
            <w:rStyle w:val="Hyperlink"/>
            <w:rtl/>
          </w:rPr>
          <w:t>מסקנת ההלכות קטנות דחיוב זורע רק בהשריש או הנץ בשבת דמוכח בגיטין דבלא"ה ל"ה זרוע</w:t>
        </w:r>
      </w:hyperlink>
    </w:p>
    <w:p w14:paraId="4FEA86DF" w14:textId="77777777" w:rsidR="001C69A8" w:rsidRDefault="00AD16A0" w:rsidP="001C69A8">
      <w:pPr>
        <w:pStyle w:val="TOC1"/>
        <w:rPr>
          <w:rFonts w:asciiTheme="minorHAnsi" w:hAnsiTheme="minorHAnsi" w:cstheme="minorBidi"/>
          <w:b w:val="0"/>
          <w:bCs w:val="0"/>
          <w:caps w:val="0"/>
          <w:sz w:val="22"/>
          <w:szCs w:val="22"/>
          <w:rtl/>
        </w:rPr>
      </w:pPr>
      <w:hyperlink w:anchor="_Toc134347651" w:history="1">
        <w:r w:rsidR="001C69A8" w:rsidRPr="007423D2">
          <w:rPr>
            <w:rStyle w:val="Hyperlink"/>
            <w:rtl/>
          </w:rPr>
          <w:t>הסוברים דזרע ולא השריש וסילק פטור</w:t>
        </w:r>
      </w:hyperlink>
    </w:p>
    <w:p w14:paraId="73450C06" w14:textId="77777777" w:rsidR="001C69A8" w:rsidRDefault="00AD16A0" w:rsidP="001C69A8">
      <w:pPr>
        <w:pStyle w:val="TOC2"/>
        <w:rPr>
          <w:rFonts w:cstheme="minorBidi"/>
          <w:b w:val="0"/>
          <w:bCs w:val="0"/>
          <w:sz w:val="22"/>
          <w:szCs w:val="22"/>
          <w:rtl/>
        </w:rPr>
      </w:pPr>
      <w:hyperlink w:anchor="_Toc134347652" w:history="1">
        <w:r w:rsidR="001C69A8" w:rsidRPr="007423D2">
          <w:rPr>
            <w:rStyle w:val="Hyperlink"/>
            <w:rtl/>
          </w:rPr>
          <w:t>בי' המהר"ם חביב דזורע כאופה ובהשריש בחול נעשית מחשבתו</w:t>
        </w:r>
      </w:hyperlink>
    </w:p>
    <w:p w14:paraId="3AEB3B6A" w14:textId="77777777" w:rsidR="001C69A8" w:rsidRDefault="00AD16A0" w:rsidP="00ED704E">
      <w:pPr>
        <w:pStyle w:val="TOC3"/>
        <w:rPr>
          <w:rFonts w:asciiTheme="minorHAnsi" w:eastAsiaTheme="minorEastAsia" w:hAnsiTheme="minorHAnsi" w:cstheme="minorBidi"/>
          <w:sz w:val="22"/>
          <w:szCs w:val="22"/>
          <w:rtl/>
        </w:rPr>
      </w:pPr>
      <w:hyperlink w:anchor="_Toc134347653" w:history="1">
        <w:r w:rsidR="001C69A8" w:rsidRPr="007423D2">
          <w:rPr>
            <w:rStyle w:val="Hyperlink"/>
            <w:rtl/>
          </w:rPr>
          <w:t>בי' המהר"ם חביב דזורע דמי לאופה וחייב רק בהשרשה ובסילק את הזרעים לפני השרשה פטור</w:t>
        </w:r>
      </w:hyperlink>
    </w:p>
    <w:p w14:paraId="6D532773" w14:textId="77777777" w:rsidR="001C69A8" w:rsidRDefault="00AD16A0" w:rsidP="00ED704E">
      <w:pPr>
        <w:pStyle w:val="TOC3"/>
        <w:rPr>
          <w:rFonts w:asciiTheme="minorHAnsi" w:eastAsiaTheme="minorEastAsia" w:hAnsiTheme="minorHAnsi" w:cstheme="minorBidi"/>
          <w:sz w:val="22"/>
          <w:szCs w:val="22"/>
          <w:rtl/>
        </w:rPr>
      </w:pPr>
      <w:hyperlink w:anchor="_Toc134347654" w:history="1">
        <w:r w:rsidR="001C69A8" w:rsidRPr="007423D2">
          <w:rPr>
            <w:rStyle w:val="Hyperlink"/>
            <w:rtl/>
          </w:rPr>
          <w:t>בי' המהר"ם חביב דזורע בשבת חייב אף שהשרשה היא בחול כיון דנעשית מחשבתו</w:t>
        </w:r>
      </w:hyperlink>
    </w:p>
    <w:p w14:paraId="2A1D4DBB" w14:textId="77777777" w:rsidR="001C69A8" w:rsidRDefault="00AD16A0" w:rsidP="00ED704E">
      <w:pPr>
        <w:pStyle w:val="TOC3"/>
        <w:rPr>
          <w:rFonts w:asciiTheme="minorHAnsi" w:eastAsiaTheme="minorEastAsia" w:hAnsiTheme="minorHAnsi" w:cstheme="minorBidi"/>
          <w:sz w:val="22"/>
          <w:szCs w:val="22"/>
          <w:rtl/>
        </w:rPr>
      </w:pPr>
      <w:hyperlink w:anchor="_Toc134347655" w:history="1">
        <w:r w:rsidR="001C69A8" w:rsidRPr="007423D2">
          <w:rPr>
            <w:rStyle w:val="Hyperlink"/>
            <w:rtl/>
          </w:rPr>
          <w:t>הוכחת המהר"ם חביב מתוס' לעיל דטומן ע"מ שישרישו חייב מדין זורע אף שישרישו רק בחול</w:t>
        </w:r>
      </w:hyperlink>
    </w:p>
    <w:p w14:paraId="413BC897" w14:textId="77777777" w:rsidR="001C69A8" w:rsidRDefault="00AD16A0" w:rsidP="00ED704E">
      <w:pPr>
        <w:pStyle w:val="TOC3"/>
        <w:rPr>
          <w:rFonts w:asciiTheme="minorHAnsi" w:eastAsiaTheme="minorEastAsia" w:hAnsiTheme="minorHAnsi" w:cstheme="minorBidi"/>
          <w:sz w:val="22"/>
          <w:szCs w:val="22"/>
          <w:rtl/>
        </w:rPr>
      </w:pPr>
      <w:hyperlink w:anchor="_Toc134347656" w:history="1">
        <w:r w:rsidR="001C69A8" w:rsidRPr="007423D2">
          <w:rPr>
            <w:rStyle w:val="Hyperlink"/>
            <w:rtl/>
          </w:rPr>
          <w:t>בי' המהר"ם חביב דבאופה ל"ה התראת ספק דאין בדעתו לרדותה וה"ה בזורע דאין דעתו לסלק</w:t>
        </w:r>
      </w:hyperlink>
    </w:p>
    <w:p w14:paraId="2D8B118A" w14:textId="77777777" w:rsidR="001C69A8" w:rsidRDefault="00AD16A0" w:rsidP="001C69A8">
      <w:pPr>
        <w:pStyle w:val="TOC2"/>
        <w:rPr>
          <w:rFonts w:cstheme="minorBidi"/>
          <w:b w:val="0"/>
          <w:bCs w:val="0"/>
          <w:sz w:val="22"/>
          <w:szCs w:val="22"/>
          <w:rtl/>
        </w:rPr>
      </w:pPr>
      <w:hyperlink w:anchor="_Toc134347657" w:history="1">
        <w:r w:rsidR="001C69A8" w:rsidRPr="007423D2">
          <w:rPr>
            <w:rStyle w:val="Hyperlink"/>
            <w:rtl/>
          </w:rPr>
          <w:t>בי' הרש"ש דבליקט לפני השרשה פטור דלא נעשית מחשבתו</w:t>
        </w:r>
      </w:hyperlink>
    </w:p>
    <w:p w14:paraId="4B2C95F3" w14:textId="77777777" w:rsidR="001C69A8" w:rsidRDefault="00AD16A0" w:rsidP="00ED704E">
      <w:pPr>
        <w:pStyle w:val="TOC3"/>
        <w:rPr>
          <w:rFonts w:asciiTheme="minorHAnsi" w:eastAsiaTheme="minorEastAsia" w:hAnsiTheme="minorHAnsi" w:cstheme="minorBidi"/>
          <w:sz w:val="22"/>
          <w:szCs w:val="22"/>
          <w:rtl/>
        </w:rPr>
      </w:pPr>
      <w:hyperlink w:anchor="_Toc134347658" w:history="1">
        <w:r w:rsidR="001C69A8" w:rsidRPr="007423D2">
          <w:rPr>
            <w:rStyle w:val="Hyperlink"/>
            <w:rtl/>
          </w:rPr>
          <w:t>בי' הרש"ש דאף דזרע שלא השריש כמונח בכד חייב עליו כנתינה בתנור דנאפה מאיליו</w:t>
        </w:r>
      </w:hyperlink>
    </w:p>
    <w:p w14:paraId="08817BAC" w14:textId="77777777" w:rsidR="001C69A8" w:rsidRDefault="00AD16A0" w:rsidP="00ED704E">
      <w:pPr>
        <w:pStyle w:val="TOC3"/>
        <w:rPr>
          <w:rFonts w:asciiTheme="minorHAnsi" w:eastAsiaTheme="minorEastAsia" w:hAnsiTheme="minorHAnsi" w:cstheme="minorBidi"/>
          <w:sz w:val="22"/>
          <w:szCs w:val="22"/>
          <w:rtl/>
        </w:rPr>
      </w:pPr>
      <w:hyperlink w:anchor="_Toc134347659" w:history="1">
        <w:r w:rsidR="001C69A8" w:rsidRPr="007423D2">
          <w:rPr>
            <w:rStyle w:val="Hyperlink"/>
            <w:rtl/>
          </w:rPr>
          <w:t>בי' הרש"ש דהזורע בשבת וליקט את הזרע לפני השרשה פטור דלא נעשית מחשבתו כאופה</w:t>
        </w:r>
      </w:hyperlink>
    </w:p>
    <w:p w14:paraId="6A723AA4" w14:textId="77777777" w:rsidR="001C69A8" w:rsidRDefault="00AD16A0" w:rsidP="00ED704E">
      <w:pPr>
        <w:pStyle w:val="TOC3"/>
        <w:rPr>
          <w:rFonts w:asciiTheme="minorHAnsi" w:eastAsiaTheme="minorEastAsia" w:hAnsiTheme="minorHAnsi" w:cstheme="minorBidi"/>
          <w:sz w:val="22"/>
          <w:szCs w:val="22"/>
          <w:rtl/>
        </w:rPr>
      </w:pPr>
      <w:hyperlink w:anchor="_Toc134347660" w:history="1">
        <w:r w:rsidR="001C69A8" w:rsidRPr="007423D2">
          <w:rPr>
            <w:rStyle w:val="Hyperlink"/>
            <w:rtl/>
          </w:rPr>
          <w:t>בי' הרש"ש דהתולש זרע ושתלו ודאי חייב ורק הזורע ולא נשרש וליקט פטור דלא עשה כלום</w:t>
        </w:r>
      </w:hyperlink>
    </w:p>
    <w:p w14:paraId="3B409885" w14:textId="77777777" w:rsidR="001C69A8" w:rsidRDefault="00AD16A0" w:rsidP="001C69A8">
      <w:pPr>
        <w:pStyle w:val="TOC2"/>
        <w:rPr>
          <w:rFonts w:cstheme="minorBidi"/>
          <w:b w:val="0"/>
          <w:bCs w:val="0"/>
          <w:sz w:val="22"/>
          <w:szCs w:val="22"/>
          <w:rtl/>
        </w:rPr>
      </w:pPr>
      <w:hyperlink w:anchor="_Toc134347661" w:history="1">
        <w:r w:rsidR="001C69A8" w:rsidRPr="007423D2">
          <w:rPr>
            <w:rStyle w:val="Hyperlink"/>
            <w:rtl/>
          </w:rPr>
          <w:t>בי' האגל"ט בגר"ז דחיוב זורע בהשרשה ובספק השרשה מותר</w:t>
        </w:r>
      </w:hyperlink>
    </w:p>
    <w:p w14:paraId="3827F238" w14:textId="77777777" w:rsidR="001C69A8" w:rsidRDefault="00AD16A0" w:rsidP="00ED704E">
      <w:pPr>
        <w:pStyle w:val="TOC3"/>
        <w:rPr>
          <w:rFonts w:asciiTheme="minorHAnsi" w:eastAsiaTheme="minorEastAsia" w:hAnsiTheme="minorHAnsi" w:cstheme="minorBidi"/>
          <w:sz w:val="22"/>
          <w:szCs w:val="22"/>
          <w:rtl/>
        </w:rPr>
      </w:pPr>
      <w:hyperlink w:anchor="_Toc134347662" w:history="1">
        <w:r w:rsidR="001C69A8" w:rsidRPr="007423D2">
          <w:rPr>
            <w:rStyle w:val="Hyperlink"/>
            <w:rtl/>
          </w:rPr>
          <w:t>בי' האגל"ט בגר"ז שהתיר בספק אם יאכלום דס"ל דאיסור זורע הוא רק בהשרשה ולא בנתינה</w:t>
        </w:r>
      </w:hyperlink>
    </w:p>
    <w:p w14:paraId="6F842841" w14:textId="77777777" w:rsidR="001C69A8" w:rsidRDefault="00AD16A0" w:rsidP="001C69A8">
      <w:pPr>
        <w:pStyle w:val="TOC2"/>
        <w:rPr>
          <w:rFonts w:cstheme="minorBidi"/>
          <w:b w:val="0"/>
          <w:bCs w:val="0"/>
          <w:sz w:val="22"/>
          <w:szCs w:val="22"/>
          <w:rtl/>
        </w:rPr>
      </w:pPr>
      <w:hyperlink w:anchor="_Toc134347663" w:history="1">
        <w:r w:rsidR="001C69A8" w:rsidRPr="007423D2">
          <w:rPr>
            <w:rStyle w:val="Hyperlink"/>
            <w:rtl/>
          </w:rPr>
          <w:t>משמעות המשנ"ב דחיוב זורע רק בהשרשה וחייב בזה למפרע</w:t>
        </w:r>
      </w:hyperlink>
    </w:p>
    <w:p w14:paraId="3C09449E" w14:textId="77777777" w:rsidR="001C69A8" w:rsidRDefault="00AD16A0" w:rsidP="00ED704E">
      <w:pPr>
        <w:pStyle w:val="TOC3"/>
        <w:rPr>
          <w:rFonts w:asciiTheme="minorHAnsi" w:eastAsiaTheme="minorEastAsia" w:hAnsiTheme="minorHAnsi" w:cstheme="minorBidi"/>
          <w:sz w:val="22"/>
          <w:szCs w:val="22"/>
          <w:rtl/>
        </w:rPr>
      </w:pPr>
      <w:hyperlink w:anchor="_Toc134347664" w:history="1">
        <w:r w:rsidR="001C69A8" w:rsidRPr="007423D2">
          <w:rPr>
            <w:rStyle w:val="Hyperlink"/>
            <w:rtl/>
          </w:rPr>
          <w:t>בי' המשנ"ב דביום או יומיים הזרעים לא יצמחו אבל בג' ימים צומחים וחייב למפרע בזורע</w:t>
        </w:r>
      </w:hyperlink>
    </w:p>
    <w:p w14:paraId="4A9A36BE" w14:textId="77777777" w:rsidR="001C69A8" w:rsidRDefault="00AD16A0" w:rsidP="00ED704E">
      <w:pPr>
        <w:pStyle w:val="TOC3"/>
        <w:rPr>
          <w:rFonts w:asciiTheme="minorHAnsi" w:eastAsiaTheme="minorEastAsia" w:hAnsiTheme="minorHAnsi" w:cstheme="minorBidi"/>
          <w:sz w:val="22"/>
          <w:szCs w:val="22"/>
          <w:rtl/>
        </w:rPr>
      </w:pPr>
      <w:hyperlink w:anchor="_Toc134347665" w:history="1">
        <w:r w:rsidR="001C69A8" w:rsidRPr="007423D2">
          <w:rPr>
            <w:rStyle w:val="Hyperlink"/>
            <w:rtl/>
          </w:rPr>
          <w:t>בי' המשנ"ב דאף למג"א השורה בכוונה לחצי יום חייב מיד דיתכן שיצמחו קצת בחצי יום</w:t>
        </w:r>
      </w:hyperlink>
    </w:p>
    <w:p w14:paraId="1932EC98" w14:textId="77777777" w:rsidR="001C69A8" w:rsidRDefault="00AD16A0" w:rsidP="001C69A8">
      <w:pPr>
        <w:pStyle w:val="TOC2"/>
        <w:rPr>
          <w:rFonts w:cstheme="minorBidi"/>
          <w:b w:val="0"/>
          <w:bCs w:val="0"/>
          <w:sz w:val="22"/>
          <w:szCs w:val="22"/>
          <w:rtl/>
        </w:rPr>
      </w:pPr>
      <w:hyperlink w:anchor="_Toc134347666" w:history="1">
        <w:r w:rsidR="001C69A8" w:rsidRPr="007423D2">
          <w:rPr>
            <w:rStyle w:val="Hyperlink"/>
            <w:rtl/>
          </w:rPr>
          <w:t>בי' הדב"א דא"א לומר דבלא השריש לא איתעבדא מחשבתו</w:t>
        </w:r>
      </w:hyperlink>
    </w:p>
    <w:p w14:paraId="51AB4754" w14:textId="77777777" w:rsidR="001C69A8" w:rsidRDefault="00AD16A0" w:rsidP="00ED704E">
      <w:pPr>
        <w:pStyle w:val="TOC3"/>
        <w:rPr>
          <w:rFonts w:asciiTheme="minorHAnsi" w:eastAsiaTheme="minorEastAsia" w:hAnsiTheme="minorHAnsi" w:cstheme="minorBidi"/>
          <w:sz w:val="22"/>
          <w:szCs w:val="22"/>
          <w:rtl/>
        </w:rPr>
      </w:pPr>
      <w:hyperlink w:anchor="_Toc134347667" w:history="1">
        <w:r w:rsidR="001C69A8" w:rsidRPr="007423D2">
          <w:rPr>
            <w:rStyle w:val="Hyperlink"/>
            <w:rtl/>
          </w:rPr>
          <w:t>בי' הדב"א דאף באופה גמר המלאכה בנתינה והרודה פטור דחסר בשיעור דלא נעשית מחשבתו</w:t>
        </w:r>
      </w:hyperlink>
    </w:p>
    <w:p w14:paraId="32DC3FA0" w14:textId="77777777" w:rsidR="001C69A8" w:rsidRDefault="00AD16A0" w:rsidP="00ED704E">
      <w:pPr>
        <w:pStyle w:val="TOC3"/>
        <w:rPr>
          <w:rFonts w:asciiTheme="minorHAnsi" w:eastAsiaTheme="minorEastAsia" w:hAnsiTheme="minorHAnsi" w:cstheme="minorBidi"/>
          <w:sz w:val="22"/>
          <w:szCs w:val="22"/>
          <w:rtl/>
        </w:rPr>
      </w:pPr>
      <w:hyperlink w:anchor="_Toc134347668" w:history="1">
        <w:r w:rsidR="001C69A8" w:rsidRPr="007423D2">
          <w:rPr>
            <w:rStyle w:val="Hyperlink"/>
            <w:rtl/>
          </w:rPr>
          <w:t>דחיית הדב"א דפטור דלא נעשית מחשבתו בשינוי בעיקר המעשה אך שינוי בתוצאה לא פוטר</w:t>
        </w:r>
      </w:hyperlink>
    </w:p>
    <w:p w14:paraId="4681BC5C" w14:textId="77777777" w:rsidR="001C69A8" w:rsidRDefault="00AD16A0" w:rsidP="001C69A8">
      <w:pPr>
        <w:pStyle w:val="TOC1"/>
        <w:rPr>
          <w:rFonts w:asciiTheme="minorHAnsi" w:hAnsiTheme="minorHAnsi" w:cstheme="minorBidi"/>
          <w:b w:val="0"/>
          <w:bCs w:val="0"/>
          <w:caps w:val="0"/>
          <w:sz w:val="22"/>
          <w:szCs w:val="22"/>
          <w:rtl/>
        </w:rPr>
      </w:pPr>
      <w:hyperlink w:anchor="_Toc134347669" w:history="1">
        <w:r w:rsidR="001C69A8" w:rsidRPr="007423D2">
          <w:rPr>
            <w:rStyle w:val="Hyperlink"/>
            <w:rtl/>
          </w:rPr>
          <w:t>ראיות האחרו' אי חייב מיד או בהשרשה</w:t>
        </w:r>
      </w:hyperlink>
    </w:p>
    <w:p w14:paraId="7A23EA16" w14:textId="77777777" w:rsidR="001C69A8" w:rsidRDefault="00AD16A0" w:rsidP="001C69A8">
      <w:pPr>
        <w:pStyle w:val="TOC2"/>
        <w:rPr>
          <w:rFonts w:cstheme="minorBidi"/>
          <w:b w:val="0"/>
          <w:bCs w:val="0"/>
          <w:sz w:val="22"/>
          <w:szCs w:val="22"/>
          <w:rtl/>
        </w:rPr>
      </w:pPr>
      <w:hyperlink w:anchor="_Toc134347670" w:history="1">
        <w:r w:rsidR="001C69A8" w:rsidRPr="007423D2">
          <w:rPr>
            <w:rStyle w:val="Hyperlink"/>
            <w:rtl/>
          </w:rPr>
          <w:t>בי' האגל"ט דאף דמשמע דחייב בהשרשה מ"מ חייב מיד</w:t>
        </w:r>
      </w:hyperlink>
    </w:p>
    <w:p w14:paraId="4ED857EF" w14:textId="77777777" w:rsidR="001C69A8" w:rsidRDefault="00AD16A0" w:rsidP="00ED704E">
      <w:pPr>
        <w:pStyle w:val="TOC3"/>
        <w:rPr>
          <w:rFonts w:asciiTheme="minorHAnsi" w:eastAsiaTheme="minorEastAsia" w:hAnsiTheme="minorHAnsi" w:cstheme="minorBidi"/>
          <w:sz w:val="22"/>
          <w:szCs w:val="22"/>
          <w:rtl/>
        </w:rPr>
      </w:pPr>
      <w:hyperlink w:anchor="_Toc134347671" w:history="1">
        <w:r w:rsidR="001C69A8" w:rsidRPr="007423D2">
          <w:rPr>
            <w:rStyle w:val="Hyperlink"/>
            <w:rtl/>
          </w:rPr>
          <w:t>בי' האגל"ט דהטומן לפת שלא השריש דל"ה זרוע אף בטמון כולו כיון דאין כוונתו לזריעה</w:t>
        </w:r>
      </w:hyperlink>
    </w:p>
    <w:p w14:paraId="5CB25519" w14:textId="77777777" w:rsidR="001C69A8" w:rsidRDefault="00AD16A0" w:rsidP="00ED704E">
      <w:pPr>
        <w:pStyle w:val="TOC3"/>
        <w:rPr>
          <w:rFonts w:asciiTheme="minorHAnsi" w:eastAsiaTheme="minorEastAsia" w:hAnsiTheme="minorHAnsi" w:cstheme="minorBidi"/>
          <w:sz w:val="22"/>
          <w:szCs w:val="22"/>
          <w:rtl/>
        </w:rPr>
      </w:pPr>
      <w:hyperlink w:anchor="_Toc134347672" w:history="1">
        <w:r w:rsidR="001C69A8" w:rsidRPr="007423D2">
          <w:rPr>
            <w:rStyle w:val="Hyperlink"/>
            <w:rtl/>
          </w:rPr>
          <w:t>קו' האגל"ט דאי בלא השריש הוי זרוע א"כ טומן לפת חייב אף בלא כוונת זריעה דהוא פס"ר</w:t>
        </w:r>
      </w:hyperlink>
    </w:p>
    <w:p w14:paraId="407781CA" w14:textId="77777777" w:rsidR="001C69A8" w:rsidRDefault="00AD16A0" w:rsidP="00ED704E">
      <w:pPr>
        <w:pStyle w:val="TOC3"/>
        <w:rPr>
          <w:rFonts w:asciiTheme="minorHAnsi" w:eastAsiaTheme="minorEastAsia" w:hAnsiTheme="minorHAnsi" w:cstheme="minorBidi"/>
          <w:sz w:val="22"/>
          <w:szCs w:val="22"/>
          <w:rtl/>
        </w:rPr>
      </w:pPr>
      <w:hyperlink w:anchor="_Toc134347673" w:history="1">
        <w:r w:rsidR="001C69A8" w:rsidRPr="007423D2">
          <w:rPr>
            <w:rStyle w:val="Hyperlink"/>
            <w:rtl/>
          </w:rPr>
          <w:t>דחיית האגל"ט דבטומן לפת ל"ה זרוע בלא השרשה רק לענין שביעית אך לשבת אין ראיה</w:t>
        </w:r>
      </w:hyperlink>
    </w:p>
    <w:p w14:paraId="43BAF6D4" w14:textId="77777777" w:rsidR="001C69A8" w:rsidRDefault="00AD16A0" w:rsidP="00ED704E">
      <w:pPr>
        <w:pStyle w:val="TOC3"/>
        <w:rPr>
          <w:rFonts w:asciiTheme="minorHAnsi" w:eastAsiaTheme="minorEastAsia" w:hAnsiTheme="minorHAnsi" w:cstheme="minorBidi"/>
          <w:sz w:val="22"/>
          <w:szCs w:val="22"/>
          <w:rtl/>
        </w:rPr>
      </w:pPr>
      <w:hyperlink w:anchor="_Toc134347674" w:history="1">
        <w:r w:rsidR="001C69A8" w:rsidRPr="007423D2">
          <w:rPr>
            <w:rStyle w:val="Hyperlink"/>
            <w:rtl/>
          </w:rPr>
          <w:t>בי' האגל"ט במג"א דשורה חיטין במים לזמן מועט פטור דלא השריש ומבו' דחיוב זורע בהשרשה</w:t>
        </w:r>
      </w:hyperlink>
    </w:p>
    <w:p w14:paraId="769BF1B0" w14:textId="77777777" w:rsidR="001C69A8" w:rsidRDefault="00AD16A0" w:rsidP="00ED704E">
      <w:pPr>
        <w:pStyle w:val="TOC3"/>
        <w:rPr>
          <w:rFonts w:asciiTheme="minorHAnsi" w:eastAsiaTheme="minorEastAsia" w:hAnsiTheme="minorHAnsi" w:cstheme="minorBidi"/>
          <w:sz w:val="22"/>
          <w:szCs w:val="22"/>
          <w:rtl/>
        </w:rPr>
      </w:pPr>
      <w:hyperlink w:anchor="_Toc134347675" w:history="1">
        <w:r w:rsidR="001C69A8" w:rsidRPr="007423D2">
          <w:rPr>
            <w:rStyle w:val="Hyperlink"/>
            <w:rtl/>
          </w:rPr>
          <w:t>דחיית האגל"ט דהחיוב זורע בנתינה והנותן למים לזמן מועט פטור אך בע"מ להשהות חייב מיד</w:t>
        </w:r>
      </w:hyperlink>
    </w:p>
    <w:p w14:paraId="5793E280" w14:textId="77777777" w:rsidR="001C69A8" w:rsidRDefault="00AD16A0" w:rsidP="00ED704E">
      <w:pPr>
        <w:pStyle w:val="TOC3"/>
        <w:rPr>
          <w:rFonts w:asciiTheme="minorHAnsi" w:eastAsiaTheme="minorEastAsia" w:hAnsiTheme="minorHAnsi" w:cstheme="minorBidi"/>
          <w:sz w:val="22"/>
          <w:szCs w:val="22"/>
          <w:rtl/>
        </w:rPr>
      </w:pPr>
      <w:hyperlink w:anchor="_Toc134347676" w:history="1">
        <w:r w:rsidR="001C69A8" w:rsidRPr="007423D2">
          <w:rPr>
            <w:rStyle w:val="Hyperlink"/>
            <w:rtl/>
          </w:rPr>
          <w:t>בי' האגל"ט ביראים דאסר להניח חיטין בשיעור שיכולים להשריש דהחיוב רק בהשרשה</w:t>
        </w:r>
      </w:hyperlink>
    </w:p>
    <w:p w14:paraId="5F652230" w14:textId="77777777" w:rsidR="001C69A8" w:rsidRDefault="00AD16A0" w:rsidP="00ED704E">
      <w:pPr>
        <w:pStyle w:val="TOC3"/>
        <w:rPr>
          <w:rFonts w:asciiTheme="minorHAnsi" w:eastAsiaTheme="minorEastAsia" w:hAnsiTheme="minorHAnsi" w:cstheme="minorBidi"/>
          <w:sz w:val="22"/>
          <w:szCs w:val="22"/>
          <w:rtl/>
        </w:rPr>
      </w:pPr>
      <w:hyperlink w:anchor="_Toc134347677" w:history="1">
        <w:r w:rsidR="001C69A8" w:rsidRPr="007423D2">
          <w:rPr>
            <w:rStyle w:val="Hyperlink"/>
            <w:rtl/>
          </w:rPr>
          <w:t>דחיית האגל"ט דבכוונה להשריש חייב מיד ובספק אם יאכלום מותר דאי"ז פס"ר שישרישו</w:t>
        </w:r>
      </w:hyperlink>
    </w:p>
    <w:p w14:paraId="45DD7589" w14:textId="77777777" w:rsidR="001C69A8" w:rsidRDefault="00AD16A0" w:rsidP="00ED704E">
      <w:pPr>
        <w:pStyle w:val="TOC3"/>
        <w:rPr>
          <w:rFonts w:asciiTheme="minorHAnsi" w:eastAsiaTheme="minorEastAsia" w:hAnsiTheme="minorHAnsi" w:cstheme="minorBidi"/>
          <w:sz w:val="22"/>
          <w:szCs w:val="22"/>
          <w:rtl/>
        </w:rPr>
      </w:pPr>
      <w:hyperlink w:anchor="_Toc134347678" w:history="1">
        <w:r w:rsidR="001C69A8" w:rsidRPr="007423D2">
          <w:rPr>
            <w:rStyle w:val="Hyperlink"/>
            <w:rtl/>
          </w:rPr>
          <w:t>בי' האגל"ט דכל שאינו רוצה בהשרשה כלל לא חשיב זורע ואינו דרך ובלא פס"ר מותר</w:t>
        </w:r>
      </w:hyperlink>
    </w:p>
    <w:p w14:paraId="5BF2EA66" w14:textId="77777777" w:rsidR="001C69A8" w:rsidRDefault="00AD16A0" w:rsidP="001C69A8">
      <w:pPr>
        <w:pStyle w:val="TOC2"/>
        <w:rPr>
          <w:rFonts w:cstheme="minorBidi"/>
          <w:b w:val="0"/>
          <w:bCs w:val="0"/>
          <w:sz w:val="22"/>
          <w:szCs w:val="22"/>
          <w:rtl/>
        </w:rPr>
      </w:pPr>
      <w:hyperlink w:anchor="_Toc134347679" w:history="1">
        <w:r w:rsidR="001C69A8" w:rsidRPr="007423D2">
          <w:rPr>
            <w:rStyle w:val="Hyperlink"/>
            <w:rtl/>
          </w:rPr>
          <w:t>ראיות האור שמח דזריעה נקראת משעת נתינה ולא בהשרשה</w:t>
        </w:r>
      </w:hyperlink>
    </w:p>
    <w:p w14:paraId="11173EE6" w14:textId="77777777" w:rsidR="001C69A8" w:rsidRDefault="00AD16A0" w:rsidP="00ED704E">
      <w:pPr>
        <w:pStyle w:val="TOC3"/>
        <w:rPr>
          <w:rFonts w:asciiTheme="minorHAnsi" w:eastAsiaTheme="minorEastAsia" w:hAnsiTheme="minorHAnsi" w:cstheme="minorBidi"/>
          <w:sz w:val="22"/>
          <w:szCs w:val="22"/>
          <w:rtl/>
        </w:rPr>
      </w:pPr>
      <w:hyperlink w:anchor="_Toc134347680" w:history="1">
        <w:r w:rsidR="001C69A8" w:rsidRPr="007423D2">
          <w:rPr>
            <w:rStyle w:val="Hyperlink"/>
            <w:rtl/>
          </w:rPr>
          <w:t>בי' האו"ש דפשיטא דחיוב זורע בנתינה אף דכמונח בכד דהקליטה אינה במלאכה וסילק חייב</w:t>
        </w:r>
      </w:hyperlink>
    </w:p>
    <w:p w14:paraId="43D4A9FD" w14:textId="77777777" w:rsidR="001C69A8" w:rsidRDefault="00AD16A0" w:rsidP="00ED704E">
      <w:pPr>
        <w:pStyle w:val="TOC3"/>
        <w:rPr>
          <w:rFonts w:asciiTheme="minorHAnsi" w:eastAsiaTheme="minorEastAsia" w:hAnsiTheme="minorHAnsi" w:cstheme="minorBidi"/>
          <w:sz w:val="22"/>
          <w:szCs w:val="22"/>
          <w:rtl/>
        </w:rPr>
      </w:pPr>
      <w:hyperlink w:anchor="_Toc134347681" w:history="1">
        <w:r w:rsidR="001C69A8" w:rsidRPr="007423D2">
          <w:rPr>
            <w:rStyle w:val="Hyperlink"/>
            <w:rtl/>
          </w:rPr>
          <w:t>הוכחת האו"ש מהגמ' במנחות דזרע בלא השרשה הוא בכלל זריעה אך לא נקרא זרוע "בשדה"</w:t>
        </w:r>
      </w:hyperlink>
    </w:p>
    <w:p w14:paraId="508A1DBC" w14:textId="77777777" w:rsidR="001C69A8" w:rsidRDefault="00AD16A0" w:rsidP="00ED704E">
      <w:pPr>
        <w:pStyle w:val="TOC3"/>
        <w:rPr>
          <w:rFonts w:asciiTheme="minorHAnsi" w:eastAsiaTheme="minorEastAsia" w:hAnsiTheme="minorHAnsi" w:cstheme="minorBidi"/>
          <w:sz w:val="22"/>
          <w:szCs w:val="22"/>
          <w:rtl/>
        </w:rPr>
      </w:pPr>
      <w:hyperlink w:anchor="_Toc134347682" w:history="1">
        <w:r w:rsidR="001C69A8" w:rsidRPr="007423D2">
          <w:rPr>
            <w:rStyle w:val="Hyperlink"/>
            <w:rtl/>
          </w:rPr>
          <w:t>הוכחת האו"ש מהירושלמי דבשבת החיוב בהנחת הזרע בקרקע ול"ד לכלאים דחייב ביצאה מידו</w:t>
        </w:r>
      </w:hyperlink>
    </w:p>
    <w:p w14:paraId="5DA3926E" w14:textId="77777777" w:rsidR="001C69A8" w:rsidRDefault="00AD16A0" w:rsidP="00ED704E">
      <w:pPr>
        <w:pStyle w:val="TOC3"/>
        <w:rPr>
          <w:rFonts w:asciiTheme="minorHAnsi" w:eastAsiaTheme="minorEastAsia" w:hAnsiTheme="minorHAnsi" w:cstheme="minorBidi"/>
          <w:sz w:val="22"/>
          <w:szCs w:val="22"/>
          <w:rtl/>
        </w:rPr>
      </w:pPr>
      <w:hyperlink w:anchor="_Toc134347683" w:history="1">
        <w:r w:rsidR="001C69A8" w:rsidRPr="007423D2">
          <w:rPr>
            <w:rStyle w:val="Hyperlink"/>
            <w:rtl/>
          </w:rPr>
          <w:t>הוכחת האו"ש מהתורת כהנים דזרע שלא השריש אעפ"י דהוא נקרא זרוע מ"מ ילפי' דטמא</w:t>
        </w:r>
      </w:hyperlink>
    </w:p>
    <w:p w14:paraId="67357DB2" w14:textId="77777777" w:rsidR="001C69A8" w:rsidRDefault="00AD16A0" w:rsidP="001C69A8">
      <w:pPr>
        <w:pStyle w:val="TOC2"/>
        <w:rPr>
          <w:rFonts w:cstheme="minorBidi"/>
          <w:b w:val="0"/>
          <w:bCs w:val="0"/>
          <w:sz w:val="22"/>
          <w:szCs w:val="22"/>
          <w:rtl/>
        </w:rPr>
      </w:pPr>
      <w:hyperlink w:anchor="_Toc134347684" w:history="1">
        <w:r w:rsidR="001C69A8" w:rsidRPr="007423D2">
          <w:rPr>
            <w:rStyle w:val="Hyperlink"/>
            <w:rtl/>
          </w:rPr>
          <w:t>ראית האפיק"י מהא דהנוטע בשבת בשוגג יקיים וא"צ לעקור</w:t>
        </w:r>
      </w:hyperlink>
    </w:p>
    <w:p w14:paraId="0A23F98C" w14:textId="77777777" w:rsidR="001C69A8" w:rsidRDefault="00AD16A0" w:rsidP="00ED704E">
      <w:pPr>
        <w:pStyle w:val="TOC3"/>
        <w:rPr>
          <w:rFonts w:asciiTheme="minorHAnsi" w:eastAsiaTheme="minorEastAsia" w:hAnsiTheme="minorHAnsi" w:cstheme="minorBidi"/>
          <w:sz w:val="22"/>
          <w:szCs w:val="22"/>
          <w:rtl/>
        </w:rPr>
      </w:pPr>
      <w:hyperlink w:anchor="_Toc134347685" w:history="1">
        <w:r w:rsidR="001C69A8" w:rsidRPr="007423D2">
          <w:rPr>
            <w:rStyle w:val="Hyperlink"/>
            <w:rtl/>
          </w:rPr>
          <w:t>הוכחת האפיק"י דמלאכת זורע נגמרת בנטיעה מהנוטע בשבת בשוגג דא"צ לעקור ולתקן למפרע</w:t>
        </w:r>
      </w:hyperlink>
    </w:p>
    <w:p w14:paraId="21292835" w14:textId="77777777" w:rsidR="001C69A8" w:rsidRDefault="00AD16A0" w:rsidP="00ED704E">
      <w:pPr>
        <w:pStyle w:val="TOC3"/>
        <w:rPr>
          <w:rFonts w:asciiTheme="minorHAnsi" w:eastAsiaTheme="minorEastAsia" w:hAnsiTheme="minorHAnsi" w:cstheme="minorBidi"/>
          <w:sz w:val="22"/>
          <w:szCs w:val="22"/>
          <w:rtl/>
        </w:rPr>
      </w:pPr>
      <w:hyperlink w:anchor="_Toc134347686" w:history="1">
        <w:r w:rsidR="001C69A8" w:rsidRPr="007423D2">
          <w:rPr>
            <w:rStyle w:val="Hyperlink"/>
            <w:rtl/>
          </w:rPr>
          <w:t>דחיית האפיק"י דמוכח דמתני' דנוטע בשבת בשוגג איירי אחר הקליטה כמבו' בנוטע בשביעית</w:t>
        </w:r>
      </w:hyperlink>
    </w:p>
    <w:p w14:paraId="42F84382" w14:textId="77777777" w:rsidR="001C69A8" w:rsidRDefault="00AD16A0" w:rsidP="001C69A8">
      <w:pPr>
        <w:pStyle w:val="TOC2"/>
        <w:rPr>
          <w:rFonts w:cstheme="minorBidi"/>
          <w:b w:val="0"/>
          <w:bCs w:val="0"/>
          <w:sz w:val="22"/>
          <w:szCs w:val="22"/>
          <w:rtl/>
        </w:rPr>
      </w:pPr>
      <w:hyperlink w:anchor="_Toc134347687" w:history="1">
        <w:r w:rsidR="001C69A8" w:rsidRPr="007423D2">
          <w:rPr>
            <w:rStyle w:val="Hyperlink"/>
            <w:rtl/>
          </w:rPr>
          <w:t>הוכחת השביתת השבת כמנ"ח מדאין חיוב ללקט את הזרעים</w:t>
        </w:r>
      </w:hyperlink>
    </w:p>
    <w:p w14:paraId="4942AC4A" w14:textId="77777777" w:rsidR="001C69A8" w:rsidRDefault="00AD16A0" w:rsidP="00ED704E">
      <w:pPr>
        <w:pStyle w:val="TOC3"/>
        <w:rPr>
          <w:rFonts w:asciiTheme="minorHAnsi" w:eastAsiaTheme="minorEastAsia" w:hAnsiTheme="minorHAnsi" w:cstheme="minorBidi"/>
          <w:sz w:val="22"/>
          <w:szCs w:val="22"/>
          <w:rtl/>
        </w:rPr>
      </w:pPr>
      <w:hyperlink w:anchor="_Toc134347688" w:history="1">
        <w:r w:rsidR="001C69A8" w:rsidRPr="007423D2">
          <w:rPr>
            <w:rStyle w:val="Hyperlink"/>
            <w:rtl/>
          </w:rPr>
          <w:t>הוכחת השביתת השבת דבליקט לפני השרשה חייב מדאין חיוב ללקט בחול לפני ההשרשה</w:t>
        </w:r>
      </w:hyperlink>
    </w:p>
    <w:p w14:paraId="1DD87976" w14:textId="77777777" w:rsidR="001C69A8" w:rsidRDefault="00AD16A0" w:rsidP="001C69A8">
      <w:pPr>
        <w:pStyle w:val="TOC1"/>
        <w:rPr>
          <w:rFonts w:asciiTheme="minorHAnsi" w:hAnsiTheme="minorHAnsi" w:cstheme="minorBidi"/>
          <w:b w:val="0"/>
          <w:bCs w:val="0"/>
          <w:caps w:val="0"/>
          <w:sz w:val="22"/>
          <w:szCs w:val="22"/>
          <w:rtl/>
        </w:rPr>
      </w:pPr>
      <w:hyperlink w:anchor="_Toc134347689" w:history="1">
        <w:r w:rsidR="001C69A8" w:rsidRPr="007423D2">
          <w:rPr>
            <w:rStyle w:val="Hyperlink"/>
            <w:rtl/>
          </w:rPr>
          <w:t>~~~~~~~~~~~~~~~~~~~~~~~~~~~~</w:t>
        </w:r>
      </w:hyperlink>
    </w:p>
    <w:p w14:paraId="14B870E5" w14:textId="77777777" w:rsidR="001C69A8" w:rsidRDefault="00AD16A0" w:rsidP="001C69A8">
      <w:pPr>
        <w:pStyle w:val="TOC1"/>
        <w:rPr>
          <w:rFonts w:asciiTheme="minorHAnsi" w:hAnsiTheme="minorHAnsi" w:cstheme="minorBidi"/>
          <w:b w:val="0"/>
          <w:bCs w:val="0"/>
          <w:caps w:val="0"/>
          <w:sz w:val="22"/>
          <w:szCs w:val="22"/>
          <w:rtl/>
        </w:rPr>
      </w:pPr>
      <w:hyperlink w:anchor="_Toc134347690" w:history="1">
        <w:r w:rsidR="001C69A8" w:rsidRPr="007423D2">
          <w:rPr>
            <w:rStyle w:val="Hyperlink"/>
            <w:rtl/>
          </w:rPr>
          <w:t>בהתחיל מלאכה בשבת ונגמרה בחול</w:t>
        </w:r>
      </w:hyperlink>
    </w:p>
    <w:p w14:paraId="02CFD08B" w14:textId="77777777" w:rsidR="001C69A8" w:rsidRDefault="00AD16A0" w:rsidP="001C69A8">
      <w:pPr>
        <w:pStyle w:val="TOC2"/>
        <w:rPr>
          <w:rFonts w:cstheme="minorBidi"/>
          <w:b w:val="0"/>
          <w:bCs w:val="0"/>
          <w:sz w:val="22"/>
          <w:szCs w:val="22"/>
          <w:rtl/>
        </w:rPr>
      </w:pPr>
      <w:hyperlink w:anchor="_Toc134347691" w:history="1">
        <w:r w:rsidR="001C69A8" w:rsidRPr="007423D2">
          <w:rPr>
            <w:rStyle w:val="Hyperlink"/>
            <w:rtl/>
          </w:rPr>
          <w:t>ספק הפרמ"ג בהניח קדירה בשבת והתבשלה כשיעור בחול</w:t>
        </w:r>
      </w:hyperlink>
    </w:p>
    <w:p w14:paraId="798025AE" w14:textId="77777777" w:rsidR="001C69A8" w:rsidRDefault="00AD16A0" w:rsidP="00ED704E">
      <w:pPr>
        <w:pStyle w:val="TOC3"/>
        <w:rPr>
          <w:rFonts w:asciiTheme="minorHAnsi" w:eastAsiaTheme="minorEastAsia" w:hAnsiTheme="minorHAnsi" w:cstheme="minorBidi"/>
          <w:sz w:val="22"/>
          <w:szCs w:val="22"/>
          <w:rtl/>
        </w:rPr>
      </w:pPr>
      <w:hyperlink w:anchor="_Toc134347692" w:history="1">
        <w:r w:rsidR="001C69A8" w:rsidRPr="007423D2">
          <w:rPr>
            <w:rStyle w:val="Hyperlink"/>
            <w:rtl/>
          </w:rPr>
          <w:t>ספק הפרמ"ג בבישל בשבת סמוך לחשיכה ושיעור בישול בחול אי חייב על תחילת הבישול</w:t>
        </w:r>
      </w:hyperlink>
    </w:p>
    <w:p w14:paraId="44328577" w14:textId="77777777" w:rsidR="001C69A8" w:rsidRDefault="00AD16A0" w:rsidP="00ED704E">
      <w:pPr>
        <w:pStyle w:val="TOC3"/>
        <w:rPr>
          <w:rFonts w:asciiTheme="minorHAnsi" w:eastAsiaTheme="minorEastAsia" w:hAnsiTheme="minorHAnsi" w:cstheme="minorBidi"/>
          <w:sz w:val="22"/>
          <w:szCs w:val="22"/>
          <w:rtl/>
        </w:rPr>
      </w:pPr>
      <w:hyperlink w:anchor="_Toc134347693" w:history="1">
        <w:r w:rsidR="001C69A8" w:rsidRPr="007423D2">
          <w:rPr>
            <w:rStyle w:val="Hyperlink"/>
            <w:rtl/>
          </w:rPr>
          <w:t>בי' הפרמ"ג דבבישל בשבת סמוך לחשיכה ושיעור בישול בחול בשבת פטור וביו"ט יל"ע</w:t>
        </w:r>
      </w:hyperlink>
    </w:p>
    <w:p w14:paraId="6136FD5F" w14:textId="77777777" w:rsidR="001C69A8" w:rsidRDefault="00AD16A0" w:rsidP="001C69A8">
      <w:pPr>
        <w:pStyle w:val="TOC2"/>
        <w:rPr>
          <w:rFonts w:cstheme="minorBidi"/>
          <w:b w:val="0"/>
          <w:bCs w:val="0"/>
          <w:sz w:val="22"/>
          <w:szCs w:val="22"/>
          <w:rtl/>
        </w:rPr>
      </w:pPr>
      <w:hyperlink w:anchor="_Toc134347694" w:history="1">
        <w:r w:rsidR="001C69A8" w:rsidRPr="007423D2">
          <w:rPr>
            <w:rStyle w:val="Hyperlink"/>
            <w:rtl/>
          </w:rPr>
          <w:t>בי' הרש"ש דהזורע בשבת והשריש בחול חייב וה"ה באופה</w:t>
        </w:r>
      </w:hyperlink>
    </w:p>
    <w:p w14:paraId="15A308DF" w14:textId="77777777" w:rsidR="001C69A8" w:rsidRDefault="00AD16A0" w:rsidP="00ED704E">
      <w:pPr>
        <w:pStyle w:val="TOC3"/>
        <w:rPr>
          <w:rFonts w:asciiTheme="minorHAnsi" w:eastAsiaTheme="minorEastAsia" w:hAnsiTheme="minorHAnsi" w:cstheme="minorBidi"/>
          <w:sz w:val="22"/>
          <w:szCs w:val="22"/>
          <w:rtl/>
        </w:rPr>
      </w:pPr>
      <w:hyperlink w:anchor="_Toc134347695" w:history="1">
        <w:r w:rsidR="001C69A8" w:rsidRPr="007423D2">
          <w:rPr>
            <w:rStyle w:val="Hyperlink"/>
            <w:rtl/>
          </w:rPr>
          <w:t>בי' הרש"ש דזורע חייב אף בזרע בשבת והשריש בחול וה"ה באופה בשבת ונגמרה בחול</w:t>
        </w:r>
      </w:hyperlink>
    </w:p>
    <w:p w14:paraId="2A9800F2" w14:textId="77777777" w:rsidR="001C69A8" w:rsidRDefault="00AD16A0" w:rsidP="001C69A8">
      <w:pPr>
        <w:pStyle w:val="TOC2"/>
        <w:rPr>
          <w:rFonts w:cstheme="minorBidi"/>
          <w:b w:val="0"/>
          <w:bCs w:val="0"/>
          <w:sz w:val="22"/>
          <w:szCs w:val="22"/>
          <w:rtl/>
        </w:rPr>
      </w:pPr>
      <w:hyperlink w:anchor="_Toc134347696" w:history="1">
        <w:r w:rsidR="001C69A8" w:rsidRPr="007423D2">
          <w:rPr>
            <w:rStyle w:val="Hyperlink"/>
            <w:rtl/>
          </w:rPr>
          <w:t>בי' המנ"ח דהנותן פת בתנור לפני חשיכה ונאפית בחול פטור</w:t>
        </w:r>
      </w:hyperlink>
    </w:p>
    <w:p w14:paraId="246904A7" w14:textId="77777777" w:rsidR="001C69A8" w:rsidRDefault="00AD16A0" w:rsidP="00ED704E">
      <w:pPr>
        <w:pStyle w:val="TOC3"/>
        <w:rPr>
          <w:rFonts w:asciiTheme="minorHAnsi" w:eastAsiaTheme="minorEastAsia" w:hAnsiTheme="minorHAnsi" w:cstheme="minorBidi"/>
          <w:sz w:val="22"/>
          <w:szCs w:val="22"/>
          <w:rtl/>
        </w:rPr>
      </w:pPr>
      <w:hyperlink w:anchor="_Toc134347697" w:history="1">
        <w:r w:rsidR="001C69A8" w:rsidRPr="007423D2">
          <w:rPr>
            <w:rStyle w:val="Hyperlink"/>
            <w:rtl/>
          </w:rPr>
          <w:t>בי' המנ"ח דחיוב מלאכת שבת רק במעשה עם מלאכה והנותן בתנור בשבת ונאפית בחול פטור</w:t>
        </w:r>
      </w:hyperlink>
    </w:p>
    <w:p w14:paraId="6BE4521B" w14:textId="77777777" w:rsidR="001C69A8" w:rsidRDefault="00AD16A0" w:rsidP="00ED704E">
      <w:pPr>
        <w:pStyle w:val="TOC3"/>
        <w:rPr>
          <w:rFonts w:asciiTheme="minorHAnsi" w:eastAsiaTheme="minorEastAsia" w:hAnsiTheme="minorHAnsi" w:cstheme="minorBidi"/>
          <w:sz w:val="22"/>
          <w:szCs w:val="22"/>
          <w:rtl/>
        </w:rPr>
      </w:pPr>
      <w:hyperlink w:anchor="_Toc134347698" w:history="1">
        <w:r w:rsidR="001C69A8" w:rsidRPr="007423D2">
          <w:rPr>
            <w:rStyle w:val="Hyperlink"/>
            <w:rtl/>
          </w:rPr>
          <w:t>בי' החלקת יואב דמוכח בירו' וברא"ש דמתחיל בשבת  וגומר בחול חייב ודחיית האגל"ט לדבריו</w:t>
        </w:r>
      </w:hyperlink>
    </w:p>
    <w:p w14:paraId="312ED50A" w14:textId="77777777" w:rsidR="001C69A8" w:rsidRDefault="00AD16A0" w:rsidP="001C69A8">
      <w:pPr>
        <w:pStyle w:val="TOC2"/>
        <w:rPr>
          <w:rFonts w:cstheme="minorBidi"/>
          <w:b w:val="0"/>
          <w:bCs w:val="0"/>
          <w:sz w:val="22"/>
          <w:szCs w:val="22"/>
          <w:rtl/>
        </w:rPr>
      </w:pPr>
      <w:hyperlink w:anchor="_Toc134347699" w:history="1">
        <w:r w:rsidR="001C69A8" w:rsidRPr="007423D2">
          <w:rPr>
            <w:rStyle w:val="Hyperlink"/>
            <w:rtl/>
          </w:rPr>
          <w:t>בי' ההר צבי אי מוכח מהנימוק"י באשו משום חציו כד' הרש"ש</w:t>
        </w:r>
      </w:hyperlink>
    </w:p>
    <w:p w14:paraId="6CAFA497" w14:textId="77777777" w:rsidR="001C69A8" w:rsidRDefault="00AD16A0" w:rsidP="00ED704E">
      <w:pPr>
        <w:pStyle w:val="TOC3"/>
        <w:rPr>
          <w:rFonts w:asciiTheme="minorHAnsi" w:eastAsiaTheme="minorEastAsia" w:hAnsiTheme="minorHAnsi" w:cstheme="minorBidi"/>
          <w:sz w:val="22"/>
          <w:szCs w:val="22"/>
          <w:rtl/>
        </w:rPr>
      </w:pPr>
      <w:hyperlink w:anchor="_Toc134347700" w:history="1">
        <w:r w:rsidR="001C69A8" w:rsidRPr="007423D2">
          <w:rPr>
            <w:rStyle w:val="Hyperlink"/>
            <w:rtl/>
          </w:rPr>
          <w:t>בי' ההר צבי דמוכח מהנימוק"י בב"ק דמעשה האפיה וזריעה חשיב שכולו נעשה בתחילה כרש"ש</w:t>
        </w:r>
      </w:hyperlink>
    </w:p>
    <w:p w14:paraId="294A2B65" w14:textId="77777777" w:rsidR="001C69A8" w:rsidRDefault="00AD16A0" w:rsidP="00ED704E">
      <w:pPr>
        <w:pStyle w:val="TOC3"/>
        <w:rPr>
          <w:rFonts w:asciiTheme="minorHAnsi" w:eastAsiaTheme="minorEastAsia" w:hAnsiTheme="minorHAnsi" w:cstheme="minorBidi"/>
          <w:sz w:val="22"/>
          <w:szCs w:val="22"/>
          <w:rtl/>
        </w:rPr>
      </w:pPr>
      <w:hyperlink w:anchor="_Toc134347701" w:history="1">
        <w:r w:rsidR="001C69A8" w:rsidRPr="007423D2">
          <w:rPr>
            <w:rStyle w:val="Hyperlink"/>
            <w:rtl/>
          </w:rPr>
          <w:t>דחיית ההר צבי דכוונת הנימוק"י דחיוב חשיב שכל המעשה נעשה בתחילה ולא המעשה עצמו</w:t>
        </w:r>
      </w:hyperlink>
    </w:p>
    <w:p w14:paraId="1D6F82F5" w14:textId="77777777" w:rsidR="001C69A8" w:rsidRDefault="00AD16A0" w:rsidP="001C69A8">
      <w:pPr>
        <w:pStyle w:val="TOC1"/>
        <w:rPr>
          <w:rFonts w:asciiTheme="minorHAnsi" w:hAnsiTheme="minorHAnsi" w:cstheme="minorBidi"/>
          <w:b w:val="0"/>
          <w:bCs w:val="0"/>
          <w:caps w:val="0"/>
          <w:sz w:val="22"/>
          <w:szCs w:val="22"/>
          <w:rtl/>
        </w:rPr>
      </w:pPr>
      <w:hyperlink w:anchor="_Toc134347702" w:history="1">
        <w:r w:rsidR="001C69A8" w:rsidRPr="007423D2">
          <w:rPr>
            <w:rStyle w:val="Hyperlink"/>
            <w:rtl/>
          </w:rPr>
          <w:t>~~~~~~~~~~~~~~~~~~~~~~~~~~~~</w:t>
        </w:r>
      </w:hyperlink>
    </w:p>
    <w:p w14:paraId="59FFAC7F" w14:textId="77777777" w:rsidR="001C69A8" w:rsidRDefault="00AD16A0" w:rsidP="001C69A8">
      <w:pPr>
        <w:pStyle w:val="TOC1"/>
        <w:rPr>
          <w:rFonts w:asciiTheme="minorHAnsi" w:hAnsiTheme="minorHAnsi" w:cstheme="minorBidi"/>
          <w:b w:val="0"/>
          <w:bCs w:val="0"/>
          <w:caps w:val="0"/>
          <w:sz w:val="22"/>
          <w:szCs w:val="22"/>
          <w:rtl/>
        </w:rPr>
      </w:pPr>
      <w:hyperlink w:anchor="_Toc134347703" w:history="1">
        <w:r w:rsidR="001C69A8" w:rsidRPr="007423D2">
          <w:rPr>
            <w:rStyle w:val="Hyperlink"/>
            <w:rtl/>
          </w:rPr>
          <w:t>פלו' האחרונים בזמן החיוב שורה במים</w:t>
        </w:r>
      </w:hyperlink>
    </w:p>
    <w:p w14:paraId="40896685" w14:textId="77777777" w:rsidR="001C69A8" w:rsidRDefault="00AD16A0" w:rsidP="001C69A8">
      <w:pPr>
        <w:pStyle w:val="TOC2"/>
        <w:rPr>
          <w:rFonts w:cstheme="minorBidi"/>
          <w:b w:val="0"/>
          <w:bCs w:val="0"/>
          <w:sz w:val="22"/>
          <w:szCs w:val="22"/>
          <w:rtl/>
        </w:rPr>
      </w:pPr>
      <w:hyperlink w:anchor="_Toc134347704" w:history="1">
        <w:r w:rsidR="001C69A8" w:rsidRPr="007423D2">
          <w:rPr>
            <w:rStyle w:val="Hyperlink"/>
            <w:rtl/>
          </w:rPr>
          <w:t>בי' האגל"ט דשורה במים חייב כזורע בנתינה ולא בהשרשה</w:t>
        </w:r>
      </w:hyperlink>
    </w:p>
    <w:p w14:paraId="722EC2BF" w14:textId="77777777" w:rsidR="001C69A8" w:rsidRDefault="00AD16A0" w:rsidP="00ED704E">
      <w:pPr>
        <w:pStyle w:val="TOC3"/>
        <w:rPr>
          <w:rFonts w:asciiTheme="minorHAnsi" w:eastAsiaTheme="minorEastAsia" w:hAnsiTheme="minorHAnsi" w:cstheme="minorBidi"/>
          <w:sz w:val="22"/>
          <w:szCs w:val="22"/>
          <w:rtl/>
        </w:rPr>
      </w:pPr>
      <w:hyperlink w:anchor="_Toc134347705" w:history="1">
        <w:r w:rsidR="001C69A8" w:rsidRPr="007423D2">
          <w:rPr>
            <w:rStyle w:val="Hyperlink"/>
            <w:rtl/>
          </w:rPr>
          <w:t>בי' האגל"ט דשורה חיטין במים שלא ע"מ להצמיח הוי מלאכה שא"צ לגופה וקיי"ל דפטור עליה</w:t>
        </w:r>
      </w:hyperlink>
    </w:p>
    <w:p w14:paraId="06F20FB4" w14:textId="77777777" w:rsidR="001C69A8" w:rsidRDefault="00AD16A0" w:rsidP="00ED704E">
      <w:pPr>
        <w:pStyle w:val="TOC3"/>
        <w:rPr>
          <w:rFonts w:asciiTheme="minorHAnsi" w:eastAsiaTheme="minorEastAsia" w:hAnsiTheme="minorHAnsi" w:cstheme="minorBidi"/>
          <w:sz w:val="22"/>
          <w:szCs w:val="22"/>
          <w:rtl/>
        </w:rPr>
      </w:pPr>
      <w:hyperlink w:anchor="_Toc134347706" w:history="1">
        <w:r w:rsidR="001C69A8" w:rsidRPr="007423D2">
          <w:rPr>
            <w:rStyle w:val="Hyperlink"/>
            <w:rtl/>
          </w:rPr>
          <w:t>האגל"ט ברמב"ם דחייב באינו רוצה להצמיח דוקא בהתחיל לצמוח בשבת דהא לא ניחא ליה</w:t>
        </w:r>
      </w:hyperlink>
    </w:p>
    <w:p w14:paraId="0F5118AD" w14:textId="77777777" w:rsidR="001C69A8" w:rsidRDefault="00AD16A0" w:rsidP="00ED704E">
      <w:pPr>
        <w:pStyle w:val="TOC3"/>
        <w:rPr>
          <w:rFonts w:asciiTheme="minorHAnsi" w:eastAsiaTheme="minorEastAsia" w:hAnsiTheme="minorHAnsi" w:cstheme="minorBidi"/>
          <w:sz w:val="22"/>
          <w:szCs w:val="22"/>
          <w:rtl/>
        </w:rPr>
      </w:pPr>
      <w:hyperlink w:anchor="_Toc134347707" w:history="1">
        <w:r w:rsidR="001C69A8" w:rsidRPr="007423D2">
          <w:rPr>
            <w:rStyle w:val="Hyperlink"/>
            <w:rtl/>
          </w:rPr>
          <w:t>בי' האגל"ט דשורה חיטין במים שיצמחו חייב מיד אף אם סילק לפני שצמחו כזורע דחייב בסילק</w:t>
        </w:r>
      </w:hyperlink>
    </w:p>
    <w:p w14:paraId="352C65BD" w14:textId="77777777" w:rsidR="001C69A8" w:rsidRDefault="00AD16A0" w:rsidP="00ED704E">
      <w:pPr>
        <w:pStyle w:val="TOC3"/>
        <w:rPr>
          <w:rFonts w:asciiTheme="minorHAnsi" w:eastAsiaTheme="minorEastAsia" w:hAnsiTheme="minorHAnsi" w:cstheme="minorBidi"/>
          <w:sz w:val="22"/>
          <w:szCs w:val="22"/>
          <w:rtl/>
        </w:rPr>
      </w:pPr>
      <w:hyperlink w:anchor="_Toc134347708" w:history="1">
        <w:r w:rsidR="001C69A8" w:rsidRPr="007423D2">
          <w:rPr>
            <w:rStyle w:val="Hyperlink"/>
            <w:rtl/>
          </w:rPr>
          <w:t>בי' האגל"ט דהשורה חיטין שלא ע"מ להצמיח והוציאן לפני שצמחו אף מדרבנן אינו לוקה</w:t>
        </w:r>
      </w:hyperlink>
    </w:p>
    <w:p w14:paraId="0347C2AE" w14:textId="77777777" w:rsidR="001C69A8" w:rsidRDefault="00AD16A0" w:rsidP="001C69A8">
      <w:pPr>
        <w:pStyle w:val="TOC2"/>
        <w:rPr>
          <w:rFonts w:cstheme="minorBidi"/>
          <w:b w:val="0"/>
          <w:bCs w:val="0"/>
          <w:sz w:val="22"/>
          <w:szCs w:val="22"/>
          <w:rtl/>
        </w:rPr>
      </w:pPr>
      <w:hyperlink w:anchor="_Toc134347709" w:history="1">
        <w:r w:rsidR="001C69A8" w:rsidRPr="007423D2">
          <w:rPr>
            <w:rStyle w:val="Hyperlink"/>
            <w:rtl/>
          </w:rPr>
          <w:t>בי' המנ"ח דשורה חייב רק בזמן ההצמחה ול"ד לזורע בקרקע</w:t>
        </w:r>
      </w:hyperlink>
    </w:p>
    <w:p w14:paraId="73043778" w14:textId="77777777" w:rsidR="001C69A8" w:rsidRDefault="00AD16A0" w:rsidP="00ED704E">
      <w:pPr>
        <w:pStyle w:val="TOC3"/>
        <w:rPr>
          <w:rFonts w:asciiTheme="minorHAnsi" w:eastAsiaTheme="minorEastAsia" w:hAnsiTheme="minorHAnsi" w:cstheme="minorBidi"/>
          <w:sz w:val="22"/>
          <w:szCs w:val="22"/>
          <w:rtl/>
        </w:rPr>
      </w:pPr>
      <w:hyperlink w:anchor="_Toc134347710" w:history="1">
        <w:r w:rsidR="001C69A8" w:rsidRPr="007423D2">
          <w:rPr>
            <w:rStyle w:val="Hyperlink"/>
            <w:rtl/>
          </w:rPr>
          <w:t>בי' המנ"ח דשריה במים אינה זריעה עצמה דל"ד לזורע אלא הוי הצמחה דהיא תולדת זורע</w:t>
        </w:r>
      </w:hyperlink>
    </w:p>
    <w:p w14:paraId="03D0E186" w14:textId="77777777" w:rsidR="001C69A8" w:rsidRDefault="00AD16A0" w:rsidP="00ED704E">
      <w:pPr>
        <w:pStyle w:val="TOC3"/>
        <w:rPr>
          <w:rFonts w:asciiTheme="minorHAnsi" w:eastAsiaTheme="minorEastAsia" w:hAnsiTheme="minorHAnsi" w:cstheme="minorBidi"/>
          <w:sz w:val="22"/>
          <w:szCs w:val="22"/>
          <w:rtl/>
        </w:rPr>
      </w:pPr>
      <w:hyperlink w:anchor="_Toc134347711" w:history="1">
        <w:r w:rsidR="001C69A8" w:rsidRPr="007423D2">
          <w:rPr>
            <w:rStyle w:val="Hyperlink"/>
            <w:rtl/>
          </w:rPr>
          <w:t>בי' המנ"ח דשורה חייב רק משום הצמחה ולכן חיובו בהצמחה עצמה כאופה ולא כזורע בקרקע</w:t>
        </w:r>
      </w:hyperlink>
    </w:p>
    <w:p w14:paraId="7F687D82" w14:textId="77777777" w:rsidR="001C69A8" w:rsidRDefault="00AD16A0" w:rsidP="001C69A8">
      <w:pPr>
        <w:pStyle w:val="TOC2"/>
        <w:rPr>
          <w:rFonts w:cstheme="minorBidi"/>
          <w:b w:val="0"/>
          <w:bCs w:val="0"/>
          <w:sz w:val="22"/>
          <w:szCs w:val="22"/>
          <w:rtl/>
        </w:rPr>
      </w:pPr>
      <w:hyperlink w:anchor="_Toc134347712" w:history="1">
        <w:r w:rsidR="001C69A8" w:rsidRPr="007423D2">
          <w:rPr>
            <w:rStyle w:val="Hyperlink"/>
            <w:rtl/>
          </w:rPr>
          <w:t>בי' המנ"ח דזרע בשבת ונקלט בשבת הקליטה הוי מלאכה</w:t>
        </w:r>
      </w:hyperlink>
    </w:p>
    <w:p w14:paraId="66A3EE64" w14:textId="77777777" w:rsidR="001C69A8" w:rsidRDefault="00AD16A0" w:rsidP="00ED704E">
      <w:pPr>
        <w:pStyle w:val="TOC3"/>
        <w:rPr>
          <w:rFonts w:asciiTheme="minorHAnsi" w:eastAsiaTheme="minorEastAsia" w:hAnsiTheme="minorHAnsi" w:cstheme="minorBidi"/>
          <w:sz w:val="22"/>
          <w:szCs w:val="22"/>
          <w:rtl/>
        </w:rPr>
      </w:pPr>
      <w:hyperlink w:anchor="_Toc134347713" w:history="1">
        <w:r w:rsidR="001C69A8" w:rsidRPr="007423D2">
          <w:rPr>
            <w:rStyle w:val="Hyperlink"/>
            <w:rtl/>
          </w:rPr>
          <w:t>בי' המנ"ח דזורע בשבת ונקלט בו ביום אף הקליטה מלאכה ואי ידע בינתיים חייב ב' חטאות</w:t>
        </w:r>
      </w:hyperlink>
    </w:p>
    <w:p w14:paraId="39FD706F" w14:textId="77777777" w:rsidR="001C69A8" w:rsidRDefault="00AD16A0" w:rsidP="001C69A8">
      <w:pPr>
        <w:pStyle w:val="TOC1"/>
        <w:rPr>
          <w:rFonts w:asciiTheme="minorHAnsi" w:hAnsiTheme="minorHAnsi" w:cstheme="minorBidi"/>
          <w:b w:val="0"/>
          <w:bCs w:val="0"/>
          <w:caps w:val="0"/>
          <w:sz w:val="22"/>
          <w:szCs w:val="22"/>
          <w:rtl/>
        </w:rPr>
      </w:pPr>
      <w:hyperlink w:anchor="_Toc134347714" w:history="1">
        <w:r w:rsidR="001C69A8" w:rsidRPr="007423D2">
          <w:rPr>
            <w:rStyle w:val="Hyperlink"/>
            <w:rtl/>
          </w:rPr>
          <w:t>~~~~~~~ ביאורי ראשי הישיבות ~~~~~~~</w:t>
        </w:r>
      </w:hyperlink>
    </w:p>
    <w:p w14:paraId="4ACF20B3" w14:textId="77777777" w:rsidR="001C69A8" w:rsidRDefault="00AD16A0" w:rsidP="001C69A8">
      <w:pPr>
        <w:pStyle w:val="TOC1"/>
        <w:rPr>
          <w:rFonts w:asciiTheme="minorHAnsi" w:hAnsiTheme="minorHAnsi" w:cstheme="minorBidi"/>
          <w:b w:val="0"/>
          <w:bCs w:val="0"/>
          <w:caps w:val="0"/>
          <w:sz w:val="22"/>
          <w:szCs w:val="22"/>
          <w:rtl/>
        </w:rPr>
      </w:pPr>
      <w:hyperlink w:anchor="_Toc134347715" w:history="1">
        <w:r w:rsidR="001C69A8" w:rsidRPr="007423D2">
          <w:rPr>
            <w:rStyle w:val="Hyperlink"/>
            <w:rtl/>
          </w:rPr>
          <w:t>בפלוג' המנ"ח והרש"ש בגדר זורע ואופה</w:t>
        </w:r>
      </w:hyperlink>
    </w:p>
    <w:p w14:paraId="07264CB8" w14:textId="77777777" w:rsidR="001C69A8" w:rsidRDefault="00AD16A0" w:rsidP="001C69A8">
      <w:pPr>
        <w:pStyle w:val="TOC2"/>
        <w:rPr>
          <w:rFonts w:cstheme="minorBidi"/>
          <w:b w:val="0"/>
          <w:bCs w:val="0"/>
          <w:sz w:val="22"/>
          <w:szCs w:val="22"/>
          <w:rtl/>
        </w:rPr>
      </w:pPr>
      <w:hyperlink w:anchor="_Toc134347716" w:history="1">
        <w:r w:rsidR="001C69A8" w:rsidRPr="007423D2">
          <w:rPr>
            <w:rStyle w:val="Hyperlink"/>
            <w:rtl/>
          </w:rPr>
          <w:t>קו' שיעורי ר"ד ברש"ש דמעשה הזריעה אסור ולא מעשה אפיה</w:t>
        </w:r>
      </w:hyperlink>
    </w:p>
    <w:p w14:paraId="6359F294" w14:textId="77777777" w:rsidR="001C69A8" w:rsidRDefault="00AD16A0" w:rsidP="00ED704E">
      <w:pPr>
        <w:pStyle w:val="TOC3"/>
        <w:rPr>
          <w:rFonts w:asciiTheme="minorHAnsi" w:eastAsiaTheme="minorEastAsia" w:hAnsiTheme="minorHAnsi" w:cstheme="minorBidi"/>
          <w:sz w:val="22"/>
          <w:szCs w:val="22"/>
          <w:rtl/>
        </w:rPr>
      </w:pPr>
      <w:hyperlink w:anchor="_Toc134347717" w:history="1">
        <w:r w:rsidR="001C69A8" w:rsidRPr="007423D2">
          <w:rPr>
            <w:rStyle w:val="Hyperlink"/>
            <w:rtl/>
          </w:rPr>
          <w:t>קו' שיעורי רבי דוד ברש"ש דהאיסור בזריעה שגורמת השרשה ול"ד לאופה דאין איסור בנתינה</w:t>
        </w:r>
      </w:hyperlink>
    </w:p>
    <w:p w14:paraId="0CBBF967" w14:textId="77777777" w:rsidR="001C69A8" w:rsidRDefault="00AD16A0" w:rsidP="001C69A8">
      <w:pPr>
        <w:pStyle w:val="TOC2"/>
        <w:rPr>
          <w:rFonts w:cstheme="minorBidi"/>
          <w:b w:val="0"/>
          <w:bCs w:val="0"/>
          <w:sz w:val="22"/>
          <w:szCs w:val="22"/>
          <w:rtl/>
        </w:rPr>
      </w:pPr>
      <w:hyperlink w:anchor="_Toc134347718" w:history="1">
        <w:r w:rsidR="001C69A8" w:rsidRPr="007423D2">
          <w:rPr>
            <w:rStyle w:val="Hyperlink"/>
            <w:rtl/>
          </w:rPr>
          <w:t>בי' אשר לשלמה במנ"ח דהזריעה מלאכה ואפיה כלולה בהנחה</w:t>
        </w:r>
      </w:hyperlink>
    </w:p>
    <w:p w14:paraId="225B8B88" w14:textId="77777777" w:rsidR="001C69A8" w:rsidRDefault="00AD16A0" w:rsidP="00ED704E">
      <w:pPr>
        <w:pStyle w:val="TOC3"/>
        <w:rPr>
          <w:rFonts w:asciiTheme="minorHAnsi" w:eastAsiaTheme="minorEastAsia" w:hAnsiTheme="minorHAnsi" w:cstheme="minorBidi"/>
          <w:sz w:val="22"/>
          <w:szCs w:val="22"/>
          <w:rtl/>
        </w:rPr>
      </w:pPr>
      <w:hyperlink w:anchor="_Toc134347719" w:history="1">
        <w:r w:rsidR="001C69A8" w:rsidRPr="007423D2">
          <w:rPr>
            <w:rStyle w:val="Hyperlink"/>
            <w:rtl/>
          </w:rPr>
          <w:t>בי' האשר לשלמה במנ"ח דהמלאכה בזורע היא במעשה הזריעה ויכול לקלוט חייב אף בסילק</w:t>
        </w:r>
      </w:hyperlink>
    </w:p>
    <w:p w14:paraId="2D04B334" w14:textId="77777777" w:rsidR="001C69A8" w:rsidRDefault="00AD16A0" w:rsidP="00ED704E">
      <w:pPr>
        <w:pStyle w:val="TOC3"/>
        <w:rPr>
          <w:rFonts w:asciiTheme="minorHAnsi" w:eastAsiaTheme="minorEastAsia" w:hAnsiTheme="minorHAnsi" w:cstheme="minorBidi"/>
          <w:sz w:val="22"/>
          <w:szCs w:val="22"/>
          <w:rtl/>
        </w:rPr>
      </w:pPr>
      <w:hyperlink w:anchor="_Toc134347720" w:history="1">
        <w:r w:rsidR="001C69A8" w:rsidRPr="007423D2">
          <w:rPr>
            <w:rStyle w:val="Hyperlink"/>
            <w:rtl/>
          </w:rPr>
          <w:t>בי' האשר לשלמה במנ"ח דבנאפה בחול פטור דבמעשה שלו כלולה אפיה של היתר ולא איסור</w:t>
        </w:r>
      </w:hyperlink>
    </w:p>
    <w:p w14:paraId="285BA0B8" w14:textId="77777777" w:rsidR="001C69A8" w:rsidRDefault="00AD16A0" w:rsidP="001C69A8">
      <w:pPr>
        <w:pStyle w:val="TOC2"/>
        <w:rPr>
          <w:rFonts w:cstheme="minorBidi"/>
          <w:b w:val="0"/>
          <w:bCs w:val="0"/>
          <w:sz w:val="22"/>
          <w:szCs w:val="22"/>
          <w:rtl/>
        </w:rPr>
      </w:pPr>
      <w:hyperlink w:anchor="_Toc134347721" w:history="1">
        <w:r w:rsidR="001C69A8" w:rsidRPr="007423D2">
          <w:rPr>
            <w:rStyle w:val="Hyperlink"/>
            <w:rtl/>
          </w:rPr>
          <w:t>בי' אשר לשלמה ברש"ש דהמלאכה בקליטה והוי כאופה בעצמו</w:t>
        </w:r>
      </w:hyperlink>
    </w:p>
    <w:p w14:paraId="5E31699D" w14:textId="77777777" w:rsidR="001C69A8" w:rsidRDefault="00AD16A0" w:rsidP="00ED704E">
      <w:pPr>
        <w:pStyle w:val="TOC3"/>
        <w:rPr>
          <w:rFonts w:asciiTheme="minorHAnsi" w:eastAsiaTheme="minorEastAsia" w:hAnsiTheme="minorHAnsi" w:cstheme="minorBidi"/>
          <w:sz w:val="22"/>
          <w:szCs w:val="22"/>
          <w:rtl/>
        </w:rPr>
      </w:pPr>
      <w:hyperlink w:anchor="_Toc134347722" w:history="1">
        <w:r w:rsidR="001C69A8" w:rsidRPr="007423D2">
          <w:rPr>
            <w:rStyle w:val="Hyperlink"/>
            <w:rtl/>
          </w:rPr>
          <w:t>בי' האשר לשלמה ברש"ש דהזריעה היא רק מעשה האיסור והמלאכה בקליטה ולכן בסילק פטור</w:t>
        </w:r>
      </w:hyperlink>
    </w:p>
    <w:p w14:paraId="28ADA3C6" w14:textId="77777777" w:rsidR="001C69A8" w:rsidRDefault="00AD16A0" w:rsidP="00ED704E">
      <w:pPr>
        <w:pStyle w:val="TOC3"/>
        <w:rPr>
          <w:rFonts w:asciiTheme="minorHAnsi" w:eastAsiaTheme="minorEastAsia" w:hAnsiTheme="minorHAnsi" w:cstheme="minorBidi"/>
          <w:sz w:val="22"/>
          <w:szCs w:val="22"/>
          <w:rtl/>
        </w:rPr>
      </w:pPr>
      <w:hyperlink w:anchor="_Toc134347723" w:history="1">
        <w:r w:rsidR="001C69A8" w:rsidRPr="007423D2">
          <w:rPr>
            <w:rStyle w:val="Hyperlink"/>
            <w:rtl/>
          </w:rPr>
          <w:t>בי' האשר לשלמה ברש"ש דע"י ההנחה חשיב שעכשיו הוא אופה לאח"ז ואף בנאפית בחול חייב</w:t>
        </w:r>
      </w:hyperlink>
    </w:p>
    <w:p w14:paraId="2870A073" w14:textId="77777777" w:rsidR="001C69A8" w:rsidRDefault="00AD16A0" w:rsidP="001C69A8">
      <w:pPr>
        <w:pStyle w:val="TOC2"/>
        <w:rPr>
          <w:rFonts w:cstheme="minorBidi"/>
          <w:b w:val="0"/>
          <w:bCs w:val="0"/>
          <w:sz w:val="22"/>
          <w:szCs w:val="22"/>
          <w:rtl/>
        </w:rPr>
      </w:pPr>
      <w:hyperlink w:anchor="_Toc134347724" w:history="1">
        <w:r w:rsidR="001C69A8" w:rsidRPr="007423D2">
          <w:rPr>
            <w:rStyle w:val="Hyperlink"/>
            <w:rtl/>
          </w:rPr>
          <w:t>קו' האשר לשלמה דבנימוק"י מוכח דהמעשה כולל את האפיה</w:t>
        </w:r>
      </w:hyperlink>
    </w:p>
    <w:p w14:paraId="03C81421" w14:textId="77777777" w:rsidR="001C69A8" w:rsidRDefault="00AD16A0" w:rsidP="00ED704E">
      <w:pPr>
        <w:pStyle w:val="TOC3"/>
        <w:rPr>
          <w:rFonts w:asciiTheme="minorHAnsi" w:eastAsiaTheme="minorEastAsia" w:hAnsiTheme="minorHAnsi" w:cstheme="minorBidi"/>
          <w:sz w:val="22"/>
          <w:szCs w:val="22"/>
          <w:rtl/>
        </w:rPr>
      </w:pPr>
      <w:hyperlink w:anchor="_Toc134347725" w:history="1">
        <w:r w:rsidR="001C69A8" w:rsidRPr="007423D2">
          <w:rPr>
            <w:rStyle w:val="Hyperlink"/>
            <w:rtl/>
          </w:rPr>
          <w:t>קו' האשר לשלמה דמבו' בנימוק"י דבהדלקת אש נעשה כל המעשה וצריך לחייב בנאפית בחול</w:t>
        </w:r>
      </w:hyperlink>
    </w:p>
    <w:p w14:paraId="2DB8D9E1" w14:textId="77777777" w:rsidR="001C69A8" w:rsidRDefault="00AD16A0" w:rsidP="00ED704E">
      <w:pPr>
        <w:pStyle w:val="TOC3"/>
        <w:rPr>
          <w:rFonts w:asciiTheme="minorHAnsi" w:eastAsiaTheme="minorEastAsia" w:hAnsiTheme="minorHAnsi" w:cstheme="minorBidi"/>
          <w:sz w:val="22"/>
          <w:szCs w:val="22"/>
          <w:rtl/>
        </w:rPr>
      </w:pPr>
      <w:hyperlink w:anchor="_Toc134347726" w:history="1">
        <w:r w:rsidR="001C69A8" w:rsidRPr="007423D2">
          <w:rPr>
            <w:rStyle w:val="Hyperlink"/>
            <w:rtl/>
          </w:rPr>
          <w:t>בי' הא</w:t>
        </w:r>
        <w:r w:rsidR="001C69A8" w:rsidRPr="007423D2">
          <w:rPr>
            <w:rStyle w:val="Hyperlink"/>
            <w:rtl/>
          </w:rPr>
          <w:t>ש</w:t>
        </w:r>
        <w:r w:rsidR="001C69A8" w:rsidRPr="007423D2">
          <w:rPr>
            <w:rStyle w:val="Hyperlink"/>
            <w:rtl/>
          </w:rPr>
          <w:t>ר לשלמה דכיון דבהניח בשוגג ונזכר פטור מוכח דצריך שגגה במעשה וה"ה דבחול פטור</w:t>
        </w:r>
      </w:hyperlink>
    </w:p>
    <w:p w14:paraId="278B66CE" w14:textId="77777777" w:rsidR="001C69A8" w:rsidRDefault="001C69A8" w:rsidP="001C69A8">
      <w:pPr>
        <w:keepNext/>
        <w:keepLines/>
        <w:spacing w:after="0" w:line="240" w:lineRule="auto"/>
        <w:jc w:val="center"/>
        <w:outlineLvl w:val="1"/>
        <w:rPr>
          <w:rFonts w:eastAsiaTheme="minorHAnsi" w:cs="Guttman Hodes"/>
          <w:b/>
          <w:bCs/>
          <w:noProof/>
          <w:sz w:val="14"/>
          <w:szCs w:val="14"/>
          <w:rtl/>
        </w:rPr>
        <w:sectPr w:rsidR="001C69A8" w:rsidSect="006479D7">
          <w:headerReference w:type="even" r:id="rId41"/>
          <w:headerReference w:type="default" r:id="rId42"/>
          <w:footerReference w:type="even" r:id="rId43"/>
          <w:footerReference w:type="default" r:id="rId44"/>
          <w:headerReference w:type="first" r:id="rId45"/>
          <w:footerReference w:type="first" r:id="rId46"/>
          <w:type w:val="continuous"/>
          <w:pgSz w:w="11906" w:h="16838"/>
          <w:pgMar w:top="720" w:right="720" w:bottom="720" w:left="720" w:header="283" w:footer="283" w:gutter="0"/>
          <w:cols w:num="2" w:space="113"/>
          <w:titlePg/>
          <w:bidi/>
          <w:rtlGutter/>
          <w:docGrid w:linePitch="299"/>
        </w:sectPr>
      </w:pPr>
      <w:r w:rsidRPr="00224A5A">
        <w:rPr>
          <w:rFonts w:eastAsiaTheme="minorHAnsi" w:cs="Guttman Hodes"/>
          <w:b/>
          <w:bCs/>
          <w:noProof/>
          <w:sz w:val="14"/>
          <w:szCs w:val="14"/>
          <w:rtl/>
        </w:rPr>
        <w:fldChar w:fldCharType="end"/>
      </w:r>
    </w:p>
    <w:p w14:paraId="29F3AD0D" w14:textId="77777777" w:rsidR="001C69A8" w:rsidRPr="00224A5A" w:rsidRDefault="001C69A8" w:rsidP="001C69A8">
      <w:pPr>
        <w:keepNext/>
        <w:keepLines/>
        <w:spacing w:after="0" w:line="240" w:lineRule="auto"/>
        <w:jc w:val="center"/>
        <w:outlineLvl w:val="1"/>
        <w:rPr>
          <w:rFonts w:ascii="FrankRuehl" w:eastAsia="Guttman Adii-Light" w:hAnsi="FrankRuehl" w:cs="Guttman Hodes"/>
          <w:b/>
          <w:bCs/>
          <w:noProof/>
          <w:sz w:val="24"/>
          <w:szCs w:val="24"/>
          <w:rtl/>
        </w:rPr>
        <w:sectPr w:rsidR="001C69A8" w:rsidRPr="00224A5A" w:rsidSect="006479D7">
          <w:type w:val="continuous"/>
          <w:pgSz w:w="11906" w:h="16838"/>
          <w:pgMar w:top="720" w:right="720" w:bottom="720" w:left="720" w:header="283" w:footer="283" w:gutter="0"/>
          <w:cols w:num="2" w:space="113"/>
          <w:titlePg/>
          <w:bidi/>
          <w:rtlGutter/>
          <w:docGrid w:linePitch="299"/>
        </w:sectPr>
      </w:pPr>
    </w:p>
    <w:p w14:paraId="044298C1" w14:textId="77777777" w:rsidR="001C69A8" w:rsidRPr="00224A5A" w:rsidRDefault="001C69A8" w:rsidP="001C69A8">
      <w:pPr>
        <w:spacing w:before="240" w:after="0" w:line="360" w:lineRule="auto"/>
        <w:jc w:val="center"/>
        <w:outlineLvl w:val="1"/>
        <w:rPr>
          <w:rFonts w:ascii="Guttman Adii-Light" w:eastAsia="Guttman Adii-Light" w:hAnsi="Guttman Adii-Light" w:cs="Guttman Hodes"/>
          <w:b/>
          <w:bCs/>
          <w:sz w:val="18"/>
          <w:szCs w:val="28"/>
          <w:rtl/>
        </w:rPr>
        <w:sectPr w:rsidR="001C69A8" w:rsidRPr="00224A5A" w:rsidSect="00C83122">
          <w:pgSz w:w="11906" w:h="16838"/>
          <w:pgMar w:top="720" w:right="720" w:bottom="720" w:left="720" w:header="283" w:footer="283" w:gutter="0"/>
          <w:cols w:space="720"/>
          <w:bidi/>
          <w:rtlGutter/>
          <w:docGrid w:linePitch="299"/>
        </w:sectPr>
      </w:pPr>
      <w:r w:rsidRPr="00224A5A">
        <w:rPr>
          <w:rFonts w:ascii="Guttman Adii-Light" w:eastAsia="Guttman Adii-Light" w:hAnsi="Guttman Adii-Light" w:cs="Guttman Hodes" w:hint="cs"/>
          <w:b/>
          <w:bCs/>
          <w:sz w:val="18"/>
          <w:szCs w:val="28"/>
          <w:rtl/>
        </w:rPr>
        <w:lastRenderedPageBreak/>
        <w:t>~~~</w:t>
      </w:r>
      <w:r w:rsidRPr="00224A5A">
        <w:rPr>
          <w:rFonts w:ascii="Guttman Adii-Light" w:eastAsia="Guttman Adii-Light" w:hAnsi="Guttman Adii-Light" w:cs="Guttman Hodes"/>
          <w:b/>
          <w:bCs/>
          <w:noProof/>
          <w:sz w:val="18"/>
          <w:szCs w:val="28"/>
          <w:rtl/>
        </w:rPr>
        <w:t>~~</w:t>
      </w:r>
      <w:r w:rsidRPr="00224A5A">
        <w:rPr>
          <w:rFonts w:ascii="Guttman Adii-Light" w:eastAsia="Guttman Adii-Light" w:hAnsi="Guttman Adii-Light" w:cs="Guttman Hodes" w:hint="cs"/>
          <w:b/>
          <w:bCs/>
          <w:sz w:val="18"/>
          <w:szCs w:val="28"/>
          <w:rtl/>
        </w:rPr>
        <w:t>~~ מראי מקומות וביאורים ~~~</w:t>
      </w:r>
      <w:r w:rsidRPr="00224A5A">
        <w:rPr>
          <w:rFonts w:ascii="Guttman Adii-Light" w:eastAsia="Guttman Adii-Light" w:hAnsi="Guttman Adii-Light" w:cs="Guttman Hodes"/>
          <w:b/>
          <w:bCs/>
          <w:noProof/>
          <w:sz w:val="18"/>
          <w:szCs w:val="28"/>
          <w:rtl/>
        </w:rPr>
        <w:t>~~</w:t>
      </w:r>
      <w:r w:rsidRPr="00224A5A">
        <w:rPr>
          <w:rFonts w:ascii="Guttman Adii-Light" w:eastAsia="Guttman Adii-Light" w:hAnsi="Guttman Adii-Light" w:cs="Guttman Hodes" w:hint="cs"/>
          <w:b/>
          <w:bCs/>
          <w:sz w:val="18"/>
          <w:szCs w:val="28"/>
          <w:rtl/>
        </w:rPr>
        <w:t>~~</w:t>
      </w:r>
    </w:p>
    <w:p w14:paraId="09EACD1A" w14:textId="77777777" w:rsidR="001C69A8" w:rsidRPr="005F4D7C" w:rsidRDefault="001C69A8" w:rsidP="001C69A8">
      <w:pPr>
        <w:pStyle w:val="affff5"/>
        <w:rPr>
          <w:rFonts w:ascii="Cambria" w:hAnsi="Cambria" w:cs="Cambria"/>
          <w:rtl/>
        </w:rPr>
      </w:pPr>
      <w:bookmarkStart w:id="554" w:name="_Toc134347595"/>
      <w:r>
        <w:rPr>
          <w:rFonts w:hint="cs"/>
          <w:rtl/>
        </w:rPr>
        <w:t>הסוברים דזורע חייב מיד ול"ד לאופה</w:t>
      </w:r>
      <w:bookmarkEnd w:id="554"/>
      <w:r>
        <w:rPr>
          <w:rFonts w:hint="cs"/>
          <w:rtl/>
        </w:rPr>
        <w:t xml:space="preserve"> </w:t>
      </w:r>
    </w:p>
    <w:p w14:paraId="0FCB1FA3" w14:textId="77777777" w:rsidR="001C69A8" w:rsidRDefault="001C69A8" w:rsidP="001C69A8">
      <w:pPr>
        <w:pStyle w:val="1"/>
        <w:rPr>
          <w:rtl/>
        </w:rPr>
      </w:pPr>
      <w:bookmarkStart w:id="555" w:name="_Toc134347596"/>
      <w:r>
        <w:rPr>
          <w:rFonts w:hint="cs"/>
          <w:rtl/>
        </w:rPr>
        <w:t>בי' הר"מ קזיס דזורע ל"ד לאופה דשם המלאכה כדרך וכמשכן</w:t>
      </w:r>
      <w:bookmarkEnd w:id="555"/>
    </w:p>
    <w:p w14:paraId="7E8964BC" w14:textId="77777777" w:rsidR="001C69A8" w:rsidRDefault="001C69A8" w:rsidP="001C69A8">
      <w:pPr>
        <w:pStyle w:val="afffff7"/>
        <w:rPr>
          <w:rtl/>
        </w:rPr>
      </w:pPr>
      <w:bookmarkStart w:id="556" w:name="_Toc134550170"/>
      <w:bookmarkStart w:id="557" w:name="_Toc163505462"/>
      <w:r>
        <w:rPr>
          <w:rFonts w:hint="cs"/>
          <w:rtl/>
        </w:rPr>
        <w:t>חידושי רבינו משה קזיס שבת ד ע"א</w:t>
      </w:r>
      <w:r w:rsidRPr="009C2811">
        <w:rPr>
          <w:rtl/>
        </w:rPr>
        <w:t xml:space="preserve"> ד"ה התירו</w:t>
      </w:r>
      <w:bookmarkEnd w:id="556"/>
      <w:bookmarkEnd w:id="557"/>
    </w:p>
    <w:p w14:paraId="77EA8D29" w14:textId="77777777" w:rsidR="001C69A8" w:rsidRPr="00193790" w:rsidRDefault="001C69A8" w:rsidP="001C69A8">
      <w:pPr>
        <w:pStyle w:val="a7"/>
        <w:rPr>
          <w:rtl/>
        </w:rPr>
      </w:pPr>
      <w:bookmarkStart w:id="558" w:name="_Toc134347597"/>
      <w:r>
        <w:rPr>
          <w:rFonts w:hint="cs"/>
          <w:rtl/>
        </w:rPr>
        <w:t>בי' הר"מ קזיס דיש מלאכות שעושה מתחילה ועד סוף ובאופה עושה בתחילה ונגמרת מאליה</w:t>
      </w:r>
      <w:bookmarkEnd w:id="558"/>
    </w:p>
    <w:p w14:paraId="7C364A50" w14:textId="76121E44" w:rsidR="001C69A8" w:rsidRDefault="001C69A8" w:rsidP="00BC7DC8">
      <w:pPr>
        <w:pStyle w:val="a3"/>
        <w:numPr>
          <w:ilvl w:val="0"/>
          <w:numId w:val="19"/>
        </w:numPr>
      </w:pPr>
      <w:bookmarkStart w:id="559" w:name="_Ref133252054"/>
      <w:r>
        <w:rPr>
          <w:rFonts w:hint="cs"/>
          <w:rtl/>
        </w:rPr>
        <w:t xml:space="preserve">כתב </w:t>
      </w:r>
      <w:r w:rsidRPr="00BC7DC8">
        <w:rPr>
          <w:rStyle w:val="aff4"/>
          <w:rFonts w:hint="cs"/>
          <w:vanish/>
          <w:rtl/>
        </w:rPr>
        <w:t>-</w:t>
      </w:r>
      <w:r w:rsidRPr="003B4E24">
        <w:rPr>
          <w:rStyle w:val="aff4"/>
          <w:rFonts w:hint="cs"/>
          <w:rtl/>
        </w:rPr>
        <w:t>ב</w:t>
      </w:r>
      <w:r w:rsidRPr="00BC7DC8">
        <w:rPr>
          <w:rStyle w:val="aff4"/>
          <w:rFonts w:hint="cs"/>
          <w:vanish/>
          <w:rtl/>
        </w:rPr>
        <w:t xml:space="preserve">&lt;. </w:t>
      </w:r>
      <w:r w:rsidRPr="00BC7DC8">
        <w:rPr>
          <w:rStyle w:val="aff4"/>
          <w:vanish/>
          <w:rtl/>
        </w:rPr>
        <w:fldChar w:fldCharType="begin"/>
      </w:r>
      <w:r w:rsidRPr="00BC7DC8">
        <w:rPr>
          <w:rStyle w:val="aff4"/>
          <w:vanish/>
          <w:rtl/>
        </w:rPr>
        <w:instrText xml:space="preserve"> </w:instrText>
      </w:r>
      <w:r w:rsidRPr="00BC7DC8">
        <w:rPr>
          <w:rStyle w:val="aff4"/>
          <w:rFonts w:hint="cs"/>
          <w:vanish/>
        </w:rPr>
        <w:instrText>REF</w:instrText>
      </w:r>
      <w:r w:rsidRPr="00BC7DC8">
        <w:rPr>
          <w:rStyle w:val="aff4"/>
          <w:rFonts w:hint="cs"/>
          <w:vanish/>
          <w:rtl/>
        </w:rPr>
        <w:instrText xml:space="preserve"> _</w:instrText>
      </w:r>
      <w:r w:rsidRPr="00BC7DC8">
        <w:rPr>
          <w:rStyle w:val="aff4"/>
          <w:rFonts w:hint="cs"/>
          <w:vanish/>
        </w:rPr>
        <w:instrText>Ref133252054 \r \h</w:instrText>
      </w:r>
      <w:r w:rsidRPr="00BC7DC8">
        <w:rPr>
          <w:rStyle w:val="aff4"/>
          <w:vanish/>
          <w:rtl/>
        </w:rPr>
        <w:instrText xml:space="preserve"> </w:instrText>
      </w:r>
      <w:r w:rsidRPr="00112C74">
        <w:rPr>
          <w:rStyle w:val="aff4"/>
          <w:vanish/>
          <w:rtl/>
        </w:rPr>
      </w:r>
      <w:r w:rsidRPr="00BC7DC8">
        <w:rPr>
          <w:rStyle w:val="aff4"/>
          <w:vanish/>
          <w:rtl/>
        </w:rPr>
        <w:fldChar w:fldCharType="separate"/>
      </w:r>
      <w:r w:rsidR="00D82181">
        <w:rPr>
          <w:rStyle w:val="aff4"/>
          <w:vanish/>
          <w:cs/>
        </w:rPr>
        <w:t>‎</w:t>
      </w:r>
      <w:r w:rsidR="00D82181">
        <w:rPr>
          <w:rStyle w:val="aff4"/>
          <w:vanish/>
          <w:rtl/>
        </w:rPr>
        <w:t>א)</w:t>
      </w:r>
      <w:r w:rsidRPr="00BC7DC8">
        <w:rPr>
          <w:rStyle w:val="aff4"/>
          <w:vanish/>
          <w:rtl/>
        </w:rPr>
        <w:fldChar w:fldCharType="end"/>
      </w:r>
      <w:r w:rsidRPr="00BC7DC8">
        <w:rPr>
          <w:rStyle w:val="aff4"/>
          <w:rFonts w:hint="cs"/>
          <w:vanish/>
          <w:rtl/>
        </w:rPr>
        <w:t xml:space="preserve"> &gt;</w:t>
      </w:r>
      <w:r w:rsidRPr="003B4E24">
        <w:rPr>
          <w:rStyle w:val="aff4"/>
          <w:rFonts w:hint="cs"/>
          <w:rtl/>
        </w:rPr>
        <w:t>חי' רבינו משה קזיס לעיל</w:t>
      </w:r>
      <w:r w:rsidRPr="00BC7DC8">
        <w:rPr>
          <w:rStyle w:val="aff4"/>
          <w:rFonts w:hint="cs"/>
          <w:vanish/>
          <w:rtl/>
        </w:rPr>
        <w:t>-</w:t>
      </w:r>
      <w:r>
        <w:rPr>
          <w:rFonts w:hint="cs"/>
          <w:rtl/>
        </w:rPr>
        <w:t xml:space="preserve"> </w:t>
      </w:r>
      <w:r w:rsidRPr="00BC7DC8">
        <w:rPr>
          <w:rStyle w:val="af2"/>
          <w:rFonts w:eastAsia="Guttman Hodes" w:hint="cs"/>
          <w:rtl/>
        </w:rPr>
        <w:t>(ד. ד"ה התירו)</w:t>
      </w:r>
      <w:r w:rsidRPr="00BC7DC8">
        <w:rPr>
          <w:rFonts w:hint="cs"/>
          <w:vanish/>
          <w:rtl/>
        </w:rPr>
        <w:t>=</w:t>
      </w:r>
      <w:r>
        <w:rPr>
          <w:rFonts w:hint="cs"/>
          <w:rtl/>
        </w:rPr>
        <w:t xml:space="preserve"> דיש מלאכות שמעשה המלאכה הוא מתחילה ועד סוף ככותב ותופר וכיו"ב, וכשעושה שיעור של מלאכה מתחייב בה בשעת המעשה, ובאופה סגי שיעשה מעשה בתחילת המלאכה, והמלאכה נגמרת אח"כ מאליה אחר שסילק ידו ממנה, והחיוב הוא כשנאפית כשיעור בגמר האפיה אף שאינו עושה מעשה בגמר האפיה, וה"ה בנותן צמר ליורה, ובהוצאה כשזורק מרשות לרשות.</w:t>
      </w:r>
      <w:bookmarkEnd w:id="559"/>
    </w:p>
    <w:p w14:paraId="49CDD8F8" w14:textId="77777777" w:rsidR="001C69A8" w:rsidRPr="00747170" w:rsidRDefault="001C69A8" w:rsidP="00747170">
      <w:pPr>
        <w:pStyle w:val="a2"/>
      </w:pPr>
      <w:r w:rsidRPr="00747170">
        <w:rPr>
          <w:rFonts w:hint="cs"/>
        </w:rPr>
        <w:t xml:space="preserve">התירו </w:t>
      </w:r>
      <w:r w:rsidRPr="00747170">
        <w:t>לו לרדותה קו</w:t>
      </w:r>
      <w:r w:rsidRPr="00747170">
        <w:rPr>
          <w:rFonts w:hint="cs"/>
        </w:rPr>
        <w:t>ד</w:t>
      </w:r>
      <w:r w:rsidRPr="00747170">
        <w:t>ם שיבא לידי איסור סקילה ראוי לדעת שיש מלאכות שהאדם עוסק בהן מתחלה ועד סוף כגון הכותב והתופר והטווה וכיוצא ובשעת גמר שעור המלאכה שהוא מתחייב בה הוא עושה המעשה אז בידים ויש מלאכות אחרות שדי שיעשה מעשה בתחלת המלאכה ולאחר שסלק ידו ממנה נגמר מאליו השעור הצריך להתחייב עליה כגון האופה שהניח הפת בתנור ואין הפת נאפה מיד אלא לאחר זמן נגמרה אפייתו אע"פ שאינו עושה בו מעשה אחר וכן הנותן צמר ליורה לצובעו אין הצבע נקלט מיד עם הנחתו שם אבל הוא קולט לאחר מכאן וכן הזורק מרשות לרשות משעה שזרק נגמר המעשה שלו אבל אין המלאכה נגמרת עד שינוח החפץ ובכל אלו אין החיוב כ"א עד שנגמר המלאכה כפי השעור הצריך לה ובעי' שיהיה מזיד מתחלה ועד סוף להתחייב סקילה או שוגג מההלה ועד סוף להתחייב חטאת</w:t>
      </w:r>
      <w:r w:rsidRPr="00747170">
        <w:rPr>
          <w:rFonts w:hint="cs"/>
        </w:rPr>
        <w:t>.</w:t>
      </w:r>
    </w:p>
    <w:p w14:paraId="7909904F" w14:textId="5E8B9193" w:rsidR="001C69A8" w:rsidRDefault="001C69A8" w:rsidP="001C69A8">
      <w:pPr>
        <w:pStyle w:val="a7"/>
        <w:rPr>
          <w:rtl/>
        </w:rPr>
      </w:pPr>
      <w:bookmarkStart w:id="560" w:name="_Toc134347598"/>
      <w:r>
        <w:rPr>
          <w:rFonts w:hint="cs"/>
          <w:rtl/>
        </w:rPr>
        <w:t>בי' הר"מ קזיס דנ"ל דזורע חייב מיד כשהניח וא"צ להמתין שישריש ואף אם הסירם חייב</w:t>
      </w:r>
      <w:bookmarkEnd w:id="560"/>
    </w:p>
    <w:p w14:paraId="7EF22E51" w14:textId="77777777" w:rsidR="001C69A8" w:rsidRDefault="001C69A8" w:rsidP="00BC7DC8">
      <w:pPr>
        <w:pStyle w:val="a3"/>
        <w:rPr>
          <w:rtl/>
        </w:rPr>
      </w:pPr>
      <w:r>
        <w:rPr>
          <w:rFonts w:hint="cs"/>
          <w:rtl/>
        </w:rPr>
        <w:t xml:space="preserve">וכתב </w:t>
      </w:r>
      <w:r w:rsidRPr="00E87CC9">
        <w:rPr>
          <w:rStyle w:val="aff4"/>
          <w:rFonts w:hint="cs"/>
          <w:vanish/>
          <w:rtl/>
        </w:rPr>
        <w:t>-</w:t>
      </w:r>
      <w:r w:rsidRPr="003B4E24">
        <w:rPr>
          <w:rStyle w:val="aff4"/>
          <w:rFonts w:hint="cs"/>
          <w:rtl/>
        </w:rPr>
        <w:t>בחי' רבינו משה קזיס לעיל</w:t>
      </w:r>
      <w:r w:rsidRPr="00E87CC9">
        <w:rPr>
          <w:rStyle w:val="aff4"/>
          <w:rFonts w:hint="cs"/>
          <w:vanish/>
          <w:rtl/>
        </w:rPr>
        <w:t>-</w:t>
      </w:r>
      <w:r>
        <w:rPr>
          <w:rFonts w:hint="cs"/>
          <w:rtl/>
        </w:rPr>
        <w:t xml:space="preserve"> דנראה לומר דבזורע מתחייב מיד כשהניח את הזרע בקרקע במקום שראוי לצמוח, וא"צ להמתין עד שישריש בכדי להתחייב, ואף אם הסיר את הזרע מהקרקע לפני שהשריש או שהתחיל להשתנות חייב.</w:t>
      </w:r>
    </w:p>
    <w:p w14:paraId="2BE7D0F0" w14:textId="77777777" w:rsidR="001C69A8" w:rsidRPr="00747170" w:rsidRDefault="001C69A8" w:rsidP="00747170">
      <w:pPr>
        <w:pStyle w:val="a2"/>
      </w:pPr>
      <w:r w:rsidRPr="00747170">
        <w:t xml:space="preserve">ונ"ל שהזורע משעה שהניח הזרע בארץ במקום שראוי לצמוח חייב לאלתר ואין אומרים בו שאינו </w:t>
      </w:r>
      <w:r w:rsidRPr="00747170">
        <w:rPr>
          <w:rFonts w:hint="cs"/>
        </w:rPr>
        <w:t>חייב</w:t>
      </w:r>
      <w:r w:rsidRPr="00747170">
        <w:t xml:space="preserve"> עד שישריש ולפיכך מיד שזרע נתחייב ואינו מועיל לו מה שיסיר הזרע מן הארץ קודם שישריש או קודם שיתחיל להשתנות</w:t>
      </w:r>
      <w:r w:rsidRPr="00747170">
        <w:rPr>
          <w:rFonts w:hint="cs"/>
        </w:rPr>
        <w:t>.</w:t>
      </w:r>
    </w:p>
    <w:p w14:paraId="7747563C" w14:textId="5FD477BB" w:rsidR="001C69A8" w:rsidRPr="001131F0" w:rsidRDefault="001C69A8" w:rsidP="001C69A8">
      <w:pPr>
        <w:pStyle w:val="a7"/>
      </w:pPr>
      <w:bookmarkStart w:id="561" w:name="_Toc134347599"/>
      <w:r>
        <w:rPr>
          <w:rFonts w:hint="cs"/>
          <w:rtl/>
        </w:rPr>
        <w:t>בי' המהר"ם קזיס דשם המלאכה נקבע כמשכן שעשו כדרך וזורע הדרך דהמלאכה נגמרת מאליה</w:t>
      </w:r>
      <w:bookmarkEnd w:id="561"/>
    </w:p>
    <w:p w14:paraId="06C42DD7" w14:textId="77777777" w:rsidR="001C69A8" w:rsidRDefault="001C69A8" w:rsidP="00BC7DC8">
      <w:pPr>
        <w:pStyle w:val="a3"/>
        <w:rPr>
          <w:rtl/>
        </w:rPr>
      </w:pPr>
      <w:r>
        <w:rPr>
          <w:rFonts w:hint="cs"/>
          <w:rtl/>
        </w:rPr>
        <w:t xml:space="preserve">וביאר </w:t>
      </w:r>
      <w:r w:rsidRPr="00E87CC9">
        <w:rPr>
          <w:rStyle w:val="aff4"/>
          <w:rFonts w:hint="cs"/>
          <w:vanish/>
          <w:rtl/>
        </w:rPr>
        <w:t>-</w:t>
      </w:r>
      <w:r w:rsidRPr="003B4E24">
        <w:rPr>
          <w:rStyle w:val="aff4"/>
          <w:rFonts w:hint="cs"/>
          <w:rtl/>
        </w:rPr>
        <w:t>בחי' רבינו משה קזיס לעיל</w:t>
      </w:r>
      <w:r w:rsidRPr="00E87CC9">
        <w:rPr>
          <w:rStyle w:val="aff4"/>
          <w:rFonts w:hint="cs"/>
          <w:vanish/>
          <w:rtl/>
        </w:rPr>
        <w:t>-</w:t>
      </w:r>
      <w:r>
        <w:rPr>
          <w:rFonts w:hint="cs"/>
          <w:rtl/>
        </w:rPr>
        <w:t xml:space="preserve"> דזורע לא דמי לאופה, כיון דשם המלאכה הוא זורע ומוכח דהחיוב הוא בהנחת הזרע בקרקע, ואילו באופה או צובע שם המלאכה הוא האפיה או הצביעה, דהמלאכה נגמרת בגמר האפיה או הצביעה, וביאר </w:t>
      </w:r>
      <w:r w:rsidRPr="00E87CC9">
        <w:rPr>
          <w:rStyle w:val="aff4"/>
          <w:rFonts w:hint="cs"/>
          <w:vanish/>
          <w:rtl/>
        </w:rPr>
        <w:t>-</w:t>
      </w:r>
      <w:r w:rsidRPr="003B4E24">
        <w:rPr>
          <w:rStyle w:val="aff4"/>
          <w:rFonts w:hint="cs"/>
          <w:rtl/>
        </w:rPr>
        <w:t>הר"מ קזיס</w:t>
      </w:r>
      <w:r w:rsidRPr="00E87CC9">
        <w:rPr>
          <w:rStyle w:val="aff4"/>
          <w:rFonts w:hint="cs"/>
          <w:vanish/>
          <w:rtl/>
        </w:rPr>
        <w:t>-</w:t>
      </w:r>
      <w:r>
        <w:rPr>
          <w:rFonts w:hint="cs"/>
          <w:rtl/>
        </w:rPr>
        <w:t xml:space="preserve"> דשם המלאכה הוא לפי מה שהיה במשכן, ובמשכן עשו כפי הדרך לעשות את המלאכה, ובמלאכת זורע הדרך היא להניח את הזרע בקרקע ובזה נגמרת המלאכה, וא"צ לעשות עוד מעשה, ולכן גמר המלאכה הוא כשנותן את הזרע בקרקע.</w:t>
      </w:r>
    </w:p>
    <w:p w14:paraId="2F1F5644" w14:textId="77777777" w:rsidR="001C69A8" w:rsidRPr="00747170" w:rsidRDefault="001C69A8" w:rsidP="00747170">
      <w:pPr>
        <w:pStyle w:val="a2"/>
      </w:pPr>
      <w:r w:rsidRPr="00747170">
        <w:t>וא"ת מאי שנא הזריעה מאפיית הפת והני אחריני דאמרן שאינו מתחייב בהן עד שנגמר המלאכה כשעור הצריך לה ואין להשיב ששם המלאכה מורה על כך כי זורע מקרי משהני</w:t>
      </w:r>
      <w:r w:rsidRPr="00747170">
        <w:rPr>
          <w:rFonts w:hint="cs"/>
        </w:rPr>
        <w:t>ח</w:t>
      </w:r>
      <w:r w:rsidRPr="00747170">
        <w:t xml:space="preserve"> הזרע בארץ ולא מקרי אופה עד שיאפה הפת ולא צובע עד שיצבע דהיא גופה תקשי כי היכי דאמרו זורע למה לא אמרו נותן פת לתנור ונותן צמר לצבע או במקום אומרם זורע יאמרו מצמיח וי"ל לתרץ כי המלאכות יש לנו ללמוד אותם </w:t>
      </w:r>
      <w:r w:rsidRPr="00747170">
        <w:rPr>
          <w:rFonts w:hint="cs"/>
        </w:rPr>
        <w:t>מ</w:t>
      </w:r>
      <w:r w:rsidRPr="00747170">
        <w:t>מה שהיו במשכן</w:t>
      </w:r>
      <w:r w:rsidRPr="00747170">
        <w:rPr>
          <w:rFonts w:hint="cs"/>
        </w:rPr>
        <w:t xml:space="preserve"> </w:t>
      </w:r>
      <w:r w:rsidRPr="00747170">
        <w:t>ושם ה</w:t>
      </w:r>
      <w:r w:rsidRPr="00747170">
        <w:rPr>
          <w:rFonts w:hint="cs"/>
        </w:rPr>
        <w:t>י</w:t>
      </w:r>
      <w:r w:rsidRPr="00747170">
        <w:t>ו כפי מה שדרך העולם לעשות ומלאכת הזריעה מסתמא כשהניח האדם הזרע בארץ גמ</w:t>
      </w:r>
      <w:r w:rsidRPr="00747170">
        <w:rPr>
          <w:rFonts w:hint="cs"/>
        </w:rPr>
        <w:t>ר</w:t>
      </w:r>
      <w:r w:rsidRPr="00747170">
        <w:t xml:space="preserve"> מלאכתו ואינו צריך לעשות בה פעולה אחרת ולפיכך משזרע נגמרה המלאכה ההיא</w:t>
      </w:r>
      <w:r w:rsidRPr="00747170">
        <w:rPr>
          <w:rFonts w:hint="cs"/>
        </w:rPr>
        <w:t>.</w:t>
      </w:r>
    </w:p>
    <w:p w14:paraId="603D3B47" w14:textId="2F12E0FF" w:rsidR="001C69A8" w:rsidRPr="009332CF" w:rsidRDefault="001C69A8" w:rsidP="001C69A8">
      <w:pPr>
        <w:pStyle w:val="a7"/>
      </w:pPr>
      <w:bookmarkStart w:id="562" w:name="_Toc134347600"/>
      <w:r>
        <w:rPr>
          <w:rFonts w:hint="cs"/>
          <w:rtl/>
        </w:rPr>
        <w:t>בי' הר"מ קזיס דאופה ילפי' מבישול במשכן דעפ"י רוב הייתה בכל זמן הבישול דמגיס בה</w:t>
      </w:r>
      <w:bookmarkEnd w:id="562"/>
    </w:p>
    <w:p w14:paraId="2818050F" w14:textId="77777777" w:rsidR="001C69A8" w:rsidRDefault="001C69A8" w:rsidP="00BC7DC8">
      <w:pPr>
        <w:pStyle w:val="a3"/>
      </w:pPr>
      <w:r>
        <w:rPr>
          <w:rFonts w:hint="cs"/>
          <w:rtl/>
        </w:rPr>
        <w:t>אבל באופה,</w:t>
      </w:r>
      <w:r w:rsidRPr="009332CF">
        <w:rPr>
          <w:rFonts w:hint="cs"/>
          <w:rtl/>
        </w:rPr>
        <w:t xml:space="preserve"> </w:t>
      </w:r>
      <w:r>
        <w:rPr>
          <w:rFonts w:hint="cs"/>
          <w:rtl/>
        </w:rPr>
        <w:t xml:space="preserve">ביאר </w:t>
      </w:r>
      <w:r w:rsidRPr="00E87CC9">
        <w:rPr>
          <w:rStyle w:val="aff4"/>
          <w:rFonts w:hint="cs"/>
          <w:vanish/>
          <w:rtl/>
        </w:rPr>
        <w:t>-</w:t>
      </w:r>
      <w:r w:rsidRPr="003B4E24">
        <w:rPr>
          <w:rStyle w:val="aff4"/>
          <w:rFonts w:hint="cs"/>
          <w:rtl/>
        </w:rPr>
        <w:t>בחי' רבינו משה קזיס לעיל</w:t>
      </w:r>
      <w:r w:rsidRPr="00E87CC9">
        <w:rPr>
          <w:rStyle w:val="aff4"/>
          <w:rFonts w:hint="cs"/>
          <w:vanish/>
          <w:rtl/>
        </w:rPr>
        <w:t>-</w:t>
      </w:r>
      <w:r>
        <w:rPr>
          <w:rFonts w:hint="cs"/>
          <w:rtl/>
        </w:rPr>
        <w:t xml:space="preserve"> דילפינן לה מבישול סממנין במשכן, שהמלאכה היא בכל מעשה הבישול, ואף שיש אופנים שהדבר מתבשל מעצמו וא"צ להתעסק בתבשיל, מ"מ כיון שברוב הפעמים צריך להוסיף אש ולהגיס בקדירה, לכן החיוב הוא בגמר השיעור של המלאכה.</w:t>
      </w:r>
    </w:p>
    <w:p w14:paraId="3C86EA5D" w14:textId="77777777" w:rsidR="001C69A8" w:rsidRPr="00747170" w:rsidRDefault="001C69A8" w:rsidP="00747170">
      <w:pPr>
        <w:pStyle w:val="a2"/>
      </w:pPr>
      <w:r w:rsidRPr="00747170">
        <w:t>אבל האופה דגמרי' לה מבישול סממנין שהיה במשכן ותכלית מלאכה ההיא היא לבשל אע"פ שאפשר שלפעמים יתבשל הדבר במה שיניח התבשיל לתוך היורה שע"ג האור מבלי שיתעסק בה</w:t>
      </w:r>
      <w:r w:rsidRPr="00747170">
        <w:rPr>
          <w:rFonts w:hint="cs"/>
        </w:rPr>
        <w:t xml:space="preserve"> עוד פעמים רבות יקרה ג"כ שלא יספיק אותו המעשה הראשון ויצטרך להוסיף שם אש ולהגיס בקדירה ואדרבה יהיה כן על הרוב וכן הצובע על הרוב יצטרך לו להוסיף סממני' או להרבות באש.</w:t>
      </w:r>
    </w:p>
    <w:p w14:paraId="1ED9CA6D" w14:textId="7E4042C8" w:rsidR="001C69A8" w:rsidRPr="00C8224E" w:rsidRDefault="001C69A8" w:rsidP="001C69A8">
      <w:pPr>
        <w:pStyle w:val="a7"/>
      </w:pPr>
      <w:bookmarkStart w:id="563" w:name="_Toc134347601"/>
      <w:r>
        <w:rPr>
          <w:rFonts w:hint="cs"/>
          <w:rtl/>
        </w:rPr>
        <w:t>בי' הר"מ קזיס דבזורק המעשה נגמר מיד ומ"מ חייב בהנחה דתולדת הוצאה דהמעשה בכולה</w:t>
      </w:r>
      <w:bookmarkEnd w:id="563"/>
    </w:p>
    <w:p w14:paraId="24378CDE" w14:textId="77777777" w:rsidR="001C69A8" w:rsidRDefault="001C69A8" w:rsidP="00BC7DC8">
      <w:pPr>
        <w:pStyle w:val="a3"/>
        <w:rPr>
          <w:rtl/>
        </w:rPr>
      </w:pPr>
      <w:r>
        <w:rPr>
          <w:rFonts w:hint="cs"/>
          <w:rtl/>
        </w:rPr>
        <w:t>וכתב</w:t>
      </w:r>
      <w:r w:rsidRPr="003D51A6">
        <w:rPr>
          <w:rtl/>
        </w:rPr>
        <w:t xml:space="preserve"> </w:t>
      </w:r>
      <w:r w:rsidRPr="003D51A6">
        <w:rPr>
          <w:b/>
          <w:bCs/>
          <w:vanish/>
          <w:rtl/>
        </w:rPr>
        <w:t>-</w:t>
      </w:r>
      <w:r w:rsidRPr="003D51A6">
        <w:rPr>
          <w:b/>
          <w:bCs/>
          <w:rtl/>
        </w:rPr>
        <w:t>בחי' רבינו משה קזיס לעיל</w:t>
      </w:r>
      <w:r w:rsidRPr="003D51A6">
        <w:rPr>
          <w:b/>
          <w:bCs/>
          <w:vanish/>
          <w:rtl/>
        </w:rPr>
        <w:t>-</w:t>
      </w:r>
      <w:r w:rsidRPr="003D51A6">
        <w:rPr>
          <w:rtl/>
        </w:rPr>
        <w:t xml:space="preserve"> </w:t>
      </w:r>
      <w:r>
        <w:rPr>
          <w:rFonts w:hint="cs"/>
          <w:rtl/>
        </w:rPr>
        <w:t>דה"ה בהוצאה מרשות לרשות, דאף דבזורק מרשות לרשות נגמר המעשה בשעת הזריקה, מ"מ כיון דזריקה היא תולדה של הוצאה, ובהוצאה המעשה נגמר בגמר המלאכה, לכן אף בזורק החיוב הוא בגמר המלאכה.</w:t>
      </w:r>
    </w:p>
    <w:p w14:paraId="0223EF41" w14:textId="77777777" w:rsidR="001C69A8" w:rsidRPr="00DC1B6B" w:rsidRDefault="001C69A8" w:rsidP="001C69A8">
      <w:pPr>
        <w:pStyle w:val="a7"/>
        <w:rPr>
          <w:rtl/>
        </w:rPr>
      </w:pPr>
    </w:p>
    <w:p w14:paraId="379E327B" w14:textId="77777777" w:rsidR="001C69A8" w:rsidRPr="00DC1B6B" w:rsidRDefault="001C69A8" w:rsidP="001C69A8">
      <w:pPr>
        <w:pStyle w:val="a7"/>
        <w:rPr>
          <w:rtl/>
        </w:rPr>
      </w:pPr>
    </w:p>
    <w:p w14:paraId="4B03766C" w14:textId="77777777" w:rsidR="001C69A8" w:rsidRPr="00747170" w:rsidRDefault="001C69A8" w:rsidP="00747170">
      <w:pPr>
        <w:pStyle w:val="a2"/>
      </w:pPr>
      <w:r w:rsidRPr="00747170">
        <w:rPr>
          <w:rFonts w:hint="cs"/>
        </w:rPr>
        <w:t xml:space="preserve">והזורק מרשות </w:t>
      </w:r>
      <w:r w:rsidRPr="00747170">
        <w:t>לרשות נמי אע"פ שנעשית המלאכה מכח זריקתו בתחלה בלבד מ"מ הזריקה היא תולדה דהוצאה וההוצאה צריך שיתעסק בה מתחילה ועד סוף ולפיכך בכל אלו אין החיוב עד שתיעשה המלאכה כשעור הצריך</w:t>
      </w:r>
      <w:r w:rsidRPr="00747170">
        <w:rPr>
          <w:rFonts w:hint="cs"/>
        </w:rPr>
        <w:t>.</w:t>
      </w:r>
    </w:p>
    <w:p w14:paraId="5EE2E0A1" w14:textId="15C2748D" w:rsidR="001C69A8" w:rsidRPr="00B96136" w:rsidRDefault="001C69A8" w:rsidP="001C69A8">
      <w:pPr>
        <w:pStyle w:val="1"/>
        <w:rPr>
          <w:rtl/>
        </w:rPr>
      </w:pPr>
      <w:bookmarkStart w:id="564" w:name="_Toc134347602"/>
      <w:r>
        <w:rPr>
          <w:rFonts w:hint="cs"/>
          <w:rtl/>
        </w:rPr>
        <w:t>בי' התפא"י דהזריעה נעשית מיד ונתינה בתנור לא אופה כלל</w:t>
      </w:r>
      <w:bookmarkEnd w:id="564"/>
    </w:p>
    <w:p w14:paraId="40D060B2" w14:textId="77777777" w:rsidR="001C69A8" w:rsidRDefault="001C69A8" w:rsidP="001C69A8">
      <w:pPr>
        <w:pStyle w:val="afffff7"/>
        <w:rPr>
          <w:rtl/>
        </w:rPr>
      </w:pPr>
      <w:bookmarkStart w:id="565" w:name="_Toc134550171"/>
      <w:bookmarkStart w:id="566" w:name="_Toc163505463"/>
      <w:r>
        <w:rPr>
          <w:rFonts w:hint="cs"/>
          <w:rtl/>
        </w:rPr>
        <w:t>תפארת ישראל קונטרס בתי כלאים אות מ"ג</w:t>
      </w:r>
      <w:bookmarkEnd w:id="565"/>
      <w:bookmarkEnd w:id="566"/>
    </w:p>
    <w:p w14:paraId="151A6F33" w14:textId="77777777" w:rsidR="001C69A8" w:rsidRPr="00AE1E43" w:rsidRDefault="001C69A8" w:rsidP="001C69A8">
      <w:pPr>
        <w:pStyle w:val="a7"/>
      </w:pPr>
      <w:bookmarkStart w:id="567" w:name="_Toc134347603"/>
      <w:r>
        <w:rPr>
          <w:rFonts w:hint="cs"/>
          <w:rtl/>
        </w:rPr>
        <w:t>בי' התפארת ישראל דהזריעה היא בנתינת הזרע וחייב אף בסילק ול"ד לאפיה דלא אפה כלל</w:t>
      </w:r>
      <w:bookmarkEnd w:id="567"/>
    </w:p>
    <w:p w14:paraId="3228A589" w14:textId="6B8951B2" w:rsidR="001C69A8" w:rsidRDefault="001C69A8" w:rsidP="00BC7DC8">
      <w:pPr>
        <w:pStyle w:val="a3"/>
      </w:pPr>
      <w:bookmarkStart w:id="568" w:name="_Ref133252633"/>
      <w:r>
        <w:rPr>
          <w:rFonts w:hint="cs"/>
          <w:rtl/>
        </w:rPr>
        <w:t xml:space="preserve">כתב </w:t>
      </w:r>
      <w:r w:rsidRPr="00E87CC9">
        <w:rPr>
          <w:rStyle w:val="aff4"/>
          <w:rFonts w:hint="cs"/>
          <w:vanish/>
          <w:rtl/>
        </w:rPr>
        <w:t>-</w:t>
      </w:r>
      <w:r w:rsidRPr="003B4E24">
        <w:rPr>
          <w:rStyle w:val="aff4"/>
          <w:rFonts w:hint="cs"/>
          <w:rtl/>
        </w:rPr>
        <w:t>ה</w:t>
      </w:r>
      <w:r w:rsidRPr="00350A80">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Ref133252633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ו)</w:t>
      </w:r>
      <w:r>
        <w:rPr>
          <w:rStyle w:val="aff4"/>
          <w:vanish/>
          <w:rtl/>
        </w:rPr>
        <w:fldChar w:fldCharType="end"/>
      </w:r>
      <w:r w:rsidRPr="00350A80">
        <w:rPr>
          <w:rStyle w:val="aff4"/>
          <w:rFonts w:hint="cs"/>
          <w:vanish/>
          <w:rtl/>
        </w:rPr>
        <w:t xml:space="preserve"> &gt;</w:t>
      </w:r>
      <w:r w:rsidRPr="003B4E24">
        <w:rPr>
          <w:rStyle w:val="aff4"/>
          <w:rtl/>
        </w:rPr>
        <w:t xml:space="preserve">תפארת ישראל </w:t>
      </w:r>
      <w:r w:rsidRPr="003B4E24">
        <w:rPr>
          <w:rStyle w:val="aff4"/>
          <w:rFonts w:hint="cs"/>
          <w:rtl/>
        </w:rPr>
        <w:t>ב</w:t>
      </w:r>
      <w:r w:rsidRPr="003B4E24">
        <w:rPr>
          <w:rStyle w:val="aff4"/>
          <w:rtl/>
        </w:rPr>
        <w:t>קונטרס בתי כלאים</w:t>
      </w:r>
      <w:r w:rsidRPr="00E87CC9">
        <w:rPr>
          <w:rStyle w:val="aff4"/>
          <w:rFonts w:hint="cs"/>
          <w:vanish/>
          <w:rtl/>
        </w:rPr>
        <w:t>-</w:t>
      </w:r>
      <w:r w:rsidRPr="00C3051E">
        <w:rPr>
          <w:rtl/>
        </w:rPr>
        <w:t xml:space="preserve"> </w:t>
      </w:r>
      <w:r w:rsidRPr="00277835">
        <w:rPr>
          <w:rStyle w:val="af2"/>
          <w:rFonts w:eastAsia="Guttman Hodes" w:hint="cs"/>
          <w:rtl/>
        </w:rPr>
        <w:t>(</w:t>
      </w:r>
      <w:r w:rsidRPr="00277835">
        <w:rPr>
          <w:rStyle w:val="af2"/>
          <w:rFonts w:eastAsia="Guttman Hodes"/>
          <w:rtl/>
        </w:rPr>
        <w:t>אות מ"ג</w:t>
      </w:r>
      <w:r w:rsidRPr="00277835">
        <w:rPr>
          <w:rStyle w:val="af2"/>
          <w:rFonts w:eastAsia="Guttman Hodes" w:hint="cs"/>
          <w:rtl/>
        </w:rPr>
        <w:t>, נד' בסוף המשניות)</w:t>
      </w:r>
      <w:r w:rsidRPr="00350A80">
        <w:rPr>
          <w:rFonts w:hint="cs"/>
          <w:vanish/>
          <w:rtl/>
        </w:rPr>
        <w:t>=</w:t>
      </w:r>
      <w:r>
        <w:rPr>
          <w:rFonts w:hint="cs"/>
          <w:rtl/>
        </w:rPr>
        <w:t xml:space="preserve"> דהזורע בשבת וחזר וליקט את הזרעים חייב, ולא דמי לאופה דהמדביק פת בתנור ורדה את הפת מהתנור לפני האפיה דפטור, כיון דלפני שנאפתה הפת, אין כאן אפיה כלל, ומה שהניח בצק בתנור הוא כמו הנחת קדירה על האש דכל שסילק אותה לפני הבישול פשיטא דפטור, משא"כ בזורע דמיד כשטמן את הזרע בעפר עשה מעשה זריעה.</w:t>
      </w:r>
      <w:bookmarkEnd w:id="568"/>
    </w:p>
    <w:p w14:paraId="5C634079" w14:textId="77777777" w:rsidR="001C69A8" w:rsidRPr="00747170" w:rsidRDefault="001C69A8" w:rsidP="00747170">
      <w:pPr>
        <w:pStyle w:val="a2"/>
      </w:pPr>
      <w:r w:rsidRPr="00747170">
        <w:t>וכמו כן נ"ל לענין שבת כשזרע גרעינים וחפם בעפר אע"ג שחזר וליקט הגרעינים אפ"ה כבר נתחייב משום זורע משעה שטמן הגרעינים בעפר ולא דמי להדביק פת בתנור וחזר ורדה אותו קודם שנאפה דפטור כשבת דף ד א דהתם כיון שרדה אותו קודם שאפה אין כאן אפייה כלל והנחת הבצק בתוך תוך התנור לא שמיה אפייה כמו שהושבת הקדירה אצל האש וסלקה קודם בישול דלא סלקא דעתך שיתחייב משום מבשל אבל זורע מיד שטמן הזרע בעפר כבר עשה מעשה הזריעה</w:t>
      </w:r>
      <w:r w:rsidRPr="00747170">
        <w:rPr>
          <w:rFonts w:hint="cs"/>
        </w:rPr>
        <w:t>.</w:t>
      </w:r>
    </w:p>
    <w:p w14:paraId="66AD5BA3" w14:textId="55D2EE28" w:rsidR="001C69A8" w:rsidRDefault="001C69A8" w:rsidP="001C69A8">
      <w:pPr>
        <w:pStyle w:val="1"/>
        <w:rPr>
          <w:rtl/>
        </w:rPr>
      </w:pPr>
      <w:bookmarkStart w:id="569" w:name="_Toc134347604"/>
      <w:r>
        <w:rPr>
          <w:rFonts w:hint="cs"/>
          <w:rtl/>
        </w:rPr>
        <w:t>בי' השואל במהר"ם חביב דבלא נשרש בטל לקרקע אף בסילק</w:t>
      </w:r>
      <w:bookmarkEnd w:id="569"/>
    </w:p>
    <w:p w14:paraId="23A17BD2" w14:textId="77777777" w:rsidR="001C69A8" w:rsidRDefault="001C69A8" w:rsidP="001C69A8">
      <w:pPr>
        <w:pStyle w:val="afffff7"/>
        <w:rPr>
          <w:rtl/>
        </w:rPr>
      </w:pPr>
      <w:bookmarkStart w:id="570" w:name="_Toc134550172"/>
      <w:bookmarkStart w:id="571" w:name="_Toc163505464"/>
      <w:r>
        <w:rPr>
          <w:rFonts w:hint="cs"/>
          <w:rtl/>
        </w:rPr>
        <w:t xml:space="preserve">שו"ת </w:t>
      </w:r>
      <w:r w:rsidRPr="003415C8">
        <w:rPr>
          <w:rtl/>
        </w:rPr>
        <w:t>קול גדול למהר"ם חביב סי' ע"ה</w:t>
      </w:r>
      <w:bookmarkEnd w:id="570"/>
      <w:bookmarkEnd w:id="571"/>
      <w:r w:rsidRPr="009154C9">
        <w:t xml:space="preserve"> </w:t>
      </w:r>
    </w:p>
    <w:p w14:paraId="0517E795" w14:textId="77777777" w:rsidR="001C69A8" w:rsidRPr="002222CC" w:rsidRDefault="001C69A8" w:rsidP="001C69A8">
      <w:pPr>
        <w:pStyle w:val="a7"/>
        <w:rPr>
          <w:rtl/>
        </w:rPr>
      </w:pPr>
      <w:bookmarkStart w:id="572" w:name="_Toc134347605"/>
      <w:r>
        <w:rPr>
          <w:rFonts w:hint="cs"/>
          <w:rtl/>
        </w:rPr>
        <w:t>קו' השואל במהר"ם חביב דהו"ל לגמ' בב"מ להסתפק בזרעים שלא השרישו לענין שבת</w:t>
      </w:r>
      <w:bookmarkEnd w:id="572"/>
    </w:p>
    <w:p w14:paraId="011BECC4" w14:textId="3166C204" w:rsidR="001C69A8" w:rsidRPr="002222CC" w:rsidRDefault="001C69A8" w:rsidP="00BC7DC8">
      <w:pPr>
        <w:pStyle w:val="a3"/>
        <w:rPr>
          <w:rStyle w:val="af"/>
          <w:sz w:val="18"/>
          <w:szCs w:val="18"/>
        </w:rPr>
      </w:pPr>
      <w:r>
        <w:rPr>
          <w:rFonts w:hint="cs"/>
          <w:rtl/>
        </w:rPr>
        <w:t xml:space="preserve">בספק הגמ' בב"מ </w:t>
      </w:r>
      <w:r w:rsidRPr="00277835">
        <w:rPr>
          <w:rStyle w:val="af2"/>
          <w:rFonts w:eastAsia="Guttman Hodes" w:hint="cs"/>
          <w:rtl/>
        </w:rPr>
        <w:t>(נו:)</w:t>
      </w:r>
      <w:r>
        <w:rPr>
          <w:rFonts w:hint="cs"/>
          <w:rtl/>
        </w:rPr>
        <w:t xml:space="preserve"> בחיטין שלא השרישו אי הם כמונחים בכדא, או דהם בטלים לגבי הקרקע, ונ"מ אי נשבעין עליהם ואי יש להם אונאה ואי עומר מתירם, הקשה </w:t>
      </w:r>
      <w:r w:rsidRPr="002222CC">
        <w:rPr>
          <w:rStyle w:val="aff4"/>
          <w:rFonts w:hint="cs"/>
          <w:vanish/>
          <w:rtl/>
        </w:rPr>
        <w:t xml:space="preserve">-&lt;. </w:t>
      </w:r>
      <w:r w:rsidRPr="002222CC">
        <w:rPr>
          <w:rStyle w:val="aff4"/>
          <w:vanish/>
          <w:rtl/>
        </w:rPr>
        <w:fldChar w:fldCharType="begin"/>
      </w:r>
      <w:r w:rsidRPr="002222CC">
        <w:rPr>
          <w:rStyle w:val="aff4"/>
          <w:vanish/>
          <w:rtl/>
        </w:rPr>
        <w:instrText xml:space="preserve"> </w:instrText>
      </w:r>
      <w:r w:rsidRPr="002222CC">
        <w:rPr>
          <w:rStyle w:val="aff4"/>
          <w:rFonts w:hint="cs"/>
          <w:vanish/>
        </w:rPr>
        <w:instrText>REF</w:instrText>
      </w:r>
      <w:r w:rsidRPr="002222CC">
        <w:rPr>
          <w:rStyle w:val="aff4"/>
          <w:rFonts w:hint="cs"/>
          <w:vanish/>
          <w:rtl/>
        </w:rPr>
        <w:instrText xml:space="preserve"> _</w:instrText>
      </w:r>
      <w:r w:rsidRPr="002222CC">
        <w:rPr>
          <w:rStyle w:val="aff4"/>
          <w:rFonts w:hint="cs"/>
          <w:vanish/>
        </w:rPr>
        <w:instrText>Ref133252319 \r \h</w:instrText>
      </w:r>
      <w:r w:rsidRPr="002222CC">
        <w:rPr>
          <w:rStyle w:val="aff4"/>
          <w:vanish/>
          <w:rtl/>
        </w:rPr>
        <w:instrText xml:space="preserve"> </w:instrText>
      </w:r>
      <w:r w:rsidRPr="002222CC">
        <w:rPr>
          <w:rStyle w:val="aff4"/>
          <w:vanish/>
          <w:rtl/>
        </w:rPr>
      </w:r>
      <w:r w:rsidRPr="002222CC">
        <w:rPr>
          <w:rStyle w:val="aff4"/>
          <w:vanish/>
          <w:rtl/>
        </w:rPr>
        <w:fldChar w:fldCharType="separate"/>
      </w:r>
      <w:r w:rsidR="00D82181">
        <w:rPr>
          <w:rStyle w:val="aff4"/>
          <w:vanish/>
          <w:cs/>
        </w:rPr>
        <w:t>‎</w:t>
      </w:r>
      <w:r w:rsidR="00D82181">
        <w:rPr>
          <w:rStyle w:val="aff4"/>
          <w:vanish/>
          <w:rtl/>
        </w:rPr>
        <w:t>ח)</w:t>
      </w:r>
      <w:r w:rsidRPr="002222CC">
        <w:rPr>
          <w:rStyle w:val="aff4"/>
          <w:vanish/>
          <w:rtl/>
        </w:rPr>
        <w:fldChar w:fldCharType="end"/>
      </w:r>
      <w:r w:rsidRPr="002222CC">
        <w:rPr>
          <w:rStyle w:val="aff4"/>
          <w:rFonts w:hint="cs"/>
          <w:vanish/>
          <w:rtl/>
        </w:rPr>
        <w:t xml:space="preserve"> &gt;</w:t>
      </w:r>
      <w:r w:rsidRPr="003B4E24">
        <w:rPr>
          <w:rStyle w:val="aff4"/>
          <w:rFonts w:hint="cs"/>
          <w:rtl/>
        </w:rPr>
        <w:t>השואל בשו"ת קול גדול למהר"ם חביב</w:t>
      </w:r>
      <w:r w:rsidRPr="002222CC">
        <w:rPr>
          <w:rStyle w:val="aff4"/>
          <w:rFonts w:hint="cs"/>
          <w:vanish/>
          <w:rtl/>
        </w:rPr>
        <w:t>-</w:t>
      </w:r>
      <w:r>
        <w:rPr>
          <w:rFonts w:hint="cs"/>
          <w:rtl/>
        </w:rPr>
        <w:t xml:space="preserve"> </w:t>
      </w:r>
      <w:r w:rsidRPr="00277835">
        <w:rPr>
          <w:rStyle w:val="af2"/>
          <w:rFonts w:eastAsia="Guttman Hodes" w:hint="cs"/>
          <w:rtl/>
        </w:rPr>
        <w:t>(סי' ע"ה)</w:t>
      </w:r>
      <w:r w:rsidRPr="002222CC">
        <w:rPr>
          <w:rFonts w:hint="cs"/>
          <w:vanish/>
          <w:rtl/>
        </w:rPr>
        <w:t>=</w:t>
      </w:r>
      <w:r>
        <w:rPr>
          <w:rFonts w:hint="cs"/>
          <w:rtl/>
        </w:rPr>
        <w:t xml:space="preserve"> דאף לענין שבת היה לגמ' להסתפק בזורע אי הזרעים הם כמונחים בכדא, ואם קדם וסילקם לפני שהשרישו פטור, כמו ברודה פת מתנור לפני האפיה, או דלענין שבת ודאי דהם בטלים לקרקע, ואף אם סילקם חשיב זורע וחייב. </w:t>
      </w:r>
      <w:r>
        <w:rPr>
          <w:rStyle w:val="af"/>
          <w:rFonts w:hint="cs"/>
          <w:rtl/>
        </w:rPr>
        <w:t>[</w:t>
      </w:r>
      <w:r w:rsidRPr="00277835">
        <w:rPr>
          <w:rStyle w:val="af"/>
          <w:rFonts w:hint="cs"/>
          <w:rtl/>
        </w:rPr>
        <w:t xml:space="preserve">ועי' במה שתירץ </w:t>
      </w:r>
      <w:r w:rsidRPr="001E13AC">
        <w:rPr>
          <w:rStyle w:val="aff9"/>
          <w:rFonts w:hint="cs"/>
          <w:vanish/>
          <w:rtl/>
        </w:rPr>
        <w:t>-</w:t>
      </w:r>
      <w:r w:rsidRPr="00277835">
        <w:rPr>
          <w:rStyle w:val="aff9"/>
          <w:rFonts w:hint="cs"/>
          <w:rtl/>
        </w:rPr>
        <w:t>המהר"ם חביב</w:t>
      </w:r>
      <w:r w:rsidRPr="001E13AC">
        <w:rPr>
          <w:rStyle w:val="aff9"/>
          <w:rFonts w:hint="cs"/>
          <w:vanish/>
          <w:rtl/>
        </w:rPr>
        <w:t>-</w:t>
      </w:r>
      <w:r w:rsidRPr="00277835">
        <w:rPr>
          <w:rStyle w:val="af"/>
          <w:rFonts w:hint="cs"/>
          <w:rtl/>
        </w:rPr>
        <w:t xml:space="preserve"> </w:t>
      </w:r>
      <w:r w:rsidRPr="00277835">
        <w:rPr>
          <w:rStyle w:val="aff0"/>
          <w:rFonts w:hint="cs"/>
          <w:rtl/>
        </w:rPr>
        <w:t xml:space="preserve">(עי' אות </w:t>
      </w:r>
      <w:r w:rsidRPr="00277835">
        <w:rPr>
          <w:rStyle w:val="aff0"/>
          <w:rtl/>
        </w:rPr>
        <w:fldChar w:fldCharType="begin"/>
      </w:r>
      <w:r w:rsidRPr="00277835">
        <w:rPr>
          <w:rStyle w:val="aff0"/>
          <w:rtl/>
        </w:rPr>
        <w:instrText xml:space="preserve"> </w:instrText>
      </w:r>
      <w:r w:rsidRPr="00277835">
        <w:rPr>
          <w:rStyle w:val="aff0"/>
          <w:rFonts w:hint="cs"/>
        </w:rPr>
        <w:instrText>REF</w:instrText>
      </w:r>
      <w:r w:rsidRPr="00277835">
        <w:rPr>
          <w:rStyle w:val="aff0"/>
          <w:rFonts w:hint="cs"/>
          <w:rtl/>
        </w:rPr>
        <w:instrText xml:space="preserve"> _</w:instrText>
      </w:r>
      <w:r w:rsidRPr="00277835">
        <w:rPr>
          <w:rStyle w:val="aff0"/>
          <w:rFonts w:hint="cs"/>
        </w:rPr>
        <w:instrText>Ref134093568 \r \h</w:instrText>
      </w:r>
      <w:r w:rsidRPr="00277835">
        <w:rPr>
          <w:rStyle w:val="aff0"/>
          <w:rtl/>
        </w:rPr>
        <w:instrText xml:space="preserve"> </w:instrText>
      </w:r>
      <w:r w:rsidRPr="00277835">
        <w:rPr>
          <w:rStyle w:val="aff0"/>
          <w:rtl/>
        </w:rPr>
      </w:r>
      <w:r w:rsidRPr="00277835">
        <w:rPr>
          <w:rStyle w:val="aff0"/>
          <w:rtl/>
        </w:rPr>
        <w:fldChar w:fldCharType="separate"/>
      </w:r>
      <w:r w:rsidR="00D82181">
        <w:rPr>
          <w:rStyle w:val="aff0"/>
          <w:cs/>
        </w:rPr>
        <w:t>‎</w:t>
      </w:r>
      <w:r w:rsidR="00D82181">
        <w:rPr>
          <w:rStyle w:val="aff0"/>
          <w:rtl/>
        </w:rPr>
        <w:t>מ)</w:t>
      </w:r>
      <w:r w:rsidRPr="00277835">
        <w:rPr>
          <w:rStyle w:val="aff0"/>
          <w:rtl/>
        </w:rPr>
        <w:fldChar w:fldCharType="end"/>
      </w:r>
      <w:r w:rsidRPr="00277835">
        <w:rPr>
          <w:rStyle w:val="af"/>
          <w:rFonts w:hint="cs"/>
          <w:rtl/>
        </w:rPr>
        <w:t>]</w:t>
      </w:r>
      <w:r>
        <w:rPr>
          <w:rStyle w:val="af"/>
          <w:rFonts w:hint="cs"/>
          <w:rtl/>
        </w:rPr>
        <w:t>.</w:t>
      </w:r>
    </w:p>
    <w:p w14:paraId="2756C012" w14:textId="77777777" w:rsidR="001C69A8" w:rsidRPr="00747170" w:rsidRDefault="001C69A8" w:rsidP="00747170">
      <w:pPr>
        <w:pStyle w:val="a2"/>
      </w:pPr>
      <w:r w:rsidRPr="00747170">
        <w:rPr>
          <w:rFonts w:hint="cs"/>
        </w:rPr>
        <w:t xml:space="preserve">שאלה: </w:t>
      </w:r>
      <w:r w:rsidRPr="00747170">
        <w:t xml:space="preserve">בפרק הזהב אבעיא להו חיטין הזרועין </w:t>
      </w:r>
      <w:r w:rsidRPr="00747170">
        <w:rPr>
          <w:rFonts w:hint="cs"/>
        </w:rPr>
        <w:t xml:space="preserve">שלא </w:t>
      </w:r>
      <w:r w:rsidRPr="00747170">
        <w:t>השרישו אי כמונחין בכדא דמו או בטילי לגבי קרקע לענין אונאה נשבעין עליהם או אין נשבעין עליהם עומר מתירן או אין מתירן וסלקא בתיקו</w:t>
      </w:r>
      <w:r w:rsidRPr="00747170">
        <w:rPr>
          <w:rFonts w:hint="cs"/>
        </w:rPr>
        <w:t>.</w:t>
      </w:r>
      <w:r w:rsidRPr="00747170">
        <w:t xml:space="preserve"> והשתא מיבעיא לענין לן לענין שבת הזורע חיטין או שעורין וקדם וסילקם קודם שהשרישו מהו מי הוי דומיא דפת דאם הדביק פת בתנור וקדם וסילקו קודם שקרם פטור</w:t>
      </w:r>
      <w:r w:rsidRPr="00747170">
        <w:rPr>
          <w:rFonts w:hint="cs"/>
        </w:rPr>
        <w:t>.</w:t>
      </w:r>
    </w:p>
    <w:p w14:paraId="4613341A" w14:textId="3547564B" w:rsidR="001C69A8" w:rsidRDefault="001C69A8" w:rsidP="001C69A8">
      <w:pPr>
        <w:pStyle w:val="a7"/>
        <w:rPr>
          <w:rtl/>
        </w:rPr>
      </w:pPr>
      <w:bookmarkStart w:id="573" w:name="_Toc134347606"/>
      <w:r>
        <w:rPr>
          <w:rFonts w:hint="cs"/>
          <w:rtl/>
        </w:rPr>
        <w:t>בי' השואל בשו"ת המהר"ם חביב דזרע שלא נשרש בטל לקרקע ואף בסילקו אח"כ חייב</w:t>
      </w:r>
      <w:bookmarkEnd w:id="573"/>
    </w:p>
    <w:p w14:paraId="69C2AC50" w14:textId="77777777" w:rsidR="001C69A8" w:rsidRPr="000D3ED8" w:rsidRDefault="001C69A8" w:rsidP="00BC7DC8">
      <w:pPr>
        <w:pStyle w:val="a3"/>
        <w:rPr>
          <w:rtl/>
        </w:rPr>
      </w:pPr>
      <w:bookmarkStart w:id="574" w:name="_Ref133249619"/>
      <w:bookmarkStart w:id="575" w:name="_Ref133252319"/>
      <w:r>
        <w:rPr>
          <w:rFonts w:hint="cs"/>
          <w:rtl/>
        </w:rPr>
        <w:t xml:space="preserve">וכתב </w:t>
      </w:r>
      <w:r w:rsidRPr="00E87CC9">
        <w:rPr>
          <w:rStyle w:val="aff4"/>
          <w:rFonts w:hint="cs"/>
          <w:vanish/>
          <w:rtl/>
        </w:rPr>
        <w:t>-</w:t>
      </w:r>
      <w:r w:rsidRPr="003B4E24">
        <w:rPr>
          <w:rStyle w:val="aff4"/>
          <w:rFonts w:hint="cs"/>
          <w:rtl/>
        </w:rPr>
        <w:t>השואל בשו"ת קול גדול</w:t>
      </w:r>
      <w:r w:rsidRPr="00E87CC9">
        <w:rPr>
          <w:rStyle w:val="aff4"/>
          <w:rFonts w:hint="cs"/>
          <w:vanish/>
          <w:rtl/>
        </w:rPr>
        <w:t>-</w:t>
      </w:r>
      <w:r>
        <w:rPr>
          <w:rFonts w:hint="cs"/>
          <w:rtl/>
        </w:rPr>
        <w:t xml:space="preserve"> דמוכח דהם בטלים לקרקע, דאל"ה א"א לחייב על זורע בשבת, דהא בשבת עצמה לא יתכן שישרישו, וההשרשה שמשרישים בחול ודאי דאינה מחייבת, אך כתב </w:t>
      </w:r>
      <w:r w:rsidRPr="00E87CC9">
        <w:rPr>
          <w:rStyle w:val="aff4"/>
          <w:rFonts w:hint="cs"/>
          <w:vanish/>
          <w:rtl/>
        </w:rPr>
        <w:t>-</w:t>
      </w:r>
      <w:r w:rsidRPr="003B4E24">
        <w:rPr>
          <w:rStyle w:val="aff4"/>
          <w:rFonts w:hint="cs"/>
          <w:rtl/>
        </w:rPr>
        <w:t>השואל בשו"ת קול גדול</w:t>
      </w:r>
      <w:r w:rsidRPr="00E87CC9">
        <w:rPr>
          <w:rStyle w:val="aff4"/>
          <w:rFonts w:hint="cs"/>
          <w:vanish/>
          <w:rtl/>
        </w:rPr>
        <w:t>-</w:t>
      </w:r>
      <w:r>
        <w:rPr>
          <w:rFonts w:hint="cs"/>
          <w:rtl/>
        </w:rPr>
        <w:t xml:space="preserve"> דאפשר לדחות דבאמת הספק בגמ' בב"מ הוא אף לענין שבת, וחיוב זורע בשבת הוא דוקא כשזרע בתחילת שבת חיטין ששראם כבר במים, שהם נקלטים מיד בקרקע.</w:t>
      </w:r>
      <w:bookmarkEnd w:id="574"/>
      <w:r>
        <w:rPr>
          <w:rFonts w:hint="cs"/>
          <w:rtl/>
        </w:rPr>
        <w:t xml:space="preserve"> </w:t>
      </w:r>
      <w:r>
        <w:rPr>
          <w:rStyle w:val="af"/>
          <w:rFonts w:hint="cs"/>
          <w:rtl/>
        </w:rPr>
        <w:t>[</w:t>
      </w:r>
      <w:r w:rsidRPr="00277835">
        <w:rPr>
          <w:rStyle w:val="af"/>
          <w:rFonts w:hint="cs"/>
          <w:rtl/>
        </w:rPr>
        <w:t xml:space="preserve">עי' במ"ש </w:t>
      </w:r>
      <w:r w:rsidRPr="001E13AC">
        <w:rPr>
          <w:rStyle w:val="aff9"/>
          <w:rFonts w:hint="cs"/>
          <w:vanish/>
          <w:rtl/>
        </w:rPr>
        <w:t>-</w:t>
      </w:r>
      <w:r w:rsidRPr="00277835">
        <w:rPr>
          <w:rStyle w:val="aff9"/>
          <w:rFonts w:hint="cs"/>
          <w:rtl/>
        </w:rPr>
        <w:t>הרמב"ם</w:t>
      </w:r>
      <w:r w:rsidRPr="001E13AC">
        <w:rPr>
          <w:rStyle w:val="aff9"/>
          <w:rFonts w:hint="cs"/>
          <w:vanish/>
          <w:rtl/>
        </w:rPr>
        <w:t>-</w:t>
      </w:r>
      <w:r w:rsidRPr="00277835">
        <w:rPr>
          <w:rStyle w:val="af"/>
          <w:rFonts w:hint="cs"/>
          <w:rtl/>
        </w:rPr>
        <w:t xml:space="preserve"> </w:t>
      </w:r>
      <w:r w:rsidRPr="00277835">
        <w:rPr>
          <w:rStyle w:val="aff0"/>
          <w:rFonts w:hint="cs"/>
          <w:rtl/>
        </w:rPr>
        <w:t>(שבת פ"ח ה"ב, הובא בסימן א' אות ע"ט)</w:t>
      </w:r>
      <w:r w:rsidRPr="00277835">
        <w:rPr>
          <w:rStyle w:val="af"/>
          <w:rFonts w:hint="cs"/>
          <w:rtl/>
        </w:rPr>
        <w:t>]</w:t>
      </w:r>
      <w:r w:rsidRPr="00563D63">
        <w:rPr>
          <w:rStyle w:val="af"/>
          <w:rFonts w:hint="cs"/>
          <w:rtl/>
        </w:rPr>
        <w:t>.</w:t>
      </w:r>
      <w:bookmarkEnd w:id="575"/>
    </w:p>
    <w:p w14:paraId="6C595991" w14:textId="77777777" w:rsidR="001C69A8" w:rsidRPr="00747170" w:rsidRDefault="001C69A8" w:rsidP="00747170">
      <w:pPr>
        <w:pStyle w:val="a2"/>
      </w:pPr>
      <w:r w:rsidRPr="00747170">
        <w:t xml:space="preserve">או דילמא שאני חיטין דבטלי לגבי קרקע דאי לא תימא הכי לא משכחת זורע בשבת דמיחייב דבו ביום אי אפשר שישרישו והשרשה דחול לא מידי היא או אם נאמר דכי היכי דמיבעיא לן לענין אונאה נמי מיבעיא לן לענין שבת </w:t>
      </w:r>
      <w:r w:rsidRPr="00747170">
        <w:rPr>
          <w:rFonts w:hint="cs"/>
        </w:rPr>
        <w:t xml:space="preserve">וחיוב </w:t>
      </w:r>
      <w:r w:rsidRPr="00747170">
        <w:t>זריעה משכחת לה בשזרע מחשיכה חיטין שרויין שקולטין מיד ויבא שכמ"ה</w:t>
      </w:r>
      <w:r w:rsidRPr="00747170">
        <w:rPr>
          <w:rFonts w:hint="cs"/>
        </w:rPr>
        <w:t>.</w:t>
      </w:r>
    </w:p>
    <w:p w14:paraId="3ACE0E15" w14:textId="09CAABB2" w:rsidR="001C69A8" w:rsidRDefault="001C69A8" w:rsidP="001C69A8">
      <w:pPr>
        <w:pStyle w:val="1"/>
        <w:rPr>
          <w:rtl/>
        </w:rPr>
      </w:pPr>
      <w:bookmarkStart w:id="576" w:name="_Toc134347607"/>
      <w:r>
        <w:rPr>
          <w:rFonts w:hint="cs"/>
          <w:rtl/>
        </w:rPr>
        <w:t>בי' המנ"ח דזריעה נקראת ע"ש תחילתה ואפיה ע"ש גומרה</w:t>
      </w:r>
      <w:bookmarkEnd w:id="576"/>
    </w:p>
    <w:p w14:paraId="0DFEFF98" w14:textId="77777777" w:rsidR="001C69A8" w:rsidRDefault="001C69A8" w:rsidP="001C69A8">
      <w:pPr>
        <w:pStyle w:val="afffff7"/>
        <w:rPr>
          <w:rtl/>
        </w:rPr>
      </w:pPr>
      <w:bookmarkStart w:id="577" w:name="_Toc134550173"/>
      <w:bookmarkStart w:id="578" w:name="_Toc163505465"/>
      <w:r>
        <w:rPr>
          <w:rtl/>
        </w:rPr>
        <w:t>מנחת חינוך מצוה רצ</w:t>
      </w:r>
      <w:r>
        <w:rPr>
          <w:rFonts w:hint="cs"/>
          <w:rtl/>
        </w:rPr>
        <w:t>"</w:t>
      </w:r>
      <w:r>
        <w:rPr>
          <w:rtl/>
        </w:rPr>
        <w:t xml:space="preserve">ח אות </w:t>
      </w:r>
      <w:r>
        <w:rPr>
          <w:rFonts w:hint="cs"/>
          <w:rtl/>
        </w:rPr>
        <w:t xml:space="preserve">י"ד ד"ה </w:t>
      </w:r>
      <w:r w:rsidRPr="00A05AEC">
        <w:rPr>
          <w:rtl/>
        </w:rPr>
        <w:t>והנה זורע</w:t>
      </w:r>
      <w:bookmarkEnd w:id="577"/>
      <w:bookmarkEnd w:id="578"/>
    </w:p>
    <w:p w14:paraId="0AA01408" w14:textId="77777777" w:rsidR="001C69A8" w:rsidRPr="00A05AEC" w:rsidRDefault="001C69A8" w:rsidP="001C69A8">
      <w:pPr>
        <w:pStyle w:val="a7"/>
        <w:rPr>
          <w:rtl/>
        </w:rPr>
      </w:pPr>
      <w:bookmarkStart w:id="579" w:name="_Toc134347608"/>
      <w:r>
        <w:rPr>
          <w:rFonts w:hint="cs"/>
          <w:rtl/>
        </w:rPr>
        <w:t>בי' המנ"ח דהיה אפש"ל דזורע חייב רק בהשרשה כאופה דכל שלא השריש הזרע כמונח בכד</w:t>
      </w:r>
      <w:bookmarkEnd w:id="579"/>
    </w:p>
    <w:p w14:paraId="3A2D3805" w14:textId="50406716" w:rsidR="001C69A8" w:rsidRDefault="001C69A8" w:rsidP="00BC7DC8">
      <w:pPr>
        <w:pStyle w:val="a3"/>
        <w:rPr>
          <w:rtl/>
        </w:rPr>
      </w:pPr>
      <w:bookmarkStart w:id="580" w:name="_Ref133252824"/>
      <w:r>
        <w:rPr>
          <w:rFonts w:hint="cs"/>
          <w:rtl/>
        </w:rPr>
        <w:t xml:space="preserve">כתב </w:t>
      </w:r>
      <w:r w:rsidRPr="00B32D57">
        <w:rPr>
          <w:rStyle w:val="aff4"/>
          <w:rFonts w:hint="cs"/>
          <w:vanish/>
          <w:rtl/>
        </w:rPr>
        <w:t>-</w:t>
      </w:r>
      <w:r w:rsidRPr="00373C7B">
        <w:rPr>
          <w:rStyle w:val="aff4"/>
          <w:rFonts w:hint="cs"/>
          <w:rtl/>
        </w:rPr>
        <w:t>ה</w:t>
      </w:r>
      <w:r w:rsidRPr="00E526A0">
        <w:rPr>
          <w:rStyle w:val="aff4"/>
          <w:rFonts w:hint="cs"/>
          <w:vanish/>
          <w:rtl/>
        </w:rPr>
        <w:t>&lt;</w:t>
      </w:r>
      <w:r>
        <w:rPr>
          <w:rStyle w:val="aff4"/>
          <w:rFonts w:hint="cs"/>
          <w:vanish/>
          <w:rtl/>
        </w:rPr>
        <w:t>.</w:t>
      </w:r>
      <w:r w:rsidRPr="00E526A0">
        <w:rPr>
          <w:rStyle w:val="aff4"/>
          <w:rFonts w:hint="cs"/>
          <w:vanish/>
          <w:rtl/>
        </w:rPr>
        <w:t xml:space="preserve"> </w:t>
      </w:r>
      <w:r>
        <w:rPr>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Ref133252824 \r \h</w:instrText>
      </w:r>
      <w:r>
        <w:rPr>
          <w:rStyle w:val="aff4"/>
          <w:vanish/>
          <w:rtl/>
        </w:rPr>
        <w:instrText xml:space="preserve"> </w:instrText>
      </w:r>
      <w:r>
        <w:rPr>
          <w:vanish/>
          <w:rtl/>
        </w:rPr>
      </w:r>
      <w:r>
        <w:rPr>
          <w:vanish/>
          <w:rtl/>
        </w:rPr>
        <w:fldChar w:fldCharType="separate"/>
      </w:r>
      <w:r w:rsidR="00D82181">
        <w:rPr>
          <w:rStyle w:val="aff4"/>
          <w:vanish/>
          <w:cs/>
        </w:rPr>
        <w:t>‎</w:t>
      </w:r>
      <w:r w:rsidR="00D82181">
        <w:rPr>
          <w:rStyle w:val="aff4"/>
          <w:vanish/>
          <w:rtl/>
        </w:rPr>
        <w:t>ט)</w:t>
      </w:r>
      <w:r>
        <w:rPr>
          <w:vanish/>
          <w:rtl/>
        </w:rPr>
        <w:fldChar w:fldCharType="end"/>
      </w:r>
      <w:r w:rsidRPr="00E526A0">
        <w:rPr>
          <w:rStyle w:val="aff4"/>
          <w:rFonts w:hint="cs"/>
          <w:vanish/>
          <w:rtl/>
        </w:rPr>
        <w:t xml:space="preserve"> &gt;</w:t>
      </w:r>
      <w:r w:rsidRPr="00373C7B">
        <w:rPr>
          <w:rStyle w:val="aff4"/>
          <w:rFonts w:hint="cs"/>
          <w:rtl/>
        </w:rPr>
        <w:t>מנחת חינוך</w:t>
      </w:r>
      <w:r w:rsidRPr="00B32D57">
        <w:rPr>
          <w:rStyle w:val="aff4"/>
          <w:rFonts w:hint="cs"/>
          <w:vanish/>
          <w:rtl/>
        </w:rPr>
        <w:t>-</w:t>
      </w:r>
      <w:r>
        <w:rPr>
          <w:rFonts w:hint="cs"/>
          <w:rtl/>
        </w:rPr>
        <w:t xml:space="preserve"> </w:t>
      </w:r>
      <w:r w:rsidRPr="00277835">
        <w:rPr>
          <w:rStyle w:val="af2"/>
          <w:rFonts w:eastAsia="Guttman Hodes" w:hint="cs"/>
          <w:rtl/>
        </w:rPr>
        <w:t xml:space="preserve">(מצוה רח"צ י"ד ד"ה </w:t>
      </w:r>
      <w:r w:rsidRPr="00277835">
        <w:rPr>
          <w:rStyle w:val="af2"/>
          <w:rFonts w:eastAsia="Guttman Hodes"/>
          <w:rtl/>
        </w:rPr>
        <w:t>והנה זורע</w:t>
      </w:r>
      <w:r w:rsidRPr="00277835">
        <w:rPr>
          <w:rStyle w:val="af2"/>
          <w:rFonts w:eastAsia="Guttman Hodes" w:hint="cs"/>
          <w:rtl/>
        </w:rPr>
        <w:t>)</w:t>
      </w:r>
      <w:r>
        <w:rPr>
          <w:rFonts w:hint="cs"/>
          <w:vanish/>
          <w:rtl/>
        </w:rPr>
        <w:t>=</w:t>
      </w:r>
      <w:r>
        <w:rPr>
          <w:rFonts w:hint="cs"/>
          <w:rtl/>
        </w:rPr>
        <w:t xml:space="preserve"> דהיה אפש"ל דהחיוב בזורע הוא רק בהשרשה, כמו החיוב באופה דחייב רק באפייה עצמה ולא בהנחת הפת בתנור, ואם הוציא את הפת לפני האפייה פטור, ה"ה בזורע דאם נטל את הזרע מהקרקע מיד לאחר הזריעה לפני שהשריש יהיה פטור, וכדכתב </w:t>
      </w:r>
      <w:r w:rsidRPr="00B32D57">
        <w:rPr>
          <w:rStyle w:val="aff4"/>
          <w:rFonts w:hint="cs"/>
          <w:vanish/>
          <w:rtl/>
        </w:rPr>
        <w:t>-</w:t>
      </w:r>
      <w:r w:rsidRPr="00373C7B">
        <w:rPr>
          <w:rStyle w:val="aff4"/>
          <w:rFonts w:hint="cs"/>
          <w:rtl/>
        </w:rPr>
        <w:t>רש"י בפסחים</w:t>
      </w:r>
      <w:r w:rsidRPr="00B32D57">
        <w:rPr>
          <w:rStyle w:val="aff4"/>
          <w:rFonts w:hint="cs"/>
          <w:vanish/>
          <w:rtl/>
        </w:rPr>
        <w:t>-</w:t>
      </w:r>
      <w:r>
        <w:rPr>
          <w:rFonts w:hint="cs"/>
          <w:rtl/>
        </w:rPr>
        <w:t xml:space="preserve"> </w:t>
      </w:r>
      <w:r w:rsidRPr="00277835">
        <w:rPr>
          <w:rStyle w:val="af2"/>
          <w:rFonts w:eastAsia="Guttman Hodes" w:hint="cs"/>
          <w:rtl/>
        </w:rPr>
        <w:t>(כה. ד"ה זאת)</w:t>
      </w:r>
      <w:r>
        <w:rPr>
          <w:rFonts w:hint="cs"/>
          <w:rtl/>
        </w:rPr>
        <w:t xml:space="preserve"> דהזורע כלאים ולא השרישו, לא נאסרו דהם כמונחים בכד, וכדאיתא בגמ' במנחות </w:t>
      </w:r>
      <w:r w:rsidRPr="00277835">
        <w:rPr>
          <w:rStyle w:val="af2"/>
          <w:rFonts w:eastAsia="Guttman Hodes" w:hint="cs"/>
          <w:rtl/>
        </w:rPr>
        <w:t>(סט.)</w:t>
      </w:r>
      <w:r>
        <w:rPr>
          <w:rFonts w:hint="cs"/>
          <w:rtl/>
        </w:rPr>
        <w:t xml:space="preserve"> דהזורע לפני השרשה חשיב כמונח בכד.</w:t>
      </w:r>
      <w:r w:rsidRPr="001A6002">
        <w:rPr>
          <w:rFonts w:hint="cs"/>
          <w:rtl/>
        </w:rPr>
        <w:t xml:space="preserve"> </w:t>
      </w:r>
      <w:r>
        <w:rPr>
          <w:rStyle w:val="af"/>
          <w:rFonts w:hint="cs"/>
          <w:rtl/>
        </w:rPr>
        <w:t>[</w:t>
      </w:r>
      <w:r w:rsidRPr="00277835">
        <w:rPr>
          <w:rStyle w:val="af"/>
          <w:rFonts w:hint="cs"/>
          <w:rtl/>
        </w:rPr>
        <w:t xml:space="preserve">דמספקא לגמ' אי זרע לפני שנשרש העומר מתירו באכילה דהוא כמונח בכד, </w:t>
      </w:r>
      <w:bookmarkStart w:id="581" w:name="_Hlk130910669"/>
      <w:r w:rsidRPr="00277835">
        <w:rPr>
          <w:rStyle w:val="af"/>
          <w:rFonts w:hint="cs"/>
          <w:rtl/>
        </w:rPr>
        <w:t>וה"ה לענין אונאה ושבועה</w:t>
      </w:r>
      <w:bookmarkEnd w:id="581"/>
      <w:r w:rsidRPr="00277835">
        <w:rPr>
          <w:rStyle w:val="af"/>
          <w:rFonts w:hint="cs"/>
          <w:rtl/>
        </w:rPr>
        <w:t>]</w:t>
      </w:r>
      <w:r w:rsidRPr="00563D63">
        <w:rPr>
          <w:rStyle w:val="af"/>
          <w:rFonts w:hint="cs"/>
          <w:rtl/>
        </w:rPr>
        <w:t>.</w:t>
      </w:r>
      <w:bookmarkEnd w:id="580"/>
    </w:p>
    <w:p w14:paraId="73CAEBBC" w14:textId="77777777" w:rsidR="001C69A8" w:rsidRPr="00747170" w:rsidRDefault="001C69A8" w:rsidP="00747170">
      <w:pPr>
        <w:pStyle w:val="a2"/>
      </w:pPr>
      <w:r w:rsidRPr="00747170">
        <w:t>והנה זורע בש</w:t>
      </w:r>
      <w:r w:rsidRPr="00747170">
        <w:rPr>
          <w:rFonts w:hint="cs"/>
        </w:rPr>
        <w:t xml:space="preserve">בת </w:t>
      </w:r>
      <w:r w:rsidRPr="00747170">
        <w:t>ויו"ט הוי אב מלאכה ומבואר בפסחים דכ"ה גבי כה"כ דזרוע מעיקרא אינו נאסר אלא בהשרשה והיינו דנקלט בארץ. וע"ש ברש"י דקודם השרשה הוי כמונח בכדא ולא הוי כלאים כלל. וכן מבואר במס' מנחות דס"ט לענין עומר ולענין אונאה ושבועה הוי אבעיא שם אי כמנח בכדא דמי. א"כ אפ"ל דגם בשויו"ט אינו עובר על הזריעה רק אם נשרש בקרקע ואינו חייב על העשיי' רק אם נשרש אח"כ כמו אופה דאינו חייב על דבוקו בתנור רק אם נאפה אח"כ ה"נ דבנשרש חייב על העשייה ואם תיכף לאחר שזרע נטל הזרע מן הארץ ולא הניח לשרש אפשר דאינו חייב.</w:t>
      </w:r>
    </w:p>
    <w:p w14:paraId="4AC275EB" w14:textId="4DE60713" w:rsidR="001C69A8" w:rsidRDefault="001C69A8" w:rsidP="001C69A8">
      <w:pPr>
        <w:pStyle w:val="afffff7"/>
        <w:rPr>
          <w:rtl/>
        </w:rPr>
      </w:pPr>
      <w:bookmarkStart w:id="582" w:name="_Toc134550174"/>
      <w:bookmarkStart w:id="583" w:name="_Toc163505466"/>
      <w:r w:rsidRPr="00E56523">
        <w:rPr>
          <w:rtl/>
        </w:rPr>
        <w:t>מנחת חינוך מצוה רצ"ח אות י"ד ד"ה אך זה אינו</w:t>
      </w:r>
      <w:bookmarkEnd w:id="582"/>
      <w:bookmarkEnd w:id="583"/>
    </w:p>
    <w:p w14:paraId="2132A47F" w14:textId="77777777" w:rsidR="001C69A8" w:rsidRDefault="001C69A8" w:rsidP="001C69A8">
      <w:pPr>
        <w:pStyle w:val="a7"/>
        <w:rPr>
          <w:rtl/>
        </w:rPr>
      </w:pPr>
      <w:bookmarkStart w:id="584" w:name="_Toc134347609"/>
      <w:r>
        <w:rPr>
          <w:rFonts w:hint="cs"/>
          <w:rtl/>
        </w:rPr>
        <w:t>דחיית המנ"ח דאי חיוב זורע בהשרשה א"א לחייב עליו בשבת דמשריש בחול ובאופה פטור בזה</w:t>
      </w:r>
      <w:bookmarkEnd w:id="584"/>
    </w:p>
    <w:p w14:paraId="2EDD53BC" w14:textId="05350F22" w:rsidR="001C69A8" w:rsidRPr="00F44409" w:rsidRDefault="001C69A8" w:rsidP="00BC7DC8">
      <w:pPr>
        <w:pStyle w:val="a3"/>
        <w:rPr>
          <w:rtl/>
        </w:rPr>
      </w:pPr>
      <w:bookmarkStart w:id="585" w:name="_Ref134094454"/>
      <w:r>
        <w:rPr>
          <w:rFonts w:hint="cs"/>
          <w:rtl/>
        </w:rPr>
        <w:lastRenderedPageBreak/>
        <w:t xml:space="preserve">ודחה </w:t>
      </w:r>
      <w:r w:rsidRPr="00B32D57">
        <w:rPr>
          <w:rStyle w:val="aff4"/>
          <w:rFonts w:hint="cs"/>
          <w:vanish/>
          <w:rtl/>
        </w:rPr>
        <w:t>-</w:t>
      </w:r>
      <w:r w:rsidRPr="00373C7B">
        <w:rPr>
          <w:rStyle w:val="aff4"/>
          <w:rFonts w:hint="cs"/>
          <w:rtl/>
        </w:rPr>
        <w:t>ה</w:t>
      </w:r>
      <w:r w:rsidRPr="00E526A0">
        <w:rPr>
          <w:rStyle w:val="aff4"/>
          <w:rFonts w:hint="cs"/>
          <w:vanish/>
          <w:rtl/>
        </w:rPr>
        <w:t xml:space="preserve">&lt; </w:t>
      </w:r>
      <w:r>
        <w:rPr>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Ref134094454 \r \h</w:instrText>
      </w:r>
      <w:r>
        <w:rPr>
          <w:rStyle w:val="aff4"/>
          <w:vanish/>
          <w:rtl/>
        </w:rPr>
        <w:instrText xml:space="preserve"> </w:instrText>
      </w:r>
      <w:r>
        <w:rPr>
          <w:vanish/>
          <w:rtl/>
        </w:rPr>
      </w:r>
      <w:r>
        <w:rPr>
          <w:vanish/>
          <w:rtl/>
        </w:rPr>
        <w:fldChar w:fldCharType="separate"/>
      </w:r>
      <w:r w:rsidR="00D82181">
        <w:rPr>
          <w:rStyle w:val="aff4"/>
          <w:vanish/>
          <w:cs/>
        </w:rPr>
        <w:t>‎</w:t>
      </w:r>
      <w:r w:rsidR="00D82181">
        <w:rPr>
          <w:rStyle w:val="aff4"/>
          <w:vanish/>
          <w:rtl/>
        </w:rPr>
        <w:t>י)</w:t>
      </w:r>
      <w:r>
        <w:rPr>
          <w:vanish/>
          <w:rtl/>
        </w:rPr>
        <w:fldChar w:fldCharType="end"/>
      </w:r>
      <w:r w:rsidRPr="00E526A0">
        <w:rPr>
          <w:rStyle w:val="aff4"/>
          <w:rFonts w:hint="cs"/>
          <w:vanish/>
          <w:rtl/>
        </w:rPr>
        <w:t xml:space="preserve"> &gt;</w:t>
      </w:r>
      <w:r w:rsidRPr="00373C7B">
        <w:rPr>
          <w:rStyle w:val="aff4"/>
          <w:rFonts w:hint="cs"/>
          <w:rtl/>
        </w:rPr>
        <w:t>מנחת חינוך</w:t>
      </w:r>
      <w:r w:rsidRPr="00B32D57">
        <w:rPr>
          <w:rStyle w:val="aff4"/>
          <w:rFonts w:hint="cs"/>
          <w:vanish/>
          <w:rtl/>
        </w:rPr>
        <w:t>-</w:t>
      </w:r>
      <w:r>
        <w:rPr>
          <w:rFonts w:hint="cs"/>
          <w:rtl/>
        </w:rPr>
        <w:t xml:space="preserve"> </w:t>
      </w:r>
      <w:r w:rsidRPr="00277835">
        <w:rPr>
          <w:rStyle w:val="af2"/>
          <w:rFonts w:eastAsia="Guttman Hodes" w:hint="cs"/>
          <w:rtl/>
        </w:rPr>
        <w:t xml:space="preserve">(מצוה רח"צ י"ד ד"ה </w:t>
      </w:r>
      <w:r w:rsidRPr="00277835">
        <w:rPr>
          <w:rStyle w:val="af2"/>
          <w:rFonts w:eastAsia="Guttman Hodes"/>
          <w:rtl/>
        </w:rPr>
        <w:t xml:space="preserve">אך </w:t>
      </w:r>
      <w:r w:rsidRPr="00277835">
        <w:rPr>
          <w:rStyle w:val="af2"/>
          <w:rFonts w:eastAsia="Guttman Hodes" w:hint="cs"/>
          <w:rtl/>
        </w:rPr>
        <w:t>זה אינו)</w:t>
      </w:r>
      <w:r>
        <w:rPr>
          <w:rFonts w:hint="cs"/>
          <w:vanish/>
          <w:rtl/>
        </w:rPr>
        <w:t>=</w:t>
      </w:r>
      <w:r>
        <w:rPr>
          <w:rFonts w:hint="cs"/>
          <w:rtl/>
        </w:rPr>
        <w:t xml:space="preserve"> דא"א לומר דעיקר חיוב זריעה הוא רק בהשרשה, דא"כ הזורע בשבת והשריש בחול יהיה פטור, כמו האופה בשבת ונגמרה האפיה בחול, </w:t>
      </w:r>
      <w:r>
        <w:rPr>
          <w:rStyle w:val="af"/>
          <w:rFonts w:hint="cs"/>
          <w:rtl/>
        </w:rPr>
        <w:t>[</w:t>
      </w:r>
      <w:r w:rsidRPr="00277835">
        <w:rPr>
          <w:rStyle w:val="af"/>
          <w:rFonts w:hint="cs"/>
          <w:rtl/>
        </w:rPr>
        <w:t xml:space="preserve">כדביאר </w:t>
      </w:r>
      <w:r w:rsidRPr="001E13AC">
        <w:rPr>
          <w:rStyle w:val="aff9"/>
          <w:rFonts w:hint="cs"/>
          <w:vanish/>
          <w:rtl/>
        </w:rPr>
        <w:t>-</w:t>
      </w:r>
      <w:r w:rsidRPr="00277835">
        <w:rPr>
          <w:rStyle w:val="aff9"/>
          <w:rFonts w:hint="cs"/>
          <w:rtl/>
        </w:rPr>
        <w:t>המנחת חינוך</w:t>
      </w:r>
      <w:r w:rsidRPr="001E13AC">
        <w:rPr>
          <w:rStyle w:val="aff9"/>
          <w:rFonts w:hint="cs"/>
          <w:vanish/>
          <w:rtl/>
        </w:rPr>
        <w:t>-</w:t>
      </w:r>
      <w:r w:rsidRPr="00277835">
        <w:rPr>
          <w:rStyle w:val="af"/>
          <w:rFonts w:hint="cs"/>
          <w:rtl/>
        </w:rPr>
        <w:t xml:space="preserve"> </w:t>
      </w:r>
      <w:r w:rsidRPr="00277835">
        <w:rPr>
          <w:rStyle w:val="aff0"/>
          <w:rFonts w:hint="cs"/>
          <w:rtl/>
        </w:rPr>
        <w:t xml:space="preserve">(עי' אות </w:t>
      </w:r>
      <w:r w:rsidRPr="00277835">
        <w:rPr>
          <w:rStyle w:val="aff0"/>
          <w:rtl/>
        </w:rPr>
        <w:fldChar w:fldCharType="begin"/>
      </w:r>
      <w:r w:rsidRPr="00277835">
        <w:rPr>
          <w:rStyle w:val="aff0"/>
          <w:rtl/>
        </w:rPr>
        <w:instrText xml:space="preserve"> </w:instrText>
      </w:r>
      <w:r w:rsidRPr="00277835">
        <w:rPr>
          <w:rStyle w:val="aff0"/>
          <w:rFonts w:hint="cs"/>
        </w:rPr>
        <w:instrText>REF</w:instrText>
      </w:r>
      <w:r w:rsidRPr="00277835">
        <w:rPr>
          <w:rStyle w:val="aff0"/>
          <w:rFonts w:hint="cs"/>
          <w:rtl/>
        </w:rPr>
        <w:instrText xml:space="preserve"> _</w:instrText>
      </w:r>
      <w:r w:rsidRPr="00277835">
        <w:rPr>
          <w:rStyle w:val="aff0"/>
          <w:rFonts w:hint="cs"/>
        </w:rPr>
        <w:instrText>Ref134098006 \r \h</w:instrText>
      </w:r>
      <w:r w:rsidRPr="00277835">
        <w:rPr>
          <w:rStyle w:val="aff0"/>
          <w:rtl/>
        </w:rPr>
        <w:instrText xml:space="preserve"> </w:instrText>
      </w:r>
      <w:r w:rsidRPr="00277835">
        <w:rPr>
          <w:rStyle w:val="aff0"/>
          <w:rtl/>
        </w:rPr>
      </w:r>
      <w:r w:rsidRPr="00277835">
        <w:rPr>
          <w:rStyle w:val="aff0"/>
          <w:rtl/>
        </w:rPr>
        <w:fldChar w:fldCharType="separate"/>
      </w:r>
      <w:r w:rsidR="00D82181">
        <w:rPr>
          <w:rStyle w:val="aff0"/>
          <w:cs/>
        </w:rPr>
        <w:t>‎</w:t>
      </w:r>
      <w:r w:rsidR="00D82181">
        <w:rPr>
          <w:rStyle w:val="aff0"/>
          <w:rtl/>
        </w:rPr>
        <w:t>סט)</w:t>
      </w:r>
      <w:r w:rsidRPr="00277835">
        <w:rPr>
          <w:rStyle w:val="aff0"/>
          <w:rtl/>
        </w:rPr>
        <w:fldChar w:fldCharType="end"/>
      </w:r>
      <w:r w:rsidRPr="00277835">
        <w:rPr>
          <w:rStyle w:val="af"/>
          <w:rFonts w:hint="cs"/>
          <w:rtl/>
        </w:rPr>
        <w:t>]</w:t>
      </w:r>
      <w:r w:rsidRPr="00563D63">
        <w:rPr>
          <w:rStyle w:val="af"/>
          <w:rFonts w:hint="cs"/>
          <w:rtl/>
        </w:rPr>
        <w:t>,</w:t>
      </w:r>
      <w:r w:rsidRPr="000E7D36">
        <w:rPr>
          <w:rStyle w:val="af"/>
          <w:rFonts w:hint="cs"/>
          <w:rtl/>
        </w:rPr>
        <w:t xml:space="preserve"> </w:t>
      </w:r>
      <w:r>
        <w:rPr>
          <w:rFonts w:hint="cs"/>
          <w:rtl/>
        </w:rPr>
        <w:t xml:space="preserve">והא מבואר בגמ' בר"ה </w:t>
      </w:r>
      <w:r w:rsidRPr="00277835">
        <w:rPr>
          <w:rStyle w:val="af2"/>
          <w:rFonts w:eastAsia="Guttman Hodes" w:hint="cs"/>
          <w:rtl/>
        </w:rPr>
        <w:t>(י.)</w:t>
      </w:r>
      <w:r>
        <w:rPr>
          <w:rFonts w:hint="cs"/>
          <w:rtl/>
        </w:rPr>
        <w:t xml:space="preserve"> ובפסחים </w:t>
      </w:r>
      <w:r w:rsidRPr="00277835">
        <w:rPr>
          <w:rStyle w:val="af2"/>
          <w:rFonts w:eastAsia="Guttman Hodes" w:hint="cs"/>
          <w:rtl/>
        </w:rPr>
        <w:t>(נה.)</w:t>
      </w:r>
      <w:r>
        <w:rPr>
          <w:rFonts w:hint="cs"/>
          <w:rtl/>
        </w:rPr>
        <w:t xml:space="preserve"> דהזרע נקלט בקרקע לאחר כמה ימים, וא"כ היאך תנן במתני' </w:t>
      </w:r>
      <w:r w:rsidRPr="00277835">
        <w:rPr>
          <w:rStyle w:val="af2"/>
          <w:rFonts w:eastAsia="Guttman Hodes" w:hint="cs"/>
          <w:rtl/>
        </w:rPr>
        <w:t>(עג.)</w:t>
      </w:r>
      <w:r>
        <w:rPr>
          <w:rFonts w:hint="cs"/>
          <w:rtl/>
        </w:rPr>
        <w:t xml:space="preserve"> דהזורע בשבת חייב, והא לעולם ההשרשה היא בחול.</w:t>
      </w:r>
      <w:bookmarkEnd w:id="585"/>
      <w:r>
        <w:rPr>
          <w:rFonts w:hint="cs"/>
          <w:rtl/>
        </w:rPr>
        <w:t xml:space="preserve"> </w:t>
      </w:r>
    </w:p>
    <w:p w14:paraId="7BE22497" w14:textId="77777777" w:rsidR="001C69A8" w:rsidRPr="00747170" w:rsidRDefault="001C69A8" w:rsidP="00747170">
      <w:pPr>
        <w:pStyle w:val="a2"/>
      </w:pPr>
      <w:r w:rsidRPr="00747170">
        <w:t xml:space="preserve">אך </w:t>
      </w:r>
      <w:r w:rsidRPr="00747170">
        <w:rPr>
          <w:rFonts w:hint="cs"/>
        </w:rPr>
        <w:t>זה אינו</w:t>
      </w:r>
      <w:r w:rsidRPr="00747170">
        <w:t xml:space="preserve"> דאם נאמר דעיקר הזריעה היינו בהשרשה א"כ אם זרע בשבת ונשרש אח"כ בחול לא יהיה חייב כמו אופה לעיל א"כ אמאי מבואר במשנה הזורע חייב וכן בגמרא הנוטע והמבריך והמרכיב עיין בשבת פ' כ"ג הא קי"ל בר"ה ובפסחים פלוגתא ח"א דלקליטה צריך למ"ד יום וח"א י"ד יום. ור"י ס"ל ג"י בעינן. ואנן פסקינן י"ד לקליטה ער"מ המע"ש ונ"ר וש"ע סי' רצ"ד א"כ היאך חייב משום זורע דממ"נ אם זרע בחול וזמן הקליטה יהיה בשבת ודאי פטור אליבא דכ"ע כמו כל המלאכות דמותר מבע"י אף שהמלאכה נעשית בשבת כמ"ש לעיל ובודאי מיירי בזרע בשבת א"כ היאך חייב הא אינו נקלט הזריעה אליבא דכ"ע פחות מג"י וא"כ נקלט בחול אמאי חייב ועיין ר"ה דף י' ובפסחים נ"ה א"כ נפל ד"ז דזורע ונוטע בבירא היאך משכחת לה דחייב הא נשרש בחול.</w:t>
      </w:r>
    </w:p>
    <w:p w14:paraId="2DA2B822" w14:textId="06E3680C" w:rsidR="001C69A8" w:rsidRDefault="001C69A8" w:rsidP="001C69A8">
      <w:pPr>
        <w:pStyle w:val="afffff7"/>
        <w:rPr>
          <w:rtl/>
        </w:rPr>
      </w:pPr>
      <w:bookmarkStart w:id="586" w:name="_Toc134550175"/>
      <w:bookmarkStart w:id="587" w:name="_Toc163505467"/>
      <w:r>
        <w:rPr>
          <w:rtl/>
        </w:rPr>
        <w:t>מנחת חינוך מצוה רצ</w:t>
      </w:r>
      <w:r>
        <w:rPr>
          <w:rFonts w:hint="cs"/>
          <w:rtl/>
        </w:rPr>
        <w:t>"</w:t>
      </w:r>
      <w:r>
        <w:rPr>
          <w:rtl/>
        </w:rPr>
        <w:t xml:space="preserve">ח אות </w:t>
      </w:r>
      <w:r>
        <w:rPr>
          <w:rFonts w:hint="cs"/>
          <w:rtl/>
        </w:rPr>
        <w:t xml:space="preserve">י"ד ד"ה </w:t>
      </w:r>
      <w:r>
        <w:rPr>
          <w:rtl/>
        </w:rPr>
        <w:t>ע</w:t>
      </w:r>
      <w:r>
        <w:rPr>
          <w:rFonts w:hint="cs"/>
          <w:rtl/>
        </w:rPr>
        <w:t>ל כרחך</w:t>
      </w:r>
      <w:bookmarkEnd w:id="586"/>
      <w:bookmarkEnd w:id="587"/>
    </w:p>
    <w:p w14:paraId="567EACD1" w14:textId="77777777" w:rsidR="001C69A8" w:rsidRDefault="001C69A8" w:rsidP="001C69A8">
      <w:pPr>
        <w:pStyle w:val="a7"/>
        <w:rPr>
          <w:rtl/>
        </w:rPr>
      </w:pPr>
      <w:bookmarkStart w:id="588" w:name="_Toc134347610"/>
      <w:r>
        <w:rPr>
          <w:rFonts w:hint="cs"/>
          <w:rtl/>
        </w:rPr>
        <w:t>בי' המנ"ח דאפיה נקראת ע"ש גמרה וזריעה נקראת ע"ש הזריעה עצמה ולשבת ל"ה כמונח בכד</w:t>
      </w:r>
      <w:bookmarkEnd w:id="588"/>
    </w:p>
    <w:p w14:paraId="54B8BE2B" w14:textId="0A138A96" w:rsidR="001C69A8" w:rsidRDefault="001C69A8" w:rsidP="00BC7DC8">
      <w:pPr>
        <w:pStyle w:val="a3"/>
      </w:pPr>
      <w:bookmarkStart w:id="589" w:name="_Ref134305041"/>
      <w:bookmarkStart w:id="590" w:name="_Ref133266775"/>
      <w:r>
        <w:rPr>
          <w:rFonts w:hint="cs"/>
          <w:rtl/>
        </w:rPr>
        <w:t xml:space="preserve">וביאר </w:t>
      </w:r>
      <w:r w:rsidRPr="006D464E">
        <w:rPr>
          <w:rStyle w:val="aff4"/>
          <w:rFonts w:hint="cs"/>
          <w:vanish/>
          <w:rtl/>
        </w:rPr>
        <w:t>-</w:t>
      </w:r>
      <w:r w:rsidRPr="00373C7B">
        <w:rPr>
          <w:rStyle w:val="aff4"/>
          <w:rFonts w:hint="cs"/>
          <w:rtl/>
        </w:rPr>
        <w:t>ה</w:t>
      </w:r>
      <w:r w:rsidRPr="006D464E">
        <w:rPr>
          <w:rStyle w:val="aff4"/>
          <w:rFonts w:hint="cs"/>
          <w:vanish/>
          <w:rtl/>
        </w:rPr>
        <w:t xml:space="preserve">&lt; </w:t>
      </w:r>
      <w:r>
        <w:rPr>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Ref133266775 \r \h</w:instrText>
      </w:r>
      <w:r>
        <w:rPr>
          <w:rStyle w:val="aff4"/>
          <w:vanish/>
          <w:rtl/>
        </w:rPr>
        <w:instrText xml:space="preserve"> </w:instrText>
      </w:r>
      <w:r>
        <w:rPr>
          <w:vanish/>
          <w:rtl/>
        </w:rPr>
      </w:r>
      <w:r>
        <w:rPr>
          <w:vanish/>
          <w:rtl/>
        </w:rPr>
        <w:fldChar w:fldCharType="separate"/>
      </w:r>
      <w:r w:rsidR="00D82181">
        <w:rPr>
          <w:rStyle w:val="aff4"/>
          <w:vanish/>
          <w:cs/>
        </w:rPr>
        <w:t>‎</w:t>
      </w:r>
      <w:r w:rsidR="00D82181">
        <w:rPr>
          <w:rStyle w:val="aff4"/>
          <w:vanish/>
          <w:rtl/>
        </w:rPr>
        <w:t>יא)</w:t>
      </w:r>
      <w:r>
        <w:rPr>
          <w:vanish/>
          <w:rtl/>
        </w:rPr>
        <w:fldChar w:fldCharType="end"/>
      </w:r>
      <w:r w:rsidRPr="006D464E">
        <w:rPr>
          <w:rStyle w:val="aff4"/>
          <w:rFonts w:hint="cs"/>
          <w:vanish/>
          <w:rtl/>
        </w:rPr>
        <w:t xml:space="preserve"> &gt;</w:t>
      </w:r>
      <w:r w:rsidRPr="00373C7B">
        <w:rPr>
          <w:rStyle w:val="aff4"/>
          <w:rFonts w:hint="cs"/>
          <w:rtl/>
        </w:rPr>
        <w:t>מנחת חינוך</w:t>
      </w:r>
      <w:r w:rsidRPr="006D464E">
        <w:rPr>
          <w:rStyle w:val="aff4"/>
          <w:rFonts w:hint="cs"/>
          <w:vanish/>
          <w:rtl/>
        </w:rPr>
        <w:t>-</w:t>
      </w:r>
      <w:r>
        <w:rPr>
          <w:rFonts w:hint="cs"/>
          <w:rtl/>
        </w:rPr>
        <w:t xml:space="preserve"> </w:t>
      </w:r>
      <w:r w:rsidRPr="00277835">
        <w:rPr>
          <w:rStyle w:val="af2"/>
          <w:rFonts w:eastAsia="Guttman Hodes" w:hint="cs"/>
          <w:rtl/>
        </w:rPr>
        <w:t xml:space="preserve">(מצוה רח"צ י"ד ד"ה </w:t>
      </w:r>
      <w:r w:rsidRPr="00277835">
        <w:rPr>
          <w:rStyle w:val="af2"/>
          <w:rFonts w:eastAsia="Guttman Hodes"/>
          <w:rtl/>
        </w:rPr>
        <w:t>ע</w:t>
      </w:r>
      <w:r w:rsidRPr="00277835">
        <w:rPr>
          <w:rStyle w:val="af2"/>
          <w:rFonts w:eastAsia="Guttman Hodes" w:hint="cs"/>
          <w:rtl/>
        </w:rPr>
        <w:t>ל כרחך)</w:t>
      </w:r>
      <w:r w:rsidRPr="006D464E">
        <w:rPr>
          <w:rFonts w:hint="cs"/>
          <w:vanish/>
          <w:rtl/>
        </w:rPr>
        <w:t>=</w:t>
      </w:r>
      <w:r>
        <w:rPr>
          <w:rFonts w:hint="cs"/>
          <w:rtl/>
        </w:rPr>
        <w:t xml:space="preserve"> דזריעה לא דמי לבישול או אפייה, דהגמר מלאכה שלהם היא הבישול והאפייה, כיון דהמלאכה עצמה נקראת על שם גמר המלאכה דהיא האפייה או הבישול עצמם, אבל מלאכת זורע  נקראת על שם הזריעה עצמה, דמיד שזורק את הזרע ע"ג הקרקע נקרא זורע, והא דמבואר בגמ' במנחות דעדיין חשיב הזרע כמונח בכד, היינו לענין עומר דחשיב כתלוש ולא כמחובר, אך מ"מ לענין מלאכת זורע עצמה, נגמרה מלאכתו בזריעה בלבד, וחיוב התורה בזורע בשבת הוא על הזריעה עצמה.</w:t>
      </w:r>
      <w:bookmarkEnd w:id="589"/>
    </w:p>
    <w:p w14:paraId="4E645535" w14:textId="77777777" w:rsidR="001C69A8" w:rsidRPr="00747170" w:rsidRDefault="001C69A8" w:rsidP="00747170">
      <w:pPr>
        <w:pStyle w:val="a2"/>
      </w:pPr>
      <w:r w:rsidRPr="00747170">
        <w:t>ע</w:t>
      </w:r>
      <w:r w:rsidRPr="00747170">
        <w:rPr>
          <w:rFonts w:hint="cs"/>
        </w:rPr>
        <w:t xml:space="preserve">ל כרחך </w:t>
      </w:r>
      <w:r w:rsidRPr="00747170">
        <w:t>צ"ל דיש חילוק בשלמא מבשל או אופה גמר האפיה או הבישול נקרא בשם אפיה או בישול אבל קודם שנאפה לא נקרא בשם אפיה כלל אף דנתן לתוך התנור אבל לשון זריעה חל תיכף כשמנפץ הזרע ע"ג קרקע הוי זורע אף דהוי כמאן דמנח בדיקולי היינו לענין המוזכר לעיל דלא מבואר בקרא זריעה א"כ אף דהוי זריעה מ"מ אפשר דהוי כתלוש לענין עומר אבל לשון זריעה שייך שפיר תיכף קודם שנקלט ע"כ חייב תיכף בשויו"ט</w:t>
      </w:r>
      <w:r w:rsidRPr="00747170">
        <w:rPr>
          <w:rFonts w:hint="cs"/>
        </w:rPr>
        <w:t>.</w:t>
      </w:r>
    </w:p>
    <w:p w14:paraId="7A25A712" w14:textId="77777777" w:rsidR="001C69A8" w:rsidRPr="00E57A89" w:rsidRDefault="001C69A8" w:rsidP="001C69A8">
      <w:pPr>
        <w:pStyle w:val="a7"/>
      </w:pPr>
      <w:bookmarkStart w:id="591" w:name="_Toc134347611"/>
      <w:r>
        <w:rPr>
          <w:rFonts w:hint="cs"/>
          <w:rtl/>
        </w:rPr>
        <w:t>בי' המנ"ח דכיון דהחיוב בזריעה אף בליקט לפני השרשה חייב ככותב ומוחק אף בע"מ למחוק</w:t>
      </w:r>
      <w:bookmarkEnd w:id="591"/>
    </w:p>
    <w:p w14:paraId="11874F0F" w14:textId="56C58C1E" w:rsidR="001C69A8" w:rsidRDefault="001C69A8" w:rsidP="00BC7DC8">
      <w:pPr>
        <w:pStyle w:val="a3"/>
        <w:rPr>
          <w:rtl/>
        </w:rPr>
      </w:pPr>
      <w:bookmarkStart w:id="592" w:name="_Ref134307528"/>
      <w:r>
        <w:rPr>
          <w:rFonts w:hint="cs"/>
          <w:rtl/>
        </w:rPr>
        <w:t xml:space="preserve">וכתב </w:t>
      </w:r>
      <w:r w:rsidRPr="00B32D57">
        <w:rPr>
          <w:rStyle w:val="aff4"/>
          <w:rFonts w:hint="cs"/>
          <w:vanish/>
          <w:rtl/>
        </w:rPr>
        <w:t>-</w:t>
      </w:r>
      <w:r w:rsidRPr="00373C7B">
        <w:rPr>
          <w:rStyle w:val="aff4"/>
          <w:rFonts w:hint="cs"/>
          <w:rtl/>
        </w:rPr>
        <w:t>המנחת חינוך</w:t>
      </w:r>
      <w:r w:rsidRPr="00B32D57">
        <w:rPr>
          <w:rStyle w:val="aff4"/>
          <w:rFonts w:hint="cs"/>
          <w:vanish/>
          <w:rtl/>
        </w:rPr>
        <w:t>-</w:t>
      </w:r>
      <w:r>
        <w:rPr>
          <w:rFonts w:hint="cs"/>
          <w:rtl/>
        </w:rPr>
        <w:t xml:space="preserve"> דכיון דהחיוב בזורע בשבת הוא על הזריעה עצמה, א"כ אף בליקט את הזרעים לפני שהשרישו חייב, כמו בכותב ומוחק, דאף בכותב ודעתו למחוק מיד פשיטא דחייב כיון דנגמרה מלאכתו, ה"ה בזורע על דעת לתלוש מיד דחייב, </w:t>
      </w:r>
      <w:r w:rsidRPr="00350A80">
        <w:rPr>
          <w:rFonts w:hint="cs"/>
          <w:vanish/>
          <w:rtl/>
        </w:rPr>
        <w:t>&lt; &gt;</w:t>
      </w:r>
      <w:r w:rsidRPr="00A90155">
        <w:rPr>
          <w:rStyle w:val="afff9"/>
          <w:rFonts w:hint="cs"/>
          <w:vanish/>
          <w:rtl/>
        </w:rPr>
        <w:t>&lt; &gt;</w:t>
      </w:r>
      <w:r>
        <w:rPr>
          <w:rFonts w:hint="cs"/>
          <w:rtl/>
        </w:rPr>
        <w:t xml:space="preserve">ועי' במ"ש בזה </w:t>
      </w:r>
      <w:r w:rsidRPr="003F1BFC">
        <w:rPr>
          <w:rStyle w:val="aff4"/>
          <w:rFonts w:hint="cs"/>
          <w:vanish/>
          <w:rtl/>
        </w:rPr>
        <w:t>-</w:t>
      </w:r>
      <w:r w:rsidRPr="003F1BFC">
        <w:rPr>
          <w:rStyle w:val="aff4"/>
          <w:rFonts w:hint="cs"/>
          <w:rtl/>
        </w:rPr>
        <w:t>ב</w:t>
      </w:r>
      <w:r w:rsidRPr="003F1BFC">
        <w:rPr>
          <w:rStyle w:val="aff4"/>
          <w:rFonts w:hint="cs"/>
          <w:vanish/>
          <w:rtl/>
        </w:rPr>
        <w:t>&lt; &gt;</w:t>
      </w:r>
      <w:r w:rsidRPr="003F1BFC">
        <w:rPr>
          <w:rStyle w:val="aff4"/>
          <w:rFonts w:hint="cs"/>
          <w:rtl/>
        </w:rPr>
        <w:t>אשר לשלמה</w:t>
      </w:r>
      <w:r w:rsidRPr="003F1BFC">
        <w:rPr>
          <w:rStyle w:val="aff4"/>
          <w:rFonts w:hint="cs"/>
          <w:vanish/>
          <w:rtl/>
        </w:rPr>
        <w:t>-</w:t>
      </w:r>
      <w:r>
        <w:rPr>
          <w:rFonts w:hint="cs"/>
          <w:rtl/>
        </w:rPr>
        <w:t xml:space="preserve"> </w:t>
      </w:r>
      <w:r w:rsidRPr="00277835">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Ref134304590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פא)</w:t>
      </w:r>
      <w:r>
        <w:rPr>
          <w:rStyle w:val="af2"/>
          <w:rFonts w:eastAsia="Guttman Hodes"/>
          <w:rtl/>
        </w:rPr>
        <w:fldChar w:fldCharType="end"/>
      </w:r>
      <w:r w:rsidRPr="003F1BFC">
        <w:rPr>
          <w:rFonts w:hint="cs"/>
          <w:vanish/>
          <w:rtl/>
        </w:rPr>
        <w:t>=</w:t>
      </w:r>
      <w:r>
        <w:rPr>
          <w:rFonts w:hint="cs"/>
          <w:rtl/>
        </w:rPr>
        <w:t>.</w:t>
      </w:r>
      <w:bookmarkEnd w:id="590"/>
      <w:bookmarkEnd w:id="592"/>
    </w:p>
    <w:p w14:paraId="0EF0AD1F" w14:textId="77777777" w:rsidR="001C69A8" w:rsidRPr="00747170" w:rsidRDefault="001C69A8" w:rsidP="00747170">
      <w:pPr>
        <w:pStyle w:val="a2"/>
      </w:pPr>
      <w:r w:rsidRPr="00747170">
        <w:t>א"כ לפ"ז אם לקט מן הארץ תיכף אחר הזריעה בודאי חייב דהרי נגמרה מלאכתו בזריעה לחוד וע"ז חייבה התורה והוי כמו כותב ומוחק תיכף או אפילו כותב ע"מ למחוק תיכף בודאי חייב</w:t>
      </w:r>
      <w:r w:rsidRPr="00747170">
        <w:rPr>
          <w:rFonts w:hint="cs"/>
        </w:rPr>
        <w:t>.</w:t>
      </w:r>
    </w:p>
    <w:p w14:paraId="422E3A5B" w14:textId="1F99206B" w:rsidR="001C69A8" w:rsidRDefault="001C69A8" w:rsidP="001C69A8">
      <w:pPr>
        <w:pStyle w:val="a7"/>
        <w:rPr>
          <w:rtl/>
        </w:rPr>
      </w:pPr>
      <w:bookmarkStart w:id="593" w:name="_Toc134347612"/>
      <w:r>
        <w:rPr>
          <w:rFonts w:hint="cs"/>
          <w:rtl/>
        </w:rPr>
        <w:t>בי' המנ"ח דלכלאים מונח בכד ואף למלקות יל"ע בזה מ"מ לשבת הוי כזרוע דאל"ה פטור בשבת</w:t>
      </w:r>
      <w:bookmarkEnd w:id="593"/>
    </w:p>
    <w:p w14:paraId="02818277" w14:textId="77777777" w:rsidR="001C69A8" w:rsidRDefault="001C69A8" w:rsidP="00BC7DC8">
      <w:pPr>
        <w:pStyle w:val="a3"/>
        <w:rPr>
          <w:rtl/>
        </w:rPr>
      </w:pPr>
      <w:r>
        <w:rPr>
          <w:rFonts w:hint="cs"/>
          <w:rtl/>
        </w:rPr>
        <w:t xml:space="preserve">והוסיף </w:t>
      </w:r>
      <w:r w:rsidRPr="00B32D57">
        <w:rPr>
          <w:rStyle w:val="aff4"/>
          <w:rFonts w:hint="cs"/>
          <w:vanish/>
          <w:rtl/>
        </w:rPr>
        <w:t>-</w:t>
      </w:r>
      <w:r w:rsidRPr="00373C7B">
        <w:rPr>
          <w:rStyle w:val="aff4"/>
          <w:rFonts w:hint="cs"/>
          <w:rtl/>
        </w:rPr>
        <w:t>המנחת חינוך</w:t>
      </w:r>
      <w:r w:rsidRPr="00B32D57">
        <w:rPr>
          <w:rStyle w:val="aff4"/>
          <w:rFonts w:hint="cs"/>
          <w:vanish/>
          <w:rtl/>
        </w:rPr>
        <w:t>-</w:t>
      </w:r>
      <w:r>
        <w:rPr>
          <w:rFonts w:hint="cs"/>
          <w:rtl/>
        </w:rPr>
        <w:t xml:space="preserve"> דאף לענין מלקות בזורע כלאים, חייב מיד בשעת הזריעה לפני ההשרשה, ורק לענין איסור ההנאה בכלאים אמרינן דהם כתלושים עד שהשרישו, אך הקשה </w:t>
      </w:r>
      <w:r w:rsidRPr="00B32D57">
        <w:rPr>
          <w:rStyle w:val="aff4"/>
          <w:rFonts w:hint="cs"/>
          <w:vanish/>
          <w:rtl/>
        </w:rPr>
        <w:t>-</w:t>
      </w:r>
      <w:r w:rsidRPr="00373C7B">
        <w:rPr>
          <w:rStyle w:val="aff4"/>
          <w:rFonts w:hint="cs"/>
          <w:rtl/>
        </w:rPr>
        <w:t>המנחת חינוך</w:t>
      </w:r>
      <w:r w:rsidRPr="00B32D57">
        <w:rPr>
          <w:rStyle w:val="aff4"/>
          <w:rFonts w:hint="cs"/>
          <w:vanish/>
          <w:rtl/>
        </w:rPr>
        <w:t>-</w:t>
      </w:r>
      <w:r>
        <w:rPr>
          <w:rFonts w:hint="cs"/>
          <w:rtl/>
        </w:rPr>
        <w:t xml:space="preserve"> דמדברי </w:t>
      </w:r>
      <w:r w:rsidRPr="00B32D57">
        <w:rPr>
          <w:rStyle w:val="aff4"/>
          <w:rFonts w:hint="cs"/>
          <w:vanish/>
          <w:rtl/>
        </w:rPr>
        <w:t>-</w:t>
      </w:r>
      <w:r w:rsidRPr="00373C7B">
        <w:rPr>
          <w:rStyle w:val="aff4"/>
          <w:rFonts w:hint="cs"/>
          <w:rtl/>
        </w:rPr>
        <w:t>רש"י בפסחים</w:t>
      </w:r>
      <w:r w:rsidRPr="00B32D57">
        <w:rPr>
          <w:rStyle w:val="aff4"/>
          <w:rFonts w:hint="cs"/>
          <w:vanish/>
          <w:rtl/>
        </w:rPr>
        <w:t>-</w:t>
      </w:r>
      <w:r>
        <w:rPr>
          <w:rFonts w:hint="cs"/>
          <w:rtl/>
        </w:rPr>
        <w:t xml:space="preserve"> </w:t>
      </w:r>
      <w:r w:rsidRPr="00277835">
        <w:rPr>
          <w:rStyle w:val="af2"/>
          <w:rFonts w:eastAsia="Guttman Hodes" w:hint="cs"/>
          <w:rtl/>
        </w:rPr>
        <w:t>(</w:t>
      </w:r>
      <w:r>
        <w:rPr>
          <w:rStyle w:val="af2"/>
          <w:rFonts w:eastAsia="Guttman Hodes" w:hint="cs"/>
          <w:rtl/>
        </w:rPr>
        <w:t>כה. ד"ה זאת</w:t>
      </w:r>
      <w:r w:rsidRPr="00277835">
        <w:rPr>
          <w:rStyle w:val="af2"/>
          <w:rFonts w:eastAsia="Guttman Hodes" w:hint="cs"/>
          <w:rtl/>
        </w:rPr>
        <w:t>)</w:t>
      </w:r>
      <w:r>
        <w:rPr>
          <w:rFonts w:hint="cs"/>
          <w:rtl/>
        </w:rPr>
        <w:t xml:space="preserve"> דכתב דהכלאים לא נאסרו לפני ההשרשה כיון דהם כמונחים בכד, משמע דלא הוי זריעה כלל לענין כלאים, וא"כ קשה היאך אפשר לחייבו במלקות, וכתב </w:t>
      </w:r>
      <w:r w:rsidRPr="00B32D57">
        <w:rPr>
          <w:rStyle w:val="aff4"/>
          <w:rFonts w:hint="cs"/>
          <w:vanish/>
          <w:rtl/>
        </w:rPr>
        <w:t>-</w:t>
      </w:r>
      <w:r w:rsidRPr="00373C7B">
        <w:rPr>
          <w:rStyle w:val="aff4"/>
          <w:rFonts w:hint="cs"/>
          <w:rtl/>
        </w:rPr>
        <w:t>המנחת חינוך</w:t>
      </w:r>
      <w:r w:rsidRPr="00B32D57">
        <w:rPr>
          <w:rStyle w:val="aff4"/>
          <w:rFonts w:hint="cs"/>
          <w:vanish/>
          <w:rtl/>
        </w:rPr>
        <w:t>-</w:t>
      </w:r>
      <w:r>
        <w:rPr>
          <w:rFonts w:hint="cs"/>
          <w:rtl/>
        </w:rPr>
        <w:t xml:space="preserve"> דמ"מ לענין חיוב זורע בשבת ויו"ט פשיטא דחייב אף שלא השריש, דאל"ה לא שייך לחייב על זורע ונוטע בשבת.</w:t>
      </w:r>
    </w:p>
    <w:p w14:paraId="3D76B4B2" w14:textId="77777777" w:rsidR="001C69A8" w:rsidRPr="00747170" w:rsidRDefault="001C69A8" w:rsidP="00747170">
      <w:pPr>
        <w:pStyle w:val="a2"/>
      </w:pPr>
      <w:r w:rsidRPr="00747170">
        <w:t>ה"נ חייב וכ"נ נמי לענין איסור זריעת כלאים לענין לחייבו מלקות על הזריעה חייב תיכף עד שלא נשרש כי עבר על לאו דלא תזרע רק נתקדשו לענין איסור הוי בהשרשה אבל לענין חיוב מלקות הוי תיכף בשעת הזריעה דהא דמבואר שם בפסחים דדרשינן מהזרע דזרוע מעיקרא בהשרש' ע"ש ברש"י דסובר לענין להתקדש הוי מצד הסברא כמונח בכדא אבל לענין חיוב מלקות אין תלוי בהשרשה. ומ"מ צע"ק כיון דרש"י כתב דלא נאסר תיכף מחמת דהוי כמאן דמנחי בכדא ולא הוי תערובות כלל א"כ אמאי מחייב משום זורע כלאים אך מ"מ נ"ל דהדין כן בשויו"ט אין ספק אצלי כמ"ש דאל"ה לא יהיה חייב על זורע ונוטע בשבת ע"כ בודאי חייב תיכף אף בלא הקליטה ואף לקט תיכף מן הארץ מ"מ חייב דהמלאכה כבר נגמרה</w:t>
      </w:r>
      <w:r w:rsidRPr="00747170">
        <w:rPr>
          <w:rFonts w:hint="cs"/>
        </w:rPr>
        <w:t>.</w:t>
      </w:r>
    </w:p>
    <w:p w14:paraId="0DFEE39E" w14:textId="228271F4" w:rsidR="001C69A8" w:rsidRDefault="001C69A8" w:rsidP="001C69A8">
      <w:pPr>
        <w:pStyle w:val="afffff7"/>
        <w:rPr>
          <w:rtl/>
        </w:rPr>
      </w:pPr>
      <w:bookmarkStart w:id="594" w:name="_Toc134550176"/>
      <w:bookmarkStart w:id="595" w:name="_Toc163505468"/>
      <w:r>
        <w:rPr>
          <w:rtl/>
        </w:rPr>
        <w:t>החינוך פרשת כי תצא מצוה תקמח</w:t>
      </w:r>
      <w:bookmarkEnd w:id="594"/>
      <w:bookmarkEnd w:id="595"/>
    </w:p>
    <w:p w14:paraId="066ECB71" w14:textId="77777777" w:rsidR="001C69A8" w:rsidRPr="00B83574" w:rsidRDefault="001C69A8" w:rsidP="001C69A8">
      <w:pPr>
        <w:pStyle w:val="a7"/>
      </w:pPr>
      <w:bookmarkStart w:id="596" w:name="_Toc134347613"/>
      <w:r>
        <w:rPr>
          <w:rFonts w:hint="cs"/>
          <w:rtl/>
        </w:rPr>
        <w:t>בי' המנ"ח דברמב"ם ובחינוך מוכח דלכלאים החיוב בזורע מיד וא"כ ה"ה לענין שבת</w:t>
      </w:r>
      <w:bookmarkEnd w:id="596"/>
    </w:p>
    <w:p w14:paraId="637F5383" w14:textId="72029C90" w:rsidR="001C69A8" w:rsidRPr="00E56523" w:rsidRDefault="001C69A8" w:rsidP="00BC7DC8">
      <w:pPr>
        <w:pStyle w:val="a3"/>
      </w:pPr>
      <w:bookmarkStart w:id="597" w:name="_Ref133267778"/>
      <w:r>
        <w:rPr>
          <w:rFonts w:hint="cs"/>
          <w:rtl/>
        </w:rPr>
        <w:t xml:space="preserve">והוסיף </w:t>
      </w:r>
      <w:r w:rsidRPr="00B32D57">
        <w:rPr>
          <w:rStyle w:val="aff4"/>
          <w:rFonts w:hint="cs"/>
          <w:vanish/>
          <w:rtl/>
        </w:rPr>
        <w:t>-</w:t>
      </w:r>
      <w:r w:rsidRPr="00373C7B">
        <w:rPr>
          <w:rStyle w:val="aff4"/>
          <w:rFonts w:hint="cs"/>
          <w:rtl/>
        </w:rPr>
        <w:t>המנחת חינוך</w:t>
      </w:r>
      <w:r w:rsidRPr="00B32D57">
        <w:rPr>
          <w:rStyle w:val="aff4"/>
          <w:rFonts w:hint="cs"/>
          <w:vanish/>
          <w:rtl/>
        </w:rPr>
        <w:t>-</w:t>
      </w:r>
      <w:r>
        <w:rPr>
          <w:rFonts w:hint="cs"/>
          <w:rtl/>
        </w:rPr>
        <w:t xml:space="preserve"> דאי החיוב זורע בכלאים הוא רק לאחר ההשרשה היה </w:t>
      </w:r>
      <w:r w:rsidRPr="00B32D57">
        <w:rPr>
          <w:rStyle w:val="aff4"/>
          <w:rFonts w:hint="cs"/>
          <w:vanish/>
          <w:rtl/>
        </w:rPr>
        <w:t>-</w:t>
      </w:r>
      <w:r w:rsidRPr="00373C7B">
        <w:rPr>
          <w:rStyle w:val="aff4"/>
          <w:rFonts w:hint="cs"/>
          <w:rtl/>
        </w:rPr>
        <w:t>להרמב"ם</w:t>
      </w:r>
      <w:r w:rsidRPr="00B32D57">
        <w:rPr>
          <w:rStyle w:val="aff4"/>
          <w:rFonts w:hint="cs"/>
          <w:vanish/>
          <w:rtl/>
        </w:rPr>
        <w:t>-</w:t>
      </w:r>
      <w:r>
        <w:rPr>
          <w:rFonts w:hint="cs"/>
          <w:rtl/>
        </w:rPr>
        <w:t xml:space="preserve"> לכתוב כן, וכן מבואר להדיא בדברי </w:t>
      </w:r>
      <w:r w:rsidRPr="00B32D57">
        <w:rPr>
          <w:rStyle w:val="aff4"/>
          <w:rFonts w:hint="cs"/>
          <w:vanish/>
          <w:rtl/>
        </w:rPr>
        <w:t>-</w:t>
      </w:r>
      <w:r w:rsidRPr="00373C7B">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Ref133267778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יד)</w:t>
      </w:r>
      <w:r>
        <w:rPr>
          <w:rStyle w:val="aff4"/>
          <w:vanish/>
          <w:rtl/>
        </w:rPr>
        <w:fldChar w:fldCharType="end"/>
      </w:r>
      <w:r>
        <w:rPr>
          <w:rStyle w:val="aff4"/>
          <w:rFonts w:hint="cs"/>
          <w:vanish/>
          <w:rtl/>
        </w:rPr>
        <w:t xml:space="preserve"> &gt;</w:t>
      </w:r>
      <w:r w:rsidRPr="00373C7B">
        <w:rPr>
          <w:rStyle w:val="aff4"/>
          <w:rFonts w:hint="cs"/>
          <w:rtl/>
        </w:rPr>
        <w:t>חינוך</w:t>
      </w:r>
      <w:r w:rsidRPr="00B32D57">
        <w:rPr>
          <w:rStyle w:val="aff4"/>
          <w:rFonts w:hint="cs"/>
          <w:vanish/>
          <w:rtl/>
        </w:rPr>
        <w:t>-</w:t>
      </w:r>
      <w:r>
        <w:rPr>
          <w:rFonts w:hint="cs"/>
          <w:rtl/>
        </w:rPr>
        <w:t xml:space="preserve"> </w:t>
      </w:r>
      <w:r w:rsidRPr="00277835">
        <w:rPr>
          <w:rStyle w:val="af2"/>
          <w:rFonts w:eastAsia="Guttman Hodes" w:hint="cs"/>
          <w:rtl/>
        </w:rPr>
        <w:t>(סוף מצוה תקמ"ח)</w:t>
      </w:r>
      <w:r w:rsidRPr="00BC6BCC">
        <w:rPr>
          <w:rFonts w:hint="cs"/>
          <w:vanish/>
          <w:rtl/>
        </w:rPr>
        <w:t xml:space="preserve"> </w:t>
      </w:r>
      <w:r>
        <w:rPr>
          <w:rFonts w:hint="cs"/>
          <w:vanish/>
          <w:rtl/>
        </w:rPr>
        <w:t>=</w:t>
      </w:r>
      <w:r>
        <w:rPr>
          <w:rFonts w:hint="cs"/>
          <w:rtl/>
        </w:rPr>
        <w:t xml:space="preserve"> דכתב דהחיוב בזורע כלאים הוא מיד בזריעה, וא"כ ה"ה בזורע בשבת.</w:t>
      </w:r>
      <w:bookmarkEnd w:id="597"/>
    </w:p>
    <w:p w14:paraId="26B3C1E7" w14:textId="77777777" w:rsidR="001C69A8" w:rsidRPr="00747170" w:rsidRDefault="001C69A8" w:rsidP="00747170">
      <w:pPr>
        <w:pStyle w:val="a2"/>
      </w:pPr>
      <w:r w:rsidRPr="00747170">
        <w:t>וגם בכלאים אם לא יהי' חייב רק אם נשרש הו"ל להר"מ להביא דין זה בכלאים כמו שמביא לענין דנאסרין. שוב האיר השי"ת את עיני וראיתי דמבואר כן להדיא בד' הרהמ"ח מצוה תקמ"ח בסוף המצוה כ' להדיא כדברינו. ועובר ע"ז וזרע כה"כ לוקה מדאורייתא מיד שזרען אבל לענין שיאסרו בהנאה אין אסורין מיד שזרען עד אחר השרשה וכמו שאמרו ז"ל כו' עכ"ל. מבואר להדיא כדברינו לענין כלאים. ובשויו"ט הדבר ברור כמ"ש לעיל</w:t>
      </w:r>
      <w:r w:rsidRPr="00747170">
        <w:rPr>
          <w:rFonts w:hint="cs"/>
        </w:rPr>
        <w:t>.</w:t>
      </w:r>
    </w:p>
    <w:p w14:paraId="59227151" w14:textId="77777777" w:rsidR="001C69A8" w:rsidRPr="0000488C" w:rsidRDefault="001C69A8" w:rsidP="00747170">
      <w:pPr>
        <w:pStyle w:val="afffff5"/>
      </w:pPr>
      <w:r w:rsidRPr="0000488C">
        <w:rPr>
          <w:rtl/>
        </w:rPr>
        <w:t xml:space="preserve">ועובר על זה וזרע חטה ושעורה וחרצן במפולת יד, בארץ לוקה מדאוריתא מיד שזרען, ובחוצה לארץ לוקה מכת מרדות מדרבנן. אבל לענין שיאסרו בהנאה אינם אסורים מיד שזרען עד אחר השרשה, וכמו שאמרו זכרונם לברכה </w:t>
      </w:r>
      <w:r>
        <w:rPr>
          <w:rtl/>
        </w:rPr>
        <w:t>[</w:t>
      </w:r>
      <w:r w:rsidRPr="0000488C">
        <w:rPr>
          <w:rtl/>
        </w:rPr>
        <w:t>פסחים כ"ה ע"א] זרוע מעיקרו בהשרשה, זרוע ובא בתוספת.</w:t>
      </w:r>
    </w:p>
    <w:p w14:paraId="19620552" w14:textId="619EDB2E" w:rsidR="001C69A8" w:rsidRDefault="001C69A8" w:rsidP="001C69A8">
      <w:pPr>
        <w:pStyle w:val="1"/>
        <w:rPr>
          <w:rtl/>
        </w:rPr>
      </w:pPr>
      <w:bookmarkStart w:id="598" w:name="_Toc134347614"/>
      <w:r>
        <w:rPr>
          <w:rFonts w:hint="cs"/>
          <w:rtl/>
        </w:rPr>
        <w:t>בי' המנ"ח דהזורע ע"מ ללקט ג"כ חייב ככותב ע"מ למחוק</w:t>
      </w:r>
      <w:bookmarkEnd w:id="598"/>
    </w:p>
    <w:p w14:paraId="6072ECE9" w14:textId="77777777" w:rsidR="001C69A8" w:rsidRDefault="001C69A8" w:rsidP="001C69A8">
      <w:pPr>
        <w:pStyle w:val="afffff7"/>
        <w:rPr>
          <w:rtl/>
        </w:rPr>
      </w:pPr>
      <w:bookmarkStart w:id="599" w:name="_Toc134550177"/>
      <w:bookmarkStart w:id="600" w:name="_Toc163505469"/>
      <w:r>
        <w:rPr>
          <w:rtl/>
        </w:rPr>
        <w:t xml:space="preserve">מנחת חינוך מוסך השבת </w:t>
      </w:r>
      <w:r>
        <w:rPr>
          <w:rFonts w:hint="cs"/>
          <w:rtl/>
        </w:rPr>
        <w:t>זורע ד"ה והנה</w:t>
      </w:r>
      <w:r w:rsidRPr="00B12E77">
        <w:rPr>
          <w:rtl/>
        </w:rPr>
        <w:t>, ד"ה ונראה פשוט</w:t>
      </w:r>
      <w:bookmarkEnd w:id="599"/>
      <w:bookmarkEnd w:id="600"/>
    </w:p>
    <w:p w14:paraId="33F7837B" w14:textId="77777777" w:rsidR="001C69A8" w:rsidRDefault="001C69A8" w:rsidP="001C69A8">
      <w:pPr>
        <w:pStyle w:val="a7"/>
        <w:rPr>
          <w:rtl/>
        </w:rPr>
      </w:pPr>
      <w:bookmarkStart w:id="601" w:name="_Toc134347615"/>
      <w:r>
        <w:rPr>
          <w:rFonts w:hint="cs"/>
          <w:rtl/>
        </w:rPr>
        <w:t>בי' המנ"ח דזורע חייב אף בהתקלקל הזרע וה"ה זורע במקום הראוי להצמיח ע"מ ליטלו מיד חייב</w:t>
      </w:r>
      <w:bookmarkEnd w:id="601"/>
    </w:p>
    <w:p w14:paraId="397BE18C" w14:textId="695D4DB0" w:rsidR="001C69A8" w:rsidRPr="00150E64" w:rsidRDefault="001C69A8" w:rsidP="00BC7DC8">
      <w:pPr>
        <w:pStyle w:val="a3"/>
        <w:rPr>
          <w:rtl/>
        </w:rPr>
      </w:pPr>
      <w:bookmarkStart w:id="602" w:name="_Ref133267858"/>
      <w:r>
        <w:rPr>
          <w:rFonts w:hint="cs"/>
          <w:rtl/>
        </w:rPr>
        <w:t xml:space="preserve">ועוד כתב </w:t>
      </w:r>
      <w:r w:rsidRPr="00D82844">
        <w:rPr>
          <w:rStyle w:val="aff4"/>
          <w:rFonts w:hint="cs"/>
          <w:vanish/>
          <w:rtl/>
        </w:rPr>
        <w:t>-</w:t>
      </w:r>
      <w:r w:rsidRPr="003B4E24">
        <w:rPr>
          <w:rStyle w:val="aff4"/>
          <w:rFonts w:hint="cs"/>
          <w:rtl/>
        </w:rPr>
        <w:t>ה</w:t>
      </w:r>
      <w:r w:rsidRPr="00D82844">
        <w:rPr>
          <w:rStyle w:val="aff4"/>
          <w:rFonts w:hint="cs"/>
          <w:vanish/>
          <w:rtl/>
        </w:rPr>
        <w:t xml:space="preserve">&lt;. </w:t>
      </w:r>
      <w:r w:rsidRPr="00D82844">
        <w:rPr>
          <w:rStyle w:val="aff4"/>
          <w:vanish/>
          <w:rtl/>
        </w:rPr>
        <w:fldChar w:fldCharType="begin"/>
      </w:r>
      <w:r w:rsidRPr="00D82844">
        <w:rPr>
          <w:rStyle w:val="aff4"/>
          <w:vanish/>
          <w:rtl/>
        </w:rPr>
        <w:instrText xml:space="preserve"> </w:instrText>
      </w:r>
      <w:r w:rsidRPr="00D82844">
        <w:rPr>
          <w:rStyle w:val="aff4"/>
          <w:rFonts w:hint="cs"/>
          <w:vanish/>
        </w:rPr>
        <w:instrText>REF</w:instrText>
      </w:r>
      <w:r w:rsidRPr="00D82844">
        <w:rPr>
          <w:rStyle w:val="aff4"/>
          <w:rFonts w:hint="cs"/>
          <w:vanish/>
          <w:rtl/>
        </w:rPr>
        <w:instrText xml:space="preserve"> _</w:instrText>
      </w:r>
      <w:r w:rsidRPr="00D82844">
        <w:rPr>
          <w:rStyle w:val="aff4"/>
          <w:rFonts w:hint="cs"/>
          <w:vanish/>
        </w:rPr>
        <w:instrText>Ref133267858 \r \h</w:instrText>
      </w:r>
      <w:r w:rsidRPr="00D82844">
        <w:rPr>
          <w:rStyle w:val="aff4"/>
          <w:vanish/>
          <w:rtl/>
        </w:rPr>
        <w:instrText xml:space="preserve"> </w:instrText>
      </w:r>
      <w:r w:rsidRPr="00D82844">
        <w:rPr>
          <w:rStyle w:val="aff4"/>
          <w:vanish/>
          <w:rtl/>
        </w:rPr>
      </w:r>
      <w:r w:rsidRPr="00D82844">
        <w:rPr>
          <w:rStyle w:val="aff4"/>
          <w:vanish/>
          <w:rtl/>
        </w:rPr>
        <w:fldChar w:fldCharType="separate"/>
      </w:r>
      <w:r w:rsidR="00D82181">
        <w:rPr>
          <w:rStyle w:val="aff4"/>
          <w:vanish/>
          <w:cs/>
        </w:rPr>
        <w:t>‎</w:t>
      </w:r>
      <w:r w:rsidR="00D82181">
        <w:rPr>
          <w:rStyle w:val="aff4"/>
          <w:vanish/>
          <w:rtl/>
        </w:rPr>
        <w:t>טו)</w:t>
      </w:r>
      <w:r w:rsidRPr="00D82844">
        <w:rPr>
          <w:rStyle w:val="aff4"/>
          <w:vanish/>
          <w:rtl/>
        </w:rPr>
        <w:fldChar w:fldCharType="end"/>
      </w:r>
      <w:r w:rsidRPr="00D82844">
        <w:rPr>
          <w:rStyle w:val="aff4"/>
          <w:rFonts w:hint="cs"/>
          <w:vanish/>
          <w:rtl/>
        </w:rPr>
        <w:t xml:space="preserve"> &gt;</w:t>
      </w:r>
      <w:r w:rsidRPr="003B4E24">
        <w:rPr>
          <w:rStyle w:val="aff4"/>
          <w:rFonts w:hint="cs"/>
          <w:rtl/>
        </w:rPr>
        <w:t>מנחת חינוך</w:t>
      </w:r>
      <w:r w:rsidRPr="00D82844">
        <w:rPr>
          <w:rStyle w:val="aff4"/>
          <w:rFonts w:hint="cs"/>
          <w:vanish/>
          <w:rtl/>
        </w:rPr>
        <w:t>-</w:t>
      </w:r>
      <w:r>
        <w:rPr>
          <w:rFonts w:hint="cs"/>
          <w:rtl/>
        </w:rPr>
        <w:t xml:space="preserve"> </w:t>
      </w:r>
      <w:r w:rsidRPr="00D82844">
        <w:rPr>
          <w:rStyle w:val="af2"/>
          <w:rFonts w:eastAsia="Guttman Hodes" w:hint="cs"/>
          <w:rtl/>
        </w:rPr>
        <w:t>(מוסך השבת זורע ד"ה והנה, ד"ה ונראה פשוט)</w:t>
      </w:r>
      <w:r w:rsidRPr="00D82844">
        <w:rPr>
          <w:rFonts w:hint="cs"/>
          <w:vanish/>
          <w:rtl/>
        </w:rPr>
        <w:t>=</w:t>
      </w:r>
      <w:r>
        <w:rPr>
          <w:rFonts w:hint="cs"/>
          <w:rtl/>
        </w:rPr>
        <w:t xml:space="preserve"> דכיון דהחיוב בזורע הוא במעשה הזריעה עצמה, לכן אף אם הזרע התקלקל אחר הזריעה חייב,</w:t>
      </w:r>
      <w:r w:rsidRPr="00B12E77">
        <w:rPr>
          <w:rFonts w:hint="cs"/>
          <w:rtl/>
        </w:rPr>
        <w:t xml:space="preserve"> </w:t>
      </w:r>
      <w:r>
        <w:rPr>
          <w:rFonts w:hint="cs"/>
          <w:rtl/>
        </w:rPr>
        <w:t xml:space="preserve">והוסיף </w:t>
      </w:r>
      <w:r w:rsidRPr="00D82844">
        <w:rPr>
          <w:rStyle w:val="aff4"/>
          <w:rFonts w:hint="cs"/>
          <w:vanish/>
          <w:rtl/>
        </w:rPr>
        <w:t>-</w:t>
      </w:r>
      <w:r w:rsidRPr="003B4E24">
        <w:rPr>
          <w:rStyle w:val="aff4"/>
          <w:rFonts w:hint="cs"/>
          <w:rtl/>
        </w:rPr>
        <w:t>ה</w:t>
      </w:r>
      <w:r w:rsidRPr="00D82844">
        <w:rPr>
          <w:rStyle w:val="aff4"/>
          <w:rFonts w:hint="cs"/>
          <w:vanish/>
          <w:rtl/>
        </w:rPr>
        <w:t>&lt; &gt;</w:t>
      </w:r>
      <w:r w:rsidRPr="003B4E24">
        <w:rPr>
          <w:rStyle w:val="aff4"/>
          <w:rFonts w:hint="cs"/>
          <w:rtl/>
        </w:rPr>
        <w:t>מנחת חינוך</w:t>
      </w:r>
      <w:r w:rsidRPr="00D82844">
        <w:rPr>
          <w:rStyle w:val="aff4"/>
          <w:rFonts w:hint="cs"/>
          <w:vanish/>
          <w:rtl/>
        </w:rPr>
        <w:t>-</w:t>
      </w:r>
      <w:r>
        <w:rPr>
          <w:rFonts w:hint="cs"/>
          <w:rtl/>
        </w:rPr>
        <w:t xml:space="preserve"> </w:t>
      </w:r>
      <w:r w:rsidRPr="00D82844">
        <w:rPr>
          <w:rStyle w:val="af2"/>
          <w:rFonts w:eastAsia="Guttman Hodes" w:hint="cs"/>
          <w:rtl/>
        </w:rPr>
        <w:t xml:space="preserve">(מצוה רח"צ י"ד ד"ה </w:t>
      </w:r>
      <w:r w:rsidRPr="00D82844">
        <w:rPr>
          <w:rStyle w:val="af2"/>
          <w:rFonts w:eastAsia="Guttman Hodes"/>
          <w:rtl/>
        </w:rPr>
        <w:t>ע</w:t>
      </w:r>
      <w:r w:rsidRPr="00D82844">
        <w:rPr>
          <w:rStyle w:val="af2"/>
          <w:rFonts w:eastAsia="Guttman Hodes" w:hint="cs"/>
          <w:rtl/>
        </w:rPr>
        <w:t>ל כרחך, מוסך השבת זורע ד"ה והנה, ד"ה ונראה פשוט)</w:t>
      </w:r>
      <w:r w:rsidRPr="00D82844">
        <w:rPr>
          <w:rFonts w:hint="cs"/>
          <w:vanish/>
          <w:rtl/>
        </w:rPr>
        <w:t>=</w:t>
      </w:r>
      <w:r>
        <w:rPr>
          <w:rFonts w:hint="cs"/>
          <w:rtl/>
        </w:rPr>
        <w:t xml:space="preserve"> דאף אם זרע ע"מ ליטלו מיד מהקרקע ולא יצמח כלל, מ"מ חייב, דהאיסור הוא על מעשה זריעה במקום שראוי לצמוח, והוא כבונה ע"מ לסתור או כותב ע"מ למחוק דודאי חייב. </w:t>
      </w:r>
      <w:r>
        <w:rPr>
          <w:rStyle w:val="af"/>
          <w:rFonts w:hint="cs"/>
          <w:rtl/>
        </w:rPr>
        <w:t>[</w:t>
      </w:r>
      <w:r w:rsidRPr="00277835">
        <w:rPr>
          <w:rStyle w:val="af"/>
          <w:rFonts w:hint="cs"/>
          <w:rtl/>
        </w:rPr>
        <w:t xml:space="preserve">אך כתב </w:t>
      </w:r>
      <w:r w:rsidRPr="00D82844">
        <w:rPr>
          <w:rStyle w:val="aff9"/>
          <w:rFonts w:hint="cs"/>
          <w:vanish/>
          <w:rtl/>
        </w:rPr>
        <w:t>-</w:t>
      </w:r>
      <w:r w:rsidRPr="00277835">
        <w:rPr>
          <w:rStyle w:val="aff9"/>
          <w:rFonts w:hint="cs"/>
          <w:rtl/>
        </w:rPr>
        <w:t>המנחת חינוך בהגה"ה בקומץ המנחה</w:t>
      </w:r>
      <w:r w:rsidRPr="00D82844">
        <w:rPr>
          <w:rStyle w:val="aff9"/>
          <w:rFonts w:hint="cs"/>
          <w:vanish/>
          <w:rtl/>
        </w:rPr>
        <w:t>-</w:t>
      </w:r>
      <w:r w:rsidRPr="00277835">
        <w:rPr>
          <w:rStyle w:val="af"/>
          <w:rFonts w:hint="cs"/>
          <w:rtl/>
        </w:rPr>
        <w:t xml:space="preserve"> דיש מחלוקת בירושלמי </w:t>
      </w:r>
      <w:r w:rsidRPr="00277835">
        <w:rPr>
          <w:rStyle w:val="aff0"/>
          <w:rFonts w:hint="cs"/>
          <w:rtl/>
        </w:rPr>
        <w:t xml:space="preserve">(פ"ז ה"ב, </w:t>
      </w:r>
      <w:r w:rsidRPr="00277835">
        <w:rPr>
          <w:rStyle w:val="aff0"/>
          <w:rFonts w:hint="cs"/>
          <w:rtl/>
        </w:rPr>
        <w:t>נב.)</w:t>
      </w:r>
      <w:r w:rsidRPr="00277835">
        <w:rPr>
          <w:rStyle w:val="af"/>
          <w:rFonts w:hint="cs"/>
          <w:rtl/>
        </w:rPr>
        <w:t xml:space="preserve"> אי בנין לשעה הוי בנין, והביא </w:t>
      </w:r>
      <w:r w:rsidRPr="00D82844">
        <w:rPr>
          <w:rStyle w:val="aff9"/>
          <w:rFonts w:hint="cs"/>
          <w:vanish/>
          <w:rtl/>
        </w:rPr>
        <w:t>-</w:t>
      </w:r>
      <w:r w:rsidRPr="00277835">
        <w:rPr>
          <w:rStyle w:val="aff9"/>
          <w:rFonts w:hint="cs"/>
          <w:rtl/>
        </w:rPr>
        <w:t>המנחת חינוך</w:t>
      </w:r>
      <w:r w:rsidRPr="00D82844">
        <w:rPr>
          <w:rStyle w:val="aff9"/>
          <w:rFonts w:hint="cs"/>
          <w:vanish/>
          <w:rtl/>
        </w:rPr>
        <w:t>-</w:t>
      </w:r>
      <w:r w:rsidRPr="00277835">
        <w:rPr>
          <w:rStyle w:val="af"/>
          <w:rFonts w:hint="cs"/>
          <w:rtl/>
        </w:rPr>
        <w:t xml:space="preserve"> את דברי </w:t>
      </w:r>
      <w:r w:rsidRPr="00D82844">
        <w:rPr>
          <w:rStyle w:val="aff9"/>
          <w:rFonts w:hint="cs"/>
          <w:vanish/>
          <w:rtl/>
        </w:rPr>
        <w:t>-</w:t>
      </w:r>
      <w:r w:rsidRPr="00277835">
        <w:rPr>
          <w:rStyle w:val="aff9"/>
          <w:rFonts w:hint="cs"/>
          <w:rtl/>
        </w:rPr>
        <w:t>הפנ"י ב</w:t>
      </w:r>
      <w:r w:rsidRPr="00277835">
        <w:rPr>
          <w:rStyle w:val="aff9"/>
          <w:rtl/>
        </w:rPr>
        <w:t>ביצה</w:t>
      </w:r>
      <w:r w:rsidRPr="00D82844">
        <w:rPr>
          <w:rStyle w:val="aff9"/>
          <w:rFonts w:hint="cs"/>
          <w:vanish/>
          <w:rtl/>
        </w:rPr>
        <w:t>-</w:t>
      </w:r>
      <w:r w:rsidRPr="00277835">
        <w:rPr>
          <w:rStyle w:val="af"/>
          <w:rtl/>
        </w:rPr>
        <w:t xml:space="preserve"> </w:t>
      </w:r>
      <w:r w:rsidRPr="00277835">
        <w:rPr>
          <w:rStyle w:val="aff0"/>
          <w:rFonts w:hint="cs"/>
          <w:rtl/>
        </w:rPr>
        <w:t>(</w:t>
      </w:r>
      <w:r w:rsidRPr="00277835">
        <w:rPr>
          <w:rStyle w:val="aff0"/>
          <w:rtl/>
        </w:rPr>
        <w:t>י"ב</w:t>
      </w:r>
      <w:r w:rsidRPr="00277835">
        <w:rPr>
          <w:rStyle w:val="aff0"/>
          <w:rFonts w:hint="cs"/>
          <w:rtl/>
        </w:rPr>
        <w:t xml:space="preserve">. </w:t>
      </w:r>
      <w:r w:rsidRPr="00277835">
        <w:rPr>
          <w:rStyle w:val="aff0"/>
          <w:rtl/>
        </w:rPr>
        <w:t>ד"ה אבל</w:t>
      </w:r>
      <w:r w:rsidRPr="00277835">
        <w:rPr>
          <w:rStyle w:val="aff0"/>
          <w:rFonts w:hint="cs"/>
          <w:rtl/>
        </w:rPr>
        <w:t>)</w:t>
      </w:r>
      <w:r w:rsidRPr="00277835">
        <w:rPr>
          <w:rStyle w:val="af"/>
          <w:rFonts w:hint="cs"/>
          <w:rtl/>
        </w:rPr>
        <w:t xml:space="preserve"> דכתב בפשיטות דבנין לשעה פטור]</w:t>
      </w:r>
      <w:r w:rsidRPr="00563D63">
        <w:rPr>
          <w:rStyle w:val="af"/>
          <w:rFonts w:hint="cs"/>
          <w:rtl/>
        </w:rPr>
        <w:t>.</w:t>
      </w:r>
    </w:p>
    <w:p w14:paraId="608885DC" w14:textId="77777777" w:rsidR="001C69A8" w:rsidRPr="00747170" w:rsidRDefault="001C69A8" w:rsidP="00747170">
      <w:pPr>
        <w:pStyle w:val="a2"/>
      </w:pPr>
      <w:r w:rsidRPr="00747170">
        <w:t>והנה מלאכת הזריעה אם זורע במקום שראוי לצמוח וז"פ. וכבר בררנו לקמן היו"ט דעל הזריע' שזרע חייב אף בלא השריש ונקלט כלל כגון שנתקלקל תיכף ע"י איזה סיבה או שתיכף הגביה מן הקרקע חייב על מעשה הזריעה ול"ד לאפי' דקודם שנאפה א"ח כמבואר בש"ס התירו לרדותה קודם שתאפה כדי שלא יבא וכו' דהתם האפי' הוא המלאכה וחייב בשעת אפי' אבל הכא המלאכ' היא הזריע' וחייב תיכף על הזריע'.</w:t>
      </w:r>
      <w:r w:rsidRPr="00747170">
        <w:rPr>
          <w:rFonts w:hint="cs"/>
        </w:rPr>
        <w:t xml:space="preserve"> </w:t>
      </w:r>
      <w:bookmarkEnd w:id="602"/>
      <w:r w:rsidRPr="00747170">
        <w:t>כמש"ל ה' יום טוב ועשו"ע סי' שי"א והד' ברורים כמש"ל</w:t>
      </w:r>
      <w:r w:rsidRPr="00747170">
        <w:rPr>
          <w:rFonts w:hint="cs"/>
        </w:rPr>
        <w:t>.</w:t>
      </w:r>
    </w:p>
    <w:p w14:paraId="70842621" w14:textId="77777777" w:rsidR="001C69A8" w:rsidRPr="0000488C" w:rsidRDefault="001C69A8" w:rsidP="00747170">
      <w:pPr>
        <w:pStyle w:val="afffff5"/>
        <w:rPr>
          <w:rtl/>
        </w:rPr>
      </w:pPr>
      <w:r w:rsidRPr="0000488C">
        <w:rPr>
          <w:rtl/>
        </w:rPr>
        <w:t xml:space="preserve">ונ"פ אפילו אם זרע אדעתא להגביה תיכף מן הקרקע ולא יצמח כלל מ"מ מעשה הזריעה במקום צמיחה אסרה התורה וזה הו"ל מלאכ' א"כ הו"ל כבונה ע"מ לסתור או כותב ע"מ למחוק דודאי חייב על המעשה ה"נ כנ"ב. /קומץ המנחה/ </w:t>
      </w:r>
      <w:r>
        <w:rPr>
          <w:rtl/>
        </w:rPr>
        <w:t>[</w:t>
      </w:r>
      <w:r w:rsidRPr="0000488C">
        <w:rPr>
          <w:rtl/>
        </w:rPr>
        <w:t xml:space="preserve">שוב] הראו לי שהוא פלוגתא בירושלמי פרק כלל גדול </w:t>
      </w:r>
      <w:r>
        <w:rPr>
          <w:rtl/>
        </w:rPr>
        <w:t>[</w:t>
      </w:r>
      <w:r w:rsidRPr="0000488C">
        <w:rPr>
          <w:rtl/>
        </w:rPr>
        <w:t xml:space="preserve">סוף ה"ב] ופרק הבונה </w:t>
      </w:r>
      <w:r>
        <w:rPr>
          <w:rtl/>
        </w:rPr>
        <w:t>[</w:t>
      </w:r>
      <w:r w:rsidRPr="0000488C">
        <w:rPr>
          <w:rtl/>
        </w:rPr>
        <w:t xml:space="preserve">ה"א] אי בנין לשעה חייב, ופליגי אי המשכן הוי בנין לשעה, עי"ש. ואמנם בפני יהושע בסוגיא דמתוך </w:t>
      </w:r>
      <w:r>
        <w:rPr>
          <w:rtl/>
        </w:rPr>
        <w:t>[</w:t>
      </w:r>
      <w:r w:rsidRPr="0000488C">
        <w:rPr>
          <w:rtl/>
        </w:rPr>
        <w:t>ביצה י"ב ע"א ד"ה אבל] כתב בפשיטות דבנין לשעה פטור, ומיישב בזה הא דלא אמרינן דבונה ביום טוב מותר משום מתוך דמותר לגבן ביום טוב, משום דמגבן הוי בנין לשעה, עי"ש. ודבריו צ"ע דהרי הר"מ פסק דמגבן חייב ביום טוב, וגם לא הוי כירושלמי וצ"ע.</w:t>
      </w:r>
    </w:p>
    <w:p w14:paraId="18B7BEB2" w14:textId="77777777" w:rsidR="001C69A8" w:rsidRPr="002A40DA" w:rsidRDefault="001C69A8" w:rsidP="001C69A8">
      <w:pPr>
        <w:pStyle w:val="afffffb"/>
        <w:rPr>
          <w:vanish/>
          <w:rtl/>
        </w:rPr>
      </w:pPr>
      <w:r w:rsidRPr="002A40DA">
        <w:rPr>
          <w:vanish/>
          <w:rtl/>
        </w:rPr>
        <w:t>מנחת חינוך מצוה רצ</w:t>
      </w:r>
      <w:r w:rsidRPr="002A40DA">
        <w:rPr>
          <w:rFonts w:hint="cs"/>
          <w:vanish/>
          <w:rtl/>
        </w:rPr>
        <w:t>"</w:t>
      </w:r>
      <w:r w:rsidRPr="002A40DA">
        <w:rPr>
          <w:vanish/>
          <w:rtl/>
        </w:rPr>
        <w:t xml:space="preserve">ח אות </w:t>
      </w:r>
      <w:r w:rsidRPr="002A40DA">
        <w:rPr>
          <w:rFonts w:hint="cs"/>
          <w:vanish/>
          <w:rtl/>
        </w:rPr>
        <w:t xml:space="preserve">י"ד ד"ה </w:t>
      </w:r>
      <w:r w:rsidRPr="002A40DA">
        <w:rPr>
          <w:vanish/>
          <w:rtl/>
        </w:rPr>
        <w:t>ע</w:t>
      </w:r>
      <w:r w:rsidRPr="002A40DA">
        <w:rPr>
          <w:rFonts w:hint="cs"/>
          <w:vanish/>
          <w:rtl/>
        </w:rPr>
        <w:t>ל כרחך</w:t>
      </w:r>
    </w:p>
    <w:p w14:paraId="5C1B6C22" w14:textId="77777777" w:rsidR="001C69A8" w:rsidRPr="0000488C" w:rsidRDefault="001C69A8" w:rsidP="00747170">
      <w:pPr>
        <w:pStyle w:val="afffff5"/>
      </w:pPr>
      <w:r w:rsidRPr="0000488C">
        <w:rPr>
          <w:rtl/>
        </w:rPr>
        <w:t>א"כ לפ"ז אם לקט מן הארץ תיכף אחר הזריעה בודאי חייב דהרי נגמרה מלאכתו בזריעה לחוד וע"ז חייבה התורה והוי כמו כותב ומוחק תיכף או אפילו כותב ע"מ למחוק תיכף בודאי חייב</w:t>
      </w:r>
      <w:r w:rsidRPr="0000488C">
        <w:rPr>
          <w:rFonts w:hint="cs"/>
          <w:rtl/>
        </w:rPr>
        <w:t>.</w:t>
      </w:r>
    </w:p>
    <w:p w14:paraId="23103A68" w14:textId="25E24B45" w:rsidR="001C69A8" w:rsidRDefault="001C69A8" w:rsidP="001C69A8">
      <w:pPr>
        <w:pStyle w:val="1"/>
        <w:rPr>
          <w:rtl/>
        </w:rPr>
      </w:pPr>
      <w:bookmarkStart w:id="603" w:name="_Toc134347616"/>
      <w:r>
        <w:rPr>
          <w:rFonts w:hint="cs"/>
          <w:rtl/>
        </w:rPr>
        <w:t>בי' המגן אבות והאגל"ט דזורע בכוונה שיקלט הוא גורם השרשה</w:t>
      </w:r>
      <w:bookmarkEnd w:id="603"/>
    </w:p>
    <w:p w14:paraId="409D6A65" w14:textId="77777777" w:rsidR="001C69A8" w:rsidRDefault="001C69A8" w:rsidP="001C69A8">
      <w:pPr>
        <w:pStyle w:val="afffff7"/>
        <w:rPr>
          <w:rtl/>
        </w:rPr>
      </w:pPr>
      <w:bookmarkStart w:id="604" w:name="_Toc134550178"/>
      <w:bookmarkStart w:id="605" w:name="_Toc163505470"/>
      <w:r w:rsidRPr="00FA0C2A">
        <w:rPr>
          <w:rtl/>
        </w:rPr>
        <w:t>אגלי טל באורים מלאכת זורע סק"</w:t>
      </w:r>
      <w:r>
        <w:rPr>
          <w:rFonts w:hint="cs"/>
          <w:rtl/>
        </w:rPr>
        <w:t>ח אות ח</w:t>
      </w:r>
      <w:bookmarkEnd w:id="604"/>
      <w:bookmarkEnd w:id="605"/>
    </w:p>
    <w:p w14:paraId="72076A86" w14:textId="77777777" w:rsidR="001C69A8" w:rsidRPr="00E90D05" w:rsidRDefault="001C69A8" w:rsidP="001C69A8">
      <w:pPr>
        <w:pStyle w:val="a7"/>
        <w:rPr>
          <w:rtl/>
        </w:rPr>
      </w:pPr>
      <w:bookmarkStart w:id="606" w:name="_Toc134347617"/>
      <w:r>
        <w:rPr>
          <w:rFonts w:hint="cs"/>
          <w:rtl/>
        </w:rPr>
        <w:t>בי' האגל"ט דמוכח בירושלמי ובחינוך דבליקט לפני השרשה חייב דהחיוב נגמר בשעת הזריעה</w:t>
      </w:r>
      <w:bookmarkEnd w:id="606"/>
    </w:p>
    <w:p w14:paraId="218E7B9C" w14:textId="402AE494" w:rsidR="001C69A8" w:rsidRDefault="001C69A8" w:rsidP="00BC7DC8">
      <w:pPr>
        <w:pStyle w:val="a3"/>
      </w:pPr>
      <w:bookmarkStart w:id="607" w:name="_Ref133266793"/>
      <w:r>
        <w:rPr>
          <w:rFonts w:hint="cs"/>
          <w:rtl/>
        </w:rPr>
        <w:t xml:space="preserve">במ"ש </w:t>
      </w:r>
      <w:r w:rsidRPr="00E87CC9">
        <w:rPr>
          <w:rStyle w:val="aff4"/>
          <w:rFonts w:hint="cs"/>
          <w:vanish/>
          <w:rtl/>
        </w:rPr>
        <w:t>-</w:t>
      </w:r>
      <w:r w:rsidRPr="003B4E24">
        <w:rPr>
          <w:rStyle w:val="aff4"/>
          <w:rFonts w:hint="cs"/>
          <w:rtl/>
        </w:rPr>
        <w:t>הרש"ש</w:t>
      </w:r>
      <w:r w:rsidRPr="00E87CC9">
        <w:rPr>
          <w:rStyle w:val="aff4"/>
          <w:rFonts w:hint="cs"/>
          <w:vanish/>
          <w:rtl/>
        </w:rPr>
        <w:t>-</w:t>
      </w:r>
      <w:r>
        <w:rPr>
          <w:rFonts w:hint="cs"/>
          <w:rtl/>
        </w:rPr>
        <w:t xml:space="preserve"> </w:t>
      </w:r>
      <w:r w:rsidRPr="00277835">
        <w:rPr>
          <w:rStyle w:val="af2"/>
          <w:rFonts w:eastAsia="Guttman Hodes" w:hint="cs"/>
          <w:rtl/>
        </w:rPr>
        <w:t xml:space="preserve">(עי' אות </w:t>
      </w:r>
      <w:r w:rsidRPr="00277835">
        <w:rPr>
          <w:rStyle w:val="af2"/>
          <w:rFonts w:eastAsia="Guttman Hodes"/>
          <w:rtl/>
        </w:rPr>
        <w:fldChar w:fldCharType="begin"/>
      </w:r>
      <w:r w:rsidRPr="00277835">
        <w:rPr>
          <w:rStyle w:val="af2"/>
          <w:rFonts w:eastAsia="Guttman Hodes"/>
          <w:rtl/>
        </w:rPr>
        <w:instrText xml:space="preserve"> </w:instrText>
      </w:r>
      <w:r w:rsidRPr="00277835">
        <w:rPr>
          <w:rStyle w:val="af2"/>
          <w:rFonts w:eastAsia="Guttman Hodes" w:hint="cs"/>
        </w:rPr>
        <w:instrText>REF</w:instrText>
      </w:r>
      <w:r w:rsidRPr="00277835">
        <w:rPr>
          <w:rStyle w:val="af2"/>
          <w:rFonts w:eastAsia="Guttman Hodes" w:hint="cs"/>
          <w:rtl/>
        </w:rPr>
        <w:instrText xml:space="preserve"> _</w:instrText>
      </w:r>
      <w:r w:rsidRPr="00277835">
        <w:rPr>
          <w:rStyle w:val="af2"/>
          <w:rFonts w:eastAsia="Guttman Hodes" w:hint="cs"/>
        </w:rPr>
        <w:instrText>Ref133266181 \r \h</w:instrText>
      </w:r>
      <w:r w:rsidRPr="00277835">
        <w:rPr>
          <w:rStyle w:val="af2"/>
          <w:rFonts w:eastAsia="Guttman Hodes"/>
          <w:rtl/>
        </w:rPr>
        <w:instrText xml:space="preserve"> </w:instrText>
      </w:r>
      <w:r w:rsidRPr="00277835">
        <w:rPr>
          <w:rStyle w:val="af2"/>
          <w:rFonts w:eastAsia="Guttman Hodes"/>
          <w:rtl/>
        </w:rPr>
      </w:r>
      <w:r w:rsidRPr="00277835">
        <w:rPr>
          <w:rStyle w:val="af2"/>
          <w:rFonts w:eastAsia="Guttman Hodes"/>
          <w:rtl/>
        </w:rPr>
        <w:fldChar w:fldCharType="separate"/>
      </w:r>
      <w:r w:rsidR="00D82181">
        <w:rPr>
          <w:rStyle w:val="af2"/>
          <w:rFonts w:eastAsia="Guttman Hodes"/>
          <w:cs/>
        </w:rPr>
        <w:t>‎</w:t>
      </w:r>
      <w:r w:rsidR="00D82181">
        <w:rPr>
          <w:rStyle w:val="af2"/>
          <w:rFonts w:eastAsia="Guttman Hodes"/>
          <w:rtl/>
        </w:rPr>
        <w:t>מד)</w:t>
      </w:r>
      <w:r w:rsidRPr="00277835">
        <w:rPr>
          <w:rStyle w:val="af2"/>
          <w:rFonts w:eastAsia="Guttman Hodes"/>
          <w:rtl/>
        </w:rPr>
        <w:fldChar w:fldCharType="end"/>
      </w:r>
      <w:r>
        <w:rPr>
          <w:rFonts w:hint="cs"/>
          <w:rtl/>
        </w:rPr>
        <w:t xml:space="preserve"> דאם ליקט את הזרע לפני שהשריש פטור, דחה </w:t>
      </w:r>
      <w:r w:rsidRPr="00E87CC9">
        <w:rPr>
          <w:rStyle w:val="aff4"/>
          <w:rFonts w:hint="cs"/>
          <w:vanish/>
          <w:rtl/>
        </w:rPr>
        <w:t>-</w:t>
      </w:r>
      <w:r w:rsidRPr="003B4E24">
        <w:rPr>
          <w:rStyle w:val="aff4"/>
          <w:rFonts w:hint="cs"/>
          <w:rtl/>
        </w:rPr>
        <w:t>ה</w:t>
      </w:r>
      <w:r w:rsidRPr="00350A80">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Ref133266793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טז)</w:t>
      </w:r>
      <w:r>
        <w:rPr>
          <w:rStyle w:val="aff4"/>
          <w:vanish/>
          <w:rtl/>
        </w:rPr>
        <w:fldChar w:fldCharType="end"/>
      </w:r>
      <w:r w:rsidRPr="00350A80">
        <w:rPr>
          <w:rStyle w:val="aff4"/>
          <w:rFonts w:hint="cs"/>
          <w:vanish/>
          <w:rtl/>
        </w:rPr>
        <w:t xml:space="preserve"> &gt;</w:t>
      </w:r>
      <w:r w:rsidRPr="003B4E24">
        <w:rPr>
          <w:rStyle w:val="aff4"/>
          <w:rFonts w:hint="cs"/>
          <w:rtl/>
        </w:rPr>
        <w:t>אגלי טל</w:t>
      </w:r>
      <w:r w:rsidRPr="00E87CC9">
        <w:rPr>
          <w:rStyle w:val="aff4"/>
          <w:rFonts w:hint="cs"/>
          <w:vanish/>
          <w:rtl/>
        </w:rPr>
        <w:t>-</w:t>
      </w:r>
      <w:r>
        <w:rPr>
          <w:rFonts w:hint="cs"/>
          <w:rtl/>
        </w:rPr>
        <w:t xml:space="preserve"> </w:t>
      </w:r>
      <w:r w:rsidRPr="00277835">
        <w:rPr>
          <w:rStyle w:val="af2"/>
          <w:rFonts w:eastAsia="Guttman Hodes" w:hint="cs"/>
          <w:rtl/>
        </w:rPr>
        <w:t>(זורע סק"ח אות ח')</w:t>
      </w:r>
      <w:r w:rsidRPr="00350A80">
        <w:rPr>
          <w:rFonts w:hint="cs"/>
          <w:vanish/>
          <w:rtl/>
        </w:rPr>
        <w:t>=</w:t>
      </w:r>
      <w:r>
        <w:rPr>
          <w:rFonts w:hint="cs"/>
          <w:rtl/>
        </w:rPr>
        <w:t xml:space="preserve"> דמדברי </w:t>
      </w:r>
      <w:r w:rsidRPr="00E87CC9">
        <w:rPr>
          <w:rStyle w:val="aff4"/>
          <w:rFonts w:hint="cs"/>
          <w:vanish/>
          <w:rtl/>
        </w:rPr>
        <w:t>-</w:t>
      </w:r>
      <w:r w:rsidRPr="003B4E24">
        <w:rPr>
          <w:rStyle w:val="aff4"/>
          <w:rFonts w:hint="cs"/>
          <w:rtl/>
        </w:rPr>
        <w:t>החינוך</w:t>
      </w:r>
      <w:r w:rsidRPr="00E87CC9">
        <w:rPr>
          <w:rStyle w:val="aff4"/>
          <w:rFonts w:hint="cs"/>
          <w:vanish/>
          <w:rtl/>
        </w:rPr>
        <w:t>-</w:t>
      </w:r>
      <w:r>
        <w:rPr>
          <w:rFonts w:hint="cs"/>
          <w:rtl/>
        </w:rPr>
        <w:t xml:space="preserve"> </w:t>
      </w:r>
      <w:r w:rsidRPr="00277835">
        <w:rPr>
          <w:rStyle w:val="af2"/>
          <w:rFonts w:eastAsia="Guttman Hodes" w:hint="cs"/>
          <w:rtl/>
        </w:rPr>
        <w:t xml:space="preserve">(עי' אות </w:t>
      </w:r>
      <w:r w:rsidRPr="00277835">
        <w:rPr>
          <w:rStyle w:val="af2"/>
          <w:rFonts w:eastAsia="Guttman Hodes"/>
          <w:rtl/>
        </w:rPr>
        <w:fldChar w:fldCharType="begin"/>
      </w:r>
      <w:r w:rsidRPr="00277835">
        <w:rPr>
          <w:rStyle w:val="af2"/>
          <w:rFonts w:eastAsia="Guttman Hodes"/>
          <w:rtl/>
        </w:rPr>
        <w:instrText xml:space="preserve"> </w:instrText>
      </w:r>
      <w:r w:rsidRPr="00277835">
        <w:rPr>
          <w:rStyle w:val="af2"/>
          <w:rFonts w:eastAsia="Guttman Hodes" w:hint="cs"/>
        </w:rPr>
        <w:instrText>REF</w:instrText>
      </w:r>
      <w:r w:rsidRPr="00277835">
        <w:rPr>
          <w:rStyle w:val="af2"/>
          <w:rFonts w:eastAsia="Guttman Hodes" w:hint="cs"/>
          <w:rtl/>
        </w:rPr>
        <w:instrText xml:space="preserve"> _</w:instrText>
      </w:r>
      <w:r w:rsidRPr="00277835">
        <w:rPr>
          <w:rStyle w:val="af2"/>
          <w:rFonts w:eastAsia="Guttman Hodes" w:hint="cs"/>
        </w:rPr>
        <w:instrText>Ref133267778 \r \h</w:instrText>
      </w:r>
      <w:r w:rsidRPr="00277835">
        <w:rPr>
          <w:rStyle w:val="af2"/>
          <w:rFonts w:eastAsia="Guttman Hodes"/>
          <w:rtl/>
        </w:rPr>
        <w:instrText xml:space="preserve"> </w:instrText>
      </w:r>
      <w:r w:rsidRPr="00277835">
        <w:rPr>
          <w:rStyle w:val="af2"/>
          <w:rFonts w:eastAsia="Guttman Hodes"/>
          <w:rtl/>
        </w:rPr>
      </w:r>
      <w:r w:rsidRPr="00277835">
        <w:rPr>
          <w:rStyle w:val="af2"/>
          <w:rFonts w:eastAsia="Guttman Hodes"/>
          <w:rtl/>
        </w:rPr>
        <w:fldChar w:fldCharType="separate"/>
      </w:r>
      <w:r w:rsidR="00D82181">
        <w:rPr>
          <w:rStyle w:val="af2"/>
          <w:rFonts w:eastAsia="Guttman Hodes"/>
          <w:cs/>
        </w:rPr>
        <w:t>‎</w:t>
      </w:r>
      <w:r w:rsidR="00D82181">
        <w:rPr>
          <w:rStyle w:val="af2"/>
          <w:rFonts w:eastAsia="Guttman Hodes"/>
          <w:rtl/>
        </w:rPr>
        <w:t>יד)</w:t>
      </w:r>
      <w:r w:rsidRPr="00277835">
        <w:rPr>
          <w:rStyle w:val="af2"/>
          <w:rFonts w:eastAsia="Guttman Hodes"/>
          <w:rtl/>
        </w:rPr>
        <w:fldChar w:fldCharType="end"/>
      </w:r>
      <w:r>
        <w:rPr>
          <w:rFonts w:hint="cs"/>
          <w:rtl/>
        </w:rPr>
        <w:t xml:space="preserve"> מבואר דחייב, וכן מבואר מדברי הירושלמי בכלאים </w:t>
      </w:r>
      <w:r w:rsidRPr="00277835">
        <w:rPr>
          <w:rStyle w:val="af2"/>
          <w:rFonts w:eastAsia="Guttman Hodes" w:hint="cs"/>
          <w:rtl/>
        </w:rPr>
        <w:t>(פ"א ה"ט, ה.)</w:t>
      </w:r>
      <w:r>
        <w:rPr>
          <w:rFonts w:hint="cs"/>
          <w:rtl/>
        </w:rPr>
        <w:t xml:space="preserve">, וכתב </w:t>
      </w:r>
      <w:r w:rsidRPr="00E87CC9">
        <w:rPr>
          <w:rStyle w:val="aff4"/>
          <w:rFonts w:hint="cs"/>
          <w:vanish/>
          <w:rtl/>
        </w:rPr>
        <w:t>-</w:t>
      </w:r>
      <w:r w:rsidRPr="003B4E24">
        <w:rPr>
          <w:rStyle w:val="aff4"/>
          <w:rFonts w:hint="cs"/>
          <w:rtl/>
        </w:rPr>
        <w:t>האגלי טל</w:t>
      </w:r>
      <w:r w:rsidRPr="00E87CC9">
        <w:rPr>
          <w:rStyle w:val="aff4"/>
          <w:rFonts w:hint="cs"/>
          <w:vanish/>
          <w:rtl/>
        </w:rPr>
        <w:t>-</w:t>
      </w:r>
      <w:r>
        <w:rPr>
          <w:rFonts w:hint="cs"/>
          <w:rtl/>
        </w:rPr>
        <w:t xml:space="preserve"> דא"כ אף דהמדביק פת סמוך לחשיכה פטור, מ"מ זורע חייב כיון דחיוב זורע נגמר בשעת הזריעה עצמה ולא בהשרשה, כיון דהוא ראוי להקלט בקרקע וכוונתו שיקלט, ולא דמי לאופה דנגמר בשעת האפיה.</w:t>
      </w:r>
      <w:bookmarkEnd w:id="607"/>
    </w:p>
    <w:p w14:paraId="7228DCEC" w14:textId="77777777" w:rsidR="001C69A8" w:rsidRPr="00747170" w:rsidRDefault="001C69A8" w:rsidP="00747170">
      <w:pPr>
        <w:pStyle w:val="a2"/>
      </w:pPr>
      <w:r w:rsidRPr="00747170">
        <w:rPr>
          <w:rtl/>
        </w:rPr>
        <w:t>)</w:t>
      </w:r>
      <w:r w:rsidRPr="00747170">
        <w:t>ח( שוב יצא לאור חדושי הרש"ש בש"ס דפוס ווילנא. וראיתי שכתב [עג א[ שאם לקט הזרע קודם שקלט פטור למפרע ומדמה לה לרודה פת מן התנור קודם שתאפה. ולדידי מדברי החינוך ראי' ברורה להיפוך. וגם מדברי ירושלמי כלאים משמע להיפוך. ולפ"ז אין צריך לדחוק ולחלק בין סופן בשגגה בין סופן בחול. וכמו שסופו בשגגה פטור כן המדביק פת בתנור בשבת סמוך לחשיכה ולא נאפה עד מוצאי שבת פטור וחיוב זורע אף שנקלט בחול משום דהחיוב נגמר תיכף בשעת זריעה כיון שראוי שיקלוט והוא מתכוין לכך [שאם לא נתכוין לכך פטור דלא חשוב פסיק רישא כנ"ל[.</w:t>
      </w:r>
    </w:p>
    <w:p w14:paraId="24B02DFE" w14:textId="77777777" w:rsidR="001C69A8" w:rsidRPr="002F742F" w:rsidRDefault="001C69A8" w:rsidP="001C69A8">
      <w:pPr>
        <w:pStyle w:val="afffff7"/>
        <w:rPr>
          <w:rtl/>
        </w:rPr>
      </w:pPr>
      <w:bookmarkStart w:id="608" w:name="_Toc134550179"/>
      <w:bookmarkStart w:id="609" w:name="_Toc163505471"/>
      <w:r>
        <w:rPr>
          <w:rFonts w:hint="cs"/>
          <w:rtl/>
        </w:rPr>
        <w:t>מגן אבות זורע ד"ה הזורע</w:t>
      </w:r>
      <w:bookmarkStart w:id="610" w:name="_Hlk132279254"/>
      <w:bookmarkEnd w:id="608"/>
      <w:bookmarkEnd w:id="609"/>
    </w:p>
    <w:p w14:paraId="15E11E40" w14:textId="20DD920A" w:rsidR="001C69A8" w:rsidRPr="00331134" w:rsidRDefault="001C69A8" w:rsidP="001C69A8">
      <w:pPr>
        <w:pStyle w:val="a7"/>
      </w:pPr>
      <w:bookmarkStart w:id="611" w:name="_Toc134347618"/>
      <w:bookmarkEnd w:id="610"/>
      <w:r>
        <w:rPr>
          <w:rFonts w:hint="cs"/>
          <w:rtl/>
        </w:rPr>
        <w:t>בי' המגן אבות דחיוב זורע בלא השריש כיון דזורע על דעת שישריש והזריעה גורמת השרשה</w:t>
      </w:r>
      <w:bookmarkEnd w:id="611"/>
    </w:p>
    <w:p w14:paraId="785240D5" w14:textId="52F10F15" w:rsidR="001C69A8" w:rsidRDefault="001C69A8" w:rsidP="00BC7DC8">
      <w:pPr>
        <w:pStyle w:val="a3"/>
        <w:rPr>
          <w:rtl/>
        </w:rPr>
      </w:pPr>
      <w:bookmarkStart w:id="612" w:name="_Ref133266813"/>
      <w:r>
        <w:rPr>
          <w:rFonts w:hint="cs"/>
          <w:rtl/>
        </w:rPr>
        <w:t xml:space="preserve">והביא </w:t>
      </w:r>
      <w:r w:rsidRPr="00E87CC9">
        <w:rPr>
          <w:rStyle w:val="aff4"/>
          <w:rFonts w:hint="cs"/>
          <w:vanish/>
          <w:rtl/>
        </w:rPr>
        <w:t>-</w:t>
      </w:r>
      <w:r w:rsidRPr="003B4E24">
        <w:rPr>
          <w:rStyle w:val="aff4"/>
          <w:rFonts w:hint="cs"/>
          <w:rtl/>
        </w:rPr>
        <w:t>האגלי טל</w:t>
      </w:r>
      <w:r w:rsidRPr="00E87CC9">
        <w:rPr>
          <w:rStyle w:val="aff4"/>
          <w:rFonts w:hint="cs"/>
          <w:vanish/>
          <w:rtl/>
        </w:rPr>
        <w:t>-</w:t>
      </w:r>
      <w:r>
        <w:rPr>
          <w:rFonts w:hint="cs"/>
          <w:rtl/>
        </w:rPr>
        <w:t xml:space="preserve"> את דברי </w:t>
      </w:r>
      <w:r w:rsidRPr="00E87CC9">
        <w:rPr>
          <w:rStyle w:val="aff4"/>
          <w:rFonts w:hint="cs"/>
          <w:vanish/>
          <w:rtl/>
        </w:rPr>
        <w:t>-</w:t>
      </w:r>
      <w:r w:rsidRPr="003B4E24">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Ref133266813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יז)</w:t>
      </w:r>
      <w:r>
        <w:rPr>
          <w:rStyle w:val="aff4"/>
          <w:vanish/>
          <w:rtl/>
        </w:rPr>
        <w:fldChar w:fldCharType="end"/>
      </w:r>
      <w:r>
        <w:rPr>
          <w:rStyle w:val="aff4"/>
          <w:rFonts w:hint="cs"/>
          <w:vanish/>
          <w:rtl/>
        </w:rPr>
        <w:t xml:space="preserve"> &gt;</w:t>
      </w:r>
      <w:r w:rsidRPr="003B4E24">
        <w:rPr>
          <w:rStyle w:val="aff4"/>
          <w:rFonts w:hint="cs"/>
          <w:rtl/>
        </w:rPr>
        <w:t>מגן אבות</w:t>
      </w:r>
      <w:r w:rsidRPr="00E87CC9">
        <w:rPr>
          <w:rStyle w:val="aff4"/>
          <w:rFonts w:hint="cs"/>
          <w:vanish/>
          <w:rtl/>
        </w:rPr>
        <w:t>-</w:t>
      </w:r>
      <w:r>
        <w:rPr>
          <w:rFonts w:hint="cs"/>
          <w:rtl/>
        </w:rPr>
        <w:t xml:space="preserve"> </w:t>
      </w:r>
      <w:r w:rsidRPr="00277835">
        <w:rPr>
          <w:rStyle w:val="af2"/>
          <w:rFonts w:eastAsia="Guttman Hodes" w:hint="cs"/>
          <w:rtl/>
        </w:rPr>
        <w:t>(זורע ד"ה הזורע וכו', ודע)</w:t>
      </w:r>
      <w:r w:rsidRPr="00350A80">
        <w:rPr>
          <w:rFonts w:hint="cs"/>
          <w:vanish/>
          <w:rtl/>
        </w:rPr>
        <w:t>=</w:t>
      </w:r>
      <w:r>
        <w:rPr>
          <w:rFonts w:hint="cs"/>
          <w:rtl/>
        </w:rPr>
        <w:t xml:space="preserve"> דכתב דהחיוב בזורע הוא אף כשלא ישריש הזרע בשבת, דכיון שהזריעה היא על דעת שישריש אח"כ, ממילא חשיב שהזריע שזורע בשבת היא גורמת את ההשרשה, וזהו החיוב בזורע, וע"ע במ"ש בזה </w:t>
      </w:r>
      <w:r w:rsidRPr="00C50316">
        <w:rPr>
          <w:rStyle w:val="aff4"/>
          <w:rFonts w:hint="cs"/>
          <w:vanish/>
          <w:rtl/>
        </w:rPr>
        <w:t>-</w:t>
      </w:r>
      <w:r w:rsidRPr="00C50316">
        <w:rPr>
          <w:rStyle w:val="aff4"/>
          <w:rFonts w:hint="cs"/>
          <w:rtl/>
        </w:rPr>
        <w:t>ב</w:t>
      </w:r>
      <w:r w:rsidRPr="00C50316">
        <w:rPr>
          <w:rStyle w:val="aff4"/>
          <w:rFonts w:hint="cs"/>
          <w:vanish/>
          <w:rtl/>
        </w:rPr>
        <w:t>&lt; &gt;</w:t>
      </w:r>
      <w:r w:rsidRPr="00C50316">
        <w:rPr>
          <w:rStyle w:val="aff4"/>
          <w:rFonts w:hint="cs"/>
          <w:rtl/>
        </w:rPr>
        <w:t>אבני נזר</w:t>
      </w:r>
      <w:r w:rsidRPr="00C50316">
        <w:rPr>
          <w:rStyle w:val="aff4"/>
          <w:rFonts w:hint="cs"/>
          <w:vanish/>
          <w:rtl/>
        </w:rPr>
        <w:t>-</w:t>
      </w:r>
      <w:r>
        <w:rPr>
          <w:rFonts w:hint="cs"/>
          <w:rtl/>
        </w:rPr>
        <w:t xml:space="preserve"> </w:t>
      </w:r>
      <w:r w:rsidRPr="00C50316">
        <w:rPr>
          <w:rStyle w:val="af2"/>
          <w:rFonts w:eastAsia="Guttman Hodes" w:hint="cs"/>
          <w:rtl/>
        </w:rPr>
        <w:t>(או"ח סי' נ')</w:t>
      </w:r>
      <w:r w:rsidRPr="00C50316">
        <w:rPr>
          <w:rFonts w:hint="cs"/>
          <w:vanish/>
          <w:rtl/>
        </w:rPr>
        <w:t>=</w:t>
      </w:r>
      <w:r>
        <w:rPr>
          <w:rFonts w:hint="cs"/>
          <w:rtl/>
        </w:rPr>
        <w:t xml:space="preserve"> באריכות.</w:t>
      </w:r>
      <w:bookmarkEnd w:id="612"/>
    </w:p>
    <w:p w14:paraId="068E2571" w14:textId="77777777" w:rsidR="001C69A8" w:rsidRPr="00747170" w:rsidRDefault="001C69A8" w:rsidP="00747170">
      <w:pPr>
        <w:pStyle w:val="a2"/>
      </w:pPr>
      <w:r w:rsidRPr="00747170">
        <w:t xml:space="preserve">שוב ראיתי בספר מגן אבות וז"ל ודע דזריעה דחייב אף על גב שאין עתיד שישרש בשבת מ"מ כיון שזורע אדעתא שישרש וממילא ישרש הו"ל עכשיו זריעה הגורם השרשה חיובא דזריעה עכ"ל והוא כמ"ש: </w:t>
      </w:r>
    </w:p>
    <w:p w14:paraId="163F0F7C" w14:textId="77777777" w:rsidR="001C69A8" w:rsidRPr="0000488C" w:rsidRDefault="001C69A8" w:rsidP="00747170">
      <w:pPr>
        <w:pStyle w:val="afffff5"/>
        <w:rPr>
          <w:rtl/>
        </w:rPr>
      </w:pPr>
      <w:r w:rsidRPr="0000488C">
        <w:rPr>
          <w:rtl/>
        </w:rPr>
        <w:t>ודע דזריעה דחייב אף על גב שאין עתיד שישרש בשבת מכל מקום כיון שזורע אדעתא שישרש וממילא ישרש הוי ליה עכשיו זריעה הגורם השרשה חיובא דזריעה</w:t>
      </w:r>
      <w:r w:rsidRPr="0000488C">
        <w:rPr>
          <w:rFonts w:hint="cs"/>
          <w:rtl/>
        </w:rPr>
        <w:t>.</w:t>
      </w:r>
    </w:p>
    <w:p w14:paraId="0C41BAB4" w14:textId="1528D410" w:rsidR="001C69A8" w:rsidRPr="00A57713" w:rsidRDefault="001C69A8" w:rsidP="001C69A8">
      <w:pPr>
        <w:pStyle w:val="1"/>
        <w:rPr>
          <w:rtl/>
        </w:rPr>
      </w:pPr>
      <w:bookmarkStart w:id="613" w:name="_Toc134347619"/>
      <w:r>
        <w:rPr>
          <w:rFonts w:hint="cs"/>
          <w:rtl/>
        </w:rPr>
        <w:t>בי' האגל"ט דחיוב זורע הוא רק כשכוונתו שישרישו בקרקע</w:t>
      </w:r>
      <w:bookmarkEnd w:id="613"/>
    </w:p>
    <w:p w14:paraId="50A436C6" w14:textId="77777777" w:rsidR="001C69A8" w:rsidRDefault="001C69A8" w:rsidP="001C69A8">
      <w:pPr>
        <w:pStyle w:val="afffff7"/>
        <w:rPr>
          <w:rtl/>
        </w:rPr>
      </w:pPr>
      <w:bookmarkStart w:id="614" w:name="_Toc134550180"/>
      <w:bookmarkStart w:id="615" w:name="_Toc163505472"/>
      <w:r>
        <w:rPr>
          <w:rFonts w:hint="cs"/>
          <w:rtl/>
        </w:rPr>
        <w:t>אגלי טל זורע ס</w:t>
      </w:r>
      <w:r>
        <w:rPr>
          <w:rFonts w:cs="Guttman Hodes" w:hint="cs"/>
          <w:rtl/>
        </w:rPr>
        <w:t>"</w:t>
      </w:r>
      <w:r>
        <w:rPr>
          <w:rFonts w:hint="cs"/>
          <w:rtl/>
        </w:rPr>
        <w:t>ק ט</w:t>
      </w:r>
      <w:r>
        <w:rPr>
          <w:rFonts w:cs="Guttman Hodes" w:hint="cs"/>
          <w:rtl/>
        </w:rPr>
        <w:t>"</w:t>
      </w:r>
      <w:r>
        <w:rPr>
          <w:rFonts w:hint="cs"/>
          <w:rtl/>
        </w:rPr>
        <w:t>ז</w:t>
      </w:r>
      <w:bookmarkEnd w:id="614"/>
      <w:bookmarkEnd w:id="615"/>
    </w:p>
    <w:p w14:paraId="46D62A4A" w14:textId="77777777" w:rsidR="001C69A8" w:rsidRPr="00396C74" w:rsidRDefault="001C69A8" w:rsidP="001C69A8">
      <w:pPr>
        <w:pStyle w:val="a7"/>
        <w:rPr>
          <w:rtl/>
        </w:rPr>
      </w:pPr>
      <w:bookmarkStart w:id="616" w:name="_Toc134347620"/>
      <w:r>
        <w:rPr>
          <w:rFonts w:hint="cs"/>
          <w:rtl/>
        </w:rPr>
        <w:t>בי' האגל"ט דחיוב זורע הוא רק כשרוצה בהשרשת הזרעים בקרקע ולא בע"מ לנוטלם לפני כן</w:t>
      </w:r>
      <w:bookmarkEnd w:id="616"/>
    </w:p>
    <w:p w14:paraId="212122FD" w14:textId="52EA22E4" w:rsidR="001C69A8" w:rsidRDefault="001C69A8" w:rsidP="00BC7DC8">
      <w:pPr>
        <w:pStyle w:val="a3"/>
        <w:rPr>
          <w:rtl/>
        </w:rPr>
      </w:pPr>
      <w:r>
        <w:rPr>
          <w:rFonts w:hint="cs"/>
          <w:rtl/>
        </w:rPr>
        <w:t xml:space="preserve">וכתב </w:t>
      </w:r>
      <w:r w:rsidRPr="00A90155">
        <w:rPr>
          <w:rStyle w:val="aff4"/>
          <w:rFonts w:hint="cs"/>
          <w:vanish/>
          <w:rtl/>
        </w:rPr>
        <w:t>-</w:t>
      </w:r>
      <w:r w:rsidRPr="008875E4">
        <w:rPr>
          <w:rStyle w:val="aff4"/>
          <w:rFonts w:hint="cs"/>
          <w:rtl/>
        </w:rPr>
        <w:t>ה</w:t>
      </w:r>
      <w:r w:rsidRPr="00A90155">
        <w:rPr>
          <w:rStyle w:val="aff4"/>
          <w:rFonts w:hint="cs"/>
          <w:vanish/>
          <w:rtl/>
        </w:rPr>
        <w:t xml:space="preserve">&lt;. </w:t>
      </w:r>
      <w:r w:rsidRPr="00A90155">
        <w:rPr>
          <w:rStyle w:val="aff4"/>
          <w:vanish/>
          <w:rtl/>
        </w:rPr>
        <w:fldChar w:fldCharType="begin"/>
      </w:r>
      <w:r w:rsidRPr="00A90155">
        <w:rPr>
          <w:rStyle w:val="aff4"/>
          <w:vanish/>
          <w:rtl/>
        </w:rPr>
        <w:instrText xml:space="preserve"> </w:instrText>
      </w:r>
      <w:r w:rsidRPr="00A90155">
        <w:rPr>
          <w:rStyle w:val="aff4"/>
          <w:rFonts w:hint="cs"/>
          <w:vanish/>
        </w:rPr>
        <w:instrText>REF</w:instrText>
      </w:r>
      <w:r w:rsidRPr="00A90155">
        <w:rPr>
          <w:rStyle w:val="aff4"/>
          <w:rFonts w:hint="cs"/>
          <w:vanish/>
          <w:rtl/>
        </w:rPr>
        <w:instrText xml:space="preserve"> _</w:instrText>
      </w:r>
      <w:r w:rsidRPr="00A90155">
        <w:rPr>
          <w:rStyle w:val="aff4"/>
          <w:rFonts w:hint="cs"/>
          <w:vanish/>
        </w:rPr>
        <w:instrText>Ref134029007 \r \h</w:instrText>
      </w:r>
      <w:r w:rsidRPr="00A90155">
        <w:rPr>
          <w:rStyle w:val="aff4"/>
          <w:vanish/>
          <w:rtl/>
        </w:rPr>
        <w:instrText xml:space="preserve"> </w:instrText>
      </w:r>
      <w:r w:rsidRPr="00A90155">
        <w:rPr>
          <w:rStyle w:val="aff4"/>
          <w:vanish/>
          <w:rtl/>
        </w:rPr>
      </w:r>
      <w:r w:rsidRPr="00A90155">
        <w:rPr>
          <w:rStyle w:val="aff4"/>
          <w:vanish/>
          <w:rtl/>
        </w:rPr>
        <w:fldChar w:fldCharType="separate"/>
      </w:r>
      <w:r w:rsidR="00D82181">
        <w:rPr>
          <w:rStyle w:val="aff4"/>
          <w:vanish/>
          <w:cs/>
        </w:rPr>
        <w:t>‎</w:t>
      </w:r>
      <w:r w:rsidR="00D82181">
        <w:rPr>
          <w:rStyle w:val="aff4"/>
          <w:vanish/>
          <w:rtl/>
        </w:rPr>
        <w:t>עג)</w:t>
      </w:r>
      <w:r w:rsidRPr="00A90155">
        <w:rPr>
          <w:rStyle w:val="aff4"/>
          <w:vanish/>
          <w:rtl/>
        </w:rPr>
        <w:fldChar w:fldCharType="end"/>
      </w:r>
      <w:r w:rsidRPr="00A90155">
        <w:rPr>
          <w:rStyle w:val="aff4"/>
          <w:rFonts w:hint="cs"/>
          <w:vanish/>
          <w:rtl/>
        </w:rPr>
        <w:t xml:space="preserve"> &gt;</w:t>
      </w:r>
      <w:r w:rsidRPr="008875E4">
        <w:rPr>
          <w:rStyle w:val="aff4"/>
          <w:rFonts w:hint="cs"/>
          <w:rtl/>
        </w:rPr>
        <w:t>אגלי טל</w:t>
      </w:r>
      <w:r w:rsidRPr="00A90155">
        <w:rPr>
          <w:rStyle w:val="aff4"/>
          <w:rFonts w:hint="cs"/>
          <w:vanish/>
          <w:rtl/>
        </w:rPr>
        <w:t>-</w:t>
      </w:r>
      <w:r>
        <w:rPr>
          <w:rFonts w:hint="cs"/>
          <w:rtl/>
        </w:rPr>
        <w:t xml:space="preserve"> </w:t>
      </w:r>
      <w:r w:rsidRPr="00277835">
        <w:rPr>
          <w:rStyle w:val="af2"/>
          <w:rFonts w:eastAsia="Guttman Hodes" w:hint="cs"/>
          <w:rtl/>
        </w:rPr>
        <w:t>(זורע ס"ק ט"ז)</w:t>
      </w:r>
      <w:r w:rsidRPr="00A90155">
        <w:rPr>
          <w:rFonts w:hint="cs"/>
          <w:vanish/>
          <w:rtl/>
        </w:rPr>
        <w:t>=</w:t>
      </w:r>
      <w:r>
        <w:rPr>
          <w:rFonts w:hint="cs"/>
          <w:rtl/>
        </w:rPr>
        <w:t xml:space="preserve"> דהזורע ואינו רוצה שישרישו הזרעים בקרקע, </w:t>
      </w:r>
      <w:r>
        <w:rPr>
          <w:rStyle w:val="af"/>
          <w:rFonts w:hint="cs"/>
          <w:rtl/>
        </w:rPr>
        <w:t>[</w:t>
      </w:r>
      <w:r w:rsidRPr="00277835">
        <w:rPr>
          <w:rStyle w:val="af"/>
          <w:rFonts w:hint="cs"/>
          <w:rtl/>
        </w:rPr>
        <w:t>והיינו דמניחם לזמן קצר ע"מ ללוקטם]</w:t>
      </w:r>
      <w:r>
        <w:rPr>
          <w:rFonts w:hint="cs"/>
          <w:rtl/>
        </w:rPr>
        <w:t xml:space="preserve">, מבואר במשנה בכלאים </w:t>
      </w:r>
      <w:r w:rsidRPr="00277835">
        <w:rPr>
          <w:rStyle w:val="af2"/>
          <w:rFonts w:eastAsia="Guttman Hodes" w:hint="cs"/>
          <w:rtl/>
        </w:rPr>
        <w:t>(פ"א מ"ט)</w:t>
      </w:r>
      <w:r>
        <w:rPr>
          <w:rFonts w:hint="cs"/>
          <w:rtl/>
        </w:rPr>
        <w:t xml:space="preserve"> שהביאה הגמ' לעיל </w:t>
      </w:r>
      <w:r w:rsidRPr="00277835">
        <w:rPr>
          <w:rStyle w:val="af2"/>
          <w:rFonts w:eastAsia="Guttman Hodes" w:hint="cs"/>
          <w:rtl/>
        </w:rPr>
        <w:t>(נ:)</w:t>
      </w:r>
      <w:r>
        <w:rPr>
          <w:rFonts w:hint="cs"/>
          <w:rtl/>
        </w:rPr>
        <w:t xml:space="preserve"> דהטומן לפת בקרקע ואינו רוצה שתשתריש, לא חשיב זורע, כמבואר בתוס' לעיל </w:t>
      </w:r>
      <w:r w:rsidRPr="00277835">
        <w:rPr>
          <w:rStyle w:val="af2"/>
          <w:rFonts w:eastAsia="Guttman Hodes" w:hint="cs"/>
          <w:rtl/>
        </w:rPr>
        <w:t>(נ: ד"ה מקצת)</w:t>
      </w:r>
      <w:r>
        <w:rPr>
          <w:rFonts w:hint="cs"/>
          <w:rtl/>
        </w:rPr>
        <w:t xml:space="preserve">. </w:t>
      </w:r>
      <w:r>
        <w:rPr>
          <w:rStyle w:val="af"/>
          <w:rFonts w:hint="cs"/>
          <w:rtl/>
        </w:rPr>
        <w:t>[</w:t>
      </w:r>
      <w:r w:rsidRPr="00277835">
        <w:rPr>
          <w:rStyle w:val="af"/>
          <w:rFonts w:hint="cs"/>
          <w:rtl/>
        </w:rPr>
        <w:t xml:space="preserve">כדביאר </w:t>
      </w:r>
      <w:r w:rsidRPr="001E13AC">
        <w:rPr>
          <w:rStyle w:val="aff9"/>
          <w:rFonts w:hint="cs"/>
          <w:vanish/>
          <w:rtl/>
        </w:rPr>
        <w:t>-</w:t>
      </w:r>
      <w:r w:rsidRPr="00277835">
        <w:rPr>
          <w:rStyle w:val="aff9"/>
          <w:rFonts w:hint="cs"/>
          <w:rtl/>
        </w:rPr>
        <w:t>האגלי טל</w:t>
      </w:r>
      <w:r w:rsidRPr="001E13AC">
        <w:rPr>
          <w:rStyle w:val="aff9"/>
          <w:rFonts w:hint="cs"/>
          <w:vanish/>
          <w:rtl/>
        </w:rPr>
        <w:t>-</w:t>
      </w:r>
      <w:r w:rsidRPr="00277835">
        <w:rPr>
          <w:rStyle w:val="af"/>
          <w:rFonts w:hint="cs"/>
          <w:rtl/>
        </w:rPr>
        <w:t xml:space="preserve"> </w:t>
      </w:r>
      <w:r w:rsidRPr="00277835">
        <w:rPr>
          <w:rStyle w:val="aff0"/>
          <w:rFonts w:hint="cs"/>
          <w:rtl/>
        </w:rPr>
        <w:t>(קוצר ס"ק כ"ד)</w:t>
      </w:r>
      <w:r w:rsidRPr="00277835">
        <w:rPr>
          <w:rStyle w:val="af"/>
          <w:rFonts w:hint="cs"/>
          <w:rtl/>
        </w:rPr>
        <w:t xml:space="preserve"> בדברי </w:t>
      </w:r>
      <w:r w:rsidRPr="001E13AC">
        <w:rPr>
          <w:rStyle w:val="aff9"/>
          <w:rFonts w:hint="cs"/>
          <w:vanish/>
          <w:rtl/>
        </w:rPr>
        <w:t>-</w:t>
      </w:r>
      <w:r w:rsidRPr="00277835">
        <w:rPr>
          <w:rStyle w:val="aff9"/>
          <w:rFonts w:hint="cs"/>
          <w:rtl/>
        </w:rPr>
        <w:t>התוס'</w:t>
      </w:r>
      <w:r w:rsidRPr="001E13AC">
        <w:rPr>
          <w:rStyle w:val="aff9"/>
          <w:rFonts w:hint="cs"/>
          <w:vanish/>
          <w:rtl/>
        </w:rPr>
        <w:t>-</w:t>
      </w:r>
      <w:r w:rsidRPr="00277835">
        <w:rPr>
          <w:rStyle w:val="af"/>
          <w:rFonts w:hint="cs"/>
          <w:rtl/>
        </w:rPr>
        <w:t>]</w:t>
      </w:r>
      <w:r>
        <w:rPr>
          <w:rFonts w:hint="cs"/>
          <w:rtl/>
        </w:rPr>
        <w:t>.</w:t>
      </w:r>
    </w:p>
    <w:p w14:paraId="0F48100A" w14:textId="77777777" w:rsidR="001C69A8" w:rsidRPr="00747170" w:rsidRDefault="001C69A8" w:rsidP="00747170">
      <w:pPr>
        <w:pStyle w:val="a2"/>
      </w:pPr>
      <w:r w:rsidRPr="00747170">
        <w:rPr>
          <w:rStyle w:val="afff7"/>
        </w:rPr>
        <w:t>ואף לדעת הרמב"ם יש חילוק בין נתכוין שיצמחו בין לא נתכוין. שאם לא נתכוין לכך מסתמא לא ניחא לי' בצמיחתן אינו חייב עד שיצמחו בשבת ומקמי הכי לאו תולדת זורע הוא</w:t>
      </w:r>
      <w:r w:rsidRPr="00747170">
        <w:t xml:space="preserve"> דבזורע גופי' כ"ז שלא השריש אם אינו רוצה בהשרשתן לא חשוב זריעה כדמוכח בפ"א דכלאים מ"ט בהטומן לפת לפי' התוס' במכילתין והר"ש והרא"ש כמו שיבואר אצלינו באריכות בביאור מלאכת קוצר בס"ד.</w:t>
      </w:r>
    </w:p>
    <w:p w14:paraId="5A9C1816" w14:textId="4B9642BB" w:rsidR="001C69A8" w:rsidRDefault="001C69A8" w:rsidP="001C69A8">
      <w:pPr>
        <w:pStyle w:val="1"/>
        <w:rPr>
          <w:rtl/>
        </w:rPr>
      </w:pPr>
      <w:bookmarkStart w:id="617" w:name="_Toc133841573"/>
      <w:bookmarkStart w:id="618" w:name="_Toc134347621"/>
      <w:r>
        <w:rPr>
          <w:rFonts w:hint="cs"/>
          <w:rtl/>
        </w:rPr>
        <w:t xml:space="preserve">משמעות החיי"א </w:t>
      </w:r>
      <w:bookmarkEnd w:id="617"/>
      <w:r>
        <w:rPr>
          <w:rFonts w:hint="cs"/>
          <w:rtl/>
        </w:rPr>
        <w:t>דחיוב זורע מיד מדכ' דשורה במים חייב מיד</w:t>
      </w:r>
      <w:bookmarkEnd w:id="618"/>
    </w:p>
    <w:p w14:paraId="3154F6A2" w14:textId="77777777" w:rsidR="001C69A8" w:rsidRDefault="001C69A8" w:rsidP="001C69A8">
      <w:pPr>
        <w:pStyle w:val="afffff7"/>
        <w:rPr>
          <w:rtl/>
        </w:rPr>
      </w:pPr>
      <w:bookmarkStart w:id="619" w:name="_Toc134550181"/>
      <w:bookmarkStart w:id="620" w:name="_Toc163505473"/>
      <w:r>
        <w:rPr>
          <w:rtl/>
        </w:rPr>
        <w:t>חיי אדם הלכות שבת כלל יא סעיף ב</w:t>
      </w:r>
      <w:bookmarkEnd w:id="619"/>
      <w:bookmarkEnd w:id="620"/>
    </w:p>
    <w:p w14:paraId="23867B3F" w14:textId="77777777" w:rsidR="001C69A8" w:rsidRDefault="001C69A8" w:rsidP="001C69A8">
      <w:pPr>
        <w:pStyle w:val="a7"/>
        <w:rPr>
          <w:rtl/>
        </w:rPr>
      </w:pPr>
      <w:bookmarkStart w:id="621" w:name="_Toc133841574"/>
      <w:bookmarkStart w:id="622" w:name="_Toc134347622"/>
      <w:r>
        <w:rPr>
          <w:rFonts w:hint="cs"/>
          <w:rtl/>
        </w:rPr>
        <w:t>בי' החיי"א דשורה חיטין להצמיח חייב מיד בנתינה</w:t>
      </w:r>
      <w:bookmarkEnd w:id="621"/>
      <w:r>
        <w:rPr>
          <w:rFonts w:hint="cs"/>
          <w:rtl/>
        </w:rPr>
        <w:t xml:space="preserve"> ומ' דחיוב זורע בשעת נתינה ולא בהשרשה</w:t>
      </w:r>
      <w:bookmarkEnd w:id="622"/>
    </w:p>
    <w:p w14:paraId="7932E3EB" w14:textId="70B5ADC7" w:rsidR="001C69A8" w:rsidRPr="0074012E" w:rsidRDefault="001C69A8" w:rsidP="00BC7DC8">
      <w:pPr>
        <w:pStyle w:val="a3"/>
        <w:rPr>
          <w:rtl/>
        </w:rPr>
      </w:pPr>
      <w:bookmarkStart w:id="623" w:name="_Ref134181638"/>
      <w:r>
        <w:rPr>
          <w:rFonts w:hint="cs"/>
          <w:rtl/>
        </w:rPr>
        <w:t xml:space="preserve">כתב </w:t>
      </w:r>
      <w:r w:rsidRPr="00C444C9">
        <w:rPr>
          <w:rStyle w:val="aff4"/>
          <w:rFonts w:hint="cs"/>
          <w:vanish/>
          <w:rtl/>
        </w:rPr>
        <w:t>-</w:t>
      </w:r>
      <w:r w:rsidRPr="004F32D2">
        <w:rPr>
          <w:rStyle w:val="aff4"/>
          <w:rFonts w:hint="cs"/>
          <w:rtl/>
        </w:rPr>
        <w:t>ה</w:t>
      </w:r>
      <w:r w:rsidRPr="00C444C9">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Ref133575370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צח)</w:t>
      </w:r>
      <w:r>
        <w:rPr>
          <w:rStyle w:val="aff4"/>
          <w:vanish/>
          <w:rtl/>
        </w:rPr>
        <w:fldChar w:fldCharType="end"/>
      </w:r>
      <w:r>
        <w:rPr>
          <w:rStyle w:val="aff4"/>
          <w:rFonts w:hint="cs"/>
          <w:vanish/>
          <w:rtl/>
        </w:rPr>
        <w:t xml:space="preserve"> </w:t>
      </w:r>
      <w:r w:rsidRPr="00C444C9">
        <w:rPr>
          <w:rStyle w:val="aff4"/>
          <w:rFonts w:hint="cs"/>
          <w:vanish/>
          <w:rtl/>
        </w:rPr>
        <w:t>&gt;</w:t>
      </w:r>
      <w:r w:rsidRPr="004F32D2">
        <w:rPr>
          <w:rStyle w:val="aff4"/>
          <w:rFonts w:hint="cs"/>
          <w:rtl/>
        </w:rPr>
        <w:t>חיי אדם</w:t>
      </w:r>
      <w:r w:rsidRPr="00C444C9">
        <w:rPr>
          <w:rStyle w:val="aff4"/>
          <w:rFonts w:hint="cs"/>
          <w:vanish/>
          <w:rtl/>
        </w:rPr>
        <w:t>-</w:t>
      </w:r>
      <w:r>
        <w:rPr>
          <w:rFonts w:hint="cs"/>
          <w:rtl/>
        </w:rPr>
        <w:t xml:space="preserve"> </w:t>
      </w:r>
      <w:r w:rsidRPr="00277835">
        <w:rPr>
          <w:rStyle w:val="af2"/>
          <w:rFonts w:eastAsia="Guttman Hodes" w:hint="cs"/>
          <w:rtl/>
        </w:rPr>
        <w:t>(שבת כלל י"א ב')</w:t>
      </w:r>
      <w:r w:rsidRPr="00350A80">
        <w:rPr>
          <w:rFonts w:hint="cs"/>
          <w:vanish/>
          <w:rtl/>
        </w:rPr>
        <w:t>=</w:t>
      </w:r>
      <w:r>
        <w:rPr>
          <w:rFonts w:hint="cs"/>
          <w:rtl/>
        </w:rPr>
        <w:t xml:space="preserve"> דהשורה חיטין במים בכוונה שיתרככו ויצמחו, כמו שהדרך לשרות קטניות במים לפני שזורעין אותם, וכן מי ששורה חיטין במים בכדי לעשות מהם חיטה נבוטה לשיכר, דידוע דכוונתו להצמיח, חייב אפילו בשרה גרגיר אחד, וכתב </w:t>
      </w:r>
      <w:r w:rsidRPr="00C444C9">
        <w:rPr>
          <w:rStyle w:val="aff4"/>
          <w:rFonts w:hint="cs"/>
          <w:vanish/>
          <w:rtl/>
        </w:rPr>
        <w:t>-</w:t>
      </w:r>
      <w:r w:rsidRPr="004F32D2">
        <w:rPr>
          <w:rStyle w:val="aff4"/>
          <w:rFonts w:hint="cs"/>
          <w:rtl/>
        </w:rPr>
        <w:t>החיי אדם</w:t>
      </w:r>
      <w:r w:rsidRPr="00C444C9">
        <w:rPr>
          <w:rStyle w:val="aff4"/>
          <w:rFonts w:hint="cs"/>
          <w:vanish/>
          <w:rtl/>
        </w:rPr>
        <w:t>-</w:t>
      </w:r>
      <w:r>
        <w:rPr>
          <w:rFonts w:hint="cs"/>
          <w:rtl/>
        </w:rPr>
        <w:t xml:space="preserve"> דנראה דחייב מיד כשנתנם בתוך המים, אך כתב </w:t>
      </w:r>
      <w:r w:rsidRPr="00C444C9">
        <w:rPr>
          <w:rStyle w:val="aff4"/>
          <w:rFonts w:hint="cs"/>
          <w:vanish/>
          <w:rtl/>
        </w:rPr>
        <w:t>-</w:t>
      </w:r>
      <w:r w:rsidRPr="004F32D2">
        <w:rPr>
          <w:rStyle w:val="aff4"/>
          <w:rFonts w:hint="cs"/>
          <w:rtl/>
        </w:rPr>
        <w:t>החיי אדם</w:t>
      </w:r>
      <w:r w:rsidRPr="00C444C9">
        <w:rPr>
          <w:rStyle w:val="aff4"/>
          <w:rFonts w:hint="cs"/>
          <w:vanish/>
          <w:rtl/>
        </w:rPr>
        <w:t>-</w:t>
      </w:r>
      <w:r>
        <w:rPr>
          <w:rFonts w:hint="cs"/>
          <w:rtl/>
        </w:rPr>
        <w:t xml:space="preserve"> דאם אין כוונתו להצמיח מותר, כגון ששורה תבואה במים לבהמתו, דכוונתו רק לרכך את התבואה וגם אינה באה לידי הצמחה כלל, ודלא דאף </w:t>
      </w:r>
      <w:r w:rsidRPr="00C444C9">
        <w:rPr>
          <w:rStyle w:val="aff4"/>
          <w:rFonts w:hint="cs"/>
          <w:vanish/>
          <w:rtl/>
        </w:rPr>
        <w:t>-</w:t>
      </w:r>
      <w:r>
        <w:rPr>
          <w:rStyle w:val="aff4"/>
          <w:rFonts w:hint="cs"/>
          <w:rtl/>
        </w:rPr>
        <w:t>כ</w:t>
      </w:r>
      <w:r w:rsidRPr="004F32D2">
        <w:rPr>
          <w:rStyle w:val="aff4"/>
          <w:rFonts w:hint="cs"/>
          <w:rtl/>
        </w:rPr>
        <w:t>מג"א</w:t>
      </w:r>
      <w:r w:rsidRPr="00C444C9">
        <w:rPr>
          <w:rStyle w:val="aff4"/>
          <w:rFonts w:hint="cs"/>
          <w:vanish/>
          <w:rtl/>
        </w:rPr>
        <w:t>-</w:t>
      </w:r>
      <w:r>
        <w:rPr>
          <w:rFonts w:hint="cs"/>
          <w:rtl/>
        </w:rPr>
        <w:t xml:space="preserve"> </w:t>
      </w:r>
      <w:r w:rsidRPr="00277835">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Ref134330480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נד)</w:t>
      </w:r>
      <w:r>
        <w:rPr>
          <w:rStyle w:val="af2"/>
          <w:rFonts w:eastAsia="Guttman Hodes"/>
          <w:rtl/>
        </w:rPr>
        <w:fldChar w:fldCharType="end"/>
      </w:r>
      <w:r>
        <w:rPr>
          <w:rStyle w:val="af2"/>
          <w:rFonts w:eastAsia="Guttman Hodes" w:hint="cs"/>
          <w:rtl/>
        </w:rPr>
        <w:t xml:space="preserve"> </w:t>
      </w:r>
      <w:r>
        <w:rPr>
          <w:rFonts w:hint="cs"/>
          <w:rtl/>
        </w:rPr>
        <w:t xml:space="preserve"> דכתב דהחיוב הוא רק כששורה חצי היום, </w:t>
      </w:r>
      <w:r>
        <w:rPr>
          <w:rStyle w:val="af"/>
          <w:rFonts w:hint="cs"/>
          <w:rtl/>
        </w:rPr>
        <w:t>[</w:t>
      </w:r>
      <w:r w:rsidRPr="00277835">
        <w:rPr>
          <w:rStyle w:val="af"/>
          <w:rFonts w:hint="cs"/>
          <w:rtl/>
        </w:rPr>
        <w:t xml:space="preserve">ומשמע מדברי </w:t>
      </w:r>
      <w:r w:rsidRPr="001E13AC">
        <w:rPr>
          <w:rStyle w:val="aff9"/>
          <w:rFonts w:hint="cs"/>
          <w:vanish/>
          <w:rtl/>
        </w:rPr>
        <w:t>-</w:t>
      </w:r>
      <w:r w:rsidRPr="00277835">
        <w:rPr>
          <w:rStyle w:val="aff9"/>
          <w:rFonts w:hint="cs"/>
          <w:rtl/>
        </w:rPr>
        <w:t>החיי אדם</w:t>
      </w:r>
      <w:r w:rsidRPr="001E13AC">
        <w:rPr>
          <w:rStyle w:val="aff9"/>
          <w:rFonts w:hint="cs"/>
          <w:vanish/>
          <w:rtl/>
        </w:rPr>
        <w:t>-</w:t>
      </w:r>
      <w:r w:rsidRPr="00277835">
        <w:rPr>
          <w:rStyle w:val="af"/>
          <w:rFonts w:hint="cs"/>
          <w:rtl/>
        </w:rPr>
        <w:t xml:space="preserve"> דחיוב זורע הוא מיד בנתינה ולכן חייב בשורה חיטין במים מיד]</w:t>
      </w:r>
      <w:r>
        <w:rPr>
          <w:rFonts w:hint="cs"/>
          <w:rtl/>
        </w:rPr>
        <w:t xml:space="preserve">, ועי' במ"ש </w:t>
      </w:r>
      <w:r w:rsidRPr="001E13AC">
        <w:rPr>
          <w:rStyle w:val="aff4"/>
          <w:rFonts w:hint="cs"/>
          <w:vanish/>
          <w:rtl/>
        </w:rPr>
        <w:t>-</w:t>
      </w:r>
      <w:r w:rsidRPr="001F3123">
        <w:rPr>
          <w:rStyle w:val="aff4"/>
          <w:rFonts w:hint="cs"/>
          <w:rtl/>
        </w:rPr>
        <w:t>האגלי טל</w:t>
      </w:r>
      <w:r w:rsidRPr="001E13AC">
        <w:rPr>
          <w:rStyle w:val="aff4"/>
          <w:rFonts w:hint="cs"/>
          <w:vanish/>
          <w:rtl/>
        </w:rPr>
        <w:t>-</w:t>
      </w:r>
      <w:r>
        <w:rPr>
          <w:rFonts w:hint="cs"/>
          <w:rtl/>
        </w:rPr>
        <w:t xml:space="preserve"> </w:t>
      </w:r>
      <w:r w:rsidRPr="00277835">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Ref134304738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מו)</w:t>
      </w:r>
      <w:r>
        <w:rPr>
          <w:rStyle w:val="af2"/>
          <w:rFonts w:eastAsia="Guttman Hodes"/>
          <w:rtl/>
        </w:rPr>
        <w:fldChar w:fldCharType="end"/>
      </w:r>
      <w:r>
        <w:rPr>
          <w:rFonts w:hint="cs"/>
          <w:rtl/>
        </w:rPr>
        <w:t xml:space="preserve"> בדעת </w:t>
      </w:r>
      <w:r w:rsidRPr="001E13AC">
        <w:rPr>
          <w:rStyle w:val="aff4"/>
          <w:rFonts w:hint="cs"/>
          <w:vanish/>
          <w:rtl/>
        </w:rPr>
        <w:t>-</w:t>
      </w:r>
      <w:r w:rsidRPr="001F3123">
        <w:rPr>
          <w:rStyle w:val="aff4"/>
          <w:rFonts w:hint="cs"/>
          <w:rtl/>
        </w:rPr>
        <w:t>הגר"ז</w:t>
      </w:r>
      <w:r w:rsidRPr="001E13AC">
        <w:rPr>
          <w:rStyle w:val="aff4"/>
          <w:rFonts w:hint="cs"/>
          <w:vanish/>
          <w:rtl/>
        </w:rPr>
        <w:t>-</w:t>
      </w:r>
      <w:r>
        <w:rPr>
          <w:rFonts w:hint="cs"/>
          <w:rtl/>
        </w:rPr>
        <w:t xml:space="preserve">, ובמ"ש </w:t>
      </w:r>
      <w:r w:rsidRPr="001E13AC">
        <w:rPr>
          <w:rStyle w:val="aff4"/>
          <w:rFonts w:hint="cs"/>
          <w:vanish/>
          <w:rtl/>
        </w:rPr>
        <w:t>-</w:t>
      </w:r>
      <w:r w:rsidRPr="001F3123">
        <w:rPr>
          <w:rStyle w:val="aff4"/>
          <w:rFonts w:hint="cs"/>
          <w:rtl/>
        </w:rPr>
        <w:t>המשנ"ב</w:t>
      </w:r>
      <w:r w:rsidRPr="001E13AC">
        <w:rPr>
          <w:rStyle w:val="aff4"/>
          <w:rFonts w:hint="cs"/>
          <w:vanish/>
          <w:rtl/>
        </w:rPr>
        <w:t>-</w:t>
      </w:r>
      <w:r>
        <w:rPr>
          <w:rFonts w:hint="cs"/>
          <w:rtl/>
        </w:rPr>
        <w:t xml:space="preserve"> </w:t>
      </w:r>
      <w:r w:rsidRPr="00277835">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Ref134304752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מח)</w:t>
      </w:r>
      <w:r>
        <w:rPr>
          <w:rStyle w:val="af2"/>
          <w:rFonts w:eastAsia="Guttman Hodes"/>
          <w:rtl/>
        </w:rPr>
        <w:fldChar w:fldCharType="end"/>
      </w:r>
      <w:r>
        <w:rPr>
          <w:rFonts w:hint="cs"/>
          <w:rtl/>
        </w:rPr>
        <w:t>.</w:t>
      </w:r>
      <w:bookmarkEnd w:id="623"/>
    </w:p>
    <w:p w14:paraId="305EABE1" w14:textId="77777777" w:rsidR="001C69A8" w:rsidRPr="00747170" w:rsidRDefault="001C69A8" w:rsidP="00747170">
      <w:pPr>
        <w:pStyle w:val="a2"/>
      </w:pPr>
      <w:r w:rsidRPr="00747170">
        <w:lastRenderedPageBreak/>
        <w:t>השורה חטים ושאר זרעונים במים כדי שיתרככו ויצמיחו כדרך ששורין קטניות קודם הזריעה וכן השורה תבואה לעשות מהן מלצי"ן [חטה נבוטה[ וידוע דכוונתו להצמיח, חייב, ואפילו בגרגיר אחד. ונראה לי דתיכף משנתן למים, חייב )ודלא כמ"א(.</w:t>
      </w:r>
      <w:r w:rsidRPr="00747170">
        <w:rPr>
          <w:rFonts w:hint="cs"/>
        </w:rPr>
        <w:t xml:space="preserve"> </w:t>
      </w:r>
      <w:r w:rsidRPr="00747170">
        <w:t>אבל מותר לשרות תבואה לבהמתו, דאין כוונתו רק להתרכך, וכן כל כיוצא בזה שאין כוונתו להצמיח כלל וגם לא יבא לידי הצמחה.</w:t>
      </w:r>
    </w:p>
    <w:p w14:paraId="3AF493CE" w14:textId="5231D1DB" w:rsidR="001C69A8" w:rsidRPr="000D3581" w:rsidRDefault="001C69A8" w:rsidP="001C69A8">
      <w:pPr>
        <w:pStyle w:val="1"/>
        <w:rPr>
          <w:rtl/>
        </w:rPr>
      </w:pPr>
      <w:bookmarkStart w:id="624" w:name="_Toc134347623"/>
      <w:r w:rsidRPr="000D3581">
        <w:rPr>
          <w:rFonts w:hint="cs"/>
          <w:rtl/>
        </w:rPr>
        <w:t xml:space="preserve">בי' ההל' קט' דזורע אדם גומרו </w:t>
      </w:r>
      <w:r>
        <w:rPr>
          <w:rFonts w:hint="cs"/>
          <w:rtl/>
        </w:rPr>
        <w:t>ובטל לקרקע ונגמרה מלאכתו</w:t>
      </w:r>
      <w:bookmarkEnd w:id="624"/>
    </w:p>
    <w:p w14:paraId="53D72119" w14:textId="77777777" w:rsidR="001C69A8" w:rsidRDefault="001C69A8" w:rsidP="001C69A8">
      <w:pPr>
        <w:pStyle w:val="afffff7"/>
        <w:rPr>
          <w:rtl/>
        </w:rPr>
      </w:pPr>
      <w:bookmarkStart w:id="625" w:name="_Toc134550182"/>
      <w:bookmarkStart w:id="626" w:name="_Toc163505474"/>
      <w:r w:rsidRPr="006E40E8">
        <w:rPr>
          <w:rtl/>
        </w:rPr>
        <w:t>מנחת חינוך מצוה רצ</w:t>
      </w:r>
      <w:r w:rsidRPr="006E40E8">
        <w:rPr>
          <w:rFonts w:hint="cs"/>
          <w:rtl/>
        </w:rPr>
        <w:t>"</w:t>
      </w:r>
      <w:r w:rsidRPr="006E40E8">
        <w:rPr>
          <w:rtl/>
        </w:rPr>
        <w:t xml:space="preserve">ח אות </w:t>
      </w:r>
      <w:r w:rsidRPr="006E40E8">
        <w:rPr>
          <w:rFonts w:hint="cs"/>
          <w:rtl/>
        </w:rPr>
        <w:t xml:space="preserve">י"ד ד"ה </w:t>
      </w:r>
      <w:r>
        <w:rPr>
          <w:rFonts w:hint="cs"/>
          <w:rtl/>
        </w:rPr>
        <w:t>שוב האיר</w:t>
      </w:r>
      <w:bookmarkEnd w:id="625"/>
      <w:bookmarkEnd w:id="626"/>
    </w:p>
    <w:p w14:paraId="7F1D9F0F" w14:textId="77777777" w:rsidR="001C69A8" w:rsidRDefault="001C69A8" w:rsidP="001C69A8">
      <w:pPr>
        <w:pStyle w:val="afffff7"/>
        <w:rPr>
          <w:rtl/>
        </w:rPr>
      </w:pPr>
      <w:bookmarkStart w:id="627" w:name="_Toc134550183"/>
      <w:bookmarkStart w:id="628" w:name="_Toc163505475"/>
      <w:r>
        <w:rPr>
          <w:rtl/>
        </w:rPr>
        <w:t>שו"ת הלכות קטנות ח"א סי' רסו</w:t>
      </w:r>
      <w:bookmarkEnd w:id="627"/>
      <w:bookmarkEnd w:id="628"/>
    </w:p>
    <w:p w14:paraId="2E6C00A1" w14:textId="77777777" w:rsidR="001C69A8" w:rsidRPr="007655B4" w:rsidRDefault="001C69A8" w:rsidP="001C69A8">
      <w:pPr>
        <w:pStyle w:val="a7"/>
        <w:rPr>
          <w:rtl/>
        </w:rPr>
      </w:pPr>
      <w:bookmarkStart w:id="629" w:name="_Toc134347624"/>
      <w:r>
        <w:rPr>
          <w:rFonts w:hint="cs"/>
          <w:rtl/>
        </w:rPr>
        <w:t>בי' ההלכות קטנות דבישול שגומרי בידי אדם חייב בסופו וזורע דגומרו בידי שמים חייב מיד</w:t>
      </w:r>
      <w:bookmarkEnd w:id="629"/>
    </w:p>
    <w:p w14:paraId="0060F5D6" w14:textId="5DB000C7" w:rsidR="001C69A8" w:rsidRDefault="001C69A8" w:rsidP="00BC7DC8">
      <w:pPr>
        <w:pStyle w:val="a3"/>
      </w:pPr>
      <w:bookmarkStart w:id="630" w:name="_Ref133874041"/>
      <w:bookmarkStart w:id="631" w:name="_Ref133856575"/>
      <w:r>
        <w:rPr>
          <w:rFonts w:hint="cs"/>
          <w:rtl/>
        </w:rPr>
        <w:t xml:space="preserve">הביא </w:t>
      </w:r>
      <w:r w:rsidRPr="00B32D57">
        <w:rPr>
          <w:rStyle w:val="aff4"/>
          <w:rFonts w:hint="cs"/>
          <w:vanish/>
          <w:rtl/>
        </w:rPr>
        <w:t>-</w:t>
      </w:r>
      <w:r w:rsidRPr="00373C7B">
        <w:rPr>
          <w:rStyle w:val="aff4"/>
          <w:rFonts w:hint="cs"/>
          <w:rtl/>
        </w:rPr>
        <w:t>ה</w:t>
      </w:r>
      <w:r w:rsidRPr="00E526A0">
        <w:rPr>
          <w:rStyle w:val="aff4"/>
          <w:rFonts w:hint="cs"/>
          <w:vanish/>
          <w:rtl/>
        </w:rPr>
        <w:t>&lt;</w:t>
      </w:r>
      <w:r>
        <w:rPr>
          <w:rStyle w:val="aff4"/>
          <w:rFonts w:hint="cs"/>
          <w:vanish/>
          <w:rtl/>
        </w:rPr>
        <w:t>.</w:t>
      </w:r>
      <w:r w:rsidRPr="00E526A0">
        <w:rPr>
          <w:rStyle w:val="aff4"/>
          <w:rFonts w:hint="cs"/>
          <w:vanish/>
          <w:rtl/>
        </w:rPr>
        <w:t xml:space="preserve"> </w:t>
      </w:r>
      <w:r>
        <w:rPr>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Ref133856575 \r \h</w:instrText>
      </w:r>
      <w:r>
        <w:rPr>
          <w:rStyle w:val="aff4"/>
          <w:vanish/>
          <w:rtl/>
        </w:rPr>
        <w:instrText xml:space="preserve"> </w:instrText>
      </w:r>
      <w:r>
        <w:rPr>
          <w:vanish/>
          <w:rtl/>
        </w:rPr>
      </w:r>
      <w:r>
        <w:rPr>
          <w:vanish/>
          <w:rtl/>
        </w:rPr>
        <w:fldChar w:fldCharType="separate"/>
      </w:r>
      <w:r w:rsidR="00D82181">
        <w:rPr>
          <w:rStyle w:val="aff4"/>
          <w:vanish/>
          <w:cs/>
        </w:rPr>
        <w:t>‎</w:t>
      </w:r>
      <w:r w:rsidR="00D82181">
        <w:rPr>
          <w:rStyle w:val="aff4"/>
          <w:vanish/>
          <w:rtl/>
        </w:rPr>
        <w:t>כ)</w:t>
      </w:r>
      <w:r>
        <w:rPr>
          <w:vanish/>
          <w:rtl/>
        </w:rPr>
        <w:fldChar w:fldCharType="end"/>
      </w:r>
      <w:r w:rsidRPr="00E526A0">
        <w:rPr>
          <w:rStyle w:val="aff4"/>
          <w:rFonts w:hint="cs"/>
          <w:vanish/>
          <w:rtl/>
        </w:rPr>
        <w:t xml:space="preserve"> &gt;</w:t>
      </w:r>
      <w:r w:rsidRPr="00373C7B">
        <w:rPr>
          <w:rStyle w:val="aff4"/>
          <w:rFonts w:hint="cs"/>
          <w:rtl/>
        </w:rPr>
        <w:t>מנחת חינוך</w:t>
      </w:r>
      <w:r w:rsidRPr="00B32D57">
        <w:rPr>
          <w:rStyle w:val="aff4"/>
          <w:rFonts w:hint="cs"/>
          <w:vanish/>
          <w:rtl/>
        </w:rPr>
        <w:t>-</w:t>
      </w:r>
      <w:r>
        <w:rPr>
          <w:rFonts w:hint="cs"/>
          <w:rtl/>
        </w:rPr>
        <w:t xml:space="preserve"> </w:t>
      </w:r>
      <w:r w:rsidRPr="00277835">
        <w:rPr>
          <w:rStyle w:val="af2"/>
          <w:rFonts w:eastAsia="Guttman Hodes" w:hint="cs"/>
          <w:rtl/>
        </w:rPr>
        <w:t>(מצוה רח"צ סוף אות י"ד ד"ה שוב האיר)</w:t>
      </w:r>
      <w:r>
        <w:rPr>
          <w:rFonts w:hint="cs"/>
          <w:vanish/>
          <w:rtl/>
        </w:rPr>
        <w:t>=</w:t>
      </w:r>
      <w:r>
        <w:rPr>
          <w:rFonts w:hint="cs"/>
          <w:rtl/>
        </w:rPr>
        <w:t xml:space="preserve"> את דברי </w:t>
      </w:r>
      <w:r w:rsidRPr="00B32D57">
        <w:rPr>
          <w:rStyle w:val="aff4"/>
          <w:rFonts w:hint="cs"/>
          <w:vanish/>
          <w:rtl/>
        </w:rPr>
        <w:t>-</w:t>
      </w:r>
      <w:r w:rsidRPr="00373C7B">
        <w:rPr>
          <w:rStyle w:val="aff4"/>
          <w:rFonts w:hint="cs"/>
          <w:rtl/>
        </w:rPr>
        <w:t>ה</w:t>
      </w:r>
      <w:r w:rsidRPr="00E526A0">
        <w:rPr>
          <w:rStyle w:val="aff4"/>
          <w:rFonts w:hint="cs"/>
          <w:vanish/>
          <w:rtl/>
        </w:rPr>
        <w:t>&lt; &gt;</w:t>
      </w:r>
      <w:r w:rsidRPr="00373C7B">
        <w:rPr>
          <w:rStyle w:val="aff4"/>
          <w:rFonts w:hint="cs"/>
          <w:rtl/>
        </w:rPr>
        <w:t xml:space="preserve">מהר"י חגיז </w:t>
      </w:r>
      <w:r>
        <w:rPr>
          <w:rStyle w:val="aff4"/>
          <w:rFonts w:hint="cs"/>
          <w:rtl/>
        </w:rPr>
        <w:t>ב</w:t>
      </w:r>
      <w:r w:rsidRPr="00373C7B">
        <w:rPr>
          <w:rStyle w:val="aff4"/>
          <w:rFonts w:hint="cs"/>
          <w:rtl/>
        </w:rPr>
        <w:t>הלכות קטנות</w:t>
      </w:r>
      <w:r w:rsidRPr="00B32D57">
        <w:rPr>
          <w:rStyle w:val="aff4"/>
          <w:rFonts w:hint="cs"/>
          <w:vanish/>
          <w:rtl/>
        </w:rPr>
        <w:t>-</w:t>
      </w:r>
      <w:r>
        <w:rPr>
          <w:rFonts w:hint="cs"/>
          <w:rtl/>
        </w:rPr>
        <w:t xml:space="preserve"> </w:t>
      </w:r>
      <w:r w:rsidRPr="00277835">
        <w:rPr>
          <w:rStyle w:val="af2"/>
          <w:rFonts w:eastAsia="Guttman Hodes" w:hint="cs"/>
          <w:rtl/>
        </w:rPr>
        <w:t>(ח"א סי' רס"ו)</w:t>
      </w:r>
      <w:r>
        <w:rPr>
          <w:rFonts w:hint="cs"/>
          <w:vanish/>
          <w:rtl/>
        </w:rPr>
        <w:t>=</w:t>
      </w:r>
      <w:r>
        <w:rPr>
          <w:rFonts w:hint="cs"/>
          <w:rtl/>
        </w:rPr>
        <w:t xml:space="preserve"> דכתב דהא דבמבשל ואופה החיוב הוא רק לאחר שנאפה בשבת כשיעור אפייה, ואילו בזורע חייב מיד לאחר שהשליך את הזרע ע"ג הקרקע, הוא כיון </w:t>
      </w:r>
      <w:bookmarkStart w:id="632" w:name="_Hlk133872893"/>
      <w:r>
        <w:rPr>
          <w:rFonts w:hint="cs"/>
          <w:rtl/>
        </w:rPr>
        <w:t>דהבישול והאפיה נגמרים בידי אדם, דצריך להגיס בקדירה ולחתות בגחלים, אבל בזריעה כל המלאכה היא בידי שמים</w:t>
      </w:r>
      <w:bookmarkEnd w:id="632"/>
      <w:r>
        <w:rPr>
          <w:rFonts w:hint="cs"/>
          <w:rtl/>
        </w:rPr>
        <w:t xml:space="preserve">, ועי' במה שביאר </w:t>
      </w:r>
      <w:r w:rsidRPr="000650B4">
        <w:rPr>
          <w:rStyle w:val="aff4"/>
          <w:rFonts w:hint="cs"/>
          <w:vanish/>
          <w:rtl/>
        </w:rPr>
        <w:t>-</w:t>
      </w:r>
      <w:r w:rsidRPr="00410BCE">
        <w:rPr>
          <w:rStyle w:val="aff4"/>
          <w:rFonts w:hint="cs"/>
          <w:rtl/>
        </w:rPr>
        <w:t>הדבר אברהם</w:t>
      </w:r>
      <w:r w:rsidRPr="000650B4">
        <w:rPr>
          <w:rStyle w:val="aff4"/>
          <w:rFonts w:hint="cs"/>
          <w:vanish/>
          <w:rtl/>
        </w:rPr>
        <w:t>-</w:t>
      </w:r>
      <w:r>
        <w:rPr>
          <w:rFonts w:hint="cs"/>
          <w:rtl/>
        </w:rPr>
        <w:t xml:space="preserve"> </w:t>
      </w:r>
      <w:r w:rsidRPr="00277835">
        <w:rPr>
          <w:rStyle w:val="af2"/>
          <w:rFonts w:eastAsia="Guttman Hodes" w:hint="cs"/>
          <w:rtl/>
        </w:rPr>
        <w:t xml:space="preserve">(עי' אות </w:t>
      </w:r>
      <w:r w:rsidRPr="00277835">
        <w:rPr>
          <w:rStyle w:val="af2"/>
          <w:rFonts w:eastAsia="Guttman Hodes"/>
          <w:rtl/>
        </w:rPr>
        <w:fldChar w:fldCharType="begin"/>
      </w:r>
      <w:r w:rsidRPr="00277835">
        <w:rPr>
          <w:rStyle w:val="af2"/>
          <w:rFonts w:eastAsia="Guttman Hodes"/>
          <w:rtl/>
        </w:rPr>
        <w:instrText xml:space="preserve"> </w:instrText>
      </w:r>
      <w:r w:rsidRPr="00277835">
        <w:rPr>
          <w:rStyle w:val="af2"/>
          <w:rFonts w:eastAsia="Guttman Hodes" w:hint="cs"/>
        </w:rPr>
        <w:instrText>REF</w:instrText>
      </w:r>
      <w:r w:rsidRPr="00277835">
        <w:rPr>
          <w:rStyle w:val="af2"/>
          <w:rFonts w:eastAsia="Guttman Hodes" w:hint="cs"/>
          <w:rtl/>
        </w:rPr>
        <w:instrText xml:space="preserve"> _</w:instrText>
      </w:r>
      <w:r w:rsidRPr="00277835">
        <w:rPr>
          <w:rStyle w:val="af2"/>
          <w:rFonts w:eastAsia="Guttman Hodes" w:hint="cs"/>
        </w:rPr>
        <w:instrText>Ref133874023 \r \h</w:instrText>
      </w:r>
      <w:r w:rsidRPr="00277835">
        <w:rPr>
          <w:rStyle w:val="af2"/>
          <w:rFonts w:eastAsia="Guttman Hodes"/>
          <w:rtl/>
        </w:rPr>
        <w:instrText xml:space="preserve"> </w:instrText>
      </w:r>
      <w:r w:rsidRPr="00277835">
        <w:rPr>
          <w:rStyle w:val="af2"/>
          <w:rFonts w:eastAsia="Guttman Hodes"/>
          <w:rtl/>
        </w:rPr>
      </w:r>
      <w:r w:rsidRPr="00277835">
        <w:rPr>
          <w:rStyle w:val="af2"/>
          <w:rFonts w:eastAsia="Guttman Hodes"/>
          <w:rtl/>
        </w:rPr>
        <w:fldChar w:fldCharType="separate"/>
      </w:r>
      <w:r w:rsidR="00D82181">
        <w:rPr>
          <w:rStyle w:val="af2"/>
          <w:rFonts w:eastAsia="Guttman Hodes"/>
          <w:cs/>
        </w:rPr>
        <w:t>‎</w:t>
      </w:r>
      <w:r w:rsidR="00D82181">
        <w:rPr>
          <w:rStyle w:val="af2"/>
          <w:rFonts w:eastAsia="Guttman Hodes"/>
          <w:rtl/>
        </w:rPr>
        <w:t>כג)</w:t>
      </w:r>
      <w:r w:rsidRPr="00277835">
        <w:rPr>
          <w:rStyle w:val="af2"/>
          <w:rFonts w:eastAsia="Guttman Hodes"/>
          <w:rtl/>
        </w:rPr>
        <w:fldChar w:fldCharType="end"/>
      </w:r>
      <w:r>
        <w:rPr>
          <w:rFonts w:hint="cs"/>
          <w:rtl/>
        </w:rPr>
        <w:t xml:space="preserve"> את דברי </w:t>
      </w:r>
      <w:r w:rsidRPr="000650B4">
        <w:rPr>
          <w:rStyle w:val="aff4"/>
          <w:rFonts w:hint="cs"/>
          <w:vanish/>
          <w:rtl/>
        </w:rPr>
        <w:t>-</w:t>
      </w:r>
      <w:r w:rsidRPr="00410BCE">
        <w:rPr>
          <w:rStyle w:val="aff4"/>
          <w:rFonts w:hint="cs"/>
          <w:rtl/>
        </w:rPr>
        <w:t>ההלכות קטנות</w:t>
      </w:r>
      <w:r w:rsidRPr="000650B4">
        <w:rPr>
          <w:rStyle w:val="aff4"/>
          <w:rFonts w:hint="cs"/>
          <w:vanish/>
          <w:rtl/>
        </w:rPr>
        <w:t>-</w:t>
      </w:r>
      <w:r>
        <w:rPr>
          <w:rFonts w:hint="cs"/>
          <w:rtl/>
        </w:rPr>
        <w:t>.</w:t>
      </w:r>
      <w:bookmarkEnd w:id="630"/>
    </w:p>
    <w:p w14:paraId="22C3C1F3" w14:textId="77777777" w:rsidR="001C69A8" w:rsidRPr="00747170" w:rsidRDefault="001C69A8" w:rsidP="00747170">
      <w:pPr>
        <w:pStyle w:val="a2"/>
      </w:pPr>
      <w:r w:rsidRPr="00747170">
        <w:t xml:space="preserve">שוב בינותי בספרים ומצאתי בס' הלכות קטנות </w:t>
      </w:r>
      <w:r w:rsidRPr="00747170">
        <w:rPr>
          <w:rFonts w:hint="cs"/>
        </w:rPr>
        <w:t>)</w:t>
      </w:r>
      <w:r w:rsidRPr="00747170">
        <w:t>למהר"מ</w:t>
      </w:r>
      <w:r w:rsidRPr="00747170">
        <w:rPr>
          <w:rFonts w:hint="cs"/>
        </w:rPr>
        <w:t xml:space="preserve"> [</w:t>
      </w:r>
      <w:r w:rsidRPr="00747170">
        <w:rPr>
          <w:rFonts w:asciiTheme="minorHAnsi" w:hAnsiTheme="minorHAnsi"/>
        </w:rPr>
        <w:t>)</w:t>
      </w:r>
      <w:r w:rsidRPr="00747170">
        <w:rPr>
          <w:rFonts w:hint="cs"/>
        </w:rPr>
        <w:t>למהר"י</w:t>
      </w:r>
      <w:r w:rsidRPr="00747170">
        <w:t>( חאגיז סי' רס"ו רס"ז מביא זה בפירוש דחילוק יש בין מבשל לזורע דזורע )חייב( תיכף אף דלא נשרש בקרקע ע"ש החילוק ולא הביא הראיות שהבאתי והנאני. והנה אף שכתבתי דעל זריעה חייב תיכף אף בלא נקלט מ"מ נראה דגם הקליטה הוי זריעה והיכי דאינו חייב על הזריעה כמו שיבואר מ"מ חייב על הקליטה דהקליטה הוי ג"כ זריעה.</w:t>
      </w:r>
    </w:p>
    <w:p w14:paraId="4AF44B63" w14:textId="77777777" w:rsidR="001C69A8" w:rsidRPr="0000488C" w:rsidRDefault="001C69A8" w:rsidP="00747170">
      <w:pPr>
        <w:pStyle w:val="afffff5"/>
        <w:rPr>
          <w:rtl/>
        </w:rPr>
      </w:pPr>
      <w:r w:rsidRPr="0000488C">
        <w:rPr>
          <w:rtl/>
        </w:rPr>
        <w:t>שאלה מאי שנא דבמבשל ואופה בעינן שיאפה כשיעור בשבת והזורע משהשליכם ע"ג קרקע מיחייב. תשובה מסתברא דמבשל ואופה עדיין גמרו בידי אדם שצריך להגיס בקדרה ולחתות בגחלים אבל בזורע הכל בידי שמים</w:t>
      </w:r>
      <w:r w:rsidRPr="0000488C">
        <w:rPr>
          <w:rFonts w:hint="cs"/>
          <w:rtl/>
        </w:rPr>
        <w:t>.</w:t>
      </w:r>
    </w:p>
    <w:p w14:paraId="18FD0177" w14:textId="77777777" w:rsidR="001C69A8" w:rsidRDefault="001C69A8" w:rsidP="001C69A8">
      <w:pPr>
        <w:pStyle w:val="afffff7"/>
        <w:rPr>
          <w:rtl/>
        </w:rPr>
      </w:pPr>
      <w:bookmarkStart w:id="633" w:name="_Toc134550184"/>
      <w:bookmarkStart w:id="634" w:name="_Toc163505476"/>
      <w:r>
        <w:rPr>
          <w:rtl/>
        </w:rPr>
        <w:t>שו"ת הלכות קטנות ח"א סי' רסז</w:t>
      </w:r>
      <w:bookmarkEnd w:id="633"/>
      <w:bookmarkEnd w:id="634"/>
    </w:p>
    <w:p w14:paraId="3D2DE64E" w14:textId="77777777" w:rsidR="001C69A8" w:rsidRPr="004C1C97" w:rsidRDefault="001C69A8" w:rsidP="001C69A8">
      <w:pPr>
        <w:pStyle w:val="a7"/>
      </w:pPr>
      <w:bookmarkStart w:id="635" w:name="_Toc134347625"/>
      <w:r>
        <w:rPr>
          <w:rFonts w:hint="cs"/>
          <w:rtl/>
        </w:rPr>
        <w:t>הבי' הב' בהלכות קטנות דזרע שלא השריש בטל לקרקע ודמי לעובר דבטל לאמו</w:t>
      </w:r>
      <w:bookmarkEnd w:id="635"/>
    </w:p>
    <w:p w14:paraId="24E92165" w14:textId="500AD1D9" w:rsidR="001C69A8" w:rsidRPr="00571191" w:rsidRDefault="001C69A8" w:rsidP="00BC7DC8">
      <w:pPr>
        <w:pStyle w:val="a3"/>
        <w:rPr>
          <w:rtl/>
        </w:rPr>
      </w:pPr>
      <w:r>
        <w:rPr>
          <w:rFonts w:hint="cs"/>
          <w:rtl/>
        </w:rPr>
        <w:t xml:space="preserve">ועוד ביאר </w:t>
      </w:r>
      <w:r w:rsidRPr="00B32D57">
        <w:rPr>
          <w:rStyle w:val="aff4"/>
          <w:rFonts w:hint="cs"/>
          <w:vanish/>
          <w:rtl/>
        </w:rPr>
        <w:t>-</w:t>
      </w:r>
      <w:r w:rsidRPr="00373C7B">
        <w:rPr>
          <w:rStyle w:val="aff4"/>
          <w:rFonts w:hint="cs"/>
          <w:rtl/>
        </w:rPr>
        <w:t>ה</w:t>
      </w:r>
      <w:r w:rsidRPr="00E526A0">
        <w:rPr>
          <w:rStyle w:val="aff4"/>
          <w:rFonts w:hint="cs"/>
          <w:vanish/>
          <w:rtl/>
        </w:rPr>
        <w:t>&lt; &gt;</w:t>
      </w:r>
      <w:r w:rsidRPr="00373C7B">
        <w:rPr>
          <w:rStyle w:val="aff4"/>
          <w:rFonts w:hint="cs"/>
          <w:rtl/>
        </w:rPr>
        <w:t>הלכות קטנות למהר"י חגיז</w:t>
      </w:r>
      <w:r w:rsidRPr="00B32D57">
        <w:rPr>
          <w:rStyle w:val="aff4"/>
          <w:rFonts w:hint="cs"/>
          <w:vanish/>
          <w:rtl/>
        </w:rPr>
        <w:t>-</w:t>
      </w:r>
      <w:r>
        <w:rPr>
          <w:rFonts w:hint="cs"/>
          <w:rtl/>
        </w:rPr>
        <w:t xml:space="preserve"> </w:t>
      </w:r>
      <w:r w:rsidRPr="00277835">
        <w:rPr>
          <w:rStyle w:val="af2"/>
          <w:rFonts w:eastAsia="Guttman Hodes" w:hint="cs"/>
          <w:rtl/>
        </w:rPr>
        <w:t>(ח"א סי' רס"ז)</w:t>
      </w:r>
      <w:r>
        <w:rPr>
          <w:rFonts w:hint="cs"/>
          <w:vanish/>
          <w:rtl/>
        </w:rPr>
        <w:t>=</w:t>
      </w:r>
      <w:r>
        <w:rPr>
          <w:rFonts w:hint="cs"/>
          <w:rtl/>
        </w:rPr>
        <w:t xml:space="preserve"> דחיטה שבתוך הקרקע היא בטלה לה, דכיון שהיא מחוברת לקרקע וצריכה לקרקע, </w:t>
      </w:r>
      <w:r>
        <w:rPr>
          <w:rStyle w:val="af"/>
          <w:rFonts w:hint="cs"/>
          <w:rtl/>
        </w:rPr>
        <w:t>[</w:t>
      </w:r>
      <w:r w:rsidRPr="00277835">
        <w:rPr>
          <w:rStyle w:val="af"/>
          <w:rFonts w:hint="cs"/>
          <w:rtl/>
        </w:rPr>
        <w:t xml:space="preserve">וכ"כ </w:t>
      </w:r>
      <w:r w:rsidRPr="001E13AC">
        <w:rPr>
          <w:rStyle w:val="aff9"/>
          <w:rFonts w:hint="cs"/>
          <w:vanish/>
          <w:rtl/>
        </w:rPr>
        <w:t>-</w:t>
      </w:r>
      <w:r w:rsidRPr="00277835">
        <w:rPr>
          <w:rStyle w:val="aff9"/>
          <w:rFonts w:hint="cs"/>
          <w:rtl/>
        </w:rPr>
        <w:t>השואל בשו"ת מהר"ם חביב</w:t>
      </w:r>
      <w:r w:rsidRPr="001E13AC">
        <w:rPr>
          <w:rStyle w:val="aff9"/>
          <w:rFonts w:hint="cs"/>
          <w:vanish/>
          <w:rtl/>
        </w:rPr>
        <w:t>-</w:t>
      </w:r>
      <w:r w:rsidRPr="00277835">
        <w:rPr>
          <w:rStyle w:val="af"/>
          <w:rFonts w:hint="cs"/>
          <w:rtl/>
        </w:rPr>
        <w:t xml:space="preserve"> </w:t>
      </w:r>
      <w:r w:rsidRPr="00277835">
        <w:rPr>
          <w:rStyle w:val="aff0"/>
          <w:rFonts w:hint="cs"/>
          <w:rtl/>
        </w:rPr>
        <w:t xml:space="preserve">(עי' אות </w:t>
      </w:r>
      <w:r w:rsidRPr="00277835">
        <w:rPr>
          <w:rStyle w:val="aff0"/>
          <w:rtl/>
        </w:rPr>
        <w:fldChar w:fldCharType="begin"/>
      </w:r>
      <w:r w:rsidRPr="00277835">
        <w:rPr>
          <w:rStyle w:val="aff0"/>
          <w:rtl/>
        </w:rPr>
        <w:instrText xml:space="preserve"> </w:instrText>
      </w:r>
      <w:r w:rsidRPr="00277835">
        <w:rPr>
          <w:rStyle w:val="aff0"/>
          <w:rFonts w:hint="cs"/>
        </w:rPr>
        <w:instrText>REF</w:instrText>
      </w:r>
      <w:r w:rsidRPr="00277835">
        <w:rPr>
          <w:rStyle w:val="aff0"/>
          <w:rFonts w:hint="cs"/>
          <w:rtl/>
        </w:rPr>
        <w:instrText xml:space="preserve"> _</w:instrText>
      </w:r>
      <w:r w:rsidRPr="00277835">
        <w:rPr>
          <w:rStyle w:val="aff0"/>
          <w:rFonts w:hint="cs"/>
        </w:rPr>
        <w:instrText>Ref133252319 \r \h</w:instrText>
      </w:r>
      <w:r w:rsidRPr="00277835">
        <w:rPr>
          <w:rStyle w:val="aff0"/>
          <w:rtl/>
        </w:rPr>
        <w:instrText xml:space="preserve"> </w:instrText>
      </w:r>
      <w:r w:rsidRPr="00277835">
        <w:rPr>
          <w:rStyle w:val="aff0"/>
          <w:rtl/>
        </w:rPr>
      </w:r>
      <w:r w:rsidRPr="00277835">
        <w:rPr>
          <w:rStyle w:val="aff0"/>
          <w:rtl/>
        </w:rPr>
        <w:fldChar w:fldCharType="separate"/>
      </w:r>
      <w:r w:rsidR="00D82181">
        <w:rPr>
          <w:rStyle w:val="aff0"/>
          <w:cs/>
        </w:rPr>
        <w:t>‎</w:t>
      </w:r>
      <w:r w:rsidR="00D82181">
        <w:rPr>
          <w:rStyle w:val="aff0"/>
          <w:rtl/>
        </w:rPr>
        <w:t>ח)</w:t>
      </w:r>
      <w:r w:rsidRPr="00277835">
        <w:rPr>
          <w:rStyle w:val="aff0"/>
          <w:rtl/>
        </w:rPr>
        <w:fldChar w:fldCharType="end"/>
      </w:r>
      <w:r w:rsidRPr="00277835">
        <w:rPr>
          <w:rStyle w:val="af"/>
          <w:rFonts w:hint="cs"/>
          <w:rtl/>
        </w:rPr>
        <w:t>]</w:t>
      </w:r>
      <w:r w:rsidRPr="00563D63">
        <w:rPr>
          <w:rStyle w:val="af"/>
          <w:rFonts w:hint="cs"/>
          <w:rtl/>
        </w:rPr>
        <w:t>,</w:t>
      </w:r>
      <w:r>
        <w:rPr>
          <w:rFonts w:hint="cs"/>
          <w:rtl/>
        </w:rPr>
        <w:t xml:space="preserve"> ודמי לעובר שבמעי אמו דבטל לה.</w:t>
      </w:r>
      <w:bookmarkEnd w:id="631"/>
    </w:p>
    <w:p w14:paraId="1EB2D81D" w14:textId="77777777" w:rsidR="001C69A8" w:rsidRPr="00747170" w:rsidRDefault="001C69A8" w:rsidP="00747170">
      <w:pPr>
        <w:pStyle w:val="a2"/>
      </w:pPr>
      <w:r w:rsidRPr="00747170">
        <w:t>שאלה איבעיא להו חיטין הזרועין בקרקע שלא השרישו אי כמונחין בכדא דמו או בטילי לגבי קרקע לענין אונאה או לישבע עליהן וכו'. [עי' ב"מ נ"ו[ תשובה כפי מ"ש לעיל וממה שאכתוב דכל המחובר לקרקע שצריך לקרקע אליבא דכ"ע ה"ה כקרקע והרי הוא כעובר במעי אמו ובזה יש לומר ג"כ טעם להא דלעיל דחטה בתוך העפר כעובר דהוי ירך אמו. אבל הבשר בתוך המים בקדרה אינו כלום אם לא ע"י האור וא"ת עובר במעי אמו נמי אם לא ע"י חום טבעי ולחות שרשי כמונח בכדא דמי. לא אמרת כלום שהטיפה יש בה כל הכחות הנ"ל וכן החטה היא כמו הטיפה והארץ כמו הרחם )עי' לק' בח"ב סי' ל"ו ושו"ת שיבת ציון סי' ט' ובמנ"ח סי' רצ"ח אות ח'(:</w:t>
      </w:r>
    </w:p>
    <w:p w14:paraId="4E19A1C2" w14:textId="47D5D080" w:rsidR="001C69A8" w:rsidRDefault="001C69A8" w:rsidP="001C69A8">
      <w:pPr>
        <w:pStyle w:val="afffff7"/>
        <w:rPr>
          <w:rtl/>
        </w:rPr>
      </w:pPr>
      <w:bookmarkStart w:id="636" w:name="_Toc134550185"/>
      <w:bookmarkStart w:id="637" w:name="_Toc163505477"/>
      <w:r>
        <w:rPr>
          <w:rtl/>
        </w:rPr>
        <w:t>שו"ת הלכות קטנות חלק ב סימן לו</w:t>
      </w:r>
      <w:bookmarkEnd w:id="636"/>
      <w:bookmarkEnd w:id="637"/>
    </w:p>
    <w:p w14:paraId="485F656B" w14:textId="77777777" w:rsidR="001C69A8" w:rsidRDefault="001C69A8" w:rsidP="001C69A8">
      <w:pPr>
        <w:pStyle w:val="a7"/>
        <w:rPr>
          <w:rtl/>
        </w:rPr>
      </w:pPr>
      <w:bookmarkStart w:id="638" w:name="_Toc134347626"/>
      <w:r>
        <w:rPr>
          <w:rFonts w:hint="cs"/>
          <w:rtl/>
        </w:rPr>
        <w:t>הבי' הג' בהלכות קטנות דזורע נגמרה המלאכה בזריעה אך בבישול אין שינוי בהנחה ע"ג האש</w:t>
      </w:r>
      <w:bookmarkEnd w:id="638"/>
    </w:p>
    <w:p w14:paraId="0EC2A0D3" w14:textId="36E002D0" w:rsidR="001C69A8" w:rsidRPr="0061120A" w:rsidRDefault="001C69A8" w:rsidP="00BC7DC8">
      <w:pPr>
        <w:pStyle w:val="a3"/>
        <w:rPr>
          <w:rtl/>
        </w:rPr>
      </w:pPr>
      <w:bookmarkStart w:id="639" w:name="_Ref133269301"/>
      <w:r>
        <w:rPr>
          <w:rFonts w:hint="cs"/>
          <w:rtl/>
        </w:rPr>
        <w:t xml:space="preserve">ועוד כתב </w:t>
      </w:r>
      <w:r w:rsidRPr="00106817">
        <w:rPr>
          <w:rStyle w:val="aff4"/>
          <w:rFonts w:hint="cs"/>
          <w:vanish/>
          <w:rtl/>
        </w:rPr>
        <w:t>-</w:t>
      </w:r>
      <w:r w:rsidRPr="00373C7B">
        <w:rPr>
          <w:rStyle w:val="aff4"/>
          <w:rFonts w:hint="cs"/>
          <w:rtl/>
        </w:rPr>
        <w:t>ה</w:t>
      </w:r>
      <w:r w:rsidRPr="00106817">
        <w:rPr>
          <w:rStyle w:val="aff4"/>
          <w:rFonts w:hint="cs"/>
          <w:vanish/>
          <w:rtl/>
        </w:rPr>
        <w:t xml:space="preserve">&lt; </w:t>
      </w:r>
      <w:r w:rsidRPr="00106817">
        <w:rPr>
          <w:vanish/>
          <w:rtl/>
        </w:rPr>
        <w:fldChar w:fldCharType="begin"/>
      </w:r>
      <w:r w:rsidRPr="00106817">
        <w:rPr>
          <w:rStyle w:val="aff4"/>
          <w:vanish/>
          <w:rtl/>
        </w:rPr>
        <w:instrText xml:space="preserve"> </w:instrText>
      </w:r>
      <w:r w:rsidRPr="00106817">
        <w:rPr>
          <w:rStyle w:val="aff4"/>
          <w:rFonts w:hint="cs"/>
          <w:vanish/>
        </w:rPr>
        <w:instrText>REF</w:instrText>
      </w:r>
      <w:r w:rsidRPr="00106817">
        <w:rPr>
          <w:rStyle w:val="aff4"/>
          <w:rFonts w:hint="cs"/>
          <w:vanish/>
          <w:rtl/>
        </w:rPr>
        <w:instrText xml:space="preserve"> _</w:instrText>
      </w:r>
      <w:r w:rsidRPr="00106817">
        <w:rPr>
          <w:rStyle w:val="aff4"/>
          <w:rFonts w:hint="cs"/>
          <w:vanish/>
        </w:rPr>
        <w:instrText>Ref133269301 \r \h</w:instrText>
      </w:r>
      <w:r w:rsidRPr="00106817">
        <w:rPr>
          <w:rStyle w:val="aff4"/>
          <w:vanish/>
          <w:rtl/>
        </w:rPr>
        <w:instrText xml:space="preserve"> </w:instrText>
      </w:r>
      <w:r w:rsidRPr="00106817">
        <w:rPr>
          <w:vanish/>
          <w:rtl/>
        </w:rPr>
      </w:r>
      <w:r w:rsidRPr="00106817">
        <w:rPr>
          <w:vanish/>
          <w:rtl/>
        </w:rPr>
        <w:fldChar w:fldCharType="separate"/>
      </w:r>
      <w:r w:rsidR="00D82181">
        <w:rPr>
          <w:rStyle w:val="aff4"/>
          <w:vanish/>
          <w:cs/>
        </w:rPr>
        <w:t>‎</w:t>
      </w:r>
      <w:r w:rsidR="00D82181">
        <w:rPr>
          <w:rStyle w:val="aff4"/>
          <w:vanish/>
          <w:rtl/>
        </w:rPr>
        <w:t>כב)</w:t>
      </w:r>
      <w:r w:rsidRPr="00106817">
        <w:rPr>
          <w:vanish/>
          <w:rtl/>
        </w:rPr>
        <w:fldChar w:fldCharType="end"/>
      </w:r>
      <w:r w:rsidRPr="00106817">
        <w:rPr>
          <w:rStyle w:val="aff4"/>
          <w:rFonts w:hint="cs"/>
          <w:vanish/>
          <w:rtl/>
        </w:rPr>
        <w:t xml:space="preserve"> &gt;</w:t>
      </w:r>
      <w:r w:rsidRPr="00373C7B">
        <w:rPr>
          <w:rStyle w:val="aff4"/>
          <w:rFonts w:hint="cs"/>
          <w:rtl/>
        </w:rPr>
        <w:t>מהר"י חגיז</w:t>
      </w:r>
      <w:r>
        <w:rPr>
          <w:rStyle w:val="aff4"/>
          <w:rFonts w:hint="cs"/>
          <w:rtl/>
        </w:rPr>
        <w:t xml:space="preserve"> ב</w:t>
      </w:r>
      <w:r w:rsidRPr="00373C7B">
        <w:rPr>
          <w:rStyle w:val="aff4"/>
          <w:rFonts w:hint="cs"/>
          <w:rtl/>
        </w:rPr>
        <w:t>הלכות קטנות</w:t>
      </w:r>
      <w:r w:rsidRPr="00106817">
        <w:rPr>
          <w:rStyle w:val="aff4"/>
          <w:rFonts w:hint="cs"/>
          <w:vanish/>
          <w:rtl/>
        </w:rPr>
        <w:t>-</w:t>
      </w:r>
      <w:r>
        <w:rPr>
          <w:rFonts w:hint="cs"/>
          <w:rtl/>
        </w:rPr>
        <w:t xml:space="preserve"> </w:t>
      </w:r>
      <w:r w:rsidRPr="00277835">
        <w:rPr>
          <w:rStyle w:val="af2"/>
          <w:rFonts w:eastAsia="Guttman Hodes" w:hint="cs"/>
          <w:rtl/>
        </w:rPr>
        <w:t>(ח"ב סי' ל"ו)</w:t>
      </w:r>
      <w:bookmarkEnd w:id="639"/>
      <w:r w:rsidRPr="00106817">
        <w:rPr>
          <w:rFonts w:hint="cs"/>
          <w:vanish/>
          <w:rtl/>
        </w:rPr>
        <w:t>=</w:t>
      </w:r>
      <w:r>
        <w:rPr>
          <w:rFonts w:hint="cs"/>
          <w:rtl/>
        </w:rPr>
        <w:t xml:space="preserve"> דהחילוק בין זורע לבין מבשל, דבמעשה הזריעה נגמרה מלאכת הזריעה, </w:t>
      </w:r>
      <w:r>
        <w:rPr>
          <w:rStyle w:val="af"/>
          <w:rFonts w:hint="cs"/>
          <w:rtl/>
        </w:rPr>
        <w:t>[</w:t>
      </w:r>
      <w:r w:rsidRPr="00277835">
        <w:rPr>
          <w:rStyle w:val="af"/>
          <w:rFonts w:hint="cs"/>
          <w:rtl/>
        </w:rPr>
        <w:t>ודמי למטיל ש"ז למעי אשה דבזה נגמרה הזריעה]</w:t>
      </w:r>
      <w:r w:rsidRPr="00563D63">
        <w:rPr>
          <w:rStyle w:val="af"/>
          <w:rFonts w:hint="cs"/>
          <w:rtl/>
        </w:rPr>
        <w:t>,</w:t>
      </w:r>
      <w:r>
        <w:rPr>
          <w:rFonts w:hint="cs"/>
          <w:rtl/>
        </w:rPr>
        <w:t xml:space="preserve"> אבל כשנותן בשר ע"ג הגחלים אין כל שינוי בבשר בשעת נתינתו ע"ג הגחלים, ורק אח"כ הוא מתבשל, ועי' במ"ש </w:t>
      </w:r>
      <w:r w:rsidRPr="00106817">
        <w:rPr>
          <w:rStyle w:val="aff4"/>
          <w:rFonts w:hint="cs"/>
          <w:vanish/>
          <w:rtl/>
        </w:rPr>
        <w:t>-</w:t>
      </w:r>
      <w:r w:rsidRPr="00373C7B">
        <w:rPr>
          <w:rStyle w:val="aff4"/>
          <w:rFonts w:hint="cs"/>
          <w:rtl/>
        </w:rPr>
        <w:t>המהר"י חגיז</w:t>
      </w:r>
      <w:r>
        <w:rPr>
          <w:rStyle w:val="aff4"/>
          <w:rFonts w:hint="cs"/>
          <w:rtl/>
        </w:rPr>
        <w:t xml:space="preserve"> ב</w:t>
      </w:r>
      <w:r w:rsidRPr="00373C7B">
        <w:rPr>
          <w:rStyle w:val="aff4"/>
          <w:rFonts w:hint="cs"/>
          <w:rtl/>
        </w:rPr>
        <w:t>הלכות קטנות</w:t>
      </w:r>
      <w:r w:rsidRPr="00106817">
        <w:rPr>
          <w:rStyle w:val="aff4"/>
          <w:rFonts w:hint="cs"/>
          <w:vanish/>
          <w:rtl/>
        </w:rPr>
        <w:t>-</w:t>
      </w:r>
      <w:r>
        <w:rPr>
          <w:rFonts w:hint="cs"/>
          <w:rtl/>
        </w:rPr>
        <w:t xml:space="preserve"> </w:t>
      </w:r>
      <w:r w:rsidRPr="00277835">
        <w:rPr>
          <w:rStyle w:val="af2"/>
          <w:rFonts w:eastAsia="Guttman Hodes" w:hint="cs"/>
          <w:rtl/>
        </w:rPr>
        <w:t xml:space="preserve">(עי' אות </w:t>
      </w:r>
      <w:r w:rsidRPr="00277835">
        <w:rPr>
          <w:rStyle w:val="af2"/>
          <w:rFonts w:eastAsia="Guttman Hodes"/>
          <w:rtl/>
        </w:rPr>
        <w:fldChar w:fldCharType="begin"/>
      </w:r>
      <w:r w:rsidRPr="00277835">
        <w:rPr>
          <w:rStyle w:val="af2"/>
          <w:rFonts w:eastAsia="Guttman Hodes"/>
          <w:rtl/>
        </w:rPr>
        <w:instrText xml:space="preserve"> </w:instrText>
      </w:r>
      <w:r w:rsidRPr="00277835">
        <w:rPr>
          <w:rStyle w:val="af2"/>
          <w:rFonts w:eastAsia="Guttman Hodes" w:hint="cs"/>
        </w:rPr>
        <w:instrText>REF</w:instrText>
      </w:r>
      <w:r w:rsidRPr="00277835">
        <w:rPr>
          <w:rStyle w:val="af2"/>
          <w:rFonts w:eastAsia="Guttman Hodes" w:hint="cs"/>
          <w:rtl/>
        </w:rPr>
        <w:instrText xml:space="preserve"> _</w:instrText>
      </w:r>
      <w:r w:rsidRPr="00277835">
        <w:rPr>
          <w:rStyle w:val="af2"/>
          <w:rFonts w:eastAsia="Guttman Hodes" w:hint="cs"/>
        </w:rPr>
        <w:instrText>Ref134100578 \r \h</w:instrText>
      </w:r>
      <w:r w:rsidRPr="00277835">
        <w:rPr>
          <w:rStyle w:val="af2"/>
          <w:rFonts w:eastAsia="Guttman Hodes"/>
          <w:rtl/>
        </w:rPr>
        <w:instrText xml:space="preserve"> </w:instrText>
      </w:r>
      <w:r w:rsidRPr="00277835">
        <w:rPr>
          <w:rStyle w:val="af2"/>
          <w:rFonts w:eastAsia="Guttman Hodes"/>
          <w:rtl/>
        </w:rPr>
      </w:r>
      <w:r w:rsidRPr="00277835">
        <w:rPr>
          <w:rStyle w:val="af2"/>
          <w:rFonts w:eastAsia="Guttman Hodes"/>
          <w:rtl/>
        </w:rPr>
        <w:fldChar w:fldCharType="separate"/>
      </w:r>
      <w:r w:rsidR="00D82181">
        <w:rPr>
          <w:rStyle w:val="af2"/>
          <w:rFonts w:eastAsia="Guttman Hodes"/>
          <w:cs/>
        </w:rPr>
        <w:t>‎</w:t>
      </w:r>
      <w:r w:rsidR="00D82181">
        <w:rPr>
          <w:rStyle w:val="af2"/>
          <w:rFonts w:eastAsia="Guttman Hodes"/>
          <w:rtl/>
        </w:rPr>
        <w:t>לח)</w:t>
      </w:r>
      <w:r w:rsidRPr="00277835">
        <w:rPr>
          <w:rStyle w:val="af2"/>
          <w:rFonts w:eastAsia="Guttman Hodes"/>
          <w:rtl/>
        </w:rPr>
        <w:fldChar w:fldCharType="end"/>
      </w:r>
      <w:r>
        <w:rPr>
          <w:rStyle w:val="af2"/>
          <w:rFonts w:eastAsia="Guttman Hodes" w:hint="cs"/>
          <w:rtl/>
        </w:rPr>
        <w:t xml:space="preserve"> </w:t>
      </w:r>
      <w:r>
        <w:rPr>
          <w:rFonts w:hint="cs"/>
          <w:rtl/>
        </w:rPr>
        <w:t xml:space="preserve">במסקנת דבריו דחיוב זורע רק בהתחיל להשריש בשבת. </w:t>
      </w:r>
    </w:p>
    <w:p w14:paraId="5BA08828" w14:textId="77777777" w:rsidR="001C69A8" w:rsidRPr="00747170" w:rsidRDefault="001C69A8" w:rsidP="00747170">
      <w:pPr>
        <w:pStyle w:val="a2"/>
      </w:pPr>
      <w:r w:rsidRPr="00747170">
        <w:t>על ענין מה בין זורע למבשל שכתבתי בח"א )סי' רס"ו( ולא נתברר יפה החילוק הוא שכן הוא המטיל זרעים בארץ כאדם היורה ש"ז לתוך מעיה של אשה שנגמרה מלאכת הזריעה אבל נותן בשר ע"ג גחלים לא היה שם שום שינוי עד שתצלה ודו"ק.</w:t>
      </w:r>
    </w:p>
    <w:p w14:paraId="389447A4" w14:textId="4187DA56" w:rsidR="001C69A8" w:rsidRPr="00537B06" w:rsidRDefault="001C69A8" w:rsidP="001C69A8">
      <w:pPr>
        <w:pStyle w:val="1"/>
        <w:rPr>
          <w:rtl/>
        </w:rPr>
      </w:pPr>
      <w:bookmarkStart w:id="640" w:name="_Toc134347627"/>
      <w:r>
        <w:rPr>
          <w:rFonts w:hint="cs"/>
          <w:rtl/>
        </w:rPr>
        <w:t>בי' הדב"א בהל' קטנות דגמר בידי אדם הוי חלק מגוף המלאכה</w:t>
      </w:r>
      <w:bookmarkEnd w:id="640"/>
    </w:p>
    <w:p w14:paraId="2B8D21A4" w14:textId="77777777" w:rsidR="001C69A8" w:rsidRDefault="001C69A8" w:rsidP="001C69A8">
      <w:pPr>
        <w:pStyle w:val="afffff7"/>
        <w:rPr>
          <w:rtl/>
        </w:rPr>
      </w:pPr>
      <w:bookmarkStart w:id="641" w:name="_Toc134550186"/>
      <w:bookmarkStart w:id="642" w:name="_Toc163505478"/>
      <w:r w:rsidRPr="003C1DC2">
        <w:rPr>
          <w:rFonts w:hint="cs"/>
          <w:rtl/>
        </w:rPr>
        <w:t xml:space="preserve">דבר אברהם </w:t>
      </w:r>
      <w:r>
        <w:rPr>
          <w:rFonts w:hint="cs"/>
          <w:rtl/>
        </w:rPr>
        <w:t>ח</w:t>
      </w:r>
      <w:r>
        <w:rPr>
          <w:rtl/>
        </w:rPr>
        <w:t>"</w:t>
      </w:r>
      <w:r>
        <w:rPr>
          <w:rFonts w:hint="cs"/>
          <w:rtl/>
        </w:rPr>
        <w:t>א סי</w:t>
      </w:r>
      <w:r>
        <w:rPr>
          <w:rtl/>
        </w:rPr>
        <w:t>'</w:t>
      </w:r>
      <w:r>
        <w:rPr>
          <w:rFonts w:hint="cs"/>
          <w:rtl/>
        </w:rPr>
        <w:t xml:space="preserve"> </w:t>
      </w:r>
      <w:r w:rsidRPr="003C1DC2">
        <w:rPr>
          <w:rFonts w:hint="cs"/>
          <w:rtl/>
        </w:rPr>
        <w:t>כג אות ו' ד</w:t>
      </w:r>
      <w:r w:rsidRPr="003C1DC2">
        <w:rPr>
          <w:rFonts w:cs="Guttman Hodes" w:hint="cs"/>
          <w:rtl/>
        </w:rPr>
        <w:t>"</w:t>
      </w:r>
      <w:r w:rsidRPr="003C1DC2">
        <w:rPr>
          <w:rFonts w:hint="cs"/>
          <w:rtl/>
        </w:rPr>
        <w:t xml:space="preserve">ה </w:t>
      </w:r>
      <w:r>
        <w:rPr>
          <w:rtl/>
        </w:rPr>
        <w:t>וראיתי</w:t>
      </w:r>
      <w:bookmarkEnd w:id="641"/>
      <w:bookmarkEnd w:id="642"/>
    </w:p>
    <w:p w14:paraId="605059DB" w14:textId="77777777" w:rsidR="001C69A8" w:rsidRDefault="001C69A8" w:rsidP="001C69A8">
      <w:pPr>
        <w:pStyle w:val="a7"/>
        <w:rPr>
          <w:rtl/>
        </w:rPr>
      </w:pPr>
      <w:bookmarkStart w:id="643" w:name="_Toc134347628"/>
      <w:r>
        <w:rPr>
          <w:rFonts w:hint="cs"/>
          <w:rtl/>
        </w:rPr>
        <w:t>בי' הדב"א בהל' קטנות דמלאכה שאפשר לגומרה בידי אדם אי לא גמרה חשיב חצי מלאכה</w:t>
      </w:r>
      <w:bookmarkEnd w:id="643"/>
    </w:p>
    <w:p w14:paraId="05941921" w14:textId="751767E9" w:rsidR="001C69A8" w:rsidRDefault="001C69A8" w:rsidP="00BC7DC8">
      <w:pPr>
        <w:pStyle w:val="a3"/>
        <w:rPr>
          <w:rtl/>
        </w:rPr>
      </w:pPr>
      <w:bookmarkStart w:id="644" w:name="_Ref133873167"/>
      <w:bookmarkStart w:id="645" w:name="_Ref133874023"/>
      <w:r>
        <w:rPr>
          <w:rFonts w:hint="cs"/>
          <w:rtl/>
        </w:rPr>
        <w:t xml:space="preserve">והביא </w:t>
      </w:r>
      <w:r w:rsidRPr="000650B4">
        <w:rPr>
          <w:rStyle w:val="aff4"/>
          <w:rFonts w:hint="cs"/>
          <w:vanish/>
          <w:rtl/>
        </w:rPr>
        <w:t>-</w:t>
      </w:r>
      <w:r w:rsidRPr="00410BCE">
        <w:rPr>
          <w:rStyle w:val="aff4"/>
          <w:rFonts w:hint="cs"/>
          <w:rtl/>
        </w:rPr>
        <w:t>ה</w:t>
      </w:r>
      <w:r w:rsidRPr="000650B4">
        <w:rPr>
          <w:rStyle w:val="aff4"/>
          <w:rFonts w:hint="cs"/>
          <w:vanish/>
          <w:rtl/>
        </w:rPr>
        <w:t xml:space="preserve">&lt;. </w:t>
      </w:r>
      <w:r w:rsidRPr="000650B4">
        <w:rPr>
          <w:rStyle w:val="aff4"/>
          <w:vanish/>
          <w:rtl/>
        </w:rPr>
        <w:fldChar w:fldCharType="begin"/>
      </w:r>
      <w:r w:rsidRPr="000650B4">
        <w:rPr>
          <w:rStyle w:val="aff4"/>
          <w:vanish/>
          <w:rtl/>
        </w:rPr>
        <w:instrText xml:space="preserve"> </w:instrText>
      </w:r>
      <w:r w:rsidRPr="000650B4">
        <w:rPr>
          <w:rStyle w:val="aff4"/>
          <w:rFonts w:hint="cs"/>
          <w:vanish/>
        </w:rPr>
        <w:instrText>REF</w:instrText>
      </w:r>
      <w:r w:rsidRPr="000650B4">
        <w:rPr>
          <w:rStyle w:val="aff4"/>
          <w:rFonts w:hint="cs"/>
          <w:vanish/>
          <w:rtl/>
        </w:rPr>
        <w:instrText xml:space="preserve"> _</w:instrText>
      </w:r>
      <w:r w:rsidRPr="000650B4">
        <w:rPr>
          <w:rStyle w:val="aff4"/>
          <w:rFonts w:hint="cs"/>
          <w:vanish/>
        </w:rPr>
        <w:instrText>Ref133873167 \r \h</w:instrText>
      </w:r>
      <w:r w:rsidRPr="000650B4">
        <w:rPr>
          <w:rStyle w:val="aff4"/>
          <w:vanish/>
          <w:rtl/>
        </w:rPr>
        <w:instrText xml:space="preserve"> </w:instrText>
      </w:r>
      <w:r>
        <w:rPr>
          <w:rStyle w:val="aff4"/>
          <w:vanish/>
          <w:rtl/>
        </w:rPr>
        <w:instrText xml:space="preserve"> \* </w:instrText>
      </w:r>
      <w:r>
        <w:rPr>
          <w:rStyle w:val="aff4"/>
          <w:vanish/>
        </w:rPr>
        <w:instrText>MERGEFORMAT</w:instrText>
      </w:r>
      <w:r>
        <w:rPr>
          <w:rStyle w:val="aff4"/>
          <w:vanish/>
          <w:rtl/>
        </w:rPr>
        <w:instrText xml:space="preserve"> </w:instrText>
      </w:r>
      <w:r w:rsidRPr="000650B4">
        <w:rPr>
          <w:rStyle w:val="aff4"/>
          <w:vanish/>
          <w:rtl/>
        </w:rPr>
      </w:r>
      <w:r w:rsidRPr="000650B4">
        <w:rPr>
          <w:rStyle w:val="aff4"/>
          <w:vanish/>
          <w:rtl/>
        </w:rPr>
        <w:fldChar w:fldCharType="separate"/>
      </w:r>
      <w:r w:rsidR="00D82181">
        <w:rPr>
          <w:rStyle w:val="aff4"/>
          <w:vanish/>
          <w:cs/>
        </w:rPr>
        <w:t>‎</w:t>
      </w:r>
      <w:r w:rsidR="00D82181">
        <w:rPr>
          <w:rStyle w:val="aff4"/>
          <w:vanish/>
          <w:rtl/>
        </w:rPr>
        <w:t>כג)</w:t>
      </w:r>
      <w:r w:rsidRPr="000650B4">
        <w:rPr>
          <w:rStyle w:val="aff4"/>
          <w:vanish/>
          <w:rtl/>
        </w:rPr>
        <w:fldChar w:fldCharType="end"/>
      </w:r>
      <w:r w:rsidRPr="000650B4">
        <w:rPr>
          <w:rStyle w:val="aff4"/>
          <w:rFonts w:hint="cs"/>
          <w:vanish/>
          <w:rtl/>
        </w:rPr>
        <w:t xml:space="preserve"> &gt;</w:t>
      </w:r>
      <w:r w:rsidRPr="00410BCE">
        <w:rPr>
          <w:rStyle w:val="aff4"/>
          <w:rFonts w:hint="cs"/>
          <w:rtl/>
        </w:rPr>
        <w:t>דבר אברהם</w:t>
      </w:r>
      <w:r w:rsidRPr="000650B4">
        <w:rPr>
          <w:rStyle w:val="aff4"/>
          <w:rFonts w:hint="cs"/>
          <w:vanish/>
          <w:rtl/>
        </w:rPr>
        <w:t>-</w:t>
      </w:r>
      <w:r>
        <w:rPr>
          <w:rFonts w:hint="cs"/>
          <w:rtl/>
        </w:rPr>
        <w:t xml:space="preserve"> </w:t>
      </w:r>
      <w:r w:rsidRPr="00277835">
        <w:rPr>
          <w:rStyle w:val="af2"/>
          <w:rFonts w:eastAsia="Guttman Hodes" w:hint="cs"/>
          <w:rtl/>
        </w:rPr>
        <w:t>(ח"א סי' כ"ג אות ו' ד"ה וראיתי)</w:t>
      </w:r>
      <w:r w:rsidRPr="000650B4">
        <w:rPr>
          <w:rFonts w:hint="cs"/>
          <w:vanish/>
          <w:rtl/>
        </w:rPr>
        <w:t>=</w:t>
      </w:r>
      <w:r>
        <w:rPr>
          <w:rFonts w:hint="cs"/>
          <w:rtl/>
        </w:rPr>
        <w:t xml:space="preserve"> את דברי </w:t>
      </w:r>
      <w:r w:rsidRPr="000650B4">
        <w:rPr>
          <w:rStyle w:val="aff4"/>
          <w:rFonts w:hint="cs"/>
          <w:vanish/>
          <w:rtl/>
        </w:rPr>
        <w:t>-</w:t>
      </w:r>
      <w:r w:rsidRPr="00410BCE">
        <w:rPr>
          <w:rStyle w:val="aff4"/>
          <w:rFonts w:hint="cs"/>
          <w:rtl/>
        </w:rPr>
        <w:t>ההלכות קטנות</w:t>
      </w:r>
      <w:r w:rsidRPr="000650B4">
        <w:rPr>
          <w:rStyle w:val="aff4"/>
          <w:rFonts w:hint="cs"/>
          <w:vanish/>
          <w:rtl/>
        </w:rPr>
        <w:t>-</w:t>
      </w:r>
      <w:r>
        <w:rPr>
          <w:rFonts w:hint="cs"/>
          <w:rtl/>
        </w:rPr>
        <w:t xml:space="preserve"> </w:t>
      </w:r>
      <w:r w:rsidRPr="00277835">
        <w:rPr>
          <w:rStyle w:val="af2"/>
          <w:rFonts w:eastAsia="Guttman Hodes" w:hint="cs"/>
          <w:rtl/>
        </w:rPr>
        <w:t xml:space="preserve">(עי' אות </w:t>
      </w:r>
      <w:r w:rsidRPr="00277835">
        <w:rPr>
          <w:rStyle w:val="af2"/>
          <w:rFonts w:eastAsia="Guttman Hodes"/>
          <w:rtl/>
        </w:rPr>
        <w:fldChar w:fldCharType="begin"/>
      </w:r>
      <w:r w:rsidRPr="00277835">
        <w:rPr>
          <w:rStyle w:val="af2"/>
          <w:rFonts w:eastAsia="Guttman Hodes"/>
          <w:rtl/>
        </w:rPr>
        <w:instrText xml:space="preserve"> </w:instrText>
      </w:r>
      <w:r w:rsidRPr="00277835">
        <w:rPr>
          <w:rStyle w:val="af2"/>
          <w:rFonts w:eastAsia="Guttman Hodes" w:hint="cs"/>
        </w:rPr>
        <w:instrText>REF</w:instrText>
      </w:r>
      <w:r w:rsidRPr="00277835">
        <w:rPr>
          <w:rStyle w:val="af2"/>
          <w:rFonts w:eastAsia="Guttman Hodes" w:hint="cs"/>
          <w:rtl/>
        </w:rPr>
        <w:instrText xml:space="preserve"> _</w:instrText>
      </w:r>
      <w:r w:rsidRPr="00277835">
        <w:rPr>
          <w:rStyle w:val="af2"/>
          <w:rFonts w:eastAsia="Guttman Hodes" w:hint="cs"/>
        </w:rPr>
        <w:instrText>Ref133874041 \r \h</w:instrText>
      </w:r>
      <w:r w:rsidRPr="00277835">
        <w:rPr>
          <w:rStyle w:val="af2"/>
          <w:rFonts w:eastAsia="Guttman Hodes"/>
          <w:rtl/>
        </w:rPr>
        <w:instrText xml:space="preserve"> </w:instrText>
      </w:r>
      <w:r w:rsidRPr="00277835">
        <w:rPr>
          <w:rStyle w:val="af2"/>
          <w:rFonts w:eastAsia="Guttman Hodes"/>
          <w:rtl/>
        </w:rPr>
      </w:r>
      <w:r w:rsidRPr="00277835">
        <w:rPr>
          <w:rStyle w:val="af2"/>
          <w:rFonts w:eastAsia="Guttman Hodes"/>
          <w:rtl/>
        </w:rPr>
        <w:fldChar w:fldCharType="separate"/>
      </w:r>
      <w:r w:rsidR="00D82181">
        <w:rPr>
          <w:rStyle w:val="af2"/>
          <w:rFonts w:eastAsia="Guttman Hodes"/>
          <w:cs/>
        </w:rPr>
        <w:t>‎</w:t>
      </w:r>
      <w:r w:rsidR="00D82181">
        <w:rPr>
          <w:rStyle w:val="af2"/>
          <w:rFonts w:eastAsia="Guttman Hodes"/>
          <w:rtl/>
        </w:rPr>
        <w:t>כ)</w:t>
      </w:r>
      <w:r w:rsidRPr="00277835">
        <w:rPr>
          <w:rStyle w:val="af2"/>
          <w:rFonts w:eastAsia="Guttman Hodes"/>
          <w:rtl/>
        </w:rPr>
        <w:fldChar w:fldCharType="end"/>
      </w:r>
      <w:r>
        <w:rPr>
          <w:rFonts w:hint="cs"/>
          <w:rtl/>
        </w:rPr>
        <w:t xml:space="preserve"> דכתב דהבישול והאפיה נגמרים בידי אדםאבל בזריעה כל המלאכה היא בידי שמים, וביאר </w:t>
      </w:r>
      <w:r w:rsidRPr="000650B4">
        <w:rPr>
          <w:rStyle w:val="aff4"/>
          <w:rFonts w:hint="cs"/>
          <w:vanish/>
          <w:rtl/>
        </w:rPr>
        <w:t>-</w:t>
      </w:r>
      <w:r w:rsidRPr="00410BCE">
        <w:rPr>
          <w:rStyle w:val="aff4"/>
          <w:rFonts w:hint="cs"/>
          <w:rtl/>
        </w:rPr>
        <w:t>הדבר אברהם</w:t>
      </w:r>
      <w:r w:rsidRPr="000650B4">
        <w:rPr>
          <w:rStyle w:val="aff4"/>
          <w:rFonts w:hint="cs"/>
          <w:vanish/>
          <w:rtl/>
        </w:rPr>
        <w:t>-</w:t>
      </w:r>
      <w:r>
        <w:rPr>
          <w:rFonts w:hint="cs"/>
          <w:rtl/>
        </w:rPr>
        <w:t xml:space="preserve"> דמלאכה שאפשר לגומרה בידי אדם, א"כ הגמר מלאכה הוא חלק מהמלאכה, כיון שהעושה את המלאכה יכול לגומרה, ובאופן שהאדם לא גמר את המלאכה, חשיב שעשה רק חצי מלאכה.</w:t>
      </w:r>
    </w:p>
    <w:p w14:paraId="1D94B00D" w14:textId="77777777" w:rsidR="001C69A8" w:rsidRPr="00747170" w:rsidRDefault="001C69A8" w:rsidP="00747170">
      <w:pPr>
        <w:pStyle w:val="a2"/>
      </w:pPr>
      <w:r w:rsidRPr="00747170">
        <w:t>וראיתי בשו"ת הלכות קטנות להר"מ חאגיז ז"ל )סי' רס"ו( שכ' ג"כ דזורע חייב מיד וחלוק הוא ממבשל בזה שהמבשל ואופה עדיין גמרו בידי אדם שצריך להגיס בקדרה ולחתות בגחלים אבל בזורע הכל בידי שמים עכ"ל. והדברים האלה ממותקים לע"ד אם מכוונים הם עם מה שכתבנו בעדיפות הקוצר על המבשל, ולפי"ז עיקר החילוק הוא בזה, דכל מלאכה שגמר שלה אפשר ליעשות ע"י בני אדם נכלל בתוכה גם הגמר שיוכל ליעשות ע"י עושה המלאכה ואם לא גמר הוי רק חצי מלאכה</w:t>
      </w:r>
      <w:r w:rsidRPr="00747170">
        <w:rPr>
          <w:rFonts w:hint="cs"/>
        </w:rPr>
        <w:t>.</w:t>
      </w:r>
    </w:p>
    <w:p w14:paraId="6C32AAE0" w14:textId="77777777" w:rsidR="001C69A8" w:rsidRPr="00932A6B" w:rsidRDefault="001C69A8" w:rsidP="001C69A8">
      <w:pPr>
        <w:pStyle w:val="a7"/>
      </w:pPr>
      <w:bookmarkStart w:id="646" w:name="_Toc134347629"/>
      <w:r>
        <w:rPr>
          <w:rFonts w:hint="cs"/>
          <w:rtl/>
        </w:rPr>
        <w:t>בי' הדב"א דמלאכה שנגמרת רק בידים שמים או דאפשר לגומרה כך הגמר אינו מגוף המלאכה</w:t>
      </w:r>
      <w:bookmarkEnd w:id="646"/>
    </w:p>
    <w:p w14:paraId="6ED25081" w14:textId="21D6BAE0" w:rsidR="001C69A8" w:rsidRPr="00C71F53" w:rsidRDefault="001C69A8" w:rsidP="00BC7DC8">
      <w:pPr>
        <w:pStyle w:val="a3"/>
      </w:pPr>
      <w:r>
        <w:rPr>
          <w:rFonts w:hint="cs"/>
          <w:rtl/>
        </w:rPr>
        <w:t xml:space="preserve">וכתב </w:t>
      </w:r>
      <w:r w:rsidRPr="000650B4">
        <w:rPr>
          <w:rStyle w:val="aff4"/>
          <w:rFonts w:hint="cs"/>
          <w:vanish/>
          <w:rtl/>
        </w:rPr>
        <w:t>-</w:t>
      </w:r>
      <w:r w:rsidRPr="00410BCE">
        <w:rPr>
          <w:rStyle w:val="aff4"/>
          <w:rFonts w:hint="cs"/>
          <w:rtl/>
        </w:rPr>
        <w:t>הדבר אברהם</w:t>
      </w:r>
      <w:r w:rsidRPr="000650B4">
        <w:rPr>
          <w:rStyle w:val="aff4"/>
          <w:rFonts w:hint="cs"/>
          <w:vanish/>
          <w:rtl/>
        </w:rPr>
        <w:t>-</w:t>
      </w:r>
      <w:r>
        <w:rPr>
          <w:rFonts w:hint="cs"/>
          <w:rtl/>
        </w:rPr>
        <w:t xml:space="preserve"> דמלאכה שהגמר שלה יכול להעשות רק בידי שמים, או שהרגילות היא שהגמר הוא בידי שמים, א"כ גמר המלאכה אינו חלק מגוף המלאכה,</w:t>
      </w:r>
      <w:bookmarkEnd w:id="644"/>
      <w:r>
        <w:rPr>
          <w:rFonts w:hint="cs"/>
          <w:rtl/>
        </w:rPr>
        <w:t xml:space="preserve"> דהמלאכה היא רק בדבר שהדרך שהאדם עושה אותו, וכל שהאדם עשה את כל המעשה שהדרך לעשות במלאכה זו, חשיב שגמר את כל המלאכה, וגמר המלאכה אח"כ חשיב שנעשה מאיליו. </w:t>
      </w:r>
      <w:r>
        <w:rPr>
          <w:rStyle w:val="af"/>
          <w:rFonts w:hint="cs"/>
          <w:rtl/>
        </w:rPr>
        <w:t>[</w:t>
      </w:r>
      <w:r w:rsidRPr="00277835">
        <w:rPr>
          <w:rStyle w:val="af"/>
          <w:rFonts w:hint="cs"/>
          <w:rtl/>
        </w:rPr>
        <w:t xml:space="preserve">ועיי"ש במה שביאר </w:t>
      </w:r>
      <w:r w:rsidRPr="001E13AC">
        <w:rPr>
          <w:rStyle w:val="aff9"/>
          <w:rFonts w:hint="cs"/>
          <w:vanish/>
          <w:rtl/>
        </w:rPr>
        <w:t>-</w:t>
      </w:r>
      <w:r w:rsidRPr="00277835">
        <w:rPr>
          <w:rStyle w:val="aff9"/>
          <w:rFonts w:hint="cs"/>
          <w:rtl/>
        </w:rPr>
        <w:t>הדבר אברהם</w:t>
      </w:r>
      <w:r w:rsidRPr="001E13AC">
        <w:rPr>
          <w:rStyle w:val="aff9"/>
          <w:rFonts w:hint="cs"/>
          <w:vanish/>
          <w:rtl/>
        </w:rPr>
        <w:t>-</w:t>
      </w:r>
      <w:r w:rsidRPr="00277835">
        <w:rPr>
          <w:rStyle w:val="af"/>
          <w:rFonts w:hint="cs"/>
          <w:rtl/>
        </w:rPr>
        <w:t xml:space="preserve"> לפי"ז לענין מלאכת גוזז]</w:t>
      </w:r>
      <w:r w:rsidRPr="00563D63">
        <w:rPr>
          <w:rStyle w:val="af"/>
          <w:rFonts w:hint="cs"/>
          <w:rtl/>
        </w:rPr>
        <w:t>.</w:t>
      </w:r>
      <w:bookmarkEnd w:id="645"/>
    </w:p>
    <w:p w14:paraId="15674BE5" w14:textId="77777777" w:rsidR="001C69A8" w:rsidRPr="00747170" w:rsidRDefault="001C69A8" w:rsidP="00747170">
      <w:pPr>
        <w:pStyle w:val="a2"/>
      </w:pPr>
      <w:r w:rsidRPr="00747170">
        <w:t>וכל מלאכה שגמר שלה נעשה רק בידי שמים או שרגילותו בכך אין הגמר שייך לגוף המלאכה כלל, ר"ל דאין שם המלאכה כולל אלא מה שדרכו ליעשות ע"י מעשי בנ"א ומכיון שגומר כל מה שבנ"א עושין במלאכה זו הרי זה גומר כל המלאכה לענין חיוב שבת ואידך ממילא אתיא. וא"כ בגוזז נמי אף על פי שאפשר למיעוט הנשאר שיהא נפרך גם מאליו מ"מ כיון דאפשר ודרכו ליגמר בבני אדם הוי הגמר חלק מן המלאכה כולה. והוא גדר מסוים ומלא הבנה בגדרי המלאכות</w:t>
      </w:r>
      <w:r w:rsidRPr="00747170">
        <w:rPr>
          <w:rFonts w:hint="cs"/>
        </w:rPr>
        <w:t>.</w:t>
      </w:r>
    </w:p>
    <w:p w14:paraId="36D73A60" w14:textId="408DF754" w:rsidR="001C69A8" w:rsidRDefault="001C69A8" w:rsidP="001C69A8">
      <w:pPr>
        <w:pStyle w:val="a7"/>
        <w:rPr>
          <w:rtl/>
        </w:rPr>
      </w:pPr>
      <w:bookmarkStart w:id="647" w:name="_Toc134347630"/>
      <w:r>
        <w:rPr>
          <w:rFonts w:hint="cs"/>
          <w:rtl/>
        </w:rPr>
        <w:t>בי' הדב"א דלא מסתבר לומר דרק מלאכה שהגמר שלה הוא רק בידי אדם הגמר מגוף המלאכה</w:t>
      </w:r>
      <w:bookmarkEnd w:id="647"/>
    </w:p>
    <w:p w14:paraId="79E758D3" w14:textId="77777777" w:rsidR="001C69A8" w:rsidRDefault="001C69A8" w:rsidP="00BC7DC8">
      <w:pPr>
        <w:pStyle w:val="a3"/>
      </w:pPr>
      <w:r>
        <w:rPr>
          <w:rFonts w:hint="cs"/>
          <w:rtl/>
        </w:rPr>
        <w:t xml:space="preserve">וכתב </w:t>
      </w:r>
      <w:r w:rsidRPr="000650B4">
        <w:rPr>
          <w:rStyle w:val="aff4"/>
          <w:rFonts w:hint="cs"/>
          <w:vanish/>
          <w:rtl/>
        </w:rPr>
        <w:t>-</w:t>
      </w:r>
      <w:r w:rsidRPr="00410BCE">
        <w:rPr>
          <w:rStyle w:val="aff4"/>
          <w:rFonts w:hint="cs"/>
          <w:rtl/>
        </w:rPr>
        <w:t>הדבר אברהם</w:t>
      </w:r>
      <w:r w:rsidRPr="000650B4">
        <w:rPr>
          <w:rStyle w:val="aff4"/>
          <w:rFonts w:hint="cs"/>
          <w:vanish/>
          <w:rtl/>
        </w:rPr>
        <w:t>-</w:t>
      </w:r>
      <w:r>
        <w:rPr>
          <w:rFonts w:hint="cs"/>
          <w:rtl/>
        </w:rPr>
        <w:t xml:space="preserve"> דא"א לבאר להיפך דרק במלאכה שנגמרת רק בידי אדם, הגמר הוא חלק מגוף המלאכה, אבל מלאכה שאפשר </w:t>
      </w:r>
      <w:r>
        <w:rPr>
          <w:rFonts w:hint="cs"/>
          <w:rtl/>
        </w:rPr>
        <w:t>לגומרה שלא בידי אדם, אין הגמר חלק מהמלאכה, דלא מסתבר לומר כן.</w:t>
      </w:r>
    </w:p>
    <w:p w14:paraId="3B47A2B2" w14:textId="77777777" w:rsidR="001C69A8" w:rsidRPr="00747170" w:rsidRDefault="001C69A8" w:rsidP="00747170">
      <w:pPr>
        <w:pStyle w:val="a2"/>
      </w:pPr>
      <w:r w:rsidRPr="00747170">
        <w:t>אבל אין לומר להיפוך דדוקא במלאכה שגמר שלה נעשה בהכרח ע"י בנ"א הוא דשייך הגמר להמלאכה אבל אם יש רק אפשרות להגמר ליעשות מאליו אף על פי שאפשר לעשותו גם ע"י בנ"א אינו שייך כבר להמלאכה, ולפי"ז במפריש ציצי עור ה"נ כיון דאפשר מיהא למיעוט הנשאר להיות נפרך גם מאליו אין הגמר שייך להמלאכה ויתחייב מיד, דז"א חדא שאין הדעת נותנת כן ועוד מי לא אפשר למבשל שיגמר מאליו בלא הגסה וחתייה בגחלים כגון במדורה גדולה וכדומה</w:t>
      </w:r>
      <w:r w:rsidRPr="00747170">
        <w:rPr>
          <w:rFonts w:hint="cs"/>
        </w:rPr>
        <w:t>.</w:t>
      </w:r>
    </w:p>
    <w:p w14:paraId="46394CDF" w14:textId="1F957D58" w:rsidR="001C69A8" w:rsidRPr="00CA3671" w:rsidRDefault="001C69A8" w:rsidP="001C69A8">
      <w:pPr>
        <w:pStyle w:val="a7"/>
        <w:rPr>
          <w:rtl/>
        </w:rPr>
      </w:pPr>
      <w:bookmarkStart w:id="648" w:name="_Toc134347631"/>
      <w:r>
        <w:rPr>
          <w:rFonts w:hint="cs"/>
          <w:rtl/>
        </w:rPr>
        <w:t>הוכחת הדב"א משולה דג דחייב כשיבש דאף שאפשר לגומרה בידי שמים הגמר מגוף המלאכה</w:t>
      </w:r>
      <w:bookmarkEnd w:id="648"/>
    </w:p>
    <w:p w14:paraId="1F46E86C" w14:textId="77777777" w:rsidR="001C69A8" w:rsidRDefault="001C69A8" w:rsidP="00BC7DC8">
      <w:pPr>
        <w:pStyle w:val="a3"/>
      </w:pPr>
      <w:r>
        <w:rPr>
          <w:rFonts w:hint="cs"/>
          <w:rtl/>
        </w:rPr>
        <w:t xml:space="preserve">והוסיף </w:t>
      </w:r>
      <w:r w:rsidRPr="000650B4">
        <w:rPr>
          <w:rStyle w:val="aff4"/>
          <w:rFonts w:hint="cs"/>
          <w:vanish/>
          <w:rtl/>
        </w:rPr>
        <w:t>-</w:t>
      </w:r>
      <w:r w:rsidRPr="00410BCE">
        <w:rPr>
          <w:rStyle w:val="aff4"/>
          <w:rFonts w:hint="cs"/>
          <w:rtl/>
        </w:rPr>
        <w:t>הדבר אברהם</w:t>
      </w:r>
      <w:r w:rsidRPr="000650B4">
        <w:rPr>
          <w:rStyle w:val="aff4"/>
          <w:rFonts w:hint="cs"/>
          <w:vanish/>
          <w:rtl/>
        </w:rPr>
        <w:t>-</w:t>
      </w:r>
      <w:r>
        <w:rPr>
          <w:rFonts w:hint="cs"/>
          <w:rtl/>
        </w:rPr>
        <w:t xml:space="preserve"> דאי נימא דרק מלאכה שנגמרת רק בידי אדם חייב על הגמר, א"כ קשה מהא דאיתא בגמ' לקמן </w:t>
      </w:r>
      <w:r w:rsidRPr="00277835">
        <w:rPr>
          <w:rStyle w:val="af2"/>
          <w:rFonts w:eastAsia="Guttman Hodes" w:hint="cs"/>
          <w:rtl/>
        </w:rPr>
        <w:t>(קז:)</w:t>
      </w:r>
      <w:r>
        <w:rPr>
          <w:rFonts w:hint="cs"/>
          <w:rtl/>
        </w:rPr>
        <w:t xml:space="preserve"> דהשולה דג מן הים כיון שיבש בו כסלע חייב, ומשמע דאם החזירו לים לפני שיבש פטור, כיון דלא נגמרה המלאכה, והא הגמר דהדג מתייבש אינו בידי אדם אלא בידי שמים, וא"כ צריך להתחייב מיד כששלה את הדג מהים, דבזה נגמר מעשה האדם במלאכה.</w:t>
      </w:r>
    </w:p>
    <w:p w14:paraId="7E4F2FCD" w14:textId="77777777" w:rsidR="001C69A8" w:rsidRPr="00747170" w:rsidRDefault="001C69A8" w:rsidP="00747170">
      <w:pPr>
        <w:pStyle w:val="a2"/>
      </w:pPr>
      <w:r w:rsidRPr="00747170">
        <w:t>ויותר מזה יקשה דמה נעני להא דאמר שמואל בשבת )דף ק"ז ע"ב( השולה דג מן הים כיון שיבש בו כסלע חייב ומשמע דקודם שיבש בו כסלע לא נגמר עדיין חיוב המלאכה ואם חזר והשליכו לים פטור והרי התם תבוא היבשות בדג בידי שמים ולא במעשי בנ"א ויתחייב לפי"ז מיד</w:t>
      </w:r>
      <w:r w:rsidRPr="00747170">
        <w:rPr>
          <w:rFonts w:hint="cs"/>
        </w:rPr>
        <w:t>.</w:t>
      </w:r>
    </w:p>
    <w:p w14:paraId="3EE9D0FF" w14:textId="3AF7B555" w:rsidR="001C69A8" w:rsidRPr="00CA3671" w:rsidRDefault="001C69A8" w:rsidP="001C69A8">
      <w:pPr>
        <w:pStyle w:val="a7"/>
      </w:pPr>
      <w:bookmarkStart w:id="649" w:name="_Toc134347632"/>
      <w:r>
        <w:rPr>
          <w:rFonts w:hint="cs"/>
          <w:rtl/>
        </w:rPr>
        <w:t>בי' הדב"א דבאפשר לגומרה בידי אדם הגמר מגוף המלאכה ובשולה דג אפשר לגומרה באדם</w:t>
      </w:r>
      <w:bookmarkEnd w:id="649"/>
    </w:p>
    <w:p w14:paraId="2B03947D" w14:textId="77777777" w:rsidR="001C69A8" w:rsidRPr="002B4F75" w:rsidRDefault="001C69A8" w:rsidP="00BC7DC8">
      <w:pPr>
        <w:pStyle w:val="a3"/>
      </w:pPr>
      <w:r>
        <w:rPr>
          <w:rFonts w:hint="cs"/>
          <w:rtl/>
        </w:rPr>
        <w:t xml:space="preserve">אלא כתב </w:t>
      </w:r>
      <w:r w:rsidRPr="000650B4">
        <w:rPr>
          <w:rStyle w:val="aff4"/>
          <w:rFonts w:hint="cs"/>
          <w:vanish/>
          <w:rtl/>
        </w:rPr>
        <w:t>-</w:t>
      </w:r>
      <w:r w:rsidRPr="00410BCE">
        <w:rPr>
          <w:rStyle w:val="aff4"/>
          <w:rFonts w:hint="cs"/>
          <w:rtl/>
        </w:rPr>
        <w:t>הדבר אברהם</w:t>
      </w:r>
      <w:r w:rsidRPr="000650B4">
        <w:rPr>
          <w:rStyle w:val="aff4"/>
          <w:rFonts w:hint="cs"/>
          <w:vanish/>
          <w:rtl/>
        </w:rPr>
        <w:t>-</w:t>
      </w:r>
      <w:r>
        <w:rPr>
          <w:rFonts w:hint="cs"/>
          <w:rtl/>
        </w:rPr>
        <w:t xml:space="preserve"> דמוכח דכל מלאכה שאפשר לגמור את המלאכה בידי אדם, הגמר הוא חלק ממעשה המלאכה, ולכן בשולה דג מן הים דגמר המלאכה היא הנטילת נשמה, ואפשר ליטול את הנשמה או בידי אדם או בידי שמים, לכן הגמר הוא חלק ממעשה המלאכה, ורק כשיבש בו כסלע חייב.</w:t>
      </w:r>
    </w:p>
    <w:p w14:paraId="43644EAF" w14:textId="77777777" w:rsidR="001C69A8" w:rsidRPr="00747170" w:rsidRDefault="001C69A8" w:rsidP="00747170">
      <w:pPr>
        <w:pStyle w:val="a2"/>
      </w:pPr>
      <w:r w:rsidRPr="00747170">
        <w:t xml:space="preserve">אלא ודאי כמו שכתבנו שהענין הוא להיפוך דכ"מ שאפשר ליגמר ע"י בנ"א נכלל גם הגמר בהמלאכה ומשו"ה ניחא ההיא דשולה דג מן הים דפטור כל זמן שלא יבש לפי שחיובו משום נטילת נשמה הוא כמבואר התם ונטילת נשמה גמר שלה אפשר גם בידי אדם. ויש להאריך בזה אבל אינו שייך כ"כ לענייננו: </w:t>
      </w:r>
    </w:p>
    <w:p w14:paraId="7A2B7027" w14:textId="4FF659D1" w:rsidR="001C69A8" w:rsidRDefault="001C69A8" w:rsidP="001C69A8">
      <w:pPr>
        <w:pStyle w:val="afffff7"/>
        <w:rPr>
          <w:rtl/>
        </w:rPr>
      </w:pPr>
      <w:bookmarkStart w:id="650" w:name="_Toc134550187"/>
      <w:bookmarkStart w:id="651" w:name="_Toc163505479"/>
      <w:r>
        <w:rPr>
          <w:rtl/>
        </w:rPr>
        <w:t>דבר אברהם חלק א סימן כ</w:t>
      </w:r>
      <w:r>
        <w:rPr>
          <w:rFonts w:hint="cs"/>
          <w:rtl/>
        </w:rPr>
        <w:t>ה ד"ה אולם</w:t>
      </w:r>
      <w:bookmarkEnd w:id="650"/>
      <w:bookmarkEnd w:id="651"/>
    </w:p>
    <w:p w14:paraId="6F7A8D8A" w14:textId="77777777" w:rsidR="001C69A8" w:rsidRDefault="001C69A8" w:rsidP="001C69A8">
      <w:pPr>
        <w:pStyle w:val="1"/>
        <w:rPr>
          <w:rtl/>
        </w:rPr>
      </w:pPr>
      <w:bookmarkStart w:id="652" w:name="_Toc134347633"/>
      <w:r>
        <w:rPr>
          <w:rFonts w:hint="cs"/>
          <w:rtl/>
        </w:rPr>
        <w:t>בי' ההר צבי בהל' קטנות דחיוב מלאכה כמו שהייתה במשכן</w:t>
      </w:r>
      <w:bookmarkEnd w:id="652"/>
    </w:p>
    <w:p w14:paraId="4B94CD42" w14:textId="77777777" w:rsidR="001C69A8" w:rsidRDefault="001C69A8" w:rsidP="001C69A8">
      <w:pPr>
        <w:pStyle w:val="afffff7"/>
        <w:rPr>
          <w:rtl/>
        </w:rPr>
      </w:pPr>
      <w:bookmarkStart w:id="653" w:name="_Toc134550188"/>
      <w:bookmarkStart w:id="654" w:name="_Toc163505480"/>
      <w:r>
        <w:rPr>
          <w:rFonts w:hint="cs"/>
          <w:rtl/>
        </w:rPr>
        <w:t>שו</w:t>
      </w:r>
      <w:r>
        <w:rPr>
          <w:rFonts w:cs="Guttman Hodes" w:hint="cs"/>
          <w:rtl/>
        </w:rPr>
        <w:t>"</w:t>
      </w:r>
      <w:r>
        <w:rPr>
          <w:rFonts w:hint="cs"/>
          <w:rtl/>
        </w:rPr>
        <w:t>ת הר צבי או</w:t>
      </w:r>
      <w:r>
        <w:rPr>
          <w:rFonts w:cs="Guttman Hodes" w:hint="cs"/>
          <w:rtl/>
        </w:rPr>
        <w:t>"</w:t>
      </w:r>
      <w:r>
        <w:rPr>
          <w:rFonts w:hint="cs"/>
          <w:rtl/>
        </w:rPr>
        <w:t>ח ח</w:t>
      </w:r>
      <w:r>
        <w:rPr>
          <w:rFonts w:cs="Guttman Hodes" w:hint="cs"/>
          <w:rtl/>
        </w:rPr>
        <w:t>"</w:t>
      </w:r>
      <w:r>
        <w:rPr>
          <w:rFonts w:hint="cs"/>
          <w:rtl/>
        </w:rPr>
        <w:t>א סי' קכ</w:t>
      </w:r>
      <w:r>
        <w:rPr>
          <w:rFonts w:cs="Guttman Hodes" w:hint="cs"/>
          <w:rtl/>
        </w:rPr>
        <w:t>"</w:t>
      </w:r>
      <w:r>
        <w:rPr>
          <w:rFonts w:hint="cs"/>
          <w:rtl/>
        </w:rPr>
        <w:t>ח</w:t>
      </w:r>
      <w:r>
        <w:rPr>
          <w:rtl/>
        </w:rPr>
        <w:t xml:space="preserve"> </w:t>
      </w:r>
      <w:r>
        <w:rPr>
          <w:rFonts w:hint="cs"/>
          <w:rtl/>
        </w:rPr>
        <w:t>ד"ה ובטעמא</w:t>
      </w:r>
      <w:bookmarkEnd w:id="653"/>
      <w:bookmarkEnd w:id="654"/>
    </w:p>
    <w:p w14:paraId="26934CFF" w14:textId="77777777" w:rsidR="001C69A8" w:rsidRDefault="001C69A8" w:rsidP="001C69A8">
      <w:pPr>
        <w:pStyle w:val="a7"/>
        <w:rPr>
          <w:rtl/>
        </w:rPr>
      </w:pPr>
      <w:bookmarkStart w:id="655" w:name="_Toc134347634"/>
      <w:r>
        <w:rPr>
          <w:rFonts w:hint="cs"/>
          <w:rtl/>
        </w:rPr>
        <w:t>קו' ההר צבי במנ"ח דמנלן דשם המלאכה גורם ובהל' קטנות ק' דאפשר לאפות שלא בידי אדם</w:t>
      </w:r>
      <w:bookmarkEnd w:id="655"/>
    </w:p>
    <w:p w14:paraId="7BFD9B50" w14:textId="54749226" w:rsidR="001C69A8" w:rsidRDefault="001C69A8" w:rsidP="00BC7DC8">
      <w:pPr>
        <w:pStyle w:val="a3"/>
      </w:pPr>
      <w:bookmarkStart w:id="656" w:name="_Ref134177195"/>
      <w:r>
        <w:rPr>
          <w:rFonts w:hint="cs"/>
          <w:rtl/>
        </w:rPr>
        <w:t xml:space="preserve">במ"ש </w:t>
      </w:r>
      <w:r w:rsidRPr="00E87CC9">
        <w:rPr>
          <w:rStyle w:val="aff4"/>
          <w:rFonts w:hint="cs"/>
          <w:vanish/>
          <w:rtl/>
        </w:rPr>
        <w:t>-</w:t>
      </w:r>
      <w:r w:rsidRPr="003B4E24">
        <w:rPr>
          <w:rStyle w:val="aff4"/>
          <w:rFonts w:hint="cs"/>
          <w:rtl/>
        </w:rPr>
        <w:t>התפארת ישראל בקונטרס בתי כלאים</w:t>
      </w:r>
      <w:r w:rsidRPr="00E87CC9">
        <w:rPr>
          <w:rStyle w:val="aff4"/>
          <w:rFonts w:hint="cs"/>
          <w:vanish/>
          <w:rtl/>
        </w:rPr>
        <w:t>-</w:t>
      </w:r>
      <w:r>
        <w:rPr>
          <w:rFonts w:hint="cs"/>
          <w:rtl/>
        </w:rPr>
        <w:t xml:space="preserve"> </w:t>
      </w:r>
      <w:r w:rsidRPr="00277835">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Ref133252633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ו)</w:t>
      </w:r>
      <w:r>
        <w:rPr>
          <w:rStyle w:val="af2"/>
          <w:rFonts w:eastAsia="Guttman Hodes"/>
          <w:rtl/>
        </w:rPr>
        <w:fldChar w:fldCharType="end"/>
      </w:r>
      <w:r>
        <w:rPr>
          <w:rFonts w:hint="cs"/>
          <w:rtl/>
        </w:rPr>
        <w:t xml:space="preserve"> </w:t>
      </w:r>
      <w:r w:rsidRPr="00E87CC9">
        <w:rPr>
          <w:rStyle w:val="aff4"/>
          <w:rFonts w:hint="cs"/>
          <w:vanish/>
          <w:rtl/>
        </w:rPr>
        <w:t>-</w:t>
      </w:r>
      <w:r w:rsidRPr="003B4E24">
        <w:rPr>
          <w:rStyle w:val="aff4"/>
          <w:rFonts w:hint="cs"/>
          <w:rtl/>
        </w:rPr>
        <w:t>והמנחת חינוך</w:t>
      </w:r>
      <w:r w:rsidRPr="00E87CC9">
        <w:rPr>
          <w:rStyle w:val="aff4"/>
          <w:rFonts w:hint="cs"/>
          <w:vanish/>
          <w:rtl/>
        </w:rPr>
        <w:t>-</w:t>
      </w:r>
      <w:r>
        <w:rPr>
          <w:rFonts w:hint="cs"/>
          <w:rtl/>
        </w:rPr>
        <w:t xml:space="preserve"> </w:t>
      </w:r>
      <w:r w:rsidRPr="00277835">
        <w:rPr>
          <w:rStyle w:val="af2"/>
          <w:rFonts w:eastAsia="Guttman Hodes" w:hint="cs"/>
          <w:rtl/>
        </w:rPr>
        <w:t xml:space="preserve">(עי' </w:t>
      </w:r>
      <w:r w:rsidRPr="00181713">
        <w:rPr>
          <w:rStyle w:val="af2"/>
          <w:rFonts w:eastAsia="Guttman Hodes" w:hint="cs"/>
          <w:rtl/>
        </w:rPr>
        <w:t xml:space="preserve">אות </w:t>
      </w:r>
      <w:r w:rsidRPr="00181713">
        <w:rPr>
          <w:rStyle w:val="af2"/>
          <w:rFonts w:eastAsia="Guttman Hodes"/>
          <w:rtl/>
        </w:rPr>
        <w:fldChar w:fldCharType="begin"/>
      </w:r>
      <w:r w:rsidRPr="00181713">
        <w:rPr>
          <w:rStyle w:val="af2"/>
          <w:rFonts w:eastAsia="Guttman Hodes"/>
          <w:rtl/>
        </w:rPr>
        <w:instrText xml:space="preserve"> </w:instrText>
      </w:r>
      <w:r w:rsidRPr="00181713">
        <w:rPr>
          <w:rStyle w:val="af2"/>
          <w:rFonts w:eastAsia="Guttman Hodes" w:hint="cs"/>
        </w:rPr>
        <w:instrText>REF</w:instrText>
      </w:r>
      <w:r w:rsidRPr="00181713">
        <w:rPr>
          <w:rStyle w:val="af2"/>
          <w:rFonts w:eastAsia="Guttman Hodes" w:hint="cs"/>
          <w:rtl/>
        </w:rPr>
        <w:instrText xml:space="preserve"> _</w:instrText>
      </w:r>
      <w:r w:rsidRPr="00181713">
        <w:rPr>
          <w:rStyle w:val="af2"/>
          <w:rFonts w:eastAsia="Guttman Hodes" w:hint="cs"/>
        </w:rPr>
        <w:instrText>Ref134305041 \r \h</w:instrText>
      </w:r>
      <w:r w:rsidRPr="00181713">
        <w:rPr>
          <w:rStyle w:val="af2"/>
          <w:rFonts w:eastAsia="Guttman Hodes"/>
          <w:rtl/>
        </w:rPr>
        <w:instrText xml:space="preserve"> </w:instrText>
      </w:r>
      <w:r w:rsidRPr="00181713">
        <w:rPr>
          <w:rStyle w:val="af2"/>
          <w:rFonts w:eastAsia="Guttman Hodes"/>
          <w:rtl/>
        </w:rPr>
      </w:r>
      <w:r w:rsidRPr="00181713">
        <w:rPr>
          <w:rStyle w:val="af2"/>
          <w:rFonts w:eastAsia="Guttman Hodes"/>
          <w:rtl/>
        </w:rPr>
        <w:fldChar w:fldCharType="separate"/>
      </w:r>
      <w:r w:rsidR="00D82181">
        <w:rPr>
          <w:rStyle w:val="af2"/>
          <w:rFonts w:eastAsia="Guttman Hodes"/>
          <w:cs/>
        </w:rPr>
        <w:t>‎</w:t>
      </w:r>
      <w:r w:rsidR="00D82181">
        <w:rPr>
          <w:rStyle w:val="af2"/>
          <w:rFonts w:eastAsia="Guttman Hodes"/>
          <w:rtl/>
        </w:rPr>
        <w:t>יא)</w:t>
      </w:r>
      <w:r w:rsidRPr="00181713">
        <w:rPr>
          <w:rStyle w:val="af2"/>
          <w:rFonts w:eastAsia="Guttman Hodes"/>
          <w:rtl/>
        </w:rPr>
        <w:fldChar w:fldCharType="end"/>
      </w:r>
      <w:r>
        <w:rPr>
          <w:rFonts w:hint="cs"/>
          <w:rtl/>
        </w:rPr>
        <w:t xml:space="preserve"> דהחילוק בין זורע לאופה תלוי בשם המלאכה, תמה </w:t>
      </w:r>
      <w:r w:rsidRPr="00E87CC9">
        <w:rPr>
          <w:rStyle w:val="aff4"/>
          <w:rFonts w:hint="cs"/>
          <w:vanish/>
          <w:rtl/>
        </w:rPr>
        <w:t>-</w:t>
      </w:r>
      <w:r w:rsidRPr="003B4E24">
        <w:rPr>
          <w:rStyle w:val="aff4"/>
          <w:rFonts w:hint="cs"/>
          <w:rtl/>
        </w:rPr>
        <w:t>ב</w:t>
      </w:r>
      <w:r w:rsidRPr="00350A80">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Ref134177195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כח)</w:t>
      </w:r>
      <w:r>
        <w:rPr>
          <w:rStyle w:val="aff4"/>
          <w:vanish/>
          <w:rtl/>
        </w:rPr>
        <w:fldChar w:fldCharType="end"/>
      </w:r>
      <w:r w:rsidRPr="00350A80">
        <w:rPr>
          <w:rStyle w:val="aff4"/>
          <w:rFonts w:hint="cs"/>
          <w:vanish/>
          <w:rtl/>
        </w:rPr>
        <w:t xml:space="preserve"> &gt;</w:t>
      </w:r>
      <w:r w:rsidRPr="003B4E24">
        <w:rPr>
          <w:rStyle w:val="aff4"/>
          <w:rFonts w:hint="cs"/>
          <w:rtl/>
        </w:rPr>
        <w:t>שו"ת הר צבי</w:t>
      </w:r>
      <w:r w:rsidRPr="00E87CC9">
        <w:rPr>
          <w:rStyle w:val="aff4"/>
          <w:rFonts w:hint="cs"/>
          <w:vanish/>
          <w:rtl/>
        </w:rPr>
        <w:t>-</w:t>
      </w:r>
      <w:r>
        <w:rPr>
          <w:rFonts w:hint="cs"/>
          <w:rtl/>
        </w:rPr>
        <w:t xml:space="preserve"> </w:t>
      </w:r>
      <w:r w:rsidRPr="00277835">
        <w:rPr>
          <w:rStyle w:val="af2"/>
          <w:rFonts w:eastAsia="Guttman Hodes" w:hint="cs"/>
          <w:rtl/>
        </w:rPr>
        <w:t>(או"ח ח"א סי' קכ"ח ד"ה ובטעמא)</w:t>
      </w:r>
      <w:r w:rsidRPr="00350A80">
        <w:rPr>
          <w:rFonts w:hint="cs"/>
          <w:vanish/>
          <w:rtl/>
        </w:rPr>
        <w:t>=</w:t>
      </w:r>
      <w:r>
        <w:rPr>
          <w:rFonts w:hint="cs"/>
          <w:rtl/>
        </w:rPr>
        <w:t xml:space="preserve"> דמנלן דשם המלאכה גורם, ומנליה לתנא דזהו שם המלאכה, וגם במה שביאר </w:t>
      </w:r>
      <w:r w:rsidRPr="00B32D57">
        <w:rPr>
          <w:rStyle w:val="aff4"/>
          <w:rFonts w:hint="cs"/>
          <w:vanish/>
          <w:rtl/>
        </w:rPr>
        <w:t>-</w:t>
      </w:r>
      <w:r w:rsidRPr="00373C7B">
        <w:rPr>
          <w:rStyle w:val="aff4"/>
          <w:rFonts w:hint="cs"/>
          <w:rtl/>
        </w:rPr>
        <w:t>המהר"י חגיז</w:t>
      </w:r>
      <w:r>
        <w:rPr>
          <w:rStyle w:val="aff4"/>
          <w:rFonts w:hint="cs"/>
          <w:rtl/>
        </w:rPr>
        <w:t xml:space="preserve"> ב</w:t>
      </w:r>
      <w:r w:rsidRPr="00373C7B">
        <w:rPr>
          <w:rStyle w:val="aff4"/>
          <w:rFonts w:hint="cs"/>
          <w:rtl/>
        </w:rPr>
        <w:t>הלכות קטנות</w:t>
      </w:r>
      <w:r w:rsidRPr="00B32D57">
        <w:rPr>
          <w:rStyle w:val="aff4"/>
          <w:rFonts w:hint="cs"/>
          <w:vanish/>
          <w:rtl/>
        </w:rPr>
        <w:t>-</w:t>
      </w:r>
      <w:r>
        <w:rPr>
          <w:rFonts w:hint="cs"/>
          <w:rtl/>
        </w:rPr>
        <w:t xml:space="preserve"> </w:t>
      </w:r>
      <w:r w:rsidRPr="00277835">
        <w:rPr>
          <w:rStyle w:val="af2"/>
          <w:rFonts w:eastAsia="Guttman Hodes" w:hint="cs"/>
          <w:rtl/>
        </w:rPr>
        <w:t xml:space="preserve">(עי' אות </w:t>
      </w:r>
      <w:r w:rsidRPr="00277835">
        <w:rPr>
          <w:rStyle w:val="af2"/>
          <w:rFonts w:eastAsia="Guttman Hodes"/>
          <w:rtl/>
        </w:rPr>
        <w:fldChar w:fldCharType="begin"/>
      </w:r>
      <w:r w:rsidRPr="00277835">
        <w:rPr>
          <w:rStyle w:val="af2"/>
          <w:rFonts w:eastAsia="Guttman Hodes"/>
          <w:rtl/>
        </w:rPr>
        <w:instrText xml:space="preserve"> </w:instrText>
      </w:r>
      <w:r w:rsidRPr="00277835">
        <w:rPr>
          <w:rStyle w:val="af2"/>
          <w:rFonts w:eastAsia="Guttman Hodes" w:hint="cs"/>
        </w:rPr>
        <w:instrText>REF</w:instrText>
      </w:r>
      <w:r w:rsidRPr="00277835">
        <w:rPr>
          <w:rStyle w:val="af2"/>
          <w:rFonts w:eastAsia="Guttman Hodes" w:hint="cs"/>
          <w:rtl/>
        </w:rPr>
        <w:instrText xml:space="preserve"> _</w:instrText>
      </w:r>
      <w:r w:rsidRPr="00277835">
        <w:rPr>
          <w:rStyle w:val="af2"/>
          <w:rFonts w:eastAsia="Guttman Hodes" w:hint="cs"/>
        </w:rPr>
        <w:instrText>Ref133874041 \r \h</w:instrText>
      </w:r>
      <w:r w:rsidRPr="00277835">
        <w:rPr>
          <w:rStyle w:val="af2"/>
          <w:rFonts w:eastAsia="Guttman Hodes"/>
          <w:rtl/>
        </w:rPr>
        <w:instrText xml:space="preserve"> </w:instrText>
      </w:r>
      <w:r w:rsidRPr="00277835">
        <w:rPr>
          <w:rStyle w:val="af2"/>
          <w:rFonts w:eastAsia="Guttman Hodes"/>
          <w:rtl/>
        </w:rPr>
      </w:r>
      <w:r w:rsidRPr="00277835">
        <w:rPr>
          <w:rStyle w:val="af2"/>
          <w:rFonts w:eastAsia="Guttman Hodes"/>
          <w:rtl/>
        </w:rPr>
        <w:fldChar w:fldCharType="separate"/>
      </w:r>
      <w:r w:rsidR="00D82181">
        <w:rPr>
          <w:rStyle w:val="af2"/>
          <w:rFonts w:eastAsia="Guttman Hodes"/>
          <w:cs/>
        </w:rPr>
        <w:t>‎</w:t>
      </w:r>
      <w:r w:rsidR="00D82181">
        <w:rPr>
          <w:rStyle w:val="af2"/>
          <w:rFonts w:eastAsia="Guttman Hodes"/>
          <w:rtl/>
        </w:rPr>
        <w:t>כ)</w:t>
      </w:r>
      <w:r w:rsidRPr="00277835">
        <w:rPr>
          <w:rStyle w:val="af2"/>
          <w:rFonts w:eastAsia="Guttman Hodes"/>
          <w:rtl/>
        </w:rPr>
        <w:fldChar w:fldCharType="end"/>
      </w:r>
      <w:r>
        <w:rPr>
          <w:rFonts w:hint="cs"/>
          <w:rtl/>
        </w:rPr>
        <w:t xml:space="preserve"> דהבישול והאפיה נגמרים בידי אדם, דצריך להגיס בקדירה ולחתות בגחלים, אבל בזריעה כל המלאכה היא בידי שמים, הקשה </w:t>
      </w:r>
      <w:r w:rsidRPr="00E87CC9">
        <w:rPr>
          <w:rStyle w:val="aff4"/>
          <w:rFonts w:hint="cs"/>
          <w:vanish/>
          <w:rtl/>
        </w:rPr>
        <w:t>-</w:t>
      </w:r>
      <w:r w:rsidRPr="003B4E24">
        <w:rPr>
          <w:rStyle w:val="aff4"/>
          <w:rFonts w:hint="cs"/>
          <w:rtl/>
        </w:rPr>
        <w:t>ההר צבי</w:t>
      </w:r>
      <w:r w:rsidRPr="00E87CC9">
        <w:rPr>
          <w:rStyle w:val="aff4"/>
          <w:rFonts w:hint="cs"/>
          <w:vanish/>
          <w:rtl/>
        </w:rPr>
        <w:t>-</w:t>
      </w:r>
      <w:r>
        <w:rPr>
          <w:rFonts w:hint="cs"/>
          <w:rtl/>
        </w:rPr>
        <w:t xml:space="preserve"> דאף באופה יתכן שהוא מניח פת בתנור שיכולה להאפות לבדה בלא שיתעסק בה.</w:t>
      </w:r>
      <w:bookmarkEnd w:id="656"/>
    </w:p>
    <w:p w14:paraId="4B3C539C" w14:textId="77777777" w:rsidR="001C69A8" w:rsidRPr="00747170" w:rsidRDefault="001C69A8" w:rsidP="00747170">
      <w:pPr>
        <w:pStyle w:val="a2"/>
      </w:pPr>
      <w:r w:rsidRPr="00747170">
        <w:t xml:space="preserve">ובטעמא דמילתא לחלק בין זורע לאופה כתב המנ"ח שם, דבשלמא מבשל או אופה גמר האפייה או הבישול נקרא בשם אפייה או בשול, אבל לשון זריעה חל תיכף כשמנפץ הזרע ע"ג קרקע, וכעין זה כתב התפא"י בקונטרס בתי כלאים הנ"ל. ולענ"ד, עדיין הדבר מחוסר ביאור, דאטו אפייה וזריעה כתב קרא, מלאכה אסר לן רחמנא, א"כ מנ"ל דשמא גרים, ותנא גופיה מנ"ל דדריש הכי )קדושין דף ד ע"א(, לחלק בין פעולת הזריעה לפעולת האפייה. והמחוור בזה, הוא מה שמצאתי בספר הלכות קטנות למהר"י חגיז )סימן רסו( וז"ל: מאי שנא דבמבשל ואופה בעינן כשיעור בשבת )ומבואר דלא כרש"ש וספיקו של הפמ"ג( והזורע משהשליכם ע"ג קרקע מחייב. תשובה: מסתברא דבמבשל ואופה עדיין גמרו בידי אדם שצריך להגיס בקדירה ולחתות בגחלים, אבל זורע הכל בידי שמים, עכ"ל. וצריך ביאור, הא אנן גם באופה מי לא עסקינן דהדביק פת בתנור שיש שם אש מצומצם כשעור שיאפה בשלמות עד שאין צריך עוד להתעסק בזה, ועכ"ז אינו מחויב רק כשיגמר. </w:t>
      </w:r>
    </w:p>
    <w:p w14:paraId="646051C6" w14:textId="32A9B75D" w:rsidR="001C69A8" w:rsidRPr="00242022" w:rsidRDefault="001C69A8" w:rsidP="001C69A8">
      <w:pPr>
        <w:pStyle w:val="a7"/>
        <w:rPr>
          <w:rtl/>
        </w:rPr>
      </w:pPr>
      <w:bookmarkStart w:id="657" w:name="_Toc134347635"/>
      <w:r>
        <w:rPr>
          <w:rFonts w:hint="cs"/>
          <w:rtl/>
        </w:rPr>
        <w:t>בי' ההר צבי בהל' קטנות דס"ל כמג"א דהחיוב כמו שהיה במשכן וזורע היה ממילא ואופה בידים</w:t>
      </w:r>
      <w:bookmarkEnd w:id="657"/>
    </w:p>
    <w:p w14:paraId="5E2E0B6B" w14:textId="77777777" w:rsidR="001C69A8" w:rsidRPr="003A6AD6" w:rsidRDefault="001C69A8" w:rsidP="00BC7DC8">
      <w:pPr>
        <w:pStyle w:val="a3"/>
      </w:pPr>
      <w:r>
        <w:rPr>
          <w:rFonts w:hint="cs"/>
          <w:rtl/>
        </w:rPr>
        <w:t xml:space="preserve">וכתב </w:t>
      </w:r>
      <w:r w:rsidRPr="00E87CC9">
        <w:rPr>
          <w:rStyle w:val="aff4"/>
          <w:rFonts w:hint="cs"/>
          <w:vanish/>
          <w:rtl/>
        </w:rPr>
        <w:t>-</w:t>
      </w:r>
      <w:r w:rsidRPr="003B4E24">
        <w:rPr>
          <w:rStyle w:val="aff4"/>
          <w:rFonts w:hint="cs"/>
          <w:rtl/>
        </w:rPr>
        <w:t>ההר צבי</w:t>
      </w:r>
      <w:r w:rsidRPr="00E87CC9">
        <w:rPr>
          <w:rStyle w:val="aff4"/>
          <w:rFonts w:hint="cs"/>
          <w:vanish/>
          <w:rtl/>
        </w:rPr>
        <w:t>-</w:t>
      </w:r>
      <w:r>
        <w:rPr>
          <w:rFonts w:hint="cs"/>
          <w:rtl/>
        </w:rPr>
        <w:t xml:space="preserve"> דס"ל </w:t>
      </w:r>
      <w:r w:rsidRPr="00B32D57">
        <w:rPr>
          <w:rStyle w:val="aff4"/>
          <w:rFonts w:hint="cs"/>
          <w:vanish/>
          <w:rtl/>
        </w:rPr>
        <w:t>-</w:t>
      </w:r>
      <w:r>
        <w:rPr>
          <w:rStyle w:val="aff4"/>
          <w:rFonts w:hint="cs"/>
          <w:rtl/>
        </w:rPr>
        <w:t>ל</w:t>
      </w:r>
      <w:r w:rsidRPr="00373C7B">
        <w:rPr>
          <w:rStyle w:val="aff4"/>
          <w:rFonts w:hint="cs"/>
          <w:rtl/>
        </w:rPr>
        <w:t>מהר"י חגיז</w:t>
      </w:r>
      <w:r>
        <w:rPr>
          <w:rStyle w:val="aff4"/>
          <w:rFonts w:hint="cs"/>
          <w:rtl/>
        </w:rPr>
        <w:t xml:space="preserve"> ב</w:t>
      </w:r>
      <w:r w:rsidRPr="00373C7B">
        <w:rPr>
          <w:rStyle w:val="aff4"/>
          <w:rFonts w:hint="cs"/>
          <w:rtl/>
        </w:rPr>
        <w:t>הלכות קטנות</w:t>
      </w:r>
      <w:r w:rsidRPr="00B32D57">
        <w:rPr>
          <w:rStyle w:val="aff4"/>
          <w:rFonts w:hint="cs"/>
          <w:vanish/>
          <w:rtl/>
        </w:rPr>
        <w:t>-</w:t>
      </w:r>
      <w:r>
        <w:rPr>
          <w:rFonts w:hint="cs"/>
          <w:rtl/>
        </w:rPr>
        <w:t xml:space="preserve"> כדביאר </w:t>
      </w:r>
      <w:r w:rsidRPr="00E87CC9">
        <w:rPr>
          <w:rStyle w:val="aff4"/>
          <w:rFonts w:hint="cs"/>
          <w:vanish/>
          <w:rtl/>
        </w:rPr>
        <w:t>-</w:t>
      </w:r>
      <w:r w:rsidRPr="003B4E24">
        <w:rPr>
          <w:rStyle w:val="aff4"/>
          <w:rFonts w:hint="cs"/>
          <w:rtl/>
        </w:rPr>
        <w:t>הקרבן נתנאל לעיל</w:t>
      </w:r>
      <w:r w:rsidRPr="00E87CC9">
        <w:rPr>
          <w:rStyle w:val="aff4"/>
          <w:rFonts w:hint="cs"/>
          <w:vanish/>
          <w:rtl/>
        </w:rPr>
        <w:t>-</w:t>
      </w:r>
      <w:r>
        <w:rPr>
          <w:rFonts w:hint="cs"/>
          <w:rtl/>
        </w:rPr>
        <w:t xml:space="preserve"> </w:t>
      </w:r>
      <w:r w:rsidRPr="00277835">
        <w:rPr>
          <w:rStyle w:val="af2"/>
          <w:rFonts w:eastAsia="Guttman Hodes" w:hint="cs"/>
          <w:rtl/>
        </w:rPr>
        <w:t>(על הרא"ש פ"א סי' ל"ק אות ר')</w:t>
      </w:r>
      <w:r>
        <w:rPr>
          <w:rFonts w:hint="cs"/>
          <w:rtl/>
        </w:rPr>
        <w:t xml:space="preserve"> בדעת </w:t>
      </w:r>
      <w:r w:rsidRPr="00E87CC9">
        <w:rPr>
          <w:rStyle w:val="aff4"/>
          <w:rFonts w:hint="cs"/>
          <w:vanish/>
          <w:rtl/>
        </w:rPr>
        <w:t>-</w:t>
      </w:r>
      <w:r w:rsidRPr="003B4E24">
        <w:rPr>
          <w:rStyle w:val="aff4"/>
          <w:rFonts w:hint="cs"/>
          <w:rtl/>
        </w:rPr>
        <w:t>המג"א</w:t>
      </w:r>
      <w:r w:rsidRPr="00E87CC9">
        <w:rPr>
          <w:rStyle w:val="aff4"/>
          <w:rFonts w:hint="cs"/>
          <w:vanish/>
          <w:rtl/>
        </w:rPr>
        <w:t>-</w:t>
      </w:r>
      <w:r>
        <w:rPr>
          <w:rFonts w:hint="cs"/>
          <w:rtl/>
        </w:rPr>
        <w:t xml:space="preserve"> </w:t>
      </w:r>
      <w:r w:rsidRPr="00277835">
        <w:rPr>
          <w:rStyle w:val="af2"/>
          <w:rFonts w:eastAsia="Guttman Hodes" w:hint="cs"/>
          <w:rtl/>
        </w:rPr>
        <w:t>(סי' רנ"ב סק"כ)</w:t>
      </w:r>
      <w:r>
        <w:rPr>
          <w:rFonts w:hint="cs"/>
          <w:rtl/>
        </w:rPr>
        <w:t xml:space="preserve"> דהחיוב מדאו' במלאכות שהיו במשכן הוא רק כמו המלאכה שהייתה במשכן, ולכן מלאכה של טוחן שהייתה בידים ולא ממילא, אם טחן בטחינה דממילא בריחיים של מים, אינו חייב חטאת, ולא דמי לבישול דבמשכן לא היה בישול שמתבשלים הסממנין ממילא, אלא עסקו בבישול בידים עד גמר הבישול, וכתב </w:t>
      </w:r>
      <w:r w:rsidRPr="00E87CC9">
        <w:rPr>
          <w:rStyle w:val="aff4"/>
          <w:rFonts w:hint="cs"/>
          <w:vanish/>
          <w:rtl/>
        </w:rPr>
        <w:t>-</w:t>
      </w:r>
      <w:r w:rsidRPr="003B4E24">
        <w:rPr>
          <w:rStyle w:val="aff4"/>
          <w:rFonts w:hint="cs"/>
          <w:rtl/>
        </w:rPr>
        <w:t>ההר צבי</w:t>
      </w:r>
      <w:r w:rsidRPr="00E87CC9">
        <w:rPr>
          <w:rStyle w:val="aff4"/>
          <w:rFonts w:hint="cs"/>
          <w:vanish/>
          <w:rtl/>
        </w:rPr>
        <w:t>-</w:t>
      </w:r>
      <w:r>
        <w:rPr>
          <w:rFonts w:hint="cs"/>
          <w:rtl/>
        </w:rPr>
        <w:t xml:space="preserve"> דא"כ דוקא בזורע חייב על הזריעה עצמה, כיון דאף במשכן אחר נתינת הזרעים כל המלאכה נעשית ממילא, ודלא </w:t>
      </w:r>
      <w:r w:rsidRPr="00E87CC9">
        <w:rPr>
          <w:rStyle w:val="aff4"/>
          <w:rFonts w:hint="cs"/>
          <w:vanish/>
          <w:rtl/>
        </w:rPr>
        <w:t>-</w:t>
      </w:r>
      <w:r w:rsidRPr="003B4E24">
        <w:rPr>
          <w:rStyle w:val="aff4"/>
          <w:rFonts w:hint="cs"/>
          <w:rtl/>
        </w:rPr>
        <w:t>כאבן העוזר</w:t>
      </w:r>
      <w:r w:rsidRPr="00E87CC9">
        <w:rPr>
          <w:rStyle w:val="aff4"/>
          <w:rFonts w:hint="cs"/>
          <w:vanish/>
          <w:rtl/>
        </w:rPr>
        <w:t>-</w:t>
      </w:r>
      <w:r>
        <w:rPr>
          <w:rFonts w:hint="cs"/>
          <w:rtl/>
        </w:rPr>
        <w:t xml:space="preserve"> </w:t>
      </w:r>
      <w:r w:rsidRPr="00277835">
        <w:rPr>
          <w:rStyle w:val="af2"/>
          <w:rFonts w:eastAsia="Guttman Hodes" w:hint="cs"/>
          <w:rtl/>
        </w:rPr>
        <w:t>(סי' שכ"ח)</w:t>
      </w:r>
      <w:r>
        <w:rPr>
          <w:rFonts w:hint="cs"/>
          <w:rtl/>
        </w:rPr>
        <w:t xml:space="preserve"> דס"ל דאף בריחיים של מים חייב מדאו'.</w:t>
      </w:r>
    </w:p>
    <w:p w14:paraId="2778F6B1" w14:textId="77777777" w:rsidR="001C69A8" w:rsidRPr="00747170" w:rsidRDefault="001C69A8" w:rsidP="00747170">
      <w:pPr>
        <w:pStyle w:val="a2"/>
      </w:pPr>
      <w:r w:rsidRPr="00747170">
        <w:t>ונראה להקדים בזה, מה דנחלקו המג"א והאהעו"ז, בנותן חטים לרחיים של מים בשבת, דהמג"א )סימן רנב( פסק דלא הוי מלאכה אלא שבות בעלמא ומדאורייתא לא הוי מלאכה כלל כיון דממילא נטחנים, והאהעו"ז )סימן שכח( חלק עליו ופסק דהוי אב מלאכה, מקו"ח דנזקין, דהא בזורק של חבירו לריחיים וניזק חייב דהוי כזורק לתוך האש וק"ו בשבת, דאפילו בזורה ורוח מסייעתו דפטור מנזקין חייב בשבת עכת"ד. וסברת המג"א כבר ביאר יפה בעל קרבן נתנאל, דאין ללמוד טחינה מאפייה דחייב אף דנגמרת מאליה, משום דהעיקר תלוי איך היה מעשה של כל מלאכה במשכן. ואפייה במשכן היינו בשול לא היה באופן אחר אלא שנתבשלו הסממני</w:t>
      </w:r>
      <w:r w:rsidRPr="00747170">
        <w:rPr>
          <w:rFonts w:hint="cs"/>
        </w:rPr>
        <w:t>ן</w:t>
      </w:r>
      <w:r w:rsidRPr="00747170">
        <w:t xml:space="preserve"> ממילא ע"י האש, אבל טחינה מה שהיה אותה אב מלאכה אצל משכן כתישת הסממנין במכתשת, לא היה אלא בידים, עכ"ד. נמצא, דלדעת המג"א, פרטי עשיית כל מלאכה ומלאכה תלוי באופני עשייתה שהיה במשכן, ולזאת אפשר דלסברא זו נתכון בעל הלכות קטנות, דבאפיה ובשול אף דעיקר המלאכה נגמרת מאליה, מ"מ דרכה בכך שיהא האדם משגיח ומתעסק בה ואינו מסלק עצמו ממנה עד שתגמר, וזהו שכתב גמרו בידי אדם שבידו לעשות ולמהר גמר הבשול, ולכן שעור המלאכה נמשך משעה שנותן על האש עד גמר הבשול שכן היה אופן עשייתה במשכן להשתדל בה עד גמרה, אבל בזריעה תיכף משמשליך הגרעינים בקרקע ידיו מסולקות הימנה ואין לו עוד עסק בה, כי אין הדבר עוד בידו, כמוש"כ הירושלמי שמאמין בחי העולמים וזורע )הובא בתוס', שבת דף לא ע"א(. א"כ הרי נשלמה מלאכתו תיכף ואין לו עסק בהשרשה כלל, ולכן שפיר מחייבינן ליה אף אם חזר ולקט הגרעינים. וכסברת המג"א מוכח כן מהא דא"ר )שבת דף עד ע"ב(, האי מאן דעבד חביתא חייב משום שבע חטאות, וכתב רש"י אבל גבי חבית ליכא משום מכה בפטיש דמאליה נגמרה מלאכתו בתנור, הרי מבואר להדיא דאין אומרים במלאכת שבת זו דומה לזו, דהרי אופה ומבשל חייב על מה שנגמר מאליו ומשום מכה בפטיש אינו חייב והיינו משום דהעיקר תלוי באופן עשייתה במשכן. ובמקום אחר כתבתי ליישב דברי האהעו"ז שלא יקשה מדברי רש"י הנ"ל. [עיין להלן סימן קמח[. </w:t>
      </w:r>
    </w:p>
    <w:p w14:paraId="669CB093" w14:textId="7B119440" w:rsidR="001C69A8" w:rsidRDefault="001C69A8" w:rsidP="001C69A8">
      <w:pPr>
        <w:pStyle w:val="1"/>
        <w:rPr>
          <w:rtl/>
        </w:rPr>
      </w:pPr>
      <w:bookmarkStart w:id="658" w:name="_Toc134347636"/>
      <w:r>
        <w:rPr>
          <w:rFonts w:hint="cs"/>
          <w:rtl/>
        </w:rPr>
        <w:t>בי' הדב"א דגדר זורע שמביא להשרשה והמעשה נגמר בזריעה</w:t>
      </w:r>
      <w:bookmarkEnd w:id="658"/>
      <w:r>
        <w:rPr>
          <w:rFonts w:hint="cs"/>
          <w:rtl/>
        </w:rPr>
        <w:t xml:space="preserve"> </w:t>
      </w:r>
    </w:p>
    <w:p w14:paraId="242EF429" w14:textId="77777777" w:rsidR="001C69A8" w:rsidRDefault="001C69A8" w:rsidP="001C69A8">
      <w:pPr>
        <w:pStyle w:val="afffff7"/>
        <w:rPr>
          <w:rtl/>
        </w:rPr>
      </w:pPr>
      <w:bookmarkStart w:id="659" w:name="_Toc134550189"/>
      <w:bookmarkStart w:id="660" w:name="_Toc163505481"/>
      <w:r>
        <w:rPr>
          <w:rtl/>
        </w:rPr>
        <w:t>דבר אברהם ח"א סי' כג</w:t>
      </w:r>
      <w:r w:rsidRPr="00AA6BA5">
        <w:rPr>
          <w:rtl/>
        </w:rPr>
        <w:t xml:space="preserve"> או' ה'</w:t>
      </w:r>
      <w:bookmarkEnd w:id="659"/>
      <w:bookmarkEnd w:id="660"/>
    </w:p>
    <w:p w14:paraId="38598CEE" w14:textId="77777777" w:rsidR="001C69A8" w:rsidRDefault="001C69A8" w:rsidP="001C69A8">
      <w:pPr>
        <w:pStyle w:val="a7"/>
        <w:rPr>
          <w:rtl/>
        </w:rPr>
      </w:pPr>
      <w:bookmarkStart w:id="661" w:name="_Toc134347637"/>
      <w:r>
        <w:rPr>
          <w:rFonts w:hint="cs"/>
          <w:rtl/>
        </w:rPr>
        <w:t>בי' הדב"א דגדר זורע שמביאו להשרשה דהא בלא ראוי לזריעה פטור ושורה במים ומשקה חייב</w:t>
      </w:r>
      <w:bookmarkEnd w:id="661"/>
    </w:p>
    <w:p w14:paraId="5E805D9A" w14:textId="0238C590" w:rsidR="001C69A8" w:rsidRPr="00041880" w:rsidRDefault="001C69A8" w:rsidP="00BC7DC8">
      <w:pPr>
        <w:pStyle w:val="a3"/>
        <w:rPr>
          <w:rtl/>
        </w:rPr>
      </w:pPr>
      <w:bookmarkStart w:id="662" w:name="_Ref133871155"/>
      <w:r>
        <w:rPr>
          <w:rFonts w:hint="cs"/>
          <w:rtl/>
        </w:rPr>
        <w:t xml:space="preserve">כתב </w:t>
      </w:r>
      <w:r w:rsidRPr="00E87CC9">
        <w:rPr>
          <w:rStyle w:val="aff4"/>
          <w:rFonts w:hint="cs"/>
          <w:vanish/>
          <w:rtl/>
        </w:rPr>
        <w:t>-</w:t>
      </w:r>
      <w:r w:rsidRPr="003B4E24">
        <w:rPr>
          <w:rStyle w:val="aff4"/>
          <w:rFonts w:hint="cs"/>
          <w:rtl/>
        </w:rPr>
        <w:t>ה</w:t>
      </w:r>
      <w:r w:rsidRPr="00350A80">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Ref133871155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ל)</w:t>
      </w:r>
      <w:r>
        <w:rPr>
          <w:rStyle w:val="aff4"/>
          <w:vanish/>
          <w:rtl/>
        </w:rPr>
        <w:fldChar w:fldCharType="end"/>
      </w:r>
      <w:r w:rsidRPr="00350A80">
        <w:rPr>
          <w:rStyle w:val="aff4"/>
          <w:rFonts w:hint="cs"/>
          <w:vanish/>
          <w:rtl/>
        </w:rPr>
        <w:t xml:space="preserve"> &gt;</w:t>
      </w:r>
      <w:r w:rsidRPr="003B4E24">
        <w:rPr>
          <w:rStyle w:val="aff4"/>
          <w:rFonts w:hint="cs"/>
          <w:rtl/>
        </w:rPr>
        <w:t>דבר אברהם</w:t>
      </w:r>
      <w:r w:rsidRPr="00E87CC9">
        <w:rPr>
          <w:rStyle w:val="aff4"/>
          <w:rFonts w:hint="cs"/>
          <w:vanish/>
          <w:rtl/>
        </w:rPr>
        <w:t>-</w:t>
      </w:r>
      <w:r>
        <w:rPr>
          <w:rFonts w:hint="cs"/>
          <w:rtl/>
        </w:rPr>
        <w:t xml:space="preserve"> </w:t>
      </w:r>
      <w:r w:rsidRPr="00277835">
        <w:rPr>
          <w:rStyle w:val="af2"/>
          <w:rFonts w:eastAsia="Guttman Hodes" w:hint="cs"/>
          <w:rtl/>
        </w:rPr>
        <w:t>(ח"א סי' כ"ג או' ה')</w:t>
      </w:r>
      <w:r w:rsidRPr="00350A80">
        <w:rPr>
          <w:rFonts w:hint="cs"/>
          <w:vanish/>
          <w:rtl/>
        </w:rPr>
        <w:t>=</w:t>
      </w:r>
      <w:r>
        <w:rPr>
          <w:rFonts w:hint="cs"/>
          <w:rtl/>
        </w:rPr>
        <w:t xml:space="preserve"> דמלאכת זורע אינה רק הטלת הזרע לקרקע, אלא עיקר המלאכה היא כשעושה דבר שמביא להשרשה ויניקה, כדמוכח מהא דהזורע במקום שלא ראוי להשריש פטור, ואילו השורה חיטים במים חייב משום זורע, כדכתב </w:t>
      </w:r>
      <w:r w:rsidRPr="00E87CC9">
        <w:rPr>
          <w:rStyle w:val="aff4"/>
          <w:rFonts w:hint="cs"/>
          <w:vanish/>
          <w:rtl/>
        </w:rPr>
        <w:t>-</w:t>
      </w:r>
      <w:r w:rsidRPr="003B4E24">
        <w:rPr>
          <w:rStyle w:val="aff4"/>
          <w:rFonts w:hint="cs"/>
          <w:rtl/>
        </w:rPr>
        <w:t>הרמב"ם</w:t>
      </w:r>
      <w:r w:rsidRPr="00E87CC9">
        <w:rPr>
          <w:rStyle w:val="aff4"/>
          <w:rFonts w:hint="cs"/>
          <w:vanish/>
          <w:rtl/>
        </w:rPr>
        <w:t>-</w:t>
      </w:r>
      <w:r>
        <w:rPr>
          <w:rFonts w:hint="cs"/>
          <w:rtl/>
        </w:rPr>
        <w:t xml:space="preserve"> </w:t>
      </w:r>
      <w:r w:rsidRPr="00277835">
        <w:rPr>
          <w:rStyle w:val="af2"/>
          <w:rFonts w:eastAsia="Guttman Hodes" w:hint="cs"/>
          <w:rtl/>
        </w:rPr>
        <w:t>(שבת פ"ח ה"ב, הובא בסימן א' אות ע"ט)</w:t>
      </w:r>
      <w:r>
        <w:rPr>
          <w:rStyle w:val="af2"/>
          <w:rFonts w:eastAsia="Guttman Hodes" w:hint="cs"/>
          <w:rtl/>
        </w:rPr>
        <w:t xml:space="preserve"> </w:t>
      </w:r>
      <w:r>
        <w:rPr>
          <w:rFonts w:hint="cs"/>
          <w:rtl/>
        </w:rPr>
        <w:t xml:space="preserve"> וכדביאר </w:t>
      </w:r>
      <w:r w:rsidRPr="00E87CC9">
        <w:rPr>
          <w:rStyle w:val="aff4"/>
          <w:rFonts w:hint="cs"/>
          <w:vanish/>
          <w:rtl/>
        </w:rPr>
        <w:t>-</w:t>
      </w:r>
      <w:r w:rsidRPr="003B4E24">
        <w:rPr>
          <w:rStyle w:val="aff4"/>
          <w:rFonts w:hint="cs"/>
          <w:rtl/>
        </w:rPr>
        <w:t>הכס"מ</w:t>
      </w:r>
      <w:r w:rsidRPr="00E87CC9">
        <w:rPr>
          <w:rStyle w:val="aff4"/>
          <w:rFonts w:hint="cs"/>
          <w:vanish/>
          <w:rtl/>
        </w:rPr>
        <w:t>-</w:t>
      </w:r>
      <w:r>
        <w:rPr>
          <w:rFonts w:hint="cs"/>
          <w:rtl/>
        </w:rPr>
        <w:t xml:space="preserve"> </w:t>
      </w:r>
      <w:r w:rsidRPr="00277835">
        <w:rPr>
          <w:rStyle w:val="af2"/>
          <w:rFonts w:eastAsia="Guttman Hodes" w:hint="cs"/>
          <w:rtl/>
        </w:rPr>
        <w:t>(שבת פ"ח ה"ב)</w:t>
      </w:r>
      <w:r>
        <w:rPr>
          <w:rFonts w:hint="cs"/>
          <w:rtl/>
        </w:rPr>
        <w:t xml:space="preserve"> דכן מוכח בגמ' </w:t>
      </w:r>
      <w:r>
        <w:rPr>
          <w:rFonts w:hint="cs"/>
          <w:rtl/>
        </w:rPr>
        <w:lastRenderedPageBreak/>
        <w:t xml:space="preserve">בזבחים </w:t>
      </w:r>
      <w:r w:rsidRPr="00277835">
        <w:rPr>
          <w:rStyle w:val="af2"/>
          <w:rFonts w:eastAsia="Guttman Hodes" w:hint="cs"/>
          <w:rtl/>
        </w:rPr>
        <w:t>(צד:)</w:t>
      </w:r>
      <w:r>
        <w:rPr>
          <w:rFonts w:hint="cs"/>
          <w:rtl/>
        </w:rPr>
        <w:t xml:space="preserve">, וכן מוכח מהא דאיתא בגמ' במו"ק </w:t>
      </w:r>
      <w:r w:rsidRPr="00277835">
        <w:rPr>
          <w:rStyle w:val="af2"/>
          <w:rFonts w:eastAsia="Guttman Hodes" w:hint="cs"/>
          <w:rtl/>
        </w:rPr>
        <w:t>(ב:)</w:t>
      </w:r>
      <w:r>
        <w:rPr>
          <w:rFonts w:hint="cs"/>
          <w:rtl/>
        </w:rPr>
        <w:t xml:space="preserve"> דהמשקה מים לזרעים חייב משום זורע, ומבואר דעיקר המלאכה הוא כשמביא את הזרע ליניקה.</w:t>
      </w:r>
      <w:bookmarkEnd w:id="662"/>
    </w:p>
    <w:p w14:paraId="7D93C04C" w14:textId="77777777" w:rsidR="001C69A8" w:rsidRPr="00747170" w:rsidRDefault="001C69A8" w:rsidP="00747170">
      <w:pPr>
        <w:pStyle w:val="a2"/>
      </w:pPr>
      <w:r w:rsidRPr="00747170">
        <w:rPr>
          <w:rtl/>
        </w:rPr>
        <w:t>[</w:t>
      </w:r>
      <w:r w:rsidRPr="00747170">
        <w:t>ה[ ועדיין כד מעיינינן פורתא לא פשיטא לן כ"כ לומר כמ"ש שאם מפריש ציצי עור עד רובן חייב צריך שיגמר דוקא ניתוקן בשבת דומיא דאופה ומבשל ויש מקום לבע"ד לחלוק, לפי שמצינו איזו מלאכות שבת שחלוקין בזה מאופה ומבשל ואין גדרי המלאכות השונות שוין בכך. דהנה במלאכת הזורע אין אופיה של מלאכה הטלה בעפר לחוד אלא עיקרה הוא מה שמביא לידי השרשה ויניקה, שהרי זורע במקום שאינו ראוי להשריש פטור והשורה חטים ושעורים במים חייב משום זורע כמבואר ברמב"ם )פ"ח מהלכות שבת ה"ב( והוא מסוגיא דזבחים )דף צ"ד ע"ב( כמ"ש הכ"מ )עיי' במג"א )סי' של"ו סקי"ב( ובנ"א הל' שבת כלל י"ב ואכמ"ל( והמשקה מים לזרעים חייב נמי משום זורע לפי שמוסיף יניקה כמבואר במו"ק )דף ב' ע"ב( הרי דעיקרו של זורע הוא מה שמביא לידי יניקה דאל"ה לא היו כל הני מגדר הזורע.</w:t>
      </w:r>
    </w:p>
    <w:p w14:paraId="28451E45" w14:textId="1EB7105E" w:rsidR="001C69A8" w:rsidRDefault="001C69A8" w:rsidP="001C69A8">
      <w:pPr>
        <w:pStyle w:val="a7"/>
        <w:rPr>
          <w:rtl/>
        </w:rPr>
      </w:pPr>
      <w:bookmarkStart w:id="663" w:name="_Toc134347638"/>
      <w:r>
        <w:rPr>
          <w:rFonts w:hint="cs"/>
          <w:rtl/>
        </w:rPr>
        <w:t>בי' הדב"א דהחיוב במעשה הזריעה אף דנקלט בחול ואף אי לא נקלט כלל כיון דהביאו להשרשה</w:t>
      </w:r>
      <w:bookmarkEnd w:id="663"/>
    </w:p>
    <w:p w14:paraId="7EA6FDE0" w14:textId="468F8BF8" w:rsidR="001C69A8" w:rsidRPr="00375A15" w:rsidRDefault="001C69A8" w:rsidP="00BC7DC8">
      <w:pPr>
        <w:pStyle w:val="a3"/>
      </w:pPr>
      <w:bookmarkStart w:id="664" w:name="_Ref134304901"/>
      <w:r>
        <w:rPr>
          <w:rFonts w:hint="cs"/>
          <w:rtl/>
        </w:rPr>
        <w:t xml:space="preserve">אך כתב </w:t>
      </w:r>
      <w:r w:rsidRPr="00E87CC9">
        <w:rPr>
          <w:rStyle w:val="aff4"/>
          <w:rFonts w:hint="cs"/>
          <w:vanish/>
          <w:rtl/>
        </w:rPr>
        <w:t>-</w:t>
      </w:r>
      <w:r w:rsidRPr="003B4E24">
        <w:rPr>
          <w:rStyle w:val="aff4"/>
          <w:rFonts w:hint="cs"/>
          <w:rtl/>
        </w:rPr>
        <w:t>הדבר אברהם</w:t>
      </w:r>
      <w:r w:rsidRPr="00E87CC9">
        <w:rPr>
          <w:rStyle w:val="aff4"/>
          <w:rFonts w:hint="cs"/>
          <w:vanish/>
          <w:rtl/>
        </w:rPr>
        <w:t>-</w:t>
      </w:r>
      <w:r>
        <w:rPr>
          <w:rFonts w:hint="cs"/>
          <w:rtl/>
        </w:rPr>
        <w:t xml:space="preserve"> דאף דעיקר המלאכה היא היניקה וההשרשה, מ"מ החיוב הוא במעשה הזריעה לבדו, אעפ"י דההשרשה עצמה נעשית רק לאחר השבת, והוסיף </w:t>
      </w:r>
      <w:r w:rsidRPr="00E87CC9">
        <w:rPr>
          <w:rStyle w:val="aff4"/>
          <w:rFonts w:hint="cs"/>
          <w:vanish/>
          <w:rtl/>
        </w:rPr>
        <w:t>-</w:t>
      </w:r>
      <w:r w:rsidRPr="003B4E24">
        <w:rPr>
          <w:rStyle w:val="aff4"/>
          <w:rFonts w:hint="cs"/>
          <w:rtl/>
        </w:rPr>
        <w:t>הדבר אברהם</w:t>
      </w:r>
      <w:r w:rsidRPr="00E87CC9">
        <w:rPr>
          <w:rStyle w:val="aff4"/>
          <w:rFonts w:hint="cs"/>
          <w:vanish/>
          <w:rtl/>
        </w:rPr>
        <w:t>-</w:t>
      </w:r>
      <w:r>
        <w:rPr>
          <w:rFonts w:hint="cs"/>
          <w:rtl/>
        </w:rPr>
        <w:t xml:space="preserve"> דאפש"ל דאף אם לבסוף הזרע  לא נקלט מ"מ חייב על הזריעה, כיון דהמלאכה לענין איסור שבת נגמרה במעשה הזריעה עצמו, דכל שעשה מעשה שמביא להשרשה חייב עליו, וכתב </w:t>
      </w:r>
      <w:r w:rsidRPr="00E87CC9">
        <w:rPr>
          <w:rStyle w:val="aff4"/>
          <w:rFonts w:hint="cs"/>
          <w:vanish/>
          <w:rtl/>
        </w:rPr>
        <w:t>-</w:t>
      </w:r>
      <w:r w:rsidRPr="003B4E24">
        <w:rPr>
          <w:rStyle w:val="aff4"/>
          <w:rFonts w:hint="cs"/>
          <w:rtl/>
        </w:rPr>
        <w:t>הדבר אברהם</w:t>
      </w:r>
      <w:r w:rsidRPr="00E87CC9">
        <w:rPr>
          <w:rStyle w:val="aff4"/>
          <w:rFonts w:hint="cs"/>
          <w:vanish/>
          <w:rtl/>
        </w:rPr>
        <w:t>-</w:t>
      </w:r>
      <w:r>
        <w:rPr>
          <w:rFonts w:hint="cs"/>
          <w:rtl/>
        </w:rPr>
        <w:t xml:space="preserve"> דמוכח דחייב על הזריעה לבדה, דאל"ה א"א לחייב על כל זורע בשבת, דהא איתא בגמ' בר"ה </w:t>
      </w:r>
      <w:r w:rsidRPr="00277835">
        <w:rPr>
          <w:rStyle w:val="af2"/>
          <w:rFonts w:eastAsia="Guttman Hodes" w:hint="cs"/>
          <w:rtl/>
        </w:rPr>
        <w:t>(י:)</w:t>
      </w:r>
      <w:r>
        <w:rPr>
          <w:rFonts w:hint="cs"/>
          <w:rtl/>
        </w:rPr>
        <w:t xml:space="preserve"> דלכו"ע הזרע אינו נקלט בפחות מג' ימים, והביא </w:t>
      </w:r>
      <w:r w:rsidRPr="00E87CC9">
        <w:rPr>
          <w:rStyle w:val="aff4"/>
          <w:rFonts w:hint="cs"/>
          <w:vanish/>
          <w:rtl/>
        </w:rPr>
        <w:t>-</w:t>
      </w:r>
      <w:r w:rsidRPr="003B4E24">
        <w:rPr>
          <w:rStyle w:val="aff4"/>
          <w:rFonts w:hint="cs"/>
          <w:rtl/>
        </w:rPr>
        <w:t>הדבר אברהם</w:t>
      </w:r>
      <w:r w:rsidRPr="00E87CC9">
        <w:rPr>
          <w:rStyle w:val="aff4"/>
          <w:rFonts w:hint="cs"/>
          <w:vanish/>
          <w:rtl/>
        </w:rPr>
        <w:t>-</w:t>
      </w:r>
      <w:r>
        <w:rPr>
          <w:rFonts w:hint="cs"/>
          <w:rtl/>
        </w:rPr>
        <w:t xml:space="preserve"> את דברי </w:t>
      </w:r>
      <w:r w:rsidRPr="00E87CC9">
        <w:rPr>
          <w:rStyle w:val="aff4"/>
          <w:rFonts w:hint="cs"/>
          <w:vanish/>
          <w:rtl/>
        </w:rPr>
        <w:t>-</w:t>
      </w:r>
      <w:r w:rsidRPr="003B4E24">
        <w:rPr>
          <w:rStyle w:val="aff4"/>
          <w:rFonts w:hint="cs"/>
          <w:rtl/>
        </w:rPr>
        <w:t>המגן אבות</w:t>
      </w:r>
      <w:r w:rsidRPr="00E87CC9">
        <w:rPr>
          <w:rStyle w:val="aff4"/>
          <w:rFonts w:hint="cs"/>
          <w:vanish/>
          <w:rtl/>
        </w:rPr>
        <w:t>-</w:t>
      </w:r>
      <w:r>
        <w:rPr>
          <w:rFonts w:hint="cs"/>
          <w:rtl/>
        </w:rPr>
        <w:t xml:space="preserve"> </w:t>
      </w:r>
      <w:r w:rsidRPr="00277835">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Ref133266813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יז)</w:t>
      </w:r>
      <w:r>
        <w:rPr>
          <w:rStyle w:val="af2"/>
          <w:rFonts w:eastAsia="Guttman Hodes"/>
          <w:rtl/>
        </w:rPr>
        <w:fldChar w:fldCharType="end"/>
      </w:r>
      <w:r>
        <w:rPr>
          <w:rFonts w:hint="cs"/>
          <w:rtl/>
        </w:rPr>
        <w:t xml:space="preserve"> </w:t>
      </w:r>
      <w:r w:rsidRPr="00E87CC9">
        <w:rPr>
          <w:rStyle w:val="aff4"/>
          <w:rFonts w:hint="cs"/>
          <w:vanish/>
          <w:rtl/>
        </w:rPr>
        <w:t>-</w:t>
      </w:r>
      <w:r w:rsidRPr="003B4E24">
        <w:rPr>
          <w:rStyle w:val="aff4"/>
          <w:rFonts w:hint="cs"/>
          <w:rtl/>
        </w:rPr>
        <w:t>והמנחת חינוך</w:t>
      </w:r>
      <w:r w:rsidRPr="00E87CC9">
        <w:rPr>
          <w:rStyle w:val="aff4"/>
          <w:rFonts w:hint="cs"/>
          <w:vanish/>
          <w:rtl/>
        </w:rPr>
        <w:t>-</w:t>
      </w:r>
      <w:r>
        <w:rPr>
          <w:rFonts w:hint="cs"/>
          <w:rtl/>
        </w:rPr>
        <w:t xml:space="preserve"> </w:t>
      </w:r>
      <w:r w:rsidRPr="00277835">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Ref134094454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י)</w:t>
      </w:r>
      <w:r>
        <w:rPr>
          <w:rStyle w:val="af2"/>
          <w:rFonts w:eastAsia="Guttman Hodes"/>
          <w:rtl/>
        </w:rPr>
        <w:fldChar w:fldCharType="end"/>
      </w:r>
      <w:r>
        <w:rPr>
          <w:rFonts w:hint="cs"/>
          <w:rtl/>
        </w:rPr>
        <w:t xml:space="preserve"> דכ"כ, וע"ע במ"ש </w:t>
      </w:r>
      <w:r w:rsidRPr="00E87CC9">
        <w:rPr>
          <w:rStyle w:val="aff4"/>
          <w:rFonts w:hint="cs"/>
          <w:vanish/>
          <w:rtl/>
        </w:rPr>
        <w:t>-</w:t>
      </w:r>
      <w:r w:rsidRPr="003B4E24">
        <w:rPr>
          <w:rStyle w:val="aff4"/>
          <w:rFonts w:hint="cs"/>
          <w:rtl/>
        </w:rPr>
        <w:t>הדבר אברהם</w:t>
      </w:r>
      <w:r w:rsidRPr="00E87CC9">
        <w:rPr>
          <w:rStyle w:val="aff4"/>
          <w:rFonts w:hint="cs"/>
          <w:vanish/>
          <w:rtl/>
        </w:rPr>
        <w:t>-</w:t>
      </w:r>
      <w:r>
        <w:rPr>
          <w:rFonts w:hint="cs"/>
          <w:rtl/>
        </w:rPr>
        <w:t xml:space="preserve"> דכן מוכח בתורת כהנים </w:t>
      </w:r>
      <w:r w:rsidRPr="00277835">
        <w:rPr>
          <w:rStyle w:val="af2"/>
          <w:rFonts w:eastAsia="Guttman Hodes" w:hint="cs"/>
          <w:rtl/>
        </w:rPr>
        <w:t>(שמיני פ' ט' פי"א)</w:t>
      </w:r>
      <w:r>
        <w:rPr>
          <w:rFonts w:hint="cs"/>
          <w:rtl/>
        </w:rPr>
        <w:t xml:space="preserve">, וכ"כ </w:t>
      </w:r>
      <w:r w:rsidRPr="000650B4">
        <w:rPr>
          <w:rStyle w:val="aff4"/>
          <w:rFonts w:hint="cs"/>
          <w:vanish/>
          <w:rtl/>
        </w:rPr>
        <w:t>-</w:t>
      </w:r>
      <w:r w:rsidRPr="00410BCE">
        <w:rPr>
          <w:rStyle w:val="aff4"/>
          <w:rFonts w:hint="cs"/>
          <w:rtl/>
        </w:rPr>
        <w:t>האור שמח</w:t>
      </w:r>
      <w:r w:rsidRPr="000650B4">
        <w:rPr>
          <w:rStyle w:val="aff4"/>
          <w:rFonts w:hint="cs"/>
          <w:vanish/>
          <w:rtl/>
        </w:rPr>
        <w:t>-</w:t>
      </w:r>
      <w:r>
        <w:rPr>
          <w:rFonts w:hint="cs"/>
          <w:rtl/>
        </w:rPr>
        <w:t xml:space="preserve"> </w:t>
      </w:r>
      <w:r w:rsidRPr="00277835">
        <w:rPr>
          <w:rStyle w:val="af2"/>
          <w:rFonts w:eastAsia="Guttman Hodes" w:hint="cs"/>
          <w:rtl/>
        </w:rPr>
        <w:t xml:space="preserve">(עי' אות </w:t>
      </w:r>
      <w:r w:rsidRPr="00277835">
        <w:rPr>
          <w:rStyle w:val="af2"/>
          <w:rFonts w:eastAsia="Guttman Hodes"/>
          <w:rtl/>
        </w:rPr>
        <w:fldChar w:fldCharType="begin"/>
      </w:r>
      <w:r w:rsidRPr="00277835">
        <w:rPr>
          <w:rStyle w:val="af2"/>
          <w:rFonts w:eastAsia="Guttman Hodes"/>
          <w:rtl/>
        </w:rPr>
        <w:instrText xml:space="preserve"> </w:instrText>
      </w:r>
      <w:r w:rsidRPr="00277835">
        <w:rPr>
          <w:rStyle w:val="af2"/>
          <w:rFonts w:eastAsia="Guttman Hodes" w:hint="cs"/>
        </w:rPr>
        <w:instrText>REF</w:instrText>
      </w:r>
      <w:r w:rsidRPr="00277835">
        <w:rPr>
          <w:rStyle w:val="af2"/>
          <w:rFonts w:eastAsia="Guttman Hodes" w:hint="cs"/>
          <w:rtl/>
        </w:rPr>
        <w:instrText xml:space="preserve"> _</w:instrText>
      </w:r>
      <w:r w:rsidRPr="00277835">
        <w:rPr>
          <w:rStyle w:val="af2"/>
          <w:rFonts w:eastAsia="Guttman Hodes" w:hint="cs"/>
        </w:rPr>
        <w:instrText>Ref133871121 \r \h</w:instrText>
      </w:r>
      <w:r w:rsidRPr="00277835">
        <w:rPr>
          <w:rStyle w:val="af2"/>
          <w:rFonts w:eastAsia="Guttman Hodes"/>
          <w:rtl/>
        </w:rPr>
        <w:instrText xml:space="preserve"> </w:instrText>
      </w:r>
      <w:r w:rsidRPr="00277835">
        <w:rPr>
          <w:rStyle w:val="af2"/>
          <w:rFonts w:eastAsia="Guttman Hodes"/>
          <w:rtl/>
        </w:rPr>
      </w:r>
      <w:r w:rsidRPr="00277835">
        <w:rPr>
          <w:rStyle w:val="af2"/>
          <w:rFonts w:eastAsia="Guttman Hodes"/>
          <w:rtl/>
        </w:rPr>
        <w:fldChar w:fldCharType="separate"/>
      </w:r>
      <w:r w:rsidR="00D82181">
        <w:rPr>
          <w:rStyle w:val="af2"/>
          <w:rFonts w:eastAsia="Guttman Hodes"/>
          <w:cs/>
        </w:rPr>
        <w:t>‎</w:t>
      </w:r>
      <w:r w:rsidR="00D82181">
        <w:rPr>
          <w:rStyle w:val="af2"/>
          <w:rFonts w:eastAsia="Guttman Hodes"/>
          <w:rtl/>
        </w:rPr>
        <w:t>סב)</w:t>
      </w:r>
      <w:r w:rsidRPr="00277835">
        <w:rPr>
          <w:rStyle w:val="af2"/>
          <w:rFonts w:eastAsia="Guttman Hodes"/>
          <w:rtl/>
        </w:rPr>
        <w:fldChar w:fldCharType="end"/>
      </w:r>
      <w:r>
        <w:rPr>
          <w:rFonts w:hint="cs"/>
          <w:rtl/>
        </w:rPr>
        <w:t>.</w:t>
      </w:r>
      <w:bookmarkEnd w:id="664"/>
    </w:p>
    <w:p w14:paraId="67667F25" w14:textId="77777777" w:rsidR="001C69A8" w:rsidRPr="00747170" w:rsidRDefault="001C69A8" w:rsidP="00747170">
      <w:pPr>
        <w:pStyle w:val="a2"/>
      </w:pPr>
      <w:r w:rsidRPr="00747170">
        <w:t>ומ"מ בודאי חייב על מעשה הזריעה לחוד אף על פי שעדיין לא נשרש באותה שבת, ואפשר דחייב אפילו אם לא נקלט כלל אח"כ, משום דבזריעה לחוד נגמרה המלאכה לענין שבת כיון שעשה מעשה המביא לידי השרשה, דאלת"ה אלא שאין הזורע חייב אא"כ נקלט באותה שבת אין מציאות בעולם לחיוב זורע דהרי אמרינן בר"ה )דף י' ע"ב( דלכו"ע אין קליטה בפחות מג' ימים ואנן קיי"ל דאין קליטה בפחות מי"ד יום. וראיתי בס' מגן אבות להגאון ר"מ בנעט ז"ל במלאכת זורע שכ' ג"כ כדבר פשוט דזורע חייב מיד, וכן מצאתי בס' מנ"ח )מצוה רצ"ח אות ח'( שכ' להדיא כדברינו דמבשל ואופה אינו חייב אלא עד שידביק ויאפה בשבת אבל זורע חייב מיד והוכיח כהוכחתנו הנ"ל, עיין שם שהאריך בטו"ט ומסיק שכן מצא בס' החינוך )מצוה תקמ"ח( לענין כלאי הכרם דאע"פ שאינו נאסר עד שישרשו כמבואר בפסחים )דף כ"ה ע"א( מ"מ לענין מלקות שהלאו נאמר בלשון לא תזרע חייב מיד שזרע דזוהי זריעה</w:t>
      </w:r>
      <w:r w:rsidRPr="00747170">
        <w:rPr>
          <w:rFonts w:hint="cs"/>
        </w:rPr>
        <w:t xml:space="preserve">, </w:t>
      </w:r>
      <w:r w:rsidRPr="00747170">
        <w:t>וכן נראה לי להביא ראי' מתו"כ )פ' שמיני( מנין לזרעים שזרען טהרו ת"ל אשר יזרע טהור או יכול אף על פי שלא השרישו ת"ל הוא הרי חזינן דאי לאו מיעוטא דהוא הו"א דאפילו לא השרישו נמי טהור מקרא דאשר יזרע ומוכח דשם זריעה נופל מיד כשזורעו אף על פי שעדיין לא נקלט. ולפי"ז יש מקום קלוש ופרצה דחוקה לבע"ד לומר דמלאכות גוזז וקוצר הוו נמי כמלאכת הזריעה דמכיון שעשה מעשה כזה המביא לידי ניתוק חשובה כבר המלאכה כנגמרה בזה בלבד, וא"כ גוזז ציצי עור בגוונא דכתיבנא חייב מיד אף על פי שיוגמר הניתוק אחר שבת כמו זורע:</w:t>
      </w:r>
    </w:p>
    <w:p w14:paraId="6228A98C" w14:textId="31353004" w:rsidR="001C69A8" w:rsidRPr="00853AC1" w:rsidRDefault="001C69A8" w:rsidP="001C69A8">
      <w:pPr>
        <w:pStyle w:val="1"/>
      </w:pPr>
      <w:bookmarkStart w:id="665" w:name="_Toc134347639"/>
      <w:r>
        <w:rPr>
          <w:rFonts w:hint="cs"/>
          <w:rtl/>
        </w:rPr>
        <w:t>בי' הדב"א דמלאכה דודאי נגמרת מיד אחר המעשה חייב בגמר</w:t>
      </w:r>
      <w:bookmarkEnd w:id="665"/>
    </w:p>
    <w:p w14:paraId="4CFD4A68" w14:textId="77777777" w:rsidR="001C69A8" w:rsidRPr="003C1DC2" w:rsidRDefault="001C69A8" w:rsidP="001C69A8">
      <w:pPr>
        <w:keepNext/>
        <w:keepLines/>
        <w:spacing w:after="0" w:line="240" w:lineRule="auto"/>
        <w:ind w:left="-284"/>
        <w:jc w:val="both"/>
        <w:outlineLvl w:val="1"/>
        <w:rPr>
          <w:rFonts w:ascii="FrankRuehl" w:eastAsia="Guttman Hodes" w:hAnsi="FrankRuehl" w:cs="Guttman Rashi"/>
          <w:bCs/>
          <w:noProof/>
          <w:sz w:val="16"/>
          <w:szCs w:val="16"/>
          <w:rtl/>
        </w:rPr>
      </w:pPr>
      <w:bookmarkStart w:id="666" w:name="_Hlk133872829"/>
      <w:r w:rsidRPr="003C1DC2">
        <w:rPr>
          <w:rFonts w:ascii="FrankRuehl" w:eastAsia="Guttman Hodes" w:hAnsi="FrankRuehl" w:cs="Guttman Rashi" w:hint="cs"/>
          <w:bCs/>
          <w:noProof/>
          <w:sz w:val="16"/>
          <w:szCs w:val="16"/>
          <w:rtl/>
        </w:rPr>
        <w:t xml:space="preserve">דבר אברהם </w:t>
      </w:r>
      <w:r>
        <w:rPr>
          <w:rFonts w:ascii="FrankRuehl" w:eastAsia="Guttman Hodes" w:hAnsi="FrankRuehl" w:cs="Guttman Rashi" w:hint="cs"/>
          <w:bCs/>
          <w:noProof/>
          <w:sz w:val="16"/>
          <w:szCs w:val="16"/>
          <w:rtl/>
        </w:rPr>
        <w:t>ח</w:t>
      </w:r>
      <w:r>
        <w:rPr>
          <w:rFonts w:ascii="FrankRuehl" w:eastAsia="Guttman Hodes" w:hAnsi="FrankRuehl" w:cs="Guttman Rashi"/>
          <w:bCs/>
          <w:noProof/>
          <w:sz w:val="16"/>
          <w:szCs w:val="16"/>
          <w:rtl/>
        </w:rPr>
        <w:t>"</w:t>
      </w:r>
      <w:r>
        <w:rPr>
          <w:rFonts w:ascii="FrankRuehl" w:eastAsia="Guttman Hodes" w:hAnsi="FrankRuehl" w:cs="Guttman Rashi" w:hint="cs"/>
          <w:bCs/>
          <w:noProof/>
          <w:sz w:val="16"/>
          <w:szCs w:val="16"/>
          <w:rtl/>
        </w:rPr>
        <w:t>א סי</w:t>
      </w:r>
      <w:r>
        <w:rPr>
          <w:rFonts w:ascii="FrankRuehl" w:eastAsia="Guttman Hodes" w:hAnsi="FrankRuehl" w:cs="Guttman Rashi"/>
          <w:bCs/>
          <w:noProof/>
          <w:sz w:val="16"/>
          <w:szCs w:val="16"/>
          <w:rtl/>
        </w:rPr>
        <w:t>'</w:t>
      </w:r>
      <w:r>
        <w:rPr>
          <w:rFonts w:ascii="FrankRuehl" w:eastAsia="Guttman Hodes" w:hAnsi="FrankRuehl" w:cs="Guttman Rashi" w:hint="cs"/>
          <w:bCs/>
          <w:noProof/>
          <w:sz w:val="16"/>
          <w:szCs w:val="16"/>
          <w:rtl/>
        </w:rPr>
        <w:t xml:space="preserve"> </w:t>
      </w:r>
      <w:r w:rsidRPr="003C1DC2">
        <w:rPr>
          <w:rFonts w:ascii="FrankRuehl" w:eastAsia="Guttman Hodes" w:hAnsi="FrankRuehl" w:cs="Guttman Rashi" w:hint="cs"/>
          <w:bCs/>
          <w:noProof/>
          <w:sz w:val="16"/>
          <w:szCs w:val="16"/>
          <w:rtl/>
        </w:rPr>
        <w:t>כג אות ו' ד</w:t>
      </w:r>
      <w:r w:rsidRPr="003C1DC2">
        <w:rPr>
          <w:rFonts w:ascii="FrankRuehl" w:eastAsia="Guttman Hodes" w:hAnsi="FrankRuehl" w:cs="Guttman Hodes" w:hint="cs"/>
          <w:bCs/>
          <w:noProof/>
          <w:sz w:val="16"/>
          <w:szCs w:val="16"/>
          <w:rtl/>
        </w:rPr>
        <w:t>"</w:t>
      </w:r>
      <w:r w:rsidRPr="003C1DC2">
        <w:rPr>
          <w:rFonts w:ascii="FrankRuehl" w:eastAsia="Guttman Hodes" w:hAnsi="FrankRuehl" w:cs="Guttman Rashi" w:hint="cs"/>
          <w:bCs/>
          <w:noProof/>
          <w:sz w:val="16"/>
          <w:szCs w:val="16"/>
          <w:rtl/>
        </w:rPr>
        <w:t>ה והנראה</w:t>
      </w:r>
    </w:p>
    <w:p w14:paraId="2C1C5CDC" w14:textId="77777777" w:rsidR="001C69A8" w:rsidRPr="003C1DC2" w:rsidRDefault="001C69A8" w:rsidP="001C69A8">
      <w:pPr>
        <w:pStyle w:val="a7"/>
        <w:rPr>
          <w:rtl/>
        </w:rPr>
      </w:pPr>
      <w:bookmarkStart w:id="667" w:name="_Toc134347640"/>
      <w:bookmarkEnd w:id="666"/>
      <w:r>
        <w:rPr>
          <w:rFonts w:hint="cs"/>
          <w:rtl/>
        </w:rPr>
        <w:t>בי' הדב"א דאופה לפני האפיה אין שם אופה כלל ובזורע מיד נקרא זורע וחלוקים בגדר המלאכה</w:t>
      </w:r>
      <w:bookmarkEnd w:id="667"/>
    </w:p>
    <w:p w14:paraId="57233F09" w14:textId="7C40D217" w:rsidR="001C69A8" w:rsidRDefault="001C69A8" w:rsidP="00BC7DC8">
      <w:pPr>
        <w:pStyle w:val="a3"/>
        <w:rPr>
          <w:rtl/>
        </w:rPr>
      </w:pPr>
      <w:bookmarkStart w:id="668" w:name="_Ref134304963"/>
      <w:r w:rsidRPr="003C1DC2">
        <w:rPr>
          <w:rFonts w:hint="cs"/>
          <w:rtl/>
        </w:rPr>
        <w:t xml:space="preserve">וכתב </w:t>
      </w:r>
      <w:r w:rsidRPr="00837DD8">
        <w:rPr>
          <w:rStyle w:val="aff4"/>
          <w:rFonts w:hint="cs"/>
          <w:vanish/>
          <w:rtl/>
        </w:rPr>
        <w:t>-</w:t>
      </w:r>
      <w:r w:rsidRPr="004E6839">
        <w:rPr>
          <w:rStyle w:val="aff4"/>
          <w:rFonts w:hint="cs"/>
          <w:rtl/>
        </w:rPr>
        <w:t>ה</w:t>
      </w:r>
      <w:r w:rsidRPr="00837DD8">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Ref134304963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לב)</w:t>
      </w:r>
      <w:r>
        <w:rPr>
          <w:rStyle w:val="aff4"/>
          <w:vanish/>
          <w:rtl/>
        </w:rPr>
        <w:fldChar w:fldCharType="end"/>
      </w:r>
      <w:r w:rsidRPr="00837DD8">
        <w:rPr>
          <w:rStyle w:val="aff4"/>
          <w:rFonts w:hint="cs"/>
          <w:vanish/>
          <w:rtl/>
        </w:rPr>
        <w:t xml:space="preserve"> &gt;</w:t>
      </w:r>
      <w:r w:rsidRPr="004E6839">
        <w:rPr>
          <w:rStyle w:val="aff4"/>
          <w:rFonts w:hint="cs"/>
          <w:rtl/>
        </w:rPr>
        <w:t>דבר אברהם</w:t>
      </w:r>
      <w:r w:rsidRPr="00837DD8">
        <w:rPr>
          <w:rStyle w:val="aff4"/>
          <w:rFonts w:hint="cs"/>
          <w:vanish/>
          <w:rtl/>
        </w:rPr>
        <w:t>-</w:t>
      </w:r>
      <w:r w:rsidRPr="003C1DC2">
        <w:rPr>
          <w:rFonts w:hint="cs"/>
          <w:rtl/>
        </w:rPr>
        <w:t xml:space="preserve"> </w:t>
      </w:r>
      <w:r w:rsidRPr="00277835">
        <w:rPr>
          <w:rStyle w:val="af2"/>
          <w:rFonts w:eastAsia="Guttman Hodes" w:hint="cs"/>
          <w:rtl/>
        </w:rPr>
        <w:t>(ח"א סי' כ"ג אות ו' ד"ה והנראה)</w:t>
      </w:r>
      <w:r w:rsidRPr="00837DD8">
        <w:rPr>
          <w:rFonts w:hint="cs"/>
          <w:vanish/>
          <w:rtl/>
        </w:rPr>
        <w:t>=</w:t>
      </w:r>
      <w:r w:rsidRPr="003C1DC2">
        <w:rPr>
          <w:rFonts w:hint="cs"/>
          <w:rtl/>
        </w:rPr>
        <w:t xml:space="preserve"> דהא דבאופה ומבשל המלאכה היא בגמר האפיה והבישול, הוא כיון דלפני גמר האפיה והבישול לא נקרא שם אופה ומבשל כלל, אבל זורע מיד בשעת הזריעה נקרא שם זורע, ואין חילוק בין החיוב של המלאכות, אלא בגדר המלאכות עצמם</w:t>
      </w:r>
      <w:r>
        <w:rPr>
          <w:rFonts w:hint="cs"/>
          <w:rtl/>
        </w:rPr>
        <w:t>.</w:t>
      </w:r>
      <w:bookmarkEnd w:id="668"/>
    </w:p>
    <w:p w14:paraId="7E36114F" w14:textId="77777777" w:rsidR="001C69A8" w:rsidRPr="00747170" w:rsidRDefault="001C69A8" w:rsidP="00747170">
      <w:pPr>
        <w:pStyle w:val="a2"/>
      </w:pPr>
      <w:r w:rsidRPr="00747170">
        <w:rPr>
          <w:rFonts w:hint="cs"/>
        </w:rPr>
        <w:t>והנראה שהחילוק שבין אופה ומבשל לזורע פשוט הוא וכמו שהרגיש קצת גם בס' מנ"ח, דעיקר שם בישול ואפייה לא מיקרי אלא עד שיאפה ויתבשל אבל זורע מיקרי מיד ונגמרה מלאכתו ואינם חלוקין בחיובם אלא באופיין של מלאכותיהן.</w:t>
      </w:r>
    </w:p>
    <w:p w14:paraId="7B430A1E" w14:textId="6C1A1D2F" w:rsidR="001C69A8" w:rsidRPr="002B5EB9" w:rsidRDefault="001C69A8" w:rsidP="001C69A8">
      <w:pPr>
        <w:pStyle w:val="a7"/>
      </w:pPr>
      <w:bookmarkStart w:id="669" w:name="_Toc134347641"/>
      <w:r>
        <w:rPr>
          <w:rFonts w:hint="cs"/>
          <w:rtl/>
        </w:rPr>
        <w:t>בי' הדב"א דבזריעה הקליטה רחוקה מהמלאכה וספק אם הזרע יקלט ולכן אינה חלק מהמלאכה</w:t>
      </w:r>
      <w:bookmarkEnd w:id="669"/>
    </w:p>
    <w:p w14:paraId="55E81C01" w14:textId="77777777" w:rsidR="001C69A8" w:rsidRDefault="001C69A8" w:rsidP="00BC7DC8">
      <w:pPr>
        <w:pStyle w:val="a3"/>
        <w:rPr>
          <w:rtl/>
        </w:rPr>
      </w:pPr>
      <w:r w:rsidRPr="003C1DC2">
        <w:rPr>
          <w:rFonts w:hint="cs"/>
          <w:rtl/>
        </w:rPr>
        <w:t xml:space="preserve">וביאר </w:t>
      </w:r>
      <w:r w:rsidRPr="00837DD8">
        <w:rPr>
          <w:rStyle w:val="aff4"/>
          <w:rFonts w:hint="cs"/>
          <w:vanish/>
          <w:rtl/>
        </w:rPr>
        <w:t>-</w:t>
      </w:r>
      <w:r w:rsidRPr="004E6839">
        <w:rPr>
          <w:rStyle w:val="aff4"/>
          <w:rFonts w:hint="cs"/>
          <w:rtl/>
        </w:rPr>
        <w:t>הדבר אברהם</w:t>
      </w:r>
      <w:r w:rsidRPr="00837DD8">
        <w:rPr>
          <w:rStyle w:val="aff4"/>
          <w:rFonts w:hint="cs"/>
          <w:vanish/>
          <w:rtl/>
        </w:rPr>
        <w:t>-</w:t>
      </w:r>
      <w:r w:rsidRPr="003C1DC2">
        <w:rPr>
          <w:rFonts w:hint="cs"/>
          <w:rtl/>
        </w:rPr>
        <w:t xml:space="preserve"> דכיון דבזריעה הזמן שהזרע נקלט רחוק מהזריעה ויש ספק אם יקלט הזרע או לא, ורק מעט מהזרעים נקלטים, לכן הקליטה אינה חלק מהמלאכה, ובזריעה עצמה נגמרה כל המלאכה</w:t>
      </w:r>
      <w:r>
        <w:rPr>
          <w:rFonts w:hint="cs"/>
          <w:rtl/>
        </w:rPr>
        <w:t>.</w:t>
      </w:r>
    </w:p>
    <w:p w14:paraId="44873CFC" w14:textId="77777777" w:rsidR="001C69A8" w:rsidRPr="00747170" w:rsidRDefault="001C69A8" w:rsidP="00747170">
      <w:pPr>
        <w:pStyle w:val="a2"/>
      </w:pPr>
      <w:r w:rsidRPr="00747170">
        <w:rPr>
          <w:rFonts w:hint="cs"/>
        </w:rPr>
        <w:t>וזוהי הנותנת דלפי שזמן הקליטה מרוחק ומסופק [ולוא יהא רק במיעוטא[ לכן נעשית מלאכת הזריעה כמלאכה בפ"ע שאינה תלויה בהשרשה אלא בהזרעה לחוד היא נגמרת.</w:t>
      </w:r>
    </w:p>
    <w:p w14:paraId="133B7B99" w14:textId="5B98B65F" w:rsidR="001C69A8" w:rsidRPr="001013C8" w:rsidRDefault="001C69A8" w:rsidP="001C69A8">
      <w:pPr>
        <w:pStyle w:val="a7"/>
      </w:pPr>
      <w:bookmarkStart w:id="670" w:name="_Toc134347642"/>
      <w:r>
        <w:rPr>
          <w:rFonts w:hint="cs"/>
          <w:rtl/>
        </w:rPr>
        <w:t>בי' הדב"א דבאופה האפיה נעשית מיד אחר המלאכה וודאי שהפת תאפה ולכן היא גמר מלאכה</w:t>
      </w:r>
      <w:bookmarkEnd w:id="670"/>
    </w:p>
    <w:p w14:paraId="6C014D35" w14:textId="77777777" w:rsidR="001C69A8" w:rsidRPr="003C1DC2" w:rsidRDefault="001C69A8" w:rsidP="00BC7DC8">
      <w:pPr>
        <w:pStyle w:val="a3"/>
        <w:rPr>
          <w:rtl/>
        </w:rPr>
      </w:pPr>
      <w:r w:rsidRPr="003C1DC2">
        <w:rPr>
          <w:rFonts w:hint="cs"/>
          <w:rtl/>
        </w:rPr>
        <w:t>אבל באופה ומבשל</w:t>
      </w:r>
      <w:r>
        <w:rPr>
          <w:rFonts w:hint="cs"/>
          <w:rtl/>
        </w:rPr>
        <w:t>,</w:t>
      </w:r>
      <w:r w:rsidRPr="003C1DC2">
        <w:rPr>
          <w:rFonts w:hint="cs"/>
          <w:rtl/>
        </w:rPr>
        <w:t xml:space="preserve"> ביאר </w:t>
      </w:r>
      <w:r w:rsidRPr="00837DD8">
        <w:rPr>
          <w:rStyle w:val="aff4"/>
          <w:rFonts w:hint="cs"/>
          <w:vanish/>
          <w:rtl/>
        </w:rPr>
        <w:t>-</w:t>
      </w:r>
      <w:r w:rsidRPr="004E6839">
        <w:rPr>
          <w:rStyle w:val="aff4"/>
          <w:rFonts w:hint="cs"/>
          <w:rtl/>
        </w:rPr>
        <w:t>הדבר אברהם</w:t>
      </w:r>
      <w:r w:rsidRPr="00837DD8">
        <w:rPr>
          <w:rStyle w:val="aff4"/>
          <w:rFonts w:hint="cs"/>
          <w:vanish/>
          <w:rtl/>
        </w:rPr>
        <w:t>-</w:t>
      </w:r>
      <w:r w:rsidRPr="003C1DC2">
        <w:rPr>
          <w:rFonts w:hint="cs"/>
          <w:rtl/>
        </w:rPr>
        <w:t xml:space="preserve"> דכיון דהאפיה והבישול הם מיד לאחר הנחת הקדירה והדבקת הפת, וודאי שיהיה בישול ואפיה, לכן הם חלק מהמלאכה. </w:t>
      </w:r>
    </w:p>
    <w:p w14:paraId="08FBE60A" w14:textId="77777777" w:rsidR="001C69A8" w:rsidRPr="00747170" w:rsidRDefault="001C69A8" w:rsidP="00747170">
      <w:pPr>
        <w:pStyle w:val="a2"/>
      </w:pPr>
      <w:r w:rsidRPr="00747170">
        <w:rPr>
          <w:rFonts w:hint="cs"/>
        </w:rPr>
        <w:t>אבל באופה ומבשל שהאפייה והבישול באים תכופים לשפיתה והדבקה וודאים הם משו"ה גם זה מכלל המלאכה הוא. וא"כ בקוצר וגוזז ותולדותיהן דבודאי עיקר דרך מלאכתן הוא שיכרתם לגמרי מיד ולא שיעשה בהם רק מעשה כזה שיגרום כריתתם מאליה בודאי צריך שיגמור ניתוקם וכריתתם בשבת ואי לאו הכי לאו מידי עביד דלא נעשית כל המלאכה בשבת, ולא דמי לזורע שכל מלאכתו נגמרה כבר ואין חיובו מצד שסופו להשריש אלא שההזרעה עצמה היא המלאכה כמ"ש אלא דמי לאופה ומבשל ואדרבא עדיפי עוד גוזז וקוצר גם מאופה ומבשל לענין זה, שבאופה ומבשל עכ"פ דרך מלאכתן הוא שתיעשה ע"י בני אדם התחלתן ולא סופן ובגוזז אף גמר מלאכתן כדרכן ע"י מעשה אדם הוא והלכך שייך הגמר יותר לעיקר המלאכה והתחלה עם הגמר אחת היא:</w:t>
      </w:r>
    </w:p>
    <w:p w14:paraId="42B4C3CE" w14:textId="1FF3D2FE" w:rsidR="001C69A8" w:rsidRDefault="001C69A8" w:rsidP="001C69A8">
      <w:pPr>
        <w:pStyle w:val="1"/>
        <w:rPr>
          <w:rtl/>
        </w:rPr>
      </w:pPr>
      <w:bookmarkStart w:id="671" w:name="_Toc134347643"/>
      <w:r>
        <w:rPr>
          <w:rFonts w:hint="cs"/>
          <w:rtl/>
        </w:rPr>
        <w:t>בי' האפיק"י דהאפיה מעצם מלאכת אופה ול"ד להשרשה בזורע</w:t>
      </w:r>
      <w:bookmarkEnd w:id="671"/>
    </w:p>
    <w:p w14:paraId="2BC89C31" w14:textId="77777777" w:rsidR="001C69A8" w:rsidRDefault="001C69A8" w:rsidP="001C69A8">
      <w:pPr>
        <w:pStyle w:val="afffff7"/>
        <w:rPr>
          <w:rtl/>
        </w:rPr>
      </w:pPr>
      <w:bookmarkStart w:id="672" w:name="_Toc134550190"/>
      <w:bookmarkStart w:id="673" w:name="_Toc163505482"/>
      <w:r>
        <w:rPr>
          <w:rtl/>
        </w:rPr>
        <w:t>אפיקי ים חלק ב סימן ד ענף א</w:t>
      </w:r>
      <w:r>
        <w:rPr>
          <w:rFonts w:hint="cs"/>
          <w:rtl/>
        </w:rPr>
        <w:t xml:space="preserve"> ד"ה אבל באמת</w:t>
      </w:r>
      <w:bookmarkEnd w:id="672"/>
      <w:bookmarkEnd w:id="673"/>
    </w:p>
    <w:p w14:paraId="4A1CBBEC" w14:textId="77777777" w:rsidR="001C69A8" w:rsidRDefault="001C69A8" w:rsidP="001C69A8">
      <w:pPr>
        <w:pStyle w:val="a7"/>
        <w:rPr>
          <w:rtl/>
        </w:rPr>
      </w:pPr>
      <w:bookmarkStart w:id="674" w:name="_Toc134347644"/>
      <w:r>
        <w:rPr>
          <w:rFonts w:hint="cs"/>
          <w:rtl/>
        </w:rPr>
        <w:t>בי' האפיק"י דהאפיה היא מעצם המלאכה דצריך שיהיה שוגג באפיה משא"כ בזורע</w:t>
      </w:r>
      <w:bookmarkEnd w:id="674"/>
    </w:p>
    <w:p w14:paraId="4B622872" w14:textId="0665BE33" w:rsidR="001C69A8" w:rsidRPr="00D03F66" w:rsidRDefault="001C69A8" w:rsidP="00BC7DC8">
      <w:pPr>
        <w:pStyle w:val="a3"/>
      </w:pPr>
      <w:bookmarkStart w:id="675" w:name="_Ref134336647"/>
      <w:r>
        <w:rPr>
          <w:rFonts w:hint="cs"/>
          <w:rtl/>
        </w:rPr>
        <w:t xml:space="preserve">במ"ש </w:t>
      </w:r>
      <w:r w:rsidRPr="00B953B6">
        <w:rPr>
          <w:rStyle w:val="aff4"/>
          <w:rFonts w:hint="cs"/>
          <w:vanish/>
          <w:rtl/>
        </w:rPr>
        <w:t>-</w:t>
      </w:r>
      <w:r w:rsidRPr="00A07C4F">
        <w:rPr>
          <w:rStyle w:val="aff4"/>
          <w:rFonts w:hint="cs"/>
          <w:rtl/>
        </w:rPr>
        <w:t>המנחת חינוך</w:t>
      </w:r>
      <w:r w:rsidRPr="00B953B6">
        <w:rPr>
          <w:rStyle w:val="aff4"/>
          <w:rFonts w:hint="cs"/>
          <w:vanish/>
          <w:rtl/>
        </w:rPr>
        <w:t>-</w:t>
      </w:r>
      <w:r>
        <w:rPr>
          <w:rFonts w:hint="cs"/>
          <w:rtl/>
        </w:rPr>
        <w:t xml:space="preserve"> </w:t>
      </w:r>
      <w:r w:rsidRPr="00A07C4F">
        <w:rPr>
          <w:rStyle w:val="af2"/>
          <w:rFonts w:eastAsia="Guttman Hodes" w:hint="cs"/>
          <w:rtl/>
        </w:rPr>
        <w:t xml:space="preserve">(עי' אות </w:t>
      </w:r>
      <w:r w:rsidRPr="00A07C4F">
        <w:rPr>
          <w:rStyle w:val="af2"/>
          <w:rFonts w:eastAsia="Guttman Hodes"/>
          <w:rtl/>
        </w:rPr>
        <w:fldChar w:fldCharType="begin"/>
      </w:r>
      <w:r w:rsidRPr="00A07C4F">
        <w:rPr>
          <w:rStyle w:val="af2"/>
          <w:rFonts w:eastAsia="Guttman Hodes"/>
          <w:rtl/>
        </w:rPr>
        <w:instrText xml:space="preserve"> </w:instrText>
      </w:r>
      <w:r w:rsidRPr="00A07C4F">
        <w:rPr>
          <w:rStyle w:val="af2"/>
          <w:rFonts w:eastAsia="Guttman Hodes" w:hint="cs"/>
        </w:rPr>
        <w:instrText>REF</w:instrText>
      </w:r>
      <w:r w:rsidRPr="00A07C4F">
        <w:rPr>
          <w:rStyle w:val="af2"/>
          <w:rFonts w:eastAsia="Guttman Hodes" w:hint="cs"/>
          <w:rtl/>
        </w:rPr>
        <w:instrText xml:space="preserve"> _</w:instrText>
      </w:r>
      <w:r w:rsidRPr="00A07C4F">
        <w:rPr>
          <w:rStyle w:val="af2"/>
          <w:rFonts w:eastAsia="Guttman Hodes" w:hint="cs"/>
        </w:rPr>
        <w:instrText>Ref134094454 \r \h</w:instrText>
      </w:r>
      <w:r w:rsidRPr="00A07C4F">
        <w:rPr>
          <w:rStyle w:val="af2"/>
          <w:rFonts w:eastAsia="Guttman Hodes"/>
          <w:rtl/>
        </w:rPr>
        <w:instrText xml:space="preserve"> </w:instrText>
      </w:r>
      <w:r w:rsidRPr="00A07C4F">
        <w:rPr>
          <w:rStyle w:val="af2"/>
          <w:rFonts w:eastAsia="Guttman Hodes"/>
          <w:rtl/>
        </w:rPr>
      </w:r>
      <w:r w:rsidRPr="00A07C4F">
        <w:rPr>
          <w:rStyle w:val="af2"/>
          <w:rFonts w:eastAsia="Guttman Hodes"/>
          <w:rtl/>
        </w:rPr>
        <w:fldChar w:fldCharType="separate"/>
      </w:r>
      <w:r w:rsidR="00D82181">
        <w:rPr>
          <w:rStyle w:val="af2"/>
          <w:rFonts w:eastAsia="Guttman Hodes"/>
          <w:cs/>
        </w:rPr>
        <w:t>‎</w:t>
      </w:r>
      <w:r w:rsidR="00D82181">
        <w:rPr>
          <w:rStyle w:val="af2"/>
          <w:rFonts w:eastAsia="Guttman Hodes"/>
          <w:rtl/>
        </w:rPr>
        <w:t>י)</w:t>
      </w:r>
      <w:r w:rsidRPr="00A07C4F">
        <w:rPr>
          <w:rStyle w:val="af2"/>
          <w:rFonts w:eastAsia="Guttman Hodes"/>
          <w:rtl/>
        </w:rPr>
        <w:fldChar w:fldCharType="end"/>
      </w:r>
      <w:r>
        <w:rPr>
          <w:rFonts w:hint="cs"/>
          <w:rtl/>
        </w:rPr>
        <w:t xml:space="preserve"> דמלאכת זורע לא דמי למלאכת אופה, כתב </w:t>
      </w:r>
      <w:r w:rsidRPr="00B953B6">
        <w:rPr>
          <w:rStyle w:val="aff4"/>
          <w:rFonts w:hint="cs"/>
          <w:vanish/>
          <w:rtl/>
        </w:rPr>
        <w:t>-</w:t>
      </w:r>
      <w:r w:rsidRPr="00A07C4F">
        <w:rPr>
          <w:rStyle w:val="aff4"/>
          <w:rFonts w:hint="cs"/>
          <w:rtl/>
        </w:rPr>
        <w:t>ה</w:t>
      </w:r>
      <w:r w:rsidRPr="00B953B6">
        <w:rPr>
          <w:rStyle w:val="aff4"/>
          <w:rFonts w:hint="cs"/>
          <w:vanish/>
          <w:rtl/>
        </w:rPr>
        <w:t xml:space="preserve">&lt;. </w:t>
      </w:r>
      <w:r w:rsidRPr="00B953B6">
        <w:rPr>
          <w:rStyle w:val="aff4"/>
          <w:vanish/>
          <w:rtl/>
        </w:rPr>
        <w:fldChar w:fldCharType="begin"/>
      </w:r>
      <w:r w:rsidRPr="00B953B6">
        <w:rPr>
          <w:rStyle w:val="aff4"/>
          <w:vanish/>
          <w:rtl/>
        </w:rPr>
        <w:instrText xml:space="preserve"> </w:instrText>
      </w:r>
      <w:r w:rsidRPr="00B953B6">
        <w:rPr>
          <w:rStyle w:val="aff4"/>
          <w:rFonts w:hint="cs"/>
          <w:vanish/>
        </w:rPr>
        <w:instrText>REF</w:instrText>
      </w:r>
      <w:r w:rsidRPr="00B953B6">
        <w:rPr>
          <w:rStyle w:val="aff4"/>
          <w:rFonts w:hint="cs"/>
          <w:vanish/>
          <w:rtl/>
        </w:rPr>
        <w:instrText xml:space="preserve"> _</w:instrText>
      </w:r>
      <w:r w:rsidRPr="00B953B6">
        <w:rPr>
          <w:rStyle w:val="aff4"/>
          <w:rFonts w:hint="cs"/>
          <w:vanish/>
        </w:rPr>
        <w:instrText>Ref134336647 \r \h</w:instrText>
      </w:r>
      <w:r w:rsidRPr="00B953B6">
        <w:rPr>
          <w:rStyle w:val="aff4"/>
          <w:vanish/>
          <w:rtl/>
        </w:rPr>
        <w:instrText xml:space="preserve"> </w:instrText>
      </w:r>
      <w:r w:rsidRPr="00B953B6">
        <w:rPr>
          <w:rStyle w:val="aff4"/>
          <w:vanish/>
          <w:rtl/>
        </w:rPr>
      </w:r>
      <w:r w:rsidRPr="00B953B6">
        <w:rPr>
          <w:rStyle w:val="aff4"/>
          <w:vanish/>
          <w:rtl/>
        </w:rPr>
        <w:fldChar w:fldCharType="separate"/>
      </w:r>
      <w:r w:rsidR="00D82181">
        <w:rPr>
          <w:rStyle w:val="aff4"/>
          <w:vanish/>
          <w:cs/>
        </w:rPr>
        <w:t>‎</w:t>
      </w:r>
      <w:r w:rsidR="00D82181">
        <w:rPr>
          <w:rStyle w:val="aff4"/>
          <w:vanish/>
          <w:rtl/>
        </w:rPr>
        <w:t>לה)</w:t>
      </w:r>
      <w:r w:rsidRPr="00B953B6">
        <w:rPr>
          <w:rStyle w:val="aff4"/>
          <w:vanish/>
          <w:rtl/>
        </w:rPr>
        <w:fldChar w:fldCharType="end"/>
      </w:r>
      <w:r w:rsidRPr="00B953B6">
        <w:rPr>
          <w:rStyle w:val="aff4"/>
          <w:rFonts w:hint="cs"/>
          <w:vanish/>
          <w:rtl/>
        </w:rPr>
        <w:t xml:space="preserve"> &gt;</w:t>
      </w:r>
      <w:r w:rsidRPr="00A07C4F">
        <w:rPr>
          <w:rStyle w:val="aff4"/>
          <w:rFonts w:hint="cs"/>
          <w:rtl/>
        </w:rPr>
        <w:t>אפיקי ים</w:t>
      </w:r>
      <w:r w:rsidRPr="00B953B6">
        <w:rPr>
          <w:rStyle w:val="aff4"/>
          <w:rFonts w:hint="cs"/>
          <w:vanish/>
          <w:rtl/>
        </w:rPr>
        <w:t>-</w:t>
      </w:r>
      <w:r>
        <w:rPr>
          <w:rFonts w:hint="cs"/>
          <w:rtl/>
        </w:rPr>
        <w:t xml:space="preserve"> </w:t>
      </w:r>
      <w:r w:rsidRPr="00A07C4F">
        <w:rPr>
          <w:rStyle w:val="af2"/>
          <w:rFonts w:eastAsia="Guttman Hodes" w:hint="cs"/>
          <w:rtl/>
        </w:rPr>
        <w:t>(ח"ב סי' ד' ענף א' ד"ה אבל באמת)</w:t>
      </w:r>
      <w:r w:rsidRPr="00B953B6">
        <w:rPr>
          <w:rFonts w:hint="cs"/>
          <w:vanish/>
          <w:rtl/>
        </w:rPr>
        <w:t>=</w:t>
      </w:r>
      <w:r>
        <w:rPr>
          <w:rFonts w:hint="cs"/>
          <w:rtl/>
        </w:rPr>
        <w:t xml:space="preserve"> דכן מוכח מסברא, דהא האפיה היא עצם המלאכה, דהא צריך שיהיה שוגג גם בגמר האפיה, ואם נזכר בינתיים פטור, וא"כ פשיטא דהנותן בתנור בשבת סמוך לחשיכה ונגמרה האפיה בשבת פטור, כדעת </w:t>
      </w:r>
      <w:r w:rsidRPr="00B953B6">
        <w:rPr>
          <w:rStyle w:val="aff4"/>
          <w:rFonts w:hint="cs"/>
          <w:vanish/>
          <w:rtl/>
        </w:rPr>
        <w:t>-</w:t>
      </w:r>
      <w:r w:rsidRPr="00A07C4F">
        <w:rPr>
          <w:rStyle w:val="aff4"/>
          <w:rFonts w:hint="cs"/>
          <w:rtl/>
        </w:rPr>
        <w:t>המנחת חינוך</w:t>
      </w:r>
      <w:r w:rsidRPr="00B953B6">
        <w:rPr>
          <w:rStyle w:val="aff4"/>
          <w:rFonts w:hint="cs"/>
          <w:vanish/>
          <w:rtl/>
        </w:rPr>
        <w:t>-</w:t>
      </w:r>
      <w:r>
        <w:rPr>
          <w:rFonts w:hint="cs"/>
          <w:rtl/>
        </w:rPr>
        <w:t xml:space="preserve"> </w:t>
      </w:r>
      <w:r w:rsidRPr="00A07C4F">
        <w:rPr>
          <w:rStyle w:val="af2"/>
          <w:rFonts w:eastAsia="Guttman Hodes" w:hint="cs"/>
          <w:rtl/>
        </w:rPr>
        <w:t xml:space="preserve">(עי' אות </w:t>
      </w:r>
      <w:r w:rsidRPr="00A07C4F">
        <w:rPr>
          <w:rStyle w:val="af2"/>
          <w:rFonts w:eastAsia="Guttman Hodes"/>
          <w:rtl/>
        </w:rPr>
        <w:fldChar w:fldCharType="begin"/>
      </w:r>
      <w:r w:rsidRPr="00A07C4F">
        <w:rPr>
          <w:rStyle w:val="af2"/>
          <w:rFonts w:eastAsia="Guttman Hodes"/>
          <w:rtl/>
        </w:rPr>
        <w:instrText xml:space="preserve"> </w:instrText>
      </w:r>
      <w:r w:rsidRPr="00A07C4F">
        <w:rPr>
          <w:rStyle w:val="af2"/>
          <w:rFonts w:eastAsia="Guttman Hodes" w:hint="cs"/>
        </w:rPr>
        <w:instrText>REF</w:instrText>
      </w:r>
      <w:r w:rsidRPr="00A07C4F">
        <w:rPr>
          <w:rStyle w:val="af2"/>
          <w:rFonts w:eastAsia="Guttman Hodes" w:hint="cs"/>
          <w:rtl/>
        </w:rPr>
        <w:instrText xml:space="preserve"> _</w:instrText>
      </w:r>
      <w:r w:rsidRPr="00A07C4F">
        <w:rPr>
          <w:rStyle w:val="af2"/>
          <w:rFonts w:eastAsia="Guttman Hodes" w:hint="cs"/>
        </w:rPr>
        <w:instrText>Ref134182987 \r \h</w:instrText>
      </w:r>
      <w:r w:rsidRPr="00A07C4F">
        <w:rPr>
          <w:rStyle w:val="af2"/>
          <w:rFonts w:eastAsia="Guttman Hodes"/>
          <w:rtl/>
        </w:rPr>
        <w:instrText xml:space="preserve"> </w:instrText>
      </w:r>
      <w:r w:rsidRPr="00A07C4F">
        <w:rPr>
          <w:rStyle w:val="af2"/>
          <w:rFonts w:eastAsia="Guttman Hodes"/>
          <w:rtl/>
        </w:rPr>
      </w:r>
      <w:r w:rsidRPr="00A07C4F">
        <w:rPr>
          <w:rStyle w:val="af2"/>
          <w:rFonts w:eastAsia="Guttman Hodes"/>
          <w:rtl/>
        </w:rPr>
        <w:fldChar w:fldCharType="separate"/>
      </w:r>
      <w:r w:rsidR="00D82181">
        <w:rPr>
          <w:rStyle w:val="af2"/>
          <w:rFonts w:eastAsia="Guttman Hodes"/>
          <w:cs/>
        </w:rPr>
        <w:t>‎</w:t>
      </w:r>
      <w:r w:rsidR="00D82181">
        <w:rPr>
          <w:rStyle w:val="af2"/>
          <w:rFonts w:eastAsia="Guttman Hodes"/>
          <w:rtl/>
        </w:rPr>
        <w:t>סט)</w:t>
      </w:r>
      <w:r w:rsidRPr="00A07C4F">
        <w:rPr>
          <w:rStyle w:val="af2"/>
          <w:rFonts w:eastAsia="Guttman Hodes"/>
          <w:rtl/>
        </w:rPr>
        <w:fldChar w:fldCharType="end"/>
      </w:r>
      <w:r>
        <w:rPr>
          <w:rFonts w:hint="cs"/>
          <w:rtl/>
        </w:rPr>
        <w:t xml:space="preserve"> ודלא </w:t>
      </w:r>
      <w:r w:rsidRPr="00B953B6">
        <w:rPr>
          <w:rStyle w:val="aff4"/>
          <w:rFonts w:hint="cs"/>
          <w:vanish/>
          <w:rtl/>
        </w:rPr>
        <w:t>-</w:t>
      </w:r>
      <w:r w:rsidRPr="00A07C4F">
        <w:rPr>
          <w:rStyle w:val="aff4"/>
          <w:rFonts w:hint="cs"/>
          <w:rtl/>
        </w:rPr>
        <w:t>כרש"ש</w:t>
      </w:r>
      <w:r w:rsidRPr="00B953B6">
        <w:rPr>
          <w:rStyle w:val="aff4"/>
          <w:rFonts w:hint="cs"/>
          <w:vanish/>
          <w:rtl/>
        </w:rPr>
        <w:t>-</w:t>
      </w:r>
      <w:r>
        <w:rPr>
          <w:rFonts w:hint="cs"/>
          <w:rtl/>
        </w:rPr>
        <w:t xml:space="preserve"> </w:t>
      </w:r>
      <w:r w:rsidRPr="00A07C4F">
        <w:rPr>
          <w:rStyle w:val="af2"/>
          <w:rFonts w:eastAsia="Guttman Hodes" w:hint="cs"/>
          <w:rtl/>
        </w:rPr>
        <w:t xml:space="preserve">(עי' אות </w:t>
      </w:r>
      <w:r w:rsidRPr="00A07C4F">
        <w:rPr>
          <w:rStyle w:val="af2"/>
          <w:rFonts w:eastAsia="Guttman Hodes"/>
          <w:rtl/>
        </w:rPr>
        <w:fldChar w:fldCharType="begin"/>
      </w:r>
      <w:r w:rsidRPr="00A07C4F">
        <w:rPr>
          <w:rStyle w:val="af2"/>
          <w:rFonts w:eastAsia="Guttman Hodes"/>
          <w:rtl/>
        </w:rPr>
        <w:instrText xml:space="preserve"> </w:instrText>
      </w:r>
      <w:r w:rsidRPr="00A07C4F">
        <w:rPr>
          <w:rStyle w:val="af2"/>
          <w:rFonts w:eastAsia="Guttman Hodes" w:hint="cs"/>
        </w:rPr>
        <w:instrText>REF</w:instrText>
      </w:r>
      <w:r w:rsidRPr="00A07C4F">
        <w:rPr>
          <w:rStyle w:val="af2"/>
          <w:rFonts w:eastAsia="Guttman Hodes" w:hint="cs"/>
          <w:rtl/>
        </w:rPr>
        <w:instrText xml:space="preserve"> _</w:instrText>
      </w:r>
      <w:r w:rsidRPr="00A07C4F">
        <w:rPr>
          <w:rStyle w:val="af2"/>
          <w:rFonts w:eastAsia="Guttman Hodes" w:hint="cs"/>
        </w:rPr>
        <w:instrText>Ref133942466 \r \h</w:instrText>
      </w:r>
      <w:r w:rsidRPr="00A07C4F">
        <w:rPr>
          <w:rStyle w:val="af2"/>
          <w:rFonts w:eastAsia="Guttman Hodes"/>
          <w:rtl/>
        </w:rPr>
        <w:instrText xml:space="preserve"> </w:instrText>
      </w:r>
      <w:r w:rsidRPr="00A07C4F">
        <w:rPr>
          <w:rStyle w:val="af2"/>
          <w:rFonts w:eastAsia="Guttman Hodes"/>
          <w:rtl/>
        </w:rPr>
      </w:r>
      <w:r w:rsidRPr="00A07C4F">
        <w:rPr>
          <w:rStyle w:val="af2"/>
          <w:rFonts w:eastAsia="Guttman Hodes"/>
          <w:rtl/>
        </w:rPr>
        <w:fldChar w:fldCharType="separate"/>
      </w:r>
      <w:r w:rsidR="00D82181">
        <w:rPr>
          <w:rStyle w:val="af2"/>
          <w:rFonts w:eastAsia="Guttman Hodes"/>
          <w:cs/>
        </w:rPr>
        <w:t>‎</w:t>
      </w:r>
      <w:r w:rsidR="00D82181">
        <w:rPr>
          <w:rStyle w:val="af2"/>
          <w:rFonts w:eastAsia="Guttman Hodes"/>
          <w:rtl/>
        </w:rPr>
        <w:t>סח)</w:t>
      </w:r>
      <w:r w:rsidRPr="00A07C4F">
        <w:rPr>
          <w:rStyle w:val="af2"/>
          <w:rFonts w:eastAsia="Guttman Hodes"/>
          <w:rtl/>
        </w:rPr>
        <w:fldChar w:fldCharType="end"/>
      </w:r>
      <w:r>
        <w:rPr>
          <w:rFonts w:hint="cs"/>
          <w:rtl/>
        </w:rPr>
        <w:t xml:space="preserve">, ואילו בזורע מוכח דהוא חייב בכה"ג דהא כל זורע בשבת ההשרשה היא בחול, לאחר ג' ימים או לאחר י"ד ימים, וא"כ מוכח דההשרשה אינה עצם המלאכה, דעיקר המלאכה היא הזריעה עצמה ולא ההשרשה, וא"כ אף אם ליקט את הזרעים לפני שהשרישו חייב, עיי"ש במה שהאריך </w:t>
      </w:r>
      <w:r w:rsidRPr="00693900">
        <w:rPr>
          <w:rStyle w:val="aff4"/>
          <w:rFonts w:hint="cs"/>
          <w:vanish/>
          <w:rtl/>
        </w:rPr>
        <w:t>-</w:t>
      </w:r>
      <w:r w:rsidRPr="00693900">
        <w:rPr>
          <w:rStyle w:val="aff4"/>
          <w:rFonts w:hint="cs"/>
          <w:rtl/>
        </w:rPr>
        <w:t>האפיקי ים</w:t>
      </w:r>
      <w:r w:rsidRPr="00693900">
        <w:rPr>
          <w:rStyle w:val="aff4"/>
          <w:rFonts w:hint="cs"/>
          <w:vanish/>
          <w:rtl/>
        </w:rPr>
        <w:t>-</w:t>
      </w:r>
      <w:r w:rsidRPr="00693900">
        <w:rPr>
          <w:rStyle w:val="aff4"/>
          <w:rFonts w:hint="cs"/>
          <w:rtl/>
        </w:rPr>
        <w:t xml:space="preserve"> </w:t>
      </w:r>
      <w:r>
        <w:rPr>
          <w:rFonts w:hint="cs"/>
          <w:rtl/>
        </w:rPr>
        <w:t>בזה טובא.</w:t>
      </w:r>
      <w:bookmarkEnd w:id="675"/>
    </w:p>
    <w:p w14:paraId="0FB683D8" w14:textId="77777777" w:rsidR="001C69A8" w:rsidRPr="00747170" w:rsidRDefault="001C69A8" w:rsidP="00747170">
      <w:pPr>
        <w:pStyle w:val="a2"/>
        <w:rPr>
          <w:rtl/>
        </w:rPr>
      </w:pPr>
      <w:r w:rsidRPr="00747170">
        <w:rPr>
          <w:rtl/>
        </w:rPr>
        <w:t xml:space="preserve">אבל באמת הדבר מוכרח מצד עצמו, דאין שום דמיון, מלאכת זורע למלאכת אופה, כמ"ש הרש"ש, דבאופה העיקר הוא האפי' וזהו מעצמות המלאכה, כמ"ש לקמן במלאכת אופה, דבעינן שיהי' שוגג בגמר האפיה, ואל"ה לא מיחייב ומטעם זה נמי ברור, באופה סמוך למוצאי שבת, וגמר האפי' יהי' בחול דפטור ודלא כרש"ש שם, וממילא כיון דחזינן דבזורע בכה"ג חייב, דכל זריעה בשבת, תהי' ההשרשה בחול. בג' או בי"ד יום, וע"כ דאין ההשרשה מעצמות פעולת הזריעה, וממילא עיקר המלאכה היא, הזריעה ממש ולא ההשרשה שאח"כ, ואף אם לקט הזרעים אח"כ חייב, ופשוט לענ"ד. וכעין זה כתב גם במנחת חינוך שם, והיא ראי' מוכרחת וכ"כ בפשיטות בח"א הלכות שבת במלאכת זורע ובנ"א שם: </w:t>
      </w:r>
    </w:p>
    <w:p w14:paraId="67ECB48E" w14:textId="66EAB0DF" w:rsidR="001C69A8" w:rsidRPr="00244E6D" w:rsidRDefault="001C69A8" w:rsidP="001C69A8">
      <w:pPr>
        <w:pStyle w:val="1"/>
      </w:pPr>
      <w:bookmarkStart w:id="676" w:name="_Toc134347645"/>
      <w:r>
        <w:rPr>
          <w:rFonts w:hint="cs"/>
          <w:rtl/>
        </w:rPr>
        <w:t>בי' האגל"ט דמקרב גידול פטור כיון דמלאכת זורע בשעת נתינה</w:t>
      </w:r>
      <w:bookmarkEnd w:id="676"/>
    </w:p>
    <w:p w14:paraId="7ED7A989" w14:textId="77777777" w:rsidR="001C69A8" w:rsidRDefault="001C69A8" w:rsidP="001C69A8">
      <w:pPr>
        <w:pStyle w:val="afffff7"/>
        <w:rPr>
          <w:rtl/>
        </w:rPr>
      </w:pPr>
      <w:bookmarkStart w:id="677" w:name="_Toc134550191"/>
      <w:bookmarkStart w:id="678" w:name="_Toc163505483"/>
      <w:r w:rsidRPr="00746963">
        <w:rPr>
          <w:rtl/>
        </w:rPr>
        <w:t xml:space="preserve">אגלי טל באורים מלאכת זורע </w:t>
      </w:r>
      <w:r w:rsidRPr="00746963">
        <w:rPr>
          <w:rFonts w:hint="cs"/>
          <w:rtl/>
        </w:rPr>
        <w:t>סק</w:t>
      </w:r>
      <w:r>
        <w:rPr>
          <w:rFonts w:hint="cs"/>
          <w:rtl/>
        </w:rPr>
        <w:t>כ</w:t>
      </w:r>
      <w:r w:rsidRPr="00746963">
        <w:rPr>
          <w:rFonts w:hint="cs"/>
          <w:rtl/>
        </w:rPr>
        <w:t>"</w:t>
      </w:r>
      <w:r>
        <w:rPr>
          <w:rFonts w:hint="cs"/>
          <w:rtl/>
        </w:rPr>
        <w:t>ב אות א', ב', ג'</w:t>
      </w:r>
      <w:bookmarkEnd w:id="677"/>
      <w:bookmarkEnd w:id="678"/>
    </w:p>
    <w:p w14:paraId="328FF9F0" w14:textId="77777777" w:rsidR="001C69A8" w:rsidRDefault="001C69A8" w:rsidP="001C69A8">
      <w:pPr>
        <w:pStyle w:val="afffff7"/>
        <w:rPr>
          <w:rtl/>
        </w:rPr>
      </w:pPr>
      <w:bookmarkStart w:id="679" w:name="_Toc134550192"/>
      <w:bookmarkStart w:id="680" w:name="_Toc163505484"/>
      <w:r>
        <w:rPr>
          <w:rtl/>
        </w:rPr>
        <w:t>הגהות אשרי שבת פרק ח סימן ב</w:t>
      </w:r>
      <w:bookmarkEnd w:id="679"/>
      <w:bookmarkEnd w:id="680"/>
    </w:p>
    <w:p w14:paraId="587427C1" w14:textId="77777777" w:rsidR="001C69A8" w:rsidRDefault="001C69A8" w:rsidP="001C69A8">
      <w:pPr>
        <w:pStyle w:val="a7"/>
        <w:rPr>
          <w:rtl/>
        </w:rPr>
      </w:pPr>
      <w:bookmarkStart w:id="681" w:name="_Toc134347646"/>
      <w:r>
        <w:rPr>
          <w:rFonts w:hint="cs"/>
          <w:rtl/>
        </w:rPr>
        <w:t>בי' האגל"ט בהג' אשר"י דהנחת עציץ שאינו נקוב מע"ג יתדות לקרקע רק מקרב גידול ולא זורע</w:t>
      </w:r>
      <w:bookmarkEnd w:id="681"/>
    </w:p>
    <w:p w14:paraId="7B260076" w14:textId="5D8368B2" w:rsidR="001C69A8" w:rsidRPr="00276A3E" w:rsidRDefault="001C69A8" w:rsidP="00BC7DC8">
      <w:pPr>
        <w:pStyle w:val="a3"/>
        <w:rPr>
          <w:rtl/>
        </w:rPr>
      </w:pPr>
      <w:bookmarkStart w:id="682" w:name="_Ref134162034"/>
      <w:r>
        <w:rPr>
          <w:rFonts w:hint="cs"/>
          <w:rtl/>
        </w:rPr>
        <w:t xml:space="preserve">הביא </w:t>
      </w:r>
      <w:r w:rsidRPr="00E87CC9">
        <w:rPr>
          <w:rStyle w:val="aff4"/>
          <w:rFonts w:hint="cs"/>
          <w:vanish/>
          <w:rtl/>
        </w:rPr>
        <w:t>-</w:t>
      </w:r>
      <w:r w:rsidRPr="003B4E24">
        <w:rPr>
          <w:rStyle w:val="aff4"/>
          <w:rFonts w:hint="cs"/>
          <w:rtl/>
        </w:rPr>
        <w:t>ה</w:t>
      </w:r>
      <w:r w:rsidRPr="00350A80">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Ref134162034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לו)</w:t>
      </w:r>
      <w:r>
        <w:rPr>
          <w:rStyle w:val="aff4"/>
          <w:vanish/>
          <w:rtl/>
        </w:rPr>
        <w:fldChar w:fldCharType="end"/>
      </w:r>
      <w:r w:rsidRPr="00350A80">
        <w:rPr>
          <w:rStyle w:val="aff4"/>
          <w:rFonts w:hint="cs"/>
          <w:vanish/>
          <w:rtl/>
        </w:rPr>
        <w:t xml:space="preserve"> &gt;</w:t>
      </w:r>
      <w:r w:rsidRPr="003B4E24">
        <w:rPr>
          <w:rStyle w:val="aff4"/>
          <w:rFonts w:hint="cs"/>
          <w:rtl/>
        </w:rPr>
        <w:t>אגלי טל</w:t>
      </w:r>
      <w:r w:rsidRPr="00E87CC9">
        <w:rPr>
          <w:rStyle w:val="aff4"/>
          <w:rFonts w:hint="cs"/>
          <w:vanish/>
          <w:rtl/>
        </w:rPr>
        <w:t>-</w:t>
      </w:r>
      <w:r>
        <w:rPr>
          <w:rFonts w:hint="cs"/>
          <w:rtl/>
        </w:rPr>
        <w:t xml:space="preserve"> </w:t>
      </w:r>
      <w:r w:rsidRPr="00277835">
        <w:rPr>
          <w:rStyle w:val="af2"/>
          <w:rFonts w:eastAsia="Guttman Hodes" w:hint="cs"/>
          <w:rtl/>
        </w:rPr>
        <w:t>(זורע סקכ"ב אות א', ב', ג')</w:t>
      </w:r>
      <w:r w:rsidRPr="00350A80">
        <w:rPr>
          <w:rFonts w:hint="cs"/>
          <w:vanish/>
          <w:rtl/>
        </w:rPr>
        <w:t>=</w:t>
      </w:r>
      <w:r>
        <w:rPr>
          <w:rFonts w:hint="cs"/>
          <w:rtl/>
        </w:rPr>
        <w:t xml:space="preserve"> את דברי </w:t>
      </w:r>
      <w:r w:rsidRPr="00E87CC9">
        <w:rPr>
          <w:rStyle w:val="aff4"/>
          <w:rFonts w:hint="cs"/>
          <w:vanish/>
          <w:rtl/>
        </w:rPr>
        <w:t>-</w:t>
      </w:r>
      <w:r w:rsidRPr="003B4E24">
        <w:rPr>
          <w:rStyle w:val="aff4"/>
          <w:rFonts w:hint="cs"/>
          <w:rtl/>
        </w:rPr>
        <w:t>ה</w:t>
      </w:r>
      <w:r w:rsidRPr="00350A80">
        <w:rPr>
          <w:rStyle w:val="aff4"/>
          <w:rFonts w:hint="cs"/>
          <w:vanish/>
          <w:rtl/>
        </w:rPr>
        <w:t>&lt; &gt;</w:t>
      </w:r>
      <w:r w:rsidRPr="003B4E24">
        <w:rPr>
          <w:rStyle w:val="aff4"/>
          <w:rFonts w:hint="cs"/>
          <w:rtl/>
        </w:rPr>
        <w:t>הג' אשר"י לעיל</w:t>
      </w:r>
      <w:r w:rsidRPr="00E87CC9">
        <w:rPr>
          <w:rStyle w:val="aff4"/>
          <w:rFonts w:hint="cs"/>
          <w:vanish/>
          <w:rtl/>
        </w:rPr>
        <w:t>-</w:t>
      </w:r>
      <w:r>
        <w:rPr>
          <w:rFonts w:hint="cs"/>
          <w:rtl/>
        </w:rPr>
        <w:t xml:space="preserve"> </w:t>
      </w:r>
      <w:r w:rsidRPr="00277835">
        <w:rPr>
          <w:rStyle w:val="af2"/>
          <w:rFonts w:eastAsia="Guttman Hodes" w:hint="cs"/>
          <w:rtl/>
        </w:rPr>
        <w:t>(על הרא"ש פ"ח סי' ב')</w:t>
      </w:r>
      <w:r w:rsidRPr="00350A80">
        <w:rPr>
          <w:rFonts w:hint="cs"/>
          <w:vanish/>
          <w:rtl/>
        </w:rPr>
        <w:t>=</w:t>
      </w:r>
      <w:r>
        <w:rPr>
          <w:rFonts w:hint="cs"/>
          <w:rtl/>
        </w:rPr>
        <w:t xml:space="preserve"> דכתב דהנוטל עציץ נקוב שמונח ע"ג יתדות ומניחו ע"ג קרקע, אינו זורע מדאו' ואסור רק מדרבנן, כיון שגם ע"ג היתדות הוא יונק קצת, והקשה </w:t>
      </w:r>
      <w:r w:rsidRPr="00E87CC9">
        <w:rPr>
          <w:rStyle w:val="aff4"/>
          <w:rFonts w:hint="cs"/>
          <w:vanish/>
          <w:rtl/>
        </w:rPr>
        <w:t>-</w:t>
      </w:r>
      <w:r w:rsidRPr="003B4E24">
        <w:rPr>
          <w:rStyle w:val="aff4"/>
          <w:rFonts w:hint="cs"/>
          <w:rtl/>
        </w:rPr>
        <w:t>האגלי טל</w:t>
      </w:r>
      <w:r w:rsidRPr="00E87CC9">
        <w:rPr>
          <w:rStyle w:val="aff4"/>
          <w:rFonts w:hint="cs"/>
          <w:vanish/>
          <w:rtl/>
        </w:rPr>
        <w:t>-</w:t>
      </w:r>
      <w:r>
        <w:rPr>
          <w:rFonts w:hint="cs"/>
          <w:rtl/>
        </w:rPr>
        <w:t xml:space="preserve"> דהא כשמניח את העציץ ע"ג הקרקע הוא מוסיף ביניקה שלו, ודמי למשקה מים לזרעים ולמנקש דחייב מדאו', ותירץ </w:t>
      </w:r>
      <w:r w:rsidRPr="00E87CC9">
        <w:rPr>
          <w:rStyle w:val="aff4"/>
          <w:rFonts w:hint="cs"/>
          <w:vanish/>
          <w:rtl/>
        </w:rPr>
        <w:t>-</w:t>
      </w:r>
      <w:r w:rsidRPr="003B4E24">
        <w:rPr>
          <w:rStyle w:val="aff4"/>
          <w:rFonts w:hint="cs"/>
          <w:rtl/>
        </w:rPr>
        <w:t>האגלי טל</w:t>
      </w:r>
      <w:r w:rsidRPr="00E87CC9">
        <w:rPr>
          <w:rStyle w:val="aff4"/>
          <w:rFonts w:hint="cs"/>
          <w:vanish/>
          <w:rtl/>
        </w:rPr>
        <w:t>-</w:t>
      </w:r>
      <w:r>
        <w:rPr>
          <w:rFonts w:hint="cs"/>
          <w:rtl/>
        </w:rPr>
        <w:t xml:space="preserve"> דסגי ביניקה שע"ג היתדות בשביל לגדל את הזרעים, וכשמניחו ע"ג הקרקע הוא רק מקרב את גידולו.</w:t>
      </w:r>
      <w:bookmarkEnd w:id="682"/>
    </w:p>
    <w:p w14:paraId="7BEC978A" w14:textId="77777777" w:rsidR="001C69A8" w:rsidRPr="00747170" w:rsidRDefault="001C69A8" w:rsidP="00747170">
      <w:pPr>
        <w:pStyle w:val="a2"/>
      </w:pPr>
      <w:r w:rsidRPr="00747170">
        <w:rPr>
          <w:rtl/>
        </w:rPr>
        <w:t>[</w:t>
      </w:r>
      <w:r w:rsidRPr="00747170">
        <w:t>כב[ )א( עציץ נקוב. זה הוא בהג' אשרי שהעתקנו לעיל סק"י דאם הי' מונח ע"ג יתידות והניחו ע"ג קרקע חייב משום נוטע מדרבנן דאע"ג דמונח ע"ג יתידות יונק מן הקרקע קצת הילכך מדאורייתא אינו חייב משום זורע. וקשה לי דנהי דכשהיה מונח ע"ג יתידות הי' יונק קצת עכ"פ כשהניחו ע"ג קרקע הוא מוסיף ביניקה ודומה למשקה מים לזרעים וכן למנכש דחייב משום דהשתא גדלי טפי כמו שפירש"י מ"ק ב': וז"ל מנכש תולש עשבים רעים מתוך הטובים וכי עקר הני צמחו הני טפי. ולכאורה הוא תמיה גדולה:</w:t>
      </w:r>
    </w:p>
    <w:p w14:paraId="3E7E7FE5" w14:textId="77777777" w:rsidR="001C69A8" w:rsidRPr="0000488C" w:rsidRDefault="001C69A8" w:rsidP="00747170">
      <w:pPr>
        <w:pStyle w:val="afffff5"/>
        <w:rPr>
          <w:rtl/>
        </w:rPr>
      </w:pPr>
      <w:r w:rsidRPr="0000488C">
        <w:rPr>
          <w:rtl/>
        </w:rPr>
        <w:t>(ב) וצריך לומר דנהי דכשמונח ע"ג יתידות אינו יונק כ"כ מ"מ אין כאן חסרון רק שיאריך זמן גידולו יותר מחמת מיעוט היניקה ואינו דומה למנכש דע"י שעוקר העשבים הרעים מוסיף כח בקרקע. אבל זה שבין כך ובין כך הקרקע יש לה כוחה רק כשמונח ע"ג יתידות הוא מושך הכח מהקרקע לאט לאט. ומ"מ באורך הזמן יוציא מהקרקע כל הצריך להגידול וע"כ אין כאן חיוב זורע כיון דאף בלא מעשיו הי' גדל:</w:t>
      </w:r>
    </w:p>
    <w:p w14:paraId="15FD4A49" w14:textId="77777777" w:rsidR="001C69A8" w:rsidRPr="0000488C" w:rsidRDefault="001C69A8" w:rsidP="00747170">
      <w:pPr>
        <w:pStyle w:val="afffff5"/>
        <w:rPr>
          <w:rtl/>
        </w:rPr>
      </w:pPr>
      <w:r w:rsidRPr="0000488C">
        <w:rPr>
          <w:rtl/>
        </w:rPr>
        <w:t xml:space="preserve">*** האי עציץ נקוב שמונח על גבי </w:t>
      </w:r>
      <w:r>
        <w:rPr>
          <w:rtl/>
        </w:rPr>
        <w:t>[</w:t>
      </w:r>
      <w:r w:rsidRPr="0000488C">
        <w:rPr>
          <w:rtl/>
        </w:rPr>
        <w:t xml:space="preserve">קרקע והניחו ע"ג] יתידות חייב משום תולש מדרבנן או אם מונח על גבי יתידות והניחו על גבי קרקע חייב משום נוטע (ז) ומדרבנן. אף על גב דמונח על גבי יתידות יונק מן הקרקע קצת הלכך מדאורייתא אין חייב משום תולש ומשום נוטע פר"י. </w:t>
      </w:r>
    </w:p>
    <w:p w14:paraId="3117A10C" w14:textId="6292A9DC" w:rsidR="001C69A8" w:rsidRPr="00746963" w:rsidRDefault="001C69A8" w:rsidP="001C69A8">
      <w:pPr>
        <w:pStyle w:val="afffff7"/>
        <w:rPr>
          <w:rtl/>
        </w:rPr>
      </w:pPr>
      <w:bookmarkStart w:id="683" w:name="_Toc134550193"/>
      <w:bookmarkStart w:id="684" w:name="_Toc163505485"/>
      <w:r w:rsidRPr="00746963">
        <w:rPr>
          <w:rtl/>
        </w:rPr>
        <w:t xml:space="preserve">אגלי טל באורים מלאכת זורע </w:t>
      </w:r>
      <w:r w:rsidRPr="00746963">
        <w:rPr>
          <w:rFonts w:hint="cs"/>
          <w:rtl/>
        </w:rPr>
        <w:t>סק</w:t>
      </w:r>
      <w:r>
        <w:rPr>
          <w:rFonts w:hint="cs"/>
          <w:rtl/>
        </w:rPr>
        <w:t>כ</w:t>
      </w:r>
      <w:r w:rsidRPr="00746963">
        <w:rPr>
          <w:rFonts w:hint="cs"/>
          <w:rtl/>
        </w:rPr>
        <w:t>"</w:t>
      </w:r>
      <w:r>
        <w:rPr>
          <w:rFonts w:hint="cs"/>
          <w:rtl/>
        </w:rPr>
        <w:t>ב אות ג', ד'</w:t>
      </w:r>
      <w:bookmarkEnd w:id="683"/>
      <w:bookmarkEnd w:id="684"/>
    </w:p>
    <w:p w14:paraId="728A0A9F" w14:textId="77777777" w:rsidR="001C69A8" w:rsidRDefault="001C69A8" w:rsidP="001C69A8">
      <w:pPr>
        <w:pStyle w:val="a7"/>
        <w:rPr>
          <w:rtl/>
        </w:rPr>
      </w:pPr>
      <w:bookmarkStart w:id="685" w:name="_Toc134347647"/>
      <w:r>
        <w:rPr>
          <w:rFonts w:hint="cs"/>
          <w:rtl/>
        </w:rPr>
        <w:t>בי' האגל"ט דהמקרב בישול חייב כיון דהמלאכה היא בגמר בישול אבל המקרב גידול פטור</w:t>
      </w:r>
      <w:bookmarkEnd w:id="685"/>
    </w:p>
    <w:p w14:paraId="34C6579E" w14:textId="1BB8D77F" w:rsidR="001C69A8" w:rsidRPr="002509D9" w:rsidRDefault="001C69A8" w:rsidP="00BC7DC8">
      <w:pPr>
        <w:pStyle w:val="a3"/>
        <w:rPr>
          <w:rtl/>
        </w:rPr>
      </w:pPr>
      <w:bookmarkStart w:id="686" w:name="_Ref133859292"/>
      <w:r>
        <w:rPr>
          <w:rFonts w:hint="cs"/>
          <w:rtl/>
        </w:rPr>
        <w:t xml:space="preserve">אך הקשה </w:t>
      </w:r>
      <w:r w:rsidRPr="00E87CC9">
        <w:rPr>
          <w:rStyle w:val="aff4"/>
          <w:rFonts w:hint="cs"/>
          <w:vanish/>
          <w:rtl/>
        </w:rPr>
        <w:t>-</w:t>
      </w:r>
      <w:r w:rsidRPr="003B4E24">
        <w:rPr>
          <w:rStyle w:val="aff4"/>
          <w:rFonts w:hint="cs"/>
          <w:rtl/>
        </w:rPr>
        <w:t>ה</w:t>
      </w:r>
      <w:r w:rsidRPr="00350A80">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Ref133859292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לז)</w:t>
      </w:r>
      <w:r>
        <w:rPr>
          <w:rStyle w:val="aff4"/>
          <w:vanish/>
          <w:rtl/>
        </w:rPr>
        <w:fldChar w:fldCharType="end"/>
      </w:r>
      <w:r w:rsidRPr="00350A80">
        <w:rPr>
          <w:rStyle w:val="aff4"/>
          <w:rFonts w:hint="cs"/>
          <w:vanish/>
          <w:rtl/>
        </w:rPr>
        <w:t xml:space="preserve"> &gt;</w:t>
      </w:r>
      <w:r w:rsidRPr="003B4E24">
        <w:rPr>
          <w:rStyle w:val="aff4"/>
          <w:rFonts w:hint="cs"/>
          <w:rtl/>
        </w:rPr>
        <w:t>אגלי טל</w:t>
      </w:r>
      <w:r w:rsidRPr="00E87CC9">
        <w:rPr>
          <w:rStyle w:val="aff4"/>
          <w:rFonts w:hint="cs"/>
          <w:vanish/>
          <w:rtl/>
        </w:rPr>
        <w:t>-</w:t>
      </w:r>
      <w:r>
        <w:rPr>
          <w:rFonts w:hint="cs"/>
          <w:rtl/>
        </w:rPr>
        <w:t xml:space="preserve"> </w:t>
      </w:r>
      <w:r w:rsidRPr="00277835">
        <w:rPr>
          <w:rStyle w:val="af2"/>
          <w:rFonts w:eastAsia="Guttman Hodes" w:hint="cs"/>
          <w:rtl/>
        </w:rPr>
        <w:t>(זורע סקכ"ב אות ג')</w:t>
      </w:r>
      <w:r w:rsidRPr="00350A80">
        <w:rPr>
          <w:rFonts w:hint="cs"/>
          <w:vanish/>
          <w:rtl/>
        </w:rPr>
        <w:t>=</w:t>
      </w:r>
      <w:r>
        <w:rPr>
          <w:rFonts w:hint="cs"/>
          <w:rtl/>
        </w:rPr>
        <w:t xml:space="preserve"> דאיתא בגמ' בביצה </w:t>
      </w:r>
      <w:r w:rsidRPr="00277835">
        <w:rPr>
          <w:rStyle w:val="af2"/>
          <w:rFonts w:eastAsia="Guttman Hodes" w:hint="cs"/>
          <w:rtl/>
        </w:rPr>
        <w:t>(לד.)</w:t>
      </w:r>
      <w:r>
        <w:rPr>
          <w:rFonts w:hint="cs"/>
          <w:rtl/>
        </w:rPr>
        <w:t xml:space="preserve"> דהמגיס חייב כיון דמקרב את הבישול, וא"כ אף במניח עציץ נקוב ע"ג קרקע יתחייב כיון דמקרב את גידולו, ותירץ </w:t>
      </w:r>
      <w:r w:rsidRPr="00E87CC9">
        <w:rPr>
          <w:rStyle w:val="aff4"/>
          <w:rFonts w:hint="cs"/>
          <w:vanish/>
          <w:rtl/>
        </w:rPr>
        <w:t>-</w:t>
      </w:r>
      <w:r w:rsidRPr="003B4E24">
        <w:rPr>
          <w:rStyle w:val="aff4"/>
          <w:rFonts w:hint="cs"/>
          <w:rtl/>
        </w:rPr>
        <w:t>ה</w:t>
      </w:r>
      <w:r w:rsidRPr="00B40A10">
        <w:rPr>
          <w:rStyle w:val="aff4"/>
          <w:rFonts w:hint="cs"/>
          <w:vanish/>
          <w:rtl/>
        </w:rPr>
        <w:t>&lt; &gt;</w:t>
      </w:r>
      <w:r w:rsidRPr="003B4E24">
        <w:rPr>
          <w:rStyle w:val="aff4"/>
          <w:rFonts w:hint="cs"/>
          <w:rtl/>
        </w:rPr>
        <w:t>אגלי טל</w:t>
      </w:r>
      <w:r w:rsidRPr="00E87CC9">
        <w:rPr>
          <w:rStyle w:val="aff4"/>
          <w:rFonts w:hint="cs"/>
          <w:vanish/>
          <w:rtl/>
        </w:rPr>
        <w:t>-</w:t>
      </w:r>
      <w:r>
        <w:rPr>
          <w:rFonts w:hint="cs"/>
          <w:rtl/>
        </w:rPr>
        <w:t xml:space="preserve"> </w:t>
      </w:r>
      <w:r w:rsidRPr="00277835">
        <w:rPr>
          <w:rStyle w:val="af2"/>
          <w:rFonts w:eastAsia="Guttman Hodes" w:hint="cs"/>
          <w:rtl/>
        </w:rPr>
        <w:t>(זורע סקכ"ב אות ד')</w:t>
      </w:r>
      <w:r w:rsidRPr="00350A80">
        <w:rPr>
          <w:rFonts w:hint="cs"/>
          <w:vanish/>
          <w:rtl/>
        </w:rPr>
        <w:t>=</w:t>
      </w:r>
      <w:r>
        <w:rPr>
          <w:rFonts w:hint="cs"/>
          <w:rtl/>
        </w:rPr>
        <w:t xml:space="preserve"> דמבשל ואופה לא דמי לזורע, כדביאר </w:t>
      </w:r>
      <w:r w:rsidRPr="00E87CC9">
        <w:rPr>
          <w:rStyle w:val="aff4"/>
          <w:rFonts w:hint="cs"/>
          <w:vanish/>
          <w:rtl/>
        </w:rPr>
        <w:t>-</w:t>
      </w:r>
      <w:r w:rsidRPr="003B4E24">
        <w:rPr>
          <w:rStyle w:val="aff4"/>
          <w:rFonts w:hint="cs"/>
          <w:rtl/>
        </w:rPr>
        <w:t>האגלי טל</w:t>
      </w:r>
      <w:r w:rsidRPr="00E87CC9">
        <w:rPr>
          <w:rStyle w:val="aff4"/>
          <w:rFonts w:hint="cs"/>
          <w:vanish/>
          <w:rtl/>
        </w:rPr>
        <w:t>-</w:t>
      </w:r>
      <w:r>
        <w:rPr>
          <w:rFonts w:hint="cs"/>
          <w:rtl/>
        </w:rPr>
        <w:t xml:space="preserve"> </w:t>
      </w:r>
      <w:r w:rsidRPr="00277835">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Ref133266793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טז)</w:t>
      </w:r>
      <w:r>
        <w:rPr>
          <w:rStyle w:val="af2"/>
          <w:rFonts w:eastAsia="Guttman Hodes"/>
          <w:rtl/>
        </w:rPr>
        <w:fldChar w:fldCharType="end"/>
      </w:r>
      <w:r>
        <w:rPr>
          <w:rFonts w:hint="cs"/>
          <w:rtl/>
        </w:rPr>
        <w:t xml:space="preserve"> דבאופה החיוב הוא בשעת גמר המלאכה באפיה, ובזורע המלאכה היא בשעת הזריעה, וכתב </w:t>
      </w:r>
      <w:r w:rsidRPr="00E87CC9">
        <w:rPr>
          <w:rStyle w:val="aff4"/>
          <w:rFonts w:hint="cs"/>
          <w:vanish/>
          <w:rtl/>
        </w:rPr>
        <w:t>-</w:t>
      </w:r>
      <w:r w:rsidRPr="003B4E24">
        <w:rPr>
          <w:rStyle w:val="aff4"/>
          <w:rFonts w:hint="cs"/>
          <w:rtl/>
        </w:rPr>
        <w:t>האגלי טל</w:t>
      </w:r>
      <w:r w:rsidRPr="00E87CC9">
        <w:rPr>
          <w:rStyle w:val="aff4"/>
          <w:rFonts w:hint="cs"/>
          <w:vanish/>
          <w:rtl/>
        </w:rPr>
        <w:t>-</w:t>
      </w:r>
      <w:r>
        <w:rPr>
          <w:rFonts w:hint="cs"/>
          <w:rtl/>
        </w:rPr>
        <w:t xml:space="preserve"> דא"כ הא דהמגיס חייב כיון דמקרב את הבישול, היינו דוקא בבישול ואפיה דהחיוב הוא בגמר המלאכה וכיון דלולי שהוא מגיס לא היה מתבשל עכשיו, והוא מקרב את הבישול לכן חייב, אבל בזורע דהמלאכה היא רק בשעת נתינת הזרע בקרקע, לכן אם עשה מעשה לקרב את צמיחת הזרע אינו מתחייב בזה, ולכן הנוטל עציץ נקוב מע"ג יתדות ומניחו ע"ג קרקע פטור, דאעפ"י דע"ג הקרקע הוא יונק יותר מאשר ע"ג היתדות, מ"מ כיון דהמלאכה היא בזריעה עצמה ולא בהצמחה לכן אין חיוב על קירוב הגידול, ועיי"ש במה שהאריך עוד </w:t>
      </w:r>
      <w:r w:rsidRPr="00E87CC9">
        <w:rPr>
          <w:rStyle w:val="aff4"/>
          <w:rFonts w:hint="cs"/>
          <w:vanish/>
          <w:rtl/>
        </w:rPr>
        <w:t>-</w:t>
      </w:r>
      <w:r w:rsidRPr="003B4E24">
        <w:rPr>
          <w:rStyle w:val="aff4"/>
          <w:rFonts w:hint="cs"/>
          <w:rtl/>
        </w:rPr>
        <w:t>האגלי טל</w:t>
      </w:r>
      <w:r w:rsidRPr="00E87CC9">
        <w:rPr>
          <w:rStyle w:val="aff4"/>
          <w:rFonts w:hint="cs"/>
          <w:vanish/>
          <w:rtl/>
        </w:rPr>
        <w:t>-</w:t>
      </w:r>
      <w:r>
        <w:rPr>
          <w:rFonts w:hint="cs"/>
          <w:rtl/>
        </w:rPr>
        <w:t xml:space="preserve"> בביאור דברי </w:t>
      </w:r>
      <w:r w:rsidRPr="00E87CC9">
        <w:rPr>
          <w:rStyle w:val="aff4"/>
          <w:rFonts w:hint="cs"/>
          <w:vanish/>
          <w:rtl/>
        </w:rPr>
        <w:t>-</w:t>
      </w:r>
      <w:r w:rsidRPr="003B4E24">
        <w:rPr>
          <w:rStyle w:val="aff4"/>
          <w:rFonts w:hint="cs"/>
          <w:rtl/>
        </w:rPr>
        <w:t>ההג' אשר"י</w:t>
      </w:r>
      <w:r w:rsidRPr="00E87CC9">
        <w:rPr>
          <w:rStyle w:val="aff4"/>
          <w:rFonts w:hint="cs"/>
          <w:vanish/>
          <w:rtl/>
        </w:rPr>
        <w:t>-</w:t>
      </w:r>
      <w:r>
        <w:rPr>
          <w:rFonts w:hint="cs"/>
          <w:rtl/>
        </w:rPr>
        <w:t>.</w:t>
      </w:r>
      <w:bookmarkEnd w:id="686"/>
    </w:p>
    <w:p w14:paraId="381C2AEE" w14:textId="77777777" w:rsidR="001C69A8" w:rsidRPr="00747170" w:rsidRDefault="001C69A8" w:rsidP="00747170">
      <w:pPr>
        <w:pStyle w:val="a2"/>
      </w:pPr>
      <w:r w:rsidRPr="00747170">
        <w:rPr>
          <w:rtl/>
        </w:rPr>
        <w:t>)</w:t>
      </w:r>
      <w:r w:rsidRPr="00747170">
        <w:t>ג( ולכאורה קשה ע"ז מהא דביצה ל"ד. אחד מביא האור כו' ואחד מגיס כולן חייבין. וע"כ דאף בלא הגסה הי' מתבשל דאל"כ הראשון יפטור. וחיוב מגיס הוא ע"כ משום קירוב בישול וכך הם דברי הרא"ש פ' כירה סי' י"א עיין שם. וה"נ יתחייב משום קירוב גידולו:</w:t>
      </w:r>
    </w:p>
    <w:p w14:paraId="2BA7C0D5" w14:textId="77777777" w:rsidR="001C69A8" w:rsidRPr="0000488C" w:rsidRDefault="001C69A8" w:rsidP="00747170">
      <w:pPr>
        <w:pStyle w:val="afffff5"/>
        <w:rPr>
          <w:rtl/>
        </w:rPr>
      </w:pPr>
      <w:r w:rsidRPr="0000488C">
        <w:rPr>
          <w:rtl/>
        </w:rPr>
        <w:t xml:space="preserve">(ד) ונראה לי לחלק דהנה הפרש יש בין מלאכת בישול למלאכת זריעה. דבישול אין החיוב נגמר עד שיתבשל שהרי הרודה את הפת קודם שתאפה נפטר מחיוב אופה כדאיתא ריש שבת </w:t>
      </w:r>
      <w:r>
        <w:rPr>
          <w:rtl/>
        </w:rPr>
        <w:t>[</w:t>
      </w:r>
      <w:r w:rsidRPr="0000488C">
        <w:rPr>
          <w:rtl/>
        </w:rPr>
        <w:t>ד א] אבל הזורע חיובו תיכף בשעת זריעה ואפי' חזר ולקטו קודם שיצמח כנ"ל סק"ח ועל כן המגיס בשעה שנתבשל מחמת הגסה נתחייב המגיס דלולא הגסתו לא הי' מתבשל אז ולא הי' נעשה עוד המלאכה דמלאכת בישול הוא בשעה שמתבשל. אבל מלאכת זריעה שהיא לעולם בשעת זריעה ואין נ"מ אם גדל עכשיו או לאחר זמן. וע"כ המקרב גידולו פטור. כי לא נתקרב כלל זמן עשיית המלאכה. ודו"ק:</w:t>
      </w:r>
    </w:p>
    <w:p w14:paraId="5D9D7315" w14:textId="6976A420" w:rsidR="001C69A8" w:rsidRPr="00D21B97" w:rsidRDefault="001C69A8" w:rsidP="001C69A8">
      <w:pPr>
        <w:pStyle w:val="affff5"/>
        <w:rPr>
          <w:rtl/>
        </w:rPr>
      </w:pPr>
      <w:bookmarkStart w:id="687" w:name="_Toc134347648"/>
      <w:r>
        <w:rPr>
          <w:rFonts w:hint="cs"/>
          <w:rtl/>
        </w:rPr>
        <w:t>ד' ההל' קט' דרק בהשריש בשבת חייב</w:t>
      </w:r>
      <w:bookmarkEnd w:id="687"/>
    </w:p>
    <w:p w14:paraId="7C54E64F" w14:textId="77777777" w:rsidR="001C69A8" w:rsidRPr="000035C7" w:rsidRDefault="001C69A8" w:rsidP="001C69A8">
      <w:pPr>
        <w:pStyle w:val="1"/>
        <w:rPr>
          <w:rtl/>
        </w:rPr>
      </w:pPr>
      <w:bookmarkStart w:id="688" w:name="_Toc134347649"/>
      <w:r>
        <w:rPr>
          <w:rFonts w:hint="cs"/>
          <w:rtl/>
        </w:rPr>
        <w:t>מסקנת ההל' קטנות דחיוב זורע רק בהשריש או הנץ בשבת</w:t>
      </w:r>
      <w:bookmarkEnd w:id="688"/>
    </w:p>
    <w:p w14:paraId="6014644D" w14:textId="77777777" w:rsidR="001C69A8" w:rsidRDefault="001C69A8" w:rsidP="001C69A8">
      <w:pPr>
        <w:pStyle w:val="a7"/>
        <w:rPr>
          <w:rtl/>
        </w:rPr>
      </w:pPr>
      <w:bookmarkStart w:id="689" w:name="_Toc134347650"/>
      <w:r>
        <w:rPr>
          <w:rFonts w:hint="cs"/>
          <w:rtl/>
        </w:rPr>
        <w:t>מסקנת ההלכות קטנות דחיוב זורע רק בהשריש או הנץ בשבת דמוכח בגיטין דבלא"ה ל"ה זרוע</w:t>
      </w:r>
      <w:bookmarkEnd w:id="689"/>
      <w:r>
        <w:rPr>
          <w:rFonts w:hint="cs"/>
          <w:rtl/>
        </w:rPr>
        <w:t xml:space="preserve"> </w:t>
      </w:r>
    </w:p>
    <w:p w14:paraId="0958C4B4" w14:textId="5A129417" w:rsidR="001C69A8" w:rsidRDefault="001C69A8" w:rsidP="00BC7DC8">
      <w:pPr>
        <w:pStyle w:val="a3"/>
        <w:rPr>
          <w:rtl/>
        </w:rPr>
      </w:pPr>
      <w:bookmarkStart w:id="690" w:name="_Ref134100578"/>
      <w:r>
        <w:rPr>
          <w:rFonts w:hint="cs"/>
          <w:rtl/>
        </w:rPr>
        <w:t xml:space="preserve">עי' במה שביאר </w:t>
      </w:r>
      <w:r w:rsidRPr="00B32D57">
        <w:rPr>
          <w:rStyle w:val="aff4"/>
          <w:rFonts w:hint="cs"/>
          <w:vanish/>
          <w:rtl/>
        </w:rPr>
        <w:t>-</w:t>
      </w:r>
      <w:r w:rsidRPr="00373C7B">
        <w:rPr>
          <w:rStyle w:val="aff4"/>
          <w:rFonts w:hint="cs"/>
          <w:rtl/>
        </w:rPr>
        <w:t>המהר"י חגיז</w:t>
      </w:r>
      <w:r>
        <w:rPr>
          <w:rStyle w:val="aff4"/>
          <w:rFonts w:hint="cs"/>
          <w:rtl/>
        </w:rPr>
        <w:t xml:space="preserve"> ב</w:t>
      </w:r>
      <w:r w:rsidRPr="00373C7B">
        <w:rPr>
          <w:rStyle w:val="aff4"/>
          <w:rFonts w:hint="cs"/>
          <w:rtl/>
        </w:rPr>
        <w:t>הלכות קטנות</w:t>
      </w:r>
      <w:r w:rsidRPr="00B32D57">
        <w:rPr>
          <w:rStyle w:val="aff4"/>
          <w:rFonts w:hint="cs"/>
          <w:vanish/>
          <w:rtl/>
        </w:rPr>
        <w:t>-</w:t>
      </w:r>
      <w:r>
        <w:rPr>
          <w:rFonts w:hint="cs"/>
          <w:rtl/>
        </w:rPr>
        <w:t xml:space="preserve"> </w:t>
      </w:r>
      <w:r w:rsidRPr="00277835">
        <w:rPr>
          <w:rStyle w:val="af2"/>
          <w:rFonts w:eastAsia="Guttman Hodes" w:hint="cs"/>
          <w:rtl/>
        </w:rPr>
        <w:t xml:space="preserve">(עי' אות </w:t>
      </w:r>
      <w:r w:rsidRPr="00277835">
        <w:rPr>
          <w:rStyle w:val="af2"/>
          <w:rFonts w:eastAsia="Guttman Hodes"/>
          <w:rtl/>
        </w:rPr>
        <w:fldChar w:fldCharType="begin"/>
      </w:r>
      <w:r w:rsidRPr="00277835">
        <w:rPr>
          <w:rStyle w:val="af2"/>
          <w:rFonts w:eastAsia="Guttman Hodes"/>
          <w:rtl/>
        </w:rPr>
        <w:instrText xml:space="preserve"> </w:instrText>
      </w:r>
      <w:r w:rsidRPr="00277835">
        <w:rPr>
          <w:rStyle w:val="af2"/>
          <w:rFonts w:eastAsia="Guttman Hodes" w:hint="cs"/>
        </w:rPr>
        <w:instrText>REF</w:instrText>
      </w:r>
      <w:r w:rsidRPr="00277835">
        <w:rPr>
          <w:rStyle w:val="af2"/>
          <w:rFonts w:eastAsia="Guttman Hodes" w:hint="cs"/>
          <w:rtl/>
        </w:rPr>
        <w:instrText xml:space="preserve"> _</w:instrText>
      </w:r>
      <w:r w:rsidRPr="00277835">
        <w:rPr>
          <w:rStyle w:val="af2"/>
          <w:rFonts w:eastAsia="Guttman Hodes" w:hint="cs"/>
        </w:rPr>
        <w:instrText>Ref133874041 \r \h</w:instrText>
      </w:r>
      <w:r w:rsidRPr="00277835">
        <w:rPr>
          <w:rStyle w:val="af2"/>
          <w:rFonts w:eastAsia="Guttman Hodes"/>
          <w:rtl/>
        </w:rPr>
        <w:instrText xml:space="preserve"> </w:instrText>
      </w:r>
      <w:r w:rsidRPr="00277835">
        <w:rPr>
          <w:rStyle w:val="af2"/>
          <w:rFonts w:eastAsia="Guttman Hodes"/>
          <w:rtl/>
        </w:rPr>
      </w:r>
      <w:r w:rsidRPr="00277835">
        <w:rPr>
          <w:rStyle w:val="af2"/>
          <w:rFonts w:eastAsia="Guttman Hodes"/>
          <w:rtl/>
        </w:rPr>
        <w:fldChar w:fldCharType="separate"/>
      </w:r>
      <w:r w:rsidR="00D82181">
        <w:rPr>
          <w:rStyle w:val="af2"/>
          <w:rFonts w:eastAsia="Guttman Hodes"/>
          <w:cs/>
        </w:rPr>
        <w:t>‎</w:t>
      </w:r>
      <w:r w:rsidR="00D82181">
        <w:rPr>
          <w:rStyle w:val="af2"/>
          <w:rFonts w:eastAsia="Guttman Hodes"/>
          <w:rtl/>
        </w:rPr>
        <w:t>כ)</w:t>
      </w:r>
      <w:r w:rsidRPr="00277835">
        <w:rPr>
          <w:rStyle w:val="af2"/>
          <w:rFonts w:eastAsia="Guttman Hodes"/>
          <w:rtl/>
        </w:rPr>
        <w:fldChar w:fldCharType="end"/>
      </w:r>
      <w:r>
        <w:rPr>
          <w:rStyle w:val="af2"/>
          <w:rFonts w:eastAsia="Guttman Hodes" w:hint="cs"/>
          <w:rtl/>
        </w:rPr>
        <w:t xml:space="preserve"> </w:t>
      </w:r>
      <w:r>
        <w:rPr>
          <w:rFonts w:hint="cs"/>
          <w:rtl/>
        </w:rPr>
        <w:t xml:space="preserve">דהחיוב בזורע הוא בשעת הנתינה אף לפני שהשרישו, אך הקשה </w:t>
      </w:r>
      <w:r w:rsidRPr="00B32D57">
        <w:rPr>
          <w:rStyle w:val="aff4"/>
          <w:rFonts w:hint="cs"/>
          <w:vanish/>
          <w:rtl/>
        </w:rPr>
        <w:t>-</w:t>
      </w:r>
      <w:r w:rsidRPr="00373C7B">
        <w:rPr>
          <w:rStyle w:val="aff4"/>
          <w:rFonts w:hint="cs"/>
          <w:rtl/>
        </w:rPr>
        <w:t>ה</w:t>
      </w:r>
      <w:r w:rsidRPr="00A041D2">
        <w:rPr>
          <w:rStyle w:val="aff4"/>
          <w:rFonts w:hint="cs"/>
          <w:vanish/>
          <w:rtl/>
        </w:rPr>
        <w:t xml:space="preserve">&lt;. </w:t>
      </w:r>
      <w:r w:rsidRPr="00A041D2">
        <w:rPr>
          <w:rStyle w:val="aff4"/>
          <w:vanish/>
          <w:rtl/>
        </w:rPr>
        <w:fldChar w:fldCharType="begin"/>
      </w:r>
      <w:r w:rsidRPr="00A041D2">
        <w:rPr>
          <w:rStyle w:val="aff4"/>
          <w:vanish/>
          <w:rtl/>
        </w:rPr>
        <w:instrText xml:space="preserve"> </w:instrText>
      </w:r>
      <w:r w:rsidRPr="00A041D2">
        <w:rPr>
          <w:rStyle w:val="aff4"/>
          <w:rFonts w:hint="cs"/>
          <w:vanish/>
        </w:rPr>
        <w:instrText>REF</w:instrText>
      </w:r>
      <w:r w:rsidRPr="00A041D2">
        <w:rPr>
          <w:rStyle w:val="aff4"/>
          <w:rFonts w:hint="cs"/>
          <w:vanish/>
          <w:rtl/>
        </w:rPr>
        <w:instrText xml:space="preserve"> _</w:instrText>
      </w:r>
      <w:r w:rsidRPr="00A041D2">
        <w:rPr>
          <w:rStyle w:val="aff4"/>
          <w:rFonts w:hint="cs"/>
          <w:vanish/>
        </w:rPr>
        <w:instrText>Ref134100578 \r \h</w:instrText>
      </w:r>
      <w:r w:rsidRPr="00A041D2">
        <w:rPr>
          <w:rStyle w:val="aff4"/>
          <w:vanish/>
          <w:rtl/>
        </w:rPr>
        <w:instrText xml:space="preserve"> </w:instrText>
      </w:r>
      <w:r>
        <w:rPr>
          <w:rStyle w:val="aff4"/>
          <w:vanish/>
          <w:rtl/>
        </w:rPr>
        <w:instrText xml:space="preserve"> \* </w:instrText>
      </w:r>
      <w:r>
        <w:rPr>
          <w:rStyle w:val="aff4"/>
          <w:vanish/>
        </w:rPr>
        <w:instrText>MERGEFORMAT</w:instrText>
      </w:r>
      <w:r>
        <w:rPr>
          <w:rStyle w:val="aff4"/>
          <w:vanish/>
          <w:rtl/>
        </w:rPr>
        <w:instrText xml:space="preserve"> </w:instrText>
      </w:r>
      <w:r w:rsidRPr="00A041D2">
        <w:rPr>
          <w:rStyle w:val="aff4"/>
          <w:vanish/>
          <w:rtl/>
        </w:rPr>
      </w:r>
      <w:r w:rsidRPr="00A041D2">
        <w:rPr>
          <w:rStyle w:val="aff4"/>
          <w:vanish/>
          <w:rtl/>
        </w:rPr>
        <w:fldChar w:fldCharType="separate"/>
      </w:r>
      <w:r w:rsidR="00D82181">
        <w:rPr>
          <w:rStyle w:val="aff4"/>
          <w:vanish/>
          <w:cs/>
        </w:rPr>
        <w:t>‎</w:t>
      </w:r>
      <w:r w:rsidR="00D82181">
        <w:rPr>
          <w:rStyle w:val="aff4"/>
          <w:vanish/>
          <w:rtl/>
        </w:rPr>
        <w:t>לח)</w:t>
      </w:r>
      <w:r w:rsidRPr="00A041D2">
        <w:rPr>
          <w:rStyle w:val="aff4"/>
          <w:vanish/>
          <w:rtl/>
        </w:rPr>
        <w:fldChar w:fldCharType="end"/>
      </w:r>
      <w:r w:rsidRPr="00A041D2">
        <w:rPr>
          <w:rStyle w:val="aff4"/>
          <w:rFonts w:hint="cs"/>
          <w:vanish/>
          <w:rtl/>
        </w:rPr>
        <w:t xml:space="preserve"> &gt;</w:t>
      </w:r>
      <w:r w:rsidRPr="00373C7B">
        <w:rPr>
          <w:rStyle w:val="aff4"/>
          <w:rFonts w:hint="cs"/>
          <w:rtl/>
        </w:rPr>
        <w:t>מהר"י חגיז</w:t>
      </w:r>
      <w:r>
        <w:rPr>
          <w:rStyle w:val="aff4"/>
          <w:rFonts w:hint="cs"/>
          <w:rtl/>
        </w:rPr>
        <w:t xml:space="preserve"> ב</w:t>
      </w:r>
      <w:r w:rsidRPr="00373C7B">
        <w:rPr>
          <w:rStyle w:val="aff4"/>
          <w:rFonts w:hint="cs"/>
          <w:rtl/>
        </w:rPr>
        <w:t>הלכות קטנות</w:t>
      </w:r>
      <w:r w:rsidRPr="00B32D57">
        <w:rPr>
          <w:rStyle w:val="aff4"/>
          <w:rFonts w:hint="cs"/>
          <w:vanish/>
          <w:rtl/>
        </w:rPr>
        <w:t>-</w:t>
      </w:r>
      <w:r>
        <w:rPr>
          <w:rFonts w:hint="cs"/>
          <w:rtl/>
        </w:rPr>
        <w:t xml:space="preserve"> </w:t>
      </w:r>
      <w:r w:rsidRPr="00277835">
        <w:rPr>
          <w:rStyle w:val="af2"/>
          <w:rFonts w:eastAsia="Guttman Hodes" w:hint="cs"/>
          <w:rtl/>
        </w:rPr>
        <w:t>(ח"ב סי' ל"ו)</w:t>
      </w:r>
      <w:r>
        <w:rPr>
          <w:rFonts w:hint="cs"/>
          <w:vanish/>
          <w:rtl/>
        </w:rPr>
        <w:t>=</w:t>
      </w:r>
      <w:r>
        <w:rPr>
          <w:rFonts w:hint="cs"/>
          <w:rtl/>
        </w:rPr>
        <w:t xml:space="preserve"> דהא הגמ' בב"מ </w:t>
      </w:r>
      <w:r w:rsidRPr="00277835">
        <w:rPr>
          <w:rStyle w:val="af2"/>
          <w:rFonts w:eastAsia="Guttman Hodes" w:hint="cs"/>
          <w:rtl/>
        </w:rPr>
        <w:t>(נו:)</w:t>
      </w:r>
      <w:r>
        <w:rPr>
          <w:rFonts w:hint="cs"/>
          <w:rtl/>
        </w:rPr>
        <w:t xml:space="preserve"> מסתפקת בחיטין שלא השרישו, אי חשיבי כמונחים בכדא, ומשמע דאין חיוב לפני ההשרשה, אלא כתב </w:t>
      </w:r>
      <w:r w:rsidRPr="00B32D57">
        <w:rPr>
          <w:rStyle w:val="aff4"/>
          <w:rFonts w:hint="cs"/>
          <w:vanish/>
          <w:rtl/>
        </w:rPr>
        <w:t>-</w:t>
      </w:r>
      <w:r w:rsidRPr="00373C7B">
        <w:rPr>
          <w:rStyle w:val="aff4"/>
          <w:rFonts w:hint="cs"/>
          <w:rtl/>
        </w:rPr>
        <w:t>המהר"י חגיז</w:t>
      </w:r>
      <w:r>
        <w:rPr>
          <w:rStyle w:val="aff4"/>
          <w:rFonts w:hint="cs"/>
          <w:rtl/>
        </w:rPr>
        <w:t xml:space="preserve"> ב</w:t>
      </w:r>
      <w:r w:rsidRPr="00373C7B">
        <w:rPr>
          <w:rStyle w:val="aff4"/>
          <w:rFonts w:hint="cs"/>
          <w:rtl/>
        </w:rPr>
        <w:t>הלכות קטנות</w:t>
      </w:r>
      <w:r w:rsidRPr="00B32D57">
        <w:rPr>
          <w:rStyle w:val="aff4"/>
          <w:rFonts w:hint="cs"/>
          <w:vanish/>
          <w:rtl/>
        </w:rPr>
        <w:t>-</w:t>
      </w:r>
      <w:r>
        <w:rPr>
          <w:rFonts w:hint="cs"/>
          <w:rtl/>
        </w:rPr>
        <w:t xml:space="preserve"> דאין חיוב בזורע לפני שישריש בשבת, או אם ינץ הזרע בשבת עצמה.</w:t>
      </w:r>
      <w:bookmarkEnd w:id="690"/>
    </w:p>
    <w:p w14:paraId="69771551" w14:textId="77777777" w:rsidR="00702FC6" w:rsidRPr="00702FC6" w:rsidRDefault="00702FC6" w:rsidP="00702FC6">
      <w:pPr>
        <w:pStyle w:val="a7"/>
        <w:rPr>
          <w:rtl/>
        </w:rPr>
      </w:pPr>
    </w:p>
    <w:p w14:paraId="2D7EE1FE" w14:textId="77777777" w:rsidR="001C69A8" w:rsidRPr="006179AE" w:rsidRDefault="001C69A8" w:rsidP="001C69A8">
      <w:pPr>
        <w:pStyle w:val="a7"/>
        <w:rPr>
          <w:rtl/>
        </w:rPr>
      </w:pPr>
    </w:p>
    <w:p w14:paraId="77B09461" w14:textId="77777777" w:rsidR="001C69A8" w:rsidRPr="006179AE" w:rsidRDefault="001C69A8" w:rsidP="001C69A8">
      <w:pPr>
        <w:pStyle w:val="a7"/>
        <w:rPr>
          <w:rtl/>
        </w:rPr>
      </w:pPr>
    </w:p>
    <w:p w14:paraId="4C39358A" w14:textId="77777777" w:rsidR="001C69A8" w:rsidRPr="006179AE" w:rsidRDefault="001C69A8" w:rsidP="001C69A8">
      <w:pPr>
        <w:pStyle w:val="a7"/>
        <w:rPr>
          <w:rtl/>
        </w:rPr>
      </w:pPr>
    </w:p>
    <w:p w14:paraId="49C7C2FA" w14:textId="77777777" w:rsidR="001C69A8" w:rsidRPr="006179AE" w:rsidRDefault="001C69A8" w:rsidP="001C69A8">
      <w:pPr>
        <w:pStyle w:val="a7"/>
        <w:rPr>
          <w:rtl/>
        </w:rPr>
      </w:pPr>
    </w:p>
    <w:p w14:paraId="0F8FD47A" w14:textId="77777777" w:rsidR="001C69A8" w:rsidRPr="006179AE" w:rsidRDefault="001C69A8" w:rsidP="001C69A8">
      <w:pPr>
        <w:pStyle w:val="a7"/>
      </w:pPr>
    </w:p>
    <w:p w14:paraId="1BD71621" w14:textId="77777777" w:rsidR="001C69A8" w:rsidRPr="00747170" w:rsidRDefault="001C69A8" w:rsidP="00747170">
      <w:pPr>
        <w:pStyle w:val="a2"/>
      </w:pPr>
      <w:r w:rsidRPr="00747170">
        <w:lastRenderedPageBreak/>
        <w:t>צ"ע אותם בעיות דהזהב )נ"ו:( חטין שלא השרישו אי כמונחין בכדא. מיהו בח"ג מה"ק שלי הוכחתי דמשמע דאין הזורע חייב עד שיזרע דבר שישריש או ינץ בו ביום )עי' מנ"ח סי' רצ"ח אות ח' ד"ה והנה(:</w:t>
      </w:r>
    </w:p>
    <w:p w14:paraId="2578A03E" w14:textId="43400B3E" w:rsidR="001C69A8" w:rsidRPr="007542A4" w:rsidRDefault="001C69A8" w:rsidP="001C69A8">
      <w:pPr>
        <w:pStyle w:val="affff5"/>
        <w:rPr>
          <w:rtl/>
        </w:rPr>
      </w:pPr>
      <w:bookmarkStart w:id="691" w:name="_Toc134347651"/>
      <w:r>
        <w:rPr>
          <w:rFonts w:hint="cs"/>
          <w:rtl/>
        </w:rPr>
        <w:t>הסוברים דזרע ולא השריש וסילק פטור</w:t>
      </w:r>
      <w:bookmarkEnd w:id="691"/>
    </w:p>
    <w:p w14:paraId="1FA84377" w14:textId="77777777" w:rsidR="001C69A8" w:rsidRDefault="001C69A8" w:rsidP="001C69A8">
      <w:pPr>
        <w:pStyle w:val="1"/>
        <w:rPr>
          <w:rtl/>
        </w:rPr>
      </w:pPr>
      <w:bookmarkStart w:id="692" w:name="_Toc134347652"/>
      <w:r>
        <w:rPr>
          <w:rFonts w:hint="cs"/>
          <w:rtl/>
        </w:rPr>
        <w:t>בי' המהר"ם חביב דזורע כאופה ובהשריש בחול נעשית מחשבתו</w:t>
      </w:r>
      <w:bookmarkEnd w:id="692"/>
    </w:p>
    <w:p w14:paraId="1530F703" w14:textId="77777777" w:rsidR="001C69A8" w:rsidRDefault="001C69A8" w:rsidP="001C69A8">
      <w:pPr>
        <w:pStyle w:val="afffff7"/>
        <w:rPr>
          <w:rtl/>
        </w:rPr>
      </w:pPr>
      <w:bookmarkStart w:id="693" w:name="_Toc134550194"/>
      <w:bookmarkStart w:id="694" w:name="_Toc163505486"/>
      <w:r>
        <w:rPr>
          <w:rFonts w:hint="cs"/>
          <w:rtl/>
        </w:rPr>
        <w:t xml:space="preserve">שו"ת </w:t>
      </w:r>
      <w:r w:rsidRPr="003415C8">
        <w:rPr>
          <w:rtl/>
        </w:rPr>
        <w:t>קול גדול למהר"ם חביב סי' ע"ה</w:t>
      </w:r>
      <w:r w:rsidRPr="009154C9">
        <w:t xml:space="preserve"> </w:t>
      </w:r>
      <w:r>
        <w:rPr>
          <w:rFonts w:hint="cs"/>
          <w:rtl/>
        </w:rPr>
        <w:t>ד</w:t>
      </w:r>
      <w:r>
        <w:rPr>
          <w:rFonts w:cs="Guttman Hodes" w:hint="cs"/>
          <w:rtl/>
        </w:rPr>
        <w:t>"</w:t>
      </w:r>
      <w:r>
        <w:rPr>
          <w:rFonts w:hint="cs"/>
          <w:rtl/>
        </w:rPr>
        <w:t>ה והנראה</w:t>
      </w:r>
      <w:bookmarkEnd w:id="693"/>
      <w:bookmarkEnd w:id="694"/>
      <w:r>
        <w:rPr>
          <w:rFonts w:hint="cs"/>
          <w:rtl/>
        </w:rPr>
        <w:t xml:space="preserve"> </w:t>
      </w:r>
    </w:p>
    <w:p w14:paraId="1280EC35" w14:textId="77777777" w:rsidR="001C69A8" w:rsidRDefault="001C69A8" w:rsidP="001C69A8">
      <w:pPr>
        <w:pStyle w:val="a7"/>
        <w:rPr>
          <w:rtl/>
        </w:rPr>
      </w:pPr>
      <w:bookmarkStart w:id="695" w:name="_Toc134347653"/>
      <w:r>
        <w:rPr>
          <w:rFonts w:hint="cs"/>
          <w:rtl/>
        </w:rPr>
        <w:t>בי' המהר"ם חביב דזורע דמי לאופה וחייב רק בהשרשה ובסילק את הזרעים לפני השרשה פטור</w:t>
      </w:r>
      <w:bookmarkEnd w:id="695"/>
    </w:p>
    <w:p w14:paraId="76F276FB" w14:textId="50AAA6CD" w:rsidR="001C69A8" w:rsidRDefault="001C69A8" w:rsidP="00BC7DC8">
      <w:pPr>
        <w:pStyle w:val="a3"/>
      </w:pPr>
      <w:bookmarkStart w:id="696" w:name="_Hlk134337632"/>
      <w:bookmarkStart w:id="697" w:name="_Ref133252318"/>
      <w:r>
        <w:rPr>
          <w:rFonts w:hint="cs"/>
          <w:rtl/>
        </w:rPr>
        <w:t xml:space="preserve">כתב </w:t>
      </w:r>
      <w:r w:rsidRPr="00E87CC9">
        <w:rPr>
          <w:rStyle w:val="aff4"/>
          <w:rFonts w:hint="cs"/>
          <w:vanish/>
          <w:rtl/>
        </w:rPr>
        <w:t>-</w:t>
      </w:r>
      <w:r>
        <w:rPr>
          <w:rStyle w:val="aff4"/>
          <w:rFonts w:hint="cs"/>
          <w:rtl/>
        </w:rPr>
        <w:t>ה</w:t>
      </w:r>
      <w:r w:rsidRPr="00350A80">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Ref133252318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לט)</w:t>
      </w:r>
      <w:r>
        <w:rPr>
          <w:rStyle w:val="aff4"/>
          <w:vanish/>
          <w:rtl/>
        </w:rPr>
        <w:fldChar w:fldCharType="end"/>
      </w:r>
      <w:r w:rsidRPr="00350A80">
        <w:rPr>
          <w:rStyle w:val="aff4"/>
          <w:rFonts w:hint="cs"/>
          <w:vanish/>
          <w:rtl/>
        </w:rPr>
        <w:t xml:space="preserve"> &gt;</w:t>
      </w:r>
      <w:r w:rsidRPr="003B4E24">
        <w:rPr>
          <w:rStyle w:val="aff4"/>
          <w:rFonts w:hint="cs"/>
          <w:rtl/>
        </w:rPr>
        <w:t>מהר"ם חביב</w:t>
      </w:r>
      <w:r>
        <w:rPr>
          <w:rStyle w:val="aff4"/>
          <w:rFonts w:hint="cs"/>
          <w:rtl/>
        </w:rPr>
        <w:t xml:space="preserve"> ב</w:t>
      </w:r>
      <w:r w:rsidRPr="003B4E24">
        <w:rPr>
          <w:rStyle w:val="aff4"/>
          <w:rFonts w:hint="cs"/>
          <w:rtl/>
        </w:rPr>
        <w:t>שו"ת קול גדול</w:t>
      </w:r>
      <w:r w:rsidRPr="00E87CC9">
        <w:rPr>
          <w:rStyle w:val="aff4"/>
          <w:rFonts w:hint="cs"/>
          <w:vanish/>
          <w:rtl/>
        </w:rPr>
        <w:t>-</w:t>
      </w:r>
      <w:r>
        <w:rPr>
          <w:rFonts w:hint="cs"/>
          <w:rtl/>
        </w:rPr>
        <w:t xml:space="preserve"> </w:t>
      </w:r>
      <w:r w:rsidRPr="00277835">
        <w:rPr>
          <w:rStyle w:val="af2"/>
          <w:rFonts w:eastAsia="Guttman Hodes" w:hint="cs"/>
          <w:rtl/>
        </w:rPr>
        <w:t>(סי' ע"ה ד"ה והנראה)</w:t>
      </w:r>
      <w:r w:rsidRPr="00350A80">
        <w:rPr>
          <w:rFonts w:hint="cs"/>
          <w:vanish/>
          <w:rtl/>
        </w:rPr>
        <w:t>=</w:t>
      </w:r>
      <w:r>
        <w:rPr>
          <w:rFonts w:hint="cs"/>
          <w:rtl/>
        </w:rPr>
        <w:t xml:space="preserve"> דבאמת זורע דומה לאופה, והחיוב בזורע הוא רק אם השריש הזרע, אבל אם סילק את החיטין לפני שהשרישו פטור</w:t>
      </w:r>
      <w:bookmarkEnd w:id="696"/>
      <w:r>
        <w:rPr>
          <w:rFonts w:hint="cs"/>
          <w:rtl/>
        </w:rPr>
        <w:t>.</w:t>
      </w:r>
      <w:bookmarkEnd w:id="697"/>
    </w:p>
    <w:p w14:paraId="4ECB7132" w14:textId="77777777" w:rsidR="001C69A8" w:rsidRPr="00747170" w:rsidRDefault="001C69A8" w:rsidP="00747170">
      <w:pPr>
        <w:pStyle w:val="a2"/>
      </w:pPr>
      <w:r w:rsidRPr="00747170">
        <w:t xml:space="preserve">והנראה </w:t>
      </w:r>
      <w:r w:rsidRPr="00747170">
        <w:rPr>
          <w:rFonts w:hint="cs"/>
        </w:rPr>
        <w:t>לע"ד</w:t>
      </w:r>
      <w:r w:rsidRPr="00747170">
        <w:t xml:space="preserve"> דלעולם דמי לפת ואם סלקו קודם שהשרישו דאינו חייב משום זורע</w:t>
      </w:r>
      <w:r w:rsidRPr="00747170">
        <w:rPr>
          <w:rFonts w:hint="cs"/>
        </w:rPr>
        <w:t>.</w:t>
      </w:r>
    </w:p>
    <w:p w14:paraId="6DC2684C" w14:textId="1FC38E2D" w:rsidR="001C69A8" w:rsidRPr="00952D17" w:rsidRDefault="001C69A8" w:rsidP="001C69A8">
      <w:pPr>
        <w:pStyle w:val="a7"/>
      </w:pPr>
      <w:bookmarkStart w:id="698" w:name="_Toc134347654"/>
      <w:r>
        <w:rPr>
          <w:rFonts w:hint="cs"/>
          <w:rtl/>
        </w:rPr>
        <w:t>בי' המהר"ם חביב דזורע בשבת חייב אף שהשרשה היא בחול כיון דנעשית מחשבתו</w:t>
      </w:r>
      <w:bookmarkEnd w:id="698"/>
    </w:p>
    <w:p w14:paraId="56282358" w14:textId="7AFAE66D" w:rsidR="001C69A8" w:rsidRDefault="001C69A8" w:rsidP="00BC7DC8">
      <w:pPr>
        <w:pStyle w:val="a3"/>
        <w:rPr>
          <w:rtl/>
        </w:rPr>
      </w:pPr>
      <w:bookmarkStart w:id="699" w:name="_Ref134093568"/>
      <w:r>
        <w:rPr>
          <w:rFonts w:hint="cs"/>
          <w:rtl/>
        </w:rPr>
        <w:t xml:space="preserve">ובמה שהקשה </w:t>
      </w:r>
      <w:r w:rsidRPr="00E87CC9">
        <w:rPr>
          <w:rStyle w:val="aff4"/>
          <w:rFonts w:hint="cs"/>
          <w:vanish/>
          <w:rtl/>
        </w:rPr>
        <w:t>-</w:t>
      </w:r>
      <w:r w:rsidRPr="003B4E24">
        <w:rPr>
          <w:rStyle w:val="aff4"/>
          <w:rFonts w:hint="cs"/>
          <w:rtl/>
        </w:rPr>
        <w:t>השואל</w:t>
      </w:r>
      <w:r w:rsidRPr="00717796">
        <w:rPr>
          <w:rStyle w:val="aff4"/>
          <w:rFonts w:hint="cs"/>
          <w:rtl/>
        </w:rPr>
        <w:t xml:space="preserve"> </w:t>
      </w:r>
      <w:r w:rsidRPr="003B4E24">
        <w:rPr>
          <w:rStyle w:val="aff4"/>
          <w:rFonts w:hint="cs"/>
          <w:rtl/>
        </w:rPr>
        <w:t>בשו"ת קול גדול</w:t>
      </w:r>
      <w:r w:rsidRPr="00717796">
        <w:rPr>
          <w:rStyle w:val="aff4"/>
          <w:rFonts w:hint="cs"/>
          <w:rtl/>
        </w:rPr>
        <w:t xml:space="preserve"> </w:t>
      </w:r>
      <w:r>
        <w:rPr>
          <w:rStyle w:val="aff4"/>
          <w:rFonts w:hint="cs"/>
          <w:rtl/>
        </w:rPr>
        <w:t>ל</w:t>
      </w:r>
      <w:r w:rsidRPr="003B4E24">
        <w:rPr>
          <w:rStyle w:val="aff4"/>
          <w:rFonts w:hint="cs"/>
          <w:rtl/>
        </w:rPr>
        <w:t>מהר"ם חביב</w:t>
      </w:r>
      <w:r w:rsidRPr="00E87CC9">
        <w:rPr>
          <w:rStyle w:val="aff4"/>
          <w:rFonts w:hint="cs"/>
          <w:vanish/>
          <w:rtl/>
        </w:rPr>
        <w:t>-</w:t>
      </w:r>
      <w:r>
        <w:rPr>
          <w:rFonts w:hint="cs"/>
          <w:rtl/>
        </w:rPr>
        <w:t xml:space="preserve"> </w:t>
      </w:r>
      <w:r w:rsidRPr="00277835">
        <w:rPr>
          <w:rStyle w:val="af2"/>
          <w:rFonts w:eastAsia="Guttman Hodes" w:hint="cs"/>
          <w:rtl/>
        </w:rPr>
        <w:t xml:space="preserve">(עי' אות </w:t>
      </w:r>
      <w:r w:rsidRPr="00277835">
        <w:rPr>
          <w:rStyle w:val="af2"/>
          <w:rFonts w:eastAsia="Guttman Hodes"/>
          <w:rtl/>
        </w:rPr>
        <w:fldChar w:fldCharType="begin"/>
      </w:r>
      <w:r w:rsidRPr="00277835">
        <w:rPr>
          <w:rStyle w:val="af2"/>
          <w:rFonts w:eastAsia="Guttman Hodes"/>
          <w:rtl/>
        </w:rPr>
        <w:instrText xml:space="preserve"> </w:instrText>
      </w:r>
      <w:r w:rsidRPr="00277835">
        <w:rPr>
          <w:rStyle w:val="af2"/>
          <w:rFonts w:eastAsia="Guttman Hodes" w:hint="cs"/>
        </w:rPr>
        <w:instrText>REF</w:instrText>
      </w:r>
      <w:r w:rsidRPr="00277835">
        <w:rPr>
          <w:rStyle w:val="af2"/>
          <w:rFonts w:eastAsia="Guttman Hodes" w:hint="cs"/>
          <w:rtl/>
        </w:rPr>
        <w:instrText xml:space="preserve"> _</w:instrText>
      </w:r>
      <w:r w:rsidRPr="00277835">
        <w:rPr>
          <w:rStyle w:val="af2"/>
          <w:rFonts w:eastAsia="Guttman Hodes" w:hint="cs"/>
        </w:rPr>
        <w:instrText>Ref133249619 \r \h</w:instrText>
      </w:r>
      <w:r w:rsidRPr="00277835">
        <w:rPr>
          <w:rStyle w:val="af2"/>
          <w:rFonts w:eastAsia="Guttman Hodes"/>
          <w:rtl/>
        </w:rPr>
        <w:instrText xml:space="preserve"> </w:instrText>
      </w:r>
      <w:r w:rsidRPr="00277835">
        <w:rPr>
          <w:rStyle w:val="af2"/>
          <w:rFonts w:eastAsia="Guttman Hodes"/>
          <w:rtl/>
        </w:rPr>
      </w:r>
      <w:r w:rsidRPr="00277835">
        <w:rPr>
          <w:rStyle w:val="af2"/>
          <w:rFonts w:eastAsia="Guttman Hodes"/>
          <w:rtl/>
        </w:rPr>
        <w:fldChar w:fldCharType="separate"/>
      </w:r>
      <w:r w:rsidR="00D82181">
        <w:rPr>
          <w:rStyle w:val="af2"/>
          <w:rFonts w:eastAsia="Guttman Hodes"/>
          <w:cs/>
        </w:rPr>
        <w:t>‎</w:t>
      </w:r>
      <w:r w:rsidR="00D82181">
        <w:rPr>
          <w:rStyle w:val="af2"/>
          <w:rFonts w:eastAsia="Guttman Hodes"/>
          <w:rtl/>
        </w:rPr>
        <w:t>ח)</w:t>
      </w:r>
      <w:r w:rsidRPr="00277835">
        <w:rPr>
          <w:rStyle w:val="af2"/>
          <w:rFonts w:eastAsia="Guttman Hodes"/>
          <w:rtl/>
        </w:rPr>
        <w:fldChar w:fldCharType="end"/>
      </w:r>
      <w:r>
        <w:rPr>
          <w:rFonts w:hint="cs"/>
          <w:rtl/>
        </w:rPr>
        <w:t xml:space="preserve"> דא"כ א"א לחייב זורע בשבת, תירץ </w:t>
      </w:r>
      <w:r w:rsidRPr="00E87CC9">
        <w:rPr>
          <w:rStyle w:val="aff4"/>
          <w:rFonts w:hint="cs"/>
          <w:vanish/>
          <w:rtl/>
        </w:rPr>
        <w:t>-</w:t>
      </w:r>
      <w:r>
        <w:rPr>
          <w:rStyle w:val="aff4"/>
          <w:rFonts w:hint="cs"/>
          <w:rtl/>
        </w:rPr>
        <w:t>ה</w:t>
      </w:r>
      <w:r w:rsidRPr="003B4E24">
        <w:rPr>
          <w:rStyle w:val="aff4"/>
          <w:rFonts w:hint="cs"/>
          <w:rtl/>
        </w:rPr>
        <w:t>מהר"ם חביב בשו"ת קול גדול</w:t>
      </w:r>
      <w:r w:rsidRPr="00E87CC9">
        <w:rPr>
          <w:rStyle w:val="aff4"/>
          <w:rFonts w:hint="cs"/>
          <w:vanish/>
          <w:rtl/>
        </w:rPr>
        <w:t>-</w:t>
      </w:r>
      <w:r>
        <w:rPr>
          <w:rFonts w:hint="cs"/>
          <w:rtl/>
        </w:rPr>
        <w:t xml:space="preserve"> דכיון שהוא הניח את החיטים בקרקע בכדי לזורעם בקרקע, ונעשית מחשבתו דהשרישו אח"כ לכן חייב משום זורע, אעפ"י דההשרשה עצמה היא בחול.</w:t>
      </w:r>
      <w:bookmarkEnd w:id="699"/>
    </w:p>
    <w:p w14:paraId="5CE0CAFF" w14:textId="77777777" w:rsidR="001C69A8" w:rsidRPr="00747170" w:rsidRDefault="001C69A8" w:rsidP="00747170">
      <w:pPr>
        <w:pStyle w:val="a2"/>
      </w:pPr>
      <w:r w:rsidRPr="00747170">
        <w:t xml:space="preserve">ולמאי דאמר מר"ן </w:t>
      </w:r>
      <w:r w:rsidRPr="00747170">
        <w:rPr>
          <w:rFonts w:hint="cs"/>
        </w:rPr>
        <w:t xml:space="preserve">[השואל[ </w:t>
      </w:r>
      <w:r w:rsidRPr="00747170">
        <w:t xml:space="preserve">או דילמא דבטילי לגבי קרקע דאי לא תימא הכי לא משכחת זורע בשבת דבו ביום אי אפשר שישרישו זה אי אפשר דכיון דהוא מתכוין אדעתא </w:t>
      </w:r>
      <w:r w:rsidRPr="00747170">
        <w:rPr>
          <w:rFonts w:hint="cs"/>
        </w:rPr>
        <w:t>דז</w:t>
      </w:r>
      <w:r w:rsidRPr="00747170">
        <w:t>ריעה וסוף סוף נעשתה</w:t>
      </w:r>
      <w:r w:rsidRPr="00747170">
        <w:rPr>
          <w:rFonts w:hint="cs"/>
        </w:rPr>
        <w:t xml:space="preserve"> </w:t>
      </w:r>
      <w:r w:rsidRPr="00747170">
        <w:t>מחשבתו ונשרש בקרקע</w:t>
      </w:r>
      <w:r w:rsidRPr="00747170">
        <w:rPr>
          <w:rFonts w:hint="cs"/>
        </w:rPr>
        <w:t xml:space="preserve"> </w:t>
      </w:r>
      <w:r w:rsidRPr="00747170">
        <w:t>הוא חייב משום זורע</w:t>
      </w:r>
      <w:r w:rsidRPr="00747170">
        <w:rPr>
          <w:rFonts w:hint="cs"/>
        </w:rPr>
        <w:t>.</w:t>
      </w:r>
    </w:p>
    <w:p w14:paraId="36D88549" w14:textId="2340649D" w:rsidR="001C69A8" w:rsidRPr="009726EF" w:rsidRDefault="001C69A8" w:rsidP="001C69A8">
      <w:pPr>
        <w:pStyle w:val="a7"/>
      </w:pPr>
      <w:bookmarkStart w:id="700" w:name="_Toc134347655"/>
      <w:r>
        <w:rPr>
          <w:rFonts w:hint="cs"/>
          <w:rtl/>
        </w:rPr>
        <w:t>הוכחת המהר"ם חביב מתוס' לעיל דטומן ע"מ שישרישו חייב מדין זורע אף שישרישו רק בחול</w:t>
      </w:r>
      <w:bookmarkEnd w:id="700"/>
    </w:p>
    <w:p w14:paraId="2B7E0388" w14:textId="77777777" w:rsidR="001C69A8" w:rsidRPr="00536CC4" w:rsidRDefault="001C69A8" w:rsidP="00BC7DC8">
      <w:pPr>
        <w:pStyle w:val="a3"/>
        <w:rPr>
          <w:rtl/>
        </w:rPr>
      </w:pPr>
      <w:r>
        <w:rPr>
          <w:rFonts w:hint="cs"/>
          <w:rtl/>
        </w:rPr>
        <w:t xml:space="preserve">וכתב </w:t>
      </w:r>
      <w:r w:rsidRPr="00E87CC9">
        <w:rPr>
          <w:rStyle w:val="aff4"/>
          <w:rFonts w:hint="cs"/>
          <w:vanish/>
          <w:rtl/>
        </w:rPr>
        <w:t>-</w:t>
      </w:r>
      <w:r>
        <w:rPr>
          <w:rStyle w:val="aff4"/>
          <w:rFonts w:hint="cs"/>
          <w:rtl/>
        </w:rPr>
        <w:t>ה</w:t>
      </w:r>
      <w:r w:rsidRPr="003B4E24">
        <w:rPr>
          <w:rStyle w:val="aff4"/>
          <w:rFonts w:hint="cs"/>
          <w:rtl/>
        </w:rPr>
        <w:t>מהר"ם חביב בשו"ת קול גדול</w:t>
      </w:r>
      <w:r w:rsidRPr="00E87CC9">
        <w:rPr>
          <w:rStyle w:val="aff4"/>
          <w:rFonts w:hint="cs"/>
          <w:vanish/>
          <w:rtl/>
        </w:rPr>
        <w:t>-</w:t>
      </w:r>
      <w:r>
        <w:rPr>
          <w:rFonts w:hint="cs"/>
          <w:rtl/>
        </w:rPr>
        <w:t xml:space="preserve"> דכן מוכח מדברי </w:t>
      </w:r>
      <w:r w:rsidRPr="00E87CC9">
        <w:rPr>
          <w:rStyle w:val="aff4"/>
          <w:rFonts w:hint="cs"/>
          <w:vanish/>
          <w:rtl/>
        </w:rPr>
        <w:t>-</w:t>
      </w:r>
      <w:r w:rsidRPr="003B4E24">
        <w:rPr>
          <w:rStyle w:val="aff4"/>
          <w:rFonts w:hint="cs"/>
          <w:rtl/>
        </w:rPr>
        <w:t>התוס' לעיל</w:t>
      </w:r>
      <w:r w:rsidRPr="00E87CC9">
        <w:rPr>
          <w:rStyle w:val="aff4"/>
          <w:rFonts w:hint="cs"/>
          <w:vanish/>
          <w:rtl/>
        </w:rPr>
        <w:t>-</w:t>
      </w:r>
      <w:r>
        <w:rPr>
          <w:rFonts w:hint="cs"/>
          <w:rtl/>
        </w:rPr>
        <w:t xml:space="preserve"> </w:t>
      </w:r>
      <w:r w:rsidRPr="00277835">
        <w:rPr>
          <w:rStyle w:val="af2"/>
          <w:rFonts w:eastAsia="Guttman Hodes" w:hint="cs"/>
          <w:rtl/>
        </w:rPr>
        <w:t>(נ: ד"ה הטומן)</w:t>
      </w:r>
      <w:r>
        <w:rPr>
          <w:rFonts w:hint="cs"/>
          <w:rtl/>
        </w:rPr>
        <w:t xml:space="preserve"> דכתבו בדין הטומן לפת בקרקע לענין שביעית ומעשר וכלאים, ולענין שבת דמותר ליטלו במקצת עליו מגולין, הוא דוקא בלא השרישו, דאם השרישו אסור לנוטלם בשבת, וכתבו </w:t>
      </w:r>
      <w:r w:rsidRPr="00E87CC9">
        <w:rPr>
          <w:rStyle w:val="aff4"/>
          <w:rFonts w:hint="cs"/>
          <w:vanish/>
          <w:rtl/>
        </w:rPr>
        <w:t>-</w:t>
      </w:r>
      <w:r w:rsidRPr="003B4E24">
        <w:rPr>
          <w:rStyle w:val="aff4"/>
          <w:rFonts w:hint="cs"/>
          <w:rtl/>
        </w:rPr>
        <w:t>התוס'</w:t>
      </w:r>
      <w:r w:rsidRPr="00E87CC9">
        <w:rPr>
          <w:rStyle w:val="aff4"/>
          <w:rFonts w:hint="cs"/>
          <w:vanish/>
          <w:rtl/>
        </w:rPr>
        <w:t>-</w:t>
      </w:r>
      <w:r>
        <w:rPr>
          <w:rFonts w:hint="cs"/>
          <w:rtl/>
        </w:rPr>
        <w:t xml:space="preserve"> דבמתכוון לנטיעה אסור בכולן, ומבואר דאף לענין שבת אסור אף דאיירי לא השרישו, דכיון דכוונתו לנטיעה חשיב זרוע, וכתב </w:t>
      </w:r>
      <w:r w:rsidRPr="00E87CC9">
        <w:rPr>
          <w:rStyle w:val="aff4"/>
          <w:rFonts w:hint="cs"/>
          <w:vanish/>
          <w:rtl/>
        </w:rPr>
        <w:t>-</w:t>
      </w:r>
      <w:r w:rsidRPr="003B4E24">
        <w:rPr>
          <w:rStyle w:val="aff4"/>
          <w:rFonts w:hint="cs"/>
          <w:rtl/>
        </w:rPr>
        <w:t>המהר"ם חביב</w:t>
      </w:r>
      <w:r w:rsidRPr="00E87CC9">
        <w:rPr>
          <w:rStyle w:val="aff4"/>
          <w:rFonts w:hint="cs"/>
          <w:vanish/>
          <w:rtl/>
        </w:rPr>
        <w:t>-</w:t>
      </w:r>
      <w:r>
        <w:rPr>
          <w:rFonts w:hint="cs"/>
          <w:rtl/>
        </w:rPr>
        <w:t xml:space="preserve"> דמוכח דה"ה לענין חיוב זורע בשבת, החיוב הוא אף כשמשרישים בחול, דכיון דזרע בשבת וכוונתו לזרוע חייב, אבל אם קדם וסילקן לפני שהשרישו פטור, כיון דזריעה שלו לא נעשה כל מעשה.</w:t>
      </w:r>
    </w:p>
    <w:p w14:paraId="1C5A5339" w14:textId="77777777" w:rsidR="001C69A8" w:rsidRPr="00747170" w:rsidRDefault="001C69A8" w:rsidP="00747170">
      <w:pPr>
        <w:pStyle w:val="a2"/>
      </w:pPr>
      <w:r w:rsidRPr="00747170">
        <w:t>כמו שכתבו התוס במסכת שבת בפרק במה טומנין דף נ ע"ב על מימרא דרב הונא דאמר האי סליקוסתא דצה שלפה והדר דצה שריא ואי לאו אסיר וכו אמר ליה רב מרדכי לרבא מתיב רב קטינא תיובתא הטומן לפת וצנונות תחת הגפן אם היה מקצת עליו מגולים אינו חושש לא משום כלאים ולא משום שביעית ולא משום מעשר וניטלין בשבת תיובתא ע"כ ופרש"י סליקוסתא עשב למראה ולהריח וממלאין כד עפר לח ותוחבין אותו נוטלו רוצה וכשהוא לפני שרים ונותנו לתוכו ומריח בו ומחזירו למקומו ואי מבעוד יום דצה לתוך העפר ושלפה והדר דצה שפיר דמי ליטלה מחר ולהחזירו שהרי הורחב מקום מושבה והוחלק מבעוד ואינו מזיז עפר ע"כ והתוס</w:t>
      </w:r>
      <w:r w:rsidRPr="00747170">
        <w:rPr>
          <w:rFonts w:hint="cs"/>
        </w:rPr>
        <w:t>'</w:t>
      </w:r>
      <w:r w:rsidRPr="00747170">
        <w:t xml:space="preserve"> ד"ה הטומן לפת וצנונות כתבו על כרחך בשלא השרישו מיירי דבהשרישו לא היו ניטלין בשבת</w:t>
      </w:r>
      <w:r w:rsidRPr="00747170">
        <w:rPr>
          <w:rFonts w:hint="cs"/>
        </w:rPr>
        <w:t xml:space="preserve">, </w:t>
      </w:r>
      <w:r w:rsidRPr="00747170">
        <w:t>ואם תאמר בשלמא כלאים ושביעית איצטריך לאשמעינן דלא גזרינן כשמתכוין להטמין אטו דילמא אתי לנוטעה אבל מעשר אמאי נקטיה דאפילו השרישו לא שייך מעשר כיון דליכא תוספת ואי נקטיה דשרי לעשר מן התלוש ממקום אחר עליו או לעשות מעשר על התלוש ולא חיישינן דילמא אתי לעשר מן התלוש על המחובר או להיפך א"כ הוה ליה למינקט תרומה דבכל דוכתא רגיל להזכיר תרומה על זה כדאמר אין תורמין מן התלוש על המחובר פירות ערוגה זו תלושין יהיו תרומה על פירות ערוגה זו מחוברין ואומר ר"י דרגילות הוא שמתוספין מחמת ליחלוחית הקרקע כמו שאנו רואין שומין ובצלים שמתוספין אפילו כשמונחין בחלון ועל אותו תוספת קאמר דלא בעי לעשורי ודוקא נקט הטומן אבל במתכוין לנטיעה חושש משום כולן ע"כ הרי לך ראיה בהדיא דאומרים התו</w:t>
      </w:r>
      <w:r w:rsidRPr="00747170">
        <w:rPr>
          <w:rFonts w:hint="cs"/>
        </w:rPr>
        <w:t>ס</w:t>
      </w:r>
      <w:r w:rsidRPr="00747170">
        <w:t>' דאם מתכוין לנטיעה חושש משום כולם ואע"ג דלא השרישו כמבואר בדבריהם ועתה משכחת לה זורע בשבת אעפ"י דלא השרישו בשבת אלא בחול כיון דכוונתו הוא לזרוע וסוף סוף נעשתה מחשבתו שהשרישו דחייב משום זורע בשבת אבל אם סלקן קודם שהשרישו אינו עובר משום זורע כי</w:t>
      </w:r>
      <w:r w:rsidRPr="00747170">
        <w:rPr>
          <w:rFonts w:hint="cs"/>
        </w:rPr>
        <w:t>ו</w:t>
      </w:r>
      <w:r w:rsidRPr="00747170">
        <w:t>ן דלא עבד מידי ודו"ק</w:t>
      </w:r>
      <w:r w:rsidRPr="00747170">
        <w:rPr>
          <w:rFonts w:hint="cs"/>
        </w:rPr>
        <w:t>.</w:t>
      </w:r>
    </w:p>
    <w:p w14:paraId="50376AE0" w14:textId="3C0F0CF9" w:rsidR="001C69A8" w:rsidRDefault="001C69A8" w:rsidP="001C69A8">
      <w:pPr>
        <w:pStyle w:val="afffff7"/>
        <w:rPr>
          <w:rtl/>
        </w:rPr>
      </w:pPr>
      <w:bookmarkStart w:id="701" w:name="_Toc134550195"/>
      <w:bookmarkStart w:id="702" w:name="_Toc163505487"/>
      <w:r>
        <w:rPr>
          <w:rFonts w:hint="cs"/>
          <w:rtl/>
        </w:rPr>
        <w:t xml:space="preserve">שו"ת </w:t>
      </w:r>
      <w:r w:rsidRPr="007D3661">
        <w:rPr>
          <w:rtl/>
        </w:rPr>
        <w:t>קול גדול למהר"ם חביב סי' ע"ה ד"ה נחזור</w:t>
      </w:r>
      <w:bookmarkEnd w:id="701"/>
      <w:bookmarkEnd w:id="702"/>
    </w:p>
    <w:p w14:paraId="790C03EA" w14:textId="77777777" w:rsidR="001C69A8" w:rsidRDefault="001C69A8" w:rsidP="001C69A8">
      <w:pPr>
        <w:pStyle w:val="a7"/>
        <w:rPr>
          <w:rtl/>
        </w:rPr>
      </w:pPr>
      <w:bookmarkStart w:id="703" w:name="_Toc134347656"/>
      <w:r>
        <w:rPr>
          <w:rFonts w:hint="cs"/>
          <w:rtl/>
        </w:rPr>
        <w:t>בי' המהר"ם חביב דבאופה ל"ה התראת ספק דאין בדעתו לרדותה וה"ה בזורע דאין דעתו לסלק</w:t>
      </w:r>
      <w:bookmarkEnd w:id="703"/>
    </w:p>
    <w:p w14:paraId="5CFF2177" w14:textId="1CD89D9C" w:rsidR="001C69A8" w:rsidRPr="007D3661" w:rsidRDefault="001C69A8" w:rsidP="00BC7DC8">
      <w:pPr>
        <w:pStyle w:val="a3"/>
      </w:pPr>
      <w:bookmarkStart w:id="704" w:name="_Ref133252317"/>
      <w:r>
        <w:rPr>
          <w:rFonts w:hint="cs"/>
          <w:rtl/>
        </w:rPr>
        <w:t>והוסיף</w:t>
      </w:r>
      <w:r w:rsidRPr="007D3661">
        <w:rPr>
          <w:rtl/>
        </w:rPr>
        <w:t xml:space="preserve"> </w:t>
      </w:r>
      <w:r w:rsidRPr="00E87CC9">
        <w:rPr>
          <w:rStyle w:val="aff4"/>
          <w:vanish/>
          <w:rtl/>
        </w:rPr>
        <w:t>-</w:t>
      </w:r>
      <w:r>
        <w:rPr>
          <w:rStyle w:val="aff4"/>
          <w:rFonts w:hint="cs"/>
          <w:rtl/>
        </w:rPr>
        <w:t>ה</w:t>
      </w:r>
      <w:r w:rsidRPr="00350A80">
        <w:rPr>
          <w:rStyle w:val="aff4"/>
          <w:vanish/>
          <w:rtl/>
        </w:rPr>
        <w:t xml:space="preserve">&lt;. </w:t>
      </w:r>
      <w:r>
        <w:rPr>
          <w:rStyle w:val="aff4"/>
          <w:vanish/>
          <w:rtl/>
        </w:rPr>
        <w:fldChar w:fldCharType="begin"/>
      </w:r>
      <w:r>
        <w:rPr>
          <w:rStyle w:val="aff4"/>
          <w:vanish/>
          <w:rtl/>
        </w:rPr>
        <w:instrText xml:space="preserve"> </w:instrText>
      </w:r>
      <w:r>
        <w:rPr>
          <w:rStyle w:val="aff4"/>
          <w:vanish/>
        </w:rPr>
        <w:instrText>REF</w:instrText>
      </w:r>
      <w:r>
        <w:rPr>
          <w:rStyle w:val="aff4"/>
          <w:vanish/>
          <w:rtl/>
        </w:rPr>
        <w:instrText xml:space="preserve"> _</w:instrText>
      </w:r>
      <w:r>
        <w:rPr>
          <w:rStyle w:val="aff4"/>
          <w:vanish/>
        </w:rPr>
        <w:instrText>Ref133252317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מב)</w:t>
      </w:r>
      <w:r>
        <w:rPr>
          <w:rStyle w:val="aff4"/>
          <w:vanish/>
          <w:rtl/>
        </w:rPr>
        <w:fldChar w:fldCharType="end"/>
      </w:r>
      <w:r w:rsidRPr="00350A80">
        <w:rPr>
          <w:rStyle w:val="aff4"/>
          <w:vanish/>
          <w:rtl/>
        </w:rPr>
        <w:t xml:space="preserve"> &gt;</w:t>
      </w:r>
      <w:r w:rsidRPr="003B4E24">
        <w:rPr>
          <w:rStyle w:val="aff4"/>
          <w:rtl/>
        </w:rPr>
        <w:t>מהר"ם חביב</w:t>
      </w:r>
      <w:r>
        <w:rPr>
          <w:rStyle w:val="aff4"/>
          <w:rFonts w:hint="cs"/>
          <w:rtl/>
        </w:rPr>
        <w:t xml:space="preserve"> ב</w:t>
      </w:r>
      <w:r w:rsidRPr="003B4E24">
        <w:rPr>
          <w:rStyle w:val="aff4"/>
          <w:rtl/>
        </w:rPr>
        <w:t>שו"ת קול גדול</w:t>
      </w:r>
      <w:r w:rsidRPr="00E87CC9">
        <w:rPr>
          <w:rStyle w:val="aff4"/>
          <w:vanish/>
          <w:rtl/>
        </w:rPr>
        <w:t>-</w:t>
      </w:r>
      <w:r w:rsidRPr="007D3661">
        <w:rPr>
          <w:rtl/>
        </w:rPr>
        <w:t xml:space="preserve"> </w:t>
      </w:r>
      <w:r w:rsidRPr="00277835">
        <w:rPr>
          <w:rStyle w:val="af2"/>
          <w:rFonts w:eastAsia="Guttman Hodes"/>
          <w:rtl/>
        </w:rPr>
        <w:t>(סי' ע"ה ד"ה נחזור)</w:t>
      </w:r>
      <w:r w:rsidRPr="00350A80">
        <w:rPr>
          <w:vanish/>
          <w:rtl/>
        </w:rPr>
        <w:t>=</w:t>
      </w:r>
      <w:r>
        <w:rPr>
          <w:rFonts w:hint="cs"/>
          <w:rtl/>
        </w:rPr>
        <w:t xml:space="preserve"> דכמו דלענין אפיה, כתבו </w:t>
      </w:r>
      <w:r w:rsidRPr="00E87CC9">
        <w:rPr>
          <w:rStyle w:val="aff4"/>
          <w:rFonts w:hint="cs"/>
          <w:vanish/>
          <w:rtl/>
        </w:rPr>
        <w:t>-</w:t>
      </w:r>
      <w:r w:rsidRPr="003B4E24">
        <w:rPr>
          <w:rStyle w:val="aff4"/>
          <w:rFonts w:hint="cs"/>
          <w:rtl/>
        </w:rPr>
        <w:t>התוס' לעיל</w:t>
      </w:r>
      <w:r w:rsidRPr="00E87CC9">
        <w:rPr>
          <w:rStyle w:val="aff4"/>
          <w:rFonts w:hint="cs"/>
          <w:vanish/>
          <w:rtl/>
        </w:rPr>
        <w:t>-</w:t>
      </w:r>
      <w:r>
        <w:rPr>
          <w:rFonts w:hint="cs"/>
          <w:rtl/>
        </w:rPr>
        <w:t xml:space="preserve"> </w:t>
      </w:r>
      <w:r w:rsidRPr="00277835">
        <w:rPr>
          <w:rStyle w:val="af2"/>
          <w:rFonts w:eastAsia="Guttman Hodes" w:hint="cs"/>
          <w:rtl/>
        </w:rPr>
        <w:t>(ד. ד"ה קודם)</w:t>
      </w:r>
      <w:r>
        <w:rPr>
          <w:rFonts w:hint="cs"/>
          <w:rtl/>
        </w:rPr>
        <w:t xml:space="preserve"> דאעפ"י שאם רדה את הפת לפני האפיה פטור, מ"מ לא כמתרים בו לפני שהדביק את הפת בתנור הוי התראת ספק, כיון שהדביק את הפת בתנור בתוך כדי דיבור שהתרו בו, ולא היה בדעתו לרדותה, וא"כ ה"ה אף לענין זורע דכיון שבשעת הזריעה לא היה בדעתו  לסלקם לפני שישרישו, ואם לא  יסלק אותם הם בודאי ישרישו, לכן לא הוי התראת ספק.</w:t>
      </w:r>
      <w:bookmarkEnd w:id="704"/>
    </w:p>
    <w:p w14:paraId="42B3BD01" w14:textId="77777777" w:rsidR="001C69A8" w:rsidRPr="00747170" w:rsidRDefault="001C69A8" w:rsidP="00747170">
      <w:pPr>
        <w:pStyle w:val="a2"/>
      </w:pPr>
      <w:r w:rsidRPr="00747170">
        <w:t>נחזור לעניינינו דאם סלקו קודם שישרשו דנפטר מידי סקילה דומיא דפת וא"ת והיכי אתי לידי חיוב סקילה והא התראת ספק הוא דבשעה שזורע חיטין שמא היה בדעתו לסלקו קודם שהשרישו ומה שלא סלקם שמא שכח ההתראה וי"ל דכיון שזרע החיטין תוך כדי דיבור של התראה ובודאי ישרישו אם לא יסלקם לאו התראה ספק היא</w:t>
      </w:r>
      <w:r w:rsidRPr="00747170">
        <w:rPr>
          <w:rFonts w:hint="cs"/>
        </w:rPr>
        <w:t xml:space="preserve"> </w:t>
      </w:r>
      <w:r w:rsidRPr="00747170">
        <w:t>ובכי האי גוונא הקשו ותירצו בעלי התוס' במסכת שבת פ"ק דף ד' ע"א על מימרא דרב ביבי בר אביי דקאמר דאם הדביק פת בתנור דהתירו לו לרדותה קודם שיבוא לידי איסור סקילה והקשו התוס והיכי אתי לידי חיוב סקילה והא התראת ספק היא דבשעה שהדביק פת בתנור שמא היה בדעתו לרדותה קודם שיבוא לידי איסור סקילה ומה שלא רדה שמא שכח התראה ותירץ ריב"א דכיון שהדביק תוך כדי דיבור של התראת סקילה ובודאי לא היה בדעתו לרדות קודם אפיה ולא הוה התראת ספק וכו' עכ"ל הרי ראיה בהדיא דלא אמרינן התראת ספק היא משום שמא יסלקם קודם שישרישו כמו שכתבתי לעיל</w:t>
      </w:r>
      <w:r w:rsidRPr="00747170">
        <w:rPr>
          <w:rFonts w:hint="cs"/>
        </w:rPr>
        <w:t>.</w:t>
      </w:r>
    </w:p>
    <w:p w14:paraId="0466A2FD" w14:textId="77777777" w:rsidR="001C69A8" w:rsidRPr="0000488C" w:rsidRDefault="001C69A8" w:rsidP="00747170">
      <w:pPr>
        <w:pStyle w:val="afffff5"/>
      </w:pPr>
      <w:r w:rsidRPr="0000488C">
        <w:rPr>
          <w:rtl/>
        </w:rPr>
        <w:t>ועתה נלע"ד דאם סלקם קודם שישרישו דנפטר מידי סקילה זהו הנלע"ד אם יראה בעיני מורי ורבותי הרבנים המצויינים השם ישמרם לעד כי"ר</w:t>
      </w:r>
      <w:r w:rsidRPr="0000488C">
        <w:rPr>
          <w:rFonts w:hint="cs"/>
          <w:rtl/>
        </w:rPr>
        <w:t>.</w:t>
      </w:r>
    </w:p>
    <w:p w14:paraId="70876C4B" w14:textId="1186C704" w:rsidR="001C69A8" w:rsidRDefault="001C69A8" w:rsidP="001C69A8">
      <w:pPr>
        <w:pStyle w:val="1"/>
        <w:rPr>
          <w:rtl/>
        </w:rPr>
      </w:pPr>
      <w:bookmarkStart w:id="705" w:name="_Toc134347657"/>
      <w:r>
        <w:rPr>
          <w:rFonts w:hint="cs"/>
          <w:rtl/>
        </w:rPr>
        <w:t>בי' הרש"ש דבליקט לפני השרשה פטור דלא נעשית מחשבתו</w:t>
      </w:r>
      <w:bookmarkEnd w:id="705"/>
    </w:p>
    <w:p w14:paraId="165275C8" w14:textId="77777777" w:rsidR="001C69A8" w:rsidRDefault="001C69A8" w:rsidP="001C69A8">
      <w:pPr>
        <w:pStyle w:val="afffff7"/>
        <w:rPr>
          <w:rtl/>
        </w:rPr>
      </w:pPr>
      <w:bookmarkStart w:id="706" w:name="_Toc134550196"/>
      <w:bookmarkStart w:id="707" w:name="_Toc163505488"/>
      <w:r>
        <w:rPr>
          <w:rtl/>
        </w:rPr>
        <w:t>רש"ש שבת ע"ג ע"א</w:t>
      </w:r>
      <w:r>
        <w:rPr>
          <w:rFonts w:hint="cs"/>
          <w:rtl/>
        </w:rPr>
        <w:t xml:space="preserve"> ד"ה במשנה הזורע</w:t>
      </w:r>
      <w:bookmarkEnd w:id="706"/>
      <w:bookmarkEnd w:id="707"/>
    </w:p>
    <w:p w14:paraId="747D28EF" w14:textId="77777777" w:rsidR="001C69A8" w:rsidRDefault="001C69A8" w:rsidP="001C69A8">
      <w:pPr>
        <w:pStyle w:val="a7"/>
        <w:rPr>
          <w:rtl/>
        </w:rPr>
      </w:pPr>
      <w:bookmarkStart w:id="708" w:name="_Toc134347658"/>
      <w:r>
        <w:rPr>
          <w:rFonts w:hint="cs"/>
          <w:rtl/>
        </w:rPr>
        <w:t>בי' הרש"ש דאף דזרע שלא השריש כמונח בכד חייב עליו כנתינה בתנור דנאפה מאיליו</w:t>
      </w:r>
      <w:bookmarkEnd w:id="708"/>
    </w:p>
    <w:p w14:paraId="00984A45" w14:textId="091915D9" w:rsidR="001C69A8" w:rsidRPr="002743E6" w:rsidRDefault="001C69A8" w:rsidP="00BC7DC8">
      <w:pPr>
        <w:pStyle w:val="a3"/>
        <w:rPr>
          <w:rtl/>
        </w:rPr>
      </w:pPr>
      <w:bookmarkStart w:id="709" w:name="_Ref133252725"/>
      <w:r>
        <w:rPr>
          <w:rFonts w:hint="cs"/>
          <w:rtl/>
        </w:rPr>
        <w:t xml:space="preserve">במלאכת זורע, הקשה </w:t>
      </w:r>
      <w:r w:rsidRPr="00B32D57">
        <w:rPr>
          <w:rStyle w:val="aff4"/>
          <w:rFonts w:hint="cs"/>
          <w:vanish/>
          <w:rtl/>
        </w:rPr>
        <w:t>-</w:t>
      </w:r>
      <w:r w:rsidRPr="00373C7B">
        <w:rPr>
          <w:rStyle w:val="aff4"/>
          <w:rFonts w:hint="cs"/>
          <w:rtl/>
        </w:rPr>
        <w:t>ה</w:t>
      </w:r>
      <w:r w:rsidRPr="00E526A0">
        <w:rPr>
          <w:rStyle w:val="aff4"/>
          <w:rFonts w:hint="cs"/>
          <w:vanish/>
          <w:rtl/>
        </w:rPr>
        <w:t>&lt;</w:t>
      </w:r>
      <w:r>
        <w:rPr>
          <w:rStyle w:val="aff4"/>
          <w:rFonts w:hint="cs"/>
          <w:vanish/>
          <w:rtl/>
        </w:rPr>
        <w:t>.</w:t>
      </w:r>
      <w:r w:rsidRPr="00E526A0">
        <w:rPr>
          <w:rStyle w:val="aff4"/>
          <w:rFonts w:hint="cs"/>
          <w:vanish/>
          <w:rtl/>
        </w:rPr>
        <w:t xml:space="preserve"> </w:t>
      </w:r>
      <w:r>
        <w:rPr>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Ref133252725 \r \h</w:instrText>
      </w:r>
      <w:r>
        <w:rPr>
          <w:rStyle w:val="aff4"/>
          <w:vanish/>
          <w:rtl/>
        </w:rPr>
        <w:instrText xml:space="preserve"> </w:instrText>
      </w:r>
      <w:r>
        <w:rPr>
          <w:vanish/>
          <w:rtl/>
        </w:rPr>
      </w:r>
      <w:r>
        <w:rPr>
          <w:vanish/>
          <w:rtl/>
        </w:rPr>
        <w:fldChar w:fldCharType="separate"/>
      </w:r>
      <w:r w:rsidR="00D82181">
        <w:rPr>
          <w:rStyle w:val="aff4"/>
          <w:vanish/>
          <w:cs/>
        </w:rPr>
        <w:t>‎</w:t>
      </w:r>
      <w:r w:rsidR="00D82181">
        <w:rPr>
          <w:rStyle w:val="aff4"/>
          <w:vanish/>
          <w:rtl/>
        </w:rPr>
        <w:t>מג)</w:t>
      </w:r>
      <w:r>
        <w:rPr>
          <w:vanish/>
          <w:rtl/>
        </w:rPr>
        <w:fldChar w:fldCharType="end"/>
      </w:r>
      <w:r w:rsidRPr="00E526A0">
        <w:rPr>
          <w:rStyle w:val="aff4"/>
          <w:rFonts w:hint="cs"/>
          <w:vanish/>
          <w:rtl/>
        </w:rPr>
        <w:t xml:space="preserve"> &gt;</w:t>
      </w:r>
      <w:r w:rsidRPr="00373C7B">
        <w:rPr>
          <w:rStyle w:val="aff4"/>
          <w:rFonts w:hint="cs"/>
          <w:rtl/>
        </w:rPr>
        <w:t>רש"ש</w:t>
      </w:r>
      <w:r w:rsidRPr="00B32D57">
        <w:rPr>
          <w:rStyle w:val="aff4"/>
          <w:rFonts w:hint="cs"/>
          <w:vanish/>
          <w:rtl/>
        </w:rPr>
        <w:t>-</w:t>
      </w:r>
      <w:r>
        <w:rPr>
          <w:rFonts w:hint="cs"/>
          <w:rtl/>
        </w:rPr>
        <w:t xml:space="preserve"> </w:t>
      </w:r>
      <w:r w:rsidRPr="00277835">
        <w:rPr>
          <w:rStyle w:val="af2"/>
          <w:rFonts w:eastAsia="Guttman Hodes" w:hint="cs"/>
          <w:rtl/>
        </w:rPr>
        <w:t>(ד"ה במשנה הזורע)</w:t>
      </w:r>
      <w:r>
        <w:rPr>
          <w:rFonts w:hint="cs"/>
          <w:vanish/>
          <w:rtl/>
        </w:rPr>
        <w:t>=</w:t>
      </w:r>
      <w:r>
        <w:rPr>
          <w:rFonts w:hint="cs"/>
          <w:rtl/>
        </w:rPr>
        <w:t xml:space="preserve"> דאמאי חייב הזורע בשבת ולא השריש, והא איתא בגמ' במנחות </w:t>
      </w:r>
      <w:r w:rsidRPr="00277835">
        <w:rPr>
          <w:rStyle w:val="af2"/>
          <w:rFonts w:eastAsia="Guttman Hodes" w:hint="cs"/>
          <w:rtl/>
        </w:rPr>
        <w:t>(סט.)</w:t>
      </w:r>
      <w:r>
        <w:rPr>
          <w:rFonts w:hint="cs"/>
          <w:rtl/>
        </w:rPr>
        <w:t xml:space="preserve"> דהזורע לפני השרשה חשיב כמונח בכדא, </w:t>
      </w:r>
      <w:r>
        <w:rPr>
          <w:rStyle w:val="af"/>
          <w:rFonts w:hint="cs"/>
          <w:rtl/>
        </w:rPr>
        <w:t>[</w:t>
      </w:r>
      <w:r w:rsidRPr="00277835">
        <w:rPr>
          <w:rStyle w:val="af"/>
          <w:rFonts w:hint="cs"/>
          <w:rtl/>
        </w:rPr>
        <w:t>דמספקא לגמ' אי זרע לפני שנשרש העומר מתירו באכילה דהוא כמונח בכד, וה"ה לענין אונאה ושבועה]</w:t>
      </w:r>
      <w:r w:rsidRPr="00563D63">
        <w:rPr>
          <w:rStyle w:val="af"/>
          <w:rFonts w:hint="cs"/>
          <w:rtl/>
        </w:rPr>
        <w:t>,</w:t>
      </w:r>
      <w:r w:rsidRPr="000E7D36">
        <w:rPr>
          <w:rStyle w:val="af"/>
          <w:rFonts w:hint="cs"/>
          <w:rtl/>
        </w:rPr>
        <w:t xml:space="preserve"> </w:t>
      </w:r>
      <w:r>
        <w:rPr>
          <w:rFonts w:hint="cs"/>
          <w:rtl/>
        </w:rPr>
        <w:t xml:space="preserve">ותירץ </w:t>
      </w:r>
      <w:r w:rsidRPr="00B32D57">
        <w:rPr>
          <w:rStyle w:val="aff4"/>
          <w:rFonts w:hint="cs"/>
          <w:vanish/>
          <w:rtl/>
        </w:rPr>
        <w:t>-</w:t>
      </w:r>
      <w:r w:rsidRPr="00373C7B">
        <w:rPr>
          <w:rStyle w:val="aff4"/>
          <w:rFonts w:hint="cs"/>
          <w:rtl/>
        </w:rPr>
        <w:t>הרש"ש</w:t>
      </w:r>
      <w:r w:rsidRPr="00B32D57">
        <w:rPr>
          <w:rStyle w:val="aff4"/>
          <w:rFonts w:hint="cs"/>
          <w:vanish/>
          <w:rtl/>
        </w:rPr>
        <w:t>-</w:t>
      </w:r>
      <w:r>
        <w:rPr>
          <w:rFonts w:hint="cs"/>
          <w:rtl/>
        </w:rPr>
        <w:t xml:space="preserve"> דמ"מ כיון דע"י מעשה הזריעה, הזרע משריש אח"כ הוי מלאכה, כמו אופה וצולה דחייב על ההנחה בתנור, אעפ"י דהאפיה והצליה נעשים אח"כ מאליהם, וכמבואר בגמ' במנחות </w:t>
      </w:r>
      <w:r w:rsidRPr="00277835">
        <w:rPr>
          <w:rStyle w:val="af2"/>
          <w:rFonts w:eastAsia="Guttman Hodes" w:hint="cs"/>
          <w:rtl/>
        </w:rPr>
        <w:t>(נו:, נז.)</w:t>
      </w:r>
      <w:r>
        <w:rPr>
          <w:rFonts w:hint="cs"/>
          <w:rtl/>
        </w:rPr>
        <w:t>.</w:t>
      </w:r>
      <w:bookmarkEnd w:id="709"/>
    </w:p>
    <w:p w14:paraId="6D65ECD7" w14:textId="77777777" w:rsidR="001C69A8" w:rsidRPr="00747170" w:rsidRDefault="001C69A8" w:rsidP="00747170">
      <w:pPr>
        <w:pStyle w:val="a2"/>
      </w:pPr>
      <w:r w:rsidRPr="00747170">
        <w:t>במשנה הזורע הן אף כ"ז שלא נשרש כמאן דשדי בכדא דמי. עי' )מנחות סט( מ"מ כיון דע"י זריעתו עתה ישרש אח"כ חייב כמו אופה וצולה דחייב אף על פי שנאפה ונצלה אח"כ מאליו )וע"ש סוף ד' נ"ו ונ"ז(</w:t>
      </w:r>
      <w:r w:rsidRPr="00747170">
        <w:rPr>
          <w:rFonts w:hint="cs"/>
        </w:rPr>
        <w:t>.</w:t>
      </w:r>
    </w:p>
    <w:p w14:paraId="7A3BE1A6" w14:textId="6BA7B29E" w:rsidR="001C69A8" w:rsidRDefault="001C69A8" w:rsidP="001C69A8">
      <w:pPr>
        <w:pStyle w:val="a7"/>
        <w:rPr>
          <w:rtl/>
        </w:rPr>
      </w:pPr>
      <w:bookmarkStart w:id="710" w:name="_Toc134347659"/>
      <w:r>
        <w:rPr>
          <w:rFonts w:hint="cs"/>
          <w:rtl/>
        </w:rPr>
        <w:t>בי' הרש"ש דהזורע בשבת וליקט את הזרע לפני השרשה פטור דלא נעשית מחשבתו כאופה</w:t>
      </w:r>
      <w:bookmarkEnd w:id="710"/>
    </w:p>
    <w:p w14:paraId="664C981C" w14:textId="5663483C" w:rsidR="001C69A8" w:rsidRDefault="001C69A8" w:rsidP="00BC7DC8">
      <w:pPr>
        <w:pStyle w:val="a3"/>
      </w:pPr>
      <w:bookmarkStart w:id="711" w:name="_Ref133266181"/>
      <w:r>
        <w:rPr>
          <w:rFonts w:hint="cs"/>
          <w:rtl/>
        </w:rPr>
        <w:t xml:space="preserve">וכתב </w:t>
      </w:r>
      <w:r w:rsidRPr="00B32D57">
        <w:rPr>
          <w:rStyle w:val="aff4"/>
          <w:rFonts w:hint="cs"/>
          <w:vanish/>
          <w:rtl/>
        </w:rPr>
        <w:t>-</w:t>
      </w:r>
      <w:r w:rsidRPr="00373C7B">
        <w:rPr>
          <w:rStyle w:val="aff4"/>
          <w:rFonts w:hint="cs"/>
          <w:rtl/>
        </w:rPr>
        <w:t>הרש"ש</w:t>
      </w:r>
      <w:r w:rsidRPr="00B32D57">
        <w:rPr>
          <w:rStyle w:val="aff4"/>
          <w:rFonts w:hint="cs"/>
          <w:vanish/>
          <w:rtl/>
        </w:rPr>
        <w:t>-</w:t>
      </w:r>
      <w:r>
        <w:rPr>
          <w:rFonts w:hint="cs"/>
          <w:rtl/>
        </w:rPr>
        <w:t xml:space="preserve"> דאם זרע בשבת וליקט את הזרע לפני שהשריש, פטור על הזריעה כיון דלא התקיימה מחשבתו, וכדאיתא בגמ' לעיל </w:t>
      </w:r>
      <w:r w:rsidRPr="00277835">
        <w:rPr>
          <w:rStyle w:val="af2"/>
          <w:rFonts w:eastAsia="Guttman Hodes" w:hint="cs"/>
          <w:rtl/>
        </w:rPr>
        <w:t>(ג.)</w:t>
      </w:r>
      <w:r>
        <w:rPr>
          <w:rFonts w:hint="cs"/>
          <w:rtl/>
        </w:rPr>
        <w:t xml:space="preserve"> דהרודה פת מתנור לפני שנאפתה פטור עליה, ועי' במ"ש בזה </w:t>
      </w:r>
      <w:r w:rsidRPr="003F1BFC">
        <w:rPr>
          <w:rStyle w:val="aff4"/>
          <w:rFonts w:hint="cs"/>
          <w:vanish/>
          <w:rtl/>
        </w:rPr>
        <w:t>-</w:t>
      </w:r>
      <w:r w:rsidRPr="003F1BFC">
        <w:rPr>
          <w:rStyle w:val="aff4"/>
          <w:rFonts w:hint="cs"/>
          <w:rtl/>
        </w:rPr>
        <w:t>ב</w:t>
      </w:r>
      <w:r w:rsidRPr="003F1BFC">
        <w:rPr>
          <w:rStyle w:val="aff4"/>
          <w:rFonts w:hint="cs"/>
          <w:vanish/>
          <w:rtl/>
        </w:rPr>
        <w:t>&lt; &gt;</w:t>
      </w:r>
      <w:r w:rsidRPr="003F1BFC">
        <w:rPr>
          <w:rStyle w:val="aff4"/>
          <w:rFonts w:hint="cs"/>
          <w:rtl/>
        </w:rPr>
        <w:t>אשר לשלמה</w:t>
      </w:r>
      <w:r w:rsidRPr="003F1BFC">
        <w:rPr>
          <w:rStyle w:val="aff4"/>
          <w:rFonts w:hint="cs"/>
          <w:vanish/>
          <w:rtl/>
        </w:rPr>
        <w:t>-</w:t>
      </w:r>
      <w:r>
        <w:rPr>
          <w:rFonts w:hint="cs"/>
          <w:rtl/>
        </w:rPr>
        <w:t xml:space="preserve"> </w:t>
      </w:r>
      <w:r w:rsidRPr="00277835">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Ref134305263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פג)</w:t>
      </w:r>
      <w:r>
        <w:rPr>
          <w:rStyle w:val="af2"/>
          <w:rFonts w:eastAsia="Guttman Hodes"/>
          <w:rtl/>
        </w:rPr>
        <w:fldChar w:fldCharType="end"/>
      </w:r>
      <w:r w:rsidRPr="003F1BFC">
        <w:rPr>
          <w:rFonts w:hint="cs"/>
          <w:vanish/>
          <w:rtl/>
        </w:rPr>
        <w:t>=</w:t>
      </w:r>
      <w:r>
        <w:rPr>
          <w:rFonts w:hint="cs"/>
          <w:rtl/>
        </w:rPr>
        <w:t>.</w:t>
      </w:r>
      <w:bookmarkEnd w:id="711"/>
    </w:p>
    <w:p w14:paraId="23745F49" w14:textId="77777777" w:rsidR="001C69A8" w:rsidRPr="00747170" w:rsidRDefault="001C69A8" w:rsidP="00747170">
      <w:pPr>
        <w:pStyle w:val="a2"/>
      </w:pPr>
      <w:r w:rsidRPr="00747170">
        <w:t>והנה אם לקט הזרע קודם שנשרש נראה דפטור למפרע על מה שזרע כיון דלא נתקיימה מחשבתו וד"ז יש ללמוד מבעיא דרבב"א בריש מכילתין דאם רודהו קודם שנאפה פטור</w:t>
      </w:r>
      <w:r w:rsidRPr="00747170">
        <w:rPr>
          <w:rFonts w:hint="cs"/>
        </w:rPr>
        <w:t>.</w:t>
      </w:r>
    </w:p>
    <w:p w14:paraId="427849B0" w14:textId="20DD5B55" w:rsidR="001C69A8" w:rsidRPr="000971BE" w:rsidRDefault="001C69A8" w:rsidP="001C69A8">
      <w:pPr>
        <w:pStyle w:val="a7"/>
      </w:pPr>
      <w:bookmarkStart w:id="712" w:name="_Toc134347660"/>
      <w:r>
        <w:rPr>
          <w:rFonts w:hint="cs"/>
          <w:rtl/>
        </w:rPr>
        <w:t>בי' הרש"ש דהתולש זרע ושתלו ודאי חייב ורק הזורע ולא נשרש וליקט פטור דלא עשה כלום</w:t>
      </w:r>
      <w:bookmarkEnd w:id="712"/>
    </w:p>
    <w:p w14:paraId="1BAFBA6F" w14:textId="061F50D5" w:rsidR="001C69A8" w:rsidRPr="00471096" w:rsidRDefault="001C69A8" w:rsidP="00BC7DC8">
      <w:pPr>
        <w:pStyle w:val="a3"/>
      </w:pPr>
      <w:bookmarkStart w:id="713" w:name="_Ref133265171"/>
      <w:r>
        <w:rPr>
          <w:rFonts w:hint="cs"/>
          <w:rtl/>
        </w:rPr>
        <w:t xml:space="preserve">והביא </w:t>
      </w:r>
      <w:r w:rsidRPr="00B32D57">
        <w:rPr>
          <w:rStyle w:val="aff4"/>
          <w:rFonts w:hint="cs"/>
          <w:vanish/>
          <w:rtl/>
        </w:rPr>
        <w:t>-</w:t>
      </w:r>
      <w:r w:rsidRPr="00373C7B">
        <w:rPr>
          <w:rStyle w:val="aff4"/>
          <w:rFonts w:hint="cs"/>
          <w:rtl/>
        </w:rPr>
        <w:t>הרש"ש</w:t>
      </w:r>
      <w:r w:rsidRPr="00B32D57">
        <w:rPr>
          <w:rStyle w:val="aff4"/>
          <w:rFonts w:hint="cs"/>
          <w:vanish/>
          <w:rtl/>
        </w:rPr>
        <w:t>-</w:t>
      </w:r>
      <w:r>
        <w:rPr>
          <w:rFonts w:hint="cs"/>
          <w:rtl/>
        </w:rPr>
        <w:t xml:space="preserve"> דבהא דאיתא בירושלמי </w:t>
      </w:r>
      <w:r w:rsidRPr="00277835">
        <w:rPr>
          <w:rStyle w:val="af2"/>
          <w:rFonts w:eastAsia="Guttman Hodes" w:hint="cs"/>
          <w:rtl/>
        </w:rPr>
        <w:t>(פ"ז ה"ב, מח:)</w:t>
      </w:r>
      <w:r>
        <w:rPr>
          <w:rFonts w:hint="cs"/>
          <w:rtl/>
        </w:rPr>
        <w:t xml:space="preserve"> דהשולה דגים חייב משום קוצר, כתב </w:t>
      </w:r>
      <w:r w:rsidRPr="00B32D57">
        <w:rPr>
          <w:rStyle w:val="aff4"/>
          <w:rFonts w:hint="cs"/>
          <w:vanish/>
          <w:rtl/>
        </w:rPr>
        <w:t>-</w:t>
      </w:r>
      <w:r w:rsidRPr="00373C7B">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Ref133265171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מה)</w:t>
      </w:r>
      <w:r>
        <w:rPr>
          <w:rStyle w:val="aff4"/>
          <w:vanish/>
          <w:rtl/>
        </w:rPr>
        <w:fldChar w:fldCharType="end"/>
      </w:r>
      <w:r>
        <w:rPr>
          <w:rStyle w:val="aff4"/>
          <w:rFonts w:hint="cs"/>
          <w:vanish/>
          <w:rtl/>
        </w:rPr>
        <w:t xml:space="preserve"> &gt;</w:t>
      </w:r>
      <w:r w:rsidRPr="00373C7B">
        <w:rPr>
          <w:rStyle w:val="aff4"/>
          <w:rFonts w:hint="cs"/>
          <w:rtl/>
        </w:rPr>
        <w:t>שיירי קרבן</w:t>
      </w:r>
      <w:r w:rsidRPr="00B32D57">
        <w:rPr>
          <w:rStyle w:val="aff4"/>
          <w:rFonts w:hint="cs"/>
          <w:vanish/>
          <w:rtl/>
        </w:rPr>
        <w:t>-</w:t>
      </w:r>
      <w:r>
        <w:rPr>
          <w:rFonts w:hint="cs"/>
          <w:rtl/>
        </w:rPr>
        <w:t xml:space="preserve"> </w:t>
      </w:r>
      <w:r w:rsidRPr="00277835">
        <w:rPr>
          <w:rStyle w:val="af2"/>
          <w:rFonts w:eastAsia="Guttman Hodes" w:hint="cs"/>
          <w:rtl/>
        </w:rPr>
        <w:t>(פ"ז ה"ב, מח: ד"ה כל דבר)</w:t>
      </w:r>
      <w:r>
        <w:rPr>
          <w:rFonts w:hint="cs"/>
          <w:vanish/>
          <w:rtl/>
        </w:rPr>
        <w:t>=</w:t>
      </w:r>
      <w:r>
        <w:rPr>
          <w:rFonts w:hint="cs"/>
          <w:rtl/>
        </w:rPr>
        <w:t xml:space="preserve"> דאם החזיר את הדג למים לפני שיבש בו כסלע פטור, וכתב </w:t>
      </w:r>
      <w:r w:rsidRPr="00B32D57">
        <w:rPr>
          <w:rStyle w:val="aff4"/>
          <w:rFonts w:hint="cs"/>
          <w:vanish/>
          <w:rtl/>
        </w:rPr>
        <w:t>-</w:t>
      </w:r>
      <w:r w:rsidRPr="00373C7B">
        <w:rPr>
          <w:rStyle w:val="aff4"/>
          <w:rFonts w:hint="cs"/>
          <w:rtl/>
        </w:rPr>
        <w:t>הרש"ש</w:t>
      </w:r>
      <w:r w:rsidRPr="00B32D57">
        <w:rPr>
          <w:rStyle w:val="aff4"/>
          <w:rFonts w:hint="cs"/>
          <w:vanish/>
          <w:rtl/>
        </w:rPr>
        <w:t>-</w:t>
      </w:r>
      <w:r>
        <w:rPr>
          <w:rFonts w:hint="cs"/>
          <w:rtl/>
        </w:rPr>
        <w:t xml:space="preserve"> דלפי"ז התולש זרע וחזר ושתלו יהיה פטור, ודחה </w:t>
      </w:r>
      <w:r w:rsidRPr="00B32D57">
        <w:rPr>
          <w:rStyle w:val="aff4"/>
          <w:rFonts w:hint="cs"/>
          <w:vanish/>
          <w:rtl/>
        </w:rPr>
        <w:t>-</w:t>
      </w:r>
      <w:r w:rsidRPr="00373C7B">
        <w:rPr>
          <w:rStyle w:val="aff4"/>
          <w:rFonts w:hint="cs"/>
          <w:rtl/>
        </w:rPr>
        <w:t>הרש"ש</w:t>
      </w:r>
      <w:r w:rsidRPr="00B32D57">
        <w:rPr>
          <w:rStyle w:val="aff4"/>
          <w:rFonts w:hint="cs"/>
          <w:vanish/>
          <w:rtl/>
        </w:rPr>
        <w:t>-</w:t>
      </w:r>
      <w:r>
        <w:rPr>
          <w:rFonts w:hint="cs"/>
          <w:rtl/>
        </w:rPr>
        <w:t xml:space="preserve"> דפשיטא דבכה"ג הוא חייב, כיון דמלאכת העקירה מהקרקע נגמרה לגמרי, וכתב </w:t>
      </w:r>
      <w:r w:rsidRPr="00B32D57">
        <w:rPr>
          <w:rStyle w:val="aff4"/>
          <w:rFonts w:hint="cs"/>
          <w:vanish/>
          <w:rtl/>
        </w:rPr>
        <w:t>-</w:t>
      </w:r>
      <w:r w:rsidRPr="00373C7B">
        <w:rPr>
          <w:rStyle w:val="aff4"/>
          <w:rFonts w:hint="cs"/>
          <w:rtl/>
        </w:rPr>
        <w:t>הרש"ש</w:t>
      </w:r>
      <w:r w:rsidRPr="00B32D57">
        <w:rPr>
          <w:rStyle w:val="aff4"/>
          <w:rFonts w:hint="cs"/>
          <w:vanish/>
          <w:rtl/>
        </w:rPr>
        <w:t>-</w:t>
      </w:r>
      <w:r>
        <w:rPr>
          <w:rFonts w:hint="cs"/>
          <w:rtl/>
        </w:rPr>
        <w:t xml:space="preserve"> דרק בזרע שהוציאו מהקרקע הוא פטור, כיון שלא השריש עדיין דבזריעתו לא נעשה כלום עדיין, והזרע כמונח בכד.</w:t>
      </w:r>
      <w:bookmarkEnd w:id="713"/>
    </w:p>
    <w:p w14:paraId="3F8FF177" w14:textId="77777777" w:rsidR="001C69A8" w:rsidRPr="00747170" w:rsidRDefault="001C69A8" w:rsidP="00747170">
      <w:pPr>
        <w:pStyle w:val="a2"/>
      </w:pPr>
      <w:r w:rsidRPr="00747170">
        <w:t>וגדולה מזו משמע בתוס' ק"ע בירושלמי דפרקין )ד' כח א דפוס דעסי( בד"ה כל דבר דאם עקר דבר מגידולו אם שוב שתלו אח"כ פטור וזה ודאי ל"נ כלל דכיון דכבר גמר מלאכת העקירה. [וזה דומה למש"כ הרא"ש בפ"ב דביצה ססי' י"ז ע"ש[. משא"כ הכא היכא דלא נשרש עדיין לא נעשה כלום דכמאן דשדא בכדא דמי</w:t>
      </w:r>
      <w:r w:rsidRPr="00747170">
        <w:rPr>
          <w:rFonts w:hint="cs"/>
        </w:rPr>
        <w:t>.</w:t>
      </w:r>
    </w:p>
    <w:p w14:paraId="102F4477" w14:textId="4467FED9" w:rsidR="001C69A8" w:rsidRDefault="001C69A8" w:rsidP="001C69A8">
      <w:pPr>
        <w:pStyle w:val="afffff7"/>
        <w:rPr>
          <w:rtl/>
        </w:rPr>
      </w:pPr>
      <w:bookmarkStart w:id="714" w:name="_Toc134550197"/>
      <w:bookmarkStart w:id="715" w:name="_Toc163505489"/>
      <w:r>
        <w:rPr>
          <w:rtl/>
        </w:rPr>
        <w:t>שיירי קרבן שבת פ"ז</w:t>
      </w:r>
      <w:r>
        <w:rPr>
          <w:rFonts w:hint="cs"/>
          <w:rtl/>
        </w:rPr>
        <w:t xml:space="preserve"> ה"ב</w:t>
      </w:r>
      <w:bookmarkEnd w:id="714"/>
      <w:bookmarkEnd w:id="715"/>
    </w:p>
    <w:p w14:paraId="006241BB" w14:textId="77777777" w:rsidR="001C69A8" w:rsidRPr="0000488C" w:rsidRDefault="001C69A8" w:rsidP="00747170">
      <w:pPr>
        <w:pStyle w:val="afffff5"/>
        <w:rPr>
          <w:rtl/>
        </w:rPr>
      </w:pPr>
      <w:r>
        <w:rPr>
          <w:rtl/>
        </w:rPr>
        <w:t>[</w:t>
      </w:r>
      <w:r w:rsidRPr="0000488C">
        <w:rPr>
          <w:rtl/>
        </w:rPr>
        <w:t>דף מח עמוד ב] כל דבר שאתה מבדילו מחיותו חייב משום קוצר. ונ"ל הא דגרסי' בבבלי פ' ח' שרצים דף ק"ז ע"ב אמר שמואל השולה דג מן הים כיון שיבש בו כסלע חייב וכו' אמר שמואל הושיט ידו למעי בהמה ודלדל עובר שבמעיה חייב תרווייהו חד טעמא אית להו שחייבין משום קוצר ורש"י פי' בדג שחייב משום נטילת נשמה והה"מ כתב בשם הרמב"ן בתרווייהו משום נטילת נשמה ודחק מאד בפי' הגמרא ול"נ כמ"ש ואי קשיא א"כ ל"ל יבש כסלע אפילו בלאו הכי יהא חייב י"ל דאם החזירו כל זמן שלא יבש בו כסלע פטור ועיין בתוס' בבכורות דף כ"ה ע"א בד"ה ואמר ריש לקיש וכו' וצ"ע:</w:t>
      </w:r>
    </w:p>
    <w:p w14:paraId="548054C3" w14:textId="39694665" w:rsidR="001C69A8" w:rsidRDefault="001C69A8" w:rsidP="001C69A8">
      <w:pPr>
        <w:pStyle w:val="1"/>
        <w:rPr>
          <w:rtl/>
        </w:rPr>
      </w:pPr>
      <w:bookmarkStart w:id="716" w:name="_Toc134347661"/>
      <w:r>
        <w:rPr>
          <w:rFonts w:hint="cs"/>
          <w:rtl/>
        </w:rPr>
        <w:t>בי' האגל"ט בגר"ז דחיוב זורע בהשרשה ובספק השרשה מותר</w:t>
      </w:r>
      <w:bookmarkEnd w:id="716"/>
    </w:p>
    <w:p w14:paraId="5A408EA9" w14:textId="77777777" w:rsidR="001C69A8" w:rsidRDefault="001C69A8" w:rsidP="001C69A8">
      <w:pPr>
        <w:pStyle w:val="afffff7"/>
        <w:rPr>
          <w:rtl/>
        </w:rPr>
      </w:pPr>
      <w:bookmarkStart w:id="717" w:name="_Toc134550198"/>
      <w:bookmarkStart w:id="718" w:name="_Toc163505490"/>
      <w:r>
        <w:rPr>
          <w:rtl/>
        </w:rPr>
        <w:t>שולחן ערוך הרב אורח חיים סימן שלו סעיף יז</w:t>
      </w:r>
      <w:bookmarkEnd w:id="717"/>
      <w:bookmarkEnd w:id="718"/>
    </w:p>
    <w:p w14:paraId="79ADDF1B" w14:textId="77777777" w:rsidR="001C69A8" w:rsidRDefault="001C69A8" w:rsidP="001C69A8">
      <w:pPr>
        <w:pStyle w:val="a7"/>
        <w:rPr>
          <w:rtl/>
        </w:rPr>
      </w:pPr>
      <w:bookmarkStart w:id="719" w:name="_Toc134347662"/>
      <w:r w:rsidRPr="00B638CD">
        <w:rPr>
          <w:rtl/>
        </w:rPr>
        <w:t xml:space="preserve">בי' האגל"ט בגר"ז </w:t>
      </w:r>
      <w:r>
        <w:rPr>
          <w:rFonts w:hint="cs"/>
          <w:rtl/>
        </w:rPr>
        <w:t>שהתיר</w:t>
      </w:r>
      <w:r w:rsidRPr="00B638CD">
        <w:rPr>
          <w:rtl/>
        </w:rPr>
        <w:t xml:space="preserve"> בספק אם יאכלום דס"ל דאיסור זורע הוא רק בהשרשה ולא בנתינה</w:t>
      </w:r>
      <w:bookmarkEnd w:id="719"/>
    </w:p>
    <w:p w14:paraId="1E54F65D" w14:textId="7B4137A0" w:rsidR="001C69A8" w:rsidRPr="00C02E5D" w:rsidRDefault="001C69A8" w:rsidP="00BC7DC8">
      <w:pPr>
        <w:pStyle w:val="a3"/>
      </w:pPr>
      <w:bookmarkStart w:id="720" w:name="_Ref134163213"/>
      <w:bookmarkStart w:id="721" w:name="_Ref134304738"/>
      <w:r>
        <w:rPr>
          <w:rFonts w:hint="cs"/>
          <w:rtl/>
        </w:rPr>
        <w:t xml:space="preserve">כתב </w:t>
      </w:r>
      <w:r w:rsidRPr="001E13AC">
        <w:rPr>
          <w:rStyle w:val="aff4"/>
          <w:rFonts w:hint="cs"/>
          <w:vanish/>
          <w:rtl/>
        </w:rPr>
        <w:t>-</w:t>
      </w:r>
      <w:r w:rsidRPr="001F3123">
        <w:rPr>
          <w:rStyle w:val="aff4"/>
          <w:rFonts w:hint="cs"/>
          <w:rtl/>
        </w:rPr>
        <w:t>ה</w:t>
      </w:r>
      <w:r w:rsidRPr="001E13AC">
        <w:rPr>
          <w:rStyle w:val="aff4"/>
          <w:rFonts w:hint="cs"/>
          <w:vanish/>
          <w:rtl/>
        </w:rPr>
        <w:t xml:space="preserve">&lt;. </w:t>
      </w:r>
      <w:r w:rsidRPr="001E13AC">
        <w:rPr>
          <w:rStyle w:val="aff4"/>
          <w:vanish/>
          <w:rtl/>
        </w:rPr>
        <w:fldChar w:fldCharType="begin"/>
      </w:r>
      <w:r w:rsidRPr="001E13AC">
        <w:rPr>
          <w:rStyle w:val="aff4"/>
          <w:vanish/>
          <w:rtl/>
        </w:rPr>
        <w:instrText xml:space="preserve"> </w:instrText>
      </w:r>
      <w:r w:rsidRPr="001E13AC">
        <w:rPr>
          <w:rStyle w:val="aff4"/>
          <w:rFonts w:hint="cs"/>
          <w:vanish/>
        </w:rPr>
        <w:instrText>REF</w:instrText>
      </w:r>
      <w:r w:rsidRPr="001E13AC">
        <w:rPr>
          <w:rStyle w:val="aff4"/>
          <w:rFonts w:hint="cs"/>
          <w:vanish/>
          <w:rtl/>
        </w:rPr>
        <w:instrText xml:space="preserve"> _</w:instrText>
      </w:r>
      <w:r w:rsidRPr="001E13AC">
        <w:rPr>
          <w:rStyle w:val="aff4"/>
          <w:rFonts w:hint="cs"/>
          <w:vanish/>
        </w:rPr>
        <w:instrText>Ref134163213 \r \h</w:instrText>
      </w:r>
      <w:r w:rsidRPr="001E13AC">
        <w:rPr>
          <w:rStyle w:val="aff4"/>
          <w:vanish/>
          <w:rtl/>
        </w:rPr>
        <w:instrText xml:space="preserve"> </w:instrText>
      </w:r>
      <w:r>
        <w:rPr>
          <w:rStyle w:val="aff4"/>
          <w:vanish/>
          <w:rtl/>
        </w:rPr>
        <w:instrText xml:space="preserve"> \* </w:instrText>
      </w:r>
      <w:r>
        <w:rPr>
          <w:rStyle w:val="aff4"/>
          <w:vanish/>
        </w:rPr>
        <w:instrText>MERGEFORMAT</w:instrText>
      </w:r>
      <w:r>
        <w:rPr>
          <w:rStyle w:val="aff4"/>
          <w:vanish/>
          <w:rtl/>
        </w:rPr>
        <w:instrText xml:space="preserve"> </w:instrText>
      </w:r>
      <w:r w:rsidRPr="001E13AC">
        <w:rPr>
          <w:rStyle w:val="aff4"/>
          <w:vanish/>
          <w:rtl/>
        </w:rPr>
      </w:r>
      <w:r w:rsidRPr="001E13AC">
        <w:rPr>
          <w:rStyle w:val="aff4"/>
          <w:vanish/>
          <w:rtl/>
        </w:rPr>
        <w:fldChar w:fldCharType="separate"/>
      </w:r>
      <w:r w:rsidR="00D82181">
        <w:rPr>
          <w:rStyle w:val="aff4"/>
          <w:vanish/>
          <w:cs/>
        </w:rPr>
        <w:t>‎</w:t>
      </w:r>
      <w:r w:rsidR="00D82181">
        <w:rPr>
          <w:rStyle w:val="aff4"/>
          <w:vanish/>
          <w:rtl/>
        </w:rPr>
        <w:t>מו)</w:t>
      </w:r>
      <w:r w:rsidRPr="001E13AC">
        <w:rPr>
          <w:rStyle w:val="aff4"/>
          <w:vanish/>
          <w:rtl/>
        </w:rPr>
        <w:fldChar w:fldCharType="end"/>
      </w:r>
      <w:r w:rsidRPr="001E13AC">
        <w:rPr>
          <w:rStyle w:val="aff4"/>
          <w:rFonts w:hint="cs"/>
          <w:vanish/>
          <w:rtl/>
        </w:rPr>
        <w:t xml:space="preserve"> &gt;</w:t>
      </w:r>
      <w:r w:rsidRPr="001F3123">
        <w:rPr>
          <w:rStyle w:val="aff4"/>
          <w:rFonts w:hint="cs"/>
          <w:rtl/>
        </w:rPr>
        <w:t>גר"ז</w:t>
      </w:r>
      <w:r w:rsidRPr="001E13AC">
        <w:rPr>
          <w:rStyle w:val="aff4"/>
          <w:rFonts w:hint="cs"/>
          <w:vanish/>
          <w:rtl/>
        </w:rPr>
        <w:t>-</w:t>
      </w:r>
      <w:r>
        <w:rPr>
          <w:rFonts w:hint="cs"/>
          <w:rtl/>
        </w:rPr>
        <w:t xml:space="preserve"> </w:t>
      </w:r>
      <w:r w:rsidRPr="00277835">
        <w:rPr>
          <w:rStyle w:val="af2"/>
          <w:rFonts w:eastAsia="Guttman Hodes" w:hint="cs"/>
          <w:rtl/>
        </w:rPr>
        <w:t>(סי' של"ו י"ז)</w:t>
      </w:r>
      <w:bookmarkEnd w:id="720"/>
      <w:r w:rsidRPr="001E13AC">
        <w:rPr>
          <w:rFonts w:hint="cs"/>
          <w:vanish/>
          <w:rtl/>
        </w:rPr>
        <w:t>=</w:t>
      </w:r>
      <w:r>
        <w:rPr>
          <w:rFonts w:hint="cs"/>
          <w:rtl/>
        </w:rPr>
        <w:t xml:space="preserve"> דאף דהשורה חיטין במים כדי שיצמחו הוא תולדת זורע, </w:t>
      </w:r>
      <w:r>
        <w:rPr>
          <w:rStyle w:val="af"/>
          <w:rFonts w:hint="cs"/>
          <w:rtl/>
        </w:rPr>
        <w:t>[</w:t>
      </w:r>
      <w:r w:rsidRPr="00277835">
        <w:rPr>
          <w:rStyle w:val="af"/>
          <w:rFonts w:hint="cs"/>
          <w:rtl/>
        </w:rPr>
        <w:t xml:space="preserve">כדכתב </w:t>
      </w:r>
      <w:r w:rsidRPr="001E13AC">
        <w:rPr>
          <w:rStyle w:val="aff9"/>
          <w:rFonts w:hint="cs"/>
          <w:vanish/>
          <w:rtl/>
        </w:rPr>
        <w:t>-</w:t>
      </w:r>
      <w:r w:rsidRPr="00277835">
        <w:rPr>
          <w:rStyle w:val="aff9"/>
          <w:rFonts w:hint="cs"/>
          <w:rtl/>
        </w:rPr>
        <w:t>הרמב"ם</w:t>
      </w:r>
      <w:r w:rsidRPr="001E13AC">
        <w:rPr>
          <w:rStyle w:val="aff9"/>
          <w:rFonts w:hint="cs"/>
          <w:vanish/>
          <w:rtl/>
        </w:rPr>
        <w:t>-</w:t>
      </w:r>
      <w:r w:rsidRPr="00277835">
        <w:rPr>
          <w:rStyle w:val="af"/>
          <w:rFonts w:hint="cs"/>
          <w:rtl/>
        </w:rPr>
        <w:t xml:space="preserve"> </w:t>
      </w:r>
      <w:r w:rsidRPr="00277835">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Ref134330480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נד)</w:t>
      </w:r>
      <w:r>
        <w:rPr>
          <w:rStyle w:val="aff0"/>
          <w:rtl/>
        </w:rPr>
        <w:fldChar w:fldCharType="end"/>
      </w:r>
      <w:r w:rsidRPr="00277835">
        <w:rPr>
          <w:rStyle w:val="af"/>
          <w:rFonts w:hint="cs"/>
          <w:rtl/>
        </w:rPr>
        <w:t>]</w:t>
      </w:r>
      <w:r>
        <w:rPr>
          <w:rFonts w:hint="cs"/>
          <w:rtl/>
        </w:rPr>
        <w:t xml:space="preserve">, אך היינו דוקא בשורה לזמן ארוך </w:t>
      </w:r>
      <w:r>
        <w:rPr>
          <w:rStyle w:val="af"/>
          <w:rFonts w:hint="cs"/>
          <w:rtl/>
        </w:rPr>
        <w:t>[</w:t>
      </w:r>
      <w:r w:rsidRPr="00277835">
        <w:rPr>
          <w:rStyle w:val="af"/>
          <w:rFonts w:hint="cs"/>
          <w:rtl/>
        </w:rPr>
        <w:t xml:space="preserve">כדעת </w:t>
      </w:r>
      <w:r w:rsidRPr="001E13AC">
        <w:rPr>
          <w:rStyle w:val="aff9"/>
          <w:rFonts w:hint="cs"/>
          <w:vanish/>
          <w:rtl/>
        </w:rPr>
        <w:t>-</w:t>
      </w:r>
      <w:r w:rsidRPr="00277835">
        <w:rPr>
          <w:rStyle w:val="aff9"/>
          <w:rFonts w:hint="cs"/>
          <w:rtl/>
        </w:rPr>
        <w:t>המג"א</w:t>
      </w:r>
      <w:r w:rsidRPr="001E13AC">
        <w:rPr>
          <w:rStyle w:val="aff9"/>
          <w:rFonts w:hint="cs"/>
          <w:vanish/>
          <w:rtl/>
        </w:rPr>
        <w:t>-</w:t>
      </w:r>
      <w:r w:rsidRPr="00277835">
        <w:rPr>
          <w:rStyle w:val="af"/>
          <w:rFonts w:hint="cs"/>
          <w:rtl/>
        </w:rPr>
        <w:t xml:space="preserve"> </w:t>
      </w:r>
      <w:r w:rsidRPr="00277835">
        <w:rPr>
          <w:rStyle w:val="aff0"/>
          <w:rFonts w:hint="cs"/>
          <w:rtl/>
        </w:rPr>
        <w:t>(סי' של"ו סקי"ב, הובא בסימן א' אות צ"ד)</w:t>
      </w:r>
      <w:r w:rsidRPr="00277835">
        <w:rPr>
          <w:rStyle w:val="af"/>
          <w:rFonts w:hint="cs"/>
          <w:rtl/>
        </w:rPr>
        <w:t>]</w:t>
      </w:r>
      <w:r>
        <w:rPr>
          <w:rFonts w:hint="cs"/>
          <w:rtl/>
        </w:rPr>
        <w:t xml:space="preserve">, אבל בשורה חיטין במים להאכיל את בהמתו מיד מותר, וביאר </w:t>
      </w:r>
      <w:r w:rsidRPr="001E13AC">
        <w:rPr>
          <w:rStyle w:val="aff4"/>
          <w:rFonts w:hint="cs"/>
          <w:vanish/>
          <w:rtl/>
        </w:rPr>
        <w:t>-</w:t>
      </w:r>
      <w:r w:rsidRPr="001F3123">
        <w:rPr>
          <w:rStyle w:val="aff4"/>
          <w:rFonts w:hint="cs"/>
          <w:rtl/>
        </w:rPr>
        <w:t>הגר"ז</w:t>
      </w:r>
      <w:r w:rsidRPr="001E13AC">
        <w:rPr>
          <w:rStyle w:val="aff4"/>
          <w:rFonts w:hint="cs"/>
          <w:vanish/>
          <w:rtl/>
        </w:rPr>
        <w:t>-</w:t>
      </w:r>
      <w:r>
        <w:rPr>
          <w:rFonts w:hint="cs"/>
          <w:rtl/>
        </w:rPr>
        <w:t xml:space="preserve"> דאף אם ישארו חיטין במים שהבהמות לא יאכלום אי"ז איסור, כיון דבשעת הנתינה למים אינו פסיק רישיה דהחיטין יצמחו, דהא יתכן שהבהמה תאכל את כל החיטין,</w:t>
      </w:r>
      <w:r w:rsidRPr="00BA0638">
        <w:rPr>
          <w:rFonts w:hint="cs"/>
          <w:rtl/>
        </w:rPr>
        <w:t xml:space="preserve"> </w:t>
      </w:r>
      <w:r>
        <w:rPr>
          <w:rFonts w:hint="cs"/>
          <w:rtl/>
        </w:rPr>
        <w:t xml:space="preserve">וכתב </w:t>
      </w:r>
      <w:r w:rsidRPr="00E87CC9">
        <w:rPr>
          <w:rStyle w:val="aff4"/>
          <w:rFonts w:hint="cs"/>
          <w:vanish/>
          <w:rtl/>
        </w:rPr>
        <w:t>-</w:t>
      </w:r>
      <w:r w:rsidRPr="003B4E24">
        <w:rPr>
          <w:rStyle w:val="aff4"/>
          <w:rFonts w:hint="cs"/>
          <w:rtl/>
        </w:rPr>
        <w:t>ה</w:t>
      </w:r>
      <w:r>
        <w:rPr>
          <w:rStyle w:val="aff4"/>
          <w:rFonts w:hint="cs"/>
          <w:vanish/>
          <w:rtl/>
        </w:rPr>
        <w:t>&lt; &gt;</w:t>
      </w:r>
      <w:r w:rsidRPr="003B4E24">
        <w:rPr>
          <w:rStyle w:val="aff4"/>
          <w:rFonts w:hint="cs"/>
          <w:rtl/>
        </w:rPr>
        <w:t>אגלי טל</w:t>
      </w:r>
      <w:r w:rsidRPr="00E87CC9">
        <w:rPr>
          <w:rStyle w:val="aff4"/>
          <w:rFonts w:hint="cs"/>
          <w:vanish/>
          <w:rtl/>
        </w:rPr>
        <w:t>-</w:t>
      </w:r>
      <w:r>
        <w:rPr>
          <w:rFonts w:hint="cs"/>
          <w:rtl/>
        </w:rPr>
        <w:t xml:space="preserve"> </w:t>
      </w:r>
      <w:r w:rsidRPr="00277835">
        <w:rPr>
          <w:rStyle w:val="af2"/>
          <w:rFonts w:eastAsia="Guttman Hodes" w:hint="cs"/>
          <w:rtl/>
        </w:rPr>
        <w:t>(זורע סק"ח אות ד')</w:t>
      </w:r>
      <w:r w:rsidRPr="00350A80">
        <w:rPr>
          <w:rFonts w:hint="cs"/>
          <w:vanish/>
          <w:rtl/>
        </w:rPr>
        <w:t>=</w:t>
      </w:r>
      <w:r>
        <w:rPr>
          <w:rFonts w:hint="cs"/>
          <w:rtl/>
        </w:rPr>
        <w:t xml:space="preserve"> דכיון דהתיר </w:t>
      </w:r>
      <w:r w:rsidRPr="00E87CC9">
        <w:rPr>
          <w:rStyle w:val="aff4"/>
          <w:rFonts w:hint="cs"/>
          <w:vanish/>
          <w:rtl/>
        </w:rPr>
        <w:t>-</w:t>
      </w:r>
      <w:r w:rsidRPr="003B4E24">
        <w:rPr>
          <w:rStyle w:val="aff4"/>
          <w:rFonts w:hint="cs"/>
          <w:rtl/>
        </w:rPr>
        <w:t>הגר"ז</w:t>
      </w:r>
      <w:r w:rsidRPr="00E87CC9">
        <w:rPr>
          <w:rStyle w:val="aff4"/>
          <w:rFonts w:hint="cs"/>
          <w:vanish/>
          <w:rtl/>
        </w:rPr>
        <w:t>-</w:t>
      </w:r>
      <w:r>
        <w:rPr>
          <w:rFonts w:hint="cs"/>
          <w:rtl/>
        </w:rPr>
        <w:t xml:space="preserve"> במקום שיש ספק אם תאכל הבהמה א"כ, מוכח דס"ל </w:t>
      </w:r>
      <w:r w:rsidRPr="00E87CC9">
        <w:rPr>
          <w:rStyle w:val="aff4"/>
          <w:rFonts w:hint="cs"/>
          <w:vanish/>
          <w:rtl/>
        </w:rPr>
        <w:t>-</w:t>
      </w:r>
      <w:r w:rsidRPr="003B4E24">
        <w:rPr>
          <w:rStyle w:val="aff4"/>
          <w:rFonts w:hint="cs"/>
          <w:rtl/>
        </w:rPr>
        <w:t>להגר"ז</w:t>
      </w:r>
      <w:r w:rsidRPr="00E87CC9">
        <w:rPr>
          <w:rStyle w:val="aff4"/>
          <w:rFonts w:hint="cs"/>
          <w:vanish/>
          <w:rtl/>
        </w:rPr>
        <w:t>-</w:t>
      </w:r>
      <w:r>
        <w:rPr>
          <w:rFonts w:hint="cs"/>
          <w:rtl/>
        </w:rPr>
        <w:t xml:space="preserve"> דהאיסור הוא רק בהשרשה ולא בנתינת הזרעים, ועי' במ"ש </w:t>
      </w:r>
      <w:r w:rsidRPr="001E13AC">
        <w:rPr>
          <w:rStyle w:val="aff4"/>
          <w:rFonts w:hint="cs"/>
          <w:vanish/>
          <w:rtl/>
        </w:rPr>
        <w:t>-</w:t>
      </w:r>
      <w:r w:rsidRPr="001F3123">
        <w:rPr>
          <w:rStyle w:val="aff4"/>
          <w:rFonts w:hint="cs"/>
          <w:rtl/>
        </w:rPr>
        <w:t>האגלי טל</w:t>
      </w:r>
      <w:r w:rsidRPr="001E13AC">
        <w:rPr>
          <w:rStyle w:val="aff4"/>
          <w:rFonts w:hint="cs"/>
          <w:vanish/>
          <w:rtl/>
        </w:rPr>
        <w:t>-</w:t>
      </w:r>
      <w:r>
        <w:rPr>
          <w:rFonts w:hint="cs"/>
          <w:rtl/>
        </w:rPr>
        <w:t xml:space="preserve"> </w:t>
      </w:r>
      <w:r w:rsidRPr="00277835">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Ref133859083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נו)</w:t>
      </w:r>
      <w:r>
        <w:rPr>
          <w:rStyle w:val="af2"/>
          <w:rFonts w:eastAsia="Guttman Hodes"/>
          <w:rtl/>
        </w:rPr>
        <w:fldChar w:fldCharType="end"/>
      </w:r>
      <w:r>
        <w:rPr>
          <w:rFonts w:hint="cs"/>
          <w:rtl/>
        </w:rPr>
        <w:t xml:space="preserve"> בדעת </w:t>
      </w:r>
      <w:r w:rsidRPr="001E13AC">
        <w:rPr>
          <w:rStyle w:val="aff4"/>
          <w:rFonts w:hint="cs"/>
          <w:vanish/>
          <w:rtl/>
        </w:rPr>
        <w:t>-</w:t>
      </w:r>
      <w:r w:rsidRPr="001F3123">
        <w:rPr>
          <w:rStyle w:val="aff4"/>
          <w:rFonts w:hint="cs"/>
          <w:rtl/>
        </w:rPr>
        <w:t>היראים</w:t>
      </w:r>
      <w:r w:rsidRPr="001E13AC">
        <w:rPr>
          <w:rStyle w:val="aff4"/>
          <w:rFonts w:hint="cs"/>
          <w:vanish/>
          <w:rtl/>
        </w:rPr>
        <w:t>-</w:t>
      </w:r>
      <w:r>
        <w:rPr>
          <w:rFonts w:hint="cs"/>
          <w:rtl/>
        </w:rPr>
        <w:t>.</w:t>
      </w:r>
      <w:bookmarkEnd w:id="721"/>
    </w:p>
    <w:p w14:paraId="3C7C0276" w14:textId="77777777" w:rsidR="001C69A8" w:rsidRPr="00747170" w:rsidRDefault="001C69A8" w:rsidP="00747170">
      <w:pPr>
        <w:pStyle w:val="a2"/>
      </w:pPr>
      <w:r w:rsidRPr="00747170">
        <w:t>השורה חטים ושעורים וכיוצא בהם במים כדי שיצמחו הרי זה תולדת זורע וחייב בכל שהוא והוא ששורה זמן ארוך אבל מותר ליתן שעורים למים להאכיל לבהמות לאלתר )ואף אם ישאר במים מאכילתם אין בכך כלום לפי שבשעה שנתנם למים לאו פסיק רישיה הוא שיצמיחו שאפשר שהבהמה תאכל את כולם(:</w:t>
      </w:r>
    </w:p>
    <w:p w14:paraId="7C7736F0" w14:textId="5864FA45" w:rsidR="001C69A8" w:rsidRDefault="001C69A8" w:rsidP="001C69A8">
      <w:pPr>
        <w:pStyle w:val="afffff7"/>
        <w:rPr>
          <w:rtl/>
        </w:rPr>
      </w:pPr>
      <w:bookmarkStart w:id="722" w:name="_Toc134550199"/>
      <w:bookmarkStart w:id="723" w:name="_Toc163505491"/>
      <w:r>
        <w:rPr>
          <w:rtl/>
        </w:rPr>
        <w:t>אגלי טל באורים מלאכת זורע</w:t>
      </w:r>
      <w:r>
        <w:rPr>
          <w:rFonts w:hint="cs"/>
          <w:rtl/>
        </w:rPr>
        <w:t xml:space="preserve"> סק"ח אות ד</w:t>
      </w:r>
      <w:bookmarkEnd w:id="722"/>
      <w:bookmarkEnd w:id="723"/>
    </w:p>
    <w:p w14:paraId="04839FBC" w14:textId="77777777" w:rsidR="001C69A8" w:rsidRPr="003D4790" w:rsidRDefault="001C69A8" w:rsidP="00747170">
      <w:pPr>
        <w:pStyle w:val="afffff5"/>
        <w:rPr>
          <w:rtl/>
        </w:rPr>
      </w:pPr>
      <w:r w:rsidRPr="003D4790">
        <w:rPr>
          <w:rStyle w:val="afff7"/>
          <w:rtl/>
        </w:rPr>
        <w:t>(ד) וכ"כ יש לומר בהא דכתב הספר יראים ויובא אי"ה לפנינו ]ס"ק כ"ה</w:t>
      </w:r>
      <w:r>
        <w:rPr>
          <w:rStyle w:val="afff7"/>
          <w:rtl/>
        </w:rPr>
        <w:t>[</w:t>
      </w:r>
      <w:r w:rsidRPr="003D4790">
        <w:rPr>
          <w:rStyle w:val="afff7"/>
          <w:rtl/>
        </w:rPr>
        <w:t xml:space="preserve"> בנותן לפני התרנגולים לאכול לא יתן הרבה רק בכדי שיוכלו לאכול בשני ימים קודם שיצמחו</w:t>
      </w:r>
      <w:r w:rsidRPr="003D4790">
        <w:rPr>
          <w:rStyle w:val="afff7"/>
          <w:rFonts w:hint="cs"/>
          <w:rtl/>
        </w:rPr>
        <w:t xml:space="preserve">. </w:t>
      </w:r>
      <w:r w:rsidRPr="003D4790">
        <w:rPr>
          <w:rStyle w:val="afff7"/>
          <w:rtl/>
        </w:rPr>
        <w:t xml:space="preserve">דאף דחיוב זורע חל תיכף מ"מ כיון שאינו עומד לצמוח מחמת שיאכלוהו התרנגולים לא הוי זורע. </w:t>
      </w:r>
      <w:r w:rsidRPr="003D4790">
        <w:rPr>
          <w:rtl/>
        </w:rPr>
        <w:t>אולם לפי"ז נראה דאם אינו ברור שיאכלוהו התרנגולים אף דאפשר שיאכלוהו התרנגולים ולא הוי פסיק רישי' לענין צמיחה מ"מ כיון דאפשר שיצמח חשוב זורע והוי פסיק רישי' לענין זריעה ואסור.</w:t>
      </w:r>
      <w:r w:rsidRPr="003D4790">
        <w:rPr>
          <w:rFonts w:hint="cs"/>
          <w:rtl/>
        </w:rPr>
        <w:t xml:space="preserve"> </w:t>
      </w:r>
      <w:r w:rsidRPr="003D4790">
        <w:rPr>
          <w:rtl/>
        </w:rPr>
        <w:t xml:space="preserve">ובש"ע מהרב </w:t>
      </w:r>
      <w:r>
        <w:rPr>
          <w:rtl/>
        </w:rPr>
        <w:t>[</w:t>
      </w:r>
      <w:r w:rsidRPr="003D4790">
        <w:rPr>
          <w:rtl/>
        </w:rPr>
        <w:t>של"ו סעי' י"ז] ראיתי שמתיר אפי' באופן זה ומוכח לכאורה דאין איסור אלא בצמיחה ממש:</w:t>
      </w:r>
    </w:p>
    <w:p w14:paraId="48939D3A" w14:textId="43A4E167" w:rsidR="001C69A8" w:rsidRPr="003D4790" w:rsidRDefault="001C69A8" w:rsidP="001C69A8">
      <w:pPr>
        <w:pStyle w:val="1"/>
        <w:rPr>
          <w:rtl/>
        </w:rPr>
      </w:pPr>
      <w:bookmarkStart w:id="724" w:name="_Toc134347663"/>
      <w:r w:rsidRPr="003D4790">
        <w:rPr>
          <w:rFonts w:hint="cs"/>
          <w:rtl/>
        </w:rPr>
        <w:t>משמעות המשנ"ב דחיוב זורע רק בהשרשה וחייב בזה למפרע</w:t>
      </w:r>
      <w:bookmarkEnd w:id="724"/>
    </w:p>
    <w:p w14:paraId="6203A12B" w14:textId="77777777" w:rsidR="001C69A8" w:rsidRDefault="001C69A8" w:rsidP="001C69A8">
      <w:pPr>
        <w:pStyle w:val="afffff7"/>
        <w:rPr>
          <w:rtl/>
        </w:rPr>
      </w:pPr>
      <w:bookmarkStart w:id="725" w:name="_Toc134550200"/>
      <w:bookmarkStart w:id="726" w:name="_Toc163505492"/>
      <w:r>
        <w:rPr>
          <w:rtl/>
        </w:rPr>
        <w:t>משנה ברורה סימן שלו ס"ק לג</w:t>
      </w:r>
      <w:bookmarkEnd w:id="725"/>
      <w:bookmarkEnd w:id="726"/>
    </w:p>
    <w:p w14:paraId="404AEC6D" w14:textId="77777777" w:rsidR="001C69A8" w:rsidRPr="004504F2" w:rsidRDefault="001C69A8" w:rsidP="001C69A8">
      <w:pPr>
        <w:pStyle w:val="afffff7"/>
        <w:rPr>
          <w:rtl/>
        </w:rPr>
      </w:pPr>
      <w:bookmarkStart w:id="727" w:name="_Toc134550201"/>
      <w:bookmarkStart w:id="728" w:name="_Toc133841595"/>
      <w:bookmarkStart w:id="729" w:name="_Toc134088943"/>
      <w:bookmarkStart w:id="730" w:name="_Toc163505493"/>
      <w:r w:rsidRPr="004504F2">
        <w:rPr>
          <w:rtl/>
        </w:rPr>
        <w:t xml:space="preserve">יראים סימן רעד </w:t>
      </w:r>
      <w:r>
        <w:rPr>
          <w:rFonts w:hint="cs"/>
          <w:rtl/>
        </w:rPr>
        <w:t>ד"ה הזורע</w:t>
      </w:r>
      <w:bookmarkEnd w:id="727"/>
      <w:bookmarkEnd w:id="730"/>
    </w:p>
    <w:p w14:paraId="155CEA77" w14:textId="77777777" w:rsidR="001C69A8" w:rsidRDefault="001C69A8" w:rsidP="001C69A8">
      <w:pPr>
        <w:pStyle w:val="afffff7"/>
        <w:rPr>
          <w:rtl/>
        </w:rPr>
      </w:pPr>
      <w:bookmarkStart w:id="731" w:name="_Toc134550202"/>
      <w:bookmarkStart w:id="732" w:name="_Toc163505494"/>
      <w:r>
        <w:rPr>
          <w:rtl/>
        </w:rPr>
        <w:t>הגהות מיימוניות שבת ח' ב'</w:t>
      </w:r>
      <w:bookmarkEnd w:id="731"/>
      <w:bookmarkEnd w:id="732"/>
    </w:p>
    <w:p w14:paraId="289B9B0B" w14:textId="77777777" w:rsidR="001C69A8" w:rsidRDefault="001C69A8" w:rsidP="001C69A8">
      <w:pPr>
        <w:pStyle w:val="afffff7"/>
        <w:rPr>
          <w:rtl/>
        </w:rPr>
      </w:pPr>
      <w:bookmarkStart w:id="733" w:name="_Toc134550203"/>
      <w:bookmarkStart w:id="734" w:name="_Toc163505495"/>
      <w:r>
        <w:rPr>
          <w:rtl/>
        </w:rPr>
        <w:t>שו"ע או"ח סי' של"ו ד'</w:t>
      </w:r>
      <w:bookmarkEnd w:id="733"/>
      <w:bookmarkEnd w:id="734"/>
    </w:p>
    <w:p w14:paraId="7497B73B" w14:textId="77777777" w:rsidR="001C69A8" w:rsidRPr="002B43DC" w:rsidRDefault="001C69A8" w:rsidP="001C69A8">
      <w:pPr>
        <w:pStyle w:val="a7"/>
        <w:rPr>
          <w:rtl/>
        </w:rPr>
      </w:pPr>
      <w:bookmarkStart w:id="735" w:name="_Toc134347664"/>
      <w:r>
        <w:rPr>
          <w:rFonts w:hint="cs"/>
          <w:rtl/>
        </w:rPr>
        <w:t>בי' המשנ"ב דביום או יומיים הזרעים לא יצמחו אבל בג' ימים צומחים וחייב למפרע בזורע</w:t>
      </w:r>
      <w:bookmarkEnd w:id="728"/>
      <w:bookmarkEnd w:id="729"/>
      <w:bookmarkEnd w:id="735"/>
      <w:r>
        <w:rPr>
          <w:rFonts w:hint="cs"/>
          <w:rtl/>
        </w:rPr>
        <w:t xml:space="preserve"> </w:t>
      </w:r>
    </w:p>
    <w:p w14:paraId="7B5D4226" w14:textId="4CB8DABB" w:rsidR="001C69A8" w:rsidRDefault="001C69A8" w:rsidP="00BC7DC8">
      <w:pPr>
        <w:pStyle w:val="a3"/>
        <w:rPr>
          <w:rStyle w:val="af"/>
          <w:sz w:val="18"/>
          <w:szCs w:val="18"/>
          <w:rtl/>
        </w:rPr>
      </w:pPr>
      <w:bookmarkStart w:id="736" w:name="_Ref134106758"/>
      <w:r>
        <w:rPr>
          <w:rFonts w:hint="cs"/>
          <w:rtl/>
        </w:rPr>
        <w:t xml:space="preserve">הביאו </w:t>
      </w:r>
      <w:r w:rsidRPr="00C444C9">
        <w:rPr>
          <w:rStyle w:val="aff4"/>
          <w:rFonts w:hint="cs"/>
          <w:vanish/>
          <w:rtl/>
        </w:rPr>
        <w:t>-</w:t>
      </w:r>
      <w:r w:rsidRPr="004F32D2">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Ref134106758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מז)</w:t>
      </w:r>
      <w:r>
        <w:rPr>
          <w:rStyle w:val="aff4"/>
          <w:vanish/>
          <w:rtl/>
        </w:rPr>
        <w:fldChar w:fldCharType="end"/>
      </w:r>
      <w:r>
        <w:rPr>
          <w:rStyle w:val="aff4"/>
          <w:rFonts w:hint="cs"/>
          <w:vanish/>
          <w:rtl/>
        </w:rPr>
        <w:t xml:space="preserve"> &gt;</w:t>
      </w:r>
      <w:r>
        <w:rPr>
          <w:rStyle w:val="aff4"/>
          <w:rFonts w:hint="cs"/>
          <w:rtl/>
        </w:rPr>
        <w:t>הגהות מיימוניות</w:t>
      </w:r>
      <w:r w:rsidRPr="009C500C">
        <w:rPr>
          <w:rStyle w:val="aff4"/>
          <w:rFonts w:hint="cs"/>
          <w:vanish/>
          <w:rtl/>
        </w:rPr>
        <w:t>-</w:t>
      </w:r>
      <w:r>
        <w:rPr>
          <w:rStyle w:val="aff4"/>
          <w:rFonts w:hint="cs"/>
          <w:rtl/>
        </w:rPr>
        <w:t xml:space="preserve"> </w:t>
      </w:r>
      <w:r w:rsidRPr="00277835">
        <w:rPr>
          <w:rStyle w:val="af2"/>
          <w:rFonts w:eastAsia="Guttman Hodes" w:hint="cs"/>
          <w:rtl/>
        </w:rPr>
        <w:t>(שבת פ"ח ה"ב)</w:t>
      </w:r>
      <w:r w:rsidRPr="009C500C">
        <w:rPr>
          <w:rStyle w:val="aff4"/>
          <w:rFonts w:hint="cs"/>
          <w:vanish/>
          <w:rtl/>
        </w:rPr>
        <w:t>=</w:t>
      </w:r>
      <w:r>
        <w:rPr>
          <w:rStyle w:val="aff4"/>
          <w:rFonts w:hint="cs"/>
          <w:rtl/>
        </w:rPr>
        <w:t xml:space="preserve"> וה</w:t>
      </w:r>
      <w:r w:rsidRPr="009C500C">
        <w:rPr>
          <w:rStyle w:val="aff4"/>
          <w:rFonts w:hint="cs"/>
          <w:vanish/>
          <w:rtl/>
        </w:rPr>
        <w:t>&lt; &gt;</w:t>
      </w:r>
      <w:r w:rsidRPr="004F32D2">
        <w:rPr>
          <w:rStyle w:val="aff4"/>
          <w:rFonts w:hint="cs"/>
          <w:rtl/>
        </w:rPr>
        <w:t>שו"ע</w:t>
      </w:r>
      <w:r w:rsidRPr="00C444C9">
        <w:rPr>
          <w:rStyle w:val="aff4"/>
          <w:rFonts w:hint="cs"/>
          <w:vanish/>
          <w:rtl/>
        </w:rPr>
        <w:t>-</w:t>
      </w:r>
      <w:r>
        <w:rPr>
          <w:rFonts w:hint="cs"/>
          <w:rtl/>
        </w:rPr>
        <w:t xml:space="preserve"> </w:t>
      </w:r>
      <w:r w:rsidRPr="00277835">
        <w:rPr>
          <w:rStyle w:val="af2"/>
          <w:rFonts w:eastAsia="Guttman Hodes" w:hint="cs"/>
          <w:rtl/>
        </w:rPr>
        <w:t>(סי' רל"ו ד')</w:t>
      </w:r>
      <w:r w:rsidRPr="00350A80">
        <w:rPr>
          <w:rFonts w:hint="cs"/>
          <w:vanish/>
          <w:rtl/>
        </w:rPr>
        <w:t>=</w:t>
      </w:r>
      <w:r>
        <w:rPr>
          <w:rFonts w:hint="cs"/>
          <w:rtl/>
        </w:rPr>
        <w:t xml:space="preserve"> את דברי </w:t>
      </w:r>
      <w:r w:rsidRPr="00C444C9">
        <w:rPr>
          <w:rStyle w:val="aff4"/>
          <w:rFonts w:hint="cs"/>
          <w:vanish/>
          <w:rtl/>
        </w:rPr>
        <w:t>-</w:t>
      </w:r>
      <w:r w:rsidRPr="004F32D2">
        <w:rPr>
          <w:rStyle w:val="aff4"/>
          <w:rFonts w:hint="cs"/>
          <w:rtl/>
        </w:rPr>
        <w:t>ה</w:t>
      </w:r>
      <w:r w:rsidRPr="00C444C9">
        <w:rPr>
          <w:rStyle w:val="aff4"/>
          <w:rFonts w:hint="cs"/>
          <w:vanish/>
          <w:rtl/>
        </w:rPr>
        <w:t>&lt; &gt;</w:t>
      </w:r>
      <w:r w:rsidRPr="004F32D2">
        <w:rPr>
          <w:rStyle w:val="aff4"/>
          <w:rFonts w:hint="cs"/>
          <w:rtl/>
        </w:rPr>
        <w:t>יראים</w:t>
      </w:r>
      <w:r w:rsidRPr="00C444C9">
        <w:rPr>
          <w:rStyle w:val="aff4"/>
          <w:rFonts w:hint="cs"/>
          <w:vanish/>
          <w:rtl/>
        </w:rPr>
        <w:t>-</w:t>
      </w:r>
      <w:r>
        <w:rPr>
          <w:rFonts w:hint="cs"/>
          <w:rtl/>
        </w:rPr>
        <w:t xml:space="preserve"> </w:t>
      </w:r>
      <w:r w:rsidRPr="00277835">
        <w:rPr>
          <w:rStyle w:val="af2"/>
          <w:rFonts w:eastAsia="Guttman Hodes" w:hint="cs"/>
          <w:rtl/>
        </w:rPr>
        <w:t>(סי' רע"ד ד"ה הזורע)</w:t>
      </w:r>
      <w:r w:rsidRPr="00350A80">
        <w:rPr>
          <w:rFonts w:hint="cs"/>
          <w:vanish/>
          <w:rtl/>
        </w:rPr>
        <w:t>=</w:t>
      </w:r>
      <w:r>
        <w:rPr>
          <w:rFonts w:hint="cs"/>
          <w:rtl/>
        </w:rPr>
        <w:t xml:space="preserve"> דכתב דכשאדם זורק זרעים לתרנגולים בשבת, אם הוא בחצר במקום שיורדים גשמים וסופן לצמוח, צריך להזהר להשליך רק זרעים שיאכלום התרנגולים ביום או יומיים, וביאר </w:t>
      </w:r>
      <w:r w:rsidRPr="00171949">
        <w:rPr>
          <w:rStyle w:val="aff4"/>
          <w:rFonts w:hint="cs"/>
          <w:vanish/>
          <w:rtl/>
        </w:rPr>
        <w:t>-</w:t>
      </w:r>
      <w:r w:rsidRPr="004F32D2">
        <w:rPr>
          <w:rStyle w:val="aff4"/>
          <w:rFonts w:hint="cs"/>
          <w:rtl/>
        </w:rPr>
        <w:t>ה</w:t>
      </w:r>
      <w:r>
        <w:rPr>
          <w:rStyle w:val="aff4"/>
          <w:rFonts w:hint="cs"/>
          <w:vanish/>
          <w:rtl/>
        </w:rPr>
        <w:t>&lt; &gt;</w:t>
      </w:r>
      <w:r w:rsidRPr="004F32D2">
        <w:rPr>
          <w:rStyle w:val="aff4"/>
          <w:rFonts w:hint="cs"/>
          <w:rtl/>
        </w:rPr>
        <w:t>משנה ברורה</w:t>
      </w:r>
      <w:r w:rsidRPr="00171949">
        <w:rPr>
          <w:rStyle w:val="aff4"/>
          <w:rFonts w:hint="cs"/>
          <w:vanish/>
          <w:rtl/>
        </w:rPr>
        <w:t>-</w:t>
      </w:r>
      <w:r>
        <w:rPr>
          <w:rFonts w:hint="cs"/>
          <w:rtl/>
        </w:rPr>
        <w:t xml:space="preserve"> </w:t>
      </w:r>
      <w:r w:rsidRPr="00277835">
        <w:rPr>
          <w:rStyle w:val="af2"/>
          <w:rFonts w:eastAsia="Guttman Hodes" w:hint="cs"/>
          <w:rtl/>
        </w:rPr>
        <w:t>(סי' של"ו סקל"ג)</w:t>
      </w:r>
      <w:r w:rsidRPr="00171949">
        <w:rPr>
          <w:rFonts w:hint="cs"/>
          <w:vanish/>
          <w:rtl/>
        </w:rPr>
        <w:t>=</w:t>
      </w:r>
      <w:r>
        <w:rPr>
          <w:rFonts w:hint="cs"/>
          <w:rtl/>
        </w:rPr>
        <w:t xml:space="preserve"> דביום או יומיים לא יצמחו הזרעים אבל בג' ימים ויותר הזרעים יצמחו, וכשיצמחו הזרעים יתחייב למפרע משום זורע. </w:t>
      </w:r>
      <w:r>
        <w:rPr>
          <w:rStyle w:val="af"/>
          <w:rFonts w:hint="cs"/>
          <w:rtl/>
        </w:rPr>
        <w:t>[</w:t>
      </w:r>
      <w:r w:rsidRPr="00277835">
        <w:rPr>
          <w:rStyle w:val="af"/>
          <w:rFonts w:hint="cs"/>
          <w:rtl/>
        </w:rPr>
        <w:t xml:space="preserve">ומשמע קצת דס"ל כדעת </w:t>
      </w:r>
      <w:r w:rsidRPr="001E13AC">
        <w:rPr>
          <w:rStyle w:val="aff9"/>
          <w:rFonts w:hint="cs"/>
          <w:vanish/>
          <w:rtl/>
        </w:rPr>
        <w:t>-</w:t>
      </w:r>
      <w:r w:rsidRPr="00277835">
        <w:rPr>
          <w:rStyle w:val="aff9"/>
          <w:rFonts w:hint="cs"/>
          <w:rtl/>
        </w:rPr>
        <w:t>הרש"ש</w:t>
      </w:r>
      <w:r w:rsidRPr="001E13AC">
        <w:rPr>
          <w:rStyle w:val="aff9"/>
          <w:rFonts w:hint="cs"/>
          <w:vanish/>
          <w:rtl/>
        </w:rPr>
        <w:t>-</w:t>
      </w:r>
      <w:r w:rsidRPr="00277835">
        <w:rPr>
          <w:rStyle w:val="af"/>
          <w:rFonts w:hint="cs"/>
          <w:rtl/>
        </w:rPr>
        <w:t xml:space="preserve"> </w:t>
      </w:r>
      <w:r w:rsidRPr="00277835">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Ref133266181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מד)</w:t>
      </w:r>
      <w:r>
        <w:rPr>
          <w:rStyle w:val="aff0"/>
          <w:rtl/>
        </w:rPr>
        <w:fldChar w:fldCharType="end"/>
      </w:r>
      <w:r w:rsidRPr="00277835">
        <w:rPr>
          <w:rStyle w:val="af"/>
          <w:rFonts w:hint="cs"/>
          <w:rtl/>
        </w:rPr>
        <w:t xml:space="preserve"> דהחיוב בזורע הוא על ההשרשה, ולכן כשהשרישו יתברר למפרע דיתחייב, ועי' במ"ש </w:t>
      </w:r>
      <w:r w:rsidRPr="001E13AC">
        <w:rPr>
          <w:rStyle w:val="aff9"/>
          <w:rFonts w:hint="cs"/>
          <w:vanish/>
          <w:rtl/>
        </w:rPr>
        <w:t>-</w:t>
      </w:r>
      <w:r w:rsidRPr="00277835">
        <w:rPr>
          <w:rStyle w:val="aff9"/>
          <w:rFonts w:hint="cs"/>
          <w:rtl/>
        </w:rPr>
        <w:t>האגלי טל</w:t>
      </w:r>
      <w:r w:rsidRPr="001E13AC">
        <w:rPr>
          <w:rStyle w:val="aff9"/>
          <w:rFonts w:hint="cs"/>
          <w:vanish/>
          <w:rtl/>
        </w:rPr>
        <w:t>-</w:t>
      </w:r>
      <w:r w:rsidRPr="00277835">
        <w:rPr>
          <w:rStyle w:val="af"/>
          <w:rFonts w:hint="cs"/>
          <w:rtl/>
        </w:rPr>
        <w:t xml:space="preserve"> </w:t>
      </w:r>
      <w:r w:rsidRPr="00277835">
        <w:rPr>
          <w:rStyle w:val="aff0"/>
          <w:rFonts w:hint="cs"/>
          <w:rtl/>
        </w:rPr>
        <w:t xml:space="preserve">(עי' אות </w:t>
      </w:r>
      <w:r w:rsidRPr="00277835">
        <w:rPr>
          <w:rStyle w:val="aff0"/>
          <w:rtl/>
        </w:rPr>
        <w:fldChar w:fldCharType="begin"/>
      </w:r>
      <w:r w:rsidRPr="00277835">
        <w:rPr>
          <w:rStyle w:val="aff0"/>
          <w:rtl/>
        </w:rPr>
        <w:instrText xml:space="preserve"> </w:instrText>
      </w:r>
      <w:r w:rsidRPr="00277835">
        <w:rPr>
          <w:rStyle w:val="aff0"/>
          <w:rFonts w:hint="cs"/>
        </w:rPr>
        <w:instrText>REF</w:instrText>
      </w:r>
      <w:r w:rsidRPr="00277835">
        <w:rPr>
          <w:rStyle w:val="aff0"/>
          <w:rFonts w:hint="cs"/>
          <w:rtl/>
        </w:rPr>
        <w:instrText xml:space="preserve"> _</w:instrText>
      </w:r>
      <w:r w:rsidRPr="00277835">
        <w:rPr>
          <w:rStyle w:val="aff0"/>
          <w:rFonts w:hint="cs"/>
        </w:rPr>
        <w:instrText>Ref133859083 \r \h</w:instrText>
      </w:r>
      <w:r w:rsidRPr="00277835">
        <w:rPr>
          <w:rStyle w:val="aff0"/>
          <w:rtl/>
        </w:rPr>
        <w:instrText xml:space="preserve"> </w:instrText>
      </w:r>
      <w:r w:rsidRPr="00277835">
        <w:rPr>
          <w:rStyle w:val="aff0"/>
          <w:rtl/>
        </w:rPr>
      </w:r>
      <w:r w:rsidRPr="00277835">
        <w:rPr>
          <w:rStyle w:val="aff0"/>
          <w:rtl/>
        </w:rPr>
        <w:fldChar w:fldCharType="separate"/>
      </w:r>
      <w:r w:rsidR="00D82181">
        <w:rPr>
          <w:rStyle w:val="aff0"/>
          <w:cs/>
        </w:rPr>
        <w:t>‎</w:t>
      </w:r>
      <w:r w:rsidR="00D82181">
        <w:rPr>
          <w:rStyle w:val="aff0"/>
          <w:rtl/>
        </w:rPr>
        <w:t>נו)</w:t>
      </w:r>
      <w:r w:rsidRPr="00277835">
        <w:rPr>
          <w:rStyle w:val="aff0"/>
          <w:rtl/>
        </w:rPr>
        <w:fldChar w:fldCharType="end"/>
      </w:r>
      <w:r w:rsidRPr="00277835">
        <w:rPr>
          <w:rStyle w:val="af"/>
          <w:rFonts w:hint="cs"/>
          <w:rtl/>
        </w:rPr>
        <w:t xml:space="preserve"> על דברי </w:t>
      </w:r>
      <w:r w:rsidRPr="001E13AC">
        <w:rPr>
          <w:rStyle w:val="aff9"/>
          <w:rFonts w:hint="cs"/>
          <w:vanish/>
          <w:rtl/>
        </w:rPr>
        <w:t>-</w:t>
      </w:r>
      <w:r w:rsidRPr="00277835">
        <w:rPr>
          <w:rStyle w:val="aff9"/>
          <w:rFonts w:hint="cs"/>
          <w:rtl/>
        </w:rPr>
        <w:t>היראים</w:t>
      </w:r>
      <w:r w:rsidRPr="001E13AC">
        <w:rPr>
          <w:rStyle w:val="aff9"/>
          <w:rFonts w:hint="cs"/>
          <w:vanish/>
          <w:rtl/>
        </w:rPr>
        <w:t>-</w:t>
      </w:r>
      <w:r w:rsidRPr="00277835">
        <w:rPr>
          <w:rStyle w:val="af"/>
          <w:rFonts w:hint="cs"/>
          <w:rtl/>
        </w:rPr>
        <w:t>]</w:t>
      </w:r>
      <w:r w:rsidRPr="00345748">
        <w:rPr>
          <w:rStyle w:val="af"/>
          <w:rFonts w:hint="cs"/>
          <w:rtl/>
        </w:rPr>
        <w:t>.</w:t>
      </w:r>
      <w:bookmarkEnd w:id="736"/>
    </w:p>
    <w:p w14:paraId="43BFA56A" w14:textId="77777777" w:rsidR="001C69A8" w:rsidRPr="00B25C3F" w:rsidRDefault="001C69A8" w:rsidP="001C69A8">
      <w:pPr>
        <w:pStyle w:val="a7"/>
        <w:rPr>
          <w:rtl/>
        </w:rPr>
      </w:pPr>
    </w:p>
    <w:p w14:paraId="2A39A5DB" w14:textId="77777777" w:rsidR="001C69A8" w:rsidRPr="00B25C3F" w:rsidRDefault="001C69A8" w:rsidP="001C69A8">
      <w:pPr>
        <w:pStyle w:val="a7"/>
      </w:pPr>
    </w:p>
    <w:p w14:paraId="009C8DF1" w14:textId="77777777" w:rsidR="001C69A8" w:rsidRPr="00747170" w:rsidRDefault="001C69A8" w:rsidP="00747170">
      <w:pPr>
        <w:pStyle w:val="a2"/>
      </w:pPr>
      <w:r w:rsidRPr="00747170">
        <w:t>או ליומים - דבזמן מועט כזה לא יצמחו וכ"ש דלא ישרשו בקרקע משא"כ לג' ימים ויותר יצמחו הזרעים ויתחייב למפרע משום זורע גם לחד דעה ביו"ד סימן רצ"ג כל שיעור השרשה אינו אלא ג' ימים [עי"ש בפ"ת[ ודע דמיירי דהשליך את הזרעים בפעם אחת דאל"ה אסור להכין לימי החול [תוס' שבת[:</w:t>
      </w:r>
    </w:p>
    <w:p w14:paraId="10FDFFB1" w14:textId="77777777" w:rsidR="001C69A8" w:rsidRPr="0000488C" w:rsidRDefault="001C69A8" w:rsidP="00747170">
      <w:pPr>
        <w:pStyle w:val="afffff5"/>
        <w:rPr>
          <w:rtl/>
        </w:rPr>
      </w:pPr>
      <w:r w:rsidRPr="0000488C">
        <w:rPr>
          <w:rtl/>
        </w:rPr>
        <w:t>ומזקנים אתבונן שיזהר האדם שלא להשליך זרעים בחצר במקום ירידת גשמים שסופן לצמוח ואם משליך לתרנגולים יזהר שלא ישליך אלא שיעור אכילת תרנגולים לאכול ביום או ביומיים ואם מקום דריסת רגלי בני אדם שאין סופן לצמוח מותר ואין כאן משום זורע.</w:t>
      </w:r>
    </w:p>
    <w:p w14:paraId="7B46D20F" w14:textId="77777777" w:rsidR="001C69A8" w:rsidRPr="0000488C" w:rsidRDefault="001C69A8" w:rsidP="00747170">
      <w:pPr>
        <w:pStyle w:val="afffff5"/>
        <w:rPr>
          <w:rtl/>
        </w:rPr>
      </w:pPr>
      <w:r>
        <w:rPr>
          <w:rtl/>
        </w:rPr>
        <w:t>[</w:t>
      </w:r>
      <w:r w:rsidRPr="0000488C">
        <w:rPr>
          <w:rtl/>
        </w:rPr>
        <w:t xml:space="preserve">ב] וכ"כ רא"ם וז"ל משקה מים לזרעים וכו' עד גם תולדה דרבנן. לא מצאתי מפורש בתלמוד ומזקנים נתבונן שיזהר אדם שלא להשליך זרעים בחצר במקום ירידת גשמים שסופן לצמוח ואם משליך לתרנגולת יזהר שלא ישליך אלא שיעור אכילת התרנגולים בו ביום או יומים ואם מקום דריסת רגלי בני אדם הוא שאין סופן לצמוח מותר ואין בו משום זורע עכ"ל בסי' רצ"ז: </w:t>
      </w:r>
    </w:p>
    <w:p w14:paraId="66F58DF5" w14:textId="77777777" w:rsidR="001C69A8" w:rsidRPr="0000488C" w:rsidRDefault="001C69A8" w:rsidP="00747170">
      <w:pPr>
        <w:pStyle w:val="afffff5"/>
        <w:rPr>
          <w:rtl/>
        </w:rPr>
      </w:pPr>
      <w:r w:rsidRPr="0000488C">
        <w:rPr>
          <w:rtl/>
        </w:rPr>
        <w:t>יש ליזהר מלהשליך זרעים במקום ירידת גשמים, שסופן להצמיח; ואם ישליך לתרנגולים, לא ישליך אלא כשיעור שיאכלו בו ביום או ליומים; ואם הוא במקום דריסת רגלי אדם, מותר, שאין סופו לצמוח.</w:t>
      </w:r>
    </w:p>
    <w:p w14:paraId="7553E603" w14:textId="1858DB48" w:rsidR="001C69A8" w:rsidRDefault="001C69A8" w:rsidP="001C69A8">
      <w:pPr>
        <w:pStyle w:val="afffff7"/>
        <w:rPr>
          <w:rtl/>
        </w:rPr>
      </w:pPr>
      <w:bookmarkStart w:id="737" w:name="_Toc134550204"/>
      <w:bookmarkStart w:id="738" w:name="_Toc163505496"/>
      <w:r>
        <w:rPr>
          <w:rtl/>
        </w:rPr>
        <w:t>משנה ברורה סימן של</w:t>
      </w:r>
      <w:r>
        <w:rPr>
          <w:rFonts w:hint="cs"/>
          <w:rtl/>
        </w:rPr>
        <w:t>"</w:t>
      </w:r>
      <w:r>
        <w:rPr>
          <w:rtl/>
        </w:rPr>
        <w:t>ו ס"ק נ</w:t>
      </w:r>
      <w:r>
        <w:rPr>
          <w:rFonts w:hint="cs"/>
          <w:rtl/>
        </w:rPr>
        <w:t xml:space="preserve">', </w:t>
      </w:r>
      <w:r>
        <w:rPr>
          <w:rtl/>
        </w:rPr>
        <w:t>נ</w:t>
      </w:r>
      <w:r>
        <w:rPr>
          <w:rFonts w:hint="cs"/>
          <w:rtl/>
        </w:rPr>
        <w:t>"</w:t>
      </w:r>
      <w:r>
        <w:rPr>
          <w:rtl/>
        </w:rPr>
        <w:t>א</w:t>
      </w:r>
      <w:bookmarkEnd w:id="737"/>
      <w:bookmarkEnd w:id="738"/>
    </w:p>
    <w:p w14:paraId="2EAC0484" w14:textId="77777777" w:rsidR="001C69A8" w:rsidRDefault="001C69A8" w:rsidP="001C69A8">
      <w:pPr>
        <w:pStyle w:val="afffff7"/>
        <w:rPr>
          <w:rtl/>
        </w:rPr>
      </w:pPr>
      <w:bookmarkStart w:id="739" w:name="_Toc134550205"/>
      <w:bookmarkStart w:id="740" w:name="_Toc163505497"/>
      <w:r>
        <w:rPr>
          <w:rtl/>
        </w:rPr>
        <w:t>שער הציון סימן שלו ס"ק מו</w:t>
      </w:r>
      <w:bookmarkEnd w:id="739"/>
      <w:bookmarkEnd w:id="740"/>
    </w:p>
    <w:p w14:paraId="18360682" w14:textId="77777777" w:rsidR="001C69A8" w:rsidRDefault="001C69A8" w:rsidP="001C69A8">
      <w:pPr>
        <w:pStyle w:val="a7"/>
        <w:rPr>
          <w:rtl/>
        </w:rPr>
      </w:pPr>
      <w:bookmarkStart w:id="741" w:name="_Toc134347665"/>
      <w:r>
        <w:rPr>
          <w:rFonts w:hint="cs"/>
          <w:rtl/>
        </w:rPr>
        <w:t>בי' המשנ"ב דאף למג"א השורה בכוונה לחצי יום חייב מיד דיתכן שיצמחו קצת בחצי יום</w:t>
      </w:r>
      <w:bookmarkEnd w:id="741"/>
    </w:p>
    <w:p w14:paraId="6BA478CC" w14:textId="03CED6CF" w:rsidR="001C69A8" w:rsidRDefault="001C69A8" w:rsidP="00BC7DC8">
      <w:pPr>
        <w:pStyle w:val="a3"/>
        <w:rPr>
          <w:rtl/>
        </w:rPr>
      </w:pPr>
      <w:bookmarkStart w:id="742" w:name="_Ref134304752"/>
      <w:r>
        <w:rPr>
          <w:rFonts w:hint="cs"/>
          <w:rtl/>
        </w:rPr>
        <w:lastRenderedPageBreak/>
        <w:t xml:space="preserve">פסק </w:t>
      </w:r>
      <w:r w:rsidRPr="00C444C9">
        <w:rPr>
          <w:rStyle w:val="aff4"/>
          <w:rFonts w:hint="cs"/>
          <w:vanish/>
          <w:rtl/>
        </w:rPr>
        <w:t>-</w:t>
      </w:r>
      <w:bookmarkStart w:id="743" w:name="_Ref134107200"/>
      <w:r w:rsidRPr="004F32D2">
        <w:rPr>
          <w:rStyle w:val="aff4"/>
          <w:rFonts w:hint="cs"/>
          <w:rtl/>
        </w:rPr>
        <w:t>ב</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Ref134107200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מח)</w:t>
      </w:r>
      <w:r>
        <w:rPr>
          <w:rStyle w:val="aff4"/>
          <w:vanish/>
          <w:rtl/>
        </w:rPr>
        <w:fldChar w:fldCharType="end"/>
      </w:r>
      <w:r>
        <w:rPr>
          <w:rStyle w:val="aff4"/>
          <w:rFonts w:hint="cs"/>
          <w:vanish/>
          <w:rtl/>
        </w:rPr>
        <w:t xml:space="preserve"> &gt;</w:t>
      </w:r>
      <w:r w:rsidRPr="004F32D2">
        <w:rPr>
          <w:rStyle w:val="aff4"/>
          <w:rFonts w:hint="cs"/>
          <w:rtl/>
        </w:rPr>
        <w:t>משנה ברורה</w:t>
      </w:r>
      <w:r w:rsidRPr="00C444C9">
        <w:rPr>
          <w:rStyle w:val="aff4"/>
          <w:rFonts w:hint="cs"/>
          <w:vanish/>
          <w:rtl/>
        </w:rPr>
        <w:t>-</w:t>
      </w:r>
      <w:r>
        <w:rPr>
          <w:rFonts w:hint="cs"/>
          <w:rtl/>
        </w:rPr>
        <w:t xml:space="preserve"> </w:t>
      </w:r>
      <w:r w:rsidRPr="00277835">
        <w:rPr>
          <w:rStyle w:val="af2"/>
          <w:rFonts w:eastAsia="Guttman Hodes" w:hint="cs"/>
          <w:rtl/>
        </w:rPr>
        <w:t>(סי' של"ו סק"נ, נ"א)</w:t>
      </w:r>
      <w:r w:rsidRPr="00350A80">
        <w:rPr>
          <w:rFonts w:hint="cs"/>
          <w:vanish/>
          <w:rtl/>
        </w:rPr>
        <w:t>=</w:t>
      </w:r>
      <w:r>
        <w:rPr>
          <w:rFonts w:hint="cs"/>
          <w:rtl/>
        </w:rPr>
        <w:t xml:space="preserve"> כדעת </w:t>
      </w:r>
      <w:r w:rsidRPr="00C444C9">
        <w:rPr>
          <w:rStyle w:val="aff4"/>
          <w:rFonts w:hint="cs"/>
          <w:vanish/>
          <w:rtl/>
        </w:rPr>
        <w:t>-</w:t>
      </w:r>
      <w:r w:rsidRPr="004F32D2">
        <w:rPr>
          <w:rStyle w:val="aff4"/>
          <w:rFonts w:hint="cs"/>
          <w:rtl/>
        </w:rPr>
        <w:t>החיי אדם</w:t>
      </w:r>
      <w:r w:rsidRPr="00C444C9">
        <w:rPr>
          <w:rStyle w:val="aff4"/>
          <w:rFonts w:hint="cs"/>
          <w:vanish/>
          <w:rtl/>
        </w:rPr>
        <w:t>-</w:t>
      </w:r>
      <w:r>
        <w:rPr>
          <w:rFonts w:hint="cs"/>
          <w:rtl/>
        </w:rPr>
        <w:t xml:space="preserve"> </w:t>
      </w:r>
      <w:r w:rsidRPr="00277835">
        <w:rPr>
          <w:rStyle w:val="af2"/>
          <w:rFonts w:eastAsia="Guttman Hodes" w:hint="cs"/>
          <w:rtl/>
        </w:rPr>
        <w:t xml:space="preserve">(עי' אות </w:t>
      </w:r>
      <w:r w:rsidRPr="00277835">
        <w:rPr>
          <w:rStyle w:val="af2"/>
          <w:rFonts w:eastAsia="Guttman Hodes"/>
          <w:rtl/>
        </w:rPr>
        <w:fldChar w:fldCharType="begin"/>
      </w:r>
      <w:r w:rsidRPr="00277835">
        <w:rPr>
          <w:rStyle w:val="af2"/>
          <w:rFonts w:eastAsia="Guttman Hodes"/>
          <w:rtl/>
        </w:rPr>
        <w:instrText xml:space="preserve"> </w:instrText>
      </w:r>
      <w:r w:rsidRPr="00277835">
        <w:rPr>
          <w:rStyle w:val="af2"/>
          <w:rFonts w:eastAsia="Guttman Hodes" w:hint="cs"/>
        </w:rPr>
        <w:instrText>REF</w:instrText>
      </w:r>
      <w:r w:rsidRPr="00277835">
        <w:rPr>
          <w:rStyle w:val="af2"/>
          <w:rFonts w:eastAsia="Guttman Hodes" w:hint="cs"/>
          <w:rtl/>
        </w:rPr>
        <w:instrText xml:space="preserve"> _</w:instrText>
      </w:r>
      <w:r w:rsidRPr="00277835">
        <w:rPr>
          <w:rStyle w:val="af2"/>
          <w:rFonts w:eastAsia="Guttman Hodes" w:hint="cs"/>
        </w:rPr>
        <w:instrText>Ref133835560 \r \h</w:instrText>
      </w:r>
      <w:r w:rsidRPr="00277835">
        <w:rPr>
          <w:rStyle w:val="af2"/>
          <w:rFonts w:eastAsia="Guttman Hodes"/>
          <w:rtl/>
        </w:rPr>
        <w:instrText xml:space="preserve"> </w:instrText>
      </w:r>
      <w:r w:rsidRPr="00277835">
        <w:rPr>
          <w:rStyle w:val="af2"/>
          <w:rFonts w:eastAsia="Guttman Hodes"/>
          <w:rtl/>
        </w:rPr>
      </w:r>
      <w:r w:rsidRPr="00277835">
        <w:rPr>
          <w:rStyle w:val="af2"/>
          <w:rFonts w:eastAsia="Guttman Hodes"/>
          <w:rtl/>
        </w:rPr>
        <w:fldChar w:fldCharType="separate"/>
      </w:r>
      <w:r w:rsidR="00D82181">
        <w:rPr>
          <w:rStyle w:val="af2"/>
          <w:rFonts w:eastAsia="Guttman Hodes"/>
          <w:cs/>
        </w:rPr>
        <w:t>‎</w:t>
      </w:r>
      <w:r w:rsidR="00D82181">
        <w:rPr>
          <w:rStyle w:val="af2"/>
          <w:rFonts w:eastAsia="Guttman Hodes"/>
          <w:rtl/>
        </w:rPr>
        <w:t>צח)</w:t>
      </w:r>
      <w:r w:rsidRPr="00277835">
        <w:rPr>
          <w:rStyle w:val="af2"/>
          <w:rFonts w:eastAsia="Guttman Hodes"/>
          <w:rtl/>
        </w:rPr>
        <w:fldChar w:fldCharType="end"/>
      </w:r>
      <w:r>
        <w:rPr>
          <w:rFonts w:hint="cs"/>
          <w:rtl/>
        </w:rPr>
        <w:t xml:space="preserve"> דהחיוב בשורה חיטין במים, רק באופן דכוונתו להצמיח, והחיוב הוא מיד בשעת הנתינה, אעפ"י דהם צומחים רק לאחר כמה ימים, ובזרעים שמתערבים חייב מיד מדין לש, והוסיף </w:t>
      </w:r>
      <w:r w:rsidRPr="00C444C9">
        <w:rPr>
          <w:rStyle w:val="aff4"/>
          <w:rFonts w:hint="cs"/>
          <w:vanish/>
          <w:rtl/>
        </w:rPr>
        <w:t>-</w:t>
      </w:r>
      <w:r w:rsidRPr="004F32D2">
        <w:rPr>
          <w:rStyle w:val="aff4"/>
          <w:rFonts w:hint="cs"/>
          <w:rtl/>
        </w:rPr>
        <w:t>ה</w:t>
      </w:r>
      <w:r w:rsidRPr="00C444C9">
        <w:rPr>
          <w:rStyle w:val="aff4"/>
          <w:rFonts w:hint="cs"/>
          <w:vanish/>
          <w:rtl/>
        </w:rPr>
        <w:t>&lt; &gt;</w:t>
      </w:r>
      <w:r w:rsidRPr="004F32D2">
        <w:rPr>
          <w:rStyle w:val="aff4"/>
          <w:rFonts w:hint="cs"/>
          <w:rtl/>
        </w:rPr>
        <w:t>שער הציון</w:t>
      </w:r>
      <w:r w:rsidRPr="00C444C9">
        <w:rPr>
          <w:rStyle w:val="aff4"/>
          <w:rFonts w:hint="cs"/>
          <w:vanish/>
          <w:rtl/>
        </w:rPr>
        <w:t>-</w:t>
      </w:r>
      <w:r>
        <w:rPr>
          <w:rFonts w:hint="cs"/>
          <w:rtl/>
        </w:rPr>
        <w:t xml:space="preserve"> </w:t>
      </w:r>
      <w:r w:rsidRPr="00277835">
        <w:rPr>
          <w:rStyle w:val="af2"/>
          <w:rFonts w:eastAsia="Guttman Hodes" w:hint="cs"/>
          <w:rtl/>
        </w:rPr>
        <w:t>(סי' של"ו סקמ"ו)</w:t>
      </w:r>
      <w:r w:rsidRPr="00350A80">
        <w:rPr>
          <w:rFonts w:hint="cs"/>
          <w:vanish/>
          <w:rtl/>
        </w:rPr>
        <w:t>=</w:t>
      </w:r>
      <w:r>
        <w:rPr>
          <w:rFonts w:hint="cs"/>
          <w:rtl/>
        </w:rPr>
        <w:t xml:space="preserve"> דאף </w:t>
      </w:r>
      <w:r w:rsidRPr="00E87CC9">
        <w:rPr>
          <w:rStyle w:val="aff4"/>
          <w:rFonts w:hint="cs"/>
          <w:vanish/>
          <w:rtl/>
        </w:rPr>
        <w:t>-</w:t>
      </w:r>
      <w:r w:rsidRPr="003B4E24">
        <w:rPr>
          <w:rStyle w:val="aff4"/>
          <w:rFonts w:hint="cs"/>
          <w:rtl/>
        </w:rPr>
        <w:t>המג"א</w:t>
      </w:r>
      <w:r w:rsidRPr="00E87CC9">
        <w:rPr>
          <w:rStyle w:val="aff4"/>
          <w:rFonts w:hint="cs"/>
          <w:vanish/>
          <w:rtl/>
        </w:rPr>
        <w:t>-</w:t>
      </w:r>
      <w:r>
        <w:rPr>
          <w:rFonts w:hint="cs"/>
          <w:rtl/>
        </w:rPr>
        <w:t xml:space="preserve"> </w:t>
      </w:r>
      <w:r w:rsidRPr="00277835">
        <w:rPr>
          <w:rStyle w:val="af2"/>
          <w:rFonts w:eastAsia="Guttman Hodes" w:hint="cs"/>
          <w:rtl/>
        </w:rPr>
        <w:t>(סי' של"ו סקי"ב, הובא בסימן א' אות צ"ד)</w:t>
      </w:r>
      <w:r>
        <w:rPr>
          <w:rFonts w:hint="cs"/>
          <w:rtl/>
        </w:rPr>
        <w:t xml:space="preserve"> מודה לדברי </w:t>
      </w:r>
      <w:r w:rsidRPr="00C444C9">
        <w:rPr>
          <w:rStyle w:val="aff4"/>
          <w:rFonts w:hint="cs"/>
          <w:vanish/>
          <w:rtl/>
        </w:rPr>
        <w:t>-</w:t>
      </w:r>
      <w:r w:rsidRPr="004F32D2">
        <w:rPr>
          <w:rStyle w:val="aff4"/>
          <w:rFonts w:hint="cs"/>
          <w:rtl/>
        </w:rPr>
        <w:t>החיי אדם</w:t>
      </w:r>
      <w:r w:rsidRPr="00C444C9">
        <w:rPr>
          <w:rStyle w:val="aff4"/>
          <w:rFonts w:hint="cs"/>
          <w:vanish/>
          <w:rtl/>
        </w:rPr>
        <w:t>-</w:t>
      </w:r>
      <w:r>
        <w:rPr>
          <w:rFonts w:hint="cs"/>
          <w:rtl/>
        </w:rPr>
        <w:t xml:space="preserve"> דהחיוב בנותן חיטין למים הוא מיד בשעת הנתינה, ומ"ש </w:t>
      </w:r>
      <w:r w:rsidRPr="00C444C9">
        <w:rPr>
          <w:rStyle w:val="aff4"/>
          <w:rFonts w:hint="cs"/>
          <w:vanish/>
          <w:rtl/>
        </w:rPr>
        <w:t>-</w:t>
      </w:r>
      <w:r w:rsidRPr="004F32D2">
        <w:rPr>
          <w:rStyle w:val="aff4"/>
          <w:rFonts w:hint="cs"/>
          <w:rtl/>
        </w:rPr>
        <w:t>המג"א</w:t>
      </w:r>
      <w:r w:rsidRPr="00C444C9">
        <w:rPr>
          <w:rStyle w:val="aff4"/>
          <w:rFonts w:hint="cs"/>
          <w:vanish/>
          <w:rtl/>
        </w:rPr>
        <w:t>-</w:t>
      </w:r>
      <w:r>
        <w:rPr>
          <w:rFonts w:hint="cs"/>
          <w:rtl/>
        </w:rPr>
        <w:t xml:space="preserve"> דהחיוב הוא רק כששורה חצי היום, כוונתו דאם מתחילה שרה את החיטים רק לזמן קצר, דלא יתכן שיצמחו כלל פטור, אבל כשנותן לחצי היום, ס"ל </w:t>
      </w:r>
      <w:r w:rsidRPr="00C444C9">
        <w:rPr>
          <w:rStyle w:val="aff4"/>
          <w:rFonts w:hint="cs"/>
          <w:vanish/>
          <w:rtl/>
        </w:rPr>
        <w:t>-</w:t>
      </w:r>
      <w:r w:rsidRPr="004F32D2">
        <w:rPr>
          <w:rStyle w:val="aff4"/>
          <w:rFonts w:hint="cs"/>
          <w:rtl/>
        </w:rPr>
        <w:t>להמג"א</w:t>
      </w:r>
      <w:r w:rsidRPr="00C444C9">
        <w:rPr>
          <w:rStyle w:val="aff4"/>
          <w:rFonts w:hint="cs"/>
          <w:vanish/>
          <w:rtl/>
        </w:rPr>
        <w:t>-</w:t>
      </w:r>
      <w:r>
        <w:rPr>
          <w:rFonts w:hint="cs"/>
          <w:rtl/>
        </w:rPr>
        <w:t xml:space="preserve"> דבזמן כזה יתכן שיצמחו קצת ואף אם נתנם סמוך לחשיכה חייב מיד, כמו בזורע סמוך לחשיכה.</w:t>
      </w:r>
      <w:r w:rsidRPr="00910FE1">
        <w:rPr>
          <w:rStyle w:val="af"/>
          <w:rFonts w:hint="cs"/>
          <w:rtl/>
        </w:rPr>
        <w:t xml:space="preserve"> </w:t>
      </w:r>
      <w:r>
        <w:rPr>
          <w:rStyle w:val="af"/>
          <w:rFonts w:hint="cs"/>
          <w:rtl/>
        </w:rPr>
        <w:t>[</w:t>
      </w:r>
      <w:r w:rsidRPr="00277835">
        <w:rPr>
          <w:rStyle w:val="af"/>
          <w:rFonts w:hint="cs"/>
          <w:rtl/>
        </w:rPr>
        <w:t xml:space="preserve">וקצת משמע מדברי </w:t>
      </w:r>
      <w:r w:rsidRPr="001E13AC">
        <w:rPr>
          <w:rStyle w:val="aff9"/>
          <w:rFonts w:hint="cs"/>
          <w:vanish/>
          <w:rtl/>
        </w:rPr>
        <w:t>-</w:t>
      </w:r>
      <w:r w:rsidRPr="00277835">
        <w:rPr>
          <w:rStyle w:val="aff9"/>
          <w:rFonts w:hint="cs"/>
          <w:rtl/>
        </w:rPr>
        <w:t>המשנה ברורה</w:t>
      </w:r>
      <w:r w:rsidRPr="001E13AC">
        <w:rPr>
          <w:rStyle w:val="aff9"/>
          <w:rFonts w:hint="cs"/>
          <w:vanish/>
          <w:rtl/>
        </w:rPr>
        <w:t>-</w:t>
      </w:r>
      <w:r w:rsidRPr="00277835">
        <w:rPr>
          <w:rStyle w:val="af"/>
          <w:rFonts w:hint="cs"/>
          <w:rtl/>
        </w:rPr>
        <w:t xml:space="preserve"> דס"ל כדעת </w:t>
      </w:r>
      <w:r w:rsidRPr="001E13AC">
        <w:rPr>
          <w:rStyle w:val="aff9"/>
          <w:rFonts w:hint="cs"/>
          <w:vanish/>
          <w:rtl/>
        </w:rPr>
        <w:t>-</w:t>
      </w:r>
      <w:r w:rsidRPr="00277835">
        <w:rPr>
          <w:rStyle w:val="aff9"/>
          <w:rFonts w:hint="cs"/>
          <w:rtl/>
        </w:rPr>
        <w:t>הרש"ש</w:t>
      </w:r>
      <w:r w:rsidRPr="001E13AC">
        <w:rPr>
          <w:rStyle w:val="aff9"/>
          <w:rFonts w:hint="cs"/>
          <w:vanish/>
          <w:rtl/>
        </w:rPr>
        <w:t>-</w:t>
      </w:r>
      <w:r w:rsidRPr="00277835">
        <w:rPr>
          <w:rStyle w:val="af"/>
          <w:rFonts w:hint="cs"/>
          <w:rtl/>
        </w:rPr>
        <w:t xml:space="preserve"> </w:t>
      </w:r>
      <w:r w:rsidRPr="00277835">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Ref133266181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מד)</w:t>
      </w:r>
      <w:r>
        <w:rPr>
          <w:rStyle w:val="aff0"/>
          <w:rtl/>
        </w:rPr>
        <w:fldChar w:fldCharType="end"/>
      </w:r>
      <w:r w:rsidRPr="00277835">
        <w:rPr>
          <w:rStyle w:val="af"/>
          <w:rFonts w:hint="cs"/>
          <w:rtl/>
        </w:rPr>
        <w:t xml:space="preserve"> דהחיוב הוא רק על ההשרשה, ולא על הנתינה במים, אמנם לדעת </w:t>
      </w:r>
      <w:r w:rsidRPr="001E13AC">
        <w:rPr>
          <w:rStyle w:val="aff9"/>
          <w:rFonts w:hint="cs"/>
          <w:vanish/>
          <w:rtl/>
        </w:rPr>
        <w:t>-</w:t>
      </w:r>
      <w:r w:rsidRPr="00277835">
        <w:rPr>
          <w:rStyle w:val="aff9"/>
          <w:rFonts w:hint="cs"/>
          <w:rtl/>
        </w:rPr>
        <w:t>המנחת חינוך</w:t>
      </w:r>
      <w:r w:rsidRPr="001E13AC">
        <w:rPr>
          <w:rStyle w:val="aff9"/>
          <w:rFonts w:hint="cs"/>
          <w:vanish/>
          <w:rtl/>
        </w:rPr>
        <w:t>-</w:t>
      </w:r>
      <w:r w:rsidRPr="00277835">
        <w:rPr>
          <w:rStyle w:val="af"/>
          <w:rFonts w:hint="cs"/>
          <w:rtl/>
        </w:rPr>
        <w:t xml:space="preserve"> </w:t>
      </w:r>
      <w:r w:rsidRPr="00277835">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Ref134307528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יב)</w:t>
      </w:r>
      <w:r>
        <w:rPr>
          <w:rStyle w:val="aff0"/>
          <w:rtl/>
        </w:rPr>
        <w:fldChar w:fldCharType="end"/>
      </w:r>
      <w:r w:rsidRPr="00277835">
        <w:rPr>
          <w:rStyle w:val="af"/>
          <w:rFonts w:hint="cs"/>
          <w:rtl/>
        </w:rPr>
        <w:t xml:space="preserve"> בזורע בקרקע חייב מיד, אבל בשורה חיטין במים</w:t>
      </w:r>
      <w:r>
        <w:rPr>
          <w:rStyle w:val="af"/>
          <w:rFonts w:hint="cs"/>
          <w:rtl/>
        </w:rPr>
        <w:t>, כתב</w:t>
      </w:r>
      <w:r w:rsidRPr="00277835">
        <w:rPr>
          <w:rStyle w:val="af"/>
          <w:rFonts w:hint="cs"/>
          <w:rtl/>
        </w:rPr>
        <w:t xml:space="preserve"> </w:t>
      </w:r>
      <w:r w:rsidRPr="001E13AC">
        <w:rPr>
          <w:rStyle w:val="aff9"/>
          <w:rFonts w:hint="cs"/>
          <w:vanish/>
          <w:rtl/>
        </w:rPr>
        <w:t>-</w:t>
      </w:r>
      <w:r w:rsidRPr="00277835">
        <w:rPr>
          <w:rStyle w:val="aff9"/>
          <w:rFonts w:hint="cs"/>
          <w:rtl/>
        </w:rPr>
        <w:t>המנחת חינוך</w:t>
      </w:r>
      <w:r w:rsidRPr="001E13AC">
        <w:rPr>
          <w:rStyle w:val="aff9"/>
          <w:rFonts w:hint="cs"/>
          <w:vanish/>
          <w:rtl/>
        </w:rPr>
        <w:t>-</w:t>
      </w:r>
      <w:r w:rsidRPr="00277835">
        <w:rPr>
          <w:rStyle w:val="af"/>
          <w:rFonts w:hint="cs"/>
          <w:rtl/>
        </w:rPr>
        <w:t xml:space="preserve"> </w:t>
      </w:r>
      <w:r w:rsidRPr="00277835">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Ref134307704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עח)</w:t>
      </w:r>
      <w:r>
        <w:rPr>
          <w:rStyle w:val="aff0"/>
          <w:rtl/>
        </w:rPr>
        <w:fldChar w:fldCharType="end"/>
      </w:r>
      <w:r w:rsidRPr="00277835">
        <w:rPr>
          <w:rStyle w:val="af"/>
          <w:rFonts w:hint="cs"/>
          <w:rtl/>
        </w:rPr>
        <w:t xml:space="preserve"> חייב רק בהצמחה]</w:t>
      </w:r>
      <w:r w:rsidRPr="00345748">
        <w:rPr>
          <w:rStyle w:val="af"/>
          <w:rFonts w:hint="cs"/>
          <w:rtl/>
        </w:rPr>
        <w:t>.</w:t>
      </w:r>
      <w:bookmarkEnd w:id="742"/>
      <w:bookmarkEnd w:id="743"/>
    </w:p>
    <w:p w14:paraId="1FBB2691" w14:textId="77777777" w:rsidR="001C69A8" w:rsidRPr="00747170" w:rsidRDefault="001C69A8" w:rsidP="00747170">
      <w:pPr>
        <w:pStyle w:val="a2"/>
      </w:pPr>
      <w:r w:rsidRPr="00747170">
        <w:rPr>
          <w:rtl/>
        </w:rPr>
        <w:t>)</w:t>
      </w:r>
      <w:r w:rsidRPr="00747170">
        <w:t>נ( השורה - כדי שיתרככו ויצמיחו כדרך ששורין איזה תבואות קודם הזריעה:</w:t>
      </w:r>
    </w:p>
    <w:p w14:paraId="69C35746" w14:textId="77777777" w:rsidR="001C69A8" w:rsidRPr="0000488C" w:rsidRDefault="001C69A8" w:rsidP="00747170">
      <w:pPr>
        <w:pStyle w:val="afffff5"/>
        <w:rPr>
          <w:rtl/>
        </w:rPr>
      </w:pPr>
      <w:r w:rsidRPr="0000488C">
        <w:rPr>
          <w:rtl/>
        </w:rPr>
        <w:t xml:space="preserve">(נא) תולדת זורע - דמה זורע מכוין לאצמוחי פירי אף זה כן </w:t>
      </w:r>
      <w:r>
        <w:rPr>
          <w:rtl/>
        </w:rPr>
        <w:t>[</w:t>
      </w:r>
      <w:r w:rsidRPr="0000488C">
        <w:rPr>
          <w:rtl/>
        </w:rPr>
        <w:t xml:space="preserve">מו"ק ב'] וכתב בח"א דה"ה השורה תבואה לעשות מהן (מאלצין) לשכר חייב דידוע דכונתו להצמיח. וכתב עוד דתיכף משנתן למים חייב אף על גב דלא יצמיחו אלא לאחר כמה ימים ומסיים דאעפ"כ מותר לשרות תבואה לבהמתו דאין כונתו להצמיח אלא לרכך הזרעונים וגם לא יבוא לידי צמיחה דקודם שיצמיחו יאכלום הבהמות. ודע דכ"ז בזרעונים שאין נבללים במים אבל בזרעונים שמתערבים ונתלים זה בזה במים כמו כרשינין וכיו"ב שמתרככין ונימוחים שם והמים מתעבים בסיבתם ונעשים כמים שעיסה או קמח בלולים בתוכה אסור לשרותן לבהמתו משום לש </w:t>
      </w:r>
      <w:r>
        <w:rPr>
          <w:rtl/>
        </w:rPr>
        <w:t>[</w:t>
      </w:r>
      <w:r w:rsidRPr="0000488C">
        <w:rPr>
          <w:rtl/>
        </w:rPr>
        <w:t xml:space="preserve">כדלקמן ש"מ סי"ב וכמתניתין דשבת י"ז וע"ש בפירוש המשנה להרמב"ם ובמאירי]. צמוקין ושאר פירות יבשים מותר לשרות בשבת ומ"מ בכובש כבשים אסור </w:t>
      </w:r>
      <w:r>
        <w:rPr>
          <w:rtl/>
        </w:rPr>
        <w:t>[</w:t>
      </w:r>
      <w:r w:rsidRPr="0000488C">
        <w:rPr>
          <w:rtl/>
        </w:rPr>
        <w:t>פמ"ג]:</w:t>
      </w:r>
    </w:p>
    <w:p w14:paraId="05F80707" w14:textId="77777777" w:rsidR="001C69A8" w:rsidRPr="0000488C" w:rsidRDefault="001C69A8" w:rsidP="00747170">
      <w:pPr>
        <w:pStyle w:val="afffff5"/>
        <w:rPr>
          <w:rtl/>
        </w:rPr>
      </w:pPr>
      <w:r w:rsidRPr="0000488C">
        <w:rPr>
          <w:rtl/>
        </w:rPr>
        <w:t xml:space="preserve">(מו) ולי נראה דאף המגן אברהם מודה בזה, וממעט רק אם נתן לכתחלה על זמן מועט דלא אפשר שיצמיח בזה הזמן, אבל אם נתן על זמן חצי יום </w:t>
      </w:r>
      <w:r>
        <w:rPr>
          <w:rtl/>
        </w:rPr>
        <w:t>[</w:t>
      </w:r>
      <w:r w:rsidRPr="0000488C">
        <w:rPr>
          <w:rtl/>
        </w:rPr>
        <w:t>לדידיה דסובר דבזה הזמן יוכל להצמיח], אפילו אם נתן ביום השבת סמוך לחשכה חייב, דומיא דזורע בזה הזמן:</w:t>
      </w:r>
    </w:p>
    <w:p w14:paraId="17324EEB" w14:textId="3C9DB159" w:rsidR="001C69A8" w:rsidRPr="00853AC1" w:rsidRDefault="001C69A8" w:rsidP="001C69A8">
      <w:pPr>
        <w:pStyle w:val="1"/>
        <w:rPr>
          <w:rtl/>
        </w:rPr>
      </w:pPr>
      <w:bookmarkStart w:id="744" w:name="_Toc134347666"/>
      <w:r>
        <w:rPr>
          <w:rFonts w:hint="cs"/>
          <w:rtl/>
        </w:rPr>
        <w:t>בי' הדב"א דא"א לומר דבלא השריש לא איתעבדא מחשבתו</w:t>
      </w:r>
      <w:bookmarkEnd w:id="744"/>
    </w:p>
    <w:p w14:paraId="000A49C4" w14:textId="77777777" w:rsidR="001C69A8" w:rsidRPr="003C1DC2" w:rsidRDefault="001C69A8" w:rsidP="001C69A8">
      <w:pPr>
        <w:keepNext/>
        <w:keepLines/>
        <w:spacing w:after="0" w:line="240" w:lineRule="auto"/>
        <w:ind w:left="-284"/>
        <w:jc w:val="both"/>
        <w:outlineLvl w:val="1"/>
        <w:rPr>
          <w:rFonts w:ascii="FrankRuehl" w:eastAsia="Guttman Hodes" w:hAnsi="FrankRuehl" w:cs="Guttman Rashi"/>
          <w:bCs/>
          <w:noProof/>
          <w:sz w:val="16"/>
          <w:szCs w:val="16"/>
        </w:rPr>
      </w:pPr>
      <w:r w:rsidRPr="003C1DC2">
        <w:rPr>
          <w:rFonts w:ascii="FrankRuehl" w:eastAsia="Guttman Hodes" w:hAnsi="FrankRuehl" w:cs="Guttman Rashi" w:hint="cs"/>
          <w:bCs/>
          <w:noProof/>
          <w:sz w:val="16"/>
          <w:szCs w:val="16"/>
          <w:rtl/>
        </w:rPr>
        <w:t xml:space="preserve">דבר אברהם </w:t>
      </w:r>
      <w:r>
        <w:rPr>
          <w:rFonts w:ascii="FrankRuehl" w:eastAsia="Guttman Hodes" w:hAnsi="FrankRuehl" w:cs="Guttman Rashi" w:hint="cs"/>
          <w:bCs/>
          <w:noProof/>
          <w:sz w:val="16"/>
          <w:szCs w:val="16"/>
          <w:rtl/>
        </w:rPr>
        <w:t>ח</w:t>
      </w:r>
      <w:r>
        <w:rPr>
          <w:rFonts w:ascii="FrankRuehl" w:eastAsia="Guttman Hodes" w:hAnsi="FrankRuehl" w:cs="Guttman Rashi"/>
          <w:bCs/>
          <w:noProof/>
          <w:sz w:val="16"/>
          <w:szCs w:val="16"/>
          <w:rtl/>
        </w:rPr>
        <w:t>"</w:t>
      </w:r>
      <w:r>
        <w:rPr>
          <w:rFonts w:ascii="FrankRuehl" w:eastAsia="Guttman Hodes" w:hAnsi="FrankRuehl" w:cs="Guttman Rashi" w:hint="cs"/>
          <w:bCs/>
          <w:noProof/>
          <w:sz w:val="16"/>
          <w:szCs w:val="16"/>
          <w:rtl/>
        </w:rPr>
        <w:t>א סי</w:t>
      </w:r>
      <w:r>
        <w:rPr>
          <w:rFonts w:ascii="FrankRuehl" w:eastAsia="Guttman Hodes" w:hAnsi="FrankRuehl" w:cs="Guttman Rashi"/>
          <w:bCs/>
          <w:noProof/>
          <w:sz w:val="16"/>
          <w:szCs w:val="16"/>
          <w:rtl/>
        </w:rPr>
        <w:t>'</w:t>
      </w:r>
      <w:r>
        <w:rPr>
          <w:rFonts w:ascii="FrankRuehl" w:eastAsia="Guttman Hodes" w:hAnsi="FrankRuehl" w:cs="Guttman Rashi" w:hint="cs"/>
          <w:bCs/>
          <w:noProof/>
          <w:sz w:val="16"/>
          <w:szCs w:val="16"/>
          <w:rtl/>
        </w:rPr>
        <w:t xml:space="preserve"> </w:t>
      </w:r>
      <w:r w:rsidRPr="003C1DC2">
        <w:rPr>
          <w:rFonts w:ascii="FrankRuehl" w:eastAsia="Guttman Hodes" w:hAnsi="FrankRuehl" w:cs="Guttman Rashi" w:hint="cs"/>
          <w:bCs/>
          <w:noProof/>
          <w:sz w:val="16"/>
          <w:szCs w:val="16"/>
          <w:rtl/>
        </w:rPr>
        <w:t>כג אות ו'</w:t>
      </w:r>
    </w:p>
    <w:p w14:paraId="25BCA71E" w14:textId="77777777" w:rsidR="001C69A8" w:rsidRPr="003C1DC2" w:rsidRDefault="001C69A8" w:rsidP="001C69A8">
      <w:pPr>
        <w:pStyle w:val="a7"/>
        <w:rPr>
          <w:rtl/>
        </w:rPr>
      </w:pPr>
      <w:bookmarkStart w:id="745" w:name="_Toc134347667"/>
      <w:r>
        <w:rPr>
          <w:rFonts w:hint="cs"/>
          <w:rtl/>
        </w:rPr>
        <w:t>בי' הדב"א דאף באופה גמר המלאכה בנתינה והרודה פטור דחסר בשיעור דלא נעשית מחשבתו</w:t>
      </w:r>
      <w:bookmarkEnd w:id="745"/>
    </w:p>
    <w:p w14:paraId="5163E53E" w14:textId="3BD9012F" w:rsidR="001C69A8" w:rsidRPr="003C1DC2" w:rsidRDefault="001C69A8" w:rsidP="00BC7DC8">
      <w:pPr>
        <w:pStyle w:val="a3"/>
        <w:rPr>
          <w:rtl/>
        </w:rPr>
      </w:pPr>
      <w:bookmarkStart w:id="746" w:name="_Ref133871143"/>
      <w:r w:rsidRPr="003C1DC2">
        <w:rPr>
          <w:rFonts w:hint="cs"/>
          <w:rtl/>
        </w:rPr>
        <w:t xml:space="preserve">כתב </w:t>
      </w:r>
      <w:r w:rsidRPr="00837DD8">
        <w:rPr>
          <w:rStyle w:val="aff4"/>
          <w:rFonts w:hint="cs"/>
          <w:vanish/>
          <w:rtl/>
        </w:rPr>
        <w:t>-</w:t>
      </w:r>
      <w:r w:rsidRPr="004E6839">
        <w:rPr>
          <w:rStyle w:val="aff4"/>
          <w:rFonts w:hint="cs"/>
          <w:rtl/>
        </w:rPr>
        <w:t>ה</w:t>
      </w:r>
      <w:r w:rsidRPr="00837DD8">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Ref133871143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מט)</w:t>
      </w:r>
      <w:r>
        <w:rPr>
          <w:rStyle w:val="aff4"/>
          <w:vanish/>
          <w:rtl/>
        </w:rPr>
        <w:fldChar w:fldCharType="end"/>
      </w:r>
      <w:r w:rsidRPr="00837DD8">
        <w:rPr>
          <w:rStyle w:val="aff4"/>
          <w:rFonts w:hint="cs"/>
          <w:vanish/>
          <w:rtl/>
        </w:rPr>
        <w:t xml:space="preserve"> &gt;</w:t>
      </w:r>
      <w:r w:rsidRPr="004E6839">
        <w:rPr>
          <w:rStyle w:val="aff4"/>
          <w:rFonts w:hint="cs"/>
          <w:rtl/>
        </w:rPr>
        <w:t>דבר אברהם</w:t>
      </w:r>
      <w:r w:rsidRPr="002C394F">
        <w:rPr>
          <w:rStyle w:val="aff4"/>
          <w:rFonts w:hint="cs"/>
          <w:vanish/>
          <w:rtl/>
        </w:rPr>
        <w:t>-</w:t>
      </w:r>
      <w:r w:rsidRPr="004E6839">
        <w:rPr>
          <w:rStyle w:val="aff4"/>
          <w:rFonts w:hint="cs"/>
          <w:rtl/>
        </w:rPr>
        <w:t xml:space="preserve"> </w:t>
      </w:r>
      <w:r w:rsidRPr="00277835">
        <w:rPr>
          <w:rStyle w:val="af2"/>
          <w:rFonts w:eastAsia="Guttman Hodes" w:hint="cs"/>
          <w:rtl/>
        </w:rPr>
        <w:t>(ח"א סי' כ"ג אות ו')</w:t>
      </w:r>
      <w:r w:rsidRPr="00837DD8">
        <w:rPr>
          <w:rStyle w:val="aff4"/>
          <w:rFonts w:hint="cs"/>
          <w:vanish/>
          <w:rtl/>
        </w:rPr>
        <w:t>=</w:t>
      </w:r>
      <w:r w:rsidRPr="004E6839">
        <w:rPr>
          <w:rStyle w:val="aff4"/>
          <w:rFonts w:hint="cs"/>
          <w:rtl/>
        </w:rPr>
        <w:t xml:space="preserve"> </w:t>
      </w:r>
      <w:r w:rsidRPr="005F69AF">
        <w:rPr>
          <w:rFonts w:hint="cs"/>
          <w:rtl/>
        </w:rPr>
        <w:t xml:space="preserve">דאעפ"י שנתברר דבזורע חייב מיד, כשהניח את הזרע בקרקע, </w:t>
      </w:r>
      <w:r>
        <w:rPr>
          <w:rStyle w:val="af"/>
          <w:rFonts w:hint="cs"/>
          <w:rtl/>
        </w:rPr>
        <w:t>[</w:t>
      </w:r>
      <w:r w:rsidRPr="002D599A">
        <w:rPr>
          <w:rStyle w:val="af"/>
          <w:rFonts w:hint="cs"/>
          <w:rtl/>
        </w:rPr>
        <w:t xml:space="preserve">כדביאר </w:t>
      </w:r>
      <w:r w:rsidRPr="002D599A">
        <w:rPr>
          <w:rStyle w:val="aff9"/>
          <w:rFonts w:hint="cs"/>
          <w:vanish/>
          <w:rtl/>
        </w:rPr>
        <w:t>-</w:t>
      </w:r>
      <w:r w:rsidRPr="002D599A">
        <w:rPr>
          <w:rStyle w:val="aff9"/>
          <w:rFonts w:hint="cs"/>
          <w:rtl/>
        </w:rPr>
        <w:t>הדבר אברהם</w:t>
      </w:r>
      <w:r w:rsidRPr="002D599A">
        <w:rPr>
          <w:rStyle w:val="aff9"/>
          <w:rFonts w:hint="cs"/>
          <w:vanish/>
          <w:rtl/>
        </w:rPr>
        <w:t>-</w:t>
      </w:r>
      <w:r w:rsidRPr="002D599A">
        <w:rPr>
          <w:rStyle w:val="af"/>
          <w:rFonts w:hint="cs"/>
          <w:rtl/>
        </w:rPr>
        <w:t xml:space="preserve"> </w:t>
      </w:r>
      <w:r w:rsidRPr="002D599A">
        <w:rPr>
          <w:rStyle w:val="aff0"/>
          <w:rFonts w:hint="cs"/>
          <w:rtl/>
        </w:rPr>
        <w:t xml:space="preserve">(עי' אות </w:t>
      </w:r>
      <w:r w:rsidRPr="002D599A">
        <w:rPr>
          <w:rStyle w:val="aff0"/>
          <w:rtl/>
        </w:rPr>
        <w:fldChar w:fldCharType="begin"/>
      </w:r>
      <w:r w:rsidRPr="002D599A">
        <w:rPr>
          <w:rStyle w:val="aff0"/>
          <w:rtl/>
        </w:rPr>
        <w:instrText xml:space="preserve"> </w:instrText>
      </w:r>
      <w:r w:rsidRPr="002D599A">
        <w:rPr>
          <w:rStyle w:val="aff0"/>
          <w:rFonts w:hint="cs"/>
        </w:rPr>
        <w:instrText>REF</w:instrText>
      </w:r>
      <w:r w:rsidRPr="002D599A">
        <w:rPr>
          <w:rStyle w:val="aff0"/>
          <w:rFonts w:hint="cs"/>
          <w:rtl/>
        </w:rPr>
        <w:instrText xml:space="preserve"> _</w:instrText>
      </w:r>
      <w:r w:rsidRPr="002D599A">
        <w:rPr>
          <w:rStyle w:val="aff0"/>
          <w:rFonts w:hint="cs"/>
        </w:rPr>
        <w:instrText>Ref134304901 \r \h</w:instrText>
      </w:r>
      <w:r w:rsidRPr="002D599A">
        <w:rPr>
          <w:rStyle w:val="aff0"/>
          <w:rtl/>
        </w:rPr>
        <w:instrText xml:space="preserve"> </w:instrText>
      </w:r>
      <w:r w:rsidRPr="002D599A">
        <w:rPr>
          <w:rStyle w:val="aff0"/>
          <w:rtl/>
        </w:rPr>
      </w:r>
      <w:r w:rsidRPr="002D599A">
        <w:rPr>
          <w:rStyle w:val="aff0"/>
          <w:rtl/>
        </w:rPr>
        <w:fldChar w:fldCharType="separate"/>
      </w:r>
      <w:r w:rsidR="00D82181">
        <w:rPr>
          <w:rStyle w:val="aff0"/>
          <w:cs/>
        </w:rPr>
        <w:t>‎</w:t>
      </w:r>
      <w:r w:rsidR="00D82181">
        <w:rPr>
          <w:rStyle w:val="aff0"/>
          <w:rtl/>
        </w:rPr>
        <w:t>לא)</w:t>
      </w:r>
      <w:r w:rsidRPr="002D599A">
        <w:rPr>
          <w:rStyle w:val="aff0"/>
          <w:rtl/>
        </w:rPr>
        <w:fldChar w:fldCharType="end"/>
      </w:r>
      <w:r w:rsidRPr="002D599A">
        <w:rPr>
          <w:rStyle w:val="af"/>
          <w:rFonts w:hint="cs"/>
          <w:rtl/>
        </w:rPr>
        <w:t>],</w:t>
      </w:r>
      <w:r>
        <w:rPr>
          <w:rFonts w:hint="cs"/>
          <w:rtl/>
        </w:rPr>
        <w:t xml:space="preserve"> </w:t>
      </w:r>
      <w:r w:rsidRPr="005F69AF">
        <w:rPr>
          <w:rFonts w:hint="cs"/>
          <w:rtl/>
        </w:rPr>
        <w:t>היה אפש"ל דה"ה באופה ומבשל, דהחיוב הוא על ההדבקה בתנור ועל הנחת הקדירה ע"ג האש, דזוהי עיקר וסוף המלאכה, והמשך הבישול והאפיה שנעשים מאליהם אינו חלק מהמלאכה, והא דאם רדה את הפת מהתנור לפני האפיה פטור, הוא כיון שחסר בשיעור של המלאכה, דלא נגמרה כל המלאכה כיון דלא איתעבדא מחשבתו,</w:t>
      </w:r>
      <w:r w:rsidRPr="004E6839">
        <w:rPr>
          <w:rStyle w:val="aff4"/>
          <w:rFonts w:hint="cs"/>
          <w:rtl/>
        </w:rPr>
        <w:t xml:space="preserve"> </w:t>
      </w:r>
      <w:r>
        <w:rPr>
          <w:rStyle w:val="af"/>
          <w:rFonts w:hint="cs"/>
          <w:rtl/>
        </w:rPr>
        <w:t>[</w:t>
      </w:r>
      <w:r w:rsidRPr="00277835">
        <w:rPr>
          <w:rStyle w:val="af"/>
          <w:rFonts w:hint="cs"/>
          <w:rtl/>
        </w:rPr>
        <w:t xml:space="preserve">ודמי להא דאיתא לקמן </w:t>
      </w:r>
      <w:r w:rsidRPr="00277835">
        <w:rPr>
          <w:rStyle w:val="aff0"/>
          <w:rFonts w:hint="cs"/>
          <w:rtl/>
        </w:rPr>
        <w:t>(צז:)</w:t>
      </w:r>
      <w:r w:rsidRPr="00277835">
        <w:rPr>
          <w:rStyle w:val="af"/>
          <w:rFonts w:hint="cs"/>
          <w:rtl/>
        </w:rPr>
        <w:t xml:space="preserve"> דנתכוין לזרוק ד' וזרק ב' וכו']</w:t>
      </w:r>
      <w:r w:rsidRPr="00563D63">
        <w:rPr>
          <w:rStyle w:val="af"/>
          <w:rFonts w:hint="cs"/>
          <w:rtl/>
        </w:rPr>
        <w:t>,</w:t>
      </w:r>
      <w:r w:rsidRPr="000E7D36">
        <w:rPr>
          <w:rStyle w:val="af"/>
          <w:rFonts w:hint="cs"/>
          <w:rtl/>
        </w:rPr>
        <w:t xml:space="preserve"> </w:t>
      </w:r>
      <w:r w:rsidRPr="005F69AF">
        <w:rPr>
          <w:rFonts w:hint="cs"/>
          <w:rtl/>
        </w:rPr>
        <w:t xml:space="preserve">אבל בזורע, ביאר </w:t>
      </w:r>
      <w:r w:rsidRPr="00837DD8">
        <w:rPr>
          <w:rStyle w:val="aff4"/>
          <w:rFonts w:hint="cs"/>
          <w:vanish/>
          <w:rtl/>
        </w:rPr>
        <w:t>-</w:t>
      </w:r>
      <w:r w:rsidRPr="005F69AF">
        <w:rPr>
          <w:rStyle w:val="aff4"/>
          <w:rFonts w:hint="cs"/>
          <w:rtl/>
        </w:rPr>
        <w:t>הדבר</w:t>
      </w:r>
      <w:r w:rsidRPr="003C1DC2">
        <w:rPr>
          <w:rFonts w:hint="cs"/>
          <w:rtl/>
        </w:rPr>
        <w:t xml:space="preserve"> </w:t>
      </w:r>
      <w:r w:rsidRPr="005F69AF">
        <w:rPr>
          <w:rStyle w:val="aff4"/>
          <w:rFonts w:hint="cs"/>
          <w:rtl/>
        </w:rPr>
        <w:t>אברהם</w:t>
      </w:r>
      <w:r w:rsidRPr="00837DD8">
        <w:rPr>
          <w:rFonts w:hint="cs"/>
          <w:vanish/>
          <w:rtl/>
        </w:rPr>
        <w:t>-</w:t>
      </w:r>
      <w:r w:rsidRPr="003C1DC2">
        <w:rPr>
          <w:rFonts w:hint="cs"/>
          <w:rtl/>
        </w:rPr>
        <w:t xml:space="preserve"> דחייב אף שלא נקלט הזרע, כיון דמתחילה ידוע שלא כל זרע נקלט, ואדעתא דהכי זרע, </w:t>
      </w:r>
      <w:r>
        <w:rPr>
          <w:rStyle w:val="af"/>
          <w:rFonts w:hint="cs"/>
          <w:rtl/>
        </w:rPr>
        <w:t>[</w:t>
      </w:r>
      <w:r w:rsidRPr="00277835">
        <w:rPr>
          <w:rStyle w:val="af"/>
          <w:rFonts w:hint="cs"/>
          <w:rtl/>
        </w:rPr>
        <w:t>ודמי לאומר בכל מקום שתרצה תנוח]</w:t>
      </w:r>
      <w:r w:rsidRPr="00563D63">
        <w:rPr>
          <w:rStyle w:val="af"/>
          <w:rFonts w:hint="cs"/>
          <w:rtl/>
        </w:rPr>
        <w:t>,</w:t>
      </w:r>
      <w:r w:rsidRPr="000E7D36">
        <w:rPr>
          <w:rStyle w:val="af"/>
          <w:rFonts w:hint="cs"/>
          <w:rtl/>
        </w:rPr>
        <w:t xml:space="preserve"> </w:t>
      </w:r>
      <w:r w:rsidRPr="003C1DC2">
        <w:rPr>
          <w:rFonts w:hint="cs"/>
          <w:rtl/>
        </w:rPr>
        <w:t>או דאפש"ל דבאמת אינו חייב אם לא נקלט הזרע, ומ"מ לא חשיב התראת ספק, עיי"ש בדבריו.</w:t>
      </w:r>
      <w:bookmarkEnd w:id="746"/>
    </w:p>
    <w:p w14:paraId="005E5D9C" w14:textId="77777777" w:rsidR="001C69A8" w:rsidRPr="00747170" w:rsidRDefault="001C69A8" w:rsidP="00747170">
      <w:pPr>
        <w:pStyle w:val="a2"/>
      </w:pPr>
      <w:r w:rsidRPr="00747170">
        <w:rPr>
          <w:rFonts w:hint="cs"/>
          <w:rtl/>
        </w:rPr>
        <w:t>[</w:t>
      </w:r>
      <w:r w:rsidRPr="00747170">
        <w:rPr>
          <w:rFonts w:hint="cs"/>
        </w:rPr>
        <w:t>ו[ אך לכשנעמוד על טעמו של דבר שחלוקין בזה אופה ומבשל מזורע נראה ונוכח דאין זה שייך אלא בזורע ולא בנ"ד. דבאמת אף על פי שהדין ברור ומוכרח מכח הוכחות הנ"ל דזורע חייב מיד מ"מ טעמא בעי במה שהוא חלוק מאופה ומבשל:</w:t>
      </w:r>
    </w:p>
    <w:p w14:paraId="3F39D43B" w14:textId="77777777" w:rsidR="001C69A8" w:rsidRPr="003D4790" w:rsidRDefault="001C69A8" w:rsidP="001C69A8">
      <w:pPr>
        <w:tabs>
          <w:tab w:val="num" w:pos="284"/>
        </w:tabs>
        <w:spacing w:after="0" w:line="240" w:lineRule="auto"/>
        <w:jc w:val="both"/>
        <w:rPr>
          <w:rFonts w:ascii="Guttman Hodes" w:eastAsia="Guttman Hodes" w:hAnsi="Guttman Hodes" w:cs="Guttman Hodes"/>
          <w:vanish/>
          <w:sz w:val="18"/>
          <w:szCs w:val="18"/>
          <w:rtl/>
        </w:rPr>
      </w:pPr>
      <w:r w:rsidRPr="003D4790">
        <w:rPr>
          <w:rFonts w:ascii="Guttman Hodes" w:eastAsia="Guttman Hodes" w:hAnsi="Guttman Hodes" w:cs="Guttman Hodes" w:hint="cs"/>
          <w:vanish/>
          <w:sz w:val="18"/>
          <w:szCs w:val="18"/>
          <w:rtl/>
        </w:rPr>
        <w:t xml:space="preserve">ומתחלה עלינו לסתור מה שהיה עולה לכאורה על הדעת לומר, דבאמת אין אופה ומבשל חלוקים כלל בזה מזורע וכשם שזורע חייב על ההטלה בקרקע לחוד ה"נ אופה ומבשל חייב על ההדבקה בתנור ועל השפיתה אצל האש לחוד וזוהי עיקרה וסופה של מלאכת האופה והמבשל וכל מה שנעשה אח"כ מאליו באפיית הפת ובישול הקדירה אינו נכנס כלל בסוג המלאכה גופה, שאין אופיה של מלאכה אלא מה שנעשה בידי אדם ממש ולא מה שבא אח"כ ממילא והא דפטור אם רדה קודם שיקרמו פניה או קודם שתתבשל כמאב"ד אינו משום חסרון בשיעור המלאכה שהיא נידונית כמי שלא נגמרה עדיין כולה אלא משום דלא איתעבידא מחשבתו כההיא דהזורק (דף צ"ז ע"ב) נתכוין לזרוק ארבע וזרק שתים נתכוין לזרוק ד' וזרק שמונה יעו"ש משא"כ בזורע שנעשית מחשבתו שהרי תיקלט לאחר זמן ואפילו לא נקלטה לאח"ז י"ל דלא הוי כלא נעשית מחשבתו שהרי ידע מתחלה את הספק שיש שאינו נקלט ואדעתא דהכי זרע והוי כאומר כל מקום שתרצה תנוח דחייב או נאמר דזה נמי מיקרי לא נעשית מחשבתו ואם לא נקלטה כלל פטור, וכ"ת א"כ האיך אפשר לזורע שיתחייב והא הוי לעולם התראת ספק שמא לא יקלט הזרע ויפטר, כמו שהקשו התוס' (דף ד') באופה ותירוצו של הריב"א שם לא שייך הכא כמבואר למעיין, י"ל כיון דרוב פעמים נקלטין לא הוי התראת ספק בשביל שאפשר שיארע כמיעוטא כמ"ש התוס' גיטין (דף ל"ג ע"א ד"ה ואפקעינהו)*. </w:t>
      </w:r>
      <w:r w:rsidRPr="003D4790">
        <w:rPr>
          <w:rStyle w:val="afff7"/>
          <w:rFonts w:hint="cs"/>
          <w:vanish/>
          <w:rtl/>
        </w:rPr>
        <w:t>* ]הגה"ה</w:t>
      </w:r>
      <w:r>
        <w:rPr>
          <w:rStyle w:val="afff7"/>
          <w:rFonts w:hint="cs"/>
          <w:vanish/>
          <w:rtl/>
        </w:rPr>
        <w:t>[</w:t>
      </w:r>
      <w:r w:rsidRPr="003D4790">
        <w:rPr>
          <w:rStyle w:val="afff7"/>
          <w:rFonts w:hint="cs"/>
          <w:vanish/>
          <w:rtl/>
        </w:rPr>
        <w:t xml:space="preserve"> ואחי הרה"ג מוהר"ר חיים כהנא שפירא (נ"י) ז"ל העיר דאין לדון בזה התראת ספק לפמ"ש התוס' יבמות (דף פ' ע"א ד"ה נעשה) גבי אכל חלב מבן שתים עשרה ]ויום אחד</w:t>
      </w:r>
      <w:r>
        <w:rPr>
          <w:rStyle w:val="afff7"/>
          <w:rFonts w:hint="cs"/>
          <w:vanish/>
          <w:rtl/>
        </w:rPr>
        <w:t>[</w:t>
      </w:r>
      <w:r w:rsidRPr="003D4790">
        <w:rPr>
          <w:rStyle w:val="afff7"/>
          <w:rFonts w:hint="cs"/>
          <w:vanish/>
          <w:rtl/>
        </w:rPr>
        <w:t xml:space="preserve"> עד בן שמונה עשרה ונולדו בו סימני סריס ולאחר מכאן הביא ב' שערות רב אמר נעשה סריס למפרע וז"ל ולקי על חלב שאכל דלא חשיב התראת ספק אף על גב דבשעת התראה היה ספק שמא יביא שערות קודם י"ח דהשתא מיהא איגלאי למפרע שהיה גדול בשעת התראה עכ"ל, וה"נ בתר הכי איגלאי למפרע שהיתה הזריעה עומדת ליקלט. אבל לדעתי אין זה נכון, דשאני התם שלא נתחדש שום דבר מה שלא היה מקודם והיה ראוי להשתנות אלא שנתברר הדבר אח"כ שכן היה גם מתחלה שהיה כבר גדול אלא שלא הכרנוהו אז ולכן אמרינן איגלאי מילתא למפרע ולא הוי התראת ספק, משא"כ הכא שענין הקלטה נתחדש בו אח"כ ומקודם היה אפשר גם להשתנות שפיר הוי התראת ספק דמי יימר שיקלט ולא שייך לומר בזה כסברת התוס' לגבי בירור לחוד ומכח זה תמה אני על השאגת אריה שבתשובתו שנעתקה מס' בית אפרים ונספחה עתה לס' שאג"א בסופו הביא דברי התוס' אלו וכתב שא"י מה יאמרו אהא דשבועות (דף ג' ע"ב) וש"ד שבועה שאוכל ככר זה היום ועבר היום ולא אכלו וכן בנותר דחשוב ליה התראת ספק והרי לאחר שעבר הלילה גבי נותר והיום גבי שבועה ידע העובר שעבר עבירה ובמה עבר ואפ"ה חשיב ליה התראת ספק. ודבריו ז"ל מתמיהין דמה זה ענין לדברי התוס' התם הרי נתברר הדבר למפרע שלא היה ספק בגדלותו אבל הכא מאי איגלאי למפרע איכא למימר הרי ודאי היה בידו מתחלה שלא להותיר עד בקר או לאכול את הככר באותו היום, ועוד יש לתמוה טובא בדבריו ז"ל ואכמ"ל ועיי' במל"מ הלכות סנהדרין (פט"ז הלכה ד'): ]ע"כ הגה"ה</w:t>
      </w:r>
      <w:r>
        <w:rPr>
          <w:rStyle w:val="afff7"/>
          <w:rFonts w:hint="cs"/>
          <w:vanish/>
          <w:rtl/>
        </w:rPr>
        <w:t>[</w:t>
      </w:r>
    </w:p>
    <w:p w14:paraId="288FBBDF" w14:textId="77777777" w:rsidR="001C69A8" w:rsidRPr="009E0E6A" w:rsidRDefault="001C69A8" w:rsidP="001C69A8">
      <w:pPr>
        <w:pStyle w:val="a7"/>
        <w:rPr>
          <w:rtl/>
        </w:rPr>
      </w:pPr>
      <w:bookmarkStart w:id="747" w:name="_Toc134347668"/>
      <w:r w:rsidRPr="009E0E6A">
        <w:rPr>
          <w:rFonts w:hint="cs"/>
          <w:rtl/>
        </w:rPr>
        <w:t>דחיית הדב"א דפטור דלא נעשית מחשבתו בשינוי בעיקר המעשה אך שינוי בתוצאה לא פוטר</w:t>
      </w:r>
      <w:bookmarkEnd w:id="747"/>
    </w:p>
    <w:p w14:paraId="2D27131C" w14:textId="77777777" w:rsidR="001C69A8" w:rsidRDefault="001C69A8" w:rsidP="00BC7DC8">
      <w:pPr>
        <w:pStyle w:val="a3"/>
        <w:rPr>
          <w:rtl/>
        </w:rPr>
      </w:pPr>
      <w:r w:rsidRPr="003C1DC2">
        <w:rPr>
          <w:rFonts w:hint="cs"/>
          <w:rtl/>
        </w:rPr>
        <w:t xml:space="preserve">אך דחה </w:t>
      </w:r>
      <w:r w:rsidRPr="00837DD8">
        <w:rPr>
          <w:rStyle w:val="aff4"/>
          <w:rFonts w:hint="cs"/>
          <w:vanish/>
          <w:rtl/>
        </w:rPr>
        <w:t>-</w:t>
      </w:r>
      <w:r w:rsidRPr="004E6839">
        <w:rPr>
          <w:rStyle w:val="aff4"/>
          <w:rFonts w:hint="cs"/>
          <w:rtl/>
        </w:rPr>
        <w:t>הדבר אברהם</w:t>
      </w:r>
      <w:r w:rsidRPr="00837DD8">
        <w:rPr>
          <w:rStyle w:val="aff4"/>
          <w:rFonts w:hint="cs"/>
          <w:vanish/>
          <w:rtl/>
        </w:rPr>
        <w:t>-</w:t>
      </w:r>
      <w:r w:rsidRPr="003C1DC2">
        <w:rPr>
          <w:rFonts w:hint="cs"/>
          <w:rtl/>
        </w:rPr>
        <w:t xml:space="preserve"> דא"א לומר דבאופה המלאכה נגמרת מיד, והרודה פת לפני האפיה פטור כיון דלא איתעבדא מחשבתו, דאפש"ל כן רק כשהיה שינוי בעיקר המלאכה, כמו זורק דהתכוין לזרוק למקום אחד ונפלה במקום אחר, אבל באופה אי המלאכה היא הנתינה בתנור, א"כ המלאכה נעשית כמחשבתו והוי מלאכת מחשבת, רק התוצאה של המלאכה לא נעשית, ודמי לבונה בית לדור בו ונשרף הבית, דא"א לומר דפטור כיון דלא איתעבדא מחשבתו, וא"כ א"א לומר דבאפיה המלאכה היא האפיה עצמה, אבל בזורע דחייב בשעת נתינה מוכח דהמלאכה היא רק נתינת הזרע במקום שראוי להזריע. </w:t>
      </w:r>
    </w:p>
    <w:p w14:paraId="4F14DC62" w14:textId="77777777" w:rsidR="001C69A8" w:rsidRPr="00B25C3F" w:rsidRDefault="001C69A8" w:rsidP="001C69A8">
      <w:pPr>
        <w:pStyle w:val="a7"/>
        <w:rPr>
          <w:rtl/>
        </w:rPr>
      </w:pPr>
    </w:p>
    <w:p w14:paraId="6E5772D1" w14:textId="77777777" w:rsidR="001C69A8" w:rsidRPr="00B25C3F" w:rsidRDefault="001C69A8" w:rsidP="001C69A8">
      <w:pPr>
        <w:pStyle w:val="a7"/>
        <w:rPr>
          <w:rtl/>
        </w:rPr>
      </w:pPr>
    </w:p>
    <w:p w14:paraId="2BDCA640" w14:textId="77777777" w:rsidR="001C69A8" w:rsidRPr="00B25C3F" w:rsidRDefault="001C69A8" w:rsidP="001C69A8">
      <w:pPr>
        <w:pStyle w:val="a7"/>
        <w:rPr>
          <w:rtl/>
        </w:rPr>
      </w:pPr>
    </w:p>
    <w:p w14:paraId="4AE2B57F" w14:textId="77777777" w:rsidR="001C69A8" w:rsidRPr="00B25C3F" w:rsidRDefault="001C69A8" w:rsidP="001C69A8">
      <w:pPr>
        <w:pStyle w:val="a7"/>
        <w:rPr>
          <w:rtl/>
        </w:rPr>
      </w:pPr>
    </w:p>
    <w:p w14:paraId="7659B794" w14:textId="77777777" w:rsidR="001C69A8" w:rsidRPr="00747170" w:rsidRDefault="001C69A8" w:rsidP="00747170">
      <w:pPr>
        <w:pStyle w:val="a2"/>
      </w:pPr>
      <w:r w:rsidRPr="00747170">
        <w:rPr>
          <w:rFonts w:hint="cs"/>
        </w:rPr>
        <w:t>אבל אי אפשר לומר כן שתהא מלאכת האופה נגמרת מיד עם ההדבקה בתנור ופטורא דרדה קודם שירקמו פניה משום לא נעשית מחשבתו, דעד כאן לא שייך לפטור משום לא נעשית מחשבתו אלא אם כן נשתנה ממחשבתו בעיקר מעשה המלאכה גופה בתוך השיעור הצריך לחיובה כמו בזורק דלא נעשית מחשבתו בעיקרה של מלאכת הזריקה גופה בתוך שיעור מעשה החיוב דהיינו קודם ההנחה שלא נגמרו מעשיו כמלאכת מחשבת ולא נעשה שיעור חיוב ועיקר המלאכה כמחשבתו, אבל אם גוף המלאכה כפי גדריה נעשה כמחשבתו אלא שהתכלית והתועלת שהיו צריכין לצאת אח"כ לפי מחשבתו ממלאכה זו לא יצאו כרצונו לא שייך לדון בזה לא נעשית מחשבתו שהרי גוף המלאכה נעשית כהוגן כמלאכת מחשבת, והגע בעצמך הבונה בית לדור בו ואחר שגמרו נשרף שלא נעשה כמחשבתו לדור בו אטו יפטר בשביל זה מחיוב בונה, וה"נ דכוותה שאם תאמר דענין המבשל הוי כעין זורע ששפיתת הקדירה אצל האש במקום שראויה להתבשל בלחוד הוי גוף המלאכה א"כ ע"י השפיתה כבר נעשה ונגמרה המלאכה כולה שבידו כתיקונה כמלאכת מחשבת ומאי איכפת לן תו אם הוסרה אח"כ מן האש ולא יצאה לפועל התועלת הצדדית שחשב שהיא חוץ מגוף המלאכה, ובזורע בודאי חייב מיד אף על פי שלא נקלטה אח"כ כיון דבשעת הזריעה ראויה ליקלט ואינו פטור אא"כ זרע במקום שא"א לה ליקלט מעיקרא. אלא ודאי מדחזינן דרדה את הפת קודם קרימת פנים פטור מוכח דעיקר המלאכה והחיוב של אופה לא הוי על מעשה ההדבקה בתנור לחוד אלא עם פעולת האפייה עד כדי קרימת פנים ביחד דוקא. וזה פשוט מאד ומבואר א"צ לאומרו כלל:</w:t>
      </w:r>
      <w:r w:rsidRPr="00747170">
        <w:rPr>
          <w:rFonts w:hint="cs"/>
          <w:rtl/>
        </w:rPr>
        <w:t>.</w:t>
      </w:r>
    </w:p>
    <w:p w14:paraId="6AE49EED" w14:textId="45D7CFDF" w:rsidR="001C69A8" w:rsidRDefault="001C69A8" w:rsidP="001C69A8">
      <w:pPr>
        <w:pStyle w:val="affff5"/>
        <w:rPr>
          <w:rtl/>
        </w:rPr>
      </w:pPr>
      <w:bookmarkStart w:id="748" w:name="_Toc134347669"/>
      <w:r>
        <w:rPr>
          <w:rFonts w:hint="cs"/>
          <w:rtl/>
        </w:rPr>
        <w:t>ראיות האחרו' אי חייב מיד או בהשרשה</w:t>
      </w:r>
      <w:bookmarkEnd w:id="748"/>
    </w:p>
    <w:p w14:paraId="5FB1D52B" w14:textId="77777777" w:rsidR="001C69A8" w:rsidRPr="00244E6D" w:rsidRDefault="001C69A8" w:rsidP="001C69A8">
      <w:pPr>
        <w:pStyle w:val="1"/>
        <w:rPr>
          <w:rtl/>
        </w:rPr>
      </w:pPr>
      <w:bookmarkStart w:id="749" w:name="_Toc134347670"/>
      <w:r>
        <w:rPr>
          <w:rFonts w:hint="cs"/>
          <w:rtl/>
        </w:rPr>
        <w:t>בי' האגל"ט דאף דמשמע דחייב בהשרשה מ"מ חייב מיד</w:t>
      </w:r>
      <w:bookmarkEnd w:id="749"/>
    </w:p>
    <w:p w14:paraId="444BC230" w14:textId="77777777" w:rsidR="001C69A8" w:rsidRDefault="001C69A8" w:rsidP="001C69A8">
      <w:pPr>
        <w:pStyle w:val="afffff7"/>
        <w:rPr>
          <w:rtl/>
        </w:rPr>
      </w:pPr>
      <w:bookmarkStart w:id="750" w:name="_Toc134550206"/>
      <w:bookmarkStart w:id="751" w:name="_Toc163505498"/>
      <w:r>
        <w:rPr>
          <w:rtl/>
        </w:rPr>
        <w:t>אגלי טל באורים מלאכת זורע</w:t>
      </w:r>
      <w:r>
        <w:rPr>
          <w:rFonts w:hint="cs"/>
          <w:rtl/>
        </w:rPr>
        <w:t xml:space="preserve"> סק"ח אות א</w:t>
      </w:r>
      <w:bookmarkEnd w:id="750"/>
      <w:bookmarkEnd w:id="751"/>
    </w:p>
    <w:p w14:paraId="29659709" w14:textId="77777777" w:rsidR="001C69A8" w:rsidRDefault="001C69A8" w:rsidP="001C69A8">
      <w:pPr>
        <w:pStyle w:val="a7"/>
        <w:rPr>
          <w:rtl/>
        </w:rPr>
      </w:pPr>
      <w:bookmarkStart w:id="752" w:name="_Toc134347671"/>
      <w:r>
        <w:rPr>
          <w:rFonts w:hint="cs"/>
          <w:rtl/>
        </w:rPr>
        <w:t>בי' האגל"ט דהטומן לפת שלא השריש דל"ה זרוע אף בטמון כולו כיון דאין כוונתו לזריעה</w:t>
      </w:r>
      <w:bookmarkEnd w:id="752"/>
      <w:r>
        <w:rPr>
          <w:rFonts w:hint="cs"/>
          <w:rtl/>
        </w:rPr>
        <w:t xml:space="preserve"> </w:t>
      </w:r>
    </w:p>
    <w:p w14:paraId="396007D1" w14:textId="5532D8C5" w:rsidR="001C69A8" w:rsidRDefault="001C69A8" w:rsidP="00BC7DC8">
      <w:pPr>
        <w:pStyle w:val="a3"/>
        <w:rPr>
          <w:rtl/>
        </w:rPr>
      </w:pPr>
      <w:bookmarkStart w:id="753" w:name="_Ref134177737"/>
      <w:r>
        <w:rPr>
          <w:rFonts w:hint="cs"/>
          <w:rtl/>
        </w:rPr>
        <w:t xml:space="preserve">כתב </w:t>
      </w:r>
      <w:r w:rsidRPr="00E87CC9">
        <w:rPr>
          <w:rStyle w:val="aff4"/>
          <w:rFonts w:hint="cs"/>
          <w:vanish/>
          <w:rtl/>
        </w:rPr>
        <w:t>-</w:t>
      </w:r>
      <w:r w:rsidRPr="003B4E24">
        <w:rPr>
          <w:rStyle w:val="aff4"/>
          <w:rFonts w:hint="cs"/>
          <w:rtl/>
        </w:rPr>
        <w:t>ה</w:t>
      </w:r>
      <w:r w:rsidRPr="00350A80">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Ref134177737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נא)</w:t>
      </w:r>
      <w:r>
        <w:rPr>
          <w:rStyle w:val="aff4"/>
          <w:vanish/>
          <w:rtl/>
        </w:rPr>
        <w:fldChar w:fldCharType="end"/>
      </w:r>
      <w:r w:rsidRPr="00350A80">
        <w:rPr>
          <w:rStyle w:val="aff4"/>
          <w:rFonts w:hint="cs"/>
          <w:vanish/>
          <w:rtl/>
        </w:rPr>
        <w:t xml:space="preserve"> &gt;</w:t>
      </w:r>
      <w:r w:rsidRPr="003B4E24">
        <w:rPr>
          <w:rStyle w:val="aff4"/>
          <w:rFonts w:hint="cs"/>
          <w:rtl/>
        </w:rPr>
        <w:t>אגלי טל</w:t>
      </w:r>
      <w:r w:rsidRPr="00E87CC9">
        <w:rPr>
          <w:rStyle w:val="aff4"/>
          <w:rFonts w:hint="cs"/>
          <w:vanish/>
          <w:rtl/>
        </w:rPr>
        <w:t>-</w:t>
      </w:r>
      <w:r>
        <w:rPr>
          <w:rFonts w:hint="cs"/>
          <w:rtl/>
        </w:rPr>
        <w:t xml:space="preserve"> </w:t>
      </w:r>
      <w:r w:rsidRPr="00277835">
        <w:rPr>
          <w:rStyle w:val="af2"/>
          <w:rFonts w:eastAsia="Guttman Hodes" w:hint="cs"/>
          <w:rtl/>
        </w:rPr>
        <w:t>(זורע סק"ח אות א')</w:t>
      </w:r>
      <w:r w:rsidRPr="00350A80">
        <w:rPr>
          <w:rFonts w:hint="cs"/>
          <w:vanish/>
          <w:rtl/>
        </w:rPr>
        <w:t>=</w:t>
      </w:r>
      <w:r>
        <w:rPr>
          <w:rFonts w:hint="cs"/>
          <w:rtl/>
        </w:rPr>
        <w:t xml:space="preserve"> דהיה אפשר להוכיח דהחיוב במלאכת זורע הוא בהשרשה כמו באפיה, ולא במעשה הזריעה עצמו, מהמשנה בכלאים </w:t>
      </w:r>
      <w:r w:rsidRPr="00277835">
        <w:rPr>
          <w:rStyle w:val="af2"/>
          <w:rFonts w:eastAsia="Guttman Hodes" w:hint="cs"/>
          <w:rtl/>
        </w:rPr>
        <w:t>(פ"א מ"ט)</w:t>
      </w:r>
      <w:r>
        <w:rPr>
          <w:rFonts w:hint="cs"/>
          <w:rtl/>
        </w:rPr>
        <w:t xml:space="preserve"> שהביאה הגמ' לעיל </w:t>
      </w:r>
      <w:r w:rsidRPr="00277835">
        <w:rPr>
          <w:rStyle w:val="af2"/>
          <w:rFonts w:eastAsia="Guttman Hodes" w:hint="cs"/>
          <w:rtl/>
        </w:rPr>
        <w:t>(נ:)</w:t>
      </w:r>
      <w:r>
        <w:rPr>
          <w:rFonts w:hint="cs"/>
          <w:rtl/>
        </w:rPr>
        <w:t xml:space="preserve"> דהטומן לפת וצנונות תחת הגפן, אם מקצת עליו מגולין אינו חושש לענין כלאים ושביעית וניטלין בשבת, וכתבו </w:t>
      </w:r>
      <w:r w:rsidRPr="00E87CC9">
        <w:rPr>
          <w:rStyle w:val="aff4"/>
          <w:rFonts w:hint="cs"/>
          <w:vanish/>
          <w:rtl/>
        </w:rPr>
        <w:t>-</w:t>
      </w:r>
      <w:r w:rsidRPr="003B4E24">
        <w:rPr>
          <w:rStyle w:val="aff4"/>
          <w:rFonts w:hint="cs"/>
          <w:rtl/>
        </w:rPr>
        <w:t>רש"י לעיל</w:t>
      </w:r>
      <w:r w:rsidRPr="00E87CC9">
        <w:rPr>
          <w:rStyle w:val="aff4"/>
          <w:rFonts w:hint="cs"/>
          <w:vanish/>
          <w:rtl/>
        </w:rPr>
        <w:t>-</w:t>
      </w:r>
      <w:r>
        <w:rPr>
          <w:rFonts w:hint="cs"/>
          <w:rtl/>
        </w:rPr>
        <w:t xml:space="preserve"> </w:t>
      </w:r>
      <w:r w:rsidRPr="00277835">
        <w:rPr>
          <w:rStyle w:val="af2"/>
          <w:rFonts w:eastAsia="Guttman Hodes" w:hint="cs"/>
          <w:rtl/>
        </w:rPr>
        <w:t>(נ: ד"ה הטומן)</w:t>
      </w:r>
      <w:r>
        <w:rPr>
          <w:rFonts w:hint="cs"/>
          <w:rtl/>
        </w:rPr>
        <w:t xml:space="preserve"> </w:t>
      </w:r>
      <w:r w:rsidRPr="00E87CC9">
        <w:rPr>
          <w:rStyle w:val="aff4"/>
          <w:rFonts w:hint="cs"/>
          <w:vanish/>
          <w:rtl/>
        </w:rPr>
        <w:t>-</w:t>
      </w:r>
      <w:r w:rsidRPr="003B4E24">
        <w:rPr>
          <w:rStyle w:val="aff4"/>
          <w:rFonts w:hint="cs"/>
          <w:rtl/>
        </w:rPr>
        <w:t>ותוס' לעיל</w:t>
      </w:r>
      <w:r w:rsidRPr="00E87CC9">
        <w:rPr>
          <w:rStyle w:val="aff4"/>
          <w:rFonts w:hint="cs"/>
          <w:vanish/>
          <w:rtl/>
        </w:rPr>
        <w:t>-</w:t>
      </w:r>
      <w:r>
        <w:rPr>
          <w:rFonts w:hint="cs"/>
          <w:rtl/>
        </w:rPr>
        <w:t xml:space="preserve"> </w:t>
      </w:r>
      <w:r w:rsidRPr="00277835">
        <w:rPr>
          <w:rStyle w:val="af2"/>
          <w:rFonts w:eastAsia="Guttman Hodes" w:hint="cs"/>
          <w:rtl/>
        </w:rPr>
        <w:t>(נ: ד"ה מקצת)</w:t>
      </w:r>
      <w:r>
        <w:rPr>
          <w:rFonts w:hint="cs"/>
          <w:rtl/>
        </w:rPr>
        <w:t xml:space="preserve"> דצריך שיהיו מקצת העלין מגולין, רק לענין טלטול העפר המוקצה שבת, אבל לענין שאר הדברים אף כשכולו טמון לא חשיב זורע, וביאר </w:t>
      </w:r>
      <w:r w:rsidRPr="00E87CC9">
        <w:rPr>
          <w:rStyle w:val="aff4"/>
          <w:rFonts w:hint="cs"/>
          <w:vanish/>
          <w:rtl/>
        </w:rPr>
        <w:t>-</w:t>
      </w:r>
      <w:r w:rsidRPr="003B4E24">
        <w:rPr>
          <w:rStyle w:val="aff4"/>
          <w:rFonts w:hint="cs"/>
          <w:rtl/>
        </w:rPr>
        <w:t>האגלי טל</w:t>
      </w:r>
      <w:r w:rsidRPr="00E87CC9">
        <w:rPr>
          <w:rStyle w:val="aff4"/>
          <w:rFonts w:hint="cs"/>
          <w:vanish/>
          <w:rtl/>
        </w:rPr>
        <w:t>-</w:t>
      </w:r>
      <w:r>
        <w:rPr>
          <w:rFonts w:hint="cs"/>
          <w:rtl/>
        </w:rPr>
        <w:t xml:space="preserve"> דכיון דאין כוונתו לזריעה לא הוי זורע.</w:t>
      </w:r>
      <w:bookmarkEnd w:id="753"/>
    </w:p>
    <w:p w14:paraId="3418A4B5" w14:textId="77777777" w:rsidR="001C69A8" w:rsidRPr="00747170" w:rsidRDefault="001C69A8" w:rsidP="00747170">
      <w:pPr>
        <w:pStyle w:val="a2"/>
      </w:pPr>
      <w:r w:rsidRPr="00747170">
        <w:rPr>
          <w:rtl/>
        </w:rPr>
        <w:t>[</w:t>
      </w:r>
      <w:r w:rsidRPr="00747170">
        <w:t>ח[ )א( ואפי' חזר ולקטן. ראיתי לבאר זה הדין אם יש לדמותו לרודה פת מן התנור טרם שתאפה דמפטר כבש"ס שבת ג': או לא. ונ"ל ראי' מהא דאיתא פ"א דכלאים מ"ט ומייתי לה במכילתין ד' נ'. הטומן לפת וצנונות תחת הגפן אם מקצת עלין מגולין אינו חושש משום כלאים ולא משום שביעית וניטלין בשבת וענין שביעית היינו לענין זריעה בשביעית [כמ"ש הר"מ בפי' המשנה והמאירי[ וכתבו רש"י ותוס' דהא דנקט עלין מגולין לענין נטלין בשבת קתני אבל באינך לא איכפת לן דאפי' כולו טמון לאו זריעה היא כיון שאינו מתכוין לנטיעה. וברשב"א ור"ן בחדושיהם משמע דאפי' השרישו אינו חושש משום שביעית כיון שלא התכוין לכך.</w:t>
      </w:r>
    </w:p>
    <w:p w14:paraId="30738E0B" w14:textId="619CF3D3" w:rsidR="001C69A8" w:rsidRPr="0076596A" w:rsidRDefault="001C69A8" w:rsidP="001C69A8">
      <w:pPr>
        <w:pStyle w:val="a7"/>
      </w:pPr>
      <w:bookmarkStart w:id="754" w:name="_Toc134347672"/>
      <w:r>
        <w:rPr>
          <w:rFonts w:hint="cs"/>
          <w:rtl/>
        </w:rPr>
        <w:t>קו' האגל"ט דאי בלא השריש הוי זרוע א"כ טומן לפת חייב אף בלא כוונת זריעה דהוא פס"ר</w:t>
      </w:r>
      <w:bookmarkEnd w:id="754"/>
    </w:p>
    <w:p w14:paraId="5C1D111D" w14:textId="77777777" w:rsidR="001C69A8" w:rsidRPr="00617FE6" w:rsidRDefault="001C69A8" w:rsidP="00BC7DC8">
      <w:pPr>
        <w:pStyle w:val="a3"/>
      </w:pPr>
      <w:bookmarkStart w:id="755" w:name="_Ref133858810"/>
      <w:r>
        <w:rPr>
          <w:rFonts w:hint="cs"/>
          <w:rtl/>
        </w:rPr>
        <w:t xml:space="preserve">וכתב </w:t>
      </w:r>
      <w:r w:rsidRPr="00E87CC9">
        <w:rPr>
          <w:rStyle w:val="aff4"/>
          <w:rFonts w:hint="cs"/>
          <w:vanish/>
          <w:rtl/>
        </w:rPr>
        <w:t>-</w:t>
      </w:r>
      <w:r w:rsidRPr="003B4E24">
        <w:rPr>
          <w:rStyle w:val="aff4"/>
          <w:rFonts w:hint="cs"/>
          <w:rtl/>
        </w:rPr>
        <w:t>האגלי טל</w:t>
      </w:r>
      <w:r w:rsidRPr="00E87CC9">
        <w:rPr>
          <w:rStyle w:val="aff4"/>
          <w:rFonts w:hint="cs"/>
          <w:vanish/>
          <w:rtl/>
        </w:rPr>
        <w:t>-</w:t>
      </w:r>
      <w:r>
        <w:rPr>
          <w:rFonts w:hint="cs"/>
          <w:rtl/>
        </w:rPr>
        <w:t xml:space="preserve"> דבפשטות משמע דחיוב זורע הוא רק בהשרשה, דהא אי נימא דחייב מיד בשעת הנתינה בקרקע, ואף אם קדם וסילק את הזרעים לפני שהשרישו חייב, א"כ א"א לומר דהטומן לפת בקרקע לא הוי זורע, דהוא פסיק רישיה, אבל אי חיוב זורע הוא רק בהשרשה, א"כ אפש"ל דכיון דאי"ז פסיק רישיה שישרישו לבסוף, כיון דאין כוונתו לזריעה כלל, לכן אף אם השרישו לבסוף מותר, דהא יתכן שלא ישרישו.</w:t>
      </w:r>
      <w:bookmarkEnd w:id="755"/>
    </w:p>
    <w:p w14:paraId="62266C8F" w14:textId="77777777" w:rsidR="001C69A8" w:rsidRPr="00747170" w:rsidRDefault="001C69A8" w:rsidP="00747170">
      <w:pPr>
        <w:pStyle w:val="a2"/>
      </w:pPr>
      <w:r w:rsidRPr="00747170">
        <w:t>והנה אם נאמר דחיוב זריעה הוא אפי' עקרן עד שלא השריש דחשוב זריעה תיכף כיון שראוי ליגדל א"כ מה בכך שלא נתכוין לזרוע הא פסיק רישי' הוא אלא ודאי דלא חשוב זריעה אלא בהשרשה וכיון שלא נתכוין לכך אפי' השריש לבסוף מותר שהי' אפשר שלא תשריש:</w:t>
      </w:r>
    </w:p>
    <w:p w14:paraId="771FA0C8" w14:textId="7027A1E8" w:rsidR="001C69A8" w:rsidRDefault="001C69A8" w:rsidP="001C69A8">
      <w:pPr>
        <w:pStyle w:val="afffff7"/>
        <w:rPr>
          <w:rtl/>
        </w:rPr>
      </w:pPr>
      <w:bookmarkStart w:id="756" w:name="_Toc134550207"/>
      <w:bookmarkStart w:id="757" w:name="_Toc163505499"/>
      <w:r>
        <w:rPr>
          <w:rtl/>
        </w:rPr>
        <w:t>אגלי טל באורים מלאכת זורע</w:t>
      </w:r>
      <w:r>
        <w:rPr>
          <w:rFonts w:hint="cs"/>
          <w:rtl/>
        </w:rPr>
        <w:t xml:space="preserve"> סק"ח אות ב</w:t>
      </w:r>
      <w:bookmarkEnd w:id="756"/>
      <w:bookmarkEnd w:id="757"/>
    </w:p>
    <w:p w14:paraId="13681C02" w14:textId="77777777" w:rsidR="001C69A8" w:rsidRDefault="001C69A8" w:rsidP="001C69A8">
      <w:pPr>
        <w:pStyle w:val="a7"/>
        <w:rPr>
          <w:rtl/>
        </w:rPr>
      </w:pPr>
      <w:bookmarkStart w:id="758" w:name="_Toc134347673"/>
      <w:r>
        <w:rPr>
          <w:rFonts w:hint="cs"/>
          <w:rtl/>
        </w:rPr>
        <w:t>דחיית האגל"ט דבטומן לפת ל"ה זרוע בלא השרשה רק לענין שביעית אך לשבת אין ראיה</w:t>
      </w:r>
      <w:bookmarkEnd w:id="758"/>
    </w:p>
    <w:p w14:paraId="1C073C3D" w14:textId="49B73F72" w:rsidR="001C69A8" w:rsidRPr="00A250EF" w:rsidRDefault="001C69A8" w:rsidP="00BC7DC8">
      <w:pPr>
        <w:pStyle w:val="a3"/>
        <w:rPr>
          <w:rtl/>
        </w:rPr>
      </w:pPr>
      <w:bookmarkStart w:id="759" w:name="_Ref133859090"/>
      <w:r>
        <w:rPr>
          <w:rFonts w:hint="cs"/>
          <w:rtl/>
        </w:rPr>
        <w:t xml:space="preserve">אך דחה </w:t>
      </w:r>
      <w:r w:rsidRPr="00E87CC9">
        <w:rPr>
          <w:rStyle w:val="aff4"/>
          <w:rFonts w:hint="cs"/>
          <w:vanish/>
          <w:rtl/>
        </w:rPr>
        <w:t>-</w:t>
      </w:r>
      <w:r w:rsidRPr="003B4E24">
        <w:rPr>
          <w:rStyle w:val="aff4"/>
          <w:rFonts w:hint="cs"/>
          <w:rtl/>
        </w:rPr>
        <w:t>ה</w:t>
      </w:r>
      <w:r w:rsidRPr="00350A80">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Ref133859090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נג)</w:t>
      </w:r>
      <w:r>
        <w:rPr>
          <w:rStyle w:val="aff4"/>
          <w:vanish/>
          <w:rtl/>
        </w:rPr>
        <w:fldChar w:fldCharType="end"/>
      </w:r>
      <w:r w:rsidRPr="00350A80">
        <w:rPr>
          <w:rStyle w:val="aff4"/>
          <w:rFonts w:hint="cs"/>
          <w:vanish/>
          <w:rtl/>
        </w:rPr>
        <w:t xml:space="preserve"> &gt;</w:t>
      </w:r>
      <w:r w:rsidRPr="003B4E24">
        <w:rPr>
          <w:rStyle w:val="aff4"/>
          <w:rFonts w:hint="cs"/>
          <w:rtl/>
        </w:rPr>
        <w:t>אגלי טל</w:t>
      </w:r>
      <w:r w:rsidRPr="00E87CC9">
        <w:rPr>
          <w:rStyle w:val="aff4"/>
          <w:rFonts w:hint="cs"/>
          <w:vanish/>
          <w:rtl/>
        </w:rPr>
        <w:t>-</w:t>
      </w:r>
      <w:r>
        <w:rPr>
          <w:rFonts w:hint="cs"/>
          <w:rtl/>
        </w:rPr>
        <w:t xml:space="preserve"> </w:t>
      </w:r>
      <w:r w:rsidRPr="00277835">
        <w:rPr>
          <w:rStyle w:val="af2"/>
          <w:rFonts w:eastAsia="Guttman Hodes" w:hint="cs"/>
          <w:rtl/>
        </w:rPr>
        <w:t>(זורע סק"ח אות ב')</w:t>
      </w:r>
      <w:r w:rsidRPr="00350A80">
        <w:rPr>
          <w:rFonts w:hint="cs"/>
          <w:vanish/>
          <w:rtl/>
        </w:rPr>
        <w:t>=</w:t>
      </w:r>
      <w:r>
        <w:rPr>
          <w:rFonts w:hint="cs"/>
          <w:rtl/>
        </w:rPr>
        <w:t xml:space="preserve"> דאפש"ל דהא דמבואר </w:t>
      </w:r>
      <w:r w:rsidRPr="00E87CC9">
        <w:rPr>
          <w:rStyle w:val="aff4"/>
          <w:rFonts w:hint="cs"/>
          <w:vanish/>
          <w:rtl/>
        </w:rPr>
        <w:t>-</w:t>
      </w:r>
      <w:r w:rsidRPr="003B4E24">
        <w:rPr>
          <w:rStyle w:val="aff4"/>
          <w:rFonts w:hint="cs"/>
          <w:rtl/>
        </w:rPr>
        <w:t>ברש"י ובתוס' לעיל</w:t>
      </w:r>
      <w:r w:rsidRPr="00E87CC9">
        <w:rPr>
          <w:rStyle w:val="aff4"/>
          <w:rFonts w:hint="cs"/>
          <w:vanish/>
          <w:rtl/>
        </w:rPr>
        <w:t>-</w:t>
      </w:r>
      <w:r>
        <w:rPr>
          <w:rFonts w:hint="cs"/>
          <w:rtl/>
        </w:rPr>
        <w:t xml:space="preserve"> דזריעה היא רק בהשרשה היינו דוקא לענין שביעית, דהא כתיב "ושבתה הארץ שבת לה'", וכמו מצינו בגמ' במנחות </w:t>
      </w:r>
      <w:r w:rsidRPr="00277835">
        <w:rPr>
          <w:rStyle w:val="af2"/>
          <w:rFonts w:eastAsia="Guttman Hodes" w:hint="cs"/>
          <w:rtl/>
        </w:rPr>
        <w:t>(עא.)</w:t>
      </w:r>
      <w:r>
        <w:rPr>
          <w:rFonts w:hint="cs"/>
          <w:rtl/>
        </w:rPr>
        <w:t xml:space="preserve"> דלענין העומר צריך השרשה, כיון דכתיב "אשר תזרע בשדה", ה"ה בשביעית דכתיב "שדך לא תזרע" דמשמע דהחיוב הוא רק בהשרשה, </w:t>
      </w:r>
      <w:r>
        <w:rPr>
          <w:rStyle w:val="af"/>
          <w:rFonts w:hint="cs"/>
          <w:rtl/>
        </w:rPr>
        <w:t>[</w:t>
      </w:r>
      <w:r w:rsidRPr="00277835">
        <w:rPr>
          <w:rStyle w:val="af"/>
          <w:rFonts w:hint="cs"/>
          <w:rtl/>
        </w:rPr>
        <w:t>ולכן אסור לזרוע בערב השביעית כיון דההשרשה היא בשביעית]</w:t>
      </w:r>
      <w:r w:rsidRPr="00563D63">
        <w:rPr>
          <w:rStyle w:val="af"/>
          <w:rFonts w:hint="cs"/>
          <w:rtl/>
        </w:rPr>
        <w:t>,</w:t>
      </w:r>
      <w:r w:rsidRPr="000E7D36">
        <w:rPr>
          <w:rStyle w:val="af"/>
          <w:rFonts w:hint="cs"/>
          <w:rtl/>
        </w:rPr>
        <w:t xml:space="preserve"> </w:t>
      </w:r>
      <w:r>
        <w:rPr>
          <w:rFonts w:hint="cs"/>
          <w:rtl/>
        </w:rPr>
        <w:t xml:space="preserve">אבל לענין שבת, כתב </w:t>
      </w:r>
      <w:r w:rsidRPr="00E87CC9">
        <w:rPr>
          <w:rStyle w:val="aff4"/>
          <w:rFonts w:hint="cs"/>
          <w:vanish/>
          <w:rtl/>
        </w:rPr>
        <w:t>-</w:t>
      </w:r>
      <w:r w:rsidRPr="003B4E24">
        <w:rPr>
          <w:rStyle w:val="aff4"/>
          <w:rFonts w:hint="cs"/>
          <w:rtl/>
        </w:rPr>
        <w:t>האגלי טל</w:t>
      </w:r>
      <w:r w:rsidRPr="00E87CC9">
        <w:rPr>
          <w:rStyle w:val="aff4"/>
          <w:rFonts w:hint="cs"/>
          <w:vanish/>
          <w:rtl/>
        </w:rPr>
        <w:t>-</w:t>
      </w:r>
      <w:r>
        <w:rPr>
          <w:rFonts w:hint="cs"/>
          <w:rtl/>
        </w:rPr>
        <w:t xml:space="preserve"> דאפש"ל דהחיוב הוא מיד כשנותן את הזרעים בקרקע, ועי' במה שדחה </w:t>
      </w:r>
      <w:r w:rsidRPr="00E87CC9">
        <w:rPr>
          <w:rStyle w:val="aff4"/>
          <w:rFonts w:hint="cs"/>
          <w:vanish/>
          <w:rtl/>
        </w:rPr>
        <w:t>-</w:t>
      </w:r>
      <w:r w:rsidRPr="003B4E24">
        <w:rPr>
          <w:rStyle w:val="aff4"/>
          <w:rFonts w:hint="cs"/>
          <w:rtl/>
        </w:rPr>
        <w:t>האגלי טל</w:t>
      </w:r>
      <w:r w:rsidRPr="00E87CC9">
        <w:rPr>
          <w:rStyle w:val="aff4"/>
          <w:rFonts w:hint="cs"/>
          <w:vanish/>
          <w:rtl/>
        </w:rPr>
        <w:t>-</w:t>
      </w:r>
      <w:r>
        <w:rPr>
          <w:rFonts w:hint="cs"/>
          <w:rtl/>
        </w:rPr>
        <w:t xml:space="preserve"> </w:t>
      </w:r>
      <w:r w:rsidRPr="00277835">
        <w:rPr>
          <w:rStyle w:val="af2"/>
          <w:rFonts w:eastAsia="Guttman Hodes" w:hint="cs"/>
          <w:rtl/>
        </w:rPr>
        <w:t xml:space="preserve">(עי' אות </w:t>
      </w:r>
      <w:r w:rsidRPr="00277835">
        <w:rPr>
          <w:rStyle w:val="af2"/>
          <w:rFonts w:eastAsia="Guttman Hodes"/>
          <w:rtl/>
        </w:rPr>
        <w:fldChar w:fldCharType="begin"/>
      </w:r>
      <w:r w:rsidRPr="00277835">
        <w:rPr>
          <w:rStyle w:val="af2"/>
          <w:rFonts w:eastAsia="Guttman Hodes"/>
          <w:rtl/>
        </w:rPr>
        <w:instrText xml:space="preserve"> </w:instrText>
      </w:r>
      <w:r w:rsidRPr="00277835">
        <w:rPr>
          <w:rStyle w:val="af2"/>
          <w:rFonts w:eastAsia="Guttman Hodes" w:hint="cs"/>
        </w:rPr>
        <w:instrText>REF</w:instrText>
      </w:r>
      <w:r w:rsidRPr="00277835">
        <w:rPr>
          <w:rStyle w:val="af2"/>
          <w:rFonts w:eastAsia="Guttman Hodes" w:hint="cs"/>
          <w:rtl/>
        </w:rPr>
        <w:instrText xml:space="preserve"> _</w:instrText>
      </w:r>
      <w:r w:rsidRPr="00277835">
        <w:rPr>
          <w:rStyle w:val="af2"/>
          <w:rFonts w:eastAsia="Guttman Hodes" w:hint="cs"/>
        </w:rPr>
        <w:instrText>Ref132792151 \r \h</w:instrText>
      </w:r>
      <w:r w:rsidRPr="00277835">
        <w:rPr>
          <w:rStyle w:val="af2"/>
          <w:rFonts w:eastAsia="Guttman Hodes"/>
          <w:rtl/>
        </w:rPr>
        <w:instrText xml:space="preserve"> </w:instrText>
      </w:r>
      <w:r w:rsidRPr="00277835">
        <w:rPr>
          <w:rStyle w:val="af2"/>
          <w:rFonts w:eastAsia="Guttman Hodes"/>
          <w:rtl/>
        </w:rPr>
      </w:r>
      <w:r w:rsidRPr="00277835">
        <w:rPr>
          <w:rStyle w:val="af2"/>
          <w:rFonts w:eastAsia="Guttman Hodes"/>
          <w:rtl/>
        </w:rPr>
        <w:fldChar w:fldCharType="separate"/>
      </w:r>
      <w:r w:rsidR="00D82181">
        <w:rPr>
          <w:rStyle w:val="af2"/>
          <w:rFonts w:eastAsia="Guttman Hodes"/>
          <w:cs/>
        </w:rPr>
        <w:t>‎</w:t>
      </w:r>
      <w:r w:rsidR="00D82181">
        <w:rPr>
          <w:rStyle w:val="af2"/>
          <w:rFonts w:eastAsia="Guttman Hodes"/>
          <w:rtl/>
        </w:rPr>
        <w:t>נח)</w:t>
      </w:r>
      <w:r w:rsidRPr="00277835">
        <w:rPr>
          <w:rStyle w:val="af2"/>
          <w:rFonts w:eastAsia="Guttman Hodes"/>
          <w:rtl/>
        </w:rPr>
        <w:fldChar w:fldCharType="end"/>
      </w:r>
      <w:r>
        <w:rPr>
          <w:rFonts w:hint="cs"/>
          <w:rtl/>
        </w:rPr>
        <w:t xml:space="preserve"> דבטומן לפת דאין כוונתו להשרשה, לא הוי זריעה כלל.</w:t>
      </w:r>
      <w:bookmarkEnd w:id="759"/>
    </w:p>
    <w:p w14:paraId="5C9EBCE3" w14:textId="77777777" w:rsidR="001C69A8" w:rsidRPr="00747170" w:rsidRDefault="001C69A8" w:rsidP="00747170">
      <w:pPr>
        <w:pStyle w:val="a2"/>
      </w:pPr>
      <w:r w:rsidRPr="00747170">
        <w:rPr>
          <w:rtl/>
        </w:rPr>
        <w:t>)</w:t>
      </w:r>
      <w:r w:rsidRPr="00747170">
        <w:t>ב( אולם יש לחלק בין זריעה דשביעית לזריעה דשבת דבשביעית דכתיב ושבתה הארץ שבת לד' לא מיחייב אלא בקליטת הקרקע וכדאי' במנחות [עא א[ לענין עומר דבעינן השרשה משום דכתיב אשר תזרע בשדה. וה"נ כיון דכתיב שדך לא תזרע לא מיחייב עד שיקלוט. אבל בשבת יש לומר דחייב תיכף בשעת זריעה. ומהאי טעמא בשביעית אסור אם זרע בערב שביעית רק שקולט בשביעית [עי' ר"ה דף יו"ד: ובתוס' ד"ה שלשים ושלשים[:</w:t>
      </w:r>
    </w:p>
    <w:p w14:paraId="50C12A4E" w14:textId="77777777" w:rsidR="001C69A8" w:rsidRDefault="001C69A8" w:rsidP="001C69A8">
      <w:pPr>
        <w:pStyle w:val="afffff7"/>
        <w:rPr>
          <w:rtl/>
        </w:rPr>
      </w:pPr>
      <w:bookmarkStart w:id="760" w:name="_Toc134550208"/>
      <w:bookmarkStart w:id="761" w:name="_Hlk132789266"/>
      <w:bookmarkStart w:id="762" w:name="_Toc163505500"/>
      <w:r>
        <w:rPr>
          <w:rtl/>
        </w:rPr>
        <w:t>אגלי טל באורים מלאכת זורע</w:t>
      </w:r>
      <w:r>
        <w:rPr>
          <w:rFonts w:hint="cs"/>
          <w:rtl/>
        </w:rPr>
        <w:t xml:space="preserve"> סק"ח אות ג</w:t>
      </w:r>
      <w:bookmarkEnd w:id="760"/>
      <w:bookmarkEnd w:id="762"/>
    </w:p>
    <w:p w14:paraId="1D80C403" w14:textId="77777777" w:rsidR="001C69A8" w:rsidRDefault="001C69A8" w:rsidP="001C69A8">
      <w:pPr>
        <w:pStyle w:val="a7"/>
        <w:rPr>
          <w:rtl/>
        </w:rPr>
      </w:pPr>
      <w:bookmarkStart w:id="763" w:name="_Toc134347674"/>
      <w:r>
        <w:rPr>
          <w:rFonts w:hint="cs"/>
          <w:rtl/>
        </w:rPr>
        <w:t>בי' האגל"ט במג"א דשורה חיטין במים לזמן מועט פטור דלא השריש ומבו' דחיוב זורע בהשרשה</w:t>
      </w:r>
      <w:bookmarkEnd w:id="763"/>
    </w:p>
    <w:p w14:paraId="6FEC5A1D" w14:textId="10A7131A" w:rsidR="001C69A8" w:rsidRDefault="001C69A8" w:rsidP="00BC7DC8">
      <w:pPr>
        <w:pStyle w:val="a3"/>
      </w:pPr>
      <w:bookmarkStart w:id="764" w:name="_Hlk133858133"/>
      <w:bookmarkStart w:id="765" w:name="_Ref134330480"/>
      <w:r>
        <w:rPr>
          <w:rFonts w:hint="cs"/>
          <w:rtl/>
        </w:rPr>
        <w:t xml:space="preserve">הביא </w:t>
      </w:r>
      <w:r w:rsidRPr="00E87CC9">
        <w:rPr>
          <w:rStyle w:val="aff4"/>
          <w:rFonts w:hint="cs"/>
          <w:vanish/>
          <w:rtl/>
        </w:rPr>
        <w:t>-</w:t>
      </w:r>
      <w:r w:rsidRPr="003B4E24">
        <w:rPr>
          <w:rStyle w:val="aff4"/>
          <w:rFonts w:hint="cs"/>
          <w:rtl/>
        </w:rPr>
        <w:t>ה</w:t>
      </w:r>
      <w:r w:rsidRPr="00350A80">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Ref133858092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נד)</w:t>
      </w:r>
      <w:r>
        <w:rPr>
          <w:rStyle w:val="aff4"/>
          <w:vanish/>
          <w:rtl/>
        </w:rPr>
        <w:fldChar w:fldCharType="end"/>
      </w:r>
      <w:r w:rsidRPr="00350A80">
        <w:rPr>
          <w:rStyle w:val="aff4"/>
          <w:rFonts w:hint="cs"/>
          <w:vanish/>
          <w:rtl/>
        </w:rPr>
        <w:t xml:space="preserve"> &gt;</w:t>
      </w:r>
      <w:r w:rsidRPr="003B4E24">
        <w:rPr>
          <w:rStyle w:val="aff4"/>
          <w:rFonts w:hint="cs"/>
          <w:rtl/>
        </w:rPr>
        <w:t>אגלי טל</w:t>
      </w:r>
      <w:r w:rsidRPr="00E87CC9">
        <w:rPr>
          <w:rStyle w:val="aff4"/>
          <w:rFonts w:hint="cs"/>
          <w:vanish/>
          <w:rtl/>
        </w:rPr>
        <w:t>-</w:t>
      </w:r>
      <w:r>
        <w:rPr>
          <w:rFonts w:hint="cs"/>
          <w:rtl/>
        </w:rPr>
        <w:t xml:space="preserve"> </w:t>
      </w:r>
      <w:r w:rsidRPr="00277835">
        <w:rPr>
          <w:rStyle w:val="af2"/>
          <w:rFonts w:eastAsia="Guttman Hodes" w:hint="cs"/>
          <w:rtl/>
        </w:rPr>
        <w:t>(זורע סק"ח אות ג')</w:t>
      </w:r>
      <w:r w:rsidRPr="00350A80">
        <w:rPr>
          <w:rFonts w:hint="cs"/>
          <w:vanish/>
          <w:rtl/>
        </w:rPr>
        <w:t>=</w:t>
      </w:r>
      <w:r>
        <w:rPr>
          <w:rFonts w:hint="cs"/>
          <w:rtl/>
        </w:rPr>
        <w:t xml:space="preserve"> </w:t>
      </w:r>
      <w:bookmarkStart w:id="766" w:name="_Ref133858092"/>
      <w:bookmarkEnd w:id="761"/>
      <w:bookmarkEnd w:id="764"/>
      <w:r>
        <w:rPr>
          <w:rFonts w:hint="cs"/>
          <w:rtl/>
        </w:rPr>
        <w:t xml:space="preserve">את ביאור </w:t>
      </w:r>
      <w:r w:rsidRPr="00E87CC9">
        <w:rPr>
          <w:rStyle w:val="aff4"/>
          <w:rFonts w:hint="cs"/>
          <w:vanish/>
          <w:rtl/>
        </w:rPr>
        <w:t>-</w:t>
      </w:r>
      <w:r w:rsidRPr="003B4E24">
        <w:rPr>
          <w:rStyle w:val="aff4"/>
          <w:rFonts w:hint="cs"/>
          <w:rtl/>
        </w:rPr>
        <w:t>המג"א</w:t>
      </w:r>
      <w:r w:rsidRPr="00E87CC9">
        <w:rPr>
          <w:rStyle w:val="aff4"/>
          <w:rFonts w:hint="cs"/>
          <w:vanish/>
          <w:rtl/>
        </w:rPr>
        <w:t>-</w:t>
      </w:r>
      <w:r>
        <w:rPr>
          <w:rFonts w:hint="cs"/>
          <w:rtl/>
        </w:rPr>
        <w:t xml:space="preserve"> </w:t>
      </w:r>
      <w:r w:rsidRPr="00277835">
        <w:rPr>
          <w:rStyle w:val="af2"/>
          <w:rFonts w:eastAsia="Guttman Hodes" w:hint="cs"/>
          <w:rtl/>
        </w:rPr>
        <w:t>(סי' של"ו סקי"ב, הובא בסימן א' אות צ"ד)</w:t>
      </w:r>
      <w:r>
        <w:rPr>
          <w:rFonts w:hint="cs"/>
          <w:rtl/>
        </w:rPr>
        <w:t xml:space="preserve"> בדעת </w:t>
      </w:r>
      <w:r w:rsidRPr="00E87CC9">
        <w:rPr>
          <w:rStyle w:val="aff4"/>
          <w:rFonts w:hint="cs"/>
          <w:vanish/>
          <w:rtl/>
        </w:rPr>
        <w:t>-</w:t>
      </w:r>
      <w:r w:rsidRPr="003B4E24">
        <w:rPr>
          <w:rStyle w:val="aff4"/>
          <w:rFonts w:hint="cs"/>
          <w:rtl/>
        </w:rPr>
        <w:t>הרמב"ם</w:t>
      </w:r>
      <w:r w:rsidRPr="00E87CC9">
        <w:rPr>
          <w:rStyle w:val="aff4"/>
          <w:rFonts w:hint="cs"/>
          <w:vanish/>
          <w:rtl/>
        </w:rPr>
        <w:t>-</w:t>
      </w:r>
      <w:r>
        <w:rPr>
          <w:rFonts w:hint="cs"/>
          <w:rtl/>
        </w:rPr>
        <w:t xml:space="preserve"> </w:t>
      </w:r>
      <w:r w:rsidRPr="00277835">
        <w:rPr>
          <w:rStyle w:val="af2"/>
          <w:rFonts w:eastAsia="Guttman Hodes" w:hint="cs"/>
          <w:rtl/>
        </w:rPr>
        <w:t>(שבת פ"ח ה"ב, הובא בסימן א' אות ע"ט)</w:t>
      </w:r>
      <w:r>
        <w:rPr>
          <w:rFonts w:hint="cs"/>
          <w:rtl/>
        </w:rPr>
        <w:t xml:space="preserve"> דהחיוב בשורה זרעים במים הוא רק כששרה אותם לזמן מרובה, וכתב </w:t>
      </w:r>
      <w:r w:rsidRPr="00E87CC9">
        <w:rPr>
          <w:rStyle w:val="aff4"/>
          <w:rFonts w:hint="cs"/>
          <w:vanish/>
          <w:rtl/>
        </w:rPr>
        <w:t>-</w:t>
      </w:r>
      <w:r w:rsidRPr="003B4E24">
        <w:rPr>
          <w:rStyle w:val="aff4"/>
          <w:rFonts w:hint="cs"/>
          <w:rtl/>
        </w:rPr>
        <w:t>האגלי טל</w:t>
      </w:r>
      <w:r w:rsidRPr="00E87CC9">
        <w:rPr>
          <w:rStyle w:val="aff4"/>
          <w:rFonts w:hint="cs"/>
          <w:vanish/>
          <w:rtl/>
        </w:rPr>
        <w:t>-</w:t>
      </w:r>
      <w:r>
        <w:rPr>
          <w:rFonts w:hint="cs"/>
          <w:rtl/>
        </w:rPr>
        <w:t xml:space="preserve"> דמשמע מזה דהחיוב בזריעה הוא רק בהשרשה, דהא אי מתחייב מיד בשעת הזריעה כיון דע"י הזריעה הזרע ראוי לצמוח, א"כ אף בשורה חיטין במים יתחייב מיד כיון דהם ראויים לשהות ולהשריש.</w:t>
      </w:r>
      <w:bookmarkEnd w:id="765"/>
      <w:bookmarkEnd w:id="766"/>
      <w:r>
        <w:rPr>
          <w:rFonts w:hint="cs"/>
          <w:rtl/>
        </w:rPr>
        <w:t xml:space="preserve"> </w:t>
      </w:r>
    </w:p>
    <w:p w14:paraId="5949FF1F" w14:textId="77777777" w:rsidR="001C69A8" w:rsidRPr="00747170" w:rsidRDefault="001C69A8" w:rsidP="00747170">
      <w:pPr>
        <w:pStyle w:val="a2"/>
      </w:pPr>
      <w:r w:rsidRPr="00747170">
        <w:rPr>
          <w:rtl/>
        </w:rPr>
        <w:t>)</w:t>
      </w:r>
      <w:r w:rsidRPr="00747170">
        <w:t>ג( אך יש להעיר מהא דכתב הרמב"ם [פ"ח ה"ב[ ויובא אי"ה לפנינו בסמוך השורה חיטין ושעורין במים חייב משום זורע. וציינו המ"מ והכ"מ מש"ס זבחים צ"ד: והכי איתא שם שרה זרע פשתן חייב ופריך אילימא משום דמקדח. אי הכי אפי' חיטין ושעורין נמי. ומשני משום דעביד לישה. והוא תמוה דלכאורה מפורש להיפך. וצ"ל דהרמב"ם פי' אלא משום דעביד לישה חייב תיכף. משא"כ בחיטין ושעורין חייב דוקא בשריי' זמן מרובה עד שיצמחו. ושוב מצאתי כן במג"א סי' של"ו [ס"ק י"ב[. ואי אמרת דבזורע חייב תיכף בשעת זריעה כיון שראוי לצמוח. א"כ בשריי' נמי נימא דחייב תיכף כיון שראוי להשהותן ויצמחו</w:t>
      </w:r>
      <w:r w:rsidRPr="00747170">
        <w:rPr>
          <w:rFonts w:hint="cs"/>
        </w:rPr>
        <w:t>.</w:t>
      </w:r>
    </w:p>
    <w:p w14:paraId="06CD3A62" w14:textId="28398175" w:rsidR="001C69A8" w:rsidRPr="00913B12" w:rsidRDefault="001C69A8" w:rsidP="001C69A8">
      <w:pPr>
        <w:pStyle w:val="a7"/>
      </w:pPr>
      <w:bookmarkStart w:id="767" w:name="_Toc134347675"/>
      <w:r>
        <w:rPr>
          <w:rFonts w:hint="cs"/>
          <w:rtl/>
        </w:rPr>
        <w:t>דחיית האגל"ט דהחיוב זורע בנתינה והנותן למים לזמן מועט פטור אך בע"מ להשהות חייב מיד</w:t>
      </w:r>
      <w:bookmarkEnd w:id="767"/>
    </w:p>
    <w:p w14:paraId="0A456738" w14:textId="77777777" w:rsidR="001C69A8" w:rsidRPr="00EE4F32" w:rsidRDefault="001C69A8" w:rsidP="00BC7DC8">
      <w:pPr>
        <w:pStyle w:val="a3"/>
        <w:rPr>
          <w:rtl/>
        </w:rPr>
      </w:pPr>
      <w:bookmarkStart w:id="768" w:name="_Ref134330456"/>
      <w:r>
        <w:rPr>
          <w:rFonts w:hint="cs"/>
          <w:rtl/>
        </w:rPr>
        <w:t xml:space="preserve">ודחה </w:t>
      </w:r>
      <w:r w:rsidRPr="00E87CC9">
        <w:rPr>
          <w:rStyle w:val="aff4"/>
          <w:rFonts w:hint="cs"/>
          <w:vanish/>
          <w:rtl/>
        </w:rPr>
        <w:t>-</w:t>
      </w:r>
      <w:r w:rsidRPr="003B4E24">
        <w:rPr>
          <w:rStyle w:val="aff4"/>
          <w:rFonts w:hint="cs"/>
          <w:rtl/>
        </w:rPr>
        <w:t>האגלי טל</w:t>
      </w:r>
      <w:r w:rsidRPr="00E87CC9">
        <w:rPr>
          <w:rStyle w:val="aff4"/>
          <w:rFonts w:hint="cs"/>
          <w:vanish/>
          <w:rtl/>
        </w:rPr>
        <w:t>-</w:t>
      </w:r>
      <w:r>
        <w:rPr>
          <w:rFonts w:hint="cs"/>
          <w:rtl/>
        </w:rPr>
        <w:t xml:space="preserve"> דאפש"ל דבאמת החיוב בזריעה הוא רק בהשרשה, אך זהו דוקא בזורע בקרקע דדעתו להשהות את הזרע בה, אבל בשורה חיטין במים, באופן דדעתו להוציאן מהמים, א"כ אינם עומדים להצמיח כלל, אך כתב </w:t>
      </w:r>
      <w:r w:rsidRPr="00E87CC9">
        <w:rPr>
          <w:rStyle w:val="aff4"/>
          <w:rFonts w:hint="cs"/>
          <w:vanish/>
          <w:rtl/>
        </w:rPr>
        <w:t>-</w:t>
      </w:r>
      <w:r w:rsidRPr="003B4E24">
        <w:rPr>
          <w:rStyle w:val="aff4"/>
          <w:rFonts w:hint="cs"/>
          <w:rtl/>
        </w:rPr>
        <w:t>האגלי טל</w:t>
      </w:r>
      <w:r w:rsidRPr="00E87CC9">
        <w:rPr>
          <w:rStyle w:val="aff4"/>
          <w:rFonts w:hint="cs"/>
          <w:vanish/>
          <w:rtl/>
        </w:rPr>
        <w:t>-</w:t>
      </w:r>
      <w:r>
        <w:rPr>
          <w:rFonts w:hint="cs"/>
          <w:rtl/>
        </w:rPr>
        <w:t xml:space="preserve"> דבאופן שהוא שורה את החיטין במים ודעתו להשרותם לזמן מרובה, חייב מיד בשעת נתינתם למים. </w:t>
      </w:r>
      <w:r>
        <w:rPr>
          <w:rStyle w:val="af"/>
          <w:rFonts w:hint="cs"/>
          <w:rtl/>
        </w:rPr>
        <w:t>[</w:t>
      </w:r>
      <w:r w:rsidRPr="00277835">
        <w:rPr>
          <w:rStyle w:val="af"/>
          <w:rFonts w:hint="cs"/>
          <w:rtl/>
        </w:rPr>
        <w:t xml:space="preserve">וכ"כ </w:t>
      </w:r>
      <w:r w:rsidRPr="001E13AC">
        <w:rPr>
          <w:rStyle w:val="aff9"/>
          <w:rFonts w:hint="cs"/>
          <w:vanish/>
          <w:rtl/>
        </w:rPr>
        <w:t>-</w:t>
      </w:r>
      <w:r w:rsidRPr="00277835">
        <w:rPr>
          <w:rStyle w:val="aff9"/>
          <w:rFonts w:hint="cs"/>
          <w:rtl/>
        </w:rPr>
        <w:t>המשנ"ב</w:t>
      </w:r>
      <w:r w:rsidRPr="001E13AC">
        <w:rPr>
          <w:rStyle w:val="aff9"/>
          <w:rFonts w:hint="cs"/>
          <w:vanish/>
          <w:rtl/>
        </w:rPr>
        <w:t>-</w:t>
      </w:r>
      <w:r w:rsidRPr="00277835">
        <w:rPr>
          <w:rStyle w:val="af"/>
          <w:rFonts w:hint="cs"/>
          <w:rtl/>
        </w:rPr>
        <w:t xml:space="preserve"> </w:t>
      </w:r>
      <w:r w:rsidRPr="00277835">
        <w:rPr>
          <w:rStyle w:val="aff0"/>
          <w:rtl/>
        </w:rPr>
        <w:t>(סי' של"ו סק"נ, נ"א</w:t>
      </w:r>
      <w:r w:rsidRPr="00277835">
        <w:rPr>
          <w:rStyle w:val="aff0"/>
          <w:rFonts w:hint="cs"/>
          <w:rtl/>
        </w:rPr>
        <w:t>, הובא בסימן א' אות קי"ב)</w:t>
      </w:r>
      <w:r w:rsidRPr="00277835">
        <w:rPr>
          <w:rStyle w:val="af"/>
          <w:rFonts w:hint="cs"/>
          <w:rtl/>
        </w:rPr>
        <w:t xml:space="preserve"> דבכה"ג אף </w:t>
      </w:r>
      <w:r w:rsidRPr="001E13AC">
        <w:rPr>
          <w:rStyle w:val="aff9"/>
          <w:rFonts w:hint="cs"/>
          <w:vanish/>
          <w:rtl/>
        </w:rPr>
        <w:t>-</w:t>
      </w:r>
      <w:r w:rsidRPr="00277835">
        <w:rPr>
          <w:rStyle w:val="aff9"/>
          <w:rFonts w:hint="cs"/>
          <w:rtl/>
        </w:rPr>
        <w:t>המג"א</w:t>
      </w:r>
      <w:r w:rsidRPr="001E13AC">
        <w:rPr>
          <w:rStyle w:val="aff9"/>
          <w:rFonts w:hint="cs"/>
          <w:vanish/>
          <w:rtl/>
        </w:rPr>
        <w:t>-</w:t>
      </w:r>
      <w:r w:rsidRPr="00277835">
        <w:rPr>
          <w:rStyle w:val="af"/>
          <w:rFonts w:hint="cs"/>
          <w:rtl/>
        </w:rPr>
        <w:t xml:space="preserve"> מודה דחייב מיד, ודלא כביאור </w:t>
      </w:r>
      <w:r w:rsidRPr="001E13AC">
        <w:rPr>
          <w:rStyle w:val="aff9"/>
          <w:rFonts w:hint="cs"/>
          <w:vanish/>
          <w:rtl/>
        </w:rPr>
        <w:t>-</w:t>
      </w:r>
      <w:r w:rsidRPr="00277835">
        <w:rPr>
          <w:rStyle w:val="aff9"/>
          <w:rFonts w:hint="cs"/>
          <w:rtl/>
        </w:rPr>
        <w:t>הנשמת אדם</w:t>
      </w:r>
      <w:r w:rsidRPr="001E13AC">
        <w:rPr>
          <w:rStyle w:val="aff9"/>
          <w:rFonts w:hint="cs"/>
          <w:vanish/>
          <w:rtl/>
        </w:rPr>
        <w:t>-</w:t>
      </w:r>
      <w:r w:rsidRPr="00277835">
        <w:rPr>
          <w:rStyle w:val="af"/>
          <w:rFonts w:hint="cs"/>
          <w:rtl/>
        </w:rPr>
        <w:t xml:space="preserve"> </w:t>
      </w:r>
      <w:r w:rsidRPr="00277835">
        <w:rPr>
          <w:rStyle w:val="aff0"/>
          <w:rFonts w:hint="cs"/>
          <w:rtl/>
        </w:rPr>
        <w:t>(שבת כלל י"א אות א' הובא בסימן א' אות ק')</w:t>
      </w:r>
      <w:r w:rsidRPr="00277835">
        <w:rPr>
          <w:rStyle w:val="af"/>
          <w:rFonts w:hint="cs"/>
          <w:rtl/>
        </w:rPr>
        <w:t xml:space="preserve"> בדברי </w:t>
      </w:r>
      <w:r w:rsidRPr="001E13AC">
        <w:rPr>
          <w:rStyle w:val="aff9"/>
          <w:rFonts w:hint="cs"/>
          <w:vanish/>
          <w:rtl/>
        </w:rPr>
        <w:t>-</w:t>
      </w:r>
      <w:r w:rsidRPr="00277835">
        <w:rPr>
          <w:rStyle w:val="aff9"/>
          <w:rFonts w:hint="cs"/>
          <w:rtl/>
        </w:rPr>
        <w:t>המג"א</w:t>
      </w:r>
      <w:r w:rsidRPr="001E13AC">
        <w:rPr>
          <w:rStyle w:val="aff9"/>
          <w:rFonts w:hint="cs"/>
          <w:vanish/>
          <w:rtl/>
        </w:rPr>
        <w:t>-</w:t>
      </w:r>
      <w:r w:rsidRPr="00277835">
        <w:rPr>
          <w:rStyle w:val="af"/>
          <w:rFonts w:hint="cs"/>
          <w:rtl/>
        </w:rPr>
        <w:t xml:space="preserve"> </w:t>
      </w:r>
      <w:r w:rsidRPr="00277835">
        <w:rPr>
          <w:rStyle w:val="aff0"/>
          <w:rFonts w:hint="cs"/>
          <w:rtl/>
        </w:rPr>
        <w:t>(סי' של"ו סקי"ב, הובא בסימן א' אות צ"ד)</w:t>
      </w:r>
      <w:r w:rsidRPr="00277835">
        <w:rPr>
          <w:rStyle w:val="af"/>
          <w:rFonts w:hint="cs"/>
          <w:rtl/>
        </w:rPr>
        <w:t>]</w:t>
      </w:r>
      <w:r w:rsidRPr="00563D63">
        <w:rPr>
          <w:rStyle w:val="af"/>
          <w:rFonts w:hint="cs"/>
          <w:rtl/>
        </w:rPr>
        <w:t>.</w:t>
      </w:r>
      <w:bookmarkEnd w:id="768"/>
    </w:p>
    <w:p w14:paraId="239589DD" w14:textId="77777777" w:rsidR="001C69A8" w:rsidRPr="00747170" w:rsidRDefault="001C69A8" w:rsidP="00747170">
      <w:pPr>
        <w:pStyle w:val="a2"/>
      </w:pPr>
      <w:r w:rsidRPr="00747170">
        <w:t>מיהו יש לומר דדוקא בזורע דדעתו לשהותן. משא"כ בשורה חיטין ושעורין שדעתו להוציאן א"כ אינו עומד לצמוח. ובאמת אם שורה חיטין ושעורין במים כדי שיצמחו חייב תיכף משעה ששרה וכמו שיתבאר לקמן ס"ק ט"ז י"ז בס"ד:</w:t>
      </w:r>
    </w:p>
    <w:p w14:paraId="3AD6B7CE" w14:textId="2B216888" w:rsidR="001C69A8" w:rsidRDefault="001C69A8" w:rsidP="001C69A8">
      <w:pPr>
        <w:pStyle w:val="afffff7"/>
        <w:rPr>
          <w:rtl/>
        </w:rPr>
      </w:pPr>
      <w:bookmarkStart w:id="769" w:name="_Toc134550209"/>
      <w:bookmarkStart w:id="770" w:name="_Toc163505501"/>
      <w:r>
        <w:rPr>
          <w:rtl/>
        </w:rPr>
        <w:t>אגלי טל באורים מלאכת זורע</w:t>
      </w:r>
      <w:r>
        <w:rPr>
          <w:rFonts w:hint="cs"/>
          <w:rtl/>
        </w:rPr>
        <w:t xml:space="preserve"> סק"ח אות ד</w:t>
      </w:r>
      <w:bookmarkEnd w:id="769"/>
      <w:bookmarkEnd w:id="770"/>
    </w:p>
    <w:p w14:paraId="5A562F7A" w14:textId="77777777" w:rsidR="001C69A8" w:rsidRDefault="001C69A8" w:rsidP="001C69A8">
      <w:pPr>
        <w:pStyle w:val="a7"/>
        <w:rPr>
          <w:rtl/>
        </w:rPr>
      </w:pPr>
      <w:bookmarkStart w:id="771" w:name="_Toc134347676"/>
      <w:r>
        <w:rPr>
          <w:rFonts w:hint="cs"/>
          <w:rtl/>
        </w:rPr>
        <w:t>בי' האגל"ט ביראים דאסר להניח חיטין בשיעור שיכולים להשריש דהחיוב רק בהשרשה</w:t>
      </w:r>
      <w:bookmarkEnd w:id="771"/>
      <w:r>
        <w:rPr>
          <w:rFonts w:hint="cs"/>
          <w:rtl/>
        </w:rPr>
        <w:t xml:space="preserve"> </w:t>
      </w:r>
    </w:p>
    <w:p w14:paraId="37684CC3" w14:textId="4ECCBF46" w:rsidR="001C69A8" w:rsidRDefault="001C69A8" w:rsidP="00BC7DC8">
      <w:pPr>
        <w:pStyle w:val="a3"/>
        <w:rPr>
          <w:rtl/>
        </w:rPr>
      </w:pPr>
      <w:bookmarkStart w:id="772" w:name="_Ref133859083"/>
      <w:r>
        <w:rPr>
          <w:rFonts w:hint="cs"/>
          <w:rtl/>
        </w:rPr>
        <w:lastRenderedPageBreak/>
        <w:t xml:space="preserve">והביא </w:t>
      </w:r>
      <w:r w:rsidRPr="00E87CC9">
        <w:rPr>
          <w:rStyle w:val="aff4"/>
          <w:rFonts w:hint="cs"/>
          <w:vanish/>
          <w:rtl/>
        </w:rPr>
        <w:t>-</w:t>
      </w:r>
      <w:r w:rsidRPr="003B4E24">
        <w:rPr>
          <w:rStyle w:val="aff4"/>
          <w:rFonts w:hint="cs"/>
          <w:rtl/>
        </w:rPr>
        <w:t>ה</w:t>
      </w:r>
      <w:r w:rsidRPr="00350A80">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Ref133859083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נו)</w:t>
      </w:r>
      <w:r>
        <w:rPr>
          <w:rStyle w:val="aff4"/>
          <w:vanish/>
          <w:rtl/>
        </w:rPr>
        <w:fldChar w:fldCharType="end"/>
      </w:r>
      <w:r w:rsidRPr="00350A80">
        <w:rPr>
          <w:rStyle w:val="aff4"/>
          <w:rFonts w:hint="cs"/>
          <w:vanish/>
          <w:rtl/>
        </w:rPr>
        <w:t xml:space="preserve"> &gt;</w:t>
      </w:r>
      <w:r w:rsidRPr="003B4E24">
        <w:rPr>
          <w:rStyle w:val="aff4"/>
          <w:rFonts w:hint="cs"/>
          <w:rtl/>
        </w:rPr>
        <w:t>אגלי טל</w:t>
      </w:r>
      <w:r w:rsidRPr="00E87CC9">
        <w:rPr>
          <w:rStyle w:val="aff4"/>
          <w:rFonts w:hint="cs"/>
          <w:vanish/>
          <w:rtl/>
        </w:rPr>
        <w:t>-</w:t>
      </w:r>
      <w:r>
        <w:rPr>
          <w:rFonts w:hint="cs"/>
          <w:rtl/>
        </w:rPr>
        <w:t xml:space="preserve"> </w:t>
      </w:r>
      <w:r w:rsidRPr="00277835">
        <w:rPr>
          <w:rStyle w:val="af2"/>
          <w:rFonts w:eastAsia="Guttman Hodes" w:hint="cs"/>
          <w:rtl/>
        </w:rPr>
        <w:t>(זורע סק"ח אות ד')</w:t>
      </w:r>
      <w:r w:rsidRPr="00350A80">
        <w:rPr>
          <w:rFonts w:hint="cs"/>
          <w:vanish/>
          <w:rtl/>
        </w:rPr>
        <w:t>=</w:t>
      </w:r>
      <w:r>
        <w:rPr>
          <w:rFonts w:hint="cs"/>
          <w:rtl/>
        </w:rPr>
        <w:t xml:space="preserve"> את דברי </w:t>
      </w:r>
      <w:r w:rsidRPr="00E87CC9">
        <w:rPr>
          <w:rStyle w:val="aff4"/>
          <w:rFonts w:hint="cs"/>
          <w:vanish/>
          <w:rtl/>
        </w:rPr>
        <w:t>-</w:t>
      </w:r>
      <w:r w:rsidRPr="003B4E24">
        <w:rPr>
          <w:rStyle w:val="aff4"/>
          <w:rFonts w:hint="cs"/>
          <w:rtl/>
        </w:rPr>
        <w:t>היראים</w:t>
      </w:r>
      <w:r w:rsidRPr="00E87CC9">
        <w:rPr>
          <w:rStyle w:val="aff4"/>
          <w:rFonts w:hint="cs"/>
          <w:vanish/>
          <w:rtl/>
        </w:rPr>
        <w:t>-</w:t>
      </w:r>
      <w:r>
        <w:rPr>
          <w:rFonts w:hint="cs"/>
          <w:rtl/>
        </w:rPr>
        <w:t xml:space="preserve"> </w:t>
      </w:r>
      <w:r w:rsidRPr="00277835">
        <w:rPr>
          <w:rStyle w:val="af2"/>
          <w:rFonts w:eastAsia="Guttman Hodes" w:hint="cs"/>
          <w:rtl/>
        </w:rPr>
        <w:t xml:space="preserve">(עי' אות </w:t>
      </w:r>
      <w:r w:rsidRPr="00277835">
        <w:rPr>
          <w:rStyle w:val="af2"/>
          <w:rFonts w:eastAsia="Guttman Hodes"/>
          <w:rtl/>
        </w:rPr>
        <w:fldChar w:fldCharType="begin"/>
      </w:r>
      <w:r w:rsidRPr="00277835">
        <w:rPr>
          <w:rStyle w:val="af2"/>
          <w:rFonts w:eastAsia="Guttman Hodes"/>
          <w:rtl/>
        </w:rPr>
        <w:instrText xml:space="preserve"> </w:instrText>
      </w:r>
      <w:r w:rsidRPr="00277835">
        <w:rPr>
          <w:rStyle w:val="af2"/>
          <w:rFonts w:eastAsia="Guttman Hodes" w:hint="cs"/>
        </w:rPr>
        <w:instrText>REF</w:instrText>
      </w:r>
      <w:r w:rsidRPr="00277835">
        <w:rPr>
          <w:rStyle w:val="af2"/>
          <w:rFonts w:eastAsia="Guttman Hodes" w:hint="cs"/>
          <w:rtl/>
        </w:rPr>
        <w:instrText xml:space="preserve"> _</w:instrText>
      </w:r>
      <w:r w:rsidRPr="00277835">
        <w:rPr>
          <w:rStyle w:val="af2"/>
          <w:rFonts w:eastAsia="Guttman Hodes" w:hint="cs"/>
        </w:rPr>
        <w:instrText>Ref134106758 \r \h</w:instrText>
      </w:r>
      <w:r w:rsidRPr="00277835">
        <w:rPr>
          <w:rStyle w:val="af2"/>
          <w:rFonts w:eastAsia="Guttman Hodes"/>
          <w:rtl/>
        </w:rPr>
        <w:instrText xml:space="preserve"> </w:instrText>
      </w:r>
      <w:r w:rsidRPr="00277835">
        <w:rPr>
          <w:rStyle w:val="af2"/>
          <w:rFonts w:eastAsia="Guttman Hodes"/>
          <w:rtl/>
        </w:rPr>
      </w:r>
      <w:r w:rsidRPr="00277835">
        <w:rPr>
          <w:rStyle w:val="af2"/>
          <w:rFonts w:eastAsia="Guttman Hodes"/>
          <w:rtl/>
        </w:rPr>
        <w:fldChar w:fldCharType="separate"/>
      </w:r>
      <w:r w:rsidR="00D82181">
        <w:rPr>
          <w:rStyle w:val="af2"/>
          <w:rFonts w:eastAsia="Guttman Hodes"/>
          <w:cs/>
        </w:rPr>
        <w:t>‎</w:t>
      </w:r>
      <w:r w:rsidR="00D82181">
        <w:rPr>
          <w:rStyle w:val="af2"/>
          <w:rFonts w:eastAsia="Guttman Hodes"/>
          <w:rtl/>
        </w:rPr>
        <w:t>מז)</w:t>
      </w:r>
      <w:r w:rsidRPr="00277835">
        <w:rPr>
          <w:rStyle w:val="af2"/>
          <w:rFonts w:eastAsia="Guttman Hodes"/>
          <w:rtl/>
        </w:rPr>
        <w:fldChar w:fldCharType="end"/>
      </w:r>
      <w:r w:rsidRPr="0009734A">
        <w:rPr>
          <w:rStyle w:val="af2"/>
          <w:rFonts w:eastAsia="Guttman Hodes" w:hint="cs"/>
          <w:rtl/>
        </w:rPr>
        <w:t xml:space="preserve"> </w:t>
      </w:r>
      <w:r>
        <w:rPr>
          <w:rFonts w:hint="cs"/>
          <w:rtl/>
        </w:rPr>
        <w:t xml:space="preserve">דכתב דמותר להניח זרעים לפני תרנגולים בשיעור שיאכלו רק בב' ימים, ואסור להניח בשיעור גדול יותר דיכולים להשריש, ומשמע מזה דהחיוב הוא רק בהשרשה, ועי' במ"ש </w:t>
      </w:r>
      <w:r w:rsidRPr="00244E6D">
        <w:rPr>
          <w:rStyle w:val="aff4"/>
          <w:rFonts w:hint="cs"/>
          <w:vanish/>
          <w:rtl/>
        </w:rPr>
        <w:t>-</w:t>
      </w:r>
      <w:r w:rsidRPr="00244E6D">
        <w:rPr>
          <w:rStyle w:val="aff4"/>
          <w:rFonts w:hint="cs"/>
          <w:rtl/>
        </w:rPr>
        <w:t>המשנ"ב</w:t>
      </w:r>
      <w:r w:rsidRPr="00244E6D">
        <w:rPr>
          <w:rStyle w:val="aff4"/>
          <w:rFonts w:hint="cs"/>
          <w:vanish/>
          <w:rtl/>
        </w:rPr>
        <w:t>-</w:t>
      </w:r>
      <w:r>
        <w:rPr>
          <w:rFonts w:hint="cs"/>
          <w:rtl/>
        </w:rPr>
        <w:t xml:space="preserve"> </w:t>
      </w:r>
      <w:r w:rsidRPr="00277835">
        <w:rPr>
          <w:rStyle w:val="af2"/>
          <w:rFonts w:eastAsia="Guttman Hodes" w:hint="cs"/>
          <w:rtl/>
        </w:rPr>
        <w:t xml:space="preserve">(עי' אות </w:t>
      </w:r>
      <w:r w:rsidRPr="00277835">
        <w:rPr>
          <w:rStyle w:val="af2"/>
          <w:rFonts w:eastAsia="Guttman Hodes"/>
          <w:rtl/>
        </w:rPr>
        <w:fldChar w:fldCharType="begin"/>
      </w:r>
      <w:r w:rsidRPr="00277835">
        <w:rPr>
          <w:rStyle w:val="af2"/>
          <w:rFonts w:eastAsia="Guttman Hodes"/>
          <w:rtl/>
        </w:rPr>
        <w:instrText xml:space="preserve"> </w:instrText>
      </w:r>
      <w:r w:rsidRPr="00277835">
        <w:rPr>
          <w:rStyle w:val="af2"/>
          <w:rFonts w:eastAsia="Guttman Hodes" w:hint="cs"/>
        </w:rPr>
        <w:instrText>REF</w:instrText>
      </w:r>
      <w:r w:rsidRPr="00277835">
        <w:rPr>
          <w:rStyle w:val="af2"/>
          <w:rFonts w:eastAsia="Guttman Hodes" w:hint="cs"/>
          <w:rtl/>
        </w:rPr>
        <w:instrText xml:space="preserve"> _</w:instrText>
      </w:r>
      <w:r w:rsidRPr="00277835">
        <w:rPr>
          <w:rStyle w:val="af2"/>
          <w:rFonts w:eastAsia="Guttman Hodes" w:hint="cs"/>
        </w:rPr>
        <w:instrText>Ref134106758 \r \h</w:instrText>
      </w:r>
      <w:r w:rsidRPr="00277835">
        <w:rPr>
          <w:rStyle w:val="af2"/>
          <w:rFonts w:eastAsia="Guttman Hodes"/>
          <w:rtl/>
        </w:rPr>
        <w:instrText xml:space="preserve"> </w:instrText>
      </w:r>
      <w:r w:rsidRPr="00277835">
        <w:rPr>
          <w:rStyle w:val="af2"/>
          <w:rFonts w:eastAsia="Guttman Hodes"/>
          <w:rtl/>
        </w:rPr>
      </w:r>
      <w:r w:rsidRPr="00277835">
        <w:rPr>
          <w:rStyle w:val="af2"/>
          <w:rFonts w:eastAsia="Guttman Hodes"/>
          <w:rtl/>
        </w:rPr>
        <w:fldChar w:fldCharType="separate"/>
      </w:r>
      <w:r w:rsidR="00D82181">
        <w:rPr>
          <w:rStyle w:val="af2"/>
          <w:rFonts w:eastAsia="Guttman Hodes"/>
          <w:cs/>
        </w:rPr>
        <w:t>‎</w:t>
      </w:r>
      <w:r w:rsidR="00D82181">
        <w:rPr>
          <w:rStyle w:val="af2"/>
          <w:rFonts w:eastAsia="Guttman Hodes"/>
          <w:rtl/>
        </w:rPr>
        <w:t>מז)</w:t>
      </w:r>
      <w:r w:rsidRPr="00277835">
        <w:rPr>
          <w:rStyle w:val="af2"/>
          <w:rFonts w:eastAsia="Guttman Hodes"/>
          <w:rtl/>
        </w:rPr>
        <w:fldChar w:fldCharType="end"/>
      </w:r>
      <w:r>
        <w:rPr>
          <w:rFonts w:hint="cs"/>
          <w:rtl/>
        </w:rPr>
        <w:t xml:space="preserve"> בזה.</w:t>
      </w:r>
      <w:bookmarkEnd w:id="772"/>
    </w:p>
    <w:p w14:paraId="3755AED4" w14:textId="77777777" w:rsidR="001C69A8" w:rsidRPr="00747170" w:rsidRDefault="001C69A8" w:rsidP="00747170">
      <w:pPr>
        <w:pStyle w:val="a2"/>
      </w:pPr>
      <w:r w:rsidRPr="00747170">
        <w:rPr>
          <w:rtl/>
        </w:rPr>
        <w:t>)</w:t>
      </w:r>
      <w:r w:rsidRPr="00747170">
        <w:t>ד( וכ"כ יש לומר בהא דכתב הספר יראים ויובא אי"ה לפנינו [ס"ק כ"ה[ בנותן לפני התרנגולים לאכול לא יתן הרבה רק בכדי שיוכלו לאכול בשני ימים קודם שיצמחו</w:t>
      </w:r>
      <w:r w:rsidRPr="00747170">
        <w:rPr>
          <w:rFonts w:hint="cs"/>
        </w:rPr>
        <w:t>.</w:t>
      </w:r>
    </w:p>
    <w:p w14:paraId="6D20DA9F" w14:textId="2352FE0D" w:rsidR="001C69A8" w:rsidRPr="002A4951" w:rsidRDefault="001C69A8" w:rsidP="001C69A8">
      <w:pPr>
        <w:pStyle w:val="a7"/>
      </w:pPr>
      <w:bookmarkStart w:id="773" w:name="_Toc134347677"/>
      <w:r>
        <w:rPr>
          <w:rFonts w:hint="cs"/>
          <w:rtl/>
        </w:rPr>
        <w:t>דחיית האגל"ט דבכוונה להשריש חייב מיד ובספק אם יאכלום מותר דאי"ז פס"ר שישרישו</w:t>
      </w:r>
      <w:bookmarkEnd w:id="773"/>
    </w:p>
    <w:p w14:paraId="206FFD46" w14:textId="74D5DCFE" w:rsidR="001C69A8" w:rsidRDefault="001C69A8" w:rsidP="00BC7DC8">
      <w:pPr>
        <w:pStyle w:val="a3"/>
        <w:rPr>
          <w:rtl/>
        </w:rPr>
      </w:pPr>
      <w:r>
        <w:rPr>
          <w:rFonts w:hint="cs"/>
          <w:rtl/>
        </w:rPr>
        <w:t xml:space="preserve">אך כתב </w:t>
      </w:r>
      <w:r w:rsidRPr="00E87CC9">
        <w:rPr>
          <w:rStyle w:val="aff4"/>
          <w:rFonts w:hint="cs"/>
          <w:vanish/>
          <w:rtl/>
        </w:rPr>
        <w:t>-</w:t>
      </w:r>
      <w:r w:rsidRPr="003B4E24">
        <w:rPr>
          <w:rStyle w:val="aff4"/>
          <w:rFonts w:hint="cs"/>
          <w:rtl/>
        </w:rPr>
        <w:t>האגלי טל</w:t>
      </w:r>
      <w:r w:rsidRPr="00E87CC9">
        <w:rPr>
          <w:rStyle w:val="aff4"/>
          <w:rFonts w:hint="cs"/>
          <w:vanish/>
          <w:rtl/>
        </w:rPr>
        <w:t>-</w:t>
      </w:r>
      <w:r>
        <w:rPr>
          <w:rFonts w:hint="cs"/>
          <w:rtl/>
        </w:rPr>
        <w:t xml:space="preserve"> דגם בזה אפש"ל דכל שמניח בשיעור שיכולים להשריש אח"כ, החיוב הוא מיד בשעת נתינת הזרעים, וכתב </w:t>
      </w:r>
      <w:r w:rsidRPr="00E87CC9">
        <w:rPr>
          <w:rStyle w:val="aff4"/>
          <w:rFonts w:hint="cs"/>
          <w:vanish/>
          <w:rtl/>
        </w:rPr>
        <w:t>-</w:t>
      </w:r>
      <w:r w:rsidRPr="003B4E24">
        <w:rPr>
          <w:rStyle w:val="aff4"/>
          <w:rFonts w:hint="cs"/>
          <w:rtl/>
        </w:rPr>
        <w:t>האגלי טל</w:t>
      </w:r>
      <w:r w:rsidRPr="00E87CC9">
        <w:rPr>
          <w:rStyle w:val="aff4"/>
          <w:rFonts w:hint="cs"/>
          <w:vanish/>
          <w:rtl/>
        </w:rPr>
        <w:t>-</w:t>
      </w:r>
      <w:r>
        <w:rPr>
          <w:rFonts w:hint="cs"/>
          <w:rtl/>
        </w:rPr>
        <w:t xml:space="preserve"> דלפי"ז באופן שיש ספק אי התרנגולים יאכלו את הזרעים או לא, אף דאינו פסיק רישיה, מ"מ אסור להניחם שם, כיון דהחיוב הוא מיד בשעת הזריעה, </w:t>
      </w:r>
      <w:r>
        <w:rPr>
          <w:rStyle w:val="af"/>
          <w:rFonts w:hint="cs"/>
          <w:rtl/>
        </w:rPr>
        <w:t>[</w:t>
      </w:r>
      <w:r w:rsidRPr="00277835">
        <w:rPr>
          <w:rStyle w:val="af"/>
          <w:rFonts w:hint="cs"/>
          <w:rtl/>
        </w:rPr>
        <w:t>ואם לא יאכלו התרנגולים יתברר למפרע דהוא זורע]</w:t>
      </w:r>
      <w:r>
        <w:rPr>
          <w:rStyle w:val="af"/>
          <w:rFonts w:hint="cs"/>
          <w:rtl/>
        </w:rPr>
        <w:t>,</w:t>
      </w:r>
      <w:r w:rsidRPr="00DD5282">
        <w:rPr>
          <w:rFonts w:hint="cs"/>
          <w:rtl/>
        </w:rPr>
        <w:t xml:space="preserve"> </w:t>
      </w:r>
      <w:r>
        <w:rPr>
          <w:rFonts w:hint="cs"/>
          <w:rtl/>
        </w:rPr>
        <w:t xml:space="preserve">אך הביא </w:t>
      </w:r>
      <w:r w:rsidRPr="00E87CC9">
        <w:rPr>
          <w:rStyle w:val="aff4"/>
          <w:rFonts w:hint="cs"/>
          <w:vanish/>
          <w:rtl/>
        </w:rPr>
        <w:t>-</w:t>
      </w:r>
      <w:r w:rsidRPr="003B4E24">
        <w:rPr>
          <w:rStyle w:val="aff4"/>
          <w:rFonts w:hint="cs"/>
          <w:rtl/>
        </w:rPr>
        <w:t>האגלי טל</w:t>
      </w:r>
      <w:r w:rsidRPr="00E87CC9">
        <w:rPr>
          <w:rStyle w:val="aff4"/>
          <w:rFonts w:hint="cs"/>
          <w:vanish/>
          <w:rtl/>
        </w:rPr>
        <w:t>-</w:t>
      </w:r>
      <w:r>
        <w:rPr>
          <w:rFonts w:hint="cs"/>
          <w:rtl/>
        </w:rPr>
        <w:t xml:space="preserve"> את דברי </w:t>
      </w:r>
      <w:r w:rsidRPr="00E87CC9">
        <w:rPr>
          <w:rStyle w:val="aff4"/>
          <w:rFonts w:hint="cs"/>
          <w:vanish/>
          <w:rtl/>
        </w:rPr>
        <w:t>-</w:t>
      </w:r>
      <w:r w:rsidRPr="003B4E24">
        <w:rPr>
          <w:rStyle w:val="aff4"/>
          <w:rFonts w:hint="cs"/>
          <w:rtl/>
        </w:rPr>
        <w:t>הגר"ז</w:t>
      </w:r>
      <w:r w:rsidRPr="00E87CC9">
        <w:rPr>
          <w:rStyle w:val="aff4"/>
          <w:rFonts w:hint="cs"/>
          <w:vanish/>
          <w:rtl/>
        </w:rPr>
        <w:t>-</w:t>
      </w:r>
      <w:r>
        <w:rPr>
          <w:rFonts w:hint="cs"/>
          <w:rtl/>
        </w:rPr>
        <w:t xml:space="preserve"> </w:t>
      </w:r>
      <w:r w:rsidRPr="00277835">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Ref134304738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מו)</w:t>
      </w:r>
      <w:r>
        <w:rPr>
          <w:rStyle w:val="af2"/>
          <w:rFonts w:eastAsia="Guttman Hodes"/>
          <w:rtl/>
        </w:rPr>
        <w:fldChar w:fldCharType="end"/>
      </w:r>
      <w:r>
        <w:rPr>
          <w:rFonts w:hint="cs"/>
          <w:rtl/>
        </w:rPr>
        <w:t xml:space="preserve"> דהתיר לשרות חיטין במים לבהמה, במקום שיש ספק אם תאכל הבהמה, ומוכח דס"ל </w:t>
      </w:r>
      <w:r w:rsidRPr="00E87CC9">
        <w:rPr>
          <w:rStyle w:val="aff4"/>
          <w:rFonts w:hint="cs"/>
          <w:vanish/>
          <w:rtl/>
        </w:rPr>
        <w:t>-</w:t>
      </w:r>
      <w:r w:rsidRPr="003B4E24">
        <w:rPr>
          <w:rStyle w:val="aff4"/>
          <w:rFonts w:hint="cs"/>
          <w:rtl/>
        </w:rPr>
        <w:t>להגר"ז</w:t>
      </w:r>
      <w:r w:rsidRPr="00E87CC9">
        <w:rPr>
          <w:rStyle w:val="aff4"/>
          <w:rFonts w:hint="cs"/>
          <w:vanish/>
          <w:rtl/>
        </w:rPr>
        <w:t>-</w:t>
      </w:r>
      <w:r>
        <w:rPr>
          <w:rFonts w:hint="cs"/>
          <w:rtl/>
        </w:rPr>
        <w:t xml:space="preserve"> דהאיסור הוא רק בהשרשה ולא בנתינת הזרעים.</w:t>
      </w:r>
    </w:p>
    <w:p w14:paraId="0354357C" w14:textId="77777777" w:rsidR="001C69A8" w:rsidRPr="00747170" w:rsidRDefault="001C69A8" w:rsidP="00747170">
      <w:pPr>
        <w:pStyle w:val="a2"/>
      </w:pPr>
      <w:r w:rsidRPr="00747170">
        <w:t>דאף דחיוב זורע חל תיכף מ"מ כיון שאינו עומד לצמוח מחמת שיאכלוהו התרנגולים לא הוי זורע. אולם לפי"ז נראה דאם אינו ברור שיאכלוהו התרנגולים אף דאפשר שיאכלוהו התרנגולים ולא הוי פסיק רישי' לענין צמיחה מ"מ כיון דאפשר שיצמח חשוב זורע והוי פסיק רישי' לענין זריעה ואסור.</w:t>
      </w:r>
      <w:r w:rsidRPr="00747170">
        <w:rPr>
          <w:rFonts w:hint="cs"/>
        </w:rPr>
        <w:t xml:space="preserve"> </w:t>
      </w:r>
      <w:r w:rsidRPr="00747170">
        <w:t>ובש"ע מהרב ]של"ו סעי' י"ז</w:t>
      </w:r>
      <w:r w:rsidRPr="00747170">
        <w:rPr>
          <w:rFonts w:hint="cs"/>
          <w:rtl/>
        </w:rPr>
        <w:t>]</w:t>
      </w:r>
      <w:r w:rsidRPr="00747170">
        <w:t xml:space="preserve"> ראיתי שמתיר אפי' באופן זה ומוכח לכאורה דאין איסור אלא בצמיחה ממש:</w:t>
      </w:r>
    </w:p>
    <w:p w14:paraId="50947B5C" w14:textId="6D277524" w:rsidR="001C69A8" w:rsidRDefault="001C69A8" w:rsidP="001C69A8">
      <w:pPr>
        <w:pStyle w:val="afffff7"/>
        <w:rPr>
          <w:rtl/>
        </w:rPr>
      </w:pPr>
      <w:bookmarkStart w:id="774" w:name="_Toc134550210"/>
      <w:bookmarkStart w:id="775" w:name="_Toc163505502"/>
      <w:r>
        <w:rPr>
          <w:rtl/>
        </w:rPr>
        <w:t>אגלי טל באורים מלאכת זורע</w:t>
      </w:r>
      <w:r>
        <w:rPr>
          <w:rFonts w:hint="cs"/>
          <w:rtl/>
        </w:rPr>
        <w:t xml:space="preserve"> סק"ח אות ה</w:t>
      </w:r>
      <w:bookmarkEnd w:id="774"/>
      <w:bookmarkEnd w:id="775"/>
    </w:p>
    <w:p w14:paraId="6B4D63CB" w14:textId="77777777" w:rsidR="001C69A8" w:rsidRDefault="001C69A8" w:rsidP="001C69A8">
      <w:pPr>
        <w:pStyle w:val="a7"/>
        <w:rPr>
          <w:rtl/>
        </w:rPr>
      </w:pPr>
      <w:bookmarkStart w:id="776" w:name="_Toc134347678"/>
      <w:r>
        <w:rPr>
          <w:rFonts w:hint="cs"/>
          <w:rtl/>
        </w:rPr>
        <w:t>בי' האגל"ט דכל שאינו רוצה בהשרשה כלל לא חשיב זורע ואינו דרך ובלא פס"ר מותר</w:t>
      </w:r>
      <w:bookmarkEnd w:id="776"/>
    </w:p>
    <w:p w14:paraId="12FA5EC1" w14:textId="1AE1B5DE" w:rsidR="001C69A8" w:rsidRDefault="001C69A8" w:rsidP="00BC7DC8">
      <w:pPr>
        <w:pStyle w:val="a3"/>
        <w:rPr>
          <w:rtl/>
        </w:rPr>
      </w:pPr>
      <w:bookmarkStart w:id="777" w:name="_Ref132792151"/>
      <w:r>
        <w:rPr>
          <w:rFonts w:hint="cs"/>
          <w:rtl/>
        </w:rPr>
        <w:t xml:space="preserve">עי' במ"ש </w:t>
      </w:r>
      <w:r w:rsidRPr="000650B4">
        <w:rPr>
          <w:rStyle w:val="aff4"/>
          <w:rFonts w:hint="cs"/>
          <w:vanish/>
          <w:rtl/>
        </w:rPr>
        <w:t>-</w:t>
      </w:r>
      <w:r w:rsidRPr="00410BCE">
        <w:rPr>
          <w:rStyle w:val="aff4"/>
          <w:rFonts w:hint="cs"/>
          <w:rtl/>
        </w:rPr>
        <w:t>האגלי טל</w:t>
      </w:r>
      <w:r w:rsidRPr="000650B4">
        <w:rPr>
          <w:rStyle w:val="aff4"/>
          <w:rFonts w:hint="cs"/>
          <w:vanish/>
          <w:rtl/>
        </w:rPr>
        <w:t>-</w:t>
      </w:r>
      <w:r>
        <w:rPr>
          <w:rFonts w:hint="cs"/>
          <w:rtl/>
        </w:rPr>
        <w:t xml:space="preserve"> </w:t>
      </w:r>
      <w:r w:rsidRPr="00277835">
        <w:rPr>
          <w:rStyle w:val="af2"/>
          <w:rFonts w:eastAsia="Guttman Hodes" w:hint="cs"/>
          <w:rtl/>
        </w:rPr>
        <w:t xml:space="preserve">(עי' אות </w:t>
      </w:r>
      <w:r w:rsidRPr="00277835">
        <w:rPr>
          <w:rStyle w:val="af2"/>
          <w:rFonts w:eastAsia="Guttman Hodes"/>
          <w:rtl/>
        </w:rPr>
        <w:fldChar w:fldCharType="begin"/>
      </w:r>
      <w:r w:rsidRPr="00277835">
        <w:rPr>
          <w:rStyle w:val="af2"/>
          <w:rFonts w:eastAsia="Guttman Hodes"/>
          <w:rtl/>
        </w:rPr>
        <w:instrText xml:space="preserve"> </w:instrText>
      </w:r>
      <w:r w:rsidRPr="00277835">
        <w:rPr>
          <w:rStyle w:val="af2"/>
          <w:rFonts w:eastAsia="Guttman Hodes" w:hint="cs"/>
        </w:rPr>
        <w:instrText>REF</w:instrText>
      </w:r>
      <w:r w:rsidRPr="00277835">
        <w:rPr>
          <w:rStyle w:val="af2"/>
          <w:rFonts w:eastAsia="Guttman Hodes" w:hint="cs"/>
          <w:rtl/>
        </w:rPr>
        <w:instrText xml:space="preserve"> _</w:instrText>
      </w:r>
      <w:r w:rsidRPr="00277835">
        <w:rPr>
          <w:rStyle w:val="af2"/>
          <w:rFonts w:eastAsia="Guttman Hodes" w:hint="cs"/>
        </w:rPr>
        <w:instrText>Ref133858810 \r \h</w:instrText>
      </w:r>
      <w:r w:rsidRPr="00277835">
        <w:rPr>
          <w:rStyle w:val="af2"/>
          <w:rFonts w:eastAsia="Guttman Hodes"/>
          <w:rtl/>
        </w:rPr>
        <w:instrText xml:space="preserve"> </w:instrText>
      </w:r>
      <w:r w:rsidRPr="00277835">
        <w:rPr>
          <w:rStyle w:val="af2"/>
          <w:rFonts w:eastAsia="Guttman Hodes"/>
          <w:rtl/>
        </w:rPr>
      </w:r>
      <w:r w:rsidRPr="00277835">
        <w:rPr>
          <w:rStyle w:val="af2"/>
          <w:rFonts w:eastAsia="Guttman Hodes"/>
          <w:rtl/>
        </w:rPr>
        <w:fldChar w:fldCharType="separate"/>
      </w:r>
      <w:r w:rsidR="00D82181">
        <w:rPr>
          <w:rStyle w:val="af2"/>
          <w:rFonts w:eastAsia="Guttman Hodes"/>
          <w:cs/>
        </w:rPr>
        <w:t>‎</w:t>
      </w:r>
      <w:r w:rsidR="00D82181">
        <w:rPr>
          <w:rStyle w:val="af2"/>
          <w:rFonts w:eastAsia="Guttman Hodes"/>
          <w:rtl/>
        </w:rPr>
        <w:t>נב)</w:t>
      </w:r>
      <w:r w:rsidRPr="00277835">
        <w:rPr>
          <w:rStyle w:val="af2"/>
          <w:rFonts w:eastAsia="Guttman Hodes"/>
          <w:rtl/>
        </w:rPr>
        <w:fldChar w:fldCharType="end"/>
      </w:r>
      <w:r>
        <w:rPr>
          <w:rFonts w:hint="cs"/>
          <w:rtl/>
        </w:rPr>
        <w:t xml:space="preserve"> להוכיח מהמשנה בכלאים בטומן לפת דכל שלא השריש לא הוי זרוע, ודחה </w:t>
      </w:r>
      <w:r w:rsidRPr="00E87CC9">
        <w:rPr>
          <w:rStyle w:val="aff4"/>
          <w:rFonts w:hint="cs"/>
          <w:vanish/>
          <w:rtl/>
        </w:rPr>
        <w:t>-</w:t>
      </w:r>
      <w:r w:rsidRPr="003B4E24">
        <w:rPr>
          <w:rStyle w:val="aff4"/>
          <w:rFonts w:hint="cs"/>
          <w:rtl/>
        </w:rPr>
        <w:t>ה</w:t>
      </w:r>
      <w:r w:rsidRPr="00350A80">
        <w:rPr>
          <w:rStyle w:val="aff4"/>
          <w:rFonts w:hint="cs"/>
          <w:vanish/>
          <w:rtl/>
        </w:rPr>
        <w:t xml:space="preserve">&lt;. </w:t>
      </w:r>
      <w:r w:rsidRPr="00350A80">
        <w:rPr>
          <w:rStyle w:val="aff4"/>
          <w:vanish/>
          <w:rtl/>
        </w:rPr>
        <w:fldChar w:fldCharType="begin"/>
      </w:r>
      <w:r w:rsidRPr="00350A80">
        <w:rPr>
          <w:rStyle w:val="aff4"/>
          <w:vanish/>
          <w:rtl/>
        </w:rPr>
        <w:instrText xml:space="preserve"> </w:instrText>
      </w:r>
      <w:r w:rsidRPr="00350A80">
        <w:rPr>
          <w:rStyle w:val="aff4"/>
          <w:rFonts w:hint="cs"/>
          <w:vanish/>
        </w:rPr>
        <w:instrText>REF</w:instrText>
      </w:r>
      <w:r w:rsidRPr="00350A80">
        <w:rPr>
          <w:rStyle w:val="aff4"/>
          <w:rFonts w:hint="cs"/>
          <w:vanish/>
          <w:rtl/>
        </w:rPr>
        <w:instrText xml:space="preserve"> _</w:instrText>
      </w:r>
      <w:r w:rsidRPr="00350A80">
        <w:rPr>
          <w:rStyle w:val="aff4"/>
          <w:rFonts w:hint="cs"/>
          <w:vanish/>
        </w:rPr>
        <w:instrText>Ref132792151 \r \h</w:instrText>
      </w:r>
      <w:r w:rsidRPr="00350A80">
        <w:rPr>
          <w:rStyle w:val="aff4"/>
          <w:vanish/>
          <w:rtl/>
        </w:rPr>
        <w:instrText xml:space="preserve"> </w:instrText>
      </w:r>
      <w:r w:rsidRPr="00350A80">
        <w:rPr>
          <w:rStyle w:val="aff4"/>
          <w:vanish/>
          <w:rtl/>
        </w:rPr>
      </w:r>
      <w:r w:rsidRPr="00350A80">
        <w:rPr>
          <w:rStyle w:val="aff4"/>
          <w:vanish/>
          <w:rtl/>
        </w:rPr>
        <w:fldChar w:fldCharType="separate"/>
      </w:r>
      <w:r w:rsidR="00D82181">
        <w:rPr>
          <w:rStyle w:val="aff4"/>
          <w:vanish/>
          <w:cs/>
        </w:rPr>
        <w:t>‎</w:t>
      </w:r>
      <w:r w:rsidR="00D82181">
        <w:rPr>
          <w:rStyle w:val="aff4"/>
          <w:vanish/>
          <w:rtl/>
        </w:rPr>
        <w:t>נח)</w:t>
      </w:r>
      <w:r w:rsidRPr="00350A80">
        <w:rPr>
          <w:rStyle w:val="aff4"/>
          <w:vanish/>
          <w:rtl/>
        </w:rPr>
        <w:fldChar w:fldCharType="end"/>
      </w:r>
      <w:r w:rsidRPr="00350A80">
        <w:rPr>
          <w:rStyle w:val="aff4"/>
          <w:rFonts w:hint="cs"/>
          <w:vanish/>
          <w:rtl/>
        </w:rPr>
        <w:t xml:space="preserve"> &gt;</w:t>
      </w:r>
      <w:r w:rsidRPr="003B4E24">
        <w:rPr>
          <w:rStyle w:val="aff4"/>
          <w:rFonts w:hint="cs"/>
          <w:rtl/>
        </w:rPr>
        <w:t>אגלי טל</w:t>
      </w:r>
      <w:r w:rsidRPr="00E87CC9">
        <w:rPr>
          <w:rStyle w:val="aff4"/>
          <w:rFonts w:hint="cs"/>
          <w:vanish/>
          <w:rtl/>
        </w:rPr>
        <w:t>-</w:t>
      </w:r>
      <w:r>
        <w:rPr>
          <w:rFonts w:hint="cs"/>
          <w:rtl/>
        </w:rPr>
        <w:t xml:space="preserve"> </w:t>
      </w:r>
      <w:r w:rsidRPr="00277835">
        <w:rPr>
          <w:rStyle w:val="af2"/>
          <w:rFonts w:eastAsia="Guttman Hodes" w:hint="cs"/>
          <w:rtl/>
        </w:rPr>
        <w:t>(זורע סק"ח אות ה')</w:t>
      </w:r>
      <w:r w:rsidRPr="00350A80">
        <w:rPr>
          <w:rFonts w:hint="cs"/>
          <w:vanish/>
          <w:rtl/>
        </w:rPr>
        <w:t>=</w:t>
      </w:r>
      <w:r>
        <w:rPr>
          <w:rFonts w:hint="cs"/>
          <w:rtl/>
        </w:rPr>
        <w:t xml:space="preserve"> דא"א להביא ראיה מהמשנה בכלאים דהטומן לפת, כיון דבכה"ג אין חיוב מצד זריעה כיון דאינו רוצה בהשרשה, לכן לא חשיב זריעה כלל, וא"כ אין ראיה גם מדברי </w:t>
      </w:r>
      <w:r w:rsidRPr="00E87CC9">
        <w:rPr>
          <w:rStyle w:val="aff4"/>
          <w:rFonts w:hint="cs"/>
          <w:vanish/>
          <w:rtl/>
        </w:rPr>
        <w:t>-</w:t>
      </w:r>
      <w:r w:rsidRPr="003B4E24">
        <w:rPr>
          <w:rStyle w:val="aff4"/>
          <w:rFonts w:hint="cs"/>
          <w:rtl/>
        </w:rPr>
        <w:t>היראים</w:t>
      </w:r>
      <w:r w:rsidRPr="00E87CC9">
        <w:rPr>
          <w:rStyle w:val="aff4"/>
          <w:rFonts w:hint="cs"/>
          <w:vanish/>
          <w:rtl/>
        </w:rPr>
        <w:t>-</w:t>
      </w:r>
      <w:r>
        <w:rPr>
          <w:rFonts w:hint="cs"/>
          <w:rtl/>
        </w:rPr>
        <w:t xml:space="preserve"> </w:t>
      </w:r>
      <w:r w:rsidRPr="00277835">
        <w:rPr>
          <w:rStyle w:val="af2"/>
          <w:rFonts w:eastAsia="Guttman Hodes" w:hint="cs"/>
          <w:rtl/>
        </w:rPr>
        <w:t>(עי' אות</w:t>
      </w:r>
      <w:r>
        <w:rPr>
          <w:rStyle w:val="af2"/>
          <w:rFonts w:eastAsia="Guttman Hodes" w:hint="cs"/>
          <w:rtl/>
        </w:rPr>
        <w:t xml:space="preserve">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Ref133859083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נו)</w:t>
      </w:r>
      <w:r>
        <w:rPr>
          <w:rStyle w:val="af2"/>
          <w:rFonts w:eastAsia="Guttman Hodes"/>
          <w:rtl/>
        </w:rPr>
        <w:fldChar w:fldCharType="end"/>
      </w:r>
      <w:r>
        <w:rPr>
          <w:rStyle w:val="af2"/>
          <w:rFonts w:eastAsia="Guttman Hodes" w:hint="cs"/>
          <w:rtl/>
        </w:rPr>
        <w:t xml:space="preserve">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Ref134304738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מו)</w:t>
      </w:r>
      <w:r>
        <w:rPr>
          <w:rStyle w:val="af2"/>
          <w:rFonts w:eastAsia="Guttman Hodes"/>
          <w:rtl/>
        </w:rPr>
        <w:fldChar w:fldCharType="end"/>
      </w:r>
      <w:r>
        <w:rPr>
          <w:rFonts w:hint="cs"/>
          <w:rtl/>
        </w:rPr>
        <w:t xml:space="preserve">בנותן זרעים לתרנגולים, דכיון שאינו רוצה בהשרשה אי"ז זריעה, ועוד דאינו דרך זריעה, ולכן כל שאינו פסיק רישיה שישרישו מותר, וכדביאר </w:t>
      </w:r>
      <w:r w:rsidRPr="00E87CC9">
        <w:rPr>
          <w:rStyle w:val="aff4"/>
          <w:rFonts w:hint="cs"/>
          <w:vanish/>
          <w:rtl/>
        </w:rPr>
        <w:t>-</w:t>
      </w:r>
      <w:r w:rsidRPr="003B4E24">
        <w:rPr>
          <w:rStyle w:val="aff4"/>
          <w:rFonts w:hint="cs"/>
          <w:rtl/>
        </w:rPr>
        <w:t>הגר"ז</w:t>
      </w:r>
      <w:r w:rsidRPr="00E87CC9">
        <w:rPr>
          <w:rStyle w:val="aff4"/>
          <w:rFonts w:hint="cs"/>
          <w:vanish/>
          <w:rtl/>
        </w:rPr>
        <w:t>-</w:t>
      </w:r>
      <w:r w:rsidRPr="002B626B">
        <w:rPr>
          <w:rStyle w:val="aff4"/>
          <w:rFonts w:hint="cs"/>
          <w:rtl/>
        </w:rPr>
        <w:t xml:space="preserve"> </w:t>
      </w:r>
      <w:r>
        <w:rPr>
          <w:rStyle w:val="af2"/>
          <w:rFonts w:eastAsia="Guttman Hodes" w:hint="cs"/>
          <w:rtl/>
        </w:rPr>
        <w:t>(</w:t>
      </w:r>
      <w:r w:rsidRPr="00277835">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Ref134304738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מו)</w:t>
      </w:r>
      <w:r>
        <w:rPr>
          <w:rStyle w:val="af2"/>
          <w:rFonts w:eastAsia="Guttman Hodes"/>
          <w:rtl/>
        </w:rPr>
        <w:fldChar w:fldCharType="end"/>
      </w:r>
      <w:r>
        <w:rPr>
          <w:rStyle w:val="af2"/>
          <w:rFonts w:eastAsia="Guttman Hodes" w:hint="cs"/>
          <w:rtl/>
        </w:rPr>
        <w:t xml:space="preserve"> </w:t>
      </w:r>
      <w:r w:rsidRPr="002B626B">
        <w:rPr>
          <w:rFonts w:hint="cs"/>
          <w:rtl/>
        </w:rPr>
        <w:t>וע"ע במה שהוכיח</w:t>
      </w:r>
      <w:r w:rsidRPr="00277835">
        <w:rPr>
          <w:rStyle w:val="af2"/>
          <w:rFonts w:eastAsia="Guttman Hodes" w:hint="cs"/>
          <w:rtl/>
        </w:rPr>
        <w:t xml:space="preserve"> </w:t>
      </w:r>
      <w:r w:rsidRPr="002B626B">
        <w:rPr>
          <w:rStyle w:val="aff4"/>
          <w:rFonts w:hint="cs"/>
          <w:vanish/>
          <w:rtl/>
        </w:rPr>
        <w:t>-</w:t>
      </w:r>
      <w:r w:rsidRPr="002B626B">
        <w:rPr>
          <w:rStyle w:val="aff4"/>
          <w:rFonts w:hint="cs"/>
          <w:rtl/>
        </w:rPr>
        <w:t>ה</w:t>
      </w:r>
      <w:r w:rsidRPr="002B626B">
        <w:rPr>
          <w:rStyle w:val="aff4"/>
          <w:rFonts w:hint="cs"/>
          <w:vanish/>
          <w:rtl/>
        </w:rPr>
        <w:t>&lt; &gt;</w:t>
      </w:r>
      <w:r w:rsidRPr="002B626B">
        <w:rPr>
          <w:rStyle w:val="aff4"/>
          <w:rFonts w:hint="cs"/>
          <w:rtl/>
        </w:rPr>
        <w:t>אגלי טל</w:t>
      </w:r>
      <w:r w:rsidRPr="002B626B">
        <w:rPr>
          <w:rStyle w:val="aff4"/>
          <w:rFonts w:hint="cs"/>
          <w:vanish/>
          <w:rtl/>
        </w:rPr>
        <w:t>-</w:t>
      </w:r>
      <w:r w:rsidRPr="00277835">
        <w:rPr>
          <w:rStyle w:val="af2"/>
          <w:rFonts w:eastAsia="Guttman Hodes" w:hint="cs"/>
          <w:rtl/>
        </w:rPr>
        <w:t xml:space="preserve"> (זורע סק"ח אות ו' ז')</w:t>
      </w:r>
      <w:r w:rsidRPr="00350A80">
        <w:rPr>
          <w:rFonts w:hint="cs"/>
          <w:vanish/>
          <w:rtl/>
        </w:rPr>
        <w:t>=</w:t>
      </w:r>
      <w:r>
        <w:rPr>
          <w:rFonts w:hint="cs"/>
          <w:rtl/>
        </w:rPr>
        <w:t xml:space="preserve"> מדברי הירושלמי בכלאים </w:t>
      </w:r>
      <w:r w:rsidRPr="00277835">
        <w:rPr>
          <w:rStyle w:val="af2"/>
          <w:rFonts w:eastAsia="Guttman Hodes" w:hint="cs"/>
          <w:rtl/>
        </w:rPr>
        <w:t>(פ"א ה"ט, ה.)</w:t>
      </w:r>
      <w:r>
        <w:rPr>
          <w:rFonts w:hint="cs"/>
          <w:rtl/>
        </w:rPr>
        <w:t xml:space="preserve"> ומדברי </w:t>
      </w:r>
      <w:r w:rsidRPr="00E87CC9">
        <w:rPr>
          <w:rStyle w:val="aff4"/>
          <w:rFonts w:hint="cs"/>
          <w:vanish/>
          <w:rtl/>
        </w:rPr>
        <w:t>-</w:t>
      </w:r>
      <w:r w:rsidRPr="003B4E24">
        <w:rPr>
          <w:rStyle w:val="aff4"/>
          <w:rFonts w:hint="cs"/>
          <w:rtl/>
        </w:rPr>
        <w:t>ה</w:t>
      </w:r>
      <w:r w:rsidRPr="00350A80">
        <w:rPr>
          <w:rStyle w:val="aff4"/>
          <w:rFonts w:hint="cs"/>
          <w:vanish/>
          <w:rtl/>
        </w:rPr>
        <w:t>&lt; &gt;</w:t>
      </w:r>
      <w:r w:rsidRPr="003B4E24">
        <w:rPr>
          <w:rStyle w:val="aff4"/>
          <w:rFonts w:hint="cs"/>
          <w:rtl/>
        </w:rPr>
        <w:t>חינוך</w:t>
      </w:r>
      <w:r w:rsidRPr="00E87CC9">
        <w:rPr>
          <w:rStyle w:val="aff4"/>
          <w:rFonts w:hint="cs"/>
          <w:vanish/>
          <w:rtl/>
        </w:rPr>
        <w:t>-</w:t>
      </w:r>
      <w:r>
        <w:rPr>
          <w:rFonts w:hint="cs"/>
          <w:rtl/>
        </w:rPr>
        <w:t xml:space="preserve"> </w:t>
      </w:r>
      <w:r w:rsidRPr="00277835">
        <w:rPr>
          <w:rStyle w:val="af2"/>
          <w:rFonts w:eastAsia="Guttman Hodes" w:hint="cs"/>
          <w:rtl/>
        </w:rPr>
        <w:t>(מצוה תקמ"ח)</w:t>
      </w:r>
      <w:r w:rsidRPr="00350A80">
        <w:rPr>
          <w:rFonts w:hint="cs"/>
          <w:vanish/>
          <w:rtl/>
        </w:rPr>
        <w:t>=</w:t>
      </w:r>
      <w:r>
        <w:rPr>
          <w:rFonts w:hint="cs"/>
          <w:rtl/>
        </w:rPr>
        <w:t xml:space="preserve"> דחיוב זורע הוא בשעת נתינה ולא בהשרשה, ודלא </w:t>
      </w:r>
      <w:r w:rsidRPr="00E87CC9">
        <w:rPr>
          <w:rStyle w:val="aff4"/>
          <w:rFonts w:hint="cs"/>
          <w:vanish/>
          <w:rtl/>
        </w:rPr>
        <w:t>-</w:t>
      </w:r>
      <w:r w:rsidRPr="003B4E24">
        <w:rPr>
          <w:rStyle w:val="aff4"/>
          <w:rFonts w:hint="cs"/>
          <w:rtl/>
        </w:rPr>
        <w:t>כרש"ש</w:t>
      </w:r>
      <w:r w:rsidRPr="00E87CC9">
        <w:rPr>
          <w:rStyle w:val="aff4"/>
          <w:rFonts w:hint="cs"/>
          <w:vanish/>
          <w:rtl/>
        </w:rPr>
        <w:t>-</w:t>
      </w:r>
      <w:r>
        <w:rPr>
          <w:rFonts w:hint="cs"/>
          <w:rtl/>
        </w:rPr>
        <w:t xml:space="preserve"> </w:t>
      </w:r>
      <w:r w:rsidRPr="00277835">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Ref133266181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מד)</w:t>
      </w:r>
      <w:r>
        <w:rPr>
          <w:rStyle w:val="af2"/>
          <w:rFonts w:eastAsia="Guttman Hodes"/>
          <w:rtl/>
        </w:rPr>
        <w:fldChar w:fldCharType="end"/>
      </w:r>
      <w:r>
        <w:rPr>
          <w:rFonts w:hint="cs"/>
          <w:rtl/>
        </w:rPr>
        <w:t>.</w:t>
      </w:r>
      <w:bookmarkEnd w:id="777"/>
    </w:p>
    <w:p w14:paraId="2A11DD45" w14:textId="77777777" w:rsidR="001C69A8" w:rsidRPr="00747170" w:rsidRDefault="001C69A8" w:rsidP="00747170">
      <w:pPr>
        <w:pStyle w:val="a2"/>
      </w:pPr>
      <w:r w:rsidRPr="00747170">
        <w:rPr>
          <w:rtl/>
        </w:rPr>
        <w:t>)</w:t>
      </w:r>
      <w:r w:rsidRPr="00747170">
        <w:t>ה( שוב ראיתי דאין ראי' כלל מהטומן לפת. דמבואר שם [כלאים פ"א מ"ט[ הטעם בר"ש דכיון דלא השרישו ואינו רוצה בהשרשתן לאו זריעה הוא. ולשיטת רב האי הואיל וקצתו מגולה ואינו רוצה בהשרשה לאו זריעה הוא ואפי' השרישו ולשיטת חדושי הר"ן הואיל וטמן אגודה ואינו רוצה בהשרשה לאו זריעה אפי' השרישו. ואין ההיתר משום דבר שאין מתכוין דא"כ הי' הפירות נתפסין בקדושת שביעית. אי מ"מ זריעה הוא למה יגרע מספיחין הצומחין מאליהן. ועוד מבואר בירושלמי פ"ה דמעשרות [</w:t>
      </w:r>
      <w:bookmarkStart w:id="778" w:name="_Toc133249181"/>
      <w:r w:rsidRPr="00747170">
        <w:t>כב א[ דלר' יוחנן התולש מהן בשבת פטור הואיל ומקצתו מגולה ואינו רוצה בהשרשתן. הנה מבואר דאינו רוצה בהשרשה מבטל ממנו תורת זריעה ואין ראי' כלל מהא דהטומן לפת. וע"כ נדחה נמי הראי' מנתן לפני התרנגולים ואינו ברור שיצמחו דמותר אף דהוי פ"ר לגבי זריעה דחשוב זריעה הואיל ואפשר שיצמחו. ולהנ"ל אין ראי' כלל. דכיון שלא השריש ואינו רוצה בהשרשה לא חשוב זריעה כלל כנ"ל דברי הר"ש. בפרט בנ"ד דנתינה לאכול לפני התרנגולים לא הוי כדרך תולדת זריעה ולאו זריעה הוא כלל אם לא השרישו וא"כ כיון דלא הוי פסיק רישי' לענין השרשה שוב לא הוי פסיק רישי' לענין זריעה:</w:t>
      </w:r>
    </w:p>
    <w:p w14:paraId="0A625AAA" w14:textId="77777777" w:rsidR="001C69A8" w:rsidRDefault="001C69A8" w:rsidP="001C69A8">
      <w:pPr>
        <w:pStyle w:val="1"/>
        <w:rPr>
          <w:rtl/>
        </w:rPr>
      </w:pPr>
      <w:bookmarkStart w:id="779" w:name="_Toc134100403"/>
      <w:bookmarkStart w:id="780" w:name="_Toc134347679"/>
      <w:r>
        <w:rPr>
          <w:rFonts w:hint="cs"/>
          <w:rtl/>
        </w:rPr>
        <w:t>ראיות האור שמח</w:t>
      </w:r>
      <w:bookmarkEnd w:id="779"/>
      <w:r>
        <w:rPr>
          <w:rFonts w:hint="cs"/>
          <w:rtl/>
        </w:rPr>
        <w:t xml:space="preserve"> דזריעה נקראת משעת נתינה ולא בהשרשה</w:t>
      </w:r>
      <w:bookmarkEnd w:id="780"/>
    </w:p>
    <w:p w14:paraId="7A3CE0E1" w14:textId="77777777" w:rsidR="001C69A8" w:rsidRDefault="001C69A8" w:rsidP="001C69A8">
      <w:pPr>
        <w:pStyle w:val="afffff7"/>
      </w:pPr>
      <w:bookmarkStart w:id="781" w:name="_Toc134550211"/>
      <w:bookmarkStart w:id="782" w:name="_Toc163505503"/>
      <w:r>
        <w:rPr>
          <w:rFonts w:hint="cs"/>
          <w:rtl/>
        </w:rPr>
        <w:t>אור שמח שבת ג' א'</w:t>
      </w:r>
      <w:bookmarkEnd w:id="781"/>
      <w:bookmarkEnd w:id="782"/>
    </w:p>
    <w:p w14:paraId="0C8C0FA1" w14:textId="77777777" w:rsidR="001C69A8" w:rsidRDefault="001C69A8" w:rsidP="001C69A8">
      <w:pPr>
        <w:pStyle w:val="a7"/>
        <w:rPr>
          <w:rtl/>
        </w:rPr>
      </w:pPr>
      <w:bookmarkStart w:id="783" w:name="_Toc134100404"/>
      <w:bookmarkStart w:id="784" w:name="_Toc134347680"/>
      <w:r>
        <w:rPr>
          <w:rFonts w:hint="cs"/>
          <w:rtl/>
        </w:rPr>
        <w:t>בי' האו"ש דפשיטא דחיוב זורע בנתינה אף דכמונח בכד דהקליטה אינה במלאכה וסילק חייב</w:t>
      </w:r>
      <w:bookmarkEnd w:id="783"/>
      <w:bookmarkEnd w:id="784"/>
    </w:p>
    <w:p w14:paraId="74403893" w14:textId="1A860318" w:rsidR="001C69A8" w:rsidRDefault="001C69A8" w:rsidP="00BC7DC8">
      <w:pPr>
        <w:pStyle w:val="a3"/>
      </w:pPr>
      <w:bookmarkStart w:id="785" w:name="_Ref134329728"/>
      <w:r>
        <w:rPr>
          <w:rFonts w:hint="cs"/>
          <w:rtl/>
        </w:rPr>
        <w:t xml:space="preserve">כתב </w:t>
      </w:r>
      <w:r w:rsidRPr="0046366C">
        <w:rPr>
          <w:rStyle w:val="aff4"/>
          <w:rFonts w:hint="cs"/>
          <w:vanish/>
          <w:rtl/>
        </w:rPr>
        <w:t>-</w:t>
      </w:r>
      <w:r w:rsidRPr="004E6839">
        <w:rPr>
          <w:rStyle w:val="aff4"/>
          <w:rFonts w:hint="cs"/>
          <w:rtl/>
        </w:rPr>
        <w:t>ה</w:t>
      </w:r>
      <w:r w:rsidRPr="0046366C">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Ref134329728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נט)</w:t>
      </w:r>
      <w:r>
        <w:rPr>
          <w:rStyle w:val="aff4"/>
          <w:vanish/>
          <w:rtl/>
        </w:rPr>
        <w:fldChar w:fldCharType="end"/>
      </w:r>
      <w:r w:rsidRPr="0046366C">
        <w:rPr>
          <w:rStyle w:val="aff4"/>
          <w:rFonts w:hint="cs"/>
          <w:vanish/>
          <w:rtl/>
        </w:rPr>
        <w:t xml:space="preserve"> &gt;</w:t>
      </w:r>
      <w:r w:rsidRPr="004E6839">
        <w:rPr>
          <w:rStyle w:val="aff4"/>
          <w:rFonts w:hint="cs"/>
          <w:rtl/>
        </w:rPr>
        <w:t>אור שמח</w:t>
      </w:r>
      <w:r w:rsidRPr="0046366C">
        <w:rPr>
          <w:rStyle w:val="aff4"/>
          <w:rFonts w:hint="cs"/>
          <w:vanish/>
          <w:rtl/>
        </w:rPr>
        <w:t>-</w:t>
      </w:r>
      <w:r>
        <w:rPr>
          <w:rFonts w:hint="cs"/>
          <w:rtl/>
        </w:rPr>
        <w:t xml:space="preserve"> </w:t>
      </w:r>
      <w:r w:rsidRPr="00277835">
        <w:rPr>
          <w:rStyle w:val="af2"/>
          <w:rFonts w:eastAsia="Guttman Hodes" w:hint="cs"/>
          <w:rtl/>
        </w:rPr>
        <w:t>(שבת פ"ג ה"א)</w:t>
      </w:r>
      <w:r w:rsidRPr="0046366C">
        <w:rPr>
          <w:rFonts w:hint="cs"/>
          <w:vanish/>
          <w:rtl/>
        </w:rPr>
        <w:t>=</w:t>
      </w:r>
      <w:r>
        <w:rPr>
          <w:rFonts w:hint="cs"/>
          <w:rtl/>
        </w:rPr>
        <w:t xml:space="preserve"> דפשיטא דהזורע והנוטע בשבת חייב אעפ"י דהקליטה היא בחול, והזרעים הם כמאן דמנחא בכדא, כיון דהקליטה אינה בעצם חיוב מלאכת זורע, ואף אם סילק את הזרעים לפני שנקלטו בקרקע חייב, כיון שכך היא מלאכת זורע, דטומן בקרקע זרע שעשוי להצמיח פירות.</w:t>
      </w:r>
      <w:bookmarkEnd w:id="785"/>
    </w:p>
    <w:p w14:paraId="5EC75C3B" w14:textId="77777777" w:rsidR="001C69A8" w:rsidRPr="00747170" w:rsidRDefault="001C69A8" w:rsidP="00747170">
      <w:pPr>
        <w:pStyle w:val="a2"/>
      </w:pPr>
      <w:r w:rsidRPr="00747170">
        <w:rPr>
          <w:rFonts w:hint="cs"/>
        </w:rPr>
        <w:t>ודע דנראה ברור דזורע ונוטע בשבת חייב, אף דקליטתן בחול, וכמאן דמנחא בכדא דמיא, ודאי דאין הקליטה מעצם החיוב, ואם בא להוציא הזרעים מתוך הקרקע טרם שנקלטו חייב, דכן הוי מלאכת הזריעה, שהוא טומן בקרקע מילי דעבוד לצמוחי פירא.</w:t>
      </w:r>
    </w:p>
    <w:p w14:paraId="212A34F4" w14:textId="77777777" w:rsidR="001C69A8" w:rsidRDefault="001C69A8" w:rsidP="001C69A8">
      <w:pPr>
        <w:pStyle w:val="a7"/>
        <w:rPr>
          <w:rtl/>
        </w:rPr>
      </w:pPr>
      <w:bookmarkStart w:id="786" w:name="_Toc134100405"/>
      <w:bookmarkStart w:id="787" w:name="_Toc134347681"/>
      <w:r>
        <w:rPr>
          <w:rFonts w:hint="cs"/>
          <w:rtl/>
        </w:rPr>
        <w:t>הוכחת האו"ש מהגמ' במנחות דזרע בלא השרשה הוא בכלל זריעה אך לא נקרא זרוע "בשדה"</w:t>
      </w:r>
      <w:bookmarkEnd w:id="786"/>
      <w:bookmarkEnd w:id="787"/>
      <w:r>
        <w:rPr>
          <w:rFonts w:hint="cs"/>
          <w:rtl/>
        </w:rPr>
        <w:t xml:space="preserve"> </w:t>
      </w:r>
    </w:p>
    <w:p w14:paraId="6B3E2F3B" w14:textId="77777777" w:rsidR="001C69A8" w:rsidRDefault="001C69A8" w:rsidP="00BC7DC8">
      <w:pPr>
        <w:pStyle w:val="a3"/>
      </w:pPr>
      <w:r>
        <w:rPr>
          <w:rFonts w:hint="cs"/>
          <w:rtl/>
        </w:rPr>
        <w:t xml:space="preserve">וכתב </w:t>
      </w:r>
      <w:r w:rsidRPr="00A64438">
        <w:rPr>
          <w:rStyle w:val="aff4"/>
          <w:rFonts w:hint="cs"/>
          <w:vanish/>
          <w:rtl/>
        </w:rPr>
        <w:t>-</w:t>
      </w:r>
      <w:r w:rsidRPr="004E6839">
        <w:rPr>
          <w:rStyle w:val="aff4"/>
          <w:rFonts w:hint="cs"/>
          <w:rtl/>
        </w:rPr>
        <w:t>האור שמח</w:t>
      </w:r>
      <w:r w:rsidRPr="00A64438">
        <w:rPr>
          <w:rStyle w:val="aff4"/>
          <w:rFonts w:hint="cs"/>
          <w:vanish/>
          <w:rtl/>
        </w:rPr>
        <w:t>-</w:t>
      </w:r>
      <w:r>
        <w:rPr>
          <w:rFonts w:hint="cs"/>
          <w:rtl/>
        </w:rPr>
        <w:t xml:space="preserve"> דכך מפורש בגמ' במנחות </w:t>
      </w:r>
      <w:r w:rsidRPr="00277835">
        <w:rPr>
          <w:rStyle w:val="af2"/>
          <w:rFonts w:eastAsia="Guttman Hodes" w:hint="cs"/>
          <w:rtl/>
        </w:rPr>
        <w:t>(עא.)</w:t>
      </w:r>
      <w:r>
        <w:rPr>
          <w:rFonts w:hint="cs"/>
          <w:rtl/>
        </w:rPr>
        <w:t xml:space="preserve"> דעומר מתיר רק זרעים שהשרישו, ואעפ"י דכתיב "אשר תזרע" דמשמע משעת זריעה, מ"מ כיון דכתיב "בשדה" ילפינן דצריך השרשה, וביאר </w:t>
      </w:r>
      <w:r w:rsidRPr="00A64438">
        <w:rPr>
          <w:rStyle w:val="aff4"/>
          <w:rFonts w:hint="cs"/>
          <w:vanish/>
          <w:rtl/>
        </w:rPr>
        <w:t>-</w:t>
      </w:r>
      <w:r w:rsidRPr="004E6839">
        <w:rPr>
          <w:rStyle w:val="aff4"/>
          <w:rFonts w:hint="cs"/>
          <w:rtl/>
        </w:rPr>
        <w:t>רש"י במנחות</w:t>
      </w:r>
      <w:r w:rsidRPr="00A64438">
        <w:rPr>
          <w:rStyle w:val="aff4"/>
          <w:rFonts w:hint="cs"/>
          <w:vanish/>
          <w:rtl/>
        </w:rPr>
        <w:t>-</w:t>
      </w:r>
      <w:r>
        <w:rPr>
          <w:rFonts w:hint="cs"/>
          <w:rtl/>
        </w:rPr>
        <w:t xml:space="preserve"> </w:t>
      </w:r>
      <w:r w:rsidRPr="00277835">
        <w:rPr>
          <w:rStyle w:val="af2"/>
          <w:rFonts w:eastAsia="Guttman Hodes" w:hint="cs"/>
          <w:rtl/>
        </w:rPr>
        <w:t>(עא. ד"ה בשדה)</w:t>
      </w:r>
      <w:r>
        <w:rPr>
          <w:rFonts w:hint="cs"/>
          <w:rtl/>
        </w:rPr>
        <w:t xml:space="preserve"> דילפינן דהעומר מתיר רק זרע שנקלט ונשרש בשדה, וכתב </w:t>
      </w:r>
      <w:r w:rsidRPr="00A64438">
        <w:rPr>
          <w:rStyle w:val="aff4"/>
          <w:rFonts w:hint="cs"/>
          <w:vanish/>
          <w:rtl/>
        </w:rPr>
        <w:t>-</w:t>
      </w:r>
      <w:r w:rsidRPr="004E6839">
        <w:rPr>
          <w:rStyle w:val="aff4"/>
          <w:rFonts w:hint="cs"/>
          <w:rtl/>
        </w:rPr>
        <w:t>האור שמח</w:t>
      </w:r>
      <w:r w:rsidRPr="00A64438">
        <w:rPr>
          <w:rStyle w:val="aff4"/>
          <w:rFonts w:hint="cs"/>
          <w:vanish/>
          <w:rtl/>
        </w:rPr>
        <w:t>-</w:t>
      </w:r>
      <w:r>
        <w:rPr>
          <w:rFonts w:hint="cs"/>
          <w:rtl/>
        </w:rPr>
        <w:t xml:space="preserve"> דמבואר דאי לא כתיב "בשדה", היה העומר מתיר אף כשלא השריש, והוא כלול בלשון "אשר תזרע", ומוכח דכל שזרע בקרקע הוא בכלל זורע אף שלא השריש, וחייב בזה בשבת.</w:t>
      </w:r>
    </w:p>
    <w:p w14:paraId="4BA6EC49" w14:textId="77777777" w:rsidR="001C69A8" w:rsidRPr="00747170" w:rsidRDefault="001C69A8" w:rsidP="00747170">
      <w:pPr>
        <w:pStyle w:val="a2"/>
      </w:pPr>
      <w:r w:rsidRPr="00747170">
        <w:rPr>
          <w:rFonts w:hint="cs"/>
        </w:rPr>
        <w:t>ודבר זה מפורש במנחות דף ע"א ע"א מנין לעומר שמתיר בהשרשה כו', אשר תזרע )שמות כג, טז( משעת זריעה, א"ל ר"פ אי הכי אף על גב דלא השריש נמי, א"ל סודני בשדה כתיב, עד שיהא נקלט ונשרש בשדה, רש"י, הרי דזורע מקרי אף על גב דלא השריש, וחייב בשבת.</w:t>
      </w:r>
    </w:p>
    <w:p w14:paraId="5DC37E1D" w14:textId="77777777" w:rsidR="001C69A8" w:rsidRPr="00E67037" w:rsidRDefault="001C69A8" w:rsidP="001C69A8">
      <w:pPr>
        <w:pStyle w:val="a7"/>
      </w:pPr>
      <w:bookmarkStart w:id="788" w:name="_Toc134100406"/>
      <w:bookmarkStart w:id="789" w:name="_Toc134347682"/>
      <w:r>
        <w:rPr>
          <w:rFonts w:hint="cs"/>
          <w:rtl/>
        </w:rPr>
        <w:t>הוכחת האו"ש מהירושלמי דבשבת החיוב בהנחת הזרע בקרקע ול"ד לכלאים דחייב ביצאה מידו</w:t>
      </w:r>
      <w:bookmarkEnd w:id="788"/>
      <w:bookmarkEnd w:id="789"/>
    </w:p>
    <w:p w14:paraId="2FCA1752" w14:textId="77777777" w:rsidR="001C69A8" w:rsidRDefault="001C69A8" w:rsidP="00BC7DC8">
      <w:pPr>
        <w:pStyle w:val="a3"/>
      </w:pPr>
      <w:r>
        <w:rPr>
          <w:rFonts w:hint="cs"/>
          <w:rtl/>
        </w:rPr>
        <w:t xml:space="preserve">ועוד הביא </w:t>
      </w:r>
      <w:r w:rsidRPr="00A64438">
        <w:rPr>
          <w:rStyle w:val="aff4"/>
          <w:rFonts w:hint="cs"/>
          <w:vanish/>
          <w:rtl/>
        </w:rPr>
        <w:t>-</w:t>
      </w:r>
      <w:r w:rsidRPr="004E6839">
        <w:rPr>
          <w:rStyle w:val="aff4"/>
          <w:rFonts w:hint="cs"/>
          <w:rtl/>
        </w:rPr>
        <w:t>האור שמח</w:t>
      </w:r>
      <w:r w:rsidRPr="00A64438">
        <w:rPr>
          <w:rStyle w:val="aff4"/>
          <w:rFonts w:hint="cs"/>
          <w:vanish/>
          <w:rtl/>
        </w:rPr>
        <w:t>-</w:t>
      </w:r>
      <w:r>
        <w:rPr>
          <w:rFonts w:hint="cs"/>
          <w:rtl/>
        </w:rPr>
        <w:t xml:space="preserve"> ראיה מהא דאיתא בירושלמי בכלאים </w:t>
      </w:r>
      <w:r w:rsidRPr="00277835">
        <w:rPr>
          <w:rStyle w:val="af2"/>
          <w:rFonts w:eastAsia="Guttman Hodes" w:hint="cs"/>
          <w:rtl/>
        </w:rPr>
        <w:t>(פ"א ה"ט, ה.)</w:t>
      </w:r>
      <w:r>
        <w:rPr>
          <w:rFonts w:hint="cs"/>
          <w:rtl/>
        </w:rPr>
        <w:t xml:space="preserve"> דנחלקו ריו"ח ור"ל בזורע כלאים והוציא את הזרע מידו דלר"ל חייב, ומודה ר"ל דלענין שבת עד שתנוח, וביאר </w:t>
      </w:r>
      <w:r w:rsidRPr="00A64438">
        <w:rPr>
          <w:rStyle w:val="aff4"/>
          <w:rFonts w:hint="cs"/>
          <w:vanish/>
          <w:rtl/>
        </w:rPr>
        <w:t>-</w:t>
      </w:r>
      <w:r w:rsidRPr="004E6839">
        <w:rPr>
          <w:rStyle w:val="aff4"/>
          <w:rFonts w:hint="cs"/>
          <w:rtl/>
        </w:rPr>
        <w:t>הגר"א בשנות אליהו בכלאים</w:t>
      </w:r>
      <w:r w:rsidRPr="00A64438">
        <w:rPr>
          <w:rStyle w:val="aff4"/>
          <w:rFonts w:hint="cs"/>
          <w:vanish/>
          <w:rtl/>
        </w:rPr>
        <w:t>-</w:t>
      </w:r>
      <w:r>
        <w:rPr>
          <w:rFonts w:hint="cs"/>
          <w:rtl/>
        </w:rPr>
        <w:t xml:space="preserve"> </w:t>
      </w:r>
      <w:r w:rsidRPr="00277835">
        <w:rPr>
          <w:rStyle w:val="af2"/>
          <w:rFonts w:eastAsia="Guttman Hodes" w:hint="cs"/>
          <w:rtl/>
        </w:rPr>
        <w:t>(פ"א מ"ט ד"ה הזורע, הועתק בירושלמי מהדו' עוז והדר)</w:t>
      </w:r>
      <w:r>
        <w:rPr>
          <w:rFonts w:hint="cs"/>
          <w:rtl/>
        </w:rPr>
        <w:t xml:space="preserve"> דלענין כלאים ס"ל לר"ל דכל שנטל שני מינים ע"מ לזרוע אותם ביחד דחייב </w:t>
      </w:r>
      <w:r>
        <w:rPr>
          <w:rFonts w:hint="cs"/>
          <w:rtl/>
        </w:rPr>
        <w:t xml:space="preserve">כשיצאו מידו, אעפ"י דאח"כ נתפזרו ברוח, אבל בשבת מודה ר"ל דהחיוב הוא רק כשנח הזרע, וכתב </w:t>
      </w:r>
      <w:r w:rsidRPr="00A64438">
        <w:rPr>
          <w:rStyle w:val="aff4"/>
          <w:rFonts w:hint="cs"/>
          <w:vanish/>
          <w:rtl/>
        </w:rPr>
        <w:t>-</w:t>
      </w:r>
      <w:r w:rsidRPr="004E6839">
        <w:rPr>
          <w:rStyle w:val="aff4"/>
          <w:rFonts w:hint="cs"/>
          <w:rtl/>
        </w:rPr>
        <w:t>האור שמח</w:t>
      </w:r>
      <w:r w:rsidRPr="00A64438">
        <w:rPr>
          <w:rStyle w:val="aff4"/>
          <w:rFonts w:hint="cs"/>
          <w:vanish/>
          <w:rtl/>
        </w:rPr>
        <w:t>-</w:t>
      </w:r>
      <w:r>
        <w:rPr>
          <w:rFonts w:hint="cs"/>
          <w:rtl/>
        </w:rPr>
        <w:t xml:space="preserve"> דמבואר מדברי הירושלמי לפי ביאור </w:t>
      </w:r>
      <w:r w:rsidRPr="00A64438">
        <w:rPr>
          <w:rStyle w:val="aff4"/>
          <w:rFonts w:hint="cs"/>
          <w:vanish/>
          <w:rtl/>
        </w:rPr>
        <w:t>-</w:t>
      </w:r>
      <w:r w:rsidRPr="004E6839">
        <w:rPr>
          <w:rStyle w:val="aff4"/>
          <w:rFonts w:hint="cs"/>
          <w:rtl/>
        </w:rPr>
        <w:t>הגר"א</w:t>
      </w:r>
      <w:r w:rsidRPr="00A64438">
        <w:rPr>
          <w:rStyle w:val="aff4"/>
          <w:rFonts w:hint="cs"/>
          <w:vanish/>
          <w:rtl/>
        </w:rPr>
        <w:t>-</w:t>
      </w:r>
      <w:r>
        <w:rPr>
          <w:rFonts w:hint="cs"/>
          <w:rtl/>
        </w:rPr>
        <w:t xml:space="preserve"> דמיד כשנח הזרע בקרקע חייב אעפ"י שעדיין לא השריש.</w:t>
      </w:r>
    </w:p>
    <w:p w14:paraId="76ED7722" w14:textId="77777777" w:rsidR="001C69A8" w:rsidRPr="00747170" w:rsidRDefault="001C69A8" w:rsidP="00747170">
      <w:pPr>
        <w:pStyle w:val="a2"/>
      </w:pPr>
      <w:r w:rsidRPr="00747170">
        <w:rPr>
          <w:rFonts w:hint="cs"/>
        </w:rPr>
        <w:t>ובירושלמי פ"א דכלאים )ה"ט( מודה רשב"ל לענין שבת עד שתנוח, הא כי נחה חייב אף על גב דלא אשרוש, ועיין שנות אליהו שם, וזה ברור.</w:t>
      </w:r>
    </w:p>
    <w:p w14:paraId="0F004519" w14:textId="77777777" w:rsidR="001C69A8" w:rsidRDefault="001C69A8" w:rsidP="001C69A8">
      <w:pPr>
        <w:pStyle w:val="afffff7"/>
        <w:rPr>
          <w:rtl/>
        </w:rPr>
      </w:pPr>
      <w:bookmarkStart w:id="790" w:name="_Toc134550212"/>
      <w:bookmarkStart w:id="791" w:name="_Toc163505504"/>
      <w:r>
        <w:rPr>
          <w:rFonts w:hint="cs"/>
          <w:rtl/>
        </w:rPr>
        <w:t>שנות אליהו הארוך כלאים פ"א מ"ט</w:t>
      </w:r>
      <w:bookmarkEnd w:id="790"/>
      <w:bookmarkEnd w:id="791"/>
    </w:p>
    <w:p w14:paraId="1867795F" w14:textId="77777777" w:rsidR="001C69A8" w:rsidRPr="0000488C" w:rsidRDefault="001C69A8" w:rsidP="00747170">
      <w:pPr>
        <w:pStyle w:val="afffff5"/>
        <w:rPr>
          <w:rtl/>
        </w:rPr>
      </w:pPr>
      <w:r w:rsidRPr="0000488C">
        <w:rPr>
          <w:rFonts w:hint="cs"/>
          <w:rtl/>
        </w:rPr>
        <w:t xml:space="preserve">הזורע חטה ושעורה וכו'. ירושלמי זרע שני מינים בבקעה. פי' שנטל שני מינים ביחד בידו וזרקן בבקעה או בחורבה. או שני מינים וחלקן הרוח. רבי יוחנן אמר פטור. ורשב"ל אמר חייב. הטעם דרשב"ל כיון דנטל בידו הב' מינים ביחד אף על פי שאח"כ נתפזרו זה מזה אעפ"כ חייב. מודה רשב"ל בזורע על מנת לחלק הרוח שהוא פטור. אמר ר' בא כך תנינן מודה רשב"ל לענין שבת עד שתנוח. פי' אף על פי שלענין כלאים ס"ל דכיון דנטלן מתחלה לזרוע ביחד אף על פי שאח"כ נתפזר אעפ"כ חייב. מ"מ לענין שבת מודה דאינו חייב עד שתנוח. </w:t>
      </w:r>
    </w:p>
    <w:p w14:paraId="54A7E835" w14:textId="77777777" w:rsidR="001C69A8" w:rsidRPr="002A40DA" w:rsidRDefault="001C69A8" w:rsidP="001C69A8">
      <w:pPr>
        <w:pStyle w:val="afffffb"/>
        <w:rPr>
          <w:vanish/>
        </w:rPr>
      </w:pPr>
      <w:r w:rsidRPr="002A40DA">
        <w:rPr>
          <w:rFonts w:hint="cs"/>
          <w:vanish/>
          <w:rtl/>
        </w:rPr>
        <w:t>אור שמח שבת ג' א'</w:t>
      </w:r>
    </w:p>
    <w:p w14:paraId="48842A05" w14:textId="77777777" w:rsidR="001C69A8" w:rsidRPr="00DC67A9" w:rsidRDefault="001C69A8" w:rsidP="001C69A8">
      <w:pPr>
        <w:pStyle w:val="a7"/>
      </w:pPr>
      <w:bookmarkStart w:id="792" w:name="_Toc134100407"/>
      <w:bookmarkStart w:id="793" w:name="_Toc134347683"/>
      <w:r>
        <w:rPr>
          <w:rFonts w:hint="cs"/>
          <w:rtl/>
        </w:rPr>
        <w:t>הוכחת האו"ש מהתורת כהנים דזרע שלא השריש אעפ"י דהוא נקרא זרוע מ"מ ילפי' דטמא</w:t>
      </w:r>
      <w:bookmarkEnd w:id="792"/>
      <w:bookmarkEnd w:id="793"/>
    </w:p>
    <w:p w14:paraId="114CE9D2" w14:textId="77777777" w:rsidR="001C69A8" w:rsidRDefault="001C69A8" w:rsidP="00BC7DC8">
      <w:pPr>
        <w:pStyle w:val="a3"/>
      </w:pPr>
      <w:bookmarkStart w:id="794" w:name="_Ref133871121"/>
      <w:r>
        <w:rPr>
          <w:rFonts w:hint="cs"/>
          <w:rtl/>
        </w:rPr>
        <w:t xml:space="preserve">ועוד הביא </w:t>
      </w:r>
      <w:r w:rsidRPr="00A64438">
        <w:rPr>
          <w:rStyle w:val="aff4"/>
          <w:rFonts w:hint="cs"/>
          <w:vanish/>
          <w:rtl/>
        </w:rPr>
        <w:t>-</w:t>
      </w:r>
      <w:r w:rsidRPr="004E6839">
        <w:rPr>
          <w:rStyle w:val="aff4"/>
          <w:rFonts w:hint="cs"/>
          <w:rtl/>
        </w:rPr>
        <w:t>האור שמח</w:t>
      </w:r>
      <w:r w:rsidRPr="00A64438">
        <w:rPr>
          <w:rStyle w:val="aff4"/>
          <w:rFonts w:hint="cs"/>
          <w:vanish/>
          <w:rtl/>
        </w:rPr>
        <w:t>-</w:t>
      </w:r>
      <w:r>
        <w:rPr>
          <w:rFonts w:hint="cs"/>
          <w:rtl/>
        </w:rPr>
        <w:t xml:space="preserve"> דכן מוכח מהא דאיתא בתורת כהנים </w:t>
      </w:r>
      <w:r w:rsidRPr="00277835">
        <w:rPr>
          <w:rStyle w:val="af2"/>
          <w:rFonts w:eastAsia="Guttman Hodes" w:hint="cs"/>
          <w:rtl/>
        </w:rPr>
        <w:t>(שמיני פ' ט' פי"א)</w:t>
      </w:r>
      <w:r>
        <w:rPr>
          <w:rFonts w:hint="cs"/>
          <w:rtl/>
        </w:rPr>
        <w:t xml:space="preserve"> מניין לזרעים טמאים שזרען טהרו, ת"ל </w:t>
      </w:r>
      <w:r w:rsidRPr="00277835">
        <w:rPr>
          <w:rStyle w:val="af2"/>
          <w:rFonts w:eastAsia="Guttman Hodes" w:hint="cs"/>
          <w:rtl/>
        </w:rPr>
        <w:t>(ויקרא יא, טז)</w:t>
      </w:r>
      <w:r>
        <w:rPr>
          <w:rFonts w:hint="cs"/>
          <w:rtl/>
        </w:rPr>
        <w:t xml:space="preserve"> אשר יזרע יכול אף על פי שלא השרישו, ת"ל הוא, ומבואר דזורע הוי בלא השרשה, וצריך ילפותא לומר דהוא טמא כשלא השריש.</w:t>
      </w:r>
      <w:bookmarkEnd w:id="794"/>
      <w:r>
        <w:rPr>
          <w:rFonts w:hint="cs"/>
          <w:rtl/>
        </w:rPr>
        <w:t xml:space="preserve"> </w:t>
      </w:r>
    </w:p>
    <w:p w14:paraId="4EB2D543" w14:textId="77777777" w:rsidR="001C69A8" w:rsidRPr="00747170" w:rsidRDefault="001C69A8" w:rsidP="00747170">
      <w:pPr>
        <w:pStyle w:val="a2"/>
      </w:pPr>
      <w:r w:rsidRPr="00747170">
        <w:rPr>
          <w:rFonts w:hint="cs"/>
        </w:rPr>
        <w:t>ובתורת כהנים שמיני פרשה ט' מניין לזרעים טמאים שזרען טהרו, ת"ל )ויקרא יא, טז( אשר יזרע יכול אף על פי שלא השרישו, ת"ל הוא, הרי דזורע הוי בלא השרשה.</w:t>
      </w:r>
    </w:p>
    <w:p w14:paraId="3DAC391E" w14:textId="77777777" w:rsidR="001C69A8" w:rsidRDefault="001C69A8" w:rsidP="001C69A8">
      <w:pPr>
        <w:pStyle w:val="1"/>
        <w:rPr>
          <w:rtl/>
        </w:rPr>
      </w:pPr>
      <w:bookmarkStart w:id="795" w:name="_Toc134347684"/>
      <w:r>
        <w:rPr>
          <w:rFonts w:hint="cs"/>
          <w:rtl/>
        </w:rPr>
        <w:t>ראית האפיק"י מהא דהנוטע בשבת בשוגג יקיים וא"צ לעקור</w:t>
      </w:r>
      <w:bookmarkEnd w:id="795"/>
    </w:p>
    <w:p w14:paraId="1317FC35" w14:textId="77777777" w:rsidR="001C69A8" w:rsidRDefault="001C69A8" w:rsidP="001C69A8">
      <w:pPr>
        <w:pStyle w:val="a7"/>
        <w:rPr>
          <w:rtl/>
        </w:rPr>
      </w:pPr>
    </w:p>
    <w:p w14:paraId="1A333B99" w14:textId="77777777" w:rsidR="001C69A8" w:rsidRDefault="001C69A8" w:rsidP="001C69A8">
      <w:pPr>
        <w:pStyle w:val="afffff7"/>
        <w:rPr>
          <w:rtl/>
        </w:rPr>
      </w:pPr>
      <w:bookmarkStart w:id="796" w:name="_Toc134550213"/>
      <w:bookmarkStart w:id="797" w:name="_Toc163505505"/>
      <w:r>
        <w:rPr>
          <w:rtl/>
        </w:rPr>
        <w:t>אפיקי ים חלק ב סימן ד ענף א</w:t>
      </w:r>
      <w:r w:rsidRPr="00566D86">
        <w:rPr>
          <w:rtl/>
        </w:rPr>
        <w:t xml:space="preserve"> ד"ה ולכאורה</w:t>
      </w:r>
      <w:bookmarkEnd w:id="796"/>
      <w:bookmarkEnd w:id="797"/>
    </w:p>
    <w:p w14:paraId="3A8214DB" w14:textId="77777777" w:rsidR="001C69A8" w:rsidRDefault="001C69A8" w:rsidP="001C69A8">
      <w:pPr>
        <w:pStyle w:val="a7"/>
        <w:rPr>
          <w:rtl/>
        </w:rPr>
      </w:pPr>
      <w:bookmarkStart w:id="798" w:name="_Toc134347685"/>
      <w:r>
        <w:rPr>
          <w:rFonts w:hint="cs"/>
          <w:rtl/>
        </w:rPr>
        <w:t>הוכחת האפיק"י דמלאכת זורע נגמרת בנטיעה מהנוטע בשבת בשוגג דא"צ לעקור ולתקן למפרע</w:t>
      </w:r>
      <w:bookmarkEnd w:id="798"/>
    </w:p>
    <w:p w14:paraId="2B66D8D9" w14:textId="3F4BD56E" w:rsidR="001C69A8" w:rsidRDefault="001C69A8" w:rsidP="00BC7DC8">
      <w:pPr>
        <w:pStyle w:val="a3"/>
      </w:pPr>
      <w:bookmarkStart w:id="799" w:name="_Ref134336051"/>
      <w:r>
        <w:rPr>
          <w:rFonts w:hint="cs"/>
          <w:rtl/>
        </w:rPr>
        <w:t xml:space="preserve">במ"ש </w:t>
      </w:r>
      <w:r w:rsidRPr="00E87CC9">
        <w:rPr>
          <w:rStyle w:val="aff4"/>
          <w:rFonts w:hint="cs"/>
          <w:vanish/>
          <w:rtl/>
        </w:rPr>
        <w:t>-</w:t>
      </w:r>
      <w:r w:rsidRPr="003B4E24">
        <w:rPr>
          <w:rStyle w:val="aff4"/>
          <w:rFonts w:hint="cs"/>
          <w:rtl/>
        </w:rPr>
        <w:t>המנחת חינוך</w:t>
      </w:r>
      <w:r w:rsidRPr="00E87CC9">
        <w:rPr>
          <w:rStyle w:val="aff4"/>
          <w:rFonts w:hint="cs"/>
          <w:vanish/>
          <w:rtl/>
        </w:rPr>
        <w:t>-</w:t>
      </w:r>
      <w:r>
        <w:rPr>
          <w:rFonts w:hint="cs"/>
          <w:rtl/>
        </w:rPr>
        <w:t xml:space="preserve"> </w:t>
      </w:r>
      <w:r w:rsidRPr="00277835">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Ref134094454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י)</w:t>
      </w:r>
      <w:r>
        <w:rPr>
          <w:rStyle w:val="af2"/>
          <w:rFonts w:eastAsia="Guttman Hodes"/>
          <w:rtl/>
        </w:rPr>
        <w:fldChar w:fldCharType="end"/>
      </w:r>
      <w:r>
        <w:rPr>
          <w:rFonts w:hint="cs"/>
          <w:rtl/>
        </w:rPr>
        <w:t xml:space="preserve"> דהחיוב בזורע הוא מיד ולא רק בשעת ההשרשה, כתב </w:t>
      </w:r>
      <w:r w:rsidRPr="00552146">
        <w:rPr>
          <w:rStyle w:val="aff4"/>
          <w:rFonts w:hint="cs"/>
          <w:vanish/>
          <w:rtl/>
        </w:rPr>
        <w:t>-</w:t>
      </w:r>
      <w:r w:rsidRPr="00552146">
        <w:rPr>
          <w:rStyle w:val="aff4"/>
          <w:rFonts w:hint="cs"/>
          <w:rtl/>
        </w:rPr>
        <w:t>ה</w:t>
      </w:r>
      <w:r w:rsidRPr="00552146">
        <w:rPr>
          <w:rStyle w:val="aff4"/>
          <w:rFonts w:hint="cs"/>
          <w:vanish/>
          <w:rtl/>
        </w:rPr>
        <w:t xml:space="preserve">&lt;. </w:t>
      </w:r>
      <w:r w:rsidRPr="00552146">
        <w:rPr>
          <w:rStyle w:val="aff4"/>
          <w:vanish/>
          <w:rtl/>
        </w:rPr>
        <w:fldChar w:fldCharType="begin"/>
      </w:r>
      <w:r w:rsidRPr="00552146">
        <w:rPr>
          <w:rStyle w:val="aff4"/>
          <w:vanish/>
          <w:rtl/>
        </w:rPr>
        <w:instrText xml:space="preserve"> </w:instrText>
      </w:r>
      <w:r w:rsidRPr="00552146">
        <w:rPr>
          <w:rStyle w:val="aff4"/>
          <w:rFonts w:hint="cs"/>
          <w:vanish/>
        </w:rPr>
        <w:instrText>REF</w:instrText>
      </w:r>
      <w:r w:rsidRPr="00552146">
        <w:rPr>
          <w:rStyle w:val="aff4"/>
          <w:rFonts w:hint="cs"/>
          <w:vanish/>
          <w:rtl/>
        </w:rPr>
        <w:instrText xml:space="preserve"> _</w:instrText>
      </w:r>
      <w:r w:rsidRPr="00552146">
        <w:rPr>
          <w:rStyle w:val="aff4"/>
          <w:rFonts w:hint="cs"/>
          <w:vanish/>
        </w:rPr>
        <w:instrText>Ref134336051 \r \h</w:instrText>
      </w:r>
      <w:r w:rsidRPr="00552146">
        <w:rPr>
          <w:rStyle w:val="aff4"/>
          <w:vanish/>
          <w:rtl/>
        </w:rPr>
        <w:instrText xml:space="preserve"> </w:instrText>
      </w:r>
      <w:r>
        <w:rPr>
          <w:rStyle w:val="aff4"/>
          <w:vanish/>
          <w:rtl/>
        </w:rPr>
        <w:instrText xml:space="preserve"> \* </w:instrText>
      </w:r>
      <w:r>
        <w:rPr>
          <w:rStyle w:val="aff4"/>
          <w:vanish/>
        </w:rPr>
        <w:instrText>MERGEFORMAT</w:instrText>
      </w:r>
      <w:r>
        <w:rPr>
          <w:rStyle w:val="aff4"/>
          <w:vanish/>
          <w:rtl/>
        </w:rPr>
        <w:instrText xml:space="preserve"> </w:instrText>
      </w:r>
      <w:r w:rsidRPr="00552146">
        <w:rPr>
          <w:rStyle w:val="aff4"/>
          <w:vanish/>
          <w:rtl/>
        </w:rPr>
      </w:r>
      <w:r w:rsidRPr="00552146">
        <w:rPr>
          <w:rStyle w:val="aff4"/>
          <w:vanish/>
          <w:rtl/>
        </w:rPr>
        <w:fldChar w:fldCharType="separate"/>
      </w:r>
      <w:r w:rsidR="00D82181">
        <w:rPr>
          <w:rStyle w:val="aff4"/>
          <w:vanish/>
          <w:cs/>
        </w:rPr>
        <w:t>‎</w:t>
      </w:r>
      <w:r w:rsidR="00D82181">
        <w:rPr>
          <w:rStyle w:val="aff4"/>
          <w:vanish/>
          <w:rtl/>
        </w:rPr>
        <w:t>סג)</w:t>
      </w:r>
      <w:r w:rsidRPr="00552146">
        <w:rPr>
          <w:rStyle w:val="aff4"/>
          <w:vanish/>
          <w:rtl/>
        </w:rPr>
        <w:fldChar w:fldCharType="end"/>
      </w:r>
      <w:r w:rsidRPr="00552146">
        <w:rPr>
          <w:rStyle w:val="aff4"/>
          <w:rFonts w:hint="cs"/>
          <w:vanish/>
          <w:rtl/>
        </w:rPr>
        <w:t xml:space="preserve"> &gt;</w:t>
      </w:r>
      <w:r w:rsidRPr="00552146">
        <w:rPr>
          <w:rStyle w:val="aff4"/>
          <w:rFonts w:hint="cs"/>
          <w:rtl/>
        </w:rPr>
        <w:t>אפיקי ים</w:t>
      </w:r>
      <w:r w:rsidRPr="00552146">
        <w:rPr>
          <w:rStyle w:val="aff4"/>
          <w:rFonts w:hint="cs"/>
          <w:vanish/>
          <w:rtl/>
        </w:rPr>
        <w:t>-</w:t>
      </w:r>
      <w:r>
        <w:rPr>
          <w:rFonts w:hint="cs"/>
          <w:rtl/>
        </w:rPr>
        <w:t xml:space="preserve"> </w:t>
      </w:r>
      <w:r w:rsidRPr="00DB339E">
        <w:rPr>
          <w:rStyle w:val="af2"/>
          <w:rFonts w:eastAsia="Guttman Hodes" w:hint="cs"/>
          <w:rtl/>
        </w:rPr>
        <w:t>(ח"ב סי' ד' ענף א'</w:t>
      </w:r>
      <w:r w:rsidRPr="00DB339E">
        <w:rPr>
          <w:rStyle w:val="af2"/>
          <w:rFonts w:eastAsia="Guttman Hodes"/>
          <w:rtl/>
        </w:rPr>
        <w:t xml:space="preserve"> </w:t>
      </w:r>
      <w:r w:rsidRPr="00DB339E">
        <w:rPr>
          <w:rStyle w:val="af2"/>
          <w:rFonts w:eastAsia="Guttman Hodes" w:hint="cs"/>
          <w:rtl/>
        </w:rPr>
        <w:t xml:space="preserve">ד"ה </w:t>
      </w:r>
      <w:r w:rsidRPr="00DB339E">
        <w:rPr>
          <w:rStyle w:val="af2"/>
          <w:rFonts w:eastAsia="Guttman Hodes"/>
          <w:rtl/>
        </w:rPr>
        <w:t>ולכאורה</w:t>
      </w:r>
      <w:r w:rsidRPr="00DB339E">
        <w:rPr>
          <w:rStyle w:val="af2"/>
          <w:rFonts w:eastAsia="Guttman Hodes" w:hint="cs"/>
          <w:rtl/>
        </w:rPr>
        <w:t>)</w:t>
      </w:r>
      <w:r w:rsidRPr="00552146">
        <w:rPr>
          <w:rFonts w:hint="cs"/>
          <w:vanish/>
          <w:rtl/>
        </w:rPr>
        <w:t>=</w:t>
      </w:r>
      <w:r>
        <w:rPr>
          <w:rFonts w:hint="cs"/>
          <w:rtl/>
        </w:rPr>
        <w:t xml:space="preserve"> דכן מוכח מהמשנה בתרומות </w:t>
      </w:r>
      <w:r w:rsidRPr="00DB339E">
        <w:rPr>
          <w:rStyle w:val="af2"/>
          <w:rFonts w:eastAsia="Guttman Hodes" w:hint="cs"/>
          <w:rtl/>
        </w:rPr>
        <w:t>(פ"ב מ"ג)</w:t>
      </w:r>
      <w:r>
        <w:rPr>
          <w:rFonts w:hint="cs"/>
          <w:rtl/>
        </w:rPr>
        <w:t xml:space="preserve"> שהביאה הגמ' בגיטין </w:t>
      </w:r>
      <w:r w:rsidRPr="00DB339E">
        <w:rPr>
          <w:rStyle w:val="af2"/>
          <w:rFonts w:eastAsia="Guttman Hodes" w:hint="cs"/>
          <w:rtl/>
        </w:rPr>
        <w:t>(נג:)</w:t>
      </w:r>
      <w:r>
        <w:rPr>
          <w:rFonts w:hint="cs"/>
          <w:rtl/>
        </w:rPr>
        <w:t xml:space="preserve"> דהנוטע בשבת בשוגג יקיים ובמזיד יעקור, ומשמע דאיירי בכל האופנים גם בתוך ג' ימים לנטיעה דעדיין לא נקלטה הנטיעה בקרקע, </w:t>
      </w:r>
      <w:r w:rsidRPr="00DB339E">
        <w:rPr>
          <w:rStyle w:val="af"/>
          <w:rFonts w:hint="cs"/>
          <w:rtl/>
        </w:rPr>
        <w:t>[או בתוך י"ד ימים לנטיעה למ"ד דנקלט בי"ד ימים],</w:t>
      </w:r>
      <w:r>
        <w:rPr>
          <w:rFonts w:hint="cs"/>
          <w:rtl/>
        </w:rPr>
        <w:t xml:space="preserve"> ואי גמר מלאכת זורע היא רק בהשרשה, כמ"ש </w:t>
      </w:r>
      <w:r w:rsidRPr="00E87CC9">
        <w:rPr>
          <w:rStyle w:val="aff4"/>
          <w:rFonts w:hint="cs"/>
          <w:vanish/>
          <w:rtl/>
        </w:rPr>
        <w:t>-</w:t>
      </w:r>
      <w:r w:rsidRPr="003B4E24">
        <w:rPr>
          <w:rStyle w:val="aff4"/>
          <w:rFonts w:hint="cs"/>
          <w:rtl/>
        </w:rPr>
        <w:t>הרש"ש</w:t>
      </w:r>
      <w:r w:rsidRPr="00E87CC9">
        <w:rPr>
          <w:rStyle w:val="aff4"/>
          <w:rFonts w:hint="cs"/>
          <w:vanish/>
          <w:rtl/>
        </w:rPr>
        <w:t>-</w:t>
      </w:r>
      <w:r>
        <w:rPr>
          <w:rFonts w:hint="cs"/>
          <w:rtl/>
        </w:rPr>
        <w:t xml:space="preserve"> </w:t>
      </w:r>
      <w:r w:rsidRPr="00277835">
        <w:rPr>
          <w:rStyle w:val="af2"/>
          <w:rFonts w:eastAsia="Guttman Hodes" w:hint="cs"/>
          <w:rtl/>
        </w:rPr>
        <w:t xml:space="preserve">(עי' אות </w:t>
      </w:r>
      <w:r w:rsidRPr="00277835">
        <w:rPr>
          <w:rStyle w:val="af2"/>
          <w:rFonts w:eastAsia="Guttman Hodes"/>
          <w:rtl/>
        </w:rPr>
        <w:fldChar w:fldCharType="begin"/>
      </w:r>
      <w:r w:rsidRPr="00277835">
        <w:rPr>
          <w:rStyle w:val="af2"/>
          <w:rFonts w:eastAsia="Guttman Hodes"/>
          <w:rtl/>
        </w:rPr>
        <w:instrText xml:space="preserve"> </w:instrText>
      </w:r>
      <w:r w:rsidRPr="00277835">
        <w:rPr>
          <w:rStyle w:val="af2"/>
          <w:rFonts w:eastAsia="Guttman Hodes" w:hint="cs"/>
        </w:rPr>
        <w:instrText>REF</w:instrText>
      </w:r>
      <w:r w:rsidRPr="00277835">
        <w:rPr>
          <w:rStyle w:val="af2"/>
          <w:rFonts w:eastAsia="Guttman Hodes" w:hint="cs"/>
          <w:rtl/>
        </w:rPr>
        <w:instrText xml:space="preserve"> _</w:instrText>
      </w:r>
      <w:r w:rsidRPr="00277835">
        <w:rPr>
          <w:rStyle w:val="af2"/>
          <w:rFonts w:eastAsia="Guttman Hodes" w:hint="cs"/>
        </w:rPr>
        <w:instrText>Ref133266181 \r \h</w:instrText>
      </w:r>
      <w:r w:rsidRPr="00277835">
        <w:rPr>
          <w:rStyle w:val="af2"/>
          <w:rFonts w:eastAsia="Guttman Hodes"/>
          <w:rtl/>
        </w:rPr>
        <w:instrText xml:space="preserve"> </w:instrText>
      </w:r>
      <w:r w:rsidRPr="00277835">
        <w:rPr>
          <w:rStyle w:val="af2"/>
          <w:rFonts w:eastAsia="Guttman Hodes"/>
          <w:rtl/>
        </w:rPr>
      </w:r>
      <w:r w:rsidRPr="00277835">
        <w:rPr>
          <w:rStyle w:val="af2"/>
          <w:rFonts w:eastAsia="Guttman Hodes"/>
          <w:rtl/>
        </w:rPr>
        <w:fldChar w:fldCharType="separate"/>
      </w:r>
      <w:r w:rsidR="00D82181">
        <w:rPr>
          <w:rStyle w:val="af2"/>
          <w:rFonts w:eastAsia="Guttman Hodes"/>
          <w:cs/>
        </w:rPr>
        <w:t>‎</w:t>
      </w:r>
      <w:r w:rsidR="00D82181">
        <w:rPr>
          <w:rStyle w:val="af2"/>
          <w:rFonts w:eastAsia="Guttman Hodes"/>
          <w:rtl/>
        </w:rPr>
        <w:t>מד)</w:t>
      </w:r>
      <w:r w:rsidRPr="00277835">
        <w:rPr>
          <w:rStyle w:val="af2"/>
          <w:rFonts w:eastAsia="Guttman Hodes"/>
          <w:rtl/>
        </w:rPr>
        <w:fldChar w:fldCharType="end"/>
      </w:r>
      <w:r>
        <w:rPr>
          <w:rFonts w:hint="cs"/>
          <w:rtl/>
        </w:rPr>
        <w:t>, א"כ כיון דנודע לו לפני שנקלט האילן בקרקע, הוא צריך לעקור אותו בכדי לתקן את האיסור למפרע, ואמאי תנן דבשוגג יקיים, אלא מוכח דמלאכת זורע נגמרת מיד בשעת הזריעה, ואף אם חזר וליקט את הזרעים או עקר את הנטיעה חייב, ואין בזה כל תיקון של האיסור למפרע.</w:t>
      </w:r>
      <w:bookmarkEnd w:id="799"/>
    </w:p>
    <w:p w14:paraId="2399B4A8" w14:textId="77777777" w:rsidR="001C69A8" w:rsidRPr="00747170" w:rsidRDefault="001C69A8" w:rsidP="00747170">
      <w:pPr>
        <w:pStyle w:val="a2"/>
        <w:rPr>
          <w:rtl/>
        </w:rPr>
      </w:pPr>
      <w:r w:rsidRPr="00747170">
        <w:rPr>
          <w:rtl/>
        </w:rPr>
        <w:t xml:space="preserve">ולכאורה הי' נלע"ד להוכיח ממשנה מפורשת תרומות פ"ב מ"ג, ומובא בגיטין נ"ג: הנוטע בשבת בשוגג יקיים ובמזיד יעקור, ומשמע פשוט בכל גווני, אף דלא נקלט עדיין, כגון קודם ג' ימים או י"ד, לכל חד כדאית לי', והרי אם נימא דאין המלאכה נגמרת אלא בהשרשה, ובעוקר מקודם מתקן האיסור למפרע, א"כ בכה"ג דנודע לפני הקליטה, בודאי החיוב לעקור ולתקן האיסור למפרע, והמשנה סתמא קאמרה בשוגג יקיים אף קודם קליטה, וע"כ לכאורה נראה בעליל, דמלאכת זורע ונוטע נגמרת תכף, ואף שחזר ולקטן או עקרן חייב, ואינו מתקן האיסור כלל למפרע וכהמנחת חינוך: </w:t>
      </w:r>
    </w:p>
    <w:p w14:paraId="5AB450DE" w14:textId="77777777" w:rsidR="001C69A8" w:rsidRDefault="001C69A8" w:rsidP="001C69A8">
      <w:pPr>
        <w:pStyle w:val="afffff7"/>
        <w:rPr>
          <w:rtl/>
        </w:rPr>
      </w:pPr>
      <w:bookmarkStart w:id="800" w:name="_Toc134550214"/>
      <w:bookmarkStart w:id="801" w:name="_Toc163505506"/>
      <w:r>
        <w:rPr>
          <w:rtl/>
        </w:rPr>
        <w:t>אפיקי ים חלק ב סימן ד ענף א</w:t>
      </w:r>
      <w:r w:rsidRPr="00566D86">
        <w:rPr>
          <w:rtl/>
        </w:rPr>
        <w:t xml:space="preserve"> ד"ה </w:t>
      </w:r>
      <w:r>
        <w:rPr>
          <w:rFonts w:hint="cs"/>
          <w:rtl/>
        </w:rPr>
        <w:t>שבתי</w:t>
      </w:r>
      <w:bookmarkEnd w:id="800"/>
      <w:bookmarkEnd w:id="801"/>
    </w:p>
    <w:p w14:paraId="528F4B8F" w14:textId="77777777" w:rsidR="001C69A8" w:rsidRPr="00031B4E" w:rsidRDefault="001C69A8" w:rsidP="001C69A8">
      <w:pPr>
        <w:pStyle w:val="a7"/>
        <w:rPr>
          <w:rtl/>
        </w:rPr>
      </w:pPr>
      <w:bookmarkStart w:id="802" w:name="_Toc134347686"/>
      <w:r>
        <w:rPr>
          <w:rFonts w:hint="cs"/>
          <w:rtl/>
        </w:rPr>
        <w:t>דחיית האפיק"י דמוכח דמתני' דנוטע בשבת בשוגג איירי אחר הקליטה כמבו' בנוטע בשביעית</w:t>
      </w:r>
      <w:bookmarkEnd w:id="802"/>
    </w:p>
    <w:p w14:paraId="5E5290E7" w14:textId="66234BD6" w:rsidR="001C69A8" w:rsidRPr="00B40D72" w:rsidRDefault="001C69A8" w:rsidP="00BC7DC8">
      <w:pPr>
        <w:pStyle w:val="a3"/>
        <w:rPr>
          <w:rtl/>
        </w:rPr>
      </w:pPr>
      <w:bookmarkStart w:id="803" w:name="_Ref134336075"/>
      <w:r>
        <w:rPr>
          <w:rFonts w:hint="cs"/>
          <w:rtl/>
        </w:rPr>
        <w:t xml:space="preserve">אך דחה </w:t>
      </w:r>
      <w:r w:rsidRPr="00552146">
        <w:rPr>
          <w:rStyle w:val="aff4"/>
          <w:rFonts w:hint="cs"/>
          <w:vanish/>
          <w:rtl/>
        </w:rPr>
        <w:t>-</w:t>
      </w:r>
      <w:r w:rsidRPr="00552146">
        <w:rPr>
          <w:rStyle w:val="aff4"/>
          <w:rFonts w:hint="cs"/>
          <w:rtl/>
        </w:rPr>
        <w:t>ה</w:t>
      </w:r>
      <w:r w:rsidRPr="00552146">
        <w:rPr>
          <w:rStyle w:val="aff4"/>
          <w:rFonts w:hint="cs"/>
          <w:vanish/>
          <w:rtl/>
        </w:rPr>
        <w:t xml:space="preserve">&lt;. </w:t>
      </w:r>
      <w:r w:rsidRPr="00552146">
        <w:rPr>
          <w:rStyle w:val="aff4"/>
          <w:vanish/>
          <w:rtl/>
        </w:rPr>
        <w:fldChar w:fldCharType="begin"/>
      </w:r>
      <w:r w:rsidRPr="00552146">
        <w:rPr>
          <w:rStyle w:val="aff4"/>
          <w:vanish/>
          <w:rtl/>
        </w:rPr>
        <w:instrText xml:space="preserve"> </w:instrText>
      </w:r>
      <w:r w:rsidRPr="00552146">
        <w:rPr>
          <w:rStyle w:val="aff4"/>
          <w:rFonts w:hint="cs"/>
          <w:vanish/>
        </w:rPr>
        <w:instrText>REF</w:instrText>
      </w:r>
      <w:r w:rsidRPr="00552146">
        <w:rPr>
          <w:rStyle w:val="aff4"/>
          <w:rFonts w:hint="cs"/>
          <w:vanish/>
          <w:rtl/>
        </w:rPr>
        <w:instrText xml:space="preserve"> _</w:instrText>
      </w:r>
      <w:r w:rsidRPr="00552146">
        <w:rPr>
          <w:rStyle w:val="aff4"/>
          <w:rFonts w:hint="cs"/>
          <w:vanish/>
        </w:rPr>
        <w:instrText>Ref134336075 \r \h</w:instrText>
      </w:r>
      <w:r w:rsidRPr="00552146">
        <w:rPr>
          <w:rStyle w:val="aff4"/>
          <w:vanish/>
          <w:rtl/>
        </w:rPr>
        <w:instrText xml:space="preserve"> </w:instrText>
      </w:r>
      <w:r w:rsidRPr="00552146">
        <w:rPr>
          <w:rStyle w:val="aff4"/>
          <w:vanish/>
          <w:rtl/>
        </w:rPr>
      </w:r>
      <w:r w:rsidRPr="00552146">
        <w:rPr>
          <w:rStyle w:val="aff4"/>
          <w:vanish/>
          <w:rtl/>
        </w:rPr>
        <w:fldChar w:fldCharType="separate"/>
      </w:r>
      <w:r w:rsidR="00D82181">
        <w:rPr>
          <w:rStyle w:val="aff4"/>
          <w:vanish/>
          <w:cs/>
        </w:rPr>
        <w:t>‎</w:t>
      </w:r>
      <w:r w:rsidR="00D82181">
        <w:rPr>
          <w:rStyle w:val="aff4"/>
          <w:vanish/>
          <w:rtl/>
        </w:rPr>
        <w:t>סד)</w:t>
      </w:r>
      <w:r w:rsidRPr="00552146">
        <w:rPr>
          <w:rStyle w:val="aff4"/>
          <w:vanish/>
          <w:rtl/>
        </w:rPr>
        <w:fldChar w:fldCharType="end"/>
      </w:r>
      <w:r w:rsidRPr="00552146">
        <w:rPr>
          <w:rStyle w:val="aff4"/>
          <w:rFonts w:hint="cs"/>
          <w:vanish/>
          <w:rtl/>
        </w:rPr>
        <w:t xml:space="preserve"> &gt;</w:t>
      </w:r>
      <w:r w:rsidRPr="00552146">
        <w:rPr>
          <w:rStyle w:val="aff4"/>
          <w:rFonts w:hint="cs"/>
          <w:rtl/>
        </w:rPr>
        <w:t>אפיקי ים</w:t>
      </w:r>
      <w:r w:rsidRPr="00552146">
        <w:rPr>
          <w:rStyle w:val="aff4"/>
          <w:rFonts w:hint="cs"/>
          <w:vanish/>
          <w:rtl/>
        </w:rPr>
        <w:t>-</w:t>
      </w:r>
      <w:r>
        <w:rPr>
          <w:rFonts w:hint="cs"/>
          <w:rtl/>
        </w:rPr>
        <w:t xml:space="preserve"> </w:t>
      </w:r>
      <w:r w:rsidRPr="00DB339E">
        <w:rPr>
          <w:rStyle w:val="af2"/>
          <w:rFonts w:eastAsia="Guttman Hodes" w:hint="cs"/>
          <w:rtl/>
        </w:rPr>
        <w:t>(ח"ב סי' ד' ענף א'</w:t>
      </w:r>
      <w:r w:rsidRPr="00DB339E">
        <w:rPr>
          <w:rStyle w:val="af2"/>
          <w:rFonts w:eastAsia="Guttman Hodes"/>
          <w:rtl/>
        </w:rPr>
        <w:t xml:space="preserve"> </w:t>
      </w:r>
      <w:r w:rsidRPr="00DB339E">
        <w:rPr>
          <w:rStyle w:val="af2"/>
          <w:rFonts w:eastAsia="Guttman Hodes" w:hint="cs"/>
          <w:rtl/>
        </w:rPr>
        <w:t>ד"ה שבתי)</w:t>
      </w:r>
      <w:r w:rsidRPr="00552146">
        <w:rPr>
          <w:rFonts w:hint="cs"/>
          <w:vanish/>
          <w:rtl/>
        </w:rPr>
        <w:t>=</w:t>
      </w:r>
      <w:r>
        <w:rPr>
          <w:rFonts w:hint="cs"/>
          <w:rtl/>
        </w:rPr>
        <w:t xml:space="preserve"> דמוכח דבמתני' בתרומות איירי לאחר שנקלטה הנטיעה בקרקע, דהא תנן במתני' כן גם לענין שביעית, ובשביעית האיסור הוא גם אם נטע לפני שביעית ונקלט בשביעית, אף דבשבת מותר בכה"ג, וא"כ אי איירי לפני הקליטה היה חייב לעקור בשביעית, עיי"ש בדבריו.</w:t>
      </w:r>
      <w:bookmarkEnd w:id="803"/>
    </w:p>
    <w:p w14:paraId="208DD399" w14:textId="77777777" w:rsidR="001C69A8" w:rsidRPr="00747170" w:rsidRDefault="001C69A8" w:rsidP="00747170">
      <w:pPr>
        <w:pStyle w:val="a2"/>
        <w:rPr>
          <w:rtl/>
        </w:rPr>
      </w:pPr>
      <w:r w:rsidRPr="00747170">
        <w:rPr>
          <w:rtl/>
        </w:rPr>
        <w:t xml:space="preserve">שבתי וראיתי דאין מזה הכרח, דהרי גם שביעית מתניא התם במתני', והלא הקליטה בשביעית נחשבת כזריעה בפני עצמה, ואסור לזרוע פחות משלשים יום לפני שביעית, משום דתקלוט בשביעית, כמבואר ברש"י ותוס' ר"ה ד"י: והרי בשבת כה"ג, לדידן דקיי"ל כב"ה שבת י"ז: מותר לזרוע באופן זה בחול, אף דתהי' אח"כ הקליטה בשבת, וצ"ל ע"כ דשאני שבת משביעית, דבשבת האיסור על האדם לשבות ממלאכה, וע"כ אם עושה המלאכה בחול, אף דתעשה אח"כ בשבת מותר לב"ה, משא"כ בשביעית דהדין הוא, דתשבות הקרקע בשביעית, דושבתה הארץ כתיב, וע"כ גם הקליטה אסורה בשביעית, וכ"כ המנחת חינוך שם עכ"פ יקשה לנו בשביעית, אם נודע לנו קודם קליטה, מאי טעמא לא יתחייב לעקור, כדי שלא יקלוט בשביעית. ומן ההכרח הוא לומר לכאורה, דע"כ מיירי בנודע אחר הקליטה, דאל"כ לא הי' שייך בזה כלל, מחלוקת דר' מאיר ור' יהודה בגיטין שם, וממילא שוב אין לנו ראי' גם לענין שבת, ואף דיפלא לפי"ז דהלא סתמא קתני במתני', ומשמע בכל גווני, אכן י"ל קצת דלמאי דנאמר דמלאכת הזריעה והנטיעה אינה נגמרת, רק בהשריש אח"כ, א"כ הזורע דקחשיב במלאכות שבת, מיירי ע"כ בהשריש אח"כ, וא"כ גם הכא דתני הנוטע בשבת, מיירי כדין נוטע בהשריש: </w:t>
      </w:r>
    </w:p>
    <w:p w14:paraId="7BFB5AB6" w14:textId="77777777" w:rsidR="001C69A8" w:rsidRDefault="001C69A8" w:rsidP="001C69A8">
      <w:pPr>
        <w:pStyle w:val="1"/>
        <w:rPr>
          <w:rtl/>
        </w:rPr>
      </w:pPr>
      <w:bookmarkStart w:id="804" w:name="_Toc134347687"/>
      <w:r>
        <w:rPr>
          <w:rFonts w:hint="cs"/>
          <w:rtl/>
        </w:rPr>
        <w:t>הוכחת השביתת השבת כמנ"ח מדאין חיוב ללקט את הזרעים</w:t>
      </w:r>
      <w:bookmarkEnd w:id="804"/>
    </w:p>
    <w:p w14:paraId="74D3F8EB" w14:textId="77777777" w:rsidR="001C69A8" w:rsidRDefault="001C69A8" w:rsidP="001C69A8">
      <w:pPr>
        <w:pStyle w:val="afffff7"/>
      </w:pPr>
      <w:bookmarkStart w:id="805" w:name="_Toc134550215"/>
      <w:bookmarkStart w:id="806" w:name="_Toc163505507"/>
      <w:r>
        <w:rPr>
          <w:rFonts w:hint="cs"/>
          <w:rtl/>
        </w:rPr>
        <w:t>שביתת השבת זורע אות ט' ד"ה ודברי</w:t>
      </w:r>
      <w:bookmarkEnd w:id="805"/>
      <w:bookmarkEnd w:id="806"/>
    </w:p>
    <w:p w14:paraId="03013281" w14:textId="77777777" w:rsidR="001C69A8" w:rsidRDefault="001C69A8" w:rsidP="001C69A8">
      <w:pPr>
        <w:pStyle w:val="a7"/>
      </w:pPr>
      <w:bookmarkStart w:id="807" w:name="_Toc134347688"/>
      <w:r>
        <w:rPr>
          <w:rFonts w:hint="cs"/>
          <w:rtl/>
        </w:rPr>
        <w:t>הוכחת השביתת השבת דבליקט לפני השרשה חייב מדאין חיוב ללקט בחול לפני ההשרשה</w:t>
      </w:r>
      <w:bookmarkEnd w:id="807"/>
    </w:p>
    <w:p w14:paraId="5FFB3E53" w14:textId="47149A9D" w:rsidR="001C69A8" w:rsidRDefault="001C69A8" w:rsidP="00BC7DC8">
      <w:pPr>
        <w:pStyle w:val="a3"/>
      </w:pPr>
      <w:bookmarkStart w:id="808" w:name="_Ref134329943"/>
      <w:r>
        <w:rPr>
          <w:rFonts w:hint="cs"/>
          <w:rtl/>
        </w:rPr>
        <w:t xml:space="preserve">במ"ש </w:t>
      </w:r>
      <w:r w:rsidRPr="00E87CC9">
        <w:rPr>
          <w:rStyle w:val="aff4"/>
          <w:rFonts w:hint="cs"/>
          <w:vanish/>
          <w:rtl/>
        </w:rPr>
        <w:t>-</w:t>
      </w:r>
      <w:r w:rsidRPr="003B4E24">
        <w:rPr>
          <w:rStyle w:val="aff4"/>
          <w:rFonts w:hint="cs"/>
          <w:rtl/>
        </w:rPr>
        <w:t>המנחת חינוך</w:t>
      </w:r>
      <w:r w:rsidRPr="00E87CC9">
        <w:rPr>
          <w:rStyle w:val="aff4"/>
          <w:rFonts w:hint="cs"/>
          <w:vanish/>
          <w:rtl/>
        </w:rPr>
        <w:t>-</w:t>
      </w:r>
      <w:r>
        <w:rPr>
          <w:rFonts w:hint="cs"/>
          <w:rtl/>
        </w:rPr>
        <w:t xml:space="preserve"> </w:t>
      </w:r>
      <w:r w:rsidRPr="00277835">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Ref134094454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י)</w:t>
      </w:r>
      <w:r>
        <w:rPr>
          <w:rStyle w:val="af2"/>
          <w:rFonts w:eastAsia="Guttman Hodes"/>
          <w:rtl/>
        </w:rPr>
        <w:fldChar w:fldCharType="end"/>
      </w:r>
      <w:r>
        <w:rPr>
          <w:rFonts w:hint="cs"/>
          <w:rtl/>
        </w:rPr>
        <w:t xml:space="preserve"> דהחיוב בזורע הוא מיד ולא רק בשעת ההשרשה, כתב </w:t>
      </w:r>
      <w:r w:rsidRPr="00E87CC9">
        <w:rPr>
          <w:rStyle w:val="aff4"/>
          <w:rFonts w:hint="cs"/>
          <w:vanish/>
          <w:rtl/>
        </w:rPr>
        <w:t>-</w:t>
      </w:r>
      <w:r w:rsidRPr="003B4E24">
        <w:rPr>
          <w:rStyle w:val="aff4"/>
          <w:rFonts w:hint="cs"/>
          <w:rtl/>
        </w:rPr>
        <w:t>ה</w:t>
      </w:r>
      <w:r w:rsidRPr="00350A80">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Ref134329943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סה)</w:t>
      </w:r>
      <w:r>
        <w:rPr>
          <w:rStyle w:val="aff4"/>
          <w:vanish/>
          <w:rtl/>
        </w:rPr>
        <w:fldChar w:fldCharType="end"/>
      </w:r>
      <w:r w:rsidRPr="00350A80">
        <w:rPr>
          <w:rStyle w:val="aff4"/>
          <w:rFonts w:hint="cs"/>
          <w:vanish/>
          <w:rtl/>
        </w:rPr>
        <w:t xml:space="preserve"> &gt;</w:t>
      </w:r>
      <w:r w:rsidRPr="003B4E24">
        <w:rPr>
          <w:rStyle w:val="aff4"/>
          <w:rFonts w:hint="cs"/>
          <w:rtl/>
        </w:rPr>
        <w:t>שביתת השבת</w:t>
      </w:r>
      <w:r w:rsidRPr="00E87CC9">
        <w:rPr>
          <w:rStyle w:val="aff4"/>
          <w:rFonts w:hint="cs"/>
          <w:vanish/>
          <w:rtl/>
        </w:rPr>
        <w:t>-</w:t>
      </w:r>
      <w:r>
        <w:rPr>
          <w:rFonts w:hint="cs"/>
          <w:rtl/>
        </w:rPr>
        <w:t xml:space="preserve"> </w:t>
      </w:r>
      <w:r w:rsidRPr="00277835">
        <w:rPr>
          <w:rStyle w:val="af2"/>
          <w:rFonts w:eastAsia="Guttman Hodes" w:hint="cs"/>
          <w:rtl/>
        </w:rPr>
        <w:t>(זורע סק"ט)</w:t>
      </w:r>
      <w:r w:rsidRPr="00350A80">
        <w:rPr>
          <w:rFonts w:hint="cs"/>
          <w:vanish/>
          <w:rtl/>
        </w:rPr>
        <w:t>=</w:t>
      </w:r>
      <w:r>
        <w:rPr>
          <w:rFonts w:hint="cs"/>
          <w:rtl/>
        </w:rPr>
        <w:t xml:space="preserve"> דמוכח כדברי </w:t>
      </w:r>
      <w:r w:rsidRPr="00E87CC9">
        <w:rPr>
          <w:rStyle w:val="aff4"/>
          <w:rFonts w:hint="cs"/>
          <w:vanish/>
          <w:rtl/>
        </w:rPr>
        <w:t>-</w:t>
      </w:r>
      <w:r w:rsidRPr="003B4E24">
        <w:rPr>
          <w:rStyle w:val="aff4"/>
          <w:rFonts w:hint="cs"/>
          <w:rtl/>
        </w:rPr>
        <w:t>המנחת חינוך</w:t>
      </w:r>
      <w:r w:rsidRPr="00E87CC9">
        <w:rPr>
          <w:rStyle w:val="aff4"/>
          <w:rFonts w:hint="cs"/>
          <w:vanish/>
          <w:rtl/>
        </w:rPr>
        <w:t>-</w:t>
      </w:r>
      <w:r>
        <w:rPr>
          <w:rFonts w:hint="cs"/>
          <w:rtl/>
        </w:rPr>
        <w:t xml:space="preserve"> מהספק בגמ' לעיל </w:t>
      </w:r>
      <w:r w:rsidRPr="00277835">
        <w:rPr>
          <w:rStyle w:val="af2"/>
          <w:rFonts w:eastAsia="Guttman Hodes" w:hint="cs"/>
          <w:rtl/>
        </w:rPr>
        <w:t>(ד.)</w:t>
      </w:r>
      <w:r>
        <w:rPr>
          <w:rFonts w:hint="cs"/>
          <w:rtl/>
        </w:rPr>
        <w:t xml:space="preserve"> בנותן פת בתנור בשוגג בשבת אי התירו לו לרדותה קודם שיבא לידי חיוב חטאת, כיון דהרדייה היא שבות ואסורה בשבת, ואי בזורע וקדם וליקט פטור, א"כ בכל זורע בשוגג בשבת דההשרשה היא בחול, יתחייב מדינא ללקט בחול, כיון דאין כל איסור בליקוט בחול, ובזה הוא עוקר את החיוב חטאת בשבת, ומהא דהזורע בשבת חייב חטאת מוכח דמיד בשעת הזריעה התחייב חטאת, ולא מהני אם ילקט את הזרע אח"כ.</w:t>
      </w:r>
      <w:bookmarkEnd w:id="808"/>
    </w:p>
    <w:p w14:paraId="4492F096" w14:textId="77777777" w:rsidR="001C69A8" w:rsidRPr="00747170" w:rsidRDefault="001C69A8" w:rsidP="00747170">
      <w:pPr>
        <w:pStyle w:val="a2"/>
      </w:pPr>
    </w:p>
    <w:p w14:paraId="542493B1" w14:textId="77777777" w:rsidR="001C69A8" w:rsidRPr="0000488C" w:rsidRDefault="001C69A8" w:rsidP="00747170">
      <w:pPr>
        <w:pStyle w:val="afffff5"/>
      </w:pPr>
      <w:r w:rsidRPr="0000488C">
        <w:rPr>
          <w:noProof/>
          <w:rtl/>
        </w:rPr>
        <w:drawing>
          <wp:inline distT="0" distB="0" distL="0" distR="0" wp14:anchorId="7CB8C740" wp14:editId="57C0EFCA">
            <wp:extent cx="3142235" cy="2103966"/>
            <wp:effectExtent l="0" t="0" r="1270" b="0"/>
            <wp:docPr id="48" name="תמונה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b="44269"/>
                    <a:stretch/>
                  </pic:blipFill>
                  <pic:spPr bwMode="auto">
                    <a:xfrm>
                      <a:off x="0" y="0"/>
                      <a:ext cx="3142615" cy="2104221"/>
                    </a:xfrm>
                    <a:prstGeom prst="rect">
                      <a:avLst/>
                    </a:prstGeom>
                    <a:ln>
                      <a:noFill/>
                    </a:ln>
                    <a:extLst>
                      <a:ext uri="{53640926-AAD7-44D8-BBD7-CCE9431645EC}">
                        <a14:shadowObscured xmlns:a14="http://schemas.microsoft.com/office/drawing/2010/main"/>
                      </a:ext>
                    </a:extLst>
                  </pic:spPr>
                </pic:pic>
              </a:graphicData>
            </a:graphic>
          </wp:inline>
        </w:drawing>
      </w:r>
    </w:p>
    <w:p w14:paraId="1A42C80B" w14:textId="06451D47" w:rsidR="001C69A8" w:rsidRPr="003E575F" w:rsidRDefault="001C69A8" w:rsidP="001C69A8">
      <w:pPr>
        <w:pStyle w:val="affff5"/>
      </w:pPr>
      <w:bookmarkStart w:id="809" w:name="_Toc134347689"/>
      <w:r w:rsidRPr="003E575F">
        <w:rPr>
          <w:rFonts w:hint="cs"/>
          <w:rtl/>
        </w:rPr>
        <w:t>~~~~~~~~~~~~~~~~~~~~~~~~~~~~</w:t>
      </w:r>
      <w:bookmarkEnd w:id="778"/>
      <w:bookmarkEnd w:id="809"/>
    </w:p>
    <w:p w14:paraId="0F010034" w14:textId="77777777" w:rsidR="001C69A8" w:rsidRDefault="001C69A8" w:rsidP="001C69A8">
      <w:pPr>
        <w:pStyle w:val="affff5"/>
        <w:rPr>
          <w:rtl/>
        </w:rPr>
      </w:pPr>
      <w:bookmarkStart w:id="810" w:name="_Toc134347690"/>
      <w:r>
        <w:rPr>
          <w:rFonts w:hint="cs"/>
          <w:rtl/>
        </w:rPr>
        <w:lastRenderedPageBreak/>
        <w:t>בהתחיל מלאכה בשבת ונגמרה בחול</w:t>
      </w:r>
      <w:bookmarkEnd w:id="810"/>
    </w:p>
    <w:p w14:paraId="347172D4" w14:textId="77777777" w:rsidR="001C69A8" w:rsidRDefault="001C69A8" w:rsidP="001C69A8">
      <w:pPr>
        <w:pStyle w:val="1"/>
        <w:rPr>
          <w:rtl/>
        </w:rPr>
      </w:pPr>
      <w:bookmarkStart w:id="811" w:name="_Toc134347691"/>
      <w:r>
        <w:rPr>
          <w:rFonts w:hint="cs"/>
          <w:rtl/>
        </w:rPr>
        <w:t>ספק הפרמ"ג בהניח קדירה בשבת והתבשלה כשיעור בחול</w:t>
      </w:r>
      <w:bookmarkEnd w:id="811"/>
    </w:p>
    <w:p w14:paraId="7F4F01BC" w14:textId="77777777" w:rsidR="001C69A8" w:rsidRDefault="001C69A8" w:rsidP="001C69A8">
      <w:pPr>
        <w:pStyle w:val="afffff7"/>
        <w:rPr>
          <w:rtl/>
        </w:rPr>
      </w:pPr>
      <w:bookmarkStart w:id="812" w:name="_Toc134550216"/>
      <w:bookmarkStart w:id="813" w:name="_Toc163505508"/>
      <w:r>
        <w:rPr>
          <w:rtl/>
        </w:rPr>
        <w:t xml:space="preserve">פרי מגדים </w:t>
      </w:r>
      <w:r>
        <w:rPr>
          <w:rFonts w:hint="cs"/>
          <w:rtl/>
        </w:rPr>
        <w:t>או</w:t>
      </w:r>
      <w:r>
        <w:rPr>
          <w:rFonts w:cs="Guttman Hodes" w:hint="cs"/>
          <w:rtl/>
        </w:rPr>
        <w:t>"</w:t>
      </w:r>
      <w:r>
        <w:rPr>
          <w:rFonts w:hint="cs"/>
          <w:rtl/>
        </w:rPr>
        <w:t>ח</w:t>
      </w:r>
      <w:r>
        <w:rPr>
          <w:rtl/>
        </w:rPr>
        <w:t xml:space="preserve"> פתיחה להלכות שבת</w:t>
      </w:r>
      <w:bookmarkEnd w:id="812"/>
      <w:bookmarkEnd w:id="813"/>
    </w:p>
    <w:p w14:paraId="15027785" w14:textId="77777777" w:rsidR="001C69A8" w:rsidRDefault="001C69A8" w:rsidP="001C69A8">
      <w:pPr>
        <w:pStyle w:val="a7"/>
        <w:rPr>
          <w:rtl/>
        </w:rPr>
      </w:pPr>
      <w:bookmarkStart w:id="814" w:name="_Toc134347692"/>
      <w:r>
        <w:rPr>
          <w:rFonts w:hint="cs"/>
          <w:rtl/>
        </w:rPr>
        <w:t>ספק הפרמ"ג בבישל בשבת סמוך לחשיכה ושיעור בישול בחול אי חייב על תחילת הבישול</w:t>
      </w:r>
      <w:bookmarkEnd w:id="814"/>
    </w:p>
    <w:p w14:paraId="1AAFE44A" w14:textId="46D50072" w:rsidR="001C69A8" w:rsidRDefault="001C69A8" w:rsidP="00BC7DC8">
      <w:pPr>
        <w:pStyle w:val="a3"/>
        <w:rPr>
          <w:rtl/>
        </w:rPr>
      </w:pPr>
      <w:bookmarkStart w:id="815" w:name="_Ref133252043"/>
      <w:r>
        <w:rPr>
          <w:rFonts w:hint="cs"/>
          <w:rtl/>
        </w:rPr>
        <w:t xml:space="preserve">כתב </w:t>
      </w:r>
      <w:r w:rsidRPr="002B1F90">
        <w:rPr>
          <w:rStyle w:val="aff4"/>
          <w:rFonts w:hint="cs"/>
          <w:vanish/>
          <w:rtl/>
        </w:rPr>
        <w:t>-</w:t>
      </w:r>
      <w:r w:rsidRPr="002B1F90">
        <w:rPr>
          <w:rStyle w:val="aff4"/>
          <w:rFonts w:hint="cs"/>
          <w:rtl/>
        </w:rPr>
        <w:t>ה</w:t>
      </w:r>
      <w:r w:rsidRPr="00E526A0">
        <w:rPr>
          <w:rStyle w:val="aff4"/>
          <w:rFonts w:hint="cs"/>
          <w:vanish/>
          <w:rtl/>
        </w:rPr>
        <w:t>&lt;</w:t>
      </w:r>
      <w:r>
        <w:rPr>
          <w:rStyle w:val="aff4"/>
          <w:rFonts w:hint="cs"/>
          <w:vanish/>
          <w:rtl/>
        </w:rPr>
        <w:t>.</w:t>
      </w:r>
      <w:r w:rsidRPr="00E526A0">
        <w:rPr>
          <w:rStyle w:val="aff4"/>
          <w:rFonts w:hint="cs"/>
          <w:vanish/>
          <w:rtl/>
        </w:rPr>
        <w:t xml:space="preserve"> </w:t>
      </w:r>
      <w:r>
        <w:rPr>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Ref133252043 \r \h</w:instrText>
      </w:r>
      <w:r>
        <w:rPr>
          <w:rStyle w:val="aff4"/>
          <w:vanish/>
          <w:rtl/>
        </w:rPr>
        <w:instrText xml:space="preserve"> </w:instrText>
      </w:r>
      <w:r>
        <w:rPr>
          <w:vanish/>
          <w:rtl/>
        </w:rPr>
      </w:r>
      <w:r>
        <w:rPr>
          <w:vanish/>
          <w:rtl/>
        </w:rPr>
        <w:fldChar w:fldCharType="separate"/>
      </w:r>
      <w:r w:rsidR="00D82181">
        <w:rPr>
          <w:rStyle w:val="aff4"/>
          <w:vanish/>
          <w:cs/>
        </w:rPr>
        <w:t>‎</w:t>
      </w:r>
      <w:r w:rsidR="00D82181">
        <w:rPr>
          <w:rStyle w:val="aff4"/>
          <w:vanish/>
          <w:rtl/>
        </w:rPr>
        <w:t>סו)</w:t>
      </w:r>
      <w:r>
        <w:rPr>
          <w:vanish/>
          <w:rtl/>
        </w:rPr>
        <w:fldChar w:fldCharType="end"/>
      </w:r>
      <w:r w:rsidRPr="00E526A0">
        <w:rPr>
          <w:rStyle w:val="aff4"/>
          <w:rFonts w:hint="cs"/>
          <w:vanish/>
          <w:rtl/>
        </w:rPr>
        <w:t xml:space="preserve"> &gt;</w:t>
      </w:r>
      <w:r w:rsidRPr="002B1F90">
        <w:rPr>
          <w:rStyle w:val="aff4"/>
          <w:rFonts w:hint="cs"/>
          <w:rtl/>
        </w:rPr>
        <w:t>פרמ"ג</w:t>
      </w:r>
      <w:r w:rsidRPr="002B1F90">
        <w:rPr>
          <w:rStyle w:val="aff4"/>
          <w:rFonts w:hint="cs"/>
          <w:vanish/>
          <w:rtl/>
        </w:rPr>
        <w:t>-</w:t>
      </w:r>
      <w:r>
        <w:rPr>
          <w:rFonts w:hint="cs"/>
          <w:rtl/>
        </w:rPr>
        <w:t xml:space="preserve"> </w:t>
      </w:r>
      <w:r w:rsidRPr="00277835">
        <w:rPr>
          <w:rStyle w:val="af2"/>
          <w:rFonts w:eastAsia="Guttman Hodes" w:hint="cs"/>
          <w:rtl/>
        </w:rPr>
        <w:t>(פתיחה להל' שבת ד"ה ועיין במ"א)</w:t>
      </w:r>
      <w:r>
        <w:rPr>
          <w:rFonts w:hint="cs"/>
          <w:vanish/>
          <w:rtl/>
        </w:rPr>
        <w:t>=</w:t>
      </w:r>
      <w:r w:rsidRPr="002B1F90">
        <w:rPr>
          <w:rFonts w:hint="cs"/>
          <w:rtl/>
        </w:rPr>
        <w:t xml:space="preserve"> </w:t>
      </w:r>
      <w:r>
        <w:rPr>
          <w:rFonts w:hint="cs"/>
          <w:rtl/>
        </w:rPr>
        <w:t>דיש להסתפק בנותן קדירה בשבת סמוך למוצאי שבת, ותבשלה בשיעור בישול דגרוגרת בחול, אי חייב חטאת, כיון דתחילת הבישול הייתה בשבת, והחיוב בכל אופה ומבשל הוא על תחילת האפייה והבישול, או דכיון דבשבת התבשל רק חצי שיעור, הוא פטור מחטאת.</w:t>
      </w:r>
    </w:p>
    <w:p w14:paraId="68D59C7C" w14:textId="77777777" w:rsidR="001C69A8" w:rsidRPr="00747170" w:rsidRDefault="001C69A8" w:rsidP="00747170">
      <w:pPr>
        <w:pStyle w:val="a2"/>
      </w:pPr>
      <w:r w:rsidRPr="00747170">
        <w:t>גם אני מסופק אם נתן קדירה בשבת סמוך למוצאי שבת ונתבשל כגרוגרת בחול, ומכל מקום התחלה היה בשבת, אם חייב חטאת, דהא כל אופה ומבשל מהתחלה מחייבין ליה, או דילמא הואיל ובשבת רק חצי שיעור תו לא מחייב חטאת</w:t>
      </w:r>
      <w:r w:rsidRPr="00747170">
        <w:rPr>
          <w:rFonts w:hint="cs"/>
          <w:rtl/>
        </w:rPr>
        <w:t>.</w:t>
      </w:r>
    </w:p>
    <w:p w14:paraId="65E12453" w14:textId="77777777" w:rsidR="001C69A8" w:rsidRPr="00224583" w:rsidRDefault="001C69A8" w:rsidP="001C69A8">
      <w:pPr>
        <w:pStyle w:val="a7"/>
        <w:rPr>
          <w:rtl/>
        </w:rPr>
      </w:pPr>
      <w:bookmarkStart w:id="816" w:name="_Toc134347693"/>
      <w:r w:rsidRPr="00224583">
        <w:rPr>
          <w:rFonts w:hint="cs"/>
          <w:rtl/>
        </w:rPr>
        <w:t>בי' הפרמ"ג ד</w:t>
      </w:r>
      <w:r w:rsidRPr="00224583">
        <w:rPr>
          <w:rtl/>
        </w:rPr>
        <w:t>בבישל בשבת סמוך לחשיכה ושיעור בישול בחול</w:t>
      </w:r>
      <w:r w:rsidRPr="00224583">
        <w:rPr>
          <w:rFonts w:hint="cs"/>
          <w:rtl/>
        </w:rPr>
        <w:t xml:space="preserve"> בשבת פטור וביו"ט יל"ע</w:t>
      </w:r>
      <w:bookmarkEnd w:id="816"/>
    </w:p>
    <w:p w14:paraId="093B77D8" w14:textId="3CB8594F" w:rsidR="001C69A8" w:rsidRDefault="001C69A8" w:rsidP="00BC7DC8">
      <w:pPr>
        <w:pStyle w:val="a3"/>
        <w:rPr>
          <w:rtl/>
        </w:rPr>
      </w:pPr>
      <w:r w:rsidRPr="00224583">
        <w:rPr>
          <w:rFonts w:hint="cs"/>
          <w:rtl/>
        </w:rPr>
        <w:t xml:space="preserve">וכתב </w:t>
      </w:r>
      <w:r w:rsidRPr="002B1F90">
        <w:rPr>
          <w:rStyle w:val="aff4"/>
          <w:rFonts w:hint="cs"/>
          <w:vanish/>
          <w:rtl/>
        </w:rPr>
        <w:t>-</w:t>
      </w:r>
      <w:r w:rsidRPr="002B1F90">
        <w:rPr>
          <w:rStyle w:val="aff4"/>
          <w:rFonts w:hint="cs"/>
          <w:rtl/>
        </w:rPr>
        <w:t>הפרמ"ג</w:t>
      </w:r>
      <w:r w:rsidRPr="002B1F90">
        <w:rPr>
          <w:rStyle w:val="aff4"/>
          <w:rFonts w:hint="cs"/>
          <w:vanish/>
          <w:rtl/>
        </w:rPr>
        <w:t>-</w:t>
      </w:r>
      <w:r>
        <w:rPr>
          <w:rFonts w:hint="cs"/>
          <w:rtl/>
        </w:rPr>
        <w:t xml:space="preserve"> דנראה דבשבת הוא פטור, אבל ביו"ט יל"ע אי חייב או פטור.</w:t>
      </w:r>
      <w:bookmarkEnd w:id="815"/>
    </w:p>
    <w:p w14:paraId="49715E54" w14:textId="77777777" w:rsidR="001C69A8" w:rsidRPr="00747170" w:rsidRDefault="001C69A8" w:rsidP="00747170">
      <w:pPr>
        <w:pStyle w:val="a2"/>
      </w:pPr>
      <w:r w:rsidRPr="00747170">
        <w:t>הואיל ובשבת רק חצי שיעור תו לא מחייב חטאת, וכן נראה. ומיהו ביום טוב כהאי גוונא איכא לעיונא, והבן זה:</w:t>
      </w:r>
    </w:p>
    <w:p w14:paraId="1D3C9396" w14:textId="0D3297A3" w:rsidR="001C69A8" w:rsidRPr="00312A2B" w:rsidRDefault="001C69A8" w:rsidP="001C69A8">
      <w:pPr>
        <w:pStyle w:val="1"/>
        <w:rPr>
          <w:rtl/>
        </w:rPr>
      </w:pPr>
      <w:bookmarkStart w:id="817" w:name="_Toc134347694"/>
      <w:r>
        <w:rPr>
          <w:rFonts w:hint="cs"/>
          <w:rtl/>
        </w:rPr>
        <w:t>בי' הרש"ש דהזורע בשבת והשריש בחול חייב וה"ה באופה</w:t>
      </w:r>
      <w:bookmarkEnd w:id="817"/>
    </w:p>
    <w:p w14:paraId="37F69784" w14:textId="77777777" w:rsidR="001C69A8" w:rsidRPr="002A40DA" w:rsidRDefault="001C69A8" w:rsidP="001C69A8">
      <w:pPr>
        <w:pStyle w:val="afffff7"/>
        <w:rPr>
          <w:rtl/>
        </w:rPr>
      </w:pPr>
      <w:bookmarkStart w:id="818" w:name="_Toc134550217"/>
      <w:bookmarkStart w:id="819" w:name="_Toc163505509"/>
      <w:r w:rsidRPr="002A40DA">
        <w:rPr>
          <w:rtl/>
        </w:rPr>
        <w:t>רש"ש שבת ע"ג ע"א</w:t>
      </w:r>
      <w:r w:rsidRPr="002A40DA">
        <w:rPr>
          <w:rFonts w:hint="cs"/>
          <w:rtl/>
        </w:rPr>
        <w:t xml:space="preserve"> ד"ה במשנה הזורע</w:t>
      </w:r>
      <w:bookmarkEnd w:id="818"/>
      <w:bookmarkEnd w:id="819"/>
    </w:p>
    <w:p w14:paraId="0A1F7B5F" w14:textId="77777777" w:rsidR="001C69A8" w:rsidRDefault="001C69A8" w:rsidP="001C69A8">
      <w:pPr>
        <w:pStyle w:val="a7"/>
        <w:rPr>
          <w:rtl/>
        </w:rPr>
      </w:pPr>
      <w:bookmarkStart w:id="820" w:name="_Toc134347695"/>
      <w:r>
        <w:rPr>
          <w:rFonts w:hint="cs"/>
          <w:rtl/>
        </w:rPr>
        <w:t>בי' הרש"ש דזורע חייב אף בזרע בשבת והשריש בחול וה"ה באופה בשבת ונגמרה בחול</w:t>
      </w:r>
      <w:bookmarkEnd w:id="820"/>
    </w:p>
    <w:p w14:paraId="74CCABDF" w14:textId="2DF59D0E" w:rsidR="001C69A8" w:rsidRPr="005E3FC9" w:rsidRDefault="001C69A8" w:rsidP="00BC7DC8">
      <w:pPr>
        <w:pStyle w:val="a3"/>
      </w:pPr>
      <w:bookmarkStart w:id="821" w:name="_Ref133942466"/>
      <w:r>
        <w:rPr>
          <w:rFonts w:hint="cs"/>
          <w:rtl/>
        </w:rPr>
        <w:t xml:space="preserve">כתב </w:t>
      </w:r>
      <w:r w:rsidRPr="00B32D57">
        <w:rPr>
          <w:rStyle w:val="aff4"/>
          <w:rFonts w:hint="cs"/>
          <w:vanish/>
          <w:rtl/>
        </w:rPr>
        <w:t>-</w:t>
      </w:r>
      <w:r w:rsidRPr="00373C7B">
        <w:rPr>
          <w:rStyle w:val="aff4"/>
          <w:rFonts w:hint="cs"/>
          <w:rtl/>
        </w:rPr>
        <w:t>ה</w:t>
      </w:r>
      <w:r w:rsidRPr="00FD208E">
        <w:rPr>
          <w:rStyle w:val="aff4"/>
          <w:rFonts w:hint="cs"/>
          <w:vanish/>
          <w:rtl/>
        </w:rPr>
        <w:t xml:space="preserve">&lt;. </w:t>
      </w:r>
      <w:r w:rsidRPr="00FD208E">
        <w:rPr>
          <w:rStyle w:val="aff4"/>
          <w:vanish/>
          <w:rtl/>
        </w:rPr>
        <w:fldChar w:fldCharType="begin"/>
      </w:r>
      <w:r w:rsidRPr="00FD208E">
        <w:rPr>
          <w:rStyle w:val="aff4"/>
          <w:vanish/>
          <w:rtl/>
        </w:rPr>
        <w:instrText xml:space="preserve"> </w:instrText>
      </w:r>
      <w:r w:rsidRPr="00FD208E">
        <w:rPr>
          <w:rStyle w:val="aff4"/>
          <w:rFonts w:hint="cs"/>
          <w:vanish/>
        </w:rPr>
        <w:instrText>REF</w:instrText>
      </w:r>
      <w:r w:rsidRPr="00FD208E">
        <w:rPr>
          <w:rStyle w:val="aff4"/>
          <w:rFonts w:hint="cs"/>
          <w:vanish/>
          <w:rtl/>
        </w:rPr>
        <w:instrText xml:space="preserve"> _</w:instrText>
      </w:r>
      <w:r w:rsidRPr="00FD208E">
        <w:rPr>
          <w:rStyle w:val="aff4"/>
          <w:rFonts w:hint="cs"/>
          <w:vanish/>
        </w:rPr>
        <w:instrText>Ref133942466 \r \h</w:instrText>
      </w:r>
      <w:r w:rsidRPr="00FD208E">
        <w:rPr>
          <w:rStyle w:val="aff4"/>
          <w:vanish/>
          <w:rtl/>
        </w:rPr>
        <w:instrText xml:space="preserve"> </w:instrText>
      </w:r>
      <w:r>
        <w:rPr>
          <w:rStyle w:val="aff4"/>
          <w:vanish/>
          <w:rtl/>
        </w:rPr>
        <w:instrText xml:space="preserve"> \* </w:instrText>
      </w:r>
      <w:r>
        <w:rPr>
          <w:rStyle w:val="aff4"/>
          <w:vanish/>
        </w:rPr>
        <w:instrText>MERGEFORMAT</w:instrText>
      </w:r>
      <w:r>
        <w:rPr>
          <w:rStyle w:val="aff4"/>
          <w:vanish/>
          <w:rtl/>
        </w:rPr>
        <w:instrText xml:space="preserve"> </w:instrText>
      </w:r>
      <w:r w:rsidRPr="00FD208E">
        <w:rPr>
          <w:rStyle w:val="aff4"/>
          <w:vanish/>
          <w:rtl/>
        </w:rPr>
      </w:r>
      <w:r w:rsidRPr="00FD208E">
        <w:rPr>
          <w:rStyle w:val="aff4"/>
          <w:vanish/>
          <w:rtl/>
        </w:rPr>
        <w:fldChar w:fldCharType="separate"/>
      </w:r>
      <w:r w:rsidR="00D82181">
        <w:rPr>
          <w:rStyle w:val="aff4"/>
          <w:vanish/>
          <w:cs/>
        </w:rPr>
        <w:t>‎</w:t>
      </w:r>
      <w:r w:rsidR="00D82181">
        <w:rPr>
          <w:rStyle w:val="aff4"/>
          <w:vanish/>
          <w:rtl/>
        </w:rPr>
        <w:t>סח)</w:t>
      </w:r>
      <w:r w:rsidRPr="00FD208E">
        <w:rPr>
          <w:rStyle w:val="aff4"/>
          <w:vanish/>
          <w:rtl/>
        </w:rPr>
        <w:fldChar w:fldCharType="end"/>
      </w:r>
      <w:r w:rsidRPr="00FD208E">
        <w:rPr>
          <w:rStyle w:val="aff4"/>
          <w:rFonts w:hint="cs"/>
          <w:vanish/>
          <w:rtl/>
        </w:rPr>
        <w:t xml:space="preserve"> &gt;</w:t>
      </w:r>
      <w:r w:rsidRPr="00373C7B">
        <w:rPr>
          <w:rStyle w:val="aff4"/>
          <w:rFonts w:hint="cs"/>
          <w:rtl/>
        </w:rPr>
        <w:t>רש"ש</w:t>
      </w:r>
      <w:r w:rsidRPr="00B32D57">
        <w:rPr>
          <w:rStyle w:val="aff4"/>
          <w:rFonts w:hint="cs"/>
          <w:vanish/>
          <w:rtl/>
        </w:rPr>
        <w:t>-</w:t>
      </w:r>
      <w:r>
        <w:rPr>
          <w:rFonts w:hint="cs"/>
          <w:rtl/>
        </w:rPr>
        <w:t xml:space="preserve"> </w:t>
      </w:r>
      <w:r w:rsidRPr="00277835">
        <w:rPr>
          <w:rStyle w:val="af2"/>
          <w:rFonts w:eastAsia="Guttman Hodes" w:hint="cs"/>
          <w:rtl/>
        </w:rPr>
        <w:t>(סוד"ה במשנה הזורע)</w:t>
      </w:r>
      <w:r>
        <w:rPr>
          <w:rFonts w:hint="cs"/>
          <w:vanish/>
          <w:rtl/>
        </w:rPr>
        <w:t>=</w:t>
      </w:r>
      <w:r>
        <w:rPr>
          <w:rFonts w:hint="cs"/>
          <w:rtl/>
        </w:rPr>
        <w:t xml:space="preserve"> דמשמע דהחיוב בזורע הוא אף כשזרע בשבת והשריש בחול, וכן הנוטע בשבת חייב אעפ"י שזמן קליטת האילן בקרקע היא בחול, וכתב </w:t>
      </w:r>
      <w:r w:rsidRPr="00B32D57">
        <w:rPr>
          <w:rStyle w:val="aff4"/>
          <w:rFonts w:hint="cs"/>
          <w:vanish/>
          <w:rtl/>
        </w:rPr>
        <w:t>-</w:t>
      </w:r>
      <w:r w:rsidRPr="00373C7B">
        <w:rPr>
          <w:rStyle w:val="aff4"/>
          <w:rFonts w:hint="cs"/>
          <w:rtl/>
        </w:rPr>
        <w:t>הרש"ש</w:t>
      </w:r>
      <w:r w:rsidRPr="00B32D57">
        <w:rPr>
          <w:rStyle w:val="aff4"/>
          <w:rFonts w:hint="cs"/>
          <w:vanish/>
          <w:rtl/>
        </w:rPr>
        <w:t>-</w:t>
      </w:r>
      <w:r>
        <w:rPr>
          <w:rFonts w:hint="cs"/>
          <w:rtl/>
        </w:rPr>
        <w:t xml:space="preserve"> דלפי"ז נראה דהאופה בשבת עם חשיכה חייב, אעפ"י שודאי דהאפיה תגמר בחול, ועי' במ"ש בזה </w:t>
      </w:r>
      <w:r w:rsidRPr="003F1BFC">
        <w:rPr>
          <w:rStyle w:val="aff4"/>
          <w:rFonts w:hint="cs"/>
          <w:vanish/>
          <w:rtl/>
        </w:rPr>
        <w:t>-</w:t>
      </w:r>
      <w:r w:rsidRPr="003F1BFC">
        <w:rPr>
          <w:rStyle w:val="aff4"/>
          <w:rFonts w:hint="cs"/>
          <w:rtl/>
        </w:rPr>
        <w:t>ב</w:t>
      </w:r>
      <w:r w:rsidRPr="003F1BFC">
        <w:rPr>
          <w:rStyle w:val="aff4"/>
          <w:rFonts w:hint="cs"/>
          <w:vanish/>
          <w:rtl/>
        </w:rPr>
        <w:t>&lt; &gt;</w:t>
      </w:r>
      <w:r w:rsidRPr="003F1BFC">
        <w:rPr>
          <w:rStyle w:val="aff4"/>
          <w:rFonts w:hint="cs"/>
          <w:rtl/>
        </w:rPr>
        <w:t>אשר לשלמה</w:t>
      </w:r>
      <w:r w:rsidRPr="003F1BFC">
        <w:rPr>
          <w:rStyle w:val="aff4"/>
          <w:rFonts w:hint="cs"/>
          <w:vanish/>
          <w:rtl/>
        </w:rPr>
        <w:t>-</w:t>
      </w:r>
      <w:r>
        <w:rPr>
          <w:rFonts w:hint="cs"/>
          <w:rtl/>
        </w:rPr>
        <w:t xml:space="preserve"> </w:t>
      </w:r>
      <w:r w:rsidRPr="00277835">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Ref134329985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פד)</w:t>
      </w:r>
      <w:r>
        <w:rPr>
          <w:rStyle w:val="af2"/>
          <w:rFonts w:eastAsia="Guttman Hodes"/>
          <w:rtl/>
        </w:rPr>
        <w:fldChar w:fldCharType="end"/>
      </w:r>
      <w:r w:rsidRPr="003F1BFC">
        <w:rPr>
          <w:rFonts w:hint="cs"/>
          <w:vanish/>
          <w:rtl/>
        </w:rPr>
        <w:t>=</w:t>
      </w:r>
      <w:r>
        <w:rPr>
          <w:rFonts w:hint="cs"/>
          <w:rtl/>
        </w:rPr>
        <w:t>.</w:t>
      </w:r>
      <w:bookmarkEnd w:id="821"/>
    </w:p>
    <w:p w14:paraId="6AEA8B56" w14:textId="77777777" w:rsidR="001C69A8" w:rsidRPr="00747170" w:rsidRDefault="001C69A8" w:rsidP="00747170">
      <w:pPr>
        <w:pStyle w:val="a2"/>
      </w:pPr>
      <w:r w:rsidRPr="00747170">
        <w:t>והנה בזורע משמע דחייב אף דההשרשה לא תהיה אלא בחול עמש"כ בפ"ב דכלאים מ"ג וכן הנוטע חייב אף דזמן קליטתו נמשכת ע' בפ"ב דשביעית מ"ו ומזה נ"ל דכן האופה בשבת עם חשיכה חייב אף דאין שהות שתגמר אפייתו בעו"י:</w:t>
      </w:r>
    </w:p>
    <w:p w14:paraId="42F04FDD" w14:textId="7A1D35B4" w:rsidR="001C69A8" w:rsidRDefault="001C69A8" w:rsidP="001C69A8">
      <w:pPr>
        <w:pStyle w:val="1"/>
        <w:rPr>
          <w:rtl/>
        </w:rPr>
      </w:pPr>
      <w:bookmarkStart w:id="822" w:name="_Toc134347696"/>
      <w:r>
        <w:rPr>
          <w:rFonts w:hint="cs"/>
          <w:rtl/>
        </w:rPr>
        <w:t>בי' המנ"ח דהנותן פת בתנור לפני חשיכה ונאפית בחול פטור</w:t>
      </w:r>
      <w:bookmarkEnd w:id="822"/>
    </w:p>
    <w:p w14:paraId="1834A13D" w14:textId="77777777" w:rsidR="001C69A8" w:rsidRDefault="001C69A8" w:rsidP="001C69A8">
      <w:pPr>
        <w:pStyle w:val="afffff7"/>
        <w:rPr>
          <w:rtl/>
        </w:rPr>
      </w:pPr>
      <w:bookmarkStart w:id="823" w:name="_Toc134550218"/>
      <w:bookmarkStart w:id="824" w:name="_Toc163505510"/>
      <w:r w:rsidRPr="0076277B">
        <w:rPr>
          <w:rtl/>
        </w:rPr>
        <w:t xml:space="preserve">מנחת חינוך פרשת אמור מצוה רצח אות </w:t>
      </w:r>
      <w:r>
        <w:rPr>
          <w:rFonts w:hint="cs"/>
          <w:rtl/>
        </w:rPr>
        <w:t>י"ד</w:t>
      </w:r>
      <w:bookmarkEnd w:id="823"/>
      <w:bookmarkEnd w:id="824"/>
    </w:p>
    <w:p w14:paraId="361A4D5E" w14:textId="77777777" w:rsidR="001C69A8" w:rsidRDefault="001C69A8" w:rsidP="001C69A8">
      <w:pPr>
        <w:pStyle w:val="afffff7"/>
        <w:rPr>
          <w:rtl/>
        </w:rPr>
      </w:pPr>
      <w:bookmarkStart w:id="825" w:name="_Toc134550219"/>
      <w:bookmarkStart w:id="826" w:name="_Toc134347697"/>
      <w:bookmarkStart w:id="827" w:name="_Toc163505511"/>
      <w:r>
        <w:rPr>
          <w:rtl/>
        </w:rPr>
        <w:t xml:space="preserve">קובץ שעורים ביצה </w:t>
      </w:r>
      <w:r>
        <w:rPr>
          <w:rFonts w:hint="cs"/>
          <w:rtl/>
        </w:rPr>
        <w:t xml:space="preserve">י"ז ע"א </w:t>
      </w:r>
      <w:r>
        <w:rPr>
          <w:rtl/>
        </w:rPr>
        <w:t>אות מח</w:t>
      </w:r>
      <w:bookmarkEnd w:id="825"/>
      <w:bookmarkEnd w:id="827"/>
    </w:p>
    <w:p w14:paraId="2A16EF6F" w14:textId="77777777" w:rsidR="001C69A8" w:rsidRDefault="001C69A8" w:rsidP="001C69A8">
      <w:pPr>
        <w:pStyle w:val="a7"/>
        <w:rPr>
          <w:rtl/>
        </w:rPr>
      </w:pPr>
      <w:r>
        <w:rPr>
          <w:rFonts w:hint="cs"/>
          <w:rtl/>
        </w:rPr>
        <w:t>בי' המנ"ח דחיוב מלאכת שבת רק במעשה עם מלאכה והנותן בתנור בשבת ונאפית בחול פטור</w:t>
      </w:r>
      <w:bookmarkEnd w:id="826"/>
    </w:p>
    <w:p w14:paraId="4CEC3876" w14:textId="05E46087" w:rsidR="001C69A8" w:rsidRDefault="001C69A8" w:rsidP="00BC7DC8">
      <w:pPr>
        <w:pStyle w:val="a3"/>
        <w:rPr>
          <w:rtl/>
        </w:rPr>
      </w:pPr>
      <w:bookmarkStart w:id="828" w:name="_Ref134098006"/>
      <w:bookmarkStart w:id="829" w:name="_Ref134182987"/>
      <w:r>
        <w:rPr>
          <w:rFonts w:hint="cs"/>
          <w:rtl/>
        </w:rPr>
        <w:t xml:space="preserve">כתב </w:t>
      </w:r>
      <w:r w:rsidRPr="001E13AC">
        <w:rPr>
          <w:rStyle w:val="aff4"/>
          <w:rFonts w:hint="cs"/>
          <w:vanish/>
          <w:rtl/>
        </w:rPr>
        <w:t>-</w:t>
      </w:r>
      <w:r w:rsidRPr="001F3123">
        <w:rPr>
          <w:rStyle w:val="aff4"/>
          <w:rFonts w:hint="cs"/>
          <w:rtl/>
        </w:rPr>
        <w:t>ה</w:t>
      </w:r>
      <w:r w:rsidRPr="001E13AC">
        <w:rPr>
          <w:rStyle w:val="aff4"/>
          <w:rFonts w:hint="cs"/>
          <w:vanish/>
          <w:rtl/>
        </w:rPr>
        <w:t xml:space="preserve">&lt;. </w:t>
      </w:r>
      <w:r w:rsidRPr="001E13AC">
        <w:rPr>
          <w:rStyle w:val="aff4"/>
          <w:vanish/>
          <w:rtl/>
        </w:rPr>
        <w:fldChar w:fldCharType="begin"/>
      </w:r>
      <w:r w:rsidRPr="001E13AC">
        <w:rPr>
          <w:rStyle w:val="aff4"/>
          <w:vanish/>
          <w:rtl/>
        </w:rPr>
        <w:instrText xml:space="preserve"> </w:instrText>
      </w:r>
      <w:r w:rsidRPr="001E13AC">
        <w:rPr>
          <w:rStyle w:val="aff4"/>
          <w:rFonts w:hint="cs"/>
          <w:vanish/>
        </w:rPr>
        <w:instrText>REF</w:instrText>
      </w:r>
      <w:r w:rsidRPr="001E13AC">
        <w:rPr>
          <w:rStyle w:val="aff4"/>
          <w:rFonts w:hint="cs"/>
          <w:vanish/>
          <w:rtl/>
        </w:rPr>
        <w:instrText xml:space="preserve"> _</w:instrText>
      </w:r>
      <w:r w:rsidRPr="001E13AC">
        <w:rPr>
          <w:rStyle w:val="aff4"/>
          <w:rFonts w:hint="cs"/>
          <w:vanish/>
        </w:rPr>
        <w:instrText>Ref134098006 \r \h</w:instrText>
      </w:r>
      <w:r w:rsidRPr="001E13AC">
        <w:rPr>
          <w:rStyle w:val="aff4"/>
          <w:vanish/>
          <w:rtl/>
        </w:rPr>
        <w:instrText xml:space="preserve">  \* </w:instrText>
      </w:r>
      <w:r w:rsidRPr="001E13AC">
        <w:rPr>
          <w:rStyle w:val="aff4"/>
          <w:vanish/>
        </w:rPr>
        <w:instrText>MERGEFORMAT</w:instrText>
      </w:r>
      <w:r w:rsidRPr="001E13AC">
        <w:rPr>
          <w:rStyle w:val="aff4"/>
          <w:vanish/>
          <w:rtl/>
        </w:rPr>
        <w:instrText xml:space="preserve"> </w:instrText>
      </w:r>
      <w:r w:rsidRPr="001E13AC">
        <w:rPr>
          <w:rStyle w:val="aff4"/>
          <w:vanish/>
          <w:rtl/>
        </w:rPr>
      </w:r>
      <w:r w:rsidRPr="001E13AC">
        <w:rPr>
          <w:rStyle w:val="aff4"/>
          <w:vanish/>
          <w:rtl/>
        </w:rPr>
        <w:fldChar w:fldCharType="separate"/>
      </w:r>
      <w:r w:rsidR="00D82181">
        <w:rPr>
          <w:rStyle w:val="aff4"/>
          <w:vanish/>
          <w:cs/>
        </w:rPr>
        <w:t>‎</w:t>
      </w:r>
      <w:r w:rsidR="00D82181">
        <w:rPr>
          <w:rStyle w:val="aff4"/>
          <w:vanish/>
          <w:rtl/>
        </w:rPr>
        <w:t>סט)</w:t>
      </w:r>
      <w:r w:rsidRPr="001E13AC">
        <w:rPr>
          <w:rStyle w:val="aff4"/>
          <w:vanish/>
          <w:rtl/>
        </w:rPr>
        <w:fldChar w:fldCharType="end"/>
      </w:r>
      <w:r w:rsidRPr="001E13AC">
        <w:rPr>
          <w:rStyle w:val="aff4"/>
          <w:rFonts w:hint="cs"/>
          <w:vanish/>
          <w:rtl/>
        </w:rPr>
        <w:t xml:space="preserve"> &gt;</w:t>
      </w:r>
      <w:r w:rsidRPr="001F3123">
        <w:rPr>
          <w:rStyle w:val="aff4"/>
          <w:rFonts w:hint="cs"/>
          <w:rtl/>
        </w:rPr>
        <w:t>מנחת חינוך</w:t>
      </w:r>
      <w:r w:rsidRPr="001E13AC">
        <w:rPr>
          <w:rStyle w:val="aff4"/>
          <w:rFonts w:hint="cs"/>
          <w:vanish/>
          <w:rtl/>
        </w:rPr>
        <w:t>-</w:t>
      </w:r>
      <w:r>
        <w:rPr>
          <w:rFonts w:hint="cs"/>
          <w:rtl/>
        </w:rPr>
        <w:t xml:space="preserve"> </w:t>
      </w:r>
      <w:r w:rsidRPr="00277835">
        <w:rPr>
          <w:rStyle w:val="af2"/>
          <w:rFonts w:eastAsia="Guttman Hodes" w:hint="cs"/>
          <w:rtl/>
        </w:rPr>
        <w:t>(מצוה רח"צ אות י"ד ד"ה עוד נראה)</w:t>
      </w:r>
      <w:r w:rsidRPr="001E13AC">
        <w:rPr>
          <w:rFonts w:hint="cs"/>
          <w:vanish/>
          <w:rtl/>
        </w:rPr>
        <w:t>=</w:t>
      </w:r>
      <w:bookmarkEnd w:id="828"/>
      <w:r>
        <w:rPr>
          <w:rFonts w:hint="cs"/>
          <w:rtl/>
        </w:rPr>
        <w:t xml:space="preserve"> דבכל מלאכות שבת החיוב הוא בגמר המלאכה, ולכן הנותן פת בתנור ורדה את הפת לפני האפיה פטור, אעפ"י דכבר עשה את מעשה המלאכה, ומוכח דהחיוב על מעשה המלאכה הוא רק כשנעשית המלאכה לבסוף, אבל אין חיוב על מעשה בלי מלאכה, ולא על מלאכה בלי מעשה, ולכן מותר לתת פת בתנור לפני חשיכה, אעפ"י שהפת נאפית בשבת, כיון דלא עשה מעשה בשבת, וכתב </w:t>
      </w:r>
      <w:r w:rsidRPr="001E13AC">
        <w:rPr>
          <w:rStyle w:val="aff4"/>
          <w:rFonts w:hint="cs"/>
          <w:vanish/>
          <w:rtl/>
        </w:rPr>
        <w:t>-</w:t>
      </w:r>
      <w:r w:rsidRPr="001F3123">
        <w:rPr>
          <w:rStyle w:val="aff4"/>
          <w:rFonts w:hint="cs"/>
          <w:rtl/>
        </w:rPr>
        <w:t>המנחת חינוך</w:t>
      </w:r>
      <w:r w:rsidRPr="001E13AC">
        <w:rPr>
          <w:rStyle w:val="aff4"/>
          <w:rFonts w:hint="cs"/>
          <w:vanish/>
          <w:rtl/>
        </w:rPr>
        <w:t>-</w:t>
      </w:r>
      <w:r>
        <w:rPr>
          <w:rFonts w:hint="cs"/>
          <w:rtl/>
        </w:rPr>
        <w:t xml:space="preserve"> דה"ה אם נתן פת בתנור בשבת לפני חשיכה, ונאפית הפת במוצאי שבת דפטור, כיון דהוא מעשה בלי מלאכה, וכ"כ </w:t>
      </w:r>
      <w:r w:rsidRPr="003F1BFC">
        <w:rPr>
          <w:rStyle w:val="aff4"/>
          <w:rFonts w:hint="cs"/>
          <w:vanish/>
          <w:rtl/>
        </w:rPr>
        <w:t>-</w:t>
      </w:r>
      <w:r>
        <w:rPr>
          <w:rStyle w:val="aff4"/>
          <w:rFonts w:hint="cs"/>
          <w:rtl/>
        </w:rPr>
        <w:t>ה</w:t>
      </w:r>
      <w:r w:rsidRPr="003F1BFC">
        <w:rPr>
          <w:rStyle w:val="aff4"/>
          <w:rFonts w:hint="cs"/>
          <w:vanish/>
          <w:rtl/>
        </w:rPr>
        <w:t>&lt; &gt;</w:t>
      </w:r>
      <w:r>
        <w:rPr>
          <w:rStyle w:val="aff4"/>
          <w:rFonts w:hint="cs"/>
          <w:rtl/>
        </w:rPr>
        <w:t>קוב"ש</w:t>
      </w:r>
      <w:r w:rsidRPr="003F1BFC">
        <w:rPr>
          <w:rStyle w:val="aff4"/>
          <w:rFonts w:hint="cs"/>
          <w:rtl/>
        </w:rPr>
        <w:t xml:space="preserve"> </w:t>
      </w:r>
      <w:r>
        <w:rPr>
          <w:rStyle w:val="aff4"/>
          <w:rFonts w:hint="cs"/>
          <w:rtl/>
        </w:rPr>
        <w:t>בביצה</w:t>
      </w:r>
      <w:r w:rsidRPr="003F1BFC">
        <w:rPr>
          <w:rStyle w:val="aff4"/>
          <w:rFonts w:hint="cs"/>
          <w:vanish/>
          <w:rtl/>
        </w:rPr>
        <w:t>-</w:t>
      </w:r>
      <w:r>
        <w:rPr>
          <w:rFonts w:hint="cs"/>
          <w:rtl/>
        </w:rPr>
        <w:t xml:space="preserve"> </w:t>
      </w:r>
      <w:r w:rsidRPr="00277835">
        <w:rPr>
          <w:rStyle w:val="af2"/>
          <w:rFonts w:eastAsia="Guttman Hodes" w:hint="cs"/>
          <w:rtl/>
        </w:rPr>
        <w:t>(</w:t>
      </w:r>
      <w:r>
        <w:rPr>
          <w:rStyle w:val="af2"/>
          <w:rFonts w:eastAsia="Guttman Hodes" w:hint="cs"/>
          <w:rtl/>
        </w:rPr>
        <w:t>יז. אות מ"ח)</w:t>
      </w:r>
      <w:r w:rsidRPr="003F1BFC">
        <w:rPr>
          <w:rFonts w:hint="cs"/>
          <w:vanish/>
          <w:rtl/>
        </w:rPr>
        <w:t>=</w:t>
      </w:r>
      <w:r>
        <w:rPr>
          <w:rFonts w:hint="cs"/>
          <w:rtl/>
        </w:rPr>
        <w:t xml:space="preserve"> דמעשה המלאכה הוא נתינת הקדירה על האש, והמלאכה עצמה היא הבישול, ורק כשעשה את שניהם בשבת חייב, ועי' במ"ש בזה </w:t>
      </w:r>
      <w:r w:rsidRPr="003F1BFC">
        <w:rPr>
          <w:rStyle w:val="aff4"/>
          <w:rFonts w:hint="cs"/>
          <w:vanish/>
          <w:rtl/>
        </w:rPr>
        <w:t>-</w:t>
      </w:r>
      <w:r w:rsidRPr="003F1BFC">
        <w:rPr>
          <w:rStyle w:val="aff4"/>
          <w:rFonts w:hint="cs"/>
          <w:rtl/>
        </w:rPr>
        <w:t>ב</w:t>
      </w:r>
      <w:r w:rsidRPr="003F1BFC">
        <w:rPr>
          <w:rStyle w:val="aff4"/>
          <w:rFonts w:hint="cs"/>
          <w:vanish/>
          <w:rtl/>
        </w:rPr>
        <w:t>&lt; &gt;</w:t>
      </w:r>
      <w:r w:rsidRPr="003F1BFC">
        <w:rPr>
          <w:rStyle w:val="aff4"/>
          <w:rFonts w:hint="cs"/>
          <w:rtl/>
        </w:rPr>
        <w:t>אשר לשלמה</w:t>
      </w:r>
      <w:r w:rsidRPr="003F1BFC">
        <w:rPr>
          <w:rStyle w:val="aff4"/>
          <w:rFonts w:hint="cs"/>
          <w:vanish/>
          <w:rtl/>
        </w:rPr>
        <w:t>-</w:t>
      </w:r>
      <w:r>
        <w:rPr>
          <w:rFonts w:hint="cs"/>
          <w:rtl/>
        </w:rPr>
        <w:t xml:space="preserve"> </w:t>
      </w:r>
      <w:r w:rsidRPr="00277835">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Ref134330076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פב)</w:t>
      </w:r>
      <w:r>
        <w:rPr>
          <w:rStyle w:val="af2"/>
          <w:rFonts w:eastAsia="Guttman Hodes"/>
          <w:rtl/>
        </w:rPr>
        <w:fldChar w:fldCharType="end"/>
      </w:r>
      <w:r w:rsidRPr="003F1BFC">
        <w:rPr>
          <w:rFonts w:hint="cs"/>
          <w:vanish/>
          <w:rtl/>
        </w:rPr>
        <w:t>=</w:t>
      </w:r>
      <w:r>
        <w:rPr>
          <w:rFonts w:hint="cs"/>
          <w:rtl/>
        </w:rPr>
        <w:t>.</w:t>
      </w:r>
      <w:bookmarkEnd w:id="829"/>
    </w:p>
    <w:p w14:paraId="1D3ED71E" w14:textId="77777777" w:rsidR="001C69A8" w:rsidRPr="00625CD8" w:rsidRDefault="001C69A8" w:rsidP="001C69A8">
      <w:pPr>
        <w:pStyle w:val="a7"/>
        <w:rPr>
          <w:rtl/>
        </w:rPr>
      </w:pPr>
    </w:p>
    <w:p w14:paraId="0ECF61FC" w14:textId="77777777" w:rsidR="001C69A8" w:rsidRPr="00747170" w:rsidRDefault="001C69A8" w:rsidP="00747170">
      <w:pPr>
        <w:pStyle w:val="a2"/>
        <w:rPr>
          <w:rtl/>
        </w:rPr>
      </w:pPr>
      <w:r w:rsidRPr="00747170">
        <w:t>עוד נלע"ד דל"ק קושית הגאון הנ"ל דהנה ידוע דכל מלאכות שבת א"ח על מלאכה רק בנגמר המלאכה כגון אופה דהוא חייב משום מבשל או )אופה או( מבשל א"ח עד שנאפה או נתבשל אבל על הדבקה בתנור ולא נאפה א"ח ואם הדביק פת בתנור ואח"ז רדה מן התנור או הוא או אחר ולא נאפה אינו חייב כמבואר להדיא במס' שבת ד' גבי התירו לו לרדותה קודם שיבא לידי איסור סקילה כו' ואם הדביק בתנור ונאפה חייב חטאת על האפייה או סקילה אף דבשעת האפייה אינו עושה כלל מעשה מ"מ חייב כיון דעשה מעשה בתחלה וע"י מעשה נתעבד המלאכה ולא הוי התראת ס' בשעת הדבקה דלמא יקח אותו מן התנור קודם האפיה והטעם מבואר שם בתוס' ד"ה קודם שיבא. עכ"פ חזינן דעל המעשה לא נתחייב כ"ז שלא נעשה המלאכה אך אם נעשה המלאכה חייב על העשיה ועל המלאכה בלא העשיה אינו חייב ג"כ דמותר להדביק בתנור עם חשכה אף על פי שנאפית בשבת כמבואר שם בשבת דכל המלאכות מותרים קודם חשיכה אף על פי שנתעבד בשבת רק קצת מלאכות אסורים מדרבנן משום גזרה כגון פת בתנור שמא יחתה בגחלים כמבואר בשבת ד' וז"פ והוא דבר שתשב"ר יודעין וכן איפכא אם הדביק פת בתנור בשבת סמוך לחשכה ולא נאפית כלל מבע"י רק משחשיכה ליל מ"ש בודאי ג"כ פטור כיון דנאפה ליל מ"ש כמו דאם לקח מן התנור קודם האפיה דפטור א"כ בודאי אם נאפית בחול ג"כ הדין כן כי בחול אינו איסור כלל. הכלל דחייב על העשיה והמלאכה כא' אם נעשה בשבת אבל בא' מהם אינו חייב בשבת וז"פ.</w:t>
      </w:r>
    </w:p>
    <w:p w14:paraId="44EEA9FB" w14:textId="77777777" w:rsidR="001C69A8" w:rsidRPr="00A659B0" w:rsidRDefault="001C69A8" w:rsidP="00747170">
      <w:pPr>
        <w:pStyle w:val="afffff5"/>
      </w:pPr>
      <w:r w:rsidRPr="00A659B0">
        <w:rPr>
          <w:rtl/>
        </w:rPr>
        <w:t>דבמלאכת שבת ישנה גוף המלאכה ומעשה המלאכה כגון במבשל, גוף המלאכה היא מה שמתבשל בשבת, ומעשה המלאכה היא העמדת הקדירה על האש, ואם יעמיד הקדירה בשבת וגמר הבישול יהיה בחול פטור, וכן להיפוך, אם יעמיד הקדירה בע"ש והבישול יהיה בשבת ג"כ פטור</w:t>
      </w:r>
      <w:r>
        <w:rPr>
          <w:rFonts w:hint="cs"/>
          <w:rtl/>
        </w:rPr>
        <w:t>.</w:t>
      </w:r>
    </w:p>
    <w:p w14:paraId="12FBED2F" w14:textId="0FAA0511" w:rsidR="001C69A8" w:rsidRDefault="001C69A8" w:rsidP="001C69A8">
      <w:pPr>
        <w:pStyle w:val="afffff7"/>
        <w:rPr>
          <w:rtl/>
        </w:rPr>
      </w:pPr>
      <w:bookmarkStart w:id="830" w:name="_Toc134550220"/>
      <w:bookmarkStart w:id="831" w:name="_Toc163505512"/>
      <w:r>
        <w:rPr>
          <w:rtl/>
        </w:rPr>
        <w:t>אגלי טל הגהות מלאכת זורע</w:t>
      </w:r>
      <w:r>
        <w:rPr>
          <w:rFonts w:hint="cs"/>
          <w:rtl/>
        </w:rPr>
        <w:t xml:space="preserve"> סק"ח בהגה"ה</w:t>
      </w:r>
      <w:bookmarkEnd w:id="830"/>
      <w:bookmarkEnd w:id="831"/>
    </w:p>
    <w:p w14:paraId="65C6E63C" w14:textId="77777777" w:rsidR="001C69A8" w:rsidRDefault="001C69A8" w:rsidP="001C69A8">
      <w:pPr>
        <w:pStyle w:val="a7"/>
        <w:rPr>
          <w:rtl/>
        </w:rPr>
      </w:pPr>
      <w:bookmarkStart w:id="832" w:name="_Toc134347698"/>
      <w:r>
        <w:rPr>
          <w:rFonts w:hint="cs"/>
          <w:rtl/>
        </w:rPr>
        <w:t>בי' החלקת יואב דמוכח בירו' וברא"ש דמתחיל בשבת  וגומר בחול חייב ודחיית האגל"ט לדבריו</w:t>
      </w:r>
      <w:bookmarkEnd w:id="832"/>
    </w:p>
    <w:p w14:paraId="1A7B748D" w14:textId="622D3FD6" w:rsidR="001C69A8" w:rsidRPr="00FB714B" w:rsidRDefault="001C69A8" w:rsidP="00BC7DC8">
      <w:pPr>
        <w:pStyle w:val="a3"/>
        <w:rPr>
          <w:rtl/>
        </w:rPr>
      </w:pPr>
      <w:bookmarkStart w:id="833" w:name="_Ref133269022"/>
      <w:r>
        <w:rPr>
          <w:rFonts w:hint="cs"/>
          <w:rtl/>
        </w:rPr>
        <w:t xml:space="preserve">ועי' במ"ש </w:t>
      </w:r>
      <w:r w:rsidRPr="00E87CC9">
        <w:rPr>
          <w:rStyle w:val="aff4"/>
          <w:rFonts w:hint="cs"/>
          <w:vanish/>
          <w:rtl/>
        </w:rPr>
        <w:t>-</w:t>
      </w:r>
      <w:r w:rsidRPr="003B4E24">
        <w:rPr>
          <w:rStyle w:val="aff4"/>
          <w:rFonts w:hint="cs"/>
          <w:rtl/>
        </w:rPr>
        <w:t>ה</w:t>
      </w:r>
      <w:r w:rsidRPr="00350A80">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Ref133269022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ע)</w:t>
      </w:r>
      <w:r>
        <w:rPr>
          <w:rStyle w:val="aff4"/>
          <w:vanish/>
          <w:rtl/>
        </w:rPr>
        <w:fldChar w:fldCharType="end"/>
      </w:r>
      <w:r w:rsidRPr="00350A80">
        <w:rPr>
          <w:rStyle w:val="aff4"/>
          <w:rFonts w:hint="cs"/>
          <w:vanish/>
          <w:rtl/>
        </w:rPr>
        <w:t xml:space="preserve"> &gt;</w:t>
      </w:r>
      <w:r w:rsidRPr="003B4E24">
        <w:rPr>
          <w:rStyle w:val="aff4"/>
          <w:rFonts w:hint="cs"/>
          <w:rtl/>
        </w:rPr>
        <w:t>חלקת יואב</w:t>
      </w:r>
      <w:r w:rsidRPr="00E87CC9">
        <w:rPr>
          <w:rStyle w:val="aff4"/>
          <w:rFonts w:hint="cs"/>
          <w:vanish/>
          <w:rtl/>
        </w:rPr>
        <w:t>-</w:t>
      </w:r>
      <w:r>
        <w:rPr>
          <w:rFonts w:hint="cs"/>
          <w:rtl/>
        </w:rPr>
        <w:t xml:space="preserve"> </w:t>
      </w:r>
      <w:r w:rsidRPr="00277835">
        <w:rPr>
          <w:rStyle w:val="af2"/>
          <w:rFonts w:eastAsia="Guttman Hodes" w:hint="cs"/>
          <w:rtl/>
        </w:rPr>
        <w:t>(ח"א סי' י' ד"ה אך באמת)</w:t>
      </w:r>
      <w:r w:rsidRPr="00350A80">
        <w:rPr>
          <w:rFonts w:hint="cs"/>
          <w:vanish/>
          <w:rtl/>
        </w:rPr>
        <w:t>=</w:t>
      </w:r>
      <w:r>
        <w:rPr>
          <w:rFonts w:hint="cs"/>
          <w:rtl/>
        </w:rPr>
        <w:t xml:space="preserve"> דמדברי הירושלמי שבת </w:t>
      </w:r>
      <w:r w:rsidRPr="00277835">
        <w:rPr>
          <w:rStyle w:val="af2"/>
          <w:rFonts w:eastAsia="Guttman Hodes" w:hint="cs"/>
          <w:rtl/>
        </w:rPr>
        <w:t>(פ"א ה"ו, יב.)</w:t>
      </w:r>
      <w:r>
        <w:rPr>
          <w:rFonts w:hint="cs"/>
          <w:rtl/>
        </w:rPr>
        <w:t xml:space="preserve"> מבואר דכל מלאכה שמתחיל בה בשבת ונגמרה המלאכה במוצאי שבת חייב עליה, וא"כ מוכח דהזורע בשבת והשרשה הייתה במוצאי שבת דחייב, ודלא </w:t>
      </w:r>
      <w:r w:rsidRPr="00E87CC9">
        <w:rPr>
          <w:rStyle w:val="aff4"/>
          <w:rFonts w:hint="cs"/>
          <w:vanish/>
          <w:rtl/>
        </w:rPr>
        <w:t>-</w:t>
      </w:r>
      <w:r w:rsidRPr="003B4E24">
        <w:rPr>
          <w:rStyle w:val="aff4"/>
          <w:rFonts w:hint="cs"/>
          <w:rtl/>
        </w:rPr>
        <w:t>כהמנחת חינוך</w:t>
      </w:r>
      <w:r w:rsidRPr="00E87CC9">
        <w:rPr>
          <w:rStyle w:val="aff4"/>
          <w:rFonts w:hint="cs"/>
          <w:vanish/>
          <w:rtl/>
        </w:rPr>
        <w:t>-</w:t>
      </w:r>
      <w:r>
        <w:rPr>
          <w:rFonts w:hint="cs"/>
          <w:rtl/>
        </w:rPr>
        <w:t xml:space="preserve"> </w:t>
      </w:r>
      <w:r w:rsidRPr="00277835">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Ref134182987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סט)</w:t>
      </w:r>
      <w:r>
        <w:rPr>
          <w:rStyle w:val="af2"/>
          <w:rFonts w:eastAsia="Guttman Hodes"/>
          <w:rtl/>
        </w:rPr>
        <w:fldChar w:fldCharType="end"/>
      </w:r>
      <w:r>
        <w:rPr>
          <w:rFonts w:hint="cs"/>
          <w:rtl/>
        </w:rPr>
        <w:t xml:space="preserve">, ועוד הוכיח </w:t>
      </w:r>
      <w:r w:rsidRPr="00E87CC9">
        <w:rPr>
          <w:rStyle w:val="aff4"/>
          <w:rFonts w:hint="cs"/>
          <w:vanish/>
          <w:rtl/>
        </w:rPr>
        <w:t>-</w:t>
      </w:r>
      <w:r w:rsidRPr="003B4E24">
        <w:rPr>
          <w:rStyle w:val="aff4"/>
          <w:rFonts w:hint="cs"/>
          <w:rtl/>
        </w:rPr>
        <w:t>החלקת יואב</w:t>
      </w:r>
      <w:r w:rsidRPr="00E87CC9">
        <w:rPr>
          <w:rStyle w:val="aff4"/>
          <w:rFonts w:hint="cs"/>
          <w:vanish/>
          <w:rtl/>
        </w:rPr>
        <w:t>-</w:t>
      </w:r>
      <w:r>
        <w:rPr>
          <w:rFonts w:hint="cs"/>
          <w:rtl/>
        </w:rPr>
        <w:t xml:space="preserve"> מדברי </w:t>
      </w:r>
      <w:r w:rsidRPr="00E87CC9">
        <w:rPr>
          <w:rStyle w:val="aff4"/>
          <w:rFonts w:hint="cs"/>
          <w:vanish/>
          <w:rtl/>
        </w:rPr>
        <w:t>-</w:t>
      </w:r>
      <w:r w:rsidRPr="003B4E24">
        <w:rPr>
          <w:rStyle w:val="aff4"/>
          <w:rFonts w:hint="cs"/>
          <w:rtl/>
        </w:rPr>
        <w:t>הרא"ש בביצה</w:t>
      </w:r>
      <w:r w:rsidRPr="00E87CC9">
        <w:rPr>
          <w:rStyle w:val="aff4"/>
          <w:rFonts w:hint="cs"/>
          <w:vanish/>
          <w:rtl/>
        </w:rPr>
        <w:t>-</w:t>
      </w:r>
      <w:r>
        <w:rPr>
          <w:rFonts w:hint="cs"/>
          <w:rtl/>
        </w:rPr>
        <w:t xml:space="preserve"> </w:t>
      </w:r>
      <w:r w:rsidRPr="00277835">
        <w:rPr>
          <w:rStyle w:val="af2"/>
          <w:rFonts w:eastAsia="Guttman Hodes" w:hint="cs"/>
          <w:rtl/>
        </w:rPr>
        <w:t>(פ"ב סי' י"ז)</w:t>
      </w:r>
      <w:r>
        <w:rPr>
          <w:rFonts w:hint="cs"/>
          <w:rtl/>
        </w:rPr>
        <w:t xml:space="preserve"> דכתב דהמסתפק </w:t>
      </w:r>
      <w:r>
        <w:rPr>
          <w:rFonts w:hint="cs"/>
          <w:rtl/>
        </w:rPr>
        <w:t xml:space="preserve">מהשמן שבנר חייב דממהר כיבוי, אעפ"י שיש שמן בנר שידלק לאחר השבת, ומוכח דאזלינן בתר תחילת המלאכה, אעפ"י דהמלאכה עצמה היא במוצאי שבת, ועי' במה שדחה </w:t>
      </w:r>
      <w:r w:rsidRPr="00E87CC9">
        <w:rPr>
          <w:rStyle w:val="aff4"/>
          <w:rFonts w:hint="cs"/>
          <w:vanish/>
          <w:rtl/>
        </w:rPr>
        <w:t>-</w:t>
      </w:r>
      <w:r w:rsidRPr="003B4E24">
        <w:rPr>
          <w:rStyle w:val="aff4"/>
          <w:rFonts w:hint="cs"/>
          <w:rtl/>
        </w:rPr>
        <w:t>ה</w:t>
      </w:r>
      <w:r w:rsidRPr="00350A80">
        <w:rPr>
          <w:rStyle w:val="aff4"/>
          <w:rFonts w:hint="cs"/>
          <w:vanish/>
          <w:rtl/>
        </w:rPr>
        <w:t>&lt; &gt;</w:t>
      </w:r>
      <w:r w:rsidRPr="003B4E24">
        <w:rPr>
          <w:rStyle w:val="aff4"/>
          <w:rFonts w:hint="cs"/>
          <w:rtl/>
        </w:rPr>
        <w:t>אגלי טל</w:t>
      </w:r>
      <w:r w:rsidRPr="00E87CC9">
        <w:rPr>
          <w:rStyle w:val="aff4"/>
          <w:rFonts w:hint="cs"/>
          <w:vanish/>
          <w:rtl/>
        </w:rPr>
        <w:t>-</w:t>
      </w:r>
      <w:r>
        <w:rPr>
          <w:rFonts w:hint="cs"/>
          <w:rtl/>
        </w:rPr>
        <w:t xml:space="preserve"> </w:t>
      </w:r>
      <w:r w:rsidRPr="00277835">
        <w:rPr>
          <w:rStyle w:val="af2"/>
          <w:rFonts w:eastAsia="Guttman Hodes" w:hint="cs"/>
          <w:rtl/>
        </w:rPr>
        <w:t>(זורע סק"ח או' ט' בהגה"ה)</w:t>
      </w:r>
      <w:r w:rsidRPr="00350A80">
        <w:rPr>
          <w:rFonts w:hint="cs"/>
          <w:vanish/>
          <w:rtl/>
        </w:rPr>
        <w:t>=</w:t>
      </w:r>
      <w:r>
        <w:rPr>
          <w:rFonts w:hint="cs"/>
          <w:rtl/>
        </w:rPr>
        <w:t xml:space="preserve"> את הוכחת </w:t>
      </w:r>
      <w:r w:rsidRPr="00E87CC9">
        <w:rPr>
          <w:rStyle w:val="aff4"/>
          <w:rFonts w:hint="cs"/>
          <w:vanish/>
          <w:rtl/>
        </w:rPr>
        <w:t>-</w:t>
      </w:r>
      <w:r w:rsidRPr="003B4E24">
        <w:rPr>
          <w:rStyle w:val="aff4"/>
          <w:rFonts w:hint="cs"/>
          <w:rtl/>
        </w:rPr>
        <w:t>החלקת יואב</w:t>
      </w:r>
      <w:r w:rsidRPr="00E87CC9">
        <w:rPr>
          <w:rStyle w:val="aff4"/>
          <w:rFonts w:hint="cs"/>
          <w:vanish/>
          <w:rtl/>
        </w:rPr>
        <w:t>-</w:t>
      </w:r>
      <w:r>
        <w:rPr>
          <w:rFonts w:hint="cs"/>
          <w:rtl/>
        </w:rPr>
        <w:t xml:space="preserve"> מהירושלמי ומדברי </w:t>
      </w:r>
      <w:r w:rsidRPr="00E87CC9">
        <w:rPr>
          <w:rStyle w:val="aff4"/>
          <w:rFonts w:hint="cs"/>
          <w:vanish/>
          <w:rtl/>
        </w:rPr>
        <w:t>-</w:t>
      </w:r>
      <w:r w:rsidRPr="003B4E24">
        <w:rPr>
          <w:rStyle w:val="aff4"/>
          <w:rFonts w:hint="cs"/>
          <w:rtl/>
        </w:rPr>
        <w:t>הרא"ש בביצה</w:t>
      </w:r>
      <w:r w:rsidRPr="00170EE6">
        <w:rPr>
          <w:rFonts w:hint="cs"/>
          <w:vanish/>
          <w:rtl/>
        </w:rPr>
        <w:t>-</w:t>
      </w:r>
      <w:r w:rsidRPr="001540BC">
        <w:rPr>
          <w:rFonts w:hint="cs"/>
          <w:rtl/>
        </w:rPr>
        <w:t xml:space="preserve">, דאי"ז הביאור בדברי הירושלמי </w:t>
      </w:r>
      <w:r w:rsidRPr="00170EE6">
        <w:rPr>
          <w:rStyle w:val="aff4"/>
          <w:rFonts w:hint="cs"/>
          <w:vanish/>
          <w:rtl/>
        </w:rPr>
        <w:t>-</w:t>
      </w:r>
      <w:r w:rsidRPr="00170EE6">
        <w:rPr>
          <w:rStyle w:val="aff4"/>
          <w:rFonts w:hint="cs"/>
          <w:rtl/>
        </w:rPr>
        <w:t>והרא"ש</w:t>
      </w:r>
      <w:r w:rsidRPr="00170EE6">
        <w:rPr>
          <w:rStyle w:val="aff4"/>
          <w:rFonts w:hint="cs"/>
          <w:vanish/>
          <w:rtl/>
        </w:rPr>
        <w:t>-</w:t>
      </w:r>
      <w:r w:rsidRPr="001540BC">
        <w:rPr>
          <w:rFonts w:hint="cs"/>
          <w:rtl/>
        </w:rPr>
        <w:t xml:space="preserve"> ולא איירי כלל במלאכה שהתחילה בשבת ונגמרה בחול, עיי"ש בדבריו, וע"ע במה שהאריך בזה</w:t>
      </w:r>
      <w:r w:rsidRPr="003B4E24">
        <w:rPr>
          <w:rStyle w:val="aff4"/>
          <w:rFonts w:hint="cs"/>
          <w:rtl/>
        </w:rPr>
        <w:t xml:space="preserve"> </w:t>
      </w:r>
      <w:r w:rsidRPr="001540BC">
        <w:rPr>
          <w:rStyle w:val="aff4"/>
          <w:rFonts w:hint="cs"/>
          <w:vanish/>
          <w:rtl/>
        </w:rPr>
        <w:t>-</w:t>
      </w:r>
      <w:r w:rsidRPr="001540BC">
        <w:rPr>
          <w:rStyle w:val="aff4"/>
          <w:rFonts w:hint="cs"/>
          <w:rtl/>
        </w:rPr>
        <w:t>ב</w:t>
      </w:r>
      <w:r w:rsidRPr="001540BC">
        <w:rPr>
          <w:rStyle w:val="aff4"/>
          <w:rFonts w:hint="cs"/>
          <w:vanish/>
          <w:rtl/>
        </w:rPr>
        <w:t>&lt; &gt;</w:t>
      </w:r>
      <w:r w:rsidRPr="001540BC">
        <w:rPr>
          <w:rStyle w:val="aff4"/>
          <w:rFonts w:hint="cs"/>
          <w:rtl/>
        </w:rPr>
        <w:t>אבני נזר</w:t>
      </w:r>
      <w:r w:rsidRPr="001540BC">
        <w:rPr>
          <w:rStyle w:val="aff4"/>
          <w:rFonts w:hint="cs"/>
          <w:vanish/>
          <w:rtl/>
        </w:rPr>
        <w:t>-</w:t>
      </w:r>
      <w:r>
        <w:rPr>
          <w:rFonts w:hint="cs"/>
          <w:rtl/>
        </w:rPr>
        <w:t xml:space="preserve"> </w:t>
      </w:r>
      <w:r w:rsidRPr="00277835">
        <w:rPr>
          <w:rStyle w:val="af2"/>
          <w:rFonts w:eastAsia="Guttman Hodes" w:hint="cs"/>
          <w:rtl/>
        </w:rPr>
        <w:t>(או"ח סי' מ"ח)</w:t>
      </w:r>
      <w:r w:rsidRPr="00350A80">
        <w:rPr>
          <w:rFonts w:hint="cs"/>
          <w:vanish/>
          <w:rtl/>
        </w:rPr>
        <w:t>=</w:t>
      </w:r>
      <w:r>
        <w:rPr>
          <w:rFonts w:hint="cs"/>
          <w:rtl/>
        </w:rPr>
        <w:t>.</w:t>
      </w:r>
      <w:bookmarkEnd w:id="833"/>
    </w:p>
    <w:p w14:paraId="0D32F627" w14:textId="77777777" w:rsidR="001C69A8" w:rsidRPr="00747170" w:rsidRDefault="001C69A8" w:rsidP="00747170">
      <w:pPr>
        <w:pStyle w:val="a2"/>
      </w:pPr>
      <w:r w:rsidRPr="00747170">
        <w:t>אמרתי לבאר מלאכת זורע וקוצר איך הדין בזורע בשבת ולק</w:t>
      </w:r>
      <w:r w:rsidRPr="00747170">
        <w:rPr>
          <w:rFonts w:hint="cs"/>
        </w:rPr>
        <w:t>ט</w:t>
      </w:r>
      <w:r w:rsidRPr="00747170">
        <w:t xml:space="preserve"> אח"כ קודם שנקלט אם נפטר כמו בבישול ואפיי' שרדה קודם שנאפה שבת ג' ע"ב או דלא דמי לאפיי' כיון דשם צריך שיהי' נאפה בשבת דוקא ואם נאפה במו"ש פטור לכן אם נוטלם מהכירה מקודם שנתבשל פטור אבל בזורע הרי תמיד הקליטה הוא בחול דהרי הקליטה צריך ג' ימים וא"כ חזינן דחיובו הוא רק במה שביטלן לקרקע ולכך אף שנמלך ולקטן קודם שנקלט חייב</w:t>
      </w:r>
      <w:r w:rsidRPr="00747170">
        <w:rPr>
          <w:rFonts w:hint="cs"/>
        </w:rPr>
        <w:t>.</w:t>
      </w:r>
    </w:p>
    <w:p w14:paraId="771A0118" w14:textId="77777777" w:rsidR="001C69A8" w:rsidRPr="0000488C" w:rsidRDefault="001C69A8" w:rsidP="00747170">
      <w:pPr>
        <w:pStyle w:val="afffff5"/>
        <w:rPr>
          <w:rtl/>
        </w:rPr>
      </w:pPr>
      <w:r w:rsidRPr="0000488C">
        <w:rPr>
          <w:rtl/>
        </w:rPr>
        <w:t>אך באמת מה דפשיטא להו לכל האחרונים דאם נתבשלו במוצ"ש פטור עיין מנ"ח סוף מצוה רצ"ח אבל לפענ"ד כולם שגו בזה דלהדי' מבואר בירושלמי פ''ק דשבת הלכה וי"ו דכל שהתחיל לעשות המלאכה בשבת אף שנגמר למוצ"ש חייב ומזה ילפ</w:t>
      </w:r>
      <w:r w:rsidRPr="0000488C">
        <w:rPr>
          <w:rFonts w:hint="cs"/>
          <w:rtl/>
        </w:rPr>
        <w:t>ו</w:t>
      </w:r>
      <w:r w:rsidRPr="0000488C">
        <w:rPr>
          <w:rtl/>
        </w:rPr>
        <w:t xml:space="preserve"> ב"ה דמותר להתחיל במלאכה בע"ש ונגמרת בשבת עיי"ש בירושלמי וכן מוכח מכובש כבשין דהוא מטעם מיחזי כמבשל כמש"כ הרמב"</w:t>
      </w:r>
      <w:r w:rsidRPr="0000488C">
        <w:rPr>
          <w:rFonts w:hint="cs"/>
          <w:rtl/>
        </w:rPr>
        <w:t>ם</w:t>
      </w:r>
      <w:r w:rsidRPr="0000488C">
        <w:rPr>
          <w:rtl/>
        </w:rPr>
        <w:t xml:space="preserve"> פרק כ"ב מה' שבת הל"י אף דהכבישה נעשה לאחר שבת אע"כ דגם בבישול כה"ג חייב וכן מבואר בירושלמי שבת פ' מפנק פרק י"ח הל''א דאסור להפריש תרומה בשבת</w:t>
      </w:r>
      <w:r w:rsidRPr="0000488C">
        <w:rPr>
          <w:rFonts w:hint="cs"/>
          <w:rtl/>
        </w:rPr>
        <w:t xml:space="preserve"> </w:t>
      </w:r>
      <w:r w:rsidRPr="0000488C">
        <w:rPr>
          <w:rtl/>
        </w:rPr>
        <w:t>שהתרומה יחול באחד בשבת וכן מוכח ברא"ש פ"ב דביצה סי' י''ז שסובר בטעם שמסתפק מן הנר שחייב משו</w:t>
      </w:r>
      <w:r w:rsidRPr="0000488C">
        <w:rPr>
          <w:rFonts w:hint="cs"/>
          <w:rtl/>
        </w:rPr>
        <w:t>ם</w:t>
      </w:r>
      <w:r w:rsidRPr="0000488C">
        <w:rPr>
          <w:rtl/>
        </w:rPr>
        <w:t xml:space="preserve"> מכבה הוא מטעם דממהר כיבוי שיהי' נכבה מקודם אף שיש בנר שמן שידליק עד אחד בשבת הרי דתמיד אזלינן אחר התחלת מלאכה</w:t>
      </w:r>
      <w:r w:rsidRPr="0000488C">
        <w:rPr>
          <w:rFonts w:hint="cs"/>
          <w:rtl/>
        </w:rPr>
        <w:t>.</w:t>
      </w:r>
    </w:p>
    <w:p w14:paraId="3BA8E823" w14:textId="77777777" w:rsidR="001C69A8" w:rsidRPr="0000488C" w:rsidRDefault="001C69A8" w:rsidP="00747170">
      <w:pPr>
        <w:pStyle w:val="afffff5"/>
        <w:rPr>
          <w:rtl/>
        </w:rPr>
      </w:pPr>
      <w:r w:rsidRPr="0000488C">
        <w:rPr>
          <w:rtl/>
        </w:rPr>
        <w:t xml:space="preserve">וראיתי בס' חלקת יואב שנדפס מחדש שכ' בסי' י' שכל האחרונים שפטרו בהדביק פת בתנור בשבת ונאפה במוצאי שבת כולם שגו ברואה דלהדיא מבואר בירושלמי פ"א ה"ו </w:t>
      </w:r>
      <w:r>
        <w:rPr>
          <w:rtl/>
        </w:rPr>
        <w:t>[</w:t>
      </w:r>
      <w:r w:rsidRPr="0000488C">
        <w:rPr>
          <w:rtl/>
        </w:rPr>
        <w:t>יב א] דחייב. אך באמת אינו כן וזה לשון הירושלמי אמתני' דפליגי ב"ש וב"ה דב"ה מתירין לעשות מלאכה בע"ש שהמלאכה יוגמר בשבת ר"ש בשם ר"א ב"ה ילפון מלאכת היתר ממלאכת איסור אילו עשה כן בשבת שמא אינו אסור ודכותה עשה כן מבעוד יום מותר. ובק"ע פירש על הא דשמא אינו אסור. בתמי'. כלומר מי לא חייב עליו עכ"ל. והנה הבין המחבר הנ"ל בפשיטות דפי' הירושלמי עשה כן בשבת היינו שעשה בשבת והמלאכה נגמרת בחול. וע"ז כתב הק"ע חייב הרי דעשה בשבת ונגמר בחול חייב. והנה גם לפי פירושו אין קושיא מהירושלמי כי בירושלמי לא כתוב רק אסור. והיינו דב"ש נמי לא מחייבים בהתחיל מע"ש רק שאוסרי' וילפי ב"ה מדאסור בשבת כה"ג להיפך מע"ש מותר וב"ש סוברים דשניהם בשבת חייב אחד בשבת אחד בחול בין שהתחלה בשבת בין שסוף אסור. והק"ע שפי' חייב. ברור שלא פירש אלו עשה כן בשבת שנגמר בחול דא"כ הי' לו לפרש כן הירושלמי כדרך המפרשים ומדהניח הירושלמי כמו שהוא מכלל דפירש כפשטו דכיון שעושה הכל בשבת חייב על המעשה ה"ה התחיל מע"ש מותר. וא"כ אף אם הק"ע הי' סובר כפירושו אין הק"ע מכריע כל האחרונים. אך באמת נראה שהק"ע לא פירש כן כלל:</w:t>
      </w:r>
    </w:p>
    <w:p w14:paraId="59DE4847" w14:textId="77777777" w:rsidR="001C69A8" w:rsidRPr="0000488C" w:rsidRDefault="001C69A8" w:rsidP="00747170">
      <w:pPr>
        <w:pStyle w:val="afffff5"/>
        <w:rPr>
          <w:rtl/>
        </w:rPr>
      </w:pPr>
      <w:r w:rsidRPr="0000488C">
        <w:rPr>
          <w:rtl/>
        </w:rPr>
        <w:t xml:space="preserve">עוד הביא המחבר הנ"ל ראי' מרא"ש פ"ב דביצה סי' י"ז שפירש מסתפק חייב משום מכבה משום גורם שיכבה. ואפי' יכבה אחר שבת עכ"ל. המה דברי עצמו ולא דברי רא"ש ומנ"ל דלרא"ש אם יכבה אחר שבת חייב. והא במתני' </w:t>
      </w:r>
      <w:r>
        <w:rPr>
          <w:rtl/>
        </w:rPr>
        <w:t>[</w:t>
      </w:r>
      <w:r w:rsidRPr="0000488C">
        <w:rPr>
          <w:rtl/>
        </w:rPr>
        <w:t xml:space="preserve">ביצה כב א] קתני הנותן שמן לנר חייב משום מבעיר והמסתפק ממנו כו'. וקאי אנר ונר עומד לכבות בו ביום דזה החילוק בין נר בין כוס קערה ועששית דנר עומד לכבות בו ביום כדאי' שבת מ"ד. </w:t>
      </w:r>
      <w:r>
        <w:rPr>
          <w:rtl/>
        </w:rPr>
        <w:t>[</w:t>
      </w:r>
      <w:r w:rsidRPr="0000488C">
        <w:rPr>
          <w:rtl/>
        </w:rPr>
        <w:t>בשגם שסיום דברי רא"ש אין מובנים לי שכתב שאין ליקח פתילה דולקת מן נר זה ליתנו בנר אחר דמיד שסלקה מן הנר הוה לי' מכבה ומה מועיל אם חזר וידלק. וכיון דלרא"ש אין חיוב במסתפק רק משום שיכבה אח"כ וה"ה בלוקח פתילה דולקת. וכיון שנתנו בנר אחר הרי לא כבה. ומה זה שכתב. דמיד שסלקה מנר הוה לי' מכבה וצ"ע]:</w:t>
      </w:r>
    </w:p>
    <w:p w14:paraId="3F87A329" w14:textId="77777777" w:rsidR="001C69A8" w:rsidRPr="0000488C" w:rsidRDefault="001C69A8" w:rsidP="00747170">
      <w:pPr>
        <w:pStyle w:val="afffff5"/>
        <w:rPr>
          <w:rtl/>
        </w:rPr>
      </w:pPr>
      <w:r w:rsidRPr="0000488C">
        <w:rPr>
          <w:rtl/>
        </w:rPr>
        <w:t xml:space="preserve">ותדע עוד שאם הי' חייב א"כ העושה אש בשבת לצורך חולה שיש בו סכנה ודולק והולך משתחשך יהי' מחויב לכבות שלא יכשל באיסור סקילה למפרע ולדעת הר"ן פ"ב דביצה </w:t>
      </w:r>
      <w:r>
        <w:rPr>
          <w:rtl/>
        </w:rPr>
        <w:t>[</w:t>
      </w:r>
      <w:r w:rsidRPr="0000488C">
        <w:rPr>
          <w:rtl/>
        </w:rPr>
        <w:t xml:space="preserve">בד' הרי"ף ט ב] רבוי במלאכה בחולה חייב מן התורה. ואפי' לתוס' מ"מ כשהרבוי אינו בבת אחת עם העיקר אף התוס' מודים דחייב. וא"כ בנ"ד שדולק והולך משתחשך אף להתוס' הי' בו חיוב חטאת למפרע. אך שאין דליקתו בחול עושה איסור למפרע כלל. וכן מפורש בברכות נ"ג. גזירה משום כותי ראשון ועמוד ראשון. אבל עמוד שני מותר מן הדין עי"ש ברש"י. הנה מבואר דמה שדולק משתחשך מחמת שהדליקו בשבת חשוב שבת ממלאכת עבירה ודו"ק. סוף דבר שפשוט בעשה בשבת ונגמר בחול פטור. ודעת האומרים שחייב למפרע אין לו שום יסוד כלל ועיקר והוא ברור ופשוט. ע"כ הג"ה: </w:t>
      </w:r>
    </w:p>
    <w:p w14:paraId="518B2DCA" w14:textId="5190356B" w:rsidR="001C69A8" w:rsidRDefault="001C69A8" w:rsidP="001C69A8">
      <w:pPr>
        <w:pStyle w:val="1"/>
        <w:rPr>
          <w:rtl/>
        </w:rPr>
      </w:pPr>
      <w:bookmarkStart w:id="834" w:name="_Toc134347699"/>
      <w:r>
        <w:rPr>
          <w:rFonts w:hint="cs"/>
          <w:rtl/>
        </w:rPr>
        <w:t>בי' ההר צבי אי מוכח מהנימוק"י באשו משום חציו כד' הרש"ש</w:t>
      </w:r>
      <w:bookmarkEnd w:id="834"/>
    </w:p>
    <w:p w14:paraId="63688CAD" w14:textId="77777777" w:rsidR="001C69A8" w:rsidRDefault="001C69A8" w:rsidP="001C69A8">
      <w:pPr>
        <w:pStyle w:val="afffff7"/>
        <w:rPr>
          <w:rtl/>
        </w:rPr>
      </w:pPr>
      <w:bookmarkStart w:id="835" w:name="_Toc134550221"/>
      <w:bookmarkStart w:id="836" w:name="_Toc163505513"/>
      <w:r>
        <w:rPr>
          <w:rtl/>
        </w:rPr>
        <w:t xml:space="preserve">שו"ת הר צבי </w:t>
      </w:r>
      <w:r>
        <w:rPr>
          <w:rFonts w:hint="cs"/>
          <w:rtl/>
        </w:rPr>
        <w:t>או"ח ח"</w:t>
      </w:r>
      <w:r>
        <w:rPr>
          <w:rtl/>
        </w:rPr>
        <w:t>א סי</w:t>
      </w:r>
      <w:r>
        <w:rPr>
          <w:rFonts w:hint="cs"/>
          <w:rtl/>
        </w:rPr>
        <w:t>'</w:t>
      </w:r>
      <w:r>
        <w:rPr>
          <w:rtl/>
        </w:rPr>
        <w:t xml:space="preserve"> קכט</w:t>
      </w:r>
      <w:bookmarkEnd w:id="835"/>
      <w:bookmarkEnd w:id="836"/>
    </w:p>
    <w:p w14:paraId="3CE9B113" w14:textId="77777777" w:rsidR="001C69A8" w:rsidRPr="009E2417" w:rsidRDefault="001C69A8" w:rsidP="001C69A8">
      <w:pPr>
        <w:pStyle w:val="a7"/>
        <w:rPr>
          <w:rtl/>
        </w:rPr>
      </w:pPr>
      <w:bookmarkStart w:id="837" w:name="_Toc134347700"/>
      <w:r>
        <w:rPr>
          <w:rFonts w:hint="cs"/>
          <w:rtl/>
        </w:rPr>
        <w:t>בי' ההר צבי דמוכח מהנימוק"י בב"ק דמעשה האפיה וזריעה חשיב שכולו נעשה בתחילה כרש"ש</w:t>
      </w:r>
      <w:bookmarkEnd w:id="837"/>
    </w:p>
    <w:p w14:paraId="6C3AF2C7" w14:textId="4E93FE15" w:rsidR="001C69A8" w:rsidRPr="00EB5FEA" w:rsidRDefault="001C69A8" w:rsidP="00BC7DC8">
      <w:pPr>
        <w:pStyle w:val="a3"/>
        <w:rPr>
          <w:rtl/>
        </w:rPr>
      </w:pPr>
      <w:bookmarkStart w:id="838" w:name="_Ref134338343"/>
      <w:bookmarkStart w:id="839" w:name="_Ref134340010"/>
      <w:r>
        <w:rPr>
          <w:rFonts w:hint="cs"/>
          <w:rtl/>
        </w:rPr>
        <w:t xml:space="preserve">במ"ש </w:t>
      </w:r>
      <w:r w:rsidRPr="00E87CC9">
        <w:rPr>
          <w:rStyle w:val="aff4"/>
          <w:rFonts w:hint="cs"/>
          <w:vanish/>
          <w:rtl/>
        </w:rPr>
        <w:t>-</w:t>
      </w:r>
      <w:r>
        <w:rPr>
          <w:rStyle w:val="aff4"/>
          <w:rFonts w:hint="cs"/>
          <w:rtl/>
        </w:rPr>
        <w:t>ה</w:t>
      </w:r>
      <w:r w:rsidRPr="003B4E24">
        <w:rPr>
          <w:rStyle w:val="aff4"/>
          <w:rFonts w:hint="cs"/>
          <w:rtl/>
        </w:rPr>
        <w:t>מהר"ם חביב</w:t>
      </w:r>
      <w:r>
        <w:rPr>
          <w:rStyle w:val="aff4"/>
          <w:rFonts w:hint="cs"/>
          <w:rtl/>
        </w:rPr>
        <w:t xml:space="preserve"> ב</w:t>
      </w:r>
      <w:r w:rsidRPr="003B4E24">
        <w:rPr>
          <w:rStyle w:val="aff4"/>
          <w:rFonts w:hint="cs"/>
          <w:rtl/>
        </w:rPr>
        <w:t>שו"ת קול גדול</w:t>
      </w:r>
      <w:r w:rsidRPr="00E87CC9">
        <w:rPr>
          <w:rStyle w:val="aff4"/>
          <w:rFonts w:hint="cs"/>
          <w:vanish/>
          <w:rtl/>
        </w:rPr>
        <w:t>-</w:t>
      </w:r>
      <w:r>
        <w:rPr>
          <w:rFonts w:hint="cs"/>
          <w:rtl/>
        </w:rPr>
        <w:t xml:space="preserve"> </w:t>
      </w:r>
      <w:r w:rsidRPr="007B2D39">
        <w:rPr>
          <w:rStyle w:val="af2"/>
          <w:rFonts w:eastAsia="Guttman Hodes" w:hint="cs"/>
          <w:rtl/>
        </w:rPr>
        <w:t xml:space="preserve">(עי' אות </w:t>
      </w:r>
      <w:r w:rsidRPr="007B2D39">
        <w:rPr>
          <w:rStyle w:val="af2"/>
          <w:rFonts w:eastAsia="Guttman Hodes"/>
          <w:rtl/>
        </w:rPr>
        <w:fldChar w:fldCharType="begin"/>
      </w:r>
      <w:r w:rsidRPr="007B2D39">
        <w:rPr>
          <w:rStyle w:val="af2"/>
          <w:rFonts w:eastAsia="Guttman Hodes"/>
          <w:rtl/>
        </w:rPr>
        <w:instrText xml:space="preserve"> </w:instrText>
      </w:r>
      <w:r w:rsidRPr="007B2D39">
        <w:rPr>
          <w:rStyle w:val="af2"/>
          <w:rFonts w:eastAsia="Guttman Hodes" w:hint="cs"/>
        </w:rPr>
        <w:instrText>REF</w:instrText>
      </w:r>
      <w:r w:rsidRPr="007B2D39">
        <w:rPr>
          <w:rStyle w:val="af2"/>
          <w:rFonts w:eastAsia="Guttman Hodes" w:hint="cs"/>
          <w:rtl/>
        </w:rPr>
        <w:instrText xml:space="preserve"> _</w:instrText>
      </w:r>
      <w:r w:rsidRPr="007B2D39">
        <w:rPr>
          <w:rStyle w:val="af2"/>
          <w:rFonts w:eastAsia="Guttman Hodes" w:hint="cs"/>
        </w:rPr>
        <w:instrText>Ref133252318 \r \h</w:instrText>
      </w:r>
      <w:r w:rsidRPr="007B2D39">
        <w:rPr>
          <w:rStyle w:val="af2"/>
          <w:rFonts w:eastAsia="Guttman Hodes"/>
          <w:rtl/>
        </w:rPr>
        <w:instrText xml:space="preserve"> </w:instrText>
      </w:r>
      <w:r w:rsidRPr="007B2D39">
        <w:rPr>
          <w:rStyle w:val="af2"/>
          <w:rFonts w:eastAsia="Guttman Hodes"/>
          <w:rtl/>
        </w:rPr>
      </w:r>
      <w:r w:rsidRPr="007B2D39">
        <w:rPr>
          <w:rStyle w:val="af2"/>
          <w:rFonts w:eastAsia="Guttman Hodes"/>
          <w:rtl/>
        </w:rPr>
        <w:fldChar w:fldCharType="separate"/>
      </w:r>
      <w:r w:rsidR="00D82181">
        <w:rPr>
          <w:rStyle w:val="af2"/>
          <w:rFonts w:eastAsia="Guttman Hodes"/>
          <w:cs/>
        </w:rPr>
        <w:t>‎</w:t>
      </w:r>
      <w:r w:rsidR="00D82181">
        <w:rPr>
          <w:rStyle w:val="af2"/>
          <w:rFonts w:eastAsia="Guttman Hodes"/>
          <w:rtl/>
        </w:rPr>
        <w:t>לט)</w:t>
      </w:r>
      <w:r w:rsidRPr="007B2D39">
        <w:rPr>
          <w:rStyle w:val="af2"/>
          <w:rFonts w:eastAsia="Guttman Hodes"/>
          <w:rtl/>
        </w:rPr>
        <w:fldChar w:fldCharType="end"/>
      </w:r>
      <w:r>
        <w:rPr>
          <w:rFonts w:hint="cs"/>
          <w:rtl/>
        </w:rPr>
        <w:t xml:space="preserve"> </w:t>
      </w:r>
      <w:r w:rsidRPr="007B2D39">
        <w:rPr>
          <w:rStyle w:val="aff4"/>
          <w:rFonts w:hint="cs"/>
          <w:vanish/>
          <w:rtl/>
        </w:rPr>
        <w:t>-</w:t>
      </w:r>
      <w:r w:rsidRPr="007B2D39">
        <w:rPr>
          <w:rStyle w:val="aff4"/>
          <w:rFonts w:hint="cs"/>
          <w:rtl/>
        </w:rPr>
        <w:t>והרש"ש</w:t>
      </w:r>
      <w:r w:rsidRPr="007B2D39">
        <w:rPr>
          <w:rStyle w:val="aff4"/>
          <w:rFonts w:hint="cs"/>
          <w:vanish/>
          <w:rtl/>
        </w:rPr>
        <w:t>-</w:t>
      </w:r>
      <w:r>
        <w:rPr>
          <w:rFonts w:hint="cs"/>
          <w:rtl/>
        </w:rPr>
        <w:t xml:space="preserve"> </w:t>
      </w:r>
      <w:r w:rsidRPr="007B2D39">
        <w:rPr>
          <w:rStyle w:val="af2"/>
          <w:rFonts w:eastAsia="Guttman Hodes" w:hint="cs"/>
          <w:rtl/>
        </w:rPr>
        <w:t xml:space="preserve">(עי' אות </w:t>
      </w:r>
      <w:r w:rsidRPr="007B2D39">
        <w:rPr>
          <w:rStyle w:val="af2"/>
          <w:rFonts w:eastAsia="Guttman Hodes"/>
          <w:rtl/>
        </w:rPr>
        <w:fldChar w:fldCharType="begin"/>
      </w:r>
      <w:r w:rsidRPr="007B2D39">
        <w:rPr>
          <w:rStyle w:val="af2"/>
          <w:rFonts w:eastAsia="Guttman Hodes"/>
          <w:rtl/>
        </w:rPr>
        <w:instrText xml:space="preserve"> </w:instrText>
      </w:r>
      <w:r w:rsidRPr="007B2D39">
        <w:rPr>
          <w:rStyle w:val="af2"/>
          <w:rFonts w:eastAsia="Guttman Hodes" w:hint="cs"/>
        </w:rPr>
        <w:instrText>REF</w:instrText>
      </w:r>
      <w:r w:rsidRPr="007B2D39">
        <w:rPr>
          <w:rStyle w:val="af2"/>
          <w:rFonts w:eastAsia="Guttman Hodes" w:hint="cs"/>
          <w:rtl/>
        </w:rPr>
        <w:instrText xml:space="preserve"> _</w:instrText>
      </w:r>
      <w:r w:rsidRPr="007B2D39">
        <w:rPr>
          <w:rStyle w:val="af2"/>
          <w:rFonts w:eastAsia="Guttman Hodes" w:hint="cs"/>
        </w:rPr>
        <w:instrText>Ref133942466 \r \h</w:instrText>
      </w:r>
      <w:r w:rsidRPr="007B2D39">
        <w:rPr>
          <w:rStyle w:val="af2"/>
          <w:rFonts w:eastAsia="Guttman Hodes"/>
          <w:rtl/>
        </w:rPr>
        <w:instrText xml:space="preserve"> </w:instrText>
      </w:r>
      <w:r w:rsidRPr="007B2D39">
        <w:rPr>
          <w:rStyle w:val="af2"/>
          <w:rFonts w:eastAsia="Guttman Hodes"/>
          <w:rtl/>
        </w:rPr>
      </w:r>
      <w:r w:rsidRPr="007B2D39">
        <w:rPr>
          <w:rStyle w:val="af2"/>
          <w:rFonts w:eastAsia="Guttman Hodes"/>
          <w:rtl/>
        </w:rPr>
        <w:fldChar w:fldCharType="separate"/>
      </w:r>
      <w:r w:rsidR="00D82181">
        <w:rPr>
          <w:rStyle w:val="af2"/>
          <w:rFonts w:eastAsia="Guttman Hodes"/>
          <w:cs/>
        </w:rPr>
        <w:t>‎</w:t>
      </w:r>
      <w:r w:rsidR="00D82181">
        <w:rPr>
          <w:rStyle w:val="af2"/>
          <w:rFonts w:eastAsia="Guttman Hodes"/>
          <w:rtl/>
        </w:rPr>
        <w:t>סח)</w:t>
      </w:r>
      <w:r w:rsidRPr="007B2D39">
        <w:rPr>
          <w:rStyle w:val="af2"/>
          <w:rFonts w:eastAsia="Guttman Hodes"/>
          <w:rtl/>
        </w:rPr>
        <w:fldChar w:fldCharType="end"/>
      </w:r>
      <w:r>
        <w:rPr>
          <w:rFonts w:hint="cs"/>
          <w:rtl/>
        </w:rPr>
        <w:t xml:space="preserve"> דזורע דומה לאופה, והחיוב בזורע הוא רק אם השריש הזרע, אבל אם סילק את החיטין לפני שהשרישו פטור, כתב </w:t>
      </w:r>
      <w:r w:rsidRPr="007B2D39">
        <w:rPr>
          <w:rStyle w:val="aff4"/>
          <w:rFonts w:hint="cs"/>
          <w:vanish/>
          <w:rtl/>
        </w:rPr>
        <w:t>-</w:t>
      </w:r>
      <w:r w:rsidRPr="007B2D39">
        <w:rPr>
          <w:rStyle w:val="aff4"/>
          <w:rFonts w:hint="cs"/>
          <w:rtl/>
        </w:rPr>
        <w:t>ב</w:t>
      </w:r>
      <w:r w:rsidRPr="007B2D39">
        <w:rPr>
          <w:rStyle w:val="aff4"/>
          <w:rFonts w:hint="cs"/>
          <w:vanish/>
          <w:rtl/>
        </w:rPr>
        <w:t xml:space="preserve">&lt;. </w:t>
      </w:r>
      <w:r w:rsidRPr="007B2D39">
        <w:rPr>
          <w:rStyle w:val="aff4"/>
          <w:vanish/>
          <w:rtl/>
        </w:rPr>
        <w:fldChar w:fldCharType="begin"/>
      </w:r>
      <w:r w:rsidRPr="007B2D39">
        <w:rPr>
          <w:rStyle w:val="aff4"/>
          <w:vanish/>
          <w:rtl/>
        </w:rPr>
        <w:instrText xml:space="preserve"> </w:instrText>
      </w:r>
      <w:r w:rsidRPr="007B2D39">
        <w:rPr>
          <w:rStyle w:val="aff4"/>
          <w:rFonts w:hint="cs"/>
          <w:vanish/>
        </w:rPr>
        <w:instrText>REF</w:instrText>
      </w:r>
      <w:r w:rsidRPr="007B2D39">
        <w:rPr>
          <w:rStyle w:val="aff4"/>
          <w:rFonts w:hint="cs"/>
          <w:vanish/>
          <w:rtl/>
        </w:rPr>
        <w:instrText xml:space="preserve"> _</w:instrText>
      </w:r>
      <w:r w:rsidRPr="007B2D39">
        <w:rPr>
          <w:rStyle w:val="aff4"/>
          <w:rFonts w:hint="cs"/>
          <w:vanish/>
        </w:rPr>
        <w:instrText>Ref134338343 \r \h</w:instrText>
      </w:r>
      <w:r w:rsidRPr="007B2D39">
        <w:rPr>
          <w:rStyle w:val="aff4"/>
          <w:vanish/>
          <w:rtl/>
        </w:rPr>
        <w:instrText xml:space="preserve"> </w:instrText>
      </w:r>
      <w:r w:rsidRPr="007B2D39">
        <w:rPr>
          <w:rStyle w:val="aff4"/>
          <w:vanish/>
          <w:rtl/>
        </w:rPr>
      </w:r>
      <w:r w:rsidRPr="007B2D39">
        <w:rPr>
          <w:rStyle w:val="aff4"/>
          <w:vanish/>
          <w:rtl/>
        </w:rPr>
        <w:fldChar w:fldCharType="separate"/>
      </w:r>
      <w:r w:rsidR="00D82181">
        <w:rPr>
          <w:rStyle w:val="aff4"/>
          <w:vanish/>
          <w:cs/>
        </w:rPr>
        <w:t>‎</w:t>
      </w:r>
      <w:r w:rsidR="00D82181">
        <w:rPr>
          <w:rStyle w:val="aff4"/>
          <w:vanish/>
          <w:rtl/>
        </w:rPr>
        <w:t>עא)</w:t>
      </w:r>
      <w:r w:rsidRPr="007B2D39">
        <w:rPr>
          <w:rStyle w:val="aff4"/>
          <w:vanish/>
          <w:rtl/>
        </w:rPr>
        <w:fldChar w:fldCharType="end"/>
      </w:r>
      <w:r w:rsidRPr="007B2D39">
        <w:rPr>
          <w:rStyle w:val="aff4"/>
          <w:rFonts w:hint="cs"/>
          <w:vanish/>
          <w:rtl/>
        </w:rPr>
        <w:t xml:space="preserve"> &gt;</w:t>
      </w:r>
      <w:r w:rsidRPr="007B2D39">
        <w:rPr>
          <w:rStyle w:val="aff4"/>
          <w:rFonts w:hint="cs"/>
          <w:rtl/>
        </w:rPr>
        <w:t>שו"ת הר צבי</w:t>
      </w:r>
      <w:r w:rsidRPr="007B2D39">
        <w:rPr>
          <w:rStyle w:val="aff4"/>
          <w:rFonts w:hint="cs"/>
          <w:vanish/>
          <w:rtl/>
        </w:rPr>
        <w:t>-</w:t>
      </w:r>
      <w:r>
        <w:rPr>
          <w:rFonts w:hint="cs"/>
          <w:rtl/>
        </w:rPr>
        <w:t xml:space="preserve"> </w:t>
      </w:r>
      <w:r w:rsidRPr="007B2D39">
        <w:rPr>
          <w:rStyle w:val="af2"/>
          <w:rFonts w:eastAsia="Guttman Hodes" w:hint="cs"/>
          <w:rtl/>
        </w:rPr>
        <w:t>(או"ח ח"א סי' קכ"ט ד"ה הנה)</w:t>
      </w:r>
      <w:r w:rsidRPr="007B2D39">
        <w:rPr>
          <w:rFonts w:hint="cs"/>
          <w:vanish/>
          <w:rtl/>
        </w:rPr>
        <w:t>=</w:t>
      </w:r>
      <w:r>
        <w:rPr>
          <w:rFonts w:hint="cs"/>
          <w:rtl/>
        </w:rPr>
        <w:t xml:space="preserve"> דכן מוכח מהא כתב </w:t>
      </w:r>
      <w:r w:rsidRPr="00753705">
        <w:rPr>
          <w:rStyle w:val="aff4"/>
          <w:rFonts w:hint="cs"/>
          <w:vanish/>
          <w:rtl/>
        </w:rPr>
        <w:t>-</w:t>
      </w:r>
      <w:r w:rsidRPr="003C379A">
        <w:rPr>
          <w:rStyle w:val="aff4"/>
          <w:rFonts w:hint="cs"/>
          <w:rtl/>
        </w:rPr>
        <w:t>ה</w:t>
      </w:r>
      <w:r w:rsidRPr="00753705">
        <w:rPr>
          <w:rStyle w:val="aff4"/>
          <w:rFonts w:hint="cs"/>
          <w:vanish/>
          <w:rtl/>
        </w:rPr>
        <w:t>&lt; &gt;</w:t>
      </w:r>
      <w:r w:rsidRPr="003C379A">
        <w:rPr>
          <w:rStyle w:val="aff4"/>
          <w:rFonts w:hint="cs"/>
          <w:rtl/>
        </w:rPr>
        <w:t>נימוק"י בב"ק</w:t>
      </w:r>
      <w:r w:rsidRPr="00753705">
        <w:rPr>
          <w:rStyle w:val="aff4"/>
          <w:rFonts w:hint="cs"/>
          <w:vanish/>
          <w:rtl/>
        </w:rPr>
        <w:t>-</w:t>
      </w:r>
      <w:r>
        <w:rPr>
          <w:rFonts w:hint="cs"/>
          <w:rtl/>
        </w:rPr>
        <w:t xml:space="preserve"> </w:t>
      </w:r>
      <w:r w:rsidRPr="007B2D39">
        <w:rPr>
          <w:rStyle w:val="af2"/>
          <w:rFonts w:eastAsia="Guttman Hodes" w:hint="cs"/>
          <w:rtl/>
        </w:rPr>
        <w:t>(י. מדה"ר ד"ה אשו)</w:t>
      </w:r>
      <w:r w:rsidRPr="00753705">
        <w:rPr>
          <w:rFonts w:hint="cs"/>
          <w:vanish/>
          <w:rtl/>
        </w:rPr>
        <w:t>=</w:t>
      </w:r>
      <w:r>
        <w:rPr>
          <w:rFonts w:hint="cs"/>
          <w:rtl/>
        </w:rPr>
        <w:t xml:space="preserve"> דבאשו משום חציו חייב לענין שבת, כיון דבשעת ההדלקה הוא עשה את כל המעשה, וכדמוכח מהא דמותר להדליק אש לפני שבת, אעפ"י דההדלקה נגמרת בשבת, וא"כ מבואר דה"ה באופה וזורע, דלענין החיוב חשיב דכל המלאכה נגמרת, מיד כשסילק את ידיו</w:t>
      </w:r>
      <w:bookmarkEnd w:id="838"/>
      <w:r>
        <w:rPr>
          <w:rFonts w:hint="cs"/>
          <w:rtl/>
        </w:rPr>
        <w:t xml:space="preserve">, ואף שהמלאכה נגמרה בחול מ"מ חייב, כיון דאחר שנגמרה המלאכה בהשרשה בחול, איגלאי מילתא למפרע דבשבת בשעת הזריעה חשיב שגמר את כל המלאכה, של הזריעה וההשרשה, וכתב </w:t>
      </w:r>
      <w:r w:rsidRPr="007B2D39">
        <w:rPr>
          <w:rStyle w:val="aff4"/>
          <w:rFonts w:hint="cs"/>
          <w:vanish/>
          <w:rtl/>
        </w:rPr>
        <w:t>-</w:t>
      </w:r>
      <w:r w:rsidRPr="007B2D39">
        <w:rPr>
          <w:rStyle w:val="aff4"/>
          <w:rFonts w:hint="cs"/>
          <w:rtl/>
        </w:rPr>
        <w:t>ההר צבי</w:t>
      </w:r>
      <w:r w:rsidRPr="007B2D39">
        <w:rPr>
          <w:rStyle w:val="aff4"/>
          <w:rFonts w:hint="cs"/>
          <w:vanish/>
          <w:rtl/>
        </w:rPr>
        <w:t>-</w:t>
      </w:r>
      <w:r>
        <w:rPr>
          <w:rFonts w:hint="cs"/>
          <w:rtl/>
        </w:rPr>
        <w:t xml:space="preserve"> דאעפ"י דצריך שכל המלאכה תהיה בשגגה, אם נודע לו לפני ההשרשה פטור דחשיב שלא הייתה המלאכה כולה בשגגה, מ"מ זהו מגזיה"כ לענין שגגה, אבל לענין עיקר החיוב א"א להוכיח מזה דההשרשה אינה חלק מעיקר המלאכה, ועי' במ"ש בזה </w:t>
      </w:r>
      <w:r w:rsidRPr="007B2D39">
        <w:rPr>
          <w:rStyle w:val="aff4"/>
          <w:rFonts w:hint="cs"/>
          <w:vanish/>
          <w:rtl/>
        </w:rPr>
        <w:t>-</w:t>
      </w:r>
      <w:r w:rsidRPr="007B2D39">
        <w:rPr>
          <w:rStyle w:val="aff4"/>
          <w:rFonts w:hint="cs"/>
          <w:rtl/>
        </w:rPr>
        <w:t>האשר לשלמה</w:t>
      </w:r>
      <w:r w:rsidRPr="007B2D39">
        <w:rPr>
          <w:rStyle w:val="aff4"/>
          <w:rFonts w:hint="cs"/>
          <w:vanish/>
          <w:rtl/>
        </w:rPr>
        <w:t>-</w:t>
      </w:r>
      <w:r>
        <w:rPr>
          <w:rFonts w:hint="cs"/>
          <w:rtl/>
        </w:rPr>
        <w:t xml:space="preserve"> </w:t>
      </w:r>
      <w:r w:rsidRPr="007B2D39">
        <w:rPr>
          <w:rStyle w:val="af2"/>
          <w:rFonts w:eastAsia="Guttman Hodes" w:hint="cs"/>
          <w:rtl/>
        </w:rPr>
        <w:t xml:space="preserve">(עי' אות </w:t>
      </w:r>
      <w:r w:rsidRPr="007B2D39">
        <w:rPr>
          <w:rStyle w:val="af2"/>
          <w:rFonts w:eastAsia="Guttman Hodes"/>
          <w:rtl/>
        </w:rPr>
        <w:fldChar w:fldCharType="begin"/>
      </w:r>
      <w:r w:rsidRPr="007B2D39">
        <w:rPr>
          <w:rStyle w:val="af2"/>
          <w:rFonts w:eastAsia="Guttman Hodes"/>
          <w:rtl/>
        </w:rPr>
        <w:instrText xml:space="preserve"> </w:instrText>
      </w:r>
      <w:r w:rsidRPr="007B2D39">
        <w:rPr>
          <w:rStyle w:val="af2"/>
          <w:rFonts w:eastAsia="Guttman Hodes" w:hint="cs"/>
        </w:rPr>
        <w:instrText>REF</w:instrText>
      </w:r>
      <w:r w:rsidRPr="007B2D39">
        <w:rPr>
          <w:rStyle w:val="af2"/>
          <w:rFonts w:eastAsia="Guttman Hodes" w:hint="cs"/>
          <w:rtl/>
        </w:rPr>
        <w:instrText xml:space="preserve"> _</w:instrText>
      </w:r>
      <w:r w:rsidRPr="007B2D39">
        <w:rPr>
          <w:rStyle w:val="af2"/>
          <w:rFonts w:eastAsia="Guttman Hodes" w:hint="cs"/>
        </w:rPr>
        <w:instrText>Ref134339206 \r \h</w:instrText>
      </w:r>
      <w:r w:rsidRPr="007B2D39">
        <w:rPr>
          <w:rStyle w:val="af2"/>
          <w:rFonts w:eastAsia="Guttman Hodes"/>
          <w:rtl/>
        </w:rPr>
        <w:instrText xml:space="preserve"> </w:instrText>
      </w:r>
      <w:r w:rsidRPr="007B2D39">
        <w:rPr>
          <w:rStyle w:val="af2"/>
          <w:rFonts w:eastAsia="Guttman Hodes"/>
          <w:rtl/>
        </w:rPr>
      </w:r>
      <w:r w:rsidRPr="007B2D39">
        <w:rPr>
          <w:rStyle w:val="af2"/>
          <w:rFonts w:eastAsia="Guttman Hodes"/>
          <w:rtl/>
        </w:rPr>
        <w:fldChar w:fldCharType="separate"/>
      </w:r>
      <w:r w:rsidR="00D82181">
        <w:rPr>
          <w:rStyle w:val="af2"/>
          <w:rFonts w:eastAsia="Guttman Hodes"/>
          <w:cs/>
        </w:rPr>
        <w:t>‎</w:t>
      </w:r>
      <w:r w:rsidR="00D82181">
        <w:rPr>
          <w:rStyle w:val="af2"/>
          <w:rFonts w:eastAsia="Guttman Hodes"/>
          <w:rtl/>
        </w:rPr>
        <w:t>פה)</w:t>
      </w:r>
      <w:r w:rsidRPr="007B2D39">
        <w:rPr>
          <w:rStyle w:val="af2"/>
          <w:rFonts w:eastAsia="Guttman Hodes"/>
          <w:rtl/>
        </w:rPr>
        <w:fldChar w:fldCharType="end"/>
      </w:r>
      <w:r>
        <w:rPr>
          <w:rFonts w:hint="cs"/>
          <w:rtl/>
        </w:rPr>
        <w:t>.</w:t>
      </w:r>
      <w:bookmarkEnd w:id="839"/>
    </w:p>
    <w:p w14:paraId="2C80A412" w14:textId="77777777" w:rsidR="001C69A8" w:rsidRPr="00747170" w:rsidRDefault="001C69A8" w:rsidP="00747170">
      <w:pPr>
        <w:pStyle w:val="a2"/>
        <w:rPr>
          <w:rtl/>
        </w:rPr>
      </w:pPr>
      <w:r w:rsidRPr="00747170">
        <w:rPr>
          <w:rtl/>
        </w:rPr>
        <w:t>הנה בענין זה הארכתי במקום אחר וכתבתי שמחלוקת קדומה היא, ודעת מהר"י חגיז בספר הלק"ט כהמנחת חינוך. אמנם בתשובות מהר"ם בן חביב (קול גדול סימן עה) מבואר להדיא כרש"ש, והפמ"ג בפתיחה ספוקי מספקא לי' יעו"ש. וזה מכבר הערתי גם אנכי מהא דבעינן תחילתו וסופו בשגגה. אך כעת נ"ל לישב קצת דעת מהר"ם ב"ח, ולחלק בין הנושאים, עפ"י סברת הנמו"י, שכתב גבי מדליק נר בע"ש ודולק בשבת, דאף דחשיב כאלו הולך ומדליק בידים למ"ד אשו משום חציו, מ"מ לאו כמאן דאדליק השתא בידים חשבינן ליה, אלא כמאן דאדליק מעיקרא וכמאן דאגמרי' בידים מההיא עידנא, עכ"ל. א"כ י"ל, דבאמת לענין חיוב חשיב כל מה שנעשה אח"כ מאיליו כאלו נגמר ברגע הראשונה עם סלוק ידיו, ולכן דעת מהר"ם ב"ח, דאף דנגמר אח"כ בחול, מ"מ חייב כיון דאגלאי מילתא למפרע דהוי כמאן דאגמריה בידים מההיא עידנא, משא"כ לענין שיהא חשוב כולו בשגגה, י"ל כיון דסוף סוף נודע לו קודם שנגמר חיובו למפרע לא הוי כולו בשגגה, דגזה"כ הוא או הודע אליו חטאתו, שתהא ידיעתו אחר גמר חיוב חטאו ובתחלת ידיעתו יוגמר חיוב חטאתו. ועכצ"ל כן לרבא ור"א (שבת דף קב ע"א) דס"ל דגם בזורק פטור כשנזכר קודם הנחה אף דשוב ל"מ למיהדר ומאי נ"מ בידיעה כזו כיון דאין בידו למיהדר עובדא, א"ו מוכרח דגזה"כ הוא גבי שגגה</w:t>
      </w:r>
      <w:r w:rsidRPr="00747170">
        <w:rPr>
          <w:rFonts w:hint="cs"/>
          <w:rtl/>
        </w:rPr>
        <w:t>.</w:t>
      </w:r>
    </w:p>
    <w:p w14:paraId="5E23100B" w14:textId="0C7823D6" w:rsidR="001C69A8" w:rsidRDefault="001C69A8" w:rsidP="001C69A8">
      <w:pPr>
        <w:pStyle w:val="a7"/>
        <w:rPr>
          <w:rtl/>
        </w:rPr>
      </w:pPr>
      <w:bookmarkStart w:id="840" w:name="_Toc134347701"/>
      <w:r>
        <w:rPr>
          <w:rFonts w:hint="cs"/>
          <w:rtl/>
        </w:rPr>
        <w:t>דחיית ההר צבי דכוונת הנימוק"י דחיוב חשיב שכל המעשה נעשה בתחילה ולא המעשה עצמו</w:t>
      </w:r>
      <w:bookmarkEnd w:id="840"/>
    </w:p>
    <w:p w14:paraId="022B571B" w14:textId="77777777" w:rsidR="001C69A8" w:rsidRPr="007F399A" w:rsidRDefault="001C69A8" w:rsidP="00BC7DC8">
      <w:pPr>
        <w:pStyle w:val="a3"/>
      </w:pPr>
      <w:r>
        <w:rPr>
          <w:rFonts w:hint="cs"/>
          <w:rtl/>
        </w:rPr>
        <w:t xml:space="preserve">אך כתב </w:t>
      </w:r>
      <w:r w:rsidRPr="007B2D39">
        <w:rPr>
          <w:rStyle w:val="aff4"/>
          <w:rFonts w:hint="cs"/>
          <w:vanish/>
          <w:rtl/>
        </w:rPr>
        <w:t>-</w:t>
      </w:r>
      <w:r w:rsidRPr="007B2D39">
        <w:rPr>
          <w:rStyle w:val="aff4"/>
          <w:rFonts w:hint="cs"/>
          <w:rtl/>
        </w:rPr>
        <w:t>בשו"ת הר צבי</w:t>
      </w:r>
      <w:r w:rsidRPr="007B2D39">
        <w:rPr>
          <w:rStyle w:val="aff4"/>
          <w:rFonts w:hint="cs"/>
          <w:vanish/>
          <w:rtl/>
        </w:rPr>
        <w:t>-</w:t>
      </w:r>
      <w:r>
        <w:rPr>
          <w:rFonts w:hint="cs"/>
          <w:rtl/>
        </w:rPr>
        <w:t xml:space="preserve"> דאפשר לבאר דאין כוונת </w:t>
      </w:r>
      <w:r w:rsidRPr="007B2D39">
        <w:rPr>
          <w:rStyle w:val="aff4"/>
          <w:rFonts w:hint="cs"/>
          <w:vanish/>
          <w:rtl/>
        </w:rPr>
        <w:t>-</w:t>
      </w:r>
      <w:r w:rsidRPr="007B2D39">
        <w:rPr>
          <w:rStyle w:val="aff4"/>
          <w:rFonts w:hint="cs"/>
          <w:rtl/>
        </w:rPr>
        <w:t>הנימוק"י בב"ק</w:t>
      </w:r>
      <w:r w:rsidRPr="007B2D39">
        <w:rPr>
          <w:rStyle w:val="aff4"/>
          <w:rFonts w:hint="cs"/>
          <w:vanish/>
          <w:rtl/>
        </w:rPr>
        <w:t>-</w:t>
      </w:r>
      <w:r>
        <w:rPr>
          <w:rFonts w:hint="cs"/>
          <w:rtl/>
        </w:rPr>
        <w:t xml:space="preserve"> לומר דהאש שנדלקת לאחר המעשה שלו, חשיבא כאילו נדלקה ממש בזמן שהדליק את האש, אלא כוונת </w:t>
      </w:r>
      <w:r w:rsidRPr="007B2D39">
        <w:rPr>
          <w:rStyle w:val="aff4"/>
          <w:rFonts w:hint="cs"/>
          <w:vanish/>
          <w:rtl/>
        </w:rPr>
        <w:t>-</w:t>
      </w:r>
      <w:r w:rsidRPr="007B2D39">
        <w:rPr>
          <w:rStyle w:val="aff4"/>
          <w:rFonts w:hint="cs"/>
          <w:rtl/>
        </w:rPr>
        <w:t>הנימוק"י בב"ק</w:t>
      </w:r>
      <w:r w:rsidRPr="007B2D39">
        <w:rPr>
          <w:rStyle w:val="aff4"/>
          <w:rFonts w:hint="cs"/>
          <w:vanish/>
          <w:rtl/>
        </w:rPr>
        <w:t>-</w:t>
      </w:r>
      <w:r>
        <w:rPr>
          <w:rFonts w:hint="cs"/>
          <w:rtl/>
        </w:rPr>
        <w:t xml:space="preserve"> רק לענין החיוב, דחל עליו חיוב מזמן ההדלקה בתחילה, ולכן כתב דכשהנר דולק בשבת ממילא א"א לחייבו על זה, דכל החיוב הוא על זמן ההדלקה מער"ש, אבל א"א לומר דההדלקה עצמה שהנר דולק בשבת, חשיבא שהיא נעשית מתחילה בער"ש בזמן שהדליק, עיי"ש במה שהאריך </w:t>
      </w:r>
      <w:r w:rsidRPr="007B2D39">
        <w:rPr>
          <w:rStyle w:val="aff4"/>
          <w:rFonts w:hint="cs"/>
          <w:vanish/>
          <w:rtl/>
        </w:rPr>
        <w:t>-</w:t>
      </w:r>
      <w:r w:rsidRPr="007B2D39">
        <w:rPr>
          <w:rStyle w:val="aff4"/>
          <w:rFonts w:hint="cs"/>
          <w:rtl/>
        </w:rPr>
        <w:t>ההר צבי</w:t>
      </w:r>
      <w:r w:rsidRPr="007B2D39">
        <w:rPr>
          <w:rStyle w:val="aff4"/>
          <w:rFonts w:hint="cs"/>
          <w:vanish/>
          <w:rtl/>
        </w:rPr>
        <w:t>-</w:t>
      </w:r>
      <w:r>
        <w:rPr>
          <w:rFonts w:hint="cs"/>
          <w:rtl/>
        </w:rPr>
        <w:t xml:space="preserve"> בזה.</w:t>
      </w:r>
    </w:p>
    <w:p w14:paraId="53B969DE" w14:textId="77777777" w:rsidR="001C69A8" w:rsidRPr="00747170" w:rsidRDefault="001C69A8" w:rsidP="00747170">
      <w:pPr>
        <w:pStyle w:val="a2"/>
        <w:rPr>
          <w:rtl/>
        </w:rPr>
      </w:pPr>
      <w:r w:rsidRPr="00747170">
        <w:rPr>
          <w:rtl/>
        </w:rPr>
        <w:t xml:space="preserve">אמנם י"ל דברי הנמו"י בדרך אחר, דאין כוונתו לומר דכל מה שנדלק אח"כ חשיב כאלו באמת הודלק בפועל ברגע הראשונה, אלא לענין זמן חלות חיובו קאמר, דחל עליו ברגע ראשונה כמאן דאגמריה בההיא עידנא, וכל מה שהולך ודולק אח"כ ממילא, אין לחייבו ע"ז בעצם אלא מתורת תנאי לחלות חיובו למפרע משעת פעולת ההדלקה, אבל אה"נ דגוף ההדלקה הנעשה אח"כ אינה נחשבת למוקדמת מזמן פעולת תחילת הדלקתו. </w:t>
      </w:r>
    </w:p>
    <w:p w14:paraId="0B1F594C" w14:textId="142A508E" w:rsidR="001C69A8" w:rsidRDefault="001C69A8" w:rsidP="001C69A8">
      <w:pPr>
        <w:pStyle w:val="affff5"/>
        <w:rPr>
          <w:rtl/>
        </w:rPr>
      </w:pPr>
      <w:bookmarkStart w:id="841" w:name="_Toc134347702"/>
      <w:r w:rsidRPr="003E575F">
        <w:rPr>
          <w:rFonts w:hint="cs"/>
          <w:rtl/>
        </w:rPr>
        <w:t>~~~~~~~~~~~~~~~~~~~~~~~~~~~~</w:t>
      </w:r>
      <w:bookmarkEnd w:id="841"/>
    </w:p>
    <w:p w14:paraId="4CB17573" w14:textId="77777777" w:rsidR="001C69A8" w:rsidRDefault="001C69A8" w:rsidP="001C69A8">
      <w:pPr>
        <w:pStyle w:val="affff5"/>
        <w:rPr>
          <w:rtl/>
        </w:rPr>
      </w:pPr>
      <w:bookmarkStart w:id="842" w:name="_Toc134347703"/>
      <w:r>
        <w:rPr>
          <w:rFonts w:hint="cs"/>
          <w:rtl/>
        </w:rPr>
        <w:t>פלו' האחרונים בזמן החיוב שורה במים</w:t>
      </w:r>
      <w:bookmarkEnd w:id="842"/>
    </w:p>
    <w:p w14:paraId="4EF3A97F" w14:textId="77777777" w:rsidR="001C69A8" w:rsidRDefault="001C69A8" w:rsidP="001C69A8">
      <w:pPr>
        <w:pStyle w:val="1"/>
        <w:rPr>
          <w:rtl/>
        </w:rPr>
      </w:pPr>
      <w:bookmarkStart w:id="843" w:name="_Toc134347704"/>
      <w:r>
        <w:rPr>
          <w:rFonts w:hint="cs"/>
          <w:rtl/>
        </w:rPr>
        <w:t>בי' האגל"ט דשורה במים חייב כזורע בנתינה ולא בהשרשה</w:t>
      </w:r>
      <w:bookmarkEnd w:id="843"/>
    </w:p>
    <w:p w14:paraId="74BA5C7A" w14:textId="77777777" w:rsidR="001C69A8" w:rsidRDefault="001C69A8" w:rsidP="001C69A8">
      <w:pPr>
        <w:pStyle w:val="afffff7"/>
        <w:rPr>
          <w:rtl/>
        </w:rPr>
      </w:pPr>
      <w:bookmarkStart w:id="844" w:name="_Toc134550222"/>
      <w:bookmarkStart w:id="845" w:name="_Toc163505514"/>
      <w:r>
        <w:rPr>
          <w:rFonts w:hint="cs"/>
          <w:rtl/>
        </w:rPr>
        <w:t>אגלי טל זורע ס</w:t>
      </w:r>
      <w:r>
        <w:rPr>
          <w:rFonts w:cs="Guttman Hodes" w:hint="cs"/>
          <w:rtl/>
        </w:rPr>
        <w:t>"</w:t>
      </w:r>
      <w:r>
        <w:rPr>
          <w:rFonts w:hint="cs"/>
          <w:rtl/>
        </w:rPr>
        <w:t>ק ט</w:t>
      </w:r>
      <w:r>
        <w:rPr>
          <w:rFonts w:cs="Guttman Hodes" w:hint="cs"/>
          <w:rtl/>
        </w:rPr>
        <w:t>"</w:t>
      </w:r>
      <w:r>
        <w:rPr>
          <w:rFonts w:hint="cs"/>
          <w:rtl/>
        </w:rPr>
        <w:t>ז</w:t>
      </w:r>
      <w:bookmarkEnd w:id="844"/>
      <w:bookmarkEnd w:id="845"/>
    </w:p>
    <w:p w14:paraId="2C7AB161" w14:textId="77777777" w:rsidR="001C69A8" w:rsidRPr="00396C74" w:rsidRDefault="001C69A8" w:rsidP="001C69A8">
      <w:pPr>
        <w:pStyle w:val="a7"/>
        <w:rPr>
          <w:rtl/>
        </w:rPr>
      </w:pPr>
      <w:bookmarkStart w:id="846" w:name="_Toc134347705"/>
      <w:r>
        <w:rPr>
          <w:rFonts w:hint="cs"/>
          <w:rtl/>
        </w:rPr>
        <w:t>בי' האגל"ט דשורה חיטין במים שלא ע"מ להצמיח הוי מלאכה שא"צ לגופה וקיי"ל דפטור עליה</w:t>
      </w:r>
      <w:bookmarkEnd w:id="846"/>
    </w:p>
    <w:p w14:paraId="79F38FDB" w14:textId="18BB7049" w:rsidR="001C69A8" w:rsidRDefault="001C69A8" w:rsidP="00BC7DC8">
      <w:pPr>
        <w:pStyle w:val="a3"/>
      </w:pPr>
      <w:bookmarkStart w:id="847" w:name="_Ref134029007"/>
      <w:r>
        <w:rPr>
          <w:rFonts w:hint="cs"/>
          <w:rtl/>
        </w:rPr>
        <w:t xml:space="preserve">כתב </w:t>
      </w:r>
      <w:r w:rsidRPr="00A90155">
        <w:rPr>
          <w:rStyle w:val="aff4"/>
          <w:rFonts w:hint="cs"/>
          <w:vanish/>
          <w:rtl/>
        </w:rPr>
        <w:t>-</w:t>
      </w:r>
      <w:r w:rsidRPr="008875E4">
        <w:rPr>
          <w:rStyle w:val="aff4"/>
          <w:rFonts w:hint="cs"/>
          <w:rtl/>
        </w:rPr>
        <w:t>ה</w:t>
      </w:r>
      <w:r w:rsidRPr="00A90155">
        <w:rPr>
          <w:rStyle w:val="aff4"/>
          <w:rFonts w:hint="cs"/>
          <w:vanish/>
          <w:rtl/>
        </w:rPr>
        <w:t xml:space="preserve">&lt;. </w:t>
      </w:r>
      <w:r w:rsidRPr="00A90155">
        <w:rPr>
          <w:rStyle w:val="aff4"/>
          <w:vanish/>
          <w:rtl/>
        </w:rPr>
        <w:fldChar w:fldCharType="begin"/>
      </w:r>
      <w:r w:rsidRPr="00A90155">
        <w:rPr>
          <w:rStyle w:val="aff4"/>
          <w:vanish/>
          <w:rtl/>
        </w:rPr>
        <w:instrText xml:space="preserve"> </w:instrText>
      </w:r>
      <w:r w:rsidRPr="00A90155">
        <w:rPr>
          <w:rStyle w:val="aff4"/>
          <w:rFonts w:hint="cs"/>
          <w:vanish/>
        </w:rPr>
        <w:instrText>REF</w:instrText>
      </w:r>
      <w:r w:rsidRPr="00A90155">
        <w:rPr>
          <w:rStyle w:val="aff4"/>
          <w:rFonts w:hint="cs"/>
          <w:vanish/>
          <w:rtl/>
        </w:rPr>
        <w:instrText xml:space="preserve"> _</w:instrText>
      </w:r>
      <w:r w:rsidRPr="00A90155">
        <w:rPr>
          <w:rStyle w:val="aff4"/>
          <w:rFonts w:hint="cs"/>
          <w:vanish/>
        </w:rPr>
        <w:instrText>Ref134029007 \r \h</w:instrText>
      </w:r>
      <w:r w:rsidRPr="00A90155">
        <w:rPr>
          <w:rStyle w:val="aff4"/>
          <w:vanish/>
          <w:rtl/>
        </w:rPr>
        <w:instrText xml:space="preserve"> </w:instrText>
      </w:r>
      <w:r w:rsidRPr="00A90155">
        <w:rPr>
          <w:rStyle w:val="aff4"/>
          <w:vanish/>
          <w:rtl/>
        </w:rPr>
      </w:r>
      <w:r w:rsidRPr="00A90155">
        <w:rPr>
          <w:rStyle w:val="aff4"/>
          <w:vanish/>
          <w:rtl/>
        </w:rPr>
        <w:fldChar w:fldCharType="separate"/>
      </w:r>
      <w:r w:rsidR="00D82181">
        <w:rPr>
          <w:rStyle w:val="aff4"/>
          <w:vanish/>
          <w:cs/>
        </w:rPr>
        <w:t>‎</w:t>
      </w:r>
      <w:r w:rsidR="00D82181">
        <w:rPr>
          <w:rStyle w:val="aff4"/>
          <w:vanish/>
          <w:rtl/>
        </w:rPr>
        <w:t>עג)</w:t>
      </w:r>
      <w:r w:rsidRPr="00A90155">
        <w:rPr>
          <w:rStyle w:val="aff4"/>
          <w:vanish/>
          <w:rtl/>
        </w:rPr>
        <w:fldChar w:fldCharType="end"/>
      </w:r>
      <w:r w:rsidRPr="00A90155">
        <w:rPr>
          <w:rStyle w:val="aff4"/>
          <w:rFonts w:hint="cs"/>
          <w:vanish/>
          <w:rtl/>
        </w:rPr>
        <w:t xml:space="preserve"> &gt;</w:t>
      </w:r>
      <w:r w:rsidRPr="008875E4">
        <w:rPr>
          <w:rStyle w:val="aff4"/>
          <w:rFonts w:hint="cs"/>
          <w:rtl/>
        </w:rPr>
        <w:t>אגלי טל</w:t>
      </w:r>
      <w:r w:rsidRPr="00A90155">
        <w:rPr>
          <w:rStyle w:val="aff4"/>
          <w:rFonts w:hint="cs"/>
          <w:vanish/>
          <w:rtl/>
        </w:rPr>
        <w:t>-</w:t>
      </w:r>
      <w:r>
        <w:rPr>
          <w:rFonts w:hint="cs"/>
          <w:rtl/>
        </w:rPr>
        <w:t xml:space="preserve"> </w:t>
      </w:r>
      <w:r w:rsidRPr="00277835">
        <w:rPr>
          <w:rStyle w:val="af2"/>
          <w:rFonts w:eastAsia="Guttman Hodes" w:hint="cs"/>
          <w:rtl/>
        </w:rPr>
        <w:t>(זורע ס"ק ט"ז)</w:t>
      </w:r>
      <w:r w:rsidRPr="00A90155">
        <w:rPr>
          <w:rFonts w:hint="cs"/>
          <w:vanish/>
          <w:rtl/>
        </w:rPr>
        <w:t>=</w:t>
      </w:r>
      <w:bookmarkEnd w:id="847"/>
      <w:r>
        <w:rPr>
          <w:rFonts w:hint="cs"/>
          <w:rtl/>
        </w:rPr>
        <w:t xml:space="preserve"> דמ"ש </w:t>
      </w:r>
      <w:r w:rsidRPr="00A90155">
        <w:rPr>
          <w:rStyle w:val="aff4"/>
          <w:rFonts w:hint="cs"/>
          <w:vanish/>
          <w:rtl/>
        </w:rPr>
        <w:t>-</w:t>
      </w:r>
      <w:r w:rsidRPr="008875E4">
        <w:rPr>
          <w:rStyle w:val="aff4"/>
          <w:rFonts w:hint="cs"/>
          <w:rtl/>
        </w:rPr>
        <w:t>הרמב"ם</w:t>
      </w:r>
      <w:r w:rsidRPr="00A90155">
        <w:rPr>
          <w:rStyle w:val="aff4"/>
          <w:rFonts w:hint="cs"/>
          <w:vanish/>
          <w:rtl/>
        </w:rPr>
        <w:t>-</w:t>
      </w:r>
      <w:r>
        <w:rPr>
          <w:rFonts w:hint="cs"/>
          <w:rtl/>
        </w:rPr>
        <w:t xml:space="preserve"> </w:t>
      </w:r>
      <w:r w:rsidRPr="00277835">
        <w:rPr>
          <w:rStyle w:val="af2"/>
          <w:rFonts w:eastAsia="Guttman Hodes" w:hint="cs"/>
          <w:rtl/>
        </w:rPr>
        <w:t>(שבת פ"ח ה"ב, הובא בסימן א' אות ע"ט)</w:t>
      </w:r>
      <w:r>
        <w:rPr>
          <w:rFonts w:hint="cs"/>
          <w:rtl/>
        </w:rPr>
        <w:t xml:space="preserve"> דהשורה חיטין במים חייב, היינו דוקא כששורה אותם בכדי שיצמחו, אבל אם אין כוונתו לזריעה פטור, אבל לדעת </w:t>
      </w:r>
      <w:r w:rsidRPr="00A90155">
        <w:rPr>
          <w:rStyle w:val="aff4"/>
          <w:rFonts w:hint="cs"/>
          <w:vanish/>
          <w:rtl/>
        </w:rPr>
        <w:t>-</w:t>
      </w:r>
      <w:r w:rsidRPr="008875E4">
        <w:rPr>
          <w:rStyle w:val="aff4"/>
          <w:rFonts w:hint="cs"/>
          <w:rtl/>
        </w:rPr>
        <w:t>רוב הפוסקים</w:t>
      </w:r>
      <w:r w:rsidRPr="00A90155">
        <w:rPr>
          <w:rStyle w:val="aff4"/>
          <w:rFonts w:hint="cs"/>
          <w:vanish/>
          <w:rtl/>
        </w:rPr>
        <w:t>-</w:t>
      </w:r>
      <w:r>
        <w:rPr>
          <w:rFonts w:hint="cs"/>
          <w:rtl/>
        </w:rPr>
        <w:t xml:space="preserve"> דפטור, א"כ ודאי דהחיוב הוא רק בכדי שיצמחו.</w:t>
      </w:r>
    </w:p>
    <w:p w14:paraId="0FE2B88D" w14:textId="77777777" w:rsidR="001C69A8" w:rsidRPr="00747170" w:rsidRDefault="001C69A8" w:rsidP="00747170">
      <w:pPr>
        <w:pStyle w:val="a2"/>
      </w:pPr>
      <w:r w:rsidRPr="00747170">
        <w:rPr>
          <w:rStyle w:val="afff7"/>
          <w:rtl/>
        </w:rPr>
        <w:lastRenderedPageBreak/>
        <w:t>[</w:t>
      </w:r>
      <w:r w:rsidRPr="00747170">
        <w:rPr>
          <w:rStyle w:val="afff7"/>
        </w:rPr>
        <w:t>טז[ כדי שיצמחו. הגם שהרמב"ם [ה"ב[ מה"ש כתב סתם פ"ח השורה חיטין ושעורין במים הרי זה תולדת זורע. הרמב"ם לטעמי' דפסק [פ"א ה"ז[</w:t>
      </w:r>
      <w:r w:rsidRPr="00747170">
        <w:t xml:space="preserve"> מלאכה שאינה צריכה לגופה </w:t>
      </w:r>
      <w:r w:rsidRPr="00747170">
        <w:rPr>
          <w:rStyle w:val="afff7"/>
        </w:rPr>
        <w:t>חייב עלי'. אבל</w:t>
      </w:r>
      <w:r w:rsidRPr="00747170">
        <w:t xml:space="preserve"> לדעת רוב הפוסקים דפטור. פשוט דאינו חייב אלא א"כ רצונו שיצמחו:</w:t>
      </w:r>
    </w:p>
    <w:p w14:paraId="07CEB398" w14:textId="77777777" w:rsidR="001C69A8" w:rsidRPr="00425D06" w:rsidRDefault="001C69A8" w:rsidP="001C69A8">
      <w:pPr>
        <w:pStyle w:val="a7"/>
        <w:rPr>
          <w:rtl/>
        </w:rPr>
      </w:pPr>
      <w:r w:rsidRPr="003D4790">
        <w:rPr>
          <w:rFonts w:hint="cs"/>
          <w:vanish/>
          <w:rtl/>
        </w:rPr>
        <w:t xml:space="preserve">בי' </w:t>
      </w:r>
      <w:bookmarkStart w:id="848" w:name="_Toc134347706"/>
      <w:r>
        <w:rPr>
          <w:rFonts w:hint="cs"/>
          <w:rtl/>
        </w:rPr>
        <w:t>האגל"ט ברמב"ם דחייב באינו רוצה להצמיח דוקא בהתחיל לצמוח בשבת דהא לא ניחא ליה</w:t>
      </w:r>
      <w:bookmarkEnd w:id="848"/>
      <w:r>
        <w:rPr>
          <w:rFonts w:hint="cs"/>
          <w:rtl/>
        </w:rPr>
        <w:t xml:space="preserve"> </w:t>
      </w:r>
    </w:p>
    <w:p w14:paraId="1FCC94CE" w14:textId="77777777" w:rsidR="001C69A8" w:rsidRDefault="001C69A8" w:rsidP="00BC7DC8">
      <w:pPr>
        <w:pStyle w:val="a3"/>
        <w:rPr>
          <w:rtl/>
        </w:rPr>
      </w:pPr>
      <w:r>
        <w:rPr>
          <w:rFonts w:hint="cs"/>
          <w:rtl/>
        </w:rPr>
        <w:t xml:space="preserve">וכתב </w:t>
      </w:r>
      <w:r w:rsidRPr="00A90155">
        <w:rPr>
          <w:rStyle w:val="aff4"/>
          <w:rFonts w:hint="cs"/>
          <w:vanish/>
          <w:rtl/>
        </w:rPr>
        <w:t>-</w:t>
      </w:r>
      <w:r w:rsidRPr="008875E4">
        <w:rPr>
          <w:rStyle w:val="aff4"/>
          <w:rFonts w:hint="cs"/>
          <w:rtl/>
        </w:rPr>
        <w:t>האגלי טל</w:t>
      </w:r>
      <w:r w:rsidRPr="00A90155">
        <w:rPr>
          <w:rStyle w:val="aff4"/>
          <w:rFonts w:hint="cs"/>
          <w:vanish/>
          <w:rtl/>
        </w:rPr>
        <w:t>-</w:t>
      </w:r>
      <w:r>
        <w:rPr>
          <w:rFonts w:hint="cs"/>
          <w:rtl/>
        </w:rPr>
        <w:t xml:space="preserve"> והא דלא כתב </w:t>
      </w:r>
      <w:r w:rsidRPr="00A90155">
        <w:rPr>
          <w:rStyle w:val="aff4"/>
          <w:rFonts w:hint="cs"/>
          <w:vanish/>
          <w:rtl/>
        </w:rPr>
        <w:t>-</w:t>
      </w:r>
      <w:r w:rsidRPr="008875E4">
        <w:rPr>
          <w:rStyle w:val="aff4"/>
          <w:rFonts w:hint="cs"/>
          <w:rtl/>
        </w:rPr>
        <w:t>הרמב"ם</w:t>
      </w:r>
      <w:r w:rsidRPr="00A90155">
        <w:rPr>
          <w:rStyle w:val="aff4"/>
          <w:rFonts w:hint="cs"/>
          <w:vanish/>
          <w:rtl/>
        </w:rPr>
        <w:t>-</w:t>
      </w:r>
      <w:r>
        <w:rPr>
          <w:rFonts w:hint="cs"/>
          <w:rtl/>
        </w:rPr>
        <w:t xml:space="preserve"> דהחיוב בשורה חיטין במים רק כדי שיצמחו הוא כיון דס"ל </w:t>
      </w:r>
      <w:r w:rsidRPr="00A90155">
        <w:rPr>
          <w:rStyle w:val="aff4"/>
          <w:rFonts w:hint="cs"/>
          <w:vanish/>
          <w:rtl/>
        </w:rPr>
        <w:t>-</w:t>
      </w:r>
      <w:r w:rsidRPr="008875E4">
        <w:rPr>
          <w:rStyle w:val="aff4"/>
          <w:rFonts w:hint="cs"/>
          <w:rtl/>
        </w:rPr>
        <w:t>להרמב"ם</w:t>
      </w:r>
      <w:r w:rsidRPr="00A90155">
        <w:rPr>
          <w:rStyle w:val="aff4"/>
          <w:rFonts w:hint="cs"/>
          <w:vanish/>
          <w:rtl/>
        </w:rPr>
        <w:t>-</w:t>
      </w:r>
      <w:r>
        <w:rPr>
          <w:rFonts w:hint="cs"/>
          <w:rtl/>
        </w:rPr>
        <w:t xml:space="preserve"> </w:t>
      </w:r>
      <w:r w:rsidRPr="00277835">
        <w:rPr>
          <w:rStyle w:val="af2"/>
          <w:rFonts w:eastAsia="Guttman Hodes" w:hint="cs"/>
          <w:rtl/>
        </w:rPr>
        <w:t>(שבת פ"א ה"ז)</w:t>
      </w:r>
      <w:r>
        <w:rPr>
          <w:rFonts w:hint="cs"/>
          <w:rtl/>
        </w:rPr>
        <w:t xml:space="preserve"> דאף מלאכה שא"צ לגופה חייב עליה,</w:t>
      </w:r>
      <w:r w:rsidRPr="004D60E8">
        <w:rPr>
          <w:rFonts w:hint="cs"/>
          <w:rtl/>
        </w:rPr>
        <w:t xml:space="preserve"> </w:t>
      </w:r>
      <w:r>
        <w:rPr>
          <w:rFonts w:hint="cs"/>
          <w:rtl/>
        </w:rPr>
        <w:t xml:space="preserve">והוסיף </w:t>
      </w:r>
      <w:r w:rsidRPr="00A90155">
        <w:rPr>
          <w:rStyle w:val="aff4"/>
          <w:rFonts w:hint="cs"/>
          <w:vanish/>
          <w:rtl/>
        </w:rPr>
        <w:t>-</w:t>
      </w:r>
      <w:r w:rsidRPr="008479DF">
        <w:rPr>
          <w:rStyle w:val="aff4"/>
          <w:rFonts w:hint="cs"/>
          <w:rtl/>
        </w:rPr>
        <w:t>האגלי טל</w:t>
      </w:r>
      <w:r w:rsidRPr="00A90155">
        <w:rPr>
          <w:rStyle w:val="aff4"/>
          <w:rFonts w:hint="cs"/>
          <w:vanish/>
          <w:rtl/>
        </w:rPr>
        <w:t>-</w:t>
      </w:r>
      <w:r w:rsidRPr="008479DF">
        <w:rPr>
          <w:rStyle w:val="aff4"/>
          <w:rFonts w:hint="cs"/>
          <w:rtl/>
        </w:rPr>
        <w:t xml:space="preserve"> </w:t>
      </w:r>
      <w:r>
        <w:rPr>
          <w:rFonts w:hint="cs"/>
          <w:rtl/>
        </w:rPr>
        <w:t xml:space="preserve">דאף לדעת </w:t>
      </w:r>
      <w:r w:rsidRPr="00A90155">
        <w:rPr>
          <w:rStyle w:val="aff4"/>
          <w:rFonts w:hint="cs"/>
          <w:vanish/>
          <w:rtl/>
        </w:rPr>
        <w:t>-</w:t>
      </w:r>
      <w:r w:rsidRPr="008875E4">
        <w:rPr>
          <w:rStyle w:val="aff4"/>
          <w:rFonts w:hint="cs"/>
          <w:rtl/>
        </w:rPr>
        <w:t>הרמב"ם</w:t>
      </w:r>
      <w:r w:rsidRPr="00A90155">
        <w:rPr>
          <w:rStyle w:val="aff4"/>
          <w:rFonts w:hint="cs"/>
          <w:vanish/>
          <w:rtl/>
        </w:rPr>
        <w:t>-</w:t>
      </w:r>
      <w:r>
        <w:rPr>
          <w:rFonts w:hint="cs"/>
          <w:rtl/>
        </w:rPr>
        <w:t xml:space="preserve"> דחייב אף כשאין כוונתו להצמיח, היינו דוקא אם התחילו לצמוח בשבת עצמה, כיון דמסתמא לא ניחא ליה שישרישו, ושריה במים היא תולדת זורע, ובאב דזורע עצמו מבואר במשנה בכלאים </w:t>
      </w:r>
      <w:r w:rsidRPr="00277835">
        <w:rPr>
          <w:rStyle w:val="af2"/>
          <w:rFonts w:eastAsia="Guttman Hodes" w:hint="cs"/>
          <w:rtl/>
        </w:rPr>
        <w:t>(פ"א מ"ט)</w:t>
      </w:r>
      <w:r>
        <w:rPr>
          <w:rFonts w:hint="cs"/>
          <w:rtl/>
        </w:rPr>
        <w:t xml:space="preserve"> שהביאה הגמ' לעיל </w:t>
      </w:r>
      <w:r w:rsidRPr="00277835">
        <w:rPr>
          <w:rStyle w:val="af2"/>
          <w:rFonts w:eastAsia="Guttman Hodes" w:hint="cs"/>
          <w:rtl/>
        </w:rPr>
        <w:t>(נ:)</w:t>
      </w:r>
      <w:r>
        <w:rPr>
          <w:rFonts w:hint="cs"/>
          <w:rtl/>
        </w:rPr>
        <w:t xml:space="preserve"> דהטומן לפת בקרקע ואינו רוצה שתשתריש, לא חשיב זורע, כמבואר </w:t>
      </w:r>
      <w:r w:rsidRPr="001E13AC">
        <w:rPr>
          <w:rStyle w:val="aff4"/>
          <w:rFonts w:hint="cs"/>
          <w:vanish/>
          <w:rtl/>
        </w:rPr>
        <w:t>-</w:t>
      </w:r>
      <w:r w:rsidRPr="001F3123">
        <w:rPr>
          <w:rStyle w:val="aff4"/>
          <w:rFonts w:hint="cs"/>
          <w:rtl/>
        </w:rPr>
        <w:t>בתוס' לעיל</w:t>
      </w:r>
      <w:r w:rsidRPr="001E13AC">
        <w:rPr>
          <w:rStyle w:val="aff4"/>
          <w:rFonts w:hint="cs"/>
          <w:vanish/>
          <w:rtl/>
        </w:rPr>
        <w:t>-</w:t>
      </w:r>
      <w:r>
        <w:rPr>
          <w:rFonts w:hint="cs"/>
          <w:rtl/>
        </w:rPr>
        <w:t xml:space="preserve"> </w:t>
      </w:r>
      <w:r w:rsidRPr="00277835">
        <w:rPr>
          <w:rStyle w:val="af2"/>
          <w:rFonts w:eastAsia="Guttman Hodes" w:hint="cs"/>
          <w:rtl/>
        </w:rPr>
        <w:t>(נ: ד"ה מקצת)</w:t>
      </w:r>
      <w:r>
        <w:rPr>
          <w:rFonts w:hint="cs"/>
          <w:rtl/>
        </w:rPr>
        <w:t xml:space="preserve">. </w:t>
      </w:r>
      <w:r>
        <w:rPr>
          <w:rStyle w:val="af"/>
          <w:rFonts w:hint="cs"/>
          <w:rtl/>
        </w:rPr>
        <w:t>[</w:t>
      </w:r>
      <w:r w:rsidRPr="00277835">
        <w:rPr>
          <w:rStyle w:val="af"/>
          <w:rFonts w:hint="cs"/>
          <w:rtl/>
        </w:rPr>
        <w:t xml:space="preserve">כדביאר </w:t>
      </w:r>
      <w:r w:rsidRPr="001E13AC">
        <w:rPr>
          <w:rStyle w:val="aff9"/>
          <w:rFonts w:hint="cs"/>
          <w:vanish/>
          <w:rtl/>
        </w:rPr>
        <w:t>-</w:t>
      </w:r>
      <w:r w:rsidRPr="00277835">
        <w:rPr>
          <w:rStyle w:val="aff9"/>
          <w:rFonts w:hint="cs"/>
          <w:rtl/>
        </w:rPr>
        <w:t>האגלי טל</w:t>
      </w:r>
      <w:r w:rsidRPr="001E13AC">
        <w:rPr>
          <w:rStyle w:val="aff9"/>
          <w:rFonts w:hint="cs"/>
          <w:vanish/>
          <w:rtl/>
        </w:rPr>
        <w:t>-</w:t>
      </w:r>
      <w:r w:rsidRPr="00277835">
        <w:rPr>
          <w:rStyle w:val="af"/>
          <w:rFonts w:hint="cs"/>
          <w:rtl/>
        </w:rPr>
        <w:t xml:space="preserve"> </w:t>
      </w:r>
      <w:r w:rsidRPr="00277835">
        <w:rPr>
          <w:rStyle w:val="aff0"/>
          <w:rFonts w:hint="cs"/>
          <w:rtl/>
        </w:rPr>
        <w:t>(קוצר ס"ק כ"ד)</w:t>
      </w:r>
      <w:r w:rsidRPr="00277835">
        <w:rPr>
          <w:rStyle w:val="af"/>
          <w:rFonts w:hint="cs"/>
          <w:rtl/>
        </w:rPr>
        <w:t xml:space="preserve"> בדברי </w:t>
      </w:r>
      <w:r w:rsidRPr="001E13AC">
        <w:rPr>
          <w:rStyle w:val="aff9"/>
          <w:rFonts w:hint="cs"/>
          <w:vanish/>
          <w:rtl/>
        </w:rPr>
        <w:t>-</w:t>
      </w:r>
      <w:r w:rsidRPr="00277835">
        <w:rPr>
          <w:rStyle w:val="aff9"/>
          <w:rFonts w:hint="cs"/>
          <w:rtl/>
        </w:rPr>
        <w:t>התוס'</w:t>
      </w:r>
      <w:r w:rsidRPr="001E13AC">
        <w:rPr>
          <w:rStyle w:val="aff9"/>
          <w:rFonts w:hint="cs"/>
          <w:vanish/>
          <w:rtl/>
        </w:rPr>
        <w:t>-</w:t>
      </w:r>
      <w:r w:rsidRPr="00277835">
        <w:rPr>
          <w:rStyle w:val="af"/>
          <w:rFonts w:hint="cs"/>
          <w:rtl/>
        </w:rPr>
        <w:t>]</w:t>
      </w:r>
      <w:r>
        <w:rPr>
          <w:rFonts w:hint="cs"/>
          <w:rtl/>
        </w:rPr>
        <w:t>.</w:t>
      </w:r>
    </w:p>
    <w:p w14:paraId="06755A5D" w14:textId="77777777" w:rsidR="001C69A8" w:rsidRPr="00747170" w:rsidRDefault="001C69A8" w:rsidP="00747170">
      <w:pPr>
        <w:pStyle w:val="a2"/>
        <w:rPr>
          <w:rtl/>
        </w:rPr>
      </w:pPr>
      <w:r w:rsidRPr="00747170">
        <w:rPr>
          <w:rtl/>
        </w:rPr>
        <w:t>טז] כדי שיצמחו. הגם שהרמב"ם [ה"ב] מה"ש כתב סתם פ"ח השורה חיטין ושעורין במים הרי זה תולדת זורע. הרמב"ם לטעמי' דפסק [פ"א ה"ז] מלאכה שאינה צריכה לגופה חייב עלי'.</w:t>
      </w:r>
      <w:r w:rsidRPr="00747170">
        <w:rPr>
          <w:rFonts w:hint="cs"/>
          <w:rtl/>
        </w:rPr>
        <w:t xml:space="preserve"> וכו'. </w:t>
      </w:r>
      <w:r w:rsidRPr="00747170">
        <w:rPr>
          <w:rtl/>
        </w:rPr>
        <w:t>ואף לדעת הרמב"ם יש חילוק בין נתכוין שיצמחו בין לא נתכוין. שאם לא נתכוין לכך מסתמא לא ניחא לי' בצמיחתן אינו חייב עד שיצמחו בשבת ומקמי הכי לאו תולדת זורע הוא דבזורע גופי' כ"ז שלא השריש אם אינו רוצה בהשרשתן לא חשוב זריעה כדמוכח בפ"א דכלאים מ"ט בהטומן לפת לפי' התוס' במכילתין והר"ש והרא"ש כמו שיבואר אצלינו באריכות בביאור מלאכת קוצר בס"ד.</w:t>
      </w:r>
    </w:p>
    <w:p w14:paraId="5F1845C0" w14:textId="76202160" w:rsidR="001C69A8" w:rsidRDefault="001C69A8" w:rsidP="001C69A8">
      <w:pPr>
        <w:pStyle w:val="a7"/>
        <w:rPr>
          <w:rtl/>
        </w:rPr>
      </w:pPr>
      <w:bookmarkStart w:id="849" w:name="_Toc134347707"/>
      <w:r>
        <w:rPr>
          <w:rFonts w:hint="cs"/>
          <w:rtl/>
        </w:rPr>
        <w:t>בי' האגל"ט דשורה חיטין במים שיצמחו חייב מיד אף אם סילק לפני שצמחו כזורע דחייב בסילק</w:t>
      </w:r>
      <w:bookmarkEnd w:id="849"/>
    </w:p>
    <w:p w14:paraId="4138B7C8" w14:textId="46D88B4A" w:rsidR="001C69A8" w:rsidRDefault="001C69A8" w:rsidP="00BC7DC8">
      <w:pPr>
        <w:pStyle w:val="a3"/>
      </w:pPr>
      <w:r>
        <w:rPr>
          <w:rFonts w:hint="cs"/>
          <w:rtl/>
        </w:rPr>
        <w:t xml:space="preserve">אך כתב </w:t>
      </w:r>
      <w:r w:rsidRPr="00A90155">
        <w:rPr>
          <w:rStyle w:val="aff4"/>
          <w:rFonts w:hint="cs"/>
          <w:vanish/>
          <w:rtl/>
        </w:rPr>
        <w:t>-</w:t>
      </w:r>
      <w:r w:rsidRPr="008875E4">
        <w:rPr>
          <w:rStyle w:val="aff4"/>
          <w:rFonts w:hint="cs"/>
          <w:rtl/>
        </w:rPr>
        <w:t>האגלי טל</w:t>
      </w:r>
      <w:r w:rsidRPr="00A90155">
        <w:rPr>
          <w:rStyle w:val="aff4"/>
          <w:rFonts w:hint="cs"/>
          <w:vanish/>
          <w:rtl/>
        </w:rPr>
        <w:t>-</w:t>
      </w:r>
      <w:r>
        <w:rPr>
          <w:rFonts w:hint="cs"/>
          <w:rtl/>
        </w:rPr>
        <w:t xml:space="preserve"> דאם הוא שורה את החיטין במים בכדי שיצמחו, הוא חייב מיד בשעת שרייתן כמו לענין זורע בקרקע, דכתב </w:t>
      </w:r>
      <w:r w:rsidRPr="00A90155">
        <w:rPr>
          <w:rStyle w:val="aff4"/>
          <w:rFonts w:hint="cs"/>
          <w:vanish/>
          <w:rtl/>
        </w:rPr>
        <w:t>-</w:t>
      </w:r>
      <w:r w:rsidRPr="008875E4">
        <w:rPr>
          <w:rStyle w:val="aff4"/>
          <w:rFonts w:hint="cs"/>
          <w:rtl/>
        </w:rPr>
        <w:t>האגלי טל</w:t>
      </w:r>
      <w:r w:rsidRPr="00A90155">
        <w:rPr>
          <w:rStyle w:val="aff4"/>
          <w:rFonts w:hint="cs"/>
          <w:vanish/>
          <w:rtl/>
        </w:rPr>
        <w:t>-</w:t>
      </w:r>
      <w:r>
        <w:rPr>
          <w:rFonts w:hint="cs"/>
          <w:rtl/>
        </w:rPr>
        <w:t xml:space="preserve"> </w:t>
      </w:r>
      <w:r w:rsidRPr="00277835">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Ref134330456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נה)</w:t>
      </w:r>
      <w:r>
        <w:rPr>
          <w:rStyle w:val="af2"/>
          <w:rFonts w:eastAsia="Guttman Hodes"/>
          <w:rtl/>
        </w:rPr>
        <w:fldChar w:fldCharType="end"/>
      </w:r>
      <w:r>
        <w:rPr>
          <w:rFonts w:hint="cs"/>
          <w:rtl/>
        </w:rPr>
        <w:t xml:space="preserve"> דחייב מיד בשעת הנתינה לפני שהשרישו, ואף אם סילק אותם חייב, </w:t>
      </w:r>
      <w:r>
        <w:rPr>
          <w:rStyle w:val="af"/>
          <w:rFonts w:hint="cs"/>
          <w:rtl/>
        </w:rPr>
        <w:t>[</w:t>
      </w:r>
      <w:r w:rsidRPr="00277835">
        <w:rPr>
          <w:rStyle w:val="af"/>
          <w:rFonts w:hint="cs"/>
          <w:rtl/>
        </w:rPr>
        <w:t xml:space="preserve">ודלא </w:t>
      </w:r>
      <w:r w:rsidRPr="001E13AC">
        <w:rPr>
          <w:rStyle w:val="aff9"/>
          <w:rFonts w:hint="cs"/>
          <w:vanish/>
          <w:rtl/>
        </w:rPr>
        <w:t>-</w:t>
      </w:r>
      <w:r w:rsidRPr="00277835">
        <w:rPr>
          <w:rStyle w:val="aff9"/>
          <w:rFonts w:hint="cs"/>
          <w:rtl/>
        </w:rPr>
        <w:t>כרש"ש</w:t>
      </w:r>
      <w:r w:rsidRPr="001E13AC">
        <w:rPr>
          <w:rStyle w:val="aff9"/>
          <w:rFonts w:hint="cs"/>
          <w:vanish/>
          <w:rtl/>
        </w:rPr>
        <w:t>-</w:t>
      </w:r>
      <w:r w:rsidRPr="00277835">
        <w:rPr>
          <w:rStyle w:val="af"/>
          <w:rFonts w:hint="cs"/>
          <w:rtl/>
        </w:rPr>
        <w:t xml:space="preserve"> </w:t>
      </w:r>
      <w:r w:rsidRPr="00277835">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Ref133266181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מד)</w:t>
      </w:r>
      <w:r>
        <w:rPr>
          <w:rStyle w:val="aff0"/>
          <w:rtl/>
        </w:rPr>
        <w:fldChar w:fldCharType="end"/>
      </w:r>
      <w:r w:rsidRPr="00277835">
        <w:rPr>
          <w:rStyle w:val="af"/>
          <w:rFonts w:hint="cs"/>
          <w:rtl/>
        </w:rPr>
        <w:t xml:space="preserve"> ]</w:t>
      </w:r>
      <w:r>
        <w:rPr>
          <w:rFonts w:hint="cs"/>
          <w:rtl/>
        </w:rPr>
        <w:t>, וה"ה בשורה חיטין במים ע"מ שיצמחו דהוא חייב מיד בשעת שרייתן אף אם אח"כ נמלך והוציא אותן מהמים.</w:t>
      </w:r>
      <w:r w:rsidRPr="00810EA7">
        <w:rPr>
          <w:rFonts w:hint="cs"/>
          <w:rtl/>
        </w:rPr>
        <w:t xml:space="preserve"> </w:t>
      </w:r>
      <w:r>
        <w:rPr>
          <w:rStyle w:val="af"/>
          <w:rFonts w:hint="cs"/>
          <w:rtl/>
        </w:rPr>
        <w:t>[</w:t>
      </w:r>
      <w:r w:rsidRPr="00277835">
        <w:rPr>
          <w:rStyle w:val="af"/>
          <w:rFonts w:hint="cs"/>
          <w:rtl/>
        </w:rPr>
        <w:t xml:space="preserve">וכן משמע מדברי </w:t>
      </w:r>
      <w:r w:rsidRPr="001E13AC">
        <w:rPr>
          <w:rStyle w:val="aff9"/>
          <w:rFonts w:hint="cs"/>
          <w:vanish/>
          <w:rtl/>
        </w:rPr>
        <w:t>-</w:t>
      </w:r>
      <w:r w:rsidRPr="00277835">
        <w:rPr>
          <w:rStyle w:val="aff9"/>
          <w:rFonts w:hint="cs"/>
          <w:rtl/>
        </w:rPr>
        <w:t>החיי אדם</w:t>
      </w:r>
      <w:r w:rsidRPr="001E13AC">
        <w:rPr>
          <w:rStyle w:val="aff9"/>
          <w:rFonts w:hint="cs"/>
          <w:vanish/>
          <w:rtl/>
        </w:rPr>
        <w:t>-</w:t>
      </w:r>
      <w:r w:rsidRPr="00277835">
        <w:rPr>
          <w:rStyle w:val="af"/>
          <w:rFonts w:hint="cs"/>
          <w:rtl/>
        </w:rPr>
        <w:t xml:space="preserve"> </w:t>
      </w:r>
      <w:r w:rsidRPr="00277835">
        <w:rPr>
          <w:rStyle w:val="aff0"/>
          <w:rFonts w:hint="cs"/>
          <w:rtl/>
        </w:rPr>
        <w:t xml:space="preserve">(עי' אות </w:t>
      </w:r>
      <w:r w:rsidRPr="00277835">
        <w:rPr>
          <w:rStyle w:val="aff0"/>
          <w:rtl/>
        </w:rPr>
        <w:fldChar w:fldCharType="begin"/>
      </w:r>
      <w:r w:rsidRPr="00277835">
        <w:rPr>
          <w:rStyle w:val="aff0"/>
          <w:rtl/>
        </w:rPr>
        <w:instrText xml:space="preserve"> </w:instrText>
      </w:r>
      <w:r w:rsidRPr="00277835">
        <w:rPr>
          <w:rStyle w:val="aff0"/>
          <w:rFonts w:hint="cs"/>
        </w:rPr>
        <w:instrText>REF</w:instrText>
      </w:r>
      <w:r w:rsidRPr="00277835">
        <w:rPr>
          <w:rStyle w:val="aff0"/>
          <w:rFonts w:hint="cs"/>
          <w:rtl/>
        </w:rPr>
        <w:instrText xml:space="preserve"> _</w:instrText>
      </w:r>
      <w:r w:rsidRPr="00277835">
        <w:rPr>
          <w:rStyle w:val="aff0"/>
          <w:rFonts w:hint="cs"/>
        </w:rPr>
        <w:instrText>Ref134181638 \r \h</w:instrText>
      </w:r>
      <w:r w:rsidRPr="00277835">
        <w:rPr>
          <w:rStyle w:val="aff0"/>
          <w:rtl/>
        </w:rPr>
        <w:instrText xml:space="preserve"> </w:instrText>
      </w:r>
      <w:r w:rsidRPr="00277835">
        <w:rPr>
          <w:rStyle w:val="aff0"/>
          <w:rtl/>
        </w:rPr>
      </w:r>
      <w:r w:rsidRPr="00277835">
        <w:rPr>
          <w:rStyle w:val="aff0"/>
          <w:rtl/>
        </w:rPr>
        <w:fldChar w:fldCharType="separate"/>
      </w:r>
      <w:r w:rsidR="00D82181">
        <w:rPr>
          <w:rStyle w:val="aff0"/>
          <w:cs/>
        </w:rPr>
        <w:t>‎</w:t>
      </w:r>
      <w:r w:rsidR="00D82181">
        <w:rPr>
          <w:rStyle w:val="aff0"/>
          <w:rtl/>
        </w:rPr>
        <w:t>יט)</w:t>
      </w:r>
      <w:r w:rsidRPr="00277835">
        <w:rPr>
          <w:rStyle w:val="aff0"/>
          <w:rtl/>
        </w:rPr>
        <w:fldChar w:fldCharType="end"/>
      </w:r>
      <w:r w:rsidRPr="00277835">
        <w:rPr>
          <w:rStyle w:val="af"/>
          <w:rFonts w:hint="cs"/>
          <w:rtl/>
        </w:rPr>
        <w:t xml:space="preserve"> דס"ל דהשורה חיטין במים הוא כזורע בקרקע, וא"כ אף אם סילק את החיטין לפני שהשרישו חייב]</w:t>
      </w:r>
      <w:r>
        <w:rPr>
          <w:rFonts w:hint="cs"/>
          <w:rtl/>
        </w:rPr>
        <w:t>.</w:t>
      </w:r>
    </w:p>
    <w:p w14:paraId="37EF561D" w14:textId="77777777" w:rsidR="001C69A8" w:rsidRPr="00747170" w:rsidRDefault="001C69A8" w:rsidP="00747170">
      <w:pPr>
        <w:pStyle w:val="a2"/>
      </w:pPr>
      <w:r w:rsidRPr="00747170">
        <w:t>אבל אם רצונו שיצמחו נראה דכמו שהעלינו לעיל ס"ק ח' בזורע דחייב תיכף בשעת זריעה אפי' הוציאן קודם שהשרישן. ה"נ בשרה אותם על דעת שישרו עד שיצמחו נתחייב תיכף ואפי' נמלך והוציאן אח"כ:</w:t>
      </w:r>
    </w:p>
    <w:p w14:paraId="73C763EF" w14:textId="77777777" w:rsidR="001C69A8" w:rsidRPr="00603589" w:rsidRDefault="001C69A8" w:rsidP="001C69A8">
      <w:pPr>
        <w:pStyle w:val="a7"/>
        <w:rPr>
          <w:rtl/>
        </w:rPr>
      </w:pPr>
      <w:bookmarkStart w:id="850" w:name="_Toc134347708"/>
      <w:r>
        <w:rPr>
          <w:rFonts w:hint="cs"/>
          <w:rtl/>
        </w:rPr>
        <w:t>בי' האגל"ט דהשורה חיטין שלא ע"מ להצמיח והוציאן לפני שצמחו אף מדרבנן</w:t>
      </w:r>
      <w:r w:rsidRPr="00C17096">
        <w:rPr>
          <w:rFonts w:hint="cs"/>
          <w:rtl/>
        </w:rPr>
        <w:t xml:space="preserve"> </w:t>
      </w:r>
      <w:r>
        <w:rPr>
          <w:rFonts w:hint="cs"/>
          <w:rtl/>
        </w:rPr>
        <w:t>אינו לוקה</w:t>
      </w:r>
      <w:bookmarkStart w:id="851" w:name="_Hlk134081574"/>
      <w:bookmarkEnd w:id="850"/>
    </w:p>
    <w:p w14:paraId="4351BA04" w14:textId="77777777" w:rsidR="001C69A8" w:rsidRPr="00983CFC" w:rsidRDefault="001C69A8" w:rsidP="00BC7DC8">
      <w:pPr>
        <w:pStyle w:val="a3"/>
        <w:rPr>
          <w:rtl/>
        </w:rPr>
      </w:pPr>
      <w:r>
        <w:rPr>
          <w:rFonts w:hint="cs"/>
          <w:rtl/>
        </w:rPr>
        <w:t xml:space="preserve">והוסיף </w:t>
      </w:r>
      <w:r w:rsidRPr="00A90155">
        <w:rPr>
          <w:rStyle w:val="aff4"/>
          <w:rFonts w:hint="cs"/>
          <w:vanish/>
          <w:rtl/>
        </w:rPr>
        <w:t>-</w:t>
      </w:r>
      <w:r w:rsidRPr="008875E4">
        <w:rPr>
          <w:rStyle w:val="aff4"/>
          <w:rFonts w:hint="cs"/>
          <w:rtl/>
        </w:rPr>
        <w:t>האגלי טל</w:t>
      </w:r>
      <w:r w:rsidRPr="00A90155">
        <w:rPr>
          <w:rStyle w:val="aff4"/>
          <w:rFonts w:hint="cs"/>
          <w:vanish/>
          <w:rtl/>
        </w:rPr>
        <w:t>-</w:t>
      </w:r>
      <w:r>
        <w:rPr>
          <w:rFonts w:hint="cs"/>
          <w:rtl/>
        </w:rPr>
        <w:t xml:space="preserve"> דלדעת </w:t>
      </w:r>
      <w:r w:rsidRPr="00A90155">
        <w:rPr>
          <w:rStyle w:val="aff4"/>
          <w:rFonts w:hint="cs"/>
          <w:vanish/>
          <w:rtl/>
        </w:rPr>
        <w:t>-</w:t>
      </w:r>
      <w:r w:rsidRPr="008875E4">
        <w:rPr>
          <w:rStyle w:val="aff4"/>
          <w:rFonts w:hint="cs"/>
          <w:rtl/>
        </w:rPr>
        <w:t>רוב הפוסקים</w:t>
      </w:r>
      <w:r w:rsidRPr="00A90155">
        <w:rPr>
          <w:rStyle w:val="aff4"/>
          <w:rFonts w:hint="cs"/>
          <w:vanish/>
          <w:rtl/>
        </w:rPr>
        <w:t>-</w:t>
      </w:r>
      <w:r>
        <w:rPr>
          <w:rFonts w:hint="cs"/>
          <w:rtl/>
        </w:rPr>
        <w:t xml:space="preserve"> דקיי"ל דמלאכה שא"צ לגופה פטור, השורה חיטין במים ואינו רוצה שיצמחו, ולפני שצמחו הוציא אותם מהמים, דאין בזה אפי' איסור מדרבנן, ואינו לוקה מכת מרדות, דאעפ"י דמדרבנן אסור לעשות מלאכה שא"צ לגופה, והוא התכוון לעשות איסור דרבנן, מ"מ כיון דלבסוף לא נעשה האיסור דסילקן לפני שצמחו, ממילא אין בזה איסור כלל.</w:t>
      </w:r>
    </w:p>
    <w:p w14:paraId="3159FE66" w14:textId="77777777" w:rsidR="001C69A8" w:rsidRPr="00747170" w:rsidRDefault="001C69A8" w:rsidP="00747170">
      <w:pPr>
        <w:pStyle w:val="a2"/>
      </w:pPr>
      <w:r w:rsidRPr="00747170">
        <w:t xml:space="preserve">ולרוב הפוסקים דמלאכה שא"צ לגופה פטור עליה נראה שאם לא הי' רצונו שיצמחו והוציאן קודם שצמחו אפי' איסור מדרבנן לא עביד ואין מכין אותו מכת מרדות כיון שנתכוין לאיסור דרבנן ולבסוף לא עשה איסור כלל: </w:t>
      </w:r>
    </w:p>
    <w:p w14:paraId="64816BD0" w14:textId="7C3EC648" w:rsidR="001C69A8" w:rsidRDefault="001C69A8" w:rsidP="001C69A8">
      <w:pPr>
        <w:pStyle w:val="1"/>
        <w:rPr>
          <w:rtl/>
        </w:rPr>
      </w:pPr>
      <w:bookmarkStart w:id="852" w:name="_Toc134347709"/>
      <w:bookmarkEnd w:id="851"/>
      <w:r>
        <w:rPr>
          <w:rFonts w:hint="cs"/>
          <w:rtl/>
        </w:rPr>
        <w:t>בי' המנ"ח דשורה חייב רק בזמן ההצמחה ול"ד לזורע בקרקע</w:t>
      </w:r>
      <w:bookmarkEnd w:id="852"/>
      <w:r>
        <w:rPr>
          <w:rFonts w:hint="cs"/>
          <w:rtl/>
        </w:rPr>
        <w:t xml:space="preserve"> </w:t>
      </w:r>
    </w:p>
    <w:p w14:paraId="541205D2" w14:textId="77777777" w:rsidR="001C69A8" w:rsidRPr="00AD36BD" w:rsidRDefault="001C69A8" w:rsidP="001C69A8">
      <w:pPr>
        <w:pStyle w:val="afffff7"/>
        <w:rPr>
          <w:rtl/>
        </w:rPr>
      </w:pPr>
      <w:bookmarkStart w:id="853" w:name="_Toc134550223"/>
      <w:bookmarkStart w:id="854" w:name="_Toc163505515"/>
      <w:r w:rsidRPr="00AD36BD">
        <w:rPr>
          <w:rtl/>
        </w:rPr>
        <w:t xml:space="preserve">מנחת חינוך מוסך השבת </w:t>
      </w:r>
      <w:r w:rsidRPr="00AD36BD">
        <w:rPr>
          <w:rFonts w:hint="cs"/>
          <w:rtl/>
        </w:rPr>
        <w:t>זורע</w:t>
      </w:r>
      <w:r>
        <w:rPr>
          <w:rFonts w:hint="cs"/>
          <w:rtl/>
        </w:rPr>
        <w:t xml:space="preserve"> אות ב' ד"ה עוד כתב</w:t>
      </w:r>
      <w:bookmarkEnd w:id="853"/>
      <w:bookmarkEnd w:id="854"/>
    </w:p>
    <w:p w14:paraId="52761B69" w14:textId="77777777" w:rsidR="001C69A8" w:rsidRPr="008C3AF1" w:rsidRDefault="001C69A8" w:rsidP="001C69A8">
      <w:pPr>
        <w:pStyle w:val="a7"/>
      </w:pPr>
      <w:bookmarkStart w:id="855" w:name="_Toc134347710"/>
      <w:r>
        <w:rPr>
          <w:rFonts w:hint="cs"/>
          <w:rtl/>
        </w:rPr>
        <w:t>בי' המנ"ח דשריה במים אינה זריעה עצמה דל"ד לזורע אלא הוי הצמחה דהיא תולדת זורע</w:t>
      </w:r>
      <w:bookmarkEnd w:id="855"/>
    </w:p>
    <w:p w14:paraId="180667FC" w14:textId="3EAB3EAF" w:rsidR="001C69A8" w:rsidRDefault="001C69A8" w:rsidP="00BC7DC8">
      <w:pPr>
        <w:pStyle w:val="a3"/>
        <w:rPr>
          <w:rtl/>
        </w:rPr>
      </w:pPr>
      <w:bookmarkStart w:id="856" w:name="_Ref134084332"/>
      <w:r>
        <w:rPr>
          <w:rFonts w:hint="cs"/>
          <w:rtl/>
        </w:rPr>
        <w:t xml:space="preserve">במ"ש </w:t>
      </w:r>
      <w:r w:rsidRPr="00C444C9">
        <w:rPr>
          <w:rStyle w:val="aff4"/>
          <w:rFonts w:hint="cs"/>
          <w:vanish/>
          <w:rtl/>
        </w:rPr>
        <w:t>-</w:t>
      </w:r>
      <w:r w:rsidRPr="004F32D2">
        <w:rPr>
          <w:rStyle w:val="aff4"/>
          <w:rFonts w:hint="cs"/>
          <w:rtl/>
        </w:rPr>
        <w:t>ה</w:t>
      </w:r>
      <w:r>
        <w:rPr>
          <w:rStyle w:val="aff4"/>
          <w:rFonts w:hint="cs"/>
          <w:rtl/>
        </w:rPr>
        <w:t>רמב"ם</w:t>
      </w:r>
      <w:r w:rsidRPr="00C444C9">
        <w:rPr>
          <w:rStyle w:val="aff4"/>
          <w:rFonts w:hint="cs"/>
          <w:vanish/>
          <w:rtl/>
        </w:rPr>
        <w:t>-</w:t>
      </w:r>
      <w:r>
        <w:rPr>
          <w:rFonts w:hint="cs"/>
          <w:rtl/>
        </w:rPr>
        <w:t xml:space="preserve"> </w:t>
      </w:r>
      <w:r w:rsidRPr="00277835">
        <w:rPr>
          <w:rStyle w:val="af2"/>
          <w:rFonts w:eastAsia="Guttman Hodes" w:hint="cs"/>
          <w:rtl/>
        </w:rPr>
        <w:t>(שבת פ"ח ה"ב, הובא בסימן א' אות ע"ט)</w:t>
      </w:r>
      <w:r>
        <w:rPr>
          <w:rStyle w:val="af2"/>
          <w:rFonts w:eastAsia="Guttman Hodes" w:hint="cs"/>
          <w:rtl/>
        </w:rPr>
        <w:t xml:space="preserve"> </w:t>
      </w:r>
      <w:r>
        <w:rPr>
          <w:rFonts w:hint="cs"/>
          <w:rtl/>
        </w:rPr>
        <w:t>דהשורה חיטין במים הוא תולדת זורע, ביאר</w:t>
      </w:r>
      <w:r w:rsidRPr="00AD36BD">
        <w:rPr>
          <w:rFonts w:hint="cs"/>
          <w:rtl/>
        </w:rPr>
        <w:t xml:space="preserve"> </w:t>
      </w:r>
      <w:r w:rsidRPr="00C444C9">
        <w:rPr>
          <w:rStyle w:val="aff4"/>
          <w:rFonts w:hint="cs"/>
          <w:vanish/>
          <w:rtl/>
        </w:rPr>
        <w:t>-</w:t>
      </w:r>
      <w:r w:rsidRPr="004F32D2">
        <w:rPr>
          <w:rStyle w:val="aff4"/>
          <w:rFonts w:hint="cs"/>
          <w:rtl/>
        </w:rPr>
        <w:t>ה</w:t>
      </w:r>
      <w:r w:rsidRPr="00C444C9">
        <w:rPr>
          <w:rStyle w:val="aff4"/>
          <w:rFonts w:hint="cs"/>
          <w:vanish/>
          <w:rtl/>
        </w:rPr>
        <w:t xml:space="preserve">&lt;. </w:t>
      </w:r>
      <w:r>
        <w:rPr>
          <w:rStyle w:val="aff4"/>
          <w:vanish/>
          <w:rtl/>
        </w:rPr>
        <w:fldChar w:fldCharType="begin"/>
      </w:r>
      <w:r>
        <w:rPr>
          <w:rStyle w:val="aff4"/>
          <w:vanish/>
          <w:rtl/>
        </w:rPr>
        <w:instrText xml:space="preserve"> </w:instrText>
      </w:r>
      <w:r>
        <w:rPr>
          <w:rStyle w:val="aff4"/>
          <w:vanish/>
        </w:rPr>
        <w:instrText>REF</w:instrText>
      </w:r>
      <w:r>
        <w:rPr>
          <w:rStyle w:val="aff4"/>
          <w:vanish/>
          <w:rtl/>
        </w:rPr>
        <w:instrText xml:space="preserve"> _</w:instrText>
      </w:r>
      <w:r>
        <w:rPr>
          <w:rStyle w:val="aff4"/>
          <w:vanish/>
        </w:rPr>
        <w:instrText>Ref134084332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עז)</w:t>
      </w:r>
      <w:r>
        <w:rPr>
          <w:rStyle w:val="aff4"/>
          <w:vanish/>
          <w:rtl/>
        </w:rPr>
        <w:fldChar w:fldCharType="end"/>
      </w:r>
      <w:r>
        <w:rPr>
          <w:rStyle w:val="aff4"/>
          <w:rFonts w:hint="cs"/>
          <w:vanish/>
          <w:rtl/>
        </w:rPr>
        <w:t xml:space="preserve"> </w:t>
      </w:r>
      <w:r w:rsidRPr="00C444C9">
        <w:rPr>
          <w:rStyle w:val="aff4"/>
          <w:rFonts w:hint="cs"/>
          <w:vanish/>
          <w:rtl/>
        </w:rPr>
        <w:t>&gt;</w:t>
      </w:r>
      <w:r w:rsidRPr="004F32D2">
        <w:rPr>
          <w:rStyle w:val="aff4"/>
          <w:rFonts w:hint="cs"/>
          <w:rtl/>
        </w:rPr>
        <w:t>מנחת חינוך</w:t>
      </w:r>
      <w:r w:rsidRPr="00C444C9">
        <w:rPr>
          <w:rStyle w:val="aff4"/>
          <w:rFonts w:hint="cs"/>
          <w:vanish/>
          <w:rtl/>
        </w:rPr>
        <w:t>-</w:t>
      </w:r>
      <w:r w:rsidRPr="00AD36BD">
        <w:rPr>
          <w:rFonts w:hint="cs"/>
          <w:rtl/>
        </w:rPr>
        <w:t xml:space="preserve"> </w:t>
      </w:r>
      <w:r w:rsidRPr="00277835">
        <w:rPr>
          <w:rStyle w:val="af2"/>
          <w:rFonts w:eastAsia="Guttman Hodes" w:hint="cs"/>
          <w:rtl/>
        </w:rPr>
        <w:t>(מוסך השבת זורע אות ב' ד"ה עוד כתב)</w:t>
      </w:r>
      <w:r w:rsidRPr="00350A80">
        <w:rPr>
          <w:rFonts w:hint="cs"/>
          <w:vanish/>
          <w:rtl/>
        </w:rPr>
        <w:t>=</w:t>
      </w:r>
      <w:r>
        <w:rPr>
          <w:rFonts w:hint="cs"/>
          <w:rtl/>
        </w:rPr>
        <w:t xml:space="preserve"> דכיון דהחיוב בזורע הוא מיד בשעת הזריעה, אף שהזרע עדיין לא נקלט ולא צמח כלל, ואף הקליטה עצמה חשיבא זריעה, </w:t>
      </w:r>
      <w:r>
        <w:rPr>
          <w:rStyle w:val="af"/>
          <w:rFonts w:hint="cs"/>
          <w:rtl/>
        </w:rPr>
        <w:t>[</w:t>
      </w:r>
      <w:r w:rsidRPr="00277835">
        <w:rPr>
          <w:rStyle w:val="af"/>
          <w:rFonts w:hint="cs"/>
          <w:rtl/>
        </w:rPr>
        <w:t xml:space="preserve">כדביאר </w:t>
      </w:r>
      <w:r w:rsidRPr="001E13AC">
        <w:rPr>
          <w:rStyle w:val="aff9"/>
          <w:rFonts w:hint="cs"/>
          <w:vanish/>
          <w:rtl/>
        </w:rPr>
        <w:t>-</w:t>
      </w:r>
      <w:r w:rsidRPr="00277835">
        <w:rPr>
          <w:rStyle w:val="aff9"/>
          <w:rFonts w:hint="cs"/>
          <w:rtl/>
        </w:rPr>
        <w:t>המנחת חינוך</w:t>
      </w:r>
      <w:r w:rsidRPr="001E13AC">
        <w:rPr>
          <w:rStyle w:val="aff9"/>
          <w:rFonts w:hint="cs"/>
          <w:vanish/>
          <w:rtl/>
        </w:rPr>
        <w:t>-</w:t>
      </w:r>
      <w:r w:rsidRPr="00277835">
        <w:rPr>
          <w:rStyle w:val="af"/>
          <w:rFonts w:hint="cs"/>
          <w:rtl/>
        </w:rPr>
        <w:t xml:space="preserve"> </w:t>
      </w:r>
      <w:r w:rsidRPr="00277835">
        <w:rPr>
          <w:rStyle w:val="aff0"/>
          <w:rFonts w:hint="cs"/>
          <w:rtl/>
        </w:rPr>
        <w:t xml:space="preserve">(עי' אות </w:t>
      </w:r>
      <w:r w:rsidRPr="00277835">
        <w:rPr>
          <w:rStyle w:val="aff0"/>
          <w:rtl/>
        </w:rPr>
        <w:fldChar w:fldCharType="begin"/>
      </w:r>
      <w:r w:rsidRPr="00277835">
        <w:rPr>
          <w:rStyle w:val="aff0"/>
          <w:rtl/>
        </w:rPr>
        <w:instrText xml:space="preserve"> </w:instrText>
      </w:r>
      <w:r w:rsidRPr="00277835">
        <w:rPr>
          <w:rStyle w:val="aff0"/>
          <w:rFonts w:hint="cs"/>
        </w:rPr>
        <w:instrText>REF</w:instrText>
      </w:r>
      <w:r w:rsidRPr="00277835">
        <w:rPr>
          <w:rStyle w:val="aff0"/>
          <w:rFonts w:hint="cs"/>
          <w:rtl/>
        </w:rPr>
        <w:instrText xml:space="preserve"> _</w:instrText>
      </w:r>
      <w:r w:rsidRPr="00277835">
        <w:rPr>
          <w:rStyle w:val="aff0"/>
          <w:rFonts w:hint="cs"/>
        </w:rPr>
        <w:instrText>Ref134181816 \r \h</w:instrText>
      </w:r>
      <w:r w:rsidRPr="00277835">
        <w:rPr>
          <w:rStyle w:val="aff0"/>
          <w:rtl/>
        </w:rPr>
        <w:instrText xml:space="preserve"> </w:instrText>
      </w:r>
      <w:r w:rsidRPr="00277835">
        <w:rPr>
          <w:rStyle w:val="aff0"/>
          <w:rtl/>
        </w:rPr>
      </w:r>
      <w:r w:rsidRPr="00277835">
        <w:rPr>
          <w:rStyle w:val="aff0"/>
          <w:rtl/>
        </w:rPr>
        <w:fldChar w:fldCharType="separate"/>
      </w:r>
      <w:r w:rsidR="00D82181">
        <w:rPr>
          <w:rStyle w:val="aff0"/>
          <w:cs/>
        </w:rPr>
        <w:t>‎</w:t>
      </w:r>
      <w:r w:rsidR="00D82181">
        <w:rPr>
          <w:rStyle w:val="aff0"/>
          <w:rtl/>
        </w:rPr>
        <w:t>עט)</w:t>
      </w:r>
      <w:r w:rsidRPr="00277835">
        <w:rPr>
          <w:rStyle w:val="aff0"/>
          <w:rtl/>
        </w:rPr>
        <w:fldChar w:fldCharType="end"/>
      </w:r>
      <w:r w:rsidRPr="00277835">
        <w:rPr>
          <w:rStyle w:val="af"/>
          <w:rFonts w:hint="cs"/>
          <w:rtl/>
        </w:rPr>
        <w:t>]</w:t>
      </w:r>
      <w:r>
        <w:rPr>
          <w:rFonts w:hint="cs"/>
          <w:rtl/>
        </w:rPr>
        <w:t xml:space="preserve">, ה"ה דההצמחה עצמה חשיבא כזריעה, וכתב </w:t>
      </w:r>
      <w:r w:rsidRPr="00C444C9">
        <w:rPr>
          <w:rStyle w:val="aff4"/>
          <w:rFonts w:hint="cs"/>
          <w:vanish/>
          <w:rtl/>
        </w:rPr>
        <w:t>-</w:t>
      </w:r>
      <w:r w:rsidRPr="004F32D2">
        <w:rPr>
          <w:rStyle w:val="aff4"/>
          <w:rFonts w:hint="cs"/>
          <w:rtl/>
        </w:rPr>
        <w:t>המנחת חינוך</w:t>
      </w:r>
      <w:r w:rsidRPr="00C444C9">
        <w:rPr>
          <w:rStyle w:val="aff4"/>
          <w:rFonts w:hint="cs"/>
          <w:vanish/>
          <w:rtl/>
        </w:rPr>
        <w:t>-</w:t>
      </w:r>
      <w:r>
        <w:rPr>
          <w:rFonts w:hint="cs"/>
          <w:rtl/>
        </w:rPr>
        <w:t xml:space="preserve"> דשורה חיטין במים אינו אב דזורע כיון דשרייה במים לא דמי כלל לזריעה בקרקע, אלא דחייב על ההצמחה עצמה דהיא כעין האב דזורע, דבאב יש צמיחה מהקרקע, ובשורה חיטין במים יש הצמחה במים.</w:t>
      </w:r>
      <w:bookmarkEnd w:id="856"/>
    </w:p>
    <w:p w14:paraId="48CFE40C" w14:textId="77777777" w:rsidR="001C69A8" w:rsidRPr="00747170" w:rsidRDefault="001C69A8" w:rsidP="00747170">
      <w:pPr>
        <w:pStyle w:val="a2"/>
      </w:pPr>
      <w:r w:rsidRPr="00747170">
        <w:t>עוד כתב הר"מ דהשורה חטים ושעורין וכיוצא בהם במים ה"ז תולדת זורע והה"מ הרשים ע"ז זבחים צ"ד ומג"א של"ו תמה ע"ז דאדרבא שם מוכח להיפך דאמרינן התם ר"א זרק פשתן למים חייב ואמרינן מ"ט אילימא משום דמקדיח )פי' שצומח( אפי' חיטי ושערי נמי אלא משום לש וכ"ה בר"מ ספ"ז הנותן זרע פשתן וכו' חייב משום לש א"כ משמע דא"ח משום זורע ומחלק המג"א בין זמן קצר לזמן ארוך ובפשתן חייב תיכף משום לש ואין מובן החילוק כ"כ. ולענ"ד לפמש"ל ובה</w:t>
      </w:r>
      <w:r w:rsidRPr="00747170">
        <w:rPr>
          <w:rFonts w:hint="cs"/>
        </w:rPr>
        <w:t xml:space="preserve">לכות </w:t>
      </w:r>
      <w:r w:rsidRPr="00747170">
        <w:t>יו"ט דהזריעה בקרקע הוי מלאכה אף שלא נקלט ולא צמח כלל וגם הקליטה הו"ל זורע כמ"ש בשביעית דפחות מל' יום קודם שביעית אסור לנטוע דנקלט בשביעית והו"ל זריעה ובשבת לא משכחת לה זריעה וקליטה ביום א' כי עכ"פ צריך ג' ימים ובזורע תוך ג"י לשבת אף שנקלט בשבת א"ח כי קודם שבת מותר לעשות מלאכה אף שנעשה בשבת כידוע אך באופן דמשכחת לה ע</w:t>
      </w:r>
      <w:r w:rsidRPr="00747170">
        <w:rPr>
          <w:rFonts w:hint="cs"/>
        </w:rPr>
        <w:t>יין להלן</w:t>
      </w:r>
      <w:r w:rsidRPr="00747170">
        <w:t xml:space="preserve"> ה</w:t>
      </w:r>
      <w:r w:rsidRPr="00747170">
        <w:rPr>
          <w:rFonts w:hint="cs"/>
        </w:rPr>
        <w:t xml:space="preserve">לכות </w:t>
      </w:r>
      <w:r w:rsidRPr="00747170">
        <w:t>יו"ט דיש מינים שנקלטים בו ביום. והנה נהי דאם הי' בהעלם א' א"ח אלא א' דעושה כמה מלאכו' משם א' א"ח אלא א' אבל אם הי' ידיעה בינתיים דידיעות מחלקות חייב ב' חטאות דהו"ל כמו זורע ונודע וחזר וזרע כי הקליטה ה"ל ג"כ זריעה וה"ה הצמיחה ודאי הו"ל זריעה.</w:t>
      </w:r>
      <w:r w:rsidRPr="00747170">
        <w:rPr>
          <w:rFonts w:hint="cs"/>
        </w:rPr>
        <w:t xml:space="preserve"> </w:t>
      </w:r>
      <w:r w:rsidRPr="00747170">
        <w:t>וער"מ פ"ז כ' דהתולדה דומה לאב היינו אף שא"ד לגמרי כמ"ש לפ"ז עכ"פ צריך דמיון גדול לאב והנה הזריעה דאסרה תורה שהי' אב ובמשכן היו זורעים כדרך כל העולם על הארץ אין שייך לומר הזורע במים הו"ל תולדה כי אין דמיון כלל לקרוא זורע דל"ש זריעה כלל במים א"כ על הזריעה בעצמה במים א"ח כלל ואם זרע במים ולא צמח או שלקחה תיכף מן המים ודאי פטור דל"ש תולדת זורע כלל כי מה ענין מים לאדמה וא"ד האב לתולדה כלל אבל השורה במים עד שצמח חייב על הצמיחה דהצמיחה שפיר הו"ל תולדת צמיחה בדבר הגדל מן הארץ דשם צומח וכאן נמי צומח הוי"ל דמיון</w:t>
      </w:r>
      <w:r w:rsidRPr="00747170">
        <w:rPr>
          <w:rFonts w:hint="cs"/>
        </w:rPr>
        <w:t>.</w:t>
      </w:r>
    </w:p>
    <w:p w14:paraId="6A6C6E5C" w14:textId="1B7B42ED" w:rsidR="001C69A8" w:rsidRDefault="001C69A8" w:rsidP="001C69A8">
      <w:pPr>
        <w:pStyle w:val="a7"/>
        <w:rPr>
          <w:rtl/>
        </w:rPr>
      </w:pPr>
      <w:bookmarkStart w:id="857" w:name="_Toc134347711"/>
      <w:r>
        <w:rPr>
          <w:rFonts w:hint="cs"/>
          <w:rtl/>
        </w:rPr>
        <w:t>בי' המנ"ח דשורה חייב רק משום הצמחה ולכן חיובו בהצמחה עצמה כאופה ולא כזורע בקרקע</w:t>
      </w:r>
      <w:bookmarkEnd w:id="857"/>
    </w:p>
    <w:p w14:paraId="5CD29CA2" w14:textId="04AD76C5" w:rsidR="001C69A8" w:rsidRDefault="001C69A8" w:rsidP="00BC7DC8">
      <w:pPr>
        <w:pStyle w:val="a3"/>
      </w:pPr>
      <w:bookmarkStart w:id="858" w:name="_Ref134307704"/>
      <w:r>
        <w:rPr>
          <w:rFonts w:hint="cs"/>
          <w:rtl/>
        </w:rPr>
        <w:t xml:space="preserve">וכתב </w:t>
      </w:r>
      <w:r w:rsidRPr="00C444C9">
        <w:rPr>
          <w:rStyle w:val="aff4"/>
          <w:rFonts w:hint="cs"/>
          <w:vanish/>
          <w:rtl/>
        </w:rPr>
        <w:t>-</w:t>
      </w:r>
      <w:r w:rsidRPr="004F32D2">
        <w:rPr>
          <w:rStyle w:val="aff4"/>
          <w:rFonts w:hint="cs"/>
          <w:rtl/>
        </w:rPr>
        <w:t>המנחת חינוך</w:t>
      </w:r>
      <w:r w:rsidRPr="00C444C9">
        <w:rPr>
          <w:rStyle w:val="aff4"/>
          <w:rFonts w:hint="cs"/>
          <w:vanish/>
          <w:rtl/>
        </w:rPr>
        <w:t>-</w:t>
      </w:r>
      <w:r>
        <w:rPr>
          <w:rFonts w:hint="cs"/>
          <w:rtl/>
        </w:rPr>
        <w:t xml:space="preserve"> דכיון דהחיוב בשורה במים הוא רק מחמת דהצמיחה דומה לאב דזורע, א"כ החיוב הוא רק לאחר שצמח, אבל על הזריעה עצמה במים אין כל חיוב, ודמי לאופה דההנחה בתנור אינה מחייבת עד האפיה,</w:t>
      </w:r>
      <w:r w:rsidRPr="007D2FD0">
        <w:rPr>
          <w:rFonts w:hint="cs"/>
          <w:rtl/>
        </w:rPr>
        <w:t xml:space="preserve"> </w:t>
      </w:r>
      <w:r>
        <w:rPr>
          <w:rFonts w:hint="cs"/>
          <w:rtl/>
        </w:rPr>
        <w:t xml:space="preserve">ואעפ"י דבזורע עצמו חייב מיד, </w:t>
      </w:r>
      <w:r>
        <w:rPr>
          <w:rStyle w:val="af"/>
          <w:rFonts w:hint="cs"/>
          <w:rtl/>
        </w:rPr>
        <w:t>[</w:t>
      </w:r>
      <w:r w:rsidRPr="00277835">
        <w:rPr>
          <w:rStyle w:val="af"/>
          <w:rFonts w:hint="cs"/>
          <w:rtl/>
        </w:rPr>
        <w:t xml:space="preserve">כדעת </w:t>
      </w:r>
      <w:r w:rsidRPr="001E13AC">
        <w:rPr>
          <w:rStyle w:val="aff9"/>
          <w:rFonts w:hint="cs"/>
          <w:vanish/>
          <w:rtl/>
        </w:rPr>
        <w:t>-</w:t>
      </w:r>
      <w:r w:rsidRPr="00277835">
        <w:rPr>
          <w:rStyle w:val="aff9"/>
          <w:rFonts w:hint="cs"/>
          <w:rtl/>
        </w:rPr>
        <w:t>המנחת חינוך</w:t>
      </w:r>
      <w:r w:rsidRPr="001E13AC">
        <w:rPr>
          <w:rStyle w:val="aff9"/>
          <w:rFonts w:hint="cs"/>
          <w:vanish/>
          <w:rtl/>
        </w:rPr>
        <w:t>-</w:t>
      </w:r>
      <w:r w:rsidRPr="00277835">
        <w:rPr>
          <w:rStyle w:val="af"/>
          <w:rFonts w:hint="cs"/>
          <w:rtl/>
        </w:rPr>
        <w:t xml:space="preserve"> </w:t>
      </w:r>
      <w:r w:rsidRPr="00277835">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Ref134094454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י)</w:t>
      </w:r>
      <w:r>
        <w:rPr>
          <w:rStyle w:val="aff0"/>
          <w:rtl/>
        </w:rPr>
        <w:fldChar w:fldCharType="end"/>
      </w:r>
      <w:r w:rsidRPr="00277835">
        <w:rPr>
          <w:rStyle w:val="af"/>
          <w:rFonts w:hint="cs"/>
          <w:rtl/>
        </w:rPr>
        <w:t xml:space="preserve"> דחילק בין זורע לאופה]</w:t>
      </w:r>
      <w:r>
        <w:rPr>
          <w:rFonts w:hint="cs"/>
          <w:rtl/>
        </w:rPr>
        <w:t xml:space="preserve">, מ"מ בשרייה במים דהחיוב הוא מחמת ההצמחה, חייב  רק לאחר שהצמיחו כאופה ולא כזורע בקרקע. </w:t>
      </w:r>
      <w:r>
        <w:rPr>
          <w:rStyle w:val="af"/>
          <w:rFonts w:hint="cs"/>
          <w:rtl/>
        </w:rPr>
        <w:t>[</w:t>
      </w:r>
      <w:r w:rsidRPr="00277835">
        <w:rPr>
          <w:rStyle w:val="af"/>
          <w:rFonts w:hint="cs"/>
          <w:rtl/>
        </w:rPr>
        <w:t xml:space="preserve">ומשמע מדברי </w:t>
      </w:r>
      <w:r w:rsidRPr="001E13AC">
        <w:rPr>
          <w:rStyle w:val="aff9"/>
          <w:rFonts w:hint="cs"/>
          <w:vanish/>
          <w:rtl/>
        </w:rPr>
        <w:t>-</w:t>
      </w:r>
      <w:r w:rsidRPr="00277835">
        <w:rPr>
          <w:rStyle w:val="aff9"/>
          <w:rFonts w:hint="cs"/>
          <w:rtl/>
        </w:rPr>
        <w:t>המנחת חינוך</w:t>
      </w:r>
      <w:r w:rsidRPr="001E13AC">
        <w:rPr>
          <w:rStyle w:val="aff9"/>
          <w:rFonts w:hint="cs"/>
          <w:vanish/>
          <w:rtl/>
        </w:rPr>
        <w:t>-</w:t>
      </w:r>
      <w:r w:rsidRPr="00277835">
        <w:rPr>
          <w:rStyle w:val="af"/>
          <w:rFonts w:hint="cs"/>
          <w:rtl/>
        </w:rPr>
        <w:t xml:space="preserve"> דאם סילק את הזרעים לפני שהתחילו לצמוח במים פטור, ואעפ"י דלענין זורע בקרקע דעת </w:t>
      </w:r>
      <w:r w:rsidRPr="001E13AC">
        <w:rPr>
          <w:rStyle w:val="aff9"/>
          <w:rFonts w:hint="cs"/>
          <w:vanish/>
          <w:rtl/>
        </w:rPr>
        <w:t>-</w:t>
      </w:r>
      <w:r w:rsidRPr="00277835">
        <w:rPr>
          <w:rStyle w:val="aff9"/>
          <w:rFonts w:hint="cs"/>
          <w:rtl/>
        </w:rPr>
        <w:t>המנחת חינוך</w:t>
      </w:r>
      <w:r w:rsidRPr="001E13AC">
        <w:rPr>
          <w:rStyle w:val="aff9"/>
          <w:rFonts w:hint="cs"/>
          <w:vanish/>
          <w:rtl/>
        </w:rPr>
        <w:t>-</w:t>
      </w:r>
      <w:r w:rsidRPr="00277835">
        <w:rPr>
          <w:rStyle w:val="af"/>
          <w:rFonts w:hint="cs"/>
          <w:rtl/>
        </w:rPr>
        <w:t xml:space="preserve"> </w:t>
      </w:r>
      <w:r w:rsidRPr="00277835">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Ref134094454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י)</w:t>
      </w:r>
      <w:r>
        <w:rPr>
          <w:rStyle w:val="aff0"/>
          <w:rtl/>
        </w:rPr>
        <w:fldChar w:fldCharType="end"/>
      </w:r>
      <w:r w:rsidRPr="00277835">
        <w:rPr>
          <w:rStyle w:val="af"/>
          <w:rFonts w:hint="cs"/>
          <w:rtl/>
        </w:rPr>
        <w:t xml:space="preserve"> דחייב מיד בשעת הנתינה ואף אם סילק את הזרע חייב, מ"מ בתולדה דהצמחה בשורה חיטין במים, החיוב אינו על הזריעה, אלא על מעשה ההצמחה, ולכן כל שלא צמח פטור]</w:t>
      </w:r>
      <w:r>
        <w:rPr>
          <w:rFonts w:hint="cs"/>
          <w:rtl/>
        </w:rPr>
        <w:t>.</w:t>
      </w:r>
      <w:bookmarkEnd w:id="858"/>
    </w:p>
    <w:p w14:paraId="16CFCB32" w14:textId="77777777" w:rsidR="001C69A8" w:rsidRPr="00747170" w:rsidRDefault="001C69A8" w:rsidP="00747170">
      <w:pPr>
        <w:pStyle w:val="a2"/>
      </w:pPr>
      <w:r w:rsidRPr="00747170">
        <w:t>א"כ בשורה במים א"ח עד שצמח ובלא צמח על הזריעה עצמה במים א"ח דשם זריעה במים לזריעה על הארץ אין לו דמיון כלל א"כ במים א"ח עד שצמח והו"ל כמו אפיה. והנה בשורה עד שצומח הדבר פשוט דחייב דה"ל תולדה</w:t>
      </w:r>
      <w:r w:rsidRPr="00747170">
        <w:rPr>
          <w:rFonts w:hint="cs"/>
        </w:rPr>
        <w:t>.</w:t>
      </w:r>
    </w:p>
    <w:p w14:paraId="3CB2F68F" w14:textId="44998902" w:rsidR="001C69A8" w:rsidRPr="000900EA" w:rsidRDefault="001C69A8" w:rsidP="001C69A8">
      <w:pPr>
        <w:pStyle w:val="1"/>
        <w:rPr>
          <w:rtl/>
        </w:rPr>
      </w:pPr>
      <w:bookmarkStart w:id="859" w:name="_Toc134347712"/>
      <w:r>
        <w:rPr>
          <w:rFonts w:hint="cs"/>
          <w:rtl/>
        </w:rPr>
        <w:t>בי' המנ"ח דזרע בשבת ונקלט בשבת הקליטה הוי מלאכה</w:t>
      </w:r>
      <w:bookmarkEnd w:id="859"/>
    </w:p>
    <w:p w14:paraId="38A9AB09" w14:textId="77777777" w:rsidR="001C69A8" w:rsidRPr="002A40DA" w:rsidRDefault="001C69A8" w:rsidP="001C69A8">
      <w:pPr>
        <w:pStyle w:val="afffff7"/>
        <w:rPr>
          <w:rtl/>
        </w:rPr>
      </w:pPr>
      <w:bookmarkStart w:id="860" w:name="_Toc134550224"/>
      <w:bookmarkStart w:id="861" w:name="_Toc163505516"/>
      <w:r w:rsidRPr="002A40DA">
        <w:rPr>
          <w:rtl/>
        </w:rPr>
        <w:t xml:space="preserve">מנחת חינוך מוסך השבת </w:t>
      </w:r>
      <w:r w:rsidRPr="002A40DA">
        <w:rPr>
          <w:rFonts w:hint="cs"/>
          <w:rtl/>
        </w:rPr>
        <w:t>זורע ד"ה והנה</w:t>
      </w:r>
      <w:bookmarkEnd w:id="860"/>
      <w:bookmarkEnd w:id="861"/>
    </w:p>
    <w:p w14:paraId="60133F00" w14:textId="77777777" w:rsidR="001C69A8" w:rsidRDefault="001C69A8" w:rsidP="001C69A8">
      <w:pPr>
        <w:pStyle w:val="a7"/>
        <w:rPr>
          <w:rtl/>
        </w:rPr>
      </w:pPr>
      <w:bookmarkStart w:id="862" w:name="_Toc134347713"/>
      <w:r>
        <w:rPr>
          <w:rFonts w:hint="cs"/>
          <w:rtl/>
        </w:rPr>
        <w:t>בי' המנ"ח דזורע בשבת ונקלט בו ביום אף הקליטה מלאכה ואי ידע בינתיים חייב ב' חטאות</w:t>
      </w:r>
      <w:bookmarkEnd w:id="862"/>
    </w:p>
    <w:p w14:paraId="5D64CED2" w14:textId="78CF3170" w:rsidR="001C69A8" w:rsidRDefault="001C69A8" w:rsidP="00BC7DC8">
      <w:pPr>
        <w:pStyle w:val="a3"/>
        <w:rPr>
          <w:rtl/>
        </w:rPr>
      </w:pPr>
      <w:bookmarkStart w:id="863" w:name="_Ref134181816"/>
      <w:r>
        <w:rPr>
          <w:rFonts w:hint="cs"/>
          <w:rtl/>
        </w:rPr>
        <w:t xml:space="preserve">כתב </w:t>
      </w:r>
      <w:r w:rsidRPr="00E87CC9">
        <w:rPr>
          <w:rStyle w:val="aff4"/>
          <w:rFonts w:hint="cs"/>
          <w:vanish/>
          <w:rtl/>
        </w:rPr>
        <w:t>-</w:t>
      </w:r>
      <w:r w:rsidRPr="003B4E24">
        <w:rPr>
          <w:rStyle w:val="aff4"/>
          <w:rFonts w:hint="cs"/>
          <w:rtl/>
        </w:rPr>
        <w:t>ה</w:t>
      </w:r>
      <w:r w:rsidRPr="00350A80">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Ref134181816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עט)</w:t>
      </w:r>
      <w:r>
        <w:rPr>
          <w:rStyle w:val="aff4"/>
          <w:vanish/>
          <w:rtl/>
        </w:rPr>
        <w:fldChar w:fldCharType="end"/>
      </w:r>
      <w:r>
        <w:rPr>
          <w:rStyle w:val="aff4"/>
          <w:rFonts w:hint="cs"/>
          <w:vanish/>
          <w:rtl/>
        </w:rPr>
        <w:t xml:space="preserve"> </w:t>
      </w:r>
      <w:r w:rsidRPr="00350A80">
        <w:rPr>
          <w:rStyle w:val="aff4"/>
          <w:rFonts w:hint="cs"/>
          <w:vanish/>
          <w:rtl/>
        </w:rPr>
        <w:t>&gt;</w:t>
      </w:r>
      <w:r w:rsidRPr="003B4E24">
        <w:rPr>
          <w:rStyle w:val="aff4"/>
          <w:rFonts w:hint="cs"/>
          <w:rtl/>
        </w:rPr>
        <w:t>מנחת חינוך</w:t>
      </w:r>
      <w:r w:rsidRPr="00E87CC9">
        <w:rPr>
          <w:rStyle w:val="aff4"/>
          <w:rFonts w:hint="cs"/>
          <w:vanish/>
          <w:rtl/>
        </w:rPr>
        <w:t>-</w:t>
      </w:r>
      <w:r>
        <w:rPr>
          <w:rFonts w:hint="cs"/>
          <w:rtl/>
        </w:rPr>
        <w:t xml:space="preserve"> </w:t>
      </w:r>
      <w:r w:rsidRPr="00277835">
        <w:rPr>
          <w:rStyle w:val="af2"/>
          <w:rFonts w:eastAsia="Guttman Hodes" w:hint="cs"/>
          <w:rtl/>
        </w:rPr>
        <w:t>(מוסך השבת זורע ד"ה והנה)</w:t>
      </w:r>
      <w:r w:rsidRPr="00350A80">
        <w:rPr>
          <w:rFonts w:hint="cs"/>
          <w:vanish/>
          <w:rtl/>
        </w:rPr>
        <w:t>=</w:t>
      </w:r>
      <w:r>
        <w:rPr>
          <w:rFonts w:hint="cs"/>
          <w:rtl/>
        </w:rPr>
        <w:t xml:space="preserve"> דהזורע בשבת ונקלט בשבת, אפשר לחייבו על הקליטה בפנ"ע, ואם זרע בער"ש ונקלט בשבת אין חיוב דהא מותר לזרוע בער"ש, ורק בזרע ונקלט בו ביום שייך חיוב אף על הקליטה, וביאר </w:t>
      </w:r>
      <w:r w:rsidRPr="00B32D57">
        <w:rPr>
          <w:rStyle w:val="aff4"/>
          <w:rFonts w:hint="cs"/>
          <w:vanish/>
          <w:rtl/>
        </w:rPr>
        <w:t>-</w:t>
      </w:r>
      <w:r w:rsidRPr="00373C7B">
        <w:rPr>
          <w:rStyle w:val="aff4"/>
          <w:rFonts w:hint="cs"/>
          <w:rtl/>
        </w:rPr>
        <w:t>המנחת חינוך</w:t>
      </w:r>
      <w:r w:rsidRPr="00B32D57">
        <w:rPr>
          <w:rStyle w:val="aff4"/>
          <w:rFonts w:hint="cs"/>
          <w:vanish/>
          <w:rtl/>
        </w:rPr>
        <w:t>-</w:t>
      </w:r>
      <w:r>
        <w:rPr>
          <w:rFonts w:hint="cs"/>
          <w:rtl/>
        </w:rPr>
        <w:t xml:space="preserve"> דהוא נ"מ לאופן שהייתה לו ידיעה בין הזריעה לקליטה, דחייב ב' חטאות כיון דידיעות מחלקות.</w:t>
      </w:r>
      <w:bookmarkEnd w:id="863"/>
    </w:p>
    <w:p w14:paraId="7F5F36BC" w14:textId="77777777" w:rsidR="001C69A8" w:rsidRPr="00747170" w:rsidRDefault="001C69A8" w:rsidP="00747170">
      <w:pPr>
        <w:pStyle w:val="a2"/>
      </w:pPr>
      <w:r w:rsidRPr="00747170">
        <w:t xml:space="preserve">וגם כ' שם דעל הקליטה חייב בפ"ע אם זרע בשבת ונקלט בו ביום כי קודם השבת מותר לזרוע אף שנקלט בשבת ע' שבת פ"א והדברים ידועים א"צ לפרש רק בזרע בשבת ונקלט בו ביום ומשכחת לה ע"ש חייב על הקליטה ג"כ ואם היה ידיעה בין הזריעה לקליטה ידיעות מחלקות וחייב שני חטאות וא"צ לכפול הדברים וע' תוס' שבת נו"ן ע"ב ד"ה מקצת כ' על הקושיא דזריע' מעלי וכ' דמיירי בלא השריש וכ' היינו דל"ה תולש אבל משום זורע חייב בלא השריש </w:t>
      </w:r>
      <w:r w:rsidRPr="00747170">
        <w:rPr>
          <w:rFonts w:hint="cs"/>
        </w:rPr>
        <w:t>חלקת יואב ח"א סימן י'.</w:t>
      </w:r>
    </w:p>
    <w:p w14:paraId="02C3D272" w14:textId="77777777" w:rsidR="001C69A8" w:rsidRPr="00D609C3" w:rsidRDefault="001C69A8" w:rsidP="001C69A8">
      <w:pPr>
        <w:pStyle w:val="a7"/>
        <w:rPr>
          <w:rtl/>
        </w:rPr>
        <w:sectPr w:rsidR="001C69A8" w:rsidRPr="00D609C3" w:rsidSect="00702FC6">
          <w:footerReference w:type="default" r:id="rId48"/>
          <w:type w:val="continuous"/>
          <w:pgSz w:w="11906" w:h="16838"/>
          <w:pgMar w:top="720" w:right="720" w:bottom="720" w:left="720" w:header="283" w:footer="283" w:gutter="0"/>
          <w:cols w:num="2" w:space="567"/>
          <w:bidi/>
          <w:rtlGutter/>
          <w:docGrid w:linePitch="299"/>
        </w:sectPr>
      </w:pPr>
    </w:p>
    <w:p w14:paraId="2D6D148A" w14:textId="77777777" w:rsidR="001C69A8" w:rsidRPr="00126B3E" w:rsidRDefault="001C69A8" w:rsidP="001C69A8">
      <w:pPr>
        <w:pStyle w:val="a7"/>
        <w:rPr>
          <w:rtl/>
        </w:rPr>
        <w:sectPr w:rsidR="001C69A8" w:rsidRPr="00126B3E" w:rsidSect="00773771">
          <w:type w:val="continuous"/>
          <w:pgSz w:w="11906" w:h="16838"/>
          <w:pgMar w:top="720" w:right="720" w:bottom="720" w:left="720" w:header="283" w:footer="283" w:gutter="0"/>
          <w:cols w:num="2" w:space="567"/>
          <w:titlePg/>
          <w:bidi/>
          <w:rtlGutter/>
          <w:docGrid w:linePitch="299"/>
        </w:sectPr>
      </w:pPr>
    </w:p>
    <w:p w14:paraId="4CB9C3A8" w14:textId="77777777" w:rsidR="001C69A8" w:rsidRPr="00126B3E" w:rsidRDefault="008D6ECA" w:rsidP="001C69A8">
      <w:pPr>
        <w:tabs>
          <w:tab w:val="left" w:pos="1163"/>
        </w:tabs>
        <w:spacing w:after="0" w:line="240" w:lineRule="auto"/>
        <w:jc w:val="center"/>
        <w:rPr>
          <w:rFonts w:eastAsiaTheme="minorHAnsi"/>
        </w:rPr>
      </w:pPr>
      <w:r>
        <w:rPr>
          <w:rFonts w:ascii="Guttman Hodes" w:eastAsia="Guttman Hodes" w:hAnsi="Guttman Hodes" w:cs="Guttman Hodes"/>
          <w:noProof/>
          <w:sz w:val="18"/>
          <w:szCs w:val="18"/>
        </w:rPr>
        <w:lastRenderedPageBreak/>
        <w:pict w14:anchorId="05AC511C">
          <v:shape id="_x0000_i7851" type="#_x0000_t75" style="width:404.55pt;height:6.8pt" o:hrpct="0" o:hralign="center" o:hr="t">
            <v:imagedata r:id="rId36" o:title="BD14845_"/>
          </v:shape>
        </w:pict>
      </w:r>
    </w:p>
    <w:p w14:paraId="0D93E67E" w14:textId="77777777" w:rsidR="001C69A8" w:rsidRPr="00126B3E" w:rsidRDefault="001C69A8" w:rsidP="001C69A8">
      <w:pPr>
        <w:pStyle w:val="affff5"/>
        <w:rPr>
          <w:rtl/>
        </w:rPr>
        <w:sectPr w:rsidR="001C69A8" w:rsidRPr="00126B3E">
          <w:pgSz w:w="11906" w:h="16838"/>
          <w:pgMar w:top="720" w:right="720" w:bottom="720" w:left="720" w:header="283" w:footer="283" w:gutter="0"/>
          <w:cols w:space="720"/>
          <w:bidi/>
          <w:rtlGutter/>
        </w:sectPr>
      </w:pPr>
      <w:r w:rsidRPr="00126B3E">
        <w:rPr>
          <w:rFonts w:hint="cs"/>
          <w:rtl/>
        </w:rPr>
        <w:t>~</w:t>
      </w:r>
      <w:r w:rsidRPr="00126B3E">
        <w:rPr>
          <w:rFonts w:hint="cs"/>
          <w:noProof/>
          <w:rtl/>
        </w:rPr>
        <w:t>~~~~~~</w:t>
      </w:r>
      <w:r w:rsidRPr="00126B3E">
        <w:rPr>
          <w:rFonts w:hint="cs"/>
          <w:rtl/>
        </w:rPr>
        <w:t xml:space="preserve"> ביאורי ראשי הישיבות ~</w:t>
      </w:r>
      <w:r w:rsidRPr="00126B3E">
        <w:rPr>
          <w:rFonts w:hint="cs"/>
          <w:noProof/>
          <w:rtl/>
        </w:rPr>
        <w:t>~~~~</w:t>
      </w:r>
      <w:r w:rsidRPr="00126B3E">
        <w:rPr>
          <w:rFonts w:hint="cs"/>
          <w:rtl/>
        </w:rPr>
        <w:t>~~</w:t>
      </w:r>
    </w:p>
    <w:p w14:paraId="7DFE16CF" w14:textId="77777777" w:rsidR="001C69A8" w:rsidRDefault="001C69A8" w:rsidP="001C69A8">
      <w:pPr>
        <w:pStyle w:val="affff5"/>
        <w:rPr>
          <w:rtl/>
        </w:rPr>
      </w:pPr>
      <w:r>
        <w:rPr>
          <w:rFonts w:hint="cs"/>
          <w:rtl/>
        </w:rPr>
        <w:t>בפלוג' המנ"ח והרש"ש בגדר זורע ואופה</w:t>
      </w:r>
    </w:p>
    <w:p w14:paraId="17BDF565" w14:textId="77777777" w:rsidR="001C69A8" w:rsidRDefault="001C69A8" w:rsidP="001C69A8">
      <w:pPr>
        <w:pStyle w:val="1"/>
        <w:rPr>
          <w:rtl/>
        </w:rPr>
      </w:pPr>
      <w:bookmarkStart w:id="864" w:name="_Toc134347716"/>
      <w:r>
        <w:rPr>
          <w:rFonts w:hint="cs"/>
          <w:rtl/>
        </w:rPr>
        <w:t>קו' שיעורי ר"ד ברש"ש דמעשה הזריעה אסור ולא מעשה אפיה</w:t>
      </w:r>
      <w:bookmarkEnd w:id="864"/>
    </w:p>
    <w:p w14:paraId="6D7BD045" w14:textId="77777777" w:rsidR="001C69A8" w:rsidRDefault="001C69A8" w:rsidP="001C69A8">
      <w:pPr>
        <w:pStyle w:val="afffff7"/>
        <w:rPr>
          <w:rtl/>
        </w:rPr>
      </w:pPr>
      <w:bookmarkStart w:id="865" w:name="_Toc134550225"/>
      <w:bookmarkStart w:id="866" w:name="_Toc163505517"/>
      <w:r>
        <w:rPr>
          <w:rtl/>
        </w:rPr>
        <w:t xml:space="preserve">שעורי ר' דוד </w:t>
      </w:r>
      <w:r w:rsidRPr="00B04CDC">
        <w:rPr>
          <w:rtl/>
        </w:rPr>
        <w:t>יבמות</w:t>
      </w:r>
      <w:r>
        <w:rPr>
          <w:rtl/>
        </w:rPr>
        <w:t xml:space="preserve"> פ"ג ע"א</w:t>
      </w:r>
      <w:r>
        <w:rPr>
          <w:rFonts w:hint="cs"/>
          <w:rtl/>
        </w:rPr>
        <w:t xml:space="preserve"> אות שצ"ט</w:t>
      </w:r>
      <w:bookmarkEnd w:id="865"/>
      <w:bookmarkEnd w:id="866"/>
    </w:p>
    <w:p w14:paraId="41F1EA31" w14:textId="77777777" w:rsidR="001C69A8" w:rsidRDefault="001C69A8" w:rsidP="001C69A8">
      <w:pPr>
        <w:pStyle w:val="a7"/>
        <w:rPr>
          <w:rtl/>
        </w:rPr>
      </w:pPr>
      <w:bookmarkStart w:id="867" w:name="_Toc134347717"/>
      <w:r>
        <w:rPr>
          <w:rFonts w:hint="cs"/>
          <w:rtl/>
        </w:rPr>
        <w:t>קו' שיעורי רבי דוד ברש"ש דהאיסור בזריעה שגורמת השרשה ול"ד לאופה דאין איסור בנתינה</w:t>
      </w:r>
      <w:bookmarkEnd w:id="867"/>
    </w:p>
    <w:p w14:paraId="78B22ED7" w14:textId="7A6DA918" w:rsidR="001C69A8" w:rsidRPr="000548F0" w:rsidRDefault="001C69A8" w:rsidP="00BC7DC8">
      <w:pPr>
        <w:pStyle w:val="a3"/>
        <w:rPr>
          <w:rtl/>
        </w:rPr>
      </w:pPr>
      <w:bookmarkStart w:id="868" w:name="_Ref134191422"/>
      <w:r>
        <w:rPr>
          <w:rFonts w:hint="cs"/>
          <w:rtl/>
        </w:rPr>
        <w:t xml:space="preserve">במ"ש </w:t>
      </w:r>
      <w:r w:rsidRPr="00E87CC9">
        <w:rPr>
          <w:rStyle w:val="aff4"/>
          <w:rFonts w:hint="cs"/>
          <w:vanish/>
          <w:rtl/>
        </w:rPr>
        <w:t>-</w:t>
      </w:r>
      <w:r w:rsidRPr="003B4E24">
        <w:rPr>
          <w:rStyle w:val="aff4"/>
          <w:rFonts w:hint="cs"/>
          <w:rtl/>
        </w:rPr>
        <w:t>הרש"ש</w:t>
      </w:r>
      <w:r w:rsidRPr="00E87CC9">
        <w:rPr>
          <w:rStyle w:val="aff4"/>
          <w:rFonts w:hint="cs"/>
          <w:vanish/>
          <w:rtl/>
        </w:rPr>
        <w:t>-</w:t>
      </w:r>
      <w:r>
        <w:rPr>
          <w:rFonts w:hint="cs"/>
          <w:rtl/>
        </w:rPr>
        <w:t xml:space="preserve"> </w:t>
      </w:r>
      <w:r w:rsidRPr="00277835">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Ref133266181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מד)</w:t>
      </w:r>
      <w:r>
        <w:rPr>
          <w:rStyle w:val="af2"/>
          <w:rFonts w:eastAsia="Guttman Hodes"/>
          <w:rtl/>
        </w:rPr>
        <w:fldChar w:fldCharType="end"/>
      </w:r>
      <w:r>
        <w:rPr>
          <w:rFonts w:hint="cs"/>
          <w:rtl/>
        </w:rPr>
        <w:t xml:space="preserve"> דזורע חייב רק בהשרשה ואם הוציא את הזרעים קודם שהשרישו פטור, כמו ברודה פת מתנור לפני האפיה, וכן במ"ש </w:t>
      </w:r>
      <w:r w:rsidRPr="00E87CC9">
        <w:rPr>
          <w:rStyle w:val="aff4"/>
          <w:rFonts w:hint="cs"/>
          <w:vanish/>
          <w:rtl/>
        </w:rPr>
        <w:t>-</w:t>
      </w:r>
      <w:r w:rsidRPr="003B4E24">
        <w:rPr>
          <w:rStyle w:val="aff4"/>
          <w:rFonts w:hint="cs"/>
          <w:rtl/>
        </w:rPr>
        <w:t>הרש"ש</w:t>
      </w:r>
      <w:r w:rsidRPr="00E87CC9">
        <w:rPr>
          <w:rStyle w:val="aff4"/>
          <w:rFonts w:hint="cs"/>
          <w:vanish/>
          <w:rtl/>
        </w:rPr>
        <w:t>-</w:t>
      </w:r>
      <w:r>
        <w:rPr>
          <w:rFonts w:hint="cs"/>
          <w:rtl/>
        </w:rPr>
        <w:t xml:space="preserve"> </w:t>
      </w:r>
      <w:r w:rsidRPr="00277835">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Ref133942466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סח)</w:t>
      </w:r>
      <w:r>
        <w:rPr>
          <w:rStyle w:val="af2"/>
          <w:rFonts w:eastAsia="Guttman Hodes"/>
          <w:rtl/>
        </w:rPr>
        <w:fldChar w:fldCharType="end"/>
      </w:r>
      <w:r>
        <w:rPr>
          <w:rFonts w:hint="cs"/>
          <w:rtl/>
        </w:rPr>
        <w:t xml:space="preserve"> דכיון דזורע חייב אף שהשרשה היא בחול, ה"ה באופה בשבת עם חשיכה דחייב, אף שנגמרה האפיה בחול, הקשה </w:t>
      </w:r>
      <w:r w:rsidRPr="00E87CC9">
        <w:rPr>
          <w:rStyle w:val="aff4"/>
          <w:rFonts w:hint="cs"/>
          <w:vanish/>
          <w:rtl/>
        </w:rPr>
        <w:t>-</w:t>
      </w:r>
      <w:r w:rsidRPr="003B4E24">
        <w:rPr>
          <w:rStyle w:val="aff4"/>
          <w:rFonts w:hint="cs"/>
          <w:rtl/>
        </w:rPr>
        <w:t>ב</w:t>
      </w:r>
      <w:r w:rsidRPr="00350A80">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Ref134191422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פ)</w:t>
      </w:r>
      <w:r>
        <w:rPr>
          <w:rStyle w:val="aff4"/>
          <w:vanish/>
          <w:rtl/>
        </w:rPr>
        <w:fldChar w:fldCharType="end"/>
      </w:r>
      <w:r w:rsidRPr="00350A80">
        <w:rPr>
          <w:rStyle w:val="aff4"/>
          <w:rFonts w:hint="cs"/>
          <w:vanish/>
          <w:rtl/>
        </w:rPr>
        <w:t xml:space="preserve"> &gt;</w:t>
      </w:r>
      <w:r w:rsidRPr="003B4E24">
        <w:rPr>
          <w:rStyle w:val="aff4"/>
          <w:rFonts w:hint="cs"/>
          <w:rtl/>
        </w:rPr>
        <w:t>שיעורי רבי דוד ביבמות</w:t>
      </w:r>
      <w:r w:rsidRPr="00E87CC9">
        <w:rPr>
          <w:rStyle w:val="aff4"/>
          <w:rFonts w:hint="cs"/>
          <w:vanish/>
          <w:rtl/>
        </w:rPr>
        <w:t>-</w:t>
      </w:r>
      <w:r>
        <w:rPr>
          <w:rFonts w:hint="cs"/>
          <w:rtl/>
        </w:rPr>
        <w:t xml:space="preserve"> </w:t>
      </w:r>
      <w:r w:rsidRPr="00277835">
        <w:rPr>
          <w:rStyle w:val="af2"/>
          <w:rFonts w:eastAsia="Guttman Hodes" w:hint="cs"/>
          <w:rtl/>
        </w:rPr>
        <w:t>(פג. אות שצ"ט)</w:t>
      </w:r>
      <w:r w:rsidRPr="00350A80">
        <w:rPr>
          <w:rFonts w:hint="cs"/>
          <w:vanish/>
          <w:rtl/>
        </w:rPr>
        <w:t>=</w:t>
      </w:r>
      <w:r>
        <w:rPr>
          <w:rFonts w:hint="cs"/>
          <w:rtl/>
        </w:rPr>
        <w:t xml:space="preserve"> דהא בזורע ודאי דהאיסור הוא מעשה הזריעה עצמו ולכן אף דלפני ההשרשה הזרע הוא כמונח בכדא, מ"מ כיון דאח"כ הזרע יצמח מחמת מעשה הזריעה, לכן אסרה תורה מעשה כזה וחייב עליו, אבל באפיה אין כל איסור בהכנסה לתנור מצד עצמו, והאיסור הוא האפיה, אלא דבכדי לחייב על מעשה האפיה, צריך את מעשה ההכנסה לתנור, אבל החיוב הוא רק על האפיה, ולכן אם הניח עם חשיכה והאפיה עצמה הייתה בחול, א"א להתחייב בזה.</w:t>
      </w:r>
      <w:bookmarkEnd w:id="868"/>
    </w:p>
    <w:p w14:paraId="66BBF486" w14:textId="77777777" w:rsidR="001C69A8" w:rsidRPr="00747170" w:rsidRDefault="001C69A8" w:rsidP="00747170">
      <w:pPr>
        <w:pStyle w:val="a2"/>
      </w:pPr>
      <w:r w:rsidRPr="00747170">
        <w:t>הנה כתב הרש"ש בשבת )דף עג א( דהזורע בשבת חייב, אף על גב דקודם שנשרש הוי כמאן דמנח בכדא, מ"מ כיון דע"י זריעתו עתה, ישרש אח"כ, חייב כמו אופה וצולה, דחייב אף על פי שנאפה ונצלה אח"כ מאליו.</w:t>
      </w:r>
    </w:p>
    <w:p w14:paraId="53A0B3C9" w14:textId="77777777" w:rsidR="001C69A8" w:rsidRPr="0000488C" w:rsidRDefault="001C69A8" w:rsidP="00747170">
      <w:pPr>
        <w:pStyle w:val="afffff5"/>
        <w:rPr>
          <w:rtl/>
        </w:rPr>
      </w:pPr>
      <w:r w:rsidRPr="0000488C">
        <w:rPr>
          <w:rtl/>
        </w:rPr>
        <w:t>וכתב דנראה דאם לקט הזרע קודם שנשרש, הרי הוא פטור למפרע על מה שזרע כיון דלא נתקיימה מחשבתו. וכמו דאיתא בשבת (דף ד א) דאם הדביק פת בתנור ורודהו קודם שנאפה פטור.</w:t>
      </w:r>
    </w:p>
    <w:p w14:paraId="571E1091" w14:textId="77777777" w:rsidR="001C69A8" w:rsidRPr="0000488C" w:rsidRDefault="001C69A8" w:rsidP="00747170">
      <w:pPr>
        <w:pStyle w:val="afffff5"/>
        <w:rPr>
          <w:rtl/>
        </w:rPr>
      </w:pPr>
      <w:r w:rsidRPr="0000488C">
        <w:rPr>
          <w:rtl/>
        </w:rPr>
        <w:t>ולפי"ז כתב דכיון דבזורע חייב אף על פי שההשרשה תהא אח"כ בחול, וכן הנוטע חייב אף דזמן קליטתו נמשכת, א"כ ה"ה האופה בשבת עם חשיכה, חייב אף דליכא שהות שתגמר אפייתו בעוד יום, ע"ש.</w:t>
      </w:r>
    </w:p>
    <w:p w14:paraId="376E6FC1" w14:textId="77777777" w:rsidR="001C69A8" w:rsidRPr="0000488C" w:rsidRDefault="001C69A8" w:rsidP="00747170">
      <w:pPr>
        <w:pStyle w:val="afffff5"/>
        <w:rPr>
          <w:rtl/>
        </w:rPr>
      </w:pPr>
      <w:r w:rsidRPr="0000488C">
        <w:rPr>
          <w:rtl/>
        </w:rPr>
        <w:t>ודבריו תמוהים דבזריעה ודאי האיסור הוא מעשה הזריעה, ולכן אף על גב דקודם שנשרש הוי כמאן דמונח בכדא, אפ"ה חייב, כיון דעכ"פ אח"כ יצמח, ולכן אסרה תורה את מעשה הזריעה.</w:t>
      </w:r>
    </w:p>
    <w:p w14:paraId="22C21A3A" w14:textId="77777777" w:rsidR="001C69A8" w:rsidRPr="0000488C" w:rsidRDefault="001C69A8" w:rsidP="00747170">
      <w:pPr>
        <w:pStyle w:val="afffff5"/>
        <w:rPr>
          <w:rtl/>
        </w:rPr>
      </w:pPr>
      <w:r w:rsidRPr="0000488C">
        <w:rPr>
          <w:rtl/>
        </w:rPr>
        <w:t>משא"כ באפיה הרי אין האיסור מעשה ההכנסה לתנור, אלא האפיה היא האיסור, ורק דבעינן שיכניס לתנור דבזה מתחייב על האפיה, אבל עכ"פ האיסור הוא האפיה, וא"כ אם אין שהות שיאפה בעוד יום מ"ט יהא חייב, (וכ"כ במנ"ח במוסך השבת במלאכת זורע, ובמצוה רח"צ סקי"ד).</w:t>
      </w:r>
    </w:p>
    <w:p w14:paraId="0B74F81E" w14:textId="07B47702" w:rsidR="001C69A8" w:rsidRDefault="001C69A8" w:rsidP="001C69A8">
      <w:pPr>
        <w:pStyle w:val="1"/>
        <w:rPr>
          <w:rtl/>
        </w:rPr>
      </w:pPr>
      <w:bookmarkStart w:id="869" w:name="_Toc134347718"/>
      <w:r>
        <w:rPr>
          <w:rFonts w:hint="cs"/>
          <w:rtl/>
        </w:rPr>
        <w:t>בי' אשר לשלמה במנ"ח דהזריעה מלאכה ואפיה כלולה בהנחה</w:t>
      </w:r>
      <w:bookmarkEnd w:id="869"/>
    </w:p>
    <w:p w14:paraId="215F5098" w14:textId="77777777" w:rsidR="001C69A8" w:rsidRDefault="001C69A8" w:rsidP="001C69A8">
      <w:pPr>
        <w:pStyle w:val="afffff7"/>
        <w:rPr>
          <w:rtl/>
        </w:rPr>
      </w:pPr>
      <w:bookmarkStart w:id="870" w:name="_Toc134550226"/>
      <w:bookmarkStart w:id="871" w:name="_Toc163505518"/>
      <w:r>
        <w:rPr>
          <w:rFonts w:hint="cs"/>
          <w:rtl/>
        </w:rPr>
        <w:t>אשר לשלמה מועד סי</w:t>
      </w:r>
      <w:r>
        <w:rPr>
          <w:rtl/>
        </w:rPr>
        <w:t>'</w:t>
      </w:r>
      <w:r>
        <w:rPr>
          <w:rFonts w:hint="cs"/>
          <w:rtl/>
        </w:rPr>
        <w:t xml:space="preserve"> ל</w:t>
      </w:r>
      <w:r>
        <w:rPr>
          <w:rtl/>
        </w:rPr>
        <w:t>"</w:t>
      </w:r>
      <w:r>
        <w:rPr>
          <w:rFonts w:hint="cs"/>
          <w:rtl/>
        </w:rPr>
        <w:t>ח ב' ד"ה והנה בהא</w:t>
      </w:r>
      <w:bookmarkEnd w:id="870"/>
      <w:bookmarkEnd w:id="871"/>
    </w:p>
    <w:p w14:paraId="60A3ABD0" w14:textId="77777777" w:rsidR="001C69A8" w:rsidRPr="004C3342" w:rsidRDefault="001C69A8" w:rsidP="001C69A8">
      <w:pPr>
        <w:pStyle w:val="a7"/>
        <w:rPr>
          <w:rtl/>
        </w:rPr>
      </w:pPr>
      <w:bookmarkStart w:id="872" w:name="_Toc134347719"/>
      <w:r>
        <w:rPr>
          <w:rFonts w:hint="cs"/>
          <w:rtl/>
        </w:rPr>
        <w:t>בי' האשר לשלמה במנ"ח דהמלאכה בזורע היא במעשה הזריעה ויכול לקלוט חייב אף בסילק</w:t>
      </w:r>
      <w:bookmarkEnd w:id="872"/>
    </w:p>
    <w:p w14:paraId="0203272E" w14:textId="2B2BBBEC" w:rsidR="001C69A8" w:rsidRDefault="001C69A8" w:rsidP="00BC7DC8">
      <w:pPr>
        <w:pStyle w:val="a3"/>
        <w:rPr>
          <w:rtl/>
        </w:rPr>
      </w:pPr>
      <w:bookmarkStart w:id="873" w:name="_Ref133920361"/>
      <w:bookmarkStart w:id="874" w:name="_Ref134304590"/>
      <w:r>
        <w:rPr>
          <w:rFonts w:hint="cs"/>
          <w:rtl/>
        </w:rPr>
        <w:t xml:space="preserve">במ"ש </w:t>
      </w:r>
      <w:r w:rsidRPr="00753705">
        <w:rPr>
          <w:rStyle w:val="aff4"/>
          <w:rFonts w:hint="cs"/>
          <w:vanish/>
          <w:rtl/>
        </w:rPr>
        <w:t>-</w:t>
      </w:r>
      <w:r w:rsidRPr="003C379A">
        <w:rPr>
          <w:rStyle w:val="aff4"/>
          <w:rFonts w:hint="cs"/>
          <w:rtl/>
        </w:rPr>
        <w:t>המנחת חינוך</w:t>
      </w:r>
      <w:r w:rsidRPr="00753705">
        <w:rPr>
          <w:rStyle w:val="aff4"/>
          <w:rFonts w:hint="cs"/>
          <w:vanish/>
          <w:rtl/>
        </w:rPr>
        <w:t>-</w:t>
      </w:r>
      <w:r>
        <w:rPr>
          <w:rFonts w:hint="cs"/>
          <w:rtl/>
        </w:rPr>
        <w:t xml:space="preserve"> </w:t>
      </w:r>
      <w:r w:rsidRPr="00277835">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Ref134094454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י)</w:t>
      </w:r>
      <w:r>
        <w:rPr>
          <w:rStyle w:val="af2"/>
          <w:rFonts w:eastAsia="Guttman Hodes"/>
          <w:rtl/>
        </w:rPr>
        <w:fldChar w:fldCharType="end"/>
      </w:r>
      <w:r>
        <w:rPr>
          <w:rFonts w:hint="cs"/>
          <w:rtl/>
        </w:rPr>
        <w:t xml:space="preserve"> דזורע חייב אף אם נטל את הזרעים מהקרקע לפני שהשרישו, ולא דמי לאופה דהמלאכה היא האפיה ולא ההנחה בתנור ובזריעה המלאכה היא הזריעה בקרקע, ביאר </w:t>
      </w:r>
      <w:r w:rsidRPr="00753705">
        <w:rPr>
          <w:rStyle w:val="aff4"/>
          <w:rFonts w:hint="cs"/>
          <w:vanish/>
          <w:rtl/>
        </w:rPr>
        <w:t>-</w:t>
      </w:r>
      <w:r w:rsidRPr="003C379A">
        <w:rPr>
          <w:rStyle w:val="aff4"/>
          <w:rFonts w:hint="cs"/>
          <w:rtl/>
        </w:rPr>
        <w:t>ה</w:t>
      </w:r>
      <w:r>
        <w:rPr>
          <w:rStyle w:val="aff4"/>
          <w:rFonts w:hint="cs"/>
          <w:vanish/>
          <w:rtl/>
        </w:rPr>
        <w:t>.</w:t>
      </w:r>
      <w:r w:rsidRPr="00753705">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Ref133920361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פא)</w:t>
      </w:r>
      <w:r>
        <w:rPr>
          <w:rStyle w:val="aff4"/>
          <w:vanish/>
          <w:rtl/>
        </w:rPr>
        <w:fldChar w:fldCharType="end"/>
      </w:r>
      <w:r w:rsidRPr="00753705">
        <w:rPr>
          <w:rStyle w:val="aff4"/>
          <w:rFonts w:hint="cs"/>
          <w:vanish/>
          <w:rtl/>
        </w:rPr>
        <w:t xml:space="preserve"> &gt;</w:t>
      </w:r>
      <w:r w:rsidRPr="003C379A">
        <w:rPr>
          <w:rStyle w:val="aff4"/>
          <w:rFonts w:hint="cs"/>
          <w:rtl/>
        </w:rPr>
        <w:t>אשר לשלמה</w:t>
      </w:r>
      <w:r w:rsidRPr="00753705">
        <w:rPr>
          <w:rStyle w:val="aff4"/>
          <w:rFonts w:hint="cs"/>
          <w:vanish/>
          <w:rtl/>
        </w:rPr>
        <w:t>-</w:t>
      </w:r>
      <w:r>
        <w:rPr>
          <w:rFonts w:hint="cs"/>
          <w:rtl/>
        </w:rPr>
        <w:t xml:space="preserve"> </w:t>
      </w:r>
      <w:r w:rsidRPr="00277835">
        <w:rPr>
          <w:rStyle w:val="af2"/>
          <w:rFonts w:eastAsia="Guttman Hodes" w:hint="cs"/>
          <w:rtl/>
        </w:rPr>
        <w:t>(</w:t>
      </w:r>
      <w:r>
        <w:rPr>
          <w:rStyle w:val="af2"/>
          <w:rFonts w:eastAsia="Guttman Hodes" w:hint="cs"/>
          <w:rtl/>
        </w:rPr>
        <w:t>מועד סי</w:t>
      </w:r>
      <w:r>
        <w:rPr>
          <w:rStyle w:val="af2"/>
          <w:rFonts w:eastAsia="Guttman Hodes"/>
          <w:rtl/>
        </w:rPr>
        <w:t>'</w:t>
      </w:r>
      <w:r>
        <w:rPr>
          <w:rStyle w:val="af2"/>
          <w:rFonts w:eastAsia="Guttman Hodes" w:hint="cs"/>
          <w:rtl/>
        </w:rPr>
        <w:t xml:space="preserve"> ל</w:t>
      </w:r>
      <w:r>
        <w:rPr>
          <w:rStyle w:val="af2"/>
          <w:rFonts w:eastAsia="Guttman Hodes"/>
          <w:rtl/>
        </w:rPr>
        <w:t>"</w:t>
      </w:r>
      <w:r>
        <w:rPr>
          <w:rStyle w:val="af2"/>
          <w:rFonts w:eastAsia="Guttman Hodes" w:hint="cs"/>
          <w:rtl/>
        </w:rPr>
        <w:t xml:space="preserve">ח </w:t>
      </w:r>
      <w:r w:rsidRPr="00277835">
        <w:rPr>
          <w:rStyle w:val="af2"/>
          <w:rFonts w:eastAsia="Guttman Hodes" w:hint="cs"/>
          <w:rtl/>
        </w:rPr>
        <w:t>ב'</w:t>
      </w:r>
      <w:r w:rsidRPr="00277835">
        <w:rPr>
          <w:rStyle w:val="af2"/>
          <w:rFonts w:eastAsia="Guttman Hodes"/>
          <w:rtl/>
        </w:rPr>
        <w:t xml:space="preserve"> ד"ה והנה בהא</w:t>
      </w:r>
      <w:r w:rsidRPr="00277835">
        <w:rPr>
          <w:rStyle w:val="af2"/>
          <w:rFonts w:eastAsia="Guttman Hodes" w:hint="cs"/>
          <w:rtl/>
        </w:rPr>
        <w:t>)</w:t>
      </w:r>
      <w:r w:rsidRPr="00753705">
        <w:rPr>
          <w:rFonts w:hint="cs"/>
          <w:vanish/>
          <w:rtl/>
        </w:rPr>
        <w:t>=</w:t>
      </w:r>
      <w:r>
        <w:rPr>
          <w:rFonts w:hint="cs"/>
          <w:rtl/>
        </w:rPr>
        <w:t xml:space="preserve"> דס"ל </w:t>
      </w:r>
      <w:r w:rsidRPr="00753705">
        <w:rPr>
          <w:rStyle w:val="aff4"/>
          <w:rFonts w:hint="cs"/>
          <w:vanish/>
          <w:rtl/>
        </w:rPr>
        <w:t>-</w:t>
      </w:r>
      <w:r>
        <w:rPr>
          <w:rStyle w:val="aff4"/>
          <w:rFonts w:hint="cs"/>
          <w:rtl/>
        </w:rPr>
        <w:t>ל</w:t>
      </w:r>
      <w:r w:rsidRPr="003C379A">
        <w:rPr>
          <w:rStyle w:val="aff4"/>
          <w:rFonts w:hint="cs"/>
          <w:rtl/>
        </w:rPr>
        <w:t>המנחת חינוך</w:t>
      </w:r>
      <w:r w:rsidRPr="00753705">
        <w:rPr>
          <w:rStyle w:val="aff4"/>
          <w:rFonts w:hint="cs"/>
          <w:vanish/>
          <w:rtl/>
        </w:rPr>
        <w:t>-</w:t>
      </w:r>
      <w:r>
        <w:rPr>
          <w:rFonts w:hint="cs"/>
          <w:rtl/>
        </w:rPr>
        <w:t xml:space="preserve"> דעיקר המלאכה היא במעשה הזריעה עצמו, דכל שזרע באופן שהזרע יכול להקלט בקרקע הוי מלאכה, ולכן אף אם הוציא אח"כ את הזרעים חייב</w:t>
      </w:r>
      <w:bookmarkEnd w:id="873"/>
      <w:r>
        <w:rPr>
          <w:rFonts w:hint="cs"/>
          <w:rtl/>
        </w:rPr>
        <w:t>.</w:t>
      </w:r>
      <w:bookmarkEnd w:id="874"/>
    </w:p>
    <w:p w14:paraId="239A181F" w14:textId="77777777" w:rsidR="001C69A8" w:rsidRDefault="001C69A8" w:rsidP="001C69A8">
      <w:pPr>
        <w:pStyle w:val="afffff7"/>
        <w:rPr>
          <w:rtl/>
        </w:rPr>
      </w:pPr>
      <w:bookmarkStart w:id="875" w:name="_Toc134550227"/>
      <w:bookmarkStart w:id="876" w:name="_Toc163505519"/>
      <w:r>
        <w:rPr>
          <w:rFonts w:hint="cs"/>
          <w:rtl/>
        </w:rPr>
        <w:t>אשר לשלמה מועד סי</w:t>
      </w:r>
      <w:r>
        <w:rPr>
          <w:rtl/>
        </w:rPr>
        <w:t>'</w:t>
      </w:r>
      <w:r>
        <w:rPr>
          <w:rFonts w:hint="cs"/>
          <w:rtl/>
        </w:rPr>
        <w:t xml:space="preserve"> ל</w:t>
      </w:r>
      <w:r>
        <w:rPr>
          <w:rtl/>
        </w:rPr>
        <w:t>"</w:t>
      </w:r>
      <w:r>
        <w:rPr>
          <w:rFonts w:hint="cs"/>
          <w:rtl/>
        </w:rPr>
        <w:t>ח ב' ד"ה ומה דפליגי</w:t>
      </w:r>
      <w:bookmarkEnd w:id="875"/>
      <w:bookmarkEnd w:id="876"/>
    </w:p>
    <w:p w14:paraId="699C10BC" w14:textId="77777777" w:rsidR="001C69A8" w:rsidRDefault="001C69A8" w:rsidP="001C69A8">
      <w:pPr>
        <w:pStyle w:val="a7"/>
      </w:pPr>
      <w:bookmarkStart w:id="877" w:name="_Toc134347720"/>
      <w:r>
        <w:rPr>
          <w:rFonts w:hint="cs"/>
          <w:rtl/>
        </w:rPr>
        <w:t>בי' האשר לשלמה במנ"ח דבנאפה בחול פטור דבמעשה שלו כלולה אפיה של היתר ולא איסור</w:t>
      </w:r>
      <w:bookmarkEnd w:id="877"/>
    </w:p>
    <w:p w14:paraId="233AF456" w14:textId="7092B39B" w:rsidR="001C69A8" w:rsidRDefault="001C69A8" w:rsidP="00BC7DC8">
      <w:pPr>
        <w:pStyle w:val="a3"/>
        <w:rPr>
          <w:rtl/>
        </w:rPr>
      </w:pPr>
      <w:bookmarkStart w:id="878" w:name="_Ref133920610"/>
      <w:bookmarkStart w:id="879" w:name="_Ref134330076"/>
      <w:r>
        <w:rPr>
          <w:rFonts w:hint="cs"/>
          <w:rtl/>
        </w:rPr>
        <w:t xml:space="preserve">ובמ"ש </w:t>
      </w:r>
      <w:r w:rsidRPr="00753705">
        <w:rPr>
          <w:rStyle w:val="aff4"/>
          <w:rFonts w:hint="cs"/>
          <w:vanish/>
          <w:rtl/>
        </w:rPr>
        <w:t>-</w:t>
      </w:r>
      <w:r w:rsidRPr="003C379A">
        <w:rPr>
          <w:rStyle w:val="aff4"/>
          <w:rFonts w:hint="cs"/>
          <w:rtl/>
        </w:rPr>
        <w:t>המנחת חינוך</w:t>
      </w:r>
      <w:r w:rsidRPr="00753705">
        <w:rPr>
          <w:rStyle w:val="aff4"/>
          <w:rFonts w:hint="cs"/>
          <w:vanish/>
          <w:rtl/>
        </w:rPr>
        <w:t>-</w:t>
      </w:r>
      <w:r w:rsidRPr="003C379A">
        <w:rPr>
          <w:rStyle w:val="aff4"/>
          <w:rFonts w:hint="cs"/>
          <w:rtl/>
        </w:rPr>
        <w:t xml:space="preserve"> </w:t>
      </w:r>
      <w:r w:rsidRPr="00277835">
        <w:rPr>
          <w:rStyle w:val="af2"/>
          <w:rFonts w:eastAsia="Guttman Hodes" w:hint="cs"/>
          <w:rtl/>
        </w:rPr>
        <w:t xml:space="preserve">(עי' אות </w:t>
      </w:r>
      <w:r w:rsidRPr="00277835">
        <w:rPr>
          <w:rStyle w:val="af2"/>
          <w:rFonts w:eastAsia="Guttman Hodes"/>
          <w:rtl/>
        </w:rPr>
        <w:fldChar w:fldCharType="begin"/>
      </w:r>
      <w:r w:rsidRPr="00277835">
        <w:rPr>
          <w:rStyle w:val="af2"/>
          <w:rFonts w:eastAsia="Guttman Hodes"/>
          <w:rtl/>
        </w:rPr>
        <w:instrText xml:space="preserve"> </w:instrText>
      </w:r>
      <w:r w:rsidRPr="00277835">
        <w:rPr>
          <w:rStyle w:val="af2"/>
          <w:rFonts w:eastAsia="Guttman Hodes" w:hint="cs"/>
        </w:rPr>
        <w:instrText>REF</w:instrText>
      </w:r>
      <w:r w:rsidRPr="00277835">
        <w:rPr>
          <w:rStyle w:val="af2"/>
          <w:rFonts w:eastAsia="Guttman Hodes" w:hint="cs"/>
          <w:rtl/>
        </w:rPr>
        <w:instrText xml:space="preserve"> _</w:instrText>
      </w:r>
      <w:r w:rsidRPr="00277835">
        <w:rPr>
          <w:rStyle w:val="af2"/>
          <w:rFonts w:eastAsia="Guttman Hodes" w:hint="cs"/>
        </w:rPr>
        <w:instrText>Ref134182987 \r \h</w:instrText>
      </w:r>
      <w:r w:rsidRPr="00277835">
        <w:rPr>
          <w:rStyle w:val="af2"/>
          <w:rFonts w:eastAsia="Guttman Hodes"/>
          <w:rtl/>
        </w:rPr>
        <w:instrText xml:space="preserve"> </w:instrText>
      </w:r>
      <w:r w:rsidRPr="00277835">
        <w:rPr>
          <w:rStyle w:val="af2"/>
          <w:rFonts w:eastAsia="Guttman Hodes"/>
          <w:rtl/>
        </w:rPr>
      </w:r>
      <w:r w:rsidRPr="00277835">
        <w:rPr>
          <w:rStyle w:val="af2"/>
          <w:rFonts w:eastAsia="Guttman Hodes"/>
          <w:rtl/>
        </w:rPr>
        <w:fldChar w:fldCharType="separate"/>
      </w:r>
      <w:r w:rsidR="00D82181">
        <w:rPr>
          <w:rStyle w:val="af2"/>
          <w:rFonts w:eastAsia="Guttman Hodes"/>
          <w:cs/>
        </w:rPr>
        <w:t>‎</w:t>
      </w:r>
      <w:r w:rsidR="00D82181">
        <w:rPr>
          <w:rStyle w:val="af2"/>
          <w:rFonts w:eastAsia="Guttman Hodes"/>
          <w:rtl/>
        </w:rPr>
        <w:t>סט)</w:t>
      </w:r>
      <w:r w:rsidRPr="00277835">
        <w:rPr>
          <w:rStyle w:val="af2"/>
          <w:rFonts w:eastAsia="Guttman Hodes"/>
          <w:rtl/>
        </w:rPr>
        <w:fldChar w:fldCharType="end"/>
      </w:r>
      <w:r>
        <w:rPr>
          <w:rFonts w:hint="cs"/>
          <w:rtl/>
        </w:rPr>
        <w:t xml:space="preserve"> דבהניח בתנור בשבת ונגמרה האפיה בחול פטור, ביאר </w:t>
      </w:r>
      <w:r w:rsidRPr="00753705">
        <w:rPr>
          <w:rStyle w:val="aff4"/>
          <w:rFonts w:hint="cs"/>
          <w:vanish/>
          <w:rtl/>
        </w:rPr>
        <w:t>-</w:t>
      </w:r>
      <w:r w:rsidRPr="003C379A">
        <w:rPr>
          <w:rStyle w:val="aff4"/>
          <w:rFonts w:hint="cs"/>
          <w:rtl/>
        </w:rPr>
        <w:t>ה</w:t>
      </w:r>
      <w:r w:rsidRPr="00CA45E6">
        <w:rPr>
          <w:rStyle w:val="aff4"/>
          <w:rFonts w:hint="cs"/>
          <w:vanish/>
          <w:rtl/>
        </w:rPr>
        <w:t>.</w:t>
      </w:r>
      <w:r w:rsidRPr="00753705">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Ref133920610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פב)</w:t>
      </w:r>
      <w:r>
        <w:rPr>
          <w:rStyle w:val="aff4"/>
          <w:vanish/>
          <w:rtl/>
        </w:rPr>
        <w:fldChar w:fldCharType="end"/>
      </w:r>
      <w:r w:rsidRPr="00753705">
        <w:rPr>
          <w:rStyle w:val="aff4"/>
          <w:rFonts w:hint="cs"/>
          <w:vanish/>
          <w:rtl/>
        </w:rPr>
        <w:t xml:space="preserve"> &gt;</w:t>
      </w:r>
      <w:r w:rsidRPr="003C379A">
        <w:rPr>
          <w:rStyle w:val="aff4"/>
          <w:rFonts w:hint="cs"/>
          <w:rtl/>
        </w:rPr>
        <w:t>אשר לשלמה</w:t>
      </w:r>
      <w:r w:rsidRPr="00753705">
        <w:rPr>
          <w:rStyle w:val="aff4"/>
          <w:rFonts w:hint="cs"/>
          <w:vanish/>
          <w:rtl/>
        </w:rPr>
        <w:t>-</w:t>
      </w:r>
      <w:r>
        <w:rPr>
          <w:rFonts w:hint="cs"/>
          <w:rtl/>
        </w:rPr>
        <w:t xml:space="preserve"> </w:t>
      </w:r>
      <w:r w:rsidRPr="00277835">
        <w:rPr>
          <w:rStyle w:val="af2"/>
          <w:rFonts w:eastAsia="Guttman Hodes" w:hint="cs"/>
          <w:rtl/>
        </w:rPr>
        <w:t>(</w:t>
      </w:r>
      <w:r>
        <w:rPr>
          <w:rStyle w:val="af2"/>
          <w:rFonts w:eastAsia="Guttman Hodes" w:hint="cs"/>
          <w:rtl/>
        </w:rPr>
        <w:t>מועד סי</w:t>
      </w:r>
      <w:r>
        <w:rPr>
          <w:rStyle w:val="af2"/>
          <w:rFonts w:eastAsia="Guttman Hodes"/>
          <w:rtl/>
        </w:rPr>
        <w:t>'</w:t>
      </w:r>
      <w:r>
        <w:rPr>
          <w:rStyle w:val="af2"/>
          <w:rFonts w:eastAsia="Guttman Hodes" w:hint="cs"/>
          <w:rtl/>
        </w:rPr>
        <w:t xml:space="preserve"> ל</w:t>
      </w:r>
      <w:r>
        <w:rPr>
          <w:rStyle w:val="af2"/>
          <w:rFonts w:eastAsia="Guttman Hodes"/>
          <w:rtl/>
        </w:rPr>
        <w:t>"</w:t>
      </w:r>
      <w:r>
        <w:rPr>
          <w:rStyle w:val="af2"/>
          <w:rFonts w:eastAsia="Guttman Hodes" w:hint="cs"/>
          <w:rtl/>
        </w:rPr>
        <w:t xml:space="preserve">ח </w:t>
      </w:r>
      <w:r w:rsidRPr="00277835">
        <w:rPr>
          <w:rStyle w:val="af2"/>
          <w:rFonts w:eastAsia="Guttman Hodes" w:hint="cs"/>
          <w:rtl/>
        </w:rPr>
        <w:t>ב' ד"ה ומה דפליגי)</w:t>
      </w:r>
      <w:r w:rsidRPr="00753705">
        <w:rPr>
          <w:rFonts w:hint="cs"/>
          <w:vanish/>
          <w:rtl/>
        </w:rPr>
        <w:t>=</w:t>
      </w:r>
      <w:r>
        <w:rPr>
          <w:rFonts w:hint="cs"/>
          <w:rtl/>
        </w:rPr>
        <w:t xml:space="preserve"> דאעפ"י דבאפיה ודאי דעיקר המלאכה הוא האפיה עצמה, ולא ההנחה בתנור, ולכן לכו"ע אם הוציא את הפת לפני האפיה פטור, מ"מ ס"ל </w:t>
      </w:r>
      <w:r w:rsidRPr="00753705">
        <w:rPr>
          <w:rStyle w:val="aff4"/>
          <w:rFonts w:hint="cs"/>
          <w:vanish/>
          <w:rtl/>
        </w:rPr>
        <w:t>-</w:t>
      </w:r>
      <w:r>
        <w:rPr>
          <w:rStyle w:val="aff4"/>
          <w:rFonts w:hint="cs"/>
          <w:vanish/>
          <w:rtl/>
        </w:rPr>
        <w:t>ל</w:t>
      </w:r>
      <w:r w:rsidRPr="003C379A">
        <w:rPr>
          <w:rStyle w:val="aff4"/>
          <w:rFonts w:hint="cs"/>
          <w:rtl/>
        </w:rPr>
        <w:t>המנחת חינוך</w:t>
      </w:r>
      <w:r w:rsidRPr="00753705">
        <w:rPr>
          <w:rStyle w:val="aff4"/>
          <w:rFonts w:hint="cs"/>
          <w:vanish/>
          <w:rtl/>
        </w:rPr>
        <w:t>-</w:t>
      </w:r>
      <w:r>
        <w:rPr>
          <w:rFonts w:hint="cs"/>
          <w:rtl/>
        </w:rPr>
        <w:t xml:space="preserve"> דהחיוב הוא רק על מעשה ההנחה, כיון דבמעשה הזה כלולה גם האפיה שהפת נאפית לאחר זמן, א"כ כ"מ שאפשר לחייבו על האפיה שכלולה במעשה כשהיא אפיה של איסור, אבל באופן שהאפיה נגמרה בחול, א"א לחייב על אפיה כזו </w:t>
      </w:r>
      <w:r>
        <w:rPr>
          <w:rFonts w:hint="cs"/>
          <w:rtl/>
        </w:rPr>
        <w:t>שהיא אפיה המותרת, אעפ"י שהיא כלולה במעשה שעשה בשבת</w:t>
      </w:r>
      <w:bookmarkEnd w:id="878"/>
      <w:r>
        <w:rPr>
          <w:rFonts w:hint="cs"/>
          <w:rtl/>
        </w:rPr>
        <w:t xml:space="preserve">, ועי' במ"ש </w:t>
      </w:r>
      <w:r w:rsidRPr="006855C5">
        <w:rPr>
          <w:rStyle w:val="aff4"/>
          <w:rFonts w:hint="cs"/>
          <w:vanish/>
          <w:rtl/>
        </w:rPr>
        <w:t>-</w:t>
      </w:r>
      <w:r w:rsidRPr="006855C5">
        <w:rPr>
          <w:rStyle w:val="aff4"/>
          <w:rFonts w:hint="cs"/>
          <w:rtl/>
        </w:rPr>
        <w:t>ה</w:t>
      </w:r>
      <w:r w:rsidRPr="006855C5">
        <w:rPr>
          <w:rStyle w:val="aff4"/>
          <w:rFonts w:hint="cs"/>
          <w:vanish/>
          <w:rtl/>
        </w:rPr>
        <w:t>&lt; &gt;</w:t>
      </w:r>
      <w:r w:rsidRPr="006855C5">
        <w:rPr>
          <w:rStyle w:val="aff4"/>
          <w:rFonts w:hint="cs"/>
          <w:rtl/>
        </w:rPr>
        <w:t>גרעק"א בגיטין</w:t>
      </w:r>
      <w:r w:rsidRPr="006855C5">
        <w:rPr>
          <w:rStyle w:val="aff4"/>
          <w:rFonts w:hint="cs"/>
          <w:vanish/>
          <w:rtl/>
        </w:rPr>
        <w:t>-</w:t>
      </w:r>
      <w:r>
        <w:rPr>
          <w:rFonts w:hint="cs"/>
          <w:rtl/>
        </w:rPr>
        <w:t xml:space="preserve"> </w:t>
      </w:r>
      <w:r w:rsidRPr="006855C5">
        <w:rPr>
          <w:rStyle w:val="af2"/>
          <w:rFonts w:eastAsia="Guttman Hodes" w:hint="cs"/>
          <w:rtl/>
        </w:rPr>
        <w:t>(לג. ד"ה כעת, עי' בהערה)</w:t>
      </w:r>
      <w:r w:rsidRPr="006855C5">
        <w:rPr>
          <w:rFonts w:hint="cs"/>
          <w:vanish/>
          <w:rtl/>
        </w:rPr>
        <w:t>=</w:t>
      </w:r>
      <w:r>
        <w:rPr>
          <w:rStyle w:val="afff0"/>
          <w:rtl/>
        </w:rPr>
        <w:footnoteReference w:id="2"/>
      </w:r>
      <w:r>
        <w:rPr>
          <w:rFonts w:hint="cs"/>
          <w:rtl/>
        </w:rPr>
        <w:t>.</w:t>
      </w:r>
      <w:bookmarkEnd w:id="879"/>
      <w:r>
        <w:rPr>
          <w:rFonts w:hint="cs"/>
          <w:rtl/>
        </w:rPr>
        <w:t xml:space="preserve"> </w:t>
      </w:r>
    </w:p>
    <w:p w14:paraId="17DE1A93" w14:textId="77777777" w:rsidR="001C69A8" w:rsidRDefault="001C69A8" w:rsidP="001C69A8">
      <w:pPr>
        <w:pStyle w:val="1"/>
        <w:rPr>
          <w:rtl/>
        </w:rPr>
      </w:pPr>
      <w:bookmarkStart w:id="880" w:name="_Toc134347721"/>
      <w:r>
        <w:rPr>
          <w:rFonts w:hint="cs"/>
          <w:rtl/>
        </w:rPr>
        <w:t>בי' אשר לשלמה ברש"ש דהמלאכה בקליטה והוי כאופה בעצמו</w:t>
      </w:r>
      <w:bookmarkEnd w:id="880"/>
    </w:p>
    <w:p w14:paraId="3EAE49CD" w14:textId="77777777" w:rsidR="001C69A8" w:rsidRPr="002A40DA" w:rsidRDefault="001C69A8" w:rsidP="001C69A8">
      <w:pPr>
        <w:pStyle w:val="afffff7"/>
        <w:rPr>
          <w:rtl/>
        </w:rPr>
      </w:pPr>
      <w:bookmarkStart w:id="881" w:name="_Toc163505520"/>
      <w:r w:rsidRPr="002A40DA">
        <w:rPr>
          <w:rFonts w:hint="cs"/>
          <w:rtl/>
        </w:rPr>
        <w:t>אשר לשלמה מועד סי</w:t>
      </w:r>
      <w:r w:rsidRPr="002A40DA">
        <w:rPr>
          <w:rtl/>
        </w:rPr>
        <w:t>'</w:t>
      </w:r>
      <w:r w:rsidRPr="002A40DA">
        <w:rPr>
          <w:rFonts w:hint="cs"/>
          <w:rtl/>
        </w:rPr>
        <w:t xml:space="preserve"> ל</w:t>
      </w:r>
      <w:r w:rsidRPr="002A40DA">
        <w:rPr>
          <w:rtl/>
        </w:rPr>
        <w:t>"</w:t>
      </w:r>
      <w:r w:rsidRPr="002A40DA">
        <w:rPr>
          <w:rFonts w:hint="cs"/>
          <w:rtl/>
        </w:rPr>
        <w:t>ח ב' ד"ה והנה בהא</w:t>
      </w:r>
      <w:bookmarkEnd w:id="881"/>
    </w:p>
    <w:p w14:paraId="3F52137E" w14:textId="77777777" w:rsidR="001C69A8" w:rsidRPr="000003D1" w:rsidRDefault="001C69A8" w:rsidP="001C69A8">
      <w:pPr>
        <w:pStyle w:val="a7"/>
      </w:pPr>
      <w:bookmarkStart w:id="882" w:name="_Toc134347722"/>
      <w:r>
        <w:rPr>
          <w:rFonts w:hint="cs"/>
          <w:rtl/>
        </w:rPr>
        <w:t>בי' האשר לשלמה ברש"ש דהזריעה היא רק מעשה האיסור והמלאכה בקליטה ולכן בסילק פטור</w:t>
      </w:r>
      <w:bookmarkEnd w:id="882"/>
    </w:p>
    <w:p w14:paraId="4AC29054" w14:textId="150A5E0C" w:rsidR="001C69A8" w:rsidRDefault="001C69A8" w:rsidP="00BC7DC8">
      <w:pPr>
        <w:pStyle w:val="a3"/>
        <w:rPr>
          <w:rtl/>
        </w:rPr>
      </w:pPr>
      <w:bookmarkStart w:id="883" w:name="_Ref134305263"/>
      <w:r>
        <w:rPr>
          <w:rFonts w:hint="cs"/>
          <w:rtl/>
        </w:rPr>
        <w:t xml:space="preserve">ובמ"ש </w:t>
      </w:r>
      <w:r w:rsidRPr="00753705">
        <w:rPr>
          <w:rStyle w:val="aff4"/>
          <w:rFonts w:hint="cs"/>
          <w:vanish/>
          <w:rtl/>
        </w:rPr>
        <w:t>-</w:t>
      </w:r>
      <w:r w:rsidRPr="003C379A">
        <w:rPr>
          <w:rStyle w:val="aff4"/>
          <w:rFonts w:hint="cs"/>
          <w:rtl/>
        </w:rPr>
        <w:t>הרש"ש</w:t>
      </w:r>
      <w:r w:rsidRPr="00753705">
        <w:rPr>
          <w:rStyle w:val="aff4"/>
          <w:rFonts w:hint="cs"/>
          <w:vanish/>
          <w:rtl/>
        </w:rPr>
        <w:t>-</w:t>
      </w:r>
      <w:r>
        <w:rPr>
          <w:rFonts w:hint="cs"/>
          <w:rtl/>
        </w:rPr>
        <w:t xml:space="preserve"> </w:t>
      </w:r>
      <w:r w:rsidRPr="00277835">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Ref133266181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מד)</w:t>
      </w:r>
      <w:r>
        <w:rPr>
          <w:rStyle w:val="af2"/>
          <w:rFonts w:eastAsia="Guttman Hodes"/>
          <w:rtl/>
        </w:rPr>
        <w:fldChar w:fldCharType="end"/>
      </w:r>
      <w:r>
        <w:rPr>
          <w:rFonts w:hint="cs"/>
          <w:rtl/>
        </w:rPr>
        <w:t xml:space="preserve"> דבזורע חייב אף אם הוציא את הזרעים מהקרקע, ואף באפיה אם הניח בשבת וסילק לאחר השבת חייב, ביאר </w:t>
      </w:r>
      <w:r w:rsidRPr="00753705">
        <w:rPr>
          <w:rStyle w:val="aff4"/>
          <w:rFonts w:hint="cs"/>
          <w:vanish/>
          <w:rtl/>
        </w:rPr>
        <w:t>-</w:t>
      </w:r>
      <w:r w:rsidRPr="003C379A">
        <w:rPr>
          <w:rStyle w:val="aff4"/>
          <w:rFonts w:hint="cs"/>
          <w:rtl/>
        </w:rPr>
        <w:t>האשר לשלמה</w:t>
      </w:r>
      <w:r w:rsidRPr="00753705">
        <w:rPr>
          <w:rStyle w:val="aff4"/>
          <w:rFonts w:hint="cs"/>
          <w:vanish/>
          <w:rtl/>
        </w:rPr>
        <w:t>-</w:t>
      </w:r>
      <w:r>
        <w:rPr>
          <w:rFonts w:hint="cs"/>
          <w:rtl/>
        </w:rPr>
        <w:t xml:space="preserve"> </w:t>
      </w:r>
      <w:r w:rsidRPr="00277835">
        <w:rPr>
          <w:rStyle w:val="af2"/>
          <w:rFonts w:eastAsia="Guttman Hodes" w:hint="cs"/>
          <w:rtl/>
        </w:rPr>
        <w:t>(</w:t>
      </w:r>
      <w:r>
        <w:rPr>
          <w:rStyle w:val="af2"/>
          <w:rFonts w:eastAsia="Guttman Hodes" w:hint="cs"/>
          <w:rtl/>
        </w:rPr>
        <w:t>מועד סי</w:t>
      </w:r>
      <w:r>
        <w:rPr>
          <w:rStyle w:val="af2"/>
          <w:rFonts w:eastAsia="Guttman Hodes"/>
          <w:rtl/>
        </w:rPr>
        <w:t>'</w:t>
      </w:r>
      <w:r>
        <w:rPr>
          <w:rStyle w:val="af2"/>
          <w:rFonts w:eastAsia="Guttman Hodes" w:hint="cs"/>
          <w:rtl/>
        </w:rPr>
        <w:t xml:space="preserve"> ל</w:t>
      </w:r>
      <w:r>
        <w:rPr>
          <w:rStyle w:val="af2"/>
          <w:rFonts w:eastAsia="Guttman Hodes"/>
          <w:rtl/>
        </w:rPr>
        <w:t>"</w:t>
      </w:r>
      <w:r>
        <w:rPr>
          <w:rStyle w:val="af2"/>
          <w:rFonts w:eastAsia="Guttman Hodes" w:hint="cs"/>
          <w:rtl/>
        </w:rPr>
        <w:t xml:space="preserve">ח </w:t>
      </w:r>
      <w:r w:rsidRPr="00277835">
        <w:rPr>
          <w:rStyle w:val="af2"/>
          <w:rFonts w:eastAsia="Guttman Hodes" w:hint="cs"/>
          <w:rtl/>
        </w:rPr>
        <w:t>ב'</w:t>
      </w:r>
      <w:r w:rsidRPr="00277835">
        <w:rPr>
          <w:rStyle w:val="af2"/>
          <w:rFonts w:eastAsia="Guttman Hodes"/>
          <w:rtl/>
        </w:rPr>
        <w:t xml:space="preserve"> ד"ה והנה בהא</w:t>
      </w:r>
      <w:r w:rsidRPr="00277835">
        <w:rPr>
          <w:rStyle w:val="af2"/>
          <w:rFonts w:eastAsia="Guttman Hodes" w:hint="cs"/>
          <w:rtl/>
        </w:rPr>
        <w:t>)</w:t>
      </w:r>
      <w:r>
        <w:rPr>
          <w:rStyle w:val="af2"/>
          <w:rFonts w:eastAsia="Guttman Hodes" w:hint="cs"/>
          <w:rtl/>
        </w:rPr>
        <w:t xml:space="preserve"> </w:t>
      </w:r>
      <w:r>
        <w:rPr>
          <w:rFonts w:hint="cs"/>
          <w:rtl/>
        </w:rPr>
        <w:t xml:space="preserve">דס"ל </w:t>
      </w:r>
      <w:r w:rsidRPr="00753705">
        <w:rPr>
          <w:rStyle w:val="aff4"/>
          <w:rFonts w:hint="cs"/>
          <w:vanish/>
          <w:rtl/>
        </w:rPr>
        <w:t>-</w:t>
      </w:r>
      <w:r>
        <w:rPr>
          <w:rStyle w:val="aff4"/>
          <w:rFonts w:hint="cs"/>
          <w:rtl/>
        </w:rPr>
        <w:t>לה</w:t>
      </w:r>
      <w:r w:rsidRPr="003C379A">
        <w:rPr>
          <w:rStyle w:val="aff4"/>
          <w:rFonts w:hint="cs"/>
          <w:rtl/>
        </w:rPr>
        <w:t>רש"ש</w:t>
      </w:r>
      <w:r w:rsidRPr="00753705">
        <w:rPr>
          <w:rStyle w:val="aff4"/>
          <w:rFonts w:hint="cs"/>
          <w:vanish/>
          <w:rtl/>
        </w:rPr>
        <w:t>-</w:t>
      </w:r>
      <w:r>
        <w:rPr>
          <w:rFonts w:hint="cs"/>
          <w:rtl/>
        </w:rPr>
        <w:t xml:space="preserve"> דמעשה האיסור הוא הזריעה, אבל המלאכה עצמה הוא כשהזרעים נקלטים בקרקע, והחיוב בכל זורע הוא על קליטת הזרעים שנעשית ע"י מעשה הזריעה שזרע בשבת, ולכן ס"ל </w:t>
      </w:r>
      <w:r w:rsidRPr="00753705">
        <w:rPr>
          <w:rStyle w:val="aff4"/>
          <w:rFonts w:hint="cs"/>
          <w:vanish/>
          <w:rtl/>
        </w:rPr>
        <w:t>-</w:t>
      </w:r>
      <w:r w:rsidRPr="003C379A">
        <w:rPr>
          <w:rStyle w:val="aff4"/>
          <w:rFonts w:hint="cs"/>
          <w:rtl/>
        </w:rPr>
        <w:t>להרש"ש</w:t>
      </w:r>
      <w:r w:rsidRPr="00753705">
        <w:rPr>
          <w:rStyle w:val="aff4"/>
          <w:rFonts w:hint="cs"/>
          <w:vanish/>
          <w:rtl/>
        </w:rPr>
        <w:t>-</w:t>
      </w:r>
      <w:r>
        <w:rPr>
          <w:rFonts w:hint="cs"/>
          <w:rtl/>
        </w:rPr>
        <w:t xml:space="preserve"> דזורע דמי לאופה שהמלאכה היא האפיה ולא ההנחה בתנור, ואם הוציא את הזרעים לפני שהשרישו פטור, כמו ברודה פת </w:t>
      </w:r>
      <w:r w:rsidRPr="000003D1">
        <w:rPr>
          <w:rFonts w:hint="cs"/>
          <w:rtl/>
        </w:rPr>
        <w:t>לפני האפיה.</w:t>
      </w:r>
      <w:bookmarkEnd w:id="883"/>
    </w:p>
    <w:p w14:paraId="03BA35D3" w14:textId="776418BB" w:rsidR="001C69A8" w:rsidRPr="0000488C" w:rsidRDefault="001C69A8" w:rsidP="00747170">
      <w:pPr>
        <w:pStyle w:val="afffff5"/>
        <w:rPr>
          <w:rtl/>
        </w:rPr>
      </w:pPr>
    </w:p>
    <w:p w14:paraId="19AF9F32" w14:textId="77777777" w:rsidR="001C69A8" w:rsidRPr="002A40DA" w:rsidRDefault="001C69A8" w:rsidP="001C69A8">
      <w:pPr>
        <w:pStyle w:val="afffff7"/>
        <w:rPr>
          <w:rtl/>
        </w:rPr>
      </w:pPr>
      <w:bookmarkStart w:id="884" w:name="_Toc163505521"/>
      <w:r w:rsidRPr="002A40DA">
        <w:rPr>
          <w:rFonts w:hint="cs"/>
          <w:rtl/>
        </w:rPr>
        <w:t>אשר לשלמה מועד סי</w:t>
      </w:r>
      <w:r w:rsidRPr="002A40DA">
        <w:rPr>
          <w:rtl/>
        </w:rPr>
        <w:t>'</w:t>
      </w:r>
      <w:r w:rsidRPr="002A40DA">
        <w:rPr>
          <w:rFonts w:hint="cs"/>
          <w:rtl/>
        </w:rPr>
        <w:t xml:space="preserve"> ל</w:t>
      </w:r>
      <w:r w:rsidRPr="002A40DA">
        <w:rPr>
          <w:rtl/>
        </w:rPr>
        <w:t>"</w:t>
      </w:r>
      <w:r w:rsidRPr="002A40DA">
        <w:rPr>
          <w:rFonts w:hint="cs"/>
          <w:rtl/>
        </w:rPr>
        <w:t>ח ב' ד"ה ומה דפליגי</w:t>
      </w:r>
      <w:bookmarkEnd w:id="884"/>
    </w:p>
    <w:p w14:paraId="017AF5D8" w14:textId="77777777" w:rsidR="001C69A8" w:rsidRDefault="001C69A8" w:rsidP="001C69A8">
      <w:pPr>
        <w:pStyle w:val="a7"/>
      </w:pPr>
      <w:bookmarkStart w:id="885" w:name="_Toc134347723"/>
      <w:r>
        <w:rPr>
          <w:rFonts w:hint="cs"/>
          <w:rtl/>
        </w:rPr>
        <w:t>בי' האשר לשלמה ברש"ש דע"י ההנחה חשיב שעכשיו הוא אופה לאח"ז ואף בנאפית בחול חייב</w:t>
      </w:r>
      <w:bookmarkEnd w:id="885"/>
    </w:p>
    <w:p w14:paraId="6536072E" w14:textId="68080F8E" w:rsidR="001C69A8" w:rsidRDefault="001C69A8" w:rsidP="00BC7DC8">
      <w:pPr>
        <w:pStyle w:val="a3"/>
        <w:rPr>
          <w:rtl/>
        </w:rPr>
      </w:pPr>
      <w:bookmarkStart w:id="886" w:name="_Ref134329985"/>
      <w:r>
        <w:rPr>
          <w:rFonts w:hint="cs"/>
          <w:rtl/>
        </w:rPr>
        <w:t xml:space="preserve">ובמ"ש </w:t>
      </w:r>
      <w:r w:rsidRPr="0091764B">
        <w:rPr>
          <w:rStyle w:val="aff4"/>
          <w:rFonts w:hint="cs"/>
          <w:vanish/>
          <w:rtl/>
        </w:rPr>
        <w:t>-</w:t>
      </w:r>
      <w:r w:rsidRPr="003C379A">
        <w:rPr>
          <w:rStyle w:val="aff4"/>
          <w:rFonts w:hint="cs"/>
          <w:rtl/>
        </w:rPr>
        <w:t>הרש"ש</w:t>
      </w:r>
      <w:r w:rsidRPr="0091764B">
        <w:rPr>
          <w:rStyle w:val="aff4"/>
          <w:rFonts w:hint="cs"/>
          <w:vanish/>
          <w:rtl/>
        </w:rPr>
        <w:t>-</w:t>
      </w:r>
      <w:r>
        <w:rPr>
          <w:rFonts w:hint="cs"/>
          <w:rtl/>
        </w:rPr>
        <w:t xml:space="preserve"> </w:t>
      </w:r>
      <w:r w:rsidRPr="00277835">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Ref133942466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סח)</w:t>
      </w:r>
      <w:r>
        <w:rPr>
          <w:rStyle w:val="af2"/>
          <w:rFonts w:eastAsia="Guttman Hodes"/>
          <w:rtl/>
        </w:rPr>
        <w:fldChar w:fldCharType="end"/>
      </w:r>
      <w:r>
        <w:rPr>
          <w:rFonts w:hint="cs"/>
          <w:rtl/>
        </w:rPr>
        <w:t xml:space="preserve"> דבהניח בתנור בשבת ונגמרה האפיה בחול חייב, ביאר </w:t>
      </w:r>
      <w:r w:rsidRPr="0091764B">
        <w:rPr>
          <w:rStyle w:val="aff4"/>
          <w:rFonts w:hint="cs"/>
          <w:vanish/>
          <w:rtl/>
        </w:rPr>
        <w:t>-</w:t>
      </w:r>
      <w:r w:rsidRPr="003C379A">
        <w:rPr>
          <w:rStyle w:val="aff4"/>
          <w:rFonts w:hint="cs"/>
          <w:rtl/>
        </w:rPr>
        <w:t>האשר לשלמה</w:t>
      </w:r>
      <w:r w:rsidRPr="0091764B">
        <w:rPr>
          <w:rStyle w:val="aff4"/>
          <w:rFonts w:hint="cs"/>
          <w:vanish/>
          <w:rtl/>
        </w:rPr>
        <w:t>-</w:t>
      </w:r>
      <w:r>
        <w:rPr>
          <w:rFonts w:hint="cs"/>
          <w:rtl/>
        </w:rPr>
        <w:t xml:space="preserve"> </w:t>
      </w:r>
      <w:r w:rsidRPr="00277835">
        <w:rPr>
          <w:rStyle w:val="af2"/>
          <w:rFonts w:eastAsia="Guttman Hodes" w:hint="cs"/>
          <w:rtl/>
        </w:rPr>
        <w:t>(</w:t>
      </w:r>
      <w:r>
        <w:rPr>
          <w:rStyle w:val="af2"/>
          <w:rFonts w:eastAsia="Guttman Hodes" w:hint="cs"/>
          <w:rtl/>
        </w:rPr>
        <w:t>מועד סי</w:t>
      </w:r>
      <w:r>
        <w:rPr>
          <w:rStyle w:val="af2"/>
          <w:rFonts w:eastAsia="Guttman Hodes"/>
          <w:rtl/>
        </w:rPr>
        <w:t>'</w:t>
      </w:r>
      <w:r>
        <w:rPr>
          <w:rStyle w:val="af2"/>
          <w:rFonts w:eastAsia="Guttman Hodes" w:hint="cs"/>
          <w:rtl/>
        </w:rPr>
        <w:t xml:space="preserve"> ל</w:t>
      </w:r>
      <w:r>
        <w:rPr>
          <w:rStyle w:val="af2"/>
          <w:rFonts w:eastAsia="Guttman Hodes"/>
          <w:rtl/>
        </w:rPr>
        <w:t>"</w:t>
      </w:r>
      <w:r>
        <w:rPr>
          <w:rStyle w:val="af2"/>
          <w:rFonts w:eastAsia="Guttman Hodes" w:hint="cs"/>
          <w:rtl/>
        </w:rPr>
        <w:t xml:space="preserve">ח </w:t>
      </w:r>
      <w:r w:rsidRPr="00277835">
        <w:rPr>
          <w:rStyle w:val="af2"/>
          <w:rFonts w:eastAsia="Guttman Hodes" w:hint="cs"/>
          <w:rtl/>
        </w:rPr>
        <w:t>ב' ד"ה ומה דפליגי)</w:t>
      </w:r>
      <w:r>
        <w:rPr>
          <w:rFonts w:hint="cs"/>
          <w:rtl/>
        </w:rPr>
        <w:t xml:space="preserve"> דס"ל </w:t>
      </w:r>
      <w:r w:rsidRPr="0091764B">
        <w:rPr>
          <w:rStyle w:val="aff4"/>
          <w:rFonts w:hint="cs"/>
          <w:vanish/>
          <w:rtl/>
        </w:rPr>
        <w:t>-</w:t>
      </w:r>
      <w:r>
        <w:rPr>
          <w:rStyle w:val="aff4"/>
          <w:rFonts w:hint="cs"/>
          <w:rtl/>
        </w:rPr>
        <w:t>ל</w:t>
      </w:r>
      <w:r w:rsidRPr="003C379A">
        <w:rPr>
          <w:rStyle w:val="aff4"/>
          <w:rFonts w:hint="cs"/>
          <w:rtl/>
        </w:rPr>
        <w:t>הרש"ש</w:t>
      </w:r>
      <w:r w:rsidRPr="0091764B">
        <w:rPr>
          <w:rStyle w:val="aff4"/>
          <w:rFonts w:hint="cs"/>
          <w:vanish/>
          <w:rtl/>
        </w:rPr>
        <w:t>-</w:t>
      </w:r>
      <w:r>
        <w:rPr>
          <w:rFonts w:hint="cs"/>
          <w:rtl/>
        </w:rPr>
        <w:t xml:space="preserve"> דבאפיה ודאי דעיקר המלאכה הוא האפיה עצמה, ולא ההנחה בתנור, והא דמעשה ההנחה בתנור הוא המעשה המחייב, הוא כיון דע"י המעשה הזה חשיב שבשעת האפיה עצמה הוא האופה, ואף שהאפיה היא לאחר המעשה שלו, מ"מ חשיב דהאפיה היא מכחו ע"י מעשיו, במה שעשה בתחילה כשהניח בתנור, וכיון דהמעשה נעשה בשבת, א"כ אף אם האפיה עצמה היא בחול, מ"מ חשיב שהוא עשה מעשה של אפיה בשבת עצמה, ורק אם רדה את הפת לפני שנעשית א"כ א"א לומר דבמעשה ההנחה כלולה גם האפיה, דהא לא הייתה אפיה לבסוף.</w:t>
      </w:r>
      <w:bookmarkEnd w:id="886"/>
      <w:r>
        <w:rPr>
          <w:rFonts w:hint="cs"/>
          <w:rtl/>
        </w:rPr>
        <w:t xml:space="preserve"> </w:t>
      </w:r>
    </w:p>
    <w:p w14:paraId="64BE53E4" w14:textId="77777777" w:rsidR="001C69A8" w:rsidRPr="00400E5F" w:rsidRDefault="001C69A8" w:rsidP="001C69A8">
      <w:pPr>
        <w:pStyle w:val="1"/>
        <w:rPr>
          <w:rtl/>
        </w:rPr>
      </w:pPr>
      <w:bookmarkStart w:id="887" w:name="_Toc134347724"/>
      <w:r>
        <w:rPr>
          <w:rFonts w:hint="cs"/>
          <w:rtl/>
        </w:rPr>
        <w:t>קו' האשר לשלמה דבנימוק"י מוכח דהמעשה כולל את האפיה</w:t>
      </w:r>
      <w:bookmarkEnd w:id="887"/>
    </w:p>
    <w:p w14:paraId="2AB61DC2" w14:textId="77777777" w:rsidR="001C69A8" w:rsidRDefault="001C69A8" w:rsidP="001C69A8">
      <w:pPr>
        <w:pStyle w:val="afffff7"/>
        <w:rPr>
          <w:rtl/>
        </w:rPr>
      </w:pPr>
      <w:bookmarkStart w:id="888" w:name="_Toc134550228"/>
      <w:bookmarkStart w:id="889" w:name="_Toc163505522"/>
      <w:r>
        <w:rPr>
          <w:rFonts w:hint="cs"/>
          <w:rtl/>
        </w:rPr>
        <w:t>אשר לשלמה מועד סי</w:t>
      </w:r>
      <w:r>
        <w:rPr>
          <w:rtl/>
        </w:rPr>
        <w:t>'</w:t>
      </w:r>
      <w:r>
        <w:rPr>
          <w:rFonts w:hint="cs"/>
          <w:rtl/>
        </w:rPr>
        <w:t xml:space="preserve"> ל</w:t>
      </w:r>
      <w:r>
        <w:rPr>
          <w:rtl/>
        </w:rPr>
        <w:t>"</w:t>
      </w:r>
      <w:r>
        <w:rPr>
          <w:rFonts w:hint="cs"/>
          <w:rtl/>
        </w:rPr>
        <w:t>ח ב' ד"ה אולם צ"ע</w:t>
      </w:r>
      <w:bookmarkEnd w:id="888"/>
      <w:bookmarkEnd w:id="889"/>
    </w:p>
    <w:p w14:paraId="27A06F79" w14:textId="77777777" w:rsidR="001C69A8" w:rsidRPr="002E2ADB" w:rsidRDefault="001C69A8" w:rsidP="001C69A8">
      <w:pPr>
        <w:pStyle w:val="a7"/>
        <w:rPr>
          <w:rtl/>
        </w:rPr>
      </w:pPr>
      <w:bookmarkStart w:id="890" w:name="_Toc134347725"/>
      <w:r>
        <w:rPr>
          <w:rFonts w:hint="cs"/>
          <w:rtl/>
        </w:rPr>
        <w:t>קו' האשר לשלמה דמבו' בנימוק"י דבהדלקת אש נעשה כל המעשה וצריך לחייב בנאפית בחול</w:t>
      </w:r>
      <w:bookmarkEnd w:id="890"/>
    </w:p>
    <w:p w14:paraId="74795E5D" w14:textId="73832994" w:rsidR="001C69A8" w:rsidRPr="0000488C" w:rsidRDefault="001C69A8" w:rsidP="00BC7DC8">
      <w:pPr>
        <w:pStyle w:val="a3"/>
      </w:pPr>
      <w:bookmarkStart w:id="891" w:name="_Ref134339206"/>
      <w:bookmarkStart w:id="892" w:name="_Ref133920843"/>
      <w:r>
        <w:rPr>
          <w:rFonts w:hint="cs"/>
          <w:rtl/>
        </w:rPr>
        <w:t xml:space="preserve">אך הקשה </w:t>
      </w:r>
      <w:r w:rsidRPr="00753705">
        <w:rPr>
          <w:rStyle w:val="aff4"/>
          <w:rFonts w:hint="cs"/>
          <w:vanish/>
          <w:rtl/>
        </w:rPr>
        <w:t>-</w:t>
      </w:r>
      <w:r w:rsidRPr="003C379A">
        <w:rPr>
          <w:rStyle w:val="aff4"/>
          <w:rFonts w:hint="cs"/>
          <w:rtl/>
        </w:rPr>
        <w:t>ה</w:t>
      </w:r>
      <w:r w:rsidRPr="00753705">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Ref133920843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פה)</w:t>
      </w:r>
      <w:r>
        <w:rPr>
          <w:rStyle w:val="aff4"/>
          <w:vanish/>
          <w:rtl/>
        </w:rPr>
        <w:fldChar w:fldCharType="end"/>
      </w:r>
      <w:r w:rsidRPr="00753705">
        <w:rPr>
          <w:rStyle w:val="aff4"/>
          <w:rFonts w:hint="cs"/>
          <w:vanish/>
          <w:rtl/>
        </w:rPr>
        <w:t xml:space="preserve"> &gt;</w:t>
      </w:r>
      <w:r w:rsidRPr="003C379A">
        <w:rPr>
          <w:rStyle w:val="aff4"/>
          <w:rFonts w:hint="cs"/>
          <w:rtl/>
        </w:rPr>
        <w:t>אשר לשלמה</w:t>
      </w:r>
      <w:r w:rsidRPr="00753705">
        <w:rPr>
          <w:rStyle w:val="aff4"/>
          <w:rFonts w:hint="cs"/>
          <w:vanish/>
          <w:rtl/>
        </w:rPr>
        <w:t>-</w:t>
      </w:r>
      <w:r>
        <w:rPr>
          <w:rFonts w:hint="cs"/>
          <w:rtl/>
        </w:rPr>
        <w:t xml:space="preserve"> </w:t>
      </w:r>
      <w:r w:rsidRPr="00277835">
        <w:rPr>
          <w:rStyle w:val="af2"/>
          <w:rFonts w:eastAsia="Guttman Hodes" w:hint="cs"/>
          <w:rtl/>
        </w:rPr>
        <w:t>(</w:t>
      </w:r>
      <w:r>
        <w:rPr>
          <w:rStyle w:val="af2"/>
          <w:rFonts w:eastAsia="Guttman Hodes" w:hint="cs"/>
          <w:rtl/>
        </w:rPr>
        <w:t>מועד סי</w:t>
      </w:r>
      <w:r>
        <w:rPr>
          <w:rStyle w:val="af2"/>
          <w:rFonts w:eastAsia="Guttman Hodes"/>
          <w:rtl/>
        </w:rPr>
        <w:t>'</w:t>
      </w:r>
      <w:r>
        <w:rPr>
          <w:rStyle w:val="af2"/>
          <w:rFonts w:eastAsia="Guttman Hodes" w:hint="cs"/>
          <w:rtl/>
        </w:rPr>
        <w:t xml:space="preserve"> ל</w:t>
      </w:r>
      <w:r>
        <w:rPr>
          <w:rStyle w:val="af2"/>
          <w:rFonts w:eastAsia="Guttman Hodes"/>
          <w:rtl/>
        </w:rPr>
        <w:t>"</w:t>
      </w:r>
      <w:r>
        <w:rPr>
          <w:rStyle w:val="af2"/>
          <w:rFonts w:eastAsia="Guttman Hodes" w:hint="cs"/>
          <w:rtl/>
        </w:rPr>
        <w:t xml:space="preserve">ח </w:t>
      </w:r>
      <w:r w:rsidRPr="00277835">
        <w:rPr>
          <w:rStyle w:val="af2"/>
          <w:rFonts w:eastAsia="Guttman Hodes" w:hint="cs"/>
          <w:rtl/>
        </w:rPr>
        <w:t>ב' ד"ה אולם צ"ע)</w:t>
      </w:r>
      <w:r w:rsidRPr="00753705">
        <w:rPr>
          <w:rFonts w:hint="cs"/>
          <w:vanish/>
          <w:rtl/>
        </w:rPr>
        <w:t>=</w:t>
      </w:r>
      <w:r>
        <w:rPr>
          <w:rFonts w:hint="cs"/>
          <w:rtl/>
        </w:rPr>
        <w:t xml:space="preserve"> </w:t>
      </w:r>
      <w:bookmarkStart w:id="893" w:name="_Hlk134337755"/>
      <w:r>
        <w:rPr>
          <w:rFonts w:hint="cs"/>
          <w:rtl/>
        </w:rPr>
        <w:t xml:space="preserve">דהא כתב </w:t>
      </w:r>
      <w:r w:rsidRPr="00753705">
        <w:rPr>
          <w:rStyle w:val="aff4"/>
          <w:rFonts w:hint="cs"/>
          <w:vanish/>
          <w:rtl/>
        </w:rPr>
        <w:t>-</w:t>
      </w:r>
      <w:r w:rsidRPr="003C379A">
        <w:rPr>
          <w:rStyle w:val="aff4"/>
          <w:rFonts w:hint="cs"/>
          <w:rtl/>
        </w:rPr>
        <w:t>ה</w:t>
      </w:r>
      <w:r w:rsidRPr="00753705">
        <w:rPr>
          <w:rStyle w:val="aff4"/>
          <w:rFonts w:hint="cs"/>
          <w:vanish/>
          <w:rtl/>
        </w:rPr>
        <w:t>&lt; &gt;</w:t>
      </w:r>
      <w:r w:rsidRPr="003C379A">
        <w:rPr>
          <w:rStyle w:val="aff4"/>
          <w:rFonts w:hint="cs"/>
          <w:rtl/>
        </w:rPr>
        <w:t>נימוק"י בב"ק</w:t>
      </w:r>
      <w:r w:rsidRPr="00753705">
        <w:rPr>
          <w:rStyle w:val="aff4"/>
          <w:rFonts w:hint="cs"/>
          <w:vanish/>
          <w:rtl/>
        </w:rPr>
        <w:t>-</w:t>
      </w:r>
      <w:r>
        <w:rPr>
          <w:rFonts w:hint="cs"/>
          <w:rtl/>
        </w:rPr>
        <w:t xml:space="preserve"> </w:t>
      </w:r>
      <w:r w:rsidRPr="00277835">
        <w:rPr>
          <w:rStyle w:val="af2"/>
          <w:rFonts w:eastAsia="Guttman Hodes" w:hint="cs"/>
          <w:rtl/>
        </w:rPr>
        <w:t>(י. מדה"ר ד"ה אשו)</w:t>
      </w:r>
      <w:r w:rsidRPr="00753705">
        <w:rPr>
          <w:rFonts w:hint="cs"/>
          <w:vanish/>
          <w:rtl/>
        </w:rPr>
        <w:t>=</w:t>
      </w:r>
      <w:r>
        <w:rPr>
          <w:rFonts w:hint="cs"/>
          <w:rtl/>
        </w:rPr>
        <w:t xml:space="preserve"> דבאשו משום חציו חייב לענין שבת, כיון דבשעת ההדלקה הוא עשה את כל המעשה, וכדמוכח מהא דמותר להדליק אש לפני שבת, אעפ"י דההדלקה נגמרת בשבת,</w:t>
      </w:r>
      <w:bookmarkEnd w:id="893"/>
      <w:r>
        <w:rPr>
          <w:rFonts w:hint="cs"/>
          <w:rtl/>
        </w:rPr>
        <w:t xml:space="preserve"> וא"כ כל שהניח בתנור בשבת צריך להתחייב, אעפ"י שהאפיה נגמרה בחול, כי כל המעשה שלו הוא נעשה בשבת, ודלא </w:t>
      </w:r>
      <w:r w:rsidRPr="00753705">
        <w:rPr>
          <w:rStyle w:val="aff4"/>
          <w:rFonts w:hint="cs"/>
          <w:vanish/>
          <w:rtl/>
        </w:rPr>
        <w:t>-</w:t>
      </w:r>
      <w:r w:rsidRPr="003C379A">
        <w:rPr>
          <w:rStyle w:val="aff4"/>
          <w:rFonts w:hint="cs"/>
          <w:rtl/>
        </w:rPr>
        <w:t>כהמנחת חינוך</w:t>
      </w:r>
      <w:r w:rsidRPr="00753705">
        <w:rPr>
          <w:rStyle w:val="aff4"/>
          <w:rFonts w:hint="cs"/>
          <w:vanish/>
          <w:rtl/>
        </w:rPr>
        <w:t>-</w:t>
      </w:r>
      <w:r>
        <w:rPr>
          <w:rFonts w:hint="cs"/>
          <w:rtl/>
        </w:rPr>
        <w:t xml:space="preserve">  דפטר.</w:t>
      </w:r>
      <w:bookmarkEnd w:id="891"/>
    </w:p>
    <w:p w14:paraId="1EC04BCF" w14:textId="77777777" w:rsidR="00702FC6" w:rsidRDefault="00702FC6" w:rsidP="001C69A8">
      <w:pPr>
        <w:pStyle w:val="a7"/>
        <w:rPr>
          <w:rtl/>
        </w:rPr>
      </w:pPr>
      <w:bookmarkStart w:id="894" w:name="_Toc134347726"/>
    </w:p>
    <w:p w14:paraId="0C6CCE96" w14:textId="77777777" w:rsidR="00702FC6" w:rsidRDefault="00702FC6" w:rsidP="001C69A8">
      <w:pPr>
        <w:pStyle w:val="a7"/>
        <w:rPr>
          <w:rtl/>
        </w:rPr>
      </w:pPr>
    </w:p>
    <w:p w14:paraId="6F260E31" w14:textId="5229108D" w:rsidR="001C69A8" w:rsidRDefault="001C69A8" w:rsidP="001C69A8">
      <w:pPr>
        <w:pStyle w:val="a7"/>
      </w:pPr>
      <w:r>
        <w:rPr>
          <w:rFonts w:hint="cs"/>
          <w:rtl/>
        </w:rPr>
        <w:lastRenderedPageBreak/>
        <w:t>בי' האשר לשלמה דכיון דבהניח בשוגג ונזכר פטור מוכח דצריך שגגה במעשה וה"ה דבחול פטור</w:t>
      </w:r>
      <w:bookmarkEnd w:id="894"/>
      <w:r>
        <w:rPr>
          <w:rFonts w:hint="cs"/>
          <w:rtl/>
        </w:rPr>
        <w:t xml:space="preserve"> </w:t>
      </w:r>
    </w:p>
    <w:p w14:paraId="21FB6A1C" w14:textId="5BF4F291" w:rsidR="001C69A8" w:rsidRDefault="001C69A8" w:rsidP="00BC7DC8">
      <w:pPr>
        <w:pStyle w:val="a3"/>
        <w:rPr>
          <w:rtl/>
        </w:rPr>
      </w:pPr>
      <w:r>
        <w:rPr>
          <w:rFonts w:hint="cs"/>
          <w:rtl/>
        </w:rPr>
        <w:t xml:space="preserve">וכתב </w:t>
      </w:r>
      <w:r w:rsidRPr="001E13AC">
        <w:rPr>
          <w:rStyle w:val="aff4"/>
          <w:rFonts w:hint="cs"/>
          <w:vanish/>
          <w:rtl/>
        </w:rPr>
        <w:t>-</w:t>
      </w:r>
      <w:r w:rsidRPr="001F3123">
        <w:rPr>
          <w:rStyle w:val="aff4"/>
          <w:rFonts w:hint="cs"/>
          <w:rtl/>
        </w:rPr>
        <w:t>האשר לשלמה</w:t>
      </w:r>
      <w:r w:rsidRPr="001E13AC">
        <w:rPr>
          <w:rStyle w:val="aff4"/>
          <w:rFonts w:hint="cs"/>
          <w:vanish/>
          <w:rtl/>
        </w:rPr>
        <w:t>-</w:t>
      </w:r>
      <w:r>
        <w:rPr>
          <w:rFonts w:hint="cs"/>
          <w:rtl/>
        </w:rPr>
        <w:t xml:space="preserve"> דאפש"ל דכיון דאם הניח בשוגג ונזכר לפני האפיה לא חשיב שוגג, ומוכח דצריך שיהיה שוגג גם בשעת המעשה </w:t>
      </w:r>
      <w:r>
        <w:rPr>
          <w:rFonts w:hint="cs"/>
          <w:rtl/>
        </w:rPr>
        <w:t xml:space="preserve">של המלאכה עצמה, וא"כ אפש"ל דאף החיוב על המלאכה יהיה בשבת עצמה ולא לאחר השבת, והניח </w:t>
      </w:r>
      <w:r w:rsidRPr="00753705">
        <w:rPr>
          <w:rStyle w:val="aff4"/>
          <w:rFonts w:hint="cs"/>
          <w:vanish/>
          <w:rtl/>
        </w:rPr>
        <w:t>-</w:t>
      </w:r>
      <w:r w:rsidRPr="003C379A">
        <w:rPr>
          <w:rStyle w:val="aff4"/>
          <w:rFonts w:hint="cs"/>
          <w:rtl/>
        </w:rPr>
        <w:t>האשר לשלמה</w:t>
      </w:r>
      <w:r w:rsidRPr="00753705">
        <w:rPr>
          <w:rStyle w:val="aff4"/>
          <w:rFonts w:hint="cs"/>
          <w:vanish/>
          <w:rtl/>
        </w:rPr>
        <w:t>-</w:t>
      </w:r>
      <w:r>
        <w:rPr>
          <w:rFonts w:hint="cs"/>
          <w:rtl/>
        </w:rPr>
        <w:t xml:space="preserve"> בצ"ע, ועי' במ"ש בזה </w:t>
      </w:r>
      <w:r w:rsidRPr="00625CD8">
        <w:rPr>
          <w:rStyle w:val="aff4"/>
          <w:rFonts w:hint="cs"/>
          <w:vanish/>
          <w:rtl/>
        </w:rPr>
        <w:t>-</w:t>
      </w:r>
      <w:r w:rsidRPr="00625CD8">
        <w:rPr>
          <w:rStyle w:val="aff4"/>
          <w:rFonts w:hint="cs"/>
          <w:rtl/>
        </w:rPr>
        <w:t>בשו"ת הר צבי</w:t>
      </w:r>
      <w:r w:rsidRPr="00625CD8">
        <w:rPr>
          <w:rStyle w:val="aff4"/>
          <w:rFonts w:hint="cs"/>
          <w:vanish/>
          <w:rtl/>
        </w:rPr>
        <w:t>-</w:t>
      </w:r>
      <w:r w:rsidRPr="00625CD8">
        <w:rPr>
          <w:rStyle w:val="aff4"/>
          <w:rFonts w:hint="cs"/>
          <w:rtl/>
        </w:rPr>
        <w:t xml:space="preserve"> </w:t>
      </w:r>
      <w:r w:rsidRPr="00637681">
        <w:rPr>
          <w:rStyle w:val="af2"/>
          <w:rFonts w:eastAsia="Guttman Hodes" w:hint="cs"/>
          <w:rtl/>
        </w:rPr>
        <w:t xml:space="preserve">(עי' אות </w:t>
      </w:r>
      <w:r w:rsidRPr="00637681">
        <w:rPr>
          <w:rStyle w:val="af2"/>
          <w:rFonts w:eastAsia="Guttman Hodes"/>
          <w:rtl/>
        </w:rPr>
        <w:fldChar w:fldCharType="begin"/>
      </w:r>
      <w:r w:rsidRPr="00637681">
        <w:rPr>
          <w:rStyle w:val="af2"/>
          <w:rFonts w:eastAsia="Guttman Hodes"/>
          <w:rtl/>
        </w:rPr>
        <w:instrText xml:space="preserve"> </w:instrText>
      </w:r>
      <w:r w:rsidRPr="00637681">
        <w:rPr>
          <w:rStyle w:val="af2"/>
          <w:rFonts w:eastAsia="Guttman Hodes" w:hint="cs"/>
        </w:rPr>
        <w:instrText>REF</w:instrText>
      </w:r>
      <w:r w:rsidRPr="00637681">
        <w:rPr>
          <w:rStyle w:val="af2"/>
          <w:rFonts w:eastAsia="Guttman Hodes" w:hint="cs"/>
          <w:rtl/>
        </w:rPr>
        <w:instrText xml:space="preserve"> _</w:instrText>
      </w:r>
      <w:r w:rsidRPr="00637681">
        <w:rPr>
          <w:rStyle w:val="af2"/>
          <w:rFonts w:eastAsia="Guttman Hodes" w:hint="cs"/>
        </w:rPr>
        <w:instrText>Ref134340010 \r \h</w:instrText>
      </w:r>
      <w:r w:rsidRPr="00637681">
        <w:rPr>
          <w:rStyle w:val="af2"/>
          <w:rFonts w:eastAsia="Guttman Hodes"/>
          <w:rtl/>
        </w:rPr>
        <w:instrText xml:space="preserve"> </w:instrText>
      </w:r>
      <w:r w:rsidRPr="00637681">
        <w:rPr>
          <w:rStyle w:val="af2"/>
          <w:rFonts w:eastAsia="Guttman Hodes"/>
          <w:rtl/>
        </w:rPr>
      </w:r>
      <w:r w:rsidRPr="00637681">
        <w:rPr>
          <w:rStyle w:val="af2"/>
          <w:rFonts w:eastAsia="Guttman Hodes"/>
          <w:rtl/>
        </w:rPr>
        <w:fldChar w:fldCharType="separate"/>
      </w:r>
      <w:r w:rsidR="00D82181">
        <w:rPr>
          <w:rStyle w:val="af2"/>
          <w:rFonts w:eastAsia="Guttman Hodes"/>
          <w:cs/>
        </w:rPr>
        <w:t>‎</w:t>
      </w:r>
      <w:r w:rsidR="00D82181">
        <w:rPr>
          <w:rStyle w:val="af2"/>
          <w:rFonts w:eastAsia="Guttman Hodes"/>
          <w:rtl/>
        </w:rPr>
        <w:t>עא)</w:t>
      </w:r>
      <w:r w:rsidRPr="00637681">
        <w:rPr>
          <w:rStyle w:val="af2"/>
          <w:rFonts w:eastAsia="Guttman Hodes"/>
          <w:rtl/>
        </w:rPr>
        <w:fldChar w:fldCharType="end"/>
      </w:r>
      <w:r>
        <w:rPr>
          <w:rFonts w:hint="cs"/>
          <w:rtl/>
        </w:rPr>
        <w:t>.</w:t>
      </w:r>
      <w:bookmarkEnd w:id="892"/>
    </w:p>
    <w:p w14:paraId="0B1C1588" w14:textId="77777777" w:rsidR="001C69A8" w:rsidRDefault="001C69A8" w:rsidP="001C69A8">
      <w:pPr>
        <w:pStyle w:val="a7"/>
        <w:rPr>
          <w:rtl/>
        </w:rPr>
        <w:sectPr w:rsidR="001C69A8" w:rsidSect="003F4F0D">
          <w:footerReference w:type="default" r:id="rId49"/>
          <w:type w:val="continuous"/>
          <w:pgSz w:w="11906" w:h="16838"/>
          <w:pgMar w:top="720" w:right="720" w:bottom="720" w:left="720" w:header="283" w:footer="283" w:gutter="0"/>
          <w:cols w:num="2" w:space="567"/>
          <w:bidi/>
          <w:rtlGutter/>
        </w:sectPr>
      </w:pPr>
    </w:p>
    <w:p w14:paraId="6EC1C3A0" w14:textId="77777777" w:rsidR="001C69A8" w:rsidRPr="00224A5A" w:rsidRDefault="001C69A8" w:rsidP="001C69A8">
      <w:pPr>
        <w:spacing w:before="240" w:after="0" w:line="360" w:lineRule="auto"/>
        <w:outlineLvl w:val="1"/>
        <w:rPr>
          <w:rFonts w:ascii="Guttman Adii-Light" w:eastAsia="Guttman Adii-Light" w:hAnsi="Guttman Adii-Light" w:cs="Guttman Hodes"/>
          <w:b/>
          <w:bCs/>
          <w:sz w:val="18"/>
          <w:szCs w:val="28"/>
          <w:rtl/>
        </w:rPr>
        <w:sectPr w:rsidR="001C69A8" w:rsidRPr="00224A5A" w:rsidSect="008E1B37">
          <w:footerReference w:type="default" r:id="rId50"/>
          <w:type w:val="continuous"/>
          <w:pgSz w:w="11906" w:h="16838"/>
          <w:pgMar w:top="720" w:right="720" w:bottom="720" w:left="720" w:header="283" w:footer="283" w:gutter="0"/>
          <w:cols w:num="3" w:space="709"/>
          <w:bidi/>
          <w:rtlGutter/>
        </w:sectPr>
      </w:pPr>
    </w:p>
    <w:p w14:paraId="3B9C57F4" w14:textId="77777777" w:rsidR="00D31714" w:rsidRPr="00224A5A" w:rsidRDefault="00D31714" w:rsidP="00A35851">
      <w:pPr>
        <w:pStyle w:val="af9"/>
        <w:rPr>
          <w:rtl/>
        </w:rPr>
      </w:pPr>
      <w:r>
        <w:rPr>
          <w:rFonts w:hint="cs"/>
          <w:rtl/>
        </w:rPr>
        <w:lastRenderedPageBreak/>
        <w:t>סי</w:t>
      </w:r>
      <w:r>
        <w:rPr>
          <w:rtl/>
        </w:rPr>
        <w:t>'</w:t>
      </w:r>
      <w:r>
        <w:rPr>
          <w:rFonts w:hint="cs"/>
          <w:rtl/>
        </w:rPr>
        <w:t xml:space="preserve"> ג'</w:t>
      </w:r>
    </w:p>
    <w:p w14:paraId="77E708A0" w14:textId="77777777" w:rsidR="00D31714" w:rsidRDefault="00D31714" w:rsidP="00A35851">
      <w:pPr>
        <w:pStyle w:val="af9"/>
        <w:rPr>
          <w:rtl/>
        </w:rPr>
      </w:pPr>
      <w:r>
        <w:rPr>
          <w:rFonts w:hint="cs"/>
          <w:rtl/>
        </w:rPr>
        <w:t>במלאכת קוצר (א')</w:t>
      </w:r>
    </w:p>
    <w:p w14:paraId="7542CBEC" w14:textId="77777777" w:rsidR="00D31714" w:rsidRDefault="00D31714" w:rsidP="00A35851">
      <w:pPr>
        <w:pStyle w:val="af9"/>
        <w:rPr>
          <w:rtl/>
        </w:rPr>
      </w:pPr>
      <w:r>
        <w:rPr>
          <w:rFonts w:hint="cs"/>
          <w:rtl/>
        </w:rPr>
        <w:t xml:space="preserve">באבות ותולדות דקוצר / אי קוצר רק בגידו"ק / בגדר חיבור עציץ נקוב בשבת  </w:t>
      </w:r>
    </w:p>
    <w:p w14:paraId="1E9608DC" w14:textId="77777777" w:rsidR="00D31714" w:rsidRPr="00224A5A" w:rsidRDefault="00D31714" w:rsidP="00D31714">
      <w:pPr>
        <w:keepNext/>
        <w:keepLines/>
        <w:spacing w:after="0" w:line="240" w:lineRule="auto"/>
        <w:jc w:val="center"/>
        <w:outlineLvl w:val="1"/>
        <w:rPr>
          <w:rFonts w:ascii="FrankRuehl" w:eastAsia="Guttman Adii-Light" w:hAnsi="FrankRuehl" w:cs="Guttman Hodes"/>
          <w:b/>
          <w:bCs/>
          <w:noProof/>
          <w:sz w:val="24"/>
          <w:szCs w:val="24"/>
          <w:rtl/>
        </w:rPr>
        <w:sectPr w:rsidR="00D31714" w:rsidRPr="00224A5A" w:rsidSect="00803DD0">
          <w:headerReference w:type="even" r:id="rId51"/>
          <w:headerReference w:type="default" r:id="rId52"/>
          <w:footerReference w:type="even" r:id="rId53"/>
          <w:footerReference w:type="default" r:id="rId54"/>
          <w:headerReference w:type="first" r:id="rId55"/>
          <w:footerReference w:type="first" r:id="rId56"/>
          <w:type w:val="oddPage"/>
          <w:pgSz w:w="11906" w:h="16838"/>
          <w:pgMar w:top="720" w:right="720" w:bottom="720" w:left="720" w:header="283" w:footer="283" w:gutter="0"/>
          <w:cols w:space="113"/>
          <w:bidi/>
          <w:rtlGutter/>
          <w:docGrid w:linePitch="299"/>
        </w:sectPr>
      </w:pPr>
      <w:r w:rsidRPr="00224A5A">
        <w:rPr>
          <w:rFonts w:ascii="FrankRuehl" w:eastAsia="Guttman Adii-Light" w:hAnsi="FrankRuehl" w:cs="Guttman Hodes"/>
          <w:b/>
          <w:bCs/>
          <w:noProof/>
          <w:sz w:val="24"/>
          <w:szCs w:val="24"/>
          <w:rtl/>
        </w:rPr>
        <w:t>~~~~~~~</w:t>
      </w:r>
      <w:r w:rsidRPr="00224A5A">
        <w:rPr>
          <w:rFonts w:ascii="FrankRuehl" w:eastAsia="Guttman Adii-Light" w:hAnsi="FrankRuehl" w:cs="Guttman Hodes" w:hint="cs"/>
          <w:b/>
          <w:bCs/>
          <w:noProof/>
          <w:sz w:val="24"/>
          <w:szCs w:val="24"/>
          <w:rtl/>
        </w:rPr>
        <w:t xml:space="preserve"> תוכן הענייני</w:t>
      </w:r>
      <w:r w:rsidRPr="00224A5A">
        <w:rPr>
          <w:rFonts w:ascii="FrankRuehl" w:eastAsia="Guttman Adii-Light" w:hAnsi="FrankRuehl" w:cs="Guttman Hodes" w:hint="eastAsia"/>
          <w:b/>
          <w:bCs/>
          <w:noProof/>
          <w:sz w:val="24"/>
          <w:szCs w:val="24"/>
          <w:rtl/>
        </w:rPr>
        <w:t>ם</w:t>
      </w:r>
      <w:r w:rsidRPr="00224A5A">
        <w:rPr>
          <w:rFonts w:ascii="FrankRuehl" w:eastAsia="Guttman Adii-Light" w:hAnsi="FrankRuehl" w:cs="Guttman Hodes" w:hint="cs"/>
          <w:b/>
          <w:bCs/>
          <w:noProof/>
          <w:sz w:val="24"/>
          <w:szCs w:val="24"/>
          <w:rtl/>
        </w:rPr>
        <w:t xml:space="preserve"> </w:t>
      </w:r>
      <w:r w:rsidRPr="00224A5A">
        <w:rPr>
          <w:rFonts w:ascii="FrankRuehl" w:eastAsia="Guttman Adii-Light" w:hAnsi="FrankRuehl" w:cs="Guttman Hodes"/>
          <w:b/>
          <w:bCs/>
          <w:noProof/>
          <w:sz w:val="24"/>
          <w:szCs w:val="24"/>
          <w:rtl/>
        </w:rPr>
        <w:t>~~~~~~~</w:t>
      </w:r>
    </w:p>
    <w:p w14:paraId="7CDE9797" w14:textId="77777777" w:rsidR="00D31714" w:rsidRDefault="00D31714" w:rsidP="00D31714">
      <w:pPr>
        <w:pStyle w:val="TOC1"/>
        <w:rPr>
          <w:rFonts w:asciiTheme="minorHAnsi" w:hAnsiTheme="minorHAnsi" w:cstheme="minorBidi"/>
          <w:b w:val="0"/>
          <w:bCs w:val="0"/>
          <w:caps w:val="0"/>
          <w:sz w:val="22"/>
          <w:szCs w:val="22"/>
          <w:rtl/>
        </w:rPr>
      </w:pPr>
      <w:r w:rsidRPr="00224A5A">
        <w:rPr>
          <w:rtl/>
        </w:rPr>
        <w:fldChar w:fldCharType="begin"/>
      </w:r>
      <w:r w:rsidRPr="00224A5A">
        <w:rPr>
          <w:rtl/>
        </w:rPr>
        <w:instrText xml:space="preserve"> </w:instrText>
      </w:r>
      <w:r w:rsidRPr="00224A5A">
        <w:rPr>
          <w:rFonts w:hint="cs"/>
        </w:rPr>
        <w:instrText>TOC</w:instrText>
      </w:r>
      <w:r w:rsidRPr="00224A5A">
        <w:rPr>
          <w:rFonts w:hint="cs"/>
          <w:rtl/>
        </w:rPr>
        <w:instrText xml:space="preserve"> \</w:instrText>
      </w:r>
      <w:r w:rsidRPr="00224A5A">
        <w:rPr>
          <w:rFonts w:hint="cs"/>
        </w:rPr>
        <w:instrText>n \p " " \h \z \t</w:instrText>
      </w:r>
      <w:r w:rsidRPr="00224A5A">
        <w:rPr>
          <w:rFonts w:hint="cs"/>
          <w:rtl/>
        </w:rPr>
        <w:instrText xml:space="preserve"> "כותרת 1,2,כות קט,3,כות מק פנ,1"</w:instrText>
      </w:r>
      <w:r w:rsidRPr="00224A5A">
        <w:rPr>
          <w:rtl/>
        </w:rPr>
        <w:instrText xml:space="preserve"> </w:instrText>
      </w:r>
      <w:r w:rsidRPr="00224A5A">
        <w:rPr>
          <w:rtl/>
        </w:rPr>
        <w:fldChar w:fldCharType="separate"/>
      </w:r>
      <w:hyperlink w:anchor="_Toc135669908" w:history="1">
        <w:r w:rsidRPr="00F52687">
          <w:rPr>
            <w:rStyle w:val="Hyperlink"/>
            <w:rtl/>
          </w:rPr>
          <w:t>באבות ותולדות דקוצר ובדין התולש</w:t>
        </w:r>
      </w:hyperlink>
    </w:p>
    <w:p w14:paraId="026A7A7D" w14:textId="77777777" w:rsidR="00D31714" w:rsidRDefault="00AD16A0" w:rsidP="00D31714">
      <w:pPr>
        <w:pStyle w:val="TOC2"/>
        <w:rPr>
          <w:rFonts w:cstheme="minorBidi"/>
          <w:b w:val="0"/>
          <w:bCs w:val="0"/>
          <w:sz w:val="22"/>
          <w:szCs w:val="22"/>
          <w:rtl/>
        </w:rPr>
      </w:pPr>
      <w:hyperlink w:anchor="_Toc135669909" w:history="1">
        <w:r w:rsidR="00D31714" w:rsidRPr="00F52687">
          <w:rPr>
            <w:rStyle w:val="Hyperlink"/>
            <w:rtl/>
          </w:rPr>
          <w:t>בי' רש"י בסוגיין דתולש תולדה ומשמעות רש"י דהוי אב</w:t>
        </w:r>
      </w:hyperlink>
    </w:p>
    <w:p w14:paraId="49E9BFFD" w14:textId="77777777" w:rsidR="00D31714" w:rsidRPr="00803DD0" w:rsidRDefault="00AD16A0" w:rsidP="00ED704E">
      <w:pPr>
        <w:pStyle w:val="TOC3"/>
        <w:rPr>
          <w:rFonts w:asciiTheme="minorHAnsi" w:eastAsiaTheme="minorEastAsia" w:hAnsiTheme="minorHAnsi" w:cstheme="minorBidi"/>
          <w:sz w:val="22"/>
          <w:szCs w:val="22"/>
          <w:rtl/>
        </w:rPr>
      </w:pPr>
      <w:hyperlink w:anchor="_Toc135669910" w:history="1">
        <w:r w:rsidR="00D31714" w:rsidRPr="00F52687">
          <w:rPr>
            <w:rStyle w:val="Hyperlink"/>
            <w:rtl/>
          </w:rPr>
          <w:t>בי' רש"י בסוגיין והתוס' בבכורות דתולש הוא תולדה דקוצר וכן קוטף ממחובר</w:t>
        </w:r>
      </w:hyperlink>
    </w:p>
    <w:p w14:paraId="277717B1" w14:textId="77777777" w:rsidR="00D31714" w:rsidRDefault="00AD16A0" w:rsidP="00ED704E">
      <w:pPr>
        <w:pStyle w:val="TOC3"/>
        <w:rPr>
          <w:rFonts w:asciiTheme="minorHAnsi" w:eastAsiaTheme="minorEastAsia" w:hAnsiTheme="minorHAnsi" w:cstheme="minorBidi"/>
          <w:sz w:val="22"/>
          <w:szCs w:val="22"/>
          <w:rtl/>
        </w:rPr>
      </w:pPr>
      <w:hyperlink w:anchor="_Toc135669911" w:history="1">
        <w:r w:rsidR="00D31714" w:rsidRPr="00F52687">
          <w:rPr>
            <w:rStyle w:val="Hyperlink"/>
            <w:rtl/>
          </w:rPr>
          <w:t>בי' רש"י בפסחים דהא דגזרו בתמרים שנשרו הוא מגזירה שמא יתלוש דהוא אב מלאכה</w:t>
        </w:r>
      </w:hyperlink>
    </w:p>
    <w:p w14:paraId="1ED4B66C" w14:textId="77777777" w:rsidR="00D31714" w:rsidRDefault="00AD16A0" w:rsidP="00ED704E">
      <w:pPr>
        <w:pStyle w:val="TOC3"/>
        <w:rPr>
          <w:rFonts w:asciiTheme="minorHAnsi" w:eastAsiaTheme="minorEastAsia" w:hAnsiTheme="minorHAnsi" w:cstheme="minorBidi"/>
          <w:sz w:val="22"/>
          <w:szCs w:val="22"/>
          <w:rtl/>
        </w:rPr>
      </w:pPr>
      <w:hyperlink w:anchor="_Toc135669912" w:history="1">
        <w:r w:rsidR="00D31714" w:rsidRPr="00F52687">
          <w:rPr>
            <w:rStyle w:val="Hyperlink"/>
            <w:rtl/>
          </w:rPr>
          <w:t>בי' רש"י בכריתות דתולש הוא אב דקוצר ובעשה עמה תולדה דזומר וצריך לעצים חייב ב' לר"א</w:t>
        </w:r>
      </w:hyperlink>
    </w:p>
    <w:p w14:paraId="61670DE5" w14:textId="77777777" w:rsidR="00D31714" w:rsidRDefault="00AD16A0" w:rsidP="00D31714">
      <w:pPr>
        <w:pStyle w:val="TOC2"/>
        <w:rPr>
          <w:rFonts w:cstheme="minorBidi"/>
          <w:b w:val="0"/>
          <w:bCs w:val="0"/>
          <w:sz w:val="22"/>
          <w:szCs w:val="22"/>
          <w:rtl/>
        </w:rPr>
      </w:pPr>
      <w:hyperlink w:anchor="_Toc135669913" w:history="1">
        <w:r w:rsidR="00D31714" w:rsidRPr="00F52687">
          <w:rPr>
            <w:rStyle w:val="Hyperlink"/>
            <w:rtl/>
          </w:rPr>
          <w:t>בי' רבינו גרשום בכריתות דבוצר הוי אב ואורה תאנים תולדה</w:t>
        </w:r>
      </w:hyperlink>
    </w:p>
    <w:p w14:paraId="498D0107" w14:textId="77777777" w:rsidR="00D31714" w:rsidRDefault="00AD16A0" w:rsidP="00ED704E">
      <w:pPr>
        <w:pStyle w:val="TOC3"/>
        <w:rPr>
          <w:rFonts w:asciiTheme="minorHAnsi" w:eastAsiaTheme="minorEastAsia" w:hAnsiTheme="minorHAnsi" w:cstheme="minorBidi"/>
          <w:sz w:val="22"/>
          <w:szCs w:val="22"/>
          <w:rtl/>
        </w:rPr>
      </w:pPr>
      <w:hyperlink w:anchor="_Toc135669914" w:history="1">
        <w:r w:rsidR="00D31714" w:rsidRPr="00F52687">
          <w:rPr>
            <w:rStyle w:val="Hyperlink"/>
            <w:rtl/>
          </w:rPr>
          <w:t>בי' רבינו גרשום בכריתות דבצירת גפן הוא אב דכתי' בשביעית אך לקיטת תאנה היא תולדה</w:t>
        </w:r>
      </w:hyperlink>
    </w:p>
    <w:p w14:paraId="416D4687" w14:textId="77777777" w:rsidR="00D31714" w:rsidRDefault="00AD16A0" w:rsidP="00D31714">
      <w:pPr>
        <w:pStyle w:val="TOC2"/>
        <w:rPr>
          <w:rFonts w:cstheme="minorBidi"/>
          <w:b w:val="0"/>
          <w:bCs w:val="0"/>
          <w:sz w:val="22"/>
          <w:szCs w:val="22"/>
          <w:rtl/>
        </w:rPr>
      </w:pPr>
      <w:hyperlink w:anchor="_Toc135669915" w:history="1">
        <w:r w:rsidR="00D31714" w:rsidRPr="00F52687">
          <w:rPr>
            <w:rStyle w:val="Hyperlink"/>
            <w:rtl/>
          </w:rPr>
          <w:t>בי' הרמב"ם דבוצר ומוסק הם אב דקוצר ותולש הוא תולדה</w:t>
        </w:r>
      </w:hyperlink>
    </w:p>
    <w:p w14:paraId="183792D8" w14:textId="77777777" w:rsidR="00D31714" w:rsidRDefault="00AD16A0" w:rsidP="00ED704E">
      <w:pPr>
        <w:pStyle w:val="TOC3"/>
        <w:rPr>
          <w:rFonts w:asciiTheme="minorHAnsi" w:eastAsiaTheme="minorEastAsia" w:hAnsiTheme="minorHAnsi" w:cstheme="minorBidi"/>
          <w:sz w:val="22"/>
          <w:szCs w:val="22"/>
          <w:rtl/>
        </w:rPr>
      </w:pPr>
      <w:hyperlink w:anchor="_Toc135669916" w:history="1">
        <w:r w:rsidR="00D31714" w:rsidRPr="00F52687">
          <w:rPr>
            <w:rStyle w:val="Hyperlink"/>
            <w:rtl/>
          </w:rPr>
          <w:t>בי' הרמב"ם דבוצר וגודר ומוסק וכו' הם אב דקוצר כיון דבכולם הוא מתכוון לעקור דבר מגידולו</w:t>
        </w:r>
      </w:hyperlink>
    </w:p>
    <w:p w14:paraId="27092E3B" w14:textId="77777777" w:rsidR="00D31714" w:rsidRDefault="00AD16A0" w:rsidP="00ED704E">
      <w:pPr>
        <w:pStyle w:val="TOC3"/>
        <w:rPr>
          <w:rFonts w:asciiTheme="minorHAnsi" w:eastAsiaTheme="minorEastAsia" w:hAnsiTheme="minorHAnsi" w:cstheme="minorBidi"/>
          <w:sz w:val="22"/>
          <w:szCs w:val="22"/>
          <w:rtl/>
        </w:rPr>
      </w:pPr>
      <w:hyperlink w:anchor="_Toc135669917" w:history="1">
        <w:r w:rsidR="00D31714" w:rsidRPr="00F52687">
          <w:rPr>
            <w:rStyle w:val="Hyperlink"/>
            <w:rtl/>
          </w:rPr>
          <w:t>בי' הרמב"ם דתולש הוא תולדת קוצר ובי' הלח"מ דקוצר הוא בכלי ותולש הוא ביד</w:t>
        </w:r>
      </w:hyperlink>
    </w:p>
    <w:p w14:paraId="263F4508" w14:textId="77777777" w:rsidR="00D31714" w:rsidRDefault="00AD16A0" w:rsidP="00ED704E">
      <w:pPr>
        <w:pStyle w:val="TOC3"/>
        <w:rPr>
          <w:rFonts w:asciiTheme="minorHAnsi" w:eastAsiaTheme="minorEastAsia" w:hAnsiTheme="minorHAnsi" w:cstheme="minorBidi"/>
          <w:sz w:val="22"/>
          <w:szCs w:val="22"/>
          <w:rtl/>
        </w:rPr>
      </w:pPr>
      <w:hyperlink w:anchor="_Toc135669918" w:history="1">
        <w:r w:rsidR="00D31714" w:rsidRPr="00F52687">
          <w:rPr>
            <w:rStyle w:val="Hyperlink"/>
            <w:rtl/>
          </w:rPr>
          <w:t>בי' הרמב"ם דהעוקר דבר מגידולו ככשות מסנה חייב משום קוצר אך מעציץ שא"נ פטור</w:t>
        </w:r>
      </w:hyperlink>
    </w:p>
    <w:p w14:paraId="64481534" w14:textId="77777777" w:rsidR="00D31714" w:rsidRDefault="00AD16A0" w:rsidP="00ED704E">
      <w:pPr>
        <w:pStyle w:val="TOC3"/>
        <w:rPr>
          <w:rFonts w:asciiTheme="minorHAnsi" w:eastAsiaTheme="minorEastAsia" w:hAnsiTheme="minorHAnsi" w:cstheme="minorBidi"/>
          <w:sz w:val="22"/>
          <w:szCs w:val="22"/>
          <w:rtl/>
        </w:rPr>
      </w:pPr>
      <w:hyperlink w:anchor="_Toc135669919" w:history="1">
        <w:r w:rsidR="00D31714" w:rsidRPr="00F52687">
          <w:rPr>
            <w:rStyle w:val="Hyperlink"/>
            <w:rtl/>
          </w:rPr>
          <w:t>בי' הרמב"ם בפיהמ"ש דתולש ואורה ובוצר וכו' א"א לומר דהם תולדה אלא הם אב דקוצר עצמו</w:t>
        </w:r>
      </w:hyperlink>
    </w:p>
    <w:p w14:paraId="3C6248CD" w14:textId="77777777" w:rsidR="00D31714" w:rsidRDefault="00AD16A0" w:rsidP="00D31714">
      <w:pPr>
        <w:pStyle w:val="TOC2"/>
        <w:rPr>
          <w:rFonts w:cstheme="minorBidi"/>
          <w:b w:val="0"/>
          <w:bCs w:val="0"/>
          <w:sz w:val="22"/>
          <w:szCs w:val="22"/>
          <w:rtl/>
        </w:rPr>
      </w:pPr>
      <w:hyperlink w:anchor="_Toc135669920" w:history="1">
        <w:r w:rsidR="00D31714" w:rsidRPr="00F52687">
          <w:rPr>
            <w:rStyle w:val="Hyperlink"/>
            <w:rtl/>
          </w:rPr>
          <w:t>בי' המאירי דבוצר וגודר ומוסק ואורה וכדו' הם תולדות</w:t>
        </w:r>
      </w:hyperlink>
    </w:p>
    <w:p w14:paraId="218FC34E" w14:textId="77777777" w:rsidR="00D31714" w:rsidRDefault="00AD16A0" w:rsidP="00ED704E">
      <w:pPr>
        <w:pStyle w:val="TOC3"/>
        <w:rPr>
          <w:rFonts w:asciiTheme="minorHAnsi" w:eastAsiaTheme="minorEastAsia" w:hAnsiTheme="minorHAnsi" w:cstheme="minorBidi"/>
          <w:sz w:val="22"/>
          <w:szCs w:val="22"/>
          <w:rtl/>
        </w:rPr>
      </w:pPr>
      <w:hyperlink w:anchor="_Toc135669921" w:history="1">
        <w:r w:rsidR="00D31714" w:rsidRPr="00F52687">
          <w:rPr>
            <w:rStyle w:val="Hyperlink"/>
            <w:rtl/>
          </w:rPr>
          <w:t>בי' המאירי והיראים דרק קוצר הוא האב ושאר המלאכות דבוצר וגודר ומוסק הם תולדה</w:t>
        </w:r>
      </w:hyperlink>
    </w:p>
    <w:p w14:paraId="23445138" w14:textId="77777777" w:rsidR="00D31714" w:rsidRDefault="00AD16A0" w:rsidP="00ED704E">
      <w:pPr>
        <w:pStyle w:val="TOC3"/>
        <w:rPr>
          <w:rFonts w:asciiTheme="minorHAnsi" w:eastAsiaTheme="minorEastAsia" w:hAnsiTheme="minorHAnsi" w:cstheme="minorBidi"/>
          <w:sz w:val="22"/>
          <w:szCs w:val="22"/>
          <w:rtl/>
        </w:rPr>
      </w:pPr>
      <w:hyperlink w:anchor="_Toc135669922" w:history="1">
        <w:r w:rsidR="00D31714" w:rsidRPr="00F52687">
          <w:rPr>
            <w:rStyle w:val="Hyperlink"/>
            <w:rtl/>
          </w:rPr>
          <w:t>קו' הרמ"ך על הרמב"ם דאי כל הדומה לאב הוא אב יש יותר מל"ט ועוד דלא היו במשכן</w:t>
        </w:r>
      </w:hyperlink>
    </w:p>
    <w:p w14:paraId="0EEC8892" w14:textId="77777777" w:rsidR="00D31714" w:rsidRDefault="00AD16A0" w:rsidP="00ED704E">
      <w:pPr>
        <w:pStyle w:val="TOC3"/>
        <w:rPr>
          <w:rFonts w:asciiTheme="minorHAnsi" w:eastAsiaTheme="minorEastAsia" w:hAnsiTheme="minorHAnsi" w:cstheme="minorBidi"/>
          <w:sz w:val="22"/>
          <w:szCs w:val="22"/>
          <w:rtl/>
        </w:rPr>
      </w:pPr>
      <w:hyperlink w:anchor="_Toc135669923" w:history="1">
        <w:r w:rsidR="00D31714" w:rsidRPr="00F52687">
          <w:rPr>
            <w:rStyle w:val="Hyperlink"/>
            <w:rtl/>
          </w:rPr>
          <w:t>בי' הרמ"ך דכל המלאכות הללו מלאכה א' היינו דהם תולדות וקמ"ל דב' תולדות חייב חטאת א'</w:t>
        </w:r>
      </w:hyperlink>
    </w:p>
    <w:p w14:paraId="233FF77F" w14:textId="77777777" w:rsidR="00D31714" w:rsidRDefault="00AD16A0" w:rsidP="00ED704E">
      <w:pPr>
        <w:pStyle w:val="TOC3"/>
        <w:rPr>
          <w:rFonts w:asciiTheme="minorHAnsi" w:eastAsiaTheme="minorEastAsia" w:hAnsiTheme="minorHAnsi" w:cstheme="minorBidi"/>
          <w:sz w:val="22"/>
          <w:szCs w:val="22"/>
          <w:rtl/>
        </w:rPr>
      </w:pPr>
      <w:hyperlink w:anchor="_Toc135669924" w:history="1">
        <w:r w:rsidR="00D31714" w:rsidRPr="00F52687">
          <w:rPr>
            <w:rStyle w:val="Hyperlink"/>
            <w:rtl/>
          </w:rPr>
          <w:t>בי' המ"מ בשם י"מ דהא דכולם הם מלאכה אחת הכוונה שהם תולדות אף שחלוקים רק בשם</w:t>
        </w:r>
      </w:hyperlink>
    </w:p>
    <w:p w14:paraId="68068E4A" w14:textId="77777777" w:rsidR="00D31714" w:rsidRDefault="00AD16A0" w:rsidP="00ED704E">
      <w:pPr>
        <w:pStyle w:val="TOC3"/>
        <w:rPr>
          <w:rFonts w:asciiTheme="minorHAnsi" w:eastAsiaTheme="minorEastAsia" w:hAnsiTheme="minorHAnsi" w:cstheme="minorBidi"/>
          <w:sz w:val="22"/>
          <w:szCs w:val="22"/>
          <w:rtl/>
        </w:rPr>
      </w:pPr>
      <w:hyperlink w:anchor="_Toc135669925" w:history="1">
        <w:r w:rsidR="00D31714" w:rsidRPr="00F52687">
          <w:rPr>
            <w:rStyle w:val="Hyperlink"/>
            <w:rtl/>
          </w:rPr>
          <w:t>בי' האו"ש דלירו' תולש הוא אב דקוצר דס"ל קוצר הוא הבדלת חיות וא"כ תולש הוא האב עצמו</w:t>
        </w:r>
      </w:hyperlink>
    </w:p>
    <w:p w14:paraId="5E8D8DD7" w14:textId="77777777" w:rsidR="00D31714" w:rsidRDefault="00AD16A0" w:rsidP="00D31714">
      <w:pPr>
        <w:pStyle w:val="TOC2"/>
        <w:rPr>
          <w:rFonts w:cstheme="minorBidi"/>
          <w:b w:val="0"/>
          <w:bCs w:val="0"/>
          <w:sz w:val="22"/>
          <w:szCs w:val="22"/>
          <w:rtl/>
        </w:rPr>
      </w:pPr>
      <w:hyperlink w:anchor="_Toc135669926" w:history="1">
        <w:r w:rsidR="00D31714" w:rsidRPr="00F52687">
          <w:rPr>
            <w:rStyle w:val="Hyperlink"/>
            <w:rtl/>
          </w:rPr>
          <w:t>בי' האגל"ט באו"ז דדבר שדרכו לתלוש הוי אב אף להרמב"ם</w:t>
        </w:r>
      </w:hyperlink>
    </w:p>
    <w:p w14:paraId="77874C97" w14:textId="77777777" w:rsidR="00D31714" w:rsidRDefault="00AD16A0" w:rsidP="00ED704E">
      <w:pPr>
        <w:pStyle w:val="TOC3"/>
        <w:rPr>
          <w:rFonts w:asciiTheme="minorHAnsi" w:eastAsiaTheme="minorEastAsia" w:hAnsiTheme="minorHAnsi" w:cstheme="minorBidi"/>
          <w:sz w:val="22"/>
          <w:szCs w:val="22"/>
          <w:rtl/>
        </w:rPr>
      </w:pPr>
      <w:hyperlink w:anchor="_Toc135669927" w:history="1">
        <w:r w:rsidR="00D31714" w:rsidRPr="00F52687">
          <w:rPr>
            <w:rStyle w:val="Hyperlink"/>
            <w:rtl/>
          </w:rPr>
          <w:t>בי' האו"ז דבירושלמי מבואר כדעת רש"י דתולש הוא תולדה דקוצר</w:t>
        </w:r>
      </w:hyperlink>
    </w:p>
    <w:p w14:paraId="1C9234BE" w14:textId="77777777" w:rsidR="00D31714" w:rsidRDefault="00AD16A0" w:rsidP="00ED704E">
      <w:pPr>
        <w:pStyle w:val="TOC3"/>
        <w:rPr>
          <w:rFonts w:asciiTheme="minorHAnsi" w:eastAsiaTheme="minorEastAsia" w:hAnsiTheme="minorHAnsi" w:cstheme="minorBidi"/>
          <w:sz w:val="22"/>
          <w:szCs w:val="22"/>
          <w:rtl/>
        </w:rPr>
      </w:pPr>
      <w:hyperlink w:anchor="_Toc135669928" w:history="1">
        <w:r w:rsidR="00D31714" w:rsidRPr="00F52687">
          <w:rPr>
            <w:rStyle w:val="Hyperlink"/>
            <w:rtl/>
          </w:rPr>
          <w:t>בי' האו"ז דל"ק על הרמב"ם דכתב דכל המלאכות הם אב מהירו' דכן משמע בברייתא דחורש</w:t>
        </w:r>
      </w:hyperlink>
    </w:p>
    <w:p w14:paraId="2FFE287A" w14:textId="77777777" w:rsidR="00D31714" w:rsidRDefault="00AD16A0" w:rsidP="00ED704E">
      <w:pPr>
        <w:pStyle w:val="TOC3"/>
        <w:rPr>
          <w:rFonts w:asciiTheme="minorHAnsi" w:eastAsiaTheme="minorEastAsia" w:hAnsiTheme="minorHAnsi" w:cstheme="minorBidi"/>
          <w:sz w:val="22"/>
          <w:szCs w:val="22"/>
          <w:rtl/>
        </w:rPr>
      </w:pPr>
      <w:hyperlink w:anchor="_Toc135669929" w:history="1">
        <w:r w:rsidR="00D31714" w:rsidRPr="00F52687">
          <w:rPr>
            <w:rStyle w:val="Hyperlink"/>
            <w:rtl/>
          </w:rPr>
          <w:t>קו' האגל"ט דהרמב"ם ס"ל דתולש הוא תולדה ותי' דאיירי בדרכו לתלוש דאף לרמב"ם הוי אב</w:t>
        </w:r>
      </w:hyperlink>
    </w:p>
    <w:p w14:paraId="4463A6CA" w14:textId="77777777" w:rsidR="00D31714" w:rsidRDefault="00AD16A0" w:rsidP="00D31714">
      <w:pPr>
        <w:pStyle w:val="TOC2"/>
        <w:rPr>
          <w:rFonts w:cstheme="minorBidi"/>
          <w:b w:val="0"/>
          <w:bCs w:val="0"/>
          <w:sz w:val="22"/>
          <w:szCs w:val="22"/>
          <w:rtl/>
        </w:rPr>
      </w:pPr>
      <w:hyperlink w:anchor="_Toc135669930" w:history="1">
        <w:r w:rsidR="00D31714" w:rsidRPr="00F52687">
          <w:rPr>
            <w:rStyle w:val="Hyperlink"/>
            <w:rtl/>
          </w:rPr>
          <w:t>בי' רבינו יהונתן דקוצר ובוצר הם אותו אב וחלוקים רק בשם</w:t>
        </w:r>
      </w:hyperlink>
    </w:p>
    <w:p w14:paraId="3E025E63" w14:textId="77777777" w:rsidR="00D31714" w:rsidRDefault="00AD16A0" w:rsidP="00ED704E">
      <w:pPr>
        <w:pStyle w:val="TOC3"/>
        <w:rPr>
          <w:rFonts w:asciiTheme="minorHAnsi" w:eastAsiaTheme="minorEastAsia" w:hAnsiTheme="minorHAnsi" w:cstheme="minorBidi"/>
          <w:sz w:val="22"/>
          <w:szCs w:val="22"/>
          <w:rtl/>
        </w:rPr>
      </w:pPr>
      <w:hyperlink w:anchor="_Toc135669931" w:history="1">
        <w:r w:rsidR="00D31714" w:rsidRPr="00F52687">
          <w:rPr>
            <w:rStyle w:val="Hyperlink"/>
            <w:rtl/>
          </w:rPr>
          <w:t>בי' המיוחס לר"ן בשם רבינו יהונתן דקוצר ובוצר וכו' הם מלאכה א' ואב אחד אלא דשמם חלוק</w:t>
        </w:r>
      </w:hyperlink>
    </w:p>
    <w:p w14:paraId="7BEBCEFB" w14:textId="77777777" w:rsidR="00D31714" w:rsidRDefault="00AD16A0" w:rsidP="00D31714">
      <w:pPr>
        <w:pStyle w:val="TOC2"/>
        <w:rPr>
          <w:rFonts w:cstheme="minorBidi"/>
          <w:b w:val="0"/>
          <w:bCs w:val="0"/>
          <w:sz w:val="22"/>
          <w:szCs w:val="22"/>
          <w:rtl/>
        </w:rPr>
      </w:pPr>
      <w:hyperlink w:anchor="_Toc135669932" w:history="1">
        <w:r w:rsidR="00D31714" w:rsidRPr="00F52687">
          <w:rPr>
            <w:rStyle w:val="Hyperlink"/>
            <w:rtl/>
          </w:rPr>
          <w:t>בי' האגל"ט דקוצר מאילני סרק להסקה הוא אב ומפרי תולדה</w:t>
        </w:r>
      </w:hyperlink>
    </w:p>
    <w:p w14:paraId="20707D47" w14:textId="77777777" w:rsidR="00D31714" w:rsidRDefault="00AD16A0" w:rsidP="00ED704E">
      <w:pPr>
        <w:pStyle w:val="TOC3"/>
        <w:rPr>
          <w:rFonts w:asciiTheme="minorHAnsi" w:eastAsiaTheme="minorEastAsia" w:hAnsiTheme="minorHAnsi" w:cstheme="minorBidi"/>
          <w:sz w:val="22"/>
          <w:szCs w:val="22"/>
          <w:rtl/>
        </w:rPr>
      </w:pPr>
      <w:hyperlink w:anchor="_Toc135669933" w:history="1">
        <w:r w:rsidR="00D31714" w:rsidRPr="00F52687">
          <w:rPr>
            <w:rStyle w:val="Hyperlink"/>
            <w:rtl/>
          </w:rPr>
          <w:t>בי' האגל"ט דקוצר מעצי סרק הוא אב דקוצר אך מעצי פרי הוא תולדה וחייב רק בצריך לעצים</w:t>
        </w:r>
      </w:hyperlink>
    </w:p>
    <w:p w14:paraId="1682DDA5" w14:textId="77777777" w:rsidR="00D31714" w:rsidRDefault="00AD16A0" w:rsidP="00D31714">
      <w:pPr>
        <w:pStyle w:val="TOC2"/>
        <w:rPr>
          <w:rFonts w:cstheme="minorBidi"/>
          <w:b w:val="0"/>
          <w:bCs w:val="0"/>
          <w:sz w:val="22"/>
          <w:szCs w:val="22"/>
          <w:rtl/>
        </w:rPr>
      </w:pPr>
      <w:hyperlink w:anchor="_Toc135669934" w:history="1">
        <w:r w:rsidR="00D31714" w:rsidRPr="00F52687">
          <w:rPr>
            <w:rStyle w:val="Hyperlink"/>
            <w:rtl/>
          </w:rPr>
          <w:t>בי' האגל"ט דהתולש מדבר שדרכו לתלוש הוא אב דקוצר</w:t>
        </w:r>
      </w:hyperlink>
    </w:p>
    <w:p w14:paraId="357DB60B" w14:textId="77777777" w:rsidR="00D31714" w:rsidRDefault="00AD16A0" w:rsidP="00ED704E">
      <w:pPr>
        <w:pStyle w:val="TOC3"/>
        <w:rPr>
          <w:rFonts w:asciiTheme="minorHAnsi" w:eastAsiaTheme="minorEastAsia" w:hAnsiTheme="minorHAnsi" w:cstheme="minorBidi"/>
          <w:sz w:val="22"/>
          <w:szCs w:val="22"/>
          <w:rtl/>
        </w:rPr>
      </w:pPr>
      <w:hyperlink w:anchor="_Toc135669935" w:history="1">
        <w:r w:rsidR="00D31714" w:rsidRPr="00F52687">
          <w:rPr>
            <w:rStyle w:val="Hyperlink"/>
            <w:rtl/>
          </w:rPr>
          <w:t>בי' האגל"ט דדרכו לתלוש הוי אב בקוצר בכלי או בתולש ביד ורק בדרכו בכלי תולש תולדה</w:t>
        </w:r>
      </w:hyperlink>
    </w:p>
    <w:p w14:paraId="32BD9931" w14:textId="77777777" w:rsidR="00D31714" w:rsidRDefault="00AD16A0" w:rsidP="00ED704E">
      <w:pPr>
        <w:pStyle w:val="TOC3"/>
        <w:rPr>
          <w:rFonts w:asciiTheme="minorHAnsi" w:eastAsiaTheme="minorEastAsia" w:hAnsiTheme="minorHAnsi" w:cstheme="minorBidi"/>
          <w:sz w:val="22"/>
          <w:szCs w:val="22"/>
          <w:rtl/>
        </w:rPr>
      </w:pPr>
      <w:hyperlink w:anchor="_Toc135669936" w:history="1">
        <w:r w:rsidR="00D31714" w:rsidRPr="00F52687">
          <w:rPr>
            <w:rStyle w:val="Hyperlink"/>
            <w:rtl/>
          </w:rPr>
          <w:t>בי' האגל"ט דמוכח בגמ' בחולין דהתולש דבר שדרכו לתלוש דחייב עליו משום אב דקוצר</w:t>
        </w:r>
      </w:hyperlink>
    </w:p>
    <w:p w14:paraId="2EAAB46F" w14:textId="77777777" w:rsidR="00D31714" w:rsidRDefault="00AD16A0" w:rsidP="00D31714">
      <w:pPr>
        <w:pStyle w:val="TOC1"/>
        <w:rPr>
          <w:rFonts w:asciiTheme="minorHAnsi" w:hAnsiTheme="minorHAnsi" w:cstheme="minorBidi"/>
          <w:b w:val="0"/>
          <w:bCs w:val="0"/>
          <w:caps w:val="0"/>
          <w:sz w:val="22"/>
          <w:szCs w:val="22"/>
          <w:rtl/>
        </w:rPr>
      </w:pPr>
      <w:hyperlink w:anchor="_Toc135669937" w:history="1">
        <w:r w:rsidR="00D31714" w:rsidRPr="00F52687">
          <w:rPr>
            <w:rStyle w:val="Hyperlink"/>
            <w:rtl/>
          </w:rPr>
          <w:t>ד' הרמב"ן דקצירה היא רק בגידו"ק</w:t>
        </w:r>
      </w:hyperlink>
    </w:p>
    <w:p w14:paraId="65D8D2AD" w14:textId="77777777" w:rsidR="00D31714" w:rsidRDefault="00AD16A0" w:rsidP="00D31714">
      <w:pPr>
        <w:pStyle w:val="TOC2"/>
        <w:rPr>
          <w:rFonts w:cstheme="minorBidi"/>
          <w:b w:val="0"/>
          <w:bCs w:val="0"/>
          <w:sz w:val="22"/>
          <w:szCs w:val="22"/>
          <w:rtl/>
        </w:rPr>
      </w:pPr>
      <w:hyperlink w:anchor="_Toc135669938" w:history="1">
        <w:r w:rsidR="00D31714" w:rsidRPr="00F52687">
          <w:rPr>
            <w:rStyle w:val="Hyperlink"/>
            <w:rtl/>
          </w:rPr>
          <w:t>בי' הרמב"ן דקוצר הוא רק בגידו"ק והתולש מחי הוי גוזז</w:t>
        </w:r>
      </w:hyperlink>
    </w:p>
    <w:p w14:paraId="4A171435" w14:textId="77777777" w:rsidR="00D31714" w:rsidRDefault="00AD16A0" w:rsidP="00ED704E">
      <w:pPr>
        <w:pStyle w:val="TOC3"/>
        <w:rPr>
          <w:rFonts w:asciiTheme="minorHAnsi" w:eastAsiaTheme="minorEastAsia" w:hAnsiTheme="minorHAnsi" w:cstheme="minorBidi"/>
          <w:sz w:val="22"/>
          <w:szCs w:val="22"/>
          <w:rtl/>
        </w:rPr>
      </w:pPr>
      <w:hyperlink w:anchor="_Toc135669939" w:history="1">
        <w:r w:rsidR="00D31714" w:rsidRPr="00F52687">
          <w:rPr>
            <w:rStyle w:val="Hyperlink"/>
            <w:rtl/>
          </w:rPr>
          <w:t>קו' הרמב"ן דקוצר הוא רק בגידו"ק וכדמוכח מתולש מעוף דהוי גוזז וכן משער וצפורנים באדם</w:t>
        </w:r>
      </w:hyperlink>
    </w:p>
    <w:p w14:paraId="726F1B87" w14:textId="77777777" w:rsidR="00D31714" w:rsidRDefault="00AD16A0" w:rsidP="00ED704E">
      <w:pPr>
        <w:pStyle w:val="TOC3"/>
        <w:rPr>
          <w:rFonts w:asciiTheme="minorHAnsi" w:eastAsiaTheme="minorEastAsia" w:hAnsiTheme="minorHAnsi" w:cstheme="minorBidi"/>
          <w:sz w:val="22"/>
          <w:szCs w:val="22"/>
          <w:rtl/>
        </w:rPr>
      </w:pPr>
      <w:hyperlink w:anchor="_Toc135669940" w:history="1">
        <w:r w:rsidR="00D31714" w:rsidRPr="00F52687">
          <w:rPr>
            <w:rStyle w:val="Hyperlink"/>
            <w:rtl/>
          </w:rPr>
          <w:t>קו' הרמב"ן דקוצר ודש ילפי' מאותו האופן במשכן ודש רק בגידו"ק ובקוצר אף לר"י אפש"ל כן</w:t>
        </w:r>
      </w:hyperlink>
    </w:p>
    <w:p w14:paraId="2B8007ED" w14:textId="77777777" w:rsidR="00D31714" w:rsidRDefault="00AD16A0" w:rsidP="00ED704E">
      <w:pPr>
        <w:pStyle w:val="TOC3"/>
        <w:rPr>
          <w:rFonts w:asciiTheme="minorHAnsi" w:eastAsiaTheme="minorEastAsia" w:hAnsiTheme="minorHAnsi" w:cstheme="minorBidi"/>
          <w:sz w:val="22"/>
          <w:szCs w:val="22"/>
          <w:rtl/>
        </w:rPr>
      </w:pPr>
      <w:hyperlink w:anchor="_Toc135669941" w:history="1">
        <w:r w:rsidR="00D31714" w:rsidRPr="00F52687">
          <w:rPr>
            <w:rStyle w:val="Hyperlink"/>
            <w:rtl/>
          </w:rPr>
          <w:t>בי' הרמב"ן דמדלדל עובר חייב בנטילת נשמה ודמי לעוקר כשות מהיזמי דהעובר תלוי באמו</w:t>
        </w:r>
      </w:hyperlink>
    </w:p>
    <w:p w14:paraId="69BCC891" w14:textId="77777777" w:rsidR="00D31714" w:rsidRDefault="00AD16A0" w:rsidP="00ED704E">
      <w:pPr>
        <w:pStyle w:val="TOC3"/>
        <w:rPr>
          <w:rFonts w:asciiTheme="minorHAnsi" w:eastAsiaTheme="minorEastAsia" w:hAnsiTheme="minorHAnsi" w:cstheme="minorBidi"/>
          <w:sz w:val="22"/>
          <w:szCs w:val="22"/>
          <w:rtl/>
        </w:rPr>
      </w:pPr>
      <w:hyperlink w:anchor="_Toc135669942" w:history="1">
        <w:r w:rsidR="00D31714" w:rsidRPr="00F52687">
          <w:rPr>
            <w:rStyle w:val="Hyperlink"/>
            <w:rtl/>
          </w:rPr>
          <w:t>בי' הרמב"ן ברמב"ם דשולה דג ומדלדל עובר חייב משום חונק ומוכח דקוצר הוא רק בגידו"ק</w:t>
        </w:r>
      </w:hyperlink>
    </w:p>
    <w:p w14:paraId="0A6748BB" w14:textId="77777777" w:rsidR="00D31714" w:rsidRDefault="00AD16A0" w:rsidP="00ED704E">
      <w:pPr>
        <w:pStyle w:val="TOC3"/>
        <w:rPr>
          <w:rFonts w:asciiTheme="minorHAnsi" w:eastAsiaTheme="minorEastAsia" w:hAnsiTheme="minorHAnsi" w:cstheme="minorBidi"/>
          <w:sz w:val="22"/>
          <w:szCs w:val="22"/>
          <w:rtl/>
        </w:rPr>
      </w:pPr>
      <w:hyperlink w:anchor="_Toc135669943" w:history="1">
        <w:r w:rsidR="00D31714" w:rsidRPr="00F52687">
          <w:rPr>
            <w:rStyle w:val="Hyperlink"/>
            <w:rtl/>
          </w:rPr>
          <w:t>בי' הרמב"ן דהבבלי פליג על הא דאמרי' בירו' דשולה דג חייב משום קוצר דמפסיקו מחיותו</w:t>
        </w:r>
      </w:hyperlink>
    </w:p>
    <w:p w14:paraId="375DF08C" w14:textId="77777777" w:rsidR="00D31714" w:rsidRDefault="00AD16A0" w:rsidP="00ED704E">
      <w:pPr>
        <w:pStyle w:val="TOC3"/>
        <w:rPr>
          <w:rFonts w:asciiTheme="minorHAnsi" w:eastAsiaTheme="minorEastAsia" w:hAnsiTheme="minorHAnsi" w:cstheme="minorBidi"/>
          <w:sz w:val="22"/>
          <w:szCs w:val="22"/>
          <w:rtl/>
        </w:rPr>
      </w:pPr>
      <w:hyperlink w:anchor="_Toc135669944" w:history="1">
        <w:r w:rsidR="00D31714" w:rsidRPr="00F52687">
          <w:rPr>
            <w:rStyle w:val="Hyperlink"/>
            <w:rtl/>
          </w:rPr>
          <w:t>בי' הרמב"ן בבכורות דכוונת הגמ' בבכורות דתולש בבע"ח הוא גוזז כעוקר מגידולו דהוא קוצר</w:t>
        </w:r>
      </w:hyperlink>
    </w:p>
    <w:p w14:paraId="29E1F0B2" w14:textId="77777777" w:rsidR="00D31714" w:rsidRDefault="00AD16A0" w:rsidP="00D31714">
      <w:pPr>
        <w:pStyle w:val="TOC2"/>
        <w:rPr>
          <w:rFonts w:cstheme="minorBidi"/>
          <w:b w:val="0"/>
          <w:bCs w:val="0"/>
          <w:sz w:val="22"/>
          <w:szCs w:val="22"/>
          <w:rtl/>
        </w:rPr>
      </w:pPr>
      <w:hyperlink w:anchor="_Toc135669945" w:history="1">
        <w:r w:rsidR="00D31714" w:rsidRPr="00F52687">
          <w:rPr>
            <w:rStyle w:val="Hyperlink"/>
            <w:rtl/>
          </w:rPr>
          <w:t>בי' הרמב"ן דבדש אפש"ל דבהמה חשיבא כגידולי קרקע</w:t>
        </w:r>
      </w:hyperlink>
    </w:p>
    <w:p w14:paraId="5BDB9B3A" w14:textId="77777777" w:rsidR="00D31714" w:rsidRDefault="00AD16A0" w:rsidP="00ED704E">
      <w:pPr>
        <w:pStyle w:val="TOC3"/>
        <w:rPr>
          <w:rFonts w:asciiTheme="minorHAnsi" w:eastAsiaTheme="minorEastAsia" w:hAnsiTheme="minorHAnsi" w:cstheme="minorBidi"/>
          <w:sz w:val="22"/>
          <w:szCs w:val="22"/>
          <w:rtl/>
        </w:rPr>
      </w:pPr>
      <w:hyperlink w:anchor="_Toc135669946" w:history="1">
        <w:r w:rsidR="00D31714" w:rsidRPr="00F52687">
          <w:rPr>
            <w:rStyle w:val="Hyperlink"/>
            <w:rtl/>
          </w:rPr>
          <w:t>בי' הרמב"ן דבדש אפש"ל דבהמה חשיבא כגידו"ק ובי' הגרא"ז דדש ל"ד לקוצר לענין זה</w:t>
        </w:r>
      </w:hyperlink>
    </w:p>
    <w:p w14:paraId="12DEF39D" w14:textId="77777777" w:rsidR="00D31714" w:rsidRDefault="00AD16A0" w:rsidP="00D31714">
      <w:pPr>
        <w:pStyle w:val="TOC2"/>
        <w:rPr>
          <w:rFonts w:cstheme="minorBidi"/>
          <w:b w:val="0"/>
          <w:bCs w:val="0"/>
          <w:sz w:val="22"/>
          <w:szCs w:val="22"/>
          <w:rtl/>
        </w:rPr>
      </w:pPr>
      <w:hyperlink w:anchor="_Toc135669947" w:history="1">
        <w:r w:rsidR="00D31714" w:rsidRPr="00F52687">
          <w:rPr>
            <w:rStyle w:val="Hyperlink"/>
            <w:rtl/>
          </w:rPr>
          <w:t>בי' המאירי דמדלדל עובר עוקר דבר מגידולו ככשות מהיזמי</w:t>
        </w:r>
      </w:hyperlink>
    </w:p>
    <w:p w14:paraId="0E3484F6" w14:textId="77777777" w:rsidR="00D31714" w:rsidRDefault="00AD16A0" w:rsidP="00ED704E">
      <w:pPr>
        <w:pStyle w:val="TOC3"/>
        <w:rPr>
          <w:rFonts w:asciiTheme="minorHAnsi" w:eastAsiaTheme="minorEastAsia" w:hAnsiTheme="minorHAnsi" w:cstheme="minorBidi"/>
          <w:sz w:val="22"/>
          <w:szCs w:val="22"/>
          <w:rtl/>
        </w:rPr>
      </w:pPr>
      <w:hyperlink w:anchor="_Toc135669948" w:history="1">
        <w:r w:rsidR="00D31714" w:rsidRPr="00F52687">
          <w:rPr>
            <w:rStyle w:val="Hyperlink"/>
            <w:rtl/>
          </w:rPr>
          <w:t>בי' המאירי דמדלדל עובר אף שלא מת העובר הוא עוקר דבר מגידולו וה"ה בכשות מהיזמי</w:t>
        </w:r>
      </w:hyperlink>
    </w:p>
    <w:p w14:paraId="0FDD8A51" w14:textId="77777777" w:rsidR="00D31714" w:rsidRDefault="00AD16A0" w:rsidP="00D31714">
      <w:pPr>
        <w:pStyle w:val="TOC2"/>
        <w:rPr>
          <w:rFonts w:cstheme="minorBidi"/>
          <w:b w:val="0"/>
          <w:bCs w:val="0"/>
          <w:sz w:val="22"/>
          <w:szCs w:val="22"/>
          <w:rtl/>
        </w:rPr>
      </w:pPr>
      <w:hyperlink w:anchor="_Toc135669949" w:history="1">
        <w:r w:rsidR="00D31714" w:rsidRPr="00F52687">
          <w:rPr>
            <w:rStyle w:val="Hyperlink"/>
            <w:rtl/>
          </w:rPr>
          <w:t>קו' התוס' בבכורות דגוזז ותולש דשבת ל"ד לתולש דבכור</w:t>
        </w:r>
      </w:hyperlink>
    </w:p>
    <w:p w14:paraId="410FFAB3" w14:textId="77777777" w:rsidR="00D31714" w:rsidRDefault="00AD16A0" w:rsidP="00ED704E">
      <w:pPr>
        <w:pStyle w:val="TOC3"/>
        <w:rPr>
          <w:rFonts w:asciiTheme="minorHAnsi" w:eastAsiaTheme="minorEastAsia" w:hAnsiTheme="minorHAnsi" w:cstheme="minorBidi"/>
          <w:sz w:val="22"/>
          <w:szCs w:val="22"/>
          <w:rtl/>
        </w:rPr>
      </w:pPr>
      <w:hyperlink w:anchor="_Toc135669950" w:history="1">
        <w:r w:rsidR="00D31714" w:rsidRPr="00F52687">
          <w:rPr>
            <w:rStyle w:val="Hyperlink"/>
            <w:rtl/>
          </w:rPr>
          <w:t>קו' התוס' בבכורות דגוזז ותולש לענין שבת ל"ד לבכור כדמצינו דבשבת הוי קוצר ובעומר פטור</w:t>
        </w:r>
      </w:hyperlink>
    </w:p>
    <w:p w14:paraId="1D11847D" w14:textId="77777777" w:rsidR="00D31714" w:rsidRDefault="00AD16A0" w:rsidP="00D31714">
      <w:pPr>
        <w:pStyle w:val="TOC2"/>
        <w:rPr>
          <w:rFonts w:cstheme="minorBidi"/>
          <w:b w:val="0"/>
          <w:bCs w:val="0"/>
          <w:sz w:val="22"/>
          <w:szCs w:val="22"/>
          <w:rtl/>
        </w:rPr>
      </w:pPr>
      <w:hyperlink w:anchor="_Toc135669951" w:history="1">
        <w:r w:rsidR="00D31714" w:rsidRPr="00F52687">
          <w:rPr>
            <w:rStyle w:val="Hyperlink"/>
            <w:rtl/>
          </w:rPr>
          <w:t>בי' המנ"ח בדין קוצר שלא מגידולי קרקע להרמב"ם ולרמב"ן</w:t>
        </w:r>
      </w:hyperlink>
    </w:p>
    <w:p w14:paraId="4414729F" w14:textId="77777777" w:rsidR="00D31714" w:rsidRDefault="00AD16A0" w:rsidP="00ED704E">
      <w:pPr>
        <w:pStyle w:val="TOC3"/>
        <w:rPr>
          <w:rFonts w:asciiTheme="minorHAnsi" w:eastAsiaTheme="minorEastAsia" w:hAnsiTheme="minorHAnsi" w:cstheme="minorBidi"/>
          <w:sz w:val="22"/>
          <w:szCs w:val="22"/>
          <w:rtl/>
        </w:rPr>
      </w:pPr>
      <w:hyperlink w:anchor="_Toc135669952" w:history="1">
        <w:r w:rsidR="00D31714" w:rsidRPr="00F52687">
          <w:rPr>
            <w:rStyle w:val="Hyperlink"/>
            <w:rtl/>
          </w:rPr>
          <w:t>בי' המנ"ח דלרמב"ם יש קוצר שלא בגידו"ק אך לרמב"ן צ"ל דעשבים ע"ג חבית חשיבי כגידו"ק</w:t>
        </w:r>
      </w:hyperlink>
    </w:p>
    <w:p w14:paraId="5F7E14FA" w14:textId="77777777" w:rsidR="00D31714" w:rsidRDefault="00AD16A0" w:rsidP="00ED704E">
      <w:pPr>
        <w:pStyle w:val="TOC3"/>
        <w:rPr>
          <w:rFonts w:asciiTheme="minorHAnsi" w:eastAsiaTheme="minorEastAsia" w:hAnsiTheme="minorHAnsi" w:cstheme="minorBidi"/>
          <w:sz w:val="22"/>
          <w:szCs w:val="22"/>
          <w:rtl/>
        </w:rPr>
      </w:pPr>
      <w:hyperlink w:anchor="_Toc135669953" w:history="1">
        <w:r w:rsidR="00D31714" w:rsidRPr="00F52687">
          <w:rPr>
            <w:rStyle w:val="Hyperlink"/>
            <w:rtl/>
          </w:rPr>
          <w:t>קו' המנ"ח על הרמב"ן דדוחק לומר דמדלדל עובר אינו קוצר וברמב"ם אפש"ל דבהמה גידו"ק</w:t>
        </w:r>
      </w:hyperlink>
    </w:p>
    <w:p w14:paraId="02F7A526" w14:textId="77777777" w:rsidR="00D31714" w:rsidRDefault="00AD16A0" w:rsidP="00ED704E">
      <w:pPr>
        <w:pStyle w:val="TOC3"/>
        <w:rPr>
          <w:rFonts w:asciiTheme="minorHAnsi" w:eastAsiaTheme="minorEastAsia" w:hAnsiTheme="minorHAnsi" w:cstheme="minorBidi"/>
          <w:sz w:val="22"/>
          <w:szCs w:val="22"/>
          <w:rtl/>
        </w:rPr>
      </w:pPr>
      <w:hyperlink w:anchor="_Toc135669954" w:history="1">
        <w:r w:rsidR="00D31714" w:rsidRPr="00F52687">
          <w:rPr>
            <w:rStyle w:val="Hyperlink"/>
            <w:rtl/>
          </w:rPr>
          <w:t>בי' המנ"ח ברמב"ם דמדלדל עובר חייב ב' דקוצר ומוציא נשמה ובתולש כנף חייב ב' דקוצר וגוזז</w:t>
        </w:r>
      </w:hyperlink>
    </w:p>
    <w:p w14:paraId="71874C9D" w14:textId="77777777" w:rsidR="00D31714" w:rsidRDefault="00AD16A0" w:rsidP="00ED704E">
      <w:pPr>
        <w:pStyle w:val="TOC3"/>
        <w:rPr>
          <w:rFonts w:asciiTheme="minorHAnsi" w:eastAsiaTheme="minorEastAsia" w:hAnsiTheme="minorHAnsi" w:cstheme="minorBidi"/>
          <w:sz w:val="22"/>
          <w:szCs w:val="22"/>
          <w:rtl/>
        </w:rPr>
      </w:pPr>
      <w:hyperlink w:anchor="_Toc135669955" w:history="1">
        <w:r w:rsidR="00D31714" w:rsidRPr="00F52687">
          <w:rPr>
            <w:rStyle w:val="Hyperlink"/>
            <w:rtl/>
          </w:rPr>
          <w:t>קו' המנ"ח על הרמב"ן דבגמ' בבכורות משמע דבאינו גידו"ק חייב משום עוקר דבר מגידולו</w:t>
        </w:r>
      </w:hyperlink>
    </w:p>
    <w:p w14:paraId="6E930A83" w14:textId="77777777" w:rsidR="00D31714" w:rsidRDefault="00AD16A0" w:rsidP="00D31714">
      <w:pPr>
        <w:pStyle w:val="TOC2"/>
        <w:rPr>
          <w:rFonts w:cstheme="minorBidi"/>
          <w:b w:val="0"/>
          <w:bCs w:val="0"/>
          <w:sz w:val="22"/>
          <w:szCs w:val="22"/>
          <w:rtl/>
        </w:rPr>
      </w:pPr>
      <w:hyperlink w:anchor="_Toc135669956" w:history="1">
        <w:r w:rsidR="00D31714" w:rsidRPr="00F52687">
          <w:rPr>
            <w:rStyle w:val="Hyperlink"/>
            <w:rtl/>
          </w:rPr>
          <w:t>בי' התורי"ד דעוקר דבר מגידולו בגידו"ק קוצר ובחי הוא גוזז</w:t>
        </w:r>
      </w:hyperlink>
    </w:p>
    <w:p w14:paraId="1A072E84" w14:textId="77777777" w:rsidR="00D31714" w:rsidRDefault="00AD16A0" w:rsidP="00ED704E">
      <w:pPr>
        <w:pStyle w:val="TOC3"/>
        <w:rPr>
          <w:rFonts w:asciiTheme="minorHAnsi" w:eastAsiaTheme="minorEastAsia" w:hAnsiTheme="minorHAnsi" w:cstheme="minorBidi"/>
          <w:sz w:val="22"/>
          <w:szCs w:val="22"/>
          <w:rtl/>
        </w:rPr>
      </w:pPr>
      <w:hyperlink w:anchor="_Toc135669957" w:history="1">
        <w:r w:rsidR="00D31714" w:rsidRPr="00F52687">
          <w:rPr>
            <w:rStyle w:val="Hyperlink"/>
            <w:rtl/>
          </w:rPr>
          <w:t>בי' התורי"ד דמדלדל עובר הוא עוקרו מגידולו ותולדה דגוזז דהוא בע"ח ובכשות תולדה דקוצר</w:t>
        </w:r>
      </w:hyperlink>
    </w:p>
    <w:p w14:paraId="20903939" w14:textId="77777777" w:rsidR="00D31714" w:rsidRDefault="00AD16A0" w:rsidP="00D31714">
      <w:pPr>
        <w:pStyle w:val="TOC1"/>
        <w:rPr>
          <w:rFonts w:asciiTheme="minorHAnsi" w:hAnsiTheme="minorHAnsi" w:cstheme="minorBidi"/>
          <w:b w:val="0"/>
          <w:bCs w:val="0"/>
          <w:caps w:val="0"/>
          <w:sz w:val="22"/>
          <w:szCs w:val="22"/>
          <w:rtl/>
        </w:rPr>
      </w:pPr>
      <w:hyperlink w:anchor="_Toc135669958" w:history="1">
        <w:r w:rsidR="00D31714" w:rsidRPr="00F52687">
          <w:rPr>
            <w:rStyle w:val="Hyperlink"/>
            <w:rtl/>
          </w:rPr>
          <w:t>~~~~~~~~~~~~~~~~~~~~~~~~~~~~</w:t>
        </w:r>
      </w:hyperlink>
    </w:p>
    <w:p w14:paraId="57F00D2F" w14:textId="77777777" w:rsidR="00D31714" w:rsidRDefault="00AD16A0" w:rsidP="00D31714">
      <w:pPr>
        <w:pStyle w:val="TOC1"/>
        <w:rPr>
          <w:rFonts w:asciiTheme="minorHAnsi" w:hAnsiTheme="minorHAnsi" w:cstheme="minorBidi"/>
          <w:b w:val="0"/>
          <w:bCs w:val="0"/>
          <w:caps w:val="0"/>
          <w:sz w:val="22"/>
          <w:szCs w:val="22"/>
          <w:rtl/>
        </w:rPr>
      </w:pPr>
      <w:hyperlink w:anchor="_Toc135669959" w:history="1">
        <w:r w:rsidR="00D31714" w:rsidRPr="00F52687">
          <w:rPr>
            <w:rStyle w:val="Hyperlink"/>
            <w:rtl/>
          </w:rPr>
          <w:t>בגדר חיבור עציץ נקוב לענין שבת</w:t>
        </w:r>
      </w:hyperlink>
    </w:p>
    <w:p w14:paraId="2F3696DF" w14:textId="77777777" w:rsidR="00D31714" w:rsidRDefault="00AD16A0" w:rsidP="00D31714">
      <w:pPr>
        <w:pStyle w:val="TOC2"/>
        <w:rPr>
          <w:rFonts w:cstheme="minorBidi"/>
          <w:b w:val="0"/>
          <w:bCs w:val="0"/>
          <w:sz w:val="22"/>
          <w:szCs w:val="22"/>
          <w:rtl/>
        </w:rPr>
      </w:pPr>
      <w:hyperlink w:anchor="_Toc135669960" w:history="1">
        <w:r w:rsidR="00D31714" w:rsidRPr="00F52687">
          <w:rPr>
            <w:rStyle w:val="Hyperlink"/>
            <w:rtl/>
          </w:rPr>
          <w:t>בי' רש"י ותוס' בפרפיסא דתולש רק מדרבנן מדמותר לקנח בו</w:t>
        </w:r>
      </w:hyperlink>
    </w:p>
    <w:p w14:paraId="5C46B7D6" w14:textId="77777777" w:rsidR="00D31714" w:rsidRDefault="00AD16A0" w:rsidP="00ED704E">
      <w:pPr>
        <w:pStyle w:val="TOC3"/>
        <w:rPr>
          <w:rFonts w:asciiTheme="minorHAnsi" w:eastAsiaTheme="minorEastAsia" w:hAnsiTheme="minorHAnsi" w:cstheme="minorBidi"/>
          <w:sz w:val="22"/>
          <w:szCs w:val="22"/>
          <w:rtl/>
        </w:rPr>
      </w:pPr>
      <w:hyperlink w:anchor="_Toc135669961" w:history="1">
        <w:r w:rsidR="00D31714" w:rsidRPr="00F52687">
          <w:rPr>
            <w:rStyle w:val="Hyperlink"/>
            <w:rtl/>
          </w:rPr>
          <w:t>בי' רש"י דעשבים שגדלו בצרור אין איסור תולש בהגבהתם מהקרקע דהא מותר לקנח בצרור</w:t>
        </w:r>
      </w:hyperlink>
    </w:p>
    <w:p w14:paraId="200769E1" w14:textId="77777777" w:rsidR="00D31714" w:rsidRDefault="00AD16A0" w:rsidP="00ED704E">
      <w:pPr>
        <w:pStyle w:val="TOC3"/>
        <w:rPr>
          <w:rFonts w:asciiTheme="minorHAnsi" w:eastAsiaTheme="minorEastAsia" w:hAnsiTheme="minorHAnsi" w:cstheme="minorBidi"/>
          <w:sz w:val="22"/>
          <w:szCs w:val="22"/>
          <w:rtl/>
        </w:rPr>
      </w:pPr>
      <w:hyperlink w:anchor="_Toc135669962" w:history="1">
        <w:r w:rsidR="00D31714" w:rsidRPr="00F52687">
          <w:rPr>
            <w:rStyle w:val="Hyperlink"/>
            <w:rtl/>
          </w:rPr>
          <w:t>בי' רש"י דהא דאמרינן דמגביה צרור מע"ג הקרקע הוא תולש היינו מדרבנן דדמי לתולש</w:t>
        </w:r>
      </w:hyperlink>
    </w:p>
    <w:p w14:paraId="5775AE1C" w14:textId="77777777" w:rsidR="00D31714" w:rsidRDefault="00AD16A0" w:rsidP="00ED704E">
      <w:pPr>
        <w:pStyle w:val="TOC3"/>
        <w:rPr>
          <w:rFonts w:asciiTheme="minorHAnsi" w:eastAsiaTheme="minorEastAsia" w:hAnsiTheme="minorHAnsi" w:cstheme="minorBidi"/>
          <w:sz w:val="22"/>
          <w:szCs w:val="22"/>
          <w:rtl/>
        </w:rPr>
      </w:pPr>
      <w:hyperlink w:anchor="_Toc135669963" w:history="1">
        <w:r w:rsidR="00D31714" w:rsidRPr="00F52687">
          <w:rPr>
            <w:rStyle w:val="Hyperlink"/>
            <w:rtl/>
          </w:rPr>
          <w:t>בי' התוס' דאיסור הגבהת צרור מהקרקע דרבנן והגמ' לקמן פליגא על הגמ' בגיטין דהוא כמחובר</w:t>
        </w:r>
      </w:hyperlink>
    </w:p>
    <w:p w14:paraId="58A54C0D" w14:textId="77777777" w:rsidR="00D31714" w:rsidRDefault="00AD16A0" w:rsidP="00D31714">
      <w:pPr>
        <w:pStyle w:val="TOC2"/>
        <w:rPr>
          <w:rFonts w:cstheme="minorBidi"/>
          <w:b w:val="0"/>
          <w:bCs w:val="0"/>
          <w:sz w:val="22"/>
          <w:szCs w:val="22"/>
          <w:rtl/>
        </w:rPr>
      </w:pPr>
      <w:hyperlink w:anchor="_Toc135669964" w:history="1">
        <w:r w:rsidR="00D31714" w:rsidRPr="00F52687">
          <w:rPr>
            <w:rStyle w:val="Hyperlink"/>
            <w:rtl/>
          </w:rPr>
          <w:t>בי' המאירי דהעציץ יונק רק ע"ג הקרקע ולא ע"ג היתדות</w:t>
        </w:r>
      </w:hyperlink>
    </w:p>
    <w:p w14:paraId="58636D6E" w14:textId="77777777" w:rsidR="00D31714" w:rsidRDefault="00AD16A0" w:rsidP="00ED704E">
      <w:pPr>
        <w:pStyle w:val="TOC3"/>
        <w:rPr>
          <w:rFonts w:asciiTheme="minorHAnsi" w:eastAsiaTheme="minorEastAsia" w:hAnsiTheme="minorHAnsi" w:cstheme="minorBidi"/>
          <w:sz w:val="22"/>
          <w:szCs w:val="22"/>
          <w:rtl/>
        </w:rPr>
      </w:pPr>
      <w:hyperlink w:anchor="_Toc135669965" w:history="1">
        <w:r w:rsidR="00D31714" w:rsidRPr="00F52687">
          <w:rPr>
            <w:rStyle w:val="Hyperlink"/>
            <w:rtl/>
          </w:rPr>
          <w:t>בי' המאירי דרק בקרקע העציץ יונק ולא ע"ג יתדות והוי תולש ונוטע אך נר' כרש"י דהוא דרבנן</w:t>
        </w:r>
      </w:hyperlink>
    </w:p>
    <w:p w14:paraId="796A0593" w14:textId="77777777" w:rsidR="00D31714" w:rsidRDefault="00AD16A0" w:rsidP="00ED704E">
      <w:pPr>
        <w:pStyle w:val="TOC3"/>
        <w:rPr>
          <w:rFonts w:asciiTheme="minorHAnsi" w:eastAsiaTheme="minorEastAsia" w:hAnsiTheme="minorHAnsi" w:cstheme="minorBidi"/>
          <w:sz w:val="22"/>
          <w:szCs w:val="22"/>
          <w:rtl/>
        </w:rPr>
      </w:pPr>
      <w:hyperlink w:anchor="_Toc135669966" w:history="1">
        <w:r w:rsidR="00D31714" w:rsidRPr="00F52687">
          <w:rPr>
            <w:rStyle w:val="Hyperlink"/>
            <w:rtl/>
          </w:rPr>
          <w:t>בי' המאירי בגיטין דמוכח בגמ' בגיטין דעציץ נקוב ע"ג יתדות אינו כמונח בקרקע אלא תלוש</w:t>
        </w:r>
      </w:hyperlink>
    </w:p>
    <w:p w14:paraId="7364D8D4" w14:textId="77777777" w:rsidR="00D31714" w:rsidRDefault="00AD16A0" w:rsidP="00D31714">
      <w:pPr>
        <w:pStyle w:val="TOC2"/>
        <w:rPr>
          <w:rFonts w:cstheme="minorBidi"/>
          <w:b w:val="0"/>
          <w:bCs w:val="0"/>
          <w:sz w:val="22"/>
          <w:szCs w:val="22"/>
          <w:rtl/>
        </w:rPr>
      </w:pPr>
      <w:hyperlink w:anchor="_Toc135669967" w:history="1">
        <w:r w:rsidR="00D31714" w:rsidRPr="00F52687">
          <w:rPr>
            <w:rStyle w:val="Hyperlink"/>
            <w:rtl/>
          </w:rPr>
          <w:t>ד' הרמב"ם דהמניח גבשושית ע"ג יתדות תולש מדאו' וכן בזורע</w:t>
        </w:r>
      </w:hyperlink>
    </w:p>
    <w:p w14:paraId="7EDF23BD" w14:textId="77777777" w:rsidR="00D31714" w:rsidRDefault="00AD16A0" w:rsidP="00ED704E">
      <w:pPr>
        <w:pStyle w:val="TOC3"/>
        <w:rPr>
          <w:rFonts w:asciiTheme="minorHAnsi" w:eastAsiaTheme="minorEastAsia" w:hAnsiTheme="minorHAnsi" w:cstheme="minorBidi"/>
          <w:sz w:val="22"/>
          <w:szCs w:val="22"/>
          <w:rtl/>
        </w:rPr>
      </w:pPr>
      <w:hyperlink w:anchor="_Toc135669968" w:history="1">
        <w:r w:rsidR="00D31714" w:rsidRPr="00F52687">
          <w:rPr>
            <w:rStyle w:val="Hyperlink"/>
            <w:rtl/>
          </w:rPr>
          <w:t>בי' הרמב"ם דגבשושית עפר עם עשבים ומגביהה מהקרקע ליתדות תולש מדאו' ולהיפך הוי זורע</w:t>
        </w:r>
      </w:hyperlink>
    </w:p>
    <w:p w14:paraId="516B0B10" w14:textId="77777777" w:rsidR="00D31714" w:rsidRDefault="00AD16A0" w:rsidP="00ED704E">
      <w:pPr>
        <w:pStyle w:val="TOC3"/>
        <w:rPr>
          <w:rFonts w:asciiTheme="minorHAnsi" w:eastAsiaTheme="minorEastAsia" w:hAnsiTheme="minorHAnsi" w:cstheme="minorBidi"/>
          <w:sz w:val="22"/>
          <w:szCs w:val="22"/>
          <w:rtl/>
        </w:rPr>
      </w:pPr>
      <w:hyperlink w:anchor="_Toc135669969" w:history="1">
        <w:r w:rsidR="00D31714" w:rsidRPr="00F52687">
          <w:rPr>
            <w:rStyle w:val="Hyperlink"/>
            <w:rtl/>
          </w:rPr>
          <w:t>בי' המ"מ ברמב"ם דהשמיט את היתר קינוח בצרור דס"ל דר"ל התיר בצרור שאינו אסור מדאו'</w:t>
        </w:r>
      </w:hyperlink>
    </w:p>
    <w:p w14:paraId="129432F7" w14:textId="77777777" w:rsidR="00D31714" w:rsidRDefault="00AD16A0" w:rsidP="00ED704E">
      <w:pPr>
        <w:pStyle w:val="TOC3"/>
        <w:rPr>
          <w:rFonts w:asciiTheme="minorHAnsi" w:eastAsiaTheme="minorEastAsia" w:hAnsiTheme="minorHAnsi" w:cstheme="minorBidi"/>
          <w:sz w:val="22"/>
          <w:szCs w:val="22"/>
          <w:rtl/>
        </w:rPr>
      </w:pPr>
      <w:hyperlink w:anchor="_Toc135669970" w:history="1">
        <w:r w:rsidR="00D31714" w:rsidRPr="00F52687">
          <w:rPr>
            <w:rStyle w:val="Hyperlink"/>
            <w:rtl/>
          </w:rPr>
          <w:t>בי' הפר"ח ברמב"ם דס"ל דאביי פליג על ר"ל דהתיר לקנח בצרור וס"ל דאסור מדאו' וכן קיי"ל</w:t>
        </w:r>
      </w:hyperlink>
    </w:p>
    <w:p w14:paraId="5A73F283" w14:textId="77777777" w:rsidR="00D31714" w:rsidRDefault="00AD16A0" w:rsidP="00ED704E">
      <w:pPr>
        <w:pStyle w:val="TOC3"/>
        <w:rPr>
          <w:rFonts w:asciiTheme="minorHAnsi" w:eastAsiaTheme="minorEastAsia" w:hAnsiTheme="minorHAnsi" w:cstheme="minorBidi"/>
          <w:sz w:val="22"/>
          <w:szCs w:val="22"/>
          <w:rtl/>
        </w:rPr>
      </w:pPr>
      <w:hyperlink w:anchor="_Toc135669971" w:history="1">
        <w:r w:rsidR="00D31714" w:rsidRPr="00F52687">
          <w:rPr>
            <w:rStyle w:val="Hyperlink"/>
            <w:rtl/>
          </w:rPr>
          <w:t>בי' האו"ש דגבשושית עפר בטלה לעפר והוי תולש מדאו' ור"ל התיר בצרור הוא בפנ"ע ולא בטל</w:t>
        </w:r>
      </w:hyperlink>
    </w:p>
    <w:p w14:paraId="2D2B820E" w14:textId="77777777" w:rsidR="00D31714" w:rsidRDefault="00AD16A0" w:rsidP="00ED704E">
      <w:pPr>
        <w:pStyle w:val="TOC3"/>
        <w:rPr>
          <w:rFonts w:asciiTheme="minorHAnsi" w:eastAsiaTheme="minorEastAsia" w:hAnsiTheme="minorHAnsi" w:cstheme="minorBidi"/>
          <w:sz w:val="22"/>
          <w:szCs w:val="22"/>
          <w:rtl/>
        </w:rPr>
      </w:pPr>
      <w:hyperlink w:anchor="_Toc135669972" w:history="1">
        <w:r w:rsidR="00D31714" w:rsidRPr="00F52687">
          <w:rPr>
            <w:rStyle w:val="Hyperlink"/>
            <w:rtl/>
          </w:rPr>
          <w:t>בי' האגל"ט דלרש"י ותוס' תולש דאו' ולרמב"ם דרבנן דנח' בגמ' בגיטין אי ע"ג יתדות הוי תלוש</w:t>
        </w:r>
      </w:hyperlink>
    </w:p>
    <w:p w14:paraId="79290D3A" w14:textId="77777777" w:rsidR="00D31714" w:rsidRDefault="00AD16A0" w:rsidP="00D31714">
      <w:pPr>
        <w:pStyle w:val="TOC2"/>
        <w:rPr>
          <w:rFonts w:cstheme="minorBidi"/>
          <w:b w:val="0"/>
          <w:bCs w:val="0"/>
          <w:sz w:val="22"/>
          <w:szCs w:val="22"/>
          <w:rtl/>
        </w:rPr>
      </w:pPr>
      <w:hyperlink w:anchor="_Toc135669973" w:history="1">
        <w:r w:rsidR="00D31714" w:rsidRPr="00F52687">
          <w:rPr>
            <w:rStyle w:val="Hyperlink"/>
            <w:rtl/>
          </w:rPr>
          <w:t>ד' האו"ז דמניח ע"ג יתדות לא מחובר כ"כ ובמחזיר לקרקע פטור</w:t>
        </w:r>
      </w:hyperlink>
    </w:p>
    <w:p w14:paraId="36ED687A" w14:textId="77777777" w:rsidR="00D31714" w:rsidRDefault="00AD16A0" w:rsidP="00ED704E">
      <w:pPr>
        <w:pStyle w:val="TOC3"/>
        <w:rPr>
          <w:rFonts w:asciiTheme="minorHAnsi" w:eastAsiaTheme="minorEastAsia" w:hAnsiTheme="minorHAnsi" w:cstheme="minorBidi"/>
          <w:sz w:val="22"/>
          <w:szCs w:val="22"/>
          <w:rtl/>
        </w:rPr>
      </w:pPr>
      <w:hyperlink w:anchor="_Toc135669974" w:history="1">
        <w:r w:rsidR="00D31714" w:rsidRPr="00F52687">
          <w:rPr>
            <w:rStyle w:val="Hyperlink"/>
            <w:rtl/>
          </w:rPr>
          <w:t>בי' המרכה"מ ברמב"ם דמניח ע"ג יתדות רק ליום או יומיים מבטל יניקה ולא בצרור שמחזירו</w:t>
        </w:r>
      </w:hyperlink>
    </w:p>
    <w:p w14:paraId="4CCDD448" w14:textId="77777777" w:rsidR="00D31714" w:rsidRDefault="00AD16A0" w:rsidP="00ED704E">
      <w:pPr>
        <w:pStyle w:val="TOC3"/>
        <w:rPr>
          <w:rFonts w:asciiTheme="minorHAnsi" w:eastAsiaTheme="minorEastAsia" w:hAnsiTheme="minorHAnsi" w:cstheme="minorBidi"/>
          <w:sz w:val="22"/>
          <w:szCs w:val="22"/>
          <w:rtl/>
        </w:rPr>
      </w:pPr>
      <w:hyperlink w:anchor="_Toc135669975" w:history="1">
        <w:r w:rsidR="00D31714" w:rsidRPr="00F52687">
          <w:rPr>
            <w:rStyle w:val="Hyperlink"/>
            <w:rtl/>
          </w:rPr>
          <w:t>בי' האו"ז בשם הריב"א דצרור שמחזירו למקום גדילתו ל"ה תולש כיון דלא היה מחובר לגמרי</w:t>
        </w:r>
      </w:hyperlink>
    </w:p>
    <w:p w14:paraId="0F559E55" w14:textId="77777777" w:rsidR="00D31714" w:rsidRDefault="00AD16A0" w:rsidP="00ED704E">
      <w:pPr>
        <w:pStyle w:val="TOC3"/>
        <w:rPr>
          <w:rFonts w:asciiTheme="minorHAnsi" w:eastAsiaTheme="minorEastAsia" w:hAnsiTheme="minorHAnsi" w:cstheme="minorBidi"/>
          <w:sz w:val="22"/>
          <w:szCs w:val="22"/>
          <w:rtl/>
        </w:rPr>
      </w:pPr>
      <w:hyperlink w:anchor="_Toc135669976" w:history="1">
        <w:r w:rsidR="00D31714" w:rsidRPr="00F52687">
          <w:rPr>
            <w:rStyle w:val="Hyperlink"/>
            <w:rtl/>
          </w:rPr>
          <w:t>בי' האו"ז דאף לריב"א ההיתר רק בצרור דאינו מחובר כ"כ אבל בפרפיסא אף בהחזירו הוי תולש</w:t>
        </w:r>
      </w:hyperlink>
    </w:p>
    <w:p w14:paraId="62A7E3FD" w14:textId="77777777" w:rsidR="00D31714" w:rsidRDefault="00AD16A0" w:rsidP="00D31714">
      <w:pPr>
        <w:pStyle w:val="TOC1"/>
        <w:rPr>
          <w:rFonts w:asciiTheme="minorHAnsi" w:hAnsiTheme="minorHAnsi" w:cstheme="minorBidi"/>
          <w:b w:val="0"/>
          <w:bCs w:val="0"/>
          <w:caps w:val="0"/>
          <w:sz w:val="22"/>
          <w:szCs w:val="22"/>
          <w:rtl/>
        </w:rPr>
      </w:pPr>
      <w:hyperlink w:anchor="_Toc135669977" w:history="1">
        <w:r w:rsidR="00D31714" w:rsidRPr="00F52687">
          <w:rPr>
            <w:rStyle w:val="Hyperlink"/>
            <w:rtl/>
          </w:rPr>
          <w:t>~~~~~~~ ביאורי ראשי הישיבות ~~~~~~~</w:t>
        </w:r>
      </w:hyperlink>
    </w:p>
    <w:p w14:paraId="5DE25B31" w14:textId="77777777" w:rsidR="00D31714" w:rsidRDefault="00AD16A0" w:rsidP="00D31714">
      <w:pPr>
        <w:pStyle w:val="TOC1"/>
        <w:rPr>
          <w:rFonts w:asciiTheme="minorHAnsi" w:hAnsiTheme="minorHAnsi" w:cstheme="minorBidi"/>
          <w:b w:val="0"/>
          <w:bCs w:val="0"/>
          <w:caps w:val="0"/>
          <w:sz w:val="22"/>
          <w:szCs w:val="22"/>
          <w:rtl/>
        </w:rPr>
      </w:pPr>
      <w:hyperlink w:anchor="_Toc135669978" w:history="1">
        <w:r w:rsidR="00D31714" w:rsidRPr="00F52687">
          <w:rPr>
            <w:rStyle w:val="Hyperlink"/>
            <w:rtl/>
          </w:rPr>
          <w:t>בי' הגרי"ז בדין תולש ובקוצר בגידו"ק</w:t>
        </w:r>
      </w:hyperlink>
    </w:p>
    <w:p w14:paraId="4FD1516C" w14:textId="77777777" w:rsidR="00D31714" w:rsidRDefault="00AD16A0" w:rsidP="00D31714">
      <w:pPr>
        <w:pStyle w:val="TOC2"/>
        <w:rPr>
          <w:rFonts w:cstheme="minorBidi"/>
          <w:b w:val="0"/>
          <w:bCs w:val="0"/>
          <w:sz w:val="22"/>
          <w:szCs w:val="22"/>
          <w:rtl/>
        </w:rPr>
      </w:pPr>
      <w:hyperlink w:anchor="_Toc135669979" w:history="1">
        <w:r w:rsidR="00D31714" w:rsidRPr="00F52687">
          <w:rPr>
            <w:rStyle w:val="Hyperlink"/>
            <w:rtl/>
          </w:rPr>
          <w:t>באב ותולדה בתולש ועוקר דבר מגידולו ובד' הרמב"ם בגידו"ק</w:t>
        </w:r>
      </w:hyperlink>
    </w:p>
    <w:p w14:paraId="2C2D8848" w14:textId="77777777" w:rsidR="00D31714" w:rsidRDefault="00AD16A0" w:rsidP="00ED704E">
      <w:pPr>
        <w:pStyle w:val="TOC3"/>
        <w:rPr>
          <w:rFonts w:asciiTheme="minorHAnsi" w:eastAsiaTheme="minorEastAsia" w:hAnsiTheme="minorHAnsi" w:cstheme="minorBidi"/>
          <w:sz w:val="22"/>
          <w:szCs w:val="22"/>
          <w:rtl/>
        </w:rPr>
      </w:pPr>
      <w:hyperlink w:anchor="_Toc135669980" w:history="1">
        <w:r w:rsidR="00D31714" w:rsidRPr="00F52687">
          <w:rPr>
            <w:rStyle w:val="Hyperlink"/>
            <w:rtl/>
          </w:rPr>
          <w:t>קו' הגרי"ז דמ"ש תולש דהוא תולדה מעוקר דבר מגידולו שהוא אב ותי' הגרי"ז דבדרך הוי אב</w:t>
        </w:r>
      </w:hyperlink>
    </w:p>
    <w:p w14:paraId="69D20925" w14:textId="77777777" w:rsidR="00D31714" w:rsidRDefault="00AD16A0" w:rsidP="00ED704E">
      <w:pPr>
        <w:pStyle w:val="TOC3"/>
        <w:rPr>
          <w:rFonts w:asciiTheme="minorHAnsi" w:eastAsiaTheme="minorEastAsia" w:hAnsiTheme="minorHAnsi" w:cstheme="minorBidi"/>
          <w:sz w:val="22"/>
          <w:szCs w:val="22"/>
          <w:rtl/>
        </w:rPr>
      </w:pPr>
      <w:hyperlink w:anchor="_Toc135669981" w:history="1">
        <w:r w:rsidR="00D31714" w:rsidRPr="00F52687">
          <w:rPr>
            <w:rStyle w:val="Hyperlink"/>
            <w:rtl/>
          </w:rPr>
          <w:t>בי' הגרי"ז ברמב"ם דחיוב אב דקוצר הוא רק בגידו"ק אך שלא בגידו"ק אפשר לחייב בתולדה</w:t>
        </w:r>
      </w:hyperlink>
    </w:p>
    <w:p w14:paraId="39B5CC39" w14:textId="77777777" w:rsidR="00D31714" w:rsidRDefault="00AD16A0" w:rsidP="00ED704E">
      <w:pPr>
        <w:pStyle w:val="TOC3"/>
        <w:rPr>
          <w:rFonts w:asciiTheme="minorHAnsi" w:eastAsiaTheme="minorEastAsia" w:hAnsiTheme="minorHAnsi" w:cstheme="minorBidi"/>
          <w:sz w:val="22"/>
          <w:szCs w:val="22"/>
          <w:rtl/>
        </w:rPr>
      </w:pPr>
      <w:hyperlink w:anchor="_Toc135669982" w:history="1">
        <w:r w:rsidR="00D31714" w:rsidRPr="00F52687">
          <w:rPr>
            <w:rStyle w:val="Hyperlink"/>
            <w:rtl/>
          </w:rPr>
          <w:t>בי' הגרי"ז דבעוקר דבר מגידולו שהוא אב א"א לחייב בדבר שאינו גידו"ק דאב הוא רק בגידו"ק</w:t>
        </w:r>
      </w:hyperlink>
    </w:p>
    <w:p w14:paraId="0E68833F" w14:textId="77777777" w:rsidR="00D31714" w:rsidRDefault="00AD16A0" w:rsidP="00D31714">
      <w:pPr>
        <w:pStyle w:val="TOC1"/>
        <w:rPr>
          <w:rFonts w:asciiTheme="minorHAnsi" w:hAnsiTheme="minorHAnsi" w:cstheme="minorBidi"/>
          <w:b w:val="0"/>
          <w:bCs w:val="0"/>
          <w:caps w:val="0"/>
          <w:sz w:val="22"/>
          <w:szCs w:val="22"/>
          <w:rtl/>
        </w:rPr>
      </w:pPr>
      <w:hyperlink w:anchor="_Toc135669983" w:history="1">
        <w:r w:rsidR="00D31714" w:rsidRPr="00F52687">
          <w:rPr>
            <w:rStyle w:val="Hyperlink"/>
            <w:rtl/>
          </w:rPr>
          <w:t>בדין קוצר בגידולי קרקע ואי דמי לדש</w:t>
        </w:r>
      </w:hyperlink>
    </w:p>
    <w:p w14:paraId="5A7FC7E0" w14:textId="77777777" w:rsidR="00D31714" w:rsidRDefault="00AD16A0" w:rsidP="00D31714">
      <w:pPr>
        <w:pStyle w:val="TOC2"/>
        <w:rPr>
          <w:rFonts w:cstheme="minorBidi"/>
          <w:b w:val="0"/>
          <w:bCs w:val="0"/>
          <w:sz w:val="22"/>
          <w:szCs w:val="22"/>
          <w:rtl/>
        </w:rPr>
      </w:pPr>
      <w:hyperlink w:anchor="_Toc135669984" w:history="1">
        <w:r w:rsidR="00D31714" w:rsidRPr="00F52687">
          <w:rPr>
            <w:rStyle w:val="Hyperlink"/>
            <w:rtl/>
          </w:rPr>
          <w:t>בי' הדב"א והקה"י דקוצר הוא מהקרקע עצמה ול"ד לדש</w:t>
        </w:r>
      </w:hyperlink>
    </w:p>
    <w:p w14:paraId="7323BADB" w14:textId="77777777" w:rsidR="00D31714" w:rsidRDefault="00AD16A0" w:rsidP="00ED704E">
      <w:pPr>
        <w:pStyle w:val="TOC3"/>
        <w:rPr>
          <w:rFonts w:asciiTheme="minorHAnsi" w:eastAsiaTheme="minorEastAsia" w:hAnsiTheme="minorHAnsi" w:cstheme="minorBidi"/>
          <w:sz w:val="22"/>
          <w:szCs w:val="22"/>
          <w:rtl/>
        </w:rPr>
      </w:pPr>
      <w:hyperlink w:anchor="_Toc135669985" w:history="1">
        <w:r w:rsidR="00D31714" w:rsidRPr="00F52687">
          <w:rPr>
            <w:rStyle w:val="Hyperlink"/>
            <w:rtl/>
          </w:rPr>
          <w:t>בי' הדב"א דלענין דישה יל"ע בדברי התוס' לקמן יל"ע אי ס"ל דדישה היא רק בגידולי קרקע</w:t>
        </w:r>
      </w:hyperlink>
    </w:p>
    <w:p w14:paraId="3CC465A2" w14:textId="77777777" w:rsidR="00D31714" w:rsidRDefault="00AD16A0" w:rsidP="00ED704E">
      <w:pPr>
        <w:pStyle w:val="TOC3"/>
        <w:rPr>
          <w:rFonts w:asciiTheme="minorHAnsi" w:eastAsiaTheme="minorEastAsia" w:hAnsiTheme="minorHAnsi" w:cstheme="minorBidi"/>
          <w:sz w:val="22"/>
          <w:szCs w:val="22"/>
          <w:rtl/>
        </w:rPr>
      </w:pPr>
      <w:hyperlink w:anchor="_Toc135669986" w:history="1">
        <w:r w:rsidR="00D31714" w:rsidRPr="00F52687">
          <w:rPr>
            <w:rStyle w:val="Hyperlink"/>
            <w:rtl/>
          </w:rPr>
          <w:t>בי' הדב"א והקה"י דדש אינו בקרקע עצמה אך קוצר צריך לקצור מהמחובר לקרקע עצמה ממש</w:t>
        </w:r>
      </w:hyperlink>
    </w:p>
    <w:p w14:paraId="557BDE47" w14:textId="77777777" w:rsidR="00D31714" w:rsidRDefault="00AD16A0" w:rsidP="00ED704E">
      <w:pPr>
        <w:pStyle w:val="TOC3"/>
        <w:rPr>
          <w:rFonts w:asciiTheme="minorHAnsi" w:eastAsiaTheme="minorEastAsia" w:hAnsiTheme="minorHAnsi" w:cstheme="minorBidi"/>
          <w:sz w:val="22"/>
          <w:szCs w:val="22"/>
          <w:rtl/>
        </w:rPr>
      </w:pPr>
      <w:hyperlink w:anchor="_Toc135669987" w:history="1">
        <w:r w:rsidR="00D31714" w:rsidRPr="00F52687">
          <w:rPr>
            <w:rStyle w:val="Hyperlink"/>
            <w:rtl/>
          </w:rPr>
          <w:t>בי' הדב"א ברמב"ם דבקוצר א"צ להזכיר דהוא גידו"ק דהוא פשיטא כיון דקוצר מהקרקע עצמה</w:t>
        </w:r>
      </w:hyperlink>
    </w:p>
    <w:p w14:paraId="0C0B2F40" w14:textId="77777777" w:rsidR="00D31714" w:rsidRDefault="00AD16A0" w:rsidP="00ED704E">
      <w:pPr>
        <w:pStyle w:val="TOC3"/>
        <w:rPr>
          <w:rFonts w:asciiTheme="minorHAnsi" w:eastAsiaTheme="minorEastAsia" w:hAnsiTheme="minorHAnsi" w:cstheme="minorBidi"/>
          <w:sz w:val="22"/>
          <w:szCs w:val="22"/>
          <w:rtl/>
        </w:rPr>
      </w:pPr>
      <w:hyperlink w:anchor="_Toc135669988" w:history="1">
        <w:r w:rsidR="00D31714" w:rsidRPr="00F52687">
          <w:rPr>
            <w:rStyle w:val="Hyperlink"/>
            <w:rtl/>
          </w:rPr>
          <w:t>בי' הדב"א דאף לדעת רבי יהודה דיש דישה שלא בגידו"ק אפש"ל דמודה דקוצר מהקרקע עצמה</w:t>
        </w:r>
      </w:hyperlink>
    </w:p>
    <w:p w14:paraId="24205B7B" w14:textId="77777777" w:rsidR="00D31714" w:rsidRDefault="00AD16A0" w:rsidP="00D31714">
      <w:pPr>
        <w:pStyle w:val="TOC2"/>
        <w:rPr>
          <w:rFonts w:cstheme="minorBidi"/>
          <w:b w:val="0"/>
          <w:bCs w:val="0"/>
          <w:sz w:val="22"/>
          <w:szCs w:val="22"/>
          <w:rtl/>
        </w:rPr>
      </w:pPr>
      <w:hyperlink w:anchor="_Toc135669989" w:history="1">
        <w:r w:rsidR="00D31714" w:rsidRPr="00F52687">
          <w:rPr>
            <w:rStyle w:val="Hyperlink"/>
            <w:rtl/>
          </w:rPr>
          <w:t>בי' הדב"א דמשמע בראשונים דכשותא מהיזמי כמחובר לקרקע</w:t>
        </w:r>
      </w:hyperlink>
    </w:p>
    <w:p w14:paraId="08623E20" w14:textId="77777777" w:rsidR="00D31714" w:rsidRDefault="00AD16A0" w:rsidP="00ED704E">
      <w:pPr>
        <w:pStyle w:val="TOC3"/>
        <w:rPr>
          <w:rFonts w:asciiTheme="minorHAnsi" w:eastAsiaTheme="minorEastAsia" w:hAnsiTheme="minorHAnsi" w:cstheme="minorBidi"/>
          <w:sz w:val="22"/>
          <w:szCs w:val="22"/>
          <w:rtl/>
        </w:rPr>
      </w:pPr>
      <w:hyperlink w:anchor="_Toc135669990" w:history="1">
        <w:r w:rsidR="00D31714" w:rsidRPr="00F52687">
          <w:rPr>
            <w:rStyle w:val="Hyperlink"/>
            <w:rtl/>
          </w:rPr>
          <w:t>בי' הדב"א דתולש כשות מהיזמי כתולש ממחובר ובמאירי משמע דחשיב מחובר לקרקע עצמה</w:t>
        </w:r>
      </w:hyperlink>
    </w:p>
    <w:p w14:paraId="3BF60D32" w14:textId="77777777" w:rsidR="00D31714" w:rsidRDefault="00AD16A0" w:rsidP="00ED704E">
      <w:pPr>
        <w:pStyle w:val="TOC3"/>
        <w:rPr>
          <w:rFonts w:asciiTheme="minorHAnsi" w:eastAsiaTheme="minorEastAsia" w:hAnsiTheme="minorHAnsi" w:cstheme="minorBidi"/>
          <w:sz w:val="22"/>
          <w:szCs w:val="22"/>
          <w:rtl/>
        </w:rPr>
      </w:pPr>
      <w:hyperlink w:anchor="_Toc135669991" w:history="1">
        <w:r w:rsidR="00D31714" w:rsidRPr="00F52687">
          <w:rPr>
            <w:rStyle w:val="Hyperlink"/>
            <w:rtl/>
          </w:rPr>
          <w:t>בי' הדב"א דל"מ להדיא בראשונים מי שחולק על הרמב"ן וס"ל דיש קוצר שלא בגידולי קרקע</w:t>
        </w:r>
      </w:hyperlink>
    </w:p>
    <w:p w14:paraId="6964FA26" w14:textId="77777777" w:rsidR="00D31714" w:rsidRDefault="00AD16A0" w:rsidP="00ED704E">
      <w:pPr>
        <w:pStyle w:val="TOC3"/>
        <w:rPr>
          <w:rFonts w:asciiTheme="minorHAnsi" w:eastAsiaTheme="minorEastAsia" w:hAnsiTheme="minorHAnsi" w:cstheme="minorBidi"/>
          <w:sz w:val="22"/>
          <w:szCs w:val="22"/>
          <w:rtl/>
        </w:rPr>
      </w:pPr>
      <w:hyperlink w:anchor="_Toc135669992" w:history="1">
        <w:r w:rsidR="00D31714" w:rsidRPr="00F52687">
          <w:rPr>
            <w:rStyle w:val="Hyperlink"/>
            <w:rtl/>
          </w:rPr>
          <w:t>בי' הדב"א דמ"ש היראים דבאדם הוא גם תולדת קוצר אפש"ל דאדם כקרקע או דכוונתו מדרבנן</w:t>
        </w:r>
      </w:hyperlink>
    </w:p>
    <w:p w14:paraId="61DD6C7A" w14:textId="77777777" w:rsidR="00D31714" w:rsidRDefault="00AD16A0" w:rsidP="00D31714">
      <w:pPr>
        <w:pStyle w:val="TOC1"/>
        <w:rPr>
          <w:rFonts w:asciiTheme="minorHAnsi" w:hAnsiTheme="minorHAnsi" w:cstheme="minorBidi"/>
          <w:b w:val="0"/>
          <w:bCs w:val="0"/>
          <w:caps w:val="0"/>
          <w:sz w:val="22"/>
          <w:szCs w:val="22"/>
          <w:rtl/>
        </w:rPr>
      </w:pPr>
      <w:hyperlink w:anchor="_Toc135669993" w:history="1">
        <w:r w:rsidR="00D31714" w:rsidRPr="00F52687">
          <w:rPr>
            <w:rStyle w:val="Hyperlink"/>
            <w:rtl/>
          </w:rPr>
          <w:t>~~~~~~~~~~~~~~~~~~~~~~~~~~~~</w:t>
        </w:r>
      </w:hyperlink>
    </w:p>
    <w:p w14:paraId="06977B03" w14:textId="77777777" w:rsidR="00D31714" w:rsidRDefault="00AD16A0" w:rsidP="00D31714">
      <w:pPr>
        <w:pStyle w:val="TOC1"/>
        <w:rPr>
          <w:rFonts w:asciiTheme="minorHAnsi" w:hAnsiTheme="minorHAnsi" w:cstheme="minorBidi"/>
          <w:b w:val="0"/>
          <w:bCs w:val="0"/>
          <w:caps w:val="0"/>
          <w:sz w:val="22"/>
          <w:szCs w:val="22"/>
          <w:rtl/>
        </w:rPr>
      </w:pPr>
      <w:hyperlink w:anchor="_Toc135669994" w:history="1">
        <w:r w:rsidR="00D31714" w:rsidRPr="00F52687">
          <w:rPr>
            <w:rStyle w:val="Hyperlink"/>
            <w:rtl/>
          </w:rPr>
          <w:t>בגדר חיבור עציץ נקוב לענין שבת</w:t>
        </w:r>
      </w:hyperlink>
    </w:p>
    <w:p w14:paraId="7C56CAC6" w14:textId="77777777" w:rsidR="00D31714" w:rsidRDefault="00AD16A0" w:rsidP="00D31714">
      <w:pPr>
        <w:pStyle w:val="TOC2"/>
        <w:rPr>
          <w:rFonts w:cstheme="minorBidi"/>
          <w:b w:val="0"/>
          <w:bCs w:val="0"/>
          <w:sz w:val="22"/>
          <w:szCs w:val="22"/>
          <w:rtl/>
        </w:rPr>
      </w:pPr>
      <w:hyperlink w:anchor="_Toc135669995" w:history="1">
        <w:r w:rsidR="00D31714" w:rsidRPr="00F52687">
          <w:rPr>
            <w:rStyle w:val="Hyperlink"/>
            <w:rtl/>
          </w:rPr>
          <w:t>בי' חי' הגר"ח [מהגר"מ] דע"ג יתדות ל"ה מחובר לענין שבת</w:t>
        </w:r>
      </w:hyperlink>
    </w:p>
    <w:p w14:paraId="28ADFFF9" w14:textId="77777777" w:rsidR="00D31714" w:rsidRDefault="00AD16A0" w:rsidP="00ED704E">
      <w:pPr>
        <w:pStyle w:val="TOC3"/>
        <w:rPr>
          <w:rFonts w:asciiTheme="minorHAnsi" w:eastAsiaTheme="minorEastAsia" w:hAnsiTheme="minorHAnsi" w:cstheme="minorBidi"/>
          <w:sz w:val="22"/>
          <w:szCs w:val="22"/>
          <w:rtl/>
        </w:rPr>
      </w:pPr>
      <w:hyperlink w:anchor="_Toc135669996" w:history="1">
        <w:r w:rsidR="00D31714" w:rsidRPr="00F52687">
          <w:rPr>
            <w:rStyle w:val="Hyperlink"/>
            <w:rtl/>
          </w:rPr>
          <w:t>קו' הגר"מ סולובייצ'יק דבשבת ס"ל לרמב"ם דעציץ ע"ג יתדות תלוש ובתרו"מ ס"ל דהוא מחובר</w:t>
        </w:r>
      </w:hyperlink>
    </w:p>
    <w:p w14:paraId="3641B89E" w14:textId="77777777" w:rsidR="00D31714" w:rsidRDefault="00AD16A0" w:rsidP="00ED704E">
      <w:pPr>
        <w:pStyle w:val="TOC3"/>
        <w:rPr>
          <w:rFonts w:asciiTheme="minorHAnsi" w:eastAsiaTheme="minorEastAsia" w:hAnsiTheme="minorHAnsi" w:cstheme="minorBidi"/>
          <w:sz w:val="22"/>
          <w:szCs w:val="22"/>
          <w:rtl/>
        </w:rPr>
      </w:pPr>
      <w:hyperlink w:anchor="_Toc135669997" w:history="1">
        <w:r w:rsidR="00D31714" w:rsidRPr="00F52687">
          <w:rPr>
            <w:rStyle w:val="Hyperlink"/>
            <w:rtl/>
          </w:rPr>
          <w:t>בי' הגר"מ סולובייצ'יק דע"ג יתדות אף לתרו"מ לא מחובר אך חשיב כקרקע כיון דיונק ממנה</w:t>
        </w:r>
      </w:hyperlink>
    </w:p>
    <w:p w14:paraId="125451FA" w14:textId="77777777" w:rsidR="00D31714" w:rsidRDefault="00AD16A0" w:rsidP="00ED704E">
      <w:pPr>
        <w:pStyle w:val="TOC3"/>
        <w:rPr>
          <w:rFonts w:asciiTheme="minorHAnsi" w:eastAsiaTheme="minorEastAsia" w:hAnsiTheme="minorHAnsi" w:cstheme="minorBidi"/>
          <w:sz w:val="22"/>
          <w:szCs w:val="22"/>
          <w:rtl/>
        </w:rPr>
      </w:pPr>
      <w:hyperlink w:anchor="_Toc135669998" w:history="1">
        <w:r w:rsidR="00D31714" w:rsidRPr="00F52687">
          <w:rPr>
            <w:rStyle w:val="Hyperlink"/>
            <w:rtl/>
          </w:rPr>
          <w:t>בי' הגר"מ סולובייצ'יק דבשבת חייב בתולש דאף דיונק מהקרקע לענין שבת החיוב תלוי במחובר</w:t>
        </w:r>
      </w:hyperlink>
    </w:p>
    <w:p w14:paraId="47D9AFB9" w14:textId="77777777" w:rsidR="00D31714" w:rsidRDefault="00AD16A0" w:rsidP="00ED704E">
      <w:pPr>
        <w:pStyle w:val="TOC3"/>
        <w:rPr>
          <w:rFonts w:asciiTheme="minorHAnsi" w:eastAsiaTheme="minorEastAsia" w:hAnsiTheme="minorHAnsi" w:cstheme="minorBidi"/>
          <w:sz w:val="22"/>
          <w:szCs w:val="22"/>
          <w:rtl/>
        </w:rPr>
      </w:pPr>
      <w:hyperlink w:anchor="_Toc135669999" w:history="1">
        <w:r w:rsidR="00D31714" w:rsidRPr="00F52687">
          <w:rPr>
            <w:rStyle w:val="Hyperlink"/>
            <w:rtl/>
          </w:rPr>
          <w:t>קו' הגר"מ סולובייצ'יק ברמב"ם דאוירא קא רבו אינו מחשיב כמחובר ואמאי התולש מצרור חייב</w:t>
        </w:r>
      </w:hyperlink>
    </w:p>
    <w:p w14:paraId="05372620" w14:textId="77777777" w:rsidR="00D31714" w:rsidRDefault="00AD16A0" w:rsidP="00ED704E">
      <w:pPr>
        <w:pStyle w:val="TOC3"/>
        <w:rPr>
          <w:rFonts w:asciiTheme="minorHAnsi" w:eastAsiaTheme="minorEastAsia" w:hAnsiTheme="minorHAnsi" w:cstheme="minorBidi"/>
          <w:sz w:val="22"/>
          <w:szCs w:val="22"/>
          <w:rtl/>
        </w:rPr>
      </w:pPr>
      <w:hyperlink w:anchor="_Toc135670000" w:history="1">
        <w:r w:rsidR="00D31714" w:rsidRPr="00F52687">
          <w:rPr>
            <w:rStyle w:val="Hyperlink"/>
            <w:rtl/>
          </w:rPr>
          <w:t>בי' הגר"מ סולובייצ'יק דלרמב"ם רק כלי צריך שיהיה עציץ נקוב וצרור כמחובר קרקע דל"ה כלי</w:t>
        </w:r>
      </w:hyperlink>
    </w:p>
    <w:p w14:paraId="2FBE4BE7" w14:textId="77777777" w:rsidR="00D31714" w:rsidRDefault="00AD16A0" w:rsidP="00ED704E">
      <w:pPr>
        <w:pStyle w:val="TOC3"/>
        <w:rPr>
          <w:rFonts w:asciiTheme="minorHAnsi" w:eastAsiaTheme="minorEastAsia" w:hAnsiTheme="minorHAnsi" w:cstheme="minorBidi"/>
          <w:sz w:val="22"/>
          <w:szCs w:val="22"/>
          <w:rtl/>
        </w:rPr>
      </w:pPr>
      <w:hyperlink w:anchor="_Toc135670001" w:history="1">
        <w:r w:rsidR="00D31714" w:rsidRPr="00F52687">
          <w:rPr>
            <w:rStyle w:val="Hyperlink"/>
            <w:rtl/>
          </w:rPr>
          <w:t>בי' הקה"י ברמב"ם דלענין שבת עציץ ע"ג יתדות הוא כתלוש וערלה תלוי ביניקה מאויר א"י</w:t>
        </w:r>
      </w:hyperlink>
    </w:p>
    <w:p w14:paraId="3272B230" w14:textId="77777777" w:rsidR="00D31714" w:rsidRDefault="00AD16A0" w:rsidP="00ED704E">
      <w:pPr>
        <w:pStyle w:val="TOC3"/>
        <w:rPr>
          <w:rFonts w:asciiTheme="minorHAnsi" w:eastAsiaTheme="minorEastAsia" w:hAnsiTheme="minorHAnsi" w:cstheme="minorBidi"/>
          <w:sz w:val="22"/>
          <w:szCs w:val="22"/>
          <w:rtl/>
        </w:rPr>
      </w:pPr>
      <w:hyperlink w:anchor="_Toc135670002" w:history="1">
        <w:r w:rsidR="00D31714" w:rsidRPr="00F52687">
          <w:rPr>
            <w:rStyle w:val="Hyperlink"/>
            <w:rtl/>
          </w:rPr>
          <w:t>בי' הקה"י דאף דהעציץ כתלוש מ"מ העוקר ממנו חייב כעוקר דבר מגידולו דחייב אף בתלוש</w:t>
        </w:r>
      </w:hyperlink>
    </w:p>
    <w:p w14:paraId="752AAA09" w14:textId="77777777" w:rsidR="00D31714" w:rsidRDefault="00AD16A0" w:rsidP="00D31714">
      <w:pPr>
        <w:pStyle w:val="TOC2"/>
        <w:rPr>
          <w:rFonts w:cstheme="minorBidi"/>
          <w:b w:val="0"/>
          <w:bCs w:val="0"/>
          <w:sz w:val="22"/>
          <w:szCs w:val="22"/>
          <w:rtl/>
        </w:rPr>
      </w:pPr>
      <w:hyperlink w:anchor="_Toc135670003" w:history="1">
        <w:r w:rsidR="00D31714" w:rsidRPr="00F52687">
          <w:rPr>
            <w:rStyle w:val="Hyperlink"/>
            <w:rtl/>
          </w:rPr>
          <w:t>בי' הזכר יצחק דע"ג יתדות הוי מחובר וחיוב תולש דמיעט יניקה</w:t>
        </w:r>
      </w:hyperlink>
    </w:p>
    <w:p w14:paraId="00CA09DE" w14:textId="77777777" w:rsidR="00D31714" w:rsidRDefault="00AD16A0" w:rsidP="00ED704E">
      <w:pPr>
        <w:pStyle w:val="TOC3"/>
        <w:rPr>
          <w:rFonts w:asciiTheme="minorHAnsi" w:eastAsiaTheme="minorEastAsia" w:hAnsiTheme="minorHAnsi" w:cstheme="minorBidi"/>
          <w:sz w:val="22"/>
          <w:szCs w:val="22"/>
          <w:rtl/>
        </w:rPr>
      </w:pPr>
      <w:hyperlink w:anchor="_Toc135670004" w:history="1">
        <w:r w:rsidR="00D31714" w:rsidRPr="00F52687">
          <w:rPr>
            <w:rStyle w:val="Hyperlink"/>
            <w:rtl/>
          </w:rPr>
          <w:t>בי' הזכר יצחק ברמב"ם דאף ע"ג יתדות חשיב מחובר והא דחייב משום תולש כיון דמיעט יניקתו</w:t>
        </w:r>
      </w:hyperlink>
    </w:p>
    <w:p w14:paraId="61E94105" w14:textId="77777777" w:rsidR="00D31714" w:rsidRDefault="00AD16A0" w:rsidP="00D31714">
      <w:pPr>
        <w:pStyle w:val="TOC2"/>
        <w:rPr>
          <w:rFonts w:cstheme="minorBidi"/>
          <w:b w:val="0"/>
          <w:bCs w:val="0"/>
          <w:sz w:val="22"/>
          <w:szCs w:val="22"/>
          <w:rtl/>
        </w:rPr>
      </w:pPr>
      <w:hyperlink w:anchor="_Toc135670005" w:history="1">
        <w:r w:rsidR="00D31714" w:rsidRPr="00F52687">
          <w:rPr>
            <w:rStyle w:val="Hyperlink"/>
            <w:rtl/>
          </w:rPr>
          <w:t>בי' הדב"א דיל"ע ברמב"ם אי ע"ג יתדות כמחובר ובאויר כתלוש</w:t>
        </w:r>
      </w:hyperlink>
    </w:p>
    <w:p w14:paraId="4C703F93" w14:textId="77777777" w:rsidR="00D31714" w:rsidRDefault="00AD16A0" w:rsidP="00ED704E">
      <w:pPr>
        <w:pStyle w:val="TOC3"/>
        <w:rPr>
          <w:rFonts w:asciiTheme="minorHAnsi" w:eastAsiaTheme="minorEastAsia" w:hAnsiTheme="minorHAnsi" w:cstheme="minorBidi"/>
          <w:sz w:val="22"/>
          <w:szCs w:val="22"/>
          <w:rtl/>
        </w:rPr>
      </w:pPr>
      <w:hyperlink w:anchor="_Toc135670006" w:history="1">
        <w:r w:rsidR="00D31714" w:rsidRPr="00F52687">
          <w:rPr>
            <w:rStyle w:val="Hyperlink"/>
            <w:rtl/>
          </w:rPr>
          <w:t>בי' הדב"א ברמב"ם דע"ג קרקע העצי"נ מחובר לגמרי וע"ג יתדות תלוש ואפ"ה כותבין פרוזבול</w:t>
        </w:r>
      </w:hyperlink>
    </w:p>
    <w:p w14:paraId="0943B8C8" w14:textId="77777777" w:rsidR="00D31714" w:rsidRDefault="00AD16A0" w:rsidP="00ED704E">
      <w:pPr>
        <w:pStyle w:val="TOC3"/>
        <w:rPr>
          <w:rFonts w:asciiTheme="minorHAnsi" w:eastAsiaTheme="minorEastAsia" w:hAnsiTheme="minorHAnsi" w:cstheme="minorBidi"/>
          <w:sz w:val="22"/>
          <w:szCs w:val="22"/>
          <w:rtl/>
        </w:rPr>
      </w:pPr>
      <w:hyperlink w:anchor="_Toc135670007" w:history="1">
        <w:r w:rsidR="00D31714" w:rsidRPr="00F52687">
          <w:rPr>
            <w:rStyle w:val="Hyperlink"/>
            <w:rtl/>
          </w:rPr>
          <w:t>בי' הדב"א דאף אי ס"ל להרמב"ם דע"ג יתדות הוא מחובר מ"מ באויר ודאי דהוא תלוש</w:t>
        </w:r>
      </w:hyperlink>
    </w:p>
    <w:p w14:paraId="061483FC" w14:textId="77777777" w:rsidR="00D31714" w:rsidRDefault="00AD16A0" w:rsidP="00D31714">
      <w:pPr>
        <w:pStyle w:val="TOC2"/>
        <w:rPr>
          <w:rFonts w:cstheme="minorBidi"/>
          <w:b w:val="0"/>
          <w:bCs w:val="0"/>
          <w:sz w:val="22"/>
          <w:szCs w:val="22"/>
          <w:rtl/>
        </w:rPr>
      </w:pPr>
      <w:hyperlink w:anchor="_Toc135670008" w:history="1">
        <w:r w:rsidR="00D31714" w:rsidRPr="00F52687">
          <w:rPr>
            <w:rStyle w:val="Hyperlink"/>
            <w:rtl/>
          </w:rPr>
          <w:t>בי' הדב"א ברש"י דע"ג יתדות הוי תלוש דאינו יונק וה"ה באויר</w:t>
        </w:r>
      </w:hyperlink>
    </w:p>
    <w:p w14:paraId="5C181E48" w14:textId="77777777" w:rsidR="00D31714" w:rsidRDefault="00AD16A0" w:rsidP="00ED704E">
      <w:pPr>
        <w:pStyle w:val="TOC3"/>
        <w:rPr>
          <w:rFonts w:asciiTheme="minorHAnsi" w:eastAsiaTheme="minorEastAsia" w:hAnsiTheme="minorHAnsi" w:cstheme="minorBidi"/>
          <w:sz w:val="22"/>
          <w:szCs w:val="22"/>
          <w:rtl/>
        </w:rPr>
      </w:pPr>
      <w:hyperlink w:anchor="_Toc135670009" w:history="1">
        <w:r w:rsidR="00D31714" w:rsidRPr="00F52687">
          <w:rPr>
            <w:rStyle w:val="Hyperlink"/>
            <w:rtl/>
          </w:rPr>
          <w:t>בי' הדב"א דברש"י ובמאירי מוכח דע"ג יתדות אינו כמחובר</w:t>
        </w:r>
      </w:hyperlink>
    </w:p>
    <w:p w14:paraId="244E91CA" w14:textId="77777777" w:rsidR="00D31714" w:rsidRDefault="00AD16A0" w:rsidP="00ED704E">
      <w:pPr>
        <w:pStyle w:val="TOC3"/>
        <w:rPr>
          <w:rFonts w:asciiTheme="minorHAnsi" w:eastAsiaTheme="minorEastAsia" w:hAnsiTheme="minorHAnsi" w:cstheme="minorBidi"/>
          <w:sz w:val="22"/>
          <w:szCs w:val="22"/>
          <w:rtl/>
        </w:rPr>
      </w:pPr>
      <w:hyperlink w:anchor="_Toc135670010" w:history="1">
        <w:r w:rsidR="00D31714" w:rsidRPr="00F52687">
          <w:rPr>
            <w:rStyle w:val="Hyperlink"/>
            <w:rtl/>
          </w:rPr>
          <w:t>קו' הדב"א בזכר יצחק דאי ע"ג יתדות כמחובר הוא יונק ובאויר אינו מחובר ויתחייב משום זורע</w:t>
        </w:r>
      </w:hyperlink>
    </w:p>
    <w:p w14:paraId="753BBFDB" w14:textId="77777777" w:rsidR="00D31714" w:rsidRDefault="00AD16A0" w:rsidP="00D31714">
      <w:pPr>
        <w:pStyle w:val="TOC2"/>
        <w:rPr>
          <w:rFonts w:cstheme="minorBidi"/>
          <w:b w:val="0"/>
          <w:bCs w:val="0"/>
          <w:sz w:val="22"/>
          <w:szCs w:val="22"/>
          <w:rtl/>
        </w:rPr>
      </w:pPr>
      <w:hyperlink w:anchor="_Toc135670011" w:history="1">
        <w:r w:rsidR="00D31714" w:rsidRPr="00F52687">
          <w:rPr>
            <w:rStyle w:val="Hyperlink"/>
            <w:rtl/>
          </w:rPr>
          <w:t>בי' הדבר"י דנח' רש"י והרמב"ם אי יניקה מאויר הוי כמחובר</w:t>
        </w:r>
      </w:hyperlink>
    </w:p>
    <w:p w14:paraId="103C2DB9" w14:textId="77777777" w:rsidR="00D31714" w:rsidRDefault="00AD16A0" w:rsidP="00ED704E">
      <w:pPr>
        <w:pStyle w:val="TOC3"/>
        <w:rPr>
          <w:rFonts w:asciiTheme="minorHAnsi" w:eastAsiaTheme="minorEastAsia" w:hAnsiTheme="minorHAnsi" w:cstheme="minorBidi"/>
          <w:sz w:val="22"/>
          <w:szCs w:val="22"/>
          <w:rtl/>
        </w:rPr>
      </w:pPr>
      <w:hyperlink w:anchor="_Toc135670012" w:history="1">
        <w:r w:rsidR="00D31714" w:rsidRPr="00F52687">
          <w:rPr>
            <w:rStyle w:val="Hyperlink"/>
            <w:rtl/>
          </w:rPr>
          <w:t>בי' הדבר"י ברש"י דנקוב מהצד כמחובר דלשבת א"צ חיבור לקרקע וכל שיונק חייב בתולש</w:t>
        </w:r>
      </w:hyperlink>
    </w:p>
    <w:p w14:paraId="6FB2BABE" w14:textId="77777777" w:rsidR="00D31714" w:rsidRDefault="00AD16A0" w:rsidP="00ED704E">
      <w:pPr>
        <w:pStyle w:val="TOC3"/>
        <w:rPr>
          <w:rFonts w:asciiTheme="minorHAnsi" w:eastAsiaTheme="minorEastAsia" w:hAnsiTheme="minorHAnsi" w:cstheme="minorBidi"/>
          <w:sz w:val="22"/>
          <w:szCs w:val="22"/>
          <w:rtl/>
        </w:rPr>
      </w:pPr>
      <w:hyperlink w:anchor="_Toc135670013" w:history="1">
        <w:r w:rsidR="00D31714" w:rsidRPr="00F52687">
          <w:rPr>
            <w:rStyle w:val="Hyperlink"/>
            <w:rtl/>
          </w:rPr>
          <w:t>בי' הדבר"י ברש"י דכיון דע"י יניקה מהצד חייב בתולש א"כ ודאי דצרור שרואה פני קרקע חייב</w:t>
        </w:r>
      </w:hyperlink>
    </w:p>
    <w:p w14:paraId="36B2EF21" w14:textId="77777777" w:rsidR="00D31714" w:rsidRDefault="00AD16A0" w:rsidP="00ED704E">
      <w:pPr>
        <w:pStyle w:val="TOC3"/>
        <w:rPr>
          <w:rFonts w:asciiTheme="minorHAnsi" w:eastAsiaTheme="minorEastAsia" w:hAnsiTheme="minorHAnsi" w:cstheme="minorBidi"/>
          <w:sz w:val="22"/>
          <w:szCs w:val="22"/>
          <w:rtl/>
        </w:rPr>
      </w:pPr>
      <w:hyperlink w:anchor="_Toc135670014" w:history="1">
        <w:r w:rsidR="00D31714" w:rsidRPr="00F52687">
          <w:rPr>
            <w:rStyle w:val="Hyperlink"/>
            <w:rtl/>
          </w:rPr>
          <w:t>הדבר"י ברמב"ם דריח הקרקע ל"מ להחשיבו נקוב ומחובר וצרור כאינו נקוב ופרפיסא כנקוב</w:t>
        </w:r>
      </w:hyperlink>
    </w:p>
    <w:p w14:paraId="098C923E" w14:textId="77777777" w:rsidR="00D31714" w:rsidRDefault="00AD16A0" w:rsidP="00ED704E">
      <w:pPr>
        <w:pStyle w:val="TOC3"/>
        <w:rPr>
          <w:rFonts w:asciiTheme="minorHAnsi" w:eastAsiaTheme="minorEastAsia" w:hAnsiTheme="minorHAnsi" w:cstheme="minorBidi"/>
          <w:sz w:val="22"/>
          <w:szCs w:val="22"/>
          <w:rtl/>
        </w:rPr>
      </w:pPr>
      <w:hyperlink w:anchor="_Toc135670015" w:history="1">
        <w:r w:rsidR="00D31714" w:rsidRPr="00F52687">
          <w:rPr>
            <w:rStyle w:val="Hyperlink"/>
            <w:rtl/>
          </w:rPr>
          <w:t>בי' הדבר"י דהגבהת הצרור מהקרקע לא חשיבא תולש דמיעוט יניקה בלי תלישה מחיבור פטור</w:t>
        </w:r>
      </w:hyperlink>
    </w:p>
    <w:p w14:paraId="70D31269" w14:textId="77777777" w:rsidR="00D31714" w:rsidRDefault="00AD16A0" w:rsidP="00D31714">
      <w:pPr>
        <w:pStyle w:val="TOC2"/>
        <w:rPr>
          <w:rFonts w:cstheme="minorBidi"/>
          <w:b w:val="0"/>
          <w:bCs w:val="0"/>
          <w:sz w:val="22"/>
          <w:szCs w:val="22"/>
          <w:rtl/>
        </w:rPr>
      </w:pPr>
      <w:hyperlink w:anchor="_Toc135670016" w:history="1">
        <w:r w:rsidR="00D31714" w:rsidRPr="00F52687">
          <w:rPr>
            <w:rStyle w:val="Hyperlink"/>
            <w:rtl/>
          </w:rPr>
          <w:t>בי' רבי ראובן דנחלקו הראשונים אי ע"ג יתדות הוי מחובר</w:t>
        </w:r>
      </w:hyperlink>
    </w:p>
    <w:p w14:paraId="6C7647B1" w14:textId="77777777" w:rsidR="00D31714" w:rsidRDefault="00AD16A0" w:rsidP="00ED704E">
      <w:pPr>
        <w:pStyle w:val="TOC3"/>
        <w:rPr>
          <w:rFonts w:asciiTheme="minorHAnsi" w:eastAsiaTheme="minorEastAsia" w:hAnsiTheme="minorHAnsi" w:cstheme="minorBidi"/>
          <w:sz w:val="22"/>
          <w:szCs w:val="22"/>
          <w:rtl/>
        </w:rPr>
      </w:pPr>
      <w:hyperlink w:anchor="_Toc135670017" w:history="1">
        <w:r w:rsidR="00D31714" w:rsidRPr="00F52687">
          <w:rPr>
            <w:rStyle w:val="Hyperlink"/>
            <w:rtl/>
          </w:rPr>
          <w:t>בי' רבי ראובן ברמב"ם ובאו"ז דע"ג יתדות הוא מחובר ממש וחיוב תולש מדאו' דממעט יניקה</w:t>
        </w:r>
      </w:hyperlink>
    </w:p>
    <w:p w14:paraId="10A953C1" w14:textId="77777777" w:rsidR="00D31714" w:rsidRDefault="00AD16A0" w:rsidP="00ED704E">
      <w:pPr>
        <w:pStyle w:val="TOC3"/>
        <w:rPr>
          <w:rFonts w:asciiTheme="minorHAnsi" w:eastAsiaTheme="minorEastAsia" w:hAnsiTheme="minorHAnsi" w:cstheme="minorBidi"/>
          <w:sz w:val="22"/>
          <w:szCs w:val="22"/>
          <w:rtl/>
        </w:rPr>
      </w:pPr>
      <w:hyperlink w:anchor="_Toc135670018" w:history="1">
        <w:r w:rsidR="00D31714" w:rsidRPr="00F52687">
          <w:rPr>
            <w:rStyle w:val="Hyperlink"/>
            <w:rtl/>
          </w:rPr>
          <w:t>בי' רבי ראובן במאירי ובמ"מ דלשבת ומעשר ע"ג יתדות חשיב כתלוש אך לטומאה תלוי ביניקה</w:t>
        </w:r>
      </w:hyperlink>
    </w:p>
    <w:p w14:paraId="4AFECFBB" w14:textId="77777777" w:rsidR="00D31714" w:rsidRDefault="00AD16A0" w:rsidP="00ED704E">
      <w:pPr>
        <w:pStyle w:val="TOC3"/>
        <w:rPr>
          <w:rFonts w:asciiTheme="minorHAnsi" w:eastAsiaTheme="minorEastAsia" w:hAnsiTheme="minorHAnsi" w:cstheme="minorBidi"/>
          <w:sz w:val="22"/>
          <w:szCs w:val="22"/>
          <w:rtl/>
        </w:rPr>
      </w:pPr>
      <w:hyperlink w:anchor="_Toc135670019" w:history="1">
        <w:r w:rsidR="00D31714" w:rsidRPr="00F52687">
          <w:rPr>
            <w:rStyle w:val="Hyperlink"/>
            <w:rtl/>
          </w:rPr>
          <w:t>בי' רבי ראובן דרק לאו"ז דכשותא ל"ה מחובר אפש"ל דע"ג יתדות תלוש ולא לרמב"ן ור"ח</w:t>
        </w:r>
      </w:hyperlink>
    </w:p>
    <w:p w14:paraId="2C7410C0" w14:textId="77777777" w:rsidR="00D31714" w:rsidRDefault="00AD16A0" w:rsidP="00D31714">
      <w:pPr>
        <w:pStyle w:val="TOC2"/>
        <w:rPr>
          <w:rFonts w:cstheme="minorBidi"/>
          <w:b w:val="0"/>
          <w:bCs w:val="0"/>
          <w:sz w:val="22"/>
          <w:szCs w:val="22"/>
          <w:rtl/>
        </w:rPr>
      </w:pPr>
      <w:hyperlink w:anchor="_Toc135670020" w:history="1">
        <w:r w:rsidR="00D31714" w:rsidRPr="00F52687">
          <w:rPr>
            <w:rStyle w:val="Hyperlink"/>
            <w:rtl/>
          </w:rPr>
          <w:t>חקירת רבי ראובן אי שייך יניקה בעפר עצמו או רק בזרעים</w:t>
        </w:r>
      </w:hyperlink>
    </w:p>
    <w:p w14:paraId="7BB36B17" w14:textId="77777777" w:rsidR="00D31714" w:rsidRDefault="00AD16A0" w:rsidP="00ED704E">
      <w:pPr>
        <w:pStyle w:val="TOC3"/>
        <w:rPr>
          <w:rFonts w:asciiTheme="minorHAnsi" w:eastAsiaTheme="minorEastAsia" w:hAnsiTheme="minorHAnsi" w:cstheme="minorBidi"/>
          <w:sz w:val="22"/>
          <w:szCs w:val="22"/>
          <w:rtl/>
        </w:rPr>
      </w:pPr>
      <w:hyperlink w:anchor="_Toc135670021" w:history="1">
        <w:r w:rsidR="00D31714" w:rsidRPr="00F52687">
          <w:rPr>
            <w:rStyle w:val="Hyperlink"/>
            <w:rtl/>
          </w:rPr>
          <w:t>חקירת רבי ראובן אי היניקה בעציץ נקוב היא רק ב</w:t>
        </w:r>
        <w:r w:rsidR="00D31714" w:rsidRPr="00F52687">
          <w:rPr>
            <w:rStyle w:val="Hyperlink"/>
            <w:rtl/>
          </w:rPr>
          <w:t>ז</w:t>
        </w:r>
        <w:r w:rsidR="00D31714" w:rsidRPr="00F52687">
          <w:rPr>
            <w:rStyle w:val="Hyperlink"/>
            <w:rtl/>
          </w:rPr>
          <w:t>רעים או דאפש"ל דהעפר עצמו חשיב כיונק</w:t>
        </w:r>
      </w:hyperlink>
    </w:p>
    <w:p w14:paraId="2D204D4A" w14:textId="77777777" w:rsidR="00D31714" w:rsidRDefault="00D31714" w:rsidP="00D31714">
      <w:pPr>
        <w:keepNext/>
        <w:keepLines/>
        <w:spacing w:after="0" w:line="240" w:lineRule="auto"/>
        <w:jc w:val="center"/>
        <w:outlineLvl w:val="1"/>
        <w:rPr>
          <w:rFonts w:eastAsiaTheme="minorHAnsi" w:cs="Guttman Hodes"/>
          <w:b/>
          <w:bCs/>
          <w:noProof/>
          <w:sz w:val="14"/>
          <w:szCs w:val="14"/>
          <w:rtl/>
        </w:rPr>
        <w:sectPr w:rsidR="00D31714" w:rsidSect="006479D7">
          <w:headerReference w:type="even" r:id="rId57"/>
          <w:headerReference w:type="default" r:id="rId58"/>
          <w:footerReference w:type="even" r:id="rId59"/>
          <w:footerReference w:type="default" r:id="rId60"/>
          <w:headerReference w:type="first" r:id="rId61"/>
          <w:footerReference w:type="first" r:id="rId62"/>
          <w:type w:val="continuous"/>
          <w:pgSz w:w="11906" w:h="16838"/>
          <w:pgMar w:top="720" w:right="720" w:bottom="720" w:left="720" w:header="283" w:footer="283" w:gutter="0"/>
          <w:cols w:num="2" w:space="113"/>
          <w:titlePg/>
          <w:bidi/>
          <w:rtlGutter/>
          <w:docGrid w:linePitch="299"/>
        </w:sectPr>
      </w:pPr>
      <w:r w:rsidRPr="00224A5A">
        <w:rPr>
          <w:rFonts w:eastAsiaTheme="minorHAnsi" w:cs="Guttman Hodes"/>
          <w:b/>
          <w:bCs/>
          <w:noProof/>
          <w:sz w:val="14"/>
          <w:szCs w:val="14"/>
          <w:rtl/>
        </w:rPr>
        <w:fldChar w:fldCharType="end"/>
      </w:r>
    </w:p>
    <w:p w14:paraId="4B41D424" w14:textId="77777777" w:rsidR="00D31714" w:rsidRPr="00224A5A" w:rsidRDefault="00D31714" w:rsidP="00D31714">
      <w:pPr>
        <w:keepNext/>
        <w:keepLines/>
        <w:spacing w:after="0" w:line="240" w:lineRule="auto"/>
        <w:jc w:val="center"/>
        <w:outlineLvl w:val="1"/>
        <w:rPr>
          <w:rFonts w:ascii="FrankRuehl" w:eastAsia="Guttman Adii-Light" w:hAnsi="FrankRuehl" w:cs="Guttman Hodes"/>
          <w:b/>
          <w:bCs/>
          <w:noProof/>
          <w:sz w:val="24"/>
          <w:szCs w:val="24"/>
          <w:rtl/>
        </w:rPr>
        <w:sectPr w:rsidR="00D31714" w:rsidRPr="00224A5A" w:rsidSect="006479D7">
          <w:type w:val="continuous"/>
          <w:pgSz w:w="11906" w:h="16838"/>
          <w:pgMar w:top="720" w:right="720" w:bottom="720" w:left="720" w:header="283" w:footer="283" w:gutter="0"/>
          <w:cols w:num="2" w:space="113"/>
          <w:titlePg/>
          <w:bidi/>
          <w:rtlGutter/>
          <w:docGrid w:linePitch="299"/>
        </w:sectPr>
      </w:pPr>
    </w:p>
    <w:p w14:paraId="37745520" w14:textId="77777777" w:rsidR="00D31714" w:rsidRPr="00224A5A" w:rsidRDefault="00D31714" w:rsidP="00D31714">
      <w:pPr>
        <w:spacing w:before="240" w:after="0" w:line="360" w:lineRule="auto"/>
        <w:jc w:val="center"/>
        <w:outlineLvl w:val="1"/>
        <w:rPr>
          <w:rFonts w:ascii="Guttman Adii-Light" w:eastAsia="Guttman Adii-Light" w:hAnsi="Guttman Adii-Light" w:cs="Guttman Hodes"/>
          <w:b/>
          <w:bCs/>
          <w:sz w:val="18"/>
          <w:szCs w:val="28"/>
          <w:rtl/>
        </w:rPr>
        <w:sectPr w:rsidR="00D31714" w:rsidRPr="00224A5A" w:rsidSect="00C83122">
          <w:pgSz w:w="11906" w:h="16838"/>
          <w:pgMar w:top="720" w:right="720" w:bottom="720" w:left="720" w:header="283" w:footer="283" w:gutter="0"/>
          <w:cols w:space="720"/>
          <w:bidi/>
          <w:rtlGutter/>
          <w:docGrid w:linePitch="299"/>
        </w:sectPr>
      </w:pPr>
      <w:r w:rsidRPr="00224A5A">
        <w:rPr>
          <w:rFonts w:ascii="Guttman Adii-Light" w:eastAsia="Guttman Adii-Light" w:hAnsi="Guttman Adii-Light" w:cs="Guttman Hodes" w:hint="cs"/>
          <w:b/>
          <w:bCs/>
          <w:sz w:val="18"/>
          <w:szCs w:val="28"/>
          <w:rtl/>
        </w:rPr>
        <w:lastRenderedPageBreak/>
        <w:t>~~~</w:t>
      </w:r>
      <w:r w:rsidRPr="00224A5A">
        <w:rPr>
          <w:rFonts w:ascii="Guttman Adii-Light" w:eastAsia="Guttman Adii-Light" w:hAnsi="Guttman Adii-Light" w:cs="Guttman Hodes"/>
          <w:b/>
          <w:bCs/>
          <w:noProof/>
          <w:sz w:val="18"/>
          <w:szCs w:val="28"/>
          <w:rtl/>
        </w:rPr>
        <w:t>~~</w:t>
      </w:r>
      <w:r w:rsidRPr="00224A5A">
        <w:rPr>
          <w:rFonts w:ascii="Guttman Adii-Light" w:eastAsia="Guttman Adii-Light" w:hAnsi="Guttman Adii-Light" w:cs="Guttman Hodes" w:hint="cs"/>
          <w:b/>
          <w:bCs/>
          <w:sz w:val="18"/>
          <w:szCs w:val="28"/>
          <w:rtl/>
        </w:rPr>
        <w:t>~~ מראי מקומות וביאורים ~~~</w:t>
      </w:r>
      <w:r w:rsidRPr="00224A5A">
        <w:rPr>
          <w:rFonts w:ascii="Guttman Adii-Light" w:eastAsia="Guttman Adii-Light" w:hAnsi="Guttman Adii-Light" w:cs="Guttman Hodes"/>
          <w:b/>
          <w:bCs/>
          <w:noProof/>
          <w:sz w:val="18"/>
          <w:szCs w:val="28"/>
          <w:rtl/>
        </w:rPr>
        <w:t>~~</w:t>
      </w:r>
      <w:r w:rsidRPr="00224A5A">
        <w:rPr>
          <w:rFonts w:ascii="Guttman Adii-Light" w:eastAsia="Guttman Adii-Light" w:hAnsi="Guttman Adii-Light" w:cs="Guttman Hodes" w:hint="cs"/>
          <w:b/>
          <w:bCs/>
          <w:sz w:val="18"/>
          <w:szCs w:val="28"/>
          <w:rtl/>
        </w:rPr>
        <w:t>~~</w:t>
      </w:r>
    </w:p>
    <w:p w14:paraId="04F2839F" w14:textId="77777777" w:rsidR="00D31714" w:rsidRDefault="00D31714" w:rsidP="00D31714">
      <w:pPr>
        <w:pStyle w:val="affff5"/>
        <w:rPr>
          <w:rtl/>
        </w:rPr>
      </w:pPr>
      <w:bookmarkStart w:id="895" w:name="_Toc135129934"/>
      <w:bookmarkStart w:id="896" w:name="_Toc135669908"/>
      <w:bookmarkStart w:id="897" w:name="_Toc135129915"/>
      <w:bookmarkStart w:id="898" w:name="_Toc135129978"/>
      <w:r>
        <w:rPr>
          <w:rFonts w:hint="cs"/>
          <w:rtl/>
        </w:rPr>
        <w:t>באבות ותולדות דקוצר</w:t>
      </w:r>
      <w:bookmarkEnd w:id="895"/>
      <w:r>
        <w:rPr>
          <w:rFonts w:hint="cs"/>
          <w:rtl/>
        </w:rPr>
        <w:t xml:space="preserve"> ובדין התולש</w:t>
      </w:r>
      <w:bookmarkEnd w:id="896"/>
    </w:p>
    <w:p w14:paraId="66B019D1" w14:textId="77777777" w:rsidR="00D31714" w:rsidRDefault="00D31714" w:rsidP="00D31714">
      <w:pPr>
        <w:pStyle w:val="1"/>
        <w:rPr>
          <w:rtl/>
        </w:rPr>
      </w:pPr>
      <w:bookmarkStart w:id="899" w:name="_Toc135669909"/>
      <w:bookmarkStart w:id="900" w:name="_Toc135129935"/>
      <w:r>
        <w:rPr>
          <w:rFonts w:hint="cs"/>
          <w:rtl/>
        </w:rPr>
        <w:t>בי' רש"י בסוגיין דתולש תולדה ומשמעות רש"י דהוי אב</w:t>
      </w:r>
      <w:bookmarkEnd w:id="899"/>
    </w:p>
    <w:p w14:paraId="0CDB4377" w14:textId="77777777" w:rsidR="00D31714" w:rsidRDefault="00D31714" w:rsidP="00D31714">
      <w:pPr>
        <w:pStyle w:val="afffff7"/>
        <w:rPr>
          <w:rtl/>
        </w:rPr>
      </w:pPr>
      <w:bookmarkStart w:id="901" w:name="_Toc135670222"/>
      <w:bookmarkStart w:id="902" w:name="_Toc163505523"/>
      <w:r>
        <w:rPr>
          <w:rtl/>
        </w:rPr>
        <w:t>רש"י שבת ע"ג ע"ב</w:t>
      </w:r>
      <w:r>
        <w:rPr>
          <w:rFonts w:hint="cs"/>
          <w:rtl/>
        </w:rPr>
        <w:t xml:space="preserve"> ד"ה תולש</w:t>
      </w:r>
      <w:bookmarkEnd w:id="901"/>
      <w:bookmarkEnd w:id="902"/>
    </w:p>
    <w:p w14:paraId="52B7EC38" w14:textId="77777777" w:rsidR="00D31714" w:rsidRDefault="00D31714" w:rsidP="00D31714">
      <w:pPr>
        <w:pStyle w:val="afffff7"/>
        <w:rPr>
          <w:rtl/>
        </w:rPr>
      </w:pPr>
      <w:bookmarkStart w:id="903" w:name="_Toc135670223"/>
      <w:bookmarkStart w:id="904" w:name="_Toc135669910"/>
      <w:bookmarkStart w:id="905" w:name="_Toc163505524"/>
      <w:r>
        <w:rPr>
          <w:rtl/>
        </w:rPr>
        <w:t>תוספות בכורות כ"ה ע"א</w:t>
      </w:r>
      <w:r>
        <w:rPr>
          <w:rFonts w:hint="cs"/>
          <w:rtl/>
        </w:rPr>
        <w:t xml:space="preserve"> ד"ה ואמר</w:t>
      </w:r>
      <w:bookmarkEnd w:id="903"/>
      <w:bookmarkEnd w:id="905"/>
    </w:p>
    <w:p w14:paraId="74EDFED3" w14:textId="77777777" w:rsidR="00D31714" w:rsidRDefault="00D31714" w:rsidP="00D31714">
      <w:pPr>
        <w:pStyle w:val="a7"/>
        <w:rPr>
          <w:rtl/>
        </w:rPr>
      </w:pPr>
      <w:r>
        <w:rPr>
          <w:rFonts w:hint="cs"/>
          <w:rtl/>
        </w:rPr>
        <w:t>בי' רש"י בסוגיין והתוס' בבכורות דתולש הוא תולדה דקוצר וכן קוטף ממחובר</w:t>
      </w:r>
      <w:bookmarkEnd w:id="904"/>
    </w:p>
    <w:p w14:paraId="6955E6BA" w14:textId="72CD9845" w:rsidR="00D31714" w:rsidRDefault="00D31714" w:rsidP="00BC7DC8">
      <w:pPr>
        <w:pStyle w:val="a3"/>
        <w:numPr>
          <w:ilvl w:val="0"/>
          <w:numId w:val="20"/>
        </w:numPr>
        <w:rPr>
          <w:rtl/>
        </w:rPr>
      </w:pPr>
      <w:bookmarkStart w:id="906" w:name="_Ref135585940"/>
      <w:bookmarkStart w:id="907" w:name="_Ref135668785"/>
      <w:r>
        <w:rPr>
          <w:rFonts w:hint="cs"/>
          <w:rtl/>
        </w:rPr>
        <w:t xml:space="preserve">כתב </w:t>
      </w:r>
      <w:r w:rsidRPr="00BC7DC8">
        <w:rPr>
          <w:rFonts w:hint="cs"/>
          <w:vanish/>
          <w:rtl/>
        </w:rPr>
        <w:t xml:space="preserve">&lt;. </w:t>
      </w:r>
      <w:r w:rsidRPr="00BC7DC8">
        <w:rPr>
          <w:vanish/>
          <w:rtl/>
        </w:rPr>
        <w:fldChar w:fldCharType="begin"/>
      </w:r>
      <w:r w:rsidRPr="00BC7DC8">
        <w:rPr>
          <w:vanish/>
          <w:rtl/>
        </w:rPr>
        <w:instrText xml:space="preserve"> </w:instrText>
      </w:r>
      <w:r w:rsidRPr="00BC7DC8">
        <w:rPr>
          <w:rFonts w:hint="cs"/>
          <w:vanish/>
        </w:rPr>
        <w:instrText>REF</w:instrText>
      </w:r>
      <w:r w:rsidRPr="00BC7DC8">
        <w:rPr>
          <w:rFonts w:hint="cs"/>
          <w:vanish/>
          <w:rtl/>
        </w:rPr>
        <w:instrText xml:space="preserve"> _</w:instrText>
      </w:r>
      <w:r w:rsidRPr="00BC7DC8">
        <w:rPr>
          <w:rFonts w:hint="cs"/>
          <w:vanish/>
        </w:rPr>
        <w:instrText>Ref135585940 \r \h</w:instrText>
      </w:r>
      <w:r w:rsidRPr="00BC7DC8">
        <w:rPr>
          <w:vanish/>
          <w:rtl/>
        </w:rPr>
        <w:instrText xml:space="preserve">  \* </w:instrText>
      </w:r>
      <w:r w:rsidRPr="00BC7DC8">
        <w:rPr>
          <w:vanish/>
        </w:rPr>
        <w:instrText>MERGEFORMAT</w:instrText>
      </w:r>
      <w:r w:rsidRPr="00BC7DC8">
        <w:rPr>
          <w:vanish/>
          <w:rtl/>
        </w:rPr>
        <w:instrText xml:space="preserve"> </w:instrText>
      </w:r>
      <w:r w:rsidRPr="00112C74">
        <w:rPr>
          <w:vanish/>
          <w:rtl/>
        </w:rPr>
      </w:r>
      <w:r w:rsidRPr="00BC7DC8">
        <w:rPr>
          <w:vanish/>
          <w:rtl/>
        </w:rPr>
        <w:fldChar w:fldCharType="separate"/>
      </w:r>
      <w:r w:rsidR="00D82181">
        <w:rPr>
          <w:vanish/>
          <w:cs/>
        </w:rPr>
        <w:t>‎</w:t>
      </w:r>
      <w:r w:rsidR="00D82181">
        <w:rPr>
          <w:vanish/>
          <w:rtl/>
        </w:rPr>
        <w:t>א)</w:t>
      </w:r>
      <w:r w:rsidRPr="00BC7DC8">
        <w:rPr>
          <w:vanish/>
          <w:rtl/>
        </w:rPr>
        <w:fldChar w:fldCharType="end"/>
      </w:r>
      <w:r w:rsidRPr="00BC7DC8">
        <w:rPr>
          <w:rFonts w:hint="cs"/>
          <w:vanish/>
          <w:rtl/>
        </w:rPr>
        <w:t xml:space="preserve"> &gt;</w:t>
      </w:r>
      <w:r w:rsidRPr="00BC7DC8">
        <w:rPr>
          <w:rStyle w:val="aff4"/>
          <w:rFonts w:hint="cs"/>
          <w:vanish/>
          <w:rtl/>
        </w:rPr>
        <w:t>-</w:t>
      </w:r>
      <w:r w:rsidRPr="00062375">
        <w:rPr>
          <w:rStyle w:val="aff4"/>
          <w:rFonts w:hint="cs"/>
          <w:rtl/>
        </w:rPr>
        <w:t>רש"י</w:t>
      </w:r>
      <w:r>
        <w:rPr>
          <w:rStyle w:val="aff4"/>
          <w:rFonts w:hint="cs"/>
          <w:rtl/>
        </w:rPr>
        <w:t xml:space="preserve"> בסוגיין</w:t>
      </w:r>
      <w:r w:rsidRPr="00BC7DC8">
        <w:rPr>
          <w:rStyle w:val="aff4"/>
          <w:rFonts w:hint="cs"/>
          <w:vanish/>
          <w:rtl/>
        </w:rPr>
        <w:t>-</w:t>
      </w:r>
      <w:r>
        <w:rPr>
          <w:rFonts w:hint="cs"/>
          <w:rtl/>
        </w:rPr>
        <w:t xml:space="preserve"> </w:t>
      </w:r>
      <w:r w:rsidRPr="00BC7DC8">
        <w:rPr>
          <w:rStyle w:val="af2"/>
          <w:rFonts w:eastAsia="Guttman Hodes" w:hint="cs"/>
          <w:rtl/>
        </w:rPr>
        <w:t>(ד"ה תולש)</w:t>
      </w:r>
      <w:r w:rsidRPr="00BC7DC8">
        <w:rPr>
          <w:rFonts w:hint="cs"/>
          <w:vanish/>
          <w:rtl/>
        </w:rPr>
        <w:t>=</w:t>
      </w:r>
      <w:r>
        <w:rPr>
          <w:rFonts w:hint="cs"/>
          <w:rtl/>
        </w:rPr>
        <w:t xml:space="preserve"> דתולש הוא תולדה דקוצר, וכ"כ</w:t>
      </w:r>
      <w:bookmarkEnd w:id="906"/>
      <w:r w:rsidRPr="00AE096C">
        <w:rPr>
          <w:rStyle w:val="aff4"/>
          <w:rFonts w:hint="cs"/>
          <w:rtl/>
        </w:rPr>
        <w:t xml:space="preserve"> </w:t>
      </w:r>
      <w:r w:rsidRPr="00BC7DC8">
        <w:rPr>
          <w:rStyle w:val="aff4"/>
          <w:rFonts w:hint="cs"/>
          <w:vanish/>
          <w:rtl/>
        </w:rPr>
        <w:t>-</w:t>
      </w:r>
      <w:r w:rsidRPr="00335C9B">
        <w:rPr>
          <w:rStyle w:val="aff4"/>
          <w:rFonts w:hint="cs"/>
          <w:rtl/>
        </w:rPr>
        <w:t>ה</w:t>
      </w:r>
      <w:r w:rsidRPr="00BC7DC8">
        <w:rPr>
          <w:rStyle w:val="aff4"/>
          <w:rFonts w:hint="cs"/>
          <w:vanish/>
          <w:rtl/>
        </w:rPr>
        <w:t>&lt; &gt;</w:t>
      </w:r>
      <w:r w:rsidRPr="00335C9B">
        <w:rPr>
          <w:rStyle w:val="aff4"/>
          <w:rFonts w:hint="cs"/>
          <w:rtl/>
        </w:rPr>
        <w:t>תוס' בבכורות</w:t>
      </w:r>
      <w:r w:rsidRPr="00BC7DC8">
        <w:rPr>
          <w:rStyle w:val="aff4"/>
          <w:rFonts w:hint="cs"/>
          <w:vanish/>
          <w:rtl/>
        </w:rPr>
        <w:t>-</w:t>
      </w:r>
      <w:r>
        <w:rPr>
          <w:rFonts w:hint="cs"/>
          <w:rtl/>
        </w:rPr>
        <w:t xml:space="preserve"> </w:t>
      </w:r>
      <w:r w:rsidRPr="00BC7DC8">
        <w:rPr>
          <w:rStyle w:val="af2"/>
          <w:rFonts w:eastAsia="Guttman Hodes" w:hint="cs"/>
          <w:rtl/>
        </w:rPr>
        <w:t>(כה. ד"ה ואמר)</w:t>
      </w:r>
      <w:r w:rsidRPr="00BC7DC8">
        <w:rPr>
          <w:rFonts w:hint="cs"/>
          <w:vanish/>
          <w:rtl/>
        </w:rPr>
        <w:t>=</w:t>
      </w:r>
      <w:r w:rsidRPr="009C39B4">
        <w:rPr>
          <w:rFonts w:hint="cs"/>
          <w:rtl/>
        </w:rPr>
        <w:t xml:space="preserve"> </w:t>
      </w:r>
      <w:r>
        <w:rPr>
          <w:rFonts w:hint="cs"/>
          <w:rtl/>
        </w:rPr>
        <w:t>דהקוטף בשבת והתולש מהמחובר הם תולדה דקוצר.</w:t>
      </w:r>
      <w:bookmarkEnd w:id="907"/>
    </w:p>
    <w:p w14:paraId="1F815400" w14:textId="77777777" w:rsidR="00D31714" w:rsidRPr="00747170" w:rsidRDefault="00D31714" w:rsidP="00747170">
      <w:pPr>
        <w:pStyle w:val="a2"/>
        <w:rPr>
          <w:rtl/>
        </w:rPr>
      </w:pPr>
      <w:r w:rsidRPr="00747170">
        <w:rPr>
          <w:rtl/>
        </w:rPr>
        <w:t>תולש - תולדה דקוצר.</w:t>
      </w:r>
    </w:p>
    <w:p w14:paraId="3F804317" w14:textId="77777777" w:rsidR="00D31714" w:rsidRPr="0074537A" w:rsidRDefault="00D31714" w:rsidP="00747170">
      <w:pPr>
        <w:pStyle w:val="afffff5"/>
        <w:rPr>
          <w:rtl/>
        </w:rPr>
      </w:pPr>
      <w:bookmarkStart w:id="908" w:name="_Toc134461287"/>
      <w:bookmarkStart w:id="909" w:name="_Toc135129946"/>
      <w:bookmarkStart w:id="910" w:name="_Toc135129943"/>
      <w:r w:rsidRPr="0074537A">
        <w:rPr>
          <w:rtl/>
        </w:rPr>
        <w:t>וכן קיטוף חייב בשבת משום תולדה דקוצר וכן תולש מן המחובר</w:t>
      </w:r>
      <w:bookmarkEnd w:id="908"/>
      <w:bookmarkEnd w:id="909"/>
      <w:r w:rsidRPr="0074537A">
        <w:rPr>
          <w:rFonts w:hint="cs"/>
          <w:rtl/>
        </w:rPr>
        <w:t>.</w:t>
      </w:r>
    </w:p>
    <w:p w14:paraId="369AA0F3" w14:textId="77777777" w:rsidR="00D31714" w:rsidRDefault="00D31714" w:rsidP="00D31714">
      <w:pPr>
        <w:pStyle w:val="afffff7"/>
        <w:rPr>
          <w:rtl/>
        </w:rPr>
      </w:pPr>
      <w:bookmarkStart w:id="911" w:name="_Toc134461291"/>
      <w:bookmarkStart w:id="912" w:name="_Toc135130040"/>
      <w:bookmarkStart w:id="913" w:name="_Toc135670224"/>
      <w:bookmarkStart w:id="914" w:name="_Ref134460031"/>
      <w:bookmarkStart w:id="915" w:name="_Toc163505525"/>
      <w:r>
        <w:rPr>
          <w:rtl/>
        </w:rPr>
        <w:t>רש"י פסחים נ"ו ע"ב</w:t>
      </w:r>
      <w:r>
        <w:rPr>
          <w:rFonts w:hint="cs"/>
          <w:rtl/>
        </w:rPr>
        <w:t xml:space="preserve"> ד"ה בשל</w:t>
      </w:r>
      <w:bookmarkEnd w:id="911"/>
      <w:bookmarkEnd w:id="912"/>
      <w:bookmarkEnd w:id="913"/>
      <w:bookmarkEnd w:id="915"/>
    </w:p>
    <w:p w14:paraId="651D4AB7" w14:textId="77777777" w:rsidR="00D31714" w:rsidRPr="00AE096C" w:rsidRDefault="00D31714" w:rsidP="00D31714">
      <w:pPr>
        <w:pStyle w:val="a7"/>
        <w:rPr>
          <w:rtl/>
        </w:rPr>
      </w:pPr>
      <w:bookmarkStart w:id="916" w:name="_Toc135669911"/>
      <w:r>
        <w:rPr>
          <w:rFonts w:hint="cs"/>
          <w:rtl/>
        </w:rPr>
        <w:t>בי' רש"י בפסחים דהא דגזרו בתמרים שנשרו הוא מגזירה שמא יתלוש דהוא אב מלאכה</w:t>
      </w:r>
      <w:bookmarkEnd w:id="916"/>
    </w:p>
    <w:p w14:paraId="2FC8306A" w14:textId="3DC9DFB2" w:rsidR="00D31714" w:rsidRPr="00F57148" w:rsidRDefault="00D31714" w:rsidP="00BC7DC8">
      <w:pPr>
        <w:pStyle w:val="a3"/>
        <w:rPr>
          <w:rtl/>
        </w:rPr>
      </w:pPr>
      <w:r>
        <w:rPr>
          <w:rFonts w:hint="cs"/>
          <w:rtl/>
        </w:rPr>
        <w:t xml:space="preserve">אמנם </w:t>
      </w:r>
      <w:r w:rsidRPr="000D4E5E">
        <w:rPr>
          <w:rStyle w:val="aff4"/>
          <w:rFonts w:hint="cs"/>
          <w:vanish/>
          <w:rtl/>
        </w:rPr>
        <w:t>-</w:t>
      </w:r>
      <w:r w:rsidRPr="00B64EE1">
        <w:rPr>
          <w:rStyle w:val="aff4"/>
          <w:rFonts w:hint="cs"/>
          <w:rtl/>
        </w:rPr>
        <w:t>ב</w:t>
      </w:r>
      <w:r w:rsidRPr="000D4E5E">
        <w:rPr>
          <w:rFonts w:hint="cs"/>
          <w:vanish/>
          <w:rtl/>
        </w:rPr>
        <w:t xml:space="preserve">&lt;. </w:t>
      </w:r>
      <w:r w:rsidRPr="000D4E5E">
        <w:rPr>
          <w:vanish/>
          <w:rtl/>
        </w:rPr>
        <w:fldChar w:fldCharType="begin"/>
      </w:r>
      <w:r w:rsidRPr="000D4E5E">
        <w:rPr>
          <w:vanish/>
          <w:rtl/>
        </w:rPr>
        <w:instrText xml:space="preserve"> </w:instrText>
      </w:r>
      <w:r w:rsidRPr="000D4E5E">
        <w:rPr>
          <w:rFonts w:hint="cs"/>
          <w:vanish/>
        </w:rPr>
        <w:instrText>REF</w:instrText>
      </w:r>
      <w:r w:rsidRPr="000D4E5E">
        <w:rPr>
          <w:rFonts w:hint="cs"/>
          <w:vanish/>
          <w:rtl/>
        </w:rPr>
        <w:instrText xml:space="preserve"> _</w:instrText>
      </w:r>
      <w:r w:rsidRPr="000D4E5E">
        <w:rPr>
          <w:rFonts w:hint="cs"/>
          <w:vanish/>
        </w:rPr>
        <w:instrText>Ref134460031 \r \h</w:instrText>
      </w:r>
      <w:r w:rsidRPr="000D4E5E">
        <w:rPr>
          <w:vanish/>
          <w:rtl/>
        </w:rPr>
        <w:instrText xml:space="preserve"> </w:instrText>
      </w:r>
      <w:r w:rsidRPr="000D4E5E">
        <w:rPr>
          <w:vanish/>
          <w:rtl/>
        </w:rPr>
      </w:r>
      <w:r w:rsidRPr="000D4E5E">
        <w:rPr>
          <w:vanish/>
          <w:rtl/>
        </w:rPr>
        <w:fldChar w:fldCharType="separate"/>
      </w:r>
      <w:r w:rsidR="00D82181">
        <w:rPr>
          <w:vanish/>
          <w:cs/>
        </w:rPr>
        <w:t>‎</w:t>
      </w:r>
      <w:r w:rsidR="00D82181">
        <w:rPr>
          <w:vanish/>
        </w:rPr>
        <w:t>0</w:t>
      </w:r>
      <w:r w:rsidRPr="000D4E5E">
        <w:rPr>
          <w:vanish/>
          <w:rtl/>
        </w:rPr>
        <w:fldChar w:fldCharType="end"/>
      </w:r>
      <w:r w:rsidRPr="000D4E5E">
        <w:rPr>
          <w:rFonts w:hint="cs"/>
          <w:vanish/>
          <w:rtl/>
        </w:rPr>
        <w:t xml:space="preserve"> &gt;</w:t>
      </w:r>
      <w:r w:rsidRPr="00572920">
        <w:rPr>
          <w:rStyle w:val="aff4"/>
          <w:rFonts w:hint="cs"/>
          <w:rtl/>
        </w:rPr>
        <w:t>רש"י בפסחים</w:t>
      </w:r>
      <w:r w:rsidRPr="000D4E5E">
        <w:rPr>
          <w:rStyle w:val="aff4"/>
          <w:rFonts w:hint="cs"/>
          <w:vanish/>
          <w:rtl/>
        </w:rPr>
        <w:t>-</w:t>
      </w:r>
      <w:r>
        <w:rPr>
          <w:rFonts w:hint="cs"/>
          <w:rtl/>
        </w:rPr>
        <w:t xml:space="preserve"> </w:t>
      </w:r>
      <w:r w:rsidRPr="00A3054F">
        <w:rPr>
          <w:rStyle w:val="af2"/>
          <w:rFonts w:eastAsia="Guttman Hodes" w:hint="cs"/>
          <w:rtl/>
        </w:rPr>
        <w:t>(נו: ד"ה בשל)</w:t>
      </w:r>
      <w:r w:rsidRPr="000D4E5E">
        <w:rPr>
          <w:rFonts w:hint="cs"/>
          <w:vanish/>
          <w:rtl/>
        </w:rPr>
        <w:t>=</w:t>
      </w:r>
      <w:r>
        <w:rPr>
          <w:rFonts w:hint="cs"/>
          <w:rtl/>
        </w:rPr>
        <w:t xml:space="preserve"> כתב דהאיסור בתמרים שנשרו מן הדקל הוא גזירה שמא יתלוש מהתמרים המחוברים, דהוא אב מלאכה.</w:t>
      </w:r>
      <w:bookmarkEnd w:id="914"/>
    </w:p>
    <w:p w14:paraId="2DF6157F" w14:textId="77777777" w:rsidR="00D31714" w:rsidRPr="00747170" w:rsidRDefault="00D31714" w:rsidP="00747170">
      <w:pPr>
        <w:pStyle w:val="a2"/>
        <w:rPr>
          <w:rtl/>
        </w:rPr>
      </w:pPr>
      <w:r w:rsidRPr="00747170">
        <w:rPr>
          <w:rtl/>
        </w:rPr>
        <w:t>בשל מכבדות - כפות תמרים הן בראש הדקל, וכפופות זו אצל זו כעין כלי, וכשהתמרים נושרין - מקבלות אותן, וכיון דגבוה וצריך לעלות על הדקל לנוטלן - חיישינן שמא יתלוש מן המחוברות, דהוי אב מלאכה.</w:t>
      </w:r>
    </w:p>
    <w:p w14:paraId="54A36B73" w14:textId="77777777" w:rsidR="00D31714" w:rsidRDefault="00D31714" w:rsidP="00D31714">
      <w:pPr>
        <w:pStyle w:val="afffff7"/>
        <w:rPr>
          <w:rtl/>
        </w:rPr>
      </w:pPr>
      <w:bookmarkStart w:id="917" w:name="_Toc135130038"/>
      <w:bookmarkStart w:id="918" w:name="_Toc135670225"/>
      <w:bookmarkStart w:id="919" w:name="_Toc163505526"/>
      <w:bookmarkEnd w:id="910"/>
      <w:r>
        <w:rPr>
          <w:rtl/>
        </w:rPr>
        <w:t>רש"י כריתות ט"ו ע"א</w:t>
      </w:r>
      <w:r>
        <w:rPr>
          <w:rFonts w:hint="cs"/>
          <w:rtl/>
        </w:rPr>
        <w:t xml:space="preserve"> ד"ה המודלית</w:t>
      </w:r>
      <w:bookmarkEnd w:id="917"/>
      <w:bookmarkEnd w:id="918"/>
      <w:bookmarkEnd w:id="919"/>
    </w:p>
    <w:p w14:paraId="1C5DEB1A" w14:textId="77777777" w:rsidR="00D31714" w:rsidRDefault="00D31714" w:rsidP="00D31714">
      <w:pPr>
        <w:pStyle w:val="a7"/>
        <w:rPr>
          <w:rtl/>
        </w:rPr>
      </w:pPr>
      <w:bookmarkStart w:id="920" w:name="_Toc135669912"/>
      <w:r>
        <w:rPr>
          <w:rFonts w:hint="cs"/>
          <w:rtl/>
        </w:rPr>
        <w:t>בי' רש"י בכריתות דתולש הוא אב דקוצר ובעשה עמה תולדה דזומר וצריך לעצים חייב ב' לר"א</w:t>
      </w:r>
      <w:bookmarkEnd w:id="920"/>
    </w:p>
    <w:p w14:paraId="5A11137E" w14:textId="4104F3C1" w:rsidR="00D31714" w:rsidRPr="00595233" w:rsidRDefault="00D31714" w:rsidP="00BC7DC8">
      <w:pPr>
        <w:pStyle w:val="a3"/>
        <w:rPr>
          <w:rtl/>
        </w:rPr>
      </w:pPr>
      <w:bookmarkStart w:id="921" w:name="_Ref135586014"/>
      <w:r>
        <w:rPr>
          <w:rFonts w:hint="cs"/>
          <w:rtl/>
        </w:rPr>
        <w:t xml:space="preserve">ובהא דאיתא בגמ' בכריתות </w:t>
      </w:r>
      <w:r w:rsidRPr="00A3054F">
        <w:rPr>
          <w:rStyle w:val="af2"/>
          <w:rFonts w:eastAsia="Guttman Hodes" w:hint="cs"/>
          <w:rtl/>
        </w:rPr>
        <w:t>(טו.)</w:t>
      </w:r>
      <w:r>
        <w:rPr>
          <w:rFonts w:hint="cs"/>
          <w:rtl/>
        </w:rPr>
        <w:t xml:space="preserve"> דר"א דמחייב על אב ותולדה ב' חטאות, איירי בגפן המודלית ע"ג תאנה וקצצן בבת אחת, ביאר </w:t>
      </w:r>
      <w:r w:rsidRPr="00DF369D">
        <w:rPr>
          <w:rFonts w:hint="cs"/>
          <w:vanish/>
          <w:rtl/>
        </w:rPr>
        <w:t xml:space="preserve">&lt; </w:t>
      </w:r>
      <w:r>
        <w:rPr>
          <w:vanish/>
          <w:rtl/>
        </w:rPr>
        <w:fldChar w:fldCharType="begin"/>
      </w:r>
      <w:r>
        <w:rPr>
          <w:vanish/>
          <w:rtl/>
        </w:rPr>
        <w:instrText xml:space="preserve"> </w:instrText>
      </w:r>
      <w:r>
        <w:rPr>
          <w:rFonts w:hint="cs"/>
          <w:vanish/>
        </w:rPr>
        <w:instrText>REF</w:instrText>
      </w:r>
      <w:r>
        <w:rPr>
          <w:rFonts w:hint="cs"/>
          <w:vanish/>
          <w:rtl/>
        </w:rPr>
        <w:instrText xml:space="preserve"> _</w:instrText>
      </w:r>
      <w:r>
        <w:rPr>
          <w:rFonts w:hint="cs"/>
          <w:vanish/>
        </w:rPr>
        <w:instrText>Ref135586014 \r \h</w:instrText>
      </w:r>
      <w:r>
        <w:rPr>
          <w:vanish/>
          <w:rtl/>
        </w:rPr>
        <w:instrText xml:space="preserve"> </w:instrText>
      </w:r>
      <w:r>
        <w:rPr>
          <w:vanish/>
          <w:rtl/>
        </w:rPr>
      </w:r>
      <w:r>
        <w:rPr>
          <w:vanish/>
          <w:rtl/>
        </w:rPr>
        <w:fldChar w:fldCharType="separate"/>
      </w:r>
      <w:r w:rsidR="00D82181">
        <w:rPr>
          <w:vanish/>
          <w:cs/>
        </w:rPr>
        <w:t>‎</w:t>
      </w:r>
      <w:r w:rsidR="00D82181">
        <w:rPr>
          <w:vanish/>
          <w:rtl/>
        </w:rPr>
        <w:t>ג)</w:t>
      </w:r>
      <w:r>
        <w:rPr>
          <w:vanish/>
          <w:rtl/>
        </w:rPr>
        <w:fldChar w:fldCharType="end"/>
      </w:r>
      <w:r w:rsidRPr="00DF369D">
        <w:rPr>
          <w:rFonts w:hint="cs"/>
          <w:vanish/>
          <w:rtl/>
        </w:rPr>
        <w:t xml:space="preserve"> &gt;</w:t>
      </w:r>
      <w:r w:rsidRPr="000D4E5E">
        <w:rPr>
          <w:rStyle w:val="aff4"/>
          <w:rFonts w:hint="cs"/>
          <w:vanish/>
          <w:rtl/>
        </w:rPr>
        <w:t>-</w:t>
      </w:r>
      <w:r w:rsidRPr="00572920">
        <w:rPr>
          <w:rStyle w:val="aff4"/>
          <w:rFonts w:hint="cs"/>
          <w:rtl/>
        </w:rPr>
        <w:t>רש"י בכריתות</w:t>
      </w:r>
      <w:r w:rsidRPr="000D4E5E">
        <w:rPr>
          <w:rStyle w:val="aff4"/>
          <w:rFonts w:hint="cs"/>
          <w:vanish/>
          <w:rtl/>
        </w:rPr>
        <w:t>-</w:t>
      </w:r>
      <w:r>
        <w:rPr>
          <w:rFonts w:hint="cs"/>
          <w:rtl/>
        </w:rPr>
        <w:t xml:space="preserve"> </w:t>
      </w:r>
      <w:r w:rsidRPr="00A3054F">
        <w:rPr>
          <w:rStyle w:val="af2"/>
          <w:rFonts w:eastAsia="Guttman Hodes" w:hint="cs"/>
          <w:rtl/>
        </w:rPr>
        <w:t>(טו. ד"ה המודלית)</w:t>
      </w:r>
      <w:r w:rsidRPr="000D4E5E">
        <w:rPr>
          <w:rFonts w:hint="cs"/>
          <w:vanish/>
          <w:rtl/>
        </w:rPr>
        <w:t>=</w:t>
      </w:r>
      <w:r>
        <w:rPr>
          <w:rFonts w:hint="cs"/>
          <w:rtl/>
        </w:rPr>
        <w:t xml:space="preserve"> דאיירי שיש תאנים ע"ג התאנה, ואין ענבים ע"ג הגפן, והוא רוצה לבצור את עצי הגפן להסקה, וקצץ יחד עמהם את הפרי של התאנה, דלר"א חייב שתים, דעל התאנה עצמה חייב דהוא אב דקוצר, ועל הזמורה של הגפן חייב דהוא תולדת קוצר, כדאיתא בגמ' בסוגיין דזומר וצריך לעצים הוא תולדה דקוצר.</w:t>
      </w:r>
      <w:bookmarkEnd w:id="921"/>
    </w:p>
    <w:p w14:paraId="5C25BAD0" w14:textId="77777777" w:rsidR="00D31714" w:rsidRPr="00747170" w:rsidRDefault="00D31714" w:rsidP="00747170">
      <w:pPr>
        <w:pStyle w:val="a2"/>
        <w:rPr>
          <w:rtl/>
        </w:rPr>
      </w:pPr>
      <w:r w:rsidRPr="00747170">
        <w:rPr>
          <w:rtl/>
        </w:rPr>
        <w:t>המודלית על גבי תאנה - ותאנים בתאנה ואין ענבים בגפן והיה צריך לבצור הגפן להסקה וקצץ בבת אחת פרי התאנה וזמורת הגפן דחייב שתים חדא אפרי דתאנה דהיינו קוצר וחדא אזמורה דתולדה דקוצר דקיימא לן שבת (דף עג:) זומר וצריך לעצים תולדה דקוצר היא משום הכי חייב שתים אף על גב דבבת אחת הואיל ושמות מוחלקין זה אב וזו תולדה וגופין מוחלקין דשני אילנות הן.</w:t>
      </w:r>
    </w:p>
    <w:p w14:paraId="2E7CA8F0" w14:textId="77777777" w:rsidR="00D31714" w:rsidRDefault="00D31714" w:rsidP="00D31714">
      <w:pPr>
        <w:pStyle w:val="1"/>
        <w:rPr>
          <w:rtl/>
        </w:rPr>
      </w:pPr>
      <w:bookmarkStart w:id="922" w:name="_Toc135129944"/>
      <w:bookmarkStart w:id="923" w:name="_Toc135669913"/>
      <w:r>
        <w:rPr>
          <w:rFonts w:hint="cs"/>
          <w:rtl/>
        </w:rPr>
        <w:t>בי' רבינו גרשום בכריתות</w:t>
      </w:r>
      <w:bookmarkEnd w:id="922"/>
      <w:r>
        <w:rPr>
          <w:rFonts w:hint="cs"/>
          <w:rtl/>
        </w:rPr>
        <w:t xml:space="preserve"> דבוצר הוי אב ואורה תאנים תולדה</w:t>
      </w:r>
      <w:bookmarkEnd w:id="923"/>
    </w:p>
    <w:p w14:paraId="7F69BDD3" w14:textId="77777777" w:rsidR="00D31714" w:rsidRDefault="00D31714" w:rsidP="00D31714">
      <w:pPr>
        <w:pStyle w:val="afffff7"/>
        <w:rPr>
          <w:rtl/>
        </w:rPr>
      </w:pPr>
      <w:bookmarkStart w:id="924" w:name="_Toc135130039"/>
      <w:bookmarkStart w:id="925" w:name="_Toc135670226"/>
      <w:bookmarkStart w:id="926" w:name="_Toc163505527"/>
      <w:r>
        <w:rPr>
          <w:rtl/>
        </w:rPr>
        <w:t>רבינו גרשום כריתות ט"</w:t>
      </w:r>
      <w:r>
        <w:rPr>
          <w:rFonts w:hint="cs"/>
          <w:rtl/>
        </w:rPr>
        <w:t>ו ע"א ד"ה הכא</w:t>
      </w:r>
      <w:bookmarkEnd w:id="924"/>
      <w:bookmarkEnd w:id="925"/>
      <w:bookmarkEnd w:id="926"/>
    </w:p>
    <w:p w14:paraId="16A4422A" w14:textId="77777777" w:rsidR="00D31714" w:rsidRDefault="00D31714" w:rsidP="00D31714">
      <w:pPr>
        <w:pStyle w:val="a7"/>
        <w:rPr>
          <w:rtl/>
        </w:rPr>
      </w:pPr>
      <w:bookmarkStart w:id="927" w:name="_Toc135669914"/>
      <w:r>
        <w:rPr>
          <w:rFonts w:hint="cs"/>
          <w:rtl/>
        </w:rPr>
        <w:t>בי' רבינו גרשום בכריתות דבצירת גפן הוא אב דכתי' בשביעית אך לקיטת תאנה היא תולדה</w:t>
      </w:r>
      <w:bookmarkEnd w:id="927"/>
    </w:p>
    <w:p w14:paraId="368AF823" w14:textId="302D4410" w:rsidR="00D31714" w:rsidRPr="00AB76F1" w:rsidRDefault="00D31714" w:rsidP="00BC7DC8">
      <w:pPr>
        <w:pStyle w:val="a3"/>
        <w:rPr>
          <w:rtl/>
        </w:rPr>
      </w:pPr>
      <w:bookmarkStart w:id="928" w:name="_Ref134521899"/>
      <w:r>
        <w:rPr>
          <w:rFonts w:hint="cs"/>
          <w:rtl/>
        </w:rPr>
        <w:t xml:space="preserve">אבל </w:t>
      </w:r>
      <w:r w:rsidRPr="000D4E5E">
        <w:rPr>
          <w:rFonts w:hint="cs"/>
          <w:vanish/>
          <w:rtl/>
        </w:rPr>
        <w:t xml:space="preserve">&lt;. </w:t>
      </w:r>
      <w:r w:rsidRPr="000D4E5E">
        <w:rPr>
          <w:vanish/>
          <w:rtl/>
        </w:rPr>
        <w:fldChar w:fldCharType="begin"/>
      </w:r>
      <w:r w:rsidRPr="000D4E5E">
        <w:rPr>
          <w:vanish/>
          <w:rtl/>
        </w:rPr>
        <w:instrText xml:space="preserve"> </w:instrText>
      </w:r>
      <w:r w:rsidRPr="000D4E5E">
        <w:rPr>
          <w:rFonts w:hint="cs"/>
          <w:vanish/>
        </w:rPr>
        <w:instrText>REF</w:instrText>
      </w:r>
      <w:r w:rsidRPr="000D4E5E">
        <w:rPr>
          <w:rFonts w:hint="cs"/>
          <w:vanish/>
          <w:rtl/>
        </w:rPr>
        <w:instrText xml:space="preserve"> _</w:instrText>
      </w:r>
      <w:r w:rsidRPr="000D4E5E">
        <w:rPr>
          <w:rFonts w:hint="cs"/>
          <w:vanish/>
        </w:rPr>
        <w:instrText>Ref134521899 \r \h</w:instrText>
      </w:r>
      <w:r w:rsidRPr="000D4E5E">
        <w:rPr>
          <w:vanish/>
          <w:rtl/>
        </w:rPr>
        <w:instrText xml:space="preserve"> </w:instrText>
      </w:r>
      <w:r w:rsidRPr="000D4E5E">
        <w:rPr>
          <w:vanish/>
          <w:rtl/>
        </w:rPr>
      </w:r>
      <w:r w:rsidRPr="000D4E5E">
        <w:rPr>
          <w:vanish/>
          <w:rtl/>
        </w:rPr>
        <w:fldChar w:fldCharType="separate"/>
      </w:r>
      <w:r w:rsidR="00D82181">
        <w:rPr>
          <w:vanish/>
          <w:cs/>
        </w:rPr>
        <w:t>‎</w:t>
      </w:r>
      <w:r w:rsidR="00D82181">
        <w:rPr>
          <w:vanish/>
          <w:rtl/>
        </w:rPr>
        <w:t>ד)</w:t>
      </w:r>
      <w:r w:rsidRPr="000D4E5E">
        <w:rPr>
          <w:vanish/>
          <w:rtl/>
        </w:rPr>
        <w:fldChar w:fldCharType="end"/>
      </w:r>
      <w:r w:rsidRPr="000D4E5E">
        <w:rPr>
          <w:rFonts w:hint="cs"/>
          <w:vanish/>
          <w:rtl/>
        </w:rPr>
        <w:t xml:space="preserve"> &gt;</w:t>
      </w:r>
      <w:r w:rsidRPr="000D4E5E">
        <w:rPr>
          <w:rStyle w:val="aff4"/>
          <w:rFonts w:hint="cs"/>
          <w:vanish/>
          <w:rtl/>
        </w:rPr>
        <w:t>-</w:t>
      </w:r>
      <w:r w:rsidRPr="00572920">
        <w:rPr>
          <w:rStyle w:val="aff4"/>
          <w:rFonts w:hint="cs"/>
          <w:rtl/>
        </w:rPr>
        <w:t>רבינו גרשום בכריתות</w:t>
      </w:r>
      <w:r w:rsidRPr="000D4E5E">
        <w:rPr>
          <w:rStyle w:val="aff4"/>
          <w:rFonts w:hint="cs"/>
          <w:vanish/>
          <w:rtl/>
        </w:rPr>
        <w:t>-</w:t>
      </w:r>
      <w:r>
        <w:rPr>
          <w:rFonts w:hint="cs"/>
          <w:rtl/>
        </w:rPr>
        <w:t xml:space="preserve"> </w:t>
      </w:r>
      <w:r w:rsidRPr="00A3054F">
        <w:rPr>
          <w:rStyle w:val="af2"/>
          <w:rFonts w:eastAsia="Guttman Hodes" w:hint="cs"/>
          <w:rtl/>
        </w:rPr>
        <w:t>(טו. ד"ה הכא)</w:t>
      </w:r>
      <w:r w:rsidRPr="000D4E5E">
        <w:rPr>
          <w:rFonts w:hint="cs"/>
          <w:vanish/>
          <w:rtl/>
        </w:rPr>
        <w:t>=</w:t>
      </w:r>
      <w:r>
        <w:rPr>
          <w:rFonts w:hint="cs"/>
          <w:rtl/>
        </w:rPr>
        <w:t xml:space="preserve"> ביאר דאיירי בגפן ותאנה שיש בהם פירות, והוא קצץ את האשכול של הגפן, יחד עם התאנה, וכיון שהם ב' מינין ס"ל לר"א דחייב שתים, דהבצירה היא אב, ואילו הלקיטה של התאנה היא תולדה, וביאר </w:t>
      </w:r>
      <w:r w:rsidRPr="000D4E5E">
        <w:rPr>
          <w:rStyle w:val="aff4"/>
          <w:rFonts w:hint="cs"/>
          <w:vanish/>
          <w:rtl/>
        </w:rPr>
        <w:t>-</w:t>
      </w:r>
      <w:r w:rsidRPr="00572920">
        <w:rPr>
          <w:rStyle w:val="aff4"/>
          <w:rFonts w:hint="cs"/>
          <w:rtl/>
        </w:rPr>
        <w:t>רבינו גרשום</w:t>
      </w:r>
      <w:r w:rsidRPr="000D4E5E">
        <w:rPr>
          <w:rStyle w:val="aff4"/>
          <w:rFonts w:hint="cs"/>
          <w:vanish/>
          <w:rtl/>
        </w:rPr>
        <w:t>-</w:t>
      </w:r>
      <w:r>
        <w:rPr>
          <w:rFonts w:hint="cs"/>
          <w:rtl/>
        </w:rPr>
        <w:t xml:space="preserve"> דהא דבצירה היא אב אעפ"י דלא תני לה במתני' בל"ט מלאכות, הוא כיון דלענין שביעית כתיב בצירה וקצירה בפסו' אחד, ומבואר דשניהם הם אב מלאכה.</w:t>
      </w:r>
      <w:bookmarkEnd w:id="928"/>
    </w:p>
    <w:p w14:paraId="0C5E1702" w14:textId="77777777" w:rsidR="00D31714" w:rsidRPr="00747170" w:rsidRDefault="00D31714" w:rsidP="00747170">
      <w:pPr>
        <w:pStyle w:val="a2"/>
        <w:rPr>
          <w:rtl/>
        </w:rPr>
      </w:pPr>
      <w:r w:rsidRPr="00747170">
        <w:rPr>
          <w:rtl/>
        </w:rPr>
        <w:t>הכא במאי עסקינן באי זו תולדה במקום אב קא מחייב בדלית המודלת על גבי תאינה וקצץ האשכול והתאינה בבת אחת דמשום הכי מיחייב דתרי מינין נינהו ובצירה היינו אב ולקיטה דתאינה היינו תולדה. ומ"ט הוי בצירה אב מלאכה הא לא כתיבא בחשבון אבות מלאכות כיון דכתיב בצירה וקצירה בחד קרא את ספיח קצירך לא תקצור ואת ענבי נזירך לא תבצור אלמא תרווייהו הוויין אבות מלאכות:</w:t>
      </w:r>
    </w:p>
    <w:p w14:paraId="10A5555C" w14:textId="77777777" w:rsidR="00D31714" w:rsidRDefault="00D31714" w:rsidP="00D31714">
      <w:pPr>
        <w:pStyle w:val="1"/>
        <w:rPr>
          <w:rtl/>
        </w:rPr>
      </w:pPr>
      <w:bookmarkStart w:id="929" w:name="_Toc135669915"/>
      <w:r>
        <w:rPr>
          <w:rFonts w:hint="cs"/>
          <w:rtl/>
        </w:rPr>
        <w:t>בי' הרמב"ם</w:t>
      </w:r>
      <w:bookmarkEnd w:id="900"/>
      <w:r>
        <w:rPr>
          <w:rFonts w:hint="cs"/>
          <w:rtl/>
        </w:rPr>
        <w:t xml:space="preserve"> דבוצר ומוסק הם אב דקוצר ותולש הוא תולדה</w:t>
      </w:r>
      <w:bookmarkEnd w:id="929"/>
      <w:r>
        <w:rPr>
          <w:rFonts w:hint="cs"/>
          <w:rtl/>
        </w:rPr>
        <w:t xml:space="preserve"> </w:t>
      </w:r>
    </w:p>
    <w:p w14:paraId="31C875A7" w14:textId="77777777" w:rsidR="00D31714" w:rsidRDefault="00D31714" w:rsidP="00D31714">
      <w:pPr>
        <w:pStyle w:val="afffff7"/>
        <w:rPr>
          <w:rtl/>
        </w:rPr>
      </w:pPr>
      <w:bookmarkStart w:id="930" w:name="_Toc134461292"/>
      <w:bookmarkStart w:id="931" w:name="_Toc135130030"/>
      <w:bookmarkStart w:id="932" w:name="_Toc135670227"/>
      <w:bookmarkStart w:id="933" w:name="_Toc163505528"/>
      <w:r>
        <w:rPr>
          <w:rtl/>
        </w:rPr>
        <w:t xml:space="preserve">רמב"ם שבת </w:t>
      </w:r>
      <w:r>
        <w:rPr>
          <w:rFonts w:hint="cs"/>
          <w:rtl/>
        </w:rPr>
        <w:t>פ"ז ה"ד</w:t>
      </w:r>
      <w:bookmarkEnd w:id="930"/>
      <w:bookmarkEnd w:id="931"/>
      <w:bookmarkEnd w:id="932"/>
      <w:bookmarkEnd w:id="933"/>
    </w:p>
    <w:p w14:paraId="7256493A" w14:textId="77777777" w:rsidR="00D31714" w:rsidRPr="005F544A" w:rsidRDefault="00D31714" w:rsidP="00D31714">
      <w:pPr>
        <w:pStyle w:val="a7"/>
        <w:rPr>
          <w:rtl/>
        </w:rPr>
      </w:pPr>
      <w:bookmarkStart w:id="934" w:name="_Toc134461289"/>
      <w:bookmarkStart w:id="935" w:name="_Toc135129936"/>
      <w:bookmarkStart w:id="936" w:name="_Toc135669916"/>
      <w:r>
        <w:rPr>
          <w:rFonts w:hint="cs"/>
          <w:rtl/>
        </w:rPr>
        <w:t>בי' הרמב"ם דבוצר וגודר ומוסק וכו' הם אב דקוצר כיון דבכולם הוא מתכוון לעקור דבר מגידולו</w:t>
      </w:r>
      <w:bookmarkEnd w:id="934"/>
      <w:bookmarkEnd w:id="935"/>
      <w:bookmarkEnd w:id="936"/>
      <w:r>
        <w:rPr>
          <w:rFonts w:hint="cs"/>
          <w:rtl/>
        </w:rPr>
        <w:t xml:space="preserve"> </w:t>
      </w:r>
    </w:p>
    <w:p w14:paraId="734433CC" w14:textId="29169566" w:rsidR="00D31714" w:rsidRPr="001F42F3" w:rsidRDefault="00D31714" w:rsidP="00BC7DC8">
      <w:pPr>
        <w:pStyle w:val="a3"/>
        <w:rPr>
          <w:rtl/>
        </w:rPr>
      </w:pPr>
      <w:r>
        <w:rPr>
          <w:rFonts w:hint="cs"/>
          <w:rtl/>
        </w:rPr>
        <w:t xml:space="preserve">כתב </w:t>
      </w:r>
      <w:r w:rsidRPr="00C444C9">
        <w:rPr>
          <w:rStyle w:val="aff4"/>
          <w:rFonts w:hint="cs"/>
          <w:vanish/>
          <w:rtl/>
        </w:rPr>
        <w:t>-</w:t>
      </w:r>
      <w:r w:rsidRPr="004F32D2">
        <w:rPr>
          <w:rStyle w:val="aff4"/>
          <w:rFonts w:hint="cs"/>
          <w:rtl/>
        </w:rPr>
        <w:t>ה</w:t>
      </w:r>
      <w:r w:rsidRPr="00C444C9">
        <w:rPr>
          <w:rStyle w:val="aff4"/>
          <w:rFonts w:hint="cs"/>
          <w:vanish/>
          <w:rtl/>
        </w:rPr>
        <w:t xml:space="preserve">&lt;. </w:t>
      </w:r>
      <w:r w:rsidRPr="00C444C9">
        <w:rPr>
          <w:rStyle w:val="aff4"/>
          <w:vanish/>
          <w:rtl/>
        </w:rPr>
        <w:fldChar w:fldCharType="begin"/>
      </w:r>
      <w:r w:rsidRPr="00C444C9">
        <w:rPr>
          <w:rStyle w:val="aff4"/>
          <w:vanish/>
          <w:rtl/>
        </w:rPr>
        <w:instrText xml:space="preserve"> </w:instrText>
      </w:r>
      <w:r w:rsidRPr="00C444C9">
        <w:rPr>
          <w:rStyle w:val="aff4"/>
          <w:rFonts w:hint="cs"/>
          <w:vanish/>
        </w:rPr>
        <w:instrText>REF</w:instrText>
      </w:r>
      <w:r w:rsidRPr="00C444C9">
        <w:rPr>
          <w:rStyle w:val="aff4"/>
          <w:rFonts w:hint="cs"/>
          <w:vanish/>
          <w:rtl/>
        </w:rPr>
        <w:instrText xml:space="preserve"> _</w:instrText>
      </w:r>
      <w:r w:rsidRPr="00C444C9">
        <w:rPr>
          <w:rStyle w:val="aff4"/>
          <w:rFonts w:hint="cs"/>
          <w:vanish/>
        </w:rPr>
        <w:instrText>Ref130240129 \r \h</w:instrText>
      </w:r>
      <w:r w:rsidRPr="00C444C9">
        <w:rPr>
          <w:rStyle w:val="aff4"/>
          <w:vanish/>
          <w:rtl/>
        </w:rPr>
        <w:instrText xml:space="preserve"> </w:instrText>
      </w:r>
      <w:r w:rsidRPr="00C444C9">
        <w:rPr>
          <w:rStyle w:val="aff4"/>
          <w:vanish/>
          <w:rtl/>
        </w:rPr>
      </w:r>
      <w:r w:rsidRPr="00C444C9">
        <w:rPr>
          <w:rStyle w:val="aff4"/>
          <w:vanish/>
          <w:rtl/>
        </w:rPr>
        <w:fldChar w:fldCharType="separate"/>
      </w:r>
      <w:r w:rsidR="00D82181">
        <w:rPr>
          <w:rStyle w:val="aff4"/>
          <w:vanish/>
          <w:cs/>
        </w:rPr>
        <w:t>‎</w:t>
      </w:r>
      <w:r w:rsidR="00D82181">
        <w:rPr>
          <w:rStyle w:val="aff4"/>
          <w:vanish/>
          <w:rtl/>
        </w:rPr>
        <w:t>ל)</w:t>
      </w:r>
      <w:r w:rsidRPr="00C444C9">
        <w:rPr>
          <w:rStyle w:val="aff4"/>
          <w:vanish/>
          <w:rtl/>
        </w:rPr>
        <w:fldChar w:fldCharType="end"/>
      </w:r>
      <w:r w:rsidRPr="00C444C9">
        <w:rPr>
          <w:rStyle w:val="aff4"/>
          <w:rFonts w:hint="cs"/>
          <w:vanish/>
          <w:rtl/>
        </w:rPr>
        <w:t xml:space="preserve"> &gt;</w:t>
      </w:r>
      <w:r w:rsidRPr="004F32D2">
        <w:rPr>
          <w:rStyle w:val="aff4"/>
          <w:rFonts w:hint="cs"/>
          <w:rtl/>
        </w:rPr>
        <w:t>רמב"ם</w:t>
      </w:r>
      <w:r w:rsidRPr="00C444C9">
        <w:rPr>
          <w:rStyle w:val="aff4"/>
          <w:rFonts w:hint="cs"/>
          <w:vanish/>
          <w:rtl/>
        </w:rPr>
        <w:t>-</w:t>
      </w:r>
      <w:r w:rsidRPr="001C0105">
        <w:rPr>
          <w:rStyle w:val="aff4"/>
          <w:rFonts w:hint="cs"/>
          <w:rtl/>
        </w:rPr>
        <w:t xml:space="preserve"> </w:t>
      </w:r>
      <w:r w:rsidRPr="00A3054F">
        <w:rPr>
          <w:rStyle w:val="af2"/>
          <w:rFonts w:eastAsia="Guttman Hodes" w:hint="cs"/>
          <w:rtl/>
        </w:rPr>
        <w:t>(שבת פ"ז ה"ד)</w:t>
      </w:r>
      <w:r>
        <w:rPr>
          <w:rStyle w:val="aff4"/>
          <w:rFonts w:hint="cs"/>
          <w:vanish/>
          <w:rtl/>
        </w:rPr>
        <w:t>=</w:t>
      </w:r>
      <w:r w:rsidRPr="001C0105">
        <w:rPr>
          <w:rStyle w:val="aff4"/>
          <w:rFonts w:hint="cs"/>
          <w:rtl/>
        </w:rPr>
        <w:t xml:space="preserve"> </w:t>
      </w:r>
      <w:r w:rsidRPr="00174090">
        <w:rPr>
          <w:rFonts w:hint="cs"/>
          <w:rtl/>
        </w:rPr>
        <w:t>ד</w:t>
      </w:r>
      <w:r>
        <w:rPr>
          <w:rFonts w:hint="cs"/>
          <w:rtl/>
        </w:rPr>
        <w:t>הקוצר תבואה או קטניות, או ש</w:t>
      </w:r>
      <w:r w:rsidRPr="00174090">
        <w:rPr>
          <w:rFonts w:hint="cs"/>
          <w:rtl/>
        </w:rPr>
        <w:t xml:space="preserve">בוצר </w:t>
      </w:r>
      <w:r>
        <w:rPr>
          <w:rFonts w:hint="cs"/>
          <w:rtl/>
        </w:rPr>
        <w:t xml:space="preserve">ענבים או </w:t>
      </w:r>
      <w:r w:rsidRPr="00174090">
        <w:rPr>
          <w:rFonts w:hint="cs"/>
          <w:rtl/>
        </w:rPr>
        <w:t xml:space="preserve">גודר </w:t>
      </w:r>
      <w:r>
        <w:rPr>
          <w:rFonts w:hint="cs"/>
          <w:rtl/>
        </w:rPr>
        <w:t xml:space="preserve">תמרים או </w:t>
      </w:r>
      <w:r w:rsidRPr="00174090">
        <w:rPr>
          <w:rFonts w:hint="cs"/>
          <w:rtl/>
        </w:rPr>
        <w:t xml:space="preserve">מוסק </w:t>
      </w:r>
      <w:r>
        <w:rPr>
          <w:rFonts w:hint="cs"/>
          <w:rtl/>
        </w:rPr>
        <w:t>זיתים, או אורה תאנים,</w:t>
      </w:r>
      <w:r w:rsidRPr="00174090">
        <w:rPr>
          <w:rFonts w:hint="cs"/>
          <w:rtl/>
        </w:rPr>
        <w:t xml:space="preserve"> </w:t>
      </w:r>
      <w:r>
        <w:rPr>
          <w:rFonts w:hint="cs"/>
          <w:rtl/>
        </w:rPr>
        <w:t xml:space="preserve">כולם </w:t>
      </w:r>
      <w:r w:rsidRPr="00174090">
        <w:rPr>
          <w:rFonts w:hint="cs"/>
          <w:rtl/>
        </w:rPr>
        <w:t>הם אב מלאכה דקוצר, כיון דבכ"א מהם מתכוון לעקור דבר מגידולו, וכתב</w:t>
      </w:r>
      <w:r w:rsidRPr="001C0105">
        <w:rPr>
          <w:rStyle w:val="aff4"/>
          <w:rFonts w:hint="cs"/>
          <w:rtl/>
        </w:rPr>
        <w:t xml:space="preserve"> </w:t>
      </w:r>
      <w:r w:rsidRPr="00C444C9">
        <w:rPr>
          <w:rStyle w:val="aff4"/>
          <w:rFonts w:hint="cs"/>
          <w:vanish/>
          <w:rtl/>
        </w:rPr>
        <w:t>-</w:t>
      </w:r>
      <w:r w:rsidRPr="004F32D2">
        <w:rPr>
          <w:rStyle w:val="aff4"/>
          <w:rFonts w:hint="cs"/>
          <w:rtl/>
        </w:rPr>
        <w:t>הרמב"ם</w:t>
      </w:r>
      <w:r w:rsidRPr="00C444C9">
        <w:rPr>
          <w:rStyle w:val="aff4"/>
          <w:rFonts w:hint="cs"/>
          <w:vanish/>
          <w:rtl/>
        </w:rPr>
        <w:t>-</w:t>
      </w:r>
      <w:r>
        <w:rPr>
          <w:rFonts w:hint="cs"/>
          <w:rtl/>
        </w:rPr>
        <w:t xml:space="preserve"> דכן הדין בשאר אבות מלאכות.</w:t>
      </w:r>
    </w:p>
    <w:p w14:paraId="1A841186" w14:textId="77777777" w:rsidR="00D31714" w:rsidRPr="00747170" w:rsidRDefault="00D31714" w:rsidP="00747170">
      <w:pPr>
        <w:pStyle w:val="a2"/>
        <w:rPr>
          <w:rtl/>
        </w:rPr>
      </w:pPr>
      <w:r w:rsidRPr="00747170">
        <w:rPr>
          <w:rtl/>
        </w:rPr>
        <w:t xml:space="preserve">וכן אחד הקוצר תבואה או קטנית או הבוצר ענבים או הגודר תמרים או המוסק זיתים או האורה תאנים, כל אלו אב מלאכה אחת הן, שכל אחת מהן לעקור דבר מגידוליו מתכוון, ועל דרך זו שאר האבות. </w:t>
      </w:r>
    </w:p>
    <w:p w14:paraId="57A0F142" w14:textId="77777777" w:rsidR="00D31714" w:rsidRDefault="00D31714" w:rsidP="00D31714">
      <w:pPr>
        <w:pStyle w:val="afffff7"/>
        <w:rPr>
          <w:rtl/>
        </w:rPr>
      </w:pPr>
      <w:bookmarkStart w:id="937" w:name="_Toc134461293"/>
      <w:bookmarkStart w:id="938" w:name="_Toc135130031"/>
      <w:bookmarkStart w:id="939" w:name="_Toc135670228"/>
      <w:bookmarkStart w:id="940" w:name="_Toc163505529"/>
      <w:r>
        <w:rPr>
          <w:rFonts w:hint="cs"/>
          <w:rtl/>
        </w:rPr>
        <w:t>רמב"ם שבת פ"ח ה"ג</w:t>
      </w:r>
      <w:bookmarkEnd w:id="937"/>
      <w:bookmarkEnd w:id="938"/>
      <w:bookmarkEnd w:id="939"/>
      <w:bookmarkEnd w:id="940"/>
    </w:p>
    <w:p w14:paraId="545457ED" w14:textId="77777777" w:rsidR="00D31714" w:rsidRDefault="00D31714" w:rsidP="00D31714">
      <w:pPr>
        <w:pStyle w:val="a7"/>
        <w:rPr>
          <w:rtl/>
        </w:rPr>
      </w:pPr>
      <w:bookmarkStart w:id="941" w:name="_Toc135669917"/>
      <w:r>
        <w:rPr>
          <w:rFonts w:hint="cs"/>
          <w:rtl/>
        </w:rPr>
        <w:t>בי' הרמב"ם דתולש הוא תולדת קוצר ובי' הלח"מ דקוצר הוא בכלי ותולש הוא ביד</w:t>
      </w:r>
      <w:bookmarkEnd w:id="941"/>
    </w:p>
    <w:p w14:paraId="42BE0EF7" w14:textId="606CEBB7" w:rsidR="00D31714" w:rsidRDefault="00D31714" w:rsidP="00BC7DC8">
      <w:pPr>
        <w:pStyle w:val="a3"/>
      </w:pPr>
      <w:bookmarkStart w:id="942" w:name="_Ref134459496"/>
      <w:r>
        <w:rPr>
          <w:rFonts w:hint="cs"/>
          <w:rtl/>
        </w:rPr>
        <w:t xml:space="preserve">כתב </w:t>
      </w:r>
      <w:r w:rsidRPr="000D4E5E">
        <w:rPr>
          <w:rStyle w:val="aff4"/>
          <w:rFonts w:hint="cs"/>
          <w:vanish/>
          <w:rtl/>
        </w:rPr>
        <w:t>-</w:t>
      </w:r>
      <w:r w:rsidRPr="00572920">
        <w:rPr>
          <w:rStyle w:val="aff4"/>
          <w:rFonts w:hint="cs"/>
          <w:rtl/>
        </w:rPr>
        <w:t>ה</w:t>
      </w:r>
      <w:r w:rsidRPr="000D4E5E">
        <w:rPr>
          <w:rStyle w:val="aff4"/>
          <w:rFonts w:hint="cs"/>
          <w:vanish/>
          <w:rtl/>
        </w:rPr>
        <w:t xml:space="preserve">&lt;. </w:t>
      </w:r>
      <w:r w:rsidRPr="000D4E5E">
        <w:rPr>
          <w:rStyle w:val="aff4"/>
          <w:vanish/>
          <w:rtl/>
        </w:rPr>
        <w:fldChar w:fldCharType="begin"/>
      </w:r>
      <w:r w:rsidRPr="000D4E5E">
        <w:rPr>
          <w:rStyle w:val="aff4"/>
          <w:vanish/>
          <w:rtl/>
        </w:rPr>
        <w:instrText xml:space="preserve"> </w:instrText>
      </w:r>
      <w:r w:rsidRPr="000D4E5E">
        <w:rPr>
          <w:rStyle w:val="aff4"/>
          <w:rFonts w:hint="cs"/>
          <w:vanish/>
        </w:rPr>
        <w:instrText>REF</w:instrText>
      </w:r>
      <w:r w:rsidRPr="000D4E5E">
        <w:rPr>
          <w:rStyle w:val="aff4"/>
          <w:rFonts w:hint="cs"/>
          <w:vanish/>
          <w:rtl/>
        </w:rPr>
        <w:instrText xml:space="preserve"> _</w:instrText>
      </w:r>
      <w:r w:rsidRPr="000D4E5E">
        <w:rPr>
          <w:rStyle w:val="aff4"/>
          <w:rFonts w:hint="cs"/>
          <w:vanish/>
        </w:rPr>
        <w:instrText>Ref134459496 \r \h</w:instrText>
      </w:r>
      <w:r w:rsidRPr="000D4E5E">
        <w:rPr>
          <w:rStyle w:val="aff4"/>
          <w:vanish/>
          <w:rtl/>
        </w:rPr>
        <w:instrText xml:space="preserve"> </w:instrText>
      </w:r>
      <w:r w:rsidRPr="000D4E5E">
        <w:rPr>
          <w:rStyle w:val="aff4"/>
          <w:vanish/>
          <w:rtl/>
        </w:rPr>
      </w:r>
      <w:r w:rsidRPr="000D4E5E">
        <w:rPr>
          <w:rStyle w:val="aff4"/>
          <w:vanish/>
          <w:rtl/>
        </w:rPr>
        <w:fldChar w:fldCharType="separate"/>
      </w:r>
      <w:r w:rsidR="00D82181">
        <w:rPr>
          <w:rStyle w:val="aff4"/>
          <w:vanish/>
          <w:cs/>
        </w:rPr>
        <w:t>‎</w:t>
      </w:r>
      <w:r w:rsidR="00D82181">
        <w:rPr>
          <w:rStyle w:val="aff4"/>
          <w:vanish/>
          <w:rtl/>
        </w:rPr>
        <w:t>ו)</w:t>
      </w:r>
      <w:r w:rsidRPr="000D4E5E">
        <w:rPr>
          <w:rStyle w:val="aff4"/>
          <w:vanish/>
          <w:rtl/>
        </w:rPr>
        <w:fldChar w:fldCharType="end"/>
      </w:r>
      <w:r w:rsidRPr="000D4E5E">
        <w:rPr>
          <w:rStyle w:val="aff4"/>
          <w:rFonts w:hint="cs"/>
          <w:vanish/>
          <w:rtl/>
        </w:rPr>
        <w:t xml:space="preserve"> &gt;</w:t>
      </w:r>
      <w:r w:rsidRPr="00572920">
        <w:rPr>
          <w:rStyle w:val="aff4"/>
          <w:rFonts w:hint="cs"/>
          <w:rtl/>
        </w:rPr>
        <w:t>רמב"ם</w:t>
      </w:r>
      <w:r w:rsidRPr="000D4E5E">
        <w:rPr>
          <w:rStyle w:val="aff4"/>
          <w:rFonts w:hint="cs"/>
          <w:vanish/>
          <w:rtl/>
        </w:rPr>
        <w:t>-</w:t>
      </w:r>
      <w:r>
        <w:rPr>
          <w:rFonts w:hint="cs"/>
          <w:rtl/>
        </w:rPr>
        <w:t xml:space="preserve"> </w:t>
      </w:r>
      <w:r w:rsidRPr="00A3054F">
        <w:rPr>
          <w:rStyle w:val="af2"/>
          <w:rFonts w:eastAsia="Guttman Hodes" w:hint="cs"/>
          <w:rtl/>
        </w:rPr>
        <w:t>(שבת פ"ח ה"ג)</w:t>
      </w:r>
      <w:r w:rsidRPr="000D4E5E">
        <w:rPr>
          <w:rFonts w:hint="cs"/>
          <w:vanish/>
          <w:rtl/>
        </w:rPr>
        <w:t>=</w:t>
      </w:r>
      <w:r>
        <w:rPr>
          <w:rFonts w:hint="cs"/>
          <w:rtl/>
        </w:rPr>
        <w:t xml:space="preserve"> דתולש הוא תולדה של קוצר, </w:t>
      </w:r>
      <w:r w:rsidRPr="003E0220">
        <w:rPr>
          <w:rStyle w:val="af"/>
          <w:rFonts w:hint="cs"/>
          <w:rtl/>
        </w:rPr>
        <w:t xml:space="preserve">[אבל </w:t>
      </w:r>
      <w:r w:rsidRPr="00735214">
        <w:rPr>
          <w:rStyle w:val="aff9"/>
          <w:rFonts w:hint="cs"/>
          <w:vanish/>
          <w:rtl/>
        </w:rPr>
        <w:t>-</w:t>
      </w:r>
      <w:r w:rsidRPr="003E0220">
        <w:rPr>
          <w:rStyle w:val="aff9"/>
          <w:rFonts w:hint="cs"/>
          <w:rtl/>
        </w:rPr>
        <w:t>הרמב"ם בפיהמ"ש</w:t>
      </w:r>
      <w:r w:rsidRPr="00735214">
        <w:rPr>
          <w:rStyle w:val="aff9"/>
          <w:rFonts w:hint="cs"/>
          <w:vanish/>
          <w:rtl/>
        </w:rPr>
        <w:t>-</w:t>
      </w:r>
      <w:r w:rsidRPr="003E0220">
        <w:rPr>
          <w:rStyle w:val="af"/>
          <w:rFonts w:hint="cs"/>
          <w:rtl/>
        </w:rPr>
        <w:t xml:space="preserve"> </w:t>
      </w:r>
      <w:r w:rsidRPr="003E0220">
        <w:rPr>
          <w:rStyle w:val="aff0"/>
          <w:rFonts w:hint="cs"/>
          <w:rtl/>
        </w:rPr>
        <w:t xml:space="preserve">(עי' אות </w:t>
      </w:r>
      <w:r w:rsidRPr="003E0220">
        <w:rPr>
          <w:rStyle w:val="aff0"/>
          <w:rtl/>
        </w:rPr>
        <w:fldChar w:fldCharType="begin"/>
      </w:r>
      <w:r w:rsidRPr="003E0220">
        <w:rPr>
          <w:rStyle w:val="aff0"/>
          <w:rtl/>
        </w:rPr>
        <w:instrText xml:space="preserve"> </w:instrText>
      </w:r>
      <w:r w:rsidRPr="003E0220">
        <w:rPr>
          <w:rStyle w:val="aff0"/>
          <w:rFonts w:hint="cs"/>
        </w:rPr>
        <w:instrText>REF</w:instrText>
      </w:r>
      <w:r w:rsidRPr="003E0220">
        <w:rPr>
          <w:rStyle w:val="aff0"/>
          <w:rFonts w:hint="cs"/>
          <w:rtl/>
        </w:rPr>
        <w:instrText xml:space="preserve"> _</w:instrText>
      </w:r>
      <w:r w:rsidRPr="003E0220">
        <w:rPr>
          <w:rStyle w:val="aff0"/>
          <w:rFonts w:hint="cs"/>
        </w:rPr>
        <w:instrText>Ref133575250 \r \h</w:instrText>
      </w:r>
      <w:r w:rsidRPr="003E0220">
        <w:rPr>
          <w:rStyle w:val="aff0"/>
          <w:rtl/>
        </w:rPr>
        <w:instrText xml:space="preserve"> </w:instrText>
      </w:r>
      <w:r w:rsidRPr="003E0220">
        <w:rPr>
          <w:rStyle w:val="aff0"/>
          <w:rtl/>
        </w:rPr>
      </w:r>
      <w:r w:rsidRPr="003E0220">
        <w:rPr>
          <w:rStyle w:val="aff0"/>
          <w:rtl/>
        </w:rPr>
        <w:fldChar w:fldCharType="separate"/>
      </w:r>
      <w:r w:rsidR="00D82181">
        <w:rPr>
          <w:rStyle w:val="aff0"/>
          <w:cs/>
        </w:rPr>
        <w:t>‎</w:t>
      </w:r>
      <w:r w:rsidR="00D82181">
        <w:rPr>
          <w:rStyle w:val="aff0"/>
          <w:rtl/>
        </w:rPr>
        <w:t>לב)</w:t>
      </w:r>
      <w:r w:rsidRPr="003E0220">
        <w:rPr>
          <w:rStyle w:val="aff0"/>
          <w:rtl/>
        </w:rPr>
        <w:fldChar w:fldCharType="end"/>
      </w:r>
      <w:r w:rsidRPr="003E0220">
        <w:rPr>
          <w:rStyle w:val="af"/>
          <w:rFonts w:hint="cs"/>
          <w:rtl/>
        </w:rPr>
        <w:t xml:space="preserve"> כתב דתולש הוא אב לפי הגי' בנדפס, אבל לתרגומים החד' כוונתו למחתך ולא לתולש</w:t>
      </w:r>
      <w:r w:rsidRPr="00735214">
        <w:rPr>
          <w:rStyle w:val="af"/>
          <w:rFonts w:hint="cs"/>
          <w:rtl/>
        </w:rPr>
        <w:t>],</w:t>
      </w:r>
      <w:r>
        <w:rPr>
          <w:rFonts w:hint="cs"/>
          <w:rtl/>
        </w:rPr>
        <w:t xml:space="preserve"> וביאר </w:t>
      </w:r>
      <w:r w:rsidRPr="00063347">
        <w:rPr>
          <w:rStyle w:val="aff4"/>
          <w:rFonts w:hint="cs"/>
          <w:vanish/>
          <w:rtl/>
        </w:rPr>
        <w:t>-</w:t>
      </w:r>
      <w:r w:rsidRPr="00063347">
        <w:rPr>
          <w:rStyle w:val="aff4"/>
          <w:rFonts w:hint="cs"/>
          <w:rtl/>
        </w:rPr>
        <w:t>ה</w:t>
      </w:r>
      <w:r w:rsidRPr="00063347">
        <w:rPr>
          <w:rStyle w:val="aff4"/>
          <w:rFonts w:hint="cs"/>
          <w:vanish/>
          <w:rtl/>
        </w:rPr>
        <w:t>&lt;</w:t>
      </w:r>
      <w:r>
        <w:rPr>
          <w:rStyle w:val="aff4"/>
          <w:rFonts w:hint="cs"/>
          <w:vanish/>
          <w:rtl/>
        </w:rPr>
        <w:t xml:space="preserve"> </w:t>
      </w:r>
      <w:r w:rsidRPr="00063347">
        <w:rPr>
          <w:rStyle w:val="aff4"/>
          <w:rFonts w:hint="cs"/>
          <w:vanish/>
          <w:rtl/>
        </w:rPr>
        <w:t>&gt;</w:t>
      </w:r>
      <w:r w:rsidRPr="00063347">
        <w:rPr>
          <w:rStyle w:val="aff4"/>
          <w:rFonts w:hint="cs"/>
          <w:rtl/>
        </w:rPr>
        <w:t>לח"מ</w:t>
      </w:r>
      <w:r w:rsidRPr="00063347">
        <w:rPr>
          <w:rStyle w:val="aff4"/>
          <w:rFonts w:hint="cs"/>
          <w:vanish/>
          <w:rtl/>
        </w:rPr>
        <w:t>-</w:t>
      </w:r>
      <w:r>
        <w:rPr>
          <w:rFonts w:hint="cs"/>
          <w:rtl/>
        </w:rPr>
        <w:t xml:space="preserve"> </w:t>
      </w:r>
      <w:r w:rsidRPr="00A3054F">
        <w:rPr>
          <w:rStyle w:val="af2"/>
          <w:rFonts w:eastAsia="Guttman Hodes" w:hint="cs"/>
          <w:rtl/>
        </w:rPr>
        <w:t>(שבת פ"ח ה"ג)</w:t>
      </w:r>
      <w:r w:rsidRPr="00063347">
        <w:rPr>
          <w:rFonts w:hint="cs"/>
          <w:vanish/>
          <w:rtl/>
        </w:rPr>
        <w:t>=</w:t>
      </w:r>
      <w:r>
        <w:rPr>
          <w:rFonts w:hint="cs"/>
          <w:rtl/>
        </w:rPr>
        <w:t xml:space="preserve"> דהחילוק בין קוצר דהוא אב לתולש דהוא תולדה, דקוצר הוא בכלי, ותולש הוא ביד.</w:t>
      </w:r>
      <w:bookmarkEnd w:id="942"/>
    </w:p>
    <w:p w14:paraId="1050FAD7" w14:textId="77777777" w:rsidR="00D31714" w:rsidRPr="00747170" w:rsidRDefault="00D31714" w:rsidP="00747170">
      <w:pPr>
        <w:pStyle w:val="a2"/>
        <w:rPr>
          <w:rtl/>
        </w:rPr>
      </w:pPr>
      <w:r w:rsidRPr="00747170">
        <w:rPr>
          <w:rFonts w:hint="cs"/>
          <w:rtl/>
        </w:rPr>
        <w:t>הקוצר כגרוגרת חייב, ותולש תולדת קוצר הוא, וכל העוקר דבר מגידוליו חייב משום קוצר.</w:t>
      </w:r>
    </w:p>
    <w:p w14:paraId="0DB3CD2B" w14:textId="77777777" w:rsidR="00D31714" w:rsidRDefault="00D31714" w:rsidP="00D31714">
      <w:pPr>
        <w:pStyle w:val="afffff7"/>
        <w:rPr>
          <w:rtl/>
        </w:rPr>
      </w:pPr>
      <w:bookmarkStart w:id="943" w:name="_Toc135670229"/>
      <w:bookmarkStart w:id="944" w:name="_Toc163505530"/>
      <w:r>
        <w:rPr>
          <w:rtl/>
        </w:rPr>
        <w:t>לחם משנה שבת פ"ח ה"ג</w:t>
      </w:r>
      <w:bookmarkEnd w:id="943"/>
      <w:bookmarkEnd w:id="944"/>
    </w:p>
    <w:p w14:paraId="45D2B3E7" w14:textId="77777777" w:rsidR="00D31714" w:rsidRPr="0074537A" w:rsidRDefault="00D31714" w:rsidP="00747170">
      <w:pPr>
        <w:pStyle w:val="afffff5"/>
        <w:rPr>
          <w:rtl/>
        </w:rPr>
      </w:pPr>
      <w:r w:rsidRPr="0074537A">
        <w:rPr>
          <w:rtl/>
        </w:rPr>
        <w:t>הקוצר כגרוגרת חייב ותולש תולדת קוצר הוא וכו'. נראה דהחילוק בין תולש לקוצר שקוצר בכלי ותולש ביד:</w:t>
      </w:r>
    </w:p>
    <w:p w14:paraId="3F4C711F" w14:textId="77777777" w:rsidR="00D31714" w:rsidRDefault="00D31714" w:rsidP="00D31714">
      <w:pPr>
        <w:pStyle w:val="afffffb"/>
        <w:rPr>
          <w:rtl/>
        </w:rPr>
      </w:pPr>
      <w:r>
        <w:rPr>
          <w:rFonts w:hint="cs"/>
          <w:rtl/>
        </w:rPr>
        <w:t>רמב"ם שבת פ"ח ה"ג</w:t>
      </w:r>
    </w:p>
    <w:p w14:paraId="729C81AF" w14:textId="77777777" w:rsidR="00D31714" w:rsidRPr="00ED13DA" w:rsidRDefault="00D31714" w:rsidP="00D31714">
      <w:pPr>
        <w:pStyle w:val="a7"/>
      </w:pPr>
      <w:bookmarkStart w:id="945" w:name="_Toc135669918"/>
      <w:r>
        <w:rPr>
          <w:rFonts w:hint="cs"/>
          <w:rtl/>
        </w:rPr>
        <w:t>בי' הרמב"ם דהעוקר דבר מגידולו ככשות מסנה חייב משום קוצר אך מעציץ שא"נ פטור</w:t>
      </w:r>
      <w:bookmarkEnd w:id="945"/>
    </w:p>
    <w:p w14:paraId="79280517" w14:textId="714DCB1E" w:rsidR="00D31714" w:rsidRPr="003B3FBA" w:rsidRDefault="00D31714" w:rsidP="00BC7DC8">
      <w:pPr>
        <w:pStyle w:val="a3"/>
      </w:pPr>
      <w:bookmarkStart w:id="946" w:name="_Ref135584246"/>
      <w:r>
        <w:rPr>
          <w:rFonts w:hint="cs"/>
          <w:rtl/>
        </w:rPr>
        <w:t xml:space="preserve">והוסיף </w:t>
      </w:r>
      <w:r w:rsidRPr="000D4E5E">
        <w:rPr>
          <w:rStyle w:val="aff4"/>
          <w:rFonts w:hint="cs"/>
          <w:vanish/>
          <w:rtl/>
        </w:rPr>
        <w:t>-</w:t>
      </w:r>
      <w:r w:rsidRPr="00572920">
        <w:rPr>
          <w:rStyle w:val="aff4"/>
          <w:rFonts w:hint="cs"/>
          <w:rtl/>
        </w:rPr>
        <w:t>הרמב"ם</w:t>
      </w:r>
      <w:r w:rsidRPr="000D4E5E">
        <w:rPr>
          <w:rStyle w:val="aff4"/>
          <w:rFonts w:hint="cs"/>
          <w:vanish/>
          <w:rtl/>
        </w:rPr>
        <w:t>-</w:t>
      </w:r>
      <w:r>
        <w:rPr>
          <w:rFonts w:hint="cs"/>
          <w:rtl/>
        </w:rPr>
        <w:t xml:space="preserve"> דכל שעוקר דבר מגידולו חייב משום קוצר, ולכן התולש עשבים מצרור או כשות מסנה או עשבים שצמחו ע"ג חבית חייב, כיון שזהו מהקום גידולן, אך כתב </w:t>
      </w:r>
      <w:r w:rsidRPr="000D4E5E">
        <w:rPr>
          <w:rStyle w:val="aff4"/>
          <w:rFonts w:hint="cs"/>
          <w:vanish/>
          <w:rtl/>
        </w:rPr>
        <w:t>-</w:t>
      </w:r>
      <w:r w:rsidRPr="00572920">
        <w:rPr>
          <w:rStyle w:val="aff4"/>
          <w:rFonts w:hint="cs"/>
          <w:rtl/>
        </w:rPr>
        <w:t>הרמב"ם</w:t>
      </w:r>
      <w:r w:rsidRPr="000D4E5E">
        <w:rPr>
          <w:rStyle w:val="aff4"/>
          <w:rFonts w:hint="cs"/>
          <w:vanish/>
          <w:rtl/>
        </w:rPr>
        <w:t>-</w:t>
      </w:r>
      <w:r>
        <w:rPr>
          <w:rFonts w:hint="cs"/>
          <w:rtl/>
        </w:rPr>
        <w:t xml:space="preserve"> דהתולש מעציץ שאינו נקוב פטור, כיון שאי"ז מקום גידולו, אבל עציץ נקוב בשיעור של שורש קטן, העציץ הוא כארץ והתולש ממנו חייב, ועי' במה שביאר </w:t>
      </w:r>
      <w:r w:rsidRPr="009556BA">
        <w:rPr>
          <w:rStyle w:val="aff4"/>
          <w:rFonts w:hint="cs"/>
          <w:vanish/>
          <w:rtl/>
        </w:rPr>
        <w:t>-</w:t>
      </w:r>
      <w:r w:rsidRPr="00062375">
        <w:rPr>
          <w:rStyle w:val="aff4"/>
          <w:rFonts w:hint="cs"/>
          <w:rtl/>
        </w:rPr>
        <w:t>ב</w:t>
      </w:r>
      <w:r w:rsidRPr="00FC1595">
        <w:rPr>
          <w:rStyle w:val="aff4"/>
          <w:rFonts w:hint="cs"/>
          <w:vanish/>
          <w:rtl/>
        </w:rPr>
        <w:t>&lt; &gt;</w:t>
      </w:r>
      <w:r w:rsidRPr="00062375">
        <w:rPr>
          <w:rStyle w:val="aff4"/>
          <w:rFonts w:hint="cs"/>
          <w:rtl/>
        </w:rPr>
        <w:t>חי' הגרי"ז בבכורות</w:t>
      </w:r>
      <w:r w:rsidRPr="009556BA">
        <w:rPr>
          <w:rStyle w:val="aff4"/>
          <w:rFonts w:hint="cs"/>
          <w:vanish/>
          <w:rtl/>
        </w:rPr>
        <w:t>-</w:t>
      </w:r>
      <w:r>
        <w:rPr>
          <w:rFonts w:hint="cs"/>
          <w:rtl/>
        </w:rPr>
        <w:t xml:space="preserve"> </w:t>
      </w:r>
      <w:r w:rsidRPr="00A3054F">
        <w:rPr>
          <w:rStyle w:val="af2"/>
          <w:rFonts w:eastAsia="Guttman Hodes" w:hint="cs"/>
          <w:rtl/>
        </w:rPr>
        <w:t xml:space="preserve">(עי' אות </w:t>
      </w:r>
      <w:r w:rsidRPr="00A3054F">
        <w:rPr>
          <w:rStyle w:val="af2"/>
          <w:rFonts w:eastAsia="Guttman Hodes"/>
          <w:rtl/>
        </w:rPr>
        <w:fldChar w:fldCharType="begin"/>
      </w:r>
      <w:r w:rsidRPr="00A3054F">
        <w:rPr>
          <w:rStyle w:val="af2"/>
          <w:rFonts w:eastAsia="Guttman Hodes"/>
          <w:rtl/>
        </w:rPr>
        <w:instrText xml:space="preserve"> </w:instrText>
      </w:r>
      <w:r w:rsidRPr="00A3054F">
        <w:rPr>
          <w:rStyle w:val="af2"/>
          <w:rFonts w:eastAsia="Guttman Hodes" w:hint="cs"/>
        </w:rPr>
        <w:instrText>REF</w:instrText>
      </w:r>
      <w:r w:rsidRPr="00A3054F">
        <w:rPr>
          <w:rStyle w:val="af2"/>
          <w:rFonts w:eastAsia="Guttman Hodes" w:hint="cs"/>
          <w:rtl/>
        </w:rPr>
        <w:instrText xml:space="preserve"> _</w:instrText>
      </w:r>
      <w:r w:rsidRPr="00A3054F">
        <w:rPr>
          <w:rStyle w:val="af2"/>
          <w:rFonts w:eastAsia="Guttman Hodes" w:hint="cs"/>
        </w:rPr>
        <w:instrText>Ref135565447 \r \h</w:instrText>
      </w:r>
      <w:r w:rsidRPr="00A3054F">
        <w:rPr>
          <w:rStyle w:val="af2"/>
          <w:rFonts w:eastAsia="Guttman Hodes"/>
          <w:rtl/>
        </w:rPr>
        <w:instrText xml:space="preserve"> </w:instrText>
      </w:r>
      <w:r w:rsidRPr="00A3054F">
        <w:rPr>
          <w:rStyle w:val="af2"/>
          <w:rFonts w:eastAsia="Guttman Hodes"/>
          <w:rtl/>
        </w:rPr>
      </w:r>
      <w:r w:rsidRPr="00A3054F">
        <w:rPr>
          <w:rStyle w:val="af2"/>
          <w:rFonts w:eastAsia="Guttman Hodes"/>
          <w:rtl/>
        </w:rPr>
        <w:fldChar w:fldCharType="separate"/>
      </w:r>
      <w:r w:rsidR="00D82181">
        <w:rPr>
          <w:rStyle w:val="af2"/>
          <w:rFonts w:eastAsia="Guttman Hodes"/>
          <w:cs/>
        </w:rPr>
        <w:t>‎</w:t>
      </w:r>
      <w:r w:rsidR="00D82181">
        <w:rPr>
          <w:rStyle w:val="af2"/>
          <w:rFonts w:eastAsia="Guttman Hodes"/>
          <w:rtl/>
        </w:rPr>
        <w:t>מח)</w:t>
      </w:r>
      <w:r w:rsidRPr="00A3054F">
        <w:rPr>
          <w:rStyle w:val="af2"/>
          <w:rFonts w:eastAsia="Guttman Hodes"/>
          <w:rtl/>
        </w:rPr>
        <w:fldChar w:fldCharType="end"/>
      </w:r>
      <w:r w:rsidRPr="009556BA">
        <w:rPr>
          <w:rFonts w:hint="cs"/>
          <w:vanish/>
          <w:rtl/>
        </w:rPr>
        <w:t>=</w:t>
      </w:r>
      <w:r>
        <w:rPr>
          <w:rFonts w:hint="cs"/>
          <w:rtl/>
        </w:rPr>
        <w:t xml:space="preserve"> בהא דעוקר דבר מגידולו הוי אב, ואינו בכלל תולש.</w:t>
      </w:r>
      <w:bookmarkEnd w:id="946"/>
    </w:p>
    <w:p w14:paraId="0F584090" w14:textId="77777777" w:rsidR="00D31714" w:rsidRPr="00747170" w:rsidRDefault="00D31714" w:rsidP="00747170">
      <w:pPr>
        <w:pStyle w:val="a2"/>
        <w:rPr>
          <w:rtl/>
        </w:rPr>
      </w:pPr>
      <w:r w:rsidRPr="00747170">
        <w:rPr>
          <w:rFonts w:hint="cs"/>
          <w:rtl/>
        </w:rPr>
        <w:t xml:space="preserve">לפיכך צרור שעלו בו עשבים וכשות שעלה בסנה ועשבים שצמחו על גב החבית, התולש מהן חייב שזה הוא מקום גידולן, אבל התולש מעציץ שאינו נקוב פטור מפני שאין זה מקום גידולו, ועציץ נקוב בכדי שורש קטן הרי הוא כארץ והתולש ממנו חייב. </w:t>
      </w:r>
    </w:p>
    <w:p w14:paraId="47B19BDE" w14:textId="77777777" w:rsidR="00D31714" w:rsidRDefault="00D31714" w:rsidP="00D31714">
      <w:pPr>
        <w:pStyle w:val="afffff7"/>
        <w:rPr>
          <w:rtl/>
        </w:rPr>
      </w:pPr>
      <w:bookmarkStart w:id="947" w:name="_Toc134461294"/>
      <w:bookmarkStart w:id="948" w:name="_Toc135130032"/>
      <w:bookmarkStart w:id="949" w:name="_Toc135670230"/>
      <w:bookmarkStart w:id="950" w:name="_Toc163505531"/>
      <w:r w:rsidRPr="007405F3">
        <w:rPr>
          <w:rtl/>
        </w:rPr>
        <w:t>פירוש המשנה לרמב"ם מסכת שבת פ</w:t>
      </w:r>
      <w:r>
        <w:rPr>
          <w:rFonts w:hint="cs"/>
          <w:rtl/>
        </w:rPr>
        <w:t>"</w:t>
      </w:r>
      <w:r w:rsidRPr="007405F3">
        <w:rPr>
          <w:rtl/>
        </w:rPr>
        <w:t>ז מ</w:t>
      </w:r>
      <w:r>
        <w:rPr>
          <w:rFonts w:hint="cs"/>
          <w:rtl/>
        </w:rPr>
        <w:t>"</w:t>
      </w:r>
      <w:r w:rsidRPr="007405F3">
        <w:rPr>
          <w:rtl/>
        </w:rPr>
        <w:t>ב</w:t>
      </w:r>
      <w:bookmarkEnd w:id="947"/>
      <w:bookmarkEnd w:id="948"/>
      <w:bookmarkEnd w:id="949"/>
      <w:bookmarkEnd w:id="950"/>
    </w:p>
    <w:p w14:paraId="03B57F66" w14:textId="77777777" w:rsidR="00D31714" w:rsidRDefault="00D31714" w:rsidP="00D31714">
      <w:pPr>
        <w:pStyle w:val="a7"/>
        <w:rPr>
          <w:rtl/>
        </w:rPr>
      </w:pPr>
      <w:bookmarkStart w:id="951" w:name="_Toc134461290"/>
      <w:bookmarkStart w:id="952" w:name="_Toc135129937"/>
      <w:bookmarkStart w:id="953" w:name="_Toc135669919"/>
      <w:r>
        <w:rPr>
          <w:rFonts w:hint="cs"/>
          <w:rtl/>
        </w:rPr>
        <w:t>בי' הרמב"ם בפיהמ"ש דתולש ואורה ובוצר וכו' א"א לומר דהם תולדה אלא הם אב דקוצר עצמו</w:t>
      </w:r>
      <w:bookmarkEnd w:id="951"/>
      <w:bookmarkEnd w:id="952"/>
      <w:bookmarkEnd w:id="953"/>
    </w:p>
    <w:p w14:paraId="64E5272C" w14:textId="3FDB86B1" w:rsidR="00D31714" w:rsidRPr="00B61476" w:rsidRDefault="00D31714" w:rsidP="00BC7DC8">
      <w:pPr>
        <w:pStyle w:val="a3"/>
        <w:rPr>
          <w:rtl/>
        </w:rPr>
      </w:pPr>
      <w:r>
        <w:rPr>
          <w:rFonts w:hint="cs"/>
          <w:rtl/>
        </w:rPr>
        <w:t xml:space="preserve">כתב </w:t>
      </w:r>
      <w:r w:rsidRPr="00C444C9">
        <w:rPr>
          <w:rStyle w:val="aff4"/>
          <w:rFonts w:hint="cs"/>
          <w:vanish/>
          <w:rtl/>
        </w:rPr>
        <w:t>-</w:t>
      </w:r>
      <w:r w:rsidRPr="004F32D2">
        <w:rPr>
          <w:rStyle w:val="aff4"/>
          <w:rFonts w:hint="cs"/>
          <w:rtl/>
        </w:rPr>
        <w:t>ה</w:t>
      </w:r>
      <w:r w:rsidRPr="00C444C9">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Ref133575250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לב)</w:t>
      </w:r>
      <w:r>
        <w:rPr>
          <w:rStyle w:val="aff4"/>
          <w:vanish/>
          <w:rtl/>
        </w:rPr>
        <w:fldChar w:fldCharType="end"/>
      </w:r>
      <w:r w:rsidRPr="00C444C9">
        <w:rPr>
          <w:rStyle w:val="aff4"/>
          <w:rFonts w:hint="cs"/>
          <w:vanish/>
          <w:rtl/>
        </w:rPr>
        <w:t xml:space="preserve"> &gt;</w:t>
      </w:r>
      <w:r w:rsidRPr="004F32D2">
        <w:rPr>
          <w:rStyle w:val="aff4"/>
          <w:rFonts w:hint="cs"/>
          <w:rtl/>
        </w:rPr>
        <w:t>רמב"ם בפיהמ"ש</w:t>
      </w:r>
      <w:r w:rsidRPr="00C444C9">
        <w:rPr>
          <w:rStyle w:val="aff4"/>
          <w:rFonts w:hint="cs"/>
          <w:vanish/>
          <w:rtl/>
        </w:rPr>
        <w:t>-</w:t>
      </w:r>
      <w:r>
        <w:rPr>
          <w:rFonts w:hint="cs"/>
          <w:rtl/>
        </w:rPr>
        <w:t xml:space="preserve"> </w:t>
      </w:r>
      <w:r w:rsidRPr="00A3054F">
        <w:rPr>
          <w:rStyle w:val="af2"/>
          <w:rFonts w:eastAsia="Guttman Hodes" w:hint="cs"/>
          <w:rtl/>
        </w:rPr>
        <w:t>(פ"ז מ"ב)</w:t>
      </w:r>
      <w:r w:rsidRPr="00345748">
        <w:rPr>
          <w:rFonts w:hint="cs"/>
          <w:vanish/>
          <w:rtl/>
        </w:rPr>
        <w:t>=</w:t>
      </w:r>
      <w:r>
        <w:rPr>
          <w:rFonts w:hint="cs"/>
          <w:rtl/>
        </w:rPr>
        <w:t xml:space="preserve"> דכל האבות הם דוגמא למלאכה של האב עצמו, דכל דבר שדומה להם הוא בכלל האב, וביאר </w:t>
      </w:r>
      <w:r w:rsidRPr="00C444C9">
        <w:rPr>
          <w:rStyle w:val="aff4"/>
          <w:rFonts w:hint="cs"/>
          <w:vanish/>
          <w:rtl/>
        </w:rPr>
        <w:t>-</w:t>
      </w:r>
      <w:r w:rsidRPr="004F32D2">
        <w:rPr>
          <w:rStyle w:val="aff4"/>
          <w:rFonts w:hint="cs"/>
          <w:rtl/>
        </w:rPr>
        <w:t>הרמב"ם בפיהמ"ש</w:t>
      </w:r>
      <w:r w:rsidRPr="00C444C9">
        <w:rPr>
          <w:rStyle w:val="aff4"/>
          <w:rFonts w:hint="cs"/>
          <w:vanish/>
          <w:rtl/>
        </w:rPr>
        <w:t>-</w:t>
      </w:r>
      <w:r>
        <w:rPr>
          <w:rFonts w:hint="cs"/>
          <w:rtl/>
        </w:rPr>
        <w:t xml:space="preserve"> דקוצר הוא אב, וה"ה תולש צמח שמחובר לקרקע כשמתכוין לתלוש את הצמח הזה, וה"ה באורה תאנים ובצר ענבים וחובט זיתים, דא"א לומר שהם תולדה של קוצר, אלא הם האב דקוצר עצמו, </w:t>
      </w:r>
      <w:r w:rsidRPr="003E0220">
        <w:rPr>
          <w:rStyle w:val="af"/>
          <w:rFonts w:hint="cs"/>
          <w:rtl/>
        </w:rPr>
        <w:t xml:space="preserve">[אבל </w:t>
      </w:r>
      <w:r w:rsidRPr="00735214">
        <w:rPr>
          <w:rStyle w:val="aff9"/>
          <w:rFonts w:hint="cs"/>
          <w:vanish/>
          <w:rtl/>
        </w:rPr>
        <w:t>-</w:t>
      </w:r>
      <w:r w:rsidRPr="003E0220">
        <w:rPr>
          <w:rStyle w:val="aff9"/>
          <w:rFonts w:hint="cs"/>
          <w:rtl/>
        </w:rPr>
        <w:t>הרמב"ם בהלכות</w:t>
      </w:r>
      <w:r w:rsidRPr="00735214">
        <w:rPr>
          <w:rStyle w:val="aff9"/>
          <w:rFonts w:hint="cs"/>
          <w:vanish/>
          <w:rtl/>
        </w:rPr>
        <w:t>-</w:t>
      </w:r>
      <w:r w:rsidRPr="003E0220">
        <w:rPr>
          <w:rStyle w:val="af"/>
          <w:rFonts w:hint="cs"/>
          <w:rtl/>
        </w:rPr>
        <w:t xml:space="preserve"> </w:t>
      </w:r>
      <w:r w:rsidRPr="003E0220">
        <w:rPr>
          <w:rStyle w:val="aff0"/>
          <w:rFonts w:hint="cs"/>
          <w:rtl/>
        </w:rPr>
        <w:t xml:space="preserve">(עי' אות </w:t>
      </w:r>
      <w:r w:rsidRPr="003E0220">
        <w:rPr>
          <w:rStyle w:val="aff0"/>
          <w:rtl/>
        </w:rPr>
        <w:fldChar w:fldCharType="begin"/>
      </w:r>
      <w:r w:rsidRPr="003E0220">
        <w:rPr>
          <w:rStyle w:val="aff0"/>
          <w:rtl/>
        </w:rPr>
        <w:instrText xml:space="preserve"> </w:instrText>
      </w:r>
      <w:r w:rsidRPr="003E0220">
        <w:rPr>
          <w:rStyle w:val="aff0"/>
          <w:rFonts w:hint="cs"/>
        </w:rPr>
        <w:instrText>REF</w:instrText>
      </w:r>
      <w:r w:rsidRPr="003E0220">
        <w:rPr>
          <w:rStyle w:val="aff0"/>
          <w:rFonts w:hint="cs"/>
          <w:rtl/>
        </w:rPr>
        <w:instrText xml:space="preserve"> _</w:instrText>
      </w:r>
      <w:r w:rsidRPr="003E0220">
        <w:rPr>
          <w:rStyle w:val="aff0"/>
          <w:rFonts w:hint="cs"/>
        </w:rPr>
        <w:instrText>Ref134459496 \r \h</w:instrText>
      </w:r>
      <w:r w:rsidRPr="003E0220">
        <w:rPr>
          <w:rStyle w:val="aff0"/>
          <w:rtl/>
        </w:rPr>
        <w:instrText xml:space="preserve"> </w:instrText>
      </w:r>
      <w:r w:rsidRPr="003E0220">
        <w:rPr>
          <w:rStyle w:val="aff0"/>
          <w:rtl/>
        </w:rPr>
      </w:r>
      <w:r w:rsidRPr="003E0220">
        <w:rPr>
          <w:rStyle w:val="aff0"/>
          <w:rtl/>
        </w:rPr>
        <w:fldChar w:fldCharType="separate"/>
      </w:r>
      <w:r w:rsidR="00D82181">
        <w:rPr>
          <w:rStyle w:val="aff0"/>
          <w:cs/>
        </w:rPr>
        <w:t>‎</w:t>
      </w:r>
      <w:r w:rsidR="00D82181">
        <w:rPr>
          <w:rStyle w:val="aff0"/>
          <w:rtl/>
        </w:rPr>
        <w:t>ו)</w:t>
      </w:r>
      <w:r w:rsidRPr="003E0220">
        <w:rPr>
          <w:rStyle w:val="aff0"/>
          <w:rtl/>
        </w:rPr>
        <w:fldChar w:fldCharType="end"/>
      </w:r>
      <w:r w:rsidRPr="003E0220">
        <w:rPr>
          <w:rStyle w:val="af"/>
          <w:rFonts w:hint="cs"/>
          <w:rtl/>
        </w:rPr>
        <w:t xml:space="preserve"> כתב דתולש הוא תולדת קוצר, ובתרגו' החדש כתב "החותך" צמח שמחובר לארץ, ואפש"ל דרק בכה"ג ס"ל דהוא כקוצר והוי אב, ולא בתולש</w:t>
      </w:r>
      <w:r w:rsidRPr="00735214">
        <w:rPr>
          <w:rStyle w:val="af"/>
          <w:rFonts w:hint="cs"/>
          <w:rtl/>
        </w:rPr>
        <w:t>],</w:t>
      </w:r>
      <w:r>
        <w:rPr>
          <w:rFonts w:hint="cs"/>
          <w:rtl/>
        </w:rPr>
        <w:t xml:space="preserve"> דכמו שא"א לומר דהשוחט כבש או שור הוא תולדה, וכן א"א לומר דהמבשל איזה שהוא תבשיל דהוא תולדה של אופה, דהא פשיטא דהוא אב דאופה עצמו, ה"ה במלאכות הללו דא"א לומר דהם תולדת קוצר, אלא הם קוצר ממש, וכתב </w:t>
      </w:r>
      <w:r w:rsidRPr="00C444C9">
        <w:rPr>
          <w:rStyle w:val="aff4"/>
          <w:rFonts w:hint="cs"/>
          <w:vanish/>
          <w:rtl/>
        </w:rPr>
        <w:t>-</w:t>
      </w:r>
      <w:r w:rsidRPr="004F32D2">
        <w:rPr>
          <w:rStyle w:val="aff4"/>
          <w:rFonts w:hint="cs"/>
          <w:rtl/>
        </w:rPr>
        <w:t>הרמב"ם בפיהמ"ש</w:t>
      </w:r>
      <w:r w:rsidRPr="00C444C9">
        <w:rPr>
          <w:rStyle w:val="aff4"/>
          <w:rFonts w:hint="cs"/>
          <w:vanish/>
          <w:rtl/>
        </w:rPr>
        <w:t>-</w:t>
      </w:r>
      <w:r>
        <w:rPr>
          <w:rFonts w:hint="cs"/>
          <w:rtl/>
        </w:rPr>
        <w:t xml:space="preserve"> דזה הביאור בהא דתנן במתני' לעיל </w:t>
      </w:r>
      <w:r w:rsidRPr="00A3054F">
        <w:rPr>
          <w:rStyle w:val="af2"/>
          <w:rFonts w:eastAsia="Guttman Hodes" w:hint="cs"/>
          <w:rtl/>
        </w:rPr>
        <w:t>(סח.)</w:t>
      </w:r>
      <w:r>
        <w:rPr>
          <w:rFonts w:hint="cs"/>
          <w:rtl/>
        </w:rPr>
        <w:t xml:space="preserve"> "מלאכות הרבה מעין מלאכה אחת". </w:t>
      </w:r>
      <w:r w:rsidRPr="003E0220">
        <w:rPr>
          <w:rStyle w:val="af"/>
          <w:rFonts w:hint="cs"/>
          <w:rtl/>
        </w:rPr>
        <w:t xml:space="preserve">[הוספה זו נד' רק בתרגומים החדשים, ובתשו' </w:t>
      </w:r>
      <w:r w:rsidRPr="00735214">
        <w:rPr>
          <w:rStyle w:val="aff9"/>
          <w:rFonts w:hint="cs"/>
          <w:vanish/>
          <w:rtl/>
        </w:rPr>
        <w:t>-</w:t>
      </w:r>
      <w:r w:rsidRPr="003E0220">
        <w:rPr>
          <w:rStyle w:val="aff9"/>
          <w:rFonts w:hint="cs"/>
          <w:rtl/>
        </w:rPr>
        <w:t>רבי בצלאל אשכנזי</w:t>
      </w:r>
      <w:r w:rsidRPr="00735214">
        <w:rPr>
          <w:rStyle w:val="aff9"/>
          <w:rFonts w:hint="cs"/>
          <w:vanish/>
          <w:rtl/>
        </w:rPr>
        <w:t>-</w:t>
      </w:r>
      <w:r w:rsidRPr="003E0220">
        <w:rPr>
          <w:rStyle w:val="af"/>
          <w:rFonts w:hint="cs"/>
          <w:rtl/>
        </w:rPr>
        <w:t xml:space="preserve"> </w:t>
      </w:r>
      <w:r w:rsidRPr="003E0220">
        <w:rPr>
          <w:rStyle w:val="aff0"/>
          <w:rFonts w:hint="cs"/>
          <w:rtl/>
        </w:rPr>
        <w:t>(</w:t>
      </w:r>
      <w:r w:rsidRPr="002A0D0C">
        <w:rPr>
          <w:rStyle w:val="af2"/>
          <w:rFonts w:eastAsia="Guttman Hodes" w:hint="cs"/>
          <w:rtl/>
        </w:rPr>
        <w:t>(סי' ל"ח ד"ה והקשה הרב</w:t>
      </w:r>
      <w:r>
        <w:rPr>
          <w:rStyle w:val="aff0"/>
          <w:rFonts w:hint="cs"/>
          <w:rtl/>
        </w:rPr>
        <w:t>, הובא בסימן א' אות ס')</w:t>
      </w:r>
      <w:r w:rsidRPr="003E0220">
        <w:rPr>
          <w:rStyle w:val="af"/>
          <w:rFonts w:hint="cs"/>
          <w:rtl/>
        </w:rPr>
        <w:t xml:space="preserve">, דכתב דמדברי </w:t>
      </w:r>
      <w:r w:rsidRPr="00735214">
        <w:rPr>
          <w:rStyle w:val="aff9"/>
          <w:rFonts w:hint="cs"/>
          <w:vanish/>
          <w:rtl/>
        </w:rPr>
        <w:t>-</w:t>
      </w:r>
      <w:r w:rsidRPr="003E0220">
        <w:rPr>
          <w:rStyle w:val="aff9"/>
          <w:rFonts w:hint="cs"/>
          <w:rtl/>
        </w:rPr>
        <w:t>הרמב"ם</w:t>
      </w:r>
      <w:r w:rsidRPr="00735214">
        <w:rPr>
          <w:rStyle w:val="aff9"/>
          <w:rFonts w:hint="cs"/>
          <w:vanish/>
          <w:rtl/>
        </w:rPr>
        <w:t>-</w:t>
      </w:r>
      <w:r w:rsidRPr="003E0220">
        <w:rPr>
          <w:rStyle w:val="af"/>
          <w:rFonts w:hint="cs"/>
          <w:rtl/>
        </w:rPr>
        <w:t xml:space="preserve"> הללו מוכח דמ"ש דכולם הם אבות, הכוונה שיש דבר שהוא מעין האב, ואינו האב עצמו אך אינו תולדה</w:t>
      </w:r>
      <w:r w:rsidRPr="00735214">
        <w:rPr>
          <w:rStyle w:val="af"/>
          <w:rFonts w:hint="cs"/>
          <w:rtl/>
        </w:rPr>
        <w:t>].</w:t>
      </w:r>
    </w:p>
    <w:p w14:paraId="461CA8E3" w14:textId="77777777" w:rsidR="00D31714" w:rsidRPr="00747170" w:rsidRDefault="00D31714" w:rsidP="00747170">
      <w:pPr>
        <w:pStyle w:val="a2"/>
      </w:pPr>
      <w:r w:rsidRPr="00747170">
        <w:rPr>
          <w:rtl/>
        </w:rPr>
        <w:t>ואלו האבות כולם דמיונות והוא כי אמרם קוצר הוא מאבות מלאכות וכמו כן כל התולש צמח מחובר לארץ כשכוונתו באותו דבר שתולש כמי שאורה תאנים או בוצר ענבים או חובט זיתים כל אחד מאלו המלאכות לא נאמר בהם שהן תולדות קוצר אבל הוא קוצר ממש כאשר לא נאמר במי ששחט כבש או שור שהוא תולדות השוחט או במי שבשל תבשיל מן התבשילין שהוא תולדות האופה אבל הוא אופה עצמו</w:t>
      </w:r>
      <w:r w:rsidRPr="00747170">
        <w:rPr>
          <w:rFonts w:hint="cs"/>
          <w:rtl/>
        </w:rPr>
        <w:t>.</w:t>
      </w:r>
    </w:p>
    <w:p w14:paraId="5487E780" w14:textId="77777777" w:rsidR="00D31714" w:rsidRPr="0074537A" w:rsidRDefault="00D31714" w:rsidP="00747170">
      <w:pPr>
        <w:pStyle w:val="afffff5"/>
        <w:rPr>
          <w:rtl/>
        </w:rPr>
      </w:pPr>
      <w:r w:rsidRPr="0074537A">
        <w:rPr>
          <w:rFonts w:hint="cs"/>
          <w:b/>
          <w:bCs/>
          <w:rtl/>
        </w:rPr>
        <w:t>תרגום מהדו' מוה"ק:</w:t>
      </w:r>
      <w:r w:rsidRPr="0074537A">
        <w:rPr>
          <w:rFonts w:hint="cs"/>
          <w:rtl/>
        </w:rPr>
        <w:t xml:space="preserve"> </w:t>
      </w:r>
      <w:r w:rsidRPr="0074537A">
        <w:rPr>
          <w:rtl/>
        </w:rPr>
        <w:t>וכל אלו האבות הם רק דוגמאות, כגון אמרו קוצר הוא מאבות מלאכות והוא הדין לכל חותך צמח מחובר לארץ אם נתכוון לאותו דבר שהוא חותך, כגון האורה בתאנים הבוצר בענבים והמוסק בזתים, שכל אחת ממלאכות אלו אין אומרים בה שהיא תולדת קוצר אלא היא הקוצר עצמה, כמו שאין אומרים בשוחט כבש או שור שהיא תולדת שוחט, או מי שבשל מאכל מן המאכלים שהיא תולדת אופה אלא היא האופה בעצמה, וזהו שאומרים בו מלאכות הרבה מעין מלאכה אחת</w:t>
      </w:r>
      <w:r w:rsidRPr="0074537A">
        <w:rPr>
          <w:rFonts w:hint="cs"/>
          <w:rtl/>
        </w:rPr>
        <w:t>.</w:t>
      </w:r>
    </w:p>
    <w:p w14:paraId="7CC90DEF" w14:textId="77777777" w:rsidR="00D31714" w:rsidRDefault="00D31714" w:rsidP="00D31714">
      <w:pPr>
        <w:pStyle w:val="1"/>
        <w:rPr>
          <w:rtl/>
        </w:rPr>
      </w:pPr>
      <w:bookmarkStart w:id="954" w:name="_Toc135129938"/>
      <w:bookmarkStart w:id="955" w:name="_Toc135669920"/>
      <w:r>
        <w:rPr>
          <w:rFonts w:hint="cs"/>
          <w:rtl/>
        </w:rPr>
        <w:t>בי' המאירי דבוצר וגודר ומוסק ואורה וכדו' הם תולדות</w:t>
      </w:r>
      <w:bookmarkEnd w:id="954"/>
      <w:bookmarkEnd w:id="955"/>
    </w:p>
    <w:p w14:paraId="4828945E" w14:textId="77777777" w:rsidR="00D31714" w:rsidRDefault="00D31714" w:rsidP="00D31714">
      <w:pPr>
        <w:pStyle w:val="afffff7"/>
        <w:rPr>
          <w:rtl/>
        </w:rPr>
      </w:pPr>
      <w:bookmarkStart w:id="956" w:name="_Toc135130033"/>
      <w:bookmarkStart w:id="957" w:name="_Toc135670231"/>
      <w:bookmarkStart w:id="958" w:name="_Toc163505532"/>
      <w:r>
        <w:rPr>
          <w:rtl/>
        </w:rPr>
        <w:t>מאירי שבת ע"ג ע"א</w:t>
      </w:r>
      <w:r>
        <w:rPr>
          <w:rFonts w:hint="cs"/>
          <w:rtl/>
        </w:rPr>
        <w:t xml:space="preserve"> ד</w:t>
      </w:r>
      <w:r>
        <w:rPr>
          <w:rFonts w:cs="Guttman Hodes" w:hint="cs"/>
          <w:rtl/>
        </w:rPr>
        <w:t>"</w:t>
      </w:r>
      <w:r>
        <w:rPr>
          <w:rFonts w:hint="cs"/>
          <w:rtl/>
        </w:rPr>
        <w:t>ה א' הזורע</w:t>
      </w:r>
      <w:bookmarkEnd w:id="956"/>
      <w:bookmarkEnd w:id="957"/>
      <w:bookmarkEnd w:id="958"/>
    </w:p>
    <w:p w14:paraId="57D0AE71" w14:textId="77777777" w:rsidR="00D31714" w:rsidRDefault="00D31714" w:rsidP="00D31714">
      <w:pPr>
        <w:pStyle w:val="afffff7"/>
        <w:rPr>
          <w:rtl/>
        </w:rPr>
      </w:pPr>
      <w:bookmarkStart w:id="959" w:name="_Toc135130034"/>
      <w:bookmarkStart w:id="960" w:name="_Toc135670232"/>
      <w:bookmarkStart w:id="961" w:name="_Toc135669921"/>
      <w:bookmarkStart w:id="962" w:name="_Toc163505533"/>
      <w:r>
        <w:rPr>
          <w:rtl/>
        </w:rPr>
        <w:t xml:space="preserve">יראים סי' רעד </w:t>
      </w:r>
      <w:r>
        <w:rPr>
          <w:rFonts w:hint="cs"/>
          <w:rtl/>
        </w:rPr>
        <w:t>ד"ה הקוצר</w:t>
      </w:r>
      <w:bookmarkEnd w:id="959"/>
      <w:bookmarkEnd w:id="960"/>
      <w:bookmarkEnd w:id="962"/>
    </w:p>
    <w:p w14:paraId="7BC10C26" w14:textId="77777777" w:rsidR="00D31714" w:rsidRDefault="00D31714" w:rsidP="00D31714">
      <w:pPr>
        <w:pStyle w:val="a7"/>
        <w:rPr>
          <w:rtl/>
        </w:rPr>
      </w:pPr>
      <w:r>
        <w:rPr>
          <w:rFonts w:hint="cs"/>
          <w:rtl/>
        </w:rPr>
        <w:t>בי' המאירי והיראים דרק קוצר הוא האב ושאר המלאכות דבוצר וגודר ומוסק הם תולדה</w:t>
      </w:r>
      <w:bookmarkEnd w:id="961"/>
    </w:p>
    <w:p w14:paraId="37FC0B9C" w14:textId="7D3B4BA8" w:rsidR="00D31714" w:rsidRPr="00D96F39" w:rsidRDefault="00D31714" w:rsidP="00BC7DC8">
      <w:pPr>
        <w:pStyle w:val="a3"/>
        <w:rPr>
          <w:rtl/>
        </w:rPr>
      </w:pPr>
      <w:bookmarkStart w:id="963" w:name="_Ref134474492"/>
      <w:r>
        <w:rPr>
          <w:rFonts w:hint="cs"/>
          <w:rtl/>
        </w:rPr>
        <w:t xml:space="preserve">כתב </w:t>
      </w:r>
      <w:r w:rsidRPr="000D4E5E">
        <w:rPr>
          <w:rStyle w:val="aff4"/>
          <w:rFonts w:hint="cs"/>
          <w:vanish/>
          <w:rtl/>
        </w:rPr>
        <w:t>-</w:t>
      </w:r>
      <w:r w:rsidRPr="00572920">
        <w:rPr>
          <w:rStyle w:val="aff4"/>
          <w:rFonts w:hint="cs"/>
          <w:rtl/>
        </w:rPr>
        <w:t>ה</w:t>
      </w:r>
      <w:r w:rsidRPr="000D4E5E">
        <w:rPr>
          <w:rStyle w:val="aff4"/>
          <w:rFonts w:hint="cs"/>
          <w:vanish/>
          <w:rtl/>
        </w:rPr>
        <w:t xml:space="preserve">&lt;. </w:t>
      </w:r>
      <w:r w:rsidRPr="000D4E5E">
        <w:rPr>
          <w:rStyle w:val="aff4"/>
          <w:vanish/>
          <w:rtl/>
        </w:rPr>
        <w:fldChar w:fldCharType="begin"/>
      </w:r>
      <w:r w:rsidRPr="000D4E5E">
        <w:rPr>
          <w:rStyle w:val="aff4"/>
          <w:vanish/>
          <w:rtl/>
        </w:rPr>
        <w:instrText xml:space="preserve"> </w:instrText>
      </w:r>
      <w:r w:rsidRPr="000D4E5E">
        <w:rPr>
          <w:rStyle w:val="aff4"/>
          <w:rFonts w:hint="cs"/>
          <w:vanish/>
        </w:rPr>
        <w:instrText>REF</w:instrText>
      </w:r>
      <w:r w:rsidRPr="000D4E5E">
        <w:rPr>
          <w:rStyle w:val="aff4"/>
          <w:rFonts w:hint="cs"/>
          <w:vanish/>
          <w:rtl/>
        </w:rPr>
        <w:instrText xml:space="preserve"> _</w:instrText>
      </w:r>
      <w:r w:rsidRPr="000D4E5E">
        <w:rPr>
          <w:rStyle w:val="aff4"/>
          <w:rFonts w:hint="cs"/>
          <w:vanish/>
        </w:rPr>
        <w:instrText>Ref134474492 \r \h</w:instrText>
      </w:r>
      <w:r w:rsidRPr="000D4E5E">
        <w:rPr>
          <w:rStyle w:val="aff4"/>
          <w:vanish/>
          <w:rtl/>
        </w:rPr>
        <w:instrText xml:space="preserve"> </w:instrText>
      </w:r>
      <w:r w:rsidRPr="000D4E5E">
        <w:rPr>
          <w:rStyle w:val="aff4"/>
          <w:vanish/>
          <w:rtl/>
        </w:rPr>
      </w:r>
      <w:r w:rsidRPr="000D4E5E">
        <w:rPr>
          <w:rStyle w:val="aff4"/>
          <w:vanish/>
          <w:rtl/>
        </w:rPr>
        <w:fldChar w:fldCharType="separate"/>
      </w:r>
      <w:r w:rsidR="00D82181">
        <w:rPr>
          <w:rStyle w:val="aff4"/>
          <w:vanish/>
          <w:cs/>
        </w:rPr>
        <w:t>‎</w:t>
      </w:r>
      <w:r w:rsidR="00D82181">
        <w:rPr>
          <w:rStyle w:val="aff4"/>
          <w:vanish/>
          <w:rtl/>
        </w:rPr>
        <w:t>ט)</w:t>
      </w:r>
      <w:r w:rsidRPr="000D4E5E">
        <w:rPr>
          <w:rStyle w:val="aff4"/>
          <w:vanish/>
          <w:rtl/>
        </w:rPr>
        <w:fldChar w:fldCharType="end"/>
      </w:r>
      <w:r w:rsidRPr="000D4E5E">
        <w:rPr>
          <w:rStyle w:val="aff4"/>
          <w:rFonts w:hint="cs"/>
          <w:vanish/>
          <w:rtl/>
        </w:rPr>
        <w:t xml:space="preserve"> &gt;</w:t>
      </w:r>
      <w:r w:rsidRPr="00572920">
        <w:rPr>
          <w:rStyle w:val="aff4"/>
          <w:rFonts w:hint="cs"/>
          <w:rtl/>
        </w:rPr>
        <w:t>מאירי במתני'</w:t>
      </w:r>
      <w:r w:rsidRPr="000D4E5E">
        <w:rPr>
          <w:rStyle w:val="aff4"/>
          <w:rFonts w:hint="cs"/>
          <w:vanish/>
          <w:rtl/>
        </w:rPr>
        <w:t>-</w:t>
      </w:r>
      <w:r>
        <w:rPr>
          <w:rFonts w:hint="cs"/>
          <w:rtl/>
        </w:rPr>
        <w:t xml:space="preserve"> </w:t>
      </w:r>
      <w:r w:rsidRPr="00A3054F">
        <w:rPr>
          <w:rStyle w:val="af2"/>
          <w:rFonts w:eastAsia="Guttman Hodes" w:hint="cs"/>
          <w:rtl/>
        </w:rPr>
        <w:t>(עג. ד"ה א' הזורע)</w:t>
      </w:r>
      <w:r w:rsidRPr="000D4E5E">
        <w:rPr>
          <w:rFonts w:hint="cs"/>
          <w:vanish/>
          <w:rtl/>
        </w:rPr>
        <w:t>=</w:t>
      </w:r>
      <w:r>
        <w:rPr>
          <w:rFonts w:hint="cs"/>
          <w:rtl/>
        </w:rPr>
        <w:t xml:space="preserve"> דקוצר הוא אב כשקוצר זרעים, והתולדות הם בוצר בענבים וגודר בתמרים ומוסק בזיתים ואורה בתאנים והדומים להם</w:t>
      </w:r>
      <w:bookmarkEnd w:id="963"/>
      <w:r>
        <w:rPr>
          <w:rFonts w:hint="cs"/>
          <w:rtl/>
        </w:rPr>
        <w:t xml:space="preserve">, וכ"כ </w:t>
      </w:r>
      <w:r w:rsidRPr="000D4E5E">
        <w:rPr>
          <w:rStyle w:val="aff4"/>
          <w:rFonts w:hint="cs"/>
          <w:vanish/>
          <w:rtl/>
        </w:rPr>
        <w:t>-</w:t>
      </w:r>
      <w:r w:rsidRPr="00572920">
        <w:rPr>
          <w:rStyle w:val="aff4"/>
          <w:rFonts w:hint="cs"/>
          <w:rtl/>
        </w:rPr>
        <w:t>ה</w:t>
      </w:r>
      <w:r w:rsidRPr="00DF369D">
        <w:rPr>
          <w:rStyle w:val="aff4"/>
          <w:rFonts w:hint="cs"/>
          <w:vanish/>
          <w:rtl/>
        </w:rPr>
        <w:t>&lt; &gt;</w:t>
      </w:r>
      <w:r w:rsidRPr="00572920">
        <w:rPr>
          <w:rStyle w:val="aff4"/>
          <w:rFonts w:hint="cs"/>
          <w:rtl/>
        </w:rPr>
        <w:t>יראים</w:t>
      </w:r>
      <w:r w:rsidRPr="000D4E5E">
        <w:rPr>
          <w:rStyle w:val="aff4"/>
          <w:rFonts w:hint="cs"/>
          <w:vanish/>
          <w:rtl/>
        </w:rPr>
        <w:t>-</w:t>
      </w:r>
      <w:r>
        <w:rPr>
          <w:rFonts w:hint="cs"/>
          <w:rtl/>
        </w:rPr>
        <w:t xml:space="preserve"> </w:t>
      </w:r>
      <w:r w:rsidRPr="00A3054F">
        <w:rPr>
          <w:rStyle w:val="af2"/>
          <w:rFonts w:eastAsia="Guttman Hodes" w:hint="cs"/>
          <w:rtl/>
        </w:rPr>
        <w:t>(סי' רע"ד ד"ה הקוצר)</w:t>
      </w:r>
      <w:r w:rsidRPr="000D4E5E">
        <w:rPr>
          <w:rFonts w:hint="cs"/>
          <w:vanish/>
          <w:rtl/>
        </w:rPr>
        <w:t>=</w:t>
      </w:r>
      <w:r>
        <w:rPr>
          <w:rFonts w:hint="cs"/>
          <w:rtl/>
        </w:rPr>
        <w:t xml:space="preserve"> דתולדה דאו' דקוצר הם בוצר וגודר וכו', דכולן מלאכה אחת הן.</w:t>
      </w:r>
    </w:p>
    <w:p w14:paraId="5B56389C" w14:textId="77777777" w:rsidR="00D31714" w:rsidRPr="00747170" w:rsidRDefault="00D31714" w:rsidP="00747170">
      <w:pPr>
        <w:pStyle w:val="a2"/>
        <w:rPr>
          <w:rtl/>
        </w:rPr>
      </w:pPr>
      <w:r w:rsidRPr="00747170">
        <w:rPr>
          <w:rtl/>
        </w:rPr>
        <w:t>ג' הקוצר והוא אב לזרעים ותולדות שלו בוצר בענבים וגודר בתמרים ומוסק בזיתים ואורה בתאנים ודומיהן</w:t>
      </w:r>
      <w:r w:rsidRPr="00747170">
        <w:rPr>
          <w:rFonts w:hint="cs"/>
          <w:rtl/>
        </w:rPr>
        <w:t>.</w:t>
      </w:r>
    </w:p>
    <w:p w14:paraId="15C6A9D1" w14:textId="77777777" w:rsidR="00D31714" w:rsidRPr="0074537A" w:rsidRDefault="00D31714" w:rsidP="00747170">
      <w:pPr>
        <w:pStyle w:val="afffff5"/>
        <w:rPr>
          <w:rtl/>
        </w:rPr>
      </w:pPr>
      <w:r w:rsidRPr="0074537A">
        <w:rPr>
          <w:rtl/>
        </w:rPr>
        <w:t xml:space="preserve">הקוצר. תולדה דאורייתא בפ' כלל גדול [ע"ג ב'] הקוצר הבוצר הגודר והמוסק והאורה כולן מלאכה אחת הן. </w:t>
      </w:r>
    </w:p>
    <w:p w14:paraId="016D750C" w14:textId="77777777" w:rsidR="00D31714" w:rsidRDefault="00D31714" w:rsidP="00D31714">
      <w:pPr>
        <w:pStyle w:val="afffff7"/>
        <w:rPr>
          <w:rtl/>
        </w:rPr>
      </w:pPr>
      <w:bookmarkStart w:id="964" w:name="_Toc135130035"/>
      <w:bookmarkStart w:id="965" w:name="_Toc135670233"/>
      <w:bookmarkStart w:id="966" w:name="_Toc163505534"/>
      <w:r>
        <w:rPr>
          <w:rtl/>
        </w:rPr>
        <w:t xml:space="preserve">כסף משנה שבת </w:t>
      </w:r>
      <w:r>
        <w:rPr>
          <w:rFonts w:hint="cs"/>
          <w:rtl/>
        </w:rPr>
        <w:t>פ"ז ה"ב</w:t>
      </w:r>
      <w:bookmarkEnd w:id="964"/>
      <w:bookmarkEnd w:id="965"/>
      <w:bookmarkEnd w:id="966"/>
    </w:p>
    <w:p w14:paraId="5F2FF0B9" w14:textId="77777777" w:rsidR="00D31714" w:rsidRDefault="00D31714" w:rsidP="00D31714">
      <w:pPr>
        <w:pStyle w:val="a7"/>
        <w:rPr>
          <w:rtl/>
        </w:rPr>
      </w:pPr>
      <w:bookmarkStart w:id="967" w:name="_Toc135129939"/>
      <w:bookmarkStart w:id="968" w:name="_Toc135669922"/>
      <w:r>
        <w:rPr>
          <w:rFonts w:hint="cs"/>
          <w:rtl/>
        </w:rPr>
        <w:t>קו' הרמ"ך על הרמב"ם דאי כל הדומה לאב הוא אב יש יותר מל"ט ועוד דלא היו במשכן</w:t>
      </w:r>
      <w:bookmarkEnd w:id="967"/>
      <w:bookmarkEnd w:id="968"/>
    </w:p>
    <w:p w14:paraId="4D32DF38" w14:textId="6446D979" w:rsidR="00D31714" w:rsidRPr="00901D14" w:rsidRDefault="00D31714" w:rsidP="00BC7DC8">
      <w:pPr>
        <w:pStyle w:val="a3"/>
        <w:rPr>
          <w:rtl/>
        </w:rPr>
      </w:pPr>
      <w:r>
        <w:rPr>
          <w:rFonts w:hint="cs"/>
          <w:rtl/>
        </w:rPr>
        <w:t xml:space="preserve">במ"ש </w:t>
      </w:r>
      <w:r w:rsidRPr="00C444C9">
        <w:rPr>
          <w:rStyle w:val="aff4"/>
          <w:rFonts w:hint="cs"/>
          <w:vanish/>
          <w:rtl/>
        </w:rPr>
        <w:t>-</w:t>
      </w:r>
      <w:r w:rsidRPr="004F32D2">
        <w:rPr>
          <w:rStyle w:val="aff4"/>
          <w:rFonts w:hint="cs"/>
          <w:rtl/>
        </w:rPr>
        <w:t>הרמב"ם</w:t>
      </w:r>
      <w:r w:rsidRPr="00C444C9">
        <w:rPr>
          <w:rStyle w:val="aff4"/>
          <w:rFonts w:hint="cs"/>
          <w:vanish/>
          <w:rtl/>
        </w:rPr>
        <w:t>-</w:t>
      </w:r>
      <w:r>
        <w:rPr>
          <w:rFonts w:hint="cs"/>
          <w:rtl/>
        </w:rPr>
        <w:t xml:space="preserve"> </w:t>
      </w:r>
      <w:r w:rsidRPr="00A3054F">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Ref130240129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w:t>
      </w:r>
      <w:r>
        <w:rPr>
          <w:rStyle w:val="af2"/>
          <w:rFonts w:eastAsia="Guttman Hodes"/>
          <w:rtl/>
        </w:rPr>
        <w:fldChar w:fldCharType="end"/>
      </w:r>
      <w:r>
        <w:rPr>
          <w:rStyle w:val="af2"/>
          <w:rFonts w:eastAsia="Guttman Hodes" w:hint="cs"/>
          <w:rtl/>
        </w:rPr>
        <w:t xml:space="preserve"> </w:t>
      </w:r>
      <w:r>
        <w:rPr>
          <w:rFonts w:hint="cs"/>
          <w:rtl/>
        </w:rPr>
        <w:t>דל"ט מלאכות וכל דבר שהוא מענינם הוא אב, כבוצר ומוסק,</w:t>
      </w:r>
      <w:r w:rsidRPr="009F663F">
        <w:rPr>
          <w:rFonts w:hint="cs"/>
          <w:rtl/>
        </w:rPr>
        <w:t xml:space="preserve"> </w:t>
      </w:r>
      <w:r>
        <w:rPr>
          <w:rFonts w:hint="cs"/>
          <w:rtl/>
        </w:rPr>
        <w:t xml:space="preserve">הביא </w:t>
      </w:r>
      <w:r w:rsidRPr="00C444C9">
        <w:rPr>
          <w:rStyle w:val="aff4"/>
          <w:rFonts w:hint="cs"/>
          <w:vanish/>
          <w:rtl/>
        </w:rPr>
        <w:t>-</w:t>
      </w:r>
      <w:r w:rsidRPr="004F32D2">
        <w:rPr>
          <w:rStyle w:val="aff4"/>
          <w:rFonts w:hint="cs"/>
          <w:rtl/>
        </w:rPr>
        <w:t>ה</w:t>
      </w:r>
      <w:r w:rsidRPr="00C444C9">
        <w:rPr>
          <w:rStyle w:val="aff4"/>
          <w:rFonts w:hint="cs"/>
          <w:vanish/>
          <w:rtl/>
        </w:rPr>
        <w:t xml:space="preserve">&lt;. </w:t>
      </w:r>
      <w:r w:rsidRPr="00C444C9">
        <w:rPr>
          <w:rStyle w:val="aff4"/>
          <w:vanish/>
          <w:rtl/>
        </w:rPr>
        <w:fldChar w:fldCharType="begin"/>
      </w:r>
      <w:r w:rsidRPr="00C444C9">
        <w:rPr>
          <w:rStyle w:val="aff4"/>
          <w:vanish/>
          <w:rtl/>
        </w:rPr>
        <w:instrText xml:space="preserve"> </w:instrText>
      </w:r>
      <w:r w:rsidRPr="00C444C9">
        <w:rPr>
          <w:rStyle w:val="aff4"/>
          <w:rFonts w:hint="cs"/>
          <w:vanish/>
        </w:rPr>
        <w:instrText>REF</w:instrText>
      </w:r>
      <w:r w:rsidRPr="00C444C9">
        <w:rPr>
          <w:rStyle w:val="aff4"/>
          <w:rFonts w:hint="cs"/>
          <w:vanish/>
          <w:rtl/>
        </w:rPr>
        <w:instrText xml:space="preserve"> _</w:instrText>
      </w:r>
      <w:r w:rsidRPr="00C444C9">
        <w:rPr>
          <w:rStyle w:val="aff4"/>
          <w:rFonts w:hint="cs"/>
          <w:vanish/>
        </w:rPr>
        <w:instrText>Ref130417432 \r \h</w:instrText>
      </w:r>
      <w:r w:rsidRPr="00C444C9">
        <w:rPr>
          <w:rStyle w:val="aff4"/>
          <w:vanish/>
          <w:rtl/>
        </w:rPr>
        <w:instrText xml:space="preserve"> </w:instrText>
      </w:r>
      <w:r w:rsidRPr="00C444C9">
        <w:rPr>
          <w:rStyle w:val="aff4"/>
          <w:vanish/>
          <w:rtl/>
        </w:rPr>
      </w:r>
      <w:r w:rsidRPr="00C444C9">
        <w:rPr>
          <w:rStyle w:val="aff4"/>
          <w:vanish/>
          <w:rtl/>
        </w:rPr>
        <w:fldChar w:fldCharType="separate"/>
      </w:r>
      <w:r w:rsidR="00D82181">
        <w:rPr>
          <w:rStyle w:val="aff4"/>
          <w:vanish/>
          <w:cs/>
        </w:rPr>
        <w:t>‎</w:t>
      </w:r>
      <w:r w:rsidR="00D82181">
        <w:rPr>
          <w:rStyle w:val="aff4"/>
          <w:vanish/>
          <w:rtl/>
        </w:rPr>
        <w:t>נו)</w:t>
      </w:r>
      <w:r w:rsidRPr="00C444C9">
        <w:rPr>
          <w:rStyle w:val="aff4"/>
          <w:vanish/>
          <w:rtl/>
        </w:rPr>
        <w:fldChar w:fldCharType="end"/>
      </w:r>
      <w:r w:rsidRPr="00C444C9">
        <w:rPr>
          <w:rStyle w:val="aff4"/>
          <w:rFonts w:hint="cs"/>
          <w:vanish/>
          <w:rtl/>
        </w:rPr>
        <w:t xml:space="preserve"> &gt;</w:t>
      </w:r>
      <w:r w:rsidRPr="004F32D2">
        <w:rPr>
          <w:rStyle w:val="aff4"/>
          <w:rFonts w:hint="cs"/>
          <w:rtl/>
        </w:rPr>
        <w:t>כס"מ</w:t>
      </w:r>
      <w:r w:rsidRPr="00C444C9">
        <w:rPr>
          <w:rStyle w:val="aff4"/>
          <w:rFonts w:hint="cs"/>
          <w:vanish/>
          <w:rtl/>
        </w:rPr>
        <w:t>-</w:t>
      </w:r>
      <w:r>
        <w:rPr>
          <w:rFonts w:hint="cs"/>
          <w:rtl/>
        </w:rPr>
        <w:t xml:space="preserve"> </w:t>
      </w:r>
      <w:r w:rsidRPr="00A3054F">
        <w:rPr>
          <w:rStyle w:val="af2"/>
          <w:rFonts w:eastAsia="Guttman Hodes" w:hint="cs"/>
          <w:rtl/>
        </w:rPr>
        <w:t>(שבת פ"ז ה"ב)</w:t>
      </w:r>
      <w:r>
        <w:rPr>
          <w:rFonts w:hint="cs"/>
          <w:rtl/>
        </w:rPr>
        <w:t xml:space="preserve"> בשם</w:t>
      </w:r>
      <w:r>
        <w:rPr>
          <w:rFonts w:hint="cs"/>
          <w:vanish/>
          <w:rtl/>
        </w:rPr>
        <w:t>=</w:t>
      </w:r>
      <w:r>
        <w:rPr>
          <w:rFonts w:hint="cs"/>
          <w:rtl/>
        </w:rPr>
        <w:t xml:space="preserve"> </w:t>
      </w:r>
      <w:r w:rsidRPr="00C444C9">
        <w:rPr>
          <w:rStyle w:val="aff4"/>
          <w:rFonts w:hint="cs"/>
          <w:vanish/>
          <w:rtl/>
        </w:rPr>
        <w:t>-</w:t>
      </w:r>
      <w:r w:rsidRPr="004F32D2">
        <w:rPr>
          <w:rStyle w:val="aff4"/>
          <w:rFonts w:hint="cs"/>
          <w:rtl/>
        </w:rPr>
        <w:t>ה</w:t>
      </w:r>
      <w:r w:rsidRPr="00C444C9">
        <w:rPr>
          <w:rStyle w:val="aff4"/>
          <w:rFonts w:hint="cs"/>
          <w:vanish/>
          <w:rtl/>
        </w:rPr>
        <w:t>&lt; &gt;</w:t>
      </w:r>
      <w:r w:rsidRPr="004F32D2">
        <w:rPr>
          <w:rStyle w:val="aff4"/>
          <w:rFonts w:hint="cs"/>
          <w:rtl/>
        </w:rPr>
        <w:t>רמ"ך</w:t>
      </w:r>
      <w:r w:rsidRPr="00C444C9">
        <w:rPr>
          <w:rStyle w:val="aff4"/>
          <w:rFonts w:hint="cs"/>
          <w:vanish/>
          <w:rtl/>
        </w:rPr>
        <w:t>-</w:t>
      </w:r>
      <w:r>
        <w:rPr>
          <w:rStyle w:val="aff4"/>
          <w:rFonts w:hint="cs"/>
          <w:vanish/>
          <w:rtl/>
        </w:rPr>
        <w:t>=</w:t>
      </w:r>
      <w:r w:rsidRPr="001C0105">
        <w:rPr>
          <w:rStyle w:val="aff4"/>
          <w:rFonts w:hint="cs"/>
          <w:rtl/>
        </w:rPr>
        <w:t xml:space="preserve"> </w:t>
      </w:r>
      <w:r w:rsidRPr="00294A8C">
        <w:rPr>
          <w:rFonts w:hint="cs"/>
          <w:rtl/>
        </w:rPr>
        <w:t xml:space="preserve">דהקשה דאי כולם חשיבי אבות, א"כ אמאי תנן שיש ל"ט אבות מלאכות, הא יש </w:t>
      </w:r>
      <w:r w:rsidRPr="00294A8C">
        <w:rPr>
          <w:rFonts w:hint="cs"/>
          <w:rtl/>
        </w:rPr>
        <w:lastRenderedPageBreak/>
        <w:t>יותר מחמישים אבות, ועוד הקשה</w:t>
      </w:r>
      <w:r w:rsidRPr="001C0105">
        <w:rPr>
          <w:rStyle w:val="aff4"/>
          <w:rFonts w:hint="cs"/>
          <w:rtl/>
        </w:rPr>
        <w:t xml:space="preserve"> </w:t>
      </w:r>
      <w:r w:rsidRPr="00C444C9">
        <w:rPr>
          <w:rStyle w:val="aff4"/>
          <w:rFonts w:hint="cs"/>
          <w:vanish/>
          <w:rtl/>
        </w:rPr>
        <w:t>-</w:t>
      </w:r>
      <w:r w:rsidRPr="004F32D2">
        <w:rPr>
          <w:rStyle w:val="aff4"/>
          <w:rFonts w:hint="cs"/>
          <w:rtl/>
        </w:rPr>
        <w:t>הרמ"ך</w:t>
      </w:r>
      <w:r w:rsidRPr="00C444C9">
        <w:rPr>
          <w:rStyle w:val="aff4"/>
          <w:rFonts w:hint="cs"/>
          <w:vanish/>
          <w:rtl/>
        </w:rPr>
        <w:t>-</w:t>
      </w:r>
      <w:r>
        <w:rPr>
          <w:rFonts w:hint="cs"/>
          <w:rtl/>
        </w:rPr>
        <w:t xml:space="preserve"> דהא אמרינן בגמ' לקמן </w:t>
      </w:r>
      <w:r w:rsidRPr="00A3054F">
        <w:rPr>
          <w:rStyle w:val="af2"/>
          <w:rFonts w:eastAsia="Guttman Hodes" w:hint="cs"/>
          <w:rtl/>
        </w:rPr>
        <w:t>(צו:, ב"ק ב.)</w:t>
      </w:r>
      <w:r>
        <w:rPr>
          <w:rFonts w:hint="cs"/>
          <w:rtl/>
        </w:rPr>
        <w:t xml:space="preserve"> דהך דהוה במשכן חשיבא קרי לה אב, ודלא הוה במשכן קרי לה תולדה, והא חופר וחורץ ומבריך ומרכיב ובוצר ומוסק, לא היו במשכן, דאין כל צורך למשכן בכל אלו, דלא היו צריכים במשכן להבריך וליטע אילנות ולא לגדור תמרים ולמסוק זיתים.</w:t>
      </w:r>
    </w:p>
    <w:p w14:paraId="33AA4FDF" w14:textId="77777777" w:rsidR="00D31714" w:rsidRPr="00747170" w:rsidRDefault="00D31714" w:rsidP="00747170">
      <w:pPr>
        <w:pStyle w:val="a2"/>
        <w:rPr>
          <w:rtl/>
        </w:rPr>
      </w:pPr>
      <w:r w:rsidRPr="00747170">
        <w:rPr>
          <w:rtl/>
        </w:rPr>
        <w:t>כל אלו המלאכות וכל שהוא מענינם וכו'. כתב הרמ"ך תימה הוא אם כל אלו אבות אמאי חשיב ארבעים חסר אחת ה"ל לחשוב יותר מחמשים ועוד דאמרינן מלאכה דהוה במשכן חשיבא קרי לה אב דלא הוה במשכן קרי לה תולדה וחופר וחורץ ומבריך ומרכיב ובוצר ומוסק לא היו במשכן שלא היה צורך המשכן לחפור ולחרוץ וגם לא היו צריכים להבריך ולהרכיב וליטע אילנות ולא לגדור תמרים ולמסוק זיתים</w:t>
      </w:r>
      <w:r w:rsidRPr="00747170">
        <w:rPr>
          <w:rFonts w:hint="cs"/>
          <w:rtl/>
        </w:rPr>
        <w:t>.</w:t>
      </w:r>
    </w:p>
    <w:p w14:paraId="27C6E066" w14:textId="77777777" w:rsidR="00D31714" w:rsidRDefault="00D31714" w:rsidP="00D31714">
      <w:pPr>
        <w:pStyle w:val="a7"/>
        <w:rPr>
          <w:rtl/>
        </w:rPr>
      </w:pPr>
      <w:bookmarkStart w:id="969" w:name="_Toc135129940"/>
      <w:bookmarkStart w:id="970" w:name="_Toc135669923"/>
      <w:r>
        <w:rPr>
          <w:rFonts w:hint="cs"/>
          <w:rtl/>
        </w:rPr>
        <w:t>בי' הרמ"ך דכל המלאכות הללו מלאכה א' היינו דהם תולדות וקמ"ל דב' תולדות חייב חטאת א'</w:t>
      </w:r>
      <w:bookmarkEnd w:id="969"/>
      <w:bookmarkEnd w:id="970"/>
    </w:p>
    <w:p w14:paraId="139B8059" w14:textId="77777777" w:rsidR="00D31714" w:rsidRPr="00042C33" w:rsidRDefault="00D31714" w:rsidP="00BC7DC8">
      <w:pPr>
        <w:pStyle w:val="a3"/>
      </w:pPr>
      <w:r>
        <w:rPr>
          <w:rFonts w:hint="cs"/>
          <w:rtl/>
        </w:rPr>
        <w:t xml:space="preserve">אלא הביא </w:t>
      </w:r>
      <w:r w:rsidRPr="00C444C9">
        <w:rPr>
          <w:rStyle w:val="aff4"/>
          <w:rFonts w:hint="cs"/>
          <w:vanish/>
          <w:rtl/>
        </w:rPr>
        <w:t>-</w:t>
      </w:r>
      <w:r w:rsidRPr="004F32D2">
        <w:rPr>
          <w:rStyle w:val="aff4"/>
          <w:rFonts w:hint="cs"/>
          <w:rtl/>
        </w:rPr>
        <w:t>הכס"מ</w:t>
      </w:r>
      <w:r w:rsidRPr="00C444C9">
        <w:rPr>
          <w:rStyle w:val="aff4"/>
          <w:rFonts w:hint="cs"/>
          <w:vanish/>
          <w:rtl/>
        </w:rPr>
        <w:t>-</w:t>
      </w:r>
      <w:r>
        <w:rPr>
          <w:rFonts w:hint="cs"/>
          <w:rtl/>
        </w:rPr>
        <w:t xml:space="preserve"> את דברי</w:t>
      </w:r>
      <w:r w:rsidRPr="00042C33">
        <w:rPr>
          <w:rFonts w:hint="cs"/>
          <w:rtl/>
        </w:rPr>
        <w:t xml:space="preserve"> </w:t>
      </w:r>
      <w:r w:rsidRPr="00C444C9">
        <w:rPr>
          <w:rStyle w:val="aff4"/>
          <w:rFonts w:hint="cs"/>
          <w:vanish/>
          <w:rtl/>
        </w:rPr>
        <w:t>-</w:t>
      </w:r>
      <w:r w:rsidRPr="004F32D2">
        <w:rPr>
          <w:rStyle w:val="aff4"/>
          <w:rFonts w:hint="cs"/>
          <w:rtl/>
        </w:rPr>
        <w:t>הרמ"ך</w:t>
      </w:r>
      <w:r w:rsidRPr="00C444C9">
        <w:rPr>
          <w:rStyle w:val="aff4"/>
          <w:rFonts w:hint="cs"/>
          <w:vanish/>
          <w:rtl/>
        </w:rPr>
        <w:t>-</w:t>
      </w:r>
      <w:r>
        <w:rPr>
          <w:rFonts w:hint="cs"/>
          <w:rtl/>
        </w:rPr>
        <w:t xml:space="preserve"> דביאר דהא דאמרינן דכולם מלאכה אחת הן, הכוונה שכל המלאכות דנוטע ומבריך ומרכיב וזומר, הם תולדה של זורע, ובוצר וגודר הם תולדה של קוצר, וביאר </w:t>
      </w:r>
      <w:r w:rsidRPr="00C444C9">
        <w:rPr>
          <w:rStyle w:val="aff4"/>
          <w:rFonts w:hint="cs"/>
          <w:vanish/>
          <w:rtl/>
        </w:rPr>
        <w:t>-</w:t>
      </w:r>
      <w:r w:rsidRPr="004F32D2">
        <w:rPr>
          <w:rStyle w:val="aff4"/>
          <w:rFonts w:hint="cs"/>
          <w:rtl/>
        </w:rPr>
        <w:t>הרמ"ך</w:t>
      </w:r>
      <w:r w:rsidRPr="00C444C9">
        <w:rPr>
          <w:rStyle w:val="aff4"/>
          <w:rFonts w:hint="cs"/>
          <w:vanish/>
          <w:rtl/>
        </w:rPr>
        <w:t>-</w:t>
      </w:r>
      <w:r>
        <w:rPr>
          <w:rFonts w:hint="cs"/>
          <w:rtl/>
        </w:rPr>
        <w:t xml:space="preserve"> דהחידוש הוא דחייב רק חטאת אחת על ב' תולדות ועל אב ותולדה.</w:t>
      </w:r>
    </w:p>
    <w:p w14:paraId="4F97A142" w14:textId="77777777" w:rsidR="00D31714" w:rsidRPr="00747170" w:rsidRDefault="00D31714" w:rsidP="00747170">
      <w:pPr>
        <w:pStyle w:val="a2"/>
        <w:rPr>
          <w:rtl/>
        </w:rPr>
      </w:pPr>
      <w:r w:rsidRPr="00747170">
        <w:rPr>
          <w:rtl/>
        </w:rPr>
        <w:t>וה"פ כולם מלאכה אחת הם וכולן תולדה מזורע ולאשמועינן אתא דאינו חייב אלא אחת על שתי תולדות ועל אב ותולדה:</w:t>
      </w:r>
    </w:p>
    <w:p w14:paraId="07125365" w14:textId="77777777" w:rsidR="00D31714" w:rsidRDefault="00D31714" w:rsidP="00D31714">
      <w:pPr>
        <w:pStyle w:val="a7"/>
      </w:pPr>
      <w:bookmarkStart w:id="971" w:name="_Toc135129941"/>
      <w:bookmarkStart w:id="972" w:name="_Toc135669924"/>
      <w:r>
        <w:rPr>
          <w:rFonts w:hint="cs"/>
          <w:rtl/>
        </w:rPr>
        <w:t>בי' המ"מ בשם י"מ דהא דכולם הם מלאכה אחת הכוונה שהם תולדות אף שחלוקים רק בשם</w:t>
      </w:r>
      <w:bookmarkEnd w:id="971"/>
      <w:bookmarkEnd w:id="972"/>
    </w:p>
    <w:p w14:paraId="65160B2D" w14:textId="7B57E39E" w:rsidR="00D31714" w:rsidRDefault="00D31714" w:rsidP="00BC7DC8">
      <w:pPr>
        <w:pStyle w:val="a3"/>
        <w:rPr>
          <w:rtl/>
        </w:rPr>
      </w:pPr>
      <w:r>
        <w:rPr>
          <w:rFonts w:hint="cs"/>
          <w:rtl/>
        </w:rPr>
        <w:t xml:space="preserve">וכן הביא </w:t>
      </w:r>
      <w:r w:rsidRPr="00C444C9">
        <w:rPr>
          <w:rStyle w:val="aff4"/>
          <w:rFonts w:hint="cs"/>
          <w:vanish/>
          <w:rtl/>
        </w:rPr>
        <w:t>-</w:t>
      </w:r>
      <w:r w:rsidRPr="004F32D2">
        <w:rPr>
          <w:rStyle w:val="aff4"/>
          <w:rFonts w:hint="cs"/>
          <w:rtl/>
        </w:rPr>
        <w:t>ה</w:t>
      </w:r>
      <w:r w:rsidRPr="00C444C9">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Ref133477457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נח)</w:t>
      </w:r>
      <w:r>
        <w:rPr>
          <w:rStyle w:val="aff4"/>
          <w:vanish/>
          <w:rtl/>
        </w:rPr>
        <w:fldChar w:fldCharType="end"/>
      </w:r>
      <w:r w:rsidRPr="00C444C9">
        <w:rPr>
          <w:rStyle w:val="aff4"/>
          <w:rFonts w:hint="cs"/>
          <w:vanish/>
          <w:rtl/>
        </w:rPr>
        <w:t xml:space="preserve"> &gt;</w:t>
      </w:r>
      <w:r w:rsidRPr="004F32D2">
        <w:rPr>
          <w:rStyle w:val="aff4"/>
          <w:rFonts w:hint="cs"/>
          <w:rtl/>
        </w:rPr>
        <w:t>מ"מ</w:t>
      </w:r>
      <w:r w:rsidRPr="00C444C9">
        <w:rPr>
          <w:rStyle w:val="aff4"/>
          <w:rFonts w:hint="cs"/>
          <w:vanish/>
          <w:rtl/>
        </w:rPr>
        <w:t>-</w:t>
      </w:r>
      <w:r>
        <w:rPr>
          <w:rFonts w:hint="cs"/>
          <w:rtl/>
        </w:rPr>
        <w:t xml:space="preserve"> </w:t>
      </w:r>
      <w:r w:rsidRPr="00A3054F">
        <w:rPr>
          <w:rStyle w:val="af2"/>
          <w:rFonts w:eastAsia="Guttman Hodes" w:hint="cs"/>
          <w:rtl/>
        </w:rPr>
        <w:t>(שבת פ"ז ה"ד)</w:t>
      </w:r>
      <w:r>
        <w:rPr>
          <w:rFonts w:hint="cs"/>
          <w:vanish/>
          <w:rtl/>
        </w:rPr>
        <w:t>=</w:t>
      </w:r>
      <w:r>
        <w:rPr>
          <w:rFonts w:hint="cs"/>
          <w:rtl/>
        </w:rPr>
        <w:t xml:space="preserve"> בשם </w:t>
      </w:r>
      <w:r w:rsidRPr="00C444C9">
        <w:rPr>
          <w:rStyle w:val="aff4"/>
          <w:rFonts w:hint="cs"/>
          <w:vanish/>
          <w:rtl/>
        </w:rPr>
        <w:t>-</w:t>
      </w:r>
      <w:r w:rsidRPr="004F32D2">
        <w:rPr>
          <w:rStyle w:val="aff4"/>
          <w:rFonts w:hint="cs"/>
          <w:rtl/>
        </w:rPr>
        <w:t>י"מ</w:t>
      </w:r>
      <w:r w:rsidRPr="00C444C9">
        <w:rPr>
          <w:rStyle w:val="aff4"/>
          <w:rFonts w:hint="cs"/>
          <w:vanish/>
          <w:rtl/>
        </w:rPr>
        <w:t>-</w:t>
      </w:r>
      <w:r>
        <w:rPr>
          <w:rFonts w:hint="cs"/>
          <w:rtl/>
        </w:rPr>
        <w:t xml:space="preserve"> </w:t>
      </w:r>
      <w:r w:rsidRPr="00CC24B8">
        <w:rPr>
          <w:rStyle w:val="af"/>
          <w:rFonts w:hint="cs"/>
          <w:rtl/>
        </w:rPr>
        <w:t>[</w:t>
      </w:r>
      <w:r w:rsidRPr="00C444C9">
        <w:rPr>
          <w:rStyle w:val="aff9"/>
          <w:rFonts w:hint="cs"/>
          <w:vanish/>
          <w:rtl/>
        </w:rPr>
        <w:t>-</w:t>
      </w:r>
      <w:r w:rsidRPr="00C444C9">
        <w:rPr>
          <w:rStyle w:val="aff9"/>
          <w:rFonts w:hint="cs"/>
          <w:rtl/>
        </w:rPr>
        <w:t>רמ"ך</w:t>
      </w:r>
      <w:r w:rsidRPr="00C444C9">
        <w:rPr>
          <w:rStyle w:val="aff9"/>
          <w:rFonts w:hint="cs"/>
          <w:vanish/>
          <w:rtl/>
        </w:rPr>
        <w:t>-</w:t>
      </w:r>
      <w:r w:rsidRPr="00CC24B8">
        <w:rPr>
          <w:rStyle w:val="af"/>
          <w:rFonts w:hint="cs"/>
          <w:rtl/>
        </w:rPr>
        <w:t xml:space="preserve"> </w:t>
      </w:r>
      <w:r w:rsidRPr="00A3054F">
        <w:rPr>
          <w:rStyle w:val="af2"/>
          <w:rFonts w:eastAsia="Guttman Rashi" w:hint="cs"/>
          <w:rtl/>
        </w:rPr>
        <w:t xml:space="preserve">(עי' אות </w:t>
      </w:r>
      <w:r w:rsidRPr="00A3054F">
        <w:rPr>
          <w:rStyle w:val="af2"/>
          <w:rFonts w:eastAsia="Guttman Rashi"/>
          <w:rtl/>
        </w:rPr>
        <w:fldChar w:fldCharType="begin"/>
      </w:r>
      <w:r w:rsidRPr="00A3054F">
        <w:rPr>
          <w:rStyle w:val="af2"/>
          <w:rFonts w:eastAsia="Guttman Rashi"/>
          <w:rtl/>
        </w:rPr>
        <w:instrText xml:space="preserve"> </w:instrText>
      </w:r>
      <w:r w:rsidRPr="00A3054F">
        <w:rPr>
          <w:rStyle w:val="af2"/>
          <w:rFonts w:eastAsia="Guttman Rashi" w:hint="cs"/>
        </w:rPr>
        <w:instrText>REF</w:instrText>
      </w:r>
      <w:r w:rsidRPr="00A3054F">
        <w:rPr>
          <w:rStyle w:val="af2"/>
          <w:rFonts w:eastAsia="Guttman Rashi" w:hint="cs"/>
          <w:rtl/>
        </w:rPr>
        <w:instrText xml:space="preserve"> _</w:instrText>
      </w:r>
      <w:r w:rsidRPr="00A3054F">
        <w:rPr>
          <w:rStyle w:val="af2"/>
          <w:rFonts w:eastAsia="Guttman Rashi" w:hint="cs"/>
        </w:rPr>
        <w:instrText>Ref133823439 \r \h</w:instrText>
      </w:r>
      <w:r w:rsidRPr="00A3054F">
        <w:rPr>
          <w:rStyle w:val="af2"/>
          <w:rFonts w:eastAsia="Guttman Rashi"/>
          <w:rtl/>
        </w:rPr>
        <w:instrText xml:space="preserve"> </w:instrText>
      </w:r>
      <w:r w:rsidRPr="00A3054F">
        <w:rPr>
          <w:rStyle w:val="af2"/>
          <w:rFonts w:eastAsia="Guttman Rashi"/>
          <w:rtl/>
        </w:rPr>
      </w:r>
      <w:r w:rsidRPr="00A3054F">
        <w:rPr>
          <w:rStyle w:val="af2"/>
          <w:rFonts w:eastAsia="Guttman Rashi"/>
          <w:rtl/>
        </w:rPr>
        <w:fldChar w:fldCharType="separate"/>
      </w:r>
      <w:r w:rsidR="00D82181">
        <w:rPr>
          <w:rStyle w:val="af2"/>
          <w:rFonts w:eastAsia="Guttman Rashi"/>
          <w:cs/>
        </w:rPr>
        <w:t>‎</w:t>
      </w:r>
      <w:r w:rsidR="00D82181">
        <w:rPr>
          <w:rStyle w:val="af2"/>
          <w:rFonts w:eastAsia="Guttman Rashi"/>
          <w:rtl/>
        </w:rPr>
        <w:t>נז)</w:t>
      </w:r>
      <w:r w:rsidRPr="00A3054F">
        <w:rPr>
          <w:rStyle w:val="af2"/>
          <w:rFonts w:eastAsia="Guttman Rashi"/>
          <w:rtl/>
        </w:rPr>
        <w:fldChar w:fldCharType="end"/>
      </w:r>
      <w:r w:rsidRPr="00CC24B8">
        <w:rPr>
          <w:rStyle w:val="af"/>
          <w:rFonts w:hint="cs"/>
          <w:rtl/>
        </w:rPr>
        <w:t>]</w:t>
      </w:r>
      <w:r>
        <w:rPr>
          <w:rFonts w:hint="cs"/>
          <w:rtl/>
        </w:rPr>
        <w:t xml:space="preserve"> דביארו דהא דכולם הם מלאכה אחת, היינו שכולם תולדות של האב, אעפ"י שהחילוק ביניהם הוא רק בשם המלאכה, וכתב </w:t>
      </w:r>
      <w:r w:rsidRPr="00C444C9">
        <w:rPr>
          <w:rStyle w:val="aff4"/>
          <w:rFonts w:hint="cs"/>
          <w:vanish/>
          <w:rtl/>
        </w:rPr>
        <w:t>-</w:t>
      </w:r>
      <w:r w:rsidRPr="004F32D2">
        <w:rPr>
          <w:rStyle w:val="aff4"/>
          <w:rFonts w:hint="cs"/>
          <w:rtl/>
        </w:rPr>
        <w:t>המ"מ</w:t>
      </w:r>
      <w:r w:rsidRPr="00C444C9">
        <w:rPr>
          <w:rStyle w:val="aff4"/>
          <w:rFonts w:hint="cs"/>
          <w:vanish/>
          <w:rtl/>
        </w:rPr>
        <w:t>-</w:t>
      </w:r>
      <w:r>
        <w:rPr>
          <w:rFonts w:hint="cs"/>
          <w:rtl/>
        </w:rPr>
        <w:t xml:space="preserve"> דביאור </w:t>
      </w:r>
      <w:r w:rsidRPr="00C444C9">
        <w:rPr>
          <w:rStyle w:val="aff4"/>
          <w:rFonts w:hint="cs"/>
          <w:vanish/>
          <w:rtl/>
        </w:rPr>
        <w:t>-</w:t>
      </w:r>
      <w:r w:rsidRPr="004F32D2">
        <w:rPr>
          <w:rStyle w:val="aff4"/>
          <w:rFonts w:hint="cs"/>
          <w:rtl/>
        </w:rPr>
        <w:t>הרמב"ם</w:t>
      </w:r>
      <w:r w:rsidRPr="00C444C9">
        <w:rPr>
          <w:rStyle w:val="aff4"/>
          <w:rFonts w:hint="cs"/>
          <w:vanish/>
          <w:rtl/>
        </w:rPr>
        <w:t>-</w:t>
      </w:r>
      <w:r>
        <w:rPr>
          <w:rFonts w:hint="cs"/>
          <w:rtl/>
        </w:rPr>
        <w:t xml:space="preserve"> </w:t>
      </w:r>
      <w:r w:rsidRPr="00A3054F">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Ref130240129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w:t>
      </w:r>
      <w:r>
        <w:rPr>
          <w:rStyle w:val="af2"/>
          <w:rFonts w:eastAsia="Guttman Hodes"/>
          <w:rtl/>
        </w:rPr>
        <w:fldChar w:fldCharType="end"/>
      </w:r>
      <w:r>
        <w:rPr>
          <w:rStyle w:val="af2"/>
          <w:rFonts w:eastAsia="Guttman Hodes" w:hint="cs"/>
          <w:rtl/>
        </w:rPr>
        <w:t xml:space="preserve"> </w:t>
      </w:r>
      <w:r>
        <w:rPr>
          <w:rFonts w:hint="cs"/>
          <w:rtl/>
        </w:rPr>
        <w:t xml:space="preserve">דכל המלאכות הללו הם אבות נראה עיקר, וזהו החידוש של הברייתא. </w:t>
      </w:r>
    </w:p>
    <w:p w14:paraId="19B7B41D" w14:textId="77777777" w:rsidR="00D31714" w:rsidRPr="00747170" w:rsidRDefault="00D31714" w:rsidP="00747170">
      <w:pPr>
        <w:pStyle w:val="a2"/>
        <w:rPr>
          <w:rtl/>
        </w:rPr>
      </w:pPr>
      <w:r w:rsidRPr="00747170">
        <w:rPr>
          <w:rFonts w:hint="cs"/>
          <w:rtl/>
        </w:rPr>
        <w:t>ויש מי שפירש כלן מלאכה אחת הן שהן תולדות לאב אחד ואף על פי שאין לנו בזה אלא שינוי השמות הפירוש הראשון נראה עיקר וזהו חידוש הברייתות:</w:t>
      </w:r>
    </w:p>
    <w:p w14:paraId="37856C31" w14:textId="77777777" w:rsidR="00D31714" w:rsidRDefault="00D31714" w:rsidP="00D31714">
      <w:pPr>
        <w:pStyle w:val="afffff7"/>
        <w:rPr>
          <w:rtl/>
        </w:rPr>
      </w:pPr>
      <w:bookmarkStart w:id="973" w:name="_Toc135670234"/>
      <w:bookmarkStart w:id="974" w:name="_Toc163505535"/>
      <w:r>
        <w:rPr>
          <w:rtl/>
        </w:rPr>
        <w:t>אור שמח שבת פ"ז ה"ד</w:t>
      </w:r>
      <w:bookmarkEnd w:id="973"/>
      <w:bookmarkEnd w:id="974"/>
    </w:p>
    <w:p w14:paraId="14945B5C" w14:textId="77777777" w:rsidR="00D31714" w:rsidRDefault="00D31714" w:rsidP="00D31714">
      <w:pPr>
        <w:pStyle w:val="a7"/>
        <w:rPr>
          <w:rtl/>
        </w:rPr>
      </w:pPr>
      <w:bookmarkStart w:id="975" w:name="_Toc135669925"/>
      <w:r>
        <w:rPr>
          <w:rFonts w:hint="cs"/>
          <w:rtl/>
        </w:rPr>
        <w:t>בי' האו"ש דלירו' תולש הוא אב דקוצר דס"ל קוצר הוא הבדלת חיות וא"כ תולש הוא האב עצמו</w:t>
      </w:r>
      <w:bookmarkEnd w:id="975"/>
    </w:p>
    <w:p w14:paraId="1A819DCF" w14:textId="7E10D878" w:rsidR="00D31714" w:rsidRPr="000B056A" w:rsidRDefault="00D31714" w:rsidP="00BC7DC8">
      <w:pPr>
        <w:pStyle w:val="a3"/>
        <w:rPr>
          <w:rtl/>
        </w:rPr>
      </w:pPr>
      <w:bookmarkStart w:id="976" w:name="_Ref135584262"/>
      <w:r>
        <w:rPr>
          <w:rFonts w:hint="cs"/>
          <w:rtl/>
        </w:rPr>
        <w:t xml:space="preserve">וכתב </w:t>
      </w:r>
      <w:r w:rsidRPr="009556BA">
        <w:rPr>
          <w:rStyle w:val="aff4"/>
          <w:rFonts w:hint="cs"/>
          <w:vanish/>
          <w:rtl/>
        </w:rPr>
        <w:t>-</w:t>
      </w:r>
      <w:r w:rsidRPr="00062375">
        <w:rPr>
          <w:rStyle w:val="aff4"/>
          <w:rFonts w:hint="cs"/>
          <w:rtl/>
        </w:rPr>
        <w:t>ה</w:t>
      </w:r>
      <w:r w:rsidRPr="00FC1595">
        <w:rPr>
          <w:rStyle w:val="aff4"/>
          <w:rFonts w:hint="cs"/>
          <w:vanish/>
          <w:rtl/>
        </w:rPr>
        <w:t xml:space="preserve">&lt;. </w:t>
      </w:r>
      <w:r w:rsidRPr="00FC1595">
        <w:rPr>
          <w:rStyle w:val="aff4"/>
          <w:vanish/>
          <w:rtl/>
        </w:rPr>
        <w:fldChar w:fldCharType="begin"/>
      </w:r>
      <w:r w:rsidRPr="00FC1595">
        <w:rPr>
          <w:rStyle w:val="aff4"/>
          <w:vanish/>
          <w:rtl/>
        </w:rPr>
        <w:instrText xml:space="preserve"> </w:instrText>
      </w:r>
      <w:r w:rsidRPr="00FC1595">
        <w:rPr>
          <w:rStyle w:val="aff4"/>
          <w:rFonts w:hint="cs"/>
          <w:vanish/>
        </w:rPr>
        <w:instrText>REF</w:instrText>
      </w:r>
      <w:r w:rsidRPr="00FC1595">
        <w:rPr>
          <w:rStyle w:val="aff4"/>
          <w:rFonts w:hint="cs"/>
          <w:vanish/>
          <w:rtl/>
        </w:rPr>
        <w:instrText xml:space="preserve"> _</w:instrText>
      </w:r>
      <w:r w:rsidRPr="00FC1595">
        <w:rPr>
          <w:rStyle w:val="aff4"/>
          <w:rFonts w:hint="cs"/>
          <w:vanish/>
        </w:rPr>
        <w:instrText>Ref135584262 \r \h</w:instrText>
      </w:r>
      <w:r w:rsidRPr="00FC1595">
        <w:rPr>
          <w:rStyle w:val="aff4"/>
          <w:vanish/>
          <w:rtl/>
        </w:rPr>
        <w:instrText xml:space="preserve"> </w:instrText>
      </w:r>
      <w:r w:rsidRPr="00FC1595">
        <w:rPr>
          <w:rStyle w:val="aff4"/>
          <w:vanish/>
          <w:rtl/>
        </w:rPr>
      </w:r>
      <w:r w:rsidRPr="00FC1595">
        <w:rPr>
          <w:rStyle w:val="aff4"/>
          <w:vanish/>
          <w:rtl/>
        </w:rPr>
        <w:fldChar w:fldCharType="separate"/>
      </w:r>
      <w:r w:rsidR="00D82181">
        <w:rPr>
          <w:rStyle w:val="aff4"/>
          <w:vanish/>
          <w:cs/>
        </w:rPr>
        <w:t>‎</w:t>
      </w:r>
      <w:r w:rsidR="00D82181">
        <w:rPr>
          <w:rStyle w:val="aff4"/>
          <w:vanish/>
          <w:rtl/>
        </w:rPr>
        <w:t>יג)</w:t>
      </w:r>
      <w:r w:rsidRPr="00FC1595">
        <w:rPr>
          <w:rStyle w:val="aff4"/>
          <w:vanish/>
          <w:rtl/>
        </w:rPr>
        <w:fldChar w:fldCharType="end"/>
      </w:r>
      <w:r w:rsidRPr="00FC1595">
        <w:rPr>
          <w:rStyle w:val="aff4"/>
          <w:rFonts w:hint="cs"/>
          <w:vanish/>
          <w:rtl/>
        </w:rPr>
        <w:t xml:space="preserve"> &gt;</w:t>
      </w:r>
      <w:r w:rsidRPr="00062375">
        <w:rPr>
          <w:rStyle w:val="aff4"/>
          <w:rFonts w:hint="cs"/>
          <w:rtl/>
        </w:rPr>
        <w:t>אור שמח</w:t>
      </w:r>
      <w:r w:rsidRPr="009556BA">
        <w:rPr>
          <w:rStyle w:val="aff4"/>
          <w:rFonts w:hint="cs"/>
          <w:vanish/>
          <w:rtl/>
        </w:rPr>
        <w:t>-</w:t>
      </w:r>
      <w:r>
        <w:rPr>
          <w:rFonts w:hint="cs"/>
          <w:rtl/>
        </w:rPr>
        <w:t xml:space="preserve"> </w:t>
      </w:r>
      <w:r w:rsidRPr="00A3054F">
        <w:rPr>
          <w:rStyle w:val="af2"/>
          <w:rFonts w:eastAsia="Guttman Hodes" w:hint="cs"/>
          <w:rtl/>
        </w:rPr>
        <w:t>(שבת פ"ז ה"ד)</w:t>
      </w:r>
      <w:r w:rsidRPr="009556BA">
        <w:rPr>
          <w:rFonts w:hint="cs"/>
          <w:vanish/>
          <w:rtl/>
        </w:rPr>
        <w:t>=</w:t>
      </w:r>
      <w:r>
        <w:rPr>
          <w:rFonts w:hint="cs"/>
          <w:rtl/>
        </w:rPr>
        <w:t xml:space="preserve"> דיש מלאכות שכלולות באב עצמו, אבל דבר שדומה לאב רק במהות המלאכה הוא תולדה, כדביאר </w:t>
      </w:r>
      <w:r w:rsidRPr="009556BA">
        <w:rPr>
          <w:rStyle w:val="aff4"/>
          <w:rFonts w:hint="cs"/>
          <w:vanish/>
          <w:rtl/>
        </w:rPr>
        <w:t>-</w:t>
      </w:r>
      <w:r w:rsidRPr="00062375">
        <w:rPr>
          <w:rStyle w:val="aff4"/>
          <w:rFonts w:hint="cs"/>
          <w:rtl/>
        </w:rPr>
        <w:t>המ"מ</w:t>
      </w:r>
      <w:r w:rsidRPr="009556BA">
        <w:rPr>
          <w:rStyle w:val="aff4"/>
          <w:rFonts w:hint="cs"/>
          <w:vanish/>
          <w:rtl/>
        </w:rPr>
        <w:t>-</w:t>
      </w:r>
      <w:r>
        <w:rPr>
          <w:rFonts w:hint="cs"/>
          <w:rtl/>
        </w:rPr>
        <w:t xml:space="preserve"> </w:t>
      </w:r>
      <w:r w:rsidRPr="00A3054F">
        <w:rPr>
          <w:rStyle w:val="af2"/>
          <w:rFonts w:eastAsia="Guttman Hodes" w:hint="cs"/>
          <w:rtl/>
        </w:rPr>
        <w:t>(שבת פ"ז ה"ד)</w:t>
      </w:r>
      <w:r>
        <w:rPr>
          <w:rFonts w:hint="cs"/>
          <w:rtl/>
        </w:rPr>
        <w:t xml:space="preserve"> וכן הביא הירושלמי </w:t>
      </w:r>
      <w:r w:rsidRPr="00A3054F">
        <w:rPr>
          <w:rStyle w:val="af2"/>
          <w:rFonts w:eastAsia="Guttman Hodes" w:hint="cs"/>
          <w:rtl/>
        </w:rPr>
        <w:t>(שבת פ"ז ה"ב, מד.)</w:t>
      </w:r>
      <w:r>
        <w:rPr>
          <w:rFonts w:hint="cs"/>
          <w:rtl/>
        </w:rPr>
        <w:t xml:space="preserve"> </w:t>
      </w:r>
      <w:r>
        <w:rPr>
          <w:rtl/>
        </w:rPr>
        <w:t>דתני רבי חייא הקוצר הבוצר המוסק הגודר התולש האורה כולהן משום</w:t>
      </w:r>
      <w:r w:rsidRPr="0080514C">
        <w:rPr>
          <w:rtl/>
        </w:rPr>
        <w:t xml:space="preserve"> קוצר</w:t>
      </w:r>
      <w:r w:rsidRPr="0080514C">
        <w:rPr>
          <w:rFonts w:hint="cs"/>
          <w:rtl/>
        </w:rPr>
        <w:t xml:space="preserve">, אך כתב </w:t>
      </w:r>
      <w:r w:rsidRPr="00A86C7D">
        <w:rPr>
          <w:rStyle w:val="aff4"/>
          <w:rFonts w:hint="cs"/>
          <w:vanish/>
          <w:rtl/>
        </w:rPr>
        <w:t>-</w:t>
      </w:r>
      <w:r w:rsidRPr="00DC239A">
        <w:rPr>
          <w:rStyle w:val="aff4"/>
          <w:rFonts w:hint="cs"/>
          <w:rtl/>
        </w:rPr>
        <w:t>האו"ש</w:t>
      </w:r>
      <w:r w:rsidRPr="00A86C7D">
        <w:rPr>
          <w:rStyle w:val="aff4"/>
          <w:rFonts w:hint="cs"/>
          <w:vanish/>
          <w:rtl/>
        </w:rPr>
        <w:t>-</w:t>
      </w:r>
      <w:r w:rsidRPr="0080514C">
        <w:rPr>
          <w:rFonts w:hint="cs"/>
          <w:rtl/>
        </w:rPr>
        <w:t xml:space="preserve"> דהירושלמי מנה את תולש בכלל האבות, ופליג על הבבלי שלא הביא את תולש בכלל המלאכות דהם אב דקוצר, ועיי"ש במה שהאריך </w:t>
      </w:r>
      <w:r w:rsidRPr="00A86C7D">
        <w:rPr>
          <w:rStyle w:val="aff4"/>
          <w:rFonts w:hint="cs"/>
          <w:vanish/>
          <w:rtl/>
        </w:rPr>
        <w:t>-</w:t>
      </w:r>
      <w:r w:rsidRPr="00DC239A">
        <w:rPr>
          <w:rStyle w:val="aff4"/>
          <w:rFonts w:hint="cs"/>
          <w:rtl/>
        </w:rPr>
        <w:t>ה</w:t>
      </w:r>
      <w:r w:rsidRPr="001440B4">
        <w:rPr>
          <w:rStyle w:val="aff4"/>
          <w:rFonts w:hint="cs"/>
          <w:vanish/>
          <w:rtl/>
        </w:rPr>
        <w:t>&lt; &gt;</w:t>
      </w:r>
      <w:r w:rsidRPr="00DC239A">
        <w:rPr>
          <w:rStyle w:val="aff4"/>
          <w:rFonts w:hint="cs"/>
          <w:rtl/>
        </w:rPr>
        <w:t>או"ש</w:t>
      </w:r>
      <w:r w:rsidRPr="00A86C7D">
        <w:rPr>
          <w:rStyle w:val="aff4"/>
          <w:rFonts w:hint="cs"/>
          <w:vanish/>
          <w:rtl/>
        </w:rPr>
        <w:t>-</w:t>
      </w:r>
      <w:r w:rsidRPr="0080514C">
        <w:rPr>
          <w:rFonts w:hint="cs"/>
          <w:rtl/>
        </w:rPr>
        <w:t xml:space="preserve"> </w:t>
      </w:r>
      <w:r w:rsidRPr="00A3054F">
        <w:rPr>
          <w:rStyle w:val="af2"/>
          <w:rFonts w:eastAsia="Guttman Hodes" w:hint="cs"/>
          <w:rtl/>
        </w:rPr>
        <w:t xml:space="preserve">(שבת פ"ז ה"ד ד"ה </w:t>
      </w:r>
      <w:r w:rsidRPr="00A3054F">
        <w:rPr>
          <w:rStyle w:val="af2"/>
          <w:rFonts w:eastAsia="Guttman Hodes"/>
          <w:rtl/>
        </w:rPr>
        <w:t>אבל אעפ"כ</w:t>
      </w:r>
      <w:r w:rsidRPr="00A3054F">
        <w:rPr>
          <w:rStyle w:val="af2"/>
          <w:rFonts w:eastAsia="Guttman Hodes" w:hint="cs"/>
          <w:rtl/>
        </w:rPr>
        <w:t>, ד"ה עתה)</w:t>
      </w:r>
      <w:r w:rsidRPr="0080514C">
        <w:rPr>
          <w:rtl/>
        </w:rPr>
        <w:t xml:space="preserve"> </w:t>
      </w:r>
      <w:r w:rsidRPr="00A86C7D">
        <w:rPr>
          <w:rFonts w:hint="cs"/>
          <w:vanish/>
          <w:rtl/>
        </w:rPr>
        <w:t>=</w:t>
      </w:r>
      <w:r w:rsidRPr="0080514C">
        <w:rPr>
          <w:rFonts w:hint="cs"/>
          <w:rtl/>
        </w:rPr>
        <w:t xml:space="preserve">לבאר דלדעת רבנן דקיסרין בירושלמי </w:t>
      </w:r>
      <w:r w:rsidRPr="00A3054F">
        <w:rPr>
          <w:rStyle w:val="af2"/>
          <w:rFonts w:eastAsia="Guttman Hodes" w:hint="cs"/>
          <w:rtl/>
        </w:rPr>
        <w:t>(פ"ז ה"ב, מח:)</w:t>
      </w:r>
      <w:r w:rsidRPr="0080514C">
        <w:rPr>
          <w:rFonts w:hint="cs"/>
          <w:rtl/>
        </w:rPr>
        <w:t xml:space="preserve"> דהצד דגים וכל דבר שמבדילו מחיותו, חייב משום קוצר, א"כ כל תולש פרי הוא מבדילו מחיותו, וזהו עצם האב עצמו ולכן תולש הוא אב לירושלמי, אבל לבבלי דקוצר הוא קצירה ממחובר, א"כ יש חילוק בין קוצר דהוא כדרך המלאכה בכלי, לבין תולש פרי שהוא ביד ויש שינוי במעשה המלאכה</w:t>
      </w:r>
      <w:r w:rsidRPr="00062375">
        <w:rPr>
          <w:rStyle w:val="af"/>
          <w:rFonts w:hint="cs"/>
          <w:rtl/>
        </w:rPr>
        <w:t>.</w:t>
      </w:r>
      <w:bookmarkEnd w:id="976"/>
      <w:r w:rsidRPr="00062375">
        <w:rPr>
          <w:rStyle w:val="af"/>
          <w:rFonts w:hint="cs"/>
          <w:rtl/>
        </w:rPr>
        <w:t xml:space="preserve"> </w:t>
      </w:r>
      <w:r w:rsidRPr="003E0220">
        <w:rPr>
          <w:rStyle w:val="af"/>
          <w:rFonts w:hint="cs"/>
          <w:rtl/>
        </w:rPr>
        <w:t xml:space="preserve">[ועיי"ש עוד במה שהאריך </w:t>
      </w:r>
      <w:r w:rsidRPr="00735214">
        <w:rPr>
          <w:rStyle w:val="aff9"/>
          <w:rFonts w:hint="cs"/>
          <w:vanish/>
          <w:rtl/>
        </w:rPr>
        <w:t>-</w:t>
      </w:r>
      <w:r w:rsidRPr="003E0220">
        <w:rPr>
          <w:rStyle w:val="aff9"/>
          <w:rFonts w:hint="cs"/>
          <w:rtl/>
        </w:rPr>
        <w:t>האו"ש</w:t>
      </w:r>
      <w:r w:rsidRPr="00735214">
        <w:rPr>
          <w:rStyle w:val="aff9"/>
          <w:rFonts w:hint="cs"/>
          <w:vanish/>
          <w:rtl/>
        </w:rPr>
        <w:t>-</w:t>
      </w:r>
      <w:r w:rsidRPr="003E0220">
        <w:rPr>
          <w:rStyle w:val="af"/>
          <w:rFonts w:hint="cs"/>
          <w:rtl/>
        </w:rPr>
        <w:t xml:space="preserve"> לבאר את החילוק בין תולש מגידולי קרקע, לתולש מהחי דהוא גוזז, לדעת הבבלי ולדעת הירושלמי</w:t>
      </w:r>
      <w:r w:rsidRPr="00735214">
        <w:rPr>
          <w:rStyle w:val="af"/>
          <w:rFonts w:hint="cs"/>
          <w:rtl/>
        </w:rPr>
        <w:t>].</w:t>
      </w:r>
    </w:p>
    <w:p w14:paraId="798FC951" w14:textId="77777777" w:rsidR="00D31714" w:rsidRPr="00747170" w:rsidRDefault="00D31714" w:rsidP="00747170">
      <w:pPr>
        <w:pStyle w:val="a2"/>
        <w:rPr>
          <w:rtl/>
        </w:rPr>
      </w:pPr>
      <w:r w:rsidRPr="00747170">
        <w:rPr>
          <w:rtl/>
        </w:rPr>
        <w:t>הנה דברי רבינו מבוארים, דיש מה שנכלל בהאב, והוא שהסוג אחד, אבל יש שאינו אלא דומה לו במהות המלאכה, זה מקרי תולדה, ועיין הרב המגיד, וזהו דמייתי בגמרא תנא לאסופי על האב ולבארו, שבכל האופנים הוא אב, וזהו דאמר (שבת עג, א) תנא החורש והחופר והחורץ כולן מלאכה אחת הן, וכן הא דאמר (שם) הקוצר תנא הקוצר הבוצר והגודר והמסיק והאורה כולן מלאכה אחת הן, וזהו דאמר בירושלמי (שבת פ"ז ה"ב) ר' יוחנן ור"ל עבדין הוי בהאי פירקא, [תלת שנין ופלוג] אפקון מינה ארבעין חסר אחת תולדות על כל חדא וחדא כו', בניה דר"ח רבא עבדין הוי' כו' אפקון מינה שית מילין על כל חדא וחדא כו', הווי בשיטת אבוהו, דתני ר"ח הקוצר הבוצר המוסק הגודר התולש האורה כולהון משום קוצר, דזהו פירוש', תולדות של כל אב מלאכה הוין ל"ט, אבל מה שהן בסוג אחד והוי ממש אותה המלאכה אלא שהן חלוקין לפי השתנות וחילוק הנפעלים זה הוי שיתא על כל חדא, וזה ברור, ולכן כתיב לעיל תולדות על כל חדא וחדא, וכאן מילין על כל חדא וחדא, ועיין.</w:t>
      </w:r>
    </w:p>
    <w:p w14:paraId="1C2B0E55" w14:textId="77777777" w:rsidR="00D31714" w:rsidRPr="0074537A" w:rsidRDefault="00D31714" w:rsidP="00747170">
      <w:pPr>
        <w:pStyle w:val="afffff5"/>
        <w:rPr>
          <w:rtl/>
        </w:rPr>
      </w:pPr>
      <w:r w:rsidRPr="0074537A">
        <w:rPr>
          <w:rtl/>
        </w:rPr>
        <w:t>אמנם בתולש פליגי הירושלמי עם הבבלי, דשיטת הירושלמי היא דתולש הוי בעצם סוג מלאכה דקוצר, וחייב משום אב, וזה דחשיב שית מילין, ושיטת הבבלי דלא מייתי תולש בהך ברייתא דהירושלמי מייחסה לר' חייא סברה דתולש אינה אלא תולדה דקוצר, וכן כתב רבינו פרק ח' הלכה ג', ותולש תולדה דקוצר, ונפ"מ לפי מה שפלפלו רבנן בתוספות (שם עג, ב ד"ה משום זורע) דצריך להתרות על תולדה משום אב שלו, וכמו שהוכיחו מפרק תולין (שם קלח, א) גבי משמר משום מאי מתרינן בי', יעו"ש</w:t>
      </w:r>
      <w:r w:rsidRPr="0074537A">
        <w:rPr>
          <w:rFonts w:hint="cs"/>
          <w:rtl/>
        </w:rPr>
        <w:t xml:space="preserve"> וכו'</w:t>
      </w:r>
      <w:r w:rsidRPr="0074537A">
        <w:rPr>
          <w:rtl/>
        </w:rPr>
        <w:t>.</w:t>
      </w:r>
    </w:p>
    <w:p w14:paraId="3AD1878E" w14:textId="77777777" w:rsidR="00D31714" w:rsidRPr="0074537A" w:rsidRDefault="00D31714" w:rsidP="00747170">
      <w:pPr>
        <w:pStyle w:val="afffff5"/>
        <w:rPr>
          <w:rtl/>
        </w:rPr>
      </w:pPr>
      <w:r w:rsidRPr="0074537A">
        <w:rPr>
          <w:rtl/>
        </w:rPr>
        <w:t>אבל אעפ"כ צריך לחלק בין אבות לתולדות, דאיתא בירושלמי (שבת פ"ז ה"ב) רבנן דקיסרין אמרי, ההן דצייד כוורא, וכל הדבר שאתה מבדילו מחיותו חייב משום קוצר, ואפ"ה אמר שם באותה הלכה התולש כנף מן העוף חייב משום גוזז כו', ולא אמר משום קוצר, ושם נחית למנין, דאמר, תולשה מורטה וקוטמה חייב שלש, ולא אמר ארבע, וצריך לומר דתולש כנף הווה מלאכה דגוזז ואב שלה, והא דמבדיל דבר מחיותו אינו אלא תולדה דקצירת פירות ותבואה, א"כ אין המלאכה מתיחסת רק אל האב, ולא אל התולדה, לכן אינו חייב אלא אחת</w:t>
      </w:r>
      <w:r w:rsidRPr="0074537A">
        <w:rPr>
          <w:rFonts w:hint="cs"/>
          <w:rtl/>
        </w:rPr>
        <w:t xml:space="preserve"> וכו'</w:t>
      </w:r>
      <w:r w:rsidRPr="0074537A">
        <w:rPr>
          <w:rtl/>
        </w:rPr>
        <w:t>.</w:t>
      </w:r>
    </w:p>
    <w:p w14:paraId="134A20AA" w14:textId="77777777" w:rsidR="00D31714" w:rsidRPr="0074537A" w:rsidRDefault="00D31714" w:rsidP="00747170">
      <w:pPr>
        <w:pStyle w:val="afffff5"/>
        <w:rPr>
          <w:rtl/>
        </w:rPr>
      </w:pPr>
      <w:r w:rsidRPr="0074537A">
        <w:rPr>
          <w:rtl/>
        </w:rPr>
        <w:t>ולכאורה מכאן ראי' דסוגי' דבכורות אזלא בשיטת רבנן דקסרי דירושלמי (שבת פ"ז ה"ב), דאף באינו מחובר לקרקע חייב משום קוצר אם מבדילו מחיותו, דזהו עצם האב, והוי כמו זומר, דאמרו (שם עג, ב) דהוי עצם האב דנוטע, שעצם האב הוא מה שמצמיח הפרי, והפעולה קרובה להביא הגידול כמו שפועלת הנטיעה, אלא משום דמלאכת הקצירה אינה כ"א בכלי, לא דרך תלישה, להכי הוי תולש תולדה, וזה כפי מה שכתב רבינו, ודלא כירושלמי.</w:t>
      </w:r>
    </w:p>
    <w:p w14:paraId="1DD3D793" w14:textId="77777777" w:rsidR="00D31714" w:rsidRDefault="00D31714" w:rsidP="00D31714">
      <w:pPr>
        <w:pStyle w:val="1"/>
        <w:rPr>
          <w:rtl/>
        </w:rPr>
      </w:pPr>
      <w:bookmarkStart w:id="977" w:name="_Toc135669926"/>
      <w:bookmarkStart w:id="978" w:name="_Toc135129942"/>
      <w:r>
        <w:rPr>
          <w:rFonts w:hint="cs"/>
          <w:rtl/>
        </w:rPr>
        <w:t>בי' האגל"ט באו"ז דדבר שדרכו לתלוש הוי אב אף להרמב"ם</w:t>
      </w:r>
      <w:bookmarkEnd w:id="977"/>
    </w:p>
    <w:p w14:paraId="6301F69F" w14:textId="77777777" w:rsidR="00D31714" w:rsidRDefault="00D31714" w:rsidP="00D31714">
      <w:pPr>
        <w:pStyle w:val="afffff7"/>
        <w:rPr>
          <w:rtl/>
        </w:rPr>
      </w:pPr>
      <w:bookmarkStart w:id="979" w:name="_Toc135670235"/>
      <w:bookmarkStart w:id="980" w:name="_Toc163505536"/>
      <w:r>
        <w:rPr>
          <w:rtl/>
        </w:rPr>
        <w:t xml:space="preserve">אור זרוע </w:t>
      </w:r>
      <w:r>
        <w:rPr>
          <w:rFonts w:hint="cs"/>
          <w:rtl/>
        </w:rPr>
        <w:t>ח"ב</w:t>
      </w:r>
      <w:r>
        <w:rPr>
          <w:rtl/>
        </w:rPr>
        <w:t xml:space="preserve"> הלכות שבת סימן נו</w:t>
      </w:r>
      <w:bookmarkEnd w:id="979"/>
      <w:bookmarkEnd w:id="980"/>
    </w:p>
    <w:p w14:paraId="5D5F11E5" w14:textId="77777777" w:rsidR="00D31714" w:rsidRDefault="00D31714" w:rsidP="00D31714">
      <w:pPr>
        <w:pStyle w:val="a7"/>
        <w:rPr>
          <w:rtl/>
        </w:rPr>
      </w:pPr>
      <w:bookmarkStart w:id="981" w:name="_Toc135669927"/>
      <w:r>
        <w:rPr>
          <w:rFonts w:hint="cs"/>
          <w:rtl/>
        </w:rPr>
        <w:t>בי' האו"ז דבירושלמי מבואר כדעת רש"י דתולש הוא תולדה דקוצר</w:t>
      </w:r>
      <w:bookmarkEnd w:id="981"/>
    </w:p>
    <w:p w14:paraId="233E59C2" w14:textId="12A04D4F" w:rsidR="00D31714" w:rsidRDefault="00D31714" w:rsidP="00BC7DC8">
      <w:pPr>
        <w:pStyle w:val="a3"/>
        <w:rPr>
          <w:rtl/>
        </w:rPr>
      </w:pPr>
      <w:bookmarkStart w:id="982" w:name="_Ref135585720"/>
      <w:r>
        <w:rPr>
          <w:rFonts w:hint="cs"/>
          <w:rtl/>
        </w:rPr>
        <w:t xml:space="preserve">אמנם יעוי' בדברי </w:t>
      </w:r>
      <w:r w:rsidRPr="008F20A0">
        <w:rPr>
          <w:rStyle w:val="aff4"/>
          <w:rFonts w:hint="cs"/>
          <w:vanish/>
          <w:rtl/>
        </w:rPr>
        <w:t>-</w:t>
      </w:r>
      <w:r w:rsidRPr="00653431">
        <w:rPr>
          <w:rStyle w:val="aff4"/>
          <w:rFonts w:hint="cs"/>
          <w:rtl/>
        </w:rPr>
        <w:t>ה</w:t>
      </w:r>
      <w:r w:rsidRPr="008F20A0">
        <w:rPr>
          <w:rStyle w:val="aff4"/>
          <w:rFonts w:hint="cs"/>
          <w:vanish/>
          <w:rtl/>
        </w:rPr>
        <w:t xml:space="preserve">&lt;. </w:t>
      </w:r>
      <w:r w:rsidRPr="008F20A0">
        <w:rPr>
          <w:rStyle w:val="aff4"/>
          <w:vanish/>
          <w:rtl/>
        </w:rPr>
        <w:fldChar w:fldCharType="begin"/>
      </w:r>
      <w:r w:rsidRPr="008F20A0">
        <w:rPr>
          <w:rStyle w:val="aff4"/>
          <w:vanish/>
          <w:rtl/>
        </w:rPr>
        <w:instrText xml:space="preserve"> </w:instrText>
      </w:r>
      <w:r w:rsidRPr="008F20A0">
        <w:rPr>
          <w:rStyle w:val="aff4"/>
          <w:rFonts w:hint="cs"/>
          <w:vanish/>
        </w:rPr>
        <w:instrText>REF</w:instrText>
      </w:r>
      <w:r w:rsidRPr="008F20A0">
        <w:rPr>
          <w:rStyle w:val="aff4"/>
          <w:rFonts w:hint="cs"/>
          <w:vanish/>
          <w:rtl/>
        </w:rPr>
        <w:instrText xml:space="preserve"> _</w:instrText>
      </w:r>
      <w:r w:rsidRPr="008F20A0">
        <w:rPr>
          <w:rStyle w:val="aff4"/>
          <w:rFonts w:hint="cs"/>
          <w:vanish/>
        </w:rPr>
        <w:instrText>Ref135585720 \r \h</w:instrText>
      </w:r>
      <w:r w:rsidRPr="008F20A0">
        <w:rPr>
          <w:rStyle w:val="aff4"/>
          <w:vanish/>
          <w:rtl/>
        </w:rPr>
        <w:instrText xml:space="preserve"> </w:instrText>
      </w:r>
      <w:r w:rsidRPr="008F20A0">
        <w:rPr>
          <w:rStyle w:val="aff4"/>
          <w:vanish/>
          <w:rtl/>
        </w:rPr>
      </w:r>
      <w:r w:rsidRPr="008F20A0">
        <w:rPr>
          <w:rStyle w:val="aff4"/>
          <w:vanish/>
          <w:rtl/>
        </w:rPr>
        <w:fldChar w:fldCharType="separate"/>
      </w:r>
      <w:r w:rsidR="00D82181">
        <w:rPr>
          <w:rStyle w:val="aff4"/>
          <w:vanish/>
          <w:cs/>
        </w:rPr>
        <w:t>‎</w:t>
      </w:r>
      <w:r w:rsidR="00D82181">
        <w:rPr>
          <w:rStyle w:val="aff4"/>
          <w:vanish/>
          <w:rtl/>
        </w:rPr>
        <w:t>יד)</w:t>
      </w:r>
      <w:r w:rsidRPr="008F20A0">
        <w:rPr>
          <w:rStyle w:val="aff4"/>
          <w:vanish/>
          <w:rtl/>
        </w:rPr>
        <w:fldChar w:fldCharType="end"/>
      </w:r>
      <w:r w:rsidRPr="008F20A0">
        <w:rPr>
          <w:rStyle w:val="aff4"/>
          <w:rFonts w:hint="cs"/>
          <w:vanish/>
          <w:rtl/>
        </w:rPr>
        <w:t xml:space="preserve"> &gt;</w:t>
      </w:r>
      <w:r w:rsidRPr="00653431">
        <w:rPr>
          <w:rStyle w:val="aff4"/>
          <w:rFonts w:hint="cs"/>
          <w:rtl/>
        </w:rPr>
        <w:t>או"ז</w:t>
      </w:r>
      <w:bookmarkEnd w:id="982"/>
      <w:r w:rsidRPr="008F20A0">
        <w:rPr>
          <w:rStyle w:val="aff4"/>
          <w:rFonts w:hint="cs"/>
          <w:vanish/>
          <w:rtl/>
        </w:rPr>
        <w:t>-</w:t>
      </w:r>
      <w:r>
        <w:rPr>
          <w:rFonts w:hint="cs"/>
          <w:rtl/>
        </w:rPr>
        <w:t xml:space="preserve"> </w:t>
      </w:r>
      <w:r w:rsidRPr="00A3054F">
        <w:rPr>
          <w:rStyle w:val="af2"/>
          <w:rFonts w:eastAsia="Guttman Hodes" w:hint="cs"/>
          <w:rtl/>
        </w:rPr>
        <w:t>(ח"ב שבת סי' נ"ו ד"ה הקוצר)</w:t>
      </w:r>
      <w:r w:rsidRPr="008F20A0">
        <w:rPr>
          <w:rFonts w:hint="cs"/>
          <w:vanish/>
          <w:rtl/>
        </w:rPr>
        <w:t>=</w:t>
      </w:r>
      <w:r>
        <w:rPr>
          <w:rFonts w:hint="cs"/>
          <w:rtl/>
        </w:rPr>
        <w:t xml:space="preserve"> דכתב דמהא דהביא הירושלמי </w:t>
      </w:r>
      <w:r w:rsidRPr="00A3054F">
        <w:rPr>
          <w:rStyle w:val="af2"/>
          <w:rFonts w:eastAsia="Guttman Hodes" w:hint="cs"/>
          <w:rtl/>
        </w:rPr>
        <w:t>(שבת פ"ז ה"ב, מד.)</w:t>
      </w:r>
      <w:r w:rsidRPr="008F20A0">
        <w:rPr>
          <w:rtl/>
        </w:rPr>
        <w:t xml:space="preserve"> </w:t>
      </w:r>
      <w:r>
        <w:rPr>
          <w:rtl/>
        </w:rPr>
        <w:t>דתני רבי חייא הקוצר הבוצר המוסק הגודר התולש האורה כולהן משום קוצר</w:t>
      </w:r>
      <w:r>
        <w:rPr>
          <w:rFonts w:hint="cs"/>
          <w:rtl/>
        </w:rPr>
        <w:t xml:space="preserve">, מוכח כדברי </w:t>
      </w:r>
      <w:r w:rsidRPr="009556BA">
        <w:rPr>
          <w:rStyle w:val="aff4"/>
          <w:rFonts w:hint="cs"/>
          <w:vanish/>
          <w:rtl/>
        </w:rPr>
        <w:t>-</w:t>
      </w:r>
      <w:r w:rsidRPr="00062375">
        <w:rPr>
          <w:rStyle w:val="aff4"/>
          <w:rFonts w:hint="cs"/>
          <w:rtl/>
        </w:rPr>
        <w:t>רש"י</w:t>
      </w:r>
      <w:r w:rsidRPr="009556BA">
        <w:rPr>
          <w:rStyle w:val="aff4"/>
          <w:rFonts w:hint="cs"/>
          <w:vanish/>
          <w:rtl/>
        </w:rPr>
        <w:t>-</w:t>
      </w:r>
      <w:r>
        <w:rPr>
          <w:rFonts w:hint="cs"/>
          <w:rtl/>
        </w:rPr>
        <w:t xml:space="preserve"> </w:t>
      </w:r>
      <w:r w:rsidRPr="00A3054F">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Ref135668785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א)</w:t>
      </w:r>
      <w:r>
        <w:rPr>
          <w:rStyle w:val="af2"/>
          <w:rFonts w:eastAsia="Guttman Hodes"/>
          <w:rtl/>
        </w:rPr>
        <w:fldChar w:fldCharType="end"/>
      </w:r>
      <w:r>
        <w:rPr>
          <w:rFonts w:hint="cs"/>
          <w:rtl/>
        </w:rPr>
        <w:t xml:space="preserve"> דתולש הוא תולדה דקוצר.</w:t>
      </w:r>
    </w:p>
    <w:p w14:paraId="2A06199B" w14:textId="77777777" w:rsidR="00D31714" w:rsidRPr="00747170" w:rsidRDefault="00D31714" w:rsidP="00747170">
      <w:pPr>
        <w:pStyle w:val="a2"/>
        <w:rPr>
          <w:rtl/>
        </w:rPr>
      </w:pPr>
      <w:r w:rsidRPr="00747170">
        <w:rPr>
          <w:rtl/>
        </w:rPr>
        <w:t>פירש"י תולש תולדה דקוצר ובירוש' פ' כלל גדול תני ר' חייא הקוצר והבוצר המוסק והגודר התולש האורה כולהו משום קוצר סיועא לרש"י התולש תולדה דקוצר</w:t>
      </w:r>
      <w:r w:rsidRPr="00747170">
        <w:rPr>
          <w:rFonts w:hint="cs"/>
          <w:rtl/>
        </w:rPr>
        <w:t>.</w:t>
      </w:r>
    </w:p>
    <w:p w14:paraId="471116A4" w14:textId="77777777" w:rsidR="00D31714" w:rsidRDefault="00D31714" w:rsidP="00D31714">
      <w:pPr>
        <w:pStyle w:val="a7"/>
        <w:rPr>
          <w:rtl/>
        </w:rPr>
      </w:pPr>
      <w:bookmarkStart w:id="983" w:name="_Toc135669928"/>
      <w:r>
        <w:rPr>
          <w:rFonts w:hint="cs"/>
          <w:rtl/>
        </w:rPr>
        <w:t>בי' האו"ז דל"ק על הרמב"ם דכתב דכל המלאכות הם אב מהירו' דכן משמע בברייתא דחורש</w:t>
      </w:r>
      <w:bookmarkEnd w:id="983"/>
    </w:p>
    <w:p w14:paraId="759E686B" w14:textId="02DBCAC6" w:rsidR="00D31714" w:rsidRDefault="00D31714" w:rsidP="00BC7DC8">
      <w:pPr>
        <w:pStyle w:val="a3"/>
      </w:pPr>
      <w:r>
        <w:rPr>
          <w:rFonts w:hint="cs"/>
          <w:rtl/>
        </w:rPr>
        <w:t xml:space="preserve">וכתב </w:t>
      </w:r>
      <w:r w:rsidRPr="00D23414">
        <w:rPr>
          <w:rStyle w:val="aff4"/>
          <w:rFonts w:hint="cs"/>
          <w:vanish/>
          <w:rtl/>
        </w:rPr>
        <w:t>-</w:t>
      </w:r>
      <w:r w:rsidRPr="00653431">
        <w:rPr>
          <w:rStyle w:val="aff4"/>
          <w:rFonts w:hint="cs"/>
          <w:rtl/>
        </w:rPr>
        <w:t>האו"ז</w:t>
      </w:r>
      <w:r w:rsidRPr="00D23414">
        <w:rPr>
          <w:rStyle w:val="aff4"/>
          <w:rFonts w:hint="cs"/>
          <w:vanish/>
          <w:rtl/>
        </w:rPr>
        <w:t>-</w:t>
      </w:r>
      <w:r>
        <w:rPr>
          <w:rFonts w:hint="cs"/>
          <w:rtl/>
        </w:rPr>
        <w:t xml:space="preserve"> דמדברי הירושלמי </w:t>
      </w:r>
      <w:r w:rsidRPr="00A3054F">
        <w:rPr>
          <w:rStyle w:val="af2"/>
          <w:rFonts w:eastAsia="Guttman Hodes" w:hint="cs"/>
          <w:rtl/>
        </w:rPr>
        <w:t>(שבת פ"ז ה"ב, מד.)</w:t>
      </w:r>
      <w:r w:rsidRPr="008F20A0">
        <w:rPr>
          <w:rtl/>
        </w:rPr>
        <w:t xml:space="preserve"> </w:t>
      </w:r>
      <w:r>
        <w:rPr>
          <w:rtl/>
        </w:rPr>
        <w:t>דתני רבי חייא הקוצר הבוצר המוסק הגודר התולש האורה כולהן משום קוצר</w:t>
      </w:r>
      <w:r>
        <w:rPr>
          <w:rFonts w:hint="cs"/>
          <w:rtl/>
        </w:rPr>
        <w:t xml:space="preserve">, קשה על מ"ש </w:t>
      </w:r>
      <w:r w:rsidRPr="009556BA">
        <w:rPr>
          <w:rStyle w:val="aff4"/>
          <w:rFonts w:hint="cs"/>
          <w:vanish/>
          <w:rtl/>
        </w:rPr>
        <w:t>-</w:t>
      </w:r>
      <w:r w:rsidRPr="00062375">
        <w:rPr>
          <w:rStyle w:val="aff4"/>
          <w:rFonts w:hint="cs"/>
          <w:rtl/>
        </w:rPr>
        <w:t>הרמב"ם</w:t>
      </w:r>
      <w:r w:rsidRPr="009556BA">
        <w:rPr>
          <w:rStyle w:val="aff4"/>
          <w:rFonts w:hint="cs"/>
          <w:vanish/>
          <w:rtl/>
        </w:rPr>
        <w:t>-</w:t>
      </w:r>
      <w:r>
        <w:rPr>
          <w:rFonts w:hint="cs"/>
          <w:rtl/>
        </w:rPr>
        <w:t xml:space="preserve"> </w:t>
      </w:r>
      <w:r w:rsidRPr="00A3054F">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Ref130240129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w:t>
      </w:r>
      <w:r>
        <w:rPr>
          <w:rStyle w:val="af2"/>
          <w:rFonts w:eastAsia="Guttman Hodes"/>
          <w:rtl/>
        </w:rPr>
        <w:fldChar w:fldCharType="end"/>
      </w:r>
      <w:r>
        <w:rPr>
          <w:rFonts w:hint="cs"/>
          <w:rtl/>
        </w:rPr>
        <w:t xml:space="preserve"> דכולם הם מלאכה אחת דקוצר, והם אב מלאכה, ותירץ </w:t>
      </w:r>
      <w:r w:rsidRPr="009556BA">
        <w:rPr>
          <w:rStyle w:val="aff4"/>
          <w:rFonts w:hint="cs"/>
          <w:vanish/>
          <w:rtl/>
        </w:rPr>
        <w:t>-</w:t>
      </w:r>
      <w:r w:rsidRPr="00062375">
        <w:rPr>
          <w:rStyle w:val="aff4"/>
          <w:rFonts w:hint="cs"/>
          <w:rtl/>
        </w:rPr>
        <w:t>האו"ז</w:t>
      </w:r>
      <w:r w:rsidRPr="009556BA">
        <w:rPr>
          <w:rStyle w:val="aff4"/>
          <w:rFonts w:hint="cs"/>
          <w:vanish/>
          <w:rtl/>
        </w:rPr>
        <w:t>-</w:t>
      </w:r>
      <w:r>
        <w:rPr>
          <w:rFonts w:hint="cs"/>
          <w:rtl/>
        </w:rPr>
        <w:t xml:space="preserve"> דמהא דתני הכא דהוא משום קוצר, ובברייתא דלעיל תנא את תולדות דחרישה, מסתבר דהוא אב אחד.</w:t>
      </w:r>
    </w:p>
    <w:p w14:paraId="5918BEB7" w14:textId="77777777" w:rsidR="00D31714" w:rsidRPr="00747170" w:rsidRDefault="00D31714" w:rsidP="00747170">
      <w:pPr>
        <w:pStyle w:val="a2"/>
        <w:rPr>
          <w:rtl/>
        </w:rPr>
      </w:pPr>
      <w:r w:rsidRPr="00747170">
        <w:rPr>
          <w:rtl/>
        </w:rPr>
        <w:t xml:space="preserve">הקוצר תנא הקוצר והבוצר והגודר. פי' בתמרים. והמוסק פי' בזתים. והאורה פי' בתאנים כלן מלאכה אחת הן פי' ה"ר משה מיימון כל אלה אב מלאכה אחת הן וכן הקוצר [תבואה או] קטניות כו' שכל אחת מהן לעקור דבר מגידולו נתכוין עכ"ל. </w:t>
      </w:r>
      <w:r w:rsidRPr="00747170">
        <w:rPr>
          <w:rStyle w:val="afff7"/>
          <w:rtl/>
        </w:rPr>
        <w:t>א"ר פפא האי מאן דשדי פיסא לדיקלא ואתר תמרי חייב שתים אחת משום תולש ואחת משום מפרק רב אשי אמר אין דרך תלישה בכך ואין דרך פריקה בכך פירש"י תולש תולדה דקוצר</w:t>
      </w:r>
      <w:r w:rsidRPr="00747170">
        <w:rPr>
          <w:rtl/>
        </w:rPr>
        <w:t xml:space="preserve"> ובירוש' פ' כלל גדול תני ר' חייא הקוצר והבוצר המוסק והגודר התולש האורה כולהו משום קוצר סיועא לרש"י התולש תולדה דקוצר ולה"ר משה מיימון לא קשיא דאיכא למימר מדתנא הכא משום קוצר ולעיל גבי חורש תנא תולדות דחרישה ש"מ דהכא הכל הוי אב אחד ומסתברא דסייעתי' הוא וההוא דלקמן גבי תולש מן הכנף דאר"ש תולש חייב משום [גוזז] היינו גבי כנף מפני שמקצתן בגוף העוף להכי דומה (לדש) [לגוזז]</w:t>
      </w:r>
      <w:r w:rsidRPr="00747170">
        <w:rPr>
          <w:rFonts w:hint="cs"/>
          <w:rtl/>
        </w:rPr>
        <w:t>.</w:t>
      </w:r>
    </w:p>
    <w:p w14:paraId="25595769" w14:textId="77777777" w:rsidR="00D31714" w:rsidRPr="009069E2" w:rsidRDefault="00D31714" w:rsidP="00D31714">
      <w:pPr>
        <w:pStyle w:val="afffff7"/>
        <w:rPr>
          <w:vanish/>
          <w:rtl/>
        </w:rPr>
      </w:pPr>
      <w:r w:rsidRPr="009069E2">
        <w:rPr>
          <w:vanish/>
          <w:rtl/>
        </w:rPr>
        <w:t xml:space="preserve">אגלי טל קוצר </w:t>
      </w:r>
      <w:r w:rsidRPr="009069E2">
        <w:rPr>
          <w:rFonts w:hint="cs"/>
          <w:vanish/>
          <w:rtl/>
        </w:rPr>
        <w:t>סק"ד</w:t>
      </w:r>
    </w:p>
    <w:p w14:paraId="6F7B2451" w14:textId="77777777" w:rsidR="00D31714" w:rsidRDefault="00D31714" w:rsidP="00D31714">
      <w:pPr>
        <w:pStyle w:val="a7"/>
        <w:rPr>
          <w:rtl/>
        </w:rPr>
      </w:pPr>
      <w:bookmarkStart w:id="984" w:name="_Toc135669929"/>
    </w:p>
    <w:p w14:paraId="622D3B13" w14:textId="77777777" w:rsidR="00D31714" w:rsidRPr="001E1F41" w:rsidRDefault="00D31714" w:rsidP="00D31714">
      <w:pPr>
        <w:pStyle w:val="a7"/>
        <w:rPr>
          <w:rtl/>
        </w:rPr>
      </w:pPr>
      <w:r>
        <w:rPr>
          <w:rFonts w:hint="cs"/>
          <w:rtl/>
        </w:rPr>
        <w:t>קו' האגל"ט דהרמב"ם ס"ל דתולש הוא תולדה ותי' דאיירי בדרכו לתלוש דאף לרמב"ם הוי אב</w:t>
      </w:r>
      <w:bookmarkEnd w:id="984"/>
    </w:p>
    <w:p w14:paraId="7C402748" w14:textId="0FE3D478" w:rsidR="00D31714" w:rsidRDefault="00D31714" w:rsidP="00BC7DC8">
      <w:pPr>
        <w:pStyle w:val="a3"/>
        <w:rPr>
          <w:rtl/>
        </w:rPr>
      </w:pPr>
      <w:bookmarkStart w:id="985" w:name="_Ref135598099"/>
      <w:r>
        <w:rPr>
          <w:rFonts w:hint="cs"/>
          <w:rtl/>
        </w:rPr>
        <w:t xml:space="preserve">ותמה </w:t>
      </w:r>
      <w:r w:rsidRPr="001E1F41">
        <w:rPr>
          <w:rStyle w:val="aff4"/>
          <w:rFonts w:hint="cs"/>
          <w:vanish/>
          <w:rtl/>
        </w:rPr>
        <w:t>-</w:t>
      </w:r>
      <w:r w:rsidRPr="00062375">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Ref135598099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טז)</w:t>
      </w:r>
      <w:r>
        <w:rPr>
          <w:rStyle w:val="aff4"/>
          <w:vanish/>
          <w:rtl/>
        </w:rPr>
        <w:fldChar w:fldCharType="end"/>
      </w:r>
      <w:r>
        <w:rPr>
          <w:rStyle w:val="aff4"/>
          <w:rFonts w:hint="cs"/>
          <w:vanish/>
          <w:rtl/>
        </w:rPr>
        <w:t xml:space="preserve"> &gt;</w:t>
      </w:r>
      <w:r w:rsidRPr="00062375">
        <w:rPr>
          <w:rStyle w:val="aff4"/>
          <w:rFonts w:hint="cs"/>
          <w:rtl/>
        </w:rPr>
        <w:t>אגלי טל</w:t>
      </w:r>
      <w:r w:rsidRPr="001E1F41">
        <w:rPr>
          <w:rStyle w:val="aff4"/>
          <w:rFonts w:hint="cs"/>
          <w:vanish/>
          <w:rtl/>
        </w:rPr>
        <w:t>-</w:t>
      </w:r>
      <w:r>
        <w:rPr>
          <w:rFonts w:hint="cs"/>
          <w:rtl/>
        </w:rPr>
        <w:t xml:space="preserve"> </w:t>
      </w:r>
      <w:r w:rsidRPr="00A3054F">
        <w:rPr>
          <w:rStyle w:val="af2"/>
          <w:rFonts w:eastAsia="Guttman Hodes" w:hint="cs"/>
          <w:rtl/>
        </w:rPr>
        <w:t>(קוצר סק"ד)</w:t>
      </w:r>
      <w:r w:rsidRPr="001E1F41">
        <w:rPr>
          <w:rFonts w:hint="cs"/>
          <w:vanish/>
          <w:rtl/>
        </w:rPr>
        <w:t>=</w:t>
      </w:r>
      <w:r>
        <w:rPr>
          <w:rFonts w:hint="cs"/>
          <w:rtl/>
        </w:rPr>
        <w:t xml:space="preserve"> על </w:t>
      </w:r>
      <w:r w:rsidRPr="001E1F41">
        <w:rPr>
          <w:rStyle w:val="aff4"/>
          <w:rFonts w:hint="cs"/>
          <w:vanish/>
          <w:rtl/>
        </w:rPr>
        <w:t>-</w:t>
      </w:r>
      <w:r w:rsidRPr="00062375">
        <w:rPr>
          <w:rStyle w:val="aff4"/>
          <w:rFonts w:hint="cs"/>
          <w:rtl/>
        </w:rPr>
        <w:t>האו"ז</w:t>
      </w:r>
      <w:r w:rsidRPr="001E1F41">
        <w:rPr>
          <w:rStyle w:val="aff4"/>
          <w:rFonts w:hint="cs"/>
          <w:vanish/>
          <w:rtl/>
        </w:rPr>
        <w:t>-</w:t>
      </w:r>
      <w:r>
        <w:rPr>
          <w:rFonts w:hint="cs"/>
          <w:rtl/>
        </w:rPr>
        <w:t xml:space="preserve"> </w:t>
      </w:r>
      <w:r w:rsidRPr="00A3054F">
        <w:rPr>
          <w:rStyle w:val="af2"/>
          <w:rFonts w:eastAsia="Guttman Hodes" w:hint="cs"/>
          <w:rtl/>
        </w:rPr>
        <w:t xml:space="preserve">(עי' אות </w:t>
      </w:r>
      <w:r w:rsidRPr="00A3054F">
        <w:rPr>
          <w:rStyle w:val="af2"/>
          <w:rFonts w:eastAsia="Guttman Hodes"/>
          <w:rtl/>
        </w:rPr>
        <w:fldChar w:fldCharType="begin"/>
      </w:r>
      <w:r w:rsidRPr="00A3054F">
        <w:rPr>
          <w:rStyle w:val="af2"/>
          <w:rFonts w:eastAsia="Guttman Hodes"/>
          <w:rtl/>
        </w:rPr>
        <w:instrText xml:space="preserve"> </w:instrText>
      </w:r>
      <w:r w:rsidRPr="00A3054F">
        <w:rPr>
          <w:rStyle w:val="af2"/>
          <w:rFonts w:eastAsia="Guttman Hodes" w:hint="cs"/>
        </w:rPr>
        <w:instrText>REF</w:instrText>
      </w:r>
      <w:r w:rsidRPr="00A3054F">
        <w:rPr>
          <w:rStyle w:val="af2"/>
          <w:rFonts w:eastAsia="Guttman Hodes" w:hint="cs"/>
          <w:rtl/>
        </w:rPr>
        <w:instrText xml:space="preserve"> _</w:instrText>
      </w:r>
      <w:r w:rsidRPr="00A3054F">
        <w:rPr>
          <w:rStyle w:val="af2"/>
          <w:rFonts w:eastAsia="Guttman Hodes" w:hint="cs"/>
        </w:rPr>
        <w:instrText>Ref135598099 \r \h</w:instrText>
      </w:r>
      <w:r w:rsidRPr="00A3054F">
        <w:rPr>
          <w:rStyle w:val="af2"/>
          <w:rFonts w:eastAsia="Guttman Hodes"/>
          <w:rtl/>
        </w:rPr>
        <w:instrText xml:space="preserve"> </w:instrText>
      </w:r>
      <w:r w:rsidRPr="00A3054F">
        <w:rPr>
          <w:rStyle w:val="af2"/>
          <w:rFonts w:eastAsia="Guttman Hodes"/>
          <w:rtl/>
        </w:rPr>
      </w:r>
      <w:r w:rsidRPr="00A3054F">
        <w:rPr>
          <w:rStyle w:val="af2"/>
          <w:rFonts w:eastAsia="Guttman Hodes"/>
          <w:rtl/>
        </w:rPr>
        <w:fldChar w:fldCharType="separate"/>
      </w:r>
      <w:r w:rsidR="00D82181">
        <w:rPr>
          <w:rStyle w:val="af2"/>
          <w:rFonts w:eastAsia="Guttman Hodes"/>
          <w:cs/>
        </w:rPr>
        <w:t>‎</w:t>
      </w:r>
      <w:r w:rsidR="00D82181">
        <w:rPr>
          <w:rStyle w:val="af2"/>
          <w:rFonts w:eastAsia="Guttman Hodes"/>
          <w:rtl/>
        </w:rPr>
        <w:t>טז)</w:t>
      </w:r>
      <w:r w:rsidRPr="00A3054F">
        <w:rPr>
          <w:rStyle w:val="af2"/>
          <w:rFonts w:eastAsia="Guttman Hodes"/>
          <w:rtl/>
        </w:rPr>
        <w:fldChar w:fldCharType="end"/>
      </w:r>
      <w:r>
        <w:rPr>
          <w:rFonts w:hint="cs"/>
          <w:rtl/>
        </w:rPr>
        <w:t xml:space="preserve"> דהא כתב </w:t>
      </w:r>
      <w:r w:rsidRPr="001E1F41">
        <w:rPr>
          <w:rStyle w:val="aff4"/>
          <w:rFonts w:hint="cs"/>
          <w:vanish/>
          <w:rtl/>
        </w:rPr>
        <w:t>-</w:t>
      </w:r>
      <w:r w:rsidRPr="00062375">
        <w:rPr>
          <w:rStyle w:val="aff4"/>
          <w:rFonts w:hint="cs"/>
          <w:rtl/>
        </w:rPr>
        <w:t>הרמב"ם</w:t>
      </w:r>
      <w:r w:rsidRPr="001E1F41">
        <w:rPr>
          <w:rStyle w:val="aff4"/>
          <w:rFonts w:hint="cs"/>
          <w:vanish/>
          <w:rtl/>
        </w:rPr>
        <w:t>-</w:t>
      </w:r>
      <w:r>
        <w:rPr>
          <w:rFonts w:hint="cs"/>
          <w:rtl/>
        </w:rPr>
        <w:t xml:space="preserve"> </w:t>
      </w:r>
      <w:r w:rsidRPr="00A3054F">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Ref134459496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ו)</w:t>
      </w:r>
      <w:r>
        <w:rPr>
          <w:rStyle w:val="af2"/>
          <w:rFonts w:eastAsia="Guttman Hodes"/>
          <w:rtl/>
        </w:rPr>
        <w:fldChar w:fldCharType="end"/>
      </w:r>
      <w:r>
        <w:rPr>
          <w:rFonts w:hint="cs"/>
          <w:rtl/>
        </w:rPr>
        <w:t xml:space="preserve"> להדיא דתולש הוא תולדה ואינו אב, וביאר </w:t>
      </w:r>
      <w:r w:rsidRPr="001E1F41">
        <w:rPr>
          <w:rStyle w:val="aff4"/>
          <w:rFonts w:hint="cs"/>
          <w:vanish/>
          <w:rtl/>
        </w:rPr>
        <w:t>-</w:t>
      </w:r>
      <w:r w:rsidRPr="00062375">
        <w:rPr>
          <w:rStyle w:val="aff4"/>
          <w:rFonts w:hint="cs"/>
          <w:rtl/>
        </w:rPr>
        <w:t>האגלי טל</w:t>
      </w:r>
      <w:r w:rsidRPr="001E1F41">
        <w:rPr>
          <w:rStyle w:val="aff4"/>
          <w:rFonts w:hint="cs"/>
          <w:vanish/>
          <w:rtl/>
        </w:rPr>
        <w:t>-</w:t>
      </w:r>
      <w:r>
        <w:rPr>
          <w:rFonts w:hint="cs"/>
          <w:rtl/>
        </w:rPr>
        <w:t xml:space="preserve"> דכוונת </w:t>
      </w:r>
      <w:r w:rsidRPr="001E1F41">
        <w:rPr>
          <w:rStyle w:val="aff4"/>
          <w:rFonts w:hint="cs"/>
          <w:vanish/>
          <w:rtl/>
        </w:rPr>
        <w:t>-</w:t>
      </w:r>
      <w:r w:rsidRPr="00062375">
        <w:rPr>
          <w:rStyle w:val="aff4"/>
          <w:rFonts w:hint="cs"/>
          <w:rtl/>
        </w:rPr>
        <w:t>האו"ז</w:t>
      </w:r>
      <w:r w:rsidRPr="001E1F41">
        <w:rPr>
          <w:rStyle w:val="aff4"/>
          <w:rFonts w:hint="cs"/>
          <w:vanish/>
          <w:rtl/>
        </w:rPr>
        <w:t>-</w:t>
      </w:r>
      <w:r>
        <w:rPr>
          <w:rFonts w:hint="cs"/>
          <w:rtl/>
        </w:rPr>
        <w:t xml:space="preserve"> לדבר שדרכו בתלישה, דבכה"ג הוי אב אף </w:t>
      </w:r>
      <w:r w:rsidRPr="001E1F41">
        <w:rPr>
          <w:rStyle w:val="aff4"/>
          <w:rFonts w:hint="cs"/>
          <w:vanish/>
          <w:rtl/>
        </w:rPr>
        <w:t>-</w:t>
      </w:r>
      <w:r w:rsidRPr="00062375">
        <w:rPr>
          <w:rStyle w:val="aff4"/>
          <w:rFonts w:hint="cs"/>
          <w:rtl/>
        </w:rPr>
        <w:t>להרמב"ם</w:t>
      </w:r>
      <w:r w:rsidRPr="001E1F41">
        <w:rPr>
          <w:rStyle w:val="aff4"/>
          <w:rFonts w:hint="cs"/>
          <w:vanish/>
          <w:rtl/>
        </w:rPr>
        <w:t>-</w:t>
      </w:r>
      <w:r>
        <w:rPr>
          <w:rFonts w:hint="cs"/>
          <w:rtl/>
        </w:rPr>
        <w:t xml:space="preserve">, דהא כיון דתני בירושלמי </w:t>
      </w:r>
      <w:r>
        <w:rPr>
          <w:rtl/>
        </w:rPr>
        <w:t xml:space="preserve">הקוצר והבוצר המוסק והגודר </w:t>
      </w:r>
      <w:r>
        <w:rPr>
          <w:rFonts w:hint="cs"/>
          <w:rtl/>
        </w:rPr>
        <w:t>וכו', משמע דנקט בכל דבר את הדרך לקצור אותו, וא"כ כשכתב תולש ג"כ איירי בדבר שהדרך לתולשו, ובזה הוי אב.</w:t>
      </w:r>
      <w:bookmarkEnd w:id="985"/>
    </w:p>
    <w:p w14:paraId="442FFE20" w14:textId="77777777" w:rsidR="00D31714" w:rsidRPr="00747170" w:rsidRDefault="00D31714" w:rsidP="00747170">
      <w:pPr>
        <w:pStyle w:val="a2"/>
        <w:rPr>
          <w:rtl/>
        </w:rPr>
      </w:pPr>
      <w:r w:rsidRPr="00747170">
        <w:rPr>
          <w:rtl/>
        </w:rPr>
        <w:t>וכן יש להוכיח דין זה דתולש דברים שדרכן בתלישה דהוי אב. מאו"ז סי' נ"ו שהביא דברי הרמב"ם הנ"ל הבוצר המוסק הגודר האורה כולן אב אחד מלאכת קוצר הן. ושוב הביא דברי ירושלמי [מח ב] הקוצר הבוצר המוסק הגודר התולש האורה כולהו משום קוצר. וכתב הא"ז דהא לא קשיא להרמב"ם דאיכא למימר מדתני הכא משום קוצר ולעיל גבי חורש תנא תולדות דחרישה ש"מ הכא הכל אב אחד. ומסתברא דסייעתא הוא להרמב"ם ע"כ. והוא תמוה דהא הירושלמי תנא נמי התולש בהדייהו. ולהדיא כתב הרמב"ם בפ"ח ה"ג דתולש הוא תולדה דקוצר:</w:t>
      </w:r>
    </w:p>
    <w:p w14:paraId="0034ECF8" w14:textId="77777777" w:rsidR="00D31714" w:rsidRPr="0074537A" w:rsidRDefault="00D31714" w:rsidP="00747170">
      <w:pPr>
        <w:pStyle w:val="afffff5"/>
        <w:rPr>
          <w:rtl/>
        </w:rPr>
      </w:pPr>
      <w:r w:rsidRPr="0074537A">
        <w:rPr>
          <w:rtl/>
        </w:rPr>
        <w:t>אך לפי מה שכתבתי יתיישב בטוב טעם דהנה כל הני דחשיב הקוצר הבוצר וכו' כל אחד הוא במין אחר כמו שפירש"י בגמ' קוצר בתבואה בוצר בענבים מוסק בזיתים אורה בתאנים. ומשמע דתולש דתני הירושלמי בהדייהו הוא ג"כ במין אחר שאם הי' קאי על מינים הנ"ל הי' לו לשנותו בסוף אחר האורה ומדשנאו באמצע המינים ע"כ דקאי ג"כ על מין אחר שאורחי' בתלישה כמו שדרך תבואה לקצור ענבים לבצור כו' ושפיר הוי אב כנ"ל. ועיין בדברינו לקמן ס"ק י"ג שכתבנו דממקומו הוא מוכרע:</w:t>
      </w:r>
    </w:p>
    <w:p w14:paraId="09738352" w14:textId="77777777" w:rsidR="00D31714" w:rsidRDefault="00D31714" w:rsidP="00D31714">
      <w:pPr>
        <w:pStyle w:val="1"/>
        <w:rPr>
          <w:rtl/>
        </w:rPr>
      </w:pPr>
      <w:bookmarkStart w:id="986" w:name="_Toc135669930"/>
      <w:r>
        <w:rPr>
          <w:rFonts w:hint="cs"/>
          <w:rtl/>
        </w:rPr>
        <w:t>בי' רבינו יהונתן</w:t>
      </w:r>
      <w:bookmarkEnd w:id="978"/>
      <w:r>
        <w:rPr>
          <w:rFonts w:hint="cs"/>
          <w:rtl/>
        </w:rPr>
        <w:t xml:space="preserve"> דקוצר ובוצר הם אותו אב וחלוקים רק בשם</w:t>
      </w:r>
      <w:bookmarkEnd w:id="986"/>
    </w:p>
    <w:p w14:paraId="2F818E20" w14:textId="77777777" w:rsidR="00D31714" w:rsidRDefault="00D31714" w:rsidP="00D31714">
      <w:pPr>
        <w:pStyle w:val="afffff7"/>
      </w:pPr>
      <w:bookmarkStart w:id="987" w:name="_Toc135130036"/>
      <w:bookmarkStart w:id="988" w:name="_Toc135670236"/>
      <w:bookmarkStart w:id="989" w:name="_Toc163505537"/>
      <w:r>
        <w:rPr>
          <w:rFonts w:hint="cs"/>
          <w:rtl/>
        </w:rPr>
        <w:t>חדושי הר"ן - מיוחס לו שבת ע"ג ע"ב ד"ה תנא</w:t>
      </w:r>
      <w:bookmarkEnd w:id="987"/>
      <w:bookmarkEnd w:id="988"/>
      <w:bookmarkEnd w:id="989"/>
    </w:p>
    <w:p w14:paraId="18361F5C" w14:textId="77777777" w:rsidR="00D31714" w:rsidRDefault="00D31714" w:rsidP="00D31714">
      <w:pPr>
        <w:pStyle w:val="afffff7"/>
        <w:rPr>
          <w:rtl/>
        </w:rPr>
      </w:pPr>
      <w:bookmarkStart w:id="990" w:name="_Toc135130037"/>
      <w:bookmarkStart w:id="991" w:name="_Toc135670237"/>
      <w:bookmarkStart w:id="992" w:name="_Toc135669931"/>
      <w:bookmarkStart w:id="993" w:name="_Toc163505538"/>
      <w:r>
        <w:rPr>
          <w:rFonts w:hint="cs"/>
          <w:rtl/>
        </w:rPr>
        <w:t>רבינו יהונתן מלוניל ד"ה הקוצר</w:t>
      </w:r>
      <w:bookmarkEnd w:id="990"/>
      <w:bookmarkEnd w:id="991"/>
      <w:bookmarkEnd w:id="993"/>
    </w:p>
    <w:p w14:paraId="6F5DCA6C" w14:textId="77777777" w:rsidR="00D31714" w:rsidRDefault="00D31714" w:rsidP="00D31714">
      <w:pPr>
        <w:pStyle w:val="a7"/>
        <w:rPr>
          <w:rtl/>
        </w:rPr>
      </w:pPr>
      <w:r>
        <w:rPr>
          <w:rFonts w:hint="cs"/>
          <w:rtl/>
        </w:rPr>
        <w:t>בי' המיוחס לר"ן בשם רבינו יהונתן דקוצר ובוצר וכו' הם מלאכה א' ואב אחד אלא דשמם חלוק</w:t>
      </w:r>
      <w:bookmarkEnd w:id="992"/>
    </w:p>
    <w:p w14:paraId="7C2B8A0E" w14:textId="77777777" w:rsidR="00D31714" w:rsidRDefault="00D31714" w:rsidP="00BC7DC8">
      <w:pPr>
        <w:pStyle w:val="a3"/>
        <w:rPr>
          <w:rtl/>
        </w:rPr>
      </w:pPr>
      <w:r>
        <w:rPr>
          <w:rFonts w:hint="cs"/>
          <w:rtl/>
        </w:rPr>
        <w:t xml:space="preserve">כתב </w:t>
      </w:r>
      <w:r w:rsidRPr="000D4E5E">
        <w:rPr>
          <w:rStyle w:val="aff4"/>
          <w:rFonts w:hint="cs"/>
          <w:vanish/>
          <w:rtl/>
        </w:rPr>
        <w:t>-</w:t>
      </w:r>
      <w:r w:rsidRPr="00572920">
        <w:rPr>
          <w:rStyle w:val="aff4"/>
          <w:rFonts w:hint="cs"/>
          <w:rtl/>
        </w:rPr>
        <w:t>ב</w:t>
      </w:r>
      <w:r w:rsidRPr="00DF369D">
        <w:rPr>
          <w:rStyle w:val="aff4"/>
          <w:rFonts w:hint="cs"/>
          <w:vanish/>
          <w:rtl/>
        </w:rPr>
        <w:t>&lt; ? &gt;</w:t>
      </w:r>
      <w:r w:rsidRPr="00572920">
        <w:rPr>
          <w:rStyle w:val="aff4"/>
          <w:rFonts w:hint="cs"/>
          <w:rtl/>
        </w:rPr>
        <w:t>חי' המיוחסים לר"ן</w:t>
      </w:r>
      <w:r w:rsidRPr="000D4E5E">
        <w:rPr>
          <w:rStyle w:val="aff4"/>
          <w:rFonts w:hint="cs"/>
          <w:vanish/>
          <w:rtl/>
        </w:rPr>
        <w:t>-</w:t>
      </w:r>
      <w:r>
        <w:rPr>
          <w:rFonts w:hint="cs"/>
          <w:rtl/>
        </w:rPr>
        <w:t xml:space="preserve"> </w:t>
      </w:r>
      <w:r w:rsidRPr="00A3054F">
        <w:rPr>
          <w:rStyle w:val="af2"/>
          <w:rFonts w:eastAsia="Guttman Hodes" w:hint="cs"/>
          <w:rtl/>
        </w:rPr>
        <w:t>(ד"ה תנא)</w:t>
      </w:r>
      <w:r w:rsidRPr="000D4E5E">
        <w:rPr>
          <w:rFonts w:hint="cs"/>
          <w:vanish/>
          <w:rtl/>
        </w:rPr>
        <w:t>=</w:t>
      </w:r>
      <w:r>
        <w:rPr>
          <w:rFonts w:hint="cs"/>
          <w:rtl/>
        </w:rPr>
        <w:t xml:space="preserve"> דקוצר ובוצר הם מלאכה אחת, דהיינו שכולם הם אבות, וכיון דהם מענין אחד, מנו אותם באב אחד, ואחד הוא בזרעים, והביא </w:t>
      </w:r>
      <w:r w:rsidRPr="000D4E5E">
        <w:rPr>
          <w:rStyle w:val="aff4"/>
          <w:rFonts w:hint="cs"/>
          <w:vanish/>
          <w:rtl/>
        </w:rPr>
        <w:t>-</w:t>
      </w:r>
      <w:r w:rsidRPr="00572920">
        <w:rPr>
          <w:rStyle w:val="aff4"/>
          <w:rFonts w:hint="cs"/>
          <w:rtl/>
        </w:rPr>
        <w:t>בחי' המיוחסים לר"ן</w:t>
      </w:r>
      <w:r w:rsidRPr="000D4E5E">
        <w:rPr>
          <w:rStyle w:val="aff4"/>
          <w:rFonts w:hint="cs"/>
          <w:vanish/>
          <w:rtl/>
        </w:rPr>
        <w:t>-</w:t>
      </w:r>
      <w:r>
        <w:rPr>
          <w:rFonts w:hint="cs"/>
          <w:rtl/>
        </w:rPr>
        <w:t xml:space="preserve"> את דברי </w:t>
      </w:r>
      <w:r w:rsidRPr="00DF369D">
        <w:rPr>
          <w:rFonts w:hint="cs"/>
          <w:vanish/>
          <w:rtl/>
        </w:rPr>
        <w:t>&lt; &gt;</w:t>
      </w:r>
      <w:r w:rsidRPr="000D4E5E">
        <w:rPr>
          <w:rStyle w:val="aff4"/>
          <w:rFonts w:hint="cs"/>
          <w:vanish/>
          <w:rtl/>
        </w:rPr>
        <w:t>-</w:t>
      </w:r>
      <w:r w:rsidRPr="00572920">
        <w:rPr>
          <w:rStyle w:val="aff4"/>
          <w:rFonts w:hint="cs"/>
          <w:rtl/>
        </w:rPr>
        <w:t>רבינו יהונתן</w:t>
      </w:r>
      <w:r w:rsidRPr="000D4E5E">
        <w:rPr>
          <w:rStyle w:val="aff4"/>
          <w:rFonts w:hint="cs"/>
          <w:vanish/>
          <w:rtl/>
        </w:rPr>
        <w:t>-</w:t>
      </w:r>
      <w:r>
        <w:rPr>
          <w:rFonts w:hint="cs"/>
          <w:rtl/>
        </w:rPr>
        <w:t xml:space="preserve"> </w:t>
      </w:r>
      <w:r w:rsidRPr="00A3054F">
        <w:rPr>
          <w:rStyle w:val="af2"/>
          <w:rFonts w:eastAsia="Guttman Hodes" w:hint="cs"/>
          <w:rtl/>
        </w:rPr>
        <w:t>(ד"ה הקוצר)</w:t>
      </w:r>
      <w:r w:rsidRPr="000D4E5E">
        <w:rPr>
          <w:rFonts w:hint="cs"/>
          <w:vanish/>
          <w:rtl/>
        </w:rPr>
        <w:t>=</w:t>
      </w:r>
      <w:r>
        <w:rPr>
          <w:rFonts w:hint="cs"/>
          <w:rtl/>
        </w:rPr>
        <w:t xml:space="preserve"> דכתב דקוצר זרעים ובוצר גפנים וגודר תאנים וכו', כולם הם מלאכת קוצר, רק השם של כל אחד שייך לדבר אחד, וכולם הם אבות ולא תולדות, והם אב אחד, וחייב עליהם רק חטאת אחת</w:t>
      </w:r>
    </w:p>
    <w:p w14:paraId="2D5C2436" w14:textId="77777777" w:rsidR="00D31714" w:rsidRPr="00747170" w:rsidRDefault="00D31714" w:rsidP="00747170">
      <w:pPr>
        <w:pStyle w:val="a2"/>
        <w:rPr>
          <w:rtl/>
        </w:rPr>
      </w:pPr>
      <w:r w:rsidRPr="00747170">
        <w:rPr>
          <w:rFonts w:hint="cs"/>
          <w:rtl/>
        </w:rPr>
        <w:t>תנא הקוצר והבוצר וכו' כולן מלאכה אחת הן. פי' כולן אבות הן אלא שהם מענין אחד ונמנין באחד וזה בזרעים וזה באילנות וכן פי' רבינו יהונתן ז"ל דכולן קוצר הוא אלא שאין שם זה נופל על זה ואבות הן כל אחת ואחת ולא תולדות אלא שאב אחד הוא ולא שנים ושלשה ולא מיחייב מכל החמשה אלא חטאת אחת ע"כ:</w:t>
      </w:r>
    </w:p>
    <w:p w14:paraId="42E5FF76" w14:textId="77777777" w:rsidR="00D31714" w:rsidRPr="0074537A" w:rsidRDefault="00D31714" w:rsidP="00747170">
      <w:pPr>
        <w:pStyle w:val="afffff5"/>
        <w:rPr>
          <w:rtl/>
        </w:rPr>
      </w:pPr>
      <w:r w:rsidRPr="0074537A">
        <w:rPr>
          <w:rFonts w:hint="cs"/>
          <w:rtl/>
        </w:rPr>
        <w:t xml:space="preserve">הקוצר בזרעים או בשחת. והבוצר בגפנים, והגודר בתמרים, והמוסק בזיתים, אורה בתאנים כולן מלאכה אחת הן, כלומר, כולן קוצר הוא אלא שאין שם זה נופל על זה, ואבות הן כל אחת ואחת ולא תולדות, אלא שאב אחד הוא ולא שנים ושלשה ולא מיחייב מכל החמשה אלא חטאת אחת. </w:t>
      </w:r>
    </w:p>
    <w:p w14:paraId="0C863586" w14:textId="77777777" w:rsidR="00D31714" w:rsidRPr="007C2097" w:rsidRDefault="00D31714" w:rsidP="00D31714">
      <w:pPr>
        <w:pStyle w:val="1"/>
        <w:rPr>
          <w:rtl/>
        </w:rPr>
      </w:pPr>
      <w:bookmarkStart w:id="994" w:name="_Toc135669932"/>
      <w:r>
        <w:rPr>
          <w:rFonts w:hint="cs"/>
          <w:rtl/>
        </w:rPr>
        <w:t>בי' האגל"ט דקוצר מאילני סרק להסקה הוא אב ומפרי תולדה</w:t>
      </w:r>
      <w:bookmarkEnd w:id="994"/>
    </w:p>
    <w:p w14:paraId="13C01F7D" w14:textId="77777777" w:rsidR="00D31714" w:rsidRDefault="00D31714" w:rsidP="00D31714">
      <w:pPr>
        <w:pStyle w:val="afffff7"/>
        <w:rPr>
          <w:rtl/>
        </w:rPr>
      </w:pPr>
      <w:bookmarkStart w:id="995" w:name="_Toc135670238"/>
      <w:bookmarkStart w:id="996" w:name="_Toc163505539"/>
      <w:r>
        <w:rPr>
          <w:rtl/>
        </w:rPr>
        <w:t>אגלי טל קוצר אות א</w:t>
      </w:r>
      <w:r>
        <w:rPr>
          <w:rFonts w:hint="cs"/>
          <w:rtl/>
        </w:rPr>
        <w:t>, סק"ב</w:t>
      </w:r>
      <w:bookmarkEnd w:id="995"/>
      <w:bookmarkEnd w:id="996"/>
    </w:p>
    <w:p w14:paraId="4C84AEAA" w14:textId="77777777" w:rsidR="00D31714" w:rsidRPr="008D15D1" w:rsidRDefault="00D31714" w:rsidP="00D31714">
      <w:pPr>
        <w:pStyle w:val="afffff7"/>
        <w:rPr>
          <w:vanish/>
          <w:rtl/>
        </w:rPr>
      </w:pPr>
      <w:bookmarkStart w:id="997" w:name="_Toc135669933"/>
      <w:r w:rsidRPr="008D15D1">
        <w:rPr>
          <w:vanish/>
          <w:rtl/>
        </w:rPr>
        <w:t xml:space="preserve">אגלי טל קוצר </w:t>
      </w:r>
      <w:r w:rsidRPr="008D15D1">
        <w:rPr>
          <w:rFonts w:hint="cs"/>
          <w:vanish/>
          <w:rtl/>
        </w:rPr>
        <w:t>סק"ב</w:t>
      </w:r>
    </w:p>
    <w:p w14:paraId="192D88B3" w14:textId="77777777" w:rsidR="00D31714" w:rsidRDefault="00D31714" w:rsidP="00D31714">
      <w:pPr>
        <w:pStyle w:val="a7"/>
        <w:rPr>
          <w:rtl/>
        </w:rPr>
      </w:pPr>
      <w:r>
        <w:rPr>
          <w:rFonts w:hint="cs"/>
          <w:rtl/>
        </w:rPr>
        <w:t>בי' האגל"ט דקוצר מעצי סרק הוא אב דקוצר אך מעצי פרי הוא תולדה וחייב רק בצריך לעצים</w:t>
      </w:r>
      <w:bookmarkEnd w:id="997"/>
    </w:p>
    <w:p w14:paraId="02E205CF" w14:textId="60070382" w:rsidR="00D31714" w:rsidRPr="00BD0680" w:rsidRDefault="00D31714" w:rsidP="00BC7DC8">
      <w:pPr>
        <w:pStyle w:val="a3"/>
        <w:rPr>
          <w:rtl/>
        </w:rPr>
      </w:pPr>
      <w:bookmarkStart w:id="998" w:name="_Ref135587058"/>
      <w:r>
        <w:rPr>
          <w:rFonts w:hint="cs"/>
          <w:rtl/>
        </w:rPr>
        <w:t xml:space="preserve">כתב </w:t>
      </w:r>
      <w:r w:rsidRPr="009556BA">
        <w:rPr>
          <w:rStyle w:val="aff4"/>
          <w:rFonts w:hint="cs"/>
          <w:vanish/>
          <w:rtl/>
        </w:rPr>
        <w:t>-</w:t>
      </w:r>
      <w:r w:rsidRPr="00062375">
        <w:rPr>
          <w:rStyle w:val="aff4"/>
          <w:rFonts w:hint="cs"/>
          <w:rtl/>
        </w:rPr>
        <w:t>ה</w:t>
      </w:r>
      <w:r w:rsidRPr="00FC1595">
        <w:rPr>
          <w:rStyle w:val="aff4"/>
          <w:rFonts w:hint="cs"/>
          <w:vanish/>
          <w:rtl/>
        </w:rPr>
        <w:t xml:space="preserve">&lt;. </w:t>
      </w:r>
      <w:r w:rsidRPr="00FC1595">
        <w:rPr>
          <w:rStyle w:val="aff4"/>
          <w:vanish/>
          <w:rtl/>
        </w:rPr>
        <w:fldChar w:fldCharType="begin"/>
      </w:r>
      <w:r w:rsidRPr="00FC1595">
        <w:rPr>
          <w:rStyle w:val="aff4"/>
          <w:vanish/>
          <w:rtl/>
        </w:rPr>
        <w:instrText xml:space="preserve"> </w:instrText>
      </w:r>
      <w:r w:rsidRPr="00FC1595">
        <w:rPr>
          <w:rStyle w:val="aff4"/>
          <w:rFonts w:hint="cs"/>
          <w:vanish/>
        </w:rPr>
        <w:instrText>REF</w:instrText>
      </w:r>
      <w:r w:rsidRPr="00FC1595">
        <w:rPr>
          <w:rStyle w:val="aff4"/>
          <w:rFonts w:hint="cs"/>
          <w:vanish/>
          <w:rtl/>
        </w:rPr>
        <w:instrText xml:space="preserve"> _</w:instrText>
      </w:r>
      <w:r w:rsidRPr="00FC1595">
        <w:rPr>
          <w:rStyle w:val="aff4"/>
          <w:rFonts w:hint="cs"/>
          <w:vanish/>
        </w:rPr>
        <w:instrText>Ref135587058 \r \h</w:instrText>
      </w:r>
      <w:r w:rsidRPr="00FC1595">
        <w:rPr>
          <w:rStyle w:val="aff4"/>
          <w:vanish/>
          <w:rtl/>
        </w:rPr>
        <w:instrText xml:space="preserve"> </w:instrText>
      </w:r>
      <w:r w:rsidRPr="00FC1595">
        <w:rPr>
          <w:rStyle w:val="aff4"/>
          <w:vanish/>
          <w:rtl/>
        </w:rPr>
      </w:r>
      <w:r w:rsidRPr="00FC1595">
        <w:rPr>
          <w:rStyle w:val="aff4"/>
          <w:vanish/>
          <w:rtl/>
        </w:rPr>
        <w:fldChar w:fldCharType="separate"/>
      </w:r>
      <w:r w:rsidR="00D82181">
        <w:rPr>
          <w:rStyle w:val="aff4"/>
          <w:vanish/>
          <w:cs/>
        </w:rPr>
        <w:t>‎</w:t>
      </w:r>
      <w:r w:rsidR="00D82181">
        <w:rPr>
          <w:rStyle w:val="aff4"/>
          <w:vanish/>
          <w:rtl/>
        </w:rPr>
        <w:t>יח)</w:t>
      </w:r>
      <w:r w:rsidRPr="00FC1595">
        <w:rPr>
          <w:rStyle w:val="aff4"/>
          <w:vanish/>
          <w:rtl/>
        </w:rPr>
        <w:fldChar w:fldCharType="end"/>
      </w:r>
      <w:r w:rsidRPr="00FC1595">
        <w:rPr>
          <w:rStyle w:val="aff4"/>
          <w:rFonts w:hint="cs"/>
          <w:vanish/>
          <w:rtl/>
        </w:rPr>
        <w:t xml:space="preserve"> &gt;</w:t>
      </w:r>
      <w:r w:rsidRPr="00062375">
        <w:rPr>
          <w:rStyle w:val="aff4"/>
          <w:rFonts w:hint="cs"/>
          <w:rtl/>
        </w:rPr>
        <w:t>אגלי טל</w:t>
      </w:r>
      <w:r w:rsidRPr="009556BA">
        <w:rPr>
          <w:rStyle w:val="aff4"/>
          <w:rFonts w:hint="cs"/>
          <w:vanish/>
          <w:rtl/>
        </w:rPr>
        <w:t>-</w:t>
      </w:r>
      <w:r w:rsidRPr="00062375">
        <w:rPr>
          <w:rStyle w:val="aff4"/>
          <w:rFonts w:hint="cs"/>
          <w:rtl/>
        </w:rPr>
        <w:t xml:space="preserve"> </w:t>
      </w:r>
      <w:r w:rsidRPr="00A3054F">
        <w:rPr>
          <w:rStyle w:val="af2"/>
          <w:rFonts w:eastAsia="Guttman Hodes" w:hint="cs"/>
          <w:rtl/>
        </w:rPr>
        <w:t>(קוצר אות א')</w:t>
      </w:r>
      <w:r w:rsidRPr="007C2097">
        <w:rPr>
          <w:rFonts w:hint="cs"/>
          <w:vanish/>
          <w:rtl/>
        </w:rPr>
        <w:t>=</w:t>
      </w:r>
      <w:r w:rsidRPr="00300F32">
        <w:rPr>
          <w:rFonts w:hint="cs"/>
          <w:rtl/>
        </w:rPr>
        <w:t xml:space="preserve"> דהקוצר עצים מאילני סרק להסקה או לבנין וכיו"ב הוא אב מלאכה דקוצר, וביאר </w:t>
      </w:r>
      <w:r w:rsidRPr="007C2097">
        <w:rPr>
          <w:rStyle w:val="aff4"/>
          <w:rFonts w:hint="cs"/>
          <w:vanish/>
          <w:rtl/>
        </w:rPr>
        <w:t>-</w:t>
      </w:r>
      <w:r w:rsidRPr="007C2097">
        <w:rPr>
          <w:rStyle w:val="aff4"/>
          <w:rFonts w:hint="cs"/>
          <w:rtl/>
        </w:rPr>
        <w:t>ה</w:t>
      </w:r>
      <w:r w:rsidRPr="007C2097">
        <w:rPr>
          <w:rStyle w:val="aff4"/>
          <w:rFonts w:hint="cs"/>
          <w:vanish/>
          <w:rtl/>
        </w:rPr>
        <w:t>&lt; &gt;</w:t>
      </w:r>
      <w:r w:rsidRPr="007C2097">
        <w:rPr>
          <w:rStyle w:val="aff4"/>
          <w:rFonts w:hint="cs"/>
          <w:rtl/>
        </w:rPr>
        <w:t>אגלי טל</w:t>
      </w:r>
      <w:r w:rsidRPr="007C2097">
        <w:rPr>
          <w:rStyle w:val="aff4"/>
          <w:rFonts w:hint="cs"/>
          <w:vanish/>
          <w:rtl/>
        </w:rPr>
        <w:t>-</w:t>
      </w:r>
      <w:r w:rsidRPr="00300F32">
        <w:rPr>
          <w:rFonts w:hint="cs"/>
          <w:rtl/>
        </w:rPr>
        <w:t xml:space="preserve"> </w:t>
      </w:r>
      <w:r w:rsidRPr="00A3054F">
        <w:rPr>
          <w:rStyle w:val="af2"/>
          <w:rFonts w:eastAsia="Guttman Hodes" w:hint="cs"/>
          <w:rtl/>
        </w:rPr>
        <w:t>(קוצר סק"ב)</w:t>
      </w:r>
      <w:r w:rsidRPr="007C2097">
        <w:rPr>
          <w:rFonts w:hint="cs"/>
          <w:vanish/>
          <w:rtl/>
        </w:rPr>
        <w:t>=</w:t>
      </w:r>
      <w:r w:rsidRPr="00300F32">
        <w:rPr>
          <w:rFonts w:hint="cs"/>
          <w:rtl/>
        </w:rPr>
        <w:t xml:space="preserve"> דהיינו לפי מה שביאר </w:t>
      </w:r>
      <w:r w:rsidRPr="009556BA">
        <w:rPr>
          <w:rStyle w:val="aff4"/>
          <w:rFonts w:hint="cs"/>
          <w:vanish/>
          <w:rtl/>
        </w:rPr>
        <w:t>-</w:t>
      </w:r>
      <w:r w:rsidRPr="00062375">
        <w:rPr>
          <w:rStyle w:val="aff4"/>
          <w:rFonts w:hint="cs"/>
          <w:rtl/>
        </w:rPr>
        <w:t>ה</w:t>
      </w:r>
      <w:r w:rsidRPr="00FC1595">
        <w:rPr>
          <w:rStyle w:val="aff4"/>
          <w:rFonts w:hint="cs"/>
          <w:vanish/>
          <w:rtl/>
        </w:rPr>
        <w:t>&lt; &gt;</w:t>
      </w:r>
      <w:r w:rsidRPr="00062375">
        <w:rPr>
          <w:rStyle w:val="aff4"/>
          <w:rFonts w:hint="cs"/>
          <w:rtl/>
        </w:rPr>
        <w:t>אגלי טל</w:t>
      </w:r>
      <w:r w:rsidRPr="009556BA">
        <w:rPr>
          <w:rStyle w:val="aff4"/>
          <w:rFonts w:hint="cs"/>
          <w:vanish/>
          <w:rtl/>
        </w:rPr>
        <w:t>-</w:t>
      </w:r>
      <w:r w:rsidRPr="00062375">
        <w:rPr>
          <w:rStyle w:val="aff4"/>
          <w:rFonts w:hint="cs"/>
          <w:rtl/>
        </w:rPr>
        <w:t xml:space="preserve"> </w:t>
      </w:r>
      <w:r w:rsidRPr="00A3054F">
        <w:rPr>
          <w:rStyle w:val="af2"/>
          <w:rFonts w:eastAsia="Guttman Hodes" w:hint="cs"/>
          <w:rtl/>
        </w:rPr>
        <w:t>(פתיחה או' ד', הובא בסימן א' אות ס"ט)</w:t>
      </w:r>
      <w:r w:rsidRPr="009556BA">
        <w:rPr>
          <w:rStyle w:val="aff4"/>
          <w:rFonts w:hint="cs"/>
          <w:vanish/>
          <w:rtl/>
        </w:rPr>
        <w:t>=</w:t>
      </w:r>
      <w:r w:rsidRPr="00062375">
        <w:rPr>
          <w:rStyle w:val="aff4"/>
          <w:rFonts w:hint="cs"/>
          <w:rtl/>
        </w:rPr>
        <w:t xml:space="preserve"> </w:t>
      </w:r>
      <w:r w:rsidRPr="007C2097">
        <w:rPr>
          <w:rFonts w:hint="cs"/>
          <w:rtl/>
        </w:rPr>
        <w:t xml:space="preserve">דלדעת </w:t>
      </w:r>
      <w:r w:rsidRPr="007C2097">
        <w:rPr>
          <w:rStyle w:val="aff4"/>
          <w:rFonts w:hint="cs"/>
          <w:vanish/>
          <w:rtl/>
        </w:rPr>
        <w:t>-</w:t>
      </w:r>
      <w:r w:rsidRPr="007C2097">
        <w:rPr>
          <w:rStyle w:val="aff4"/>
          <w:rFonts w:hint="cs"/>
          <w:rtl/>
        </w:rPr>
        <w:t>רש"י והרמב"ם</w:t>
      </w:r>
      <w:r w:rsidRPr="007C2097">
        <w:rPr>
          <w:rStyle w:val="aff4"/>
          <w:rFonts w:hint="cs"/>
          <w:vanish/>
          <w:rtl/>
        </w:rPr>
        <w:t>-</w:t>
      </w:r>
      <w:r>
        <w:rPr>
          <w:rFonts w:hint="cs"/>
          <w:rtl/>
        </w:rPr>
        <w:t xml:space="preserve"> קצרו את העצים שנטע יעקב אבינו לצורך בנין המשכן, והיינו דוקא באילן סרק, אבל באילן פרי אינו אב דקוצר אלא תולדה, והחיוב הוא רק בזומר וצריך לעצים, עיי"ש בדבריו.</w:t>
      </w:r>
      <w:bookmarkEnd w:id="998"/>
      <w:r>
        <w:rPr>
          <w:rFonts w:hint="cs"/>
          <w:rtl/>
        </w:rPr>
        <w:t xml:space="preserve"> </w:t>
      </w:r>
    </w:p>
    <w:p w14:paraId="34059451" w14:textId="77777777" w:rsidR="00D31714" w:rsidRPr="00747170" w:rsidRDefault="00D31714" w:rsidP="00747170">
      <w:pPr>
        <w:pStyle w:val="a2"/>
        <w:rPr>
          <w:rtl/>
        </w:rPr>
      </w:pPr>
      <w:r w:rsidRPr="00747170">
        <w:rPr>
          <w:rtl/>
        </w:rPr>
        <w:t>א הקוצר כיצד אחד הקוצר תבואה או קטניות או הבוצר ענבים או הגודר תאנים או המוסק זתים או האורה תאנים או הקוצר כל דבר שגידולו מן הארץ בין שהוא מאכל אדם או מאכל בהמה או סממנין לצבוע בהן או עצים מאילני סרק להסקה או לבנין וכיוצא בהן כל אחד מאלו הוא אב מלאכת קוצר.</w:t>
      </w:r>
    </w:p>
    <w:p w14:paraId="5517B128" w14:textId="77777777" w:rsidR="00D31714" w:rsidRPr="0074537A" w:rsidRDefault="00D31714" w:rsidP="00747170">
      <w:pPr>
        <w:pStyle w:val="afffff5"/>
      </w:pPr>
      <w:r w:rsidRPr="0074537A">
        <w:rPr>
          <w:rtl/>
        </w:rPr>
        <w:t>[ב] או עצים שצריך להם. זהו לדעת רש"י ורמב"ם שביארנו בפתיחה [אות ד'] דלשיטתם הא דאמר בגמ' [מט ב] הם זרעו אתם לא תזרעו היינו שזרעו קודם שנצטוו על מלאכת המשכן רק שידעו שיעשו משכן כמו שהי' מקובל בידם מיעקב אבינו. וא"כ אף קצירת עצים נחשב שהי' במשכן שקצצו עצים במצרים לצורך קרשי המשכן והוא בכלל אב מלאכת הקוצר. אך לרב האי ור"ח אין למדין רק ממה שעשו אחר שנצטוו על מלאכת המשכן וכן דעת הירושלמי. וא"כ קצירת עצים שהי' עוד במצרים לא נחשב שהי' במשכן. וא"ל דמה בכך מ"מ קצירה הי' במשכן. ליתא דהא כתבו התוס' [עג ב] דבעצים לא מיקרי קצירה אא"כ צריך להם ומבואר יותר בתוס' סנהדרין כ"ו. ובמהרש"א שם דגבי שביעית מקרי קציצת עצים מלאכה רק גבי שבת דמלאכת מחשבת אסרה תורה מחשבתו משוי לי' קצירה וא"כ אינו דומה ממש לקצירה שבמשכן שבעצמותו הוא קצירה והוה רק תולדה כמ"ש הרמב"ם פ"ז מהל' שבת שכל שאינו דומה ממש הוי תולדה. ועי' בביאורנו למלאכת חורש סק"ז אות ט' דיש חילוק בין אילן סרק לאילן מאכל. דא"ס הקוצצו או חותך ממנו ענף הוא כמו קוצר פירות ממש. אבל אילן עושה פרי הרי האילן כמו קרקע שמוציא פירות וכשחותך באילן כחותך מקצת מן הקרקע. רק כשצריך לעצים אחשבי' לעצים כפרי. ולפי"ז אין ללמוד מקציצת ארזים לצורך המשכן לחותך מאילן מאכל. וקוצץ מאי"מ לכ"ע הוא תולדה ואפי' להסוברים דחייב בזומר משום קוצר אפי' אין צריך להעצים. מ"מ אינו דומה לקצירת סממנים וקציצת ארזים ממש. משום שהאילן דומה לקרקע. וזהו שפירש"י בזומר וצריך לעצים דהוי תולדה דקוצר. אף דרש"י ס"ל דחייב משום קוצר אפי' אינו צריך להעצים כמו שנתבאר בסק"ל בס"ד:</w:t>
      </w:r>
    </w:p>
    <w:p w14:paraId="08F43230" w14:textId="77777777" w:rsidR="00D31714" w:rsidRDefault="00D31714" w:rsidP="00D31714">
      <w:pPr>
        <w:pStyle w:val="1"/>
        <w:rPr>
          <w:rtl/>
        </w:rPr>
      </w:pPr>
      <w:bookmarkStart w:id="999" w:name="_Toc135669934"/>
      <w:r>
        <w:rPr>
          <w:rFonts w:hint="cs"/>
          <w:rtl/>
        </w:rPr>
        <w:t>בי' האגל"ט דהתולש מדבר שדרכו לתלוש הוא אב דקוצר</w:t>
      </w:r>
      <w:bookmarkEnd w:id="999"/>
    </w:p>
    <w:p w14:paraId="1B360912" w14:textId="77777777" w:rsidR="00D31714" w:rsidRDefault="00D31714" w:rsidP="00D31714">
      <w:pPr>
        <w:pStyle w:val="afffff7"/>
        <w:rPr>
          <w:rtl/>
        </w:rPr>
      </w:pPr>
      <w:bookmarkStart w:id="1000" w:name="_Toc135670239"/>
      <w:bookmarkStart w:id="1001" w:name="_Toc163505540"/>
      <w:r w:rsidRPr="00DC132E">
        <w:rPr>
          <w:rtl/>
        </w:rPr>
        <w:t>אגלי טל קוצר אות א</w:t>
      </w:r>
      <w:r>
        <w:rPr>
          <w:rFonts w:hint="cs"/>
          <w:rtl/>
        </w:rPr>
        <w:t>, סק"ג</w:t>
      </w:r>
      <w:bookmarkEnd w:id="1000"/>
      <w:bookmarkEnd w:id="1001"/>
    </w:p>
    <w:p w14:paraId="0306C2C5" w14:textId="77777777" w:rsidR="00D31714" w:rsidRDefault="00D31714" w:rsidP="00D31714">
      <w:pPr>
        <w:pStyle w:val="a7"/>
        <w:rPr>
          <w:rtl/>
        </w:rPr>
      </w:pPr>
      <w:bookmarkStart w:id="1002" w:name="_Toc135669935"/>
      <w:r>
        <w:rPr>
          <w:rFonts w:hint="cs"/>
          <w:rtl/>
        </w:rPr>
        <w:t>בי' האגל"ט דדרכו לתלוש הוי אב בקוצר בכלי או בתולש ביד ורק בדרכו בכלי תולש תולדה</w:t>
      </w:r>
      <w:bookmarkEnd w:id="1002"/>
    </w:p>
    <w:p w14:paraId="356AC121" w14:textId="414A7B65" w:rsidR="00D31714" w:rsidRPr="00DC132E" w:rsidRDefault="00D31714" w:rsidP="00BC7DC8">
      <w:pPr>
        <w:pStyle w:val="a3"/>
        <w:rPr>
          <w:rtl/>
        </w:rPr>
      </w:pPr>
      <w:bookmarkStart w:id="1003" w:name="_Ref135660528"/>
      <w:r>
        <w:rPr>
          <w:rFonts w:hint="cs"/>
          <w:rtl/>
        </w:rPr>
        <w:t xml:space="preserve">כתב </w:t>
      </w:r>
      <w:r w:rsidRPr="009556BA">
        <w:rPr>
          <w:rStyle w:val="aff4"/>
          <w:rFonts w:hint="cs"/>
          <w:vanish/>
          <w:rtl/>
        </w:rPr>
        <w:t>-</w:t>
      </w:r>
      <w:r w:rsidRPr="00062375">
        <w:rPr>
          <w:rStyle w:val="aff4"/>
          <w:rFonts w:hint="cs"/>
          <w:rtl/>
        </w:rPr>
        <w:t>ה</w:t>
      </w:r>
      <w:r w:rsidRPr="00FC1595">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Ref135660528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יט)</w:t>
      </w:r>
      <w:r>
        <w:rPr>
          <w:rStyle w:val="aff4"/>
          <w:vanish/>
          <w:rtl/>
        </w:rPr>
        <w:fldChar w:fldCharType="end"/>
      </w:r>
      <w:r w:rsidRPr="00FC1595">
        <w:rPr>
          <w:rStyle w:val="aff4"/>
          <w:rFonts w:hint="cs"/>
          <w:vanish/>
          <w:rtl/>
        </w:rPr>
        <w:t xml:space="preserve"> &gt;</w:t>
      </w:r>
      <w:r w:rsidRPr="00062375">
        <w:rPr>
          <w:rStyle w:val="aff4"/>
          <w:rFonts w:hint="cs"/>
          <w:rtl/>
        </w:rPr>
        <w:t>אגלי טל</w:t>
      </w:r>
      <w:r w:rsidRPr="009556BA">
        <w:rPr>
          <w:rStyle w:val="aff4"/>
          <w:rFonts w:hint="cs"/>
          <w:vanish/>
          <w:rtl/>
        </w:rPr>
        <w:t>-</w:t>
      </w:r>
      <w:r>
        <w:rPr>
          <w:rFonts w:hint="cs"/>
          <w:rtl/>
        </w:rPr>
        <w:t xml:space="preserve"> </w:t>
      </w:r>
      <w:r w:rsidRPr="00A3054F">
        <w:rPr>
          <w:rStyle w:val="af2"/>
          <w:rFonts w:eastAsia="Guttman Hodes" w:hint="cs"/>
          <w:rtl/>
        </w:rPr>
        <w:t>(קוצר אות א')</w:t>
      </w:r>
      <w:r w:rsidRPr="009556BA">
        <w:rPr>
          <w:rFonts w:hint="cs"/>
          <w:vanish/>
          <w:rtl/>
        </w:rPr>
        <w:t>=</w:t>
      </w:r>
      <w:r>
        <w:rPr>
          <w:rFonts w:hint="cs"/>
          <w:rtl/>
        </w:rPr>
        <w:t xml:space="preserve"> דנראה דדבר שהדרך לתולשו או לעוקרו, וקצר אותו בכלי, או שתלש דבר שדרכו בתלישה או בעקירה הוא אב דקוצר, </w:t>
      </w:r>
      <w:r w:rsidRPr="00AF131F">
        <w:rPr>
          <w:rFonts w:hint="cs"/>
          <w:rtl/>
        </w:rPr>
        <w:t xml:space="preserve">וביאר </w:t>
      </w:r>
      <w:r w:rsidRPr="00A86C7D">
        <w:rPr>
          <w:rStyle w:val="aff4"/>
          <w:rFonts w:hint="cs"/>
          <w:vanish/>
          <w:rtl/>
        </w:rPr>
        <w:t>-</w:t>
      </w:r>
      <w:r w:rsidRPr="00DC239A">
        <w:rPr>
          <w:rStyle w:val="aff4"/>
          <w:rFonts w:hint="cs"/>
          <w:rtl/>
        </w:rPr>
        <w:t>ה</w:t>
      </w:r>
      <w:r w:rsidRPr="001440B4">
        <w:rPr>
          <w:rStyle w:val="aff4"/>
          <w:rFonts w:hint="cs"/>
          <w:vanish/>
          <w:rtl/>
        </w:rPr>
        <w:t>&lt; &gt;</w:t>
      </w:r>
      <w:r w:rsidRPr="00DC239A">
        <w:rPr>
          <w:rStyle w:val="aff4"/>
          <w:rFonts w:hint="cs"/>
          <w:rtl/>
        </w:rPr>
        <w:t>אגלי טל</w:t>
      </w:r>
      <w:r w:rsidRPr="00A86C7D">
        <w:rPr>
          <w:rStyle w:val="aff4"/>
          <w:rFonts w:hint="cs"/>
          <w:vanish/>
          <w:rtl/>
        </w:rPr>
        <w:t>-</w:t>
      </w:r>
      <w:r w:rsidRPr="00AF131F">
        <w:rPr>
          <w:rFonts w:hint="cs"/>
          <w:rtl/>
        </w:rPr>
        <w:t xml:space="preserve"> </w:t>
      </w:r>
      <w:r w:rsidRPr="00A3054F">
        <w:rPr>
          <w:rStyle w:val="af2"/>
          <w:rFonts w:eastAsia="Guttman Hodes" w:hint="cs"/>
          <w:rtl/>
        </w:rPr>
        <w:t>(קוצר סק"ג)</w:t>
      </w:r>
      <w:r w:rsidRPr="00A86C7D">
        <w:rPr>
          <w:rFonts w:hint="cs"/>
          <w:vanish/>
          <w:rtl/>
        </w:rPr>
        <w:t>=</w:t>
      </w:r>
      <w:r w:rsidRPr="00AF131F">
        <w:rPr>
          <w:rFonts w:hint="cs"/>
          <w:rtl/>
        </w:rPr>
        <w:t xml:space="preserve"> דכן מבואר ממ"ש </w:t>
      </w:r>
      <w:r w:rsidRPr="00A86C7D">
        <w:rPr>
          <w:rStyle w:val="aff4"/>
          <w:rFonts w:hint="cs"/>
          <w:vanish/>
          <w:rtl/>
        </w:rPr>
        <w:t>-</w:t>
      </w:r>
      <w:r w:rsidRPr="00DC239A">
        <w:rPr>
          <w:rStyle w:val="aff4"/>
          <w:rFonts w:hint="cs"/>
          <w:rtl/>
        </w:rPr>
        <w:t>הרמב"ם</w:t>
      </w:r>
      <w:r w:rsidRPr="00A86C7D">
        <w:rPr>
          <w:rStyle w:val="aff4"/>
          <w:rFonts w:hint="cs"/>
          <w:vanish/>
          <w:rtl/>
        </w:rPr>
        <w:t>-</w:t>
      </w:r>
      <w:r w:rsidRPr="00AF131F">
        <w:rPr>
          <w:rFonts w:hint="cs"/>
          <w:rtl/>
        </w:rPr>
        <w:t xml:space="preserve"> </w:t>
      </w:r>
      <w:r w:rsidRPr="00A3054F">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Ref130240129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w:t>
      </w:r>
      <w:r>
        <w:rPr>
          <w:rStyle w:val="af2"/>
          <w:rFonts w:eastAsia="Guttman Hodes"/>
          <w:rtl/>
        </w:rPr>
        <w:fldChar w:fldCharType="end"/>
      </w:r>
      <w:r w:rsidRPr="00AF131F">
        <w:rPr>
          <w:rFonts w:hint="cs"/>
          <w:rtl/>
        </w:rPr>
        <w:t xml:space="preserve"> דהקוצר קיטנית הוא אב, ויש קיטניות דדרכם בתלישה, וכיון דמוכח דהתולש דבר שדרכו בתלישה הוא אב, </w:t>
      </w:r>
      <w:r w:rsidRPr="003E0220">
        <w:rPr>
          <w:rStyle w:val="af"/>
          <w:rFonts w:hint="cs"/>
          <w:rtl/>
        </w:rPr>
        <w:t xml:space="preserve">[כדביאר </w:t>
      </w:r>
      <w:r w:rsidRPr="00735214">
        <w:rPr>
          <w:rStyle w:val="aff9"/>
          <w:rFonts w:hint="cs"/>
          <w:vanish/>
          <w:rtl/>
        </w:rPr>
        <w:t>-</w:t>
      </w:r>
      <w:r w:rsidRPr="003E0220">
        <w:rPr>
          <w:rStyle w:val="aff9"/>
          <w:rFonts w:hint="cs"/>
          <w:rtl/>
        </w:rPr>
        <w:t>האגלי טל</w:t>
      </w:r>
      <w:r w:rsidRPr="00735214">
        <w:rPr>
          <w:rStyle w:val="aff9"/>
          <w:rFonts w:hint="cs"/>
          <w:vanish/>
          <w:rtl/>
        </w:rPr>
        <w:t>-</w:t>
      </w:r>
      <w:r w:rsidRPr="003E0220">
        <w:rPr>
          <w:rStyle w:val="af"/>
          <w:rFonts w:hint="cs"/>
          <w:rtl/>
        </w:rPr>
        <w:t xml:space="preserve"> </w:t>
      </w:r>
      <w:r w:rsidRPr="003E0220">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Ref135598483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כ)</w:t>
      </w:r>
      <w:r>
        <w:rPr>
          <w:rStyle w:val="aff0"/>
          <w:rtl/>
        </w:rPr>
        <w:fldChar w:fldCharType="end"/>
      </w:r>
      <w:r w:rsidRPr="00735214">
        <w:rPr>
          <w:rStyle w:val="af"/>
          <w:rFonts w:hint="cs"/>
          <w:rtl/>
        </w:rPr>
        <w:t>],</w:t>
      </w:r>
      <w:r w:rsidRPr="00AF131F">
        <w:rPr>
          <w:rFonts w:hint="cs"/>
          <w:rtl/>
        </w:rPr>
        <w:t xml:space="preserve"> א"כ א"א לומר דמ"ש </w:t>
      </w:r>
      <w:r w:rsidRPr="00A86C7D">
        <w:rPr>
          <w:rStyle w:val="aff4"/>
          <w:rFonts w:hint="cs"/>
          <w:vanish/>
          <w:rtl/>
        </w:rPr>
        <w:t>-</w:t>
      </w:r>
      <w:r w:rsidRPr="00DC239A">
        <w:rPr>
          <w:rStyle w:val="aff4"/>
          <w:rFonts w:hint="cs"/>
          <w:rtl/>
        </w:rPr>
        <w:t>הרמב"ם</w:t>
      </w:r>
      <w:r w:rsidRPr="00A86C7D">
        <w:rPr>
          <w:rStyle w:val="aff4"/>
          <w:rFonts w:hint="cs"/>
          <w:vanish/>
          <w:rtl/>
        </w:rPr>
        <w:t>-</w:t>
      </w:r>
      <w:r w:rsidRPr="00AF131F">
        <w:rPr>
          <w:rFonts w:hint="cs"/>
          <w:rtl/>
        </w:rPr>
        <w:t xml:space="preserve"> דתולש הוא תולדה דאיירי בדבר שדרכו בתלישה, וכיון דלא איירי בזה </w:t>
      </w:r>
      <w:r w:rsidRPr="00A86C7D">
        <w:rPr>
          <w:rStyle w:val="aff4"/>
          <w:rFonts w:hint="cs"/>
          <w:vanish/>
          <w:rtl/>
        </w:rPr>
        <w:t>-</w:t>
      </w:r>
      <w:r w:rsidRPr="00DC239A">
        <w:rPr>
          <w:rStyle w:val="aff4"/>
          <w:rFonts w:hint="cs"/>
          <w:rtl/>
        </w:rPr>
        <w:t>הרמב"ם</w:t>
      </w:r>
      <w:r w:rsidRPr="00A86C7D">
        <w:rPr>
          <w:rStyle w:val="aff4"/>
          <w:rFonts w:hint="cs"/>
          <w:vanish/>
          <w:rtl/>
        </w:rPr>
        <w:t>-</w:t>
      </w:r>
      <w:r w:rsidRPr="00AF131F">
        <w:rPr>
          <w:rFonts w:hint="cs"/>
          <w:rtl/>
        </w:rPr>
        <w:t xml:space="preserve"> כלל, א"כ אפש"ל דבדבר כזה אף הקוצר אותו הוי אב, דחיוב האב דקוצר הוא אף בדבר</w:t>
      </w:r>
      <w:r>
        <w:rPr>
          <w:rFonts w:hint="cs"/>
          <w:rtl/>
        </w:rPr>
        <w:t xml:space="preserve"> שאין דרכו בכך, ועי' במ"ש </w:t>
      </w:r>
      <w:r w:rsidRPr="00AC0BA6">
        <w:rPr>
          <w:rStyle w:val="aff4"/>
          <w:rFonts w:hint="cs"/>
          <w:vanish/>
          <w:rtl/>
        </w:rPr>
        <w:t>-</w:t>
      </w:r>
      <w:r>
        <w:rPr>
          <w:rStyle w:val="aff4"/>
          <w:rFonts w:hint="cs"/>
          <w:rtl/>
        </w:rPr>
        <w:t>בחי' הגרי"ז בבכורות</w:t>
      </w:r>
      <w:r w:rsidRPr="00AC0BA6">
        <w:rPr>
          <w:rStyle w:val="aff4"/>
          <w:rFonts w:hint="cs"/>
          <w:vanish/>
          <w:rtl/>
        </w:rPr>
        <w:t>-</w:t>
      </w:r>
      <w:r>
        <w:rPr>
          <w:rFonts w:hint="cs"/>
          <w:rtl/>
        </w:rPr>
        <w:t xml:space="preserve"> </w:t>
      </w:r>
      <w:r w:rsidRPr="00A3054F">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Ref135565447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מח)</w:t>
      </w:r>
      <w:r>
        <w:rPr>
          <w:rStyle w:val="af2"/>
          <w:rFonts w:eastAsia="Guttman Hodes"/>
          <w:rtl/>
        </w:rPr>
        <w:fldChar w:fldCharType="end"/>
      </w:r>
      <w:r>
        <w:rPr>
          <w:rFonts w:hint="cs"/>
          <w:rtl/>
        </w:rPr>
        <w:t>.</w:t>
      </w:r>
      <w:bookmarkEnd w:id="1003"/>
    </w:p>
    <w:p w14:paraId="5B7FE65B" w14:textId="77777777" w:rsidR="00D31714" w:rsidRPr="00747170" w:rsidRDefault="00D31714" w:rsidP="00747170">
      <w:pPr>
        <w:pStyle w:val="a2"/>
      </w:pPr>
      <w:r w:rsidRPr="00747170">
        <w:rPr>
          <w:rtl/>
        </w:rPr>
        <w:t>ויראה לי דהקוצר דברים שדרכן בתלישה או בעקירה או תולש דברים שדרכן בתלישה או עוקר דבר שדרכו בעקירה הוא נמי אב מלאכה:</w:t>
      </w:r>
    </w:p>
    <w:p w14:paraId="54B519F5" w14:textId="77777777" w:rsidR="00D31714" w:rsidRPr="008D15D1" w:rsidRDefault="00D31714" w:rsidP="00D31714">
      <w:pPr>
        <w:pStyle w:val="afffff7"/>
        <w:rPr>
          <w:vanish/>
          <w:rtl/>
        </w:rPr>
      </w:pPr>
      <w:r w:rsidRPr="008D15D1">
        <w:rPr>
          <w:vanish/>
          <w:rtl/>
        </w:rPr>
        <w:t xml:space="preserve">אגלי טל באורים </w:t>
      </w:r>
      <w:r w:rsidRPr="008D15D1">
        <w:rPr>
          <w:rFonts w:hint="cs"/>
          <w:vanish/>
          <w:rtl/>
        </w:rPr>
        <w:t>קוצר סק"ג</w:t>
      </w:r>
    </w:p>
    <w:p w14:paraId="42B1B13B" w14:textId="77777777" w:rsidR="00D31714" w:rsidRPr="0074537A" w:rsidRDefault="00D31714" w:rsidP="00747170">
      <w:pPr>
        <w:pStyle w:val="afffff5"/>
      </w:pPr>
      <w:r w:rsidRPr="0074537A">
        <w:rPr>
          <w:rtl/>
        </w:rPr>
        <w:t>[ג] ויראה לי דהקוצר דברים שדרכן בתלישה או בעקירה. זה נלמד ממ"ש הרמב"ם והעתקתיו לעיל ס"ק א' דהקוצר קטניות הוא אב מלאכה. והנה ידוע דשם קטניות כולל פולין ועדשים. ובחולין (דף קל"ז א) פירש"י דעדשים דרכן בעקירה ופולין דרכן בתלישה. הרי מפורש דהקוצר דברים שדרכן בתלישה או בעקירה הוי אב מלאכה. ועוד שהרי הוכחנו לקמן סק"ד דהתולש דברים שדרכן בתלישה הוי אב. וא"כ אם איתא דהקוצר דברים שאין דרכן בקצירה לא הוי אב שוב הוי קוצר כמו תולש ושניהם דין אחד להם דבדרכן בכך שניהם אבות ובאין דרכן בכך שניהם תולדות. והרי הרמב"ם חשיב תולש רק תולדת קוצר. ובמאי עסקינן אי בשדרכו בכך הא אמרת דאב הוא. ואי בשאין דרכו בכך מאי אריא תולש ביד אפי' קוצר בכלי נמי. אלא ודאי דקוצר הוי אב אפי' בשאין דרכו בכך ובכגון זה דהיינו בשאין דרכו בכך הוי תולש תולדה:</w:t>
      </w:r>
    </w:p>
    <w:p w14:paraId="35E90D7C" w14:textId="77777777" w:rsidR="00D31714" w:rsidRDefault="00D31714" w:rsidP="00D31714">
      <w:pPr>
        <w:pStyle w:val="afffff7"/>
        <w:rPr>
          <w:rtl/>
        </w:rPr>
      </w:pPr>
      <w:bookmarkStart w:id="1004" w:name="_Toc135670240"/>
      <w:bookmarkStart w:id="1005" w:name="_Toc163505541"/>
      <w:r>
        <w:rPr>
          <w:rtl/>
        </w:rPr>
        <w:t xml:space="preserve">אגלי טל באורים </w:t>
      </w:r>
      <w:r>
        <w:rPr>
          <w:rFonts w:hint="cs"/>
          <w:rtl/>
        </w:rPr>
        <w:t>קוצר סק"ד</w:t>
      </w:r>
      <w:bookmarkEnd w:id="1004"/>
      <w:bookmarkEnd w:id="1005"/>
    </w:p>
    <w:p w14:paraId="48B71AD9" w14:textId="77777777" w:rsidR="00D31714" w:rsidRDefault="00D31714" w:rsidP="00D31714">
      <w:pPr>
        <w:pStyle w:val="a7"/>
        <w:rPr>
          <w:rtl/>
        </w:rPr>
      </w:pPr>
      <w:bookmarkStart w:id="1006" w:name="_Toc135669936"/>
      <w:r>
        <w:rPr>
          <w:rFonts w:hint="cs"/>
          <w:rtl/>
        </w:rPr>
        <w:t>בי' האגל"ט דמוכח בגמ' בחולין דהתולש דבר שדרכו לתלוש דחייב עליו משום אב דקוצר</w:t>
      </w:r>
      <w:bookmarkEnd w:id="1006"/>
    </w:p>
    <w:p w14:paraId="338DD7A4" w14:textId="676FCB46" w:rsidR="00D31714" w:rsidRPr="00A14BD2" w:rsidRDefault="00D31714" w:rsidP="00BC7DC8">
      <w:pPr>
        <w:pStyle w:val="a3"/>
      </w:pPr>
      <w:bookmarkStart w:id="1007" w:name="_Ref135598483"/>
      <w:r>
        <w:rPr>
          <w:rFonts w:hint="cs"/>
          <w:rtl/>
        </w:rPr>
        <w:t xml:space="preserve">וביאר </w:t>
      </w:r>
      <w:r w:rsidRPr="00AF131F">
        <w:rPr>
          <w:rStyle w:val="aff4"/>
          <w:rFonts w:hint="cs"/>
          <w:vanish/>
          <w:rtl/>
        </w:rPr>
        <w:t>-</w:t>
      </w:r>
      <w:r w:rsidRPr="00AF131F">
        <w:rPr>
          <w:rStyle w:val="aff4"/>
          <w:rFonts w:hint="cs"/>
          <w:rtl/>
        </w:rPr>
        <w:t>ה</w:t>
      </w:r>
      <w:r w:rsidRPr="00AF131F">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Ref135598483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כ)</w:t>
      </w:r>
      <w:r>
        <w:rPr>
          <w:rStyle w:val="aff4"/>
          <w:vanish/>
          <w:rtl/>
        </w:rPr>
        <w:fldChar w:fldCharType="end"/>
      </w:r>
      <w:r w:rsidRPr="00AF131F">
        <w:rPr>
          <w:rStyle w:val="aff4"/>
          <w:rFonts w:hint="cs"/>
          <w:vanish/>
          <w:rtl/>
        </w:rPr>
        <w:t xml:space="preserve"> &gt;</w:t>
      </w:r>
      <w:r w:rsidRPr="00AF131F">
        <w:rPr>
          <w:rStyle w:val="aff4"/>
          <w:rFonts w:hint="cs"/>
          <w:rtl/>
        </w:rPr>
        <w:t>אגלי טל</w:t>
      </w:r>
      <w:r w:rsidRPr="00AF131F">
        <w:rPr>
          <w:rStyle w:val="aff4"/>
          <w:rFonts w:hint="cs"/>
          <w:vanish/>
          <w:rtl/>
        </w:rPr>
        <w:t>-</w:t>
      </w:r>
      <w:r>
        <w:rPr>
          <w:rFonts w:hint="cs"/>
          <w:rtl/>
        </w:rPr>
        <w:t xml:space="preserve"> </w:t>
      </w:r>
      <w:r w:rsidRPr="00A3054F">
        <w:rPr>
          <w:rStyle w:val="af2"/>
          <w:rFonts w:eastAsia="Guttman Hodes" w:hint="cs"/>
          <w:rtl/>
        </w:rPr>
        <w:t>(קוצר סק"ד)</w:t>
      </w:r>
      <w:r w:rsidRPr="009556BA">
        <w:rPr>
          <w:rFonts w:hint="cs"/>
          <w:vanish/>
          <w:rtl/>
        </w:rPr>
        <w:t>=</w:t>
      </w:r>
      <w:r>
        <w:rPr>
          <w:rFonts w:hint="cs"/>
          <w:rtl/>
        </w:rPr>
        <w:t xml:space="preserve"> דהתולש דבר שדרכו לתלוש מוכח דהוא אב, מהא דאיתא בגמ' בחולין </w:t>
      </w:r>
      <w:r w:rsidRPr="00A3054F">
        <w:rPr>
          <w:rStyle w:val="af2"/>
          <w:rFonts w:eastAsia="Guttman Hodes" w:hint="cs"/>
          <w:rtl/>
        </w:rPr>
        <w:t>(קלז.)</w:t>
      </w:r>
      <w:r>
        <w:rPr>
          <w:rFonts w:hint="cs"/>
          <w:rtl/>
        </w:rPr>
        <w:t xml:space="preserve"> דדבר שדרכו בתלישה </w:t>
      </w:r>
      <w:r>
        <w:rPr>
          <w:rFonts w:hint="cs"/>
          <w:rtl/>
        </w:rPr>
        <w:lastRenderedPageBreak/>
        <w:t>חייבים עליו לענין ראשית הגז אף כשתלש ביד, וה"ה לענין אבות ותולדות בשבת, עיי"ש בדבריו.</w:t>
      </w:r>
      <w:bookmarkEnd w:id="1007"/>
    </w:p>
    <w:p w14:paraId="63967C21" w14:textId="77777777" w:rsidR="00D31714" w:rsidRPr="00747170" w:rsidRDefault="00D31714" w:rsidP="00747170">
      <w:pPr>
        <w:pStyle w:val="a2"/>
        <w:rPr>
          <w:rtl/>
        </w:rPr>
      </w:pPr>
      <w:r w:rsidRPr="00747170">
        <w:rPr>
          <w:rtl/>
        </w:rPr>
        <w:t>[ד] או תולש דברים שדרכן בתלישה. וראי' לדין זה דהא נמי חשוב אב מהא דחולין קל"ז. דתניא לקט קצירך ולא לקט קיטוף שר' יוסי אומר אין לקט אלא הבא מחמת קציר. א"ל רב אחא ברי' דרבא לרב אשי מודה ר"י במידי דאורחי' דתניא ר"י אומר קציר אין לי אלא קציר עוקר מנין ת"ל לקצור תולש מנין ת"ל בקצרך א"ל רבינא לרב אשי אף אנן נמי תנינא מלבנות בצלים שבין הירק ר"י אומר פיאה מכל אחד ואחד ע"כ. ולעיל מינה בהא דראשית הגז אינו נוהג אלא ברחלים יליף לה מהא דתתן לו ולא לשקו. אלא מעתה נוצה של עזים ליחייב. בעינן גיזה וליכא. מאן שמעת לי' האי סברא ר"י [פירש"י האי סברא דדריש לישנא דקרא דכתיב גז ר"י דאמר לקמן לקט קצירך ולא לקט קיטוף] הא מודה ר"י במידי דאורחי' אלא וכו'. ע"כ. וכיון דמשום דאורחי' חייב בראשית הגז ובלקט בתלישה ביד אף דכתיב גז קציר. וכתבו התוס' בכורות כ"ה. ד"ה ואמר דברה"ג ולקט לא חייב על תולדה. וע"כ משום דאורחי' חשוב גוזז וקוצר ממש. וה"ה בשבת דהוי אב ולא תולדה:</w:t>
      </w:r>
    </w:p>
    <w:p w14:paraId="1F24D7C1" w14:textId="77777777" w:rsidR="00D31714" w:rsidRDefault="00D31714" w:rsidP="00D31714">
      <w:pPr>
        <w:pStyle w:val="affff5"/>
        <w:rPr>
          <w:rtl/>
        </w:rPr>
      </w:pPr>
      <w:bookmarkStart w:id="1008" w:name="_Toc135669937"/>
      <w:r>
        <w:rPr>
          <w:rFonts w:hint="cs"/>
          <w:rtl/>
        </w:rPr>
        <w:t>ד' הרמב"ן דקצירה היא רק בגידו"ק</w:t>
      </w:r>
      <w:bookmarkEnd w:id="897"/>
      <w:bookmarkEnd w:id="1008"/>
    </w:p>
    <w:p w14:paraId="6375D1D1" w14:textId="77777777" w:rsidR="00D31714" w:rsidRDefault="00D31714" w:rsidP="00D31714">
      <w:pPr>
        <w:pStyle w:val="1"/>
        <w:rPr>
          <w:rtl/>
        </w:rPr>
      </w:pPr>
      <w:bookmarkStart w:id="1009" w:name="_Toc135129916"/>
      <w:bookmarkStart w:id="1010" w:name="_Toc135669938"/>
      <w:r>
        <w:rPr>
          <w:rFonts w:hint="cs"/>
          <w:rtl/>
        </w:rPr>
        <w:t>בי' הרמב"ן</w:t>
      </w:r>
      <w:bookmarkEnd w:id="1009"/>
      <w:r>
        <w:rPr>
          <w:rFonts w:hint="cs"/>
          <w:rtl/>
        </w:rPr>
        <w:t xml:space="preserve"> דקוצר הוא רק בגידו"ק והתולש מחי הוי גוזז</w:t>
      </w:r>
      <w:bookmarkEnd w:id="1010"/>
    </w:p>
    <w:p w14:paraId="39FF1C70" w14:textId="77777777" w:rsidR="00D31714" w:rsidRDefault="00D31714" w:rsidP="00D31714">
      <w:pPr>
        <w:pStyle w:val="afffff7"/>
        <w:rPr>
          <w:rtl/>
        </w:rPr>
      </w:pPr>
      <w:bookmarkStart w:id="1011" w:name="_Toc135129980"/>
      <w:bookmarkStart w:id="1012" w:name="_Toc135670241"/>
      <w:bookmarkStart w:id="1013" w:name="_Toc163505542"/>
      <w:r>
        <w:rPr>
          <w:rtl/>
        </w:rPr>
        <w:t>חדושי הרמב"ן שבת ק"ז ע"ב</w:t>
      </w:r>
      <w:r>
        <w:rPr>
          <w:rFonts w:hint="cs"/>
          <w:rtl/>
        </w:rPr>
        <w:t xml:space="preserve"> ד"ה הא</w:t>
      </w:r>
      <w:bookmarkEnd w:id="1011"/>
      <w:bookmarkEnd w:id="1012"/>
      <w:bookmarkEnd w:id="1013"/>
    </w:p>
    <w:p w14:paraId="0AF2C28B" w14:textId="77777777" w:rsidR="00D31714" w:rsidRDefault="00D31714" w:rsidP="00D31714">
      <w:pPr>
        <w:pStyle w:val="a7"/>
        <w:rPr>
          <w:rtl/>
        </w:rPr>
      </w:pPr>
      <w:bookmarkStart w:id="1014" w:name="_Toc135669939"/>
      <w:r>
        <w:rPr>
          <w:rFonts w:hint="cs"/>
          <w:rtl/>
        </w:rPr>
        <w:t>קו' הרמב"ן דקוצר הוא רק בגידו"ק וכדמוכח מתולש מעוף דהוי גוזז וכן משער וצפורנים באדם</w:t>
      </w:r>
      <w:bookmarkEnd w:id="1014"/>
    </w:p>
    <w:p w14:paraId="1E1DF769" w14:textId="20483A3A" w:rsidR="00D31714" w:rsidRPr="0015092F" w:rsidRDefault="00D31714" w:rsidP="00BC7DC8">
      <w:pPr>
        <w:pStyle w:val="a3"/>
        <w:rPr>
          <w:rtl/>
        </w:rPr>
      </w:pPr>
      <w:bookmarkStart w:id="1015" w:name="_Ref134521888"/>
      <w:r>
        <w:rPr>
          <w:rFonts w:hint="cs"/>
          <w:rtl/>
        </w:rPr>
        <w:t xml:space="preserve">בהא דאמר שמואל לקמן </w:t>
      </w:r>
      <w:r w:rsidRPr="00A3054F">
        <w:rPr>
          <w:rStyle w:val="af2"/>
          <w:rFonts w:eastAsia="Guttman Hodes" w:hint="cs"/>
          <w:rtl/>
        </w:rPr>
        <w:t>(קז:)</w:t>
      </w:r>
      <w:r>
        <w:rPr>
          <w:rFonts w:hint="cs"/>
          <w:rtl/>
        </w:rPr>
        <w:t xml:space="preserve"> דהמושיט ידו למעי בהמה ודלדל עובר שבמעיה, חייב משום עוקר דבר מגידולו, הקשה </w:t>
      </w:r>
      <w:r w:rsidRPr="000D4E5E">
        <w:rPr>
          <w:rStyle w:val="aff4"/>
          <w:rFonts w:hint="cs"/>
          <w:vanish/>
          <w:rtl/>
        </w:rPr>
        <w:t>-</w:t>
      </w:r>
      <w:r w:rsidRPr="00572920">
        <w:rPr>
          <w:rStyle w:val="aff4"/>
          <w:rFonts w:hint="cs"/>
          <w:rtl/>
        </w:rPr>
        <w:t>ה</w:t>
      </w:r>
      <w:r w:rsidRPr="000D4E5E">
        <w:rPr>
          <w:rStyle w:val="aff4"/>
          <w:rFonts w:hint="cs"/>
          <w:vanish/>
          <w:rtl/>
        </w:rPr>
        <w:t xml:space="preserve">&lt;. </w:t>
      </w:r>
      <w:r w:rsidRPr="000D4E5E">
        <w:rPr>
          <w:rStyle w:val="aff4"/>
          <w:vanish/>
          <w:rtl/>
        </w:rPr>
        <w:fldChar w:fldCharType="begin"/>
      </w:r>
      <w:r w:rsidRPr="000D4E5E">
        <w:rPr>
          <w:rStyle w:val="aff4"/>
          <w:vanish/>
          <w:rtl/>
        </w:rPr>
        <w:instrText xml:space="preserve"> </w:instrText>
      </w:r>
      <w:r w:rsidRPr="000D4E5E">
        <w:rPr>
          <w:rStyle w:val="aff4"/>
          <w:rFonts w:hint="cs"/>
          <w:vanish/>
        </w:rPr>
        <w:instrText>REF</w:instrText>
      </w:r>
      <w:r w:rsidRPr="000D4E5E">
        <w:rPr>
          <w:rStyle w:val="aff4"/>
          <w:rFonts w:hint="cs"/>
          <w:vanish/>
          <w:rtl/>
        </w:rPr>
        <w:instrText xml:space="preserve"> _</w:instrText>
      </w:r>
      <w:r w:rsidRPr="000D4E5E">
        <w:rPr>
          <w:rStyle w:val="aff4"/>
          <w:rFonts w:hint="cs"/>
          <w:vanish/>
        </w:rPr>
        <w:instrText>Ref134521888 \r \h</w:instrText>
      </w:r>
      <w:r w:rsidRPr="000D4E5E">
        <w:rPr>
          <w:rStyle w:val="aff4"/>
          <w:vanish/>
          <w:rtl/>
        </w:rPr>
        <w:instrText xml:space="preserve"> </w:instrText>
      </w:r>
      <w:r w:rsidRPr="000D4E5E">
        <w:rPr>
          <w:rStyle w:val="aff4"/>
          <w:vanish/>
          <w:rtl/>
        </w:rPr>
      </w:r>
      <w:r w:rsidRPr="000D4E5E">
        <w:rPr>
          <w:rStyle w:val="aff4"/>
          <w:vanish/>
          <w:rtl/>
        </w:rPr>
        <w:fldChar w:fldCharType="separate"/>
      </w:r>
      <w:r w:rsidR="00D82181">
        <w:rPr>
          <w:rStyle w:val="aff4"/>
          <w:vanish/>
          <w:cs/>
        </w:rPr>
        <w:t>‎</w:t>
      </w:r>
      <w:r w:rsidR="00D82181">
        <w:rPr>
          <w:rStyle w:val="aff4"/>
          <w:vanish/>
          <w:rtl/>
        </w:rPr>
        <w:t>כא)</w:t>
      </w:r>
      <w:r w:rsidRPr="000D4E5E">
        <w:rPr>
          <w:rStyle w:val="aff4"/>
          <w:vanish/>
          <w:rtl/>
        </w:rPr>
        <w:fldChar w:fldCharType="end"/>
      </w:r>
      <w:r w:rsidRPr="000D4E5E">
        <w:rPr>
          <w:rStyle w:val="aff4"/>
          <w:rFonts w:hint="cs"/>
          <w:vanish/>
          <w:rtl/>
        </w:rPr>
        <w:t xml:space="preserve"> &gt;</w:t>
      </w:r>
      <w:r w:rsidRPr="00572920">
        <w:rPr>
          <w:rStyle w:val="aff4"/>
          <w:rFonts w:hint="cs"/>
          <w:rtl/>
        </w:rPr>
        <w:t>רמב"ן לקמן</w:t>
      </w:r>
      <w:r w:rsidRPr="000D4E5E">
        <w:rPr>
          <w:rStyle w:val="aff4"/>
          <w:rFonts w:hint="cs"/>
          <w:vanish/>
          <w:rtl/>
        </w:rPr>
        <w:t>-</w:t>
      </w:r>
      <w:r>
        <w:rPr>
          <w:rFonts w:hint="cs"/>
          <w:rtl/>
        </w:rPr>
        <w:t xml:space="preserve"> </w:t>
      </w:r>
      <w:r w:rsidRPr="00A3054F">
        <w:rPr>
          <w:rStyle w:val="af2"/>
          <w:rFonts w:eastAsia="Guttman Hodes" w:hint="cs"/>
          <w:rtl/>
        </w:rPr>
        <w:t>(קז: ד"ה הא)</w:t>
      </w:r>
      <w:r w:rsidRPr="000D4E5E">
        <w:rPr>
          <w:rFonts w:hint="cs"/>
          <w:vanish/>
          <w:rtl/>
        </w:rPr>
        <w:t>=</w:t>
      </w:r>
      <w:r>
        <w:rPr>
          <w:rFonts w:hint="cs"/>
          <w:rtl/>
        </w:rPr>
        <w:t xml:space="preserve"> דעוקר דבר מגידולו הוא תולדה דקוצר, והוא שייך רק בגידולי קרקע, וכתב </w:t>
      </w:r>
      <w:r w:rsidRPr="000D4E5E">
        <w:rPr>
          <w:rStyle w:val="aff4"/>
          <w:rFonts w:hint="cs"/>
          <w:vanish/>
          <w:rtl/>
        </w:rPr>
        <w:t>-</w:t>
      </w:r>
      <w:r w:rsidRPr="00572920">
        <w:rPr>
          <w:rStyle w:val="aff4"/>
          <w:rFonts w:hint="cs"/>
          <w:rtl/>
        </w:rPr>
        <w:t>הרמב"ן לקמן</w:t>
      </w:r>
      <w:r w:rsidRPr="000D4E5E">
        <w:rPr>
          <w:rStyle w:val="aff4"/>
          <w:rFonts w:hint="cs"/>
          <w:vanish/>
          <w:rtl/>
        </w:rPr>
        <w:t>-</w:t>
      </w:r>
      <w:r>
        <w:rPr>
          <w:rFonts w:hint="cs"/>
          <w:rtl/>
        </w:rPr>
        <w:t xml:space="preserve"> דכן מוכח מהא דאיתא בגמ' לקמן </w:t>
      </w:r>
      <w:r w:rsidRPr="00A3054F">
        <w:rPr>
          <w:rStyle w:val="af2"/>
          <w:rFonts w:eastAsia="Guttman Hodes" w:hint="cs"/>
          <w:rtl/>
        </w:rPr>
        <w:t>(עד:)</w:t>
      </w:r>
      <w:r>
        <w:rPr>
          <w:rFonts w:hint="cs"/>
          <w:rtl/>
        </w:rPr>
        <w:t xml:space="preserve"> דהתולש כנף מעוף חייב משום גוזז, ולא אמרינן דחייב שתים גם משום עוקר דבר מגידולו, וכן מהא דתנן לקמן </w:t>
      </w:r>
      <w:r w:rsidRPr="00A3054F">
        <w:rPr>
          <w:rStyle w:val="af2"/>
          <w:rFonts w:eastAsia="Guttman Hodes" w:hint="cs"/>
          <w:rtl/>
        </w:rPr>
        <w:t>(צה:)</w:t>
      </w:r>
      <w:r w:rsidRPr="007615D2">
        <w:rPr>
          <w:rFonts w:hint="cs"/>
          <w:rtl/>
        </w:rPr>
        <w:t xml:space="preserve"> </w:t>
      </w:r>
      <w:r>
        <w:rPr>
          <w:rFonts w:hint="cs"/>
          <w:rtl/>
        </w:rPr>
        <w:t xml:space="preserve">דנוטל שערו וצפרניו ושפמו חייב משום גוזז, ולא אמרינן דחייב שתים גם משום עוקר דבר מגידולו, והוסיף </w:t>
      </w:r>
      <w:r w:rsidRPr="000D4E5E">
        <w:rPr>
          <w:rStyle w:val="aff4"/>
          <w:rFonts w:hint="cs"/>
          <w:vanish/>
          <w:rtl/>
        </w:rPr>
        <w:t>-</w:t>
      </w:r>
      <w:r w:rsidRPr="00572920">
        <w:rPr>
          <w:rStyle w:val="aff4"/>
          <w:rFonts w:hint="cs"/>
          <w:rtl/>
        </w:rPr>
        <w:t>הרמב"ן לקמן</w:t>
      </w:r>
      <w:r w:rsidRPr="000D4E5E">
        <w:rPr>
          <w:rStyle w:val="aff4"/>
          <w:rFonts w:hint="cs"/>
          <w:vanish/>
          <w:rtl/>
        </w:rPr>
        <w:t>-</w:t>
      </w:r>
      <w:r>
        <w:rPr>
          <w:rFonts w:hint="cs"/>
          <w:rtl/>
        </w:rPr>
        <w:t xml:space="preserve"> דכן משמע בגמ' בבכורות </w:t>
      </w:r>
      <w:r w:rsidRPr="00A3054F">
        <w:rPr>
          <w:rStyle w:val="af2"/>
          <w:rFonts w:eastAsia="Guttman Hodes" w:hint="cs"/>
          <w:rtl/>
        </w:rPr>
        <w:t>(כה.)</w:t>
      </w:r>
      <w:r>
        <w:rPr>
          <w:rFonts w:hint="cs"/>
          <w:rtl/>
        </w:rPr>
        <w:t xml:space="preserve"> דבתולש צמר מבכור אין בו איסור משום עוקר דבר מגידולו, וכ"כ </w:t>
      </w:r>
      <w:r w:rsidRPr="007F356E">
        <w:rPr>
          <w:rStyle w:val="aff4"/>
          <w:rFonts w:hint="cs"/>
          <w:vanish/>
          <w:rtl/>
        </w:rPr>
        <w:t>-</w:t>
      </w:r>
      <w:r w:rsidRPr="001F02FD">
        <w:rPr>
          <w:rStyle w:val="aff4"/>
          <w:rFonts w:hint="cs"/>
          <w:rtl/>
        </w:rPr>
        <w:t>ה</w:t>
      </w:r>
      <w:r w:rsidRPr="00084329">
        <w:rPr>
          <w:rStyle w:val="aff4"/>
          <w:rFonts w:hint="cs"/>
          <w:vanish/>
          <w:rtl/>
        </w:rPr>
        <w:t>&lt; &gt;</w:t>
      </w:r>
      <w:r w:rsidRPr="001F02FD">
        <w:rPr>
          <w:rStyle w:val="aff4"/>
          <w:rFonts w:hint="cs"/>
          <w:rtl/>
        </w:rPr>
        <w:t>רשב"א לקמן</w:t>
      </w:r>
      <w:r w:rsidRPr="007F356E">
        <w:rPr>
          <w:rStyle w:val="aff4"/>
          <w:rFonts w:hint="cs"/>
          <w:vanish/>
          <w:rtl/>
        </w:rPr>
        <w:t>-</w:t>
      </w:r>
      <w:r>
        <w:rPr>
          <w:rFonts w:hint="cs"/>
          <w:rtl/>
        </w:rPr>
        <w:t xml:space="preserve"> </w:t>
      </w:r>
      <w:r w:rsidRPr="00A3054F">
        <w:rPr>
          <w:rStyle w:val="af2"/>
          <w:rFonts w:eastAsia="Guttman Hodes" w:hint="cs"/>
          <w:rtl/>
        </w:rPr>
        <w:t>(קז: ד"ה הא)</w:t>
      </w:r>
      <w:r w:rsidRPr="007F356E">
        <w:rPr>
          <w:rFonts w:hint="cs"/>
          <w:vanish/>
          <w:rtl/>
        </w:rPr>
        <w:t>=</w:t>
      </w:r>
      <w:r>
        <w:rPr>
          <w:rFonts w:hint="cs"/>
          <w:rtl/>
        </w:rPr>
        <w:t xml:space="preserve"> </w:t>
      </w:r>
      <w:r w:rsidRPr="007F356E">
        <w:rPr>
          <w:rStyle w:val="aff4"/>
          <w:rFonts w:hint="cs"/>
          <w:vanish/>
          <w:rtl/>
        </w:rPr>
        <w:t>-</w:t>
      </w:r>
      <w:r>
        <w:rPr>
          <w:rStyle w:val="aff4"/>
          <w:rFonts w:hint="cs"/>
          <w:vanish/>
          <w:rtl/>
        </w:rPr>
        <w:t>ו</w:t>
      </w:r>
      <w:r w:rsidRPr="001F02FD">
        <w:rPr>
          <w:rStyle w:val="aff4"/>
          <w:rFonts w:hint="cs"/>
          <w:rtl/>
        </w:rPr>
        <w:t>ה</w:t>
      </w:r>
      <w:r w:rsidRPr="00084329">
        <w:rPr>
          <w:rStyle w:val="aff4"/>
          <w:rFonts w:hint="cs"/>
          <w:vanish/>
          <w:rtl/>
        </w:rPr>
        <w:t>&lt; &gt;</w:t>
      </w:r>
      <w:r w:rsidRPr="001F02FD">
        <w:rPr>
          <w:rStyle w:val="aff4"/>
          <w:rFonts w:hint="cs"/>
          <w:rtl/>
        </w:rPr>
        <w:t>ר"</w:t>
      </w:r>
      <w:r>
        <w:rPr>
          <w:rStyle w:val="aff4"/>
          <w:rFonts w:hint="cs"/>
          <w:rtl/>
        </w:rPr>
        <w:t>ן</w:t>
      </w:r>
      <w:r w:rsidRPr="001F02FD">
        <w:rPr>
          <w:rStyle w:val="aff4"/>
          <w:rFonts w:hint="cs"/>
          <w:rtl/>
        </w:rPr>
        <w:t xml:space="preserve"> לקמן</w:t>
      </w:r>
      <w:r w:rsidRPr="007F356E">
        <w:rPr>
          <w:rStyle w:val="aff4"/>
          <w:rFonts w:hint="cs"/>
          <w:vanish/>
          <w:rtl/>
        </w:rPr>
        <w:t>-</w:t>
      </w:r>
      <w:r>
        <w:rPr>
          <w:rFonts w:hint="cs"/>
          <w:rtl/>
        </w:rPr>
        <w:t xml:space="preserve"> </w:t>
      </w:r>
      <w:r w:rsidRPr="00A3054F">
        <w:rPr>
          <w:rStyle w:val="af2"/>
          <w:rFonts w:eastAsia="Guttman Hodes" w:hint="cs"/>
          <w:rtl/>
        </w:rPr>
        <w:t>(קז: ד"ה הכי נמי)</w:t>
      </w:r>
      <w:r w:rsidRPr="007F356E">
        <w:rPr>
          <w:rFonts w:hint="cs"/>
          <w:vanish/>
          <w:rtl/>
        </w:rPr>
        <w:t>=</w:t>
      </w:r>
      <w:r>
        <w:rPr>
          <w:rFonts w:hint="cs"/>
          <w:rtl/>
        </w:rPr>
        <w:t xml:space="preserve"> בשם </w:t>
      </w:r>
      <w:r w:rsidRPr="007F356E">
        <w:rPr>
          <w:rStyle w:val="aff4"/>
          <w:rFonts w:hint="cs"/>
          <w:vanish/>
          <w:rtl/>
        </w:rPr>
        <w:t>-</w:t>
      </w:r>
      <w:r w:rsidRPr="001F02FD">
        <w:rPr>
          <w:rStyle w:val="aff4"/>
          <w:rFonts w:hint="cs"/>
          <w:rtl/>
        </w:rPr>
        <w:t>הרמב"ן</w:t>
      </w:r>
      <w:r w:rsidRPr="007F356E">
        <w:rPr>
          <w:rStyle w:val="aff4"/>
          <w:rFonts w:hint="cs"/>
          <w:vanish/>
          <w:rtl/>
        </w:rPr>
        <w:t>-</w:t>
      </w:r>
      <w:r>
        <w:rPr>
          <w:rFonts w:hint="cs"/>
          <w:rtl/>
        </w:rPr>
        <w:t>.</w:t>
      </w:r>
      <w:bookmarkEnd w:id="1015"/>
    </w:p>
    <w:p w14:paraId="7EA9315C" w14:textId="77777777" w:rsidR="00D31714" w:rsidRPr="00747170" w:rsidRDefault="00D31714" w:rsidP="00747170">
      <w:pPr>
        <w:pStyle w:val="a2"/>
        <w:rPr>
          <w:rtl/>
        </w:rPr>
      </w:pPr>
      <w:r w:rsidRPr="00747170">
        <w:rPr>
          <w:rtl/>
        </w:rPr>
        <w:t>הא דאמרי' במושיט ידו למעי בהמה ודלדל עובר שבמעיה דחייב משום עוקר דבר מגדולו. קשה לי דהא גוזז ותולש כנף מן העוף כשהן חיין (ע"ד ב') לא מחייבינן להו תרתי חדא משום עוקר דבר מגידולו, וכן הנוטל שערו וצפרניו ושפמו (צ"ד ב') אין בהן דין עוקר דבר מגדולו דליחייב תרתי אלמא אין משום עוקר דבר מגדולו דהוא תולדה דקוצר אלא בגדולי קרקע, וה"נ משמע בבכורות (כ"ה א') גבי תולש צמר מבכור דתולש לאו היינו גוזז וכנגדו בי"ט מותר דלית ביה משום עוקר דבר מגדולו</w:t>
      </w:r>
      <w:r w:rsidRPr="00747170">
        <w:rPr>
          <w:rFonts w:hint="cs"/>
          <w:rtl/>
        </w:rPr>
        <w:t>.</w:t>
      </w:r>
    </w:p>
    <w:p w14:paraId="3BD79BCB" w14:textId="77777777" w:rsidR="00D31714" w:rsidRDefault="00D31714" w:rsidP="00D31714">
      <w:pPr>
        <w:pStyle w:val="a7"/>
        <w:rPr>
          <w:rtl/>
        </w:rPr>
      </w:pPr>
      <w:bookmarkStart w:id="1016" w:name="_Toc135669940"/>
      <w:r>
        <w:rPr>
          <w:rFonts w:hint="cs"/>
          <w:rtl/>
        </w:rPr>
        <w:t>קו' הרמב"ן דקוצר ודש ילפי' מאותו האופן במשכן ודש רק בגידו"ק ובקוצר אף לר"י אפש"ל כן</w:t>
      </w:r>
      <w:bookmarkEnd w:id="1016"/>
    </w:p>
    <w:p w14:paraId="5980A0DF" w14:textId="149F187C" w:rsidR="00D31714" w:rsidRPr="008D4A36" w:rsidRDefault="00D31714" w:rsidP="00BC7DC8">
      <w:pPr>
        <w:pStyle w:val="a3"/>
      </w:pPr>
      <w:bookmarkStart w:id="1017" w:name="_Ref134613481"/>
      <w:r>
        <w:rPr>
          <w:rFonts w:hint="cs"/>
          <w:rtl/>
        </w:rPr>
        <w:t xml:space="preserve">ועוד הקשה </w:t>
      </w:r>
      <w:r w:rsidRPr="000D4E5E">
        <w:rPr>
          <w:rStyle w:val="aff4"/>
          <w:rFonts w:hint="cs"/>
          <w:vanish/>
          <w:rtl/>
        </w:rPr>
        <w:t>-</w:t>
      </w:r>
      <w:r w:rsidRPr="00572920">
        <w:rPr>
          <w:rStyle w:val="aff4"/>
          <w:rFonts w:hint="cs"/>
          <w:rtl/>
        </w:rPr>
        <w:t>הרמב"ן לקמן</w:t>
      </w:r>
      <w:r w:rsidRPr="000D4E5E">
        <w:rPr>
          <w:rStyle w:val="aff4"/>
          <w:rFonts w:hint="cs"/>
          <w:vanish/>
          <w:rtl/>
        </w:rPr>
        <w:t>-</w:t>
      </w:r>
      <w:r>
        <w:rPr>
          <w:rFonts w:hint="cs"/>
          <w:rtl/>
        </w:rPr>
        <w:t xml:space="preserve"> דקוצר ודש ילפינן להו ממשכן באותו האופן, וכמו דבדש איתא בגמ' לקמן </w:t>
      </w:r>
      <w:r w:rsidRPr="00A3054F">
        <w:rPr>
          <w:rStyle w:val="af2"/>
          <w:rFonts w:eastAsia="Guttman Hodes" w:hint="cs"/>
          <w:rtl/>
        </w:rPr>
        <w:t>(עה.)</w:t>
      </w:r>
      <w:r>
        <w:rPr>
          <w:rFonts w:hint="cs"/>
          <w:rtl/>
        </w:rPr>
        <w:t xml:space="preserve"> דלרבנן אין דישה אלא בגידולי קרקע, א"כ ה"ה בקוצר, ואף ר"י דס"ל לקמן דדישה אינה רק בגידולי קרקע, מ"מ לענין קוצר אפש"ל דמודה ר"י דהוא רק בגידולי קרקע, כיון דקצירה היא ממש מהקרקע, ואילו תולש מבע"ח הוא בכלל גוזז, וכ"כ </w:t>
      </w:r>
      <w:r w:rsidRPr="007F356E">
        <w:rPr>
          <w:rStyle w:val="aff4"/>
          <w:rFonts w:hint="cs"/>
          <w:vanish/>
          <w:rtl/>
        </w:rPr>
        <w:t>-</w:t>
      </w:r>
      <w:r w:rsidRPr="001F02FD">
        <w:rPr>
          <w:rStyle w:val="aff4"/>
          <w:rFonts w:hint="cs"/>
          <w:rtl/>
        </w:rPr>
        <w:t>הרשב"א לקמן</w:t>
      </w:r>
      <w:r w:rsidRPr="007F356E">
        <w:rPr>
          <w:rStyle w:val="aff4"/>
          <w:rFonts w:hint="cs"/>
          <w:vanish/>
          <w:rtl/>
        </w:rPr>
        <w:t>-</w:t>
      </w:r>
      <w:r>
        <w:rPr>
          <w:rFonts w:hint="cs"/>
          <w:rtl/>
        </w:rPr>
        <w:t xml:space="preserve"> בשם </w:t>
      </w:r>
      <w:r w:rsidRPr="007F356E">
        <w:rPr>
          <w:rStyle w:val="aff4"/>
          <w:rFonts w:hint="cs"/>
          <w:vanish/>
          <w:rtl/>
        </w:rPr>
        <w:t>-</w:t>
      </w:r>
      <w:r w:rsidRPr="001F02FD">
        <w:rPr>
          <w:rStyle w:val="aff4"/>
          <w:rFonts w:hint="cs"/>
          <w:rtl/>
        </w:rPr>
        <w:t>הרמב"ן</w:t>
      </w:r>
      <w:r w:rsidRPr="007F356E">
        <w:rPr>
          <w:rStyle w:val="aff4"/>
          <w:rFonts w:hint="cs"/>
          <w:vanish/>
          <w:rtl/>
        </w:rPr>
        <w:t>-</w:t>
      </w:r>
      <w:r>
        <w:rPr>
          <w:rFonts w:hint="cs"/>
          <w:rtl/>
        </w:rPr>
        <w:t>, ועי' במה שהקשה</w:t>
      </w:r>
      <w:r w:rsidRPr="00110776">
        <w:rPr>
          <w:rtl/>
        </w:rPr>
        <w:t xml:space="preserve"> </w:t>
      </w:r>
      <w:r w:rsidRPr="00C65D8D">
        <w:rPr>
          <w:rStyle w:val="aff4"/>
          <w:rFonts w:hint="cs"/>
          <w:vanish/>
          <w:rtl/>
        </w:rPr>
        <w:t>-</w:t>
      </w:r>
      <w:r w:rsidRPr="00C65D8D">
        <w:rPr>
          <w:rStyle w:val="aff4"/>
          <w:rFonts w:hint="cs"/>
          <w:rtl/>
        </w:rPr>
        <w:t>ה</w:t>
      </w:r>
      <w:r w:rsidRPr="00C65D8D">
        <w:rPr>
          <w:rStyle w:val="aff4"/>
          <w:rFonts w:hint="cs"/>
          <w:vanish/>
          <w:rtl/>
        </w:rPr>
        <w:t xml:space="preserve">&lt;. </w:t>
      </w:r>
      <w:r w:rsidRPr="00C65D8D">
        <w:rPr>
          <w:rStyle w:val="aff4"/>
          <w:vanish/>
          <w:rtl/>
        </w:rPr>
        <w:fldChar w:fldCharType="begin"/>
      </w:r>
      <w:r w:rsidRPr="00C65D8D">
        <w:rPr>
          <w:rStyle w:val="aff4"/>
          <w:vanish/>
          <w:rtl/>
        </w:rPr>
        <w:instrText xml:space="preserve"> </w:instrText>
      </w:r>
      <w:r w:rsidRPr="00C65D8D">
        <w:rPr>
          <w:rStyle w:val="aff4"/>
          <w:rFonts w:hint="cs"/>
          <w:vanish/>
        </w:rPr>
        <w:instrText>REF</w:instrText>
      </w:r>
      <w:r w:rsidRPr="00C65D8D">
        <w:rPr>
          <w:rStyle w:val="aff4"/>
          <w:rFonts w:hint="cs"/>
          <w:vanish/>
          <w:rtl/>
        </w:rPr>
        <w:instrText xml:space="preserve"> _</w:instrText>
      </w:r>
      <w:r w:rsidRPr="00C65D8D">
        <w:rPr>
          <w:rStyle w:val="aff4"/>
          <w:rFonts w:hint="cs"/>
          <w:vanish/>
        </w:rPr>
        <w:instrText>Ref134613481 \r \h</w:instrText>
      </w:r>
      <w:r w:rsidRPr="00C65D8D">
        <w:rPr>
          <w:rStyle w:val="aff4"/>
          <w:vanish/>
          <w:rtl/>
        </w:rPr>
        <w:instrText xml:space="preserve"> </w:instrText>
      </w:r>
      <w:r w:rsidRPr="00C65D8D">
        <w:rPr>
          <w:rStyle w:val="aff4"/>
          <w:vanish/>
          <w:rtl/>
        </w:rPr>
      </w:r>
      <w:r w:rsidRPr="00C65D8D">
        <w:rPr>
          <w:rStyle w:val="aff4"/>
          <w:vanish/>
          <w:rtl/>
        </w:rPr>
        <w:fldChar w:fldCharType="separate"/>
      </w:r>
      <w:r w:rsidR="00D82181">
        <w:rPr>
          <w:rStyle w:val="aff4"/>
          <w:vanish/>
          <w:cs/>
        </w:rPr>
        <w:t>‎</w:t>
      </w:r>
      <w:r w:rsidR="00D82181">
        <w:rPr>
          <w:rStyle w:val="aff4"/>
          <w:vanish/>
          <w:rtl/>
        </w:rPr>
        <w:t>כב)</w:t>
      </w:r>
      <w:r w:rsidRPr="00C65D8D">
        <w:rPr>
          <w:rStyle w:val="aff4"/>
          <w:vanish/>
          <w:rtl/>
        </w:rPr>
        <w:fldChar w:fldCharType="end"/>
      </w:r>
      <w:r w:rsidRPr="00C65D8D">
        <w:rPr>
          <w:rStyle w:val="aff4"/>
          <w:rFonts w:hint="cs"/>
          <w:vanish/>
          <w:rtl/>
        </w:rPr>
        <w:t xml:space="preserve"> &gt;</w:t>
      </w:r>
      <w:r w:rsidRPr="00C65D8D">
        <w:rPr>
          <w:rStyle w:val="aff4"/>
          <w:rtl/>
        </w:rPr>
        <w:t>דבר אברהם</w:t>
      </w:r>
      <w:r w:rsidRPr="00C65D8D">
        <w:rPr>
          <w:rStyle w:val="aff4"/>
          <w:rFonts w:hint="cs"/>
          <w:vanish/>
          <w:rtl/>
        </w:rPr>
        <w:t>-</w:t>
      </w:r>
      <w:r>
        <w:rPr>
          <w:rFonts w:hint="cs"/>
          <w:rtl/>
        </w:rPr>
        <w:t xml:space="preserve"> </w:t>
      </w:r>
      <w:r w:rsidRPr="00A3054F">
        <w:rPr>
          <w:rStyle w:val="af2"/>
          <w:rFonts w:eastAsia="Guttman Hodes" w:hint="cs"/>
          <w:rtl/>
        </w:rPr>
        <w:t>(</w:t>
      </w:r>
      <w:r w:rsidRPr="00A3054F">
        <w:rPr>
          <w:rStyle w:val="af2"/>
          <w:rFonts w:eastAsia="Guttman Hodes"/>
          <w:rtl/>
        </w:rPr>
        <w:t>ח</w:t>
      </w:r>
      <w:r w:rsidRPr="00A3054F">
        <w:rPr>
          <w:rStyle w:val="af2"/>
          <w:rFonts w:eastAsia="Guttman Hodes" w:hint="cs"/>
          <w:rtl/>
        </w:rPr>
        <w:t>"</w:t>
      </w:r>
      <w:r w:rsidRPr="00A3054F">
        <w:rPr>
          <w:rStyle w:val="af2"/>
          <w:rFonts w:eastAsia="Guttman Hodes"/>
          <w:rtl/>
        </w:rPr>
        <w:t>א סי</w:t>
      </w:r>
      <w:r w:rsidRPr="00A3054F">
        <w:rPr>
          <w:rStyle w:val="af2"/>
          <w:rFonts w:eastAsia="Guttman Hodes" w:hint="cs"/>
          <w:rtl/>
        </w:rPr>
        <w:t>'</w:t>
      </w:r>
      <w:r w:rsidRPr="00A3054F">
        <w:rPr>
          <w:rStyle w:val="af2"/>
          <w:rFonts w:eastAsia="Guttman Hodes"/>
          <w:rtl/>
        </w:rPr>
        <w:t xml:space="preserve"> כ</w:t>
      </w:r>
      <w:r w:rsidRPr="00A3054F">
        <w:rPr>
          <w:rStyle w:val="af2"/>
          <w:rFonts w:eastAsia="Guttman Hodes" w:hint="cs"/>
          <w:rtl/>
        </w:rPr>
        <w:t>"</w:t>
      </w:r>
      <w:r w:rsidRPr="00A3054F">
        <w:rPr>
          <w:rStyle w:val="af2"/>
          <w:rFonts w:eastAsia="Guttman Hodes"/>
          <w:rtl/>
        </w:rPr>
        <w:t>ד</w:t>
      </w:r>
      <w:r w:rsidRPr="00A3054F">
        <w:rPr>
          <w:rStyle w:val="af2"/>
          <w:rFonts w:eastAsia="Guttman Hodes" w:hint="cs"/>
          <w:rtl/>
        </w:rPr>
        <w:t xml:space="preserve"> אות ב')</w:t>
      </w:r>
      <w:r w:rsidRPr="00C65D8D">
        <w:rPr>
          <w:rFonts w:hint="cs"/>
          <w:vanish/>
          <w:rtl/>
        </w:rPr>
        <w:t>=</w:t>
      </w:r>
      <w:r>
        <w:rPr>
          <w:rFonts w:hint="cs"/>
          <w:rtl/>
        </w:rPr>
        <w:t xml:space="preserve"> על דברי </w:t>
      </w:r>
      <w:r w:rsidRPr="00C65D8D">
        <w:rPr>
          <w:rStyle w:val="aff4"/>
          <w:rFonts w:hint="cs"/>
          <w:vanish/>
          <w:rtl/>
        </w:rPr>
        <w:t>-</w:t>
      </w:r>
      <w:r w:rsidRPr="00C65D8D">
        <w:rPr>
          <w:rStyle w:val="aff4"/>
          <w:rFonts w:hint="cs"/>
          <w:rtl/>
        </w:rPr>
        <w:t>הרמב"ן</w:t>
      </w:r>
      <w:r w:rsidRPr="00C65D8D">
        <w:rPr>
          <w:rStyle w:val="aff4"/>
          <w:rFonts w:hint="cs"/>
          <w:vanish/>
          <w:rtl/>
        </w:rPr>
        <w:t>-</w:t>
      </w:r>
      <w:r>
        <w:rPr>
          <w:rFonts w:hint="cs"/>
          <w:rtl/>
        </w:rPr>
        <w:t>.</w:t>
      </w:r>
      <w:bookmarkEnd w:id="1017"/>
    </w:p>
    <w:p w14:paraId="36A87AF5" w14:textId="77777777" w:rsidR="00D31714" w:rsidRPr="00747170" w:rsidRDefault="00D31714" w:rsidP="00747170">
      <w:pPr>
        <w:pStyle w:val="a2"/>
        <w:rPr>
          <w:rtl/>
        </w:rPr>
      </w:pPr>
      <w:r w:rsidRPr="00747170">
        <w:rPr>
          <w:rtl/>
        </w:rPr>
        <w:t>ועוד דודאי קוצר ודש תרוייהו בחד גוונא גמרי' להו ממשכן כי היכי דאמרי רבנן (ע"ה א') אין דישה אלא בגדולי קרקע ה"נ אמרי ודאי אין קצירה אלא בגדולי קרקע, ואפי' ר' יהודה אפשר דמודה בקצירה דהיא ממש מן הקרקע, ותולש מבעלי חיים בכלל גוזז הוא</w:t>
      </w:r>
      <w:r w:rsidRPr="00747170">
        <w:rPr>
          <w:rFonts w:hint="cs"/>
          <w:rtl/>
        </w:rPr>
        <w:t>.</w:t>
      </w:r>
    </w:p>
    <w:p w14:paraId="7881CAB7" w14:textId="77777777" w:rsidR="00D31714" w:rsidRDefault="00D31714" w:rsidP="00D31714">
      <w:pPr>
        <w:pStyle w:val="a7"/>
        <w:rPr>
          <w:rtl/>
        </w:rPr>
      </w:pPr>
      <w:bookmarkStart w:id="1018" w:name="_Toc135669941"/>
      <w:r>
        <w:rPr>
          <w:rFonts w:hint="cs"/>
          <w:rtl/>
        </w:rPr>
        <w:t>בי' הרמב"ן דמדלדל עובר חייב בנטילת נשמה ודמי לעוקר כשות מהיזמי דהעובר תלוי באמו</w:t>
      </w:r>
      <w:bookmarkEnd w:id="1018"/>
    </w:p>
    <w:p w14:paraId="264AB3C9" w14:textId="77777777" w:rsidR="00D31714" w:rsidRPr="000113FB" w:rsidRDefault="00D31714" w:rsidP="00BC7DC8">
      <w:pPr>
        <w:pStyle w:val="a3"/>
      </w:pPr>
      <w:bookmarkStart w:id="1019" w:name="_Ref134721473"/>
      <w:r>
        <w:rPr>
          <w:rFonts w:hint="cs"/>
          <w:rtl/>
        </w:rPr>
        <w:t xml:space="preserve">אלא ביאר </w:t>
      </w:r>
      <w:r w:rsidRPr="000D4E5E">
        <w:rPr>
          <w:rStyle w:val="aff4"/>
          <w:rFonts w:hint="cs"/>
          <w:vanish/>
          <w:rtl/>
        </w:rPr>
        <w:t>-</w:t>
      </w:r>
      <w:r w:rsidRPr="00572920">
        <w:rPr>
          <w:rStyle w:val="aff4"/>
          <w:rFonts w:hint="cs"/>
          <w:rtl/>
        </w:rPr>
        <w:t>הרמב"ן לקמן</w:t>
      </w:r>
      <w:r w:rsidRPr="000D4E5E">
        <w:rPr>
          <w:rStyle w:val="aff4"/>
          <w:rFonts w:hint="cs"/>
          <w:vanish/>
          <w:rtl/>
        </w:rPr>
        <w:t>-</w:t>
      </w:r>
      <w:r>
        <w:rPr>
          <w:rFonts w:hint="cs"/>
          <w:rtl/>
        </w:rPr>
        <w:t xml:space="preserve"> דהא דהמדלדל עובר חייב, אינו משום קוצר, אלא משום נטילת נשמה, והא דאמרינן בגמ' לקמן </w:t>
      </w:r>
      <w:r w:rsidRPr="00A3054F">
        <w:rPr>
          <w:rStyle w:val="af2"/>
          <w:rFonts w:eastAsia="Guttman Hodes" w:hint="cs"/>
          <w:rtl/>
        </w:rPr>
        <w:t>(קז:)</w:t>
      </w:r>
      <w:r>
        <w:rPr>
          <w:rFonts w:hint="cs"/>
          <w:rtl/>
        </w:rPr>
        <w:t xml:space="preserve"> דהוא כעוקר דבר מגידולו, אין כוונת הגמ' לומר דחייב משום קוצר, אלא דכוונת הגמ' לומר דכיון דהגידול של העובר תלוי בנשמה של אמו, לכן העוקר את העובר מאמו חייב משום נטילת נשמה, כמו דאמרינן בגידולי קרקע דהתולש כשותא מהיזמי חייב משום עוקר דבר מגידולו, כיון דהיניקה של הכשותא תלויה בהיזמי, ובזה חייב בתולדה דקוצר דהוא עוקר דבר מגידולו, וא"כ ה"ה בעובר דהוא בע"ח ואין בו קוצר, דהעוקרו מאמו שהיא מקום גידולו חייב משום נטילת נשמה, ונקטה הגמ'</w:t>
      </w:r>
      <w:r w:rsidRPr="007750B4">
        <w:rPr>
          <w:rFonts w:hint="cs"/>
          <w:rtl/>
        </w:rPr>
        <w:t xml:space="preserve"> </w:t>
      </w:r>
      <w:r>
        <w:rPr>
          <w:rFonts w:hint="cs"/>
          <w:rtl/>
        </w:rPr>
        <w:t xml:space="preserve">כסירכא דלישנא, וביאר </w:t>
      </w:r>
      <w:r w:rsidRPr="000D4E5E">
        <w:rPr>
          <w:rStyle w:val="aff4"/>
          <w:rFonts w:hint="cs"/>
          <w:vanish/>
          <w:rtl/>
        </w:rPr>
        <w:t>-</w:t>
      </w:r>
      <w:r w:rsidRPr="00572920">
        <w:rPr>
          <w:rStyle w:val="aff4"/>
          <w:rFonts w:hint="cs"/>
          <w:rtl/>
        </w:rPr>
        <w:t>הרמב"ן לקמן</w:t>
      </w:r>
      <w:r w:rsidRPr="000D4E5E">
        <w:rPr>
          <w:rStyle w:val="aff4"/>
          <w:rFonts w:hint="cs"/>
          <w:vanish/>
          <w:rtl/>
        </w:rPr>
        <w:t>-</w:t>
      </w:r>
      <w:r>
        <w:rPr>
          <w:rFonts w:hint="cs"/>
          <w:rtl/>
        </w:rPr>
        <w:t xml:space="preserve"> דהוא דומיא דחובל דחייב משום נטילת נשמה של אבר אחד, וכ"כ </w:t>
      </w:r>
      <w:r w:rsidRPr="007F356E">
        <w:rPr>
          <w:rStyle w:val="aff4"/>
          <w:rFonts w:hint="cs"/>
          <w:vanish/>
          <w:rtl/>
        </w:rPr>
        <w:t>-</w:t>
      </w:r>
      <w:r w:rsidRPr="001F02FD">
        <w:rPr>
          <w:rStyle w:val="aff4"/>
          <w:rFonts w:hint="cs"/>
          <w:rtl/>
        </w:rPr>
        <w:t>הרשב"א לקמן</w:t>
      </w:r>
      <w:r w:rsidRPr="007F356E">
        <w:rPr>
          <w:rStyle w:val="aff4"/>
          <w:rFonts w:hint="cs"/>
          <w:vanish/>
          <w:rtl/>
        </w:rPr>
        <w:t>-</w:t>
      </w:r>
      <w:r>
        <w:rPr>
          <w:rFonts w:hint="cs"/>
          <w:rtl/>
        </w:rPr>
        <w:t xml:space="preserve"> בשם </w:t>
      </w:r>
      <w:r w:rsidRPr="007F356E">
        <w:rPr>
          <w:rStyle w:val="aff4"/>
          <w:rFonts w:hint="cs"/>
          <w:vanish/>
          <w:rtl/>
        </w:rPr>
        <w:t>-</w:t>
      </w:r>
      <w:r w:rsidRPr="001F02FD">
        <w:rPr>
          <w:rStyle w:val="aff4"/>
          <w:rFonts w:hint="cs"/>
          <w:rtl/>
        </w:rPr>
        <w:t>הרמב"ן</w:t>
      </w:r>
      <w:r w:rsidRPr="007F356E">
        <w:rPr>
          <w:rStyle w:val="aff4"/>
          <w:rFonts w:hint="cs"/>
          <w:vanish/>
          <w:rtl/>
        </w:rPr>
        <w:t>-</w:t>
      </w:r>
      <w:r>
        <w:rPr>
          <w:rFonts w:hint="cs"/>
          <w:rtl/>
        </w:rPr>
        <w:t>.</w:t>
      </w:r>
      <w:bookmarkEnd w:id="1019"/>
      <w:r>
        <w:rPr>
          <w:rFonts w:hint="cs"/>
          <w:rtl/>
        </w:rPr>
        <w:t xml:space="preserve"> </w:t>
      </w:r>
    </w:p>
    <w:p w14:paraId="1ADFEFAD" w14:textId="77777777" w:rsidR="00D31714" w:rsidRPr="00747170" w:rsidRDefault="00D31714" w:rsidP="00747170">
      <w:pPr>
        <w:pStyle w:val="a2"/>
        <w:rPr>
          <w:rtl/>
        </w:rPr>
      </w:pPr>
      <w:r w:rsidRPr="00747170">
        <w:rPr>
          <w:rtl/>
        </w:rPr>
        <w:t>וי"ל דמדלדל עובר משום נטילת נשמה הוא חייב, והכי קאמר אף על גב דהאי עובר לית ליה בדידיה נשמה כיון דגידולו תלוי בנשמת אמו העוקרו משם נוטל נשמתו ממנו, דלאו מי א"ר ששת בגידולי קרקע כן דמאן דתלש כשותא מהיזמי שיניקתו תלוי בהיזמי כדאמרינן בעירובין בפ' בכל מערבין (כ"ח ב') דקטלין ליה להיזמתא ויבשה כשותא ומיחייב משום עוקר דבר מגידולו דהוא תולדה דקוצר, ה"נ בבעלי חיים מחייב משום עוקר דבר מגידולו דהוא משום נטילת נשמה דומיא דחובל שהוא משום נטילת נשמה מאבר אחד וסירכא דלישנא נקט</w:t>
      </w:r>
      <w:r w:rsidRPr="00747170">
        <w:rPr>
          <w:rFonts w:hint="cs"/>
          <w:rtl/>
        </w:rPr>
        <w:t>.</w:t>
      </w:r>
    </w:p>
    <w:p w14:paraId="1BFA8888" w14:textId="77777777" w:rsidR="00D31714" w:rsidRDefault="00D31714" w:rsidP="00D31714">
      <w:pPr>
        <w:pStyle w:val="afffff7"/>
        <w:rPr>
          <w:rtl/>
        </w:rPr>
      </w:pPr>
      <w:bookmarkStart w:id="1020" w:name="_Toc135129981"/>
      <w:bookmarkStart w:id="1021" w:name="_Toc135670242"/>
      <w:bookmarkStart w:id="1022" w:name="_Toc135669942"/>
      <w:bookmarkStart w:id="1023" w:name="_Toc163505543"/>
      <w:r>
        <w:rPr>
          <w:rtl/>
        </w:rPr>
        <w:t xml:space="preserve">רמב"ם שבת </w:t>
      </w:r>
      <w:r>
        <w:rPr>
          <w:rFonts w:hint="cs"/>
          <w:rtl/>
        </w:rPr>
        <w:t>פ</w:t>
      </w:r>
      <w:r>
        <w:rPr>
          <w:rtl/>
        </w:rPr>
        <w:t xml:space="preserve">י"א </w:t>
      </w:r>
      <w:r>
        <w:rPr>
          <w:rFonts w:hint="cs"/>
          <w:rtl/>
        </w:rPr>
        <w:t>ה"א</w:t>
      </w:r>
      <w:bookmarkEnd w:id="1020"/>
      <w:bookmarkEnd w:id="1021"/>
      <w:bookmarkEnd w:id="1023"/>
    </w:p>
    <w:p w14:paraId="75548439" w14:textId="77777777" w:rsidR="00D31714" w:rsidRDefault="00D31714" w:rsidP="00D31714">
      <w:pPr>
        <w:pStyle w:val="a7"/>
        <w:rPr>
          <w:rtl/>
        </w:rPr>
      </w:pPr>
      <w:r>
        <w:rPr>
          <w:rFonts w:hint="cs"/>
          <w:rtl/>
        </w:rPr>
        <w:t>בי' הרמב"ן ברמב"ם דשולה דג ומדלדל עובר חייב משום חונק ומוכח דקוצר הוא רק בגידו"ק</w:t>
      </w:r>
      <w:bookmarkEnd w:id="1022"/>
    </w:p>
    <w:p w14:paraId="46616F19" w14:textId="2A342ACF" w:rsidR="00D31714" w:rsidRPr="00282090" w:rsidRDefault="00D31714" w:rsidP="00BC7DC8">
      <w:pPr>
        <w:pStyle w:val="a3"/>
      </w:pPr>
      <w:bookmarkStart w:id="1024" w:name="_Ref134521911"/>
      <w:r>
        <w:rPr>
          <w:rFonts w:hint="cs"/>
          <w:rtl/>
        </w:rPr>
        <w:t xml:space="preserve">והביא </w:t>
      </w:r>
      <w:r w:rsidRPr="000D4E5E">
        <w:rPr>
          <w:rStyle w:val="aff4"/>
          <w:rFonts w:hint="cs"/>
          <w:vanish/>
          <w:rtl/>
        </w:rPr>
        <w:t>-</w:t>
      </w:r>
      <w:r w:rsidRPr="00572920">
        <w:rPr>
          <w:rStyle w:val="aff4"/>
          <w:rFonts w:hint="cs"/>
          <w:rtl/>
        </w:rPr>
        <w:t>הרמב"ן לקמן</w:t>
      </w:r>
      <w:r w:rsidRPr="000D4E5E">
        <w:rPr>
          <w:rStyle w:val="aff4"/>
          <w:rFonts w:hint="cs"/>
          <w:vanish/>
          <w:rtl/>
        </w:rPr>
        <w:t>-</w:t>
      </w:r>
      <w:r>
        <w:rPr>
          <w:rFonts w:hint="cs"/>
          <w:rtl/>
        </w:rPr>
        <w:t xml:space="preserve"> את דברי </w:t>
      </w:r>
      <w:r w:rsidRPr="000D4E5E">
        <w:rPr>
          <w:rStyle w:val="aff4"/>
          <w:rFonts w:hint="cs"/>
          <w:vanish/>
          <w:rtl/>
        </w:rPr>
        <w:t>-</w:t>
      </w:r>
      <w:r w:rsidRPr="00572920">
        <w:rPr>
          <w:rStyle w:val="aff4"/>
          <w:rFonts w:hint="cs"/>
          <w:rtl/>
        </w:rPr>
        <w:t>ה</w:t>
      </w:r>
      <w:r w:rsidRPr="000D4E5E">
        <w:rPr>
          <w:rStyle w:val="aff4"/>
          <w:rFonts w:hint="cs"/>
          <w:vanish/>
          <w:rtl/>
        </w:rPr>
        <w:t xml:space="preserve">&lt;. </w:t>
      </w:r>
      <w:r w:rsidRPr="000D4E5E">
        <w:rPr>
          <w:rStyle w:val="aff4"/>
          <w:vanish/>
          <w:rtl/>
        </w:rPr>
        <w:fldChar w:fldCharType="begin"/>
      </w:r>
      <w:r w:rsidRPr="000D4E5E">
        <w:rPr>
          <w:rStyle w:val="aff4"/>
          <w:vanish/>
          <w:rtl/>
        </w:rPr>
        <w:instrText xml:space="preserve"> </w:instrText>
      </w:r>
      <w:r w:rsidRPr="000D4E5E">
        <w:rPr>
          <w:rStyle w:val="aff4"/>
          <w:rFonts w:hint="cs"/>
          <w:vanish/>
        </w:rPr>
        <w:instrText>REF</w:instrText>
      </w:r>
      <w:r w:rsidRPr="000D4E5E">
        <w:rPr>
          <w:rStyle w:val="aff4"/>
          <w:rFonts w:hint="cs"/>
          <w:vanish/>
          <w:rtl/>
        </w:rPr>
        <w:instrText xml:space="preserve"> _</w:instrText>
      </w:r>
      <w:r w:rsidRPr="000D4E5E">
        <w:rPr>
          <w:rStyle w:val="aff4"/>
          <w:rFonts w:hint="cs"/>
          <w:vanish/>
        </w:rPr>
        <w:instrText>Ref134521911 \r \h</w:instrText>
      </w:r>
      <w:r w:rsidRPr="000D4E5E">
        <w:rPr>
          <w:rStyle w:val="aff4"/>
          <w:vanish/>
          <w:rtl/>
        </w:rPr>
        <w:instrText xml:space="preserve"> </w:instrText>
      </w:r>
      <w:r w:rsidRPr="000D4E5E">
        <w:rPr>
          <w:rStyle w:val="aff4"/>
          <w:vanish/>
          <w:rtl/>
        </w:rPr>
      </w:r>
      <w:r w:rsidRPr="000D4E5E">
        <w:rPr>
          <w:rStyle w:val="aff4"/>
          <w:vanish/>
          <w:rtl/>
        </w:rPr>
        <w:fldChar w:fldCharType="separate"/>
      </w:r>
      <w:r w:rsidR="00D82181">
        <w:rPr>
          <w:rStyle w:val="aff4"/>
          <w:vanish/>
          <w:cs/>
        </w:rPr>
        <w:t>‎</w:t>
      </w:r>
      <w:r w:rsidR="00D82181">
        <w:rPr>
          <w:rStyle w:val="aff4"/>
          <w:vanish/>
          <w:rtl/>
        </w:rPr>
        <w:t>כד)</w:t>
      </w:r>
      <w:r w:rsidRPr="000D4E5E">
        <w:rPr>
          <w:rStyle w:val="aff4"/>
          <w:vanish/>
          <w:rtl/>
        </w:rPr>
        <w:fldChar w:fldCharType="end"/>
      </w:r>
      <w:r w:rsidRPr="000D4E5E">
        <w:rPr>
          <w:rStyle w:val="aff4"/>
          <w:rFonts w:hint="cs"/>
          <w:vanish/>
          <w:rtl/>
        </w:rPr>
        <w:t xml:space="preserve"> &gt;</w:t>
      </w:r>
      <w:r w:rsidRPr="00572920">
        <w:rPr>
          <w:rStyle w:val="aff4"/>
          <w:rFonts w:hint="cs"/>
          <w:rtl/>
        </w:rPr>
        <w:t>רמב"ם</w:t>
      </w:r>
      <w:r w:rsidRPr="000D4E5E">
        <w:rPr>
          <w:rStyle w:val="aff4"/>
          <w:rFonts w:hint="cs"/>
          <w:vanish/>
          <w:rtl/>
        </w:rPr>
        <w:t>-</w:t>
      </w:r>
      <w:r>
        <w:rPr>
          <w:rFonts w:hint="cs"/>
          <w:rtl/>
        </w:rPr>
        <w:t xml:space="preserve"> </w:t>
      </w:r>
      <w:r w:rsidRPr="00A3054F">
        <w:rPr>
          <w:rStyle w:val="af2"/>
          <w:rFonts w:eastAsia="Guttman Hodes" w:hint="cs"/>
          <w:rtl/>
        </w:rPr>
        <w:t>(שבת פי"א ה"א)</w:t>
      </w:r>
      <w:r w:rsidRPr="000D4E5E">
        <w:rPr>
          <w:rFonts w:hint="cs"/>
          <w:vanish/>
          <w:rtl/>
        </w:rPr>
        <w:t>=</w:t>
      </w:r>
      <w:r>
        <w:rPr>
          <w:rFonts w:hint="cs"/>
          <w:rtl/>
        </w:rPr>
        <w:t xml:space="preserve"> דכתב דהשוחט והחונק כל הנוטל נשמה חייב, וכן השולה דג חייב משום חונק, אחר שיבש בו כסלע, וכן בהושיט ידו למעי בהמה ודלדל עובר שבמעיה חייב, וכתב </w:t>
      </w:r>
      <w:r w:rsidRPr="000D4E5E">
        <w:rPr>
          <w:rStyle w:val="aff4"/>
          <w:rFonts w:hint="cs"/>
          <w:vanish/>
          <w:rtl/>
        </w:rPr>
        <w:t>-</w:t>
      </w:r>
      <w:r w:rsidRPr="00572920">
        <w:rPr>
          <w:rStyle w:val="aff4"/>
          <w:rFonts w:hint="cs"/>
          <w:rtl/>
        </w:rPr>
        <w:t>הרמב"ן לקמן</w:t>
      </w:r>
      <w:r w:rsidRPr="000D4E5E">
        <w:rPr>
          <w:rStyle w:val="aff4"/>
          <w:rFonts w:hint="cs"/>
          <w:vanish/>
          <w:rtl/>
        </w:rPr>
        <w:t>-</w:t>
      </w:r>
      <w:r>
        <w:rPr>
          <w:rFonts w:hint="cs"/>
          <w:rtl/>
        </w:rPr>
        <w:t xml:space="preserve"> דמבואר מדברי </w:t>
      </w:r>
      <w:r w:rsidRPr="000D4E5E">
        <w:rPr>
          <w:rStyle w:val="aff4"/>
          <w:rFonts w:hint="cs"/>
          <w:vanish/>
          <w:rtl/>
        </w:rPr>
        <w:t>-</w:t>
      </w:r>
      <w:r w:rsidRPr="00572920">
        <w:rPr>
          <w:rStyle w:val="aff4"/>
          <w:rFonts w:hint="cs"/>
          <w:rtl/>
        </w:rPr>
        <w:t>הרמב"ם</w:t>
      </w:r>
      <w:r w:rsidRPr="000D4E5E">
        <w:rPr>
          <w:rStyle w:val="aff4"/>
          <w:rFonts w:hint="cs"/>
          <w:vanish/>
          <w:rtl/>
        </w:rPr>
        <w:t>-</w:t>
      </w:r>
      <w:r>
        <w:rPr>
          <w:rFonts w:hint="cs"/>
          <w:rtl/>
        </w:rPr>
        <w:t xml:space="preserve"> דהחיוב בזה אינו משום קוצר אלא משום נטילת נשמה, וכ"כ </w:t>
      </w:r>
      <w:r w:rsidRPr="007F356E">
        <w:rPr>
          <w:rStyle w:val="aff4"/>
          <w:rFonts w:hint="cs"/>
          <w:vanish/>
          <w:rtl/>
        </w:rPr>
        <w:t>-</w:t>
      </w:r>
      <w:r w:rsidRPr="001F02FD">
        <w:rPr>
          <w:rStyle w:val="aff4"/>
          <w:rFonts w:hint="cs"/>
          <w:rtl/>
        </w:rPr>
        <w:t>הרשב"א לקמן</w:t>
      </w:r>
      <w:r w:rsidRPr="007F356E">
        <w:rPr>
          <w:rStyle w:val="aff4"/>
          <w:rFonts w:hint="cs"/>
          <w:vanish/>
          <w:rtl/>
        </w:rPr>
        <w:t>-</w:t>
      </w:r>
      <w:r>
        <w:rPr>
          <w:rFonts w:hint="cs"/>
          <w:rtl/>
        </w:rPr>
        <w:t xml:space="preserve"> בשם </w:t>
      </w:r>
      <w:r w:rsidRPr="007F356E">
        <w:rPr>
          <w:rStyle w:val="aff4"/>
          <w:rFonts w:hint="cs"/>
          <w:vanish/>
          <w:rtl/>
        </w:rPr>
        <w:t>-</w:t>
      </w:r>
      <w:r w:rsidRPr="001F02FD">
        <w:rPr>
          <w:rStyle w:val="aff4"/>
          <w:rFonts w:hint="cs"/>
          <w:rtl/>
        </w:rPr>
        <w:t>הרמב"ן</w:t>
      </w:r>
      <w:r w:rsidRPr="007F356E">
        <w:rPr>
          <w:rStyle w:val="aff4"/>
          <w:rFonts w:hint="cs"/>
          <w:vanish/>
          <w:rtl/>
        </w:rPr>
        <w:t>-</w:t>
      </w:r>
      <w:r>
        <w:rPr>
          <w:rFonts w:hint="cs"/>
          <w:rtl/>
        </w:rPr>
        <w:t>.</w:t>
      </w:r>
      <w:bookmarkEnd w:id="1024"/>
      <w:r>
        <w:rPr>
          <w:rFonts w:hint="cs"/>
          <w:rtl/>
        </w:rPr>
        <w:t xml:space="preserve"> </w:t>
      </w:r>
    </w:p>
    <w:p w14:paraId="22EFFD9B" w14:textId="77777777" w:rsidR="00D31714" w:rsidRPr="00747170" w:rsidRDefault="00D31714" w:rsidP="00747170">
      <w:pPr>
        <w:pStyle w:val="a2"/>
        <w:rPr>
          <w:rtl/>
        </w:rPr>
      </w:pPr>
      <w:r w:rsidRPr="00747170">
        <w:rPr>
          <w:rtl/>
        </w:rPr>
        <w:t>וכן נראה הפי' הזה מדברי ה"ר משה הספרדי ז"ל בפ' אחד עשר מהלכותיו.</w:t>
      </w:r>
    </w:p>
    <w:p w14:paraId="6BE0EFE2" w14:textId="77777777" w:rsidR="00D31714" w:rsidRDefault="00D31714" w:rsidP="00D31714">
      <w:pPr>
        <w:pStyle w:val="a7"/>
        <w:rPr>
          <w:rtl/>
        </w:rPr>
      </w:pPr>
      <w:bookmarkStart w:id="1025" w:name="_Toc135669943"/>
    </w:p>
    <w:p w14:paraId="2F5FA35E" w14:textId="77777777" w:rsidR="00D31714" w:rsidRPr="0074537A" w:rsidRDefault="00D31714" w:rsidP="00747170">
      <w:pPr>
        <w:pStyle w:val="afffff5"/>
        <w:rPr>
          <w:rtl/>
        </w:rPr>
      </w:pPr>
      <w:r w:rsidRPr="0074537A">
        <w:rPr>
          <w:rtl/>
        </w:rPr>
        <w:t>השוחט חייב ולא שוחט בלבד אלא כל הנוטל נשמה לאחד מכל מיני חיה ובהמה ועוף ודג ושרץ בין בשחיטה בין בנחירה או בהכאה חייב, החונק את החי עד שימות הרי זה תולדת שוחט, לפיכך אם העלה דג מספל של מים והניחו עד שמת חייב משום חונק, ולא עד שימות אלא כיון שיבש בו כסלע בין סנפיריו חייב שעוד אינו יכול לחיות, הושיט ידו למעי הבהמה ודלדל עובר שבמעיה חייב.</w:t>
      </w:r>
    </w:p>
    <w:p w14:paraId="030B2724" w14:textId="77777777" w:rsidR="00D31714" w:rsidRDefault="00D31714" w:rsidP="00D31714">
      <w:pPr>
        <w:pStyle w:val="a7"/>
        <w:rPr>
          <w:rtl/>
        </w:rPr>
      </w:pPr>
      <w:r>
        <w:rPr>
          <w:rFonts w:hint="cs"/>
          <w:rtl/>
        </w:rPr>
        <w:t>בי' הרמב"ן דהבבלי פליג על הא דאמרי' בירו' דשולה דג חייב משום קוצר דמפסיקו מחיותו</w:t>
      </w:r>
      <w:bookmarkEnd w:id="1025"/>
    </w:p>
    <w:p w14:paraId="5DE94952" w14:textId="77777777" w:rsidR="00D31714" w:rsidRPr="00747239" w:rsidRDefault="00D31714" w:rsidP="00BC7DC8">
      <w:pPr>
        <w:pStyle w:val="a3"/>
      </w:pPr>
      <w:r>
        <w:rPr>
          <w:rFonts w:hint="cs"/>
          <w:rtl/>
        </w:rPr>
        <w:t xml:space="preserve">והוסיף </w:t>
      </w:r>
      <w:r w:rsidRPr="000D4E5E">
        <w:rPr>
          <w:rStyle w:val="aff4"/>
          <w:rFonts w:hint="cs"/>
          <w:vanish/>
          <w:rtl/>
        </w:rPr>
        <w:t>-</w:t>
      </w:r>
      <w:r w:rsidRPr="00572920">
        <w:rPr>
          <w:rStyle w:val="aff4"/>
          <w:rFonts w:hint="cs"/>
          <w:rtl/>
        </w:rPr>
        <w:t>הרמב"ן לקמן</w:t>
      </w:r>
      <w:r w:rsidRPr="000D4E5E">
        <w:rPr>
          <w:rStyle w:val="aff4"/>
          <w:rFonts w:hint="cs"/>
          <w:vanish/>
          <w:rtl/>
        </w:rPr>
        <w:t>-</w:t>
      </w:r>
      <w:r>
        <w:rPr>
          <w:rFonts w:hint="cs"/>
          <w:rtl/>
        </w:rPr>
        <w:t xml:space="preserve"> דהא דאמרו</w:t>
      </w:r>
      <w:r w:rsidRPr="00AA066C">
        <w:rPr>
          <w:rFonts w:hint="cs"/>
          <w:rtl/>
        </w:rPr>
        <w:t xml:space="preserve"> </w:t>
      </w:r>
      <w:r>
        <w:rPr>
          <w:rFonts w:hint="cs"/>
          <w:rtl/>
        </w:rPr>
        <w:t xml:space="preserve">רבנן דקיסרין בירושלמי </w:t>
      </w:r>
      <w:r w:rsidRPr="00A3054F">
        <w:rPr>
          <w:rStyle w:val="af2"/>
          <w:rFonts w:eastAsia="Guttman Hodes" w:hint="cs"/>
          <w:rtl/>
        </w:rPr>
        <w:t>(פ"ז ה"ב, מח:)</w:t>
      </w:r>
      <w:r>
        <w:rPr>
          <w:rFonts w:hint="cs"/>
          <w:rtl/>
        </w:rPr>
        <w:t xml:space="preserve"> דהצד דגים וכל דבר שמבדילו מחיותו, חייב משום קוצר, הבבלי פליג על זה, כדאמר שמואל בגמ' לקמן </w:t>
      </w:r>
      <w:r w:rsidRPr="00A3054F">
        <w:rPr>
          <w:rStyle w:val="af2"/>
          <w:rFonts w:eastAsia="Guttman Hodes" w:hint="cs"/>
          <w:rtl/>
        </w:rPr>
        <w:t>(קז:)</w:t>
      </w:r>
      <w:r>
        <w:rPr>
          <w:rFonts w:hint="cs"/>
          <w:rtl/>
        </w:rPr>
        <w:t xml:space="preserve"> דחייב משום נטילת נשמה, וכ"כ </w:t>
      </w:r>
      <w:r w:rsidRPr="007F356E">
        <w:rPr>
          <w:rStyle w:val="aff4"/>
          <w:rFonts w:hint="cs"/>
          <w:vanish/>
          <w:rtl/>
        </w:rPr>
        <w:t>-</w:t>
      </w:r>
      <w:r w:rsidRPr="001F02FD">
        <w:rPr>
          <w:rStyle w:val="aff4"/>
          <w:rFonts w:hint="cs"/>
          <w:rtl/>
        </w:rPr>
        <w:t>הרשב"א לקמן</w:t>
      </w:r>
      <w:r w:rsidRPr="007F356E">
        <w:rPr>
          <w:rStyle w:val="aff4"/>
          <w:rFonts w:hint="cs"/>
          <w:vanish/>
          <w:rtl/>
        </w:rPr>
        <w:t>-</w:t>
      </w:r>
      <w:r>
        <w:rPr>
          <w:rFonts w:hint="cs"/>
          <w:rtl/>
        </w:rPr>
        <w:t xml:space="preserve"> בשם </w:t>
      </w:r>
      <w:r w:rsidRPr="007F356E">
        <w:rPr>
          <w:rStyle w:val="aff4"/>
          <w:rFonts w:hint="cs"/>
          <w:vanish/>
          <w:rtl/>
        </w:rPr>
        <w:t>-</w:t>
      </w:r>
      <w:r w:rsidRPr="001F02FD">
        <w:rPr>
          <w:rStyle w:val="aff4"/>
          <w:rFonts w:hint="cs"/>
          <w:rtl/>
        </w:rPr>
        <w:t>הרמב"ן</w:t>
      </w:r>
      <w:r w:rsidRPr="007F356E">
        <w:rPr>
          <w:rStyle w:val="aff4"/>
          <w:rFonts w:hint="cs"/>
          <w:vanish/>
          <w:rtl/>
        </w:rPr>
        <w:t>-</w:t>
      </w:r>
      <w:r>
        <w:rPr>
          <w:rFonts w:hint="cs"/>
          <w:rtl/>
        </w:rPr>
        <w:t xml:space="preserve">. </w:t>
      </w:r>
      <w:r w:rsidRPr="003E0220">
        <w:rPr>
          <w:rStyle w:val="af"/>
          <w:rFonts w:hint="cs"/>
          <w:rtl/>
        </w:rPr>
        <w:t>[וכן במדלדל עובר דחייב משום נטילת נשמה, דדמי לעוקר דבר מגידולו בגידולי קרקע</w:t>
      </w:r>
      <w:r w:rsidRPr="00735214">
        <w:rPr>
          <w:rStyle w:val="af"/>
          <w:rFonts w:hint="cs"/>
          <w:rtl/>
        </w:rPr>
        <w:t>].</w:t>
      </w:r>
    </w:p>
    <w:p w14:paraId="59AEC64D" w14:textId="77777777" w:rsidR="00D31714" w:rsidRPr="00747170" w:rsidRDefault="00D31714" w:rsidP="00747170">
      <w:pPr>
        <w:pStyle w:val="a2"/>
        <w:rPr>
          <w:rtl/>
        </w:rPr>
      </w:pPr>
      <w:r w:rsidRPr="00747170">
        <w:rPr>
          <w:rtl/>
        </w:rPr>
        <w:t>ומה שאמרו בירושלמי בפ' כלל גדול רבנן דקסרין אמרין ההין דצד נונא וכל דבר שהוא מבדילו מחיותו חייב משום קוצר לא אתיא כשיטתא דגמ' דילן.</w:t>
      </w:r>
    </w:p>
    <w:p w14:paraId="20FA5DF4" w14:textId="77777777" w:rsidR="00D31714" w:rsidRDefault="00D31714" w:rsidP="00D31714">
      <w:pPr>
        <w:pStyle w:val="afffff7"/>
        <w:rPr>
          <w:rtl/>
        </w:rPr>
      </w:pPr>
      <w:bookmarkStart w:id="1026" w:name="_Toc135129982"/>
      <w:bookmarkStart w:id="1027" w:name="_Toc135670243"/>
      <w:bookmarkStart w:id="1028" w:name="_Toc163505544"/>
      <w:r>
        <w:rPr>
          <w:rtl/>
        </w:rPr>
        <w:t>רמב"ן הלכות בכורות פ</w:t>
      </w:r>
      <w:r>
        <w:rPr>
          <w:rFonts w:hint="cs"/>
          <w:rtl/>
        </w:rPr>
        <w:t>"</w:t>
      </w:r>
      <w:r>
        <w:rPr>
          <w:rtl/>
        </w:rPr>
        <w:t>ג יח</w:t>
      </w:r>
      <w:r>
        <w:rPr>
          <w:rFonts w:hint="cs"/>
          <w:rtl/>
        </w:rPr>
        <w:t xml:space="preserve"> ע"א אות מ'</w:t>
      </w:r>
      <w:bookmarkEnd w:id="1026"/>
      <w:bookmarkEnd w:id="1027"/>
      <w:bookmarkEnd w:id="1028"/>
    </w:p>
    <w:p w14:paraId="3FF31549" w14:textId="77777777" w:rsidR="00D31714" w:rsidRDefault="00D31714" w:rsidP="00D31714">
      <w:pPr>
        <w:pStyle w:val="a7"/>
        <w:rPr>
          <w:rtl/>
        </w:rPr>
      </w:pPr>
      <w:bookmarkStart w:id="1029" w:name="_Toc135669944"/>
      <w:r>
        <w:rPr>
          <w:rFonts w:hint="cs"/>
          <w:rtl/>
        </w:rPr>
        <w:t>בי' הרמב"ן בבכורות דכוונת הגמ' בבכורות דתולש בבע"ח הוא גוזז כעוקר מגידולו דהוא קוצר</w:t>
      </w:r>
      <w:bookmarkEnd w:id="1029"/>
    </w:p>
    <w:p w14:paraId="6B845B79" w14:textId="73EDA967" w:rsidR="00D31714" w:rsidRDefault="00D31714" w:rsidP="00BC7DC8">
      <w:pPr>
        <w:pStyle w:val="a3"/>
      </w:pPr>
      <w:bookmarkStart w:id="1030" w:name="_Ref134522266"/>
      <w:bookmarkStart w:id="1031" w:name="_Ref135668977"/>
      <w:r>
        <w:rPr>
          <w:rFonts w:hint="cs"/>
          <w:rtl/>
        </w:rPr>
        <w:t xml:space="preserve">וכ"כ </w:t>
      </w:r>
      <w:r w:rsidRPr="000D4E5E">
        <w:rPr>
          <w:rStyle w:val="aff4"/>
          <w:rFonts w:hint="cs"/>
          <w:vanish/>
          <w:rtl/>
        </w:rPr>
        <w:t>-</w:t>
      </w:r>
      <w:r w:rsidRPr="00572920">
        <w:rPr>
          <w:rStyle w:val="aff4"/>
          <w:rFonts w:hint="cs"/>
          <w:rtl/>
        </w:rPr>
        <w:t>ה</w:t>
      </w:r>
      <w:r w:rsidRPr="000D4E5E">
        <w:rPr>
          <w:rStyle w:val="aff4"/>
          <w:rFonts w:hint="cs"/>
          <w:vanish/>
          <w:rtl/>
        </w:rPr>
        <w:t xml:space="preserve">&lt;. </w:t>
      </w:r>
      <w:r w:rsidRPr="000D4E5E">
        <w:rPr>
          <w:rStyle w:val="aff4"/>
          <w:vanish/>
          <w:rtl/>
        </w:rPr>
        <w:fldChar w:fldCharType="begin"/>
      </w:r>
      <w:r w:rsidRPr="000D4E5E">
        <w:rPr>
          <w:rStyle w:val="aff4"/>
          <w:vanish/>
          <w:rtl/>
        </w:rPr>
        <w:instrText xml:space="preserve"> </w:instrText>
      </w:r>
      <w:r w:rsidRPr="000D4E5E">
        <w:rPr>
          <w:rStyle w:val="aff4"/>
          <w:rFonts w:hint="cs"/>
          <w:vanish/>
        </w:rPr>
        <w:instrText>REF</w:instrText>
      </w:r>
      <w:r w:rsidRPr="000D4E5E">
        <w:rPr>
          <w:rStyle w:val="aff4"/>
          <w:rFonts w:hint="cs"/>
          <w:vanish/>
          <w:rtl/>
        </w:rPr>
        <w:instrText xml:space="preserve"> _</w:instrText>
      </w:r>
      <w:r w:rsidRPr="000D4E5E">
        <w:rPr>
          <w:rStyle w:val="aff4"/>
          <w:rFonts w:hint="cs"/>
          <w:vanish/>
        </w:rPr>
        <w:instrText>Ref134522266 \r \h</w:instrText>
      </w:r>
      <w:r w:rsidRPr="000D4E5E">
        <w:rPr>
          <w:rStyle w:val="aff4"/>
          <w:vanish/>
          <w:rtl/>
        </w:rPr>
        <w:instrText xml:space="preserve"> </w:instrText>
      </w:r>
      <w:r w:rsidRPr="000D4E5E">
        <w:rPr>
          <w:rStyle w:val="aff4"/>
          <w:vanish/>
          <w:rtl/>
        </w:rPr>
      </w:r>
      <w:r w:rsidRPr="000D4E5E">
        <w:rPr>
          <w:rStyle w:val="aff4"/>
          <w:vanish/>
          <w:rtl/>
        </w:rPr>
        <w:fldChar w:fldCharType="separate"/>
      </w:r>
      <w:r w:rsidR="00D82181">
        <w:rPr>
          <w:rStyle w:val="aff4"/>
          <w:vanish/>
          <w:cs/>
        </w:rPr>
        <w:t>‎</w:t>
      </w:r>
      <w:r w:rsidR="00D82181">
        <w:rPr>
          <w:rStyle w:val="aff4"/>
          <w:vanish/>
          <w:rtl/>
        </w:rPr>
        <w:t>כו)</w:t>
      </w:r>
      <w:r w:rsidRPr="000D4E5E">
        <w:rPr>
          <w:rStyle w:val="aff4"/>
          <w:vanish/>
          <w:rtl/>
        </w:rPr>
        <w:fldChar w:fldCharType="end"/>
      </w:r>
      <w:r w:rsidRPr="000D4E5E">
        <w:rPr>
          <w:rStyle w:val="aff4"/>
          <w:rFonts w:hint="cs"/>
          <w:vanish/>
          <w:rtl/>
        </w:rPr>
        <w:t xml:space="preserve"> &gt;</w:t>
      </w:r>
      <w:r w:rsidRPr="00572920">
        <w:rPr>
          <w:rStyle w:val="aff4"/>
          <w:rFonts w:hint="cs"/>
          <w:rtl/>
        </w:rPr>
        <w:t>רמב"ן בהל' בכורות</w:t>
      </w:r>
      <w:r w:rsidRPr="000D4E5E">
        <w:rPr>
          <w:rStyle w:val="aff4"/>
          <w:rFonts w:hint="cs"/>
          <w:vanish/>
          <w:rtl/>
        </w:rPr>
        <w:t>-</w:t>
      </w:r>
      <w:r>
        <w:rPr>
          <w:rFonts w:hint="cs"/>
          <w:rtl/>
        </w:rPr>
        <w:t xml:space="preserve"> </w:t>
      </w:r>
      <w:r w:rsidRPr="00A3054F">
        <w:rPr>
          <w:rStyle w:val="af2"/>
          <w:rFonts w:eastAsia="Guttman Hodes" w:hint="cs"/>
          <w:rtl/>
        </w:rPr>
        <w:t>(פ"ג יח. אות מ', מהד' עוז והדר עמ' ע"א, מהד' וילנא החדש עמ' ס"א)</w:t>
      </w:r>
      <w:r w:rsidRPr="000D4E5E">
        <w:rPr>
          <w:rFonts w:hint="cs"/>
          <w:vanish/>
          <w:rtl/>
        </w:rPr>
        <w:t>=</w:t>
      </w:r>
      <w:bookmarkEnd w:id="1030"/>
      <w:r>
        <w:rPr>
          <w:rFonts w:hint="cs"/>
          <w:rtl/>
        </w:rPr>
        <w:t xml:space="preserve"> דהא דאמרינן בגמ' בבכורות </w:t>
      </w:r>
      <w:r w:rsidRPr="00A3054F">
        <w:rPr>
          <w:rStyle w:val="af2"/>
          <w:rFonts w:eastAsia="Guttman Hodes" w:hint="cs"/>
          <w:rtl/>
        </w:rPr>
        <w:t>(כה.)</w:t>
      </w:r>
      <w:r>
        <w:rPr>
          <w:rFonts w:hint="cs"/>
          <w:rtl/>
        </w:rPr>
        <w:t xml:space="preserve"> דתולש לאו היינו גוזז, אלא הוא עוקר דבר מגידולו כלאחר יד, אין כוונת הגמ' לומר דהוא כעוקר דבר מגידולו דהוא תולדה דקוצר, אלא דכמו דתולש מהקרקע חייב משום עוקר דבר מגידולו דקוצר, ה"ה בבע"ח דהוי עוקר דבר מגידולו דחייב משום גוזז, ורק בתולש צמר דהוא כלאחר יד פטור, אבל בתולש מעוף דהוא אורחיה חייב משום גוזז, דהוא עוקר דבר מגידולו בבע"ח, ועי' במה שהאריך </w:t>
      </w:r>
      <w:r w:rsidRPr="000D4E5E">
        <w:rPr>
          <w:rStyle w:val="aff4"/>
          <w:rFonts w:hint="cs"/>
          <w:vanish/>
          <w:rtl/>
        </w:rPr>
        <w:t>-</w:t>
      </w:r>
      <w:r w:rsidRPr="00572920">
        <w:rPr>
          <w:rStyle w:val="aff4"/>
          <w:rFonts w:hint="cs"/>
          <w:rtl/>
        </w:rPr>
        <w:t>ה</w:t>
      </w:r>
      <w:r>
        <w:rPr>
          <w:rStyle w:val="aff4"/>
          <w:rFonts w:hint="cs"/>
          <w:vanish/>
          <w:rtl/>
        </w:rPr>
        <w:t>&lt; &gt;</w:t>
      </w:r>
      <w:r>
        <w:rPr>
          <w:rStyle w:val="aff4"/>
          <w:rFonts w:hint="cs"/>
          <w:rtl/>
        </w:rPr>
        <w:t>מהרי"ט אלגאזי</w:t>
      </w:r>
      <w:r w:rsidRPr="00572920">
        <w:rPr>
          <w:rStyle w:val="aff4"/>
          <w:rFonts w:hint="cs"/>
          <w:rtl/>
        </w:rPr>
        <w:t xml:space="preserve"> ב</w:t>
      </w:r>
      <w:r>
        <w:rPr>
          <w:rStyle w:val="aff4"/>
          <w:rFonts w:hint="cs"/>
          <w:rtl/>
        </w:rPr>
        <w:t>ב</w:t>
      </w:r>
      <w:r w:rsidRPr="00572920">
        <w:rPr>
          <w:rStyle w:val="aff4"/>
          <w:rFonts w:hint="cs"/>
          <w:rtl/>
        </w:rPr>
        <w:t>כורות</w:t>
      </w:r>
      <w:r w:rsidRPr="000D4E5E">
        <w:rPr>
          <w:rStyle w:val="aff4"/>
          <w:rFonts w:hint="cs"/>
          <w:vanish/>
          <w:rtl/>
        </w:rPr>
        <w:t>-</w:t>
      </w:r>
      <w:r>
        <w:rPr>
          <w:rFonts w:hint="cs"/>
          <w:rtl/>
        </w:rPr>
        <w:t xml:space="preserve"> </w:t>
      </w:r>
      <w:r w:rsidRPr="00A3054F">
        <w:rPr>
          <w:rStyle w:val="af2"/>
          <w:rFonts w:eastAsia="Guttman Hodes" w:hint="cs"/>
          <w:rtl/>
        </w:rPr>
        <w:t>(פ"ג יח. אות מ' ד"ה אולם, מהד' עוז והדר עמ' ע"א, מהד' וילנא החדש עמ' ס"א)</w:t>
      </w:r>
      <w:r w:rsidRPr="000D4E5E">
        <w:rPr>
          <w:rFonts w:hint="cs"/>
          <w:vanish/>
          <w:rtl/>
        </w:rPr>
        <w:t>=</w:t>
      </w:r>
      <w:r>
        <w:rPr>
          <w:rFonts w:hint="cs"/>
          <w:rtl/>
        </w:rPr>
        <w:t xml:space="preserve"> לדחות את דברי </w:t>
      </w:r>
      <w:r w:rsidRPr="00100B8E">
        <w:rPr>
          <w:rStyle w:val="aff4"/>
          <w:rFonts w:hint="cs"/>
          <w:vanish/>
          <w:rtl/>
        </w:rPr>
        <w:t>-</w:t>
      </w:r>
      <w:r w:rsidRPr="00335C9B">
        <w:rPr>
          <w:rStyle w:val="aff4"/>
          <w:rFonts w:hint="cs"/>
          <w:rtl/>
        </w:rPr>
        <w:t>הרמב"ן</w:t>
      </w:r>
      <w:r w:rsidRPr="00100B8E">
        <w:rPr>
          <w:rStyle w:val="aff4"/>
          <w:rFonts w:hint="cs"/>
          <w:vanish/>
          <w:rtl/>
        </w:rPr>
        <w:t>-</w:t>
      </w:r>
      <w:r>
        <w:rPr>
          <w:rFonts w:hint="cs"/>
          <w:rtl/>
        </w:rPr>
        <w:t xml:space="preserve">, ואת הראיות שהביא </w:t>
      </w:r>
      <w:r w:rsidRPr="00100B8E">
        <w:rPr>
          <w:rStyle w:val="aff4"/>
          <w:rFonts w:hint="cs"/>
          <w:vanish/>
          <w:rtl/>
        </w:rPr>
        <w:t>-</w:t>
      </w:r>
      <w:r w:rsidRPr="00335C9B">
        <w:rPr>
          <w:rStyle w:val="aff4"/>
          <w:rFonts w:hint="cs"/>
          <w:rtl/>
        </w:rPr>
        <w:t>הרמב"ן</w:t>
      </w:r>
      <w:r w:rsidRPr="00100B8E">
        <w:rPr>
          <w:rStyle w:val="aff4"/>
          <w:rFonts w:hint="cs"/>
          <w:vanish/>
          <w:rtl/>
        </w:rPr>
        <w:t>-</w:t>
      </w:r>
      <w:r>
        <w:rPr>
          <w:rFonts w:hint="cs"/>
          <w:rtl/>
        </w:rPr>
        <w:t xml:space="preserve">, ובמה שביאר בחילוק שבין קוצר לגוזז, וע"ע במ"ש בזה </w:t>
      </w:r>
      <w:r w:rsidRPr="00735214">
        <w:rPr>
          <w:rStyle w:val="aff4"/>
          <w:rFonts w:hint="cs"/>
          <w:vanish/>
          <w:rtl/>
        </w:rPr>
        <w:t>-</w:t>
      </w:r>
      <w:r w:rsidRPr="00A3054F">
        <w:rPr>
          <w:rStyle w:val="aff4"/>
          <w:rFonts w:hint="cs"/>
          <w:rtl/>
        </w:rPr>
        <w:t>ה</w:t>
      </w:r>
      <w:r w:rsidRPr="00735214">
        <w:rPr>
          <w:rStyle w:val="aff4"/>
          <w:rFonts w:hint="cs"/>
          <w:vanish/>
          <w:rtl/>
        </w:rPr>
        <w:t>&lt; &gt;</w:t>
      </w:r>
      <w:r w:rsidRPr="00A3054F">
        <w:rPr>
          <w:rStyle w:val="aff4"/>
          <w:rFonts w:hint="cs"/>
          <w:rtl/>
        </w:rPr>
        <w:t>דבר אברהם</w:t>
      </w:r>
      <w:r w:rsidRPr="00735214">
        <w:rPr>
          <w:rStyle w:val="aff4"/>
          <w:rFonts w:hint="cs"/>
          <w:vanish/>
          <w:rtl/>
        </w:rPr>
        <w:t>-</w:t>
      </w:r>
      <w:r>
        <w:rPr>
          <w:rFonts w:hint="cs"/>
          <w:rtl/>
        </w:rPr>
        <w:t xml:space="preserve"> </w:t>
      </w:r>
      <w:r w:rsidRPr="00A3054F">
        <w:rPr>
          <w:rStyle w:val="af2"/>
          <w:rFonts w:eastAsia="Guttman Hodes" w:hint="cs"/>
          <w:rtl/>
        </w:rPr>
        <w:t>(ח"א סי' כ"ד ענף ב')</w:t>
      </w:r>
      <w:r w:rsidRPr="00735214">
        <w:rPr>
          <w:rFonts w:hint="cs"/>
          <w:vanish/>
          <w:rtl/>
        </w:rPr>
        <w:t>=</w:t>
      </w:r>
      <w:r>
        <w:rPr>
          <w:rFonts w:hint="cs"/>
          <w:rtl/>
        </w:rPr>
        <w:t xml:space="preserve"> באריכות.</w:t>
      </w:r>
      <w:bookmarkEnd w:id="1031"/>
    </w:p>
    <w:p w14:paraId="4FB61583" w14:textId="77777777" w:rsidR="00D31714" w:rsidRPr="00747170" w:rsidRDefault="00D31714" w:rsidP="00747170">
      <w:pPr>
        <w:pStyle w:val="a2"/>
        <w:rPr>
          <w:rtl/>
        </w:rPr>
      </w:pPr>
      <w:r w:rsidRPr="00747170">
        <w:rPr>
          <w:rtl/>
        </w:rPr>
        <w:t>ורב שרי משום טעמא אחריני, דקסבר תולש בכה"ג דלאו אורחיה לא מיחייב משום גוזז, ומשום שמחת יום טוב נמי לכתחלה מותר, אבל בעוף אף על גב דלא שרי למעבד הכי מהני אנפי, משום דהיינו אורחיה ולאו דבר שאינו מתכוין הוא, דהא תליש ממש, ומתכוין לתלישה נמי הוא, דהא מהניא שחיטה לבתר תלישה, אפילו הכי כיון דמסקנא דתולש משום גוזז הוא, לא הוי משום עוקר דבר מגידולו דהוא תולדה דקוצר אלא תולש מן הקרקע, אבל כל דתליש מן בעלי חיים משום גוזז הוא דמחייב בלחוד, ומש"ה כי הוי כארחיה כגון עוף חייב משום גוזז ואי לאו ארחיה הויא מלאכה כלאחר יד ופטור ואף על גב דהוי כארחיה לעקור דבר מגידולו</w:t>
      </w:r>
      <w:r w:rsidRPr="00747170">
        <w:rPr>
          <w:rFonts w:hint="cs"/>
          <w:rtl/>
        </w:rPr>
        <w:t>.</w:t>
      </w:r>
    </w:p>
    <w:p w14:paraId="17641371" w14:textId="77777777" w:rsidR="00D31714" w:rsidRPr="00630C7A" w:rsidRDefault="00D31714" w:rsidP="00D31714">
      <w:pPr>
        <w:pStyle w:val="1"/>
      </w:pPr>
      <w:bookmarkStart w:id="1032" w:name="_Toc135669945"/>
      <w:r>
        <w:rPr>
          <w:rFonts w:hint="cs"/>
          <w:rtl/>
        </w:rPr>
        <w:t>בי' הרמב"ן דבדש אפש"ל דבהמה חשיבא כגידולי קרקע</w:t>
      </w:r>
      <w:bookmarkEnd w:id="1032"/>
    </w:p>
    <w:p w14:paraId="754A8926" w14:textId="77777777" w:rsidR="00D31714" w:rsidRDefault="00D31714" w:rsidP="00D31714">
      <w:pPr>
        <w:pStyle w:val="afffff7"/>
        <w:rPr>
          <w:rtl/>
        </w:rPr>
      </w:pPr>
      <w:bookmarkStart w:id="1033" w:name="_Toc135670244"/>
      <w:bookmarkStart w:id="1034" w:name="_Toc163505545"/>
      <w:r>
        <w:rPr>
          <w:rtl/>
        </w:rPr>
        <w:t>חדושי הרמב"ן שבת צ"ה ע"א</w:t>
      </w:r>
      <w:r>
        <w:rPr>
          <w:rFonts w:hint="cs"/>
          <w:rtl/>
        </w:rPr>
        <w:t xml:space="preserve"> ד"ה חולב</w:t>
      </w:r>
      <w:bookmarkEnd w:id="1033"/>
      <w:bookmarkEnd w:id="1034"/>
    </w:p>
    <w:p w14:paraId="477C725C" w14:textId="77777777" w:rsidR="00D31714" w:rsidRDefault="00D31714" w:rsidP="00D31714">
      <w:pPr>
        <w:pStyle w:val="a7"/>
        <w:rPr>
          <w:rtl/>
        </w:rPr>
      </w:pPr>
      <w:bookmarkStart w:id="1035" w:name="_Toc135669946"/>
      <w:r>
        <w:rPr>
          <w:rFonts w:hint="cs"/>
          <w:rtl/>
        </w:rPr>
        <w:t>בי' הרמב"ן דבדש אפש"ל דבהמה חשיבא כגידו"ק ובי' הגרא"ז דדש ל"ד לקוצר לענין זה</w:t>
      </w:r>
      <w:bookmarkEnd w:id="1035"/>
    </w:p>
    <w:p w14:paraId="0C3C217F" w14:textId="3FC78422" w:rsidR="00D31714" w:rsidRPr="00785469" w:rsidRDefault="00D31714" w:rsidP="00BC7DC8">
      <w:pPr>
        <w:pStyle w:val="a3"/>
      </w:pPr>
      <w:r>
        <w:rPr>
          <w:rFonts w:hint="cs"/>
          <w:rtl/>
        </w:rPr>
        <w:t xml:space="preserve">בהא דאיתא בגמ' לקמן </w:t>
      </w:r>
      <w:r w:rsidRPr="00A3054F">
        <w:rPr>
          <w:rStyle w:val="af2"/>
          <w:rFonts w:eastAsia="Guttman Hodes" w:hint="cs"/>
          <w:rtl/>
        </w:rPr>
        <w:t>(צה.)</w:t>
      </w:r>
      <w:r>
        <w:rPr>
          <w:rFonts w:hint="cs"/>
          <w:rtl/>
        </w:rPr>
        <w:t xml:space="preserve"> דחולב חייב משום מפרק, הקשה </w:t>
      </w:r>
      <w:r w:rsidRPr="00C65D8D">
        <w:rPr>
          <w:rStyle w:val="aff4"/>
          <w:rFonts w:hint="cs"/>
          <w:vanish/>
          <w:rtl/>
        </w:rPr>
        <w:t>-</w:t>
      </w:r>
      <w:r>
        <w:rPr>
          <w:rStyle w:val="aff4"/>
          <w:rFonts w:hint="cs"/>
          <w:rtl/>
        </w:rPr>
        <w:t>ה</w:t>
      </w:r>
      <w:r>
        <w:rPr>
          <w:rFonts w:hint="cs"/>
          <w:vanish/>
          <w:rtl/>
        </w:rPr>
        <w:t>&lt;. ? &gt;</w:t>
      </w:r>
      <w:r>
        <w:rPr>
          <w:rStyle w:val="aff4"/>
          <w:rFonts w:hint="cs"/>
          <w:rtl/>
        </w:rPr>
        <w:t>רמב"ן</w:t>
      </w:r>
      <w:r w:rsidRPr="00C65D8D">
        <w:rPr>
          <w:rStyle w:val="aff4"/>
          <w:rFonts w:hint="cs"/>
          <w:rtl/>
        </w:rPr>
        <w:t xml:space="preserve"> לקמן</w:t>
      </w:r>
      <w:r w:rsidRPr="00C65D8D">
        <w:rPr>
          <w:rStyle w:val="aff4"/>
          <w:rFonts w:hint="cs"/>
          <w:vanish/>
          <w:rtl/>
        </w:rPr>
        <w:t>-</w:t>
      </w:r>
      <w:r>
        <w:rPr>
          <w:rFonts w:hint="cs"/>
          <w:rtl/>
        </w:rPr>
        <w:t xml:space="preserve"> </w:t>
      </w:r>
      <w:r w:rsidRPr="00A3054F">
        <w:rPr>
          <w:rStyle w:val="af2"/>
          <w:rFonts w:eastAsia="Guttman Hodes" w:hint="cs"/>
          <w:rtl/>
        </w:rPr>
        <w:t>(צה. ד"ה חולב)</w:t>
      </w:r>
      <w:r w:rsidRPr="00C65D8D">
        <w:rPr>
          <w:rFonts w:hint="cs"/>
          <w:vanish/>
          <w:rtl/>
        </w:rPr>
        <w:t>=</w:t>
      </w:r>
      <w:r>
        <w:rPr>
          <w:rFonts w:hint="cs"/>
          <w:rtl/>
        </w:rPr>
        <w:t xml:space="preserve"> דהא לענין דש אמרינן בגמ' לקמן </w:t>
      </w:r>
      <w:r w:rsidRPr="00A3054F">
        <w:rPr>
          <w:rStyle w:val="af2"/>
          <w:rFonts w:eastAsia="Guttman Hodes" w:hint="cs"/>
          <w:rtl/>
        </w:rPr>
        <w:t>(עה.)</w:t>
      </w:r>
      <w:r>
        <w:rPr>
          <w:rFonts w:hint="cs"/>
          <w:rtl/>
        </w:rPr>
        <w:t xml:space="preserve"> דאין דישה אלא בגידולי קרקע, ומפרק הוא תולדה דדש, ותירץ </w:t>
      </w:r>
      <w:r w:rsidRPr="00735214">
        <w:rPr>
          <w:rStyle w:val="aff4"/>
          <w:rFonts w:hint="cs"/>
          <w:vanish/>
          <w:rtl/>
        </w:rPr>
        <w:t>-</w:t>
      </w:r>
      <w:r w:rsidRPr="00A3054F">
        <w:rPr>
          <w:rStyle w:val="aff4"/>
          <w:rFonts w:hint="cs"/>
          <w:rtl/>
        </w:rPr>
        <w:t>הרמב"ן לקמן</w:t>
      </w:r>
      <w:r w:rsidRPr="00735214">
        <w:rPr>
          <w:rStyle w:val="aff4"/>
          <w:rFonts w:hint="cs"/>
          <w:vanish/>
          <w:rtl/>
        </w:rPr>
        <w:t>-</w:t>
      </w:r>
      <w:r>
        <w:rPr>
          <w:rFonts w:hint="cs"/>
          <w:rtl/>
        </w:rPr>
        <w:t xml:space="preserve"> דאפש"ל דבהמה היא בכלל גידולי קרקע, עיי"ש בדבריו, ועי' במ"ש </w:t>
      </w:r>
      <w:r w:rsidRPr="00735214">
        <w:rPr>
          <w:rStyle w:val="aff4"/>
          <w:rFonts w:hint="cs"/>
          <w:vanish/>
          <w:rtl/>
        </w:rPr>
        <w:t>-</w:t>
      </w:r>
      <w:r w:rsidRPr="00A3054F">
        <w:rPr>
          <w:rStyle w:val="aff4"/>
          <w:rFonts w:hint="cs"/>
          <w:rtl/>
        </w:rPr>
        <w:t>ב</w:t>
      </w:r>
      <w:r w:rsidRPr="00735214">
        <w:rPr>
          <w:rStyle w:val="aff4"/>
          <w:rFonts w:hint="cs"/>
          <w:vanish/>
          <w:rtl/>
        </w:rPr>
        <w:t>&lt; &gt;</w:t>
      </w:r>
      <w:r w:rsidRPr="00A3054F">
        <w:rPr>
          <w:rStyle w:val="aff4"/>
          <w:rFonts w:hint="cs"/>
          <w:rtl/>
        </w:rPr>
        <w:t>הג' הגרא"ז על הרמב"ן</w:t>
      </w:r>
      <w:r w:rsidRPr="00735214">
        <w:rPr>
          <w:rStyle w:val="aff4"/>
          <w:rFonts w:hint="cs"/>
          <w:vanish/>
          <w:rtl/>
        </w:rPr>
        <w:t>-</w:t>
      </w:r>
      <w:r>
        <w:rPr>
          <w:rFonts w:hint="cs"/>
          <w:rtl/>
        </w:rPr>
        <w:t xml:space="preserve"> </w:t>
      </w:r>
      <w:r w:rsidRPr="00A3054F">
        <w:rPr>
          <w:rStyle w:val="af2"/>
          <w:rFonts w:eastAsia="Guttman Hodes" w:hint="cs"/>
          <w:rtl/>
        </w:rPr>
        <w:t>(אות ט')</w:t>
      </w:r>
      <w:r w:rsidRPr="00735214">
        <w:rPr>
          <w:rFonts w:hint="cs"/>
          <w:vanish/>
          <w:rtl/>
        </w:rPr>
        <w:t>=</w:t>
      </w:r>
      <w:r>
        <w:rPr>
          <w:rFonts w:hint="cs"/>
          <w:rtl/>
        </w:rPr>
        <w:t xml:space="preserve"> דאף דלענין קוצר כתב </w:t>
      </w:r>
      <w:r w:rsidRPr="00735214">
        <w:rPr>
          <w:rStyle w:val="aff4"/>
          <w:rFonts w:hint="cs"/>
          <w:vanish/>
          <w:rtl/>
        </w:rPr>
        <w:t>-</w:t>
      </w:r>
      <w:r w:rsidRPr="00A3054F">
        <w:rPr>
          <w:rStyle w:val="aff4"/>
          <w:rFonts w:hint="cs"/>
          <w:rtl/>
        </w:rPr>
        <w:t>הרמב"ן</w:t>
      </w:r>
      <w:r w:rsidRPr="00735214">
        <w:rPr>
          <w:rStyle w:val="aff4"/>
          <w:rFonts w:hint="cs"/>
          <w:vanish/>
          <w:rtl/>
        </w:rPr>
        <w:t>-</w:t>
      </w:r>
      <w:r>
        <w:rPr>
          <w:rFonts w:hint="cs"/>
          <w:rtl/>
        </w:rPr>
        <w:t xml:space="preserve"> </w:t>
      </w:r>
      <w:r w:rsidRPr="00A3054F">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Ref134521888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כא)</w:t>
      </w:r>
      <w:r>
        <w:rPr>
          <w:rStyle w:val="af2"/>
          <w:rFonts w:eastAsia="Guttman Hodes"/>
          <w:rtl/>
        </w:rPr>
        <w:fldChar w:fldCharType="end"/>
      </w:r>
      <w:r>
        <w:rPr>
          <w:rFonts w:hint="cs"/>
          <w:rtl/>
        </w:rPr>
        <w:t xml:space="preserve"> דדישה היא רק בגידולי קרקע, ולא בבהמה, מ"מ יש לחלק בין דש לקוצר בזה.</w:t>
      </w:r>
    </w:p>
    <w:p w14:paraId="79DDB217" w14:textId="77777777" w:rsidR="00D31714" w:rsidRPr="00747170" w:rsidRDefault="00D31714" w:rsidP="00747170">
      <w:pPr>
        <w:pStyle w:val="a2"/>
      </w:pPr>
      <w:r w:rsidRPr="00747170">
        <w:rPr>
          <w:rtl/>
        </w:rPr>
        <w:t>חולב חייב משום מפרק. אי קשיא והא אמרי' בפ' כלל גדול (ע"ה א') אין דישה אלא בגדולי קרקע ומפרק תולדה דדש הוא, וי"ל דישה בעצמו של פרי ליתא אלא בגדולי קרקע אבל להוציא ממנו פירות מכונסים וטמונים בתוך כיס שלהן כגון חולב דומיא דדישת גדולי קרקע היא, ואפשר דבכלל גדולי קרקע בהמה, שמצינו שנקראו כן בקצת מקומות כדאמרי' (עירובין כ"ז ב') מה הפרט מפורש פרי מפרי וגדולי קרקע אף כל פרי מפרי וגדולי קרקע והיינו בקר</w:t>
      </w:r>
      <w:r w:rsidRPr="00747170">
        <w:rPr>
          <w:rFonts w:hint="cs"/>
          <w:rtl/>
        </w:rPr>
        <w:t>.</w:t>
      </w:r>
      <w:r w:rsidRPr="00747170">
        <w:rPr>
          <w:rtl/>
        </w:rPr>
        <w:t xml:space="preserve"> </w:t>
      </w:r>
    </w:p>
    <w:p w14:paraId="49061BF5" w14:textId="77777777" w:rsidR="00D31714" w:rsidRPr="00147774" w:rsidRDefault="00D31714" w:rsidP="00D31714">
      <w:pPr>
        <w:pStyle w:val="1"/>
      </w:pPr>
      <w:bookmarkStart w:id="1036" w:name="_Toc135669947"/>
      <w:r>
        <w:rPr>
          <w:rFonts w:hint="cs"/>
          <w:rtl/>
        </w:rPr>
        <w:t>בי' המאירי דמדלדל עובר עוקר דבר מגידולו ככשות מהיזמי</w:t>
      </w:r>
      <w:bookmarkEnd w:id="1036"/>
    </w:p>
    <w:p w14:paraId="0A6B6CBC" w14:textId="77777777" w:rsidR="00D31714" w:rsidRDefault="00D31714" w:rsidP="00D31714">
      <w:pPr>
        <w:pStyle w:val="afffff7"/>
        <w:rPr>
          <w:rtl/>
        </w:rPr>
      </w:pPr>
      <w:bookmarkStart w:id="1037" w:name="_Toc135129983"/>
      <w:bookmarkStart w:id="1038" w:name="_Toc135670245"/>
      <w:bookmarkStart w:id="1039" w:name="_Toc163505546"/>
      <w:r>
        <w:rPr>
          <w:rtl/>
        </w:rPr>
        <w:t>מאירי שבת ק"ז ע"ב</w:t>
      </w:r>
      <w:r>
        <w:rPr>
          <w:rFonts w:hint="cs"/>
          <w:rtl/>
        </w:rPr>
        <w:t xml:space="preserve"> ד"ה הושיט</w:t>
      </w:r>
      <w:bookmarkEnd w:id="1037"/>
      <w:bookmarkEnd w:id="1038"/>
      <w:bookmarkEnd w:id="1039"/>
    </w:p>
    <w:p w14:paraId="56371CE5" w14:textId="77777777" w:rsidR="00D31714" w:rsidRDefault="00D31714" w:rsidP="00D31714">
      <w:pPr>
        <w:pStyle w:val="a7"/>
        <w:rPr>
          <w:rtl/>
        </w:rPr>
      </w:pPr>
      <w:bookmarkStart w:id="1040" w:name="_Toc135669948"/>
      <w:r>
        <w:rPr>
          <w:rFonts w:hint="cs"/>
          <w:rtl/>
        </w:rPr>
        <w:t>בי' המאירי דמדלדל עובר אף שלא מת העובר הוא עוקר דבר מגידולו וה"ה בכשות מהיזמי</w:t>
      </w:r>
      <w:bookmarkEnd w:id="1040"/>
    </w:p>
    <w:p w14:paraId="1B5C6AAA" w14:textId="0C760E19" w:rsidR="00D31714" w:rsidRPr="00050D03" w:rsidRDefault="00D31714" w:rsidP="00BC7DC8">
      <w:pPr>
        <w:pStyle w:val="a3"/>
        <w:rPr>
          <w:rtl/>
        </w:rPr>
      </w:pPr>
      <w:bookmarkStart w:id="1041" w:name="_Ref134525459"/>
      <w:r>
        <w:rPr>
          <w:rFonts w:hint="cs"/>
          <w:rtl/>
        </w:rPr>
        <w:t xml:space="preserve">כתב </w:t>
      </w:r>
      <w:r w:rsidRPr="00100B8E">
        <w:rPr>
          <w:rStyle w:val="aff4"/>
          <w:rFonts w:hint="cs"/>
          <w:vanish/>
          <w:rtl/>
        </w:rPr>
        <w:t>-</w:t>
      </w:r>
      <w:r w:rsidRPr="00335C9B">
        <w:rPr>
          <w:rStyle w:val="aff4"/>
          <w:rFonts w:hint="cs"/>
          <w:rtl/>
        </w:rPr>
        <w:t>ה</w:t>
      </w:r>
      <w:bookmarkStart w:id="1042" w:name="_Hlk135217812"/>
      <w:r w:rsidRPr="00100B8E">
        <w:rPr>
          <w:rStyle w:val="aff4"/>
          <w:rFonts w:hint="cs"/>
          <w:vanish/>
          <w:rtl/>
        </w:rPr>
        <w:t xml:space="preserve">&lt;. </w:t>
      </w:r>
      <w:r w:rsidRPr="00100B8E">
        <w:rPr>
          <w:rStyle w:val="aff4"/>
          <w:vanish/>
          <w:rtl/>
        </w:rPr>
        <w:fldChar w:fldCharType="begin"/>
      </w:r>
      <w:r w:rsidRPr="00100B8E">
        <w:rPr>
          <w:rStyle w:val="aff4"/>
          <w:vanish/>
          <w:rtl/>
        </w:rPr>
        <w:instrText xml:space="preserve"> </w:instrText>
      </w:r>
      <w:r w:rsidRPr="00100B8E">
        <w:rPr>
          <w:rStyle w:val="aff4"/>
          <w:rFonts w:hint="cs"/>
          <w:vanish/>
        </w:rPr>
        <w:instrText>REF</w:instrText>
      </w:r>
      <w:r w:rsidRPr="00100B8E">
        <w:rPr>
          <w:rStyle w:val="aff4"/>
          <w:rFonts w:hint="cs"/>
          <w:vanish/>
          <w:rtl/>
        </w:rPr>
        <w:instrText xml:space="preserve"> _</w:instrText>
      </w:r>
      <w:r w:rsidRPr="00100B8E">
        <w:rPr>
          <w:rStyle w:val="aff4"/>
          <w:rFonts w:hint="cs"/>
          <w:vanish/>
        </w:rPr>
        <w:instrText>Ref134525459 \r \h</w:instrText>
      </w:r>
      <w:r w:rsidRPr="00100B8E">
        <w:rPr>
          <w:rStyle w:val="aff4"/>
          <w:vanish/>
          <w:rtl/>
        </w:rPr>
        <w:instrText xml:space="preserve"> </w:instrText>
      </w:r>
      <w:r>
        <w:rPr>
          <w:rStyle w:val="aff4"/>
          <w:vanish/>
          <w:rtl/>
        </w:rPr>
        <w:instrText xml:space="preserve"> \* </w:instrText>
      </w:r>
      <w:r>
        <w:rPr>
          <w:rStyle w:val="aff4"/>
          <w:vanish/>
        </w:rPr>
        <w:instrText>MERGEFORMAT</w:instrText>
      </w:r>
      <w:r>
        <w:rPr>
          <w:rStyle w:val="aff4"/>
          <w:vanish/>
          <w:rtl/>
        </w:rPr>
        <w:instrText xml:space="preserve"> </w:instrText>
      </w:r>
      <w:r w:rsidRPr="00100B8E">
        <w:rPr>
          <w:rStyle w:val="aff4"/>
          <w:vanish/>
          <w:rtl/>
        </w:rPr>
      </w:r>
      <w:r w:rsidRPr="00100B8E">
        <w:rPr>
          <w:rStyle w:val="aff4"/>
          <w:vanish/>
          <w:rtl/>
        </w:rPr>
        <w:fldChar w:fldCharType="separate"/>
      </w:r>
      <w:r w:rsidR="00D82181">
        <w:rPr>
          <w:rStyle w:val="aff4"/>
          <w:vanish/>
          <w:cs/>
        </w:rPr>
        <w:t>‎</w:t>
      </w:r>
      <w:r w:rsidR="00D82181">
        <w:rPr>
          <w:rStyle w:val="aff4"/>
          <w:vanish/>
          <w:rtl/>
        </w:rPr>
        <w:t>כח)</w:t>
      </w:r>
      <w:r w:rsidRPr="00100B8E">
        <w:rPr>
          <w:rStyle w:val="aff4"/>
          <w:vanish/>
          <w:rtl/>
        </w:rPr>
        <w:fldChar w:fldCharType="end"/>
      </w:r>
      <w:r w:rsidRPr="00100B8E">
        <w:rPr>
          <w:rStyle w:val="aff4"/>
          <w:rFonts w:hint="cs"/>
          <w:vanish/>
          <w:rtl/>
        </w:rPr>
        <w:t xml:space="preserve"> &gt;</w:t>
      </w:r>
      <w:r w:rsidRPr="00335C9B">
        <w:rPr>
          <w:rStyle w:val="aff4"/>
          <w:rFonts w:hint="cs"/>
          <w:rtl/>
        </w:rPr>
        <w:t>מאירי לקמן</w:t>
      </w:r>
      <w:r w:rsidRPr="00100B8E">
        <w:rPr>
          <w:rStyle w:val="aff4"/>
          <w:rFonts w:hint="cs"/>
          <w:vanish/>
          <w:rtl/>
        </w:rPr>
        <w:t>-</w:t>
      </w:r>
      <w:r>
        <w:rPr>
          <w:rFonts w:hint="cs"/>
          <w:rtl/>
        </w:rPr>
        <w:t xml:space="preserve"> </w:t>
      </w:r>
      <w:r w:rsidRPr="00A3054F">
        <w:rPr>
          <w:rStyle w:val="af2"/>
          <w:rFonts w:eastAsia="Guttman Hodes" w:hint="cs"/>
          <w:rtl/>
        </w:rPr>
        <w:t>(קז: ד"ה הושיט)</w:t>
      </w:r>
      <w:r w:rsidRPr="004A7379">
        <w:rPr>
          <w:rFonts w:hint="cs"/>
          <w:vanish/>
          <w:rtl/>
        </w:rPr>
        <w:t>=</w:t>
      </w:r>
      <w:bookmarkEnd w:id="1042"/>
      <w:r>
        <w:rPr>
          <w:rFonts w:hint="cs"/>
          <w:rtl/>
        </w:rPr>
        <w:t xml:space="preserve"> דהחיוב במדלדל עובר במעי במהמה הוא משום עוקר דבר מגידולו, אף שלא הוציאו ואעפ"י שלא מת, דאם הוא מת חייב משום נטילת נשמה, אך הביא </w:t>
      </w:r>
      <w:r w:rsidRPr="00100B8E">
        <w:rPr>
          <w:rStyle w:val="aff4"/>
          <w:rFonts w:hint="cs"/>
          <w:vanish/>
          <w:rtl/>
        </w:rPr>
        <w:t>-</w:t>
      </w:r>
      <w:r w:rsidRPr="00335C9B">
        <w:rPr>
          <w:rStyle w:val="aff4"/>
          <w:rFonts w:hint="cs"/>
          <w:rtl/>
        </w:rPr>
        <w:t>המאירי לקמן</w:t>
      </w:r>
      <w:r w:rsidRPr="00100B8E">
        <w:rPr>
          <w:rStyle w:val="aff4"/>
          <w:rFonts w:hint="cs"/>
          <w:vanish/>
          <w:rtl/>
        </w:rPr>
        <w:t>-</w:t>
      </w:r>
      <w:r>
        <w:rPr>
          <w:rFonts w:hint="cs"/>
          <w:rtl/>
        </w:rPr>
        <w:t xml:space="preserve"> בשם </w:t>
      </w:r>
      <w:r w:rsidRPr="00100B8E">
        <w:rPr>
          <w:rStyle w:val="aff4"/>
          <w:rFonts w:hint="cs"/>
          <w:vanish/>
          <w:rtl/>
        </w:rPr>
        <w:t>-</w:t>
      </w:r>
      <w:r w:rsidRPr="00335C9B">
        <w:rPr>
          <w:rStyle w:val="aff4"/>
          <w:rFonts w:hint="cs"/>
          <w:rtl/>
        </w:rPr>
        <w:t>גדולי הדורות</w:t>
      </w:r>
      <w:r w:rsidRPr="00100B8E">
        <w:rPr>
          <w:rStyle w:val="aff4"/>
          <w:rFonts w:hint="cs"/>
          <w:vanish/>
          <w:rtl/>
        </w:rPr>
        <w:t>-</w:t>
      </w:r>
      <w:r>
        <w:rPr>
          <w:rFonts w:hint="cs"/>
          <w:rtl/>
        </w:rPr>
        <w:t xml:space="preserve"> דביארו דאף במת העובר אין בו חיוב משום נטילת נשמה, כדכתי' "לא יהיה אסון", והוסיף </w:t>
      </w:r>
      <w:r w:rsidRPr="00C146DA">
        <w:rPr>
          <w:rStyle w:val="aff4"/>
          <w:rFonts w:hint="cs"/>
          <w:vanish/>
          <w:rtl/>
        </w:rPr>
        <w:t>-</w:t>
      </w:r>
      <w:r w:rsidRPr="00653431">
        <w:rPr>
          <w:rStyle w:val="aff4"/>
          <w:rFonts w:hint="cs"/>
          <w:rtl/>
        </w:rPr>
        <w:t>המאירי לקמן</w:t>
      </w:r>
      <w:r w:rsidRPr="00C146DA">
        <w:rPr>
          <w:rStyle w:val="aff4"/>
          <w:rFonts w:hint="cs"/>
          <w:vanish/>
          <w:rtl/>
        </w:rPr>
        <w:t>-</w:t>
      </w:r>
      <w:r>
        <w:rPr>
          <w:rFonts w:hint="cs"/>
          <w:rtl/>
        </w:rPr>
        <w:t xml:space="preserve"> דה"ה בתולש כשות מהזימי והיגי, דהוא גודל שם בלחות מחמת היניקה מהקרקע, דחשיב כתולש מעציץ נקוב, וחייב משום עוקר דבר מגידולו, וה"ה בתולש פיטרא מאונא דחצבא בגמ' לקמן </w:t>
      </w:r>
      <w:r w:rsidRPr="00A3054F">
        <w:rPr>
          <w:rStyle w:val="af2"/>
          <w:rFonts w:eastAsia="Guttman Hodes" w:hint="cs"/>
          <w:rtl/>
        </w:rPr>
        <w:t>(קח.)</w:t>
      </w:r>
      <w:r>
        <w:rPr>
          <w:rFonts w:hint="cs"/>
          <w:rtl/>
        </w:rPr>
        <w:t xml:space="preserve"> דכיון שכך היא דרך גדילתן חייב משום עוקר דבר מגידולו, ועי' במה שביאר </w:t>
      </w:r>
      <w:r w:rsidRPr="00C146DA">
        <w:rPr>
          <w:rStyle w:val="aff4"/>
          <w:rFonts w:hint="cs"/>
          <w:vanish/>
          <w:rtl/>
        </w:rPr>
        <w:t>-</w:t>
      </w:r>
      <w:r w:rsidRPr="00653431">
        <w:rPr>
          <w:rStyle w:val="aff4"/>
          <w:rFonts w:hint="cs"/>
          <w:rtl/>
        </w:rPr>
        <w:t>הדבר אברהם</w:t>
      </w:r>
      <w:r w:rsidRPr="00C146DA">
        <w:rPr>
          <w:rStyle w:val="aff4"/>
          <w:rFonts w:hint="cs"/>
          <w:vanish/>
          <w:rtl/>
        </w:rPr>
        <w:t>-</w:t>
      </w:r>
      <w:r>
        <w:rPr>
          <w:rFonts w:hint="cs"/>
          <w:rtl/>
        </w:rPr>
        <w:t xml:space="preserve"> </w:t>
      </w:r>
      <w:r w:rsidRPr="00A3054F">
        <w:rPr>
          <w:rStyle w:val="af2"/>
          <w:rFonts w:eastAsia="Guttman Hodes" w:hint="cs"/>
          <w:rtl/>
        </w:rPr>
        <w:t xml:space="preserve">(עי' אות </w:t>
      </w:r>
      <w:r w:rsidRPr="00A3054F">
        <w:rPr>
          <w:rStyle w:val="af2"/>
          <w:rFonts w:eastAsia="Guttman Hodes"/>
          <w:rtl/>
        </w:rPr>
        <w:fldChar w:fldCharType="begin"/>
      </w:r>
      <w:r w:rsidRPr="00A3054F">
        <w:rPr>
          <w:rStyle w:val="af2"/>
          <w:rFonts w:eastAsia="Guttman Hodes"/>
          <w:rtl/>
        </w:rPr>
        <w:instrText xml:space="preserve"> </w:instrText>
      </w:r>
      <w:r w:rsidRPr="00A3054F">
        <w:rPr>
          <w:rStyle w:val="af2"/>
          <w:rFonts w:eastAsia="Guttman Hodes" w:hint="cs"/>
        </w:rPr>
        <w:instrText>REF</w:instrText>
      </w:r>
      <w:r w:rsidRPr="00A3054F">
        <w:rPr>
          <w:rStyle w:val="af2"/>
          <w:rFonts w:eastAsia="Guttman Hodes" w:hint="cs"/>
          <w:rtl/>
        </w:rPr>
        <w:instrText xml:space="preserve"> _</w:instrText>
      </w:r>
      <w:r w:rsidRPr="00A3054F">
        <w:rPr>
          <w:rStyle w:val="af2"/>
          <w:rFonts w:eastAsia="Guttman Hodes" w:hint="cs"/>
        </w:rPr>
        <w:instrText>Ref135659389 \r \h</w:instrText>
      </w:r>
      <w:r w:rsidRPr="00A3054F">
        <w:rPr>
          <w:rStyle w:val="af2"/>
          <w:rFonts w:eastAsia="Guttman Hodes"/>
          <w:rtl/>
        </w:rPr>
        <w:instrText xml:space="preserve"> </w:instrText>
      </w:r>
      <w:r w:rsidRPr="00A3054F">
        <w:rPr>
          <w:rStyle w:val="af2"/>
          <w:rFonts w:eastAsia="Guttman Hodes"/>
          <w:rtl/>
        </w:rPr>
      </w:r>
      <w:r w:rsidRPr="00A3054F">
        <w:rPr>
          <w:rStyle w:val="af2"/>
          <w:rFonts w:eastAsia="Guttman Hodes"/>
          <w:rtl/>
        </w:rPr>
        <w:fldChar w:fldCharType="separate"/>
      </w:r>
      <w:r w:rsidR="00D82181">
        <w:rPr>
          <w:rStyle w:val="af2"/>
          <w:rFonts w:eastAsia="Guttman Hodes"/>
          <w:cs/>
        </w:rPr>
        <w:t>‎</w:t>
      </w:r>
      <w:r w:rsidR="00D82181">
        <w:rPr>
          <w:rStyle w:val="af2"/>
          <w:rFonts w:eastAsia="Guttman Hodes"/>
          <w:rtl/>
        </w:rPr>
        <w:t>נה)</w:t>
      </w:r>
      <w:r w:rsidRPr="00A3054F">
        <w:rPr>
          <w:rStyle w:val="af2"/>
          <w:rFonts w:eastAsia="Guttman Hodes"/>
          <w:rtl/>
        </w:rPr>
        <w:fldChar w:fldCharType="end"/>
      </w:r>
      <w:r>
        <w:rPr>
          <w:rFonts w:hint="cs"/>
          <w:rtl/>
        </w:rPr>
        <w:t xml:space="preserve"> בדברי </w:t>
      </w:r>
      <w:r w:rsidRPr="00C146DA">
        <w:rPr>
          <w:rStyle w:val="aff4"/>
          <w:rFonts w:hint="cs"/>
          <w:vanish/>
          <w:rtl/>
        </w:rPr>
        <w:t>-</w:t>
      </w:r>
      <w:r w:rsidRPr="00653431">
        <w:rPr>
          <w:rStyle w:val="aff4"/>
          <w:rFonts w:hint="cs"/>
          <w:rtl/>
        </w:rPr>
        <w:t>המאירי</w:t>
      </w:r>
      <w:r w:rsidRPr="00C146DA">
        <w:rPr>
          <w:rStyle w:val="aff4"/>
          <w:rFonts w:hint="cs"/>
          <w:vanish/>
          <w:rtl/>
        </w:rPr>
        <w:t>-</w:t>
      </w:r>
      <w:r>
        <w:rPr>
          <w:rFonts w:hint="cs"/>
          <w:rtl/>
        </w:rPr>
        <w:t>.</w:t>
      </w:r>
      <w:bookmarkEnd w:id="1041"/>
    </w:p>
    <w:p w14:paraId="4374BDB2" w14:textId="77777777" w:rsidR="00D31714" w:rsidRPr="00747170" w:rsidRDefault="00D31714" w:rsidP="00747170">
      <w:pPr>
        <w:pStyle w:val="a2"/>
        <w:rPr>
          <w:rtl/>
        </w:rPr>
      </w:pPr>
      <w:r w:rsidRPr="00747170">
        <w:rPr>
          <w:rtl/>
        </w:rPr>
        <w:lastRenderedPageBreak/>
        <w:t>הושיט ידו למעי הבהמה ודלדל עובר שבמעיה ר"ל שעקרו ממקומו אף על פי שלא הוציאו חייב משום עוקר דבר מגדולו ואפי' לא מת שאלו מת הרי חייב משום נטילת נשמה ומ"מ גדולי הדורות מפרשים אותה אף במת ואינו חייב משום נטילת נשמה שכל שלא נולד אינו ראוי לומר בו נטילת נשמה כדכתיב ולא יהיה אסון ונמצא שאם הכה את האשה והפילה אינו חייב משום נטילת נשמה</w:t>
      </w:r>
      <w:r w:rsidRPr="00747170">
        <w:rPr>
          <w:rFonts w:hint="cs"/>
          <w:rtl/>
        </w:rPr>
        <w:t>,</w:t>
      </w:r>
      <w:r w:rsidRPr="00747170">
        <w:rPr>
          <w:rtl/>
        </w:rPr>
        <w:t xml:space="preserve"> והתולש כשות שבין היזמי והיגי ועומד שם בלחותו משום יניקת הארץ הרי הוא כתולש מעציץ נקוב וחייב משום עוקר דבר מגדולו אפילו תולש כמהין ופטריות מאזן הכד או מן הקורה חייב משום עוקר דבר מגדולו שכך היא דרך גדילתן משא"כ בעציץ שאינו נקוב שהתולש ממנו פטור אבל אסור:</w:t>
      </w:r>
    </w:p>
    <w:p w14:paraId="709E2982" w14:textId="77777777" w:rsidR="00D31714" w:rsidRPr="00147774" w:rsidRDefault="00D31714" w:rsidP="00D31714">
      <w:pPr>
        <w:pStyle w:val="1"/>
        <w:rPr>
          <w:rtl/>
        </w:rPr>
      </w:pPr>
      <w:bookmarkStart w:id="1043" w:name="_Toc135669949"/>
      <w:r>
        <w:rPr>
          <w:rFonts w:hint="cs"/>
          <w:rtl/>
        </w:rPr>
        <w:t>קו' התוס' בבכורות דגוזז ותולש דשבת ל"ד לתולש דבכור</w:t>
      </w:r>
      <w:bookmarkEnd w:id="1043"/>
    </w:p>
    <w:p w14:paraId="7EAB43E1" w14:textId="77777777" w:rsidR="00D31714" w:rsidRDefault="00D31714" w:rsidP="00D31714">
      <w:pPr>
        <w:pStyle w:val="afffff7"/>
        <w:rPr>
          <w:rtl/>
        </w:rPr>
      </w:pPr>
      <w:bookmarkStart w:id="1044" w:name="_Toc135129984"/>
      <w:bookmarkStart w:id="1045" w:name="_Toc135670246"/>
      <w:bookmarkStart w:id="1046" w:name="_Toc163505547"/>
      <w:r>
        <w:rPr>
          <w:rtl/>
        </w:rPr>
        <w:t>תוספות בכורות כ"ה ע"א</w:t>
      </w:r>
      <w:r>
        <w:rPr>
          <w:rFonts w:hint="cs"/>
          <w:rtl/>
        </w:rPr>
        <w:t xml:space="preserve"> ד"ה ואמר</w:t>
      </w:r>
      <w:bookmarkEnd w:id="1044"/>
      <w:bookmarkEnd w:id="1045"/>
      <w:bookmarkEnd w:id="1046"/>
    </w:p>
    <w:p w14:paraId="0B57FF0F" w14:textId="77777777" w:rsidR="00D31714" w:rsidRDefault="00D31714" w:rsidP="00D31714">
      <w:pPr>
        <w:pStyle w:val="a7"/>
        <w:rPr>
          <w:rtl/>
        </w:rPr>
      </w:pPr>
      <w:bookmarkStart w:id="1047" w:name="_Toc135669950"/>
      <w:r>
        <w:rPr>
          <w:rFonts w:hint="cs"/>
          <w:rtl/>
        </w:rPr>
        <w:t>קו' התוס' בבכורות דגוזז ותולש לענין שבת ל"ד לבכור כדמצינו דבשבת הוי קוצר ובעומר פטור</w:t>
      </w:r>
      <w:bookmarkEnd w:id="1047"/>
    </w:p>
    <w:p w14:paraId="49E0A0B7" w14:textId="4325D219" w:rsidR="00D31714" w:rsidRPr="00673BC4" w:rsidRDefault="00D31714" w:rsidP="00BC7DC8">
      <w:pPr>
        <w:pStyle w:val="a3"/>
        <w:rPr>
          <w:rtl/>
        </w:rPr>
      </w:pPr>
      <w:bookmarkStart w:id="1048" w:name="_Ref134527673"/>
      <w:r>
        <w:rPr>
          <w:rFonts w:hint="cs"/>
          <w:rtl/>
        </w:rPr>
        <w:t xml:space="preserve">בקושית הגמ' בבכורות </w:t>
      </w:r>
      <w:r w:rsidRPr="00A3054F">
        <w:rPr>
          <w:rStyle w:val="af2"/>
          <w:rFonts w:eastAsia="Guttman Hodes" w:hint="cs"/>
          <w:rtl/>
        </w:rPr>
        <w:t>(כה.)</w:t>
      </w:r>
      <w:r>
        <w:rPr>
          <w:rFonts w:hint="cs"/>
          <w:rtl/>
        </w:rPr>
        <w:t xml:space="preserve"> דא"א לומר דתולש צמר מבכור אינו גוזז, דהא אמר ר"ל דהתולש חייב משום גוזז, הקשו </w:t>
      </w:r>
      <w:r w:rsidRPr="00100B8E">
        <w:rPr>
          <w:rStyle w:val="aff4"/>
          <w:rFonts w:hint="cs"/>
          <w:vanish/>
          <w:rtl/>
        </w:rPr>
        <w:t>-</w:t>
      </w:r>
      <w:r w:rsidRPr="00335C9B">
        <w:rPr>
          <w:rStyle w:val="aff4"/>
          <w:rFonts w:hint="cs"/>
          <w:rtl/>
        </w:rPr>
        <w:t>ה</w:t>
      </w:r>
      <w:r w:rsidRPr="00100B8E">
        <w:rPr>
          <w:rStyle w:val="aff4"/>
          <w:rFonts w:hint="cs"/>
          <w:vanish/>
          <w:rtl/>
        </w:rPr>
        <w:t xml:space="preserve">&lt;. </w:t>
      </w:r>
      <w:r w:rsidRPr="00100B8E">
        <w:rPr>
          <w:rStyle w:val="aff4"/>
          <w:vanish/>
          <w:rtl/>
        </w:rPr>
        <w:fldChar w:fldCharType="begin"/>
      </w:r>
      <w:r w:rsidRPr="00100B8E">
        <w:rPr>
          <w:rStyle w:val="aff4"/>
          <w:vanish/>
          <w:rtl/>
        </w:rPr>
        <w:instrText xml:space="preserve"> </w:instrText>
      </w:r>
      <w:r w:rsidRPr="00100B8E">
        <w:rPr>
          <w:rStyle w:val="aff4"/>
          <w:rFonts w:hint="cs"/>
          <w:vanish/>
        </w:rPr>
        <w:instrText>REF</w:instrText>
      </w:r>
      <w:r w:rsidRPr="00100B8E">
        <w:rPr>
          <w:rStyle w:val="aff4"/>
          <w:rFonts w:hint="cs"/>
          <w:vanish/>
          <w:rtl/>
        </w:rPr>
        <w:instrText xml:space="preserve"> _</w:instrText>
      </w:r>
      <w:r w:rsidRPr="00100B8E">
        <w:rPr>
          <w:rStyle w:val="aff4"/>
          <w:rFonts w:hint="cs"/>
          <w:vanish/>
        </w:rPr>
        <w:instrText>Ref134527673 \r \h</w:instrText>
      </w:r>
      <w:r w:rsidRPr="00100B8E">
        <w:rPr>
          <w:rStyle w:val="aff4"/>
          <w:vanish/>
          <w:rtl/>
        </w:rPr>
        <w:instrText xml:space="preserve"> </w:instrText>
      </w:r>
      <w:r w:rsidRPr="00100B8E">
        <w:rPr>
          <w:rStyle w:val="aff4"/>
          <w:vanish/>
          <w:rtl/>
        </w:rPr>
      </w:r>
      <w:r w:rsidRPr="00100B8E">
        <w:rPr>
          <w:rStyle w:val="aff4"/>
          <w:vanish/>
          <w:rtl/>
        </w:rPr>
        <w:fldChar w:fldCharType="separate"/>
      </w:r>
      <w:r w:rsidR="00D82181">
        <w:rPr>
          <w:rStyle w:val="aff4"/>
          <w:vanish/>
          <w:cs/>
        </w:rPr>
        <w:t>‎</w:t>
      </w:r>
      <w:r w:rsidR="00D82181">
        <w:rPr>
          <w:rStyle w:val="aff4"/>
          <w:vanish/>
          <w:rtl/>
        </w:rPr>
        <w:t>כט)</w:t>
      </w:r>
      <w:r w:rsidRPr="00100B8E">
        <w:rPr>
          <w:rStyle w:val="aff4"/>
          <w:vanish/>
          <w:rtl/>
        </w:rPr>
        <w:fldChar w:fldCharType="end"/>
      </w:r>
      <w:r w:rsidRPr="00100B8E">
        <w:rPr>
          <w:rStyle w:val="aff4"/>
          <w:rFonts w:hint="cs"/>
          <w:vanish/>
          <w:rtl/>
        </w:rPr>
        <w:t xml:space="preserve"> &gt;</w:t>
      </w:r>
      <w:r w:rsidRPr="00335C9B">
        <w:rPr>
          <w:rStyle w:val="aff4"/>
          <w:rFonts w:hint="cs"/>
          <w:rtl/>
        </w:rPr>
        <w:t>תוס' בבכורות</w:t>
      </w:r>
      <w:r w:rsidRPr="00100B8E">
        <w:rPr>
          <w:rStyle w:val="aff4"/>
          <w:rFonts w:hint="cs"/>
          <w:vanish/>
          <w:rtl/>
        </w:rPr>
        <w:t>-</w:t>
      </w:r>
      <w:r>
        <w:rPr>
          <w:rFonts w:hint="cs"/>
          <w:rtl/>
        </w:rPr>
        <w:t xml:space="preserve"> </w:t>
      </w:r>
      <w:r w:rsidRPr="00A3054F">
        <w:rPr>
          <w:rStyle w:val="af2"/>
          <w:rFonts w:eastAsia="Guttman Hodes" w:hint="cs"/>
          <w:rtl/>
        </w:rPr>
        <w:t>(כה. ד"ה ואמר)</w:t>
      </w:r>
      <w:r w:rsidRPr="004A7379">
        <w:rPr>
          <w:rFonts w:hint="cs"/>
          <w:vanish/>
          <w:rtl/>
        </w:rPr>
        <w:t>=</w:t>
      </w:r>
      <w:r>
        <w:rPr>
          <w:rFonts w:hint="cs"/>
          <w:rtl/>
        </w:rPr>
        <w:t xml:space="preserve"> דאפש"ל דלענין בכור התולש אינו בכלל "לא תגוז", אבל לענין שבת חייב משום תולדה דגוזז כמו בכל עוקר דבר מגידולו, כמושיט ידו למעי בהמה ודלדל עובר שבמעיה דחייב לענין שבת, ואינו חייב לענין מוקדשין משום גוזז, והוסיפו </w:t>
      </w:r>
      <w:r w:rsidRPr="00100B8E">
        <w:rPr>
          <w:rStyle w:val="aff4"/>
          <w:rFonts w:hint="cs"/>
          <w:vanish/>
          <w:rtl/>
        </w:rPr>
        <w:t>-</w:t>
      </w:r>
      <w:r w:rsidRPr="00335C9B">
        <w:rPr>
          <w:rStyle w:val="aff4"/>
          <w:rFonts w:hint="cs"/>
          <w:rtl/>
        </w:rPr>
        <w:t>התוס' בבכורות</w:t>
      </w:r>
      <w:r w:rsidRPr="00100B8E">
        <w:rPr>
          <w:rStyle w:val="aff4"/>
          <w:rFonts w:hint="cs"/>
          <w:vanish/>
          <w:rtl/>
        </w:rPr>
        <w:t>-</w:t>
      </w:r>
      <w:r>
        <w:rPr>
          <w:rFonts w:hint="cs"/>
          <w:rtl/>
        </w:rPr>
        <w:t xml:space="preserve"> דה"ה לענין קיטוף ותולש בשבת דחייב משום תולדה דקוצר, ואילו לענין קצירה לפני העומר איתא בגמ' בפסחים </w:t>
      </w:r>
      <w:r w:rsidRPr="00A3054F">
        <w:rPr>
          <w:rStyle w:val="af2"/>
          <w:rFonts w:eastAsia="Guttman Hodes" w:hint="cs"/>
          <w:rtl/>
        </w:rPr>
        <w:t>(יא.)</w:t>
      </w:r>
      <w:r>
        <w:rPr>
          <w:rFonts w:hint="cs"/>
          <w:rtl/>
        </w:rPr>
        <w:t xml:space="preserve"> דקיטוף אינו חייב, וכן איתא בגמ' בחולין </w:t>
      </w:r>
      <w:r w:rsidRPr="00A3054F">
        <w:rPr>
          <w:rStyle w:val="af2"/>
          <w:rFonts w:eastAsia="Guttman Hodes" w:hint="cs"/>
          <w:rtl/>
        </w:rPr>
        <w:t>(קלז.)</w:t>
      </w:r>
      <w:r>
        <w:rPr>
          <w:rFonts w:hint="cs"/>
          <w:rtl/>
        </w:rPr>
        <w:t xml:space="preserve"> לענין לקט, וכתבו </w:t>
      </w:r>
      <w:r w:rsidRPr="00100B8E">
        <w:rPr>
          <w:rStyle w:val="aff4"/>
          <w:rFonts w:hint="cs"/>
          <w:vanish/>
          <w:rtl/>
        </w:rPr>
        <w:t>-</w:t>
      </w:r>
      <w:r w:rsidRPr="00335C9B">
        <w:rPr>
          <w:rStyle w:val="aff4"/>
          <w:rFonts w:hint="cs"/>
          <w:rtl/>
        </w:rPr>
        <w:t>התוס' בבכורות</w:t>
      </w:r>
      <w:r w:rsidRPr="00100B8E">
        <w:rPr>
          <w:rStyle w:val="aff4"/>
          <w:rFonts w:hint="cs"/>
          <w:vanish/>
          <w:rtl/>
        </w:rPr>
        <w:t>-</w:t>
      </w:r>
      <w:r>
        <w:rPr>
          <w:rFonts w:hint="cs"/>
          <w:rtl/>
        </w:rPr>
        <w:t xml:space="preserve"> דאפש"ל דכוונת הגמ' בבכורות לומר דהוא גוזז כלאחר יד, אך לא משמע כן בגמ'.</w:t>
      </w:r>
      <w:bookmarkEnd w:id="1048"/>
    </w:p>
    <w:p w14:paraId="49826425" w14:textId="77777777" w:rsidR="00D31714" w:rsidRPr="00747170" w:rsidRDefault="00D31714" w:rsidP="00747170">
      <w:pPr>
        <w:pStyle w:val="a2"/>
        <w:rPr>
          <w:rtl/>
        </w:rPr>
      </w:pPr>
      <w:r w:rsidRPr="00747170">
        <w:rPr>
          <w:rtl/>
        </w:rPr>
        <w:t>ואמר ר"ל חייב משום גוזז - תימה מה הוא מקשה אף על גב דלענין בכור לא מחייב ביה משום לא תגוז לענין שבת יש לחייב משום תולדה דגוזז ככל עוקר דבר מגידולו בבעלי חיים כמו חולין (דף עג.) הושיט ידו למעי בהמה ודילדל עובר שבמעיה לענין שבת [חייב] ובמוקדשין לא מחייב משום גוזז וכן קיטוף חייב בשבת משום תולדה דקוצר וכן תולש מן המחובר אף על גב דקיטוף לענין קצירה קודם לעומר לא מחייב (פסחים יא.) ולענין לקט בפ' ראשית הגז (חולין קלז.) ואי הוה מפרשינן הכא דפריך אהא דאמרינן דתולש חשוב כלאחר יד הוה ניחא דמייתי ראיה מהכא דלא כלאחר יד ואין הלשון משמע כן מדקאמר ותולש לאו היינו גוזז והא תניא התולש את העוף כו' משמע פריך אהא דאמרן דתולש לאו היינו גוזז.</w:t>
      </w:r>
    </w:p>
    <w:p w14:paraId="2A48CD37" w14:textId="77777777" w:rsidR="00D31714" w:rsidRDefault="00D31714" w:rsidP="00D31714">
      <w:pPr>
        <w:pStyle w:val="1"/>
        <w:rPr>
          <w:rtl/>
        </w:rPr>
      </w:pPr>
      <w:bookmarkStart w:id="1049" w:name="_Toc135129919"/>
      <w:bookmarkStart w:id="1050" w:name="_Toc135669951"/>
      <w:bookmarkStart w:id="1051" w:name="_Toc135129917"/>
      <w:r>
        <w:rPr>
          <w:rFonts w:hint="cs"/>
          <w:rtl/>
        </w:rPr>
        <w:t>בי' המנ"ח בדין קוצר שלא מגידולי קרקע להרמב"ם</w:t>
      </w:r>
      <w:bookmarkEnd w:id="1049"/>
      <w:r>
        <w:rPr>
          <w:rFonts w:hint="cs"/>
          <w:rtl/>
        </w:rPr>
        <w:t xml:space="preserve"> ולרמב"ן</w:t>
      </w:r>
      <w:bookmarkEnd w:id="1050"/>
    </w:p>
    <w:p w14:paraId="45F56E6D" w14:textId="77777777" w:rsidR="00D31714" w:rsidRDefault="00D31714" w:rsidP="00D31714">
      <w:pPr>
        <w:pStyle w:val="afffff7"/>
        <w:rPr>
          <w:rtl/>
        </w:rPr>
      </w:pPr>
      <w:bookmarkStart w:id="1052" w:name="_Toc135129993"/>
      <w:bookmarkStart w:id="1053" w:name="_Toc135670247"/>
      <w:bookmarkStart w:id="1054" w:name="_Toc163505548"/>
      <w:r>
        <w:rPr>
          <w:rtl/>
        </w:rPr>
        <w:t xml:space="preserve">מנחת חינוך מוסך השבת </w:t>
      </w:r>
      <w:r>
        <w:rPr>
          <w:rFonts w:hint="cs"/>
          <w:rtl/>
        </w:rPr>
        <w:t>הקוצר</w:t>
      </w:r>
      <w:r w:rsidRPr="00B51810">
        <w:rPr>
          <w:rtl/>
        </w:rPr>
        <w:t xml:space="preserve"> אות ב' ד"ה וצרור</w:t>
      </w:r>
      <w:bookmarkEnd w:id="1052"/>
      <w:bookmarkEnd w:id="1053"/>
      <w:bookmarkEnd w:id="1054"/>
    </w:p>
    <w:p w14:paraId="739A3552" w14:textId="77777777" w:rsidR="00D31714" w:rsidRDefault="00D31714" w:rsidP="00D31714">
      <w:pPr>
        <w:pStyle w:val="a7"/>
        <w:rPr>
          <w:rtl/>
        </w:rPr>
      </w:pPr>
      <w:bookmarkStart w:id="1055" w:name="_Toc135669952"/>
      <w:r>
        <w:rPr>
          <w:rFonts w:hint="cs"/>
          <w:rtl/>
        </w:rPr>
        <w:t>בי' המנ"ח דלרמב"ם יש קוצר שלא בגידו"ק אך לרמב"ן צ"ל דעשבים ע"ג חבית חשיבי כגידו"ק</w:t>
      </w:r>
      <w:bookmarkEnd w:id="1055"/>
    </w:p>
    <w:p w14:paraId="7DFC6FF0" w14:textId="643FAB3C" w:rsidR="00D31714" w:rsidRDefault="00D31714" w:rsidP="00BC7DC8">
      <w:pPr>
        <w:pStyle w:val="a3"/>
        <w:rPr>
          <w:rtl/>
        </w:rPr>
      </w:pPr>
      <w:bookmarkStart w:id="1056" w:name="_Ref135039164"/>
      <w:r>
        <w:rPr>
          <w:rFonts w:hint="cs"/>
          <w:rtl/>
        </w:rPr>
        <w:t xml:space="preserve">במ"ש </w:t>
      </w:r>
      <w:r w:rsidRPr="000D4E5E">
        <w:rPr>
          <w:rStyle w:val="aff4"/>
          <w:rFonts w:hint="cs"/>
          <w:vanish/>
          <w:rtl/>
        </w:rPr>
        <w:t>-</w:t>
      </w:r>
      <w:r w:rsidRPr="00572920">
        <w:rPr>
          <w:rStyle w:val="aff4"/>
          <w:rFonts w:hint="cs"/>
          <w:rtl/>
        </w:rPr>
        <w:t>הרמב"ם</w:t>
      </w:r>
      <w:r w:rsidRPr="000D4E5E">
        <w:rPr>
          <w:rStyle w:val="aff4"/>
          <w:rFonts w:hint="cs"/>
          <w:vanish/>
          <w:rtl/>
        </w:rPr>
        <w:t>-</w:t>
      </w:r>
      <w:r>
        <w:rPr>
          <w:rFonts w:hint="cs"/>
          <w:rtl/>
        </w:rPr>
        <w:t xml:space="preserve"> </w:t>
      </w:r>
      <w:r w:rsidRPr="00A3054F">
        <w:rPr>
          <w:rStyle w:val="af2"/>
          <w:rFonts w:eastAsia="Guttman Hodes" w:hint="cs"/>
          <w:rtl/>
        </w:rPr>
        <w:t xml:space="preserve">(עי' אות </w:t>
      </w:r>
      <w:r w:rsidRPr="00A3054F">
        <w:rPr>
          <w:rStyle w:val="af2"/>
          <w:rFonts w:eastAsia="Guttman Hodes"/>
          <w:rtl/>
        </w:rPr>
        <w:fldChar w:fldCharType="begin"/>
      </w:r>
      <w:r w:rsidRPr="00A3054F">
        <w:rPr>
          <w:rStyle w:val="af2"/>
          <w:rFonts w:eastAsia="Guttman Hodes"/>
          <w:rtl/>
        </w:rPr>
        <w:instrText xml:space="preserve"> </w:instrText>
      </w:r>
      <w:r w:rsidRPr="00A3054F">
        <w:rPr>
          <w:rStyle w:val="af2"/>
          <w:rFonts w:eastAsia="Guttman Hodes" w:hint="cs"/>
        </w:rPr>
        <w:instrText>REF</w:instrText>
      </w:r>
      <w:r w:rsidRPr="00A3054F">
        <w:rPr>
          <w:rStyle w:val="af2"/>
          <w:rFonts w:eastAsia="Guttman Hodes" w:hint="cs"/>
          <w:rtl/>
        </w:rPr>
        <w:instrText xml:space="preserve"> _</w:instrText>
      </w:r>
      <w:r w:rsidRPr="00A3054F">
        <w:rPr>
          <w:rStyle w:val="af2"/>
          <w:rFonts w:eastAsia="Guttman Hodes" w:hint="cs"/>
        </w:rPr>
        <w:instrText>Ref134459496 \r \h</w:instrText>
      </w:r>
      <w:r w:rsidRPr="00A3054F">
        <w:rPr>
          <w:rStyle w:val="af2"/>
          <w:rFonts w:eastAsia="Guttman Hodes"/>
          <w:rtl/>
        </w:rPr>
        <w:instrText xml:space="preserve"> </w:instrText>
      </w:r>
      <w:r w:rsidRPr="00A3054F">
        <w:rPr>
          <w:rStyle w:val="af2"/>
          <w:rFonts w:eastAsia="Guttman Hodes"/>
          <w:rtl/>
        </w:rPr>
      </w:r>
      <w:r w:rsidRPr="00A3054F">
        <w:rPr>
          <w:rStyle w:val="af2"/>
          <w:rFonts w:eastAsia="Guttman Hodes"/>
          <w:rtl/>
        </w:rPr>
        <w:fldChar w:fldCharType="separate"/>
      </w:r>
      <w:r w:rsidR="00D82181">
        <w:rPr>
          <w:rStyle w:val="af2"/>
          <w:rFonts w:eastAsia="Guttman Hodes"/>
          <w:cs/>
        </w:rPr>
        <w:t>‎</w:t>
      </w:r>
      <w:r w:rsidR="00D82181">
        <w:rPr>
          <w:rStyle w:val="af2"/>
          <w:rFonts w:eastAsia="Guttman Hodes"/>
          <w:rtl/>
        </w:rPr>
        <w:t>ו)</w:t>
      </w:r>
      <w:r w:rsidRPr="00A3054F">
        <w:rPr>
          <w:rStyle w:val="af2"/>
          <w:rFonts w:eastAsia="Guttman Hodes"/>
          <w:rtl/>
        </w:rPr>
        <w:fldChar w:fldCharType="end"/>
      </w:r>
      <w:r>
        <w:rPr>
          <w:rFonts w:hint="cs"/>
          <w:rtl/>
        </w:rPr>
        <w:t xml:space="preserve"> דכל שעוקר דבר מגידולו חייב משום קוצר, ולכן התולש עשבים מצרור וכו' חייב, שזהו מהקום גידולן, והתולש מעציץ שאינו נקוב פטור, כיון שאי"ז מקום גידולו, כתב </w:t>
      </w:r>
      <w:r w:rsidRPr="000D4E5E">
        <w:rPr>
          <w:rStyle w:val="aff4"/>
          <w:rFonts w:hint="cs"/>
          <w:vanish/>
          <w:rtl/>
        </w:rPr>
        <w:t>-</w:t>
      </w:r>
      <w:r w:rsidRPr="00572920">
        <w:rPr>
          <w:rStyle w:val="aff4"/>
          <w:rFonts w:hint="cs"/>
          <w:rtl/>
        </w:rPr>
        <w:t>ה</w:t>
      </w:r>
      <w:r w:rsidRPr="00582934">
        <w:rPr>
          <w:rStyle w:val="aff4"/>
          <w:rFonts w:hint="cs"/>
          <w:vanish/>
          <w:rtl/>
        </w:rPr>
        <w:t xml:space="preserve">&lt;. </w:t>
      </w:r>
      <w:r w:rsidRPr="00582934">
        <w:rPr>
          <w:rStyle w:val="aff4"/>
          <w:vanish/>
          <w:rtl/>
        </w:rPr>
        <w:fldChar w:fldCharType="begin"/>
      </w:r>
      <w:r w:rsidRPr="00582934">
        <w:rPr>
          <w:rStyle w:val="aff4"/>
          <w:vanish/>
          <w:rtl/>
        </w:rPr>
        <w:instrText xml:space="preserve"> </w:instrText>
      </w:r>
      <w:r w:rsidRPr="00582934">
        <w:rPr>
          <w:rStyle w:val="aff4"/>
          <w:rFonts w:hint="cs"/>
          <w:vanish/>
        </w:rPr>
        <w:instrText>REF</w:instrText>
      </w:r>
      <w:r w:rsidRPr="00582934">
        <w:rPr>
          <w:rStyle w:val="aff4"/>
          <w:rFonts w:hint="cs"/>
          <w:vanish/>
          <w:rtl/>
        </w:rPr>
        <w:instrText xml:space="preserve"> _</w:instrText>
      </w:r>
      <w:r w:rsidRPr="00582934">
        <w:rPr>
          <w:rStyle w:val="aff4"/>
          <w:rFonts w:hint="cs"/>
          <w:vanish/>
        </w:rPr>
        <w:instrText>Ref135039164 \r \h</w:instrText>
      </w:r>
      <w:r w:rsidRPr="00582934">
        <w:rPr>
          <w:rStyle w:val="aff4"/>
          <w:vanish/>
          <w:rtl/>
        </w:rPr>
        <w:instrText xml:space="preserve"> </w:instrText>
      </w:r>
      <w:r w:rsidRPr="00582934">
        <w:rPr>
          <w:rStyle w:val="aff4"/>
          <w:vanish/>
          <w:rtl/>
        </w:rPr>
      </w:r>
      <w:r w:rsidRPr="00582934">
        <w:rPr>
          <w:rStyle w:val="aff4"/>
          <w:vanish/>
          <w:rtl/>
        </w:rPr>
        <w:fldChar w:fldCharType="separate"/>
      </w:r>
      <w:r w:rsidR="00D82181">
        <w:rPr>
          <w:rStyle w:val="aff4"/>
          <w:vanish/>
          <w:cs/>
        </w:rPr>
        <w:t>‎</w:t>
      </w:r>
      <w:r w:rsidR="00D82181">
        <w:rPr>
          <w:rStyle w:val="aff4"/>
          <w:vanish/>
          <w:rtl/>
        </w:rPr>
        <w:t>ל)</w:t>
      </w:r>
      <w:r w:rsidRPr="00582934">
        <w:rPr>
          <w:rStyle w:val="aff4"/>
          <w:vanish/>
          <w:rtl/>
        </w:rPr>
        <w:fldChar w:fldCharType="end"/>
      </w:r>
      <w:r w:rsidRPr="00582934">
        <w:rPr>
          <w:rStyle w:val="aff4"/>
          <w:rFonts w:hint="cs"/>
          <w:vanish/>
          <w:rtl/>
        </w:rPr>
        <w:t xml:space="preserve"> &gt;</w:t>
      </w:r>
      <w:r>
        <w:rPr>
          <w:rStyle w:val="aff4"/>
          <w:rFonts w:hint="cs"/>
          <w:rtl/>
        </w:rPr>
        <w:t>מנחת חינוך</w:t>
      </w:r>
      <w:r w:rsidRPr="000D4E5E">
        <w:rPr>
          <w:rStyle w:val="aff4"/>
          <w:rFonts w:hint="cs"/>
          <w:vanish/>
          <w:rtl/>
        </w:rPr>
        <w:t>-</w:t>
      </w:r>
      <w:r>
        <w:rPr>
          <w:rFonts w:hint="cs"/>
          <w:rtl/>
        </w:rPr>
        <w:t xml:space="preserve"> </w:t>
      </w:r>
      <w:r w:rsidRPr="00A3054F">
        <w:rPr>
          <w:rStyle w:val="af2"/>
          <w:rFonts w:eastAsia="Guttman Hodes" w:hint="cs"/>
          <w:rtl/>
        </w:rPr>
        <w:t>(מוסך השבת הקוצר אות ב' ד"ה וצרור)</w:t>
      </w:r>
      <w:r w:rsidRPr="007F356E">
        <w:rPr>
          <w:rFonts w:hint="cs"/>
          <w:vanish/>
          <w:rtl/>
        </w:rPr>
        <w:t>=</w:t>
      </w:r>
      <w:r>
        <w:rPr>
          <w:rFonts w:hint="cs"/>
          <w:rtl/>
        </w:rPr>
        <w:t xml:space="preserve"> דמהא דלא כתב להדיא </w:t>
      </w:r>
      <w:r w:rsidRPr="007F356E">
        <w:rPr>
          <w:rStyle w:val="aff4"/>
          <w:rFonts w:hint="cs"/>
          <w:vanish/>
          <w:rtl/>
        </w:rPr>
        <w:t>-</w:t>
      </w:r>
      <w:r w:rsidRPr="001F02FD">
        <w:rPr>
          <w:rStyle w:val="aff4"/>
          <w:rFonts w:hint="cs"/>
          <w:rtl/>
        </w:rPr>
        <w:t>הרמב"ם</w:t>
      </w:r>
      <w:r w:rsidRPr="007F356E">
        <w:rPr>
          <w:rStyle w:val="aff4"/>
          <w:rFonts w:hint="cs"/>
          <w:vanish/>
          <w:rtl/>
        </w:rPr>
        <w:t>-</w:t>
      </w:r>
      <w:r>
        <w:rPr>
          <w:rFonts w:hint="cs"/>
          <w:rtl/>
        </w:rPr>
        <w:t xml:space="preserve"> אי יש קוצר רק בגידולי קרקע, כמ"ש </w:t>
      </w:r>
      <w:r w:rsidRPr="007F356E">
        <w:rPr>
          <w:rStyle w:val="aff4"/>
          <w:rFonts w:hint="cs"/>
          <w:vanish/>
          <w:rtl/>
        </w:rPr>
        <w:t>-</w:t>
      </w:r>
      <w:r w:rsidRPr="001F02FD">
        <w:rPr>
          <w:rStyle w:val="aff4"/>
          <w:rFonts w:hint="cs"/>
          <w:rtl/>
        </w:rPr>
        <w:t>הרמב"ם</w:t>
      </w:r>
      <w:r w:rsidRPr="007F356E">
        <w:rPr>
          <w:rStyle w:val="aff4"/>
          <w:rFonts w:hint="cs"/>
          <w:vanish/>
          <w:rtl/>
        </w:rPr>
        <w:t>-</w:t>
      </w:r>
      <w:r>
        <w:rPr>
          <w:rFonts w:hint="cs"/>
          <w:rtl/>
        </w:rPr>
        <w:t xml:space="preserve"> </w:t>
      </w:r>
      <w:r w:rsidRPr="00A3054F">
        <w:rPr>
          <w:rStyle w:val="af2"/>
          <w:rFonts w:eastAsia="Guttman Hodes" w:hint="cs"/>
          <w:rtl/>
        </w:rPr>
        <w:t>(פ"ח ה"ה, ה"ז)</w:t>
      </w:r>
      <w:r>
        <w:rPr>
          <w:rFonts w:hint="cs"/>
          <w:rtl/>
        </w:rPr>
        <w:t xml:space="preserve"> לענין מעמר ודש</w:t>
      </w:r>
      <w:bookmarkEnd w:id="1056"/>
      <w:r>
        <w:rPr>
          <w:rFonts w:hint="cs"/>
          <w:rtl/>
        </w:rPr>
        <w:t xml:space="preserve">, משמע דס"ל דיש קוצר אף שלא בגידולי קרקע וכל שעוקר דבר מגידולו חייב משום קוצר, וכדמשמע בגמ' לקמן </w:t>
      </w:r>
      <w:r w:rsidRPr="00A3054F">
        <w:rPr>
          <w:rStyle w:val="af2"/>
          <w:rFonts w:eastAsia="Guttman Hodes" w:hint="cs"/>
          <w:rtl/>
        </w:rPr>
        <w:t>(קח.)</w:t>
      </w:r>
      <w:r>
        <w:rPr>
          <w:rFonts w:hint="cs"/>
          <w:rtl/>
        </w:rPr>
        <w:t xml:space="preserve"> דעשבים שעלו ע"ג חבית חייב בהם משום קוצר, אך הביא </w:t>
      </w:r>
      <w:r w:rsidRPr="007F356E">
        <w:rPr>
          <w:rStyle w:val="aff4"/>
          <w:rFonts w:hint="cs"/>
          <w:vanish/>
          <w:rtl/>
        </w:rPr>
        <w:t>-</w:t>
      </w:r>
      <w:r w:rsidRPr="001F02FD">
        <w:rPr>
          <w:rStyle w:val="aff4"/>
          <w:rFonts w:hint="cs"/>
          <w:rtl/>
        </w:rPr>
        <w:t>המנחת חינוך</w:t>
      </w:r>
      <w:r w:rsidRPr="007F356E">
        <w:rPr>
          <w:rStyle w:val="aff4"/>
          <w:rFonts w:hint="cs"/>
          <w:vanish/>
          <w:rtl/>
        </w:rPr>
        <w:t>-</w:t>
      </w:r>
      <w:r>
        <w:rPr>
          <w:rFonts w:hint="cs"/>
          <w:rtl/>
        </w:rPr>
        <w:t xml:space="preserve"> את דברי </w:t>
      </w:r>
      <w:r w:rsidRPr="007F356E">
        <w:rPr>
          <w:rStyle w:val="aff4"/>
          <w:rFonts w:hint="cs"/>
          <w:vanish/>
          <w:rtl/>
        </w:rPr>
        <w:t>-</w:t>
      </w:r>
      <w:r w:rsidRPr="001F02FD">
        <w:rPr>
          <w:rStyle w:val="aff4"/>
          <w:rFonts w:hint="cs"/>
          <w:rtl/>
        </w:rPr>
        <w:t>הרשב"א לקמן</w:t>
      </w:r>
      <w:r w:rsidRPr="007F356E">
        <w:rPr>
          <w:rStyle w:val="aff4"/>
          <w:rFonts w:hint="cs"/>
          <w:vanish/>
          <w:rtl/>
        </w:rPr>
        <w:t>-</w:t>
      </w:r>
      <w:r>
        <w:rPr>
          <w:rFonts w:hint="cs"/>
          <w:rtl/>
        </w:rPr>
        <w:t xml:space="preserve"> בשם </w:t>
      </w:r>
      <w:r w:rsidRPr="007F356E">
        <w:rPr>
          <w:rStyle w:val="aff4"/>
          <w:rFonts w:hint="cs"/>
          <w:vanish/>
          <w:rtl/>
        </w:rPr>
        <w:t>-</w:t>
      </w:r>
      <w:r w:rsidRPr="001F02FD">
        <w:rPr>
          <w:rStyle w:val="aff4"/>
          <w:rFonts w:hint="cs"/>
          <w:rtl/>
        </w:rPr>
        <w:t>הרמב"ן לקמן</w:t>
      </w:r>
      <w:r w:rsidRPr="007F356E">
        <w:rPr>
          <w:rStyle w:val="aff4"/>
          <w:rFonts w:hint="cs"/>
          <w:vanish/>
          <w:rtl/>
        </w:rPr>
        <w:t>-</w:t>
      </w:r>
      <w:r>
        <w:rPr>
          <w:rFonts w:hint="cs"/>
          <w:rtl/>
        </w:rPr>
        <w:t xml:space="preserve"> </w:t>
      </w:r>
      <w:r w:rsidRPr="00A3054F">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Ref134521888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כא)</w:t>
      </w:r>
      <w:r>
        <w:rPr>
          <w:rStyle w:val="af2"/>
          <w:rFonts w:eastAsia="Guttman Hodes"/>
          <w:rtl/>
        </w:rPr>
        <w:fldChar w:fldCharType="end"/>
      </w:r>
      <w:r>
        <w:rPr>
          <w:rFonts w:hint="cs"/>
          <w:rtl/>
        </w:rPr>
        <w:t xml:space="preserve"> דכתב דקוצר הוא רק בגידולי קרקע, וא"כ לדעת </w:t>
      </w:r>
      <w:r w:rsidRPr="007F356E">
        <w:rPr>
          <w:rStyle w:val="aff4"/>
          <w:rFonts w:hint="cs"/>
          <w:vanish/>
          <w:rtl/>
        </w:rPr>
        <w:t>-</w:t>
      </w:r>
      <w:r w:rsidRPr="001F02FD">
        <w:rPr>
          <w:rStyle w:val="aff4"/>
          <w:rFonts w:hint="cs"/>
          <w:rtl/>
        </w:rPr>
        <w:t>הרשב"א</w:t>
      </w:r>
      <w:r w:rsidRPr="007F356E">
        <w:rPr>
          <w:rStyle w:val="aff4"/>
          <w:rFonts w:hint="cs"/>
          <w:vanish/>
          <w:rtl/>
        </w:rPr>
        <w:t>-</w:t>
      </w:r>
      <w:r>
        <w:rPr>
          <w:rFonts w:hint="cs"/>
          <w:rtl/>
        </w:rPr>
        <w:t xml:space="preserve"> בשם </w:t>
      </w:r>
      <w:r w:rsidRPr="007F356E">
        <w:rPr>
          <w:rStyle w:val="aff4"/>
          <w:rFonts w:hint="cs"/>
          <w:vanish/>
          <w:rtl/>
        </w:rPr>
        <w:t>-</w:t>
      </w:r>
      <w:r w:rsidRPr="001F02FD">
        <w:rPr>
          <w:rStyle w:val="aff4"/>
          <w:rFonts w:hint="cs"/>
          <w:rtl/>
        </w:rPr>
        <w:t>הרמב"ן</w:t>
      </w:r>
      <w:r w:rsidRPr="007F356E">
        <w:rPr>
          <w:rStyle w:val="aff4"/>
          <w:rFonts w:hint="cs"/>
          <w:vanish/>
          <w:rtl/>
        </w:rPr>
        <w:t>-</w:t>
      </w:r>
      <w:r>
        <w:rPr>
          <w:rFonts w:hint="cs"/>
          <w:rtl/>
        </w:rPr>
        <w:t xml:space="preserve"> צ"ל דעשבים ע"ג חבית חשיבי כגידולי קרקע.</w:t>
      </w:r>
    </w:p>
    <w:p w14:paraId="585F52C8" w14:textId="77777777" w:rsidR="00D31714" w:rsidRPr="00747170" w:rsidRDefault="00D31714" w:rsidP="00747170">
      <w:pPr>
        <w:pStyle w:val="a2"/>
      </w:pPr>
      <w:r w:rsidRPr="00747170">
        <w:rPr>
          <w:rtl/>
        </w:rPr>
        <w:t>וצרור שעלו בו עשבים כו'. ועשבים שצמחו ע"ג חביות התולש ממנו חייב שזה דרך גדילתו וכן התולש מעציץ נקוב, ומעציץ שא"נ פטור שאין זה דרך גדילתו ודין עציץ שא"נ עמ"ל הלכות ביכורים באריכות ולשון הר"מ וכל העוקר דבר מגידולו חייב וכו' לפיכך צרור וכו' ועשבים שצמחו ע"ג חביות וכו' ואינו מבואר בר"מ להדיא דאין קצירה אלא בגדולי קרקע כמ"ש אח"ז בעימור ובדישה בפירוש ונראה דסובר דבכ"מ שייך עוקר דבר וכו' ול"ד בגד"ק ולכאורה עשבים שצמחו בחביות דמבואר בגמרא דק"ח דג"כ לאו ג"ק ומבואר בש"ס להדיא דחייב ועיין קודם לזה גבי כשות ולהמסקנא דמארעא קרבי ואפשר דמ"מ מארעא קרבי והרשב"א כאן בסוגיא מביא בשם הרמב"ן דא"ח משום עוקר דבר רק בג"ק וה"ר ויתבאר עוד מזה בס"ד. עכצ"ל דעשבים בדלי הוי ג"ק. עכ"פ נראה דעת הר"מ דבכ"ע שייך עוקר דבר וכו' אף דלאו ג"ק</w:t>
      </w:r>
      <w:r w:rsidRPr="00747170">
        <w:rPr>
          <w:rFonts w:hint="cs"/>
          <w:rtl/>
        </w:rPr>
        <w:t>.</w:t>
      </w:r>
    </w:p>
    <w:p w14:paraId="5BF7A197" w14:textId="77777777" w:rsidR="00D31714" w:rsidRPr="00CC5CAA" w:rsidRDefault="00D31714" w:rsidP="00D31714">
      <w:pPr>
        <w:pStyle w:val="a7"/>
      </w:pPr>
      <w:bookmarkStart w:id="1057" w:name="_Toc135669953"/>
      <w:r>
        <w:rPr>
          <w:rFonts w:hint="cs"/>
          <w:rtl/>
        </w:rPr>
        <w:t>קו' המנ"ח על הרמב"ן דדוחק לומר דמדלדל עובר אינו קוצר וברמב"ם אפש"ל דבהמה גידו"ק</w:t>
      </w:r>
      <w:bookmarkEnd w:id="1057"/>
    </w:p>
    <w:p w14:paraId="45FEFD04" w14:textId="755226A7" w:rsidR="00D31714" w:rsidRDefault="00D31714" w:rsidP="00BC7DC8">
      <w:pPr>
        <w:pStyle w:val="a3"/>
      </w:pPr>
      <w:bookmarkStart w:id="1058" w:name="_Ref135669749"/>
      <w:r>
        <w:rPr>
          <w:rFonts w:hint="cs"/>
          <w:rtl/>
        </w:rPr>
        <w:t xml:space="preserve">וכתב </w:t>
      </w:r>
      <w:r w:rsidRPr="007F356E">
        <w:rPr>
          <w:rStyle w:val="aff4"/>
          <w:rFonts w:hint="cs"/>
          <w:vanish/>
          <w:rtl/>
        </w:rPr>
        <w:t>-</w:t>
      </w:r>
      <w:r w:rsidRPr="001F02FD">
        <w:rPr>
          <w:rStyle w:val="aff4"/>
          <w:rFonts w:hint="cs"/>
          <w:rtl/>
        </w:rPr>
        <w:t>המנחת חינוך</w:t>
      </w:r>
      <w:r w:rsidRPr="007F356E">
        <w:rPr>
          <w:rStyle w:val="aff4"/>
          <w:rFonts w:hint="cs"/>
          <w:vanish/>
          <w:rtl/>
        </w:rPr>
        <w:t>-</w:t>
      </w:r>
      <w:r>
        <w:rPr>
          <w:rFonts w:hint="cs"/>
          <w:rtl/>
        </w:rPr>
        <w:t xml:space="preserve"> דביאור </w:t>
      </w:r>
      <w:r w:rsidRPr="007F356E">
        <w:rPr>
          <w:rStyle w:val="aff4"/>
          <w:rFonts w:hint="cs"/>
          <w:vanish/>
          <w:rtl/>
        </w:rPr>
        <w:t>-</w:t>
      </w:r>
      <w:r w:rsidRPr="001F02FD">
        <w:rPr>
          <w:rStyle w:val="aff4"/>
          <w:rFonts w:hint="cs"/>
          <w:rtl/>
        </w:rPr>
        <w:t>הרשב"א</w:t>
      </w:r>
      <w:r w:rsidRPr="007F356E">
        <w:rPr>
          <w:rStyle w:val="aff4"/>
          <w:rFonts w:hint="cs"/>
          <w:vanish/>
          <w:rtl/>
        </w:rPr>
        <w:t>-</w:t>
      </w:r>
      <w:r>
        <w:rPr>
          <w:rFonts w:hint="cs"/>
          <w:rtl/>
        </w:rPr>
        <w:t xml:space="preserve"> בשם </w:t>
      </w:r>
      <w:r w:rsidRPr="007F356E">
        <w:rPr>
          <w:rStyle w:val="aff4"/>
          <w:rFonts w:hint="cs"/>
          <w:vanish/>
          <w:rtl/>
        </w:rPr>
        <w:t>-</w:t>
      </w:r>
      <w:r w:rsidRPr="001F02FD">
        <w:rPr>
          <w:rStyle w:val="aff4"/>
          <w:rFonts w:hint="cs"/>
          <w:rtl/>
        </w:rPr>
        <w:t>הרמב"ן</w:t>
      </w:r>
      <w:r w:rsidRPr="007F356E">
        <w:rPr>
          <w:rStyle w:val="aff4"/>
          <w:rFonts w:hint="cs"/>
          <w:vanish/>
          <w:rtl/>
        </w:rPr>
        <w:t>-</w:t>
      </w:r>
      <w:r>
        <w:rPr>
          <w:rFonts w:hint="cs"/>
          <w:rtl/>
        </w:rPr>
        <w:t xml:space="preserve"> בגמ' לקמן </w:t>
      </w:r>
      <w:r w:rsidRPr="00A3054F">
        <w:rPr>
          <w:rStyle w:val="af2"/>
          <w:rFonts w:eastAsia="Guttman Hodes" w:hint="cs"/>
          <w:rtl/>
        </w:rPr>
        <w:t>(קז:)</w:t>
      </w:r>
      <w:r>
        <w:rPr>
          <w:rFonts w:hint="cs"/>
          <w:rtl/>
        </w:rPr>
        <w:t xml:space="preserve"> הוא דוחק דמשמעות הגמ' דהמדלדל עובר חייב משום עוקר דבר מגידולו, ולא משום נטילת נשמה, ומ"ש </w:t>
      </w:r>
      <w:r w:rsidRPr="007F356E">
        <w:rPr>
          <w:rStyle w:val="aff4"/>
          <w:rFonts w:hint="cs"/>
          <w:vanish/>
          <w:rtl/>
        </w:rPr>
        <w:t>-</w:t>
      </w:r>
      <w:r w:rsidRPr="001F02FD">
        <w:rPr>
          <w:rStyle w:val="aff4"/>
          <w:rFonts w:hint="cs"/>
          <w:rtl/>
        </w:rPr>
        <w:t>הרשב"א</w:t>
      </w:r>
      <w:r w:rsidRPr="007F356E">
        <w:rPr>
          <w:rStyle w:val="aff4"/>
          <w:rFonts w:hint="cs"/>
          <w:vanish/>
          <w:rtl/>
        </w:rPr>
        <w:t>-</w:t>
      </w:r>
      <w:r>
        <w:rPr>
          <w:rFonts w:hint="cs"/>
          <w:rtl/>
        </w:rPr>
        <w:t xml:space="preserve"> בשם </w:t>
      </w:r>
      <w:r w:rsidRPr="007F356E">
        <w:rPr>
          <w:rStyle w:val="aff4"/>
          <w:rFonts w:hint="cs"/>
          <w:vanish/>
          <w:rtl/>
        </w:rPr>
        <w:t>-</w:t>
      </w:r>
      <w:r w:rsidRPr="001F02FD">
        <w:rPr>
          <w:rStyle w:val="aff4"/>
          <w:rFonts w:hint="cs"/>
          <w:rtl/>
        </w:rPr>
        <w:t>הרמב"ן</w:t>
      </w:r>
      <w:r w:rsidRPr="007F356E">
        <w:rPr>
          <w:rStyle w:val="aff4"/>
          <w:rFonts w:hint="cs"/>
          <w:vanish/>
          <w:rtl/>
        </w:rPr>
        <w:t>-</w:t>
      </w:r>
      <w:r>
        <w:rPr>
          <w:rFonts w:hint="cs"/>
          <w:rtl/>
        </w:rPr>
        <w:t xml:space="preserve"> </w:t>
      </w:r>
      <w:r w:rsidRPr="00A3054F">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Ref134521911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כד)</w:t>
      </w:r>
      <w:r>
        <w:rPr>
          <w:rStyle w:val="af2"/>
          <w:rFonts w:eastAsia="Guttman Hodes"/>
          <w:rtl/>
        </w:rPr>
        <w:fldChar w:fldCharType="end"/>
      </w:r>
      <w:r>
        <w:rPr>
          <w:rFonts w:hint="cs"/>
          <w:rtl/>
        </w:rPr>
        <w:t xml:space="preserve"> דאף בדברי </w:t>
      </w:r>
      <w:r w:rsidRPr="007F356E">
        <w:rPr>
          <w:rStyle w:val="aff4"/>
          <w:rFonts w:hint="cs"/>
          <w:vanish/>
          <w:rtl/>
        </w:rPr>
        <w:t>-</w:t>
      </w:r>
      <w:r w:rsidRPr="001F02FD">
        <w:rPr>
          <w:rStyle w:val="aff4"/>
          <w:rFonts w:hint="cs"/>
          <w:rtl/>
        </w:rPr>
        <w:t>הרמב"ם</w:t>
      </w:r>
      <w:r w:rsidRPr="007F356E">
        <w:rPr>
          <w:rStyle w:val="aff4"/>
          <w:rFonts w:hint="cs"/>
          <w:vanish/>
          <w:rtl/>
        </w:rPr>
        <w:t>-</w:t>
      </w:r>
      <w:r>
        <w:rPr>
          <w:rFonts w:hint="cs"/>
          <w:rtl/>
        </w:rPr>
        <w:t xml:space="preserve"> מבואר דקוצר הוא רק בגידולי קרקע, אי"ז מוכח, ואפש"ל דלדעת </w:t>
      </w:r>
      <w:r w:rsidRPr="007F356E">
        <w:rPr>
          <w:rStyle w:val="aff4"/>
          <w:rFonts w:hint="cs"/>
          <w:vanish/>
          <w:rtl/>
        </w:rPr>
        <w:t>-</w:t>
      </w:r>
      <w:r w:rsidRPr="001F02FD">
        <w:rPr>
          <w:rStyle w:val="aff4"/>
          <w:rFonts w:hint="cs"/>
          <w:rtl/>
        </w:rPr>
        <w:t>הרמב"ם</w:t>
      </w:r>
      <w:r w:rsidRPr="007F356E">
        <w:rPr>
          <w:rStyle w:val="aff4"/>
          <w:rFonts w:hint="cs"/>
          <w:vanish/>
          <w:rtl/>
        </w:rPr>
        <w:t>-</w:t>
      </w:r>
      <w:r>
        <w:rPr>
          <w:rFonts w:hint="cs"/>
          <w:rtl/>
        </w:rPr>
        <w:t xml:space="preserve"> כל שעוקר דבר מגידולו הוי קוצר אף שאינו גידולי קרקע, ומה שהוכיח </w:t>
      </w:r>
      <w:r w:rsidRPr="007F356E">
        <w:rPr>
          <w:rStyle w:val="aff4"/>
          <w:rFonts w:hint="cs"/>
          <w:vanish/>
          <w:rtl/>
        </w:rPr>
        <w:t>-</w:t>
      </w:r>
      <w:r w:rsidRPr="001F02FD">
        <w:rPr>
          <w:rStyle w:val="aff4"/>
          <w:rFonts w:hint="cs"/>
          <w:rtl/>
        </w:rPr>
        <w:t>הרשב"א</w:t>
      </w:r>
      <w:r w:rsidRPr="007F356E">
        <w:rPr>
          <w:rStyle w:val="aff4"/>
          <w:rFonts w:hint="cs"/>
          <w:vanish/>
          <w:rtl/>
        </w:rPr>
        <w:t>-</w:t>
      </w:r>
      <w:r>
        <w:rPr>
          <w:rFonts w:hint="cs"/>
          <w:rtl/>
        </w:rPr>
        <w:t xml:space="preserve"> בשם </w:t>
      </w:r>
      <w:r w:rsidRPr="007F356E">
        <w:rPr>
          <w:rStyle w:val="aff4"/>
          <w:rFonts w:hint="cs"/>
          <w:vanish/>
          <w:rtl/>
        </w:rPr>
        <w:t>-</w:t>
      </w:r>
      <w:r w:rsidRPr="001F02FD">
        <w:rPr>
          <w:rStyle w:val="aff4"/>
          <w:rFonts w:hint="cs"/>
          <w:rtl/>
        </w:rPr>
        <w:t>הרמב"ן</w:t>
      </w:r>
      <w:r w:rsidRPr="007F356E">
        <w:rPr>
          <w:rStyle w:val="aff4"/>
          <w:rFonts w:hint="cs"/>
          <w:vanish/>
          <w:rtl/>
        </w:rPr>
        <w:t>-</w:t>
      </w:r>
      <w:r>
        <w:rPr>
          <w:rFonts w:hint="cs"/>
          <w:rtl/>
        </w:rPr>
        <w:t xml:space="preserve"> ממ"ש </w:t>
      </w:r>
      <w:r w:rsidRPr="007F356E">
        <w:rPr>
          <w:rStyle w:val="aff4"/>
          <w:rFonts w:hint="cs"/>
          <w:vanish/>
          <w:rtl/>
        </w:rPr>
        <w:t>-</w:t>
      </w:r>
      <w:r w:rsidRPr="001F02FD">
        <w:rPr>
          <w:rStyle w:val="aff4"/>
          <w:rFonts w:hint="cs"/>
          <w:rtl/>
        </w:rPr>
        <w:t>הרמב"ם</w:t>
      </w:r>
      <w:r w:rsidRPr="007F356E">
        <w:rPr>
          <w:rStyle w:val="aff4"/>
          <w:rFonts w:hint="cs"/>
          <w:vanish/>
          <w:rtl/>
        </w:rPr>
        <w:t>-</w:t>
      </w:r>
      <w:r>
        <w:rPr>
          <w:rFonts w:hint="cs"/>
          <w:rtl/>
        </w:rPr>
        <w:t xml:space="preserve"> </w:t>
      </w:r>
      <w:r w:rsidRPr="00A3054F">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Ref134521911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כד)</w:t>
      </w:r>
      <w:r>
        <w:rPr>
          <w:rStyle w:val="af2"/>
          <w:rFonts w:eastAsia="Guttman Hodes"/>
          <w:rtl/>
        </w:rPr>
        <w:fldChar w:fldCharType="end"/>
      </w:r>
      <w:r>
        <w:rPr>
          <w:rFonts w:hint="cs"/>
          <w:rtl/>
        </w:rPr>
        <w:t xml:space="preserve"> דמדלדל עובר חייב משום נטילת נשמה, הוא קשה אף לביאור </w:t>
      </w:r>
      <w:r w:rsidRPr="007F356E">
        <w:rPr>
          <w:rStyle w:val="aff4"/>
          <w:rFonts w:hint="cs"/>
          <w:vanish/>
          <w:rtl/>
        </w:rPr>
        <w:t>-</w:t>
      </w:r>
      <w:r w:rsidRPr="001F02FD">
        <w:rPr>
          <w:rStyle w:val="aff4"/>
          <w:rFonts w:hint="cs"/>
          <w:rtl/>
        </w:rPr>
        <w:t>הרשב"א</w:t>
      </w:r>
      <w:r w:rsidRPr="007F356E">
        <w:rPr>
          <w:rStyle w:val="aff4"/>
          <w:rFonts w:hint="cs"/>
          <w:vanish/>
          <w:rtl/>
        </w:rPr>
        <w:t>-</w:t>
      </w:r>
      <w:r>
        <w:rPr>
          <w:rFonts w:hint="cs"/>
          <w:rtl/>
        </w:rPr>
        <w:t xml:space="preserve"> בשם </w:t>
      </w:r>
      <w:r w:rsidRPr="007F356E">
        <w:rPr>
          <w:rStyle w:val="aff4"/>
          <w:rFonts w:hint="cs"/>
          <w:vanish/>
          <w:rtl/>
        </w:rPr>
        <w:t>-</w:t>
      </w:r>
      <w:r w:rsidRPr="001F02FD">
        <w:rPr>
          <w:rStyle w:val="aff4"/>
          <w:rFonts w:hint="cs"/>
          <w:rtl/>
        </w:rPr>
        <w:t>הרמב"ן</w:t>
      </w:r>
      <w:r w:rsidRPr="007F356E">
        <w:rPr>
          <w:rStyle w:val="aff4"/>
          <w:rFonts w:hint="cs"/>
          <w:vanish/>
          <w:rtl/>
        </w:rPr>
        <w:t>-</w:t>
      </w:r>
      <w:r>
        <w:rPr>
          <w:rFonts w:hint="cs"/>
          <w:rtl/>
        </w:rPr>
        <w:t xml:space="preserve"> דהא לענין דש, כתב </w:t>
      </w:r>
      <w:r w:rsidRPr="007F356E">
        <w:rPr>
          <w:rStyle w:val="aff4"/>
          <w:rFonts w:hint="cs"/>
          <w:vanish/>
          <w:rtl/>
        </w:rPr>
        <w:t>-</w:t>
      </w:r>
      <w:r w:rsidRPr="001F02FD">
        <w:rPr>
          <w:rStyle w:val="aff4"/>
          <w:rFonts w:hint="cs"/>
          <w:rtl/>
        </w:rPr>
        <w:t>הרמב"ם</w:t>
      </w:r>
      <w:r w:rsidRPr="007F356E">
        <w:rPr>
          <w:rStyle w:val="aff4"/>
          <w:rFonts w:hint="cs"/>
          <w:vanish/>
          <w:rtl/>
        </w:rPr>
        <w:t>-</w:t>
      </w:r>
      <w:r>
        <w:rPr>
          <w:rFonts w:hint="cs"/>
          <w:rtl/>
        </w:rPr>
        <w:t xml:space="preserve"> </w:t>
      </w:r>
      <w:r w:rsidRPr="00A3054F">
        <w:rPr>
          <w:rStyle w:val="af2"/>
          <w:rFonts w:eastAsia="Guttman Hodes" w:hint="cs"/>
          <w:rtl/>
        </w:rPr>
        <w:t>(שבת פ"ח ה"ז)</w:t>
      </w:r>
      <w:r>
        <w:rPr>
          <w:rFonts w:hint="cs"/>
          <w:rtl/>
        </w:rPr>
        <w:t xml:space="preserve"> להדיא דאין דישה אלא בגידולי קרקע, ואפ"ה כתב </w:t>
      </w:r>
      <w:r w:rsidRPr="007F356E">
        <w:rPr>
          <w:rStyle w:val="aff4"/>
          <w:rFonts w:hint="cs"/>
          <w:vanish/>
          <w:rtl/>
        </w:rPr>
        <w:t>-</w:t>
      </w:r>
      <w:r w:rsidRPr="001F02FD">
        <w:rPr>
          <w:rStyle w:val="aff4"/>
          <w:rFonts w:hint="cs"/>
          <w:rtl/>
        </w:rPr>
        <w:t>הרמב"ם</w:t>
      </w:r>
      <w:r w:rsidRPr="007F356E">
        <w:rPr>
          <w:rStyle w:val="aff4"/>
          <w:rFonts w:hint="cs"/>
          <w:vanish/>
          <w:rtl/>
        </w:rPr>
        <w:t>-</w:t>
      </w:r>
      <w:r>
        <w:rPr>
          <w:rFonts w:hint="cs"/>
          <w:rtl/>
        </w:rPr>
        <w:t xml:space="preserve"> דחולב והחובל בבהמה וחיה חייב משום דש, וביאר </w:t>
      </w:r>
      <w:r w:rsidRPr="007F356E">
        <w:rPr>
          <w:rStyle w:val="aff4"/>
          <w:rFonts w:hint="cs"/>
          <w:vanish/>
          <w:rtl/>
        </w:rPr>
        <w:t>-</w:t>
      </w:r>
      <w:r w:rsidRPr="001F02FD">
        <w:rPr>
          <w:rStyle w:val="aff4"/>
          <w:rFonts w:hint="cs"/>
          <w:rtl/>
        </w:rPr>
        <w:t>המ"מ</w:t>
      </w:r>
      <w:r w:rsidRPr="007F356E">
        <w:rPr>
          <w:rStyle w:val="aff4"/>
          <w:rFonts w:hint="cs"/>
          <w:vanish/>
          <w:rtl/>
        </w:rPr>
        <w:t>-</w:t>
      </w:r>
      <w:r>
        <w:rPr>
          <w:rFonts w:hint="cs"/>
          <w:rtl/>
        </w:rPr>
        <w:t xml:space="preserve"> </w:t>
      </w:r>
      <w:r w:rsidRPr="00A3054F">
        <w:rPr>
          <w:rStyle w:val="af2"/>
          <w:rFonts w:eastAsia="Guttman Hodes" w:hint="cs"/>
          <w:rtl/>
        </w:rPr>
        <w:t>(שבת פ"ח ה"ז ד"ה החולב)</w:t>
      </w:r>
      <w:r>
        <w:rPr>
          <w:rFonts w:hint="cs"/>
          <w:rtl/>
        </w:rPr>
        <w:t xml:space="preserve"> דס"ל </w:t>
      </w:r>
      <w:r w:rsidRPr="007F356E">
        <w:rPr>
          <w:rStyle w:val="aff4"/>
          <w:rFonts w:hint="cs"/>
          <w:vanish/>
          <w:rtl/>
        </w:rPr>
        <w:t>-</w:t>
      </w:r>
      <w:r w:rsidRPr="001F02FD">
        <w:rPr>
          <w:rStyle w:val="aff4"/>
          <w:rFonts w:hint="cs"/>
          <w:rtl/>
        </w:rPr>
        <w:t>להרמב"ם</w:t>
      </w:r>
      <w:r w:rsidRPr="007F356E">
        <w:rPr>
          <w:rStyle w:val="aff4"/>
          <w:rFonts w:hint="cs"/>
          <w:vanish/>
          <w:rtl/>
        </w:rPr>
        <w:t>-</w:t>
      </w:r>
      <w:r>
        <w:rPr>
          <w:rFonts w:hint="cs"/>
          <w:rtl/>
        </w:rPr>
        <w:t xml:space="preserve"> דבהמה היא גידולי קרקע, וא"כ אף במדלדל עובר במעי בהמה צריך להתחייב מדין קוצר, אף אי אין קוצר אלא בגידולי קרקע, דהא הבהמה היא כגידולי קרקע, ועי' במה שתירצו </w:t>
      </w:r>
      <w:r w:rsidRPr="00735214">
        <w:rPr>
          <w:rStyle w:val="aff4"/>
          <w:rFonts w:hint="cs"/>
          <w:vanish/>
          <w:rtl/>
        </w:rPr>
        <w:t>-</w:t>
      </w:r>
      <w:r w:rsidRPr="00A3054F">
        <w:rPr>
          <w:rStyle w:val="aff4"/>
          <w:rFonts w:hint="cs"/>
          <w:rtl/>
        </w:rPr>
        <w:t>הדבר אברהם</w:t>
      </w:r>
      <w:r w:rsidRPr="00735214">
        <w:rPr>
          <w:rStyle w:val="aff4"/>
          <w:rFonts w:hint="cs"/>
          <w:vanish/>
          <w:rtl/>
        </w:rPr>
        <w:t>-</w:t>
      </w:r>
      <w:r>
        <w:rPr>
          <w:rFonts w:hint="cs"/>
          <w:rtl/>
        </w:rPr>
        <w:t xml:space="preserve"> </w:t>
      </w:r>
      <w:r w:rsidRPr="00A3054F">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Ref135651812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נג)</w:t>
      </w:r>
      <w:r>
        <w:rPr>
          <w:rStyle w:val="af2"/>
          <w:rFonts w:eastAsia="Guttman Hodes"/>
          <w:rtl/>
        </w:rPr>
        <w:fldChar w:fldCharType="end"/>
      </w:r>
      <w:r>
        <w:rPr>
          <w:rFonts w:hint="cs"/>
          <w:rtl/>
        </w:rPr>
        <w:t xml:space="preserve"> </w:t>
      </w:r>
      <w:r w:rsidRPr="00735214">
        <w:rPr>
          <w:rStyle w:val="aff4"/>
          <w:rFonts w:hint="cs"/>
          <w:vanish/>
          <w:rtl/>
        </w:rPr>
        <w:t>-</w:t>
      </w:r>
      <w:r w:rsidRPr="00A3054F">
        <w:rPr>
          <w:rStyle w:val="aff4"/>
          <w:rFonts w:hint="cs"/>
          <w:rtl/>
        </w:rPr>
        <w:t>וה</w:t>
      </w:r>
      <w:r w:rsidRPr="00735214">
        <w:rPr>
          <w:rStyle w:val="aff4"/>
          <w:rFonts w:hint="cs"/>
          <w:vanish/>
          <w:rtl/>
        </w:rPr>
        <w:t>&lt; &gt;</w:t>
      </w:r>
      <w:r w:rsidRPr="00A3054F">
        <w:rPr>
          <w:rStyle w:val="aff4"/>
          <w:rFonts w:hint="cs"/>
          <w:rtl/>
        </w:rPr>
        <w:t>קה"י</w:t>
      </w:r>
      <w:r w:rsidRPr="00735214">
        <w:rPr>
          <w:rStyle w:val="aff4"/>
          <w:rFonts w:hint="cs"/>
          <w:vanish/>
          <w:rtl/>
        </w:rPr>
        <w:t>-</w:t>
      </w:r>
      <w:r>
        <w:rPr>
          <w:rFonts w:hint="cs"/>
          <w:rtl/>
        </w:rPr>
        <w:t xml:space="preserve"> </w:t>
      </w:r>
      <w:r w:rsidRPr="00A3054F">
        <w:rPr>
          <w:rStyle w:val="af2"/>
          <w:rFonts w:eastAsia="Guttman Hodes" w:hint="cs"/>
          <w:rtl/>
        </w:rPr>
        <w:t>(סי' נ' ד"ה והנה את"ל)</w:t>
      </w:r>
      <w:r w:rsidRPr="00735214">
        <w:rPr>
          <w:rFonts w:hint="cs"/>
          <w:vanish/>
          <w:rtl/>
        </w:rPr>
        <w:t>=</w:t>
      </w:r>
      <w:r>
        <w:rPr>
          <w:rFonts w:hint="cs"/>
          <w:rtl/>
        </w:rPr>
        <w:t xml:space="preserve"> את קושיות </w:t>
      </w:r>
      <w:r w:rsidRPr="00735214">
        <w:rPr>
          <w:rStyle w:val="aff4"/>
          <w:rFonts w:hint="cs"/>
          <w:vanish/>
          <w:rtl/>
        </w:rPr>
        <w:t>-</w:t>
      </w:r>
      <w:r w:rsidRPr="00A3054F">
        <w:rPr>
          <w:rStyle w:val="aff4"/>
          <w:rFonts w:hint="cs"/>
          <w:rtl/>
        </w:rPr>
        <w:t>המנחת חינוך</w:t>
      </w:r>
      <w:r w:rsidRPr="00735214">
        <w:rPr>
          <w:rStyle w:val="aff4"/>
          <w:rFonts w:hint="cs"/>
          <w:vanish/>
          <w:rtl/>
        </w:rPr>
        <w:t>-</w:t>
      </w:r>
      <w:r>
        <w:rPr>
          <w:rFonts w:hint="cs"/>
          <w:rtl/>
        </w:rPr>
        <w:t>.</w:t>
      </w:r>
      <w:bookmarkEnd w:id="1058"/>
    </w:p>
    <w:p w14:paraId="623D5027" w14:textId="77777777" w:rsidR="00D31714" w:rsidRPr="00747170" w:rsidRDefault="00D31714" w:rsidP="00747170">
      <w:pPr>
        <w:pStyle w:val="a2"/>
        <w:rPr>
          <w:rtl/>
        </w:rPr>
      </w:pPr>
      <w:r w:rsidRPr="00747170">
        <w:rPr>
          <w:rtl/>
        </w:rPr>
        <w:t>והרשב"א כתב דכן נראה דעת הר"מ פי"א דדוקא בג"ק ואינו מוכרח כאשר יבואר לקמן בס"ד אדרבה נ' דבכ"ע מחייב משום עוקר דבר וכו' לדעת הר"מ. והנה ד' הרשב"א אין מובנים לי מ"ש שכ"מ מד' הר"מ פי"א דהנה הרשב"א כתב על הגמרא שם דאמר שמואל הושיט ידו למעי בהמה ודלדל עובר שבמעיה חייב מ"ט כו' מי לא אמר כו' ה"נ הו"ל עוקר דבר וכו' והרשב"א כ' דל"ד הטעם משום עוקר רק משום נט"נ דל"ש עוקר וכו' רק בג"ק וזה אינו ג"ק ופי' ד' הש"ס בדרך דחוק קצת ע"ש וכ' שכ"מ מר"מ פי"א היינו שמביא ד"ז דהושיט וכתב דחייב משום נט"נ ולא כ' משום עוקר כו' וצ"ע ולדידי' מי ניחא ד' הר"מ דאף אם נאמר דאין עוקר כו' רק בג"ק מ"מ הרי הוא עצמו כ' פרק זה דחולב וכן חובל בבהמה חי' ועוף חייב משום תולדה דדש וכ' הה"מ אף דהר"מ בעצמו סובר דאין דישה אלא בג"ק סובר דבהמה הו"ל ג"ק כמ"ש התוס' א"כ בהושיט ידו למה א"ח משום עוקר הא ה"ל ג"ק ואפשר דכוונת הרשב"א דשייך נט"נ וע"ז כ' דכ"נ מד' הר"מ אבל לשון דכ"נ ל"ש דמבואר להדיא שם בר"מ מדמחייב משום נט"נ.</w:t>
      </w:r>
    </w:p>
    <w:p w14:paraId="6538CFDE" w14:textId="77777777" w:rsidR="00D31714" w:rsidRPr="006915D5" w:rsidRDefault="00D31714" w:rsidP="00D31714">
      <w:pPr>
        <w:pStyle w:val="a7"/>
      </w:pPr>
      <w:bookmarkStart w:id="1059" w:name="_Toc135669954"/>
      <w:r>
        <w:rPr>
          <w:rFonts w:hint="cs"/>
          <w:rtl/>
        </w:rPr>
        <w:t>בי' המנ"ח ברמב"ם דמדלדל עובר חייב ב' דקוצר ומוציא נשמה ובתולש כנף חייב ב' דקוצר וגוזז</w:t>
      </w:r>
      <w:bookmarkEnd w:id="1059"/>
    </w:p>
    <w:p w14:paraId="4F8B6079" w14:textId="3914707C" w:rsidR="00D31714" w:rsidRPr="009D3B42" w:rsidRDefault="00D31714" w:rsidP="00BC7DC8">
      <w:pPr>
        <w:pStyle w:val="a3"/>
      </w:pPr>
      <w:r>
        <w:rPr>
          <w:rFonts w:hint="cs"/>
          <w:rtl/>
        </w:rPr>
        <w:t xml:space="preserve">אלא כתב </w:t>
      </w:r>
      <w:r w:rsidRPr="007F356E">
        <w:rPr>
          <w:rStyle w:val="aff4"/>
          <w:rFonts w:hint="cs"/>
          <w:vanish/>
          <w:rtl/>
        </w:rPr>
        <w:t>-</w:t>
      </w:r>
      <w:r w:rsidRPr="001F02FD">
        <w:rPr>
          <w:rStyle w:val="aff4"/>
          <w:rFonts w:hint="cs"/>
          <w:rtl/>
        </w:rPr>
        <w:t>המנחת חינוך</w:t>
      </w:r>
      <w:r w:rsidRPr="007F356E">
        <w:rPr>
          <w:rStyle w:val="aff4"/>
          <w:rFonts w:hint="cs"/>
          <w:vanish/>
          <w:rtl/>
        </w:rPr>
        <w:t>-</w:t>
      </w:r>
      <w:r>
        <w:rPr>
          <w:rFonts w:hint="cs"/>
          <w:rtl/>
        </w:rPr>
        <w:t xml:space="preserve"> דמוכח דלדעת </w:t>
      </w:r>
      <w:r w:rsidRPr="007F356E">
        <w:rPr>
          <w:rStyle w:val="aff4"/>
          <w:rFonts w:hint="cs"/>
          <w:vanish/>
          <w:rtl/>
        </w:rPr>
        <w:t>-</w:t>
      </w:r>
      <w:r w:rsidRPr="001F02FD">
        <w:rPr>
          <w:rStyle w:val="aff4"/>
          <w:rFonts w:hint="cs"/>
          <w:rtl/>
        </w:rPr>
        <w:t>הרמב"ם</w:t>
      </w:r>
      <w:r w:rsidRPr="007F356E">
        <w:rPr>
          <w:rStyle w:val="aff4"/>
          <w:rFonts w:hint="cs"/>
          <w:vanish/>
          <w:rtl/>
        </w:rPr>
        <w:t>-</w:t>
      </w:r>
      <w:r>
        <w:rPr>
          <w:rFonts w:hint="cs"/>
          <w:rtl/>
        </w:rPr>
        <w:t xml:space="preserve"> חייב גם משום קוצר וגם משום נטילת נשמה, והא דלא כתב דחייב שתים, הוא כיון </w:t>
      </w:r>
      <w:r>
        <w:rPr>
          <w:rFonts w:hint="cs"/>
          <w:rtl/>
        </w:rPr>
        <w:t xml:space="preserve">דכן דרך </w:t>
      </w:r>
      <w:r w:rsidRPr="007F356E">
        <w:rPr>
          <w:rStyle w:val="aff4"/>
          <w:rFonts w:hint="cs"/>
          <w:vanish/>
          <w:rtl/>
        </w:rPr>
        <w:t>-</w:t>
      </w:r>
      <w:r w:rsidRPr="001F02FD">
        <w:rPr>
          <w:rStyle w:val="aff4"/>
          <w:rFonts w:hint="cs"/>
          <w:rtl/>
        </w:rPr>
        <w:t>הרמב"ם</w:t>
      </w:r>
      <w:r w:rsidRPr="007F356E">
        <w:rPr>
          <w:rStyle w:val="aff4"/>
          <w:rFonts w:hint="cs"/>
          <w:vanish/>
          <w:rtl/>
        </w:rPr>
        <w:t>-</w:t>
      </w:r>
      <w:r>
        <w:rPr>
          <w:rFonts w:hint="cs"/>
          <w:rtl/>
        </w:rPr>
        <w:t xml:space="preserve"> כדביאר </w:t>
      </w:r>
      <w:r w:rsidRPr="007F356E">
        <w:rPr>
          <w:rStyle w:val="aff4"/>
          <w:rFonts w:hint="cs"/>
          <w:vanish/>
          <w:rtl/>
        </w:rPr>
        <w:t>-</w:t>
      </w:r>
      <w:r w:rsidRPr="001F02FD">
        <w:rPr>
          <w:rStyle w:val="aff4"/>
          <w:rFonts w:hint="cs"/>
          <w:rtl/>
        </w:rPr>
        <w:t>המנחת חינוך</w:t>
      </w:r>
      <w:r w:rsidRPr="007F356E">
        <w:rPr>
          <w:rStyle w:val="aff4"/>
          <w:rFonts w:hint="cs"/>
          <w:vanish/>
          <w:rtl/>
        </w:rPr>
        <w:t>-</w:t>
      </w:r>
      <w:r>
        <w:rPr>
          <w:rFonts w:hint="cs"/>
          <w:rtl/>
        </w:rPr>
        <w:t xml:space="preserve"> </w:t>
      </w:r>
      <w:r w:rsidRPr="00A3054F">
        <w:rPr>
          <w:rStyle w:val="af2"/>
          <w:rFonts w:eastAsia="Guttman Hodes" w:hint="cs"/>
          <w:rtl/>
        </w:rPr>
        <w:t>(מוסך השבת החרישה אות ז' ד"ה עוד כתב)</w:t>
      </w:r>
      <w:r>
        <w:rPr>
          <w:rFonts w:hint="cs"/>
          <w:rtl/>
        </w:rPr>
        <w:t>,</w:t>
      </w:r>
      <w:r w:rsidRPr="006514CF">
        <w:rPr>
          <w:rFonts w:hint="cs"/>
          <w:rtl/>
        </w:rPr>
        <w:t xml:space="preserve"> </w:t>
      </w:r>
      <w:r>
        <w:rPr>
          <w:rFonts w:hint="cs"/>
          <w:rtl/>
        </w:rPr>
        <w:t xml:space="preserve">ובמ"ש </w:t>
      </w:r>
      <w:r w:rsidRPr="000D4E5E">
        <w:rPr>
          <w:rStyle w:val="aff4"/>
          <w:rFonts w:hint="cs"/>
          <w:vanish/>
          <w:rtl/>
        </w:rPr>
        <w:t>-</w:t>
      </w:r>
      <w:r>
        <w:rPr>
          <w:rStyle w:val="aff4"/>
          <w:rFonts w:hint="cs"/>
          <w:rtl/>
        </w:rPr>
        <w:t>הרשב"א</w:t>
      </w:r>
      <w:r w:rsidRPr="00572920">
        <w:rPr>
          <w:rStyle w:val="aff4"/>
          <w:rFonts w:hint="cs"/>
          <w:rtl/>
        </w:rPr>
        <w:t xml:space="preserve"> לקמן</w:t>
      </w:r>
      <w:r w:rsidRPr="000D4E5E">
        <w:rPr>
          <w:rStyle w:val="aff4"/>
          <w:rFonts w:hint="cs"/>
          <w:vanish/>
          <w:rtl/>
        </w:rPr>
        <w:t>-</w:t>
      </w:r>
      <w:r>
        <w:rPr>
          <w:rFonts w:hint="cs"/>
          <w:rtl/>
        </w:rPr>
        <w:t xml:space="preserve"> בשם </w:t>
      </w:r>
      <w:r w:rsidRPr="000D4E5E">
        <w:rPr>
          <w:rStyle w:val="aff4"/>
          <w:rFonts w:hint="cs"/>
          <w:vanish/>
          <w:rtl/>
        </w:rPr>
        <w:t>-</w:t>
      </w:r>
      <w:r w:rsidRPr="00572920">
        <w:rPr>
          <w:rStyle w:val="aff4"/>
          <w:rFonts w:hint="cs"/>
          <w:rtl/>
        </w:rPr>
        <w:t>הרמב"ן לקמן</w:t>
      </w:r>
      <w:r w:rsidRPr="000D4E5E">
        <w:rPr>
          <w:rStyle w:val="aff4"/>
          <w:rFonts w:hint="cs"/>
          <w:vanish/>
          <w:rtl/>
        </w:rPr>
        <w:t>-</w:t>
      </w:r>
      <w:r>
        <w:rPr>
          <w:rFonts w:hint="cs"/>
          <w:rtl/>
        </w:rPr>
        <w:t xml:space="preserve"> </w:t>
      </w:r>
      <w:r w:rsidRPr="00A3054F">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Ref134521888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כא)</w:t>
      </w:r>
      <w:r>
        <w:rPr>
          <w:rStyle w:val="af2"/>
          <w:rFonts w:eastAsia="Guttman Hodes"/>
          <w:rtl/>
        </w:rPr>
        <w:fldChar w:fldCharType="end"/>
      </w:r>
      <w:r>
        <w:rPr>
          <w:rFonts w:hint="cs"/>
          <w:rtl/>
        </w:rPr>
        <w:t xml:space="preserve"> דמוכח דקוצר שייך רק בגידולי קרקע, מהא דאיתא בגמ' לקמן </w:t>
      </w:r>
      <w:r w:rsidRPr="00A3054F">
        <w:rPr>
          <w:rStyle w:val="af2"/>
          <w:rFonts w:eastAsia="Guttman Hodes" w:hint="cs"/>
          <w:rtl/>
        </w:rPr>
        <w:t>(עד:)</w:t>
      </w:r>
      <w:r>
        <w:rPr>
          <w:rFonts w:hint="cs"/>
          <w:rtl/>
        </w:rPr>
        <w:t xml:space="preserve"> דהתולש כנף מעוף חייב משום גוזז, ולא אמרינן דחייב שתים גם משום עוקר דבר מגידולו, כתב </w:t>
      </w:r>
      <w:r w:rsidRPr="007F356E">
        <w:rPr>
          <w:rStyle w:val="aff4"/>
          <w:rFonts w:hint="cs"/>
          <w:vanish/>
          <w:rtl/>
        </w:rPr>
        <w:t>-</w:t>
      </w:r>
      <w:r w:rsidRPr="001F02FD">
        <w:rPr>
          <w:rStyle w:val="aff4"/>
          <w:rFonts w:hint="cs"/>
          <w:rtl/>
        </w:rPr>
        <w:t>המנחת חינוך</w:t>
      </w:r>
      <w:r w:rsidRPr="007F356E">
        <w:rPr>
          <w:rStyle w:val="aff4"/>
          <w:rFonts w:hint="cs"/>
          <w:vanish/>
          <w:rtl/>
        </w:rPr>
        <w:t>-</w:t>
      </w:r>
      <w:r>
        <w:rPr>
          <w:rFonts w:hint="cs"/>
          <w:rtl/>
        </w:rPr>
        <w:t xml:space="preserve"> דלדעת </w:t>
      </w:r>
      <w:r w:rsidRPr="007F356E">
        <w:rPr>
          <w:rStyle w:val="aff4"/>
          <w:rFonts w:hint="cs"/>
          <w:vanish/>
          <w:rtl/>
        </w:rPr>
        <w:t>-</w:t>
      </w:r>
      <w:r w:rsidRPr="001F02FD">
        <w:rPr>
          <w:rStyle w:val="aff4"/>
          <w:rFonts w:hint="cs"/>
          <w:rtl/>
        </w:rPr>
        <w:t>הרמב"ם</w:t>
      </w:r>
      <w:r w:rsidRPr="007F356E">
        <w:rPr>
          <w:rStyle w:val="aff4"/>
          <w:rFonts w:hint="cs"/>
          <w:vanish/>
          <w:rtl/>
        </w:rPr>
        <w:t>-</w:t>
      </w:r>
      <w:r>
        <w:rPr>
          <w:rFonts w:hint="cs"/>
          <w:rtl/>
        </w:rPr>
        <w:t xml:space="preserve"> באמת חייב שתים, וא"א להוכיח מזה דלדעת </w:t>
      </w:r>
      <w:r w:rsidRPr="007F356E">
        <w:rPr>
          <w:rStyle w:val="aff4"/>
          <w:rFonts w:hint="cs"/>
          <w:vanish/>
          <w:rtl/>
        </w:rPr>
        <w:t>-</w:t>
      </w:r>
      <w:r w:rsidRPr="001F02FD">
        <w:rPr>
          <w:rStyle w:val="aff4"/>
          <w:rFonts w:hint="cs"/>
          <w:rtl/>
        </w:rPr>
        <w:t>הרמב"ם</w:t>
      </w:r>
      <w:r w:rsidRPr="007F356E">
        <w:rPr>
          <w:rStyle w:val="aff4"/>
          <w:rFonts w:hint="cs"/>
          <w:vanish/>
          <w:rtl/>
        </w:rPr>
        <w:t>-</w:t>
      </w:r>
      <w:r>
        <w:rPr>
          <w:rFonts w:hint="cs"/>
          <w:rtl/>
        </w:rPr>
        <w:t xml:space="preserve"> קוצר הוא רק בגידולי קרקע.</w:t>
      </w:r>
    </w:p>
    <w:p w14:paraId="3100E038" w14:textId="77777777" w:rsidR="00D31714" w:rsidRPr="00747170" w:rsidRDefault="00D31714" w:rsidP="00747170">
      <w:pPr>
        <w:pStyle w:val="a2"/>
        <w:rPr>
          <w:rtl/>
        </w:rPr>
      </w:pPr>
      <w:r w:rsidRPr="00747170">
        <w:rPr>
          <w:rtl/>
        </w:rPr>
        <w:t>ואל יקשה לך ע"ד הר"מ למה לא כתב בפי"א דחייב שתים משום עוקר ג"כ דזה מבואר כ"פ בר"מ דלא כתב חייב שתים כמ"ש הה"מ כ"פ</w:t>
      </w:r>
      <w:r w:rsidRPr="00747170">
        <w:rPr>
          <w:rFonts w:hint="cs"/>
          <w:rtl/>
        </w:rPr>
        <w:t xml:space="preserve">. </w:t>
      </w:r>
      <w:r w:rsidRPr="00747170">
        <w:rPr>
          <w:rtl/>
        </w:rPr>
        <w:t>ומ"ש הרשב"א דהגוזז יהי' חייב שתים משום עוקר ג"כ והר"מ מביא דינים אלו דגוזז בפ"ט בודאי להר"מ חייב דה"ל ג"ק לפי שיטתו אך ל"ק כמ"ש דכ"פ דרכו של רבינו בזה אבל ז"ב דהר"מ מחייב משום עוקר דה"ל ג"ק וכיון דל"מ מד' הר"מ דאף בג"ק לא כתב א"כ הדרינן דנ' דעת הר"מ אף באינו ג"ק חייב דלא כ' זה כמו גבי עימור ודש.</w:t>
      </w:r>
    </w:p>
    <w:p w14:paraId="09A68B28" w14:textId="77777777" w:rsidR="00D31714" w:rsidRDefault="00D31714" w:rsidP="00D31714">
      <w:pPr>
        <w:pStyle w:val="a7"/>
        <w:rPr>
          <w:rtl/>
        </w:rPr>
      </w:pPr>
      <w:bookmarkStart w:id="1060" w:name="_Toc135669955"/>
      <w:r>
        <w:rPr>
          <w:rFonts w:hint="cs"/>
          <w:rtl/>
        </w:rPr>
        <w:t>קו' המנ"ח על הרמב"ן דבגמ' בבכורות משמע דבאינו גידו"ק חייב משום עוקר דבר מגידולו</w:t>
      </w:r>
      <w:bookmarkEnd w:id="1060"/>
    </w:p>
    <w:p w14:paraId="55352398" w14:textId="014C2AB8" w:rsidR="00D31714" w:rsidRPr="006915D5" w:rsidRDefault="00D31714" w:rsidP="00BC7DC8">
      <w:pPr>
        <w:pStyle w:val="a3"/>
      </w:pPr>
      <w:r>
        <w:rPr>
          <w:rFonts w:hint="cs"/>
          <w:rtl/>
        </w:rPr>
        <w:t xml:space="preserve">ובמ"ש </w:t>
      </w:r>
      <w:r w:rsidRPr="000D4E5E">
        <w:rPr>
          <w:rStyle w:val="aff4"/>
          <w:rFonts w:hint="cs"/>
          <w:vanish/>
          <w:rtl/>
        </w:rPr>
        <w:t>-</w:t>
      </w:r>
      <w:r>
        <w:rPr>
          <w:rStyle w:val="aff4"/>
          <w:rFonts w:hint="cs"/>
          <w:rtl/>
        </w:rPr>
        <w:t>הרשב"א</w:t>
      </w:r>
      <w:r w:rsidRPr="00572920">
        <w:rPr>
          <w:rStyle w:val="aff4"/>
          <w:rFonts w:hint="cs"/>
          <w:rtl/>
        </w:rPr>
        <w:t xml:space="preserve"> לקמן</w:t>
      </w:r>
      <w:r w:rsidRPr="000D4E5E">
        <w:rPr>
          <w:rStyle w:val="aff4"/>
          <w:rFonts w:hint="cs"/>
          <w:vanish/>
          <w:rtl/>
        </w:rPr>
        <w:t>-</w:t>
      </w:r>
      <w:r>
        <w:rPr>
          <w:rFonts w:hint="cs"/>
          <w:rtl/>
        </w:rPr>
        <w:t xml:space="preserve"> בשם </w:t>
      </w:r>
      <w:r w:rsidRPr="000D4E5E">
        <w:rPr>
          <w:rStyle w:val="aff4"/>
          <w:rFonts w:hint="cs"/>
          <w:vanish/>
          <w:rtl/>
        </w:rPr>
        <w:t>-</w:t>
      </w:r>
      <w:r w:rsidRPr="00572920">
        <w:rPr>
          <w:rStyle w:val="aff4"/>
          <w:rFonts w:hint="cs"/>
          <w:rtl/>
        </w:rPr>
        <w:t>הרמב"ן לקמן</w:t>
      </w:r>
      <w:r w:rsidRPr="000D4E5E">
        <w:rPr>
          <w:rStyle w:val="aff4"/>
          <w:rFonts w:hint="cs"/>
          <w:vanish/>
          <w:rtl/>
        </w:rPr>
        <w:t>-</w:t>
      </w:r>
      <w:r>
        <w:rPr>
          <w:rFonts w:hint="cs"/>
          <w:rtl/>
        </w:rPr>
        <w:t xml:space="preserve"> </w:t>
      </w:r>
      <w:r w:rsidRPr="00A3054F">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Ref134521888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כא)</w:t>
      </w:r>
      <w:r>
        <w:rPr>
          <w:rStyle w:val="af2"/>
          <w:rFonts w:eastAsia="Guttman Hodes"/>
          <w:rtl/>
        </w:rPr>
        <w:fldChar w:fldCharType="end"/>
      </w:r>
      <w:r>
        <w:rPr>
          <w:rFonts w:hint="cs"/>
          <w:rtl/>
        </w:rPr>
        <w:t xml:space="preserve"> דמוכח דקוצר שייך רק בגידולי קרקע, דכן משמע בגמ' בבכורות </w:t>
      </w:r>
      <w:r w:rsidRPr="00A3054F">
        <w:rPr>
          <w:rStyle w:val="af2"/>
          <w:rFonts w:eastAsia="Guttman Hodes" w:hint="cs"/>
          <w:rtl/>
        </w:rPr>
        <w:t>(כה.)</w:t>
      </w:r>
      <w:r>
        <w:rPr>
          <w:rFonts w:hint="cs"/>
          <w:rtl/>
        </w:rPr>
        <w:t xml:space="preserve"> דבתולש צמר מבכור אין בו איסור משום עוקר דבר מגידולו, תמה </w:t>
      </w:r>
      <w:r w:rsidRPr="007F356E">
        <w:rPr>
          <w:rStyle w:val="aff4"/>
          <w:rFonts w:hint="cs"/>
          <w:vanish/>
          <w:rtl/>
        </w:rPr>
        <w:t>-</w:t>
      </w:r>
      <w:r w:rsidRPr="001F02FD">
        <w:rPr>
          <w:rStyle w:val="aff4"/>
          <w:rFonts w:hint="cs"/>
          <w:rtl/>
        </w:rPr>
        <w:t>המנחת חינוך</w:t>
      </w:r>
      <w:r w:rsidRPr="007F356E">
        <w:rPr>
          <w:rStyle w:val="aff4"/>
          <w:rFonts w:hint="cs"/>
          <w:vanish/>
          <w:rtl/>
        </w:rPr>
        <w:t>-</w:t>
      </w:r>
      <w:r>
        <w:rPr>
          <w:rFonts w:hint="cs"/>
          <w:rtl/>
        </w:rPr>
        <w:t xml:space="preserve"> דאדרבה בגמ' בבכורות משמע דחייב משום עוקר דבר מגידולו, וציין </w:t>
      </w:r>
      <w:r w:rsidRPr="007F356E">
        <w:rPr>
          <w:rStyle w:val="aff4"/>
          <w:rFonts w:hint="cs"/>
          <w:vanish/>
          <w:rtl/>
        </w:rPr>
        <w:t>-</w:t>
      </w:r>
      <w:r w:rsidRPr="001F02FD">
        <w:rPr>
          <w:rStyle w:val="aff4"/>
          <w:rFonts w:hint="cs"/>
          <w:rtl/>
        </w:rPr>
        <w:t>המנחת חינוך</w:t>
      </w:r>
      <w:r w:rsidRPr="007F356E">
        <w:rPr>
          <w:rStyle w:val="aff4"/>
          <w:rFonts w:hint="cs"/>
          <w:vanish/>
          <w:rtl/>
        </w:rPr>
        <w:t>-</w:t>
      </w:r>
      <w:r>
        <w:rPr>
          <w:rFonts w:hint="cs"/>
          <w:rtl/>
        </w:rPr>
        <w:t xml:space="preserve"> לדברי </w:t>
      </w:r>
      <w:r w:rsidRPr="007F356E">
        <w:rPr>
          <w:rStyle w:val="aff4"/>
          <w:rFonts w:hint="cs"/>
          <w:vanish/>
          <w:rtl/>
        </w:rPr>
        <w:t>-</w:t>
      </w:r>
      <w:r w:rsidRPr="001F02FD">
        <w:rPr>
          <w:rStyle w:val="aff4"/>
          <w:rFonts w:hint="cs"/>
          <w:rtl/>
        </w:rPr>
        <w:t>המהרי"ט אלגאזי</w:t>
      </w:r>
      <w:r w:rsidRPr="007F356E">
        <w:rPr>
          <w:rStyle w:val="aff4"/>
          <w:rFonts w:hint="cs"/>
          <w:vanish/>
          <w:rtl/>
        </w:rPr>
        <w:t>-</w:t>
      </w:r>
      <w:r>
        <w:rPr>
          <w:rFonts w:hint="cs"/>
          <w:rtl/>
        </w:rPr>
        <w:t xml:space="preserve"> </w:t>
      </w:r>
      <w:r w:rsidRPr="00A3054F">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Ref135668977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כו)</w:t>
      </w:r>
      <w:r>
        <w:rPr>
          <w:rStyle w:val="af2"/>
          <w:rFonts w:eastAsia="Guttman Hodes"/>
          <w:rtl/>
        </w:rPr>
        <w:fldChar w:fldCharType="end"/>
      </w:r>
      <w:r>
        <w:rPr>
          <w:rFonts w:hint="cs"/>
          <w:rtl/>
        </w:rPr>
        <w:t xml:space="preserve"> דתמה כן על </w:t>
      </w:r>
      <w:r w:rsidRPr="007F356E">
        <w:rPr>
          <w:rStyle w:val="aff4"/>
          <w:rFonts w:hint="cs"/>
          <w:vanish/>
          <w:rtl/>
        </w:rPr>
        <w:t>-</w:t>
      </w:r>
      <w:r w:rsidRPr="001F02FD">
        <w:rPr>
          <w:rStyle w:val="aff4"/>
          <w:rFonts w:hint="cs"/>
          <w:rtl/>
        </w:rPr>
        <w:t>הרמב"ן</w:t>
      </w:r>
      <w:r w:rsidRPr="007F356E">
        <w:rPr>
          <w:rStyle w:val="aff4"/>
          <w:rFonts w:hint="cs"/>
          <w:vanish/>
          <w:rtl/>
        </w:rPr>
        <w:t>-</w:t>
      </w:r>
      <w:r>
        <w:rPr>
          <w:rFonts w:hint="cs"/>
          <w:rtl/>
        </w:rPr>
        <w:t>.</w:t>
      </w:r>
    </w:p>
    <w:p w14:paraId="72A3628C" w14:textId="77777777" w:rsidR="00D31714" w:rsidRPr="00747170" w:rsidRDefault="00D31714" w:rsidP="00747170">
      <w:pPr>
        <w:pStyle w:val="a2"/>
        <w:rPr>
          <w:rtl/>
        </w:rPr>
      </w:pPr>
      <w:r w:rsidRPr="00747170">
        <w:rPr>
          <w:rtl/>
        </w:rPr>
        <w:t>עוד כ' הרשב"א דכ"מ בכורות כ"ה דאמרינן תולש לאו היינו גוזז לענין בכור וכנגדו בי"ט מותר דלית ביה משום עוקר דבר וכו' ודברים אלו של רבותינו הרמב"ן והרשב"א תמוהין מאוד אדרבה מבואר שם דאי תולש לאו היינו גוזז כנגדו בי"ט אסור דהו"ל עוקר. אח"ז מסיק דהו"ל עוקר כלאחר יד אבל בלא לאחר יד מבואר בהיפוך דחייב משום עוקר וכו' בבהמה וע"ש תוד"ה ואת"ל ובסוגיא ותראה שד' רבותינו הנ"ל תמוהים ולא זכיתי להבינם כעת. ולאחר החיפוש מצאתי במהריט"א מביא ד' הרשב"א בשם הרמב"ן ותמה כמו שתמהתי דאדרבה מבואר בסוגיא להיפוך רק מחמת כלאים. ולאח"י פטור אפילו בג"ק ממש כמ"ש האי מאן דשדי פיסא וכו' וכן בכל מלאכת שבת כידוע.</w:t>
      </w:r>
    </w:p>
    <w:p w14:paraId="01087705" w14:textId="77777777" w:rsidR="00D31714" w:rsidRDefault="00D31714" w:rsidP="00D31714">
      <w:pPr>
        <w:pStyle w:val="1"/>
        <w:rPr>
          <w:rtl/>
        </w:rPr>
      </w:pPr>
      <w:bookmarkStart w:id="1061" w:name="_Toc135669956"/>
      <w:r>
        <w:rPr>
          <w:rFonts w:hint="cs"/>
          <w:rtl/>
        </w:rPr>
        <w:t>בי' התורי"ד</w:t>
      </w:r>
      <w:bookmarkEnd w:id="1051"/>
      <w:r>
        <w:rPr>
          <w:rFonts w:hint="cs"/>
          <w:rtl/>
        </w:rPr>
        <w:t xml:space="preserve"> דעוקר דבר מגידולו בגידו"ק קוצר ובחי הוא גוזז</w:t>
      </w:r>
      <w:bookmarkEnd w:id="1061"/>
    </w:p>
    <w:p w14:paraId="3CCAAC7F" w14:textId="77777777" w:rsidR="00D31714" w:rsidRDefault="00D31714" w:rsidP="00D31714">
      <w:pPr>
        <w:pStyle w:val="afffff7"/>
        <w:rPr>
          <w:rtl/>
        </w:rPr>
      </w:pPr>
      <w:bookmarkStart w:id="1062" w:name="_Toc135129985"/>
      <w:bookmarkStart w:id="1063" w:name="_Toc135670248"/>
      <w:bookmarkStart w:id="1064" w:name="_Toc163505549"/>
      <w:r>
        <w:rPr>
          <w:rtl/>
        </w:rPr>
        <w:t>תוספות רי"ד שבת ק"ז ע"ב</w:t>
      </w:r>
      <w:r>
        <w:rPr>
          <w:rFonts w:hint="cs"/>
          <w:rtl/>
        </w:rPr>
        <w:t xml:space="preserve"> ד"ה הכא</w:t>
      </w:r>
      <w:bookmarkEnd w:id="1062"/>
      <w:bookmarkEnd w:id="1063"/>
      <w:bookmarkEnd w:id="1064"/>
    </w:p>
    <w:p w14:paraId="46484806" w14:textId="77777777" w:rsidR="00D31714" w:rsidRDefault="00D31714" w:rsidP="00D31714">
      <w:pPr>
        <w:pStyle w:val="a7"/>
        <w:rPr>
          <w:rtl/>
        </w:rPr>
      </w:pPr>
      <w:bookmarkStart w:id="1065" w:name="_Toc135669957"/>
      <w:r>
        <w:rPr>
          <w:rFonts w:hint="cs"/>
          <w:rtl/>
        </w:rPr>
        <w:t>בי' התורי"ד דמדלדל עובר הוא עוקרו מגידולו ותולדה דגוזז דהוא בע"ח ובכשות תולדה דקוצר</w:t>
      </w:r>
      <w:bookmarkEnd w:id="1065"/>
    </w:p>
    <w:p w14:paraId="5DFFE2D9" w14:textId="098E7C39" w:rsidR="00D31714" w:rsidRPr="00DA38CD" w:rsidRDefault="00D31714" w:rsidP="00BC7DC8">
      <w:pPr>
        <w:pStyle w:val="a3"/>
        <w:rPr>
          <w:rtl/>
        </w:rPr>
      </w:pPr>
      <w:bookmarkStart w:id="1066" w:name="_Ref135046698"/>
      <w:r>
        <w:rPr>
          <w:rFonts w:hint="cs"/>
          <w:rtl/>
        </w:rPr>
        <w:t xml:space="preserve">בהא דאמר שמואל לקמן </w:t>
      </w:r>
      <w:r w:rsidRPr="00A3054F">
        <w:rPr>
          <w:rStyle w:val="af2"/>
          <w:rFonts w:eastAsia="Guttman Hodes" w:hint="cs"/>
          <w:rtl/>
        </w:rPr>
        <w:t>(קז:)</w:t>
      </w:r>
      <w:r>
        <w:rPr>
          <w:rFonts w:hint="cs"/>
          <w:rtl/>
        </w:rPr>
        <w:t xml:space="preserve"> דהכניס ידו למעי בהמה ודלדל עובר שבמעיה חייב, כתב </w:t>
      </w:r>
      <w:r w:rsidRPr="007F356E">
        <w:rPr>
          <w:rStyle w:val="aff4"/>
          <w:rFonts w:hint="cs"/>
          <w:vanish/>
          <w:rtl/>
        </w:rPr>
        <w:t>-</w:t>
      </w:r>
      <w:r w:rsidRPr="001F02FD">
        <w:rPr>
          <w:rStyle w:val="aff4"/>
          <w:rFonts w:hint="cs"/>
          <w:rtl/>
        </w:rPr>
        <w:t>ה</w:t>
      </w:r>
      <w:r w:rsidRPr="00084329">
        <w:rPr>
          <w:rStyle w:val="aff4"/>
          <w:rFonts w:hint="cs"/>
          <w:vanish/>
          <w:rtl/>
        </w:rPr>
        <w:t xml:space="preserve">&lt;. </w:t>
      </w:r>
      <w:r w:rsidRPr="00084329">
        <w:rPr>
          <w:rStyle w:val="aff4"/>
          <w:vanish/>
          <w:rtl/>
        </w:rPr>
        <w:fldChar w:fldCharType="begin"/>
      </w:r>
      <w:r w:rsidRPr="00084329">
        <w:rPr>
          <w:rStyle w:val="aff4"/>
          <w:vanish/>
          <w:rtl/>
        </w:rPr>
        <w:instrText xml:space="preserve"> </w:instrText>
      </w:r>
      <w:r w:rsidRPr="00084329">
        <w:rPr>
          <w:rStyle w:val="aff4"/>
          <w:rFonts w:hint="cs"/>
          <w:vanish/>
        </w:rPr>
        <w:instrText>REF</w:instrText>
      </w:r>
      <w:r w:rsidRPr="00084329">
        <w:rPr>
          <w:rStyle w:val="aff4"/>
          <w:rFonts w:hint="cs"/>
          <w:vanish/>
          <w:rtl/>
        </w:rPr>
        <w:instrText xml:space="preserve"> _</w:instrText>
      </w:r>
      <w:r w:rsidRPr="00084329">
        <w:rPr>
          <w:rStyle w:val="aff4"/>
          <w:rFonts w:hint="cs"/>
          <w:vanish/>
        </w:rPr>
        <w:instrText>Ref135046698 \r \h</w:instrText>
      </w:r>
      <w:r w:rsidRPr="00084329">
        <w:rPr>
          <w:rStyle w:val="aff4"/>
          <w:vanish/>
          <w:rtl/>
        </w:rPr>
        <w:instrText xml:space="preserve"> </w:instrText>
      </w:r>
      <w:r w:rsidRPr="00084329">
        <w:rPr>
          <w:rStyle w:val="aff4"/>
          <w:vanish/>
          <w:rtl/>
        </w:rPr>
      </w:r>
      <w:r w:rsidRPr="00084329">
        <w:rPr>
          <w:rStyle w:val="aff4"/>
          <w:vanish/>
          <w:rtl/>
        </w:rPr>
        <w:fldChar w:fldCharType="separate"/>
      </w:r>
      <w:r w:rsidR="00D82181">
        <w:rPr>
          <w:rStyle w:val="aff4"/>
          <w:vanish/>
          <w:cs/>
        </w:rPr>
        <w:t>‎</w:t>
      </w:r>
      <w:r w:rsidR="00D82181">
        <w:rPr>
          <w:rStyle w:val="aff4"/>
          <w:vanish/>
          <w:rtl/>
        </w:rPr>
        <w:t>לד)</w:t>
      </w:r>
      <w:r w:rsidRPr="00084329">
        <w:rPr>
          <w:rStyle w:val="aff4"/>
          <w:vanish/>
          <w:rtl/>
        </w:rPr>
        <w:fldChar w:fldCharType="end"/>
      </w:r>
      <w:r w:rsidRPr="00084329">
        <w:rPr>
          <w:rStyle w:val="aff4"/>
          <w:rFonts w:hint="cs"/>
          <w:vanish/>
          <w:rtl/>
        </w:rPr>
        <w:t xml:space="preserve"> &gt;</w:t>
      </w:r>
      <w:r w:rsidRPr="001F02FD">
        <w:rPr>
          <w:rStyle w:val="aff4"/>
          <w:rFonts w:hint="cs"/>
          <w:rtl/>
        </w:rPr>
        <w:t>תוס' רי"ד לקמן</w:t>
      </w:r>
      <w:r w:rsidRPr="007F356E">
        <w:rPr>
          <w:rStyle w:val="aff4"/>
          <w:rFonts w:hint="cs"/>
          <w:vanish/>
          <w:rtl/>
        </w:rPr>
        <w:t>-</w:t>
      </w:r>
      <w:r>
        <w:rPr>
          <w:rFonts w:hint="cs"/>
          <w:rtl/>
        </w:rPr>
        <w:t xml:space="preserve"> </w:t>
      </w:r>
      <w:r w:rsidRPr="00A3054F">
        <w:rPr>
          <w:rStyle w:val="af2"/>
          <w:rFonts w:eastAsia="Guttman Hodes" w:hint="cs"/>
          <w:rtl/>
        </w:rPr>
        <w:t>(קז: דה הכא)</w:t>
      </w:r>
      <w:r w:rsidRPr="007F356E">
        <w:rPr>
          <w:rFonts w:hint="cs"/>
          <w:vanish/>
          <w:rtl/>
        </w:rPr>
        <w:t>=</w:t>
      </w:r>
      <w:r>
        <w:rPr>
          <w:rFonts w:hint="cs"/>
          <w:rtl/>
        </w:rPr>
        <w:t xml:space="preserve"> דהא דאמרינן דחייב כמו כשותא משום עוקר דבר מגידולו, הכוונה דבמדלדל עובר הוא עוקר דבר מגידולו, שהוא תולדה דגוזז ששייך בבע"ח, ואינו חייב משום קוצר כיון דאין קוצר בבע"ח, אבל בכשותא חייב משום תולדה דקוצר.</w:t>
      </w:r>
      <w:bookmarkEnd w:id="1066"/>
    </w:p>
    <w:p w14:paraId="3CAE826A" w14:textId="77777777" w:rsidR="00D31714" w:rsidRPr="00747170" w:rsidRDefault="00D31714" w:rsidP="00747170">
      <w:pPr>
        <w:pStyle w:val="a2"/>
        <w:rPr>
          <w:rtl/>
        </w:rPr>
      </w:pPr>
      <w:r w:rsidRPr="00747170">
        <w:rPr>
          <w:rtl/>
        </w:rPr>
        <w:t>הכא נמי מחייב משום עוקר דבר מגידולו פי' והוי תולדה דגוזז דשייך בבע"ח דאין קוצר בבע"ח אבל מאן דתולש כשותא הוי תולדה דקוצר:</w:t>
      </w:r>
    </w:p>
    <w:p w14:paraId="0DCDDF59" w14:textId="77777777" w:rsidR="00D31714" w:rsidRPr="00716C93" w:rsidRDefault="00D31714" w:rsidP="00D31714">
      <w:pPr>
        <w:pStyle w:val="affff5"/>
      </w:pPr>
      <w:bookmarkStart w:id="1067" w:name="_Toc135212155"/>
      <w:bookmarkStart w:id="1068" w:name="_Toc135669958"/>
      <w:bookmarkStart w:id="1069" w:name="_Toc135212130"/>
      <w:bookmarkEnd w:id="898"/>
      <w:r w:rsidRPr="00716C93">
        <w:rPr>
          <w:rFonts w:hint="cs"/>
          <w:rtl/>
        </w:rPr>
        <w:t>~~~~~~~~~~~~~~~~~~~~~~~~~~~~</w:t>
      </w:r>
      <w:bookmarkEnd w:id="1067"/>
      <w:bookmarkEnd w:id="1068"/>
    </w:p>
    <w:p w14:paraId="2DFE0DB5" w14:textId="612EFBD1" w:rsidR="00D31714" w:rsidRDefault="00D31714" w:rsidP="00D31714">
      <w:pPr>
        <w:pStyle w:val="affff5"/>
        <w:rPr>
          <w:rtl/>
        </w:rPr>
      </w:pPr>
      <w:bookmarkStart w:id="1070" w:name="_Toc135669959"/>
      <w:r>
        <w:rPr>
          <w:rFonts w:hint="cs"/>
          <w:rtl/>
        </w:rPr>
        <w:t>בגדר חיבור עציץ נקוב</w:t>
      </w:r>
      <w:bookmarkEnd w:id="1069"/>
      <w:r>
        <w:rPr>
          <w:rFonts w:hint="cs"/>
          <w:rtl/>
        </w:rPr>
        <w:t xml:space="preserve"> לענין שבת</w:t>
      </w:r>
      <w:bookmarkEnd w:id="1070"/>
    </w:p>
    <w:p w14:paraId="0660B153" w14:textId="77777777" w:rsidR="00D31714" w:rsidRDefault="00D31714" w:rsidP="00D31714">
      <w:pPr>
        <w:pStyle w:val="1"/>
        <w:rPr>
          <w:rtl/>
        </w:rPr>
      </w:pPr>
      <w:bookmarkStart w:id="1071" w:name="_Toc135513556"/>
      <w:bookmarkStart w:id="1072" w:name="_Toc135669960"/>
      <w:bookmarkStart w:id="1073" w:name="_Toc135212134"/>
      <w:r>
        <w:rPr>
          <w:rFonts w:hint="cs"/>
          <w:rtl/>
        </w:rPr>
        <w:t>בי' רש"י ותוס' בפרפיסא דתולש רק מדרבנן מדמותר לקנח בו</w:t>
      </w:r>
      <w:bookmarkEnd w:id="1071"/>
      <w:bookmarkEnd w:id="1072"/>
    </w:p>
    <w:p w14:paraId="467F6517" w14:textId="77777777" w:rsidR="00D31714" w:rsidRDefault="00D31714" w:rsidP="00D31714">
      <w:pPr>
        <w:pStyle w:val="afffff7"/>
        <w:rPr>
          <w:rtl/>
        </w:rPr>
      </w:pPr>
      <w:bookmarkStart w:id="1074" w:name="_Toc135513716"/>
      <w:bookmarkStart w:id="1075" w:name="_Toc135670249"/>
      <w:bookmarkStart w:id="1076" w:name="_Toc163505550"/>
      <w:r>
        <w:rPr>
          <w:rtl/>
        </w:rPr>
        <w:t>רש"י שבת פ"א ע"ב</w:t>
      </w:r>
      <w:r>
        <w:rPr>
          <w:rFonts w:hint="cs"/>
          <w:rtl/>
        </w:rPr>
        <w:t xml:space="preserve"> ד"ה מדריש לקיש, האי</w:t>
      </w:r>
      <w:r w:rsidRPr="00CF7E2D">
        <w:rPr>
          <w:rtl/>
        </w:rPr>
        <w:t>, שרי</w:t>
      </w:r>
      <w:bookmarkEnd w:id="1074"/>
      <w:bookmarkEnd w:id="1075"/>
      <w:bookmarkEnd w:id="1076"/>
    </w:p>
    <w:p w14:paraId="2055F614" w14:textId="77777777" w:rsidR="00D31714" w:rsidRDefault="00D31714" w:rsidP="00D31714">
      <w:pPr>
        <w:pStyle w:val="a7"/>
        <w:rPr>
          <w:rtl/>
        </w:rPr>
      </w:pPr>
      <w:bookmarkStart w:id="1077" w:name="_Toc135513557"/>
      <w:bookmarkStart w:id="1078" w:name="_Toc135669961"/>
      <w:r>
        <w:rPr>
          <w:rFonts w:hint="cs"/>
          <w:rtl/>
        </w:rPr>
        <w:t>בי' רש"י דעשבים שגדלו בצרור אין איסור תולש בהגבהתם מהקרקע דהא מותר לקנח בצרור</w:t>
      </w:r>
      <w:bookmarkEnd w:id="1077"/>
      <w:bookmarkEnd w:id="1078"/>
    </w:p>
    <w:p w14:paraId="1CCE2520" w14:textId="50FA4CC5" w:rsidR="00D31714" w:rsidRPr="00433064" w:rsidRDefault="00D31714" w:rsidP="00BC7DC8">
      <w:pPr>
        <w:pStyle w:val="a3"/>
        <w:rPr>
          <w:rtl/>
        </w:rPr>
      </w:pPr>
      <w:bookmarkStart w:id="1079" w:name="_Ref134734637"/>
      <w:r>
        <w:rPr>
          <w:rFonts w:hint="cs"/>
          <w:rtl/>
        </w:rPr>
        <w:t xml:space="preserve">בהא דאמר ר"ל בגמ' לקמן </w:t>
      </w:r>
      <w:r w:rsidRPr="00A3054F">
        <w:rPr>
          <w:rStyle w:val="af2"/>
          <w:rFonts w:eastAsia="Guttman Hodes" w:hint="cs"/>
          <w:rtl/>
        </w:rPr>
        <w:t>(פא:)</w:t>
      </w:r>
      <w:r>
        <w:rPr>
          <w:rFonts w:hint="cs"/>
          <w:rtl/>
        </w:rPr>
        <w:t xml:space="preserve"> דצרור שעלו בו עשבים מותר לקנח בו, ואסור לתלוש ממנו, ואמר רב פפי דש"מ דמותר לטלטל פרפיסא, ביאר </w:t>
      </w:r>
      <w:r w:rsidRPr="00B53404">
        <w:rPr>
          <w:rFonts w:hint="cs"/>
          <w:vanish/>
          <w:rtl/>
        </w:rPr>
        <w:t xml:space="preserve">&lt;. </w:t>
      </w:r>
      <w:r w:rsidRPr="00B53404">
        <w:rPr>
          <w:vanish/>
          <w:rtl/>
        </w:rPr>
        <w:fldChar w:fldCharType="begin"/>
      </w:r>
      <w:r w:rsidRPr="00B53404">
        <w:rPr>
          <w:vanish/>
          <w:rtl/>
        </w:rPr>
        <w:instrText xml:space="preserve"> </w:instrText>
      </w:r>
      <w:r w:rsidRPr="00B53404">
        <w:rPr>
          <w:rFonts w:hint="cs"/>
          <w:vanish/>
        </w:rPr>
        <w:instrText>REF</w:instrText>
      </w:r>
      <w:r w:rsidRPr="00B53404">
        <w:rPr>
          <w:rFonts w:hint="cs"/>
          <w:vanish/>
          <w:rtl/>
        </w:rPr>
        <w:instrText xml:space="preserve"> _</w:instrText>
      </w:r>
      <w:r w:rsidRPr="00B53404">
        <w:rPr>
          <w:rFonts w:hint="cs"/>
          <w:vanish/>
        </w:rPr>
        <w:instrText>Ref134734637 \r \h</w:instrText>
      </w:r>
      <w:r w:rsidRPr="00B53404">
        <w:rPr>
          <w:vanish/>
          <w:rtl/>
        </w:rPr>
        <w:instrText xml:space="preserve">  \* </w:instrText>
      </w:r>
      <w:r w:rsidRPr="00B53404">
        <w:rPr>
          <w:vanish/>
        </w:rPr>
        <w:instrText>MERGEFORMAT</w:instrText>
      </w:r>
      <w:r w:rsidRPr="00B53404">
        <w:rPr>
          <w:vanish/>
          <w:rtl/>
        </w:rPr>
        <w:instrText xml:space="preserve"> </w:instrText>
      </w:r>
      <w:r w:rsidRPr="00B53404">
        <w:rPr>
          <w:vanish/>
          <w:rtl/>
        </w:rPr>
      </w:r>
      <w:r w:rsidRPr="00B53404">
        <w:rPr>
          <w:vanish/>
          <w:rtl/>
        </w:rPr>
        <w:fldChar w:fldCharType="separate"/>
      </w:r>
      <w:r w:rsidR="00D82181">
        <w:rPr>
          <w:vanish/>
          <w:cs/>
        </w:rPr>
        <w:t>‎</w:t>
      </w:r>
      <w:r w:rsidR="00D82181">
        <w:rPr>
          <w:vanish/>
          <w:rtl/>
        </w:rPr>
        <w:t>לה)</w:t>
      </w:r>
      <w:r w:rsidRPr="00B53404">
        <w:rPr>
          <w:vanish/>
          <w:rtl/>
        </w:rPr>
        <w:fldChar w:fldCharType="end"/>
      </w:r>
      <w:r w:rsidRPr="00B53404">
        <w:rPr>
          <w:rFonts w:hint="cs"/>
          <w:vanish/>
          <w:rtl/>
        </w:rPr>
        <w:t xml:space="preserve"> &gt;</w:t>
      </w:r>
      <w:r w:rsidRPr="008D113A">
        <w:rPr>
          <w:rStyle w:val="aff4"/>
          <w:rFonts w:hint="cs"/>
          <w:vanish/>
          <w:rtl/>
        </w:rPr>
        <w:t>-</w:t>
      </w:r>
      <w:r w:rsidRPr="000614F7">
        <w:rPr>
          <w:rStyle w:val="aff4"/>
          <w:rFonts w:hint="cs"/>
          <w:rtl/>
        </w:rPr>
        <w:t>רש"י</w:t>
      </w:r>
      <w:r w:rsidRPr="008D113A">
        <w:rPr>
          <w:rStyle w:val="aff4"/>
          <w:rFonts w:hint="cs"/>
          <w:vanish/>
          <w:rtl/>
        </w:rPr>
        <w:t>-</w:t>
      </w:r>
      <w:r>
        <w:rPr>
          <w:rFonts w:hint="cs"/>
          <w:rtl/>
        </w:rPr>
        <w:t xml:space="preserve"> </w:t>
      </w:r>
      <w:r w:rsidRPr="00A3054F">
        <w:rPr>
          <w:rStyle w:val="af2"/>
          <w:rFonts w:eastAsia="Guttman Hodes" w:hint="cs"/>
          <w:rtl/>
        </w:rPr>
        <w:t>(פא: ד"ה מדריש)</w:t>
      </w:r>
      <w:r w:rsidRPr="008D113A">
        <w:rPr>
          <w:rFonts w:hint="cs"/>
          <w:vanish/>
          <w:rtl/>
        </w:rPr>
        <w:t>=</w:t>
      </w:r>
      <w:r>
        <w:rPr>
          <w:rFonts w:hint="cs"/>
          <w:rtl/>
        </w:rPr>
        <w:t xml:space="preserve"> דהיה אפש"ל דהעשבים שעל הצרור הם גדלים מהלחות של הקרקע, וכשהוא מגביה את הצרור מהקרקע הוא תולש, וכיון דמותר לקנח בצרור, א"כ מוכח דאינו תולש בזה, וכתב </w:t>
      </w:r>
      <w:r w:rsidRPr="00B53404">
        <w:rPr>
          <w:rFonts w:hint="cs"/>
          <w:vanish/>
          <w:rtl/>
        </w:rPr>
        <w:t>&lt; &gt;</w:t>
      </w:r>
      <w:r w:rsidRPr="008D113A">
        <w:rPr>
          <w:rStyle w:val="aff4"/>
          <w:rFonts w:hint="cs"/>
          <w:vanish/>
          <w:rtl/>
        </w:rPr>
        <w:t>-</w:t>
      </w:r>
      <w:r w:rsidRPr="000614F7">
        <w:rPr>
          <w:rStyle w:val="aff4"/>
          <w:rFonts w:hint="cs"/>
          <w:rtl/>
        </w:rPr>
        <w:t>רש"י לקמן</w:t>
      </w:r>
      <w:r w:rsidRPr="008D113A">
        <w:rPr>
          <w:rStyle w:val="aff4"/>
          <w:rFonts w:hint="cs"/>
          <w:vanish/>
          <w:rtl/>
        </w:rPr>
        <w:t>-</w:t>
      </w:r>
      <w:r>
        <w:rPr>
          <w:rFonts w:hint="cs"/>
          <w:rtl/>
        </w:rPr>
        <w:t xml:space="preserve"> </w:t>
      </w:r>
      <w:r w:rsidRPr="00A3054F">
        <w:rPr>
          <w:rStyle w:val="af2"/>
          <w:rFonts w:eastAsia="Guttman Hodes" w:hint="cs"/>
          <w:rtl/>
        </w:rPr>
        <w:t>(פא: ד"ה האי, ד"ה שרי)</w:t>
      </w:r>
      <w:r w:rsidRPr="008D113A">
        <w:rPr>
          <w:rFonts w:hint="cs"/>
          <w:vanish/>
          <w:rtl/>
        </w:rPr>
        <w:t>=</w:t>
      </w:r>
      <w:r>
        <w:rPr>
          <w:rFonts w:hint="cs"/>
          <w:rtl/>
        </w:rPr>
        <w:t xml:space="preserve"> דלכן מותר לטלטל את הפרפיסא שהוא עציץ נקוב שזרעו בו, ולא אמרינן דהוא תולש.</w:t>
      </w:r>
      <w:bookmarkEnd w:id="1079"/>
      <w:r>
        <w:rPr>
          <w:rFonts w:hint="cs"/>
          <w:rtl/>
        </w:rPr>
        <w:t xml:space="preserve"> </w:t>
      </w:r>
    </w:p>
    <w:p w14:paraId="2B72F785" w14:textId="77777777" w:rsidR="00D31714" w:rsidRPr="00747170" w:rsidRDefault="00D31714" w:rsidP="00747170">
      <w:pPr>
        <w:pStyle w:val="a2"/>
        <w:rPr>
          <w:rtl/>
        </w:rPr>
      </w:pPr>
      <w:r w:rsidRPr="00747170">
        <w:rPr>
          <w:rtl/>
        </w:rPr>
        <w:t>מדריש לקיש - דאמר: מותר לקנח בו, ולא אמרינן צרור זה העשבים שעלו מלחלוחית הקרקע הן יוצאין, וכשמגביהן הרי הוא כעוקרן מגידוליהן.</w:t>
      </w:r>
    </w:p>
    <w:p w14:paraId="748E7A50" w14:textId="77777777" w:rsidR="00D31714" w:rsidRPr="009069E2" w:rsidRDefault="00D31714" w:rsidP="00747170">
      <w:pPr>
        <w:pStyle w:val="afffff5"/>
        <w:rPr>
          <w:rtl/>
        </w:rPr>
      </w:pPr>
      <w:r w:rsidRPr="0074537A">
        <w:rPr>
          <w:rtl/>
        </w:rPr>
        <w:t>האי פרפיסא - עציץ נקוב שזרעו בו</w:t>
      </w:r>
      <w:r w:rsidRPr="0074537A">
        <w:rPr>
          <w:rFonts w:hint="cs"/>
          <w:rtl/>
        </w:rPr>
        <w:t xml:space="preserve">, </w:t>
      </w:r>
      <w:r w:rsidRPr="009069E2">
        <w:rPr>
          <w:rStyle w:val="afff7"/>
          <w:rtl/>
        </w:rPr>
        <w:t>ובתשובת הגאונים מצאתי: שעושין חותלות מכפות תמרים, וממלאין אותם עפר וזבל בהמה, ועשרים ושנים או חמישה עשר יום לפני ראש השנה עושין כל אחד ואחד לשם כל קטן וקטנה שבבית, וזורעים לתוכן פול המצרי או קיטנית, וקורין לו פורפיסא, וצומח, ובערב ראש השנה נוטל כל אחד שלו, ומחזירו סביבות ראשו שבעה פעמים, ואומר: זה תחת זה, וזה חליפתי וזה תמורתי, ומשליכו לנהר.</w:t>
      </w:r>
    </w:p>
    <w:p w14:paraId="18F73677" w14:textId="77777777" w:rsidR="00D31714" w:rsidRPr="009069E2" w:rsidRDefault="00D31714" w:rsidP="00747170">
      <w:pPr>
        <w:pStyle w:val="afffff5"/>
        <w:rPr>
          <w:rtl/>
        </w:rPr>
      </w:pPr>
      <w:r w:rsidRPr="009069E2">
        <w:rPr>
          <w:rtl/>
        </w:rPr>
        <w:t>שרי לטלטולי - ולא אמרינן תולש הוא.</w:t>
      </w:r>
    </w:p>
    <w:p w14:paraId="5EF1402E" w14:textId="77777777" w:rsidR="00D31714" w:rsidRPr="009069E2" w:rsidRDefault="00D31714" w:rsidP="00D31714">
      <w:pPr>
        <w:pStyle w:val="afffff7"/>
        <w:rPr>
          <w:vanish/>
          <w:rtl/>
        </w:rPr>
      </w:pPr>
      <w:bookmarkStart w:id="1080" w:name="_Toc135513717"/>
      <w:r w:rsidRPr="009069E2">
        <w:rPr>
          <w:vanish/>
          <w:rtl/>
        </w:rPr>
        <w:t>רש"י שבת פ"א ע"ב</w:t>
      </w:r>
      <w:r w:rsidRPr="009069E2">
        <w:rPr>
          <w:rFonts w:hint="cs"/>
          <w:vanish/>
          <w:rtl/>
        </w:rPr>
        <w:t xml:space="preserve"> ד"ה חייב</w:t>
      </w:r>
      <w:bookmarkEnd w:id="1080"/>
    </w:p>
    <w:p w14:paraId="68381374" w14:textId="77777777" w:rsidR="00D31714" w:rsidRPr="001E4606" w:rsidRDefault="00D31714" w:rsidP="00D31714">
      <w:pPr>
        <w:pStyle w:val="a7"/>
        <w:rPr>
          <w:rtl/>
        </w:rPr>
      </w:pPr>
      <w:bookmarkStart w:id="1081" w:name="_Toc135513558"/>
      <w:bookmarkStart w:id="1082" w:name="_Toc135669962"/>
      <w:r w:rsidRPr="001E4606">
        <w:rPr>
          <w:rFonts w:hint="cs"/>
          <w:rtl/>
        </w:rPr>
        <w:t>בי' רש"י דהא דאמרינן דמגביה צרור מע"ג הקרקע הוא תולש היינו מדרבנן דדמי לתולש</w:t>
      </w:r>
      <w:bookmarkEnd w:id="1081"/>
      <w:bookmarkEnd w:id="1082"/>
    </w:p>
    <w:p w14:paraId="4A4F34D0" w14:textId="568FF2B4" w:rsidR="00D31714" w:rsidRPr="009F4C54" w:rsidRDefault="00D31714" w:rsidP="00BC7DC8">
      <w:pPr>
        <w:pStyle w:val="a3"/>
        <w:rPr>
          <w:rtl/>
        </w:rPr>
      </w:pPr>
      <w:bookmarkStart w:id="1083" w:name="_Ref134734991"/>
      <w:bookmarkStart w:id="1084" w:name="_Ref134956345"/>
      <w:r>
        <w:rPr>
          <w:rFonts w:hint="cs"/>
          <w:rtl/>
        </w:rPr>
        <w:t xml:space="preserve">ובהא דדחתה הגמ' לקמן </w:t>
      </w:r>
      <w:r w:rsidRPr="00A3054F">
        <w:rPr>
          <w:rStyle w:val="af2"/>
          <w:rFonts w:eastAsia="Guttman Hodes" w:hint="cs"/>
          <w:rtl/>
        </w:rPr>
        <w:t>(פא:)</w:t>
      </w:r>
      <w:r>
        <w:rPr>
          <w:rFonts w:hint="cs"/>
          <w:rtl/>
        </w:rPr>
        <w:t xml:space="preserve"> דר"ל התיר דוקא בצרור לקנח בו לצורך, ואמר אביי דפרפיסא שהיה מונח ע"ג קרקע והגביהו ע"ג יתדות חייב משום תולש, כתב </w:t>
      </w:r>
      <w:r w:rsidRPr="00B53404">
        <w:rPr>
          <w:rFonts w:hint="cs"/>
          <w:vanish/>
          <w:rtl/>
        </w:rPr>
        <w:t xml:space="preserve">&lt;. </w:t>
      </w:r>
      <w:r w:rsidRPr="00B53404">
        <w:rPr>
          <w:vanish/>
          <w:rtl/>
        </w:rPr>
        <w:fldChar w:fldCharType="begin"/>
      </w:r>
      <w:r w:rsidRPr="00B53404">
        <w:rPr>
          <w:vanish/>
          <w:rtl/>
        </w:rPr>
        <w:instrText xml:space="preserve"> </w:instrText>
      </w:r>
      <w:r w:rsidRPr="00B53404">
        <w:rPr>
          <w:rFonts w:hint="cs"/>
          <w:vanish/>
        </w:rPr>
        <w:instrText>REF</w:instrText>
      </w:r>
      <w:r w:rsidRPr="00B53404">
        <w:rPr>
          <w:rFonts w:hint="cs"/>
          <w:vanish/>
          <w:rtl/>
        </w:rPr>
        <w:instrText xml:space="preserve"> _</w:instrText>
      </w:r>
      <w:r w:rsidRPr="00B53404">
        <w:rPr>
          <w:rFonts w:hint="cs"/>
          <w:vanish/>
        </w:rPr>
        <w:instrText>Ref134734991 \r \h</w:instrText>
      </w:r>
      <w:r w:rsidRPr="00B53404">
        <w:rPr>
          <w:vanish/>
          <w:rtl/>
        </w:rPr>
        <w:instrText xml:space="preserve"> </w:instrText>
      </w:r>
      <w:r w:rsidRPr="00B53404">
        <w:rPr>
          <w:vanish/>
          <w:rtl/>
        </w:rPr>
      </w:r>
      <w:r w:rsidRPr="00B53404">
        <w:rPr>
          <w:vanish/>
          <w:rtl/>
        </w:rPr>
        <w:fldChar w:fldCharType="separate"/>
      </w:r>
      <w:r w:rsidR="00D82181">
        <w:rPr>
          <w:vanish/>
          <w:cs/>
        </w:rPr>
        <w:t>‎</w:t>
      </w:r>
      <w:r w:rsidR="00D82181">
        <w:rPr>
          <w:vanish/>
          <w:rtl/>
        </w:rPr>
        <w:t>לו)</w:t>
      </w:r>
      <w:r w:rsidRPr="00B53404">
        <w:rPr>
          <w:vanish/>
          <w:rtl/>
        </w:rPr>
        <w:fldChar w:fldCharType="end"/>
      </w:r>
      <w:r w:rsidRPr="00B53404">
        <w:rPr>
          <w:rFonts w:hint="cs"/>
          <w:vanish/>
          <w:rtl/>
        </w:rPr>
        <w:t xml:space="preserve"> &gt;</w:t>
      </w:r>
      <w:r w:rsidRPr="008D113A">
        <w:rPr>
          <w:rStyle w:val="aff4"/>
          <w:rFonts w:hint="cs"/>
          <w:vanish/>
          <w:rtl/>
        </w:rPr>
        <w:t>-</w:t>
      </w:r>
      <w:r w:rsidRPr="000614F7">
        <w:rPr>
          <w:rStyle w:val="aff4"/>
          <w:rFonts w:hint="cs"/>
          <w:rtl/>
        </w:rPr>
        <w:t>רש"י לקמן</w:t>
      </w:r>
      <w:r w:rsidRPr="008D113A">
        <w:rPr>
          <w:rStyle w:val="aff4"/>
          <w:rFonts w:hint="cs"/>
          <w:vanish/>
          <w:rtl/>
        </w:rPr>
        <w:t>-</w:t>
      </w:r>
      <w:r>
        <w:rPr>
          <w:rFonts w:hint="cs"/>
          <w:rtl/>
        </w:rPr>
        <w:t xml:space="preserve"> </w:t>
      </w:r>
      <w:r w:rsidRPr="00A3054F">
        <w:rPr>
          <w:rStyle w:val="af2"/>
          <w:rFonts w:eastAsia="Guttman Hodes" w:hint="cs"/>
          <w:rtl/>
        </w:rPr>
        <w:t>(פא: ד"ה חייב)</w:t>
      </w:r>
      <w:r w:rsidRPr="008D113A">
        <w:rPr>
          <w:rFonts w:hint="cs"/>
          <w:vanish/>
          <w:rtl/>
        </w:rPr>
        <w:t>=</w:t>
      </w:r>
      <w:r>
        <w:rPr>
          <w:rFonts w:hint="cs"/>
          <w:rtl/>
        </w:rPr>
        <w:t xml:space="preserve"> דהוא תולש כיון דע"ג היתדות הפרפיסא אינו נהנה מהריח של הקרקע, וכתב </w:t>
      </w:r>
      <w:r w:rsidRPr="008D113A">
        <w:rPr>
          <w:rStyle w:val="aff4"/>
          <w:rFonts w:hint="cs"/>
          <w:vanish/>
          <w:rtl/>
        </w:rPr>
        <w:t>-</w:t>
      </w:r>
      <w:r w:rsidRPr="000614F7">
        <w:rPr>
          <w:rStyle w:val="aff4"/>
          <w:rFonts w:hint="cs"/>
          <w:rtl/>
        </w:rPr>
        <w:t>רש"י</w:t>
      </w:r>
      <w:r w:rsidRPr="008D113A">
        <w:rPr>
          <w:rStyle w:val="aff4"/>
          <w:rFonts w:hint="cs"/>
          <w:vanish/>
          <w:rtl/>
        </w:rPr>
        <w:t>-</w:t>
      </w:r>
      <w:bookmarkEnd w:id="1083"/>
      <w:r>
        <w:rPr>
          <w:rFonts w:hint="cs"/>
          <w:rtl/>
        </w:rPr>
        <w:t xml:space="preserve"> דנראה דהא דאמר אביי דחייב הוא לאו דוקא, והכוונה דאסור לעשות כן, כיון דהוא דומה לתולש, וכתב </w:t>
      </w:r>
      <w:r w:rsidRPr="008D113A">
        <w:rPr>
          <w:rStyle w:val="aff4"/>
          <w:rFonts w:hint="cs"/>
          <w:vanish/>
          <w:rtl/>
        </w:rPr>
        <w:t>-</w:t>
      </w:r>
      <w:r w:rsidRPr="000614F7">
        <w:rPr>
          <w:rStyle w:val="aff4"/>
          <w:rFonts w:hint="cs"/>
          <w:rtl/>
        </w:rPr>
        <w:t>רש"י</w:t>
      </w:r>
      <w:r w:rsidRPr="008D113A">
        <w:rPr>
          <w:rStyle w:val="aff4"/>
          <w:rFonts w:hint="cs"/>
          <w:vanish/>
          <w:rtl/>
        </w:rPr>
        <w:t>-</w:t>
      </w:r>
      <w:r>
        <w:rPr>
          <w:rFonts w:hint="cs"/>
          <w:rtl/>
        </w:rPr>
        <w:t xml:space="preserve"> דאי כוונת אביי לומר דהוא חייב ממש, היאך התירו רבנן איסור כרת וסקילה משום </w:t>
      </w:r>
      <w:r>
        <w:rPr>
          <w:rFonts w:hint="cs"/>
          <w:rtl/>
        </w:rPr>
        <w:lastRenderedPageBreak/>
        <w:t xml:space="preserve">קינוח. </w:t>
      </w:r>
      <w:r w:rsidRPr="003E0220">
        <w:rPr>
          <w:rStyle w:val="af"/>
          <w:rFonts w:hint="cs"/>
          <w:rtl/>
        </w:rPr>
        <w:t xml:space="preserve">[וכתב </w:t>
      </w:r>
      <w:r w:rsidRPr="00735214">
        <w:rPr>
          <w:rStyle w:val="aff9"/>
          <w:rFonts w:hint="cs"/>
          <w:vanish/>
          <w:rtl/>
        </w:rPr>
        <w:t>-</w:t>
      </w:r>
      <w:r w:rsidRPr="003E0220">
        <w:rPr>
          <w:rStyle w:val="aff9"/>
          <w:rFonts w:hint="cs"/>
          <w:rtl/>
        </w:rPr>
        <w:t>רש"י</w:t>
      </w:r>
      <w:r w:rsidRPr="00735214">
        <w:rPr>
          <w:rStyle w:val="aff9"/>
          <w:rFonts w:hint="cs"/>
          <w:vanish/>
          <w:rtl/>
        </w:rPr>
        <w:t>-</w:t>
      </w:r>
      <w:r w:rsidRPr="003E0220">
        <w:rPr>
          <w:rStyle w:val="af"/>
          <w:rFonts w:hint="cs"/>
          <w:rtl/>
        </w:rPr>
        <w:t xml:space="preserve"> דכעי"ז איתא בגמ' בסנהדרין </w:t>
      </w:r>
      <w:r w:rsidRPr="003E0220">
        <w:rPr>
          <w:rStyle w:val="aff0"/>
          <w:rFonts w:hint="cs"/>
          <w:rtl/>
        </w:rPr>
        <w:t>(פב.)</w:t>
      </w:r>
      <w:r w:rsidRPr="003E0220">
        <w:rPr>
          <w:rStyle w:val="af"/>
          <w:rFonts w:hint="cs"/>
          <w:rtl/>
        </w:rPr>
        <w:t xml:space="preserve"> דהבא על הכותית חייב משום נשג"ז, ואינו מדאו' אלא מדרבנן</w:t>
      </w:r>
      <w:r w:rsidRPr="00735214">
        <w:rPr>
          <w:rStyle w:val="af"/>
          <w:rFonts w:hint="cs"/>
          <w:rtl/>
        </w:rPr>
        <w:t>].</w:t>
      </w:r>
      <w:bookmarkEnd w:id="1084"/>
    </w:p>
    <w:p w14:paraId="5BA9EA13" w14:textId="77777777" w:rsidR="00D31714" w:rsidRPr="00747170" w:rsidRDefault="00D31714" w:rsidP="00747170">
      <w:pPr>
        <w:pStyle w:val="a2"/>
        <w:rPr>
          <w:rtl/>
        </w:rPr>
      </w:pPr>
      <w:r w:rsidRPr="00747170">
        <w:rPr>
          <w:rtl/>
        </w:rPr>
        <w:t>חייב משום תולש - דאינו נהנה שוב מריח הקרקע, ולי נראה דהאי חייב לאו דווקא, אלא אסור משום דדמי לתולש, דאי חייב ממש קאמר, לצורך היכי שרי רבנן איסור כרת וסקילה משום קינוח, ודומה לו במסכת סנהדרין (פב, א): הבא על הכותית חייב משום נשג"ז, דלאו מדאורייתא היא, אלא מדרבנן.</w:t>
      </w:r>
    </w:p>
    <w:p w14:paraId="2085C4EE" w14:textId="77777777" w:rsidR="00D31714" w:rsidRPr="00B66C3B" w:rsidRDefault="00D31714" w:rsidP="00D31714">
      <w:pPr>
        <w:pStyle w:val="afffff7"/>
        <w:rPr>
          <w:rtl/>
        </w:rPr>
      </w:pPr>
      <w:bookmarkStart w:id="1085" w:name="_Toc135513718"/>
      <w:bookmarkStart w:id="1086" w:name="_Toc135670250"/>
      <w:bookmarkStart w:id="1087" w:name="_Toc163505551"/>
      <w:r w:rsidRPr="00B66C3B">
        <w:rPr>
          <w:rtl/>
        </w:rPr>
        <w:t>תוספות שבת פ"א ע"ב</w:t>
      </w:r>
      <w:r w:rsidRPr="00B66C3B">
        <w:rPr>
          <w:rFonts w:hint="cs"/>
          <w:rtl/>
        </w:rPr>
        <w:t xml:space="preserve"> ד"ה והניחו</w:t>
      </w:r>
      <w:bookmarkEnd w:id="1085"/>
      <w:bookmarkEnd w:id="1086"/>
      <w:bookmarkEnd w:id="1087"/>
    </w:p>
    <w:p w14:paraId="46E092C3" w14:textId="77777777" w:rsidR="00D31714" w:rsidRPr="00B66C3B" w:rsidRDefault="00D31714" w:rsidP="00D31714">
      <w:pPr>
        <w:pStyle w:val="afffff7"/>
        <w:rPr>
          <w:rtl/>
        </w:rPr>
      </w:pPr>
      <w:bookmarkStart w:id="1088" w:name="_Toc135513719"/>
      <w:bookmarkStart w:id="1089" w:name="_Toc135670251"/>
      <w:bookmarkStart w:id="1090" w:name="_Toc135513559"/>
      <w:bookmarkStart w:id="1091" w:name="_Toc135669963"/>
      <w:bookmarkStart w:id="1092" w:name="_Toc163505552"/>
      <w:r w:rsidRPr="00B66C3B">
        <w:rPr>
          <w:rtl/>
        </w:rPr>
        <w:t>חדושי הריטב"א שבת פ"א ע"ב</w:t>
      </w:r>
      <w:r w:rsidRPr="00B66C3B">
        <w:rPr>
          <w:rFonts w:hint="cs"/>
          <w:rtl/>
        </w:rPr>
        <w:t xml:space="preserve"> ד"ה היה</w:t>
      </w:r>
      <w:bookmarkEnd w:id="1088"/>
      <w:bookmarkEnd w:id="1089"/>
      <w:bookmarkEnd w:id="1092"/>
    </w:p>
    <w:p w14:paraId="306B1470" w14:textId="77777777" w:rsidR="00D31714" w:rsidRPr="00B66C3B" w:rsidRDefault="00D31714" w:rsidP="00D31714">
      <w:pPr>
        <w:pStyle w:val="a7"/>
        <w:rPr>
          <w:rtl/>
        </w:rPr>
      </w:pPr>
      <w:r>
        <w:rPr>
          <w:rFonts w:hint="cs"/>
          <w:rtl/>
        </w:rPr>
        <w:t>בי' התוס' דאיסור הגבהת צרור מהקרקע דרבנן והגמ' לקמן פליגא על הגמ' בגיטין דהוא כמחובר</w:t>
      </w:r>
      <w:bookmarkEnd w:id="1090"/>
      <w:bookmarkEnd w:id="1091"/>
    </w:p>
    <w:p w14:paraId="16FBDF1D" w14:textId="58208871" w:rsidR="00D31714" w:rsidRDefault="00D31714" w:rsidP="00BC7DC8">
      <w:pPr>
        <w:pStyle w:val="a3"/>
        <w:rPr>
          <w:rtl/>
        </w:rPr>
      </w:pPr>
      <w:bookmarkStart w:id="1093" w:name="_Ref134954812"/>
      <w:bookmarkStart w:id="1094" w:name="_Ref135383793"/>
      <w:r w:rsidRPr="00B66C3B">
        <w:rPr>
          <w:rFonts w:hint="cs"/>
          <w:rtl/>
        </w:rPr>
        <w:t xml:space="preserve">וכ"כ </w:t>
      </w:r>
      <w:r w:rsidRPr="005568F7">
        <w:rPr>
          <w:rStyle w:val="aff4"/>
          <w:rFonts w:hint="cs"/>
          <w:vanish/>
          <w:rtl/>
        </w:rPr>
        <w:t>-</w:t>
      </w:r>
      <w:r w:rsidRPr="009B386D">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Ref134954812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לז)</w:t>
      </w:r>
      <w:r w:rsidRPr="00B53404">
        <w:rPr>
          <w:rStyle w:val="aff4"/>
          <w:vanish/>
          <w:rtl/>
        </w:rPr>
        <w:fldChar w:fldCharType="end"/>
      </w:r>
      <w:r w:rsidRPr="00B53404">
        <w:rPr>
          <w:rStyle w:val="aff4"/>
          <w:rFonts w:hint="cs"/>
          <w:vanish/>
          <w:rtl/>
        </w:rPr>
        <w:t xml:space="preserve"> &gt;</w:t>
      </w:r>
      <w:r w:rsidRPr="009B386D">
        <w:rPr>
          <w:rStyle w:val="aff4"/>
          <w:rFonts w:hint="cs"/>
          <w:rtl/>
        </w:rPr>
        <w:t>תוס' לקמן</w:t>
      </w:r>
      <w:r w:rsidRPr="005568F7">
        <w:rPr>
          <w:rStyle w:val="aff4"/>
          <w:rFonts w:hint="cs"/>
          <w:vanish/>
          <w:rtl/>
        </w:rPr>
        <w:t>-</w:t>
      </w:r>
      <w:r w:rsidRPr="00B66C3B">
        <w:rPr>
          <w:rFonts w:hint="cs"/>
          <w:rtl/>
        </w:rPr>
        <w:t xml:space="preserve"> </w:t>
      </w:r>
      <w:r w:rsidRPr="00A3054F">
        <w:rPr>
          <w:rStyle w:val="af2"/>
          <w:rFonts w:eastAsia="Guttman Hodes" w:hint="cs"/>
          <w:rtl/>
        </w:rPr>
        <w:t>(פא: ד"ה והניחו)</w:t>
      </w:r>
      <w:r w:rsidRPr="005568F7">
        <w:rPr>
          <w:rFonts w:hint="cs"/>
          <w:vanish/>
          <w:rtl/>
        </w:rPr>
        <w:t>=</w:t>
      </w:r>
      <w:r w:rsidRPr="00B66C3B">
        <w:rPr>
          <w:rFonts w:hint="cs"/>
          <w:rtl/>
        </w:rPr>
        <w:t xml:space="preserve"> דהא דאמר אביי דחייב משום תולש, היינו מכת מרדות דרבנן, וכדביאר </w:t>
      </w:r>
      <w:r w:rsidRPr="005568F7">
        <w:rPr>
          <w:rStyle w:val="aff4"/>
          <w:rFonts w:hint="cs"/>
          <w:vanish/>
          <w:rtl/>
        </w:rPr>
        <w:t>-</w:t>
      </w:r>
      <w:r w:rsidRPr="009B386D">
        <w:rPr>
          <w:rStyle w:val="aff4"/>
          <w:rFonts w:hint="cs"/>
          <w:rtl/>
        </w:rPr>
        <w:t>רש"י</w:t>
      </w:r>
      <w:r w:rsidRPr="005568F7">
        <w:rPr>
          <w:rStyle w:val="aff4"/>
          <w:rFonts w:hint="cs"/>
          <w:vanish/>
          <w:rtl/>
        </w:rPr>
        <w:t>-</w:t>
      </w:r>
      <w:r w:rsidRPr="00B66C3B">
        <w:rPr>
          <w:rFonts w:hint="cs"/>
          <w:rtl/>
        </w:rPr>
        <w:t xml:space="preserve"> </w:t>
      </w:r>
      <w:r w:rsidRPr="00A3054F">
        <w:rPr>
          <w:rStyle w:val="af2"/>
          <w:rFonts w:eastAsia="Guttman Hodes" w:hint="cs"/>
          <w:rtl/>
        </w:rPr>
        <w:t xml:space="preserve">(עי' אות </w:t>
      </w:r>
      <w:r w:rsidRPr="00A3054F">
        <w:rPr>
          <w:rStyle w:val="af2"/>
          <w:rFonts w:eastAsia="Guttman Hodes"/>
          <w:rtl/>
        </w:rPr>
        <w:fldChar w:fldCharType="begin"/>
      </w:r>
      <w:r w:rsidRPr="00A3054F">
        <w:rPr>
          <w:rStyle w:val="af2"/>
          <w:rFonts w:eastAsia="Guttman Hodes"/>
          <w:rtl/>
        </w:rPr>
        <w:instrText xml:space="preserve"> </w:instrText>
      </w:r>
      <w:r w:rsidRPr="00A3054F">
        <w:rPr>
          <w:rStyle w:val="af2"/>
          <w:rFonts w:eastAsia="Guttman Hodes" w:hint="cs"/>
        </w:rPr>
        <w:instrText>REF</w:instrText>
      </w:r>
      <w:r w:rsidRPr="00A3054F">
        <w:rPr>
          <w:rStyle w:val="af2"/>
          <w:rFonts w:eastAsia="Guttman Hodes" w:hint="cs"/>
          <w:rtl/>
        </w:rPr>
        <w:instrText xml:space="preserve"> _</w:instrText>
      </w:r>
      <w:r w:rsidRPr="00A3054F">
        <w:rPr>
          <w:rStyle w:val="af2"/>
          <w:rFonts w:eastAsia="Guttman Hodes" w:hint="cs"/>
        </w:rPr>
        <w:instrText>Ref134956345 \r \h</w:instrText>
      </w:r>
      <w:r w:rsidRPr="00A3054F">
        <w:rPr>
          <w:rStyle w:val="af2"/>
          <w:rFonts w:eastAsia="Guttman Hodes"/>
          <w:rtl/>
        </w:rPr>
        <w:instrText xml:space="preserve"> </w:instrText>
      </w:r>
      <w:r w:rsidRPr="00A3054F">
        <w:rPr>
          <w:rStyle w:val="af2"/>
          <w:rFonts w:eastAsia="Guttman Hodes"/>
          <w:rtl/>
        </w:rPr>
      </w:r>
      <w:r w:rsidRPr="00A3054F">
        <w:rPr>
          <w:rStyle w:val="af2"/>
          <w:rFonts w:eastAsia="Guttman Hodes"/>
          <w:rtl/>
        </w:rPr>
        <w:fldChar w:fldCharType="separate"/>
      </w:r>
      <w:r w:rsidR="00D82181">
        <w:rPr>
          <w:rStyle w:val="af2"/>
          <w:rFonts w:eastAsia="Guttman Hodes"/>
          <w:cs/>
        </w:rPr>
        <w:t>‎</w:t>
      </w:r>
      <w:r w:rsidR="00D82181">
        <w:rPr>
          <w:rStyle w:val="af2"/>
          <w:rFonts w:eastAsia="Guttman Hodes"/>
          <w:rtl/>
        </w:rPr>
        <w:t>לו)</w:t>
      </w:r>
      <w:r w:rsidRPr="00A3054F">
        <w:rPr>
          <w:rStyle w:val="af2"/>
          <w:rFonts w:eastAsia="Guttman Hodes"/>
          <w:rtl/>
        </w:rPr>
        <w:fldChar w:fldCharType="end"/>
      </w:r>
      <w:r w:rsidRPr="00B66C3B">
        <w:rPr>
          <w:rFonts w:hint="cs"/>
          <w:rtl/>
        </w:rPr>
        <w:t xml:space="preserve"> דכן מוכח מהא דהתיר ר"ל לקנח בצרור, אך הקשה </w:t>
      </w:r>
      <w:r w:rsidRPr="005568F7">
        <w:rPr>
          <w:rStyle w:val="aff4"/>
          <w:rFonts w:hint="cs"/>
          <w:vanish/>
          <w:rtl/>
        </w:rPr>
        <w:t>-</w:t>
      </w:r>
      <w:r w:rsidRPr="009B386D">
        <w:rPr>
          <w:rStyle w:val="aff4"/>
          <w:rFonts w:hint="cs"/>
          <w:rtl/>
        </w:rPr>
        <w:t>ר"י בתוס'</w:t>
      </w:r>
      <w:r w:rsidRPr="005568F7">
        <w:rPr>
          <w:rStyle w:val="aff4"/>
          <w:rFonts w:hint="cs"/>
          <w:vanish/>
          <w:rtl/>
        </w:rPr>
        <w:t>-</w:t>
      </w:r>
      <w:r w:rsidRPr="00B66C3B">
        <w:rPr>
          <w:rFonts w:hint="cs"/>
          <w:rtl/>
        </w:rPr>
        <w:t xml:space="preserve"> דהא ריו"ח בגמ' בגיטין </w:t>
      </w:r>
      <w:r w:rsidRPr="00A3054F">
        <w:rPr>
          <w:rStyle w:val="af2"/>
          <w:rFonts w:eastAsia="Guttman Hodes" w:hint="cs"/>
          <w:rtl/>
        </w:rPr>
        <w:t>(ז:)</w:t>
      </w:r>
      <w:r w:rsidRPr="00B66C3B">
        <w:rPr>
          <w:rFonts w:hint="cs"/>
          <w:rtl/>
        </w:rPr>
        <w:t xml:space="preserve"> אמר דעציץ נקוב שמונח ע"ג יתדות נחלקו בו ר"י ורבנן לענין חיוב מעשרות בספינה גוששת, דלרבנן חייב בעציץ שאינו נקוב, ודחה רבא דבעציץ שמפסיק אוירא בינו לקרקע, אף רבנן מודו דמותר, וא"כ היאך אפש"ל דמבואר בסוגיין דנטלו מע"ג קרקע והניח ע"ג יתדות, הוא תולש רק מדרבנן, ותירץ </w:t>
      </w:r>
      <w:r w:rsidRPr="005568F7">
        <w:rPr>
          <w:rStyle w:val="aff4"/>
          <w:rFonts w:hint="cs"/>
          <w:vanish/>
          <w:rtl/>
        </w:rPr>
        <w:t>-</w:t>
      </w:r>
      <w:r w:rsidRPr="009B386D">
        <w:rPr>
          <w:rStyle w:val="aff4"/>
          <w:rFonts w:hint="cs"/>
          <w:rtl/>
        </w:rPr>
        <w:t>ר"י בתוס'</w:t>
      </w:r>
      <w:r w:rsidRPr="005568F7">
        <w:rPr>
          <w:rStyle w:val="aff4"/>
          <w:rFonts w:hint="cs"/>
          <w:vanish/>
          <w:rtl/>
        </w:rPr>
        <w:t>-</w:t>
      </w:r>
      <w:r w:rsidRPr="00B66C3B">
        <w:rPr>
          <w:rFonts w:hint="cs"/>
          <w:rtl/>
        </w:rPr>
        <w:t xml:space="preserve"> דהגמ' בסוגיין לא ס"ל כתירוץ רבא בגמ' בגיטין, אלא כדעת ריו"ח, וכ"כ </w:t>
      </w:r>
      <w:r w:rsidRPr="005568F7">
        <w:rPr>
          <w:rStyle w:val="aff4"/>
          <w:rFonts w:hint="cs"/>
          <w:vanish/>
          <w:rtl/>
        </w:rPr>
        <w:t>-</w:t>
      </w:r>
      <w:r w:rsidRPr="009B386D">
        <w:rPr>
          <w:rStyle w:val="aff4"/>
          <w:rFonts w:hint="cs"/>
          <w:rtl/>
        </w:rPr>
        <w:t>ה</w:t>
      </w:r>
      <w:r w:rsidRPr="00B53404">
        <w:rPr>
          <w:rStyle w:val="aff4"/>
          <w:rFonts w:hint="cs"/>
          <w:vanish/>
          <w:rtl/>
        </w:rPr>
        <w:t>&lt; &gt;</w:t>
      </w:r>
      <w:r w:rsidRPr="009B386D">
        <w:rPr>
          <w:rStyle w:val="aff4"/>
          <w:rFonts w:hint="cs"/>
          <w:rtl/>
        </w:rPr>
        <w:t>ריטב"א לקמן</w:t>
      </w:r>
      <w:r w:rsidRPr="005568F7">
        <w:rPr>
          <w:rStyle w:val="aff4"/>
          <w:rFonts w:hint="cs"/>
          <w:vanish/>
          <w:rtl/>
        </w:rPr>
        <w:t>-</w:t>
      </w:r>
      <w:r w:rsidRPr="00B66C3B">
        <w:rPr>
          <w:rFonts w:hint="cs"/>
          <w:rtl/>
        </w:rPr>
        <w:t xml:space="preserve"> </w:t>
      </w:r>
      <w:r w:rsidRPr="00A3054F">
        <w:rPr>
          <w:rStyle w:val="af2"/>
          <w:rFonts w:eastAsia="Guttman Hodes" w:hint="cs"/>
          <w:rtl/>
        </w:rPr>
        <w:t>(פא: ד"ה היה)</w:t>
      </w:r>
      <w:r w:rsidRPr="005568F7">
        <w:rPr>
          <w:rFonts w:hint="cs"/>
          <w:vanish/>
          <w:rtl/>
        </w:rPr>
        <w:t>=</w:t>
      </w:r>
      <w:r w:rsidRPr="00B66C3B">
        <w:rPr>
          <w:rFonts w:hint="cs"/>
          <w:rtl/>
        </w:rPr>
        <w:t xml:space="preserve"> בשם </w:t>
      </w:r>
      <w:r w:rsidRPr="005568F7">
        <w:rPr>
          <w:rStyle w:val="aff4"/>
          <w:rFonts w:hint="cs"/>
          <w:vanish/>
          <w:rtl/>
        </w:rPr>
        <w:t>-</w:t>
      </w:r>
      <w:r w:rsidRPr="009B386D">
        <w:rPr>
          <w:rStyle w:val="aff4"/>
          <w:rFonts w:hint="cs"/>
          <w:rtl/>
        </w:rPr>
        <w:t>תוס'</w:t>
      </w:r>
      <w:r w:rsidRPr="005568F7">
        <w:rPr>
          <w:rStyle w:val="aff4"/>
          <w:rFonts w:hint="cs"/>
          <w:vanish/>
          <w:rtl/>
        </w:rPr>
        <w:t>-</w:t>
      </w:r>
      <w:r w:rsidRPr="00B66C3B">
        <w:rPr>
          <w:rFonts w:hint="cs"/>
          <w:rtl/>
        </w:rPr>
        <w:t xml:space="preserve"> דאביי ס"ל דתירוץ רבא בגמ' בגיטין הוא דיחוי בעלמא.</w:t>
      </w:r>
      <w:bookmarkEnd w:id="1093"/>
      <w:r w:rsidRPr="005568F7">
        <w:rPr>
          <w:rFonts w:hint="cs"/>
          <w:rtl/>
        </w:rPr>
        <w:t xml:space="preserve"> </w:t>
      </w:r>
      <w:r w:rsidRPr="003E0220">
        <w:rPr>
          <w:rStyle w:val="af"/>
          <w:rFonts w:hint="cs"/>
          <w:rtl/>
        </w:rPr>
        <w:t xml:space="preserve">[וע"ע במה שביאר </w:t>
      </w:r>
      <w:r w:rsidRPr="00735214">
        <w:rPr>
          <w:rStyle w:val="aff9"/>
          <w:rFonts w:hint="cs"/>
          <w:vanish/>
          <w:rtl/>
        </w:rPr>
        <w:t>-</w:t>
      </w:r>
      <w:r w:rsidRPr="003E0220">
        <w:rPr>
          <w:rStyle w:val="aff9"/>
          <w:rFonts w:hint="cs"/>
          <w:rtl/>
        </w:rPr>
        <w:t>ה</w:t>
      </w:r>
      <w:r w:rsidRPr="00735214">
        <w:rPr>
          <w:rStyle w:val="aff9"/>
          <w:rFonts w:hint="cs"/>
          <w:vanish/>
          <w:rtl/>
        </w:rPr>
        <w:t>&lt; &gt;</w:t>
      </w:r>
      <w:r w:rsidRPr="003E0220">
        <w:rPr>
          <w:rStyle w:val="aff9"/>
          <w:rFonts w:hint="cs"/>
          <w:rtl/>
        </w:rPr>
        <w:t>אפיקי ים</w:t>
      </w:r>
      <w:r w:rsidRPr="00735214">
        <w:rPr>
          <w:rStyle w:val="aff9"/>
          <w:rFonts w:hint="cs"/>
          <w:vanish/>
          <w:rtl/>
        </w:rPr>
        <w:t>-</w:t>
      </w:r>
      <w:r w:rsidRPr="003E0220">
        <w:rPr>
          <w:rStyle w:val="af"/>
          <w:rFonts w:hint="cs"/>
          <w:rtl/>
        </w:rPr>
        <w:t xml:space="preserve"> </w:t>
      </w:r>
      <w:r w:rsidRPr="003E0220">
        <w:rPr>
          <w:rStyle w:val="aff0"/>
          <w:rFonts w:hint="cs"/>
          <w:rtl/>
        </w:rPr>
        <w:t>(ח"ב סי' מ"ג ד"ה והנלע"ד עוד בזה)</w:t>
      </w:r>
      <w:r w:rsidRPr="00735214">
        <w:rPr>
          <w:rStyle w:val="af"/>
          <w:rFonts w:hint="cs"/>
          <w:vanish/>
          <w:rtl/>
        </w:rPr>
        <w:t>=</w:t>
      </w:r>
      <w:r w:rsidRPr="003E0220">
        <w:rPr>
          <w:rStyle w:val="af"/>
          <w:rFonts w:hint="cs"/>
          <w:rtl/>
        </w:rPr>
        <w:t xml:space="preserve"> בדברי </w:t>
      </w:r>
      <w:r w:rsidRPr="00735214">
        <w:rPr>
          <w:rStyle w:val="aff9"/>
          <w:rFonts w:hint="cs"/>
          <w:vanish/>
          <w:rtl/>
        </w:rPr>
        <w:t>-</w:t>
      </w:r>
      <w:r w:rsidRPr="003E0220">
        <w:rPr>
          <w:rStyle w:val="aff9"/>
          <w:rFonts w:hint="cs"/>
          <w:rtl/>
        </w:rPr>
        <w:t>התוס'</w:t>
      </w:r>
      <w:r w:rsidRPr="00735214">
        <w:rPr>
          <w:rStyle w:val="aff9"/>
          <w:rFonts w:hint="cs"/>
          <w:vanish/>
          <w:rtl/>
        </w:rPr>
        <w:t>-</w:t>
      </w:r>
      <w:r w:rsidRPr="00735214">
        <w:rPr>
          <w:rStyle w:val="af"/>
          <w:rFonts w:hint="cs"/>
          <w:rtl/>
        </w:rPr>
        <w:t>].</w:t>
      </w:r>
      <w:bookmarkEnd w:id="1094"/>
    </w:p>
    <w:p w14:paraId="57AB0784" w14:textId="77777777" w:rsidR="00D31714" w:rsidRPr="00747170" w:rsidRDefault="00D31714" w:rsidP="00747170">
      <w:pPr>
        <w:pStyle w:val="a2"/>
      </w:pPr>
      <w:r w:rsidRPr="00747170">
        <w:rPr>
          <w:rtl/>
        </w:rPr>
        <w:t>והניחו ע"ג יתדות מיחייב משום תולש - האי מיחייב מכת מרדות מדרבנן כדפירש בקונטרס מדשרי ריש לקיש וקשה לר"י דאמרי' בפ"ק דגיטין (דף ז:) א"ר יוחנן עציץ נקוב המונח ע"ג יתדות באנו למחלוקת ר"י ורבנן דלר"י פטור מן המעשר כדמפליג בין ספינה גוששת לשאינה גוששת ולרבנן חייב אמר רבא דילמא לא היא ע"כ לא קאמרי רבנן אלא דספינה דלא מפסיק אויר אבל עציץ דמיפסיק אוירא אפילו רבנן מודו הא בשמעתין חשבינן ליה כמחובר מדאורייתא אפי' הניחו על גבי יתדות ולא מיחייב משום תולש אלא מדרבנן ונראה לר"י דשמעתין לא סברא דחויא דרבא דהתם.</w:t>
      </w:r>
    </w:p>
    <w:p w14:paraId="574C44B1" w14:textId="77777777" w:rsidR="00D31714" w:rsidRPr="0074537A" w:rsidRDefault="00D31714" w:rsidP="00747170">
      <w:pPr>
        <w:pStyle w:val="afffff5"/>
        <w:rPr>
          <w:rtl/>
        </w:rPr>
      </w:pPr>
      <w:r w:rsidRPr="0074537A">
        <w:rPr>
          <w:rtl/>
        </w:rPr>
        <w:t>תירצו בתוספות דאביי סבר דההיא דיחויא בעלמא הוא ולא סמכינן עליה, ובמקומו הארכתי בס"ד.</w:t>
      </w:r>
    </w:p>
    <w:p w14:paraId="23F4302A" w14:textId="77777777" w:rsidR="00D31714" w:rsidRDefault="00D31714" w:rsidP="00D31714">
      <w:pPr>
        <w:pStyle w:val="1"/>
        <w:rPr>
          <w:rtl/>
        </w:rPr>
      </w:pPr>
      <w:bookmarkStart w:id="1095" w:name="_Toc135513563"/>
      <w:bookmarkStart w:id="1096" w:name="_Toc135669964"/>
      <w:bookmarkStart w:id="1097" w:name="_Toc135212135"/>
      <w:bookmarkEnd w:id="1073"/>
      <w:r>
        <w:rPr>
          <w:rFonts w:hint="cs"/>
          <w:rtl/>
        </w:rPr>
        <w:t>בי' המאירי דהעציץ יונק רק ע"ג הקרקע ולא ע"ג היתדות</w:t>
      </w:r>
      <w:bookmarkEnd w:id="1095"/>
      <w:bookmarkEnd w:id="1096"/>
    </w:p>
    <w:p w14:paraId="69E88A61" w14:textId="77777777" w:rsidR="00D31714" w:rsidRDefault="00D31714" w:rsidP="00D31714">
      <w:pPr>
        <w:pStyle w:val="afffff7"/>
        <w:rPr>
          <w:rtl/>
        </w:rPr>
      </w:pPr>
      <w:bookmarkStart w:id="1098" w:name="_Toc135513722"/>
      <w:bookmarkStart w:id="1099" w:name="_Toc135670252"/>
      <w:bookmarkStart w:id="1100" w:name="_Toc163505553"/>
      <w:r>
        <w:rPr>
          <w:rtl/>
        </w:rPr>
        <w:t>מאירי שבת פ"א ע"ב</w:t>
      </w:r>
      <w:r>
        <w:rPr>
          <w:rFonts w:hint="cs"/>
          <w:rtl/>
        </w:rPr>
        <w:t xml:space="preserve"> ד"ה זה שהתרנו</w:t>
      </w:r>
      <w:bookmarkEnd w:id="1098"/>
      <w:bookmarkEnd w:id="1099"/>
      <w:bookmarkEnd w:id="1100"/>
    </w:p>
    <w:p w14:paraId="1911A440" w14:textId="77777777" w:rsidR="00D31714" w:rsidRDefault="00D31714" w:rsidP="00D31714">
      <w:pPr>
        <w:pStyle w:val="a7"/>
        <w:rPr>
          <w:rtl/>
        </w:rPr>
      </w:pPr>
      <w:bookmarkStart w:id="1101" w:name="_Toc135513564"/>
      <w:bookmarkStart w:id="1102" w:name="_Toc135669965"/>
      <w:r>
        <w:rPr>
          <w:rFonts w:hint="cs"/>
          <w:rtl/>
        </w:rPr>
        <w:t>בי' המאירי דרק בקרקע העציץ יונק ולא ע"ג יתדות והוי תולש ונוטע אך נר' כרש"י דהוא דרבנן</w:t>
      </w:r>
      <w:bookmarkEnd w:id="1101"/>
      <w:bookmarkEnd w:id="1102"/>
    </w:p>
    <w:p w14:paraId="54D6EC23" w14:textId="3EB11EF1" w:rsidR="00D31714" w:rsidRPr="001179C1" w:rsidRDefault="00D31714" w:rsidP="00BC7DC8">
      <w:pPr>
        <w:pStyle w:val="a3"/>
        <w:rPr>
          <w:rtl/>
        </w:rPr>
      </w:pPr>
      <w:bookmarkStart w:id="1103" w:name="_Ref135067489"/>
      <w:bookmarkStart w:id="1104" w:name="_Ref135339012"/>
      <w:r>
        <w:rPr>
          <w:rFonts w:hint="cs"/>
          <w:rtl/>
        </w:rPr>
        <w:t xml:space="preserve">כתב </w:t>
      </w:r>
      <w:r w:rsidRPr="00DE1AA0">
        <w:rPr>
          <w:rStyle w:val="aff4"/>
          <w:rFonts w:hint="cs"/>
          <w:vanish/>
          <w:rtl/>
        </w:rPr>
        <w:t>-</w:t>
      </w:r>
      <w:r w:rsidRPr="00DB6BF0">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Ref135067489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לח)</w:t>
      </w:r>
      <w:r w:rsidRPr="00B53404">
        <w:rPr>
          <w:rStyle w:val="aff4"/>
          <w:vanish/>
          <w:rtl/>
        </w:rPr>
        <w:fldChar w:fldCharType="end"/>
      </w:r>
      <w:r w:rsidRPr="00B53404">
        <w:rPr>
          <w:rStyle w:val="aff4"/>
          <w:rFonts w:hint="cs"/>
          <w:vanish/>
          <w:rtl/>
        </w:rPr>
        <w:t xml:space="preserve"> &gt;</w:t>
      </w:r>
      <w:r w:rsidRPr="00DB6BF0">
        <w:rPr>
          <w:rStyle w:val="aff4"/>
          <w:rFonts w:hint="cs"/>
          <w:rtl/>
        </w:rPr>
        <w:t>מאירי לקמן</w:t>
      </w:r>
      <w:r w:rsidRPr="00DE1AA0">
        <w:rPr>
          <w:rStyle w:val="aff4"/>
          <w:rFonts w:hint="cs"/>
          <w:vanish/>
          <w:rtl/>
        </w:rPr>
        <w:t>-</w:t>
      </w:r>
      <w:r>
        <w:rPr>
          <w:rFonts w:hint="cs"/>
          <w:rtl/>
        </w:rPr>
        <w:t xml:space="preserve"> </w:t>
      </w:r>
      <w:r w:rsidRPr="00A3054F">
        <w:rPr>
          <w:rStyle w:val="af2"/>
          <w:rFonts w:eastAsia="Guttman Hodes" w:hint="cs"/>
          <w:rtl/>
        </w:rPr>
        <w:t>(פא: ד"ה זה שהתרנו)</w:t>
      </w:r>
      <w:r w:rsidRPr="00DE1AA0">
        <w:rPr>
          <w:rFonts w:hint="cs"/>
          <w:vanish/>
          <w:rtl/>
        </w:rPr>
        <w:t>=</w:t>
      </w:r>
      <w:r>
        <w:rPr>
          <w:rFonts w:hint="cs"/>
          <w:rtl/>
        </w:rPr>
        <w:t xml:space="preserve"> דההיתר לקנח בצרור הוא רק משום כבוד הבריות, אבל שלא לצורך אסור לטלטל את העציץ הנקוב מע"ג הקרקע, כיון שהוא יונק מהקרקע, וכתב </w:t>
      </w:r>
      <w:r w:rsidRPr="00DE1AA0">
        <w:rPr>
          <w:rStyle w:val="aff4"/>
          <w:rFonts w:hint="cs"/>
          <w:vanish/>
          <w:rtl/>
        </w:rPr>
        <w:t>-</w:t>
      </w:r>
      <w:r w:rsidRPr="00DB6BF0">
        <w:rPr>
          <w:rStyle w:val="aff4"/>
          <w:rFonts w:hint="cs"/>
          <w:rtl/>
        </w:rPr>
        <w:t>המאירי</w:t>
      </w:r>
      <w:r w:rsidRPr="00DE1AA0">
        <w:rPr>
          <w:rStyle w:val="aff4"/>
          <w:rFonts w:hint="cs"/>
          <w:vanish/>
          <w:rtl/>
        </w:rPr>
        <w:t>-</w:t>
      </w:r>
      <w:r>
        <w:rPr>
          <w:rFonts w:hint="cs"/>
          <w:rtl/>
        </w:rPr>
        <w:t xml:space="preserve"> דרק כשהוא מונח ע"ג היתדות דאינו יונק מהקרקע, מותר לטלטלו,</w:t>
      </w:r>
      <w:bookmarkEnd w:id="1103"/>
      <w:r>
        <w:rPr>
          <w:rFonts w:hint="cs"/>
          <w:rtl/>
        </w:rPr>
        <w:t xml:space="preserve"> וכתב </w:t>
      </w:r>
      <w:r w:rsidRPr="00DE1AA0">
        <w:rPr>
          <w:rStyle w:val="aff4"/>
          <w:rFonts w:hint="cs"/>
          <w:vanish/>
          <w:rtl/>
        </w:rPr>
        <w:t>-</w:t>
      </w:r>
      <w:r w:rsidRPr="00DB6BF0">
        <w:rPr>
          <w:rStyle w:val="aff4"/>
          <w:rFonts w:hint="cs"/>
          <w:rtl/>
        </w:rPr>
        <w:t>המאירי</w:t>
      </w:r>
      <w:r w:rsidRPr="00DE1AA0">
        <w:rPr>
          <w:rStyle w:val="aff4"/>
          <w:rFonts w:hint="cs"/>
          <w:vanish/>
          <w:rtl/>
        </w:rPr>
        <w:t>-</w:t>
      </w:r>
      <w:r>
        <w:rPr>
          <w:rFonts w:hint="cs"/>
          <w:rtl/>
        </w:rPr>
        <w:t xml:space="preserve"> דזהו הביאור בהא דאמרינן בגמ' דבמונח ע"כ קרקע והניחו ע"ג  יתדות חייב משום תולש, ובמונח ע"ג יתדות והניחו ע"ג קרקע חייב משום נוטע, אך הביא </w:t>
      </w:r>
      <w:r w:rsidRPr="00DE1AA0">
        <w:rPr>
          <w:rStyle w:val="aff4"/>
          <w:rFonts w:hint="cs"/>
          <w:vanish/>
          <w:rtl/>
        </w:rPr>
        <w:t>-</w:t>
      </w:r>
      <w:r w:rsidRPr="00DB6BF0">
        <w:rPr>
          <w:rStyle w:val="aff4"/>
          <w:rFonts w:hint="cs"/>
          <w:rtl/>
        </w:rPr>
        <w:t>המאירי</w:t>
      </w:r>
      <w:r w:rsidRPr="00DE1AA0">
        <w:rPr>
          <w:rStyle w:val="aff4"/>
          <w:rFonts w:hint="cs"/>
          <w:vanish/>
          <w:rtl/>
        </w:rPr>
        <w:t>-</w:t>
      </w:r>
      <w:r>
        <w:rPr>
          <w:rFonts w:hint="cs"/>
          <w:rtl/>
        </w:rPr>
        <w:t xml:space="preserve"> את דברי </w:t>
      </w:r>
      <w:r w:rsidRPr="00DE1AA0">
        <w:rPr>
          <w:rStyle w:val="aff4"/>
          <w:rFonts w:hint="cs"/>
          <w:vanish/>
          <w:rtl/>
        </w:rPr>
        <w:t>-</w:t>
      </w:r>
      <w:r w:rsidRPr="00DB6BF0">
        <w:rPr>
          <w:rStyle w:val="aff4"/>
          <w:rFonts w:hint="cs"/>
          <w:rtl/>
        </w:rPr>
        <w:t>רש"י</w:t>
      </w:r>
      <w:r w:rsidRPr="00DE1AA0">
        <w:rPr>
          <w:rStyle w:val="aff4"/>
          <w:rFonts w:hint="cs"/>
          <w:vanish/>
          <w:rtl/>
        </w:rPr>
        <w:t>-</w:t>
      </w:r>
      <w:r>
        <w:rPr>
          <w:rFonts w:hint="cs"/>
          <w:rtl/>
        </w:rPr>
        <w:t xml:space="preserve"> </w:t>
      </w:r>
      <w:r w:rsidRPr="00A3054F">
        <w:rPr>
          <w:rStyle w:val="af2"/>
          <w:rFonts w:eastAsia="Guttman Hodes" w:hint="cs"/>
          <w:rtl/>
        </w:rPr>
        <w:t xml:space="preserve">(עי' אות </w:t>
      </w:r>
      <w:r w:rsidRPr="00A3054F">
        <w:rPr>
          <w:rStyle w:val="af2"/>
          <w:rFonts w:eastAsia="Guttman Hodes"/>
          <w:rtl/>
        </w:rPr>
        <w:fldChar w:fldCharType="begin"/>
      </w:r>
      <w:r w:rsidRPr="00A3054F">
        <w:rPr>
          <w:rStyle w:val="af2"/>
          <w:rFonts w:eastAsia="Guttman Hodes"/>
          <w:rtl/>
        </w:rPr>
        <w:instrText xml:space="preserve"> </w:instrText>
      </w:r>
      <w:r w:rsidRPr="00A3054F">
        <w:rPr>
          <w:rStyle w:val="af2"/>
          <w:rFonts w:eastAsia="Guttman Hodes" w:hint="cs"/>
        </w:rPr>
        <w:instrText>REF</w:instrText>
      </w:r>
      <w:r w:rsidRPr="00A3054F">
        <w:rPr>
          <w:rStyle w:val="af2"/>
          <w:rFonts w:eastAsia="Guttman Hodes" w:hint="cs"/>
          <w:rtl/>
        </w:rPr>
        <w:instrText xml:space="preserve"> _</w:instrText>
      </w:r>
      <w:r w:rsidRPr="00A3054F">
        <w:rPr>
          <w:rStyle w:val="af2"/>
          <w:rFonts w:eastAsia="Guttman Hodes" w:hint="cs"/>
        </w:rPr>
        <w:instrText>Ref134734637 \r \h</w:instrText>
      </w:r>
      <w:r w:rsidRPr="00A3054F">
        <w:rPr>
          <w:rStyle w:val="af2"/>
          <w:rFonts w:eastAsia="Guttman Hodes"/>
          <w:rtl/>
        </w:rPr>
        <w:instrText xml:space="preserve"> </w:instrText>
      </w:r>
      <w:r w:rsidRPr="00A3054F">
        <w:rPr>
          <w:rStyle w:val="af2"/>
          <w:rFonts w:eastAsia="Guttman Hodes"/>
          <w:rtl/>
        </w:rPr>
      </w:r>
      <w:r w:rsidRPr="00A3054F">
        <w:rPr>
          <w:rStyle w:val="af2"/>
          <w:rFonts w:eastAsia="Guttman Hodes"/>
          <w:rtl/>
        </w:rPr>
        <w:fldChar w:fldCharType="separate"/>
      </w:r>
      <w:r w:rsidR="00D82181">
        <w:rPr>
          <w:rStyle w:val="af2"/>
          <w:rFonts w:eastAsia="Guttman Hodes"/>
          <w:cs/>
        </w:rPr>
        <w:t>‎</w:t>
      </w:r>
      <w:r w:rsidR="00D82181">
        <w:rPr>
          <w:rStyle w:val="af2"/>
          <w:rFonts w:eastAsia="Guttman Hodes"/>
          <w:rtl/>
        </w:rPr>
        <w:t>לה)</w:t>
      </w:r>
      <w:r w:rsidRPr="00A3054F">
        <w:rPr>
          <w:rStyle w:val="af2"/>
          <w:rFonts w:eastAsia="Guttman Hodes"/>
          <w:rtl/>
        </w:rPr>
        <w:fldChar w:fldCharType="end"/>
      </w:r>
      <w:r>
        <w:rPr>
          <w:rFonts w:hint="cs"/>
          <w:rtl/>
        </w:rPr>
        <w:t xml:space="preserve"> דביאר דהוא תולש רק מדרבנן, וכתב </w:t>
      </w:r>
      <w:r w:rsidRPr="00DE1AA0">
        <w:rPr>
          <w:rStyle w:val="aff4"/>
          <w:rFonts w:hint="cs"/>
          <w:vanish/>
          <w:rtl/>
        </w:rPr>
        <w:t>-</w:t>
      </w:r>
      <w:r w:rsidRPr="00DB6BF0">
        <w:rPr>
          <w:rStyle w:val="aff4"/>
          <w:rFonts w:hint="cs"/>
          <w:rtl/>
        </w:rPr>
        <w:t>המאירי</w:t>
      </w:r>
      <w:r w:rsidRPr="00DE1AA0">
        <w:rPr>
          <w:rStyle w:val="aff4"/>
          <w:rFonts w:hint="cs"/>
          <w:vanish/>
          <w:rtl/>
        </w:rPr>
        <w:t>-</w:t>
      </w:r>
      <w:r>
        <w:rPr>
          <w:rFonts w:hint="cs"/>
          <w:rtl/>
        </w:rPr>
        <w:t xml:space="preserve"> דנראה כביאור </w:t>
      </w:r>
      <w:r w:rsidRPr="00DE1AA0">
        <w:rPr>
          <w:rStyle w:val="aff4"/>
          <w:rFonts w:hint="cs"/>
          <w:vanish/>
          <w:rtl/>
        </w:rPr>
        <w:t>-</w:t>
      </w:r>
      <w:r w:rsidRPr="00DB6BF0">
        <w:rPr>
          <w:rStyle w:val="aff4"/>
          <w:rFonts w:hint="cs"/>
          <w:rtl/>
        </w:rPr>
        <w:t>רש"י</w:t>
      </w:r>
      <w:r w:rsidRPr="00DE1AA0">
        <w:rPr>
          <w:rStyle w:val="aff4"/>
          <w:rFonts w:hint="cs"/>
          <w:vanish/>
          <w:rtl/>
        </w:rPr>
        <w:t>-</w:t>
      </w:r>
      <w:r>
        <w:rPr>
          <w:rFonts w:hint="cs"/>
          <w:rtl/>
        </w:rPr>
        <w:t xml:space="preserve">, אך בעציץ שאינו נקוב מותר, ועי' במ"ש </w:t>
      </w:r>
      <w:r w:rsidRPr="00DE1AA0">
        <w:rPr>
          <w:rStyle w:val="aff4"/>
          <w:rFonts w:hint="cs"/>
          <w:vanish/>
          <w:rtl/>
        </w:rPr>
        <w:t>-</w:t>
      </w:r>
      <w:r w:rsidRPr="00DB6BF0">
        <w:rPr>
          <w:rStyle w:val="aff4"/>
          <w:rFonts w:hint="cs"/>
          <w:rtl/>
        </w:rPr>
        <w:t>הדבר אברהם</w:t>
      </w:r>
      <w:r w:rsidRPr="00DE1AA0">
        <w:rPr>
          <w:rStyle w:val="aff4"/>
          <w:rFonts w:hint="cs"/>
          <w:vanish/>
          <w:rtl/>
        </w:rPr>
        <w:t>-</w:t>
      </w:r>
      <w:r>
        <w:rPr>
          <w:rFonts w:hint="cs"/>
          <w:rtl/>
        </w:rPr>
        <w:t xml:space="preserve"> </w:t>
      </w:r>
      <w:r>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Ref135068130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סח)</w:t>
      </w:r>
      <w:r>
        <w:rPr>
          <w:rStyle w:val="af2"/>
          <w:rFonts w:eastAsia="Guttman Hodes"/>
          <w:rtl/>
        </w:rPr>
        <w:fldChar w:fldCharType="end"/>
      </w:r>
      <w:r>
        <w:rPr>
          <w:rStyle w:val="af2"/>
          <w:rFonts w:eastAsia="Guttman Hodes" w:hint="cs"/>
          <w:rtl/>
        </w:rPr>
        <w:t xml:space="preserve"> </w:t>
      </w:r>
      <w:r>
        <w:rPr>
          <w:rFonts w:hint="cs"/>
          <w:rtl/>
        </w:rPr>
        <w:t xml:space="preserve">בדברי </w:t>
      </w:r>
      <w:r w:rsidRPr="00DE1AA0">
        <w:rPr>
          <w:rStyle w:val="aff4"/>
          <w:rFonts w:hint="cs"/>
          <w:vanish/>
          <w:rtl/>
        </w:rPr>
        <w:t>-</w:t>
      </w:r>
      <w:r w:rsidRPr="00DB6BF0">
        <w:rPr>
          <w:rStyle w:val="aff4"/>
          <w:rFonts w:hint="cs"/>
          <w:rtl/>
        </w:rPr>
        <w:t>המאירי</w:t>
      </w:r>
      <w:r>
        <w:rPr>
          <w:rFonts w:hint="cs"/>
          <w:rtl/>
        </w:rPr>
        <w:t>.</w:t>
      </w:r>
      <w:bookmarkEnd w:id="1104"/>
    </w:p>
    <w:p w14:paraId="542DE018" w14:textId="77777777" w:rsidR="00D31714" w:rsidRPr="00747170" w:rsidRDefault="00D31714" w:rsidP="00747170">
      <w:pPr>
        <w:pStyle w:val="a2"/>
        <w:rPr>
          <w:rtl/>
        </w:rPr>
      </w:pPr>
      <w:r w:rsidRPr="00747170">
        <w:rPr>
          <w:rtl/>
        </w:rPr>
        <w:t>זה שהתרנו לעקור צרור ממקומו אף על פי שהעשבים יונקים מן הקרקע לא הותר אלא לצורך כגון כבוד הבריות על הדרך שביארנו אבל שלא לצורך אסור מעתה עציץ נקוב המונח על הקרקע אסור לטלטלו שהרי יונק הוא מן הארץ אא"כ היה מונח על גבי יתדות שאינו יונק מן הארץ והוא שאמרו היה מונח על גבי קרקע והניחו על גבי יתדות חייב משום תולש היה מונח על גבי יתדות והניחו על גבי קרקע חייב משום נוטע ומ"מ גדולי הרבנים כתבו שלא נאמר כאן חייב אלא משום אסור שאלו חייב ממש היאך יתירו איסור סקילה וכרת משום כבוד הבריות ואין כבוד הבריות דוחה אלא לאו דלא תסור אלא שהוא אסור ודומה לו חייב משום נשג"א ומשום נשג"ז והדברים נראים ומ"מ בשאינו נקוב יראה שאין איסור בדבר וכן כתבוה חכמי הדורות</w:t>
      </w:r>
      <w:r w:rsidRPr="00747170">
        <w:rPr>
          <w:rFonts w:hint="cs"/>
          <w:rtl/>
        </w:rPr>
        <w:t>.</w:t>
      </w:r>
    </w:p>
    <w:p w14:paraId="7EFAC957" w14:textId="77777777" w:rsidR="00D31714" w:rsidRDefault="00D31714" w:rsidP="00D31714">
      <w:pPr>
        <w:pStyle w:val="afffff7"/>
        <w:rPr>
          <w:rtl/>
        </w:rPr>
      </w:pPr>
      <w:bookmarkStart w:id="1105" w:name="_Toc135513723"/>
      <w:bookmarkStart w:id="1106" w:name="_Toc135670253"/>
      <w:bookmarkStart w:id="1107" w:name="_Toc163505554"/>
      <w:r>
        <w:rPr>
          <w:rtl/>
        </w:rPr>
        <w:t>מאירי גיטין ז' ע"ב</w:t>
      </w:r>
      <w:r>
        <w:rPr>
          <w:rFonts w:hint="cs"/>
          <w:rtl/>
        </w:rPr>
        <w:t xml:space="preserve"> ד"ה ממה</w:t>
      </w:r>
      <w:bookmarkEnd w:id="1105"/>
      <w:bookmarkEnd w:id="1106"/>
      <w:bookmarkEnd w:id="1107"/>
    </w:p>
    <w:p w14:paraId="760AF986" w14:textId="77777777" w:rsidR="00D31714" w:rsidRDefault="00D31714" w:rsidP="00D31714">
      <w:pPr>
        <w:pStyle w:val="a7"/>
        <w:rPr>
          <w:rtl/>
        </w:rPr>
      </w:pPr>
      <w:bookmarkStart w:id="1108" w:name="_Toc135513565"/>
      <w:bookmarkStart w:id="1109" w:name="_Toc135669966"/>
      <w:r>
        <w:rPr>
          <w:rFonts w:hint="cs"/>
          <w:rtl/>
        </w:rPr>
        <w:t>בי' המאירי בגיטין דמוכח בגמ' בגיטין דעציץ נקוב ע"ג יתדות אינו כמונח בקרקע אלא תלוש</w:t>
      </w:r>
      <w:bookmarkEnd w:id="1108"/>
      <w:bookmarkEnd w:id="1109"/>
    </w:p>
    <w:p w14:paraId="1E1391AD" w14:textId="215A0EAB" w:rsidR="00D31714" w:rsidRDefault="00D31714" w:rsidP="00BC7DC8">
      <w:pPr>
        <w:pStyle w:val="a3"/>
        <w:rPr>
          <w:rtl/>
        </w:rPr>
      </w:pPr>
      <w:bookmarkStart w:id="1110" w:name="_Ref135213011"/>
      <w:r>
        <w:rPr>
          <w:rFonts w:hint="cs"/>
          <w:rtl/>
        </w:rPr>
        <w:t xml:space="preserve">וע"ע בדברי </w:t>
      </w:r>
      <w:r w:rsidRPr="00B4411F">
        <w:rPr>
          <w:rStyle w:val="aff4"/>
          <w:rFonts w:hint="cs"/>
          <w:vanish/>
          <w:rtl/>
        </w:rPr>
        <w:t>-</w:t>
      </w:r>
      <w:r w:rsidRPr="005C4013">
        <w:rPr>
          <w:rStyle w:val="aff4"/>
          <w:rFonts w:hint="cs"/>
          <w:rtl/>
        </w:rPr>
        <w:t>ה</w:t>
      </w:r>
      <w:r w:rsidRPr="00B4411F">
        <w:rPr>
          <w:rStyle w:val="aff4"/>
          <w:rFonts w:hint="cs"/>
          <w:vanish/>
          <w:rtl/>
        </w:rPr>
        <w:t xml:space="preserve">&lt;. </w:t>
      </w:r>
      <w:r w:rsidRPr="00B4411F">
        <w:rPr>
          <w:rStyle w:val="aff4"/>
          <w:vanish/>
          <w:rtl/>
        </w:rPr>
        <w:fldChar w:fldCharType="begin"/>
      </w:r>
      <w:r w:rsidRPr="00B4411F">
        <w:rPr>
          <w:rStyle w:val="aff4"/>
          <w:vanish/>
          <w:rtl/>
        </w:rPr>
        <w:instrText xml:space="preserve"> </w:instrText>
      </w:r>
      <w:r w:rsidRPr="00B4411F">
        <w:rPr>
          <w:rStyle w:val="aff4"/>
          <w:rFonts w:hint="cs"/>
          <w:vanish/>
        </w:rPr>
        <w:instrText>REF</w:instrText>
      </w:r>
      <w:r w:rsidRPr="00B4411F">
        <w:rPr>
          <w:rStyle w:val="aff4"/>
          <w:rFonts w:hint="cs"/>
          <w:vanish/>
          <w:rtl/>
        </w:rPr>
        <w:instrText xml:space="preserve"> _</w:instrText>
      </w:r>
      <w:r w:rsidRPr="00B4411F">
        <w:rPr>
          <w:rStyle w:val="aff4"/>
          <w:rFonts w:hint="cs"/>
          <w:vanish/>
        </w:rPr>
        <w:instrText>Ref135213011 \r \h</w:instrText>
      </w:r>
      <w:r w:rsidRPr="00B4411F">
        <w:rPr>
          <w:rStyle w:val="aff4"/>
          <w:vanish/>
          <w:rtl/>
        </w:rPr>
        <w:instrText xml:space="preserve"> </w:instrText>
      </w:r>
      <w:r w:rsidRPr="00B4411F">
        <w:rPr>
          <w:rStyle w:val="aff4"/>
          <w:vanish/>
          <w:rtl/>
        </w:rPr>
      </w:r>
      <w:r w:rsidRPr="00B4411F">
        <w:rPr>
          <w:rStyle w:val="aff4"/>
          <w:vanish/>
          <w:rtl/>
        </w:rPr>
        <w:fldChar w:fldCharType="separate"/>
      </w:r>
      <w:r w:rsidR="00D82181">
        <w:rPr>
          <w:rStyle w:val="aff4"/>
          <w:vanish/>
          <w:cs/>
        </w:rPr>
        <w:t>‎</w:t>
      </w:r>
      <w:r w:rsidR="00D82181">
        <w:rPr>
          <w:rStyle w:val="aff4"/>
          <w:vanish/>
          <w:rtl/>
        </w:rPr>
        <w:t>לט)</w:t>
      </w:r>
      <w:r w:rsidRPr="00B4411F">
        <w:rPr>
          <w:rStyle w:val="aff4"/>
          <w:vanish/>
          <w:rtl/>
        </w:rPr>
        <w:fldChar w:fldCharType="end"/>
      </w:r>
      <w:r w:rsidRPr="00B4411F">
        <w:rPr>
          <w:rStyle w:val="aff4"/>
          <w:rFonts w:hint="cs"/>
          <w:vanish/>
          <w:rtl/>
        </w:rPr>
        <w:t xml:space="preserve"> &gt;</w:t>
      </w:r>
      <w:r w:rsidRPr="005C4013">
        <w:rPr>
          <w:rStyle w:val="aff4"/>
          <w:rFonts w:hint="cs"/>
          <w:rtl/>
        </w:rPr>
        <w:t>מאירי בגיטין</w:t>
      </w:r>
      <w:r w:rsidRPr="00B4411F">
        <w:rPr>
          <w:rStyle w:val="aff4"/>
          <w:rFonts w:hint="cs"/>
          <w:vanish/>
          <w:rtl/>
        </w:rPr>
        <w:t>-</w:t>
      </w:r>
      <w:r>
        <w:rPr>
          <w:rFonts w:hint="cs"/>
          <w:rtl/>
        </w:rPr>
        <w:t xml:space="preserve"> </w:t>
      </w:r>
      <w:r w:rsidRPr="00A3054F">
        <w:rPr>
          <w:rStyle w:val="af2"/>
          <w:rFonts w:eastAsia="Guttman Hodes" w:hint="cs"/>
          <w:rtl/>
        </w:rPr>
        <w:t>(ז: ד"ה ממה)</w:t>
      </w:r>
      <w:r w:rsidRPr="00B4411F">
        <w:rPr>
          <w:rFonts w:hint="cs"/>
          <w:vanish/>
          <w:rtl/>
        </w:rPr>
        <w:t>=</w:t>
      </w:r>
      <w:r>
        <w:rPr>
          <w:rFonts w:hint="cs"/>
          <w:rtl/>
        </w:rPr>
        <w:t xml:space="preserve"> דכתב דמוכח בגמ' בגיטין </w:t>
      </w:r>
      <w:r w:rsidRPr="00A3054F">
        <w:rPr>
          <w:rStyle w:val="af2"/>
          <w:rFonts w:eastAsia="Guttman Hodes" w:hint="cs"/>
          <w:rtl/>
        </w:rPr>
        <w:t>(ז:)</w:t>
      </w:r>
      <w:r>
        <w:rPr>
          <w:rFonts w:hint="cs"/>
          <w:rtl/>
        </w:rPr>
        <w:t xml:space="preserve"> דעציץ נקוב ע"ג יתדות לא חשיב כמונח בקרקע והוא כתלוש, ובהא דכותבין עליו פרוזבול, כתב </w:t>
      </w:r>
      <w:r w:rsidRPr="00B4411F">
        <w:rPr>
          <w:rStyle w:val="aff4"/>
          <w:rFonts w:hint="cs"/>
          <w:vanish/>
          <w:rtl/>
        </w:rPr>
        <w:t>-</w:t>
      </w:r>
      <w:r w:rsidRPr="005C4013">
        <w:rPr>
          <w:rStyle w:val="aff4"/>
          <w:rFonts w:hint="cs"/>
          <w:rtl/>
        </w:rPr>
        <w:t>המאירי</w:t>
      </w:r>
      <w:r w:rsidRPr="00B4411F">
        <w:rPr>
          <w:rStyle w:val="aff4"/>
          <w:rFonts w:hint="cs"/>
          <w:vanish/>
          <w:rtl/>
        </w:rPr>
        <w:t>-</w:t>
      </w:r>
      <w:r>
        <w:rPr>
          <w:rFonts w:hint="cs"/>
          <w:rtl/>
        </w:rPr>
        <w:t xml:space="preserve"> דאפש"ל דלענין פרוזבול הקילו, ועי' במה שביאר </w:t>
      </w:r>
      <w:r w:rsidRPr="00A86C7D">
        <w:rPr>
          <w:rStyle w:val="aff4"/>
          <w:rFonts w:hint="cs"/>
          <w:vanish/>
          <w:rtl/>
        </w:rPr>
        <w:t>-</w:t>
      </w:r>
      <w:r w:rsidRPr="00DC239A">
        <w:rPr>
          <w:rStyle w:val="aff4"/>
          <w:rFonts w:hint="cs"/>
          <w:rtl/>
        </w:rPr>
        <w:t>בחי' רבי ראובן</w:t>
      </w:r>
      <w:r w:rsidRPr="00A86C7D">
        <w:rPr>
          <w:rStyle w:val="aff4"/>
          <w:rFonts w:hint="cs"/>
          <w:vanish/>
          <w:rtl/>
        </w:rPr>
        <w:t>-</w:t>
      </w:r>
      <w:r>
        <w:rPr>
          <w:rFonts w:hint="cs"/>
          <w:rtl/>
        </w:rPr>
        <w:t xml:space="preserve"> </w:t>
      </w:r>
      <w:r w:rsidRPr="00A3054F">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Ref135557413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עה)</w:t>
      </w:r>
      <w:r>
        <w:rPr>
          <w:rStyle w:val="af2"/>
          <w:rFonts w:eastAsia="Guttman Hodes"/>
          <w:rtl/>
        </w:rPr>
        <w:fldChar w:fldCharType="end"/>
      </w:r>
      <w:r>
        <w:rPr>
          <w:rFonts w:hint="cs"/>
          <w:rtl/>
        </w:rPr>
        <w:t xml:space="preserve"> בדברי </w:t>
      </w:r>
      <w:r w:rsidRPr="00A86C7D">
        <w:rPr>
          <w:rStyle w:val="aff4"/>
          <w:rFonts w:hint="cs"/>
          <w:vanish/>
          <w:rtl/>
        </w:rPr>
        <w:t>-</w:t>
      </w:r>
      <w:r w:rsidRPr="00DC239A">
        <w:rPr>
          <w:rStyle w:val="aff4"/>
          <w:rFonts w:hint="cs"/>
          <w:rtl/>
        </w:rPr>
        <w:t>המאירי</w:t>
      </w:r>
      <w:r w:rsidRPr="00A86C7D">
        <w:rPr>
          <w:rStyle w:val="aff4"/>
          <w:rFonts w:hint="cs"/>
          <w:vanish/>
          <w:rtl/>
        </w:rPr>
        <w:t>-</w:t>
      </w:r>
      <w:r>
        <w:rPr>
          <w:rFonts w:hint="cs"/>
          <w:rtl/>
        </w:rPr>
        <w:t>.</w:t>
      </w:r>
      <w:bookmarkEnd w:id="1110"/>
    </w:p>
    <w:p w14:paraId="6FC86765" w14:textId="77777777" w:rsidR="00D31714" w:rsidRPr="00747170" w:rsidRDefault="00D31714" w:rsidP="00747170">
      <w:pPr>
        <w:pStyle w:val="a2"/>
      </w:pPr>
      <w:r w:rsidRPr="00747170">
        <w:rPr>
          <w:rtl/>
        </w:rPr>
        <w:t>ממה שכתבנו למדת שכל שהעציץ מונח על גבי יתדות אף על פי שהוא נקוב אינו כמונח בקרקע וכן ביארנוה לענין שבת בפרק המוציא פ"א ב' שכל שהוא מונח על גבי יתדות כתלוש הוא ומכל מקום לענין שביעית אמרו בפרק השולח ל"ז א' אין כותבין פרוסבל אלא על הקרקע או על עציץ נקוב והקשה נקוב אין שאינו נקוב לא והא איכא מיהא מקומו ותירץ דמונח אסיכי אלמא שאף המונח על גבי יתדות הואיל ונקוב הוא קרקע מקרי ואיפשר שלענין פרוסבל הקלו:</w:t>
      </w:r>
    </w:p>
    <w:p w14:paraId="76338DD1" w14:textId="77777777" w:rsidR="00D31714" w:rsidRDefault="00D31714" w:rsidP="00D31714">
      <w:pPr>
        <w:pStyle w:val="1"/>
        <w:rPr>
          <w:rtl/>
        </w:rPr>
      </w:pPr>
      <w:bookmarkStart w:id="1111" w:name="_Toc135513567"/>
      <w:bookmarkStart w:id="1112" w:name="_Toc135669967"/>
      <w:bookmarkStart w:id="1113" w:name="_Toc135212231"/>
      <w:bookmarkEnd w:id="1097"/>
      <w:r>
        <w:rPr>
          <w:rFonts w:hint="cs"/>
          <w:rtl/>
        </w:rPr>
        <w:t>ד' הרמב"ם דהמניח גבשושית ע"ג יתדות תולש מדאו' וכן בזורע</w:t>
      </w:r>
      <w:bookmarkEnd w:id="1111"/>
      <w:bookmarkEnd w:id="1112"/>
    </w:p>
    <w:p w14:paraId="32D47C25" w14:textId="77777777" w:rsidR="00D31714" w:rsidRDefault="00D31714" w:rsidP="00D31714">
      <w:pPr>
        <w:pStyle w:val="afffff7"/>
        <w:rPr>
          <w:rtl/>
        </w:rPr>
      </w:pPr>
      <w:bookmarkStart w:id="1114" w:name="_Toc135513726"/>
      <w:bookmarkStart w:id="1115" w:name="_Toc135670254"/>
      <w:bookmarkStart w:id="1116" w:name="_Toc163505555"/>
      <w:r>
        <w:rPr>
          <w:rFonts w:hint="cs"/>
          <w:rtl/>
        </w:rPr>
        <w:t>רמב"ם שבת פ"ח ה"ד</w:t>
      </w:r>
      <w:bookmarkEnd w:id="1114"/>
      <w:bookmarkEnd w:id="1115"/>
      <w:bookmarkEnd w:id="1116"/>
    </w:p>
    <w:p w14:paraId="1CAB5C9A" w14:textId="77777777" w:rsidR="00D31714" w:rsidRDefault="00D31714" w:rsidP="00D31714">
      <w:pPr>
        <w:pStyle w:val="a7"/>
        <w:rPr>
          <w:rtl/>
        </w:rPr>
      </w:pPr>
      <w:bookmarkStart w:id="1117" w:name="_Toc135513568"/>
      <w:bookmarkStart w:id="1118" w:name="_Toc135669968"/>
      <w:r>
        <w:rPr>
          <w:rFonts w:hint="cs"/>
          <w:rtl/>
        </w:rPr>
        <w:t>בי' הרמב"ם דגבשושית עפר עם עשבים ומגביהה מהקרקע ליתדות תולש מדאו' ולהיפך הוי זורע</w:t>
      </w:r>
      <w:bookmarkEnd w:id="1117"/>
      <w:bookmarkEnd w:id="1118"/>
    </w:p>
    <w:p w14:paraId="750C4C85" w14:textId="775878E5" w:rsidR="00D31714" w:rsidRDefault="00D31714" w:rsidP="00BC7DC8">
      <w:pPr>
        <w:pStyle w:val="a3"/>
        <w:rPr>
          <w:rtl/>
        </w:rPr>
      </w:pPr>
      <w:bookmarkStart w:id="1119" w:name="_Ref134736415"/>
      <w:r>
        <w:rPr>
          <w:rFonts w:hint="cs"/>
          <w:rtl/>
        </w:rPr>
        <w:t>כתב</w:t>
      </w:r>
      <w:r w:rsidRPr="0013767C">
        <w:rPr>
          <w:rFonts w:hint="cs"/>
          <w:rtl/>
        </w:rPr>
        <w:t xml:space="preserve"> </w:t>
      </w:r>
      <w:r w:rsidRPr="00AA1E45">
        <w:rPr>
          <w:rStyle w:val="aff4"/>
          <w:rFonts w:hint="cs"/>
          <w:vanish/>
          <w:rtl/>
        </w:rPr>
        <w:t>-</w:t>
      </w:r>
      <w:r w:rsidRPr="00C65D8D">
        <w:rPr>
          <w:rStyle w:val="aff4"/>
          <w:rFonts w:hint="cs"/>
          <w:rtl/>
        </w:rPr>
        <w:t>ה</w:t>
      </w:r>
      <w:r w:rsidRPr="00AA1E45">
        <w:rPr>
          <w:rStyle w:val="aff4"/>
          <w:rFonts w:hint="cs"/>
          <w:vanish/>
          <w:rtl/>
        </w:rPr>
        <w:t xml:space="preserve">&lt;. </w:t>
      </w:r>
      <w:r w:rsidRPr="00AA1E45">
        <w:rPr>
          <w:rStyle w:val="aff4"/>
          <w:vanish/>
          <w:rtl/>
        </w:rPr>
        <w:fldChar w:fldCharType="begin"/>
      </w:r>
      <w:r w:rsidRPr="00AA1E45">
        <w:rPr>
          <w:rStyle w:val="aff4"/>
          <w:vanish/>
          <w:rtl/>
        </w:rPr>
        <w:instrText xml:space="preserve"> </w:instrText>
      </w:r>
      <w:r w:rsidRPr="00AA1E45">
        <w:rPr>
          <w:rStyle w:val="aff4"/>
          <w:rFonts w:hint="cs"/>
          <w:vanish/>
        </w:rPr>
        <w:instrText>REF</w:instrText>
      </w:r>
      <w:r w:rsidRPr="00AA1E45">
        <w:rPr>
          <w:rStyle w:val="aff4"/>
          <w:rFonts w:hint="cs"/>
          <w:vanish/>
          <w:rtl/>
        </w:rPr>
        <w:instrText xml:space="preserve"> _</w:instrText>
      </w:r>
      <w:r w:rsidRPr="00AA1E45">
        <w:rPr>
          <w:rStyle w:val="aff4"/>
          <w:rFonts w:hint="cs"/>
          <w:vanish/>
        </w:rPr>
        <w:instrText>Ref134736415 \r \h</w:instrText>
      </w:r>
      <w:r w:rsidRPr="00AA1E45">
        <w:rPr>
          <w:rStyle w:val="aff4"/>
          <w:vanish/>
          <w:rtl/>
        </w:rPr>
        <w:instrText xml:space="preserve"> </w:instrText>
      </w:r>
      <w:r w:rsidRPr="00AA1E45">
        <w:rPr>
          <w:rStyle w:val="aff4"/>
          <w:vanish/>
          <w:rtl/>
        </w:rPr>
      </w:r>
      <w:r w:rsidRPr="00AA1E45">
        <w:rPr>
          <w:rStyle w:val="aff4"/>
          <w:vanish/>
          <w:rtl/>
        </w:rPr>
        <w:fldChar w:fldCharType="separate"/>
      </w:r>
      <w:r w:rsidR="00D82181">
        <w:rPr>
          <w:rStyle w:val="aff4"/>
          <w:vanish/>
          <w:cs/>
        </w:rPr>
        <w:t>‎</w:t>
      </w:r>
      <w:r w:rsidR="00D82181">
        <w:rPr>
          <w:rStyle w:val="aff4"/>
          <w:vanish/>
          <w:rtl/>
        </w:rPr>
        <w:t>מ)</w:t>
      </w:r>
      <w:r w:rsidRPr="00AA1E45">
        <w:rPr>
          <w:rStyle w:val="aff4"/>
          <w:vanish/>
          <w:rtl/>
        </w:rPr>
        <w:fldChar w:fldCharType="end"/>
      </w:r>
      <w:r w:rsidRPr="00AA1E45">
        <w:rPr>
          <w:rStyle w:val="aff4"/>
          <w:rFonts w:hint="cs"/>
          <w:vanish/>
          <w:rtl/>
        </w:rPr>
        <w:t xml:space="preserve"> &gt;</w:t>
      </w:r>
      <w:r w:rsidRPr="00C65D8D">
        <w:rPr>
          <w:rStyle w:val="aff4"/>
          <w:rFonts w:hint="cs"/>
          <w:rtl/>
        </w:rPr>
        <w:t>רמב"ם</w:t>
      </w:r>
      <w:r w:rsidRPr="00AA1E45">
        <w:rPr>
          <w:rStyle w:val="aff4"/>
          <w:rFonts w:hint="cs"/>
          <w:vanish/>
          <w:rtl/>
        </w:rPr>
        <w:t>-</w:t>
      </w:r>
      <w:r>
        <w:rPr>
          <w:rFonts w:hint="cs"/>
          <w:rtl/>
        </w:rPr>
        <w:t xml:space="preserve"> </w:t>
      </w:r>
      <w:r w:rsidRPr="00A3054F">
        <w:rPr>
          <w:rStyle w:val="af2"/>
          <w:rFonts w:eastAsia="Guttman Hodes" w:hint="cs"/>
          <w:rtl/>
        </w:rPr>
        <w:t>(שבת פ"ח ה"ד)</w:t>
      </w:r>
      <w:r w:rsidRPr="00AA1E45">
        <w:rPr>
          <w:rFonts w:hint="cs"/>
          <w:vanish/>
          <w:rtl/>
        </w:rPr>
        <w:t>=</w:t>
      </w:r>
      <w:r>
        <w:rPr>
          <w:rFonts w:hint="cs"/>
          <w:rtl/>
        </w:rPr>
        <w:t xml:space="preserve"> דגבשושית עפר שעלו בה עשבים, והגביה אותה מהקרקע, והניחה ע"ג יתדות, דחייב משום תולש, ובהייתה הגבשושית ע"ג יתדות והניחה ע"ג הקרקע, חייב משום זורע, ועי' במה שביארו </w:t>
      </w:r>
      <w:r w:rsidRPr="00AA1E45">
        <w:rPr>
          <w:rStyle w:val="aff4"/>
          <w:rFonts w:hint="cs"/>
          <w:vanish/>
          <w:rtl/>
        </w:rPr>
        <w:t>-</w:t>
      </w:r>
      <w:r w:rsidRPr="00C65D8D">
        <w:rPr>
          <w:rStyle w:val="aff4"/>
          <w:rFonts w:hint="cs"/>
          <w:rtl/>
        </w:rPr>
        <w:t>הזכר יצחק</w:t>
      </w:r>
      <w:r w:rsidRPr="00AA1E45">
        <w:rPr>
          <w:rStyle w:val="aff4"/>
          <w:rFonts w:hint="cs"/>
          <w:vanish/>
          <w:rtl/>
        </w:rPr>
        <w:t>-</w:t>
      </w:r>
      <w:r>
        <w:rPr>
          <w:rFonts w:hint="cs"/>
          <w:rtl/>
        </w:rPr>
        <w:t xml:space="preserve"> </w:t>
      </w:r>
      <w:r w:rsidRPr="00A3054F">
        <w:rPr>
          <w:rStyle w:val="af2"/>
          <w:rFonts w:eastAsia="Guttman Hodes" w:hint="cs"/>
          <w:rtl/>
        </w:rPr>
        <w:t xml:space="preserve">(עי' אות </w:t>
      </w:r>
      <w:r w:rsidRPr="00A3054F">
        <w:rPr>
          <w:rStyle w:val="af2"/>
          <w:rFonts w:eastAsia="Guttman Hodes"/>
          <w:rtl/>
        </w:rPr>
        <w:fldChar w:fldCharType="begin"/>
      </w:r>
      <w:r w:rsidRPr="00A3054F">
        <w:rPr>
          <w:rStyle w:val="af2"/>
          <w:rFonts w:eastAsia="Guttman Hodes"/>
          <w:rtl/>
        </w:rPr>
        <w:instrText xml:space="preserve"> </w:instrText>
      </w:r>
      <w:r w:rsidRPr="00A3054F">
        <w:rPr>
          <w:rStyle w:val="af2"/>
          <w:rFonts w:eastAsia="Guttman Hodes" w:hint="cs"/>
        </w:rPr>
        <w:instrText>REF</w:instrText>
      </w:r>
      <w:r w:rsidRPr="00A3054F">
        <w:rPr>
          <w:rStyle w:val="af2"/>
          <w:rFonts w:eastAsia="Guttman Hodes" w:hint="cs"/>
          <w:rtl/>
        </w:rPr>
        <w:instrText xml:space="preserve"> _</w:instrText>
      </w:r>
      <w:r w:rsidRPr="00A3054F">
        <w:rPr>
          <w:rStyle w:val="af2"/>
          <w:rFonts w:eastAsia="Guttman Hodes" w:hint="cs"/>
        </w:rPr>
        <w:instrText>Ref134565616 \r \h</w:instrText>
      </w:r>
      <w:r w:rsidRPr="00A3054F">
        <w:rPr>
          <w:rStyle w:val="af2"/>
          <w:rFonts w:eastAsia="Guttman Hodes"/>
          <w:rtl/>
        </w:rPr>
        <w:instrText xml:space="preserve"> </w:instrText>
      </w:r>
      <w:r w:rsidRPr="00A3054F">
        <w:rPr>
          <w:rStyle w:val="af2"/>
          <w:rFonts w:eastAsia="Guttman Hodes"/>
          <w:rtl/>
        </w:rPr>
      </w:r>
      <w:r w:rsidRPr="00A3054F">
        <w:rPr>
          <w:rStyle w:val="af2"/>
          <w:rFonts w:eastAsia="Guttman Hodes"/>
          <w:rtl/>
        </w:rPr>
        <w:fldChar w:fldCharType="separate"/>
      </w:r>
      <w:r w:rsidR="00D82181">
        <w:rPr>
          <w:rStyle w:val="af2"/>
          <w:rFonts w:eastAsia="Guttman Hodes"/>
          <w:cs/>
        </w:rPr>
        <w:t>‎</w:t>
      </w:r>
      <w:r w:rsidR="00D82181">
        <w:rPr>
          <w:rStyle w:val="af2"/>
          <w:rFonts w:eastAsia="Guttman Hodes"/>
          <w:rtl/>
        </w:rPr>
        <w:t>סה)</w:t>
      </w:r>
      <w:r w:rsidRPr="00A3054F">
        <w:rPr>
          <w:rStyle w:val="af2"/>
          <w:rFonts w:eastAsia="Guttman Hodes"/>
          <w:rtl/>
        </w:rPr>
        <w:fldChar w:fldCharType="end"/>
      </w:r>
      <w:r w:rsidRPr="00DC239A">
        <w:rPr>
          <w:rStyle w:val="af2"/>
          <w:rFonts w:eastAsia="Guttman Hodes" w:hint="cs"/>
          <w:rtl/>
        </w:rPr>
        <w:t xml:space="preserve"> </w:t>
      </w:r>
      <w:r w:rsidRPr="00AA1E45">
        <w:rPr>
          <w:rStyle w:val="aff4"/>
          <w:rFonts w:hint="cs"/>
          <w:vanish/>
          <w:rtl/>
        </w:rPr>
        <w:t>-</w:t>
      </w:r>
      <w:r w:rsidRPr="00B77F39">
        <w:rPr>
          <w:rStyle w:val="aff4"/>
          <w:rFonts w:hint="cs"/>
          <w:rtl/>
        </w:rPr>
        <w:t>והדבר</w:t>
      </w:r>
      <w:r w:rsidRPr="00DC239A">
        <w:rPr>
          <w:rStyle w:val="af2"/>
          <w:rFonts w:eastAsia="Guttman Hodes" w:hint="cs"/>
          <w:rtl/>
        </w:rPr>
        <w:t xml:space="preserve"> </w:t>
      </w:r>
      <w:r w:rsidRPr="00B77F39">
        <w:rPr>
          <w:rStyle w:val="aff4"/>
          <w:rFonts w:hint="cs"/>
          <w:rtl/>
        </w:rPr>
        <w:t>אברהם</w:t>
      </w:r>
      <w:r w:rsidRPr="00AA1E45">
        <w:rPr>
          <w:rStyle w:val="aff4"/>
          <w:rFonts w:hint="cs"/>
          <w:vanish/>
          <w:rtl/>
        </w:rPr>
        <w:t>-</w:t>
      </w:r>
      <w:r w:rsidRPr="00B77F39">
        <w:rPr>
          <w:rFonts w:hint="cs"/>
          <w:rtl/>
        </w:rPr>
        <w:t xml:space="preserve"> </w:t>
      </w:r>
      <w:r w:rsidRPr="00A3054F">
        <w:rPr>
          <w:rStyle w:val="af2"/>
          <w:rFonts w:eastAsia="Guttman Hodes" w:hint="cs"/>
          <w:rtl/>
        </w:rPr>
        <w:t xml:space="preserve">(עי' אות </w:t>
      </w:r>
      <w:r w:rsidRPr="00A3054F">
        <w:rPr>
          <w:rStyle w:val="af2"/>
          <w:rFonts w:eastAsia="Guttman Hodes"/>
          <w:rtl/>
        </w:rPr>
        <w:t>פד)</w:t>
      </w:r>
      <w:r w:rsidRPr="0078770B">
        <w:rPr>
          <w:rStyle w:val="aff4"/>
          <w:rFonts w:hint="cs"/>
          <w:rtl/>
        </w:rPr>
        <w:t xml:space="preserve"> </w:t>
      </w:r>
      <w:r w:rsidRPr="00DE1AA0">
        <w:rPr>
          <w:rStyle w:val="aff4"/>
          <w:rFonts w:hint="cs"/>
          <w:vanish/>
          <w:rtl/>
        </w:rPr>
        <w:t>-</w:t>
      </w:r>
      <w:r>
        <w:rPr>
          <w:rFonts w:hint="cs"/>
          <w:rtl/>
        </w:rPr>
        <w:t xml:space="preserve">בדברי </w:t>
      </w:r>
      <w:r w:rsidRPr="00AA1E45">
        <w:rPr>
          <w:rStyle w:val="aff4"/>
          <w:rFonts w:hint="cs"/>
          <w:vanish/>
          <w:rtl/>
        </w:rPr>
        <w:t>-</w:t>
      </w:r>
      <w:r w:rsidRPr="00C65D8D">
        <w:rPr>
          <w:rStyle w:val="aff4"/>
          <w:rFonts w:hint="cs"/>
          <w:rtl/>
        </w:rPr>
        <w:t>הרמב"ם</w:t>
      </w:r>
      <w:r w:rsidRPr="00AA1E45">
        <w:rPr>
          <w:rStyle w:val="aff4"/>
          <w:rFonts w:hint="cs"/>
          <w:vanish/>
          <w:rtl/>
        </w:rPr>
        <w:t>-</w:t>
      </w:r>
      <w:r>
        <w:rPr>
          <w:rFonts w:hint="cs"/>
          <w:rtl/>
        </w:rPr>
        <w:t>.</w:t>
      </w:r>
      <w:bookmarkEnd w:id="1119"/>
    </w:p>
    <w:p w14:paraId="73E07C94" w14:textId="77777777" w:rsidR="00D31714" w:rsidRPr="003244E7" w:rsidRDefault="00D31714" w:rsidP="00D31714">
      <w:pPr>
        <w:pStyle w:val="a7"/>
        <w:rPr>
          <w:rtl/>
        </w:rPr>
      </w:pPr>
    </w:p>
    <w:p w14:paraId="06183A1F" w14:textId="77777777" w:rsidR="00D31714" w:rsidRPr="003244E7" w:rsidRDefault="00D31714" w:rsidP="00D31714">
      <w:pPr>
        <w:pStyle w:val="a7"/>
        <w:rPr>
          <w:rtl/>
        </w:rPr>
      </w:pPr>
    </w:p>
    <w:p w14:paraId="6A7A7094" w14:textId="77777777" w:rsidR="00D31714" w:rsidRPr="00747170" w:rsidRDefault="00D31714" w:rsidP="00747170">
      <w:pPr>
        <w:pStyle w:val="a2"/>
        <w:rPr>
          <w:rtl/>
        </w:rPr>
      </w:pPr>
      <w:r w:rsidRPr="00747170">
        <w:rPr>
          <w:rFonts w:hint="cs"/>
          <w:rtl/>
        </w:rPr>
        <w:t>גבשושית של עפר שעלו בה עשבים הגביהה מעל הארץ והניחה על גבי יתדות חייב משום תולש, היתה על גבי יתדות והניחה על הארץ חייב משום זורע, תאנים שיבשו באיביהן וכן אילן שיבשו פירותיו בו, התולש מהן בשבת חייב אף על פי שהן כעקורין לענין טומאה.</w:t>
      </w:r>
    </w:p>
    <w:p w14:paraId="763DDC3E" w14:textId="7FCF518A" w:rsidR="00D31714" w:rsidRDefault="00D31714" w:rsidP="00D31714">
      <w:pPr>
        <w:pStyle w:val="afffff7"/>
        <w:rPr>
          <w:rtl/>
        </w:rPr>
      </w:pPr>
      <w:bookmarkStart w:id="1120" w:name="_Toc135513728"/>
      <w:bookmarkStart w:id="1121" w:name="_Toc135670255"/>
      <w:bookmarkStart w:id="1122" w:name="_Toc163505556"/>
      <w:bookmarkEnd w:id="1113"/>
      <w:r>
        <w:rPr>
          <w:rtl/>
        </w:rPr>
        <w:t>מגיד משנה שבת פ"ח ה"ד</w:t>
      </w:r>
      <w:r>
        <w:rPr>
          <w:rFonts w:hint="cs"/>
          <w:rtl/>
        </w:rPr>
        <w:t xml:space="preserve"> ד"ה גבשושית</w:t>
      </w:r>
      <w:bookmarkEnd w:id="1120"/>
      <w:bookmarkEnd w:id="1121"/>
      <w:bookmarkEnd w:id="1122"/>
    </w:p>
    <w:p w14:paraId="3E3727BE" w14:textId="77777777" w:rsidR="00D31714" w:rsidRDefault="00D31714" w:rsidP="00D31714">
      <w:pPr>
        <w:pStyle w:val="a7"/>
        <w:rPr>
          <w:rtl/>
        </w:rPr>
      </w:pPr>
      <w:bookmarkStart w:id="1123" w:name="_Toc135588023"/>
      <w:bookmarkStart w:id="1124" w:name="_Toc135669969"/>
      <w:r>
        <w:rPr>
          <w:rFonts w:hint="cs"/>
          <w:rtl/>
        </w:rPr>
        <w:t>בי' המ"מ ברמב"ם דהשמיט את היתר קינוח בצרור דס"ל דר"ל התיר בצרור שאינו אסור מדאו'</w:t>
      </w:r>
      <w:bookmarkEnd w:id="1123"/>
      <w:bookmarkEnd w:id="1124"/>
    </w:p>
    <w:p w14:paraId="64FC692E" w14:textId="52A08B3A" w:rsidR="00D31714" w:rsidRPr="00250E2B" w:rsidRDefault="00D31714" w:rsidP="00BC7DC8">
      <w:pPr>
        <w:pStyle w:val="a3"/>
        <w:rPr>
          <w:rtl/>
        </w:rPr>
      </w:pPr>
      <w:bookmarkStart w:id="1125" w:name="_Hlk135165436"/>
      <w:bookmarkStart w:id="1126" w:name="_Ref135064813"/>
      <w:r>
        <w:rPr>
          <w:rFonts w:hint="cs"/>
          <w:rtl/>
        </w:rPr>
        <w:t xml:space="preserve">במ"ש </w:t>
      </w:r>
      <w:r w:rsidRPr="00C65D8D">
        <w:rPr>
          <w:rStyle w:val="aff4"/>
          <w:rFonts w:hint="cs"/>
          <w:vanish/>
          <w:rtl/>
        </w:rPr>
        <w:t>-</w:t>
      </w:r>
      <w:r w:rsidRPr="00C65D8D">
        <w:rPr>
          <w:rStyle w:val="aff4"/>
          <w:rFonts w:hint="cs"/>
          <w:rtl/>
        </w:rPr>
        <w:t>הרמב"ם</w:t>
      </w:r>
      <w:r w:rsidRPr="00C65D8D">
        <w:rPr>
          <w:rStyle w:val="aff4"/>
          <w:rFonts w:hint="cs"/>
          <w:vanish/>
          <w:rtl/>
        </w:rPr>
        <w:t>-</w:t>
      </w:r>
      <w:r>
        <w:rPr>
          <w:rFonts w:hint="cs"/>
          <w:rtl/>
        </w:rPr>
        <w:t xml:space="preserve"> </w:t>
      </w:r>
      <w:r w:rsidRPr="00A3054F">
        <w:rPr>
          <w:rStyle w:val="af2"/>
          <w:rFonts w:eastAsia="Guttman Hodes" w:hint="cs"/>
          <w:rtl/>
        </w:rPr>
        <w:t>(עי' אות</w:t>
      </w:r>
      <w:r w:rsidRPr="00A3054F">
        <w:rPr>
          <w:rStyle w:val="af2"/>
          <w:rFonts w:eastAsia="Guttman Hodes"/>
          <w:rtl/>
        </w:rPr>
        <w:t xml:space="preserve"> </w:t>
      </w:r>
      <w:r w:rsidRPr="00A3054F">
        <w:rPr>
          <w:rStyle w:val="af2"/>
          <w:rFonts w:eastAsia="Guttman Hodes"/>
          <w:rtl/>
        </w:rPr>
        <w:fldChar w:fldCharType="begin"/>
      </w:r>
      <w:r w:rsidRPr="00A3054F">
        <w:rPr>
          <w:rStyle w:val="af2"/>
          <w:rFonts w:eastAsia="Guttman Hodes"/>
          <w:rtl/>
        </w:rPr>
        <w:instrText xml:space="preserve"> </w:instrText>
      </w:r>
      <w:r w:rsidRPr="00A3054F">
        <w:rPr>
          <w:rStyle w:val="af2"/>
          <w:rFonts w:eastAsia="Guttman Hodes" w:hint="cs"/>
        </w:rPr>
        <w:instrText>REF</w:instrText>
      </w:r>
      <w:r w:rsidRPr="00A3054F">
        <w:rPr>
          <w:rStyle w:val="af2"/>
          <w:rFonts w:eastAsia="Guttman Hodes" w:hint="cs"/>
          <w:rtl/>
        </w:rPr>
        <w:instrText xml:space="preserve"> _</w:instrText>
      </w:r>
      <w:r w:rsidRPr="00A3054F">
        <w:rPr>
          <w:rStyle w:val="af2"/>
          <w:rFonts w:eastAsia="Guttman Hodes" w:hint="cs"/>
        </w:rPr>
        <w:instrText>Ref134736415 \r \h</w:instrText>
      </w:r>
      <w:r w:rsidRPr="00A3054F">
        <w:rPr>
          <w:rStyle w:val="af2"/>
          <w:rFonts w:eastAsia="Guttman Hodes"/>
          <w:rtl/>
        </w:rPr>
        <w:instrText xml:space="preserve"> </w:instrText>
      </w:r>
      <w:r w:rsidRPr="00A3054F">
        <w:rPr>
          <w:rStyle w:val="af2"/>
          <w:rFonts w:eastAsia="Guttman Hodes"/>
          <w:rtl/>
        </w:rPr>
      </w:r>
      <w:r w:rsidRPr="00A3054F">
        <w:rPr>
          <w:rStyle w:val="af2"/>
          <w:rFonts w:eastAsia="Guttman Hodes"/>
          <w:rtl/>
        </w:rPr>
        <w:fldChar w:fldCharType="separate"/>
      </w:r>
      <w:r w:rsidR="00D82181">
        <w:rPr>
          <w:rStyle w:val="af2"/>
          <w:rFonts w:eastAsia="Guttman Hodes"/>
          <w:cs/>
        </w:rPr>
        <w:t>‎</w:t>
      </w:r>
      <w:r w:rsidR="00D82181">
        <w:rPr>
          <w:rStyle w:val="af2"/>
          <w:rFonts w:eastAsia="Guttman Hodes"/>
          <w:rtl/>
        </w:rPr>
        <w:t>מ)</w:t>
      </w:r>
      <w:r w:rsidRPr="00A3054F">
        <w:rPr>
          <w:rStyle w:val="af2"/>
          <w:rFonts w:eastAsia="Guttman Hodes"/>
          <w:rtl/>
        </w:rPr>
        <w:fldChar w:fldCharType="end"/>
      </w:r>
      <w:r>
        <w:rPr>
          <w:rFonts w:hint="cs"/>
          <w:rtl/>
        </w:rPr>
        <w:t xml:space="preserve"> דגבשושית של עפר יש בה חיוב תולש דאו', והשמיט </w:t>
      </w:r>
      <w:bookmarkEnd w:id="1125"/>
      <w:r w:rsidRPr="00C65D8D">
        <w:rPr>
          <w:rStyle w:val="aff4"/>
          <w:rFonts w:hint="cs"/>
          <w:vanish/>
          <w:rtl/>
        </w:rPr>
        <w:t>-</w:t>
      </w:r>
      <w:r w:rsidRPr="00C65D8D">
        <w:rPr>
          <w:rStyle w:val="aff4"/>
          <w:rFonts w:hint="cs"/>
          <w:rtl/>
        </w:rPr>
        <w:t>הרמב"ם</w:t>
      </w:r>
      <w:r w:rsidRPr="00C65D8D">
        <w:rPr>
          <w:rStyle w:val="aff4"/>
          <w:rFonts w:hint="cs"/>
          <w:vanish/>
          <w:rtl/>
        </w:rPr>
        <w:t>-</w:t>
      </w:r>
      <w:r>
        <w:rPr>
          <w:rFonts w:hint="cs"/>
          <w:rtl/>
        </w:rPr>
        <w:t xml:space="preserve"> את דינא דר"ל דמותר לקנח בצרור שעלו בו עשבים, דמזה הוכיח </w:t>
      </w:r>
      <w:r w:rsidRPr="00BC5B58">
        <w:rPr>
          <w:rStyle w:val="aff4"/>
          <w:rFonts w:hint="cs"/>
          <w:vanish/>
          <w:rtl/>
        </w:rPr>
        <w:t>-</w:t>
      </w:r>
      <w:r w:rsidRPr="009C1791">
        <w:rPr>
          <w:rStyle w:val="aff4"/>
          <w:rFonts w:hint="cs"/>
          <w:rtl/>
        </w:rPr>
        <w:t>רש"י</w:t>
      </w:r>
      <w:r w:rsidRPr="00BC5B58">
        <w:rPr>
          <w:rStyle w:val="aff4"/>
          <w:rFonts w:hint="cs"/>
          <w:vanish/>
          <w:rtl/>
        </w:rPr>
        <w:t>-</w:t>
      </w:r>
      <w:r>
        <w:rPr>
          <w:rFonts w:hint="cs"/>
          <w:rtl/>
        </w:rPr>
        <w:t xml:space="preserve"> </w:t>
      </w:r>
      <w:r w:rsidRPr="00A3054F">
        <w:rPr>
          <w:rStyle w:val="af2"/>
          <w:rFonts w:eastAsia="Guttman Hodes" w:hint="cs"/>
          <w:rtl/>
        </w:rPr>
        <w:t xml:space="preserve">(עי' אות </w:t>
      </w:r>
      <w:r w:rsidRPr="00A3054F">
        <w:rPr>
          <w:rStyle w:val="af2"/>
          <w:rFonts w:eastAsia="Guttman Hodes"/>
          <w:rtl/>
        </w:rPr>
        <w:fldChar w:fldCharType="begin"/>
      </w:r>
      <w:r w:rsidRPr="00A3054F">
        <w:rPr>
          <w:rStyle w:val="af2"/>
          <w:rFonts w:eastAsia="Guttman Hodes"/>
          <w:rtl/>
        </w:rPr>
        <w:instrText xml:space="preserve"> </w:instrText>
      </w:r>
      <w:r w:rsidRPr="00A3054F">
        <w:rPr>
          <w:rStyle w:val="af2"/>
          <w:rFonts w:eastAsia="Guttman Hodes" w:hint="cs"/>
        </w:rPr>
        <w:instrText>REF</w:instrText>
      </w:r>
      <w:r w:rsidRPr="00A3054F">
        <w:rPr>
          <w:rStyle w:val="af2"/>
          <w:rFonts w:eastAsia="Guttman Hodes" w:hint="cs"/>
          <w:rtl/>
        </w:rPr>
        <w:instrText xml:space="preserve"> _</w:instrText>
      </w:r>
      <w:r w:rsidRPr="00A3054F">
        <w:rPr>
          <w:rStyle w:val="af2"/>
          <w:rFonts w:eastAsia="Guttman Hodes" w:hint="cs"/>
        </w:rPr>
        <w:instrText>Ref134956345 \r \h</w:instrText>
      </w:r>
      <w:r w:rsidRPr="00A3054F">
        <w:rPr>
          <w:rStyle w:val="af2"/>
          <w:rFonts w:eastAsia="Guttman Hodes"/>
          <w:rtl/>
        </w:rPr>
        <w:instrText xml:space="preserve"> </w:instrText>
      </w:r>
      <w:r w:rsidRPr="00A3054F">
        <w:rPr>
          <w:rStyle w:val="af2"/>
          <w:rFonts w:eastAsia="Guttman Hodes"/>
          <w:rtl/>
        </w:rPr>
      </w:r>
      <w:r w:rsidRPr="00A3054F">
        <w:rPr>
          <w:rStyle w:val="af2"/>
          <w:rFonts w:eastAsia="Guttman Hodes"/>
          <w:rtl/>
        </w:rPr>
        <w:fldChar w:fldCharType="separate"/>
      </w:r>
      <w:r w:rsidR="00D82181">
        <w:rPr>
          <w:rStyle w:val="af2"/>
          <w:rFonts w:eastAsia="Guttman Hodes"/>
          <w:cs/>
        </w:rPr>
        <w:t>‎</w:t>
      </w:r>
      <w:r w:rsidR="00D82181">
        <w:rPr>
          <w:rStyle w:val="af2"/>
          <w:rFonts w:eastAsia="Guttman Hodes"/>
          <w:rtl/>
        </w:rPr>
        <w:t>לו)</w:t>
      </w:r>
      <w:r w:rsidRPr="00A3054F">
        <w:rPr>
          <w:rStyle w:val="af2"/>
          <w:rFonts w:eastAsia="Guttman Hodes"/>
          <w:rtl/>
        </w:rPr>
        <w:fldChar w:fldCharType="end"/>
      </w:r>
      <w:r>
        <w:rPr>
          <w:rFonts w:hint="cs"/>
          <w:rtl/>
        </w:rPr>
        <w:t xml:space="preserve"> דאין בזה איסור תולש דאו', ביאר </w:t>
      </w:r>
      <w:r w:rsidRPr="00BC5B58">
        <w:rPr>
          <w:rStyle w:val="aff4"/>
          <w:rFonts w:hint="cs"/>
          <w:vanish/>
          <w:rtl/>
        </w:rPr>
        <w:t>-</w:t>
      </w:r>
      <w:r w:rsidRPr="009C1791">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Ref135064813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מא)</w:t>
      </w:r>
      <w:r w:rsidRPr="00B53404">
        <w:rPr>
          <w:rStyle w:val="aff4"/>
          <w:vanish/>
          <w:rtl/>
        </w:rPr>
        <w:fldChar w:fldCharType="end"/>
      </w:r>
      <w:r w:rsidRPr="00B53404">
        <w:rPr>
          <w:rStyle w:val="aff4"/>
          <w:rFonts w:hint="cs"/>
          <w:vanish/>
          <w:rtl/>
        </w:rPr>
        <w:t xml:space="preserve"> &gt;</w:t>
      </w:r>
      <w:r w:rsidRPr="009C1791">
        <w:rPr>
          <w:rStyle w:val="aff4"/>
          <w:rFonts w:hint="cs"/>
          <w:rtl/>
        </w:rPr>
        <w:t>מ"מ</w:t>
      </w:r>
      <w:r w:rsidRPr="00BC5B58">
        <w:rPr>
          <w:rStyle w:val="aff4"/>
          <w:rFonts w:hint="cs"/>
          <w:vanish/>
          <w:rtl/>
        </w:rPr>
        <w:t>-</w:t>
      </w:r>
      <w:r>
        <w:rPr>
          <w:rFonts w:hint="cs"/>
          <w:rtl/>
        </w:rPr>
        <w:t xml:space="preserve"> </w:t>
      </w:r>
      <w:r w:rsidRPr="00A3054F">
        <w:rPr>
          <w:rStyle w:val="af2"/>
          <w:rFonts w:eastAsia="Guttman Hodes" w:hint="cs"/>
          <w:rtl/>
        </w:rPr>
        <w:t>(שבת פ"ח ה"ד ד"ה גבשושית)</w:t>
      </w:r>
      <w:r w:rsidRPr="00BC5B58">
        <w:rPr>
          <w:rFonts w:hint="cs"/>
          <w:vanish/>
          <w:rtl/>
        </w:rPr>
        <w:t>=</w:t>
      </w:r>
      <w:r>
        <w:rPr>
          <w:rFonts w:hint="cs"/>
          <w:rtl/>
        </w:rPr>
        <w:t xml:space="preserve"> דאפש"ל דס"ל </w:t>
      </w:r>
      <w:r w:rsidRPr="00BC5B58">
        <w:rPr>
          <w:rStyle w:val="aff4"/>
          <w:rFonts w:hint="cs"/>
          <w:vanish/>
          <w:rtl/>
        </w:rPr>
        <w:t>-</w:t>
      </w:r>
      <w:r w:rsidRPr="009C1791">
        <w:rPr>
          <w:rStyle w:val="aff4"/>
          <w:rFonts w:hint="cs"/>
          <w:rtl/>
        </w:rPr>
        <w:t>להרמב"ם</w:t>
      </w:r>
      <w:r w:rsidRPr="00BC5B58">
        <w:rPr>
          <w:rStyle w:val="aff4"/>
          <w:rFonts w:hint="cs"/>
          <w:vanish/>
          <w:rtl/>
        </w:rPr>
        <w:t>-</w:t>
      </w:r>
      <w:r>
        <w:rPr>
          <w:rFonts w:hint="cs"/>
          <w:rtl/>
        </w:rPr>
        <w:t xml:space="preserve"> דר"ל איירי בצרור שמונח ע"ג יתדות, דאן בה איסור תולש דאו',</w:t>
      </w:r>
      <w:r w:rsidRPr="0059356A">
        <w:rPr>
          <w:rFonts w:hint="cs"/>
          <w:rtl/>
        </w:rPr>
        <w:t xml:space="preserve"> </w:t>
      </w:r>
      <w:r>
        <w:rPr>
          <w:rFonts w:hint="cs"/>
          <w:rtl/>
        </w:rPr>
        <w:t xml:space="preserve">ועיי"ש במה שהקשה </w:t>
      </w:r>
      <w:r w:rsidRPr="00BC5B58">
        <w:rPr>
          <w:rStyle w:val="aff4"/>
          <w:rFonts w:hint="cs"/>
          <w:vanish/>
          <w:rtl/>
        </w:rPr>
        <w:t>-</w:t>
      </w:r>
      <w:r w:rsidRPr="009C1791">
        <w:rPr>
          <w:rStyle w:val="aff4"/>
          <w:rFonts w:hint="cs"/>
          <w:rtl/>
        </w:rPr>
        <w:t>ה</w:t>
      </w:r>
      <w:r w:rsidRPr="00B53404">
        <w:rPr>
          <w:rStyle w:val="aff4"/>
          <w:rFonts w:hint="cs"/>
          <w:vanish/>
          <w:rtl/>
        </w:rPr>
        <w:t>&lt; &gt;</w:t>
      </w:r>
      <w:r w:rsidRPr="009C1791">
        <w:rPr>
          <w:rStyle w:val="aff4"/>
          <w:rFonts w:hint="cs"/>
          <w:rtl/>
        </w:rPr>
        <w:t>לח"מ</w:t>
      </w:r>
      <w:r w:rsidRPr="00BC5B58">
        <w:rPr>
          <w:rStyle w:val="aff4"/>
          <w:rFonts w:hint="cs"/>
          <w:vanish/>
          <w:rtl/>
        </w:rPr>
        <w:t>-</w:t>
      </w:r>
      <w:r>
        <w:rPr>
          <w:rFonts w:hint="cs"/>
          <w:rtl/>
        </w:rPr>
        <w:t xml:space="preserve"> </w:t>
      </w:r>
      <w:r w:rsidRPr="00A3054F">
        <w:rPr>
          <w:rStyle w:val="af2"/>
          <w:rFonts w:eastAsia="Guttman Hodes" w:hint="cs"/>
          <w:rtl/>
        </w:rPr>
        <w:t>(שבת פ"ח ה"ד ד"ה עוד כתב)</w:t>
      </w:r>
      <w:r w:rsidRPr="00BC5B58">
        <w:rPr>
          <w:rFonts w:hint="cs"/>
          <w:vanish/>
          <w:rtl/>
        </w:rPr>
        <w:t>=</w:t>
      </w:r>
      <w:r>
        <w:rPr>
          <w:rFonts w:hint="cs"/>
          <w:rtl/>
        </w:rPr>
        <w:t xml:space="preserve"> על ביאור </w:t>
      </w:r>
      <w:r w:rsidRPr="00BC5B58">
        <w:rPr>
          <w:rStyle w:val="aff4"/>
          <w:rFonts w:hint="cs"/>
          <w:vanish/>
          <w:rtl/>
        </w:rPr>
        <w:t>-</w:t>
      </w:r>
      <w:r w:rsidRPr="009C1791">
        <w:rPr>
          <w:rStyle w:val="aff4"/>
          <w:rFonts w:hint="cs"/>
          <w:rtl/>
        </w:rPr>
        <w:t>המ"מ</w:t>
      </w:r>
      <w:r w:rsidRPr="00BC5B58">
        <w:rPr>
          <w:rStyle w:val="aff4"/>
          <w:rFonts w:hint="cs"/>
          <w:vanish/>
          <w:rtl/>
        </w:rPr>
        <w:t>-</w:t>
      </w:r>
      <w:r>
        <w:rPr>
          <w:rFonts w:hint="cs"/>
          <w:rtl/>
        </w:rPr>
        <w:t>.</w:t>
      </w:r>
      <w:bookmarkEnd w:id="1126"/>
    </w:p>
    <w:p w14:paraId="425BFCA7" w14:textId="77777777" w:rsidR="00D31714" w:rsidRPr="00747170" w:rsidRDefault="00D31714" w:rsidP="00747170">
      <w:pPr>
        <w:pStyle w:val="a2"/>
        <w:rPr>
          <w:rtl/>
        </w:rPr>
      </w:pPr>
      <w:r w:rsidRPr="00747170">
        <w:rPr>
          <w:rtl/>
        </w:rPr>
        <w:t>גבשושית של עפר וכו'. פ' המוציא (שבת פ"א:) פרפיסא היה מונח ע"ג קרקע והניחו ע"ג יתדות חייב משום תולש היה מונח ע"ג יתדות והניחו על גבי קרקע חייב משום נוטע ע"כ, ופי' רבינו פרפיסא גבשושית. ורש"י ז"ל כתב ול"נ דהאי חייב לאו דוקא אלא אסור משום דדמי לתולש דאי חייב משום תולש קאמר היכי שרו רבנן לצורך קינוח איסור כרת וסקילה, עכ"ל. ונראה שלא היה גורס בההיא דצרור חייב חטאת אלא חייב בלבד. ורבינו לא הזכיר היתר קנוח בצרור שעלו בו עשבים והוא מבואר שם במימרא דרשב"ל הזכרתיה למעלה. ואפשר שדעת רבינו ז"ל היא שההיתר הוא כשהצרור מונח על גבי יתדות ונסמך על מה שהזכיר פרק ט' היה לפניו צרור וכו'. ואף על פי שלא נזכר שם צרור שעלו בו עשבים כיון שמונח על גבי יתדות אין איסור מחמת עשבים:</w:t>
      </w:r>
    </w:p>
    <w:p w14:paraId="5DF85E92" w14:textId="6A7A5B8E" w:rsidR="00D31714" w:rsidRDefault="00D31714" w:rsidP="00D31714">
      <w:pPr>
        <w:pStyle w:val="afffff7"/>
        <w:rPr>
          <w:rtl/>
        </w:rPr>
      </w:pPr>
      <w:bookmarkStart w:id="1127" w:name="_Toc135513729"/>
      <w:bookmarkStart w:id="1128" w:name="_Toc135670256"/>
      <w:bookmarkStart w:id="1129" w:name="_Toc163505557"/>
      <w:r>
        <w:rPr>
          <w:rtl/>
        </w:rPr>
        <w:t>חדושי מים חיים שבת פ"ח ה"ד</w:t>
      </w:r>
      <w:bookmarkEnd w:id="1127"/>
      <w:bookmarkEnd w:id="1128"/>
      <w:bookmarkEnd w:id="1129"/>
    </w:p>
    <w:p w14:paraId="1C50E0F5" w14:textId="77777777" w:rsidR="00D31714" w:rsidRDefault="00D31714" w:rsidP="00D31714">
      <w:pPr>
        <w:pStyle w:val="a7"/>
        <w:rPr>
          <w:rtl/>
        </w:rPr>
      </w:pPr>
      <w:bookmarkStart w:id="1130" w:name="_Toc135588024"/>
      <w:bookmarkStart w:id="1131" w:name="_Toc135669970"/>
      <w:r>
        <w:rPr>
          <w:rFonts w:hint="cs"/>
          <w:rtl/>
        </w:rPr>
        <w:t>בי' הפר"ח ברמב"ם דס"ל דאביי פליג על ר"ל דהתיר לקנח בצרור וס"ל דאסור מדאו' וכן קיי"ל</w:t>
      </w:r>
      <w:bookmarkEnd w:id="1130"/>
      <w:bookmarkEnd w:id="1131"/>
    </w:p>
    <w:p w14:paraId="65D2C947" w14:textId="415313FF" w:rsidR="00D31714" w:rsidRPr="0071574C" w:rsidRDefault="00D31714" w:rsidP="00BC7DC8">
      <w:pPr>
        <w:pStyle w:val="a3"/>
        <w:rPr>
          <w:rtl/>
        </w:rPr>
      </w:pPr>
      <w:bookmarkStart w:id="1132" w:name="_Ref134983501"/>
      <w:r w:rsidRPr="00BC5B58">
        <w:rPr>
          <w:rStyle w:val="aff4"/>
          <w:rFonts w:hint="cs"/>
          <w:vanish/>
          <w:rtl/>
        </w:rPr>
        <w:t>-</w:t>
      </w:r>
      <w:r w:rsidRPr="009C1791">
        <w:rPr>
          <w:rStyle w:val="aff4"/>
          <w:rFonts w:hint="cs"/>
          <w:rtl/>
        </w:rPr>
        <w:t>וה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Ref134983501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מב)</w:t>
      </w:r>
      <w:r w:rsidRPr="00B53404">
        <w:rPr>
          <w:rStyle w:val="aff4"/>
          <w:vanish/>
          <w:rtl/>
        </w:rPr>
        <w:fldChar w:fldCharType="end"/>
      </w:r>
      <w:r w:rsidRPr="00B53404">
        <w:rPr>
          <w:rStyle w:val="aff4"/>
          <w:rFonts w:hint="cs"/>
          <w:vanish/>
          <w:rtl/>
        </w:rPr>
        <w:t xml:space="preserve"> &gt;</w:t>
      </w:r>
      <w:r w:rsidRPr="009C1791">
        <w:rPr>
          <w:rStyle w:val="aff4"/>
          <w:rFonts w:hint="cs"/>
          <w:rtl/>
        </w:rPr>
        <w:t>פר"ח בספר מים חיים</w:t>
      </w:r>
      <w:r w:rsidRPr="00BC5B58">
        <w:rPr>
          <w:rStyle w:val="aff4"/>
          <w:rFonts w:hint="cs"/>
          <w:vanish/>
          <w:rtl/>
        </w:rPr>
        <w:t>-</w:t>
      </w:r>
      <w:r>
        <w:rPr>
          <w:rFonts w:hint="cs"/>
          <w:rtl/>
        </w:rPr>
        <w:t xml:space="preserve"> </w:t>
      </w:r>
      <w:r w:rsidRPr="00A3054F">
        <w:rPr>
          <w:rStyle w:val="af2"/>
          <w:rFonts w:eastAsia="Guttman Hodes" w:hint="cs"/>
          <w:rtl/>
        </w:rPr>
        <w:t>(שבת פ"ח ה"ד, נד' בסוף רמב"ם מהדו' פרנקל בספר הליקוטים)</w:t>
      </w:r>
      <w:r w:rsidRPr="00BC5B58">
        <w:rPr>
          <w:rFonts w:hint="cs"/>
          <w:vanish/>
          <w:rtl/>
        </w:rPr>
        <w:t>=</w:t>
      </w:r>
      <w:r>
        <w:rPr>
          <w:rFonts w:hint="cs"/>
          <w:rtl/>
        </w:rPr>
        <w:t xml:space="preserve"> ביאר דס"ל </w:t>
      </w:r>
      <w:r w:rsidRPr="00BC5B58">
        <w:rPr>
          <w:rStyle w:val="aff4"/>
          <w:rFonts w:hint="cs"/>
          <w:vanish/>
          <w:rtl/>
        </w:rPr>
        <w:t>-</w:t>
      </w:r>
      <w:r w:rsidRPr="009C1791">
        <w:rPr>
          <w:rStyle w:val="aff4"/>
          <w:rFonts w:hint="cs"/>
          <w:rtl/>
        </w:rPr>
        <w:t>להרמב"ם</w:t>
      </w:r>
      <w:r w:rsidRPr="00BC5B58">
        <w:rPr>
          <w:rStyle w:val="aff4"/>
          <w:rFonts w:hint="cs"/>
          <w:vanish/>
          <w:rtl/>
        </w:rPr>
        <w:t>-</w:t>
      </w:r>
      <w:r>
        <w:rPr>
          <w:rFonts w:hint="cs"/>
          <w:rtl/>
        </w:rPr>
        <w:t xml:space="preserve"> דאביי דחייב בפרפיסא משום תולש מדאו', פליג על ר"ל דהתיר בצרור, דכיון דהוא אסור מדאו', פשיטא דאסור לקנח בו, </w:t>
      </w:r>
      <w:r w:rsidRPr="00BC5B58">
        <w:rPr>
          <w:rStyle w:val="aff4"/>
          <w:rFonts w:hint="cs"/>
          <w:vanish/>
          <w:rtl/>
        </w:rPr>
        <w:t>-</w:t>
      </w:r>
      <w:r w:rsidRPr="009C1791">
        <w:rPr>
          <w:rStyle w:val="aff4"/>
          <w:rFonts w:hint="cs"/>
          <w:rtl/>
        </w:rPr>
        <w:t>והרמב"ם</w:t>
      </w:r>
      <w:r w:rsidRPr="00BC5B58">
        <w:rPr>
          <w:rStyle w:val="aff4"/>
          <w:rFonts w:hint="cs"/>
          <w:vanish/>
          <w:rtl/>
        </w:rPr>
        <w:t>-</w:t>
      </w:r>
      <w:r>
        <w:rPr>
          <w:rFonts w:hint="cs"/>
          <w:rtl/>
        </w:rPr>
        <w:t xml:space="preserve"> פסק כאביי ולכן השמיט את דברי ר"ל.</w:t>
      </w:r>
      <w:bookmarkEnd w:id="1132"/>
    </w:p>
    <w:p w14:paraId="6280A46C" w14:textId="77777777" w:rsidR="00D31714" w:rsidRPr="00747170" w:rsidRDefault="00D31714" w:rsidP="00747170">
      <w:pPr>
        <w:pStyle w:val="a2"/>
        <w:rPr>
          <w:rtl/>
        </w:rPr>
      </w:pPr>
      <w:r w:rsidRPr="00747170">
        <w:rPr>
          <w:rtl/>
        </w:rPr>
        <w:t>עוד תמה הרב המגיד דרבינו לא הזכיר היתר קינוח בצרור. ולי נראה דאביי בההיא דפרפיסא ור"ל פליגי ולאביי כיון דמחייב עליו מן התורה פשיטא דאסור לקנוחי ביה וזה שהשמיט הרב היתר קנוח בצרור שעלו בו עשבים דקיי"ל כאביי דבתראי הוא וזה ברור:</w:t>
      </w:r>
    </w:p>
    <w:p w14:paraId="7C30B832" w14:textId="2EBBCB80" w:rsidR="00D31714" w:rsidRDefault="00D31714" w:rsidP="00D31714">
      <w:pPr>
        <w:pStyle w:val="afffff7"/>
        <w:rPr>
          <w:rtl/>
        </w:rPr>
      </w:pPr>
      <w:bookmarkStart w:id="1133" w:name="_Toc135513730"/>
      <w:bookmarkStart w:id="1134" w:name="_Toc135670257"/>
      <w:bookmarkStart w:id="1135" w:name="_Toc163505558"/>
      <w:r>
        <w:rPr>
          <w:rtl/>
        </w:rPr>
        <w:t>אור שמח שבת פ"ח ה"ד</w:t>
      </w:r>
      <w:bookmarkEnd w:id="1133"/>
      <w:bookmarkEnd w:id="1134"/>
      <w:bookmarkEnd w:id="1135"/>
    </w:p>
    <w:p w14:paraId="741744C1" w14:textId="77777777" w:rsidR="00D31714" w:rsidRDefault="00D31714" w:rsidP="00D31714">
      <w:pPr>
        <w:pStyle w:val="a7"/>
        <w:rPr>
          <w:rtl/>
        </w:rPr>
      </w:pPr>
      <w:bookmarkStart w:id="1136" w:name="_Toc135588025"/>
      <w:bookmarkStart w:id="1137" w:name="_Toc135669971"/>
      <w:r>
        <w:rPr>
          <w:rFonts w:hint="cs"/>
          <w:rtl/>
        </w:rPr>
        <w:t>בי' האו"ש דגבשושית עפר בטלה לעפר והוי תולש מדאו' ור"ל התיר בצרור הוא בפנ"ע ולא בטל</w:t>
      </w:r>
      <w:bookmarkEnd w:id="1136"/>
      <w:bookmarkEnd w:id="1137"/>
      <w:r>
        <w:rPr>
          <w:rFonts w:hint="cs"/>
          <w:rtl/>
        </w:rPr>
        <w:t xml:space="preserve"> </w:t>
      </w:r>
    </w:p>
    <w:p w14:paraId="3BB5A436" w14:textId="33BD7947" w:rsidR="00D31714" w:rsidRDefault="00D31714" w:rsidP="00BC7DC8">
      <w:pPr>
        <w:pStyle w:val="a3"/>
        <w:rPr>
          <w:rtl/>
        </w:rPr>
      </w:pPr>
      <w:bookmarkStart w:id="1138" w:name="_Ref134983328"/>
      <w:r w:rsidRPr="00BC5B58">
        <w:rPr>
          <w:rStyle w:val="aff4"/>
          <w:rFonts w:hint="cs"/>
          <w:vanish/>
          <w:rtl/>
        </w:rPr>
        <w:t>-</w:t>
      </w:r>
      <w:r w:rsidRPr="009C1791">
        <w:rPr>
          <w:rStyle w:val="aff4"/>
          <w:rFonts w:hint="cs"/>
          <w:rtl/>
        </w:rPr>
        <w:t>וה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Ref134983328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מג)</w:t>
      </w:r>
      <w:r w:rsidRPr="00B53404">
        <w:rPr>
          <w:rStyle w:val="aff4"/>
          <w:vanish/>
          <w:rtl/>
        </w:rPr>
        <w:fldChar w:fldCharType="end"/>
      </w:r>
      <w:r w:rsidRPr="00B53404">
        <w:rPr>
          <w:rStyle w:val="aff4"/>
          <w:rFonts w:hint="cs"/>
          <w:vanish/>
          <w:rtl/>
        </w:rPr>
        <w:t xml:space="preserve"> &gt;</w:t>
      </w:r>
      <w:r w:rsidRPr="009C1791">
        <w:rPr>
          <w:rStyle w:val="aff4"/>
          <w:rFonts w:hint="cs"/>
          <w:rtl/>
        </w:rPr>
        <w:t>או"ש</w:t>
      </w:r>
      <w:r w:rsidRPr="00BC5B58">
        <w:rPr>
          <w:rStyle w:val="aff4"/>
          <w:rFonts w:hint="cs"/>
          <w:vanish/>
          <w:rtl/>
        </w:rPr>
        <w:t>-</w:t>
      </w:r>
      <w:r>
        <w:rPr>
          <w:rFonts w:hint="cs"/>
          <w:rtl/>
        </w:rPr>
        <w:t xml:space="preserve"> </w:t>
      </w:r>
      <w:r w:rsidRPr="00A3054F">
        <w:rPr>
          <w:rStyle w:val="af2"/>
          <w:rFonts w:eastAsia="Guttman Hodes" w:hint="cs"/>
          <w:rtl/>
        </w:rPr>
        <w:t>(שבת פ"ח ה"ד)</w:t>
      </w:r>
      <w:r w:rsidRPr="00BC5B58">
        <w:rPr>
          <w:rFonts w:hint="cs"/>
          <w:vanish/>
          <w:rtl/>
        </w:rPr>
        <w:t>=</w:t>
      </w:r>
      <w:r>
        <w:rPr>
          <w:rFonts w:hint="cs"/>
          <w:rtl/>
        </w:rPr>
        <w:t xml:space="preserve"> ביאר דס"ל </w:t>
      </w:r>
      <w:r w:rsidRPr="00BC5B58">
        <w:rPr>
          <w:rStyle w:val="aff4"/>
          <w:rFonts w:hint="cs"/>
          <w:vanish/>
          <w:rtl/>
        </w:rPr>
        <w:t>-</w:t>
      </w:r>
      <w:r w:rsidRPr="009C1791">
        <w:rPr>
          <w:rStyle w:val="aff4"/>
          <w:rFonts w:hint="cs"/>
          <w:rtl/>
        </w:rPr>
        <w:t>להרמב"ם</w:t>
      </w:r>
      <w:r w:rsidRPr="00BC5B58">
        <w:rPr>
          <w:rStyle w:val="aff4"/>
          <w:rFonts w:hint="cs"/>
          <w:vanish/>
          <w:rtl/>
        </w:rPr>
        <w:t>-</w:t>
      </w:r>
      <w:r>
        <w:rPr>
          <w:rFonts w:hint="cs"/>
          <w:rtl/>
        </w:rPr>
        <w:t xml:space="preserve"> </w:t>
      </w:r>
      <w:r w:rsidRPr="00A3054F">
        <w:rPr>
          <w:rStyle w:val="af2"/>
          <w:rFonts w:eastAsia="Guttman Hodes" w:hint="cs"/>
          <w:rtl/>
        </w:rPr>
        <w:t xml:space="preserve">(עי' אות </w:t>
      </w:r>
      <w:r w:rsidRPr="00A3054F">
        <w:rPr>
          <w:rStyle w:val="af2"/>
          <w:rFonts w:eastAsia="Guttman Hodes"/>
          <w:rtl/>
        </w:rPr>
        <w:fldChar w:fldCharType="begin"/>
      </w:r>
      <w:r w:rsidRPr="00A3054F">
        <w:rPr>
          <w:rStyle w:val="af2"/>
          <w:rFonts w:eastAsia="Guttman Hodes"/>
          <w:rtl/>
        </w:rPr>
        <w:instrText xml:space="preserve"> </w:instrText>
      </w:r>
      <w:r w:rsidRPr="00A3054F">
        <w:rPr>
          <w:rStyle w:val="af2"/>
          <w:rFonts w:eastAsia="Guttman Hodes" w:hint="cs"/>
        </w:rPr>
        <w:instrText>REF</w:instrText>
      </w:r>
      <w:r w:rsidRPr="00A3054F">
        <w:rPr>
          <w:rStyle w:val="af2"/>
          <w:rFonts w:eastAsia="Guttman Hodes" w:hint="cs"/>
          <w:rtl/>
        </w:rPr>
        <w:instrText xml:space="preserve"> _</w:instrText>
      </w:r>
      <w:r w:rsidRPr="00A3054F">
        <w:rPr>
          <w:rStyle w:val="af2"/>
          <w:rFonts w:eastAsia="Guttman Hodes" w:hint="cs"/>
        </w:rPr>
        <w:instrText>Ref134736415 \r \h</w:instrText>
      </w:r>
      <w:r w:rsidRPr="00A3054F">
        <w:rPr>
          <w:rStyle w:val="af2"/>
          <w:rFonts w:eastAsia="Guttman Hodes"/>
          <w:rtl/>
        </w:rPr>
        <w:instrText xml:space="preserve"> </w:instrText>
      </w:r>
      <w:r w:rsidRPr="00A3054F">
        <w:rPr>
          <w:rStyle w:val="af2"/>
          <w:rFonts w:eastAsia="Guttman Hodes"/>
          <w:rtl/>
        </w:rPr>
      </w:r>
      <w:r w:rsidRPr="00A3054F">
        <w:rPr>
          <w:rStyle w:val="af2"/>
          <w:rFonts w:eastAsia="Guttman Hodes"/>
          <w:rtl/>
        </w:rPr>
        <w:fldChar w:fldCharType="separate"/>
      </w:r>
      <w:r w:rsidR="00D82181">
        <w:rPr>
          <w:rStyle w:val="af2"/>
          <w:rFonts w:eastAsia="Guttman Hodes"/>
          <w:cs/>
        </w:rPr>
        <w:t>‎</w:t>
      </w:r>
      <w:r w:rsidR="00D82181">
        <w:rPr>
          <w:rStyle w:val="af2"/>
          <w:rFonts w:eastAsia="Guttman Hodes"/>
          <w:rtl/>
        </w:rPr>
        <w:t>מ)</w:t>
      </w:r>
      <w:r w:rsidRPr="00A3054F">
        <w:rPr>
          <w:rStyle w:val="af2"/>
          <w:rFonts w:eastAsia="Guttman Hodes"/>
          <w:rtl/>
        </w:rPr>
        <w:fldChar w:fldCharType="end"/>
      </w:r>
      <w:r>
        <w:rPr>
          <w:rFonts w:hint="cs"/>
          <w:rtl/>
        </w:rPr>
        <w:t xml:space="preserve"> שיש חילוק בין גבשושית של עפר לבין צרור, דהגבשושית כיון שהיא עשויה מעפר היא בטלה לו, וכיון שהעשבים שעל גבה גדלים מהלחלוחית של העפר לכן כל שממעט את יניקת הגבשושית חייב, אבל צרור שעלו בו עשבים, דהתיר ר"ל לקנח בו, ס"ל </w:t>
      </w:r>
      <w:r w:rsidRPr="00BC5B58">
        <w:rPr>
          <w:rStyle w:val="aff4"/>
          <w:rFonts w:hint="cs"/>
          <w:vanish/>
          <w:rtl/>
        </w:rPr>
        <w:t>-</w:t>
      </w:r>
      <w:r w:rsidRPr="009C1791">
        <w:rPr>
          <w:rStyle w:val="aff4"/>
          <w:rFonts w:hint="cs"/>
          <w:rtl/>
        </w:rPr>
        <w:t>להרמב"ם</w:t>
      </w:r>
      <w:r w:rsidRPr="00BC5B58">
        <w:rPr>
          <w:rStyle w:val="aff4"/>
          <w:rFonts w:hint="cs"/>
          <w:vanish/>
          <w:rtl/>
        </w:rPr>
        <w:t>-</w:t>
      </w:r>
      <w:r>
        <w:rPr>
          <w:rFonts w:hint="cs"/>
          <w:rtl/>
        </w:rPr>
        <w:t xml:space="preserve"> דכיון שהוא דבר בפנ"ע ואינו בטל לעפר, לכן כשמגביה אותה מהקרקע אינו תולש, ובפרפיסא ההיתר הוא רק במונח ע"ג יתדות, אבל בצרור אף במונח ע"ג קרקע מותר.</w:t>
      </w:r>
      <w:bookmarkEnd w:id="1138"/>
    </w:p>
    <w:p w14:paraId="42698E73" w14:textId="77777777" w:rsidR="00D31714" w:rsidRPr="00747170" w:rsidRDefault="00D31714" w:rsidP="00747170">
      <w:pPr>
        <w:pStyle w:val="a2"/>
        <w:rPr>
          <w:rtl/>
        </w:rPr>
      </w:pPr>
      <w:r w:rsidRPr="00747170">
        <w:rPr>
          <w:rtl/>
        </w:rPr>
        <w:t>[ד] גבשושית, של עפר כו', חייב משום תולש.</w:t>
      </w:r>
    </w:p>
    <w:p w14:paraId="668A9BA8" w14:textId="77777777" w:rsidR="00D31714" w:rsidRPr="0074537A" w:rsidRDefault="00D31714" w:rsidP="00747170">
      <w:pPr>
        <w:pStyle w:val="afffff5"/>
        <w:rPr>
          <w:rtl/>
        </w:rPr>
      </w:pPr>
      <w:r w:rsidRPr="0074537A">
        <w:rPr>
          <w:rtl/>
        </w:rPr>
        <w:t>פירש, דווקא בגבשושית של עפר, שכשהיא מונחת ע"ג עפר בטילה היא להעפר, וגדילה מלחלוחית העפר, ולכן כי מיעט יניקתה חייב, אבל צרור שעלו בו עשבים כי מונח ע"ג קרקע שרי לטלטלו ולקנח בו (שם פ"א ע"ב), דהעשבים מלחלוחית הצרור רבי, והצרור הוא דבר אחר מהעפר ומובדל ממנו, ומה שנתלש ממנו העשבים זה הוי דבר שאינו מתכוין, ופרפיסא דסבר לומר (שם) דשרי לטלטולי היינו שמונח ע"ג יתדות, אבל צרור אפילו מונח ע"ג קרקע.</w:t>
      </w:r>
    </w:p>
    <w:p w14:paraId="6E82599D" w14:textId="77777777" w:rsidR="00D31714" w:rsidRDefault="00D31714" w:rsidP="00D31714">
      <w:pPr>
        <w:pStyle w:val="afffff7"/>
        <w:rPr>
          <w:rtl/>
        </w:rPr>
      </w:pPr>
      <w:bookmarkStart w:id="1139" w:name="_Toc135513733"/>
      <w:bookmarkStart w:id="1140" w:name="_Toc135670258"/>
      <w:bookmarkStart w:id="1141" w:name="_Toc135588026"/>
      <w:bookmarkStart w:id="1142" w:name="_Toc163505559"/>
      <w:r>
        <w:rPr>
          <w:rtl/>
        </w:rPr>
        <w:t xml:space="preserve">אגלי טל קוצר </w:t>
      </w:r>
      <w:r>
        <w:rPr>
          <w:rFonts w:hint="cs"/>
          <w:rtl/>
        </w:rPr>
        <w:t>סק"ו</w:t>
      </w:r>
      <w:bookmarkEnd w:id="1139"/>
      <w:bookmarkEnd w:id="1140"/>
      <w:bookmarkEnd w:id="1142"/>
    </w:p>
    <w:p w14:paraId="19B4D738" w14:textId="77777777" w:rsidR="00D31714" w:rsidRDefault="00D31714" w:rsidP="00D31714">
      <w:pPr>
        <w:pStyle w:val="a7"/>
        <w:rPr>
          <w:rtl/>
        </w:rPr>
      </w:pPr>
      <w:bookmarkStart w:id="1143" w:name="_Toc135513577"/>
      <w:bookmarkStart w:id="1144" w:name="_Toc135669972"/>
      <w:r>
        <w:rPr>
          <w:rFonts w:hint="cs"/>
          <w:rtl/>
        </w:rPr>
        <w:t>בי' האגל"ט דלרש"י ותוס' תולש דאו' ולרמב"ם דרבנן דנח' בגמ' בגיטין אי ע"ג יתדות הוי תלוש</w:t>
      </w:r>
      <w:bookmarkEnd w:id="1143"/>
      <w:bookmarkEnd w:id="1144"/>
    </w:p>
    <w:p w14:paraId="49B14A7F" w14:textId="63DA7C6F" w:rsidR="00D31714" w:rsidRDefault="00D31714" w:rsidP="00BC7DC8">
      <w:pPr>
        <w:pStyle w:val="a3"/>
      </w:pPr>
      <w:bookmarkStart w:id="1145" w:name="_Ref135236688"/>
      <w:r>
        <w:rPr>
          <w:rFonts w:hint="cs"/>
          <w:rtl/>
        </w:rPr>
        <w:t xml:space="preserve">במ"ש </w:t>
      </w:r>
      <w:r w:rsidRPr="00BE599A">
        <w:rPr>
          <w:rStyle w:val="aff4"/>
          <w:rFonts w:hint="cs"/>
          <w:vanish/>
          <w:rtl/>
        </w:rPr>
        <w:t>-</w:t>
      </w:r>
      <w:r w:rsidRPr="000614F7">
        <w:rPr>
          <w:rStyle w:val="aff4"/>
          <w:rFonts w:hint="cs"/>
          <w:rtl/>
        </w:rPr>
        <w:t>רש"י לקמן</w:t>
      </w:r>
      <w:r w:rsidRPr="00BE599A">
        <w:rPr>
          <w:rStyle w:val="aff4"/>
          <w:rFonts w:hint="cs"/>
          <w:vanish/>
          <w:rtl/>
        </w:rPr>
        <w:t>-</w:t>
      </w:r>
      <w:r>
        <w:rPr>
          <w:rFonts w:hint="cs"/>
          <w:rtl/>
        </w:rPr>
        <w:t xml:space="preserve"> </w:t>
      </w:r>
      <w:r w:rsidRPr="00FB451D">
        <w:rPr>
          <w:rStyle w:val="af2"/>
          <w:rFonts w:eastAsia="Guttman Hodes" w:hint="cs"/>
          <w:rtl/>
        </w:rPr>
        <w:t xml:space="preserve">(עי' אות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Ref134956345 \r \h</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לו)</w:t>
      </w:r>
      <w:r w:rsidRPr="00FB451D">
        <w:rPr>
          <w:rStyle w:val="af2"/>
          <w:rFonts w:eastAsia="Guttman Hodes"/>
          <w:rtl/>
        </w:rPr>
        <w:fldChar w:fldCharType="end"/>
      </w:r>
      <w:r>
        <w:rPr>
          <w:rFonts w:hint="cs"/>
          <w:rtl/>
        </w:rPr>
        <w:t xml:space="preserve"> </w:t>
      </w:r>
      <w:r w:rsidRPr="0051221E">
        <w:rPr>
          <w:rStyle w:val="aff4"/>
          <w:rFonts w:hint="cs"/>
          <w:vanish/>
          <w:rtl/>
        </w:rPr>
        <w:t>-</w:t>
      </w:r>
      <w:r w:rsidRPr="000614F7">
        <w:rPr>
          <w:rStyle w:val="aff4"/>
          <w:rFonts w:hint="cs"/>
          <w:rtl/>
        </w:rPr>
        <w:t>ותוס' לקמן</w:t>
      </w:r>
      <w:r w:rsidRPr="0051221E">
        <w:rPr>
          <w:rStyle w:val="aff4"/>
          <w:rFonts w:hint="cs"/>
          <w:vanish/>
          <w:rtl/>
        </w:rPr>
        <w:t>-</w:t>
      </w:r>
      <w:r>
        <w:rPr>
          <w:rFonts w:hint="cs"/>
          <w:rtl/>
        </w:rPr>
        <w:t xml:space="preserve"> </w:t>
      </w:r>
      <w:r w:rsidRPr="00FB451D">
        <w:rPr>
          <w:rStyle w:val="af2"/>
          <w:rFonts w:eastAsia="Guttman Hodes" w:hint="cs"/>
          <w:rtl/>
        </w:rPr>
        <w:t xml:space="preserve">(עי' </w:t>
      </w:r>
      <w:r w:rsidRPr="00DF3ED0">
        <w:rPr>
          <w:rStyle w:val="af2"/>
          <w:rFonts w:eastAsia="Guttman Hodes" w:hint="cs"/>
          <w:rtl/>
        </w:rPr>
        <w:t xml:space="preserve">אות </w:t>
      </w:r>
      <w:r w:rsidRPr="00DF3ED0">
        <w:rPr>
          <w:rStyle w:val="af2"/>
          <w:rFonts w:eastAsia="Guttman Hodes"/>
          <w:rtl/>
        </w:rPr>
        <w:fldChar w:fldCharType="begin"/>
      </w:r>
      <w:r w:rsidRPr="00DF3ED0">
        <w:rPr>
          <w:rStyle w:val="af2"/>
          <w:rFonts w:eastAsia="Guttman Hodes"/>
          <w:rtl/>
        </w:rPr>
        <w:instrText xml:space="preserve"> </w:instrText>
      </w:r>
      <w:r w:rsidRPr="00DF3ED0">
        <w:rPr>
          <w:rStyle w:val="af2"/>
          <w:rFonts w:eastAsia="Guttman Hodes" w:hint="cs"/>
        </w:rPr>
        <w:instrText>REF</w:instrText>
      </w:r>
      <w:r w:rsidRPr="00DF3ED0">
        <w:rPr>
          <w:rStyle w:val="af2"/>
          <w:rFonts w:eastAsia="Guttman Hodes" w:hint="cs"/>
          <w:rtl/>
        </w:rPr>
        <w:instrText xml:space="preserve"> _</w:instrText>
      </w:r>
      <w:r w:rsidRPr="00DF3ED0">
        <w:rPr>
          <w:rStyle w:val="af2"/>
          <w:rFonts w:eastAsia="Guttman Hodes" w:hint="cs"/>
        </w:rPr>
        <w:instrText>Ref135383793 \r \h</w:instrText>
      </w:r>
      <w:r w:rsidRPr="00DF3ED0">
        <w:rPr>
          <w:rStyle w:val="af2"/>
          <w:rFonts w:eastAsia="Guttman Hodes"/>
          <w:rtl/>
        </w:rPr>
        <w:instrText xml:space="preserve"> </w:instrText>
      </w:r>
      <w:r w:rsidRPr="00DF3ED0">
        <w:rPr>
          <w:rStyle w:val="af2"/>
          <w:rFonts w:eastAsia="Guttman Hodes"/>
          <w:rtl/>
        </w:rPr>
      </w:r>
      <w:r w:rsidRPr="00DF3ED0">
        <w:rPr>
          <w:rStyle w:val="af2"/>
          <w:rFonts w:eastAsia="Guttman Hodes"/>
          <w:rtl/>
        </w:rPr>
        <w:fldChar w:fldCharType="separate"/>
      </w:r>
      <w:r w:rsidR="00D82181">
        <w:rPr>
          <w:rStyle w:val="af2"/>
          <w:rFonts w:eastAsia="Guttman Hodes"/>
          <w:cs/>
        </w:rPr>
        <w:t>‎</w:t>
      </w:r>
      <w:r w:rsidR="00D82181">
        <w:rPr>
          <w:rStyle w:val="af2"/>
          <w:rFonts w:eastAsia="Guttman Hodes"/>
          <w:rtl/>
        </w:rPr>
        <w:t>לז)</w:t>
      </w:r>
      <w:r w:rsidRPr="00DF3ED0">
        <w:rPr>
          <w:rStyle w:val="af2"/>
          <w:rFonts w:eastAsia="Guttman Hodes"/>
          <w:rtl/>
        </w:rPr>
        <w:fldChar w:fldCharType="end"/>
      </w:r>
      <w:r>
        <w:rPr>
          <w:rFonts w:hint="cs"/>
          <w:rtl/>
        </w:rPr>
        <w:t xml:space="preserve"> </w:t>
      </w:r>
      <w:r w:rsidRPr="00BE599A">
        <w:rPr>
          <w:rStyle w:val="aff4"/>
          <w:rFonts w:hint="cs"/>
          <w:vanish/>
          <w:rtl/>
        </w:rPr>
        <w:t>-</w:t>
      </w:r>
      <w:r>
        <w:rPr>
          <w:rFonts w:hint="cs"/>
          <w:rtl/>
        </w:rPr>
        <w:t xml:space="preserve">דהא דאמרינן בגמ' לקמן </w:t>
      </w:r>
      <w:r w:rsidRPr="00FB451D">
        <w:rPr>
          <w:rStyle w:val="af2"/>
          <w:rFonts w:eastAsia="Guttman Hodes" w:hint="cs"/>
          <w:rtl/>
        </w:rPr>
        <w:t>(פא:)</w:t>
      </w:r>
      <w:r>
        <w:rPr>
          <w:rFonts w:hint="cs"/>
          <w:rtl/>
        </w:rPr>
        <w:t xml:space="preserve"> דחייב משום תולש, הוא לאו דוקא ורק מדרבנן חשיב תולש, כתב </w:t>
      </w:r>
      <w:r w:rsidRPr="00BE599A">
        <w:rPr>
          <w:rStyle w:val="aff4"/>
          <w:rFonts w:hint="cs"/>
          <w:vanish/>
          <w:rtl/>
        </w:rPr>
        <w:t>-</w:t>
      </w:r>
      <w:r>
        <w:rPr>
          <w:rStyle w:val="aff4"/>
          <w:rFonts w:hint="cs"/>
          <w:rtl/>
        </w:rPr>
        <w:t>ה</w:t>
      </w:r>
      <w:r>
        <w:rPr>
          <w:rFonts w:hint="cs"/>
          <w:vanish/>
          <w:rtl/>
        </w:rPr>
        <w:t xml:space="preserve">&lt;. </w:t>
      </w:r>
      <w:r>
        <w:rPr>
          <w:vanish/>
          <w:rtl/>
        </w:rPr>
        <w:fldChar w:fldCharType="begin"/>
      </w:r>
      <w:r>
        <w:rPr>
          <w:vanish/>
          <w:rtl/>
        </w:rPr>
        <w:instrText xml:space="preserve"> </w:instrText>
      </w:r>
      <w:r>
        <w:rPr>
          <w:rFonts w:hint="cs"/>
          <w:vanish/>
        </w:rPr>
        <w:instrText>REF</w:instrText>
      </w:r>
      <w:r>
        <w:rPr>
          <w:rFonts w:hint="cs"/>
          <w:vanish/>
          <w:rtl/>
        </w:rPr>
        <w:instrText xml:space="preserve"> _</w:instrText>
      </w:r>
      <w:r>
        <w:rPr>
          <w:rFonts w:hint="cs"/>
          <w:vanish/>
        </w:rPr>
        <w:instrText>Ref135236688 \r \h</w:instrText>
      </w:r>
      <w:r>
        <w:rPr>
          <w:vanish/>
          <w:rtl/>
        </w:rPr>
        <w:instrText xml:space="preserve"> </w:instrText>
      </w:r>
      <w:r>
        <w:rPr>
          <w:vanish/>
          <w:rtl/>
        </w:rPr>
      </w:r>
      <w:r>
        <w:rPr>
          <w:vanish/>
          <w:rtl/>
        </w:rPr>
        <w:fldChar w:fldCharType="separate"/>
      </w:r>
      <w:r w:rsidR="00D82181">
        <w:rPr>
          <w:vanish/>
          <w:cs/>
        </w:rPr>
        <w:t>‎</w:t>
      </w:r>
      <w:r w:rsidR="00D82181">
        <w:rPr>
          <w:vanish/>
          <w:rtl/>
        </w:rPr>
        <w:t>מד)</w:t>
      </w:r>
      <w:r>
        <w:rPr>
          <w:vanish/>
          <w:rtl/>
        </w:rPr>
        <w:fldChar w:fldCharType="end"/>
      </w:r>
      <w:r>
        <w:rPr>
          <w:rFonts w:hint="cs"/>
          <w:vanish/>
          <w:rtl/>
        </w:rPr>
        <w:t xml:space="preserve"> &gt;</w:t>
      </w:r>
      <w:r w:rsidRPr="00BE599A">
        <w:rPr>
          <w:rStyle w:val="aff4"/>
          <w:rFonts w:hint="cs"/>
          <w:rtl/>
        </w:rPr>
        <w:t>אגלי טל</w:t>
      </w:r>
      <w:r w:rsidRPr="00BE599A">
        <w:rPr>
          <w:rStyle w:val="aff4"/>
          <w:rFonts w:hint="cs"/>
          <w:vanish/>
          <w:rtl/>
        </w:rPr>
        <w:t>-</w:t>
      </w:r>
      <w:r>
        <w:rPr>
          <w:rFonts w:hint="cs"/>
          <w:rtl/>
        </w:rPr>
        <w:t xml:space="preserve"> </w:t>
      </w:r>
      <w:r w:rsidRPr="00FB451D">
        <w:rPr>
          <w:rStyle w:val="af2"/>
          <w:rFonts w:eastAsia="Guttman Hodes" w:hint="cs"/>
          <w:rtl/>
        </w:rPr>
        <w:t>(קוצר סק"ו)</w:t>
      </w:r>
      <w:r w:rsidRPr="00BE599A">
        <w:rPr>
          <w:rFonts w:hint="cs"/>
          <w:vanish/>
          <w:rtl/>
        </w:rPr>
        <w:t>=</w:t>
      </w:r>
      <w:r w:rsidRPr="009E7321">
        <w:rPr>
          <w:rFonts w:hint="cs"/>
          <w:rtl/>
        </w:rPr>
        <w:t xml:space="preserve"> </w:t>
      </w:r>
      <w:r>
        <w:rPr>
          <w:rFonts w:hint="cs"/>
          <w:rtl/>
        </w:rPr>
        <w:t xml:space="preserve">דמהא דכתב </w:t>
      </w:r>
      <w:r w:rsidRPr="00BE599A">
        <w:rPr>
          <w:rStyle w:val="aff4"/>
          <w:rFonts w:hint="cs"/>
          <w:vanish/>
          <w:rtl/>
        </w:rPr>
        <w:t>-</w:t>
      </w:r>
      <w:r w:rsidRPr="00C65D8D">
        <w:rPr>
          <w:rStyle w:val="aff4"/>
          <w:rFonts w:hint="cs"/>
          <w:rtl/>
        </w:rPr>
        <w:t>הרמב"ם</w:t>
      </w:r>
      <w:r w:rsidRPr="00BE599A">
        <w:rPr>
          <w:rStyle w:val="aff4"/>
          <w:rFonts w:hint="cs"/>
          <w:vanish/>
          <w:rtl/>
        </w:rPr>
        <w:t>-</w:t>
      </w:r>
      <w:r>
        <w:rPr>
          <w:rFonts w:hint="cs"/>
          <w:rtl/>
        </w:rPr>
        <w:t xml:space="preserve"> </w:t>
      </w:r>
      <w:r w:rsidRPr="00FB451D">
        <w:rPr>
          <w:rStyle w:val="af2"/>
          <w:rFonts w:eastAsia="Guttman Hodes" w:hint="cs"/>
          <w:rtl/>
        </w:rPr>
        <w:t xml:space="preserve">(עי' אות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Ref134736415 \r \h</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מ)</w:t>
      </w:r>
      <w:r w:rsidRPr="00FB451D">
        <w:rPr>
          <w:rStyle w:val="af2"/>
          <w:rFonts w:eastAsia="Guttman Hodes"/>
          <w:rtl/>
        </w:rPr>
        <w:fldChar w:fldCharType="end"/>
      </w:r>
      <w:r>
        <w:rPr>
          <w:rFonts w:hint="cs"/>
          <w:rtl/>
        </w:rPr>
        <w:t xml:space="preserve"> דגבשושית שעלו בה עשבים, והגביה אותה מהקרקע, והניחה ע"ג יתדות, דחייב משום תולש, מבואר דלדעת </w:t>
      </w:r>
      <w:r w:rsidRPr="00BE599A">
        <w:rPr>
          <w:rStyle w:val="aff4"/>
          <w:rFonts w:hint="cs"/>
          <w:vanish/>
          <w:rtl/>
        </w:rPr>
        <w:t>-</w:t>
      </w:r>
      <w:r w:rsidRPr="000614F7">
        <w:rPr>
          <w:rStyle w:val="aff4"/>
          <w:rFonts w:hint="cs"/>
          <w:rtl/>
        </w:rPr>
        <w:t>הרמב"ם</w:t>
      </w:r>
      <w:r w:rsidRPr="00BE599A">
        <w:rPr>
          <w:rStyle w:val="aff4"/>
          <w:rFonts w:hint="cs"/>
          <w:vanish/>
          <w:rtl/>
        </w:rPr>
        <w:t>-</w:t>
      </w:r>
      <w:r>
        <w:rPr>
          <w:rFonts w:hint="cs"/>
          <w:rtl/>
        </w:rPr>
        <w:t xml:space="preserve"> חייב בתולש מדאו', דהא כתב </w:t>
      </w:r>
      <w:r w:rsidRPr="00BE599A">
        <w:rPr>
          <w:rStyle w:val="aff4"/>
          <w:rFonts w:hint="cs"/>
          <w:vanish/>
          <w:rtl/>
        </w:rPr>
        <w:t>-</w:t>
      </w:r>
      <w:r w:rsidRPr="000614F7">
        <w:rPr>
          <w:rStyle w:val="aff4"/>
          <w:rFonts w:hint="cs"/>
          <w:rtl/>
        </w:rPr>
        <w:t>הרמב"ם</w:t>
      </w:r>
      <w:r w:rsidRPr="00BE599A">
        <w:rPr>
          <w:rStyle w:val="aff4"/>
          <w:rFonts w:hint="cs"/>
          <w:vanish/>
          <w:rtl/>
        </w:rPr>
        <w:t>-</w:t>
      </w:r>
      <w:r>
        <w:rPr>
          <w:rFonts w:hint="cs"/>
          <w:rtl/>
        </w:rPr>
        <w:t xml:space="preserve"> </w:t>
      </w:r>
      <w:r w:rsidRPr="00FB451D">
        <w:rPr>
          <w:rStyle w:val="af2"/>
          <w:rFonts w:eastAsia="Guttman Hodes" w:hint="cs"/>
          <w:rtl/>
        </w:rPr>
        <w:t>(שבת פ"א ה"ב)</w:t>
      </w:r>
      <w:r>
        <w:rPr>
          <w:rFonts w:hint="cs"/>
          <w:rtl/>
        </w:rPr>
        <w:t xml:space="preserve"> דבכל מקום שכתב חייב, הוא חיוב דאו', וביאר </w:t>
      </w:r>
      <w:r w:rsidRPr="00B21A47">
        <w:rPr>
          <w:rStyle w:val="aff4"/>
          <w:rFonts w:hint="cs"/>
          <w:vanish/>
          <w:rtl/>
        </w:rPr>
        <w:t>-</w:t>
      </w:r>
      <w:r w:rsidRPr="00272A5B">
        <w:rPr>
          <w:rStyle w:val="aff4"/>
          <w:rFonts w:hint="cs"/>
          <w:rtl/>
        </w:rPr>
        <w:t>האגלי טל</w:t>
      </w:r>
      <w:r w:rsidRPr="00B21A47">
        <w:rPr>
          <w:rStyle w:val="aff4"/>
          <w:rFonts w:hint="cs"/>
          <w:vanish/>
          <w:rtl/>
        </w:rPr>
        <w:t>-</w:t>
      </w:r>
      <w:r>
        <w:rPr>
          <w:rFonts w:hint="cs"/>
          <w:rtl/>
        </w:rPr>
        <w:t xml:space="preserve"> דפלוגתתם תליא בביאור הסוגיא בגיטין </w:t>
      </w:r>
      <w:r w:rsidRPr="00FB451D">
        <w:rPr>
          <w:rStyle w:val="af2"/>
          <w:rFonts w:eastAsia="Guttman Hodes" w:hint="cs"/>
          <w:rtl/>
        </w:rPr>
        <w:t>(ז:)</w:t>
      </w:r>
      <w:r>
        <w:rPr>
          <w:rFonts w:hint="cs"/>
          <w:rtl/>
        </w:rPr>
        <w:t xml:space="preserve"> דלדעת </w:t>
      </w:r>
      <w:r w:rsidRPr="00B53404">
        <w:rPr>
          <w:rFonts w:hint="cs"/>
          <w:vanish/>
          <w:rtl/>
        </w:rPr>
        <w:t>&lt; &gt;</w:t>
      </w:r>
      <w:r w:rsidRPr="00B21A47">
        <w:rPr>
          <w:rStyle w:val="aff4"/>
          <w:rFonts w:hint="cs"/>
          <w:vanish/>
          <w:rtl/>
        </w:rPr>
        <w:t>-</w:t>
      </w:r>
      <w:r w:rsidRPr="00272A5B">
        <w:rPr>
          <w:rStyle w:val="aff4"/>
          <w:rFonts w:hint="cs"/>
          <w:rtl/>
        </w:rPr>
        <w:t>רש"י בגיטין</w:t>
      </w:r>
      <w:r w:rsidRPr="00B21A47">
        <w:rPr>
          <w:rStyle w:val="aff4"/>
          <w:rFonts w:hint="cs"/>
          <w:vanish/>
          <w:rtl/>
        </w:rPr>
        <w:t>-</w:t>
      </w:r>
      <w:r>
        <w:rPr>
          <w:rFonts w:hint="cs"/>
          <w:rtl/>
        </w:rPr>
        <w:t xml:space="preserve"> </w:t>
      </w:r>
      <w:r w:rsidRPr="00FB451D">
        <w:rPr>
          <w:rStyle w:val="af2"/>
          <w:rFonts w:eastAsia="Guttman Hodes" w:hint="cs"/>
          <w:rtl/>
        </w:rPr>
        <w:t>(ז: ד"ה עציץ)</w:t>
      </w:r>
      <w:r w:rsidRPr="00B21A47">
        <w:rPr>
          <w:rFonts w:hint="cs"/>
          <w:vanish/>
          <w:rtl/>
        </w:rPr>
        <w:t>=</w:t>
      </w:r>
      <w:r>
        <w:rPr>
          <w:rFonts w:hint="cs"/>
          <w:rtl/>
        </w:rPr>
        <w:t xml:space="preserve"> וכן לדעת </w:t>
      </w:r>
      <w:r w:rsidRPr="00B21A47">
        <w:rPr>
          <w:rStyle w:val="aff4"/>
          <w:rFonts w:hint="cs"/>
          <w:vanish/>
          <w:rtl/>
        </w:rPr>
        <w:t>-</w:t>
      </w:r>
      <w:r w:rsidRPr="00272A5B">
        <w:rPr>
          <w:rStyle w:val="aff4"/>
          <w:rFonts w:hint="cs"/>
          <w:rtl/>
        </w:rPr>
        <w:t>ה</w:t>
      </w:r>
      <w:r w:rsidRPr="00B53404">
        <w:rPr>
          <w:rStyle w:val="aff4"/>
          <w:rFonts w:hint="cs"/>
          <w:vanish/>
          <w:rtl/>
        </w:rPr>
        <w:t>&lt; &gt;</w:t>
      </w:r>
      <w:r w:rsidRPr="00272A5B">
        <w:rPr>
          <w:rStyle w:val="aff4"/>
          <w:rFonts w:hint="cs"/>
          <w:rtl/>
        </w:rPr>
        <w:t>תוס' בגיטין</w:t>
      </w:r>
      <w:r w:rsidRPr="00B21A47">
        <w:rPr>
          <w:rStyle w:val="aff4"/>
          <w:rFonts w:hint="cs"/>
          <w:vanish/>
          <w:rtl/>
        </w:rPr>
        <w:t>-</w:t>
      </w:r>
      <w:r>
        <w:rPr>
          <w:rFonts w:hint="cs"/>
          <w:rtl/>
        </w:rPr>
        <w:t xml:space="preserve"> </w:t>
      </w:r>
      <w:r w:rsidRPr="00FB451D">
        <w:rPr>
          <w:rStyle w:val="af2"/>
          <w:rFonts w:eastAsia="Guttman Hodes" w:hint="cs"/>
          <w:rtl/>
        </w:rPr>
        <w:t>(ז: ד"ה דילמא)</w:t>
      </w:r>
      <w:r w:rsidRPr="00B21A47">
        <w:rPr>
          <w:rFonts w:hint="cs"/>
          <w:vanish/>
          <w:rtl/>
        </w:rPr>
        <w:t>=</w:t>
      </w:r>
      <w:r>
        <w:rPr>
          <w:rFonts w:hint="cs"/>
          <w:rtl/>
        </w:rPr>
        <w:t xml:space="preserve"> מבואר דעציץ אף כשהוא ע"ג יתדות חשיב מחובר לקרקע, ולכן כשמגביהו מע"ג קרקע ומניחו ע"ג יתדות אינו תולש מדאו', אבל מדברי </w:t>
      </w:r>
      <w:r w:rsidRPr="00B21A47">
        <w:rPr>
          <w:rStyle w:val="aff4"/>
          <w:rFonts w:hint="cs"/>
          <w:vanish/>
          <w:rtl/>
        </w:rPr>
        <w:t>-</w:t>
      </w:r>
      <w:r w:rsidRPr="00272A5B">
        <w:rPr>
          <w:rStyle w:val="aff4"/>
          <w:rFonts w:hint="cs"/>
          <w:rtl/>
        </w:rPr>
        <w:t>ה</w:t>
      </w:r>
      <w:r w:rsidRPr="00B53404">
        <w:rPr>
          <w:rStyle w:val="aff4"/>
          <w:rFonts w:hint="cs"/>
          <w:vanish/>
          <w:rtl/>
        </w:rPr>
        <w:t>&lt; &gt;</w:t>
      </w:r>
      <w:r w:rsidRPr="00272A5B">
        <w:rPr>
          <w:rStyle w:val="aff4"/>
          <w:rFonts w:hint="cs"/>
          <w:rtl/>
        </w:rPr>
        <w:t>רמב"ם</w:t>
      </w:r>
      <w:r w:rsidRPr="00B21A47">
        <w:rPr>
          <w:rStyle w:val="aff4"/>
          <w:rFonts w:hint="cs"/>
          <w:vanish/>
          <w:rtl/>
        </w:rPr>
        <w:t>-</w:t>
      </w:r>
      <w:r>
        <w:rPr>
          <w:rFonts w:hint="cs"/>
          <w:rtl/>
        </w:rPr>
        <w:t xml:space="preserve"> </w:t>
      </w:r>
      <w:r w:rsidRPr="00FB451D">
        <w:rPr>
          <w:rStyle w:val="af2"/>
          <w:rFonts w:eastAsia="Guttman Hodes" w:hint="cs"/>
          <w:rtl/>
        </w:rPr>
        <w:t>(תרומות פ"א הכ"ג)</w:t>
      </w:r>
      <w:r w:rsidRPr="00B21A47">
        <w:rPr>
          <w:rFonts w:hint="cs"/>
          <w:vanish/>
          <w:rtl/>
        </w:rPr>
        <w:t>=</w:t>
      </w:r>
      <w:r>
        <w:rPr>
          <w:rFonts w:hint="cs"/>
          <w:rtl/>
        </w:rPr>
        <w:t xml:space="preserve"> מבואר דס"ל דעציץ נקוב ע"ג יתדות חשיב כתלוש, ולכן יש בזה איסור תולש דאו', עיי"ש במה שהאריך </w:t>
      </w:r>
      <w:r w:rsidRPr="00B21A47">
        <w:rPr>
          <w:rStyle w:val="aff4"/>
          <w:rFonts w:hint="cs"/>
          <w:vanish/>
          <w:rtl/>
        </w:rPr>
        <w:t>-</w:t>
      </w:r>
      <w:r w:rsidRPr="00272A5B">
        <w:rPr>
          <w:rStyle w:val="aff4"/>
          <w:rFonts w:hint="cs"/>
          <w:rtl/>
        </w:rPr>
        <w:t>האגלי טל</w:t>
      </w:r>
      <w:r w:rsidRPr="00B21A47">
        <w:rPr>
          <w:rStyle w:val="aff4"/>
          <w:rFonts w:hint="cs"/>
          <w:vanish/>
          <w:rtl/>
        </w:rPr>
        <w:t>-</w:t>
      </w:r>
      <w:r>
        <w:rPr>
          <w:rFonts w:hint="cs"/>
          <w:rtl/>
        </w:rPr>
        <w:t xml:space="preserve"> טובא בזה, ועי' במה שדחה </w:t>
      </w:r>
      <w:r w:rsidRPr="00B21A47">
        <w:rPr>
          <w:rStyle w:val="aff4"/>
          <w:rFonts w:hint="cs"/>
          <w:vanish/>
          <w:rtl/>
        </w:rPr>
        <w:t>-</w:t>
      </w:r>
      <w:r w:rsidRPr="00D14658">
        <w:rPr>
          <w:rStyle w:val="aff4"/>
          <w:rFonts w:hint="cs"/>
          <w:rtl/>
        </w:rPr>
        <w:t>הקה"י</w:t>
      </w:r>
      <w:r w:rsidRPr="00B21A47">
        <w:rPr>
          <w:rStyle w:val="aff4"/>
          <w:rFonts w:hint="cs"/>
          <w:vanish/>
          <w:rtl/>
        </w:rPr>
        <w:t>-</w:t>
      </w:r>
      <w:r>
        <w:rPr>
          <w:rFonts w:hint="cs"/>
          <w:rtl/>
        </w:rPr>
        <w:t xml:space="preserve"> </w:t>
      </w:r>
      <w:r w:rsidRPr="009C086C">
        <w:rPr>
          <w:rStyle w:val="af2"/>
          <w:rFonts w:eastAsia="Guttman Hodes" w:hint="cs"/>
          <w:rtl/>
        </w:rPr>
        <w:t xml:space="preserve">(עי' אות </w:t>
      </w:r>
      <w:r w:rsidRPr="009C086C">
        <w:rPr>
          <w:rStyle w:val="af2"/>
          <w:rFonts w:eastAsia="Guttman Hodes"/>
          <w:rtl/>
        </w:rPr>
        <w:fldChar w:fldCharType="begin"/>
      </w:r>
      <w:r w:rsidRPr="009C086C">
        <w:rPr>
          <w:rStyle w:val="af2"/>
          <w:rFonts w:eastAsia="Guttman Hodes"/>
          <w:rtl/>
        </w:rPr>
        <w:instrText xml:space="preserve"> </w:instrText>
      </w:r>
      <w:r w:rsidRPr="009C086C">
        <w:rPr>
          <w:rStyle w:val="af2"/>
          <w:rFonts w:eastAsia="Guttman Hodes" w:hint="cs"/>
        </w:rPr>
        <w:instrText>REF</w:instrText>
      </w:r>
      <w:r w:rsidRPr="009C086C">
        <w:rPr>
          <w:rStyle w:val="af2"/>
          <w:rFonts w:eastAsia="Guttman Hodes" w:hint="cs"/>
          <w:rtl/>
        </w:rPr>
        <w:instrText xml:space="preserve"> _</w:instrText>
      </w:r>
      <w:r w:rsidRPr="009C086C">
        <w:rPr>
          <w:rStyle w:val="af2"/>
          <w:rFonts w:eastAsia="Guttman Hodes" w:hint="cs"/>
        </w:rPr>
        <w:instrText>Ref135666618 \r \h</w:instrText>
      </w:r>
      <w:r w:rsidRPr="009C086C">
        <w:rPr>
          <w:rStyle w:val="af2"/>
          <w:rFonts w:eastAsia="Guttman Hodes"/>
          <w:rtl/>
        </w:rPr>
        <w:instrText xml:space="preserve"> </w:instrText>
      </w:r>
      <w:r w:rsidRPr="009C086C">
        <w:rPr>
          <w:rStyle w:val="af2"/>
          <w:rFonts w:eastAsia="Guttman Hodes"/>
          <w:rtl/>
        </w:rPr>
      </w:r>
      <w:r w:rsidRPr="009C086C">
        <w:rPr>
          <w:rStyle w:val="af2"/>
          <w:rFonts w:eastAsia="Guttman Hodes"/>
          <w:rtl/>
        </w:rPr>
        <w:fldChar w:fldCharType="separate"/>
      </w:r>
      <w:r w:rsidR="00D82181">
        <w:rPr>
          <w:rStyle w:val="af2"/>
          <w:rFonts w:eastAsia="Guttman Hodes"/>
          <w:cs/>
        </w:rPr>
        <w:t>‎</w:t>
      </w:r>
      <w:r w:rsidR="00D82181">
        <w:rPr>
          <w:rStyle w:val="af2"/>
          <w:rFonts w:eastAsia="Guttman Hodes"/>
          <w:rtl/>
        </w:rPr>
        <w:t>סד)</w:t>
      </w:r>
      <w:r w:rsidRPr="009C086C">
        <w:rPr>
          <w:rStyle w:val="af2"/>
          <w:rFonts w:eastAsia="Guttman Hodes"/>
          <w:rtl/>
        </w:rPr>
        <w:fldChar w:fldCharType="end"/>
      </w:r>
      <w:r>
        <w:rPr>
          <w:rFonts w:hint="cs"/>
          <w:rtl/>
        </w:rPr>
        <w:t xml:space="preserve"> את ביאור </w:t>
      </w:r>
      <w:r w:rsidRPr="00B21A47">
        <w:rPr>
          <w:rStyle w:val="aff4"/>
          <w:rFonts w:hint="cs"/>
          <w:vanish/>
          <w:rtl/>
        </w:rPr>
        <w:t>-</w:t>
      </w:r>
      <w:r w:rsidRPr="00D14658">
        <w:rPr>
          <w:rStyle w:val="aff4"/>
          <w:rFonts w:hint="cs"/>
          <w:rtl/>
        </w:rPr>
        <w:t>האגלי טל</w:t>
      </w:r>
      <w:r w:rsidRPr="00B21A47">
        <w:rPr>
          <w:rStyle w:val="aff4"/>
          <w:rFonts w:hint="cs"/>
          <w:vanish/>
          <w:rtl/>
        </w:rPr>
        <w:t>-</w:t>
      </w:r>
      <w:r>
        <w:rPr>
          <w:rFonts w:hint="cs"/>
          <w:rtl/>
        </w:rPr>
        <w:t xml:space="preserve"> בדעת </w:t>
      </w:r>
      <w:r w:rsidRPr="00B21A47">
        <w:rPr>
          <w:rStyle w:val="aff4"/>
          <w:rFonts w:hint="cs"/>
          <w:vanish/>
          <w:rtl/>
        </w:rPr>
        <w:t>-</w:t>
      </w:r>
      <w:r w:rsidRPr="00D14658">
        <w:rPr>
          <w:rStyle w:val="aff4"/>
          <w:rFonts w:hint="cs"/>
          <w:rtl/>
        </w:rPr>
        <w:t>הרמב"ם</w:t>
      </w:r>
      <w:r w:rsidRPr="00B21A47">
        <w:rPr>
          <w:rStyle w:val="aff4"/>
          <w:rFonts w:hint="cs"/>
          <w:vanish/>
          <w:rtl/>
        </w:rPr>
        <w:t>-</w:t>
      </w:r>
      <w:r>
        <w:rPr>
          <w:rFonts w:hint="cs"/>
          <w:rtl/>
        </w:rPr>
        <w:t>.</w:t>
      </w:r>
      <w:bookmarkEnd w:id="1145"/>
    </w:p>
    <w:p w14:paraId="3183CB18" w14:textId="77777777" w:rsidR="00D31714" w:rsidRPr="00747170" w:rsidRDefault="00D31714" w:rsidP="00747170">
      <w:pPr>
        <w:pStyle w:val="a2"/>
        <w:rPr>
          <w:rtl/>
        </w:rPr>
      </w:pPr>
      <w:r w:rsidRPr="00747170">
        <w:rPr>
          <w:rtl/>
        </w:rPr>
        <w:t>[ו] (א) ואפי' לא הי' מונח בקרקע. בפ' המוציא יין פ"א: אמר ריש לקיש צרור שעלו בו עשבים מותר לקנח בו והתולש ממנו בשבת חייב חטאת [פירש"י מותר לקנח דאינו מתכוין לתלוש ומותר דהלכה כר"ש. והתולש ממנו במתכוין חייב דמקום גידולו הוא א] אמר רב פפי ש"מ מדר"ל האי פרפיסא שרי לטלטולי [פירש"י מדר"ל דאמר מותר לקנח בו ולא אמרינן צרור זה העשבים שעלו מלחלוחית הקרקע הם יוצאין וכשמגביהן הרי הוא כעוקרן מגידוליהן האי פרפיסא עציב נקוב שזרעו בו וכו' שרי לטלטולי ולא אמרינן תולש הוא א] מתקיף לה רב כהנא אם אמרו לצורך יאמרו שלא לצורך [פירש"י לצורך קינוח כבוד הבריות] אמר אביי פרפיסא הואיל ואתא לידן נימא בי' מילתא. הי' מונח ע"ג קרקע והניחו ע"ג יתידות מיחייב משום תולש. הי' מונח ע"ג יתידות והניחו ע"ג קרקע חייב משום נוטע. [פירש"י חייב משום תולש דאינו נהנה שוב מריח הקרקע ול"נ דהאי חייב לאו דווקא אלא אסור משום דדמי לתולש דאי חייב ממש קאמר לצורך היכי שרי רבנן איסור כרת וסקילה משום קינוח. ודומה לו במס' סנהדרין פ"ב. הבא על הנכרית חייב משום נשג"ז דלאו מדאורייתא הוא אלא מדרבנן] ובתוס' ד"ה והניחו. האי מיחייב מכת מרדות מדרבנן כדפירש בקונטרס מדשרי ר"ל. עכ"ל. וכן הוא בהג"א שם דהאי מיחייב מדרבנן ומסיים בה דאע"ג דמונח ע"ג יתידות יונק מן הקרקע קצת הלכך מדאורייתא אין חייב משום תולש ומשום נוטע. א"כ משמע אם הפסיקו לגמרי בבגד או בעצים דפסיק יניקתו לגמרי שייך בו תלישה ונטיעה מדאורייתא עכ"ל. הרי מפורש דכל היכי שנקב העציץ רואה פני הקרקע אף שאויר מפסיקו חשוב כמחובר. וממילא התולש ממנו כתולש מהארץ:</w:t>
      </w:r>
    </w:p>
    <w:p w14:paraId="28133335" w14:textId="77777777" w:rsidR="00D31714" w:rsidRPr="00CC3192" w:rsidRDefault="00D31714" w:rsidP="00747170">
      <w:pPr>
        <w:pStyle w:val="afffff5"/>
        <w:rPr>
          <w:rtl/>
        </w:rPr>
      </w:pPr>
      <w:r w:rsidRPr="00CC3192">
        <w:rPr>
          <w:rtl/>
        </w:rPr>
        <w:t>(ב) אך הרמב"ם פ"ח מה"ש ה"ד כתב וז"ל גבשושית של עפר שעלו בה עשבים הגביהה מעל הארץ והניחה ע"ג יתידות חייב משום תולש. היתה ע"ג יתידות והניחה על הארץ חייב משום זורע עכ"ל. והנה לפי הכלל שהניח הרמב"ם בפ"א ה"ב שכל מקום שיכתוב בהלכות שבת חייב הוא מדאורייתא. א"כ מוכרח דבאויר מפסיקו הוא כתלוש מדאורייתא. וממילא דהתולש ממנו בשבת פטור:</w:t>
      </w:r>
    </w:p>
    <w:p w14:paraId="03A049C8" w14:textId="77777777" w:rsidR="00D31714" w:rsidRPr="00CC3192" w:rsidRDefault="00D31714" w:rsidP="00747170">
      <w:pPr>
        <w:pStyle w:val="afffff5"/>
        <w:rPr>
          <w:rtl/>
        </w:rPr>
      </w:pPr>
      <w:r w:rsidRPr="00CC3192">
        <w:rPr>
          <w:rtl/>
        </w:rPr>
        <w:t>(ג) ונראה דאזדו לטעמייהו ומחלוקתם תליא בשמעתתא דפ"ק דגיטין דף ז': והכי גרסינן התם תנא חדא המביא גט בספינה כמביא בארץ ישראל [פירש"י שנכתב בספינה וקס"ד דבנהרות דא"י קאמר. כמביא בא"י. כאלו מביאה דרך יבשה ואין צריך לומר בפני נכתב] ותניא אידך כמביא בחוץ לארץ. [שהנהר אין לו תורת יבשה. לכל תורת הארץ]. א"ר ירמיה לא קשיא הא ר' יהודא הא רבנן דתנן עפר חוץ לארץ הבא בספינה לארץ חייב במעשר ובשביעית. א"ר יהודא אימתי בזמן שהספינה גוששת אבל אין הספינה גוששת פטור [פירש"י עפר חוץ לארץ הבא בספינה לארץ. וזרעו בספינה וצמח והספינה של חרס היא ואינה צריכה לינקב אם היתה מונחת בקרקע כדאמר במנחות דף פ"ד: חייבת במעשר ובשביעית שהנהרות שבא"י הרי הם כא"י. גוששת. מגששת בקרקע שאין המים עמוקים]. אביי אמר הא והא ר' יהודא היא ולא קשיא כאן בזמן שאין הספינה גוששת כאן בזמן שהספינה גוששת. א"ר זירא עציץ נקוב המונח ע"ג יתידות באנו למחלוקת ר' יהודה ורבנן. [פירש"י עציץ של עץ נקוב המונח ע"ג יתידות. באנו למחלוקת ר' יהודא ורבנן. לרבנן אוירא כמאן דמנחא דמי ולר"י לא מחייב במעשר מדאורייתא עד דמנחא אארעא]. אמר רבא דילמא לא היא עד כאן לא קאמר ר' יהודא התם אלא בספינה העשוי' לברוח [פירש"י העשוי' לברוח כלומר מפני שהיא מהלכת כל שעה]. אבל עציץ שאינו עשוי לברוח לא. אי נמי עד כאן לא קאמרי רבנן התם אלא בספינה דלא מפסיק אוירא דמיא כי ארעא סמיכתא דמיא אבל עציץ דמפסיק אוירא לא [פירש"י דלא מפסיק אוירא בין ספינה לארץ אין שום אויר ומיא כארעא סמיכתא דמי]:</w:t>
      </w:r>
    </w:p>
    <w:p w14:paraId="373B22BF" w14:textId="77777777" w:rsidR="00D31714" w:rsidRPr="00CC3192" w:rsidRDefault="00D31714" w:rsidP="00747170">
      <w:pPr>
        <w:pStyle w:val="afffff5"/>
        <w:rPr>
          <w:rtl/>
        </w:rPr>
      </w:pPr>
      <w:r w:rsidRPr="00CC3192">
        <w:rPr>
          <w:rtl/>
        </w:rPr>
        <w:t>(ד) ובתוס' ד"ה דילמא לא היא עד כאן לא קאמר ר' יהודה. כן הוא האמת דעציץ כמחובר דבפרק השולח דף ל"ז. אמרינן אין כותבין פרוזבול אלא על עציץ נקוב ומוקי לה דמנחא אסיכי. והא דקאמר הכא עד כאן לא קאמרי רבנן אלא בספינה משמע דבעציץ לכ"ע לא הוי כמחובר דחויא בעלמא הוא. והא דאמר בשבת בפרק המוציא יין דף פ"א: האי פרפיסא דמנחא אארעא ואנחא אסיכי חייב משום תולש היינו מדרבנן כדפירש התם בקונטרס עכ"ל. וצ"ע הא כשלקח העציץ בידו מן הקרקע אינו עומד במקום אחד בשעת לקיחה והוי דומיא דספינה דעשוי לברוח דהיינו שאינו עומד במקום אחד. [וכן הוא בירושלמי] ויתחייב משום תולש וכשחזר והניחו ע"ג יתידות יתחייב משום נוטע. וצ"ל דס"ל להתוס' דהלכה כרבנן דאפי' בספינה חשוב כמחובר והא דהוצרכו לומר כן הוא האמת היינו לאפוקי משנויא בתרא דרבא דאפי' רבנן מודים בעציץ. וכן משמע בדבריהם בשבת דף פ"א: ד"ה והניחו. ועולה מדברי התוס' דקי"ל כרבנן ולדידהו אף המונח ע"ג יתידות חשוב כמחובר ושם בתוס' ד"ה אמר הקשו דהא ר' יהודא אמר אימתי בזמן שהספינה גוששת וכל מקום שאמר ר"י אימתי הוא לפרש. ותירצו בתוספות בתירוץ הב' דדוקא במשנה אבל בברייתא אימתי לחלוק. ואף דהא דספינה יש גם במשנה והוא לפרש. מ"מ אימתי דברייתא לחלוק. ותרי תנאי אליבא דר"י. תנא דמתני' ס"ל ר' יהודא בא לפרש. ותנא דברייתא סבר ר"י בא לחלוק ע"ש:</w:t>
      </w:r>
    </w:p>
    <w:p w14:paraId="72B0CFDA" w14:textId="77777777" w:rsidR="00D31714" w:rsidRPr="00CC3192" w:rsidRDefault="00D31714" w:rsidP="00747170">
      <w:pPr>
        <w:pStyle w:val="afffff5"/>
        <w:rPr>
          <w:rtl/>
        </w:rPr>
      </w:pPr>
      <w:r w:rsidRPr="00CC3192">
        <w:rPr>
          <w:rtl/>
        </w:rPr>
        <w:t>(ה) והרמב"ם בפי' המשנה [חלה פ"ב מ"ב] מפרש אימתי דר"י לפרש ופסק בהלכותיו [תרומות פ"א הכ"ג] דאימתי בזמן שהספינה גוששת ואזיל לטעמי' בפי' המשנה דאימתי לפרש ואף דתנא דברייתא ס"ל לחלוק פסק כתנא דמתני'. וא"כ המונח ע"ג יתידות חשוב כתלוש. והא דכותבין פרוזבול על עציץ נקוב דלא צריך לדין זה אלא דמנח אסיכי [דאל"כ דאיכא קרקע כ"ש מקום עציץ ואף אם השאילו חבירו כותבין עליו פרוזבול] לא הביא הרמב"ם ז"ל כלל דין זה דכותבין פרוזבול על עציץ נקוב. ואזיל לטעמי' דפסק שהמונח ע"ג יתידות תלוש הוא דקי"ל כר' יהודא דספינה כתנא דמתני' דאימתי דר"י לפרש. וברייתא דכותבין פרוזבול על עציץ נקוב ס"ל כברייתא אחריתא דאימתי דר"י לחלוק וקי"ל כרבנן דמונח ע"ג יתידות חשוב כמחובר. אבל לדידן דקי"ל כתנא דמתני' אין כותבין כו'. וליכא למימר כאידך תירוצא דרבא דלא נצרך גוששת אלא בספינה משום דעשוי לברוח אבל בעציץ כ"ע מודו דחשוב מחובר. וא"כ למה לי' להרמב"ם לדחות ברייתא דפרוזבול מהלכתא. ליתא שהרי כבר כתבנו דא"כ יקשה הש"ס שבת פ"א. דלא מחייב אלא חדא ושם בשעה שמעביר העציץ דמיא לספינה דעשוי לברוח ולחייב משום תולש ומשום זורע. ומאחר שהרמב"ם מפרש דאימתי לפרש א"כ האי סוגיא דשבת לא אתיא כמאן. וע"כ לומר דלמאן דמפרש אימתי לפרש לית ליה שנויא דרבא דמחלק בספינה משום דעשוי לברוח ונדחה ברייתא דפרוזבול מהלכתא. וזה ברור בדעת הרמב"ם. והרי"ף ג"כ לא הביא הא דעציץ נקוב לגבי פרוזבול. וברור דס"ל ג"כ המונח ע"ג יתידות חשוב כתלוש. ואין כותבין על עציץ נקוב המונח ע"ג סיכי:</w:t>
      </w:r>
    </w:p>
    <w:p w14:paraId="0422CF91" w14:textId="39DCDC9E" w:rsidR="00D31714" w:rsidRDefault="00D31714" w:rsidP="00D31714">
      <w:pPr>
        <w:pStyle w:val="1"/>
        <w:rPr>
          <w:rtl/>
        </w:rPr>
      </w:pPr>
      <w:bookmarkStart w:id="1146" w:name="_Toc135669973"/>
      <w:r>
        <w:rPr>
          <w:rFonts w:hint="cs"/>
          <w:rtl/>
        </w:rPr>
        <w:t xml:space="preserve">ד' האו"ז דמניח ע"ג יתדות לא מחובר כ"כ ובמחזיר לקרקע </w:t>
      </w:r>
      <w:bookmarkEnd w:id="1141"/>
      <w:r>
        <w:rPr>
          <w:rFonts w:hint="cs"/>
          <w:rtl/>
        </w:rPr>
        <w:t>פטור</w:t>
      </w:r>
      <w:bookmarkEnd w:id="1146"/>
    </w:p>
    <w:p w14:paraId="46819A68" w14:textId="77777777" w:rsidR="00D31714" w:rsidRDefault="00D31714" w:rsidP="00D31714">
      <w:pPr>
        <w:pStyle w:val="afffff7"/>
        <w:rPr>
          <w:rtl/>
        </w:rPr>
      </w:pPr>
      <w:bookmarkStart w:id="1147" w:name="_Toc135513731"/>
      <w:bookmarkStart w:id="1148" w:name="_Toc135670259"/>
      <w:bookmarkStart w:id="1149" w:name="_Toc163505560"/>
      <w:r>
        <w:rPr>
          <w:rtl/>
        </w:rPr>
        <w:t>מרכבת המשנה שבת פ"ח ה"ד</w:t>
      </w:r>
      <w:r>
        <w:rPr>
          <w:rFonts w:hint="cs"/>
          <w:rtl/>
        </w:rPr>
        <w:t xml:space="preserve"> ד"ה גבשושית</w:t>
      </w:r>
      <w:bookmarkEnd w:id="1147"/>
      <w:bookmarkEnd w:id="1148"/>
      <w:bookmarkEnd w:id="1149"/>
    </w:p>
    <w:p w14:paraId="750D727A" w14:textId="77777777" w:rsidR="00D31714" w:rsidRDefault="00D31714" w:rsidP="00D31714">
      <w:pPr>
        <w:pStyle w:val="a7"/>
        <w:rPr>
          <w:rtl/>
        </w:rPr>
      </w:pPr>
      <w:bookmarkStart w:id="1150" w:name="_Toc135588027"/>
      <w:bookmarkStart w:id="1151" w:name="_Toc135669974"/>
      <w:r>
        <w:rPr>
          <w:rFonts w:hint="cs"/>
          <w:rtl/>
        </w:rPr>
        <w:t>בי' המרכה"מ ברמב"ם דמניח ע"ג יתדות רק ליום או יומיים מבטל יניקה ולא בצרור שמחזירו</w:t>
      </w:r>
      <w:bookmarkEnd w:id="1150"/>
      <w:bookmarkEnd w:id="1151"/>
    </w:p>
    <w:p w14:paraId="1FEDA556" w14:textId="6F2D7871" w:rsidR="00D31714" w:rsidRDefault="00D31714" w:rsidP="00BC7DC8">
      <w:pPr>
        <w:pStyle w:val="a3"/>
        <w:rPr>
          <w:rtl/>
        </w:rPr>
      </w:pPr>
      <w:bookmarkStart w:id="1152" w:name="_Ref135167445"/>
      <w:r w:rsidRPr="00A816F6">
        <w:rPr>
          <w:rStyle w:val="aff4"/>
          <w:rFonts w:hint="cs"/>
          <w:vanish/>
          <w:rtl/>
        </w:rPr>
        <w:t>-</w:t>
      </w:r>
      <w:bookmarkStart w:id="1153" w:name="_Ref135340655"/>
      <w:r w:rsidRPr="00610487">
        <w:rPr>
          <w:rStyle w:val="aff4"/>
          <w:rFonts w:hint="cs"/>
          <w:rtl/>
        </w:rPr>
        <w:t>וב</w:t>
      </w:r>
      <w:r w:rsidRPr="00A816F6">
        <w:rPr>
          <w:rStyle w:val="aff4"/>
          <w:rFonts w:hint="cs"/>
          <w:vanish/>
          <w:rtl/>
        </w:rPr>
        <w:t xml:space="preserve">&lt;. </w:t>
      </w:r>
      <w:r w:rsidRPr="00A816F6">
        <w:rPr>
          <w:rStyle w:val="aff4"/>
          <w:vanish/>
          <w:rtl/>
        </w:rPr>
        <w:fldChar w:fldCharType="begin"/>
      </w:r>
      <w:r w:rsidRPr="00A816F6">
        <w:rPr>
          <w:rStyle w:val="aff4"/>
          <w:vanish/>
          <w:rtl/>
        </w:rPr>
        <w:instrText xml:space="preserve"> </w:instrText>
      </w:r>
      <w:r w:rsidRPr="00A816F6">
        <w:rPr>
          <w:rStyle w:val="aff4"/>
          <w:rFonts w:hint="cs"/>
          <w:vanish/>
        </w:rPr>
        <w:instrText>REF</w:instrText>
      </w:r>
      <w:r w:rsidRPr="00A816F6">
        <w:rPr>
          <w:rStyle w:val="aff4"/>
          <w:rFonts w:hint="cs"/>
          <w:vanish/>
          <w:rtl/>
        </w:rPr>
        <w:instrText xml:space="preserve"> _</w:instrText>
      </w:r>
      <w:r w:rsidRPr="00A816F6">
        <w:rPr>
          <w:rStyle w:val="aff4"/>
          <w:rFonts w:hint="cs"/>
          <w:vanish/>
        </w:rPr>
        <w:instrText>Ref135167445 \r \h</w:instrText>
      </w:r>
      <w:r w:rsidRPr="00A816F6">
        <w:rPr>
          <w:rStyle w:val="aff4"/>
          <w:vanish/>
          <w:rtl/>
        </w:rPr>
        <w:instrText xml:space="preserve"> </w:instrText>
      </w:r>
      <w:r w:rsidRPr="00A816F6">
        <w:rPr>
          <w:rStyle w:val="aff4"/>
          <w:vanish/>
          <w:rtl/>
        </w:rPr>
      </w:r>
      <w:r w:rsidRPr="00A816F6">
        <w:rPr>
          <w:rStyle w:val="aff4"/>
          <w:vanish/>
          <w:rtl/>
        </w:rPr>
        <w:fldChar w:fldCharType="separate"/>
      </w:r>
      <w:r w:rsidR="00D82181">
        <w:rPr>
          <w:rStyle w:val="aff4"/>
          <w:vanish/>
          <w:cs/>
        </w:rPr>
        <w:t>‎</w:t>
      </w:r>
      <w:r w:rsidR="00D82181">
        <w:rPr>
          <w:rStyle w:val="aff4"/>
          <w:vanish/>
          <w:rtl/>
        </w:rPr>
        <w:t>מה)</w:t>
      </w:r>
      <w:r w:rsidRPr="00A816F6">
        <w:rPr>
          <w:rStyle w:val="aff4"/>
          <w:vanish/>
          <w:rtl/>
        </w:rPr>
        <w:fldChar w:fldCharType="end"/>
      </w:r>
      <w:r w:rsidRPr="00A816F6">
        <w:rPr>
          <w:rStyle w:val="aff4"/>
          <w:rFonts w:hint="cs"/>
          <w:vanish/>
          <w:rtl/>
        </w:rPr>
        <w:t xml:space="preserve"> &gt;</w:t>
      </w:r>
      <w:r w:rsidRPr="00610487">
        <w:rPr>
          <w:rStyle w:val="aff4"/>
          <w:rFonts w:hint="cs"/>
          <w:rtl/>
        </w:rPr>
        <w:t>מרכבת המשנה</w:t>
      </w:r>
      <w:r w:rsidRPr="00A816F6">
        <w:rPr>
          <w:rStyle w:val="aff4"/>
          <w:rFonts w:hint="cs"/>
          <w:vanish/>
          <w:rtl/>
        </w:rPr>
        <w:t>-</w:t>
      </w:r>
      <w:r>
        <w:rPr>
          <w:rFonts w:hint="cs"/>
          <w:rtl/>
        </w:rPr>
        <w:t xml:space="preserve"> </w:t>
      </w:r>
      <w:r w:rsidRPr="00A3054F">
        <w:rPr>
          <w:rStyle w:val="af2"/>
          <w:rFonts w:eastAsia="Guttman Hodes" w:hint="cs"/>
          <w:rtl/>
        </w:rPr>
        <w:t>(שבת פ"ח ה"ד ד"ה גבשושית)</w:t>
      </w:r>
      <w:r w:rsidRPr="00A816F6">
        <w:rPr>
          <w:rFonts w:hint="cs"/>
          <w:vanish/>
          <w:rtl/>
        </w:rPr>
        <w:t>=</w:t>
      </w:r>
      <w:r>
        <w:rPr>
          <w:rFonts w:hint="cs"/>
          <w:rtl/>
        </w:rPr>
        <w:t xml:space="preserve"> תירץ </w:t>
      </w:r>
      <w:bookmarkStart w:id="1154" w:name="_Hlk135168095"/>
      <w:r>
        <w:rPr>
          <w:rFonts w:hint="cs"/>
          <w:rtl/>
        </w:rPr>
        <w:t xml:space="preserve">דהא דס"ל </w:t>
      </w:r>
      <w:r w:rsidRPr="00A816F6">
        <w:rPr>
          <w:rStyle w:val="aff4"/>
          <w:rFonts w:hint="cs"/>
          <w:vanish/>
          <w:rtl/>
        </w:rPr>
        <w:t>-</w:t>
      </w:r>
      <w:r w:rsidRPr="00610487">
        <w:rPr>
          <w:rStyle w:val="aff4"/>
          <w:rFonts w:hint="cs"/>
          <w:rtl/>
        </w:rPr>
        <w:t>להרמב"ם</w:t>
      </w:r>
      <w:r w:rsidRPr="00A816F6">
        <w:rPr>
          <w:rStyle w:val="aff4"/>
          <w:rFonts w:hint="cs"/>
          <w:vanish/>
          <w:rtl/>
        </w:rPr>
        <w:t>-</w:t>
      </w:r>
      <w:r>
        <w:rPr>
          <w:rFonts w:hint="cs"/>
          <w:rtl/>
        </w:rPr>
        <w:t xml:space="preserve"> </w:t>
      </w:r>
      <w:r w:rsidRPr="00A3054F">
        <w:rPr>
          <w:rStyle w:val="af2"/>
          <w:rFonts w:eastAsia="Guttman Hodes" w:hint="cs"/>
          <w:rtl/>
        </w:rPr>
        <w:t>(עי' אות</w:t>
      </w:r>
      <w:r w:rsidRPr="00A3054F">
        <w:rPr>
          <w:rStyle w:val="af2"/>
          <w:rFonts w:eastAsia="Guttman Hodes"/>
          <w:rtl/>
        </w:rPr>
        <w:t xml:space="preserve"> </w:t>
      </w:r>
      <w:r w:rsidRPr="00A3054F">
        <w:rPr>
          <w:rStyle w:val="af2"/>
          <w:rFonts w:eastAsia="Guttman Hodes"/>
          <w:rtl/>
        </w:rPr>
        <w:fldChar w:fldCharType="begin"/>
      </w:r>
      <w:r w:rsidRPr="00A3054F">
        <w:rPr>
          <w:rStyle w:val="af2"/>
          <w:rFonts w:eastAsia="Guttman Hodes"/>
          <w:rtl/>
        </w:rPr>
        <w:instrText xml:space="preserve"> </w:instrText>
      </w:r>
      <w:r w:rsidRPr="00A3054F">
        <w:rPr>
          <w:rStyle w:val="af2"/>
          <w:rFonts w:eastAsia="Guttman Hodes" w:hint="cs"/>
        </w:rPr>
        <w:instrText>REF</w:instrText>
      </w:r>
      <w:r w:rsidRPr="00A3054F">
        <w:rPr>
          <w:rStyle w:val="af2"/>
          <w:rFonts w:eastAsia="Guttman Hodes" w:hint="cs"/>
          <w:rtl/>
        </w:rPr>
        <w:instrText xml:space="preserve"> _</w:instrText>
      </w:r>
      <w:r w:rsidRPr="00A3054F">
        <w:rPr>
          <w:rStyle w:val="af2"/>
          <w:rFonts w:eastAsia="Guttman Hodes" w:hint="cs"/>
        </w:rPr>
        <w:instrText>Ref134736415 \r \h</w:instrText>
      </w:r>
      <w:r w:rsidRPr="00A3054F">
        <w:rPr>
          <w:rStyle w:val="af2"/>
          <w:rFonts w:eastAsia="Guttman Hodes"/>
          <w:rtl/>
        </w:rPr>
        <w:instrText xml:space="preserve"> </w:instrText>
      </w:r>
      <w:r w:rsidRPr="00A3054F">
        <w:rPr>
          <w:rStyle w:val="af2"/>
          <w:rFonts w:eastAsia="Guttman Hodes"/>
          <w:rtl/>
        </w:rPr>
      </w:r>
      <w:r w:rsidRPr="00A3054F">
        <w:rPr>
          <w:rStyle w:val="af2"/>
          <w:rFonts w:eastAsia="Guttman Hodes"/>
          <w:rtl/>
        </w:rPr>
        <w:fldChar w:fldCharType="separate"/>
      </w:r>
      <w:r w:rsidR="00D82181">
        <w:rPr>
          <w:rStyle w:val="af2"/>
          <w:rFonts w:eastAsia="Guttman Hodes"/>
          <w:cs/>
        </w:rPr>
        <w:t>‎</w:t>
      </w:r>
      <w:r w:rsidR="00D82181">
        <w:rPr>
          <w:rStyle w:val="af2"/>
          <w:rFonts w:eastAsia="Guttman Hodes"/>
          <w:rtl/>
        </w:rPr>
        <w:t>מ)</w:t>
      </w:r>
      <w:r w:rsidRPr="00A3054F">
        <w:rPr>
          <w:rStyle w:val="af2"/>
          <w:rFonts w:eastAsia="Guttman Hodes"/>
          <w:rtl/>
        </w:rPr>
        <w:fldChar w:fldCharType="end"/>
      </w:r>
      <w:r>
        <w:rPr>
          <w:rFonts w:hint="cs"/>
          <w:rtl/>
        </w:rPr>
        <w:t xml:space="preserve"> דהוא תולש, היינו דוקא בהניחה ע"ג היתדות ליום או יומיים, דבזה הוא מבטל את היניקה שהייתה לעציץ מהקרקע, אבל כשהגביה את העציץ רק לשעה וחזר והניחו ע"ג הקרקע,</w:t>
      </w:r>
      <w:bookmarkEnd w:id="1152"/>
      <w:r>
        <w:rPr>
          <w:rFonts w:hint="cs"/>
          <w:rtl/>
        </w:rPr>
        <w:t xml:space="preserve"> אין בזה איסור תולש, </w:t>
      </w:r>
      <w:bookmarkEnd w:id="1154"/>
      <w:r>
        <w:rPr>
          <w:rFonts w:hint="cs"/>
          <w:rtl/>
        </w:rPr>
        <w:t xml:space="preserve">כיון דבזמן המועט שהניחו ע"ג היתדות לא יתייבש, </w:t>
      </w:r>
      <w:r>
        <w:rPr>
          <w:rFonts w:hint="cs"/>
          <w:rtl/>
        </w:rPr>
        <w:lastRenderedPageBreak/>
        <w:t xml:space="preserve">וכתב </w:t>
      </w:r>
      <w:r w:rsidRPr="00A816F6">
        <w:rPr>
          <w:rStyle w:val="aff4"/>
          <w:rFonts w:hint="cs"/>
          <w:vanish/>
          <w:rtl/>
        </w:rPr>
        <w:t>-</w:t>
      </w:r>
      <w:r w:rsidRPr="00610487">
        <w:rPr>
          <w:rStyle w:val="aff4"/>
          <w:rFonts w:hint="cs"/>
          <w:rtl/>
        </w:rPr>
        <w:t>המרכבת המשנה</w:t>
      </w:r>
      <w:r w:rsidRPr="00A816F6">
        <w:rPr>
          <w:rStyle w:val="aff4"/>
          <w:rFonts w:hint="cs"/>
          <w:vanish/>
          <w:rtl/>
        </w:rPr>
        <w:t>-</w:t>
      </w:r>
      <w:r>
        <w:rPr>
          <w:rFonts w:hint="cs"/>
          <w:rtl/>
        </w:rPr>
        <w:t xml:space="preserve"> </w:t>
      </w:r>
      <w:bookmarkStart w:id="1155" w:name="_Hlk135167956"/>
      <w:r>
        <w:rPr>
          <w:rFonts w:hint="cs"/>
          <w:rtl/>
        </w:rPr>
        <w:t xml:space="preserve">דבזה מיושבת קושית </w:t>
      </w:r>
      <w:r w:rsidRPr="00A816F6">
        <w:rPr>
          <w:rStyle w:val="aff4"/>
          <w:rFonts w:hint="cs"/>
          <w:vanish/>
          <w:rtl/>
        </w:rPr>
        <w:t>-</w:t>
      </w:r>
      <w:r w:rsidRPr="00610487">
        <w:rPr>
          <w:rStyle w:val="aff4"/>
          <w:rFonts w:hint="cs"/>
          <w:rtl/>
        </w:rPr>
        <w:t>רש"י</w:t>
      </w:r>
      <w:r w:rsidRPr="00A816F6">
        <w:rPr>
          <w:rStyle w:val="aff4"/>
          <w:rFonts w:hint="cs"/>
          <w:vanish/>
          <w:rtl/>
        </w:rPr>
        <w:t>-</w:t>
      </w:r>
      <w:r>
        <w:rPr>
          <w:rFonts w:hint="cs"/>
          <w:rtl/>
        </w:rPr>
        <w:t xml:space="preserve"> </w:t>
      </w:r>
      <w:r w:rsidRPr="00A3054F">
        <w:rPr>
          <w:rStyle w:val="af2"/>
          <w:rFonts w:eastAsia="Guttman Hodes" w:hint="cs"/>
          <w:rtl/>
        </w:rPr>
        <w:t xml:space="preserve">(עי' אות </w:t>
      </w:r>
      <w:r w:rsidRPr="00A3054F">
        <w:rPr>
          <w:rStyle w:val="af2"/>
          <w:rFonts w:eastAsia="Guttman Hodes"/>
          <w:rtl/>
        </w:rPr>
        <w:fldChar w:fldCharType="begin"/>
      </w:r>
      <w:r w:rsidRPr="00A3054F">
        <w:rPr>
          <w:rStyle w:val="af2"/>
          <w:rFonts w:eastAsia="Guttman Hodes"/>
          <w:rtl/>
        </w:rPr>
        <w:instrText xml:space="preserve"> </w:instrText>
      </w:r>
      <w:r w:rsidRPr="00A3054F">
        <w:rPr>
          <w:rStyle w:val="af2"/>
          <w:rFonts w:eastAsia="Guttman Hodes" w:hint="cs"/>
        </w:rPr>
        <w:instrText>REF</w:instrText>
      </w:r>
      <w:r w:rsidRPr="00A3054F">
        <w:rPr>
          <w:rStyle w:val="af2"/>
          <w:rFonts w:eastAsia="Guttman Hodes" w:hint="cs"/>
          <w:rtl/>
        </w:rPr>
        <w:instrText xml:space="preserve"> _</w:instrText>
      </w:r>
      <w:r w:rsidRPr="00A3054F">
        <w:rPr>
          <w:rStyle w:val="af2"/>
          <w:rFonts w:eastAsia="Guttman Hodes" w:hint="cs"/>
        </w:rPr>
        <w:instrText>Ref134956345 \r \h</w:instrText>
      </w:r>
      <w:r w:rsidRPr="00A3054F">
        <w:rPr>
          <w:rStyle w:val="af2"/>
          <w:rFonts w:eastAsia="Guttman Hodes"/>
          <w:rtl/>
        </w:rPr>
        <w:instrText xml:space="preserve"> </w:instrText>
      </w:r>
      <w:r w:rsidRPr="00A3054F">
        <w:rPr>
          <w:rStyle w:val="af2"/>
          <w:rFonts w:eastAsia="Guttman Hodes"/>
          <w:rtl/>
        </w:rPr>
      </w:r>
      <w:r w:rsidRPr="00A3054F">
        <w:rPr>
          <w:rStyle w:val="af2"/>
          <w:rFonts w:eastAsia="Guttman Hodes"/>
          <w:rtl/>
        </w:rPr>
        <w:fldChar w:fldCharType="separate"/>
      </w:r>
      <w:r w:rsidR="00D82181">
        <w:rPr>
          <w:rStyle w:val="af2"/>
          <w:rFonts w:eastAsia="Guttman Hodes"/>
          <w:cs/>
        </w:rPr>
        <w:t>‎</w:t>
      </w:r>
      <w:r w:rsidR="00D82181">
        <w:rPr>
          <w:rStyle w:val="af2"/>
          <w:rFonts w:eastAsia="Guttman Hodes"/>
          <w:rtl/>
        </w:rPr>
        <w:t>לו)</w:t>
      </w:r>
      <w:r w:rsidRPr="00A3054F">
        <w:rPr>
          <w:rStyle w:val="af2"/>
          <w:rFonts w:eastAsia="Guttman Hodes"/>
          <w:rtl/>
        </w:rPr>
        <w:fldChar w:fldCharType="end"/>
      </w:r>
      <w:r>
        <w:rPr>
          <w:rFonts w:hint="cs"/>
          <w:rtl/>
        </w:rPr>
        <w:t xml:space="preserve"> דאי חייב בתולש מדאו' לא היה מתיר ר"ל לקנח בו, ועי' במה שביאר </w:t>
      </w:r>
      <w:r w:rsidRPr="00A816F6">
        <w:rPr>
          <w:rStyle w:val="aff4"/>
          <w:rFonts w:hint="cs"/>
          <w:vanish/>
          <w:rtl/>
        </w:rPr>
        <w:t>-</w:t>
      </w:r>
      <w:r w:rsidRPr="00610487">
        <w:rPr>
          <w:rStyle w:val="aff4"/>
          <w:rFonts w:hint="cs"/>
          <w:rtl/>
        </w:rPr>
        <w:t>בחי' רבי ראובן</w:t>
      </w:r>
      <w:r w:rsidRPr="00A816F6">
        <w:rPr>
          <w:rStyle w:val="aff4"/>
          <w:rFonts w:hint="cs"/>
          <w:vanish/>
          <w:rtl/>
        </w:rPr>
        <w:t>-</w:t>
      </w:r>
      <w:r>
        <w:rPr>
          <w:rFonts w:hint="cs"/>
          <w:rtl/>
        </w:rPr>
        <w:t xml:space="preserve"> </w:t>
      </w:r>
      <w:r w:rsidRPr="00A3054F">
        <w:rPr>
          <w:rStyle w:val="af2"/>
          <w:rFonts w:eastAsia="Guttman Hodes" w:hint="cs"/>
          <w:rtl/>
        </w:rPr>
        <w:t xml:space="preserve">(עי' אות </w:t>
      </w:r>
      <w:r w:rsidRPr="00A3054F">
        <w:rPr>
          <w:rStyle w:val="af2"/>
          <w:rFonts w:eastAsia="Guttman Hodes"/>
          <w:rtl/>
        </w:rPr>
        <w:fldChar w:fldCharType="begin"/>
      </w:r>
      <w:r w:rsidRPr="00A3054F">
        <w:rPr>
          <w:rStyle w:val="af2"/>
          <w:rFonts w:eastAsia="Guttman Hodes"/>
          <w:rtl/>
        </w:rPr>
        <w:instrText xml:space="preserve"> </w:instrText>
      </w:r>
      <w:r w:rsidRPr="00A3054F">
        <w:rPr>
          <w:rStyle w:val="af2"/>
          <w:rFonts w:eastAsia="Guttman Hodes" w:hint="cs"/>
        </w:rPr>
        <w:instrText>REF</w:instrText>
      </w:r>
      <w:r w:rsidRPr="00A3054F">
        <w:rPr>
          <w:rStyle w:val="af2"/>
          <w:rFonts w:eastAsia="Guttman Hodes" w:hint="cs"/>
          <w:rtl/>
        </w:rPr>
        <w:instrText xml:space="preserve"> _</w:instrText>
      </w:r>
      <w:r w:rsidRPr="00A3054F">
        <w:rPr>
          <w:rStyle w:val="af2"/>
          <w:rFonts w:eastAsia="Guttman Hodes" w:hint="cs"/>
        </w:rPr>
        <w:instrText>Ref135414582 \r \h</w:instrText>
      </w:r>
      <w:r w:rsidRPr="00A3054F">
        <w:rPr>
          <w:rStyle w:val="af2"/>
          <w:rFonts w:eastAsia="Guttman Hodes"/>
          <w:rtl/>
        </w:rPr>
        <w:instrText xml:space="preserve"> </w:instrText>
      </w:r>
      <w:r w:rsidRPr="00A3054F">
        <w:rPr>
          <w:rStyle w:val="af2"/>
          <w:rFonts w:eastAsia="Guttman Hodes"/>
          <w:rtl/>
        </w:rPr>
      </w:r>
      <w:r w:rsidRPr="00A3054F">
        <w:rPr>
          <w:rStyle w:val="af2"/>
          <w:rFonts w:eastAsia="Guttman Hodes"/>
          <w:rtl/>
        </w:rPr>
        <w:fldChar w:fldCharType="separate"/>
      </w:r>
      <w:r w:rsidR="00D82181">
        <w:rPr>
          <w:rStyle w:val="af2"/>
          <w:rFonts w:eastAsia="Guttman Hodes"/>
          <w:cs/>
        </w:rPr>
        <w:t>‎</w:t>
      </w:r>
      <w:r w:rsidR="00D82181">
        <w:rPr>
          <w:rStyle w:val="af2"/>
          <w:rFonts w:eastAsia="Guttman Hodes"/>
          <w:rtl/>
        </w:rPr>
        <w:t>עד)</w:t>
      </w:r>
      <w:r w:rsidRPr="00A3054F">
        <w:rPr>
          <w:rStyle w:val="af2"/>
          <w:rFonts w:eastAsia="Guttman Hodes"/>
          <w:rtl/>
        </w:rPr>
        <w:fldChar w:fldCharType="end"/>
      </w:r>
      <w:r>
        <w:rPr>
          <w:rFonts w:hint="cs"/>
          <w:rtl/>
        </w:rPr>
        <w:t xml:space="preserve"> בדברי </w:t>
      </w:r>
      <w:r w:rsidRPr="00A816F6">
        <w:rPr>
          <w:rStyle w:val="aff4"/>
          <w:rFonts w:hint="cs"/>
          <w:vanish/>
          <w:rtl/>
        </w:rPr>
        <w:t>-</w:t>
      </w:r>
      <w:r w:rsidRPr="00610487">
        <w:rPr>
          <w:rStyle w:val="aff4"/>
          <w:rFonts w:hint="cs"/>
          <w:rtl/>
        </w:rPr>
        <w:t>המרכה"מ</w:t>
      </w:r>
      <w:r w:rsidRPr="00A816F6">
        <w:rPr>
          <w:rStyle w:val="aff4"/>
          <w:rFonts w:hint="cs"/>
          <w:vanish/>
          <w:rtl/>
        </w:rPr>
        <w:t>-</w:t>
      </w:r>
      <w:r>
        <w:rPr>
          <w:rFonts w:hint="cs"/>
          <w:rtl/>
        </w:rPr>
        <w:t>.</w:t>
      </w:r>
      <w:bookmarkEnd w:id="1153"/>
    </w:p>
    <w:bookmarkEnd w:id="1155"/>
    <w:p w14:paraId="7AECA72F" w14:textId="77777777" w:rsidR="00D31714" w:rsidRPr="00747170" w:rsidRDefault="00D31714" w:rsidP="00747170">
      <w:pPr>
        <w:pStyle w:val="a2"/>
        <w:rPr>
          <w:rtl/>
        </w:rPr>
      </w:pPr>
      <w:r w:rsidRPr="00747170">
        <w:rPr>
          <w:rtl/>
        </w:rPr>
        <w:t>גבשושית של עפר וכו'. עיין במ"מ ולח"מ ומה שנראה לענ"ד ביישוב דברי רבנו דדוקא בהגביה מעל הארץ והניחה על גבי יתדות שיהיה מונח כן יום או יומים הוא דהו"ל תולש שמבטל היניקה משא"כ במגביה לפי שעה וחוזר ומניחו על גבי הקרקע לית בי' משום תולש דבזמן מועט עודנו באבו לא ייבש ומשו"ה קשרי ריש לקיש לקנח בו וההיתר הזה נלמד מדברי רבנו ממ"ש פ"א ה"ה וגם לקמן פכ"ו הזכיר היתר הקינוח בצרור שמשיר צרורות ודמי לטוחן והוא הדין צרור שעלו בו עשבים דהו"ל דבר שאינו מתכוין ושרי ועיין בערוך ערך פרפס דמפרש נמי חייב חטאת דלא כפרש"י והאריך שם בנותן טעם והנכון כמ"ש.</w:t>
      </w:r>
    </w:p>
    <w:p w14:paraId="63D6B932" w14:textId="41F66B4A" w:rsidR="00D31714" w:rsidRDefault="00D31714" w:rsidP="00D31714">
      <w:pPr>
        <w:pStyle w:val="afffff7"/>
        <w:rPr>
          <w:rtl/>
        </w:rPr>
      </w:pPr>
      <w:bookmarkStart w:id="1156" w:name="_Toc135513732"/>
      <w:bookmarkStart w:id="1157" w:name="_Toc135670260"/>
      <w:bookmarkStart w:id="1158" w:name="_Toc163505561"/>
      <w:r>
        <w:rPr>
          <w:rtl/>
        </w:rPr>
        <w:t xml:space="preserve">אור זרוע </w:t>
      </w:r>
      <w:r>
        <w:rPr>
          <w:rFonts w:hint="cs"/>
          <w:rtl/>
        </w:rPr>
        <w:t>ח"ב</w:t>
      </w:r>
      <w:r>
        <w:rPr>
          <w:rtl/>
        </w:rPr>
        <w:t xml:space="preserve"> הלכות שבת סי</w:t>
      </w:r>
      <w:r>
        <w:rPr>
          <w:rFonts w:hint="cs"/>
          <w:rtl/>
        </w:rPr>
        <w:t>'</w:t>
      </w:r>
      <w:r>
        <w:rPr>
          <w:rtl/>
        </w:rPr>
        <w:t xml:space="preserve"> נ</w:t>
      </w:r>
      <w:r>
        <w:rPr>
          <w:rFonts w:hint="cs"/>
          <w:rtl/>
        </w:rPr>
        <w:t>"</w:t>
      </w:r>
      <w:r>
        <w:rPr>
          <w:rtl/>
        </w:rPr>
        <w:t>ו</w:t>
      </w:r>
      <w:r w:rsidRPr="000F71BA">
        <w:rPr>
          <w:rtl/>
        </w:rPr>
        <w:t xml:space="preserve"> ד"ה אמר אביי</w:t>
      </w:r>
      <w:bookmarkEnd w:id="1156"/>
      <w:bookmarkEnd w:id="1157"/>
      <w:bookmarkEnd w:id="1158"/>
    </w:p>
    <w:p w14:paraId="3F8BAE92" w14:textId="77777777" w:rsidR="00D31714" w:rsidRDefault="00D31714" w:rsidP="00D31714">
      <w:pPr>
        <w:pStyle w:val="a7"/>
        <w:rPr>
          <w:rtl/>
        </w:rPr>
      </w:pPr>
      <w:bookmarkStart w:id="1159" w:name="_Toc135588028"/>
      <w:bookmarkStart w:id="1160" w:name="_Toc135669975"/>
      <w:r>
        <w:rPr>
          <w:rFonts w:hint="cs"/>
          <w:rtl/>
        </w:rPr>
        <w:t>בי' האו"ז בשם הריב"א דצרור שמחזירו למקום גדילתו ל"ה תולש כיון דלא היה מחובר לגמרי</w:t>
      </w:r>
      <w:bookmarkEnd w:id="1159"/>
      <w:bookmarkEnd w:id="1160"/>
    </w:p>
    <w:p w14:paraId="6CB4F718" w14:textId="5419E75A" w:rsidR="00D31714" w:rsidRDefault="00D31714" w:rsidP="00BC7DC8">
      <w:pPr>
        <w:pStyle w:val="a3"/>
        <w:rPr>
          <w:rtl/>
        </w:rPr>
      </w:pPr>
      <w:bookmarkStart w:id="1161" w:name="_Ref135126973"/>
      <w:r>
        <w:rPr>
          <w:rFonts w:hint="cs"/>
          <w:rtl/>
        </w:rPr>
        <w:t xml:space="preserve">במ"ש </w:t>
      </w:r>
      <w:r w:rsidRPr="00DE1AA0">
        <w:rPr>
          <w:rStyle w:val="aff4"/>
          <w:rFonts w:hint="cs"/>
          <w:vanish/>
          <w:rtl/>
        </w:rPr>
        <w:t>-</w:t>
      </w:r>
      <w:r w:rsidRPr="00DB6BF0">
        <w:rPr>
          <w:rStyle w:val="aff4"/>
          <w:rFonts w:hint="cs"/>
          <w:rtl/>
        </w:rPr>
        <w:t>רש"י לקמן</w:t>
      </w:r>
      <w:r w:rsidRPr="00DE1AA0">
        <w:rPr>
          <w:rStyle w:val="aff4"/>
          <w:rFonts w:hint="cs"/>
          <w:vanish/>
          <w:rtl/>
        </w:rPr>
        <w:t>-</w:t>
      </w:r>
      <w:r>
        <w:rPr>
          <w:rFonts w:hint="cs"/>
          <w:rtl/>
        </w:rPr>
        <w:t xml:space="preserve"> </w:t>
      </w:r>
      <w:r w:rsidRPr="00A3054F">
        <w:rPr>
          <w:rStyle w:val="af2"/>
          <w:rFonts w:eastAsia="Guttman Hodes" w:hint="cs"/>
          <w:rtl/>
        </w:rPr>
        <w:t xml:space="preserve">(עי' אות </w:t>
      </w:r>
      <w:r w:rsidRPr="00A3054F">
        <w:rPr>
          <w:rStyle w:val="af2"/>
          <w:rFonts w:eastAsia="Guttman Hodes"/>
          <w:rtl/>
        </w:rPr>
        <w:fldChar w:fldCharType="begin"/>
      </w:r>
      <w:r w:rsidRPr="00A3054F">
        <w:rPr>
          <w:rStyle w:val="af2"/>
          <w:rFonts w:eastAsia="Guttman Hodes"/>
          <w:rtl/>
        </w:rPr>
        <w:instrText xml:space="preserve"> </w:instrText>
      </w:r>
      <w:r w:rsidRPr="00A3054F">
        <w:rPr>
          <w:rStyle w:val="af2"/>
          <w:rFonts w:eastAsia="Guttman Hodes" w:hint="cs"/>
        </w:rPr>
        <w:instrText>REF</w:instrText>
      </w:r>
      <w:r w:rsidRPr="00A3054F">
        <w:rPr>
          <w:rStyle w:val="af2"/>
          <w:rFonts w:eastAsia="Guttman Hodes" w:hint="cs"/>
          <w:rtl/>
        </w:rPr>
        <w:instrText xml:space="preserve"> _</w:instrText>
      </w:r>
      <w:r w:rsidRPr="00A3054F">
        <w:rPr>
          <w:rStyle w:val="af2"/>
          <w:rFonts w:eastAsia="Guttman Hodes" w:hint="cs"/>
        </w:rPr>
        <w:instrText>Ref134734637 \r \h</w:instrText>
      </w:r>
      <w:r w:rsidRPr="00A3054F">
        <w:rPr>
          <w:rStyle w:val="af2"/>
          <w:rFonts w:eastAsia="Guttman Hodes"/>
          <w:rtl/>
        </w:rPr>
        <w:instrText xml:space="preserve"> </w:instrText>
      </w:r>
      <w:r w:rsidRPr="00A3054F">
        <w:rPr>
          <w:rStyle w:val="af2"/>
          <w:rFonts w:eastAsia="Guttman Hodes"/>
          <w:rtl/>
        </w:rPr>
      </w:r>
      <w:r w:rsidRPr="00A3054F">
        <w:rPr>
          <w:rStyle w:val="af2"/>
          <w:rFonts w:eastAsia="Guttman Hodes"/>
          <w:rtl/>
        </w:rPr>
        <w:fldChar w:fldCharType="separate"/>
      </w:r>
      <w:r w:rsidR="00D82181">
        <w:rPr>
          <w:rStyle w:val="af2"/>
          <w:rFonts w:eastAsia="Guttman Hodes"/>
          <w:cs/>
        </w:rPr>
        <w:t>‎</w:t>
      </w:r>
      <w:r w:rsidR="00D82181">
        <w:rPr>
          <w:rStyle w:val="af2"/>
          <w:rFonts w:eastAsia="Guttman Hodes"/>
          <w:rtl/>
        </w:rPr>
        <w:t>לה)</w:t>
      </w:r>
      <w:r w:rsidRPr="00A3054F">
        <w:rPr>
          <w:rStyle w:val="af2"/>
          <w:rFonts w:eastAsia="Guttman Hodes"/>
          <w:rtl/>
        </w:rPr>
        <w:fldChar w:fldCharType="end"/>
      </w:r>
      <w:r>
        <w:rPr>
          <w:rFonts w:hint="cs"/>
          <w:rtl/>
        </w:rPr>
        <w:t xml:space="preserve"> דהאיסור להגביה פרפיסא מע"ג קרקע לע"ג יתדות הוא מדרבנן, וכמו שאמרו בנשג"ז, וא"א לומר דהאיסור הוא מדאו' דא"כ היאך התיר ר"ל לקנח בצרור, הביא </w:t>
      </w:r>
      <w:r w:rsidRPr="00DE1AA0">
        <w:rPr>
          <w:rStyle w:val="aff4"/>
          <w:rFonts w:hint="cs"/>
          <w:vanish/>
          <w:rtl/>
        </w:rPr>
        <w:t>-</w:t>
      </w:r>
      <w:r w:rsidRPr="00DB6BF0">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Ref135126973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מו)</w:t>
      </w:r>
      <w:r w:rsidRPr="00B53404">
        <w:rPr>
          <w:rStyle w:val="aff4"/>
          <w:vanish/>
          <w:rtl/>
        </w:rPr>
        <w:fldChar w:fldCharType="end"/>
      </w:r>
      <w:r w:rsidRPr="00B53404">
        <w:rPr>
          <w:rStyle w:val="aff4"/>
          <w:rFonts w:hint="cs"/>
          <w:vanish/>
          <w:rtl/>
        </w:rPr>
        <w:t xml:space="preserve"> &gt;</w:t>
      </w:r>
      <w:r w:rsidRPr="00DB6BF0">
        <w:rPr>
          <w:rStyle w:val="aff4"/>
          <w:rFonts w:hint="cs"/>
          <w:rtl/>
        </w:rPr>
        <w:t>או"ז</w:t>
      </w:r>
      <w:r w:rsidRPr="00DE1AA0">
        <w:rPr>
          <w:rStyle w:val="aff4"/>
          <w:rFonts w:hint="cs"/>
          <w:vanish/>
          <w:rtl/>
        </w:rPr>
        <w:t>-</w:t>
      </w:r>
      <w:r>
        <w:rPr>
          <w:rFonts w:hint="cs"/>
          <w:rtl/>
        </w:rPr>
        <w:t xml:space="preserve"> </w:t>
      </w:r>
      <w:r w:rsidRPr="00A3054F">
        <w:rPr>
          <w:rStyle w:val="af2"/>
          <w:rFonts w:eastAsia="Guttman Hodes" w:hint="cs"/>
          <w:rtl/>
        </w:rPr>
        <w:t>(ח"ב שבת סי' נ"ו ד"ה אמר אביי)</w:t>
      </w:r>
      <w:r>
        <w:rPr>
          <w:rFonts w:hint="cs"/>
          <w:rtl/>
        </w:rPr>
        <w:t xml:space="preserve"> בשם </w:t>
      </w:r>
      <w:r w:rsidRPr="00DE1AA0">
        <w:rPr>
          <w:rStyle w:val="aff4"/>
          <w:rFonts w:hint="cs"/>
          <w:vanish/>
          <w:rtl/>
        </w:rPr>
        <w:t>-</w:t>
      </w:r>
      <w:r w:rsidRPr="00DB6BF0">
        <w:rPr>
          <w:rStyle w:val="aff4"/>
          <w:rFonts w:hint="cs"/>
          <w:rtl/>
        </w:rPr>
        <w:t>הריב"א</w:t>
      </w:r>
      <w:r w:rsidRPr="00DE1AA0">
        <w:rPr>
          <w:rStyle w:val="aff4"/>
          <w:rFonts w:hint="cs"/>
          <w:vanish/>
          <w:rtl/>
        </w:rPr>
        <w:t>-</w:t>
      </w:r>
      <w:r w:rsidRPr="00DE1AA0">
        <w:rPr>
          <w:rFonts w:hint="cs"/>
          <w:vanish/>
          <w:rtl/>
        </w:rPr>
        <w:t>=</w:t>
      </w:r>
      <w:r>
        <w:rPr>
          <w:rFonts w:hint="cs"/>
          <w:rtl/>
        </w:rPr>
        <w:t xml:space="preserve"> דהקשה דבנשג"ז אמרינן להדיא בגמ' דהוא מדרבנן, ואילו בפרפיסא אמרינן בסתמא דחייב, וביאר </w:t>
      </w:r>
      <w:r w:rsidRPr="00DE1AA0">
        <w:rPr>
          <w:rStyle w:val="aff4"/>
          <w:rFonts w:hint="cs"/>
          <w:vanish/>
          <w:rtl/>
        </w:rPr>
        <w:t>-</w:t>
      </w:r>
      <w:r w:rsidRPr="00DB6BF0">
        <w:rPr>
          <w:rStyle w:val="aff4"/>
          <w:rFonts w:hint="cs"/>
          <w:rtl/>
        </w:rPr>
        <w:t>הריב"א</w:t>
      </w:r>
      <w:r w:rsidRPr="00DE1AA0">
        <w:rPr>
          <w:rStyle w:val="aff4"/>
          <w:rFonts w:hint="cs"/>
          <w:vanish/>
          <w:rtl/>
        </w:rPr>
        <w:t>-</w:t>
      </w:r>
      <w:r>
        <w:rPr>
          <w:rFonts w:hint="cs"/>
          <w:rtl/>
        </w:rPr>
        <w:t xml:space="preserve"> דהא דהתיר ר"ל לקנח בצרור, הוא כיון דאחר שמקנח בו מחזירו לקרקע, וכל שמחזירו למקום גדילתו לא חשיב תולש, וכתב </w:t>
      </w:r>
      <w:r w:rsidRPr="00DE1AA0">
        <w:rPr>
          <w:rStyle w:val="aff4"/>
          <w:rFonts w:hint="cs"/>
          <w:vanish/>
          <w:rtl/>
        </w:rPr>
        <w:t>-</w:t>
      </w:r>
      <w:r w:rsidRPr="00DB6BF0">
        <w:rPr>
          <w:rStyle w:val="aff4"/>
          <w:rFonts w:hint="cs"/>
          <w:rtl/>
        </w:rPr>
        <w:t>הריב"א</w:t>
      </w:r>
      <w:r w:rsidRPr="00DE1AA0">
        <w:rPr>
          <w:rStyle w:val="aff4"/>
          <w:rFonts w:hint="cs"/>
          <w:vanish/>
          <w:rtl/>
        </w:rPr>
        <w:t>-</w:t>
      </w:r>
      <w:r>
        <w:rPr>
          <w:rFonts w:hint="cs"/>
          <w:rtl/>
        </w:rPr>
        <w:t xml:space="preserve"> דאעפ"י דהתולש דבר שהיה מחובר והחזירו חייב משום תולש ומשום נוטע, היינו דוקא בדבר שהיה מחובר לגמרי, אבל צרור לא חשיב מחובר לגמרי וכשמגביהו אינו נקרא תולש לגמרי, ורק </w:t>
      </w:r>
      <w:r>
        <w:rPr>
          <w:rFonts w:hint="cs"/>
          <w:rtl/>
        </w:rPr>
        <w:t xml:space="preserve">כשקרע את הצרור ממקום אחר הוא תולש, כיון דבזה הוא ממעט את יניקתו, ועי' במ"ש </w:t>
      </w:r>
      <w:r w:rsidRPr="00065BDB">
        <w:rPr>
          <w:rStyle w:val="aff4"/>
          <w:rFonts w:hint="cs"/>
          <w:vanish/>
          <w:rtl/>
        </w:rPr>
        <w:t>-</w:t>
      </w:r>
      <w:r w:rsidRPr="00610487">
        <w:rPr>
          <w:rStyle w:val="aff4"/>
          <w:rFonts w:hint="cs"/>
          <w:rtl/>
        </w:rPr>
        <w:t>בחי' רבי ראובן</w:t>
      </w:r>
      <w:r w:rsidRPr="00065BDB">
        <w:rPr>
          <w:rStyle w:val="aff4"/>
          <w:rFonts w:hint="cs"/>
          <w:vanish/>
          <w:rtl/>
        </w:rPr>
        <w:t>-</w:t>
      </w:r>
      <w:r>
        <w:rPr>
          <w:rFonts w:hint="cs"/>
          <w:rtl/>
        </w:rPr>
        <w:t xml:space="preserve"> </w:t>
      </w:r>
      <w:r w:rsidRPr="00A3054F">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Ref135660447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עו)</w:t>
      </w:r>
      <w:r>
        <w:rPr>
          <w:rStyle w:val="af2"/>
          <w:rFonts w:eastAsia="Guttman Hodes"/>
          <w:rtl/>
        </w:rPr>
        <w:fldChar w:fldCharType="end"/>
      </w:r>
      <w:r w:rsidRPr="00DA28AF">
        <w:rPr>
          <w:rFonts w:hint="cs"/>
          <w:rtl/>
        </w:rPr>
        <w:t xml:space="preserve"> </w:t>
      </w:r>
      <w:r>
        <w:rPr>
          <w:rFonts w:hint="cs"/>
          <w:rtl/>
        </w:rPr>
        <w:t>בדברי</w:t>
      </w:r>
      <w:r w:rsidRPr="00DA28AF">
        <w:rPr>
          <w:rFonts w:hint="cs"/>
          <w:rtl/>
        </w:rPr>
        <w:t xml:space="preserve"> </w:t>
      </w:r>
      <w:r w:rsidRPr="00735214">
        <w:rPr>
          <w:rStyle w:val="aff4"/>
          <w:rFonts w:hint="cs"/>
          <w:vanish/>
          <w:rtl/>
        </w:rPr>
        <w:t>-</w:t>
      </w:r>
      <w:r w:rsidRPr="00A3054F">
        <w:rPr>
          <w:rStyle w:val="aff4"/>
          <w:rFonts w:hint="cs"/>
          <w:rtl/>
        </w:rPr>
        <w:t>האו"ז</w:t>
      </w:r>
      <w:r w:rsidRPr="00735214">
        <w:rPr>
          <w:rStyle w:val="aff4"/>
          <w:rFonts w:hint="cs"/>
          <w:vanish/>
          <w:rtl/>
        </w:rPr>
        <w:t>-</w:t>
      </w:r>
      <w:r w:rsidRPr="00DA28AF">
        <w:rPr>
          <w:rFonts w:hint="cs"/>
          <w:rtl/>
        </w:rPr>
        <w:t xml:space="preserve"> </w:t>
      </w:r>
      <w:r>
        <w:rPr>
          <w:rFonts w:hint="cs"/>
          <w:rtl/>
        </w:rPr>
        <w:t>עיי"ש בדבריו.</w:t>
      </w:r>
      <w:bookmarkEnd w:id="1161"/>
    </w:p>
    <w:p w14:paraId="75784EAC" w14:textId="77777777" w:rsidR="00D31714" w:rsidRPr="00747170" w:rsidRDefault="00D31714" w:rsidP="00747170">
      <w:pPr>
        <w:pStyle w:val="a2"/>
        <w:rPr>
          <w:rtl/>
        </w:rPr>
      </w:pPr>
      <w:r w:rsidRPr="00747170">
        <w:rPr>
          <w:rtl/>
        </w:rPr>
        <w:t>אמר אביי פרפיסא הואיל ואתא לידן נימא בה מילתא. הי' מונח ע"ג קרקע והניחו [ע"ג יתדות מחייב משום תולש] ע"ג יתדות והניחו ע"ג קרקע מחייב משום נוטע פירש"י חייב משום תולש דאינו נהנה שוב מריח הקרקע. ולי נראה [דהאי] חייב לאו חייב ממש קאמר דאי חייב ממש לצורך היכי שרו רבנן איסורא דאורייתא איסור כרת ואיסור סקילה [משום קנוח] ודומה לו הבא על הנכרית חייב משום נשג"ז דלאו מדאורייתא הוא אלא מדרבנן עכ"ל. ולפי דבריו גבי צרור אין לגרוס חייב חטאת אלא חייב ותו לא וחייב מדרבנן. ואינו נראה לריב"א דהתם גבי נשג"ז מפרש להדיא דמדרבנן הוא כדקתני פ' אילו הן הנשרפין כי אתא רב דימי אמר בית דינו של חשמונאי גזרו הבא על הנכרית חייב משום נשג"ז אבל הכא סתם קתני חייב ומה שהקשה דאי חייב ממש לצורך היכי שרו רבנן איסור סקילה לא דמי האי לצרור שעלו בו עשבים שמותר לקנח בו שכיון שהוא מחזירו לקרקע למקום גדולתו לאו תולש הוא ואף על גב דהתולש דבר שהוא מחובר אפי' החזירו חייב היינו היכא שהי' מחובר גמור וכשמחזירו לשם נוטע לכתחילה הוא אבל זה שאינו מחובר גמור כשהוא מגביהו אינו תולש גמור אא"כ קורעו במקום אחר שמיעט את יניקתו כך פי' ריב"א.</w:t>
      </w:r>
    </w:p>
    <w:p w14:paraId="236F1F89" w14:textId="0D0528CC" w:rsidR="00D31714" w:rsidRDefault="00D31714" w:rsidP="00D31714">
      <w:pPr>
        <w:pStyle w:val="a7"/>
        <w:rPr>
          <w:rtl/>
        </w:rPr>
      </w:pPr>
      <w:bookmarkStart w:id="1162" w:name="_Toc135588029"/>
      <w:bookmarkStart w:id="1163" w:name="_Toc135669976"/>
      <w:r>
        <w:rPr>
          <w:rFonts w:hint="cs"/>
          <w:rtl/>
        </w:rPr>
        <w:t>בי' האו"ז דאף לריב"א ההיתר רק בצרור דאינו מחובר כ"כ אבל בפרפיסא אף בהחזירו הוי תולש</w:t>
      </w:r>
      <w:bookmarkEnd w:id="1162"/>
      <w:bookmarkEnd w:id="1163"/>
    </w:p>
    <w:p w14:paraId="791998C4" w14:textId="77777777" w:rsidR="00D31714" w:rsidRPr="00706C5F" w:rsidRDefault="00D31714" w:rsidP="00BC7DC8">
      <w:pPr>
        <w:pStyle w:val="a3"/>
      </w:pPr>
      <w:r>
        <w:rPr>
          <w:rFonts w:hint="cs"/>
          <w:rtl/>
        </w:rPr>
        <w:t xml:space="preserve">אך כתב </w:t>
      </w:r>
      <w:r w:rsidRPr="00DE1AA0">
        <w:rPr>
          <w:rStyle w:val="aff4"/>
          <w:rFonts w:hint="cs"/>
          <w:vanish/>
          <w:rtl/>
        </w:rPr>
        <w:t>-</w:t>
      </w:r>
      <w:r w:rsidRPr="00DB6BF0">
        <w:rPr>
          <w:rStyle w:val="aff4"/>
          <w:rFonts w:hint="cs"/>
          <w:rtl/>
        </w:rPr>
        <w:t>האו"ז</w:t>
      </w:r>
      <w:r w:rsidRPr="00DE1AA0">
        <w:rPr>
          <w:rStyle w:val="aff4"/>
          <w:rFonts w:hint="cs"/>
          <w:vanish/>
          <w:rtl/>
        </w:rPr>
        <w:t>-</w:t>
      </w:r>
      <w:r>
        <w:rPr>
          <w:rFonts w:hint="cs"/>
          <w:rtl/>
        </w:rPr>
        <w:t xml:space="preserve"> דיש להסתפק אי כוונת </w:t>
      </w:r>
      <w:r w:rsidRPr="00DE1AA0">
        <w:rPr>
          <w:rStyle w:val="aff4"/>
          <w:rFonts w:hint="cs"/>
          <w:vanish/>
          <w:rtl/>
        </w:rPr>
        <w:t>-</w:t>
      </w:r>
      <w:r w:rsidRPr="00DB6BF0">
        <w:rPr>
          <w:rStyle w:val="aff4"/>
          <w:rFonts w:hint="cs"/>
          <w:rtl/>
        </w:rPr>
        <w:t>הריב"א</w:t>
      </w:r>
      <w:r w:rsidRPr="00DE1AA0">
        <w:rPr>
          <w:rStyle w:val="aff4"/>
          <w:rFonts w:hint="cs"/>
          <w:vanish/>
          <w:rtl/>
        </w:rPr>
        <w:t>-</w:t>
      </w:r>
      <w:r>
        <w:rPr>
          <w:rFonts w:hint="cs"/>
          <w:rtl/>
        </w:rPr>
        <w:t xml:space="preserve"> לומר דאף בפרפיסא אם החזירה ע"ג פטור או רק בצרור, וכתב </w:t>
      </w:r>
      <w:r w:rsidRPr="00DE1AA0">
        <w:rPr>
          <w:rStyle w:val="aff4"/>
          <w:rFonts w:hint="cs"/>
          <w:vanish/>
          <w:rtl/>
        </w:rPr>
        <w:t>-</w:t>
      </w:r>
      <w:r w:rsidRPr="00DB6BF0">
        <w:rPr>
          <w:rStyle w:val="aff4"/>
          <w:rFonts w:hint="cs"/>
          <w:rtl/>
        </w:rPr>
        <w:t>האו"ז</w:t>
      </w:r>
      <w:r w:rsidRPr="00DE1AA0">
        <w:rPr>
          <w:rStyle w:val="aff4"/>
          <w:rFonts w:hint="cs"/>
          <w:vanish/>
          <w:rtl/>
        </w:rPr>
        <w:t>-</w:t>
      </w:r>
      <w:r>
        <w:rPr>
          <w:rFonts w:hint="cs"/>
          <w:rtl/>
        </w:rPr>
        <w:t xml:space="preserve"> דמסתבר דרק בצרור מותר כיון דהעשבים שבצרור אינם מחוברים כ"כ, ולכן אינו תולש גמור, כל שאח"כ החזיר את הצרור למקום גידולו, אבל בפרפיסא שע"ג הקרקע, הוא מחובר יותר ואף אם החזירו אח"כ למקום גידולו חייב משום תולשו, וכתב </w:t>
      </w:r>
      <w:r w:rsidRPr="00DE1AA0">
        <w:rPr>
          <w:rStyle w:val="aff4"/>
          <w:rFonts w:hint="cs"/>
          <w:vanish/>
          <w:rtl/>
        </w:rPr>
        <w:t>-</w:t>
      </w:r>
      <w:r w:rsidRPr="00DB6BF0">
        <w:rPr>
          <w:rStyle w:val="aff4"/>
          <w:rFonts w:hint="cs"/>
          <w:rtl/>
        </w:rPr>
        <w:t>האו"ז</w:t>
      </w:r>
      <w:r w:rsidRPr="00DE1AA0">
        <w:rPr>
          <w:rStyle w:val="aff4"/>
          <w:rFonts w:hint="cs"/>
          <w:vanish/>
          <w:rtl/>
        </w:rPr>
        <w:t>-</w:t>
      </w:r>
      <w:r>
        <w:rPr>
          <w:rFonts w:hint="cs"/>
          <w:rtl/>
        </w:rPr>
        <w:t xml:space="preserve"> דמדברי </w:t>
      </w:r>
      <w:r w:rsidRPr="00DE1AA0">
        <w:rPr>
          <w:rStyle w:val="aff4"/>
          <w:rFonts w:hint="cs"/>
          <w:vanish/>
          <w:rtl/>
        </w:rPr>
        <w:t>-</w:t>
      </w:r>
      <w:r w:rsidRPr="00DB6BF0">
        <w:rPr>
          <w:rStyle w:val="aff4"/>
          <w:rFonts w:hint="cs"/>
          <w:rtl/>
        </w:rPr>
        <w:t>הערוך</w:t>
      </w:r>
      <w:r w:rsidRPr="00DE1AA0">
        <w:rPr>
          <w:rStyle w:val="aff4"/>
          <w:rFonts w:hint="cs"/>
          <w:vanish/>
          <w:rtl/>
        </w:rPr>
        <w:t>-</w:t>
      </w:r>
      <w:r>
        <w:rPr>
          <w:rFonts w:hint="cs"/>
          <w:rtl/>
        </w:rPr>
        <w:t xml:space="preserve"> משמע דפרפיסא הוא מחובר יותר מצרור, ועי' במה שביאר </w:t>
      </w:r>
      <w:r w:rsidRPr="00735214">
        <w:rPr>
          <w:rStyle w:val="aff4"/>
          <w:rFonts w:hint="cs"/>
          <w:vanish/>
          <w:rtl/>
        </w:rPr>
        <w:t>-</w:t>
      </w:r>
      <w:r w:rsidRPr="00A3054F">
        <w:rPr>
          <w:rStyle w:val="aff4"/>
          <w:rFonts w:hint="cs"/>
          <w:rtl/>
        </w:rPr>
        <w:t>ה</w:t>
      </w:r>
      <w:r w:rsidRPr="00735214">
        <w:rPr>
          <w:rStyle w:val="aff4"/>
          <w:rFonts w:hint="cs"/>
          <w:vanish/>
          <w:rtl/>
        </w:rPr>
        <w:t>&lt; &gt;</w:t>
      </w:r>
      <w:r w:rsidRPr="00A3054F">
        <w:rPr>
          <w:rStyle w:val="aff4"/>
          <w:rtl/>
        </w:rPr>
        <w:t>דבר אברהם</w:t>
      </w:r>
      <w:r w:rsidRPr="00735214">
        <w:rPr>
          <w:rStyle w:val="aff4"/>
          <w:rFonts w:hint="cs"/>
          <w:vanish/>
          <w:rtl/>
        </w:rPr>
        <w:t>-</w:t>
      </w:r>
      <w:r w:rsidRPr="00303D49">
        <w:rPr>
          <w:rtl/>
        </w:rPr>
        <w:t xml:space="preserve"> </w:t>
      </w:r>
      <w:r w:rsidRPr="00A3054F">
        <w:rPr>
          <w:rStyle w:val="af2"/>
          <w:rFonts w:eastAsia="Guttman Hodes" w:hint="cs"/>
          <w:rtl/>
        </w:rPr>
        <w:t>(</w:t>
      </w:r>
      <w:r w:rsidRPr="00A3054F">
        <w:rPr>
          <w:rStyle w:val="af2"/>
          <w:rFonts w:eastAsia="Guttman Hodes"/>
          <w:rtl/>
        </w:rPr>
        <w:t>ח"א סי' כ"ה אות ט"ו ד"ה אבל לא</w:t>
      </w:r>
      <w:r w:rsidRPr="00A3054F">
        <w:rPr>
          <w:rStyle w:val="af2"/>
          <w:rFonts w:eastAsia="Guttman Hodes" w:hint="cs"/>
          <w:rtl/>
        </w:rPr>
        <w:t>)</w:t>
      </w:r>
      <w:r w:rsidRPr="00735214">
        <w:rPr>
          <w:rFonts w:hint="cs"/>
          <w:vanish/>
          <w:rtl/>
        </w:rPr>
        <w:t>=</w:t>
      </w:r>
      <w:r>
        <w:rPr>
          <w:rFonts w:hint="cs"/>
          <w:rtl/>
        </w:rPr>
        <w:t xml:space="preserve"> בדברי </w:t>
      </w:r>
      <w:r w:rsidRPr="00735214">
        <w:rPr>
          <w:rStyle w:val="aff4"/>
          <w:rFonts w:hint="cs"/>
          <w:vanish/>
          <w:rtl/>
        </w:rPr>
        <w:t>-</w:t>
      </w:r>
      <w:r w:rsidRPr="00A3054F">
        <w:rPr>
          <w:rStyle w:val="aff4"/>
          <w:rFonts w:hint="cs"/>
          <w:rtl/>
        </w:rPr>
        <w:t>האו"ז</w:t>
      </w:r>
      <w:r w:rsidRPr="00735214">
        <w:rPr>
          <w:rStyle w:val="aff4"/>
          <w:rFonts w:hint="cs"/>
          <w:vanish/>
          <w:rtl/>
        </w:rPr>
        <w:t>-</w:t>
      </w:r>
      <w:r>
        <w:rPr>
          <w:rFonts w:hint="cs"/>
          <w:rtl/>
        </w:rPr>
        <w:t xml:space="preserve">. </w:t>
      </w:r>
    </w:p>
    <w:p w14:paraId="66069AC6" w14:textId="77777777" w:rsidR="00D31714" w:rsidRPr="00747170" w:rsidRDefault="00D31714" w:rsidP="00747170">
      <w:pPr>
        <w:pStyle w:val="a2"/>
      </w:pPr>
      <w:r w:rsidRPr="00747170">
        <w:rPr>
          <w:rtl/>
        </w:rPr>
        <w:t>וא"י אם ריב"א רוצה לומר שגם גבי פרפיסא אם החזירה ע"ג קרקע פטור ולא מסתבר אלא ר"ל דפרפיסא שע"ג הקרקע מחובר הוא טפי ואפי' החזירו כבר נתחייב משום תולש אבל עשבים שבצרור לא מחברי טפי הלכך לא הוי תולש גמור אא"כ לא החזירם</w:t>
      </w:r>
      <w:r w:rsidRPr="00747170">
        <w:rPr>
          <w:rFonts w:hint="cs"/>
          <w:rtl/>
        </w:rPr>
        <w:t xml:space="preserve">, </w:t>
      </w:r>
      <w:r w:rsidRPr="00747170">
        <w:rPr>
          <w:rtl/>
        </w:rPr>
        <w:t>ובערוך פי' מה היא פרפיסא כשזורעין אותו עושין לו מקום כמו כן או כמו שוליים שיושב עליו [שעור] שיניח עליו ע"ג קרקע [ואפשר שהוא משרש שם ומתחבר לקרקע] ובזמן שמניחו על גבי יתדות הרי הוא מעבירו ממקום שמתחבר ומתחייב משום תולש אבל אם זרעו מעיקרא להניחו ע"ג יתדות והיה מונח שם ולקחו והניחו ע"ג קרקע הרי הכינו במקו' שמתחבר לקרקע וחייב משום (תולש) [נוטע] עכ"ל משמע דהאי פרפיס' טפי מתחבר.</w:t>
      </w:r>
    </w:p>
    <w:p w14:paraId="266C9CA3" w14:textId="77777777" w:rsidR="00D31714" w:rsidRPr="009F5C1E" w:rsidRDefault="00D31714" w:rsidP="00D31714">
      <w:pPr>
        <w:pStyle w:val="a7"/>
        <w:rPr>
          <w:rtl/>
        </w:rPr>
      </w:pPr>
    </w:p>
    <w:p w14:paraId="2FC1D29C" w14:textId="77777777" w:rsidR="00D31714" w:rsidRPr="00700797" w:rsidRDefault="00D31714" w:rsidP="00D31714">
      <w:pPr>
        <w:pStyle w:val="a7"/>
        <w:rPr>
          <w:rtl/>
        </w:rPr>
      </w:pPr>
    </w:p>
    <w:p w14:paraId="39B989C2" w14:textId="77777777" w:rsidR="00D31714" w:rsidRDefault="00D31714" w:rsidP="00D31714">
      <w:pPr>
        <w:bidi w:val="0"/>
        <w:spacing w:after="0" w:line="360" w:lineRule="auto"/>
        <w:rPr>
          <w:rFonts w:ascii="Guttman Hodes" w:eastAsia="Guttman Hodes" w:hAnsi="Guttman Hodes" w:cs="Guttman Hodes"/>
          <w:bCs/>
          <w:sz w:val="12"/>
          <w:szCs w:val="12"/>
          <w:rtl/>
        </w:rPr>
        <w:sectPr w:rsidR="00D31714" w:rsidSect="0021179E">
          <w:type w:val="continuous"/>
          <w:pgSz w:w="11906" w:h="16838"/>
          <w:pgMar w:top="720" w:right="720" w:bottom="720" w:left="720" w:header="283" w:footer="283" w:gutter="0"/>
          <w:cols w:num="2" w:space="567"/>
          <w:bidi/>
          <w:rtlGutter/>
        </w:sectPr>
      </w:pPr>
    </w:p>
    <w:p w14:paraId="1DE69E36" w14:textId="77777777" w:rsidR="00D31714" w:rsidRPr="004559C4" w:rsidRDefault="00D31714" w:rsidP="00D31714">
      <w:pPr>
        <w:bidi w:val="0"/>
        <w:spacing w:after="0" w:line="360" w:lineRule="auto"/>
        <w:rPr>
          <w:rFonts w:eastAsia="Guttman Hodes" w:cs="Guttman Hodes"/>
          <w:bCs/>
          <w:sz w:val="12"/>
          <w:szCs w:val="12"/>
          <w:rtl/>
        </w:rPr>
        <w:sectPr w:rsidR="00D31714" w:rsidRPr="004559C4">
          <w:type w:val="continuous"/>
          <w:pgSz w:w="11906" w:h="16838"/>
          <w:pgMar w:top="720" w:right="720" w:bottom="720" w:left="720" w:header="283" w:footer="283" w:gutter="0"/>
          <w:cols w:num="2" w:space="567"/>
          <w:bidi/>
          <w:rtlGutter/>
        </w:sectPr>
      </w:pPr>
    </w:p>
    <w:p w14:paraId="33504314" w14:textId="77777777" w:rsidR="00D31714" w:rsidRDefault="008D6ECA" w:rsidP="00D31714">
      <w:pPr>
        <w:tabs>
          <w:tab w:val="left" w:pos="1163"/>
        </w:tabs>
        <w:spacing w:after="0" w:line="240" w:lineRule="auto"/>
        <w:jc w:val="center"/>
      </w:pPr>
      <w:r>
        <w:rPr>
          <w:rFonts w:ascii="Guttman Hodes" w:eastAsia="Guttman Hodes" w:hAnsi="Guttman Hodes" w:cs="Guttman Hodes"/>
          <w:noProof/>
          <w:sz w:val="18"/>
          <w:szCs w:val="18"/>
        </w:rPr>
        <w:lastRenderedPageBreak/>
        <w:pict w14:anchorId="3B494871">
          <v:shape id="_x0000_i7852" type="#_x0000_t75" style="width:404.55pt;height:6.8pt" o:hrpct="0" o:hralign="center" o:hr="t">
            <v:imagedata r:id="rId36" o:title="BD14845_"/>
          </v:shape>
        </w:pict>
      </w:r>
    </w:p>
    <w:p w14:paraId="292A185B" w14:textId="77777777" w:rsidR="00D31714" w:rsidRDefault="00D31714" w:rsidP="00D31714">
      <w:pPr>
        <w:pStyle w:val="affff5"/>
        <w:rPr>
          <w:rtl/>
        </w:rPr>
      </w:pPr>
      <w:bookmarkStart w:id="1164" w:name="_Toc135669977"/>
      <w:r>
        <w:rPr>
          <w:rFonts w:hint="cs"/>
          <w:rtl/>
        </w:rPr>
        <w:t>~</w:t>
      </w:r>
      <w:r>
        <w:rPr>
          <w:rFonts w:hint="cs"/>
          <w:noProof/>
          <w:rtl/>
        </w:rPr>
        <w:t>~~~~~~</w:t>
      </w:r>
      <w:r>
        <w:rPr>
          <w:rFonts w:hint="cs"/>
          <w:rtl/>
        </w:rPr>
        <w:t xml:space="preserve"> ביאורי ראשי הישיבות ~</w:t>
      </w:r>
      <w:r>
        <w:rPr>
          <w:rFonts w:hint="cs"/>
          <w:noProof/>
          <w:rtl/>
        </w:rPr>
        <w:t>~~~~</w:t>
      </w:r>
      <w:r>
        <w:rPr>
          <w:rFonts w:hint="cs"/>
          <w:rtl/>
        </w:rPr>
        <w:t>~~</w:t>
      </w:r>
      <w:bookmarkEnd w:id="1164"/>
    </w:p>
    <w:p w14:paraId="4EF5167A" w14:textId="77777777" w:rsidR="00D31714" w:rsidRDefault="00D31714" w:rsidP="00D31714">
      <w:pPr>
        <w:bidi w:val="0"/>
        <w:spacing w:after="0" w:line="360" w:lineRule="auto"/>
        <w:rPr>
          <w:rFonts w:ascii="Guttman Adii-Light" w:eastAsia="Guttman Adii-Light" w:hAnsi="Guttman Adii-Light" w:cs="Guttman Hodes"/>
          <w:b/>
          <w:bCs/>
          <w:sz w:val="18"/>
          <w:szCs w:val="28"/>
          <w:rtl/>
        </w:rPr>
        <w:sectPr w:rsidR="00D31714">
          <w:pgSz w:w="11906" w:h="16838"/>
          <w:pgMar w:top="720" w:right="720" w:bottom="720" w:left="720" w:header="283" w:footer="283" w:gutter="0"/>
          <w:cols w:space="720"/>
          <w:bidi/>
          <w:rtlGutter/>
        </w:sectPr>
      </w:pPr>
    </w:p>
    <w:p w14:paraId="2B6C21BC" w14:textId="77777777" w:rsidR="00D31714" w:rsidRDefault="00D31714" w:rsidP="00D31714">
      <w:pPr>
        <w:pStyle w:val="affff5"/>
        <w:rPr>
          <w:rtl/>
        </w:rPr>
      </w:pPr>
      <w:bookmarkStart w:id="1165" w:name="_Toc135669978"/>
      <w:bookmarkStart w:id="1166" w:name="_Toc135212173"/>
      <w:r>
        <w:rPr>
          <w:rFonts w:hint="cs"/>
          <w:rtl/>
        </w:rPr>
        <w:t>בי' הגרי"ז בדין תולש ובקוצר בגידו"ק</w:t>
      </w:r>
      <w:bookmarkEnd w:id="1165"/>
    </w:p>
    <w:p w14:paraId="6E56F3D9" w14:textId="77777777" w:rsidR="00D31714" w:rsidRDefault="00D31714" w:rsidP="00D31714">
      <w:pPr>
        <w:pStyle w:val="1"/>
        <w:rPr>
          <w:rtl/>
        </w:rPr>
      </w:pPr>
      <w:bookmarkStart w:id="1167" w:name="_Toc135669979"/>
      <w:r>
        <w:rPr>
          <w:rFonts w:hint="cs"/>
          <w:rtl/>
        </w:rPr>
        <w:t>באב ותולדה בתולש ועוקר דבר מגידולו ובד' הרמב"ם בגידו"ק</w:t>
      </w:r>
      <w:bookmarkEnd w:id="1167"/>
    </w:p>
    <w:p w14:paraId="18D5C1C6" w14:textId="77777777" w:rsidR="00D31714" w:rsidRDefault="00D31714" w:rsidP="00D31714">
      <w:pPr>
        <w:pStyle w:val="afffff7"/>
        <w:rPr>
          <w:rtl/>
        </w:rPr>
      </w:pPr>
      <w:bookmarkStart w:id="1168" w:name="_Toc135670261"/>
      <w:bookmarkStart w:id="1169" w:name="_Toc163505562"/>
      <w:r>
        <w:rPr>
          <w:rtl/>
        </w:rPr>
        <w:t>חדושי הגרי"ז בכורות כ"ה ע"א</w:t>
      </w:r>
      <w:r>
        <w:rPr>
          <w:rFonts w:hint="cs"/>
          <w:rtl/>
        </w:rPr>
        <w:t xml:space="preserve"> ד"ה הרמב"ם</w:t>
      </w:r>
      <w:bookmarkEnd w:id="1168"/>
      <w:bookmarkEnd w:id="1169"/>
    </w:p>
    <w:p w14:paraId="5B7778CF" w14:textId="77777777" w:rsidR="00D31714" w:rsidRDefault="00D31714" w:rsidP="00D31714">
      <w:pPr>
        <w:pStyle w:val="a7"/>
        <w:rPr>
          <w:rtl/>
        </w:rPr>
      </w:pPr>
      <w:bookmarkStart w:id="1170" w:name="_Toc135669980"/>
      <w:r>
        <w:rPr>
          <w:rFonts w:hint="cs"/>
          <w:rtl/>
        </w:rPr>
        <w:t>קו' הגרי"ז דמ"ש תולש דהוא תולדה מעוקר דבר מגידולו שהוא אב ותי' הגרי"ז דבדרך הוי אב</w:t>
      </w:r>
      <w:bookmarkEnd w:id="1170"/>
    </w:p>
    <w:p w14:paraId="116279AA" w14:textId="5E7489A3" w:rsidR="00D31714" w:rsidRDefault="00D31714" w:rsidP="00BC7DC8">
      <w:pPr>
        <w:pStyle w:val="a3"/>
      </w:pPr>
      <w:bookmarkStart w:id="1171" w:name="_Ref135565447"/>
      <w:r>
        <w:rPr>
          <w:rFonts w:hint="cs"/>
          <w:rtl/>
        </w:rPr>
        <w:t xml:space="preserve">במ"ש </w:t>
      </w:r>
      <w:r w:rsidRPr="009556BA">
        <w:rPr>
          <w:rStyle w:val="aff4"/>
          <w:rFonts w:hint="cs"/>
          <w:vanish/>
          <w:rtl/>
        </w:rPr>
        <w:t>-</w:t>
      </w:r>
      <w:r w:rsidRPr="00062375">
        <w:rPr>
          <w:rStyle w:val="aff4"/>
          <w:rFonts w:hint="cs"/>
          <w:rtl/>
        </w:rPr>
        <w:t>הרמב"ם</w:t>
      </w:r>
      <w:r w:rsidRPr="009556BA">
        <w:rPr>
          <w:rStyle w:val="aff4"/>
          <w:rFonts w:hint="cs"/>
          <w:vanish/>
          <w:rtl/>
        </w:rPr>
        <w:t>-</w:t>
      </w:r>
      <w:r>
        <w:rPr>
          <w:rFonts w:hint="cs"/>
          <w:rtl/>
        </w:rPr>
        <w:t xml:space="preserve"> </w:t>
      </w:r>
      <w:r w:rsidRPr="00A3054F">
        <w:rPr>
          <w:rStyle w:val="af2"/>
          <w:rFonts w:eastAsia="Guttman Hodes" w:hint="cs"/>
          <w:rtl/>
        </w:rPr>
        <w:t xml:space="preserve">(עי' אות </w:t>
      </w:r>
      <w:r w:rsidRPr="00A3054F">
        <w:rPr>
          <w:rStyle w:val="af2"/>
          <w:rFonts w:eastAsia="Guttman Hodes"/>
          <w:rtl/>
        </w:rPr>
        <w:fldChar w:fldCharType="begin"/>
      </w:r>
      <w:r w:rsidRPr="00A3054F">
        <w:rPr>
          <w:rStyle w:val="af2"/>
          <w:rFonts w:eastAsia="Guttman Hodes"/>
          <w:rtl/>
        </w:rPr>
        <w:instrText xml:space="preserve"> </w:instrText>
      </w:r>
      <w:r w:rsidRPr="00A3054F">
        <w:rPr>
          <w:rStyle w:val="af2"/>
          <w:rFonts w:eastAsia="Guttman Hodes" w:hint="cs"/>
        </w:rPr>
        <w:instrText>REF</w:instrText>
      </w:r>
      <w:r w:rsidRPr="00A3054F">
        <w:rPr>
          <w:rStyle w:val="af2"/>
          <w:rFonts w:eastAsia="Guttman Hodes" w:hint="cs"/>
          <w:rtl/>
        </w:rPr>
        <w:instrText xml:space="preserve"> _</w:instrText>
      </w:r>
      <w:r w:rsidRPr="00A3054F">
        <w:rPr>
          <w:rStyle w:val="af2"/>
          <w:rFonts w:eastAsia="Guttman Hodes" w:hint="cs"/>
        </w:rPr>
        <w:instrText>Ref134459496 \r \h</w:instrText>
      </w:r>
      <w:r w:rsidRPr="00A3054F">
        <w:rPr>
          <w:rStyle w:val="af2"/>
          <w:rFonts w:eastAsia="Guttman Hodes"/>
          <w:rtl/>
        </w:rPr>
        <w:instrText xml:space="preserve"> </w:instrText>
      </w:r>
      <w:r w:rsidRPr="00A3054F">
        <w:rPr>
          <w:rStyle w:val="af2"/>
          <w:rFonts w:eastAsia="Guttman Hodes"/>
          <w:rtl/>
        </w:rPr>
      </w:r>
      <w:r w:rsidRPr="00A3054F">
        <w:rPr>
          <w:rStyle w:val="af2"/>
          <w:rFonts w:eastAsia="Guttman Hodes"/>
          <w:rtl/>
        </w:rPr>
        <w:fldChar w:fldCharType="separate"/>
      </w:r>
      <w:r w:rsidR="00D82181">
        <w:rPr>
          <w:rStyle w:val="af2"/>
          <w:rFonts w:eastAsia="Guttman Hodes"/>
          <w:cs/>
        </w:rPr>
        <w:t>‎</w:t>
      </w:r>
      <w:r w:rsidR="00D82181">
        <w:rPr>
          <w:rStyle w:val="af2"/>
          <w:rFonts w:eastAsia="Guttman Hodes"/>
          <w:rtl/>
        </w:rPr>
        <w:t>ו)</w:t>
      </w:r>
      <w:r w:rsidRPr="00A3054F">
        <w:rPr>
          <w:rStyle w:val="af2"/>
          <w:rFonts w:eastAsia="Guttman Hodes"/>
          <w:rtl/>
        </w:rPr>
        <w:fldChar w:fldCharType="end"/>
      </w:r>
      <w:r>
        <w:rPr>
          <w:rFonts w:hint="cs"/>
          <w:rtl/>
        </w:rPr>
        <w:t xml:space="preserve"> דתולש הוא תולדה של קוצר, הקשה </w:t>
      </w:r>
      <w:r w:rsidRPr="009556BA">
        <w:rPr>
          <w:rStyle w:val="aff4"/>
          <w:rFonts w:hint="cs"/>
          <w:vanish/>
          <w:rtl/>
        </w:rPr>
        <w:t>-</w:t>
      </w:r>
      <w:r w:rsidRPr="00062375">
        <w:rPr>
          <w:rStyle w:val="aff4"/>
          <w:rFonts w:hint="cs"/>
          <w:rtl/>
        </w:rPr>
        <w:t>ב</w:t>
      </w:r>
      <w:r w:rsidRPr="00FC1595">
        <w:rPr>
          <w:rStyle w:val="aff4"/>
          <w:rFonts w:hint="cs"/>
          <w:vanish/>
          <w:rtl/>
        </w:rPr>
        <w:t xml:space="preserve">&lt;. </w:t>
      </w:r>
      <w:r w:rsidRPr="00FC1595">
        <w:rPr>
          <w:rStyle w:val="aff4"/>
          <w:vanish/>
          <w:rtl/>
        </w:rPr>
        <w:fldChar w:fldCharType="begin"/>
      </w:r>
      <w:r w:rsidRPr="00FC1595">
        <w:rPr>
          <w:rStyle w:val="aff4"/>
          <w:vanish/>
          <w:rtl/>
        </w:rPr>
        <w:instrText xml:space="preserve"> </w:instrText>
      </w:r>
      <w:r w:rsidRPr="00FC1595">
        <w:rPr>
          <w:rStyle w:val="aff4"/>
          <w:rFonts w:hint="cs"/>
          <w:vanish/>
        </w:rPr>
        <w:instrText>REF</w:instrText>
      </w:r>
      <w:r w:rsidRPr="00FC1595">
        <w:rPr>
          <w:rStyle w:val="aff4"/>
          <w:rFonts w:hint="cs"/>
          <w:vanish/>
          <w:rtl/>
        </w:rPr>
        <w:instrText xml:space="preserve"> _</w:instrText>
      </w:r>
      <w:r w:rsidRPr="00FC1595">
        <w:rPr>
          <w:rStyle w:val="aff4"/>
          <w:rFonts w:hint="cs"/>
          <w:vanish/>
        </w:rPr>
        <w:instrText>Ref135565447 \r \h</w:instrText>
      </w:r>
      <w:r w:rsidRPr="00FC1595">
        <w:rPr>
          <w:rStyle w:val="aff4"/>
          <w:vanish/>
          <w:rtl/>
        </w:rPr>
        <w:instrText xml:space="preserve"> </w:instrText>
      </w:r>
      <w:r w:rsidRPr="00FC1595">
        <w:rPr>
          <w:rStyle w:val="aff4"/>
          <w:vanish/>
          <w:rtl/>
        </w:rPr>
      </w:r>
      <w:r w:rsidRPr="00FC1595">
        <w:rPr>
          <w:rStyle w:val="aff4"/>
          <w:vanish/>
          <w:rtl/>
        </w:rPr>
        <w:fldChar w:fldCharType="separate"/>
      </w:r>
      <w:r w:rsidR="00D82181">
        <w:rPr>
          <w:rStyle w:val="aff4"/>
          <w:vanish/>
          <w:cs/>
        </w:rPr>
        <w:t>‎</w:t>
      </w:r>
      <w:r w:rsidR="00D82181">
        <w:rPr>
          <w:rStyle w:val="aff4"/>
          <w:vanish/>
          <w:rtl/>
        </w:rPr>
        <w:t>מח)</w:t>
      </w:r>
      <w:r w:rsidRPr="00FC1595">
        <w:rPr>
          <w:rStyle w:val="aff4"/>
          <w:vanish/>
          <w:rtl/>
        </w:rPr>
        <w:fldChar w:fldCharType="end"/>
      </w:r>
      <w:r w:rsidRPr="00FC1595">
        <w:rPr>
          <w:rStyle w:val="aff4"/>
          <w:rFonts w:hint="cs"/>
          <w:vanish/>
          <w:rtl/>
        </w:rPr>
        <w:t xml:space="preserve"> &gt;</w:t>
      </w:r>
      <w:r w:rsidRPr="00062375">
        <w:rPr>
          <w:rStyle w:val="aff4"/>
          <w:rFonts w:hint="cs"/>
          <w:rtl/>
        </w:rPr>
        <w:t>חי' הגרי"ז בבכורות</w:t>
      </w:r>
      <w:r w:rsidRPr="009556BA">
        <w:rPr>
          <w:rStyle w:val="aff4"/>
          <w:rFonts w:hint="cs"/>
          <w:vanish/>
          <w:rtl/>
        </w:rPr>
        <w:t>-</w:t>
      </w:r>
      <w:r>
        <w:rPr>
          <w:rFonts w:hint="cs"/>
          <w:rtl/>
        </w:rPr>
        <w:t xml:space="preserve"> </w:t>
      </w:r>
      <w:r w:rsidRPr="00A3054F">
        <w:rPr>
          <w:rStyle w:val="af2"/>
          <w:rFonts w:eastAsia="Guttman Hodes" w:hint="cs"/>
          <w:rtl/>
        </w:rPr>
        <w:t>(כה. ד"ה הרמב"ם)</w:t>
      </w:r>
      <w:r w:rsidRPr="009556BA">
        <w:rPr>
          <w:rFonts w:hint="cs"/>
          <w:vanish/>
          <w:rtl/>
        </w:rPr>
        <w:t>=</w:t>
      </w:r>
      <w:r>
        <w:rPr>
          <w:rFonts w:hint="cs"/>
          <w:rtl/>
        </w:rPr>
        <w:t xml:space="preserve"> דבעוקר דבר מגידולו משמע מדברי </w:t>
      </w:r>
      <w:r w:rsidRPr="009556BA">
        <w:rPr>
          <w:rStyle w:val="aff4"/>
          <w:rFonts w:hint="cs"/>
          <w:vanish/>
          <w:rtl/>
        </w:rPr>
        <w:t>-</w:t>
      </w:r>
      <w:r w:rsidRPr="00062375">
        <w:rPr>
          <w:rStyle w:val="aff4"/>
          <w:rFonts w:hint="cs"/>
          <w:rtl/>
        </w:rPr>
        <w:t>הרמב"ם</w:t>
      </w:r>
      <w:r w:rsidRPr="009556BA">
        <w:rPr>
          <w:rStyle w:val="aff4"/>
          <w:rFonts w:hint="cs"/>
          <w:vanish/>
          <w:rtl/>
        </w:rPr>
        <w:t>-</w:t>
      </w:r>
      <w:r>
        <w:rPr>
          <w:rFonts w:hint="cs"/>
          <w:rtl/>
        </w:rPr>
        <w:t xml:space="preserve"> </w:t>
      </w:r>
      <w:r w:rsidRPr="00A3054F">
        <w:rPr>
          <w:rStyle w:val="af2"/>
          <w:rFonts w:eastAsia="Guttman Hodes" w:hint="cs"/>
          <w:rtl/>
        </w:rPr>
        <w:t xml:space="preserve">(עי' אות </w:t>
      </w:r>
      <w:r w:rsidRPr="00A3054F">
        <w:rPr>
          <w:rStyle w:val="af2"/>
          <w:rFonts w:eastAsia="Guttman Hodes"/>
          <w:rtl/>
        </w:rPr>
        <w:fldChar w:fldCharType="begin"/>
      </w:r>
      <w:r w:rsidRPr="00A3054F">
        <w:rPr>
          <w:rStyle w:val="af2"/>
          <w:rFonts w:eastAsia="Guttman Hodes"/>
          <w:rtl/>
        </w:rPr>
        <w:instrText xml:space="preserve"> </w:instrText>
      </w:r>
      <w:r w:rsidRPr="00A3054F">
        <w:rPr>
          <w:rStyle w:val="af2"/>
          <w:rFonts w:eastAsia="Guttman Hodes" w:hint="cs"/>
        </w:rPr>
        <w:instrText>REF</w:instrText>
      </w:r>
      <w:r w:rsidRPr="00A3054F">
        <w:rPr>
          <w:rStyle w:val="af2"/>
          <w:rFonts w:eastAsia="Guttman Hodes" w:hint="cs"/>
          <w:rtl/>
        </w:rPr>
        <w:instrText xml:space="preserve"> _</w:instrText>
      </w:r>
      <w:r w:rsidRPr="00A3054F">
        <w:rPr>
          <w:rStyle w:val="af2"/>
          <w:rFonts w:eastAsia="Guttman Hodes" w:hint="cs"/>
        </w:rPr>
        <w:instrText>Ref135584246 \r \h</w:instrText>
      </w:r>
      <w:r w:rsidRPr="00A3054F">
        <w:rPr>
          <w:rStyle w:val="af2"/>
          <w:rFonts w:eastAsia="Guttman Hodes"/>
          <w:rtl/>
        </w:rPr>
        <w:instrText xml:space="preserve"> </w:instrText>
      </w:r>
      <w:r w:rsidRPr="00A3054F">
        <w:rPr>
          <w:rStyle w:val="af2"/>
          <w:rFonts w:eastAsia="Guttman Hodes"/>
          <w:rtl/>
        </w:rPr>
      </w:r>
      <w:r w:rsidRPr="00A3054F">
        <w:rPr>
          <w:rStyle w:val="af2"/>
          <w:rFonts w:eastAsia="Guttman Hodes"/>
          <w:rtl/>
        </w:rPr>
        <w:fldChar w:fldCharType="separate"/>
      </w:r>
      <w:r w:rsidR="00D82181">
        <w:rPr>
          <w:rStyle w:val="af2"/>
          <w:rFonts w:eastAsia="Guttman Hodes"/>
          <w:cs/>
        </w:rPr>
        <w:t>‎</w:t>
      </w:r>
      <w:r w:rsidR="00D82181">
        <w:rPr>
          <w:rStyle w:val="af2"/>
          <w:rFonts w:eastAsia="Guttman Hodes"/>
          <w:rtl/>
        </w:rPr>
        <w:t>ז)</w:t>
      </w:r>
      <w:r w:rsidRPr="00A3054F">
        <w:rPr>
          <w:rStyle w:val="af2"/>
          <w:rFonts w:eastAsia="Guttman Hodes"/>
          <w:rtl/>
        </w:rPr>
        <w:fldChar w:fldCharType="end"/>
      </w:r>
      <w:r>
        <w:rPr>
          <w:rFonts w:hint="cs"/>
          <w:rtl/>
        </w:rPr>
        <w:t xml:space="preserve"> דהוא אב דקוצר, ומ"ש תולש דהוא תולדה, וביאר </w:t>
      </w:r>
      <w:r w:rsidRPr="009556BA">
        <w:rPr>
          <w:rStyle w:val="aff4"/>
          <w:rFonts w:hint="cs"/>
          <w:vanish/>
          <w:rtl/>
        </w:rPr>
        <w:t>-</w:t>
      </w:r>
      <w:r w:rsidRPr="00062375">
        <w:rPr>
          <w:rStyle w:val="aff4"/>
          <w:rFonts w:hint="cs"/>
          <w:rtl/>
        </w:rPr>
        <w:t>הגרי"ז</w:t>
      </w:r>
      <w:r w:rsidRPr="009556BA">
        <w:rPr>
          <w:rStyle w:val="aff4"/>
          <w:rFonts w:hint="cs"/>
          <w:vanish/>
          <w:rtl/>
        </w:rPr>
        <w:t>-</w:t>
      </w:r>
      <w:r>
        <w:rPr>
          <w:rFonts w:hint="cs"/>
          <w:rtl/>
        </w:rPr>
        <w:t xml:space="preserve"> דתולש הוא בדבר שהדרך לקצור אותו, ולכן כל ששינה מדרכו ותלש אותו הוי תולדה, אבל עוקר דבר מגידולו איירי בדבר שהדרך לעוקרו ולכן הוי קוצר ממש, וכ"כ </w:t>
      </w:r>
      <w:r w:rsidRPr="00AC0BA6">
        <w:rPr>
          <w:rStyle w:val="aff4"/>
          <w:rFonts w:hint="cs"/>
          <w:vanish/>
          <w:rtl/>
        </w:rPr>
        <w:t>-</w:t>
      </w:r>
      <w:r w:rsidRPr="0042697D">
        <w:rPr>
          <w:rStyle w:val="aff4"/>
          <w:rFonts w:hint="cs"/>
          <w:rtl/>
        </w:rPr>
        <w:t>האגלי טל</w:t>
      </w:r>
      <w:r w:rsidRPr="00AC0BA6">
        <w:rPr>
          <w:rStyle w:val="aff4"/>
          <w:rFonts w:hint="cs"/>
          <w:vanish/>
          <w:rtl/>
        </w:rPr>
        <w:t>-</w:t>
      </w:r>
      <w:r>
        <w:rPr>
          <w:rFonts w:hint="cs"/>
          <w:rtl/>
        </w:rPr>
        <w:t xml:space="preserve"> </w:t>
      </w:r>
      <w:r w:rsidRPr="00A3054F">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Ref135660528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יט)</w:t>
      </w:r>
      <w:r>
        <w:rPr>
          <w:rStyle w:val="af2"/>
          <w:rFonts w:eastAsia="Guttman Hodes"/>
          <w:rtl/>
        </w:rPr>
        <w:fldChar w:fldCharType="end"/>
      </w:r>
      <w:r>
        <w:rPr>
          <w:rFonts w:hint="cs"/>
          <w:rtl/>
        </w:rPr>
        <w:t>.</w:t>
      </w:r>
      <w:bookmarkEnd w:id="1171"/>
    </w:p>
    <w:p w14:paraId="09E227C8" w14:textId="77777777" w:rsidR="00D31714" w:rsidRPr="00747170" w:rsidRDefault="00D31714" w:rsidP="00747170">
      <w:pPr>
        <w:pStyle w:val="a2"/>
        <w:rPr>
          <w:rtl/>
        </w:rPr>
      </w:pPr>
      <w:r w:rsidRPr="00747170">
        <w:rPr>
          <w:rtl/>
        </w:rPr>
        <w:t>הרמב"ם בהל' שבת (פ"ח הל"ג) כתב וז"ל, הקוצר כגרוגרת חייב ותולש תולדת קוצר הוא, וכל העוקר דבר מגידולו חייב משום קוצר עכ"ל, והנה בעוקר דבר מגידולו נראה דחייב משום קוצר דהוי אב ולא תולדת קוצר, וא"כ למה תולש תולדת קוצר ולא קוצר ממש, וע"כ נראה דתולש איירי בדבר שדרכו לקצור דאז הוי רק תולדת קוצר, אבל העוקר דבר מגידולו הוי כאורחיה בהכי, והוי ממש קוצר</w:t>
      </w:r>
      <w:r w:rsidRPr="00747170">
        <w:rPr>
          <w:rFonts w:hint="cs"/>
          <w:rtl/>
        </w:rPr>
        <w:t>.</w:t>
      </w:r>
    </w:p>
    <w:p w14:paraId="441CDFE6" w14:textId="77777777" w:rsidR="00D31714" w:rsidRPr="00806B08" w:rsidRDefault="00D31714" w:rsidP="00D31714">
      <w:pPr>
        <w:pStyle w:val="a7"/>
      </w:pPr>
      <w:bookmarkStart w:id="1172" w:name="_Toc135669981"/>
      <w:r>
        <w:rPr>
          <w:rFonts w:hint="cs"/>
          <w:rtl/>
        </w:rPr>
        <w:t>בי' הגרי"ז ברמב"ם דחיוב אב דקוצר הוא רק בגידו"ק אך שלא בגידו"ק אפשר לחייב בתולדה</w:t>
      </w:r>
      <w:bookmarkEnd w:id="1172"/>
    </w:p>
    <w:p w14:paraId="22C655E5" w14:textId="77777777" w:rsidR="00D31714" w:rsidRDefault="00D31714" w:rsidP="00BC7DC8">
      <w:pPr>
        <w:pStyle w:val="a3"/>
      </w:pPr>
      <w:r>
        <w:rPr>
          <w:rFonts w:hint="cs"/>
          <w:rtl/>
        </w:rPr>
        <w:t xml:space="preserve">וכתב </w:t>
      </w:r>
      <w:r w:rsidRPr="009556BA">
        <w:rPr>
          <w:rStyle w:val="aff4"/>
          <w:rFonts w:hint="cs"/>
          <w:vanish/>
          <w:rtl/>
        </w:rPr>
        <w:t>-</w:t>
      </w:r>
      <w:r w:rsidRPr="00062375">
        <w:rPr>
          <w:rStyle w:val="aff4"/>
          <w:rFonts w:hint="cs"/>
          <w:rtl/>
        </w:rPr>
        <w:t>בחי' הגרי"ז בבכורות</w:t>
      </w:r>
      <w:r w:rsidRPr="009556BA">
        <w:rPr>
          <w:rStyle w:val="aff4"/>
          <w:rFonts w:hint="cs"/>
          <w:vanish/>
          <w:rtl/>
        </w:rPr>
        <w:t>-</w:t>
      </w:r>
      <w:r>
        <w:rPr>
          <w:rFonts w:hint="cs"/>
          <w:rtl/>
        </w:rPr>
        <w:t xml:space="preserve"> דלפי"ז החיוב באב דקוצר הוא רק בגידולי קרקע, כיון דמלאכה שכלולה באב צריכה להיות כמו האב עצמו, אבל דבר שאינו גידולי קרקע אפשר לחייבו מדין תולדת קוצר, כמו חולב דהוא תולדה דדש, דא"צ שהתולדה תהיה כמו האב.</w:t>
      </w:r>
    </w:p>
    <w:p w14:paraId="2DD9F5C7" w14:textId="77777777" w:rsidR="00D31714" w:rsidRPr="00747170" w:rsidRDefault="00D31714" w:rsidP="00747170">
      <w:pPr>
        <w:pStyle w:val="a2"/>
        <w:rPr>
          <w:rtl/>
        </w:rPr>
      </w:pPr>
      <w:r w:rsidRPr="00747170">
        <w:rPr>
          <w:rtl/>
        </w:rPr>
        <w:t>ולפי"ז נראה דבעוקר דבר מגידולו כיון דהוה ממש קוצר א"כ בעינן דוקא בגידולי קרקע, דכל שהאב מלאכה הכי הוי אינו חייב אחרת, משא"כ כל דחייב משום תולדה אז אף דלא הוי ממש כמותו ולאו גידולי קרקע ג"כ חייב, כמו בחולב תולדה דדש דכל שהוי תולדה לא בעינן דלהוי כמותו ממש</w:t>
      </w:r>
      <w:r w:rsidRPr="00747170">
        <w:rPr>
          <w:rFonts w:hint="cs"/>
          <w:rtl/>
        </w:rPr>
        <w:t>.</w:t>
      </w:r>
    </w:p>
    <w:p w14:paraId="1DB6A6FE" w14:textId="77777777" w:rsidR="00D31714" w:rsidRPr="00BF4548" w:rsidRDefault="00D31714" w:rsidP="00D31714">
      <w:pPr>
        <w:pStyle w:val="a7"/>
      </w:pPr>
      <w:bookmarkStart w:id="1173" w:name="_Toc135669982"/>
      <w:r>
        <w:rPr>
          <w:rFonts w:hint="cs"/>
          <w:rtl/>
        </w:rPr>
        <w:t>בי' הגרי"ז דבעוקר דבר מגידולו שהוא אב א"א לחייב בדבר שאינו גידו"ק דאב הוא רק בגידו"ק</w:t>
      </w:r>
      <w:bookmarkEnd w:id="1173"/>
    </w:p>
    <w:p w14:paraId="03310DA2" w14:textId="77777777" w:rsidR="00D31714" w:rsidRPr="0037331F" w:rsidRDefault="00D31714" w:rsidP="00BC7DC8">
      <w:pPr>
        <w:pStyle w:val="a3"/>
        <w:rPr>
          <w:rtl/>
        </w:rPr>
      </w:pPr>
      <w:r>
        <w:rPr>
          <w:rFonts w:hint="cs"/>
          <w:rtl/>
        </w:rPr>
        <w:t xml:space="preserve">וכתב </w:t>
      </w:r>
      <w:r w:rsidRPr="009556BA">
        <w:rPr>
          <w:rFonts w:hint="cs"/>
          <w:vanish/>
          <w:rtl/>
        </w:rPr>
        <w:t>-</w:t>
      </w:r>
      <w:r>
        <w:rPr>
          <w:rFonts w:hint="cs"/>
          <w:rtl/>
        </w:rPr>
        <w:t>הגרי"ז</w:t>
      </w:r>
      <w:r w:rsidRPr="009556BA">
        <w:rPr>
          <w:rFonts w:hint="cs"/>
          <w:vanish/>
          <w:rtl/>
        </w:rPr>
        <w:t>-</w:t>
      </w:r>
      <w:r>
        <w:rPr>
          <w:rFonts w:hint="cs"/>
          <w:rtl/>
        </w:rPr>
        <w:t xml:space="preserve"> דלפי"ז בעוקר דבר מגידולו שהוא אב, א"א לחייב בתולש מבהמה, כיון דצריך תולש רק מגידולי קרקע.</w:t>
      </w:r>
    </w:p>
    <w:p w14:paraId="0BE4AB8A" w14:textId="77777777" w:rsidR="00D31714" w:rsidRPr="00747170" w:rsidRDefault="00D31714" w:rsidP="00747170">
      <w:pPr>
        <w:pStyle w:val="a2"/>
        <w:rPr>
          <w:rtl/>
        </w:rPr>
      </w:pPr>
      <w:r w:rsidRPr="00747170">
        <w:rPr>
          <w:rtl/>
        </w:rPr>
        <w:t>וא"כ לפי"ז לשיטת הרמב"ם ליכא ליחייב משום עוקר דבר מגידולו בתולש את הבהמה מאחר דבעינן דוקא גידולי קרקע.</w:t>
      </w:r>
    </w:p>
    <w:p w14:paraId="5E957CA3" w14:textId="77777777" w:rsidR="00D31714" w:rsidRDefault="00D31714" w:rsidP="00D31714">
      <w:pPr>
        <w:pStyle w:val="affff5"/>
        <w:rPr>
          <w:rtl/>
        </w:rPr>
      </w:pPr>
      <w:bookmarkStart w:id="1174" w:name="_Toc135669983"/>
      <w:r>
        <w:rPr>
          <w:rFonts w:hint="cs"/>
          <w:rtl/>
        </w:rPr>
        <w:t>בדין קוצר בגידולי קרקע ואי דמי לדש</w:t>
      </w:r>
      <w:bookmarkEnd w:id="1174"/>
    </w:p>
    <w:p w14:paraId="27DB7032" w14:textId="77777777" w:rsidR="00D31714" w:rsidRPr="00221BC9" w:rsidRDefault="00D31714" w:rsidP="00D31714">
      <w:pPr>
        <w:pStyle w:val="1"/>
        <w:rPr>
          <w:rtl/>
        </w:rPr>
      </w:pPr>
      <w:bookmarkStart w:id="1175" w:name="_Toc135669984"/>
      <w:r>
        <w:rPr>
          <w:rFonts w:hint="cs"/>
          <w:rtl/>
        </w:rPr>
        <w:t>בי' הדב"א והקה"י דקוצר הוא מהקרקע עצמה ול"ד לדש</w:t>
      </w:r>
      <w:bookmarkEnd w:id="1175"/>
    </w:p>
    <w:p w14:paraId="286BE371" w14:textId="77777777" w:rsidR="00D31714" w:rsidRDefault="00D31714" w:rsidP="00D31714">
      <w:pPr>
        <w:pStyle w:val="afffff7"/>
        <w:rPr>
          <w:rtl/>
        </w:rPr>
      </w:pPr>
      <w:bookmarkStart w:id="1176" w:name="_Toc135670262"/>
      <w:bookmarkStart w:id="1177" w:name="_Toc163505563"/>
      <w:r>
        <w:rPr>
          <w:rtl/>
        </w:rPr>
        <w:t>דבר אברהם חלק א סימן כד</w:t>
      </w:r>
      <w:r>
        <w:rPr>
          <w:rFonts w:hint="cs"/>
          <w:rtl/>
        </w:rPr>
        <w:t xml:space="preserve"> אות ב'</w:t>
      </w:r>
      <w:bookmarkEnd w:id="1176"/>
      <w:bookmarkEnd w:id="1177"/>
    </w:p>
    <w:p w14:paraId="4E011F25" w14:textId="77777777" w:rsidR="00D31714" w:rsidRDefault="00D31714" w:rsidP="00D31714">
      <w:pPr>
        <w:pStyle w:val="a7"/>
        <w:rPr>
          <w:rtl/>
        </w:rPr>
      </w:pPr>
      <w:bookmarkStart w:id="1178" w:name="_Toc135669985"/>
      <w:r>
        <w:rPr>
          <w:rFonts w:hint="cs"/>
          <w:rtl/>
        </w:rPr>
        <w:t>בי' הדב"א דלענין דישה יל"ע בדברי התוס' לקמן יל"ע אי ס"ל דדישה היא רק בגידולי קרקע</w:t>
      </w:r>
      <w:bookmarkEnd w:id="1178"/>
      <w:r>
        <w:rPr>
          <w:rFonts w:hint="cs"/>
          <w:rtl/>
        </w:rPr>
        <w:t xml:space="preserve"> </w:t>
      </w:r>
    </w:p>
    <w:p w14:paraId="1C14B805" w14:textId="134165EC" w:rsidR="00D31714" w:rsidRPr="002C7BB8" w:rsidRDefault="00D31714" w:rsidP="00BC7DC8">
      <w:pPr>
        <w:pStyle w:val="a3"/>
        <w:rPr>
          <w:rtl/>
        </w:rPr>
      </w:pPr>
      <w:bookmarkStart w:id="1179" w:name="_Ref135660539"/>
      <w:r>
        <w:rPr>
          <w:rFonts w:hint="cs"/>
          <w:rtl/>
        </w:rPr>
        <w:t xml:space="preserve">במ"ש </w:t>
      </w:r>
      <w:r w:rsidRPr="00A86C7D">
        <w:rPr>
          <w:rStyle w:val="aff4"/>
          <w:rFonts w:hint="cs"/>
          <w:vanish/>
          <w:rtl/>
        </w:rPr>
        <w:t>-</w:t>
      </w:r>
      <w:r w:rsidRPr="00DC239A">
        <w:rPr>
          <w:rStyle w:val="aff4"/>
          <w:rFonts w:hint="cs"/>
          <w:rtl/>
        </w:rPr>
        <w:t>הרמב"ן</w:t>
      </w:r>
      <w:r w:rsidRPr="00A86C7D">
        <w:rPr>
          <w:rStyle w:val="aff4"/>
          <w:rFonts w:hint="cs"/>
          <w:vanish/>
          <w:rtl/>
        </w:rPr>
        <w:t>-</w:t>
      </w:r>
      <w:r>
        <w:rPr>
          <w:rFonts w:hint="cs"/>
          <w:rtl/>
        </w:rPr>
        <w:t xml:space="preserve"> </w:t>
      </w:r>
      <w:r w:rsidRPr="00A3054F">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Ref134521888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כא)</w:t>
      </w:r>
      <w:r>
        <w:rPr>
          <w:rStyle w:val="af2"/>
          <w:rFonts w:eastAsia="Guttman Hodes"/>
          <w:rtl/>
        </w:rPr>
        <w:fldChar w:fldCharType="end"/>
      </w:r>
      <w:r>
        <w:rPr>
          <w:rFonts w:hint="cs"/>
          <w:rtl/>
        </w:rPr>
        <w:t xml:space="preserve"> דקוצר הוא רק בגידולי קרקע, כמו דמצינו בדש, הקשה </w:t>
      </w:r>
      <w:r w:rsidRPr="00A86C7D">
        <w:rPr>
          <w:rStyle w:val="aff4"/>
          <w:rFonts w:hint="cs"/>
          <w:vanish/>
          <w:rtl/>
        </w:rPr>
        <w:t>-</w:t>
      </w:r>
      <w:r w:rsidRPr="00DC239A">
        <w:rPr>
          <w:rStyle w:val="aff4"/>
          <w:rFonts w:hint="cs"/>
          <w:rtl/>
        </w:rPr>
        <w:t>ה</w:t>
      </w:r>
      <w:r w:rsidRPr="001440B4">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Ref135660539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נא)</w:t>
      </w:r>
      <w:r>
        <w:rPr>
          <w:rStyle w:val="aff4"/>
          <w:vanish/>
          <w:rtl/>
        </w:rPr>
        <w:fldChar w:fldCharType="end"/>
      </w:r>
      <w:r w:rsidRPr="001440B4">
        <w:rPr>
          <w:rStyle w:val="aff4"/>
          <w:rFonts w:hint="cs"/>
          <w:vanish/>
          <w:rtl/>
        </w:rPr>
        <w:t>&gt;</w:t>
      </w:r>
      <w:r w:rsidRPr="00DC239A">
        <w:rPr>
          <w:rStyle w:val="aff4"/>
          <w:rFonts w:hint="cs"/>
          <w:rtl/>
        </w:rPr>
        <w:t>דבר אברהם</w:t>
      </w:r>
      <w:r w:rsidRPr="00A86C7D">
        <w:rPr>
          <w:rStyle w:val="aff4"/>
          <w:rFonts w:hint="cs"/>
          <w:vanish/>
          <w:rtl/>
        </w:rPr>
        <w:t>-</w:t>
      </w:r>
      <w:r w:rsidRPr="008C0F7E">
        <w:rPr>
          <w:rFonts w:hint="cs"/>
          <w:rtl/>
        </w:rPr>
        <w:t xml:space="preserve"> </w:t>
      </w:r>
      <w:r w:rsidRPr="00A3054F">
        <w:rPr>
          <w:rStyle w:val="af2"/>
          <w:rFonts w:eastAsia="Guttman Hodes" w:hint="cs"/>
          <w:rtl/>
        </w:rPr>
        <w:t>(ח"ה סי' כ"ד אות ב')</w:t>
      </w:r>
      <w:r w:rsidRPr="00AC0BA6">
        <w:rPr>
          <w:rFonts w:hint="cs"/>
          <w:vanish/>
          <w:rtl/>
        </w:rPr>
        <w:t>=</w:t>
      </w:r>
      <w:r w:rsidRPr="008C0F7E">
        <w:rPr>
          <w:rFonts w:hint="cs"/>
          <w:rtl/>
        </w:rPr>
        <w:t xml:space="preserve"> דאף בדש מצינו שיש נדון בזה בדברי </w:t>
      </w:r>
      <w:r w:rsidRPr="00AC0BA6">
        <w:rPr>
          <w:rStyle w:val="aff4"/>
          <w:rFonts w:hint="cs"/>
          <w:vanish/>
          <w:rtl/>
        </w:rPr>
        <w:t>-</w:t>
      </w:r>
      <w:r w:rsidRPr="0042697D">
        <w:rPr>
          <w:rStyle w:val="aff4"/>
          <w:rFonts w:hint="cs"/>
          <w:rtl/>
        </w:rPr>
        <w:t>ה</w:t>
      </w:r>
      <w:r w:rsidRPr="00AC0BA6">
        <w:rPr>
          <w:rStyle w:val="aff4"/>
          <w:rFonts w:hint="cs"/>
          <w:vanish/>
          <w:rtl/>
        </w:rPr>
        <w:t>&lt; &gt;</w:t>
      </w:r>
      <w:r w:rsidRPr="0042697D">
        <w:rPr>
          <w:rStyle w:val="aff4"/>
          <w:rFonts w:hint="cs"/>
          <w:rtl/>
        </w:rPr>
        <w:t>תוס' בסוגיין</w:t>
      </w:r>
      <w:r w:rsidRPr="00AC0BA6">
        <w:rPr>
          <w:rStyle w:val="aff4"/>
          <w:rFonts w:hint="cs"/>
          <w:vanish/>
          <w:rtl/>
        </w:rPr>
        <w:t>-</w:t>
      </w:r>
      <w:r w:rsidRPr="008C0F7E">
        <w:rPr>
          <w:rFonts w:hint="cs"/>
          <w:rtl/>
        </w:rPr>
        <w:t xml:space="preserve"> </w:t>
      </w:r>
      <w:r w:rsidRPr="00A3054F">
        <w:rPr>
          <w:rStyle w:val="af2"/>
          <w:rFonts w:eastAsia="Guttman Hodes" w:hint="cs"/>
          <w:rtl/>
        </w:rPr>
        <w:t>(ד"ה מפרק)</w:t>
      </w:r>
      <w:r w:rsidRPr="00AC0BA6">
        <w:rPr>
          <w:rFonts w:hint="cs"/>
          <w:vanish/>
          <w:rtl/>
        </w:rPr>
        <w:t>=</w:t>
      </w:r>
      <w:r w:rsidRPr="008C0F7E">
        <w:rPr>
          <w:rFonts w:hint="cs"/>
          <w:rtl/>
        </w:rPr>
        <w:t xml:space="preserve"> </w:t>
      </w:r>
      <w:r w:rsidRPr="00AC0BA6">
        <w:rPr>
          <w:rStyle w:val="aff4"/>
          <w:rFonts w:hint="cs"/>
          <w:vanish/>
          <w:rtl/>
        </w:rPr>
        <w:t>-</w:t>
      </w:r>
      <w:r w:rsidRPr="0042697D">
        <w:rPr>
          <w:rStyle w:val="aff4"/>
          <w:rFonts w:hint="cs"/>
          <w:rtl/>
        </w:rPr>
        <w:t>וב</w:t>
      </w:r>
      <w:r w:rsidRPr="00AC0BA6">
        <w:rPr>
          <w:rStyle w:val="aff4"/>
          <w:rFonts w:hint="cs"/>
          <w:vanish/>
          <w:rtl/>
        </w:rPr>
        <w:t>&lt; &gt;</w:t>
      </w:r>
      <w:r w:rsidRPr="0042697D">
        <w:rPr>
          <w:rStyle w:val="aff4"/>
          <w:rFonts w:hint="cs"/>
          <w:rtl/>
        </w:rPr>
        <w:t>תוס' לקמן</w:t>
      </w:r>
      <w:r w:rsidRPr="00AC0BA6">
        <w:rPr>
          <w:rStyle w:val="aff4"/>
          <w:rFonts w:hint="cs"/>
          <w:vanish/>
          <w:rtl/>
        </w:rPr>
        <w:t>-</w:t>
      </w:r>
      <w:r w:rsidRPr="008C0F7E">
        <w:rPr>
          <w:rFonts w:hint="cs"/>
          <w:rtl/>
        </w:rPr>
        <w:t xml:space="preserve"> </w:t>
      </w:r>
      <w:r w:rsidRPr="00A3054F">
        <w:rPr>
          <w:rStyle w:val="af2"/>
          <w:rFonts w:eastAsia="Guttman Hodes" w:hint="cs"/>
          <w:rtl/>
        </w:rPr>
        <w:t>(צה. ד"ה החולב)</w:t>
      </w:r>
      <w:r w:rsidRPr="00AC0BA6">
        <w:rPr>
          <w:rFonts w:hint="cs"/>
          <w:vanish/>
          <w:rtl/>
        </w:rPr>
        <w:t>=</w:t>
      </w:r>
      <w:r w:rsidRPr="008C0F7E">
        <w:rPr>
          <w:rFonts w:hint="cs"/>
          <w:rtl/>
        </w:rPr>
        <w:t xml:space="preserve"> אי שייך דישה שלא בגידולי קרקע, ואי בע"ח חשיבי כגידולי קרקע לענין דישה, והוא תלוי בתירוצי </w:t>
      </w:r>
      <w:r w:rsidRPr="00AC0BA6">
        <w:rPr>
          <w:rStyle w:val="aff4"/>
          <w:rFonts w:hint="cs"/>
          <w:vanish/>
          <w:rtl/>
        </w:rPr>
        <w:t>-</w:t>
      </w:r>
      <w:r w:rsidRPr="0042697D">
        <w:rPr>
          <w:rStyle w:val="aff4"/>
          <w:rFonts w:hint="cs"/>
          <w:rtl/>
        </w:rPr>
        <w:t>התוס'</w:t>
      </w:r>
      <w:r w:rsidRPr="00AC0BA6">
        <w:rPr>
          <w:rStyle w:val="aff4"/>
          <w:rFonts w:hint="cs"/>
          <w:vanish/>
          <w:rtl/>
        </w:rPr>
        <w:t>-</w:t>
      </w:r>
      <w:r w:rsidRPr="008C0F7E">
        <w:rPr>
          <w:rFonts w:hint="cs"/>
          <w:rtl/>
        </w:rPr>
        <w:t xml:space="preserve"> עיי"ש בדבריהם, וכתב </w:t>
      </w:r>
      <w:r w:rsidRPr="00AC0BA6">
        <w:rPr>
          <w:rStyle w:val="aff4"/>
          <w:rFonts w:hint="cs"/>
          <w:vanish/>
          <w:rtl/>
        </w:rPr>
        <w:t>-</w:t>
      </w:r>
      <w:r w:rsidRPr="0042697D">
        <w:rPr>
          <w:rStyle w:val="aff4"/>
          <w:rFonts w:hint="cs"/>
          <w:rtl/>
        </w:rPr>
        <w:t>הדבר אברהם</w:t>
      </w:r>
      <w:r w:rsidRPr="00AC0BA6">
        <w:rPr>
          <w:rStyle w:val="aff4"/>
          <w:rFonts w:hint="cs"/>
          <w:vanish/>
          <w:rtl/>
        </w:rPr>
        <w:t>-</w:t>
      </w:r>
      <w:r w:rsidRPr="008C0F7E">
        <w:rPr>
          <w:rFonts w:hint="cs"/>
          <w:rtl/>
        </w:rPr>
        <w:t xml:space="preserve"> דאעפ"י דדחו </w:t>
      </w:r>
      <w:r w:rsidRPr="00AC0BA6">
        <w:rPr>
          <w:rStyle w:val="aff4"/>
          <w:rFonts w:hint="cs"/>
          <w:vanish/>
          <w:rtl/>
        </w:rPr>
        <w:t>-</w:t>
      </w:r>
      <w:r w:rsidRPr="0042697D">
        <w:rPr>
          <w:rStyle w:val="aff4"/>
          <w:rFonts w:hint="cs"/>
          <w:rtl/>
        </w:rPr>
        <w:t>התוס'</w:t>
      </w:r>
      <w:r w:rsidRPr="00AC0BA6">
        <w:rPr>
          <w:rStyle w:val="aff4"/>
          <w:rFonts w:hint="cs"/>
          <w:vanish/>
          <w:rtl/>
        </w:rPr>
        <w:t>-</w:t>
      </w:r>
      <w:r>
        <w:rPr>
          <w:rFonts w:hint="cs"/>
          <w:rtl/>
        </w:rPr>
        <w:t xml:space="preserve"> את התירוץ הזה, מ"מ מצינו עוד דעות </w:t>
      </w:r>
      <w:r w:rsidRPr="00A86C7D">
        <w:rPr>
          <w:rStyle w:val="aff4"/>
          <w:rFonts w:hint="cs"/>
          <w:vanish/>
          <w:rtl/>
        </w:rPr>
        <w:t>-</w:t>
      </w:r>
      <w:r w:rsidRPr="00DC239A">
        <w:rPr>
          <w:rStyle w:val="aff4"/>
          <w:rFonts w:hint="cs"/>
          <w:rtl/>
        </w:rPr>
        <w:t>בראשונים</w:t>
      </w:r>
      <w:r w:rsidRPr="00A86C7D">
        <w:rPr>
          <w:rStyle w:val="aff4"/>
          <w:rFonts w:hint="cs"/>
          <w:vanish/>
          <w:rtl/>
        </w:rPr>
        <w:t>-</w:t>
      </w:r>
      <w:r>
        <w:rPr>
          <w:rFonts w:hint="cs"/>
          <w:rtl/>
        </w:rPr>
        <w:t xml:space="preserve"> דמבואר מדבריהם דיש דישה אף שלא בגידולי קרקע, עיי"ש בדבריו.</w:t>
      </w:r>
      <w:bookmarkEnd w:id="1179"/>
    </w:p>
    <w:p w14:paraId="61E448AB" w14:textId="77777777" w:rsidR="00D31714" w:rsidRPr="00747170" w:rsidRDefault="00D31714" w:rsidP="00747170">
      <w:pPr>
        <w:pStyle w:val="a2"/>
        <w:rPr>
          <w:rtl/>
        </w:rPr>
      </w:pPr>
      <w:r w:rsidRPr="00747170">
        <w:rPr>
          <w:rtl/>
        </w:rPr>
        <w:t>[ב] ואולם אם לאו בפירוש איתמר מכללא מיהא איתמר לכאורה. דהנה יסוד הדבר אין קוצר אלא בג"ק הוא כמ"ש הרמב"ן ז"ל משום דמדמינן קוצר לדש, ובדישה גופה כבר מצינו חולקים ובהכשל עוזר ונפל עזור. דהנה בהא דאמרינן חולב חייב משום מפרק פירש"י שהוא תולדה דדש, והקשו עליו התוס' (דף ע"ג ע"ב ד"ה מפרק) בשם ר"ת דהא אמרינן גבי פוצע חלזון דלרבנן אין דישה אלא בג"ק, ורצו לומר דבהמה חשיבא גדולי קרקע כדאמרינן בפ' בכל מערבין ול"פ רבנן אלא בחלזון שהוא דג ודחו לה דמ"מ לא הוי ג"ק דומיא דסממנים דמשכן, ועוד תירצו דס"ל לרש"י דהלכה כרבי יהודה דפליג עלייהו דרבנן בחלזון וס"ל דיש דישה אפילו שלא בג"ק, וכ"כ התוס' בפ' המצניע (דף צ"ד ע"א ד"ה החולב) נמצינו למדין דלפי תירוץ הראשון הדחוי שבתוס' לכו"ע בע"ח [חוץ מדגים] הוי ג"ק לענין דישה וא"כ בקוצר ה"נ דכוותה, ולפי תירוץ השני בע"ח לא חשיבי כג"ק אף בדישה וה"נ בקוצר אלא דלרש"י דס"ל דהלכה כר"י דיש דישה שלא בג"ק ה"נ דס"ל להלכה דיש קוצר שלא בג"ק, אבל לדידן דקיי"ל דאין דישה אלא בג"ק וכמו שפסק הרמב"ם (פ"ח מהלכות שבת ה"ז) ה"נ אין קוצר אלא בג"ק ובע"ח לאו ג"ק נינהו:</w:t>
      </w:r>
    </w:p>
    <w:p w14:paraId="0DC4B273" w14:textId="77777777" w:rsidR="00D31714" w:rsidRPr="0074537A" w:rsidRDefault="00D31714" w:rsidP="00747170">
      <w:pPr>
        <w:pStyle w:val="afffff5"/>
        <w:rPr>
          <w:rtl/>
        </w:rPr>
      </w:pPr>
      <w:r w:rsidRPr="0074537A">
        <w:rPr>
          <w:rtl/>
        </w:rPr>
        <w:t>והנה אף על פי שדחו התוס' לתירוץ הראשון דבהמה מיקרי גידולי קרקע מ"מ הרבה ראשונים כתבו כן עיין עליהם במקומם ולענין שיטת רש"י בזה ראיתי באור זרוע הלכות שבת (סי' נ"ח) דדייק דרש"י ס"ל להלכה דאין דישה אלא בג"ק מהא דכתב (בדף ע"ג ע"ב) וז"ל והמנפט צמר גפן כו' וצמר גפן גדולי קרקע הוא להכי קרי ניפוט דיליה תולדה דדש כו', נראה מזה דאי לא הוי ג"ק לא היה בו דש, ולפי"ז צ"ל גם לרש"י דהעיקר הוא כתירוץ הראשון שבתוס' אליביה וכ"ה באו"ז. וכדברי רש"י אלו במנפט מבואר גם ברא"ש פ' כלל גדול (סי' ג') ועיי' בקרבן נתנאל שהקשה ל"ל להרא"ש לומר דצמר ג"ק הוא הא איהו גופיה כתב לעיל דחולב חייב משום דש א"כ קיי"ל כר"י דיש דישה אפילו שלא בג"ק יעו"ש מה שתירץ, ולפי הנ"ל אין דבריו מוכרחין די"ל דשפיר ס"ל להרא"ש בדישה כרבנן שאינה אלא בג"ק ומ"מ חולב חייב משום דש דבע"ח ג"ק נינהו וכמו שהאו"ז מוכיח מדברי רש"י דס"ל דהלכה כרבנן ה"נ נוכיח מהרא"ש. וה"נ גם שיטת הרמב"ם שכתב (בפ"ח מהלכות שבת ה"ז) ההדש כגרוגרת חייב ואין דישה אלא בגדולי קרקע והמפרק הרי הוא תולדת הדש וחייב כו' החולב את הבהמה חייב משום מפרק עכ"ל, הרי דס"ל דאין דישה אלא בג"ק ומ"מ חולב חייב משום דש וכתב המ"מ דס"ל דבע"ח הוי לענין זה כגידולי קרקע:</w:t>
      </w:r>
    </w:p>
    <w:p w14:paraId="4DFE8F96" w14:textId="77777777" w:rsidR="00D31714" w:rsidRPr="0074537A" w:rsidRDefault="00D31714" w:rsidP="00747170">
      <w:pPr>
        <w:pStyle w:val="afffff5"/>
        <w:rPr>
          <w:rtl/>
        </w:rPr>
      </w:pPr>
      <w:r w:rsidRPr="0074537A">
        <w:rPr>
          <w:rtl/>
        </w:rPr>
        <w:t xml:space="preserve">ולכל הני רבוותא נראה לכאורה פשוט דכיון דבע"ח הוו גדולי קרקע לענין דישה ה"נ חשיבי ג"ק גם לענין קצירה, דכל חילי' דהרמב"ן ז"ל דאין קוצר אלא בג"ק ממש הוא משום דמדמי קוצר לדש וכמ"ש וכיון דלדידהו דש חייב ה"נ קוצר. וזכינו לדין דקוצר מבע"ח במחלוקת היא שנויה בין הרמב"ן הרשב"א והר"ן ובין הני רבוותא שהבאנו: </w:t>
      </w:r>
    </w:p>
    <w:p w14:paraId="39D754F8" w14:textId="77777777" w:rsidR="00D31714" w:rsidRDefault="00D31714" w:rsidP="00D31714">
      <w:pPr>
        <w:pStyle w:val="afffff7"/>
        <w:rPr>
          <w:rtl/>
        </w:rPr>
      </w:pPr>
      <w:bookmarkStart w:id="1180" w:name="_Toc135670263"/>
      <w:bookmarkStart w:id="1181" w:name="_Toc163505564"/>
      <w:r>
        <w:rPr>
          <w:rtl/>
        </w:rPr>
        <w:t>דבר אברהם חלק א סימן כד</w:t>
      </w:r>
      <w:r>
        <w:rPr>
          <w:rFonts w:hint="cs"/>
          <w:rtl/>
        </w:rPr>
        <w:t xml:space="preserve"> אות ג'</w:t>
      </w:r>
      <w:bookmarkEnd w:id="1180"/>
      <w:bookmarkEnd w:id="1181"/>
    </w:p>
    <w:p w14:paraId="14E38204" w14:textId="77777777" w:rsidR="00D31714" w:rsidRDefault="00D31714" w:rsidP="00D31714">
      <w:pPr>
        <w:pStyle w:val="afffff7"/>
        <w:rPr>
          <w:rtl/>
        </w:rPr>
      </w:pPr>
      <w:bookmarkStart w:id="1182" w:name="_Toc135670264"/>
      <w:bookmarkStart w:id="1183" w:name="_Toc135669986"/>
      <w:bookmarkStart w:id="1184" w:name="_Toc163505565"/>
      <w:r>
        <w:rPr>
          <w:rFonts w:hint="cs"/>
          <w:rtl/>
        </w:rPr>
        <w:t>קהלות יעקב סי' נ' ד"ה ולענ"ד</w:t>
      </w:r>
      <w:bookmarkEnd w:id="1182"/>
      <w:bookmarkEnd w:id="1184"/>
    </w:p>
    <w:p w14:paraId="76FF97B6" w14:textId="77777777" w:rsidR="00D31714" w:rsidRDefault="00D31714" w:rsidP="00D31714">
      <w:pPr>
        <w:pStyle w:val="a7"/>
        <w:rPr>
          <w:rtl/>
        </w:rPr>
      </w:pPr>
      <w:r>
        <w:rPr>
          <w:rFonts w:hint="cs"/>
          <w:rtl/>
        </w:rPr>
        <w:t>בי' הדב"א והקה"י דדש אינו בקרקע עצמה אך קוצר צריך לקצור מהמחובר לקרקע עצמה ממש</w:t>
      </w:r>
      <w:bookmarkEnd w:id="1183"/>
    </w:p>
    <w:p w14:paraId="466C0D2A" w14:textId="62F6D560" w:rsidR="00D31714" w:rsidRDefault="00D31714" w:rsidP="00BC7DC8">
      <w:pPr>
        <w:pStyle w:val="a3"/>
        <w:rPr>
          <w:rtl/>
        </w:rPr>
      </w:pPr>
      <w:bookmarkStart w:id="1185" w:name="_Ref135651800"/>
      <w:r>
        <w:rPr>
          <w:rFonts w:hint="cs"/>
          <w:rtl/>
        </w:rPr>
        <w:t xml:space="preserve">אך כתב </w:t>
      </w:r>
      <w:r w:rsidRPr="00A86C7D">
        <w:rPr>
          <w:rStyle w:val="aff4"/>
          <w:rFonts w:hint="cs"/>
          <w:vanish/>
          <w:rtl/>
        </w:rPr>
        <w:t>-</w:t>
      </w:r>
      <w:r w:rsidRPr="00DC239A">
        <w:rPr>
          <w:rStyle w:val="aff4"/>
          <w:rFonts w:hint="cs"/>
          <w:rtl/>
        </w:rPr>
        <w:t>ה</w:t>
      </w:r>
      <w:r w:rsidRPr="001440B4">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Ref135651800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נב)</w:t>
      </w:r>
      <w:r>
        <w:rPr>
          <w:rStyle w:val="aff4"/>
          <w:vanish/>
          <w:rtl/>
        </w:rPr>
        <w:fldChar w:fldCharType="end"/>
      </w:r>
      <w:r w:rsidRPr="001440B4">
        <w:rPr>
          <w:rStyle w:val="aff4"/>
          <w:rFonts w:hint="cs"/>
          <w:vanish/>
          <w:rtl/>
        </w:rPr>
        <w:t>&gt;</w:t>
      </w:r>
      <w:r w:rsidRPr="00DC239A">
        <w:rPr>
          <w:rStyle w:val="aff4"/>
          <w:rFonts w:hint="cs"/>
          <w:rtl/>
        </w:rPr>
        <w:t>דבר אברהם</w:t>
      </w:r>
      <w:r w:rsidRPr="00A86C7D">
        <w:rPr>
          <w:rStyle w:val="aff4"/>
          <w:rFonts w:hint="cs"/>
          <w:vanish/>
          <w:rtl/>
        </w:rPr>
        <w:t>-</w:t>
      </w:r>
      <w:r>
        <w:rPr>
          <w:rFonts w:hint="cs"/>
          <w:rtl/>
        </w:rPr>
        <w:t xml:space="preserve"> </w:t>
      </w:r>
      <w:r w:rsidRPr="00A3054F">
        <w:rPr>
          <w:rStyle w:val="af2"/>
          <w:rFonts w:eastAsia="Guttman Hodes" w:hint="cs"/>
          <w:rtl/>
        </w:rPr>
        <w:t>(ח"א סי' כ"ד אות ג')</w:t>
      </w:r>
      <w:r w:rsidRPr="00A86C7D">
        <w:rPr>
          <w:rFonts w:hint="cs"/>
          <w:vanish/>
          <w:rtl/>
        </w:rPr>
        <w:t>=</w:t>
      </w:r>
      <w:r>
        <w:rPr>
          <w:rFonts w:hint="cs"/>
          <w:rtl/>
        </w:rPr>
        <w:t xml:space="preserve"> דאף דלענין דישה מצינו </w:t>
      </w:r>
      <w:r w:rsidRPr="00A86C7D">
        <w:rPr>
          <w:rStyle w:val="aff4"/>
          <w:rFonts w:hint="cs"/>
          <w:vanish/>
          <w:rtl/>
        </w:rPr>
        <w:t>-</w:t>
      </w:r>
      <w:r w:rsidRPr="00DC239A">
        <w:rPr>
          <w:rStyle w:val="aff4"/>
          <w:rFonts w:hint="cs"/>
          <w:rtl/>
        </w:rPr>
        <w:t>ראשונים</w:t>
      </w:r>
      <w:r w:rsidRPr="00A86C7D">
        <w:rPr>
          <w:rStyle w:val="aff4"/>
          <w:rFonts w:hint="cs"/>
          <w:vanish/>
          <w:rtl/>
        </w:rPr>
        <w:t>-</w:t>
      </w:r>
      <w:r>
        <w:rPr>
          <w:rFonts w:hint="cs"/>
          <w:rtl/>
        </w:rPr>
        <w:t xml:space="preserve"> דס"ל דהוא אף שלא בגידולי קרקע, מ"מ לענין קוצר אפש"ל דמודו </w:t>
      </w:r>
      <w:r w:rsidRPr="00A86C7D">
        <w:rPr>
          <w:rStyle w:val="aff4"/>
          <w:rFonts w:hint="cs"/>
          <w:vanish/>
          <w:rtl/>
        </w:rPr>
        <w:t>-</w:t>
      </w:r>
      <w:r w:rsidRPr="00DC239A">
        <w:rPr>
          <w:rStyle w:val="aff4"/>
          <w:rFonts w:hint="cs"/>
          <w:rtl/>
        </w:rPr>
        <w:t>הראשונים</w:t>
      </w:r>
      <w:r w:rsidRPr="00A86C7D">
        <w:rPr>
          <w:rStyle w:val="aff4"/>
          <w:rFonts w:hint="cs"/>
          <w:vanish/>
          <w:rtl/>
        </w:rPr>
        <w:t>-</w:t>
      </w:r>
      <w:r>
        <w:rPr>
          <w:rFonts w:hint="cs"/>
          <w:rtl/>
        </w:rPr>
        <w:t xml:space="preserve"> לדברי </w:t>
      </w:r>
      <w:r w:rsidRPr="00A86C7D">
        <w:rPr>
          <w:rStyle w:val="aff4"/>
          <w:rFonts w:hint="cs"/>
          <w:vanish/>
          <w:rtl/>
        </w:rPr>
        <w:t>-</w:t>
      </w:r>
      <w:r w:rsidRPr="00DC239A">
        <w:rPr>
          <w:rStyle w:val="aff4"/>
          <w:rFonts w:hint="cs"/>
          <w:rtl/>
        </w:rPr>
        <w:t>הרמב"ן</w:t>
      </w:r>
      <w:r w:rsidRPr="00A86C7D">
        <w:rPr>
          <w:rStyle w:val="aff4"/>
          <w:rFonts w:hint="cs"/>
          <w:vanish/>
          <w:rtl/>
        </w:rPr>
        <w:t>-</w:t>
      </w:r>
      <w:r>
        <w:rPr>
          <w:rFonts w:hint="cs"/>
          <w:rtl/>
        </w:rPr>
        <w:t xml:space="preserve"> דקוצר הוא רק בגידולי קרקע, כיון דדישה במשכן היא בגידולי קרקע אחר שנתלשו, ולכן אפש"ל דאף בע"ח חשיבי כגידולי קרקע, אבל בקוצר דבמשכן קצרו </w:t>
      </w:r>
      <w:r>
        <w:rPr>
          <w:rFonts w:hint="cs"/>
          <w:rtl/>
        </w:rPr>
        <w:t xml:space="preserve">מגידולי קרקע, שהיו גם מחוברין לקרקע, לכן בקוצר לכו"ע צריך גידולי קרקע ממש, וכעי"ז כתב </w:t>
      </w:r>
      <w:r w:rsidRPr="00735214">
        <w:rPr>
          <w:rStyle w:val="aff4"/>
          <w:rFonts w:hint="cs"/>
          <w:vanish/>
          <w:rtl/>
        </w:rPr>
        <w:t>-</w:t>
      </w:r>
      <w:r w:rsidRPr="00A3054F">
        <w:rPr>
          <w:rStyle w:val="aff4"/>
          <w:rFonts w:hint="cs"/>
          <w:rtl/>
        </w:rPr>
        <w:t>ה</w:t>
      </w:r>
      <w:r w:rsidRPr="00735214">
        <w:rPr>
          <w:rStyle w:val="aff4"/>
          <w:rFonts w:hint="cs"/>
          <w:vanish/>
          <w:rtl/>
        </w:rPr>
        <w:t>&lt; &gt;</w:t>
      </w:r>
      <w:r w:rsidRPr="00A3054F">
        <w:rPr>
          <w:rStyle w:val="aff4"/>
          <w:rFonts w:hint="cs"/>
          <w:rtl/>
        </w:rPr>
        <w:t>קה"י</w:t>
      </w:r>
      <w:r w:rsidRPr="00735214">
        <w:rPr>
          <w:rStyle w:val="aff4"/>
          <w:rFonts w:hint="cs"/>
          <w:vanish/>
          <w:rtl/>
        </w:rPr>
        <w:t>-</w:t>
      </w:r>
      <w:r>
        <w:rPr>
          <w:rFonts w:hint="cs"/>
          <w:rtl/>
        </w:rPr>
        <w:t xml:space="preserve"> </w:t>
      </w:r>
      <w:r w:rsidRPr="00A3054F">
        <w:rPr>
          <w:rStyle w:val="af2"/>
          <w:rFonts w:eastAsia="Guttman Hodes" w:hint="cs"/>
          <w:rtl/>
        </w:rPr>
        <w:t>(סי' נ' ד"ה ולענ"ד)</w:t>
      </w:r>
      <w:r w:rsidRPr="00735214">
        <w:rPr>
          <w:rFonts w:hint="cs"/>
          <w:vanish/>
          <w:rtl/>
        </w:rPr>
        <w:t>=</w:t>
      </w:r>
      <w:r>
        <w:rPr>
          <w:rFonts w:hint="cs"/>
          <w:rtl/>
        </w:rPr>
        <w:t>.</w:t>
      </w:r>
      <w:bookmarkEnd w:id="1185"/>
    </w:p>
    <w:p w14:paraId="3A41DB66" w14:textId="77777777" w:rsidR="00D31714" w:rsidRPr="00747170" w:rsidRDefault="00D31714" w:rsidP="00747170">
      <w:pPr>
        <w:pStyle w:val="a2"/>
        <w:rPr>
          <w:rtl/>
        </w:rPr>
      </w:pPr>
      <w:r w:rsidRPr="00747170">
        <w:rPr>
          <w:rtl/>
        </w:rPr>
        <w:t>[ג] אולם כד דייקינן נראה דאין זה מוכרח, ולפי הכלל המסור בידינו דלמעוטי בפלוגתא עדיף י"ל דלא פליגי הני רבוותא על הרמב"ן וסייעתו. ואף על גב דלענין דישה ס"ל דבע"ח הוו ג"ק מ"מ לענין קצירה מודו דלית בהו קוצר. דהנה התוס' (דף ע"ג) כתבו דטעמא דרבנן דאין דישה אלא בג"ק הוא משום דילפינן מסממנין שבמשכן דעיקר מלאכת דש היה רק בסממנין וכן גם קוצר היה במשכן רק בסממנין וכמ"ש רש"י במתני' דאבות מלאכות דכל המלאכות מחרישה עד אופה היו במשכן בסממנין. וא"כ י"ל דבתרווייהו בדישה ובקצירה בעינן דליהוי דומיא דמשכן אלא שבמשכן גופיה שונה היתה מלאכת הקוצר ממלאכת הדש, דדישה שבסממנין אמנם היתה בדברים שהם גידולי קרקע אבל המלאכה היתה נעשית בהם בשעה שהם תלושים כבר מן הקרקע והלכך בדישה לענין שבת נמי בעינן דומיא דסממנין דליהוי רק ג"ק ולא שיהו גם מחוברין לקרקע בשעת דישה ומשו"ה בע"ח נמי דחשיבי ג"ק יש בהם דישה. אבל בקצירה דסממנין שבמשכן היו בה שני תנאים א) שהיתה בדברים שהן גידולין של קרקע ב) שקצרן מן הקרקע ממש מן המחובר, והלכך לענין שבת נמי בעינן שיהיו בקוצר שני תנאים אלו שיהיו הדברים הנקצרים ג"ק ושיקצרם מן הקרקע מן המחובר, וא"כ בבע"ח נהי נמי דהוו ג"ק מ"מ הקוצר מהם אינו קוצר מן הקרקע אלא קוצר מן גידולי קרקע שהרי בע"ח לא הוו אלא ג"ק ולאו קרקע עצמה ומשו"ה לא שייך בהו קצירה לענין התולש מהם, ולא תלי כלל קוצר בדש לענין זה ואחרי שאין לנו הכרח למה לן לטפוי בפלוגתא ולומר שחלוקין הן הני רבוותא על הרמב"ן וסיעתו:</w:t>
      </w:r>
    </w:p>
    <w:p w14:paraId="0B8ABB6A" w14:textId="77777777" w:rsidR="00D31714" w:rsidRPr="0074537A" w:rsidRDefault="00D31714" w:rsidP="00747170">
      <w:pPr>
        <w:pStyle w:val="afffff5"/>
        <w:rPr>
          <w:rtl/>
        </w:rPr>
      </w:pPr>
      <w:r w:rsidRPr="0074537A">
        <w:rPr>
          <w:noProof/>
          <w:rtl/>
        </w:rPr>
        <w:drawing>
          <wp:inline distT="0" distB="0" distL="0" distR="0" wp14:anchorId="1D7C0353" wp14:editId="399846EB">
            <wp:extent cx="3142615" cy="1428505"/>
            <wp:effectExtent l="0" t="0" r="635" b="635"/>
            <wp:docPr id="7"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srcRect b="15173"/>
                    <a:stretch/>
                  </pic:blipFill>
                  <pic:spPr bwMode="auto">
                    <a:xfrm>
                      <a:off x="0" y="0"/>
                      <a:ext cx="3142615" cy="1428505"/>
                    </a:xfrm>
                    <a:prstGeom prst="rect">
                      <a:avLst/>
                    </a:prstGeom>
                    <a:ln>
                      <a:noFill/>
                    </a:ln>
                    <a:extLst>
                      <a:ext uri="{53640926-AAD7-44D8-BBD7-CCE9431645EC}">
                        <a14:shadowObscured xmlns:a14="http://schemas.microsoft.com/office/drawing/2010/main"/>
                      </a:ext>
                    </a:extLst>
                  </pic:spPr>
                </pic:pic>
              </a:graphicData>
            </a:graphic>
          </wp:inline>
        </w:drawing>
      </w:r>
    </w:p>
    <w:p w14:paraId="64447F70" w14:textId="77777777" w:rsidR="00D31714" w:rsidRPr="0074537A" w:rsidRDefault="00D31714" w:rsidP="00747170">
      <w:pPr>
        <w:pStyle w:val="afffff5"/>
        <w:rPr>
          <w:rtl/>
        </w:rPr>
      </w:pPr>
      <w:r w:rsidRPr="0074537A">
        <w:rPr>
          <w:noProof/>
          <w:rtl/>
        </w:rPr>
        <w:drawing>
          <wp:inline distT="0" distB="0" distL="0" distR="0" wp14:anchorId="21E56EF4" wp14:editId="79DE4859">
            <wp:extent cx="3142615" cy="2594070"/>
            <wp:effectExtent l="0" t="0" r="635" b="0"/>
            <wp:docPr id="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b="9501"/>
                    <a:stretch/>
                  </pic:blipFill>
                  <pic:spPr bwMode="auto">
                    <a:xfrm>
                      <a:off x="0" y="0"/>
                      <a:ext cx="3142615" cy="2594070"/>
                    </a:xfrm>
                    <a:prstGeom prst="rect">
                      <a:avLst/>
                    </a:prstGeom>
                    <a:ln>
                      <a:noFill/>
                    </a:ln>
                    <a:extLst>
                      <a:ext uri="{53640926-AAD7-44D8-BBD7-CCE9431645EC}">
                        <a14:shadowObscured xmlns:a14="http://schemas.microsoft.com/office/drawing/2010/main"/>
                      </a:ext>
                    </a:extLst>
                  </pic:spPr>
                </pic:pic>
              </a:graphicData>
            </a:graphic>
          </wp:inline>
        </w:drawing>
      </w:r>
    </w:p>
    <w:p w14:paraId="32D9D2CA" w14:textId="77777777" w:rsidR="00D31714" w:rsidRDefault="00D31714" w:rsidP="00D31714">
      <w:pPr>
        <w:pStyle w:val="afffff7"/>
        <w:rPr>
          <w:rtl/>
        </w:rPr>
      </w:pPr>
      <w:bookmarkStart w:id="1186" w:name="_Toc135670265"/>
      <w:bookmarkStart w:id="1187" w:name="_Toc163505566"/>
      <w:r>
        <w:rPr>
          <w:rtl/>
        </w:rPr>
        <w:t>דבר אברהם חלק א סימן כד</w:t>
      </w:r>
      <w:r>
        <w:rPr>
          <w:rFonts w:hint="cs"/>
          <w:rtl/>
        </w:rPr>
        <w:t xml:space="preserve"> אות ג'</w:t>
      </w:r>
      <w:bookmarkEnd w:id="1186"/>
      <w:bookmarkEnd w:id="1187"/>
    </w:p>
    <w:p w14:paraId="697866D2" w14:textId="77777777" w:rsidR="00D31714" w:rsidRDefault="00D31714" w:rsidP="00D31714">
      <w:pPr>
        <w:pStyle w:val="a7"/>
        <w:rPr>
          <w:rtl/>
        </w:rPr>
      </w:pPr>
      <w:bookmarkStart w:id="1188" w:name="_Toc135669987"/>
      <w:r>
        <w:rPr>
          <w:rFonts w:hint="cs"/>
          <w:rtl/>
        </w:rPr>
        <w:t>בי' הדב"א ברמב"ם דבקוצר א"צ להזכיר דהוא גידו"ק דהוא פשיטא כיון דקוצר מהקרקע עצמה</w:t>
      </w:r>
      <w:bookmarkEnd w:id="1188"/>
    </w:p>
    <w:p w14:paraId="4B0D8584" w14:textId="207530C9" w:rsidR="00D31714" w:rsidRDefault="00D31714" w:rsidP="00BC7DC8">
      <w:pPr>
        <w:pStyle w:val="a3"/>
        <w:rPr>
          <w:rtl/>
        </w:rPr>
      </w:pPr>
      <w:bookmarkStart w:id="1189" w:name="_Ref135651812"/>
      <w:r>
        <w:rPr>
          <w:rFonts w:hint="cs"/>
          <w:rtl/>
        </w:rPr>
        <w:t xml:space="preserve">ולפי"ז תירץ </w:t>
      </w:r>
      <w:r w:rsidRPr="00A86C7D">
        <w:rPr>
          <w:rStyle w:val="aff4"/>
          <w:rFonts w:hint="cs"/>
          <w:vanish/>
          <w:rtl/>
        </w:rPr>
        <w:t>-</w:t>
      </w:r>
      <w:r w:rsidRPr="00DC239A">
        <w:rPr>
          <w:rStyle w:val="aff4"/>
          <w:rFonts w:hint="cs"/>
          <w:rtl/>
        </w:rPr>
        <w:t>ה</w:t>
      </w:r>
      <w:r w:rsidRPr="001440B4">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Ref135651812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נג)</w:t>
      </w:r>
      <w:r>
        <w:rPr>
          <w:rStyle w:val="aff4"/>
          <w:vanish/>
          <w:rtl/>
        </w:rPr>
        <w:fldChar w:fldCharType="end"/>
      </w:r>
      <w:r w:rsidRPr="001440B4">
        <w:rPr>
          <w:rStyle w:val="aff4"/>
          <w:rFonts w:hint="cs"/>
          <w:vanish/>
          <w:rtl/>
        </w:rPr>
        <w:t xml:space="preserve"> &gt;</w:t>
      </w:r>
      <w:r w:rsidRPr="00DC239A">
        <w:rPr>
          <w:rStyle w:val="aff4"/>
          <w:rFonts w:hint="cs"/>
          <w:rtl/>
        </w:rPr>
        <w:t>דבר אברהם</w:t>
      </w:r>
      <w:r w:rsidRPr="00A86C7D">
        <w:rPr>
          <w:rStyle w:val="aff4"/>
          <w:rFonts w:hint="cs"/>
          <w:vanish/>
          <w:rtl/>
        </w:rPr>
        <w:t>-</w:t>
      </w:r>
      <w:r>
        <w:rPr>
          <w:rFonts w:hint="cs"/>
          <w:rtl/>
        </w:rPr>
        <w:t xml:space="preserve"> </w:t>
      </w:r>
      <w:r w:rsidRPr="00A3054F">
        <w:rPr>
          <w:rStyle w:val="af2"/>
          <w:rFonts w:eastAsia="Guttman Hodes" w:hint="cs"/>
          <w:rtl/>
        </w:rPr>
        <w:t>(ח"א סי' כ"ד אות ג' ד"ה ובזה)</w:t>
      </w:r>
      <w:r w:rsidRPr="00A86C7D">
        <w:rPr>
          <w:rFonts w:hint="cs"/>
          <w:vanish/>
          <w:rtl/>
        </w:rPr>
        <w:t>=</w:t>
      </w:r>
      <w:r>
        <w:rPr>
          <w:rFonts w:hint="cs"/>
          <w:rtl/>
        </w:rPr>
        <w:t xml:space="preserve"> את קושית </w:t>
      </w:r>
      <w:r w:rsidRPr="00A86C7D">
        <w:rPr>
          <w:rStyle w:val="aff4"/>
          <w:rFonts w:hint="cs"/>
          <w:vanish/>
          <w:rtl/>
        </w:rPr>
        <w:t>-</w:t>
      </w:r>
      <w:r w:rsidRPr="00DC239A">
        <w:rPr>
          <w:rStyle w:val="aff4"/>
          <w:rFonts w:hint="cs"/>
          <w:rtl/>
        </w:rPr>
        <w:t>המנחת חינוך</w:t>
      </w:r>
      <w:r w:rsidRPr="00A86C7D">
        <w:rPr>
          <w:rStyle w:val="aff4"/>
          <w:rFonts w:hint="cs"/>
          <w:vanish/>
          <w:rtl/>
        </w:rPr>
        <w:t>-</w:t>
      </w:r>
      <w:r>
        <w:rPr>
          <w:rFonts w:hint="cs"/>
          <w:rtl/>
        </w:rPr>
        <w:t xml:space="preserve"> </w:t>
      </w:r>
      <w:r w:rsidRPr="00A3054F">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Ref135669749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לא)</w:t>
      </w:r>
      <w:r>
        <w:rPr>
          <w:rStyle w:val="af2"/>
          <w:rFonts w:eastAsia="Guttman Hodes"/>
          <w:rtl/>
        </w:rPr>
        <w:fldChar w:fldCharType="end"/>
      </w:r>
      <w:r>
        <w:rPr>
          <w:rFonts w:hint="cs"/>
          <w:rtl/>
        </w:rPr>
        <w:t xml:space="preserve"> על מ"ש </w:t>
      </w:r>
      <w:r w:rsidRPr="00A86C7D">
        <w:rPr>
          <w:rStyle w:val="aff4"/>
          <w:rFonts w:hint="cs"/>
          <w:vanish/>
          <w:rtl/>
        </w:rPr>
        <w:t>-</w:t>
      </w:r>
      <w:r w:rsidRPr="00DC239A">
        <w:rPr>
          <w:rStyle w:val="aff4"/>
          <w:rFonts w:hint="cs"/>
          <w:rtl/>
        </w:rPr>
        <w:t>הרמב"ן</w:t>
      </w:r>
      <w:r w:rsidRPr="00A86C7D">
        <w:rPr>
          <w:rStyle w:val="aff4"/>
          <w:rFonts w:hint="cs"/>
          <w:vanish/>
          <w:rtl/>
        </w:rPr>
        <w:t>-</w:t>
      </w:r>
      <w:r>
        <w:rPr>
          <w:rFonts w:hint="cs"/>
          <w:rtl/>
        </w:rPr>
        <w:t xml:space="preserve"> </w:t>
      </w:r>
      <w:r w:rsidRPr="00A3054F">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Ref134521911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כד)</w:t>
      </w:r>
      <w:r>
        <w:rPr>
          <w:rStyle w:val="af2"/>
          <w:rFonts w:eastAsia="Guttman Hodes"/>
          <w:rtl/>
        </w:rPr>
        <w:fldChar w:fldCharType="end"/>
      </w:r>
      <w:r>
        <w:rPr>
          <w:rFonts w:hint="cs"/>
          <w:rtl/>
        </w:rPr>
        <w:t xml:space="preserve"> דמוכח </w:t>
      </w:r>
      <w:r w:rsidRPr="00A86C7D">
        <w:rPr>
          <w:rStyle w:val="aff4"/>
          <w:rFonts w:hint="cs"/>
          <w:vanish/>
          <w:rtl/>
        </w:rPr>
        <w:t>-</w:t>
      </w:r>
      <w:r w:rsidRPr="00DC239A">
        <w:rPr>
          <w:rStyle w:val="aff4"/>
          <w:rFonts w:hint="cs"/>
          <w:rtl/>
        </w:rPr>
        <w:t>ברמב"ם</w:t>
      </w:r>
      <w:r w:rsidRPr="00A86C7D">
        <w:rPr>
          <w:rStyle w:val="aff4"/>
          <w:rFonts w:hint="cs"/>
          <w:vanish/>
          <w:rtl/>
        </w:rPr>
        <w:t>-</w:t>
      </w:r>
      <w:r>
        <w:rPr>
          <w:rFonts w:hint="cs"/>
          <w:rtl/>
        </w:rPr>
        <w:t xml:space="preserve"> דקוצר הוא רק בגידולי קרקע, מהא דכתב דמדלדל עובר חייב משום נטילת נשמה, והקשה </w:t>
      </w:r>
      <w:r w:rsidRPr="00A86C7D">
        <w:rPr>
          <w:rStyle w:val="aff4"/>
          <w:rFonts w:hint="cs"/>
          <w:vanish/>
          <w:rtl/>
        </w:rPr>
        <w:t>-</w:t>
      </w:r>
      <w:r w:rsidRPr="00DC239A">
        <w:rPr>
          <w:rStyle w:val="aff4"/>
          <w:rFonts w:hint="cs"/>
          <w:rtl/>
        </w:rPr>
        <w:t>המנחת חינוך</w:t>
      </w:r>
      <w:r w:rsidRPr="00A86C7D">
        <w:rPr>
          <w:rStyle w:val="aff4"/>
          <w:rFonts w:hint="cs"/>
          <w:vanish/>
          <w:rtl/>
        </w:rPr>
        <w:t>-</w:t>
      </w:r>
      <w:r>
        <w:rPr>
          <w:rFonts w:hint="cs"/>
          <w:rtl/>
        </w:rPr>
        <w:t xml:space="preserve"> דלא כתב </w:t>
      </w:r>
      <w:r w:rsidRPr="00A86C7D">
        <w:rPr>
          <w:rStyle w:val="aff4"/>
          <w:rFonts w:hint="cs"/>
          <w:vanish/>
          <w:rtl/>
        </w:rPr>
        <w:t>-</w:t>
      </w:r>
      <w:r w:rsidRPr="00DC239A">
        <w:rPr>
          <w:rStyle w:val="aff4"/>
          <w:rFonts w:hint="cs"/>
          <w:rtl/>
        </w:rPr>
        <w:t>הרמב"ם</w:t>
      </w:r>
      <w:r w:rsidRPr="00A86C7D">
        <w:rPr>
          <w:rStyle w:val="aff4"/>
          <w:rFonts w:hint="cs"/>
          <w:vanish/>
          <w:rtl/>
        </w:rPr>
        <w:t>-</w:t>
      </w:r>
      <w:r>
        <w:rPr>
          <w:rFonts w:hint="cs"/>
          <w:rtl/>
        </w:rPr>
        <w:t xml:space="preserve"> בפירוש דקוצר הוא רק מגידולי קרקע כמו דכתב לענין דש, ולכן כתב </w:t>
      </w:r>
      <w:r w:rsidRPr="00A86C7D">
        <w:rPr>
          <w:rStyle w:val="aff4"/>
          <w:rFonts w:hint="cs"/>
          <w:vanish/>
          <w:rtl/>
        </w:rPr>
        <w:t>-</w:t>
      </w:r>
      <w:r w:rsidRPr="00DC239A">
        <w:rPr>
          <w:rStyle w:val="aff4"/>
          <w:rFonts w:hint="cs"/>
          <w:rtl/>
        </w:rPr>
        <w:t>המנחת חינוך</w:t>
      </w:r>
      <w:r w:rsidRPr="00A86C7D">
        <w:rPr>
          <w:rStyle w:val="aff4"/>
          <w:rFonts w:hint="cs"/>
          <w:vanish/>
          <w:rtl/>
        </w:rPr>
        <w:t>-</w:t>
      </w:r>
      <w:r>
        <w:rPr>
          <w:rFonts w:hint="cs"/>
          <w:rtl/>
        </w:rPr>
        <w:t xml:space="preserve"> דלדעת </w:t>
      </w:r>
      <w:r w:rsidRPr="00A86C7D">
        <w:rPr>
          <w:rStyle w:val="aff4"/>
          <w:rFonts w:hint="cs"/>
          <w:vanish/>
          <w:rtl/>
        </w:rPr>
        <w:t>-</w:t>
      </w:r>
      <w:r w:rsidRPr="00DC239A">
        <w:rPr>
          <w:rStyle w:val="aff4"/>
          <w:rFonts w:hint="cs"/>
          <w:rtl/>
        </w:rPr>
        <w:t>הרמב"ם</w:t>
      </w:r>
      <w:r w:rsidRPr="00A86C7D">
        <w:rPr>
          <w:rStyle w:val="aff4"/>
          <w:rFonts w:hint="cs"/>
          <w:vanish/>
          <w:rtl/>
        </w:rPr>
        <w:t>-</w:t>
      </w:r>
      <w:r>
        <w:rPr>
          <w:rFonts w:hint="cs"/>
          <w:rtl/>
        </w:rPr>
        <w:t xml:space="preserve"> חייב שתיים, וכתב </w:t>
      </w:r>
      <w:r w:rsidRPr="00A86C7D">
        <w:rPr>
          <w:rStyle w:val="aff4"/>
          <w:rFonts w:hint="cs"/>
          <w:vanish/>
          <w:rtl/>
        </w:rPr>
        <w:t>-</w:t>
      </w:r>
      <w:r w:rsidRPr="00DC239A">
        <w:rPr>
          <w:rStyle w:val="aff4"/>
          <w:rFonts w:hint="cs"/>
          <w:rtl/>
        </w:rPr>
        <w:t>הדבר אברהם</w:t>
      </w:r>
      <w:r w:rsidRPr="00A86C7D">
        <w:rPr>
          <w:rStyle w:val="aff4"/>
          <w:rFonts w:hint="cs"/>
          <w:vanish/>
          <w:rtl/>
        </w:rPr>
        <w:t>-</w:t>
      </w:r>
      <w:r>
        <w:rPr>
          <w:rFonts w:hint="cs"/>
          <w:rtl/>
        </w:rPr>
        <w:t xml:space="preserve"> דלפי ביאורו דבקוצר צריך שיקצור מהקרקע עצמה, א"כ מבואר אמאי לא הזכיר </w:t>
      </w:r>
      <w:r w:rsidRPr="00A86C7D">
        <w:rPr>
          <w:rStyle w:val="aff4"/>
          <w:rFonts w:hint="cs"/>
          <w:vanish/>
          <w:rtl/>
        </w:rPr>
        <w:t>-</w:t>
      </w:r>
      <w:r w:rsidRPr="00DC239A">
        <w:rPr>
          <w:rStyle w:val="aff4"/>
          <w:rFonts w:hint="cs"/>
          <w:rtl/>
        </w:rPr>
        <w:t>הרמב"ם</w:t>
      </w:r>
      <w:r w:rsidRPr="00A86C7D">
        <w:rPr>
          <w:rStyle w:val="aff4"/>
          <w:rFonts w:hint="cs"/>
          <w:vanish/>
          <w:rtl/>
        </w:rPr>
        <w:t>-</w:t>
      </w:r>
      <w:r>
        <w:rPr>
          <w:rFonts w:hint="cs"/>
          <w:rtl/>
        </w:rPr>
        <w:t xml:space="preserve"> דקוצר הוא רק בגידולי קרקע, דודאי כשקוצר מהקרקע עצמה הוא קוצר את מה שגדל בה, ורק בדש שהוא בדבר התלוש מהקרקע, הוצרך </w:t>
      </w:r>
      <w:r w:rsidRPr="00A86C7D">
        <w:rPr>
          <w:rStyle w:val="aff4"/>
          <w:rFonts w:hint="cs"/>
          <w:vanish/>
          <w:rtl/>
        </w:rPr>
        <w:t>-</w:t>
      </w:r>
      <w:r w:rsidRPr="00DC239A">
        <w:rPr>
          <w:rStyle w:val="aff4"/>
          <w:rFonts w:hint="cs"/>
          <w:rtl/>
        </w:rPr>
        <w:t>הרמב"ם</w:t>
      </w:r>
      <w:r w:rsidRPr="00A86C7D">
        <w:rPr>
          <w:rStyle w:val="aff4"/>
          <w:rFonts w:hint="cs"/>
          <w:vanish/>
          <w:rtl/>
        </w:rPr>
        <w:t>-</w:t>
      </w:r>
      <w:r>
        <w:rPr>
          <w:rFonts w:hint="cs"/>
          <w:rtl/>
        </w:rPr>
        <w:t xml:space="preserve"> לבאר דהיינו דוקא בגידולי קרקע, או בבע"ח דחשיבי כגידולי קרקע, וע"ע במ"ש בזה </w:t>
      </w:r>
      <w:r w:rsidRPr="00735214">
        <w:rPr>
          <w:rStyle w:val="aff4"/>
          <w:rFonts w:hint="cs"/>
          <w:vanish/>
          <w:rtl/>
        </w:rPr>
        <w:t>-</w:t>
      </w:r>
      <w:r w:rsidRPr="00A3054F">
        <w:rPr>
          <w:rStyle w:val="aff4"/>
          <w:rFonts w:hint="cs"/>
          <w:rtl/>
        </w:rPr>
        <w:t>ה</w:t>
      </w:r>
      <w:r w:rsidRPr="00735214">
        <w:rPr>
          <w:rStyle w:val="aff4"/>
          <w:rFonts w:hint="cs"/>
          <w:vanish/>
          <w:rtl/>
        </w:rPr>
        <w:t>&lt; &gt;</w:t>
      </w:r>
      <w:r w:rsidRPr="00A3054F">
        <w:rPr>
          <w:rStyle w:val="aff4"/>
          <w:rFonts w:hint="cs"/>
          <w:rtl/>
        </w:rPr>
        <w:t>קה"י</w:t>
      </w:r>
      <w:r w:rsidRPr="00735214">
        <w:rPr>
          <w:rStyle w:val="aff4"/>
          <w:rFonts w:hint="cs"/>
          <w:vanish/>
          <w:rtl/>
        </w:rPr>
        <w:t>-</w:t>
      </w:r>
      <w:r>
        <w:rPr>
          <w:rFonts w:hint="cs"/>
          <w:rtl/>
        </w:rPr>
        <w:t xml:space="preserve"> </w:t>
      </w:r>
      <w:r w:rsidRPr="00A3054F">
        <w:rPr>
          <w:rStyle w:val="af2"/>
          <w:rFonts w:eastAsia="Guttman Hodes" w:hint="cs"/>
          <w:rtl/>
        </w:rPr>
        <w:t>(סי' נ' ד"ה והנה את"ל)</w:t>
      </w:r>
      <w:r w:rsidRPr="00735214">
        <w:rPr>
          <w:rFonts w:hint="cs"/>
          <w:vanish/>
          <w:rtl/>
        </w:rPr>
        <w:t>=</w:t>
      </w:r>
      <w:r>
        <w:rPr>
          <w:rFonts w:hint="cs"/>
          <w:rtl/>
        </w:rPr>
        <w:t>.</w:t>
      </w:r>
      <w:bookmarkEnd w:id="1189"/>
    </w:p>
    <w:p w14:paraId="60C80320" w14:textId="77777777" w:rsidR="00D31714" w:rsidRPr="00747170" w:rsidRDefault="00D31714" w:rsidP="00747170">
      <w:pPr>
        <w:pStyle w:val="a2"/>
        <w:rPr>
          <w:rtl/>
        </w:rPr>
      </w:pPr>
      <w:r w:rsidRPr="00747170">
        <w:rPr>
          <w:rtl/>
        </w:rPr>
        <w:t xml:space="preserve">ובזה הצלנו את הרמב"ן והרשב"א ז"ל מהשגה חמורה. דהנה בסוף דבריהם בדלדל עובר שבמעיה מסקי שכן נראה מדברי הרמב"ם בפי"א מהלכותיו, וכוונתם שבפי"א (הלכה א') שסידר שם הרמב"ם ז"ל מלאכות שהן משום נטילת נשמה קתני נמי להא דהושיט ידו למעי בהמה ודלדל עובר שבמעיה ואמאי לא נקט לה גבי קוצר אלא ודאי משום דאין קוצר אלא בג"ק. והקשה בס' מנחת חינוך (מצוה ל"ב מוסה"ש אות ג') דלדידהו מי ניחא דברי הרמב"ם ז"ל והרי חולב מחייב הרמב"ם משום דש אף על גב דסבר דאין דישה אלא בג"ק ובע"כ צ"ל כמ"ש המ"מ דס"ל דבע"ח הוו ג"ק וא"כ הדרא קושיא לדוכתה אמאי נקט הרמב"ם להא דמושיט ידו למעי בהמה גבי נטילת נשמה ולא גבי קוצר דכמו דלענין דש הוו בע"ח ג"ק ה"נ לענין קוצר. ע"כ מסיק בס' הנ"ל דלהרמב"ם באמת חייב שתים משום נטילת נשמה ומשום קוצר ומ"מ לא כתבו דמבואר כ"פ ברמב"ם שאינו כותב חייב שתים כמ"ש המ"מ בדוכתי טובא ולכן הוא מוכיח להיפוך מדקא חזינן דגבי מעמר ודש כתב הרמב"ם מפורש שאינן אלא בג"ק ובקוצר סתם ולא כתב ש"מ דס"ל דיש קוצר אפילו שלא בג"ק. ולענ"ד דבריו רחוקים, דאף אם הרמב"ם נמנע לפעמים מלהזכיר חייב שתים מ"מ לא הו"ל למישתק הכא מחיוב קוצר, שהרי מדרכו ז"ל להזכיר דבר המפורש בש"ס ופוסח על כמה דינים אף על גב דסבר להו משום שאינם מפורשין בש"ס כידוע, והכא בהושיט ידו למעי בהמה מפורש בש"ס שחיובו משום עוקר דבר מגידולו וסתם משמעות הלשון של עוקר דבר מגידולו הוא משום קוצר כמו שסתם הרמב"ם (פ"ח מהלכות שבת ה"ג) וכל העוקר דבר מגידולו חייב משום קוצר עכ"ל, אלא שהרמב"ן ז"ל משום דסבר דאין קוצר אלא בג"ק ממש הוכרח להוציאו ממשמעותו ולדחוק לומר שהכוונה היא משום נטילת נשמה, ואמנם נראה דהרמב"ן נמי הוקשה לי' מאד שאין לשון עוקר דבר מגידולו נופל על נטילת נשמה עד שהוכרח בשביל זה לומר דהש"ס רק סירכא דלישנא נקט כמבואר בדבריו שם, אבל למאן דסבר דיש קוצר בבע"ח בודאי לשון עוקר מגידולו מתפרש כפשוטו משום קוצר, והשתא לפי דבריו דס"ל להרמב"ם דיש קוצר בבע"ח בודאי לית ליה לדחוקי נפשיה דכוונת הש"ס היא משום נטילת נשמה אלא שהוא כפשוטו משום קוצר, ולפי"ז מפורש הוא בש"ס כאן משום קוצר והו"ל להזכירו, ואי דס"ל לרמב"ם סברא דנפשיה דאית ביה נמי משום נטילת נשמה כמו בשוחט ולא בעי למיתני חייב שתים הו"ל לסדר האי דינא דמושיט ידו כו' גבי קוצר כמו שהוא מפורש בש"ס שהוא העיקר ולשתוק מחיוב נטילת נשמה שאינו מפורש בש"ס ולא לכתוב להיפוך מה שאינו מפורש בש"ס ולשתוק מקוצר המפורש. אע"כ דס"ל להרמב"ם דאין קוצר אלא בג"ק ממש ולא מבע"ח ולכן הוכרח לומר דהא דקרי ליה הש"ס עוקר דבר מגידולו היינו משום נטילת נשמה וסירכא דלישנא נקט כמ"ש הרמב"ן ז"ל וא"כ נהפוך הוא שנטילת נשמה מפורש בש"ס ונקט לה בפי"א ששם מקומה. ואי דתיקשי לן קושיית המג"א אמאי אינו חייב באמת משום קוצר כיון דלגבי דש חשיב להו הרמב"ם לבע"ח כג"ק, הנה לפמ"ש אשה"ט דשאני דש דלא בעינן בי' אלא שיהא בגידולי קרקע משו"ה שייך גם בבע"ח משא"כ בקוצר דבעינן הקצור מן הקרקע ממש משו"ה בבע"ח דהוו רק ג"ק ולא קרקע ממש לא שייך קוצר כשתולש מגופם כמ"ש ומה שלא הזכיר הרמב"ם במלאכת קוצר שאינה אלא בג"ק כמו שכתב בדש ומעמר, פשוט הוא שמדרכו להזכיר רק המפורש בש"ס ובדש ומעמר מפורש בש"ס (דף ע"ה) ולא בקוצר. ולפי"ז ראיה גדולה מכאן לסברתנו הנ"ל בחילוק שבין דש לקוצר וא"כ עדיין לא מצינו מי שיחלוק על הרמב"ן וסיעתו בקוצר: </w:t>
      </w:r>
    </w:p>
    <w:p w14:paraId="742CCB39" w14:textId="77777777" w:rsidR="00D31714" w:rsidRDefault="00D31714" w:rsidP="00D31714">
      <w:pPr>
        <w:pStyle w:val="afffff7"/>
        <w:rPr>
          <w:rtl/>
        </w:rPr>
      </w:pPr>
      <w:bookmarkStart w:id="1190" w:name="_Toc135670266"/>
      <w:bookmarkStart w:id="1191" w:name="_Toc163505567"/>
      <w:r>
        <w:rPr>
          <w:rtl/>
        </w:rPr>
        <w:t>דבר אברהם חלק א סימן כד</w:t>
      </w:r>
      <w:r>
        <w:rPr>
          <w:rFonts w:hint="cs"/>
          <w:rtl/>
        </w:rPr>
        <w:t xml:space="preserve"> אות ד'</w:t>
      </w:r>
      <w:bookmarkEnd w:id="1190"/>
      <w:bookmarkEnd w:id="1191"/>
    </w:p>
    <w:p w14:paraId="757D396C" w14:textId="77777777" w:rsidR="00D31714" w:rsidRDefault="00D31714" w:rsidP="00D31714">
      <w:pPr>
        <w:pStyle w:val="a7"/>
        <w:rPr>
          <w:rtl/>
        </w:rPr>
      </w:pPr>
      <w:bookmarkStart w:id="1192" w:name="_Toc135669988"/>
      <w:r>
        <w:rPr>
          <w:rFonts w:hint="cs"/>
          <w:rtl/>
        </w:rPr>
        <w:t>בי' הדב"א דאף לדעת רבי יהודה דיש דישה שלא בגידו"ק אפש"ל דמודה דקוצר מהקרקע עצמה</w:t>
      </w:r>
      <w:bookmarkEnd w:id="1192"/>
    </w:p>
    <w:p w14:paraId="6010DDD7" w14:textId="2846918A" w:rsidR="00D31714" w:rsidRPr="00AD3423" w:rsidRDefault="00D31714" w:rsidP="00BC7DC8">
      <w:pPr>
        <w:pStyle w:val="a3"/>
        <w:rPr>
          <w:rtl/>
        </w:rPr>
      </w:pPr>
      <w:bookmarkStart w:id="1193" w:name="_Ref135658817"/>
      <w:r>
        <w:rPr>
          <w:rFonts w:hint="cs"/>
          <w:rtl/>
        </w:rPr>
        <w:t xml:space="preserve">והוסיף </w:t>
      </w:r>
      <w:r w:rsidRPr="00A86C7D">
        <w:rPr>
          <w:rStyle w:val="aff4"/>
          <w:rFonts w:hint="cs"/>
          <w:vanish/>
          <w:rtl/>
        </w:rPr>
        <w:t>-</w:t>
      </w:r>
      <w:r w:rsidRPr="00DC239A">
        <w:rPr>
          <w:rStyle w:val="aff4"/>
          <w:rFonts w:hint="cs"/>
          <w:rtl/>
        </w:rPr>
        <w:t>ה</w:t>
      </w:r>
      <w:r w:rsidRPr="001440B4">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Ref135658817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נד)</w:t>
      </w:r>
      <w:r>
        <w:rPr>
          <w:rStyle w:val="aff4"/>
          <w:vanish/>
          <w:rtl/>
        </w:rPr>
        <w:fldChar w:fldCharType="end"/>
      </w:r>
      <w:r w:rsidRPr="001440B4">
        <w:rPr>
          <w:rStyle w:val="aff4"/>
          <w:rFonts w:hint="cs"/>
          <w:vanish/>
          <w:rtl/>
        </w:rPr>
        <w:t xml:space="preserve"> &gt;</w:t>
      </w:r>
      <w:r w:rsidRPr="00DC239A">
        <w:rPr>
          <w:rStyle w:val="aff4"/>
          <w:rFonts w:hint="cs"/>
          <w:rtl/>
        </w:rPr>
        <w:t>דבר אברהם</w:t>
      </w:r>
      <w:r w:rsidRPr="00A86C7D">
        <w:rPr>
          <w:rStyle w:val="aff4"/>
          <w:rFonts w:hint="cs"/>
          <w:vanish/>
          <w:rtl/>
        </w:rPr>
        <w:t>-</w:t>
      </w:r>
      <w:r>
        <w:rPr>
          <w:rFonts w:hint="cs"/>
          <w:rtl/>
        </w:rPr>
        <w:t xml:space="preserve"> </w:t>
      </w:r>
      <w:r w:rsidRPr="00A3054F">
        <w:rPr>
          <w:rStyle w:val="af2"/>
          <w:rFonts w:eastAsia="Guttman Hodes" w:hint="cs"/>
          <w:rtl/>
        </w:rPr>
        <w:t>(ח"א סי' כ"ד אות ד')</w:t>
      </w:r>
      <w:r w:rsidRPr="00A86C7D">
        <w:rPr>
          <w:rFonts w:hint="cs"/>
          <w:vanish/>
          <w:rtl/>
        </w:rPr>
        <w:t>=</w:t>
      </w:r>
      <w:r>
        <w:rPr>
          <w:rFonts w:hint="cs"/>
          <w:rtl/>
        </w:rPr>
        <w:t xml:space="preserve"> דאפש"ל דאף לדעת רבי יהודה דס"ל דיש דישה אף שלא בגידולי קרקע, מ"מ בקוצר אפש"ל דמודה ר"י, כיון דכ"מ דפליג ר"י הוא מחמת דמצינו במשכן דישה בפציעת חלזון, אבל בקוצר מודה ר"י דחייב דומיא דקוצר סממנין שקצרו במשכן מהקרקע, ועיי"ש במה שהביא </w:t>
      </w:r>
      <w:r w:rsidRPr="00A86C7D">
        <w:rPr>
          <w:rStyle w:val="aff4"/>
          <w:rFonts w:hint="cs"/>
          <w:vanish/>
          <w:rtl/>
        </w:rPr>
        <w:t>-</w:t>
      </w:r>
      <w:r w:rsidRPr="00DC239A">
        <w:rPr>
          <w:rStyle w:val="aff4"/>
          <w:rFonts w:hint="cs"/>
          <w:rtl/>
        </w:rPr>
        <w:t>הדבר אברהם</w:t>
      </w:r>
      <w:r w:rsidRPr="00A86C7D">
        <w:rPr>
          <w:rStyle w:val="aff4"/>
          <w:rFonts w:hint="cs"/>
          <w:vanish/>
          <w:rtl/>
        </w:rPr>
        <w:t>-</w:t>
      </w:r>
      <w:r>
        <w:rPr>
          <w:rFonts w:hint="cs"/>
          <w:rtl/>
        </w:rPr>
        <w:t xml:space="preserve"> ראיה מדברי </w:t>
      </w:r>
      <w:r w:rsidRPr="00A86C7D">
        <w:rPr>
          <w:rStyle w:val="aff4"/>
          <w:rFonts w:hint="cs"/>
          <w:vanish/>
          <w:rtl/>
        </w:rPr>
        <w:t>-</w:t>
      </w:r>
      <w:r w:rsidRPr="00DC239A">
        <w:rPr>
          <w:rStyle w:val="aff4"/>
          <w:rFonts w:hint="cs"/>
          <w:rtl/>
        </w:rPr>
        <w:t>ה</w:t>
      </w:r>
      <w:r w:rsidRPr="001440B4">
        <w:rPr>
          <w:rStyle w:val="aff4"/>
          <w:rFonts w:hint="cs"/>
          <w:vanish/>
          <w:rtl/>
        </w:rPr>
        <w:t>&lt; &gt;</w:t>
      </w:r>
      <w:r w:rsidRPr="00DC239A">
        <w:rPr>
          <w:rStyle w:val="aff4"/>
          <w:rFonts w:hint="cs"/>
          <w:rtl/>
        </w:rPr>
        <w:t>או"ז</w:t>
      </w:r>
      <w:r w:rsidRPr="00A86C7D">
        <w:rPr>
          <w:rStyle w:val="aff4"/>
          <w:rFonts w:hint="cs"/>
          <w:vanish/>
          <w:rtl/>
        </w:rPr>
        <w:t>-</w:t>
      </w:r>
      <w:r>
        <w:rPr>
          <w:rFonts w:hint="cs"/>
          <w:rtl/>
        </w:rPr>
        <w:t xml:space="preserve"> </w:t>
      </w:r>
      <w:r w:rsidRPr="00A3054F">
        <w:rPr>
          <w:rStyle w:val="af2"/>
          <w:rFonts w:eastAsia="Guttman Hodes" w:hint="cs"/>
          <w:rtl/>
        </w:rPr>
        <w:t>(ח"ב שבת סי' נ"ח ד"ה ועוד יכולני)</w:t>
      </w:r>
      <w:r w:rsidRPr="00A86C7D">
        <w:rPr>
          <w:rFonts w:hint="cs"/>
          <w:vanish/>
          <w:rtl/>
        </w:rPr>
        <w:t>=</w:t>
      </w:r>
      <w:r>
        <w:rPr>
          <w:rFonts w:hint="cs"/>
          <w:rtl/>
        </w:rPr>
        <w:t>.</w:t>
      </w:r>
      <w:bookmarkEnd w:id="1193"/>
    </w:p>
    <w:p w14:paraId="021B79D2" w14:textId="77777777" w:rsidR="00D31714" w:rsidRPr="00747170" w:rsidRDefault="00D31714" w:rsidP="00747170">
      <w:pPr>
        <w:pStyle w:val="a2"/>
        <w:rPr>
          <w:rtl/>
        </w:rPr>
      </w:pPr>
      <w:r w:rsidRPr="00747170">
        <w:rPr>
          <w:rtl/>
        </w:rPr>
        <w:t>[ד] ויותר מזה אני אומר דאפילו לר"י דפוצע חלזון חייב משום דש אכתי יש מקום לומר דאין קוצר אלא בג"ק ממש ולא בבע"ח, ונהי דלפי מה שהניחו התוס' דחלזון בודאי לא הוי ג"ק בע"כ צ"ל דר"י לא יליף דישה דומיא דסממנין דמשכן דוקא וא"כ בקוצר נמי לא בעי דומיא דסממנין דתרווייהו כחדא נינהו ולפי"ז בודאי חייב לר"י קוצר אפילו שלא בג"ק, אבל מצאתי באור זרוע הלכות שבת (סי' נ"ח) שכתב וז"ל ועוד יכולני לפרש דבין רבנן ובין ר"י כולהו ס"ל דאין דישה אלא בג"ק אלא דרבנן סברי דגים לאו ג"ק נינהו והיינו דקאמר רבא מ"ט דרבנן אין דישה כו' כלומר הואיל דאין דישה אלא בג"ק [להכי] לא מחייב אלא אחת דדגים לאו ג"ק נינהו, שא"כ דביש דישה בגד"ק פליגי הול"ל מ"ט דרבנן קסברי אין דישה אלא בג"ק עכ"ל [ובעירובין (דף כ"ז ע"ב) ס"ד דגמ' לומר דדגים נמי ג"ק נינהו] ולפי"ז ר"י נמי סבר דילפינן מסממנין שבמשכן ואין בינו לבין חכמים אלא חילוק דדגים, וא"כ בקוצר נמי בעינן אליבא ד"י דומיא דסממנין, ושוב אפ"ל כמ"ש דבעינן בי' ג"ק ממש לקצור מן הקרקע עצמה ולא מבע"ח שהם רק גידולי קרקע כנ"ל:</w:t>
      </w:r>
    </w:p>
    <w:p w14:paraId="731D124D" w14:textId="77777777" w:rsidR="00D31714" w:rsidRPr="0074537A" w:rsidRDefault="00D31714" w:rsidP="00747170">
      <w:pPr>
        <w:pStyle w:val="afffff5"/>
        <w:rPr>
          <w:rtl/>
        </w:rPr>
      </w:pPr>
      <w:r w:rsidRPr="0074537A">
        <w:rPr>
          <w:rtl/>
        </w:rPr>
        <w:t xml:space="preserve">ואפילו לשיטת התוס' וכפשוטן של דברים דר"י סבר יש דישה שלא בג"ק מ"מ אפשר דבקוצר בעי ר"י ג"ק ואין לדמותם זל"ז, יעוי' בתרומות הדשן (סי' נ"ו) שרצה לדון כן לענין טחינה שלא תהא אלא בג"ק, ועיי' בשו"ת רעק"א (סי' כ') ויש להעיר על דבריהם מהר"א ממיץ ביראים (אות ק"ב) שכתב בסוף מלאכת סותר דחולב חייב משום טוחן וס"ל התם דבע"ח לא חשיבי ג"ק, א"כ נראה מפורש דיש טוחן שלא בג"ק אליבא דכו"ע אפילו לרבנן ודו"ק: </w:t>
      </w:r>
    </w:p>
    <w:p w14:paraId="3D5409D6" w14:textId="77777777" w:rsidR="00D31714" w:rsidRPr="00E44682" w:rsidRDefault="00D31714" w:rsidP="00D31714">
      <w:pPr>
        <w:pStyle w:val="1"/>
        <w:rPr>
          <w:rtl/>
        </w:rPr>
      </w:pPr>
      <w:bookmarkStart w:id="1194" w:name="_Toc135669989"/>
      <w:r>
        <w:rPr>
          <w:rFonts w:hint="cs"/>
          <w:rtl/>
        </w:rPr>
        <w:t>בי' הדב"א דמשמע בראשונים דכשותא מהיזמי כמחובר לקרקע</w:t>
      </w:r>
      <w:bookmarkEnd w:id="1194"/>
    </w:p>
    <w:p w14:paraId="5C0A3CDE" w14:textId="77777777" w:rsidR="00D31714" w:rsidRPr="0074537A" w:rsidRDefault="00D31714" w:rsidP="00747170">
      <w:pPr>
        <w:pStyle w:val="afffff5"/>
        <w:rPr>
          <w:rtl/>
        </w:rPr>
      </w:pPr>
    </w:p>
    <w:p w14:paraId="0FCE0098" w14:textId="77777777" w:rsidR="00D31714" w:rsidRDefault="00D31714" w:rsidP="00D31714">
      <w:pPr>
        <w:pStyle w:val="afffff7"/>
        <w:rPr>
          <w:rtl/>
        </w:rPr>
      </w:pPr>
      <w:bookmarkStart w:id="1195" w:name="_Toc135670267"/>
      <w:bookmarkStart w:id="1196" w:name="_Toc135513750"/>
      <w:bookmarkStart w:id="1197" w:name="_Toc163505568"/>
      <w:r>
        <w:rPr>
          <w:rFonts w:hint="cs"/>
          <w:rtl/>
        </w:rPr>
        <w:t>דבר אברהם ח"א סי' כ"ד אות י"ז</w:t>
      </w:r>
      <w:bookmarkEnd w:id="1195"/>
      <w:bookmarkEnd w:id="1197"/>
    </w:p>
    <w:p w14:paraId="6CF988EE" w14:textId="77777777" w:rsidR="00D31714" w:rsidRDefault="00D31714" w:rsidP="00D31714">
      <w:pPr>
        <w:pStyle w:val="a7"/>
        <w:rPr>
          <w:rtl/>
        </w:rPr>
      </w:pPr>
      <w:bookmarkStart w:id="1198" w:name="_Toc135669990"/>
      <w:r>
        <w:rPr>
          <w:rFonts w:hint="cs"/>
          <w:rtl/>
        </w:rPr>
        <w:t>בי' הדב"א דתולש כשות מהיזמי כתולש ממחובר ובמאירי משמע דחשיב מחובר לקרקע עצמה</w:t>
      </w:r>
      <w:bookmarkEnd w:id="1198"/>
    </w:p>
    <w:p w14:paraId="3C06F7C4" w14:textId="551EC5D0" w:rsidR="00D31714" w:rsidRPr="005C1BB1" w:rsidRDefault="00D31714" w:rsidP="00BC7DC8">
      <w:pPr>
        <w:pStyle w:val="a3"/>
        <w:rPr>
          <w:rtl/>
        </w:rPr>
      </w:pPr>
      <w:bookmarkStart w:id="1199" w:name="_Ref135659389"/>
      <w:r>
        <w:rPr>
          <w:rFonts w:hint="cs"/>
          <w:rtl/>
        </w:rPr>
        <w:t xml:space="preserve">ועיי"ש במ"ש </w:t>
      </w:r>
      <w:r w:rsidRPr="00735214">
        <w:rPr>
          <w:rStyle w:val="aff4"/>
          <w:rFonts w:hint="cs"/>
          <w:vanish/>
          <w:rtl/>
        </w:rPr>
        <w:t>-</w:t>
      </w:r>
      <w:r w:rsidRPr="00A3054F">
        <w:rPr>
          <w:rStyle w:val="aff4"/>
          <w:rFonts w:hint="cs"/>
          <w:rtl/>
        </w:rPr>
        <w:t>ה</w:t>
      </w:r>
      <w:r w:rsidRPr="00735214">
        <w:rPr>
          <w:rStyle w:val="aff4"/>
          <w:rFonts w:hint="cs"/>
          <w:vanish/>
          <w:rtl/>
        </w:rPr>
        <w:t xml:space="preserve">&lt;. </w:t>
      </w:r>
      <w:r w:rsidRPr="00735214">
        <w:rPr>
          <w:rStyle w:val="aff4"/>
          <w:vanish/>
          <w:rtl/>
        </w:rPr>
        <w:fldChar w:fldCharType="begin"/>
      </w:r>
      <w:r w:rsidRPr="00735214">
        <w:rPr>
          <w:rStyle w:val="aff4"/>
          <w:vanish/>
          <w:rtl/>
        </w:rPr>
        <w:instrText xml:space="preserve"> </w:instrText>
      </w:r>
      <w:r w:rsidRPr="00735214">
        <w:rPr>
          <w:rStyle w:val="aff4"/>
          <w:rFonts w:hint="cs"/>
          <w:vanish/>
        </w:rPr>
        <w:instrText>REF</w:instrText>
      </w:r>
      <w:r w:rsidRPr="00735214">
        <w:rPr>
          <w:rStyle w:val="aff4"/>
          <w:rFonts w:hint="cs"/>
          <w:vanish/>
          <w:rtl/>
        </w:rPr>
        <w:instrText xml:space="preserve"> _</w:instrText>
      </w:r>
      <w:r w:rsidRPr="00735214">
        <w:rPr>
          <w:rStyle w:val="aff4"/>
          <w:rFonts w:hint="cs"/>
          <w:vanish/>
        </w:rPr>
        <w:instrText>Ref135659389 \r \h</w:instrText>
      </w:r>
      <w:r w:rsidRPr="00735214">
        <w:rPr>
          <w:rStyle w:val="aff4"/>
          <w:vanish/>
          <w:rtl/>
        </w:rPr>
        <w:instrText xml:space="preserve"> </w:instrText>
      </w:r>
      <w:r w:rsidRPr="00735214">
        <w:rPr>
          <w:rStyle w:val="aff4"/>
          <w:vanish/>
          <w:rtl/>
        </w:rPr>
      </w:r>
      <w:r w:rsidRPr="00735214">
        <w:rPr>
          <w:rStyle w:val="aff4"/>
          <w:vanish/>
          <w:rtl/>
        </w:rPr>
        <w:fldChar w:fldCharType="separate"/>
      </w:r>
      <w:r w:rsidR="00D82181">
        <w:rPr>
          <w:rStyle w:val="aff4"/>
          <w:vanish/>
          <w:cs/>
        </w:rPr>
        <w:t>‎</w:t>
      </w:r>
      <w:r w:rsidR="00D82181">
        <w:rPr>
          <w:rStyle w:val="aff4"/>
          <w:vanish/>
          <w:rtl/>
        </w:rPr>
        <w:t>נה)</w:t>
      </w:r>
      <w:r w:rsidRPr="00735214">
        <w:rPr>
          <w:rStyle w:val="aff4"/>
          <w:vanish/>
          <w:rtl/>
        </w:rPr>
        <w:fldChar w:fldCharType="end"/>
      </w:r>
      <w:r w:rsidRPr="00735214">
        <w:rPr>
          <w:rStyle w:val="aff4"/>
          <w:rFonts w:hint="cs"/>
          <w:vanish/>
          <w:rtl/>
        </w:rPr>
        <w:t xml:space="preserve"> &gt;</w:t>
      </w:r>
      <w:r w:rsidRPr="00A3054F">
        <w:rPr>
          <w:rStyle w:val="aff4"/>
          <w:rFonts w:hint="cs"/>
          <w:rtl/>
        </w:rPr>
        <w:t>דבר אברהם</w:t>
      </w:r>
      <w:r w:rsidRPr="00735214">
        <w:rPr>
          <w:rStyle w:val="aff4"/>
          <w:rFonts w:hint="cs"/>
          <w:vanish/>
          <w:rtl/>
        </w:rPr>
        <w:t>-</w:t>
      </w:r>
      <w:r>
        <w:rPr>
          <w:rFonts w:hint="cs"/>
          <w:rtl/>
        </w:rPr>
        <w:t xml:space="preserve"> </w:t>
      </w:r>
      <w:r w:rsidRPr="00A3054F">
        <w:rPr>
          <w:rStyle w:val="af2"/>
          <w:rFonts w:eastAsia="Guttman Hodes" w:hint="cs"/>
          <w:rtl/>
        </w:rPr>
        <w:t>(ח"א סי' כ"ד אות י"ז)</w:t>
      </w:r>
      <w:r w:rsidRPr="00735214">
        <w:rPr>
          <w:rFonts w:hint="cs"/>
          <w:vanish/>
          <w:rtl/>
        </w:rPr>
        <w:t>=</w:t>
      </w:r>
      <w:r>
        <w:rPr>
          <w:rFonts w:hint="cs"/>
          <w:rtl/>
        </w:rPr>
        <w:t xml:space="preserve"> דבהא דאיתא בגמ' לקמן </w:t>
      </w:r>
      <w:r w:rsidRPr="00A3054F">
        <w:rPr>
          <w:rStyle w:val="af2"/>
          <w:rFonts w:eastAsia="Guttman Hodes" w:hint="cs"/>
          <w:rtl/>
        </w:rPr>
        <w:t>(קז:)</w:t>
      </w:r>
      <w:r>
        <w:rPr>
          <w:rFonts w:hint="cs"/>
          <w:rtl/>
        </w:rPr>
        <w:t xml:space="preserve"> דהתולש כשותא מהיזמי ופיטרא מאונא דחצבא הוא עוקר דבר מגידולו, דיש להסתפק אי חשיבי כמחוברים לקרקע ממש, או דחשיבי כמחוברים רק להיזמי ולחבית, ובכדי לחייב בקוצר סגי שעוקר דבר מחיבורו, אף שאינו מחובר לקרקע, דכיון שהוא גם נהנה מריח הקרקע, חשיב כגידולי קרקע, והביא </w:t>
      </w:r>
      <w:r w:rsidRPr="00B4411F">
        <w:rPr>
          <w:rStyle w:val="aff4"/>
          <w:rFonts w:hint="cs"/>
          <w:vanish/>
          <w:rtl/>
        </w:rPr>
        <w:t>-</w:t>
      </w:r>
      <w:r w:rsidRPr="005C4013">
        <w:rPr>
          <w:rStyle w:val="aff4"/>
          <w:rFonts w:hint="cs"/>
          <w:rtl/>
        </w:rPr>
        <w:t>הדבר אברהם</w:t>
      </w:r>
      <w:r w:rsidRPr="00B4411F">
        <w:rPr>
          <w:rStyle w:val="aff4"/>
          <w:rFonts w:hint="cs"/>
          <w:vanish/>
          <w:rtl/>
        </w:rPr>
        <w:t>-</w:t>
      </w:r>
      <w:r>
        <w:rPr>
          <w:rFonts w:hint="cs"/>
          <w:rtl/>
        </w:rPr>
        <w:t xml:space="preserve"> את דברי </w:t>
      </w:r>
      <w:r w:rsidRPr="00100B8E">
        <w:rPr>
          <w:rStyle w:val="aff4"/>
          <w:rFonts w:hint="cs"/>
          <w:vanish/>
          <w:rtl/>
        </w:rPr>
        <w:t>-</w:t>
      </w:r>
      <w:r>
        <w:rPr>
          <w:rStyle w:val="aff4"/>
          <w:rFonts w:hint="cs"/>
          <w:rtl/>
        </w:rPr>
        <w:t>ה</w:t>
      </w:r>
      <w:r w:rsidRPr="00335C9B">
        <w:rPr>
          <w:rStyle w:val="aff4"/>
          <w:rFonts w:hint="cs"/>
          <w:rtl/>
        </w:rPr>
        <w:t>מאירי לקמן</w:t>
      </w:r>
      <w:r w:rsidRPr="00100B8E">
        <w:rPr>
          <w:rStyle w:val="aff4"/>
          <w:rFonts w:hint="cs"/>
          <w:vanish/>
          <w:rtl/>
        </w:rPr>
        <w:t>-</w:t>
      </w:r>
      <w:r>
        <w:rPr>
          <w:rFonts w:hint="cs"/>
          <w:rtl/>
        </w:rPr>
        <w:t xml:space="preserve"> </w:t>
      </w:r>
      <w:r>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Ref134525459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כח)</w:t>
      </w:r>
      <w:r>
        <w:rPr>
          <w:rStyle w:val="af2"/>
          <w:rFonts w:eastAsia="Guttman Hodes"/>
          <w:rtl/>
        </w:rPr>
        <w:fldChar w:fldCharType="end"/>
      </w:r>
      <w:r>
        <w:rPr>
          <w:rStyle w:val="af2"/>
          <w:rFonts w:eastAsia="Guttman Hodes" w:hint="cs"/>
          <w:rtl/>
        </w:rPr>
        <w:t xml:space="preserve">  </w:t>
      </w:r>
      <w:r>
        <w:rPr>
          <w:rFonts w:hint="cs"/>
          <w:rtl/>
        </w:rPr>
        <w:t xml:space="preserve">דכתב דפיטרא מאונא דחצבא גדל שם מחמת לחות הקרקע, וחשיב כתולש מעציץ נקוב, מבואר דחשיב כמחובר לקרקע עצמה, וא"כ דינו כמחובר לכל דבר ולא רק לענין שבת, ועיי"ש במה שהאריך </w:t>
      </w:r>
      <w:r w:rsidRPr="00735214">
        <w:rPr>
          <w:rStyle w:val="aff4"/>
          <w:rFonts w:hint="cs"/>
          <w:vanish/>
          <w:rtl/>
        </w:rPr>
        <w:t>-</w:t>
      </w:r>
      <w:r w:rsidRPr="00A3054F">
        <w:rPr>
          <w:rStyle w:val="aff4"/>
          <w:rFonts w:hint="cs"/>
          <w:rtl/>
        </w:rPr>
        <w:t>הדבר אברהם</w:t>
      </w:r>
      <w:r w:rsidRPr="00735214">
        <w:rPr>
          <w:rStyle w:val="aff4"/>
          <w:rFonts w:hint="cs"/>
          <w:vanish/>
          <w:rtl/>
        </w:rPr>
        <w:t>-</w:t>
      </w:r>
      <w:r>
        <w:rPr>
          <w:rFonts w:hint="cs"/>
          <w:rtl/>
        </w:rPr>
        <w:t xml:space="preserve"> </w:t>
      </w:r>
      <w:r w:rsidRPr="00A3054F">
        <w:rPr>
          <w:rStyle w:val="af2"/>
          <w:rFonts w:eastAsia="Guttman Hodes" w:hint="cs"/>
          <w:rtl/>
        </w:rPr>
        <w:t>(הובא בסימן ד' אות פ"ט)</w:t>
      </w:r>
      <w:r>
        <w:rPr>
          <w:rFonts w:hint="cs"/>
          <w:rtl/>
        </w:rPr>
        <w:t xml:space="preserve"> בזה, ובסוף דברי כתב </w:t>
      </w:r>
      <w:r w:rsidRPr="00735214">
        <w:rPr>
          <w:rStyle w:val="aff4"/>
          <w:rFonts w:hint="cs"/>
          <w:vanish/>
          <w:rtl/>
        </w:rPr>
        <w:t>-</w:t>
      </w:r>
      <w:r w:rsidRPr="00A3054F">
        <w:rPr>
          <w:rStyle w:val="aff4"/>
          <w:rFonts w:hint="cs"/>
          <w:rtl/>
        </w:rPr>
        <w:t>הדבר אברהם</w:t>
      </w:r>
      <w:r w:rsidRPr="00735214">
        <w:rPr>
          <w:rStyle w:val="aff4"/>
          <w:rFonts w:hint="cs"/>
          <w:vanish/>
          <w:rtl/>
        </w:rPr>
        <w:t>-</w:t>
      </w:r>
      <w:r>
        <w:rPr>
          <w:rFonts w:hint="cs"/>
          <w:rtl/>
        </w:rPr>
        <w:t xml:space="preserve"> דמפשטות דברי </w:t>
      </w:r>
      <w:r w:rsidRPr="00735214">
        <w:rPr>
          <w:rFonts w:hint="cs"/>
          <w:vanish/>
          <w:rtl/>
        </w:rPr>
        <w:t>&lt; &gt;</w:t>
      </w:r>
      <w:r w:rsidRPr="00735214">
        <w:rPr>
          <w:rStyle w:val="aff4"/>
          <w:rFonts w:hint="cs"/>
          <w:vanish/>
          <w:rtl/>
        </w:rPr>
        <w:t>-</w:t>
      </w:r>
      <w:r w:rsidRPr="00A3054F">
        <w:rPr>
          <w:rStyle w:val="aff4"/>
          <w:rFonts w:hint="cs"/>
          <w:rtl/>
        </w:rPr>
        <w:t>רש"י לקמן</w:t>
      </w:r>
      <w:r w:rsidRPr="00735214">
        <w:rPr>
          <w:rStyle w:val="aff4"/>
          <w:rFonts w:hint="cs"/>
          <w:vanish/>
          <w:rtl/>
        </w:rPr>
        <w:t>-</w:t>
      </w:r>
      <w:r>
        <w:rPr>
          <w:rFonts w:hint="cs"/>
          <w:rtl/>
        </w:rPr>
        <w:t xml:space="preserve"> </w:t>
      </w:r>
      <w:r w:rsidRPr="00A3054F">
        <w:rPr>
          <w:rStyle w:val="af2"/>
          <w:rFonts w:eastAsia="Guttman Hodes" w:hint="cs"/>
          <w:rtl/>
        </w:rPr>
        <w:t>(קז: ד"ה כשותא)</w:t>
      </w:r>
      <w:r w:rsidRPr="00735214">
        <w:rPr>
          <w:rFonts w:hint="cs"/>
          <w:vanish/>
          <w:rtl/>
        </w:rPr>
        <w:t>=</w:t>
      </w:r>
      <w:r>
        <w:rPr>
          <w:rFonts w:hint="cs"/>
          <w:rtl/>
        </w:rPr>
        <w:t xml:space="preserve"> ומדברי </w:t>
      </w:r>
      <w:r w:rsidRPr="00735214">
        <w:rPr>
          <w:rFonts w:hint="cs"/>
          <w:vanish/>
          <w:rtl/>
        </w:rPr>
        <w:t>&lt; &gt;</w:t>
      </w:r>
      <w:r w:rsidRPr="00735214">
        <w:rPr>
          <w:rStyle w:val="aff4"/>
          <w:rFonts w:hint="cs"/>
          <w:vanish/>
          <w:rtl/>
        </w:rPr>
        <w:t>-</w:t>
      </w:r>
      <w:r w:rsidRPr="00A3054F">
        <w:rPr>
          <w:rStyle w:val="aff4"/>
          <w:rFonts w:hint="cs"/>
          <w:rtl/>
        </w:rPr>
        <w:t xml:space="preserve">ר"ח לקמן </w:t>
      </w:r>
      <w:r w:rsidRPr="00A3054F">
        <w:rPr>
          <w:rStyle w:val="af2"/>
          <w:rFonts w:eastAsia="Guttman Hodes" w:hint="cs"/>
          <w:rtl/>
        </w:rPr>
        <w:t>(קז</w:t>
      </w:r>
      <w:r w:rsidRPr="0005637B">
        <w:rPr>
          <w:rStyle w:val="af2"/>
          <w:rFonts w:eastAsia="Guttman Hodes" w:hint="cs"/>
          <w:rtl/>
        </w:rPr>
        <w:t>: ד"ה אמר אביי)</w:t>
      </w:r>
      <w:r w:rsidRPr="0005637B">
        <w:rPr>
          <w:rFonts w:hint="cs"/>
          <w:vanish/>
          <w:rtl/>
        </w:rPr>
        <w:t>=</w:t>
      </w:r>
      <w:r w:rsidRPr="0005637B">
        <w:rPr>
          <w:rFonts w:hint="cs"/>
          <w:rtl/>
        </w:rPr>
        <w:t xml:space="preserve"> ומדברי </w:t>
      </w:r>
      <w:r w:rsidRPr="00735214">
        <w:rPr>
          <w:rStyle w:val="aff4"/>
          <w:rFonts w:hint="cs"/>
          <w:vanish/>
          <w:rtl/>
        </w:rPr>
        <w:t>-</w:t>
      </w:r>
      <w:r w:rsidRPr="0005637B">
        <w:rPr>
          <w:rStyle w:val="aff4"/>
          <w:rFonts w:hint="cs"/>
          <w:rtl/>
        </w:rPr>
        <w:t>המאירי</w:t>
      </w:r>
      <w:r w:rsidRPr="00735214">
        <w:rPr>
          <w:rFonts w:hint="cs"/>
          <w:vanish/>
          <w:rtl/>
        </w:rPr>
        <w:t>-</w:t>
      </w:r>
      <w:r>
        <w:rPr>
          <w:rFonts w:hint="cs"/>
          <w:rtl/>
        </w:rPr>
        <w:t xml:space="preserve"> משמע דעיקר החיוב הוא כיון שהם מחוברים לקרקע עצמה.</w:t>
      </w:r>
      <w:bookmarkEnd w:id="1199"/>
    </w:p>
    <w:bookmarkEnd w:id="1196"/>
    <w:p w14:paraId="725BE3DB" w14:textId="77777777" w:rsidR="00D31714" w:rsidRPr="00747170" w:rsidRDefault="00D31714" w:rsidP="00747170">
      <w:pPr>
        <w:pStyle w:val="a2"/>
        <w:rPr>
          <w:rtl/>
        </w:rPr>
      </w:pPr>
      <w:r w:rsidRPr="00747170">
        <w:rPr>
          <w:rtl/>
        </w:rPr>
        <w:t xml:space="preserve">[יז] והא דאמרינן בשבת (דף ק"ח) האי מאן דתלש פיטרא מאונא דחצבא מיחייב משום עוקר דבר מגידולו וכן כשות מהיזמי והיגי ופירש הרמב"ן שהוא משום קוצר וכ"כ הרמב"ם (פ"ח מהלכות שבת ה"ג) וכל העוקר דבר מגידולו חייב משום קוצר לפיכך צרור שעלו בו עשבים וכשות שעלה בסנה ועשבין שצמחו על גב החבית התולש מהן חייב שזהו מקום גידולן, לאו משום הבדלת החיות הוא דמחייבי אלא משום דכיון שיונק וגדל שם הוי מחובר אליו ולכן המבדילו חייב משום קוצר מפני שמעתיקו מחיבורו ממש ומ"מ יש להסתפק אי חשיבא פיטרא כמחוברת לקרקע גופה וכשעוקרה הוא תולש ג"ק מן הקרקע ממש וזהו כמ"ש, או דחשיבא מחוברת רק לחצבא וחבית ולא לקרקע ומ"מ חייב משום קוצר לפי שעוקרו ממקום חיבורו זה ולא בעינן שיעקרנו דוקא מן הקרקע עצמה אלא כל שעוקרו ממקום חיבור איזה שיהיה סגי ובלבד שיהא הדבר הנקצר ג"ק והכא בנהנה מריח הקרקע חשוב ג"ק ודלא כמ"ש למעלה דבעינן שיקצור מן הקרקע ממש. ורש"י ז"ל כתב כשותא כו' וגדל מתוך ההיזמי מריח הקרקע שההיזמי יונק ממנו עכ"ל, ואין הכרע אם כוונתו דבשביל שגדל מריח הקרקע חשיב מחובר אליה או דבשביל זה חשיב רק ג"ק ואל"ה לא הוה בהו איסור קצירה. אך המאירי כתב וז"ל והתולש כשותא שבין היזמי והיגי ועומד שם בלחותו משום יניקת הארץ הרי הוא כתולש מעציץ נקוב וחייב משום עוקר דבר מגידולו אפילו תולש כמהין ופטריות מאוזן הכד או מן הקורה חייב עכ"ל משמע דדינו ממש כבעציץ נקוב והוו גם מחוברין לקרקע עצמה ונ"מ לשאר מילי שלא לענין שבת. </w:t>
      </w:r>
    </w:p>
    <w:p w14:paraId="4A41379A" w14:textId="77777777" w:rsidR="00D31714" w:rsidRPr="0074537A" w:rsidRDefault="00D31714" w:rsidP="00747170">
      <w:pPr>
        <w:pStyle w:val="afffff5"/>
        <w:rPr>
          <w:noProof/>
          <w:rtl/>
        </w:rPr>
      </w:pPr>
      <w:r w:rsidRPr="0074537A">
        <w:rPr>
          <w:noProof/>
          <w:rtl/>
        </w:rPr>
        <w:t>רש"י שבת ק"ז ע"ב</w:t>
      </w:r>
      <w:r w:rsidRPr="0074537A">
        <w:rPr>
          <w:rFonts w:hint="cs"/>
          <w:noProof/>
          <w:rtl/>
        </w:rPr>
        <w:t xml:space="preserve"> ד"ה כשותא</w:t>
      </w:r>
    </w:p>
    <w:p w14:paraId="42FEF047" w14:textId="77777777" w:rsidR="00D31714" w:rsidRPr="0074537A" w:rsidRDefault="00D31714" w:rsidP="00747170">
      <w:pPr>
        <w:pStyle w:val="afffff5"/>
        <w:rPr>
          <w:noProof/>
          <w:rtl/>
        </w:rPr>
      </w:pPr>
      <w:r w:rsidRPr="0074537A">
        <w:rPr>
          <w:noProof/>
          <w:rtl/>
        </w:rPr>
        <w:t>כשותא - הומלו"ן וגדל מתוך ההיזמי, מריח הקרקע שההיזמי יונק ממנו.</w:t>
      </w:r>
    </w:p>
    <w:p w14:paraId="4954ABC2" w14:textId="77777777" w:rsidR="00D31714" w:rsidRPr="0074537A" w:rsidRDefault="00D31714" w:rsidP="00747170">
      <w:pPr>
        <w:pStyle w:val="afffff5"/>
        <w:rPr>
          <w:rtl/>
        </w:rPr>
      </w:pPr>
      <w:r w:rsidRPr="0074537A">
        <w:rPr>
          <w:noProof/>
          <w:rtl/>
        </w:rPr>
        <w:t>מיחייב - ואף על פי שאינו מחובר לקרקע, כדאמרינן בעלמא (עירובין כח, ב): מאוירא רבי.</w:t>
      </w:r>
    </w:p>
    <w:p w14:paraId="504E14C2" w14:textId="77777777" w:rsidR="00D31714" w:rsidRPr="0074537A" w:rsidRDefault="00D31714" w:rsidP="00747170">
      <w:pPr>
        <w:pStyle w:val="afffff5"/>
        <w:rPr>
          <w:noProof/>
          <w:rtl/>
        </w:rPr>
      </w:pPr>
      <w:r w:rsidRPr="0074537A">
        <w:rPr>
          <w:noProof/>
          <w:rtl/>
        </w:rPr>
        <w:t>רבינו חננאל שבת ק"ח ע"א</w:t>
      </w:r>
      <w:r w:rsidRPr="0074537A">
        <w:rPr>
          <w:rFonts w:hint="cs"/>
          <w:noProof/>
          <w:rtl/>
        </w:rPr>
        <w:t xml:space="preserve"> ד"ה אמר אביי</w:t>
      </w:r>
    </w:p>
    <w:p w14:paraId="5E7F23CD" w14:textId="77777777" w:rsidR="00D31714" w:rsidRPr="0074537A" w:rsidRDefault="00D31714" w:rsidP="00747170">
      <w:pPr>
        <w:pStyle w:val="afffff5"/>
        <w:rPr>
          <w:rtl/>
        </w:rPr>
      </w:pPr>
      <w:r w:rsidRPr="0074537A">
        <w:rPr>
          <w:noProof/>
          <w:rtl/>
        </w:rPr>
        <w:t>אמר אביי האי מאן דתלש פיטורא מאונא דחצבא חייב משום עוקר דבר מגידולו. פי' פיטורא זה ממיני כמהין ופטריות ומפורש בגמ' ברכות פ' כיצד מברכין אמר אביי מירבא קא רבו מן ארעא ומינק מן אוירא ינקי עיקר שלהן מן הקרקע ולא מיתמר בהן גידולי הארץ והכין נמי להעוקר פטריות מן אונא דחצבא אף על פי שהוא כלי חרס יוצא ונגדל ומאוירא ינקי. וכמה דאית לפיטורא במקום גידולו אית ביה כח דיניק מן אוירא. וכד מיעקר לא יניק מאוירא:</w:t>
      </w:r>
    </w:p>
    <w:p w14:paraId="4E8D5AB2" w14:textId="77777777" w:rsidR="00D31714" w:rsidRDefault="00D31714" w:rsidP="00D31714">
      <w:pPr>
        <w:pStyle w:val="afffff7"/>
        <w:rPr>
          <w:rtl/>
        </w:rPr>
      </w:pPr>
      <w:bookmarkStart w:id="1200" w:name="_Toc135670268"/>
      <w:bookmarkStart w:id="1201" w:name="_Toc163505569"/>
      <w:r>
        <w:rPr>
          <w:rFonts w:hint="cs"/>
          <w:rtl/>
        </w:rPr>
        <w:t>דבר אברהם ח"א סי' כ"ד אות י"ח</w:t>
      </w:r>
      <w:bookmarkEnd w:id="1200"/>
      <w:bookmarkEnd w:id="1201"/>
    </w:p>
    <w:p w14:paraId="1FDD35BC" w14:textId="77777777" w:rsidR="00D31714" w:rsidRDefault="00D31714" w:rsidP="00D31714">
      <w:pPr>
        <w:pStyle w:val="a7"/>
        <w:rPr>
          <w:rtl/>
        </w:rPr>
      </w:pPr>
      <w:bookmarkStart w:id="1202" w:name="_Toc135669991"/>
      <w:r>
        <w:rPr>
          <w:rFonts w:hint="cs"/>
          <w:rtl/>
        </w:rPr>
        <w:t>בי' הדב"א דל"מ להדיא בראשונים מי שחולק על הרמב"ן וס"ל דיש קוצר שלא בגידולי קרקע</w:t>
      </w:r>
      <w:bookmarkEnd w:id="1202"/>
    </w:p>
    <w:p w14:paraId="04632353" w14:textId="61EC337A" w:rsidR="00D31714" w:rsidRPr="009230BD" w:rsidRDefault="00D31714" w:rsidP="00BC7DC8">
      <w:pPr>
        <w:pStyle w:val="a3"/>
        <w:rPr>
          <w:rtl/>
        </w:rPr>
      </w:pPr>
      <w:bookmarkStart w:id="1203" w:name="_Ref135659404"/>
      <w:r>
        <w:rPr>
          <w:rFonts w:hint="cs"/>
          <w:rtl/>
        </w:rPr>
        <w:t xml:space="preserve">ובמסקנת דבריו כתב </w:t>
      </w:r>
      <w:r w:rsidRPr="00735214">
        <w:rPr>
          <w:rStyle w:val="aff4"/>
          <w:rFonts w:hint="cs"/>
          <w:vanish/>
          <w:rtl/>
        </w:rPr>
        <w:t>-</w:t>
      </w:r>
      <w:r w:rsidRPr="00A3054F">
        <w:rPr>
          <w:rStyle w:val="aff4"/>
          <w:rFonts w:hint="cs"/>
          <w:rtl/>
        </w:rPr>
        <w:t>ה</w:t>
      </w:r>
      <w:r w:rsidRPr="00735214">
        <w:rPr>
          <w:rStyle w:val="aff4"/>
          <w:rFonts w:hint="cs"/>
          <w:vanish/>
          <w:rtl/>
        </w:rPr>
        <w:t xml:space="preserve">&lt;. </w:t>
      </w:r>
      <w:r w:rsidRPr="00735214">
        <w:rPr>
          <w:rStyle w:val="aff4"/>
          <w:vanish/>
          <w:rtl/>
        </w:rPr>
        <w:fldChar w:fldCharType="begin"/>
      </w:r>
      <w:r w:rsidRPr="00735214">
        <w:rPr>
          <w:rStyle w:val="aff4"/>
          <w:vanish/>
          <w:rtl/>
        </w:rPr>
        <w:instrText xml:space="preserve"> </w:instrText>
      </w:r>
      <w:r w:rsidRPr="00735214">
        <w:rPr>
          <w:rStyle w:val="aff4"/>
          <w:rFonts w:hint="cs"/>
          <w:vanish/>
        </w:rPr>
        <w:instrText>REF</w:instrText>
      </w:r>
      <w:r w:rsidRPr="00735214">
        <w:rPr>
          <w:rStyle w:val="aff4"/>
          <w:rFonts w:hint="cs"/>
          <w:vanish/>
          <w:rtl/>
        </w:rPr>
        <w:instrText xml:space="preserve"> _</w:instrText>
      </w:r>
      <w:r w:rsidRPr="00735214">
        <w:rPr>
          <w:rStyle w:val="aff4"/>
          <w:rFonts w:hint="cs"/>
          <w:vanish/>
        </w:rPr>
        <w:instrText>Ref135659404 \r \h</w:instrText>
      </w:r>
      <w:r w:rsidRPr="00735214">
        <w:rPr>
          <w:rStyle w:val="aff4"/>
          <w:vanish/>
          <w:rtl/>
        </w:rPr>
        <w:instrText xml:space="preserve"> </w:instrText>
      </w:r>
      <w:r w:rsidRPr="00735214">
        <w:rPr>
          <w:rStyle w:val="aff4"/>
          <w:vanish/>
          <w:rtl/>
        </w:rPr>
      </w:r>
      <w:r w:rsidRPr="00735214">
        <w:rPr>
          <w:rStyle w:val="aff4"/>
          <w:vanish/>
          <w:rtl/>
        </w:rPr>
        <w:fldChar w:fldCharType="separate"/>
      </w:r>
      <w:r w:rsidR="00D82181">
        <w:rPr>
          <w:rStyle w:val="aff4"/>
          <w:vanish/>
          <w:cs/>
        </w:rPr>
        <w:t>‎</w:t>
      </w:r>
      <w:r w:rsidR="00D82181">
        <w:rPr>
          <w:rStyle w:val="aff4"/>
          <w:vanish/>
          <w:rtl/>
        </w:rPr>
        <w:t>נו)</w:t>
      </w:r>
      <w:r w:rsidRPr="00735214">
        <w:rPr>
          <w:rStyle w:val="aff4"/>
          <w:vanish/>
          <w:rtl/>
        </w:rPr>
        <w:fldChar w:fldCharType="end"/>
      </w:r>
      <w:r w:rsidRPr="00735214">
        <w:rPr>
          <w:rStyle w:val="aff4"/>
          <w:rFonts w:hint="cs"/>
          <w:vanish/>
          <w:rtl/>
        </w:rPr>
        <w:t xml:space="preserve"> &gt;</w:t>
      </w:r>
      <w:r w:rsidRPr="00A3054F">
        <w:rPr>
          <w:rStyle w:val="aff4"/>
          <w:rFonts w:hint="cs"/>
          <w:rtl/>
        </w:rPr>
        <w:t>דבר אברהם</w:t>
      </w:r>
      <w:r w:rsidRPr="00735214">
        <w:rPr>
          <w:rStyle w:val="aff4"/>
          <w:rFonts w:hint="cs"/>
          <w:vanish/>
          <w:rtl/>
        </w:rPr>
        <w:t>-</w:t>
      </w:r>
      <w:r>
        <w:rPr>
          <w:rFonts w:hint="cs"/>
          <w:rtl/>
        </w:rPr>
        <w:t xml:space="preserve"> </w:t>
      </w:r>
      <w:r w:rsidRPr="00A3054F">
        <w:rPr>
          <w:rStyle w:val="af2"/>
          <w:rFonts w:eastAsia="Guttman Hodes" w:hint="cs"/>
          <w:rtl/>
        </w:rPr>
        <w:t>(ח"א סי' כ"ד אות י"ז)</w:t>
      </w:r>
      <w:r w:rsidRPr="00735214">
        <w:rPr>
          <w:rFonts w:hint="cs"/>
          <w:vanish/>
          <w:rtl/>
        </w:rPr>
        <w:t>=</w:t>
      </w:r>
      <w:r>
        <w:rPr>
          <w:rFonts w:hint="cs"/>
          <w:rtl/>
        </w:rPr>
        <w:t xml:space="preserve"> דאחר דבפשטות דעת </w:t>
      </w:r>
      <w:r w:rsidRPr="00735214">
        <w:rPr>
          <w:rStyle w:val="aff4"/>
          <w:rFonts w:hint="cs"/>
          <w:vanish/>
          <w:rtl/>
        </w:rPr>
        <w:t>-</w:t>
      </w:r>
      <w:r w:rsidRPr="00A3054F">
        <w:rPr>
          <w:rStyle w:val="aff4"/>
          <w:rFonts w:hint="cs"/>
          <w:rtl/>
        </w:rPr>
        <w:t>הרמב"ם</w:t>
      </w:r>
      <w:r w:rsidRPr="00735214">
        <w:rPr>
          <w:rStyle w:val="aff4"/>
          <w:rFonts w:hint="cs"/>
          <w:vanish/>
          <w:rtl/>
        </w:rPr>
        <w:t>-</w:t>
      </w:r>
      <w:r>
        <w:rPr>
          <w:rFonts w:hint="cs"/>
          <w:rtl/>
        </w:rPr>
        <w:t xml:space="preserve"> </w:t>
      </w:r>
      <w:r w:rsidRPr="00A3054F">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Ref134521911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כד)</w:t>
      </w:r>
      <w:r>
        <w:rPr>
          <w:rStyle w:val="af2"/>
          <w:rFonts w:eastAsia="Guttman Hodes"/>
          <w:rtl/>
        </w:rPr>
        <w:fldChar w:fldCharType="end"/>
      </w:r>
      <w:r>
        <w:rPr>
          <w:rFonts w:hint="cs"/>
          <w:rtl/>
        </w:rPr>
        <w:t xml:space="preserve"> </w:t>
      </w:r>
      <w:r w:rsidRPr="00735214">
        <w:rPr>
          <w:rStyle w:val="aff4"/>
          <w:rFonts w:hint="cs"/>
          <w:vanish/>
          <w:rtl/>
        </w:rPr>
        <w:t>-</w:t>
      </w:r>
      <w:r w:rsidRPr="00A3054F">
        <w:rPr>
          <w:rStyle w:val="aff4"/>
          <w:rFonts w:hint="cs"/>
          <w:rtl/>
        </w:rPr>
        <w:t>והרמב"ן והרשב"א והר"ן</w:t>
      </w:r>
      <w:r w:rsidRPr="00735214">
        <w:rPr>
          <w:rStyle w:val="aff4"/>
          <w:rFonts w:hint="cs"/>
          <w:vanish/>
          <w:rtl/>
        </w:rPr>
        <w:t>-</w:t>
      </w:r>
      <w:r>
        <w:rPr>
          <w:rFonts w:hint="cs"/>
          <w:rtl/>
        </w:rPr>
        <w:t xml:space="preserve"> </w:t>
      </w:r>
      <w:r w:rsidRPr="00A3054F">
        <w:rPr>
          <w:rStyle w:val="af2"/>
          <w:rFonts w:eastAsia="Guttman Hodes" w:hint="cs"/>
          <w:rtl/>
        </w:rPr>
        <w:t xml:space="preserve">(עי' אות </w:t>
      </w:r>
      <w:r w:rsidRPr="00A3054F">
        <w:rPr>
          <w:rStyle w:val="af2"/>
          <w:rFonts w:eastAsia="Guttman Hodes"/>
          <w:rtl/>
        </w:rPr>
        <w:fldChar w:fldCharType="begin"/>
      </w:r>
      <w:r w:rsidRPr="00A3054F">
        <w:rPr>
          <w:rStyle w:val="af2"/>
          <w:rFonts w:eastAsia="Guttman Hodes"/>
          <w:rtl/>
        </w:rPr>
        <w:instrText xml:space="preserve"> </w:instrText>
      </w:r>
      <w:r w:rsidRPr="00A3054F">
        <w:rPr>
          <w:rStyle w:val="af2"/>
          <w:rFonts w:eastAsia="Guttman Hodes" w:hint="cs"/>
        </w:rPr>
        <w:instrText>REF</w:instrText>
      </w:r>
      <w:r w:rsidRPr="00A3054F">
        <w:rPr>
          <w:rStyle w:val="af2"/>
          <w:rFonts w:eastAsia="Guttman Hodes" w:hint="cs"/>
          <w:rtl/>
        </w:rPr>
        <w:instrText xml:space="preserve"> _</w:instrText>
      </w:r>
      <w:r w:rsidRPr="00A3054F">
        <w:rPr>
          <w:rStyle w:val="af2"/>
          <w:rFonts w:eastAsia="Guttman Hodes" w:hint="cs"/>
        </w:rPr>
        <w:instrText>Ref134521888 \r \h</w:instrText>
      </w:r>
      <w:r w:rsidRPr="00A3054F">
        <w:rPr>
          <w:rStyle w:val="af2"/>
          <w:rFonts w:eastAsia="Guttman Hodes"/>
          <w:rtl/>
        </w:rPr>
        <w:instrText xml:space="preserve"> </w:instrText>
      </w:r>
      <w:r w:rsidRPr="00A3054F">
        <w:rPr>
          <w:rStyle w:val="af2"/>
          <w:rFonts w:eastAsia="Guttman Hodes"/>
          <w:rtl/>
        </w:rPr>
      </w:r>
      <w:r w:rsidRPr="00A3054F">
        <w:rPr>
          <w:rStyle w:val="af2"/>
          <w:rFonts w:eastAsia="Guttman Hodes"/>
          <w:rtl/>
        </w:rPr>
        <w:fldChar w:fldCharType="separate"/>
      </w:r>
      <w:r w:rsidR="00D82181">
        <w:rPr>
          <w:rStyle w:val="af2"/>
          <w:rFonts w:eastAsia="Guttman Hodes"/>
          <w:cs/>
        </w:rPr>
        <w:t>‎</w:t>
      </w:r>
      <w:r w:rsidR="00D82181">
        <w:rPr>
          <w:rStyle w:val="af2"/>
          <w:rFonts w:eastAsia="Guttman Hodes"/>
          <w:rtl/>
        </w:rPr>
        <w:t>כא)</w:t>
      </w:r>
      <w:r w:rsidRPr="00A3054F">
        <w:rPr>
          <w:rStyle w:val="af2"/>
          <w:rFonts w:eastAsia="Guttman Hodes"/>
          <w:rtl/>
        </w:rPr>
        <w:fldChar w:fldCharType="end"/>
      </w:r>
      <w:r>
        <w:rPr>
          <w:rFonts w:hint="cs"/>
          <w:rtl/>
        </w:rPr>
        <w:t xml:space="preserve"> </w:t>
      </w:r>
      <w:r w:rsidRPr="00735214">
        <w:rPr>
          <w:rStyle w:val="aff4"/>
          <w:rFonts w:hint="cs"/>
          <w:vanish/>
          <w:rtl/>
        </w:rPr>
        <w:t>-</w:t>
      </w:r>
      <w:r w:rsidRPr="00A3054F">
        <w:rPr>
          <w:rStyle w:val="aff4"/>
          <w:rFonts w:hint="cs"/>
          <w:rtl/>
        </w:rPr>
        <w:t>והמאירי</w:t>
      </w:r>
      <w:r w:rsidRPr="00735214">
        <w:rPr>
          <w:rStyle w:val="aff4"/>
          <w:rFonts w:hint="cs"/>
          <w:vanish/>
          <w:rtl/>
        </w:rPr>
        <w:t>-</w:t>
      </w:r>
      <w:r>
        <w:rPr>
          <w:rFonts w:hint="cs"/>
          <w:rtl/>
        </w:rPr>
        <w:t xml:space="preserve"> </w:t>
      </w:r>
      <w:r w:rsidRPr="00A3054F">
        <w:rPr>
          <w:rStyle w:val="af2"/>
          <w:rFonts w:eastAsia="Guttman Hodes" w:hint="cs"/>
          <w:rtl/>
        </w:rPr>
        <w:t xml:space="preserve">(עי' אות </w:t>
      </w:r>
      <w:r w:rsidRPr="00A3054F">
        <w:rPr>
          <w:rStyle w:val="af2"/>
          <w:rFonts w:eastAsia="Guttman Hodes"/>
          <w:rtl/>
        </w:rPr>
        <w:fldChar w:fldCharType="begin"/>
      </w:r>
      <w:r w:rsidRPr="00A3054F">
        <w:rPr>
          <w:rStyle w:val="af2"/>
          <w:rFonts w:eastAsia="Guttman Hodes"/>
          <w:rtl/>
        </w:rPr>
        <w:instrText xml:space="preserve"> </w:instrText>
      </w:r>
      <w:r w:rsidRPr="00A3054F">
        <w:rPr>
          <w:rStyle w:val="af2"/>
          <w:rFonts w:eastAsia="Guttman Hodes" w:hint="cs"/>
        </w:rPr>
        <w:instrText>REF</w:instrText>
      </w:r>
      <w:r w:rsidRPr="00A3054F">
        <w:rPr>
          <w:rStyle w:val="af2"/>
          <w:rFonts w:eastAsia="Guttman Hodes" w:hint="cs"/>
          <w:rtl/>
        </w:rPr>
        <w:instrText xml:space="preserve"> _</w:instrText>
      </w:r>
      <w:r w:rsidRPr="00A3054F">
        <w:rPr>
          <w:rStyle w:val="af2"/>
          <w:rFonts w:eastAsia="Guttman Hodes" w:hint="cs"/>
        </w:rPr>
        <w:instrText>Ref135659389 \r \h</w:instrText>
      </w:r>
      <w:r w:rsidRPr="00A3054F">
        <w:rPr>
          <w:rStyle w:val="af2"/>
          <w:rFonts w:eastAsia="Guttman Hodes"/>
          <w:rtl/>
        </w:rPr>
        <w:instrText xml:space="preserve"> </w:instrText>
      </w:r>
      <w:r w:rsidRPr="00A3054F">
        <w:rPr>
          <w:rStyle w:val="af2"/>
          <w:rFonts w:eastAsia="Guttman Hodes"/>
          <w:rtl/>
        </w:rPr>
      </w:r>
      <w:r w:rsidRPr="00A3054F">
        <w:rPr>
          <w:rStyle w:val="af2"/>
          <w:rFonts w:eastAsia="Guttman Hodes"/>
          <w:rtl/>
        </w:rPr>
        <w:fldChar w:fldCharType="separate"/>
      </w:r>
      <w:r w:rsidR="00D82181">
        <w:rPr>
          <w:rStyle w:val="af2"/>
          <w:rFonts w:eastAsia="Guttman Hodes"/>
          <w:cs/>
        </w:rPr>
        <w:t>‎</w:t>
      </w:r>
      <w:r w:rsidR="00D82181">
        <w:rPr>
          <w:rStyle w:val="af2"/>
          <w:rFonts w:eastAsia="Guttman Hodes"/>
          <w:rtl/>
        </w:rPr>
        <w:t>נה)</w:t>
      </w:r>
      <w:r w:rsidRPr="00A3054F">
        <w:rPr>
          <w:rStyle w:val="af2"/>
          <w:rFonts w:eastAsia="Guttman Hodes"/>
          <w:rtl/>
        </w:rPr>
        <w:fldChar w:fldCharType="end"/>
      </w:r>
      <w:bookmarkEnd w:id="1203"/>
      <w:r>
        <w:rPr>
          <w:rFonts w:hint="cs"/>
          <w:rtl/>
        </w:rPr>
        <w:t xml:space="preserve"> דקוצר הוא רק בגידולי קרקע, ולא מצינו </w:t>
      </w:r>
      <w:r w:rsidRPr="00735214">
        <w:rPr>
          <w:rStyle w:val="aff4"/>
          <w:rFonts w:hint="cs"/>
          <w:vanish/>
          <w:rtl/>
        </w:rPr>
        <w:lastRenderedPageBreak/>
        <w:t>-</w:t>
      </w:r>
      <w:r w:rsidRPr="00A3054F">
        <w:rPr>
          <w:rStyle w:val="aff4"/>
          <w:rFonts w:hint="cs"/>
          <w:rtl/>
        </w:rPr>
        <w:t>בראשונים</w:t>
      </w:r>
      <w:r w:rsidRPr="00735214">
        <w:rPr>
          <w:rStyle w:val="aff4"/>
          <w:rFonts w:hint="cs"/>
          <w:vanish/>
          <w:rtl/>
        </w:rPr>
        <w:t>-</w:t>
      </w:r>
      <w:r>
        <w:rPr>
          <w:rFonts w:hint="cs"/>
          <w:rtl/>
        </w:rPr>
        <w:t xml:space="preserve"> מי שחולק להדיא על </w:t>
      </w:r>
      <w:r w:rsidRPr="00735214">
        <w:rPr>
          <w:rStyle w:val="aff4"/>
          <w:rFonts w:hint="cs"/>
          <w:vanish/>
          <w:rtl/>
        </w:rPr>
        <w:t>-</w:t>
      </w:r>
      <w:r w:rsidRPr="00A3054F">
        <w:rPr>
          <w:rStyle w:val="aff4"/>
          <w:rFonts w:hint="cs"/>
          <w:rtl/>
        </w:rPr>
        <w:t>הרמב"ן</w:t>
      </w:r>
      <w:r w:rsidRPr="00735214">
        <w:rPr>
          <w:rStyle w:val="aff4"/>
          <w:rFonts w:hint="cs"/>
          <w:vanish/>
          <w:rtl/>
        </w:rPr>
        <w:t>-</w:t>
      </w:r>
      <w:r>
        <w:rPr>
          <w:rFonts w:hint="cs"/>
          <w:rtl/>
        </w:rPr>
        <w:t xml:space="preserve"> וס"ל דיש קוצר שלא בגידולי קרקע, ואף לדעת רבי יהודה דס"ל דיש דישה שלא בגידולי קרקע, אפש"ל דמודה ר"י בקוצר, כדביאר </w:t>
      </w:r>
      <w:r w:rsidRPr="00735214">
        <w:rPr>
          <w:rStyle w:val="aff4"/>
          <w:rFonts w:hint="cs"/>
          <w:vanish/>
          <w:rtl/>
        </w:rPr>
        <w:t>-</w:t>
      </w:r>
      <w:r w:rsidRPr="00A3054F">
        <w:rPr>
          <w:rStyle w:val="aff4"/>
          <w:rFonts w:hint="cs"/>
          <w:rtl/>
        </w:rPr>
        <w:t>הדבר אברהם</w:t>
      </w:r>
      <w:r w:rsidRPr="00735214">
        <w:rPr>
          <w:rStyle w:val="aff4"/>
          <w:rFonts w:hint="cs"/>
          <w:vanish/>
          <w:rtl/>
        </w:rPr>
        <w:t>-</w:t>
      </w:r>
      <w:r>
        <w:rPr>
          <w:rFonts w:hint="cs"/>
          <w:rtl/>
        </w:rPr>
        <w:t xml:space="preserve"> </w:t>
      </w:r>
      <w:r w:rsidRPr="00A3054F">
        <w:rPr>
          <w:rStyle w:val="af2"/>
          <w:rFonts w:eastAsia="Guttman Hodes" w:hint="cs"/>
          <w:rtl/>
        </w:rPr>
        <w:t xml:space="preserve">(עי' אות </w:t>
      </w:r>
      <w:r w:rsidRPr="00A3054F">
        <w:rPr>
          <w:rStyle w:val="af2"/>
          <w:rFonts w:eastAsia="Guttman Hodes"/>
          <w:rtl/>
        </w:rPr>
        <w:fldChar w:fldCharType="begin"/>
      </w:r>
      <w:r w:rsidRPr="00A3054F">
        <w:rPr>
          <w:rStyle w:val="af2"/>
          <w:rFonts w:eastAsia="Guttman Hodes"/>
          <w:rtl/>
        </w:rPr>
        <w:instrText xml:space="preserve"> </w:instrText>
      </w:r>
      <w:r w:rsidRPr="00A3054F">
        <w:rPr>
          <w:rStyle w:val="af2"/>
          <w:rFonts w:eastAsia="Guttman Hodes" w:hint="cs"/>
        </w:rPr>
        <w:instrText>REF</w:instrText>
      </w:r>
      <w:r w:rsidRPr="00A3054F">
        <w:rPr>
          <w:rStyle w:val="af2"/>
          <w:rFonts w:eastAsia="Guttman Hodes" w:hint="cs"/>
          <w:rtl/>
        </w:rPr>
        <w:instrText xml:space="preserve"> _</w:instrText>
      </w:r>
      <w:r w:rsidRPr="00A3054F">
        <w:rPr>
          <w:rStyle w:val="af2"/>
          <w:rFonts w:eastAsia="Guttman Hodes" w:hint="cs"/>
        </w:rPr>
        <w:instrText>Ref135658817 \r \h</w:instrText>
      </w:r>
      <w:r w:rsidRPr="00A3054F">
        <w:rPr>
          <w:rStyle w:val="af2"/>
          <w:rFonts w:eastAsia="Guttman Hodes"/>
          <w:rtl/>
        </w:rPr>
        <w:instrText xml:space="preserve"> </w:instrText>
      </w:r>
      <w:r w:rsidRPr="00A3054F">
        <w:rPr>
          <w:rStyle w:val="af2"/>
          <w:rFonts w:eastAsia="Guttman Hodes"/>
          <w:rtl/>
        </w:rPr>
      </w:r>
      <w:r w:rsidRPr="00A3054F">
        <w:rPr>
          <w:rStyle w:val="af2"/>
          <w:rFonts w:eastAsia="Guttman Hodes"/>
          <w:rtl/>
        </w:rPr>
        <w:fldChar w:fldCharType="separate"/>
      </w:r>
      <w:r w:rsidR="00D82181">
        <w:rPr>
          <w:rStyle w:val="af2"/>
          <w:rFonts w:eastAsia="Guttman Hodes"/>
          <w:cs/>
        </w:rPr>
        <w:t>‎</w:t>
      </w:r>
      <w:r w:rsidR="00D82181">
        <w:rPr>
          <w:rStyle w:val="af2"/>
          <w:rFonts w:eastAsia="Guttman Hodes"/>
          <w:rtl/>
        </w:rPr>
        <w:t>נד)</w:t>
      </w:r>
      <w:r w:rsidRPr="00A3054F">
        <w:rPr>
          <w:rStyle w:val="af2"/>
          <w:rFonts w:eastAsia="Guttman Hodes"/>
          <w:rtl/>
        </w:rPr>
        <w:fldChar w:fldCharType="end"/>
      </w:r>
      <w:r>
        <w:rPr>
          <w:rFonts w:hint="cs"/>
          <w:rtl/>
        </w:rPr>
        <w:t xml:space="preserve"> בדעת </w:t>
      </w:r>
      <w:r w:rsidRPr="00735214">
        <w:rPr>
          <w:rStyle w:val="aff4"/>
          <w:rFonts w:hint="cs"/>
          <w:vanish/>
          <w:rtl/>
        </w:rPr>
        <w:t>-</w:t>
      </w:r>
      <w:r w:rsidRPr="00A3054F">
        <w:rPr>
          <w:rStyle w:val="aff4"/>
          <w:rFonts w:hint="cs"/>
          <w:rtl/>
        </w:rPr>
        <w:t>האו"ז</w:t>
      </w:r>
      <w:r w:rsidRPr="00735214">
        <w:rPr>
          <w:rStyle w:val="aff4"/>
          <w:rFonts w:hint="cs"/>
          <w:vanish/>
          <w:rtl/>
        </w:rPr>
        <w:t>-</w:t>
      </w:r>
      <w:r>
        <w:rPr>
          <w:rFonts w:hint="cs"/>
          <w:rtl/>
        </w:rPr>
        <w:t>.</w:t>
      </w:r>
    </w:p>
    <w:p w14:paraId="6A4ED934" w14:textId="77777777" w:rsidR="00D31714" w:rsidRPr="00747170" w:rsidRDefault="00D31714" w:rsidP="00747170">
      <w:pPr>
        <w:pStyle w:val="a2"/>
        <w:rPr>
          <w:rtl/>
        </w:rPr>
      </w:pPr>
      <w:r w:rsidRPr="00747170">
        <w:rPr>
          <w:rtl/>
        </w:rPr>
        <w:t xml:space="preserve">[יח] תמצית היוצא לן מכל האמור שהרמב"ם והרמב"ן והרשב"א והר"ן והמאירי כולהו ס"ל דאין קוצר אלא בג"ק ממש אבל שלא בג"ק לא ואפילו בע"ח ולא מצאנו מפורש בין רבותינו הראשונים ז"ל מי שיאמר להיפוך ואפילו לר"י דס"ל דפוצע חלזון חייב משום דש הראינו פנים ע"פ האו"ז דמ"מ אפשר דמודי דאין קצירה אלא בג"ק ודגים שאני ואפילו להתוס' (דף ע"ג ע"ב) שגם בבהמה מיאנו לומר דחשיב ג"ק וע"כ דס"ל לר"י דיש דישה שלא בג"ק וה"נ קוצר הראינו מקום לומר ע"פ התה"ד ושו"ת רעק"א דמ"מ בקוצר מודה ר"י. ולפי"ז מתבאר לן דאין לדון במילה משום קצירה ודלא כמו שתפסו בפשיטות האחרונים ז"ל שהזכרנו: </w:t>
      </w:r>
    </w:p>
    <w:p w14:paraId="6DEF869D" w14:textId="77777777" w:rsidR="00D31714" w:rsidRDefault="00D31714" w:rsidP="00D31714">
      <w:pPr>
        <w:pStyle w:val="afffff7"/>
        <w:rPr>
          <w:rtl/>
        </w:rPr>
      </w:pPr>
      <w:bookmarkStart w:id="1204" w:name="_Toc135670269"/>
      <w:bookmarkStart w:id="1205" w:name="_Toc163505570"/>
      <w:r>
        <w:rPr>
          <w:rFonts w:hint="cs"/>
          <w:rtl/>
        </w:rPr>
        <w:t>דבר אברהם ח"א סי' כ"ד אות כ'</w:t>
      </w:r>
      <w:bookmarkEnd w:id="1204"/>
      <w:bookmarkEnd w:id="1205"/>
    </w:p>
    <w:p w14:paraId="190C365D" w14:textId="77777777" w:rsidR="00D31714" w:rsidRDefault="00D31714" w:rsidP="00D31714">
      <w:pPr>
        <w:pStyle w:val="a7"/>
        <w:rPr>
          <w:rtl/>
        </w:rPr>
      </w:pPr>
      <w:bookmarkStart w:id="1206" w:name="_Toc135669992"/>
      <w:r>
        <w:rPr>
          <w:rFonts w:hint="cs"/>
          <w:rtl/>
        </w:rPr>
        <w:t>בי' הדב"א דמ"ש היראים דבאדם הוא גם תולדת קוצר אפש"ל דאדם כקרקע או דכוונתו מדרבנן</w:t>
      </w:r>
      <w:bookmarkEnd w:id="1206"/>
    </w:p>
    <w:p w14:paraId="048E550C" w14:textId="68F341E3" w:rsidR="00D31714" w:rsidRPr="004A7BC6" w:rsidRDefault="00D31714" w:rsidP="00BC7DC8">
      <w:pPr>
        <w:pStyle w:val="a3"/>
        <w:rPr>
          <w:rtl/>
        </w:rPr>
      </w:pPr>
      <w:bookmarkStart w:id="1207" w:name="_Ref135660547"/>
      <w:r>
        <w:rPr>
          <w:rFonts w:hint="cs"/>
          <w:rtl/>
        </w:rPr>
        <w:t xml:space="preserve">אך הביא </w:t>
      </w:r>
      <w:r w:rsidRPr="00735214">
        <w:rPr>
          <w:rStyle w:val="aff4"/>
          <w:rFonts w:hint="cs"/>
          <w:vanish/>
          <w:rtl/>
        </w:rPr>
        <w:t>-</w:t>
      </w:r>
      <w:r w:rsidRPr="00A3054F">
        <w:rPr>
          <w:rStyle w:val="aff4"/>
          <w:rFonts w:hint="cs"/>
          <w:rtl/>
        </w:rPr>
        <w:t>ה</w:t>
      </w:r>
      <w:r w:rsidRPr="00735214">
        <w:rPr>
          <w:rStyle w:val="aff4"/>
          <w:rFonts w:hint="cs"/>
          <w:vanish/>
          <w:rtl/>
        </w:rPr>
        <w:t xml:space="preserve">&lt;. </w:t>
      </w:r>
      <w:r w:rsidRPr="00735214">
        <w:rPr>
          <w:rStyle w:val="aff4"/>
          <w:vanish/>
          <w:rtl/>
        </w:rPr>
        <w:fldChar w:fldCharType="begin"/>
      </w:r>
      <w:r w:rsidRPr="00735214">
        <w:rPr>
          <w:rStyle w:val="aff4"/>
          <w:vanish/>
          <w:rtl/>
        </w:rPr>
        <w:instrText xml:space="preserve"> </w:instrText>
      </w:r>
      <w:r w:rsidRPr="00735214">
        <w:rPr>
          <w:rStyle w:val="aff4"/>
          <w:rFonts w:hint="cs"/>
          <w:vanish/>
        </w:rPr>
        <w:instrText>REF</w:instrText>
      </w:r>
      <w:r w:rsidRPr="00735214">
        <w:rPr>
          <w:rStyle w:val="aff4"/>
          <w:rFonts w:hint="cs"/>
          <w:vanish/>
          <w:rtl/>
        </w:rPr>
        <w:instrText xml:space="preserve"> _</w:instrText>
      </w:r>
      <w:r w:rsidRPr="00735214">
        <w:rPr>
          <w:rStyle w:val="aff4"/>
          <w:rFonts w:hint="cs"/>
          <w:vanish/>
        </w:rPr>
        <w:instrText>Ref135660547 \r \h</w:instrText>
      </w:r>
      <w:r w:rsidRPr="00735214">
        <w:rPr>
          <w:rStyle w:val="aff4"/>
          <w:vanish/>
          <w:rtl/>
        </w:rPr>
        <w:instrText xml:space="preserve"> </w:instrText>
      </w:r>
      <w:r w:rsidRPr="00735214">
        <w:rPr>
          <w:rStyle w:val="aff4"/>
          <w:vanish/>
          <w:rtl/>
        </w:rPr>
      </w:r>
      <w:r w:rsidRPr="00735214">
        <w:rPr>
          <w:rStyle w:val="aff4"/>
          <w:vanish/>
          <w:rtl/>
        </w:rPr>
        <w:fldChar w:fldCharType="separate"/>
      </w:r>
      <w:r w:rsidR="00D82181">
        <w:rPr>
          <w:rStyle w:val="aff4"/>
          <w:vanish/>
          <w:cs/>
        </w:rPr>
        <w:t>‎</w:t>
      </w:r>
      <w:r w:rsidR="00D82181">
        <w:rPr>
          <w:rStyle w:val="aff4"/>
          <w:vanish/>
          <w:rtl/>
        </w:rPr>
        <w:t>נז)</w:t>
      </w:r>
      <w:r w:rsidRPr="00735214">
        <w:rPr>
          <w:rStyle w:val="aff4"/>
          <w:vanish/>
          <w:rtl/>
        </w:rPr>
        <w:fldChar w:fldCharType="end"/>
      </w:r>
      <w:r w:rsidRPr="00735214">
        <w:rPr>
          <w:rStyle w:val="aff4"/>
          <w:rFonts w:hint="cs"/>
          <w:vanish/>
          <w:rtl/>
        </w:rPr>
        <w:t xml:space="preserve"> &gt;</w:t>
      </w:r>
      <w:r w:rsidRPr="00A3054F">
        <w:rPr>
          <w:rStyle w:val="aff4"/>
          <w:rFonts w:hint="cs"/>
          <w:rtl/>
        </w:rPr>
        <w:t>דבר אברהם</w:t>
      </w:r>
      <w:r w:rsidRPr="00735214">
        <w:rPr>
          <w:rStyle w:val="aff4"/>
          <w:rFonts w:hint="cs"/>
          <w:vanish/>
          <w:rtl/>
        </w:rPr>
        <w:t>-</w:t>
      </w:r>
      <w:r>
        <w:rPr>
          <w:rFonts w:hint="cs"/>
          <w:rtl/>
        </w:rPr>
        <w:t xml:space="preserve"> </w:t>
      </w:r>
      <w:r w:rsidRPr="00A3054F">
        <w:rPr>
          <w:rStyle w:val="af2"/>
          <w:rFonts w:eastAsia="Guttman Hodes" w:hint="cs"/>
          <w:rtl/>
        </w:rPr>
        <w:t>(ח"א סי' כ"ד אות כ')</w:t>
      </w:r>
      <w:r w:rsidRPr="00735214">
        <w:rPr>
          <w:rFonts w:hint="cs"/>
          <w:vanish/>
          <w:rtl/>
        </w:rPr>
        <w:t>=</w:t>
      </w:r>
      <w:r>
        <w:rPr>
          <w:rFonts w:hint="cs"/>
          <w:rtl/>
        </w:rPr>
        <w:t xml:space="preserve"> את דברי </w:t>
      </w:r>
      <w:r w:rsidRPr="00735214">
        <w:rPr>
          <w:rStyle w:val="aff4"/>
          <w:rFonts w:hint="cs"/>
          <w:vanish/>
          <w:rtl/>
        </w:rPr>
        <w:t>-</w:t>
      </w:r>
      <w:r w:rsidRPr="00A3054F">
        <w:rPr>
          <w:rStyle w:val="aff4"/>
          <w:rFonts w:hint="cs"/>
          <w:rtl/>
        </w:rPr>
        <w:t>ה</w:t>
      </w:r>
      <w:r w:rsidRPr="00735214">
        <w:rPr>
          <w:rStyle w:val="aff4"/>
          <w:rFonts w:hint="cs"/>
          <w:vanish/>
          <w:rtl/>
        </w:rPr>
        <w:t>&lt; &gt;</w:t>
      </w:r>
      <w:r w:rsidRPr="00A3054F">
        <w:rPr>
          <w:rStyle w:val="aff4"/>
          <w:rFonts w:hint="cs"/>
          <w:rtl/>
        </w:rPr>
        <w:t>יראים</w:t>
      </w:r>
      <w:r w:rsidRPr="00735214">
        <w:rPr>
          <w:rStyle w:val="aff4"/>
          <w:rFonts w:hint="cs"/>
          <w:vanish/>
          <w:rtl/>
        </w:rPr>
        <w:t>-</w:t>
      </w:r>
      <w:r>
        <w:rPr>
          <w:rFonts w:hint="cs"/>
          <w:rtl/>
        </w:rPr>
        <w:t xml:space="preserve"> </w:t>
      </w:r>
      <w:r w:rsidRPr="00A3054F">
        <w:rPr>
          <w:rStyle w:val="af2"/>
          <w:rFonts w:eastAsia="Guttman Hodes" w:hint="cs"/>
          <w:rtl/>
        </w:rPr>
        <w:t>(סי' ק"ב ד"ה קוצר)</w:t>
      </w:r>
      <w:r w:rsidRPr="00735214">
        <w:rPr>
          <w:rFonts w:hint="cs"/>
          <w:vanish/>
          <w:rtl/>
        </w:rPr>
        <w:t>=</w:t>
      </w:r>
      <w:r>
        <w:rPr>
          <w:rFonts w:hint="cs"/>
          <w:rtl/>
        </w:rPr>
        <w:t xml:space="preserve"> דכתב דתולדה דקוצר הוא הגוזז צפורניו ושערו ושפמו, דהם גם תולדה של גוזז וגם תולדה של קוצר, וכתב </w:t>
      </w:r>
      <w:r w:rsidRPr="00735214">
        <w:rPr>
          <w:rStyle w:val="aff4"/>
          <w:rFonts w:hint="cs"/>
          <w:vanish/>
          <w:rtl/>
        </w:rPr>
        <w:t>-</w:t>
      </w:r>
      <w:r w:rsidRPr="00A3054F">
        <w:rPr>
          <w:rStyle w:val="aff4"/>
          <w:rFonts w:hint="cs"/>
          <w:rtl/>
        </w:rPr>
        <w:t>הדבר אברהם</w:t>
      </w:r>
      <w:r w:rsidRPr="00735214">
        <w:rPr>
          <w:rStyle w:val="aff4"/>
          <w:rFonts w:hint="cs"/>
          <w:vanish/>
          <w:rtl/>
        </w:rPr>
        <w:t>-</w:t>
      </w:r>
      <w:r>
        <w:rPr>
          <w:rFonts w:hint="cs"/>
          <w:rtl/>
        </w:rPr>
        <w:t xml:space="preserve"> דמוכח מדברי </w:t>
      </w:r>
      <w:r w:rsidRPr="00735214">
        <w:rPr>
          <w:rStyle w:val="aff4"/>
          <w:rFonts w:hint="cs"/>
          <w:vanish/>
          <w:rtl/>
        </w:rPr>
        <w:t>-</w:t>
      </w:r>
      <w:r w:rsidRPr="00A3054F">
        <w:rPr>
          <w:rStyle w:val="aff4"/>
          <w:rFonts w:hint="cs"/>
          <w:rtl/>
        </w:rPr>
        <w:t>היראים</w:t>
      </w:r>
      <w:r w:rsidRPr="00735214">
        <w:rPr>
          <w:rStyle w:val="aff4"/>
          <w:rFonts w:hint="cs"/>
          <w:vanish/>
          <w:rtl/>
        </w:rPr>
        <w:t>-</w:t>
      </w:r>
      <w:r>
        <w:rPr>
          <w:rFonts w:hint="cs"/>
          <w:rtl/>
        </w:rPr>
        <w:t xml:space="preserve"> דיש קוצר שלא בגידולי קרקע, וכתב </w:t>
      </w:r>
      <w:r w:rsidRPr="00735214">
        <w:rPr>
          <w:rStyle w:val="aff4"/>
          <w:rFonts w:hint="cs"/>
          <w:vanish/>
          <w:rtl/>
        </w:rPr>
        <w:t>-</w:t>
      </w:r>
      <w:r w:rsidRPr="00A3054F">
        <w:rPr>
          <w:rStyle w:val="aff4"/>
          <w:rFonts w:hint="cs"/>
          <w:rtl/>
        </w:rPr>
        <w:t>הדבר אברהם</w:t>
      </w:r>
      <w:r w:rsidRPr="00735214">
        <w:rPr>
          <w:rStyle w:val="aff4"/>
          <w:rFonts w:hint="cs"/>
          <w:vanish/>
          <w:rtl/>
        </w:rPr>
        <w:t>-</w:t>
      </w:r>
      <w:r>
        <w:rPr>
          <w:rFonts w:hint="cs"/>
          <w:rtl/>
        </w:rPr>
        <w:t xml:space="preserve"> דלפי דברי </w:t>
      </w:r>
      <w:r w:rsidRPr="00735214">
        <w:rPr>
          <w:rStyle w:val="aff4"/>
          <w:rFonts w:hint="cs"/>
          <w:vanish/>
          <w:rtl/>
        </w:rPr>
        <w:t>-</w:t>
      </w:r>
      <w:r w:rsidRPr="00A3054F">
        <w:rPr>
          <w:rStyle w:val="aff4"/>
          <w:rFonts w:hint="cs"/>
          <w:rtl/>
        </w:rPr>
        <w:t>ה</w:t>
      </w:r>
      <w:r w:rsidRPr="00735214">
        <w:rPr>
          <w:rStyle w:val="aff4"/>
          <w:rFonts w:hint="cs"/>
          <w:vanish/>
          <w:rtl/>
        </w:rPr>
        <w:t>&lt; &gt;</w:t>
      </w:r>
      <w:r w:rsidRPr="00A3054F">
        <w:rPr>
          <w:rStyle w:val="aff4"/>
          <w:rFonts w:hint="cs"/>
          <w:rtl/>
        </w:rPr>
        <w:t>ט"ז</w:t>
      </w:r>
      <w:r w:rsidRPr="00735214">
        <w:rPr>
          <w:rStyle w:val="aff4"/>
          <w:rFonts w:hint="cs"/>
          <w:vanish/>
          <w:rtl/>
        </w:rPr>
        <w:t>-</w:t>
      </w:r>
      <w:r>
        <w:rPr>
          <w:rFonts w:hint="cs"/>
          <w:rtl/>
        </w:rPr>
        <w:t xml:space="preserve"> </w:t>
      </w:r>
      <w:r w:rsidRPr="00A3054F">
        <w:rPr>
          <w:rStyle w:val="af2"/>
          <w:rFonts w:eastAsia="Guttman Hodes" w:hint="cs"/>
          <w:rtl/>
        </w:rPr>
        <w:t>(סי' של"ו סק"י)</w:t>
      </w:r>
      <w:r w:rsidRPr="00735214">
        <w:rPr>
          <w:rFonts w:hint="cs"/>
          <w:vanish/>
          <w:rtl/>
        </w:rPr>
        <w:t>=</w:t>
      </w:r>
      <w:r>
        <w:rPr>
          <w:rFonts w:hint="cs"/>
          <w:rtl/>
        </w:rPr>
        <w:t xml:space="preserve"> דכתב דאדם חשיב כגידולי קרקע, א"כ אין ראיה </w:t>
      </w:r>
      <w:r w:rsidRPr="00735214">
        <w:rPr>
          <w:rStyle w:val="aff4"/>
          <w:rFonts w:hint="cs"/>
          <w:vanish/>
          <w:rtl/>
        </w:rPr>
        <w:t>-</w:t>
      </w:r>
      <w:r w:rsidRPr="00A3054F">
        <w:rPr>
          <w:rStyle w:val="aff4"/>
          <w:rFonts w:hint="cs"/>
          <w:rtl/>
        </w:rPr>
        <w:t>דהיראים</w:t>
      </w:r>
      <w:r w:rsidRPr="00735214">
        <w:rPr>
          <w:rStyle w:val="aff4"/>
          <w:rFonts w:hint="cs"/>
          <w:vanish/>
          <w:rtl/>
        </w:rPr>
        <w:t>-</w:t>
      </w:r>
      <w:r>
        <w:rPr>
          <w:rFonts w:hint="cs"/>
          <w:rtl/>
        </w:rPr>
        <w:t xml:space="preserve"> פליג על </w:t>
      </w:r>
      <w:r w:rsidRPr="00735214">
        <w:rPr>
          <w:rStyle w:val="aff4"/>
          <w:rFonts w:hint="cs"/>
          <w:vanish/>
          <w:rtl/>
        </w:rPr>
        <w:t>-</w:t>
      </w:r>
      <w:r w:rsidRPr="00A3054F">
        <w:rPr>
          <w:rStyle w:val="aff4"/>
          <w:rFonts w:hint="cs"/>
          <w:rtl/>
        </w:rPr>
        <w:t>הרמב"ן</w:t>
      </w:r>
      <w:r w:rsidRPr="00735214">
        <w:rPr>
          <w:rStyle w:val="aff4"/>
          <w:rFonts w:hint="cs"/>
          <w:vanish/>
          <w:rtl/>
        </w:rPr>
        <w:t>-</w:t>
      </w:r>
      <w:r>
        <w:rPr>
          <w:rFonts w:hint="cs"/>
          <w:rtl/>
        </w:rPr>
        <w:t xml:space="preserve">, אך כתב </w:t>
      </w:r>
      <w:r w:rsidRPr="00735214">
        <w:rPr>
          <w:rStyle w:val="aff4"/>
          <w:rFonts w:hint="cs"/>
          <w:vanish/>
          <w:rtl/>
        </w:rPr>
        <w:t>-</w:t>
      </w:r>
      <w:r w:rsidRPr="00A3054F">
        <w:rPr>
          <w:rStyle w:val="aff4"/>
          <w:rFonts w:hint="cs"/>
          <w:rtl/>
        </w:rPr>
        <w:t>הדבר אברהם</w:t>
      </w:r>
      <w:r w:rsidRPr="00735214">
        <w:rPr>
          <w:rStyle w:val="aff4"/>
          <w:rFonts w:hint="cs"/>
          <w:vanish/>
          <w:rtl/>
        </w:rPr>
        <w:t>-</w:t>
      </w:r>
      <w:r>
        <w:rPr>
          <w:rFonts w:hint="cs"/>
          <w:rtl/>
        </w:rPr>
        <w:t xml:space="preserve"> דדברי </w:t>
      </w:r>
      <w:r w:rsidRPr="00735214">
        <w:rPr>
          <w:rStyle w:val="aff4"/>
          <w:rFonts w:hint="cs"/>
          <w:vanish/>
          <w:rtl/>
        </w:rPr>
        <w:t>-</w:t>
      </w:r>
      <w:r w:rsidRPr="00A3054F">
        <w:rPr>
          <w:rStyle w:val="aff4"/>
          <w:rFonts w:hint="cs"/>
          <w:rtl/>
        </w:rPr>
        <w:t>הט"ז</w:t>
      </w:r>
      <w:r w:rsidRPr="00735214">
        <w:rPr>
          <w:rStyle w:val="aff4"/>
          <w:rFonts w:hint="cs"/>
          <w:vanish/>
          <w:rtl/>
        </w:rPr>
        <w:t>-</w:t>
      </w:r>
      <w:r>
        <w:rPr>
          <w:rFonts w:hint="cs"/>
          <w:rtl/>
        </w:rPr>
        <w:t xml:space="preserve"> דחוקים, ועוד כתב </w:t>
      </w:r>
      <w:r w:rsidRPr="00735214">
        <w:rPr>
          <w:rStyle w:val="aff4"/>
          <w:rFonts w:hint="cs"/>
          <w:vanish/>
          <w:rtl/>
        </w:rPr>
        <w:t>-</w:t>
      </w:r>
      <w:r w:rsidRPr="00A3054F">
        <w:rPr>
          <w:rStyle w:val="aff4"/>
          <w:rFonts w:hint="cs"/>
          <w:rtl/>
        </w:rPr>
        <w:t>הדבר אברהם</w:t>
      </w:r>
      <w:r w:rsidRPr="00735214">
        <w:rPr>
          <w:rStyle w:val="aff4"/>
          <w:rFonts w:hint="cs"/>
          <w:vanish/>
          <w:rtl/>
        </w:rPr>
        <w:t>-</w:t>
      </w:r>
      <w:r>
        <w:rPr>
          <w:rFonts w:hint="cs"/>
          <w:rtl/>
        </w:rPr>
        <w:t xml:space="preserve"> דאפש"ל דמ"ש </w:t>
      </w:r>
      <w:r w:rsidRPr="00735214">
        <w:rPr>
          <w:rStyle w:val="aff4"/>
          <w:rFonts w:hint="cs"/>
          <w:vanish/>
          <w:rtl/>
        </w:rPr>
        <w:t>-</w:t>
      </w:r>
      <w:r w:rsidRPr="00A3054F">
        <w:rPr>
          <w:rStyle w:val="aff4"/>
          <w:rFonts w:hint="cs"/>
          <w:rtl/>
        </w:rPr>
        <w:t>היראים</w:t>
      </w:r>
      <w:r w:rsidRPr="00735214">
        <w:rPr>
          <w:rStyle w:val="aff4"/>
          <w:rFonts w:hint="cs"/>
          <w:vanish/>
          <w:rtl/>
        </w:rPr>
        <w:t>-</w:t>
      </w:r>
      <w:r>
        <w:rPr>
          <w:rFonts w:hint="cs"/>
          <w:rtl/>
        </w:rPr>
        <w:t xml:space="preserve"> דתולדה דקוצר הוא הגוזז צפורניו ושערו ושפמו, כוונתו לתולדה דרבנן ולא דאו'.</w:t>
      </w:r>
      <w:bookmarkEnd w:id="1207"/>
    </w:p>
    <w:p w14:paraId="636156DE" w14:textId="45001896" w:rsidR="00D31714" w:rsidRPr="00747170" w:rsidRDefault="00D31714" w:rsidP="00747170">
      <w:pPr>
        <w:pStyle w:val="a2"/>
        <w:rPr>
          <w:rtl/>
        </w:rPr>
      </w:pPr>
      <w:r w:rsidRPr="00747170">
        <w:rPr>
          <w:noProof/>
          <w:rtl/>
        </w:rPr>
        <w:t xml:space="preserve">[כ] ואחר החיפוש מצאתי להר"א ממיץ שפליג על הרמב"ן וסייעתו וסובר דיש קוצר אפילו שלא בג"ק, דביראים (אות ק"ב במלאכת הקוצר) כתב וז"ל תולדה דרבנן [היינו למלאכת קוצר] תנן בפ' המצניע הנוטל צפרניו זו בזו כו' וחכ"א אינו אלא משום שבות והלכתא כחכמים עכ"ל, וכן הביא כאן אצל קוצר ברייתא דרשב"א אומר צפורן שפירש רובו כו', הרי דמחייבו משום קוצר, וכן במלאכת הגוזז כתב וז"ל תולדה דרבנן דתנן בפ' המצניע התולש צפרניו זו בזו וכן בשערו ושפמו או זקנו ר"א מחייב חטאת וחכמים אוסרין משום שבות ולמעלה הזכרנו בתורת קוצר דהא מילתא דמיא לקוצר וגוזז הלכך הוי תולדה לתרווייהו כו' תו כתב ואר"נ בר אבא מפני מה אמרו אין רואין במראה של מתכת בשבת מפני שאדם עשוי להשיר בה נימין המדולדלין פירש במראה עצמה משיר שהיא חותכת כסכין ועבר משום קוצר וגוזז עכ"ל הרי דס"ל דיש קצירה בבע"ח ודלא כהרמב"ן וכ"ת דלעולם אין קצירה אלא בג"ק ורק בבע"ח ס"ל דהוי כג"ק, לא היא דאיהו גופיה כתב במלאכת הסותר דבע"ח לא חשיבי כג"ק לענין דישה. ולפי"ד הט"ז אפ"ל דלא פליג על הרמב"ן בכל בע"ח ורק באדם הוי קוצר דכקרקע דמי אך מילתא דחיקא היא בשגם שדברי הט"ז רחוקים הם כמש"ל ואולי רק לענין תולדה דרבנן מדמי לה לקוצר ולא בעיקר מלאכה דאורייתא ויש לי להאריך עוד בזה ודיו נשאר בקולמוס אך מפני שכבר רחבו ונסבו הדברים יתר מדי ונלאותי כתוב אמרתי לעטי די ופסקתי: </w:t>
      </w:r>
      <w:r w:rsidRPr="00747170">
        <w:rPr>
          <w:rFonts w:hint="cs"/>
          <w:rtl/>
        </w:rPr>
        <w:t>בגדר חיבור עציץ שאינו נקוב לענין שבת</w:t>
      </w:r>
      <w:bookmarkEnd w:id="1166"/>
      <w:r w:rsidRPr="00747170">
        <w:rPr>
          <w:rFonts w:hint="cs"/>
          <w:rtl/>
        </w:rPr>
        <w:t>.</w:t>
      </w:r>
    </w:p>
    <w:p w14:paraId="284E749E" w14:textId="77777777" w:rsidR="00D31714" w:rsidRPr="00716C93" w:rsidRDefault="00D31714" w:rsidP="00D31714">
      <w:pPr>
        <w:pStyle w:val="affff5"/>
      </w:pPr>
      <w:bookmarkStart w:id="1208" w:name="_Toc135669993"/>
      <w:bookmarkStart w:id="1209" w:name="_Toc135212174"/>
      <w:r w:rsidRPr="00716C93">
        <w:rPr>
          <w:rFonts w:hint="cs"/>
          <w:rtl/>
        </w:rPr>
        <w:t>~~~~~~~~~~~~~~~~~~~~~~~~~~~~</w:t>
      </w:r>
      <w:bookmarkEnd w:id="1208"/>
    </w:p>
    <w:p w14:paraId="64DC8F70" w14:textId="77777777" w:rsidR="00D31714" w:rsidRDefault="00D31714" w:rsidP="00D31714">
      <w:pPr>
        <w:pStyle w:val="affff5"/>
        <w:rPr>
          <w:rtl/>
        </w:rPr>
      </w:pPr>
      <w:bookmarkStart w:id="1210" w:name="_Toc135669994"/>
      <w:r>
        <w:rPr>
          <w:rFonts w:hint="cs"/>
          <w:rtl/>
        </w:rPr>
        <w:t>בגדר חיבור עציץ נקוב לענין שבת</w:t>
      </w:r>
      <w:bookmarkEnd w:id="1210"/>
    </w:p>
    <w:p w14:paraId="7C77A4CF" w14:textId="4716585C" w:rsidR="00D31714" w:rsidRPr="00C102A2" w:rsidRDefault="00D31714" w:rsidP="00D31714">
      <w:pPr>
        <w:pStyle w:val="1"/>
        <w:rPr>
          <w:rtl/>
        </w:rPr>
      </w:pPr>
      <w:bookmarkStart w:id="1211" w:name="_Toc135669995"/>
      <w:r>
        <w:rPr>
          <w:rFonts w:hint="cs"/>
          <w:rtl/>
        </w:rPr>
        <w:t>בי' חי' הגר"ח [מ</w:t>
      </w:r>
      <w:r w:rsidRPr="00C102A2">
        <w:rPr>
          <w:rtl/>
        </w:rPr>
        <w:t>הגר"מ</w:t>
      </w:r>
      <w:r>
        <w:rPr>
          <w:rFonts w:hint="cs"/>
          <w:rtl/>
        </w:rPr>
        <w:t>]</w:t>
      </w:r>
      <w:bookmarkEnd w:id="1209"/>
      <w:r>
        <w:rPr>
          <w:rFonts w:hint="cs"/>
          <w:rtl/>
        </w:rPr>
        <w:t xml:space="preserve"> דע"ג יתדות ל"ה מחובר לענין שבת</w:t>
      </w:r>
      <w:bookmarkEnd w:id="1211"/>
    </w:p>
    <w:p w14:paraId="14FA9356" w14:textId="77777777" w:rsidR="00D31714" w:rsidRDefault="00D31714" w:rsidP="00D31714">
      <w:pPr>
        <w:pStyle w:val="afffff7"/>
        <w:rPr>
          <w:rtl/>
        </w:rPr>
      </w:pPr>
      <w:bookmarkStart w:id="1212" w:name="_Toc135212280"/>
      <w:bookmarkStart w:id="1213" w:name="_Toc135670270"/>
      <w:bookmarkStart w:id="1214" w:name="_Toc163505571"/>
      <w:r>
        <w:rPr>
          <w:rtl/>
        </w:rPr>
        <w:t xml:space="preserve">חדושי הגר"ח </w:t>
      </w:r>
      <w:r>
        <w:rPr>
          <w:rFonts w:hint="cs"/>
          <w:rtl/>
        </w:rPr>
        <w:t>[מהגר"מ]</w:t>
      </w:r>
      <w:r w:rsidRPr="008163AB">
        <w:rPr>
          <w:rFonts w:hint="cs"/>
          <w:rtl/>
        </w:rPr>
        <w:t xml:space="preserve"> </w:t>
      </w:r>
      <w:r>
        <w:rPr>
          <w:rtl/>
        </w:rPr>
        <w:t>שבת פ"א ע"ב</w:t>
      </w:r>
      <w:r>
        <w:rPr>
          <w:rFonts w:hint="cs"/>
          <w:rtl/>
        </w:rPr>
        <w:t xml:space="preserve"> ד"ה הרמב"ם</w:t>
      </w:r>
      <w:bookmarkEnd w:id="1212"/>
      <w:bookmarkEnd w:id="1213"/>
      <w:bookmarkEnd w:id="1214"/>
    </w:p>
    <w:p w14:paraId="6BF300B6" w14:textId="77777777" w:rsidR="00D31714" w:rsidRDefault="00D31714" w:rsidP="00D31714">
      <w:pPr>
        <w:pStyle w:val="a7"/>
        <w:rPr>
          <w:rtl/>
        </w:rPr>
      </w:pPr>
      <w:bookmarkStart w:id="1215" w:name="_Toc135669996"/>
      <w:r>
        <w:rPr>
          <w:rFonts w:hint="cs"/>
          <w:rtl/>
        </w:rPr>
        <w:t xml:space="preserve">קו' הגר"מ </w:t>
      </w:r>
      <w:r w:rsidRPr="00193BF2">
        <w:rPr>
          <w:rtl/>
        </w:rPr>
        <w:t>סולובייצ'יק</w:t>
      </w:r>
      <w:r>
        <w:rPr>
          <w:rFonts w:hint="cs"/>
          <w:rtl/>
        </w:rPr>
        <w:t xml:space="preserve"> דבשבת ס"ל לרמב"ם דעציץ ע"ג יתדות תלוש ובתרו"מ ס"ל דהוא מחובר</w:t>
      </w:r>
      <w:bookmarkEnd w:id="1215"/>
    </w:p>
    <w:p w14:paraId="646F4857" w14:textId="42F71434" w:rsidR="00D31714" w:rsidRPr="00EF3D55" w:rsidRDefault="00D31714" w:rsidP="00BC7DC8">
      <w:pPr>
        <w:pStyle w:val="a3"/>
        <w:rPr>
          <w:rtl/>
        </w:rPr>
      </w:pPr>
      <w:bookmarkStart w:id="1216" w:name="_Ref135151599"/>
      <w:bookmarkStart w:id="1217" w:name="_Hlk134991729"/>
      <w:r>
        <w:rPr>
          <w:rFonts w:hint="cs"/>
          <w:rtl/>
        </w:rPr>
        <w:t xml:space="preserve">במ"ש </w:t>
      </w:r>
      <w:r w:rsidRPr="008D113A">
        <w:rPr>
          <w:rStyle w:val="aff4"/>
          <w:rFonts w:hint="cs"/>
          <w:vanish/>
          <w:rtl/>
        </w:rPr>
        <w:t>-</w:t>
      </w:r>
      <w:r w:rsidRPr="000614F7">
        <w:rPr>
          <w:rStyle w:val="aff4"/>
          <w:rFonts w:hint="cs"/>
          <w:rtl/>
        </w:rPr>
        <w:t>רש"י לקמן</w:t>
      </w:r>
      <w:r w:rsidRPr="008D113A">
        <w:rPr>
          <w:rStyle w:val="aff4"/>
          <w:rFonts w:hint="cs"/>
          <w:vanish/>
          <w:rtl/>
        </w:rPr>
        <w:t>-</w:t>
      </w:r>
      <w:r>
        <w:rPr>
          <w:rFonts w:hint="cs"/>
          <w:rtl/>
        </w:rPr>
        <w:t xml:space="preserve"> </w:t>
      </w:r>
      <w:r w:rsidRPr="00A3054F">
        <w:rPr>
          <w:rStyle w:val="af2"/>
          <w:rFonts w:eastAsia="Guttman Hodes" w:hint="cs"/>
          <w:rtl/>
        </w:rPr>
        <w:t xml:space="preserve">(עי' אות </w:t>
      </w:r>
      <w:r w:rsidRPr="00A3054F">
        <w:rPr>
          <w:rStyle w:val="af2"/>
          <w:rFonts w:eastAsia="Guttman Hodes"/>
          <w:rtl/>
        </w:rPr>
        <w:fldChar w:fldCharType="begin"/>
      </w:r>
      <w:r w:rsidRPr="00A3054F">
        <w:rPr>
          <w:rStyle w:val="af2"/>
          <w:rFonts w:eastAsia="Guttman Hodes"/>
          <w:rtl/>
        </w:rPr>
        <w:instrText xml:space="preserve"> </w:instrText>
      </w:r>
      <w:r w:rsidRPr="00A3054F">
        <w:rPr>
          <w:rStyle w:val="af2"/>
          <w:rFonts w:eastAsia="Guttman Hodes" w:hint="cs"/>
        </w:rPr>
        <w:instrText>REF</w:instrText>
      </w:r>
      <w:r w:rsidRPr="00A3054F">
        <w:rPr>
          <w:rStyle w:val="af2"/>
          <w:rFonts w:eastAsia="Guttman Hodes" w:hint="cs"/>
          <w:rtl/>
        </w:rPr>
        <w:instrText xml:space="preserve"> _</w:instrText>
      </w:r>
      <w:r w:rsidRPr="00A3054F">
        <w:rPr>
          <w:rStyle w:val="af2"/>
          <w:rFonts w:eastAsia="Guttman Hodes" w:hint="cs"/>
        </w:rPr>
        <w:instrText>Ref134956345 \r \h</w:instrText>
      </w:r>
      <w:r w:rsidRPr="00A3054F">
        <w:rPr>
          <w:rStyle w:val="af2"/>
          <w:rFonts w:eastAsia="Guttman Hodes"/>
          <w:rtl/>
        </w:rPr>
        <w:instrText xml:space="preserve"> </w:instrText>
      </w:r>
      <w:r w:rsidRPr="00A3054F">
        <w:rPr>
          <w:rStyle w:val="af2"/>
          <w:rFonts w:eastAsia="Guttman Hodes"/>
          <w:rtl/>
        </w:rPr>
      </w:r>
      <w:r w:rsidRPr="00A3054F">
        <w:rPr>
          <w:rStyle w:val="af2"/>
          <w:rFonts w:eastAsia="Guttman Hodes"/>
          <w:rtl/>
        </w:rPr>
        <w:fldChar w:fldCharType="separate"/>
      </w:r>
      <w:r w:rsidR="00D82181">
        <w:rPr>
          <w:rStyle w:val="af2"/>
          <w:rFonts w:eastAsia="Guttman Hodes"/>
          <w:cs/>
        </w:rPr>
        <w:t>‎</w:t>
      </w:r>
      <w:r w:rsidR="00D82181">
        <w:rPr>
          <w:rStyle w:val="af2"/>
          <w:rFonts w:eastAsia="Guttman Hodes"/>
          <w:rtl/>
        </w:rPr>
        <w:t>לו)</w:t>
      </w:r>
      <w:r w:rsidRPr="00A3054F">
        <w:rPr>
          <w:rStyle w:val="af2"/>
          <w:rFonts w:eastAsia="Guttman Hodes"/>
          <w:rtl/>
        </w:rPr>
        <w:fldChar w:fldCharType="end"/>
      </w:r>
      <w:r>
        <w:rPr>
          <w:rFonts w:hint="cs"/>
          <w:rtl/>
        </w:rPr>
        <w:t xml:space="preserve"> </w:t>
      </w:r>
      <w:r w:rsidRPr="008D113A">
        <w:rPr>
          <w:rStyle w:val="aff4"/>
          <w:rFonts w:hint="cs"/>
          <w:vanish/>
          <w:rtl/>
        </w:rPr>
        <w:t>-</w:t>
      </w:r>
      <w:r w:rsidRPr="000614F7">
        <w:rPr>
          <w:rStyle w:val="aff4"/>
          <w:rFonts w:hint="cs"/>
          <w:rtl/>
        </w:rPr>
        <w:t>ותוס' לקמן</w:t>
      </w:r>
      <w:r w:rsidRPr="008D113A">
        <w:rPr>
          <w:rStyle w:val="aff4"/>
          <w:rFonts w:hint="cs"/>
          <w:vanish/>
          <w:rtl/>
        </w:rPr>
        <w:t>-</w:t>
      </w:r>
      <w:r>
        <w:rPr>
          <w:rFonts w:hint="cs"/>
          <w:rtl/>
        </w:rPr>
        <w:t xml:space="preserve"> </w:t>
      </w:r>
      <w:r w:rsidRPr="00A3054F">
        <w:rPr>
          <w:rStyle w:val="af2"/>
          <w:rFonts w:eastAsia="Guttman Hodes" w:hint="cs"/>
          <w:rtl/>
        </w:rPr>
        <w:t xml:space="preserve">(עי' אות </w:t>
      </w:r>
      <w:r w:rsidRPr="00A3054F">
        <w:rPr>
          <w:rStyle w:val="af2"/>
          <w:rFonts w:eastAsia="Guttman Hodes"/>
          <w:rtl/>
        </w:rPr>
        <w:fldChar w:fldCharType="begin"/>
      </w:r>
      <w:r w:rsidRPr="00A3054F">
        <w:rPr>
          <w:rStyle w:val="af2"/>
          <w:rFonts w:eastAsia="Guttman Hodes"/>
          <w:rtl/>
        </w:rPr>
        <w:instrText xml:space="preserve"> </w:instrText>
      </w:r>
      <w:r w:rsidRPr="00A3054F">
        <w:rPr>
          <w:rStyle w:val="af2"/>
          <w:rFonts w:eastAsia="Guttman Hodes" w:hint="cs"/>
        </w:rPr>
        <w:instrText>REF</w:instrText>
      </w:r>
      <w:r w:rsidRPr="00A3054F">
        <w:rPr>
          <w:rStyle w:val="af2"/>
          <w:rFonts w:eastAsia="Guttman Hodes" w:hint="cs"/>
          <w:rtl/>
        </w:rPr>
        <w:instrText xml:space="preserve"> _</w:instrText>
      </w:r>
      <w:r w:rsidRPr="00A3054F">
        <w:rPr>
          <w:rStyle w:val="af2"/>
          <w:rFonts w:eastAsia="Guttman Hodes" w:hint="cs"/>
        </w:rPr>
        <w:instrText>Ref135383793 \r \h</w:instrText>
      </w:r>
      <w:r w:rsidRPr="00A3054F">
        <w:rPr>
          <w:rStyle w:val="af2"/>
          <w:rFonts w:eastAsia="Guttman Hodes"/>
          <w:rtl/>
        </w:rPr>
        <w:instrText xml:space="preserve"> </w:instrText>
      </w:r>
      <w:r w:rsidRPr="00A3054F">
        <w:rPr>
          <w:rStyle w:val="af2"/>
          <w:rFonts w:eastAsia="Guttman Hodes"/>
          <w:rtl/>
        </w:rPr>
      </w:r>
      <w:r w:rsidRPr="00A3054F">
        <w:rPr>
          <w:rStyle w:val="af2"/>
          <w:rFonts w:eastAsia="Guttman Hodes"/>
          <w:rtl/>
        </w:rPr>
        <w:fldChar w:fldCharType="separate"/>
      </w:r>
      <w:r w:rsidR="00D82181">
        <w:rPr>
          <w:rStyle w:val="af2"/>
          <w:rFonts w:eastAsia="Guttman Hodes"/>
          <w:cs/>
        </w:rPr>
        <w:t>‎</w:t>
      </w:r>
      <w:r w:rsidR="00D82181">
        <w:rPr>
          <w:rStyle w:val="af2"/>
          <w:rFonts w:eastAsia="Guttman Hodes"/>
          <w:rtl/>
        </w:rPr>
        <w:t>לז)</w:t>
      </w:r>
      <w:r w:rsidRPr="00A3054F">
        <w:rPr>
          <w:rStyle w:val="af2"/>
          <w:rFonts w:eastAsia="Guttman Hodes"/>
          <w:rtl/>
        </w:rPr>
        <w:fldChar w:fldCharType="end"/>
      </w:r>
      <w:r>
        <w:rPr>
          <w:rFonts w:hint="cs"/>
          <w:rtl/>
        </w:rPr>
        <w:t xml:space="preserve"> דהא דאמרינן בגמ' לקמן </w:t>
      </w:r>
      <w:r w:rsidRPr="00A3054F">
        <w:rPr>
          <w:rStyle w:val="af2"/>
          <w:rFonts w:eastAsia="Guttman Hodes" w:hint="cs"/>
          <w:rtl/>
        </w:rPr>
        <w:t>(פא:)</w:t>
      </w:r>
      <w:r>
        <w:rPr>
          <w:rFonts w:hint="cs"/>
          <w:rtl/>
        </w:rPr>
        <w:t xml:space="preserve"> דחייב משום תולש, הוא לאו דוקא ורק מדרבנן חשיב תולש, כתב </w:t>
      </w:r>
      <w:r w:rsidRPr="00B53404">
        <w:rPr>
          <w:rFonts w:hint="cs"/>
          <w:vanish/>
          <w:rtl/>
        </w:rPr>
        <w:t xml:space="preserve">&lt;. </w:t>
      </w:r>
      <w:r w:rsidRPr="00B53404">
        <w:rPr>
          <w:vanish/>
          <w:rtl/>
        </w:rPr>
        <w:fldChar w:fldCharType="begin"/>
      </w:r>
      <w:r w:rsidRPr="00B53404">
        <w:rPr>
          <w:vanish/>
          <w:rtl/>
        </w:rPr>
        <w:instrText xml:space="preserve"> </w:instrText>
      </w:r>
      <w:r w:rsidRPr="00B53404">
        <w:rPr>
          <w:rFonts w:hint="cs"/>
          <w:vanish/>
        </w:rPr>
        <w:instrText>REF</w:instrText>
      </w:r>
      <w:r w:rsidRPr="00B53404">
        <w:rPr>
          <w:rFonts w:hint="cs"/>
          <w:vanish/>
          <w:rtl/>
        </w:rPr>
        <w:instrText xml:space="preserve"> _</w:instrText>
      </w:r>
      <w:r w:rsidRPr="00B53404">
        <w:rPr>
          <w:rFonts w:hint="cs"/>
          <w:vanish/>
        </w:rPr>
        <w:instrText>Ref135151599 \r \h</w:instrText>
      </w:r>
      <w:r w:rsidRPr="00B53404">
        <w:rPr>
          <w:vanish/>
          <w:rtl/>
        </w:rPr>
        <w:instrText xml:space="preserve"> </w:instrText>
      </w:r>
      <w:r w:rsidRPr="00B53404">
        <w:rPr>
          <w:vanish/>
          <w:rtl/>
        </w:rPr>
      </w:r>
      <w:r w:rsidRPr="00B53404">
        <w:rPr>
          <w:vanish/>
          <w:rtl/>
        </w:rPr>
        <w:fldChar w:fldCharType="separate"/>
      </w:r>
      <w:r w:rsidR="00D82181">
        <w:rPr>
          <w:vanish/>
          <w:cs/>
        </w:rPr>
        <w:t>‎</w:t>
      </w:r>
      <w:r w:rsidR="00D82181">
        <w:rPr>
          <w:vanish/>
          <w:rtl/>
        </w:rPr>
        <w:t>נח)</w:t>
      </w:r>
      <w:r w:rsidRPr="00B53404">
        <w:rPr>
          <w:vanish/>
          <w:rtl/>
        </w:rPr>
        <w:fldChar w:fldCharType="end"/>
      </w:r>
      <w:r w:rsidRPr="00B53404">
        <w:rPr>
          <w:rFonts w:hint="cs"/>
          <w:vanish/>
          <w:rtl/>
        </w:rPr>
        <w:t xml:space="preserve"> &gt;</w:t>
      </w:r>
      <w:r w:rsidRPr="008D113A">
        <w:rPr>
          <w:rStyle w:val="aff4"/>
          <w:rFonts w:hint="cs"/>
          <w:vanish/>
          <w:rtl/>
        </w:rPr>
        <w:t>-</w:t>
      </w:r>
      <w:r w:rsidRPr="000614F7">
        <w:rPr>
          <w:rStyle w:val="aff4"/>
          <w:rFonts w:hint="cs"/>
          <w:rtl/>
        </w:rPr>
        <w:t>הגר"מ סולובייצ'יק</w:t>
      </w:r>
      <w:r w:rsidRPr="008D113A">
        <w:rPr>
          <w:rStyle w:val="aff4"/>
          <w:rFonts w:hint="cs"/>
          <w:vanish/>
          <w:rtl/>
        </w:rPr>
        <w:t>-</w:t>
      </w:r>
      <w:r>
        <w:rPr>
          <w:rFonts w:hint="cs"/>
          <w:rtl/>
        </w:rPr>
        <w:t xml:space="preserve"> </w:t>
      </w:r>
      <w:r w:rsidRPr="00A3054F">
        <w:rPr>
          <w:rStyle w:val="af2"/>
          <w:rFonts w:eastAsia="Guttman Hodes" w:hint="cs"/>
          <w:rtl/>
        </w:rPr>
        <w:t>(</w:t>
      </w:r>
      <w:r w:rsidRPr="00A3054F">
        <w:rPr>
          <w:rStyle w:val="af2"/>
          <w:rFonts w:eastAsia="Guttman Hodes"/>
          <w:rtl/>
        </w:rPr>
        <w:t>חי' הגר"ח על הש"ס</w:t>
      </w:r>
      <w:r w:rsidRPr="00A3054F">
        <w:rPr>
          <w:rStyle w:val="af2"/>
          <w:rFonts w:eastAsia="Guttman Hodes" w:hint="cs"/>
          <w:rtl/>
        </w:rPr>
        <w:t>, פא: ד"ה הרמב"ם)</w:t>
      </w:r>
      <w:r w:rsidRPr="008D113A">
        <w:rPr>
          <w:rFonts w:hint="cs"/>
          <w:vanish/>
          <w:rtl/>
        </w:rPr>
        <w:t>=</w:t>
      </w:r>
      <w:r w:rsidRPr="009E7321">
        <w:rPr>
          <w:rFonts w:hint="cs"/>
          <w:rtl/>
        </w:rPr>
        <w:t xml:space="preserve"> </w:t>
      </w:r>
      <w:r>
        <w:rPr>
          <w:rFonts w:hint="cs"/>
          <w:rtl/>
        </w:rPr>
        <w:t xml:space="preserve">דמהא דכתב </w:t>
      </w:r>
      <w:r w:rsidRPr="00C65D8D">
        <w:rPr>
          <w:rStyle w:val="aff4"/>
          <w:rFonts w:hint="cs"/>
          <w:vanish/>
          <w:rtl/>
        </w:rPr>
        <w:t>-</w:t>
      </w:r>
      <w:r w:rsidRPr="00C65D8D">
        <w:rPr>
          <w:rStyle w:val="aff4"/>
          <w:rFonts w:hint="cs"/>
          <w:rtl/>
        </w:rPr>
        <w:t>הרמב"ם</w:t>
      </w:r>
      <w:r w:rsidRPr="00C65D8D">
        <w:rPr>
          <w:rStyle w:val="aff4"/>
          <w:rFonts w:hint="cs"/>
          <w:vanish/>
          <w:rtl/>
        </w:rPr>
        <w:t>-</w:t>
      </w:r>
      <w:r>
        <w:rPr>
          <w:rFonts w:hint="cs"/>
          <w:rtl/>
        </w:rPr>
        <w:t xml:space="preserve"> </w:t>
      </w:r>
      <w:r w:rsidRPr="00A3054F">
        <w:rPr>
          <w:rStyle w:val="af2"/>
          <w:rFonts w:eastAsia="Guttman Hodes" w:hint="cs"/>
          <w:rtl/>
        </w:rPr>
        <w:t xml:space="preserve">(עי' אות </w:t>
      </w:r>
      <w:r w:rsidRPr="00A3054F">
        <w:rPr>
          <w:rStyle w:val="af2"/>
          <w:rFonts w:eastAsia="Guttman Hodes"/>
          <w:rtl/>
        </w:rPr>
        <w:fldChar w:fldCharType="begin"/>
      </w:r>
      <w:r w:rsidRPr="00A3054F">
        <w:rPr>
          <w:rStyle w:val="af2"/>
          <w:rFonts w:eastAsia="Guttman Hodes"/>
          <w:rtl/>
        </w:rPr>
        <w:instrText xml:space="preserve"> </w:instrText>
      </w:r>
      <w:r w:rsidRPr="00A3054F">
        <w:rPr>
          <w:rStyle w:val="af2"/>
          <w:rFonts w:eastAsia="Guttman Hodes" w:hint="cs"/>
        </w:rPr>
        <w:instrText>REF</w:instrText>
      </w:r>
      <w:r w:rsidRPr="00A3054F">
        <w:rPr>
          <w:rStyle w:val="af2"/>
          <w:rFonts w:eastAsia="Guttman Hodes" w:hint="cs"/>
          <w:rtl/>
        </w:rPr>
        <w:instrText xml:space="preserve"> _</w:instrText>
      </w:r>
      <w:r w:rsidRPr="00A3054F">
        <w:rPr>
          <w:rStyle w:val="af2"/>
          <w:rFonts w:eastAsia="Guttman Hodes" w:hint="cs"/>
        </w:rPr>
        <w:instrText>Ref134736415 \r \h</w:instrText>
      </w:r>
      <w:r w:rsidRPr="00A3054F">
        <w:rPr>
          <w:rStyle w:val="af2"/>
          <w:rFonts w:eastAsia="Guttman Hodes"/>
          <w:rtl/>
        </w:rPr>
        <w:instrText xml:space="preserve"> </w:instrText>
      </w:r>
      <w:r w:rsidRPr="00A3054F">
        <w:rPr>
          <w:rStyle w:val="af2"/>
          <w:rFonts w:eastAsia="Guttman Hodes"/>
          <w:rtl/>
        </w:rPr>
      </w:r>
      <w:r w:rsidRPr="00A3054F">
        <w:rPr>
          <w:rStyle w:val="af2"/>
          <w:rFonts w:eastAsia="Guttman Hodes"/>
          <w:rtl/>
        </w:rPr>
        <w:fldChar w:fldCharType="separate"/>
      </w:r>
      <w:r w:rsidR="00D82181">
        <w:rPr>
          <w:rStyle w:val="af2"/>
          <w:rFonts w:eastAsia="Guttman Hodes"/>
          <w:cs/>
        </w:rPr>
        <w:t>‎</w:t>
      </w:r>
      <w:r w:rsidR="00D82181">
        <w:rPr>
          <w:rStyle w:val="af2"/>
          <w:rFonts w:eastAsia="Guttman Hodes"/>
          <w:rtl/>
        </w:rPr>
        <w:t>מ)</w:t>
      </w:r>
      <w:r w:rsidRPr="00A3054F">
        <w:rPr>
          <w:rStyle w:val="af2"/>
          <w:rFonts w:eastAsia="Guttman Hodes"/>
          <w:rtl/>
        </w:rPr>
        <w:fldChar w:fldCharType="end"/>
      </w:r>
      <w:r>
        <w:rPr>
          <w:rFonts w:hint="cs"/>
          <w:rtl/>
        </w:rPr>
        <w:t xml:space="preserve"> דגבשושית שעלו בה עשבים, והגביה אותה מהקרקע, והניחה ע"ג יתדות, דחייב משום תולש, מבואר דלדעת </w:t>
      </w:r>
      <w:r w:rsidRPr="008D113A">
        <w:rPr>
          <w:rStyle w:val="aff4"/>
          <w:rFonts w:hint="cs"/>
          <w:vanish/>
          <w:rtl/>
        </w:rPr>
        <w:t>-</w:t>
      </w:r>
      <w:r w:rsidRPr="000614F7">
        <w:rPr>
          <w:rStyle w:val="aff4"/>
          <w:rFonts w:hint="cs"/>
          <w:rtl/>
        </w:rPr>
        <w:t>הרמב"ם</w:t>
      </w:r>
      <w:r w:rsidRPr="008D113A">
        <w:rPr>
          <w:rStyle w:val="aff4"/>
          <w:rFonts w:hint="cs"/>
          <w:vanish/>
          <w:rtl/>
        </w:rPr>
        <w:t>-</w:t>
      </w:r>
      <w:r>
        <w:rPr>
          <w:rFonts w:hint="cs"/>
          <w:rtl/>
        </w:rPr>
        <w:t xml:space="preserve"> חייב בתולש מדאו', דהא כתב </w:t>
      </w:r>
      <w:r w:rsidRPr="008D113A">
        <w:rPr>
          <w:rStyle w:val="aff4"/>
          <w:rFonts w:hint="cs"/>
          <w:vanish/>
          <w:rtl/>
        </w:rPr>
        <w:t>-</w:t>
      </w:r>
      <w:r w:rsidRPr="000614F7">
        <w:rPr>
          <w:rStyle w:val="aff4"/>
          <w:rFonts w:hint="cs"/>
          <w:rtl/>
        </w:rPr>
        <w:t>הרמב"ם</w:t>
      </w:r>
      <w:r w:rsidRPr="008D113A">
        <w:rPr>
          <w:rStyle w:val="aff4"/>
          <w:rFonts w:hint="cs"/>
          <w:vanish/>
          <w:rtl/>
        </w:rPr>
        <w:t>-</w:t>
      </w:r>
      <w:r>
        <w:rPr>
          <w:rFonts w:hint="cs"/>
          <w:rtl/>
        </w:rPr>
        <w:t xml:space="preserve"> </w:t>
      </w:r>
      <w:r w:rsidRPr="00A3054F">
        <w:rPr>
          <w:rStyle w:val="af2"/>
          <w:rFonts w:eastAsia="Guttman Hodes" w:hint="cs"/>
          <w:rtl/>
        </w:rPr>
        <w:t>(שבת פ"א ה"ב)</w:t>
      </w:r>
      <w:r>
        <w:rPr>
          <w:rFonts w:hint="cs"/>
          <w:rtl/>
        </w:rPr>
        <w:t xml:space="preserve"> דבכל מקום שכתב חייב, הוא חיוב דאו', וכתב </w:t>
      </w:r>
      <w:r w:rsidRPr="008D113A">
        <w:rPr>
          <w:rStyle w:val="aff4"/>
          <w:rFonts w:hint="cs"/>
          <w:vanish/>
          <w:rtl/>
        </w:rPr>
        <w:t>-</w:t>
      </w:r>
      <w:r w:rsidRPr="000614F7">
        <w:rPr>
          <w:rStyle w:val="aff4"/>
          <w:rFonts w:hint="cs"/>
          <w:rtl/>
        </w:rPr>
        <w:t>הגר"מ סולובייצ'יק</w:t>
      </w:r>
      <w:r w:rsidRPr="008D113A">
        <w:rPr>
          <w:rStyle w:val="aff4"/>
          <w:rFonts w:hint="cs"/>
          <w:vanish/>
          <w:rtl/>
        </w:rPr>
        <w:t>-</w:t>
      </w:r>
      <w:r>
        <w:rPr>
          <w:rFonts w:hint="cs"/>
          <w:rtl/>
        </w:rPr>
        <w:t xml:space="preserve"> דלכן לא פסק </w:t>
      </w:r>
      <w:r w:rsidRPr="008D113A">
        <w:rPr>
          <w:rStyle w:val="aff4"/>
          <w:rFonts w:hint="cs"/>
          <w:vanish/>
          <w:rtl/>
        </w:rPr>
        <w:t>-</w:t>
      </w:r>
      <w:r w:rsidRPr="000614F7">
        <w:rPr>
          <w:rStyle w:val="aff4"/>
          <w:rFonts w:hint="cs"/>
          <w:rtl/>
        </w:rPr>
        <w:t>הרמב"ם</w:t>
      </w:r>
      <w:r w:rsidRPr="008D113A">
        <w:rPr>
          <w:rStyle w:val="aff4"/>
          <w:rFonts w:hint="cs"/>
          <w:vanish/>
          <w:rtl/>
        </w:rPr>
        <w:t>-</w:t>
      </w:r>
      <w:r>
        <w:rPr>
          <w:rFonts w:hint="cs"/>
          <w:rtl/>
        </w:rPr>
        <w:t xml:space="preserve"> את דברי ר"ל דמותר לקנח בצרור, כיון דס"ל דכשמגביהו מהקרקע הוא תולש מדאו',</w:t>
      </w:r>
      <w:r w:rsidRPr="00193BF2">
        <w:rPr>
          <w:rFonts w:hint="cs"/>
          <w:rtl/>
        </w:rPr>
        <w:t xml:space="preserve"> </w:t>
      </w:r>
      <w:r>
        <w:rPr>
          <w:rFonts w:hint="cs"/>
          <w:rtl/>
        </w:rPr>
        <w:t xml:space="preserve">אך הקשה </w:t>
      </w:r>
      <w:r w:rsidRPr="008D113A">
        <w:rPr>
          <w:rStyle w:val="aff4"/>
          <w:rFonts w:hint="cs"/>
          <w:vanish/>
          <w:rtl/>
        </w:rPr>
        <w:t>-</w:t>
      </w:r>
      <w:r w:rsidRPr="000614F7">
        <w:rPr>
          <w:rStyle w:val="aff4"/>
          <w:rFonts w:hint="cs"/>
          <w:rtl/>
        </w:rPr>
        <w:t>הגר"מ סולובייצ'יק</w:t>
      </w:r>
      <w:r w:rsidRPr="008D113A">
        <w:rPr>
          <w:rStyle w:val="aff4"/>
          <w:rFonts w:hint="cs"/>
          <w:vanish/>
          <w:rtl/>
        </w:rPr>
        <w:t>-</w:t>
      </w:r>
      <w:r>
        <w:rPr>
          <w:rFonts w:hint="cs"/>
          <w:rtl/>
        </w:rPr>
        <w:t xml:space="preserve"> דהא </w:t>
      </w:r>
      <w:r w:rsidRPr="008D113A">
        <w:rPr>
          <w:rStyle w:val="aff4"/>
          <w:rFonts w:hint="cs"/>
          <w:vanish/>
          <w:rtl/>
        </w:rPr>
        <w:t>-</w:t>
      </w:r>
      <w:r w:rsidRPr="000614F7">
        <w:rPr>
          <w:rStyle w:val="aff4"/>
          <w:rFonts w:hint="cs"/>
          <w:rtl/>
        </w:rPr>
        <w:t>התוס' לקמן</w:t>
      </w:r>
      <w:r w:rsidRPr="008D113A">
        <w:rPr>
          <w:rStyle w:val="aff4"/>
          <w:rFonts w:hint="cs"/>
          <w:vanish/>
          <w:rtl/>
        </w:rPr>
        <w:t>-</w:t>
      </w:r>
      <w:r>
        <w:rPr>
          <w:rFonts w:hint="cs"/>
          <w:rtl/>
        </w:rPr>
        <w:t xml:space="preserve"> </w:t>
      </w:r>
      <w:r w:rsidRPr="00A3054F">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Ref135383793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לז)</w:t>
      </w:r>
      <w:r>
        <w:rPr>
          <w:rStyle w:val="af2"/>
          <w:rFonts w:eastAsia="Guttman Hodes"/>
          <w:rtl/>
        </w:rPr>
        <w:fldChar w:fldCharType="end"/>
      </w:r>
      <w:r>
        <w:rPr>
          <w:rFonts w:hint="cs"/>
          <w:rtl/>
        </w:rPr>
        <w:t xml:space="preserve"> דימו את דין תולש בעציץ נקוב, לחיוב עציץ נקוב לענין תרו"מ, והא בתרו"מ פסק </w:t>
      </w:r>
      <w:r w:rsidRPr="008D113A">
        <w:rPr>
          <w:rStyle w:val="aff4"/>
          <w:rFonts w:hint="cs"/>
          <w:vanish/>
          <w:rtl/>
        </w:rPr>
        <w:t>-</w:t>
      </w:r>
      <w:r w:rsidRPr="000614F7">
        <w:rPr>
          <w:rStyle w:val="aff4"/>
          <w:rFonts w:hint="cs"/>
          <w:rtl/>
        </w:rPr>
        <w:t>הרמב"ם</w:t>
      </w:r>
      <w:r w:rsidRPr="008D113A">
        <w:rPr>
          <w:rStyle w:val="aff4"/>
          <w:rFonts w:hint="cs"/>
          <w:vanish/>
          <w:rtl/>
        </w:rPr>
        <w:t>-</w:t>
      </w:r>
      <w:r>
        <w:rPr>
          <w:rFonts w:hint="cs"/>
          <w:rtl/>
        </w:rPr>
        <w:t xml:space="preserve"> </w:t>
      </w:r>
      <w:r w:rsidRPr="00A3054F">
        <w:rPr>
          <w:rStyle w:val="af2"/>
          <w:rFonts w:eastAsia="Guttman Hodes" w:hint="cs"/>
          <w:rtl/>
        </w:rPr>
        <w:t>(בכורים פ"ב ה"ט)</w:t>
      </w:r>
      <w:r>
        <w:rPr>
          <w:rFonts w:hint="cs"/>
          <w:rtl/>
        </w:rPr>
        <w:t xml:space="preserve"> דמביאים ביכורים מאילן שגדל בגג או בחורבה, ומוכח דאעפ"י דמפסיק אוירא ס"ל </w:t>
      </w:r>
      <w:r w:rsidRPr="008D113A">
        <w:rPr>
          <w:rStyle w:val="aff4"/>
          <w:rFonts w:hint="cs"/>
          <w:vanish/>
          <w:rtl/>
        </w:rPr>
        <w:t>-</w:t>
      </w:r>
      <w:r w:rsidRPr="000614F7">
        <w:rPr>
          <w:rStyle w:val="aff4"/>
          <w:rFonts w:hint="cs"/>
          <w:rtl/>
        </w:rPr>
        <w:t>להרמב"ם</w:t>
      </w:r>
      <w:r w:rsidRPr="008D113A">
        <w:rPr>
          <w:rStyle w:val="aff4"/>
          <w:rFonts w:hint="cs"/>
          <w:vanish/>
          <w:rtl/>
        </w:rPr>
        <w:t>-</w:t>
      </w:r>
      <w:r>
        <w:rPr>
          <w:rFonts w:hint="cs"/>
          <w:rtl/>
        </w:rPr>
        <w:t xml:space="preserve"> דהוא כמחובר לקרקע, וא"כ אמאי פסק </w:t>
      </w:r>
      <w:r w:rsidRPr="008D113A">
        <w:rPr>
          <w:rStyle w:val="aff4"/>
          <w:rFonts w:hint="cs"/>
          <w:vanish/>
          <w:rtl/>
        </w:rPr>
        <w:t>-</w:t>
      </w:r>
      <w:r w:rsidRPr="000614F7">
        <w:rPr>
          <w:rStyle w:val="aff4"/>
          <w:rFonts w:hint="cs"/>
          <w:rtl/>
        </w:rPr>
        <w:t>הרמב"ם</w:t>
      </w:r>
      <w:r w:rsidRPr="008D113A">
        <w:rPr>
          <w:rStyle w:val="aff4"/>
          <w:rFonts w:hint="cs"/>
          <w:vanish/>
          <w:rtl/>
        </w:rPr>
        <w:t>-</w:t>
      </w:r>
      <w:r>
        <w:rPr>
          <w:rFonts w:hint="cs"/>
          <w:rtl/>
        </w:rPr>
        <w:t xml:space="preserve"> דגבשושית שהגביה אותה מהקרקע והניחה ע"ג יתדות, דהוא תולש מדאו', הא אף בהפסקת אוירא עדיין חשיב מחובר.</w:t>
      </w:r>
      <w:bookmarkEnd w:id="1216"/>
      <w:r>
        <w:rPr>
          <w:rFonts w:hint="cs"/>
          <w:rtl/>
        </w:rPr>
        <w:t xml:space="preserve"> </w:t>
      </w:r>
    </w:p>
    <w:bookmarkEnd w:id="1217"/>
    <w:p w14:paraId="1C37261F" w14:textId="77777777" w:rsidR="00D31714" w:rsidRPr="00747170" w:rsidRDefault="00D31714" w:rsidP="00747170">
      <w:pPr>
        <w:pStyle w:val="a2"/>
        <w:rPr>
          <w:rtl/>
        </w:rPr>
      </w:pPr>
      <w:r w:rsidRPr="00747170">
        <w:rPr>
          <w:rtl/>
        </w:rPr>
        <w:t>בענין עציץ נקוב על גבי יתידות</w:t>
      </w:r>
    </w:p>
    <w:p w14:paraId="0ABE380D" w14:textId="77777777" w:rsidR="00D31714" w:rsidRPr="0074537A" w:rsidRDefault="00D31714" w:rsidP="00747170">
      <w:pPr>
        <w:pStyle w:val="afffff5"/>
        <w:rPr>
          <w:rtl/>
        </w:rPr>
      </w:pPr>
      <w:r w:rsidRPr="0074537A">
        <w:rPr>
          <w:rtl/>
        </w:rPr>
        <w:t>הרמב"ם (פ"ח מהל' שבת ה"ד) כתב וז"ל גבשושית של עפר שעלו בה עשבים הגביהה מעל הארץ והניחה ע"ג יתידות חייב משום תולש. ובגמ' שבת (דף פ"א ע"ב) כתבו רש"י ותוס' דהאי חייב לאו דוקא, ובאמת לא הוי תלוש אלא מדרבנן, וראייתם מהא דמבואר בגמ' שם דצרור שעלו בו עשבים מותר להגביהו מן הקרקע ולקנח בו, הרי דמאורייתא לא הוי תולש. והוא משום דגם ע"ג יתידות חשבינן ליה כמחובר דקיי"ל עציץ נקוב שהניחו ע"ג יתידות חייב בתרו"מ, ע"ש בתוס' (ד"ה והניחו) שהביאו לזה הך דעציץ נקוב על יתידות לענין תרו"מ, אכן בלשון הרמב"ם מבואר דהוי תולש מדאורייתא והוא חייב מדאורייתא, דהרי הרמב"ם בעצמו כתב (בפ"א מהל' שבת ה"ב) דכל מקום שהוא מזכיר לשון חייב בהל' שבת פירושו שהוא חייב מדאורייתא, וא"כ גם גבי גבשושית כוונת הר"מ היא, שהוא חייב מדאורייתא משום תולש, והדין דצרור שעלו בו עשבים מותר לקנח בו לא פסק הרמב"ם, והוא משום דהרמב"ם פוסק דהוי תולש מדאורייתא, ע"כ לא פסק הך דינא מה דמותר לקנח בו.</w:t>
      </w:r>
    </w:p>
    <w:p w14:paraId="3E78F475" w14:textId="77777777" w:rsidR="00D31714" w:rsidRPr="0074537A" w:rsidRDefault="00D31714" w:rsidP="00747170">
      <w:pPr>
        <w:pStyle w:val="afffff5"/>
        <w:rPr>
          <w:rtl/>
        </w:rPr>
      </w:pPr>
      <w:r w:rsidRPr="0074537A">
        <w:rPr>
          <w:rtl/>
        </w:rPr>
        <w:t>והנה הרי גם הרמב"ם פוסק דגם במפסיק אוירא חייב בתרו"מ, כמבואר בפ"ב מהל' בכורים ה"ט שמביא בכורים מן הגדל בגג או בחורבה, וא"כ לכאורה צ"ע אמאי פסק בגבשושית של עפר שעלו בו עשבים שהניחו ע"ג יתידות דהוי תולש מדאורייתא.</w:t>
      </w:r>
    </w:p>
    <w:p w14:paraId="41470D03" w14:textId="0A669643" w:rsidR="00D31714" w:rsidRDefault="00D31714" w:rsidP="00D31714">
      <w:pPr>
        <w:pStyle w:val="afffff7"/>
        <w:rPr>
          <w:rtl/>
        </w:rPr>
      </w:pPr>
      <w:bookmarkStart w:id="1218" w:name="_Toc135212281"/>
      <w:bookmarkStart w:id="1219" w:name="_Toc135670271"/>
      <w:bookmarkStart w:id="1220" w:name="_Toc163505572"/>
      <w:r>
        <w:rPr>
          <w:rtl/>
        </w:rPr>
        <w:t xml:space="preserve">חדושי הגר"ח </w:t>
      </w:r>
      <w:r>
        <w:rPr>
          <w:rFonts w:hint="cs"/>
          <w:rtl/>
        </w:rPr>
        <w:t>[מהגר"מ]</w:t>
      </w:r>
      <w:r w:rsidRPr="008163AB">
        <w:rPr>
          <w:rFonts w:hint="cs"/>
          <w:rtl/>
        </w:rPr>
        <w:t xml:space="preserve"> </w:t>
      </w:r>
      <w:r>
        <w:rPr>
          <w:rtl/>
        </w:rPr>
        <w:t>שבת פ"א ע"ב</w:t>
      </w:r>
      <w:r>
        <w:rPr>
          <w:rFonts w:hint="cs"/>
          <w:rtl/>
        </w:rPr>
        <w:t xml:space="preserve"> ד"ה והנה</w:t>
      </w:r>
      <w:r w:rsidRPr="00456190">
        <w:rPr>
          <w:rtl/>
        </w:rPr>
        <w:t xml:space="preserve"> </w:t>
      </w:r>
      <w:r>
        <w:rPr>
          <w:rtl/>
        </w:rPr>
        <w:t>כתב</w:t>
      </w:r>
      <w:r w:rsidRPr="008F54BA">
        <w:rPr>
          <w:rtl/>
        </w:rPr>
        <w:t>, ד"ה אכן נראה</w:t>
      </w:r>
      <w:bookmarkEnd w:id="1218"/>
      <w:bookmarkEnd w:id="1219"/>
      <w:bookmarkEnd w:id="1220"/>
    </w:p>
    <w:p w14:paraId="5DCB0421" w14:textId="77777777" w:rsidR="00D31714" w:rsidRDefault="00D31714" w:rsidP="00D31714">
      <w:pPr>
        <w:pStyle w:val="a7"/>
        <w:rPr>
          <w:rtl/>
        </w:rPr>
      </w:pPr>
      <w:bookmarkStart w:id="1221" w:name="_Toc135669997"/>
      <w:r>
        <w:rPr>
          <w:rFonts w:hint="cs"/>
          <w:rtl/>
        </w:rPr>
        <w:t xml:space="preserve">בי' </w:t>
      </w:r>
      <w:r w:rsidRPr="00522ECB">
        <w:rPr>
          <w:rtl/>
        </w:rPr>
        <w:t>הגר"מ סולובייצ'יק</w:t>
      </w:r>
      <w:r>
        <w:rPr>
          <w:rFonts w:hint="cs"/>
          <w:rtl/>
        </w:rPr>
        <w:t xml:space="preserve"> דע"ג יתדות אף לתרו"מ לא מחובר אך חשיב כקרקע כיון דיונק ממנה</w:t>
      </w:r>
      <w:bookmarkEnd w:id="1221"/>
    </w:p>
    <w:p w14:paraId="506A503C" w14:textId="69A3D80C" w:rsidR="00D31714" w:rsidRPr="0007454A" w:rsidRDefault="00D31714" w:rsidP="00BC7DC8">
      <w:pPr>
        <w:pStyle w:val="a3"/>
        <w:rPr>
          <w:rtl/>
        </w:rPr>
      </w:pPr>
      <w:bookmarkStart w:id="1222" w:name="_Ref134778156"/>
      <w:r>
        <w:rPr>
          <w:rFonts w:hint="cs"/>
          <w:rtl/>
        </w:rPr>
        <w:t xml:space="preserve">ועיי"ש במה שביאר </w:t>
      </w:r>
      <w:r w:rsidRPr="00B53404">
        <w:rPr>
          <w:rFonts w:hint="cs"/>
          <w:vanish/>
          <w:rtl/>
        </w:rPr>
        <w:t xml:space="preserve">&lt;. </w:t>
      </w:r>
      <w:r w:rsidRPr="00B53404">
        <w:rPr>
          <w:vanish/>
          <w:rtl/>
        </w:rPr>
        <w:fldChar w:fldCharType="begin"/>
      </w:r>
      <w:r w:rsidRPr="00B53404">
        <w:rPr>
          <w:vanish/>
          <w:rtl/>
        </w:rPr>
        <w:instrText xml:space="preserve"> </w:instrText>
      </w:r>
      <w:r w:rsidRPr="00B53404">
        <w:rPr>
          <w:rFonts w:hint="cs"/>
          <w:vanish/>
        </w:rPr>
        <w:instrText>REF</w:instrText>
      </w:r>
      <w:r w:rsidRPr="00B53404">
        <w:rPr>
          <w:rFonts w:hint="cs"/>
          <w:vanish/>
          <w:rtl/>
        </w:rPr>
        <w:instrText xml:space="preserve"> _</w:instrText>
      </w:r>
      <w:r w:rsidRPr="00B53404">
        <w:rPr>
          <w:rFonts w:hint="cs"/>
          <w:vanish/>
        </w:rPr>
        <w:instrText>Ref134778156 \r \h</w:instrText>
      </w:r>
      <w:r w:rsidRPr="00B53404">
        <w:rPr>
          <w:vanish/>
          <w:rtl/>
        </w:rPr>
        <w:instrText xml:space="preserve"> </w:instrText>
      </w:r>
      <w:r w:rsidRPr="00B53404">
        <w:rPr>
          <w:vanish/>
          <w:rtl/>
        </w:rPr>
      </w:r>
      <w:r w:rsidRPr="00B53404">
        <w:rPr>
          <w:vanish/>
          <w:rtl/>
        </w:rPr>
        <w:fldChar w:fldCharType="separate"/>
      </w:r>
      <w:r w:rsidR="00D82181">
        <w:rPr>
          <w:vanish/>
          <w:cs/>
        </w:rPr>
        <w:t>‎</w:t>
      </w:r>
      <w:r w:rsidR="00D82181">
        <w:rPr>
          <w:vanish/>
          <w:rtl/>
        </w:rPr>
        <w:t>נט)</w:t>
      </w:r>
      <w:r w:rsidRPr="00B53404">
        <w:rPr>
          <w:vanish/>
          <w:rtl/>
        </w:rPr>
        <w:fldChar w:fldCharType="end"/>
      </w:r>
      <w:r w:rsidRPr="00B53404">
        <w:rPr>
          <w:rFonts w:hint="cs"/>
          <w:vanish/>
          <w:rtl/>
        </w:rPr>
        <w:t xml:space="preserve"> &gt;</w:t>
      </w:r>
      <w:r w:rsidRPr="008D113A">
        <w:rPr>
          <w:rStyle w:val="aff4"/>
          <w:rFonts w:hint="cs"/>
          <w:vanish/>
          <w:rtl/>
        </w:rPr>
        <w:t>-</w:t>
      </w:r>
      <w:r w:rsidRPr="000614F7">
        <w:rPr>
          <w:rStyle w:val="aff4"/>
          <w:rFonts w:hint="cs"/>
          <w:rtl/>
        </w:rPr>
        <w:t>הגר"מ סולובייצ'יק</w:t>
      </w:r>
      <w:r w:rsidRPr="008D113A">
        <w:rPr>
          <w:rStyle w:val="aff4"/>
          <w:rFonts w:hint="cs"/>
          <w:vanish/>
          <w:rtl/>
        </w:rPr>
        <w:t>-</w:t>
      </w:r>
      <w:r>
        <w:rPr>
          <w:rFonts w:hint="cs"/>
          <w:rtl/>
        </w:rPr>
        <w:t xml:space="preserve"> </w:t>
      </w:r>
      <w:bookmarkStart w:id="1223" w:name="_Hlk134783266"/>
      <w:r w:rsidRPr="00A3054F">
        <w:rPr>
          <w:rStyle w:val="af2"/>
          <w:rFonts w:eastAsia="Guttman Hodes" w:hint="cs"/>
          <w:rtl/>
        </w:rPr>
        <w:t>(</w:t>
      </w:r>
      <w:r w:rsidRPr="00A3054F">
        <w:rPr>
          <w:rStyle w:val="af2"/>
          <w:rFonts w:eastAsia="Guttman Hodes"/>
          <w:rtl/>
        </w:rPr>
        <w:t>חי' הגר"ח על הש"ס</w:t>
      </w:r>
      <w:r w:rsidRPr="00A3054F">
        <w:rPr>
          <w:rStyle w:val="af2"/>
          <w:rFonts w:eastAsia="Guttman Hodes" w:hint="cs"/>
          <w:rtl/>
        </w:rPr>
        <w:t xml:space="preserve">, פא: </w:t>
      </w:r>
      <w:bookmarkEnd w:id="1223"/>
      <w:r w:rsidRPr="00A3054F">
        <w:rPr>
          <w:rStyle w:val="af2"/>
          <w:rFonts w:eastAsia="Guttman Hodes" w:hint="cs"/>
          <w:rtl/>
        </w:rPr>
        <w:t>ד"ה והנה</w:t>
      </w:r>
      <w:r w:rsidRPr="00A3054F">
        <w:rPr>
          <w:rStyle w:val="af2"/>
          <w:rFonts w:eastAsia="Guttman Hodes"/>
          <w:rtl/>
        </w:rPr>
        <w:t xml:space="preserve"> כתב</w:t>
      </w:r>
      <w:r w:rsidRPr="00A3054F">
        <w:rPr>
          <w:rStyle w:val="af2"/>
          <w:rFonts w:eastAsia="Guttman Hodes" w:hint="cs"/>
          <w:rtl/>
        </w:rPr>
        <w:t xml:space="preserve">, ד"ה </w:t>
      </w:r>
      <w:r w:rsidRPr="00A3054F">
        <w:rPr>
          <w:rStyle w:val="af2"/>
          <w:rFonts w:eastAsia="Guttman Hodes"/>
          <w:rtl/>
        </w:rPr>
        <w:t>אכן נראה</w:t>
      </w:r>
      <w:r w:rsidRPr="00A3054F">
        <w:rPr>
          <w:rStyle w:val="af2"/>
          <w:rFonts w:eastAsia="Guttman Hodes" w:hint="cs"/>
          <w:rtl/>
        </w:rPr>
        <w:t>)</w:t>
      </w:r>
      <w:r w:rsidRPr="008D113A">
        <w:rPr>
          <w:rFonts w:hint="cs"/>
          <w:vanish/>
          <w:rtl/>
        </w:rPr>
        <w:t>=</w:t>
      </w:r>
      <w:r>
        <w:rPr>
          <w:rFonts w:hint="cs"/>
          <w:rtl/>
        </w:rPr>
        <w:t xml:space="preserve"> בדעת </w:t>
      </w:r>
      <w:r w:rsidRPr="008D113A">
        <w:rPr>
          <w:rStyle w:val="aff4"/>
          <w:rFonts w:hint="cs"/>
          <w:vanish/>
          <w:rtl/>
        </w:rPr>
        <w:t>-</w:t>
      </w:r>
      <w:r w:rsidRPr="000614F7">
        <w:rPr>
          <w:rStyle w:val="aff4"/>
          <w:rFonts w:hint="cs"/>
          <w:rtl/>
        </w:rPr>
        <w:t>הרמב"ם</w:t>
      </w:r>
      <w:r w:rsidRPr="008D113A">
        <w:rPr>
          <w:rStyle w:val="aff4"/>
          <w:rFonts w:hint="cs"/>
          <w:vanish/>
          <w:rtl/>
        </w:rPr>
        <w:t>-</w:t>
      </w:r>
      <w:r>
        <w:rPr>
          <w:rFonts w:hint="cs"/>
          <w:rtl/>
        </w:rPr>
        <w:t xml:space="preserve"> דלענין מצוות התלויות בארץ דין עציץ נקוב הוא תלוי</w:t>
      </w:r>
      <w:r w:rsidRPr="00D83CAC">
        <w:rPr>
          <w:rFonts w:hint="cs"/>
          <w:rtl/>
        </w:rPr>
        <w:t xml:space="preserve"> </w:t>
      </w:r>
      <w:r>
        <w:rPr>
          <w:rFonts w:hint="cs"/>
          <w:rtl/>
        </w:rPr>
        <w:t xml:space="preserve">ביניקה מהקרקע, ואף אם אינו מחובר כל שיונק מהקרקע דינו כגידולי קרקע, אבל לענין טומאה וכן לכל שאר הדינים, דין עציץ נקוב תלוי בחיבור לקרקע, דרק באופן דהוא מחובר לקרקע דינו כקרקע, ובזה ביאר </w:t>
      </w:r>
      <w:r w:rsidRPr="008D113A">
        <w:rPr>
          <w:rStyle w:val="aff4"/>
          <w:rFonts w:hint="cs"/>
          <w:vanish/>
          <w:rtl/>
        </w:rPr>
        <w:t>-</w:t>
      </w:r>
      <w:r w:rsidRPr="000614F7">
        <w:rPr>
          <w:rStyle w:val="aff4"/>
          <w:rFonts w:hint="cs"/>
          <w:rtl/>
        </w:rPr>
        <w:t>הגר"מ סולובייצ'יק</w:t>
      </w:r>
      <w:r w:rsidRPr="008D113A">
        <w:rPr>
          <w:rStyle w:val="aff4"/>
          <w:rFonts w:hint="cs"/>
          <w:vanish/>
          <w:rtl/>
        </w:rPr>
        <w:t>-</w:t>
      </w:r>
      <w:r>
        <w:rPr>
          <w:rFonts w:hint="cs"/>
          <w:rtl/>
        </w:rPr>
        <w:t xml:space="preserve"> דבהא דתנן </w:t>
      </w:r>
      <w:r>
        <w:rPr>
          <w:rFonts w:hint="cs"/>
          <w:rtl/>
        </w:rPr>
        <w:t xml:space="preserve">בעוקצין </w:t>
      </w:r>
      <w:r w:rsidRPr="00A3054F">
        <w:rPr>
          <w:rStyle w:val="af2"/>
          <w:rFonts w:eastAsia="Guttman Hodes" w:hint="cs"/>
          <w:rtl/>
        </w:rPr>
        <w:t>(פ"ב מ"ט)</w:t>
      </w:r>
      <w:r>
        <w:rPr>
          <w:rFonts w:hint="cs"/>
          <w:rtl/>
        </w:rPr>
        <w:t xml:space="preserve"> דקישות שנטעה בעציץ ויצאה אל מחוץ לעציץ דלענין טומאה היא כקרקע, כיון דמאוירא קא רבו, ביאר </w:t>
      </w:r>
      <w:r w:rsidRPr="008D113A">
        <w:rPr>
          <w:rStyle w:val="aff4"/>
          <w:rFonts w:hint="cs"/>
          <w:vanish/>
          <w:rtl/>
        </w:rPr>
        <w:t>-</w:t>
      </w:r>
      <w:r w:rsidRPr="000614F7">
        <w:rPr>
          <w:rStyle w:val="aff4"/>
          <w:rFonts w:hint="cs"/>
          <w:rtl/>
        </w:rPr>
        <w:t>ה</w:t>
      </w:r>
      <w:r w:rsidRPr="00B53404">
        <w:rPr>
          <w:rStyle w:val="aff4"/>
          <w:rFonts w:hint="cs"/>
          <w:vanish/>
          <w:rtl/>
        </w:rPr>
        <w:t>&lt; &gt;</w:t>
      </w:r>
      <w:r w:rsidRPr="000614F7">
        <w:rPr>
          <w:rStyle w:val="aff4"/>
          <w:rFonts w:hint="cs"/>
          <w:rtl/>
        </w:rPr>
        <w:t>ראב"ד</w:t>
      </w:r>
      <w:r w:rsidRPr="008D113A">
        <w:rPr>
          <w:rStyle w:val="aff4"/>
          <w:rFonts w:hint="cs"/>
          <w:vanish/>
          <w:rtl/>
        </w:rPr>
        <w:t>-</w:t>
      </w:r>
      <w:r>
        <w:rPr>
          <w:rFonts w:hint="cs"/>
          <w:rtl/>
        </w:rPr>
        <w:t xml:space="preserve"> </w:t>
      </w:r>
      <w:r w:rsidRPr="00A3054F">
        <w:rPr>
          <w:rStyle w:val="af2"/>
          <w:rFonts w:eastAsia="Guttman Hodes" w:hint="cs"/>
          <w:rtl/>
        </w:rPr>
        <w:t>(טומאת אוכלין פ"ב ה"ט)</w:t>
      </w:r>
      <w:r w:rsidRPr="008D113A">
        <w:rPr>
          <w:rFonts w:hint="cs"/>
          <w:vanish/>
          <w:rtl/>
        </w:rPr>
        <w:t>=</w:t>
      </w:r>
      <w:r>
        <w:rPr>
          <w:rFonts w:hint="cs"/>
          <w:rtl/>
        </w:rPr>
        <w:t xml:space="preserve"> דאיירי בעציץ שאינו נקוב, וע"י דמאוירא קא רבו דינה כמחובר, וכתב </w:t>
      </w:r>
      <w:r w:rsidRPr="008D113A">
        <w:rPr>
          <w:rStyle w:val="aff4"/>
          <w:rFonts w:hint="cs"/>
          <w:vanish/>
          <w:rtl/>
        </w:rPr>
        <w:t>-</w:t>
      </w:r>
      <w:r w:rsidRPr="000614F7">
        <w:rPr>
          <w:rStyle w:val="aff4"/>
          <w:rFonts w:hint="cs"/>
          <w:rtl/>
        </w:rPr>
        <w:t>הגר"מ סולובייצ'יק</w:t>
      </w:r>
      <w:r w:rsidRPr="008D113A">
        <w:rPr>
          <w:rStyle w:val="aff4"/>
          <w:rFonts w:hint="cs"/>
          <w:vanish/>
          <w:rtl/>
        </w:rPr>
        <w:t>-</w:t>
      </w:r>
      <w:r>
        <w:rPr>
          <w:rFonts w:hint="cs"/>
          <w:rtl/>
        </w:rPr>
        <w:t xml:space="preserve"> דכן דעת </w:t>
      </w:r>
      <w:r w:rsidRPr="008D113A">
        <w:rPr>
          <w:rStyle w:val="aff4"/>
          <w:rFonts w:hint="cs"/>
          <w:vanish/>
          <w:rtl/>
        </w:rPr>
        <w:t>-</w:t>
      </w:r>
      <w:r w:rsidRPr="000614F7">
        <w:rPr>
          <w:rStyle w:val="aff4"/>
          <w:rFonts w:hint="cs"/>
          <w:rtl/>
        </w:rPr>
        <w:t>ה</w:t>
      </w:r>
      <w:r w:rsidRPr="00B53404">
        <w:rPr>
          <w:rStyle w:val="aff4"/>
          <w:rFonts w:hint="cs"/>
          <w:vanish/>
          <w:rtl/>
        </w:rPr>
        <w:t>&lt; &gt;</w:t>
      </w:r>
      <w:r w:rsidRPr="000614F7">
        <w:rPr>
          <w:rStyle w:val="aff4"/>
          <w:rFonts w:hint="cs"/>
          <w:rtl/>
        </w:rPr>
        <w:t>ר"ש בעוקצין</w:t>
      </w:r>
      <w:r w:rsidRPr="008D113A">
        <w:rPr>
          <w:rStyle w:val="aff4"/>
          <w:rFonts w:hint="cs"/>
          <w:vanish/>
          <w:rtl/>
        </w:rPr>
        <w:t>-</w:t>
      </w:r>
      <w:r>
        <w:rPr>
          <w:rFonts w:hint="cs"/>
          <w:rtl/>
        </w:rPr>
        <w:t xml:space="preserve"> </w:t>
      </w:r>
      <w:r w:rsidRPr="00A3054F">
        <w:rPr>
          <w:rStyle w:val="af2"/>
          <w:rFonts w:eastAsia="Guttman Hodes" w:hint="cs"/>
          <w:rtl/>
        </w:rPr>
        <w:t>(פ"ב מ"ט ד"ה שנטעה)</w:t>
      </w:r>
      <w:r w:rsidRPr="008D113A">
        <w:rPr>
          <w:rFonts w:hint="cs"/>
          <w:vanish/>
          <w:rtl/>
        </w:rPr>
        <w:t>=</w:t>
      </w:r>
      <w:r>
        <w:rPr>
          <w:rFonts w:hint="cs"/>
          <w:rtl/>
        </w:rPr>
        <w:t xml:space="preserve">  </w:t>
      </w:r>
      <w:r w:rsidRPr="008D113A">
        <w:rPr>
          <w:rStyle w:val="aff4"/>
          <w:rFonts w:hint="cs"/>
          <w:vanish/>
          <w:rtl/>
        </w:rPr>
        <w:t>-</w:t>
      </w:r>
      <w:r w:rsidRPr="000614F7">
        <w:rPr>
          <w:rStyle w:val="aff4"/>
          <w:rFonts w:hint="cs"/>
          <w:rtl/>
        </w:rPr>
        <w:t>ו</w:t>
      </w:r>
      <w:r w:rsidRPr="00B53404">
        <w:rPr>
          <w:rStyle w:val="aff4"/>
          <w:rFonts w:hint="cs"/>
          <w:vanish/>
          <w:rtl/>
        </w:rPr>
        <w:t>&lt; &gt;</w:t>
      </w:r>
      <w:r w:rsidRPr="000614F7">
        <w:rPr>
          <w:rStyle w:val="aff4"/>
          <w:rFonts w:hint="cs"/>
          <w:rtl/>
        </w:rPr>
        <w:t>הרא"ש בעוקצין</w:t>
      </w:r>
      <w:r w:rsidRPr="008D113A">
        <w:rPr>
          <w:rStyle w:val="aff4"/>
          <w:rFonts w:hint="cs"/>
          <w:vanish/>
          <w:rtl/>
        </w:rPr>
        <w:t>-</w:t>
      </w:r>
      <w:r>
        <w:rPr>
          <w:rFonts w:hint="cs"/>
          <w:rtl/>
        </w:rPr>
        <w:t xml:space="preserve"> </w:t>
      </w:r>
      <w:r w:rsidRPr="00A3054F">
        <w:rPr>
          <w:rStyle w:val="af2"/>
          <w:rFonts w:eastAsia="Guttman Hodes" w:hint="cs"/>
          <w:rtl/>
        </w:rPr>
        <w:t>(פ"ב מ"ט ד"ה טהורה)</w:t>
      </w:r>
      <w:r w:rsidRPr="008D113A">
        <w:rPr>
          <w:rFonts w:hint="cs"/>
          <w:vanish/>
          <w:rtl/>
        </w:rPr>
        <w:t>=</w:t>
      </w:r>
      <w:r>
        <w:rPr>
          <w:rFonts w:hint="cs"/>
          <w:rtl/>
        </w:rPr>
        <w:t xml:space="preserve"> </w:t>
      </w:r>
      <w:r w:rsidRPr="008D113A">
        <w:rPr>
          <w:rStyle w:val="aff4"/>
          <w:rFonts w:hint="cs"/>
          <w:vanish/>
          <w:rtl/>
        </w:rPr>
        <w:t>-</w:t>
      </w:r>
      <w:r w:rsidRPr="000614F7">
        <w:rPr>
          <w:rStyle w:val="aff4"/>
          <w:rFonts w:hint="cs"/>
          <w:rtl/>
        </w:rPr>
        <w:t>ו</w:t>
      </w:r>
      <w:r w:rsidRPr="00B53404">
        <w:rPr>
          <w:rStyle w:val="aff4"/>
          <w:rFonts w:hint="cs"/>
          <w:vanish/>
          <w:rtl/>
        </w:rPr>
        <w:t>&lt; &gt;</w:t>
      </w:r>
      <w:r w:rsidRPr="000614F7">
        <w:rPr>
          <w:rStyle w:val="aff4"/>
          <w:rFonts w:hint="cs"/>
          <w:rtl/>
        </w:rPr>
        <w:t>רש"י בחולין</w:t>
      </w:r>
      <w:r w:rsidRPr="008D113A">
        <w:rPr>
          <w:rStyle w:val="aff4"/>
          <w:rFonts w:hint="cs"/>
          <w:vanish/>
          <w:rtl/>
        </w:rPr>
        <w:t>-</w:t>
      </w:r>
      <w:r>
        <w:rPr>
          <w:rFonts w:hint="cs"/>
          <w:rtl/>
        </w:rPr>
        <w:t xml:space="preserve"> </w:t>
      </w:r>
      <w:r w:rsidRPr="00A3054F">
        <w:rPr>
          <w:rStyle w:val="af2"/>
          <w:rFonts w:eastAsia="Guttman Hodes" w:hint="cs"/>
          <w:rtl/>
        </w:rPr>
        <w:t>(קכח. ד"ה והטהור)</w:t>
      </w:r>
      <w:r w:rsidRPr="008D113A">
        <w:rPr>
          <w:rFonts w:hint="cs"/>
          <w:vanish/>
          <w:rtl/>
        </w:rPr>
        <w:t>=</w:t>
      </w:r>
      <w:r>
        <w:rPr>
          <w:rFonts w:hint="cs"/>
          <w:rtl/>
        </w:rPr>
        <w:t xml:space="preserve"> </w:t>
      </w:r>
      <w:r w:rsidRPr="008D113A">
        <w:rPr>
          <w:rStyle w:val="aff4"/>
          <w:rFonts w:hint="cs"/>
          <w:vanish/>
          <w:rtl/>
        </w:rPr>
        <w:t>-</w:t>
      </w:r>
      <w:r w:rsidRPr="0067423C">
        <w:rPr>
          <w:rStyle w:val="aff4"/>
          <w:rFonts w:hint="cs"/>
          <w:rtl/>
        </w:rPr>
        <w:t>ותוס' בחולין</w:t>
      </w:r>
      <w:r w:rsidRPr="008D113A">
        <w:rPr>
          <w:rStyle w:val="aff4"/>
          <w:rFonts w:hint="cs"/>
          <w:vanish/>
          <w:rtl/>
        </w:rPr>
        <w:t>-</w:t>
      </w:r>
      <w:r w:rsidRPr="000614F7">
        <w:rPr>
          <w:rStyle w:val="aff4"/>
          <w:rFonts w:hint="cs"/>
          <w:rtl/>
        </w:rPr>
        <w:t xml:space="preserve"> </w:t>
      </w:r>
      <w:r w:rsidRPr="00A3054F">
        <w:rPr>
          <w:rStyle w:val="af2"/>
          <w:rFonts w:eastAsia="Guttman Hodes" w:hint="cs"/>
          <w:rtl/>
        </w:rPr>
        <w:t>(קכח. ד"ה קישות)</w:t>
      </w:r>
      <w:r w:rsidRPr="0067423C">
        <w:rPr>
          <w:rFonts w:hint="cs"/>
          <w:vanish/>
          <w:rtl/>
        </w:rPr>
        <w:t>=</w:t>
      </w:r>
      <w:r w:rsidRPr="0067423C">
        <w:rPr>
          <w:rFonts w:hint="cs"/>
          <w:rtl/>
        </w:rPr>
        <w:t xml:space="preserve">, אבל </w:t>
      </w:r>
      <w:r w:rsidRPr="008D113A">
        <w:rPr>
          <w:rStyle w:val="aff4"/>
          <w:rFonts w:hint="cs"/>
          <w:vanish/>
          <w:rtl/>
        </w:rPr>
        <w:t>-</w:t>
      </w:r>
      <w:r w:rsidRPr="00D7274F">
        <w:rPr>
          <w:rStyle w:val="aff4"/>
          <w:rFonts w:hint="cs"/>
          <w:rtl/>
        </w:rPr>
        <w:t>ה</w:t>
      </w:r>
      <w:r w:rsidRPr="00B53404">
        <w:rPr>
          <w:rFonts w:hint="cs"/>
          <w:vanish/>
          <w:rtl/>
        </w:rPr>
        <w:t>&lt; &gt;</w:t>
      </w:r>
      <w:r w:rsidRPr="00D7274F">
        <w:rPr>
          <w:rStyle w:val="aff4"/>
          <w:rFonts w:hint="cs"/>
          <w:rtl/>
        </w:rPr>
        <w:t>רמב"ם</w:t>
      </w:r>
      <w:r w:rsidRPr="008D113A">
        <w:rPr>
          <w:rStyle w:val="aff4"/>
          <w:rFonts w:hint="cs"/>
          <w:vanish/>
          <w:rtl/>
        </w:rPr>
        <w:t>-</w:t>
      </w:r>
      <w:r w:rsidRPr="000614F7">
        <w:rPr>
          <w:rStyle w:val="aff4"/>
          <w:rFonts w:hint="cs"/>
          <w:rtl/>
        </w:rPr>
        <w:t xml:space="preserve"> </w:t>
      </w:r>
      <w:r w:rsidRPr="00A3054F">
        <w:rPr>
          <w:rStyle w:val="af2"/>
          <w:rFonts w:eastAsia="Guttman Hodes" w:hint="cs"/>
          <w:rtl/>
        </w:rPr>
        <w:t>(טומאת אוכלין פ"ב ה"ט)</w:t>
      </w:r>
      <w:r w:rsidRPr="00D7274F">
        <w:rPr>
          <w:rFonts w:hint="cs"/>
          <w:vanish/>
          <w:rtl/>
        </w:rPr>
        <w:t>=</w:t>
      </w:r>
      <w:r w:rsidRPr="00D7274F">
        <w:rPr>
          <w:rFonts w:hint="cs"/>
          <w:rtl/>
        </w:rPr>
        <w:t xml:space="preserve"> כתב דאיירי בעציץ נקוב, וביאר</w:t>
      </w:r>
      <w:r w:rsidRPr="000614F7">
        <w:rPr>
          <w:rStyle w:val="aff4"/>
          <w:rFonts w:hint="cs"/>
          <w:rtl/>
        </w:rPr>
        <w:t xml:space="preserve"> </w:t>
      </w:r>
      <w:r w:rsidRPr="008D113A">
        <w:rPr>
          <w:rStyle w:val="aff4"/>
          <w:rFonts w:hint="cs"/>
          <w:vanish/>
          <w:rtl/>
        </w:rPr>
        <w:t>-</w:t>
      </w:r>
      <w:r w:rsidRPr="00D7274F">
        <w:rPr>
          <w:rStyle w:val="aff4"/>
          <w:rFonts w:hint="cs"/>
          <w:rtl/>
        </w:rPr>
        <w:t>הגר"מ סולובייצ'יק</w:t>
      </w:r>
      <w:r w:rsidRPr="008D113A">
        <w:rPr>
          <w:rStyle w:val="aff4"/>
          <w:rFonts w:hint="cs"/>
          <w:vanish/>
          <w:rtl/>
        </w:rPr>
        <w:t>-</w:t>
      </w:r>
      <w:r w:rsidRPr="00D7274F">
        <w:rPr>
          <w:rFonts w:hint="cs"/>
          <w:rtl/>
        </w:rPr>
        <w:t xml:space="preserve"> דס"ל</w:t>
      </w:r>
      <w:r w:rsidRPr="000614F7">
        <w:rPr>
          <w:rStyle w:val="aff4"/>
          <w:rFonts w:hint="cs"/>
          <w:rtl/>
        </w:rPr>
        <w:t xml:space="preserve"> </w:t>
      </w:r>
      <w:r w:rsidRPr="008D113A">
        <w:rPr>
          <w:rStyle w:val="aff4"/>
          <w:rFonts w:hint="cs"/>
          <w:vanish/>
          <w:rtl/>
        </w:rPr>
        <w:t>-</w:t>
      </w:r>
      <w:r w:rsidRPr="00D7274F">
        <w:rPr>
          <w:rStyle w:val="aff4"/>
          <w:rFonts w:hint="cs"/>
          <w:rtl/>
        </w:rPr>
        <w:t>להרמב"ם</w:t>
      </w:r>
      <w:r w:rsidRPr="008D113A">
        <w:rPr>
          <w:rStyle w:val="aff4"/>
          <w:rFonts w:hint="cs"/>
          <w:vanish/>
          <w:rtl/>
        </w:rPr>
        <w:t>-</w:t>
      </w:r>
      <w:r>
        <w:rPr>
          <w:rFonts w:hint="cs"/>
          <w:rtl/>
        </w:rPr>
        <w:t xml:space="preserve"> דמאוירא קא רבו אין דינו כמחובר, אלא דעי"ז הוא יונק ודינו כגידולי קרקע שאינה מקבלת טומאה.</w:t>
      </w:r>
      <w:bookmarkEnd w:id="1222"/>
      <w:r>
        <w:rPr>
          <w:rFonts w:hint="cs"/>
          <w:rtl/>
        </w:rPr>
        <w:t xml:space="preserve"> </w:t>
      </w:r>
    </w:p>
    <w:p w14:paraId="1994FD5E" w14:textId="77777777" w:rsidR="00D31714" w:rsidRPr="00747170" w:rsidRDefault="00D31714" w:rsidP="00747170">
      <w:pPr>
        <w:pStyle w:val="a2"/>
        <w:rPr>
          <w:rtl/>
        </w:rPr>
      </w:pPr>
      <w:r w:rsidRPr="00747170">
        <w:rPr>
          <w:rtl/>
        </w:rPr>
        <w:t>והנה כתב הרמב"ם (פ"ב מהל' טומאת אוכלין ה"ט) וז"ל קישות שנטעה בעציץ והגדילה, אף על פי שיצאת חוץ לעציץ אינה מקבלת טומאה, ובראב"ד שם וז"ל א"א אין כאן אף על פי אלא כיון שיצאה חוץ לעציץ טהורה, שאע"פ שהעציץ אינו נקוב כיון שיצאת הקישות לחוץ, הרי הוא כמו שנטעה בחוץ וטהור, ע"כ. ומחלוקת הרמב"ם והראב"ד הוא בביאור המשנה בעוקצין (פ"ב מ"ט) קישות שנטעה בעציץ והגדילה ויצאת חוץ לעציץ טהורה, ור"ש פליג וסובר דהטמא בטומאתו והטהור יאכל. דהראב"ד מפרש המשנה בעציץ שאינו נקוב ורק כשיצאת חוץ לעציץ דינה כמחובר מדין דמאוירא קא רבו, ומחלוקת ר"ש ורבנן היא דר"ש סובר דרק מה שיצאת לחוץ דינה כמחובר ורבנן סברי דכשיצאת חוץ לעציץ גם מה שבתוך העציץ נעשה מחובר, וכן הוא גם דעת הר"ש והרא"ש במס' עוקצין (שם) וגם דעת רש"י ותוס' במס' חולין (דף קכ"ח ע"א) בביאור המשנה דעוקצין כדעת הראב"ד.</w:t>
      </w:r>
    </w:p>
    <w:p w14:paraId="03C8C463" w14:textId="77777777" w:rsidR="00D31714" w:rsidRPr="0074537A" w:rsidRDefault="00D31714" w:rsidP="00747170">
      <w:pPr>
        <w:pStyle w:val="afffff5"/>
        <w:rPr>
          <w:rtl/>
        </w:rPr>
      </w:pPr>
      <w:r w:rsidRPr="0074537A">
        <w:rPr>
          <w:rtl/>
        </w:rPr>
        <w:t>אכן הרמב"ם מפרש המשנה בעציץ נקוב, ומחלוקת ר"ש ורבנן היא בעציץ נקוב אם גם מה שיצאת לחוץ דינה כמחובר או לא. כן נתבאר בפיהמ"ש שלו. וזהו שכתב ביד החזקה אף על פי שיצאת לחוץ אינה מקבלת טומאה, אשר דעל הך דינא דעציץ שאינו נקוב שיצא לחוץ דינו כמחובר מדין דמאוירא קא רבו, באמת פליג הרמב"ם. ולכאורה צ"ע אמאי, דהרי הך דינא דמאוירא קא רבו לכאורה הוא דין פשוט, וכדחזינן בדין נקבו בארץ ונופו בחו"ל לענין תרו"מ, דאם בתר נופו אזלינן פטור מתרו"מ, אף שנטוע ומושרש בארץ, ורק מדין דמאוירא קא רבו, ע"כ אם בתר נופו אזלינן הוי בכלל גידולי חו"ל. וגם הרמב"ם פסק (בפ"א מהל' תרומות הכ"ה) דבעציץ בתר נופו אזלינן, ומקרי גידולי חו"ל, וא"כ צ"ע אמאי לא אמרינן גם בקבלת טומאה דמאוירא קא רבו.</w:t>
      </w:r>
    </w:p>
    <w:p w14:paraId="4822B725" w14:textId="77777777" w:rsidR="00D31714" w:rsidRPr="0074537A" w:rsidRDefault="00D31714" w:rsidP="00747170">
      <w:pPr>
        <w:pStyle w:val="afffff5"/>
        <w:rPr>
          <w:rtl/>
        </w:rPr>
      </w:pPr>
      <w:r w:rsidRPr="0074537A">
        <w:rPr>
          <w:rtl/>
        </w:rPr>
        <w:t>אכן נראה פשוט, דהנה בדין עציץ נקוב מצינו תרי דיני, חדא דהזרעים שבתוכו ינקי מארעא והם גידולי קרקע, ועוד הלכה נאמרה בעציץ נקוב, והיא שהזרעים שבתוכו הווין מחובר, וכדחזינן דהזרעים שבתוכו אינם מקבלין טומאה והכשר מדין דמחובר אינו מקבל טומאה והכשר. ובאמת דתרי דינים הם, דלדין מצוות התלויות בארץ אין אנו צריכין לדין מחובר, ורק אם ינקי מארעא והווין בכלל גידולי קרקע, שפיר שייכי לדיני מצוות התלויות בארץ, משא"כ דין הכשר וקבלת טומאה תלוי רק בדין מחובר, ורק דזה הוי דין בפנ"ע דעציץ נקוב באמת הוי מחובר. אשר ע"כ נראה דהרמב"ם סובר דדין מאוירא קא רבו לא שייך לדין מחובר, דדין מאוירא קא רבו הוא רק דינקי מארעא והוי בכלל גידולי קרקע, וא"כ דין זה שייך רק למצוות התלויות בארץ, אבל לדיני תלוש ומחובר של כל התורה כולה באמת ל"ש, וע"כ לא שייך זה לדין קבלת טומאה, דלקבלת טומאה והכשר צריכין לדין מחובר. ומנקבו בארץ ונופו בחו"ל אין סתירה, דהרי התם איירינן לענין מצוות התלויות בארץ, ובזה שפיר איכא הדין דמאוירא קא רבו, והויין בכלל גידולי קרקע, אבל בכלל דין מחובר באמת לא הוי ע"י הדין דמאוירא קא רבו.</w:t>
      </w:r>
    </w:p>
    <w:p w14:paraId="76D8F495" w14:textId="56707D08" w:rsidR="00D31714" w:rsidRPr="008163AB" w:rsidRDefault="00D31714" w:rsidP="00D31714">
      <w:pPr>
        <w:pStyle w:val="afffff7"/>
        <w:rPr>
          <w:rtl/>
        </w:rPr>
      </w:pPr>
      <w:bookmarkStart w:id="1224" w:name="_Toc135212282"/>
      <w:bookmarkStart w:id="1225" w:name="_Toc135670272"/>
      <w:bookmarkStart w:id="1226" w:name="_Toc163505573"/>
      <w:r w:rsidRPr="008163AB">
        <w:rPr>
          <w:rtl/>
        </w:rPr>
        <w:t xml:space="preserve">חדושי הגר"ח </w:t>
      </w:r>
      <w:r>
        <w:rPr>
          <w:rFonts w:hint="cs"/>
          <w:rtl/>
        </w:rPr>
        <w:t>[מהגר"מ]</w:t>
      </w:r>
      <w:r w:rsidRPr="008163AB">
        <w:rPr>
          <w:rFonts w:hint="cs"/>
          <w:rtl/>
        </w:rPr>
        <w:t xml:space="preserve"> </w:t>
      </w:r>
      <w:r w:rsidRPr="008163AB">
        <w:rPr>
          <w:rtl/>
        </w:rPr>
        <w:t>שבת פ"א ע"ב</w:t>
      </w:r>
      <w:r w:rsidRPr="008163AB">
        <w:rPr>
          <w:rFonts w:hint="cs"/>
          <w:rtl/>
        </w:rPr>
        <w:t xml:space="preserve"> ד"ה וזהו גם</w:t>
      </w:r>
      <w:bookmarkEnd w:id="1224"/>
      <w:bookmarkEnd w:id="1225"/>
      <w:bookmarkEnd w:id="1226"/>
    </w:p>
    <w:p w14:paraId="7C2BF8C7" w14:textId="77777777" w:rsidR="00D31714" w:rsidRPr="008163AB" w:rsidRDefault="00D31714" w:rsidP="00D31714">
      <w:pPr>
        <w:pStyle w:val="a7"/>
        <w:rPr>
          <w:rtl/>
        </w:rPr>
      </w:pPr>
      <w:bookmarkStart w:id="1227" w:name="_Toc135669998"/>
      <w:r w:rsidRPr="00123E3B">
        <w:rPr>
          <w:rtl/>
        </w:rPr>
        <w:t>בי' הגר"מ סולובייצ'יק</w:t>
      </w:r>
      <w:r>
        <w:rPr>
          <w:rFonts w:hint="cs"/>
          <w:rtl/>
        </w:rPr>
        <w:t xml:space="preserve"> דבשבת חייב בתולש דאף דיונק מהקרקע לענין שבת החיוב תלוי במחובר</w:t>
      </w:r>
      <w:bookmarkEnd w:id="1227"/>
    </w:p>
    <w:p w14:paraId="3DF3E5DA" w14:textId="02F95E00" w:rsidR="00D31714" w:rsidRPr="008163AB" w:rsidRDefault="00D31714" w:rsidP="00BC7DC8">
      <w:pPr>
        <w:pStyle w:val="a3"/>
        <w:rPr>
          <w:rtl/>
        </w:rPr>
      </w:pPr>
      <w:bookmarkStart w:id="1228" w:name="_Ref134777694"/>
      <w:r w:rsidRPr="008163AB">
        <w:rPr>
          <w:rFonts w:hint="cs"/>
          <w:rtl/>
        </w:rPr>
        <w:t xml:space="preserve">ולפי"ז ביאר </w:t>
      </w:r>
      <w:r w:rsidRPr="00B53404">
        <w:rPr>
          <w:rFonts w:hint="cs"/>
          <w:vanish/>
          <w:rtl/>
        </w:rPr>
        <w:t xml:space="preserve">&lt;. </w:t>
      </w:r>
      <w:r w:rsidRPr="00B53404">
        <w:rPr>
          <w:vanish/>
          <w:rtl/>
        </w:rPr>
        <w:fldChar w:fldCharType="begin"/>
      </w:r>
      <w:r w:rsidRPr="00B53404">
        <w:rPr>
          <w:vanish/>
          <w:rtl/>
        </w:rPr>
        <w:instrText xml:space="preserve"> </w:instrText>
      </w:r>
      <w:r w:rsidRPr="00B53404">
        <w:rPr>
          <w:rFonts w:hint="cs"/>
          <w:vanish/>
        </w:rPr>
        <w:instrText>REF</w:instrText>
      </w:r>
      <w:r w:rsidRPr="00B53404">
        <w:rPr>
          <w:rFonts w:hint="cs"/>
          <w:vanish/>
          <w:rtl/>
        </w:rPr>
        <w:instrText xml:space="preserve"> _</w:instrText>
      </w:r>
      <w:r w:rsidRPr="00B53404">
        <w:rPr>
          <w:rFonts w:hint="cs"/>
          <w:vanish/>
        </w:rPr>
        <w:instrText>Ref134777694 \r \h</w:instrText>
      </w:r>
      <w:r w:rsidRPr="00B53404">
        <w:rPr>
          <w:vanish/>
          <w:rtl/>
        </w:rPr>
        <w:instrText xml:space="preserve"> </w:instrText>
      </w:r>
      <w:r w:rsidRPr="00B53404">
        <w:rPr>
          <w:vanish/>
          <w:rtl/>
        </w:rPr>
      </w:r>
      <w:r w:rsidRPr="00B53404">
        <w:rPr>
          <w:vanish/>
          <w:rtl/>
        </w:rPr>
        <w:fldChar w:fldCharType="separate"/>
      </w:r>
      <w:r w:rsidR="00D82181">
        <w:rPr>
          <w:vanish/>
          <w:cs/>
        </w:rPr>
        <w:t>‎</w:t>
      </w:r>
      <w:r w:rsidR="00D82181">
        <w:rPr>
          <w:vanish/>
          <w:rtl/>
        </w:rPr>
        <w:t>ס)</w:t>
      </w:r>
      <w:r w:rsidRPr="00B53404">
        <w:rPr>
          <w:vanish/>
          <w:rtl/>
        </w:rPr>
        <w:fldChar w:fldCharType="end"/>
      </w:r>
      <w:r w:rsidRPr="00B53404">
        <w:rPr>
          <w:rFonts w:hint="cs"/>
          <w:vanish/>
          <w:rtl/>
        </w:rPr>
        <w:t xml:space="preserve"> &gt;</w:t>
      </w:r>
      <w:r w:rsidRPr="008D113A">
        <w:rPr>
          <w:rStyle w:val="aff4"/>
          <w:rFonts w:hint="cs"/>
          <w:vanish/>
          <w:rtl/>
        </w:rPr>
        <w:t>-</w:t>
      </w:r>
      <w:r w:rsidRPr="000614F7">
        <w:rPr>
          <w:rStyle w:val="aff4"/>
          <w:rFonts w:hint="cs"/>
          <w:rtl/>
        </w:rPr>
        <w:t>הגר"מ סולובייצ'יק</w:t>
      </w:r>
      <w:r w:rsidRPr="008D113A">
        <w:rPr>
          <w:rStyle w:val="aff4"/>
          <w:rFonts w:hint="cs"/>
          <w:vanish/>
          <w:rtl/>
        </w:rPr>
        <w:t>-</w:t>
      </w:r>
      <w:r w:rsidRPr="008163AB">
        <w:rPr>
          <w:rFonts w:hint="cs"/>
          <w:rtl/>
        </w:rPr>
        <w:t xml:space="preserve"> </w:t>
      </w:r>
      <w:r w:rsidRPr="00A3054F">
        <w:rPr>
          <w:rStyle w:val="af2"/>
          <w:rFonts w:eastAsia="Guttman Hodes" w:hint="cs"/>
          <w:rtl/>
        </w:rPr>
        <w:t>(</w:t>
      </w:r>
      <w:r w:rsidRPr="00A3054F">
        <w:rPr>
          <w:rStyle w:val="af2"/>
          <w:rFonts w:eastAsia="Guttman Hodes"/>
          <w:rtl/>
        </w:rPr>
        <w:t>חי' הגר"ח על הש"ס</w:t>
      </w:r>
      <w:r w:rsidRPr="00A3054F">
        <w:rPr>
          <w:rStyle w:val="af2"/>
          <w:rFonts w:eastAsia="Guttman Hodes" w:hint="cs"/>
          <w:rtl/>
        </w:rPr>
        <w:t>, פא: ד"ה והנה, ד"ה וזהו גם)</w:t>
      </w:r>
      <w:r w:rsidRPr="008D113A">
        <w:rPr>
          <w:rFonts w:hint="cs"/>
          <w:vanish/>
          <w:rtl/>
        </w:rPr>
        <w:t>=</w:t>
      </w:r>
      <w:r w:rsidRPr="008163AB">
        <w:rPr>
          <w:rFonts w:hint="cs"/>
          <w:rtl/>
        </w:rPr>
        <w:t xml:space="preserve"> את מ"ש </w:t>
      </w:r>
      <w:r w:rsidRPr="008D113A">
        <w:rPr>
          <w:rStyle w:val="aff4"/>
          <w:rFonts w:hint="cs"/>
          <w:vanish/>
          <w:rtl/>
        </w:rPr>
        <w:t>-</w:t>
      </w:r>
      <w:r w:rsidRPr="000614F7">
        <w:rPr>
          <w:rStyle w:val="aff4"/>
          <w:rFonts w:hint="cs"/>
          <w:rtl/>
        </w:rPr>
        <w:t>הרמב"ם</w:t>
      </w:r>
      <w:r w:rsidRPr="008D113A">
        <w:rPr>
          <w:rStyle w:val="aff4"/>
          <w:rFonts w:hint="cs"/>
          <w:vanish/>
          <w:rtl/>
        </w:rPr>
        <w:t>-</w:t>
      </w:r>
      <w:r w:rsidRPr="008163AB">
        <w:rPr>
          <w:rFonts w:hint="cs"/>
          <w:rtl/>
        </w:rPr>
        <w:t xml:space="preserve"> </w:t>
      </w:r>
      <w:r w:rsidRPr="00A3054F">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Ref135151599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נח)</w:t>
      </w:r>
      <w:r>
        <w:rPr>
          <w:rStyle w:val="af2"/>
          <w:rFonts w:eastAsia="Guttman Hodes"/>
          <w:rtl/>
        </w:rPr>
        <w:fldChar w:fldCharType="end"/>
      </w:r>
      <w:r w:rsidRPr="008163AB">
        <w:rPr>
          <w:rFonts w:hint="cs"/>
          <w:rtl/>
        </w:rPr>
        <w:t xml:space="preserve"> דלענין תרו"מ עציץ נקוב שמונח ע"ג יתדות חייב בתרו"מ מדאו', ואילו לענין תולש, כתב </w:t>
      </w:r>
      <w:r w:rsidRPr="008D113A">
        <w:rPr>
          <w:rStyle w:val="aff4"/>
          <w:rFonts w:hint="cs"/>
          <w:vanish/>
          <w:rtl/>
        </w:rPr>
        <w:t>-</w:t>
      </w:r>
      <w:r w:rsidRPr="000614F7">
        <w:rPr>
          <w:rStyle w:val="aff4"/>
          <w:rFonts w:hint="cs"/>
          <w:rtl/>
        </w:rPr>
        <w:t>הרמב"ם</w:t>
      </w:r>
      <w:r w:rsidRPr="008D113A">
        <w:rPr>
          <w:rStyle w:val="aff4"/>
          <w:rFonts w:hint="cs"/>
          <w:vanish/>
          <w:rtl/>
        </w:rPr>
        <w:t>-</w:t>
      </w:r>
      <w:r w:rsidRPr="008163AB">
        <w:rPr>
          <w:rFonts w:hint="cs"/>
          <w:rtl/>
        </w:rPr>
        <w:t xml:space="preserve"> </w:t>
      </w:r>
      <w:r w:rsidRPr="00A3054F">
        <w:rPr>
          <w:rStyle w:val="af2"/>
          <w:rFonts w:eastAsia="Guttman Hodes" w:hint="cs"/>
          <w:rtl/>
        </w:rPr>
        <w:t xml:space="preserve">(עי' אות </w:t>
      </w:r>
      <w:r w:rsidRPr="00A3054F">
        <w:rPr>
          <w:rStyle w:val="af2"/>
          <w:rFonts w:eastAsia="Guttman Hodes"/>
          <w:rtl/>
        </w:rPr>
        <w:fldChar w:fldCharType="begin"/>
      </w:r>
      <w:r w:rsidRPr="00A3054F">
        <w:rPr>
          <w:rStyle w:val="af2"/>
          <w:rFonts w:eastAsia="Guttman Hodes"/>
          <w:rtl/>
        </w:rPr>
        <w:instrText xml:space="preserve"> </w:instrText>
      </w:r>
      <w:r w:rsidRPr="00A3054F">
        <w:rPr>
          <w:rStyle w:val="af2"/>
          <w:rFonts w:eastAsia="Guttman Hodes" w:hint="cs"/>
        </w:rPr>
        <w:instrText>REF</w:instrText>
      </w:r>
      <w:r w:rsidRPr="00A3054F">
        <w:rPr>
          <w:rStyle w:val="af2"/>
          <w:rFonts w:eastAsia="Guttman Hodes" w:hint="cs"/>
          <w:rtl/>
        </w:rPr>
        <w:instrText xml:space="preserve"> _</w:instrText>
      </w:r>
      <w:r w:rsidRPr="00A3054F">
        <w:rPr>
          <w:rStyle w:val="af2"/>
          <w:rFonts w:eastAsia="Guttman Hodes" w:hint="cs"/>
        </w:rPr>
        <w:instrText>Ref134736415 \r \h</w:instrText>
      </w:r>
      <w:r w:rsidRPr="00A3054F">
        <w:rPr>
          <w:rStyle w:val="af2"/>
          <w:rFonts w:eastAsia="Guttman Hodes"/>
          <w:rtl/>
        </w:rPr>
        <w:instrText xml:space="preserve"> </w:instrText>
      </w:r>
      <w:r w:rsidRPr="00A3054F">
        <w:rPr>
          <w:rStyle w:val="af2"/>
          <w:rFonts w:eastAsia="Guttman Hodes"/>
          <w:rtl/>
        </w:rPr>
      </w:r>
      <w:r w:rsidRPr="00A3054F">
        <w:rPr>
          <w:rStyle w:val="af2"/>
          <w:rFonts w:eastAsia="Guttman Hodes"/>
          <w:rtl/>
        </w:rPr>
        <w:fldChar w:fldCharType="separate"/>
      </w:r>
      <w:r w:rsidR="00D82181">
        <w:rPr>
          <w:rStyle w:val="af2"/>
          <w:rFonts w:eastAsia="Guttman Hodes"/>
          <w:cs/>
        </w:rPr>
        <w:t>‎</w:t>
      </w:r>
      <w:r w:rsidR="00D82181">
        <w:rPr>
          <w:rStyle w:val="af2"/>
          <w:rFonts w:eastAsia="Guttman Hodes"/>
          <w:rtl/>
        </w:rPr>
        <w:t>מ)</w:t>
      </w:r>
      <w:r w:rsidRPr="00A3054F">
        <w:rPr>
          <w:rStyle w:val="af2"/>
          <w:rFonts w:eastAsia="Guttman Hodes"/>
          <w:rtl/>
        </w:rPr>
        <w:fldChar w:fldCharType="end"/>
      </w:r>
      <w:r w:rsidRPr="008163AB">
        <w:rPr>
          <w:rFonts w:hint="cs"/>
          <w:rtl/>
        </w:rPr>
        <w:t xml:space="preserve"> דהמגביה גבשושית מהקרקע והניחה ע"ג יתדות הוי תולש מדאו', אעפ"י ד</w:t>
      </w:r>
      <w:r>
        <w:rPr>
          <w:rFonts w:hint="cs"/>
          <w:rtl/>
        </w:rPr>
        <w:t>חייב ב</w:t>
      </w:r>
      <w:r w:rsidRPr="008163AB">
        <w:rPr>
          <w:rFonts w:hint="cs"/>
          <w:rtl/>
        </w:rPr>
        <w:t>תרו"מ</w:t>
      </w:r>
      <w:r>
        <w:rPr>
          <w:rFonts w:hint="cs"/>
          <w:rtl/>
        </w:rPr>
        <w:t xml:space="preserve"> כגידולי קרקע</w:t>
      </w:r>
      <w:r w:rsidRPr="008163AB">
        <w:rPr>
          <w:rFonts w:hint="cs"/>
          <w:rtl/>
        </w:rPr>
        <w:t xml:space="preserve">, וביאר </w:t>
      </w:r>
      <w:r w:rsidRPr="008D113A">
        <w:rPr>
          <w:rStyle w:val="aff4"/>
          <w:rFonts w:hint="cs"/>
          <w:vanish/>
          <w:rtl/>
        </w:rPr>
        <w:t>-</w:t>
      </w:r>
      <w:r w:rsidRPr="000614F7">
        <w:rPr>
          <w:rStyle w:val="aff4"/>
          <w:rFonts w:hint="cs"/>
          <w:rtl/>
        </w:rPr>
        <w:t>הגר"מ סולובייצ'יק</w:t>
      </w:r>
      <w:r w:rsidRPr="008D113A">
        <w:rPr>
          <w:rStyle w:val="aff4"/>
          <w:rFonts w:hint="cs"/>
          <w:vanish/>
          <w:rtl/>
        </w:rPr>
        <w:t>-</w:t>
      </w:r>
      <w:r w:rsidRPr="008163AB">
        <w:rPr>
          <w:rFonts w:hint="cs"/>
          <w:rtl/>
        </w:rPr>
        <w:t xml:space="preserve"> דבאמת במונח ע"ג יתדות לא חשיב מחובר כלל, ולכן </w:t>
      </w:r>
      <w:r>
        <w:rPr>
          <w:rFonts w:hint="cs"/>
          <w:rtl/>
        </w:rPr>
        <w:t xml:space="preserve">לענין שבת </w:t>
      </w:r>
      <w:r w:rsidRPr="008163AB">
        <w:rPr>
          <w:rFonts w:hint="cs"/>
          <w:rtl/>
        </w:rPr>
        <w:t>יש בו חיוב תולש מדאו', אבל לענין תרו"מ דאינו תלוי במחובר אלא ביניקה מהקרקע, בזה אף במונח ע"ג יתדות דינו כ</w:t>
      </w:r>
      <w:r>
        <w:rPr>
          <w:rFonts w:hint="cs"/>
          <w:rtl/>
        </w:rPr>
        <w:t xml:space="preserve">גידולי קרקע </w:t>
      </w:r>
      <w:r w:rsidRPr="008163AB">
        <w:rPr>
          <w:rFonts w:hint="cs"/>
          <w:rtl/>
        </w:rPr>
        <w:t>קרקע, כיון שהוא יונק ממנה,</w:t>
      </w:r>
      <w:r>
        <w:rPr>
          <w:rFonts w:hint="cs"/>
          <w:rtl/>
        </w:rPr>
        <w:t xml:space="preserve"> ואף שיש הפסקת אויר בין העציץ לקרקע ואינו מחובר לה, עדיין הוא  יונק וחייב בתרו"מ,</w:t>
      </w:r>
      <w:bookmarkEnd w:id="1228"/>
      <w:r>
        <w:rPr>
          <w:rFonts w:hint="cs"/>
          <w:rtl/>
        </w:rPr>
        <w:t xml:space="preserve"> ועיי"ש במה שביאר </w:t>
      </w:r>
      <w:r w:rsidRPr="008D113A">
        <w:rPr>
          <w:rStyle w:val="aff4"/>
          <w:rFonts w:hint="cs"/>
          <w:vanish/>
          <w:rtl/>
        </w:rPr>
        <w:t>-</w:t>
      </w:r>
      <w:r w:rsidRPr="000614F7">
        <w:rPr>
          <w:rStyle w:val="aff4"/>
          <w:rFonts w:hint="cs"/>
          <w:rtl/>
        </w:rPr>
        <w:t>הגר"מ סולובייצ'יק</w:t>
      </w:r>
      <w:r w:rsidRPr="008D113A">
        <w:rPr>
          <w:rStyle w:val="aff4"/>
          <w:rFonts w:hint="cs"/>
          <w:vanish/>
          <w:rtl/>
        </w:rPr>
        <w:t>-</w:t>
      </w:r>
      <w:r>
        <w:rPr>
          <w:rFonts w:hint="cs"/>
          <w:rtl/>
        </w:rPr>
        <w:t xml:space="preserve"> דמקור דברי </w:t>
      </w:r>
      <w:r w:rsidRPr="008D113A">
        <w:rPr>
          <w:rStyle w:val="aff4"/>
          <w:rFonts w:hint="cs"/>
          <w:vanish/>
          <w:rtl/>
        </w:rPr>
        <w:t>-</w:t>
      </w:r>
      <w:r w:rsidRPr="000614F7">
        <w:rPr>
          <w:rStyle w:val="aff4"/>
          <w:rFonts w:hint="cs"/>
          <w:rtl/>
        </w:rPr>
        <w:t>הרמב"ם</w:t>
      </w:r>
      <w:r w:rsidRPr="008D113A">
        <w:rPr>
          <w:rStyle w:val="aff4"/>
          <w:rFonts w:hint="cs"/>
          <w:vanish/>
          <w:rtl/>
        </w:rPr>
        <w:t>-</w:t>
      </w:r>
      <w:r>
        <w:rPr>
          <w:rFonts w:hint="cs"/>
          <w:rtl/>
        </w:rPr>
        <w:t xml:space="preserve"> הוא לפי גירסתו בתוספתא בעוקצין </w:t>
      </w:r>
      <w:r w:rsidRPr="00A3054F">
        <w:rPr>
          <w:rStyle w:val="af2"/>
          <w:rFonts w:eastAsia="Guttman Hodes" w:hint="cs"/>
          <w:rtl/>
        </w:rPr>
        <w:t>(פ"ב ה"ז)</w:t>
      </w:r>
      <w:r>
        <w:rPr>
          <w:rFonts w:hint="cs"/>
          <w:rtl/>
        </w:rPr>
        <w:t xml:space="preserve"> עיי"ש בדבריו, וכעי"ז כתב </w:t>
      </w:r>
      <w:r w:rsidRPr="008D113A">
        <w:rPr>
          <w:rStyle w:val="aff4"/>
          <w:rFonts w:hint="cs"/>
          <w:vanish/>
          <w:rtl/>
        </w:rPr>
        <w:t>-</w:t>
      </w:r>
      <w:r w:rsidRPr="000A7027">
        <w:rPr>
          <w:rStyle w:val="aff4"/>
          <w:rFonts w:hint="cs"/>
          <w:rtl/>
        </w:rPr>
        <w:t xml:space="preserve"> </w:t>
      </w:r>
      <w:r w:rsidRPr="00062375">
        <w:rPr>
          <w:rStyle w:val="aff4"/>
          <w:rFonts w:hint="cs"/>
          <w:rtl/>
        </w:rPr>
        <w:t>הקה"י</w:t>
      </w:r>
      <w:r w:rsidRPr="008D113A">
        <w:rPr>
          <w:rStyle w:val="aff4"/>
          <w:rFonts w:hint="cs"/>
          <w:vanish/>
          <w:rtl/>
        </w:rPr>
        <w:t xml:space="preserve"> -</w:t>
      </w:r>
      <w:r>
        <w:rPr>
          <w:rFonts w:hint="cs"/>
          <w:rtl/>
        </w:rPr>
        <w:t xml:space="preserve"> </w:t>
      </w:r>
      <w:r w:rsidRPr="00A3054F">
        <w:rPr>
          <w:rStyle w:val="af2"/>
          <w:rFonts w:eastAsia="Guttman Hodes" w:hint="cs"/>
          <w:rtl/>
        </w:rPr>
        <w:t xml:space="preserve">(עי' אות </w:t>
      </w:r>
      <w:r w:rsidRPr="00A3054F">
        <w:rPr>
          <w:rStyle w:val="af2"/>
          <w:rFonts w:eastAsia="Guttman Hodes"/>
          <w:rtl/>
        </w:rPr>
        <w:fldChar w:fldCharType="begin"/>
      </w:r>
      <w:r w:rsidRPr="00A3054F">
        <w:rPr>
          <w:rStyle w:val="af2"/>
          <w:rFonts w:eastAsia="Guttman Hodes"/>
          <w:rtl/>
        </w:rPr>
        <w:instrText xml:space="preserve"> </w:instrText>
      </w:r>
      <w:r w:rsidRPr="00A3054F">
        <w:rPr>
          <w:rStyle w:val="af2"/>
          <w:rFonts w:eastAsia="Guttman Hodes" w:hint="cs"/>
        </w:rPr>
        <w:instrText>REF</w:instrText>
      </w:r>
      <w:r w:rsidRPr="00A3054F">
        <w:rPr>
          <w:rStyle w:val="af2"/>
          <w:rFonts w:eastAsia="Guttman Hodes" w:hint="cs"/>
          <w:rtl/>
        </w:rPr>
        <w:instrText xml:space="preserve"> _</w:instrText>
      </w:r>
      <w:r w:rsidRPr="00A3054F">
        <w:rPr>
          <w:rStyle w:val="af2"/>
          <w:rFonts w:eastAsia="Guttman Hodes" w:hint="cs"/>
        </w:rPr>
        <w:instrText>Ref135650289 \r \h</w:instrText>
      </w:r>
      <w:r w:rsidRPr="00A3054F">
        <w:rPr>
          <w:rStyle w:val="af2"/>
          <w:rFonts w:eastAsia="Guttman Hodes"/>
          <w:rtl/>
        </w:rPr>
        <w:instrText xml:space="preserve"> </w:instrText>
      </w:r>
      <w:r w:rsidRPr="00A3054F">
        <w:rPr>
          <w:rStyle w:val="af2"/>
          <w:rFonts w:eastAsia="Guttman Hodes"/>
          <w:rtl/>
        </w:rPr>
      </w:r>
      <w:r w:rsidRPr="00A3054F">
        <w:rPr>
          <w:rStyle w:val="af2"/>
          <w:rFonts w:eastAsia="Guttman Hodes"/>
          <w:rtl/>
        </w:rPr>
        <w:fldChar w:fldCharType="separate"/>
      </w:r>
      <w:r w:rsidR="00D82181">
        <w:rPr>
          <w:rStyle w:val="af2"/>
          <w:rFonts w:eastAsia="Guttman Hodes"/>
          <w:cs/>
        </w:rPr>
        <w:t>‎</w:t>
      </w:r>
      <w:r w:rsidR="00D82181">
        <w:rPr>
          <w:rStyle w:val="af2"/>
          <w:rFonts w:eastAsia="Guttman Hodes"/>
          <w:rtl/>
        </w:rPr>
        <w:t>סג)</w:t>
      </w:r>
      <w:r w:rsidRPr="00A3054F">
        <w:rPr>
          <w:rStyle w:val="af2"/>
          <w:rFonts w:eastAsia="Guttman Hodes"/>
          <w:rtl/>
        </w:rPr>
        <w:fldChar w:fldCharType="end"/>
      </w:r>
      <w:r>
        <w:rPr>
          <w:rFonts w:hint="cs"/>
          <w:rtl/>
        </w:rPr>
        <w:t xml:space="preserve">. </w:t>
      </w:r>
    </w:p>
    <w:p w14:paraId="50C5A3E7" w14:textId="77777777" w:rsidR="00D31714" w:rsidRPr="00747170" w:rsidRDefault="00D31714" w:rsidP="00747170">
      <w:pPr>
        <w:pStyle w:val="a2"/>
        <w:rPr>
          <w:rtl/>
        </w:rPr>
      </w:pPr>
      <w:r w:rsidRPr="00747170">
        <w:rPr>
          <w:rtl/>
        </w:rPr>
        <w:t>וזהו גם הביאור בדברי הרמב"ם שפסק דעציץ נקוב ע"ג יתידות חייב בתרו"מ מדאורייתא, ופסק ג"כ לענין שבת דהוי תולש מדאורייתא, משום דתרי דינים הן, דדין תרו"מ תלוי רק בדין גידולי קרקע, ובזה פסק דגם עציץ נקוב ע"ג יתידות הוי בכלל גידולי קרקע כיון דינקי מארעא, והא דמפסיק אוירא לא מבטל לדין גידולי קרקע. אבל הדין דעציץ נקוב הוי מחובר באמת ליכא בזמן שמונח ע"ג יתידות כיון דקמפסיק אוירא וע"כ לענין שבת הוי תולש.</w:t>
      </w:r>
    </w:p>
    <w:p w14:paraId="492DA83D" w14:textId="77777777" w:rsidR="00D31714" w:rsidRPr="009069E2" w:rsidRDefault="00D31714" w:rsidP="00D31714">
      <w:pPr>
        <w:pStyle w:val="afff6"/>
        <w:rPr>
          <w:vanish/>
          <w:rtl/>
        </w:rPr>
      </w:pPr>
      <w:r w:rsidRPr="009069E2">
        <w:rPr>
          <w:vanish/>
          <w:rtl/>
        </w:rPr>
        <w:t>ויסוד שיטת הרמב"ם הוא גירסא אחרת בתוספתא (פ"ב דעוקצין ה"ז) וז"ל עציץ נקוב שנתנו ע"ג שתי יתידות אפילו גבוה מן הארץ אמה, אינו מכשיר את הזרעים. ע"כ. הרי דדין עציץ נקוב ע"ג יתידות שייך גם לדין מחובר, כדחזינן דשייך גם לענין קבלת טומאה והכשר. וב"אור - הגנוז" הביא גירסא מכשיר את הזרעים, ונראה דזהו גירסת הרמב"ם, וזהו דמבואר בתוספתא דעציץ נקוב על יתידות הזרעים שבתוכו מקבלין טומאה והכשר משום דבכלל תלוש הם, וזה דנתבאר בשיטת הרמב"ם דדין עציץ נקוב ע"ג יתידות ודין מאוירא קא רבו תרווייהו לדין מחובר לא שייכי. ודין עציץ נקוב ע"ג יתידות הוא שתי גרסאות בתוספתא דעוקצין. והנה הר"ש (בספ"ב דעוקצין) הביא את הגירסא דאינו מכשיר את הזרעים, אשר ע"כ נראה דמחלוקת הרמב"ם והר"ש אם הדין דמאוירא קא רבו שייך לדין מחובר וקבלת טומאה, לטעמייהו אזלי בגירסת התוספתא דעוקצין, דבזה דינא דמאוירא קא רבו ועציץ נקוב ע"ג יתידות תרווייהו חדא דינא הם.</w:t>
      </w:r>
    </w:p>
    <w:p w14:paraId="779C0566" w14:textId="77777777" w:rsidR="00D31714" w:rsidRPr="008163AB" w:rsidRDefault="00D31714" w:rsidP="00D31714">
      <w:pPr>
        <w:pStyle w:val="afffff7"/>
        <w:rPr>
          <w:rtl/>
        </w:rPr>
      </w:pPr>
      <w:bookmarkStart w:id="1229" w:name="_Toc135212283"/>
      <w:bookmarkStart w:id="1230" w:name="_Toc135670273"/>
      <w:bookmarkStart w:id="1231" w:name="_Toc163505574"/>
      <w:r w:rsidRPr="008163AB">
        <w:rPr>
          <w:rtl/>
        </w:rPr>
        <w:t xml:space="preserve">חדושי הגר"ח </w:t>
      </w:r>
      <w:r>
        <w:rPr>
          <w:rFonts w:hint="cs"/>
          <w:rtl/>
        </w:rPr>
        <w:t>[מהגר"מ]</w:t>
      </w:r>
      <w:r w:rsidRPr="008163AB">
        <w:rPr>
          <w:rFonts w:hint="cs"/>
          <w:rtl/>
        </w:rPr>
        <w:t xml:space="preserve"> </w:t>
      </w:r>
      <w:r w:rsidRPr="008163AB">
        <w:rPr>
          <w:rtl/>
        </w:rPr>
        <w:t>שבת</w:t>
      </w:r>
      <w:bookmarkStart w:id="1232" w:name="_Hlk134782999"/>
      <w:r w:rsidRPr="008163AB">
        <w:rPr>
          <w:rtl/>
        </w:rPr>
        <w:t xml:space="preserve"> פ"א ע"ב</w:t>
      </w:r>
      <w:r>
        <w:rPr>
          <w:rFonts w:hint="cs"/>
          <w:rtl/>
        </w:rPr>
        <w:t xml:space="preserve"> </w:t>
      </w:r>
      <w:bookmarkEnd w:id="1232"/>
      <w:r w:rsidRPr="008163AB">
        <w:rPr>
          <w:rFonts w:hint="cs"/>
          <w:rtl/>
        </w:rPr>
        <w:t xml:space="preserve">ד"ה </w:t>
      </w:r>
      <w:r w:rsidRPr="0084149C">
        <w:rPr>
          <w:rtl/>
        </w:rPr>
        <w:t>והנה במס'</w:t>
      </w:r>
      <w:bookmarkEnd w:id="1229"/>
      <w:bookmarkEnd w:id="1230"/>
      <w:bookmarkEnd w:id="1231"/>
    </w:p>
    <w:p w14:paraId="378800B5" w14:textId="77777777" w:rsidR="00D31714" w:rsidRPr="008163AB" w:rsidRDefault="00D31714" w:rsidP="00D31714">
      <w:pPr>
        <w:pStyle w:val="a7"/>
        <w:rPr>
          <w:rtl/>
        </w:rPr>
      </w:pPr>
      <w:bookmarkStart w:id="1233" w:name="_Toc135669999"/>
      <w:r>
        <w:rPr>
          <w:rFonts w:hint="cs"/>
          <w:rtl/>
        </w:rPr>
        <w:t>קו</w:t>
      </w:r>
      <w:r w:rsidRPr="00123E3B">
        <w:rPr>
          <w:rtl/>
        </w:rPr>
        <w:t>' הגר"מ סולובייצ'יק</w:t>
      </w:r>
      <w:r>
        <w:rPr>
          <w:rFonts w:hint="cs"/>
          <w:rtl/>
        </w:rPr>
        <w:t xml:space="preserve"> ברמב"ם דאוירא קא רבו אינו מחשיב כמחובר ואמאי התולש מצרור חייב</w:t>
      </w:r>
      <w:bookmarkEnd w:id="1233"/>
    </w:p>
    <w:p w14:paraId="778FF3E5" w14:textId="662E5492" w:rsidR="00D31714" w:rsidRPr="008163AB" w:rsidRDefault="00D31714" w:rsidP="00BC7DC8">
      <w:pPr>
        <w:pStyle w:val="a3"/>
        <w:rPr>
          <w:rtl/>
        </w:rPr>
      </w:pPr>
      <w:bookmarkStart w:id="1234" w:name="_Ref134777996"/>
      <w:r>
        <w:rPr>
          <w:rFonts w:hint="cs"/>
          <w:rtl/>
        </w:rPr>
        <w:t xml:space="preserve">בהא דאמר ר"ל בגמ' לקמן </w:t>
      </w:r>
      <w:r w:rsidRPr="00A3054F">
        <w:rPr>
          <w:rStyle w:val="af2"/>
          <w:rFonts w:eastAsia="Guttman Hodes" w:hint="cs"/>
          <w:rtl/>
        </w:rPr>
        <w:t>(פא:)</w:t>
      </w:r>
      <w:r>
        <w:rPr>
          <w:rFonts w:hint="cs"/>
          <w:rtl/>
        </w:rPr>
        <w:t xml:space="preserve"> דהתולש עשבים מהצרור חייב חטאת, הקשה</w:t>
      </w:r>
      <w:r w:rsidRPr="008163AB">
        <w:rPr>
          <w:rFonts w:hint="cs"/>
          <w:rtl/>
        </w:rPr>
        <w:t xml:space="preserve"> </w:t>
      </w:r>
      <w:r w:rsidRPr="00B53404">
        <w:rPr>
          <w:rFonts w:hint="cs"/>
          <w:vanish/>
          <w:rtl/>
        </w:rPr>
        <w:t xml:space="preserve">&lt;. </w:t>
      </w:r>
      <w:r w:rsidRPr="00B53404">
        <w:rPr>
          <w:vanish/>
          <w:rtl/>
        </w:rPr>
        <w:fldChar w:fldCharType="begin"/>
      </w:r>
      <w:r w:rsidRPr="00B53404">
        <w:rPr>
          <w:vanish/>
          <w:rtl/>
        </w:rPr>
        <w:instrText xml:space="preserve"> </w:instrText>
      </w:r>
      <w:r w:rsidRPr="00B53404">
        <w:rPr>
          <w:rFonts w:hint="cs"/>
          <w:vanish/>
        </w:rPr>
        <w:instrText>REF</w:instrText>
      </w:r>
      <w:r w:rsidRPr="00B53404">
        <w:rPr>
          <w:rFonts w:hint="cs"/>
          <w:vanish/>
          <w:rtl/>
        </w:rPr>
        <w:instrText xml:space="preserve"> _</w:instrText>
      </w:r>
      <w:r w:rsidRPr="00B53404">
        <w:rPr>
          <w:rFonts w:hint="cs"/>
          <w:vanish/>
        </w:rPr>
        <w:instrText>Ref134777996 \r \h</w:instrText>
      </w:r>
      <w:r w:rsidRPr="00B53404">
        <w:rPr>
          <w:vanish/>
          <w:rtl/>
        </w:rPr>
        <w:instrText xml:space="preserve"> </w:instrText>
      </w:r>
      <w:r w:rsidRPr="00B53404">
        <w:rPr>
          <w:vanish/>
          <w:rtl/>
        </w:rPr>
      </w:r>
      <w:r w:rsidRPr="00B53404">
        <w:rPr>
          <w:vanish/>
          <w:rtl/>
        </w:rPr>
        <w:fldChar w:fldCharType="separate"/>
      </w:r>
      <w:r w:rsidR="00D82181">
        <w:rPr>
          <w:vanish/>
          <w:cs/>
        </w:rPr>
        <w:t>‎</w:t>
      </w:r>
      <w:r w:rsidR="00D82181">
        <w:rPr>
          <w:vanish/>
          <w:rtl/>
        </w:rPr>
        <w:t>סא)</w:t>
      </w:r>
      <w:r w:rsidRPr="00B53404">
        <w:rPr>
          <w:vanish/>
          <w:rtl/>
        </w:rPr>
        <w:fldChar w:fldCharType="end"/>
      </w:r>
      <w:r w:rsidRPr="00B53404">
        <w:rPr>
          <w:rFonts w:hint="cs"/>
          <w:vanish/>
          <w:rtl/>
        </w:rPr>
        <w:t xml:space="preserve"> &gt;</w:t>
      </w:r>
      <w:r w:rsidRPr="008D113A">
        <w:rPr>
          <w:rStyle w:val="aff4"/>
          <w:rFonts w:hint="cs"/>
          <w:vanish/>
          <w:rtl/>
        </w:rPr>
        <w:t>-</w:t>
      </w:r>
      <w:r w:rsidRPr="000614F7">
        <w:rPr>
          <w:rStyle w:val="aff4"/>
          <w:rFonts w:hint="cs"/>
          <w:rtl/>
        </w:rPr>
        <w:t>הגר"מ סולובייצ'יק</w:t>
      </w:r>
      <w:r w:rsidRPr="008D113A">
        <w:rPr>
          <w:rStyle w:val="aff4"/>
          <w:rFonts w:hint="cs"/>
          <w:vanish/>
          <w:rtl/>
        </w:rPr>
        <w:t>-</w:t>
      </w:r>
      <w:r w:rsidRPr="008163AB">
        <w:rPr>
          <w:rFonts w:hint="cs"/>
          <w:rtl/>
        </w:rPr>
        <w:t xml:space="preserve"> </w:t>
      </w:r>
      <w:r w:rsidRPr="00A3054F">
        <w:rPr>
          <w:rStyle w:val="af2"/>
          <w:rFonts w:eastAsia="Guttman Hodes" w:hint="cs"/>
          <w:rtl/>
        </w:rPr>
        <w:t>(</w:t>
      </w:r>
      <w:r w:rsidRPr="00A3054F">
        <w:rPr>
          <w:rStyle w:val="af2"/>
          <w:rFonts w:eastAsia="Guttman Hodes"/>
          <w:rtl/>
        </w:rPr>
        <w:t>חי' הגר"ח על הש"ס</w:t>
      </w:r>
      <w:r w:rsidRPr="00A3054F">
        <w:rPr>
          <w:rStyle w:val="af2"/>
          <w:rFonts w:eastAsia="Guttman Hodes" w:hint="cs"/>
          <w:rtl/>
        </w:rPr>
        <w:t xml:space="preserve">, פא: ד"ה והנה, ד"ה </w:t>
      </w:r>
      <w:r w:rsidRPr="00A3054F">
        <w:rPr>
          <w:rStyle w:val="af2"/>
          <w:rFonts w:eastAsia="Guttman Hodes"/>
          <w:rtl/>
        </w:rPr>
        <w:t>והנה במס'</w:t>
      </w:r>
      <w:r w:rsidRPr="00A3054F">
        <w:rPr>
          <w:rStyle w:val="af2"/>
          <w:rFonts w:eastAsia="Guttman Hodes" w:hint="cs"/>
          <w:rtl/>
        </w:rPr>
        <w:t>)</w:t>
      </w:r>
      <w:r w:rsidRPr="008D113A">
        <w:rPr>
          <w:rFonts w:hint="cs"/>
          <w:vanish/>
          <w:rtl/>
        </w:rPr>
        <w:t>=</w:t>
      </w:r>
      <w:bookmarkEnd w:id="1234"/>
      <w:r>
        <w:rPr>
          <w:rFonts w:hint="cs"/>
          <w:rtl/>
        </w:rPr>
        <w:t xml:space="preserve"> דהא הצרור חשיב כעציץ שאינו נקוב, ותנן לקמן </w:t>
      </w:r>
      <w:r w:rsidRPr="00A3054F">
        <w:rPr>
          <w:rStyle w:val="af2"/>
          <w:rFonts w:eastAsia="Guttman Hodes" w:hint="cs"/>
          <w:rtl/>
        </w:rPr>
        <w:t>(צה.)</w:t>
      </w:r>
      <w:r>
        <w:rPr>
          <w:rFonts w:hint="cs"/>
          <w:rtl/>
        </w:rPr>
        <w:t xml:space="preserve"> דהתולש מעציץ שאינו נקוב פטור, וכתב </w:t>
      </w:r>
      <w:r w:rsidRPr="008D113A">
        <w:rPr>
          <w:rStyle w:val="aff4"/>
          <w:rFonts w:hint="cs"/>
          <w:vanish/>
          <w:rtl/>
        </w:rPr>
        <w:t>-</w:t>
      </w:r>
      <w:r w:rsidRPr="000614F7">
        <w:rPr>
          <w:rStyle w:val="aff4"/>
          <w:rFonts w:hint="cs"/>
          <w:rtl/>
        </w:rPr>
        <w:t>הגר"מ סולובייצ'יק</w:t>
      </w:r>
      <w:r w:rsidRPr="008D113A">
        <w:rPr>
          <w:rStyle w:val="aff4"/>
          <w:rFonts w:hint="cs"/>
          <w:vanish/>
          <w:rtl/>
        </w:rPr>
        <w:t>-</w:t>
      </w:r>
      <w:r>
        <w:rPr>
          <w:rFonts w:hint="cs"/>
          <w:rtl/>
        </w:rPr>
        <w:t xml:space="preserve"> דלדעת </w:t>
      </w:r>
      <w:r w:rsidRPr="008D113A">
        <w:rPr>
          <w:rStyle w:val="aff4"/>
          <w:rFonts w:hint="cs"/>
          <w:vanish/>
          <w:rtl/>
        </w:rPr>
        <w:t>-</w:t>
      </w:r>
      <w:r w:rsidRPr="000614F7">
        <w:rPr>
          <w:rStyle w:val="aff4"/>
          <w:rFonts w:hint="cs"/>
          <w:rtl/>
        </w:rPr>
        <w:t>הראשונים</w:t>
      </w:r>
      <w:r w:rsidRPr="008D113A">
        <w:rPr>
          <w:rStyle w:val="aff4"/>
          <w:rFonts w:hint="cs"/>
          <w:vanish/>
          <w:rtl/>
        </w:rPr>
        <w:t>-</w:t>
      </w:r>
      <w:r>
        <w:rPr>
          <w:rFonts w:hint="cs"/>
          <w:rtl/>
        </w:rPr>
        <w:t xml:space="preserve"> </w:t>
      </w:r>
      <w:r w:rsidRPr="00FB2347">
        <w:rPr>
          <w:rStyle w:val="af"/>
          <w:rFonts w:hint="cs"/>
          <w:rtl/>
        </w:rPr>
        <w:t>[</w:t>
      </w:r>
      <w:r w:rsidRPr="00065BDB">
        <w:rPr>
          <w:rStyle w:val="aff9"/>
          <w:rFonts w:hint="cs"/>
          <w:vanish/>
          <w:rtl/>
        </w:rPr>
        <w:t>-</w:t>
      </w:r>
      <w:r w:rsidRPr="00FB2347">
        <w:rPr>
          <w:rStyle w:val="aff9"/>
          <w:rFonts w:hint="cs"/>
          <w:rtl/>
        </w:rPr>
        <w:t>הראב"ד</w:t>
      </w:r>
      <w:r w:rsidRPr="00065BDB">
        <w:rPr>
          <w:rStyle w:val="aff9"/>
          <w:rFonts w:hint="cs"/>
          <w:vanish/>
          <w:rtl/>
        </w:rPr>
        <w:t>-</w:t>
      </w:r>
      <w:r w:rsidRPr="00FB2347">
        <w:rPr>
          <w:rStyle w:val="af"/>
          <w:rFonts w:hint="cs"/>
          <w:rtl/>
        </w:rPr>
        <w:t xml:space="preserve"> וכן </w:t>
      </w:r>
      <w:r w:rsidRPr="00065BDB">
        <w:rPr>
          <w:rStyle w:val="aff9"/>
          <w:rFonts w:hint="cs"/>
          <w:vanish/>
          <w:rtl/>
        </w:rPr>
        <w:t>-</w:t>
      </w:r>
      <w:r w:rsidRPr="00FB2347">
        <w:rPr>
          <w:rStyle w:val="aff9"/>
          <w:rFonts w:hint="cs"/>
          <w:rtl/>
        </w:rPr>
        <w:t>הר"ש והרא"ש בעוקצין ורש"י ותוס' בחולין</w:t>
      </w:r>
      <w:r w:rsidRPr="00065BDB">
        <w:rPr>
          <w:rStyle w:val="aff9"/>
          <w:rFonts w:hint="cs"/>
          <w:vanish/>
          <w:rtl/>
        </w:rPr>
        <w:t>-</w:t>
      </w:r>
      <w:r w:rsidRPr="00FB2347">
        <w:rPr>
          <w:rStyle w:val="af"/>
          <w:rFonts w:hint="cs"/>
          <w:rtl/>
        </w:rPr>
        <w:t xml:space="preserve"> </w:t>
      </w:r>
      <w:r w:rsidRPr="00A3054F">
        <w:rPr>
          <w:rStyle w:val="af2"/>
          <w:rFonts w:eastAsia="Guttman Rashi" w:hint="cs"/>
          <w:rtl/>
        </w:rPr>
        <w:t xml:space="preserve">(עי' אות </w:t>
      </w:r>
      <w:r w:rsidRPr="00A3054F">
        <w:rPr>
          <w:rStyle w:val="af2"/>
          <w:rFonts w:eastAsia="Guttman Rashi"/>
          <w:rtl/>
        </w:rPr>
        <w:fldChar w:fldCharType="begin"/>
      </w:r>
      <w:r w:rsidRPr="00A3054F">
        <w:rPr>
          <w:rStyle w:val="af2"/>
          <w:rFonts w:eastAsia="Guttman Rashi"/>
          <w:rtl/>
        </w:rPr>
        <w:instrText xml:space="preserve"> </w:instrText>
      </w:r>
      <w:r w:rsidRPr="00A3054F">
        <w:rPr>
          <w:rStyle w:val="af2"/>
          <w:rFonts w:eastAsia="Guttman Rashi" w:hint="cs"/>
        </w:rPr>
        <w:instrText>REF</w:instrText>
      </w:r>
      <w:r w:rsidRPr="00A3054F">
        <w:rPr>
          <w:rStyle w:val="af2"/>
          <w:rFonts w:eastAsia="Guttman Rashi" w:hint="cs"/>
          <w:rtl/>
        </w:rPr>
        <w:instrText xml:space="preserve"> _</w:instrText>
      </w:r>
      <w:r w:rsidRPr="00A3054F">
        <w:rPr>
          <w:rStyle w:val="af2"/>
          <w:rFonts w:eastAsia="Guttman Rashi" w:hint="cs"/>
        </w:rPr>
        <w:instrText>Ref134778156 \r \h</w:instrText>
      </w:r>
      <w:r w:rsidRPr="00A3054F">
        <w:rPr>
          <w:rStyle w:val="af2"/>
          <w:rFonts w:eastAsia="Guttman Rashi"/>
          <w:rtl/>
        </w:rPr>
        <w:instrText xml:space="preserve"> </w:instrText>
      </w:r>
      <w:r w:rsidRPr="00A3054F">
        <w:rPr>
          <w:rStyle w:val="af2"/>
          <w:rFonts w:eastAsia="Guttman Rashi"/>
          <w:rtl/>
        </w:rPr>
      </w:r>
      <w:r w:rsidRPr="00A3054F">
        <w:rPr>
          <w:rStyle w:val="af2"/>
          <w:rFonts w:eastAsia="Guttman Rashi"/>
          <w:rtl/>
        </w:rPr>
        <w:fldChar w:fldCharType="separate"/>
      </w:r>
      <w:r w:rsidR="00D82181">
        <w:rPr>
          <w:rStyle w:val="af2"/>
          <w:rFonts w:eastAsia="Guttman Rashi"/>
          <w:cs/>
        </w:rPr>
        <w:t>‎</w:t>
      </w:r>
      <w:r w:rsidR="00D82181">
        <w:rPr>
          <w:rStyle w:val="af2"/>
          <w:rFonts w:eastAsia="Guttman Rashi"/>
          <w:rtl/>
        </w:rPr>
        <w:t>נט)</w:t>
      </w:r>
      <w:r w:rsidRPr="00A3054F">
        <w:rPr>
          <w:rStyle w:val="af2"/>
          <w:rFonts w:eastAsia="Guttman Rashi"/>
          <w:rtl/>
        </w:rPr>
        <w:fldChar w:fldCharType="end"/>
      </w:r>
      <w:r w:rsidRPr="00FB2347">
        <w:rPr>
          <w:rStyle w:val="af"/>
          <w:rFonts w:hint="cs"/>
          <w:rtl/>
        </w:rPr>
        <w:t>]</w:t>
      </w:r>
      <w:r>
        <w:rPr>
          <w:rFonts w:hint="cs"/>
          <w:rtl/>
        </w:rPr>
        <w:t xml:space="preserve"> דס"ל דע"י דמאוירא קא רבו חשיב כמחובר, א"כ מבואר דאף דהצרור אינו נקוב, מ"מ כיון דהעשבים רואים את פני האויר, מאוירא קא רבו ודינם כמחובר ולכן התולש מהם חייב, אבל לדעת </w:t>
      </w:r>
      <w:r w:rsidRPr="008D113A">
        <w:rPr>
          <w:rStyle w:val="aff4"/>
          <w:rFonts w:hint="cs"/>
          <w:vanish/>
          <w:rtl/>
        </w:rPr>
        <w:t>-</w:t>
      </w:r>
      <w:r w:rsidRPr="000614F7">
        <w:rPr>
          <w:rStyle w:val="aff4"/>
          <w:rFonts w:hint="cs"/>
          <w:rtl/>
        </w:rPr>
        <w:t>הרמב"ם</w:t>
      </w:r>
      <w:r w:rsidRPr="008D113A">
        <w:rPr>
          <w:rStyle w:val="aff4"/>
          <w:rFonts w:hint="cs"/>
          <w:vanish/>
          <w:rtl/>
        </w:rPr>
        <w:t>-</w:t>
      </w:r>
      <w:r>
        <w:rPr>
          <w:rFonts w:hint="cs"/>
          <w:rtl/>
        </w:rPr>
        <w:t xml:space="preserve">  </w:t>
      </w:r>
      <w:r w:rsidRPr="00A3054F">
        <w:rPr>
          <w:rStyle w:val="af2"/>
          <w:rFonts w:eastAsia="Guttman Hodes" w:hint="cs"/>
          <w:rtl/>
        </w:rPr>
        <w:t xml:space="preserve">(עי' אות </w:t>
      </w:r>
      <w:r w:rsidRPr="00A3054F">
        <w:rPr>
          <w:rStyle w:val="af2"/>
          <w:rFonts w:eastAsia="Guttman Hodes"/>
          <w:rtl/>
        </w:rPr>
        <w:fldChar w:fldCharType="begin"/>
      </w:r>
      <w:r w:rsidRPr="00A3054F">
        <w:rPr>
          <w:rStyle w:val="af2"/>
          <w:rFonts w:eastAsia="Guttman Hodes"/>
          <w:rtl/>
        </w:rPr>
        <w:instrText xml:space="preserve"> </w:instrText>
      </w:r>
      <w:r w:rsidRPr="00A3054F">
        <w:rPr>
          <w:rStyle w:val="af2"/>
          <w:rFonts w:eastAsia="Guttman Hodes" w:hint="cs"/>
        </w:rPr>
        <w:instrText>REF</w:instrText>
      </w:r>
      <w:r w:rsidRPr="00A3054F">
        <w:rPr>
          <w:rStyle w:val="af2"/>
          <w:rFonts w:eastAsia="Guttman Hodes" w:hint="cs"/>
          <w:rtl/>
        </w:rPr>
        <w:instrText xml:space="preserve"> _</w:instrText>
      </w:r>
      <w:r w:rsidRPr="00A3054F">
        <w:rPr>
          <w:rStyle w:val="af2"/>
          <w:rFonts w:eastAsia="Guttman Hodes" w:hint="cs"/>
        </w:rPr>
        <w:instrText>Ref134778156 \r \h</w:instrText>
      </w:r>
      <w:r w:rsidRPr="00A3054F">
        <w:rPr>
          <w:rStyle w:val="af2"/>
          <w:rFonts w:eastAsia="Guttman Hodes"/>
          <w:rtl/>
        </w:rPr>
        <w:instrText xml:space="preserve"> </w:instrText>
      </w:r>
      <w:r w:rsidRPr="00A3054F">
        <w:rPr>
          <w:rStyle w:val="af2"/>
          <w:rFonts w:eastAsia="Guttman Hodes"/>
          <w:rtl/>
        </w:rPr>
      </w:r>
      <w:r w:rsidRPr="00A3054F">
        <w:rPr>
          <w:rStyle w:val="af2"/>
          <w:rFonts w:eastAsia="Guttman Hodes"/>
          <w:rtl/>
        </w:rPr>
        <w:fldChar w:fldCharType="separate"/>
      </w:r>
      <w:r w:rsidR="00D82181">
        <w:rPr>
          <w:rStyle w:val="af2"/>
          <w:rFonts w:eastAsia="Guttman Hodes"/>
          <w:cs/>
        </w:rPr>
        <w:t>‎</w:t>
      </w:r>
      <w:r w:rsidR="00D82181">
        <w:rPr>
          <w:rStyle w:val="af2"/>
          <w:rFonts w:eastAsia="Guttman Hodes"/>
          <w:rtl/>
        </w:rPr>
        <w:t>נט)</w:t>
      </w:r>
      <w:r w:rsidRPr="00A3054F">
        <w:rPr>
          <w:rStyle w:val="af2"/>
          <w:rFonts w:eastAsia="Guttman Hodes"/>
          <w:rtl/>
        </w:rPr>
        <w:fldChar w:fldCharType="end"/>
      </w:r>
      <w:r>
        <w:rPr>
          <w:rFonts w:hint="cs"/>
          <w:rtl/>
        </w:rPr>
        <w:t xml:space="preserve"> דמאוירא קא רבו אינו מחשיב כמחובר, אלא יש לו רק דין יניקה מהקרקע, ורק עציץ נקוב דינו כמחובר, א"כ קשה דאמאי התולש מצרור חייב. </w:t>
      </w:r>
      <w:r w:rsidRPr="003E0220">
        <w:rPr>
          <w:rStyle w:val="af"/>
          <w:rFonts w:hint="cs"/>
          <w:rtl/>
        </w:rPr>
        <w:t xml:space="preserve">[והוסיף </w:t>
      </w:r>
      <w:r w:rsidRPr="00735214">
        <w:rPr>
          <w:rStyle w:val="aff9"/>
          <w:rFonts w:hint="cs"/>
          <w:vanish/>
          <w:rtl/>
        </w:rPr>
        <w:t>-</w:t>
      </w:r>
      <w:r w:rsidRPr="003E0220">
        <w:rPr>
          <w:rStyle w:val="aff9"/>
          <w:rFonts w:hint="cs"/>
          <w:rtl/>
        </w:rPr>
        <w:t>הגר"מ סולובייצ'יק</w:t>
      </w:r>
      <w:r w:rsidRPr="00735214">
        <w:rPr>
          <w:rStyle w:val="aff9"/>
          <w:rFonts w:hint="cs"/>
          <w:vanish/>
          <w:rtl/>
        </w:rPr>
        <w:t>-</w:t>
      </w:r>
      <w:r w:rsidRPr="003E0220">
        <w:rPr>
          <w:rStyle w:val="af"/>
          <w:rFonts w:hint="cs"/>
          <w:rtl/>
        </w:rPr>
        <w:t xml:space="preserve"> דדעת </w:t>
      </w:r>
      <w:r w:rsidRPr="00735214">
        <w:rPr>
          <w:rStyle w:val="aff9"/>
          <w:rFonts w:hint="cs"/>
          <w:vanish/>
          <w:rtl/>
        </w:rPr>
        <w:t>-</w:t>
      </w:r>
      <w:r w:rsidRPr="003E0220">
        <w:rPr>
          <w:rStyle w:val="aff9"/>
          <w:rFonts w:hint="cs"/>
          <w:rtl/>
        </w:rPr>
        <w:t>הרמב"ם</w:t>
      </w:r>
      <w:r w:rsidRPr="00735214">
        <w:rPr>
          <w:rStyle w:val="aff9"/>
          <w:rFonts w:hint="cs"/>
          <w:vanish/>
          <w:rtl/>
        </w:rPr>
        <w:t>-</w:t>
      </w:r>
      <w:r w:rsidRPr="003E0220">
        <w:rPr>
          <w:rStyle w:val="af"/>
          <w:rFonts w:hint="cs"/>
          <w:rtl/>
        </w:rPr>
        <w:t xml:space="preserve"> </w:t>
      </w:r>
      <w:r w:rsidRPr="003E0220">
        <w:rPr>
          <w:rStyle w:val="aff0"/>
          <w:rFonts w:hint="cs"/>
          <w:rtl/>
        </w:rPr>
        <w:t>(טומאת אוכלין פ"ב הי"א)</w:t>
      </w:r>
      <w:r w:rsidRPr="003E0220">
        <w:rPr>
          <w:rStyle w:val="af"/>
          <w:rFonts w:hint="cs"/>
          <w:rtl/>
        </w:rPr>
        <w:t xml:space="preserve"> דאף עציץ של עץ וחרס צריך לנוקבו</w:t>
      </w:r>
      <w:r w:rsidRPr="00735214">
        <w:rPr>
          <w:rStyle w:val="af"/>
          <w:rFonts w:hint="cs"/>
          <w:rtl/>
        </w:rPr>
        <w:t>].</w:t>
      </w:r>
    </w:p>
    <w:p w14:paraId="688C97B8" w14:textId="77777777" w:rsidR="00D31714" w:rsidRPr="00747170" w:rsidRDefault="00D31714" w:rsidP="00747170">
      <w:pPr>
        <w:pStyle w:val="a2"/>
        <w:rPr>
          <w:rtl/>
        </w:rPr>
      </w:pPr>
      <w:r w:rsidRPr="00747170">
        <w:rPr>
          <w:rtl/>
        </w:rPr>
        <w:t>והנה במס' שבת (שם) מבואר דצרור שעלו בו עשבים התולש ממנו בשבת חייב חטאת, והרי הצרור הוי אינו נקוב והתולש מעציץ שאינו נקוב לא הוי תולש, וא"כ מדוע התולש את העשבים מן הצרור חייב חטאת, ולדעת שאר הראשונים דסברי דהדין דמאוירא קא רבו שייך גם לדין מחובר, זהו החילוק דהזרעים רואים פני האויר, וא"כ גם בלא נקיבה הוויין בכלל מחובר. אבל לפ"מ שנתבאר כאן בשיטת הרמב"ם דסובר דכל דין דמאוירא קא רבו לדין מחובר לא שייך, ורק עציץ נקוב הוי מחובר, א"כ לכאורה צ"ע אמאי התולש מצרור שאינו נקוב הוי תולש, והרי מתבאר (בפ"ב מהל' טו"א הי"א) דשיטת הרמב"ם דגם עץ וחרס בעי נקיבה.</w:t>
      </w:r>
    </w:p>
    <w:p w14:paraId="74A54DAD" w14:textId="32C5D4A7" w:rsidR="00D31714" w:rsidRPr="008163AB" w:rsidRDefault="00D31714" w:rsidP="00D31714">
      <w:pPr>
        <w:pStyle w:val="afffff7"/>
        <w:rPr>
          <w:rtl/>
        </w:rPr>
      </w:pPr>
      <w:bookmarkStart w:id="1235" w:name="_Toc135212284"/>
      <w:bookmarkStart w:id="1236" w:name="_Toc135670274"/>
      <w:bookmarkStart w:id="1237" w:name="_Toc163505575"/>
      <w:r w:rsidRPr="008163AB">
        <w:rPr>
          <w:rtl/>
        </w:rPr>
        <w:t>חדושי הגר"ח</w:t>
      </w:r>
      <w:r>
        <w:rPr>
          <w:rFonts w:hint="cs"/>
          <w:rtl/>
        </w:rPr>
        <w:t xml:space="preserve"> [מהגר"מ]</w:t>
      </w:r>
      <w:r w:rsidRPr="008163AB">
        <w:rPr>
          <w:rtl/>
        </w:rPr>
        <w:t xml:space="preserve"> שבת פ"א ע"ב</w:t>
      </w:r>
      <w:r w:rsidRPr="008163AB">
        <w:rPr>
          <w:rFonts w:hint="cs"/>
          <w:rtl/>
        </w:rPr>
        <w:t xml:space="preserve"> ד"ה </w:t>
      </w:r>
      <w:r>
        <w:rPr>
          <w:rFonts w:hint="cs"/>
          <w:rtl/>
        </w:rPr>
        <w:t>והנה הרמב"ם</w:t>
      </w:r>
      <w:bookmarkEnd w:id="1235"/>
      <w:bookmarkEnd w:id="1236"/>
      <w:bookmarkEnd w:id="1237"/>
    </w:p>
    <w:p w14:paraId="04A1CBE7" w14:textId="77777777" w:rsidR="00D31714" w:rsidRDefault="00D31714" w:rsidP="00D31714">
      <w:pPr>
        <w:pStyle w:val="a7"/>
        <w:rPr>
          <w:rtl/>
        </w:rPr>
      </w:pPr>
      <w:bookmarkStart w:id="1238" w:name="_Toc135670000"/>
      <w:r w:rsidRPr="00211A51">
        <w:rPr>
          <w:rtl/>
        </w:rPr>
        <w:t>בי' הגר"מ סולובייצ'יק</w:t>
      </w:r>
      <w:r>
        <w:rPr>
          <w:rFonts w:hint="cs"/>
          <w:rtl/>
        </w:rPr>
        <w:t xml:space="preserve"> דלרמב"ם רק כלי צריך שיהיה עציץ נקוב וצרור כמחובר קרקע דל"ה כלי</w:t>
      </w:r>
      <w:bookmarkEnd w:id="1238"/>
    </w:p>
    <w:p w14:paraId="4E181FAE" w14:textId="3B6CB126" w:rsidR="00D31714" w:rsidRDefault="00D31714" w:rsidP="00BC7DC8">
      <w:pPr>
        <w:pStyle w:val="a3"/>
        <w:rPr>
          <w:rtl/>
        </w:rPr>
      </w:pPr>
      <w:bookmarkStart w:id="1239" w:name="_Ref134783371"/>
      <w:r>
        <w:rPr>
          <w:rFonts w:hint="cs"/>
          <w:rtl/>
        </w:rPr>
        <w:t xml:space="preserve">והביא </w:t>
      </w:r>
      <w:r w:rsidRPr="008D113A">
        <w:rPr>
          <w:rStyle w:val="aff4"/>
          <w:rFonts w:hint="cs"/>
          <w:vanish/>
          <w:rtl/>
        </w:rPr>
        <w:t>-</w:t>
      </w:r>
      <w:r w:rsidRPr="000614F7">
        <w:rPr>
          <w:rStyle w:val="aff4"/>
          <w:rFonts w:hint="cs"/>
          <w:rtl/>
        </w:rPr>
        <w:t>הגר"מ סולובייצ'יק</w:t>
      </w:r>
      <w:r w:rsidRPr="008D113A">
        <w:rPr>
          <w:rStyle w:val="aff4"/>
          <w:rFonts w:hint="cs"/>
          <w:vanish/>
          <w:rtl/>
        </w:rPr>
        <w:t>-</w:t>
      </w:r>
      <w:r>
        <w:rPr>
          <w:rFonts w:hint="cs"/>
          <w:rtl/>
        </w:rPr>
        <w:t xml:space="preserve"> דתנן בעוקצין </w:t>
      </w:r>
      <w:r w:rsidRPr="00A3054F">
        <w:rPr>
          <w:rStyle w:val="af2"/>
          <w:rFonts w:eastAsia="Guttman Hodes" w:hint="cs"/>
          <w:rtl/>
        </w:rPr>
        <w:t>(פ"ב מ"י)</w:t>
      </w:r>
      <w:r>
        <w:rPr>
          <w:rFonts w:hint="cs"/>
          <w:rtl/>
        </w:rPr>
        <w:t xml:space="preserve"> דטבלא שאין לה לזביז דהיא כעציץ נקוב, והקשה </w:t>
      </w:r>
      <w:r w:rsidRPr="008D113A">
        <w:rPr>
          <w:rStyle w:val="aff4"/>
          <w:rFonts w:hint="cs"/>
          <w:vanish/>
          <w:rtl/>
        </w:rPr>
        <w:t>-</w:t>
      </w:r>
      <w:r w:rsidRPr="000614F7">
        <w:rPr>
          <w:rStyle w:val="aff4"/>
          <w:rFonts w:hint="cs"/>
          <w:rtl/>
        </w:rPr>
        <w:t>הגר"מ סולובייצ'יק</w:t>
      </w:r>
      <w:r w:rsidRPr="008D113A">
        <w:rPr>
          <w:rStyle w:val="aff4"/>
          <w:rFonts w:hint="cs"/>
          <w:vanish/>
          <w:rtl/>
        </w:rPr>
        <w:t>-</w:t>
      </w:r>
      <w:r>
        <w:rPr>
          <w:rFonts w:hint="cs"/>
          <w:rtl/>
        </w:rPr>
        <w:t xml:space="preserve"> דלדעת </w:t>
      </w:r>
      <w:r w:rsidRPr="008D113A">
        <w:rPr>
          <w:rStyle w:val="aff4"/>
          <w:rFonts w:hint="cs"/>
          <w:vanish/>
          <w:rtl/>
        </w:rPr>
        <w:t>-</w:t>
      </w:r>
      <w:r w:rsidRPr="000614F7">
        <w:rPr>
          <w:rStyle w:val="aff4"/>
          <w:rFonts w:hint="cs"/>
          <w:rtl/>
        </w:rPr>
        <w:t>הרמב"ם</w:t>
      </w:r>
      <w:r w:rsidRPr="008D113A">
        <w:rPr>
          <w:rStyle w:val="aff4"/>
          <w:rFonts w:hint="cs"/>
          <w:vanish/>
          <w:rtl/>
        </w:rPr>
        <w:t>-</w:t>
      </w:r>
      <w:r>
        <w:rPr>
          <w:rFonts w:hint="cs"/>
          <w:rtl/>
        </w:rPr>
        <w:t xml:space="preserve"> דמאוירא קא רבו לא מחשיב מחובר, אמאי א"צ לנוקבה, והביא </w:t>
      </w:r>
      <w:r w:rsidRPr="008D113A">
        <w:rPr>
          <w:rStyle w:val="aff4"/>
          <w:rFonts w:hint="cs"/>
          <w:vanish/>
          <w:rtl/>
        </w:rPr>
        <w:t>-</w:t>
      </w:r>
      <w:r w:rsidRPr="000614F7">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Ref134783371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סב)</w:t>
      </w:r>
      <w:r w:rsidRPr="00B53404">
        <w:rPr>
          <w:rStyle w:val="aff4"/>
          <w:vanish/>
          <w:rtl/>
        </w:rPr>
        <w:fldChar w:fldCharType="end"/>
      </w:r>
      <w:r w:rsidRPr="00B53404">
        <w:rPr>
          <w:rStyle w:val="aff4"/>
          <w:rFonts w:hint="cs"/>
          <w:vanish/>
          <w:rtl/>
        </w:rPr>
        <w:t xml:space="preserve"> &gt;</w:t>
      </w:r>
      <w:r w:rsidRPr="000614F7">
        <w:rPr>
          <w:rStyle w:val="aff4"/>
          <w:rFonts w:hint="cs"/>
          <w:rtl/>
        </w:rPr>
        <w:t>גר"מ סולובייצ'יק</w:t>
      </w:r>
      <w:r w:rsidRPr="008D113A">
        <w:rPr>
          <w:rStyle w:val="aff4"/>
          <w:rFonts w:hint="cs"/>
          <w:vanish/>
          <w:rtl/>
        </w:rPr>
        <w:t>-</w:t>
      </w:r>
      <w:r w:rsidRPr="008163AB">
        <w:rPr>
          <w:rFonts w:hint="cs"/>
          <w:rtl/>
        </w:rPr>
        <w:t xml:space="preserve"> </w:t>
      </w:r>
      <w:r w:rsidRPr="00A3054F">
        <w:rPr>
          <w:rStyle w:val="af2"/>
          <w:rFonts w:eastAsia="Guttman Hodes" w:hint="cs"/>
          <w:rtl/>
        </w:rPr>
        <w:t>(</w:t>
      </w:r>
      <w:r w:rsidRPr="00A3054F">
        <w:rPr>
          <w:rStyle w:val="af2"/>
          <w:rFonts w:eastAsia="Guttman Hodes"/>
          <w:rtl/>
        </w:rPr>
        <w:t>חי' הגר"ח על הש"ס</w:t>
      </w:r>
      <w:r w:rsidRPr="00A3054F">
        <w:rPr>
          <w:rStyle w:val="af2"/>
          <w:rFonts w:eastAsia="Guttman Hodes" w:hint="cs"/>
          <w:rtl/>
        </w:rPr>
        <w:t>, פא: ד"ה והנה הרמב"ם)</w:t>
      </w:r>
      <w:r w:rsidRPr="008D113A">
        <w:rPr>
          <w:rFonts w:hint="cs"/>
          <w:vanish/>
          <w:rtl/>
        </w:rPr>
        <w:t>=</w:t>
      </w:r>
      <w:r>
        <w:rPr>
          <w:rFonts w:hint="cs"/>
          <w:rtl/>
        </w:rPr>
        <w:t xml:space="preserve"> את דברי </w:t>
      </w:r>
      <w:r w:rsidRPr="008D113A">
        <w:rPr>
          <w:rStyle w:val="aff4"/>
          <w:rFonts w:hint="cs"/>
          <w:vanish/>
          <w:rtl/>
        </w:rPr>
        <w:t>-</w:t>
      </w:r>
      <w:r w:rsidRPr="000614F7">
        <w:rPr>
          <w:rStyle w:val="aff4"/>
          <w:rFonts w:hint="cs"/>
          <w:rtl/>
        </w:rPr>
        <w:t>ה</w:t>
      </w:r>
      <w:r>
        <w:rPr>
          <w:rStyle w:val="aff4"/>
          <w:rFonts w:hint="cs"/>
          <w:vanish/>
          <w:rtl/>
        </w:rPr>
        <w:t>&lt; &gt;</w:t>
      </w:r>
      <w:r w:rsidRPr="000614F7">
        <w:rPr>
          <w:rStyle w:val="aff4"/>
          <w:rFonts w:hint="cs"/>
          <w:rtl/>
        </w:rPr>
        <w:t>רמב"ם</w:t>
      </w:r>
      <w:r w:rsidRPr="008D113A">
        <w:rPr>
          <w:rStyle w:val="aff4"/>
          <w:rFonts w:hint="cs"/>
          <w:vanish/>
          <w:rtl/>
        </w:rPr>
        <w:t>-</w:t>
      </w:r>
      <w:r>
        <w:rPr>
          <w:rFonts w:hint="cs"/>
          <w:rtl/>
        </w:rPr>
        <w:t xml:space="preserve"> </w:t>
      </w:r>
      <w:r w:rsidRPr="00A3054F">
        <w:rPr>
          <w:rStyle w:val="af2"/>
          <w:rFonts w:eastAsia="Guttman Hodes" w:hint="cs"/>
          <w:rtl/>
        </w:rPr>
        <w:t>(טומאת אוכלין פ"ב הי"ב)</w:t>
      </w:r>
      <w:r w:rsidRPr="008D113A">
        <w:rPr>
          <w:rFonts w:hint="cs"/>
          <w:vanish/>
          <w:rtl/>
        </w:rPr>
        <w:t>=</w:t>
      </w:r>
      <w:r>
        <w:rPr>
          <w:rFonts w:hint="cs"/>
          <w:rtl/>
        </w:rPr>
        <w:t xml:space="preserve"> דכתב דטבלא שאין לה שפה אינה כלי ולכן דינה כעציץ נקוב, וביאר </w:t>
      </w:r>
      <w:r w:rsidRPr="008D113A">
        <w:rPr>
          <w:rStyle w:val="aff4"/>
          <w:rFonts w:hint="cs"/>
          <w:vanish/>
          <w:rtl/>
        </w:rPr>
        <w:t>-</w:t>
      </w:r>
      <w:r w:rsidRPr="000614F7">
        <w:rPr>
          <w:rStyle w:val="aff4"/>
          <w:rFonts w:hint="cs"/>
          <w:rtl/>
        </w:rPr>
        <w:t>הגר"מ סולובייצ'יק</w:t>
      </w:r>
      <w:r w:rsidRPr="008D113A">
        <w:rPr>
          <w:rStyle w:val="aff4"/>
          <w:rFonts w:hint="cs"/>
          <w:vanish/>
          <w:rtl/>
        </w:rPr>
        <w:t>-</w:t>
      </w:r>
      <w:r>
        <w:rPr>
          <w:rFonts w:hint="cs"/>
          <w:rtl/>
        </w:rPr>
        <w:t xml:space="preserve"> דכיון דס"ל </w:t>
      </w:r>
      <w:r w:rsidRPr="008D113A">
        <w:rPr>
          <w:rStyle w:val="aff4"/>
          <w:rFonts w:hint="cs"/>
          <w:vanish/>
          <w:rtl/>
        </w:rPr>
        <w:t>-</w:t>
      </w:r>
      <w:r w:rsidRPr="000614F7">
        <w:rPr>
          <w:rStyle w:val="aff4"/>
          <w:rFonts w:hint="cs"/>
          <w:rtl/>
        </w:rPr>
        <w:t>להרמב"ם</w:t>
      </w:r>
      <w:r w:rsidRPr="008D113A">
        <w:rPr>
          <w:rStyle w:val="aff4"/>
          <w:rFonts w:hint="cs"/>
          <w:vanish/>
          <w:rtl/>
        </w:rPr>
        <w:t>-</w:t>
      </w:r>
      <w:r>
        <w:rPr>
          <w:rFonts w:hint="cs"/>
          <w:rtl/>
        </w:rPr>
        <w:t xml:space="preserve"> דמאוירא קא רבו אינו מחשיב כמחובר, לכן ביאר </w:t>
      </w:r>
      <w:r w:rsidRPr="008D113A">
        <w:rPr>
          <w:rStyle w:val="aff4"/>
          <w:rFonts w:hint="cs"/>
          <w:vanish/>
          <w:rtl/>
        </w:rPr>
        <w:t>-</w:t>
      </w:r>
      <w:r w:rsidRPr="000614F7">
        <w:rPr>
          <w:rStyle w:val="aff4"/>
          <w:rFonts w:hint="cs"/>
          <w:rtl/>
        </w:rPr>
        <w:t>הרמב"ם</w:t>
      </w:r>
      <w:r w:rsidRPr="008D113A">
        <w:rPr>
          <w:rStyle w:val="aff4"/>
          <w:rFonts w:hint="cs"/>
          <w:vanish/>
          <w:rtl/>
        </w:rPr>
        <w:t>-</w:t>
      </w:r>
      <w:r>
        <w:rPr>
          <w:rFonts w:hint="cs"/>
          <w:rtl/>
        </w:rPr>
        <w:t xml:space="preserve"> דבמתני' בעוקצין בטבלא שאין לה לזביז, התחדש דין דכשנותן עפר על דבר שאינו כלי הוא עצמו נעשה כמחובר, ורק בעציץ שהוא כלי צריך לנוקבו בכדי לחברו לקרקע, ולפי"ז ביאר </w:t>
      </w:r>
      <w:r w:rsidRPr="008D113A">
        <w:rPr>
          <w:rStyle w:val="aff4"/>
          <w:rFonts w:hint="cs"/>
          <w:vanish/>
          <w:rtl/>
        </w:rPr>
        <w:t>-</w:t>
      </w:r>
      <w:r w:rsidRPr="000614F7">
        <w:rPr>
          <w:rStyle w:val="aff4"/>
          <w:rFonts w:hint="cs"/>
          <w:rtl/>
        </w:rPr>
        <w:t>הגר"מ סולובייצ'יק</w:t>
      </w:r>
      <w:r w:rsidRPr="008D113A">
        <w:rPr>
          <w:rStyle w:val="aff4"/>
          <w:rFonts w:hint="cs"/>
          <w:vanish/>
          <w:rtl/>
        </w:rPr>
        <w:t>-</w:t>
      </w:r>
      <w:r>
        <w:rPr>
          <w:rFonts w:hint="cs"/>
          <w:rtl/>
        </w:rPr>
        <w:t xml:space="preserve"> </w:t>
      </w:r>
      <w:r>
        <w:rPr>
          <w:rFonts w:hint="cs"/>
          <w:rtl/>
        </w:rPr>
        <w:lastRenderedPageBreak/>
        <w:t xml:space="preserve">דבצרור שאינו כלי, ס"ל </w:t>
      </w:r>
      <w:r w:rsidRPr="008D113A">
        <w:rPr>
          <w:rStyle w:val="aff4"/>
          <w:rFonts w:hint="cs"/>
          <w:vanish/>
          <w:rtl/>
        </w:rPr>
        <w:t>-</w:t>
      </w:r>
      <w:r w:rsidRPr="000614F7">
        <w:rPr>
          <w:rStyle w:val="aff4"/>
          <w:rFonts w:hint="cs"/>
          <w:rtl/>
        </w:rPr>
        <w:t>להרמב"ם</w:t>
      </w:r>
      <w:r w:rsidRPr="008D113A">
        <w:rPr>
          <w:rStyle w:val="aff4"/>
          <w:rFonts w:hint="cs"/>
          <w:vanish/>
          <w:rtl/>
        </w:rPr>
        <w:t>-</w:t>
      </w:r>
      <w:r>
        <w:rPr>
          <w:rFonts w:hint="cs"/>
          <w:rtl/>
        </w:rPr>
        <w:t xml:space="preserve"> דהוא עצמו חשיב כמחובר לקרקע, ולכן התולש ממנו בשבת חייב.</w:t>
      </w:r>
      <w:bookmarkEnd w:id="1239"/>
      <w:r>
        <w:rPr>
          <w:rFonts w:hint="cs"/>
          <w:rtl/>
        </w:rPr>
        <w:t xml:space="preserve"> </w:t>
      </w:r>
      <w:r w:rsidRPr="003E0220">
        <w:rPr>
          <w:rStyle w:val="af"/>
          <w:rFonts w:hint="cs"/>
          <w:rtl/>
        </w:rPr>
        <w:t xml:space="preserve">[וע"ע במ"ש בזה </w:t>
      </w:r>
      <w:r w:rsidRPr="00735214">
        <w:rPr>
          <w:rStyle w:val="aff9"/>
          <w:rFonts w:hint="cs"/>
          <w:vanish/>
          <w:rtl/>
        </w:rPr>
        <w:t>-</w:t>
      </w:r>
      <w:r w:rsidRPr="003E0220">
        <w:rPr>
          <w:rStyle w:val="aff9"/>
          <w:rFonts w:hint="cs"/>
          <w:rtl/>
        </w:rPr>
        <w:t>ה</w:t>
      </w:r>
      <w:r w:rsidRPr="00735214">
        <w:rPr>
          <w:rStyle w:val="aff9"/>
          <w:rFonts w:hint="cs"/>
          <w:vanish/>
          <w:rtl/>
        </w:rPr>
        <w:t>&lt; &gt;</w:t>
      </w:r>
      <w:r w:rsidRPr="003E0220">
        <w:rPr>
          <w:rStyle w:val="aff9"/>
          <w:rFonts w:hint="cs"/>
          <w:rtl/>
        </w:rPr>
        <w:t>אפיקי ים</w:t>
      </w:r>
      <w:r w:rsidRPr="00735214">
        <w:rPr>
          <w:rStyle w:val="aff9"/>
          <w:rFonts w:hint="cs"/>
          <w:vanish/>
          <w:rtl/>
        </w:rPr>
        <w:t>-</w:t>
      </w:r>
      <w:r w:rsidRPr="003E0220">
        <w:rPr>
          <w:rStyle w:val="af"/>
          <w:rFonts w:hint="cs"/>
          <w:rtl/>
        </w:rPr>
        <w:t xml:space="preserve"> </w:t>
      </w:r>
      <w:r w:rsidRPr="003E0220">
        <w:rPr>
          <w:rStyle w:val="aff0"/>
          <w:rFonts w:hint="cs"/>
          <w:rtl/>
        </w:rPr>
        <w:t>(ח"ב סי' מ"ג ד"ה ועוד יותר, ד"ה אכן אם)</w:t>
      </w:r>
      <w:r w:rsidRPr="00735214">
        <w:rPr>
          <w:rStyle w:val="af"/>
          <w:rFonts w:hint="cs"/>
          <w:vanish/>
          <w:rtl/>
        </w:rPr>
        <w:t>=</w:t>
      </w:r>
      <w:r w:rsidRPr="00735214">
        <w:rPr>
          <w:rStyle w:val="af"/>
          <w:rFonts w:hint="cs"/>
          <w:rtl/>
        </w:rPr>
        <w:t>].</w:t>
      </w:r>
    </w:p>
    <w:p w14:paraId="0E8429FC" w14:textId="77777777" w:rsidR="00D31714" w:rsidRPr="00747170" w:rsidRDefault="00D31714" w:rsidP="00747170">
      <w:pPr>
        <w:pStyle w:val="a2"/>
        <w:rPr>
          <w:rtl/>
        </w:rPr>
      </w:pPr>
      <w:r w:rsidRPr="00747170">
        <w:rPr>
          <w:rtl/>
        </w:rPr>
        <w:t>ונראה לומר דהנה לשון המשנה בעוקצין (פ"ב מ"י) הוא: עציץ נקוב אינו מכשיר הזרעים ושאינו נקוב מכשיר את הזרעים, מלאהו עפר עד שפתו הרי הוא כטבלא שאין לה לזביז, ע"כ. והמתבאר מתוך המשנה דטבלא שאין לה לזביז שנתן עפר על גבה דינה כעציץ נקוב אפילו בלא נקיבה. ולשיטת כל הראשונים ניחא דכיון שאין לה לזביז, והזרעים שבתוכו רואין פני האויר, ע"כ לא צריך נקיבה משום דמאוירא קא רבו. אבל להרמב"ם דסובר דכל הדין דמאוירא קא רבו לא מהני לדין קבלת טומאה והכשר משום דמחובר לא נעשה ע"י דין דמאוירא קא רבו, ודוקא עציץ נקוב הוי מחובר א"כ אמאי טבלא שאין לה לזביז לא בעי נקיבה.</w:t>
      </w:r>
    </w:p>
    <w:p w14:paraId="7F4B5EDE" w14:textId="77777777" w:rsidR="00D31714" w:rsidRPr="0074537A" w:rsidRDefault="00D31714" w:rsidP="00747170">
      <w:pPr>
        <w:pStyle w:val="afffff5"/>
        <w:rPr>
          <w:rtl/>
        </w:rPr>
      </w:pPr>
      <w:r w:rsidRPr="0074537A">
        <w:rPr>
          <w:rtl/>
        </w:rPr>
        <w:t>והנה הרמב"ם (בפ"ב מהל' טו"א הי"ב) כ' וז"ל: עציץ שמילאהו עפר עד שפתו אינו חשוב כלי, אלא הרי הוא כטבלא שאין לה שפה שאינו כלי קיבול, ע"כ. אשר דמפרש המשנה דמלאוהו עפר דהוא משום דבטל מתורת כלי וע"כ לא בעי נקיבה. ולכאורה צ"ע מה שייכות הוא לדין כלי, ואפילו אם אינו חשוב כלי למה לא בעי נקיבה, ואפילו אם נימא דהרמב"ם לא קאי לענין הזרעים שבתוכו ומדין עציץ נקוב ורק לענין המים שבתוכו שאינם מכשירין, ג"כ צ"ע דהרי לא צריכינן לענין הכשר מים שבכלי ורק מים תלושין בעינן, כאשר כן מבואר בהרבה משניות, דמים שע"ג הכסות מכשירין (מכשירין פ"ד מ"ג), וכן מים שע"ג הכותל אם תלוש ולבסוף חברו הוי תלוש ג"כ מכשיר (שם). ודברי הרמב"ם שכתב דדין טבלא משום דלא חשיב כלי, לכאורה הם נעלמים.</w:t>
      </w:r>
    </w:p>
    <w:p w14:paraId="09835EF1" w14:textId="77777777" w:rsidR="00D31714" w:rsidRPr="0074537A" w:rsidRDefault="00D31714" w:rsidP="00747170">
      <w:pPr>
        <w:pStyle w:val="afffff5"/>
        <w:rPr>
          <w:rtl/>
        </w:rPr>
      </w:pPr>
      <w:r w:rsidRPr="0074537A">
        <w:rPr>
          <w:rtl/>
        </w:rPr>
        <w:t>ואשר ע"כ נראה דבאופן דלא הוי כלי אם נתן ע"ג עפר באמת הוא עצמו נעשה מחובר, ולא צריכין לדין עציץ נקוב, וזהו הדין דטבלא שאין לה לזביז וצרור שעלו בו עשבין, ורק באופן דהוי כלי איכא דין דכלי מבטל החיבור וגוף הכלי לא נעשה מחובר, ועל הזרעים שבתוכו צריכינן לדין עציץ נקוב, אבל באופן דלא הוי כלי כמו טבלא שאין לה לזביז וצרור, אם נתן עליהם עפר, באמת הן עצמן נעשין מחובר ולא צריכינן לדין עציץ נקוב.</w:t>
      </w:r>
    </w:p>
    <w:p w14:paraId="0FDDF36F" w14:textId="77777777" w:rsidR="00D31714" w:rsidRPr="009069E2" w:rsidRDefault="00D31714" w:rsidP="00747170">
      <w:pPr>
        <w:pStyle w:val="afffff5"/>
        <w:rPr>
          <w:rtl/>
        </w:rPr>
      </w:pPr>
      <w:r w:rsidRPr="0074537A">
        <w:rPr>
          <w:rtl/>
        </w:rPr>
        <w:t>ומה שכתב הרמב"ם דדין טבלא שאין לה לזביז דלא בעי נקיבה, הוא משום דלא חשיב כלי, והרמב"ם לטעמיה דמדין דמאוירא קא רבו לא נעשה מחובר, ע"כ שפיר מפרש דבמשנה דטבלא מבואר דין אחר, דבאופן דל"ה כלי אז גוף הטבלא נעשה מחובר ולא צריכינן לדיני עציץ נקוב כלל, וזהו לשיטת הרמב"ם גם הדין דצרור שעלו בו עשבים דהתולש ממנו בשבת חייב.</w:t>
      </w:r>
      <w:r w:rsidRPr="009069E2">
        <w:rPr>
          <w:rStyle w:val="afff7"/>
          <w:rtl/>
        </w:rPr>
        <w:t>ובאמת דגם להראשונים דסברי דדין דמאוירא קא רבו שייך גם לדין קבלת טומאה, אבל בהדין דטבלא גם לדידהו מתבאר דגוף הטבלא נעשית מחובר, דאם היה רק מדין דמאוירא קא רבו אז היה זה שייך רק לדין הזרעים שעליו ולא לענין המים. ובתוספתא (פ"ב דעוקצין) מבואר דין טבלא גם לענין המים, דמים שעליו הם בכלל מים שבקרקע ואינם מכשירין, ואם כל הדין דטבלא הוא רק משום דמאוירא קא רבו, א"כ הרי אין זה שייך לענין המים שעליו, אשר דע"כ דהוא משום דגוף הטבלא נעשית מחובר וע"כ המים שעליו הוי כמים שבקרקע. [א"ה, חידו"ת אלו הם מהגר"מ הלוי זצ"ל, ועתה נדפסו בחידושי הגר"מ הלוי הל' שבת עמ' יז, אמנם עי' במכתב הגר"ח לבנו הגר"מ הנדפס בסוף ספר חידושי הגר"מ והגרי"ד – קדשים, שכתב לו על חידושים אלו "את אשר כתבת לחלק בין גידולם מהארץ למחובר, כבר אמרתי אנכי כה בשיעור שבת בוולאזין זה לפני חמש עשרה שנה"].</w:t>
      </w:r>
    </w:p>
    <w:p w14:paraId="50D09F6C" w14:textId="77777777" w:rsidR="00D31714" w:rsidRPr="009069E2" w:rsidRDefault="00D31714" w:rsidP="00D31714">
      <w:pPr>
        <w:pStyle w:val="1"/>
        <w:rPr>
          <w:vanish/>
          <w:rtl/>
        </w:rPr>
      </w:pPr>
      <w:r w:rsidRPr="009069E2">
        <w:rPr>
          <w:rFonts w:hint="cs"/>
          <w:vanish/>
          <w:rtl/>
        </w:rPr>
        <w:t>בי' הקה"י דע"ג יתדות תלוש ול"ד לערלה דיונק מאויר א"י</w:t>
      </w:r>
    </w:p>
    <w:p w14:paraId="6E80D19E" w14:textId="77777777" w:rsidR="00D31714" w:rsidRDefault="00D31714" w:rsidP="00D31714">
      <w:pPr>
        <w:pStyle w:val="afffff7"/>
        <w:rPr>
          <w:rtl/>
        </w:rPr>
      </w:pPr>
      <w:bookmarkStart w:id="1240" w:name="_Toc135670275"/>
      <w:bookmarkStart w:id="1241" w:name="_Toc163505576"/>
      <w:r>
        <w:rPr>
          <w:rFonts w:hint="cs"/>
          <w:rtl/>
        </w:rPr>
        <w:t>קהלות יעקב זרעים סי' כ</w:t>
      </w:r>
      <w:r>
        <w:rPr>
          <w:rFonts w:cs="Guttman Hodes" w:hint="cs"/>
          <w:rtl/>
        </w:rPr>
        <w:t>"</w:t>
      </w:r>
      <w:r>
        <w:rPr>
          <w:rFonts w:hint="cs"/>
          <w:rtl/>
        </w:rPr>
        <w:t>ה אות ב' ד</w:t>
      </w:r>
      <w:r>
        <w:rPr>
          <w:rFonts w:cs="Guttman Hodes" w:hint="cs"/>
          <w:rtl/>
        </w:rPr>
        <w:t>"</w:t>
      </w:r>
      <w:r>
        <w:rPr>
          <w:rFonts w:hint="cs"/>
          <w:rtl/>
        </w:rPr>
        <w:t>ה והאג</w:t>
      </w:r>
      <w:r>
        <w:rPr>
          <w:rFonts w:cs="Guttman Hodes" w:hint="cs"/>
          <w:rtl/>
        </w:rPr>
        <w:t>"</w:t>
      </w:r>
      <w:r>
        <w:rPr>
          <w:rFonts w:hint="cs"/>
          <w:rtl/>
        </w:rPr>
        <w:t>ט</w:t>
      </w:r>
      <w:bookmarkEnd w:id="1240"/>
      <w:bookmarkEnd w:id="1241"/>
    </w:p>
    <w:p w14:paraId="5EF67D01" w14:textId="77777777" w:rsidR="00D31714" w:rsidRDefault="00D31714" w:rsidP="00D31714">
      <w:pPr>
        <w:pStyle w:val="a7"/>
        <w:rPr>
          <w:rtl/>
        </w:rPr>
      </w:pPr>
      <w:bookmarkStart w:id="1242" w:name="_Toc135670001"/>
      <w:r>
        <w:rPr>
          <w:rFonts w:hint="cs"/>
          <w:rtl/>
        </w:rPr>
        <w:t>בי' הקה"י ברמב"ם דלענין שבת עציץ ע"ג יתדות הוא כתלוש וערלה תלוי ביניקה מאויר א"י</w:t>
      </w:r>
      <w:bookmarkEnd w:id="1242"/>
    </w:p>
    <w:p w14:paraId="31266AB4" w14:textId="26AD8D72" w:rsidR="00D31714" w:rsidRDefault="00D31714" w:rsidP="00BC7DC8">
      <w:pPr>
        <w:pStyle w:val="a3"/>
      </w:pPr>
      <w:bookmarkStart w:id="1243" w:name="_Ref135650289"/>
      <w:r>
        <w:rPr>
          <w:rFonts w:hint="cs"/>
          <w:rtl/>
        </w:rPr>
        <w:t xml:space="preserve">במ"ש </w:t>
      </w:r>
      <w:r w:rsidRPr="00364282">
        <w:rPr>
          <w:rStyle w:val="aff4"/>
          <w:rFonts w:hint="cs"/>
          <w:vanish/>
          <w:rtl/>
        </w:rPr>
        <w:t>-</w:t>
      </w:r>
      <w:r w:rsidRPr="00C65D8D">
        <w:rPr>
          <w:rStyle w:val="aff4"/>
          <w:rFonts w:hint="cs"/>
          <w:rtl/>
        </w:rPr>
        <w:t>הרמב"ם</w:t>
      </w:r>
      <w:r w:rsidRPr="00364282">
        <w:rPr>
          <w:rStyle w:val="aff4"/>
          <w:rFonts w:hint="cs"/>
          <w:vanish/>
          <w:rtl/>
        </w:rPr>
        <w:t>-</w:t>
      </w:r>
      <w:r>
        <w:rPr>
          <w:rFonts w:hint="cs"/>
          <w:rtl/>
        </w:rPr>
        <w:t xml:space="preserve"> </w:t>
      </w:r>
      <w:r w:rsidRPr="00A3054F">
        <w:rPr>
          <w:rStyle w:val="af2"/>
          <w:rFonts w:eastAsia="Guttman Hodes" w:hint="cs"/>
          <w:rtl/>
        </w:rPr>
        <w:t xml:space="preserve">(עי' אות </w:t>
      </w:r>
      <w:r w:rsidRPr="00A3054F">
        <w:rPr>
          <w:rStyle w:val="af2"/>
          <w:rFonts w:eastAsia="Guttman Hodes"/>
          <w:rtl/>
        </w:rPr>
        <w:fldChar w:fldCharType="begin"/>
      </w:r>
      <w:r w:rsidRPr="00A3054F">
        <w:rPr>
          <w:rStyle w:val="af2"/>
          <w:rFonts w:eastAsia="Guttman Hodes"/>
          <w:rtl/>
        </w:rPr>
        <w:instrText xml:space="preserve"> </w:instrText>
      </w:r>
      <w:r w:rsidRPr="00A3054F">
        <w:rPr>
          <w:rStyle w:val="af2"/>
          <w:rFonts w:eastAsia="Guttman Hodes" w:hint="cs"/>
        </w:rPr>
        <w:instrText>REF</w:instrText>
      </w:r>
      <w:r w:rsidRPr="00A3054F">
        <w:rPr>
          <w:rStyle w:val="af2"/>
          <w:rFonts w:eastAsia="Guttman Hodes" w:hint="cs"/>
          <w:rtl/>
        </w:rPr>
        <w:instrText xml:space="preserve"> _</w:instrText>
      </w:r>
      <w:r w:rsidRPr="00A3054F">
        <w:rPr>
          <w:rStyle w:val="af2"/>
          <w:rFonts w:eastAsia="Guttman Hodes" w:hint="cs"/>
        </w:rPr>
        <w:instrText>Ref134736415 \r \h</w:instrText>
      </w:r>
      <w:r w:rsidRPr="00A3054F">
        <w:rPr>
          <w:rStyle w:val="af2"/>
          <w:rFonts w:eastAsia="Guttman Hodes"/>
          <w:rtl/>
        </w:rPr>
        <w:instrText xml:space="preserve"> </w:instrText>
      </w:r>
      <w:r w:rsidRPr="00A3054F">
        <w:rPr>
          <w:rStyle w:val="af2"/>
          <w:rFonts w:eastAsia="Guttman Hodes"/>
          <w:rtl/>
        </w:rPr>
      </w:r>
      <w:r w:rsidRPr="00A3054F">
        <w:rPr>
          <w:rStyle w:val="af2"/>
          <w:rFonts w:eastAsia="Guttman Hodes"/>
          <w:rtl/>
        </w:rPr>
        <w:fldChar w:fldCharType="separate"/>
      </w:r>
      <w:r w:rsidR="00D82181">
        <w:rPr>
          <w:rStyle w:val="af2"/>
          <w:rFonts w:eastAsia="Guttman Hodes"/>
          <w:cs/>
        </w:rPr>
        <w:t>‎</w:t>
      </w:r>
      <w:r w:rsidR="00D82181">
        <w:rPr>
          <w:rStyle w:val="af2"/>
          <w:rFonts w:eastAsia="Guttman Hodes"/>
          <w:rtl/>
        </w:rPr>
        <w:t>מ)</w:t>
      </w:r>
      <w:r w:rsidRPr="00A3054F">
        <w:rPr>
          <w:rStyle w:val="af2"/>
          <w:rFonts w:eastAsia="Guttman Hodes"/>
          <w:rtl/>
        </w:rPr>
        <w:fldChar w:fldCharType="end"/>
      </w:r>
      <w:r>
        <w:rPr>
          <w:rFonts w:hint="cs"/>
          <w:rtl/>
        </w:rPr>
        <w:t xml:space="preserve"> דגבשושית שעלו בה עשבים, והגביה אותה מהקרקע, והניחה ע"ג יתדות, דחייב משום תולש, כתב </w:t>
      </w:r>
      <w:r w:rsidRPr="009556BA">
        <w:rPr>
          <w:rStyle w:val="aff4"/>
          <w:rFonts w:hint="cs"/>
          <w:vanish/>
          <w:rtl/>
        </w:rPr>
        <w:t>-</w:t>
      </w:r>
      <w:r w:rsidRPr="00062375">
        <w:rPr>
          <w:rStyle w:val="aff4"/>
          <w:rFonts w:hint="cs"/>
          <w:rtl/>
        </w:rPr>
        <w:t>ה</w:t>
      </w:r>
      <w:r w:rsidRPr="00FC1595">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Ref135650289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סג)</w:t>
      </w:r>
      <w:r>
        <w:rPr>
          <w:rStyle w:val="aff4"/>
          <w:vanish/>
          <w:rtl/>
        </w:rPr>
        <w:fldChar w:fldCharType="end"/>
      </w:r>
      <w:r w:rsidRPr="00FC1595">
        <w:rPr>
          <w:rStyle w:val="aff4"/>
          <w:rFonts w:hint="cs"/>
          <w:vanish/>
          <w:rtl/>
        </w:rPr>
        <w:t xml:space="preserve"> &gt;</w:t>
      </w:r>
      <w:r w:rsidRPr="00062375">
        <w:rPr>
          <w:rStyle w:val="aff4"/>
          <w:rFonts w:hint="cs"/>
          <w:rtl/>
        </w:rPr>
        <w:t>קה"י</w:t>
      </w:r>
      <w:r w:rsidRPr="009556BA">
        <w:rPr>
          <w:rStyle w:val="aff4"/>
          <w:rFonts w:hint="cs"/>
          <w:vanish/>
          <w:rtl/>
        </w:rPr>
        <w:t>-</w:t>
      </w:r>
      <w:r>
        <w:rPr>
          <w:rFonts w:hint="cs"/>
          <w:rtl/>
        </w:rPr>
        <w:t xml:space="preserve"> </w:t>
      </w:r>
      <w:r w:rsidRPr="00A3054F">
        <w:rPr>
          <w:rStyle w:val="af2"/>
          <w:rFonts w:eastAsia="Guttman Hodes" w:hint="cs"/>
          <w:rtl/>
        </w:rPr>
        <w:t>(זרעים סי' כ"ה אות ב' ד"ה והאג"ט)</w:t>
      </w:r>
      <w:r w:rsidRPr="009556BA">
        <w:rPr>
          <w:rFonts w:hint="cs"/>
          <w:vanish/>
          <w:rtl/>
        </w:rPr>
        <w:t>=</w:t>
      </w:r>
      <w:r>
        <w:rPr>
          <w:rFonts w:hint="cs"/>
          <w:rtl/>
        </w:rPr>
        <w:t xml:space="preserve"> דמבואר דלדעת </w:t>
      </w:r>
      <w:r w:rsidRPr="00364282">
        <w:rPr>
          <w:rStyle w:val="aff4"/>
          <w:rFonts w:hint="cs"/>
          <w:vanish/>
          <w:rtl/>
        </w:rPr>
        <w:t>-</w:t>
      </w:r>
      <w:r w:rsidRPr="000614F7">
        <w:rPr>
          <w:rStyle w:val="aff4"/>
          <w:rFonts w:hint="cs"/>
          <w:rtl/>
        </w:rPr>
        <w:t>הרמב"ם</w:t>
      </w:r>
      <w:r w:rsidRPr="00364282">
        <w:rPr>
          <w:rStyle w:val="aff4"/>
          <w:rFonts w:hint="cs"/>
          <w:vanish/>
          <w:rtl/>
        </w:rPr>
        <w:t>-</w:t>
      </w:r>
      <w:r>
        <w:rPr>
          <w:rFonts w:hint="cs"/>
          <w:rtl/>
        </w:rPr>
        <w:t xml:space="preserve"> עציץ נקוב ע"ג יתדות חשיב כתלוש, והא דלענין ערלה, מוכח דס"ל </w:t>
      </w:r>
      <w:r w:rsidRPr="009556BA">
        <w:rPr>
          <w:rStyle w:val="aff4"/>
          <w:rFonts w:hint="cs"/>
          <w:vanish/>
          <w:rtl/>
        </w:rPr>
        <w:t>-</w:t>
      </w:r>
      <w:r w:rsidRPr="00062375">
        <w:rPr>
          <w:rStyle w:val="aff4"/>
          <w:rFonts w:hint="cs"/>
          <w:rtl/>
        </w:rPr>
        <w:t>להרמב"ם</w:t>
      </w:r>
      <w:r w:rsidRPr="009556BA">
        <w:rPr>
          <w:rStyle w:val="aff4"/>
          <w:rFonts w:hint="cs"/>
          <w:vanish/>
          <w:rtl/>
        </w:rPr>
        <w:t>-</w:t>
      </w:r>
      <w:r>
        <w:rPr>
          <w:rFonts w:hint="cs"/>
          <w:rtl/>
        </w:rPr>
        <w:t xml:space="preserve"> דהוא כמחובר, מדכתב </w:t>
      </w:r>
      <w:r w:rsidRPr="009556BA">
        <w:rPr>
          <w:rStyle w:val="aff4"/>
          <w:rFonts w:hint="cs"/>
          <w:vanish/>
          <w:rtl/>
        </w:rPr>
        <w:t>-</w:t>
      </w:r>
      <w:r w:rsidRPr="00062375">
        <w:rPr>
          <w:rStyle w:val="aff4"/>
          <w:rFonts w:hint="cs"/>
          <w:rtl/>
        </w:rPr>
        <w:t>הרמב"ם</w:t>
      </w:r>
      <w:r w:rsidRPr="009556BA">
        <w:rPr>
          <w:rStyle w:val="aff4"/>
          <w:rFonts w:hint="cs"/>
          <w:vanish/>
          <w:rtl/>
        </w:rPr>
        <w:t>-</w:t>
      </w:r>
      <w:r>
        <w:rPr>
          <w:rFonts w:hint="cs"/>
          <w:rtl/>
        </w:rPr>
        <w:t xml:space="preserve"> </w:t>
      </w:r>
      <w:r w:rsidRPr="00A3054F">
        <w:rPr>
          <w:rStyle w:val="af2"/>
          <w:rFonts w:eastAsia="Guttman Hodes" w:hint="cs"/>
          <w:rtl/>
        </w:rPr>
        <w:t>(מעשר שני פ"י ה"ה)</w:t>
      </w:r>
      <w:r>
        <w:rPr>
          <w:rFonts w:hint="cs"/>
          <w:rtl/>
        </w:rPr>
        <w:t xml:space="preserve"> דהנוטע בספינה חייב בערלה ולא חילק בין גוששת לאינה גוששת, הוא כיון דהעשבים שבעציץ חשיבי כמקום גידלום, דהא יש להם חיות מהעפר של העץ, וחשיב היינו רביתיה כיון שהעציץ עצמו הוא נקוב, או כיון דסוף השרשים לפעפע לכן חשיב כנקוב, וביאר </w:t>
      </w:r>
      <w:r w:rsidRPr="009556BA">
        <w:rPr>
          <w:rStyle w:val="aff4"/>
          <w:rFonts w:hint="cs"/>
          <w:vanish/>
          <w:rtl/>
        </w:rPr>
        <w:t>-</w:t>
      </w:r>
      <w:r w:rsidRPr="00062375">
        <w:rPr>
          <w:rStyle w:val="aff4"/>
          <w:rFonts w:hint="cs"/>
          <w:rtl/>
        </w:rPr>
        <w:t>הקה"י</w:t>
      </w:r>
      <w:r w:rsidRPr="009556BA">
        <w:rPr>
          <w:rStyle w:val="aff4"/>
          <w:rFonts w:hint="cs"/>
          <w:vanish/>
          <w:rtl/>
        </w:rPr>
        <w:t>-</w:t>
      </w:r>
      <w:r>
        <w:rPr>
          <w:rFonts w:hint="cs"/>
          <w:rtl/>
        </w:rPr>
        <w:t xml:space="preserve"> דלענין ערלה א"צ שיהיה מחובר לקרקע וכל שיונק מאויר ארץ ישראל יש בו דין ערלה, אך מ"מ דינו כתלוש ולכן יש בו חיוב תולש לענין שבת, כיון שהעשבים שבעציץ היו מחוברים לקרקע, ונעקרו מהחיבור שלהם, וכעי"ז כתב </w:t>
      </w:r>
      <w:r w:rsidRPr="008D113A">
        <w:rPr>
          <w:rStyle w:val="aff4"/>
          <w:rFonts w:hint="cs"/>
          <w:vanish/>
          <w:rtl/>
        </w:rPr>
        <w:t>-</w:t>
      </w:r>
      <w:r w:rsidRPr="000614F7">
        <w:rPr>
          <w:rStyle w:val="aff4"/>
          <w:rFonts w:hint="cs"/>
          <w:rtl/>
        </w:rPr>
        <w:t>הגר"מ סולובייצ'יק</w:t>
      </w:r>
      <w:r w:rsidRPr="008D113A">
        <w:rPr>
          <w:rStyle w:val="aff4"/>
          <w:rFonts w:hint="cs"/>
          <w:vanish/>
          <w:rtl/>
        </w:rPr>
        <w:t>-</w:t>
      </w:r>
      <w:r>
        <w:rPr>
          <w:rFonts w:hint="cs"/>
          <w:rtl/>
        </w:rPr>
        <w:t xml:space="preserve"> </w:t>
      </w:r>
      <w:r w:rsidRPr="00A3054F">
        <w:rPr>
          <w:rStyle w:val="af2"/>
          <w:rFonts w:eastAsia="Guttman Hodes" w:hint="cs"/>
          <w:rtl/>
        </w:rPr>
        <w:t xml:space="preserve">(עי' אות </w:t>
      </w:r>
      <w:r w:rsidRPr="00A3054F">
        <w:rPr>
          <w:rStyle w:val="af2"/>
          <w:rFonts w:eastAsia="Guttman Hodes"/>
          <w:rtl/>
        </w:rPr>
        <w:fldChar w:fldCharType="begin"/>
      </w:r>
      <w:r w:rsidRPr="00A3054F">
        <w:rPr>
          <w:rStyle w:val="af2"/>
          <w:rFonts w:eastAsia="Guttman Hodes"/>
          <w:rtl/>
        </w:rPr>
        <w:instrText xml:space="preserve"> </w:instrText>
      </w:r>
      <w:r w:rsidRPr="00A3054F">
        <w:rPr>
          <w:rStyle w:val="af2"/>
          <w:rFonts w:eastAsia="Guttman Hodes" w:hint="cs"/>
        </w:rPr>
        <w:instrText>REF</w:instrText>
      </w:r>
      <w:r w:rsidRPr="00A3054F">
        <w:rPr>
          <w:rStyle w:val="af2"/>
          <w:rFonts w:eastAsia="Guttman Hodes" w:hint="cs"/>
          <w:rtl/>
        </w:rPr>
        <w:instrText xml:space="preserve"> _</w:instrText>
      </w:r>
      <w:r w:rsidRPr="00A3054F">
        <w:rPr>
          <w:rStyle w:val="af2"/>
          <w:rFonts w:eastAsia="Guttman Hodes" w:hint="cs"/>
        </w:rPr>
        <w:instrText>Ref134778156 \r \h</w:instrText>
      </w:r>
      <w:r w:rsidRPr="00A3054F">
        <w:rPr>
          <w:rStyle w:val="af2"/>
          <w:rFonts w:eastAsia="Guttman Hodes"/>
          <w:rtl/>
        </w:rPr>
        <w:instrText xml:space="preserve"> </w:instrText>
      </w:r>
      <w:r w:rsidRPr="00A3054F">
        <w:rPr>
          <w:rStyle w:val="af2"/>
          <w:rFonts w:eastAsia="Guttman Hodes"/>
          <w:rtl/>
        </w:rPr>
      </w:r>
      <w:r w:rsidRPr="00A3054F">
        <w:rPr>
          <w:rStyle w:val="af2"/>
          <w:rFonts w:eastAsia="Guttman Hodes"/>
          <w:rtl/>
        </w:rPr>
        <w:fldChar w:fldCharType="separate"/>
      </w:r>
      <w:r w:rsidR="00D82181">
        <w:rPr>
          <w:rStyle w:val="af2"/>
          <w:rFonts w:eastAsia="Guttman Hodes"/>
          <w:cs/>
        </w:rPr>
        <w:t>‎</w:t>
      </w:r>
      <w:r w:rsidR="00D82181">
        <w:rPr>
          <w:rStyle w:val="af2"/>
          <w:rFonts w:eastAsia="Guttman Hodes"/>
          <w:rtl/>
        </w:rPr>
        <w:t>נט)</w:t>
      </w:r>
      <w:r w:rsidRPr="00A3054F">
        <w:rPr>
          <w:rStyle w:val="af2"/>
          <w:rFonts w:eastAsia="Guttman Hodes"/>
          <w:rtl/>
        </w:rPr>
        <w:fldChar w:fldCharType="end"/>
      </w:r>
      <w:r>
        <w:rPr>
          <w:rFonts w:hint="cs"/>
          <w:rtl/>
        </w:rPr>
        <w:t>.</w:t>
      </w:r>
      <w:bookmarkEnd w:id="1243"/>
      <w:r>
        <w:rPr>
          <w:rFonts w:hint="cs"/>
          <w:rtl/>
        </w:rPr>
        <w:t xml:space="preserve"> </w:t>
      </w:r>
    </w:p>
    <w:p w14:paraId="29D83EFA" w14:textId="77777777" w:rsidR="00D31714" w:rsidRPr="00747170" w:rsidRDefault="00D31714" w:rsidP="00747170">
      <w:pPr>
        <w:pStyle w:val="a2"/>
        <w:rPr>
          <w:rtl/>
        </w:rPr>
      </w:pPr>
      <w:r w:rsidRPr="00747170">
        <w:rPr>
          <w:rFonts w:hint="cs"/>
          <w:rtl/>
        </w:rPr>
        <w:t>והאג"ט</w:t>
      </w:r>
      <w:r w:rsidRPr="00747170">
        <w:rPr>
          <w:rtl/>
        </w:rPr>
        <w:t xml:space="preserve"> כפי מה שפירש דמהא דאפילו אינה גוששת חייב בערלה מוכח דחשיב כמחובר גם להרמב"ם ז"ל ומה שפטור ממעשרות היינו משום דלא מקרי שדך הוקשה לו דא"כ למה גבי שבת פוסק הרמב"ם ז"ל שעל גבי יתידות הוי כתלוש ומשכ"ש לתרץ דאולי משום דגבי שבת בעינן נמי שדך דוקא דומיא דסממנין שהיו במקדש אין דבריו ז"ל מובנים כאן כלל דהא הרמב"ם ז"ל לא כתב כלל דהתולש עשבים מעצי"נ שע"ג יתידות פטור"' רק כתב דהמגביה עצי"נ מהקרקע והניח איתידות חייב"' משום תולש ואס"ד דאכתי מחובר הוא האיך חייב משום תולש אבל לפמשנ"ת בעה"י אתי שפיר דלהרמב"ם ז"ל באמת עצי"נ שאינו על הקרקע מחשב כתלוש ומשו"ה לענין שבת חייב משום תולש דהרי עכ"פ עוקר חיבורו של אותו צמח שהיה מחובר לקרקע ונעקר מחיבורו אלא שעכ"פ אית ליה חיותא מהעפר שבעצי"נ ומחשבא</w:t>
      </w:r>
      <w:r w:rsidRPr="00747170">
        <w:rPr>
          <w:rFonts w:hint="cs"/>
          <w:rtl/>
        </w:rPr>
        <w:t xml:space="preserve"> </w:t>
      </w:r>
      <w:r w:rsidRPr="00747170">
        <w:rPr>
          <w:rtl/>
        </w:rPr>
        <w:t>נמי היינו רביתי' כיון שהעציץ נקוב א"נ סוף שרשים לפעפע דחשיב כנקוב ולכן לענין ערלה חייב דלענין ערלה אפילו אינו מחובר לקרקע כל שיונק מאויר דא"י ומקרי נטיעה חייב וכמשנ"ת</w:t>
      </w:r>
      <w:r w:rsidRPr="00747170">
        <w:rPr>
          <w:rFonts w:hint="cs"/>
          <w:rtl/>
        </w:rPr>
        <w:t>.</w:t>
      </w:r>
    </w:p>
    <w:p w14:paraId="67F4D083" w14:textId="4C589F73" w:rsidR="00D31714" w:rsidRDefault="00D31714" w:rsidP="00D31714">
      <w:pPr>
        <w:pStyle w:val="a7"/>
        <w:rPr>
          <w:rtl/>
        </w:rPr>
      </w:pPr>
      <w:bookmarkStart w:id="1244" w:name="_Toc135670002"/>
      <w:r>
        <w:rPr>
          <w:rFonts w:hint="cs"/>
          <w:rtl/>
        </w:rPr>
        <w:t>בי' הקה"י דאף דהעציץ כתלוש מ"מ העוקר ממנו חייב כעוקר דבר מגידולו דחייב אף בתלוש</w:t>
      </w:r>
      <w:bookmarkEnd w:id="1244"/>
    </w:p>
    <w:p w14:paraId="35F02DAC" w14:textId="13ED8F6A" w:rsidR="00D31714" w:rsidRPr="001F23A2" w:rsidRDefault="00D31714" w:rsidP="00BC7DC8">
      <w:pPr>
        <w:pStyle w:val="a3"/>
      </w:pPr>
      <w:bookmarkStart w:id="1245" w:name="_Ref135666618"/>
      <w:r>
        <w:rPr>
          <w:rFonts w:hint="cs"/>
          <w:rtl/>
        </w:rPr>
        <w:t xml:space="preserve">ובהא דהתולש מהעציץ הנקוב שע"ג יתדות חייב, אעפ"י דהעציץ עצמו כתלוש, לדעת </w:t>
      </w:r>
      <w:r w:rsidRPr="00AC0BA6">
        <w:rPr>
          <w:rStyle w:val="aff4"/>
          <w:rFonts w:hint="cs"/>
          <w:vanish/>
          <w:rtl/>
        </w:rPr>
        <w:t>-</w:t>
      </w:r>
      <w:r w:rsidRPr="0042697D">
        <w:rPr>
          <w:rStyle w:val="aff4"/>
          <w:rFonts w:hint="cs"/>
          <w:rtl/>
        </w:rPr>
        <w:t>הרמב"ם</w:t>
      </w:r>
      <w:r w:rsidRPr="00AC0BA6">
        <w:rPr>
          <w:rStyle w:val="aff4"/>
          <w:rFonts w:hint="cs"/>
          <w:vanish/>
          <w:rtl/>
        </w:rPr>
        <w:t>-</w:t>
      </w:r>
      <w:r>
        <w:rPr>
          <w:rFonts w:hint="cs"/>
          <w:rtl/>
        </w:rPr>
        <w:t xml:space="preserve">, ביאר </w:t>
      </w:r>
      <w:r w:rsidRPr="00AC0BA6">
        <w:rPr>
          <w:rStyle w:val="aff4"/>
          <w:rFonts w:hint="cs"/>
          <w:vanish/>
          <w:rtl/>
        </w:rPr>
        <w:t>-</w:t>
      </w:r>
      <w:r w:rsidRPr="0042697D">
        <w:rPr>
          <w:rStyle w:val="aff4"/>
          <w:rFonts w:hint="cs"/>
          <w:rtl/>
        </w:rPr>
        <w:t>הקה"י</w:t>
      </w:r>
      <w:r w:rsidRPr="00AC0BA6">
        <w:rPr>
          <w:rStyle w:val="aff4"/>
          <w:rFonts w:hint="cs"/>
          <w:vanish/>
          <w:rtl/>
        </w:rPr>
        <w:t>-</w:t>
      </w:r>
      <w:r>
        <w:rPr>
          <w:rFonts w:hint="cs"/>
          <w:rtl/>
        </w:rPr>
        <w:t xml:space="preserve"> דאף דאינו מחובר לקרקע, מ"מ יש לעשבים חיות מהעפר שבעציץ וחשיב היינו רביתיה, והוא עוקר דבר מגידולו, וחייב כ</w:t>
      </w:r>
      <w:r w:rsidRPr="003F7EC4">
        <w:rPr>
          <w:rtl/>
        </w:rPr>
        <w:t>תולש פיטרא מאונא דחצבא</w:t>
      </w:r>
      <w:r>
        <w:rPr>
          <w:rFonts w:hint="cs"/>
          <w:rtl/>
        </w:rPr>
        <w:t xml:space="preserve"> בגמ' לקמן </w:t>
      </w:r>
      <w:r w:rsidRPr="00A3054F">
        <w:rPr>
          <w:rStyle w:val="af2"/>
          <w:rFonts w:eastAsia="Guttman Hodes" w:hint="cs"/>
          <w:rtl/>
        </w:rPr>
        <w:t>(קז:)</w:t>
      </w:r>
      <w:r>
        <w:rPr>
          <w:rFonts w:hint="cs"/>
          <w:rtl/>
        </w:rPr>
        <w:t xml:space="preserve">, וכדמשמע ממ"ש </w:t>
      </w:r>
      <w:r w:rsidRPr="00AC0BA6">
        <w:rPr>
          <w:rStyle w:val="aff4"/>
          <w:rFonts w:hint="cs"/>
          <w:vanish/>
          <w:rtl/>
        </w:rPr>
        <w:t>-</w:t>
      </w:r>
      <w:r w:rsidRPr="0042697D">
        <w:rPr>
          <w:rStyle w:val="aff4"/>
          <w:rFonts w:hint="cs"/>
          <w:rtl/>
        </w:rPr>
        <w:t>הרמב"ם</w:t>
      </w:r>
      <w:r w:rsidRPr="00AC0BA6">
        <w:rPr>
          <w:rStyle w:val="aff4"/>
          <w:rFonts w:hint="cs"/>
          <w:vanish/>
          <w:rtl/>
        </w:rPr>
        <w:t>-</w:t>
      </w:r>
      <w:r>
        <w:rPr>
          <w:rFonts w:hint="cs"/>
          <w:rtl/>
        </w:rPr>
        <w:t xml:space="preserve"> </w:t>
      </w:r>
      <w:r w:rsidRPr="00A3054F">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Ref135584246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ז)</w:t>
      </w:r>
      <w:r>
        <w:rPr>
          <w:rStyle w:val="af2"/>
          <w:rFonts w:eastAsia="Guttman Hodes"/>
          <w:rtl/>
        </w:rPr>
        <w:fldChar w:fldCharType="end"/>
      </w:r>
      <w:r>
        <w:rPr>
          <w:rFonts w:hint="cs"/>
          <w:rtl/>
        </w:rPr>
        <w:t xml:space="preserve"> דהתולש </w:t>
      </w:r>
      <w:r w:rsidRPr="003F7EC4">
        <w:rPr>
          <w:rtl/>
        </w:rPr>
        <w:t>פיטרא מאונא דחצבא</w:t>
      </w:r>
      <w:r>
        <w:rPr>
          <w:rFonts w:hint="cs"/>
          <w:rtl/>
        </w:rPr>
        <w:t xml:space="preserve"> ועשבים מצרור חייב, ולא כתב </w:t>
      </w:r>
      <w:r w:rsidRPr="00AC0BA6">
        <w:rPr>
          <w:rStyle w:val="aff4"/>
          <w:rFonts w:hint="cs"/>
          <w:vanish/>
          <w:rtl/>
        </w:rPr>
        <w:t>-</w:t>
      </w:r>
      <w:r w:rsidRPr="0042697D">
        <w:rPr>
          <w:rStyle w:val="aff4"/>
          <w:rFonts w:hint="cs"/>
          <w:rtl/>
        </w:rPr>
        <w:t>הרמב"ם</w:t>
      </w:r>
      <w:r w:rsidRPr="00AC0BA6">
        <w:rPr>
          <w:rStyle w:val="aff4"/>
          <w:rFonts w:hint="cs"/>
          <w:vanish/>
          <w:rtl/>
        </w:rPr>
        <w:t>-</w:t>
      </w:r>
      <w:r>
        <w:rPr>
          <w:rFonts w:hint="cs"/>
          <w:rtl/>
        </w:rPr>
        <w:t xml:space="preserve"> דאיירי בצרור שמחובר לקרקע, ומבואר דהחיוב הוא מחמת עוקר דבר מגידולו אעפ"י דחשיב תלוש, ודלא </w:t>
      </w:r>
      <w:r w:rsidRPr="00AC0BA6">
        <w:rPr>
          <w:rStyle w:val="aff4"/>
          <w:rFonts w:hint="cs"/>
          <w:vanish/>
          <w:rtl/>
        </w:rPr>
        <w:t>-</w:t>
      </w:r>
      <w:r w:rsidRPr="0042697D">
        <w:rPr>
          <w:rStyle w:val="aff4"/>
          <w:rFonts w:hint="cs"/>
          <w:rtl/>
        </w:rPr>
        <w:t>כאגלי טל</w:t>
      </w:r>
      <w:r w:rsidRPr="00AC0BA6">
        <w:rPr>
          <w:rStyle w:val="aff4"/>
          <w:rFonts w:hint="cs"/>
          <w:vanish/>
          <w:rtl/>
        </w:rPr>
        <w:t>-</w:t>
      </w:r>
      <w:r w:rsidRPr="00B71605">
        <w:rPr>
          <w:rFonts w:hint="cs"/>
          <w:rtl/>
        </w:rPr>
        <w:t xml:space="preserve"> </w:t>
      </w:r>
      <w:r w:rsidRPr="00A3054F">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Ref135236688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מד)</w:t>
      </w:r>
      <w:r>
        <w:rPr>
          <w:rStyle w:val="af2"/>
          <w:rFonts w:eastAsia="Guttman Hodes"/>
          <w:rtl/>
        </w:rPr>
        <w:fldChar w:fldCharType="end"/>
      </w:r>
      <w:r>
        <w:rPr>
          <w:rFonts w:hint="cs"/>
          <w:rtl/>
        </w:rPr>
        <w:t xml:space="preserve"> דכתב דכיון דלדעת </w:t>
      </w:r>
      <w:r w:rsidRPr="00AC0BA6">
        <w:rPr>
          <w:rStyle w:val="aff4"/>
          <w:rFonts w:hint="cs"/>
          <w:vanish/>
          <w:rtl/>
        </w:rPr>
        <w:t>-</w:t>
      </w:r>
      <w:r w:rsidRPr="0042697D">
        <w:rPr>
          <w:rStyle w:val="aff4"/>
          <w:rFonts w:hint="cs"/>
          <w:rtl/>
        </w:rPr>
        <w:t>הרמב"ם</w:t>
      </w:r>
      <w:r w:rsidRPr="00AC0BA6">
        <w:rPr>
          <w:rStyle w:val="aff4"/>
          <w:rFonts w:hint="cs"/>
          <w:vanish/>
          <w:rtl/>
        </w:rPr>
        <w:t>-</w:t>
      </w:r>
      <w:r>
        <w:rPr>
          <w:rFonts w:hint="cs"/>
          <w:rtl/>
        </w:rPr>
        <w:t xml:space="preserve"> עציץ ע"ג יתדות הוא כתלוש א"כ התולש ממנו פטור.</w:t>
      </w:r>
      <w:bookmarkEnd w:id="1245"/>
    </w:p>
    <w:p w14:paraId="5A14F188" w14:textId="77777777" w:rsidR="00D31714" w:rsidRPr="00747170" w:rsidRDefault="00D31714" w:rsidP="00747170">
      <w:pPr>
        <w:pStyle w:val="a2"/>
      </w:pPr>
      <w:r w:rsidRPr="00747170">
        <w:rPr>
          <w:rtl/>
        </w:rPr>
        <w:t>ונראה לפ"ז באמת דאע"פ שלהרמב"ם ז"ל המגביה עצי"נ מהקרקע חייב משום תולש לפי שעקר חיבורו להקרקע מ"מ התולש עשבים מאותו עצי"נ המונח על היתידות נמי חייב משום תולש שהרי עכ"פ עקר דבר מגידולו ולא גרע מההיא דדף ק"ח דתולש פיטרא מאונא דחצבא היינו עשבים שעלו על גבי חבית או דלי דחייב ולא הותנה שיהא החצבא דוקא מונח על הקרקע וכן הרמב"</w:t>
      </w:r>
      <w:r w:rsidRPr="00747170">
        <w:rPr>
          <w:rFonts w:hint="cs"/>
          <w:rtl/>
        </w:rPr>
        <w:t>ם</w:t>
      </w:r>
      <w:r w:rsidRPr="00747170">
        <w:rPr>
          <w:rtl/>
        </w:rPr>
        <w:t xml:space="preserve"> ז"ל פ"ח ה"ג העתיק דין פיטרא אאונא דחצבא וצרור שעלו בו עשבים חייב ולא התנה שזהו דוקא במונח על הקרקע ומסתימת הדברים משמע ודאי דבכל גווני חייב והטעם פשוט דנהי דהמונח על יתידות נחשב כבר כתלוש מהקרקע חיותא מיהא איכא להני צמחים מחמת העפר שבעציץ והעוקר משם לא גרע מדלדול עובר שבמעי אמו דחייב משום עוקר דבר מגידולו והא דתולש מעציץ שאינו נקוב פטור הוא מטעמא אחרינא דלא מקרי מקום גידולו"' משום דלאו היינו רביתייהו וכדאמרינן בדף ק"ח ובאג"ט שם תפס בפשיטות דכיון דלהרמב"ם ז"ל הגביה עצי"נ מהקרקע חייב דנחשב כתלוש ממילא התולש אח"כ עשבים מאותו עצי"נ פטור שכבר הוא כתלוש מקודם לכן ולענ"ד אינו מוכרח וכמשנ"ת</w:t>
      </w:r>
      <w:r w:rsidRPr="00747170">
        <w:rPr>
          <w:rFonts w:hint="cs"/>
          <w:rtl/>
        </w:rPr>
        <w:t>.</w:t>
      </w:r>
    </w:p>
    <w:p w14:paraId="7082C445" w14:textId="15FFA7ED" w:rsidR="00D31714" w:rsidRDefault="00D31714" w:rsidP="00D31714">
      <w:pPr>
        <w:pStyle w:val="1"/>
        <w:rPr>
          <w:rtl/>
        </w:rPr>
      </w:pPr>
      <w:bookmarkStart w:id="1246" w:name="_Toc135670003"/>
      <w:r>
        <w:rPr>
          <w:rFonts w:hint="cs"/>
          <w:rtl/>
        </w:rPr>
        <w:t>בי' הזכר יצחק דע"ג יתדות הוי מחובר וחיוב תולש דמיעט יניקה</w:t>
      </w:r>
      <w:bookmarkEnd w:id="1246"/>
    </w:p>
    <w:p w14:paraId="63B09169" w14:textId="77777777" w:rsidR="00D31714" w:rsidRDefault="00D31714" w:rsidP="00D31714">
      <w:pPr>
        <w:pStyle w:val="afffff7"/>
        <w:rPr>
          <w:rtl/>
        </w:rPr>
      </w:pPr>
      <w:bookmarkStart w:id="1247" w:name="_Toc135670276"/>
      <w:bookmarkStart w:id="1248" w:name="_Toc163505577"/>
      <w:r>
        <w:rPr>
          <w:rtl/>
        </w:rPr>
        <w:t>זכר יצחק ח</w:t>
      </w:r>
      <w:r>
        <w:rPr>
          <w:rFonts w:hint="cs"/>
          <w:rtl/>
        </w:rPr>
        <w:t>"</w:t>
      </w:r>
      <w:r>
        <w:rPr>
          <w:rtl/>
        </w:rPr>
        <w:t>ב סי</w:t>
      </w:r>
      <w:r>
        <w:rPr>
          <w:rFonts w:hint="cs"/>
          <w:rtl/>
        </w:rPr>
        <w:t>'</w:t>
      </w:r>
      <w:r>
        <w:rPr>
          <w:rtl/>
        </w:rPr>
        <w:t xml:space="preserve"> מ</w:t>
      </w:r>
      <w:r>
        <w:rPr>
          <w:rFonts w:hint="cs"/>
          <w:rtl/>
        </w:rPr>
        <w:t>"</w:t>
      </w:r>
      <w:r>
        <w:rPr>
          <w:rtl/>
        </w:rPr>
        <w:t>ה</w:t>
      </w:r>
      <w:r>
        <w:rPr>
          <w:rFonts w:hint="cs"/>
          <w:rtl/>
        </w:rPr>
        <w:t xml:space="preserve"> אות </w:t>
      </w:r>
      <w:r>
        <w:rPr>
          <w:rtl/>
        </w:rPr>
        <w:t>ב</w:t>
      </w:r>
      <w:r>
        <w:rPr>
          <w:rFonts w:hint="cs"/>
          <w:rtl/>
        </w:rPr>
        <w:t>' ד"ה וכן מוכח</w:t>
      </w:r>
      <w:bookmarkEnd w:id="1247"/>
      <w:bookmarkEnd w:id="1248"/>
    </w:p>
    <w:p w14:paraId="07C75D36" w14:textId="77777777" w:rsidR="00D31714" w:rsidRPr="00A13E6F" w:rsidRDefault="00D31714" w:rsidP="00D31714">
      <w:pPr>
        <w:pStyle w:val="a7"/>
        <w:rPr>
          <w:rtl/>
        </w:rPr>
      </w:pPr>
      <w:bookmarkStart w:id="1249" w:name="_Toc135513591"/>
      <w:bookmarkStart w:id="1250" w:name="_Toc135670004"/>
      <w:r>
        <w:rPr>
          <w:rFonts w:hint="cs"/>
          <w:rtl/>
        </w:rPr>
        <w:t>בי' הזכר יצחק ברמב"ם דאף ע"ג יתדות חשיב מחובר והא דחייב משום תולש כיון דמיעט יניקתו</w:t>
      </w:r>
      <w:bookmarkEnd w:id="1249"/>
      <w:bookmarkEnd w:id="1250"/>
      <w:r>
        <w:rPr>
          <w:rFonts w:hint="cs"/>
          <w:rtl/>
        </w:rPr>
        <w:t xml:space="preserve"> </w:t>
      </w:r>
    </w:p>
    <w:p w14:paraId="064FA1F5" w14:textId="3117CC35" w:rsidR="00D31714" w:rsidRPr="00C904C7" w:rsidRDefault="00D31714" w:rsidP="00BC7DC8">
      <w:pPr>
        <w:pStyle w:val="a3"/>
        <w:rPr>
          <w:rtl/>
        </w:rPr>
      </w:pPr>
      <w:bookmarkStart w:id="1251" w:name="_Hlk134736663"/>
      <w:bookmarkStart w:id="1252" w:name="_Ref134565616"/>
      <w:bookmarkStart w:id="1253" w:name="_Ref135342847"/>
      <w:r>
        <w:rPr>
          <w:rFonts w:hint="cs"/>
          <w:rtl/>
        </w:rPr>
        <w:t xml:space="preserve">במ"ש </w:t>
      </w:r>
      <w:r w:rsidRPr="00C65D8D">
        <w:rPr>
          <w:rStyle w:val="aff4"/>
          <w:rFonts w:hint="cs"/>
          <w:vanish/>
          <w:rtl/>
        </w:rPr>
        <w:t>-</w:t>
      </w:r>
      <w:r w:rsidRPr="00C65D8D">
        <w:rPr>
          <w:rStyle w:val="aff4"/>
          <w:rFonts w:hint="cs"/>
          <w:rtl/>
        </w:rPr>
        <w:t>הרמב"ם</w:t>
      </w:r>
      <w:r w:rsidRPr="00C65D8D">
        <w:rPr>
          <w:rStyle w:val="aff4"/>
          <w:rFonts w:hint="cs"/>
          <w:vanish/>
          <w:rtl/>
        </w:rPr>
        <w:t>-</w:t>
      </w:r>
      <w:r>
        <w:rPr>
          <w:rFonts w:hint="cs"/>
          <w:rtl/>
        </w:rPr>
        <w:t xml:space="preserve"> </w:t>
      </w:r>
      <w:r w:rsidRPr="00A3054F">
        <w:rPr>
          <w:rStyle w:val="af2"/>
          <w:rFonts w:eastAsia="Guttman Hodes" w:hint="cs"/>
          <w:rtl/>
        </w:rPr>
        <w:t xml:space="preserve">(עי' אות </w:t>
      </w:r>
      <w:r w:rsidRPr="00A3054F">
        <w:rPr>
          <w:rStyle w:val="af2"/>
          <w:rFonts w:eastAsia="Guttman Hodes"/>
          <w:rtl/>
        </w:rPr>
        <w:fldChar w:fldCharType="begin"/>
      </w:r>
      <w:r w:rsidRPr="00A3054F">
        <w:rPr>
          <w:rStyle w:val="af2"/>
          <w:rFonts w:eastAsia="Guttman Hodes"/>
          <w:rtl/>
        </w:rPr>
        <w:instrText xml:space="preserve"> </w:instrText>
      </w:r>
      <w:r w:rsidRPr="00A3054F">
        <w:rPr>
          <w:rStyle w:val="af2"/>
          <w:rFonts w:eastAsia="Guttman Hodes" w:hint="cs"/>
        </w:rPr>
        <w:instrText>REF</w:instrText>
      </w:r>
      <w:r w:rsidRPr="00A3054F">
        <w:rPr>
          <w:rStyle w:val="af2"/>
          <w:rFonts w:eastAsia="Guttman Hodes" w:hint="cs"/>
          <w:rtl/>
        </w:rPr>
        <w:instrText xml:space="preserve"> _</w:instrText>
      </w:r>
      <w:r w:rsidRPr="00A3054F">
        <w:rPr>
          <w:rStyle w:val="af2"/>
          <w:rFonts w:eastAsia="Guttman Hodes" w:hint="cs"/>
        </w:rPr>
        <w:instrText>Ref134736415 \r \h</w:instrText>
      </w:r>
      <w:r w:rsidRPr="00A3054F">
        <w:rPr>
          <w:rStyle w:val="af2"/>
          <w:rFonts w:eastAsia="Guttman Hodes"/>
          <w:rtl/>
        </w:rPr>
        <w:instrText xml:space="preserve"> </w:instrText>
      </w:r>
      <w:r w:rsidRPr="00A3054F">
        <w:rPr>
          <w:rStyle w:val="af2"/>
          <w:rFonts w:eastAsia="Guttman Hodes"/>
          <w:rtl/>
        </w:rPr>
      </w:r>
      <w:r w:rsidRPr="00A3054F">
        <w:rPr>
          <w:rStyle w:val="af2"/>
          <w:rFonts w:eastAsia="Guttman Hodes"/>
          <w:rtl/>
        </w:rPr>
        <w:fldChar w:fldCharType="separate"/>
      </w:r>
      <w:r w:rsidR="00D82181">
        <w:rPr>
          <w:rStyle w:val="af2"/>
          <w:rFonts w:eastAsia="Guttman Hodes"/>
          <w:cs/>
        </w:rPr>
        <w:t>‎</w:t>
      </w:r>
      <w:r w:rsidR="00D82181">
        <w:rPr>
          <w:rStyle w:val="af2"/>
          <w:rFonts w:eastAsia="Guttman Hodes"/>
          <w:rtl/>
        </w:rPr>
        <w:t>מ)</w:t>
      </w:r>
      <w:r w:rsidRPr="00A3054F">
        <w:rPr>
          <w:rStyle w:val="af2"/>
          <w:rFonts w:eastAsia="Guttman Hodes"/>
          <w:rtl/>
        </w:rPr>
        <w:fldChar w:fldCharType="end"/>
      </w:r>
      <w:r>
        <w:rPr>
          <w:rFonts w:hint="cs"/>
          <w:rtl/>
        </w:rPr>
        <w:t xml:space="preserve"> דגבשושית שעלו בה עשבים, והגביה אותה מהקרקע, והניחה ע"ג יתדות, דחייב משום תולש, </w:t>
      </w:r>
      <w:bookmarkEnd w:id="1251"/>
      <w:r>
        <w:rPr>
          <w:rFonts w:hint="cs"/>
          <w:rtl/>
        </w:rPr>
        <w:t xml:space="preserve">כתב </w:t>
      </w:r>
      <w:r w:rsidRPr="00C65D8D">
        <w:rPr>
          <w:rStyle w:val="aff4"/>
          <w:rFonts w:hint="cs"/>
          <w:vanish/>
          <w:rtl/>
        </w:rPr>
        <w:t>-</w:t>
      </w:r>
      <w:bookmarkStart w:id="1254" w:name="_Hlk135083196"/>
      <w:r w:rsidRPr="00C65D8D">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Ref134565616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סה)</w:t>
      </w:r>
      <w:r w:rsidRPr="00B53404">
        <w:rPr>
          <w:rStyle w:val="aff4"/>
          <w:vanish/>
          <w:rtl/>
        </w:rPr>
        <w:fldChar w:fldCharType="end"/>
      </w:r>
      <w:r w:rsidRPr="00B53404">
        <w:rPr>
          <w:rStyle w:val="aff4"/>
          <w:rFonts w:hint="cs"/>
          <w:vanish/>
          <w:rtl/>
        </w:rPr>
        <w:t xml:space="preserve"> &gt;</w:t>
      </w:r>
      <w:r w:rsidRPr="00C65D8D">
        <w:rPr>
          <w:rStyle w:val="aff4"/>
          <w:rFonts w:hint="cs"/>
          <w:rtl/>
        </w:rPr>
        <w:t>זכר יצחק</w:t>
      </w:r>
      <w:r w:rsidRPr="00C65D8D">
        <w:rPr>
          <w:rStyle w:val="aff4"/>
          <w:rFonts w:hint="cs"/>
          <w:vanish/>
          <w:rtl/>
        </w:rPr>
        <w:t>-</w:t>
      </w:r>
      <w:r>
        <w:rPr>
          <w:rFonts w:hint="cs"/>
          <w:rtl/>
        </w:rPr>
        <w:t xml:space="preserve"> </w:t>
      </w:r>
      <w:r w:rsidRPr="00A3054F">
        <w:rPr>
          <w:rStyle w:val="af2"/>
          <w:rFonts w:eastAsia="Guttman Hodes" w:hint="cs"/>
          <w:rtl/>
        </w:rPr>
        <w:t xml:space="preserve">(ח"ב סי' מ"ה </w:t>
      </w:r>
      <w:bookmarkEnd w:id="1254"/>
      <w:r w:rsidRPr="00A3054F">
        <w:rPr>
          <w:rStyle w:val="af2"/>
          <w:rFonts w:eastAsia="Guttman Hodes" w:hint="cs"/>
          <w:rtl/>
        </w:rPr>
        <w:t>אות ב' ד"ה וכן מוכח)</w:t>
      </w:r>
      <w:r w:rsidRPr="00C65D8D">
        <w:rPr>
          <w:rFonts w:hint="cs"/>
          <w:vanish/>
          <w:rtl/>
        </w:rPr>
        <w:t>=</w:t>
      </w:r>
      <w:r>
        <w:rPr>
          <w:rFonts w:hint="cs"/>
          <w:rtl/>
        </w:rPr>
        <w:t xml:space="preserve"> דמבואר מדברי </w:t>
      </w:r>
      <w:r w:rsidRPr="00C65D8D">
        <w:rPr>
          <w:rStyle w:val="aff4"/>
          <w:rFonts w:hint="cs"/>
          <w:vanish/>
          <w:rtl/>
        </w:rPr>
        <w:t>-</w:t>
      </w:r>
      <w:r w:rsidRPr="00C65D8D">
        <w:rPr>
          <w:rStyle w:val="aff4"/>
          <w:rFonts w:hint="cs"/>
          <w:rtl/>
        </w:rPr>
        <w:t>הרמב"ם</w:t>
      </w:r>
      <w:r w:rsidRPr="00C65D8D">
        <w:rPr>
          <w:rStyle w:val="aff4"/>
          <w:rFonts w:hint="cs"/>
          <w:vanish/>
          <w:rtl/>
        </w:rPr>
        <w:t>-</w:t>
      </w:r>
      <w:r>
        <w:rPr>
          <w:rFonts w:hint="cs"/>
          <w:rtl/>
        </w:rPr>
        <w:t xml:space="preserve"> דאעפ"י דעדיין חשיבא כמחובר ע"ג היתדות, מ"מ ס"ל </w:t>
      </w:r>
      <w:r w:rsidRPr="00C65D8D">
        <w:rPr>
          <w:rStyle w:val="aff4"/>
          <w:rFonts w:hint="cs"/>
          <w:vanish/>
          <w:rtl/>
        </w:rPr>
        <w:t>-</w:t>
      </w:r>
      <w:r w:rsidRPr="00C65D8D">
        <w:rPr>
          <w:rStyle w:val="aff4"/>
          <w:rFonts w:hint="cs"/>
          <w:rtl/>
        </w:rPr>
        <w:t>להרמב"ם</w:t>
      </w:r>
      <w:r w:rsidRPr="00C65D8D">
        <w:rPr>
          <w:rStyle w:val="aff4"/>
          <w:rFonts w:hint="cs"/>
          <w:vanish/>
          <w:rtl/>
        </w:rPr>
        <w:t>-</w:t>
      </w:r>
      <w:r>
        <w:rPr>
          <w:rFonts w:hint="cs"/>
          <w:rtl/>
        </w:rPr>
        <w:t xml:space="preserve"> דכיון דהוא ממעט את היניקה במה שמגביה אותה מהקרקע ליתדות, לכן חייב על מיעוט היניקה</w:t>
      </w:r>
      <w:bookmarkEnd w:id="1252"/>
      <w:r>
        <w:rPr>
          <w:rFonts w:hint="cs"/>
          <w:rtl/>
        </w:rPr>
        <w:t xml:space="preserve">, וכ"כ </w:t>
      </w:r>
      <w:r w:rsidRPr="001914AE">
        <w:rPr>
          <w:rStyle w:val="aff4"/>
          <w:rFonts w:hint="cs"/>
          <w:vanish/>
          <w:rtl/>
        </w:rPr>
        <w:t>-</w:t>
      </w:r>
      <w:r w:rsidRPr="00610487">
        <w:rPr>
          <w:rStyle w:val="aff4"/>
          <w:rFonts w:hint="cs"/>
          <w:rtl/>
        </w:rPr>
        <w:t>בחי' רבי ראובן בגיטין</w:t>
      </w:r>
      <w:r w:rsidRPr="001914AE">
        <w:rPr>
          <w:rStyle w:val="aff4"/>
          <w:rFonts w:hint="cs"/>
          <w:vanish/>
          <w:rtl/>
        </w:rPr>
        <w:t>-</w:t>
      </w:r>
      <w:r>
        <w:rPr>
          <w:rFonts w:hint="cs"/>
          <w:rtl/>
        </w:rPr>
        <w:t xml:space="preserve"> </w:t>
      </w:r>
      <w:r>
        <w:rPr>
          <w:rStyle w:val="af2"/>
          <w:rFonts w:eastAsia="Guttman Hodes" w:hint="cs"/>
          <w:rtl/>
        </w:rPr>
        <w:t>(</w:t>
      </w:r>
      <w:r w:rsidRPr="0028008B">
        <w:rPr>
          <w:rStyle w:val="af2"/>
          <w:rFonts w:eastAsia="Guttman Hodes" w:hint="cs"/>
          <w:rtl/>
        </w:rPr>
        <w:t xml:space="preserve">עי' אות </w:t>
      </w:r>
      <w:r w:rsidRPr="0028008B">
        <w:rPr>
          <w:rStyle w:val="af2"/>
          <w:rFonts w:eastAsia="Guttman Hodes"/>
          <w:rtl/>
        </w:rPr>
        <w:fldChar w:fldCharType="begin"/>
      </w:r>
      <w:r w:rsidRPr="0028008B">
        <w:rPr>
          <w:rStyle w:val="af2"/>
          <w:rFonts w:eastAsia="Guttman Hodes"/>
          <w:rtl/>
        </w:rPr>
        <w:instrText xml:space="preserve"> </w:instrText>
      </w:r>
      <w:r w:rsidRPr="0028008B">
        <w:rPr>
          <w:rStyle w:val="af2"/>
          <w:rFonts w:eastAsia="Guttman Hodes" w:hint="cs"/>
        </w:rPr>
        <w:instrText>REF</w:instrText>
      </w:r>
      <w:r w:rsidRPr="0028008B">
        <w:rPr>
          <w:rStyle w:val="af2"/>
          <w:rFonts w:eastAsia="Guttman Hodes" w:hint="cs"/>
          <w:rtl/>
        </w:rPr>
        <w:instrText xml:space="preserve"> _</w:instrText>
      </w:r>
      <w:r w:rsidRPr="0028008B">
        <w:rPr>
          <w:rStyle w:val="af2"/>
          <w:rFonts w:eastAsia="Guttman Hodes" w:hint="cs"/>
        </w:rPr>
        <w:instrText>Ref135165511 \r \h</w:instrText>
      </w:r>
      <w:r w:rsidRPr="0028008B">
        <w:rPr>
          <w:rStyle w:val="af2"/>
          <w:rFonts w:eastAsia="Guttman Hodes"/>
          <w:rtl/>
        </w:rPr>
        <w:instrText xml:space="preserve"> </w:instrText>
      </w:r>
      <w:r w:rsidRPr="0028008B">
        <w:rPr>
          <w:rStyle w:val="af2"/>
          <w:rFonts w:eastAsia="Guttman Hodes"/>
          <w:rtl/>
        </w:rPr>
      </w:r>
      <w:r w:rsidRPr="0028008B">
        <w:rPr>
          <w:rStyle w:val="af2"/>
          <w:rFonts w:eastAsia="Guttman Hodes"/>
          <w:rtl/>
        </w:rPr>
        <w:fldChar w:fldCharType="separate"/>
      </w:r>
      <w:r w:rsidR="00D82181">
        <w:rPr>
          <w:rStyle w:val="af2"/>
          <w:rFonts w:eastAsia="Guttman Hodes"/>
          <w:cs/>
        </w:rPr>
        <w:t>‎</w:t>
      </w:r>
      <w:r w:rsidR="00D82181">
        <w:rPr>
          <w:rStyle w:val="af2"/>
          <w:rFonts w:eastAsia="Guttman Hodes"/>
          <w:rtl/>
        </w:rPr>
        <w:t>עד)</w:t>
      </w:r>
      <w:r w:rsidRPr="0028008B">
        <w:rPr>
          <w:rStyle w:val="af2"/>
          <w:rFonts w:eastAsia="Guttman Hodes"/>
          <w:rtl/>
        </w:rPr>
        <w:fldChar w:fldCharType="end"/>
      </w:r>
      <w:r>
        <w:rPr>
          <w:rFonts w:hint="cs"/>
          <w:rtl/>
        </w:rPr>
        <w:t xml:space="preserve">. </w:t>
      </w:r>
      <w:r w:rsidRPr="003E0220">
        <w:rPr>
          <w:rStyle w:val="af"/>
          <w:rFonts w:hint="cs"/>
          <w:rtl/>
        </w:rPr>
        <w:t xml:space="preserve">[ועיי"ש במה שכתב </w:t>
      </w:r>
      <w:r w:rsidRPr="00735214">
        <w:rPr>
          <w:rStyle w:val="aff9"/>
          <w:rFonts w:hint="cs"/>
          <w:vanish/>
          <w:rtl/>
        </w:rPr>
        <w:t>-</w:t>
      </w:r>
      <w:r w:rsidRPr="003E0220">
        <w:rPr>
          <w:rStyle w:val="aff9"/>
          <w:rFonts w:hint="cs"/>
          <w:rtl/>
        </w:rPr>
        <w:t>הזכר יצחק</w:t>
      </w:r>
      <w:r w:rsidRPr="00735214">
        <w:rPr>
          <w:rStyle w:val="aff9"/>
          <w:rFonts w:hint="cs"/>
          <w:vanish/>
          <w:rtl/>
        </w:rPr>
        <w:t>-</w:t>
      </w:r>
      <w:r w:rsidRPr="003E0220">
        <w:rPr>
          <w:rStyle w:val="af"/>
          <w:rFonts w:hint="cs"/>
          <w:rtl/>
        </w:rPr>
        <w:t xml:space="preserve"> </w:t>
      </w:r>
      <w:r w:rsidRPr="0028008B">
        <w:rPr>
          <w:rStyle w:val="aff0"/>
          <w:rFonts w:hint="cs"/>
          <w:rtl/>
        </w:rPr>
        <w:t>(הובא בסימן ד' אות ס"ז)</w:t>
      </w:r>
      <w:r w:rsidRPr="003E0220">
        <w:rPr>
          <w:rStyle w:val="af"/>
          <w:rFonts w:hint="cs"/>
          <w:rtl/>
        </w:rPr>
        <w:t xml:space="preserve"> דמוכח מדברי </w:t>
      </w:r>
      <w:r w:rsidRPr="00735214">
        <w:rPr>
          <w:rStyle w:val="aff9"/>
          <w:rFonts w:hint="cs"/>
          <w:vanish/>
          <w:rtl/>
        </w:rPr>
        <w:t>-</w:t>
      </w:r>
      <w:r w:rsidRPr="003E0220">
        <w:rPr>
          <w:rStyle w:val="aff9"/>
          <w:rFonts w:hint="cs"/>
          <w:rtl/>
        </w:rPr>
        <w:t>הרמב"ם</w:t>
      </w:r>
      <w:r w:rsidRPr="00735214">
        <w:rPr>
          <w:rStyle w:val="aff9"/>
          <w:rFonts w:hint="cs"/>
          <w:vanish/>
          <w:rtl/>
        </w:rPr>
        <w:t>-</w:t>
      </w:r>
      <w:r w:rsidRPr="003E0220">
        <w:rPr>
          <w:rStyle w:val="af"/>
          <w:rFonts w:hint="cs"/>
          <w:rtl/>
        </w:rPr>
        <w:t xml:space="preserve"> דחיוב קוצר הוא רק מחמת דמבדיל את החיות כדעת הירושלמי</w:t>
      </w:r>
      <w:r w:rsidRPr="00735214">
        <w:rPr>
          <w:rStyle w:val="af"/>
          <w:rFonts w:hint="cs"/>
          <w:rtl/>
        </w:rPr>
        <w:t>].</w:t>
      </w:r>
      <w:bookmarkEnd w:id="1253"/>
      <w:r>
        <w:rPr>
          <w:rFonts w:hint="cs"/>
          <w:rtl/>
        </w:rPr>
        <w:t xml:space="preserve"> </w:t>
      </w:r>
    </w:p>
    <w:p w14:paraId="3804F677" w14:textId="77777777" w:rsidR="00D31714" w:rsidRPr="00747170" w:rsidRDefault="00D31714" w:rsidP="00747170">
      <w:pPr>
        <w:pStyle w:val="a2"/>
        <w:rPr>
          <w:rtl/>
        </w:rPr>
      </w:pPr>
      <w:r w:rsidRPr="00747170">
        <w:rPr>
          <w:rtl/>
        </w:rPr>
        <w:t>וכן מוכח מהא דפסק הרמב"ם (בה' שבת פ"ח ה"ד) "גבשושית של עפר שעלו בה עשבים הגביהה מעל הארץ והניחה ע"ג יתדות חייב משום תולש" עכ"ל. אעפ"י שגם ע"ג יתדות הוי מחובר, ובע"כ דס"ל דכל שממעט יניקתו דבודאי יניקתו יותר מעטה כשהיא ע"ג יתדות, ובשביל מיעוט היניקה חייב.</w:t>
      </w:r>
      <w:r w:rsidRPr="00747170">
        <w:rPr>
          <w:rFonts w:hint="cs"/>
          <w:rtl/>
        </w:rPr>
        <w:t xml:space="preserve"> </w:t>
      </w:r>
      <w:r w:rsidRPr="00747170">
        <w:rPr>
          <w:rtl/>
        </w:rPr>
        <w:t xml:space="preserve">וא"כ מוכרח דחיוב הקוצר הוא משום הבדלת חיותו, אבל אם נימא דיסוד הקוצר הוא משום תלישת החיבור אין מקום לחייב בזה כיוון דגם עתה הוא מחובר. </w:t>
      </w:r>
    </w:p>
    <w:p w14:paraId="3170117E" w14:textId="77777777" w:rsidR="00D31714" w:rsidRPr="00F4299C" w:rsidRDefault="00D31714" w:rsidP="00D31714">
      <w:pPr>
        <w:pStyle w:val="1"/>
        <w:rPr>
          <w:rtl/>
        </w:rPr>
      </w:pPr>
      <w:bookmarkStart w:id="1255" w:name="_Toc135212153"/>
      <w:bookmarkStart w:id="1256" w:name="_Toc135670005"/>
      <w:bookmarkStart w:id="1257" w:name="_Toc135149939"/>
      <w:bookmarkStart w:id="1258" w:name="_Toc135212175"/>
      <w:r>
        <w:rPr>
          <w:rFonts w:hint="cs"/>
          <w:rtl/>
        </w:rPr>
        <w:t>בי' הדב"א דיל"ע ברמב"ם אי ע"ג יתדות כמחובר ובאויר כתלוש</w:t>
      </w:r>
      <w:bookmarkEnd w:id="1255"/>
      <w:bookmarkEnd w:id="1256"/>
    </w:p>
    <w:p w14:paraId="335BD595" w14:textId="77777777" w:rsidR="00D31714" w:rsidRDefault="00D31714" w:rsidP="00D31714">
      <w:pPr>
        <w:pStyle w:val="afffff7"/>
        <w:rPr>
          <w:rtl/>
        </w:rPr>
      </w:pPr>
      <w:bookmarkStart w:id="1259" w:name="_Toc135212260"/>
      <w:bookmarkStart w:id="1260" w:name="_Toc135670277"/>
      <w:bookmarkStart w:id="1261" w:name="_Toc163505578"/>
      <w:r>
        <w:rPr>
          <w:rtl/>
        </w:rPr>
        <w:t>דבר אברהם ח</w:t>
      </w:r>
      <w:r>
        <w:rPr>
          <w:rFonts w:hint="cs"/>
          <w:rtl/>
        </w:rPr>
        <w:t>"</w:t>
      </w:r>
      <w:r>
        <w:rPr>
          <w:rtl/>
        </w:rPr>
        <w:t>א סי</w:t>
      </w:r>
      <w:r>
        <w:rPr>
          <w:rFonts w:hint="cs"/>
          <w:rtl/>
        </w:rPr>
        <w:t>'</w:t>
      </w:r>
      <w:r>
        <w:rPr>
          <w:rtl/>
        </w:rPr>
        <w:t xml:space="preserve"> כ</w:t>
      </w:r>
      <w:r>
        <w:rPr>
          <w:rFonts w:hint="cs"/>
          <w:rtl/>
        </w:rPr>
        <w:t>"</w:t>
      </w:r>
      <w:r>
        <w:rPr>
          <w:rtl/>
        </w:rPr>
        <w:t>ה</w:t>
      </w:r>
      <w:r>
        <w:rPr>
          <w:rFonts w:hint="cs"/>
          <w:rtl/>
        </w:rPr>
        <w:t xml:space="preserve"> אות ג', ד'</w:t>
      </w:r>
      <w:bookmarkEnd w:id="1259"/>
      <w:bookmarkEnd w:id="1260"/>
      <w:bookmarkEnd w:id="1261"/>
    </w:p>
    <w:p w14:paraId="651D818E" w14:textId="77777777" w:rsidR="00D31714" w:rsidRDefault="00D31714" w:rsidP="00D31714">
      <w:pPr>
        <w:pStyle w:val="a7"/>
        <w:rPr>
          <w:rtl/>
        </w:rPr>
      </w:pPr>
      <w:bookmarkStart w:id="1262" w:name="_Toc135670006"/>
      <w:r>
        <w:rPr>
          <w:rFonts w:hint="cs"/>
          <w:rtl/>
        </w:rPr>
        <w:t>בי' הדב"א ברמב"ם דע"ג קרקע העצי"נ מחובר לגמרי וע"ג יתדות תלוש ואפ"ה כותבין פרוזבול</w:t>
      </w:r>
      <w:bookmarkEnd w:id="1262"/>
    </w:p>
    <w:p w14:paraId="380008EA" w14:textId="600D02D0" w:rsidR="00D31714" w:rsidRPr="00836AA4" w:rsidRDefault="00D31714" w:rsidP="00BC7DC8">
      <w:pPr>
        <w:pStyle w:val="a3"/>
        <w:rPr>
          <w:rStyle w:val="af"/>
          <w:rtl/>
        </w:rPr>
      </w:pPr>
      <w:bookmarkStart w:id="1263" w:name="_Ref135065767"/>
      <w:r>
        <w:rPr>
          <w:rFonts w:hint="cs"/>
          <w:rtl/>
        </w:rPr>
        <w:t xml:space="preserve">במה שביאר </w:t>
      </w:r>
      <w:r w:rsidRPr="00DE1AA0">
        <w:rPr>
          <w:rStyle w:val="aff4"/>
          <w:rFonts w:hint="cs"/>
          <w:vanish/>
          <w:rtl/>
        </w:rPr>
        <w:t>-</w:t>
      </w:r>
      <w:r w:rsidRPr="00DB6BF0">
        <w:rPr>
          <w:rStyle w:val="aff4"/>
          <w:rFonts w:hint="cs"/>
          <w:rtl/>
        </w:rPr>
        <w:t>הזכר יצחק</w:t>
      </w:r>
      <w:r w:rsidRPr="00DE1AA0">
        <w:rPr>
          <w:rStyle w:val="aff4"/>
          <w:rFonts w:hint="cs"/>
          <w:vanish/>
          <w:rtl/>
        </w:rPr>
        <w:t>-</w:t>
      </w:r>
      <w:r>
        <w:rPr>
          <w:rFonts w:hint="cs"/>
          <w:rtl/>
        </w:rPr>
        <w:t xml:space="preserve"> </w:t>
      </w:r>
      <w:r w:rsidRPr="00A3054F">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Ref135342847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סה)</w:t>
      </w:r>
      <w:r>
        <w:rPr>
          <w:rStyle w:val="af2"/>
          <w:rFonts w:eastAsia="Guttman Hodes"/>
          <w:rtl/>
        </w:rPr>
        <w:fldChar w:fldCharType="end"/>
      </w:r>
      <w:r>
        <w:rPr>
          <w:rFonts w:hint="cs"/>
          <w:rtl/>
        </w:rPr>
        <w:t xml:space="preserve"> בדעת </w:t>
      </w:r>
      <w:r w:rsidRPr="008D113A">
        <w:rPr>
          <w:rStyle w:val="aff4"/>
          <w:rFonts w:hint="cs"/>
          <w:vanish/>
          <w:rtl/>
        </w:rPr>
        <w:t>-</w:t>
      </w:r>
      <w:r w:rsidRPr="000614F7">
        <w:rPr>
          <w:rStyle w:val="aff4"/>
          <w:rFonts w:hint="cs"/>
          <w:rtl/>
        </w:rPr>
        <w:t>הרמב"ם</w:t>
      </w:r>
      <w:r w:rsidRPr="008D113A">
        <w:rPr>
          <w:rStyle w:val="aff4"/>
          <w:rFonts w:hint="cs"/>
          <w:vanish/>
          <w:rtl/>
        </w:rPr>
        <w:t>-</w:t>
      </w:r>
      <w:r w:rsidRPr="008163AB">
        <w:rPr>
          <w:rFonts w:hint="cs"/>
          <w:rtl/>
        </w:rPr>
        <w:t xml:space="preserve"> </w:t>
      </w:r>
      <w:r w:rsidRPr="00A3054F">
        <w:rPr>
          <w:rStyle w:val="af2"/>
          <w:rFonts w:eastAsia="Guttman Hodes" w:hint="cs"/>
          <w:rtl/>
        </w:rPr>
        <w:t xml:space="preserve">(עי' אות </w:t>
      </w:r>
      <w:r w:rsidRPr="00A3054F">
        <w:rPr>
          <w:rStyle w:val="af2"/>
          <w:rFonts w:eastAsia="Guttman Hodes"/>
          <w:rtl/>
        </w:rPr>
        <w:fldChar w:fldCharType="begin"/>
      </w:r>
      <w:r w:rsidRPr="00A3054F">
        <w:rPr>
          <w:rStyle w:val="af2"/>
          <w:rFonts w:eastAsia="Guttman Hodes"/>
          <w:rtl/>
        </w:rPr>
        <w:instrText xml:space="preserve"> </w:instrText>
      </w:r>
      <w:r w:rsidRPr="00A3054F">
        <w:rPr>
          <w:rStyle w:val="af2"/>
          <w:rFonts w:eastAsia="Guttman Hodes" w:hint="cs"/>
        </w:rPr>
        <w:instrText>REF</w:instrText>
      </w:r>
      <w:r w:rsidRPr="00A3054F">
        <w:rPr>
          <w:rStyle w:val="af2"/>
          <w:rFonts w:eastAsia="Guttman Hodes" w:hint="cs"/>
          <w:rtl/>
        </w:rPr>
        <w:instrText xml:space="preserve"> _</w:instrText>
      </w:r>
      <w:r w:rsidRPr="00A3054F">
        <w:rPr>
          <w:rStyle w:val="af2"/>
          <w:rFonts w:eastAsia="Guttman Hodes" w:hint="cs"/>
        </w:rPr>
        <w:instrText>Ref134736415 \r \h</w:instrText>
      </w:r>
      <w:r w:rsidRPr="00A3054F">
        <w:rPr>
          <w:rStyle w:val="af2"/>
          <w:rFonts w:eastAsia="Guttman Hodes"/>
          <w:rtl/>
        </w:rPr>
        <w:instrText xml:space="preserve"> </w:instrText>
      </w:r>
      <w:r w:rsidRPr="00A3054F">
        <w:rPr>
          <w:rStyle w:val="af2"/>
          <w:rFonts w:eastAsia="Guttman Hodes"/>
          <w:rtl/>
        </w:rPr>
      </w:r>
      <w:r w:rsidRPr="00A3054F">
        <w:rPr>
          <w:rStyle w:val="af2"/>
          <w:rFonts w:eastAsia="Guttman Hodes"/>
          <w:rtl/>
        </w:rPr>
        <w:fldChar w:fldCharType="separate"/>
      </w:r>
      <w:r w:rsidR="00D82181">
        <w:rPr>
          <w:rStyle w:val="af2"/>
          <w:rFonts w:eastAsia="Guttman Hodes"/>
          <w:cs/>
        </w:rPr>
        <w:t>‎</w:t>
      </w:r>
      <w:r w:rsidR="00D82181">
        <w:rPr>
          <w:rStyle w:val="af2"/>
          <w:rFonts w:eastAsia="Guttman Hodes"/>
          <w:rtl/>
        </w:rPr>
        <w:t>מ)</w:t>
      </w:r>
      <w:r w:rsidRPr="00A3054F">
        <w:rPr>
          <w:rStyle w:val="af2"/>
          <w:rFonts w:eastAsia="Guttman Hodes"/>
          <w:rtl/>
        </w:rPr>
        <w:fldChar w:fldCharType="end"/>
      </w:r>
      <w:r w:rsidRPr="008163AB">
        <w:rPr>
          <w:rFonts w:hint="cs"/>
          <w:rtl/>
        </w:rPr>
        <w:t xml:space="preserve"> </w:t>
      </w:r>
      <w:r>
        <w:rPr>
          <w:rFonts w:hint="cs"/>
          <w:rtl/>
        </w:rPr>
        <w:t xml:space="preserve">דעציץ נקוב ע"ג יתדות חשיב מחובר, דחה </w:t>
      </w:r>
      <w:r w:rsidRPr="00DE1AA0">
        <w:rPr>
          <w:rStyle w:val="aff4"/>
          <w:rFonts w:hint="cs"/>
          <w:vanish/>
          <w:rtl/>
        </w:rPr>
        <w:t>-</w:t>
      </w:r>
      <w:r w:rsidRPr="00DB6BF0">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Ref135065767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סו)</w:t>
      </w:r>
      <w:r w:rsidRPr="00B53404">
        <w:rPr>
          <w:rStyle w:val="aff4"/>
          <w:vanish/>
          <w:rtl/>
        </w:rPr>
        <w:fldChar w:fldCharType="end"/>
      </w:r>
      <w:r w:rsidRPr="00B53404">
        <w:rPr>
          <w:rStyle w:val="aff4"/>
          <w:rFonts w:hint="cs"/>
          <w:vanish/>
          <w:rtl/>
        </w:rPr>
        <w:t xml:space="preserve"> &gt;</w:t>
      </w:r>
      <w:r w:rsidRPr="00DB6BF0">
        <w:rPr>
          <w:rStyle w:val="aff4"/>
          <w:rFonts w:hint="cs"/>
          <w:rtl/>
        </w:rPr>
        <w:t>דבר אברהם</w:t>
      </w:r>
      <w:r w:rsidRPr="00DE1AA0">
        <w:rPr>
          <w:rStyle w:val="aff4"/>
          <w:rFonts w:hint="cs"/>
          <w:vanish/>
          <w:rtl/>
        </w:rPr>
        <w:t>-</w:t>
      </w:r>
      <w:r>
        <w:rPr>
          <w:rFonts w:hint="cs"/>
          <w:rtl/>
        </w:rPr>
        <w:t xml:space="preserve"> </w:t>
      </w:r>
      <w:r w:rsidRPr="00A3054F">
        <w:rPr>
          <w:rStyle w:val="af2"/>
          <w:rFonts w:eastAsia="Guttman Hodes" w:hint="cs"/>
          <w:rtl/>
        </w:rPr>
        <w:t>(ח"א סי' כ"ה אות ג')</w:t>
      </w:r>
      <w:r w:rsidRPr="00DE1AA0">
        <w:rPr>
          <w:rFonts w:hint="cs"/>
          <w:vanish/>
          <w:rtl/>
        </w:rPr>
        <w:t>=</w:t>
      </w:r>
      <w:r>
        <w:rPr>
          <w:rFonts w:hint="cs"/>
          <w:rtl/>
        </w:rPr>
        <w:t xml:space="preserve"> דאפש"ל דכשהעציץ מונח ע"ג הקרקע הוא מחובר לגמרי, ובמונח </w:t>
      </w:r>
      <w:r>
        <w:rPr>
          <w:rFonts w:hint="cs"/>
          <w:rtl/>
        </w:rPr>
        <w:t xml:space="preserve">ע"ג יתדות הוא תלוש לגמרי, אף לענין פרוזבול, דהא לא פסק </w:t>
      </w:r>
      <w:r w:rsidRPr="00DE1AA0">
        <w:rPr>
          <w:rStyle w:val="aff4"/>
          <w:rFonts w:hint="cs"/>
          <w:vanish/>
          <w:rtl/>
        </w:rPr>
        <w:t>-</w:t>
      </w:r>
      <w:r w:rsidRPr="00DB6BF0">
        <w:rPr>
          <w:rStyle w:val="aff4"/>
          <w:rFonts w:hint="cs"/>
          <w:rtl/>
        </w:rPr>
        <w:t>הרמב"ם</w:t>
      </w:r>
      <w:r w:rsidRPr="00DE1AA0">
        <w:rPr>
          <w:rStyle w:val="aff4"/>
          <w:rFonts w:hint="cs"/>
          <w:vanish/>
          <w:rtl/>
        </w:rPr>
        <w:t>-</w:t>
      </w:r>
      <w:r>
        <w:rPr>
          <w:rFonts w:hint="cs"/>
          <w:rtl/>
        </w:rPr>
        <w:t xml:space="preserve"> את הגמ' בגיטין </w:t>
      </w:r>
      <w:r w:rsidRPr="00A3054F">
        <w:rPr>
          <w:rStyle w:val="af2"/>
          <w:rFonts w:eastAsia="Guttman Hodes" w:hint="cs"/>
          <w:rtl/>
        </w:rPr>
        <w:t>(לז.)</w:t>
      </w:r>
      <w:r>
        <w:rPr>
          <w:rFonts w:hint="cs"/>
          <w:rtl/>
        </w:rPr>
        <w:t xml:space="preserve"> דכותבין פרוזבול על עציץ נקוב שמונח אסיכי, ומבואר דס"ל </w:t>
      </w:r>
      <w:r w:rsidRPr="00DE1AA0">
        <w:rPr>
          <w:rStyle w:val="aff4"/>
          <w:rFonts w:hint="cs"/>
          <w:vanish/>
          <w:rtl/>
        </w:rPr>
        <w:t>-</w:t>
      </w:r>
      <w:r w:rsidRPr="00DB6BF0">
        <w:rPr>
          <w:rStyle w:val="aff4"/>
          <w:rFonts w:hint="cs"/>
          <w:rtl/>
        </w:rPr>
        <w:t>להרמב"ם</w:t>
      </w:r>
      <w:r w:rsidRPr="00DE1AA0">
        <w:rPr>
          <w:rStyle w:val="aff4"/>
          <w:rFonts w:hint="cs"/>
          <w:vanish/>
          <w:rtl/>
        </w:rPr>
        <w:t>-</w:t>
      </w:r>
      <w:r>
        <w:rPr>
          <w:rFonts w:hint="cs"/>
          <w:rtl/>
        </w:rPr>
        <w:t xml:space="preserve"> דהוא תלוש לגמרי. </w:t>
      </w:r>
      <w:r w:rsidRPr="003E0220">
        <w:rPr>
          <w:rStyle w:val="af"/>
          <w:rFonts w:hint="cs"/>
          <w:rtl/>
        </w:rPr>
        <w:t xml:space="preserve">[ועיי"ש במה שביאר </w:t>
      </w:r>
      <w:r w:rsidRPr="00735214">
        <w:rPr>
          <w:rStyle w:val="aff9"/>
          <w:rFonts w:hint="cs"/>
          <w:vanish/>
          <w:rtl/>
        </w:rPr>
        <w:t>-</w:t>
      </w:r>
      <w:r w:rsidRPr="003E0220">
        <w:rPr>
          <w:rStyle w:val="aff9"/>
          <w:rFonts w:hint="cs"/>
          <w:rtl/>
        </w:rPr>
        <w:t>הדבר אברהם</w:t>
      </w:r>
      <w:r w:rsidRPr="00735214">
        <w:rPr>
          <w:rStyle w:val="aff9"/>
          <w:rFonts w:hint="cs"/>
          <w:vanish/>
          <w:rtl/>
        </w:rPr>
        <w:t>-</w:t>
      </w:r>
      <w:r w:rsidRPr="003E0220">
        <w:rPr>
          <w:rStyle w:val="af"/>
          <w:rFonts w:hint="cs"/>
          <w:rtl/>
        </w:rPr>
        <w:t xml:space="preserve"> דפסק </w:t>
      </w:r>
      <w:r w:rsidRPr="00735214">
        <w:rPr>
          <w:rStyle w:val="aff9"/>
          <w:rFonts w:hint="cs"/>
          <w:vanish/>
          <w:rtl/>
        </w:rPr>
        <w:t>-</w:t>
      </w:r>
      <w:r w:rsidRPr="003E0220">
        <w:rPr>
          <w:rStyle w:val="aff9"/>
          <w:rFonts w:hint="cs"/>
          <w:rtl/>
        </w:rPr>
        <w:t>הרמב"ם</w:t>
      </w:r>
      <w:r w:rsidRPr="00735214">
        <w:rPr>
          <w:rStyle w:val="aff9"/>
          <w:rFonts w:hint="cs"/>
          <w:vanish/>
          <w:rtl/>
        </w:rPr>
        <w:t>-</w:t>
      </w:r>
      <w:r w:rsidRPr="003E0220">
        <w:rPr>
          <w:rStyle w:val="af"/>
          <w:rFonts w:hint="cs"/>
          <w:rtl/>
        </w:rPr>
        <w:t xml:space="preserve"> </w:t>
      </w:r>
      <w:r w:rsidRPr="003E0220">
        <w:rPr>
          <w:rStyle w:val="aff0"/>
          <w:rFonts w:hint="cs"/>
          <w:rtl/>
        </w:rPr>
        <w:t>(תרומות פ"א הכ"ג)</w:t>
      </w:r>
      <w:r w:rsidRPr="003E0220">
        <w:rPr>
          <w:rStyle w:val="af"/>
          <w:rFonts w:hint="cs"/>
          <w:rtl/>
        </w:rPr>
        <w:t xml:space="preserve"> כדעת ר"י לפי ביאור רב זירא בגמ' בגיטין </w:t>
      </w:r>
      <w:r w:rsidRPr="003E0220">
        <w:rPr>
          <w:rStyle w:val="aff0"/>
          <w:rFonts w:hint="cs"/>
          <w:rtl/>
        </w:rPr>
        <w:t>(ז:)</w:t>
      </w:r>
      <w:r w:rsidRPr="003E0220">
        <w:rPr>
          <w:rStyle w:val="af"/>
          <w:rFonts w:hint="cs"/>
          <w:rtl/>
        </w:rPr>
        <w:t xml:space="preserve"> ודלא כגמ' בגיטין </w:t>
      </w:r>
      <w:r w:rsidRPr="003E0220">
        <w:rPr>
          <w:rStyle w:val="aff0"/>
          <w:rFonts w:hint="cs"/>
          <w:rtl/>
        </w:rPr>
        <w:t>(לז:)</w:t>
      </w:r>
      <w:r w:rsidRPr="003E0220">
        <w:rPr>
          <w:rStyle w:val="af"/>
          <w:rFonts w:hint="cs"/>
          <w:rtl/>
        </w:rPr>
        <w:t xml:space="preserve">, ועוד ביאר </w:t>
      </w:r>
      <w:r w:rsidRPr="00735214">
        <w:rPr>
          <w:rStyle w:val="aff9"/>
          <w:rFonts w:hint="cs"/>
          <w:vanish/>
          <w:rtl/>
        </w:rPr>
        <w:t>-</w:t>
      </w:r>
      <w:r w:rsidRPr="003E0220">
        <w:rPr>
          <w:rStyle w:val="aff9"/>
          <w:rFonts w:hint="cs"/>
          <w:rtl/>
        </w:rPr>
        <w:t>ה</w:t>
      </w:r>
      <w:r w:rsidRPr="00735214">
        <w:rPr>
          <w:rStyle w:val="aff9"/>
          <w:rFonts w:hint="cs"/>
          <w:vanish/>
          <w:rtl/>
        </w:rPr>
        <w:t>&lt; &gt;</w:t>
      </w:r>
      <w:r w:rsidRPr="003E0220">
        <w:rPr>
          <w:rStyle w:val="aff9"/>
          <w:rFonts w:hint="cs"/>
          <w:rtl/>
        </w:rPr>
        <w:t>דבר אברהם</w:t>
      </w:r>
      <w:r w:rsidRPr="00735214">
        <w:rPr>
          <w:rStyle w:val="aff9"/>
          <w:rFonts w:hint="cs"/>
          <w:vanish/>
          <w:rtl/>
        </w:rPr>
        <w:t>-</w:t>
      </w:r>
      <w:r w:rsidRPr="003E0220">
        <w:rPr>
          <w:rStyle w:val="af"/>
          <w:rFonts w:hint="cs"/>
          <w:rtl/>
        </w:rPr>
        <w:t xml:space="preserve"> </w:t>
      </w:r>
      <w:r w:rsidRPr="003E0220">
        <w:rPr>
          <w:rStyle w:val="aff0"/>
          <w:rFonts w:hint="cs"/>
          <w:rtl/>
        </w:rPr>
        <w:t>(ח"א סי' כ"ה אות ד')</w:t>
      </w:r>
      <w:r w:rsidRPr="00735214">
        <w:rPr>
          <w:rStyle w:val="af"/>
          <w:rFonts w:hint="cs"/>
          <w:vanish/>
          <w:rtl/>
        </w:rPr>
        <w:t>=</w:t>
      </w:r>
      <w:r w:rsidRPr="003E0220">
        <w:rPr>
          <w:rStyle w:val="af"/>
          <w:rFonts w:hint="cs"/>
          <w:rtl/>
        </w:rPr>
        <w:t xml:space="preserve"> דס"ל </w:t>
      </w:r>
      <w:r w:rsidRPr="00735214">
        <w:rPr>
          <w:rStyle w:val="aff9"/>
          <w:rFonts w:hint="cs"/>
          <w:vanish/>
          <w:rtl/>
        </w:rPr>
        <w:t>-</w:t>
      </w:r>
      <w:r w:rsidRPr="003E0220">
        <w:rPr>
          <w:rStyle w:val="aff9"/>
          <w:rFonts w:hint="cs"/>
          <w:rtl/>
        </w:rPr>
        <w:t>להרמב"ם</w:t>
      </w:r>
      <w:r w:rsidRPr="00735214">
        <w:rPr>
          <w:rStyle w:val="aff9"/>
          <w:rFonts w:hint="cs"/>
          <w:vanish/>
          <w:rtl/>
        </w:rPr>
        <w:t>-</w:t>
      </w:r>
      <w:r w:rsidRPr="003E0220">
        <w:rPr>
          <w:rStyle w:val="af"/>
          <w:rFonts w:hint="cs"/>
          <w:rtl/>
        </w:rPr>
        <w:t xml:space="preserve"> כביאור </w:t>
      </w:r>
      <w:r w:rsidRPr="00735214">
        <w:rPr>
          <w:rStyle w:val="aff9"/>
          <w:rFonts w:hint="cs"/>
          <w:vanish/>
          <w:rtl/>
        </w:rPr>
        <w:t>-</w:t>
      </w:r>
      <w:r w:rsidRPr="003E0220">
        <w:rPr>
          <w:rStyle w:val="aff9"/>
          <w:rFonts w:hint="cs"/>
          <w:rtl/>
        </w:rPr>
        <w:t>הפר"ח בספר מים חיים</w:t>
      </w:r>
      <w:r w:rsidRPr="00735214">
        <w:rPr>
          <w:rStyle w:val="aff9"/>
          <w:rFonts w:hint="cs"/>
          <w:vanish/>
          <w:rtl/>
        </w:rPr>
        <w:t>-</w:t>
      </w:r>
      <w:r w:rsidRPr="003E0220">
        <w:rPr>
          <w:rStyle w:val="af"/>
          <w:rFonts w:hint="cs"/>
          <w:rtl/>
        </w:rPr>
        <w:t xml:space="preserve"> </w:t>
      </w:r>
      <w:r w:rsidRPr="003E0220">
        <w:rPr>
          <w:rStyle w:val="aff0"/>
          <w:rFonts w:hint="cs"/>
          <w:rtl/>
        </w:rPr>
        <w:t xml:space="preserve">(עי' אות </w:t>
      </w:r>
      <w:r w:rsidRPr="003E0220">
        <w:rPr>
          <w:rStyle w:val="aff0"/>
          <w:rtl/>
        </w:rPr>
        <w:fldChar w:fldCharType="begin"/>
      </w:r>
      <w:r w:rsidRPr="003E0220">
        <w:rPr>
          <w:rStyle w:val="aff0"/>
          <w:rtl/>
        </w:rPr>
        <w:instrText xml:space="preserve"> </w:instrText>
      </w:r>
      <w:r w:rsidRPr="003E0220">
        <w:rPr>
          <w:rStyle w:val="aff0"/>
          <w:rFonts w:hint="cs"/>
        </w:rPr>
        <w:instrText>REF</w:instrText>
      </w:r>
      <w:r w:rsidRPr="003E0220">
        <w:rPr>
          <w:rStyle w:val="aff0"/>
          <w:rFonts w:hint="cs"/>
          <w:rtl/>
        </w:rPr>
        <w:instrText xml:space="preserve"> _</w:instrText>
      </w:r>
      <w:r w:rsidRPr="003E0220">
        <w:rPr>
          <w:rStyle w:val="aff0"/>
          <w:rFonts w:hint="cs"/>
        </w:rPr>
        <w:instrText>Ref134983501 \r \h</w:instrText>
      </w:r>
      <w:r w:rsidRPr="003E0220">
        <w:rPr>
          <w:rStyle w:val="aff0"/>
          <w:rtl/>
        </w:rPr>
        <w:instrText xml:space="preserve"> </w:instrText>
      </w:r>
      <w:r w:rsidRPr="003E0220">
        <w:rPr>
          <w:rStyle w:val="aff0"/>
          <w:rtl/>
        </w:rPr>
      </w:r>
      <w:r w:rsidRPr="003E0220">
        <w:rPr>
          <w:rStyle w:val="aff0"/>
          <w:rtl/>
        </w:rPr>
        <w:fldChar w:fldCharType="separate"/>
      </w:r>
      <w:r w:rsidR="00D82181">
        <w:rPr>
          <w:rStyle w:val="aff0"/>
          <w:cs/>
        </w:rPr>
        <w:t>‎</w:t>
      </w:r>
      <w:r w:rsidR="00D82181">
        <w:rPr>
          <w:rStyle w:val="aff0"/>
          <w:rtl/>
        </w:rPr>
        <w:t>מב)</w:t>
      </w:r>
      <w:r w:rsidRPr="003E0220">
        <w:rPr>
          <w:rStyle w:val="aff0"/>
          <w:rtl/>
        </w:rPr>
        <w:fldChar w:fldCharType="end"/>
      </w:r>
      <w:r w:rsidRPr="003E0220">
        <w:rPr>
          <w:rStyle w:val="af"/>
          <w:rFonts w:hint="cs"/>
          <w:rtl/>
        </w:rPr>
        <w:t xml:space="preserve"> דאביי דחייב בפרפיסא משום תולש פליג על ר"ל דהתיר בצרור, וכתב </w:t>
      </w:r>
      <w:r w:rsidRPr="00735214">
        <w:rPr>
          <w:rStyle w:val="aff9"/>
          <w:rFonts w:hint="cs"/>
          <w:vanish/>
          <w:rtl/>
        </w:rPr>
        <w:t>-</w:t>
      </w:r>
      <w:r w:rsidRPr="003E0220">
        <w:rPr>
          <w:rStyle w:val="aff9"/>
          <w:rFonts w:hint="cs"/>
          <w:rtl/>
        </w:rPr>
        <w:t>הדבר אברהם</w:t>
      </w:r>
      <w:r w:rsidRPr="00735214">
        <w:rPr>
          <w:rStyle w:val="aff9"/>
          <w:rFonts w:hint="cs"/>
          <w:vanish/>
          <w:rtl/>
        </w:rPr>
        <w:t>-</w:t>
      </w:r>
      <w:r w:rsidRPr="003E0220">
        <w:rPr>
          <w:rStyle w:val="af"/>
          <w:rFonts w:hint="cs"/>
          <w:rtl/>
        </w:rPr>
        <w:t xml:space="preserve"> דא"כ ר"ל ס"ל דעציץ ע"ג יתדות הוא מחובר, אך </w:t>
      </w:r>
      <w:r w:rsidRPr="00735214">
        <w:rPr>
          <w:rStyle w:val="aff9"/>
          <w:rFonts w:hint="cs"/>
          <w:vanish/>
          <w:rtl/>
        </w:rPr>
        <w:t>-</w:t>
      </w:r>
      <w:r w:rsidRPr="003E0220">
        <w:rPr>
          <w:rStyle w:val="aff9"/>
          <w:rFonts w:hint="cs"/>
          <w:rtl/>
        </w:rPr>
        <w:t>הרמב"ם</w:t>
      </w:r>
      <w:r w:rsidRPr="00735214">
        <w:rPr>
          <w:rStyle w:val="aff9"/>
          <w:rFonts w:hint="cs"/>
          <w:vanish/>
          <w:rtl/>
        </w:rPr>
        <w:t>-</w:t>
      </w:r>
      <w:r w:rsidRPr="003E0220">
        <w:rPr>
          <w:rStyle w:val="af"/>
          <w:rFonts w:hint="cs"/>
          <w:rtl/>
        </w:rPr>
        <w:t xml:space="preserve"> גרס בגמ' בגיטין </w:t>
      </w:r>
      <w:r w:rsidRPr="003E0220">
        <w:rPr>
          <w:rStyle w:val="aff0"/>
          <w:rFonts w:hint="cs"/>
          <w:rtl/>
        </w:rPr>
        <w:t>(ז:)</w:t>
      </w:r>
      <w:r w:rsidRPr="003E0220">
        <w:rPr>
          <w:rStyle w:val="af"/>
          <w:rFonts w:hint="cs"/>
          <w:rtl/>
        </w:rPr>
        <w:t xml:space="preserve"> ריו"ח ולא גריס רב זירא, כגירסא שהביאו </w:t>
      </w:r>
      <w:r w:rsidRPr="00735214">
        <w:rPr>
          <w:rStyle w:val="aff9"/>
          <w:rFonts w:hint="cs"/>
          <w:vanish/>
          <w:rtl/>
        </w:rPr>
        <w:t>-</w:t>
      </w:r>
      <w:r w:rsidRPr="003E0220">
        <w:rPr>
          <w:rStyle w:val="aff9"/>
          <w:rFonts w:hint="cs"/>
          <w:rtl/>
        </w:rPr>
        <w:t>התוס' בגיטין</w:t>
      </w:r>
      <w:r w:rsidRPr="00735214">
        <w:rPr>
          <w:rStyle w:val="aff9"/>
          <w:rFonts w:hint="cs"/>
          <w:vanish/>
          <w:rtl/>
        </w:rPr>
        <w:t>-</w:t>
      </w:r>
      <w:r w:rsidRPr="003E0220">
        <w:rPr>
          <w:rStyle w:val="af"/>
          <w:rFonts w:hint="cs"/>
          <w:rtl/>
        </w:rPr>
        <w:t xml:space="preserve"> </w:t>
      </w:r>
      <w:r w:rsidRPr="003E0220">
        <w:rPr>
          <w:rStyle w:val="aff0"/>
          <w:rFonts w:hint="cs"/>
          <w:rtl/>
        </w:rPr>
        <w:t>(ז: ד"ה אמר)</w:t>
      </w:r>
      <w:r w:rsidRPr="003E0220">
        <w:rPr>
          <w:rStyle w:val="af"/>
          <w:rFonts w:hint="cs"/>
          <w:rtl/>
        </w:rPr>
        <w:t xml:space="preserve">, וא"כ ס"ל לריו"ח דלדעת ר"י עציץ ע"ג יתדות חשיב מחובר, ולכן פסק </w:t>
      </w:r>
      <w:r w:rsidRPr="00735214">
        <w:rPr>
          <w:rStyle w:val="aff9"/>
          <w:rFonts w:hint="cs"/>
          <w:vanish/>
          <w:rtl/>
        </w:rPr>
        <w:t>-</w:t>
      </w:r>
      <w:r w:rsidRPr="003E0220">
        <w:rPr>
          <w:rStyle w:val="aff9"/>
          <w:rFonts w:hint="cs"/>
          <w:rtl/>
        </w:rPr>
        <w:t>הרמב"ם</w:t>
      </w:r>
      <w:r w:rsidRPr="00735214">
        <w:rPr>
          <w:rStyle w:val="aff9"/>
          <w:rFonts w:hint="cs"/>
          <w:vanish/>
          <w:rtl/>
        </w:rPr>
        <w:t>-</w:t>
      </w:r>
      <w:r w:rsidRPr="003E0220">
        <w:rPr>
          <w:rStyle w:val="af"/>
          <w:rFonts w:hint="cs"/>
          <w:rtl/>
        </w:rPr>
        <w:t xml:space="preserve"> כריו"ח ודלא כר"ל, ועיי"ש במה שהאריך </w:t>
      </w:r>
      <w:r w:rsidRPr="00735214">
        <w:rPr>
          <w:rStyle w:val="aff9"/>
          <w:rFonts w:hint="cs"/>
          <w:vanish/>
          <w:rtl/>
        </w:rPr>
        <w:t>-</w:t>
      </w:r>
      <w:r w:rsidRPr="003E0220">
        <w:rPr>
          <w:rStyle w:val="aff9"/>
          <w:rFonts w:hint="cs"/>
          <w:rtl/>
        </w:rPr>
        <w:t>הדבר אברהם</w:t>
      </w:r>
      <w:r w:rsidRPr="00735214">
        <w:rPr>
          <w:rStyle w:val="aff9"/>
          <w:rFonts w:hint="cs"/>
          <w:vanish/>
          <w:rtl/>
        </w:rPr>
        <w:t>-</w:t>
      </w:r>
      <w:r w:rsidRPr="003E0220">
        <w:rPr>
          <w:rStyle w:val="af"/>
          <w:rFonts w:hint="cs"/>
          <w:rtl/>
        </w:rPr>
        <w:t xml:space="preserve"> בזה</w:t>
      </w:r>
      <w:r w:rsidRPr="00735214">
        <w:rPr>
          <w:rStyle w:val="af"/>
          <w:rFonts w:hint="cs"/>
          <w:rtl/>
        </w:rPr>
        <w:t>].</w:t>
      </w:r>
      <w:bookmarkEnd w:id="1263"/>
    </w:p>
    <w:p w14:paraId="7462DB29" w14:textId="77777777" w:rsidR="00D31714" w:rsidRPr="00747170" w:rsidRDefault="00D31714" w:rsidP="00747170">
      <w:pPr>
        <w:pStyle w:val="a2"/>
        <w:rPr>
          <w:rtl/>
        </w:rPr>
      </w:pPr>
      <w:r w:rsidRPr="00747170">
        <w:rPr>
          <w:rtl/>
        </w:rPr>
        <w:t xml:space="preserve">[ג] ובעיקר ראייתו מדברי הרמב"ם במה שתפס כ"ג למילתא דפשיטא דבשעה שמונח ע"ג יתדות הוי מחובר להרמב"ם, לענ"ד אינו מוכרח שהרי דברי הרמב"ם ז"ל מתבארים כפשוטם דמשו"ה חייב משום תולש מדאורייתא משום דמעיקרא הוי מחובר והשתא תלשו לגמרי וס"ל דעציץ המונח ע"ג יתדות הוי תלוש לכל מילי דהנה התוס' בגיטין שם סברו למימר דמהך סוגיא דפרפיסא מוכח דעציץ המונח ע"ג יתדות הוי תלוש אלא דסוגיא דגיטין (דף ל"ז ע"א) דאמרינן התם שאין כותבין פרוזבל אלא על עציץ נקוב ומוקי לה בדמנחא אסיכי הכריחתם לומר דהוי מחובר ומשו"ה פירשו לתולש דפרפיסא מדרבנן, וא"כ להרמב"ם דלא הביא בהלכות שמיטה הא דתני הלל כותבין פרוזבל על עציץ נקוב ובמנח אסיכי אין שום הוכחה דהוי מחובר, ואדרבא נראה לכאורה דמשוה"ט לא הביא דין זה משום דסבר דבמנח אסיכי הוי תלוש, ודחי להך סוגיא מפני מימרא דפרפיסא משום דפסק כר' זירא בגיטין (דף ז') דעציץ נקוב המונח ע"ג יתדות באנו למחלוקת ר"י ורבנן דלר"י דבעי בספינה גוששת עציץ המונח ע"ג יתדות לא הוי כמחובר, וכיון דפסק (פ"א מהלכות תרומות הל' כ"ג) כר"י א"כ עציץ שע"ג יתדות הוי תלוש, וס"ל דהא דקאמר רבא עלה דרבי זירא דילמא לא היא עד כאן לא קאמר ר"י התם כו' דיחויא בעלמא היא ולאו משום דסבר רבא הכי בהחלט דלא כרבי זירא ויעו"ש במ"מ במ"ש בטעם השמטת הרמב"ם למימרא דר"ל בהיתר קינוח בצרור ובלח"מ והגהות הפר"ח: </w:t>
      </w:r>
    </w:p>
    <w:p w14:paraId="0F7EB227" w14:textId="77777777" w:rsidR="00D31714" w:rsidRPr="0074537A" w:rsidRDefault="00D31714" w:rsidP="00747170">
      <w:pPr>
        <w:pStyle w:val="afffff5"/>
        <w:rPr>
          <w:rtl/>
        </w:rPr>
      </w:pPr>
      <w:r w:rsidRPr="0074537A">
        <w:rPr>
          <w:rtl/>
        </w:rPr>
        <w:t>[ד] ועוד אפשר לומר דמש"ה דחי הרמב"ם לההיא סוגיא דגיטין דסתמא דגמ' היא מפני מימרא דפרפיסא ע"פ מש"כ הפר"ח בהגהותיו לרמב"ם (הלכות שבת פ"ח ה"ד) דריש לקיש דאמר התם בשבת (דף פ"א) צרור שעלו בו עשבים מותר לקנח בו פליג אאביי דפרפיסא וס"ל דהתולשו אינו חייב מדאורייתא, ולפי"ז סבר ר"ל דבמונח ע"ג יתדות נמי הוי מחובר ונמצא שאינו תולש כלל כשמגביהו מע"ג קרקע. ובגיטין בההיא דאמר רבי זירא עציץ נקוב המונח ע"ג יתדות באנו למחלוקת ר"י ורבנן כתבו התוס' (ד"ה אמר ר"י) דבמקצת ספרים גרסי א"ר יוחנן במקום אמר ר' זירא ובתוס' שבת (דף פ"א ע"ב ד"ה והניחו) הביאו מימרא זו בגירסת א"ר יוחנן וכן ראיתי באור זרוע הלכות ערלה (סי' שי"ג) דגריס א"ר יוחנן, ואפשר דהרמב"ם ז"ל נמי גירסא זו הוה ליה ולפי"ז סבר רבי יוחנן דלר"י דקיי"ל כוותיה עציץ מונח ע"ג יתדות הוי תלוש דחד דינא אית ליה עם ספינה. וכיון שנחלקו בדבר ר"י ור"ל הלכה כר"י לגבי ר"ל, ומשו"ה דחי לסוגיא דגיטין דסבירא לה דהוי מחובר ואתיא דהלל כר"ל שלא כהלכה:</w:t>
      </w:r>
    </w:p>
    <w:p w14:paraId="0A853832" w14:textId="77777777" w:rsidR="00D31714" w:rsidRDefault="00D31714" w:rsidP="00D31714">
      <w:pPr>
        <w:pStyle w:val="afffff7"/>
        <w:rPr>
          <w:rtl/>
        </w:rPr>
      </w:pPr>
      <w:bookmarkStart w:id="1264" w:name="_Toc135212261"/>
      <w:bookmarkStart w:id="1265" w:name="_Toc135670278"/>
      <w:bookmarkStart w:id="1266" w:name="_Hlk135066413"/>
      <w:bookmarkStart w:id="1267" w:name="_Toc163505579"/>
      <w:r>
        <w:rPr>
          <w:rtl/>
        </w:rPr>
        <w:t>דבר אברהם ח</w:t>
      </w:r>
      <w:r>
        <w:rPr>
          <w:rFonts w:hint="cs"/>
          <w:rtl/>
        </w:rPr>
        <w:t>"</w:t>
      </w:r>
      <w:r>
        <w:rPr>
          <w:rtl/>
        </w:rPr>
        <w:t>א סי</w:t>
      </w:r>
      <w:r>
        <w:rPr>
          <w:rFonts w:hint="cs"/>
          <w:rtl/>
        </w:rPr>
        <w:t>'</w:t>
      </w:r>
      <w:r>
        <w:rPr>
          <w:rtl/>
        </w:rPr>
        <w:t xml:space="preserve"> כ</w:t>
      </w:r>
      <w:r>
        <w:rPr>
          <w:rFonts w:hint="cs"/>
          <w:rtl/>
        </w:rPr>
        <w:t>"</w:t>
      </w:r>
      <w:r>
        <w:rPr>
          <w:rtl/>
        </w:rPr>
        <w:t>ה</w:t>
      </w:r>
      <w:r>
        <w:rPr>
          <w:rFonts w:hint="cs"/>
          <w:rtl/>
        </w:rPr>
        <w:t xml:space="preserve"> אות ו'</w:t>
      </w:r>
      <w:bookmarkEnd w:id="1264"/>
      <w:bookmarkEnd w:id="1265"/>
      <w:bookmarkEnd w:id="1267"/>
    </w:p>
    <w:p w14:paraId="33C98838" w14:textId="77777777" w:rsidR="00D31714" w:rsidRDefault="00D31714" w:rsidP="00D31714">
      <w:pPr>
        <w:pStyle w:val="a7"/>
        <w:rPr>
          <w:rtl/>
        </w:rPr>
      </w:pPr>
      <w:bookmarkStart w:id="1268" w:name="_Toc135670007"/>
      <w:r>
        <w:rPr>
          <w:rFonts w:hint="cs"/>
          <w:rtl/>
        </w:rPr>
        <w:t>בי' הדב"א דאף אי ס"ל להרמב"ם דע"ג יתדות הוא מחובר מ"מ באויר ודאי דהוא תלוש</w:t>
      </w:r>
      <w:bookmarkEnd w:id="1268"/>
    </w:p>
    <w:p w14:paraId="557B8CB5" w14:textId="78724092" w:rsidR="00D31714" w:rsidRPr="00E12BD6" w:rsidRDefault="00D31714" w:rsidP="00BC7DC8">
      <w:pPr>
        <w:pStyle w:val="a3"/>
        <w:rPr>
          <w:rtl/>
        </w:rPr>
      </w:pPr>
      <w:bookmarkStart w:id="1269" w:name="_Ref135066163"/>
      <w:bookmarkStart w:id="1270" w:name="_Ref135666998"/>
      <w:r>
        <w:rPr>
          <w:rFonts w:hint="cs"/>
          <w:rtl/>
        </w:rPr>
        <w:t xml:space="preserve">והוסיף </w:t>
      </w:r>
      <w:r w:rsidRPr="00DE1AA0">
        <w:rPr>
          <w:rStyle w:val="aff4"/>
          <w:rFonts w:hint="cs"/>
          <w:vanish/>
          <w:rtl/>
        </w:rPr>
        <w:t>-</w:t>
      </w:r>
      <w:r w:rsidRPr="00DB6BF0">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Ref135066163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סז)</w:t>
      </w:r>
      <w:r w:rsidRPr="00B53404">
        <w:rPr>
          <w:rStyle w:val="aff4"/>
          <w:vanish/>
          <w:rtl/>
        </w:rPr>
        <w:fldChar w:fldCharType="end"/>
      </w:r>
      <w:r w:rsidRPr="00B53404">
        <w:rPr>
          <w:rStyle w:val="aff4"/>
          <w:rFonts w:hint="cs"/>
          <w:vanish/>
          <w:rtl/>
        </w:rPr>
        <w:t xml:space="preserve"> &gt;</w:t>
      </w:r>
      <w:r w:rsidRPr="00DB6BF0">
        <w:rPr>
          <w:rStyle w:val="aff4"/>
          <w:rFonts w:hint="cs"/>
          <w:rtl/>
        </w:rPr>
        <w:t>דבר אברהם</w:t>
      </w:r>
      <w:r w:rsidRPr="00DE1AA0">
        <w:rPr>
          <w:rStyle w:val="aff4"/>
          <w:rFonts w:hint="cs"/>
          <w:vanish/>
          <w:rtl/>
        </w:rPr>
        <w:t>-</w:t>
      </w:r>
      <w:r>
        <w:rPr>
          <w:rFonts w:hint="cs"/>
          <w:rtl/>
        </w:rPr>
        <w:t xml:space="preserve"> </w:t>
      </w:r>
      <w:r w:rsidRPr="00A3054F">
        <w:rPr>
          <w:rStyle w:val="af2"/>
          <w:rFonts w:eastAsia="Guttman Hodes" w:hint="cs"/>
          <w:rtl/>
        </w:rPr>
        <w:t>(ח"א סי' כ"ה אות ו')</w:t>
      </w:r>
      <w:r w:rsidRPr="00DE1AA0">
        <w:rPr>
          <w:rFonts w:hint="cs"/>
          <w:vanish/>
          <w:rtl/>
        </w:rPr>
        <w:t>=</w:t>
      </w:r>
      <w:r>
        <w:rPr>
          <w:rFonts w:hint="cs"/>
          <w:rtl/>
        </w:rPr>
        <w:t xml:space="preserve"> דאף אי נימא כביאור </w:t>
      </w:r>
      <w:r w:rsidRPr="00DE1AA0">
        <w:rPr>
          <w:rStyle w:val="aff4"/>
          <w:rFonts w:hint="cs"/>
          <w:vanish/>
          <w:rtl/>
        </w:rPr>
        <w:t>-</w:t>
      </w:r>
      <w:r w:rsidRPr="00DB6BF0">
        <w:rPr>
          <w:rStyle w:val="aff4"/>
          <w:rFonts w:hint="cs"/>
          <w:rtl/>
        </w:rPr>
        <w:t>הזכר יצחק</w:t>
      </w:r>
      <w:r w:rsidRPr="00DE1AA0">
        <w:rPr>
          <w:rStyle w:val="aff4"/>
          <w:rFonts w:hint="cs"/>
          <w:vanish/>
          <w:rtl/>
        </w:rPr>
        <w:t>-</w:t>
      </w:r>
      <w:r>
        <w:rPr>
          <w:rFonts w:hint="cs"/>
          <w:rtl/>
        </w:rPr>
        <w:t xml:space="preserve"> </w:t>
      </w:r>
      <w:r w:rsidRPr="00A3054F">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Ref135342847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סה)</w:t>
      </w:r>
      <w:r>
        <w:rPr>
          <w:rStyle w:val="af2"/>
          <w:rFonts w:eastAsia="Guttman Hodes"/>
          <w:rtl/>
        </w:rPr>
        <w:fldChar w:fldCharType="end"/>
      </w:r>
      <w:r>
        <w:rPr>
          <w:rFonts w:hint="cs"/>
          <w:rtl/>
        </w:rPr>
        <w:t xml:space="preserve"> דלא פליג </w:t>
      </w:r>
      <w:r w:rsidRPr="00DE1AA0">
        <w:rPr>
          <w:rStyle w:val="aff4"/>
          <w:rFonts w:hint="cs"/>
          <w:vanish/>
          <w:rtl/>
        </w:rPr>
        <w:t>-</w:t>
      </w:r>
      <w:r w:rsidRPr="00DB6BF0">
        <w:rPr>
          <w:rStyle w:val="aff4"/>
          <w:rFonts w:hint="cs"/>
          <w:rtl/>
        </w:rPr>
        <w:t>הרמב"ם</w:t>
      </w:r>
      <w:r w:rsidRPr="00DE1AA0">
        <w:rPr>
          <w:rStyle w:val="aff4"/>
          <w:rFonts w:hint="cs"/>
          <w:vanish/>
          <w:rtl/>
        </w:rPr>
        <w:t>-</w:t>
      </w:r>
      <w:r>
        <w:rPr>
          <w:rFonts w:hint="cs"/>
          <w:rtl/>
        </w:rPr>
        <w:t xml:space="preserve"> על </w:t>
      </w:r>
      <w:r w:rsidRPr="00DE1AA0">
        <w:rPr>
          <w:rStyle w:val="aff4"/>
          <w:rFonts w:hint="cs"/>
          <w:vanish/>
          <w:rtl/>
        </w:rPr>
        <w:t>-</w:t>
      </w:r>
      <w:r w:rsidRPr="00DB6BF0">
        <w:rPr>
          <w:rStyle w:val="aff4"/>
          <w:rFonts w:hint="cs"/>
          <w:rtl/>
        </w:rPr>
        <w:t>רש"י ותוס'</w:t>
      </w:r>
      <w:r w:rsidRPr="00DE1AA0">
        <w:rPr>
          <w:rStyle w:val="aff4"/>
          <w:rFonts w:hint="cs"/>
          <w:vanish/>
          <w:rtl/>
        </w:rPr>
        <w:t>-</w:t>
      </w:r>
      <w:r>
        <w:rPr>
          <w:rFonts w:hint="cs"/>
          <w:rtl/>
        </w:rPr>
        <w:t xml:space="preserve"> וס"ל דעציץ שמונח ע"ג יתדות הוא מחובר, </w:t>
      </w:r>
      <w:r w:rsidRPr="003E0220">
        <w:rPr>
          <w:rStyle w:val="af"/>
          <w:rFonts w:hint="cs"/>
          <w:rtl/>
        </w:rPr>
        <w:t xml:space="preserve">[מ"מ א"א להוכיח מזה כהוכחת </w:t>
      </w:r>
      <w:r w:rsidRPr="00735214">
        <w:rPr>
          <w:rStyle w:val="aff9"/>
          <w:rFonts w:hint="cs"/>
          <w:vanish/>
          <w:rtl/>
        </w:rPr>
        <w:t>-</w:t>
      </w:r>
      <w:r w:rsidRPr="003E0220">
        <w:rPr>
          <w:rStyle w:val="aff9"/>
          <w:rFonts w:hint="cs"/>
          <w:rtl/>
        </w:rPr>
        <w:t>הזכר יצחק</w:t>
      </w:r>
      <w:r w:rsidRPr="00735214">
        <w:rPr>
          <w:rStyle w:val="aff9"/>
          <w:rFonts w:hint="cs"/>
          <w:vanish/>
          <w:rtl/>
        </w:rPr>
        <w:t>-</w:t>
      </w:r>
      <w:r w:rsidRPr="003E0220">
        <w:rPr>
          <w:rStyle w:val="af"/>
          <w:rFonts w:hint="cs"/>
          <w:rtl/>
        </w:rPr>
        <w:t xml:space="preserve"> דס"ל </w:t>
      </w:r>
      <w:r w:rsidRPr="00735214">
        <w:rPr>
          <w:rStyle w:val="aff9"/>
          <w:rFonts w:hint="cs"/>
          <w:vanish/>
          <w:rtl/>
        </w:rPr>
        <w:t>-</w:t>
      </w:r>
      <w:r w:rsidRPr="003E0220">
        <w:rPr>
          <w:rStyle w:val="aff9"/>
          <w:rFonts w:hint="cs"/>
          <w:rtl/>
        </w:rPr>
        <w:t>להרמב"ם</w:t>
      </w:r>
      <w:r w:rsidRPr="00735214">
        <w:rPr>
          <w:rStyle w:val="aff9"/>
          <w:rFonts w:hint="cs"/>
          <w:vanish/>
          <w:rtl/>
        </w:rPr>
        <w:t>-</w:t>
      </w:r>
      <w:r w:rsidRPr="003E0220">
        <w:rPr>
          <w:rStyle w:val="af"/>
          <w:rFonts w:hint="cs"/>
          <w:rtl/>
        </w:rPr>
        <w:t xml:space="preserve"> דחייב על מיעוט היניקה</w:t>
      </w:r>
      <w:r w:rsidRPr="00735214">
        <w:rPr>
          <w:rStyle w:val="af"/>
          <w:rFonts w:hint="cs"/>
          <w:rtl/>
        </w:rPr>
        <w:t>],</w:t>
      </w:r>
      <w:bookmarkEnd w:id="1269"/>
      <w:r>
        <w:rPr>
          <w:rFonts w:hint="cs"/>
          <w:rtl/>
        </w:rPr>
        <w:t xml:space="preserve"> כתב </w:t>
      </w:r>
      <w:r w:rsidRPr="00DE1AA0">
        <w:rPr>
          <w:rStyle w:val="aff4"/>
          <w:rFonts w:hint="cs"/>
          <w:vanish/>
          <w:rtl/>
        </w:rPr>
        <w:t>-</w:t>
      </w:r>
      <w:r w:rsidRPr="00DB6BF0">
        <w:rPr>
          <w:rStyle w:val="aff4"/>
          <w:rFonts w:hint="cs"/>
          <w:rtl/>
        </w:rPr>
        <w:t>הדבר אברהם</w:t>
      </w:r>
      <w:r w:rsidRPr="00DE1AA0">
        <w:rPr>
          <w:rStyle w:val="aff4"/>
          <w:rFonts w:hint="cs"/>
          <w:vanish/>
          <w:rtl/>
        </w:rPr>
        <w:t>-</w:t>
      </w:r>
      <w:r>
        <w:rPr>
          <w:rFonts w:hint="cs"/>
          <w:rtl/>
        </w:rPr>
        <w:t xml:space="preserve"> דאפש"ל דס"ל </w:t>
      </w:r>
      <w:r w:rsidRPr="00DE1AA0">
        <w:rPr>
          <w:rStyle w:val="aff4"/>
          <w:rFonts w:hint="cs"/>
          <w:vanish/>
          <w:rtl/>
        </w:rPr>
        <w:t>-</w:t>
      </w:r>
      <w:r w:rsidRPr="00DB6BF0">
        <w:rPr>
          <w:rStyle w:val="aff4"/>
          <w:rFonts w:hint="cs"/>
          <w:rtl/>
        </w:rPr>
        <w:t>להרמב"ם</w:t>
      </w:r>
      <w:r w:rsidRPr="00DE1AA0">
        <w:rPr>
          <w:rStyle w:val="aff4"/>
          <w:rFonts w:hint="cs"/>
          <w:vanish/>
          <w:rtl/>
        </w:rPr>
        <w:t>-</w:t>
      </w:r>
      <w:r>
        <w:rPr>
          <w:rFonts w:hint="cs"/>
          <w:rtl/>
        </w:rPr>
        <w:t xml:space="preserve"> דכשמגביהו מע"ג הקרקע הוא תולשו לגמרי מהקרקע, ועיי"ש במה שהאריך </w:t>
      </w:r>
      <w:r w:rsidRPr="00DE1AA0">
        <w:rPr>
          <w:rStyle w:val="aff4"/>
          <w:rFonts w:hint="cs"/>
          <w:vanish/>
          <w:rtl/>
        </w:rPr>
        <w:t>-</w:t>
      </w:r>
      <w:r w:rsidRPr="00DB6BF0">
        <w:rPr>
          <w:rStyle w:val="aff4"/>
          <w:rFonts w:hint="cs"/>
          <w:rtl/>
        </w:rPr>
        <w:t>הדבר אברהם</w:t>
      </w:r>
      <w:r w:rsidRPr="00DE1AA0">
        <w:rPr>
          <w:rStyle w:val="aff4"/>
          <w:rFonts w:hint="cs"/>
          <w:vanish/>
          <w:rtl/>
        </w:rPr>
        <w:t>-</w:t>
      </w:r>
      <w:r>
        <w:rPr>
          <w:rFonts w:hint="cs"/>
          <w:rtl/>
        </w:rPr>
        <w:t xml:space="preserve"> לבאר דאף אי כשמונח ע"ג יתדות חשיב כמחובר, מ"מ בשעה שמטלטלו מע"ג הקרקע לע"ג היתדות הוא תלוש לגמרי.</w:t>
      </w:r>
      <w:bookmarkEnd w:id="1270"/>
      <w:r>
        <w:rPr>
          <w:rFonts w:hint="cs"/>
          <w:rtl/>
        </w:rPr>
        <w:t xml:space="preserve"> </w:t>
      </w:r>
    </w:p>
    <w:bookmarkEnd w:id="1266"/>
    <w:p w14:paraId="7FD1D6B7" w14:textId="77777777" w:rsidR="00D31714" w:rsidRPr="00747170" w:rsidRDefault="00D31714" w:rsidP="00747170">
      <w:pPr>
        <w:pStyle w:val="a2"/>
        <w:rPr>
          <w:rtl/>
        </w:rPr>
      </w:pPr>
      <w:r w:rsidRPr="00747170">
        <w:rPr>
          <w:rtl/>
        </w:rPr>
        <w:t>[ו] ואפילו אי יהיבנא לכ"ג דשיטת הרמב"ם היא ג"כ כשיטת התוס' דעציץ המונח ע"ג יתדות הוי מחובר מ"מ אין ראיה מזה לנ"ד, ולאו משום מיעוט היניקה מחייב לה הרמב"ם אלא משום שתולש לגמרי מן הקרקע כמו שנבאר. דהנה הרמב"ם פסק בספינה כר' יהודה דאימתי בזמן שהספינה גוששת אבל אין הספינה גוששת פטור וגם ס"ל דמעולם לא נחלקו עליו רבנן בזה כמש"ל, ולפי"ז אלו הוה סבר כר' זירא דעציץ נקוב המונח ע"ג יתדות דמי לספינה בודאי היה העציץ נידון כתלוש, ולכן אם נבוא לומר דסבר דעציץ נקוב המונח ע"ג יתדות דמי לספינה בודאי היה העציץ נידון כתולש ולכן אם נבוא לומר דסבר דעציץ נקוב המונח ע"ג יתדות הוי מחובר בע"כ צ"ל דטעמו הוא משום דלית ליה הא דר' זירא אלא פסק כרבא דדחי התם לדר' זירא דילמא לא היא עד כאן לא קאמר ר' יהודה התם אלא בספינה העשויה לברוח אבל עציץ שאינו עשוי לברוח לא. והנה הא דאמר דשאני ספינה שעשויה לברוח יש לפרש על שני פנים, א) דלפי שהיא עשויה מעיקרה ודרכה לברוח משו"ה לא הויא כמחובר אפילו בשעה שאינה בורחת אלא עומדת והעיקר תלוי במה שהיא עשויה לכך כדדייק לשון הגמ' ב) שאינו תלוי במה שהיא עשויה לכך אלא במה שהיא בורחת בפועל דאז לא הויא כמחובר באותה שעה אבל בשעה שהיא עומדת דמיא לעציץ שע"ג יתדות והויא מחובר ואין חילוק בינה לעציץ אלא במה שהיא מהלכת ועציץ במקומו עומד. ולענ"ד נראה פשוטן של דברים כאופן השני דהעיקר תלוי בזה אם היא מהלכת או עומדת ובשעה שהיא עומדת הויא כעציץ דבמה גרע מה שהיא מהלכת תמיד כיון דעכשיו עומדת היא ואולי לזה דייק רש"י ז"ל העשויה לברוח כלומר מפני שהיא מהלכת כל שעה עכ"ל. וכן מורה להדיא לשון הירושלמי (חלה פ"ב ה"א) רבי הילא בשם ר' לעזר הקונה עציץ נקוב בסוריא אף על פי שלא קנה עפר שתחתיו וקרקע שע"ג קנה לחייבו למעשרות ולשביעית אפילו נתון ע"ג שתי יתדות אף רבי יודה מודה בה מה בינו לבין הספינה ספינה עולה ויורדת וזה במקומו הוא, הרי דהעיקר הוא במה שהיא עולה ויורדת וזה במקומו:</w:t>
      </w:r>
    </w:p>
    <w:p w14:paraId="302717F4" w14:textId="77777777" w:rsidR="00D31714" w:rsidRPr="0074537A" w:rsidRDefault="00D31714" w:rsidP="00747170">
      <w:pPr>
        <w:pStyle w:val="afffff5"/>
        <w:rPr>
          <w:rtl/>
        </w:rPr>
      </w:pPr>
      <w:r w:rsidRPr="0074537A">
        <w:rPr>
          <w:rtl/>
        </w:rPr>
        <w:t xml:space="preserve">ולפי"ז נ"ל לומר מילתא חדתא, דהא דעציץ המונח ע"ג יתדות הוי מחובר לר"י אליבא דרבא וכן להרמב"ם דפסק כוותיה לפום מאי דקיימינן השתא הני מילי בשעה שהוא מונח ע"ג היתדות אבל בשעה שהוא מטולטל ממקום למקום באויר הוי תלוש, לפי שאז אינו עומד במקומו ודמי לספינה בשעה שהיא מהלכת שדינה כתלוש, והוי עציץ דומיא דספינה ממש שאם נגרר על הארץ הוי מחובר גם בשעה שנגרר כספינה הגוששת אבל אם הוא מיטלטל באויר הוי תלוש כאינה גוששת. ואף על פי שדבר חדש הוא נכון וברור הוא ב"ה לענ"ד. ועפי"ז דברי הרמב"ם ז"ל מבוארים היטב, דפרפיסא שהיתה מונחת ע"ג קרקע והניחה ע"ג יתדות חייב משום תולש אף על פי שע"ג יתדות נמי הוי מחובר משום דמיד כשתולשו מן הקרקע לאויר קודם שהניחו על היתדות מיחייב משום תולש שהרי בשעה שהוא מיטלטל והולך באויר הוי תלוש: </w:t>
      </w:r>
    </w:p>
    <w:p w14:paraId="66CEADA7" w14:textId="77777777" w:rsidR="00D31714" w:rsidRPr="002F29F7" w:rsidRDefault="00D31714" w:rsidP="00D31714">
      <w:pPr>
        <w:pStyle w:val="1"/>
        <w:rPr>
          <w:rtl/>
        </w:rPr>
      </w:pPr>
      <w:bookmarkStart w:id="1271" w:name="_Toc135212152"/>
      <w:bookmarkStart w:id="1272" w:name="_Toc135670008"/>
      <w:r>
        <w:rPr>
          <w:rFonts w:hint="cs"/>
          <w:rtl/>
        </w:rPr>
        <w:t>בי' הדב"א ברש"י דע"ג יתדות הוי תלוש דאינו יונק וה"ה באויר</w:t>
      </w:r>
      <w:bookmarkEnd w:id="1271"/>
      <w:bookmarkEnd w:id="1272"/>
    </w:p>
    <w:p w14:paraId="21E8BA7C" w14:textId="77777777" w:rsidR="00D31714" w:rsidRDefault="00D31714" w:rsidP="00D31714">
      <w:pPr>
        <w:pStyle w:val="afffff7"/>
        <w:rPr>
          <w:rtl/>
        </w:rPr>
      </w:pPr>
      <w:bookmarkStart w:id="1273" w:name="_Toc135212258"/>
      <w:bookmarkStart w:id="1274" w:name="_Toc135670279"/>
      <w:bookmarkStart w:id="1275" w:name="_Toc163505580"/>
      <w:r>
        <w:rPr>
          <w:rtl/>
        </w:rPr>
        <w:t>דבר אברהם ח</w:t>
      </w:r>
      <w:r>
        <w:rPr>
          <w:rFonts w:hint="cs"/>
          <w:rtl/>
        </w:rPr>
        <w:t>"</w:t>
      </w:r>
      <w:r>
        <w:rPr>
          <w:rtl/>
        </w:rPr>
        <w:t>א סי</w:t>
      </w:r>
      <w:r>
        <w:rPr>
          <w:rFonts w:hint="cs"/>
          <w:rtl/>
        </w:rPr>
        <w:t>'</w:t>
      </w:r>
      <w:r>
        <w:rPr>
          <w:rtl/>
        </w:rPr>
        <w:t xml:space="preserve"> כ</w:t>
      </w:r>
      <w:r>
        <w:rPr>
          <w:rFonts w:hint="cs"/>
          <w:rtl/>
        </w:rPr>
        <w:t>"</w:t>
      </w:r>
      <w:r>
        <w:rPr>
          <w:rtl/>
        </w:rPr>
        <w:t>ה</w:t>
      </w:r>
      <w:r>
        <w:rPr>
          <w:rFonts w:hint="cs"/>
          <w:rtl/>
        </w:rPr>
        <w:t xml:space="preserve"> אות ט' ד</w:t>
      </w:r>
      <w:r>
        <w:rPr>
          <w:rFonts w:cs="Guttman Hodes" w:hint="cs"/>
          <w:rtl/>
        </w:rPr>
        <w:t>"</w:t>
      </w:r>
      <w:r>
        <w:rPr>
          <w:rFonts w:hint="cs"/>
          <w:rtl/>
        </w:rPr>
        <w:t>ה אבל</w:t>
      </w:r>
      <w:bookmarkEnd w:id="1273"/>
      <w:bookmarkEnd w:id="1274"/>
      <w:bookmarkEnd w:id="1275"/>
    </w:p>
    <w:p w14:paraId="7846E037" w14:textId="77777777" w:rsidR="00D31714" w:rsidRPr="00B47357" w:rsidRDefault="00D31714" w:rsidP="00D31714">
      <w:pPr>
        <w:pStyle w:val="a7"/>
        <w:rPr>
          <w:rtl/>
        </w:rPr>
      </w:pPr>
      <w:bookmarkStart w:id="1276" w:name="_Toc135670009"/>
      <w:r>
        <w:rPr>
          <w:rFonts w:hint="cs"/>
          <w:rtl/>
        </w:rPr>
        <w:t>בי' הדב"א דברש"י ובמאירי מוכח דע"ג יתדות אינו כמחובר</w:t>
      </w:r>
      <w:bookmarkEnd w:id="1276"/>
    </w:p>
    <w:p w14:paraId="52148E86" w14:textId="648EA368" w:rsidR="00D31714" w:rsidRDefault="00D31714" w:rsidP="00BC7DC8">
      <w:pPr>
        <w:pStyle w:val="a3"/>
        <w:rPr>
          <w:rtl/>
        </w:rPr>
      </w:pPr>
      <w:bookmarkStart w:id="1277" w:name="_Ref135068130"/>
      <w:r>
        <w:rPr>
          <w:rFonts w:hint="cs"/>
          <w:rtl/>
        </w:rPr>
        <w:t xml:space="preserve">וכתב </w:t>
      </w:r>
      <w:r w:rsidRPr="00DE1AA0">
        <w:rPr>
          <w:rStyle w:val="aff4"/>
          <w:rFonts w:hint="cs"/>
          <w:vanish/>
          <w:rtl/>
        </w:rPr>
        <w:t>-</w:t>
      </w:r>
      <w:r w:rsidRPr="00DB6BF0">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Ref135068130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סח)</w:t>
      </w:r>
      <w:r w:rsidRPr="00B53404">
        <w:rPr>
          <w:rStyle w:val="aff4"/>
          <w:vanish/>
          <w:rtl/>
        </w:rPr>
        <w:fldChar w:fldCharType="end"/>
      </w:r>
      <w:r w:rsidRPr="00B53404">
        <w:rPr>
          <w:rStyle w:val="aff4"/>
          <w:rFonts w:hint="cs"/>
          <w:vanish/>
          <w:rtl/>
        </w:rPr>
        <w:t xml:space="preserve"> &gt;</w:t>
      </w:r>
      <w:r w:rsidRPr="00DB6BF0">
        <w:rPr>
          <w:rStyle w:val="aff4"/>
          <w:rFonts w:hint="cs"/>
          <w:rtl/>
        </w:rPr>
        <w:t>דבר אברהם</w:t>
      </w:r>
      <w:r w:rsidRPr="00DE1AA0">
        <w:rPr>
          <w:rStyle w:val="aff4"/>
          <w:rFonts w:hint="cs"/>
          <w:vanish/>
          <w:rtl/>
        </w:rPr>
        <w:t>-</w:t>
      </w:r>
      <w:r>
        <w:rPr>
          <w:rFonts w:hint="cs"/>
          <w:rtl/>
        </w:rPr>
        <w:t xml:space="preserve"> </w:t>
      </w:r>
      <w:r w:rsidRPr="00A3054F">
        <w:rPr>
          <w:rStyle w:val="af2"/>
          <w:rFonts w:eastAsia="Guttman Hodes" w:hint="cs"/>
          <w:rtl/>
        </w:rPr>
        <w:t>(ח"א סי' כ"ה אות ט' ד"ה אבל)</w:t>
      </w:r>
      <w:r w:rsidRPr="00DE1AA0">
        <w:rPr>
          <w:rFonts w:hint="cs"/>
          <w:vanish/>
          <w:rtl/>
        </w:rPr>
        <w:t>=</w:t>
      </w:r>
      <w:r>
        <w:rPr>
          <w:rFonts w:hint="cs"/>
          <w:rtl/>
        </w:rPr>
        <w:t xml:space="preserve"> דמדברי </w:t>
      </w:r>
      <w:r w:rsidRPr="00DE1AA0">
        <w:rPr>
          <w:rStyle w:val="aff4"/>
          <w:rFonts w:hint="cs"/>
          <w:vanish/>
          <w:rtl/>
        </w:rPr>
        <w:t>-</w:t>
      </w:r>
      <w:r w:rsidRPr="00DB6BF0">
        <w:rPr>
          <w:rStyle w:val="aff4"/>
          <w:rFonts w:hint="cs"/>
          <w:rtl/>
        </w:rPr>
        <w:t>רש"י לקמן</w:t>
      </w:r>
      <w:r w:rsidRPr="00DE1AA0">
        <w:rPr>
          <w:rStyle w:val="aff4"/>
          <w:rFonts w:hint="cs"/>
          <w:vanish/>
          <w:rtl/>
        </w:rPr>
        <w:t>-</w:t>
      </w:r>
      <w:r>
        <w:rPr>
          <w:rFonts w:hint="cs"/>
          <w:rtl/>
        </w:rPr>
        <w:t xml:space="preserve"> </w:t>
      </w:r>
      <w:r w:rsidRPr="00A3054F">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Ref134734637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לה)</w:t>
      </w:r>
      <w:r>
        <w:rPr>
          <w:rStyle w:val="af2"/>
          <w:rFonts w:eastAsia="Guttman Hodes"/>
          <w:rtl/>
        </w:rPr>
        <w:fldChar w:fldCharType="end"/>
      </w:r>
      <w:r>
        <w:rPr>
          <w:rFonts w:hint="cs"/>
          <w:rtl/>
        </w:rPr>
        <w:t xml:space="preserve"> דכתב דבהיה מונח ע"ג קרקע והגביהו ע"ג יתדות חייב משום תולש, כיון דע"ג היתדות אינו נהנה מהריח של הקרקע, מוכח דע"ג יתדות אין העציץ חשיב כמחובר, וכן מוכח להדיא מדברי </w:t>
      </w:r>
      <w:r w:rsidRPr="00DE1AA0">
        <w:rPr>
          <w:rStyle w:val="aff4"/>
          <w:rFonts w:hint="cs"/>
          <w:vanish/>
          <w:rtl/>
        </w:rPr>
        <w:t>-</w:t>
      </w:r>
      <w:r w:rsidRPr="00DB6BF0">
        <w:rPr>
          <w:rStyle w:val="aff4"/>
          <w:rFonts w:hint="cs"/>
          <w:rtl/>
        </w:rPr>
        <w:t>המאירי לקמן</w:t>
      </w:r>
      <w:r w:rsidRPr="00DE1AA0">
        <w:rPr>
          <w:rStyle w:val="aff4"/>
          <w:rFonts w:hint="cs"/>
          <w:vanish/>
          <w:rtl/>
        </w:rPr>
        <w:t>-</w:t>
      </w:r>
      <w:r>
        <w:rPr>
          <w:rFonts w:hint="cs"/>
          <w:rtl/>
        </w:rPr>
        <w:t xml:space="preserve"> </w:t>
      </w:r>
      <w:r w:rsidRPr="00A3054F">
        <w:rPr>
          <w:rStyle w:val="af2"/>
          <w:rFonts w:eastAsia="Guttman Hodes" w:hint="cs"/>
          <w:rtl/>
        </w:rPr>
        <w:t xml:space="preserve">(עי' אות </w:t>
      </w:r>
      <w:r w:rsidRPr="00A3054F">
        <w:rPr>
          <w:rStyle w:val="af2"/>
          <w:rFonts w:eastAsia="Guttman Hodes"/>
          <w:rtl/>
        </w:rPr>
        <w:fldChar w:fldCharType="begin"/>
      </w:r>
      <w:r w:rsidRPr="00A3054F">
        <w:rPr>
          <w:rStyle w:val="af2"/>
          <w:rFonts w:eastAsia="Guttman Hodes"/>
          <w:rtl/>
        </w:rPr>
        <w:instrText xml:space="preserve"> </w:instrText>
      </w:r>
      <w:r w:rsidRPr="00A3054F">
        <w:rPr>
          <w:rStyle w:val="af2"/>
          <w:rFonts w:eastAsia="Guttman Hodes" w:hint="cs"/>
        </w:rPr>
        <w:instrText>REF</w:instrText>
      </w:r>
      <w:r w:rsidRPr="00A3054F">
        <w:rPr>
          <w:rStyle w:val="af2"/>
          <w:rFonts w:eastAsia="Guttman Hodes" w:hint="cs"/>
          <w:rtl/>
        </w:rPr>
        <w:instrText xml:space="preserve"> _</w:instrText>
      </w:r>
      <w:r w:rsidRPr="00A3054F">
        <w:rPr>
          <w:rStyle w:val="af2"/>
          <w:rFonts w:eastAsia="Guttman Hodes" w:hint="cs"/>
        </w:rPr>
        <w:instrText>Ref135067489 \r \h</w:instrText>
      </w:r>
      <w:r w:rsidRPr="00A3054F">
        <w:rPr>
          <w:rStyle w:val="af2"/>
          <w:rFonts w:eastAsia="Guttman Hodes"/>
          <w:rtl/>
        </w:rPr>
        <w:instrText xml:space="preserve"> </w:instrText>
      </w:r>
      <w:r w:rsidRPr="00A3054F">
        <w:rPr>
          <w:rStyle w:val="af2"/>
          <w:rFonts w:eastAsia="Guttman Hodes"/>
          <w:rtl/>
        </w:rPr>
      </w:r>
      <w:r w:rsidRPr="00A3054F">
        <w:rPr>
          <w:rStyle w:val="af2"/>
          <w:rFonts w:eastAsia="Guttman Hodes"/>
          <w:rtl/>
        </w:rPr>
        <w:fldChar w:fldCharType="separate"/>
      </w:r>
      <w:r w:rsidR="00D82181">
        <w:rPr>
          <w:rStyle w:val="af2"/>
          <w:rFonts w:eastAsia="Guttman Hodes"/>
          <w:cs/>
        </w:rPr>
        <w:t>‎</w:t>
      </w:r>
      <w:r w:rsidR="00D82181">
        <w:rPr>
          <w:rStyle w:val="af2"/>
          <w:rFonts w:eastAsia="Guttman Hodes"/>
          <w:rtl/>
        </w:rPr>
        <w:t>לח)</w:t>
      </w:r>
      <w:r w:rsidRPr="00A3054F">
        <w:rPr>
          <w:rStyle w:val="af2"/>
          <w:rFonts w:eastAsia="Guttman Hodes"/>
          <w:rtl/>
        </w:rPr>
        <w:fldChar w:fldCharType="end"/>
      </w:r>
      <w:r>
        <w:rPr>
          <w:rFonts w:hint="cs"/>
          <w:rtl/>
        </w:rPr>
        <w:t xml:space="preserve"> דכתב עציץ הנקוב שמונח ע"ג הקרקע הוא יונק מהקרקע, ואסור לטלטלו, ורק כשהוא מונח ע"ג היתדות דאינו יונק מהקרקע, מותר לטלטלו, ומוכח דס"ל דהעציץ חשיב כתלוש רק כשאינו יונק מהקרקע.</w:t>
      </w:r>
    </w:p>
    <w:p w14:paraId="79AC7DEC" w14:textId="77777777" w:rsidR="00D31714" w:rsidRPr="00747170" w:rsidRDefault="00D31714" w:rsidP="00747170">
      <w:pPr>
        <w:pStyle w:val="a2"/>
      </w:pPr>
      <w:r w:rsidRPr="00747170">
        <w:rPr>
          <w:rtl/>
        </w:rPr>
        <w:t>אבל העומד לנגדנו הם דברי רש"י ז"ל בשבת (דף פ"א) וז"ל חייב משום תולש דאינו נהנה שוב מריח הקרקע, וכ"כ המאירי שם וז"ל מעתה עציץ נקוב המונח על הקרקע אסור לטלטלו שהרי יונק הוא מן הארץ אלא א"כ היה מונח ע"ג יתדות שאינו יונק מן הארץ עכ"ל, אלמא ס"ל דאין עציץ נקוב נידון כתלוש אלא כשאינו יונק מן הקרקע</w:t>
      </w:r>
      <w:r w:rsidRPr="00747170">
        <w:rPr>
          <w:rFonts w:hint="cs"/>
          <w:rtl/>
        </w:rPr>
        <w:t>.</w:t>
      </w:r>
    </w:p>
    <w:p w14:paraId="6967BF5E" w14:textId="77777777" w:rsidR="00D31714" w:rsidRPr="00687CAF" w:rsidRDefault="00D31714" w:rsidP="00D31714">
      <w:pPr>
        <w:pStyle w:val="a7"/>
      </w:pPr>
      <w:bookmarkStart w:id="1278" w:name="_Toc135670010"/>
      <w:r>
        <w:rPr>
          <w:rFonts w:hint="cs"/>
          <w:rtl/>
        </w:rPr>
        <w:t>קו' הדב"א בזכר יצחק דאי ע"ג יתדות כמחובר הוא יונק ובאויר אינו מחובר ויתחייב משום זורע</w:t>
      </w:r>
      <w:bookmarkEnd w:id="1278"/>
    </w:p>
    <w:p w14:paraId="4C256412" w14:textId="52A69FD0" w:rsidR="00D31714" w:rsidRDefault="00D31714" w:rsidP="00BC7DC8">
      <w:pPr>
        <w:pStyle w:val="a3"/>
        <w:rPr>
          <w:rtl/>
        </w:rPr>
      </w:pPr>
      <w:r>
        <w:rPr>
          <w:rFonts w:hint="cs"/>
          <w:rtl/>
        </w:rPr>
        <w:t xml:space="preserve">וכתב </w:t>
      </w:r>
      <w:r w:rsidRPr="00DE1AA0">
        <w:rPr>
          <w:rStyle w:val="aff4"/>
          <w:rFonts w:hint="cs"/>
          <w:vanish/>
          <w:rtl/>
        </w:rPr>
        <w:t>-</w:t>
      </w:r>
      <w:r w:rsidRPr="00DB6BF0">
        <w:rPr>
          <w:rStyle w:val="aff4"/>
          <w:rFonts w:hint="cs"/>
          <w:rtl/>
        </w:rPr>
        <w:t>הדבר אברהם</w:t>
      </w:r>
      <w:r w:rsidRPr="00DE1AA0">
        <w:rPr>
          <w:rStyle w:val="aff4"/>
          <w:rFonts w:hint="cs"/>
          <w:vanish/>
          <w:rtl/>
        </w:rPr>
        <w:t>-</w:t>
      </w:r>
      <w:r>
        <w:rPr>
          <w:rFonts w:hint="cs"/>
          <w:rtl/>
        </w:rPr>
        <w:t xml:space="preserve"> דאחר שנתבאר דרק עציץ שאינו יונק חשיב כתלוש, וכיון דמוכח דכשהוא מטלטלו באויר אינו יונק, </w:t>
      </w:r>
      <w:r w:rsidRPr="003E0220">
        <w:rPr>
          <w:rStyle w:val="af"/>
          <w:rFonts w:hint="cs"/>
          <w:rtl/>
        </w:rPr>
        <w:t>[</w:t>
      </w:r>
      <w:r w:rsidRPr="00CE62AC">
        <w:rPr>
          <w:rStyle w:val="af"/>
          <w:rFonts w:hint="cs"/>
          <w:rtl/>
        </w:rPr>
        <w:t>כמ"ש</w:t>
      </w:r>
      <w:r w:rsidRPr="003E0220">
        <w:rPr>
          <w:rStyle w:val="af"/>
          <w:rFonts w:hint="cs"/>
          <w:rtl/>
        </w:rPr>
        <w:t xml:space="preserve"> </w:t>
      </w:r>
      <w:r w:rsidRPr="00735214">
        <w:rPr>
          <w:rStyle w:val="aff9"/>
          <w:rFonts w:hint="cs"/>
          <w:vanish/>
          <w:rtl/>
        </w:rPr>
        <w:t>-</w:t>
      </w:r>
      <w:r w:rsidRPr="003E0220">
        <w:rPr>
          <w:rStyle w:val="aff9"/>
          <w:rFonts w:hint="cs"/>
          <w:rtl/>
        </w:rPr>
        <w:t>הדבר אברהם</w:t>
      </w:r>
      <w:r w:rsidRPr="00735214">
        <w:rPr>
          <w:rStyle w:val="aff9"/>
          <w:rFonts w:hint="cs"/>
          <w:vanish/>
          <w:rtl/>
        </w:rPr>
        <w:t>-</w:t>
      </w:r>
      <w:r w:rsidRPr="003E0220">
        <w:rPr>
          <w:rStyle w:val="af"/>
          <w:rFonts w:hint="cs"/>
          <w:rtl/>
        </w:rPr>
        <w:t xml:space="preserve"> </w:t>
      </w:r>
      <w:r>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Ref135666998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סז)</w:t>
      </w:r>
      <w:r>
        <w:rPr>
          <w:rStyle w:val="aff0"/>
          <w:rtl/>
        </w:rPr>
        <w:fldChar w:fldCharType="end"/>
      </w:r>
      <w:r w:rsidRPr="00735214">
        <w:rPr>
          <w:rStyle w:val="af"/>
          <w:rFonts w:hint="cs"/>
          <w:rtl/>
        </w:rPr>
        <w:t>],</w:t>
      </w:r>
      <w:r>
        <w:rPr>
          <w:rFonts w:hint="cs"/>
          <w:rtl/>
        </w:rPr>
        <w:t xml:space="preserve"> א"כ ודאי דכשהוא באויר</w:t>
      </w:r>
      <w:r w:rsidRPr="00B7532A">
        <w:rPr>
          <w:rFonts w:hint="cs"/>
          <w:rtl/>
        </w:rPr>
        <w:t xml:space="preserve"> </w:t>
      </w:r>
      <w:r>
        <w:rPr>
          <w:rFonts w:hint="cs"/>
          <w:rtl/>
        </w:rPr>
        <w:t xml:space="preserve">הוא כתלוש ואינו יונק, ולפי מה שביאר </w:t>
      </w:r>
      <w:r w:rsidRPr="00DE1AA0">
        <w:rPr>
          <w:rStyle w:val="aff4"/>
          <w:rFonts w:hint="cs"/>
          <w:vanish/>
          <w:rtl/>
        </w:rPr>
        <w:t>-</w:t>
      </w:r>
      <w:r w:rsidRPr="00DB6BF0">
        <w:rPr>
          <w:rStyle w:val="aff4"/>
          <w:rFonts w:hint="cs"/>
          <w:rtl/>
        </w:rPr>
        <w:t>הזכר יצחק</w:t>
      </w:r>
      <w:r w:rsidRPr="00DE1AA0">
        <w:rPr>
          <w:rStyle w:val="aff4"/>
          <w:rFonts w:hint="cs"/>
          <w:vanish/>
          <w:rtl/>
        </w:rPr>
        <w:t>-</w:t>
      </w:r>
      <w:r>
        <w:rPr>
          <w:rFonts w:hint="cs"/>
          <w:rtl/>
        </w:rPr>
        <w:t xml:space="preserve"> </w:t>
      </w:r>
      <w:r w:rsidRPr="00A3054F">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Ref135342847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סה)</w:t>
      </w:r>
      <w:r>
        <w:rPr>
          <w:rStyle w:val="af2"/>
          <w:rFonts w:eastAsia="Guttman Hodes"/>
          <w:rtl/>
        </w:rPr>
        <w:fldChar w:fldCharType="end"/>
      </w:r>
      <w:r>
        <w:rPr>
          <w:rFonts w:hint="cs"/>
          <w:rtl/>
        </w:rPr>
        <w:t xml:space="preserve"> בדעת </w:t>
      </w:r>
      <w:r w:rsidRPr="008D113A">
        <w:rPr>
          <w:rStyle w:val="aff4"/>
          <w:rFonts w:hint="cs"/>
          <w:vanish/>
          <w:rtl/>
        </w:rPr>
        <w:t>-</w:t>
      </w:r>
      <w:r w:rsidRPr="000614F7">
        <w:rPr>
          <w:rStyle w:val="aff4"/>
          <w:rFonts w:hint="cs"/>
          <w:rtl/>
        </w:rPr>
        <w:t>הרמב"ם</w:t>
      </w:r>
      <w:r w:rsidRPr="008D113A">
        <w:rPr>
          <w:rStyle w:val="aff4"/>
          <w:rFonts w:hint="cs"/>
          <w:vanish/>
          <w:rtl/>
        </w:rPr>
        <w:t>-</w:t>
      </w:r>
      <w:r w:rsidRPr="008163AB">
        <w:rPr>
          <w:rFonts w:hint="cs"/>
          <w:rtl/>
        </w:rPr>
        <w:t xml:space="preserve"> </w:t>
      </w:r>
      <w:r w:rsidRPr="00A3054F">
        <w:rPr>
          <w:rStyle w:val="af2"/>
          <w:rFonts w:eastAsia="Guttman Hodes" w:hint="cs"/>
          <w:rtl/>
        </w:rPr>
        <w:t xml:space="preserve">(עי' אות </w:t>
      </w:r>
      <w:r w:rsidRPr="00A3054F">
        <w:rPr>
          <w:rStyle w:val="af2"/>
          <w:rFonts w:eastAsia="Guttman Hodes"/>
          <w:rtl/>
        </w:rPr>
        <w:fldChar w:fldCharType="begin"/>
      </w:r>
      <w:r w:rsidRPr="00A3054F">
        <w:rPr>
          <w:rStyle w:val="af2"/>
          <w:rFonts w:eastAsia="Guttman Hodes"/>
          <w:rtl/>
        </w:rPr>
        <w:instrText xml:space="preserve"> </w:instrText>
      </w:r>
      <w:r w:rsidRPr="00A3054F">
        <w:rPr>
          <w:rStyle w:val="af2"/>
          <w:rFonts w:eastAsia="Guttman Hodes" w:hint="cs"/>
        </w:rPr>
        <w:instrText>REF</w:instrText>
      </w:r>
      <w:r w:rsidRPr="00A3054F">
        <w:rPr>
          <w:rStyle w:val="af2"/>
          <w:rFonts w:eastAsia="Guttman Hodes" w:hint="cs"/>
          <w:rtl/>
        </w:rPr>
        <w:instrText xml:space="preserve"> _</w:instrText>
      </w:r>
      <w:r w:rsidRPr="00A3054F">
        <w:rPr>
          <w:rStyle w:val="af2"/>
          <w:rFonts w:eastAsia="Guttman Hodes" w:hint="cs"/>
        </w:rPr>
        <w:instrText>Ref134736415 \r \h</w:instrText>
      </w:r>
      <w:r w:rsidRPr="00A3054F">
        <w:rPr>
          <w:rStyle w:val="af2"/>
          <w:rFonts w:eastAsia="Guttman Hodes"/>
          <w:rtl/>
        </w:rPr>
        <w:instrText xml:space="preserve"> </w:instrText>
      </w:r>
      <w:r w:rsidRPr="00A3054F">
        <w:rPr>
          <w:rStyle w:val="af2"/>
          <w:rFonts w:eastAsia="Guttman Hodes"/>
          <w:rtl/>
        </w:rPr>
      </w:r>
      <w:r w:rsidRPr="00A3054F">
        <w:rPr>
          <w:rStyle w:val="af2"/>
          <w:rFonts w:eastAsia="Guttman Hodes"/>
          <w:rtl/>
        </w:rPr>
        <w:fldChar w:fldCharType="separate"/>
      </w:r>
      <w:r w:rsidR="00D82181">
        <w:rPr>
          <w:rStyle w:val="af2"/>
          <w:rFonts w:eastAsia="Guttman Hodes"/>
          <w:cs/>
        </w:rPr>
        <w:t>‎</w:t>
      </w:r>
      <w:r w:rsidR="00D82181">
        <w:rPr>
          <w:rStyle w:val="af2"/>
          <w:rFonts w:eastAsia="Guttman Hodes"/>
          <w:rtl/>
        </w:rPr>
        <w:t>מ)</w:t>
      </w:r>
      <w:r w:rsidRPr="00A3054F">
        <w:rPr>
          <w:rStyle w:val="af2"/>
          <w:rFonts w:eastAsia="Guttman Hodes"/>
          <w:rtl/>
        </w:rPr>
        <w:fldChar w:fldCharType="end"/>
      </w:r>
      <w:r w:rsidRPr="008163AB">
        <w:rPr>
          <w:rFonts w:hint="cs"/>
          <w:rtl/>
        </w:rPr>
        <w:t xml:space="preserve"> </w:t>
      </w:r>
      <w:r>
        <w:rPr>
          <w:rFonts w:hint="cs"/>
          <w:rtl/>
        </w:rPr>
        <w:t xml:space="preserve">דעציץ נקוב ע"ג יתדות חשיב מחובר, א"כ מוכח דע"ג יתדות הוא יונק מהקרקע, א"כ היניקה היא רק לאחר שחזר והניחו, ולא כשהוא באויר, והקשה </w:t>
      </w:r>
      <w:r w:rsidRPr="00DE1AA0">
        <w:rPr>
          <w:rStyle w:val="aff4"/>
          <w:rFonts w:hint="cs"/>
          <w:vanish/>
          <w:rtl/>
        </w:rPr>
        <w:t>-</w:t>
      </w:r>
      <w:r w:rsidRPr="00DB6BF0">
        <w:rPr>
          <w:rStyle w:val="aff4"/>
          <w:rFonts w:hint="cs"/>
          <w:rtl/>
        </w:rPr>
        <w:t>הדבר אברהם</w:t>
      </w:r>
      <w:r w:rsidRPr="00DE1AA0">
        <w:rPr>
          <w:rStyle w:val="aff4"/>
          <w:rFonts w:hint="cs"/>
          <w:vanish/>
          <w:rtl/>
        </w:rPr>
        <w:t>-</w:t>
      </w:r>
      <w:r>
        <w:rPr>
          <w:rFonts w:hint="cs"/>
          <w:rtl/>
        </w:rPr>
        <w:t xml:space="preserve"> דא"כ אמאי אינו חייב משום זורע, וכתב </w:t>
      </w:r>
      <w:r w:rsidRPr="00DE1AA0">
        <w:rPr>
          <w:rStyle w:val="aff4"/>
          <w:rFonts w:hint="cs"/>
          <w:vanish/>
          <w:rtl/>
        </w:rPr>
        <w:t>-</w:t>
      </w:r>
      <w:r w:rsidRPr="00DB6BF0">
        <w:rPr>
          <w:rStyle w:val="aff4"/>
          <w:rFonts w:hint="cs"/>
          <w:rtl/>
        </w:rPr>
        <w:t>ה</w:t>
      </w:r>
      <w:r w:rsidRPr="00B53404">
        <w:rPr>
          <w:rStyle w:val="aff4"/>
          <w:rFonts w:hint="cs"/>
          <w:vanish/>
          <w:rtl/>
        </w:rPr>
        <w:t>&lt; &gt;</w:t>
      </w:r>
      <w:r w:rsidRPr="00DB6BF0">
        <w:rPr>
          <w:rStyle w:val="aff4"/>
          <w:rFonts w:hint="cs"/>
          <w:rtl/>
        </w:rPr>
        <w:t>דבר אברהם</w:t>
      </w:r>
      <w:r w:rsidRPr="00DE1AA0">
        <w:rPr>
          <w:rStyle w:val="aff4"/>
          <w:rFonts w:hint="cs"/>
          <w:vanish/>
          <w:rtl/>
        </w:rPr>
        <w:t>-</w:t>
      </w:r>
      <w:r>
        <w:rPr>
          <w:rFonts w:hint="cs"/>
          <w:rtl/>
        </w:rPr>
        <w:t xml:space="preserve"> </w:t>
      </w:r>
      <w:r w:rsidRPr="00A3054F">
        <w:rPr>
          <w:rStyle w:val="af2"/>
          <w:rFonts w:eastAsia="Guttman Hodes" w:hint="cs"/>
          <w:rtl/>
        </w:rPr>
        <w:t>(ח"א סי' כ"ה אות ט' ד"ה ובאמת)</w:t>
      </w:r>
      <w:r w:rsidRPr="00DE1AA0">
        <w:rPr>
          <w:rFonts w:hint="cs"/>
          <w:vanish/>
          <w:rtl/>
        </w:rPr>
        <w:t>=</w:t>
      </w:r>
      <w:r>
        <w:rPr>
          <w:rFonts w:hint="cs"/>
          <w:rtl/>
        </w:rPr>
        <w:t xml:space="preserve"> דמדברי </w:t>
      </w:r>
      <w:r w:rsidRPr="00DE1AA0">
        <w:rPr>
          <w:rStyle w:val="aff4"/>
          <w:rFonts w:hint="cs"/>
          <w:vanish/>
          <w:rtl/>
        </w:rPr>
        <w:t>-</w:t>
      </w:r>
      <w:r w:rsidRPr="00DB6BF0">
        <w:rPr>
          <w:rStyle w:val="aff4"/>
          <w:rFonts w:hint="cs"/>
          <w:rtl/>
        </w:rPr>
        <w:t>המאירי לקמן</w:t>
      </w:r>
      <w:r w:rsidRPr="00DE1AA0">
        <w:rPr>
          <w:rStyle w:val="aff4"/>
          <w:rFonts w:hint="cs"/>
          <w:vanish/>
          <w:rtl/>
        </w:rPr>
        <w:t>-</w:t>
      </w:r>
      <w:r>
        <w:rPr>
          <w:rFonts w:hint="cs"/>
          <w:rtl/>
        </w:rPr>
        <w:t xml:space="preserve"> </w:t>
      </w:r>
      <w:r w:rsidRPr="00A3054F">
        <w:rPr>
          <w:rStyle w:val="af2"/>
          <w:rFonts w:eastAsia="Guttman Hodes" w:hint="cs"/>
          <w:rtl/>
        </w:rPr>
        <w:t>(</w:t>
      </w:r>
      <w:r w:rsidRPr="00FB451D">
        <w:rPr>
          <w:rStyle w:val="af2"/>
          <w:rFonts w:eastAsia="Guttman Hodes" w:hint="cs"/>
          <w:rtl/>
        </w:rPr>
        <w:t>פא: ד"ה זה שהתרנו</w:t>
      </w:r>
      <w:r>
        <w:rPr>
          <w:rStyle w:val="af2"/>
          <w:rFonts w:eastAsia="Guttman Hodes" w:hint="cs"/>
          <w:rtl/>
        </w:rPr>
        <w:t>, הובא בסימן ד' אות ס')</w:t>
      </w:r>
      <w:r>
        <w:rPr>
          <w:rFonts w:hint="cs"/>
          <w:rtl/>
        </w:rPr>
        <w:t xml:space="preserve"> משמע דלירושלמי באמת חייב שתים גם משום תולש וגם משום זורע, ואפש"ל דהבבלי לא פליג בזה.</w:t>
      </w:r>
      <w:bookmarkEnd w:id="1277"/>
    </w:p>
    <w:p w14:paraId="517CE818" w14:textId="77777777" w:rsidR="00D31714" w:rsidRPr="003244E7" w:rsidRDefault="00D31714" w:rsidP="00D31714">
      <w:pPr>
        <w:pStyle w:val="a7"/>
        <w:rPr>
          <w:rtl/>
        </w:rPr>
      </w:pPr>
    </w:p>
    <w:p w14:paraId="3FE0CD97" w14:textId="77777777" w:rsidR="00D31714" w:rsidRPr="00747170" w:rsidRDefault="00D31714" w:rsidP="00747170">
      <w:pPr>
        <w:pStyle w:val="a2"/>
        <w:rPr>
          <w:rtl/>
        </w:rPr>
      </w:pPr>
      <w:r w:rsidRPr="00747170">
        <w:rPr>
          <w:rtl/>
        </w:rPr>
        <w:lastRenderedPageBreak/>
        <w:t>וא"כ כיון דחזינן דבשעת טלטולו באויר נידון כתלוש בע"כ צ"ל דבההיא שעתא אינו יונק מן הקרקע וא"כ כשנותנו ע"ג יתדות שחוזר לינק, לפום מאי דקיימינן השתא בדעת הרמב"ם שחוזר ונעשה מחובר שוב ליחייב אף משום זורע. ועדיין צ"ע בזה:</w:t>
      </w:r>
    </w:p>
    <w:p w14:paraId="2E3BF0C6" w14:textId="77777777" w:rsidR="00D31714" w:rsidRPr="0074537A" w:rsidRDefault="00D31714" w:rsidP="00747170">
      <w:pPr>
        <w:pStyle w:val="afffff5"/>
        <w:rPr>
          <w:rtl/>
        </w:rPr>
      </w:pPr>
      <w:r w:rsidRPr="0074537A">
        <w:rPr>
          <w:rtl/>
        </w:rPr>
        <w:t>ובאמת בירושלמי (שבת פ"ז ה"ב) מובא במאירי שבת (דף פ"א ע"ב) משמע דבכה"ג חייב שתים, וז"ל המאירי ובתלמוד המערב אמרו הנותן עציץ נקוב על עציץ נקוב חייב משום קוצר ומשום זורע, ויש מפרשים בזה שקוצר התחתון שעשבים שבו אינם יכולין ליגדל וזורע העליון שמוסיף לו יניקה מן התחתון ונמצא לדבריהם שאם אין הוסיף לו יניקה אלא שמשכהו ממקום למקום פטור, ולי נראה שמשהעתיקו ממקומו הוא נקרא קוצר וכשהניחו במקום יניקה אפילו אינה כיניקה ראשונה נעשה זורע ולמדת שאסור לשנותו ממקום יניקה כלל, ומ"מ הניח עציץ נקוב על שאינו נקוב אינו נעשה קוצר מצד התחתון שהרי התולש מעציץ שאינו נקוב פטור ואם בתולש ביד אמרו כל שכן בזו עכ"ל* הרי דלפי' המאירי בירושלמי במשיכה ממקום למקום חייב תרתי וא"כ בפרפיסא אם הוי דאורייתא נמי ליחייב תרתי לפי שיטת הירושלמי ואולי גם ש"ס דילן לא פליג ע"ז אלא משום דבעיקר הוא בא ללמדנו רק ענין התולש והנוטע שבטלטול העציץ לא נחית למימני חיובי דלאו דפסקא היא דלעולם חייב שתים דאיכא גווני דפטור כגון דאנחיה ע"ג יתדות במקום נקיבתו שהיתדות סותמין את נקבו ומפסיקין בין הקרקע לעציץ ולכן תנא סתמא:</w:t>
      </w:r>
    </w:p>
    <w:p w14:paraId="4C90AA61" w14:textId="77777777" w:rsidR="00D31714" w:rsidRPr="001D0D3D" w:rsidRDefault="00D31714" w:rsidP="00D31714">
      <w:pPr>
        <w:pStyle w:val="1"/>
        <w:rPr>
          <w:rtl/>
        </w:rPr>
      </w:pPr>
      <w:bookmarkStart w:id="1279" w:name="_Toc135670011"/>
      <w:r>
        <w:rPr>
          <w:rFonts w:hint="cs"/>
          <w:rtl/>
        </w:rPr>
        <w:t>בי' הדבר"י דנח' רש"י והרמב"ם אי יניקה מאויר הוי כמחובר</w:t>
      </w:r>
      <w:bookmarkEnd w:id="1279"/>
    </w:p>
    <w:p w14:paraId="64E52BE5" w14:textId="77777777" w:rsidR="00D31714" w:rsidRDefault="00D31714" w:rsidP="00D31714">
      <w:pPr>
        <w:pStyle w:val="afffff7"/>
        <w:rPr>
          <w:rtl/>
        </w:rPr>
      </w:pPr>
      <w:bookmarkStart w:id="1280" w:name="_Toc135212285"/>
      <w:bookmarkStart w:id="1281" w:name="_Toc135670280"/>
      <w:bookmarkStart w:id="1282" w:name="_Toc163505581"/>
      <w:r>
        <w:rPr>
          <w:rFonts w:hint="cs"/>
          <w:rtl/>
        </w:rPr>
        <w:t>דברי יחזקאל סי' ב' אות ג' ד"ה ועפי"ז</w:t>
      </w:r>
      <w:bookmarkEnd w:id="1280"/>
      <w:bookmarkEnd w:id="1281"/>
      <w:bookmarkEnd w:id="1282"/>
    </w:p>
    <w:p w14:paraId="46D1D62B" w14:textId="77777777" w:rsidR="00D31714" w:rsidRDefault="00D31714" w:rsidP="00D31714">
      <w:pPr>
        <w:pStyle w:val="afffff7"/>
        <w:rPr>
          <w:rtl/>
        </w:rPr>
      </w:pPr>
      <w:bookmarkStart w:id="1283" w:name="_Toc135212286"/>
      <w:bookmarkStart w:id="1284" w:name="_Toc135670281"/>
      <w:bookmarkStart w:id="1285" w:name="_Toc135670012"/>
      <w:bookmarkStart w:id="1286" w:name="_Toc163505582"/>
      <w:r>
        <w:rPr>
          <w:rtl/>
        </w:rPr>
        <w:t>רש"י שבת צ"ה ע"א</w:t>
      </w:r>
      <w:bookmarkEnd w:id="1283"/>
      <w:bookmarkEnd w:id="1284"/>
      <w:bookmarkEnd w:id="1286"/>
    </w:p>
    <w:p w14:paraId="7B1211A0" w14:textId="77777777" w:rsidR="00D31714" w:rsidRDefault="00D31714" w:rsidP="00D31714">
      <w:pPr>
        <w:pStyle w:val="a7"/>
        <w:rPr>
          <w:rtl/>
        </w:rPr>
      </w:pPr>
      <w:r>
        <w:rPr>
          <w:rFonts w:hint="cs"/>
          <w:rtl/>
        </w:rPr>
        <w:t>בי' הדבר"י ברש"י דנקוב מהצד כמחובר דלשבת א"צ חיבור לקרקע וכל שיונק חייב בתולש</w:t>
      </w:r>
      <w:bookmarkEnd w:id="1285"/>
    </w:p>
    <w:p w14:paraId="7F3B1770" w14:textId="0C4A4661" w:rsidR="00D31714" w:rsidRDefault="00D31714" w:rsidP="00BC7DC8">
      <w:pPr>
        <w:pStyle w:val="a3"/>
      </w:pPr>
      <w:bookmarkStart w:id="1287" w:name="_Ref134960082"/>
      <w:r>
        <w:rPr>
          <w:rFonts w:hint="cs"/>
          <w:rtl/>
        </w:rPr>
        <w:t xml:space="preserve">הביא </w:t>
      </w:r>
      <w:r w:rsidRPr="006527E3">
        <w:rPr>
          <w:rStyle w:val="aff4"/>
          <w:rFonts w:hint="cs"/>
          <w:vanish/>
          <w:rtl/>
        </w:rPr>
        <w:t>-</w:t>
      </w:r>
      <w:r w:rsidRPr="009B386D">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Ref134960082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ע)</w:t>
      </w:r>
      <w:r w:rsidRPr="00B53404">
        <w:rPr>
          <w:rStyle w:val="aff4"/>
          <w:vanish/>
          <w:rtl/>
        </w:rPr>
        <w:fldChar w:fldCharType="end"/>
      </w:r>
      <w:r w:rsidRPr="00B53404">
        <w:rPr>
          <w:rStyle w:val="aff4"/>
          <w:rFonts w:hint="cs"/>
          <w:vanish/>
          <w:rtl/>
        </w:rPr>
        <w:t xml:space="preserve"> &gt;</w:t>
      </w:r>
      <w:r w:rsidRPr="009B386D">
        <w:rPr>
          <w:rStyle w:val="aff4"/>
          <w:rFonts w:hint="cs"/>
          <w:rtl/>
        </w:rPr>
        <w:t>דברי יחזקאל</w:t>
      </w:r>
      <w:r w:rsidRPr="006527E3">
        <w:rPr>
          <w:rStyle w:val="aff4"/>
          <w:rFonts w:hint="cs"/>
          <w:vanish/>
          <w:rtl/>
        </w:rPr>
        <w:t>-</w:t>
      </w:r>
      <w:r w:rsidRPr="009B386D">
        <w:rPr>
          <w:rStyle w:val="aff4"/>
          <w:rFonts w:hint="cs"/>
          <w:rtl/>
        </w:rPr>
        <w:t xml:space="preserve"> </w:t>
      </w:r>
      <w:r w:rsidRPr="00A3054F">
        <w:rPr>
          <w:rStyle w:val="af2"/>
          <w:rFonts w:eastAsia="Guttman Hodes" w:hint="cs"/>
          <w:rtl/>
        </w:rPr>
        <w:t>(סי' ב' אות ג' ד"ה ועפי"ז)</w:t>
      </w:r>
      <w:r w:rsidRPr="004C5934">
        <w:rPr>
          <w:rFonts w:hint="cs"/>
          <w:vanish/>
          <w:rtl/>
        </w:rPr>
        <w:t>=</w:t>
      </w:r>
      <w:r w:rsidRPr="004C5934">
        <w:rPr>
          <w:rFonts w:hint="cs"/>
          <w:rtl/>
        </w:rPr>
        <w:t xml:space="preserve"> את דברי</w:t>
      </w:r>
      <w:r w:rsidRPr="009B386D">
        <w:rPr>
          <w:rStyle w:val="aff4"/>
          <w:rFonts w:hint="cs"/>
          <w:rtl/>
        </w:rPr>
        <w:t xml:space="preserve"> </w:t>
      </w:r>
      <w:r w:rsidRPr="00B53404">
        <w:rPr>
          <w:rStyle w:val="aff4"/>
          <w:rFonts w:hint="cs"/>
          <w:vanish/>
          <w:rtl/>
        </w:rPr>
        <w:t>&lt; &gt;</w:t>
      </w:r>
      <w:r w:rsidRPr="006527E3">
        <w:rPr>
          <w:rStyle w:val="aff4"/>
          <w:rFonts w:hint="cs"/>
          <w:vanish/>
          <w:rtl/>
        </w:rPr>
        <w:t>-</w:t>
      </w:r>
      <w:r w:rsidRPr="004C5934">
        <w:rPr>
          <w:rStyle w:val="aff4"/>
          <w:rFonts w:hint="cs"/>
          <w:rtl/>
        </w:rPr>
        <w:t>רש"י</w:t>
      </w:r>
      <w:r w:rsidRPr="009B386D">
        <w:rPr>
          <w:rStyle w:val="aff4"/>
          <w:rFonts w:hint="cs"/>
          <w:rtl/>
        </w:rPr>
        <w:t xml:space="preserve"> לקמן</w:t>
      </w:r>
      <w:r w:rsidRPr="006527E3">
        <w:rPr>
          <w:rStyle w:val="aff4"/>
          <w:rFonts w:hint="cs"/>
          <w:vanish/>
          <w:rtl/>
        </w:rPr>
        <w:t>-</w:t>
      </w:r>
      <w:r>
        <w:rPr>
          <w:rFonts w:hint="cs"/>
          <w:rtl/>
        </w:rPr>
        <w:t xml:space="preserve"> </w:t>
      </w:r>
      <w:r w:rsidRPr="00A3054F">
        <w:rPr>
          <w:rStyle w:val="af2"/>
          <w:rFonts w:eastAsia="Guttman Hodes" w:hint="cs"/>
          <w:rtl/>
        </w:rPr>
        <w:t>(צה. ד"ה התולש)</w:t>
      </w:r>
      <w:r w:rsidRPr="006527E3">
        <w:rPr>
          <w:rFonts w:hint="cs"/>
          <w:vanish/>
          <w:rtl/>
        </w:rPr>
        <w:t>=</w:t>
      </w:r>
      <w:r>
        <w:rPr>
          <w:rFonts w:hint="cs"/>
          <w:rtl/>
        </w:rPr>
        <w:t xml:space="preserve"> דכתב דעציץ שנקוב בדופנו הוא</w:t>
      </w:r>
      <w:r>
        <w:rPr>
          <w:rtl/>
        </w:rPr>
        <w:t xml:space="preserve"> כמחובר, ד</w:t>
      </w:r>
      <w:r>
        <w:rPr>
          <w:rFonts w:hint="cs"/>
          <w:rtl/>
        </w:rPr>
        <w:t xml:space="preserve">ע"י הנקב הוא מריח את הלחלוחית של הקרקע ויונק ממנה, ועוד הביא </w:t>
      </w:r>
      <w:r w:rsidRPr="006527E3">
        <w:rPr>
          <w:rStyle w:val="aff4"/>
          <w:rFonts w:hint="cs"/>
          <w:vanish/>
          <w:rtl/>
        </w:rPr>
        <w:t>-</w:t>
      </w:r>
      <w:r w:rsidRPr="009B386D">
        <w:rPr>
          <w:rStyle w:val="aff4"/>
          <w:rFonts w:hint="cs"/>
          <w:rtl/>
        </w:rPr>
        <w:t>הדברי יחזקאל</w:t>
      </w:r>
      <w:r w:rsidRPr="006527E3">
        <w:rPr>
          <w:rStyle w:val="aff4"/>
          <w:rFonts w:hint="cs"/>
          <w:vanish/>
          <w:rtl/>
        </w:rPr>
        <w:t>-</w:t>
      </w:r>
      <w:r>
        <w:rPr>
          <w:rFonts w:hint="cs"/>
          <w:rtl/>
        </w:rPr>
        <w:t xml:space="preserve"> את קושיות </w:t>
      </w:r>
      <w:r w:rsidRPr="006527E3">
        <w:rPr>
          <w:rStyle w:val="aff4"/>
          <w:rFonts w:hint="cs"/>
          <w:vanish/>
          <w:rtl/>
        </w:rPr>
        <w:t>-</w:t>
      </w:r>
      <w:r w:rsidRPr="009B386D">
        <w:rPr>
          <w:rStyle w:val="aff4"/>
          <w:rFonts w:hint="cs"/>
          <w:rtl/>
        </w:rPr>
        <w:t>המשנה למלך</w:t>
      </w:r>
      <w:r w:rsidRPr="006527E3">
        <w:rPr>
          <w:rStyle w:val="aff4"/>
          <w:rFonts w:hint="cs"/>
          <w:vanish/>
          <w:rtl/>
        </w:rPr>
        <w:t>-</w:t>
      </w:r>
      <w:r>
        <w:rPr>
          <w:rFonts w:hint="cs"/>
          <w:rtl/>
        </w:rPr>
        <w:t xml:space="preserve"> </w:t>
      </w:r>
      <w:r w:rsidRPr="00A3054F">
        <w:rPr>
          <w:rStyle w:val="af2"/>
          <w:rFonts w:eastAsia="Guttman Hodes" w:hint="cs"/>
          <w:rtl/>
        </w:rPr>
        <w:t>(ביכורים פ"ב ה"ט ד"ה והנה סברת רש"י)</w:t>
      </w:r>
      <w:r>
        <w:rPr>
          <w:rFonts w:hint="cs"/>
          <w:rtl/>
        </w:rPr>
        <w:t xml:space="preserve"> על דברי </w:t>
      </w:r>
      <w:r w:rsidRPr="006527E3">
        <w:rPr>
          <w:rStyle w:val="aff4"/>
          <w:rFonts w:hint="cs"/>
          <w:vanish/>
          <w:rtl/>
        </w:rPr>
        <w:t>-</w:t>
      </w:r>
      <w:r w:rsidRPr="009B386D">
        <w:rPr>
          <w:rStyle w:val="aff4"/>
          <w:rFonts w:hint="cs"/>
          <w:rtl/>
        </w:rPr>
        <w:t>רש"י לקמן</w:t>
      </w:r>
      <w:r w:rsidRPr="006527E3">
        <w:rPr>
          <w:rStyle w:val="aff4"/>
          <w:rFonts w:hint="cs"/>
          <w:vanish/>
          <w:rtl/>
        </w:rPr>
        <w:t>-</w:t>
      </w:r>
      <w:r>
        <w:rPr>
          <w:rFonts w:hint="cs"/>
          <w:rtl/>
        </w:rPr>
        <w:t xml:space="preserve"> דלא מצינו דחשיב מחובר בשום מקום, ועיי"ש במה שביאר </w:t>
      </w:r>
      <w:r w:rsidRPr="006527E3">
        <w:rPr>
          <w:rStyle w:val="aff4"/>
          <w:rFonts w:hint="cs"/>
          <w:vanish/>
          <w:rtl/>
        </w:rPr>
        <w:t>-</w:t>
      </w:r>
      <w:r w:rsidRPr="009B386D">
        <w:rPr>
          <w:rStyle w:val="aff4"/>
          <w:rFonts w:hint="cs"/>
          <w:rtl/>
        </w:rPr>
        <w:t>ה</w:t>
      </w:r>
      <w:r w:rsidRPr="00B53404">
        <w:rPr>
          <w:rStyle w:val="aff4"/>
          <w:rFonts w:hint="cs"/>
          <w:vanish/>
          <w:rtl/>
        </w:rPr>
        <w:t>&lt; &gt;</w:t>
      </w:r>
      <w:r w:rsidRPr="009B386D">
        <w:rPr>
          <w:rStyle w:val="aff4"/>
          <w:rFonts w:hint="cs"/>
          <w:rtl/>
        </w:rPr>
        <w:t>דברי יחזקאל</w:t>
      </w:r>
      <w:r w:rsidRPr="006527E3">
        <w:rPr>
          <w:rStyle w:val="aff4"/>
          <w:rFonts w:hint="cs"/>
          <w:vanish/>
          <w:rtl/>
        </w:rPr>
        <w:t>-</w:t>
      </w:r>
      <w:r>
        <w:rPr>
          <w:rFonts w:hint="cs"/>
          <w:rtl/>
        </w:rPr>
        <w:t xml:space="preserve"> </w:t>
      </w:r>
      <w:r w:rsidRPr="00A3054F">
        <w:rPr>
          <w:rStyle w:val="af2"/>
          <w:rFonts w:eastAsia="Guttman Hodes" w:hint="cs"/>
          <w:rtl/>
        </w:rPr>
        <w:t xml:space="preserve">(סי' ב' אות ג' ד"ה </w:t>
      </w:r>
      <w:r w:rsidRPr="00A3054F">
        <w:rPr>
          <w:rStyle w:val="af2"/>
          <w:rFonts w:eastAsia="Guttman Hodes"/>
          <w:rtl/>
        </w:rPr>
        <w:t>ולפמ"ש</w:t>
      </w:r>
      <w:r w:rsidRPr="00A3054F">
        <w:rPr>
          <w:rStyle w:val="af2"/>
          <w:rFonts w:eastAsia="Guttman Hodes" w:hint="cs"/>
          <w:rtl/>
        </w:rPr>
        <w:t>)</w:t>
      </w:r>
      <w:r w:rsidRPr="006527E3">
        <w:rPr>
          <w:rFonts w:hint="cs"/>
          <w:vanish/>
          <w:rtl/>
        </w:rPr>
        <w:t>=</w:t>
      </w:r>
      <w:r>
        <w:rPr>
          <w:rFonts w:hint="cs"/>
          <w:rtl/>
        </w:rPr>
        <w:t xml:space="preserve"> דלענין תולש בשבת, א"צ שהעציץ יהיה מחובר לקרקע, אלא כל שהוא מריח את ריח הקרקע ויונק ממנה, חשיב כקרקע, וה"ה לענין מעשר, </w:t>
      </w:r>
      <w:r w:rsidRPr="003E0220">
        <w:rPr>
          <w:rStyle w:val="af"/>
          <w:rFonts w:hint="cs"/>
          <w:rtl/>
        </w:rPr>
        <w:t xml:space="preserve">[אך כתב </w:t>
      </w:r>
      <w:r w:rsidRPr="00735214">
        <w:rPr>
          <w:rStyle w:val="aff9"/>
          <w:rFonts w:hint="cs"/>
          <w:vanish/>
          <w:rtl/>
        </w:rPr>
        <w:t>-</w:t>
      </w:r>
      <w:r w:rsidRPr="003E0220">
        <w:rPr>
          <w:rStyle w:val="aff9"/>
          <w:rFonts w:hint="cs"/>
          <w:rtl/>
        </w:rPr>
        <w:t>הדברי יחזקאל</w:t>
      </w:r>
      <w:r w:rsidRPr="00735214">
        <w:rPr>
          <w:rStyle w:val="aff9"/>
          <w:rFonts w:hint="cs"/>
          <w:vanish/>
          <w:rtl/>
        </w:rPr>
        <w:t>-</w:t>
      </w:r>
      <w:r w:rsidRPr="003E0220">
        <w:rPr>
          <w:rStyle w:val="af"/>
          <w:rFonts w:hint="cs"/>
          <w:rtl/>
        </w:rPr>
        <w:t xml:space="preserve"> דלענין הכשר וטומאה דין עציץ נקוב תלוי האם חשיב כזרוע או לא</w:t>
      </w:r>
      <w:r w:rsidRPr="00735214">
        <w:rPr>
          <w:rStyle w:val="af"/>
          <w:rFonts w:hint="cs"/>
          <w:rtl/>
        </w:rPr>
        <w:t>],</w:t>
      </w:r>
      <w:r>
        <w:rPr>
          <w:rFonts w:hint="cs"/>
          <w:rtl/>
        </w:rPr>
        <w:t xml:space="preserve"> עיי"ש במה שהאריך </w:t>
      </w:r>
      <w:r w:rsidRPr="006527E3">
        <w:rPr>
          <w:rStyle w:val="aff4"/>
          <w:rFonts w:hint="cs"/>
          <w:vanish/>
          <w:rtl/>
        </w:rPr>
        <w:t>-</w:t>
      </w:r>
      <w:r w:rsidRPr="009B386D">
        <w:rPr>
          <w:rStyle w:val="aff4"/>
          <w:rFonts w:hint="cs"/>
          <w:rtl/>
        </w:rPr>
        <w:t>הדברי יחזקאל</w:t>
      </w:r>
      <w:r w:rsidRPr="006527E3">
        <w:rPr>
          <w:rStyle w:val="aff4"/>
          <w:rFonts w:hint="cs"/>
          <w:vanish/>
          <w:rtl/>
        </w:rPr>
        <w:t>-</w:t>
      </w:r>
      <w:r>
        <w:rPr>
          <w:rFonts w:hint="cs"/>
          <w:rtl/>
        </w:rPr>
        <w:t xml:space="preserve"> בזה טובא.</w:t>
      </w:r>
      <w:bookmarkEnd w:id="1287"/>
    </w:p>
    <w:p w14:paraId="18FF2EAF" w14:textId="77777777" w:rsidR="00D31714" w:rsidRPr="00747170" w:rsidRDefault="00D31714" w:rsidP="00747170">
      <w:pPr>
        <w:pStyle w:val="a2"/>
        <w:rPr>
          <w:rtl/>
        </w:rPr>
      </w:pPr>
      <w:r w:rsidRPr="00747170">
        <w:rPr>
          <w:rtl/>
        </w:rPr>
        <w:t>ועפי"ז אפשר ליישב מ"ש רש"י לקמן (דף צ"ה ע"א) עלה דמתניתין דהתולש מעציץ נקוב חייב משום דמריח מן הקרקע ואפילו הנקב בדופנו ע"כ והמ"ל (בפ"ב מהלכות בכורים הל"ט) כתב על דברי רש"י אלו וז"ל והנה סברת רש"י הלזו כעת לא ראיתיה בשום מקום וכו', ודע דבתוספתא פ"ד דטבול יום והביאה הר"ש ספ"ב דעוקצים תניא עציץ נקוב שנתנו ע"ג שתי יתדות אפילו גבוה אמה מן הארץ אינו מכשיר את הזרעים בד"א מלמטה אבל מן הצד הר"ז מכשיר את הזרעים, והנה פשט דברי התוספתא הללו נראה דס"ל דנקב מן הצד לא חשיב ודינו כתלוש דאין סברא לחלק בין מונח ע"ג יתד למונח על הארץ, ותו תניא התם טבלה שיש לה לבזבז והטה על צדה מכשרת את הזרעים ע"כ, ופירש הר"ש דבנקובה מן הצד איירי דאם הטה על צדה נמצא דקאי נקב למטה ואינה מכשרת את הזרעים, מכל זה מוכח דנקב מן הצד לא חשיב נקב ליחשב כמחובר אלא דינו כתלוש, הפך סברת רש"י והדבר צריך תלמוד עכ"ל.</w:t>
      </w:r>
    </w:p>
    <w:p w14:paraId="10AEA0F5" w14:textId="77777777" w:rsidR="00D31714" w:rsidRPr="0074537A" w:rsidRDefault="00D31714" w:rsidP="00747170">
      <w:pPr>
        <w:pStyle w:val="afffff5"/>
        <w:rPr>
          <w:rtl/>
        </w:rPr>
      </w:pPr>
      <w:r w:rsidRPr="0074537A">
        <w:rPr>
          <w:rtl/>
        </w:rPr>
        <w:t>ולפמ"ש דעיקר דין הכשר וטומאה לענין מחובר אינו תלוי בדין חיבור דכל התורה אלא במה דהוא זרוע בפועל, לפ"ז יש לומר באופן דחשיב רק מחובר לבד ולא זרוע אז אינו מועיל החיבור לענין הכשר, דמ"מ קרינן כל זרוע אשר יזרע דעדיין צריך לזריעה וכתלוש דיינינן ליה לענין הכשר, ולפ"ז נראה דהך דינא דעציץ נקוב בכדי שורש קטן דהוי מחובר בין לענין הכשר ובין לענין שבת ומעשר, חלוקים הם בטעמם, דלענין שבת ומעשר עיקר מה דבעי נקוב כשורש קטן הוא בכדי שיריח מן הקרקע, ופחות משיעור זה אינו מריח כלל וכמבואר בפירש"י לקמן (דף צ"ה ע"ב) ד"ה ועדיין וכו' ע"ש, אבל לענין הכשר הטעם הוא משום דבהך שיעורא חשוב זרוע בקרקע משום דאפשר להתחבר בקרקע ע"י זריעה זו שיצאו ויתפשטו השרשים דרך הנקב, ומשו"ה אף קודם שיצאו השרשים ועדיין לא נתחברו בקרקע נמי זריעה חשיב, ועיין בפירוש רבינו חננאל בסוגיין ולקמן פרק המצניע עלה דאמרינן מודה ר"ש בניקב למטה מרביעית שהזכיר סברא זו דאפשר להתפשט ולהתחבר בקרקע ע"י הנקב יעו"ש היטב, ובמתניתין (פ"ב דעוקצין מ"י) כלי גללים וכלי אדמה שהשרשים יכולין לצאת מהן אינן מכשירין את הזרעים ופירשה הר"ש שם והרמב"ם (בפ"ב מהלכות טומאת אוכלין הל"ט) דמיירי באינם נקובים יעו"ש, הרי אף דאינם נקובים ואינם מריחים מריח הקרקע כלל וכמו שמצדד המ"ל (בפ"ב מהלכות ביכורים הל"ט) דעיקר הטעם רק משום דסופו לינקב יעו"ש, והאי טעמא ל"ש כלל לעשותו כמחובר לענין שבת ומעשר במה דסופו לינקב דמ"מ אינו מריח מן הקרקע עכשיו, ואין לו חיבור לקרקע, רק לענין הכשר וטומאה דהתם בעי רק שיהיו זרועים וכאן הרי הזריעה נאותה מטעם שסופה להתחבר ולהתפשט בקרקע, אלמא דהך טעמא לבד פועל בדין חיבור של הכשר ואינו תלוי בריח הקרקע, ומעתה אפילו במקום דאיכא גם יניקה מן הקרקע אלא דאין השרשים יכולים להתחבר ולצאת אל הקרקע דרך הנקב, כתלוש חשוב לענין הכשר, ולפ"ז בנקוב מן הצד אף דס"ל לרש"י דחשיב כמחובר לענין שבת היינו משום דמריח מן הקרקע אפילו ע"י נקב מן הצד, אבל כיון דאין השרשים יכולין להתפשט דרך הדופן רק מלמטה דרך שוליו וכמ"ש בפירוש ר"ח לקמן בפרק המצניע (דף צ"ה ע"ב) יעו"ש, משו"ה לא מהני לענין הכשר, ועפי"ז מתיישבים דברי התוספתא שהביא המ"ל דנקב מן הצד לא מהני לענין הכשר.</w:t>
      </w:r>
    </w:p>
    <w:p w14:paraId="16617F05" w14:textId="77777777" w:rsidR="00D31714" w:rsidRPr="0074537A" w:rsidRDefault="00D31714" w:rsidP="00747170">
      <w:pPr>
        <w:pStyle w:val="afffff5"/>
        <w:rPr>
          <w:rtl/>
        </w:rPr>
      </w:pPr>
      <w:r w:rsidRPr="0074537A">
        <w:rPr>
          <w:rtl/>
        </w:rPr>
        <w:t>התולש מעציץ נקוב חייב - דהוי כמחובר, דיונק מן הקרקע על ידי הנקב, שמריח לחלוחית הקרקע ואפילו הנקב בדופנו.</w:t>
      </w:r>
    </w:p>
    <w:p w14:paraId="35529625" w14:textId="77777777" w:rsidR="00D31714" w:rsidRDefault="00D31714" w:rsidP="00D31714">
      <w:pPr>
        <w:pStyle w:val="afffff7"/>
        <w:rPr>
          <w:rtl/>
        </w:rPr>
      </w:pPr>
      <w:bookmarkStart w:id="1288" w:name="_Toc135212287"/>
      <w:bookmarkStart w:id="1289" w:name="_Toc135670282"/>
      <w:bookmarkStart w:id="1290" w:name="_Toc163505583"/>
      <w:r>
        <w:rPr>
          <w:rtl/>
        </w:rPr>
        <w:t xml:space="preserve">דברי יחזקאל סי' ב' אות </w:t>
      </w:r>
      <w:r>
        <w:rPr>
          <w:rFonts w:hint="cs"/>
          <w:rtl/>
        </w:rPr>
        <w:t>ה</w:t>
      </w:r>
      <w:r>
        <w:rPr>
          <w:rtl/>
        </w:rPr>
        <w:t>' ד"ה ו</w:t>
      </w:r>
      <w:r>
        <w:rPr>
          <w:rFonts w:hint="cs"/>
          <w:rtl/>
        </w:rPr>
        <w:t>לדעת</w:t>
      </w:r>
      <w:bookmarkEnd w:id="1288"/>
      <w:bookmarkEnd w:id="1289"/>
      <w:bookmarkEnd w:id="1290"/>
    </w:p>
    <w:p w14:paraId="3C56CD2D" w14:textId="77777777" w:rsidR="00D31714" w:rsidRDefault="00D31714" w:rsidP="00D31714">
      <w:pPr>
        <w:pStyle w:val="a7"/>
        <w:rPr>
          <w:rtl/>
        </w:rPr>
      </w:pPr>
      <w:bookmarkStart w:id="1291" w:name="_Toc135670013"/>
      <w:bookmarkStart w:id="1292" w:name="_Hlk134960630"/>
      <w:r>
        <w:rPr>
          <w:rFonts w:hint="cs"/>
          <w:rtl/>
        </w:rPr>
        <w:t>בי' הדבר"י ברש"י דכיון דע"י יניקה מהצד חייב בתולש א"כ ודאי דצרור שרואה פני קרקע חייב</w:t>
      </w:r>
      <w:bookmarkEnd w:id="1291"/>
    </w:p>
    <w:p w14:paraId="690A18FA" w14:textId="5CF2963D" w:rsidR="00D31714" w:rsidRDefault="00D31714" w:rsidP="00BC7DC8">
      <w:pPr>
        <w:pStyle w:val="a3"/>
        <w:rPr>
          <w:rtl/>
        </w:rPr>
      </w:pPr>
      <w:bookmarkStart w:id="1293" w:name="_Ref135660514"/>
      <w:r>
        <w:rPr>
          <w:rFonts w:hint="cs"/>
          <w:rtl/>
        </w:rPr>
        <w:t xml:space="preserve">במה שהקשה </w:t>
      </w:r>
      <w:r w:rsidRPr="00BC5B58">
        <w:rPr>
          <w:rStyle w:val="aff4"/>
          <w:rFonts w:hint="cs"/>
          <w:vanish/>
          <w:rtl/>
        </w:rPr>
        <w:t>-</w:t>
      </w:r>
      <w:r w:rsidRPr="009C1791">
        <w:rPr>
          <w:rStyle w:val="aff4"/>
          <w:rFonts w:hint="cs"/>
          <w:rtl/>
        </w:rPr>
        <w:t>רש"י</w:t>
      </w:r>
      <w:r w:rsidRPr="00BC5B58">
        <w:rPr>
          <w:rStyle w:val="aff4"/>
          <w:rFonts w:hint="cs"/>
          <w:vanish/>
          <w:rtl/>
        </w:rPr>
        <w:t>-</w:t>
      </w:r>
      <w:r>
        <w:rPr>
          <w:rFonts w:hint="cs"/>
          <w:rtl/>
        </w:rPr>
        <w:t xml:space="preserve"> </w:t>
      </w:r>
      <w:r w:rsidRPr="00A3054F">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Ref134956345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לו)</w:t>
      </w:r>
      <w:r>
        <w:rPr>
          <w:rStyle w:val="af2"/>
          <w:rFonts w:eastAsia="Guttman Hodes"/>
          <w:rtl/>
        </w:rPr>
        <w:fldChar w:fldCharType="end"/>
      </w:r>
      <w:r>
        <w:rPr>
          <w:rFonts w:hint="cs"/>
          <w:rtl/>
        </w:rPr>
        <w:t xml:space="preserve"> דא"א להתיר לקנח בצרור אם יש בזה איסור דאו', כתב </w:t>
      </w:r>
      <w:r w:rsidRPr="00BC5B58">
        <w:rPr>
          <w:rStyle w:val="aff4"/>
          <w:vanish/>
          <w:rtl/>
        </w:rPr>
        <w:t>-</w:t>
      </w:r>
      <w:r w:rsidRPr="009C1791">
        <w:rPr>
          <w:rStyle w:val="aff4"/>
          <w:rtl/>
        </w:rPr>
        <w:t>ה</w:t>
      </w:r>
      <w:r w:rsidRPr="00B53404">
        <w:rPr>
          <w:rStyle w:val="aff4"/>
          <w:vanish/>
          <w:rtl/>
        </w:rPr>
        <w:t xml:space="preserve">&lt;. </w:t>
      </w:r>
      <w:r>
        <w:rPr>
          <w:rStyle w:val="aff4"/>
          <w:vanish/>
          <w:rtl/>
        </w:rPr>
        <w:fldChar w:fldCharType="begin"/>
      </w:r>
      <w:r>
        <w:rPr>
          <w:rStyle w:val="aff4"/>
          <w:vanish/>
          <w:rtl/>
        </w:rPr>
        <w:instrText xml:space="preserve"> </w:instrText>
      </w:r>
      <w:r>
        <w:rPr>
          <w:rStyle w:val="aff4"/>
          <w:vanish/>
        </w:rPr>
        <w:instrText>REF</w:instrText>
      </w:r>
      <w:r>
        <w:rPr>
          <w:rStyle w:val="aff4"/>
          <w:vanish/>
          <w:rtl/>
        </w:rPr>
        <w:instrText xml:space="preserve"> _</w:instrText>
      </w:r>
      <w:r>
        <w:rPr>
          <w:rStyle w:val="aff4"/>
          <w:vanish/>
        </w:rPr>
        <w:instrText>Ref135660514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עא)</w:t>
      </w:r>
      <w:r>
        <w:rPr>
          <w:rStyle w:val="aff4"/>
          <w:vanish/>
          <w:rtl/>
        </w:rPr>
        <w:fldChar w:fldCharType="end"/>
      </w:r>
      <w:r w:rsidRPr="00B53404">
        <w:rPr>
          <w:rStyle w:val="aff4"/>
          <w:vanish/>
          <w:rtl/>
        </w:rPr>
        <w:t xml:space="preserve"> &gt;</w:t>
      </w:r>
      <w:r w:rsidRPr="009C1791">
        <w:rPr>
          <w:rStyle w:val="aff4"/>
          <w:rtl/>
        </w:rPr>
        <w:t>דברי יחזקאל</w:t>
      </w:r>
      <w:r w:rsidRPr="00BC5B58">
        <w:rPr>
          <w:rStyle w:val="aff4"/>
          <w:vanish/>
          <w:rtl/>
        </w:rPr>
        <w:t>-</w:t>
      </w:r>
      <w:r w:rsidRPr="00EA7E54">
        <w:rPr>
          <w:rtl/>
        </w:rPr>
        <w:t xml:space="preserve"> </w:t>
      </w:r>
      <w:r w:rsidRPr="00A3054F">
        <w:rPr>
          <w:rStyle w:val="af2"/>
          <w:rFonts w:eastAsia="Guttman Hodes"/>
          <w:rtl/>
        </w:rPr>
        <w:t xml:space="preserve">(סי' ב' אות </w:t>
      </w:r>
      <w:r w:rsidRPr="00A3054F">
        <w:rPr>
          <w:rStyle w:val="af2"/>
          <w:rFonts w:eastAsia="Guttman Hodes" w:hint="cs"/>
          <w:rtl/>
        </w:rPr>
        <w:t>ה</w:t>
      </w:r>
      <w:r w:rsidRPr="00A3054F">
        <w:rPr>
          <w:rStyle w:val="af2"/>
          <w:rFonts w:eastAsia="Guttman Hodes"/>
          <w:rtl/>
        </w:rPr>
        <w:t xml:space="preserve">' ד"ה </w:t>
      </w:r>
      <w:r w:rsidRPr="00A3054F">
        <w:rPr>
          <w:rStyle w:val="af2"/>
          <w:rFonts w:eastAsia="Guttman Hodes" w:hint="cs"/>
          <w:rtl/>
        </w:rPr>
        <w:t>ולדעת</w:t>
      </w:r>
      <w:r w:rsidRPr="00A3054F">
        <w:rPr>
          <w:rStyle w:val="af2"/>
          <w:rFonts w:eastAsia="Guttman Hodes"/>
          <w:rtl/>
        </w:rPr>
        <w:t>)</w:t>
      </w:r>
      <w:r w:rsidRPr="00EA7E54">
        <w:rPr>
          <w:vanish/>
          <w:rtl/>
        </w:rPr>
        <w:t>=</w:t>
      </w:r>
      <w:r w:rsidRPr="00EA7E54">
        <w:rPr>
          <w:rFonts w:hint="cs"/>
          <w:rtl/>
        </w:rPr>
        <w:t xml:space="preserve"> דכיון דס"ל </w:t>
      </w:r>
      <w:r w:rsidRPr="00C04DA9">
        <w:rPr>
          <w:rStyle w:val="aff4"/>
          <w:rFonts w:hint="cs"/>
          <w:vanish/>
          <w:rtl/>
        </w:rPr>
        <w:t>-</w:t>
      </w:r>
      <w:r w:rsidRPr="00EA7E54">
        <w:rPr>
          <w:rStyle w:val="aff4"/>
          <w:rFonts w:hint="cs"/>
          <w:rtl/>
        </w:rPr>
        <w:t>לרש"י</w:t>
      </w:r>
      <w:r w:rsidRPr="00C04DA9">
        <w:rPr>
          <w:rStyle w:val="aff4"/>
          <w:rFonts w:hint="cs"/>
          <w:vanish/>
          <w:rtl/>
        </w:rPr>
        <w:t>-</w:t>
      </w:r>
      <w:r w:rsidRPr="00EA7E54">
        <w:rPr>
          <w:rFonts w:hint="cs"/>
          <w:rtl/>
        </w:rPr>
        <w:t xml:space="preserve"> </w:t>
      </w:r>
      <w:r w:rsidRPr="00A3054F">
        <w:rPr>
          <w:rStyle w:val="af2"/>
          <w:rFonts w:eastAsia="Guttman Hodes" w:hint="cs"/>
          <w:rtl/>
        </w:rPr>
        <w:t xml:space="preserve">(עי' אות </w:t>
      </w:r>
      <w:r w:rsidRPr="00A3054F">
        <w:rPr>
          <w:rStyle w:val="af2"/>
          <w:rFonts w:eastAsia="Guttman Hodes"/>
          <w:rtl/>
        </w:rPr>
        <w:fldChar w:fldCharType="begin"/>
      </w:r>
      <w:r w:rsidRPr="00A3054F">
        <w:rPr>
          <w:rStyle w:val="af2"/>
          <w:rFonts w:eastAsia="Guttman Hodes"/>
          <w:rtl/>
        </w:rPr>
        <w:instrText xml:space="preserve"> </w:instrText>
      </w:r>
      <w:r w:rsidRPr="00A3054F">
        <w:rPr>
          <w:rStyle w:val="af2"/>
          <w:rFonts w:eastAsia="Guttman Hodes" w:hint="cs"/>
        </w:rPr>
        <w:instrText>REF</w:instrText>
      </w:r>
      <w:r w:rsidRPr="00A3054F">
        <w:rPr>
          <w:rStyle w:val="af2"/>
          <w:rFonts w:eastAsia="Guttman Hodes" w:hint="cs"/>
          <w:rtl/>
        </w:rPr>
        <w:instrText xml:space="preserve"> _</w:instrText>
      </w:r>
      <w:r w:rsidRPr="00A3054F">
        <w:rPr>
          <w:rStyle w:val="af2"/>
          <w:rFonts w:eastAsia="Guttman Hodes" w:hint="cs"/>
        </w:rPr>
        <w:instrText>Ref134960082 \r \h</w:instrText>
      </w:r>
      <w:r w:rsidRPr="00A3054F">
        <w:rPr>
          <w:rStyle w:val="af2"/>
          <w:rFonts w:eastAsia="Guttman Hodes"/>
          <w:rtl/>
        </w:rPr>
        <w:instrText xml:space="preserve">  \* </w:instrText>
      </w:r>
      <w:r w:rsidRPr="00A3054F">
        <w:rPr>
          <w:rStyle w:val="af2"/>
          <w:rFonts w:eastAsia="Guttman Hodes"/>
        </w:rPr>
        <w:instrText>MERGEFORMAT</w:instrText>
      </w:r>
      <w:r w:rsidRPr="00A3054F">
        <w:rPr>
          <w:rStyle w:val="af2"/>
          <w:rFonts w:eastAsia="Guttman Hodes"/>
          <w:rtl/>
        </w:rPr>
        <w:instrText xml:space="preserve"> </w:instrText>
      </w:r>
      <w:r w:rsidRPr="00A3054F">
        <w:rPr>
          <w:rStyle w:val="af2"/>
          <w:rFonts w:eastAsia="Guttman Hodes"/>
          <w:rtl/>
        </w:rPr>
      </w:r>
      <w:r w:rsidRPr="00A3054F">
        <w:rPr>
          <w:rStyle w:val="af2"/>
          <w:rFonts w:eastAsia="Guttman Hodes"/>
          <w:rtl/>
        </w:rPr>
        <w:fldChar w:fldCharType="separate"/>
      </w:r>
      <w:r w:rsidR="00D82181">
        <w:rPr>
          <w:rStyle w:val="af2"/>
          <w:rFonts w:eastAsia="Guttman Hodes"/>
          <w:cs/>
        </w:rPr>
        <w:t>‎</w:t>
      </w:r>
      <w:r w:rsidR="00D82181">
        <w:rPr>
          <w:rStyle w:val="af2"/>
          <w:rFonts w:eastAsia="Guttman Hodes"/>
          <w:rtl/>
        </w:rPr>
        <w:t>ע)</w:t>
      </w:r>
      <w:r w:rsidRPr="00A3054F">
        <w:rPr>
          <w:rStyle w:val="af2"/>
          <w:rFonts w:eastAsia="Guttman Hodes"/>
          <w:rtl/>
        </w:rPr>
        <w:fldChar w:fldCharType="end"/>
      </w:r>
      <w:r w:rsidRPr="00EA7E54">
        <w:rPr>
          <w:rFonts w:hint="cs"/>
          <w:rtl/>
        </w:rPr>
        <w:t xml:space="preserve"> דאף נקב מן הצד חשיב מחובר לענין תולש בשבת, כיון דמריח את ריח הקרקע, א"כ כ"ש דצרור שעלו בו עשבים, דהוא רואה את הקרקע מד' רוחות דחשיב מחובר</w:t>
      </w:r>
      <w:r>
        <w:rPr>
          <w:rFonts w:hint="cs"/>
          <w:rtl/>
        </w:rPr>
        <w:t>.</w:t>
      </w:r>
    </w:p>
    <w:p w14:paraId="436D22A9" w14:textId="77777777" w:rsidR="00D31714" w:rsidRPr="00747170" w:rsidRDefault="00D31714" w:rsidP="00747170">
      <w:pPr>
        <w:pStyle w:val="a2"/>
        <w:rPr>
          <w:rtl/>
        </w:rPr>
      </w:pPr>
      <w:r w:rsidRPr="00747170">
        <w:rPr>
          <w:rStyle w:val="afff7"/>
          <w:rtl/>
        </w:rPr>
        <w:t>[ה] ולדעת הרמב"ם דס"ל דבהניחו ע"ג יתדות חייב משום תולש דאורייתא,</w:t>
      </w:r>
      <w:r w:rsidRPr="00747170">
        <w:rPr>
          <w:rtl/>
        </w:rPr>
        <w:t xml:space="preserve"> תיקשי קושית רש"י דאמאי שרי ר"ל קינוח בצרור שעלו בו עשבים, הא איסור תורה לא הותר בשביל כבוד הבריות, ונראה דרש"י לשיטתו דס"ל דגם נקב מן הצד חשיב מחובר משום דמריח מריח הקרקע אפילו דרך דופן, וא"כ כ"ש דצרור שעלו בו עשבים חשוב מחובר שהרי רואה את האויר מד' רוחות, ועדיף יותר מניקב בדופנו.</w:t>
      </w:r>
    </w:p>
    <w:p w14:paraId="4CD78031" w14:textId="77777777" w:rsidR="00D31714" w:rsidRPr="00166054" w:rsidRDefault="00D31714" w:rsidP="00D31714">
      <w:pPr>
        <w:pStyle w:val="a7"/>
      </w:pPr>
      <w:r w:rsidRPr="009069E2">
        <w:rPr>
          <w:rFonts w:hint="cs"/>
          <w:vanish/>
          <w:rtl/>
        </w:rPr>
        <w:t xml:space="preserve">בי' </w:t>
      </w:r>
      <w:bookmarkStart w:id="1294" w:name="_Toc135670014"/>
      <w:r>
        <w:rPr>
          <w:rFonts w:hint="cs"/>
          <w:rtl/>
        </w:rPr>
        <w:t>הדבר"י ברמב"ם דריח הקרקע ל"מ להחשיבו נקוב ומחובר וצרור כאינו נקוב ופרפיסא כנקוב</w:t>
      </w:r>
      <w:bookmarkEnd w:id="1294"/>
    </w:p>
    <w:p w14:paraId="025DA6A1" w14:textId="64DCEAE6" w:rsidR="00D31714" w:rsidRDefault="00D31714" w:rsidP="00BC7DC8">
      <w:pPr>
        <w:pStyle w:val="a3"/>
      </w:pPr>
      <w:r w:rsidRPr="00EA7E54">
        <w:rPr>
          <w:rFonts w:hint="cs"/>
          <w:rtl/>
        </w:rPr>
        <w:t xml:space="preserve">וכתב </w:t>
      </w:r>
      <w:r w:rsidRPr="00C04DA9">
        <w:rPr>
          <w:rStyle w:val="aff4"/>
          <w:rFonts w:hint="cs"/>
          <w:vanish/>
          <w:rtl/>
        </w:rPr>
        <w:t>-</w:t>
      </w:r>
      <w:r w:rsidRPr="00EA7E54">
        <w:rPr>
          <w:rStyle w:val="aff4"/>
          <w:rFonts w:hint="cs"/>
          <w:rtl/>
        </w:rPr>
        <w:t>הדברי יחזקאל</w:t>
      </w:r>
      <w:r w:rsidRPr="00C04DA9">
        <w:rPr>
          <w:rStyle w:val="aff4"/>
          <w:rFonts w:hint="cs"/>
          <w:vanish/>
          <w:rtl/>
        </w:rPr>
        <w:t>-</w:t>
      </w:r>
      <w:r w:rsidRPr="00EA7E54">
        <w:rPr>
          <w:rFonts w:hint="cs"/>
          <w:rtl/>
        </w:rPr>
        <w:t xml:space="preserve"> דלפי"ז לדעת </w:t>
      </w:r>
      <w:r w:rsidRPr="00C04DA9">
        <w:rPr>
          <w:rStyle w:val="aff4"/>
          <w:rFonts w:hint="cs"/>
          <w:vanish/>
          <w:rtl/>
        </w:rPr>
        <w:t>-</w:t>
      </w:r>
      <w:r w:rsidRPr="00EA7E54">
        <w:rPr>
          <w:rStyle w:val="aff4"/>
          <w:rFonts w:hint="cs"/>
          <w:rtl/>
        </w:rPr>
        <w:t>הרמב"ם</w:t>
      </w:r>
      <w:r w:rsidRPr="00C04DA9">
        <w:rPr>
          <w:rStyle w:val="aff4"/>
          <w:rFonts w:hint="cs"/>
          <w:vanish/>
          <w:rtl/>
        </w:rPr>
        <w:t>-</w:t>
      </w:r>
      <w:r w:rsidRPr="00EA7E54">
        <w:rPr>
          <w:rFonts w:hint="cs"/>
          <w:rtl/>
        </w:rPr>
        <w:t xml:space="preserve"> </w:t>
      </w:r>
      <w:r w:rsidRPr="00A3054F">
        <w:rPr>
          <w:rStyle w:val="af2"/>
          <w:rFonts w:eastAsia="Guttman Hodes" w:hint="cs"/>
          <w:rtl/>
        </w:rPr>
        <w:t xml:space="preserve">(עי' אות </w:t>
      </w:r>
      <w:r w:rsidRPr="00A3054F">
        <w:rPr>
          <w:rStyle w:val="af2"/>
          <w:rFonts w:eastAsia="Guttman Hodes"/>
          <w:rtl/>
        </w:rPr>
        <w:fldChar w:fldCharType="begin"/>
      </w:r>
      <w:r w:rsidRPr="00A3054F">
        <w:rPr>
          <w:rStyle w:val="af2"/>
          <w:rFonts w:eastAsia="Guttman Hodes"/>
          <w:rtl/>
        </w:rPr>
        <w:instrText xml:space="preserve"> </w:instrText>
      </w:r>
      <w:r w:rsidRPr="00A3054F">
        <w:rPr>
          <w:rStyle w:val="af2"/>
          <w:rFonts w:eastAsia="Guttman Hodes" w:hint="cs"/>
        </w:rPr>
        <w:instrText>REF</w:instrText>
      </w:r>
      <w:r w:rsidRPr="00A3054F">
        <w:rPr>
          <w:rStyle w:val="af2"/>
          <w:rFonts w:eastAsia="Guttman Hodes" w:hint="cs"/>
          <w:rtl/>
        </w:rPr>
        <w:instrText xml:space="preserve"> _</w:instrText>
      </w:r>
      <w:r w:rsidRPr="00A3054F">
        <w:rPr>
          <w:rStyle w:val="af2"/>
          <w:rFonts w:eastAsia="Guttman Hodes" w:hint="cs"/>
        </w:rPr>
        <w:instrText>Ref134736415 \r \h</w:instrText>
      </w:r>
      <w:r w:rsidRPr="00A3054F">
        <w:rPr>
          <w:rStyle w:val="af2"/>
          <w:rFonts w:eastAsia="Guttman Hodes"/>
          <w:rtl/>
        </w:rPr>
        <w:instrText xml:space="preserve"> </w:instrText>
      </w:r>
      <w:r w:rsidRPr="00A3054F">
        <w:rPr>
          <w:rStyle w:val="af2"/>
          <w:rFonts w:eastAsia="Guttman Hodes"/>
          <w:rtl/>
        </w:rPr>
      </w:r>
      <w:r w:rsidRPr="00A3054F">
        <w:rPr>
          <w:rStyle w:val="af2"/>
          <w:rFonts w:eastAsia="Guttman Hodes"/>
          <w:rtl/>
        </w:rPr>
        <w:fldChar w:fldCharType="separate"/>
      </w:r>
      <w:r w:rsidR="00D82181">
        <w:rPr>
          <w:rStyle w:val="af2"/>
          <w:rFonts w:eastAsia="Guttman Hodes"/>
          <w:cs/>
        </w:rPr>
        <w:t>‎</w:t>
      </w:r>
      <w:r w:rsidR="00D82181">
        <w:rPr>
          <w:rStyle w:val="af2"/>
          <w:rFonts w:eastAsia="Guttman Hodes"/>
          <w:rtl/>
        </w:rPr>
        <w:t>מ)</w:t>
      </w:r>
      <w:r w:rsidRPr="00A3054F">
        <w:rPr>
          <w:rStyle w:val="af2"/>
          <w:rFonts w:eastAsia="Guttman Hodes"/>
          <w:rtl/>
        </w:rPr>
        <w:fldChar w:fldCharType="end"/>
      </w:r>
      <w:r w:rsidRPr="00EA7E54">
        <w:rPr>
          <w:rFonts w:hint="cs"/>
          <w:rtl/>
        </w:rPr>
        <w:t xml:space="preserve"> דכתב דהמניח גבשושית ע"ג יתדות חייב בתולש מדאו' לא קשה קושית </w:t>
      </w:r>
      <w:r w:rsidRPr="00C04DA9">
        <w:rPr>
          <w:rStyle w:val="aff4"/>
          <w:rFonts w:hint="cs"/>
          <w:vanish/>
          <w:rtl/>
        </w:rPr>
        <w:t>-</w:t>
      </w:r>
      <w:r w:rsidRPr="00EA7E54">
        <w:rPr>
          <w:rStyle w:val="aff4"/>
          <w:rFonts w:hint="cs"/>
          <w:rtl/>
        </w:rPr>
        <w:t>רש"י</w:t>
      </w:r>
      <w:r w:rsidRPr="00C04DA9">
        <w:rPr>
          <w:rStyle w:val="aff4"/>
          <w:rFonts w:hint="cs"/>
          <w:vanish/>
          <w:rtl/>
        </w:rPr>
        <w:t>-</w:t>
      </w:r>
      <w:r w:rsidRPr="00EA7E54">
        <w:rPr>
          <w:rFonts w:hint="cs"/>
          <w:rtl/>
        </w:rPr>
        <w:t xml:space="preserve"> </w:t>
      </w:r>
      <w:r w:rsidRPr="00A3054F">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Ref134956345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לו)</w:t>
      </w:r>
      <w:r>
        <w:rPr>
          <w:rStyle w:val="af2"/>
          <w:rFonts w:eastAsia="Guttman Hodes"/>
          <w:rtl/>
        </w:rPr>
        <w:fldChar w:fldCharType="end"/>
      </w:r>
      <w:r>
        <w:rPr>
          <w:rFonts w:hint="cs"/>
          <w:rtl/>
        </w:rPr>
        <w:t xml:space="preserve"> </w:t>
      </w:r>
      <w:r w:rsidRPr="00EA7E54">
        <w:rPr>
          <w:rFonts w:hint="cs"/>
          <w:rtl/>
        </w:rPr>
        <w:t xml:space="preserve">דאפש"ל דס"ל </w:t>
      </w:r>
      <w:r w:rsidRPr="00C04DA9">
        <w:rPr>
          <w:rStyle w:val="aff4"/>
          <w:rFonts w:hint="cs"/>
          <w:vanish/>
          <w:rtl/>
        </w:rPr>
        <w:t>-</w:t>
      </w:r>
      <w:r w:rsidRPr="00EA7E54">
        <w:rPr>
          <w:rStyle w:val="aff4"/>
          <w:rFonts w:hint="cs"/>
          <w:rtl/>
        </w:rPr>
        <w:t>להרמב"ם</w:t>
      </w:r>
      <w:r w:rsidRPr="00C04DA9">
        <w:rPr>
          <w:rStyle w:val="aff4"/>
          <w:rFonts w:hint="cs"/>
          <w:vanish/>
          <w:rtl/>
        </w:rPr>
        <w:t>-</w:t>
      </w:r>
      <w:r w:rsidRPr="00EA7E54">
        <w:rPr>
          <w:rFonts w:hint="cs"/>
          <w:rtl/>
        </w:rPr>
        <w:t xml:space="preserve"> כדעת </w:t>
      </w:r>
      <w:r w:rsidRPr="00C04DA9">
        <w:rPr>
          <w:rStyle w:val="aff4"/>
          <w:rFonts w:hint="cs"/>
          <w:vanish/>
          <w:rtl/>
        </w:rPr>
        <w:t>-</w:t>
      </w:r>
      <w:r w:rsidRPr="00EA7E54">
        <w:rPr>
          <w:rStyle w:val="aff4"/>
          <w:rFonts w:hint="cs"/>
          <w:rtl/>
        </w:rPr>
        <w:t>הי"מ במאירי לקמן</w:t>
      </w:r>
      <w:r w:rsidRPr="00C04DA9">
        <w:rPr>
          <w:rStyle w:val="aff4"/>
          <w:rFonts w:hint="cs"/>
          <w:vanish/>
          <w:rtl/>
        </w:rPr>
        <w:t>-</w:t>
      </w:r>
      <w:r w:rsidRPr="00EA7E54">
        <w:rPr>
          <w:rFonts w:hint="cs"/>
          <w:rtl/>
        </w:rPr>
        <w:t xml:space="preserve"> </w:t>
      </w:r>
      <w:r w:rsidRPr="00A3054F">
        <w:rPr>
          <w:rStyle w:val="af2"/>
          <w:rFonts w:eastAsia="Guttman Hodes" w:hint="cs"/>
          <w:rtl/>
        </w:rPr>
        <w:t>(צה: ד"ה יראה)</w:t>
      </w:r>
      <w:r w:rsidRPr="00EA7E54">
        <w:rPr>
          <w:rFonts w:hint="cs"/>
          <w:rtl/>
        </w:rPr>
        <w:t xml:space="preserve"> דכתבו דנקב מן הצד בעציץ לא חשיב עציץ נקוב, ואינו נעשה מחובר בזה בין לענין טומאה ובין לתולש בשבת ולכל דבר, ופליג על סברת </w:t>
      </w:r>
      <w:r w:rsidRPr="00C04DA9">
        <w:rPr>
          <w:rStyle w:val="aff4"/>
          <w:rFonts w:hint="cs"/>
          <w:vanish/>
          <w:rtl/>
        </w:rPr>
        <w:t>-</w:t>
      </w:r>
      <w:r w:rsidRPr="00EA7E54">
        <w:rPr>
          <w:rStyle w:val="aff4"/>
          <w:rFonts w:hint="cs"/>
          <w:rtl/>
        </w:rPr>
        <w:t>רש"י</w:t>
      </w:r>
      <w:r w:rsidRPr="00C04DA9">
        <w:rPr>
          <w:rStyle w:val="aff4"/>
          <w:rFonts w:hint="cs"/>
          <w:vanish/>
          <w:rtl/>
        </w:rPr>
        <w:t>-</w:t>
      </w:r>
      <w:r w:rsidRPr="00EA7E54">
        <w:rPr>
          <w:rFonts w:hint="cs"/>
          <w:rtl/>
        </w:rPr>
        <w:t xml:space="preserve"> דכל שמריח את ריח הקרקע הוי מחובר, וא"כ הצרור חשיב כתלוש כיון שאין לו נקב למטה כנגד השורשים של העשבים שגדלו עליו, ודינו כעציץ שאינו נקוב דאינו מחובר כלל, ולכן מותר לקנח בו, והא דאמר ר"ל דהתולש מהצרור עצמו חייב, אינו מחמת דחשיב תולש מהקרקע, אלא דהם כמחוברים לצרור עצמו שהוא מקום גידולם, והוי כתולש פיטרא מאונא דחצבא</w:t>
      </w:r>
      <w:r w:rsidRPr="00AC4200">
        <w:rPr>
          <w:rFonts w:hint="cs"/>
          <w:rtl/>
        </w:rPr>
        <w:t xml:space="preserve"> </w:t>
      </w:r>
      <w:r>
        <w:rPr>
          <w:rFonts w:hint="cs"/>
          <w:rtl/>
        </w:rPr>
        <w:t xml:space="preserve">בגמ' לקמן </w:t>
      </w:r>
      <w:r w:rsidRPr="00A3054F">
        <w:rPr>
          <w:rStyle w:val="af2"/>
          <w:rFonts w:eastAsia="Guttman Hodes" w:hint="cs"/>
          <w:rtl/>
        </w:rPr>
        <w:t>(קח.)</w:t>
      </w:r>
      <w:r w:rsidRPr="00EA7E54">
        <w:rPr>
          <w:rFonts w:hint="cs"/>
          <w:rtl/>
        </w:rPr>
        <w:t xml:space="preserve">, אבל בפרפיסא דהוא עציץ נקוב לפי ביאור </w:t>
      </w:r>
      <w:r w:rsidRPr="00C04DA9">
        <w:rPr>
          <w:rStyle w:val="aff4"/>
          <w:rFonts w:hint="cs"/>
          <w:vanish/>
          <w:rtl/>
        </w:rPr>
        <w:t>-</w:t>
      </w:r>
      <w:r w:rsidRPr="00EA7E54">
        <w:rPr>
          <w:rStyle w:val="aff4"/>
          <w:rFonts w:hint="cs"/>
          <w:rtl/>
        </w:rPr>
        <w:t>רש"י</w:t>
      </w:r>
      <w:r w:rsidRPr="00C04DA9">
        <w:rPr>
          <w:rStyle w:val="aff4"/>
          <w:rFonts w:hint="cs"/>
          <w:vanish/>
          <w:rtl/>
        </w:rPr>
        <w:t>-</w:t>
      </w:r>
      <w:r w:rsidRPr="00EA7E54">
        <w:rPr>
          <w:rFonts w:hint="cs"/>
          <w:rtl/>
        </w:rPr>
        <w:t xml:space="preserve"> ודאי דאסור לתלוש ממנו, וכ"ש לפי ביאור </w:t>
      </w:r>
      <w:r w:rsidRPr="00C04DA9">
        <w:rPr>
          <w:rStyle w:val="aff4"/>
          <w:rFonts w:hint="cs"/>
          <w:vanish/>
          <w:rtl/>
        </w:rPr>
        <w:t>-</w:t>
      </w:r>
      <w:r w:rsidRPr="00EA7E54">
        <w:rPr>
          <w:rStyle w:val="aff4"/>
          <w:rFonts w:hint="cs"/>
          <w:rtl/>
        </w:rPr>
        <w:t>הרמב"ם</w:t>
      </w:r>
      <w:r w:rsidRPr="00C04DA9">
        <w:rPr>
          <w:rStyle w:val="aff4"/>
          <w:rFonts w:hint="cs"/>
          <w:vanish/>
          <w:rtl/>
        </w:rPr>
        <w:t>-</w:t>
      </w:r>
      <w:r w:rsidRPr="00EA7E54">
        <w:rPr>
          <w:rFonts w:hint="cs"/>
          <w:rtl/>
        </w:rPr>
        <w:t xml:space="preserve"> דפרפיסא הוא גבשושית של עפר דודאי היא מחוברת והתולש ממנה חייב. </w:t>
      </w:r>
      <w:r w:rsidRPr="003E0220">
        <w:rPr>
          <w:rStyle w:val="af"/>
          <w:rFonts w:hint="cs"/>
          <w:rtl/>
        </w:rPr>
        <w:t xml:space="preserve">[וע"ע במה שהוסיף </w:t>
      </w:r>
      <w:r w:rsidRPr="00735214">
        <w:rPr>
          <w:rStyle w:val="aff9"/>
          <w:rFonts w:hint="cs"/>
          <w:vanish/>
          <w:rtl/>
        </w:rPr>
        <w:t>-</w:t>
      </w:r>
      <w:r w:rsidRPr="003E0220">
        <w:rPr>
          <w:rStyle w:val="aff9"/>
          <w:rFonts w:hint="cs"/>
          <w:rtl/>
        </w:rPr>
        <w:t>ה</w:t>
      </w:r>
      <w:r w:rsidRPr="00735214">
        <w:rPr>
          <w:rStyle w:val="aff9"/>
          <w:rFonts w:hint="cs"/>
          <w:vanish/>
          <w:rtl/>
        </w:rPr>
        <w:t>&lt; &gt;</w:t>
      </w:r>
      <w:r w:rsidRPr="003E0220">
        <w:rPr>
          <w:rStyle w:val="aff9"/>
          <w:rFonts w:hint="cs"/>
          <w:rtl/>
        </w:rPr>
        <w:t>דברי יחזקאל</w:t>
      </w:r>
      <w:r w:rsidRPr="00735214">
        <w:rPr>
          <w:rStyle w:val="aff9"/>
          <w:rFonts w:hint="cs"/>
          <w:vanish/>
          <w:rtl/>
        </w:rPr>
        <w:t>-</w:t>
      </w:r>
      <w:r w:rsidRPr="003E0220">
        <w:rPr>
          <w:rStyle w:val="af"/>
          <w:rFonts w:hint="cs"/>
          <w:rtl/>
        </w:rPr>
        <w:t xml:space="preserve"> </w:t>
      </w:r>
      <w:r w:rsidRPr="003E0220">
        <w:rPr>
          <w:rStyle w:val="aff0"/>
          <w:rFonts w:hint="cs"/>
          <w:rtl/>
        </w:rPr>
        <w:t>(סי' ג' אות ה')</w:t>
      </w:r>
      <w:r w:rsidRPr="00735214">
        <w:rPr>
          <w:rStyle w:val="af"/>
          <w:rFonts w:hint="cs"/>
          <w:vanish/>
          <w:rtl/>
        </w:rPr>
        <w:t>=</w:t>
      </w:r>
      <w:r w:rsidRPr="003E0220">
        <w:rPr>
          <w:rStyle w:val="af"/>
          <w:rFonts w:hint="cs"/>
          <w:rtl/>
        </w:rPr>
        <w:t xml:space="preserve"> לבאר את החילוק בין צרור לפרפיסא, לדעת </w:t>
      </w:r>
      <w:r w:rsidRPr="00735214">
        <w:rPr>
          <w:rStyle w:val="aff9"/>
          <w:rFonts w:hint="cs"/>
          <w:vanish/>
          <w:rtl/>
        </w:rPr>
        <w:t>-</w:t>
      </w:r>
      <w:r w:rsidRPr="003E0220">
        <w:rPr>
          <w:rStyle w:val="aff9"/>
          <w:rFonts w:hint="cs"/>
          <w:rtl/>
        </w:rPr>
        <w:t>הרמב"ם</w:t>
      </w:r>
      <w:r w:rsidRPr="00735214">
        <w:rPr>
          <w:rStyle w:val="aff9"/>
          <w:rFonts w:hint="cs"/>
          <w:vanish/>
          <w:rtl/>
        </w:rPr>
        <w:t>-</w:t>
      </w:r>
      <w:r w:rsidRPr="00735214">
        <w:rPr>
          <w:rStyle w:val="af"/>
          <w:rFonts w:hint="cs"/>
          <w:rtl/>
        </w:rPr>
        <w:t>].</w:t>
      </w:r>
      <w:bookmarkEnd w:id="1293"/>
    </w:p>
    <w:p w14:paraId="5DCE2542" w14:textId="77777777" w:rsidR="00D31714" w:rsidRPr="00747170" w:rsidRDefault="00D31714" w:rsidP="00747170">
      <w:pPr>
        <w:pStyle w:val="a2"/>
        <w:rPr>
          <w:rtl/>
        </w:rPr>
      </w:pPr>
      <w:r w:rsidRPr="00747170">
        <w:rPr>
          <w:rtl/>
        </w:rPr>
        <w:t>[ה] ולדעת הרמב"ם דס"ל דבהניחו ע"ג יתדות חייב משום תולש דאורייתא, תיקשי קושית רש"י דאמאי שרי ר"ל קינוח בצרור שעלו בו עשבים, הא איסור תורה לא הותר בשביל כבוד הבריות, ונראה דרש"י לשיטתו דס"ל דגם נקב מן הצד חשיב מחובר משום דמריח מריח הקרקע אפילו דרך דופן, וא"כ כ"ש דצרור שעלו בו עשבים חשוב מחובר שהרי רואה את האויר מד' רוחות, ועדיף יותר מניקב בדופנו. ועפי"ז שפיר הוקשה ליה לרש"י דכיון דצרור דר"ל כעציץ נקוב דמי אמאי מותר וע"כ דגם בעציץ נקוב אינו אלא דרבנן. אמנם לדעת הרמב"ם נוכל לומר דס"ל כדעת הי"מ שבמאירי הנ"ל דנקב מן הצד לא חשיב מחובר בין להכשר בין לכל התורה, וא"כ י"ל דגם ברואה את האויר מד' רוחות ג"כ כתלוש דיינינן ליה כיון שאין הנקב מלמטה כנגד השורש (עיין בר"ש פ"ב דעוקצין מ"י) לענין מילא עפר עד שפתו הרי הוא כטבלא שאין לה לבזבז, שפירש הר"ש הטעם דחשיב רואה האויר מד' רוחות דהו"ל כמחובר, והרמב"ם שם נאיד מפירוש זה יעו"ש, ואפשר דהוא מטעם דס"ל דגם רואה מד' רוחות כתלוש חשיב יעו"ש, ולפ"ז צרור שעלו בו עשבים דינו כעציץ שאינו נקוב לדעת הראשונים דעץ בעי נקיבה, ולפ"ז שפיר התיר ר"ל משום כבוד הבריות כיון דלית ביה תולש דאורייתא כמו עציץ שאינו נקוב, אבל בפרפיסא שהניחה ע"ג יתדות דהתם הו"ל עציץ נקוב, וכ"ש לפירוש הרמב"ם דהוא גבשושית של עפר דעדיף גם מעציץ נקוב משו"ה חשיב תולש דאורייתא, ומאי דס"ל לר"ל דהתולש עשבים מעל הצרור חייב חטאת אינו מטעם דחשיבי מחוברים לקרקע ע"י הצרור אלא מטעם דמחוברים להצרור עצמו, וכמו דאיתא לקמן (דף ק"ז ע"ב) האי מאן דתלש פיטרא מאונא דחצבא מיחייב משום עוקר דבר מגידולו, וה"נ עשבים מהצרור ה"ל עוקר דבר מגידולו. וכן מבואר בפירש"י בסוגיין ד"ה והתולש וכו' משום דעוקרו ממקום גידולן יעו"ש</w:t>
      </w:r>
      <w:r w:rsidRPr="00747170">
        <w:rPr>
          <w:rFonts w:hint="cs"/>
          <w:rtl/>
        </w:rPr>
        <w:t>.</w:t>
      </w:r>
    </w:p>
    <w:p w14:paraId="48784CB7" w14:textId="77777777" w:rsidR="00D31714" w:rsidRDefault="00D31714" w:rsidP="00D31714">
      <w:pPr>
        <w:pStyle w:val="a7"/>
        <w:rPr>
          <w:rtl/>
        </w:rPr>
      </w:pPr>
      <w:bookmarkStart w:id="1295" w:name="_Toc135670015"/>
      <w:r>
        <w:rPr>
          <w:rFonts w:hint="cs"/>
          <w:rtl/>
        </w:rPr>
        <w:t>בי' הדבר"י דהגבהת הצרור מהקרקע לא חשיבא תולש דמיעוט יניקה בלי תלישה מחיבור פטור</w:t>
      </w:r>
      <w:bookmarkEnd w:id="1295"/>
    </w:p>
    <w:p w14:paraId="4A23DD00" w14:textId="77777777" w:rsidR="00D31714" w:rsidRPr="00CF3FBB" w:rsidRDefault="00D31714" w:rsidP="00BC7DC8">
      <w:pPr>
        <w:pStyle w:val="a3"/>
      </w:pPr>
      <w:r>
        <w:rPr>
          <w:rFonts w:hint="cs"/>
          <w:rtl/>
        </w:rPr>
        <w:t xml:space="preserve">וכתב </w:t>
      </w:r>
      <w:r w:rsidRPr="00BC5B58">
        <w:rPr>
          <w:rStyle w:val="aff4"/>
          <w:rFonts w:hint="cs"/>
          <w:vanish/>
          <w:rtl/>
        </w:rPr>
        <w:t>-</w:t>
      </w:r>
      <w:r w:rsidRPr="009C1791">
        <w:rPr>
          <w:rStyle w:val="aff4"/>
          <w:rFonts w:hint="cs"/>
          <w:rtl/>
        </w:rPr>
        <w:t>הדברי יחזקאל</w:t>
      </w:r>
      <w:r w:rsidRPr="00BC5B58">
        <w:rPr>
          <w:rStyle w:val="aff4"/>
          <w:rFonts w:hint="cs"/>
          <w:vanish/>
          <w:rtl/>
        </w:rPr>
        <w:t>-</w:t>
      </w:r>
      <w:r>
        <w:rPr>
          <w:rFonts w:hint="cs"/>
          <w:rtl/>
        </w:rPr>
        <w:t xml:space="preserve"> דבמה שהוא מגביה את הצרור מהקרקע אינו חייב משום תולש, דאף שממעט את יניקת העשבים מהצרור, כיון דממעט מהצרור את לחלוחית הקרקע, מ"מ כיון שאינו תולש את העשבים ממקום חיבורם, ואף אם תולשם הוא רק עוקר דבר מגידולו, לא שייך לחייב בזה על מיעוט יניקה. </w:t>
      </w:r>
      <w:r w:rsidRPr="003E0220">
        <w:rPr>
          <w:rStyle w:val="af"/>
          <w:rFonts w:hint="cs"/>
          <w:rtl/>
        </w:rPr>
        <w:t xml:space="preserve">[ועיי"ש במה שביאר </w:t>
      </w:r>
      <w:r w:rsidRPr="00735214">
        <w:rPr>
          <w:rStyle w:val="aff9"/>
          <w:rFonts w:hint="cs"/>
          <w:vanish/>
          <w:rtl/>
        </w:rPr>
        <w:t>-</w:t>
      </w:r>
      <w:r w:rsidRPr="003E0220">
        <w:rPr>
          <w:rStyle w:val="aff9"/>
          <w:rFonts w:hint="cs"/>
          <w:rtl/>
        </w:rPr>
        <w:t>ה</w:t>
      </w:r>
      <w:r w:rsidRPr="00735214">
        <w:rPr>
          <w:rStyle w:val="aff9"/>
          <w:rFonts w:hint="cs"/>
          <w:vanish/>
          <w:rtl/>
        </w:rPr>
        <w:t>&lt; &gt;</w:t>
      </w:r>
      <w:r w:rsidRPr="003E0220">
        <w:rPr>
          <w:rStyle w:val="aff9"/>
          <w:rFonts w:hint="cs"/>
          <w:rtl/>
        </w:rPr>
        <w:t>דברי יחזקאל</w:t>
      </w:r>
      <w:r w:rsidRPr="00735214">
        <w:rPr>
          <w:rStyle w:val="aff9"/>
          <w:rFonts w:hint="cs"/>
          <w:vanish/>
          <w:rtl/>
        </w:rPr>
        <w:t>-</w:t>
      </w:r>
      <w:r w:rsidRPr="003E0220">
        <w:rPr>
          <w:rStyle w:val="af"/>
          <w:rFonts w:hint="cs"/>
          <w:rtl/>
        </w:rPr>
        <w:t xml:space="preserve"> </w:t>
      </w:r>
      <w:r w:rsidRPr="003E0220">
        <w:rPr>
          <w:rStyle w:val="aff0"/>
          <w:rtl/>
        </w:rPr>
        <w:t xml:space="preserve">(סי' ב' אות </w:t>
      </w:r>
      <w:r w:rsidRPr="003E0220">
        <w:rPr>
          <w:rStyle w:val="aff0"/>
          <w:rFonts w:hint="cs"/>
          <w:rtl/>
        </w:rPr>
        <w:t>ה</w:t>
      </w:r>
      <w:r w:rsidRPr="003E0220">
        <w:rPr>
          <w:rStyle w:val="aff0"/>
          <w:rtl/>
        </w:rPr>
        <w:t xml:space="preserve">' ד"ה </w:t>
      </w:r>
      <w:r w:rsidRPr="003E0220">
        <w:rPr>
          <w:rStyle w:val="aff0"/>
          <w:rFonts w:hint="cs"/>
          <w:rtl/>
        </w:rPr>
        <w:t>ואף דע"י</w:t>
      </w:r>
      <w:r w:rsidRPr="003E0220">
        <w:rPr>
          <w:rStyle w:val="aff0"/>
          <w:rtl/>
        </w:rPr>
        <w:t>)</w:t>
      </w:r>
      <w:r w:rsidRPr="00735214">
        <w:rPr>
          <w:rStyle w:val="af"/>
          <w:vanish/>
          <w:rtl/>
        </w:rPr>
        <w:t>=</w:t>
      </w:r>
      <w:r w:rsidRPr="003E0220">
        <w:rPr>
          <w:rStyle w:val="af"/>
          <w:rFonts w:hint="cs"/>
          <w:rtl/>
        </w:rPr>
        <w:t xml:space="preserve"> אמאי השמיט </w:t>
      </w:r>
      <w:r w:rsidRPr="00735214">
        <w:rPr>
          <w:rStyle w:val="aff9"/>
          <w:rFonts w:hint="cs"/>
          <w:vanish/>
          <w:rtl/>
        </w:rPr>
        <w:t>-</w:t>
      </w:r>
      <w:r w:rsidRPr="003E0220">
        <w:rPr>
          <w:rStyle w:val="aff9"/>
          <w:rFonts w:hint="cs"/>
          <w:rtl/>
        </w:rPr>
        <w:t>הרמב"ם</w:t>
      </w:r>
      <w:r w:rsidRPr="00735214">
        <w:rPr>
          <w:rStyle w:val="aff9"/>
          <w:rFonts w:hint="cs"/>
          <w:vanish/>
          <w:rtl/>
        </w:rPr>
        <w:t>-</w:t>
      </w:r>
      <w:r w:rsidRPr="003E0220">
        <w:rPr>
          <w:rStyle w:val="af"/>
          <w:rFonts w:hint="cs"/>
          <w:rtl/>
        </w:rPr>
        <w:t xml:space="preserve"> את דינא דר"ל דמותר לקנח בצרור</w:t>
      </w:r>
      <w:r w:rsidRPr="00735214">
        <w:rPr>
          <w:rStyle w:val="af"/>
          <w:rFonts w:hint="cs"/>
          <w:rtl/>
        </w:rPr>
        <w:t>].</w:t>
      </w:r>
    </w:p>
    <w:p w14:paraId="5CE21EA4" w14:textId="77777777" w:rsidR="00D31714" w:rsidRPr="00747170" w:rsidRDefault="00D31714" w:rsidP="00747170">
      <w:pPr>
        <w:pStyle w:val="a2"/>
        <w:rPr>
          <w:rtl/>
        </w:rPr>
      </w:pPr>
      <w:r w:rsidRPr="00747170">
        <w:rPr>
          <w:rtl/>
        </w:rPr>
        <w:t>ואף דע"י הגבהת הצרור מהקרקע מתמעט גם יניקת העשבים מהצרור דהרי מתמעט לחלוחית הצרור וא"כ ליחשב עדיין תולש דאורייתא בהגבהה לבד, ז"א דכה"ג לא מיקרי תולש כיון דאינו תולשן ממקום חיבורן, וכמו דולה מים מן הזרעים דלא מיקרי תולש אף דמשקה מים לזרעים חשיב זורע, ועוד דהיכא דעיקר התלישה הוא משום עוקר דבר ממקום גידולו אין לחייבו מטעם מיעוט יניקה גם לדעת הרמב"ם.</w:t>
      </w:r>
    </w:p>
    <w:bookmarkEnd w:id="1292"/>
    <w:p w14:paraId="69BE6B04" w14:textId="77777777" w:rsidR="00D31714" w:rsidRDefault="00D31714" w:rsidP="00747170">
      <w:pPr>
        <w:pStyle w:val="afffff5"/>
        <w:rPr>
          <w:rtl/>
        </w:rPr>
      </w:pPr>
      <w:r w:rsidRPr="0074537A">
        <w:rPr>
          <w:rtl/>
        </w:rPr>
        <w:t>ומה שהשמיט הרמב"ם לדינא דר"ל ובמ"מ (בפ"ח מהלכות שבת הל"ד) עמד ע"ז יעו"ש, נראה דהנה על מה שפירש"י בסוגיין דמותר לקנח, ולא חיישינן לתלישת עשבים מהצרור ע"י הקינוח משום דהו"ל דבר שאינו מתכוין ומותר דהלכה כר"ש יעו"ש, תמה על זה באו"ז הלכות שבת (סימן נ"ו) דהא הו"ל פסיק רישא דא"א שלא יתלשו העשבים ע"י הקינוח יעו"ש. ולכן נראה דמטעם זה פירש הרמב"ם דהיתרא דר"ל אינו מטעם דבר שאינו מתכוין כפירש"י, אלא דהוא מטעם מלאכה שאצל"ג כיון דאין צורך לו בתלישת עשבים, וס"ל כר"ש דמלאכה שאצל"ג פטור מה"ת ואינו אלא איסורא דרבנן, ומשו"ה מותר בשביל כבוד הבריות, וא"כ הרמב"ם דפסק (בפ"א מהלכות שבת) דמלאכה שאצל"ג חייב כר"י, והו"ל איסור תורה ומשו"ה השמיט היתרא דר"ל, ומה שהתיר הרמב"ם (בפ"ב הלכות שבת הל"ה) קינוח בצרור אף על פי שמשיר צרורות דדמי לטוחן, התם מותר מטעם שאינו מתכוין כיון דלא הוי פסיק רישא, ועיין במרכבת המשנה (פ"ח מהלכות שבת הל"ד) וברמב"ם (פ"א מהלכות שבת הל"ה) יעו"ש.</w:t>
      </w:r>
    </w:p>
    <w:p w14:paraId="491C78CE" w14:textId="77777777" w:rsidR="00D31714" w:rsidRDefault="00D31714" w:rsidP="00D31714">
      <w:pPr>
        <w:pStyle w:val="1"/>
        <w:rPr>
          <w:rtl/>
        </w:rPr>
      </w:pPr>
      <w:bookmarkStart w:id="1296" w:name="_Toc135670016"/>
      <w:r>
        <w:rPr>
          <w:rFonts w:hint="cs"/>
          <w:rtl/>
        </w:rPr>
        <w:t>בי' רבי ראובן דנחלקו הראשונים אי ע"ג יתדות הוי מחובר</w:t>
      </w:r>
      <w:bookmarkEnd w:id="1296"/>
    </w:p>
    <w:p w14:paraId="64535671" w14:textId="77777777" w:rsidR="00D31714" w:rsidRDefault="00D31714" w:rsidP="00D31714">
      <w:pPr>
        <w:pStyle w:val="afffff7"/>
      </w:pPr>
      <w:bookmarkStart w:id="1297" w:name="_Toc135513760"/>
      <w:bookmarkStart w:id="1298" w:name="_Toc135670283"/>
      <w:bookmarkStart w:id="1299" w:name="_Toc163505584"/>
      <w:r>
        <w:rPr>
          <w:rFonts w:hint="cs"/>
          <w:rtl/>
        </w:rPr>
        <w:t>חידושי רבי ראובן גיטין סי' ט' ד"ה וי"ל</w:t>
      </w:r>
      <w:bookmarkEnd w:id="1297"/>
      <w:bookmarkEnd w:id="1298"/>
      <w:bookmarkEnd w:id="1299"/>
    </w:p>
    <w:p w14:paraId="6C28248F" w14:textId="77777777" w:rsidR="00D31714" w:rsidRDefault="00D31714" w:rsidP="00D31714">
      <w:pPr>
        <w:pStyle w:val="a7"/>
      </w:pPr>
      <w:bookmarkStart w:id="1300" w:name="_Toc135513635"/>
      <w:bookmarkStart w:id="1301" w:name="_Toc135670017"/>
      <w:r>
        <w:rPr>
          <w:rFonts w:hint="cs"/>
          <w:rtl/>
        </w:rPr>
        <w:t xml:space="preserve">בי' רבי ראובן ברמב"ם </w:t>
      </w:r>
      <w:bookmarkEnd w:id="1300"/>
      <w:r>
        <w:rPr>
          <w:rFonts w:hint="cs"/>
          <w:rtl/>
        </w:rPr>
        <w:t>ובאו"ז דע"ג יתדות הוא מחובר ממש וחיוב תולש מדאו' דממעט יניקה</w:t>
      </w:r>
      <w:bookmarkEnd w:id="1301"/>
    </w:p>
    <w:p w14:paraId="5B0F7749" w14:textId="049B5CA0" w:rsidR="00D31714" w:rsidRPr="00B26F8D" w:rsidRDefault="00D31714" w:rsidP="00BC7DC8">
      <w:pPr>
        <w:pStyle w:val="a3"/>
        <w:rPr>
          <w:rtl/>
        </w:rPr>
      </w:pPr>
      <w:bookmarkStart w:id="1302" w:name="_Ref135165511"/>
      <w:r>
        <w:rPr>
          <w:rFonts w:hint="cs"/>
          <w:rtl/>
        </w:rPr>
        <w:t xml:space="preserve">במ"ש </w:t>
      </w:r>
      <w:r w:rsidRPr="001914AE">
        <w:rPr>
          <w:rStyle w:val="aff4"/>
          <w:rFonts w:hint="cs"/>
          <w:vanish/>
          <w:rtl/>
        </w:rPr>
        <w:t>--</w:t>
      </w:r>
      <w:r w:rsidRPr="00C65D8D">
        <w:rPr>
          <w:rStyle w:val="aff4"/>
          <w:rFonts w:hint="cs"/>
          <w:rtl/>
        </w:rPr>
        <w:t>הרמב"ם</w:t>
      </w:r>
      <w:r w:rsidRPr="001914AE">
        <w:rPr>
          <w:rStyle w:val="aff4"/>
          <w:rFonts w:hint="cs"/>
          <w:vanish/>
          <w:rtl/>
        </w:rPr>
        <w:t>-</w:t>
      </w:r>
      <w:r>
        <w:rPr>
          <w:rFonts w:hint="cs"/>
          <w:rtl/>
        </w:rPr>
        <w:t xml:space="preserve"> </w:t>
      </w:r>
      <w:bookmarkStart w:id="1303" w:name="_Hlk135167349"/>
      <w:r w:rsidRPr="00A3054F">
        <w:rPr>
          <w:rStyle w:val="af2"/>
          <w:rFonts w:eastAsia="Guttman Hodes" w:hint="cs"/>
          <w:rtl/>
        </w:rPr>
        <w:t>(עי' אות</w:t>
      </w:r>
      <w:r w:rsidRPr="00A3054F">
        <w:rPr>
          <w:rStyle w:val="af2"/>
          <w:rFonts w:eastAsia="Guttman Hodes"/>
          <w:rtl/>
        </w:rPr>
        <w:t xml:space="preserve"> </w:t>
      </w:r>
      <w:r w:rsidRPr="00A3054F">
        <w:rPr>
          <w:rStyle w:val="af2"/>
          <w:rFonts w:eastAsia="Guttman Hodes"/>
          <w:rtl/>
        </w:rPr>
        <w:fldChar w:fldCharType="begin"/>
      </w:r>
      <w:r w:rsidRPr="00A3054F">
        <w:rPr>
          <w:rStyle w:val="af2"/>
          <w:rFonts w:eastAsia="Guttman Hodes"/>
          <w:rtl/>
        </w:rPr>
        <w:instrText xml:space="preserve"> </w:instrText>
      </w:r>
      <w:r w:rsidRPr="00A3054F">
        <w:rPr>
          <w:rStyle w:val="af2"/>
          <w:rFonts w:eastAsia="Guttman Hodes" w:hint="cs"/>
        </w:rPr>
        <w:instrText>REF</w:instrText>
      </w:r>
      <w:r w:rsidRPr="00A3054F">
        <w:rPr>
          <w:rStyle w:val="af2"/>
          <w:rFonts w:eastAsia="Guttman Hodes" w:hint="cs"/>
          <w:rtl/>
        </w:rPr>
        <w:instrText xml:space="preserve"> _</w:instrText>
      </w:r>
      <w:r w:rsidRPr="00A3054F">
        <w:rPr>
          <w:rStyle w:val="af2"/>
          <w:rFonts w:eastAsia="Guttman Hodes" w:hint="cs"/>
        </w:rPr>
        <w:instrText>Ref134736415 \r \h</w:instrText>
      </w:r>
      <w:r w:rsidRPr="00A3054F">
        <w:rPr>
          <w:rStyle w:val="af2"/>
          <w:rFonts w:eastAsia="Guttman Hodes"/>
          <w:rtl/>
        </w:rPr>
        <w:instrText xml:space="preserve"> </w:instrText>
      </w:r>
      <w:r w:rsidRPr="00A3054F">
        <w:rPr>
          <w:rStyle w:val="af2"/>
          <w:rFonts w:eastAsia="Guttman Hodes"/>
          <w:rtl/>
        </w:rPr>
      </w:r>
      <w:r w:rsidRPr="00A3054F">
        <w:rPr>
          <w:rStyle w:val="af2"/>
          <w:rFonts w:eastAsia="Guttman Hodes"/>
          <w:rtl/>
        </w:rPr>
        <w:fldChar w:fldCharType="separate"/>
      </w:r>
      <w:r w:rsidR="00D82181">
        <w:rPr>
          <w:rStyle w:val="af2"/>
          <w:rFonts w:eastAsia="Guttman Hodes"/>
          <w:cs/>
        </w:rPr>
        <w:t>‎</w:t>
      </w:r>
      <w:r w:rsidR="00D82181">
        <w:rPr>
          <w:rStyle w:val="af2"/>
          <w:rFonts w:eastAsia="Guttman Hodes"/>
          <w:rtl/>
        </w:rPr>
        <w:t>מ)</w:t>
      </w:r>
      <w:r w:rsidRPr="00A3054F">
        <w:rPr>
          <w:rStyle w:val="af2"/>
          <w:rFonts w:eastAsia="Guttman Hodes"/>
          <w:rtl/>
        </w:rPr>
        <w:fldChar w:fldCharType="end"/>
      </w:r>
      <w:bookmarkEnd w:id="1303"/>
      <w:r>
        <w:rPr>
          <w:rFonts w:hint="cs"/>
          <w:rtl/>
        </w:rPr>
        <w:t xml:space="preserve"> דגבשושית של עפר יש בה חיוב תולש דאו', עי' במ</w:t>
      </w:r>
      <w:r w:rsidRPr="001914AE">
        <w:rPr>
          <w:rFonts w:hint="cs"/>
          <w:rtl/>
        </w:rPr>
        <w:t>"</w:t>
      </w:r>
      <w:r>
        <w:rPr>
          <w:rFonts w:hint="cs"/>
          <w:rtl/>
        </w:rPr>
        <w:t xml:space="preserve">ש </w:t>
      </w:r>
      <w:r w:rsidRPr="001914AE">
        <w:rPr>
          <w:rStyle w:val="aff4"/>
          <w:rFonts w:hint="cs"/>
          <w:vanish/>
          <w:rtl/>
        </w:rPr>
        <w:t>-</w:t>
      </w:r>
      <w:r w:rsidRPr="00610487">
        <w:rPr>
          <w:rStyle w:val="aff4"/>
          <w:rFonts w:hint="cs"/>
          <w:rtl/>
        </w:rPr>
        <w:t>ב</w:t>
      </w:r>
      <w:r w:rsidRPr="001914AE">
        <w:rPr>
          <w:rStyle w:val="aff4"/>
          <w:rFonts w:hint="cs"/>
          <w:vanish/>
          <w:rtl/>
        </w:rPr>
        <w:t xml:space="preserve">&lt;. </w:t>
      </w:r>
      <w:r w:rsidRPr="001914AE">
        <w:rPr>
          <w:rStyle w:val="aff4"/>
          <w:vanish/>
          <w:rtl/>
        </w:rPr>
        <w:fldChar w:fldCharType="begin"/>
      </w:r>
      <w:r w:rsidRPr="001914AE">
        <w:rPr>
          <w:rStyle w:val="aff4"/>
          <w:vanish/>
          <w:rtl/>
        </w:rPr>
        <w:instrText xml:space="preserve"> </w:instrText>
      </w:r>
      <w:r w:rsidRPr="001914AE">
        <w:rPr>
          <w:rStyle w:val="aff4"/>
          <w:rFonts w:hint="cs"/>
          <w:vanish/>
        </w:rPr>
        <w:instrText>REF</w:instrText>
      </w:r>
      <w:r w:rsidRPr="001914AE">
        <w:rPr>
          <w:rStyle w:val="aff4"/>
          <w:rFonts w:hint="cs"/>
          <w:vanish/>
          <w:rtl/>
        </w:rPr>
        <w:instrText xml:space="preserve"> _</w:instrText>
      </w:r>
      <w:r w:rsidRPr="001914AE">
        <w:rPr>
          <w:rStyle w:val="aff4"/>
          <w:rFonts w:hint="cs"/>
          <w:vanish/>
        </w:rPr>
        <w:instrText>Ref135165511 \r \h</w:instrText>
      </w:r>
      <w:r w:rsidRPr="001914AE">
        <w:rPr>
          <w:rStyle w:val="aff4"/>
          <w:vanish/>
          <w:rtl/>
        </w:rPr>
        <w:instrText xml:space="preserve"> </w:instrText>
      </w:r>
      <w:r w:rsidRPr="001914AE">
        <w:rPr>
          <w:rStyle w:val="aff4"/>
          <w:vanish/>
          <w:rtl/>
        </w:rPr>
      </w:r>
      <w:r w:rsidRPr="001914AE">
        <w:rPr>
          <w:rStyle w:val="aff4"/>
          <w:vanish/>
          <w:rtl/>
        </w:rPr>
        <w:fldChar w:fldCharType="separate"/>
      </w:r>
      <w:r w:rsidR="00D82181">
        <w:rPr>
          <w:rStyle w:val="aff4"/>
          <w:vanish/>
          <w:cs/>
        </w:rPr>
        <w:t>‎</w:t>
      </w:r>
      <w:r w:rsidR="00D82181">
        <w:rPr>
          <w:rStyle w:val="aff4"/>
          <w:vanish/>
          <w:rtl/>
        </w:rPr>
        <w:t>עד)</w:t>
      </w:r>
      <w:r w:rsidRPr="001914AE">
        <w:rPr>
          <w:rStyle w:val="aff4"/>
          <w:vanish/>
          <w:rtl/>
        </w:rPr>
        <w:fldChar w:fldCharType="end"/>
      </w:r>
      <w:r w:rsidRPr="001914AE">
        <w:rPr>
          <w:rStyle w:val="aff4"/>
          <w:rFonts w:hint="cs"/>
          <w:vanish/>
          <w:rtl/>
        </w:rPr>
        <w:t xml:space="preserve"> &gt;</w:t>
      </w:r>
      <w:r w:rsidRPr="00610487">
        <w:rPr>
          <w:rStyle w:val="aff4"/>
          <w:rFonts w:hint="cs"/>
          <w:rtl/>
        </w:rPr>
        <w:t>חי' רבי ראובן בגיטין</w:t>
      </w:r>
      <w:r w:rsidRPr="001914AE">
        <w:rPr>
          <w:rStyle w:val="aff4"/>
          <w:rFonts w:hint="cs"/>
          <w:vanish/>
          <w:rtl/>
        </w:rPr>
        <w:t>-</w:t>
      </w:r>
      <w:bookmarkEnd w:id="1302"/>
      <w:r>
        <w:rPr>
          <w:rFonts w:hint="cs"/>
          <w:rtl/>
        </w:rPr>
        <w:t xml:space="preserve"> </w:t>
      </w:r>
      <w:r w:rsidRPr="00A3054F">
        <w:rPr>
          <w:rStyle w:val="af2"/>
          <w:rFonts w:eastAsia="Guttman Hodes" w:hint="cs"/>
          <w:rtl/>
        </w:rPr>
        <w:t>(סי' ט' ד"ה וי"ל</w:t>
      </w:r>
      <w:r w:rsidRPr="00735214">
        <w:rPr>
          <w:rStyle w:val="af2"/>
          <w:rFonts w:eastAsia="Guttman Hodes" w:hint="cs"/>
          <w:vanish/>
          <w:rtl/>
        </w:rPr>
        <w:t>=</w:t>
      </w:r>
      <w:r w:rsidRPr="00A3054F">
        <w:rPr>
          <w:rStyle w:val="af2"/>
          <w:rFonts w:eastAsia="Guttman Hodes" w:hint="cs"/>
          <w:rtl/>
        </w:rPr>
        <w:t>, הובא בסימן ד' אות ק"ג)</w:t>
      </w:r>
      <w:r w:rsidRPr="00735214">
        <w:rPr>
          <w:rFonts w:hint="cs"/>
          <w:vanish/>
          <w:rtl/>
        </w:rPr>
        <w:t>=</w:t>
      </w:r>
      <w:r>
        <w:rPr>
          <w:rFonts w:hint="cs"/>
          <w:rtl/>
        </w:rPr>
        <w:t xml:space="preserve"> דס"ל </w:t>
      </w:r>
      <w:r w:rsidRPr="001914AE">
        <w:rPr>
          <w:rStyle w:val="aff4"/>
          <w:rFonts w:hint="cs"/>
          <w:vanish/>
          <w:rtl/>
        </w:rPr>
        <w:t>-</w:t>
      </w:r>
      <w:r w:rsidRPr="00610487">
        <w:rPr>
          <w:rStyle w:val="aff4"/>
          <w:rFonts w:hint="cs"/>
          <w:rtl/>
        </w:rPr>
        <w:t>להרמב"ם</w:t>
      </w:r>
      <w:r w:rsidRPr="001914AE">
        <w:rPr>
          <w:rStyle w:val="aff4"/>
          <w:rFonts w:hint="cs"/>
          <w:vanish/>
          <w:rtl/>
        </w:rPr>
        <w:t>-</w:t>
      </w:r>
      <w:r>
        <w:rPr>
          <w:rFonts w:hint="cs"/>
          <w:rtl/>
        </w:rPr>
        <w:t xml:space="preserve"> דאף ע"ג יתידות חשיב העציץ כמחובר, ואפ"ה כשהגביהו מע"ג הקרקע והניחו ע"ג יתדות חייב משום תולש, כיון דהוא ממעט את היניקה, וכ"כ </w:t>
      </w:r>
      <w:r w:rsidRPr="00DE1AA0">
        <w:rPr>
          <w:rStyle w:val="aff4"/>
          <w:rFonts w:hint="cs"/>
          <w:vanish/>
          <w:rtl/>
        </w:rPr>
        <w:t>-</w:t>
      </w:r>
      <w:r w:rsidRPr="00DB6BF0">
        <w:rPr>
          <w:rStyle w:val="aff4"/>
          <w:rFonts w:hint="cs"/>
          <w:rtl/>
        </w:rPr>
        <w:t>הזכר יצחק</w:t>
      </w:r>
      <w:r w:rsidRPr="00DE1AA0">
        <w:rPr>
          <w:rStyle w:val="aff4"/>
          <w:rFonts w:hint="cs"/>
          <w:vanish/>
          <w:rtl/>
        </w:rPr>
        <w:t>-</w:t>
      </w:r>
      <w:r>
        <w:rPr>
          <w:rFonts w:hint="cs"/>
          <w:rtl/>
        </w:rPr>
        <w:t xml:space="preserve"> </w:t>
      </w:r>
      <w:r w:rsidRPr="00A3054F">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Ref135342847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סה)</w:t>
      </w:r>
      <w:r>
        <w:rPr>
          <w:rStyle w:val="af2"/>
          <w:rFonts w:eastAsia="Guttman Hodes"/>
          <w:rtl/>
        </w:rPr>
        <w:fldChar w:fldCharType="end"/>
      </w:r>
      <w:r>
        <w:rPr>
          <w:rFonts w:hint="cs"/>
          <w:rtl/>
        </w:rPr>
        <w:t xml:space="preserve">, והוסיף </w:t>
      </w:r>
      <w:r w:rsidRPr="001914AE">
        <w:rPr>
          <w:rStyle w:val="aff4"/>
          <w:rFonts w:hint="cs"/>
          <w:vanish/>
          <w:rtl/>
        </w:rPr>
        <w:t>-</w:t>
      </w:r>
      <w:r w:rsidRPr="00610487">
        <w:rPr>
          <w:rStyle w:val="aff4"/>
          <w:rFonts w:hint="cs"/>
          <w:rtl/>
        </w:rPr>
        <w:t>בחי' רבי ראובן</w:t>
      </w:r>
      <w:r w:rsidRPr="001914AE">
        <w:rPr>
          <w:rStyle w:val="aff4"/>
          <w:rFonts w:hint="cs"/>
          <w:vanish/>
          <w:rtl/>
        </w:rPr>
        <w:t>-</w:t>
      </w:r>
      <w:r>
        <w:rPr>
          <w:rFonts w:hint="cs"/>
          <w:rtl/>
        </w:rPr>
        <w:t xml:space="preserve"> דכן הביאו במ</w:t>
      </w:r>
      <w:r w:rsidRPr="001914AE">
        <w:rPr>
          <w:rFonts w:hint="cs"/>
          <w:rtl/>
        </w:rPr>
        <w:t>"</w:t>
      </w:r>
      <w:r>
        <w:rPr>
          <w:rFonts w:hint="cs"/>
          <w:rtl/>
        </w:rPr>
        <w:t xml:space="preserve">ש </w:t>
      </w:r>
      <w:r w:rsidRPr="001914AE">
        <w:rPr>
          <w:rStyle w:val="aff4"/>
          <w:rFonts w:hint="cs"/>
          <w:vanish/>
          <w:rtl/>
        </w:rPr>
        <w:t>-</w:t>
      </w:r>
      <w:r w:rsidRPr="00610487">
        <w:rPr>
          <w:rStyle w:val="aff4"/>
          <w:rFonts w:hint="cs"/>
          <w:rtl/>
        </w:rPr>
        <w:t>האו"ז</w:t>
      </w:r>
      <w:r w:rsidRPr="001914AE">
        <w:rPr>
          <w:rStyle w:val="aff4"/>
          <w:rFonts w:hint="cs"/>
          <w:vanish/>
          <w:rtl/>
        </w:rPr>
        <w:t>-</w:t>
      </w:r>
      <w:r w:rsidRPr="00610487">
        <w:rPr>
          <w:rStyle w:val="aff4"/>
          <w:rFonts w:hint="cs"/>
          <w:rtl/>
        </w:rPr>
        <w:t xml:space="preserve"> </w:t>
      </w:r>
      <w:r w:rsidRPr="00A3054F">
        <w:rPr>
          <w:rStyle w:val="af2"/>
          <w:rFonts w:eastAsia="Guttman Hodes" w:hint="cs"/>
          <w:rtl/>
        </w:rPr>
        <w:t xml:space="preserve">(עי' אות </w:t>
      </w:r>
      <w:r w:rsidRPr="00A3054F">
        <w:rPr>
          <w:rStyle w:val="af2"/>
          <w:rFonts w:eastAsia="Guttman Hodes"/>
          <w:rtl/>
        </w:rPr>
        <w:fldChar w:fldCharType="begin"/>
      </w:r>
      <w:r w:rsidRPr="00A3054F">
        <w:rPr>
          <w:rStyle w:val="af2"/>
          <w:rFonts w:eastAsia="Guttman Hodes"/>
          <w:rtl/>
        </w:rPr>
        <w:instrText xml:space="preserve"> </w:instrText>
      </w:r>
      <w:r w:rsidRPr="00A3054F">
        <w:rPr>
          <w:rStyle w:val="af2"/>
          <w:rFonts w:eastAsia="Guttman Hodes" w:hint="cs"/>
        </w:rPr>
        <w:instrText>REF</w:instrText>
      </w:r>
      <w:r w:rsidRPr="00A3054F">
        <w:rPr>
          <w:rStyle w:val="af2"/>
          <w:rFonts w:eastAsia="Guttman Hodes" w:hint="cs"/>
          <w:rtl/>
        </w:rPr>
        <w:instrText xml:space="preserve"> _</w:instrText>
      </w:r>
      <w:r w:rsidRPr="00A3054F">
        <w:rPr>
          <w:rStyle w:val="af2"/>
          <w:rFonts w:eastAsia="Guttman Hodes" w:hint="cs"/>
        </w:rPr>
        <w:instrText>Ref135126973 \r \h</w:instrText>
      </w:r>
      <w:r w:rsidRPr="00A3054F">
        <w:rPr>
          <w:rStyle w:val="af2"/>
          <w:rFonts w:eastAsia="Guttman Hodes"/>
          <w:rtl/>
        </w:rPr>
        <w:instrText xml:space="preserve"> </w:instrText>
      </w:r>
      <w:r w:rsidRPr="00A3054F">
        <w:rPr>
          <w:rStyle w:val="af2"/>
          <w:rFonts w:eastAsia="Guttman Hodes"/>
          <w:rtl/>
        </w:rPr>
      </w:r>
      <w:r w:rsidRPr="00A3054F">
        <w:rPr>
          <w:rStyle w:val="af2"/>
          <w:rFonts w:eastAsia="Guttman Hodes"/>
          <w:rtl/>
        </w:rPr>
        <w:fldChar w:fldCharType="separate"/>
      </w:r>
      <w:r w:rsidR="00D82181">
        <w:rPr>
          <w:rStyle w:val="af2"/>
          <w:rFonts w:eastAsia="Guttman Hodes"/>
          <w:cs/>
        </w:rPr>
        <w:t>‎</w:t>
      </w:r>
      <w:r w:rsidR="00D82181">
        <w:rPr>
          <w:rStyle w:val="af2"/>
          <w:rFonts w:eastAsia="Guttman Hodes"/>
          <w:rtl/>
        </w:rPr>
        <w:t>מו)</w:t>
      </w:r>
      <w:r w:rsidRPr="00A3054F">
        <w:rPr>
          <w:rStyle w:val="af2"/>
          <w:rFonts w:eastAsia="Guttman Hodes"/>
          <w:rtl/>
        </w:rPr>
        <w:fldChar w:fldCharType="end"/>
      </w:r>
      <w:bookmarkStart w:id="1304" w:name="_Ref135414582"/>
      <w:r>
        <w:rPr>
          <w:rFonts w:hint="cs"/>
          <w:rtl/>
        </w:rPr>
        <w:t xml:space="preserve"> </w:t>
      </w:r>
      <w:r w:rsidRPr="001914AE">
        <w:rPr>
          <w:rStyle w:val="aff4"/>
          <w:rFonts w:hint="cs"/>
          <w:vanish/>
          <w:rtl/>
        </w:rPr>
        <w:t>-</w:t>
      </w:r>
      <w:r>
        <w:rPr>
          <w:rStyle w:val="aff4"/>
          <w:rFonts w:hint="cs"/>
          <w:rtl/>
        </w:rPr>
        <w:t>ו</w:t>
      </w:r>
      <w:r w:rsidRPr="00610487">
        <w:rPr>
          <w:rStyle w:val="aff4"/>
          <w:rFonts w:hint="cs"/>
          <w:rtl/>
        </w:rPr>
        <w:t>המרכבת המשנה</w:t>
      </w:r>
      <w:r w:rsidRPr="001914AE">
        <w:rPr>
          <w:rStyle w:val="aff4"/>
          <w:rFonts w:hint="cs"/>
          <w:vanish/>
          <w:rtl/>
        </w:rPr>
        <w:t>-</w:t>
      </w:r>
      <w:r>
        <w:rPr>
          <w:rFonts w:hint="cs"/>
          <w:rtl/>
        </w:rPr>
        <w:t xml:space="preserve"> </w:t>
      </w:r>
      <w:r w:rsidRPr="00A3054F">
        <w:rPr>
          <w:rStyle w:val="af2"/>
          <w:rFonts w:eastAsia="Guttman Hodes" w:hint="cs"/>
          <w:rtl/>
        </w:rPr>
        <w:t xml:space="preserve">(עי' אות </w:t>
      </w:r>
      <w:r w:rsidRPr="00A3054F">
        <w:rPr>
          <w:rStyle w:val="af2"/>
          <w:rFonts w:eastAsia="Guttman Hodes"/>
          <w:rtl/>
        </w:rPr>
        <w:fldChar w:fldCharType="begin"/>
      </w:r>
      <w:r w:rsidRPr="00A3054F">
        <w:rPr>
          <w:rStyle w:val="af2"/>
          <w:rFonts w:eastAsia="Guttman Hodes"/>
          <w:rtl/>
        </w:rPr>
        <w:instrText xml:space="preserve"> </w:instrText>
      </w:r>
      <w:r w:rsidRPr="00A3054F">
        <w:rPr>
          <w:rStyle w:val="af2"/>
          <w:rFonts w:eastAsia="Guttman Hodes" w:hint="cs"/>
        </w:rPr>
        <w:instrText>REF</w:instrText>
      </w:r>
      <w:r w:rsidRPr="00A3054F">
        <w:rPr>
          <w:rStyle w:val="af2"/>
          <w:rFonts w:eastAsia="Guttman Hodes" w:hint="cs"/>
          <w:rtl/>
        </w:rPr>
        <w:instrText xml:space="preserve"> _</w:instrText>
      </w:r>
      <w:r w:rsidRPr="00A3054F">
        <w:rPr>
          <w:rStyle w:val="af2"/>
          <w:rFonts w:eastAsia="Guttman Hodes" w:hint="cs"/>
        </w:rPr>
        <w:instrText>Ref135340655 \r \h</w:instrText>
      </w:r>
      <w:r w:rsidRPr="00A3054F">
        <w:rPr>
          <w:rStyle w:val="af2"/>
          <w:rFonts w:eastAsia="Guttman Hodes"/>
          <w:rtl/>
        </w:rPr>
        <w:instrText xml:space="preserve"> </w:instrText>
      </w:r>
      <w:r w:rsidRPr="00A3054F">
        <w:rPr>
          <w:rStyle w:val="af2"/>
          <w:rFonts w:eastAsia="Guttman Hodes"/>
          <w:rtl/>
        </w:rPr>
      </w:r>
      <w:r w:rsidRPr="00A3054F">
        <w:rPr>
          <w:rStyle w:val="af2"/>
          <w:rFonts w:eastAsia="Guttman Hodes"/>
          <w:rtl/>
        </w:rPr>
        <w:fldChar w:fldCharType="separate"/>
      </w:r>
      <w:r w:rsidR="00D82181">
        <w:rPr>
          <w:rStyle w:val="af2"/>
          <w:rFonts w:eastAsia="Guttman Hodes"/>
          <w:cs/>
        </w:rPr>
        <w:t>‎</w:t>
      </w:r>
      <w:r w:rsidR="00D82181">
        <w:rPr>
          <w:rStyle w:val="af2"/>
          <w:rFonts w:eastAsia="Guttman Hodes"/>
          <w:rtl/>
        </w:rPr>
        <w:t>מה)</w:t>
      </w:r>
      <w:r w:rsidRPr="00A3054F">
        <w:rPr>
          <w:rStyle w:val="af2"/>
          <w:rFonts w:eastAsia="Guttman Hodes"/>
          <w:rtl/>
        </w:rPr>
        <w:fldChar w:fldCharType="end"/>
      </w:r>
      <w:r>
        <w:rPr>
          <w:rFonts w:hint="cs"/>
          <w:rtl/>
        </w:rPr>
        <w:t xml:space="preserve"> דכשהגביה את העציץ רק לשעה וחזר והניחו ע"ג הקרקע, אין בזה איסור תולש, ביאר </w:t>
      </w:r>
      <w:r w:rsidRPr="001914AE">
        <w:rPr>
          <w:rStyle w:val="aff4"/>
          <w:rFonts w:hint="cs"/>
          <w:vanish/>
          <w:rtl/>
        </w:rPr>
        <w:t>-</w:t>
      </w:r>
      <w:r w:rsidRPr="00610487">
        <w:rPr>
          <w:rStyle w:val="aff4"/>
          <w:rFonts w:hint="cs"/>
          <w:rtl/>
        </w:rPr>
        <w:t>בחי' רבי ראובן</w:t>
      </w:r>
      <w:r w:rsidRPr="001914AE">
        <w:rPr>
          <w:rStyle w:val="aff4"/>
          <w:rFonts w:hint="cs"/>
          <w:vanish/>
          <w:rtl/>
        </w:rPr>
        <w:t>-</w:t>
      </w:r>
      <w:r>
        <w:rPr>
          <w:rFonts w:hint="cs"/>
          <w:rtl/>
        </w:rPr>
        <w:t xml:space="preserve"> דכוונתו לומר דאף ע"ג היתדות העציץ חשיב כמחובר, והא דחייב משום תולש הוא כיון דמקליש את היניקה</w:t>
      </w:r>
      <w:bookmarkEnd w:id="1304"/>
      <w:r w:rsidRPr="00B26F8D">
        <w:rPr>
          <w:rFonts w:hint="cs"/>
          <w:rtl/>
        </w:rPr>
        <w:t xml:space="preserve">. </w:t>
      </w:r>
      <w:r w:rsidRPr="00B26F8D">
        <w:rPr>
          <w:rStyle w:val="af"/>
          <w:rFonts w:hint="cs"/>
          <w:rtl/>
        </w:rPr>
        <w:t xml:space="preserve">[אך כתב </w:t>
      </w:r>
      <w:r w:rsidRPr="00B26F8D">
        <w:rPr>
          <w:rStyle w:val="aff9"/>
          <w:rFonts w:hint="cs"/>
          <w:vanish/>
          <w:rtl/>
        </w:rPr>
        <w:t>-</w:t>
      </w:r>
      <w:r w:rsidRPr="00B26F8D">
        <w:rPr>
          <w:rStyle w:val="aff9"/>
          <w:rFonts w:hint="cs"/>
          <w:rtl/>
        </w:rPr>
        <w:t>בחי' רבי ראובן בגיטין</w:t>
      </w:r>
      <w:r w:rsidRPr="00B26F8D">
        <w:rPr>
          <w:rStyle w:val="aff9"/>
          <w:rFonts w:hint="cs"/>
          <w:vanish/>
          <w:rtl/>
        </w:rPr>
        <w:t>-</w:t>
      </w:r>
      <w:r w:rsidRPr="00B26F8D">
        <w:rPr>
          <w:rStyle w:val="af"/>
          <w:rFonts w:hint="cs"/>
          <w:rtl/>
        </w:rPr>
        <w:t xml:space="preserve"> </w:t>
      </w:r>
      <w:r w:rsidRPr="00B26F8D">
        <w:rPr>
          <w:rStyle w:val="aff0"/>
          <w:rFonts w:hint="cs"/>
          <w:rtl/>
        </w:rPr>
        <w:t>(סי' ט' ד"ה אבל)</w:t>
      </w:r>
      <w:r w:rsidRPr="00B26F8D">
        <w:rPr>
          <w:rStyle w:val="af"/>
          <w:rFonts w:hint="cs"/>
          <w:rtl/>
        </w:rPr>
        <w:t xml:space="preserve"> דבדברי </w:t>
      </w:r>
      <w:r w:rsidRPr="00B26F8D">
        <w:rPr>
          <w:rStyle w:val="aff9"/>
          <w:rFonts w:hint="cs"/>
          <w:vanish/>
          <w:rtl/>
        </w:rPr>
        <w:t>-</w:t>
      </w:r>
      <w:r w:rsidRPr="00B26F8D">
        <w:rPr>
          <w:rStyle w:val="aff9"/>
          <w:rFonts w:hint="cs"/>
          <w:rtl/>
        </w:rPr>
        <w:t>המ"מ</w:t>
      </w:r>
      <w:r w:rsidRPr="00B26F8D">
        <w:rPr>
          <w:rStyle w:val="aff9"/>
          <w:rFonts w:hint="cs"/>
          <w:vanish/>
          <w:rtl/>
        </w:rPr>
        <w:t>-</w:t>
      </w:r>
      <w:r w:rsidRPr="00B26F8D">
        <w:rPr>
          <w:rStyle w:val="af"/>
          <w:rFonts w:hint="cs"/>
          <w:rtl/>
        </w:rPr>
        <w:t xml:space="preserve"> </w:t>
      </w:r>
      <w:r w:rsidRPr="00B26F8D">
        <w:rPr>
          <w:rStyle w:val="aff0"/>
          <w:rFonts w:hint="cs"/>
          <w:rtl/>
        </w:rPr>
        <w:t xml:space="preserve">(עי' אות </w:t>
      </w:r>
      <w:r w:rsidRPr="00B26F8D">
        <w:rPr>
          <w:rStyle w:val="aff0"/>
          <w:rtl/>
        </w:rPr>
        <w:fldChar w:fldCharType="begin"/>
      </w:r>
      <w:r w:rsidRPr="00B26F8D">
        <w:rPr>
          <w:rStyle w:val="aff0"/>
          <w:rtl/>
        </w:rPr>
        <w:instrText xml:space="preserve"> </w:instrText>
      </w:r>
      <w:r w:rsidRPr="00B26F8D">
        <w:rPr>
          <w:rStyle w:val="aff0"/>
          <w:rFonts w:hint="cs"/>
        </w:rPr>
        <w:instrText>REF</w:instrText>
      </w:r>
      <w:r w:rsidRPr="00B26F8D">
        <w:rPr>
          <w:rStyle w:val="aff0"/>
          <w:rFonts w:hint="cs"/>
          <w:rtl/>
        </w:rPr>
        <w:instrText xml:space="preserve"> _</w:instrText>
      </w:r>
      <w:r w:rsidRPr="00B26F8D">
        <w:rPr>
          <w:rStyle w:val="aff0"/>
          <w:rFonts w:hint="cs"/>
        </w:rPr>
        <w:instrText>Ref135064813 \r \h</w:instrText>
      </w:r>
      <w:r w:rsidRPr="00B26F8D">
        <w:rPr>
          <w:rStyle w:val="aff0"/>
          <w:rtl/>
        </w:rPr>
        <w:instrText xml:space="preserve"> </w:instrText>
      </w:r>
      <w:r>
        <w:rPr>
          <w:rStyle w:val="aff0"/>
          <w:rtl/>
        </w:rPr>
        <w:instrText xml:space="preserve"> \* </w:instrText>
      </w:r>
      <w:r>
        <w:rPr>
          <w:rStyle w:val="aff0"/>
        </w:rPr>
        <w:instrText>MERGEFORMAT</w:instrText>
      </w:r>
      <w:r>
        <w:rPr>
          <w:rStyle w:val="aff0"/>
          <w:rtl/>
        </w:rPr>
        <w:instrText xml:space="preserve"> </w:instrText>
      </w:r>
      <w:r w:rsidRPr="00B26F8D">
        <w:rPr>
          <w:rStyle w:val="aff0"/>
          <w:rtl/>
        </w:rPr>
      </w:r>
      <w:r w:rsidRPr="00B26F8D">
        <w:rPr>
          <w:rStyle w:val="aff0"/>
          <w:rtl/>
        </w:rPr>
        <w:fldChar w:fldCharType="separate"/>
      </w:r>
      <w:r w:rsidR="00D82181">
        <w:rPr>
          <w:rStyle w:val="aff0"/>
          <w:cs/>
        </w:rPr>
        <w:t>‎</w:t>
      </w:r>
      <w:r w:rsidR="00D82181">
        <w:rPr>
          <w:rStyle w:val="aff0"/>
          <w:rtl/>
        </w:rPr>
        <w:t>מא)</w:t>
      </w:r>
      <w:r w:rsidRPr="00B26F8D">
        <w:rPr>
          <w:rStyle w:val="aff0"/>
          <w:rtl/>
        </w:rPr>
        <w:fldChar w:fldCharType="end"/>
      </w:r>
      <w:r w:rsidRPr="00B26F8D">
        <w:rPr>
          <w:rStyle w:val="af"/>
          <w:rFonts w:hint="cs"/>
          <w:rtl/>
        </w:rPr>
        <w:t xml:space="preserve"> משמע דס"ל </w:t>
      </w:r>
      <w:r w:rsidRPr="00B26F8D">
        <w:rPr>
          <w:rStyle w:val="aff9"/>
          <w:rFonts w:hint="cs"/>
          <w:vanish/>
          <w:rtl/>
        </w:rPr>
        <w:t>-</w:t>
      </w:r>
      <w:r w:rsidRPr="00B26F8D">
        <w:rPr>
          <w:rStyle w:val="aff9"/>
          <w:rFonts w:hint="cs"/>
          <w:rtl/>
        </w:rPr>
        <w:t>להרמב"ם</w:t>
      </w:r>
      <w:r w:rsidRPr="00B26F8D">
        <w:rPr>
          <w:rStyle w:val="aff9"/>
          <w:rFonts w:hint="cs"/>
          <w:vanish/>
          <w:rtl/>
        </w:rPr>
        <w:t>-</w:t>
      </w:r>
      <w:r w:rsidRPr="00B26F8D">
        <w:rPr>
          <w:rStyle w:val="af"/>
          <w:rFonts w:hint="cs"/>
          <w:rtl/>
        </w:rPr>
        <w:t xml:space="preserve"> דע"ג יתדות אינו מחובר].</w:t>
      </w:r>
    </w:p>
    <w:p w14:paraId="7B6016BD" w14:textId="77777777" w:rsidR="00D31714" w:rsidRPr="00747170" w:rsidRDefault="00D31714" w:rsidP="00747170">
      <w:pPr>
        <w:pStyle w:val="a2"/>
        <w:rPr>
          <w:rtl/>
        </w:rPr>
      </w:pPr>
    </w:p>
    <w:p w14:paraId="30554E17" w14:textId="77777777" w:rsidR="00D31714" w:rsidRPr="0074537A" w:rsidRDefault="00D31714" w:rsidP="00747170">
      <w:pPr>
        <w:pStyle w:val="afffff5"/>
        <w:rPr>
          <w:rtl/>
        </w:rPr>
      </w:pPr>
      <w:r w:rsidRPr="0074537A">
        <w:rPr>
          <w:noProof/>
          <w:rtl/>
        </w:rPr>
        <w:drawing>
          <wp:inline distT="0" distB="0" distL="0" distR="0" wp14:anchorId="5F8A89FF" wp14:editId="60DCEBA7">
            <wp:extent cx="3140534" cy="2358602"/>
            <wp:effectExtent l="0" t="0" r="3175" b="3810"/>
            <wp:docPr id="13"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t="27485" b="42186"/>
                    <a:stretch/>
                  </pic:blipFill>
                  <pic:spPr bwMode="auto">
                    <a:xfrm>
                      <a:off x="0" y="0"/>
                      <a:ext cx="3142615" cy="2360165"/>
                    </a:xfrm>
                    <a:prstGeom prst="rect">
                      <a:avLst/>
                    </a:prstGeom>
                    <a:ln>
                      <a:noFill/>
                    </a:ln>
                    <a:extLst>
                      <a:ext uri="{53640926-AAD7-44D8-BBD7-CCE9431645EC}">
                        <a14:shadowObscured xmlns:a14="http://schemas.microsoft.com/office/drawing/2010/main"/>
                      </a:ext>
                    </a:extLst>
                  </pic:spPr>
                </pic:pic>
              </a:graphicData>
            </a:graphic>
          </wp:inline>
        </w:drawing>
      </w:r>
    </w:p>
    <w:p w14:paraId="53A1A4E4" w14:textId="77777777" w:rsidR="00D31714" w:rsidRPr="0074537A" w:rsidRDefault="00D31714" w:rsidP="00747170">
      <w:pPr>
        <w:pStyle w:val="afffff5"/>
        <w:rPr>
          <w:rtl/>
        </w:rPr>
      </w:pPr>
      <w:r w:rsidRPr="0074537A">
        <w:rPr>
          <w:noProof/>
          <w:rtl/>
        </w:rPr>
        <w:drawing>
          <wp:inline distT="0" distB="0" distL="0" distR="0" wp14:anchorId="164954B7" wp14:editId="1643AB4D">
            <wp:extent cx="3141980" cy="2990574"/>
            <wp:effectExtent l="0" t="0" r="1270" b="635"/>
            <wp:docPr id="63" name="תמונה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t="58419" b="3142"/>
                    <a:stretch/>
                  </pic:blipFill>
                  <pic:spPr bwMode="auto">
                    <a:xfrm>
                      <a:off x="0" y="0"/>
                      <a:ext cx="3142615" cy="2991178"/>
                    </a:xfrm>
                    <a:prstGeom prst="rect">
                      <a:avLst/>
                    </a:prstGeom>
                    <a:ln>
                      <a:noFill/>
                    </a:ln>
                    <a:extLst>
                      <a:ext uri="{53640926-AAD7-44D8-BBD7-CCE9431645EC}">
                        <a14:shadowObscured xmlns:a14="http://schemas.microsoft.com/office/drawing/2010/main"/>
                      </a:ext>
                    </a:extLst>
                  </pic:spPr>
                </pic:pic>
              </a:graphicData>
            </a:graphic>
          </wp:inline>
        </w:drawing>
      </w:r>
    </w:p>
    <w:p w14:paraId="7B3FA52D" w14:textId="77777777" w:rsidR="00D31714" w:rsidRPr="0074537A" w:rsidRDefault="00D31714" w:rsidP="00747170">
      <w:pPr>
        <w:pStyle w:val="afffff5"/>
      </w:pPr>
      <w:r w:rsidRPr="0074537A">
        <w:rPr>
          <w:noProof/>
          <w:rtl/>
        </w:rPr>
        <w:drawing>
          <wp:inline distT="0" distB="0" distL="0" distR="0" wp14:anchorId="3D0F7301" wp14:editId="14BBB286">
            <wp:extent cx="3142514" cy="1783458"/>
            <wp:effectExtent l="0" t="0" r="1270" b="7620"/>
            <wp:docPr id="192" name="תמונה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srcRect b="23262"/>
                    <a:stretch/>
                  </pic:blipFill>
                  <pic:spPr bwMode="auto">
                    <a:xfrm>
                      <a:off x="0" y="0"/>
                      <a:ext cx="3142615" cy="1783516"/>
                    </a:xfrm>
                    <a:prstGeom prst="rect">
                      <a:avLst/>
                    </a:prstGeom>
                    <a:ln>
                      <a:noFill/>
                    </a:ln>
                    <a:extLst>
                      <a:ext uri="{53640926-AAD7-44D8-BBD7-CCE9431645EC}">
                        <a14:shadowObscured xmlns:a14="http://schemas.microsoft.com/office/drawing/2010/main"/>
                      </a:ext>
                    </a:extLst>
                  </pic:spPr>
                </pic:pic>
              </a:graphicData>
            </a:graphic>
          </wp:inline>
        </w:drawing>
      </w:r>
    </w:p>
    <w:p w14:paraId="53B0B432" w14:textId="77777777" w:rsidR="00D31714" w:rsidRDefault="00D31714" w:rsidP="00D31714">
      <w:pPr>
        <w:pStyle w:val="afffff7"/>
        <w:rPr>
          <w:rtl/>
        </w:rPr>
      </w:pPr>
      <w:bookmarkStart w:id="1305" w:name="_Toc135670284"/>
      <w:bookmarkStart w:id="1306" w:name="_Toc163505585"/>
      <w:r>
        <w:rPr>
          <w:rFonts w:hint="cs"/>
          <w:rtl/>
        </w:rPr>
        <w:t>חידושי רבי ראובן גיטין סי' י' אות ב' ד</w:t>
      </w:r>
      <w:r>
        <w:rPr>
          <w:rFonts w:cs="Guttman Hodes" w:hint="cs"/>
          <w:rtl/>
        </w:rPr>
        <w:t>"</w:t>
      </w:r>
      <w:r>
        <w:rPr>
          <w:rFonts w:hint="cs"/>
          <w:rtl/>
        </w:rPr>
        <w:t>ה ונראה</w:t>
      </w:r>
      <w:bookmarkEnd w:id="1305"/>
      <w:bookmarkEnd w:id="1306"/>
    </w:p>
    <w:p w14:paraId="3CFDBDF4" w14:textId="77777777" w:rsidR="00D31714" w:rsidRPr="00174141" w:rsidRDefault="00D31714" w:rsidP="00D31714">
      <w:pPr>
        <w:pStyle w:val="a7"/>
      </w:pPr>
      <w:bookmarkStart w:id="1307" w:name="_Toc135670018"/>
      <w:r>
        <w:rPr>
          <w:rFonts w:hint="cs"/>
          <w:rtl/>
        </w:rPr>
        <w:t>בי' רבי ראובן במאירי ובמ"מ דלשבת ומעשר ע"ג יתדות חשיב כתלוש אך לטומאה תלוי ביניקה</w:t>
      </w:r>
      <w:bookmarkEnd w:id="1307"/>
    </w:p>
    <w:p w14:paraId="6D6D00AC" w14:textId="0B470377" w:rsidR="00D31714" w:rsidRDefault="00D31714" w:rsidP="00BC7DC8">
      <w:pPr>
        <w:pStyle w:val="a3"/>
        <w:rPr>
          <w:rtl/>
        </w:rPr>
      </w:pPr>
      <w:bookmarkStart w:id="1308" w:name="_Ref135557413"/>
      <w:r>
        <w:rPr>
          <w:rFonts w:hint="cs"/>
          <w:rtl/>
        </w:rPr>
        <w:t xml:space="preserve">ועוד כתב </w:t>
      </w:r>
      <w:r w:rsidRPr="00C146DA">
        <w:rPr>
          <w:rStyle w:val="aff4"/>
          <w:rFonts w:hint="cs"/>
          <w:vanish/>
          <w:rtl/>
        </w:rPr>
        <w:t>-</w:t>
      </w:r>
      <w:r w:rsidRPr="00653431">
        <w:rPr>
          <w:rStyle w:val="aff4"/>
          <w:rFonts w:hint="cs"/>
          <w:rtl/>
        </w:rPr>
        <w:t>ב</w:t>
      </w:r>
      <w:r w:rsidRPr="00C146DA">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Ref135557413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עה)</w:t>
      </w:r>
      <w:r>
        <w:rPr>
          <w:rStyle w:val="aff4"/>
          <w:vanish/>
          <w:rtl/>
        </w:rPr>
        <w:fldChar w:fldCharType="end"/>
      </w:r>
      <w:r w:rsidRPr="00C146DA">
        <w:rPr>
          <w:rStyle w:val="aff4"/>
          <w:rFonts w:hint="cs"/>
          <w:vanish/>
          <w:rtl/>
        </w:rPr>
        <w:t xml:space="preserve"> &gt;</w:t>
      </w:r>
      <w:r w:rsidRPr="00653431">
        <w:rPr>
          <w:rStyle w:val="aff4"/>
          <w:rFonts w:hint="cs"/>
          <w:rtl/>
        </w:rPr>
        <w:t>חי' רבי ראובן בגיטין</w:t>
      </w:r>
      <w:r w:rsidRPr="00C146DA">
        <w:rPr>
          <w:rStyle w:val="aff4"/>
          <w:rFonts w:hint="cs"/>
          <w:vanish/>
          <w:rtl/>
        </w:rPr>
        <w:t>-</w:t>
      </w:r>
      <w:r>
        <w:rPr>
          <w:rFonts w:hint="cs"/>
          <w:rtl/>
        </w:rPr>
        <w:t xml:space="preserve"> </w:t>
      </w:r>
      <w:r w:rsidRPr="00A3054F">
        <w:rPr>
          <w:rStyle w:val="af2"/>
          <w:rFonts w:eastAsia="Guttman Hodes" w:hint="cs"/>
          <w:rtl/>
        </w:rPr>
        <w:t>(סי' י' אות ב' סוד"ה ונראה)</w:t>
      </w:r>
      <w:r w:rsidRPr="00C146DA">
        <w:rPr>
          <w:rFonts w:hint="cs"/>
          <w:vanish/>
          <w:rtl/>
        </w:rPr>
        <w:t>=</w:t>
      </w:r>
      <w:r>
        <w:rPr>
          <w:rFonts w:hint="cs"/>
          <w:rtl/>
        </w:rPr>
        <w:t xml:space="preserve"> דלדעת </w:t>
      </w:r>
      <w:r w:rsidRPr="00C146DA">
        <w:rPr>
          <w:rStyle w:val="aff4"/>
          <w:rFonts w:hint="cs"/>
          <w:vanish/>
          <w:rtl/>
        </w:rPr>
        <w:t>-</w:t>
      </w:r>
      <w:r w:rsidRPr="00653431">
        <w:rPr>
          <w:rStyle w:val="aff4"/>
          <w:rFonts w:hint="cs"/>
          <w:rtl/>
        </w:rPr>
        <w:t>המאירי בגיטין</w:t>
      </w:r>
      <w:r w:rsidRPr="00C146DA">
        <w:rPr>
          <w:rStyle w:val="aff4"/>
          <w:rFonts w:hint="cs"/>
          <w:vanish/>
          <w:rtl/>
        </w:rPr>
        <w:t>-</w:t>
      </w:r>
      <w:r>
        <w:rPr>
          <w:rFonts w:hint="cs"/>
          <w:rtl/>
        </w:rPr>
        <w:t xml:space="preserve"> </w:t>
      </w:r>
      <w:r w:rsidRPr="00A3054F">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Ref135213011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לט)</w:t>
      </w:r>
      <w:r>
        <w:rPr>
          <w:rStyle w:val="af2"/>
          <w:rFonts w:eastAsia="Guttman Hodes"/>
          <w:rtl/>
        </w:rPr>
        <w:fldChar w:fldCharType="end"/>
      </w:r>
      <w:r>
        <w:rPr>
          <w:rFonts w:hint="cs"/>
          <w:rtl/>
        </w:rPr>
        <w:t xml:space="preserve"> </w:t>
      </w:r>
      <w:r w:rsidRPr="00C146DA">
        <w:rPr>
          <w:rStyle w:val="aff4"/>
          <w:rFonts w:hint="cs"/>
          <w:vanish/>
          <w:rtl/>
        </w:rPr>
        <w:t>-</w:t>
      </w:r>
      <w:r w:rsidRPr="00653431">
        <w:rPr>
          <w:rStyle w:val="aff4"/>
          <w:rFonts w:hint="cs"/>
          <w:rtl/>
        </w:rPr>
        <w:t>והמ"מ</w:t>
      </w:r>
      <w:r w:rsidRPr="00C146DA">
        <w:rPr>
          <w:rStyle w:val="aff4"/>
          <w:rFonts w:hint="cs"/>
          <w:vanish/>
          <w:rtl/>
        </w:rPr>
        <w:t>-</w:t>
      </w:r>
      <w:r>
        <w:rPr>
          <w:rFonts w:hint="cs"/>
          <w:rtl/>
        </w:rPr>
        <w:t xml:space="preserve"> </w:t>
      </w:r>
      <w:r w:rsidRPr="00F259AD">
        <w:rPr>
          <w:rStyle w:val="af2"/>
          <w:rFonts w:eastAsia="Guttman Rashi" w:hint="cs"/>
          <w:rtl/>
        </w:rPr>
        <w:t xml:space="preserve">(עי' אות </w:t>
      </w:r>
      <w:r w:rsidRPr="00F259AD">
        <w:rPr>
          <w:rStyle w:val="af2"/>
          <w:rFonts w:eastAsia="Guttman Rashi"/>
          <w:rtl/>
        </w:rPr>
        <w:fldChar w:fldCharType="begin"/>
      </w:r>
      <w:r w:rsidRPr="00F259AD">
        <w:rPr>
          <w:rStyle w:val="af2"/>
          <w:rFonts w:eastAsia="Guttman Rashi"/>
          <w:rtl/>
        </w:rPr>
        <w:instrText xml:space="preserve"> </w:instrText>
      </w:r>
      <w:r w:rsidRPr="00F259AD">
        <w:rPr>
          <w:rStyle w:val="af2"/>
          <w:rFonts w:eastAsia="Guttman Rashi" w:hint="cs"/>
        </w:rPr>
        <w:instrText>REF</w:instrText>
      </w:r>
      <w:r w:rsidRPr="00F259AD">
        <w:rPr>
          <w:rStyle w:val="af2"/>
          <w:rFonts w:eastAsia="Guttman Rashi" w:hint="cs"/>
          <w:rtl/>
        </w:rPr>
        <w:instrText xml:space="preserve"> _</w:instrText>
      </w:r>
      <w:r w:rsidRPr="00F259AD">
        <w:rPr>
          <w:rStyle w:val="af2"/>
          <w:rFonts w:eastAsia="Guttman Rashi" w:hint="cs"/>
        </w:rPr>
        <w:instrText>Ref135064813 \r \h</w:instrText>
      </w:r>
      <w:r w:rsidRPr="00F259AD">
        <w:rPr>
          <w:rStyle w:val="af2"/>
          <w:rFonts w:eastAsia="Guttman Rashi"/>
          <w:rtl/>
        </w:rPr>
        <w:instrText xml:space="preserve">  \* </w:instrText>
      </w:r>
      <w:r w:rsidRPr="00F259AD">
        <w:rPr>
          <w:rStyle w:val="af2"/>
          <w:rFonts w:eastAsia="Guttman Rashi"/>
        </w:rPr>
        <w:instrText>MERGEFORMAT</w:instrText>
      </w:r>
      <w:r w:rsidRPr="00F259AD">
        <w:rPr>
          <w:rStyle w:val="af2"/>
          <w:rFonts w:eastAsia="Guttman Rashi"/>
          <w:rtl/>
        </w:rPr>
        <w:instrText xml:space="preserve"> </w:instrText>
      </w:r>
      <w:r w:rsidRPr="00F259AD">
        <w:rPr>
          <w:rStyle w:val="af2"/>
          <w:rFonts w:eastAsia="Guttman Rashi"/>
          <w:rtl/>
        </w:rPr>
      </w:r>
      <w:r w:rsidRPr="00F259AD">
        <w:rPr>
          <w:rStyle w:val="af2"/>
          <w:rFonts w:eastAsia="Guttman Rashi"/>
          <w:rtl/>
        </w:rPr>
        <w:fldChar w:fldCharType="separate"/>
      </w:r>
      <w:r w:rsidR="00D82181">
        <w:rPr>
          <w:rStyle w:val="af2"/>
          <w:rFonts w:eastAsia="Guttman Rashi"/>
          <w:cs/>
        </w:rPr>
        <w:t>‎</w:t>
      </w:r>
      <w:r w:rsidR="00D82181">
        <w:rPr>
          <w:rStyle w:val="af2"/>
          <w:rFonts w:eastAsia="Guttman Rashi"/>
          <w:rtl/>
        </w:rPr>
        <w:t>מא)</w:t>
      </w:r>
      <w:r w:rsidRPr="00F259AD">
        <w:rPr>
          <w:rStyle w:val="af2"/>
          <w:rFonts w:eastAsia="Guttman Rashi"/>
          <w:rtl/>
        </w:rPr>
        <w:fldChar w:fldCharType="end"/>
      </w:r>
      <w:r>
        <w:rPr>
          <w:rFonts w:hint="cs"/>
          <w:rtl/>
        </w:rPr>
        <w:t xml:space="preserve"> דעציץ נקוב ע"ג יתדות חשיב כתלוש, צ"ל דהיינו לענין שבת ולענין מעשר, כיון דלענין זה החיבור תלוי ביניקתו וגידולו מהקרקע, ולכן כל שהאויר מפסיק בין העציץ לקרקע אינו נקרא מחובר לקרקע, אבל עדיין הוא נחשב כמחובר לקרקע לענין טומאה והכשר זרעים, כיון דבזה א"צ שתהיה יניקה מקרקע ממש, וסגי במה שהוא יונק מריח הקרקע להחשיבו כמחובר, והביא </w:t>
      </w:r>
      <w:r w:rsidRPr="00C146DA">
        <w:rPr>
          <w:rStyle w:val="aff4"/>
          <w:rFonts w:hint="cs"/>
          <w:vanish/>
          <w:rtl/>
        </w:rPr>
        <w:t>-</w:t>
      </w:r>
      <w:r w:rsidRPr="00653431">
        <w:rPr>
          <w:rStyle w:val="aff4"/>
          <w:rFonts w:hint="cs"/>
          <w:rtl/>
        </w:rPr>
        <w:t>בחי' רבי ראובן</w:t>
      </w:r>
      <w:r w:rsidRPr="00C146DA">
        <w:rPr>
          <w:rStyle w:val="aff4"/>
          <w:rFonts w:hint="cs"/>
          <w:vanish/>
          <w:rtl/>
        </w:rPr>
        <w:t>-</w:t>
      </w:r>
      <w:r>
        <w:rPr>
          <w:rFonts w:hint="cs"/>
          <w:rtl/>
        </w:rPr>
        <w:t xml:space="preserve"> דכן מבואר בדברי </w:t>
      </w:r>
      <w:r w:rsidRPr="00C146DA">
        <w:rPr>
          <w:rStyle w:val="aff4"/>
          <w:rFonts w:hint="cs"/>
          <w:vanish/>
          <w:rtl/>
        </w:rPr>
        <w:t>-</w:t>
      </w:r>
      <w:r w:rsidRPr="00653431">
        <w:rPr>
          <w:rStyle w:val="aff4"/>
          <w:rFonts w:hint="cs"/>
          <w:rtl/>
        </w:rPr>
        <w:t>ה</w:t>
      </w:r>
      <w:r w:rsidRPr="00C146DA">
        <w:rPr>
          <w:rStyle w:val="aff4"/>
          <w:rFonts w:hint="cs"/>
          <w:vanish/>
          <w:rtl/>
        </w:rPr>
        <w:t>&lt; &gt;</w:t>
      </w:r>
      <w:r w:rsidRPr="00653431">
        <w:rPr>
          <w:rStyle w:val="aff4"/>
          <w:rFonts w:hint="cs"/>
          <w:rtl/>
        </w:rPr>
        <w:t>שואל בתשו' הרשב"א</w:t>
      </w:r>
      <w:r w:rsidRPr="00C146DA">
        <w:rPr>
          <w:rStyle w:val="aff4"/>
          <w:rFonts w:hint="cs"/>
          <w:vanish/>
          <w:rtl/>
        </w:rPr>
        <w:t>-</w:t>
      </w:r>
      <w:r>
        <w:rPr>
          <w:rFonts w:hint="cs"/>
          <w:rtl/>
        </w:rPr>
        <w:t xml:space="preserve"> </w:t>
      </w:r>
      <w:r w:rsidRPr="00A3054F">
        <w:rPr>
          <w:rStyle w:val="af2"/>
          <w:rFonts w:eastAsia="Guttman Hodes" w:hint="cs"/>
          <w:rtl/>
        </w:rPr>
        <w:t>(ח"א סי' תרנ"ט, סי' אלף ק"ע)</w:t>
      </w:r>
      <w:r w:rsidRPr="00C146DA">
        <w:rPr>
          <w:rFonts w:hint="cs"/>
          <w:vanish/>
          <w:rtl/>
        </w:rPr>
        <w:t>=</w:t>
      </w:r>
      <w:r>
        <w:rPr>
          <w:rFonts w:hint="cs"/>
          <w:rtl/>
        </w:rPr>
        <w:t xml:space="preserve"> דביונק דרך האויר אפש"ל דנקרא מחובר, ועיי"ש במה שהאריך </w:t>
      </w:r>
      <w:r w:rsidRPr="00C146DA">
        <w:rPr>
          <w:rStyle w:val="aff4"/>
          <w:rFonts w:hint="cs"/>
          <w:vanish/>
          <w:rtl/>
        </w:rPr>
        <w:t>-</w:t>
      </w:r>
      <w:r w:rsidRPr="00653431">
        <w:rPr>
          <w:rStyle w:val="aff4"/>
          <w:rFonts w:hint="cs"/>
          <w:rtl/>
        </w:rPr>
        <w:t>ב</w:t>
      </w:r>
      <w:r w:rsidRPr="00AC0BA6">
        <w:rPr>
          <w:rStyle w:val="aff4"/>
          <w:rFonts w:hint="cs"/>
          <w:vanish/>
          <w:rtl/>
        </w:rPr>
        <w:t>&lt; &gt;</w:t>
      </w:r>
      <w:r w:rsidRPr="00653431">
        <w:rPr>
          <w:rStyle w:val="aff4"/>
          <w:rFonts w:hint="cs"/>
          <w:rtl/>
        </w:rPr>
        <w:t>חי' רבי ראובן</w:t>
      </w:r>
      <w:r w:rsidRPr="00C146DA">
        <w:rPr>
          <w:rStyle w:val="aff4"/>
          <w:rFonts w:hint="cs"/>
          <w:vanish/>
          <w:rtl/>
        </w:rPr>
        <w:t>-</w:t>
      </w:r>
      <w:r>
        <w:rPr>
          <w:rFonts w:hint="cs"/>
          <w:rtl/>
        </w:rPr>
        <w:t xml:space="preserve"> </w:t>
      </w:r>
      <w:r w:rsidRPr="00A3054F">
        <w:rPr>
          <w:rStyle w:val="af2"/>
          <w:rFonts w:eastAsia="Guttman Hodes" w:hint="cs"/>
          <w:rtl/>
        </w:rPr>
        <w:t>(סי' י' אות א', אות ב' ד"ה ולפי זה)</w:t>
      </w:r>
      <w:r w:rsidRPr="00C146DA">
        <w:rPr>
          <w:rFonts w:hint="cs"/>
          <w:vanish/>
          <w:rtl/>
        </w:rPr>
        <w:t>=</w:t>
      </w:r>
      <w:r>
        <w:rPr>
          <w:rFonts w:hint="cs"/>
          <w:rtl/>
        </w:rPr>
        <w:t xml:space="preserve"> בדין עציץ נקוב אי חשיב כמחובר, לענין טומאה ושאר דינים.</w:t>
      </w:r>
      <w:bookmarkEnd w:id="1308"/>
    </w:p>
    <w:p w14:paraId="09BFA7D2" w14:textId="77777777" w:rsidR="00D31714" w:rsidRPr="00747170" w:rsidRDefault="00D31714" w:rsidP="00747170">
      <w:pPr>
        <w:pStyle w:val="a2"/>
        <w:rPr>
          <w:rtl/>
        </w:rPr>
      </w:pPr>
    </w:p>
    <w:p w14:paraId="1895D4F8" w14:textId="77777777" w:rsidR="00D31714" w:rsidRPr="0074537A" w:rsidRDefault="00D31714" w:rsidP="00747170">
      <w:pPr>
        <w:pStyle w:val="afffff5"/>
        <w:rPr>
          <w:rtl/>
        </w:rPr>
      </w:pPr>
      <w:r w:rsidRPr="0074537A">
        <w:rPr>
          <w:noProof/>
          <w:rtl/>
        </w:rPr>
        <w:drawing>
          <wp:inline distT="0" distB="0" distL="0" distR="0" wp14:anchorId="7FBC8B41" wp14:editId="7F372EE0">
            <wp:extent cx="3142615" cy="3004984"/>
            <wp:effectExtent l="0" t="0" r="635" b="5080"/>
            <wp:docPr id="17" name="תמונה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
                    <a:srcRect b="2848"/>
                    <a:stretch/>
                  </pic:blipFill>
                  <pic:spPr bwMode="auto">
                    <a:xfrm>
                      <a:off x="0" y="0"/>
                      <a:ext cx="3142615" cy="3004984"/>
                    </a:xfrm>
                    <a:prstGeom prst="rect">
                      <a:avLst/>
                    </a:prstGeom>
                    <a:ln>
                      <a:noFill/>
                    </a:ln>
                    <a:extLst>
                      <a:ext uri="{53640926-AAD7-44D8-BBD7-CCE9431645EC}">
                        <a14:shadowObscured xmlns:a14="http://schemas.microsoft.com/office/drawing/2010/main"/>
                      </a:ext>
                    </a:extLst>
                  </pic:spPr>
                </pic:pic>
              </a:graphicData>
            </a:graphic>
          </wp:inline>
        </w:drawing>
      </w:r>
    </w:p>
    <w:p w14:paraId="4717F1FB" w14:textId="77777777" w:rsidR="00D31714" w:rsidRDefault="00D31714" w:rsidP="00D31714">
      <w:pPr>
        <w:pStyle w:val="a7"/>
        <w:rPr>
          <w:rtl/>
        </w:rPr>
      </w:pPr>
      <w:bookmarkStart w:id="1309" w:name="_Toc135670019"/>
      <w:r>
        <w:rPr>
          <w:rFonts w:hint="cs"/>
          <w:rtl/>
        </w:rPr>
        <w:t>בי' רבי ראובן דרק לאו"ז דכשותא ל"ה מחובר אפש"ל דע"ג יתדות תלוש ולא לרמב"ן ור"ח</w:t>
      </w:r>
      <w:bookmarkEnd w:id="1309"/>
    </w:p>
    <w:p w14:paraId="7CAAF363" w14:textId="6AFE5AEC" w:rsidR="00D31714" w:rsidRDefault="00D31714" w:rsidP="00BC7DC8">
      <w:pPr>
        <w:pStyle w:val="a3"/>
        <w:rPr>
          <w:rtl/>
        </w:rPr>
      </w:pPr>
      <w:bookmarkStart w:id="1310" w:name="_Ref135660447"/>
      <w:r w:rsidRPr="00687168">
        <w:rPr>
          <w:rFonts w:hint="cs"/>
          <w:rtl/>
        </w:rPr>
        <w:t xml:space="preserve">אך </w:t>
      </w:r>
      <w:r>
        <w:rPr>
          <w:rFonts w:hint="cs"/>
          <w:rtl/>
        </w:rPr>
        <w:t xml:space="preserve">כתב </w:t>
      </w:r>
      <w:r w:rsidRPr="00735214">
        <w:rPr>
          <w:rStyle w:val="aff4"/>
          <w:rFonts w:hint="cs"/>
          <w:vanish/>
          <w:rtl/>
        </w:rPr>
        <w:t>-</w:t>
      </w:r>
      <w:r w:rsidRPr="00A3054F">
        <w:rPr>
          <w:rStyle w:val="aff4"/>
          <w:rFonts w:hint="cs"/>
          <w:rtl/>
        </w:rPr>
        <w:t>ב</w:t>
      </w:r>
      <w:r w:rsidRPr="00735214">
        <w:rPr>
          <w:rStyle w:val="aff4"/>
          <w:rFonts w:hint="cs"/>
          <w:vanish/>
          <w:rtl/>
        </w:rPr>
        <w:t xml:space="preserve">&lt;. </w:t>
      </w:r>
      <w:r w:rsidRPr="00735214">
        <w:rPr>
          <w:rStyle w:val="aff4"/>
          <w:vanish/>
          <w:rtl/>
        </w:rPr>
        <w:fldChar w:fldCharType="begin"/>
      </w:r>
      <w:r w:rsidRPr="00735214">
        <w:rPr>
          <w:rStyle w:val="aff4"/>
          <w:vanish/>
          <w:rtl/>
        </w:rPr>
        <w:instrText xml:space="preserve"> </w:instrText>
      </w:r>
      <w:r w:rsidRPr="00735214">
        <w:rPr>
          <w:rStyle w:val="aff4"/>
          <w:rFonts w:hint="cs"/>
          <w:vanish/>
        </w:rPr>
        <w:instrText>REF</w:instrText>
      </w:r>
      <w:r w:rsidRPr="00735214">
        <w:rPr>
          <w:rStyle w:val="aff4"/>
          <w:rFonts w:hint="cs"/>
          <w:vanish/>
          <w:rtl/>
        </w:rPr>
        <w:instrText xml:space="preserve"> _</w:instrText>
      </w:r>
      <w:r w:rsidRPr="00735214">
        <w:rPr>
          <w:rStyle w:val="aff4"/>
          <w:rFonts w:hint="cs"/>
          <w:vanish/>
        </w:rPr>
        <w:instrText>Ref135660447 \r \h</w:instrText>
      </w:r>
      <w:r w:rsidRPr="00735214">
        <w:rPr>
          <w:rStyle w:val="aff4"/>
          <w:vanish/>
          <w:rtl/>
        </w:rPr>
        <w:instrText xml:space="preserve"> </w:instrText>
      </w:r>
      <w:r w:rsidRPr="00735214">
        <w:rPr>
          <w:rStyle w:val="aff4"/>
          <w:vanish/>
          <w:rtl/>
        </w:rPr>
      </w:r>
      <w:r w:rsidRPr="00735214">
        <w:rPr>
          <w:rStyle w:val="aff4"/>
          <w:vanish/>
          <w:rtl/>
        </w:rPr>
        <w:fldChar w:fldCharType="separate"/>
      </w:r>
      <w:r w:rsidR="00D82181">
        <w:rPr>
          <w:rStyle w:val="aff4"/>
          <w:vanish/>
          <w:cs/>
        </w:rPr>
        <w:t>‎</w:t>
      </w:r>
      <w:r w:rsidR="00D82181">
        <w:rPr>
          <w:rStyle w:val="aff4"/>
          <w:vanish/>
          <w:rtl/>
        </w:rPr>
        <w:t>עו)</w:t>
      </w:r>
      <w:r w:rsidRPr="00735214">
        <w:rPr>
          <w:rStyle w:val="aff4"/>
          <w:vanish/>
          <w:rtl/>
        </w:rPr>
        <w:fldChar w:fldCharType="end"/>
      </w:r>
      <w:r w:rsidRPr="00735214">
        <w:rPr>
          <w:rStyle w:val="aff4"/>
          <w:rFonts w:hint="cs"/>
          <w:vanish/>
          <w:rtl/>
        </w:rPr>
        <w:t xml:space="preserve"> &gt;</w:t>
      </w:r>
      <w:r w:rsidRPr="00A3054F">
        <w:rPr>
          <w:rStyle w:val="aff4"/>
          <w:rFonts w:hint="cs"/>
          <w:rtl/>
        </w:rPr>
        <w:t>חי' רבי ראובן בגיטין</w:t>
      </w:r>
      <w:r w:rsidRPr="00735214">
        <w:rPr>
          <w:rStyle w:val="aff4"/>
          <w:rFonts w:hint="cs"/>
          <w:vanish/>
          <w:rtl/>
        </w:rPr>
        <w:t>-</w:t>
      </w:r>
      <w:r w:rsidRPr="00687168">
        <w:rPr>
          <w:rFonts w:hint="cs"/>
          <w:rtl/>
        </w:rPr>
        <w:t xml:space="preserve"> </w:t>
      </w:r>
      <w:r w:rsidRPr="00A3054F">
        <w:rPr>
          <w:rStyle w:val="af2"/>
          <w:rFonts w:eastAsia="Guttman Hodes" w:hint="cs"/>
          <w:rtl/>
        </w:rPr>
        <w:t>(סי' י' אות ד')</w:t>
      </w:r>
      <w:r w:rsidRPr="00735214">
        <w:rPr>
          <w:rFonts w:hint="cs"/>
          <w:vanish/>
          <w:rtl/>
        </w:rPr>
        <w:t>=</w:t>
      </w:r>
      <w:r w:rsidRPr="00687168">
        <w:rPr>
          <w:rFonts w:hint="cs"/>
          <w:rtl/>
        </w:rPr>
        <w:t xml:space="preserve"> דכ"מ דאפש"ל דהתולש בשבת חייב מדין עוקר דבר מגידולו אעפ"י שאינו מחובר היינו כדמשמע דמדברי </w:t>
      </w:r>
      <w:r w:rsidRPr="00735214">
        <w:rPr>
          <w:rStyle w:val="aff4"/>
          <w:rFonts w:hint="cs"/>
          <w:vanish/>
          <w:rtl/>
        </w:rPr>
        <w:t>-</w:t>
      </w:r>
      <w:r w:rsidRPr="00A3054F">
        <w:rPr>
          <w:rStyle w:val="aff4"/>
          <w:rFonts w:hint="cs"/>
          <w:rtl/>
        </w:rPr>
        <w:t>האו"ז</w:t>
      </w:r>
      <w:r w:rsidRPr="00735214">
        <w:rPr>
          <w:rStyle w:val="aff4"/>
          <w:rFonts w:hint="cs"/>
          <w:vanish/>
          <w:rtl/>
        </w:rPr>
        <w:t>-</w:t>
      </w:r>
      <w:r w:rsidRPr="00687168">
        <w:rPr>
          <w:rFonts w:hint="cs"/>
          <w:rtl/>
        </w:rPr>
        <w:t xml:space="preserve"> </w:t>
      </w:r>
      <w:r w:rsidRPr="00A3054F">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Ref135126973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מו)</w:t>
      </w:r>
      <w:r>
        <w:rPr>
          <w:rStyle w:val="af2"/>
          <w:rFonts w:eastAsia="Guttman Hodes"/>
          <w:rtl/>
        </w:rPr>
        <w:fldChar w:fldCharType="end"/>
      </w:r>
      <w:r w:rsidRPr="00687168">
        <w:rPr>
          <w:rFonts w:hint="cs"/>
          <w:rtl/>
        </w:rPr>
        <w:t xml:space="preserve"> דהתולש כשותא מהיזמי אינו מחובר לקרקע, וחייב מדין עוקר דבר מגידולו אף שאינו מחובר, אבל מדברי </w:t>
      </w:r>
      <w:r w:rsidRPr="00735214">
        <w:rPr>
          <w:rFonts w:hint="cs"/>
          <w:vanish/>
          <w:rtl/>
        </w:rPr>
        <w:t>-</w:t>
      </w:r>
      <w:r w:rsidRPr="00336BEA">
        <w:rPr>
          <w:rStyle w:val="aff4"/>
          <w:rFonts w:hint="cs"/>
          <w:rtl/>
        </w:rPr>
        <w:t>הרמב"ן</w:t>
      </w:r>
      <w:r>
        <w:rPr>
          <w:rFonts w:hint="cs"/>
          <w:rtl/>
        </w:rPr>
        <w:t xml:space="preserve"> </w:t>
      </w:r>
      <w:r w:rsidRPr="00336BEA">
        <w:rPr>
          <w:rStyle w:val="aff4"/>
          <w:rFonts w:hint="cs"/>
          <w:rtl/>
        </w:rPr>
        <w:t>לקמן</w:t>
      </w:r>
      <w:r w:rsidRPr="00AC0BA6">
        <w:rPr>
          <w:rStyle w:val="aff4"/>
          <w:rFonts w:hint="cs"/>
          <w:vanish/>
          <w:rtl/>
        </w:rPr>
        <w:t>-</w:t>
      </w:r>
      <w:r w:rsidRPr="0042697D">
        <w:rPr>
          <w:rStyle w:val="aff4"/>
          <w:rFonts w:hint="cs"/>
          <w:rtl/>
        </w:rPr>
        <w:t xml:space="preserve"> </w:t>
      </w:r>
      <w:r w:rsidRPr="00A3054F">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Ref134721473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כג)</w:t>
      </w:r>
      <w:r>
        <w:rPr>
          <w:rStyle w:val="af2"/>
          <w:rFonts w:eastAsia="Guttman Hodes"/>
          <w:rtl/>
        </w:rPr>
        <w:fldChar w:fldCharType="end"/>
      </w:r>
      <w:r w:rsidRPr="0042697D">
        <w:rPr>
          <w:rStyle w:val="aff4"/>
          <w:rFonts w:hint="cs"/>
          <w:rtl/>
        </w:rPr>
        <w:t xml:space="preserve"> </w:t>
      </w:r>
      <w:r w:rsidRPr="00AC0BA6">
        <w:rPr>
          <w:rStyle w:val="aff4"/>
          <w:rFonts w:hint="cs"/>
          <w:vanish/>
          <w:rtl/>
        </w:rPr>
        <w:t>-</w:t>
      </w:r>
      <w:r w:rsidRPr="00336BEA">
        <w:rPr>
          <w:rStyle w:val="aff4"/>
          <w:rFonts w:hint="cs"/>
          <w:rtl/>
        </w:rPr>
        <w:t>ור"ח</w:t>
      </w:r>
      <w:r>
        <w:rPr>
          <w:rFonts w:hint="cs"/>
          <w:rtl/>
        </w:rPr>
        <w:t xml:space="preserve"> </w:t>
      </w:r>
      <w:r w:rsidRPr="00336BEA">
        <w:rPr>
          <w:rStyle w:val="aff4"/>
          <w:rFonts w:hint="cs"/>
          <w:rtl/>
        </w:rPr>
        <w:t>לקמן</w:t>
      </w:r>
      <w:r w:rsidRPr="00AC0BA6">
        <w:rPr>
          <w:rFonts w:hint="cs"/>
          <w:vanish/>
          <w:rtl/>
        </w:rPr>
        <w:t>-</w:t>
      </w:r>
      <w:r>
        <w:rPr>
          <w:rFonts w:hint="cs"/>
          <w:rtl/>
        </w:rPr>
        <w:t xml:space="preserve"> </w:t>
      </w:r>
      <w:r w:rsidRPr="00A3054F">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Ref135659389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נה)</w:t>
      </w:r>
      <w:r>
        <w:rPr>
          <w:rStyle w:val="af2"/>
          <w:rFonts w:eastAsia="Guttman Hodes"/>
          <w:rtl/>
        </w:rPr>
        <w:fldChar w:fldCharType="end"/>
      </w:r>
      <w:r>
        <w:rPr>
          <w:rFonts w:hint="cs"/>
          <w:rtl/>
        </w:rPr>
        <w:t xml:space="preserve"> משמע דחשיב כמחובר לקרקע, וא"כ ס"ל דחיוב תולש לענין שבת הוא רק בדבר המחובר לקרקע, עיי"ש בדבריו.</w:t>
      </w:r>
      <w:bookmarkEnd w:id="1310"/>
    </w:p>
    <w:p w14:paraId="45480890" w14:textId="77777777" w:rsidR="00D31714" w:rsidRPr="00747170" w:rsidRDefault="00D31714" w:rsidP="00747170">
      <w:pPr>
        <w:pStyle w:val="a2"/>
        <w:rPr>
          <w:rtl/>
        </w:rPr>
      </w:pPr>
    </w:p>
    <w:p w14:paraId="777D4FDB" w14:textId="77777777" w:rsidR="00D31714" w:rsidRPr="0074537A" w:rsidRDefault="00D31714" w:rsidP="00747170">
      <w:pPr>
        <w:pStyle w:val="afffff5"/>
      </w:pPr>
      <w:r w:rsidRPr="0074537A">
        <w:rPr>
          <w:noProof/>
          <w:rtl/>
        </w:rPr>
        <w:drawing>
          <wp:inline distT="0" distB="0" distL="0" distR="0" wp14:anchorId="030E47BB" wp14:editId="55E28A41">
            <wp:extent cx="3142615" cy="7323048"/>
            <wp:effectExtent l="0" t="0" r="635" b="0"/>
            <wp:docPr id="193" name="תמונה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8"/>
                    <a:srcRect b="1769"/>
                    <a:stretch/>
                  </pic:blipFill>
                  <pic:spPr bwMode="auto">
                    <a:xfrm>
                      <a:off x="0" y="0"/>
                      <a:ext cx="3142615" cy="7323048"/>
                    </a:xfrm>
                    <a:prstGeom prst="rect">
                      <a:avLst/>
                    </a:prstGeom>
                    <a:ln>
                      <a:noFill/>
                    </a:ln>
                    <a:extLst>
                      <a:ext uri="{53640926-AAD7-44D8-BBD7-CCE9431645EC}">
                        <a14:shadowObscured xmlns:a14="http://schemas.microsoft.com/office/drawing/2010/main"/>
                      </a:ext>
                    </a:extLst>
                  </pic:spPr>
                </pic:pic>
              </a:graphicData>
            </a:graphic>
          </wp:inline>
        </w:drawing>
      </w:r>
    </w:p>
    <w:p w14:paraId="1D6D72B5" w14:textId="77777777" w:rsidR="00D31714" w:rsidRDefault="00D31714" w:rsidP="00D31714">
      <w:pPr>
        <w:pStyle w:val="1"/>
        <w:rPr>
          <w:rtl/>
        </w:rPr>
      </w:pPr>
      <w:bookmarkStart w:id="1311" w:name="_Toc135670020"/>
      <w:r>
        <w:rPr>
          <w:rFonts w:hint="cs"/>
          <w:rtl/>
        </w:rPr>
        <w:t>חקירת רבי ראובן אי שייך יניקה בעפר עצמו או רק בזרעים</w:t>
      </w:r>
      <w:bookmarkEnd w:id="1311"/>
    </w:p>
    <w:p w14:paraId="0AD63DD5" w14:textId="77777777" w:rsidR="00D31714" w:rsidRDefault="00D31714" w:rsidP="00D31714">
      <w:pPr>
        <w:pStyle w:val="afffff7"/>
        <w:rPr>
          <w:rtl/>
        </w:rPr>
      </w:pPr>
      <w:bookmarkStart w:id="1312" w:name="_Toc135670285"/>
      <w:bookmarkStart w:id="1313" w:name="_Hlk135670303"/>
      <w:bookmarkStart w:id="1314" w:name="_Toc135670021"/>
      <w:bookmarkStart w:id="1315" w:name="_Toc163505586"/>
      <w:r>
        <w:rPr>
          <w:rFonts w:hint="cs"/>
          <w:rtl/>
        </w:rPr>
        <w:t>חידושי רבי ראובן גיטין סי' י"א ד</w:t>
      </w:r>
      <w:r>
        <w:rPr>
          <w:rFonts w:cs="Guttman Hodes" w:hint="cs"/>
          <w:rtl/>
        </w:rPr>
        <w:t>"</w:t>
      </w:r>
      <w:r>
        <w:rPr>
          <w:rFonts w:hint="cs"/>
          <w:rtl/>
        </w:rPr>
        <w:t xml:space="preserve">ה </w:t>
      </w:r>
      <w:r w:rsidRPr="00801102">
        <w:rPr>
          <w:rtl/>
        </w:rPr>
        <w:t>דבענין</w:t>
      </w:r>
      <w:bookmarkEnd w:id="1312"/>
      <w:bookmarkEnd w:id="1315"/>
    </w:p>
    <w:bookmarkEnd w:id="1313"/>
    <w:p w14:paraId="580ED112" w14:textId="77777777" w:rsidR="00D31714" w:rsidRDefault="00D31714" w:rsidP="00D31714">
      <w:pPr>
        <w:pStyle w:val="a7"/>
        <w:rPr>
          <w:rtl/>
        </w:rPr>
      </w:pPr>
      <w:r>
        <w:rPr>
          <w:rFonts w:hint="cs"/>
          <w:rtl/>
        </w:rPr>
        <w:t>חקירת רבי ראובן אי היניקה בעציץ נקוב היא רק בזרעים או דאפש"ל דהעפר עצמו חשיב כיונק</w:t>
      </w:r>
      <w:bookmarkEnd w:id="1314"/>
    </w:p>
    <w:p w14:paraId="4B777E53" w14:textId="19B73BF0" w:rsidR="00D31714" w:rsidRDefault="00D31714" w:rsidP="00BC7DC8">
      <w:pPr>
        <w:pStyle w:val="a3"/>
        <w:rPr>
          <w:rtl/>
        </w:rPr>
      </w:pPr>
      <w:bookmarkStart w:id="1316" w:name="_Ref135651407"/>
      <w:r>
        <w:rPr>
          <w:rFonts w:hint="cs"/>
          <w:rtl/>
        </w:rPr>
        <w:t xml:space="preserve">וע"ע במה שחקר </w:t>
      </w:r>
      <w:r w:rsidRPr="00AC0BA6">
        <w:rPr>
          <w:rStyle w:val="aff4"/>
          <w:rFonts w:hint="cs"/>
          <w:vanish/>
          <w:rtl/>
        </w:rPr>
        <w:t>-</w:t>
      </w:r>
      <w:r w:rsidRPr="0042697D">
        <w:rPr>
          <w:rStyle w:val="aff4"/>
          <w:rFonts w:hint="cs"/>
          <w:rtl/>
        </w:rPr>
        <w:t>ב</w:t>
      </w:r>
      <w:r w:rsidRPr="00AC0BA6">
        <w:rPr>
          <w:rStyle w:val="aff4"/>
          <w:rFonts w:hint="cs"/>
          <w:vanish/>
          <w:rtl/>
        </w:rPr>
        <w:t xml:space="preserve">&lt;. </w:t>
      </w:r>
      <w:r w:rsidRPr="00AC0BA6">
        <w:rPr>
          <w:rStyle w:val="aff4"/>
          <w:vanish/>
          <w:rtl/>
        </w:rPr>
        <w:fldChar w:fldCharType="begin"/>
      </w:r>
      <w:r w:rsidRPr="00AC0BA6">
        <w:rPr>
          <w:rStyle w:val="aff4"/>
          <w:vanish/>
          <w:rtl/>
        </w:rPr>
        <w:instrText xml:space="preserve"> </w:instrText>
      </w:r>
      <w:r w:rsidRPr="00AC0BA6">
        <w:rPr>
          <w:rStyle w:val="aff4"/>
          <w:rFonts w:hint="cs"/>
          <w:vanish/>
        </w:rPr>
        <w:instrText>REF</w:instrText>
      </w:r>
      <w:r w:rsidRPr="00AC0BA6">
        <w:rPr>
          <w:rStyle w:val="aff4"/>
          <w:rFonts w:hint="cs"/>
          <w:vanish/>
          <w:rtl/>
        </w:rPr>
        <w:instrText xml:space="preserve"> _</w:instrText>
      </w:r>
      <w:r w:rsidRPr="00AC0BA6">
        <w:rPr>
          <w:rStyle w:val="aff4"/>
          <w:rFonts w:hint="cs"/>
          <w:vanish/>
        </w:rPr>
        <w:instrText>Ref135651407 \r \h</w:instrText>
      </w:r>
      <w:r w:rsidRPr="00AC0BA6">
        <w:rPr>
          <w:rStyle w:val="aff4"/>
          <w:vanish/>
          <w:rtl/>
        </w:rPr>
        <w:instrText xml:space="preserve"> </w:instrText>
      </w:r>
      <w:r w:rsidRPr="00AC0BA6">
        <w:rPr>
          <w:rStyle w:val="aff4"/>
          <w:vanish/>
          <w:rtl/>
        </w:rPr>
      </w:r>
      <w:r w:rsidRPr="00AC0BA6">
        <w:rPr>
          <w:rStyle w:val="aff4"/>
          <w:vanish/>
          <w:rtl/>
        </w:rPr>
        <w:fldChar w:fldCharType="separate"/>
      </w:r>
      <w:r w:rsidR="00D82181">
        <w:rPr>
          <w:rStyle w:val="aff4"/>
          <w:vanish/>
          <w:cs/>
        </w:rPr>
        <w:t>‎</w:t>
      </w:r>
      <w:r w:rsidR="00D82181">
        <w:rPr>
          <w:rStyle w:val="aff4"/>
          <w:vanish/>
          <w:rtl/>
        </w:rPr>
        <w:t>עז)</w:t>
      </w:r>
      <w:r w:rsidRPr="00AC0BA6">
        <w:rPr>
          <w:rStyle w:val="aff4"/>
          <w:vanish/>
          <w:rtl/>
        </w:rPr>
        <w:fldChar w:fldCharType="end"/>
      </w:r>
      <w:r w:rsidRPr="00AC0BA6">
        <w:rPr>
          <w:rStyle w:val="aff4"/>
          <w:rFonts w:hint="cs"/>
          <w:vanish/>
          <w:rtl/>
        </w:rPr>
        <w:t xml:space="preserve"> &gt;</w:t>
      </w:r>
      <w:r w:rsidRPr="0042697D">
        <w:rPr>
          <w:rStyle w:val="aff4"/>
          <w:rFonts w:hint="cs"/>
          <w:rtl/>
        </w:rPr>
        <w:t>חי' רבי ראובן בגיטין</w:t>
      </w:r>
      <w:r w:rsidRPr="00AC0BA6">
        <w:rPr>
          <w:rStyle w:val="aff4"/>
          <w:rFonts w:hint="cs"/>
          <w:vanish/>
          <w:rtl/>
        </w:rPr>
        <w:t>-</w:t>
      </w:r>
      <w:r>
        <w:rPr>
          <w:rFonts w:hint="cs"/>
          <w:rtl/>
        </w:rPr>
        <w:t xml:space="preserve"> </w:t>
      </w:r>
      <w:r w:rsidRPr="00A3054F">
        <w:rPr>
          <w:rStyle w:val="af2"/>
          <w:rFonts w:eastAsia="Guttman Hodes" w:hint="cs"/>
          <w:rtl/>
        </w:rPr>
        <w:t>(סי' י"א ד"ה דבענין)</w:t>
      </w:r>
      <w:r w:rsidRPr="00AC0BA6">
        <w:rPr>
          <w:rFonts w:hint="cs"/>
          <w:vanish/>
          <w:rtl/>
        </w:rPr>
        <w:t>=</w:t>
      </w:r>
      <w:r>
        <w:rPr>
          <w:rFonts w:hint="cs"/>
          <w:rtl/>
        </w:rPr>
        <w:t xml:space="preserve"> אי שייך יניקה מהקרקע בעפר שבעציץ עצמו דהוא עצמו חשיב כיונק וכמחובר לקרקע, או דרק הזרעים יונקים מהקרקע, עיי"ש במה שהאריך בזה.</w:t>
      </w:r>
      <w:bookmarkEnd w:id="1316"/>
    </w:p>
    <w:p w14:paraId="42360760" w14:textId="77777777" w:rsidR="00D31714" w:rsidRPr="00747170" w:rsidRDefault="00D31714" w:rsidP="00747170">
      <w:pPr>
        <w:pStyle w:val="a2"/>
        <w:rPr>
          <w:rtl/>
        </w:rPr>
      </w:pPr>
    </w:p>
    <w:p w14:paraId="2DC5C3D2" w14:textId="77777777" w:rsidR="00D31714" w:rsidRPr="0074537A" w:rsidRDefault="00D31714" w:rsidP="00747170">
      <w:pPr>
        <w:pStyle w:val="afffff5"/>
        <w:rPr>
          <w:rtl/>
        </w:rPr>
      </w:pPr>
      <w:r w:rsidRPr="0074537A">
        <w:rPr>
          <w:noProof/>
          <w:rtl/>
        </w:rPr>
        <w:drawing>
          <wp:inline distT="0" distB="0" distL="0" distR="0" wp14:anchorId="6EDEB7BB" wp14:editId="713B62CA">
            <wp:extent cx="3142615" cy="726025"/>
            <wp:effectExtent l="0" t="0" r="635" b="0"/>
            <wp:docPr id="194" name="תמונה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9"/>
                    <a:srcRect b="18623"/>
                    <a:stretch/>
                  </pic:blipFill>
                  <pic:spPr bwMode="auto">
                    <a:xfrm>
                      <a:off x="0" y="0"/>
                      <a:ext cx="3142615" cy="726025"/>
                    </a:xfrm>
                    <a:prstGeom prst="rect">
                      <a:avLst/>
                    </a:prstGeom>
                    <a:ln>
                      <a:noFill/>
                    </a:ln>
                    <a:extLst>
                      <a:ext uri="{53640926-AAD7-44D8-BBD7-CCE9431645EC}">
                        <a14:shadowObscured xmlns:a14="http://schemas.microsoft.com/office/drawing/2010/main"/>
                      </a:ext>
                    </a:extLst>
                  </pic:spPr>
                </pic:pic>
              </a:graphicData>
            </a:graphic>
          </wp:inline>
        </w:drawing>
      </w:r>
    </w:p>
    <w:bookmarkEnd w:id="1257"/>
    <w:bookmarkEnd w:id="1258"/>
    <w:p w14:paraId="16F60FE1" w14:textId="77777777" w:rsidR="00D31714" w:rsidRPr="0074537A" w:rsidRDefault="00D31714" w:rsidP="00747170">
      <w:pPr>
        <w:pStyle w:val="afffff5"/>
        <w:rPr>
          <w:rtl/>
        </w:rPr>
      </w:pPr>
      <w:r w:rsidRPr="0074537A">
        <w:rPr>
          <w:rtl/>
        </w:rPr>
        <w:t xml:space="preserve"> </w:t>
      </w:r>
    </w:p>
    <w:p w14:paraId="78CBF43D" w14:textId="77777777" w:rsidR="00D31714" w:rsidRPr="00897CF1" w:rsidRDefault="00D31714" w:rsidP="00BC7DC8">
      <w:pPr>
        <w:pStyle w:val="a3"/>
        <w:numPr>
          <w:ilvl w:val="0"/>
          <w:numId w:val="0"/>
        </w:numPr>
        <w:rPr>
          <w:rtl/>
        </w:rPr>
        <w:sectPr w:rsidR="00D31714" w:rsidRPr="00897CF1" w:rsidSect="003F4F0D">
          <w:footerReference w:type="default" r:id="rId70"/>
          <w:type w:val="continuous"/>
          <w:pgSz w:w="11906" w:h="16838"/>
          <w:pgMar w:top="720" w:right="720" w:bottom="720" w:left="720" w:header="283" w:footer="283" w:gutter="0"/>
          <w:cols w:num="2" w:space="567"/>
          <w:bidi/>
          <w:rtlGutter/>
        </w:sectPr>
      </w:pPr>
    </w:p>
    <w:p w14:paraId="4365CFA1" w14:textId="77777777" w:rsidR="00D31714" w:rsidRPr="008E1B37" w:rsidRDefault="00D31714" w:rsidP="00D31714">
      <w:pPr>
        <w:pStyle w:val="a7"/>
        <w:rPr>
          <w:rtl/>
        </w:rPr>
      </w:pPr>
    </w:p>
    <w:p w14:paraId="33DB3CEA" w14:textId="77777777" w:rsidR="00D31714" w:rsidRDefault="00D31714" w:rsidP="00D31714">
      <w:pPr>
        <w:keepNext/>
        <w:keepLines/>
        <w:spacing w:after="0" w:line="240" w:lineRule="auto"/>
        <w:jc w:val="center"/>
        <w:outlineLvl w:val="1"/>
        <w:rPr>
          <w:rFonts w:ascii="FrankRuehl" w:eastAsia="Guttman Adii-Light" w:hAnsi="FrankRuehl" w:cs="Guttman Hodes"/>
          <w:b/>
          <w:bCs/>
          <w:noProof/>
          <w:sz w:val="24"/>
          <w:szCs w:val="24"/>
          <w:rtl/>
        </w:rPr>
        <w:sectPr w:rsidR="00D31714" w:rsidSect="00FD3856">
          <w:type w:val="continuous"/>
          <w:pgSz w:w="11906" w:h="16838"/>
          <w:pgMar w:top="720" w:right="720" w:bottom="720" w:left="720" w:header="283" w:footer="283" w:gutter="0"/>
          <w:cols w:space="567"/>
          <w:bidi/>
          <w:rtlGutter/>
          <w:docGrid w:linePitch="299"/>
        </w:sectPr>
      </w:pPr>
    </w:p>
    <w:p w14:paraId="189AE563" w14:textId="10B2A636" w:rsidR="000426DE" w:rsidRPr="00224A5A" w:rsidRDefault="000426DE" w:rsidP="00A35851">
      <w:pPr>
        <w:pStyle w:val="af9"/>
        <w:rPr>
          <w:rtl/>
        </w:rPr>
      </w:pPr>
      <w:r>
        <w:rPr>
          <w:rFonts w:hint="cs"/>
          <w:rtl/>
        </w:rPr>
        <w:lastRenderedPageBreak/>
        <w:t>סימן ד'</w:t>
      </w:r>
    </w:p>
    <w:p w14:paraId="095EBF77" w14:textId="77777777" w:rsidR="000426DE" w:rsidRDefault="000426DE" w:rsidP="00A35851">
      <w:pPr>
        <w:pStyle w:val="af9"/>
        <w:rPr>
          <w:rtl/>
        </w:rPr>
      </w:pPr>
      <w:r>
        <w:rPr>
          <w:rFonts w:hint="cs"/>
          <w:rtl/>
        </w:rPr>
        <w:t>במלאכת קוצר (ב')</w:t>
      </w:r>
    </w:p>
    <w:p w14:paraId="12E3EA10" w14:textId="77777777" w:rsidR="000426DE" w:rsidRPr="006E6B9C" w:rsidRDefault="000426DE" w:rsidP="00A35851">
      <w:pPr>
        <w:pStyle w:val="af9"/>
        <w:rPr>
          <w:rtl/>
        </w:rPr>
      </w:pPr>
      <w:r w:rsidRPr="008F4A22">
        <w:rPr>
          <w:rtl/>
        </w:rPr>
        <w:t>בגדר</w:t>
      </w:r>
      <w:r>
        <w:rPr>
          <w:rFonts w:hint="cs"/>
          <w:rtl/>
        </w:rPr>
        <w:t xml:space="preserve"> מלאכת</w:t>
      </w:r>
      <w:r w:rsidRPr="008F4A22">
        <w:rPr>
          <w:rtl/>
        </w:rPr>
        <w:t xml:space="preserve"> קוצר אי הוי תלישה ממחובר או הפסקת החיות </w:t>
      </w:r>
      <w:r w:rsidRPr="006E6B9C">
        <w:rPr>
          <w:rFonts w:hint="cs"/>
          <w:rtl/>
        </w:rPr>
        <w:t>וב</w:t>
      </w:r>
      <w:r>
        <w:rPr>
          <w:rFonts w:hint="cs"/>
          <w:rtl/>
        </w:rPr>
        <w:t>דין</w:t>
      </w:r>
      <w:r w:rsidRPr="006E6B9C">
        <w:rPr>
          <w:rFonts w:hint="cs"/>
          <w:rtl/>
        </w:rPr>
        <w:t xml:space="preserve"> מיעוט יניקה</w:t>
      </w:r>
    </w:p>
    <w:p w14:paraId="4C971345" w14:textId="77777777" w:rsidR="000426DE" w:rsidRPr="00224A5A" w:rsidRDefault="000426DE" w:rsidP="000426DE">
      <w:pPr>
        <w:keepNext/>
        <w:keepLines/>
        <w:spacing w:after="0" w:line="240" w:lineRule="auto"/>
        <w:jc w:val="center"/>
        <w:outlineLvl w:val="1"/>
        <w:rPr>
          <w:rFonts w:ascii="FrankRuehl" w:eastAsia="Guttman Adii-Light" w:hAnsi="FrankRuehl" w:cs="Guttman Hodes"/>
          <w:b/>
          <w:bCs/>
          <w:noProof/>
          <w:sz w:val="24"/>
          <w:szCs w:val="24"/>
          <w:rtl/>
        </w:rPr>
        <w:sectPr w:rsidR="000426DE" w:rsidRPr="00224A5A" w:rsidSect="000426DE">
          <w:headerReference w:type="default" r:id="rId71"/>
          <w:footerReference w:type="default" r:id="rId72"/>
          <w:headerReference w:type="first" r:id="rId73"/>
          <w:footerReference w:type="first" r:id="rId74"/>
          <w:type w:val="oddPage"/>
          <w:pgSz w:w="11906" w:h="16838"/>
          <w:pgMar w:top="720" w:right="720" w:bottom="720" w:left="720" w:header="283" w:footer="283" w:gutter="0"/>
          <w:cols w:space="113"/>
          <w:bidi/>
          <w:rtlGutter/>
          <w:docGrid w:linePitch="299"/>
        </w:sectPr>
      </w:pPr>
      <w:r w:rsidRPr="00224A5A">
        <w:rPr>
          <w:rFonts w:ascii="FrankRuehl" w:eastAsia="Guttman Adii-Light" w:hAnsi="FrankRuehl" w:cs="Guttman Hodes"/>
          <w:b/>
          <w:bCs/>
          <w:noProof/>
          <w:sz w:val="24"/>
          <w:szCs w:val="24"/>
          <w:rtl/>
        </w:rPr>
        <w:t>~~~~~~~</w:t>
      </w:r>
      <w:r w:rsidRPr="00224A5A">
        <w:rPr>
          <w:rFonts w:ascii="FrankRuehl" w:eastAsia="Guttman Adii-Light" w:hAnsi="FrankRuehl" w:cs="Guttman Hodes" w:hint="cs"/>
          <w:b/>
          <w:bCs/>
          <w:noProof/>
          <w:sz w:val="24"/>
          <w:szCs w:val="24"/>
          <w:rtl/>
        </w:rPr>
        <w:t xml:space="preserve"> תוכן הענייני</w:t>
      </w:r>
      <w:r w:rsidRPr="00224A5A">
        <w:rPr>
          <w:rFonts w:ascii="FrankRuehl" w:eastAsia="Guttman Adii-Light" w:hAnsi="FrankRuehl" w:cs="Guttman Hodes" w:hint="eastAsia"/>
          <w:b/>
          <w:bCs/>
          <w:noProof/>
          <w:sz w:val="24"/>
          <w:szCs w:val="24"/>
          <w:rtl/>
        </w:rPr>
        <w:t>ם</w:t>
      </w:r>
      <w:r w:rsidRPr="00224A5A">
        <w:rPr>
          <w:rFonts w:ascii="FrankRuehl" w:eastAsia="Guttman Adii-Light" w:hAnsi="FrankRuehl" w:cs="Guttman Hodes" w:hint="cs"/>
          <w:b/>
          <w:bCs/>
          <w:noProof/>
          <w:sz w:val="24"/>
          <w:szCs w:val="24"/>
          <w:rtl/>
        </w:rPr>
        <w:t xml:space="preserve"> </w:t>
      </w:r>
      <w:r w:rsidRPr="00224A5A">
        <w:rPr>
          <w:rFonts w:ascii="FrankRuehl" w:eastAsia="Guttman Adii-Light" w:hAnsi="FrankRuehl" w:cs="Guttman Hodes"/>
          <w:b/>
          <w:bCs/>
          <w:noProof/>
          <w:sz w:val="24"/>
          <w:szCs w:val="24"/>
          <w:rtl/>
        </w:rPr>
        <w:t>~~~~~~~</w:t>
      </w:r>
    </w:p>
    <w:p w14:paraId="5ACB2564" w14:textId="77777777" w:rsidR="000426DE" w:rsidRDefault="000426DE" w:rsidP="000426DE">
      <w:pPr>
        <w:pStyle w:val="TOC1"/>
        <w:rPr>
          <w:rFonts w:asciiTheme="minorHAnsi" w:hAnsiTheme="minorHAnsi" w:cstheme="minorBidi"/>
          <w:b w:val="0"/>
          <w:bCs w:val="0"/>
          <w:caps w:val="0"/>
          <w:sz w:val="22"/>
          <w:szCs w:val="22"/>
          <w:rtl/>
        </w:rPr>
      </w:pPr>
      <w:r w:rsidRPr="00224A5A">
        <w:rPr>
          <w:rtl/>
        </w:rPr>
        <w:fldChar w:fldCharType="begin"/>
      </w:r>
      <w:r w:rsidRPr="00224A5A">
        <w:rPr>
          <w:rtl/>
        </w:rPr>
        <w:instrText xml:space="preserve"> </w:instrText>
      </w:r>
      <w:r w:rsidRPr="00224A5A">
        <w:rPr>
          <w:rFonts w:hint="cs"/>
        </w:rPr>
        <w:instrText>TOC</w:instrText>
      </w:r>
      <w:r w:rsidRPr="00224A5A">
        <w:rPr>
          <w:rFonts w:hint="cs"/>
          <w:rtl/>
        </w:rPr>
        <w:instrText xml:space="preserve"> \</w:instrText>
      </w:r>
      <w:r w:rsidRPr="00224A5A">
        <w:rPr>
          <w:rFonts w:hint="cs"/>
        </w:rPr>
        <w:instrText>n \p " " \h \z \t</w:instrText>
      </w:r>
      <w:r w:rsidRPr="00224A5A">
        <w:rPr>
          <w:rFonts w:hint="cs"/>
          <w:rtl/>
        </w:rPr>
        <w:instrText xml:space="preserve"> "כותרת 1,2,כות קט,3,כות מק פנ,1"</w:instrText>
      </w:r>
      <w:r w:rsidRPr="00224A5A">
        <w:rPr>
          <w:rtl/>
        </w:rPr>
        <w:instrText xml:space="preserve"> </w:instrText>
      </w:r>
      <w:r w:rsidRPr="00224A5A">
        <w:rPr>
          <w:rtl/>
        </w:rPr>
        <w:fldChar w:fldCharType="separate"/>
      </w:r>
      <w:hyperlink w:anchor="_Toc139316308" w:history="1">
        <w:r w:rsidRPr="00602C92">
          <w:rPr>
            <w:rStyle w:val="Hyperlink"/>
            <w:rtl/>
          </w:rPr>
          <w:t>בדין קוצר בהפסקת חיות בשולה דג</w:t>
        </w:r>
      </w:hyperlink>
    </w:p>
    <w:p w14:paraId="3E6659AD" w14:textId="77777777" w:rsidR="000426DE" w:rsidRDefault="00AD16A0" w:rsidP="000426DE">
      <w:pPr>
        <w:pStyle w:val="TOC2"/>
        <w:rPr>
          <w:rFonts w:cstheme="minorBidi"/>
          <w:b w:val="0"/>
          <w:bCs w:val="0"/>
          <w:sz w:val="22"/>
          <w:szCs w:val="22"/>
          <w:rtl/>
        </w:rPr>
      </w:pPr>
      <w:hyperlink w:anchor="_Toc139316309" w:history="1">
        <w:r w:rsidR="000426DE" w:rsidRPr="00602C92">
          <w:rPr>
            <w:rStyle w:val="Hyperlink"/>
            <w:rtl/>
          </w:rPr>
          <w:t>בי' רש"י והרמב"ם בבבלי דשולה דג חייב משום נטילת נשמה</w:t>
        </w:r>
      </w:hyperlink>
    </w:p>
    <w:p w14:paraId="778B0E59" w14:textId="77777777" w:rsidR="000426DE" w:rsidRPr="000426DE" w:rsidRDefault="00AD16A0" w:rsidP="00ED704E">
      <w:pPr>
        <w:pStyle w:val="TOC3"/>
        <w:rPr>
          <w:rFonts w:asciiTheme="minorHAnsi" w:eastAsiaTheme="minorEastAsia" w:hAnsiTheme="minorHAnsi" w:cstheme="minorBidi"/>
          <w:sz w:val="22"/>
          <w:szCs w:val="22"/>
          <w:rtl/>
        </w:rPr>
      </w:pPr>
      <w:hyperlink w:anchor="_Toc139316310" w:history="1">
        <w:r w:rsidR="000426DE" w:rsidRPr="00602C92">
          <w:rPr>
            <w:rStyle w:val="Hyperlink"/>
            <w:rtl/>
          </w:rPr>
          <w:t>בי' רש"י דשולה דג שהיה נצוד מבעו"י ויבש בו כסלע חייב משום נטילת נשמה דלא יחיה עוד</w:t>
        </w:r>
      </w:hyperlink>
    </w:p>
    <w:p w14:paraId="2CB257A1" w14:textId="77777777" w:rsidR="000426DE" w:rsidRDefault="00AD16A0" w:rsidP="00ED704E">
      <w:pPr>
        <w:pStyle w:val="TOC3"/>
        <w:rPr>
          <w:rFonts w:asciiTheme="minorHAnsi" w:eastAsiaTheme="minorEastAsia" w:hAnsiTheme="minorHAnsi" w:cstheme="minorBidi"/>
          <w:sz w:val="22"/>
          <w:szCs w:val="22"/>
          <w:rtl/>
        </w:rPr>
      </w:pPr>
      <w:hyperlink w:anchor="_Toc139316311" w:history="1">
        <w:r w:rsidR="000426DE" w:rsidRPr="00602C92">
          <w:rPr>
            <w:rStyle w:val="Hyperlink"/>
            <w:rtl/>
          </w:rPr>
          <w:t>בי' הרמב"ם דשוחט חייב משום נטילת נשמה וכן שולה דג מספל של מים ויבש בו כסלע</w:t>
        </w:r>
      </w:hyperlink>
    </w:p>
    <w:p w14:paraId="50D89986" w14:textId="77777777" w:rsidR="000426DE" w:rsidRDefault="00AD16A0" w:rsidP="00ED704E">
      <w:pPr>
        <w:pStyle w:val="TOC3"/>
        <w:rPr>
          <w:rFonts w:asciiTheme="minorHAnsi" w:eastAsiaTheme="minorEastAsia" w:hAnsiTheme="minorHAnsi" w:cstheme="minorBidi"/>
          <w:sz w:val="22"/>
          <w:szCs w:val="22"/>
          <w:rtl/>
        </w:rPr>
      </w:pPr>
      <w:hyperlink w:anchor="_Toc139316312" w:history="1">
        <w:r w:rsidR="000426DE" w:rsidRPr="00602C92">
          <w:rPr>
            <w:rStyle w:val="Hyperlink"/>
            <w:rtl/>
          </w:rPr>
          <w:t>בי' רבינו גרשום בבבלי דהשולה דג ויבש בו כסלע חייב משום צידה ומשום נטילת נשמה</w:t>
        </w:r>
      </w:hyperlink>
    </w:p>
    <w:p w14:paraId="208681F3" w14:textId="77777777" w:rsidR="000426DE" w:rsidRDefault="00AD16A0" w:rsidP="000426DE">
      <w:pPr>
        <w:pStyle w:val="TOC2"/>
        <w:rPr>
          <w:rFonts w:cstheme="minorBidi"/>
          <w:b w:val="0"/>
          <w:bCs w:val="0"/>
          <w:sz w:val="22"/>
          <w:szCs w:val="22"/>
          <w:rtl/>
        </w:rPr>
      </w:pPr>
      <w:hyperlink w:anchor="_Toc139316313" w:history="1">
        <w:r w:rsidR="000426DE" w:rsidRPr="00602C92">
          <w:rPr>
            <w:rStyle w:val="Hyperlink"/>
            <w:rtl/>
          </w:rPr>
          <w:t>בי' הרמב"ן דהבבלי פליג על הירו' דחייב בדג משום קוצר</w:t>
        </w:r>
      </w:hyperlink>
    </w:p>
    <w:p w14:paraId="6333F9B4" w14:textId="77777777" w:rsidR="000426DE" w:rsidRDefault="00AD16A0" w:rsidP="00ED704E">
      <w:pPr>
        <w:pStyle w:val="TOC3"/>
        <w:rPr>
          <w:rFonts w:asciiTheme="minorHAnsi" w:eastAsiaTheme="minorEastAsia" w:hAnsiTheme="minorHAnsi" w:cstheme="minorBidi"/>
          <w:sz w:val="22"/>
          <w:szCs w:val="22"/>
          <w:rtl/>
        </w:rPr>
      </w:pPr>
      <w:hyperlink w:anchor="_Toc139316314" w:history="1">
        <w:r w:rsidR="000426DE" w:rsidRPr="00602C92">
          <w:rPr>
            <w:rStyle w:val="Hyperlink"/>
            <w:rtl/>
          </w:rPr>
          <w:t>בי' הרמב"ן דרק לירושלמי הפסקת חיות של דג הוי קוצר אבל לבבלי הוי נטילת נשמה ולא קוצר</w:t>
        </w:r>
      </w:hyperlink>
    </w:p>
    <w:p w14:paraId="5BFF5198" w14:textId="77777777" w:rsidR="000426DE" w:rsidRDefault="00AD16A0" w:rsidP="00ED704E">
      <w:pPr>
        <w:pStyle w:val="TOC3"/>
        <w:rPr>
          <w:rFonts w:asciiTheme="minorHAnsi" w:eastAsiaTheme="minorEastAsia" w:hAnsiTheme="minorHAnsi" w:cstheme="minorBidi"/>
          <w:sz w:val="22"/>
          <w:szCs w:val="22"/>
          <w:rtl/>
        </w:rPr>
      </w:pPr>
      <w:hyperlink w:anchor="_Toc139316315" w:history="1">
        <w:r w:rsidR="000426DE" w:rsidRPr="00602C92">
          <w:rPr>
            <w:rStyle w:val="Hyperlink"/>
            <w:rtl/>
          </w:rPr>
          <w:t>בי' המנ"ח דאפש"ל דהבבלי ל"פ על הירושלמי ויש קוצר שלא בגידו"ק ולירו' הוי כל שוחט קוצר</w:t>
        </w:r>
      </w:hyperlink>
    </w:p>
    <w:p w14:paraId="6CEA20F0" w14:textId="77777777" w:rsidR="000426DE" w:rsidRDefault="00AD16A0" w:rsidP="000426DE">
      <w:pPr>
        <w:pStyle w:val="TOC2"/>
        <w:rPr>
          <w:rFonts w:cstheme="minorBidi"/>
          <w:b w:val="0"/>
          <w:bCs w:val="0"/>
          <w:sz w:val="22"/>
          <w:szCs w:val="22"/>
          <w:rtl/>
        </w:rPr>
      </w:pPr>
      <w:hyperlink w:anchor="_Toc139316316" w:history="1">
        <w:r w:rsidR="000426DE" w:rsidRPr="00602C92">
          <w:rPr>
            <w:rStyle w:val="Hyperlink"/>
            <w:rtl/>
          </w:rPr>
          <w:t>בי' המהריט"א ברש"י דבמחובר מודה הבבלי דמפסיק חיות קוצר</w:t>
        </w:r>
      </w:hyperlink>
    </w:p>
    <w:p w14:paraId="6CFE8687" w14:textId="77777777" w:rsidR="000426DE" w:rsidRDefault="00AD16A0" w:rsidP="00ED704E">
      <w:pPr>
        <w:pStyle w:val="TOC3"/>
        <w:rPr>
          <w:rFonts w:asciiTheme="minorHAnsi" w:eastAsiaTheme="minorEastAsia" w:hAnsiTheme="minorHAnsi" w:cstheme="minorBidi"/>
          <w:sz w:val="22"/>
          <w:szCs w:val="22"/>
          <w:rtl/>
        </w:rPr>
      </w:pPr>
      <w:hyperlink w:anchor="_Toc139316317" w:history="1">
        <w:r w:rsidR="000426DE" w:rsidRPr="00602C92">
          <w:rPr>
            <w:rStyle w:val="Hyperlink"/>
            <w:rtl/>
          </w:rPr>
          <w:t>בי' המהריט"א דמשמע ברש"י דבמחובר מודה הבבלי לירושלמי דכל הפסקת חיות הוי קוצר</w:t>
        </w:r>
      </w:hyperlink>
    </w:p>
    <w:p w14:paraId="7B7BE63F" w14:textId="77777777" w:rsidR="000426DE" w:rsidRDefault="00AD16A0" w:rsidP="00ED704E">
      <w:pPr>
        <w:pStyle w:val="TOC3"/>
        <w:rPr>
          <w:rFonts w:asciiTheme="minorHAnsi" w:eastAsiaTheme="minorEastAsia" w:hAnsiTheme="minorHAnsi" w:cstheme="minorBidi"/>
          <w:sz w:val="22"/>
          <w:szCs w:val="22"/>
          <w:rtl/>
        </w:rPr>
      </w:pPr>
      <w:hyperlink w:anchor="_Toc139316318" w:history="1">
        <w:r w:rsidR="000426DE" w:rsidRPr="00602C92">
          <w:rPr>
            <w:rStyle w:val="Hyperlink"/>
            <w:rtl/>
          </w:rPr>
          <w:t>בי' המהריט"א דרבנן דאסור חולב בשבות אפש"ל דבמחובר מודו לסברת הירו' ודלא כרמב"ן</w:t>
        </w:r>
      </w:hyperlink>
    </w:p>
    <w:p w14:paraId="5B3CECCE" w14:textId="77777777" w:rsidR="000426DE" w:rsidRDefault="00AD16A0" w:rsidP="000426DE">
      <w:pPr>
        <w:pStyle w:val="TOC2"/>
        <w:rPr>
          <w:rFonts w:cstheme="minorBidi"/>
          <w:b w:val="0"/>
          <w:bCs w:val="0"/>
          <w:sz w:val="22"/>
          <w:szCs w:val="22"/>
          <w:rtl/>
        </w:rPr>
      </w:pPr>
      <w:hyperlink w:anchor="_Toc139316319" w:history="1">
        <w:r w:rsidR="000426DE" w:rsidRPr="00602C92">
          <w:rPr>
            <w:rStyle w:val="Hyperlink"/>
            <w:rtl/>
          </w:rPr>
          <w:t>הבי' דשולה דג הוא קוצר אף בהחזירו וביבש הוי נטילת נשמה</w:t>
        </w:r>
      </w:hyperlink>
    </w:p>
    <w:p w14:paraId="4B5586A8" w14:textId="77777777" w:rsidR="000426DE" w:rsidRDefault="00AD16A0" w:rsidP="00ED704E">
      <w:pPr>
        <w:pStyle w:val="TOC3"/>
        <w:rPr>
          <w:rFonts w:asciiTheme="minorHAnsi" w:eastAsiaTheme="minorEastAsia" w:hAnsiTheme="minorHAnsi" w:cstheme="minorBidi"/>
          <w:sz w:val="22"/>
          <w:szCs w:val="22"/>
          <w:rtl/>
        </w:rPr>
      </w:pPr>
      <w:hyperlink w:anchor="_Toc139316320" w:history="1">
        <w:r w:rsidR="000426DE" w:rsidRPr="00602C92">
          <w:rPr>
            <w:rStyle w:val="Hyperlink"/>
            <w:rtl/>
          </w:rPr>
          <w:t>בי' הרוקח והכל בו דלהלכה קיי"ל דהשולה דג וכן כל דבר שמבדילו מחיותו חייב משום קוצר</w:t>
        </w:r>
      </w:hyperlink>
    </w:p>
    <w:p w14:paraId="2B1BC37C" w14:textId="77777777" w:rsidR="000426DE" w:rsidRDefault="00AD16A0" w:rsidP="00ED704E">
      <w:pPr>
        <w:pStyle w:val="TOC3"/>
        <w:rPr>
          <w:rFonts w:asciiTheme="minorHAnsi" w:eastAsiaTheme="minorEastAsia" w:hAnsiTheme="minorHAnsi" w:cstheme="minorBidi"/>
          <w:sz w:val="22"/>
          <w:szCs w:val="22"/>
          <w:rtl/>
        </w:rPr>
      </w:pPr>
      <w:hyperlink w:anchor="_Toc139316321" w:history="1">
        <w:r w:rsidR="000426DE" w:rsidRPr="00602C92">
          <w:rPr>
            <w:rStyle w:val="Hyperlink"/>
            <w:rtl/>
          </w:rPr>
          <w:t>בי' הקרבן העדה והפני משה דהירושלמי חייב בקוצר רק בדג שנצוד ועומד מבעוד יום</w:t>
        </w:r>
      </w:hyperlink>
    </w:p>
    <w:p w14:paraId="63272777" w14:textId="77777777" w:rsidR="000426DE" w:rsidRDefault="00AD16A0" w:rsidP="00ED704E">
      <w:pPr>
        <w:pStyle w:val="TOC3"/>
        <w:rPr>
          <w:rFonts w:asciiTheme="minorHAnsi" w:eastAsiaTheme="minorEastAsia" w:hAnsiTheme="minorHAnsi" w:cstheme="minorBidi"/>
          <w:sz w:val="22"/>
          <w:szCs w:val="22"/>
          <w:rtl/>
        </w:rPr>
      </w:pPr>
      <w:hyperlink w:anchor="_Toc139316322" w:history="1">
        <w:r w:rsidR="000426DE" w:rsidRPr="00602C92">
          <w:rPr>
            <w:rStyle w:val="Hyperlink"/>
            <w:rtl/>
          </w:rPr>
          <w:t>בי' היש"ש דבשולה דג חייב קוצר מיד אף אי החזירו למים ואחר שיבש חייב משום נטילת נשמה</w:t>
        </w:r>
      </w:hyperlink>
    </w:p>
    <w:p w14:paraId="7021DBA4" w14:textId="77777777" w:rsidR="000426DE" w:rsidRDefault="00AD16A0" w:rsidP="00ED704E">
      <w:pPr>
        <w:pStyle w:val="TOC3"/>
        <w:rPr>
          <w:rFonts w:asciiTheme="minorHAnsi" w:eastAsiaTheme="minorEastAsia" w:hAnsiTheme="minorHAnsi" w:cstheme="minorBidi"/>
          <w:sz w:val="22"/>
          <w:szCs w:val="22"/>
          <w:rtl/>
        </w:rPr>
      </w:pPr>
      <w:hyperlink w:anchor="_Toc139316323" w:history="1">
        <w:r w:rsidR="000426DE" w:rsidRPr="00602C92">
          <w:rPr>
            <w:rStyle w:val="Hyperlink"/>
            <w:rtl/>
          </w:rPr>
          <w:t>בי' המחה"ש והפרמ"ג דנקט הירו' קוצר דחייב מיד ובהחזירו למים פטור דלא עקרו מגידלו</w:t>
        </w:r>
      </w:hyperlink>
    </w:p>
    <w:p w14:paraId="5DF4137E" w14:textId="77777777" w:rsidR="000426DE" w:rsidRDefault="00AD16A0" w:rsidP="000426DE">
      <w:pPr>
        <w:pStyle w:val="TOC2"/>
        <w:rPr>
          <w:rFonts w:cstheme="minorBidi"/>
          <w:b w:val="0"/>
          <w:bCs w:val="0"/>
          <w:sz w:val="22"/>
          <w:szCs w:val="22"/>
          <w:rtl/>
        </w:rPr>
      </w:pPr>
      <w:hyperlink w:anchor="_Toc139316324" w:history="1">
        <w:r w:rsidR="000426DE" w:rsidRPr="00602C92">
          <w:rPr>
            <w:rStyle w:val="Hyperlink"/>
            <w:rtl/>
          </w:rPr>
          <w:t>בי' ר"ח בבבלי דהשולה דג והחזירו לא עקרו מגידולו ופטור</w:t>
        </w:r>
      </w:hyperlink>
    </w:p>
    <w:p w14:paraId="779CBEC8" w14:textId="77777777" w:rsidR="000426DE" w:rsidRDefault="00AD16A0" w:rsidP="00ED704E">
      <w:pPr>
        <w:pStyle w:val="TOC3"/>
        <w:rPr>
          <w:rFonts w:asciiTheme="minorHAnsi" w:eastAsiaTheme="minorEastAsia" w:hAnsiTheme="minorHAnsi" w:cstheme="minorBidi"/>
          <w:sz w:val="22"/>
          <w:szCs w:val="22"/>
          <w:rtl/>
        </w:rPr>
      </w:pPr>
      <w:hyperlink w:anchor="_Toc139316325" w:history="1">
        <w:r w:rsidR="000426DE" w:rsidRPr="00602C92">
          <w:rPr>
            <w:rStyle w:val="Hyperlink"/>
            <w:rtl/>
          </w:rPr>
          <w:t>בי' ר"ח בבלי דהשולה דג ולא יבש כסלע והחזירו לים פטור דלא עקרו ממקום חיותו לגמרי</w:t>
        </w:r>
      </w:hyperlink>
    </w:p>
    <w:p w14:paraId="53500214" w14:textId="77777777" w:rsidR="000426DE" w:rsidRDefault="00AD16A0" w:rsidP="000426DE">
      <w:pPr>
        <w:pStyle w:val="TOC2"/>
        <w:rPr>
          <w:rFonts w:cstheme="minorBidi"/>
          <w:b w:val="0"/>
          <w:bCs w:val="0"/>
          <w:sz w:val="22"/>
          <w:szCs w:val="22"/>
          <w:rtl/>
        </w:rPr>
      </w:pPr>
      <w:hyperlink w:anchor="_Toc139316326" w:history="1">
        <w:r w:rsidR="000426DE" w:rsidRPr="00602C92">
          <w:rPr>
            <w:rStyle w:val="Hyperlink"/>
            <w:rtl/>
          </w:rPr>
          <w:t>בי' הש"ק דאף לבבלי יש קוצר בדג אחר שיבש ואי החזירו פטור</w:t>
        </w:r>
      </w:hyperlink>
    </w:p>
    <w:p w14:paraId="3F6CAA2F" w14:textId="77777777" w:rsidR="000426DE" w:rsidRDefault="00AD16A0" w:rsidP="00ED704E">
      <w:pPr>
        <w:pStyle w:val="TOC3"/>
        <w:rPr>
          <w:rFonts w:asciiTheme="minorHAnsi" w:eastAsiaTheme="minorEastAsia" w:hAnsiTheme="minorHAnsi" w:cstheme="minorBidi"/>
          <w:sz w:val="22"/>
          <w:szCs w:val="22"/>
          <w:rtl/>
        </w:rPr>
      </w:pPr>
      <w:hyperlink w:anchor="_Toc139316327" w:history="1">
        <w:r w:rsidR="000426DE" w:rsidRPr="00602C92">
          <w:rPr>
            <w:rStyle w:val="Hyperlink"/>
            <w:rtl/>
          </w:rPr>
          <w:t>בי' השיירי קרבן דאפש"ל דכוונת שמואל לקמן לומר דחייב משום קוצר כירו' אך רש"י לא כ"כ</w:t>
        </w:r>
      </w:hyperlink>
    </w:p>
    <w:p w14:paraId="46C99CA6" w14:textId="77777777" w:rsidR="000426DE" w:rsidRDefault="00AD16A0" w:rsidP="00ED704E">
      <w:pPr>
        <w:pStyle w:val="TOC3"/>
        <w:rPr>
          <w:rFonts w:asciiTheme="minorHAnsi" w:eastAsiaTheme="minorEastAsia" w:hAnsiTheme="minorHAnsi" w:cstheme="minorBidi"/>
          <w:sz w:val="22"/>
          <w:szCs w:val="22"/>
          <w:rtl/>
        </w:rPr>
      </w:pPr>
      <w:hyperlink w:anchor="_Toc139316328" w:history="1">
        <w:r w:rsidR="000426DE" w:rsidRPr="00602C92">
          <w:rPr>
            <w:rStyle w:val="Hyperlink"/>
            <w:rtl/>
          </w:rPr>
          <w:t>בי' השיורי קרבן דהחיוב בקוצר לירו' הוא רק ביבש בו כסלע אלא דאם החזירו לפני שיבש פטור</w:t>
        </w:r>
      </w:hyperlink>
    </w:p>
    <w:p w14:paraId="3F8B6266" w14:textId="77777777" w:rsidR="000426DE" w:rsidRDefault="00AD16A0" w:rsidP="00ED704E">
      <w:pPr>
        <w:pStyle w:val="TOC3"/>
        <w:rPr>
          <w:rFonts w:asciiTheme="minorHAnsi" w:eastAsiaTheme="minorEastAsia" w:hAnsiTheme="minorHAnsi" w:cstheme="minorBidi"/>
          <w:sz w:val="22"/>
          <w:szCs w:val="22"/>
          <w:rtl/>
        </w:rPr>
      </w:pPr>
      <w:hyperlink w:anchor="_Toc139316329" w:history="1">
        <w:r w:rsidR="000426DE" w:rsidRPr="00602C92">
          <w:rPr>
            <w:rStyle w:val="Hyperlink"/>
            <w:rtl/>
          </w:rPr>
          <w:t>דחיית הרש"ש דאי מחזיר למים פטור ה"ה תולש וחזר וחיברו וא"א לומר כן דנגמרה המלאכה</w:t>
        </w:r>
      </w:hyperlink>
    </w:p>
    <w:p w14:paraId="614AB194" w14:textId="77777777" w:rsidR="000426DE" w:rsidRDefault="00AD16A0" w:rsidP="00ED704E">
      <w:pPr>
        <w:pStyle w:val="TOC3"/>
        <w:rPr>
          <w:rFonts w:asciiTheme="minorHAnsi" w:eastAsiaTheme="minorEastAsia" w:hAnsiTheme="minorHAnsi" w:cstheme="minorBidi"/>
          <w:sz w:val="22"/>
          <w:szCs w:val="22"/>
          <w:rtl/>
        </w:rPr>
      </w:pPr>
      <w:hyperlink w:anchor="_Toc139316330" w:history="1">
        <w:r w:rsidR="000426DE" w:rsidRPr="00602C92">
          <w:rPr>
            <w:rStyle w:val="Hyperlink"/>
            <w:rtl/>
          </w:rPr>
          <w:t>דחיית האגל"ט דלש"ק עציץ שהגביהו ע"ג יתדות אי חשיב עקירה דאו' יפטר בחזר והניחו</w:t>
        </w:r>
      </w:hyperlink>
    </w:p>
    <w:p w14:paraId="098B6265" w14:textId="77777777" w:rsidR="000426DE" w:rsidRDefault="00AD16A0" w:rsidP="000426DE">
      <w:pPr>
        <w:pStyle w:val="TOC2"/>
        <w:rPr>
          <w:rFonts w:cstheme="minorBidi"/>
          <w:b w:val="0"/>
          <w:bCs w:val="0"/>
          <w:sz w:val="22"/>
          <w:szCs w:val="22"/>
          <w:rtl/>
        </w:rPr>
      </w:pPr>
      <w:hyperlink w:anchor="_Toc139316331" w:history="1">
        <w:r w:rsidR="000426DE" w:rsidRPr="00602C92">
          <w:rPr>
            <w:rStyle w:val="Hyperlink"/>
            <w:rtl/>
          </w:rPr>
          <w:t>בי' האגל"ט דהבבלי ל"פ על הירו' ואיירי בניצוד דאין חיוב קוצר</w:t>
        </w:r>
      </w:hyperlink>
    </w:p>
    <w:p w14:paraId="434A782F" w14:textId="77777777" w:rsidR="000426DE" w:rsidRDefault="00AD16A0" w:rsidP="00ED704E">
      <w:pPr>
        <w:pStyle w:val="TOC3"/>
        <w:rPr>
          <w:rFonts w:asciiTheme="minorHAnsi" w:eastAsiaTheme="minorEastAsia" w:hAnsiTheme="minorHAnsi" w:cstheme="minorBidi"/>
          <w:sz w:val="22"/>
          <w:szCs w:val="22"/>
          <w:rtl/>
        </w:rPr>
      </w:pPr>
      <w:hyperlink w:anchor="_Toc139316332" w:history="1">
        <w:r w:rsidR="000426DE" w:rsidRPr="00602C92">
          <w:rPr>
            <w:rStyle w:val="Hyperlink"/>
            <w:rtl/>
          </w:rPr>
          <w:t>בי' האגל"ט דחיוב קוצר במקום שיש איסור צידה ובירו' הניחו בספל של מים דאין נטילת נשמה</w:t>
        </w:r>
      </w:hyperlink>
    </w:p>
    <w:p w14:paraId="1AF18575" w14:textId="77777777" w:rsidR="000426DE" w:rsidRDefault="00AD16A0" w:rsidP="000426DE">
      <w:pPr>
        <w:pStyle w:val="TOC1"/>
        <w:rPr>
          <w:rFonts w:asciiTheme="minorHAnsi" w:hAnsiTheme="minorHAnsi" w:cstheme="minorBidi"/>
          <w:b w:val="0"/>
          <w:bCs w:val="0"/>
          <w:caps w:val="0"/>
          <w:sz w:val="22"/>
          <w:szCs w:val="22"/>
          <w:rtl/>
        </w:rPr>
      </w:pPr>
      <w:hyperlink w:anchor="_Toc139316333" w:history="1">
        <w:r w:rsidR="000426DE" w:rsidRPr="00602C92">
          <w:rPr>
            <w:rStyle w:val="Hyperlink"/>
            <w:rtl/>
          </w:rPr>
          <w:t>פלו' הראשונים אי מדלדל עובר הוי קוצר</w:t>
        </w:r>
      </w:hyperlink>
    </w:p>
    <w:p w14:paraId="3E999FF0" w14:textId="77777777" w:rsidR="000426DE" w:rsidRDefault="00AD16A0" w:rsidP="000426DE">
      <w:pPr>
        <w:pStyle w:val="TOC2"/>
        <w:rPr>
          <w:rFonts w:cstheme="minorBidi"/>
          <w:b w:val="0"/>
          <w:bCs w:val="0"/>
          <w:sz w:val="22"/>
          <w:szCs w:val="22"/>
          <w:rtl/>
        </w:rPr>
      </w:pPr>
      <w:hyperlink w:anchor="_Toc139316334" w:history="1">
        <w:r w:rsidR="000426DE" w:rsidRPr="00602C92">
          <w:rPr>
            <w:rStyle w:val="Hyperlink"/>
            <w:rtl/>
          </w:rPr>
          <w:t>בי' הרמב"ן והרמב"ם דמדלדל עובר הוי נטילת נשמה כעוקר</w:t>
        </w:r>
      </w:hyperlink>
    </w:p>
    <w:p w14:paraId="26998A23" w14:textId="77777777" w:rsidR="000426DE" w:rsidRDefault="00AD16A0" w:rsidP="00ED704E">
      <w:pPr>
        <w:pStyle w:val="TOC3"/>
        <w:rPr>
          <w:rFonts w:asciiTheme="minorHAnsi" w:eastAsiaTheme="minorEastAsia" w:hAnsiTheme="minorHAnsi" w:cstheme="minorBidi"/>
          <w:sz w:val="22"/>
          <w:szCs w:val="22"/>
          <w:rtl/>
        </w:rPr>
      </w:pPr>
      <w:hyperlink w:anchor="_Toc139316335" w:history="1">
        <w:r w:rsidR="000426DE" w:rsidRPr="00602C92">
          <w:rPr>
            <w:rStyle w:val="Hyperlink"/>
            <w:rtl/>
          </w:rPr>
          <w:t>בי' הרמב"ן דא"א לומר דמדלדל עובר הוא עוקר דבר מגידולו דהא קוצר הוא רק בגידולי קרקע</w:t>
        </w:r>
      </w:hyperlink>
    </w:p>
    <w:p w14:paraId="6B553349" w14:textId="77777777" w:rsidR="000426DE" w:rsidRDefault="00AD16A0" w:rsidP="00ED704E">
      <w:pPr>
        <w:pStyle w:val="TOC3"/>
        <w:rPr>
          <w:rFonts w:asciiTheme="minorHAnsi" w:eastAsiaTheme="minorEastAsia" w:hAnsiTheme="minorHAnsi" w:cstheme="minorBidi"/>
          <w:sz w:val="22"/>
          <w:szCs w:val="22"/>
          <w:rtl/>
        </w:rPr>
      </w:pPr>
      <w:hyperlink w:anchor="_Toc139316336" w:history="1">
        <w:r w:rsidR="000426DE" w:rsidRPr="00602C92">
          <w:rPr>
            <w:rStyle w:val="Hyperlink"/>
            <w:rtl/>
          </w:rPr>
          <w:t>בי' הרמב"ן דמדלדל עובר נוטל נשמתו ודמי לעוקר דבר מגידולו כיון דחיותו תלויה באמו</w:t>
        </w:r>
      </w:hyperlink>
    </w:p>
    <w:p w14:paraId="3E9D57CE" w14:textId="77777777" w:rsidR="000426DE" w:rsidRDefault="00AD16A0" w:rsidP="00ED704E">
      <w:pPr>
        <w:pStyle w:val="TOC3"/>
        <w:rPr>
          <w:rFonts w:asciiTheme="minorHAnsi" w:eastAsiaTheme="minorEastAsia" w:hAnsiTheme="minorHAnsi" w:cstheme="minorBidi"/>
          <w:sz w:val="22"/>
          <w:szCs w:val="22"/>
          <w:rtl/>
        </w:rPr>
      </w:pPr>
      <w:hyperlink w:anchor="_Toc139316337" w:history="1">
        <w:r w:rsidR="000426DE" w:rsidRPr="00602C92">
          <w:rPr>
            <w:rStyle w:val="Hyperlink"/>
            <w:rtl/>
          </w:rPr>
          <w:t>בי' הרמב"ן דבכשותא שתלויה בהיזמי העוקר הוא קוצר ובעובר שתלוי באמו הוא נטילת נשמה</w:t>
        </w:r>
      </w:hyperlink>
    </w:p>
    <w:p w14:paraId="353E3D0C" w14:textId="77777777" w:rsidR="000426DE" w:rsidRDefault="00AD16A0" w:rsidP="00ED704E">
      <w:pPr>
        <w:pStyle w:val="TOC3"/>
        <w:rPr>
          <w:rFonts w:asciiTheme="minorHAnsi" w:eastAsiaTheme="minorEastAsia" w:hAnsiTheme="minorHAnsi" w:cstheme="minorBidi"/>
          <w:sz w:val="22"/>
          <w:szCs w:val="22"/>
          <w:rtl/>
        </w:rPr>
      </w:pPr>
      <w:hyperlink w:anchor="_Toc139316338" w:history="1">
        <w:r w:rsidR="000426DE" w:rsidRPr="00602C92">
          <w:rPr>
            <w:rStyle w:val="Hyperlink"/>
            <w:rtl/>
          </w:rPr>
          <w:t>בי' הרמב"ן ברמב"ם דחיוב מדלדל עובר חייב משום נטילת נשמה ולא קוצר וה"ה בשולה דג</w:t>
        </w:r>
      </w:hyperlink>
    </w:p>
    <w:p w14:paraId="2FB8CC94" w14:textId="77777777" w:rsidR="000426DE" w:rsidRDefault="00AD16A0" w:rsidP="000426DE">
      <w:pPr>
        <w:pStyle w:val="TOC2"/>
        <w:rPr>
          <w:rFonts w:cstheme="minorBidi"/>
          <w:b w:val="0"/>
          <w:bCs w:val="0"/>
          <w:sz w:val="22"/>
          <w:szCs w:val="22"/>
          <w:rtl/>
        </w:rPr>
      </w:pPr>
      <w:hyperlink w:anchor="_Toc139316339" w:history="1">
        <w:r w:rsidR="000426DE" w:rsidRPr="00602C92">
          <w:rPr>
            <w:rStyle w:val="Hyperlink"/>
            <w:rtl/>
          </w:rPr>
          <w:t>בי' ר"ח בבבלי דמדלדל עובר חייב משום עוקר דבר מגידולו</w:t>
        </w:r>
      </w:hyperlink>
    </w:p>
    <w:p w14:paraId="5F8D0DB9" w14:textId="77777777" w:rsidR="000426DE" w:rsidRDefault="00AD16A0" w:rsidP="00ED704E">
      <w:pPr>
        <w:pStyle w:val="TOC3"/>
        <w:rPr>
          <w:rFonts w:asciiTheme="minorHAnsi" w:eastAsiaTheme="minorEastAsia" w:hAnsiTheme="minorHAnsi" w:cstheme="minorBidi"/>
          <w:sz w:val="22"/>
          <w:szCs w:val="22"/>
          <w:rtl/>
        </w:rPr>
      </w:pPr>
      <w:hyperlink w:anchor="_Toc139316340" w:history="1">
        <w:r w:rsidR="000426DE" w:rsidRPr="00602C92">
          <w:rPr>
            <w:rStyle w:val="Hyperlink"/>
            <w:rtl/>
          </w:rPr>
          <w:t>בי' ר"ח בבבלי דהמדלדל עובר חייב משום עוקר דבר מגידולו כתולש כשותא מהיזמי</w:t>
        </w:r>
      </w:hyperlink>
    </w:p>
    <w:p w14:paraId="415468BE" w14:textId="77777777" w:rsidR="000426DE" w:rsidRDefault="00AD16A0" w:rsidP="00ED704E">
      <w:pPr>
        <w:pStyle w:val="TOC3"/>
        <w:rPr>
          <w:rFonts w:asciiTheme="minorHAnsi" w:eastAsiaTheme="minorEastAsia" w:hAnsiTheme="minorHAnsi" w:cstheme="minorBidi"/>
          <w:sz w:val="22"/>
          <w:szCs w:val="22"/>
          <w:rtl/>
        </w:rPr>
      </w:pPr>
      <w:hyperlink w:anchor="_Toc139316341" w:history="1">
        <w:r w:rsidR="000426DE" w:rsidRPr="00602C92">
          <w:rPr>
            <w:rStyle w:val="Hyperlink"/>
            <w:rtl/>
          </w:rPr>
          <w:t>בי' המאירי דמדלדל עובר חייב משום עוקר דבר מגידולו אף שלא מת דבמת חייב בנטילת נשמה</w:t>
        </w:r>
      </w:hyperlink>
    </w:p>
    <w:p w14:paraId="5E43287F" w14:textId="77777777" w:rsidR="000426DE" w:rsidRDefault="00AD16A0" w:rsidP="000426DE">
      <w:pPr>
        <w:pStyle w:val="TOC1"/>
        <w:rPr>
          <w:rFonts w:asciiTheme="minorHAnsi" w:hAnsiTheme="minorHAnsi" w:cstheme="minorBidi"/>
          <w:b w:val="0"/>
          <w:bCs w:val="0"/>
          <w:caps w:val="0"/>
          <w:sz w:val="22"/>
          <w:szCs w:val="22"/>
          <w:rtl/>
        </w:rPr>
      </w:pPr>
      <w:hyperlink w:anchor="_Toc139316342" w:history="1">
        <w:r w:rsidR="000426DE" w:rsidRPr="00602C92">
          <w:rPr>
            <w:rStyle w:val="Hyperlink"/>
            <w:rtl/>
          </w:rPr>
          <w:t>בד' הבבלי והירו' בחולב אי מפסיק חיות</w:t>
        </w:r>
      </w:hyperlink>
    </w:p>
    <w:p w14:paraId="51758A6B" w14:textId="77777777" w:rsidR="000426DE" w:rsidRDefault="00AD16A0" w:rsidP="000426DE">
      <w:pPr>
        <w:pStyle w:val="TOC2"/>
        <w:rPr>
          <w:rFonts w:cstheme="minorBidi"/>
          <w:b w:val="0"/>
          <w:bCs w:val="0"/>
          <w:sz w:val="22"/>
          <w:szCs w:val="22"/>
          <w:rtl/>
        </w:rPr>
      </w:pPr>
      <w:hyperlink w:anchor="_Toc139316343" w:history="1">
        <w:r w:rsidR="000426DE" w:rsidRPr="00602C92">
          <w:rPr>
            <w:rStyle w:val="Hyperlink"/>
            <w:rtl/>
          </w:rPr>
          <w:t>בי' הראשונים בבבלי דחולב הוא מפרק דתולדה דדש</w:t>
        </w:r>
      </w:hyperlink>
    </w:p>
    <w:p w14:paraId="254C157F" w14:textId="77777777" w:rsidR="000426DE" w:rsidRDefault="00AD16A0" w:rsidP="00ED704E">
      <w:pPr>
        <w:pStyle w:val="TOC3"/>
        <w:rPr>
          <w:rFonts w:asciiTheme="minorHAnsi" w:eastAsiaTheme="minorEastAsia" w:hAnsiTheme="minorHAnsi" w:cstheme="minorBidi"/>
          <w:sz w:val="22"/>
          <w:szCs w:val="22"/>
          <w:rtl/>
        </w:rPr>
      </w:pPr>
      <w:hyperlink w:anchor="_Toc139316344" w:history="1">
        <w:r w:rsidR="000426DE" w:rsidRPr="00602C92">
          <w:rPr>
            <w:rStyle w:val="Hyperlink"/>
            <w:rtl/>
          </w:rPr>
          <w:t>בי' רש"י  ותוס' והרמב"ם דהא דאמרינן החולב חייב משום מפרק היינו דהוא תולדה דדש</w:t>
        </w:r>
      </w:hyperlink>
    </w:p>
    <w:p w14:paraId="72E16ED1" w14:textId="77777777" w:rsidR="000426DE" w:rsidRDefault="00AD16A0" w:rsidP="00ED704E">
      <w:pPr>
        <w:pStyle w:val="TOC3"/>
        <w:rPr>
          <w:rFonts w:asciiTheme="minorHAnsi" w:eastAsiaTheme="minorEastAsia" w:hAnsiTheme="minorHAnsi" w:cstheme="minorBidi"/>
          <w:sz w:val="22"/>
          <w:szCs w:val="22"/>
          <w:rtl/>
        </w:rPr>
      </w:pPr>
      <w:hyperlink w:anchor="_Toc139316345" w:history="1">
        <w:r w:rsidR="000426DE" w:rsidRPr="00602C92">
          <w:rPr>
            <w:rStyle w:val="Hyperlink"/>
            <w:rtl/>
          </w:rPr>
          <w:t>בי' הי"מ ברש"י דחולב חייב משום מפרק דהוא קוצר ודחיית רש"י דהחלב פקיד ולא מחובר</w:t>
        </w:r>
      </w:hyperlink>
    </w:p>
    <w:p w14:paraId="4D654548" w14:textId="77777777" w:rsidR="000426DE" w:rsidRDefault="00AD16A0" w:rsidP="00ED704E">
      <w:pPr>
        <w:pStyle w:val="TOC3"/>
        <w:rPr>
          <w:rFonts w:asciiTheme="minorHAnsi" w:eastAsiaTheme="minorEastAsia" w:hAnsiTheme="minorHAnsi" w:cstheme="minorBidi"/>
          <w:sz w:val="22"/>
          <w:szCs w:val="22"/>
          <w:rtl/>
        </w:rPr>
      </w:pPr>
      <w:hyperlink w:anchor="_Toc139316346" w:history="1">
        <w:r w:rsidR="000426DE" w:rsidRPr="00602C92">
          <w:rPr>
            <w:rStyle w:val="Hyperlink"/>
            <w:rtl/>
          </w:rPr>
          <w:t>קו' השיירי קרבן על רש"י דלירו' חולב קוצר דהבדילו ממקום חיותו ותי' הרש"ש דהבבלי פליג</w:t>
        </w:r>
      </w:hyperlink>
    </w:p>
    <w:p w14:paraId="411FB0A6" w14:textId="77777777" w:rsidR="000426DE" w:rsidRDefault="00AD16A0" w:rsidP="000426DE">
      <w:pPr>
        <w:pStyle w:val="TOC1"/>
        <w:rPr>
          <w:rFonts w:asciiTheme="minorHAnsi" w:hAnsiTheme="minorHAnsi" w:cstheme="minorBidi"/>
          <w:b w:val="0"/>
          <w:bCs w:val="0"/>
          <w:caps w:val="0"/>
          <w:sz w:val="22"/>
          <w:szCs w:val="22"/>
          <w:rtl/>
        </w:rPr>
      </w:pPr>
      <w:hyperlink w:anchor="_Toc139316347" w:history="1">
        <w:r w:rsidR="000426DE" w:rsidRPr="00602C92">
          <w:rPr>
            <w:rStyle w:val="Hyperlink"/>
            <w:rtl/>
          </w:rPr>
          <w:t>בקוצר דבש לר"א מחובר או מפסיק חיות</w:t>
        </w:r>
      </w:hyperlink>
    </w:p>
    <w:p w14:paraId="77C8B3CE" w14:textId="77777777" w:rsidR="000426DE" w:rsidRDefault="00AD16A0" w:rsidP="000426DE">
      <w:pPr>
        <w:pStyle w:val="TOC2"/>
        <w:rPr>
          <w:rFonts w:cstheme="minorBidi"/>
          <w:b w:val="0"/>
          <w:bCs w:val="0"/>
          <w:sz w:val="22"/>
          <w:szCs w:val="22"/>
          <w:rtl/>
        </w:rPr>
      </w:pPr>
      <w:hyperlink w:anchor="_Toc139316348" w:history="1">
        <w:r w:rsidR="000426DE" w:rsidRPr="00602C92">
          <w:rPr>
            <w:rStyle w:val="Hyperlink"/>
            <w:rtl/>
          </w:rPr>
          <w:t>פלוגתת הרמב"ן והאו"ז אי דבש לר"א כמחובר או עוקר מגידולו</w:t>
        </w:r>
      </w:hyperlink>
    </w:p>
    <w:p w14:paraId="69A6EE6E" w14:textId="77777777" w:rsidR="000426DE" w:rsidRDefault="00AD16A0" w:rsidP="00ED704E">
      <w:pPr>
        <w:pStyle w:val="TOC3"/>
        <w:rPr>
          <w:rFonts w:asciiTheme="minorHAnsi" w:eastAsiaTheme="minorEastAsia" w:hAnsiTheme="minorHAnsi" w:cstheme="minorBidi"/>
          <w:sz w:val="22"/>
          <w:szCs w:val="22"/>
          <w:rtl/>
        </w:rPr>
      </w:pPr>
      <w:hyperlink w:anchor="_Toc139316349" w:history="1">
        <w:r w:rsidR="000426DE" w:rsidRPr="00602C92">
          <w:rPr>
            <w:rStyle w:val="Hyperlink"/>
            <w:rtl/>
          </w:rPr>
          <w:t>בי' האו"ז דלר"א דילפי' דבש מיער חייב כעוקר דבר מגידולו ככשותא מהיזמי דהוא רביתיה</w:t>
        </w:r>
      </w:hyperlink>
    </w:p>
    <w:p w14:paraId="4415D0E5" w14:textId="77777777" w:rsidR="000426DE" w:rsidRDefault="00AD16A0" w:rsidP="00ED704E">
      <w:pPr>
        <w:pStyle w:val="TOC3"/>
        <w:rPr>
          <w:rFonts w:asciiTheme="minorHAnsi" w:eastAsiaTheme="minorEastAsia" w:hAnsiTheme="minorHAnsi" w:cstheme="minorBidi"/>
          <w:sz w:val="22"/>
          <w:szCs w:val="22"/>
          <w:rtl/>
        </w:rPr>
      </w:pPr>
      <w:hyperlink w:anchor="_Toc139316350" w:history="1">
        <w:r w:rsidR="000426DE" w:rsidRPr="00602C92">
          <w:rPr>
            <w:rStyle w:val="Hyperlink"/>
            <w:rtl/>
          </w:rPr>
          <w:t>בי' הרשב"א  והרמב"ן דלר"א דבש חשיב מחובר ממש כיון דילפינן לה מיער ולכן הוי קוצר</w:t>
        </w:r>
      </w:hyperlink>
    </w:p>
    <w:p w14:paraId="13FBC05A" w14:textId="77777777" w:rsidR="000426DE" w:rsidRDefault="00AD16A0" w:rsidP="000426DE">
      <w:pPr>
        <w:pStyle w:val="TOC1"/>
        <w:rPr>
          <w:rFonts w:asciiTheme="minorHAnsi" w:hAnsiTheme="minorHAnsi" w:cstheme="minorBidi"/>
          <w:b w:val="0"/>
          <w:bCs w:val="0"/>
          <w:caps w:val="0"/>
          <w:sz w:val="22"/>
          <w:szCs w:val="22"/>
          <w:rtl/>
        </w:rPr>
      </w:pPr>
      <w:hyperlink w:anchor="_Toc139316351" w:history="1">
        <w:r w:rsidR="000426DE" w:rsidRPr="00602C92">
          <w:rPr>
            <w:rStyle w:val="Hyperlink"/>
            <w:rtl/>
          </w:rPr>
          <w:t>~~~~~~~~~~~~~~~~~~~~~~~~~~~~</w:t>
        </w:r>
      </w:hyperlink>
    </w:p>
    <w:p w14:paraId="3C0F0A66" w14:textId="77777777" w:rsidR="000426DE" w:rsidRDefault="00AD16A0" w:rsidP="000426DE">
      <w:pPr>
        <w:pStyle w:val="TOC1"/>
        <w:rPr>
          <w:rFonts w:asciiTheme="minorHAnsi" w:hAnsiTheme="minorHAnsi" w:cstheme="minorBidi"/>
          <w:b w:val="0"/>
          <w:bCs w:val="0"/>
          <w:caps w:val="0"/>
          <w:sz w:val="22"/>
          <w:szCs w:val="22"/>
          <w:rtl/>
        </w:rPr>
      </w:pPr>
      <w:hyperlink w:anchor="_Toc139316352" w:history="1">
        <w:r w:rsidR="000426DE" w:rsidRPr="00602C92">
          <w:rPr>
            <w:rStyle w:val="Hyperlink"/>
            <w:rtl/>
          </w:rPr>
          <w:t>בקוצר במחובר יבש שאין בו יניקה כלל</w:t>
        </w:r>
      </w:hyperlink>
    </w:p>
    <w:p w14:paraId="280EAC65" w14:textId="77777777" w:rsidR="000426DE" w:rsidRDefault="00AD16A0" w:rsidP="000426DE">
      <w:pPr>
        <w:pStyle w:val="TOC2"/>
        <w:rPr>
          <w:rFonts w:cstheme="minorBidi"/>
          <w:b w:val="0"/>
          <w:bCs w:val="0"/>
          <w:sz w:val="22"/>
          <w:szCs w:val="22"/>
          <w:rtl/>
        </w:rPr>
      </w:pPr>
      <w:hyperlink w:anchor="_Toc139316353" w:history="1">
        <w:r w:rsidR="000426DE" w:rsidRPr="00602C92">
          <w:rPr>
            <w:rStyle w:val="Hyperlink"/>
            <w:rtl/>
          </w:rPr>
          <w:t>בי' הראשונים דפירות ותבן שיבשו לגמרי אין בהם איסור תולש</w:t>
        </w:r>
      </w:hyperlink>
    </w:p>
    <w:p w14:paraId="55F86127" w14:textId="77777777" w:rsidR="000426DE" w:rsidRDefault="00AD16A0" w:rsidP="00ED704E">
      <w:pPr>
        <w:pStyle w:val="TOC3"/>
        <w:rPr>
          <w:rFonts w:asciiTheme="minorHAnsi" w:eastAsiaTheme="minorEastAsia" w:hAnsiTheme="minorHAnsi" w:cstheme="minorBidi"/>
          <w:sz w:val="22"/>
          <w:szCs w:val="22"/>
          <w:rtl/>
        </w:rPr>
      </w:pPr>
      <w:hyperlink w:anchor="_Toc139316354" w:history="1">
        <w:r w:rsidR="000426DE" w:rsidRPr="00602C92">
          <w:rPr>
            <w:rStyle w:val="Hyperlink"/>
            <w:rtl/>
          </w:rPr>
          <w:t>בי' רש"י ותוס' דפירות שיבשו ולא עוקציהן כמחובר וביבש עוקציהן וכן תבן שיבש הם כתלושים</w:t>
        </w:r>
      </w:hyperlink>
    </w:p>
    <w:p w14:paraId="34B3F36E" w14:textId="77777777" w:rsidR="000426DE" w:rsidRDefault="00AD16A0" w:rsidP="00ED704E">
      <w:pPr>
        <w:pStyle w:val="TOC3"/>
        <w:rPr>
          <w:rFonts w:asciiTheme="minorHAnsi" w:eastAsiaTheme="minorEastAsia" w:hAnsiTheme="minorHAnsi" w:cstheme="minorBidi"/>
          <w:sz w:val="22"/>
          <w:szCs w:val="22"/>
          <w:rtl/>
        </w:rPr>
      </w:pPr>
      <w:hyperlink w:anchor="_Toc139316355" w:history="1">
        <w:r w:rsidR="000426DE" w:rsidRPr="00602C92">
          <w:rPr>
            <w:rStyle w:val="Hyperlink"/>
            <w:rtl/>
          </w:rPr>
          <w:t>בי' הרשב"א והתורא"ש דתבן שיבש לגמרי אינו יונק ואין בו תולש כתאנים שיבשו לגמרי</w:t>
        </w:r>
      </w:hyperlink>
    </w:p>
    <w:p w14:paraId="768E89C4" w14:textId="77777777" w:rsidR="000426DE" w:rsidRDefault="00AD16A0" w:rsidP="000426DE">
      <w:pPr>
        <w:pStyle w:val="TOC2"/>
        <w:rPr>
          <w:rFonts w:cstheme="minorBidi"/>
          <w:b w:val="0"/>
          <w:bCs w:val="0"/>
          <w:sz w:val="22"/>
          <w:szCs w:val="22"/>
          <w:rtl/>
        </w:rPr>
      </w:pPr>
      <w:hyperlink w:anchor="_Toc139316356" w:history="1">
        <w:r w:rsidR="000426DE" w:rsidRPr="00602C92">
          <w:rPr>
            <w:rStyle w:val="Hyperlink"/>
            <w:rtl/>
          </w:rPr>
          <w:t>בי' הרי"ד דביבש ופסקה יניקתו אך מחובר לאילן חייב בתולש</w:t>
        </w:r>
      </w:hyperlink>
    </w:p>
    <w:p w14:paraId="554816FE" w14:textId="77777777" w:rsidR="000426DE" w:rsidRDefault="00AD16A0" w:rsidP="00ED704E">
      <w:pPr>
        <w:pStyle w:val="TOC3"/>
        <w:rPr>
          <w:rFonts w:asciiTheme="minorHAnsi" w:eastAsiaTheme="minorEastAsia" w:hAnsiTheme="minorHAnsi" w:cstheme="minorBidi"/>
          <w:sz w:val="22"/>
          <w:szCs w:val="22"/>
          <w:rtl/>
        </w:rPr>
      </w:pPr>
      <w:hyperlink w:anchor="_Toc139316357" w:history="1">
        <w:r w:rsidR="000426DE" w:rsidRPr="00602C92">
          <w:rPr>
            <w:rStyle w:val="Hyperlink"/>
            <w:rtl/>
          </w:rPr>
          <w:t>בי' הרי"ד דכל שמחובר הפרי לאילן לגמרי אף שפסקה יניקתו דינו כמחובר וחייב בתולש</w:t>
        </w:r>
      </w:hyperlink>
    </w:p>
    <w:p w14:paraId="49A6F29A" w14:textId="77777777" w:rsidR="000426DE" w:rsidRDefault="00AD16A0" w:rsidP="00ED704E">
      <w:pPr>
        <w:pStyle w:val="TOC3"/>
        <w:rPr>
          <w:rFonts w:asciiTheme="minorHAnsi" w:eastAsiaTheme="minorEastAsia" w:hAnsiTheme="minorHAnsi" w:cstheme="minorBidi"/>
          <w:sz w:val="22"/>
          <w:szCs w:val="22"/>
          <w:rtl/>
        </w:rPr>
      </w:pPr>
      <w:hyperlink w:anchor="_Toc139316358" w:history="1">
        <w:r w:rsidR="000426DE" w:rsidRPr="00602C92">
          <w:rPr>
            <w:rStyle w:val="Hyperlink"/>
            <w:rtl/>
          </w:rPr>
          <w:t>בי' הרי"ד דפירות שיבש אף מקום חיבורן לאילן ואם ינענעם יפלו הם כתלושים אף לשבת</w:t>
        </w:r>
      </w:hyperlink>
    </w:p>
    <w:p w14:paraId="24B5E01A" w14:textId="77777777" w:rsidR="000426DE" w:rsidRDefault="00AD16A0" w:rsidP="00ED704E">
      <w:pPr>
        <w:pStyle w:val="TOC3"/>
        <w:rPr>
          <w:rFonts w:asciiTheme="minorHAnsi" w:eastAsiaTheme="minorEastAsia" w:hAnsiTheme="minorHAnsi" w:cstheme="minorBidi"/>
          <w:sz w:val="22"/>
          <w:szCs w:val="22"/>
          <w:rtl/>
        </w:rPr>
      </w:pPr>
      <w:hyperlink w:anchor="_Toc139316359" w:history="1">
        <w:r w:rsidR="000426DE" w:rsidRPr="00602C92">
          <w:rPr>
            <w:rStyle w:val="Hyperlink"/>
            <w:rtl/>
          </w:rPr>
          <w:t>בי' הרי"ד דעצים ועשבים יבשים לגמרי דהשורש לא יונק כלל מהקרקע הם כתלושים ופטור</w:t>
        </w:r>
      </w:hyperlink>
    </w:p>
    <w:p w14:paraId="70631D55" w14:textId="77777777" w:rsidR="000426DE" w:rsidRDefault="00AD16A0" w:rsidP="000426DE">
      <w:pPr>
        <w:pStyle w:val="TOC2"/>
        <w:rPr>
          <w:rFonts w:cstheme="minorBidi"/>
          <w:b w:val="0"/>
          <w:bCs w:val="0"/>
          <w:sz w:val="22"/>
          <w:szCs w:val="22"/>
          <w:rtl/>
        </w:rPr>
      </w:pPr>
      <w:hyperlink w:anchor="_Toc139316360" w:history="1">
        <w:r w:rsidR="000426DE" w:rsidRPr="00602C92">
          <w:rPr>
            <w:rStyle w:val="Hyperlink"/>
            <w:rtl/>
          </w:rPr>
          <w:t>בי' המג"א דבעץ עצמו יבש לרמב"ם כתלוש ולרש"י כמחובר</w:t>
        </w:r>
      </w:hyperlink>
    </w:p>
    <w:p w14:paraId="2569488E" w14:textId="77777777" w:rsidR="000426DE" w:rsidRDefault="00AD16A0" w:rsidP="00ED704E">
      <w:pPr>
        <w:pStyle w:val="TOC3"/>
        <w:rPr>
          <w:rFonts w:asciiTheme="minorHAnsi" w:eastAsiaTheme="minorEastAsia" w:hAnsiTheme="minorHAnsi" w:cstheme="minorBidi"/>
          <w:sz w:val="22"/>
          <w:szCs w:val="22"/>
          <w:rtl/>
        </w:rPr>
      </w:pPr>
      <w:hyperlink w:anchor="_Toc139316361" w:history="1">
        <w:r w:rsidR="000426DE" w:rsidRPr="00602C92">
          <w:rPr>
            <w:rStyle w:val="Hyperlink"/>
            <w:rtl/>
          </w:rPr>
          <w:t>בי' הרמב"ם דתאנים שיבשו וכן פירות שיבשו באילן התולש חייב אף דלטומאה הוי כעקורין</w:t>
        </w:r>
      </w:hyperlink>
    </w:p>
    <w:p w14:paraId="53114108" w14:textId="77777777" w:rsidR="000426DE" w:rsidRDefault="00AD16A0" w:rsidP="00ED704E">
      <w:pPr>
        <w:pStyle w:val="TOC3"/>
        <w:rPr>
          <w:rFonts w:asciiTheme="minorHAnsi" w:eastAsiaTheme="minorEastAsia" w:hAnsiTheme="minorHAnsi" w:cstheme="minorBidi"/>
          <w:sz w:val="22"/>
          <w:szCs w:val="22"/>
          <w:rtl/>
        </w:rPr>
      </w:pPr>
      <w:hyperlink w:anchor="_Toc139316362" w:history="1">
        <w:r w:rsidR="000426DE" w:rsidRPr="00602C92">
          <w:rPr>
            <w:rStyle w:val="Hyperlink"/>
            <w:rtl/>
          </w:rPr>
          <w:t>פלו' הרמב"ם והראב"ד באילן שנפשח או יבש דלדעת הרמב"ם פירותיו כתלושים לטומאה</w:t>
        </w:r>
      </w:hyperlink>
    </w:p>
    <w:p w14:paraId="57F8BAC1" w14:textId="77777777" w:rsidR="000426DE" w:rsidRDefault="00AD16A0" w:rsidP="00ED704E">
      <w:pPr>
        <w:pStyle w:val="TOC3"/>
        <w:rPr>
          <w:rFonts w:asciiTheme="minorHAnsi" w:eastAsiaTheme="minorEastAsia" w:hAnsiTheme="minorHAnsi" w:cstheme="minorBidi"/>
          <w:sz w:val="22"/>
          <w:szCs w:val="22"/>
          <w:rtl/>
        </w:rPr>
      </w:pPr>
      <w:hyperlink w:anchor="_Toc139316363" w:history="1">
        <w:r w:rsidR="000426DE" w:rsidRPr="00602C92">
          <w:rPr>
            <w:rStyle w:val="Hyperlink"/>
            <w:rtl/>
          </w:rPr>
          <w:t>בי' המג"א ברמב"ם דביבשו הפירות היינו שאף העץ עצמו יבש ואפ"ה חייב משום תולש בשבת</w:t>
        </w:r>
      </w:hyperlink>
    </w:p>
    <w:p w14:paraId="7C2158B3" w14:textId="77777777" w:rsidR="000426DE" w:rsidRDefault="00AD16A0" w:rsidP="00ED704E">
      <w:pPr>
        <w:pStyle w:val="TOC3"/>
        <w:rPr>
          <w:rFonts w:asciiTheme="minorHAnsi" w:eastAsiaTheme="minorEastAsia" w:hAnsiTheme="minorHAnsi" w:cstheme="minorBidi"/>
          <w:sz w:val="22"/>
          <w:szCs w:val="22"/>
          <w:rtl/>
        </w:rPr>
      </w:pPr>
      <w:hyperlink w:anchor="_Toc139316364" w:history="1">
        <w:r w:rsidR="000426DE" w:rsidRPr="00602C92">
          <w:rPr>
            <w:rStyle w:val="Hyperlink"/>
            <w:rtl/>
          </w:rPr>
          <w:t>בי' המג"א ברש"י בעירובין דאיסור תולש באילן יבש הוא רק גזירה דרבנן וכמבו' בחולין</w:t>
        </w:r>
      </w:hyperlink>
    </w:p>
    <w:p w14:paraId="2654BC05" w14:textId="77777777" w:rsidR="000426DE" w:rsidRDefault="00AD16A0" w:rsidP="00ED704E">
      <w:pPr>
        <w:pStyle w:val="TOC3"/>
        <w:rPr>
          <w:rFonts w:asciiTheme="minorHAnsi" w:eastAsiaTheme="minorEastAsia" w:hAnsiTheme="minorHAnsi" w:cstheme="minorBidi"/>
          <w:sz w:val="22"/>
          <w:szCs w:val="22"/>
          <w:rtl/>
        </w:rPr>
      </w:pPr>
      <w:hyperlink w:anchor="_Toc139316365" w:history="1">
        <w:r w:rsidR="000426DE" w:rsidRPr="00602C92">
          <w:rPr>
            <w:rStyle w:val="Hyperlink"/>
            <w:rtl/>
          </w:rPr>
          <w:t>בי' הנשמ"א והחזו"א דגרסינן ברמב"ם דאילן שיבש עם פירותיו דאף כשכולו יבש דינו כמחובר</w:t>
        </w:r>
      </w:hyperlink>
    </w:p>
    <w:p w14:paraId="1BBDE25C" w14:textId="77777777" w:rsidR="000426DE" w:rsidRDefault="00AD16A0" w:rsidP="00ED704E">
      <w:pPr>
        <w:pStyle w:val="TOC3"/>
        <w:rPr>
          <w:rFonts w:asciiTheme="minorHAnsi" w:eastAsiaTheme="minorEastAsia" w:hAnsiTheme="minorHAnsi" w:cstheme="minorBidi"/>
          <w:sz w:val="22"/>
          <w:szCs w:val="22"/>
          <w:rtl/>
        </w:rPr>
      </w:pPr>
      <w:hyperlink w:anchor="_Toc139316366" w:history="1">
        <w:r w:rsidR="000426DE" w:rsidRPr="00602C92">
          <w:rPr>
            <w:rStyle w:val="Hyperlink"/>
            <w:rtl/>
          </w:rPr>
          <w:t>בי' המהר"י קורקוס בתשו' דגרסי' ברמב"ם אילן שיבש ויש בו פירות משנה שעברה דכמחובר</w:t>
        </w:r>
      </w:hyperlink>
    </w:p>
    <w:p w14:paraId="5EA1B564" w14:textId="77777777" w:rsidR="000426DE" w:rsidRDefault="00AD16A0" w:rsidP="00ED704E">
      <w:pPr>
        <w:pStyle w:val="TOC3"/>
        <w:rPr>
          <w:rFonts w:asciiTheme="minorHAnsi" w:eastAsiaTheme="minorEastAsia" w:hAnsiTheme="minorHAnsi" w:cstheme="minorBidi"/>
          <w:sz w:val="22"/>
          <w:szCs w:val="22"/>
          <w:rtl/>
        </w:rPr>
      </w:pPr>
      <w:hyperlink w:anchor="_Toc139316367" w:history="1">
        <w:r w:rsidR="000426DE" w:rsidRPr="00602C92">
          <w:rPr>
            <w:rStyle w:val="Hyperlink"/>
            <w:rtl/>
          </w:rPr>
          <w:t>בי' החזו"א בראב"ד דפירות שיבשו לגמרי אינם צומחים ותלושים אך אילן שיבש יכול לחזור</w:t>
        </w:r>
      </w:hyperlink>
    </w:p>
    <w:p w14:paraId="7CB8B296" w14:textId="77777777" w:rsidR="000426DE" w:rsidRDefault="00AD16A0" w:rsidP="000426DE">
      <w:pPr>
        <w:pStyle w:val="TOC2"/>
        <w:rPr>
          <w:rFonts w:cstheme="minorBidi"/>
          <w:b w:val="0"/>
          <w:bCs w:val="0"/>
          <w:sz w:val="22"/>
          <w:szCs w:val="22"/>
          <w:rtl/>
        </w:rPr>
      </w:pPr>
      <w:hyperlink w:anchor="_Toc139316368" w:history="1">
        <w:r w:rsidR="000426DE" w:rsidRPr="00602C92">
          <w:rPr>
            <w:rStyle w:val="Hyperlink"/>
            <w:rtl/>
          </w:rPr>
          <w:t>הבי' ברמב"ם דפירות שיבשו כמחובר אך ביבש האילן כתלוש</w:t>
        </w:r>
      </w:hyperlink>
    </w:p>
    <w:p w14:paraId="54A82EF5" w14:textId="77777777" w:rsidR="000426DE" w:rsidRDefault="00AD16A0" w:rsidP="00ED704E">
      <w:pPr>
        <w:pStyle w:val="TOC3"/>
        <w:rPr>
          <w:rFonts w:asciiTheme="minorHAnsi" w:eastAsiaTheme="minorEastAsia" w:hAnsiTheme="minorHAnsi" w:cstheme="minorBidi"/>
          <w:sz w:val="22"/>
          <w:szCs w:val="22"/>
          <w:rtl/>
        </w:rPr>
      </w:pPr>
      <w:hyperlink w:anchor="_Toc139316369" w:history="1">
        <w:r w:rsidR="000426DE" w:rsidRPr="00602C92">
          <w:rPr>
            <w:rStyle w:val="Hyperlink"/>
            <w:rtl/>
          </w:rPr>
          <w:t>בי' העו"ש והא"ר דאף להרמב"ם אילן שיבש כולו הוא כתלוש דדוחק לחלק בין אילן לעשבים</w:t>
        </w:r>
      </w:hyperlink>
    </w:p>
    <w:p w14:paraId="531E609E" w14:textId="77777777" w:rsidR="000426DE" w:rsidRDefault="00AD16A0" w:rsidP="00ED704E">
      <w:pPr>
        <w:pStyle w:val="TOC3"/>
        <w:rPr>
          <w:rFonts w:asciiTheme="minorHAnsi" w:eastAsiaTheme="minorEastAsia" w:hAnsiTheme="minorHAnsi" w:cstheme="minorBidi"/>
          <w:sz w:val="22"/>
          <w:szCs w:val="22"/>
          <w:rtl/>
        </w:rPr>
      </w:pPr>
      <w:hyperlink w:anchor="_Toc139316370" w:history="1">
        <w:r w:rsidR="000426DE" w:rsidRPr="00602C92">
          <w:rPr>
            <w:rStyle w:val="Hyperlink"/>
            <w:rtl/>
          </w:rPr>
          <w:t>בי' המג"א דבעשבים יבשים אף הרמב"ם מודה דהם כתלושים ולא דמו עשבים לאילן דכמחובר</w:t>
        </w:r>
      </w:hyperlink>
    </w:p>
    <w:p w14:paraId="4F6D71A7" w14:textId="77777777" w:rsidR="000426DE" w:rsidRDefault="00AD16A0" w:rsidP="000426DE">
      <w:pPr>
        <w:pStyle w:val="TOC1"/>
        <w:rPr>
          <w:rFonts w:asciiTheme="minorHAnsi" w:hAnsiTheme="minorHAnsi" w:cstheme="minorBidi"/>
          <w:b w:val="0"/>
          <w:bCs w:val="0"/>
          <w:caps w:val="0"/>
          <w:sz w:val="22"/>
          <w:szCs w:val="22"/>
          <w:rtl/>
        </w:rPr>
      </w:pPr>
      <w:hyperlink w:anchor="_Toc139316371" w:history="1">
        <w:r w:rsidR="000426DE" w:rsidRPr="00602C92">
          <w:rPr>
            <w:rStyle w:val="Hyperlink"/>
            <w:rtl/>
          </w:rPr>
          <w:t>~~~~~~~~~~~~~~~~~~~~~~~~~~~~</w:t>
        </w:r>
      </w:hyperlink>
    </w:p>
    <w:p w14:paraId="34ADEEDB" w14:textId="77777777" w:rsidR="000426DE" w:rsidRDefault="00AD16A0" w:rsidP="000426DE">
      <w:pPr>
        <w:pStyle w:val="TOC1"/>
        <w:rPr>
          <w:rFonts w:asciiTheme="minorHAnsi" w:hAnsiTheme="minorHAnsi" w:cstheme="minorBidi"/>
          <w:b w:val="0"/>
          <w:bCs w:val="0"/>
          <w:caps w:val="0"/>
          <w:sz w:val="22"/>
          <w:szCs w:val="22"/>
          <w:rtl/>
        </w:rPr>
      </w:pPr>
      <w:hyperlink w:anchor="_Toc139316372" w:history="1">
        <w:r w:rsidR="000426DE" w:rsidRPr="00602C92">
          <w:rPr>
            <w:rStyle w:val="Hyperlink"/>
            <w:rtl/>
          </w:rPr>
          <w:t>אי קוצר ונוטע בעציץ נקוב דאו' או דרבנן</w:t>
        </w:r>
      </w:hyperlink>
    </w:p>
    <w:p w14:paraId="0FB12393" w14:textId="77777777" w:rsidR="000426DE" w:rsidRDefault="00AD16A0" w:rsidP="000426DE">
      <w:pPr>
        <w:pStyle w:val="TOC2"/>
        <w:rPr>
          <w:rFonts w:cstheme="minorBidi"/>
          <w:b w:val="0"/>
          <w:bCs w:val="0"/>
          <w:sz w:val="22"/>
          <w:szCs w:val="22"/>
          <w:rtl/>
        </w:rPr>
      </w:pPr>
      <w:hyperlink w:anchor="_Toc139316373" w:history="1">
        <w:r w:rsidR="000426DE" w:rsidRPr="00602C92">
          <w:rPr>
            <w:rStyle w:val="Hyperlink"/>
            <w:rtl/>
          </w:rPr>
          <w:t>בי' רש"י ותוס' בפרפיסא דתולש רק מדרבנן מדמותר לקנח בו</w:t>
        </w:r>
      </w:hyperlink>
    </w:p>
    <w:p w14:paraId="19AE73FB" w14:textId="77777777" w:rsidR="000426DE" w:rsidRDefault="00AD16A0" w:rsidP="00ED704E">
      <w:pPr>
        <w:pStyle w:val="TOC3"/>
        <w:rPr>
          <w:rFonts w:asciiTheme="minorHAnsi" w:eastAsiaTheme="minorEastAsia" w:hAnsiTheme="minorHAnsi" w:cstheme="minorBidi"/>
          <w:sz w:val="22"/>
          <w:szCs w:val="22"/>
          <w:rtl/>
        </w:rPr>
      </w:pPr>
      <w:hyperlink w:anchor="_Toc139316374" w:history="1">
        <w:r w:rsidR="000426DE" w:rsidRPr="00602C92">
          <w:rPr>
            <w:rStyle w:val="Hyperlink"/>
            <w:rtl/>
          </w:rPr>
          <w:t>בי' רש"י דעשבים שגדלו בצרור אין איסור תולש בהגבהתם מהקרקע דהא מותר לקנח בצרור</w:t>
        </w:r>
      </w:hyperlink>
    </w:p>
    <w:p w14:paraId="54A412CA" w14:textId="77777777" w:rsidR="000426DE" w:rsidRDefault="00AD16A0" w:rsidP="00ED704E">
      <w:pPr>
        <w:pStyle w:val="TOC3"/>
        <w:rPr>
          <w:rFonts w:asciiTheme="minorHAnsi" w:eastAsiaTheme="minorEastAsia" w:hAnsiTheme="minorHAnsi" w:cstheme="minorBidi"/>
          <w:sz w:val="22"/>
          <w:szCs w:val="22"/>
          <w:rtl/>
        </w:rPr>
      </w:pPr>
      <w:hyperlink w:anchor="_Toc139316375" w:history="1">
        <w:r w:rsidR="000426DE" w:rsidRPr="00602C92">
          <w:rPr>
            <w:rStyle w:val="Hyperlink"/>
            <w:rtl/>
          </w:rPr>
          <w:t>בי' התוס' דאיסור הגבהת צרור מהקרקע דרבנן והגמ' לקמן פליגא על הגמ' בגיטין דהוא כמחובר</w:t>
        </w:r>
      </w:hyperlink>
    </w:p>
    <w:p w14:paraId="3571A879" w14:textId="77777777" w:rsidR="000426DE" w:rsidRDefault="00AD16A0" w:rsidP="00ED704E">
      <w:pPr>
        <w:pStyle w:val="TOC3"/>
        <w:rPr>
          <w:rFonts w:asciiTheme="minorHAnsi" w:eastAsiaTheme="minorEastAsia" w:hAnsiTheme="minorHAnsi" w:cstheme="minorBidi"/>
          <w:sz w:val="22"/>
          <w:szCs w:val="22"/>
          <w:rtl/>
        </w:rPr>
      </w:pPr>
      <w:hyperlink w:anchor="_Toc139316376" w:history="1">
        <w:r w:rsidR="000426DE" w:rsidRPr="00602C92">
          <w:rPr>
            <w:rStyle w:val="Hyperlink"/>
            <w:rtl/>
          </w:rPr>
          <w:t>בי' המנ"ח ברש"י דרק מגביה עציץ ע"ג יתדות הוא דרבנן אבל מניחו ע"ג קרקע אסור מדאו'</w:t>
        </w:r>
      </w:hyperlink>
    </w:p>
    <w:p w14:paraId="645902AC" w14:textId="77777777" w:rsidR="000426DE" w:rsidRDefault="00AD16A0" w:rsidP="000426DE">
      <w:pPr>
        <w:pStyle w:val="TOC2"/>
        <w:rPr>
          <w:rFonts w:cstheme="minorBidi"/>
          <w:b w:val="0"/>
          <w:bCs w:val="0"/>
          <w:sz w:val="22"/>
          <w:szCs w:val="22"/>
          <w:rtl/>
        </w:rPr>
      </w:pPr>
      <w:hyperlink w:anchor="_Toc139316377" w:history="1">
        <w:r w:rsidR="000426DE" w:rsidRPr="00602C92">
          <w:rPr>
            <w:rStyle w:val="Hyperlink"/>
            <w:rtl/>
          </w:rPr>
          <w:t>בי' ההג"א דאף חיוב נוטע בעציץ נקוב מיתדות לקרקע דרבנן</w:t>
        </w:r>
      </w:hyperlink>
    </w:p>
    <w:p w14:paraId="45C85CB9" w14:textId="77777777" w:rsidR="000426DE" w:rsidRDefault="00AD16A0" w:rsidP="00ED704E">
      <w:pPr>
        <w:pStyle w:val="TOC3"/>
        <w:rPr>
          <w:rFonts w:asciiTheme="minorHAnsi" w:eastAsiaTheme="minorEastAsia" w:hAnsiTheme="minorHAnsi" w:cstheme="minorBidi"/>
          <w:sz w:val="22"/>
          <w:szCs w:val="22"/>
          <w:rtl/>
        </w:rPr>
      </w:pPr>
      <w:hyperlink w:anchor="_Toc139316378" w:history="1">
        <w:r w:rsidR="000426DE" w:rsidRPr="00602C92">
          <w:rPr>
            <w:rStyle w:val="Hyperlink"/>
            <w:rtl/>
          </w:rPr>
          <w:t>בי' ההג"א דאף מניח עצי"נ מיתדות לקרקע הוא נוטע דרבנן ורק במפסיק בבגד תולש מדאו'</w:t>
        </w:r>
      </w:hyperlink>
    </w:p>
    <w:p w14:paraId="3299EFB0" w14:textId="77777777" w:rsidR="000426DE" w:rsidRDefault="00AD16A0" w:rsidP="000426DE">
      <w:pPr>
        <w:pStyle w:val="TOC2"/>
        <w:rPr>
          <w:rFonts w:cstheme="minorBidi"/>
          <w:b w:val="0"/>
          <w:bCs w:val="0"/>
          <w:sz w:val="22"/>
          <w:szCs w:val="22"/>
          <w:rtl/>
        </w:rPr>
      </w:pPr>
      <w:hyperlink w:anchor="_Toc139316379" w:history="1">
        <w:r w:rsidR="000426DE" w:rsidRPr="00602C92">
          <w:rPr>
            <w:rStyle w:val="Hyperlink"/>
            <w:rtl/>
          </w:rPr>
          <w:t>בי' המאירי דהעציץ יונק רק ע"ג הקרקע ולא ע"ג היתדות</w:t>
        </w:r>
      </w:hyperlink>
    </w:p>
    <w:p w14:paraId="568CFB8B" w14:textId="77777777" w:rsidR="000426DE" w:rsidRDefault="00AD16A0" w:rsidP="00ED704E">
      <w:pPr>
        <w:pStyle w:val="TOC3"/>
        <w:rPr>
          <w:rFonts w:asciiTheme="minorHAnsi" w:eastAsiaTheme="minorEastAsia" w:hAnsiTheme="minorHAnsi" w:cstheme="minorBidi"/>
          <w:sz w:val="22"/>
          <w:szCs w:val="22"/>
          <w:rtl/>
        </w:rPr>
      </w:pPr>
      <w:hyperlink w:anchor="_Toc139316380" w:history="1">
        <w:r w:rsidR="000426DE" w:rsidRPr="00602C92">
          <w:rPr>
            <w:rStyle w:val="Hyperlink"/>
            <w:rtl/>
          </w:rPr>
          <w:t>בי' המאירי דרק בקרקע העציץ יונק ולא ע"ג יתדות והוי תולש ונוטע אך נר' כרש"י דהוא דרבנן</w:t>
        </w:r>
      </w:hyperlink>
    </w:p>
    <w:p w14:paraId="799ADDB5" w14:textId="77777777" w:rsidR="000426DE" w:rsidRDefault="00AD16A0" w:rsidP="00ED704E">
      <w:pPr>
        <w:pStyle w:val="TOC3"/>
        <w:rPr>
          <w:rFonts w:asciiTheme="minorHAnsi" w:eastAsiaTheme="minorEastAsia" w:hAnsiTheme="minorHAnsi" w:cstheme="minorBidi"/>
          <w:sz w:val="22"/>
          <w:szCs w:val="22"/>
          <w:rtl/>
        </w:rPr>
      </w:pPr>
      <w:hyperlink w:anchor="_Toc139316381" w:history="1">
        <w:r w:rsidR="000426DE" w:rsidRPr="00602C92">
          <w:rPr>
            <w:rStyle w:val="Hyperlink"/>
            <w:rtl/>
          </w:rPr>
          <w:t>בי' המאירי בגיטין דמוכח בגמ' בגיטין דעציץ נקוב ע"ג יתדות אינו כמונח בקרקע אלא תלוש</w:t>
        </w:r>
      </w:hyperlink>
    </w:p>
    <w:p w14:paraId="45385D44" w14:textId="77777777" w:rsidR="000426DE" w:rsidRDefault="00AD16A0" w:rsidP="00ED704E">
      <w:pPr>
        <w:pStyle w:val="TOC3"/>
        <w:rPr>
          <w:rFonts w:asciiTheme="minorHAnsi" w:eastAsiaTheme="minorEastAsia" w:hAnsiTheme="minorHAnsi" w:cstheme="minorBidi"/>
          <w:sz w:val="22"/>
          <w:szCs w:val="22"/>
          <w:rtl/>
        </w:rPr>
      </w:pPr>
      <w:hyperlink w:anchor="_Toc139316382" w:history="1">
        <w:r w:rsidR="000426DE" w:rsidRPr="00602C92">
          <w:rPr>
            <w:rStyle w:val="Hyperlink"/>
            <w:rtl/>
          </w:rPr>
          <w:t>בי' השו"ע דאף בעציץ שא"נ אין להניחו ע"ג יתדות ולהיפך ובי' הלבוש דהוא ממעט את יניקתו</w:t>
        </w:r>
      </w:hyperlink>
    </w:p>
    <w:p w14:paraId="1E5EE4EE" w14:textId="77777777" w:rsidR="000426DE" w:rsidRDefault="00AD16A0" w:rsidP="000426DE">
      <w:pPr>
        <w:pStyle w:val="TOC2"/>
        <w:rPr>
          <w:rFonts w:cstheme="minorBidi"/>
          <w:b w:val="0"/>
          <w:bCs w:val="0"/>
          <w:sz w:val="22"/>
          <w:szCs w:val="22"/>
          <w:rtl/>
        </w:rPr>
      </w:pPr>
      <w:hyperlink w:anchor="_Toc139316383" w:history="1">
        <w:r w:rsidR="000426DE" w:rsidRPr="00602C92">
          <w:rPr>
            <w:rStyle w:val="Hyperlink"/>
            <w:rtl/>
          </w:rPr>
          <w:t>ד' הרמב"ם דהמניח גבשושית ע"ג יתדות תולש מדאו' וכן בזורע</w:t>
        </w:r>
      </w:hyperlink>
    </w:p>
    <w:p w14:paraId="39812F2A" w14:textId="77777777" w:rsidR="000426DE" w:rsidRDefault="00AD16A0" w:rsidP="00ED704E">
      <w:pPr>
        <w:pStyle w:val="TOC3"/>
        <w:rPr>
          <w:rFonts w:asciiTheme="minorHAnsi" w:eastAsiaTheme="minorEastAsia" w:hAnsiTheme="minorHAnsi" w:cstheme="minorBidi"/>
          <w:sz w:val="22"/>
          <w:szCs w:val="22"/>
          <w:rtl/>
        </w:rPr>
      </w:pPr>
      <w:hyperlink w:anchor="_Toc139316384" w:history="1">
        <w:r w:rsidR="000426DE" w:rsidRPr="00602C92">
          <w:rPr>
            <w:rStyle w:val="Hyperlink"/>
            <w:rtl/>
          </w:rPr>
          <w:t>בי' הרמב"ם דגבשושית עפר עם עשבים ומגביהה מהקרקע ליתדות תולש מדאו' ולהיפך הוי זורע</w:t>
        </w:r>
      </w:hyperlink>
    </w:p>
    <w:p w14:paraId="2BFB3AA5" w14:textId="77777777" w:rsidR="000426DE" w:rsidRDefault="00AD16A0" w:rsidP="00ED704E">
      <w:pPr>
        <w:pStyle w:val="TOC3"/>
        <w:rPr>
          <w:rFonts w:asciiTheme="minorHAnsi" w:eastAsiaTheme="minorEastAsia" w:hAnsiTheme="minorHAnsi" w:cstheme="minorBidi"/>
          <w:sz w:val="22"/>
          <w:szCs w:val="22"/>
          <w:rtl/>
        </w:rPr>
      </w:pPr>
      <w:hyperlink w:anchor="_Toc139316385" w:history="1">
        <w:r w:rsidR="000426DE" w:rsidRPr="00602C92">
          <w:rPr>
            <w:rStyle w:val="Hyperlink"/>
            <w:rtl/>
          </w:rPr>
          <w:t>בי' הרמב"ם דעוקר דבר מגידולו כתולש עשבים מצרור וכשות מסנה הוא קוצר דזה מקום גידולן</w:t>
        </w:r>
      </w:hyperlink>
    </w:p>
    <w:p w14:paraId="6005A45B" w14:textId="77777777" w:rsidR="000426DE" w:rsidRDefault="00AD16A0" w:rsidP="00ED704E">
      <w:pPr>
        <w:pStyle w:val="TOC3"/>
        <w:rPr>
          <w:rFonts w:asciiTheme="minorHAnsi" w:eastAsiaTheme="minorEastAsia" w:hAnsiTheme="minorHAnsi" w:cstheme="minorBidi"/>
          <w:sz w:val="22"/>
          <w:szCs w:val="22"/>
          <w:rtl/>
        </w:rPr>
      </w:pPr>
      <w:hyperlink w:anchor="_Toc139316386" w:history="1">
        <w:r w:rsidR="000426DE" w:rsidRPr="00602C92">
          <w:rPr>
            <w:rStyle w:val="Hyperlink"/>
            <w:rtl/>
          </w:rPr>
          <w:t>בי' המ"מ ברמב"ם דהשמיט את היתר קינוח בצרור דס"ל דר"ל התיר בצרור שאינו אסור מדאו'</w:t>
        </w:r>
      </w:hyperlink>
    </w:p>
    <w:p w14:paraId="537F1DC9" w14:textId="77777777" w:rsidR="000426DE" w:rsidRDefault="00AD16A0" w:rsidP="00ED704E">
      <w:pPr>
        <w:pStyle w:val="TOC3"/>
        <w:rPr>
          <w:rFonts w:asciiTheme="minorHAnsi" w:eastAsiaTheme="minorEastAsia" w:hAnsiTheme="minorHAnsi" w:cstheme="minorBidi"/>
          <w:sz w:val="22"/>
          <w:szCs w:val="22"/>
          <w:rtl/>
        </w:rPr>
      </w:pPr>
      <w:hyperlink w:anchor="_Toc139316387" w:history="1">
        <w:r w:rsidR="000426DE" w:rsidRPr="00602C92">
          <w:rPr>
            <w:rStyle w:val="Hyperlink"/>
            <w:rtl/>
          </w:rPr>
          <w:t>בי' הפר"ח ברמב"ם דס"ל דאביי פליג על ר"ל דהתיר לקנח בצרור וס"ל דאסור מדאו' וכן קיי"ל</w:t>
        </w:r>
      </w:hyperlink>
    </w:p>
    <w:p w14:paraId="4EA682FB" w14:textId="77777777" w:rsidR="000426DE" w:rsidRDefault="00AD16A0" w:rsidP="00ED704E">
      <w:pPr>
        <w:pStyle w:val="TOC3"/>
        <w:rPr>
          <w:rFonts w:asciiTheme="minorHAnsi" w:eastAsiaTheme="minorEastAsia" w:hAnsiTheme="minorHAnsi" w:cstheme="minorBidi"/>
          <w:sz w:val="22"/>
          <w:szCs w:val="22"/>
          <w:rtl/>
        </w:rPr>
      </w:pPr>
      <w:hyperlink w:anchor="_Toc139316388" w:history="1">
        <w:r w:rsidR="000426DE" w:rsidRPr="00602C92">
          <w:rPr>
            <w:rStyle w:val="Hyperlink"/>
            <w:rtl/>
          </w:rPr>
          <w:t>בי' האו"ש דגבשושית עפר בטלה לעפר והוי תולש מדאו' ור"ל התיר בצרור הוא בפנ"ע ולא בטל</w:t>
        </w:r>
      </w:hyperlink>
    </w:p>
    <w:p w14:paraId="64FBC4A7" w14:textId="77777777" w:rsidR="000426DE" w:rsidRDefault="00AD16A0" w:rsidP="000426DE">
      <w:pPr>
        <w:pStyle w:val="TOC2"/>
        <w:rPr>
          <w:rFonts w:cstheme="minorBidi"/>
          <w:b w:val="0"/>
          <w:bCs w:val="0"/>
          <w:sz w:val="22"/>
          <w:szCs w:val="22"/>
          <w:rtl/>
        </w:rPr>
      </w:pPr>
      <w:hyperlink w:anchor="_Toc139316389" w:history="1">
        <w:r w:rsidR="000426DE" w:rsidRPr="00602C92">
          <w:rPr>
            <w:rStyle w:val="Hyperlink"/>
            <w:rtl/>
          </w:rPr>
          <w:t>ד' האו"ז והמרכה"מ דמניח ע"ג יתדות ומחזיר לקרקע ל"ה תולש</w:t>
        </w:r>
      </w:hyperlink>
    </w:p>
    <w:p w14:paraId="29B422F8" w14:textId="77777777" w:rsidR="000426DE" w:rsidRDefault="00AD16A0" w:rsidP="00ED704E">
      <w:pPr>
        <w:pStyle w:val="TOC3"/>
        <w:rPr>
          <w:rFonts w:asciiTheme="minorHAnsi" w:eastAsiaTheme="minorEastAsia" w:hAnsiTheme="minorHAnsi" w:cstheme="minorBidi"/>
          <w:sz w:val="22"/>
          <w:szCs w:val="22"/>
          <w:rtl/>
        </w:rPr>
      </w:pPr>
      <w:hyperlink w:anchor="_Toc139316390" w:history="1">
        <w:r w:rsidR="000426DE" w:rsidRPr="00602C92">
          <w:rPr>
            <w:rStyle w:val="Hyperlink"/>
            <w:rtl/>
          </w:rPr>
          <w:t>בי' המרכה"מ ברמב"ם דמניח ע"ג יתדות רק ליום או יומיים מבטל יניקה ולא בצרור שמחזירו</w:t>
        </w:r>
      </w:hyperlink>
    </w:p>
    <w:p w14:paraId="7EAE57EF" w14:textId="77777777" w:rsidR="000426DE" w:rsidRDefault="00AD16A0" w:rsidP="00ED704E">
      <w:pPr>
        <w:pStyle w:val="TOC3"/>
        <w:rPr>
          <w:rFonts w:asciiTheme="minorHAnsi" w:eastAsiaTheme="minorEastAsia" w:hAnsiTheme="minorHAnsi" w:cstheme="minorBidi"/>
          <w:sz w:val="22"/>
          <w:szCs w:val="22"/>
          <w:rtl/>
        </w:rPr>
      </w:pPr>
      <w:hyperlink w:anchor="_Toc139316391" w:history="1">
        <w:r w:rsidR="000426DE" w:rsidRPr="00602C92">
          <w:rPr>
            <w:rStyle w:val="Hyperlink"/>
            <w:rtl/>
          </w:rPr>
          <w:t>בי' האו"ז בשם הריב"א דצרור שמחזירו למקום גדילתו ל"ה תולש כיון דלא היה מחובר לגמרי</w:t>
        </w:r>
      </w:hyperlink>
    </w:p>
    <w:p w14:paraId="017075D9" w14:textId="77777777" w:rsidR="000426DE" w:rsidRDefault="00AD16A0" w:rsidP="00ED704E">
      <w:pPr>
        <w:pStyle w:val="TOC3"/>
        <w:rPr>
          <w:rFonts w:asciiTheme="minorHAnsi" w:eastAsiaTheme="minorEastAsia" w:hAnsiTheme="minorHAnsi" w:cstheme="minorBidi"/>
          <w:sz w:val="22"/>
          <w:szCs w:val="22"/>
          <w:rtl/>
        </w:rPr>
      </w:pPr>
      <w:hyperlink w:anchor="_Toc139316392" w:history="1">
        <w:r w:rsidR="000426DE" w:rsidRPr="00602C92">
          <w:rPr>
            <w:rStyle w:val="Hyperlink"/>
            <w:rtl/>
          </w:rPr>
          <w:t>בי' האו"ז דאף לריב"א ההיתר רק בצרור דאינו מחובר כ"כ אבל בפרפיסא אף בהחזירו הוי תולש</w:t>
        </w:r>
      </w:hyperlink>
    </w:p>
    <w:p w14:paraId="5265A96C" w14:textId="77777777" w:rsidR="000426DE" w:rsidRDefault="00AD16A0" w:rsidP="00ED704E">
      <w:pPr>
        <w:pStyle w:val="TOC3"/>
        <w:rPr>
          <w:rFonts w:asciiTheme="minorHAnsi" w:eastAsiaTheme="minorEastAsia" w:hAnsiTheme="minorHAnsi" w:cstheme="minorBidi"/>
          <w:sz w:val="22"/>
          <w:szCs w:val="22"/>
          <w:rtl/>
        </w:rPr>
      </w:pPr>
      <w:hyperlink w:anchor="_Toc139316393" w:history="1">
        <w:r w:rsidR="000426DE" w:rsidRPr="00602C92">
          <w:rPr>
            <w:rStyle w:val="Hyperlink"/>
            <w:rtl/>
          </w:rPr>
          <w:t>בי' האגל"ט דלרש"י ותוס' תולש דאו' ולרמב"ם דרבנן דנח' בגמ' בגיטין אי ע"ג יתדות הוי תלוש</w:t>
        </w:r>
      </w:hyperlink>
    </w:p>
    <w:p w14:paraId="212178CB" w14:textId="77777777" w:rsidR="000426DE" w:rsidRDefault="00AD16A0" w:rsidP="000426DE">
      <w:pPr>
        <w:pStyle w:val="TOC1"/>
        <w:rPr>
          <w:rFonts w:asciiTheme="minorHAnsi" w:hAnsiTheme="minorHAnsi" w:cstheme="minorBidi"/>
          <w:b w:val="0"/>
          <w:bCs w:val="0"/>
          <w:caps w:val="0"/>
          <w:sz w:val="22"/>
          <w:szCs w:val="22"/>
          <w:rtl/>
        </w:rPr>
      </w:pPr>
      <w:hyperlink w:anchor="_Toc139316394" w:history="1">
        <w:r w:rsidR="000426DE" w:rsidRPr="00602C92">
          <w:rPr>
            <w:rStyle w:val="Hyperlink"/>
            <w:rtl/>
          </w:rPr>
          <w:t>~~~~~~~~~~~~~~~~~~~~~~~~~~~~</w:t>
        </w:r>
      </w:hyperlink>
    </w:p>
    <w:p w14:paraId="1C23B98C" w14:textId="77777777" w:rsidR="000426DE" w:rsidRDefault="00AD16A0" w:rsidP="000426DE">
      <w:pPr>
        <w:pStyle w:val="TOC1"/>
        <w:rPr>
          <w:rFonts w:asciiTheme="minorHAnsi" w:hAnsiTheme="minorHAnsi" w:cstheme="minorBidi"/>
          <w:b w:val="0"/>
          <w:bCs w:val="0"/>
          <w:caps w:val="0"/>
          <w:sz w:val="22"/>
          <w:szCs w:val="22"/>
          <w:rtl/>
        </w:rPr>
      </w:pPr>
      <w:hyperlink w:anchor="_Toc139316395" w:history="1">
        <w:r w:rsidR="000426DE" w:rsidRPr="00602C92">
          <w:rPr>
            <w:rStyle w:val="Hyperlink"/>
            <w:rtl/>
          </w:rPr>
          <w:t>בקוצר בהפסקת גידול בלא תלישה כלל</w:t>
        </w:r>
      </w:hyperlink>
    </w:p>
    <w:p w14:paraId="2191F35F" w14:textId="77777777" w:rsidR="000426DE" w:rsidRDefault="00AD16A0" w:rsidP="000426DE">
      <w:pPr>
        <w:pStyle w:val="TOC2"/>
        <w:rPr>
          <w:rFonts w:cstheme="minorBidi"/>
          <w:b w:val="0"/>
          <w:bCs w:val="0"/>
          <w:sz w:val="22"/>
          <w:szCs w:val="22"/>
          <w:rtl/>
        </w:rPr>
      </w:pPr>
      <w:hyperlink w:anchor="_Toc139316396" w:history="1">
        <w:r w:rsidR="000426DE" w:rsidRPr="00602C92">
          <w:rPr>
            <w:rStyle w:val="Hyperlink"/>
            <w:rtl/>
          </w:rPr>
          <w:t>בי' המאירי בירו' דמניח עציץ ע"ג עציץ קוצר דמפסיק גידולו</w:t>
        </w:r>
      </w:hyperlink>
    </w:p>
    <w:p w14:paraId="7732503C" w14:textId="77777777" w:rsidR="000426DE" w:rsidRDefault="00AD16A0" w:rsidP="00ED704E">
      <w:pPr>
        <w:pStyle w:val="TOC3"/>
        <w:rPr>
          <w:rFonts w:asciiTheme="minorHAnsi" w:eastAsiaTheme="minorEastAsia" w:hAnsiTheme="minorHAnsi" w:cstheme="minorBidi"/>
          <w:sz w:val="22"/>
          <w:szCs w:val="22"/>
          <w:rtl/>
        </w:rPr>
      </w:pPr>
      <w:hyperlink w:anchor="_Toc139316397" w:history="1">
        <w:r w:rsidR="000426DE" w:rsidRPr="00602C92">
          <w:rPr>
            <w:rStyle w:val="Hyperlink"/>
            <w:rtl/>
          </w:rPr>
          <w:t>בי' הי"מ במאירי בירושלמי דמניח עציץ ע"ג עציץ קוצר בתחתון דלא מגדל ומוסיף יניקה בעליון</w:t>
        </w:r>
      </w:hyperlink>
    </w:p>
    <w:p w14:paraId="603D0DFF" w14:textId="77777777" w:rsidR="000426DE" w:rsidRDefault="00AD16A0" w:rsidP="00ED704E">
      <w:pPr>
        <w:pStyle w:val="TOC3"/>
        <w:rPr>
          <w:rFonts w:asciiTheme="minorHAnsi" w:eastAsiaTheme="minorEastAsia" w:hAnsiTheme="minorHAnsi" w:cstheme="minorBidi"/>
          <w:sz w:val="22"/>
          <w:szCs w:val="22"/>
          <w:rtl/>
        </w:rPr>
      </w:pPr>
      <w:hyperlink w:anchor="_Toc139316398" w:history="1">
        <w:r w:rsidR="000426DE" w:rsidRPr="00602C92">
          <w:rPr>
            <w:rStyle w:val="Hyperlink"/>
            <w:rtl/>
          </w:rPr>
          <w:t>בי' הי"מ במאירי דזורע בעליון רק כשהוסיף לו יניקה מהתחתון אך מעביר ממקום למקום פטור</w:t>
        </w:r>
      </w:hyperlink>
    </w:p>
    <w:p w14:paraId="214EE7C0" w14:textId="77777777" w:rsidR="000426DE" w:rsidRDefault="00AD16A0" w:rsidP="00ED704E">
      <w:pPr>
        <w:pStyle w:val="TOC3"/>
        <w:rPr>
          <w:rFonts w:asciiTheme="minorHAnsi" w:eastAsiaTheme="minorEastAsia" w:hAnsiTheme="minorHAnsi" w:cstheme="minorBidi"/>
          <w:sz w:val="22"/>
          <w:szCs w:val="22"/>
          <w:rtl/>
        </w:rPr>
      </w:pPr>
      <w:hyperlink w:anchor="_Toc139316399" w:history="1">
        <w:r w:rsidR="000426DE" w:rsidRPr="00602C92">
          <w:rPr>
            <w:rStyle w:val="Hyperlink"/>
            <w:rtl/>
          </w:rPr>
          <w:t>דחיית המאירי דאף מעביר עציץ נקוב ממקום למקום הוא קוצר וזורע אף כשמיעט ביניקתו</w:t>
        </w:r>
      </w:hyperlink>
    </w:p>
    <w:p w14:paraId="6B1D6ABE" w14:textId="77777777" w:rsidR="000426DE" w:rsidRDefault="00AD16A0" w:rsidP="00ED704E">
      <w:pPr>
        <w:pStyle w:val="TOC3"/>
        <w:rPr>
          <w:rFonts w:asciiTheme="minorHAnsi" w:eastAsiaTheme="minorEastAsia" w:hAnsiTheme="minorHAnsi" w:cstheme="minorBidi"/>
          <w:sz w:val="22"/>
          <w:szCs w:val="22"/>
          <w:rtl/>
        </w:rPr>
      </w:pPr>
      <w:hyperlink w:anchor="_Toc139316400" w:history="1">
        <w:r w:rsidR="000426DE" w:rsidRPr="00602C92">
          <w:rPr>
            <w:rStyle w:val="Hyperlink"/>
            <w:rtl/>
          </w:rPr>
          <w:t>בי' המאירי דהמניח עציץ נקוב ע"ג אינו נקוב פטור דאף דהתחתון לא מגדל אין בו תולש דאו'</w:t>
        </w:r>
      </w:hyperlink>
    </w:p>
    <w:p w14:paraId="6294EB7D" w14:textId="77777777" w:rsidR="000426DE" w:rsidRDefault="00AD16A0" w:rsidP="000426DE">
      <w:pPr>
        <w:pStyle w:val="TOC1"/>
        <w:rPr>
          <w:rFonts w:asciiTheme="minorHAnsi" w:hAnsiTheme="minorHAnsi" w:cstheme="minorBidi"/>
          <w:b w:val="0"/>
          <w:bCs w:val="0"/>
          <w:caps w:val="0"/>
          <w:sz w:val="22"/>
          <w:szCs w:val="22"/>
          <w:rtl/>
        </w:rPr>
      </w:pPr>
      <w:hyperlink w:anchor="_Toc139316401" w:history="1">
        <w:r w:rsidR="000426DE" w:rsidRPr="00602C92">
          <w:rPr>
            <w:rStyle w:val="Hyperlink"/>
            <w:rtl/>
          </w:rPr>
          <w:t>~~~~~~~ ביאורי ראשי הישיבות ~~~~~~~</w:t>
        </w:r>
      </w:hyperlink>
    </w:p>
    <w:p w14:paraId="061B0CFB" w14:textId="77777777" w:rsidR="000426DE" w:rsidRDefault="00AD16A0" w:rsidP="000426DE">
      <w:pPr>
        <w:pStyle w:val="TOC1"/>
        <w:rPr>
          <w:rFonts w:asciiTheme="minorHAnsi" w:hAnsiTheme="minorHAnsi" w:cstheme="minorBidi"/>
          <w:b w:val="0"/>
          <w:bCs w:val="0"/>
          <w:caps w:val="0"/>
          <w:sz w:val="22"/>
          <w:szCs w:val="22"/>
          <w:rtl/>
        </w:rPr>
      </w:pPr>
      <w:hyperlink w:anchor="_Toc139316402" w:history="1">
        <w:r w:rsidR="000426DE" w:rsidRPr="00602C92">
          <w:rPr>
            <w:rStyle w:val="Hyperlink"/>
            <w:rtl/>
          </w:rPr>
          <w:t>גדר קוצר הפסק חיות או תולש ממחובר</w:t>
        </w:r>
      </w:hyperlink>
    </w:p>
    <w:p w14:paraId="56CDA23E" w14:textId="77777777" w:rsidR="000426DE" w:rsidRDefault="00AD16A0" w:rsidP="000426DE">
      <w:pPr>
        <w:pStyle w:val="TOC2"/>
        <w:rPr>
          <w:rFonts w:cstheme="minorBidi"/>
          <w:b w:val="0"/>
          <w:bCs w:val="0"/>
          <w:sz w:val="22"/>
          <w:szCs w:val="22"/>
          <w:rtl/>
        </w:rPr>
      </w:pPr>
      <w:hyperlink w:anchor="_Toc139316403" w:history="1">
        <w:r w:rsidR="000426DE" w:rsidRPr="00602C92">
          <w:rPr>
            <w:rStyle w:val="Hyperlink"/>
            <w:rtl/>
          </w:rPr>
          <w:t>בי' הזכר יצחק דלכו"ע קוצר מפסיק חיות ויבש מחובר ולא יונק</w:t>
        </w:r>
      </w:hyperlink>
    </w:p>
    <w:p w14:paraId="29D6130B" w14:textId="77777777" w:rsidR="000426DE" w:rsidRDefault="00AD16A0" w:rsidP="00ED704E">
      <w:pPr>
        <w:pStyle w:val="TOC3"/>
        <w:rPr>
          <w:rFonts w:asciiTheme="minorHAnsi" w:eastAsiaTheme="minorEastAsia" w:hAnsiTheme="minorHAnsi" w:cstheme="minorBidi"/>
          <w:sz w:val="22"/>
          <w:szCs w:val="22"/>
          <w:rtl/>
        </w:rPr>
      </w:pPr>
      <w:hyperlink w:anchor="_Toc139316404" w:history="1">
        <w:r w:rsidR="000426DE" w:rsidRPr="00602C92">
          <w:rPr>
            <w:rStyle w:val="Hyperlink"/>
            <w:rtl/>
          </w:rPr>
          <w:t>בי' הזכר יצחק דבירו' דשולה דג חייב בקוצר מבאר דגדר קוצר הוא הפסקת דבר מחיותו</w:t>
        </w:r>
      </w:hyperlink>
    </w:p>
    <w:p w14:paraId="14A563C4" w14:textId="77777777" w:rsidR="000426DE" w:rsidRDefault="00AD16A0" w:rsidP="00ED704E">
      <w:pPr>
        <w:pStyle w:val="TOC3"/>
        <w:rPr>
          <w:rFonts w:asciiTheme="minorHAnsi" w:eastAsiaTheme="minorEastAsia" w:hAnsiTheme="minorHAnsi" w:cstheme="minorBidi"/>
          <w:sz w:val="22"/>
          <w:szCs w:val="22"/>
          <w:rtl/>
        </w:rPr>
      </w:pPr>
      <w:hyperlink w:anchor="_Toc139316405" w:history="1">
        <w:r w:rsidR="000426DE" w:rsidRPr="00602C92">
          <w:rPr>
            <w:rStyle w:val="Hyperlink"/>
            <w:rtl/>
          </w:rPr>
          <w:t>קו' הזכר יצחק דמחיוב קוצר בתאנים שיבשו לרמב"ם מוכח דגדר קוצר הוא עוקר דבר מחיבורו</w:t>
        </w:r>
      </w:hyperlink>
    </w:p>
    <w:p w14:paraId="27F116B8" w14:textId="77777777" w:rsidR="000426DE" w:rsidRDefault="00AD16A0" w:rsidP="00ED704E">
      <w:pPr>
        <w:pStyle w:val="TOC3"/>
        <w:rPr>
          <w:rFonts w:asciiTheme="minorHAnsi" w:eastAsiaTheme="minorEastAsia" w:hAnsiTheme="minorHAnsi" w:cstheme="minorBidi"/>
          <w:sz w:val="22"/>
          <w:szCs w:val="22"/>
          <w:rtl/>
        </w:rPr>
      </w:pPr>
      <w:hyperlink w:anchor="_Toc139316406" w:history="1">
        <w:r w:rsidR="000426DE" w:rsidRPr="00602C92">
          <w:rPr>
            <w:rStyle w:val="Hyperlink"/>
            <w:rtl/>
          </w:rPr>
          <w:t>בי' הזכר יצחק בתוס' דאין תולש ביבש כיון שאינו יונק כלל אעפ"י דחשיב מחובר אף לשבת</w:t>
        </w:r>
      </w:hyperlink>
    </w:p>
    <w:p w14:paraId="67015361" w14:textId="77777777" w:rsidR="000426DE" w:rsidRDefault="00AD16A0" w:rsidP="00ED704E">
      <w:pPr>
        <w:pStyle w:val="TOC3"/>
        <w:rPr>
          <w:rFonts w:asciiTheme="minorHAnsi" w:eastAsiaTheme="minorEastAsia" w:hAnsiTheme="minorHAnsi" w:cstheme="minorBidi"/>
          <w:sz w:val="22"/>
          <w:szCs w:val="22"/>
          <w:rtl/>
        </w:rPr>
      </w:pPr>
      <w:hyperlink w:anchor="_Toc139316407" w:history="1">
        <w:r w:rsidR="000426DE" w:rsidRPr="00602C92">
          <w:rPr>
            <w:rStyle w:val="Hyperlink"/>
            <w:rtl/>
          </w:rPr>
          <w:t>בי' הזכר יצחק ברמב"ם דגדר קוצר הפסקת חיות ואף ע"ג יתדות מחובר והוי תולש דמיעט יניקתו</w:t>
        </w:r>
      </w:hyperlink>
    </w:p>
    <w:p w14:paraId="38E89578" w14:textId="77777777" w:rsidR="000426DE" w:rsidRDefault="00AD16A0" w:rsidP="00ED704E">
      <w:pPr>
        <w:pStyle w:val="TOC3"/>
        <w:rPr>
          <w:rFonts w:asciiTheme="minorHAnsi" w:eastAsiaTheme="minorEastAsia" w:hAnsiTheme="minorHAnsi" w:cstheme="minorBidi"/>
          <w:sz w:val="22"/>
          <w:szCs w:val="22"/>
          <w:rtl/>
        </w:rPr>
      </w:pPr>
      <w:hyperlink w:anchor="_Toc139316408" w:history="1">
        <w:r w:rsidR="000426DE" w:rsidRPr="00602C92">
          <w:rPr>
            <w:rStyle w:val="Hyperlink"/>
            <w:rtl/>
          </w:rPr>
          <w:t>בי' הזכר יצחק ברמב"ן דקוצר הוא הפסקת חיות ומדלדל עובר דמפסיק חיות דמי לעוקר מגידולו</w:t>
        </w:r>
      </w:hyperlink>
    </w:p>
    <w:p w14:paraId="4DBADF48" w14:textId="77777777" w:rsidR="000426DE" w:rsidRDefault="00AD16A0" w:rsidP="000426DE">
      <w:pPr>
        <w:pStyle w:val="TOC2"/>
        <w:rPr>
          <w:rFonts w:cstheme="minorBidi"/>
          <w:b w:val="0"/>
          <w:bCs w:val="0"/>
          <w:sz w:val="22"/>
          <w:szCs w:val="22"/>
          <w:rtl/>
        </w:rPr>
      </w:pPr>
      <w:hyperlink w:anchor="_Toc139316409" w:history="1">
        <w:r w:rsidR="000426DE" w:rsidRPr="00602C92">
          <w:rPr>
            <w:rStyle w:val="Hyperlink"/>
            <w:rtl/>
          </w:rPr>
          <w:t>בי' הדב"א בירו' דגדרי קוצר הפסקת חיות וגם תולש ממחובר</w:t>
        </w:r>
      </w:hyperlink>
    </w:p>
    <w:p w14:paraId="151499F6" w14:textId="77777777" w:rsidR="000426DE" w:rsidRDefault="00AD16A0" w:rsidP="00ED704E">
      <w:pPr>
        <w:pStyle w:val="TOC3"/>
        <w:rPr>
          <w:rFonts w:asciiTheme="minorHAnsi" w:eastAsiaTheme="minorEastAsia" w:hAnsiTheme="minorHAnsi" w:cstheme="minorBidi"/>
          <w:sz w:val="22"/>
          <w:szCs w:val="22"/>
          <w:rtl/>
        </w:rPr>
      </w:pPr>
      <w:hyperlink w:anchor="_Toc139316410" w:history="1">
        <w:r w:rsidR="000426DE" w:rsidRPr="00602C92">
          <w:rPr>
            <w:rStyle w:val="Hyperlink"/>
            <w:rtl/>
          </w:rPr>
          <w:t>בי' הדב"א דל"מ בירושלמי דקוצר הוא תולש ממחובר ודג כמחובר אלא קוצר הוא הפסקת חיות</w:t>
        </w:r>
      </w:hyperlink>
    </w:p>
    <w:p w14:paraId="52632CCF" w14:textId="77777777" w:rsidR="000426DE" w:rsidRDefault="00AD16A0" w:rsidP="00ED704E">
      <w:pPr>
        <w:pStyle w:val="TOC3"/>
        <w:rPr>
          <w:rFonts w:asciiTheme="minorHAnsi" w:eastAsiaTheme="minorEastAsia" w:hAnsiTheme="minorHAnsi" w:cstheme="minorBidi"/>
          <w:sz w:val="22"/>
          <w:szCs w:val="22"/>
          <w:rtl/>
        </w:rPr>
      </w:pPr>
      <w:hyperlink w:anchor="_Toc139316411" w:history="1">
        <w:r w:rsidR="000426DE" w:rsidRPr="00602C92">
          <w:rPr>
            <w:rStyle w:val="Hyperlink"/>
            <w:rtl/>
          </w:rPr>
          <w:t>בי' הדב"א דמוכח בירו' דיש קוצר בבע"ח לענין חולב ורודה דבש ומוכח דהבבלי פליג ע"ז</w:t>
        </w:r>
      </w:hyperlink>
    </w:p>
    <w:p w14:paraId="41BAF51D" w14:textId="77777777" w:rsidR="000426DE" w:rsidRDefault="00AD16A0" w:rsidP="00ED704E">
      <w:pPr>
        <w:pStyle w:val="TOC3"/>
        <w:rPr>
          <w:rFonts w:asciiTheme="minorHAnsi" w:eastAsiaTheme="minorEastAsia" w:hAnsiTheme="minorHAnsi" w:cstheme="minorBidi"/>
          <w:sz w:val="22"/>
          <w:szCs w:val="22"/>
          <w:rtl/>
        </w:rPr>
      </w:pPr>
      <w:hyperlink w:anchor="_Toc139316412" w:history="1">
        <w:r w:rsidR="000426DE" w:rsidRPr="00602C92">
          <w:rPr>
            <w:rStyle w:val="Hyperlink"/>
            <w:rtl/>
          </w:rPr>
          <w:t>בי' הדב"א בירו' דחולב חייב משום קוצר ובי' הקרבן העדה דמבדילו מחיותו ומבו' דזה גדר קוצר</w:t>
        </w:r>
      </w:hyperlink>
    </w:p>
    <w:p w14:paraId="3C5A334D" w14:textId="77777777" w:rsidR="000426DE" w:rsidRDefault="00AD16A0" w:rsidP="00ED704E">
      <w:pPr>
        <w:pStyle w:val="TOC3"/>
        <w:rPr>
          <w:rFonts w:asciiTheme="minorHAnsi" w:eastAsiaTheme="minorEastAsia" w:hAnsiTheme="minorHAnsi" w:cstheme="minorBidi"/>
          <w:sz w:val="22"/>
          <w:szCs w:val="22"/>
          <w:rtl/>
        </w:rPr>
      </w:pPr>
      <w:hyperlink w:anchor="_Toc139316413" w:history="1">
        <w:r w:rsidR="000426DE" w:rsidRPr="00602C92">
          <w:rPr>
            <w:rStyle w:val="Hyperlink"/>
            <w:rtl/>
          </w:rPr>
          <w:t>דחיית הדב"א דחולב אינו הפסקת חיות ומוכח דמודה הירו' דגדר קוצר הוא גם תלישה ממחובר</w:t>
        </w:r>
      </w:hyperlink>
    </w:p>
    <w:p w14:paraId="6B6EDBAD" w14:textId="77777777" w:rsidR="000426DE" w:rsidRDefault="00AD16A0" w:rsidP="00ED704E">
      <w:pPr>
        <w:pStyle w:val="TOC3"/>
        <w:rPr>
          <w:rFonts w:asciiTheme="minorHAnsi" w:eastAsiaTheme="minorEastAsia" w:hAnsiTheme="minorHAnsi" w:cstheme="minorBidi"/>
          <w:sz w:val="22"/>
          <w:szCs w:val="22"/>
          <w:rtl/>
        </w:rPr>
      </w:pPr>
      <w:hyperlink w:anchor="_Toc139316414" w:history="1">
        <w:r w:rsidR="000426DE" w:rsidRPr="00602C92">
          <w:rPr>
            <w:rStyle w:val="Hyperlink"/>
            <w:rtl/>
          </w:rPr>
          <w:t>בי' הדב"א בירו' דקוצר הוא הבדלת חיות וגם תלישה ממחובר שלא בגידו"ק או דבהמה גידו"ק</w:t>
        </w:r>
      </w:hyperlink>
    </w:p>
    <w:p w14:paraId="16EE595C" w14:textId="77777777" w:rsidR="000426DE" w:rsidRDefault="00AD16A0" w:rsidP="000426DE">
      <w:pPr>
        <w:pStyle w:val="TOC2"/>
        <w:rPr>
          <w:rFonts w:cstheme="minorBidi"/>
          <w:b w:val="0"/>
          <w:bCs w:val="0"/>
          <w:sz w:val="22"/>
          <w:szCs w:val="22"/>
          <w:rtl/>
        </w:rPr>
      </w:pPr>
      <w:hyperlink w:anchor="_Toc139316415" w:history="1">
        <w:r w:rsidR="000426DE" w:rsidRPr="00602C92">
          <w:rPr>
            <w:rStyle w:val="Hyperlink"/>
            <w:rtl/>
          </w:rPr>
          <w:t>בי' הדב"א דנח' הראשונים אי הבבלי מודה לירו' בהפסקת חיות</w:t>
        </w:r>
      </w:hyperlink>
    </w:p>
    <w:p w14:paraId="50E6EC46" w14:textId="77777777" w:rsidR="000426DE" w:rsidRDefault="00AD16A0" w:rsidP="00ED704E">
      <w:pPr>
        <w:pStyle w:val="TOC3"/>
        <w:rPr>
          <w:rFonts w:asciiTheme="minorHAnsi" w:eastAsiaTheme="minorEastAsia" w:hAnsiTheme="minorHAnsi" w:cstheme="minorBidi"/>
          <w:sz w:val="22"/>
          <w:szCs w:val="22"/>
          <w:rtl/>
        </w:rPr>
      </w:pPr>
      <w:hyperlink w:anchor="_Toc139316416" w:history="1">
        <w:r w:rsidR="000426DE" w:rsidRPr="00602C92">
          <w:rPr>
            <w:rStyle w:val="Hyperlink"/>
            <w:rtl/>
          </w:rPr>
          <w:t>בי' הדב"א דמהא דלבבלי החיוב בדג רק ביבש כסלע מוכח דפליג על הירו' דחייב בקוצר מיד</w:t>
        </w:r>
      </w:hyperlink>
    </w:p>
    <w:p w14:paraId="460308B4" w14:textId="77777777" w:rsidR="000426DE" w:rsidRDefault="00AD16A0" w:rsidP="00ED704E">
      <w:pPr>
        <w:pStyle w:val="TOC3"/>
        <w:rPr>
          <w:rFonts w:asciiTheme="minorHAnsi" w:eastAsiaTheme="minorEastAsia" w:hAnsiTheme="minorHAnsi" w:cstheme="minorBidi"/>
          <w:sz w:val="22"/>
          <w:szCs w:val="22"/>
          <w:rtl/>
        </w:rPr>
      </w:pPr>
      <w:hyperlink w:anchor="_Toc139316417" w:history="1">
        <w:r w:rsidR="000426DE" w:rsidRPr="00602C92">
          <w:rPr>
            <w:rStyle w:val="Hyperlink"/>
            <w:rtl/>
          </w:rPr>
          <w:t>בי' הדב"א דמוכח דלבבלי קוצר הוא רק בגידו"ק אך אפש"ל דמודה לסברת הירו' בהפסקת חיות</w:t>
        </w:r>
      </w:hyperlink>
    </w:p>
    <w:p w14:paraId="7D71C1F8" w14:textId="77777777" w:rsidR="000426DE" w:rsidRDefault="00AD16A0" w:rsidP="00ED704E">
      <w:pPr>
        <w:pStyle w:val="TOC3"/>
        <w:rPr>
          <w:rFonts w:asciiTheme="minorHAnsi" w:eastAsiaTheme="minorEastAsia" w:hAnsiTheme="minorHAnsi" w:cstheme="minorBidi"/>
          <w:sz w:val="22"/>
          <w:szCs w:val="22"/>
          <w:rtl/>
        </w:rPr>
      </w:pPr>
      <w:hyperlink w:anchor="_Toc139316418" w:history="1">
        <w:r w:rsidR="000426DE" w:rsidRPr="00602C92">
          <w:rPr>
            <w:rStyle w:val="Hyperlink"/>
            <w:rtl/>
          </w:rPr>
          <w:t>בי' הדב"א דלדעת הסוברים דיש קוצר שלא בגידו"ק מוכח דלבבלי קוצר אינו הפסקת החיות</w:t>
        </w:r>
      </w:hyperlink>
    </w:p>
    <w:p w14:paraId="102B4C78" w14:textId="77777777" w:rsidR="000426DE" w:rsidRDefault="00AD16A0" w:rsidP="00ED704E">
      <w:pPr>
        <w:pStyle w:val="TOC3"/>
        <w:rPr>
          <w:rFonts w:asciiTheme="minorHAnsi" w:eastAsiaTheme="minorEastAsia" w:hAnsiTheme="minorHAnsi" w:cstheme="minorBidi"/>
          <w:sz w:val="22"/>
          <w:szCs w:val="22"/>
          <w:rtl/>
        </w:rPr>
      </w:pPr>
      <w:hyperlink w:anchor="_Toc139316419" w:history="1">
        <w:r w:rsidR="000426DE" w:rsidRPr="00602C92">
          <w:rPr>
            <w:rStyle w:val="Hyperlink"/>
            <w:rtl/>
          </w:rPr>
          <w:t>בי' הדב"א ברבינו גרשום דשמואל הוסיף חיוב אחר שיבש אך הבבלי מודה לירו' בהפסקת חיות</w:t>
        </w:r>
      </w:hyperlink>
    </w:p>
    <w:p w14:paraId="6821575B" w14:textId="77777777" w:rsidR="000426DE" w:rsidRDefault="00AD16A0" w:rsidP="00ED704E">
      <w:pPr>
        <w:pStyle w:val="TOC3"/>
        <w:rPr>
          <w:rFonts w:asciiTheme="minorHAnsi" w:eastAsiaTheme="minorEastAsia" w:hAnsiTheme="minorHAnsi" w:cstheme="minorBidi"/>
          <w:sz w:val="22"/>
          <w:szCs w:val="22"/>
          <w:rtl/>
        </w:rPr>
      </w:pPr>
      <w:hyperlink w:anchor="_Toc139316420" w:history="1">
        <w:r w:rsidR="000426DE" w:rsidRPr="00602C92">
          <w:rPr>
            <w:rStyle w:val="Hyperlink"/>
            <w:rtl/>
          </w:rPr>
          <w:t>קו' הדב"א על רש"י דלירו' חולב חייב משום קוצר ומוכח דהחלב מחובר ובזה ל"מ דהבבלי פליג</w:t>
        </w:r>
      </w:hyperlink>
    </w:p>
    <w:p w14:paraId="62212E00" w14:textId="77777777" w:rsidR="000426DE" w:rsidRDefault="00AD16A0" w:rsidP="00ED704E">
      <w:pPr>
        <w:pStyle w:val="TOC3"/>
        <w:rPr>
          <w:rFonts w:asciiTheme="minorHAnsi" w:eastAsiaTheme="minorEastAsia" w:hAnsiTheme="minorHAnsi" w:cstheme="minorBidi"/>
          <w:sz w:val="22"/>
          <w:szCs w:val="22"/>
          <w:rtl/>
        </w:rPr>
      </w:pPr>
      <w:hyperlink w:anchor="_Toc139316421" w:history="1">
        <w:r w:rsidR="000426DE" w:rsidRPr="00602C92">
          <w:rPr>
            <w:rStyle w:val="Hyperlink"/>
            <w:rtl/>
          </w:rPr>
          <w:t>בי' הדב"א דמוכח ברש"י דהבבלי פליג על הפסקת חיות ואפשר לחייב בחולב רק אי הוא מחובר</w:t>
        </w:r>
      </w:hyperlink>
    </w:p>
    <w:p w14:paraId="2DEE9E14" w14:textId="77777777" w:rsidR="000426DE" w:rsidRDefault="00AD16A0" w:rsidP="00ED704E">
      <w:pPr>
        <w:pStyle w:val="TOC3"/>
        <w:rPr>
          <w:rFonts w:asciiTheme="minorHAnsi" w:eastAsiaTheme="minorEastAsia" w:hAnsiTheme="minorHAnsi" w:cstheme="minorBidi"/>
          <w:sz w:val="22"/>
          <w:szCs w:val="22"/>
          <w:rtl/>
        </w:rPr>
      </w:pPr>
      <w:hyperlink w:anchor="_Toc139316422" w:history="1">
        <w:r w:rsidR="000426DE" w:rsidRPr="00602C92">
          <w:rPr>
            <w:rStyle w:val="Hyperlink"/>
            <w:rtl/>
          </w:rPr>
          <w:t>בי' הדב"א בי"מ ברש"י דמוכח דהבבלי מודה להפסקת חיות אך צ"ב דחולב לא מפסיק חיות</w:t>
        </w:r>
      </w:hyperlink>
    </w:p>
    <w:p w14:paraId="36332435" w14:textId="77777777" w:rsidR="000426DE" w:rsidRDefault="00AD16A0" w:rsidP="000426DE">
      <w:pPr>
        <w:pStyle w:val="TOC2"/>
        <w:rPr>
          <w:rFonts w:cstheme="minorBidi"/>
          <w:b w:val="0"/>
          <w:bCs w:val="0"/>
          <w:sz w:val="22"/>
          <w:szCs w:val="22"/>
          <w:rtl/>
        </w:rPr>
      </w:pPr>
      <w:hyperlink w:anchor="_Toc139316423" w:history="1">
        <w:r w:rsidR="000426DE" w:rsidRPr="00602C92">
          <w:rPr>
            <w:rStyle w:val="Hyperlink"/>
            <w:rtl/>
          </w:rPr>
          <w:t>הוכחת הדב"א דלדידן קוצר אינו הפסקת חיות דאף ביבש אסור</w:t>
        </w:r>
      </w:hyperlink>
    </w:p>
    <w:p w14:paraId="6300CEE8" w14:textId="77777777" w:rsidR="000426DE" w:rsidRDefault="00AD16A0" w:rsidP="00ED704E">
      <w:pPr>
        <w:pStyle w:val="TOC3"/>
        <w:rPr>
          <w:rFonts w:asciiTheme="minorHAnsi" w:eastAsiaTheme="minorEastAsia" w:hAnsiTheme="minorHAnsi" w:cstheme="minorBidi"/>
          <w:sz w:val="22"/>
          <w:szCs w:val="22"/>
          <w:rtl/>
        </w:rPr>
      </w:pPr>
      <w:hyperlink w:anchor="_Toc139316424" w:history="1">
        <w:r w:rsidR="000426DE" w:rsidRPr="00602C92">
          <w:rPr>
            <w:rStyle w:val="Hyperlink"/>
            <w:rtl/>
          </w:rPr>
          <w:t>בי' הדב"א דאף אי הבבלי ס"ל דקוצר רק בגידו"ק אפש"ל דמודה לסברת הירו' בהפסקת חיות</w:t>
        </w:r>
      </w:hyperlink>
    </w:p>
    <w:p w14:paraId="310E8954" w14:textId="77777777" w:rsidR="000426DE" w:rsidRDefault="00AD16A0" w:rsidP="00ED704E">
      <w:pPr>
        <w:pStyle w:val="TOC3"/>
        <w:rPr>
          <w:rFonts w:asciiTheme="minorHAnsi" w:eastAsiaTheme="minorEastAsia" w:hAnsiTheme="minorHAnsi" w:cstheme="minorBidi"/>
          <w:sz w:val="22"/>
          <w:szCs w:val="22"/>
          <w:rtl/>
        </w:rPr>
      </w:pPr>
      <w:hyperlink w:anchor="_Toc139316425" w:history="1">
        <w:r w:rsidR="000426DE" w:rsidRPr="00602C92">
          <w:rPr>
            <w:rStyle w:val="Hyperlink"/>
            <w:rtl/>
          </w:rPr>
          <w:t>דחיית הדב"א דמחיוב קוצר ביבש מוכח דלבבלי קוצר הוא רק תולש ממחובר ולא הפסקת חיות</w:t>
        </w:r>
      </w:hyperlink>
    </w:p>
    <w:p w14:paraId="15B71656" w14:textId="77777777" w:rsidR="000426DE" w:rsidRDefault="00AD16A0" w:rsidP="00ED704E">
      <w:pPr>
        <w:pStyle w:val="TOC3"/>
        <w:rPr>
          <w:rFonts w:asciiTheme="minorHAnsi" w:eastAsiaTheme="minorEastAsia" w:hAnsiTheme="minorHAnsi" w:cstheme="minorBidi"/>
          <w:sz w:val="22"/>
          <w:szCs w:val="22"/>
          <w:rtl/>
        </w:rPr>
      </w:pPr>
      <w:hyperlink w:anchor="_Toc139316426" w:history="1">
        <w:r w:rsidR="000426DE" w:rsidRPr="00602C92">
          <w:rPr>
            <w:rStyle w:val="Hyperlink"/>
            <w:rtl/>
          </w:rPr>
          <w:t>בי' הדב"א דלתוס' דאין קוצר באילן יבש הוא כיון דאינו מחובר לקרקע כלל וכתוחב קנה בקרקע</w:t>
        </w:r>
      </w:hyperlink>
    </w:p>
    <w:p w14:paraId="2BE0AB46" w14:textId="77777777" w:rsidR="000426DE" w:rsidRDefault="00AD16A0" w:rsidP="000426DE">
      <w:pPr>
        <w:pStyle w:val="TOC2"/>
        <w:rPr>
          <w:rFonts w:cstheme="minorBidi"/>
          <w:b w:val="0"/>
          <w:bCs w:val="0"/>
          <w:sz w:val="22"/>
          <w:szCs w:val="22"/>
          <w:rtl/>
        </w:rPr>
      </w:pPr>
      <w:hyperlink w:anchor="_Toc139316427" w:history="1">
        <w:r w:rsidR="000426DE" w:rsidRPr="00602C92">
          <w:rPr>
            <w:rStyle w:val="Hyperlink"/>
            <w:rtl/>
          </w:rPr>
          <w:t>בי' הדב"א דבפרפיסא מוכח דהבבלי פליג על הירו' לרש"י ותוס'</w:t>
        </w:r>
      </w:hyperlink>
    </w:p>
    <w:p w14:paraId="65176196" w14:textId="77777777" w:rsidR="000426DE" w:rsidRDefault="00AD16A0" w:rsidP="00ED704E">
      <w:pPr>
        <w:pStyle w:val="TOC3"/>
        <w:rPr>
          <w:rFonts w:asciiTheme="minorHAnsi" w:eastAsiaTheme="minorEastAsia" w:hAnsiTheme="minorHAnsi" w:cstheme="minorBidi"/>
          <w:sz w:val="22"/>
          <w:szCs w:val="22"/>
          <w:rtl/>
        </w:rPr>
      </w:pPr>
      <w:hyperlink w:anchor="_Toc139316428" w:history="1">
        <w:r w:rsidR="000426DE" w:rsidRPr="00602C92">
          <w:rPr>
            <w:rStyle w:val="Hyperlink"/>
            <w:rtl/>
          </w:rPr>
          <w:t>בי' הדב"א דאף אי ברמב"ם בגבשושית מ' דהבבלי מודה לירו' מ"מ ברש"י ותוס' מוכח דפליג</w:t>
        </w:r>
      </w:hyperlink>
    </w:p>
    <w:p w14:paraId="4D07AA6F" w14:textId="77777777" w:rsidR="000426DE" w:rsidRDefault="00AD16A0" w:rsidP="00ED704E">
      <w:pPr>
        <w:pStyle w:val="TOC3"/>
        <w:rPr>
          <w:rFonts w:asciiTheme="minorHAnsi" w:eastAsiaTheme="minorEastAsia" w:hAnsiTheme="minorHAnsi" w:cstheme="minorBidi"/>
          <w:sz w:val="22"/>
          <w:szCs w:val="22"/>
          <w:rtl/>
        </w:rPr>
      </w:pPr>
      <w:hyperlink w:anchor="_Toc139316429" w:history="1">
        <w:r w:rsidR="000426DE" w:rsidRPr="00602C92">
          <w:rPr>
            <w:rStyle w:val="Hyperlink"/>
            <w:rtl/>
          </w:rPr>
          <w:t>בי' הדב"א דבתוס' בשבועות מוכח דגדר קוצר הוא תלישה ממחובר ולא הפסקת החיות</w:t>
        </w:r>
      </w:hyperlink>
    </w:p>
    <w:p w14:paraId="3A22303A" w14:textId="77777777" w:rsidR="000426DE" w:rsidRDefault="00AD16A0" w:rsidP="00ED704E">
      <w:pPr>
        <w:pStyle w:val="TOC3"/>
        <w:rPr>
          <w:rFonts w:asciiTheme="minorHAnsi" w:eastAsiaTheme="minorEastAsia" w:hAnsiTheme="minorHAnsi" w:cstheme="minorBidi"/>
          <w:sz w:val="22"/>
          <w:szCs w:val="22"/>
          <w:rtl/>
        </w:rPr>
      </w:pPr>
      <w:hyperlink w:anchor="_Toc139316430" w:history="1">
        <w:r w:rsidR="000426DE" w:rsidRPr="00602C92">
          <w:rPr>
            <w:rStyle w:val="Hyperlink"/>
            <w:rtl/>
          </w:rPr>
          <w:t>בי' הדב"א דאפשר לדחות דמרש"י ומההג"א אין ראיה כיון דהפסקת יניקה אי"ז מלאכה שלימה</w:t>
        </w:r>
      </w:hyperlink>
    </w:p>
    <w:p w14:paraId="4CA0FAFC" w14:textId="77777777" w:rsidR="000426DE" w:rsidRDefault="00AD16A0" w:rsidP="000426DE">
      <w:pPr>
        <w:pStyle w:val="TOC2"/>
        <w:rPr>
          <w:rFonts w:cstheme="minorBidi"/>
          <w:b w:val="0"/>
          <w:bCs w:val="0"/>
          <w:sz w:val="22"/>
          <w:szCs w:val="22"/>
          <w:rtl/>
        </w:rPr>
      </w:pPr>
      <w:hyperlink w:anchor="_Toc139316431" w:history="1">
        <w:r w:rsidR="000426DE" w:rsidRPr="00602C92">
          <w:rPr>
            <w:rStyle w:val="Hyperlink"/>
            <w:rtl/>
          </w:rPr>
          <w:t>בי' הדב"א אי צרור ופיטרא על חבית הוי מחובר או מפסיק חיות</w:t>
        </w:r>
      </w:hyperlink>
    </w:p>
    <w:p w14:paraId="56C96E30" w14:textId="77777777" w:rsidR="000426DE" w:rsidRDefault="00AD16A0" w:rsidP="00ED704E">
      <w:pPr>
        <w:pStyle w:val="TOC3"/>
        <w:rPr>
          <w:rFonts w:asciiTheme="minorHAnsi" w:eastAsiaTheme="minorEastAsia" w:hAnsiTheme="minorHAnsi" w:cstheme="minorBidi"/>
          <w:sz w:val="22"/>
          <w:szCs w:val="22"/>
          <w:rtl/>
        </w:rPr>
      </w:pPr>
      <w:hyperlink w:anchor="_Toc139316432" w:history="1">
        <w:r w:rsidR="000426DE" w:rsidRPr="00602C92">
          <w:rPr>
            <w:rStyle w:val="Hyperlink"/>
            <w:rtl/>
          </w:rPr>
          <w:t>בי' הדב"א דתולש כשות מהיזמי כתולש ממחובר ובמאירי משמע דחשיב מחובר לקרקע עצמה</w:t>
        </w:r>
      </w:hyperlink>
    </w:p>
    <w:p w14:paraId="0894FCB6" w14:textId="77777777" w:rsidR="000426DE" w:rsidRDefault="00AD16A0" w:rsidP="00ED704E">
      <w:pPr>
        <w:pStyle w:val="TOC3"/>
        <w:rPr>
          <w:rFonts w:asciiTheme="minorHAnsi" w:eastAsiaTheme="minorEastAsia" w:hAnsiTheme="minorHAnsi" w:cstheme="minorBidi"/>
          <w:sz w:val="22"/>
          <w:szCs w:val="22"/>
          <w:rtl/>
        </w:rPr>
      </w:pPr>
      <w:hyperlink w:anchor="_Toc139316433" w:history="1">
        <w:r w:rsidR="000426DE" w:rsidRPr="00602C92">
          <w:rPr>
            <w:rStyle w:val="Hyperlink"/>
            <w:rtl/>
          </w:rPr>
          <w:t>בי' הדב"א ברמב"ם דעוקרם ממקום גידולם היינו דהוא רביתיה ואין כוונתו דמפסיקם מחיותם</w:t>
        </w:r>
      </w:hyperlink>
    </w:p>
    <w:p w14:paraId="56AF7A5A" w14:textId="77777777" w:rsidR="000426DE" w:rsidRDefault="00AD16A0" w:rsidP="00ED704E">
      <w:pPr>
        <w:pStyle w:val="TOC3"/>
        <w:rPr>
          <w:rFonts w:asciiTheme="minorHAnsi" w:eastAsiaTheme="minorEastAsia" w:hAnsiTheme="minorHAnsi" w:cstheme="minorBidi"/>
          <w:sz w:val="22"/>
          <w:szCs w:val="22"/>
          <w:rtl/>
        </w:rPr>
      </w:pPr>
      <w:hyperlink w:anchor="_Toc139316434" w:history="1">
        <w:r w:rsidR="000426DE" w:rsidRPr="00602C92">
          <w:rPr>
            <w:rStyle w:val="Hyperlink"/>
            <w:rtl/>
          </w:rPr>
          <w:t>בי' הדב"א דירושלמי כל הפסקת חיות קוצר אך לבבלי רק במקום רביתיה דצריך שיהיה מחובר</w:t>
        </w:r>
      </w:hyperlink>
    </w:p>
    <w:p w14:paraId="24F5BD4B" w14:textId="77777777" w:rsidR="000426DE" w:rsidRDefault="00AD16A0" w:rsidP="00ED704E">
      <w:pPr>
        <w:pStyle w:val="TOC3"/>
        <w:rPr>
          <w:rFonts w:asciiTheme="minorHAnsi" w:eastAsiaTheme="minorEastAsia" w:hAnsiTheme="minorHAnsi" w:cstheme="minorBidi"/>
          <w:sz w:val="22"/>
          <w:szCs w:val="22"/>
          <w:rtl/>
        </w:rPr>
      </w:pPr>
      <w:hyperlink w:anchor="_Toc139316435" w:history="1">
        <w:r w:rsidR="000426DE" w:rsidRPr="00602C92">
          <w:rPr>
            <w:rStyle w:val="Hyperlink"/>
            <w:rtl/>
          </w:rPr>
          <w:t>בי' הדב"א דלבי' הזכר יצחק צרור לרמב"ם אינו מחובר ותולש ממנו אסור רק דמפסיק את החיות</w:t>
        </w:r>
      </w:hyperlink>
    </w:p>
    <w:p w14:paraId="026B9D9F" w14:textId="77777777" w:rsidR="000426DE" w:rsidRDefault="00AD16A0" w:rsidP="00ED704E">
      <w:pPr>
        <w:pStyle w:val="TOC3"/>
        <w:rPr>
          <w:rFonts w:asciiTheme="minorHAnsi" w:eastAsiaTheme="minorEastAsia" w:hAnsiTheme="minorHAnsi" w:cstheme="minorBidi"/>
          <w:sz w:val="22"/>
          <w:szCs w:val="22"/>
          <w:rtl/>
        </w:rPr>
      </w:pPr>
      <w:hyperlink w:anchor="_Toc139316436" w:history="1">
        <w:r w:rsidR="000426DE" w:rsidRPr="00602C92">
          <w:rPr>
            <w:rStyle w:val="Hyperlink"/>
            <w:rtl/>
          </w:rPr>
          <w:t>בי' הדב"א דאי גדר קוצר הוא תלישה ממחובר מוכח דכשותא ופיטרא הוי מחובר דהוא רביתיה</w:t>
        </w:r>
      </w:hyperlink>
    </w:p>
    <w:p w14:paraId="758A9927" w14:textId="77777777" w:rsidR="000426DE" w:rsidRDefault="00AD16A0" w:rsidP="000426DE">
      <w:pPr>
        <w:pStyle w:val="TOC1"/>
        <w:rPr>
          <w:rFonts w:asciiTheme="minorHAnsi" w:hAnsiTheme="minorHAnsi" w:cstheme="minorBidi"/>
          <w:b w:val="0"/>
          <w:bCs w:val="0"/>
          <w:caps w:val="0"/>
          <w:sz w:val="22"/>
          <w:szCs w:val="22"/>
          <w:rtl/>
        </w:rPr>
      </w:pPr>
      <w:hyperlink w:anchor="_Toc139316437" w:history="1">
        <w:r w:rsidR="000426DE" w:rsidRPr="00602C92">
          <w:rPr>
            <w:rStyle w:val="Hyperlink"/>
            <w:rtl/>
          </w:rPr>
          <w:t>~~~~~~~~~~~~~~~~~~~~~~~~~~~~</w:t>
        </w:r>
      </w:hyperlink>
    </w:p>
    <w:p w14:paraId="61225671" w14:textId="77777777" w:rsidR="000426DE" w:rsidRDefault="00AD16A0" w:rsidP="000426DE">
      <w:pPr>
        <w:pStyle w:val="TOC1"/>
        <w:rPr>
          <w:rFonts w:asciiTheme="minorHAnsi" w:hAnsiTheme="minorHAnsi" w:cstheme="minorBidi"/>
          <w:b w:val="0"/>
          <w:bCs w:val="0"/>
          <w:caps w:val="0"/>
          <w:sz w:val="22"/>
          <w:szCs w:val="22"/>
          <w:rtl/>
        </w:rPr>
      </w:pPr>
      <w:hyperlink w:anchor="_Toc139316438" w:history="1">
        <w:r w:rsidR="000426DE" w:rsidRPr="00602C92">
          <w:rPr>
            <w:rStyle w:val="Hyperlink"/>
            <w:rtl/>
          </w:rPr>
          <w:t>אי מיעוט והוספת יניקה אסורים מדאו'</w:t>
        </w:r>
      </w:hyperlink>
    </w:p>
    <w:p w14:paraId="7D5B25C2" w14:textId="77777777" w:rsidR="000426DE" w:rsidRDefault="00AD16A0" w:rsidP="000426DE">
      <w:pPr>
        <w:pStyle w:val="TOC2"/>
        <w:rPr>
          <w:rFonts w:cstheme="minorBidi"/>
          <w:b w:val="0"/>
          <w:bCs w:val="0"/>
          <w:sz w:val="22"/>
          <w:szCs w:val="22"/>
          <w:rtl/>
        </w:rPr>
      </w:pPr>
      <w:hyperlink w:anchor="_Toc139316439" w:history="1">
        <w:r w:rsidR="000426DE" w:rsidRPr="00602C92">
          <w:rPr>
            <w:rStyle w:val="Hyperlink"/>
            <w:rtl/>
          </w:rPr>
          <w:t>פלוגתת האחרונים אי בממעט יניקה בעציץ נקוב יש חיוב קוצר</w:t>
        </w:r>
      </w:hyperlink>
    </w:p>
    <w:p w14:paraId="2CC47538" w14:textId="77777777" w:rsidR="000426DE" w:rsidRDefault="00AD16A0" w:rsidP="00ED704E">
      <w:pPr>
        <w:pStyle w:val="TOC3"/>
        <w:rPr>
          <w:rFonts w:asciiTheme="minorHAnsi" w:eastAsiaTheme="minorEastAsia" w:hAnsiTheme="minorHAnsi" w:cstheme="minorBidi"/>
          <w:sz w:val="22"/>
          <w:szCs w:val="22"/>
          <w:rtl/>
        </w:rPr>
      </w:pPr>
      <w:hyperlink w:anchor="_Toc139316440" w:history="1">
        <w:r w:rsidR="000426DE" w:rsidRPr="00602C92">
          <w:rPr>
            <w:rStyle w:val="Hyperlink"/>
            <w:rtl/>
          </w:rPr>
          <w:t>בי' האו"ש בתוס' דהממעט יניקה חסר בשיעור קוצר ול"ד למכבה דממעט חייב דאין בו שיעור</w:t>
        </w:r>
      </w:hyperlink>
    </w:p>
    <w:p w14:paraId="07D1B4FF" w14:textId="77777777" w:rsidR="000426DE" w:rsidRDefault="00AD16A0" w:rsidP="00ED704E">
      <w:pPr>
        <w:pStyle w:val="TOC3"/>
        <w:rPr>
          <w:rFonts w:asciiTheme="minorHAnsi" w:eastAsiaTheme="minorEastAsia" w:hAnsiTheme="minorHAnsi" w:cstheme="minorBidi"/>
          <w:sz w:val="22"/>
          <w:szCs w:val="22"/>
          <w:rtl/>
        </w:rPr>
      </w:pPr>
      <w:hyperlink w:anchor="_Toc139316441" w:history="1">
        <w:r w:rsidR="000426DE" w:rsidRPr="00602C92">
          <w:rPr>
            <w:rStyle w:val="Hyperlink"/>
            <w:rtl/>
          </w:rPr>
          <w:t>בי' הדבר"י דאף מלאכה שאין לה שיעור צריך חשיבות מלאכה ומיעוט יניקה חייב כמו במכבה</w:t>
        </w:r>
      </w:hyperlink>
    </w:p>
    <w:p w14:paraId="13195156" w14:textId="77777777" w:rsidR="000426DE" w:rsidRDefault="00AD16A0" w:rsidP="00ED704E">
      <w:pPr>
        <w:pStyle w:val="TOC3"/>
        <w:rPr>
          <w:rFonts w:asciiTheme="minorHAnsi" w:eastAsiaTheme="minorEastAsia" w:hAnsiTheme="minorHAnsi" w:cstheme="minorBidi"/>
          <w:sz w:val="22"/>
          <w:szCs w:val="22"/>
          <w:rtl/>
        </w:rPr>
      </w:pPr>
      <w:hyperlink w:anchor="_Toc139316442" w:history="1">
        <w:r w:rsidR="000426DE" w:rsidRPr="00602C92">
          <w:rPr>
            <w:rStyle w:val="Hyperlink"/>
            <w:rtl/>
          </w:rPr>
          <w:t>בי' הזכר יצחק ברמב"ם דהנחת עציץ ע"ג יתדות ממעט יניקה  וחייב בתולש אעפ"י דהוא מחובר</w:t>
        </w:r>
      </w:hyperlink>
    </w:p>
    <w:p w14:paraId="4D521AA5" w14:textId="77777777" w:rsidR="000426DE" w:rsidRDefault="00AD16A0" w:rsidP="00ED704E">
      <w:pPr>
        <w:pStyle w:val="TOC3"/>
        <w:rPr>
          <w:rFonts w:asciiTheme="minorHAnsi" w:eastAsiaTheme="minorEastAsia" w:hAnsiTheme="minorHAnsi" w:cstheme="minorBidi"/>
          <w:sz w:val="22"/>
          <w:szCs w:val="22"/>
          <w:rtl/>
        </w:rPr>
      </w:pPr>
      <w:hyperlink w:anchor="_Toc139316443" w:history="1">
        <w:r w:rsidR="000426DE" w:rsidRPr="00602C92">
          <w:rPr>
            <w:rStyle w:val="Hyperlink"/>
            <w:rtl/>
          </w:rPr>
          <w:t>בי' המשכנ"י דמיעוט יניקה אינו מלאכה שלימה במשכן ולכן מניח עציץ ע"ג יתדות פטור</w:t>
        </w:r>
      </w:hyperlink>
    </w:p>
    <w:p w14:paraId="61D513F1" w14:textId="77777777" w:rsidR="000426DE" w:rsidRDefault="00AD16A0" w:rsidP="00ED704E">
      <w:pPr>
        <w:pStyle w:val="TOC3"/>
        <w:rPr>
          <w:rFonts w:asciiTheme="minorHAnsi" w:eastAsiaTheme="minorEastAsia" w:hAnsiTheme="minorHAnsi" w:cstheme="minorBidi"/>
          <w:sz w:val="22"/>
          <w:szCs w:val="22"/>
          <w:rtl/>
        </w:rPr>
      </w:pPr>
      <w:hyperlink w:anchor="_Toc139316444" w:history="1">
        <w:r w:rsidR="000426DE" w:rsidRPr="00602C92">
          <w:rPr>
            <w:rStyle w:val="Hyperlink"/>
            <w:rtl/>
          </w:rPr>
          <w:t>בי' הדב"א דאף דמרש"י אין ראיה בדין מיעוט יניקה במאירי מוכח דמיעוט יניקה אינו כלום</w:t>
        </w:r>
      </w:hyperlink>
    </w:p>
    <w:p w14:paraId="466AE2E3" w14:textId="77777777" w:rsidR="000426DE" w:rsidRDefault="00AD16A0" w:rsidP="00ED704E">
      <w:pPr>
        <w:pStyle w:val="TOC3"/>
        <w:rPr>
          <w:rFonts w:asciiTheme="minorHAnsi" w:eastAsiaTheme="minorEastAsia" w:hAnsiTheme="minorHAnsi" w:cstheme="minorBidi"/>
          <w:sz w:val="22"/>
          <w:szCs w:val="22"/>
          <w:rtl/>
        </w:rPr>
      </w:pPr>
      <w:hyperlink w:anchor="_Toc139316445" w:history="1">
        <w:r w:rsidR="000426DE" w:rsidRPr="00602C92">
          <w:rPr>
            <w:rStyle w:val="Hyperlink"/>
            <w:rtl/>
          </w:rPr>
          <w:t>בי' הדב"א דאין ראיה ברמב"ם דמיעוט יניקה חייב אלא דס"ל דתולש כשמטלטל עציץ באויר</w:t>
        </w:r>
      </w:hyperlink>
    </w:p>
    <w:p w14:paraId="0D8EEC3E" w14:textId="77777777" w:rsidR="000426DE" w:rsidRDefault="00AD16A0" w:rsidP="00ED704E">
      <w:pPr>
        <w:pStyle w:val="TOC3"/>
        <w:rPr>
          <w:rFonts w:asciiTheme="minorHAnsi" w:eastAsiaTheme="minorEastAsia" w:hAnsiTheme="minorHAnsi" w:cstheme="minorBidi"/>
          <w:sz w:val="22"/>
          <w:szCs w:val="22"/>
          <w:rtl/>
        </w:rPr>
      </w:pPr>
      <w:hyperlink w:anchor="_Toc139316446" w:history="1">
        <w:r w:rsidR="000426DE" w:rsidRPr="00602C92">
          <w:rPr>
            <w:rStyle w:val="Hyperlink"/>
            <w:rtl/>
          </w:rPr>
          <w:t>בי' הדב"א דאף דבאויר תלוש פטור בזורע כיון דלא פסקה היניקה וגדר זורע הוא הוספת יניקה</w:t>
        </w:r>
      </w:hyperlink>
    </w:p>
    <w:p w14:paraId="3F09CED4" w14:textId="77777777" w:rsidR="000426DE" w:rsidRDefault="00AD16A0" w:rsidP="00ED704E">
      <w:pPr>
        <w:pStyle w:val="TOC3"/>
        <w:rPr>
          <w:rFonts w:asciiTheme="minorHAnsi" w:eastAsiaTheme="minorEastAsia" w:hAnsiTheme="minorHAnsi" w:cstheme="minorBidi"/>
          <w:sz w:val="22"/>
          <w:szCs w:val="22"/>
          <w:rtl/>
        </w:rPr>
      </w:pPr>
      <w:hyperlink w:anchor="_Toc139316447" w:history="1">
        <w:r w:rsidR="000426DE" w:rsidRPr="00602C92">
          <w:rPr>
            <w:rStyle w:val="Hyperlink"/>
            <w:rtl/>
          </w:rPr>
          <w:t>בי' הדב"א בלבוש דמיעוט יניקה הוא תולש וכן מוסיף יניקה הוא זורע דגדר קוצר דמפסיק יניקה</w:t>
        </w:r>
      </w:hyperlink>
    </w:p>
    <w:p w14:paraId="76507FB7" w14:textId="77777777" w:rsidR="000426DE" w:rsidRDefault="00AD16A0" w:rsidP="00ED704E">
      <w:pPr>
        <w:pStyle w:val="TOC3"/>
        <w:rPr>
          <w:rFonts w:asciiTheme="minorHAnsi" w:eastAsiaTheme="minorEastAsia" w:hAnsiTheme="minorHAnsi" w:cstheme="minorBidi"/>
          <w:sz w:val="22"/>
          <w:szCs w:val="22"/>
          <w:rtl/>
        </w:rPr>
      </w:pPr>
      <w:hyperlink w:anchor="_Toc139316448" w:history="1">
        <w:r w:rsidR="000426DE" w:rsidRPr="00602C92">
          <w:rPr>
            <w:rStyle w:val="Hyperlink"/>
            <w:rtl/>
          </w:rPr>
          <w:t>דחיית הדב"א דאפש"ל דס"ל ללבוש כרש"י דהגבהה ע"ג יתדות דרבנן ומיעוט יניקה ל"ה קוצר</w:t>
        </w:r>
      </w:hyperlink>
    </w:p>
    <w:p w14:paraId="0940947B" w14:textId="77777777" w:rsidR="000426DE" w:rsidRDefault="00AD16A0" w:rsidP="00ED704E">
      <w:pPr>
        <w:pStyle w:val="TOC3"/>
        <w:rPr>
          <w:rFonts w:asciiTheme="minorHAnsi" w:eastAsiaTheme="minorEastAsia" w:hAnsiTheme="minorHAnsi" w:cstheme="minorBidi"/>
          <w:sz w:val="22"/>
          <w:szCs w:val="22"/>
          <w:rtl/>
        </w:rPr>
      </w:pPr>
      <w:hyperlink w:anchor="_Toc139316449" w:history="1">
        <w:r w:rsidR="000426DE" w:rsidRPr="00602C92">
          <w:rPr>
            <w:rStyle w:val="Hyperlink"/>
            <w:rtl/>
          </w:rPr>
          <w:t>בי' הדב"א דהשו"ע מספקא ליה בעציץ שאי"נ דחרס ועץ ובלבוש אפש"ל או כרמב"ם או כרש"י</w:t>
        </w:r>
      </w:hyperlink>
    </w:p>
    <w:p w14:paraId="0D8CF60C" w14:textId="77777777" w:rsidR="000426DE" w:rsidRDefault="00AD16A0" w:rsidP="00ED704E">
      <w:pPr>
        <w:pStyle w:val="TOC3"/>
        <w:rPr>
          <w:rFonts w:asciiTheme="minorHAnsi" w:eastAsiaTheme="minorEastAsia" w:hAnsiTheme="minorHAnsi" w:cstheme="minorBidi"/>
          <w:sz w:val="22"/>
          <w:szCs w:val="22"/>
          <w:rtl/>
        </w:rPr>
      </w:pPr>
      <w:hyperlink w:anchor="_Toc139316450" w:history="1">
        <w:r w:rsidR="000426DE" w:rsidRPr="00602C92">
          <w:rPr>
            <w:rStyle w:val="Hyperlink"/>
            <w:rtl/>
          </w:rPr>
          <w:t>בי' רבי ראובן ברמב"ם דע"ג יתדות ממעט יניקה ותולש מדאו' להיפך מוסיף יניקה וזורע מדאו'</w:t>
        </w:r>
      </w:hyperlink>
    </w:p>
    <w:p w14:paraId="73C7E925" w14:textId="77777777" w:rsidR="000426DE" w:rsidRDefault="00AD16A0" w:rsidP="00ED704E">
      <w:pPr>
        <w:pStyle w:val="TOC3"/>
        <w:rPr>
          <w:rFonts w:asciiTheme="minorHAnsi" w:eastAsiaTheme="minorEastAsia" w:hAnsiTheme="minorHAnsi" w:cstheme="minorBidi"/>
          <w:sz w:val="22"/>
          <w:szCs w:val="22"/>
          <w:rtl/>
        </w:rPr>
      </w:pPr>
      <w:hyperlink w:anchor="_Toc139316451" w:history="1">
        <w:r w:rsidR="000426DE" w:rsidRPr="00602C92">
          <w:rPr>
            <w:rStyle w:val="Hyperlink"/>
            <w:rtl/>
          </w:rPr>
          <w:t>בי' רבי ראובן באו"ז ומרכה"מ דהגבהת עציץ ליתדות ממעט יניקה ולכן בהחזירו אין חיוב תולש</w:t>
        </w:r>
      </w:hyperlink>
    </w:p>
    <w:p w14:paraId="574838E2" w14:textId="77777777" w:rsidR="000426DE" w:rsidRDefault="00AD16A0" w:rsidP="000426DE">
      <w:pPr>
        <w:pStyle w:val="TOC2"/>
        <w:rPr>
          <w:rFonts w:cstheme="minorBidi"/>
          <w:b w:val="0"/>
          <w:bCs w:val="0"/>
          <w:sz w:val="22"/>
          <w:szCs w:val="22"/>
          <w:rtl/>
        </w:rPr>
      </w:pPr>
      <w:hyperlink w:anchor="_Toc139316452" w:history="1">
        <w:r w:rsidR="000426DE" w:rsidRPr="00602C92">
          <w:rPr>
            <w:rStyle w:val="Hyperlink"/>
            <w:rtl/>
          </w:rPr>
          <w:t>בי' האחרונים אי מוסיף יניקה במניח עציץ ע"ג קרקע זורע מדאו'</w:t>
        </w:r>
      </w:hyperlink>
    </w:p>
    <w:p w14:paraId="08BB2D77" w14:textId="77777777" w:rsidR="000426DE" w:rsidRDefault="00AD16A0" w:rsidP="00ED704E">
      <w:pPr>
        <w:pStyle w:val="TOC3"/>
        <w:rPr>
          <w:rFonts w:asciiTheme="minorHAnsi" w:eastAsiaTheme="minorEastAsia" w:hAnsiTheme="minorHAnsi" w:cstheme="minorBidi"/>
          <w:sz w:val="22"/>
          <w:szCs w:val="22"/>
          <w:rtl/>
        </w:rPr>
      </w:pPr>
      <w:hyperlink w:anchor="_Toc139316453" w:history="1">
        <w:r w:rsidR="000426DE" w:rsidRPr="00602C92">
          <w:rPr>
            <w:rStyle w:val="Hyperlink"/>
            <w:rtl/>
          </w:rPr>
          <w:t>בי' הדבר"י ברש"י ותוס' דמודו דהוספת יניקה הוי זורע דכל גדר זורע הוספת יניקה כמו במשקה</w:t>
        </w:r>
      </w:hyperlink>
    </w:p>
    <w:p w14:paraId="0FCBEF46" w14:textId="77777777" w:rsidR="000426DE" w:rsidRDefault="00AD16A0" w:rsidP="00ED704E">
      <w:pPr>
        <w:pStyle w:val="TOC3"/>
        <w:rPr>
          <w:rFonts w:asciiTheme="minorHAnsi" w:eastAsiaTheme="minorEastAsia" w:hAnsiTheme="minorHAnsi" w:cstheme="minorBidi"/>
          <w:sz w:val="22"/>
          <w:szCs w:val="22"/>
          <w:rtl/>
        </w:rPr>
      </w:pPr>
      <w:hyperlink w:anchor="_Toc139316454" w:history="1">
        <w:r w:rsidR="000426DE" w:rsidRPr="00602C92">
          <w:rPr>
            <w:rStyle w:val="Hyperlink"/>
            <w:rtl/>
          </w:rPr>
          <w:t>בי' הדבר"י דהגבהת עציץ מיתדות לע"ג קרקע אף לרש"י ותוס' זורע מדאו' דא"צ מחובר לזורע</w:t>
        </w:r>
      </w:hyperlink>
    </w:p>
    <w:p w14:paraId="1DA6F705" w14:textId="77777777" w:rsidR="000426DE" w:rsidRDefault="00AD16A0" w:rsidP="00ED704E">
      <w:pPr>
        <w:pStyle w:val="TOC3"/>
        <w:rPr>
          <w:rFonts w:asciiTheme="minorHAnsi" w:eastAsiaTheme="minorEastAsia" w:hAnsiTheme="minorHAnsi" w:cstheme="minorBidi"/>
          <w:sz w:val="22"/>
          <w:szCs w:val="22"/>
          <w:rtl/>
        </w:rPr>
      </w:pPr>
      <w:hyperlink w:anchor="_Toc139316455" w:history="1">
        <w:r w:rsidR="000426DE" w:rsidRPr="00602C92">
          <w:rPr>
            <w:rStyle w:val="Hyperlink"/>
            <w:rtl/>
          </w:rPr>
          <w:t>בי' הדבר"י דלהג"א דזורע מדרבנן מוסיף יניקה פטור אך ק' דמ"ש ממשקה ושורה חיטין במים</w:t>
        </w:r>
      </w:hyperlink>
    </w:p>
    <w:p w14:paraId="295F4333" w14:textId="77777777" w:rsidR="000426DE" w:rsidRDefault="00AD16A0" w:rsidP="00ED704E">
      <w:pPr>
        <w:pStyle w:val="TOC3"/>
        <w:rPr>
          <w:rFonts w:asciiTheme="minorHAnsi" w:eastAsiaTheme="minorEastAsia" w:hAnsiTheme="minorHAnsi" w:cstheme="minorBidi"/>
          <w:sz w:val="22"/>
          <w:szCs w:val="22"/>
          <w:rtl/>
        </w:rPr>
      </w:pPr>
      <w:hyperlink w:anchor="_Toc139316456" w:history="1">
        <w:r w:rsidR="000426DE" w:rsidRPr="00602C92">
          <w:rPr>
            <w:rStyle w:val="Hyperlink"/>
            <w:rtl/>
          </w:rPr>
          <w:t>תי' החזו"א דהנחת עציץ לא מוסיף כח לעפר ורק מקרבו לקרקע ול"ד למשקה דמוסיף לזרע</w:t>
        </w:r>
      </w:hyperlink>
    </w:p>
    <w:p w14:paraId="46A1C0D6" w14:textId="77777777" w:rsidR="000426DE" w:rsidRDefault="00AD16A0" w:rsidP="00ED704E">
      <w:pPr>
        <w:pStyle w:val="TOC3"/>
        <w:rPr>
          <w:rFonts w:asciiTheme="minorHAnsi" w:eastAsiaTheme="minorEastAsia" w:hAnsiTheme="minorHAnsi" w:cstheme="minorBidi"/>
          <w:sz w:val="22"/>
          <w:szCs w:val="22"/>
          <w:rtl/>
        </w:rPr>
      </w:pPr>
      <w:hyperlink w:anchor="_Toc139316457" w:history="1">
        <w:r w:rsidR="000426DE" w:rsidRPr="00602C92">
          <w:rPr>
            <w:rStyle w:val="Hyperlink"/>
            <w:rtl/>
          </w:rPr>
          <w:t>בי' החזו"א דמוכח כהג"א מדהתיר ר"ל לקנח בצרור אף דמחזירו לקרקע וזו כוונת רש"י ותוס'</w:t>
        </w:r>
      </w:hyperlink>
    </w:p>
    <w:p w14:paraId="466FAC41" w14:textId="77777777" w:rsidR="000426DE" w:rsidRDefault="00AD16A0" w:rsidP="000426DE">
      <w:pPr>
        <w:pStyle w:val="TOC2"/>
        <w:rPr>
          <w:rFonts w:cstheme="minorBidi"/>
          <w:b w:val="0"/>
          <w:bCs w:val="0"/>
          <w:sz w:val="22"/>
          <w:szCs w:val="22"/>
          <w:rtl/>
        </w:rPr>
      </w:pPr>
      <w:hyperlink w:anchor="_Toc139316458" w:history="1">
        <w:r w:rsidR="000426DE" w:rsidRPr="00602C92">
          <w:rPr>
            <w:rStyle w:val="Hyperlink"/>
            <w:rtl/>
          </w:rPr>
          <w:t>בי' הדבר"י ברמב"ם דחייב במיעוט יניקה רק עם מעשה קצירה</w:t>
        </w:r>
      </w:hyperlink>
    </w:p>
    <w:p w14:paraId="453023A3" w14:textId="77777777" w:rsidR="000426DE" w:rsidRDefault="00AD16A0" w:rsidP="00ED704E">
      <w:pPr>
        <w:pStyle w:val="TOC3"/>
        <w:rPr>
          <w:rFonts w:asciiTheme="minorHAnsi" w:eastAsiaTheme="minorEastAsia" w:hAnsiTheme="minorHAnsi" w:cstheme="minorBidi"/>
          <w:sz w:val="22"/>
          <w:szCs w:val="22"/>
          <w:rtl/>
        </w:rPr>
      </w:pPr>
      <w:hyperlink w:anchor="_Toc139316459" w:history="1">
        <w:r w:rsidR="000426DE" w:rsidRPr="00602C92">
          <w:rPr>
            <w:rStyle w:val="Hyperlink"/>
            <w:rtl/>
          </w:rPr>
          <w:t>בי' הדבר"י ברמב"ם דחייב מדאו' במיעט והוסיף יניקה דמוכח בפרוזבול דע"ג יתדות כמחובר</w:t>
        </w:r>
      </w:hyperlink>
    </w:p>
    <w:p w14:paraId="62D3FEE0" w14:textId="77777777" w:rsidR="000426DE" w:rsidRDefault="00AD16A0" w:rsidP="00ED704E">
      <w:pPr>
        <w:pStyle w:val="TOC3"/>
        <w:rPr>
          <w:rFonts w:asciiTheme="minorHAnsi" w:eastAsiaTheme="minorEastAsia" w:hAnsiTheme="minorHAnsi" w:cstheme="minorBidi"/>
          <w:sz w:val="22"/>
          <w:szCs w:val="22"/>
          <w:rtl/>
        </w:rPr>
      </w:pPr>
      <w:hyperlink w:anchor="_Toc139316460" w:history="1">
        <w:r w:rsidR="000426DE" w:rsidRPr="00602C92">
          <w:rPr>
            <w:rStyle w:val="Hyperlink"/>
            <w:rtl/>
          </w:rPr>
          <w:t>קו' הדבר"י ברמב"ם דבעשבים פסק כגמ' בעירובין דמותר לדורסם אעפ"י דפס"ר דממעט יניקה</w:t>
        </w:r>
      </w:hyperlink>
    </w:p>
    <w:p w14:paraId="79E5CF55" w14:textId="77777777" w:rsidR="000426DE" w:rsidRDefault="00AD16A0" w:rsidP="00ED704E">
      <w:pPr>
        <w:pStyle w:val="TOC3"/>
        <w:rPr>
          <w:rFonts w:asciiTheme="minorHAnsi" w:eastAsiaTheme="minorEastAsia" w:hAnsiTheme="minorHAnsi" w:cstheme="minorBidi"/>
          <w:sz w:val="22"/>
          <w:szCs w:val="22"/>
          <w:rtl/>
        </w:rPr>
      </w:pPr>
      <w:hyperlink w:anchor="_Toc139316461" w:history="1">
        <w:r w:rsidR="000426DE" w:rsidRPr="00602C92">
          <w:rPr>
            <w:rStyle w:val="Hyperlink"/>
            <w:rtl/>
          </w:rPr>
          <w:t>בי' הדבר"י ברמב"ם דחיוב מיעוט יניקה רק יחד עם מעשה קצירה ולא בדריסה לבדה</w:t>
        </w:r>
      </w:hyperlink>
    </w:p>
    <w:p w14:paraId="004FE8AB" w14:textId="77777777" w:rsidR="000426DE" w:rsidRDefault="00AD16A0" w:rsidP="00ED704E">
      <w:pPr>
        <w:pStyle w:val="TOC3"/>
        <w:rPr>
          <w:rFonts w:asciiTheme="minorHAnsi" w:eastAsiaTheme="minorEastAsia" w:hAnsiTheme="minorHAnsi" w:cstheme="minorBidi"/>
          <w:sz w:val="22"/>
          <w:szCs w:val="22"/>
          <w:rtl/>
        </w:rPr>
      </w:pPr>
      <w:hyperlink w:anchor="_Toc139316462" w:history="1">
        <w:r w:rsidR="000426DE" w:rsidRPr="00602C92">
          <w:rPr>
            <w:rStyle w:val="Hyperlink"/>
            <w:rtl/>
          </w:rPr>
          <w:t>בי' הדבר"י במאירי דמניח עציץ ע"ג עציץ חשיב מעשה קצירה והפסקת יניקה ולכן חייב בזה</w:t>
        </w:r>
      </w:hyperlink>
    </w:p>
    <w:p w14:paraId="149D941B" w14:textId="77777777" w:rsidR="000426DE" w:rsidRDefault="00AD16A0" w:rsidP="00ED704E">
      <w:pPr>
        <w:pStyle w:val="TOC3"/>
        <w:rPr>
          <w:rFonts w:asciiTheme="minorHAnsi" w:eastAsiaTheme="minorEastAsia" w:hAnsiTheme="minorHAnsi" w:cstheme="minorBidi"/>
          <w:sz w:val="22"/>
          <w:szCs w:val="22"/>
          <w:rtl/>
        </w:rPr>
      </w:pPr>
      <w:hyperlink w:anchor="_Toc139316463" w:history="1">
        <w:r w:rsidR="000426DE" w:rsidRPr="00602C92">
          <w:rPr>
            <w:rStyle w:val="Hyperlink"/>
            <w:rtl/>
          </w:rPr>
          <w:t>דחיית החזו"א דמדפסק הרמב"ם דמותר לדרוס ע"ג עשבים מוכח דמיעוט הצמחה לא בכלל קוצר</w:t>
        </w:r>
      </w:hyperlink>
    </w:p>
    <w:p w14:paraId="7C479B2F" w14:textId="77777777" w:rsidR="000426DE" w:rsidRDefault="00AD16A0" w:rsidP="00ED704E">
      <w:pPr>
        <w:pStyle w:val="TOC3"/>
        <w:rPr>
          <w:rFonts w:asciiTheme="minorHAnsi" w:eastAsiaTheme="minorEastAsia" w:hAnsiTheme="minorHAnsi" w:cstheme="minorBidi"/>
          <w:sz w:val="22"/>
          <w:szCs w:val="22"/>
          <w:rtl/>
        </w:rPr>
      </w:pPr>
      <w:hyperlink w:anchor="_Toc139316464" w:history="1">
        <w:r w:rsidR="000426DE" w:rsidRPr="00602C92">
          <w:rPr>
            <w:rStyle w:val="Hyperlink"/>
            <w:rtl/>
          </w:rPr>
          <w:t>בי' החזו"א דהעציץ אינו כמחובר אך הזרעים שבגבשושית כמחוברים לקרקע ולכן הוא תולש</w:t>
        </w:r>
      </w:hyperlink>
    </w:p>
    <w:p w14:paraId="62195E4D" w14:textId="77777777" w:rsidR="000426DE" w:rsidRDefault="00AD16A0" w:rsidP="000426DE">
      <w:pPr>
        <w:pStyle w:val="TOC1"/>
        <w:rPr>
          <w:rFonts w:asciiTheme="minorHAnsi" w:hAnsiTheme="minorHAnsi" w:cstheme="minorBidi"/>
          <w:b w:val="0"/>
          <w:bCs w:val="0"/>
          <w:caps w:val="0"/>
          <w:sz w:val="22"/>
          <w:szCs w:val="22"/>
          <w:rtl/>
        </w:rPr>
      </w:pPr>
      <w:hyperlink w:anchor="_Toc139316465" w:history="1">
        <w:r w:rsidR="000426DE" w:rsidRPr="00602C92">
          <w:rPr>
            <w:rStyle w:val="Hyperlink"/>
            <w:rtl/>
          </w:rPr>
          <w:t>~~~~~~~~~~~~~~~~~~~~~~~~~~~~</w:t>
        </w:r>
      </w:hyperlink>
    </w:p>
    <w:p w14:paraId="0243A889" w14:textId="77777777" w:rsidR="000426DE" w:rsidRDefault="00AD16A0" w:rsidP="000426DE">
      <w:pPr>
        <w:pStyle w:val="TOC1"/>
        <w:rPr>
          <w:rFonts w:asciiTheme="minorHAnsi" w:hAnsiTheme="minorHAnsi" w:cstheme="minorBidi"/>
          <w:b w:val="0"/>
          <w:bCs w:val="0"/>
          <w:caps w:val="0"/>
          <w:sz w:val="22"/>
          <w:szCs w:val="22"/>
          <w:rtl/>
        </w:rPr>
      </w:pPr>
      <w:hyperlink w:anchor="_Toc139316466" w:history="1">
        <w:r w:rsidR="000426DE" w:rsidRPr="00602C92">
          <w:rPr>
            <w:rStyle w:val="Hyperlink"/>
            <w:rtl/>
          </w:rPr>
          <w:t>בקוצר במחובר יבש שאין בו יניקה כלל</w:t>
        </w:r>
      </w:hyperlink>
    </w:p>
    <w:p w14:paraId="78A54D35" w14:textId="77777777" w:rsidR="000426DE" w:rsidRDefault="00AD16A0" w:rsidP="000426DE">
      <w:pPr>
        <w:pStyle w:val="TOC2"/>
        <w:rPr>
          <w:rFonts w:cstheme="minorBidi"/>
          <w:b w:val="0"/>
          <w:bCs w:val="0"/>
          <w:sz w:val="22"/>
          <w:szCs w:val="22"/>
          <w:rtl/>
        </w:rPr>
      </w:pPr>
      <w:hyperlink w:anchor="_Toc139316467" w:history="1">
        <w:r w:rsidR="000426DE" w:rsidRPr="00602C92">
          <w:rPr>
            <w:rStyle w:val="Hyperlink"/>
            <w:rtl/>
          </w:rPr>
          <w:t>בי' הדב"א בפלו' הרמב"ם והראב"ד ורש"י בדין קוצר ביבש</w:t>
        </w:r>
      </w:hyperlink>
    </w:p>
    <w:p w14:paraId="788FE85C" w14:textId="77777777" w:rsidR="000426DE" w:rsidRDefault="00AD16A0" w:rsidP="00ED704E">
      <w:pPr>
        <w:pStyle w:val="TOC3"/>
        <w:rPr>
          <w:rFonts w:asciiTheme="minorHAnsi" w:eastAsiaTheme="minorEastAsia" w:hAnsiTheme="minorHAnsi" w:cstheme="minorBidi"/>
          <w:sz w:val="22"/>
          <w:szCs w:val="22"/>
          <w:rtl/>
        </w:rPr>
      </w:pPr>
      <w:hyperlink w:anchor="_Toc139316468" w:history="1">
        <w:r w:rsidR="000426DE" w:rsidRPr="00602C92">
          <w:rPr>
            <w:rStyle w:val="Hyperlink"/>
            <w:rtl/>
          </w:rPr>
          <w:t>בי' הדב"א ברמב"ם דרק פירות ועוקציהן שיבשו כמחוברין אך ביבש כל האילן הוי כתלוש</w:t>
        </w:r>
      </w:hyperlink>
    </w:p>
    <w:p w14:paraId="43D1F6CD" w14:textId="77777777" w:rsidR="000426DE" w:rsidRDefault="00AD16A0" w:rsidP="00ED704E">
      <w:pPr>
        <w:pStyle w:val="TOC3"/>
        <w:rPr>
          <w:rFonts w:asciiTheme="minorHAnsi" w:eastAsiaTheme="minorEastAsia" w:hAnsiTheme="minorHAnsi" w:cstheme="minorBidi"/>
          <w:sz w:val="22"/>
          <w:szCs w:val="22"/>
          <w:rtl/>
        </w:rPr>
      </w:pPr>
      <w:hyperlink w:anchor="_Toc139316469" w:history="1">
        <w:r w:rsidR="000426DE" w:rsidRPr="00602C92">
          <w:rPr>
            <w:rStyle w:val="Hyperlink"/>
            <w:rtl/>
          </w:rPr>
          <w:t>בי' הדב"א בראב"ד דאף אילן יבש כתלוש וק' מהירושלמי ועוד מ"ש מפירות ועוקציהן דכמחובר</w:t>
        </w:r>
      </w:hyperlink>
    </w:p>
    <w:p w14:paraId="68F5E72B" w14:textId="77777777" w:rsidR="000426DE" w:rsidRDefault="00AD16A0" w:rsidP="00ED704E">
      <w:pPr>
        <w:pStyle w:val="TOC3"/>
        <w:rPr>
          <w:rFonts w:asciiTheme="minorHAnsi" w:eastAsiaTheme="minorEastAsia" w:hAnsiTheme="minorHAnsi" w:cstheme="minorBidi"/>
          <w:sz w:val="22"/>
          <w:szCs w:val="22"/>
          <w:rtl/>
        </w:rPr>
      </w:pPr>
      <w:hyperlink w:anchor="_Toc139316470" w:history="1">
        <w:r w:rsidR="000426DE" w:rsidRPr="00602C92">
          <w:rPr>
            <w:rStyle w:val="Hyperlink"/>
            <w:rtl/>
          </w:rPr>
          <w:t>בי' הדב"א דהאילן אינו חתיכה א' עם הקרקע והוא מחובר לקרקע רק כשיונק ממנה ולא ביבש</w:t>
        </w:r>
      </w:hyperlink>
    </w:p>
    <w:p w14:paraId="3CB24E83" w14:textId="77777777" w:rsidR="000426DE" w:rsidRDefault="00AD16A0" w:rsidP="00ED704E">
      <w:pPr>
        <w:pStyle w:val="TOC3"/>
        <w:rPr>
          <w:rFonts w:asciiTheme="minorHAnsi" w:eastAsiaTheme="minorEastAsia" w:hAnsiTheme="minorHAnsi" w:cstheme="minorBidi"/>
          <w:sz w:val="22"/>
          <w:szCs w:val="22"/>
          <w:rtl/>
        </w:rPr>
      </w:pPr>
      <w:hyperlink w:anchor="_Toc139316471" w:history="1">
        <w:r w:rsidR="000426DE" w:rsidRPr="00602C92">
          <w:rPr>
            <w:rStyle w:val="Hyperlink"/>
            <w:rtl/>
          </w:rPr>
          <w:t>בי' הדב"א דהפירות חתיכה א' עם האילן דהוא מחובר לקרקע והם כמחוברים אף דלא יונקים</w:t>
        </w:r>
      </w:hyperlink>
    </w:p>
    <w:p w14:paraId="1F7AD507" w14:textId="77777777" w:rsidR="000426DE" w:rsidRDefault="00AD16A0" w:rsidP="00ED704E">
      <w:pPr>
        <w:pStyle w:val="TOC3"/>
        <w:rPr>
          <w:rFonts w:asciiTheme="minorHAnsi" w:eastAsiaTheme="minorEastAsia" w:hAnsiTheme="minorHAnsi" w:cstheme="minorBidi"/>
          <w:sz w:val="22"/>
          <w:szCs w:val="22"/>
          <w:rtl/>
        </w:rPr>
      </w:pPr>
      <w:hyperlink w:anchor="_Toc139316472" w:history="1">
        <w:r w:rsidR="000426DE" w:rsidRPr="00602C92">
          <w:rPr>
            <w:rStyle w:val="Hyperlink"/>
            <w:rtl/>
          </w:rPr>
          <w:t>בי' הדב"א ברש"י דבין תאנים ובין אילן כתלושים אך בתאנים שיבשו הוי קוצר כמו במשכן</w:t>
        </w:r>
      </w:hyperlink>
    </w:p>
    <w:p w14:paraId="464B346D" w14:textId="77777777" w:rsidR="000426DE" w:rsidRDefault="00AD16A0" w:rsidP="000426DE">
      <w:pPr>
        <w:pStyle w:val="TOC1"/>
        <w:rPr>
          <w:rFonts w:asciiTheme="minorHAnsi" w:hAnsiTheme="minorHAnsi" w:cstheme="minorBidi"/>
          <w:b w:val="0"/>
          <w:bCs w:val="0"/>
          <w:caps w:val="0"/>
          <w:sz w:val="22"/>
          <w:szCs w:val="22"/>
          <w:rtl/>
        </w:rPr>
      </w:pPr>
      <w:hyperlink w:anchor="_Toc139316473" w:history="1">
        <w:r w:rsidR="000426DE" w:rsidRPr="00602C92">
          <w:rPr>
            <w:rStyle w:val="Hyperlink"/>
            <w:rtl/>
          </w:rPr>
          <w:t>בדברי המאירי במעביר עציץ ע"ג קרקע</w:t>
        </w:r>
      </w:hyperlink>
    </w:p>
    <w:p w14:paraId="4E270CFE" w14:textId="77777777" w:rsidR="000426DE" w:rsidRDefault="00AD16A0" w:rsidP="000426DE">
      <w:pPr>
        <w:pStyle w:val="TOC2"/>
        <w:rPr>
          <w:rFonts w:cstheme="minorBidi"/>
          <w:b w:val="0"/>
          <w:bCs w:val="0"/>
          <w:sz w:val="22"/>
          <w:szCs w:val="22"/>
          <w:rtl/>
        </w:rPr>
      </w:pPr>
      <w:hyperlink w:anchor="_Toc139316474" w:history="1">
        <w:r w:rsidR="000426DE" w:rsidRPr="00602C92">
          <w:rPr>
            <w:rStyle w:val="Hyperlink"/>
            <w:rtl/>
          </w:rPr>
          <w:t>בי' הדב"א במעביר עציץ אי תולש ממחובר או מפסיק יניקה</w:t>
        </w:r>
      </w:hyperlink>
    </w:p>
    <w:p w14:paraId="4B2A4C7B" w14:textId="77777777" w:rsidR="000426DE" w:rsidRDefault="00AD16A0" w:rsidP="00ED704E">
      <w:pPr>
        <w:pStyle w:val="TOC3"/>
        <w:rPr>
          <w:rFonts w:asciiTheme="minorHAnsi" w:eastAsiaTheme="minorEastAsia" w:hAnsiTheme="minorHAnsi" w:cstheme="minorBidi"/>
          <w:sz w:val="22"/>
          <w:szCs w:val="22"/>
          <w:rtl/>
        </w:rPr>
      </w:pPr>
      <w:hyperlink w:anchor="_Toc139316475" w:history="1">
        <w:r w:rsidR="000426DE" w:rsidRPr="00602C92">
          <w:rPr>
            <w:rStyle w:val="Hyperlink"/>
            <w:rtl/>
          </w:rPr>
          <w:t>בי' הדב"א במאירי דהזרעים כזרועים בקרקע שתחת העציץ ובמעביר אף שלא פסק היניקה קוצר</w:t>
        </w:r>
      </w:hyperlink>
    </w:p>
    <w:p w14:paraId="30C4ED37" w14:textId="77777777" w:rsidR="000426DE" w:rsidRDefault="00AD16A0" w:rsidP="00ED704E">
      <w:pPr>
        <w:pStyle w:val="TOC3"/>
        <w:rPr>
          <w:rFonts w:asciiTheme="minorHAnsi" w:eastAsiaTheme="minorEastAsia" w:hAnsiTheme="minorHAnsi" w:cstheme="minorBidi"/>
          <w:sz w:val="22"/>
          <w:szCs w:val="22"/>
          <w:rtl/>
        </w:rPr>
      </w:pPr>
      <w:hyperlink w:anchor="_Toc139316476" w:history="1">
        <w:r w:rsidR="000426DE" w:rsidRPr="00602C92">
          <w:rPr>
            <w:rStyle w:val="Hyperlink"/>
            <w:rtl/>
          </w:rPr>
          <w:t xml:space="preserve">בי' הדב"א דלזכר יצחק דגדר </w:t>
        </w:r>
        <w:r w:rsidR="000426DE" w:rsidRPr="00602C92">
          <w:rPr>
            <w:rStyle w:val="Hyperlink"/>
            <w:rtl/>
          </w:rPr>
          <w:t>ק</w:t>
        </w:r>
        <w:r w:rsidR="000426DE" w:rsidRPr="00602C92">
          <w:rPr>
            <w:rStyle w:val="Hyperlink"/>
            <w:rtl/>
          </w:rPr>
          <w:t>וצר הוא הפסקת יניקה כשמטלטל עציץ מפסיקו מהמקום הראשון</w:t>
        </w:r>
      </w:hyperlink>
    </w:p>
    <w:p w14:paraId="0DCD2B5A" w14:textId="77777777" w:rsidR="000426DE" w:rsidRDefault="000426DE" w:rsidP="000426DE">
      <w:pPr>
        <w:keepNext/>
        <w:keepLines/>
        <w:spacing w:after="0" w:line="240" w:lineRule="auto"/>
        <w:jc w:val="center"/>
        <w:outlineLvl w:val="1"/>
        <w:rPr>
          <w:rFonts w:eastAsiaTheme="minorHAnsi" w:cs="Guttman Hodes"/>
          <w:b/>
          <w:bCs/>
          <w:noProof/>
          <w:sz w:val="14"/>
          <w:szCs w:val="14"/>
          <w:rtl/>
        </w:rPr>
        <w:sectPr w:rsidR="000426DE" w:rsidSect="001918F0">
          <w:headerReference w:type="even" r:id="rId75"/>
          <w:footerReference w:type="even" r:id="rId76"/>
          <w:footerReference w:type="default" r:id="rId77"/>
          <w:headerReference w:type="first" r:id="rId78"/>
          <w:footerReference w:type="first" r:id="rId79"/>
          <w:type w:val="continuous"/>
          <w:pgSz w:w="11906" w:h="16838"/>
          <w:pgMar w:top="720" w:right="720" w:bottom="720" w:left="720" w:header="283" w:footer="283" w:gutter="0"/>
          <w:cols w:num="2" w:space="113"/>
          <w:titlePg/>
          <w:bidi/>
          <w:rtlGutter/>
          <w:docGrid w:linePitch="299"/>
        </w:sectPr>
      </w:pPr>
      <w:r w:rsidRPr="00224A5A">
        <w:rPr>
          <w:rFonts w:eastAsiaTheme="minorHAnsi" w:cs="Guttman Hodes"/>
          <w:b/>
          <w:bCs/>
          <w:noProof/>
          <w:sz w:val="14"/>
          <w:szCs w:val="14"/>
          <w:rtl/>
        </w:rPr>
        <w:fldChar w:fldCharType="end"/>
      </w:r>
    </w:p>
    <w:p w14:paraId="1304E368" w14:textId="77777777" w:rsidR="000426DE" w:rsidRPr="00224A5A" w:rsidRDefault="000426DE" w:rsidP="000426DE">
      <w:pPr>
        <w:keepNext/>
        <w:keepLines/>
        <w:spacing w:after="0" w:line="240" w:lineRule="auto"/>
        <w:jc w:val="center"/>
        <w:outlineLvl w:val="1"/>
        <w:rPr>
          <w:rFonts w:ascii="FrankRuehl" w:eastAsia="Guttman Adii-Light" w:hAnsi="FrankRuehl" w:cs="Guttman Hodes"/>
          <w:b/>
          <w:bCs/>
          <w:noProof/>
          <w:sz w:val="24"/>
          <w:szCs w:val="24"/>
          <w:rtl/>
        </w:rPr>
        <w:sectPr w:rsidR="000426DE" w:rsidRPr="00224A5A" w:rsidSect="001918F0">
          <w:type w:val="continuous"/>
          <w:pgSz w:w="11906" w:h="16838"/>
          <w:pgMar w:top="720" w:right="720" w:bottom="720" w:left="720" w:header="283" w:footer="283" w:gutter="0"/>
          <w:cols w:num="2" w:space="113"/>
          <w:titlePg/>
          <w:bidi/>
          <w:rtlGutter/>
          <w:docGrid w:linePitch="299"/>
        </w:sectPr>
      </w:pPr>
    </w:p>
    <w:p w14:paraId="3D94B9BD" w14:textId="77777777" w:rsidR="000426DE" w:rsidRPr="00224A5A" w:rsidRDefault="000426DE" w:rsidP="000426DE">
      <w:pPr>
        <w:spacing w:before="240" w:after="0" w:line="360" w:lineRule="auto"/>
        <w:jc w:val="center"/>
        <w:outlineLvl w:val="1"/>
        <w:rPr>
          <w:rFonts w:ascii="Guttman Adii-Light" w:eastAsia="Guttman Adii-Light" w:hAnsi="Guttman Adii-Light" w:cs="Guttman Hodes"/>
          <w:b/>
          <w:bCs/>
          <w:sz w:val="18"/>
          <w:szCs w:val="28"/>
          <w:rtl/>
        </w:rPr>
        <w:sectPr w:rsidR="000426DE" w:rsidRPr="00224A5A" w:rsidSect="001918F0">
          <w:pgSz w:w="11906" w:h="16838"/>
          <w:pgMar w:top="720" w:right="720" w:bottom="720" w:left="720" w:header="283" w:footer="283" w:gutter="0"/>
          <w:cols w:space="720"/>
          <w:bidi/>
          <w:rtlGutter/>
          <w:docGrid w:linePitch="299"/>
        </w:sectPr>
      </w:pPr>
      <w:r w:rsidRPr="00224A5A">
        <w:rPr>
          <w:rFonts w:ascii="Guttman Adii-Light" w:eastAsia="Guttman Adii-Light" w:hAnsi="Guttman Adii-Light" w:cs="Guttman Hodes" w:hint="cs"/>
          <w:b/>
          <w:bCs/>
          <w:sz w:val="18"/>
          <w:szCs w:val="28"/>
          <w:rtl/>
        </w:rPr>
        <w:lastRenderedPageBreak/>
        <w:t>~~~</w:t>
      </w:r>
      <w:r w:rsidRPr="00224A5A">
        <w:rPr>
          <w:rFonts w:ascii="Guttman Adii-Light" w:eastAsia="Guttman Adii-Light" w:hAnsi="Guttman Adii-Light" w:cs="Guttman Hodes"/>
          <w:b/>
          <w:bCs/>
          <w:noProof/>
          <w:sz w:val="18"/>
          <w:szCs w:val="28"/>
          <w:rtl/>
        </w:rPr>
        <w:t>~~</w:t>
      </w:r>
      <w:r w:rsidRPr="00224A5A">
        <w:rPr>
          <w:rFonts w:ascii="Guttman Adii-Light" w:eastAsia="Guttman Adii-Light" w:hAnsi="Guttman Adii-Light" w:cs="Guttman Hodes" w:hint="cs"/>
          <w:b/>
          <w:bCs/>
          <w:sz w:val="18"/>
          <w:szCs w:val="28"/>
          <w:rtl/>
        </w:rPr>
        <w:t>~~ מראי מקומות וביאורים ~~~</w:t>
      </w:r>
      <w:r w:rsidRPr="00224A5A">
        <w:rPr>
          <w:rFonts w:ascii="Guttman Adii-Light" w:eastAsia="Guttman Adii-Light" w:hAnsi="Guttman Adii-Light" w:cs="Guttman Hodes"/>
          <w:b/>
          <w:bCs/>
          <w:noProof/>
          <w:sz w:val="18"/>
          <w:szCs w:val="28"/>
          <w:rtl/>
        </w:rPr>
        <w:t>~~</w:t>
      </w:r>
      <w:r w:rsidRPr="00224A5A">
        <w:rPr>
          <w:rFonts w:ascii="Guttman Adii-Light" w:eastAsia="Guttman Adii-Light" w:hAnsi="Guttman Adii-Light" w:cs="Guttman Hodes" w:hint="cs"/>
          <w:b/>
          <w:bCs/>
          <w:sz w:val="18"/>
          <w:szCs w:val="28"/>
          <w:rtl/>
        </w:rPr>
        <w:t>~~</w:t>
      </w:r>
    </w:p>
    <w:p w14:paraId="0DA660E7" w14:textId="77777777" w:rsidR="000426DE" w:rsidRDefault="000426DE" w:rsidP="000426DE">
      <w:pPr>
        <w:pStyle w:val="affff5"/>
        <w:rPr>
          <w:rtl/>
        </w:rPr>
      </w:pPr>
      <w:bookmarkStart w:id="1317" w:name="_Toc139316308"/>
      <w:r>
        <w:rPr>
          <w:rFonts w:hint="cs"/>
          <w:rtl/>
        </w:rPr>
        <w:t>בדין קוצר בהפסקת חיות בשולה דג</w:t>
      </w:r>
      <w:bookmarkEnd w:id="1317"/>
      <w:r w:rsidRPr="002439C9">
        <w:rPr>
          <w:vanish/>
          <w:rtl/>
        </w:rPr>
        <w:t>&lt; # =</w:t>
      </w:r>
    </w:p>
    <w:p w14:paraId="42E03E35" w14:textId="77777777" w:rsidR="000426DE" w:rsidRPr="002C1612" w:rsidRDefault="000426DE" w:rsidP="000426DE">
      <w:pPr>
        <w:pStyle w:val="1"/>
        <w:rPr>
          <w:rtl/>
        </w:rPr>
      </w:pPr>
      <w:bookmarkStart w:id="1318" w:name="_Toc139316309"/>
      <w:r>
        <w:rPr>
          <w:rFonts w:hint="cs"/>
          <w:rtl/>
        </w:rPr>
        <w:t>בי' רש"י והרמב"ם בבבלי דשולה דג חייב משום נטילת נשמה</w:t>
      </w:r>
      <w:bookmarkEnd w:id="1318"/>
    </w:p>
    <w:p w14:paraId="2FBF4B40" w14:textId="77777777" w:rsidR="000426DE" w:rsidRDefault="000426DE" w:rsidP="000426DE">
      <w:pPr>
        <w:pStyle w:val="afffff7"/>
        <w:rPr>
          <w:rtl/>
        </w:rPr>
      </w:pPr>
      <w:bookmarkStart w:id="1319" w:name="_Toc135513662"/>
      <w:bookmarkStart w:id="1320" w:name="_Toc163505587"/>
      <w:r>
        <w:rPr>
          <w:rtl/>
        </w:rPr>
        <w:t>רש"י שבת ק"ז ע"ב</w:t>
      </w:r>
      <w:r>
        <w:rPr>
          <w:rFonts w:hint="cs"/>
          <w:rtl/>
        </w:rPr>
        <w:t xml:space="preserve"> ד</w:t>
      </w:r>
      <w:r w:rsidRPr="009D3386">
        <w:rPr>
          <w:rtl/>
        </w:rPr>
        <w:t>"ה השולה, כסלע, חייב</w:t>
      </w:r>
      <w:bookmarkEnd w:id="1319"/>
      <w:bookmarkEnd w:id="1320"/>
    </w:p>
    <w:p w14:paraId="58B6A17A" w14:textId="77777777" w:rsidR="000426DE" w:rsidRPr="00B974DB" w:rsidRDefault="000426DE" w:rsidP="000426DE">
      <w:pPr>
        <w:pStyle w:val="a7"/>
        <w:rPr>
          <w:rtl/>
        </w:rPr>
      </w:pPr>
      <w:bookmarkStart w:id="1321" w:name="_Toc139316310"/>
      <w:r>
        <w:rPr>
          <w:rFonts w:hint="cs"/>
          <w:rtl/>
        </w:rPr>
        <w:t>בי' רש"י דשולה דג שהיה נצוד מבעו"י ויבש בו כסלע חייב משום נטילת נשמה דלא יחיה עוד</w:t>
      </w:r>
      <w:bookmarkEnd w:id="1321"/>
    </w:p>
    <w:p w14:paraId="715DAD3E" w14:textId="76E594AD" w:rsidR="000426DE" w:rsidRPr="00B974DB" w:rsidRDefault="000426DE" w:rsidP="00BC7DC8">
      <w:pPr>
        <w:pStyle w:val="a3"/>
        <w:numPr>
          <w:ilvl w:val="0"/>
          <w:numId w:val="21"/>
        </w:numPr>
        <w:rPr>
          <w:rtl/>
        </w:rPr>
      </w:pPr>
      <w:bookmarkStart w:id="1322" w:name="_Ref135238385"/>
      <w:bookmarkStart w:id="1323" w:name="_Ref135405568"/>
      <w:r>
        <w:rPr>
          <w:rFonts w:hint="cs"/>
          <w:rtl/>
        </w:rPr>
        <w:t xml:space="preserve">בהא דאמר שמואל בגמ' לקמן </w:t>
      </w:r>
      <w:r w:rsidRPr="00BC7DC8">
        <w:rPr>
          <w:rStyle w:val="af2"/>
          <w:rFonts w:eastAsia="Guttman Hodes" w:hint="cs"/>
          <w:rtl/>
        </w:rPr>
        <w:t>(קז:)</w:t>
      </w:r>
      <w:r>
        <w:rPr>
          <w:rFonts w:hint="cs"/>
          <w:rtl/>
        </w:rPr>
        <w:t xml:space="preserve"> דהשולה דג מן הים, כיון שיבש בו כסלע חייב, ביאר דברי </w:t>
      </w:r>
      <w:r w:rsidRPr="00BC7DC8">
        <w:rPr>
          <w:rFonts w:hint="cs"/>
          <w:vanish/>
          <w:rtl/>
        </w:rPr>
        <w:t xml:space="preserve">&lt;. </w:t>
      </w:r>
      <w:r w:rsidRPr="00BC7DC8">
        <w:rPr>
          <w:vanish/>
          <w:rtl/>
        </w:rPr>
        <w:fldChar w:fldCharType="begin"/>
      </w:r>
      <w:r w:rsidRPr="00BC7DC8">
        <w:rPr>
          <w:vanish/>
          <w:rtl/>
        </w:rPr>
        <w:instrText xml:space="preserve"> </w:instrText>
      </w:r>
      <w:r w:rsidRPr="00BC7DC8">
        <w:rPr>
          <w:rFonts w:hint="cs"/>
          <w:vanish/>
        </w:rPr>
        <w:instrText>REF</w:instrText>
      </w:r>
      <w:r w:rsidRPr="00BC7DC8">
        <w:rPr>
          <w:rFonts w:hint="cs"/>
          <w:vanish/>
          <w:rtl/>
        </w:rPr>
        <w:instrText xml:space="preserve"> _</w:instrText>
      </w:r>
      <w:r w:rsidRPr="00BC7DC8">
        <w:rPr>
          <w:rFonts w:hint="cs"/>
          <w:vanish/>
        </w:rPr>
        <w:instrText>Ref135238385 \r \h</w:instrText>
      </w:r>
      <w:r w:rsidRPr="00BC7DC8">
        <w:rPr>
          <w:vanish/>
          <w:rtl/>
        </w:rPr>
        <w:instrText xml:space="preserve"> </w:instrText>
      </w:r>
      <w:r w:rsidRPr="00112C74">
        <w:rPr>
          <w:vanish/>
          <w:rtl/>
        </w:rPr>
      </w:r>
      <w:r w:rsidRPr="00BC7DC8">
        <w:rPr>
          <w:vanish/>
          <w:rtl/>
        </w:rPr>
        <w:fldChar w:fldCharType="separate"/>
      </w:r>
      <w:r w:rsidR="00D82181">
        <w:rPr>
          <w:vanish/>
          <w:cs/>
        </w:rPr>
        <w:t>‎</w:t>
      </w:r>
      <w:r w:rsidR="00D82181">
        <w:rPr>
          <w:vanish/>
          <w:rtl/>
        </w:rPr>
        <w:t>א)</w:t>
      </w:r>
      <w:r w:rsidRPr="00BC7DC8">
        <w:rPr>
          <w:vanish/>
          <w:rtl/>
        </w:rPr>
        <w:fldChar w:fldCharType="end"/>
      </w:r>
      <w:r w:rsidRPr="00BC7DC8">
        <w:rPr>
          <w:rFonts w:hint="cs"/>
          <w:vanish/>
          <w:rtl/>
        </w:rPr>
        <w:t xml:space="preserve"> &gt;</w:t>
      </w:r>
      <w:r w:rsidRPr="00BC7DC8">
        <w:rPr>
          <w:rStyle w:val="aff4"/>
          <w:rFonts w:hint="cs"/>
          <w:vanish/>
          <w:rtl/>
        </w:rPr>
        <w:t>-</w:t>
      </w:r>
      <w:r w:rsidRPr="00335C9B">
        <w:rPr>
          <w:rStyle w:val="aff4"/>
          <w:rFonts w:hint="cs"/>
          <w:rtl/>
        </w:rPr>
        <w:t>רש"י לקמן</w:t>
      </w:r>
      <w:r w:rsidRPr="00BC7DC8">
        <w:rPr>
          <w:rStyle w:val="aff4"/>
          <w:rFonts w:hint="cs"/>
          <w:vanish/>
          <w:rtl/>
        </w:rPr>
        <w:t>-</w:t>
      </w:r>
      <w:r>
        <w:rPr>
          <w:rFonts w:hint="cs"/>
          <w:rtl/>
        </w:rPr>
        <w:t xml:space="preserve"> </w:t>
      </w:r>
      <w:r w:rsidRPr="00BC7DC8">
        <w:rPr>
          <w:rStyle w:val="af2"/>
          <w:rFonts w:eastAsia="Guttman Hodes" w:hint="cs"/>
          <w:rtl/>
        </w:rPr>
        <w:t>(קז: ד"ה השולה, כסלע, חייב)</w:t>
      </w:r>
      <w:r w:rsidRPr="00BC7DC8">
        <w:rPr>
          <w:rFonts w:hint="cs"/>
          <w:vanish/>
          <w:rtl/>
        </w:rPr>
        <w:t>=</w:t>
      </w:r>
      <w:r>
        <w:rPr>
          <w:rFonts w:hint="cs"/>
          <w:rtl/>
        </w:rPr>
        <w:t xml:space="preserve"> דאיירי בשולה דג שהיה נצוד מבעוד יום, וביבש בו כסלע, החיוב הוא משום נטילת נשמה,</w:t>
      </w:r>
      <w:bookmarkEnd w:id="1322"/>
      <w:r>
        <w:rPr>
          <w:rFonts w:hint="cs"/>
          <w:rtl/>
        </w:rPr>
        <w:t xml:space="preserve"> כיון שאינו יכול לחיות יותר.</w:t>
      </w:r>
      <w:bookmarkEnd w:id="1323"/>
    </w:p>
    <w:p w14:paraId="31CC2141" w14:textId="77777777" w:rsidR="000426DE" w:rsidRPr="00747170" w:rsidRDefault="000426DE" w:rsidP="00747170">
      <w:pPr>
        <w:pStyle w:val="a2"/>
        <w:rPr>
          <w:rtl/>
        </w:rPr>
      </w:pPr>
      <w:r w:rsidRPr="00747170">
        <w:rPr>
          <w:rtl/>
        </w:rPr>
        <w:t>השולה דג - שהיה ניצוד ועומד מבעוד יום.</w:t>
      </w:r>
    </w:p>
    <w:p w14:paraId="7F248CA8" w14:textId="77777777" w:rsidR="000426DE" w:rsidRPr="00D578AC" w:rsidRDefault="000426DE" w:rsidP="00747170">
      <w:pPr>
        <w:pStyle w:val="afffff5"/>
        <w:rPr>
          <w:rtl/>
        </w:rPr>
      </w:pPr>
      <w:r w:rsidRPr="00D578AC">
        <w:rPr>
          <w:rtl/>
        </w:rPr>
        <w:t>כסלע - כרוחב סלע.</w:t>
      </w:r>
    </w:p>
    <w:p w14:paraId="38350543" w14:textId="77777777" w:rsidR="000426DE" w:rsidRPr="00D578AC" w:rsidRDefault="000426DE" w:rsidP="00747170">
      <w:pPr>
        <w:pStyle w:val="afffff5"/>
        <w:rPr>
          <w:rtl/>
        </w:rPr>
      </w:pPr>
      <w:r w:rsidRPr="00D578AC">
        <w:rPr>
          <w:rtl/>
        </w:rPr>
        <w:t>חייב - משום נטילת נשמה, דתו לא חיי.</w:t>
      </w:r>
    </w:p>
    <w:p w14:paraId="6517BB79" w14:textId="3AEB8325" w:rsidR="000426DE" w:rsidRDefault="000426DE" w:rsidP="000426DE">
      <w:pPr>
        <w:pStyle w:val="afffff7"/>
        <w:rPr>
          <w:rtl/>
        </w:rPr>
      </w:pPr>
      <w:bookmarkStart w:id="1324" w:name="_Toc135513663"/>
      <w:bookmarkStart w:id="1325" w:name="_Toc163505588"/>
      <w:r>
        <w:rPr>
          <w:rtl/>
        </w:rPr>
        <w:t>רמב"ם שבת פי"א ה"א</w:t>
      </w:r>
      <w:bookmarkEnd w:id="1324"/>
      <w:bookmarkEnd w:id="1325"/>
    </w:p>
    <w:p w14:paraId="5A7FEC85" w14:textId="77777777" w:rsidR="000426DE" w:rsidRDefault="000426DE" w:rsidP="000426DE">
      <w:pPr>
        <w:pStyle w:val="afffff7"/>
        <w:rPr>
          <w:rtl/>
        </w:rPr>
      </w:pPr>
      <w:bookmarkStart w:id="1326" w:name="_Toc135513664"/>
      <w:bookmarkStart w:id="1327" w:name="_Toc163505589"/>
      <w:r>
        <w:rPr>
          <w:rtl/>
        </w:rPr>
        <w:t>מגיד משנה שבת פי"א ה"א</w:t>
      </w:r>
      <w:bookmarkEnd w:id="1326"/>
      <w:bookmarkEnd w:id="1327"/>
    </w:p>
    <w:p w14:paraId="78A182CE" w14:textId="77777777" w:rsidR="000426DE" w:rsidRDefault="000426DE" w:rsidP="000426DE">
      <w:pPr>
        <w:pStyle w:val="a7"/>
        <w:rPr>
          <w:rtl/>
        </w:rPr>
      </w:pPr>
      <w:bookmarkStart w:id="1328" w:name="_Toc139316311"/>
      <w:r>
        <w:rPr>
          <w:rFonts w:hint="cs"/>
          <w:rtl/>
        </w:rPr>
        <w:t>בי' הרמב"ם דשוחט חייב משום נטילת נשמה וכן שולה דג מספל של מים ויבש בו כסלע</w:t>
      </w:r>
      <w:bookmarkEnd w:id="1328"/>
    </w:p>
    <w:p w14:paraId="67240687" w14:textId="32FFC889" w:rsidR="000426DE" w:rsidRPr="00111EBA" w:rsidRDefault="000426DE" w:rsidP="00BC7DC8">
      <w:pPr>
        <w:pStyle w:val="a3"/>
        <w:rPr>
          <w:rtl/>
        </w:rPr>
      </w:pPr>
      <w:bookmarkStart w:id="1329" w:name="_Hlk134995580"/>
      <w:bookmarkStart w:id="1330" w:name="_Ref134995568"/>
      <w:r>
        <w:rPr>
          <w:rFonts w:hint="cs"/>
          <w:rtl/>
        </w:rPr>
        <w:t xml:space="preserve">וכ"כ </w:t>
      </w:r>
      <w:r w:rsidRPr="00B21A47">
        <w:rPr>
          <w:rStyle w:val="aff4"/>
          <w:rFonts w:hint="cs"/>
          <w:vanish/>
          <w:rtl/>
        </w:rPr>
        <w:t>-</w:t>
      </w:r>
      <w:r w:rsidRPr="00272A5B">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Ref134995568 \r \h</w:instrText>
      </w:r>
      <w:r w:rsidRPr="00B53404">
        <w:rPr>
          <w:rStyle w:val="aff4"/>
          <w:vanish/>
          <w:rtl/>
        </w:rPr>
        <w:instrText xml:space="preserve">  \* </w:instrText>
      </w:r>
      <w:r w:rsidRPr="00B53404">
        <w:rPr>
          <w:rStyle w:val="aff4"/>
          <w:vanish/>
        </w:rPr>
        <w:instrText>MERGEFORMAT</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ב)</w:t>
      </w:r>
      <w:r w:rsidRPr="00B53404">
        <w:rPr>
          <w:rStyle w:val="aff4"/>
          <w:vanish/>
          <w:rtl/>
        </w:rPr>
        <w:fldChar w:fldCharType="end"/>
      </w:r>
      <w:r w:rsidRPr="00B53404">
        <w:rPr>
          <w:rStyle w:val="aff4"/>
          <w:rFonts w:hint="cs"/>
          <w:vanish/>
          <w:rtl/>
        </w:rPr>
        <w:t xml:space="preserve"> &gt;</w:t>
      </w:r>
      <w:r w:rsidRPr="00272A5B">
        <w:rPr>
          <w:rStyle w:val="aff4"/>
          <w:rFonts w:hint="cs"/>
          <w:rtl/>
        </w:rPr>
        <w:t>רמב"ם</w:t>
      </w:r>
      <w:r w:rsidRPr="00B21A47">
        <w:rPr>
          <w:rStyle w:val="aff4"/>
          <w:rFonts w:hint="cs"/>
          <w:vanish/>
          <w:rtl/>
        </w:rPr>
        <w:t>-</w:t>
      </w:r>
      <w:r>
        <w:rPr>
          <w:rFonts w:hint="cs"/>
          <w:rtl/>
        </w:rPr>
        <w:t xml:space="preserve"> </w:t>
      </w:r>
      <w:r w:rsidRPr="00FB451D">
        <w:rPr>
          <w:rStyle w:val="af2"/>
          <w:rFonts w:eastAsia="Guttman Hodes" w:hint="cs"/>
          <w:rtl/>
        </w:rPr>
        <w:t>(שבת פי"א ה"א)</w:t>
      </w:r>
      <w:r w:rsidRPr="00B21A47">
        <w:rPr>
          <w:rFonts w:hint="cs"/>
          <w:vanish/>
          <w:rtl/>
        </w:rPr>
        <w:t>=</w:t>
      </w:r>
      <w:r>
        <w:rPr>
          <w:rFonts w:hint="cs"/>
          <w:rtl/>
        </w:rPr>
        <w:t xml:space="preserve"> דהשוחט וכל הנוטל נשמה חייב, והחונק הוא תולדת שוחט, ולכן אם העלה דג מספל </w:t>
      </w:r>
      <w:bookmarkEnd w:id="1329"/>
      <w:r>
        <w:rPr>
          <w:rFonts w:hint="cs"/>
          <w:rtl/>
        </w:rPr>
        <w:t>של מים, והניחו עד שיבש בו כסלע חייב,</w:t>
      </w:r>
      <w:r w:rsidRPr="00CB2A70">
        <w:rPr>
          <w:rFonts w:hint="cs"/>
          <w:rtl/>
        </w:rPr>
        <w:t xml:space="preserve"> </w:t>
      </w:r>
      <w:r>
        <w:rPr>
          <w:rFonts w:hint="cs"/>
          <w:rtl/>
        </w:rPr>
        <w:t xml:space="preserve">וכתב </w:t>
      </w:r>
      <w:r w:rsidRPr="00B21A47">
        <w:rPr>
          <w:rStyle w:val="aff4"/>
          <w:rFonts w:hint="cs"/>
          <w:vanish/>
          <w:rtl/>
        </w:rPr>
        <w:t>-</w:t>
      </w:r>
      <w:r w:rsidRPr="00272A5B">
        <w:rPr>
          <w:rStyle w:val="aff4"/>
          <w:rFonts w:hint="cs"/>
          <w:rtl/>
        </w:rPr>
        <w:t>ה</w:t>
      </w:r>
      <w:r w:rsidRPr="00B53404">
        <w:rPr>
          <w:rStyle w:val="aff4"/>
          <w:rFonts w:hint="cs"/>
          <w:vanish/>
          <w:rtl/>
        </w:rPr>
        <w:t>&lt; &gt;</w:t>
      </w:r>
      <w:r w:rsidRPr="00272A5B">
        <w:rPr>
          <w:rStyle w:val="aff4"/>
          <w:rFonts w:hint="cs"/>
          <w:rtl/>
        </w:rPr>
        <w:t>מ"מ</w:t>
      </w:r>
      <w:r w:rsidRPr="00B21A47">
        <w:rPr>
          <w:rStyle w:val="aff4"/>
          <w:rFonts w:hint="cs"/>
          <w:vanish/>
          <w:rtl/>
        </w:rPr>
        <w:t>-</w:t>
      </w:r>
      <w:r>
        <w:rPr>
          <w:rFonts w:hint="cs"/>
          <w:rtl/>
        </w:rPr>
        <w:t xml:space="preserve"> </w:t>
      </w:r>
      <w:r w:rsidRPr="00FB451D">
        <w:rPr>
          <w:rStyle w:val="af2"/>
          <w:rFonts w:eastAsia="Guttman Hodes" w:hint="cs"/>
          <w:rtl/>
        </w:rPr>
        <w:t>(שבת פי"א ה"א)</w:t>
      </w:r>
      <w:r w:rsidRPr="00B21A47">
        <w:rPr>
          <w:rFonts w:hint="cs"/>
          <w:vanish/>
          <w:rtl/>
        </w:rPr>
        <w:t>=</w:t>
      </w:r>
      <w:r>
        <w:rPr>
          <w:rFonts w:hint="cs"/>
          <w:rtl/>
        </w:rPr>
        <w:t xml:space="preserve"> דפסק </w:t>
      </w:r>
      <w:r w:rsidRPr="00B21A47">
        <w:rPr>
          <w:rStyle w:val="aff4"/>
          <w:rFonts w:hint="cs"/>
          <w:vanish/>
          <w:rtl/>
        </w:rPr>
        <w:t>-</w:t>
      </w:r>
      <w:r w:rsidRPr="00272A5B">
        <w:rPr>
          <w:rStyle w:val="aff4"/>
          <w:rFonts w:hint="cs"/>
          <w:rtl/>
        </w:rPr>
        <w:t>הרמב"ם</w:t>
      </w:r>
      <w:r w:rsidRPr="00B21A47">
        <w:rPr>
          <w:rStyle w:val="aff4"/>
          <w:rFonts w:hint="cs"/>
          <w:vanish/>
          <w:rtl/>
        </w:rPr>
        <w:t>-</w:t>
      </w:r>
      <w:r>
        <w:rPr>
          <w:rFonts w:hint="cs"/>
          <w:rtl/>
        </w:rPr>
        <w:t xml:space="preserve"> כדברי שמואל בגמ' לקמן </w:t>
      </w:r>
      <w:r w:rsidRPr="00FB451D">
        <w:rPr>
          <w:rStyle w:val="af2"/>
          <w:rFonts w:eastAsia="Guttman Hodes" w:hint="cs"/>
          <w:rtl/>
        </w:rPr>
        <w:t>(קז:)</w:t>
      </w:r>
      <w:r>
        <w:rPr>
          <w:rFonts w:hint="cs"/>
          <w:rtl/>
        </w:rPr>
        <w:t xml:space="preserve"> ולא גרס השולה דג "מן הים", כגירסא בגמ' לפנינו.</w:t>
      </w:r>
      <w:bookmarkEnd w:id="1330"/>
    </w:p>
    <w:p w14:paraId="6C1B663F" w14:textId="77777777" w:rsidR="000426DE" w:rsidRPr="00747170" w:rsidRDefault="000426DE" w:rsidP="00747170">
      <w:pPr>
        <w:pStyle w:val="a2"/>
        <w:rPr>
          <w:rtl/>
        </w:rPr>
      </w:pPr>
      <w:r w:rsidRPr="00747170">
        <w:rPr>
          <w:rtl/>
        </w:rPr>
        <w:t>השוחט חייב ולא שוחט בלבד אלא כל הנוטל נשמה לאחד מכל מיני חיה ובהמה ועוף ודג ושרץ בין בשחיטה בין בנחירה או בהכאה חייב, החונק את החי עד שימות הרי זה תולדת שוחט, לפיכך אם העלה דג מספל של מים והניחו עד שמת חייב משום חונק, ולא עד שימות אלא כיון שיבש בו כסלע בין סנפיריו חייב שעוד אינו יכול לחיות, הושיט ידו למעי הבהמה ודלדל עובר שבמעיה חייב.</w:t>
      </w:r>
    </w:p>
    <w:p w14:paraId="722E6CBB" w14:textId="77777777" w:rsidR="000426DE" w:rsidRPr="00D578AC" w:rsidRDefault="000426DE" w:rsidP="00747170">
      <w:pPr>
        <w:pStyle w:val="afffff5"/>
        <w:rPr>
          <w:rtl/>
        </w:rPr>
      </w:pPr>
      <w:r w:rsidRPr="00D578AC">
        <w:rPr>
          <w:rtl/>
        </w:rPr>
        <w:t>החונק את החי עד שימות וכו'. לפיכך אם העלה וכו'. בגמרא (שם ק"ז ע"ב) בשמונה שרצים אמר שמואל השולה דג מן הים כיון שיבש בו כסלע חייב אמר ר' יוסי בר אבין ובין סנפיריו אמר רב אשי לא תימא יבש ממש אלא אפי' דעבד רירי. ונראה שאין רבינו גורס מן הים. ורש"י ז"ל פירש השולה דג שהיה נצוד ועומד מבעוד יום, ופשוט הוא שאין בכאן דין צידה כלל:</w:t>
      </w:r>
    </w:p>
    <w:p w14:paraId="7A0E26DC" w14:textId="419C3841" w:rsidR="000426DE" w:rsidRDefault="000426DE" w:rsidP="000426DE">
      <w:pPr>
        <w:pStyle w:val="afffff7"/>
        <w:rPr>
          <w:rtl/>
        </w:rPr>
      </w:pPr>
      <w:bookmarkStart w:id="1331" w:name="_Toc135513665"/>
      <w:bookmarkStart w:id="1332" w:name="_Toc163505590"/>
      <w:r>
        <w:rPr>
          <w:rtl/>
        </w:rPr>
        <w:t>רבינו גרשום תענית כ"ד ע"א</w:t>
      </w:r>
      <w:r>
        <w:rPr>
          <w:rFonts w:hint="cs"/>
          <w:rtl/>
        </w:rPr>
        <w:t xml:space="preserve"> ד"ה שיבש</w:t>
      </w:r>
      <w:bookmarkEnd w:id="1331"/>
      <w:bookmarkEnd w:id="1332"/>
    </w:p>
    <w:p w14:paraId="0BF5B98A" w14:textId="77777777" w:rsidR="000426DE" w:rsidRDefault="000426DE" w:rsidP="000426DE">
      <w:pPr>
        <w:pStyle w:val="a7"/>
        <w:rPr>
          <w:rtl/>
        </w:rPr>
      </w:pPr>
      <w:bookmarkStart w:id="1333" w:name="_Toc139316312"/>
      <w:r>
        <w:rPr>
          <w:rFonts w:hint="cs"/>
          <w:rtl/>
        </w:rPr>
        <w:t>בי' רבינו גרשום בבבלי דהשולה דג ויבש בו כסלע חייב משום צידה ומשום נטילת נשמה</w:t>
      </w:r>
      <w:bookmarkEnd w:id="1333"/>
    </w:p>
    <w:p w14:paraId="6CDBA119" w14:textId="1ED5DB90" w:rsidR="000426DE" w:rsidRPr="00B76F6D" w:rsidRDefault="000426DE" w:rsidP="00BC7DC8">
      <w:pPr>
        <w:pStyle w:val="a3"/>
        <w:rPr>
          <w:rtl/>
        </w:rPr>
      </w:pPr>
      <w:bookmarkStart w:id="1334" w:name="_Ref134635085"/>
      <w:bookmarkStart w:id="1335" w:name="_Ref134721582"/>
      <w:r w:rsidRPr="00394B7E">
        <w:rPr>
          <w:rStyle w:val="aff4"/>
          <w:rFonts w:hint="cs"/>
          <w:vanish/>
          <w:rtl/>
        </w:rPr>
        <w:t>-</w:t>
      </w:r>
      <w:r w:rsidRPr="00FB451D">
        <w:rPr>
          <w:rStyle w:val="aff4"/>
          <w:rFonts w:hint="cs"/>
          <w:rtl/>
        </w:rPr>
        <w:t>ו</w:t>
      </w:r>
      <w:r w:rsidRPr="00394B7E">
        <w:rPr>
          <w:rStyle w:val="aff4"/>
          <w:rFonts w:hint="cs"/>
          <w:vanish/>
          <w:rtl/>
        </w:rPr>
        <w:t xml:space="preserve">&lt;. </w:t>
      </w:r>
      <w:r w:rsidRPr="00394B7E">
        <w:rPr>
          <w:rStyle w:val="aff4"/>
          <w:vanish/>
          <w:rtl/>
        </w:rPr>
        <w:fldChar w:fldCharType="begin"/>
      </w:r>
      <w:r w:rsidRPr="00394B7E">
        <w:rPr>
          <w:rStyle w:val="aff4"/>
          <w:vanish/>
          <w:rtl/>
        </w:rPr>
        <w:instrText xml:space="preserve"> </w:instrText>
      </w:r>
      <w:r w:rsidRPr="00394B7E">
        <w:rPr>
          <w:rStyle w:val="aff4"/>
          <w:rFonts w:hint="cs"/>
          <w:vanish/>
        </w:rPr>
        <w:instrText>REF</w:instrText>
      </w:r>
      <w:r w:rsidRPr="00394B7E">
        <w:rPr>
          <w:rStyle w:val="aff4"/>
          <w:rFonts w:hint="cs"/>
          <w:vanish/>
          <w:rtl/>
        </w:rPr>
        <w:instrText xml:space="preserve"> _</w:instrText>
      </w:r>
      <w:r w:rsidRPr="00394B7E">
        <w:rPr>
          <w:rStyle w:val="aff4"/>
          <w:rFonts w:hint="cs"/>
          <w:vanish/>
        </w:rPr>
        <w:instrText>Ref134635085 \r \h</w:instrText>
      </w:r>
      <w:r w:rsidRPr="00394B7E">
        <w:rPr>
          <w:rStyle w:val="aff4"/>
          <w:vanish/>
          <w:rtl/>
        </w:rPr>
        <w:instrText xml:space="preserve"> </w:instrText>
      </w:r>
      <w:r>
        <w:rPr>
          <w:rStyle w:val="aff4"/>
          <w:vanish/>
          <w:rtl/>
        </w:rPr>
        <w:instrText xml:space="preserve"> \* </w:instrText>
      </w:r>
      <w:r>
        <w:rPr>
          <w:rStyle w:val="aff4"/>
          <w:vanish/>
        </w:rPr>
        <w:instrText>MERGEFORMAT</w:instrText>
      </w:r>
      <w:r>
        <w:rPr>
          <w:rStyle w:val="aff4"/>
          <w:vanish/>
          <w:rtl/>
        </w:rPr>
        <w:instrText xml:space="preserve"> </w:instrText>
      </w:r>
      <w:r w:rsidRPr="00394B7E">
        <w:rPr>
          <w:rStyle w:val="aff4"/>
          <w:vanish/>
          <w:rtl/>
        </w:rPr>
      </w:r>
      <w:r w:rsidRPr="00394B7E">
        <w:rPr>
          <w:rStyle w:val="aff4"/>
          <w:vanish/>
          <w:rtl/>
        </w:rPr>
        <w:fldChar w:fldCharType="separate"/>
      </w:r>
      <w:r w:rsidR="00D82181">
        <w:rPr>
          <w:rStyle w:val="aff4"/>
          <w:vanish/>
          <w:cs/>
        </w:rPr>
        <w:t>‎</w:t>
      </w:r>
      <w:r w:rsidR="00D82181">
        <w:rPr>
          <w:rStyle w:val="aff4"/>
          <w:vanish/>
          <w:rtl/>
        </w:rPr>
        <w:t>ג)</w:t>
      </w:r>
      <w:r w:rsidRPr="00394B7E">
        <w:rPr>
          <w:rStyle w:val="aff4"/>
          <w:vanish/>
          <w:rtl/>
        </w:rPr>
        <w:fldChar w:fldCharType="end"/>
      </w:r>
      <w:r w:rsidRPr="00394B7E">
        <w:rPr>
          <w:rStyle w:val="aff4"/>
          <w:rFonts w:hint="cs"/>
          <w:vanish/>
          <w:rtl/>
        </w:rPr>
        <w:t xml:space="preserve"> &gt;</w:t>
      </w:r>
      <w:r w:rsidRPr="00FB451D">
        <w:rPr>
          <w:rStyle w:val="aff4"/>
          <w:rFonts w:hint="cs"/>
          <w:rtl/>
        </w:rPr>
        <w:t>רבינו גרשום בתענית</w:t>
      </w:r>
      <w:r w:rsidRPr="00394B7E">
        <w:rPr>
          <w:rStyle w:val="aff4"/>
          <w:rFonts w:hint="cs"/>
          <w:vanish/>
          <w:rtl/>
        </w:rPr>
        <w:t>-</w:t>
      </w:r>
      <w:r w:rsidRPr="00B76F6D">
        <w:rPr>
          <w:rFonts w:hint="cs"/>
          <w:rtl/>
        </w:rPr>
        <w:t xml:space="preserve"> </w:t>
      </w:r>
      <w:r w:rsidRPr="00FB451D">
        <w:rPr>
          <w:rStyle w:val="af2"/>
          <w:rFonts w:eastAsia="Guttman Hodes" w:hint="cs"/>
          <w:rtl/>
        </w:rPr>
        <w:t>(כד. ד"ה שיבש)</w:t>
      </w:r>
      <w:r w:rsidRPr="00394B7E">
        <w:rPr>
          <w:rFonts w:hint="cs"/>
          <w:vanish/>
          <w:rtl/>
        </w:rPr>
        <w:t>=</w:t>
      </w:r>
      <w:r w:rsidRPr="00B76F6D">
        <w:rPr>
          <w:rFonts w:hint="cs"/>
          <w:rtl/>
        </w:rPr>
        <w:t xml:space="preserve"> כתב דבהא דאמר שמואל בגמ' לקמן </w:t>
      </w:r>
      <w:r w:rsidRPr="00FB451D">
        <w:rPr>
          <w:rStyle w:val="af2"/>
          <w:rFonts w:eastAsia="Guttman Hodes" w:hint="cs"/>
          <w:rtl/>
        </w:rPr>
        <w:t>(קז:)</w:t>
      </w:r>
      <w:r w:rsidRPr="00B76F6D">
        <w:rPr>
          <w:rFonts w:hint="cs"/>
          <w:rtl/>
        </w:rPr>
        <w:t xml:space="preserve"> ובתענית </w:t>
      </w:r>
      <w:r w:rsidRPr="00FB451D">
        <w:rPr>
          <w:rStyle w:val="af2"/>
          <w:rFonts w:eastAsia="Guttman Hodes" w:hint="cs"/>
          <w:rtl/>
        </w:rPr>
        <w:t>(כד.)</w:t>
      </w:r>
      <w:r w:rsidRPr="00B76F6D">
        <w:rPr>
          <w:rFonts w:hint="cs"/>
          <w:rtl/>
        </w:rPr>
        <w:t xml:space="preserve"> דהשולה דג מהים ויבש בו כסלע חייב, </w:t>
      </w:r>
      <w:bookmarkEnd w:id="1334"/>
      <w:r w:rsidRPr="00B76F6D">
        <w:rPr>
          <w:rFonts w:hint="cs"/>
          <w:rtl/>
        </w:rPr>
        <w:t xml:space="preserve">דחייב משום צידה, ומשום נטילת נשמה, ועי' במה שביאר </w:t>
      </w:r>
      <w:r w:rsidRPr="00394B7E">
        <w:rPr>
          <w:rStyle w:val="aff4"/>
          <w:rFonts w:hint="cs"/>
          <w:vanish/>
          <w:rtl/>
        </w:rPr>
        <w:t>-</w:t>
      </w:r>
      <w:r w:rsidRPr="00FB451D">
        <w:rPr>
          <w:rStyle w:val="aff4"/>
          <w:rFonts w:hint="cs"/>
          <w:rtl/>
        </w:rPr>
        <w:t>הדבר אברהם</w:t>
      </w:r>
      <w:r w:rsidRPr="00394B7E">
        <w:rPr>
          <w:rStyle w:val="aff4"/>
          <w:rFonts w:hint="cs"/>
          <w:vanish/>
          <w:rtl/>
        </w:rPr>
        <w:t>-</w:t>
      </w:r>
      <w:r w:rsidRPr="00B76F6D">
        <w:rPr>
          <w:rFonts w:hint="cs"/>
          <w:rtl/>
        </w:rPr>
        <w:t xml:space="preserve"> </w:t>
      </w:r>
      <w:r w:rsidRPr="00FB451D">
        <w:rPr>
          <w:rStyle w:val="af2"/>
          <w:rFonts w:eastAsia="Guttman Hodes" w:hint="cs"/>
          <w:rtl/>
        </w:rPr>
        <w:t xml:space="preserve">(עי' אות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Ref134721572 \r \h</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עז)</w:t>
      </w:r>
      <w:r w:rsidRPr="00FB451D">
        <w:rPr>
          <w:rStyle w:val="af2"/>
          <w:rFonts w:eastAsia="Guttman Hodes"/>
          <w:rtl/>
        </w:rPr>
        <w:fldChar w:fldCharType="end"/>
      </w:r>
      <w:r w:rsidRPr="00B76F6D">
        <w:rPr>
          <w:rFonts w:hint="cs"/>
          <w:rtl/>
        </w:rPr>
        <w:t xml:space="preserve"> בדברי </w:t>
      </w:r>
      <w:r w:rsidRPr="00394B7E">
        <w:rPr>
          <w:rStyle w:val="aff4"/>
          <w:rFonts w:hint="cs"/>
          <w:vanish/>
          <w:rtl/>
        </w:rPr>
        <w:t>-</w:t>
      </w:r>
      <w:r w:rsidRPr="00FB451D">
        <w:rPr>
          <w:rStyle w:val="aff4"/>
          <w:rFonts w:hint="cs"/>
          <w:rtl/>
        </w:rPr>
        <w:t>רבינו גרשום</w:t>
      </w:r>
      <w:r w:rsidRPr="00394B7E">
        <w:rPr>
          <w:rStyle w:val="aff4"/>
          <w:rFonts w:hint="cs"/>
          <w:vanish/>
          <w:rtl/>
        </w:rPr>
        <w:t>-</w:t>
      </w:r>
      <w:r w:rsidRPr="00B76F6D">
        <w:rPr>
          <w:rFonts w:hint="cs"/>
          <w:rtl/>
        </w:rPr>
        <w:t>.</w:t>
      </w:r>
      <w:bookmarkEnd w:id="1335"/>
    </w:p>
    <w:p w14:paraId="40C01E3D" w14:textId="77777777" w:rsidR="000426DE" w:rsidRPr="00747170" w:rsidRDefault="000426DE" w:rsidP="00747170">
      <w:pPr>
        <w:pStyle w:val="a2"/>
        <w:rPr>
          <w:rtl/>
        </w:rPr>
      </w:pPr>
      <w:r w:rsidRPr="00747170">
        <w:rPr>
          <w:rtl/>
        </w:rPr>
        <w:t>שיבש בו כסלע חייב משום צידה ומשום נטילת נשמה:</w:t>
      </w:r>
    </w:p>
    <w:p w14:paraId="2554E234" w14:textId="22DCFF38" w:rsidR="000426DE" w:rsidRDefault="000426DE" w:rsidP="000426DE">
      <w:pPr>
        <w:pStyle w:val="1"/>
        <w:rPr>
          <w:rtl/>
        </w:rPr>
      </w:pPr>
      <w:bookmarkStart w:id="1336" w:name="_Toc139316313"/>
      <w:r>
        <w:rPr>
          <w:rFonts w:hint="cs"/>
          <w:rtl/>
        </w:rPr>
        <w:t>בי' הרמב"ן דהבבלי פליג על הירו' דחייב בדג משום קוצר</w:t>
      </w:r>
      <w:bookmarkEnd w:id="1336"/>
    </w:p>
    <w:p w14:paraId="4476A8C7" w14:textId="77777777" w:rsidR="000426DE" w:rsidRDefault="000426DE" w:rsidP="000426DE">
      <w:pPr>
        <w:pStyle w:val="afffff7"/>
        <w:rPr>
          <w:rtl/>
        </w:rPr>
      </w:pPr>
      <w:bookmarkStart w:id="1337" w:name="_Toc135513666"/>
      <w:bookmarkStart w:id="1338" w:name="_Toc163505591"/>
      <w:r>
        <w:rPr>
          <w:rtl/>
        </w:rPr>
        <w:t>חדושי הרמב"ן שבת ק"ז ע"ב</w:t>
      </w:r>
      <w:r>
        <w:rPr>
          <w:rFonts w:hint="cs"/>
          <w:rtl/>
        </w:rPr>
        <w:t xml:space="preserve"> ד"ה הא</w:t>
      </w:r>
      <w:bookmarkEnd w:id="1337"/>
      <w:bookmarkEnd w:id="1338"/>
    </w:p>
    <w:p w14:paraId="1735A380" w14:textId="77777777" w:rsidR="000426DE" w:rsidRDefault="000426DE" w:rsidP="000426DE">
      <w:pPr>
        <w:pStyle w:val="a7"/>
        <w:rPr>
          <w:rtl/>
        </w:rPr>
      </w:pPr>
      <w:bookmarkStart w:id="1339" w:name="_Toc139316314"/>
      <w:r>
        <w:rPr>
          <w:rFonts w:hint="cs"/>
          <w:rtl/>
        </w:rPr>
        <w:t>בי' הרמב"ן דרק לירושלמי הפסקת חיות של דג הוי קוצר אבל לבבלי הוי נטילת נשמה</w:t>
      </w:r>
      <w:r w:rsidRPr="000A5805">
        <w:rPr>
          <w:rFonts w:hint="cs"/>
          <w:rtl/>
        </w:rPr>
        <w:t xml:space="preserve"> </w:t>
      </w:r>
      <w:r>
        <w:rPr>
          <w:rFonts w:hint="cs"/>
          <w:rtl/>
        </w:rPr>
        <w:t>ולא קוצר</w:t>
      </w:r>
      <w:bookmarkEnd w:id="1339"/>
    </w:p>
    <w:p w14:paraId="7FCE2ABB" w14:textId="0F9A9D30" w:rsidR="000426DE" w:rsidRPr="007A72D8" w:rsidRDefault="000426DE" w:rsidP="00BC7DC8">
      <w:pPr>
        <w:pStyle w:val="a3"/>
        <w:rPr>
          <w:rStyle w:val="af"/>
        </w:rPr>
      </w:pPr>
      <w:bookmarkStart w:id="1340" w:name="_Ref135148367"/>
      <w:bookmarkStart w:id="1341" w:name="_Ref135380071"/>
      <w:r>
        <w:rPr>
          <w:rFonts w:hint="cs"/>
          <w:rtl/>
        </w:rPr>
        <w:t xml:space="preserve">כתב </w:t>
      </w:r>
      <w:r w:rsidRPr="00BD15C7">
        <w:rPr>
          <w:rStyle w:val="aff4"/>
          <w:rFonts w:hint="cs"/>
          <w:vanish/>
          <w:rtl/>
        </w:rPr>
        <w:t>-</w:t>
      </w:r>
      <w:r w:rsidRPr="00572920">
        <w:rPr>
          <w:rStyle w:val="aff4"/>
          <w:rFonts w:hint="cs"/>
          <w:rtl/>
        </w:rPr>
        <w:t>ה</w:t>
      </w:r>
      <w:r w:rsidRPr="00BD15C7">
        <w:rPr>
          <w:rStyle w:val="aff4"/>
          <w:rFonts w:hint="cs"/>
          <w:vanish/>
          <w:rtl/>
        </w:rPr>
        <w:t xml:space="preserve">&lt;. </w:t>
      </w:r>
      <w:r w:rsidRPr="00BD15C7">
        <w:rPr>
          <w:rStyle w:val="aff4"/>
          <w:vanish/>
          <w:rtl/>
        </w:rPr>
        <w:fldChar w:fldCharType="begin"/>
      </w:r>
      <w:r w:rsidRPr="00BD15C7">
        <w:rPr>
          <w:rStyle w:val="aff4"/>
          <w:vanish/>
          <w:rtl/>
        </w:rPr>
        <w:instrText xml:space="preserve"> </w:instrText>
      </w:r>
      <w:r w:rsidRPr="00BD15C7">
        <w:rPr>
          <w:rStyle w:val="aff4"/>
          <w:rFonts w:hint="cs"/>
          <w:vanish/>
        </w:rPr>
        <w:instrText>REF</w:instrText>
      </w:r>
      <w:r w:rsidRPr="00BD15C7">
        <w:rPr>
          <w:rStyle w:val="aff4"/>
          <w:rFonts w:hint="cs"/>
          <w:vanish/>
          <w:rtl/>
        </w:rPr>
        <w:instrText xml:space="preserve"> _</w:instrText>
      </w:r>
      <w:r w:rsidRPr="00BD15C7">
        <w:rPr>
          <w:rStyle w:val="aff4"/>
          <w:rFonts w:hint="cs"/>
          <w:vanish/>
        </w:rPr>
        <w:instrText>Ref135148367 \r \h</w:instrText>
      </w:r>
      <w:r w:rsidRPr="00BD15C7">
        <w:rPr>
          <w:rStyle w:val="aff4"/>
          <w:vanish/>
          <w:rtl/>
        </w:rPr>
        <w:instrText xml:space="preserve">  \* </w:instrText>
      </w:r>
      <w:r w:rsidRPr="00BD15C7">
        <w:rPr>
          <w:rStyle w:val="aff4"/>
          <w:vanish/>
        </w:rPr>
        <w:instrText>MERGEFORMAT</w:instrText>
      </w:r>
      <w:r w:rsidRPr="00BD15C7">
        <w:rPr>
          <w:rStyle w:val="aff4"/>
          <w:vanish/>
          <w:rtl/>
        </w:rPr>
        <w:instrText xml:space="preserve"> </w:instrText>
      </w:r>
      <w:r w:rsidRPr="00BD15C7">
        <w:rPr>
          <w:rStyle w:val="aff4"/>
          <w:vanish/>
          <w:rtl/>
        </w:rPr>
      </w:r>
      <w:r w:rsidRPr="00BD15C7">
        <w:rPr>
          <w:rStyle w:val="aff4"/>
          <w:vanish/>
          <w:rtl/>
        </w:rPr>
        <w:fldChar w:fldCharType="separate"/>
      </w:r>
      <w:r w:rsidR="00D82181">
        <w:rPr>
          <w:rStyle w:val="aff4"/>
          <w:vanish/>
          <w:cs/>
        </w:rPr>
        <w:t>‎</w:t>
      </w:r>
      <w:r w:rsidR="00D82181">
        <w:rPr>
          <w:rStyle w:val="aff4"/>
          <w:vanish/>
          <w:rtl/>
        </w:rPr>
        <w:t>ד)</w:t>
      </w:r>
      <w:r w:rsidRPr="00BD15C7">
        <w:rPr>
          <w:rStyle w:val="aff4"/>
          <w:vanish/>
          <w:rtl/>
        </w:rPr>
        <w:fldChar w:fldCharType="end"/>
      </w:r>
      <w:r w:rsidRPr="00BD15C7">
        <w:rPr>
          <w:rStyle w:val="aff4"/>
          <w:rFonts w:hint="cs"/>
          <w:vanish/>
          <w:rtl/>
        </w:rPr>
        <w:t xml:space="preserve"> &gt;</w:t>
      </w:r>
      <w:r w:rsidRPr="00572920">
        <w:rPr>
          <w:rStyle w:val="aff4"/>
          <w:rFonts w:hint="cs"/>
          <w:rtl/>
        </w:rPr>
        <w:t>רמב"ן לקמן</w:t>
      </w:r>
      <w:r w:rsidRPr="00BD15C7">
        <w:rPr>
          <w:rStyle w:val="aff4"/>
          <w:rFonts w:hint="cs"/>
          <w:vanish/>
          <w:rtl/>
        </w:rPr>
        <w:t>-</w:t>
      </w:r>
      <w:r w:rsidRPr="00BD15C7">
        <w:rPr>
          <w:rStyle w:val="af2"/>
          <w:rFonts w:eastAsia="Guttman Hodes" w:hint="cs"/>
          <w:rtl/>
        </w:rPr>
        <w:t xml:space="preserve"> (קז: סוד"ה הא)</w:t>
      </w:r>
      <w:r w:rsidRPr="00BD15C7">
        <w:rPr>
          <w:rFonts w:hint="cs"/>
          <w:vanish/>
          <w:rtl/>
        </w:rPr>
        <w:t>=</w:t>
      </w:r>
      <w:r>
        <w:rPr>
          <w:rFonts w:hint="cs"/>
          <w:rtl/>
        </w:rPr>
        <w:t xml:space="preserve"> דהא </w:t>
      </w:r>
      <w:bookmarkStart w:id="1342" w:name="_Hlk135306430"/>
      <w:r>
        <w:rPr>
          <w:rFonts w:hint="cs"/>
          <w:rtl/>
        </w:rPr>
        <w:t>דאמרו</w:t>
      </w:r>
      <w:r w:rsidRPr="00AA066C">
        <w:rPr>
          <w:rFonts w:hint="cs"/>
          <w:rtl/>
        </w:rPr>
        <w:t xml:space="preserve"> </w:t>
      </w:r>
      <w:r>
        <w:rPr>
          <w:rFonts w:hint="cs"/>
          <w:rtl/>
        </w:rPr>
        <w:t xml:space="preserve">רבנן דקיסרין בירושלמי </w:t>
      </w:r>
      <w:r w:rsidRPr="00BD15C7">
        <w:rPr>
          <w:rStyle w:val="af2"/>
          <w:rFonts w:eastAsia="Guttman Hodes" w:hint="cs"/>
          <w:rtl/>
        </w:rPr>
        <w:t>(פ"ז ה"ב, מח:)</w:t>
      </w:r>
      <w:r>
        <w:rPr>
          <w:rFonts w:hint="cs"/>
          <w:rtl/>
        </w:rPr>
        <w:t xml:space="preserve"> דהצד דגים וכל דבר שמבדילו מחיותו, חייב משום קוצר, </w:t>
      </w:r>
      <w:bookmarkEnd w:id="1342"/>
      <w:r>
        <w:rPr>
          <w:rFonts w:hint="cs"/>
          <w:rtl/>
        </w:rPr>
        <w:t xml:space="preserve">הבבלי פליג על זה, כיון דאין קוצר אלא בגידולי קרקע, כדאמר שמואל בגמ' לקמן </w:t>
      </w:r>
      <w:r w:rsidRPr="00BD15C7">
        <w:rPr>
          <w:rStyle w:val="af2"/>
          <w:rFonts w:eastAsia="Guttman Hodes" w:hint="cs"/>
          <w:rtl/>
        </w:rPr>
        <w:t>(קז:)</w:t>
      </w:r>
      <w:r>
        <w:rPr>
          <w:rFonts w:hint="cs"/>
          <w:rtl/>
        </w:rPr>
        <w:t xml:space="preserve"> דחייב משום נטילת נשמה, וכ"כ </w:t>
      </w:r>
      <w:r w:rsidRPr="00BD15C7">
        <w:rPr>
          <w:rStyle w:val="aff4"/>
          <w:rFonts w:hint="cs"/>
          <w:vanish/>
          <w:rtl/>
        </w:rPr>
        <w:t>-</w:t>
      </w:r>
      <w:r w:rsidRPr="001F02FD">
        <w:rPr>
          <w:rStyle w:val="aff4"/>
          <w:rFonts w:hint="cs"/>
          <w:rtl/>
        </w:rPr>
        <w:t>ה</w:t>
      </w:r>
      <w:r w:rsidRPr="00BD15C7">
        <w:rPr>
          <w:rStyle w:val="aff4"/>
          <w:rFonts w:hint="cs"/>
          <w:vanish/>
          <w:rtl/>
        </w:rPr>
        <w:t>&lt; &gt;</w:t>
      </w:r>
      <w:r w:rsidRPr="001F02FD">
        <w:rPr>
          <w:rStyle w:val="aff4"/>
          <w:rFonts w:hint="cs"/>
          <w:rtl/>
        </w:rPr>
        <w:t>רשב"א לקמן</w:t>
      </w:r>
      <w:r w:rsidRPr="00BD15C7">
        <w:rPr>
          <w:rStyle w:val="aff4"/>
          <w:rFonts w:hint="cs"/>
          <w:vanish/>
          <w:rtl/>
        </w:rPr>
        <w:t>-</w:t>
      </w:r>
      <w:r>
        <w:rPr>
          <w:rFonts w:hint="cs"/>
          <w:rtl/>
        </w:rPr>
        <w:t xml:space="preserve"> </w:t>
      </w:r>
      <w:r w:rsidRPr="00BD15C7">
        <w:rPr>
          <w:rStyle w:val="af2"/>
          <w:rFonts w:eastAsia="Guttman Hodes" w:hint="cs"/>
          <w:rtl/>
        </w:rPr>
        <w:t>(קז: סוד"ה הא)</w:t>
      </w:r>
      <w:r w:rsidRPr="00BD15C7">
        <w:rPr>
          <w:rFonts w:hint="cs"/>
          <w:vanish/>
          <w:rtl/>
        </w:rPr>
        <w:t>=</w:t>
      </w:r>
      <w:r>
        <w:rPr>
          <w:rFonts w:hint="cs"/>
          <w:rtl/>
        </w:rPr>
        <w:t xml:space="preserve"> בשם </w:t>
      </w:r>
      <w:r w:rsidRPr="00BD15C7">
        <w:rPr>
          <w:rStyle w:val="aff4"/>
          <w:rFonts w:hint="cs"/>
          <w:vanish/>
          <w:rtl/>
        </w:rPr>
        <w:t>-</w:t>
      </w:r>
      <w:r w:rsidRPr="001F02FD">
        <w:rPr>
          <w:rStyle w:val="aff4"/>
          <w:rFonts w:hint="cs"/>
          <w:rtl/>
        </w:rPr>
        <w:t>הרמב"ן</w:t>
      </w:r>
      <w:r w:rsidRPr="00BD15C7">
        <w:rPr>
          <w:rStyle w:val="aff4"/>
          <w:rFonts w:hint="cs"/>
          <w:vanish/>
          <w:rtl/>
        </w:rPr>
        <w:t>-</w:t>
      </w:r>
      <w:r>
        <w:rPr>
          <w:rFonts w:hint="cs"/>
          <w:rtl/>
        </w:rPr>
        <w:t>.</w:t>
      </w:r>
      <w:bookmarkEnd w:id="1340"/>
      <w:r>
        <w:rPr>
          <w:rFonts w:hint="cs"/>
          <w:rtl/>
        </w:rPr>
        <w:t xml:space="preserve"> </w:t>
      </w:r>
      <w:r w:rsidRPr="007A72D8">
        <w:rPr>
          <w:rStyle w:val="af"/>
          <w:rFonts w:hint="cs"/>
          <w:rtl/>
        </w:rPr>
        <w:t xml:space="preserve">[וביאר </w:t>
      </w:r>
      <w:r w:rsidRPr="00BD15C7">
        <w:rPr>
          <w:rStyle w:val="aff9"/>
          <w:rFonts w:hint="cs"/>
          <w:vanish/>
          <w:rtl/>
        </w:rPr>
        <w:t>-</w:t>
      </w:r>
      <w:r w:rsidRPr="00394B7E">
        <w:rPr>
          <w:rStyle w:val="aff9"/>
          <w:rFonts w:hint="cs"/>
          <w:rtl/>
        </w:rPr>
        <w:t>ה</w:t>
      </w:r>
      <w:r w:rsidRPr="00BD15C7">
        <w:rPr>
          <w:rStyle w:val="aff9"/>
          <w:rFonts w:hint="cs"/>
          <w:vanish/>
          <w:rtl/>
        </w:rPr>
        <w:t>&lt; &gt;</w:t>
      </w:r>
      <w:r w:rsidRPr="00394B7E">
        <w:rPr>
          <w:rStyle w:val="aff9"/>
          <w:rFonts w:hint="cs"/>
          <w:rtl/>
        </w:rPr>
        <w:t>קרבן נתנאל בביצה</w:t>
      </w:r>
      <w:r w:rsidRPr="00BD15C7">
        <w:rPr>
          <w:rStyle w:val="aff9"/>
          <w:rFonts w:hint="cs"/>
          <w:vanish/>
          <w:rtl/>
        </w:rPr>
        <w:t>-</w:t>
      </w:r>
      <w:r w:rsidRPr="007A72D8">
        <w:rPr>
          <w:rStyle w:val="af"/>
          <w:rFonts w:hint="cs"/>
          <w:rtl/>
        </w:rPr>
        <w:t xml:space="preserve"> </w:t>
      </w:r>
      <w:r w:rsidRPr="00394B7E">
        <w:rPr>
          <w:rStyle w:val="aff0"/>
          <w:rFonts w:hint="cs"/>
          <w:rtl/>
        </w:rPr>
        <w:t>(על הרא"ש פ"ג סי' ג' אות ה')</w:t>
      </w:r>
      <w:r w:rsidRPr="00BD15C7">
        <w:rPr>
          <w:rStyle w:val="af"/>
          <w:rFonts w:hint="cs"/>
          <w:vanish/>
          <w:rtl/>
        </w:rPr>
        <w:t>=</w:t>
      </w:r>
      <w:r w:rsidRPr="007A72D8">
        <w:rPr>
          <w:rStyle w:val="af"/>
          <w:rFonts w:hint="cs"/>
          <w:rtl/>
        </w:rPr>
        <w:t xml:space="preserve"> דהירושלמי הוא לדעת רבי יהודה דס"ל דפוצע חייב משום דש, דיש דישה וקצירה אף שלא בגידולי קרקע, ולא קיי"ל כוותיה</w:t>
      </w:r>
      <w:r>
        <w:rPr>
          <w:rStyle w:val="af"/>
          <w:rFonts w:hint="cs"/>
          <w:rtl/>
        </w:rPr>
        <w:t xml:space="preserve">, עי' </w:t>
      </w:r>
      <w:r w:rsidRPr="00BD15C7">
        <w:rPr>
          <w:rStyle w:val="aff9"/>
          <w:rFonts w:hint="cs"/>
          <w:vanish/>
          <w:rtl/>
        </w:rPr>
        <w:t>-</w:t>
      </w:r>
      <w:r w:rsidRPr="00FB2347">
        <w:rPr>
          <w:rStyle w:val="aff9"/>
          <w:rFonts w:hint="cs"/>
          <w:rtl/>
        </w:rPr>
        <w:t>תוס'</w:t>
      </w:r>
      <w:r w:rsidRPr="00BD15C7">
        <w:rPr>
          <w:rStyle w:val="aff9"/>
          <w:rFonts w:hint="cs"/>
          <w:vanish/>
          <w:rtl/>
        </w:rPr>
        <w:t>-</w:t>
      </w:r>
      <w:r w:rsidRPr="00FB2347">
        <w:rPr>
          <w:rStyle w:val="af"/>
          <w:rFonts w:hint="cs"/>
          <w:rtl/>
        </w:rPr>
        <w:t xml:space="preserve"> </w:t>
      </w:r>
      <w:r w:rsidRPr="00BD15C7">
        <w:rPr>
          <w:rStyle w:val="af2"/>
          <w:rFonts w:eastAsia="Guttman Rashi" w:hint="cs"/>
          <w:rtl/>
        </w:rPr>
        <w:t>(ד"ה מפרק, צה. ד"ה החולב)</w:t>
      </w:r>
      <w:r w:rsidRPr="007A72D8">
        <w:rPr>
          <w:rStyle w:val="af"/>
          <w:rFonts w:hint="cs"/>
          <w:rtl/>
        </w:rPr>
        <w:t>].</w:t>
      </w:r>
      <w:bookmarkEnd w:id="1341"/>
    </w:p>
    <w:p w14:paraId="234A41D8" w14:textId="77777777" w:rsidR="000426DE" w:rsidRPr="00747170" w:rsidRDefault="000426DE" w:rsidP="00747170">
      <w:pPr>
        <w:pStyle w:val="a2"/>
        <w:rPr>
          <w:rtl/>
        </w:rPr>
      </w:pPr>
      <w:r w:rsidRPr="00747170">
        <w:rPr>
          <w:rtl/>
        </w:rPr>
        <w:t>אלמא אין משום עוקר דבר מגדולו דהוא תולדה דקוצר אלא בגדולי קרקע,</w:t>
      </w:r>
      <w:r w:rsidRPr="00747170">
        <w:rPr>
          <w:rFonts w:hint="cs"/>
          <w:rtl/>
        </w:rPr>
        <w:t xml:space="preserve"> וכו', </w:t>
      </w:r>
      <w:r w:rsidRPr="00747170">
        <w:rPr>
          <w:rtl/>
        </w:rPr>
        <w:t>ומה שאמרו בירושלמי בפ' כלל גדול רבנן דקסרין אמרין ההין דצד נונא וכל דבר שהוא מבדילו מחיותו חייב משום קוצר לא אתיא כשיטתא דגמ' דילן.</w:t>
      </w:r>
    </w:p>
    <w:p w14:paraId="72CCC352" w14:textId="471F5E57" w:rsidR="000426DE" w:rsidRDefault="000426DE" w:rsidP="000426DE">
      <w:pPr>
        <w:pStyle w:val="afffff7"/>
        <w:rPr>
          <w:rtl/>
        </w:rPr>
      </w:pPr>
      <w:bookmarkStart w:id="1343" w:name="_Toc135513667"/>
      <w:bookmarkStart w:id="1344" w:name="_Toc163505592"/>
      <w:r>
        <w:rPr>
          <w:rtl/>
        </w:rPr>
        <w:t xml:space="preserve">מנחת חינוך מוסך השבת </w:t>
      </w:r>
      <w:r>
        <w:rPr>
          <w:rFonts w:hint="cs"/>
          <w:rtl/>
        </w:rPr>
        <w:t>הקוצר</w:t>
      </w:r>
      <w:r w:rsidRPr="00B51810">
        <w:rPr>
          <w:rtl/>
        </w:rPr>
        <w:t xml:space="preserve"> אות ב' ד"ה </w:t>
      </w:r>
      <w:r>
        <w:rPr>
          <w:rFonts w:hint="cs"/>
          <w:rtl/>
        </w:rPr>
        <w:t>וברשב"א</w:t>
      </w:r>
      <w:bookmarkEnd w:id="1343"/>
      <w:bookmarkEnd w:id="1344"/>
    </w:p>
    <w:p w14:paraId="346E2869" w14:textId="77777777" w:rsidR="000426DE" w:rsidRDefault="000426DE" w:rsidP="000426DE">
      <w:pPr>
        <w:pStyle w:val="a7"/>
        <w:rPr>
          <w:rtl/>
        </w:rPr>
      </w:pPr>
      <w:bookmarkStart w:id="1345" w:name="_Toc139316315"/>
      <w:r>
        <w:rPr>
          <w:rFonts w:hint="cs"/>
          <w:rtl/>
        </w:rPr>
        <w:t>בי' המנ"ח דאפש"ל דהבבלי ל"פ על הירושלמי ויש קוצר שלא בגידו"ק ולירו' הוי כל שוחט קוצר</w:t>
      </w:r>
      <w:bookmarkEnd w:id="1345"/>
    </w:p>
    <w:p w14:paraId="0111154C" w14:textId="76800DAB" w:rsidR="000426DE" w:rsidRPr="00A00DA1" w:rsidRDefault="000426DE" w:rsidP="00BC7DC8">
      <w:pPr>
        <w:pStyle w:val="a3"/>
      </w:pPr>
      <w:bookmarkStart w:id="1346" w:name="_Ref135325409"/>
      <w:r>
        <w:rPr>
          <w:rFonts w:hint="cs"/>
          <w:rtl/>
        </w:rPr>
        <w:t xml:space="preserve">במ"ש </w:t>
      </w:r>
      <w:r w:rsidRPr="00394B7E">
        <w:rPr>
          <w:rStyle w:val="aff4"/>
          <w:rFonts w:hint="cs"/>
          <w:vanish/>
          <w:rtl/>
        </w:rPr>
        <w:t>-</w:t>
      </w:r>
      <w:r w:rsidRPr="00FB451D">
        <w:rPr>
          <w:rStyle w:val="aff4"/>
          <w:rFonts w:hint="cs"/>
          <w:rtl/>
        </w:rPr>
        <w:t>הרשב"א לקמן</w:t>
      </w:r>
      <w:r w:rsidRPr="00394B7E">
        <w:rPr>
          <w:rStyle w:val="aff4"/>
          <w:rFonts w:hint="cs"/>
          <w:vanish/>
          <w:rtl/>
        </w:rPr>
        <w:t>-</w:t>
      </w:r>
      <w:r>
        <w:rPr>
          <w:rFonts w:hint="cs"/>
          <w:rtl/>
        </w:rPr>
        <w:t xml:space="preserve"> בשם </w:t>
      </w:r>
      <w:r w:rsidRPr="00394B7E">
        <w:rPr>
          <w:rStyle w:val="aff4"/>
          <w:rFonts w:hint="cs"/>
          <w:vanish/>
          <w:rtl/>
        </w:rPr>
        <w:t>-</w:t>
      </w:r>
      <w:r w:rsidRPr="00FB451D">
        <w:rPr>
          <w:rStyle w:val="aff4"/>
          <w:rFonts w:hint="cs"/>
          <w:rtl/>
        </w:rPr>
        <w:t>הרמב"ן</w:t>
      </w:r>
      <w:r w:rsidRPr="00394B7E">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Ref135380071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ד)</w:t>
      </w:r>
      <w:r>
        <w:rPr>
          <w:rStyle w:val="af2"/>
          <w:rFonts w:eastAsia="Guttman Hodes"/>
          <w:rtl/>
        </w:rPr>
        <w:fldChar w:fldCharType="end"/>
      </w:r>
      <w:r>
        <w:rPr>
          <w:rFonts w:hint="cs"/>
          <w:rtl/>
        </w:rPr>
        <w:t xml:space="preserve"> דלבבלי קוצר הוא רק בגידולי קרקע, ופליג על הירושלמי דשולה דג חייב משום קוצר, דחה </w:t>
      </w:r>
      <w:r w:rsidRPr="00394B7E">
        <w:rPr>
          <w:rStyle w:val="aff4"/>
          <w:rFonts w:hint="cs"/>
          <w:vanish/>
          <w:rtl/>
        </w:rPr>
        <w:t>-</w:t>
      </w:r>
      <w:r w:rsidRPr="00FB451D">
        <w:rPr>
          <w:rStyle w:val="aff4"/>
          <w:rFonts w:hint="cs"/>
          <w:rtl/>
        </w:rPr>
        <w:t>ה</w:t>
      </w:r>
      <w:r w:rsidRPr="00394B7E">
        <w:rPr>
          <w:rStyle w:val="aff4"/>
          <w:rFonts w:hint="cs"/>
          <w:vanish/>
          <w:rtl/>
        </w:rPr>
        <w:t xml:space="preserve">&lt;. </w:t>
      </w:r>
      <w:r w:rsidRPr="00394B7E">
        <w:rPr>
          <w:rStyle w:val="aff4"/>
          <w:vanish/>
          <w:rtl/>
        </w:rPr>
        <w:fldChar w:fldCharType="begin"/>
      </w:r>
      <w:r w:rsidRPr="00394B7E">
        <w:rPr>
          <w:rStyle w:val="aff4"/>
          <w:vanish/>
          <w:rtl/>
        </w:rPr>
        <w:instrText xml:space="preserve"> </w:instrText>
      </w:r>
      <w:r w:rsidRPr="00394B7E">
        <w:rPr>
          <w:rStyle w:val="aff4"/>
          <w:rFonts w:hint="cs"/>
          <w:vanish/>
        </w:rPr>
        <w:instrText>REF</w:instrText>
      </w:r>
      <w:r w:rsidRPr="00394B7E">
        <w:rPr>
          <w:rStyle w:val="aff4"/>
          <w:rFonts w:hint="cs"/>
          <w:vanish/>
          <w:rtl/>
        </w:rPr>
        <w:instrText xml:space="preserve"> _</w:instrText>
      </w:r>
      <w:r w:rsidRPr="00394B7E">
        <w:rPr>
          <w:rStyle w:val="aff4"/>
          <w:rFonts w:hint="cs"/>
          <w:vanish/>
        </w:rPr>
        <w:instrText>Ref135325409 \r \h</w:instrText>
      </w:r>
      <w:r w:rsidRPr="00394B7E">
        <w:rPr>
          <w:rStyle w:val="aff4"/>
          <w:vanish/>
          <w:rtl/>
        </w:rPr>
        <w:instrText xml:space="preserve"> </w:instrText>
      </w:r>
      <w:r w:rsidRPr="00394B7E">
        <w:rPr>
          <w:rStyle w:val="aff4"/>
          <w:vanish/>
          <w:rtl/>
        </w:rPr>
      </w:r>
      <w:r w:rsidRPr="00394B7E">
        <w:rPr>
          <w:rStyle w:val="aff4"/>
          <w:vanish/>
          <w:rtl/>
        </w:rPr>
        <w:fldChar w:fldCharType="separate"/>
      </w:r>
      <w:r w:rsidR="00D82181">
        <w:rPr>
          <w:rStyle w:val="aff4"/>
          <w:vanish/>
          <w:cs/>
        </w:rPr>
        <w:t>‎</w:t>
      </w:r>
      <w:r w:rsidR="00D82181">
        <w:rPr>
          <w:rStyle w:val="aff4"/>
          <w:vanish/>
          <w:rtl/>
        </w:rPr>
        <w:t>ה)</w:t>
      </w:r>
      <w:r w:rsidRPr="00394B7E">
        <w:rPr>
          <w:rStyle w:val="aff4"/>
          <w:vanish/>
          <w:rtl/>
        </w:rPr>
        <w:fldChar w:fldCharType="end"/>
      </w:r>
      <w:r w:rsidRPr="00394B7E">
        <w:rPr>
          <w:rStyle w:val="aff4"/>
          <w:rFonts w:hint="cs"/>
          <w:vanish/>
          <w:rtl/>
        </w:rPr>
        <w:t xml:space="preserve"> &gt;</w:t>
      </w:r>
      <w:r w:rsidRPr="00FB451D">
        <w:rPr>
          <w:rStyle w:val="aff4"/>
          <w:rFonts w:hint="cs"/>
          <w:rtl/>
        </w:rPr>
        <w:t>מנחת חינוך</w:t>
      </w:r>
      <w:r w:rsidRPr="00394B7E">
        <w:rPr>
          <w:rStyle w:val="aff4"/>
          <w:rFonts w:hint="cs"/>
          <w:vanish/>
          <w:rtl/>
        </w:rPr>
        <w:t>-</w:t>
      </w:r>
      <w:r>
        <w:rPr>
          <w:rFonts w:hint="cs"/>
          <w:rtl/>
        </w:rPr>
        <w:t xml:space="preserve"> </w:t>
      </w:r>
      <w:r w:rsidRPr="00FB451D">
        <w:rPr>
          <w:rStyle w:val="af2"/>
          <w:rFonts w:eastAsia="Guttman Hodes" w:hint="cs"/>
          <w:rtl/>
        </w:rPr>
        <w:t>(מוסך השבת הקוצר אות ב' ד"ה וברשב"א)</w:t>
      </w:r>
      <w:r w:rsidRPr="00394B7E">
        <w:rPr>
          <w:rFonts w:hint="cs"/>
          <w:vanish/>
          <w:rtl/>
        </w:rPr>
        <w:t>=</w:t>
      </w:r>
      <w:r>
        <w:rPr>
          <w:rFonts w:hint="cs"/>
          <w:rtl/>
        </w:rPr>
        <w:t xml:space="preserve"> דאין ראיה דהבבלי חולק על הירושלמי, ואפש"ל דאף לדעת הבבלי חייב בקוצר, </w:t>
      </w:r>
      <w:r w:rsidRPr="007A72D8">
        <w:rPr>
          <w:rStyle w:val="af"/>
          <w:rFonts w:hint="cs"/>
          <w:rtl/>
        </w:rPr>
        <w:t xml:space="preserve">[ועיי"ש במה שהאריך </w:t>
      </w:r>
      <w:r w:rsidRPr="00394B7E">
        <w:rPr>
          <w:rStyle w:val="aff9"/>
          <w:rFonts w:hint="cs"/>
          <w:vanish/>
          <w:rtl/>
        </w:rPr>
        <w:t>-</w:t>
      </w:r>
      <w:r w:rsidRPr="00394B7E">
        <w:rPr>
          <w:rStyle w:val="aff9"/>
          <w:rFonts w:hint="cs"/>
          <w:rtl/>
        </w:rPr>
        <w:t>המנחת חינוך</w:t>
      </w:r>
      <w:r w:rsidRPr="00394B7E">
        <w:rPr>
          <w:rStyle w:val="aff9"/>
          <w:rFonts w:hint="cs"/>
          <w:vanish/>
          <w:rtl/>
        </w:rPr>
        <w:t>-</w:t>
      </w:r>
      <w:r w:rsidRPr="007A72D8">
        <w:rPr>
          <w:rStyle w:val="af"/>
          <w:rFonts w:hint="cs"/>
          <w:rtl/>
        </w:rPr>
        <w:t xml:space="preserve"> לבאר דאף לבבלי אפש"ל דיש קוצר בגידולי קרקע, אי"ה יובאו דבריו בהמשך],</w:t>
      </w:r>
      <w:r>
        <w:rPr>
          <w:rFonts w:hint="cs"/>
          <w:rtl/>
        </w:rPr>
        <w:t xml:space="preserve"> והוסיף </w:t>
      </w:r>
      <w:r w:rsidRPr="00394B7E">
        <w:rPr>
          <w:rStyle w:val="aff4"/>
          <w:rFonts w:hint="cs"/>
          <w:vanish/>
          <w:rtl/>
        </w:rPr>
        <w:t>-</w:t>
      </w:r>
      <w:r w:rsidRPr="00FB451D">
        <w:rPr>
          <w:rStyle w:val="aff4"/>
          <w:rFonts w:hint="cs"/>
          <w:rtl/>
        </w:rPr>
        <w:t>המנחת חינוך</w:t>
      </w:r>
      <w:r w:rsidRPr="00394B7E">
        <w:rPr>
          <w:rStyle w:val="aff4"/>
          <w:rFonts w:hint="cs"/>
          <w:vanish/>
          <w:rtl/>
        </w:rPr>
        <w:t>-</w:t>
      </w:r>
      <w:r>
        <w:rPr>
          <w:rFonts w:hint="cs"/>
          <w:rtl/>
        </w:rPr>
        <w:t xml:space="preserve"> דלדעת הירושלמי אפש"ל </w:t>
      </w:r>
      <w:r>
        <w:rPr>
          <w:rFonts w:hint="cs"/>
          <w:rtl/>
        </w:rPr>
        <w:t xml:space="preserve">דבכל נטילת נשמה חייב משום קוצר, אך בגמ' לקמן </w:t>
      </w:r>
      <w:r w:rsidRPr="00FB451D">
        <w:rPr>
          <w:rStyle w:val="af2"/>
          <w:rFonts w:eastAsia="Guttman Hodes" w:hint="cs"/>
          <w:rtl/>
        </w:rPr>
        <w:t>(עה.)</w:t>
      </w:r>
      <w:r>
        <w:rPr>
          <w:rFonts w:hint="cs"/>
          <w:rtl/>
        </w:rPr>
        <w:t xml:space="preserve"> משמע דאין מ"ד דחייב בשוחט משום קוצר.</w:t>
      </w:r>
      <w:bookmarkEnd w:id="1346"/>
      <w:r>
        <w:rPr>
          <w:rFonts w:hint="cs"/>
          <w:rtl/>
        </w:rPr>
        <w:t xml:space="preserve"> </w:t>
      </w:r>
    </w:p>
    <w:p w14:paraId="076AAD39" w14:textId="77777777" w:rsidR="000426DE" w:rsidRPr="00747170" w:rsidRDefault="000426DE" w:rsidP="00747170">
      <w:pPr>
        <w:pStyle w:val="a2"/>
        <w:rPr>
          <w:rtl/>
        </w:rPr>
      </w:pPr>
      <w:r w:rsidRPr="00747170">
        <w:rPr>
          <w:rtl/>
        </w:rPr>
        <w:t>וברשב"א מביא בשם ירושלמי כ"ד שהוא מבדילו מחיותו חייב משום קוצר וכ' דלא אתי כש"ס דילן ולפמ"ש אין הוכחה בש"ס אפשר דס"ל כהירושלמי ג"כ בזה</w:t>
      </w:r>
      <w:r w:rsidRPr="00747170">
        <w:rPr>
          <w:rFonts w:hint="cs"/>
          <w:rtl/>
        </w:rPr>
        <w:t xml:space="preserve">, </w:t>
      </w:r>
      <w:r w:rsidRPr="00747170">
        <w:rPr>
          <w:rtl/>
        </w:rPr>
        <w:t>א"כ לפי שיטת הירושלמי בכל נט"נ מחייב משום קוצר ג"כ ובגמרא דידן אמרינן שוחט משום מאי חייב ר"א משום צובע וש"א משום נט"נ ול"א שום א' משום קוצר נראה דהש"ס דילן לא ס"ל כהירושלמי בזה</w:t>
      </w:r>
      <w:r w:rsidRPr="00747170">
        <w:rPr>
          <w:rFonts w:hint="cs"/>
          <w:rtl/>
        </w:rPr>
        <w:t>.</w:t>
      </w:r>
    </w:p>
    <w:p w14:paraId="2284286B" w14:textId="54832C9C" w:rsidR="000426DE" w:rsidRDefault="000426DE" w:rsidP="000426DE">
      <w:pPr>
        <w:pStyle w:val="1"/>
        <w:rPr>
          <w:rtl/>
        </w:rPr>
      </w:pPr>
      <w:bookmarkStart w:id="1347" w:name="_Toc139316316"/>
      <w:r>
        <w:rPr>
          <w:rFonts w:hint="cs"/>
          <w:rtl/>
        </w:rPr>
        <w:t>בי' המהריט"א ברש"י דבמחובר מודה הבבלי דמפסיק חיות קוצר</w:t>
      </w:r>
      <w:bookmarkEnd w:id="1347"/>
    </w:p>
    <w:p w14:paraId="430F6581" w14:textId="77777777" w:rsidR="000426DE" w:rsidRDefault="000426DE" w:rsidP="000426DE">
      <w:pPr>
        <w:pStyle w:val="afffff7"/>
        <w:rPr>
          <w:rtl/>
        </w:rPr>
      </w:pPr>
      <w:bookmarkStart w:id="1348" w:name="_Toc135513668"/>
      <w:bookmarkStart w:id="1349" w:name="_Toc163505593"/>
      <w:r>
        <w:rPr>
          <w:rtl/>
        </w:rPr>
        <w:t>מהרי"ט אלגאזי הלכות בכורות פ</w:t>
      </w:r>
      <w:r>
        <w:rPr>
          <w:rFonts w:hint="cs"/>
          <w:rtl/>
        </w:rPr>
        <w:t>"</w:t>
      </w:r>
      <w:r>
        <w:rPr>
          <w:rtl/>
        </w:rPr>
        <w:t xml:space="preserve">ג </w:t>
      </w:r>
      <w:r>
        <w:rPr>
          <w:rFonts w:hint="cs"/>
          <w:rtl/>
        </w:rPr>
        <w:t xml:space="preserve">יח ע"א </w:t>
      </w:r>
      <w:r>
        <w:rPr>
          <w:rtl/>
        </w:rPr>
        <w:t>אות מ</w:t>
      </w:r>
      <w:r>
        <w:rPr>
          <w:rFonts w:hint="cs"/>
          <w:rtl/>
        </w:rPr>
        <w:t>'</w:t>
      </w:r>
      <w:r>
        <w:rPr>
          <w:rtl/>
        </w:rPr>
        <w:t xml:space="preserve"> </w:t>
      </w:r>
      <w:r>
        <w:rPr>
          <w:rFonts w:hint="cs"/>
          <w:rtl/>
        </w:rPr>
        <w:t>סק"ב</w:t>
      </w:r>
      <w:bookmarkEnd w:id="1348"/>
      <w:bookmarkEnd w:id="1349"/>
    </w:p>
    <w:p w14:paraId="40B5D2C7" w14:textId="77777777" w:rsidR="000426DE" w:rsidRDefault="000426DE" w:rsidP="000426DE">
      <w:pPr>
        <w:pStyle w:val="a7"/>
        <w:rPr>
          <w:rtl/>
        </w:rPr>
      </w:pPr>
      <w:bookmarkStart w:id="1350" w:name="_Toc139316317"/>
      <w:r>
        <w:rPr>
          <w:rFonts w:hint="cs"/>
          <w:rtl/>
        </w:rPr>
        <w:t>בי' המהריט"א דמשמע ברש"י דבמחובר מודה הבבלי לירושלמי דכל הפסקת חיות הוי קוצר</w:t>
      </w:r>
      <w:bookmarkEnd w:id="1350"/>
    </w:p>
    <w:p w14:paraId="1A63F469" w14:textId="1D2F128E" w:rsidR="000426DE" w:rsidRPr="00207D3A" w:rsidRDefault="000426DE" w:rsidP="00BC7DC8">
      <w:pPr>
        <w:pStyle w:val="a3"/>
        <w:rPr>
          <w:rStyle w:val="af"/>
          <w:rtl/>
        </w:rPr>
      </w:pPr>
      <w:bookmarkStart w:id="1351" w:name="_Ref135325795"/>
      <w:r>
        <w:rPr>
          <w:rFonts w:hint="cs"/>
          <w:rtl/>
        </w:rPr>
        <w:t xml:space="preserve">כתב </w:t>
      </w:r>
      <w:r w:rsidRPr="000D4E5E">
        <w:rPr>
          <w:rStyle w:val="aff4"/>
          <w:rFonts w:hint="cs"/>
          <w:vanish/>
          <w:rtl/>
        </w:rPr>
        <w:t>-</w:t>
      </w:r>
      <w:r w:rsidRPr="00572920">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Ref135325795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ו)</w:t>
      </w:r>
      <w:r>
        <w:rPr>
          <w:rStyle w:val="aff4"/>
          <w:vanish/>
          <w:rtl/>
        </w:rPr>
        <w:fldChar w:fldCharType="end"/>
      </w:r>
      <w:r>
        <w:rPr>
          <w:rStyle w:val="aff4"/>
          <w:rFonts w:hint="cs"/>
          <w:vanish/>
          <w:rtl/>
        </w:rPr>
        <w:t xml:space="preserve"> &gt;</w:t>
      </w:r>
      <w:r>
        <w:rPr>
          <w:rStyle w:val="aff4"/>
          <w:rFonts w:hint="cs"/>
          <w:rtl/>
        </w:rPr>
        <w:t>מהרי"ט אלגאזי</w:t>
      </w:r>
      <w:r w:rsidRPr="00572920">
        <w:rPr>
          <w:rStyle w:val="aff4"/>
          <w:rFonts w:hint="cs"/>
          <w:rtl/>
        </w:rPr>
        <w:t xml:space="preserve"> ב</w:t>
      </w:r>
      <w:r>
        <w:rPr>
          <w:rStyle w:val="aff4"/>
          <w:rFonts w:hint="cs"/>
          <w:rtl/>
        </w:rPr>
        <w:t>ב</w:t>
      </w:r>
      <w:r w:rsidRPr="00572920">
        <w:rPr>
          <w:rStyle w:val="aff4"/>
          <w:rFonts w:hint="cs"/>
          <w:rtl/>
        </w:rPr>
        <w:t>כורות</w:t>
      </w:r>
      <w:r w:rsidRPr="000D4E5E">
        <w:rPr>
          <w:rStyle w:val="aff4"/>
          <w:rFonts w:hint="cs"/>
          <w:vanish/>
          <w:rtl/>
        </w:rPr>
        <w:t>-</w:t>
      </w:r>
      <w:r>
        <w:rPr>
          <w:rFonts w:hint="cs"/>
          <w:rtl/>
        </w:rPr>
        <w:t xml:space="preserve"> </w:t>
      </w:r>
      <w:r w:rsidRPr="00FB451D">
        <w:rPr>
          <w:rStyle w:val="af2"/>
          <w:rFonts w:eastAsia="Guttman Hodes" w:hint="cs"/>
          <w:rtl/>
        </w:rPr>
        <w:t>(פ"ג יח. אות מ' סק"ב ד"ה והנה עיקר, מהד' עוז והדר עמ' ע"א, מהד' וילנא החדש עמ' ס"א)</w:t>
      </w:r>
      <w:r w:rsidRPr="000D4E5E">
        <w:rPr>
          <w:rFonts w:hint="cs"/>
          <w:vanish/>
          <w:rtl/>
        </w:rPr>
        <w:t>=</w:t>
      </w:r>
      <w:r>
        <w:rPr>
          <w:rFonts w:hint="cs"/>
          <w:rtl/>
        </w:rPr>
        <w:t xml:space="preserve"> דא"א לומר דאין קוצר אלא בגידולי קרקע, דהא אמרו</w:t>
      </w:r>
      <w:r w:rsidRPr="00AA066C">
        <w:rPr>
          <w:rFonts w:hint="cs"/>
          <w:rtl/>
        </w:rPr>
        <w:t xml:space="preserve"> </w:t>
      </w:r>
      <w:r>
        <w:rPr>
          <w:rFonts w:hint="cs"/>
          <w:rtl/>
        </w:rPr>
        <w:t xml:space="preserve">רבנן דקיסרין בירושלמי </w:t>
      </w:r>
      <w:r w:rsidRPr="00FB451D">
        <w:rPr>
          <w:rStyle w:val="af2"/>
          <w:rFonts w:eastAsia="Guttman Hodes" w:hint="cs"/>
          <w:rtl/>
        </w:rPr>
        <w:t>(פ"ז ה"ב, מח:)</w:t>
      </w:r>
      <w:r>
        <w:rPr>
          <w:rFonts w:hint="cs"/>
          <w:rtl/>
        </w:rPr>
        <w:t xml:space="preserve"> דהצד דגים וכל דבר שמבדילו מחיותו, חייב משום קוצר, וכן איתא בירושלמי </w:t>
      </w:r>
      <w:r w:rsidRPr="00FB451D">
        <w:rPr>
          <w:rStyle w:val="af2"/>
          <w:rFonts w:eastAsia="Guttman Hodes" w:hint="cs"/>
          <w:rtl/>
        </w:rPr>
        <w:t>(פ"ז ה"ב, נב:)</w:t>
      </w:r>
      <w:r>
        <w:rPr>
          <w:rFonts w:hint="cs"/>
          <w:rtl/>
        </w:rPr>
        <w:t xml:space="preserve"> דלר"א </w:t>
      </w:r>
      <w:r>
        <w:rPr>
          <w:rtl/>
        </w:rPr>
        <w:t>החולב והרודה חלות דבש חייב משום קוצר</w:t>
      </w:r>
      <w:r>
        <w:rPr>
          <w:rFonts w:hint="cs"/>
          <w:rtl/>
        </w:rPr>
        <w:t xml:space="preserve">, וכן מבואר מדברי </w:t>
      </w:r>
      <w:r w:rsidRPr="00394B7E">
        <w:rPr>
          <w:rStyle w:val="aff4"/>
          <w:rFonts w:hint="cs"/>
          <w:vanish/>
          <w:rtl/>
        </w:rPr>
        <w:t>-</w:t>
      </w:r>
      <w:r w:rsidRPr="00FB451D">
        <w:rPr>
          <w:rStyle w:val="aff4"/>
          <w:rFonts w:hint="cs"/>
          <w:rtl/>
        </w:rPr>
        <w:t>רש"י לקמן</w:t>
      </w:r>
      <w:r w:rsidRPr="00394B7E">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Ref135405406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כד)</w:t>
      </w:r>
      <w:r>
        <w:rPr>
          <w:rStyle w:val="af2"/>
          <w:rFonts w:eastAsia="Guttman Hodes"/>
          <w:rtl/>
        </w:rPr>
        <w:fldChar w:fldCharType="end"/>
      </w:r>
      <w:r>
        <w:rPr>
          <w:rFonts w:hint="cs"/>
          <w:rtl/>
        </w:rPr>
        <w:t xml:space="preserve"> דכתב דהא דאיתא בגמ' לקמן </w:t>
      </w:r>
      <w:r w:rsidRPr="00FB451D">
        <w:rPr>
          <w:rStyle w:val="af2"/>
          <w:rFonts w:eastAsia="Guttman Hodes" w:hint="cs"/>
          <w:rtl/>
        </w:rPr>
        <w:t>(צה.)</w:t>
      </w:r>
      <w:r>
        <w:rPr>
          <w:rFonts w:hint="cs"/>
          <w:rtl/>
        </w:rPr>
        <w:t xml:space="preserve"> דחולב חייב משום מפרק, היינו</w:t>
      </w:r>
      <w:r w:rsidRPr="00C65D8D">
        <w:rPr>
          <w:rFonts w:hint="cs"/>
          <w:vanish/>
          <w:rtl/>
        </w:rPr>
        <w:t>=</w:t>
      </w:r>
      <w:r>
        <w:rPr>
          <w:rFonts w:hint="cs"/>
          <w:rtl/>
        </w:rPr>
        <w:t xml:space="preserve"> דהוא תולדה דדש, והביא </w:t>
      </w:r>
      <w:r w:rsidRPr="00394B7E">
        <w:rPr>
          <w:rStyle w:val="aff4"/>
          <w:rFonts w:hint="cs"/>
          <w:vanish/>
          <w:rtl/>
        </w:rPr>
        <w:t>-</w:t>
      </w:r>
      <w:r w:rsidRPr="00FB451D">
        <w:rPr>
          <w:rStyle w:val="aff4"/>
          <w:rFonts w:hint="cs"/>
          <w:rtl/>
        </w:rPr>
        <w:t>רש"י</w:t>
      </w:r>
      <w:r w:rsidRPr="00394B7E">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Ref135299758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כה)</w:t>
      </w:r>
      <w:r>
        <w:rPr>
          <w:rStyle w:val="af2"/>
          <w:rFonts w:eastAsia="Guttman Hodes"/>
          <w:rtl/>
        </w:rPr>
        <w:fldChar w:fldCharType="end"/>
      </w:r>
      <w:r>
        <w:rPr>
          <w:rFonts w:hint="cs"/>
          <w:rtl/>
        </w:rPr>
        <w:t xml:space="preserve"> בשם </w:t>
      </w:r>
      <w:r w:rsidRPr="00394B7E">
        <w:rPr>
          <w:rStyle w:val="aff4"/>
          <w:rFonts w:hint="cs"/>
          <w:vanish/>
          <w:rtl/>
        </w:rPr>
        <w:t>-</w:t>
      </w:r>
      <w:r w:rsidRPr="00FB451D">
        <w:rPr>
          <w:rStyle w:val="aff4"/>
          <w:rFonts w:hint="cs"/>
          <w:rtl/>
        </w:rPr>
        <w:t>י"מ</w:t>
      </w:r>
      <w:r w:rsidRPr="00394B7E">
        <w:rPr>
          <w:rStyle w:val="aff4"/>
          <w:rFonts w:hint="cs"/>
          <w:vanish/>
          <w:rtl/>
        </w:rPr>
        <w:t>-</w:t>
      </w:r>
      <w:r>
        <w:rPr>
          <w:rFonts w:hint="cs"/>
          <w:rtl/>
        </w:rPr>
        <w:t xml:space="preserve"> דביארו דחייב משום קוצר, ודחה </w:t>
      </w:r>
      <w:r w:rsidRPr="00394B7E">
        <w:rPr>
          <w:rStyle w:val="aff4"/>
          <w:rFonts w:hint="cs"/>
          <w:vanish/>
          <w:rtl/>
        </w:rPr>
        <w:t>-</w:t>
      </w:r>
      <w:r w:rsidRPr="00FB451D">
        <w:rPr>
          <w:rStyle w:val="aff4"/>
          <w:rFonts w:hint="cs"/>
          <w:rtl/>
        </w:rPr>
        <w:t>רש"י</w:t>
      </w:r>
      <w:r w:rsidRPr="00394B7E">
        <w:rPr>
          <w:rStyle w:val="aff4"/>
          <w:rFonts w:hint="cs"/>
          <w:vanish/>
          <w:rtl/>
        </w:rPr>
        <w:t>-</w:t>
      </w:r>
      <w:r>
        <w:rPr>
          <w:rFonts w:hint="cs"/>
          <w:rtl/>
        </w:rPr>
        <w:t xml:space="preserve"> את דעת </w:t>
      </w:r>
      <w:r w:rsidRPr="00394B7E">
        <w:rPr>
          <w:rStyle w:val="aff4"/>
          <w:rFonts w:hint="cs"/>
          <w:vanish/>
          <w:rtl/>
        </w:rPr>
        <w:t>-</w:t>
      </w:r>
      <w:r w:rsidRPr="00FB451D">
        <w:rPr>
          <w:rStyle w:val="aff4"/>
          <w:rFonts w:hint="cs"/>
          <w:rtl/>
        </w:rPr>
        <w:t>הי"מ</w:t>
      </w:r>
      <w:r w:rsidRPr="00394B7E">
        <w:rPr>
          <w:rStyle w:val="aff4"/>
          <w:rFonts w:hint="cs"/>
          <w:vanish/>
          <w:rtl/>
        </w:rPr>
        <w:t>-</w:t>
      </w:r>
      <w:r>
        <w:rPr>
          <w:rFonts w:hint="cs"/>
          <w:rtl/>
        </w:rPr>
        <w:t xml:space="preserve"> דהחלב אינו מחובר אלא הוא מיפקד פקיד ולא שייך בזה קוצר</w:t>
      </w:r>
      <w:r w:rsidRPr="00C65D8D">
        <w:rPr>
          <w:rStyle w:val="aff4"/>
          <w:rFonts w:hint="cs"/>
          <w:vanish/>
          <w:rtl/>
        </w:rPr>
        <w:t xml:space="preserve"> -</w:t>
      </w:r>
      <w:r>
        <w:rPr>
          <w:rFonts w:hint="cs"/>
          <w:rtl/>
        </w:rPr>
        <w:t xml:space="preserve">, וכתב </w:t>
      </w:r>
      <w:r w:rsidRPr="00394B7E">
        <w:rPr>
          <w:rStyle w:val="aff4"/>
          <w:rFonts w:hint="cs"/>
          <w:vanish/>
          <w:rtl/>
        </w:rPr>
        <w:t>-</w:t>
      </w:r>
      <w:r w:rsidRPr="00FB451D">
        <w:rPr>
          <w:rStyle w:val="aff4"/>
          <w:rFonts w:hint="cs"/>
          <w:rtl/>
        </w:rPr>
        <w:t>המהרי"ט אלגאזי</w:t>
      </w:r>
      <w:r w:rsidRPr="00394B7E">
        <w:rPr>
          <w:rStyle w:val="aff4"/>
          <w:rFonts w:hint="cs"/>
          <w:vanish/>
          <w:rtl/>
        </w:rPr>
        <w:t>-</w:t>
      </w:r>
      <w:r>
        <w:rPr>
          <w:rFonts w:hint="cs"/>
          <w:rtl/>
        </w:rPr>
        <w:t xml:space="preserve"> דמשמע מדברי </w:t>
      </w:r>
      <w:r w:rsidRPr="00394B7E">
        <w:rPr>
          <w:rStyle w:val="aff4"/>
          <w:rFonts w:hint="cs"/>
          <w:vanish/>
          <w:rtl/>
        </w:rPr>
        <w:t>-</w:t>
      </w:r>
      <w:r w:rsidRPr="00FB451D">
        <w:rPr>
          <w:rStyle w:val="aff4"/>
          <w:rFonts w:hint="cs"/>
          <w:rtl/>
        </w:rPr>
        <w:t>רש"י</w:t>
      </w:r>
      <w:r w:rsidRPr="00394B7E">
        <w:rPr>
          <w:rStyle w:val="aff4"/>
          <w:rFonts w:hint="cs"/>
          <w:vanish/>
          <w:rtl/>
        </w:rPr>
        <w:t>-</w:t>
      </w:r>
      <w:r>
        <w:rPr>
          <w:rFonts w:hint="cs"/>
          <w:rtl/>
        </w:rPr>
        <w:t xml:space="preserve"> דרק כיון דהחלב אינו מחובר לא שייך בו קוצר, אבל בדבר מחובר יש קוצר אעפ"י שאינו גידולי קרקע, וא"כ דאף לדעת הבבלי כל דבר שמפסיקו מחיותו חייב משום קוצר, ולא פליג הבבלי על הירושלמי בזה, ועי' במ"ש </w:t>
      </w:r>
      <w:r w:rsidRPr="00C65D8D">
        <w:rPr>
          <w:rStyle w:val="aff4"/>
          <w:rFonts w:hint="cs"/>
          <w:vanish/>
          <w:rtl/>
        </w:rPr>
        <w:t>-</w:t>
      </w:r>
      <w:r w:rsidRPr="00C65D8D">
        <w:rPr>
          <w:rStyle w:val="aff4"/>
          <w:rFonts w:hint="cs"/>
          <w:rtl/>
        </w:rPr>
        <w:t>הדבר אברהם</w:t>
      </w:r>
      <w:r w:rsidRPr="00C65D8D">
        <w:rPr>
          <w:rStyle w:val="aff4"/>
          <w:rFonts w:hint="cs"/>
          <w:vanish/>
          <w:rtl/>
        </w:rPr>
        <w:t>-</w:t>
      </w:r>
      <w:r w:rsidRPr="00185C10">
        <w:rPr>
          <w:rStyle w:val="aff4"/>
          <w:rFonts w:hint="cs"/>
          <w:rtl/>
        </w:rPr>
        <w:t xml:space="preserve"> </w:t>
      </w:r>
      <w:r>
        <w:rPr>
          <w:rStyle w:val="af2"/>
          <w:rFonts w:eastAsia="Guttman Hodes" w:hint="cs"/>
          <w:rtl/>
        </w:rPr>
        <w:t xml:space="preserve">(עי' </w:t>
      </w:r>
      <w:r w:rsidRPr="00E31EB7">
        <w:rPr>
          <w:rStyle w:val="af2"/>
          <w:rFonts w:eastAsia="Guttman Hodes" w:hint="cs"/>
          <w:rtl/>
        </w:rPr>
        <w:t xml:space="preserve">אות </w:t>
      </w:r>
      <w:r w:rsidRPr="00E31EB7">
        <w:rPr>
          <w:rStyle w:val="af2"/>
          <w:rFonts w:eastAsia="Guttman Hodes"/>
          <w:rtl/>
        </w:rPr>
        <w:fldChar w:fldCharType="begin"/>
      </w:r>
      <w:r w:rsidRPr="00E31EB7">
        <w:rPr>
          <w:rStyle w:val="af2"/>
          <w:rFonts w:eastAsia="Guttman Hodes"/>
          <w:rtl/>
        </w:rPr>
        <w:instrText xml:space="preserve"> </w:instrText>
      </w:r>
      <w:r w:rsidRPr="00E31EB7">
        <w:rPr>
          <w:rStyle w:val="af2"/>
          <w:rFonts w:eastAsia="Guttman Hodes" w:hint="cs"/>
        </w:rPr>
        <w:instrText>REF</w:instrText>
      </w:r>
      <w:r w:rsidRPr="00E31EB7">
        <w:rPr>
          <w:rStyle w:val="af2"/>
          <w:rFonts w:eastAsia="Guttman Hodes" w:hint="cs"/>
          <w:rtl/>
        </w:rPr>
        <w:instrText xml:space="preserve"> _</w:instrText>
      </w:r>
      <w:r w:rsidRPr="00E31EB7">
        <w:rPr>
          <w:rStyle w:val="af2"/>
          <w:rFonts w:eastAsia="Guttman Hodes" w:hint="cs"/>
        </w:rPr>
        <w:instrText>Ref135149368 \r \h</w:instrText>
      </w:r>
      <w:r w:rsidRPr="00E31EB7">
        <w:rPr>
          <w:rStyle w:val="af2"/>
          <w:rFonts w:eastAsia="Guttman Hodes"/>
          <w:rtl/>
        </w:rPr>
        <w:instrText xml:space="preserve"> </w:instrText>
      </w:r>
      <w:r w:rsidRPr="00E31EB7">
        <w:rPr>
          <w:rStyle w:val="af2"/>
          <w:rFonts w:eastAsia="Guttman Hodes"/>
          <w:rtl/>
        </w:rPr>
      </w:r>
      <w:r w:rsidRPr="00E31EB7">
        <w:rPr>
          <w:rStyle w:val="af2"/>
          <w:rFonts w:eastAsia="Guttman Hodes"/>
          <w:rtl/>
        </w:rPr>
        <w:fldChar w:fldCharType="separate"/>
      </w:r>
      <w:r w:rsidR="00D82181">
        <w:rPr>
          <w:rStyle w:val="af2"/>
          <w:rFonts w:eastAsia="Guttman Hodes"/>
          <w:cs/>
        </w:rPr>
        <w:t>‎</w:t>
      </w:r>
      <w:r w:rsidR="00D82181">
        <w:rPr>
          <w:rStyle w:val="af2"/>
          <w:rFonts w:eastAsia="Guttman Hodes"/>
          <w:rtl/>
        </w:rPr>
        <w:t>עא)</w:t>
      </w:r>
      <w:r w:rsidRPr="00E31EB7">
        <w:rPr>
          <w:rStyle w:val="af2"/>
          <w:rFonts w:eastAsia="Guttman Hodes"/>
          <w:rtl/>
        </w:rPr>
        <w:fldChar w:fldCharType="end"/>
      </w:r>
      <w:r>
        <w:rPr>
          <w:rFonts w:hint="cs"/>
          <w:rtl/>
        </w:rPr>
        <w:t xml:space="preserve"> אי החולב מפסיק את החיות, ובמה שביאר </w:t>
      </w:r>
      <w:r w:rsidRPr="00C65D8D">
        <w:rPr>
          <w:rStyle w:val="aff4"/>
          <w:rFonts w:hint="cs"/>
          <w:vanish/>
          <w:rtl/>
        </w:rPr>
        <w:t>-</w:t>
      </w:r>
      <w:r w:rsidRPr="00C65D8D">
        <w:rPr>
          <w:rStyle w:val="aff4"/>
          <w:rFonts w:hint="cs"/>
          <w:rtl/>
        </w:rPr>
        <w:t>הדבר אברהם</w:t>
      </w:r>
      <w:r w:rsidRPr="00C65D8D">
        <w:rPr>
          <w:rStyle w:val="aff4"/>
          <w:rFonts w:hint="cs"/>
          <w:vanish/>
          <w:rtl/>
        </w:rPr>
        <w:t>-</w:t>
      </w:r>
      <w:r>
        <w:rPr>
          <w:rFonts w:hint="cs"/>
          <w:rtl/>
        </w:rPr>
        <w:t xml:space="preserve"> </w:t>
      </w:r>
      <w:r w:rsidRPr="001102A3">
        <w:rPr>
          <w:rStyle w:val="af2"/>
          <w:rFonts w:eastAsia="Guttman Hodes" w:hint="cs"/>
          <w:rtl/>
        </w:rPr>
        <w:t xml:space="preserve">(עי' אות </w:t>
      </w:r>
      <w:r w:rsidRPr="001102A3">
        <w:rPr>
          <w:rStyle w:val="af2"/>
          <w:rFonts w:eastAsia="Guttman Hodes"/>
          <w:rtl/>
        </w:rPr>
        <w:fldChar w:fldCharType="begin"/>
      </w:r>
      <w:r w:rsidRPr="001102A3">
        <w:rPr>
          <w:rStyle w:val="af2"/>
          <w:rFonts w:eastAsia="Guttman Hodes"/>
          <w:rtl/>
        </w:rPr>
        <w:instrText xml:space="preserve"> </w:instrText>
      </w:r>
      <w:r w:rsidRPr="001102A3">
        <w:rPr>
          <w:rStyle w:val="af2"/>
          <w:rFonts w:eastAsia="Guttman Hodes" w:hint="cs"/>
        </w:rPr>
        <w:instrText>REF</w:instrText>
      </w:r>
      <w:r w:rsidRPr="001102A3">
        <w:rPr>
          <w:rStyle w:val="af2"/>
          <w:rFonts w:eastAsia="Guttman Hodes" w:hint="cs"/>
          <w:rtl/>
        </w:rPr>
        <w:instrText xml:space="preserve"> _</w:instrText>
      </w:r>
      <w:r w:rsidRPr="001102A3">
        <w:rPr>
          <w:rStyle w:val="af2"/>
          <w:rFonts w:eastAsia="Guttman Hodes" w:hint="cs"/>
        </w:rPr>
        <w:instrText>Ref134694849 \r \h</w:instrText>
      </w:r>
      <w:r w:rsidRPr="001102A3">
        <w:rPr>
          <w:rStyle w:val="af2"/>
          <w:rFonts w:eastAsia="Guttman Hodes"/>
          <w:rtl/>
        </w:rPr>
        <w:instrText xml:space="preserve"> </w:instrText>
      </w:r>
      <w:r w:rsidRPr="001102A3">
        <w:rPr>
          <w:rStyle w:val="af2"/>
          <w:rFonts w:eastAsia="Guttman Hodes"/>
          <w:rtl/>
        </w:rPr>
      </w:r>
      <w:r w:rsidRPr="001102A3">
        <w:rPr>
          <w:rStyle w:val="af2"/>
          <w:rFonts w:eastAsia="Guttman Hodes"/>
          <w:rtl/>
        </w:rPr>
        <w:fldChar w:fldCharType="separate"/>
      </w:r>
      <w:r w:rsidR="00D82181">
        <w:rPr>
          <w:rStyle w:val="af2"/>
          <w:rFonts w:eastAsia="Guttman Hodes"/>
          <w:cs/>
        </w:rPr>
        <w:t>‎</w:t>
      </w:r>
      <w:r w:rsidR="00D82181">
        <w:rPr>
          <w:rStyle w:val="af2"/>
          <w:rFonts w:eastAsia="Guttman Hodes"/>
          <w:rtl/>
        </w:rPr>
        <w:t>עט)</w:t>
      </w:r>
      <w:r w:rsidRPr="001102A3">
        <w:rPr>
          <w:rStyle w:val="af2"/>
          <w:rFonts w:eastAsia="Guttman Hodes"/>
          <w:rtl/>
        </w:rPr>
        <w:fldChar w:fldCharType="end"/>
      </w:r>
      <w:r>
        <w:rPr>
          <w:rFonts w:hint="cs"/>
          <w:rtl/>
        </w:rPr>
        <w:t xml:space="preserve"> בדברי </w:t>
      </w:r>
      <w:r w:rsidRPr="00394B7E">
        <w:rPr>
          <w:rStyle w:val="aff4"/>
          <w:rFonts w:hint="cs"/>
          <w:vanish/>
          <w:rtl/>
        </w:rPr>
        <w:t>-</w:t>
      </w:r>
      <w:r w:rsidRPr="00FB451D">
        <w:rPr>
          <w:rStyle w:val="aff4"/>
          <w:rFonts w:hint="cs"/>
          <w:rtl/>
        </w:rPr>
        <w:t>רש"י</w:t>
      </w:r>
      <w:r w:rsidRPr="00394B7E">
        <w:rPr>
          <w:rStyle w:val="aff4"/>
          <w:rFonts w:hint="cs"/>
          <w:vanish/>
          <w:rtl/>
        </w:rPr>
        <w:t>-</w:t>
      </w:r>
      <w:r>
        <w:rPr>
          <w:rFonts w:hint="cs"/>
          <w:rtl/>
        </w:rPr>
        <w:t xml:space="preserve">. </w:t>
      </w:r>
      <w:r w:rsidRPr="007A72D8">
        <w:rPr>
          <w:rStyle w:val="af"/>
          <w:rFonts w:hint="cs"/>
          <w:rtl/>
        </w:rPr>
        <w:t xml:space="preserve">[ועי' במה שהאריכו </w:t>
      </w:r>
      <w:r w:rsidRPr="00394B7E">
        <w:rPr>
          <w:rStyle w:val="aff9"/>
          <w:rFonts w:hint="cs"/>
          <w:vanish/>
          <w:rtl/>
        </w:rPr>
        <w:t>-</w:t>
      </w:r>
      <w:r w:rsidRPr="00394B7E">
        <w:rPr>
          <w:rStyle w:val="aff9"/>
          <w:rFonts w:hint="cs"/>
          <w:rtl/>
        </w:rPr>
        <w:t>ה</w:t>
      </w:r>
      <w:r w:rsidRPr="00394B7E">
        <w:rPr>
          <w:rStyle w:val="aff9"/>
          <w:rFonts w:hint="cs"/>
          <w:vanish/>
          <w:rtl/>
        </w:rPr>
        <w:t>&lt; &gt;</w:t>
      </w:r>
      <w:r w:rsidRPr="00394B7E">
        <w:rPr>
          <w:rStyle w:val="aff9"/>
          <w:rFonts w:hint="cs"/>
          <w:rtl/>
        </w:rPr>
        <w:t>זכר יצחק</w:t>
      </w:r>
      <w:r w:rsidRPr="00394B7E">
        <w:rPr>
          <w:rStyle w:val="aff9"/>
          <w:rFonts w:hint="cs"/>
          <w:vanish/>
          <w:rtl/>
        </w:rPr>
        <w:t>-</w:t>
      </w:r>
      <w:r w:rsidRPr="007A72D8">
        <w:rPr>
          <w:rStyle w:val="af"/>
          <w:rFonts w:hint="cs"/>
          <w:rtl/>
        </w:rPr>
        <w:t xml:space="preserve"> </w:t>
      </w:r>
      <w:r w:rsidRPr="00394B7E">
        <w:rPr>
          <w:rStyle w:val="aff0"/>
          <w:rFonts w:hint="cs"/>
          <w:rtl/>
        </w:rPr>
        <w:t>(עי' אות</w:t>
      </w:r>
      <w:r>
        <w:rPr>
          <w:rStyle w:val="aff0"/>
          <w:rFonts w:hint="cs"/>
          <w:rtl/>
        </w:rPr>
        <w:t xml:space="preserve">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Ref135379833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סד)</w:t>
      </w:r>
      <w:r>
        <w:rPr>
          <w:rStyle w:val="aff0"/>
          <w:rtl/>
        </w:rPr>
        <w:fldChar w:fldCharType="end"/>
      </w:r>
      <w:r w:rsidRPr="00394B7E">
        <w:rPr>
          <w:rStyle w:val="af"/>
          <w:rFonts w:hint="cs"/>
          <w:vanish/>
          <w:rtl/>
        </w:rPr>
        <w:t>=</w:t>
      </w:r>
      <w:r w:rsidRPr="007A72D8">
        <w:rPr>
          <w:rStyle w:val="af"/>
          <w:rFonts w:hint="cs"/>
          <w:rtl/>
        </w:rPr>
        <w:t xml:space="preserve"> </w:t>
      </w:r>
      <w:r w:rsidRPr="00394B7E">
        <w:rPr>
          <w:rStyle w:val="aff9"/>
          <w:rFonts w:hint="cs"/>
          <w:vanish/>
          <w:rtl/>
        </w:rPr>
        <w:t>-</w:t>
      </w:r>
      <w:r w:rsidRPr="00394B7E">
        <w:rPr>
          <w:rStyle w:val="aff9"/>
          <w:rFonts w:hint="cs"/>
          <w:rtl/>
        </w:rPr>
        <w:t>וה</w:t>
      </w:r>
      <w:r w:rsidRPr="00394B7E">
        <w:rPr>
          <w:rStyle w:val="aff9"/>
          <w:rFonts w:hint="cs"/>
          <w:vanish/>
          <w:rtl/>
        </w:rPr>
        <w:t>&lt; &gt;</w:t>
      </w:r>
      <w:r w:rsidRPr="00394B7E">
        <w:rPr>
          <w:rStyle w:val="aff9"/>
          <w:rFonts w:hint="cs"/>
          <w:rtl/>
        </w:rPr>
        <w:t>דבר אברהם</w:t>
      </w:r>
      <w:r w:rsidRPr="00394B7E">
        <w:rPr>
          <w:rStyle w:val="aff9"/>
          <w:rFonts w:hint="cs"/>
          <w:vanish/>
          <w:rtl/>
        </w:rPr>
        <w:t>-</w:t>
      </w:r>
      <w:r w:rsidRPr="007A72D8">
        <w:rPr>
          <w:rStyle w:val="af"/>
          <w:rFonts w:hint="cs"/>
          <w:rtl/>
        </w:rPr>
        <w:t xml:space="preserve"> </w:t>
      </w:r>
      <w:r w:rsidRPr="00394B7E">
        <w:rPr>
          <w:rStyle w:val="aff0"/>
          <w:rFonts w:hint="cs"/>
          <w:rtl/>
        </w:rPr>
        <w:t>(עי' אות</w:t>
      </w:r>
      <w:r w:rsidRPr="00394B7E">
        <w:rPr>
          <w:rStyle w:val="aff0"/>
          <w:rtl/>
        </w:rPr>
        <w:t xml:space="preserve"> </w:t>
      </w:r>
      <w:r w:rsidRPr="00394B7E">
        <w:rPr>
          <w:rStyle w:val="aff0"/>
          <w:rtl/>
        </w:rPr>
        <w:fldChar w:fldCharType="begin"/>
      </w:r>
      <w:r w:rsidRPr="00394B7E">
        <w:rPr>
          <w:rStyle w:val="aff0"/>
          <w:rtl/>
        </w:rPr>
        <w:instrText xml:space="preserve"> </w:instrText>
      </w:r>
      <w:r w:rsidRPr="00394B7E">
        <w:rPr>
          <w:rStyle w:val="aff0"/>
          <w:rFonts w:hint="cs"/>
        </w:rPr>
        <w:instrText>REF</w:instrText>
      </w:r>
      <w:r w:rsidRPr="00394B7E">
        <w:rPr>
          <w:rStyle w:val="aff0"/>
          <w:rFonts w:hint="cs"/>
          <w:rtl/>
        </w:rPr>
        <w:instrText xml:space="preserve"> _</w:instrText>
      </w:r>
      <w:r w:rsidRPr="00394B7E">
        <w:rPr>
          <w:rStyle w:val="aff0"/>
          <w:rFonts w:hint="cs"/>
        </w:rPr>
        <w:instrText>Ref134634907 \r \h</w:instrText>
      </w:r>
      <w:r w:rsidRPr="00394B7E">
        <w:rPr>
          <w:rStyle w:val="aff0"/>
          <w:rtl/>
        </w:rPr>
        <w:instrText xml:space="preserve"> </w:instrText>
      </w:r>
      <w:r w:rsidRPr="00394B7E">
        <w:rPr>
          <w:rStyle w:val="aff0"/>
          <w:rtl/>
        </w:rPr>
      </w:r>
      <w:r w:rsidRPr="00394B7E">
        <w:rPr>
          <w:rStyle w:val="aff0"/>
          <w:rtl/>
        </w:rPr>
        <w:fldChar w:fldCharType="separate"/>
      </w:r>
      <w:r w:rsidR="00D82181">
        <w:rPr>
          <w:rStyle w:val="aff0"/>
          <w:cs/>
        </w:rPr>
        <w:t>‎</w:t>
      </w:r>
      <w:r w:rsidR="00D82181">
        <w:rPr>
          <w:rStyle w:val="aff0"/>
          <w:rtl/>
        </w:rPr>
        <w:t>סט)</w:t>
      </w:r>
      <w:r w:rsidRPr="00394B7E">
        <w:rPr>
          <w:rStyle w:val="aff0"/>
          <w:rtl/>
        </w:rPr>
        <w:fldChar w:fldCharType="end"/>
      </w:r>
      <w:r w:rsidRPr="003068C3">
        <w:rPr>
          <w:rStyle w:val="aff0"/>
          <w:rFonts w:hint="cs"/>
          <w:vanish/>
          <w:rtl/>
        </w:rPr>
        <w:t>=</w:t>
      </w:r>
      <w:r w:rsidRPr="007A72D8">
        <w:rPr>
          <w:rStyle w:val="af"/>
          <w:rFonts w:hint="cs"/>
          <w:rtl/>
        </w:rPr>
        <w:t xml:space="preserve"> אי גדר קוצר הוא הפסקת החיות, או מדין תלישה ממחובר, ומדברי </w:t>
      </w:r>
      <w:r w:rsidRPr="00394B7E">
        <w:rPr>
          <w:rStyle w:val="aff9"/>
          <w:rFonts w:hint="cs"/>
          <w:vanish/>
          <w:rtl/>
        </w:rPr>
        <w:t>-</w:t>
      </w:r>
      <w:r w:rsidRPr="00394B7E">
        <w:rPr>
          <w:rStyle w:val="aff9"/>
          <w:rFonts w:hint="cs"/>
          <w:rtl/>
        </w:rPr>
        <w:t>המהרי"ט אלגאזי</w:t>
      </w:r>
      <w:r w:rsidRPr="00394B7E">
        <w:rPr>
          <w:rStyle w:val="aff9"/>
          <w:rFonts w:hint="cs"/>
          <w:vanish/>
          <w:rtl/>
        </w:rPr>
        <w:t>-</w:t>
      </w:r>
      <w:r w:rsidRPr="007A72D8">
        <w:rPr>
          <w:rStyle w:val="af"/>
          <w:rFonts w:hint="cs"/>
          <w:rtl/>
        </w:rPr>
        <w:t xml:space="preserve"> משמע דהפסקת חיות הוי קוצר, רק בדבר דחשיב כמחובר]</w:t>
      </w:r>
      <w:r w:rsidRPr="00207D3A">
        <w:rPr>
          <w:rStyle w:val="af"/>
          <w:rFonts w:hint="cs"/>
          <w:rtl/>
        </w:rPr>
        <w:t>.</w:t>
      </w:r>
      <w:bookmarkEnd w:id="1351"/>
    </w:p>
    <w:p w14:paraId="07A42B00" w14:textId="77777777" w:rsidR="000426DE" w:rsidRPr="00747170" w:rsidRDefault="000426DE" w:rsidP="00747170">
      <w:pPr>
        <w:pStyle w:val="a2"/>
      </w:pPr>
      <w:r w:rsidRPr="00747170">
        <w:rPr>
          <w:rtl/>
        </w:rPr>
        <w:t>[ב] והנה עיקר יסוד דין זה דס"ל לרבינו דגם בעוף מותר לתלוש קודם שחיטה, הוא משום מ"ש דתולש לא הוי משום עוקר דבר מגידולו, דהא תולדה דקוצר לא הוי אלא תולש מן הקרקע, אבל התולש מן בעלי חיים משום גוזז הוא דמיחייב בלחוד, ואין חילוק בין מחיים לאחר שחיטה. ויש לתמוה דבירושלמי בפ' כלל גדול מבואר בב' מקומות איפכא, דאמרינן התם [ה"ב] רבנן דקסרין אמרין ההן דצייד כוורא וכל דבר שאתה מבדילו מחיותו חייב משום קוצר ע"כ, ועוד דאמרי' התם [סוף ה"ב] דפיסקא [דהממחקו] דהמעבדו וכו' דהחולב והרודה חלות דבש לרבי אליעזר חייב משום קוצר יעו"ש, הרי מפורש דהירושלמי ס"ל שכל שמבדיל דבר מחיותו חייב משום קוצר. ואף דבתלמודא דידן אמרי' בשבת (דף צ"ה ע"א) דחולב חייב משום מפרק ולא משום קוצר, הרי כתב רש"י שם בד"ה מפרק וכו' וז"ל, ואית דאמר תולדה דקוצר, ולא היא דלאו מחובר הוא אלא פקיד ועקיר וקאי בעטיני הדד כתבואה בקשיה, ולשון מפרק נמי לא שייך למימר אלא לשון תולש עכ"ל. הרי מתבאר דדוקא משום דלאו מחובר הוא דאמרי' דלא חשיב קוצר, אבל בדבר המחובר אפשר דש"ס דילן נמי ס"ל כהירושלמי דהמבדיל דבר מחיותו אפילו מבעלי חיים חייב משום קוצר</w:t>
      </w:r>
      <w:r w:rsidRPr="00747170">
        <w:rPr>
          <w:rFonts w:hint="cs"/>
          <w:rtl/>
        </w:rPr>
        <w:t>.</w:t>
      </w:r>
    </w:p>
    <w:p w14:paraId="40126416" w14:textId="011CBF21" w:rsidR="000426DE" w:rsidRPr="00DC69D9" w:rsidRDefault="000426DE" w:rsidP="000426DE">
      <w:pPr>
        <w:pStyle w:val="a7"/>
      </w:pPr>
      <w:bookmarkStart w:id="1352" w:name="_Toc139316318"/>
      <w:r>
        <w:rPr>
          <w:rFonts w:hint="cs"/>
          <w:rtl/>
        </w:rPr>
        <w:t>בי' המהריט"א דרבנן דאסור חולב בשבות אפש"ל דבמחובר מודו לסברת הירו' ודלא כרמב"ן</w:t>
      </w:r>
      <w:bookmarkEnd w:id="1352"/>
    </w:p>
    <w:p w14:paraId="1C96659A" w14:textId="39CFED52" w:rsidR="000426DE" w:rsidRPr="00691CDE" w:rsidRDefault="000426DE" w:rsidP="00BC7DC8">
      <w:pPr>
        <w:pStyle w:val="a3"/>
        <w:rPr>
          <w:rtl/>
        </w:rPr>
      </w:pPr>
      <w:r>
        <w:rPr>
          <w:rFonts w:hint="cs"/>
          <w:rtl/>
        </w:rPr>
        <w:t xml:space="preserve">והוסיף </w:t>
      </w:r>
      <w:r w:rsidRPr="00394B7E">
        <w:rPr>
          <w:rStyle w:val="aff4"/>
          <w:rFonts w:hint="cs"/>
          <w:vanish/>
          <w:rtl/>
        </w:rPr>
        <w:t>-</w:t>
      </w:r>
      <w:r w:rsidRPr="00FB451D">
        <w:rPr>
          <w:rStyle w:val="aff4"/>
          <w:rFonts w:hint="cs"/>
          <w:rtl/>
        </w:rPr>
        <w:t>המהרי"ט אלגאזי בבכורות</w:t>
      </w:r>
      <w:r w:rsidRPr="00394B7E">
        <w:rPr>
          <w:rStyle w:val="aff4"/>
          <w:rFonts w:hint="cs"/>
          <w:vanish/>
          <w:rtl/>
        </w:rPr>
        <w:t>-</w:t>
      </w:r>
      <w:r>
        <w:rPr>
          <w:rFonts w:hint="cs"/>
          <w:rtl/>
        </w:rPr>
        <w:t xml:space="preserve"> דהא דרבנן בגמ' לקמן ס"ל דחולב אסור רק מדרבנן, אפש"ל דהוא כיון דס"ל דהחלב אינו מחובר, אבל במחובר אף רבנן בגמ' לקמן </w:t>
      </w:r>
      <w:r w:rsidRPr="00FB451D">
        <w:rPr>
          <w:rStyle w:val="af2"/>
          <w:rFonts w:eastAsia="Guttman Hodes" w:hint="cs"/>
          <w:rtl/>
        </w:rPr>
        <w:t>(צה.)</w:t>
      </w:r>
      <w:r>
        <w:rPr>
          <w:rFonts w:hint="cs"/>
          <w:rtl/>
        </w:rPr>
        <w:t xml:space="preserve"> מודו לסברת הירושלמי דחייב משום קוצר, וכדברי שמואל בגמ' לקמן </w:t>
      </w:r>
      <w:r w:rsidRPr="00FB451D">
        <w:rPr>
          <w:rStyle w:val="af2"/>
          <w:rFonts w:eastAsia="Guttman Hodes" w:hint="cs"/>
          <w:rtl/>
        </w:rPr>
        <w:t>(קז:)</w:t>
      </w:r>
      <w:r>
        <w:rPr>
          <w:rFonts w:hint="cs"/>
          <w:rtl/>
        </w:rPr>
        <w:t xml:space="preserve"> דהמדלדל עובר במעי בהמה חייב משום עוקר דבר מגידולו, אך הביא </w:t>
      </w:r>
      <w:r w:rsidRPr="00394B7E">
        <w:rPr>
          <w:rStyle w:val="aff4"/>
          <w:rFonts w:hint="cs"/>
          <w:vanish/>
          <w:rtl/>
        </w:rPr>
        <w:t>-</w:t>
      </w:r>
      <w:r w:rsidRPr="00FB451D">
        <w:rPr>
          <w:rStyle w:val="aff4"/>
          <w:rFonts w:hint="cs"/>
          <w:rtl/>
        </w:rPr>
        <w:t>המהרי"ט אלגאזי</w:t>
      </w:r>
      <w:r w:rsidRPr="00394B7E">
        <w:rPr>
          <w:rStyle w:val="aff4"/>
          <w:rFonts w:hint="cs"/>
          <w:vanish/>
          <w:rtl/>
        </w:rPr>
        <w:t>-</w:t>
      </w:r>
      <w:r>
        <w:rPr>
          <w:rFonts w:hint="cs"/>
          <w:rtl/>
        </w:rPr>
        <w:t xml:space="preserve"> את דברי </w:t>
      </w:r>
      <w:r w:rsidRPr="00394B7E">
        <w:rPr>
          <w:rStyle w:val="aff4"/>
          <w:rFonts w:hint="cs"/>
          <w:vanish/>
          <w:rtl/>
        </w:rPr>
        <w:t>-</w:t>
      </w:r>
      <w:r w:rsidRPr="00FB451D">
        <w:rPr>
          <w:rStyle w:val="aff4"/>
          <w:rFonts w:hint="cs"/>
          <w:rtl/>
        </w:rPr>
        <w:t>הרשב"א לקמן</w:t>
      </w:r>
      <w:r w:rsidRPr="00394B7E">
        <w:rPr>
          <w:rStyle w:val="aff4"/>
          <w:rFonts w:hint="cs"/>
          <w:vanish/>
          <w:rtl/>
        </w:rPr>
        <w:t>-</w:t>
      </w:r>
      <w:r>
        <w:rPr>
          <w:rFonts w:hint="cs"/>
          <w:rtl/>
        </w:rPr>
        <w:t xml:space="preserve"> בשם </w:t>
      </w:r>
      <w:r w:rsidRPr="00394B7E">
        <w:rPr>
          <w:rStyle w:val="aff4"/>
          <w:rFonts w:hint="cs"/>
          <w:vanish/>
          <w:rtl/>
        </w:rPr>
        <w:t>-</w:t>
      </w:r>
      <w:r w:rsidRPr="00FB451D">
        <w:rPr>
          <w:rStyle w:val="aff4"/>
          <w:rFonts w:hint="cs"/>
          <w:rtl/>
        </w:rPr>
        <w:t>הרמב"ן</w:t>
      </w:r>
      <w:r w:rsidRPr="00394B7E">
        <w:rPr>
          <w:rStyle w:val="aff4"/>
          <w:rFonts w:hint="cs"/>
          <w:vanish/>
          <w:rtl/>
        </w:rPr>
        <w:t>-</w:t>
      </w:r>
      <w:r>
        <w:rPr>
          <w:rFonts w:hint="cs"/>
          <w:rtl/>
        </w:rPr>
        <w:t xml:space="preserve"> </w:t>
      </w:r>
      <w:r w:rsidRPr="00875532">
        <w:rPr>
          <w:rStyle w:val="af2"/>
          <w:rFonts w:eastAsia="Guttman Hodes" w:hint="cs"/>
          <w:rtl/>
        </w:rPr>
        <w:t xml:space="preserve">(עי' אות </w:t>
      </w:r>
      <w:r w:rsidRPr="00875532">
        <w:rPr>
          <w:rStyle w:val="af2"/>
          <w:rFonts w:eastAsia="Guttman Hodes"/>
          <w:rtl/>
        </w:rPr>
        <w:fldChar w:fldCharType="begin"/>
      </w:r>
      <w:r w:rsidRPr="00875532">
        <w:rPr>
          <w:rStyle w:val="af2"/>
          <w:rFonts w:eastAsia="Guttman Hodes"/>
          <w:rtl/>
        </w:rPr>
        <w:instrText xml:space="preserve"> </w:instrText>
      </w:r>
      <w:r w:rsidRPr="00875532">
        <w:rPr>
          <w:rStyle w:val="af2"/>
          <w:rFonts w:eastAsia="Guttman Hodes" w:hint="cs"/>
        </w:rPr>
        <w:instrText>REF</w:instrText>
      </w:r>
      <w:r w:rsidRPr="00875532">
        <w:rPr>
          <w:rStyle w:val="af2"/>
          <w:rFonts w:eastAsia="Guttman Hodes" w:hint="cs"/>
          <w:rtl/>
        </w:rPr>
        <w:instrText xml:space="preserve"> _</w:instrText>
      </w:r>
      <w:r w:rsidRPr="00875532">
        <w:rPr>
          <w:rStyle w:val="af2"/>
          <w:rFonts w:eastAsia="Guttman Hodes" w:hint="cs"/>
        </w:rPr>
        <w:instrText>Ref135380071 \r \h</w:instrText>
      </w:r>
      <w:r w:rsidRPr="00875532">
        <w:rPr>
          <w:rStyle w:val="af2"/>
          <w:rFonts w:eastAsia="Guttman Hodes"/>
          <w:rtl/>
        </w:rPr>
        <w:instrText xml:space="preserve"> </w:instrText>
      </w:r>
      <w:r w:rsidRPr="00875532">
        <w:rPr>
          <w:rStyle w:val="af2"/>
          <w:rFonts w:eastAsia="Guttman Hodes"/>
          <w:rtl/>
        </w:rPr>
      </w:r>
      <w:r w:rsidRPr="00875532">
        <w:rPr>
          <w:rStyle w:val="af2"/>
          <w:rFonts w:eastAsia="Guttman Hodes"/>
          <w:rtl/>
        </w:rPr>
        <w:fldChar w:fldCharType="separate"/>
      </w:r>
      <w:r w:rsidR="00D82181">
        <w:rPr>
          <w:rStyle w:val="af2"/>
          <w:rFonts w:eastAsia="Guttman Hodes"/>
          <w:cs/>
        </w:rPr>
        <w:t>‎</w:t>
      </w:r>
      <w:r w:rsidR="00D82181">
        <w:rPr>
          <w:rStyle w:val="af2"/>
          <w:rFonts w:eastAsia="Guttman Hodes"/>
          <w:rtl/>
        </w:rPr>
        <w:t>ד)</w:t>
      </w:r>
      <w:r w:rsidRPr="00875532">
        <w:rPr>
          <w:rStyle w:val="af2"/>
          <w:rFonts w:eastAsia="Guttman Hodes"/>
          <w:rtl/>
        </w:rPr>
        <w:fldChar w:fldCharType="end"/>
      </w:r>
      <w:r>
        <w:rPr>
          <w:rFonts w:hint="cs"/>
          <w:rtl/>
        </w:rPr>
        <w:t xml:space="preserve"> דכתב דהבבלי פליג על הירושלמי, וס"ל דקוצר הוא רק בגידולי קרקע, וביאר </w:t>
      </w:r>
      <w:r w:rsidRPr="00394B7E">
        <w:rPr>
          <w:rStyle w:val="aff4"/>
          <w:rFonts w:hint="cs"/>
          <w:vanish/>
          <w:rtl/>
        </w:rPr>
        <w:t>-</w:t>
      </w:r>
      <w:r w:rsidRPr="00FB451D">
        <w:rPr>
          <w:rStyle w:val="aff4"/>
          <w:rFonts w:hint="cs"/>
          <w:rtl/>
        </w:rPr>
        <w:t>הרמב"ן</w:t>
      </w:r>
      <w:r w:rsidRPr="00394B7E">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Ref134521888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כא)</w:t>
      </w:r>
      <w:r>
        <w:rPr>
          <w:rStyle w:val="af2"/>
          <w:rFonts w:eastAsia="Guttman Hodes"/>
          <w:rtl/>
        </w:rPr>
        <w:fldChar w:fldCharType="end"/>
      </w:r>
      <w:r>
        <w:rPr>
          <w:rFonts w:hint="cs"/>
          <w:rtl/>
        </w:rPr>
        <w:t xml:space="preserve"> דמדלדל עובר לבבלי חייב משום נטילת נשמה, וכתב </w:t>
      </w:r>
      <w:r w:rsidRPr="00394B7E">
        <w:rPr>
          <w:rStyle w:val="aff4"/>
          <w:rFonts w:hint="cs"/>
          <w:vanish/>
          <w:rtl/>
        </w:rPr>
        <w:t>-</w:t>
      </w:r>
      <w:r w:rsidRPr="00FB451D">
        <w:rPr>
          <w:rStyle w:val="aff4"/>
          <w:rFonts w:hint="cs"/>
          <w:rtl/>
        </w:rPr>
        <w:t>המהרי"ט אלגאזי</w:t>
      </w:r>
      <w:r w:rsidRPr="00394B7E">
        <w:rPr>
          <w:rStyle w:val="aff4"/>
          <w:rFonts w:hint="cs"/>
          <w:vanish/>
          <w:rtl/>
        </w:rPr>
        <w:t>-</w:t>
      </w:r>
      <w:r>
        <w:rPr>
          <w:rFonts w:hint="cs"/>
          <w:rtl/>
        </w:rPr>
        <w:t xml:space="preserve"> דא"כ מבואר מדברי </w:t>
      </w:r>
      <w:r w:rsidRPr="00394B7E">
        <w:rPr>
          <w:rStyle w:val="aff4"/>
          <w:rFonts w:hint="cs"/>
          <w:vanish/>
          <w:rtl/>
        </w:rPr>
        <w:t>-</w:t>
      </w:r>
      <w:r w:rsidRPr="00FB451D">
        <w:rPr>
          <w:rStyle w:val="aff4"/>
          <w:rFonts w:hint="cs"/>
          <w:rtl/>
        </w:rPr>
        <w:t>הרמב"ן</w:t>
      </w:r>
      <w:r w:rsidRPr="00394B7E">
        <w:rPr>
          <w:rStyle w:val="aff4"/>
          <w:rFonts w:hint="cs"/>
          <w:vanish/>
          <w:rtl/>
        </w:rPr>
        <w:t>-</w:t>
      </w:r>
      <w:r>
        <w:rPr>
          <w:rFonts w:hint="cs"/>
          <w:rtl/>
        </w:rPr>
        <w:t xml:space="preserve"> דלא קיי"ל כירושלמי דהוי קוצר.</w:t>
      </w:r>
      <w:r w:rsidRPr="00D11C37">
        <w:rPr>
          <w:rFonts w:hint="cs"/>
          <w:rtl/>
        </w:rPr>
        <w:t xml:space="preserve"> </w:t>
      </w:r>
      <w:r w:rsidRPr="007A72D8">
        <w:rPr>
          <w:rStyle w:val="af"/>
          <w:rFonts w:hint="cs"/>
          <w:rtl/>
        </w:rPr>
        <w:t xml:space="preserve">[ועיי"ש במה שהאריך </w:t>
      </w:r>
      <w:r w:rsidRPr="00394B7E">
        <w:rPr>
          <w:rStyle w:val="aff9"/>
          <w:rFonts w:hint="cs"/>
          <w:vanish/>
          <w:rtl/>
        </w:rPr>
        <w:t>-</w:t>
      </w:r>
      <w:r w:rsidRPr="00394B7E">
        <w:rPr>
          <w:rStyle w:val="aff9"/>
          <w:rFonts w:hint="cs"/>
          <w:rtl/>
        </w:rPr>
        <w:t>ה</w:t>
      </w:r>
      <w:r w:rsidRPr="00394B7E">
        <w:rPr>
          <w:rStyle w:val="aff9"/>
          <w:rFonts w:hint="cs"/>
          <w:vanish/>
          <w:rtl/>
        </w:rPr>
        <w:t>&lt; &gt;</w:t>
      </w:r>
      <w:r w:rsidRPr="00394B7E">
        <w:rPr>
          <w:rStyle w:val="aff9"/>
          <w:rFonts w:hint="cs"/>
          <w:rtl/>
        </w:rPr>
        <w:t>מהרי"ט אלגאזי בבכורות</w:t>
      </w:r>
      <w:r w:rsidRPr="00394B7E">
        <w:rPr>
          <w:rStyle w:val="aff9"/>
          <w:rFonts w:hint="cs"/>
          <w:vanish/>
          <w:rtl/>
        </w:rPr>
        <w:t>-</w:t>
      </w:r>
      <w:r w:rsidRPr="007A72D8">
        <w:rPr>
          <w:rStyle w:val="af"/>
          <w:rFonts w:hint="cs"/>
          <w:rtl/>
        </w:rPr>
        <w:t xml:space="preserve"> </w:t>
      </w:r>
      <w:r w:rsidRPr="00394B7E">
        <w:rPr>
          <w:rStyle w:val="aff0"/>
          <w:rFonts w:hint="cs"/>
          <w:rtl/>
        </w:rPr>
        <w:t>(פ"ג יח. אות מ' ד"ה אולם, מהד' עוז והדר עמ' ע"א, מהד' וילנא החדש עמ' ס"א)</w:t>
      </w:r>
      <w:r w:rsidRPr="00394B7E">
        <w:rPr>
          <w:rStyle w:val="af"/>
          <w:rFonts w:hint="cs"/>
          <w:vanish/>
          <w:rtl/>
        </w:rPr>
        <w:t>=</w:t>
      </w:r>
      <w:r w:rsidRPr="007A72D8">
        <w:rPr>
          <w:rStyle w:val="af"/>
          <w:rFonts w:hint="cs"/>
          <w:rtl/>
        </w:rPr>
        <w:t xml:space="preserve"> לדחות את  את הראיות שהביא </w:t>
      </w:r>
      <w:r w:rsidRPr="00394B7E">
        <w:rPr>
          <w:rStyle w:val="aff9"/>
          <w:rFonts w:hint="cs"/>
          <w:vanish/>
          <w:rtl/>
        </w:rPr>
        <w:t>-</w:t>
      </w:r>
      <w:r w:rsidRPr="00394B7E">
        <w:rPr>
          <w:rStyle w:val="aff9"/>
          <w:rFonts w:hint="cs"/>
          <w:rtl/>
        </w:rPr>
        <w:t>הרמב"ן</w:t>
      </w:r>
      <w:r w:rsidRPr="00394B7E">
        <w:rPr>
          <w:rStyle w:val="aff9"/>
          <w:rFonts w:hint="cs"/>
          <w:vanish/>
          <w:rtl/>
        </w:rPr>
        <w:t>-</w:t>
      </w:r>
      <w:r w:rsidRPr="007A72D8">
        <w:rPr>
          <w:rStyle w:val="af"/>
          <w:rFonts w:hint="cs"/>
          <w:rtl/>
        </w:rPr>
        <w:t>]</w:t>
      </w:r>
      <w:r>
        <w:rPr>
          <w:rFonts w:hint="cs"/>
          <w:rtl/>
        </w:rPr>
        <w:t>.</w:t>
      </w:r>
    </w:p>
    <w:p w14:paraId="50C494F8" w14:textId="77777777" w:rsidR="000426DE" w:rsidRPr="00747170" w:rsidRDefault="000426DE" w:rsidP="00747170">
      <w:pPr>
        <w:pStyle w:val="a2"/>
        <w:rPr>
          <w:rtl/>
        </w:rPr>
      </w:pPr>
      <w:r w:rsidRPr="00747170">
        <w:rPr>
          <w:rtl/>
        </w:rPr>
        <w:t>וי"ל דאף לרבנן דפליגי אר"א וס"ל דחולב אינו אלא משום שבות הוא משום דלאו מחובר הוא, אבל בדבר מחובר אפילו רבנן מודו דחייב משום קוצר לסברת הירושלמי. ובפרק שמונה שרצים (דף ק"ז ע"ב) אמרי', אמר שמואל הושיט ידו למעי הבהמה ודלדל עובר שבמעיה חייב משום עוקר דבר מגידולו יעו"ש</w:t>
      </w:r>
      <w:r w:rsidRPr="00747170">
        <w:rPr>
          <w:rFonts w:hint="cs"/>
          <w:rtl/>
        </w:rPr>
        <w:t xml:space="preserve">, </w:t>
      </w:r>
      <w:r w:rsidRPr="00747170">
        <w:rPr>
          <w:rtl/>
        </w:rPr>
        <w:t>שוב ראיתי להרשב"א בחי' שם בפ' שמונה שרצים שכתב משם רבינו הרמב"ן וז"ל, הא דאמרינן במושיט ידו למעי בהמה וכו', הקשה הרמב"ן ז"ל דהא תולש כנף מן העוף כשהן חיים לא מחייבינן תרתי, חדא משום עוקר דבר מגידולו וחדא משום גוזז, וכן הנוטל שערו או שפמו וצפרניו, דאלמא ליכא משום עוקר דבר מגידולו אלא בגידולי קרקע, כמו שאין דישה אלא בגידולי קרקע, והכי נמי משמע בבכורות גבי תולש צמר מבכור דתולש לאו היינו גוזז, וכנגדו ביום טוב מותר דלית ביה משום עוקר דבר מגידולו, ולפיכך פי' הוא ז"ל דדלדל את העובר משום נוטל נשמה וכו', ומה שאמרו בירושלמי פרק כ"ג רבנין דקסרין אמרין ההן דצד נונא וכו', לא אתי בשיטתא דגמרא דילן עכ"ל, הרי מפורש הכא דרבינו דחה הירושלמי הנזכר מהלכה דלא אתי כשיטת תלמודא דידן.</w:t>
      </w:r>
    </w:p>
    <w:p w14:paraId="2093C7A3" w14:textId="0E38058A" w:rsidR="000426DE" w:rsidRPr="002C1612" w:rsidRDefault="000426DE" w:rsidP="000426DE">
      <w:pPr>
        <w:pStyle w:val="1"/>
        <w:rPr>
          <w:rtl/>
        </w:rPr>
      </w:pPr>
      <w:bookmarkStart w:id="1353" w:name="_Toc139316319"/>
      <w:r>
        <w:rPr>
          <w:rFonts w:hint="cs"/>
          <w:rtl/>
        </w:rPr>
        <w:t>הבי' דשולה דג הוא קוצר אף בהחזירו וביבש הוי נטילת נשמה</w:t>
      </w:r>
      <w:bookmarkEnd w:id="1353"/>
    </w:p>
    <w:p w14:paraId="605E6E03" w14:textId="77777777" w:rsidR="000426DE" w:rsidRDefault="000426DE" w:rsidP="000426DE">
      <w:pPr>
        <w:pStyle w:val="afffff7"/>
        <w:rPr>
          <w:rtl/>
        </w:rPr>
      </w:pPr>
      <w:bookmarkStart w:id="1354" w:name="_Toc135513669"/>
      <w:bookmarkStart w:id="1355" w:name="_Toc163505594"/>
      <w:r>
        <w:rPr>
          <w:rtl/>
        </w:rPr>
        <w:t>הרוקח הלכות שבת סי' נט</w:t>
      </w:r>
      <w:bookmarkEnd w:id="1354"/>
      <w:bookmarkEnd w:id="1355"/>
    </w:p>
    <w:p w14:paraId="21AF52F7" w14:textId="77777777" w:rsidR="000426DE" w:rsidRDefault="000426DE" w:rsidP="000426DE">
      <w:pPr>
        <w:pStyle w:val="afffff7"/>
        <w:rPr>
          <w:rtl/>
        </w:rPr>
      </w:pPr>
      <w:bookmarkStart w:id="1356" w:name="_Toc135513670"/>
      <w:bookmarkStart w:id="1357" w:name="_Toc163505595"/>
      <w:r>
        <w:rPr>
          <w:rtl/>
        </w:rPr>
        <w:t>כלבו סי' נח</w:t>
      </w:r>
      <w:r>
        <w:rPr>
          <w:rFonts w:hint="cs"/>
          <w:rtl/>
        </w:rPr>
        <w:t xml:space="preserve"> ד"ה מצודות</w:t>
      </w:r>
      <w:bookmarkEnd w:id="1356"/>
      <w:bookmarkEnd w:id="1357"/>
    </w:p>
    <w:p w14:paraId="5E0E9A75" w14:textId="77777777" w:rsidR="000426DE" w:rsidRDefault="000426DE" w:rsidP="000426DE">
      <w:pPr>
        <w:pStyle w:val="a7"/>
        <w:rPr>
          <w:rtl/>
        </w:rPr>
      </w:pPr>
      <w:bookmarkStart w:id="1358" w:name="_Toc139316320"/>
      <w:r>
        <w:rPr>
          <w:rFonts w:hint="cs"/>
          <w:rtl/>
        </w:rPr>
        <w:t>בי' הרוקח והכל בו דלהלכה קיי"ל דהשולה דג וכן כל דבר שמבדילו מחיותו חייב משום קוצר</w:t>
      </w:r>
      <w:bookmarkEnd w:id="1358"/>
    </w:p>
    <w:p w14:paraId="71485457" w14:textId="6573D806" w:rsidR="000426DE" w:rsidRPr="000114E1" w:rsidRDefault="000426DE" w:rsidP="00BC7DC8">
      <w:pPr>
        <w:pStyle w:val="a3"/>
        <w:rPr>
          <w:rtl/>
        </w:rPr>
      </w:pPr>
      <w:bookmarkStart w:id="1359" w:name="_Ref134475921"/>
      <w:r>
        <w:rPr>
          <w:rFonts w:hint="cs"/>
          <w:rtl/>
        </w:rPr>
        <w:t xml:space="preserve">הביאו </w:t>
      </w:r>
      <w:r w:rsidRPr="000D4E5E">
        <w:rPr>
          <w:rStyle w:val="aff4"/>
          <w:rFonts w:hint="cs"/>
          <w:vanish/>
          <w:rtl/>
        </w:rPr>
        <w:t>-</w:t>
      </w:r>
      <w:r w:rsidRPr="00572920">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Ref134475921 \r \h</w:instrText>
      </w:r>
      <w:r w:rsidRPr="00B53404">
        <w:rPr>
          <w:rStyle w:val="aff4"/>
          <w:vanish/>
          <w:rtl/>
        </w:rPr>
        <w:instrText xml:space="preserve">  \* </w:instrText>
      </w:r>
      <w:r w:rsidRPr="00B53404">
        <w:rPr>
          <w:rStyle w:val="aff4"/>
          <w:vanish/>
        </w:rPr>
        <w:instrText>MERGEFORMAT</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ח)</w:t>
      </w:r>
      <w:r w:rsidRPr="00B53404">
        <w:rPr>
          <w:rStyle w:val="aff4"/>
          <w:vanish/>
          <w:rtl/>
        </w:rPr>
        <w:fldChar w:fldCharType="end"/>
      </w:r>
      <w:r w:rsidRPr="00B53404">
        <w:rPr>
          <w:rStyle w:val="aff4"/>
          <w:rFonts w:hint="cs"/>
          <w:vanish/>
          <w:rtl/>
        </w:rPr>
        <w:t xml:space="preserve"> &gt;</w:t>
      </w:r>
      <w:r w:rsidRPr="00572920">
        <w:rPr>
          <w:rStyle w:val="aff4"/>
          <w:rFonts w:hint="cs"/>
          <w:rtl/>
        </w:rPr>
        <w:t>רוקח</w:t>
      </w:r>
      <w:r w:rsidRPr="000D4E5E">
        <w:rPr>
          <w:rStyle w:val="aff4"/>
          <w:rFonts w:hint="cs"/>
          <w:vanish/>
          <w:rtl/>
        </w:rPr>
        <w:t>-</w:t>
      </w:r>
      <w:bookmarkEnd w:id="1359"/>
      <w:r>
        <w:rPr>
          <w:rFonts w:hint="cs"/>
          <w:rtl/>
        </w:rPr>
        <w:t xml:space="preserve"> </w:t>
      </w:r>
      <w:r w:rsidRPr="00FB451D">
        <w:rPr>
          <w:rStyle w:val="af2"/>
          <w:rFonts w:eastAsia="Guttman Hodes" w:hint="cs"/>
          <w:rtl/>
        </w:rPr>
        <w:t xml:space="preserve">(שבת סי' נ"ט ד"ה הקוצר, הועתק בקובץ </w:t>
      </w:r>
      <w:r w:rsidRPr="00FB451D">
        <w:rPr>
          <w:rStyle w:val="af2"/>
          <w:rFonts w:eastAsia="Guttman Hodes"/>
          <w:rtl/>
        </w:rPr>
        <w:t>שי</w:t>
      </w:r>
      <w:r w:rsidRPr="00FB451D">
        <w:rPr>
          <w:rStyle w:val="af2"/>
          <w:rFonts w:eastAsia="Guttman Hodes" w:hint="cs"/>
          <w:rtl/>
        </w:rPr>
        <w:t>ט</w:t>
      </w:r>
      <w:r w:rsidRPr="00FB451D">
        <w:rPr>
          <w:rStyle w:val="af2"/>
          <w:rFonts w:eastAsia="Guttman Hodes"/>
          <w:rtl/>
        </w:rPr>
        <w:t xml:space="preserve">ות קמאי שבת </w:t>
      </w:r>
      <w:r w:rsidRPr="00FB451D">
        <w:rPr>
          <w:rStyle w:val="af2"/>
          <w:rFonts w:eastAsia="Guttman Hodes" w:hint="cs"/>
          <w:rtl/>
        </w:rPr>
        <w:t xml:space="preserve">ח"ב עמ' </w:t>
      </w:r>
      <w:r w:rsidRPr="00FB451D">
        <w:rPr>
          <w:rStyle w:val="af2"/>
          <w:rFonts w:eastAsia="Guttman Hodes"/>
          <w:rtl/>
        </w:rPr>
        <w:t>אלף ע</w:t>
      </w:r>
      <w:r w:rsidRPr="00FB451D">
        <w:rPr>
          <w:rStyle w:val="af2"/>
          <w:rFonts w:eastAsia="Guttman Hodes" w:hint="cs"/>
          <w:rtl/>
        </w:rPr>
        <w:t>"</w:t>
      </w:r>
      <w:r w:rsidRPr="00FB451D">
        <w:rPr>
          <w:rStyle w:val="af2"/>
          <w:rFonts w:eastAsia="Guttman Hodes"/>
          <w:rtl/>
        </w:rPr>
        <w:t>ג</w:t>
      </w:r>
      <w:r w:rsidRPr="00FB451D">
        <w:rPr>
          <w:rStyle w:val="af2"/>
          <w:rFonts w:eastAsia="Guttman Hodes" w:hint="cs"/>
          <w:rtl/>
        </w:rPr>
        <w:t>)</w:t>
      </w:r>
      <w:r w:rsidRPr="000D4E5E">
        <w:rPr>
          <w:rFonts w:hint="cs"/>
          <w:vanish/>
          <w:rtl/>
        </w:rPr>
        <w:t>=</w:t>
      </w:r>
      <w:r>
        <w:rPr>
          <w:rFonts w:hint="cs"/>
          <w:rtl/>
        </w:rPr>
        <w:t xml:space="preserve"> </w:t>
      </w:r>
      <w:r w:rsidRPr="000D4E5E">
        <w:rPr>
          <w:rStyle w:val="aff4"/>
          <w:rFonts w:hint="cs"/>
          <w:vanish/>
          <w:rtl/>
        </w:rPr>
        <w:t>-</w:t>
      </w:r>
      <w:r w:rsidRPr="00572920">
        <w:rPr>
          <w:rStyle w:val="aff4"/>
          <w:rFonts w:hint="cs"/>
          <w:rtl/>
        </w:rPr>
        <w:t>וה</w:t>
      </w:r>
      <w:r w:rsidRPr="00B53404">
        <w:rPr>
          <w:rStyle w:val="aff4"/>
          <w:rFonts w:hint="cs"/>
          <w:vanish/>
          <w:rtl/>
        </w:rPr>
        <w:t>&lt; &gt;</w:t>
      </w:r>
      <w:r w:rsidRPr="00572920">
        <w:rPr>
          <w:rStyle w:val="aff4"/>
          <w:rFonts w:hint="cs"/>
          <w:rtl/>
        </w:rPr>
        <w:t>כל בו</w:t>
      </w:r>
      <w:r w:rsidRPr="000D4E5E">
        <w:rPr>
          <w:rStyle w:val="aff4"/>
          <w:rFonts w:hint="cs"/>
          <w:vanish/>
          <w:rtl/>
        </w:rPr>
        <w:t>-</w:t>
      </w:r>
      <w:r>
        <w:rPr>
          <w:rFonts w:hint="cs"/>
          <w:rtl/>
        </w:rPr>
        <w:t xml:space="preserve"> </w:t>
      </w:r>
      <w:r w:rsidRPr="00FB451D">
        <w:rPr>
          <w:rStyle w:val="af2"/>
          <w:rFonts w:eastAsia="Guttman Hodes" w:hint="cs"/>
          <w:rtl/>
        </w:rPr>
        <w:t xml:space="preserve">(יו"ט </w:t>
      </w:r>
      <w:r w:rsidRPr="00FB451D">
        <w:rPr>
          <w:rStyle w:val="af2"/>
          <w:rFonts w:eastAsia="Guttman Hodes"/>
          <w:rtl/>
        </w:rPr>
        <w:t>סי</w:t>
      </w:r>
      <w:r w:rsidRPr="00FB451D">
        <w:rPr>
          <w:rStyle w:val="af2"/>
          <w:rFonts w:eastAsia="Guttman Hodes" w:hint="cs"/>
          <w:rtl/>
        </w:rPr>
        <w:t>'</w:t>
      </w:r>
      <w:r w:rsidRPr="00FB451D">
        <w:rPr>
          <w:rStyle w:val="af2"/>
          <w:rFonts w:eastAsia="Guttman Hodes"/>
          <w:rtl/>
        </w:rPr>
        <w:t xml:space="preserve"> נ</w:t>
      </w:r>
      <w:r w:rsidRPr="00FB451D">
        <w:rPr>
          <w:rStyle w:val="af2"/>
          <w:rFonts w:eastAsia="Guttman Hodes" w:hint="cs"/>
          <w:rtl/>
        </w:rPr>
        <w:t>"</w:t>
      </w:r>
      <w:r w:rsidRPr="00FB451D">
        <w:rPr>
          <w:rStyle w:val="af2"/>
          <w:rFonts w:eastAsia="Guttman Hodes"/>
          <w:rtl/>
        </w:rPr>
        <w:t>ח</w:t>
      </w:r>
      <w:r w:rsidRPr="00FB451D">
        <w:rPr>
          <w:rStyle w:val="af2"/>
          <w:rFonts w:eastAsia="Guttman Hodes" w:hint="cs"/>
          <w:rtl/>
        </w:rPr>
        <w:t xml:space="preserve"> ד"ה מצודות, הועתק בקובץ </w:t>
      </w:r>
      <w:r w:rsidRPr="00FB451D">
        <w:rPr>
          <w:rStyle w:val="af2"/>
          <w:rFonts w:eastAsia="Guttman Hodes"/>
          <w:rtl/>
        </w:rPr>
        <w:t>שי</w:t>
      </w:r>
      <w:r w:rsidRPr="00FB451D">
        <w:rPr>
          <w:rStyle w:val="af2"/>
          <w:rFonts w:eastAsia="Guttman Hodes" w:hint="cs"/>
          <w:rtl/>
        </w:rPr>
        <w:t>ט</w:t>
      </w:r>
      <w:r w:rsidRPr="00FB451D">
        <w:rPr>
          <w:rStyle w:val="af2"/>
          <w:rFonts w:eastAsia="Guttman Hodes"/>
          <w:rtl/>
        </w:rPr>
        <w:t xml:space="preserve">ות קמאי </w:t>
      </w:r>
      <w:r w:rsidRPr="00FB451D">
        <w:rPr>
          <w:rStyle w:val="af2"/>
          <w:rFonts w:eastAsia="Guttman Hodes" w:hint="cs"/>
          <w:rtl/>
        </w:rPr>
        <w:t>ביצה עמ' תשי"ז)</w:t>
      </w:r>
      <w:r w:rsidRPr="000D4E5E">
        <w:rPr>
          <w:rFonts w:hint="cs"/>
          <w:vanish/>
          <w:rtl/>
        </w:rPr>
        <w:t>=</w:t>
      </w:r>
      <w:r>
        <w:rPr>
          <w:rFonts w:hint="cs"/>
          <w:rtl/>
        </w:rPr>
        <w:t xml:space="preserve"> להלכה את דברי רבנן דקיסרין בירושלמי </w:t>
      </w:r>
      <w:r w:rsidRPr="00FB451D">
        <w:rPr>
          <w:rStyle w:val="af2"/>
          <w:rFonts w:eastAsia="Guttman Hodes" w:hint="cs"/>
          <w:rtl/>
        </w:rPr>
        <w:t>(פ"ז ה"ב, מח:)</w:t>
      </w:r>
      <w:r>
        <w:rPr>
          <w:rFonts w:hint="cs"/>
          <w:rtl/>
        </w:rPr>
        <w:t xml:space="preserve"> דהצד דגים וכל דבר שמבדילו מחיותו, חייב משום קוצר.</w:t>
      </w:r>
    </w:p>
    <w:p w14:paraId="7ED885A3" w14:textId="77777777" w:rsidR="000426DE" w:rsidRPr="00747170" w:rsidRDefault="000426DE" w:rsidP="00747170">
      <w:pPr>
        <w:pStyle w:val="a2"/>
        <w:rPr>
          <w:rtl/>
        </w:rPr>
      </w:pPr>
      <w:r w:rsidRPr="00747170">
        <w:rPr>
          <w:rtl/>
        </w:rPr>
        <w:lastRenderedPageBreak/>
        <w:t>ירושלמי מאן דצייד כוורא וכל דבר שמבטלו מחיותא חייב משום קוצר.</w:t>
      </w:r>
    </w:p>
    <w:p w14:paraId="538BBE1E" w14:textId="77777777" w:rsidR="000426DE" w:rsidRPr="00D578AC" w:rsidRDefault="000426DE" w:rsidP="00747170">
      <w:pPr>
        <w:pStyle w:val="afffff5"/>
        <w:rPr>
          <w:rtl/>
        </w:rPr>
      </w:pPr>
      <w:r w:rsidRPr="00D578AC">
        <w:rPr>
          <w:rtl/>
        </w:rPr>
        <w:t>ובצידת דגים אפשר לומר דטעם האסור משום תלישה מן המחובר שהיא אסורה ביום טוב כדאמרינן פרק כלל גדול מאן דצייד כוורא חייב משום קוצר.</w:t>
      </w:r>
    </w:p>
    <w:p w14:paraId="33096123" w14:textId="167BF075" w:rsidR="000426DE" w:rsidRDefault="000426DE" w:rsidP="000426DE">
      <w:pPr>
        <w:pStyle w:val="afffff7"/>
        <w:rPr>
          <w:rtl/>
        </w:rPr>
      </w:pPr>
      <w:bookmarkStart w:id="1360" w:name="_Toc135513671"/>
      <w:bookmarkStart w:id="1361" w:name="_Toc163505596"/>
      <w:r>
        <w:rPr>
          <w:rtl/>
        </w:rPr>
        <w:t>קרבן העדה שבת פ"ז מ"ח ב'</w:t>
      </w:r>
      <w:bookmarkEnd w:id="1360"/>
      <w:bookmarkEnd w:id="1361"/>
    </w:p>
    <w:p w14:paraId="09E04632" w14:textId="77777777" w:rsidR="000426DE" w:rsidRDefault="000426DE" w:rsidP="000426DE">
      <w:pPr>
        <w:pStyle w:val="afffff7"/>
        <w:rPr>
          <w:rtl/>
        </w:rPr>
      </w:pPr>
      <w:bookmarkStart w:id="1362" w:name="_Toc135513672"/>
      <w:bookmarkStart w:id="1363" w:name="_Toc163505597"/>
      <w:r>
        <w:rPr>
          <w:rtl/>
        </w:rPr>
        <w:t>פני משה שבת פ"ז מ"ח ב'</w:t>
      </w:r>
      <w:bookmarkEnd w:id="1362"/>
      <w:bookmarkEnd w:id="1363"/>
    </w:p>
    <w:p w14:paraId="7BF1B4C4" w14:textId="77777777" w:rsidR="000426DE" w:rsidRDefault="000426DE" w:rsidP="000426DE">
      <w:pPr>
        <w:pStyle w:val="a7"/>
        <w:rPr>
          <w:rtl/>
        </w:rPr>
      </w:pPr>
      <w:bookmarkStart w:id="1364" w:name="_Toc139316321"/>
      <w:r>
        <w:rPr>
          <w:rFonts w:hint="cs"/>
          <w:rtl/>
        </w:rPr>
        <w:t>בי' הקרבן העדה והפני משה דהירושלמי חייב בקוצר רק בדג שנצוד ועומד מבעוד יום</w:t>
      </w:r>
      <w:bookmarkEnd w:id="1364"/>
    </w:p>
    <w:p w14:paraId="02B0C3C9" w14:textId="52B649EF" w:rsidR="000426DE" w:rsidRDefault="000426DE" w:rsidP="00BC7DC8">
      <w:pPr>
        <w:pStyle w:val="a3"/>
        <w:rPr>
          <w:rtl/>
        </w:rPr>
      </w:pPr>
      <w:bookmarkStart w:id="1365" w:name="_Ref135305857"/>
      <w:r>
        <w:rPr>
          <w:rFonts w:hint="cs"/>
          <w:rtl/>
        </w:rPr>
        <w:t>בהא דאמרו</w:t>
      </w:r>
      <w:r w:rsidRPr="00AA066C">
        <w:rPr>
          <w:rFonts w:hint="cs"/>
          <w:rtl/>
        </w:rPr>
        <w:t xml:space="preserve"> </w:t>
      </w:r>
      <w:r>
        <w:rPr>
          <w:rFonts w:hint="cs"/>
          <w:rtl/>
        </w:rPr>
        <w:t xml:space="preserve">רבנן דקיסרין בירושלמי </w:t>
      </w:r>
      <w:r w:rsidRPr="00FB451D">
        <w:rPr>
          <w:rStyle w:val="af2"/>
          <w:rFonts w:eastAsia="Guttman Hodes" w:hint="cs"/>
          <w:rtl/>
        </w:rPr>
        <w:t>(פ"ז ה"ב, מח:)</w:t>
      </w:r>
      <w:r>
        <w:rPr>
          <w:rFonts w:hint="cs"/>
          <w:rtl/>
        </w:rPr>
        <w:t xml:space="preserve"> דהצד דגים וכל דבר שמבדילו מחיותו, חייב משום קוצר, ביארו </w:t>
      </w:r>
      <w:r w:rsidRPr="009C1377">
        <w:rPr>
          <w:rStyle w:val="aff4"/>
          <w:rFonts w:hint="cs"/>
          <w:vanish/>
          <w:rtl/>
        </w:rPr>
        <w:t>-</w:t>
      </w:r>
      <w:r w:rsidRPr="003704D9">
        <w:rPr>
          <w:rStyle w:val="aff4"/>
          <w:rFonts w:hint="cs"/>
          <w:rtl/>
        </w:rPr>
        <w:t>ה</w:t>
      </w:r>
      <w:r w:rsidRPr="009C1377">
        <w:rPr>
          <w:rStyle w:val="aff4"/>
          <w:rFonts w:hint="cs"/>
          <w:vanish/>
          <w:rtl/>
        </w:rPr>
        <w:t xml:space="preserve">&lt;. </w:t>
      </w:r>
      <w:r w:rsidRPr="009C1377">
        <w:rPr>
          <w:rStyle w:val="aff4"/>
          <w:vanish/>
          <w:rtl/>
        </w:rPr>
        <w:fldChar w:fldCharType="begin"/>
      </w:r>
      <w:r w:rsidRPr="009C1377">
        <w:rPr>
          <w:rStyle w:val="aff4"/>
          <w:vanish/>
          <w:rtl/>
        </w:rPr>
        <w:instrText xml:space="preserve"> </w:instrText>
      </w:r>
      <w:r w:rsidRPr="009C1377">
        <w:rPr>
          <w:rStyle w:val="aff4"/>
          <w:rFonts w:hint="cs"/>
          <w:vanish/>
        </w:rPr>
        <w:instrText>REF</w:instrText>
      </w:r>
      <w:r w:rsidRPr="009C1377">
        <w:rPr>
          <w:rStyle w:val="aff4"/>
          <w:rFonts w:hint="cs"/>
          <w:vanish/>
          <w:rtl/>
        </w:rPr>
        <w:instrText xml:space="preserve"> _</w:instrText>
      </w:r>
      <w:r w:rsidRPr="009C1377">
        <w:rPr>
          <w:rStyle w:val="aff4"/>
          <w:rFonts w:hint="cs"/>
          <w:vanish/>
        </w:rPr>
        <w:instrText>Ref135305857 \r \h</w:instrText>
      </w:r>
      <w:r w:rsidRPr="009C1377">
        <w:rPr>
          <w:rStyle w:val="aff4"/>
          <w:vanish/>
          <w:rtl/>
        </w:rPr>
        <w:instrText xml:space="preserve"> </w:instrText>
      </w:r>
      <w:r w:rsidRPr="009C1377">
        <w:rPr>
          <w:rStyle w:val="aff4"/>
          <w:vanish/>
          <w:rtl/>
        </w:rPr>
      </w:r>
      <w:r w:rsidRPr="009C1377">
        <w:rPr>
          <w:rStyle w:val="aff4"/>
          <w:vanish/>
          <w:rtl/>
        </w:rPr>
        <w:fldChar w:fldCharType="separate"/>
      </w:r>
      <w:r w:rsidR="00D82181">
        <w:rPr>
          <w:rStyle w:val="aff4"/>
          <w:vanish/>
          <w:cs/>
        </w:rPr>
        <w:t>‎</w:t>
      </w:r>
      <w:r w:rsidR="00D82181">
        <w:rPr>
          <w:rStyle w:val="aff4"/>
          <w:vanish/>
          <w:rtl/>
        </w:rPr>
        <w:t>ט)</w:t>
      </w:r>
      <w:r w:rsidRPr="009C1377">
        <w:rPr>
          <w:rStyle w:val="aff4"/>
          <w:vanish/>
          <w:rtl/>
        </w:rPr>
        <w:fldChar w:fldCharType="end"/>
      </w:r>
      <w:r w:rsidRPr="009C1377">
        <w:rPr>
          <w:rStyle w:val="aff4"/>
          <w:rFonts w:hint="cs"/>
          <w:vanish/>
          <w:rtl/>
        </w:rPr>
        <w:t xml:space="preserve"> &gt;</w:t>
      </w:r>
      <w:r w:rsidRPr="003704D9">
        <w:rPr>
          <w:rStyle w:val="aff4"/>
          <w:rFonts w:hint="cs"/>
          <w:rtl/>
        </w:rPr>
        <w:t>קרבן העדה</w:t>
      </w:r>
      <w:r w:rsidRPr="009C1377">
        <w:rPr>
          <w:rStyle w:val="aff4"/>
          <w:rFonts w:hint="cs"/>
          <w:vanish/>
          <w:rtl/>
        </w:rPr>
        <w:t>-</w:t>
      </w:r>
      <w:r>
        <w:rPr>
          <w:rFonts w:hint="cs"/>
          <w:rtl/>
        </w:rPr>
        <w:t xml:space="preserve"> </w:t>
      </w:r>
      <w:r w:rsidRPr="00FB451D">
        <w:rPr>
          <w:rStyle w:val="af2"/>
          <w:rFonts w:eastAsia="Guttman Hodes" w:hint="cs"/>
          <w:rtl/>
        </w:rPr>
        <w:t>(פ"ז ה"ב, מח: ד"ה ההן)</w:t>
      </w:r>
      <w:r w:rsidRPr="009C1377">
        <w:rPr>
          <w:rFonts w:hint="cs"/>
          <w:vanish/>
          <w:rtl/>
        </w:rPr>
        <w:t>=</w:t>
      </w:r>
      <w:r>
        <w:rPr>
          <w:rFonts w:hint="cs"/>
          <w:rtl/>
        </w:rPr>
        <w:t xml:space="preserve"> </w:t>
      </w:r>
      <w:r w:rsidRPr="009C1377">
        <w:rPr>
          <w:rStyle w:val="aff4"/>
          <w:rFonts w:hint="cs"/>
          <w:vanish/>
          <w:rtl/>
        </w:rPr>
        <w:t>-</w:t>
      </w:r>
      <w:r w:rsidRPr="003704D9">
        <w:rPr>
          <w:rStyle w:val="aff4"/>
          <w:rFonts w:hint="cs"/>
          <w:rtl/>
        </w:rPr>
        <w:t>וה</w:t>
      </w:r>
      <w:r w:rsidRPr="009C1377">
        <w:rPr>
          <w:rStyle w:val="aff4"/>
          <w:rFonts w:hint="cs"/>
          <w:vanish/>
          <w:rtl/>
        </w:rPr>
        <w:t>&lt; &gt;</w:t>
      </w:r>
      <w:r w:rsidRPr="003704D9">
        <w:rPr>
          <w:rStyle w:val="aff4"/>
          <w:rFonts w:hint="cs"/>
          <w:rtl/>
        </w:rPr>
        <w:t>פני משה</w:t>
      </w:r>
      <w:r w:rsidRPr="009C1377">
        <w:rPr>
          <w:rStyle w:val="aff4"/>
          <w:rFonts w:hint="cs"/>
          <w:vanish/>
          <w:rtl/>
        </w:rPr>
        <w:t>-</w:t>
      </w:r>
      <w:r>
        <w:rPr>
          <w:rFonts w:hint="cs"/>
          <w:rtl/>
        </w:rPr>
        <w:t xml:space="preserve"> </w:t>
      </w:r>
      <w:r w:rsidRPr="00FB451D">
        <w:rPr>
          <w:rStyle w:val="af2"/>
          <w:rFonts w:eastAsia="Guttman Hodes" w:hint="cs"/>
          <w:rtl/>
        </w:rPr>
        <w:t>(פ"ז ה"ב, מח: ד"ה הדין)</w:t>
      </w:r>
      <w:r w:rsidRPr="009C1377">
        <w:rPr>
          <w:rFonts w:hint="cs"/>
          <w:vanish/>
          <w:rtl/>
        </w:rPr>
        <w:t>=</w:t>
      </w:r>
      <w:r>
        <w:rPr>
          <w:rFonts w:hint="cs"/>
          <w:rtl/>
        </w:rPr>
        <w:t xml:space="preserve"> דאיירי בדג שנצוד מבמעוד יום, דלא שייך בו צידה וחיובו משום עוקר דבר מגידולו.</w:t>
      </w:r>
      <w:bookmarkEnd w:id="1365"/>
    </w:p>
    <w:p w14:paraId="52539DCE" w14:textId="77777777" w:rsidR="000426DE" w:rsidRPr="00747170" w:rsidRDefault="000426DE" w:rsidP="00747170">
      <w:pPr>
        <w:pStyle w:val="a2"/>
        <w:rPr>
          <w:rtl/>
        </w:rPr>
      </w:pPr>
      <w:r w:rsidRPr="00747170">
        <w:rPr>
          <w:rtl/>
        </w:rPr>
        <w:t>ההן דצייד כוורא. האי מאן דצד דגים ממקום שהיה ניצוד ועומד מבעוד יום:</w:t>
      </w:r>
    </w:p>
    <w:p w14:paraId="6CD9D2FC" w14:textId="77777777" w:rsidR="000426DE" w:rsidRPr="00D578AC" w:rsidRDefault="000426DE" w:rsidP="00747170">
      <w:pPr>
        <w:pStyle w:val="afffff5"/>
        <w:rPr>
          <w:rtl/>
        </w:rPr>
      </w:pPr>
      <w:r w:rsidRPr="00D578AC">
        <w:rPr>
          <w:rtl/>
        </w:rPr>
        <w:t>הדין דצייד כוורא וכו'. וכגון שאינו מתחייב משום צידה שכבר היה ניצוד ועומד ברשותו ומונח בתוך המים בכלי ונטלו בשבת חייב משום קוצר שעוקר דבר מגידולו ומבדילו מחיותו:</w:t>
      </w:r>
    </w:p>
    <w:p w14:paraId="7B7FF4A5" w14:textId="288D4E6E" w:rsidR="000426DE" w:rsidRDefault="000426DE" w:rsidP="000426DE">
      <w:pPr>
        <w:pStyle w:val="afffff7"/>
        <w:rPr>
          <w:rtl/>
        </w:rPr>
      </w:pPr>
      <w:bookmarkStart w:id="1366" w:name="_Toc135513673"/>
      <w:bookmarkStart w:id="1367" w:name="_Toc163505598"/>
      <w:r>
        <w:rPr>
          <w:rtl/>
        </w:rPr>
        <w:t>ים של שלמה ביצה פ</w:t>
      </w:r>
      <w:r>
        <w:rPr>
          <w:rFonts w:hint="cs"/>
          <w:rtl/>
        </w:rPr>
        <w:t>"</w:t>
      </w:r>
      <w:r>
        <w:rPr>
          <w:rtl/>
        </w:rPr>
        <w:t>ג סי</w:t>
      </w:r>
      <w:r>
        <w:rPr>
          <w:rFonts w:hint="cs"/>
          <w:rtl/>
        </w:rPr>
        <w:t>'</w:t>
      </w:r>
      <w:r>
        <w:rPr>
          <w:rtl/>
        </w:rPr>
        <w:t xml:space="preserve"> ב</w:t>
      </w:r>
      <w:r>
        <w:rPr>
          <w:rFonts w:hint="cs"/>
          <w:rtl/>
        </w:rPr>
        <w:t>' ד"ה ולענין</w:t>
      </w:r>
      <w:bookmarkEnd w:id="1366"/>
      <w:bookmarkEnd w:id="1367"/>
    </w:p>
    <w:p w14:paraId="76D95BBE" w14:textId="77777777" w:rsidR="000426DE" w:rsidRDefault="000426DE" w:rsidP="000426DE">
      <w:pPr>
        <w:pStyle w:val="afffff7"/>
        <w:rPr>
          <w:rtl/>
        </w:rPr>
      </w:pPr>
      <w:bookmarkStart w:id="1368" w:name="_Toc135513674"/>
      <w:bookmarkStart w:id="1369" w:name="_Toc163505599"/>
      <w:r>
        <w:rPr>
          <w:rtl/>
        </w:rPr>
        <w:t>מגן אברהם סימן תצז ס"ק ו</w:t>
      </w:r>
      <w:bookmarkEnd w:id="1368"/>
      <w:bookmarkEnd w:id="1369"/>
    </w:p>
    <w:p w14:paraId="0BA18755" w14:textId="77777777" w:rsidR="000426DE" w:rsidRDefault="000426DE" w:rsidP="000426DE">
      <w:pPr>
        <w:pStyle w:val="a7"/>
        <w:rPr>
          <w:rtl/>
        </w:rPr>
      </w:pPr>
      <w:bookmarkStart w:id="1370" w:name="_Toc139316322"/>
      <w:r>
        <w:rPr>
          <w:rFonts w:hint="cs"/>
          <w:rtl/>
        </w:rPr>
        <w:t>בי' היש"ש דבשולה דג חייב קוצר מיד אף אי החזירו למים ואחר שיבש חייב משום נטילת נשמה</w:t>
      </w:r>
      <w:bookmarkEnd w:id="1370"/>
      <w:r>
        <w:rPr>
          <w:rFonts w:hint="cs"/>
          <w:rtl/>
        </w:rPr>
        <w:t xml:space="preserve"> </w:t>
      </w:r>
    </w:p>
    <w:p w14:paraId="4ED16C5E" w14:textId="4EDE220D" w:rsidR="000426DE" w:rsidRPr="009338D3" w:rsidRDefault="000426DE" w:rsidP="00BC7DC8">
      <w:pPr>
        <w:pStyle w:val="a3"/>
        <w:rPr>
          <w:rStyle w:val="af"/>
          <w:rtl/>
        </w:rPr>
      </w:pPr>
      <w:bookmarkStart w:id="1371" w:name="_Ref134476810"/>
      <w:bookmarkStart w:id="1372" w:name="_Ref135380546"/>
      <w:r>
        <w:rPr>
          <w:rFonts w:hint="cs"/>
          <w:rtl/>
        </w:rPr>
        <w:t xml:space="preserve">הביא </w:t>
      </w:r>
      <w:r w:rsidRPr="007F356E">
        <w:rPr>
          <w:rStyle w:val="aff4"/>
          <w:rFonts w:hint="cs"/>
          <w:vanish/>
          <w:rtl/>
        </w:rPr>
        <w:t>-</w:t>
      </w:r>
      <w:r w:rsidRPr="001F02FD">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Ref134476810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י)</w:t>
      </w:r>
      <w:r w:rsidRPr="00B53404">
        <w:rPr>
          <w:rStyle w:val="aff4"/>
          <w:vanish/>
          <w:rtl/>
        </w:rPr>
        <w:fldChar w:fldCharType="end"/>
      </w:r>
      <w:r w:rsidRPr="00B53404">
        <w:rPr>
          <w:rStyle w:val="aff4"/>
          <w:rFonts w:hint="cs"/>
          <w:vanish/>
          <w:rtl/>
        </w:rPr>
        <w:t xml:space="preserve"> &gt;</w:t>
      </w:r>
      <w:r w:rsidRPr="001F02FD">
        <w:rPr>
          <w:rStyle w:val="aff4"/>
          <w:rFonts w:hint="cs"/>
          <w:rtl/>
        </w:rPr>
        <w:t>מג"א</w:t>
      </w:r>
      <w:r w:rsidRPr="007F356E">
        <w:rPr>
          <w:rStyle w:val="aff4"/>
          <w:rFonts w:hint="cs"/>
          <w:vanish/>
          <w:rtl/>
        </w:rPr>
        <w:t>-</w:t>
      </w:r>
      <w:r>
        <w:rPr>
          <w:rFonts w:hint="cs"/>
          <w:rtl/>
        </w:rPr>
        <w:t xml:space="preserve"> </w:t>
      </w:r>
      <w:r w:rsidRPr="00FB451D">
        <w:rPr>
          <w:rStyle w:val="af2"/>
          <w:rFonts w:eastAsia="Guttman Hodes" w:hint="cs"/>
          <w:rtl/>
        </w:rPr>
        <w:t>(סי' תצ"ז סוס"ק ו')</w:t>
      </w:r>
      <w:r w:rsidRPr="007F356E">
        <w:rPr>
          <w:rFonts w:hint="cs"/>
          <w:vanish/>
          <w:rtl/>
        </w:rPr>
        <w:t>=</w:t>
      </w:r>
      <w:r>
        <w:rPr>
          <w:rFonts w:hint="cs"/>
          <w:rtl/>
        </w:rPr>
        <w:t xml:space="preserve"> את דברי </w:t>
      </w:r>
      <w:r w:rsidRPr="000D4E5E">
        <w:rPr>
          <w:rStyle w:val="aff4"/>
          <w:rFonts w:hint="cs"/>
          <w:vanish/>
          <w:rtl/>
        </w:rPr>
        <w:t>-</w:t>
      </w:r>
      <w:r w:rsidRPr="00572920">
        <w:rPr>
          <w:rStyle w:val="aff4"/>
          <w:rFonts w:hint="cs"/>
          <w:rtl/>
        </w:rPr>
        <w:t>ה</w:t>
      </w:r>
      <w:r w:rsidRPr="00CD60C0">
        <w:rPr>
          <w:rStyle w:val="aff4"/>
          <w:rFonts w:hint="cs"/>
          <w:vanish/>
          <w:rtl/>
        </w:rPr>
        <w:t>&lt; &gt;</w:t>
      </w:r>
      <w:r w:rsidRPr="00572920">
        <w:rPr>
          <w:rStyle w:val="aff4"/>
          <w:rFonts w:hint="cs"/>
          <w:rtl/>
        </w:rPr>
        <w:t>יש"ש בביצה</w:t>
      </w:r>
      <w:r w:rsidRPr="000D4E5E">
        <w:rPr>
          <w:rStyle w:val="aff4"/>
          <w:rFonts w:hint="cs"/>
          <w:vanish/>
          <w:rtl/>
        </w:rPr>
        <w:t>-</w:t>
      </w:r>
      <w:r>
        <w:rPr>
          <w:rFonts w:hint="cs"/>
          <w:rtl/>
        </w:rPr>
        <w:t xml:space="preserve"> </w:t>
      </w:r>
      <w:r w:rsidRPr="00FB451D">
        <w:rPr>
          <w:rStyle w:val="af2"/>
          <w:rFonts w:eastAsia="Guttman Hodes" w:hint="cs"/>
          <w:rtl/>
        </w:rPr>
        <w:t>(פ"ג סי' ב' ד"ה ולענין)</w:t>
      </w:r>
      <w:r w:rsidRPr="000D4E5E">
        <w:rPr>
          <w:rFonts w:hint="cs"/>
          <w:vanish/>
          <w:rtl/>
        </w:rPr>
        <w:t>=</w:t>
      </w:r>
      <w:r>
        <w:rPr>
          <w:rFonts w:hint="cs"/>
          <w:rtl/>
        </w:rPr>
        <w:t xml:space="preserve"> דכתב דהא דאמרו רבנן דקיסרין בירושלמי </w:t>
      </w:r>
      <w:r w:rsidRPr="00FB451D">
        <w:rPr>
          <w:rStyle w:val="af2"/>
          <w:rFonts w:eastAsia="Guttman Hodes" w:hint="cs"/>
          <w:rtl/>
        </w:rPr>
        <w:t>(פ"ז ה"ב, מח:)</w:t>
      </w:r>
      <w:r>
        <w:rPr>
          <w:rFonts w:hint="cs"/>
          <w:rtl/>
        </w:rPr>
        <w:t xml:space="preserve"> דהצד דגים וכל דבר שמבדילו מחיותו, חייב משום קוצר, היינו אף אם לא הניחו מחוץ למים עד שמת, דבכה"ג החיוב הוא מדין נטילת נשמה, כדאיתא בגמ' לקמן </w:t>
      </w:r>
      <w:r w:rsidRPr="00FB451D">
        <w:rPr>
          <w:rStyle w:val="af2"/>
          <w:rFonts w:eastAsia="Guttman Hodes" w:hint="cs"/>
          <w:rtl/>
        </w:rPr>
        <w:t>(קז:)</w:t>
      </w:r>
      <w:r>
        <w:rPr>
          <w:rFonts w:hint="cs"/>
          <w:rtl/>
        </w:rPr>
        <w:t xml:space="preserve">, וכן איתא בירושלמי </w:t>
      </w:r>
      <w:r w:rsidRPr="00FB451D">
        <w:rPr>
          <w:rStyle w:val="af2"/>
          <w:rFonts w:eastAsia="Guttman Hodes" w:hint="cs"/>
          <w:rtl/>
        </w:rPr>
        <w:t>(פ"ז ה"ב, נב.)</w:t>
      </w:r>
      <w:r>
        <w:rPr>
          <w:rFonts w:hint="cs"/>
          <w:rtl/>
        </w:rPr>
        <w:t xml:space="preserve"> דהצד חלזון חייב גם משום צידה וגם משום נטילת נשמה, </w:t>
      </w:r>
      <w:r w:rsidRPr="007A72D8">
        <w:rPr>
          <w:rStyle w:val="af"/>
          <w:rFonts w:hint="cs"/>
          <w:rtl/>
        </w:rPr>
        <w:t>[והא דנחלקו בירושלמי אי חייב שתים היינו דוקא בחלזון, עיי"ש, אבל בכל צידה לכו"ע חייב שתים]</w:t>
      </w:r>
      <w:r w:rsidRPr="009C1377">
        <w:rPr>
          <w:rStyle w:val="af"/>
          <w:rFonts w:hint="cs"/>
          <w:rtl/>
        </w:rPr>
        <w:t>,</w:t>
      </w:r>
      <w:r>
        <w:rPr>
          <w:rFonts w:hint="cs"/>
          <w:rtl/>
        </w:rPr>
        <w:t xml:space="preserve"> וכתב </w:t>
      </w:r>
      <w:r w:rsidRPr="000D4E5E">
        <w:rPr>
          <w:rStyle w:val="aff4"/>
          <w:rFonts w:hint="cs"/>
          <w:vanish/>
          <w:rtl/>
        </w:rPr>
        <w:t>-</w:t>
      </w:r>
      <w:r w:rsidRPr="00572920">
        <w:rPr>
          <w:rStyle w:val="aff4"/>
          <w:rFonts w:hint="cs"/>
          <w:rtl/>
        </w:rPr>
        <w:t>היש"ש בביצה</w:t>
      </w:r>
      <w:r w:rsidRPr="000D4E5E">
        <w:rPr>
          <w:rStyle w:val="aff4"/>
          <w:rFonts w:hint="cs"/>
          <w:vanish/>
          <w:rtl/>
        </w:rPr>
        <w:t>-</w:t>
      </w:r>
      <w:r>
        <w:rPr>
          <w:rFonts w:hint="cs"/>
          <w:rtl/>
        </w:rPr>
        <w:t xml:space="preserve"> דמוכח דהחיוב משום קוצר הוא אף כשהחזירו אח"כ למים, דמ"מ חייב, וביאר </w:t>
      </w:r>
      <w:r w:rsidRPr="000D4E5E">
        <w:rPr>
          <w:rStyle w:val="aff4"/>
          <w:rFonts w:hint="cs"/>
          <w:vanish/>
          <w:rtl/>
        </w:rPr>
        <w:t>-</w:t>
      </w:r>
      <w:r w:rsidRPr="00572920">
        <w:rPr>
          <w:rStyle w:val="aff4"/>
          <w:rFonts w:hint="cs"/>
          <w:rtl/>
        </w:rPr>
        <w:t>היש"ש בביצה</w:t>
      </w:r>
      <w:r w:rsidRPr="000D4E5E">
        <w:rPr>
          <w:rStyle w:val="aff4"/>
          <w:rFonts w:hint="cs"/>
          <w:vanish/>
          <w:rtl/>
        </w:rPr>
        <w:t>-</w:t>
      </w:r>
      <w:r>
        <w:rPr>
          <w:rFonts w:hint="cs"/>
          <w:rtl/>
        </w:rPr>
        <w:t xml:space="preserve"> דבכל בהמה וחיה החיוב הוא משום צידה, אבל בדגים שהם מכוסין מהעין וגדלים במים, הצידה שלהם היא כקצירה, </w:t>
      </w:r>
      <w:r w:rsidRPr="007A72D8">
        <w:rPr>
          <w:rStyle w:val="af"/>
          <w:rFonts w:hint="cs"/>
          <w:rtl/>
        </w:rPr>
        <w:t xml:space="preserve">[ונ"מ לענין חיוב ביו"ט דצידה מותרת וקצירה אסורה, ודחה </w:t>
      </w:r>
      <w:r w:rsidRPr="00394B7E">
        <w:rPr>
          <w:rStyle w:val="aff9"/>
          <w:rFonts w:hint="cs"/>
          <w:vanish/>
          <w:rtl/>
        </w:rPr>
        <w:t>-</w:t>
      </w:r>
      <w:r w:rsidRPr="00394B7E">
        <w:rPr>
          <w:rStyle w:val="aff9"/>
          <w:rFonts w:hint="cs"/>
          <w:rtl/>
        </w:rPr>
        <w:t>המג"א</w:t>
      </w:r>
      <w:r w:rsidRPr="00394B7E">
        <w:rPr>
          <w:rStyle w:val="aff9"/>
          <w:rFonts w:hint="cs"/>
          <w:vanish/>
          <w:rtl/>
        </w:rPr>
        <w:t>-</w:t>
      </w:r>
      <w:r w:rsidRPr="007A72D8">
        <w:rPr>
          <w:rStyle w:val="af"/>
          <w:rFonts w:hint="cs"/>
          <w:rtl/>
        </w:rPr>
        <w:t xml:space="preserve"> דהירושלמי איירי בדג שהוא ניצוד והוא בספל של מים, ובזה חייב, משום קוצר, כיון דגורם לו מיתה, וכתב </w:t>
      </w:r>
      <w:r w:rsidRPr="00394B7E">
        <w:rPr>
          <w:rStyle w:val="aff9"/>
          <w:rFonts w:hint="cs"/>
          <w:vanish/>
          <w:rtl/>
        </w:rPr>
        <w:t>-</w:t>
      </w:r>
      <w:r w:rsidRPr="00394B7E">
        <w:rPr>
          <w:rStyle w:val="aff9"/>
          <w:rFonts w:hint="cs"/>
          <w:rtl/>
        </w:rPr>
        <w:t>המג"א</w:t>
      </w:r>
      <w:r w:rsidRPr="00394B7E">
        <w:rPr>
          <w:rStyle w:val="aff9"/>
          <w:rFonts w:hint="cs"/>
          <w:vanish/>
          <w:rtl/>
        </w:rPr>
        <w:t>-</w:t>
      </w:r>
      <w:r w:rsidRPr="007A72D8">
        <w:rPr>
          <w:rStyle w:val="af"/>
          <w:rFonts w:hint="cs"/>
          <w:rtl/>
        </w:rPr>
        <w:t xml:space="preserve"> דהא דכתב </w:t>
      </w:r>
      <w:r w:rsidRPr="00394B7E">
        <w:rPr>
          <w:rStyle w:val="aff9"/>
          <w:rFonts w:hint="cs"/>
          <w:vanish/>
          <w:rtl/>
        </w:rPr>
        <w:t>-</w:t>
      </w:r>
      <w:r w:rsidRPr="00394B7E">
        <w:rPr>
          <w:rStyle w:val="aff9"/>
          <w:rFonts w:hint="cs"/>
          <w:rtl/>
        </w:rPr>
        <w:t>רש"י לקמן</w:t>
      </w:r>
      <w:r w:rsidRPr="00394B7E">
        <w:rPr>
          <w:rStyle w:val="aff9"/>
          <w:rFonts w:hint="cs"/>
          <w:vanish/>
          <w:rtl/>
        </w:rPr>
        <w:t>-</w:t>
      </w:r>
      <w:r w:rsidRPr="007A72D8">
        <w:rPr>
          <w:rStyle w:val="af"/>
          <w:rFonts w:hint="cs"/>
          <w:rtl/>
        </w:rPr>
        <w:t xml:space="preserve"> </w:t>
      </w:r>
      <w:r w:rsidRPr="00394B7E">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Ref135405568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א)</w:t>
      </w:r>
      <w:r>
        <w:rPr>
          <w:rStyle w:val="aff0"/>
          <w:rtl/>
        </w:rPr>
        <w:fldChar w:fldCharType="end"/>
      </w:r>
      <w:r w:rsidRPr="007A72D8">
        <w:rPr>
          <w:rStyle w:val="af"/>
          <w:rFonts w:hint="cs"/>
          <w:rtl/>
        </w:rPr>
        <w:t xml:space="preserve"> דחייב משום נטילת נשמה, אפש"ל דהירושלמי פליג כדביאר </w:t>
      </w:r>
      <w:r w:rsidRPr="00394B7E">
        <w:rPr>
          <w:rStyle w:val="aff9"/>
          <w:rFonts w:hint="cs"/>
          <w:vanish/>
          <w:rtl/>
        </w:rPr>
        <w:t>-</w:t>
      </w:r>
      <w:r w:rsidRPr="00394B7E">
        <w:rPr>
          <w:rStyle w:val="aff9"/>
          <w:rFonts w:hint="cs"/>
          <w:rtl/>
        </w:rPr>
        <w:t>הרמב"ן</w:t>
      </w:r>
      <w:r w:rsidRPr="00394B7E">
        <w:rPr>
          <w:rStyle w:val="aff9"/>
          <w:rFonts w:hint="cs"/>
          <w:vanish/>
          <w:rtl/>
        </w:rPr>
        <w:t>-</w:t>
      </w:r>
      <w:r w:rsidRPr="007A72D8">
        <w:rPr>
          <w:rStyle w:val="af"/>
          <w:rFonts w:hint="cs"/>
          <w:rtl/>
        </w:rPr>
        <w:t xml:space="preserve"> </w:t>
      </w:r>
      <w:r w:rsidRPr="00394B7E">
        <w:rPr>
          <w:rStyle w:val="aff0"/>
          <w:rFonts w:hint="cs"/>
          <w:rtl/>
        </w:rPr>
        <w:t xml:space="preserve">(עי' אות </w:t>
      </w:r>
      <w:r w:rsidRPr="00394B7E">
        <w:rPr>
          <w:rStyle w:val="aff0"/>
          <w:rtl/>
        </w:rPr>
        <w:fldChar w:fldCharType="begin"/>
      </w:r>
      <w:r w:rsidRPr="00394B7E">
        <w:rPr>
          <w:rStyle w:val="aff0"/>
          <w:rtl/>
        </w:rPr>
        <w:instrText xml:space="preserve"> </w:instrText>
      </w:r>
      <w:r w:rsidRPr="00394B7E">
        <w:rPr>
          <w:rStyle w:val="aff0"/>
          <w:rFonts w:hint="cs"/>
        </w:rPr>
        <w:instrText>REF</w:instrText>
      </w:r>
      <w:r w:rsidRPr="00394B7E">
        <w:rPr>
          <w:rStyle w:val="aff0"/>
          <w:rFonts w:hint="cs"/>
          <w:rtl/>
        </w:rPr>
        <w:instrText xml:space="preserve"> _</w:instrText>
      </w:r>
      <w:r w:rsidRPr="00394B7E">
        <w:rPr>
          <w:rStyle w:val="aff0"/>
          <w:rFonts w:hint="cs"/>
        </w:rPr>
        <w:instrText>Ref135148367 \r \h</w:instrText>
      </w:r>
      <w:r w:rsidRPr="00394B7E">
        <w:rPr>
          <w:rStyle w:val="aff0"/>
          <w:rtl/>
        </w:rPr>
        <w:instrText xml:space="preserve"> </w:instrText>
      </w:r>
      <w:r w:rsidRPr="00394B7E">
        <w:rPr>
          <w:rStyle w:val="aff0"/>
          <w:rtl/>
        </w:rPr>
      </w:r>
      <w:r w:rsidRPr="00394B7E">
        <w:rPr>
          <w:rStyle w:val="aff0"/>
          <w:rtl/>
        </w:rPr>
        <w:fldChar w:fldCharType="separate"/>
      </w:r>
      <w:r w:rsidR="00D82181">
        <w:rPr>
          <w:rStyle w:val="aff0"/>
          <w:cs/>
        </w:rPr>
        <w:t>‎</w:t>
      </w:r>
      <w:r w:rsidR="00D82181">
        <w:rPr>
          <w:rStyle w:val="aff0"/>
          <w:rtl/>
        </w:rPr>
        <w:t>ד)</w:t>
      </w:r>
      <w:r w:rsidRPr="00394B7E">
        <w:rPr>
          <w:rStyle w:val="aff0"/>
          <w:rtl/>
        </w:rPr>
        <w:fldChar w:fldCharType="end"/>
      </w:r>
      <w:r w:rsidRPr="007A72D8">
        <w:rPr>
          <w:rStyle w:val="af"/>
          <w:rFonts w:hint="cs"/>
          <w:rtl/>
        </w:rPr>
        <w:t>, וס"ל דחייב משום עוקר דבר מגידולו, אך מ"מ פשיטא דיש צידה בדגים, וכל שאין הדג ניצוד חייב בו משום צידה]</w:t>
      </w:r>
      <w:bookmarkEnd w:id="1371"/>
      <w:r w:rsidRPr="00CD1359">
        <w:rPr>
          <w:rStyle w:val="af"/>
          <w:rFonts w:hint="cs"/>
          <w:rtl/>
        </w:rPr>
        <w:t>.</w:t>
      </w:r>
      <w:bookmarkEnd w:id="1372"/>
    </w:p>
    <w:p w14:paraId="53373D98" w14:textId="77777777" w:rsidR="000426DE" w:rsidRPr="00747170" w:rsidRDefault="000426DE" w:rsidP="00747170">
      <w:pPr>
        <w:pStyle w:val="a2"/>
        <w:rPr>
          <w:rtl/>
        </w:rPr>
      </w:pPr>
      <w:r w:rsidRPr="00747170">
        <w:rPr>
          <w:rtl/>
        </w:rPr>
        <w:t>ומ"מ נ"ל, דוקא בביבר, שהדגים שטים במים, כמו בבריכה, ואוכלין מעפר הארץ ועשבים, א"כ הצד אותם הוי כעוקר אותם ממקום גידולם, ומשום הכי אמרינן נמי בירושלמי פ' כלל גדול (שבת פ"ז ה"ב) רבנן דקסריא אמרי, ההוא דצייד כוורא, וכל דבר שאתה מבדילו מחיותו, חייב משום קוצר, ומסתמא לא איירי שהניחו מבחוץ עד שמת, כדאמר שמואל בפ' ח' שרצים (שם) דא"כ (ס"ל) [הוי ליה] חייב משום נטילת נשמה, כמ"ש הירושלמי אח"כ, גבי צד חלזון ופצעו, אלא איירי בכל גווני, אפי' החזירו אח"כ למים, מ"מ חייב משום צידה, דתחילת צידתו הוה כאילו מבדילין מחיותו, וממקום גידולו, ומש"ה מחייב בכל ענין, אפי' אינו מחוסר צידה, ומשום הכי לא קאמר דמחייב משום צד, האב מלאכה דצד, דהוה במשכן, דהיינו חיות ועופות, כולן מחוסרין צידה הן, ואם אין מחוסרין צידה לא, אבל גבי דגים, שהן מכוסין מן העין, וגדלין במים, כל מה שאתה צד מהם, הוי כקצירה שלהם, ומשום הכי חייב אפי' בי"ט. ומ"מ דוקא בביברין שהן על הארץ, אבל מה שיש ארגז מנוקב בתוך המים, לא שייך בהו צידה כלל, אפי' אם צריך מצודה קטנה להושיט מן הארגז, אין שם צידה עליהן, ושרי בי"ט לצוד מהן:</w:t>
      </w:r>
    </w:p>
    <w:p w14:paraId="0942DC32" w14:textId="77777777" w:rsidR="000426DE" w:rsidRPr="00D578AC" w:rsidRDefault="000426DE" w:rsidP="00747170">
      <w:pPr>
        <w:pStyle w:val="afffff5"/>
        <w:rPr>
          <w:rtl/>
        </w:rPr>
      </w:pPr>
      <w:r w:rsidRPr="00D578AC">
        <w:rPr>
          <w:rtl/>
        </w:rPr>
        <w:t>ולא ידעתי דהא דאיתא בירושלמי כל דבר שאתה מבדילו מחיותו חייב משום קוצר מיירי בדג שהוא ניצוד ועומד בספל של מים והעלהו מן הספל בשבת חייב שגורם לדג שימות וכ"ה בגמרא דילן סוף דף ק"ז ברש"י ותוספת ואף על גב דבגמ' פירש"י משום נטילת נשמה י"ל דהירוש' ס"ל משום עוקר דבר (מגידולו) אבל פשיטא דשייך בדגים צידה כמ"ש כל הפוסקים ומ"ש ומ"ה חייב אפי' בי"ט כלומר דקצירה אסורה בי"ט אינה ראיה דאף צידה אסורה בי"ט:</w:t>
      </w:r>
    </w:p>
    <w:p w14:paraId="650613D2" w14:textId="79E5626D" w:rsidR="000426DE" w:rsidRDefault="000426DE" w:rsidP="000426DE">
      <w:pPr>
        <w:pStyle w:val="afffff7"/>
        <w:rPr>
          <w:rtl/>
        </w:rPr>
      </w:pPr>
      <w:bookmarkStart w:id="1373" w:name="_Toc135513675"/>
      <w:bookmarkStart w:id="1374" w:name="_Toc163505600"/>
      <w:r>
        <w:rPr>
          <w:rtl/>
        </w:rPr>
        <w:t>פרי מגדים אורח חיים אשל אברהם סימן שטז ס"ק יז</w:t>
      </w:r>
      <w:bookmarkEnd w:id="1373"/>
      <w:bookmarkEnd w:id="1374"/>
    </w:p>
    <w:p w14:paraId="35335F31" w14:textId="77777777" w:rsidR="000426DE" w:rsidRDefault="000426DE" w:rsidP="000426DE">
      <w:pPr>
        <w:pStyle w:val="afffff7"/>
        <w:rPr>
          <w:rtl/>
        </w:rPr>
      </w:pPr>
      <w:bookmarkStart w:id="1375" w:name="_Toc135513676"/>
      <w:bookmarkStart w:id="1376" w:name="_Toc163505601"/>
      <w:r>
        <w:rPr>
          <w:rtl/>
        </w:rPr>
        <w:t xml:space="preserve">מחצית השקל </w:t>
      </w:r>
      <w:r>
        <w:rPr>
          <w:rFonts w:hint="cs"/>
          <w:rtl/>
        </w:rPr>
        <w:t>או"ח</w:t>
      </w:r>
      <w:r>
        <w:rPr>
          <w:rtl/>
        </w:rPr>
        <w:t xml:space="preserve"> סימן תצז ס"ק ו</w:t>
      </w:r>
      <w:bookmarkEnd w:id="1375"/>
      <w:bookmarkEnd w:id="1376"/>
    </w:p>
    <w:p w14:paraId="0ED7B6F7" w14:textId="77777777" w:rsidR="000426DE" w:rsidRPr="00EA7F1C" w:rsidRDefault="000426DE" w:rsidP="000426DE">
      <w:pPr>
        <w:pStyle w:val="a7"/>
      </w:pPr>
      <w:bookmarkStart w:id="1377" w:name="_Toc139316323"/>
      <w:r>
        <w:rPr>
          <w:rFonts w:hint="cs"/>
          <w:rtl/>
        </w:rPr>
        <w:t>בי' המחה"ש והפרמ"ג דנקט הירו' קוצר דחייב מיד ובהחזירו למים פטור דלא עקרו מגידלו</w:t>
      </w:r>
      <w:bookmarkEnd w:id="1377"/>
    </w:p>
    <w:p w14:paraId="0492E53F" w14:textId="53FB62C4" w:rsidR="000426DE" w:rsidRDefault="000426DE" w:rsidP="00BC7DC8">
      <w:pPr>
        <w:pStyle w:val="a3"/>
        <w:rPr>
          <w:rtl/>
        </w:rPr>
      </w:pPr>
      <w:bookmarkStart w:id="1378" w:name="_Ref135238118"/>
      <w:r>
        <w:rPr>
          <w:rFonts w:hint="cs"/>
          <w:rtl/>
        </w:rPr>
        <w:t xml:space="preserve">וכ"כ </w:t>
      </w:r>
      <w:r w:rsidRPr="007F356E">
        <w:rPr>
          <w:rStyle w:val="aff4"/>
          <w:rFonts w:hint="cs"/>
          <w:vanish/>
          <w:rtl/>
        </w:rPr>
        <w:t>-</w:t>
      </w:r>
      <w:r w:rsidRPr="001F02FD">
        <w:rPr>
          <w:rStyle w:val="aff4"/>
          <w:rFonts w:hint="cs"/>
          <w:rtl/>
        </w:rPr>
        <w:t>ה</w:t>
      </w:r>
      <w:r w:rsidRPr="00614FD1">
        <w:rPr>
          <w:rStyle w:val="aff4"/>
          <w:rFonts w:hint="cs"/>
          <w:vanish/>
          <w:rtl/>
        </w:rPr>
        <w:t xml:space="preserve">&lt;. </w:t>
      </w:r>
      <w:r w:rsidRPr="00614FD1">
        <w:rPr>
          <w:rStyle w:val="aff4"/>
          <w:vanish/>
          <w:rtl/>
        </w:rPr>
        <w:fldChar w:fldCharType="begin"/>
      </w:r>
      <w:r w:rsidRPr="00614FD1">
        <w:rPr>
          <w:rStyle w:val="aff4"/>
          <w:vanish/>
          <w:rtl/>
        </w:rPr>
        <w:instrText xml:space="preserve"> </w:instrText>
      </w:r>
      <w:r w:rsidRPr="00614FD1">
        <w:rPr>
          <w:rStyle w:val="aff4"/>
          <w:rFonts w:hint="cs"/>
          <w:vanish/>
        </w:rPr>
        <w:instrText>REF</w:instrText>
      </w:r>
      <w:r w:rsidRPr="00614FD1">
        <w:rPr>
          <w:rStyle w:val="aff4"/>
          <w:rFonts w:hint="cs"/>
          <w:vanish/>
          <w:rtl/>
        </w:rPr>
        <w:instrText xml:space="preserve"> _</w:instrText>
      </w:r>
      <w:r w:rsidRPr="00614FD1">
        <w:rPr>
          <w:rStyle w:val="aff4"/>
          <w:rFonts w:hint="cs"/>
          <w:vanish/>
        </w:rPr>
        <w:instrText>Ref135238118 \r \h</w:instrText>
      </w:r>
      <w:r w:rsidRPr="00614FD1">
        <w:rPr>
          <w:rStyle w:val="aff4"/>
          <w:vanish/>
          <w:rtl/>
        </w:rPr>
        <w:instrText xml:space="preserve"> </w:instrText>
      </w:r>
      <w:r>
        <w:rPr>
          <w:rStyle w:val="aff4"/>
          <w:vanish/>
          <w:rtl/>
        </w:rPr>
        <w:instrText xml:space="preserve"> \* </w:instrText>
      </w:r>
      <w:r>
        <w:rPr>
          <w:rStyle w:val="aff4"/>
          <w:vanish/>
        </w:rPr>
        <w:instrText>MERGEFORMAT</w:instrText>
      </w:r>
      <w:r>
        <w:rPr>
          <w:rStyle w:val="aff4"/>
          <w:vanish/>
          <w:rtl/>
        </w:rPr>
        <w:instrText xml:space="preserve"> </w:instrText>
      </w:r>
      <w:r w:rsidRPr="00614FD1">
        <w:rPr>
          <w:rStyle w:val="aff4"/>
          <w:vanish/>
          <w:rtl/>
        </w:rPr>
      </w:r>
      <w:r w:rsidRPr="00614FD1">
        <w:rPr>
          <w:rStyle w:val="aff4"/>
          <w:vanish/>
          <w:rtl/>
        </w:rPr>
        <w:fldChar w:fldCharType="separate"/>
      </w:r>
      <w:r w:rsidR="00D82181">
        <w:rPr>
          <w:rStyle w:val="aff4"/>
          <w:vanish/>
          <w:cs/>
        </w:rPr>
        <w:t>‎</w:t>
      </w:r>
      <w:r w:rsidR="00D82181">
        <w:rPr>
          <w:rStyle w:val="aff4"/>
          <w:vanish/>
          <w:rtl/>
        </w:rPr>
        <w:t>יא)</w:t>
      </w:r>
      <w:r w:rsidRPr="00614FD1">
        <w:rPr>
          <w:rStyle w:val="aff4"/>
          <w:vanish/>
          <w:rtl/>
        </w:rPr>
        <w:fldChar w:fldCharType="end"/>
      </w:r>
      <w:r w:rsidRPr="00614FD1">
        <w:rPr>
          <w:rStyle w:val="aff4"/>
          <w:rFonts w:hint="cs"/>
          <w:vanish/>
          <w:rtl/>
        </w:rPr>
        <w:t xml:space="preserve"> &gt;</w:t>
      </w:r>
      <w:r w:rsidRPr="001F02FD">
        <w:rPr>
          <w:rStyle w:val="aff4"/>
          <w:rFonts w:hint="cs"/>
          <w:rtl/>
        </w:rPr>
        <w:t>פרמ"ג</w:t>
      </w:r>
      <w:r w:rsidRPr="007F356E">
        <w:rPr>
          <w:rStyle w:val="aff4"/>
          <w:rFonts w:hint="cs"/>
          <w:vanish/>
          <w:rtl/>
        </w:rPr>
        <w:t>-</w:t>
      </w:r>
      <w:r>
        <w:rPr>
          <w:rFonts w:hint="cs"/>
          <w:rtl/>
        </w:rPr>
        <w:t xml:space="preserve"> </w:t>
      </w:r>
      <w:r w:rsidRPr="00FB451D">
        <w:rPr>
          <w:rStyle w:val="af2"/>
          <w:rFonts w:eastAsia="Guttman Hodes" w:hint="cs"/>
          <w:rtl/>
        </w:rPr>
        <w:t>(סי' שט"ז א"א סוס"ק י"ז)</w:t>
      </w:r>
      <w:r w:rsidRPr="007F356E">
        <w:rPr>
          <w:rFonts w:hint="cs"/>
          <w:vanish/>
          <w:rtl/>
        </w:rPr>
        <w:t>=</w:t>
      </w:r>
      <w:r>
        <w:rPr>
          <w:rFonts w:hint="cs"/>
          <w:rtl/>
        </w:rPr>
        <w:t xml:space="preserve"> דמ"ש </w:t>
      </w:r>
      <w:r w:rsidRPr="007F356E">
        <w:rPr>
          <w:rStyle w:val="aff4"/>
          <w:rFonts w:hint="cs"/>
          <w:vanish/>
          <w:rtl/>
        </w:rPr>
        <w:t>-</w:t>
      </w:r>
      <w:r w:rsidRPr="001F02FD">
        <w:rPr>
          <w:rStyle w:val="aff4"/>
          <w:rFonts w:hint="cs"/>
          <w:rtl/>
        </w:rPr>
        <w:t>רש"י לקמן</w:t>
      </w:r>
      <w:r w:rsidRPr="007F356E">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Ref135405568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א)</w:t>
      </w:r>
      <w:r>
        <w:rPr>
          <w:rStyle w:val="af2"/>
          <w:rFonts w:eastAsia="Guttman Hodes"/>
          <w:rtl/>
        </w:rPr>
        <w:fldChar w:fldCharType="end"/>
      </w:r>
      <w:r>
        <w:rPr>
          <w:rFonts w:hint="cs"/>
          <w:rtl/>
        </w:rPr>
        <w:t xml:space="preserve"> דחייב משום נטילת נשמה, הוא מוכח בגמ' מהא דחייב רק לאחר שיבש בו כסלע, וא"כ אם החזירו לים לפני שיבש בו כסלע פטור, אבל לירושלמי דחייב משום עוקר דבר מגידולו, החיוב הוא מיד כשהוציאו מהמים, וביאר </w:t>
      </w:r>
      <w:r w:rsidRPr="007F356E">
        <w:rPr>
          <w:rStyle w:val="aff4"/>
          <w:rFonts w:hint="cs"/>
          <w:vanish/>
          <w:rtl/>
        </w:rPr>
        <w:t>-</w:t>
      </w:r>
      <w:r w:rsidRPr="001F02FD">
        <w:rPr>
          <w:rStyle w:val="aff4"/>
          <w:rFonts w:hint="cs"/>
          <w:rtl/>
        </w:rPr>
        <w:t>ה</w:t>
      </w:r>
      <w:r w:rsidRPr="00614FD1">
        <w:rPr>
          <w:rStyle w:val="aff4"/>
          <w:rFonts w:hint="cs"/>
          <w:vanish/>
          <w:rtl/>
        </w:rPr>
        <w:t>&lt; &gt;</w:t>
      </w:r>
      <w:r w:rsidRPr="001F02FD">
        <w:rPr>
          <w:rStyle w:val="aff4"/>
          <w:rFonts w:hint="cs"/>
          <w:rtl/>
        </w:rPr>
        <w:t>מחצית השקל</w:t>
      </w:r>
      <w:r w:rsidRPr="007F356E">
        <w:rPr>
          <w:rStyle w:val="aff4"/>
          <w:rFonts w:hint="cs"/>
          <w:vanish/>
          <w:rtl/>
        </w:rPr>
        <w:t>-</w:t>
      </w:r>
      <w:r>
        <w:rPr>
          <w:rFonts w:hint="cs"/>
          <w:rtl/>
        </w:rPr>
        <w:t xml:space="preserve"> </w:t>
      </w:r>
      <w:r w:rsidRPr="00FB451D">
        <w:rPr>
          <w:rStyle w:val="af2"/>
          <w:rFonts w:eastAsia="Guttman Hodes" w:hint="cs"/>
          <w:rtl/>
        </w:rPr>
        <w:t>(סי' תצ"ז סק"ו ד"ה וכ"ה בגמ')</w:t>
      </w:r>
      <w:r w:rsidRPr="009C4DD5">
        <w:rPr>
          <w:rFonts w:hint="cs"/>
          <w:vanish/>
          <w:rtl/>
        </w:rPr>
        <w:t>=</w:t>
      </w:r>
      <w:r w:rsidRPr="002B7706">
        <w:rPr>
          <w:rFonts w:hint="cs"/>
          <w:rtl/>
        </w:rPr>
        <w:t xml:space="preserve"> </w:t>
      </w:r>
      <w:r>
        <w:rPr>
          <w:rFonts w:hint="cs"/>
          <w:rtl/>
        </w:rPr>
        <w:t>דהא דנקט הירושלמי קוצר הוא כיון דבקוצר חייב מיד כשמוציאו מהמים, ובנטילת נשמה חייב רק כשיבש בו כסלע, והביא</w:t>
      </w:r>
      <w:r w:rsidRPr="002B7706">
        <w:rPr>
          <w:rFonts w:hint="cs"/>
          <w:rtl/>
        </w:rPr>
        <w:t xml:space="preserve"> </w:t>
      </w:r>
      <w:r w:rsidRPr="006323F7">
        <w:rPr>
          <w:rStyle w:val="aff4"/>
          <w:rFonts w:hint="cs"/>
          <w:vanish/>
          <w:rtl/>
        </w:rPr>
        <w:t>-</w:t>
      </w:r>
      <w:r w:rsidRPr="002B7706">
        <w:rPr>
          <w:rStyle w:val="aff4"/>
          <w:rFonts w:hint="cs"/>
          <w:rtl/>
        </w:rPr>
        <w:t>ה</w:t>
      </w:r>
      <w:r w:rsidRPr="00B53404">
        <w:rPr>
          <w:rStyle w:val="aff4"/>
          <w:rFonts w:hint="cs"/>
          <w:vanish/>
          <w:rtl/>
        </w:rPr>
        <w:t>&lt; &gt;</w:t>
      </w:r>
      <w:r w:rsidRPr="002B7706">
        <w:rPr>
          <w:rStyle w:val="aff4"/>
          <w:rFonts w:hint="cs"/>
          <w:rtl/>
        </w:rPr>
        <w:t>מחצית השקל</w:t>
      </w:r>
      <w:r w:rsidRPr="006323F7">
        <w:rPr>
          <w:rStyle w:val="aff4"/>
          <w:rFonts w:hint="cs"/>
          <w:vanish/>
          <w:rtl/>
        </w:rPr>
        <w:t>-</w:t>
      </w:r>
      <w:r w:rsidRPr="002B7706">
        <w:rPr>
          <w:rFonts w:hint="cs"/>
          <w:rtl/>
        </w:rPr>
        <w:t xml:space="preserve"> </w:t>
      </w:r>
      <w:r w:rsidRPr="00FB451D">
        <w:rPr>
          <w:rStyle w:val="af2"/>
          <w:rFonts w:eastAsia="Guttman Hodes" w:hint="cs"/>
          <w:rtl/>
        </w:rPr>
        <w:t>(סי' תצ"ז סק"ו ד"ה וכ"ה בגמ')</w:t>
      </w:r>
      <w:r w:rsidRPr="009C4DD5">
        <w:rPr>
          <w:rFonts w:hint="cs"/>
          <w:vanish/>
          <w:rtl/>
        </w:rPr>
        <w:t>=</w:t>
      </w:r>
      <w:r w:rsidRPr="002B7706">
        <w:rPr>
          <w:rFonts w:hint="cs"/>
          <w:rtl/>
        </w:rPr>
        <w:t xml:space="preserve"> </w:t>
      </w:r>
      <w:r>
        <w:rPr>
          <w:rFonts w:hint="cs"/>
          <w:rtl/>
        </w:rPr>
        <w:t xml:space="preserve">את דברי </w:t>
      </w:r>
      <w:r w:rsidRPr="006323F7">
        <w:rPr>
          <w:rStyle w:val="aff4"/>
          <w:rFonts w:hint="cs"/>
          <w:vanish/>
          <w:rtl/>
        </w:rPr>
        <w:t>-</w:t>
      </w:r>
      <w:r w:rsidRPr="002B7706">
        <w:rPr>
          <w:rStyle w:val="aff4"/>
          <w:rFonts w:hint="cs"/>
          <w:rtl/>
        </w:rPr>
        <w:t>הרמב"ן לקמן</w:t>
      </w:r>
      <w:r w:rsidRPr="006323F7">
        <w:rPr>
          <w:rStyle w:val="aff4"/>
          <w:rFonts w:hint="cs"/>
          <w:vanish/>
          <w:rtl/>
        </w:rPr>
        <w:t>-</w:t>
      </w:r>
      <w:r w:rsidRPr="002B7706">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Ref135380071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ד)</w:t>
      </w:r>
      <w:r>
        <w:rPr>
          <w:rStyle w:val="af2"/>
          <w:rFonts w:eastAsia="Guttman Hodes"/>
          <w:rtl/>
        </w:rPr>
        <w:fldChar w:fldCharType="end"/>
      </w:r>
      <w:r w:rsidRPr="002B7706">
        <w:rPr>
          <w:rFonts w:hint="cs"/>
          <w:rtl/>
        </w:rPr>
        <w:t xml:space="preserve"> </w:t>
      </w:r>
      <w:r>
        <w:rPr>
          <w:rFonts w:hint="cs"/>
          <w:rtl/>
        </w:rPr>
        <w:t>דביאר</w:t>
      </w:r>
      <w:r w:rsidRPr="002B7706">
        <w:rPr>
          <w:rFonts w:hint="cs"/>
          <w:rtl/>
        </w:rPr>
        <w:t xml:space="preserve"> </w:t>
      </w:r>
      <w:r>
        <w:rPr>
          <w:rFonts w:hint="cs"/>
          <w:rtl/>
        </w:rPr>
        <w:t>ד</w:t>
      </w:r>
      <w:r w:rsidRPr="002B7706">
        <w:rPr>
          <w:rFonts w:hint="cs"/>
          <w:rtl/>
        </w:rPr>
        <w:t>הבבלי פליג על הירושלמי וס"ל דאין קוצר אלא בגידולי קרקע</w:t>
      </w:r>
      <w:r>
        <w:rPr>
          <w:rFonts w:hint="cs"/>
          <w:rtl/>
        </w:rPr>
        <w:t xml:space="preserve">, ועי' במ"ש </w:t>
      </w:r>
      <w:r w:rsidRPr="00C65D8D">
        <w:rPr>
          <w:rStyle w:val="aff4"/>
          <w:rFonts w:hint="cs"/>
          <w:vanish/>
          <w:rtl/>
        </w:rPr>
        <w:t>-</w:t>
      </w:r>
      <w:r w:rsidRPr="00C65D8D">
        <w:rPr>
          <w:rStyle w:val="aff4"/>
          <w:rFonts w:hint="cs"/>
          <w:rtl/>
        </w:rPr>
        <w:t>הדבר אברהם</w:t>
      </w:r>
      <w:r w:rsidRPr="00C65D8D">
        <w:rPr>
          <w:rStyle w:val="aff4"/>
          <w:rFonts w:hint="cs"/>
          <w:vanish/>
          <w:rtl/>
        </w:rPr>
        <w:t>-</w:t>
      </w:r>
      <w:r>
        <w:rPr>
          <w:rFonts w:hint="cs"/>
          <w:rtl/>
        </w:rPr>
        <w:t xml:space="preserve"> </w:t>
      </w:r>
      <w:r>
        <w:rPr>
          <w:rStyle w:val="af2"/>
          <w:rFonts w:eastAsia="Guttman Hodes" w:hint="cs"/>
          <w:rtl/>
        </w:rPr>
        <w:t xml:space="preserve">(עי' </w:t>
      </w:r>
      <w:r w:rsidRPr="00CB6058">
        <w:rPr>
          <w:rStyle w:val="af2"/>
          <w:rFonts w:eastAsia="Guttman Hodes" w:hint="cs"/>
          <w:rtl/>
        </w:rPr>
        <w:t xml:space="preserve">אות </w:t>
      </w:r>
      <w:r w:rsidRPr="00CB6058">
        <w:rPr>
          <w:rStyle w:val="af2"/>
          <w:rFonts w:eastAsia="Guttman Hodes"/>
          <w:rtl/>
        </w:rPr>
        <w:fldChar w:fldCharType="begin"/>
      </w:r>
      <w:r w:rsidRPr="00CB6058">
        <w:rPr>
          <w:rStyle w:val="af2"/>
          <w:rFonts w:eastAsia="Guttman Hodes"/>
          <w:rtl/>
        </w:rPr>
        <w:instrText xml:space="preserve"> </w:instrText>
      </w:r>
      <w:r w:rsidRPr="00CB6058">
        <w:rPr>
          <w:rStyle w:val="af2"/>
          <w:rFonts w:eastAsia="Guttman Hodes" w:hint="cs"/>
        </w:rPr>
        <w:instrText>REF</w:instrText>
      </w:r>
      <w:r w:rsidRPr="00CB6058">
        <w:rPr>
          <w:rStyle w:val="af2"/>
          <w:rFonts w:eastAsia="Guttman Hodes" w:hint="cs"/>
          <w:rtl/>
        </w:rPr>
        <w:instrText xml:space="preserve"> _</w:instrText>
      </w:r>
      <w:r w:rsidRPr="00CB6058">
        <w:rPr>
          <w:rStyle w:val="af2"/>
          <w:rFonts w:eastAsia="Guttman Hodes" w:hint="cs"/>
        </w:rPr>
        <w:instrText>Ref134634917 \r \h</w:instrText>
      </w:r>
      <w:r w:rsidRPr="00CB6058">
        <w:rPr>
          <w:rStyle w:val="af2"/>
          <w:rFonts w:eastAsia="Guttman Hodes"/>
          <w:rtl/>
        </w:rPr>
        <w:instrText xml:space="preserve"> </w:instrText>
      </w:r>
      <w:r w:rsidRPr="00CB6058">
        <w:rPr>
          <w:rStyle w:val="af2"/>
          <w:rFonts w:eastAsia="Guttman Hodes"/>
          <w:rtl/>
        </w:rPr>
      </w:r>
      <w:r w:rsidRPr="00CB6058">
        <w:rPr>
          <w:rStyle w:val="af2"/>
          <w:rFonts w:eastAsia="Guttman Hodes"/>
          <w:rtl/>
        </w:rPr>
        <w:fldChar w:fldCharType="separate"/>
      </w:r>
      <w:r w:rsidR="00D82181">
        <w:rPr>
          <w:rStyle w:val="af2"/>
          <w:rFonts w:eastAsia="Guttman Hodes"/>
          <w:cs/>
        </w:rPr>
        <w:t>‎</w:t>
      </w:r>
      <w:r w:rsidR="00D82181">
        <w:rPr>
          <w:rStyle w:val="af2"/>
          <w:rFonts w:eastAsia="Guttman Hodes"/>
          <w:rtl/>
        </w:rPr>
        <w:t>עד)</w:t>
      </w:r>
      <w:r w:rsidRPr="00CB6058">
        <w:rPr>
          <w:rStyle w:val="af2"/>
          <w:rFonts w:eastAsia="Guttman Hodes"/>
          <w:rtl/>
        </w:rPr>
        <w:fldChar w:fldCharType="end"/>
      </w:r>
      <w:r>
        <w:rPr>
          <w:rFonts w:hint="cs"/>
          <w:rtl/>
        </w:rPr>
        <w:t>.</w:t>
      </w:r>
      <w:bookmarkEnd w:id="1378"/>
    </w:p>
    <w:p w14:paraId="12714841" w14:textId="77777777" w:rsidR="000426DE" w:rsidRPr="00747170" w:rsidRDefault="000426DE" w:rsidP="00747170">
      <w:pPr>
        <w:pStyle w:val="a2"/>
        <w:rPr>
          <w:rtl/>
        </w:rPr>
      </w:pPr>
      <w:r w:rsidRPr="00747170">
        <w:rPr>
          <w:rtl/>
        </w:rPr>
        <w:t xml:space="preserve">השולה דג כו', הר"מ ז"ל פרק י"א מהלכות שבת הלכה א'. (ממ"ש) [ומה שכתב] אסור לומר לעכו"ם, היינו אם מצוה להניחו ביבשה, אבל אם מצוה להניחו לים שרי, דאין זה נטילת נשמה עד שיניחו ביבשה כשיעור שיבש כסלע. ועיין מ"א [סימן] תצ"ז [ס"ק] ו' דבבלי [שבת] ק"ז ב' משום נטילת נשמה עד שיבש כסלע, ופירוש רש"י [ד"ה חייב] מוכרח הוא, דלירושלמי [שם פ"ז הלכה ב] מיד שהעלהו אין שיעור, דהוה קוצר, דמפריש ממקום גידולו. </w:t>
      </w:r>
    </w:p>
    <w:p w14:paraId="1EED9917" w14:textId="77777777" w:rsidR="000426DE" w:rsidRPr="00D578AC" w:rsidRDefault="000426DE" w:rsidP="00747170">
      <w:pPr>
        <w:pStyle w:val="afffff5"/>
        <w:rPr>
          <w:rtl/>
        </w:rPr>
      </w:pPr>
      <w:r w:rsidRPr="00D578AC">
        <w:rPr>
          <w:rtl/>
        </w:rPr>
        <w:t>וכ"ה בגמ'. דאפי' נוטל דג מן ספל של מים חייב אלא דבגמ' נתן טעם משום נטילת נשמה וירושלמי נתן הטעם משום עוקר ד"מ וניחא לירושל' לו' טעם משום עוקר ד"מ דלטעם נטילת נשמה אינו חייב עד שהניחו חוץ למים עד שיבש כסלע בין סנפיריו אבל משום עוקר ד"מ חייב מיד כשמוציאו מן המים</w:t>
      </w:r>
      <w:r w:rsidRPr="00D578AC">
        <w:rPr>
          <w:rFonts w:hint="cs"/>
          <w:rtl/>
        </w:rPr>
        <w:t>,</w:t>
      </w:r>
      <w:r w:rsidRPr="00D578AC">
        <w:rPr>
          <w:rtl/>
        </w:rPr>
        <w:t xml:space="preserve"> וש"ס דילן דאמר משום נטילת נשמה. דס"ל דאינו חייב משום תלישה וקצירה אלא בגדולי קרקע. כ"כ הרשב"א בחדושיו בשם הרמב"ן:</w:t>
      </w:r>
      <w:r w:rsidRPr="00D578AC">
        <w:rPr>
          <w:rFonts w:hint="cs"/>
          <w:rtl/>
        </w:rPr>
        <w:t xml:space="preserve"> </w:t>
      </w:r>
    </w:p>
    <w:p w14:paraId="1C16D908" w14:textId="3F8D51EC" w:rsidR="000426DE" w:rsidRDefault="000426DE" w:rsidP="000426DE">
      <w:pPr>
        <w:pStyle w:val="1"/>
        <w:rPr>
          <w:rtl/>
        </w:rPr>
      </w:pPr>
      <w:bookmarkStart w:id="1379" w:name="_Toc139316324"/>
      <w:r>
        <w:rPr>
          <w:rFonts w:hint="cs"/>
          <w:rtl/>
        </w:rPr>
        <w:t>בי' ר"ח בבבלי דהשולה דג והחזירו לא עקרו מגידולו ופטור</w:t>
      </w:r>
      <w:bookmarkEnd w:id="1379"/>
    </w:p>
    <w:p w14:paraId="3390BAEF" w14:textId="77777777" w:rsidR="000426DE" w:rsidRDefault="000426DE" w:rsidP="000426DE">
      <w:pPr>
        <w:pStyle w:val="afffff7"/>
        <w:rPr>
          <w:rtl/>
        </w:rPr>
      </w:pPr>
      <w:bookmarkStart w:id="1380" w:name="_Toc135513677"/>
      <w:bookmarkStart w:id="1381" w:name="_Toc163505602"/>
      <w:r>
        <w:rPr>
          <w:rtl/>
        </w:rPr>
        <w:t>רבינו חננאל שבת ק</w:t>
      </w:r>
      <w:r>
        <w:rPr>
          <w:rFonts w:hint="cs"/>
          <w:rtl/>
        </w:rPr>
        <w:t>"ז ע"ב ד"ה אמר שמואל</w:t>
      </w:r>
      <w:bookmarkEnd w:id="1380"/>
      <w:bookmarkEnd w:id="1381"/>
    </w:p>
    <w:p w14:paraId="5260310C" w14:textId="77777777" w:rsidR="000426DE" w:rsidRDefault="000426DE" w:rsidP="000426DE">
      <w:pPr>
        <w:pStyle w:val="a7"/>
        <w:rPr>
          <w:rtl/>
        </w:rPr>
      </w:pPr>
      <w:bookmarkStart w:id="1382" w:name="_Toc139316325"/>
      <w:r>
        <w:rPr>
          <w:rFonts w:hint="cs"/>
          <w:rtl/>
        </w:rPr>
        <w:t>בי' ר"ח בבלי דהשולה דג ולא יבש כסלע והחזירו לים פטור דלא עקרו ממקום חיותו לגמרי</w:t>
      </w:r>
      <w:bookmarkEnd w:id="1382"/>
    </w:p>
    <w:p w14:paraId="4F468B79" w14:textId="33066075" w:rsidR="000426DE" w:rsidRPr="00917E88" w:rsidRDefault="000426DE" w:rsidP="00BC7DC8">
      <w:pPr>
        <w:pStyle w:val="a3"/>
        <w:rPr>
          <w:rtl/>
        </w:rPr>
      </w:pPr>
      <w:bookmarkStart w:id="1383" w:name="_Ref134546240"/>
      <w:bookmarkStart w:id="1384" w:name="_Ref134721659"/>
      <w:bookmarkStart w:id="1385" w:name="_Ref135380571"/>
      <w:r>
        <w:rPr>
          <w:rFonts w:hint="cs"/>
          <w:rtl/>
        </w:rPr>
        <w:t xml:space="preserve">בהא דאמר שמואל בגמ' לקמן </w:t>
      </w:r>
      <w:r w:rsidRPr="00FB451D">
        <w:rPr>
          <w:rStyle w:val="af2"/>
          <w:rFonts w:eastAsia="Guttman Hodes" w:hint="cs"/>
          <w:rtl/>
        </w:rPr>
        <w:t>(קז:)</w:t>
      </w:r>
      <w:r>
        <w:rPr>
          <w:rFonts w:hint="cs"/>
          <w:rtl/>
        </w:rPr>
        <w:t xml:space="preserve"> דהשולה דג מהים ויבש בו כסלע חייב, ביאר </w:t>
      </w:r>
      <w:r w:rsidRPr="00845795">
        <w:rPr>
          <w:rFonts w:hint="cs"/>
          <w:vanish/>
          <w:rtl/>
        </w:rPr>
        <w:t xml:space="preserve">&lt;. </w:t>
      </w:r>
      <w:r w:rsidRPr="00845795">
        <w:rPr>
          <w:vanish/>
          <w:rtl/>
        </w:rPr>
        <w:fldChar w:fldCharType="begin"/>
      </w:r>
      <w:r w:rsidRPr="00845795">
        <w:rPr>
          <w:vanish/>
          <w:rtl/>
        </w:rPr>
        <w:instrText xml:space="preserve"> </w:instrText>
      </w:r>
      <w:r w:rsidRPr="00845795">
        <w:rPr>
          <w:rFonts w:hint="cs"/>
          <w:vanish/>
        </w:rPr>
        <w:instrText>REF</w:instrText>
      </w:r>
      <w:r w:rsidRPr="00845795">
        <w:rPr>
          <w:rFonts w:hint="cs"/>
          <w:vanish/>
          <w:rtl/>
        </w:rPr>
        <w:instrText xml:space="preserve"> _</w:instrText>
      </w:r>
      <w:r w:rsidRPr="00845795">
        <w:rPr>
          <w:rFonts w:hint="cs"/>
          <w:vanish/>
        </w:rPr>
        <w:instrText>Ref134546240 \r \h</w:instrText>
      </w:r>
      <w:r w:rsidRPr="00845795">
        <w:rPr>
          <w:vanish/>
          <w:rtl/>
        </w:rPr>
        <w:instrText xml:space="preserve">  \* </w:instrText>
      </w:r>
      <w:r w:rsidRPr="00845795">
        <w:rPr>
          <w:vanish/>
        </w:rPr>
        <w:instrText>MERGEFORMAT</w:instrText>
      </w:r>
      <w:r w:rsidRPr="00845795">
        <w:rPr>
          <w:vanish/>
          <w:rtl/>
        </w:rPr>
        <w:instrText xml:space="preserve"> </w:instrText>
      </w:r>
      <w:r w:rsidRPr="00845795">
        <w:rPr>
          <w:vanish/>
          <w:rtl/>
        </w:rPr>
      </w:r>
      <w:r w:rsidRPr="00845795">
        <w:rPr>
          <w:vanish/>
          <w:rtl/>
        </w:rPr>
        <w:fldChar w:fldCharType="separate"/>
      </w:r>
      <w:r w:rsidR="00D82181">
        <w:rPr>
          <w:vanish/>
          <w:cs/>
        </w:rPr>
        <w:t>‎</w:t>
      </w:r>
      <w:r w:rsidR="00D82181">
        <w:rPr>
          <w:vanish/>
          <w:rtl/>
        </w:rPr>
        <w:t>יב)</w:t>
      </w:r>
      <w:r w:rsidRPr="00845795">
        <w:rPr>
          <w:vanish/>
          <w:rtl/>
        </w:rPr>
        <w:fldChar w:fldCharType="end"/>
      </w:r>
      <w:r w:rsidRPr="00845795">
        <w:rPr>
          <w:rFonts w:hint="cs"/>
          <w:vanish/>
          <w:rtl/>
        </w:rPr>
        <w:t xml:space="preserve"> &gt;</w:t>
      </w:r>
      <w:r w:rsidRPr="00845795">
        <w:rPr>
          <w:rStyle w:val="aff4"/>
          <w:rFonts w:hint="cs"/>
          <w:vanish/>
          <w:rtl/>
        </w:rPr>
        <w:t>-</w:t>
      </w:r>
      <w:r w:rsidRPr="00BB1491">
        <w:rPr>
          <w:rStyle w:val="aff4"/>
          <w:rFonts w:hint="cs"/>
          <w:rtl/>
        </w:rPr>
        <w:t>ר"ח לקמן</w:t>
      </w:r>
      <w:r w:rsidRPr="00845795">
        <w:rPr>
          <w:rStyle w:val="aff4"/>
          <w:rFonts w:hint="cs"/>
          <w:vanish/>
          <w:rtl/>
        </w:rPr>
        <w:t>-</w:t>
      </w:r>
      <w:bookmarkEnd w:id="1383"/>
      <w:r>
        <w:rPr>
          <w:rFonts w:hint="cs"/>
          <w:rtl/>
        </w:rPr>
        <w:t xml:space="preserve"> </w:t>
      </w:r>
      <w:r w:rsidRPr="00FB451D">
        <w:rPr>
          <w:rStyle w:val="af2"/>
          <w:rFonts w:eastAsia="Guttman Hodes" w:hint="cs"/>
          <w:rtl/>
        </w:rPr>
        <w:t>(קז:, קח. ד"ה אמר שמואל)</w:t>
      </w:r>
      <w:r w:rsidRPr="00845795">
        <w:rPr>
          <w:rFonts w:hint="cs"/>
          <w:vanish/>
          <w:rtl/>
        </w:rPr>
        <w:t>=</w:t>
      </w:r>
      <w:r>
        <w:rPr>
          <w:rFonts w:hint="cs"/>
          <w:rtl/>
        </w:rPr>
        <w:t xml:space="preserve"> דאם הוציא את הדג ולא שהה עד שתצא נפשו, והחזיר את הדג לים פטור, כיון שלא עקר דבר מגידולו, וגם לא הרג אותו, דלא העתיקו ממקום חיותו לגמרי, ורק אם הניחו ביבשה עד שיבש בו מהלחלוחית של המים כסלע חייב, ועי' במ"ש </w:t>
      </w:r>
      <w:r w:rsidRPr="00C65D8D">
        <w:rPr>
          <w:rStyle w:val="aff4"/>
          <w:rFonts w:hint="cs"/>
          <w:vanish/>
          <w:rtl/>
        </w:rPr>
        <w:t>-</w:t>
      </w:r>
      <w:r w:rsidRPr="00C65D8D">
        <w:rPr>
          <w:rStyle w:val="aff4"/>
          <w:rFonts w:hint="cs"/>
          <w:rtl/>
        </w:rPr>
        <w:t>הדבר אברהם</w:t>
      </w:r>
      <w:r w:rsidRPr="00C65D8D">
        <w:rPr>
          <w:rStyle w:val="aff4"/>
          <w:rFonts w:hint="cs"/>
          <w:vanish/>
          <w:rtl/>
        </w:rPr>
        <w:t>-</w:t>
      </w:r>
      <w:r>
        <w:rPr>
          <w:rFonts w:hint="cs"/>
          <w:rtl/>
        </w:rPr>
        <w:t xml:space="preserve"> </w:t>
      </w:r>
      <w:r>
        <w:rPr>
          <w:rStyle w:val="af2"/>
          <w:rFonts w:eastAsia="Guttman Hodes" w:hint="cs"/>
          <w:rtl/>
        </w:rPr>
        <w:t xml:space="preserve">(עי' </w:t>
      </w:r>
      <w:r w:rsidRPr="00CB6058">
        <w:rPr>
          <w:rStyle w:val="af2"/>
          <w:rFonts w:eastAsia="Guttman Hodes" w:hint="cs"/>
          <w:rtl/>
        </w:rPr>
        <w:t xml:space="preserve">אות </w:t>
      </w:r>
      <w:r w:rsidRPr="00CB6058">
        <w:rPr>
          <w:rStyle w:val="af2"/>
          <w:rFonts w:eastAsia="Guttman Hodes"/>
          <w:rtl/>
        </w:rPr>
        <w:fldChar w:fldCharType="begin"/>
      </w:r>
      <w:r w:rsidRPr="00CB6058">
        <w:rPr>
          <w:rStyle w:val="af2"/>
          <w:rFonts w:eastAsia="Guttman Hodes"/>
          <w:rtl/>
        </w:rPr>
        <w:instrText xml:space="preserve"> </w:instrText>
      </w:r>
      <w:r w:rsidRPr="00CB6058">
        <w:rPr>
          <w:rStyle w:val="af2"/>
          <w:rFonts w:eastAsia="Guttman Hodes" w:hint="cs"/>
        </w:rPr>
        <w:instrText>REF</w:instrText>
      </w:r>
      <w:r w:rsidRPr="00CB6058">
        <w:rPr>
          <w:rStyle w:val="af2"/>
          <w:rFonts w:eastAsia="Guttman Hodes" w:hint="cs"/>
          <w:rtl/>
        </w:rPr>
        <w:instrText xml:space="preserve"> _</w:instrText>
      </w:r>
      <w:r w:rsidRPr="00CB6058">
        <w:rPr>
          <w:rStyle w:val="af2"/>
          <w:rFonts w:eastAsia="Guttman Hodes" w:hint="cs"/>
        </w:rPr>
        <w:instrText>Ref134634917 \r \h</w:instrText>
      </w:r>
      <w:r w:rsidRPr="00CB6058">
        <w:rPr>
          <w:rStyle w:val="af2"/>
          <w:rFonts w:eastAsia="Guttman Hodes"/>
          <w:rtl/>
        </w:rPr>
        <w:instrText xml:space="preserve"> </w:instrText>
      </w:r>
      <w:r w:rsidRPr="00CB6058">
        <w:rPr>
          <w:rStyle w:val="af2"/>
          <w:rFonts w:eastAsia="Guttman Hodes"/>
          <w:rtl/>
        </w:rPr>
      </w:r>
      <w:r w:rsidRPr="00CB6058">
        <w:rPr>
          <w:rStyle w:val="af2"/>
          <w:rFonts w:eastAsia="Guttman Hodes"/>
          <w:rtl/>
        </w:rPr>
        <w:fldChar w:fldCharType="separate"/>
      </w:r>
      <w:r w:rsidR="00D82181">
        <w:rPr>
          <w:rStyle w:val="af2"/>
          <w:rFonts w:eastAsia="Guttman Hodes"/>
          <w:cs/>
        </w:rPr>
        <w:t>‎</w:t>
      </w:r>
      <w:r w:rsidR="00D82181">
        <w:rPr>
          <w:rStyle w:val="af2"/>
          <w:rFonts w:eastAsia="Guttman Hodes"/>
          <w:rtl/>
        </w:rPr>
        <w:t>עד)</w:t>
      </w:r>
      <w:r w:rsidRPr="00CB6058">
        <w:rPr>
          <w:rStyle w:val="af2"/>
          <w:rFonts w:eastAsia="Guttman Hodes"/>
          <w:rtl/>
        </w:rPr>
        <w:fldChar w:fldCharType="end"/>
      </w:r>
      <w:r>
        <w:rPr>
          <w:rFonts w:hint="cs"/>
          <w:rtl/>
        </w:rPr>
        <w:t>.</w:t>
      </w:r>
      <w:bookmarkEnd w:id="1384"/>
      <w:r>
        <w:rPr>
          <w:rFonts w:hint="cs"/>
          <w:rtl/>
        </w:rPr>
        <w:t xml:space="preserve"> </w:t>
      </w:r>
      <w:r w:rsidRPr="007A72D8">
        <w:rPr>
          <w:rStyle w:val="af"/>
          <w:rFonts w:hint="cs"/>
          <w:rtl/>
        </w:rPr>
        <w:t xml:space="preserve">[וכתב </w:t>
      </w:r>
      <w:r w:rsidRPr="00394B7E">
        <w:rPr>
          <w:rStyle w:val="aff9"/>
          <w:rFonts w:hint="cs"/>
          <w:vanish/>
          <w:rtl/>
        </w:rPr>
        <w:t>-</w:t>
      </w:r>
      <w:r w:rsidRPr="00394B7E">
        <w:rPr>
          <w:rStyle w:val="aff9"/>
          <w:rFonts w:hint="cs"/>
          <w:rtl/>
        </w:rPr>
        <w:t>ה</w:t>
      </w:r>
      <w:r w:rsidRPr="00394B7E">
        <w:rPr>
          <w:rStyle w:val="aff9"/>
          <w:rFonts w:hint="cs"/>
          <w:vanish/>
          <w:rtl/>
        </w:rPr>
        <w:t>&lt; &gt;</w:t>
      </w:r>
      <w:r w:rsidRPr="00394B7E">
        <w:rPr>
          <w:rStyle w:val="aff9"/>
          <w:rFonts w:hint="cs"/>
          <w:rtl/>
        </w:rPr>
        <w:t>דבר אברהם</w:t>
      </w:r>
      <w:r w:rsidRPr="00394B7E">
        <w:rPr>
          <w:rStyle w:val="aff9"/>
          <w:rFonts w:hint="cs"/>
          <w:vanish/>
          <w:rtl/>
        </w:rPr>
        <w:t>-</w:t>
      </w:r>
      <w:r w:rsidRPr="007A72D8">
        <w:rPr>
          <w:rStyle w:val="af"/>
          <w:rFonts w:hint="cs"/>
          <w:rtl/>
        </w:rPr>
        <w:t xml:space="preserve"> </w:t>
      </w:r>
      <w:r w:rsidRPr="00394B7E">
        <w:rPr>
          <w:rStyle w:val="aff0"/>
          <w:rFonts w:hint="cs"/>
          <w:rtl/>
        </w:rPr>
        <w:t>(ח"א סי' כ"ד אות י"ב ד"ה וראיתי)</w:t>
      </w:r>
      <w:r w:rsidRPr="00394B7E">
        <w:rPr>
          <w:rStyle w:val="af"/>
          <w:rFonts w:hint="cs"/>
          <w:vanish/>
          <w:rtl/>
        </w:rPr>
        <w:t>=</w:t>
      </w:r>
      <w:r w:rsidRPr="007A72D8">
        <w:rPr>
          <w:rStyle w:val="af"/>
          <w:rFonts w:hint="cs"/>
          <w:rtl/>
        </w:rPr>
        <w:t xml:space="preserve"> דלא ירד לסוף כוונת דברי </w:t>
      </w:r>
      <w:r w:rsidRPr="00394B7E">
        <w:rPr>
          <w:rStyle w:val="aff9"/>
          <w:rFonts w:hint="cs"/>
          <w:vanish/>
          <w:rtl/>
        </w:rPr>
        <w:t>-</w:t>
      </w:r>
      <w:r w:rsidRPr="00394B7E">
        <w:rPr>
          <w:rStyle w:val="aff9"/>
          <w:rFonts w:hint="cs"/>
          <w:rtl/>
        </w:rPr>
        <w:t>ר"ח</w:t>
      </w:r>
      <w:r w:rsidRPr="00394B7E">
        <w:rPr>
          <w:rStyle w:val="aff9"/>
          <w:rFonts w:hint="cs"/>
          <w:vanish/>
          <w:rtl/>
        </w:rPr>
        <w:t>-</w:t>
      </w:r>
      <w:r w:rsidRPr="007A72D8">
        <w:rPr>
          <w:rStyle w:val="af"/>
          <w:rFonts w:hint="cs"/>
          <w:rtl/>
        </w:rPr>
        <w:t>]</w:t>
      </w:r>
      <w:r w:rsidRPr="00CD1359">
        <w:rPr>
          <w:rStyle w:val="af"/>
          <w:rFonts w:hint="cs"/>
          <w:rtl/>
        </w:rPr>
        <w:t>.</w:t>
      </w:r>
      <w:bookmarkEnd w:id="1385"/>
    </w:p>
    <w:p w14:paraId="6061934C" w14:textId="77777777" w:rsidR="000426DE" w:rsidRPr="00747170" w:rsidRDefault="000426DE" w:rsidP="00747170">
      <w:pPr>
        <w:pStyle w:val="a2"/>
        <w:rPr>
          <w:rtl/>
        </w:rPr>
      </w:pPr>
      <w:r w:rsidRPr="00747170">
        <w:rPr>
          <w:rtl/>
        </w:rPr>
        <w:t>אמר שמואל [השולה] דג מן הים. אם הוציאו מן הים ולא שהה כדי יציאת נפש עד שהחזירו לים פטור שהרי לא עקר דבר מגידולו וגם לא הרגו ולא העתיקו נמי ממקום חיותו לגמרי אבל אם הניחו ביבשה עד שיבש בו כסלע לחלוחית המים חייב א"ר יוסי בר אבין ולא אמרו שיבש אלא בין סנפירין של דג ששם חייו. וכיון שיבש שם כאילו מת וזו השמועה של ר' יוסי בר' אבין מפורש בתענית פ' סדר תענית האלו רב אשי אמר לא תימא יבש ממש אלא אפי' (דברירה) [דעבד רירי] פי' דרירי של דג יוצא מתוך פיו הנה נטה למות ואינו חוזר בחיותו וכמת הוא חשוב והשולה אותו חייב.</w:t>
      </w:r>
    </w:p>
    <w:p w14:paraId="1A5CAB7F" w14:textId="6748347A" w:rsidR="000426DE" w:rsidRDefault="000426DE" w:rsidP="000426DE">
      <w:pPr>
        <w:pStyle w:val="1"/>
        <w:rPr>
          <w:rtl/>
        </w:rPr>
      </w:pPr>
      <w:bookmarkStart w:id="1386" w:name="_Toc139316326"/>
      <w:r>
        <w:rPr>
          <w:rFonts w:hint="cs"/>
          <w:rtl/>
        </w:rPr>
        <w:t>בי' הש"ק דאף לבבלי יש קוצר בדג אחר שיבש ואי החזירו פטור</w:t>
      </w:r>
      <w:bookmarkEnd w:id="1386"/>
    </w:p>
    <w:p w14:paraId="702BD54A" w14:textId="77777777" w:rsidR="000426DE" w:rsidRDefault="000426DE" w:rsidP="000426DE">
      <w:pPr>
        <w:pStyle w:val="afffff7"/>
        <w:rPr>
          <w:rtl/>
        </w:rPr>
      </w:pPr>
      <w:bookmarkStart w:id="1387" w:name="_Toc135513678"/>
      <w:bookmarkStart w:id="1388" w:name="_Toc163505603"/>
      <w:r>
        <w:rPr>
          <w:rtl/>
        </w:rPr>
        <w:t>שיירי קרבן שבת פ"ז ה</w:t>
      </w:r>
      <w:r>
        <w:rPr>
          <w:rFonts w:hint="cs"/>
          <w:rtl/>
        </w:rPr>
        <w:t>"</w:t>
      </w:r>
      <w:r>
        <w:rPr>
          <w:rtl/>
        </w:rPr>
        <w:t>ב</w:t>
      </w:r>
      <w:r>
        <w:rPr>
          <w:rFonts w:hint="cs"/>
          <w:rtl/>
        </w:rPr>
        <w:t xml:space="preserve"> ד"ה כל דבר</w:t>
      </w:r>
      <w:bookmarkEnd w:id="1387"/>
      <w:bookmarkEnd w:id="1388"/>
    </w:p>
    <w:p w14:paraId="5CA273E3" w14:textId="77777777" w:rsidR="000426DE" w:rsidRDefault="000426DE" w:rsidP="000426DE">
      <w:pPr>
        <w:pStyle w:val="a7"/>
        <w:rPr>
          <w:rtl/>
        </w:rPr>
      </w:pPr>
      <w:bookmarkStart w:id="1389" w:name="_Toc139316327"/>
      <w:r>
        <w:rPr>
          <w:rFonts w:hint="cs"/>
          <w:rtl/>
        </w:rPr>
        <w:t>בי' השיירי קרבן דאפש"ל דכוונת שמואל לקמן לומר דחייב משום קוצר כירו' אך רש"י לא כ"כ</w:t>
      </w:r>
      <w:bookmarkEnd w:id="1389"/>
    </w:p>
    <w:p w14:paraId="5F44BCFB" w14:textId="7103B70F" w:rsidR="000426DE" w:rsidRPr="00752A6A" w:rsidRDefault="000426DE" w:rsidP="00BC7DC8">
      <w:pPr>
        <w:pStyle w:val="a3"/>
        <w:rPr>
          <w:rtl/>
        </w:rPr>
      </w:pPr>
      <w:bookmarkStart w:id="1390" w:name="_Ref134525529"/>
      <w:r>
        <w:rPr>
          <w:rFonts w:hint="cs"/>
          <w:rtl/>
        </w:rPr>
        <w:t xml:space="preserve">כתב </w:t>
      </w:r>
      <w:r w:rsidRPr="00100B8E">
        <w:rPr>
          <w:rStyle w:val="aff4"/>
          <w:rFonts w:hint="cs"/>
          <w:vanish/>
          <w:rtl/>
        </w:rPr>
        <w:t>-</w:t>
      </w:r>
      <w:r w:rsidRPr="00335C9B">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Ref134525529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יג)</w:t>
      </w:r>
      <w:r w:rsidRPr="00B53404">
        <w:rPr>
          <w:rStyle w:val="aff4"/>
          <w:vanish/>
          <w:rtl/>
        </w:rPr>
        <w:fldChar w:fldCharType="end"/>
      </w:r>
      <w:r w:rsidRPr="00B53404">
        <w:rPr>
          <w:rStyle w:val="aff4"/>
          <w:rFonts w:hint="cs"/>
          <w:vanish/>
          <w:rtl/>
        </w:rPr>
        <w:t xml:space="preserve"> &gt;</w:t>
      </w:r>
      <w:r w:rsidRPr="00335C9B">
        <w:rPr>
          <w:rStyle w:val="aff4"/>
          <w:rFonts w:hint="cs"/>
          <w:rtl/>
        </w:rPr>
        <w:t>שיירי קרבן</w:t>
      </w:r>
      <w:r w:rsidRPr="00100B8E">
        <w:rPr>
          <w:rStyle w:val="aff4"/>
          <w:rFonts w:hint="cs"/>
          <w:vanish/>
          <w:rtl/>
        </w:rPr>
        <w:t>-</w:t>
      </w:r>
      <w:r>
        <w:rPr>
          <w:rFonts w:hint="cs"/>
          <w:rtl/>
        </w:rPr>
        <w:t xml:space="preserve"> </w:t>
      </w:r>
      <w:r w:rsidRPr="00FB451D">
        <w:rPr>
          <w:rStyle w:val="af2"/>
          <w:rFonts w:eastAsia="Guttman Hodes" w:hint="cs"/>
          <w:rtl/>
        </w:rPr>
        <w:t>(פ"ז ה"ב, מח: ד"ה כל דבר)</w:t>
      </w:r>
      <w:r w:rsidRPr="004A7379">
        <w:rPr>
          <w:rFonts w:hint="cs"/>
          <w:vanish/>
          <w:rtl/>
        </w:rPr>
        <w:t>=</w:t>
      </w:r>
      <w:bookmarkEnd w:id="1390"/>
      <w:r>
        <w:rPr>
          <w:rFonts w:hint="cs"/>
          <w:rtl/>
        </w:rPr>
        <w:t xml:space="preserve"> דבהא </w:t>
      </w:r>
      <w:bookmarkStart w:id="1391" w:name="_Hlk134634194"/>
      <w:r>
        <w:rPr>
          <w:rFonts w:hint="cs"/>
          <w:rtl/>
        </w:rPr>
        <w:t xml:space="preserve">דאמרו רבנן דקיסרין </w:t>
      </w:r>
      <w:bookmarkEnd w:id="1391"/>
      <w:r>
        <w:rPr>
          <w:rFonts w:hint="cs"/>
          <w:rtl/>
        </w:rPr>
        <w:t xml:space="preserve">בירושלמי </w:t>
      </w:r>
      <w:r w:rsidRPr="00FB451D">
        <w:rPr>
          <w:rStyle w:val="af2"/>
          <w:rFonts w:eastAsia="Guttman Hodes" w:hint="cs"/>
          <w:rtl/>
        </w:rPr>
        <w:t>(פ"ז ה"ב, מח:)</w:t>
      </w:r>
      <w:r>
        <w:rPr>
          <w:rFonts w:hint="cs"/>
          <w:rtl/>
        </w:rPr>
        <w:t xml:space="preserve"> דהצד דגים וכל דבר שמבדילו מחיותו, חייב משום קוצר, דהירושלמי לא פליג על הא דאמר שמואל בגמ' לקמן </w:t>
      </w:r>
      <w:r w:rsidRPr="00FB451D">
        <w:rPr>
          <w:rStyle w:val="af2"/>
          <w:rFonts w:eastAsia="Guttman Hodes" w:hint="cs"/>
          <w:rtl/>
        </w:rPr>
        <w:t>(קז:)</w:t>
      </w:r>
      <w:r>
        <w:rPr>
          <w:rFonts w:hint="cs"/>
          <w:rtl/>
        </w:rPr>
        <w:t xml:space="preserve"> דהשולה דג מן הים כיון שיבש בו כסלע חייב, וכן על הא דאמר שמואל דהמושיט ידו למעי בהמה ודלדל עובר שבמעיה דחייב, והיינו דבשניהם כוונת שמואל לומר דחייב משום קוצר, אך הביא </w:t>
      </w:r>
      <w:r w:rsidRPr="00100B8E">
        <w:rPr>
          <w:rStyle w:val="aff4"/>
          <w:rFonts w:hint="cs"/>
          <w:vanish/>
          <w:rtl/>
        </w:rPr>
        <w:t>-</w:t>
      </w:r>
      <w:r w:rsidRPr="00335C9B">
        <w:rPr>
          <w:rStyle w:val="aff4"/>
          <w:rFonts w:hint="cs"/>
          <w:rtl/>
        </w:rPr>
        <w:t>השיירי קרבן</w:t>
      </w:r>
      <w:r w:rsidRPr="00100B8E">
        <w:rPr>
          <w:rStyle w:val="aff4"/>
          <w:rFonts w:hint="cs"/>
          <w:vanish/>
          <w:rtl/>
        </w:rPr>
        <w:t>-</w:t>
      </w:r>
      <w:r>
        <w:rPr>
          <w:rFonts w:hint="cs"/>
          <w:rtl/>
        </w:rPr>
        <w:t xml:space="preserve"> את דברי </w:t>
      </w:r>
      <w:r w:rsidRPr="00100B8E">
        <w:rPr>
          <w:rStyle w:val="aff4"/>
          <w:rFonts w:hint="cs"/>
          <w:vanish/>
          <w:rtl/>
        </w:rPr>
        <w:t>-</w:t>
      </w:r>
      <w:r w:rsidRPr="00335C9B">
        <w:rPr>
          <w:rStyle w:val="aff4"/>
          <w:rFonts w:hint="cs"/>
          <w:rtl/>
        </w:rPr>
        <w:t>רש"י לקמן</w:t>
      </w:r>
      <w:r w:rsidRPr="00100B8E">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Ref135405568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א)</w:t>
      </w:r>
      <w:r>
        <w:rPr>
          <w:rStyle w:val="af2"/>
          <w:rFonts w:eastAsia="Guttman Hodes"/>
          <w:rtl/>
        </w:rPr>
        <w:fldChar w:fldCharType="end"/>
      </w:r>
      <w:r>
        <w:rPr>
          <w:rStyle w:val="af2"/>
          <w:rFonts w:eastAsia="Guttman Hodes" w:hint="cs"/>
          <w:rtl/>
        </w:rPr>
        <w:t xml:space="preserve"> </w:t>
      </w:r>
      <w:r>
        <w:rPr>
          <w:rFonts w:hint="cs"/>
          <w:rtl/>
        </w:rPr>
        <w:t xml:space="preserve">דכתב דבשולה דג שהיה נצוד מבעוד יום, ויבש בו כסלע, החיוב הוא משום נטילת נשמה, וכתב </w:t>
      </w:r>
      <w:r w:rsidRPr="00100B8E">
        <w:rPr>
          <w:rStyle w:val="aff4"/>
          <w:rFonts w:hint="cs"/>
          <w:vanish/>
          <w:rtl/>
        </w:rPr>
        <w:t>-</w:t>
      </w:r>
      <w:r w:rsidRPr="00335C9B">
        <w:rPr>
          <w:rStyle w:val="aff4"/>
          <w:rFonts w:hint="cs"/>
          <w:rtl/>
        </w:rPr>
        <w:t>השיירי קרבן</w:t>
      </w:r>
      <w:r w:rsidRPr="00100B8E">
        <w:rPr>
          <w:rStyle w:val="aff4"/>
          <w:rFonts w:hint="cs"/>
          <w:vanish/>
          <w:rtl/>
        </w:rPr>
        <w:t>-</w:t>
      </w:r>
      <w:r>
        <w:rPr>
          <w:rFonts w:hint="cs"/>
          <w:rtl/>
        </w:rPr>
        <w:t xml:space="preserve"> דמ"ש </w:t>
      </w:r>
      <w:r w:rsidRPr="00100B8E">
        <w:rPr>
          <w:rStyle w:val="aff4"/>
          <w:rFonts w:hint="cs"/>
          <w:vanish/>
          <w:rtl/>
        </w:rPr>
        <w:t>-</w:t>
      </w:r>
      <w:r w:rsidRPr="00335C9B">
        <w:rPr>
          <w:rStyle w:val="aff4"/>
          <w:rFonts w:hint="cs"/>
          <w:rtl/>
        </w:rPr>
        <w:t>הרמב"ן</w:t>
      </w:r>
      <w:r w:rsidRPr="00100B8E">
        <w:rPr>
          <w:rStyle w:val="aff4"/>
          <w:rFonts w:hint="cs"/>
          <w:vanish/>
          <w:rtl/>
        </w:rPr>
        <w:t>-</w:t>
      </w:r>
      <w:r>
        <w:rPr>
          <w:rFonts w:hint="cs"/>
          <w:rtl/>
        </w:rPr>
        <w:t xml:space="preserve"> </w:t>
      </w:r>
      <w:r w:rsidRPr="00FB451D">
        <w:rPr>
          <w:rStyle w:val="af2"/>
          <w:rFonts w:eastAsia="Guttman Hodes" w:hint="cs"/>
          <w:rtl/>
        </w:rPr>
        <w:t xml:space="preserve">(עי' אות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Ref134721473 \r \h</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כג)</w:t>
      </w:r>
      <w:r w:rsidRPr="00FB451D">
        <w:rPr>
          <w:rStyle w:val="af2"/>
          <w:rFonts w:eastAsia="Guttman Hodes"/>
          <w:rtl/>
        </w:rPr>
        <w:fldChar w:fldCharType="end"/>
      </w:r>
      <w:r>
        <w:rPr>
          <w:rFonts w:hint="cs"/>
          <w:rtl/>
        </w:rPr>
        <w:t xml:space="preserve"> דהחיוב בשניהם הוא משום נטילת נשמה הוא דחוק מאוד בביאור הגמ'. </w:t>
      </w:r>
    </w:p>
    <w:p w14:paraId="6B12CA23" w14:textId="77777777" w:rsidR="000426DE" w:rsidRPr="00747170" w:rsidRDefault="000426DE" w:rsidP="00747170">
      <w:pPr>
        <w:pStyle w:val="a2"/>
        <w:rPr>
          <w:rtl/>
        </w:rPr>
      </w:pPr>
      <w:r w:rsidRPr="00747170">
        <w:rPr>
          <w:rtl/>
        </w:rPr>
        <w:t>[דף מח עמוד ב] כל דבר שאתה מבדילו מחיותו חייב משום קוצר. ונ"ל הא דגרסי' בבבלי פ' ח' שרצים דף ק"ז ע"ב אמר שמואל השולה דג מן הים כיון שיבש בו כסלע חייב וכו' אמר שמואל הושיט ידו למעי בהמה ודלדל עובר שבמעיה חייב תרווייהו חד טעמא אית להו שחייבין משום קוצר ורש"י פי' בדג שחייב משום נטילת נשמה והה"מ כתב בשם הרמב"ן בתרווייהו משום נטילת נשמה ודחק מאד בפי' הגמרא ול"נ כמ"ש</w:t>
      </w:r>
      <w:r w:rsidRPr="00747170">
        <w:rPr>
          <w:rFonts w:hint="cs"/>
          <w:rtl/>
        </w:rPr>
        <w:t>.</w:t>
      </w:r>
    </w:p>
    <w:p w14:paraId="4AE1A291" w14:textId="77777777" w:rsidR="000426DE" w:rsidRPr="00D578AC" w:rsidRDefault="000426DE" w:rsidP="000426DE">
      <w:pPr>
        <w:pStyle w:val="afffffb"/>
        <w:rPr>
          <w:vanish/>
          <w:rtl/>
        </w:rPr>
      </w:pPr>
      <w:r w:rsidRPr="00D578AC">
        <w:rPr>
          <w:vanish/>
          <w:rtl/>
        </w:rPr>
        <w:t>שיירי קרבן שבת פ"ז ה</w:t>
      </w:r>
      <w:r w:rsidRPr="00D578AC">
        <w:rPr>
          <w:rFonts w:hint="cs"/>
          <w:vanish/>
          <w:rtl/>
        </w:rPr>
        <w:t>"</w:t>
      </w:r>
      <w:r w:rsidRPr="00D578AC">
        <w:rPr>
          <w:vanish/>
          <w:rtl/>
        </w:rPr>
        <w:t>ב</w:t>
      </w:r>
      <w:r w:rsidRPr="00D578AC">
        <w:rPr>
          <w:rFonts w:hint="cs"/>
          <w:vanish/>
          <w:rtl/>
        </w:rPr>
        <w:t xml:space="preserve"> ד"ה כל דבר</w:t>
      </w:r>
    </w:p>
    <w:p w14:paraId="4D266646" w14:textId="77777777" w:rsidR="000426DE" w:rsidRDefault="000426DE" w:rsidP="000426DE">
      <w:pPr>
        <w:pStyle w:val="a7"/>
        <w:rPr>
          <w:rtl/>
        </w:rPr>
      </w:pPr>
      <w:bookmarkStart w:id="1392" w:name="_Toc139316328"/>
      <w:r>
        <w:rPr>
          <w:rFonts w:hint="cs"/>
          <w:rtl/>
        </w:rPr>
        <w:t>בי' השיורי קרבן דהחיוב בקוצר לירו' הוא רק ביבש בו כסלע אלא דאם החזירו לפני שיבש פטור</w:t>
      </w:r>
      <w:bookmarkEnd w:id="1392"/>
    </w:p>
    <w:p w14:paraId="552E5DDA" w14:textId="357D6CD1" w:rsidR="000426DE" w:rsidRPr="003C0923" w:rsidRDefault="000426DE" w:rsidP="00BC7DC8">
      <w:pPr>
        <w:pStyle w:val="a3"/>
      </w:pPr>
      <w:bookmarkStart w:id="1393" w:name="_Ref134993471"/>
      <w:r>
        <w:rPr>
          <w:rFonts w:hint="cs"/>
          <w:rtl/>
        </w:rPr>
        <w:t xml:space="preserve">אך הקשה </w:t>
      </w:r>
      <w:r w:rsidRPr="00100B8E">
        <w:rPr>
          <w:rStyle w:val="aff4"/>
          <w:rFonts w:hint="cs"/>
          <w:vanish/>
          <w:rtl/>
        </w:rPr>
        <w:t>-</w:t>
      </w:r>
      <w:r w:rsidRPr="00335C9B">
        <w:rPr>
          <w:rStyle w:val="aff4"/>
          <w:rFonts w:hint="cs"/>
          <w:rtl/>
        </w:rPr>
        <w:t>השיירי קרבן</w:t>
      </w:r>
      <w:r w:rsidRPr="00100B8E">
        <w:rPr>
          <w:rStyle w:val="aff4"/>
          <w:rFonts w:hint="cs"/>
          <w:vanish/>
          <w:rtl/>
        </w:rPr>
        <w:t>-</w:t>
      </w:r>
      <w:r>
        <w:rPr>
          <w:rFonts w:hint="cs"/>
          <w:rtl/>
        </w:rPr>
        <w:t xml:space="preserve"> דאי החיוב בשניהם הוא משום נטילת נשמה, א"כ אמאי שולה דג חייב רק ביבש בו כסלע, ותירץ </w:t>
      </w:r>
      <w:r w:rsidRPr="00100B8E">
        <w:rPr>
          <w:rStyle w:val="aff4"/>
          <w:rFonts w:hint="cs"/>
          <w:vanish/>
          <w:rtl/>
        </w:rPr>
        <w:t>-</w:t>
      </w:r>
      <w:r w:rsidRPr="00335C9B">
        <w:rPr>
          <w:rStyle w:val="aff4"/>
          <w:rFonts w:hint="cs"/>
          <w:rtl/>
        </w:rPr>
        <w:t>השיירי קרבן</w:t>
      </w:r>
      <w:r w:rsidRPr="00100B8E">
        <w:rPr>
          <w:rStyle w:val="aff4"/>
          <w:rFonts w:hint="cs"/>
          <w:vanish/>
          <w:rtl/>
        </w:rPr>
        <w:t>-</w:t>
      </w:r>
      <w:r>
        <w:rPr>
          <w:rFonts w:hint="cs"/>
          <w:rtl/>
        </w:rPr>
        <w:t xml:space="preserve"> דאם החזירו לים לפני שיבש בו כסלע פטור, וציין </w:t>
      </w:r>
      <w:r w:rsidRPr="00100B8E">
        <w:rPr>
          <w:rStyle w:val="aff4"/>
          <w:rFonts w:hint="cs"/>
          <w:vanish/>
          <w:rtl/>
        </w:rPr>
        <w:t>-</w:t>
      </w:r>
      <w:r w:rsidRPr="00335C9B">
        <w:rPr>
          <w:rStyle w:val="aff4"/>
          <w:rFonts w:hint="cs"/>
          <w:rtl/>
        </w:rPr>
        <w:t>השיירי קרבן</w:t>
      </w:r>
      <w:r w:rsidRPr="00100B8E">
        <w:rPr>
          <w:rStyle w:val="aff4"/>
          <w:rFonts w:hint="cs"/>
          <w:vanish/>
          <w:rtl/>
        </w:rPr>
        <w:t>-</w:t>
      </w:r>
      <w:r>
        <w:rPr>
          <w:rFonts w:hint="cs"/>
          <w:rtl/>
        </w:rPr>
        <w:t xml:space="preserve"> לדברי </w:t>
      </w:r>
      <w:r w:rsidRPr="00100B8E">
        <w:rPr>
          <w:rStyle w:val="aff4"/>
          <w:rFonts w:hint="cs"/>
          <w:vanish/>
          <w:rtl/>
        </w:rPr>
        <w:t>-</w:t>
      </w:r>
      <w:r w:rsidRPr="00335C9B">
        <w:rPr>
          <w:rStyle w:val="aff4"/>
          <w:rFonts w:hint="cs"/>
          <w:rtl/>
        </w:rPr>
        <w:t>התוס' בבכורות</w:t>
      </w:r>
      <w:r w:rsidRPr="00100B8E">
        <w:rPr>
          <w:rStyle w:val="aff4"/>
          <w:rFonts w:hint="cs"/>
          <w:vanish/>
          <w:rtl/>
        </w:rPr>
        <w:t>-</w:t>
      </w:r>
      <w:r>
        <w:rPr>
          <w:rFonts w:hint="cs"/>
          <w:rtl/>
        </w:rPr>
        <w:t xml:space="preserve"> </w:t>
      </w:r>
      <w:r w:rsidRPr="00FB451D">
        <w:rPr>
          <w:rStyle w:val="af2"/>
          <w:rFonts w:eastAsia="Guttman Hodes" w:hint="cs"/>
          <w:rtl/>
        </w:rPr>
        <w:t>(</w:t>
      </w:r>
      <w:r w:rsidRPr="00E52AB5">
        <w:rPr>
          <w:rStyle w:val="af2"/>
          <w:rFonts w:eastAsia="Guttman Hodes"/>
          <w:rtl/>
        </w:rPr>
        <w:t>כ"ה</w:t>
      </w:r>
      <w:r>
        <w:rPr>
          <w:rStyle w:val="af2"/>
          <w:rFonts w:eastAsia="Guttman Hodes" w:hint="cs"/>
          <w:rtl/>
        </w:rPr>
        <w:t xml:space="preserve">. </w:t>
      </w:r>
      <w:r w:rsidRPr="00E52AB5">
        <w:rPr>
          <w:rStyle w:val="af2"/>
          <w:rFonts w:eastAsia="Guttman Hodes"/>
          <w:rtl/>
        </w:rPr>
        <w:t>ד"ה ואמר</w:t>
      </w:r>
      <w:r w:rsidRPr="00FB451D">
        <w:rPr>
          <w:rStyle w:val="af2"/>
          <w:rFonts w:eastAsia="Guttman Hodes" w:hint="cs"/>
          <w:rtl/>
        </w:rPr>
        <w:t>)</w:t>
      </w:r>
      <w:r>
        <w:rPr>
          <w:rFonts w:hint="cs"/>
          <w:rtl/>
        </w:rPr>
        <w:t xml:space="preserve">, והניח בצ"ע, ועי' במ"ש </w:t>
      </w:r>
      <w:r w:rsidRPr="00C65D8D">
        <w:rPr>
          <w:rStyle w:val="aff4"/>
          <w:rFonts w:hint="cs"/>
          <w:vanish/>
          <w:rtl/>
        </w:rPr>
        <w:t>-</w:t>
      </w:r>
      <w:r w:rsidRPr="00C65D8D">
        <w:rPr>
          <w:rStyle w:val="aff4"/>
          <w:rFonts w:hint="cs"/>
          <w:rtl/>
        </w:rPr>
        <w:t>הדבר אברהם</w:t>
      </w:r>
      <w:r w:rsidRPr="00C65D8D">
        <w:rPr>
          <w:rStyle w:val="aff4"/>
          <w:rFonts w:hint="cs"/>
          <w:vanish/>
          <w:rtl/>
        </w:rPr>
        <w:t>-</w:t>
      </w:r>
      <w:r>
        <w:rPr>
          <w:rFonts w:hint="cs"/>
          <w:rtl/>
        </w:rPr>
        <w:t xml:space="preserve"> </w:t>
      </w:r>
      <w:r>
        <w:rPr>
          <w:rStyle w:val="af2"/>
          <w:rFonts w:eastAsia="Guttman Hodes" w:hint="cs"/>
          <w:rtl/>
        </w:rPr>
        <w:t xml:space="preserve">(עי' </w:t>
      </w:r>
      <w:r w:rsidRPr="00CB6058">
        <w:rPr>
          <w:rStyle w:val="af2"/>
          <w:rFonts w:eastAsia="Guttman Hodes" w:hint="cs"/>
          <w:rtl/>
        </w:rPr>
        <w:t xml:space="preserve">אות </w:t>
      </w:r>
      <w:r w:rsidRPr="00CB6058">
        <w:rPr>
          <w:rStyle w:val="af2"/>
          <w:rFonts w:eastAsia="Guttman Hodes"/>
          <w:rtl/>
        </w:rPr>
        <w:fldChar w:fldCharType="begin"/>
      </w:r>
      <w:r w:rsidRPr="00CB6058">
        <w:rPr>
          <w:rStyle w:val="af2"/>
          <w:rFonts w:eastAsia="Guttman Hodes"/>
          <w:rtl/>
        </w:rPr>
        <w:instrText xml:space="preserve"> </w:instrText>
      </w:r>
      <w:r w:rsidRPr="00CB6058">
        <w:rPr>
          <w:rStyle w:val="af2"/>
          <w:rFonts w:eastAsia="Guttman Hodes" w:hint="cs"/>
        </w:rPr>
        <w:instrText>REF</w:instrText>
      </w:r>
      <w:r w:rsidRPr="00CB6058">
        <w:rPr>
          <w:rStyle w:val="af2"/>
          <w:rFonts w:eastAsia="Guttman Hodes" w:hint="cs"/>
          <w:rtl/>
        </w:rPr>
        <w:instrText xml:space="preserve"> _</w:instrText>
      </w:r>
      <w:r w:rsidRPr="00CB6058">
        <w:rPr>
          <w:rStyle w:val="af2"/>
          <w:rFonts w:eastAsia="Guttman Hodes" w:hint="cs"/>
        </w:rPr>
        <w:instrText>Ref134634917 \r \h</w:instrText>
      </w:r>
      <w:r w:rsidRPr="00CB6058">
        <w:rPr>
          <w:rStyle w:val="af2"/>
          <w:rFonts w:eastAsia="Guttman Hodes"/>
          <w:rtl/>
        </w:rPr>
        <w:instrText xml:space="preserve"> </w:instrText>
      </w:r>
      <w:r w:rsidRPr="00CB6058">
        <w:rPr>
          <w:rStyle w:val="af2"/>
          <w:rFonts w:eastAsia="Guttman Hodes"/>
          <w:rtl/>
        </w:rPr>
      </w:r>
      <w:r w:rsidRPr="00CB6058">
        <w:rPr>
          <w:rStyle w:val="af2"/>
          <w:rFonts w:eastAsia="Guttman Hodes"/>
          <w:rtl/>
        </w:rPr>
        <w:fldChar w:fldCharType="separate"/>
      </w:r>
      <w:r w:rsidR="00D82181">
        <w:rPr>
          <w:rStyle w:val="af2"/>
          <w:rFonts w:eastAsia="Guttman Hodes"/>
          <w:cs/>
        </w:rPr>
        <w:t>‎</w:t>
      </w:r>
      <w:r w:rsidR="00D82181">
        <w:rPr>
          <w:rStyle w:val="af2"/>
          <w:rFonts w:eastAsia="Guttman Hodes"/>
          <w:rtl/>
        </w:rPr>
        <w:t>עד)</w:t>
      </w:r>
      <w:r w:rsidRPr="00CB6058">
        <w:rPr>
          <w:rStyle w:val="af2"/>
          <w:rFonts w:eastAsia="Guttman Hodes"/>
          <w:rtl/>
        </w:rPr>
        <w:fldChar w:fldCharType="end"/>
      </w:r>
      <w:r>
        <w:rPr>
          <w:rFonts w:hint="cs"/>
          <w:rtl/>
        </w:rPr>
        <w:t>.</w:t>
      </w:r>
      <w:bookmarkEnd w:id="1393"/>
    </w:p>
    <w:p w14:paraId="6ED3468A" w14:textId="77777777" w:rsidR="000426DE" w:rsidRPr="00747170" w:rsidRDefault="000426DE" w:rsidP="00747170">
      <w:pPr>
        <w:pStyle w:val="a2"/>
        <w:rPr>
          <w:rtl/>
        </w:rPr>
      </w:pPr>
      <w:r w:rsidRPr="00747170">
        <w:rPr>
          <w:rtl/>
        </w:rPr>
        <w:t>ואי קשיא א"כ ל"ל יבש כסלע אפילו בלאו הכי יהא חייב י"ל דאם החזירו כל זמן שלא יבש בו כסלע פטור ועיין בתוס' בבכורות דף כ"ה ע"א בד"ה ואמר ריש לקיש וכו' וצ"ע:</w:t>
      </w:r>
    </w:p>
    <w:p w14:paraId="3A460DE0" w14:textId="0DDA1FCE" w:rsidR="000426DE" w:rsidRDefault="000426DE" w:rsidP="000426DE">
      <w:pPr>
        <w:pStyle w:val="afffff7"/>
        <w:rPr>
          <w:rtl/>
        </w:rPr>
      </w:pPr>
      <w:bookmarkStart w:id="1394" w:name="_Toc134347753"/>
      <w:bookmarkStart w:id="1395" w:name="_Toc135513679"/>
      <w:bookmarkStart w:id="1396" w:name="_Toc163505604"/>
      <w:r>
        <w:rPr>
          <w:rtl/>
        </w:rPr>
        <w:t>רש"ש שבת ע"ג ע"א</w:t>
      </w:r>
      <w:r>
        <w:rPr>
          <w:rFonts w:hint="cs"/>
          <w:rtl/>
        </w:rPr>
        <w:t xml:space="preserve"> ד"ה במשנה הזורע</w:t>
      </w:r>
      <w:bookmarkEnd w:id="1394"/>
      <w:bookmarkEnd w:id="1395"/>
      <w:bookmarkEnd w:id="1396"/>
    </w:p>
    <w:p w14:paraId="2C8F1A06" w14:textId="77777777" w:rsidR="000426DE" w:rsidRPr="00860CB2" w:rsidRDefault="000426DE" w:rsidP="000426DE">
      <w:pPr>
        <w:pStyle w:val="a7"/>
        <w:rPr>
          <w:rtl/>
        </w:rPr>
      </w:pPr>
      <w:bookmarkStart w:id="1397" w:name="_Toc139316329"/>
      <w:r>
        <w:rPr>
          <w:rFonts w:hint="cs"/>
          <w:rtl/>
        </w:rPr>
        <w:t>דחיית הרש"ש דאי מחזיר למים פטור ה"ה תולש וחזר וחיברו וא"א לומר כן דנגמרה המלאכה</w:t>
      </w:r>
      <w:bookmarkEnd w:id="1397"/>
    </w:p>
    <w:p w14:paraId="08E6353F" w14:textId="6107CA06" w:rsidR="000426DE" w:rsidRDefault="000426DE" w:rsidP="00BC7DC8">
      <w:pPr>
        <w:pStyle w:val="a3"/>
        <w:rPr>
          <w:rtl/>
        </w:rPr>
      </w:pPr>
      <w:bookmarkStart w:id="1398" w:name="_Ref135380600"/>
      <w:r>
        <w:rPr>
          <w:rFonts w:hint="cs"/>
          <w:rtl/>
        </w:rPr>
        <w:t xml:space="preserve">אבל </w:t>
      </w:r>
      <w:r w:rsidRPr="000B3C6F">
        <w:rPr>
          <w:rStyle w:val="aff4"/>
          <w:rFonts w:hint="cs"/>
          <w:vanish/>
          <w:rtl/>
        </w:rPr>
        <w:t>-</w:t>
      </w:r>
      <w:r w:rsidRPr="00373C7B">
        <w:rPr>
          <w:rStyle w:val="aff4"/>
          <w:rFonts w:hint="cs"/>
          <w:rtl/>
        </w:rPr>
        <w:t>ה</w:t>
      </w:r>
      <w:r w:rsidRPr="00B53404">
        <w:rPr>
          <w:rStyle w:val="aff4"/>
          <w:rFonts w:hint="cs"/>
          <w:vanish/>
          <w:rtl/>
        </w:rPr>
        <w:t xml:space="preserve">&lt;. </w:t>
      </w:r>
      <w:r w:rsidRPr="00B53404">
        <w:rPr>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Ref133252725 \r \h</w:instrText>
      </w:r>
      <w:r w:rsidRPr="00B53404">
        <w:rPr>
          <w:rStyle w:val="aff4"/>
          <w:vanish/>
          <w:rtl/>
        </w:rPr>
        <w:instrText xml:space="preserve"> </w:instrText>
      </w:r>
      <w:r w:rsidRPr="00B53404">
        <w:rPr>
          <w:vanish/>
          <w:rtl/>
        </w:rPr>
      </w:r>
      <w:r w:rsidRPr="00B53404">
        <w:rPr>
          <w:vanish/>
          <w:rtl/>
        </w:rPr>
        <w:fldChar w:fldCharType="separate"/>
      </w:r>
      <w:r w:rsidR="00D82181">
        <w:rPr>
          <w:rStyle w:val="aff4"/>
          <w:vanish/>
          <w:cs/>
        </w:rPr>
        <w:t>‎</w:t>
      </w:r>
      <w:r w:rsidR="00D82181">
        <w:rPr>
          <w:rStyle w:val="aff4"/>
          <w:vanish/>
          <w:rtl/>
        </w:rPr>
        <w:t>מג)</w:t>
      </w:r>
      <w:r w:rsidRPr="00B53404">
        <w:rPr>
          <w:vanish/>
          <w:rtl/>
        </w:rPr>
        <w:fldChar w:fldCharType="end"/>
      </w:r>
      <w:r w:rsidRPr="00B53404">
        <w:rPr>
          <w:rStyle w:val="aff4"/>
          <w:rFonts w:hint="cs"/>
          <w:vanish/>
          <w:rtl/>
        </w:rPr>
        <w:t xml:space="preserve"> &gt;</w:t>
      </w:r>
      <w:r w:rsidRPr="00373C7B">
        <w:rPr>
          <w:rStyle w:val="aff4"/>
          <w:rFonts w:hint="cs"/>
          <w:rtl/>
        </w:rPr>
        <w:t>רש"ש</w:t>
      </w:r>
      <w:r w:rsidRPr="000B3C6F">
        <w:rPr>
          <w:rStyle w:val="aff4"/>
          <w:rFonts w:hint="cs"/>
          <w:vanish/>
          <w:rtl/>
        </w:rPr>
        <w:t>-</w:t>
      </w:r>
      <w:r>
        <w:rPr>
          <w:rFonts w:hint="cs"/>
          <w:rtl/>
        </w:rPr>
        <w:t xml:space="preserve"> </w:t>
      </w:r>
      <w:r w:rsidRPr="00FB451D">
        <w:rPr>
          <w:rStyle w:val="af2"/>
          <w:rFonts w:eastAsia="Guttman Hodes" w:hint="cs"/>
          <w:rtl/>
        </w:rPr>
        <w:t>(ד"ה במשנה הזורע)</w:t>
      </w:r>
      <w:r w:rsidRPr="000B3C6F">
        <w:rPr>
          <w:rFonts w:hint="cs"/>
          <w:vanish/>
          <w:rtl/>
        </w:rPr>
        <w:t>=</w:t>
      </w:r>
      <w:r>
        <w:rPr>
          <w:rFonts w:hint="cs"/>
          <w:rtl/>
        </w:rPr>
        <w:t xml:space="preserve"> הקשה על </w:t>
      </w:r>
      <w:r w:rsidRPr="000B3C6F">
        <w:rPr>
          <w:rStyle w:val="aff4"/>
          <w:rFonts w:hint="cs"/>
          <w:vanish/>
          <w:rtl/>
        </w:rPr>
        <w:t>-</w:t>
      </w:r>
      <w:r w:rsidRPr="00373C7B">
        <w:rPr>
          <w:rStyle w:val="aff4"/>
          <w:rFonts w:hint="cs"/>
          <w:rtl/>
        </w:rPr>
        <w:t>השיירי קרבן</w:t>
      </w:r>
      <w:r w:rsidRPr="000B3C6F">
        <w:rPr>
          <w:rStyle w:val="aff4"/>
          <w:rFonts w:hint="cs"/>
          <w:vanish/>
          <w:rtl/>
        </w:rPr>
        <w:t>-</w:t>
      </w:r>
      <w:r>
        <w:rPr>
          <w:rFonts w:hint="cs"/>
          <w:rtl/>
        </w:rPr>
        <w:t xml:space="preserve"> </w:t>
      </w:r>
      <w:r w:rsidRPr="00FB451D">
        <w:rPr>
          <w:rStyle w:val="af2"/>
          <w:rFonts w:eastAsia="Guttman Hodes" w:hint="cs"/>
          <w:rtl/>
        </w:rPr>
        <w:t xml:space="preserve">(עי' אות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Ref134993471 \r \h</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יד)</w:t>
      </w:r>
      <w:r w:rsidRPr="00FB451D">
        <w:rPr>
          <w:rStyle w:val="af2"/>
          <w:rFonts w:eastAsia="Guttman Hodes"/>
          <w:rtl/>
        </w:rPr>
        <w:fldChar w:fldCharType="end"/>
      </w:r>
      <w:r>
        <w:rPr>
          <w:rFonts w:hint="cs"/>
          <w:rtl/>
        </w:rPr>
        <w:t xml:space="preserve"> דאי המחזיר דג למים לפני שיבש אינו חייב משום קוצר, א"כ אף התולש זרע וחזר ושתלו יהיה פטור, </w:t>
      </w:r>
      <w:r w:rsidRPr="007A72D8">
        <w:rPr>
          <w:rStyle w:val="af"/>
          <w:rFonts w:hint="cs"/>
          <w:rtl/>
        </w:rPr>
        <w:t xml:space="preserve">[ועי' במ"ש </w:t>
      </w:r>
      <w:r w:rsidRPr="00394B7E">
        <w:rPr>
          <w:rStyle w:val="aff9"/>
          <w:rFonts w:hint="cs"/>
          <w:vanish/>
          <w:rtl/>
        </w:rPr>
        <w:t>-</w:t>
      </w:r>
      <w:r w:rsidRPr="00394B7E">
        <w:rPr>
          <w:rStyle w:val="aff9"/>
          <w:rFonts w:hint="cs"/>
          <w:rtl/>
        </w:rPr>
        <w:t>ר"ח לקמן</w:t>
      </w:r>
      <w:r w:rsidRPr="00394B7E">
        <w:rPr>
          <w:rStyle w:val="aff9"/>
          <w:rFonts w:hint="cs"/>
          <w:vanish/>
          <w:rtl/>
        </w:rPr>
        <w:t>-</w:t>
      </w:r>
      <w:r w:rsidRPr="007A72D8">
        <w:rPr>
          <w:rStyle w:val="af"/>
          <w:rFonts w:hint="cs"/>
          <w:rtl/>
        </w:rPr>
        <w:t xml:space="preserve"> </w:t>
      </w:r>
      <w:r w:rsidRPr="00394B7E">
        <w:rPr>
          <w:rStyle w:val="aff0"/>
          <w:rFonts w:hint="cs"/>
          <w:rtl/>
        </w:rPr>
        <w:t xml:space="preserve">(עי' אות </w:t>
      </w:r>
      <w:r w:rsidRPr="00394B7E">
        <w:rPr>
          <w:rStyle w:val="aff0"/>
          <w:rtl/>
        </w:rPr>
        <w:fldChar w:fldCharType="begin"/>
      </w:r>
      <w:r w:rsidRPr="00394B7E">
        <w:rPr>
          <w:rStyle w:val="aff0"/>
          <w:rtl/>
        </w:rPr>
        <w:instrText xml:space="preserve"> </w:instrText>
      </w:r>
      <w:r w:rsidRPr="00394B7E">
        <w:rPr>
          <w:rStyle w:val="aff0"/>
          <w:rFonts w:hint="cs"/>
        </w:rPr>
        <w:instrText>REF</w:instrText>
      </w:r>
      <w:r w:rsidRPr="00394B7E">
        <w:rPr>
          <w:rStyle w:val="aff0"/>
          <w:rFonts w:hint="cs"/>
          <w:rtl/>
        </w:rPr>
        <w:instrText xml:space="preserve"> _</w:instrText>
      </w:r>
      <w:r w:rsidRPr="00394B7E">
        <w:rPr>
          <w:rStyle w:val="aff0"/>
          <w:rFonts w:hint="cs"/>
        </w:rPr>
        <w:instrText>Ref134564972 \r \h</w:instrText>
      </w:r>
      <w:r w:rsidRPr="00394B7E">
        <w:rPr>
          <w:rStyle w:val="aff0"/>
          <w:rtl/>
        </w:rPr>
        <w:instrText xml:space="preserve"> </w:instrText>
      </w:r>
      <w:r w:rsidRPr="00394B7E">
        <w:rPr>
          <w:rStyle w:val="aff0"/>
          <w:rtl/>
        </w:rPr>
      </w:r>
      <w:r w:rsidRPr="00394B7E">
        <w:rPr>
          <w:rStyle w:val="aff0"/>
          <w:rtl/>
        </w:rPr>
        <w:fldChar w:fldCharType="separate"/>
      </w:r>
      <w:r w:rsidR="00D82181">
        <w:rPr>
          <w:rStyle w:val="aff0"/>
          <w:cs/>
        </w:rPr>
        <w:t>‎</w:t>
      </w:r>
      <w:r w:rsidR="00D82181">
        <w:rPr>
          <w:rStyle w:val="aff0"/>
          <w:rtl/>
        </w:rPr>
        <w:t>כב)</w:t>
      </w:r>
      <w:r w:rsidRPr="00394B7E">
        <w:rPr>
          <w:rStyle w:val="aff0"/>
          <w:rtl/>
        </w:rPr>
        <w:fldChar w:fldCharType="end"/>
      </w:r>
      <w:r w:rsidRPr="007A72D8">
        <w:rPr>
          <w:rStyle w:val="af"/>
          <w:rFonts w:hint="cs"/>
          <w:rtl/>
        </w:rPr>
        <w:t>]</w:t>
      </w:r>
      <w:r w:rsidRPr="009C1377">
        <w:rPr>
          <w:rStyle w:val="af"/>
          <w:rFonts w:hint="cs"/>
          <w:rtl/>
        </w:rPr>
        <w:t>,</w:t>
      </w:r>
      <w:r>
        <w:rPr>
          <w:rFonts w:hint="cs"/>
          <w:rtl/>
        </w:rPr>
        <w:t xml:space="preserve"> ודחה </w:t>
      </w:r>
      <w:r w:rsidRPr="000B3C6F">
        <w:rPr>
          <w:rStyle w:val="aff4"/>
          <w:rFonts w:hint="cs"/>
          <w:vanish/>
          <w:rtl/>
        </w:rPr>
        <w:t>-</w:t>
      </w:r>
      <w:r w:rsidRPr="00373C7B">
        <w:rPr>
          <w:rStyle w:val="aff4"/>
          <w:rFonts w:hint="cs"/>
          <w:rtl/>
        </w:rPr>
        <w:t>הרש"ש</w:t>
      </w:r>
      <w:r w:rsidRPr="000B3C6F">
        <w:rPr>
          <w:rStyle w:val="aff4"/>
          <w:rFonts w:hint="cs"/>
          <w:vanish/>
          <w:rtl/>
        </w:rPr>
        <w:t>-</w:t>
      </w:r>
      <w:r>
        <w:rPr>
          <w:rFonts w:hint="cs"/>
          <w:rtl/>
        </w:rPr>
        <w:t xml:space="preserve"> דפשיטא דבכה"ג הוא חייב, כיון דמלאכת העקירה מהקרקע נגמרה לגמרי. </w:t>
      </w:r>
      <w:r w:rsidRPr="007A72D8">
        <w:rPr>
          <w:rStyle w:val="af"/>
          <w:rFonts w:hint="cs"/>
          <w:rtl/>
        </w:rPr>
        <w:t xml:space="preserve">[וכתב </w:t>
      </w:r>
      <w:r w:rsidRPr="00394B7E">
        <w:rPr>
          <w:rStyle w:val="aff9"/>
          <w:rFonts w:hint="cs"/>
          <w:vanish/>
          <w:rtl/>
        </w:rPr>
        <w:t>-</w:t>
      </w:r>
      <w:r w:rsidRPr="00394B7E">
        <w:rPr>
          <w:rStyle w:val="aff9"/>
          <w:rFonts w:hint="cs"/>
          <w:rtl/>
        </w:rPr>
        <w:t>הרש"ש</w:t>
      </w:r>
      <w:r w:rsidRPr="00394B7E">
        <w:rPr>
          <w:rStyle w:val="aff9"/>
          <w:rFonts w:hint="cs"/>
          <w:vanish/>
          <w:rtl/>
        </w:rPr>
        <w:t>-</w:t>
      </w:r>
      <w:r w:rsidRPr="007A72D8">
        <w:rPr>
          <w:rStyle w:val="af"/>
          <w:rFonts w:hint="cs"/>
          <w:rtl/>
        </w:rPr>
        <w:t xml:space="preserve"> דרק בזרע שהוציאו מהקרקע לפני שהשריש הוא פטור, דכיון שלא השריש עדיין דבזריעתו לא נעשה כלום עדיין, והזרע כמונח בכד, כדעת </w:t>
      </w:r>
      <w:r w:rsidRPr="00394B7E">
        <w:rPr>
          <w:rStyle w:val="aff9"/>
          <w:rFonts w:hint="cs"/>
          <w:vanish/>
          <w:rtl/>
        </w:rPr>
        <w:t>-</w:t>
      </w:r>
      <w:r w:rsidRPr="00394B7E">
        <w:rPr>
          <w:rStyle w:val="aff9"/>
          <w:rFonts w:hint="cs"/>
          <w:rtl/>
        </w:rPr>
        <w:t>הרש"ש</w:t>
      </w:r>
      <w:r w:rsidRPr="00394B7E">
        <w:rPr>
          <w:rStyle w:val="aff9"/>
          <w:rFonts w:hint="cs"/>
          <w:vanish/>
          <w:rtl/>
        </w:rPr>
        <w:t>-</w:t>
      </w:r>
      <w:r w:rsidRPr="007A72D8">
        <w:rPr>
          <w:rStyle w:val="af"/>
          <w:rFonts w:hint="cs"/>
          <w:rtl/>
        </w:rPr>
        <w:t xml:space="preserve"> </w:t>
      </w:r>
      <w:r w:rsidRPr="00394B7E">
        <w:rPr>
          <w:rStyle w:val="aff0"/>
          <w:rFonts w:hint="cs"/>
          <w:rtl/>
        </w:rPr>
        <w:t>(הובא בסי' ב' אות מ"ג)</w:t>
      </w:r>
      <w:r w:rsidRPr="007A72D8">
        <w:rPr>
          <w:rStyle w:val="af"/>
          <w:rFonts w:hint="cs"/>
          <w:rtl/>
        </w:rPr>
        <w:t xml:space="preserve">, ודלא </w:t>
      </w:r>
      <w:r w:rsidRPr="00394B7E">
        <w:rPr>
          <w:rStyle w:val="aff9"/>
          <w:rFonts w:hint="cs"/>
          <w:vanish/>
          <w:rtl/>
        </w:rPr>
        <w:t>-</w:t>
      </w:r>
      <w:r w:rsidRPr="00394B7E">
        <w:rPr>
          <w:rStyle w:val="aff9"/>
          <w:rFonts w:hint="cs"/>
          <w:rtl/>
        </w:rPr>
        <w:t>כמנחת חינוך</w:t>
      </w:r>
      <w:r w:rsidRPr="00394B7E">
        <w:rPr>
          <w:rStyle w:val="aff9"/>
          <w:rFonts w:hint="cs"/>
          <w:vanish/>
          <w:rtl/>
        </w:rPr>
        <w:t>-</w:t>
      </w:r>
      <w:r w:rsidRPr="007A72D8">
        <w:rPr>
          <w:rStyle w:val="af"/>
          <w:rFonts w:hint="cs"/>
          <w:rtl/>
        </w:rPr>
        <w:t xml:space="preserve"> </w:t>
      </w:r>
      <w:r w:rsidRPr="00394B7E">
        <w:rPr>
          <w:rStyle w:val="aff0"/>
          <w:rFonts w:hint="cs"/>
          <w:rtl/>
        </w:rPr>
        <w:t xml:space="preserve">(מצוה רח"צ י"ד ד"ה </w:t>
      </w:r>
      <w:r w:rsidRPr="00394B7E">
        <w:rPr>
          <w:rStyle w:val="aff0"/>
          <w:rtl/>
        </w:rPr>
        <w:t>ע</w:t>
      </w:r>
      <w:r w:rsidRPr="00394B7E">
        <w:rPr>
          <w:rStyle w:val="aff0"/>
          <w:rFonts w:hint="cs"/>
          <w:rtl/>
        </w:rPr>
        <w:t>ל כרחך, הובא בסי' ב' אות י"א)</w:t>
      </w:r>
      <w:r w:rsidRPr="007A72D8">
        <w:rPr>
          <w:rStyle w:val="af"/>
          <w:rFonts w:hint="cs"/>
          <w:rtl/>
        </w:rPr>
        <w:t>]</w:t>
      </w:r>
      <w:r w:rsidRPr="00CD1359">
        <w:rPr>
          <w:rStyle w:val="af"/>
          <w:rFonts w:hint="cs"/>
          <w:rtl/>
        </w:rPr>
        <w:t>.</w:t>
      </w:r>
      <w:bookmarkEnd w:id="1398"/>
    </w:p>
    <w:p w14:paraId="029555EE" w14:textId="77777777" w:rsidR="000426DE" w:rsidRPr="00747170" w:rsidRDefault="000426DE" w:rsidP="00747170">
      <w:pPr>
        <w:pStyle w:val="a2"/>
        <w:rPr>
          <w:rtl/>
        </w:rPr>
      </w:pPr>
      <w:r w:rsidRPr="00747170">
        <w:rPr>
          <w:rtl/>
        </w:rPr>
        <w:t xml:space="preserve">וגדולה מזו משמע בתוס' ק"ע בירושלמי דפרקין </w:t>
      </w:r>
      <w:r w:rsidRPr="00747170">
        <w:rPr>
          <w:rFonts w:hint="cs"/>
          <w:rtl/>
        </w:rPr>
        <w:t>(</w:t>
      </w:r>
      <w:r w:rsidRPr="00747170">
        <w:rPr>
          <w:rtl/>
        </w:rPr>
        <w:t>ד' כח א דפוס דעסי</w:t>
      </w:r>
      <w:r w:rsidRPr="00747170">
        <w:rPr>
          <w:rFonts w:hint="cs"/>
          <w:rtl/>
        </w:rPr>
        <w:t>)</w:t>
      </w:r>
      <w:r w:rsidRPr="00747170">
        <w:rPr>
          <w:rtl/>
        </w:rPr>
        <w:t xml:space="preserve"> בד"ה כל דבר דאם עקר דבר מגידולו אם שוב שתלו אח"כ פטור וזה ודאי ל"נ כלל דכיון דכבר גמר מלאכת העקירה. [וזה דומה למש"כ הרא"ש בפ"ב דביצה ססי' י"ז ע"ש</w:t>
      </w:r>
      <w:r w:rsidRPr="00747170">
        <w:rPr>
          <w:rFonts w:hint="cs"/>
          <w:rtl/>
        </w:rPr>
        <w:t>]</w:t>
      </w:r>
      <w:r w:rsidRPr="00747170">
        <w:rPr>
          <w:rtl/>
        </w:rPr>
        <w:t>. משא"כ הכא היכא דלא נשרש עדיין לא נעשה כלום דכמאן דשדא בכדא דמי.</w:t>
      </w:r>
    </w:p>
    <w:p w14:paraId="360E4D19" w14:textId="698FC6D3" w:rsidR="000426DE" w:rsidRDefault="000426DE" w:rsidP="000426DE">
      <w:pPr>
        <w:pStyle w:val="afffff7"/>
        <w:rPr>
          <w:rtl/>
        </w:rPr>
      </w:pPr>
      <w:bookmarkStart w:id="1399" w:name="_Toc135513680"/>
      <w:bookmarkStart w:id="1400" w:name="_Toc163505605"/>
      <w:r>
        <w:rPr>
          <w:rtl/>
        </w:rPr>
        <w:t xml:space="preserve">אגלי טל קוצר </w:t>
      </w:r>
      <w:r>
        <w:rPr>
          <w:rFonts w:hint="cs"/>
          <w:rtl/>
        </w:rPr>
        <w:t>סקכ"ו</w:t>
      </w:r>
      <w:r w:rsidRPr="00643AFE">
        <w:rPr>
          <w:rtl/>
        </w:rPr>
        <w:t xml:space="preserve"> ד"ה ולפענ"ד</w:t>
      </w:r>
      <w:r>
        <w:rPr>
          <w:rFonts w:hint="cs"/>
          <w:rtl/>
        </w:rPr>
        <w:t xml:space="preserve"> ליתא</w:t>
      </w:r>
      <w:bookmarkEnd w:id="1399"/>
      <w:bookmarkEnd w:id="1400"/>
    </w:p>
    <w:p w14:paraId="5DB0966B" w14:textId="77777777" w:rsidR="000426DE" w:rsidRPr="00773DB0" w:rsidRDefault="000426DE" w:rsidP="000426DE">
      <w:pPr>
        <w:pStyle w:val="a7"/>
        <w:rPr>
          <w:rtl/>
        </w:rPr>
      </w:pPr>
      <w:bookmarkStart w:id="1401" w:name="_Toc139316330"/>
      <w:r>
        <w:rPr>
          <w:rFonts w:hint="cs"/>
          <w:rtl/>
        </w:rPr>
        <w:t>דחיית האגל"ט דלש"ק עציץ שהגביהו ע"ג יתדות אי חשיב עקירה דאו' יפטר בחזר והניחו</w:t>
      </w:r>
      <w:bookmarkEnd w:id="1401"/>
    </w:p>
    <w:p w14:paraId="5A876BA6" w14:textId="398FD81A" w:rsidR="000426DE" w:rsidRDefault="000426DE" w:rsidP="00BC7DC8">
      <w:pPr>
        <w:pStyle w:val="a3"/>
        <w:rPr>
          <w:rtl/>
        </w:rPr>
      </w:pPr>
      <w:r w:rsidRPr="000B3C6F">
        <w:rPr>
          <w:rStyle w:val="aff4"/>
          <w:rFonts w:hint="cs"/>
          <w:vanish/>
          <w:rtl/>
        </w:rPr>
        <w:t>-</w:t>
      </w:r>
      <w:bookmarkStart w:id="1402" w:name="_Ref134993559"/>
      <w:r>
        <w:rPr>
          <w:rStyle w:val="aff4"/>
          <w:rFonts w:hint="cs"/>
          <w:rtl/>
        </w:rPr>
        <w:t>וב</w:t>
      </w:r>
      <w:r w:rsidRPr="00B53404">
        <w:rPr>
          <w:rStyle w:val="aff4"/>
          <w:rFonts w:hint="cs"/>
          <w:vanish/>
          <w:rtl/>
        </w:rPr>
        <w:t xml:space="preserve">&lt;. </w:t>
      </w:r>
      <w:r w:rsidRPr="00B53404">
        <w:rPr>
          <w:vanish/>
          <w:rtl/>
        </w:rPr>
        <w:fldChar w:fldCharType="begin"/>
      </w:r>
      <w:r w:rsidRPr="00B53404">
        <w:rPr>
          <w:vanish/>
          <w:rtl/>
        </w:rPr>
        <w:instrText xml:space="preserve"> </w:instrText>
      </w:r>
      <w:r w:rsidRPr="00B53404">
        <w:rPr>
          <w:rFonts w:hint="cs"/>
          <w:vanish/>
        </w:rPr>
        <w:instrText>REF</w:instrText>
      </w:r>
      <w:r w:rsidRPr="00B53404">
        <w:rPr>
          <w:rFonts w:hint="cs"/>
          <w:vanish/>
          <w:rtl/>
        </w:rPr>
        <w:instrText xml:space="preserve"> _</w:instrText>
      </w:r>
      <w:r w:rsidRPr="00B53404">
        <w:rPr>
          <w:rFonts w:hint="cs"/>
          <w:vanish/>
        </w:rPr>
        <w:instrText>Ref134993559 \r \h</w:instrText>
      </w:r>
      <w:r w:rsidRPr="00B53404">
        <w:rPr>
          <w:vanish/>
          <w:rtl/>
        </w:rPr>
        <w:instrText xml:space="preserve"> </w:instrText>
      </w:r>
      <w:r w:rsidRPr="00B53404">
        <w:rPr>
          <w:vanish/>
          <w:rtl/>
        </w:rPr>
      </w:r>
      <w:r w:rsidRPr="00B53404">
        <w:rPr>
          <w:vanish/>
          <w:rtl/>
        </w:rPr>
        <w:fldChar w:fldCharType="separate"/>
      </w:r>
      <w:r w:rsidR="00D82181">
        <w:rPr>
          <w:vanish/>
          <w:cs/>
        </w:rPr>
        <w:t>‎</w:t>
      </w:r>
      <w:r w:rsidR="00D82181">
        <w:rPr>
          <w:vanish/>
          <w:rtl/>
        </w:rPr>
        <w:t>טז)</w:t>
      </w:r>
      <w:r w:rsidRPr="00B53404">
        <w:rPr>
          <w:vanish/>
          <w:rtl/>
        </w:rPr>
        <w:fldChar w:fldCharType="end"/>
      </w:r>
      <w:r w:rsidRPr="00B53404">
        <w:rPr>
          <w:rFonts w:hint="cs"/>
          <w:vanish/>
          <w:rtl/>
        </w:rPr>
        <w:t xml:space="preserve"> </w:t>
      </w:r>
      <w:r w:rsidRPr="00B53404">
        <w:rPr>
          <w:rStyle w:val="aff4"/>
          <w:rFonts w:hint="cs"/>
          <w:vanish/>
          <w:rtl/>
        </w:rPr>
        <w:t>&gt;</w:t>
      </w:r>
      <w:r>
        <w:rPr>
          <w:rStyle w:val="aff4"/>
          <w:rFonts w:hint="cs"/>
          <w:rtl/>
        </w:rPr>
        <w:t>אגלי טל</w:t>
      </w:r>
      <w:r w:rsidRPr="000B3C6F">
        <w:rPr>
          <w:rStyle w:val="aff4"/>
          <w:rFonts w:hint="cs"/>
          <w:vanish/>
          <w:rtl/>
        </w:rPr>
        <w:t>-</w:t>
      </w:r>
      <w:r>
        <w:rPr>
          <w:rFonts w:hint="cs"/>
          <w:rtl/>
        </w:rPr>
        <w:t xml:space="preserve"> </w:t>
      </w:r>
      <w:r w:rsidRPr="00FB451D">
        <w:rPr>
          <w:rStyle w:val="af2"/>
          <w:rFonts w:eastAsia="Guttman Hodes" w:hint="cs"/>
          <w:rtl/>
        </w:rPr>
        <w:t xml:space="preserve">(קוצר סקכ"ו </w:t>
      </w:r>
      <w:bookmarkStart w:id="1403" w:name="_Hlk134993798"/>
      <w:r w:rsidRPr="00FB451D">
        <w:rPr>
          <w:rStyle w:val="af2"/>
          <w:rFonts w:eastAsia="Guttman Hodes" w:hint="cs"/>
          <w:rtl/>
        </w:rPr>
        <w:t xml:space="preserve">ד"ה </w:t>
      </w:r>
      <w:r w:rsidRPr="00FB451D">
        <w:rPr>
          <w:rStyle w:val="af2"/>
          <w:rFonts w:eastAsia="Guttman Hodes"/>
          <w:rtl/>
        </w:rPr>
        <w:t>ולפענ"ד</w:t>
      </w:r>
      <w:bookmarkEnd w:id="1403"/>
      <w:r w:rsidRPr="00FB451D">
        <w:rPr>
          <w:rStyle w:val="af2"/>
          <w:rFonts w:eastAsia="Guttman Hodes" w:hint="cs"/>
          <w:rtl/>
        </w:rPr>
        <w:t xml:space="preserve"> ליתא)</w:t>
      </w:r>
      <w:r w:rsidRPr="000B3C6F">
        <w:rPr>
          <w:rFonts w:hint="cs"/>
          <w:vanish/>
          <w:rtl/>
        </w:rPr>
        <w:t>=</w:t>
      </w:r>
      <w:r>
        <w:rPr>
          <w:rFonts w:hint="cs"/>
          <w:rtl/>
        </w:rPr>
        <w:t xml:space="preserve"> הקשה על </w:t>
      </w:r>
      <w:r w:rsidRPr="000B3C6F">
        <w:rPr>
          <w:rStyle w:val="aff4"/>
          <w:rFonts w:hint="cs"/>
          <w:vanish/>
          <w:rtl/>
        </w:rPr>
        <w:t>-</w:t>
      </w:r>
      <w:r w:rsidRPr="00373C7B">
        <w:rPr>
          <w:rStyle w:val="aff4"/>
          <w:rFonts w:hint="cs"/>
          <w:rtl/>
        </w:rPr>
        <w:t>השיירי קרבן</w:t>
      </w:r>
      <w:r w:rsidRPr="000B3C6F">
        <w:rPr>
          <w:rStyle w:val="aff4"/>
          <w:rFonts w:hint="cs"/>
          <w:vanish/>
          <w:rtl/>
        </w:rPr>
        <w:t>-</w:t>
      </w:r>
      <w:r>
        <w:rPr>
          <w:rFonts w:hint="cs"/>
          <w:rtl/>
        </w:rPr>
        <w:t xml:space="preserve"> </w:t>
      </w:r>
      <w:r w:rsidRPr="00FB451D">
        <w:rPr>
          <w:rStyle w:val="af2"/>
          <w:rFonts w:eastAsia="Guttman Hodes" w:hint="cs"/>
          <w:rtl/>
        </w:rPr>
        <w:t xml:space="preserve">(עי' אות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Ref134993471 \r \h</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יד)</w:t>
      </w:r>
      <w:r w:rsidRPr="00FB451D">
        <w:rPr>
          <w:rStyle w:val="af2"/>
          <w:rFonts w:eastAsia="Guttman Hodes"/>
          <w:rtl/>
        </w:rPr>
        <w:fldChar w:fldCharType="end"/>
      </w:r>
      <w:r>
        <w:rPr>
          <w:rFonts w:hint="cs"/>
          <w:rtl/>
        </w:rPr>
        <w:t xml:space="preserve"> דאי המחזיר דג למים לפני שיבש אינו חייב משום קוצר, א"כ </w:t>
      </w:r>
      <w:bookmarkEnd w:id="1402"/>
      <w:r>
        <w:rPr>
          <w:rFonts w:hint="cs"/>
          <w:rtl/>
        </w:rPr>
        <w:t xml:space="preserve">עציץ נקוב שהגביה אותו מע"ג הקרקע והניחו ע"ג יתדות, לדעת הסוברים שהוא תולש דאו', א"א לחייבו אם אח"כ חזר והניחו ע"ג קרקע, </w:t>
      </w:r>
      <w:r w:rsidRPr="007A72D8">
        <w:rPr>
          <w:rStyle w:val="af"/>
          <w:rFonts w:hint="cs"/>
          <w:rtl/>
        </w:rPr>
        <w:t>[אף לאחר זמן מרובה]</w:t>
      </w:r>
      <w:r w:rsidRPr="009C1377">
        <w:rPr>
          <w:rStyle w:val="af"/>
          <w:rFonts w:hint="cs"/>
          <w:rtl/>
        </w:rPr>
        <w:t>,</w:t>
      </w:r>
      <w:r>
        <w:rPr>
          <w:rFonts w:hint="cs"/>
          <w:rtl/>
        </w:rPr>
        <w:t xml:space="preserve"> ורק באופן שיבשו העשבים שבעציץ יתחייב, וכתב </w:t>
      </w:r>
      <w:r w:rsidRPr="00B21A47">
        <w:rPr>
          <w:rStyle w:val="aff4"/>
          <w:rFonts w:hint="cs"/>
          <w:vanish/>
          <w:rtl/>
        </w:rPr>
        <w:t>-</w:t>
      </w:r>
      <w:r w:rsidRPr="00272A5B">
        <w:rPr>
          <w:rStyle w:val="aff4"/>
          <w:rFonts w:hint="cs"/>
          <w:rtl/>
        </w:rPr>
        <w:t>האגלי טל</w:t>
      </w:r>
      <w:r w:rsidRPr="00B21A47">
        <w:rPr>
          <w:rStyle w:val="aff4"/>
          <w:rFonts w:hint="cs"/>
          <w:vanish/>
          <w:rtl/>
        </w:rPr>
        <w:t>-</w:t>
      </w:r>
      <w:r>
        <w:rPr>
          <w:rFonts w:hint="cs"/>
          <w:rtl/>
        </w:rPr>
        <w:t xml:space="preserve"> דא"א לומר דבאמת פטור בכה"ג, דהא כתב </w:t>
      </w:r>
      <w:r w:rsidRPr="00B21A47">
        <w:rPr>
          <w:rStyle w:val="aff4"/>
          <w:rFonts w:hint="cs"/>
          <w:vanish/>
          <w:rtl/>
        </w:rPr>
        <w:t>-</w:t>
      </w:r>
      <w:r w:rsidRPr="00272A5B">
        <w:rPr>
          <w:rStyle w:val="aff4"/>
          <w:rFonts w:hint="cs"/>
          <w:rtl/>
        </w:rPr>
        <w:t>רש"י לקמן</w:t>
      </w:r>
      <w:r w:rsidRPr="00B21A47">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Ref134956345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לו)</w:t>
      </w:r>
      <w:r>
        <w:rPr>
          <w:rStyle w:val="af2"/>
          <w:rFonts w:eastAsia="Guttman Hodes"/>
          <w:rtl/>
        </w:rPr>
        <w:fldChar w:fldCharType="end"/>
      </w:r>
      <w:r>
        <w:rPr>
          <w:rFonts w:hint="cs"/>
          <w:rtl/>
        </w:rPr>
        <w:t xml:space="preserve"> דא"א לומר דהמניח עציץ ע"ג יתדות הוא תולש דאו', דא"כ היאך מותר לקנח בצרור, ואי כשחוזרו ומניחו ע"ג קרקע פטור, א"כ מבואר היאך מותר לקנח בצרור כיון דאחר הקינוח הוא חוזרו ומניחו ואין בזה חיוב תולש דאו'. </w:t>
      </w:r>
      <w:r w:rsidRPr="007A72D8">
        <w:rPr>
          <w:rStyle w:val="af"/>
          <w:rFonts w:hint="cs"/>
          <w:rtl/>
        </w:rPr>
        <w:t xml:space="preserve">[ועי' בדברי </w:t>
      </w:r>
      <w:r w:rsidRPr="00394B7E">
        <w:rPr>
          <w:rStyle w:val="aff9"/>
          <w:rFonts w:hint="cs"/>
          <w:vanish/>
          <w:rtl/>
        </w:rPr>
        <w:t>-</w:t>
      </w:r>
      <w:r w:rsidRPr="00394B7E">
        <w:rPr>
          <w:rStyle w:val="aff9"/>
          <w:rFonts w:hint="cs"/>
          <w:rtl/>
        </w:rPr>
        <w:t>האו"ז</w:t>
      </w:r>
      <w:r w:rsidRPr="00394B7E">
        <w:rPr>
          <w:rStyle w:val="aff9"/>
          <w:rFonts w:hint="cs"/>
          <w:vanish/>
          <w:rtl/>
        </w:rPr>
        <w:t>-</w:t>
      </w:r>
      <w:r w:rsidRPr="007A72D8">
        <w:rPr>
          <w:rStyle w:val="af"/>
          <w:rFonts w:hint="cs"/>
          <w:rtl/>
        </w:rPr>
        <w:t xml:space="preserve"> </w:t>
      </w:r>
      <w:r w:rsidRPr="00394B7E">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Ref135126973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מו)</w:t>
      </w:r>
      <w:r>
        <w:rPr>
          <w:rStyle w:val="aff0"/>
          <w:rtl/>
        </w:rPr>
        <w:fldChar w:fldCharType="end"/>
      </w:r>
      <w:r w:rsidRPr="007A72D8">
        <w:rPr>
          <w:rStyle w:val="af"/>
          <w:rFonts w:hint="cs"/>
          <w:rtl/>
        </w:rPr>
        <w:t xml:space="preserve"> </w:t>
      </w:r>
      <w:r w:rsidRPr="00394B7E">
        <w:rPr>
          <w:rStyle w:val="aff9"/>
          <w:rFonts w:hint="cs"/>
          <w:vanish/>
          <w:rtl/>
        </w:rPr>
        <w:t>-</w:t>
      </w:r>
      <w:r w:rsidRPr="00394B7E">
        <w:rPr>
          <w:rStyle w:val="aff9"/>
          <w:rFonts w:hint="cs"/>
          <w:rtl/>
        </w:rPr>
        <w:t>והמרכה"מ</w:t>
      </w:r>
      <w:r w:rsidRPr="00394B7E">
        <w:rPr>
          <w:rStyle w:val="aff9"/>
          <w:rFonts w:hint="cs"/>
          <w:vanish/>
          <w:rtl/>
        </w:rPr>
        <w:t>-</w:t>
      </w:r>
      <w:r w:rsidRPr="00C74505">
        <w:rPr>
          <w:rStyle w:val="af"/>
          <w:rFonts w:hint="cs"/>
          <w:rtl/>
        </w:rPr>
        <w:t xml:space="preserve"> </w:t>
      </w:r>
      <w:r w:rsidRPr="00394B7E">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Ref135340655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מה)</w:t>
      </w:r>
      <w:r>
        <w:rPr>
          <w:rStyle w:val="aff0"/>
          <w:rtl/>
        </w:rPr>
        <w:fldChar w:fldCharType="end"/>
      </w:r>
      <w:r w:rsidRPr="007A72D8">
        <w:rPr>
          <w:rStyle w:val="af"/>
          <w:rFonts w:hint="cs"/>
          <w:rtl/>
        </w:rPr>
        <w:t xml:space="preserve"> דביארו כן בדעת </w:t>
      </w:r>
      <w:r w:rsidRPr="00394B7E">
        <w:rPr>
          <w:rStyle w:val="aff9"/>
          <w:rFonts w:hint="cs"/>
          <w:vanish/>
          <w:rtl/>
        </w:rPr>
        <w:t>-</w:t>
      </w:r>
      <w:r w:rsidRPr="00394B7E">
        <w:rPr>
          <w:rStyle w:val="aff9"/>
          <w:rFonts w:hint="cs"/>
          <w:rtl/>
        </w:rPr>
        <w:t>הרמב"ם</w:t>
      </w:r>
      <w:r w:rsidRPr="00394B7E">
        <w:rPr>
          <w:rStyle w:val="aff9"/>
          <w:rFonts w:hint="cs"/>
          <w:vanish/>
          <w:rtl/>
        </w:rPr>
        <w:t>-</w:t>
      </w:r>
      <w:r w:rsidRPr="007A72D8">
        <w:rPr>
          <w:rStyle w:val="af"/>
          <w:rFonts w:hint="cs"/>
          <w:rtl/>
        </w:rPr>
        <w:t xml:space="preserve"> </w:t>
      </w:r>
      <w:r w:rsidRPr="00394B7E">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Ref134736415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מ)</w:t>
      </w:r>
      <w:r>
        <w:rPr>
          <w:rStyle w:val="aff0"/>
          <w:rtl/>
        </w:rPr>
        <w:fldChar w:fldCharType="end"/>
      </w:r>
      <w:r w:rsidRPr="007A72D8">
        <w:rPr>
          <w:rStyle w:val="af"/>
          <w:rFonts w:hint="cs"/>
          <w:rtl/>
        </w:rPr>
        <w:t xml:space="preserve"> דס"ל דהוא תולש דאו', ואפ"ה התיר ר"ל לקנח בצרור כיון דמחזירו לקרקע]</w:t>
      </w:r>
      <w:r w:rsidRPr="00CD1359">
        <w:rPr>
          <w:rStyle w:val="af"/>
          <w:rFonts w:hint="cs"/>
          <w:rtl/>
        </w:rPr>
        <w:t>.</w:t>
      </w:r>
    </w:p>
    <w:p w14:paraId="1839A4E9" w14:textId="77777777" w:rsidR="000426DE" w:rsidRPr="001A17EB" w:rsidRDefault="000426DE" w:rsidP="000426DE">
      <w:pPr>
        <w:pStyle w:val="a7"/>
        <w:rPr>
          <w:rtl/>
        </w:rPr>
      </w:pPr>
    </w:p>
    <w:p w14:paraId="76783DCE" w14:textId="77777777" w:rsidR="000426DE" w:rsidRPr="001A17EB" w:rsidRDefault="000426DE" w:rsidP="000426DE">
      <w:pPr>
        <w:pStyle w:val="a7"/>
        <w:rPr>
          <w:rtl/>
        </w:rPr>
      </w:pPr>
    </w:p>
    <w:p w14:paraId="7DE80CC1" w14:textId="77777777" w:rsidR="000426DE" w:rsidRPr="00747170" w:rsidRDefault="000426DE" w:rsidP="00747170">
      <w:pPr>
        <w:pStyle w:val="a2"/>
        <w:rPr>
          <w:rtl/>
        </w:rPr>
      </w:pPr>
      <w:r w:rsidRPr="00747170">
        <w:rPr>
          <w:rtl/>
        </w:rPr>
        <w:lastRenderedPageBreak/>
        <w:t>[כו] משום קוצר. ירושלמי פרק כלל גדול [מח ב] ההן דציד כוורא וכל דבר שאתה מבדילו מחיותו חייב משום קוצר. ופי' הקרבן עדה דמיירי שהיה ניצוד ועומד מבעוד יום בביבר במקום שאינו מחוסר צידה. ובשיורי קרבן שם כתב דהא דגרסי' בבבלי פרק ח' שרצים ק"ז: אמר שמואל השולה דג מן הים כיון שיבש בו כסלע חייב וכו' אמר שמואל הושיט ידו למעי בהמה ודלדל עובר שבמעיה חייב. תרווייהו חד טעמא אית להו שחייבין משום קוצר. ורש"י פי' בדג שחייב משום נטילת נשמה. והה"מ בשם הרמב"ן כתב דתרווייהו משום נטילת נשמה. ול"נ כמ"ש. ואי קשיא א"כ למה לי יבש כסלע אפי' בלאו הכי יהא חייב. יש לומר דאם החזירו כ"ז שלא יבש בו כסלע פטור עכ"ל:</w:t>
      </w:r>
    </w:p>
    <w:p w14:paraId="4A3E514F" w14:textId="77777777" w:rsidR="000426DE" w:rsidRPr="00D578AC" w:rsidRDefault="000426DE" w:rsidP="00747170">
      <w:pPr>
        <w:pStyle w:val="afffff5"/>
        <w:rPr>
          <w:rtl/>
        </w:rPr>
      </w:pPr>
      <w:r w:rsidRPr="00D578AC">
        <w:rPr>
          <w:rtl/>
        </w:rPr>
        <w:t>ולפענ"ד ליתא דא"כ עציץ נקוב שהגביהו מקרקע והניחו ע"ג יתידות לא יתחייב אם חזר והניחו. ולא משכחת חיוב אלא א"כ יבשו העשבים וכ"ת אה"נ א"כ מאי הוקשה לרש"י [פא ב] אהא דמותר לקנח בצרור שעלה בו עשבים הרי תיכף מחזירו לקרקע. מיהו י"ל דהכי קשיא לי' דא"כ שוב יתחייב בהנחה כיון שצריך לזריעה כדי שלא יתחייב למפרע משום תולש. אך ז"א כיון שנתכון תחילה להחזירו ולא יהיה מלאכה. אף אם באמת לא החזירו לא חשוב מלאכת מחשבת. ואם כן אינו צריך לחזירתו שאח"כ. גם פשיטא דלישנא דהניחו ע"ג יתידות חייב. משמע שחייב תיכף ולא מהני חזרה. וא"כ קשה אם איתא דהש"ס דידן ס"ל הא דירושלמי דחייב משום קוצר ל"ל ליבש בו כסלע:</w:t>
      </w:r>
    </w:p>
    <w:p w14:paraId="53C20DA7" w14:textId="3FCF24FC" w:rsidR="000426DE" w:rsidRPr="00A31C43" w:rsidRDefault="000426DE" w:rsidP="000426DE">
      <w:pPr>
        <w:pStyle w:val="1"/>
        <w:rPr>
          <w:rtl/>
        </w:rPr>
      </w:pPr>
      <w:bookmarkStart w:id="1404" w:name="_Toc139316331"/>
      <w:r>
        <w:rPr>
          <w:rFonts w:hint="cs"/>
          <w:rtl/>
        </w:rPr>
        <w:t>בי' האגל"ט דהבבלי ל"פ על הירו' ואיירי בניצוד דאין חיוב קוצר</w:t>
      </w:r>
      <w:bookmarkEnd w:id="1404"/>
    </w:p>
    <w:p w14:paraId="5692A438" w14:textId="77777777" w:rsidR="000426DE" w:rsidRPr="0088685B" w:rsidRDefault="000426DE" w:rsidP="000426DE">
      <w:pPr>
        <w:pStyle w:val="afffff7"/>
        <w:rPr>
          <w:rtl/>
        </w:rPr>
      </w:pPr>
      <w:bookmarkStart w:id="1405" w:name="_Toc135513681"/>
      <w:bookmarkStart w:id="1406" w:name="_Toc163505606"/>
      <w:r w:rsidRPr="0088685B">
        <w:rPr>
          <w:rtl/>
        </w:rPr>
        <w:t xml:space="preserve">אגלי טל קוצר </w:t>
      </w:r>
      <w:r w:rsidRPr="0088685B">
        <w:rPr>
          <w:rFonts w:hint="cs"/>
          <w:rtl/>
        </w:rPr>
        <w:t>סקכ"ו</w:t>
      </w:r>
      <w:r w:rsidRPr="0088685B">
        <w:rPr>
          <w:rtl/>
        </w:rPr>
        <w:t xml:space="preserve"> ד"ה ונלפע"ד דהא</w:t>
      </w:r>
      <w:bookmarkEnd w:id="1405"/>
      <w:bookmarkEnd w:id="1406"/>
    </w:p>
    <w:p w14:paraId="52B2EF67" w14:textId="77777777" w:rsidR="000426DE" w:rsidRPr="0088685B" w:rsidRDefault="000426DE" w:rsidP="000426DE">
      <w:pPr>
        <w:pStyle w:val="a7"/>
        <w:rPr>
          <w:rtl/>
        </w:rPr>
      </w:pPr>
      <w:bookmarkStart w:id="1407" w:name="_Toc139316332"/>
      <w:r>
        <w:rPr>
          <w:rFonts w:hint="cs"/>
          <w:rtl/>
        </w:rPr>
        <w:t>בי' האגל"ט דחיוב קוצר במקום שיש איסור צידה ובירו' הניחו בספל של מים דאין נטילת נשמה</w:t>
      </w:r>
      <w:bookmarkEnd w:id="1407"/>
    </w:p>
    <w:p w14:paraId="3597344F" w14:textId="7CEA519C" w:rsidR="000426DE" w:rsidRPr="00A95EE4" w:rsidRDefault="000426DE" w:rsidP="00BC7DC8">
      <w:pPr>
        <w:pStyle w:val="a3"/>
      </w:pPr>
      <w:r w:rsidRPr="00E26A8A">
        <w:rPr>
          <w:rStyle w:val="aff4"/>
          <w:rFonts w:hint="cs"/>
          <w:vanish/>
          <w:rtl/>
        </w:rPr>
        <w:t>-</w:t>
      </w:r>
      <w:r w:rsidRPr="0088685B">
        <w:rPr>
          <w:rFonts w:hint="cs"/>
          <w:rtl/>
        </w:rPr>
        <w:t xml:space="preserve">כתב </w:t>
      </w:r>
      <w:r w:rsidRPr="00E26A8A">
        <w:rPr>
          <w:rStyle w:val="aff4"/>
          <w:rFonts w:hint="cs"/>
          <w:vanish/>
          <w:rtl/>
        </w:rPr>
        <w:t>-</w:t>
      </w:r>
      <w:r>
        <w:rPr>
          <w:rStyle w:val="aff4"/>
          <w:rFonts w:hint="cs"/>
          <w:rtl/>
        </w:rPr>
        <w:t>ה</w:t>
      </w:r>
      <w:r w:rsidRPr="00E26A8A">
        <w:rPr>
          <w:rStyle w:val="aff4"/>
          <w:rFonts w:hint="cs"/>
          <w:vanish/>
          <w:rtl/>
        </w:rPr>
        <w:t xml:space="preserve">&lt;. </w:t>
      </w:r>
      <w:r w:rsidRPr="00E26A8A">
        <w:rPr>
          <w:vanish/>
          <w:rtl/>
        </w:rPr>
        <w:fldChar w:fldCharType="begin"/>
      </w:r>
      <w:r w:rsidRPr="00E26A8A">
        <w:rPr>
          <w:vanish/>
          <w:rtl/>
        </w:rPr>
        <w:instrText xml:space="preserve"> </w:instrText>
      </w:r>
      <w:r w:rsidRPr="00E26A8A">
        <w:rPr>
          <w:rFonts w:hint="cs"/>
          <w:vanish/>
        </w:rPr>
        <w:instrText>REF</w:instrText>
      </w:r>
      <w:r w:rsidRPr="00E26A8A">
        <w:rPr>
          <w:rFonts w:hint="cs"/>
          <w:vanish/>
          <w:rtl/>
        </w:rPr>
        <w:instrText xml:space="preserve"> _</w:instrText>
      </w:r>
      <w:r w:rsidRPr="00E26A8A">
        <w:rPr>
          <w:rFonts w:hint="cs"/>
          <w:vanish/>
        </w:rPr>
        <w:instrText>Ref134993559 \r \h</w:instrText>
      </w:r>
      <w:r w:rsidRPr="00E26A8A">
        <w:rPr>
          <w:vanish/>
          <w:rtl/>
        </w:rPr>
        <w:instrText xml:space="preserve"> </w:instrText>
      </w:r>
      <w:r w:rsidRPr="00E26A8A">
        <w:rPr>
          <w:vanish/>
          <w:rtl/>
        </w:rPr>
      </w:r>
      <w:r w:rsidRPr="00E26A8A">
        <w:rPr>
          <w:vanish/>
          <w:rtl/>
        </w:rPr>
        <w:fldChar w:fldCharType="separate"/>
      </w:r>
      <w:r w:rsidR="00D82181">
        <w:rPr>
          <w:vanish/>
          <w:cs/>
        </w:rPr>
        <w:t>‎</w:t>
      </w:r>
      <w:r w:rsidR="00D82181">
        <w:rPr>
          <w:vanish/>
          <w:rtl/>
        </w:rPr>
        <w:t>טז)</w:t>
      </w:r>
      <w:r w:rsidRPr="00E26A8A">
        <w:rPr>
          <w:vanish/>
          <w:rtl/>
        </w:rPr>
        <w:fldChar w:fldCharType="end"/>
      </w:r>
      <w:r w:rsidRPr="00E26A8A">
        <w:rPr>
          <w:rFonts w:hint="cs"/>
          <w:vanish/>
          <w:rtl/>
        </w:rPr>
        <w:t xml:space="preserve"> </w:t>
      </w:r>
      <w:r w:rsidRPr="00E26A8A">
        <w:rPr>
          <w:rStyle w:val="aff4"/>
          <w:rFonts w:hint="cs"/>
          <w:vanish/>
          <w:rtl/>
        </w:rPr>
        <w:t>&gt;</w:t>
      </w:r>
      <w:r w:rsidRPr="0088685B">
        <w:rPr>
          <w:rStyle w:val="aff4"/>
          <w:rFonts w:hint="cs"/>
          <w:rtl/>
        </w:rPr>
        <w:t>אגלי טל</w:t>
      </w:r>
      <w:r w:rsidRPr="00E26A8A">
        <w:rPr>
          <w:rStyle w:val="aff4"/>
          <w:rFonts w:hint="cs"/>
          <w:vanish/>
          <w:rtl/>
        </w:rPr>
        <w:t>-</w:t>
      </w:r>
      <w:r w:rsidRPr="0088685B">
        <w:rPr>
          <w:rFonts w:hint="cs"/>
          <w:rtl/>
        </w:rPr>
        <w:t xml:space="preserve"> </w:t>
      </w:r>
      <w:r w:rsidRPr="00FB451D">
        <w:rPr>
          <w:rStyle w:val="af2"/>
          <w:rFonts w:eastAsia="Guttman Hodes" w:hint="cs"/>
          <w:rtl/>
        </w:rPr>
        <w:t xml:space="preserve">(קוצר סקכ"ו ד"ה </w:t>
      </w:r>
      <w:r w:rsidRPr="00FB451D">
        <w:rPr>
          <w:rStyle w:val="af2"/>
          <w:rFonts w:eastAsia="Guttman Hodes"/>
          <w:rtl/>
        </w:rPr>
        <w:t>ונלפע"ד דהא</w:t>
      </w:r>
      <w:r w:rsidRPr="00FB451D">
        <w:rPr>
          <w:rStyle w:val="af2"/>
          <w:rFonts w:eastAsia="Guttman Hodes" w:hint="cs"/>
          <w:rtl/>
        </w:rPr>
        <w:t>)</w:t>
      </w:r>
      <w:r w:rsidRPr="00E26A8A">
        <w:rPr>
          <w:rFonts w:hint="cs"/>
          <w:vanish/>
          <w:rtl/>
        </w:rPr>
        <w:t>=</w:t>
      </w:r>
      <w:r w:rsidRPr="0088685B">
        <w:rPr>
          <w:rFonts w:hint="cs"/>
          <w:rtl/>
        </w:rPr>
        <w:t xml:space="preserve"> </w:t>
      </w:r>
      <w:r>
        <w:rPr>
          <w:rFonts w:hint="cs"/>
          <w:rtl/>
        </w:rPr>
        <w:t xml:space="preserve">דאפש"ל דהבבלי לא פליג על הירושלמי בדין קוצר בשולה דג, והביא </w:t>
      </w:r>
      <w:r w:rsidRPr="00E26A8A">
        <w:rPr>
          <w:rStyle w:val="aff4"/>
          <w:rFonts w:hint="cs"/>
          <w:vanish/>
          <w:rtl/>
        </w:rPr>
        <w:t>-</w:t>
      </w:r>
      <w:r w:rsidRPr="00272A5B">
        <w:rPr>
          <w:rStyle w:val="aff4"/>
          <w:rFonts w:hint="cs"/>
          <w:rtl/>
        </w:rPr>
        <w:t>האגלי טל</w:t>
      </w:r>
      <w:r w:rsidRPr="00E26A8A">
        <w:rPr>
          <w:rStyle w:val="aff4"/>
          <w:rFonts w:hint="cs"/>
          <w:vanish/>
          <w:rtl/>
        </w:rPr>
        <w:t>-</w:t>
      </w:r>
      <w:r>
        <w:rPr>
          <w:rFonts w:hint="cs"/>
          <w:rtl/>
        </w:rPr>
        <w:t xml:space="preserve"> את דברי </w:t>
      </w:r>
      <w:r w:rsidRPr="00E26A8A">
        <w:rPr>
          <w:rStyle w:val="aff4"/>
          <w:rFonts w:hint="cs"/>
          <w:vanish/>
          <w:rtl/>
        </w:rPr>
        <w:t>-</w:t>
      </w:r>
      <w:r w:rsidRPr="00272A5B">
        <w:rPr>
          <w:rStyle w:val="aff4"/>
          <w:rFonts w:hint="cs"/>
          <w:rtl/>
        </w:rPr>
        <w:t>הרמב"ם</w:t>
      </w:r>
      <w:r w:rsidRPr="00E26A8A">
        <w:rPr>
          <w:rStyle w:val="aff4"/>
          <w:rFonts w:hint="cs"/>
          <w:vanish/>
          <w:rtl/>
        </w:rPr>
        <w:t>-</w:t>
      </w:r>
      <w:r>
        <w:rPr>
          <w:rFonts w:hint="cs"/>
          <w:rtl/>
        </w:rPr>
        <w:t xml:space="preserve"> </w:t>
      </w:r>
      <w:r w:rsidRPr="00FB451D">
        <w:rPr>
          <w:rStyle w:val="af2"/>
          <w:rFonts w:eastAsia="Guttman Hodes" w:hint="cs"/>
          <w:rtl/>
        </w:rPr>
        <w:t xml:space="preserve">(עי' אות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Ref134995568 \r \h</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ב)</w:t>
      </w:r>
      <w:r w:rsidRPr="00FB451D">
        <w:rPr>
          <w:rStyle w:val="af2"/>
          <w:rFonts w:eastAsia="Guttman Hodes"/>
          <w:rtl/>
        </w:rPr>
        <w:fldChar w:fldCharType="end"/>
      </w:r>
      <w:r>
        <w:rPr>
          <w:rFonts w:hint="cs"/>
          <w:rtl/>
        </w:rPr>
        <w:t xml:space="preserve"> דכתב דהשולה דג מספל של מים חייב בתולדת שוחט, ולא כתב כגי' בגמ' לפנינו "השולה דג מן הים", וכתב </w:t>
      </w:r>
      <w:r w:rsidRPr="009C1377">
        <w:rPr>
          <w:rStyle w:val="aff4"/>
          <w:rFonts w:hint="cs"/>
          <w:vanish/>
          <w:rtl/>
        </w:rPr>
        <w:t>-</w:t>
      </w:r>
      <w:r w:rsidRPr="003704D9">
        <w:rPr>
          <w:rStyle w:val="aff4"/>
          <w:rFonts w:hint="cs"/>
          <w:rtl/>
        </w:rPr>
        <w:t>האגלי טל</w:t>
      </w:r>
      <w:r w:rsidRPr="009C1377">
        <w:rPr>
          <w:rStyle w:val="aff4"/>
          <w:rFonts w:hint="cs"/>
          <w:vanish/>
          <w:rtl/>
        </w:rPr>
        <w:t>-</w:t>
      </w:r>
      <w:r>
        <w:rPr>
          <w:rFonts w:hint="cs"/>
          <w:rtl/>
        </w:rPr>
        <w:t xml:space="preserve"> דנראה </w:t>
      </w:r>
      <w:r w:rsidRPr="009C1377">
        <w:rPr>
          <w:rStyle w:val="aff4"/>
          <w:rFonts w:hint="cs"/>
          <w:vanish/>
          <w:rtl/>
        </w:rPr>
        <w:t>-</w:t>
      </w:r>
      <w:r w:rsidRPr="003704D9">
        <w:rPr>
          <w:rStyle w:val="aff4"/>
          <w:rFonts w:hint="cs"/>
          <w:rtl/>
        </w:rPr>
        <w:t>שהרמב"ם</w:t>
      </w:r>
      <w:r w:rsidRPr="009C1377">
        <w:rPr>
          <w:rStyle w:val="aff4"/>
          <w:rFonts w:hint="cs"/>
          <w:vanish/>
          <w:rtl/>
        </w:rPr>
        <w:t>-</w:t>
      </w:r>
      <w:r>
        <w:rPr>
          <w:rFonts w:hint="cs"/>
          <w:rtl/>
        </w:rPr>
        <w:t xml:space="preserve"> גרס בגמ' השולה דג "מספל של מים", וביאר </w:t>
      </w:r>
      <w:r w:rsidRPr="00E26A8A">
        <w:rPr>
          <w:rStyle w:val="aff4"/>
          <w:rFonts w:hint="cs"/>
          <w:vanish/>
          <w:rtl/>
        </w:rPr>
        <w:t>-</w:t>
      </w:r>
      <w:r w:rsidRPr="00272A5B">
        <w:rPr>
          <w:rStyle w:val="aff4"/>
          <w:rFonts w:hint="cs"/>
          <w:rtl/>
        </w:rPr>
        <w:t>האגלי טל</w:t>
      </w:r>
      <w:r w:rsidRPr="00E26A8A">
        <w:rPr>
          <w:rStyle w:val="aff4"/>
          <w:rFonts w:hint="cs"/>
          <w:vanish/>
          <w:rtl/>
        </w:rPr>
        <w:t>-</w:t>
      </w:r>
      <w:r>
        <w:rPr>
          <w:rFonts w:hint="cs"/>
          <w:rtl/>
        </w:rPr>
        <w:t xml:space="preserve"> דבמקום שצריך לצוד את הדג, לכו"ע חייב עליו משום צידה, אבל חיוב קוצר הוא רק במחוסר צידה, אבל כשהדג אינו מחוסר צידה, אין בו חיוב קוצר, דלא עדיף ספל גדול מעציץ שאינו נקוב דפטור כיון דאינו רביתיה, וה"ה בדג דמקום גידולו בנהרות ולא בספל גדול, ולכן אין בזה חיוב קוצר, ולבבלי יש בו חיוב  נטילת נשמה, כגירסת </w:t>
      </w:r>
      <w:r w:rsidRPr="009C1377">
        <w:rPr>
          <w:rStyle w:val="aff4"/>
          <w:rFonts w:hint="cs"/>
          <w:vanish/>
          <w:rtl/>
        </w:rPr>
        <w:t>-</w:t>
      </w:r>
      <w:r w:rsidRPr="003704D9">
        <w:rPr>
          <w:rStyle w:val="aff4"/>
          <w:rFonts w:hint="cs"/>
          <w:rtl/>
        </w:rPr>
        <w:t>הרמב"ם</w:t>
      </w:r>
      <w:r w:rsidRPr="009C1377">
        <w:rPr>
          <w:rStyle w:val="aff4"/>
          <w:rFonts w:hint="cs"/>
          <w:vanish/>
          <w:rtl/>
        </w:rPr>
        <w:t>-</w:t>
      </w:r>
      <w:r>
        <w:rPr>
          <w:rFonts w:hint="cs"/>
          <w:rtl/>
        </w:rPr>
        <w:t xml:space="preserve"> דשלה מספל של מים, אבל בירושלמי איירי ששלה את הדג ממקום שהיה נצוד ועומד בתוך ביבר, </w:t>
      </w:r>
      <w:r w:rsidRPr="007A72D8">
        <w:rPr>
          <w:rStyle w:val="af"/>
          <w:rFonts w:hint="cs"/>
          <w:rtl/>
        </w:rPr>
        <w:t xml:space="preserve">[אך עדיין יש איסור צידה, כדכתב </w:t>
      </w:r>
      <w:r w:rsidRPr="00394B7E">
        <w:rPr>
          <w:rStyle w:val="aff9"/>
          <w:rFonts w:hint="cs"/>
          <w:vanish/>
          <w:rtl/>
        </w:rPr>
        <w:t>-</w:t>
      </w:r>
      <w:r w:rsidRPr="00394B7E">
        <w:rPr>
          <w:rStyle w:val="aff9"/>
          <w:rFonts w:hint="cs"/>
          <w:rtl/>
        </w:rPr>
        <w:t>השו"ע</w:t>
      </w:r>
      <w:r w:rsidRPr="00394B7E">
        <w:rPr>
          <w:rStyle w:val="aff9"/>
          <w:rFonts w:hint="cs"/>
          <w:vanish/>
          <w:rtl/>
        </w:rPr>
        <w:t>-</w:t>
      </w:r>
      <w:r w:rsidRPr="007A72D8">
        <w:rPr>
          <w:rStyle w:val="af"/>
          <w:rFonts w:hint="cs"/>
          <w:rtl/>
        </w:rPr>
        <w:t xml:space="preserve"> </w:t>
      </w:r>
      <w:r w:rsidRPr="00394B7E">
        <w:rPr>
          <w:rStyle w:val="aff0"/>
          <w:rFonts w:hint="cs"/>
          <w:rtl/>
        </w:rPr>
        <w:t>(סי' תצ"ז א')</w:t>
      </w:r>
      <w:r w:rsidRPr="007A72D8">
        <w:rPr>
          <w:rStyle w:val="af"/>
          <w:rFonts w:hint="cs"/>
          <w:rtl/>
        </w:rPr>
        <w:t xml:space="preserve"> דאסור לצוד דגים מתוך ביבר אף שא"צ להביא מצודה כיון דהם נשמטים]</w:t>
      </w:r>
      <w:r w:rsidRPr="009C1377">
        <w:rPr>
          <w:rStyle w:val="af"/>
          <w:rFonts w:hint="cs"/>
          <w:rtl/>
        </w:rPr>
        <w:t>,</w:t>
      </w:r>
      <w:r>
        <w:rPr>
          <w:rFonts w:hint="cs"/>
          <w:rtl/>
        </w:rPr>
        <w:t xml:space="preserve"> והניחו בספל של מים, דבזה אין כל חיוב משום נטילת נשמה, אך חייב מדין קוצר כמו הסותם נקב בעציץ נקוב. </w:t>
      </w:r>
    </w:p>
    <w:p w14:paraId="04BE9824" w14:textId="77777777" w:rsidR="000426DE" w:rsidRPr="00747170" w:rsidRDefault="000426DE" w:rsidP="00747170">
      <w:pPr>
        <w:pStyle w:val="a2"/>
        <w:rPr>
          <w:rtl/>
        </w:rPr>
      </w:pPr>
      <w:r w:rsidRPr="00747170">
        <w:rPr>
          <w:rtl/>
        </w:rPr>
        <w:t>ונלפע"ד דהא דחייב משום קוצר אף כשהיה ניצוד ועומד מבעוד יום דוקא במונח בביבר במקום שאינה מחוסר צידה [עיין סי' תצ"ז] אבל אם היה בספל גדול של מים לא יתחייב בנטילתו משם משום קוצר דלא עדיף מתולש מעציץ שאינו נקוב דפטור משום דלאו היינו רביתי' ה"נ אין גידולו של דג אלא בנהרות ואם הי' בתיבה שיש בה נקבים מתחתיה והוא עפ"י הנהר יש לדמותו לעציץ נקוב אבל בספל סתום אפי' עומד ע"ג הנהר או שהוא ביבשה אפי' נקוב לא יתחייב עליו. ועפי"ז היינו יכולים להשוות הבבלי והירושלמי דהנה הרמב"ם פי"א מה"ש ה"א הביא הך דינא בל' הזה העלה דג מספל של מים. וגרסתינו בגמ' הוא השולה דג מן הים. וכפי הנראה היה גירסת הרמב"ם ז"ל בגמ' מספל של מים. וע"כ אינו חייב משום קוצר כנ"ל. ובירושלמי מיירי ששלה אותו ממקום שהיה ניצוד ועומד בביבר לתוך ספל של מים דאין בו משום נטילת נשמה כלל רק משום קוצר כמו בעציץ נקוב שסתם הנקב דודאי חייב כמו עציץ נקוב שהיה מונח ע"ג קרקע והניחו ע"ג ספסל:</w:t>
      </w:r>
    </w:p>
    <w:p w14:paraId="1EDF3D99" w14:textId="77777777" w:rsidR="000426DE" w:rsidRDefault="000426DE" w:rsidP="000426DE">
      <w:pPr>
        <w:pStyle w:val="affff5"/>
        <w:rPr>
          <w:rtl/>
        </w:rPr>
      </w:pPr>
      <w:bookmarkStart w:id="1408" w:name="_Toc139316333"/>
      <w:bookmarkStart w:id="1409" w:name="_Hlk135147961"/>
      <w:bookmarkStart w:id="1410" w:name="_Toc134461288"/>
      <w:r>
        <w:rPr>
          <w:rFonts w:hint="cs"/>
          <w:rtl/>
        </w:rPr>
        <w:t>פלו' הראשונים אי מדלדל עובר הוי קוצר</w:t>
      </w:r>
      <w:bookmarkEnd w:id="1408"/>
      <w:r w:rsidRPr="002439C9">
        <w:rPr>
          <w:vanish/>
          <w:rtl/>
        </w:rPr>
        <w:t>&lt; # =</w:t>
      </w:r>
    </w:p>
    <w:p w14:paraId="754AE9F9" w14:textId="77777777" w:rsidR="000426DE" w:rsidRDefault="000426DE" w:rsidP="000426DE">
      <w:pPr>
        <w:pStyle w:val="1"/>
        <w:rPr>
          <w:rtl/>
        </w:rPr>
      </w:pPr>
      <w:bookmarkStart w:id="1411" w:name="_Toc139316334"/>
      <w:r>
        <w:rPr>
          <w:rFonts w:hint="cs"/>
          <w:rtl/>
        </w:rPr>
        <w:t>בי' הרמב"ן והרמב"ם דמדלדל עובר הוי נטילת נשמה כעוקר</w:t>
      </w:r>
      <w:bookmarkEnd w:id="1411"/>
    </w:p>
    <w:p w14:paraId="55FEFC07" w14:textId="77777777" w:rsidR="000426DE" w:rsidRDefault="000426DE" w:rsidP="000426DE">
      <w:pPr>
        <w:pStyle w:val="afffff7"/>
        <w:rPr>
          <w:rtl/>
        </w:rPr>
      </w:pPr>
      <w:bookmarkStart w:id="1412" w:name="_Toc135513682"/>
      <w:bookmarkStart w:id="1413" w:name="_Toc163505607"/>
      <w:r>
        <w:rPr>
          <w:rtl/>
        </w:rPr>
        <w:t>חדושי הרמב"ן שבת ק"ז ע"ב</w:t>
      </w:r>
      <w:r>
        <w:rPr>
          <w:rFonts w:hint="cs"/>
          <w:rtl/>
        </w:rPr>
        <w:t xml:space="preserve"> ד"ה הא</w:t>
      </w:r>
      <w:bookmarkEnd w:id="1412"/>
      <w:bookmarkEnd w:id="1413"/>
    </w:p>
    <w:p w14:paraId="32177B13" w14:textId="77777777" w:rsidR="000426DE" w:rsidRDefault="000426DE" w:rsidP="000426DE">
      <w:pPr>
        <w:pStyle w:val="a7"/>
        <w:rPr>
          <w:rtl/>
        </w:rPr>
      </w:pPr>
      <w:bookmarkStart w:id="1414" w:name="_Toc139316335"/>
      <w:r>
        <w:rPr>
          <w:rFonts w:hint="cs"/>
          <w:rtl/>
        </w:rPr>
        <w:t>בי' הרמב"ן דא"א לומר דמדלדל עובר הוא עוקר דבר מגידולו דהא קוצר הוא רק בגידולי קרקע</w:t>
      </w:r>
      <w:bookmarkEnd w:id="1414"/>
    </w:p>
    <w:p w14:paraId="49D95C45" w14:textId="5CFECC78" w:rsidR="000426DE" w:rsidRPr="0015092F" w:rsidRDefault="000426DE" w:rsidP="00BC7DC8">
      <w:pPr>
        <w:pStyle w:val="a3"/>
        <w:rPr>
          <w:rtl/>
        </w:rPr>
      </w:pPr>
      <w:r>
        <w:rPr>
          <w:rFonts w:hint="cs"/>
          <w:rtl/>
        </w:rPr>
        <w:t xml:space="preserve">בהא דאמר שמואל לקמן </w:t>
      </w:r>
      <w:r w:rsidRPr="00FB451D">
        <w:rPr>
          <w:rStyle w:val="af2"/>
          <w:rFonts w:eastAsia="Guttman Hodes" w:hint="cs"/>
          <w:rtl/>
        </w:rPr>
        <w:t>(קז:)</w:t>
      </w:r>
      <w:r>
        <w:rPr>
          <w:rFonts w:hint="cs"/>
          <w:rtl/>
        </w:rPr>
        <w:t xml:space="preserve"> דהמושיט ידו למעי בהמה ודלדל עובר שבמעיה, חייב משום עוקר דבר מגידולו, הקשה </w:t>
      </w:r>
      <w:r w:rsidRPr="000D4E5E">
        <w:rPr>
          <w:rStyle w:val="aff4"/>
          <w:rFonts w:hint="cs"/>
          <w:vanish/>
          <w:rtl/>
        </w:rPr>
        <w:t>-</w:t>
      </w:r>
      <w:r w:rsidRPr="00572920">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Ref134521888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כא)</w:t>
      </w:r>
      <w:r w:rsidRPr="00B53404">
        <w:rPr>
          <w:rStyle w:val="aff4"/>
          <w:vanish/>
          <w:rtl/>
        </w:rPr>
        <w:fldChar w:fldCharType="end"/>
      </w:r>
      <w:r w:rsidRPr="00B53404">
        <w:rPr>
          <w:rStyle w:val="aff4"/>
          <w:rFonts w:hint="cs"/>
          <w:vanish/>
          <w:rtl/>
        </w:rPr>
        <w:t xml:space="preserve"> &gt;</w:t>
      </w:r>
      <w:r w:rsidRPr="00572920">
        <w:rPr>
          <w:rStyle w:val="aff4"/>
          <w:rFonts w:hint="cs"/>
          <w:rtl/>
        </w:rPr>
        <w:t>רמב"ן לקמן</w:t>
      </w:r>
      <w:r w:rsidRPr="000D4E5E">
        <w:rPr>
          <w:rStyle w:val="aff4"/>
          <w:rFonts w:hint="cs"/>
          <w:vanish/>
          <w:rtl/>
        </w:rPr>
        <w:t>-</w:t>
      </w:r>
      <w:r>
        <w:rPr>
          <w:rFonts w:hint="cs"/>
          <w:rtl/>
        </w:rPr>
        <w:t xml:space="preserve"> </w:t>
      </w:r>
      <w:r w:rsidRPr="00FB451D">
        <w:rPr>
          <w:rStyle w:val="af2"/>
          <w:rFonts w:eastAsia="Guttman Hodes" w:hint="cs"/>
          <w:rtl/>
        </w:rPr>
        <w:t>(קז: ד"ה הא)</w:t>
      </w:r>
      <w:r w:rsidRPr="000D4E5E">
        <w:rPr>
          <w:rFonts w:hint="cs"/>
          <w:vanish/>
          <w:rtl/>
        </w:rPr>
        <w:t>=</w:t>
      </w:r>
      <w:r>
        <w:rPr>
          <w:rFonts w:hint="cs"/>
          <w:rtl/>
        </w:rPr>
        <w:t xml:space="preserve"> דעוקר דבר מגידולו הוא תולדה דקוצר, והוא שייך רק בגידולי קרקע, וכ"כ </w:t>
      </w:r>
      <w:r w:rsidRPr="007F356E">
        <w:rPr>
          <w:rStyle w:val="aff4"/>
          <w:rFonts w:hint="cs"/>
          <w:vanish/>
          <w:rtl/>
        </w:rPr>
        <w:t>-</w:t>
      </w:r>
      <w:r w:rsidRPr="001F02FD">
        <w:rPr>
          <w:rStyle w:val="aff4"/>
          <w:rFonts w:hint="cs"/>
          <w:rtl/>
        </w:rPr>
        <w:t>ה</w:t>
      </w:r>
      <w:r w:rsidRPr="00B53404">
        <w:rPr>
          <w:rStyle w:val="aff4"/>
          <w:rFonts w:hint="cs"/>
          <w:vanish/>
          <w:rtl/>
        </w:rPr>
        <w:t>&lt; &gt;</w:t>
      </w:r>
      <w:r w:rsidRPr="001F02FD">
        <w:rPr>
          <w:rStyle w:val="aff4"/>
          <w:rFonts w:hint="cs"/>
          <w:rtl/>
        </w:rPr>
        <w:t>רשב"א לקמן</w:t>
      </w:r>
      <w:r w:rsidRPr="007F356E">
        <w:rPr>
          <w:rStyle w:val="aff4"/>
          <w:rFonts w:hint="cs"/>
          <w:vanish/>
          <w:rtl/>
        </w:rPr>
        <w:t>-</w:t>
      </w:r>
      <w:r>
        <w:rPr>
          <w:rFonts w:hint="cs"/>
          <w:rtl/>
        </w:rPr>
        <w:t xml:space="preserve"> </w:t>
      </w:r>
      <w:r w:rsidRPr="00FB451D">
        <w:rPr>
          <w:rStyle w:val="af2"/>
          <w:rFonts w:eastAsia="Guttman Hodes" w:hint="cs"/>
          <w:rtl/>
        </w:rPr>
        <w:t>(קז: ד"ה הא)</w:t>
      </w:r>
      <w:r w:rsidRPr="007F356E">
        <w:rPr>
          <w:rFonts w:hint="cs"/>
          <w:vanish/>
          <w:rtl/>
        </w:rPr>
        <w:t>=</w:t>
      </w:r>
      <w:r>
        <w:rPr>
          <w:rFonts w:hint="cs"/>
          <w:rtl/>
        </w:rPr>
        <w:t xml:space="preserve"> בשם </w:t>
      </w:r>
      <w:r w:rsidRPr="007F356E">
        <w:rPr>
          <w:rStyle w:val="aff4"/>
          <w:rFonts w:hint="cs"/>
          <w:vanish/>
          <w:rtl/>
        </w:rPr>
        <w:t>-</w:t>
      </w:r>
      <w:r w:rsidRPr="001F02FD">
        <w:rPr>
          <w:rStyle w:val="aff4"/>
          <w:rFonts w:hint="cs"/>
          <w:rtl/>
        </w:rPr>
        <w:t>הרמב"ן</w:t>
      </w:r>
      <w:r w:rsidRPr="007F356E">
        <w:rPr>
          <w:rStyle w:val="aff4"/>
          <w:rFonts w:hint="cs"/>
          <w:vanish/>
          <w:rtl/>
        </w:rPr>
        <w:t>-</w:t>
      </w:r>
      <w:r>
        <w:rPr>
          <w:rFonts w:hint="cs"/>
          <w:rtl/>
        </w:rPr>
        <w:t xml:space="preserve">, </w:t>
      </w:r>
      <w:r w:rsidRPr="007A72D8">
        <w:rPr>
          <w:rStyle w:val="af"/>
          <w:rFonts w:hint="cs"/>
          <w:rtl/>
        </w:rPr>
        <w:t xml:space="preserve">[וכתב </w:t>
      </w:r>
      <w:r w:rsidRPr="00394B7E">
        <w:rPr>
          <w:rStyle w:val="aff9"/>
          <w:rFonts w:hint="cs"/>
          <w:vanish/>
          <w:rtl/>
        </w:rPr>
        <w:t>-</w:t>
      </w:r>
      <w:r w:rsidRPr="00394B7E">
        <w:rPr>
          <w:rStyle w:val="aff9"/>
          <w:rFonts w:hint="cs"/>
          <w:rtl/>
        </w:rPr>
        <w:t>הרמב"ן לקמן</w:t>
      </w:r>
      <w:r w:rsidRPr="00394B7E">
        <w:rPr>
          <w:rStyle w:val="aff9"/>
          <w:rFonts w:hint="cs"/>
          <w:vanish/>
          <w:rtl/>
        </w:rPr>
        <w:t>-</w:t>
      </w:r>
      <w:r w:rsidRPr="007A72D8">
        <w:rPr>
          <w:rStyle w:val="af"/>
          <w:rFonts w:hint="cs"/>
          <w:rtl/>
        </w:rPr>
        <w:t xml:space="preserve"> דכן מוכח מהא דאיתא בגמ' לקמן </w:t>
      </w:r>
      <w:r w:rsidRPr="00394B7E">
        <w:rPr>
          <w:rStyle w:val="aff0"/>
          <w:rFonts w:hint="cs"/>
          <w:rtl/>
        </w:rPr>
        <w:t>(עד:)</w:t>
      </w:r>
      <w:r w:rsidRPr="007A72D8">
        <w:rPr>
          <w:rStyle w:val="af"/>
          <w:rFonts w:hint="cs"/>
          <w:rtl/>
        </w:rPr>
        <w:t xml:space="preserve"> דהתולש כנף מעוף חייב משום גוזז, ולא אמרינן דחייב שתים גם משום עוקר דבר מגידולו, וכן מהא דתנן לקמן </w:t>
      </w:r>
      <w:r w:rsidRPr="00394B7E">
        <w:rPr>
          <w:rStyle w:val="aff0"/>
          <w:rFonts w:hint="cs"/>
          <w:rtl/>
        </w:rPr>
        <w:t>(צה:)</w:t>
      </w:r>
      <w:r w:rsidRPr="007A72D8">
        <w:rPr>
          <w:rStyle w:val="af"/>
          <w:rFonts w:hint="cs"/>
          <w:rtl/>
        </w:rPr>
        <w:t xml:space="preserve"> דנוטל שערו וצפרניו ושפמו חייב משום גוזז, ולא אמרינן דחייב שתים גם משום עוקר דבר מגידולו, והוסיף </w:t>
      </w:r>
      <w:r w:rsidRPr="00394B7E">
        <w:rPr>
          <w:rStyle w:val="aff9"/>
          <w:rFonts w:hint="cs"/>
          <w:vanish/>
          <w:rtl/>
        </w:rPr>
        <w:t>-</w:t>
      </w:r>
      <w:r w:rsidRPr="00394B7E">
        <w:rPr>
          <w:rStyle w:val="aff9"/>
          <w:rFonts w:hint="cs"/>
          <w:rtl/>
        </w:rPr>
        <w:t>הרמב"ן לקמן</w:t>
      </w:r>
      <w:r w:rsidRPr="00394B7E">
        <w:rPr>
          <w:rStyle w:val="aff9"/>
          <w:rFonts w:hint="cs"/>
          <w:vanish/>
          <w:rtl/>
        </w:rPr>
        <w:t>-</w:t>
      </w:r>
      <w:r w:rsidRPr="007A72D8">
        <w:rPr>
          <w:rStyle w:val="af"/>
          <w:rFonts w:hint="cs"/>
          <w:rtl/>
        </w:rPr>
        <w:t xml:space="preserve"> דכן משמע בגמ' בבכורות </w:t>
      </w:r>
      <w:r w:rsidRPr="00394B7E">
        <w:rPr>
          <w:rStyle w:val="aff0"/>
          <w:rFonts w:hint="cs"/>
          <w:rtl/>
        </w:rPr>
        <w:t>(כה.)</w:t>
      </w:r>
      <w:r w:rsidRPr="007A72D8">
        <w:rPr>
          <w:rStyle w:val="af"/>
          <w:rFonts w:hint="cs"/>
          <w:rtl/>
        </w:rPr>
        <w:t xml:space="preserve"> דבתולש צמר מבכור אין בו איסור משום עוקר דבר מגידולו, ועוד הקשה </w:t>
      </w:r>
      <w:r w:rsidRPr="00394B7E">
        <w:rPr>
          <w:rStyle w:val="aff9"/>
          <w:rFonts w:hint="cs"/>
          <w:vanish/>
          <w:rtl/>
        </w:rPr>
        <w:t>-</w:t>
      </w:r>
      <w:r w:rsidRPr="00394B7E">
        <w:rPr>
          <w:rStyle w:val="aff9"/>
          <w:rFonts w:hint="cs"/>
          <w:rtl/>
        </w:rPr>
        <w:t>הרמב"ן לקמן</w:t>
      </w:r>
      <w:r w:rsidRPr="00394B7E">
        <w:rPr>
          <w:rStyle w:val="aff9"/>
          <w:rFonts w:hint="cs"/>
          <w:vanish/>
          <w:rtl/>
        </w:rPr>
        <w:t>-</w:t>
      </w:r>
      <w:r w:rsidRPr="007A72D8">
        <w:rPr>
          <w:rStyle w:val="af"/>
          <w:rFonts w:hint="cs"/>
          <w:rtl/>
        </w:rPr>
        <w:t xml:space="preserve"> דקוצר ודש ילפינן להו ממשכן באותו האופן, וכמו דבדש איתא בגמ' לקמן </w:t>
      </w:r>
      <w:r w:rsidRPr="00394B7E">
        <w:rPr>
          <w:rStyle w:val="aff0"/>
          <w:rFonts w:hint="cs"/>
          <w:rtl/>
        </w:rPr>
        <w:t>(עה.)</w:t>
      </w:r>
      <w:r w:rsidRPr="007A72D8">
        <w:rPr>
          <w:rStyle w:val="af"/>
          <w:rFonts w:hint="cs"/>
          <w:rtl/>
        </w:rPr>
        <w:t xml:space="preserve"> דלרבנן אין דישה אלא בגידולי קרקע, א"כ ה"ה בקוצר, ואף ר"י דס"ל לקמן דדישה אינה רק בגידולי קרקע, מ"מ לענין קוצר אפש"ל דמודה ר"י דהוא רק בגידולי קרקע, כיון דקצירה היא ממש מהקרקע, ואילו תולש מבע"ח הוא בכלל גוזז, </w:t>
      </w:r>
      <w:r w:rsidRPr="00394B7E">
        <w:rPr>
          <w:rStyle w:val="aff9"/>
          <w:rFonts w:hint="cs"/>
          <w:vanish/>
          <w:rtl/>
        </w:rPr>
        <w:t>-</w:t>
      </w:r>
      <w:r w:rsidRPr="00394B7E">
        <w:rPr>
          <w:rStyle w:val="aff9"/>
          <w:rFonts w:hint="cs"/>
          <w:rtl/>
        </w:rPr>
        <w:t>ה</w:t>
      </w:r>
      <w:r w:rsidRPr="00394B7E">
        <w:rPr>
          <w:rStyle w:val="aff9"/>
          <w:rFonts w:hint="cs"/>
          <w:vanish/>
          <w:rtl/>
        </w:rPr>
        <w:t>&lt; &gt;</w:t>
      </w:r>
      <w:r w:rsidRPr="00394B7E">
        <w:rPr>
          <w:rStyle w:val="aff9"/>
          <w:rFonts w:hint="cs"/>
          <w:rtl/>
        </w:rPr>
        <w:t>רמב"ן בהל' בכורות</w:t>
      </w:r>
      <w:r w:rsidRPr="00394B7E">
        <w:rPr>
          <w:rStyle w:val="aff9"/>
          <w:rFonts w:hint="cs"/>
          <w:vanish/>
          <w:rtl/>
        </w:rPr>
        <w:t>-</w:t>
      </w:r>
      <w:r w:rsidRPr="007A72D8">
        <w:rPr>
          <w:rStyle w:val="af"/>
          <w:rFonts w:hint="cs"/>
          <w:rtl/>
        </w:rPr>
        <w:t xml:space="preserve"> </w:t>
      </w:r>
      <w:r w:rsidRPr="00394B7E">
        <w:rPr>
          <w:rStyle w:val="aff0"/>
          <w:rFonts w:hint="cs"/>
          <w:rtl/>
        </w:rPr>
        <w:t>(פ"ג יח. אות מ', מהד' עוז והדר עמ' ע"א, מהד' וילנא החדש עמ' ס"א)</w:t>
      </w:r>
      <w:r w:rsidRPr="00394B7E">
        <w:rPr>
          <w:rStyle w:val="af"/>
          <w:rFonts w:hint="cs"/>
          <w:vanish/>
          <w:rtl/>
        </w:rPr>
        <w:t>=</w:t>
      </w:r>
      <w:r w:rsidRPr="007A72D8">
        <w:rPr>
          <w:rStyle w:val="af"/>
          <w:rFonts w:hint="cs"/>
          <w:rtl/>
        </w:rPr>
        <w:t>]</w:t>
      </w:r>
      <w:r w:rsidRPr="009C1377">
        <w:rPr>
          <w:rStyle w:val="af"/>
          <w:rFonts w:hint="cs"/>
          <w:rtl/>
        </w:rPr>
        <w:t>,</w:t>
      </w:r>
      <w:r>
        <w:rPr>
          <w:rFonts w:hint="cs"/>
          <w:rtl/>
        </w:rPr>
        <w:t xml:space="preserve"> ועי' במה שהקשה</w:t>
      </w:r>
      <w:r w:rsidRPr="00110776">
        <w:rPr>
          <w:rtl/>
        </w:rPr>
        <w:t xml:space="preserve"> </w:t>
      </w:r>
      <w:r w:rsidRPr="00C65D8D">
        <w:rPr>
          <w:rStyle w:val="aff4"/>
          <w:rFonts w:hint="cs"/>
          <w:vanish/>
          <w:rtl/>
        </w:rPr>
        <w:t>-</w:t>
      </w:r>
      <w:r w:rsidRPr="00C65D8D">
        <w:rPr>
          <w:rStyle w:val="aff4"/>
          <w:rFonts w:hint="cs"/>
          <w:rtl/>
        </w:rPr>
        <w:t>ה</w:t>
      </w:r>
      <w:r w:rsidRPr="00B53404">
        <w:rPr>
          <w:rStyle w:val="aff4"/>
          <w:rFonts w:hint="cs"/>
          <w:vanish/>
          <w:rtl/>
        </w:rPr>
        <w:t>&lt; &gt;</w:t>
      </w:r>
      <w:r w:rsidRPr="00C65D8D">
        <w:rPr>
          <w:rStyle w:val="aff4"/>
          <w:rtl/>
        </w:rPr>
        <w:t>דבר אברהם</w:t>
      </w:r>
      <w:r w:rsidRPr="00C65D8D">
        <w:rPr>
          <w:rStyle w:val="aff4"/>
          <w:rFonts w:hint="cs"/>
          <w:vanish/>
          <w:rtl/>
        </w:rPr>
        <w:t>-</w:t>
      </w:r>
      <w:r>
        <w:rPr>
          <w:rFonts w:hint="cs"/>
          <w:rtl/>
        </w:rPr>
        <w:t xml:space="preserve"> </w:t>
      </w:r>
      <w:r w:rsidRPr="00FB451D">
        <w:rPr>
          <w:rStyle w:val="af2"/>
          <w:rFonts w:eastAsia="Guttman Hodes" w:hint="cs"/>
          <w:rtl/>
        </w:rPr>
        <w:t>(</w:t>
      </w:r>
      <w:r w:rsidRPr="00FB451D">
        <w:rPr>
          <w:rStyle w:val="af2"/>
          <w:rFonts w:eastAsia="Guttman Hodes"/>
          <w:rtl/>
        </w:rPr>
        <w:t>ח</w:t>
      </w:r>
      <w:r w:rsidRPr="00FB451D">
        <w:rPr>
          <w:rStyle w:val="af2"/>
          <w:rFonts w:eastAsia="Guttman Hodes" w:hint="cs"/>
          <w:rtl/>
        </w:rPr>
        <w:t>"</w:t>
      </w:r>
      <w:r w:rsidRPr="00FB451D">
        <w:rPr>
          <w:rStyle w:val="af2"/>
          <w:rFonts w:eastAsia="Guttman Hodes"/>
          <w:rtl/>
        </w:rPr>
        <w:t>א סי</w:t>
      </w:r>
      <w:r w:rsidRPr="00FB451D">
        <w:rPr>
          <w:rStyle w:val="af2"/>
          <w:rFonts w:eastAsia="Guttman Hodes" w:hint="cs"/>
          <w:rtl/>
        </w:rPr>
        <w:t>'</w:t>
      </w:r>
      <w:r w:rsidRPr="00FB451D">
        <w:rPr>
          <w:rStyle w:val="af2"/>
          <w:rFonts w:eastAsia="Guttman Hodes"/>
          <w:rtl/>
        </w:rPr>
        <w:t xml:space="preserve"> כ</w:t>
      </w:r>
      <w:r w:rsidRPr="00FB451D">
        <w:rPr>
          <w:rStyle w:val="af2"/>
          <w:rFonts w:eastAsia="Guttman Hodes" w:hint="cs"/>
          <w:rtl/>
        </w:rPr>
        <w:t>"</w:t>
      </w:r>
      <w:r w:rsidRPr="00FB451D">
        <w:rPr>
          <w:rStyle w:val="af2"/>
          <w:rFonts w:eastAsia="Guttman Hodes"/>
          <w:rtl/>
        </w:rPr>
        <w:t>ד</w:t>
      </w:r>
      <w:r w:rsidRPr="00FB451D">
        <w:rPr>
          <w:rStyle w:val="af2"/>
          <w:rFonts w:eastAsia="Guttman Hodes" w:hint="cs"/>
          <w:rtl/>
        </w:rPr>
        <w:t xml:space="preserve"> אות ב')</w:t>
      </w:r>
      <w:r w:rsidRPr="00C65D8D">
        <w:rPr>
          <w:rFonts w:hint="cs"/>
          <w:vanish/>
          <w:rtl/>
        </w:rPr>
        <w:t>=</w:t>
      </w:r>
      <w:r>
        <w:rPr>
          <w:rFonts w:hint="cs"/>
          <w:rtl/>
        </w:rPr>
        <w:t xml:space="preserve"> על דברי </w:t>
      </w:r>
      <w:r w:rsidRPr="00C65D8D">
        <w:rPr>
          <w:rStyle w:val="aff4"/>
          <w:rFonts w:hint="cs"/>
          <w:vanish/>
          <w:rtl/>
        </w:rPr>
        <w:t>-</w:t>
      </w:r>
      <w:r w:rsidRPr="00C65D8D">
        <w:rPr>
          <w:rStyle w:val="aff4"/>
          <w:rFonts w:hint="cs"/>
          <w:rtl/>
        </w:rPr>
        <w:t>הרמב"ן</w:t>
      </w:r>
      <w:r>
        <w:rPr>
          <w:rFonts w:hint="cs"/>
          <w:rtl/>
        </w:rPr>
        <w:t>.</w:t>
      </w:r>
    </w:p>
    <w:p w14:paraId="32B5B123" w14:textId="77777777" w:rsidR="000426DE" w:rsidRPr="00747170" w:rsidRDefault="000426DE" w:rsidP="00747170">
      <w:pPr>
        <w:pStyle w:val="a2"/>
        <w:rPr>
          <w:rtl/>
        </w:rPr>
      </w:pPr>
      <w:r w:rsidRPr="00747170">
        <w:rPr>
          <w:rtl/>
        </w:rPr>
        <w:t>הא דאמרי' במושיט ידו למעי בהמה ודלדל עובר שבמעיה דחייב משום עוקר דבר מגדולו. קשה לי דהא גוזז ותולש כנף מן העוף כשהן חיין (ע"ד ב') לא מחייבינן להו תרתי חדא משום עוקר דבר מגידולו, וכן הנוטל שערו וצפרניו ושפמו (צ"ד ב') אין בהן דין עוקר דבר מגדולו דליחייב תרתי אלמא אין משום עוקר דבר מגדולו דהוא תולדה דקוצר אלא בגדולי קרקע, וה"נ משמע בבכורות (כ"ה א') גבי תולש צמר מבכור דתולש לאו היינו גוזז וכנגדו בי"ט מותר דלית ביה משום עוקר דבר מגדולו</w:t>
      </w:r>
      <w:r w:rsidRPr="00747170">
        <w:rPr>
          <w:rFonts w:hint="cs"/>
          <w:rtl/>
        </w:rPr>
        <w:t xml:space="preserve">, </w:t>
      </w:r>
      <w:r w:rsidRPr="00747170">
        <w:rPr>
          <w:rtl/>
        </w:rPr>
        <w:t>ועוד דודאי קוצר ודש תרוייהו בחד גוונא גמרי' להו ממשכן כי היכי דאמרי רבנן (ע"ה א') אין דישה אלא בגדולי קרקע ה"נ אמרי ודאי אין קצירה אלא בגדולי קרקע, ואפי' ר' יהודה אפשר דמודה בקצירה דהיא ממש מן הקרקע, ותולש מבעלי חיים בכלל גוזז הוא</w:t>
      </w:r>
      <w:r w:rsidRPr="00747170">
        <w:rPr>
          <w:rFonts w:hint="cs"/>
          <w:rtl/>
        </w:rPr>
        <w:t>.</w:t>
      </w:r>
    </w:p>
    <w:p w14:paraId="7F595F08" w14:textId="77777777" w:rsidR="000426DE" w:rsidRDefault="000426DE" w:rsidP="000426DE">
      <w:pPr>
        <w:pStyle w:val="a7"/>
        <w:rPr>
          <w:rtl/>
        </w:rPr>
      </w:pPr>
      <w:bookmarkStart w:id="1415" w:name="_Toc139316336"/>
      <w:r>
        <w:rPr>
          <w:rFonts w:hint="cs"/>
          <w:rtl/>
        </w:rPr>
        <w:t>בי' הרמב"ן דמדלדל עובר נוטל נשמתו ודמי לעוקר דבר מגידולו כיון דחיותו תלויה באמו</w:t>
      </w:r>
      <w:bookmarkEnd w:id="1415"/>
    </w:p>
    <w:p w14:paraId="229FB583" w14:textId="77777777" w:rsidR="000426DE" w:rsidRDefault="000426DE" w:rsidP="00BC7DC8">
      <w:pPr>
        <w:pStyle w:val="a3"/>
        <w:rPr>
          <w:rtl/>
        </w:rPr>
      </w:pPr>
      <w:r>
        <w:rPr>
          <w:rFonts w:hint="cs"/>
          <w:rtl/>
        </w:rPr>
        <w:t xml:space="preserve">אלא ביאר </w:t>
      </w:r>
      <w:r w:rsidRPr="000D4E5E">
        <w:rPr>
          <w:rStyle w:val="aff4"/>
          <w:rFonts w:hint="cs"/>
          <w:vanish/>
          <w:rtl/>
        </w:rPr>
        <w:t>-</w:t>
      </w:r>
      <w:r w:rsidRPr="00572920">
        <w:rPr>
          <w:rStyle w:val="aff4"/>
          <w:rFonts w:hint="cs"/>
          <w:rtl/>
        </w:rPr>
        <w:t>הרמב"ן לקמן</w:t>
      </w:r>
      <w:r w:rsidRPr="000D4E5E">
        <w:rPr>
          <w:rStyle w:val="aff4"/>
          <w:rFonts w:hint="cs"/>
          <w:vanish/>
          <w:rtl/>
        </w:rPr>
        <w:t>-</w:t>
      </w:r>
      <w:r>
        <w:rPr>
          <w:rFonts w:hint="cs"/>
          <w:rtl/>
        </w:rPr>
        <w:t xml:space="preserve"> דהא דהמדלדל עובר חייב, אינו משום קוצר, אלא משום נטילת נשמה, והא דאמרינן בגמ' לקמן </w:t>
      </w:r>
      <w:r w:rsidRPr="00FB451D">
        <w:rPr>
          <w:rStyle w:val="af2"/>
          <w:rFonts w:eastAsia="Guttman Hodes" w:hint="cs"/>
          <w:rtl/>
        </w:rPr>
        <w:t>(קז:)</w:t>
      </w:r>
      <w:r>
        <w:rPr>
          <w:rFonts w:hint="cs"/>
          <w:rtl/>
        </w:rPr>
        <w:t xml:space="preserve"> דהוא כעוקר דבר מגידולו, אין כוונת הגמ' לומר דחייב משום קוצר, אלא דכוונת הגמ' לומר דכיון דהגידול של העובר תלוי בנשמה של אמו, לכן העוקר את העובר מאמו חייב משום נטילת נשמה, וכ"כ </w:t>
      </w:r>
      <w:r w:rsidRPr="007F356E">
        <w:rPr>
          <w:rStyle w:val="aff4"/>
          <w:rFonts w:hint="cs"/>
          <w:vanish/>
          <w:rtl/>
        </w:rPr>
        <w:t>-</w:t>
      </w:r>
      <w:r w:rsidRPr="001F02FD">
        <w:rPr>
          <w:rStyle w:val="aff4"/>
          <w:rFonts w:hint="cs"/>
          <w:rtl/>
        </w:rPr>
        <w:t>הרשב"א לקמן</w:t>
      </w:r>
      <w:r w:rsidRPr="007F356E">
        <w:rPr>
          <w:rStyle w:val="aff4"/>
          <w:rFonts w:hint="cs"/>
          <w:vanish/>
          <w:rtl/>
        </w:rPr>
        <w:t>-</w:t>
      </w:r>
      <w:r>
        <w:rPr>
          <w:rFonts w:hint="cs"/>
          <w:rtl/>
        </w:rPr>
        <w:t xml:space="preserve"> בשם </w:t>
      </w:r>
      <w:r w:rsidRPr="007F356E">
        <w:rPr>
          <w:rStyle w:val="aff4"/>
          <w:rFonts w:hint="cs"/>
          <w:vanish/>
          <w:rtl/>
        </w:rPr>
        <w:t>-</w:t>
      </w:r>
      <w:r w:rsidRPr="001F02FD">
        <w:rPr>
          <w:rStyle w:val="aff4"/>
          <w:rFonts w:hint="cs"/>
          <w:rtl/>
        </w:rPr>
        <w:t>הרמב"ן</w:t>
      </w:r>
      <w:r w:rsidRPr="007F356E">
        <w:rPr>
          <w:rStyle w:val="aff4"/>
          <w:rFonts w:hint="cs"/>
          <w:vanish/>
          <w:rtl/>
        </w:rPr>
        <w:t>-</w:t>
      </w:r>
      <w:r>
        <w:rPr>
          <w:rFonts w:hint="cs"/>
          <w:rtl/>
        </w:rPr>
        <w:t>.</w:t>
      </w:r>
    </w:p>
    <w:p w14:paraId="640322F4" w14:textId="77777777" w:rsidR="000426DE" w:rsidRPr="001A17EB" w:rsidRDefault="000426DE" w:rsidP="000426DE">
      <w:pPr>
        <w:pStyle w:val="a7"/>
        <w:rPr>
          <w:rtl/>
        </w:rPr>
      </w:pPr>
    </w:p>
    <w:p w14:paraId="6760C59A" w14:textId="77777777" w:rsidR="000426DE" w:rsidRPr="00747170" w:rsidRDefault="000426DE" w:rsidP="00747170">
      <w:pPr>
        <w:pStyle w:val="a2"/>
      </w:pPr>
      <w:r w:rsidRPr="00747170">
        <w:rPr>
          <w:rtl/>
        </w:rPr>
        <w:t>וי"ל דמדלדל עובר משום נטילת נשמה הוא חייב, והכי קאמר אף על גב דהאי עובר לית ליה בדידיה נשמה כיון דגידולו תלוי בנשמת אמו העוקרו משם נוטל נשמתו ממנו</w:t>
      </w:r>
      <w:r w:rsidRPr="00747170">
        <w:rPr>
          <w:rFonts w:hint="cs"/>
          <w:rtl/>
        </w:rPr>
        <w:t>.</w:t>
      </w:r>
    </w:p>
    <w:p w14:paraId="0689926B" w14:textId="77777777" w:rsidR="000426DE" w:rsidRPr="00181F2F" w:rsidRDefault="000426DE" w:rsidP="000426DE">
      <w:pPr>
        <w:pStyle w:val="a7"/>
      </w:pPr>
      <w:bookmarkStart w:id="1416" w:name="_Toc139316337"/>
      <w:r>
        <w:rPr>
          <w:rFonts w:hint="cs"/>
          <w:rtl/>
        </w:rPr>
        <w:t>בי' הרמב"ן דבכשותא שתלויה בהיזמי העוקר הוא קוצר ובעובר שתלוי באמו הוא נטילת נשמה</w:t>
      </w:r>
      <w:bookmarkEnd w:id="1416"/>
    </w:p>
    <w:p w14:paraId="66C2D4CE" w14:textId="4DC2476B" w:rsidR="000426DE" w:rsidRPr="000113FB" w:rsidRDefault="000426DE" w:rsidP="00BC7DC8">
      <w:pPr>
        <w:pStyle w:val="a3"/>
      </w:pPr>
      <w:bookmarkStart w:id="1417" w:name="_Ref135342542"/>
      <w:r>
        <w:rPr>
          <w:rFonts w:hint="cs"/>
          <w:rtl/>
        </w:rPr>
        <w:t xml:space="preserve">וביאר </w:t>
      </w:r>
      <w:r w:rsidRPr="000D4E5E">
        <w:rPr>
          <w:rStyle w:val="aff4"/>
          <w:rFonts w:hint="cs"/>
          <w:vanish/>
          <w:rtl/>
        </w:rPr>
        <w:t>-</w:t>
      </w:r>
      <w:r w:rsidRPr="00572920">
        <w:rPr>
          <w:rStyle w:val="aff4"/>
          <w:rFonts w:hint="cs"/>
          <w:rtl/>
        </w:rPr>
        <w:t>הרמב"ן לקמן</w:t>
      </w:r>
      <w:r w:rsidRPr="000D4E5E">
        <w:rPr>
          <w:rStyle w:val="aff4"/>
          <w:rFonts w:hint="cs"/>
          <w:vanish/>
          <w:rtl/>
        </w:rPr>
        <w:t>-</w:t>
      </w:r>
      <w:r>
        <w:rPr>
          <w:rFonts w:hint="cs"/>
          <w:rtl/>
        </w:rPr>
        <w:t xml:space="preserve"> דכמו דאמרינן בגידולי קרקע דהתולש כשותא מהיזמי חייב משום עוקר דבר מגידולו, כיון דהיניקה של הכשותא תלויה בהיזמי, ובזה חייב בתולדה דקוצר דהוא עוקר דבר מגידולו, וא"כ ה"ה בעובר דהוא בע"ח ואין בו קוצר, דהעוקרו מאמו שהיא מקום גידולו חייב משום נטילת נשמה, ונקטה הגמ'</w:t>
      </w:r>
      <w:r w:rsidRPr="007750B4">
        <w:rPr>
          <w:rFonts w:hint="cs"/>
          <w:rtl/>
        </w:rPr>
        <w:t xml:space="preserve"> </w:t>
      </w:r>
      <w:r>
        <w:rPr>
          <w:rFonts w:hint="cs"/>
          <w:rtl/>
        </w:rPr>
        <w:t xml:space="preserve">כסירכא דלישנא, וביאר </w:t>
      </w:r>
      <w:r w:rsidRPr="000D4E5E">
        <w:rPr>
          <w:rStyle w:val="aff4"/>
          <w:rFonts w:hint="cs"/>
          <w:vanish/>
          <w:rtl/>
        </w:rPr>
        <w:t>-</w:t>
      </w:r>
      <w:r w:rsidRPr="00572920">
        <w:rPr>
          <w:rStyle w:val="aff4"/>
          <w:rFonts w:hint="cs"/>
          <w:rtl/>
        </w:rPr>
        <w:t>הרמב"ן לקמן</w:t>
      </w:r>
      <w:r w:rsidRPr="000D4E5E">
        <w:rPr>
          <w:rStyle w:val="aff4"/>
          <w:rFonts w:hint="cs"/>
          <w:vanish/>
          <w:rtl/>
        </w:rPr>
        <w:t>-</w:t>
      </w:r>
      <w:r>
        <w:rPr>
          <w:rFonts w:hint="cs"/>
          <w:rtl/>
        </w:rPr>
        <w:t xml:space="preserve"> דהוא דומיא דחובל דחייב משום נטילת נשמה של אבר אחד, וכ"כ </w:t>
      </w:r>
      <w:r w:rsidRPr="007F356E">
        <w:rPr>
          <w:rStyle w:val="aff4"/>
          <w:rFonts w:hint="cs"/>
          <w:vanish/>
          <w:rtl/>
        </w:rPr>
        <w:t>-</w:t>
      </w:r>
      <w:r w:rsidRPr="001F02FD">
        <w:rPr>
          <w:rStyle w:val="aff4"/>
          <w:rFonts w:hint="cs"/>
          <w:rtl/>
        </w:rPr>
        <w:t>הרשב"א לקמן</w:t>
      </w:r>
      <w:r w:rsidRPr="007F356E">
        <w:rPr>
          <w:rStyle w:val="aff4"/>
          <w:rFonts w:hint="cs"/>
          <w:vanish/>
          <w:rtl/>
        </w:rPr>
        <w:t>-</w:t>
      </w:r>
      <w:r>
        <w:rPr>
          <w:rFonts w:hint="cs"/>
          <w:rtl/>
        </w:rPr>
        <w:t xml:space="preserve"> בשם </w:t>
      </w:r>
      <w:r w:rsidRPr="007F356E">
        <w:rPr>
          <w:rStyle w:val="aff4"/>
          <w:rFonts w:hint="cs"/>
          <w:vanish/>
          <w:rtl/>
        </w:rPr>
        <w:t>-</w:t>
      </w:r>
      <w:r w:rsidRPr="001F02FD">
        <w:rPr>
          <w:rStyle w:val="aff4"/>
          <w:rFonts w:hint="cs"/>
          <w:rtl/>
        </w:rPr>
        <w:t>הרמב"ן</w:t>
      </w:r>
      <w:r w:rsidRPr="007F356E">
        <w:rPr>
          <w:rStyle w:val="aff4"/>
          <w:rFonts w:hint="cs"/>
          <w:vanish/>
          <w:rtl/>
        </w:rPr>
        <w:t>-</w:t>
      </w:r>
      <w:bookmarkEnd w:id="1417"/>
      <w:r>
        <w:rPr>
          <w:rFonts w:hint="cs"/>
          <w:rtl/>
        </w:rPr>
        <w:t>, ועי' במה שביאר</w:t>
      </w:r>
      <w:r w:rsidRPr="00AA1E45">
        <w:rPr>
          <w:rStyle w:val="aff4"/>
          <w:rFonts w:hint="cs"/>
          <w:vanish/>
          <w:rtl/>
        </w:rPr>
        <w:t>-</w:t>
      </w:r>
      <w:r>
        <w:rPr>
          <w:rStyle w:val="aff4"/>
          <w:rFonts w:hint="cs"/>
          <w:rtl/>
        </w:rPr>
        <w:t xml:space="preserve"> </w:t>
      </w:r>
      <w:r w:rsidRPr="00C65D8D">
        <w:rPr>
          <w:rStyle w:val="aff4"/>
          <w:rFonts w:hint="cs"/>
          <w:rtl/>
        </w:rPr>
        <w:t>הזכר יצחק</w:t>
      </w:r>
      <w:r w:rsidRPr="00AA1E45">
        <w:rPr>
          <w:rStyle w:val="aff4"/>
          <w:rFonts w:hint="cs"/>
          <w:vanish/>
          <w:rtl/>
        </w:rPr>
        <w:t>-</w:t>
      </w:r>
      <w:r>
        <w:rPr>
          <w:rFonts w:hint="cs"/>
          <w:rtl/>
        </w:rPr>
        <w:t xml:space="preserve"> </w:t>
      </w:r>
      <w:r w:rsidRPr="00AA1E45">
        <w:rPr>
          <w:rStyle w:val="af2"/>
          <w:rFonts w:eastAsia="Guttman Hodes" w:hint="cs"/>
          <w:rtl/>
        </w:rPr>
        <w:t>(</w:t>
      </w:r>
      <w:r>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Ref135044922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סח)</w:t>
      </w:r>
      <w:r>
        <w:rPr>
          <w:rStyle w:val="af2"/>
          <w:rFonts w:eastAsia="Guttman Hodes"/>
          <w:rtl/>
        </w:rPr>
        <w:fldChar w:fldCharType="end"/>
      </w:r>
      <w:r>
        <w:rPr>
          <w:rStyle w:val="af2"/>
          <w:rFonts w:eastAsia="Guttman Hodes" w:hint="cs"/>
          <w:rtl/>
        </w:rPr>
        <w:t xml:space="preserve"> </w:t>
      </w:r>
      <w:r>
        <w:rPr>
          <w:rFonts w:hint="cs"/>
          <w:rtl/>
        </w:rPr>
        <w:t xml:space="preserve">בדברי </w:t>
      </w:r>
      <w:r w:rsidRPr="00AA1E45">
        <w:rPr>
          <w:rStyle w:val="aff4"/>
          <w:rFonts w:hint="cs"/>
          <w:vanish/>
          <w:rtl/>
        </w:rPr>
        <w:t>-</w:t>
      </w:r>
      <w:r w:rsidRPr="00C65D8D">
        <w:rPr>
          <w:rStyle w:val="aff4"/>
          <w:rFonts w:hint="cs"/>
          <w:rtl/>
        </w:rPr>
        <w:t>הרמב"</w:t>
      </w:r>
      <w:r>
        <w:rPr>
          <w:rStyle w:val="aff4"/>
          <w:rFonts w:hint="cs"/>
          <w:rtl/>
        </w:rPr>
        <w:t>ן</w:t>
      </w:r>
      <w:r w:rsidRPr="00AA1E45">
        <w:rPr>
          <w:rStyle w:val="aff4"/>
          <w:rFonts w:hint="cs"/>
          <w:vanish/>
          <w:rtl/>
        </w:rPr>
        <w:t>-</w:t>
      </w:r>
      <w:r>
        <w:rPr>
          <w:rFonts w:hint="cs"/>
          <w:rtl/>
        </w:rPr>
        <w:t xml:space="preserve">. </w:t>
      </w:r>
    </w:p>
    <w:p w14:paraId="5B6ADD0B" w14:textId="77777777" w:rsidR="000426DE" w:rsidRPr="00747170" w:rsidRDefault="000426DE" w:rsidP="00747170">
      <w:pPr>
        <w:pStyle w:val="a2"/>
        <w:rPr>
          <w:rtl/>
        </w:rPr>
      </w:pPr>
      <w:r w:rsidRPr="00747170">
        <w:rPr>
          <w:rtl/>
        </w:rPr>
        <w:t>דלאו מי א"ר ששת בגידולי קרקע כן דמאן דתלש כשותא מהיזמי שיניקתו תלוי בהיזמי כדאמרינן בעירובין בפ' בכל מערבין (כ"ח ב') דקטלין ליה להיזמתא ויבשה כשותא ומיחייב משום עוקר דבר מגידולו דהוא תולדה דקוצר, ה"נ בבעלי חיים מחייב משום עוקר דבר מגידולו דהוא משום נטילת נשמה דומיא דחובל שהוא משום נטילת נשמה מאבר אחד וסירכא דלישנא נקט</w:t>
      </w:r>
      <w:r w:rsidRPr="00747170">
        <w:rPr>
          <w:rFonts w:hint="cs"/>
          <w:rtl/>
        </w:rPr>
        <w:t>.</w:t>
      </w:r>
    </w:p>
    <w:p w14:paraId="2DAED2A7" w14:textId="77777777" w:rsidR="000426DE" w:rsidRPr="00D578AC" w:rsidRDefault="000426DE" w:rsidP="00747170">
      <w:pPr>
        <w:pStyle w:val="afffff5"/>
        <w:rPr>
          <w:rtl/>
        </w:rPr>
      </w:pPr>
      <w:r w:rsidRPr="00D578AC">
        <w:rPr>
          <w:rtl/>
        </w:rPr>
        <w:t>וכן נראה הפי' הזה מדברי ה"ר משה הספרדי ז"ל בפ' אחד עשר מהלכותיו</w:t>
      </w:r>
      <w:r w:rsidRPr="00D578AC">
        <w:rPr>
          <w:rFonts w:hint="cs"/>
          <w:rtl/>
        </w:rPr>
        <w:t xml:space="preserve">, </w:t>
      </w:r>
      <w:r w:rsidRPr="00D578AC">
        <w:rPr>
          <w:rtl/>
        </w:rPr>
        <w:t>ומה שאמרו בירושלמי בפ' כלל גדול רבנן דקסרין אמרין ההין דצד נונא וכל דבר שהוא מבדילו מחיותו חייב משום קוצר לא אתיא כשיטתא דגמ' דילן.</w:t>
      </w:r>
    </w:p>
    <w:p w14:paraId="26D41A79" w14:textId="77777777" w:rsidR="000426DE" w:rsidRDefault="000426DE" w:rsidP="000426DE">
      <w:pPr>
        <w:pStyle w:val="afffff7"/>
        <w:rPr>
          <w:rtl/>
        </w:rPr>
      </w:pPr>
      <w:bookmarkStart w:id="1418" w:name="_Toc135513683"/>
      <w:bookmarkStart w:id="1419" w:name="_Toc163505608"/>
      <w:r>
        <w:rPr>
          <w:rtl/>
        </w:rPr>
        <w:t xml:space="preserve">רמב"ם שבת </w:t>
      </w:r>
      <w:r>
        <w:rPr>
          <w:rFonts w:hint="cs"/>
          <w:rtl/>
        </w:rPr>
        <w:t>פ</w:t>
      </w:r>
      <w:r>
        <w:rPr>
          <w:rtl/>
        </w:rPr>
        <w:t xml:space="preserve">י"א </w:t>
      </w:r>
      <w:r>
        <w:rPr>
          <w:rFonts w:hint="cs"/>
          <w:rtl/>
        </w:rPr>
        <w:t>ה"א</w:t>
      </w:r>
      <w:bookmarkEnd w:id="1418"/>
      <w:bookmarkEnd w:id="1419"/>
    </w:p>
    <w:p w14:paraId="32086A93" w14:textId="77777777" w:rsidR="000426DE" w:rsidRDefault="000426DE" w:rsidP="000426DE">
      <w:pPr>
        <w:pStyle w:val="a7"/>
        <w:rPr>
          <w:rtl/>
        </w:rPr>
      </w:pPr>
      <w:bookmarkStart w:id="1420" w:name="_Toc139316338"/>
      <w:r>
        <w:rPr>
          <w:rFonts w:hint="cs"/>
          <w:rtl/>
        </w:rPr>
        <w:t>בי' הרמב"ן ברמב"ם דחיוב מדלדל עובר חייב משום נטילת נשמה ולא קוצר</w:t>
      </w:r>
      <w:r w:rsidRPr="00550A2B">
        <w:rPr>
          <w:rFonts w:hint="cs"/>
          <w:rtl/>
        </w:rPr>
        <w:t xml:space="preserve"> </w:t>
      </w:r>
      <w:r>
        <w:rPr>
          <w:rFonts w:hint="cs"/>
          <w:rtl/>
        </w:rPr>
        <w:t>וה"ה בשולה דג</w:t>
      </w:r>
      <w:bookmarkEnd w:id="1420"/>
    </w:p>
    <w:p w14:paraId="07ED6259" w14:textId="3246BAE1" w:rsidR="000426DE" w:rsidRPr="00282090" w:rsidRDefault="000426DE" w:rsidP="00BC7DC8">
      <w:pPr>
        <w:pStyle w:val="a3"/>
      </w:pPr>
      <w:r>
        <w:rPr>
          <w:rFonts w:hint="cs"/>
          <w:rtl/>
        </w:rPr>
        <w:t xml:space="preserve">והביא </w:t>
      </w:r>
      <w:r w:rsidRPr="000D4E5E">
        <w:rPr>
          <w:rStyle w:val="aff4"/>
          <w:rFonts w:hint="cs"/>
          <w:vanish/>
          <w:rtl/>
        </w:rPr>
        <w:t>-</w:t>
      </w:r>
      <w:r w:rsidRPr="00572920">
        <w:rPr>
          <w:rStyle w:val="aff4"/>
          <w:rFonts w:hint="cs"/>
          <w:rtl/>
        </w:rPr>
        <w:t>הרמב"ן לקמן</w:t>
      </w:r>
      <w:r w:rsidRPr="000D4E5E">
        <w:rPr>
          <w:rStyle w:val="aff4"/>
          <w:rFonts w:hint="cs"/>
          <w:vanish/>
          <w:rtl/>
        </w:rPr>
        <w:t>-</w:t>
      </w:r>
      <w:r>
        <w:rPr>
          <w:rFonts w:hint="cs"/>
          <w:rtl/>
        </w:rPr>
        <w:t xml:space="preserve"> את דברי </w:t>
      </w:r>
      <w:r w:rsidRPr="000D4E5E">
        <w:rPr>
          <w:rStyle w:val="aff4"/>
          <w:rFonts w:hint="cs"/>
          <w:vanish/>
          <w:rtl/>
        </w:rPr>
        <w:t>-</w:t>
      </w:r>
      <w:r w:rsidRPr="00572920">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Ref134521911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כד)</w:t>
      </w:r>
      <w:r w:rsidRPr="00B53404">
        <w:rPr>
          <w:rStyle w:val="aff4"/>
          <w:vanish/>
          <w:rtl/>
        </w:rPr>
        <w:fldChar w:fldCharType="end"/>
      </w:r>
      <w:r w:rsidRPr="00B53404">
        <w:rPr>
          <w:rStyle w:val="aff4"/>
          <w:rFonts w:hint="cs"/>
          <w:vanish/>
          <w:rtl/>
        </w:rPr>
        <w:t xml:space="preserve"> &gt;</w:t>
      </w:r>
      <w:r w:rsidRPr="00572920">
        <w:rPr>
          <w:rStyle w:val="aff4"/>
          <w:rFonts w:hint="cs"/>
          <w:rtl/>
        </w:rPr>
        <w:t>רמב"ם</w:t>
      </w:r>
      <w:r w:rsidRPr="000D4E5E">
        <w:rPr>
          <w:rStyle w:val="aff4"/>
          <w:rFonts w:hint="cs"/>
          <w:vanish/>
          <w:rtl/>
        </w:rPr>
        <w:t>-</w:t>
      </w:r>
      <w:r>
        <w:rPr>
          <w:rFonts w:hint="cs"/>
          <w:rtl/>
        </w:rPr>
        <w:t xml:space="preserve"> </w:t>
      </w:r>
      <w:r w:rsidRPr="00FB451D">
        <w:rPr>
          <w:rStyle w:val="af2"/>
          <w:rFonts w:eastAsia="Guttman Hodes" w:hint="cs"/>
          <w:rtl/>
        </w:rPr>
        <w:t>(שבת פי"א ה"א)</w:t>
      </w:r>
      <w:r w:rsidRPr="000D4E5E">
        <w:rPr>
          <w:rFonts w:hint="cs"/>
          <w:vanish/>
          <w:rtl/>
        </w:rPr>
        <w:t>=</w:t>
      </w:r>
      <w:r>
        <w:rPr>
          <w:rFonts w:hint="cs"/>
          <w:rtl/>
        </w:rPr>
        <w:t xml:space="preserve"> דכתב דהשוחט והחונק כל הנוטל נשמה חייב, וכן השולה דג חייב משום חונק, אחר שיבש בו כסלע, וכן בהושיט ידו למעי בהמה ודלדל עובר שבמעיה חייב, וכתב </w:t>
      </w:r>
      <w:r w:rsidRPr="000D4E5E">
        <w:rPr>
          <w:rStyle w:val="aff4"/>
          <w:rFonts w:hint="cs"/>
          <w:vanish/>
          <w:rtl/>
        </w:rPr>
        <w:t>-</w:t>
      </w:r>
      <w:r w:rsidRPr="00572920">
        <w:rPr>
          <w:rStyle w:val="aff4"/>
          <w:rFonts w:hint="cs"/>
          <w:rtl/>
        </w:rPr>
        <w:t>הרמב"ן לקמן</w:t>
      </w:r>
      <w:r w:rsidRPr="000D4E5E">
        <w:rPr>
          <w:rStyle w:val="aff4"/>
          <w:rFonts w:hint="cs"/>
          <w:vanish/>
          <w:rtl/>
        </w:rPr>
        <w:t>-</w:t>
      </w:r>
      <w:r>
        <w:rPr>
          <w:rFonts w:hint="cs"/>
          <w:rtl/>
        </w:rPr>
        <w:t xml:space="preserve"> דמבואר מדברי </w:t>
      </w:r>
      <w:r w:rsidRPr="000D4E5E">
        <w:rPr>
          <w:rStyle w:val="aff4"/>
          <w:rFonts w:hint="cs"/>
          <w:vanish/>
          <w:rtl/>
        </w:rPr>
        <w:t>-</w:t>
      </w:r>
      <w:r w:rsidRPr="00572920">
        <w:rPr>
          <w:rStyle w:val="aff4"/>
          <w:rFonts w:hint="cs"/>
          <w:rtl/>
        </w:rPr>
        <w:t>הרמב"ם</w:t>
      </w:r>
      <w:r w:rsidRPr="000D4E5E">
        <w:rPr>
          <w:rStyle w:val="aff4"/>
          <w:rFonts w:hint="cs"/>
          <w:vanish/>
          <w:rtl/>
        </w:rPr>
        <w:t>-</w:t>
      </w:r>
      <w:r>
        <w:rPr>
          <w:rFonts w:hint="cs"/>
          <w:rtl/>
        </w:rPr>
        <w:t xml:space="preserve"> דהחיוב בזה אינו משום קוצר אלא משום נטילת נשמה</w:t>
      </w:r>
      <w:r w:rsidRPr="00550A2B">
        <w:rPr>
          <w:rFonts w:hint="cs"/>
          <w:rtl/>
        </w:rPr>
        <w:t xml:space="preserve"> </w:t>
      </w:r>
      <w:r>
        <w:rPr>
          <w:rFonts w:hint="cs"/>
          <w:rtl/>
        </w:rPr>
        <w:t xml:space="preserve">והוסיף </w:t>
      </w:r>
      <w:r w:rsidRPr="000D4E5E">
        <w:rPr>
          <w:rStyle w:val="aff4"/>
          <w:rFonts w:hint="cs"/>
          <w:vanish/>
          <w:rtl/>
        </w:rPr>
        <w:t>-</w:t>
      </w:r>
      <w:r w:rsidRPr="00572920">
        <w:rPr>
          <w:rStyle w:val="aff4"/>
          <w:rFonts w:hint="cs"/>
          <w:rtl/>
        </w:rPr>
        <w:t>הרמב"ן לקמן</w:t>
      </w:r>
      <w:r w:rsidRPr="000D4E5E">
        <w:rPr>
          <w:rStyle w:val="aff4"/>
          <w:rFonts w:hint="cs"/>
          <w:vanish/>
          <w:rtl/>
        </w:rPr>
        <w:t>-</w:t>
      </w:r>
      <w:r>
        <w:rPr>
          <w:rFonts w:hint="cs"/>
          <w:rtl/>
        </w:rPr>
        <w:t xml:space="preserve"> דהא דאמרו</w:t>
      </w:r>
      <w:r w:rsidRPr="00AA066C">
        <w:rPr>
          <w:rFonts w:hint="cs"/>
          <w:rtl/>
        </w:rPr>
        <w:t xml:space="preserve"> </w:t>
      </w:r>
      <w:r>
        <w:rPr>
          <w:rFonts w:hint="cs"/>
          <w:rtl/>
        </w:rPr>
        <w:t xml:space="preserve">רבנן דקיסרין בירושלמי </w:t>
      </w:r>
      <w:r w:rsidRPr="00FB451D">
        <w:rPr>
          <w:rStyle w:val="af2"/>
          <w:rFonts w:eastAsia="Guttman Hodes" w:hint="cs"/>
          <w:rtl/>
        </w:rPr>
        <w:t>(פ"ז ה"ב, מח:)</w:t>
      </w:r>
      <w:r>
        <w:rPr>
          <w:rFonts w:hint="cs"/>
          <w:rtl/>
        </w:rPr>
        <w:t xml:space="preserve"> דהצד דגים וכל דבר שמבדילו מחיותו, חייב משום קוצר, הבבלי פליג על זה, כדאמר שמואל בגמ' לקמן </w:t>
      </w:r>
      <w:r w:rsidRPr="00FB451D">
        <w:rPr>
          <w:rStyle w:val="af2"/>
          <w:rFonts w:eastAsia="Guttman Hodes" w:hint="cs"/>
          <w:rtl/>
        </w:rPr>
        <w:t>(קז:)</w:t>
      </w:r>
      <w:r>
        <w:rPr>
          <w:rFonts w:hint="cs"/>
          <w:rtl/>
        </w:rPr>
        <w:t xml:space="preserve"> דחייב משום נטילת נשמה, וכ"כ </w:t>
      </w:r>
      <w:r w:rsidRPr="007F356E">
        <w:rPr>
          <w:rStyle w:val="aff4"/>
          <w:rFonts w:hint="cs"/>
          <w:vanish/>
          <w:rtl/>
        </w:rPr>
        <w:t>-</w:t>
      </w:r>
      <w:r w:rsidRPr="001F02FD">
        <w:rPr>
          <w:rStyle w:val="aff4"/>
          <w:rFonts w:hint="cs"/>
          <w:rtl/>
        </w:rPr>
        <w:t>הרשב"א לקמן</w:t>
      </w:r>
      <w:r w:rsidRPr="007F356E">
        <w:rPr>
          <w:rStyle w:val="aff4"/>
          <w:rFonts w:hint="cs"/>
          <w:vanish/>
          <w:rtl/>
        </w:rPr>
        <w:t>-</w:t>
      </w:r>
      <w:r>
        <w:rPr>
          <w:rFonts w:hint="cs"/>
          <w:rtl/>
        </w:rPr>
        <w:t xml:space="preserve"> בשם </w:t>
      </w:r>
      <w:r w:rsidRPr="007F356E">
        <w:rPr>
          <w:rStyle w:val="aff4"/>
          <w:rFonts w:hint="cs"/>
          <w:vanish/>
          <w:rtl/>
        </w:rPr>
        <w:t>-</w:t>
      </w:r>
      <w:r w:rsidRPr="001F02FD">
        <w:rPr>
          <w:rStyle w:val="aff4"/>
          <w:rFonts w:hint="cs"/>
          <w:rtl/>
        </w:rPr>
        <w:t>הרמב"ן</w:t>
      </w:r>
      <w:r w:rsidRPr="007F356E">
        <w:rPr>
          <w:rStyle w:val="aff4"/>
          <w:rFonts w:hint="cs"/>
          <w:vanish/>
          <w:rtl/>
        </w:rPr>
        <w:t>-</w:t>
      </w:r>
      <w:r>
        <w:rPr>
          <w:rFonts w:hint="cs"/>
          <w:rtl/>
        </w:rPr>
        <w:t xml:space="preserve">. </w:t>
      </w:r>
    </w:p>
    <w:p w14:paraId="38E294BF" w14:textId="77777777" w:rsidR="000426DE" w:rsidRPr="00747170" w:rsidRDefault="000426DE" w:rsidP="00747170">
      <w:pPr>
        <w:pStyle w:val="a2"/>
        <w:rPr>
          <w:rtl/>
        </w:rPr>
      </w:pPr>
      <w:r w:rsidRPr="00747170">
        <w:rPr>
          <w:rtl/>
        </w:rPr>
        <w:t>השוחט חייב ולא שוחט בלבד אלא כל הנוטל נשמה לאחד מכל מיני חיה ובהמה ועוף ודג ושרץ בין בשחיטה בין בנחירה או בהכאה חייב, החונק את החי עד שימות הרי זה תולדת שוחט, לפיכך אם העלה דג מספל של מים והניחו עד שמת חייב משום חונק, ולא עד שימות אלא כיון שיבש בו כסלע בין סנפיריו חייב שעוד אינו יכול לחיות, הושיט ידו למעי הבהמה ודלדל עובר שבמעיה חייב.</w:t>
      </w:r>
    </w:p>
    <w:p w14:paraId="677147DD" w14:textId="77777777" w:rsidR="000426DE" w:rsidRPr="0041766A" w:rsidRDefault="000426DE" w:rsidP="000426DE">
      <w:pPr>
        <w:pStyle w:val="1"/>
        <w:rPr>
          <w:rtl/>
        </w:rPr>
      </w:pPr>
      <w:bookmarkStart w:id="1421" w:name="_Toc139316339"/>
      <w:r>
        <w:rPr>
          <w:rFonts w:hint="cs"/>
          <w:rtl/>
        </w:rPr>
        <w:t>בי' ר"ח בבבלי דמדלדל עובר חייב משום עוקר דבר מגידולו</w:t>
      </w:r>
      <w:bookmarkEnd w:id="1421"/>
    </w:p>
    <w:p w14:paraId="7FDED960" w14:textId="77777777" w:rsidR="000426DE" w:rsidRDefault="000426DE" w:rsidP="000426DE">
      <w:pPr>
        <w:pStyle w:val="afffff7"/>
        <w:rPr>
          <w:rtl/>
        </w:rPr>
      </w:pPr>
      <w:bookmarkStart w:id="1422" w:name="_Toc135513684"/>
      <w:bookmarkStart w:id="1423" w:name="_Toc163505609"/>
      <w:r>
        <w:rPr>
          <w:rtl/>
        </w:rPr>
        <w:t>רבינו חננאל שבת ק</w:t>
      </w:r>
      <w:r>
        <w:rPr>
          <w:rFonts w:hint="cs"/>
          <w:rtl/>
        </w:rPr>
        <w:t>"ז ע"ב ד"ה הא דאמר שמואל</w:t>
      </w:r>
      <w:bookmarkEnd w:id="1422"/>
      <w:bookmarkEnd w:id="1423"/>
    </w:p>
    <w:p w14:paraId="23462DE4" w14:textId="77777777" w:rsidR="000426DE" w:rsidRDefault="000426DE" w:rsidP="000426DE">
      <w:pPr>
        <w:pStyle w:val="a7"/>
        <w:rPr>
          <w:rtl/>
        </w:rPr>
      </w:pPr>
      <w:bookmarkStart w:id="1424" w:name="_Toc139316340"/>
      <w:r>
        <w:rPr>
          <w:rFonts w:hint="cs"/>
          <w:rtl/>
        </w:rPr>
        <w:t>בי' ר"ח בבבלי דהמדלדל עובר חייב משום עוקר דבר מגידולו כתולש כשותא מהיזמי</w:t>
      </w:r>
      <w:bookmarkEnd w:id="1424"/>
    </w:p>
    <w:p w14:paraId="565B3A9A" w14:textId="42645277" w:rsidR="000426DE" w:rsidRPr="00CA2145" w:rsidRDefault="000426DE" w:rsidP="00BC7DC8">
      <w:pPr>
        <w:pStyle w:val="a3"/>
      </w:pPr>
      <w:bookmarkStart w:id="1425" w:name="_Ref134546465"/>
      <w:bookmarkStart w:id="1426" w:name="_Ref134564972"/>
      <w:r>
        <w:rPr>
          <w:rFonts w:hint="cs"/>
          <w:rtl/>
        </w:rPr>
        <w:t xml:space="preserve">בהא דאמר שמואל לקמן </w:t>
      </w:r>
      <w:r w:rsidRPr="00FB451D">
        <w:rPr>
          <w:rStyle w:val="af2"/>
          <w:rFonts w:eastAsia="Guttman Hodes" w:hint="cs"/>
          <w:rtl/>
        </w:rPr>
        <w:t>(קז:)</w:t>
      </w:r>
      <w:r>
        <w:rPr>
          <w:rFonts w:hint="cs"/>
          <w:rtl/>
        </w:rPr>
        <w:t xml:space="preserve"> דהכניס ידו למעי בהמה ודלדל עובר שבמעיה חייב, כתב </w:t>
      </w:r>
      <w:r w:rsidRPr="0041766A">
        <w:rPr>
          <w:rFonts w:hint="cs"/>
          <w:vanish/>
          <w:rtl/>
        </w:rPr>
        <w:t xml:space="preserve">&lt;. </w:t>
      </w:r>
      <w:r w:rsidRPr="0041766A">
        <w:rPr>
          <w:vanish/>
          <w:rtl/>
        </w:rPr>
        <w:fldChar w:fldCharType="begin"/>
      </w:r>
      <w:r w:rsidRPr="0041766A">
        <w:rPr>
          <w:vanish/>
          <w:rtl/>
        </w:rPr>
        <w:instrText xml:space="preserve"> </w:instrText>
      </w:r>
      <w:r w:rsidRPr="0041766A">
        <w:rPr>
          <w:rFonts w:hint="cs"/>
          <w:vanish/>
        </w:rPr>
        <w:instrText>REF</w:instrText>
      </w:r>
      <w:r w:rsidRPr="0041766A">
        <w:rPr>
          <w:rFonts w:hint="cs"/>
          <w:vanish/>
          <w:rtl/>
        </w:rPr>
        <w:instrText xml:space="preserve"> _</w:instrText>
      </w:r>
      <w:r w:rsidRPr="0041766A">
        <w:rPr>
          <w:rFonts w:hint="cs"/>
          <w:vanish/>
        </w:rPr>
        <w:instrText>Ref134546465 \r \h</w:instrText>
      </w:r>
      <w:r w:rsidRPr="0041766A">
        <w:rPr>
          <w:vanish/>
          <w:rtl/>
        </w:rPr>
        <w:instrText xml:space="preserve"> </w:instrText>
      </w:r>
      <w:r w:rsidRPr="0041766A">
        <w:rPr>
          <w:vanish/>
          <w:rtl/>
        </w:rPr>
      </w:r>
      <w:r w:rsidRPr="0041766A">
        <w:rPr>
          <w:vanish/>
          <w:rtl/>
        </w:rPr>
        <w:fldChar w:fldCharType="separate"/>
      </w:r>
      <w:r w:rsidR="00D82181">
        <w:rPr>
          <w:vanish/>
          <w:cs/>
        </w:rPr>
        <w:t>‎</w:t>
      </w:r>
      <w:r w:rsidR="00D82181">
        <w:rPr>
          <w:vanish/>
          <w:rtl/>
        </w:rPr>
        <w:t>כב)</w:t>
      </w:r>
      <w:r w:rsidRPr="0041766A">
        <w:rPr>
          <w:vanish/>
          <w:rtl/>
        </w:rPr>
        <w:fldChar w:fldCharType="end"/>
      </w:r>
      <w:r w:rsidRPr="0041766A">
        <w:rPr>
          <w:rFonts w:hint="cs"/>
          <w:vanish/>
          <w:rtl/>
        </w:rPr>
        <w:t xml:space="preserve"> &gt;</w:t>
      </w:r>
      <w:r w:rsidRPr="0041766A">
        <w:rPr>
          <w:rStyle w:val="aff4"/>
          <w:rFonts w:hint="cs"/>
          <w:vanish/>
          <w:rtl/>
        </w:rPr>
        <w:t>-</w:t>
      </w:r>
      <w:r w:rsidRPr="00BB1491">
        <w:rPr>
          <w:rStyle w:val="aff4"/>
          <w:rFonts w:hint="cs"/>
          <w:rtl/>
        </w:rPr>
        <w:t>ר"ח לקמן</w:t>
      </w:r>
      <w:r w:rsidRPr="0041766A">
        <w:rPr>
          <w:rStyle w:val="aff4"/>
          <w:rFonts w:hint="cs"/>
          <w:vanish/>
          <w:rtl/>
        </w:rPr>
        <w:t>-</w:t>
      </w:r>
      <w:r>
        <w:rPr>
          <w:rFonts w:hint="cs"/>
          <w:rtl/>
        </w:rPr>
        <w:t xml:space="preserve"> </w:t>
      </w:r>
      <w:r w:rsidRPr="00FB451D">
        <w:rPr>
          <w:rStyle w:val="af2"/>
          <w:rFonts w:eastAsia="Guttman Hodes" w:hint="cs"/>
          <w:rtl/>
        </w:rPr>
        <w:t>(קז:, קח. ד"ה הא דאמר שמואל)</w:t>
      </w:r>
      <w:r w:rsidRPr="0041766A">
        <w:rPr>
          <w:rFonts w:hint="cs"/>
          <w:vanish/>
          <w:rtl/>
        </w:rPr>
        <w:t>=</w:t>
      </w:r>
      <w:bookmarkEnd w:id="1425"/>
      <w:r>
        <w:rPr>
          <w:rFonts w:hint="cs"/>
          <w:rtl/>
        </w:rPr>
        <w:t xml:space="preserve"> דמסקנת הגמ' דחייב משום עוקר דבר מגידולו, כתולש כשותא מהיזמי, וכמבואר בגמ' בעירובין </w:t>
      </w:r>
      <w:r w:rsidRPr="00FB451D">
        <w:rPr>
          <w:rStyle w:val="af2"/>
          <w:rFonts w:eastAsia="Guttman Hodes" w:hint="cs"/>
          <w:rtl/>
        </w:rPr>
        <w:t>(כח:)</w:t>
      </w:r>
      <w:r>
        <w:rPr>
          <w:rFonts w:hint="cs"/>
          <w:rtl/>
        </w:rPr>
        <w:t xml:space="preserve"> </w:t>
      </w:r>
      <w:r>
        <w:rPr>
          <w:rtl/>
        </w:rPr>
        <w:t>ד</w:t>
      </w:r>
      <w:r>
        <w:rPr>
          <w:rFonts w:hint="cs"/>
          <w:rtl/>
        </w:rPr>
        <w:t>כש</w:t>
      </w:r>
      <w:r>
        <w:rPr>
          <w:rtl/>
        </w:rPr>
        <w:t>קטלינן להיזמ</w:t>
      </w:r>
      <w:r>
        <w:rPr>
          <w:rFonts w:hint="cs"/>
          <w:rtl/>
        </w:rPr>
        <w:t>י</w:t>
      </w:r>
      <w:r>
        <w:rPr>
          <w:rtl/>
        </w:rPr>
        <w:t xml:space="preserve"> </w:t>
      </w:r>
      <w:r>
        <w:rPr>
          <w:rFonts w:hint="cs"/>
          <w:rtl/>
        </w:rPr>
        <w:t>הכשות מתייבשת.</w:t>
      </w:r>
      <w:bookmarkEnd w:id="1426"/>
    </w:p>
    <w:p w14:paraId="04E3F752" w14:textId="77777777" w:rsidR="000426DE" w:rsidRPr="00747170" w:rsidRDefault="000426DE" w:rsidP="00747170">
      <w:pPr>
        <w:pStyle w:val="a2"/>
        <w:rPr>
          <w:rtl/>
        </w:rPr>
      </w:pPr>
      <w:r w:rsidRPr="00747170">
        <w:rPr>
          <w:rtl/>
        </w:rPr>
        <w:t>הא דאמר שמואל הכניס ידו למעי בהמה ודלדל עובר שבמעיה חייב ואסיקנא חיוביה משום עוקר דבר מגידולו כדרב ששת דמאן דתלש [כשותא] מהיזמי והיגי [חייב] ומפרש בפ' בכל מערבין דקטלין לה להיזמתא ויבשה כשותא:</w:t>
      </w:r>
    </w:p>
    <w:p w14:paraId="3893C24E" w14:textId="77777777" w:rsidR="000426DE" w:rsidRDefault="000426DE" w:rsidP="000426DE">
      <w:pPr>
        <w:pStyle w:val="afffff7"/>
        <w:rPr>
          <w:rtl/>
        </w:rPr>
      </w:pPr>
      <w:bookmarkStart w:id="1427" w:name="_Toc135513685"/>
      <w:bookmarkStart w:id="1428" w:name="_Toc163505610"/>
      <w:r>
        <w:rPr>
          <w:rtl/>
        </w:rPr>
        <w:t>מאירי שבת ק"ז ע"ב</w:t>
      </w:r>
      <w:r>
        <w:rPr>
          <w:rFonts w:hint="cs"/>
          <w:rtl/>
        </w:rPr>
        <w:t xml:space="preserve"> ד"ה הושיט</w:t>
      </w:r>
      <w:bookmarkEnd w:id="1427"/>
      <w:bookmarkEnd w:id="1428"/>
    </w:p>
    <w:p w14:paraId="1792090C" w14:textId="77777777" w:rsidR="000426DE" w:rsidRDefault="000426DE" w:rsidP="000426DE">
      <w:pPr>
        <w:pStyle w:val="a7"/>
        <w:rPr>
          <w:rtl/>
        </w:rPr>
      </w:pPr>
      <w:bookmarkStart w:id="1429" w:name="_Toc139316341"/>
      <w:r>
        <w:rPr>
          <w:rFonts w:hint="cs"/>
          <w:rtl/>
        </w:rPr>
        <w:t>בי' המאירי דמדלדל עובר חייב משום עוקר דבר מגידולו אף שלא מת דבמת חייב בנטילת נשמה</w:t>
      </w:r>
      <w:bookmarkEnd w:id="1429"/>
    </w:p>
    <w:p w14:paraId="5871DB9D" w14:textId="57CA6057" w:rsidR="000426DE" w:rsidRPr="00050D03" w:rsidRDefault="000426DE" w:rsidP="00BC7DC8">
      <w:pPr>
        <w:pStyle w:val="a3"/>
        <w:rPr>
          <w:rtl/>
        </w:rPr>
      </w:pPr>
      <w:r>
        <w:rPr>
          <w:rFonts w:hint="cs"/>
          <w:rtl/>
        </w:rPr>
        <w:t xml:space="preserve">כתב </w:t>
      </w:r>
      <w:r w:rsidRPr="00100B8E">
        <w:rPr>
          <w:rStyle w:val="aff4"/>
          <w:rFonts w:hint="cs"/>
          <w:vanish/>
          <w:rtl/>
        </w:rPr>
        <w:t>-</w:t>
      </w:r>
      <w:r w:rsidRPr="00335C9B">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Ref134525459 \r \h</w:instrText>
      </w:r>
      <w:r w:rsidRPr="00B53404">
        <w:rPr>
          <w:rStyle w:val="aff4"/>
          <w:vanish/>
          <w:rtl/>
        </w:rPr>
        <w:instrText xml:space="preserve">  \* </w:instrText>
      </w:r>
      <w:r w:rsidRPr="00B53404">
        <w:rPr>
          <w:rStyle w:val="aff4"/>
          <w:vanish/>
        </w:rPr>
        <w:instrText>MERGEFORMAT</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כח)</w:t>
      </w:r>
      <w:r w:rsidRPr="00B53404">
        <w:rPr>
          <w:rStyle w:val="aff4"/>
          <w:vanish/>
          <w:rtl/>
        </w:rPr>
        <w:fldChar w:fldCharType="end"/>
      </w:r>
      <w:r w:rsidRPr="00B53404">
        <w:rPr>
          <w:rStyle w:val="aff4"/>
          <w:rFonts w:hint="cs"/>
          <w:vanish/>
          <w:rtl/>
        </w:rPr>
        <w:t xml:space="preserve"> &gt;</w:t>
      </w:r>
      <w:r w:rsidRPr="00335C9B">
        <w:rPr>
          <w:rStyle w:val="aff4"/>
          <w:rFonts w:hint="cs"/>
          <w:rtl/>
        </w:rPr>
        <w:t>מאירי לקמן</w:t>
      </w:r>
      <w:r w:rsidRPr="00100B8E">
        <w:rPr>
          <w:rStyle w:val="aff4"/>
          <w:rFonts w:hint="cs"/>
          <w:vanish/>
          <w:rtl/>
        </w:rPr>
        <w:t>-</w:t>
      </w:r>
      <w:r>
        <w:rPr>
          <w:rFonts w:hint="cs"/>
          <w:rtl/>
        </w:rPr>
        <w:t xml:space="preserve"> </w:t>
      </w:r>
      <w:r w:rsidRPr="00FB451D">
        <w:rPr>
          <w:rStyle w:val="af2"/>
          <w:rFonts w:eastAsia="Guttman Hodes" w:hint="cs"/>
          <w:rtl/>
        </w:rPr>
        <w:t>(קז: ד"ה הושיט)</w:t>
      </w:r>
      <w:r w:rsidRPr="004A7379">
        <w:rPr>
          <w:rFonts w:hint="cs"/>
          <w:vanish/>
          <w:rtl/>
        </w:rPr>
        <w:t>=</w:t>
      </w:r>
      <w:r>
        <w:rPr>
          <w:rFonts w:hint="cs"/>
          <w:rtl/>
        </w:rPr>
        <w:t xml:space="preserve"> דהחיוב במדלדל עובר במעי בהמה הוא משום עוקר דבר מגידולו, אף שלא הוציאו ואעפ"י שלא מת, דאם הוא מת חייב משום נטילת נשמה, אך הביא </w:t>
      </w:r>
      <w:r w:rsidRPr="00100B8E">
        <w:rPr>
          <w:rStyle w:val="aff4"/>
          <w:rFonts w:hint="cs"/>
          <w:vanish/>
          <w:rtl/>
        </w:rPr>
        <w:t>-</w:t>
      </w:r>
      <w:r w:rsidRPr="00335C9B">
        <w:rPr>
          <w:rStyle w:val="aff4"/>
          <w:rFonts w:hint="cs"/>
          <w:rtl/>
        </w:rPr>
        <w:t>המאירי לקמן</w:t>
      </w:r>
      <w:r w:rsidRPr="00100B8E">
        <w:rPr>
          <w:rStyle w:val="aff4"/>
          <w:rFonts w:hint="cs"/>
          <w:vanish/>
          <w:rtl/>
        </w:rPr>
        <w:t>-</w:t>
      </w:r>
      <w:r>
        <w:rPr>
          <w:rFonts w:hint="cs"/>
          <w:rtl/>
        </w:rPr>
        <w:t xml:space="preserve"> בשם </w:t>
      </w:r>
      <w:r w:rsidRPr="00100B8E">
        <w:rPr>
          <w:rStyle w:val="aff4"/>
          <w:rFonts w:hint="cs"/>
          <w:vanish/>
          <w:rtl/>
        </w:rPr>
        <w:t>-</w:t>
      </w:r>
      <w:r w:rsidRPr="00335C9B">
        <w:rPr>
          <w:rStyle w:val="aff4"/>
          <w:rFonts w:hint="cs"/>
          <w:rtl/>
        </w:rPr>
        <w:t>גדולי הדורות</w:t>
      </w:r>
      <w:r w:rsidRPr="00100B8E">
        <w:rPr>
          <w:rStyle w:val="aff4"/>
          <w:rFonts w:hint="cs"/>
          <w:vanish/>
          <w:rtl/>
        </w:rPr>
        <w:t>-</w:t>
      </w:r>
      <w:r>
        <w:rPr>
          <w:rFonts w:hint="cs"/>
          <w:rtl/>
        </w:rPr>
        <w:t xml:space="preserve"> דביארו דאף במת העובר אין בו חיוב משום נטילת נשמה, כדכתי' "לא יהיה אסון".</w:t>
      </w:r>
    </w:p>
    <w:p w14:paraId="2302F01A" w14:textId="77777777" w:rsidR="000426DE" w:rsidRPr="00747170" w:rsidRDefault="000426DE" w:rsidP="00747170">
      <w:pPr>
        <w:pStyle w:val="a2"/>
        <w:rPr>
          <w:rtl/>
        </w:rPr>
      </w:pPr>
      <w:r w:rsidRPr="00747170">
        <w:rPr>
          <w:rtl/>
        </w:rPr>
        <w:t>הושיט ידו למעי הבהמה ודלדל עובר שבמעיה ר"ל שעקרו ממקומו אף על פי שלא הוציאו חייב משום עוקר דבר מגדולו ואפי' לא מת שאלו מת הרי חייב משום נטילת נשמה ומ"מ גדולי הדורות מפרשים אותה אף במת ואינו חייב משום נטילת נשמה שכל שלא נולד אינו ראוי לומר בו נטילת נשמה כדכתיב ולא יהיה אסון ונמצא שאם הכה את האשה והפילה אינו חייב משום נטילת נשמה:</w:t>
      </w:r>
    </w:p>
    <w:p w14:paraId="42C1D5A9" w14:textId="77777777" w:rsidR="000426DE" w:rsidRDefault="000426DE" w:rsidP="000426DE">
      <w:pPr>
        <w:pStyle w:val="affff5"/>
        <w:rPr>
          <w:rtl/>
        </w:rPr>
      </w:pPr>
      <w:bookmarkStart w:id="1430" w:name="_Toc139316342"/>
      <w:bookmarkStart w:id="1431" w:name="_Toc135237721"/>
      <w:bookmarkEnd w:id="1409"/>
      <w:r>
        <w:rPr>
          <w:rFonts w:hint="cs"/>
          <w:rtl/>
        </w:rPr>
        <w:t>בד' הבבלי והירו' בחולב אי מפסיק חיות</w:t>
      </w:r>
      <w:bookmarkEnd w:id="1430"/>
      <w:r w:rsidRPr="002439C9">
        <w:rPr>
          <w:vanish/>
          <w:rtl/>
        </w:rPr>
        <w:t>&lt; # =</w:t>
      </w:r>
    </w:p>
    <w:p w14:paraId="212E816C" w14:textId="77777777" w:rsidR="000426DE" w:rsidRPr="00C51AB6" w:rsidRDefault="000426DE" w:rsidP="000426DE">
      <w:pPr>
        <w:pStyle w:val="1"/>
        <w:rPr>
          <w:rtl/>
        </w:rPr>
      </w:pPr>
      <w:bookmarkStart w:id="1432" w:name="_Toc139316343"/>
      <w:r>
        <w:rPr>
          <w:rFonts w:hint="cs"/>
          <w:rtl/>
        </w:rPr>
        <w:t>בי' הראשונים בבבלי דחולב הוא מפרק דתולדה דדש</w:t>
      </w:r>
      <w:bookmarkEnd w:id="1432"/>
      <w:r>
        <w:rPr>
          <w:rFonts w:hint="cs"/>
          <w:rtl/>
        </w:rPr>
        <w:t xml:space="preserve"> </w:t>
      </w:r>
      <w:bookmarkEnd w:id="1431"/>
    </w:p>
    <w:p w14:paraId="1027DB96" w14:textId="77777777" w:rsidR="000426DE" w:rsidRDefault="000426DE" w:rsidP="000426DE">
      <w:pPr>
        <w:pStyle w:val="afffff7"/>
        <w:rPr>
          <w:rtl/>
        </w:rPr>
      </w:pPr>
      <w:bookmarkStart w:id="1433" w:name="_Toc135237781"/>
      <w:bookmarkStart w:id="1434" w:name="_Toc135513686"/>
      <w:bookmarkStart w:id="1435" w:name="_Toc163505611"/>
      <w:r>
        <w:rPr>
          <w:rtl/>
        </w:rPr>
        <w:t>רש"י שבת צ"ה ע"א</w:t>
      </w:r>
      <w:r>
        <w:rPr>
          <w:rFonts w:hint="cs"/>
          <w:rtl/>
        </w:rPr>
        <w:t xml:space="preserve"> ד"ה מפרק</w:t>
      </w:r>
      <w:bookmarkEnd w:id="1433"/>
      <w:bookmarkEnd w:id="1434"/>
      <w:bookmarkEnd w:id="1435"/>
    </w:p>
    <w:p w14:paraId="641FCAAE" w14:textId="77777777" w:rsidR="000426DE" w:rsidRDefault="000426DE" w:rsidP="000426DE">
      <w:pPr>
        <w:pStyle w:val="afffff7"/>
        <w:rPr>
          <w:rtl/>
        </w:rPr>
      </w:pPr>
      <w:bookmarkStart w:id="1436" w:name="_Toc135237782"/>
      <w:bookmarkStart w:id="1437" w:name="_Toc135513687"/>
      <w:bookmarkStart w:id="1438" w:name="_Toc163505612"/>
      <w:r>
        <w:rPr>
          <w:rtl/>
        </w:rPr>
        <w:t>תוספות שבת צ"ה ע"א</w:t>
      </w:r>
      <w:bookmarkEnd w:id="1436"/>
      <w:bookmarkEnd w:id="1437"/>
      <w:bookmarkEnd w:id="1438"/>
    </w:p>
    <w:p w14:paraId="32AF501A" w14:textId="77777777" w:rsidR="000426DE" w:rsidRDefault="000426DE" w:rsidP="000426DE">
      <w:pPr>
        <w:pStyle w:val="a7"/>
        <w:rPr>
          <w:rtl/>
        </w:rPr>
      </w:pPr>
      <w:bookmarkStart w:id="1439" w:name="_Toc139316344"/>
      <w:r>
        <w:rPr>
          <w:rFonts w:hint="cs"/>
          <w:rtl/>
        </w:rPr>
        <w:t>בי' רש"י  ותוס' והרמב"ם דהא דאמרינן החולב חייב משום מפרק היינו דהוא תולדה דדש</w:t>
      </w:r>
      <w:bookmarkEnd w:id="1439"/>
    </w:p>
    <w:p w14:paraId="0AA0B596" w14:textId="6748A933" w:rsidR="000426DE" w:rsidRDefault="000426DE" w:rsidP="00BC7DC8">
      <w:pPr>
        <w:pStyle w:val="a3"/>
      </w:pPr>
      <w:bookmarkStart w:id="1440" w:name="_Ref135405406"/>
      <w:bookmarkStart w:id="1441" w:name="_Ref134695257"/>
      <w:r>
        <w:rPr>
          <w:rFonts w:hint="cs"/>
          <w:rtl/>
        </w:rPr>
        <w:t xml:space="preserve">בהא דאיתא בגמ' לקמן </w:t>
      </w:r>
      <w:r w:rsidRPr="00FB451D">
        <w:rPr>
          <w:rStyle w:val="af2"/>
          <w:rFonts w:eastAsia="Guttman Hodes" w:hint="cs"/>
          <w:rtl/>
        </w:rPr>
        <w:t>(צה.)</w:t>
      </w:r>
      <w:r>
        <w:rPr>
          <w:rFonts w:hint="cs"/>
          <w:rtl/>
        </w:rPr>
        <w:t xml:space="preserve"> דחולב חייב משום מפרק, ביארו </w:t>
      </w:r>
      <w:r w:rsidRPr="00B53404">
        <w:rPr>
          <w:rFonts w:hint="cs"/>
          <w:vanish/>
          <w:rtl/>
        </w:rPr>
        <w:t xml:space="preserve">&lt;. </w:t>
      </w:r>
      <w:r w:rsidRPr="00B53404">
        <w:rPr>
          <w:vanish/>
          <w:rtl/>
        </w:rPr>
        <w:fldChar w:fldCharType="begin"/>
      </w:r>
      <w:r w:rsidRPr="00B53404">
        <w:rPr>
          <w:vanish/>
          <w:rtl/>
        </w:rPr>
        <w:instrText xml:space="preserve"> </w:instrText>
      </w:r>
      <w:r w:rsidRPr="00B53404">
        <w:rPr>
          <w:rFonts w:hint="cs"/>
          <w:vanish/>
        </w:rPr>
        <w:instrText>REF</w:instrText>
      </w:r>
      <w:r w:rsidRPr="00B53404">
        <w:rPr>
          <w:rFonts w:hint="cs"/>
          <w:vanish/>
          <w:rtl/>
        </w:rPr>
        <w:instrText xml:space="preserve"> _</w:instrText>
      </w:r>
      <w:r w:rsidRPr="00B53404">
        <w:rPr>
          <w:rFonts w:hint="cs"/>
          <w:vanish/>
        </w:rPr>
        <w:instrText>Ref134695257 \r \h</w:instrText>
      </w:r>
      <w:r w:rsidRPr="00B53404">
        <w:rPr>
          <w:vanish/>
          <w:rtl/>
        </w:rPr>
        <w:instrText xml:space="preserve">  \* </w:instrText>
      </w:r>
      <w:r w:rsidRPr="00B53404">
        <w:rPr>
          <w:vanish/>
        </w:rPr>
        <w:instrText>MERGEFORMAT</w:instrText>
      </w:r>
      <w:r w:rsidRPr="00B53404">
        <w:rPr>
          <w:vanish/>
          <w:rtl/>
        </w:rPr>
        <w:instrText xml:space="preserve"> </w:instrText>
      </w:r>
      <w:r w:rsidRPr="00B53404">
        <w:rPr>
          <w:vanish/>
          <w:rtl/>
        </w:rPr>
      </w:r>
      <w:r w:rsidRPr="00B53404">
        <w:rPr>
          <w:vanish/>
          <w:rtl/>
        </w:rPr>
        <w:fldChar w:fldCharType="separate"/>
      </w:r>
      <w:r w:rsidR="00D82181">
        <w:rPr>
          <w:vanish/>
          <w:cs/>
        </w:rPr>
        <w:t>‎</w:t>
      </w:r>
      <w:r w:rsidR="00D82181">
        <w:rPr>
          <w:vanish/>
          <w:rtl/>
        </w:rPr>
        <w:t>כד)</w:t>
      </w:r>
      <w:r w:rsidRPr="00B53404">
        <w:rPr>
          <w:vanish/>
          <w:rtl/>
        </w:rPr>
        <w:fldChar w:fldCharType="end"/>
      </w:r>
      <w:r w:rsidRPr="00B53404">
        <w:rPr>
          <w:rFonts w:hint="cs"/>
          <w:vanish/>
          <w:rtl/>
        </w:rPr>
        <w:t xml:space="preserve"> &gt;</w:t>
      </w:r>
      <w:r w:rsidRPr="00C65D8D">
        <w:rPr>
          <w:rStyle w:val="aff4"/>
          <w:rFonts w:hint="cs"/>
          <w:vanish/>
          <w:rtl/>
        </w:rPr>
        <w:t>-</w:t>
      </w:r>
      <w:r w:rsidRPr="00C65D8D">
        <w:rPr>
          <w:rStyle w:val="aff4"/>
          <w:rFonts w:hint="cs"/>
          <w:rtl/>
        </w:rPr>
        <w:t>רש"י לקמן</w:t>
      </w:r>
      <w:r w:rsidRPr="00C65D8D">
        <w:rPr>
          <w:rStyle w:val="aff4"/>
          <w:rFonts w:hint="cs"/>
          <w:vanish/>
          <w:rtl/>
        </w:rPr>
        <w:t>-</w:t>
      </w:r>
      <w:r>
        <w:rPr>
          <w:rFonts w:hint="cs"/>
          <w:rtl/>
        </w:rPr>
        <w:t xml:space="preserve"> </w:t>
      </w:r>
      <w:r w:rsidRPr="00FB451D">
        <w:rPr>
          <w:rStyle w:val="af2"/>
          <w:rFonts w:eastAsia="Guttman Hodes" w:hint="cs"/>
          <w:rtl/>
        </w:rPr>
        <w:t>(צה. ד"ה מפרק)</w:t>
      </w:r>
      <w:r w:rsidRPr="00C65D8D">
        <w:rPr>
          <w:rFonts w:hint="cs"/>
          <w:vanish/>
          <w:rtl/>
        </w:rPr>
        <w:t>=</w:t>
      </w:r>
      <w:r>
        <w:rPr>
          <w:rFonts w:hint="cs"/>
          <w:rtl/>
        </w:rPr>
        <w:t xml:space="preserve"> </w:t>
      </w:r>
      <w:r w:rsidRPr="00C65D8D">
        <w:rPr>
          <w:rStyle w:val="aff4"/>
          <w:rFonts w:hint="cs"/>
          <w:vanish/>
          <w:rtl/>
        </w:rPr>
        <w:t>-</w:t>
      </w:r>
      <w:r w:rsidRPr="00C65D8D">
        <w:rPr>
          <w:rStyle w:val="aff4"/>
          <w:rFonts w:hint="cs"/>
          <w:rtl/>
        </w:rPr>
        <w:t>וה</w:t>
      </w:r>
      <w:r w:rsidRPr="00B53404">
        <w:rPr>
          <w:rStyle w:val="aff4"/>
          <w:rFonts w:hint="cs"/>
          <w:vanish/>
          <w:rtl/>
        </w:rPr>
        <w:t>&lt; &gt;</w:t>
      </w:r>
      <w:r w:rsidRPr="00C65D8D">
        <w:rPr>
          <w:rStyle w:val="aff4"/>
          <w:rFonts w:hint="cs"/>
          <w:rtl/>
        </w:rPr>
        <w:t>תוס' לקמן</w:t>
      </w:r>
      <w:r w:rsidRPr="00C65D8D">
        <w:rPr>
          <w:rStyle w:val="aff4"/>
          <w:rFonts w:hint="cs"/>
          <w:vanish/>
          <w:rtl/>
        </w:rPr>
        <w:t>-</w:t>
      </w:r>
      <w:r>
        <w:rPr>
          <w:rFonts w:hint="cs"/>
          <w:rtl/>
        </w:rPr>
        <w:t xml:space="preserve"> </w:t>
      </w:r>
      <w:r w:rsidRPr="00FB451D">
        <w:rPr>
          <w:rStyle w:val="af2"/>
          <w:rFonts w:eastAsia="Guttman Hodes" w:hint="cs"/>
          <w:rtl/>
        </w:rPr>
        <w:t>(צה. ד"ה החולב)</w:t>
      </w:r>
      <w:r w:rsidRPr="00C65D8D">
        <w:rPr>
          <w:rFonts w:hint="cs"/>
          <w:vanish/>
          <w:rtl/>
        </w:rPr>
        <w:t>=</w:t>
      </w:r>
      <w:r>
        <w:rPr>
          <w:rFonts w:hint="cs"/>
          <w:rtl/>
        </w:rPr>
        <w:t xml:space="preserve"> </w:t>
      </w:r>
      <w:r w:rsidRPr="00C65D8D">
        <w:rPr>
          <w:rStyle w:val="aff4"/>
          <w:rFonts w:hint="cs"/>
          <w:vanish/>
          <w:rtl/>
        </w:rPr>
        <w:t>-</w:t>
      </w:r>
      <w:r w:rsidRPr="00C65D8D">
        <w:rPr>
          <w:rStyle w:val="aff4"/>
          <w:rFonts w:hint="cs"/>
          <w:rtl/>
        </w:rPr>
        <w:t>וה</w:t>
      </w:r>
      <w:r w:rsidRPr="00B53404">
        <w:rPr>
          <w:rStyle w:val="aff4"/>
          <w:rFonts w:hint="cs"/>
          <w:vanish/>
          <w:rtl/>
        </w:rPr>
        <w:t>&lt; &gt;</w:t>
      </w:r>
      <w:r w:rsidRPr="00C65D8D">
        <w:rPr>
          <w:rStyle w:val="aff4"/>
          <w:rFonts w:hint="cs"/>
          <w:rtl/>
        </w:rPr>
        <w:t>רמב"ם</w:t>
      </w:r>
      <w:r w:rsidRPr="00C65D8D">
        <w:rPr>
          <w:rStyle w:val="aff4"/>
          <w:rFonts w:hint="cs"/>
          <w:vanish/>
          <w:rtl/>
        </w:rPr>
        <w:t>-</w:t>
      </w:r>
      <w:r>
        <w:rPr>
          <w:rFonts w:hint="cs"/>
          <w:rtl/>
        </w:rPr>
        <w:t xml:space="preserve"> </w:t>
      </w:r>
      <w:r w:rsidRPr="00FB451D">
        <w:rPr>
          <w:rStyle w:val="af2"/>
          <w:rFonts w:eastAsia="Guttman Hodes" w:hint="cs"/>
          <w:rtl/>
        </w:rPr>
        <w:t>(שבת פ"ח ה"ז)</w:t>
      </w:r>
      <w:r w:rsidRPr="00C65D8D">
        <w:rPr>
          <w:rFonts w:hint="cs"/>
          <w:vanish/>
          <w:rtl/>
        </w:rPr>
        <w:t>=</w:t>
      </w:r>
      <w:r>
        <w:rPr>
          <w:rFonts w:hint="cs"/>
          <w:rtl/>
        </w:rPr>
        <w:t xml:space="preserve"> דהוא תולדה דדש, ועי' במה שביארו </w:t>
      </w:r>
      <w:r w:rsidRPr="000D4E5E">
        <w:rPr>
          <w:rStyle w:val="aff4"/>
          <w:rFonts w:hint="cs"/>
          <w:vanish/>
          <w:rtl/>
        </w:rPr>
        <w:t>-</w:t>
      </w:r>
      <w:r w:rsidRPr="00572920">
        <w:rPr>
          <w:rStyle w:val="aff4"/>
          <w:rFonts w:hint="cs"/>
          <w:rtl/>
        </w:rPr>
        <w:t>ה</w:t>
      </w:r>
      <w:r>
        <w:rPr>
          <w:rStyle w:val="aff4"/>
          <w:rFonts w:hint="cs"/>
          <w:rtl/>
        </w:rPr>
        <w:t>מהרי"ט אלגאזי</w:t>
      </w:r>
      <w:r w:rsidRPr="00572920">
        <w:rPr>
          <w:rStyle w:val="aff4"/>
          <w:rFonts w:hint="cs"/>
          <w:rtl/>
        </w:rPr>
        <w:t xml:space="preserve"> ב</w:t>
      </w:r>
      <w:r>
        <w:rPr>
          <w:rStyle w:val="aff4"/>
          <w:rFonts w:hint="cs"/>
          <w:rtl/>
        </w:rPr>
        <w:t>ב</w:t>
      </w:r>
      <w:r w:rsidRPr="00572920">
        <w:rPr>
          <w:rStyle w:val="aff4"/>
          <w:rFonts w:hint="cs"/>
          <w:rtl/>
        </w:rPr>
        <w:t>כורות</w:t>
      </w:r>
      <w:r w:rsidRPr="000D4E5E">
        <w:rPr>
          <w:rStyle w:val="aff4"/>
          <w:rFonts w:hint="cs"/>
          <w:vanish/>
          <w:rtl/>
        </w:rPr>
        <w:t>-</w:t>
      </w:r>
      <w:r>
        <w:rPr>
          <w:rFonts w:hint="cs"/>
          <w:rtl/>
        </w:rPr>
        <w:t xml:space="preserve"> </w:t>
      </w:r>
      <w:r>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Ref135325795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ו)</w:t>
      </w:r>
      <w:r>
        <w:rPr>
          <w:rStyle w:val="af2"/>
          <w:rFonts w:eastAsia="Guttman Hodes"/>
          <w:rtl/>
        </w:rPr>
        <w:fldChar w:fldCharType="end"/>
      </w:r>
      <w:r>
        <w:rPr>
          <w:rStyle w:val="af2"/>
          <w:rFonts w:eastAsia="Guttman Hodes" w:hint="cs"/>
          <w:rtl/>
        </w:rPr>
        <w:t xml:space="preserve"> </w:t>
      </w:r>
      <w:r w:rsidRPr="00C65D8D">
        <w:rPr>
          <w:rStyle w:val="aff4"/>
          <w:rFonts w:hint="cs"/>
          <w:vanish/>
          <w:rtl/>
        </w:rPr>
        <w:t>-</w:t>
      </w:r>
      <w:r>
        <w:rPr>
          <w:rStyle w:val="aff4"/>
          <w:rFonts w:hint="cs"/>
          <w:rtl/>
        </w:rPr>
        <w:t>ו</w:t>
      </w:r>
      <w:r w:rsidRPr="00C65D8D">
        <w:rPr>
          <w:rStyle w:val="aff4"/>
          <w:rFonts w:hint="cs"/>
          <w:rtl/>
        </w:rPr>
        <w:t>הדבר אברהם</w:t>
      </w:r>
      <w:r w:rsidRPr="00C65D8D">
        <w:rPr>
          <w:rStyle w:val="aff4"/>
          <w:rFonts w:hint="cs"/>
          <w:vanish/>
          <w:rtl/>
        </w:rPr>
        <w:t>-</w:t>
      </w:r>
      <w:r>
        <w:rPr>
          <w:rFonts w:hint="cs"/>
          <w:rtl/>
        </w:rPr>
        <w:t xml:space="preserve"> </w:t>
      </w:r>
      <w:r w:rsidRPr="00FB451D">
        <w:rPr>
          <w:rStyle w:val="af2"/>
          <w:rFonts w:eastAsia="Guttman Hodes" w:hint="cs"/>
          <w:rtl/>
        </w:rPr>
        <w:t xml:space="preserve">(עי' אות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Ref134721323 \r \h</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עח)</w:t>
      </w:r>
      <w:r w:rsidRPr="00FB451D">
        <w:rPr>
          <w:rStyle w:val="af2"/>
          <w:rFonts w:eastAsia="Guttman Hodes"/>
          <w:rtl/>
        </w:rPr>
        <w:fldChar w:fldCharType="end"/>
      </w:r>
      <w:r>
        <w:rPr>
          <w:rFonts w:hint="cs"/>
          <w:rtl/>
        </w:rPr>
        <w:t xml:space="preserve"> בדעת </w:t>
      </w:r>
      <w:r w:rsidRPr="00C65D8D">
        <w:rPr>
          <w:rStyle w:val="aff4"/>
          <w:rFonts w:hint="cs"/>
          <w:vanish/>
          <w:rtl/>
        </w:rPr>
        <w:t>-</w:t>
      </w:r>
      <w:r w:rsidRPr="00C65D8D">
        <w:rPr>
          <w:rStyle w:val="aff4"/>
          <w:rFonts w:hint="cs"/>
          <w:rtl/>
        </w:rPr>
        <w:t>רש"י</w:t>
      </w:r>
      <w:r>
        <w:rPr>
          <w:rFonts w:hint="cs"/>
          <w:rtl/>
        </w:rPr>
        <w:t>.</w:t>
      </w:r>
      <w:bookmarkEnd w:id="1440"/>
    </w:p>
    <w:p w14:paraId="5263018D" w14:textId="77777777" w:rsidR="000426DE" w:rsidRPr="00747170" w:rsidRDefault="000426DE" w:rsidP="00747170">
      <w:pPr>
        <w:pStyle w:val="a2"/>
        <w:rPr>
          <w:rtl/>
        </w:rPr>
      </w:pPr>
      <w:r w:rsidRPr="00747170">
        <w:rPr>
          <w:rtl/>
        </w:rPr>
        <w:t>מפרק - כמו מפרק משאוי, שפורק אוכל ממקום שנתכסה בו, והוי תולדת דש</w:t>
      </w:r>
      <w:r w:rsidRPr="00747170">
        <w:rPr>
          <w:rFonts w:hint="cs"/>
          <w:rtl/>
        </w:rPr>
        <w:t>.</w:t>
      </w:r>
    </w:p>
    <w:p w14:paraId="3B3F51B2" w14:textId="77777777" w:rsidR="000426DE" w:rsidRPr="00C81EF0" w:rsidRDefault="000426DE" w:rsidP="00747170">
      <w:pPr>
        <w:pStyle w:val="afffff5"/>
        <w:rPr>
          <w:rtl/>
        </w:rPr>
      </w:pPr>
      <w:r w:rsidRPr="00C81EF0">
        <w:rPr>
          <w:rtl/>
        </w:rPr>
        <w:t>החולב משום דש הוא - כדפי' בקונט' ואתיא ברייתא כר' יהודה דאמר יש דישה שלא בגידולי קרקע כדפרי' לעיל בפ' כלל גדול (לעיל דף עג:) וכן נראה לר"י דודאי כרבי יהודה אתיא דהא אסרי חכמים ריבוץ משום שבות ולר"ש שרי לקמן אפילו לכתחלה.</w:t>
      </w:r>
    </w:p>
    <w:p w14:paraId="072DDA7B" w14:textId="77777777" w:rsidR="000426DE" w:rsidRDefault="000426DE" w:rsidP="000426DE">
      <w:pPr>
        <w:pStyle w:val="a7"/>
        <w:rPr>
          <w:rtl/>
        </w:rPr>
      </w:pPr>
    </w:p>
    <w:p w14:paraId="052358BC" w14:textId="77777777" w:rsidR="000426DE" w:rsidRPr="00730ED2" w:rsidRDefault="000426DE" w:rsidP="000426DE">
      <w:pPr>
        <w:pStyle w:val="a7"/>
      </w:pPr>
      <w:bookmarkStart w:id="1442" w:name="_Toc139316345"/>
      <w:r>
        <w:rPr>
          <w:rFonts w:hint="cs"/>
          <w:rtl/>
        </w:rPr>
        <w:lastRenderedPageBreak/>
        <w:t>בי' הי"מ ברש"י דחולב חייב משום מפרק דהוא קוצר ודחיית רש"י דהחלב פקיד ולא מחובר</w:t>
      </w:r>
      <w:bookmarkEnd w:id="1442"/>
    </w:p>
    <w:p w14:paraId="380FD2AE" w14:textId="3648BBC6" w:rsidR="000426DE" w:rsidRDefault="000426DE" w:rsidP="00BC7DC8">
      <w:pPr>
        <w:pStyle w:val="a3"/>
      </w:pPr>
      <w:bookmarkStart w:id="1443" w:name="_Ref135299758"/>
      <w:r>
        <w:rPr>
          <w:rFonts w:hint="cs"/>
          <w:rtl/>
        </w:rPr>
        <w:t xml:space="preserve">אך דעת </w:t>
      </w:r>
      <w:r w:rsidRPr="00C65D8D">
        <w:rPr>
          <w:rStyle w:val="aff4"/>
          <w:rFonts w:hint="cs"/>
          <w:vanish/>
          <w:rtl/>
        </w:rPr>
        <w:t>-</w:t>
      </w:r>
      <w:r w:rsidRPr="00ED76BA">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Ref135299758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כה)</w:t>
      </w:r>
      <w:r>
        <w:rPr>
          <w:rStyle w:val="aff4"/>
          <w:vanish/>
          <w:rtl/>
        </w:rPr>
        <w:fldChar w:fldCharType="end"/>
      </w:r>
      <w:r>
        <w:rPr>
          <w:rStyle w:val="aff4"/>
          <w:rFonts w:hint="cs"/>
          <w:vanish/>
          <w:rtl/>
        </w:rPr>
        <w:t xml:space="preserve"> &gt;</w:t>
      </w:r>
      <w:r w:rsidRPr="00ED76BA">
        <w:rPr>
          <w:rStyle w:val="aff4"/>
          <w:rFonts w:hint="cs"/>
          <w:rtl/>
        </w:rPr>
        <w:t>י"מ ב</w:t>
      </w:r>
      <w:r w:rsidRPr="00C65D8D">
        <w:rPr>
          <w:rStyle w:val="aff4"/>
          <w:rFonts w:hint="cs"/>
          <w:rtl/>
        </w:rPr>
        <w:t>רש"י</w:t>
      </w:r>
      <w:r w:rsidRPr="003A2934">
        <w:rPr>
          <w:rStyle w:val="aff4"/>
          <w:rFonts w:hint="cs"/>
          <w:rtl/>
        </w:rPr>
        <w:t xml:space="preserve"> </w:t>
      </w:r>
      <w:r w:rsidRPr="00C65D8D">
        <w:rPr>
          <w:rStyle w:val="aff4"/>
          <w:rFonts w:hint="cs"/>
          <w:rtl/>
        </w:rPr>
        <w:t>לקמן</w:t>
      </w:r>
      <w:r w:rsidRPr="00C65D8D">
        <w:rPr>
          <w:rStyle w:val="aff4"/>
          <w:rFonts w:hint="cs"/>
          <w:vanish/>
          <w:rtl/>
        </w:rPr>
        <w:t>-</w:t>
      </w:r>
      <w:r>
        <w:rPr>
          <w:rFonts w:hint="cs"/>
          <w:rtl/>
        </w:rPr>
        <w:t xml:space="preserve"> </w:t>
      </w:r>
      <w:r w:rsidRPr="00FB451D">
        <w:rPr>
          <w:rStyle w:val="af2"/>
          <w:rFonts w:eastAsia="Guttman Hodes" w:hint="cs"/>
          <w:rtl/>
        </w:rPr>
        <w:t>(צה. ד"ה מפרק)</w:t>
      </w:r>
      <w:r w:rsidRPr="00C65D8D">
        <w:rPr>
          <w:rFonts w:hint="cs"/>
          <w:vanish/>
          <w:rtl/>
        </w:rPr>
        <w:t>=</w:t>
      </w:r>
      <w:r>
        <w:rPr>
          <w:rFonts w:hint="cs"/>
          <w:rtl/>
        </w:rPr>
        <w:t xml:space="preserve"> דחולב חייב משום מפרק, היינו הוא תולדה דקוצר, ודחה </w:t>
      </w:r>
      <w:r w:rsidRPr="00C65D8D">
        <w:rPr>
          <w:rStyle w:val="aff4"/>
          <w:rFonts w:hint="cs"/>
          <w:vanish/>
          <w:rtl/>
        </w:rPr>
        <w:t>-</w:t>
      </w:r>
      <w:r w:rsidRPr="00C65D8D">
        <w:rPr>
          <w:rStyle w:val="aff4"/>
          <w:rFonts w:hint="cs"/>
          <w:rtl/>
        </w:rPr>
        <w:t>רש"י</w:t>
      </w:r>
      <w:r w:rsidRPr="00C65D8D">
        <w:rPr>
          <w:rStyle w:val="aff4"/>
          <w:rFonts w:hint="cs"/>
          <w:vanish/>
          <w:rtl/>
        </w:rPr>
        <w:t>-</w:t>
      </w:r>
      <w:r>
        <w:rPr>
          <w:rFonts w:hint="cs"/>
          <w:rtl/>
        </w:rPr>
        <w:t xml:space="preserve"> את ביאור </w:t>
      </w:r>
      <w:r w:rsidRPr="00C65D8D">
        <w:rPr>
          <w:rStyle w:val="aff4"/>
          <w:rFonts w:hint="cs"/>
          <w:vanish/>
          <w:rtl/>
        </w:rPr>
        <w:t>-</w:t>
      </w:r>
      <w:r>
        <w:rPr>
          <w:rStyle w:val="aff4"/>
          <w:rFonts w:hint="cs"/>
          <w:rtl/>
        </w:rPr>
        <w:t>ה</w:t>
      </w:r>
      <w:r w:rsidRPr="00C65D8D">
        <w:rPr>
          <w:rStyle w:val="aff4"/>
          <w:rFonts w:hint="cs"/>
          <w:rtl/>
        </w:rPr>
        <w:t>י"מ</w:t>
      </w:r>
      <w:r w:rsidRPr="00C65D8D">
        <w:rPr>
          <w:rStyle w:val="aff4"/>
          <w:rFonts w:hint="cs"/>
          <w:vanish/>
          <w:rtl/>
        </w:rPr>
        <w:t>-</w:t>
      </w:r>
      <w:r>
        <w:rPr>
          <w:rFonts w:hint="cs"/>
          <w:rtl/>
        </w:rPr>
        <w:t xml:space="preserve"> דהחלב אינו מחובר אלא הוא מיפקד פקיד ולא שייך בזה קוצר</w:t>
      </w:r>
      <w:r w:rsidRPr="00C65D8D">
        <w:rPr>
          <w:rStyle w:val="aff4"/>
          <w:rFonts w:hint="cs"/>
          <w:vanish/>
          <w:rtl/>
        </w:rPr>
        <w:t xml:space="preserve"> -</w:t>
      </w:r>
      <w:r>
        <w:rPr>
          <w:rFonts w:hint="cs"/>
          <w:rtl/>
        </w:rPr>
        <w:t xml:space="preserve">, ועי' במה שביאר </w:t>
      </w:r>
      <w:r w:rsidRPr="00C65D8D">
        <w:rPr>
          <w:rStyle w:val="aff4"/>
          <w:rFonts w:hint="cs"/>
          <w:vanish/>
          <w:rtl/>
        </w:rPr>
        <w:t>-</w:t>
      </w:r>
      <w:r w:rsidRPr="00C65D8D">
        <w:rPr>
          <w:rStyle w:val="aff4"/>
          <w:rFonts w:hint="cs"/>
          <w:rtl/>
        </w:rPr>
        <w:t>הדבר אברהם</w:t>
      </w:r>
      <w:r w:rsidRPr="00C65D8D">
        <w:rPr>
          <w:rStyle w:val="aff4"/>
          <w:rFonts w:hint="cs"/>
          <w:vanish/>
          <w:rtl/>
        </w:rPr>
        <w:t>-</w:t>
      </w:r>
      <w:r>
        <w:rPr>
          <w:rFonts w:hint="cs"/>
          <w:rtl/>
        </w:rPr>
        <w:t xml:space="preserve"> </w:t>
      </w:r>
      <w:r w:rsidRPr="00FB451D">
        <w:rPr>
          <w:rStyle w:val="af2"/>
          <w:rFonts w:eastAsia="Guttman Hodes" w:hint="cs"/>
          <w:rtl/>
        </w:rPr>
        <w:t xml:space="preserve">(עי' אות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Ref134721367 \r \h</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פ)</w:t>
      </w:r>
      <w:r w:rsidRPr="00FB451D">
        <w:rPr>
          <w:rStyle w:val="af2"/>
          <w:rFonts w:eastAsia="Guttman Hodes"/>
          <w:rtl/>
        </w:rPr>
        <w:fldChar w:fldCharType="end"/>
      </w:r>
      <w:r>
        <w:rPr>
          <w:rFonts w:hint="cs"/>
          <w:rtl/>
        </w:rPr>
        <w:t xml:space="preserve"> בדעת </w:t>
      </w:r>
      <w:r w:rsidRPr="00C65D8D">
        <w:rPr>
          <w:rStyle w:val="aff4"/>
          <w:rFonts w:hint="cs"/>
          <w:vanish/>
          <w:rtl/>
        </w:rPr>
        <w:t>-</w:t>
      </w:r>
      <w:r w:rsidRPr="00C65D8D">
        <w:rPr>
          <w:rStyle w:val="aff4"/>
          <w:rFonts w:hint="cs"/>
          <w:rtl/>
        </w:rPr>
        <w:t>הי"מ</w:t>
      </w:r>
      <w:r>
        <w:rPr>
          <w:rStyle w:val="aff4"/>
          <w:rFonts w:hint="cs"/>
          <w:rtl/>
        </w:rPr>
        <w:t xml:space="preserve"> ברש"י</w:t>
      </w:r>
      <w:r w:rsidRPr="00C65D8D">
        <w:rPr>
          <w:rStyle w:val="aff4"/>
          <w:rFonts w:hint="cs"/>
          <w:vanish/>
          <w:rtl/>
        </w:rPr>
        <w:t>-</w:t>
      </w:r>
      <w:r>
        <w:rPr>
          <w:rFonts w:hint="cs"/>
          <w:rtl/>
        </w:rPr>
        <w:t>.</w:t>
      </w:r>
      <w:bookmarkEnd w:id="1441"/>
      <w:bookmarkEnd w:id="1443"/>
    </w:p>
    <w:p w14:paraId="52122165" w14:textId="77777777" w:rsidR="000426DE" w:rsidRPr="00747170" w:rsidRDefault="000426DE" w:rsidP="00747170">
      <w:pPr>
        <w:pStyle w:val="a2"/>
        <w:rPr>
          <w:rtl/>
        </w:rPr>
      </w:pPr>
      <w:r w:rsidRPr="00747170">
        <w:rPr>
          <w:rtl/>
        </w:rPr>
        <w:t>ואית דאמרי תולדה דקוצר - ולא היא, דלאו מחובר הוא, אלא פקיד ועקיר, וקאי בעטיני הדד כתבואה בקשיה, ולשון מפרק נמי לא שייך למימר, אלא לשון תולש.</w:t>
      </w:r>
    </w:p>
    <w:p w14:paraId="1C9804C6" w14:textId="77777777" w:rsidR="000426DE" w:rsidRDefault="000426DE" w:rsidP="000426DE">
      <w:pPr>
        <w:pStyle w:val="afffff7"/>
        <w:rPr>
          <w:rtl/>
        </w:rPr>
      </w:pPr>
      <w:bookmarkStart w:id="1444" w:name="_Toc135237783"/>
      <w:bookmarkStart w:id="1445" w:name="_Toc135513688"/>
      <w:bookmarkStart w:id="1446" w:name="_Toc163505613"/>
      <w:r>
        <w:rPr>
          <w:rtl/>
        </w:rPr>
        <w:t>רמב"ם שבת פ"ח ה"ז</w:t>
      </w:r>
      <w:bookmarkEnd w:id="1444"/>
      <w:bookmarkEnd w:id="1445"/>
      <w:bookmarkEnd w:id="1446"/>
    </w:p>
    <w:p w14:paraId="0EFBD4AF" w14:textId="77777777" w:rsidR="000426DE" w:rsidRPr="00AB3426" w:rsidRDefault="000426DE" w:rsidP="000426DE">
      <w:pPr>
        <w:pStyle w:val="afffff7"/>
        <w:rPr>
          <w:rtl/>
        </w:rPr>
      </w:pPr>
      <w:bookmarkStart w:id="1447" w:name="_Toc135237784"/>
      <w:bookmarkStart w:id="1448" w:name="_Toc135513689"/>
      <w:bookmarkStart w:id="1449" w:name="_Toc163505614"/>
      <w:r w:rsidRPr="00AB3426">
        <w:rPr>
          <w:rtl/>
        </w:rPr>
        <w:t>קרבן העדה שבת פ"ז הלכה ב</w:t>
      </w:r>
      <w:bookmarkEnd w:id="1447"/>
      <w:bookmarkEnd w:id="1448"/>
      <w:bookmarkEnd w:id="1449"/>
    </w:p>
    <w:p w14:paraId="6E1AEC41" w14:textId="77777777" w:rsidR="000426DE" w:rsidRDefault="000426DE" w:rsidP="000426DE">
      <w:pPr>
        <w:pStyle w:val="afffff7"/>
        <w:rPr>
          <w:rtl/>
        </w:rPr>
      </w:pPr>
      <w:bookmarkStart w:id="1450" w:name="_Toc135237785"/>
      <w:bookmarkStart w:id="1451" w:name="_Toc135513690"/>
      <w:bookmarkStart w:id="1452" w:name="_Toc163505615"/>
      <w:r>
        <w:rPr>
          <w:rtl/>
        </w:rPr>
        <w:t>שיירי קרבן שבת פ"ז הלכה ב</w:t>
      </w:r>
      <w:bookmarkEnd w:id="1450"/>
      <w:bookmarkEnd w:id="1451"/>
      <w:bookmarkEnd w:id="1452"/>
    </w:p>
    <w:p w14:paraId="19E659AD" w14:textId="77777777" w:rsidR="000426DE" w:rsidRDefault="000426DE" w:rsidP="000426DE">
      <w:pPr>
        <w:pStyle w:val="afffff7"/>
        <w:rPr>
          <w:rtl/>
        </w:rPr>
      </w:pPr>
      <w:bookmarkStart w:id="1453" w:name="_Toc135237786"/>
      <w:bookmarkStart w:id="1454" w:name="_Toc135513691"/>
      <w:bookmarkStart w:id="1455" w:name="_Toc163505616"/>
      <w:r>
        <w:rPr>
          <w:rtl/>
        </w:rPr>
        <w:t>רש"ש שבת צ"ה ע"א</w:t>
      </w:r>
      <w:bookmarkEnd w:id="1453"/>
      <w:bookmarkEnd w:id="1454"/>
      <w:bookmarkEnd w:id="1455"/>
    </w:p>
    <w:p w14:paraId="350AF03B" w14:textId="77777777" w:rsidR="000426DE" w:rsidRPr="00D578AC" w:rsidRDefault="000426DE" w:rsidP="00747170">
      <w:pPr>
        <w:pStyle w:val="afffff5"/>
        <w:rPr>
          <w:rtl/>
        </w:rPr>
      </w:pPr>
      <w:r w:rsidRPr="00D578AC">
        <w:rPr>
          <w:rtl/>
        </w:rPr>
        <w:t>המפרק הרי הוא תולדת הדש, החולב את הבהמה חייב משום מפרק</w:t>
      </w:r>
      <w:r w:rsidRPr="00D578AC">
        <w:rPr>
          <w:rFonts w:hint="cs"/>
          <w:rtl/>
        </w:rPr>
        <w:t>.</w:t>
      </w:r>
    </w:p>
    <w:p w14:paraId="7FAECB9D" w14:textId="77777777" w:rsidR="000426DE" w:rsidRPr="00C0590C" w:rsidRDefault="000426DE" w:rsidP="000426DE">
      <w:pPr>
        <w:pStyle w:val="a7"/>
        <w:rPr>
          <w:rtl/>
        </w:rPr>
      </w:pPr>
      <w:bookmarkStart w:id="1456" w:name="_Toc139316346"/>
      <w:r>
        <w:rPr>
          <w:rFonts w:hint="cs"/>
          <w:rtl/>
        </w:rPr>
        <w:t>קו' השיירי קרבן על רש"י דלירו' חולב קוצר דהבדילו ממקום חיותו ותי' הרש"ש דהבבלי פליג</w:t>
      </w:r>
      <w:bookmarkEnd w:id="1456"/>
    </w:p>
    <w:p w14:paraId="6FC65179" w14:textId="764D6B5F" w:rsidR="000426DE" w:rsidRPr="00C1373E" w:rsidRDefault="000426DE" w:rsidP="00BC7DC8">
      <w:pPr>
        <w:pStyle w:val="a3"/>
      </w:pPr>
      <w:bookmarkStart w:id="1457" w:name="_Ref134695097"/>
      <w:r>
        <w:rPr>
          <w:rFonts w:hint="cs"/>
          <w:rtl/>
        </w:rPr>
        <w:t xml:space="preserve">איתא בירושלמי </w:t>
      </w:r>
      <w:r w:rsidRPr="00FB451D">
        <w:rPr>
          <w:rStyle w:val="af2"/>
          <w:rFonts w:eastAsia="Guttman Hodes" w:hint="cs"/>
          <w:rtl/>
        </w:rPr>
        <w:t>(פ"ז ה"ב, נב:)</w:t>
      </w:r>
      <w:r>
        <w:rPr>
          <w:rFonts w:hint="cs"/>
          <w:rtl/>
        </w:rPr>
        <w:t xml:space="preserve"> ד</w:t>
      </w:r>
      <w:r>
        <w:rPr>
          <w:rtl/>
        </w:rPr>
        <w:t>החולב והרודה חלות דבש חייב משום קוצר</w:t>
      </w:r>
      <w:r>
        <w:rPr>
          <w:rFonts w:hint="cs"/>
          <w:rtl/>
        </w:rPr>
        <w:t xml:space="preserve">, וביאר </w:t>
      </w:r>
      <w:r w:rsidRPr="00C65D8D">
        <w:rPr>
          <w:rStyle w:val="aff4"/>
          <w:rFonts w:hint="cs"/>
          <w:vanish/>
          <w:rtl/>
        </w:rPr>
        <w:t>-</w:t>
      </w:r>
      <w:r w:rsidRPr="00C65D8D">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Ref134695097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כו)</w:t>
      </w:r>
      <w:r w:rsidRPr="00B53404">
        <w:rPr>
          <w:rStyle w:val="aff4"/>
          <w:vanish/>
          <w:rtl/>
        </w:rPr>
        <w:fldChar w:fldCharType="end"/>
      </w:r>
      <w:r w:rsidRPr="00B53404">
        <w:rPr>
          <w:rStyle w:val="aff4"/>
          <w:rFonts w:hint="cs"/>
          <w:vanish/>
          <w:rtl/>
        </w:rPr>
        <w:t xml:space="preserve"> &gt;</w:t>
      </w:r>
      <w:r w:rsidRPr="00C65D8D">
        <w:rPr>
          <w:rStyle w:val="aff4"/>
          <w:rFonts w:hint="cs"/>
          <w:rtl/>
        </w:rPr>
        <w:t>קרבן העדה</w:t>
      </w:r>
      <w:r w:rsidRPr="00C65D8D">
        <w:rPr>
          <w:rStyle w:val="aff4"/>
          <w:rFonts w:hint="cs"/>
          <w:vanish/>
          <w:rtl/>
        </w:rPr>
        <w:t>-</w:t>
      </w:r>
      <w:r>
        <w:rPr>
          <w:rFonts w:hint="cs"/>
          <w:rtl/>
        </w:rPr>
        <w:t xml:space="preserve"> </w:t>
      </w:r>
      <w:r w:rsidRPr="00FB451D">
        <w:rPr>
          <w:rStyle w:val="af2"/>
          <w:rFonts w:eastAsia="Guttman Hodes" w:hint="cs"/>
          <w:rtl/>
        </w:rPr>
        <w:t>(פ"ז ה"ב, נב: ד"ה חייב)</w:t>
      </w:r>
      <w:r w:rsidRPr="00C65D8D">
        <w:rPr>
          <w:rFonts w:hint="cs"/>
          <w:vanish/>
          <w:rtl/>
        </w:rPr>
        <w:t>=</w:t>
      </w:r>
      <w:r>
        <w:rPr>
          <w:rFonts w:hint="cs"/>
          <w:rtl/>
        </w:rPr>
        <w:t xml:space="preserve"> דחיוב חולב הוא כיון דמבדילו ממקום חיותו,</w:t>
      </w:r>
      <w:r w:rsidRPr="00742BB9">
        <w:rPr>
          <w:rFonts w:hint="cs"/>
          <w:rtl/>
        </w:rPr>
        <w:t xml:space="preserve"> </w:t>
      </w:r>
      <w:r>
        <w:rPr>
          <w:rFonts w:hint="cs"/>
          <w:rtl/>
        </w:rPr>
        <w:t>והקשה</w:t>
      </w:r>
      <w:r w:rsidRPr="00C65D8D">
        <w:rPr>
          <w:rStyle w:val="aff4"/>
          <w:rFonts w:hint="cs"/>
          <w:rtl/>
        </w:rPr>
        <w:t xml:space="preserve"> </w:t>
      </w:r>
      <w:r w:rsidRPr="00C65D8D">
        <w:rPr>
          <w:rStyle w:val="aff4"/>
          <w:rFonts w:hint="cs"/>
          <w:vanish/>
          <w:rtl/>
        </w:rPr>
        <w:t>-</w:t>
      </w:r>
      <w:r w:rsidRPr="00C65D8D">
        <w:rPr>
          <w:rStyle w:val="aff4"/>
          <w:rFonts w:hint="cs"/>
          <w:rtl/>
        </w:rPr>
        <w:t>ב</w:t>
      </w:r>
      <w:r w:rsidRPr="00B53404">
        <w:rPr>
          <w:rStyle w:val="aff4"/>
          <w:rFonts w:hint="cs"/>
          <w:vanish/>
          <w:rtl/>
        </w:rPr>
        <w:t>&lt; &gt;</w:t>
      </w:r>
      <w:r w:rsidRPr="00C65D8D">
        <w:rPr>
          <w:rStyle w:val="aff4"/>
          <w:rFonts w:hint="cs"/>
          <w:rtl/>
        </w:rPr>
        <w:t>שיירי קרבן</w:t>
      </w:r>
      <w:r w:rsidRPr="00C65D8D">
        <w:rPr>
          <w:rStyle w:val="aff4"/>
          <w:rFonts w:hint="cs"/>
          <w:vanish/>
          <w:rtl/>
        </w:rPr>
        <w:t>-</w:t>
      </w:r>
      <w:r w:rsidRPr="000614F7">
        <w:rPr>
          <w:rStyle w:val="aff4"/>
          <w:rFonts w:hint="cs"/>
          <w:rtl/>
        </w:rPr>
        <w:t xml:space="preserve"> </w:t>
      </w:r>
      <w:r w:rsidRPr="00FB451D">
        <w:rPr>
          <w:rStyle w:val="af2"/>
          <w:rFonts w:eastAsia="Guttman Hodes" w:hint="cs"/>
          <w:rtl/>
        </w:rPr>
        <w:t>(פ"ז ה"ב, נב: ד"ה חולב)</w:t>
      </w:r>
      <w:r w:rsidRPr="00C65D8D">
        <w:rPr>
          <w:rFonts w:hint="cs"/>
          <w:vanish/>
          <w:rtl/>
        </w:rPr>
        <w:t>=</w:t>
      </w:r>
      <w:r>
        <w:rPr>
          <w:rFonts w:hint="cs"/>
          <w:rtl/>
        </w:rPr>
        <w:t xml:space="preserve"> על </w:t>
      </w:r>
      <w:r w:rsidRPr="00C65D8D">
        <w:rPr>
          <w:rStyle w:val="aff4"/>
          <w:rFonts w:hint="cs"/>
          <w:vanish/>
          <w:rtl/>
        </w:rPr>
        <w:t>-</w:t>
      </w:r>
      <w:r w:rsidRPr="00C65D8D">
        <w:rPr>
          <w:rStyle w:val="aff4"/>
          <w:rFonts w:hint="cs"/>
          <w:rtl/>
        </w:rPr>
        <w:t>רש"י ותוס' והרמב"ם</w:t>
      </w:r>
      <w:r w:rsidRPr="00C65D8D">
        <w:rPr>
          <w:rStyle w:val="aff4"/>
          <w:rFonts w:hint="cs"/>
          <w:vanish/>
          <w:rtl/>
        </w:rPr>
        <w:t>-</w:t>
      </w:r>
      <w:r>
        <w:rPr>
          <w:rFonts w:hint="cs"/>
          <w:rtl/>
        </w:rPr>
        <w:t xml:space="preserve"> </w:t>
      </w:r>
      <w:r w:rsidRPr="00FB451D">
        <w:rPr>
          <w:rStyle w:val="af2"/>
          <w:rFonts w:eastAsia="Guttman Hodes" w:hint="cs"/>
          <w:rtl/>
        </w:rPr>
        <w:t xml:space="preserve">(עי' אות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Ref134695257 \r \h</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כד)</w:t>
      </w:r>
      <w:r w:rsidRPr="00FB451D">
        <w:rPr>
          <w:rStyle w:val="af2"/>
          <w:rFonts w:eastAsia="Guttman Hodes"/>
          <w:rtl/>
        </w:rPr>
        <w:fldChar w:fldCharType="end"/>
      </w:r>
      <w:r>
        <w:rPr>
          <w:rFonts w:hint="cs"/>
          <w:rtl/>
        </w:rPr>
        <w:t xml:space="preserve"> דכתבו דחולב חייב משום דש, דהוא דלא כירושלמי ותירץ </w:t>
      </w:r>
      <w:r w:rsidRPr="007F356E">
        <w:rPr>
          <w:rStyle w:val="aff4"/>
          <w:rFonts w:hint="cs"/>
          <w:vanish/>
          <w:rtl/>
        </w:rPr>
        <w:t>-</w:t>
      </w:r>
      <w:r w:rsidRPr="001F02FD">
        <w:rPr>
          <w:rStyle w:val="aff4"/>
          <w:rFonts w:hint="cs"/>
          <w:rtl/>
        </w:rPr>
        <w:t>ה</w:t>
      </w:r>
      <w:r w:rsidRPr="00B53404">
        <w:rPr>
          <w:rStyle w:val="aff4"/>
          <w:rFonts w:hint="cs"/>
          <w:vanish/>
          <w:rtl/>
        </w:rPr>
        <w:t>&lt; &gt;</w:t>
      </w:r>
      <w:r w:rsidRPr="001F02FD">
        <w:rPr>
          <w:rStyle w:val="aff4"/>
          <w:rFonts w:hint="cs"/>
          <w:rtl/>
        </w:rPr>
        <w:t>רש"ש לקמן</w:t>
      </w:r>
      <w:r w:rsidRPr="007F356E">
        <w:rPr>
          <w:rStyle w:val="aff4"/>
          <w:rFonts w:hint="cs"/>
          <w:vanish/>
          <w:rtl/>
        </w:rPr>
        <w:t>-</w:t>
      </w:r>
      <w:r>
        <w:rPr>
          <w:rFonts w:hint="cs"/>
          <w:rtl/>
        </w:rPr>
        <w:t xml:space="preserve"> </w:t>
      </w:r>
      <w:r w:rsidRPr="00FB451D">
        <w:rPr>
          <w:rStyle w:val="af2"/>
          <w:rFonts w:eastAsia="Guttman Hodes" w:hint="cs"/>
          <w:rtl/>
        </w:rPr>
        <w:t>(צה. על רש"י ד"ה מפרק)</w:t>
      </w:r>
      <w:r w:rsidRPr="007F356E">
        <w:rPr>
          <w:rFonts w:hint="cs"/>
          <w:vanish/>
          <w:rtl/>
        </w:rPr>
        <w:t>=</w:t>
      </w:r>
      <w:r>
        <w:rPr>
          <w:rFonts w:hint="cs"/>
          <w:rtl/>
        </w:rPr>
        <w:t xml:space="preserve"> דהבבלי פליג על הירושלמי בזה, כמו שמצינו בכמה מקומות דנחלקו הירושלמי והבבלי בגדרי המלאכות.</w:t>
      </w:r>
      <w:bookmarkEnd w:id="1457"/>
    </w:p>
    <w:p w14:paraId="26309083" w14:textId="77777777" w:rsidR="000426DE" w:rsidRPr="00747170" w:rsidRDefault="000426DE" w:rsidP="00747170">
      <w:pPr>
        <w:pStyle w:val="a2"/>
        <w:rPr>
          <w:rtl/>
        </w:rPr>
      </w:pPr>
      <w:r w:rsidRPr="00747170">
        <w:rPr>
          <w:rtl/>
        </w:rPr>
        <w:t>חייב משום קוצר. שכל שמבדיל דבר מחיותו חייב משום קוצר:</w:t>
      </w:r>
    </w:p>
    <w:p w14:paraId="3024A751" w14:textId="77777777" w:rsidR="000426DE" w:rsidRPr="00D578AC" w:rsidRDefault="000426DE" w:rsidP="00747170">
      <w:pPr>
        <w:pStyle w:val="afffff5"/>
        <w:rPr>
          <w:rtl/>
        </w:rPr>
      </w:pPr>
      <w:bookmarkStart w:id="1458" w:name="_Toc134461286"/>
      <w:r w:rsidRPr="00D578AC">
        <w:rPr>
          <w:rtl/>
        </w:rPr>
        <w:t xml:space="preserve">החולב והרודה חלות דבש חייב משום קוצר. בבבלי דף צ"ה איתא חולב חייב משום מפרק ופירש"י בד"ה מפרק כמו מפרק משאוי שפורק אוכל ממקום שנתכסה בו והוי תולדת דש ואית דאמר תולדה דקוצר ולא היא דלאו מחובר הוא אלא פקיד ועקיר וקאי בעטיני הדד כתבואה בקשיה ולשון מפרק נמי לא שייך למימר אלא לשון תולש עד כאן וגם תוס' והרמב"ם מסכימים לדעת שהחולב תולדת דש היא וקשה דהכא מפורש דתולדה דקוצר היא: </w:t>
      </w:r>
    </w:p>
    <w:p w14:paraId="09338AF9" w14:textId="77777777" w:rsidR="000426DE" w:rsidRPr="00D578AC" w:rsidRDefault="000426DE" w:rsidP="00747170">
      <w:pPr>
        <w:pStyle w:val="afffff5"/>
        <w:rPr>
          <w:rtl/>
        </w:rPr>
      </w:pPr>
      <w:r w:rsidRPr="00D578AC">
        <w:rPr>
          <w:rtl/>
        </w:rPr>
        <w:t xml:space="preserve">והש"ק בירושלמי פ"ז ה"ב הקשה על פירש"י מהא דאיתא שם דחולב חייב משום קוצר ולק"מ כיון דלפי גמרתנו ליתא כמש"כ והלא גם במגבן ובמחבץ איתא שם דחייב משום לש ובגמרתנו לא אמרינן כן ועוד דמשמע התם דחכמים פליגי גם אחולב כו' ורש"י בפסחים ל"פ כן וכ"מ מפי' כאן ועי' בהה"מ פ"ח הל"ז והש"ק לא העיר בזה ועוד נ"ל דאין ללמוד מהירושלמי דאפשר דט"ס שם כמו דאיתא שם דמכבד ומרבץ חייב משום דש והגיה הק"ע משום חורש]: </w:t>
      </w:r>
    </w:p>
    <w:p w14:paraId="19671CF2" w14:textId="77777777" w:rsidR="000426DE" w:rsidRDefault="000426DE" w:rsidP="000426DE">
      <w:pPr>
        <w:pStyle w:val="affff5"/>
      </w:pPr>
      <w:bookmarkStart w:id="1459" w:name="_Toc139316347"/>
      <w:bookmarkEnd w:id="1458"/>
      <w:r>
        <w:rPr>
          <w:rFonts w:hint="cs"/>
          <w:rtl/>
        </w:rPr>
        <w:t>בקוצר דבש לר"א מחובר או מפסיק חיות</w:t>
      </w:r>
      <w:bookmarkEnd w:id="1459"/>
      <w:r w:rsidRPr="002439C9">
        <w:rPr>
          <w:vanish/>
          <w:rtl/>
        </w:rPr>
        <w:t>&lt; # =</w:t>
      </w:r>
    </w:p>
    <w:p w14:paraId="23CE2304" w14:textId="77777777" w:rsidR="000426DE" w:rsidRDefault="000426DE" w:rsidP="000426DE">
      <w:pPr>
        <w:pStyle w:val="1"/>
        <w:rPr>
          <w:rtl/>
        </w:rPr>
      </w:pPr>
      <w:bookmarkStart w:id="1460" w:name="_Toc139316348"/>
      <w:r>
        <w:rPr>
          <w:rFonts w:hint="cs"/>
          <w:rtl/>
        </w:rPr>
        <w:t>פלוגתת הרמב"ן והאו"ז אי דבש לר"א כמחובר או עוקר מגידולו</w:t>
      </w:r>
      <w:bookmarkEnd w:id="1460"/>
    </w:p>
    <w:p w14:paraId="362225A6" w14:textId="77777777" w:rsidR="000426DE" w:rsidRDefault="000426DE" w:rsidP="000426DE">
      <w:pPr>
        <w:pStyle w:val="afffff7"/>
        <w:rPr>
          <w:rtl/>
        </w:rPr>
      </w:pPr>
      <w:bookmarkStart w:id="1461" w:name="_Toc135513692"/>
      <w:bookmarkStart w:id="1462" w:name="_Toc163505617"/>
      <w:r>
        <w:rPr>
          <w:rtl/>
        </w:rPr>
        <w:t xml:space="preserve">ספר אור זרוע </w:t>
      </w:r>
      <w:r>
        <w:rPr>
          <w:rFonts w:hint="cs"/>
          <w:rtl/>
        </w:rPr>
        <w:t>ח"ב</w:t>
      </w:r>
      <w:r>
        <w:rPr>
          <w:rtl/>
        </w:rPr>
        <w:t xml:space="preserve"> הלכות שבת סי</w:t>
      </w:r>
      <w:r>
        <w:rPr>
          <w:rFonts w:hint="cs"/>
          <w:rtl/>
        </w:rPr>
        <w:t>'</w:t>
      </w:r>
      <w:r>
        <w:rPr>
          <w:rtl/>
        </w:rPr>
        <w:t xml:space="preserve"> נ</w:t>
      </w:r>
      <w:r>
        <w:rPr>
          <w:rFonts w:hint="cs"/>
          <w:rtl/>
        </w:rPr>
        <w:t>"</w:t>
      </w:r>
      <w:r>
        <w:rPr>
          <w:rtl/>
        </w:rPr>
        <w:t>ו</w:t>
      </w:r>
      <w:r w:rsidRPr="0037796C">
        <w:rPr>
          <w:rtl/>
        </w:rPr>
        <w:t xml:space="preserve"> ד"ה וכל היכא</w:t>
      </w:r>
      <w:bookmarkEnd w:id="1461"/>
      <w:bookmarkEnd w:id="1462"/>
    </w:p>
    <w:p w14:paraId="570B18EF" w14:textId="77777777" w:rsidR="000426DE" w:rsidRDefault="000426DE" w:rsidP="000426DE">
      <w:pPr>
        <w:pStyle w:val="a7"/>
        <w:rPr>
          <w:rtl/>
        </w:rPr>
      </w:pPr>
      <w:bookmarkStart w:id="1463" w:name="_Toc139316349"/>
      <w:r>
        <w:rPr>
          <w:rFonts w:hint="cs"/>
          <w:rtl/>
        </w:rPr>
        <w:t>בי' האו"ז דלר"א דילפי' דבש מיער חייב כעוקר דבר מגידולו ככשותא מהיזמי דהוא רביתיה</w:t>
      </w:r>
      <w:bookmarkEnd w:id="1463"/>
    </w:p>
    <w:p w14:paraId="5FC87B8A" w14:textId="5CAC2506" w:rsidR="000426DE" w:rsidRDefault="000426DE" w:rsidP="00BC7DC8">
      <w:pPr>
        <w:pStyle w:val="a3"/>
      </w:pPr>
      <w:bookmarkStart w:id="1464" w:name="_Ref135215846"/>
      <w:r>
        <w:rPr>
          <w:rFonts w:hint="cs"/>
          <w:rtl/>
        </w:rPr>
        <w:t xml:space="preserve">כתב </w:t>
      </w:r>
      <w:r w:rsidRPr="00B4411F">
        <w:rPr>
          <w:rStyle w:val="aff4"/>
          <w:rFonts w:hint="cs"/>
          <w:vanish/>
          <w:rtl/>
        </w:rPr>
        <w:t>-</w:t>
      </w:r>
      <w:r w:rsidRPr="005C4013">
        <w:rPr>
          <w:rStyle w:val="aff4"/>
          <w:rFonts w:hint="cs"/>
          <w:rtl/>
        </w:rPr>
        <w:t>ה</w:t>
      </w:r>
      <w:r w:rsidRPr="00B4411F">
        <w:rPr>
          <w:rStyle w:val="aff4"/>
          <w:rFonts w:hint="cs"/>
          <w:vanish/>
          <w:rtl/>
        </w:rPr>
        <w:t xml:space="preserve">&lt;. </w:t>
      </w:r>
      <w:r w:rsidRPr="00B4411F">
        <w:rPr>
          <w:rStyle w:val="aff4"/>
          <w:vanish/>
          <w:rtl/>
        </w:rPr>
        <w:fldChar w:fldCharType="begin"/>
      </w:r>
      <w:r w:rsidRPr="00B4411F">
        <w:rPr>
          <w:rStyle w:val="aff4"/>
          <w:vanish/>
          <w:rtl/>
        </w:rPr>
        <w:instrText xml:space="preserve"> </w:instrText>
      </w:r>
      <w:r w:rsidRPr="00B4411F">
        <w:rPr>
          <w:rStyle w:val="aff4"/>
          <w:rFonts w:hint="cs"/>
          <w:vanish/>
        </w:rPr>
        <w:instrText>REF</w:instrText>
      </w:r>
      <w:r w:rsidRPr="00B4411F">
        <w:rPr>
          <w:rStyle w:val="aff4"/>
          <w:rFonts w:hint="cs"/>
          <w:vanish/>
          <w:rtl/>
        </w:rPr>
        <w:instrText xml:space="preserve"> _</w:instrText>
      </w:r>
      <w:r w:rsidRPr="00B4411F">
        <w:rPr>
          <w:rStyle w:val="aff4"/>
          <w:rFonts w:hint="cs"/>
          <w:vanish/>
        </w:rPr>
        <w:instrText>Ref135215846 \r \h</w:instrText>
      </w:r>
      <w:r w:rsidRPr="00B4411F">
        <w:rPr>
          <w:rStyle w:val="aff4"/>
          <w:vanish/>
          <w:rtl/>
        </w:rPr>
        <w:instrText xml:space="preserve"> </w:instrText>
      </w:r>
      <w:r w:rsidRPr="00B4411F">
        <w:rPr>
          <w:rStyle w:val="aff4"/>
          <w:vanish/>
          <w:rtl/>
        </w:rPr>
      </w:r>
      <w:r w:rsidRPr="00B4411F">
        <w:rPr>
          <w:rStyle w:val="aff4"/>
          <w:vanish/>
          <w:rtl/>
        </w:rPr>
        <w:fldChar w:fldCharType="separate"/>
      </w:r>
      <w:r w:rsidR="00D82181">
        <w:rPr>
          <w:rStyle w:val="aff4"/>
          <w:vanish/>
          <w:cs/>
        </w:rPr>
        <w:t>‎</w:t>
      </w:r>
      <w:r w:rsidR="00D82181">
        <w:rPr>
          <w:rStyle w:val="aff4"/>
          <w:vanish/>
          <w:rtl/>
        </w:rPr>
        <w:t>כז)</w:t>
      </w:r>
      <w:r w:rsidRPr="00B4411F">
        <w:rPr>
          <w:rStyle w:val="aff4"/>
          <w:vanish/>
          <w:rtl/>
        </w:rPr>
        <w:fldChar w:fldCharType="end"/>
      </w:r>
      <w:r w:rsidRPr="00B4411F">
        <w:rPr>
          <w:rStyle w:val="aff4"/>
          <w:rFonts w:hint="cs"/>
          <w:vanish/>
          <w:rtl/>
        </w:rPr>
        <w:t xml:space="preserve"> &gt;</w:t>
      </w:r>
      <w:r w:rsidRPr="005C4013">
        <w:rPr>
          <w:rStyle w:val="aff4"/>
          <w:rFonts w:hint="cs"/>
          <w:rtl/>
        </w:rPr>
        <w:t>או"ז</w:t>
      </w:r>
      <w:r w:rsidRPr="00B4411F">
        <w:rPr>
          <w:rStyle w:val="aff4"/>
          <w:rFonts w:hint="cs"/>
          <w:vanish/>
          <w:rtl/>
        </w:rPr>
        <w:t>-</w:t>
      </w:r>
      <w:r>
        <w:rPr>
          <w:rFonts w:hint="cs"/>
          <w:rtl/>
        </w:rPr>
        <w:t xml:space="preserve"> </w:t>
      </w:r>
      <w:r w:rsidRPr="00FB451D">
        <w:rPr>
          <w:rStyle w:val="af2"/>
          <w:rFonts w:eastAsia="Guttman Hodes" w:hint="cs"/>
          <w:rtl/>
        </w:rPr>
        <w:t>(ח"ב שבת סי' נ"ו ד"ה וכל היכא)</w:t>
      </w:r>
      <w:r w:rsidRPr="00B4411F">
        <w:rPr>
          <w:rFonts w:hint="cs"/>
          <w:vanish/>
          <w:rtl/>
        </w:rPr>
        <w:t>=</w:t>
      </w:r>
      <w:r>
        <w:rPr>
          <w:rFonts w:hint="cs"/>
          <w:rtl/>
        </w:rPr>
        <w:t xml:space="preserve"> דהחיוב במדלדל עובר הוא ככל עוקר דבר מגידולו, וכעוקר כשות מהיזמי והיגי, וזהו החיוב בתולש פיטרא מאונא דחצבא </w:t>
      </w:r>
      <w:bookmarkStart w:id="1465" w:name="_Hlk135215232"/>
      <w:r>
        <w:rPr>
          <w:rFonts w:hint="cs"/>
          <w:rtl/>
        </w:rPr>
        <w:t xml:space="preserve">בגמ' לקמן </w:t>
      </w:r>
      <w:r w:rsidRPr="00FB451D">
        <w:rPr>
          <w:rStyle w:val="af2"/>
          <w:rFonts w:eastAsia="Guttman Hodes" w:hint="cs"/>
          <w:rtl/>
        </w:rPr>
        <w:t>(קח.)</w:t>
      </w:r>
      <w:bookmarkEnd w:id="1465"/>
      <w:r>
        <w:rPr>
          <w:rFonts w:hint="cs"/>
          <w:rtl/>
        </w:rPr>
        <w:t xml:space="preserve">, וכתב </w:t>
      </w:r>
      <w:r w:rsidRPr="00B4411F">
        <w:rPr>
          <w:rStyle w:val="aff4"/>
          <w:rFonts w:hint="cs"/>
          <w:vanish/>
          <w:rtl/>
        </w:rPr>
        <w:t>-</w:t>
      </w:r>
      <w:r w:rsidRPr="005C4013">
        <w:rPr>
          <w:rStyle w:val="aff4"/>
          <w:rFonts w:hint="cs"/>
          <w:rtl/>
        </w:rPr>
        <w:t>האו"ז</w:t>
      </w:r>
      <w:r w:rsidRPr="00B4411F">
        <w:rPr>
          <w:rStyle w:val="aff4"/>
          <w:rFonts w:hint="cs"/>
          <w:vanish/>
          <w:rtl/>
        </w:rPr>
        <w:t>-</w:t>
      </w:r>
      <w:r>
        <w:rPr>
          <w:rFonts w:hint="cs"/>
          <w:rtl/>
        </w:rPr>
        <w:t xml:space="preserve"> דאחר דמבואר דבכל עוקר דבר מגידולו חייב חטאת משום קוצר, כיון דהיינו רביתיה, א"כ זהו הביאור בהא דאיתא בגמ' לקמן </w:t>
      </w:r>
      <w:r w:rsidRPr="00FB451D">
        <w:rPr>
          <w:rStyle w:val="af2"/>
          <w:rFonts w:eastAsia="Guttman Hodes" w:hint="cs"/>
          <w:rtl/>
        </w:rPr>
        <w:t>(צה.)</w:t>
      </w:r>
      <w:r>
        <w:rPr>
          <w:rFonts w:hint="cs"/>
          <w:rtl/>
        </w:rPr>
        <w:t xml:space="preserve"> דלדעת ר"א הרודה חלות דבש חייב חטאת, והיינו כיון דהוא עוקר דבר מגידולו, כיון דר"א יליף דבש מיער לכן ס"ל דהוא כעוקר דבר מגידולו.</w:t>
      </w:r>
      <w:bookmarkEnd w:id="1464"/>
    </w:p>
    <w:p w14:paraId="29383A7F" w14:textId="77777777" w:rsidR="000426DE" w:rsidRPr="00747170" w:rsidRDefault="000426DE" w:rsidP="00747170">
      <w:pPr>
        <w:pStyle w:val="a2"/>
        <w:rPr>
          <w:rtl/>
        </w:rPr>
      </w:pPr>
      <w:r w:rsidRPr="00747170">
        <w:rPr>
          <w:rtl/>
        </w:rPr>
        <w:t>וכל היכא דעקר דבר מגדולו ממקום רביתי' הוה משום תולש כההיא דפרק שמונה שרצים דאמר בר המדורי אמר שמואל הושיט ידו במעי הבהמה ודלדל עובר שבמעיה חייב מ"ט אמר (רבה) [רבא] בר המדורי אסברה ניהלה לאו א"ר ששת האי מאן דתלש כשות' מהיזמי והיגי חייב משום עוקר דבר מגדולו הכא נמי חייב משום עוקר דבר [מגדולו]. אמר אביי האי [מאן] דתלש פיטרא מאונא דחצבא מחייב משום עוקר דבר מגדולו פי' פטריות שגדלו בשפת הכד. מתיב רב הושעיא התולש מעציץ נקוב חייב משאינו [נקוב פטור] התם לאו היינו רבותי' [הכא היינו רבותיה] הא למדת דכל היכא דעוקר דבר מגדולו והוא מקום רבותי' דחייב חטאת וה"ה דס"פ המצניע דהרודה חלות דבש [בשבת] חייב חטאת מסתבר' דמתרינן ביה משום תולש כדילפי' לה התם מה יער התולש ממנו בשבת חייב חטאת אף חלות דבש הרודה ממנו בשבת חייב חטאת:</w:t>
      </w:r>
    </w:p>
    <w:p w14:paraId="6D28DA0C" w14:textId="77777777" w:rsidR="000426DE" w:rsidRDefault="000426DE" w:rsidP="000426DE">
      <w:pPr>
        <w:pStyle w:val="afffff7"/>
        <w:rPr>
          <w:rtl/>
        </w:rPr>
      </w:pPr>
      <w:bookmarkStart w:id="1466" w:name="_Toc135513693"/>
      <w:bookmarkStart w:id="1467" w:name="_Toc163505618"/>
      <w:r>
        <w:rPr>
          <w:rtl/>
        </w:rPr>
        <w:t>חדושי הרמב"ן שבת צ"ה ע"א</w:t>
      </w:r>
      <w:r>
        <w:rPr>
          <w:rFonts w:hint="cs"/>
          <w:rtl/>
        </w:rPr>
        <w:t xml:space="preserve"> ד"ה והא דקתני</w:t>
      </w:r>
      <w:bookmarkEnd w:id="1466"/>
      <w:bookmarkEnd w:id="1467"/>
    </w:p>
    <w:p w14:paraId="5341FC3D" w14:textId="77777777" w:rsidR="000426DE" w:rsidRDefault="000426DE" w:rsidP="000426DE">
      <w:pPr>
        <w:pStyle w:val="afffff7"/>
        <w:rPr>
          <w:rtl/>
        </w:rPr>
      </w:pPr>
      <w:bookmarkStart w:id="1468" w:name="_Toc135513694"/>
      <w:bookmarkStart w:id="1469" w:name="_Toc163505619"/>
      <w:r>
        <w:rPr>
          <w:rtl/>
        </w:rPr>
        <w:t>חדושי הרשב"א שבת צ"ה ע"א</w:t>
      </w:r>
      <w:r>
        <w:rPr>
          <w:rFonts w:hint="cs"/>
          <w:rtl/>
        </w:rPr>
        <w:t xml:space="preserve"> ד"ה ומכל מקום</w:t>
      </w:r>
      <w:bookmarkEnd w:id="1468"/>
      <w:bookmarkEnd w:id="1469"/>
    </w:p>
    <w:p w14:paraId="25768FFF" w14:textId="77777777" w:rsidR="000426DE" w:rsidRPr="008C348C" w:rsidRDefault="000426DE" w:rsidP="000426DE">
      <w:pPr>
        <w:pStyle w:val="a7"/>
        <w:rPr>
          <w:rtl/>
        </w:rPr>
      </w:pPr>
      <w:bookmarkStart w:id="1470" w:name="_Toc139316350"/>
      <w:r>
        <w:rPr>
          <w:rFonts w:hint="cs"/>
          <w:rtl/>
        </w:rPr>
        <w:t>בי' הרשב"א  והרמב"ן דלר"א דבש חשיב מחובר ממש כיון דילפינן לה מיער ולכן הוי קוצר</w:t>
      </w:r>
      <w:bookmarkEnd w:id="1470"/>
    </w:p>
    <w:p w14:paraId="507EE953" w14:textId="6EA782C1" w:rsidR="000426DE" w:rsidRDefault="000426DE" w:rsidP="00BC7DC8">
      <w:pPr>
        <w:pStyle w:val="a3"/>
        <w:rPr>
          <w:rtl/>
        </w:rPr>
      </w:pPr>
      <w:bookmarkStart w:id="1471" w:name="_Ref135215803"/>
      <w:r>
        <w:rPr>
          <w:rFonts w:hint="cs"/>
          <w:rtl/>
        </w:rPr>
        <w:t xml:space="preserve">אבל </w:t>
      </w:r>
      <w:r w:rsidRPr="00B4411F">
        <w:rPr>
          <w:rStyle w:val="aff4"/>
          <w:rFonts w:hint="cs"/>
          <w:vanish/>
          <w:rtl/>
        </w:rPr>
        <w:t>-</w:t>
      </w:r>
      <w:r w:rsidRPr="005C4013">
        <w:rPr>
          <w:rStyle w:val="aff4"/>
          <w:rFonts w:hint="cs"/>
          <w:rtl/>
        </w:rPr>
        <w:t>ה</w:t>
      </w:r>
      <w:r w:rsidRPr="00B4411F">
        <w:rPr>
          <w:rStyle w:val="aff4"/>
          <w:rFonts w:hint="cs"/>
          <w:vanish/>
          <w:rtl/>
        </w:rPr>
        <w:t xml:space="preserve">&lt;. </w:t>
      </w:r>
      <w:r w:rsidRPr="00B4411F">
        <w:rPr>
          <w:rStyle w:val="aff4"/>
          <w:vanish/>
          <w:rtl/>
        </w:rPr>
        <w:fldChar w:fldCharType="begin"/>
      </w:r>
      <w:r w:rsidRPr="00B4411F">
        <w:rPr>
          <w:rStyle w:val="aff4"/>
          <w:vanish/>
          <w:rtl/>
        </w:rPr>
        <w:instrText xml:space="preserve"> </w:instrText>
      </w:r>
      <w:r w:rsidRPr="00B4411F">
        <w:rPr>
          <w:rStyle w:val="aff4"/>
          <w:rFonts w:hint="cs"/>
          <w:vanish/>
        </w:rPr>
        <w:instrText>REF</w:instrText>
      </w:r>
      <w:r w:rsidRPr="00B4411F">
        <w:rPr>
          <w:rStyle w:val="aff4"/>
          <w:rFonts w:hint="cs"/>
          <w:vanish/>
          <w:rtl/>
        </w:rPr>
        <w:instrText xml:space="preserve"> _</w:instrText>
      </w:r>
      <w:r w:rsidRPr="00B4411F">
        <w:rPr>
          <w:rStyle w:val="aff4"/>
          <w:rFonts w:hint="cs"/>
          <w:vanish/>
        </w:rPr>
        <w:instrText>Ref135215803 \r \h</w:instrText>
      </w:r>
      <w:r w:rsidRPr="00B4411F">
        <w:rPr>
          <w:rStyle w:val="aff4"/>
          <w:vanish/>
          <w:rtl/>
        </w:rPr>
        <w:instrText xml:space="preserve"> </w:instrText>
      </w:r>
      <w:r w:rsidRPr="00B4411F">
        <w:rPr>
          <w:rStyle w:val="aff4"/>
          <w:vanish/>
          <w:rtl/>
        </w:rPr>
      </w:r>
      <w:r w:rsidRPr="00B4411F">
        <w:rPr>
          <w:rStyle w:val="aff4"/>
          <w:vanish/>
          <w:rtl/>
        </w:rPr>
        <w:fldChar w:fldCharType="separate"/>
      </w:r>
      <w:r w:rsidR="00D82181">
        <w:rPr>
          <w:rStyle w:val="aff4"/>
          <w:vanish/>
          <w:cs/>
        </w:rPr>
        <w:t>‎</w:t>
      </w:r>
      <w:r w:rsidR="00D82181">
        <w:rPr>
          <w:rStyle w:val="aff4"/>
          <w:vanish/>
          <w:rtl/>
        </w:rPr>
        <w:t>כח)</w:t>
      </w:r>
      <w:r w:rsidRPr="00B4411F">
        <w:rPr>
          <w:rStyle w:val="aff4"/>
          <w:vanish/>
          <w:rtl/>
        </w:rPr>
        <w:fldChar w:fldCharType="end"/>
      </w:r>
      <w:r w:rsidRPr="00B4411F">
        <w:rPr>
          <w:rStyle w:val="aff4"/>
          <w:rFonts w:hint="cs"/>
          <w:vanish/>
          <w:rtl/>
        </w:rPr>
        <w:t xml:space="preserve"> &gt;</w:t>
      </w:r>
      <w:r w:rsidRPr="005C4013">
        <w:rPr>
          <w:rStyle w:val="aff4"/>
          <w:rFonts w:hint="cs"/>
          <w:rtl/>
        </w:rPr>
        <w:t>רמב"ן לקמן</w:t>
      </w:r>
      <w:r w:rsidRPr="00B4411F">
        <w:rPr>
          <w:rStyle w:val="aff4"/>
          <w:rFonts w:hint="cs"/>
          <w:vanish/>
          <w:rtl/>
        </w:rPr>
        <w:t>-</w:t>
      </w:r>
      <w:r>
        <w:rPr>
          <w:rFonts w:hint="cs"/>
          <w:rtl/>
        </w:rPr>
        <w:t xml:space="preserve"> </w:t>
      </w:r>
      <w:r w:rsidRPr="00FB451D">
        <w:rPr>
          <w:rStyle w:val="af2"/>
          <w:rFonts w:eastAsia="Guttman Hodes" w:hint="cs"/>
          <w:rtl/>
        </w:rPr>
        <w:t>(צה. ד"ה והא דקתני)</w:t>
      </w:r>
      <w:r w:rsidRPr="00B4411F">
        <w:rPr>
          <w:rFonts w:hint="cs"/>
          <w:vanish/>
          <w:rtl/>
        </w:rPr>
        <w:t>=</w:t>
      </w:r>
      <w:r>
        <w:rPr>
          <w:rFonts w:hint="cs"/>
          <w:rtl/>
        </w:rPr>
        <w:t xml:space="preserve"> </w:t>
      </w:r>
      <w:r w:rsidRPr="00B4411F">
        <w:rPr>
          <w:rStyle w:val="aff4"/>
          <w:rFonts w:hint="cs"/>
          <w:vanish/>
          <w:rtl/>
        </w:rPr>
        <w:t>-</w:t>
      </w:r>
      <w:r w:rsidRPr="005C4013">
        <w:rPr>
          <w:rStyle w:val="aff4"/>
          <w:rFonts w:hint="cs"/>
          <w:rtl/>
        </w:rPr>
        <w:t>וה</w:t>
      </w:r>
      <w:r w:rsidRPr="00B4411F">
        <w:rPr>
          <w:rStyle w:val="aff4"/>
          <w:rFonts w:hint="cs"/>
          <w:vanish/>
          <w:rtl/>
        </w:rPr>
        <w:t>&lt; &gt;</w:t>
      </w:r>
      <w:r w:rsidRPr="005C4013">
        <w:rPr>
          <w:rStyle w:val="aff4"/>
          <w:rFonts w:hint="cs"/>
          <w:rtl/>
        </w:rPr>
        <w:t>רשב"א לקמן</w:t>
      </w:r>
      <w:r w:rsidRPr="00B4411F">
        <w:rPr>
          <w:rStyle w:val="aff4"/>
          <w:rFonts w:hint="cs"/>
          <w:vanish/>
          <w:rtl/>
        </w:rPr>
        <w:t>-</w:t>
      </w:r>
      <w:r>
        <w:rPr>
          <w:rFonts w:hint="cs"/>
          <w:rtl/>
        </w:rPr>
        <w:t xml:space="preserve"> </w:t>
      </w:r>
      <w:r w:rsidRPr="00FB451D">
        <w:rPr>
          <w:rStyle w:val="af2"/>
          <w:rFonts w:eastAsia="Guttman Hodes" w:hint="cs"/>
          <w:rtl/>
        </w:rPr>
        <w:t>(צה. ד"ה ומכל מקום)</w:t>
      </w:r>
      <w:r w:rsidRPr="00B4411F">
        <w:rPr>
          <w:rFonts w:hint="cs"/>
          <w:vanish/>
          <w:rtl/>
        </w:rPr>
        <w:t>=</w:t>
      </w:r>
      <w:r>
        <w:rPr>
          <w:rFonts w:hint="cs"/>
          <w:rtl/>
        </w:rPr>
        <w:t xml:space="preserve"> כתבו דלר"א דבש חשיב כמחובר ממש, כיון דיליף לה מיער דהתולש ממנו כתולש ממחובר.</w:t>
      </w:r>
      <w:bookmarkEnd w:id="1471"/>
    </w:p>
    <w:p w14:paraId="2FC9FE21" w14:textId="77777777" w:rsidR="000426DE" w:rsidRPr="00747170" w:rsidRDefault="000426DE" w:rsidP="00747170">
      <w:pPr>
        <w:pStyle w:val="a2"/>
        <w:rPr>
          <w:rtl/>
        </w:rPr>
      </w:pPr>
      <w:r w:rsidRPr="00747170">
        <w:rPr>
          <w:rtl/>
        </w:rPr>
        <w:t xml:space="preserve">ארודה חלות דבש נמי, דכיון דסבר ר' אליעזר יער הוא והתולש ממנו כתולש מן המחובר </w:t>
      </w:r>
    </w:p>
    <w:p w14:paraId="7326FDD2" w14:textId="77777777" w:rsidR="000426DE" w:rsidRPr="00D578AC" w:rsidRDefault="000426DE" w:rsidP="00747170">
      <w:pPr>
        <w:pStyle w:val="afffff5"/>
        <w:rPr>
          <w:rtl/>
        </w:rPr>
      </w:pPr>
      <w:r w:rsidRPr="00D578AC">
        <w:rPr>
          <w:rtl/>
        </w:rPr>
        <w:t>ומכל מקום הרודה חלת דבש ביום טוב לוקה את הארבעים ואכולה בבא דסיפא קאי, דאע"ג דאוכל נפש הוא, הא מקישו הכתוב ליער לומר שהוא אסור משום תולש</w:t>
      </w:r>
      <w:r w:rsidRPr="00D578AC">
        <w:rPr>
          <w:rFonts w:hint="cs"/>
          <w:rtl/>
        </w:rPr>
        <w:t>.</w:t>
      </w:r>
    </w:p>
    <w:p w14:paraId="39E44638" w14:textId="77777777" w:rsidR="000426DE" w:rsidRDefault="000426DE" w:rsidP="000426DE">
      <w:pPr>
        <w:pStyle w:val="affff5"/>
      </w:pPr>
      <w:bookmarkStart w:id="1472" w:name="_Toc139316351"/>
      <w:r w:rsidRPr="00716C93">
        <w:rPr>
          <w:rFonts w:hint="cs"/>
          <w:rtl/>
        </w:rPr>
        <w:t>~~~~~~~~~~~~~~~~~~~~~~~~~~~~</w:t>
      </w:r>
      <w:bookmarkEnd w:id="1472"/>
      <w:r w:rsidRPr="002439C9">
        <w:rPr>
          <w:vanish/>
          <w:rtl/>
        </w:rPr>
        <w:t>&lt; # =</w:t>
      </w:r>
    </w:p>
    <w:p w14:paraId="05669F99" w14:textId="77777777" w:rsidR="000426DE" w:rsidRDefault="000426DE" w:rsidP="000426DE">
      <w:pPr>
        <w:pStyle w:val="affff5"/>
        <w:rPr>
          <w:rtl/>
        </w:rPr>
      </w:pPr>
      <w:bookmarkStart w:id="1473" w:name="_Toc139316352"/>
      <w:r>
        <w:rPr>
          <w:rFonts w:hint="cs"/>
          <w:rtl/>
        </w:rPr>
        <w:t>בקוצר במחובר יבש שאין בו יניקה כלל</w:t>
      </w:r>
      <w:bookmarkEnd w:id="1473"/>
      <w:r w:rsidRPr="002439C9">
        <w:rPr>
          <w:vanish/>
          <w:rtl/>
        </w:rPr>
        <w:t>&lt; # =</w:t>
      </w:r>
    </w:p>
    <w:p w14:paraId="4D056E79" w14:textId="77777777" w:rsidR="000426DE" w:rsidRDefault="000426DE" w:rsidP="000426DE">
      <w:pPr>
        <w:pStyle w:val="1"/>
        <w:rPr>
          <w:rtl/>
        </w:rPr>
      </w:pPr>
      <w:bookmarkStart w:id="1474" w:name="_Toc139316353"/>
      <w:r>
        <w:rPr>
          <w:rFonts w:hint="cs"/>
          <w:rtl/>
        </w:rPr>
        <w:t>בי' הראשונים דפירות ותבן שיבשו לגמרי אין בהם איסור תולש</w:t>
      </w:r>
      <w:bookmarkEnd w:id="1474"/>
    </w:p>
    <w:p w14:paraId="646BF325" w14:textId="77777777" w:rsidR="000426DE" w:rsidRDefault="000426DE" w:rsidP="000426DE">
      <w:pPr>
        <w:pStyle w:val="afffff7"/>
        <w:rPr>
          <w:rtl/>
        </w:rPr>
      </w:pPr>
      <w:bookmarkStart w:id="1475" w:name="_Toc135513695"/>
      <w:bookmarkStart w:id="1476" w:name="_Toc163505620"/>
      <w:r>
        <w:rPr>
          <w:rtl/>
        </w:rPr>
        <w:t>רש"י חולין קכ"ז ע"ב</w:t>
      </w:r>
      <w:r>
        <w:rPr>
          <w:rFonts w:hint="cs"/>
          <w:rtl/>
        </w:rPr>
        <w:t xml:space="preserve"> ד"ה אי</w:t>
      </w:r>
      <w:bookmarkEnd w:id="1475"/>
      <w:bookmarkEnd w:id="1476"/>
    </w:p>
    <w:p w14:paraId="1C5BAE75" w14:textId="77777777" w:rsidR="000426DE" w:rsidRDefault="000426DE" w:rsidP="000426DE">
      <w:pPr>
        <w:pStyle w:val="afffff7"/>
        <w:rPr>
          <w:rtl/>
        </w:rPr>
      </w:pPr>
      <w:bookmarkStart w:id="1477" w:name="_Toc135513696"/>
      <w:bookmarkStart w:id="1478" w:name="_Toc163505621"/>
      <w:r>
        <w:rPr>
          <w:rtl/>
        </w:rPr>
        <w:t>תוספות שבת ק"נ ע"ב</w:t>
      </w:r>
      <w:r>
        <w:rPr>
          <w:rFonts w:hint="cs"/>
          <w:rtl/>
        </w:rPr>
        <w:t xml:space="preserve"> ד"ה במחובר</w:t>
      </w:r>
      <w:bookmarkEnd w:id="1477"/>
      <w:bookmarkEnd w:id="1478"/>
    </w:p>
    <w:p w14:paraId="04407415" w14:textId="77777777" w:rsidR="000426DE" w:rsidRDefault="000426DE" w:rsidP="000426DE">
      <w:pPr>
        <w:pStyle w:val="afffff7"/>
        <w:rPr>
          <w:rtl/>
        </w:rPr>
      </w:pPr>
      <w:bookmarkStart w:id="1479" w:name="_Toc135513697"/>
      <w:bookmarkStart w:id="1480" w:name="_Toc163505622"/>
      <w:r>
        <w:rPr>
          <w:rtl/>
        </w:rPr>
        <w:t>רש"י שבת ק"נ ע"ב</w:t>
      </w:r>
      <w:r>
        <w:rPr>
          <w:rFonts w:hint="cs"/>
          <w:rtl/>
        </w:rPr>
        <w:t xml:space="preserve"> ד"ה המחוברים</w:t>
      </w:r>
      <w:bookmarkEnd w:id="1479"/>
      <w:bookmarkEnd w:id="1480"/>
    </w:p>
    <w:p w14:paraId="37B1F83C" w14:textId="77777777" w:rsidR="000426DE" w:rsidRDefault="000426DE" w:rsidP="000426DE">
      <w:pPr>
        <w:pStyle w:val="a7"/>
        <w:rPr>
          <w:rtl/>
        </w:rPr>
      </w:pPr>
      <w:bookmarkStart w:id="1481" w:name="_Toc139316354"/>
      <w:r>
        <w:rPr>
          <w:rFonts w:hint="cs"/>
          <w:rtl/>
        </w:rPr>
        <w:t>בי' רש"י ותוס' דפירות שיבשו ולא עוקציהן כמחובר וביבש עוקציהן וכן תבן שיבש הם כתלושים</w:t>
      </w:r>
      <w:bookmarkEnd w:id="1481"/>
      <w:r>
        <w:rPr>
          <w:rFonts w:hint="cs"/>
          <w:rtl/>
        </w:rPr>
        <w:t xml:space="preserve"> </w:t>
      </w:r>
    </w:p>
    <w:p w14:paraId="418CEEE3" w14:textId="3B3A31FE" w:rsidR="000426DE" w:rsidRDefault="000426DE" w:rsidP="00BC7DC8">
      <w:pPr>
        <w:pStyle w:val="a3"/>
      </w:pPr>
      <w:bookmarkStart w:id="1482" w:name="_Ref134561015"/>
      <w:bookmarkStart w:id="1483" w:name="_Ref135404755"/>
      <w:bookmarkStart w:id="1484" w:name="_Ref134565153"/>
      <w:r>
        <w:rPr>
          <w:rFonts w:hint="cs"/>
          <w:rtl/>
        </w:rPr>
        <w:t xml:space="preserve">בהא דאיתא בגמ' בחולין </w:t>
      </w:r>
      <w:r w:rsidRPr="00FB451D">
        <w:rPr>
          <w:rStyle w:val="af2"/>
          <w:rFonts w:eastAsia="Guttman Hodes" w:hint="cs"/>
          <w:rtl/>
        </w:rPr>
        <w:t>(קכז:)</w:t>
      </w:r>
      <w:r>
        <w:rPr>
          <w:rFonts w:hint="cs"/>
          <w:rtl/>
        </w:rPr>
        <w:t xml:space="preserve"> ד</w:t>
      </w:r>
      <w:r>
        <w:rPr>
          <w:rtl/>
        </w:rPr>
        <w:t>תאנים שצמקו באיביהן מטמאות טומאת אוכלין במקומן</w:t>
      </w:r>
      <w:r>
        <w:rPr>
          <w:rFonts w:hint="cs"/>
          <w:rtl/>
        </w:rPr>
        <w:t>,</w:t>
      </w:r>
      <w:r>
        <w:rPr>
          <w:rtl/>
        </w:rPr>
        <w:t xml:space="preserve"> והתולש מהן בשבת חייב חטאת</w:t>
      </w:r>
      <w:r>
        <w:rPr>
          <w:rFonts w:hint="cs"/>
          <w:rtl/>
        </w:rPr>
        <w:t xml:space="preserve">, כתב </w:t>
      </w:r>
      <w:r w:rsidRPr="00B53404">
        <w:rPr>
          <w:rFonts w:hint="cs"/>
          <w:vanish/>
          <w:rtl/>
        </w:rPr>
        <w:t xml:space="preserve">&lt;. </w:t>
      </w:r>
      <w:r w:rsidRPr="00B53404">
        <w:rPr>
          <w:vanish/>
          <w:rtl/>
        </w:rPr>
        <w:fldChar w:fldCharType="begin"/>
      </w:r>
      <w:r w:rsidRPr="00B53404">
        <w:rPr>
          <w:vanish/>
          <w:rtl/>
        </w:rPr>
        <w:instrText xml:space="preserve"> </w:instrText>
      </w:r>
      <w:r w:rsidRPr="00B53404">
        <w:rPr>
          <w:rFonts w:hint="cs"/>
          <w:vanish/>
        </w:rPr>
        <w:instrText>REF</w:instrText>
      </w:r>
      <w:r w:rsidRPr="00B53404">
        <w:rPr>
          <w:rFonts w:hint="cs"/>
          <w:vanish/>
          <w:rtl/>
        </w:rPr>
        <w:instrText xml:space="preserve"> _</w:instrText>
      </w:r>
      <w:r w:rsidRPr="00B53404">
        <w:rPr>
          <w:rFonts w:hint="cs"/>
          <w:vanish/>
        </w:rPr>
        <w:instrText>Ref134565153 \r \h</w:instrText>
      </w:r>
      <w:r w:rsidRPr="00B53404">
        <w:rPr>
          <w:vanish/>
          <w:rtl/>
        </w:rPr>
        <w:instrText xml:space="preserve"> </w:instrText>
      </w:r>
      <w:r w:rsidRPr="00B53404">
        <w:rPr>
          <w:vanish/>
          <w:rtl/>
        </w:rPr>
      </w:r>
      <w:r w:rsidRPr="00B53404">
        <w:rPr>
          <w:vanish/>
          <w:rtl/>
        </w:rPr>
        <w:fldChar w:fldCharType="separate"/>
      </w:r>
      <w:r w:rsidR="00D82181">
        <w:rPr>
          <w:vanish/>
          <w:cs/>
        </w:rPr>
        <w:t>‎</w:t>
      </w:r>
      <w:r w:rsidR="00D82181">
        <w:rPr>
          <w:vanish/>
          <w:rtl/>
        </w:rPr>
        <w:t>כט)</w:t>
      </w:r>
      <w:r w:rsidRPr="00B53404">
        <w:rPr>
          <w:vanish/>
          <w:rtl/>
        </w:rPr>
        <w:fldChar w:fldCharType="end"/>
      </w:r>
      <w:r w:rsidRPr="00B53404">
        <w:rPr>
          <w:rFonts w:hint="cs"/>
          <w:vanish/>
          <w:rtl/>
        </w:rPr>
        <w:t xml:space="preserve"> &gt;</w:t>
      </w:r>
      <w:r w:rsidRPr="00C65D8D">
        <w:rPr>
          <w:rStyle w:val="aff4"/>
          <w:rFonts w:hint="cs"/>
          <w:vanish/>
          <w:rtl/>
        </w:rPr>
        <w:t>-</w:t>
      </w:r>
      <w:r w:rsidRPr="00C65D8D">
        <w:rPr>
          <w:rStyle w:val="aff4"/>
          <w:rFonts w:hint="cs"/>
          <w:rtl/>
        </w:rPr>
        <w:t xml:space="preserve">רש"י </w:t>
      </w:r>
      <w:r w:rsidRPr="00C65D8D">
        <w:rPr>
          <w:rStyle w:val="aff4"/>
          <w:rFonts w:hint="cs"/>
          <w:rtl/>
        </w:rPr>
        <w:t>בחולין</w:t>
      </w:r>
      <w:r w:rsidRPr="00C65D8D">
        <w:rPr>
          <w:rStyle w:val="aff4"/>
          <w:rFonts w:hint="cs"/>
          <w:vanish/>
          <w:rtl/>
        </w:rPr>
        <w:t>-</w:t>
      </w:r>
      <w:r>
        <w:rPr>
          <w:rFonts w:hint="cs"/>
          <w:rtl/>
        </w:rPr>
        <w:t xml:space="preserve"> </w:t>
      </w:r>
      <w:r w:rsidRPr="00FB451D">
        <w:rPr>
          <w:rStyle w:val="af2"/>
          <w:rFonts w:eastAsia="Guttman Hodes" w:hint="cs"/>
          <w:rtl/>
        </w:rPr>
        <w:t>(קכז: ד"ה אי)</w:t>
      </w:r>
      <w:r w:rsidRPr="00C65D8D">
        <w:rPr>
          <w:rFonts w:hint="cs"/>
          <w:vanish/>
          <w:rtl/>
        </w:rPr>
        <w:t>=</w:t>
      </w:r>
      <w:r>
        <w:rPr>
          <w:rFonts w:hint="cs"/>
          <w:rtl/>
        </w:rPr>
        <w:t xml:space="preserve"> דאי יבשו לגמרי ואף העוקץ יבש, הם כתלושים לגמרי אף לענין שבת, וכ"כ </w:t>
      </w:r>
      <w:r w:rsidRPr="00C65D8D">
        <w:rPr>
          <w:rStyle w:val="aff4"/>
          <w:rFonts w:hint="cs"/>
          <w:vanish/>
          <w:rtl/>
        </w:rPr>
        <w:t>-</w:t>
      </w:r>
      <w:r w:rsidRPr="00C65D8D">
        <w:rPr>
          <w:rStyle w:val="aff4"/>
          <w:rFonts w:hint="cs"/>
          <w:rtl/>
        </w:rPr>
        <w:t>ה</w:t>
      </w:r>
      <w:r w:rsidRPr="00B53404">
        <w:rPr>
          <w:rStyle w:val="aff4"/>
          <w:rFonts w:hint="cs"/>
          <w:vanish/>
          <w:rtl/>
        </w:rPr>
        <w:t>&lt; &gt;</w:t>
      </w:r>
      <w:r w:rsidRPr="00C65D8D">
        <w:rPr>
          <w:rStyle w:val="aff4"/>
          <w:rFonts w:hint="cs"/>
          <w:rtl/>
        </w:rPr>
        <w:t>תוס' לקמן</w:t>
      </w:r>
      <w:r w:rsidRPr="00C65D8D">
        <w:rPr>
          <w:rStyle w:val="aff4"/>
          <w:rFonts w:hint="cs"/>
          <w:vanish/>
          <w:rtl/>
        </w:rPr>
        <w:t>-</w:t>
      </w:r>
      <w:r>
        <w:rPr>
          <w:rFonts w:hint="cs"/>
          <w:rtl/>
        </w:rPr>
        <w:t xml:space="preserve"> </w:t>
      </w:r>
      <w:r w:rsidRPr="00FB451D">
        <w:rPr>
          <w:rStyle w:val="af2"/>
          <w:rFonts w:eastAsia="Guttman Hodes" w:hint="cs"/>
          <w:rtl/>
        </w:rPr>
        <w:t>(קנ: ד"ה במחובר)</w:t>
      </w:r>
      <w:bookmarkEnd w:id="1482"/>
      <w:r w:rsidRPr="00C65D8D">
        <w:rPr>
          <w:rFonts w:hint="cs"/>
          <w:vanish/>
          <w:rtl/>
        </w:rPr>
        <w:t>=</w:t>
      </w:r>
      <w:r>
        <w:rPr>
          <w:rFonts w:hint="cs"/>
          <w:rtl/>
        </w:rPr>
        <w:t xml:space="preserve"> דתבן יבש שמחובר לקרקע, אין בו איסור תלישה בשבת, כדמוכח בגמ' בחולין </w:t>
      </w:r>
      <w:r w:rsidRPr="00FB451D">
        <w:rPr>
          <w:rStyle w:val="af2"/>
          <w:rFonts w:eastAsia="Guttman Hodes" w:hint="cs"/>
          <w:rtl/>
        </w:rPr>
        <w:t>(קכז:)</w:t>
      </w:r>
      <w:r>
        <w:rPr>
          <w:rFonts w:hint="cs"/>
          <w:rtl/>
        </w:rPr>
        <w:t xml:space="preserve"> דרק ב</w:t>
      </w:r>
      <w:r>
        <w:rPr>
          <w:rtl/>
        </w:rPr>
        <w:t>תאנים שצמקו התולש מהן חייב</w:t>
      </w:r>
      <w:r>
        <w:rPr>
          <w:rFonts w:hint="cs"/>
          <w:rtl/>
        </w:rPr>
        <w:t xml:space="preserve">, ומשמע דהיינו דוקא כשצמקו, אבל ביבשו לגמרי הן ועוקציהן אינם כמחובר כלל, וכתבו </w:t>
      </w:r>
      <w:r w:rsidRPr="00C65D8D">
        <w:rPr>
          <w:rStyle w:val="aff4"/>
          <w:rFonts w:hint="cs"/>
          <w:vanish/>
          <w:rtl/>
        </w:rPr>
        <w:t>-</w:t>
      </w:r>
      <w:r w:rsidRPr="00C65D8D">
        <w:rPr>
          <w:rStyle w:val="aff4"/>
          <w:rFonts w:hint="cs"/>
          <w:rtl/>
        </w:rPr>
        <w:t>התוס' לקמן</w:t>
      </w:r>
      <w:r w:rsidRPr="00C65D8D">
        <w:rPr>
          <w:rStyle w:val="aff4"/>
          <w:rFonts w:hint="cs"/>
          <w:vanish/>
          <w:rtl/>
        </w:rPr>
        <w:t>-</w:t>
      </w:r>
      <w:r>
        <w:rPr>
          <w:rFonts w:hint="cs"/>
          <w:rtl/>
        </w:rPr>
        <w:t xml:space="preserve"> דהא דאיתא בגמ' לקמן </w:t>
      </w:r>
      <w:r w:rsidRPr="00FB451D">
        <w:rPr>
          <w:rStyle w:val="af2"/>
          <w:rFonts w:eastAsia="Guttman Hodes" w:hint="cs"/>
          <w:rtl/>
        </w:rPr>
        <w:t>(קנ:)</w:t>
      </w:r>
      <w:r>
        <w:rPr>
          <w:rFonts w:hint="cs"/>
          <w:rtl/>
        </w:rPr>
        <w:t xml:space="preserve"> דתבן מחובר אסור בשבת, אינו משום איסור תולש, דכיון שהוא יבש אין בו איסור תולש, אלא האיסור הוא כיון דכשתולשו הוא מיפה את הקרקע, וכתב </w:t>
      </w:r>
      <w:r w:rsidRPr="00C65D8D">
        <w:rPr>
          <w:rStyle w:val="aff4"/>
          <w:rFonts w:hint="cs"/>
          <w:vanish/>
          <w:rtl/>
        </w:rPr>
        <w:t>-</w:t>
      </w:r>
      <w:r w:rsidRPr="00C65D8D">
        <w:rPr>
          <w:rStyle w:val="aff4"/>
          <w:rFonts w:hint="cs"/>
          <w:rtl/>
        </w:rPr>
        <w:t>ה</w:t>
      </w:r>
      <w:r w:rsidRPr="00B53404">
        <w:rPr>
          <w:rStyle w:val="aff4"/>
          <w:rFonts w:hint="cs"/>
          <w:vanish/>
          <w:rtl/>
        </w:rPr>
        <w:t>&lt; &gt;</w:t>
      </w:r>
      <w:r w:rsidRPr="00C65D8D">
        <w:rPr>
          <w:rStyle w:val="aff4"/>
          <w:rFonts w:hint="cs"/>
          <w:rtl/>
        </w:rPr>
        <w:t>ביה"ל</w:t>
      </w:r>
      <w:r w:rsidRPr="00C65D8D">
        <w:rPr>
          <w:rStyle w:val="aff4"/>
          <w:rFonts w:hint="cs"/>
          <w:vanish/>
          <w:rtl/>
        </w:rPr>
        <w:t>-</w:t>
      </w:r>
      <w:r>
        <w:rPr>
          <w:rFonts w:hint="cs"/>
          <w:rtl/>
        </w:rPr>
        <w:t xml:space="preserve"> </w:t>
      </w:r>
      <w:r w:rsidRPr="00FB451D">
        <w:rPr>
          <w:rStyle w:val="af2"/>
          <w:rFonts w:eastAsia="Guttman Hodes" w:hint="cs"/>
          <w:rtl/>
        </w:rPr>
        <w:t>(סי' של"ו י"ב ד"ה חייב)</w:t>
      </w:r>
      <w:r w:rsidRPr="00C65D8D">
        <w:rPr>
          <w:rFonts w:hint="cs"/>
          <w:vanish/>
          <w:rtl/>
        </w:rPr>
        <w:t>=</w:t>
      </w:r>
      <w:r>
        <w:rPr>
          <w:rFonts w:hint="cs"/>
          <w:rtl/>
        </w:rPr>
        <w:t xml:space="preserve"> דכן מבואר מדברי </w:t>
      </w:r>
      <w:r w:rsidRPr="00B53404">
        <w:rPr>
          <w:rFonts w:hint="cs"/>
          <w:vanish/>
          <w:rtl/>
        </w:rPr>
        <w:t>&lt; &gt;</w:t>
      </w:r>
      <w:r w:rsidRPr="00C65D8D">
        <w:rPr>
          <w:rStyle w:val="aff4"/>
          <w:rFonts w:hint="cs"/>
          <w:vanish/>
          <w:rtl/>
        </w:rPr>
        <w:t>-</w:t>
      </w:r>
      <w:r w:rsidRPr="00C65D8D">
        <w:rPr>
          <w:rStyle w:val="aff4"/>
          <w:rFonts w:hint="cs"/>
          <w:rtl/>
        </w:rPr>
        <w:t>רש"י לקמן</w:t>
      </w:r>
      <w:r w:rsidRPr="00C65D8D">
        <w:rPr>
          <w:rStyle w:val="aff4"/>
          <w:rFonts w:hint="cs"/>
          <w:vanish/>
          <w:rtl/>
        </w:rPr>
        <w:t>-</w:t>
      </w:r>
      <w:r>
        <w:rPr>
          <w:rFonts w:hint="cs"/>
          <w:rtl/>
        </w:rPr>
        <w:t xml:space="preserve"> </w:t>
      </w:r>
      <w:r w:rsidRPr="00FB451D">
        <w:rPr>
          <w:rStyle w:val="af2"/>
          <w:rFonts w:eastAsia="Guttman Hodes" w:hint="cs"/>
          <w:rtl/>
        </w:rPr>
        <w:t>(קנ: ד"ה המחובר)</w:t>
      </w:r>
      <w:r w:rsidRPr="00C65D8D">
        <w:rPr>
          <w:rFonts w:hint="cs"/>
          <w:vanish/>
          <w:rtl/>
        </w:rPr>
        <w:t>=</w:t>
      </w:r>
      <w:r>
        <w:rPr>
          <w:rFonts w:hint="cs"/>
          <w:rtl/>
        </w:rPr>
        <w:t xml:space="preserve"> ועי' במ"ש </w:t>
      </w:r>
      <w:r w:rsidRPr="008D113A">
        <w:rPr>
          <w:rStyle w:val="aff4"/>
          <w:rFonts w:hint="cs"/>
          <w:vanish/>
          <w:rtl/>
        </w:rPr>
        <w:t>-</w:t>
      </w:r>
      <w:r w:rsidRPr="000614F7">
        <w:rPr>
          <w:rStyle w:val="aff4"/>
          <w:rFonts w:hint="cs"/>
          <w:rtl/>
        </w:rPr>
        <w:t>הדבר אברהם</w:t>
      </w:r>
      <w:r w:rsidRPr="008D113A">
        <w:rPr>
          <w:rStyle w:val="aff4"/>
          <w:rFonts w:hint="cs"/>
          <w:vanish/>
          <w:rtl/>
        </w:rPr>
        <w:t>-</w:t>
      </w:r>
      <w:r>
        <w:rPr>
          <w:rFonts w:hint="cs"/>
          <w:rtl/>
        </w:rPr>
        <w:t xml:space="preserve"> </w:t>
      </w:r>
      <w:r>
        <w:rPr>
          <w:rStyle w:val="af2"/>
          <w:rFonts w:eastAsia="Guttman Hodes" w:hint="cs"/>
          <w:rtl/>
        </w:rPr>
        <w:t xml:space="preserve">(עי' </w:t>
      </w:r>
      <w:r w:rsidRPr="000151A6">
        <w:rPr>
          <w:rStyle w:val="af2"/>
          <w:rFonts w:eastAsia="Guttman Hodes" w:hint="cs"/>
          <w:rtl/>
        </w:rPr>
        <w:t>אות</w:t>
      </w:r>
      <w:r w:rsidRPr="000151A6">
        <w:rPr>
          <w:rStyle w:val="af2"/>
          <w:rFonts w:eastAsia="Guttman Hodes"/>
          <w:rtl/>
        </w:rPr>
        <w:t xml:space="preserve"> </w:t>
      </w:r>
      <w:r w:rsidRPr="000151A6">
        <w:rPr>
          <w:rStyle w:val="af2"/>
          <w:rFonts w:eastAsia="Guttman Hodes"/>
          <w:rtl/>
        </w:rPr>
        <w:fldChar w:fldCharType="begin"/>
      </w:r>
      <w:r w:rsidRPr="000151A6">
        <w:rPr>
          <w:rStyle w:val="af2"/>
          <w:rFonts w:eastAsia="Guttman Hodes"/>
          <w:rtl/>
        </w:rPr>
        <w:instrText xml:space="preserve"> </w:instrText>
      </w:r>
      <w:r w:rsidRPr="000151A6">
        <w:rPr>
          <w:rStyle w:val="af2"/>
          <w:rFonts w:eastAsia="Guttman Hodes" w:hint="cs"/>
        </w:rPr>
        <w:instrText>REF</w:instrText>
      </w:r>
      <w:r w:rsidRPr="000151A6">
        <w:rPr>
          <w:rStyle w:val="af2"/>
          <w:rFonts w:eastAsia="Guttman Hodes" w:hint="cs"/>
          <w:rtl/>
        </w:rPr>
        <w:instrText xml:space="preserve"> _</w:instrText>
      </w:r>
      <w:r w:rsidRPr="000151A6">
        <w:rPr>
          <w:rStyle w:val="af2"/>
          <w:rFonts w:eastAsia="Guttman Hodes" w:hint="cs"/>
        </w:rPr>
        <w:instrText>Ref135404884 \r \h</w:instrText>
      </w:r>
      <w:r w:rsidRPr="000151A6">
        <w:rPr>
          <w:rStyle w:val="af2"/>
          <w:rFonts w:eastAsia="Guttman Hodes"/>
          <w:rtl/>
        </w:rPr>
        <w:instrText xml:space="preserve"> </w:instrText>
      </w:r>
      <w:r w:rsidRPr="000151A6">
        <w:rPr>
          <w:rStyle w:val="af2"/>
          <w:rFonts w:eastAsia="Guttman Hodes"/>
          <w:rtl/>
        </w:rPr>
      </w:r>
      <w:r w:rsidRPr="000151A6">
        <w:rPr>
          <w:rStyle w:val="af2"/>
          <w:rFonts w:eastAsia="Guttman Hodes"/>
          <w:rtl/>
        </w:rPr>
        <w:fldChar w:fldCharType="separate"/>
      </w:r>
      <w:r w:rsidR="00D82181">
        <w:rPr>
          <w:rStyle w:val="af2"/>
          <w:rFonts w:eastAsia="Guttman Hodes"/>
          <w:cs/>
        </w:rPr>
        <w:t>‎</w:t>
      </w:r>
      <w:r w:rsidR="00D82181">
        <w:rPr>
          <w:rStyle w:val="af2"/>
          <w:rFonts w:eastAsia="Guttman Hodes"/>
          <w:rtl/>
        </w:rPr>
        <w:t>קכ)</w:t>
      </w:r>
      <w:r w:rsidRPr="000151A6">
        <w:rPr>
          <w:rStyle w:val="af2"/>
          <w:rFonts w:eastAsia="Guttman Hodes"/>
          <w:rtl/>
        </w:rPr>
        <w:fldChar w:fldCharType="end"/>
      </w:r>
      <w:r>
        <w:rPr>
          <w:rFonts w:hint="cs"/>
          <w:rtl/>
        </w:rPr>
        <w:t xml:space="preserve"> בדברי </w:t>
      </w:r>
      <w:r w:rsidRPr="008D113A">
        <w:rPr>
          <w:rStyle w:val="aff4"/>
          <w:rFonts w:hint="cs"/>
          <w:vanish/>
          <w:rtl/>
        </w:rPr>
        <w:t>-</w:t>
      </w:r>
      <w:r w:rsidRPr="000614F7">
        <w:rPr>
          <w:rStyle w:val="aff4"/>
          <w:rFonts w:hint="cs"/>
          <w:rtl/>
        </w:rPr>
        <w:t>רש"י</w:t>
      </w:r>
      <w:r w:rsidRPr="008D113A">
        <w:rPr>
          <w:rStyle w:val="aff4"/>
          <w:rFonts w:hint="cs"/>
          <w:vanish/>
          <w:rtl/>
        </w:rPr>
        <w:t>-</w:t>
      </w:r>
      <w:r>
        <w:rPr>
          <w:rFonts w:hint="cs"/>
          <w:rtl/>
        </w:rPr>
        <w:t xml:space="preserve">, ובמ"ש </w:t>
      </w:r>
      <w:r w:rsidRPr="00C65D8D">
        <w:rPr>
          <w:rStyle w:val="aff4"/>
          <w:rFonts w:hint="cs"/>
          <w:vanish/>
          <w:rtl/>
        </w:rPr>
        <w:t>-</w:t>
      </w:r>
      <w:r w:rsidRPr="00C65D8D">
        <w:rPr>
          <w:rStyle w:val="aff4"/>
          <w:rFonts w:hint="cs"/>
          <w:rtl/>
        </w:rPr>
        <w:t>הזכר יצחק</w:t>
      </w:r>
      <w:r w:rsidRPr="00C65D8D">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Ref135342536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סו)</w:t>
      </w:r>
      <w:r>
        <w:rPr>
          <w:rStyle w:val="af2"/>
          <w:rFonts w:eastAsia="Guttman Hodes"/>
          <w:rtl/>
        </w:rPr>
        <w:fldChar w:fldCharType="end"/>
      </w:r>
      <w:r>
        <w:rPr>
          <w:rFonts w:hint="cs"/>
          <w:rtl/>
        </w:rPr>
        <w:t xml:space="preserve"> בדברי </w:t>
      </w:r>
      <w:r w:rsidRPr="00C65D8D">
        <w:rPr>
          <w:rStyle w:val="aff4"/>
          <w:rFonts w:hint="cs"/>
          <w:vanish/>
          <w:rtl/>
        </w:rPr>
        <w:t>-</w:t>
      </w:r>
      <w:r w:rsidRPr="00C65D8D">
        <w:rPr>
          <w:rStyle w:val="aff4"/>
          <w:rFonts w:hint="cs"/>
          <w:rtl/>
        </w:rPr>
        <w:t>התוס'</w:t>
      </w:r>
      <w:r w:rsidRPr="00C65D8D">
        <w:rPr>
          <w:rStyle w:val="aff4"/>
          <w:rFonts w:hint="cs"/>
          <w:vanish/>
          <w:rtl/>
        </w:rPr>
        <w:t>-</w:t>
      </w:r>
      <w:r>
        <w:rPr>
          <w:rFonts w:hint="cs"/>
          <w:rtl/>
        </w:rPr>
        <w:t>.</w:t>
      </w:r>
      <w:bookmarkEnd w:id="1483"/>
    </w:p>
    <w:p w14:paraId="56B5532E" w14:textId="77777777" w:rsidR="000426DE" w:rsidRPr="00747170" w:rsidRDefault="000426DE" w:rsidP="00747170">
      <w:pPr>
        <w:pStyle w:val="a2"/>
        <w:rPr>
          <w:rtl/>
        </w:rPr>
      </w:pPr>
      <w:r w:rsidRPr="00747170">
        <w:rPr>
          <w:rtl/>
        </w:rPr>
        <w:t>אי דיבשו הן ועוקציהן - דאף לענין שבת תלושין הן.</w:t>
      </w:r>
    </w:p>
    <w:p w14:paraId="0544E7F4" w14:textId="77777777" w:rsidR="000426DE" w:rsidRPr="00D578AC" w:rsidRDefault="000426DE" w:rsidP="00747170">
      <w:pPr>
        <w:pStyle w:val="afffff5"/>
        <w:rPr>
          <w:rtl/>
        </w:rPr>
      </w:pPr>
      <w:r w:rsidRPr="00D578AC">
        <w:rPr>
          <w:rtl/>
        </w:rPr>
        <w:t>במחובר משכחת לה - אומר רבי דלאו משום תלישה נקט לה דאע"ג שמחובר לארץ אין בו איסור תלישה כיון שיבש אינו יונק מן הארץ כדמוכח בחולין פרק העור והרוטב (דף קכז: ושם) דאמר תאנים שצמקו באביהן מטמאין טומאת אוכלין והתולש ממנה בשבת חייב חטאת דווקא צמקו אבל יבשו לא וכן משמע בכל הסוגיא דיבשו הן ועוקציהן מטמא טומאת אוכלין ואין דינו כלל כמחובר והא דקאמר הכא במחובר משכחת לה היינו משום איסור ייפוי קרקע כדאמר לעיל התולש עולשין בשבת חייב חטאת בפרק הבונה (לעיל דף קג.) והא דפריך בפרק המוציא תפילין (עירובין דף ק:) אאילן יבש הא קא נתרי פירי משמע שיש ביבש איסור תלישה אומר רבי דמיירי התם ביבשו הן ולא עוקציהן.</w:t>
      </w:r>
    </w:p>
    <w:p w14:paraId="3F831FC2" w14:textId="77777777" w:rsidR="000426DE" w:rsidRPr="00D578AC" w:rsidRDefault="000426DE" w:rsidP="00747170">
      <w:pPr>
        <w:pStyle w:val="afffff5"/>
        <w:rPr>
          <w:rtl/>
        </w:rPr>
      </w:pPr>
      <w:r w:rsidRPr="00D578AC">
        <w:rPr>
          <w:rtl/>
        </w:rPr>
        <w:t>המחוברים - שאי אפשר לקצצן בשבת על ידי שום תקנה.</w:t>
      </w:r>
    </w:p>
    <w:p w14:paraId="24661E16" w14:textId="77777777" w:rsidR="000426DE" w:rsidRDefault="000426DE" w:rsidP="000426DE">
      <w:pPr>
        <w:pStyle w:val="afffff7"/>
        <w:rPr>
          <w:rtl/>
        </w:rPr>
      </w:pPr>
      <w:bookmarkStart w:id="1485" w:name="_Toc135513698"/>
      <w:bookmarkStart w:id="1486" w:name="_Toc163505623"/>
      <w:bookmarkEnd w:id="1484"/>
      <w:r>
        <w:rPr>
          <w:rtl/>
        </w:rPr>
        <w:t>חדושי הרשב"א שבת ק"נ ע"ב</w:t>
      </w:r>
      <w:bookmarkEnd w:id="1485"/>
      <w:bookmarkEnd w:id="1486"/>
    </w:p>
    <w:p w14:paraId="7C9CE5D7" w14:textId="77777777" w:rsidR="000426DE" w:rsidRPr="00D578AC" w:rsidRDefault="000426DE" w:rsidP="00747170">
      <w:pPr>
        <w:pStyle w:val="afffff5"/>
        <w:rPr>
          <w:rtl/>
        </w:rPr>
      </w:pPr>
      <w:r w:rsidRPr="00D578AC">
        <w:rPr>
          <w:rtl/>
        </w:rPr>
        <w:t>בשלמא קש משכחת לה במחובר. דלא מצי תליש משום דמזיז עפר ממקומו, ואי נמי משום דמיפה את הקרקע וחייב משום חורש כדאמרינן בריש פרק הבונה (לעיל ק"ג א') התולש עולשין והמזרד זרדין אם ליפות את הקרקע כל שהן, ואי אפשר לפרש כאן משום עוקר דבר מגידולו, דקש יבש הוא ואינו יונק כלל מן הקרקע, וכן פירשו בתוספות, וכן משמע בפרק העור והרוטב (חולין קכ"ז ב') דאמרינן התם תאנים שצמקו באיביהן מטמא טומאת אוכלין והתולש בשבת חייב, דוקא צמקו אבל יבשו לא מחייב, וכן מוכחא כולה שמעתא התם.</w:t>
      </w:r>
    </w:p>
    <w:p w14:paraId="2A2A5D9F" w14:textId="77777777" w:rsidR="000426DE" w:rsidRDefault="000426DE" w:rsidP="000426DE">
      <w:pPr>
        <w:pStyle w:val="afffff7"/>
        <w:rPr>
          <w:rtl/>
        </w:rPr>
      </w:pPr>
      <w:bookmarkStart w:id="1487" w:name="_Toc135513699"/>
      <w:bookmarkStart w:id="1488" w:name="_Toc163505624"/>
      <w:r>
        <w:rPr>
          <w:rtl/>
        </w:rPr>
        <w:t>תוספות הרא"ש שבת ק"נ ע"ב</w:t>
      </w:r>
      <w:r>
        <w:rPr>
          <w:rFonts w:hint="cs"/>
          <w:rtl/>
        </w:rPr>
        <w:t xml:space="preserve"> ד"ה בשלמא</w:t>
      </w:r>
      <w:bookmarkEnd w:id="1487"/>
      <w:bookmarkEnd w:id="1488"/>
    </w:p>
    <w:p w14:paraId="3656619F" w14:textId="77777777" w:rsidR="000426DE" w:rsidRPr="00053F6C" w:rsidRDefault="000426DE" w:rsidP="000426DE">
      <w:pPr>
        <w:pStyle w:val="a7"/>
        <w:rPr>
          <w:rtl/>
        </w:rPr>
      </w:pPr>
      <w:bookmarkStart w:id="1489" w:name="_Toc139316355"/>
      <w:r>
        <w:rPr>
          <w:rFonts w:hint="cs"/>
          <w:rtl/>
        </w:rPr>
        <w:t>בי' הרשב"א והתורא"ש דתבן שיבש לגמרי אינו יונק ואין בו תולש כתאנים שיבשו לגמרי</w:t>
      </w:r>
      <w:bookmarkEnd w:id="1489"/>
    </w:p>
    <w:p w14:paraId="2AEBE7D4" w14:textId="0F3E1B53" w:rsidR="000426DE" w:rsidRDefault="000426DE" w:rsidP="00BC7DC8">
      <w:pPr>
        <w:pStyle w:val="a3"/>
        <w:rPr>
          <w:rtl/>
        </w:rPr>
      </w:pPr>
      <w:bookmarkStart w:id="1490" w:name="_Ref135303664"/>
      <w:r>
        <w:rPr>
          <w:rFonts w:hint="cs"/>
          <w:rtl/>
        </w:rPr>
        <w:t xml:space="preserve">והוסיפו </w:t>
      </w:r>
      <w:r>
        <w:rPr>
          <w:rStyle w:val="aff4"/>
          <w:vanish/>
          <w:rtl/>
        </w:rPr>
        <w:t>–</w:t>
      </w:r>
      <w:r w:rsidRPr="00C65D8D">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Ref135303664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ל)</w:t>
      </w:r>
      <w:r>
        <w:rPr>
          <w:rStyle w:val="aff4"/>
          <w:vanish/>
          <w:rtl/>
        </w:rPr>
        <w:fldChar w:fldCharType="end"/>
      </w:r>
      <w:r>
        <w:rPr>
          <w:rStyle w:val="aff4"/>
          <w:rFonts w:hint="cs"/>
          <w:vanish/>
          <w:rtl/>
        </w:rPr>
        <w:t xml:space="preserve"> &gt;</w:t>
      </w:r>
      <w:r w:rsidRPr="00C65D8D">
        <w:rPr>
          <w:rStyle w:val="aff4"/>
          <w:rFonts w:hint="cs"/>
          <w:rtl/>
        </w:rPr>
        <w:t>רשב"א לקמן</w:t>
      </w:r>
      <w:r w:rsidRPr="00C65D8D">
        <w:rPr>
          <w:rStyle w:val="aff4"/>
          <w:rFonts w:hint="cs"/>
          <w:vanish/>
          <w:rtl/>
        </w:rPr>
        <w:t>-</w:t>
      </w:r>
      <w:r>
        <w:rPr>
          <w:rFonts w:hint="cs"/>
          <w:rtl/>
        </w:rPr>
        <w:t xml:space="preserve"> </w:t>
      </w:r>
      <w:r w:rsidRPr="00FB451D">
        <w:rPr>
          <w:rStyle w:val="af2"/>
          <w:rFonts w:eastAsia="Guttman Hodes" w:hint="cs"/>
          <w:rtl/>
        </w:rPr>
        <w:t>(קנ: ד"ה בשלמא)</w:t>
      </w:r>
      <w:r w:rsidRPr="00C65D8D">
        <w:rPr>
          <w:rFonts w:hint="cs"/>
          <w:vanish/>
          <w:rtl/>
        </w:rPr>
        <w:t>=</w:t>
      </w:r>
      <w:r w:rsidRPr="00A550B1">
        <w:rPr>
          <w:rFonts w:hint="cs"/>
          <w:rtl/>
        </w:rPr>
        <w:t xml:space="preserve"> </w:t>
      </w:r>
      <w:r w:rsidRPr="00A550B1">
        <w:rPr>
          <w:rStyle w:val="aff4"/>
          <w:rFonts w:hint="cs"/>
          <w:vanish/>
          <w:rtl/>
        </w:rPr>
        <w:t>–</w:t>
      </w:r>
      <w:r>
        <w:rPr>
          <w:rStyle w:val="aff4"/>
          <w:rFonts w:hint="cs"/>
          <w:rtl/>
        </w:rPr>
        <w:t>ו</w:t>
      </w:r>
      <w:r w:rsidRPr="00C65D8D">
        <w:rPr>
          <w:rStyle w:val="aff4"/>
          <w:rFonts w:hint="cs"/>
          <w:rtl/>
        </w:rPr>
        <w:t>ה</w:t>
      </w:r>
      <w:r w:rsidRPr="00B53404">
        <w:rPr>
          <w:rStyle w:val="aff4"/>
          <w:rFonts w:hint="cs"/>
          <w:vanish/>
          <w:rtl/>
        </w:rPr>
        <w:t>&lt; &gt;</w:t>
      </w:r>
      <w:r w:rsidRPr="00C65D8D">
        <w:rPr>
          <w:rStyle w:val="aff4"/>
          <w:rFonts w:hint="cs"/>
          <w:rtl/>
        </w:rPr>
        <w:t>תוס' הרא"ש לקמן</w:t>
      </w:r>
      <w:r w:rsidRPr="00C65D8D">
        <w:rPr>
          <w:rStyle w:val="aff4"/>
          <w:rFonts w:hint="cs"/>
          <w:vanish/>
          <w:rtl/>
        </w:rPr>
        <w:t>-</w:t>
      </w:r>
      <w:r>
        <w:rPr>
          <w:rFonts w:hint="cs"/>
          <w:rtl/>
        </w:rPr>
        <w:t xml:space="preserve"> </w:t>
      </w:r>
      <w:r w:rsidRPr="00FB451D">
        <w:rPr>
          <w:rStyle w:val="af2"/>
          <w:rFonts w:eastAsia="Guttman Hodes" w:hint="cs"/>
          <w:rtl/>
        </w:rPr>
        <w:t>(קנ: ד"ה בשלמא)</w:t>
      </w:r>
      <w:r w:rsidRPr="00C65D8D">
        <w:rPr>
          <w:rFonts w:hint="cs"/>
          <w:vanish/>
          <w:rtl/>
        </w:rPr>
        <w:t>=</w:t>
      </w:r>
      <w:r>
        <w:rPr>
          <w:rFonts w:hint="cs"/>
          <w:rtl/>
        </w:rPr>
        <w:t xml:space="preserve"> דתבן שיבש לגמרי אינו יונק, ולכן אין בו איסור תלישה, כדאיתא בגמ' בחולין </w:t>
      </w:r>
      <w:r w:rsidRPr="00FB451D">
        <w:rPr>
          <w:rStyle w:val="af2"/>
          <w:rFonts w:eastAsia="Guttman Hodes" w:hint="cs"/>
          <w:rtl/>
        </w:rPr>
        <w:t>(קכז:)</w:t>
      </w:r>
      <w:r>
        <w:rPr>
          <w:rFonts w:hint="cs"/>
          <w:rtl/>
        </w:rPr>
        <w:t xml:space="preserve"> ד</w:t>
      </w:r>
      <w:r>
        <w:rPr>
          <w:rtl/>
        </w:rPr>
        <w:t>תאנים שצמקו באיביהן מטמאות טומאת אוכלין במקומן</w:t>
      </w:r>
      <w:r>
        <w:rPr>
          <w:rFonts w:hint="cs"/>
          <w:rtl/>
        </w:rPr>
        <w:t>,</w:t>
      </w:r>
      <w:r>
        <w:rPr>
          <w:rtl/>
        </w:rPr>
        <w:t xml:space="preserve"> והתולש מהן בשבת חייב חטאת</w:t>
      </w:r>
      <w:r>
        <w:rPr>
          <w:rFonts w:hint="cs"/>
          <w:rtl/>
        </w:rPr>
        <w:t>, ומשמע דדוקא בצמקו חייב אבל ביבשו לגמרי פטור.</w:t>
      </w:r>
      <w:bookmarkEnd w:id="1490"/>
      <w:r>
        <w:rPr>
          <w:rFonts w:hint="cs"/>
          <w:rtl/>
        </w:rPr>
        <w:t xml:space="preserve"> </w:t>
      </w:r>
    </w:p>
    <w:p w14:paraId="37298C67" w14:textId="77777777" w:rsidR="000426DE" w:rsidRPr="00747170" w:rsidRDefault="000426DE" w:rsidP="00747170">
      <w:pPr>
        <w:pStyle w:val="a2"/>
        <w:rPr>
          <w:rtl/>
        </w:rPr>
      </w:pPr>
      <w:r w:rsidRPr="00747170">
        <w:rPr>
          <w:rtl/>
        </w:rPr>
        <w:t>ולא שיהא איסור תלישה במחובר דכיון שיבש ואינו יונק מן הקרקע לית בי' איסור תלישה כדאמרינן בחולין פרק העור והרוטב תאנים שצמקו באיביהן מטמאין טומאת אוכלים והתולש מהן בשבת חייב חטאת ודוקא צמקו אבל יבשו לא.</w:t>
      </w:r>
    </w:p>
    <w:p w14:paraId="4FFC23D5" w14:textId="77777777" w:rsidR="000426DE" w:rsidRPr="00725AF3" w:rsidRDefault="000426DE" w:rsidP="000426DE">
      <w:pPr>
        <w:pStyle w:val="1"/>
        <w:rPr>
          <w:rtl/>
        </w:rPr>
      </w:pPr>
      <w:bookmarkStart w:id="1491" w:name="_Toc139316356"/>
      <w:r>
        <w:rPr>
          <w:rFonts w:hint="cs"/>
          <w:rtl/>
        </w:rPr>
        <w:t>בי' הרי"ד דביבש ופסקה יניקתו אך מחובר לאילן חייב בתולש</w:t>
      </w:r>
      <w:bookmarkEnd w:id="1491"/>
    </w:p>
    <w:p w14:paraId="16F7891C" w14:textId="77777777" w:rsidR="000426DE" w:rsidRDefault="000426DE" w:rsidP="000426DE">
      <w:pPr>
        <w:pStyle w:val="afffff7"/>
        <w:rPr>
          <w:rtl/>
        </w:rPr>
      </w:pPr>
      <w:bookmarkStart w:id="1492" w:name="_Toc135513700"/>
      <w:bookmarkStart w:id="1493" w:name="_Toc163505625"/>
      <w:r>
        <w:rPr>
          <w:rtl/>
        </w:rPr>
        <w:t xml:space="preserve">פסקי רי"ד מסכת חולין קכז </w:t>
      </w:r>
      <w:r>
        <w:rPr>
          <w:rFonts w:hint="cs"/>
          <w:rtl/>
        </w:rPr>
        <w:t>ע"ב ד"ה ואמרי'</w:t>
      </w:r>
      <w:bookmarkEnd w:id="1492"/>
      <w:bookmarkEnd w:id="1493"/>
    </w:p>
    <w:p w14:paraId="3153ABC6" w14:textId="77777777" w:rsidR="000426DE" w:rsidRDefault="000426DE" w:rsidP="000426DE">
      <w:pPr>
        <w:pStyle w:val="a7"/>
        <w:rPr>
          <w:rtl/>
        </w:rPr>
      </w:pPr>
      <w:bookmarkStart w:id="1494" w:name="_Toc139316357"/>
      <w:r>
        <w:rPr>
          <w:rFonts w:hint="cs"/>
          <w:rtl/>
        </w:rPr>
        <w:t>בי' הרי"ד דכל שמחובר הפרי לאילן לגמרי אף שפסקה יניקתו דינו כמחובר וחייב בתולש</w:t>
      </w:r>
      <w:bookmarkEnd w:id="1494"/>
    </w:p>
    <w:p w14:paraId="71F19209" w14:textId="2738E47F" w:rsidR="000426DE" w:rsidRDefault="000426DE" w:rsidP="00BC7DC8">
      <w:pPr>
        <w:pStyle w:val="a3"/>
      </w:pPr>
      <w:bookmarkStart w:id="1495" w:name="_Ref135047144"/>
      <w:r>
        <w:rPr>
          <w:rFonts w:hint="cs"/>
          <w:rtl/>
        </w:rPr>
        <w:t xml:space="preserve">כתב </w:t>
      </w:r>
      <w:r w:rsidRPr="007F356E">
        <w:rPr>
          <w:rStyle w:val="aff4"/>
          <w:rFonts w:hint="cs"/>
          <w:vanish/>
          <w:rtl/>
        </w:rPr>
        <w:t>-</w:t>
      </w:r>
      <w:r w:rsidRPr="001F02FD">
        <w:rPr>
          <w:rStyle w:val="aff4"/>
          <w:rFonts w:hint="cs"/>
          <w:rtl/>
        </w:rPr>
        <w:t>ב</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Ref135047144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לא)</w:t>
      </w:r>
      <w:r w:rsidRPr="00B53404">
        <w:rPr>
          <w:rStyle w:val="aff4"/>
          <w:vanish/>
          <w:rtl/>
        </w:rPr>
        <w:fldChar w:fldCharType="end"/>
      </w:r>
      <w:r w:rsidRPr="00B53404">
        <w:rPr>
          <w:rStyle w:val="aff4"/>
          <w:rFonts w:hint="cs"/>
          <w:vanish/>
          <w:rtl/>
        </w:rPr>
        <w:t xml:space="preserve"> &gt;</w:t>
      </w:r>
      <w:r w:rsidRPr="001F02FD">
        <w:rPr>
          <w:rStyle w:val="aff4"/>
          <w:rFonts w:hint="cs"/>
          <w:rtl/>
        </w:rPr>
        <w:t>פסקי הרי"ד בחולין</w:t>
      </w:r>
      <w:r w:rsidRPr="007F356E">
        <w:rPr>
          <w:rStyle w:val="aff4"/>
          <w:rFonts w:hint="cs"/>
          <w:vanish/>
          <w:rtl/>
        </w:rPr>
        <w:t>-</w:t>
      </w:r>
      <w:r>
        <w:rPr>
          <w:rFonts w:hint="cs"/>
          <w:rtl/>
        </w:rPr>
        <w:t xml:space="preserve"> </w:t>
      </w:r>
      <w:r w:rsidRPr="00FB451D">
        <w:rPr>
          <w:rStyle w:val="af2"/>
          <w:rFonts w:eastAsia="Guttman Hodes" w:hint="cs"/>
          <w:rtl/>
        </w:rPr>
        <w:t>(קכ"ז: ד"ה ואמרינן)</w:t>
      </w:r>
      <w:r w:rsidRPr="007F356E">
        <w:rPr>
          <w:rFonts w:hint="cs"/>
          <w:vanish/>
          <w:rtl/>
        </w:rPr>
        <w:t>=</w:t>
      </w:r>
      <w:r>
        <w:rPr>
          <w:rFonts w:hint="cs"/>
          <w:rtl/>
        </w:rPr>
        <w:t xml:space="preserve"> דתאנים שהתבשלו לגמרי הם כמחוברין לגמרי אף לענין טומאה, כיון שודאי דהם יונקים קצת, ובצמקו התאנים ולא צמקו עוקציהן, ופסקה יניקתן לגמרי, לענין טומאה הם כתלושים, אבל לענין שבת הם כמחוברים, כיון דהעוקצין שלהם עדיין לחים והם מחוברים לגמרי לאילן, ואינם נופלות מאליהן, ולכן התולש מהם הוא כתולש ממחובר לענין שבת.</w:t>
      </w:r>
    </w:p>
    <w:p w14:paraId="5B7C4B92" w14:textId="77777777" w:rsidR="000426DE" w:rsidRPr="00747170" w:rsidRDefault="000426DE" w:rsidP="00747170">
      <w:pPr>
        <w:pStyle w:val="a2"/>
      </w:pPr>
      <w:r w:rsidRPr="00747170">
        <w:rPr>
          <w:rtl/>
        </w:rPr>
        <w:t>ואמרי' ואפי' הכי מיטמא טומא' אוכלין. פי', אף על גב דלענין טומא' נבלות חשיבי כמחוברין, לענין טומא' אוכלין חשיבי כתלושין. מסייעא ליה לרב חייה בר אשי, דאמ' רב חייה בר אשי אמ' שמואל תאנים שצמקו באיביהן מיטמאין טומא' אוכלין במקומן, והתולש מהן בשבת חייב חטאת. פי', אם היו לחין התאנים, אף על פי שנתבשלו כל צרכן כמחוברין הן לכל מילי, אף לענין טומ', שאע"פ שנגמר בישולן אי איפשר שלא יינקו מן האילן, וכן ענבים שהגיעו ליבצר, וכן קמה שהגיעה ליקצר הם כמחוברין בין לעינין שבת בין לעינין טומא'. וכשצמקו הם ולא עוקציהן, אף על פי שכבר אין יונקין שהרי צמקו, כיון שעוקציהן לחין ומחוברין באילן יפה, בתר מקום חיבורן אזלינן והתולש מהן בשבת חייב, שהרי הן מחוברין יפה ואינן נופלין מאיליהן, ותולש מן המחובר חשבינן ליה.</w:t>
      </w:r>
    </w:p>
    <w:p w14:paraId="4A6BF3E2" w14:textId="77777777" w:rsidR="000426DE" w:rsidRDefault="000426DE" w:rsidP="000426DE">
      <w:pPr>
        <w:pStyle w:val="a7"/>
      </w:pPr>
      <w:bookmarkStart w:id="1496" w:name="_Toc139316358"/>
      <w:r>
        <w:rPr>
          <w:rFonts w:hint="cs"/>
          <w:rtl/>
        </w:rPr>
        <w:t>בי' הרי"ד דפירות שיבש אף מקום חיבורן לאילן ואם ינענעם יפלו הם כתלושים אף לשבת</w:t>
      </w:r>
      <w:bookmarkEnd w:id="1496"/>
    </w:p>
    <w:p w14:paraId="2A7808C2" w14:textId="77777777" w:rsidR="000426DE" w:rsidRDefault="000426DE" w:rsidP="00BC7DC8">
      <w:pPr>
        <w:pStyle w:val="a3"/>
        <w:rPr>
          <w:rtl/>
        </w:rPr>
      </w:pPr>
      <w:r>
        <w:rPr>
          <w:rFonts w:hint="cs"/>
          <w:rtl/>
        </w:rPr>
        <w:t xml:space="preserve">אבל בצמקו הן ועוקציהן, כתב </w:t>
      </w:r>
      <w:r w:rsidRPr="007F356E">
        <w:rPr>
          <w:rStyle w:val="aff4"/>
          <w:rFonts w:hint="cs"/>
          <w:vanish/>
          <w:rtl/>
        </w:rPr>
        <w:t>-</w:t>
      </w:r>
      <w:r w:rsidRPr="001F02FD">
        <w:rPr>
          <w:rStyle w:val="aff4"/>
          <w:rFonts w:hint="cs"/>
          <w:rtl/>
        </w:rPr>
        <w:t>בפסקי הרי"ד</w:t>
      </w:r>
      <w:r w:rsidRPr="00F270D4">
        <w:rPr>
          <w:rStyle w:val="aff4"/>
          <w:rFonts w:hint="cs"/>
          <w:rtl/>
        </w:rPr>
        <w:t xml:space="preserve"> </w:t>
      </w:r>
      <w:r w:rsidRPr="001F02FD">
        <w:rPr>
          <w:rStyle w:val="aff4"/>
          <w:rFonts w:hint="cs"/>
          <w:rtl/>
        </w:rPr>
        <w:t>בחולין</w:t>
      </w:r>
      <w:r w:rsidRPr="007F356E">
        <w:rPr>
          <w:rStyle w:val="aff4"/>
          <w:rFonts w:hint="cs"/>
          <w:vanish/>
          <w:rtl/>
        </w:rPr>
        <w:t>-</w:t>
      </w:r>
      <w:r>
        <w:rPr>
          <w:rFonts w:hint="cs"/>
          <w:rtl/>
        </w:rPr>
        <w:t xml:space="preserve"> דאף לענין שבת הם כתלושין, כיון שיבש מקום החיבור שלהם לאילן, ואם ינענע אותם ביד יפלו מאיליהן.</w:t>
      </w:r>
    </w:p>
    <w:p w14:paraId="59F4C448" w14:textId="77777777" w:rsidR="000426DE" w:rsidRPr="00747170" w:rsidRDefault="000426DE" w:rsidP="00747170">
      <w:pPr>
        <w:pStyle w:val="a2"/>
      </w:pPr>
      <w:r w:rsidRPr="00747170">
        <w:rPr>
          <w:rtl/>
        </w:rPr>
        <w:t>וכשצמקו הן ועוקציהן כיון שיבש מקום חיבורן כתלושין הוו אף לעינין שבת, שמאיליהן הן נופלין אם תנענע בהם.</w:t>
      </w:r>
    </w:p>
    <w:p w14:paraId="1E1AD4C7" w14:textId="77777777" w:rsidR="000426DE" w:rsidRPr="00B93F1A" w:rsidRDefault="000426DE" w:rsidP="000426DE">
      <w:pPr>
        <w:pStyle w:val="a7"/>
      </w:pPr>
      <w:bookmarkStart w:id="1497" w:name="_Toc139316359"/>
      <w:r>
        <w:rPr>
          <w:rFonts w:hint="cs"/>
          <w:rtl/>
        </w:rPr>
        <w:t>בי' הרי"ד ד</w:t>
      </w:r>
      <w:r w:rsidRPr="00B93F1A">
        <w:rPr>
          <w:rtl/>
        </w:rPr>
        <w:t>ע</w:t>
      </w:r>
      <w:r>
        <w:rPr>
          <w:rFonts w:hint="cs"/>
          <w:rtl/>
        </w:rPr>
        <w:t>צים ועשבים</w:t>
      </w:r>
      <w:r w:rsidRPr="00B93F1A">
        <w:rPr>
          <w:rtl/>
        </w:rPr>
        <w:t xml:space="preserve"> יבש</w:t>
      </w:r>
      <w:r>
        <w:rPr>
          <w:rFonts w:hint="cs"/>
          <w:rtl/>
        </w:rPr>
        <w:t>ים</w:t>
      </w:r>
      <w:r w:rsidRPr="00B93F1A">
        <w:rPr>
          <w:rtl/>
        </w:rPr>
        <w:t xml:space="preserve"> לגמרי דהשורש לא יונק כלל</w:t>
      </w:r>
      <w:r>
        <w:rPr>
          <w:rFonts w:hint="cs"/>
          <w:rtl/>
        </w:rPr>
        <w:t xml:space="preserve"> מהקרקע הם כתלושים ופטור</w:t>
      </w:r>
      <w:bookmarkEnd w:id="1497"/>
    </w:p>
    <w:p w14:paraId="066188E0" w14:textId="77777777" w:rsidR="000426DE" w:rsidRPr="008F7B91" w:rsidRDefault="000426DE" w:rsidP="00BC7DC8">
      <w:pPr>
        <w:pStyle w:val="a3"/>
        <w:rPr>
          <w:rtl/>
        </w:rPr>
      </w:pPr>
      <w:r>
        <w:rPr>
          <w:rFonts w:hint="cs"/>
          <w:rtl/>
        </w:rPr>
        <w:t xml:space="preserve">והוסיף </w:t>
      </w:r>
      <w:r w:rsidRPr="007F356E">
        <w:rPr>
          <w:rStyle w:val="aff4"/>
          <w:rFonts w:hint="cs"/>
          <w:vanish/>
          <w:rtl/>
        </w:rPr>
        <w:t>-</w:t>
      </w:r>
      <w:r w:rsidRPr="001F02FD">
        <w:rPr>
          <w:rStyle w:val="aff4"/>
          <w:rFonts w:hint="cs"/>
          <w:rtl/>
        </w:rPr>
        <w:t>בפסקי הרי"ד</w:t>
      </w:r>
      <w:r w:rsidRPr="00F270D4">
        <w:rPr>
          <w:rStyle w:val="aff4"/>
          <w:rFonts w:hint="cs"/>
          <w:rtl/>
        </w:rPr>
        <w:t xml:space="preserve"> </w:t>
      </w:r>
      <w:r w:rsidRPr="001F02FD">
        <w:rPr>
          <w:rStyle w:val="aff4"/>
          <w:rFonts w:hint="cs"/>
          <w:rtl/>
        </w:rPr>
        <w:t>בחולין</w:t>
      </w:r>
      <w:r w:rsidRPr="007F356E">
        <w:rPr>
          <w:rStyle w:val="aff4"/>
          <w:rFonts w:hint="cs"/>
          <w:vanish/>
          <w:rtl/>
        </w:rPr>
        <w:t>-</w:t>
      </w:r>
      <w:r>
        <w:rPr>
          <w:rFonts w:hint="cs"/>
          <w:rtl/>
        </w:rPr>
        <w:t xml:space="preserve"> דהא דאיתא בגמ' בעירובין </w:t>
      </w:r>
      <w:r w:rsidRPr="00FB451D">
        <w:rPr>
          <w:rStyle w:val="af2"/>
          <w:rFonts w:eastAsia="Guttman Hodes" w:hint="cs"/>
          <w:rtl/>
        </w:rPr>
        <w:t>(ק:)</w:t>
      </w:r>
      <w:r>
        <w:rPr>
          <w:rFonts w:hint="cs"/>
          <w:rtl/>
        </w:rPr>
        <w:t xml:space="preserve"> דעצים יבשים ועשבים יבשים התולשן פטור, הוא כיון דדמי לתאנים שצמקו הן ואיביהן, דהא השורש להם אינו יונק מהקרקע כלל, ואין גזעם מחליף והם כתלושים.</w:t>
      </w:r>
      <w:bookmarkEnd w:id="1495"/>
      <w:r>
        <w:rPr>
          <w:rFonts w:hint="cs"/>
          <w:rtl/>
        </w:rPr>
        <w:t xml:space="preserve"> </w:t>
      </w:r>
    </w:p>
    <w:p w14:paraId="66CC9DCA" w14:textId="77777777" w:rsidR="000426DE" w:rsidRPr="00747170" w:rsidRDefault="000426DE" w:rsidP="00747170">
      <w:pPr>
        <w:pStyle w:val="a2"/>
      </w:pPr>
      <w:r w:rsidRPr="00747170">
        <w:rPr>
          <w:rtl/>
        </w:rPr>
        <w:t xml:space="preserve">ועצים יבשים ועשבים יבשים דאמרינן בפ' בתרא דעירובין שהתולשן פטור, משום דדמו לצמקו הן ואיביהן, שיבשו השרשים שלהן ואין יונקין מן הארץ כלל ואין גזעם מחליף, הילכך כתלושין דמו. </w:t>
      </w:r>
      <w:r w:rsidRPr="00747170">
        <w:rPr>
          <w:rStyle w:val="afff7"/>
          <w:rtl/>
        </w:rPr>
        <w:t>וזה החידוש השמיענו שמואל שאע"פ שהן כמחוברין לענין שבת, לענין טומאה הן כתלושין, וסייענוהו ממתני' שאע"פ שהאבר והבשר המדולדלין הן כמחוברין לענין טומאת נבלות, לענין טומאת אוכלין חשבינן להו כתלושין.</w:t>
      </w:r>
    </w:p>
    <w:p w14:paraId="52CE32DC" w14:textId="77777777" w:rsidR="000426DE" w:rsidRPr="00E228B3" w:rsidRDefault="000426DE" w:rsidP="000426DE">
      <w:pPr>
        <w:pStyle w:val="1"/>
        <w:rPr>
          <w:rtl/>
        </w:rPr>
      </w:pPr>
      <w:bookmarkStart w:id="1498" w:name="_Toc139316360"/>
      <w:r w:rsidRPr="00E228B3">
        <w:rPr>
          <w:rFonts w:hint="cs"/>
          <w:rtl/>
        </w:rPr>
        <w:t>בי' המג"א דבעץ עצמו יבש לרמב"ם כתלוש ולרש"י כמחובר</w:t>
      </w:r>
      <w:bookmarkEnd w:id="1498"/>
    </w:p>
    <w:p w14:paraId="4B821204" w14:textId="77777777" w:rsidR="000426DE" w:rsidRDefault="000426DE" w:rsidP="000426DE">
      <w:pPr>
        <w:pStyle w:val="afffff7"/>
        <w:rPr>
          <w:rtl/>
        </w:rPr>
      </w:pPr>
      <w:bookmarkStart w:id="1499" w:name="_Toc135513701"/>
      <w:bookmarkStart w:id="1500" w:name="_Toc163505626"/>
      <w:r w:rsidRPr="00BD4EC5">
        <w:rPr>
          <w:rtl/>
        </w:rPr>
        <w:t>רמב"ם שבת פ"ח ה"ד</w:t>
      </w:r>
      <w:bookmarkEnd w:id="1499"/>
      <w:bookmarkEnd w:id="1500"/>
    </w:p>
    <w:p w14:paraId="57F9F31A" w14:textId="77777777" w:rsidR="000426DE" w:rsidRDefault="000426DE" w:rsidP="000426DE">
      <w:pPr>
        <w:pStyle w:val="afffff7"/>
        <w:rPr>
          <w:rtl/>
        </w:rPr>
      </w:pPr>
      <w:bookmarkStart w:id="1501" w:name="_Toc135513702"/>
      <w:bookmarkStart w:id="1502" w:name="_Toc163505627"/>
      <w:r>
        <w:rPr>
          <w:rtl/>
        </w:rPr>
        <w:t>שו"ע או"ח סי' של"ו י"ב</w:t>
      </w:r>
      <w:bookmarkEnd w:id="1501"/>
      <w:bookmarkEnd w:id="1502"/>
    </w:p>
    <w:p w14:paraId="2AF00982" w14:textId="77777777" w:rsidR="000426DE" w:rsidRDefault="000426DE" w:rsidP="000426DE">
      <w:pPr>
        <w:pStyle w:val="afffff7"/>
        <w:rPr>
          <w:rtl/>
        </w:rPr>
      </w:pPr>
      <w:bookmarkStart w:id="1503" w:name="_Toc135513703"/>
      <w:bookmarkStart w:id="1504" w:name="_Toc163505628"/>
      <w:r>
        <w:rPr>
          <w:rtl/>
        </w:rPr>
        <w:t>מגיד משנה שבת פ"ח ה"ד</w:t>
      </w:r>
      <w:bookmarkEnd w:id="1503"/>
      <w:bookmarkEnd w:id="1504"/>
    </w:p>
    <w:p w14:paraId="55A98AA1" w14:textId="77777777" w:rsidR="000426DE" w:rsidRDefault="000426DE" w:rsidP="000426DE">
      <w:pPr>
        <w:pStyle w:val="a7"/>
        <w:rPr>
          <w:rtl/>
        </w:rPr>
      </w:pPr>
      <w:bookmarkStart w:id="1505" w:name="_Toc139316361"/>
      <w:r>
        <w:rPr>
          <w:rFonts w:hint="cs"/>
          <w:rtl/>
        </w:rPr>
        <w:t>בי' הרמב"ם דתאנים שיבשו וכן פירות שיבשו באילן התולש חייב אף דלטומאה הוי כעקורין</w:t>
      </w:r>
      <w:bookmarkEnd w:id="1505"/>
    </w:p>
    <w:p w14:paraId="64382A7D" w14:textId="4E73703C" w:rsidR="000426DE" w:rsidRPr="00F24B53" w:rsidRDefault="000426DE" w:rsidP="00BC7DC8">
      <w:pPr>
        <w:pStyle w:val="a3"/>
      </w:pPr>
      <w:bookmarkStart w:id="1506" w:name="_Ref134549056"/>
      <w:bookmarkStart w:id="1507" w:name="_Ref134564918"/>
      <w:r>
        <w:rPr>
          <w:rFonts w:hint="cs"/>
          <w:rtl/>
        </w:rPr>
        <w:t xml:space="preserve">כתבו </w:t>
      </w:r>
      <w:r w:rsidRPr="009370D3">
        <w:rPr>
          <w:rStyle w:val="aff4"/>
          <w:rFonts w:hint="cs"/>
          <w:vanish/>
          <w:rtl/>
        </w:rPr>
        <w:t>-</w:t>
      </w:r>
      <w:r w:rsidRPr="00BB1491">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Ref134549056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לד)</w:t>
      </w:r>
      <w:r w:rsidRPr="00B53404">
        <w:rPr>
          <w:rStyle w:val="aff4"/>
          <w:vanish/>
          <w:rtl/>
        </w:rPr>
        <w:fldChar w:fldCharType="end"/>
      </w:r>
      <w:r w:rsidRPr="00B53404">
        <w:rPr>
          <w:rStyle w:val="aff4"/>
          <w:rFonts w:hint="cs"/>
          <w:vanish/>
          <w:rtl/>
        </w:rPr>
        <w:t xml:space="preserve"> &gt;</w:t>
      </w:r>
      <w:r w:rsidRPr="00BB1491">
        <w:rPr>
          <w:rStyle w:val="aff4"/>
          <w:rFonts w:hint="cs"/>
          <w:rtl/>
        </w:rPr>
        <w:t>רמב"ם</w:t>
      </w:r>
      <w:r w:rsidRPr="009370D3">
        <w:rPr>
          <w:rStyle w:val="aff4"/>
          <w:rFonts w:hint="cs"/>
          <w:vanish/>
          <w:rtl/>
        </w:rPr>
        <w:t>-</w:t>
      </w:r>
      <w:r>
        <w:rPr>
          <w:rFonts w:hint="cs"/>
          <w:rtl/>
        </w:rPr>
        <w:t xml:space="preserve"> </w:t>
      </w:r>
      <w:r w:rsidRPr="00FB451D">
        <w:rPr>
          <w:rStyle w:val="af2"/>
          <w:rFonts w:eastAsia="Guttman Hodes" w:hint="cs"/>
          <w:rtl/>
        </w:rPr>
        <w:t>(שבת פ"ח ה"ד)</w:t>
      </w:r>
      <w:r w:rsidRPr="009370D3">
        <w:rPr>
          <w:rFonts w:hint="cs"/>
          <w:vanish/>
          <w:rtl/>
        </w:rPr>
        <w:t>=</w:t>
      </w:r>
      <w:r>
        <w:rPr>
          <w:rFonts w:hint="cs"/>
          <w:rtl/>
        </w:rPr>
        <w:t xml:space="preserve"> </w:t>
      </w:r>
      <w:r w:rsidRPr="00C65D8D">
        <w:rPr>
          <w:rStyle w:val="aff4"/>
          <w:rFonts w:hint="cs"/>
          <w:vanish/>
          <w:rtl/>
        </w:rPr>
        <w:t>-</w:t>
      </w:r>
      <w:r w:rsidRPr="00C65D8D">
        <w:rPr>
          <w:rStyle w:val="aff4"/>
          <w:rFonts w:hint="cs"/>
          <w:rtl/>
        </w:rPr>
        <w:t>וה</w:t>
      </w:r>
      <w:r w:rsidRPr="00B53404">
        <w:rPr>
          <w:rStyle w:val="aff4"/>
          <w:rFonts w:hint="cs"/>
          <w:vanish/>
          <w:rtl/>
        </w:rPr>
        <w:t>&lt; &gt;</w:t>
      </w:r>
      <w:r w:rsidRPr="00C65D8D">
        <w:rPr>
          <w:rStyle w:val="aff4"/>
          <w:rFonts w:hint="cs"/>
          <w:rtl/>
        </w:rPr>
        <w:t>שו"ע</w:t>
      </w:r>
      <w:r w:rsidRPr="00C65D8D">
        <w:rPr>
          <w:rStyle w:val="aff4"/>
          <w:rFonts w:hint="cs"/>
          <w:vanish/>
          <w:rtl/>
        </w:rPr>
        <w:t>-</w:t>
      </w:r>
      <w:r>
        <w:rPr>
          <w:rFonts w:hint="cs"/>
          <w:rtl/>
        </w:rPr>
        <w:t xml:space="preserve"> </w:t>
      </w:r>
      <w:r w:rsidRPr="00FB451D">
        <w:rPr>
          <w:rStyle w:val="af2"/>
          <w:rFonts w:eastAsia="Guttman Hodes" w:hint="cs"/>
          <w:rtl/>
        </w:rPr>
        <w:t>(סי' של"ו י"ב)</w:t>
      </w:r>
      <w:r w:rsidRPr="00C65D8D">
        <w:rPr>
          <w:rFonts w:hint="cs"/>
          <w:vanish/>
          <w:rtl/>
        </w:rPr>
        <w:t>=</w:t>
      </w:r>
      <w:r>
        <w:rPr>
          <w:rFonts w:hint="cs"/>
          <w:rtl/>
        </w:rPr>
        <w:t xml:space="preserve"> דתאנים שיבשו באיביהן וכן אילן שיבשו פירותיו על האילן, אף דלענין טומאה חשיבי כעקורין, מ"מ לענין שבת התולש מהם חייב, וכתב </w:t>
      </w:r>
      <w:r w:rsidRPr="009370D3">
        <w:rPr>
          <w:rStyle w:val="aff4"/>
          <w:rFonts w:hint="cs"/>
          <w:vanish/>
          <w:rtl/>
        </w:rPr>
        <w:t>-</w:t>
      </w:r>
      <w:r w:rsidRPr="00BB1491">
        <w:rPr>
          <w:rStyle w:val="aff4"/>
          <w:rFonts w:hint="cs"/>
          <w:rtl/>
        </w:rPr>
        <w:t>ה</w:t>
      </w:r>
      <w:r w:rsidRPr="00B53404">
        <w:rPr>
          <w:rStyle w:val="aff4"/>
          <w:rFonts w:hint="cs"/>
          <w:vanish/>
          <w:rtl/>
        </w:rPr>
        <w:t>&lt; &gt;</w:t>
      </w:r>
      <w:r w:rsidRPr="00BB1491">
        <w:rPr>
          <w:rStyle w:val="aff4"/>
          <w:rFonts w:hint="cs"/>
          <w:rtl/>
        </w:rPr>
        <w:t>מ"מ</w:t>
      </w:r>
      <w:r w:rsidRPr="009370D3">
        <w:rPr>
          <w:rStyle w:val="aff4"/>
          <w:rFonts w:hint="cs"/>
          <w:vanish/>
          <w:rtl/>
        </w:rPr>
        <w:t>-</w:t>
      </w:r>
      <w:r>
        <w:rPr>
          <w:rFonts w:hint="cs"/>
          <w:rtl/>
        </w:rPr>
        <w:t xml:space="preserve"> </w:t>
      </w:r>
      <w:r w:rsidRPr="00FB451D">
        <w:rPr>
          <w:rStyle w:val="af2"/>
          <w:rFonts w:eastAsia="Guttman Hodes" w:hint="cs"/>
          <w:rtl/>
        </w:rPr>
        <w:t>(שבת פ"ח ה"ד ד"ה תאנים)</w:t>
      </w:r>
      <w:r w:rsidRPr="009370D3">
        <w:rPr>
          <w:rFonts w:hint="cs"/>
          <w:vanish/>
          <w:rtl/>
        </w:rPr>
        <w:t>=</w:t>
      </w:r>
      <w:r>
        <w:rPr>
          <w:rFonts w:hint="cs"/>
          <w:rtl/>
        </w:rPr>
        <w:t xml:space="preserve"> דכן איתא בגמ' בחולין </w:t>
      </w:r>
      <w:r w:rsidRPr="00FB451D">
        <w:rPr>
          <w:rStyle w:val="af2"/>
          <w:rFonts w:eastAsia="Guttman Hodes" w:hint="cs"/>
          <w:rtl/>
        </w:rPr>
        <w:t>(קכז:)</w:t>
      </w:r>
      <w:r>
        <w:rPr>
          <w:rFonts w:hint="cs"/>
          <w:rtl/>
        </w:rPr>
        <w:t xml:space="preserve"> ד</w:t>
      </w:r>
      <w:r>
        <w:rPr>
          <w:rtl/>
        </w:rPr>
        <w:t>תאנים שצמקו באיביהן מטמאות טומאת אוכלין במקומן</w:t>
      </w:r>
      <w:r>
        <w:rPr>
          <w:rFonts w:hint="cs"/>
          <w:rtl/>
        </w:rPr>
        <w:t>,</w:t>
      </w:r>
      <w:r>
        <w:rPr>
          <w:rtl/>
        </w:rPr>
        <w:t xml:space="preserve"> והתולש מהן בשבת חייב חטאת</w:t>
      </w:r>
      <w:r>
        <w:rPr>
          <w:rFonts w:hint="cs"/>
          <w:rtl/>
        </w:rPr>
        <w:t xml:space="preserve">, </w:t>
      </w:r>
      <w:r>
        <w:rPr>
          <w:rFonts w:hint="cs"/>
          <w:rtl/>
        </w:rPr>
        <w:lastRenderedPageBreak/>
        <w:t xml:space="preserve">ועי' במ"ש </w:t>
      </w:r>
      <w:r w:rsidRPr="009370D3">
        <w:rPr>
          <w:rStyle w:val="aff4"/>
          <w:rFonts w:hint="cs"/>
          <w:vanish/>
          <w:rtl/>
        </w:rPr>
        <w:t>-</w:t>
      </w:r>
      <w:r w:rsidRPr="00BB1491">
        <w:rPr>
          <w:rStyle w:val="aff4"/>
          <w:rFonts w:hint="cs"/>
          <w:rtl/>
        </w:rPr>
        <w:t>ה</w:t>
      </w:r>
      <w:r w:rsidRPr="00B53404">
        <w:rPr>
          <w:rStyle w:val="aff4"/>
          <w:rFonts w:hint="cs"/>
          <w:vanish/>
          <w:rtl/>
        </w:rPr>
        <w:t>&lt; &gt;</w:t>
      </w:r>
      <w:r w:rsidRPr="00BB1491">
        <w:rPr>
          <w:rStyle w:val="aff4"/>
          <w:rFonts w:hint="cs"/>
          <w:rtl/>
        </w:rPr>
        <w:t>זכר יצחק</w:t>
      </w:r>
      <w:r w:rsidRPr="009370D3">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Ref135342533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סה)</w:t>
      </w:r>
      <w:r>
        <w:rPr>
          <w:rStyle w:val="af2"/>
          <w:rFonts w:eastAsia="Guttman Hodes"/>
          <w:rtl/>
        </w:rPr>
        <w:fldChar w:fldCharType="end"/>
      </w:r>
      <w:r w:rsidRPr="009370D3">
        <w:rPr>
          <w:rFonts w:hint="cs"/>
          <w:vanish/>
          <w:rtl/>
        </w:rPr>
        <w:t>=</w:t>
      </w:r>
      <w:r w:rsidRPr="008548E1">
        <w:rPr>
          <w:rFonts w:hint="cs"/>
          <w:rtl/>
        </w:rPr>
        <w:t xml:space="preserve"> </w:t>
      </w:r>
      <w:r w:rsidRPr="00C65D8D">
        <w:rPr>
          <w:rStyle w:val="aff4"/>
          <w:rFonts w:hint="cs"/>
          <w:vanish/>
          <w:rtl/>
        </w:rPr>
        <w:t>-</w:t>
      </w:r>
      <w:r w:rsidRPr="00C65D8D">
        <w:rPr>
          <w:rStyle w:val="aff4"/>
          <w:rFonts w:hint="cs"/>
          <w:rtl/>
        </w:rPr>
        <w:t>והדבר אברהם</w:t>
      </w:r>
      <w:r w:rsidRPr="00C65D8D">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Ref135403912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קטז)</w:t>
      </w:r>
      <w:r>
        <w:rPr>
          <w:rStyle w:val="af2"/>
          <w:rFonts w:eastAsia="Guttman Hodes"/>
          <w:rtl/>
        </w:rPr>
        <w:fldChar w:fldCharType="end"/>
      </w:r>
      <w:r>
        <w:rPr>
          <w:rFonts w:hint="cs"/>
          <w:rtl/>
        </w:rPr>
        <w:t xml:space="preserve"> בביאור דברי </w:t>
      </w:r>
      <w:r w:rsidRPr="00C65D8D">
        <w:rPr>
          <w:rStyle w:val="aff4"/>
          <w:rFonts w:hint="cs"/>
          <w:vanish/>
          <w:rtl/>
        </w:rPr>
        <w:t>-</w:t>
      </w:r>
      <w:r w:rsidRPr="00C65D8D">
        <w:rPr>
          <w:rStyle w:val="aff4"/>
          <w:rFonts w:hint="cs"/>
          <w:rtl/>
        </w:rPr>
        <w:t>הרמב"ם</w:t>
      </w:r>
      <w:r w:rsidRPr="00C65D8D">
        <w:rPr>
          <w:rStyle w:val="aff4"/>
          <w:rFonts w:hint="cs"/>
          <w:vanish/>
          <w:rtl/>
        </w:rPr>
        <w:t>-</w:t>
      </w:r>
      <w:r>
        <w:rPr>
          <w:rFonts w:hint="cs"/>
          <w:rtl/>
        </w:rPr>
        <w:t>.</w:t>
      </w:r>
      <w:bookmarkEnd w:id="1506"/>
      <w:r>
        <w:rPr>
          <w:rFonts w:hint="cs"/>
          <w:rtl/>
        </w:rPr>
        <w:t xml:space="preserve"> </w:t>
      </w:r>
      <w:r w:rsidRPr="007A72D8">
        <w:rPr>
          <w:rStyle w:val="af"/>
          <w:rFonts w:hint="cs"/>
          <w:rtl/>
        </w:rPr>
        <w:t xml:space="preserve">[ועי' במה שביאר </w:t>
      </w:r>
      <w:r w:rsidRPr="00394B7E">
        <w:rPr>
          <w:rStyle w:val="aff9"/>
          <w:rFonts w:hint="cs"/>
          <w:vanish/>
          <w:rtl/>
        </w:rPr>
        <w:t>-</w:t>
      </w:r>
      <w:r w:rsidRPr="00394B7E">
        <w:rPr>
          <w:rStyle w:val="aff9"/>
          <w:rFonts w:hint="cs"/>
          <w:rtl/>
        </w:rPr>
        <w:t>ב</w:t>
      </w:r>
      <w:r w:rsidRPr="00394B7E">
        <w:rPr>
          <w:rStyle w:val="aff9"/>
          <w:rFonts w:hint="cs"/>
          <w:vanish/>
          <w:rtl/>
        </w:rPr>
        <w:t>&lt; &gt;</w:t>
      </w:r>
      <w:r w:rsidRPr="00394B7E">
        <w:rPr>
          <w:rStyle w:val="aff9"/>
          <w:rFonts w:hint="cs"/>
          <w:rtl/>
        </w:rPr>
        <w:t>זכרון שמואל</w:t>
      </w:r>
      <w:r w:rsidRPr="00394B7E">
        <w:rPr>
          <w:rStyle w:val="aff9"/>
          <w:rFonts w:hint="cs"/>
          <w:vanish/>
          <w:rtl/>
        </w:rPr>
        <w:t>-</w:t>
      </w:r>
      <w:r w:rsidRPr="007A72D8">
        <w:rPr>
          <w:rStyle w:val="af"/>
          <w:rFonts w:hint="cs"/>
          <w:rtl/>
        </w:rPr>
        <w:t xml:space="preserve"> </w:t>
      </w:r>
      <w:r w:rsidRPr="00394B7E">
        <w:rPr>
          <w:rStyle w:val="aff0"/>
          <w:rFonts w:hint="cs"/>
          <w:rtl/>
        </w:rPr>
        <w:t>(סי' ד' אות ז')</w:t>
      </w:r>
      <w:r w:rsidRPr="00394B7E">
        <w:rPr>
          <w:rStyle w:val="af"/>
          <w:rFonts w:hint="cs"/>
          <w:vanish/>
          <w:rtl/>
        </w:rPr>
        <w:t>=</w:t>
      </w:r>
      <w:r w:rsidRPr="007A72D8">
        <w:rPr>
          <w:rStyle w:val="af"/>
          <w:rFonts w:hint="cs"/>
          <w:rtl/>
        </w:rPr>
        <w:t xml:space="preserve"> דאף שיבשו עדיין חשיבי כמחוברין, ולכן לענין שבת חייב דהוא תולש ממחובר, אך כיון דפסקה יניקתן לכן לענין טומאה חשיבי כעקורין, ולכן מטמאין טומאת אוכלין]</w:t>
      </w:r>
      <w:r w:rsidRPr="00CD1359">
        <w:rPr>
          <w:rStyle w:val="af"/>
          <w:rFonts w:hint="cs"/>
          <w:rtl/>
        </w:rPr>
        <w:t>.</w:t>
      </w:r>
      <w:bookmarkEnd w:id="1507"/>
    </w:p>
    <w:p w14:paraId="59C2DBBE" w14:textId="77777777" w:rsidR="000426DE" w:rsidRPr="00747170" w:rsidRDefault="000426DE" w:rsidP="00747170">
      <w:pPr>
        <w:pStyle w:val="a2"/>
        <w:rPr>
          <w:rtl/>
        </w:rPr>
      </w:pPr>
      <w:r w:rsidRPr="00747170">
        <w:rPr>
          <w:rtl/>
        </w:rPr>
        <w:t>תאנים שיבשו באיביהן וכן אילן שיבשו פירותיו בו, התולש מהן בשבת חייב אף על פי שהן כעקורין לענין טומאה.</w:t>
      </w:r>
    </w:p>
    <w:p w14:paraId="2374FC2A" w14:textId="77777777" w:rsidR="000426DE" w:rsidRPr="00D578AC" w:rsidRDefault="000426DE" w:rsidP="00747170">
      <w:pPr>
        <w:pStyle w:val="afffff5"/>
        <w:rPr>
          <w:rtl/>
        </w:rPr>
      </w:pPr>
      <w:r w:rsidRPr="00D578AC">
        <w:rPr>
          <w:rtl/>
        </w:rPr>
        <w:t xml:space="preserve">תאנים שיבשו באיביהן, וכן אילן שיבשו פירותיו בו, התולש מהם בשבת חייב, אף על פי שהם כעקורים לענין טומאה. </w:t>
      </w:r>
    </w:p>
    <w:p w14:paraId="59FA9F90" w14:textId="77777777" w:rsidR="000426DE" w:rsidRPr="00D578AC" w:rsidRDefault="000426DE" w:rsidP="00747170">
      <w:pPr>
        <w:pStyle w:val="afffff5"/>
        <w:rPr>
          <w:rtl/>
        </w:rPr>
      </w:pPr>
      <w:r w:rsidRPr="00D578AC">
        <w:rPr>
          <w:rtl/>
        </w:rPr>
        <w:t>תאנים שיבשו באיביהם וכו'. בהעור והרוטב (חולין קכ"ז) מימרא תאנים שצמקו באיביהן מטמאות טומאת אוכלין במקומן והתולש מהן בשבת חייב חטאת, ע"כ. וגם האילן נזכר שם בסוגיא:</w:t>
      </w:r>
    </w:p>
    <w:p w14:paraId="7EC83C03" w14:textId="77777777" w:rsidR="000426DE" w:rsidRDefault="000426DE" w:rsidP="000426DE">
      <w:pPr>
        <w:pStyle w:val="afffff7"/>
        <w:rPr>
          <w:rtl/>
        </w:rPr>
      </w:pPr>
      <w:bookmarkStart w:id="1508" w:name="_Toc135513704"/>
      <w:bookmarkStart w:id="1509" w:name="_Toc163505629"/>
      <w:r>
        <w:rPr>
          <w:rtl/>
        </w:rPr>
        <w:t>רמב"ם טומאת אוכלין פ"ב ה"ד</w:t>
      </w:r>
      <w:bookmarkEnd w:id="1508"/>
      <w:bookmarkEnd w:id="1509"/>
    </w:p>
    <w:p w14:paraId="62B34416" w14:textId="77777777" w:rsidR="000426DE" w:rsidRDefault="000426DE" w:rsidP="000426DE">
      <w:pPr>
        <w:pStyle w:val="afffff7"/>
        <w:rPr>
          <w:rtl/>
        </w:rPr>
      </w:pPr>
      <w:bookmarkStart w:id="1510" w:name="_Toc135513705"/>
      <w:bookmarkStart w:id="1511" w:name="_Toc163505630"/>
      <w:r>
        <w:rPr>
          <w:rFonts w:hint="cs"/>
          <w:rtl/>
        </w:rPr>
        <w:t>ראב"ד</w:t>
      </w:r>
      <w:r>
        <w:rPr>
          <w:rtl/>
        </w:rPr>
        <w:t xml:space="preserve"> טומאת אוכלין פ"ב ה"ד</w:t>
      </w:r>
      <w:bookmarkEnd w:id="1510"/>
      <w:bookmarkEnd w:id="1511"/>
    </w:p>
    <w:p w14:paraId="1247E9B8" w14:textId="77777777" w:rsidR="000426DE" w:rsidRDefault="000426DE" w:rsidP="000426DE">
      <w:pPr>
        <w:pStyle w:val="a7"/>
        <w:rPr>
          <w:rtl/>
        </w:rPr>
      </w:pPr>
      <w:bookmarkStart w:id="1512" w:name="_Toc139316362"/>
      <w:r>
        <w:rPr>
          <w:rFonts w:hint="cs"/>
          <w:rtl/>
        </w:rPr>
        <w:t>פלו' הרמב"ם והראב"ד באילן שנפשח או יבש דלדעת הרמב"ם פירותיו כתלושים לטומאה</w:t>
      </w:r>
      <w:bookmarkEnd w:id="1512"/>
      <w:r>
        <w:rPr>
          <w:rFonts w:hint="cs"/>
          <w:rtl/>
        </w:rPr>
        <w:t xml:space="preserve"> </w:t>
      </w:r>
    </w:p>
    <w:p w14:paraId="6BDDF6A2" w14:textId="0BF6FDB3" w:rsidR="000426DE" w:rsidRPr="00D27CAD" w:rsidRDefault="000426DE" w:rsidP="00BC7DC8">
      <w:pPr>
        <w:pStyle w:val="a3"/>
      </w:pPr>
      <w:bookmarkStart w:id="1513" w:name="_Ref134701029"/>
      <w:r>
        <w:rPr>
          <w:rFonts w:hint="cs"/>
          <w:rtl/>
        </w:rPr>
        <w:t xml:space="preserve">עוד כתב </w:t>
      </w:r>
      <w:r w:rsidRPr="0021500D">
        <w:rPr>
          <w:rStyle w:val="aff4"/>
          <w:rFonts w:hint="cs"/>
          <w:vanish/>
          <w:rtl/>
        </w:rPr>
        <w:t>-</w:t>
      </w:r>
      <w:r w:rsidRPr="00894DA6">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Ref134701029 \r \h</w:instrText>
      </w:r>
      <w:r w:rsidRPr="00B53404">
        <w:rPr>
          <w:rStyle w:val="aff4"/>
          <w:vanish/>
          <w:rtl/>
        </w:rPr>
        <w:instrText xml:space="preserve">  \* </w:instrText>
      </w:r>
      <w:r w:rsidRPr="00B53404">
        <w:rPr>
          <w:rStyle w:val="aff4"/>
          <w:vanish/>
        </w:rPr>
        <w:instrText>MERGEFORMAT</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לה)</w:t>
      </w:r>
      <w:r w:rsidRPr="00B53404">
        <w:rPr>
          <w:rStyle w:val="aff4"/>
          <w:vanish/>
          <w:rtl/>
        </w:rPr>
        <w:fldChar w:fldCharType="end"/>
      </w:r>
      <w:r w:rsidRPr="00B53404">
        <w:rPr>
          <w:rStyle w:val="aff4"/>
          <w:rFonts w:hint="cs"/>
          <w:vanish/>
          <w:rtl/>
        </w:rPr>
        <w:t xml:space="preserve"> &gt;</w:t>
      </w:r>
      <w:r w:rsidRPr="00894DA6">
        <w:rPr>
          <w:rStyle w:val="aff4"/>
          <w:rFonts w:hint="cs"/>
          <w:rtl/>
        </w:rPr>
        <w:t>רמב"ם</w:t>
      </w:r>
      <w:r w:rsidRPr="0021500D">
        <w:rPr>
          <w:rStyle w:val="aff4"/>
          <w:rFonts w:hint="cs"/>
          <w:vanish/>
          <w:rtl/>
        </w:rPr>
        <w:t>-</w:t>
      </w:r>
      <w:r>
        <w:rPr>
          <w:rFonts w:hint="cs"/>
          <w:rtl/>
        </w:rPr>
        <w:t xml:space="preserve"> </w:t>
      </w:r>
      <w:r w:rsidRPr="00FB451D">
        <w:rPr>
          <w:rStyle w:val="af2"/>
          <w:rFonts w:eastAsia="Guttman Hodes" w:hint="cs"/>
          <w:rtl/>
        </w:rPr>
        <w:t>(טומאת אוכלין פ"ב ה"ד)</w:t>
      </w:r>
      <w:r w:rsidRPr="0021500D">
        <w:rPr>
          <w:rFonts w:hint="cs"/>
          <w:vanish/>
          <w:rtl/>
        </w:rPr>
        <w:t>=</w:t>
      </w:r>
      <w:r>
        <w:rPr>
          <w:rFonts w:hint="cs"/>
          <w:rtl/>
        </w:rPr>
        <w:t xml:space="preserve"> דלענין טומאה אילן שנפשח ויש בו פירות הם כתלושין, וכן אם יבש האילן ויש בו פירות הן כתלושין, והשיג עליו </w:t>
      </w:r>
      <w:r w:rsidRPr="0021500D">
        <w:rPr>
          <w:rStyle w:val="aff4"/>
          <w:rFonts w:hint="cs"/>
          <w:vanish/>
          <w:rtl/>
        </w:rPr>
        <w:t>-</w:t>
      </w:r>
      <w:r w:rsidRPr="00894DA6">
        <w:rPr>
          <w:rStyle w:val="aff4"/>
          <w:rFonts w:hint="cs"/>
          <w:rtl/>
        </w:rPr>
        <w:t>ה</w:t>
      </w:r>
      <w:r w:rsidRPr="00B53404">
        <w:rPr>
          <w:rStyle w:val="aff4"/>
          <w:rFonts w:hint="cs"/>
          <w:vanish/>
          <w:rtl/>
        </w:rPr>
        <w:t>&lt; &gt;</w:t>
      </w:r>
      <w:r w:rsidRPr="00894DA6">
        <w:rPr>
          <w:rStyle w:val="aff4"/>
          <w:rFonts w:hint="cs"/>
          <w:rtl/>
        </w:rPr>
        <w:t>ראב"ד</w:t>
      </w:r>
      <w:r w:rsidRPr="0021500D">
        <w:rPr>
          <w:rStyle w:val="aff4"/>
          <w:rFonts w:hint="cs"/>
          <w:vanish/>
          <w:rtl/>
        </w:rPr>
        <w:t>-</w:t>
      </w:r>
      <w:r>
        <w:rPr>
          <w:rFonts w:hint="cs"/>
          <w:rtl/>
        </w:rPr>
        <w:t xml:space="preserve"> </w:t>
      </w:r>
      <w:r w:rsidRPr="00FB451D">
        <w:rPr>
          <w:rStyle w:val="af2"/>
          <w:rFonts w:eastAsia="Guttman Hodes" w:hint="cs"/>
          <w:rtl/>
        </w:rPr>
        <w:t>(טומאת אוכלין פ"ב ה"ד)</w:t>
      </w:r>
      <w:r w:rsidRPr="0021500D">
        <w:rPr>
          <w:rFonts w:hint="cs"/>
          <w:vanish/>
          <w:rtl/>
        </w:rPr>
        <w:t>=</w:t>
      </w:r>
      <w:r>
        <w:rPr>
          <w:rFonts w:hint="cs"/>
          <w:rtl/>
        </w:rPr>
        <w:t xml:space="preserve"> דאין לדין זה מקור, ואילו בגמ' בחולין </w:t>
      </w:r>
      <w:r w:rsidRPr="00FB451D">
        <w:rPr>
          <w:rStyle w:val="af2"/>
          <w:rFonts w:eastAsia="Guttman Hodes" w:hint="cs"/>
          <w:rtl/>
        </w:rPr>
        <w:t>(קכז:)</w:t>
      </w:r>
      <w:r>
        <w:rPr>
          <w:rFonts w:hint="cs"/>
          <w:rtl/>
        </w:rPr>
        <w:t xml:space="preserve"> מבואר דהם כמחוברין, ועי' במ"ש </w:t>
      </w:r>
      <w:r w:rsidRPr="0021500D">
        <w:rPr>
          <w:rStyle w:val="aff4"/>
          <w:rFonts w:hint="cs"/>
          <w:vanish/>
          <w:rtl/>
        </w:rPr>
        <w:t>--</w:t>
      </w:r>
      <w:r w:rsidRPr="00894DA6">
        <w:rPr>
          <w:rStyle w:val="aff4"/>
          <w:rFonts w:hint="cs"/>
          <w:rtl/>
        </w:rPr>
        <w:t>הדבר אברהם</w:t>
      </w:r>
      <w:r w:rsidRPr="0021500D">
        <w:rPr>
          <w:rStyle w:val="aff4"/>
          <w:rFonts w:hint="cs"/>
          <w:vanish/>
          <w:rtl/>
        </w:rPr>
        <w:t>-</w:t>
      </w:r>
      <w:r w:rsidRPr="00442CB8">
        <w:rPr>
          <w:rStyle w:val="aff4"/>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Ref134702196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קיז)</w:t>
      </w:r>
      <w:r>
        <w:rPr>
          <w:rStyle w:val="af2"/>
          <w:rFonts w:eastAsia="Guttman Hodes"/>
          <w:rtl/>
        </w:rPr>
        <w:fldChar w:fldCharType="end"/>
      </w:r>
      <w:r>
        <w:rPr>
          <w:rFonts w:hint="cs"/>
          <w:rtl/>
        </w:rPr>
        <w:t xml:space="preserve"> </w:t>
      </w:r>
      <w:r w:rsidRPr="0021500D">
        <w:rPr>
          <w:rStyle w:val="aff4"/>
          <w:rFonts w:hint="cs"/>
          <w:vanish/>
          <w:rtl/>
        </w:rPr>
        <w:t>-</w:t>
      </w:r>
      <w:r w:rsidRPr="00894DA6">
        <w:rPr>
          <w:rStyle w:val="aff4"/>
          <w:rFonts w:hint="cs"/>
          <w:rtl/>
        </w:rPr>
        <w:t>והחזו"א</w:t>
      </w:r>
      <w:r w:rsidRPr="0021500D">
        <w:rPr>
          <w:rStyle w:val="aff4"/>
          <w:rFonts w:hint="cs"/>
          <w:vanish/>
          <w:rtl/>
        </w:rPr>
        <w:t>-</w:t>
      </w:r>
      <w:r>
        <w:rPr>
          <w:rFonts w:hint="cs"/>
          <w:rtl/>
        </w:rPr>
        <w:t xml:space="preserve"> </w:t>
      </w:r>
      <w:r w:rsidRPr="00FB451D">
        <w:rPr>
          <w:rStyle w:val="af2"/>
          <w:rFonts w:eastAsia="Guttman Hodes" w:hint="cs"/>
          <w:rtl/>
        </w:rPr>
        <w:t xml:space="preserve">(עי' </w:t>
      </w:r>
      <w:r w:rsidRPr="00E628E6">
        <w:rPr>
          <w:rStyle w:val="af2"/>
          <w:rFonts w:eastAsia="Guttman Hodes" w:hint="cs"/>
          <w:rtl/>
        </w:rPr>
        <w:t xml:space="preserve">אות </w:t>
      </w:r>
      <w:r w:rsidRPr="00E628E6">
        <w:rPr>
          <w:rStyle w:val="af2"/>
          <w:rFonts w:eastAsia="Guttman Hodes"/>
          <w:rtl/>
        </w:rPr>
        <w:fldChar w:fldCharType="begin"/>
      </w:r>
      <w:r w:rsidRPr="00E628E6">
        <w:rPr>
          <w:rStyle w:val="af2"/>
          <w:rFonts w:eastAsia="Guttman Hodes"/>
          <w:rtl/>
        </w:rPr>
        <w:instrText xml:space="preserve"> </w:instrText>
      </w:r>
      <w:r w:rsidRPr="00E628E6">
        <w:rPr>
          <w:rStyle w:val="af2"/>
          <w:rFonts w:eastAsia="Guttman Hodes" w:hint="cs"/>
        </w:rPr>
        <w:instrText>REF</w:instrText>
      </w:r>
      <w:r w:rsidRPr="00E628E6">
        <w:rPr>
          <w:rStyle w:val="af2"/>
          <w:rFonts w:eastAsia="Guttman Hodes" w:hint="cs"/>
          <w:rtl/>
        </w:rPr>
        <w:instrText xml:space="preserve"> _</w:instrText>
      </w:r>
      <w:r w:rsidRPr="00E628E6">
        <w:rPr>
          <w:rStyle w:val="af2"/>
          <w:rFonts w:eastAsia="Guttman Hodes" w:hint="cs"/>
        </w:rPr>
        <w:instrText>Ref135321560 \r \h</w:instrText>
      </w:r>
      <w:r w:rsidRPr="00E628E6">
        <w:rPr>
          <w:rStyle w:val="af2"/>
          <w:rFonts w:eastAsia="Guttman Hodes"/>
          <w:rtl/>
        </w:rPr>
        <w:instrText xml:space="preserve"> </w:instrText>
      </w:r>
      <w:r w:rsidRPr="00E628E6">
        <w:rPr>
          <w:rStyle w:val="af2"/>
          <w:rFonts w:eastAsia="Guttman Hodes"/>
          <w:rtl/>
        </w:rPr>
      </w:r>
      <w:r w:rsidRPr="00E628E6">
        <w:rPr>
          <w:rStyle w:val="af2"/>
          <w:rFonts w:eastAsia="Guttman Hodes"/>
          <w:rtl/>
        </w:rPr>
        <w:fldChar w:fldCharType="separate"/>
      </w:r>
      <w:r w:rsidR="00D82181">
        <w:rPr>
          <w:rStyle w:val="af2"/>
          <w:rFonts w:eastAsia="Guttman Hodes"/>
          <w:cs/>
        </w:rPr>
        <w:t>‎</w:t>
      </w:r>
      <w:r w:rsidR="00D82181">
        <w:rPr>
          <w:rStyle w:val="af2"/>
          <w:rFonts w:eastAsia="Guttman Hodes"/>
          <w:rtl/>
        </w:rPr>
        <w:t>מ)</w:t>
      </w:r>
      <w:r w:rsidRPr="00E628E6">
        <w:rPr>
          <w:rStyle w:val="af2"/>
          <w:rFonts w:eastAsia="Guttman Hodes"/>
          <w:rtl/>
        </w:rPr>
        <w:fldChar w:fldCharType="end"/>
      </w:r>
      <w:r>
        <w:rPr>
          <w:rFonts w:hint="cs"/>
          <w:rtl/>
        </w:rPr>
        <w:t xml:space="preserve"> בדעת </w:t>
      </w:r>
      <w:r w:rsidRPr="0021500D">
        <w:rPr>
          <w:rStyle w:val="aff4"/>
          <w:rFonts w:hint="cs"/>
          <w:vanish/>
          <w:rtl/>
        </w:rPr>
        <w:t>-</w:t>
      </w:r>
      <w:r w:rsidRPr="00894DA6">
        <w:rPr>
          <w:rStyle w:val="aff4"/>
          <w:rFonts w:hint="cs"/>
          <w:rtl/>
        </w:rPr>
        <w:t>הראב"ד</w:t>
      </w:r>
      <w:r w:rsidRPr="0021500D">
        <w:rPr>
          <w:rStyle w:val="aff4"/>
          <w:rFonts w:hint="cs"/>
          <w:vanish/>
          <w:rtl/>
        </w:rPr>
        <w:t>-</w:t>
      </w:r>
      <w:r>
        <w:rPr>
          <w:rFonts w:hint="cs"/>
          <w:rtl/>
        </w:rPr>
        <w:t>.</w:t>
      </w:r>
      <w:bookmarkEnd w:id="1513"/>
    </w:p>
    <w:p w14:paraId="3D4B86EF" w14:textId="77777777" w:rsidR="000426DE" w:rsidRPr="00747170" w:rsidRDefault="000426DE" w:rsidP="00747170">
      <w:pPr>
        <w:pStyle w:val="a2"/>
      </w:pPr>
      <w:r w:rsidRPr="00747170">
        <w:rPr>
          <w:rtl/>
        </w:rPr>
        <w:t xml:space="preserve">אילן שנפשח ובו פירות הרי הן כתלושין, וכן אם יבש האילן ובו פירות הרי הן כתלושין. </w:t>
      </w:r>
    </w:p>
    <w:p w14:paraId="15844FD3" w14:textId="77777777" w:rsidR="000426DE" w:rsidRPr="00D578AC" w:rsidRDefault="000426DE" w:rsidP="00747170">
      <w:pPr>
        <w:pStyle w:val="afffff5"/>
        <w:rPr>
          <w:rtl/>
        </w:rPr>
      </w:pPr>
      <w:r w:rsidRPr="00D578AC">
        <w:rPr>
          <w:rtl/>
        </w:rPr>
        <w:t>וכן אם יבש האילן. א"א אין דבר זה לא במשנה ולא בתוספתא ולא בגמרא דחולין אבל אם יבשו בו פירות במחובר הרי הן כמחוברין ואולי מבכורים גמר לה דתנן יבש האילן או נקצץ מביא ואינו קורא קתני יבש דומיא דנקצץ.</w:t>
      </w:r>
    </w:p>
    <w:p w14:paraId="0FF712B2" w14:textId="77777777" w:rsidR="000426DE" w:rsidRDefault="000426DE" w:rsidP="000426DE">
      <w:pPr>
        <w:pStyle w:val="afffff7"/>
        <w:rPr>
          <w:rtl/>
        </w:rPr>
      </w:pPr>
      <w:bookmarkStart w:id="1514" w:name="_Toc135513706"/>
      <w:bookmarkStart w:id="1515" w:name="_Toc163505631"/>
      <w:r>
        <w:rPr>
          <w:rtl/>
        </w:rPr>
        <w:t>מגן אברהם סי' שלו ס"ק א</w:t>
      </w:r>
      <w:bookmarkEnd w:id="1514"/>
      <w:bookmarkEnd w:id="1515"/>
    </w:p>
    <w:p w14:paraId="1494DD41" w14:textId="77777777" w:rsidR="000426DE" w:rsidRDefault="000426DE" w:rsidP="000426DE">
      <w:pPr>
        <w:pStyle w:val="a7"/>
        <w:rPr>
          <w:rtl/>
        </w:rPr>
      </w:pPr>
      <w:bookmarkStart w:id="1516" w:name="_Toc139316363"/>
      <w:r>
        <w:rPr>
          <w:rFonts w:hint="cs"/>
          <w:rtl/>
        </w:rPr>
        <w:t>בי' המג"א ברמב"ם דביבשו הפירות היינו שאף העץ עצמו יבש ואפ"ה חייב משום תולש בשבת</w:t>
      </w:r>
      <w:bookmarkEnd w:id="1516"/>
    </w:p>
    <w:p w14:paraId="2DF8CEFF" w14:textId="259AD73C" w:rsidR="000426DE" w:rsidRDefault="000426DE" w:rsidP="00BC7DC8">
      <w:pPr>
        <w:pStyle w:val="a3"/>
      </w:pPr>
      <w:bookmarkStart w:id="1517" w:name="_Ref134607792"/>
      <w:bookmarkStart w:id="1518" w:name="_Ref135403573"/>
      <w:r>
        <w:rPr>
          <w:rFonts w:hint="cs"/>
          <w:rtl/>
        </w:rPr>
        <w:t xml:space="preserve">במ"ש </w:t>
      </w:r>
      <w:r w:rsidRPr="00C65D8D">
        <w:rPr>
          <w:rStyle w:val="aff4"/>
          <w:rFonts w:hint="cs"/>
          <w:vanish/>
          <w:rtl/>
        </w:rPr>
        <w:t>-</w:t>
      </w:r>
      <w:r w:rsidRPr="00C65D8D">
        <w:rPr>
          <w:rStyle w:val="aff4"/>
          <w:rFonts w:hint="cs"/>
          <w:rtl/>
        </w:rPr>
        <w:t>הרמב"ם</w:t>
      </w:r>
      <w:r w:rsidRPr="00C65D8D">
        <w:rPr>
          <w:rStyle w:val="aff4"/>
          <w:rFonts w:hint="cs"/>
          <w:vanish/>
          <w:rtl/>
        </w:rPr>
        <w:t>-</w:t>
      </w:r>
      <w:r>
        <w:rPr>
          <w:rFonts w:hint="cs"/>
          <w:rtl/>
        </w:rPr>
        <w:t xml:space="preserve"> </w:t>
      </w:r>
      <w:r w:rsidRPr="00FB451D">
        <w:rPr>
          <w:rStyle w:val="af2"/>
          <w:rFonts w:eastAsia="Guttman Hodes" w:hint="cs"/>
          <w:rtl/>
        </w:rPr>
        <w:t xml:space="preserve">(עי' אות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Ref134564918 \r \h</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לד)</w:t>
      </w:r>
      <w:r w:rsidRPr="00FB451D">
        <w:rPr>
          <w:rStyle w:val="af2"/>
          <w:rFonts w:eastAsia="Guttman Hodes"/>
          <w:rtl/>
        </w:rPr>
        <w:fldChar w:fldCharType="end"/>
      </w:r>
      <w:r>
        <w:rPr>
          <w:rFonts w:hint="cs"/>
          <w:rtl/>
        </w:rPr>
        <w:t xml:space="preserve"> דתאנים שיבשו באיביהן, ביאר </w:t>
      </w:r>
      <w:r w:rsidRPr="00C65D8D">
        <w:rPr>
          <w:rStyle w:val="aff4"/>
          <w:rFonts w:hint="cs"/>
          <w:vanish/>
          <w:rtl/>
        </w:rPr>
        <w:t>-</w:t>
      </w:r>
      <w:r w:rsidRPr="00C65D8D">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Ref134607792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לו)</w:t>
      </w:r>
      <w:r w:rsidRPr="00B53404">
        <w:rPr>
          <w:rStyle w:val="aff4"/>
          <w:vanish/>
          <w:rtl/>
        </w:rPr>
        <w:fldChar w:fldCharType="end"/>
      </w:r>
      <w:r w:rsidRPr="00B53404">
        <w:rPr>
          <w:rStyle w:val="aff4"/>
          <w:rFonts w:hint="cs"/>
          <w:vanish/>
          <w:rtl/>
        </w:rPr>
        <w:t xml:space="preserve"> &gt;</w:t>
      </w:r>
      <w:r w:rsidRPr="00C65D8D">
        <w:rPr>
          <w:rStyle w:val="aff4"/>
          <w:rFonts w:hint="cs"/>
          <w:rtl/>
        </w:rPr>
        <w:t>מג"א</w:t>
      </w:r>
      <w:r w:rsidRPr="00C65D8D">
        <w:rPr>
          <w:rStyle w:val="aff4"/>
          <w:rFonts w:hint="cs"/>
          <w:vanish/>
          <w:rtl/>
        </w:rPr>
        <w:t>-</w:t>
      </w:r>
      <w:r>
        <w:rPr>
          <w:rFonts w:hint="cs"/>
          <w:rtl/>
        </w:rPr>
        <w:t xml:space="preserve"> </w:t>
      </w:r>
      <w:r w:rsidRPr="001E4AC0">
        <w:rPr>
          <w:rStyle w:val="af2"/>
          <w:rFonts w:eastAsia="Guttman Hodes" w:hint="cs"/>
          <w:rtl/>
        </w:rPr>
        <w:t>(סי' של"ו סק"א)</w:t>
      </w:r>
      <w:r w:rsidRPr="00C65D8D">
        <w:rPr>
          <w:rFonts w:hint="cs"/>
          <w:vanish/>
          <w:rtl/>
        </w:rPr>
        <w:t>=</w:t>
      </w:r>
      <w:r>
        <w:rPr>
          <w:rFonts w:hint="cs"/>
          <w:rtl/>
        </w:rPr>
        <w:t xml:space="preserve"> דס"ל </w:t>
      </w:r>
      <w:r w:rsidRPr="00C65D8D">
        <w:rPr>
          <w:rStyle w:val="aff4"/>
          <w:rFonts w:hint="cs"/>
          <w:vanish/>
          <w:rtl/>
        </w:rPr>
        <w:t>-</w:t>
      </w:r>
      <w:r w:rsidRPr="00C65D8D">
        <w:rPr>
          <w:rStyle w:val="aff4"/>
          <w:rFonts w:hint="cs"/>
          <w:rtl/>
        </w:rPr>
        <w:t>להרמב"ם</w:t>
      </w:r>
      <w:r w:rsidRPr="00C65D8D">
        <w:rPr>
          <w:rStyle w:val="aff4"/>
          <w:rFonts w:hint="cs"/>
          <w:vanish/>
          <w:rtl/>
        </w:rPr>
        <w:t>-</w:t>
      </w:r>
      <w:r>
        <w:rPr>
          <w:rFonts w:hint="cs"/>
          <w:rtl/>
        </w:rPr>
        <w:t xml:space="preserve"> דאיירי שהעץ עצמו יבש,</w:t>
      </w:r>
      <w:bookmarkEnd w:id="1517"/>
      <w:r>
        <w:rPr>
          <w:rFonts w:hint="cs"/>
          <w:rtl/>
        </w:rPr>
        <w:t xml:space="preserve"> ולא שיבשו רק הפירות ועוקציהן לחין, ואפ"ה יש בו חיוב תולש לדעת </w:t>
      </w:r>
      <w:r w:rsidRPr="00C65D8D">
        <w:rPr>
          <w:rStyle w:val="aff4"/>
          <w:rFonts w:hint="cs"/>
          <w:vanish/>
          <w:rtl/>
        </w:rPr>
        <w:t>-</w:t>
      </w:r>
      <w:r w:rsidRPr="00C65D8D">
        <w:rPr>
          <w:rStyle w:val="aff4"/>
          <w:rFonts w:hint="cs"/>
          <w:rtl/>
        </w:rPr>
        <w:t>הרמב"ם</w:t>
      </w:r>
      <w:r w:rsidRPr="00C65D8D">
        <w:rPr>
          <w:rStyle w:val="aff4"/>
          <w:rFonts w:hint="cs"/>
          <w:vanish/>
          <w:rtl/>
        </w:rPr>
        <w:t>-</w:t>
      </w:r>
      <w:r>
        <w:rPr>
          <w:rFonts w:hint="cs"/>
          <w:rtl/>
        </w:rPr>
        <w:t xml:space="preserve"> כיון דהוא מחובר</w:t>
      </w:r>
      <w:r w:rsidRPr="00C92101">
        <w:rPr>
          <w:rFonts w:hint="cs"/>
          <w:rtl/>
        </w:rPr>
        <w:t xml:space="preserve"> </w:t>
      </w:r>
      <w:r>
        <w:rPr>
          <w:rFonts w:hint="cs"/>
          <w:rtl/>
        </w:rPr>
        <w:t>ועי' במ"ש</w:t>
      </w:r>
      <w:r w:rsidRPr="00C92101">
        <w:rPr>
          <w:rStyle w:val="aff4"/>
          <w:rFonts w:hint="cs"/>
          <w:rtl/>
        </w:rPr>
        <w:t xml:space="preserve"> </w:t>
      </w:r>
      <w:r w:rsidRPr="00C65D8D">
        <w:rPr>
          <w:rStyle w:val="aff4"/>
          <w:rFonts w:hint="cs"/>
          <w:vanish/>
          <w:rtl/>
        </w:rPr>
        <w:t>-</w:t>
      </w:r>
      <w:r w:rsidRPr="00C65D8D">
        <w:rPr>
          <w:rStyle w:val="aff4"/>
          <w:rFonts w:hint="cs"/>
          <w:rtl/>
        </w:rPr>
        <w:t>הביה"ל</w:t>
      </w:r>
      <w:r w:rsidRPr="00C65D8D">
        <w:rPr>
          <w:rStyle w:val="aff4"/>
          <w:rFonts w:hint="cs"/>
          <w:vanish/>
          <w:rtl/>
        </w:rPr>
        <w:t>-</w:t>
      </w:r>
      <w:r>
        <w:rPr>
          <w:rFonts w:hint="cs"/>
          <w:rtl/>
        </w:rPr>
        <w:t xml:space="preserve"> </w:t>
      </w:r>
      <w:r w:rsidRPr="00F160DF">
        <w:rPr>
          <w:rStyle w:val="af2"/>
          <w:rFonts w:eastAsia="Guttman Hodes" w:hint="cs"/>
          <w:rtl/>
        </w:rPr>
        <w:t>(עי' אות</w:t>
      </w:r>
      <w:r>
        <w:rPr>
          <w:rFonts w:hint="cs"/>
          <w:rtl/>
        </w:rPr>
        <w:t xml:space="preserve"> </w:t>
      </w:r>
      <w:r w:rsidRPr="00F160DF">
        <w:rPr>
          <w:rStyle w:val="af2"/>
          <w:rFonts w:eastAsia="Guttman Hodes"/>
          <w:rtl/>
        </w:rPr>
        <w:fldChar w:fldCharType="begin"/>
      </w:r>
      <w:r w:rsidRPr="00F160DF">
        <w:rPr>
          <w:rStyle w:val="af2"/>
          <w:rFonts w:eastAsia="Guttman Hodes"/>
          <w:rtl/>
        </w:rPr>
        <w:instrText xml:space="preserve"> </w:instrText>
      </w:r>
      <w:r w:rsidRPr="00F160DF">
        <w:rPr>
          <w:rStyle w:val="af2"/>
          <w:rFonts w:eastAsia="Guttman Hodes" w:hint="cs"/>
        </w:rPr>
        <w:instrText>REF</w:instrText>
      </w:r>
      <w:r w:rsidRPr="00F160DF">
        <w:rPr>
          <w:rStyle w:val="af2"/>
          <w:rFonts w:eastAsia="Guttman Hodes" w:hint="cs"/>
          <w:rtl/>
        </w:rPr>
        <w:instrText xml:space="preserve"> _</w:instrText>
      </w:r>
      <w:r w:rsidRPr="00F160DF">
        <w:rPr>
          <w:rStyle w:val="af2"/>
          <w:rFonts w:eastAsia="Guttman Hodes" w:hint="cs"/>
        </w:rPr>
        <w:instrText>Ref135403591 \r \h</w:instrText>
      </w:r>
      <w:r w:rsidRPr="00F160DF">
        <w:rPr>
          <w:rStyle w:val="af2"/>
          <w:rFonts w:eastAsia="Guttman Hodes"/>
          <w:rtl/>
        </w:rPr>
        <w:instrText xml:space="preserve"> </w:instrText>
      </w:r>
      <w:r>
        <w:rPr>
          <w:rStyle w:val="af2"/>
          <w:rFonts w:eastAsia="Guttman Hodes"/>
          <w:rtl/>
        </w:rPr>
        <w:instrText xml:space="preserve"> \* </w:instrText>
      </w:r>
      <w:r>
        <w:rPr>
          <w:rStyle w:val="af2"/>
          <w:rFonts w:eastAsia="Guttman Hodes"/>
        </w:rPr>
        <w:instrText>MERGEFORMAT</w:instrText>
      </w:r>
      <w:r>
        <w:rPr>
          <w:rStyle w:val="af2"/>
          <w:rFonts w:eastAsia="Guttman Hodes"/>
          <w:rtl/>
        </w:rPr>
        <w:instrText xml:space="preserve"> </w:instrText>
      </w:r>
      <w:r w:rsidRPr="00F160DF">
        <w:rPr>
          <w:rStyle w:val="af2"/>
          <w:rFonts w:eastAsia="Guttman Hodes"/>
          <w:rtl/>
        </w:rPr>
      </w:r>
      <w:r w:rsidRPr="00F160DF">
        <w:rPr>
          <w:rStyle w:val="af2"/>
          <w:rFonts w:eastAsia="Guttman Hodes"/>
          <w:rtl/>
        </w:rPr>
        <w:fldChar w:fldCharType="separate"/>
      </w:r>
      <w:r w:rsidR="00D82181">
        <w:rPr>
          <w:rStyle w:val="af2"/>
          <w:rFonts w:eastAsia="Guttman Hodes"/>
          <w:cs/>
        </w:rPr>
        <w:t>‎</w:t>
      </w:r>
      <w:r w:rsidR="00D82181">
        <w:rPr>
          <w:rStyle w:val="af2"/>
          <w:rFonts w:eastAsia="Guttman Hodes"/>
          <w:rtl/>
        </w:rPr>
        <w:t>מא)</w:t>
      </w:r>
      <w:r w:rsidRPr="00F160DF">
        <w:rPr>
          <w:rStyle w:val="af2"/>
          <w:rFonts w:eastAsia="Guttman Hodes"/>
          <w:rtl/>
        </w:rPr>
        <w:fldChar w:fldCharType="end"/>
      </w:r>
      <w:r>
        <w:rPr>
          <w:rFonts w:hint="cs"/>
          <w:rtl/>
        </w:rPr>
        <w:t xml:space="preserve"> </w:t>
      </w:r>
      <w:r w:rsidRPr="00C65D8D">
        <w:rPr>
          <w:rStyle w:val="aff4"/>
          <w:rFonts w:hint="cs"/>
          <w:vanish/>
          <w:rtl/>
        </w:rPr>
        <w:t>-</w:t>
      </w:r>
      <w:r>
        <w:rPr>
          <w:rStyle w:val="aff4"/>
          <w:rFonts w:hint="cs"/>
          <w:rtl/>
        </w:rPr>
        <w:t>וה</w:t>
      </w:r>
      <w:r w:rsidRPr="00C65D8D">
        <w:rPr>
          <w:rStyle w:val="aff4"/>
          <w:rFonts w:hint="cs"/>
          <w:rtl/>
        </w:rPr>
        <w:t>דבר אברהם</w:t>
      </w:r>
      <w:r w:rsidRPr="00C65D8D">
        <w:rPr>
          <w:rStyle w:val="aff4"/>
          <w:rFonts w:hint="cs"/>
          <w:vanish/>
          <w:rtl/>
        </w:rPr>
        <w:t>-</w:t>
      </w:r>
      <w:r>
        <w:rPr>
          <w:rFonts w:hint="cs"/>
          <w:rtl/>
        </w:rPr>
        <w:t xml:space="preserve"> </w:t>
      </w:r>
      <w:r w:rsidRPr="00E10845">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rPr>
        <w:instrText>REF</w:instrText>
      </w:r>
      <w:r>
        <w:rPr>
          <w:rStyle w:val="af2"/>
          <w:rFonts w:eastAsia="Guttman Hodes"/>
          <w:rtl/>
        </w:rPr>
        <w:instrText xml:space="preserve"> _</w:instrText>
      </w:r>
      <w:r>
        <w:rPr>
          <w:rStyle w:val="af2"/>
          <w:rFonts w:eastAsia="Guttman Hodes"/>
        </w:rPr>
        <w:instrText>Ref135403912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קטז)</w:t>
      </w:r>
      <w:r>
        <w:rPr>
          <w:rStyle w:val="af2"/>
          <w:rFonts w:eastAsia="Guttman Hodes"/>
          <w:rtl/>
        </w:rPr>
        <w:fldChar w:fldCharType="end"/>
      </w:r>
      <w:r>
        <w:rPr>
          <w:rFonts w:hint="cs"/>
          <w:rtl/>
        </w:rPr>
        <w:t xml:space="preserve"> דלא </w:t>
      </w:r>
      <w:r w:rsidRPr="00C65D8D">
        <w:rPr>
          <w:rStyle w:val="aff4"/>
          <w:rFonts w:hint="cs"/>
          <w:vanish/>
          <w:rtl/>
        </w:rPr>
        <w:t>-</w:t>
      </w:r>
      <w:r>
        <w:rPr>
          <w:rStyle w:val="aff4"/>
          <w:rFonts w:hint="cs"/>
          <w:rtl/>
        </w:rPr>
        <w:t>כ</w:t>
      </w:r>
      <w:r w:rsidRPr="00C65D8D">
        <w:rPr>
          <w:rStyle w:val="aff4"/>
          <w:rFonts w:hint="cs"/>
          <w:rtl/>
        </w:rPr>
        <w:t>מג"א</w:t>
      </w:r>
      <w:r w:rsidRPr="00C65D8D">
        <w:rPr>
          <w:rStyle w:val="aff4"/>
          <w:rFonts w:hint="cs"/>
          <w:vanish/>
          <w:rtl/>
        </w:rPr>
        <w:t>-</w:t>
      </w:r>
      <w:r>
        <w:rPr>
          <w:rFonts w:hint="cs"/>
          <w:rtl/>
        </w:rPr>
        <w:t>.</w:t>
      </w:r>
      <w:bookmarkEnd w:id="1518"/>
    </w:p>
    <w:p w14:paraId="3D29D1F2" w14:textId="77777777" w:rsidR="000426DE" w:rsidRPr="00747170" w:rsidRDefault="000426DE" w:rsidP="00747170">
      <w:pPr>
        <w:pStyle w:val="a2"/>
        <w:rPr>
          <w:rtl/>
        </w:rPr>
      </w:pPr>
      <w:bookmarkStart w:id="1519" w:name="_Ref134696598"/>
      <w:r w:rsidRPr="00747170">
        <w:rPr>
          <w:rtl/>
        </w:rPr>
        <w:t>אבל דעת הרמב"ם דביבש שייך תלישה כמ"ש סי"ב</w:t>
      </w:r>
      <w:r w:rsidRPr="00747170">
        <w:rPr>
          <w:rFonts w:hint="cs"/>
          <w:rtl/>
        </w:rPr>
        <w:t>, וכו'</w:t>
      </w:r>
      <w:r w:rsidRPr="00747170">
        <w:rPr>
          <w:rtl/>
        </w:rPr>
        <w:t>:</w:t>
      </w:r>
    </w:p>
    <w:bookmarkEnd w:id="1519"/>
    <w:p w14:paraId="08680B6E" w14:textId="77777777" w:rsidR="000426DE" w:rsidRPr="00D578AC" w:rsidRDefault="000426DE" w:rsidP="00747170">
      <w:pPr>
        <w:pStyle w:val="afffff5"/>
        <w:rPr>
          <w:rtl/>
        </w:rPr>
      </w:pPr>
      <w:r w:rsidRPr="00D578AC">
        <w:rPr>
          <w:rtl/>
        </w:rPr>
        <w:t>אבל באמת ביבש שאין בו לחלוח לא שייך תלישה כ"כ רש"י בעירובין ד' ק' וכ"כ בחולין פ"ט:</w:t>
      </w:r>
    </w:p>
    <w:p w14:paraId="1A8B3EA0" w14:textId="77777777" w:rsidR="000426DE" w:rsidRDefault="000426DE" w:rsidP="000426DE">
      <w:pPr>
        <w:pStyle w:val="afffff7"/>
        <w:rPr>
          <w:rtl/>
        </w:rPr>
      </w:pPr>
      <w:bookmarkStart w:id="1520" w:name="_Toc135513707"/>
      <w:bookmarkStart w:id="1521" w:name="_Hlk134564330"/>
      <w:bookmarkStart w:id="1522" w:name="_Toc163505632"/>
      <w:r>
        <w:rPr>
          <w:rtl/>
        </w:rPr>
        <w:t>רש"י עירובין ק' ע"ב</w:t>
      </w:r>
      <w:r>
        <w:rPr>
          <w:rFonts w:hint="cs"/>
          <w:rtl/>
        </w:rPr>
        <w:t xml:space="preserve"> ד"ה קא נתרי</w:t>
      </w:r>
      <w:bookmarkEnd w:id="1520"/>
      <w:bookmarkEnd w:id="1522"/>
    </w:p>
    <w:p w14:paraId="6AEE346C" w14:textId="77777777" w:rsidR="000426DE" w:rsidRPr="008548E1" w:rsidRDefault="000426DE" w:rsidP="000426DE">
      <w:pPr>
        <w:pStyle w:val="a7"/>
        <w:rPr>
          <w:rtl/>
        </w:rPr>
      </w:pPr>
      <w:bookmarkStart w:id="1523" w:name="_Toc139316364"/>
      <w:r>
        <w:rPr>
          <w:rFonts w:hint="cs"/>
          <w:rtl/>
        </w:rPr>
        <w:t>בי' המג"א ברש"י בעירובין דאיסור תולש באילן יבש הוא רק גזירה דרבנן וכמבו' בחולין</w:t>
      </w:r>
      <w:bookmarkEnd w:id="1523"/>
    </w:p>
    <w:p w14:paraId="4F5E0B32" w14:textId="29BF0781" w:rsidR="000426DE" w:rsidRDefault="000426DE" w:rsidP="00BC7DC8">
      <w:pPr>
        <w:pStyle w:val="a3"/>
      </w:pPr>
      <w:bookmarkStart w:id="1524" w:name="_Ref135383150"/>
      <w:r>
        <w:rPr>
          <w:rFonts w:hint="cs"/>
          <w:rtl/>
        </w:rPr>
        <w:t xml:space="preserve">וכתב </w:t>
      </w:r>
      <w:r w:rsidRPr="00C65D8D">
        <w:rPr>
          <w:rStyle w:val="aff4"/>
          <w:rFonts w:hint="cs"/>
          <w:vanish/>
          <w:rtl/>
        </w:rPr>
        <w:t>-</w:t>
      </w:r>
      <w:r w:rsidRPr="00C65D8D">
        <w:rPr>
          <w:rStyle w:val="aff4"/>
          <w:rFonts w:hint="cs"/>
          <w:rtl/>
        </w:rPr>
        <w:t>המג"א</w:t>
      </w:r>
      <w:r w:rsidRPr="00C65D8D">
        <w:rPr>
          <w:rStyle w:val="aff4"/>
          <w:rFonts w:hint="cs"/>
          <w:vanish/>
          <w:rtl/>
        </w:rPr>
        <w:t>-</w:t>
      </w:r>
      <w:r>
        <w:rPr>
          <w:rFonts w:hint="cs"/>
          <w:rtl/>
        </w:rPr>
        <w:t xml:space="preserve"> דהוא דלא כדעת </w:t>
      </w:r>
      <w:bookmarkStart w:id="1525" w:name="_Hlk134696354"/>
      <w:r w:rsidRPr="00B53404">
        <w:rPr>
          <w:rFonts w:hint="cs"/>
          <w:vanish/>
          <w:rtl/>
        </w:rPr>
        <w:t>&lt;.</w:t>
      </w:r>
      <w:r>
        <w:rPr>
          <w:vanish/>
          <w:rtl/>
        </w:rPr>
        <w:fldChar w:fldCharType="begin"/>
      </w:r>
      <w:r>
        <w:rPr>
          <w:vanish/>
          <w:rtl/>
        </w:rPr>
        <w:instrText xml:space="preserve"> </w:instrText>
      </w:r>
      <w:r>
        <w:rPr>
          <w:rFonts w:hint="cs"/>
          <w:vanish/>
        </w:rPr>
        <w:instrText>REF</w:instrText>
      </w:r>
      <w:r>
        <w:rPr>
          <w:rFonts w:hint="cs"/>
          <w:vanish/>
          <w:rtl/>
        </w:rPr>
        <w:instrText xml:space="preserve"> _</w:instrText>
      </w:r>
      <w:r>
        <w:rPr>
          <w:rFonts w:hint="cs"/>
          <w:vanish/>
        </w:rPr>
        <w:instrText>Ref135383150 \r \h</w:instrText>
      </w:r>
      <w:r>
        <w:rPr>
          <w:vanish/>
          <w:rtl/>
        </w:rPr>
        <w:instrText xml:space="preserve"> </w:instrText>
      </w:r>
      <w:r>
        <w:rPr>
          <w:vanish/>
          <w:rtl/>
        </w:rPr>
      </w:r>
      <w:r>
        <w:rPr>
          <w:vanish/>
          <w:rtl/>
        </w:rPr>
        <w:fldChar w:fldCharType="separate"/>
      </w:r>
      <w:r w:rsidR="00D82181">
        <w:rPr>
          <w:vanish/>
          <w:cs/>
        </w:rPr>
        <w:t>‎</w:t>
      </w:r>
      <w:r w:rsidR="00D82181">
        <w:rPr>
          <w:vanish/>
          <w:rtl/>
        </w:rPr>
        <w:t>לז)</w:t>
      </w:r>
      <w:r>
        <w:rPr>
          <w:vanish/>
          <w:rtl/>
        </w:rPr>
        <w:fldChar w:fldCharType="end"/>
      </w:r>
      <w:r>
        <w:rPr>
          <w:rFonts w:hint="cs"/>
          <w:vanish/>
          <w:rtl/>
        </w:rPr>
        <w:t xml:space="preserve"> </w:t>
      </w:r>
      <w:r w:rsidRPr="00B53404">
        <w:rPr>
          <w:rFonts w:hint="cs"/>
          <w:vanish/>
          <w:rtl/>
        </w:rPr>
        <w:t>&gt;</w:t>
      </w:r>
      <w:r w:rsidRPr="00C65D8D">
        <w:rPr>
          <w:rStyle w:val="aff4"/>
          <w:rFonts w:hint="cs"/>
          <w:vanish/>
          <w:rtl/>
        </w:rPr>
        <w:t>-</w:t>
      </w:r>
      <w:r w:rsidRPr="00C65D8D">
        <w:rPr>
          <w:rStyle w:val="aff4"/>
          <w:rFonts w:hint="cs"/>
          <w:rtl/>
        </w:rPr>
        <w:t>רש"י בעירובין</w:t>
      </w:r>
      <w:r w:rsidRPr="00C65D8D">
        <w:rPr>
          <w:rStyle w:val="aff4"/>
          <w:rFonts w:hint="cs"/>
          <w:vanish/>
          <w:rtl/>
        </w:rPr>
        <w:t>-</w:t>
      </w:r>
      <w:r>
        <w:rPr>
          <w:rFonts w:hint="cs"/>
          <w:rtl/>
        </w:rPr>
        <w:t xml:space="preserve"> </w:t>
      </w:r>
      <w:r w:rsidRPr="00FB451D">
        <w:rPr>
          <w:rStyle w:val="af2"/>
          <w:rFonts w:eastAsia="Guttman Hodes" w:hint="cs"/>
          <w:rtl/>
        </w:rPr>
        <w:t>(ק: ד"ה קא נתרי)</w:t>
      </w:r>
      <w:r w:rsidRPr="00C65D8D">
        <w:rPr>
          <w:rFonts w:hint="cs"/>
          <w:vanish/>
          <w:rtl/>
        </w:rPr>
        <w:t>=</w:t>
      </w:r>
      <w:r>
        <w:rPr>
          <w:rFonts w:hint="cs"/>
          <w:rtl/>
        </w:rPr>
        <w:t xml:space="preserve"> דמבואר מדבריו דאיסור תולש באילן יבש הוא רק מגזירה דרבנן, </w:t>
      </w:r>
      <w:bookmarkEnd w:id="1525"/>
      <w:r>
        <w:rPr>
          <w:rFonts w:hint="cs"/>
          <w:rtl/>
        </w:rPr>
        <w:t xml:space="preserve">וכתב </w:t>
      </w:r>
      <w:r w:rsidRPr="00C65D8D">
        <w:rPr>
          <w:rStyle w:val="aff4"/>
          <w:rFonts w:hint="cs"/>
          <w:vanish/>
          <w:rtl/>
        </w:rPr>
        <w:t>-</w:t>
      </w:r>
      <w:r w:rsidRPr="00C65D8D">
        <w:rPr>
          <w:rStyle w:val="aff4"/>
          <w:rFonts w:hint="cs"/>
          <w:rtl/>
        </w:rPr>
        <w:t>המג"א</w:t>
      </w:r>
      <w:r w:rsidRPr="00C65D8D">
        <w:rPr>
          <w:rStyle w:val="aff4"/>
          <w:rFonts w:hint="cs"/>
          <w:vanish/>
          <w:rtl/>
        </w:rPr>
        <w:t>-</w:t>
      </w:r>
      <w:r>
        <w:rPr>
          <w:rFonts w:hint="cs"/>
          <w:rtl/>
        </w:rPr>
        <w:t xml:space="preserve"> דכדעת </w:t>
      </w:r>
      <w:r w:rsidRPr="00C65D8D">
        <w:rPr>
          <w:rStyle w:val="aff4"/>
          <w:rFonts w:hint="cs"/>
          <w:vanish/>
          <w:rtl/>
        </w:rPr>
        <w:t>-</w:t>
      </w:r>
      <w:r w:rsidRPr="00C65D8D">
        <w:rPr>
          <w:rStyle w:val="aff4"/>
          <w:rFonts w:hint="cs"/>
          <w:rtl/>
        </w:rPr>
        <w:t>רש"י</w:t>
      </w:r>
      <w:r w:rsidRPr="00C65D8D">
        <w:rPr>
          <w:rStyle w:val="aff4"/>
          <w:rFonts w:hint="cs"/>
          <w:vanish/>
          <w:rtl/>
        </w:rPr>
        <w:t>-</w:t>
      </w:r>
      <w:r>
        <w:rPr>
          <w:rFonts w:hint="cs"/>
          <w:rtl/>
        </w:rPr>
        <w:t xml:space="preserve"> כן איתא בגמ' בחולין </w:t>
      </w:r>
      <w:r w:rsidRPr="00FB451D">
        <w:rPr>
          <w:rStyle w:val="af2"/>
          <w:rFonts w:eastAsia="Guttman Hodes" w:hint="cs"/>
          <w:rtl/>
        </w:rPr>
        <w:t>(קכז:)</w:t>
      </w:r>
      <w:r w:rsidRPr="009F084A">
        <w:rPr>
          <w:rFonts w:hint="cs"/>
          <w:rtl/>
        </w:rPr>
        <w:t xml:space="preserve"> </w:t>
      </w:r>
      <w:r>
        <w:rPr>
          <w:rFonts w:hint="cs"/>
          <w:rtl/>
        </w:rPr>
        <w:t xml:space="preserve">לענין תאנים שיבשו באיביהן, ועי' במ"ש </w:t>
      </w:r>
      <w:r w:rsidRPr="00C65D8D">
        <w:rPr>
          <w:rStyle w:val="aff4"/>
          <w:rFonts w:hint="cs"/>
          <w:vanish/>
          <w:rtl/>
        </w:rPr>
        <w:t>-</w:t>
      </w:r>
      <w:r w:rsidRPr="00C65D8D">
        <w:rPr>
          <w:rStyle w:val="aff4"/>
          <w:rFonts w:hint="cs"/>
          <w:rtl/>
        </w:rPr>
        <w:t>הדבר אברהם</w:t>
      </w:r>
      <w:r w:rsidRPr="00C65D8D">
        <w:rPr>
          <w:rStyle w:val="aff4"/>
          <w:rFonts w:hint="cs"/>
          <w:vanish/>
          <w:rtl/>
        </w:rPr>
        <w:t>-</w:t>
      </w:r>
      <w:r>
        <w:rPr>
          <w:rFonts w:hint="cs"/>
          <w:rtl/>
        </w:rPr>
        <w:t xml:space="preserve"> </w:t>
      </w:r>
      <w:r w:rsidRPr="00FB451D">
        <w:rPr>
          <w:rStyle w:val="af2"/>
          <w:rFonts w:eastAsia="Guttman Hodes" w:hint="cs"/>
          <w:rtl/>
        </w:rPr>
        <w:t xml:space="preserve">(עי' </w:t>
      </w:r>
      <w:r w:rsidRPr="0021063C">
        <w:rPr>
          <w:rStyle w:val="af2"/>
          <w:rFonts w:eastAsia="Guttman Hodes" w:hint="cs"/>
          <w:rtl/>
        </w:rPr>
        <w:t xml:space="preserve">אות </w:t>
      </w:r>
      <w:r w:rsidRPr="0021063C">
        <w:rPr>
          <w:rStyle w:val="af2"/>
          <w:rFonts w:eastAsia="Guttman Hodes"/>
          <w:rtl/>
        </w:rPr>
        <w:fldChar w:fldCharType="begin"/>
      </w:r>
      <w:r w:rsidRPr="0021063C">
        <w:rPr>
          <w:rStyle w:val="af2"/>
          <w:rFonts w:eastAsia="Guttman Hodes"/>
          <w:rtl/>
        </w:rPr>
        <w:instrText xml:space="preserve"> </w:instrText>
      </w:r>
      <w:r w:rsidRPr="0021063C">
        <w:rPr>
          <w:rStyle w:val="af2"/>
          <w:rFonts w:eastAsia="Guttman Hodes" w:hint="cs"/>
        </w:rPr>
        <w:instrText>REF</w:instrText>
      </w:r>
      <w:r w:rsidRPr="0021063C">
        <w:rPr>
          <w:rStyle w:val="af2"/>
          <w:rFonts w:eastAsia="Guttman Hodes" w:hint="cs"/>
          <w:rtl/>
        </w:rPr>
        <w:instrText xml:space="preserve"> _</w:instrText>
      </w:r>
      <w:r w:rsidRPr="0021063C">
        <w:rPr>
          <w:rStyle w:val="af2"/>
          <w:rFonts w:eastAsia="Guttman Hodes" w:hint="cs"/>
        </w:rPr>
        <w:instrText>Ref134697038 \r \h</w:instrText>
      </w:r>
      <w:r w:rsidRPr="0021063C">
        <w:rPr>
          <w:rStyle w:val="af2"/>
          <w:rFonts w:eastAsia="Guttman Hodes"/>
          <w:rtl/>
        </w:rPr>
        <w:instrText xml:space="preserve"> </w:instrText>
      </w:r>
      <w:r w:rsidRPr="0021063C">
        <w:rPr>
          <w:rStyle w:val="af2"/>
          <w:rFonts w:eastAsia="Guttman Hodes"/>
          <w:rtl/>
        </w:rPr>
      </w:r>
      <w:r w:rsidRPr="0021063C">
        <w:rPr>
          <w:rStyle w:val="af2"/>
          <w:rFonts w:eastAsia="Guttman Hodes"/>
          <w:rtl/>
        </w:rPr>
        <w:fldChar w:fldCharType="separate"/>
      </w:r>
      <w:r w:rsidR="00D82181">
        <w:rPr>
          <w:rStyle w:val="af2"/>
          <w:rFonts w:eastAsia="Guttman Hodes"/>
          <w:cs/>
        </w:rPr>
        <w:t>‎</w:t>
      </w:r>
      <w:r w:rsidR="00D82181">
        <w:rPr>
          <w:rStyle w:val="af2"/>
          <w:rFonts w:eastAsia="Guttman Hodes"/>
          <w:rtl/>
        </w:rPr>
        <w:t>פג)</w:t>
      </w:r>
      <w:r w:rsidRPr="0021063C">
        <w:rPr>
          <w:rStyle w:val="af2"/>
          <w:rFonts w:eastAsia="Guttman Hodes"/>
          <w:rtl/>
        </w:rPr>
        <w:fldChar w:fldCharType="end"/>
      </w:r>
      <w:r>
        <w:rPr>
          <w:rFonts w:hint="cs"/>
          <w:rtl/>
        </w:rPr>
        <w:t xml:space="preserve"> בביאור דברי </w:t>
      </w:r>
      <w:r w:rsidRPr="00C65D8D">
        <w:rPr>
          <w:rStyle w:val="aff4"/>
          <w:rFonts w:hint="cs"/>
          <w:vanish/>
          <w:rtl/>
        </w:rPr>
        <w:t>-</w:t>
      </w:r>
      <w:r w:rsidRPr="00C65D8D">
        <w:rPr>
          <w:rStyle w:val="aff4"/>
          <w:rFonts w:hint="cs"/>
          <w:rtl/>
        </w:rPr>
        <w:t>רש"י</w:t>
      </w:r>
      <w:r w:rsidRPr="00C65D8D">
        <w:rPr>
          <w:rStyle w:val="aff4"/>
          <w:rFonts w:hint="cs"/>
          <w:vanish/>
          <w:rtl/>
        </w:rPr>
        <w:t>-</w:t>
      </w:r>
      <w:r>
        <w:rPr>
          <w:rFonts w:hint="cs"/>
          <w:rtl/>
        </w:rPr>
        <w:t>.</w:t>
      </w:r>
      <w:bookmarkEnd w:id="1524"/>
      <w:r>
        <w:rPr>
          <w:rFonts w:hint="cs"/>
          <w:rtl/>
        </w:rPr>
        <w:t xml:space="preserve"> </w:t>
      </w:r>
    </w:p>
    <w:p w14:paraId="65E04FA8" w14:textId="77777777" w:rsidR="000426DE" w:rsidRPr="00747170" w:rsidRDefault="000426DE" w:rsidP="00747170">
      <w:pPr>
        <w:pStyle w:val="a2"/>
        <w:rPr>
          <w:rtl/>
        </w:rPr>
      </w:pPr>
      <w:r w:rsidRPr="00747170">
        <w:rPr>
          <w:rtl/>
        </w:rPr>
        <w:t>קא נתרי פירי - שנשארו בו משנה שעברה, ואתי למשרי ביה תלישה דלח, נהי דעליה דיבש אטו עליה דלח לא גזרינן, דהיא גופא גזירה, מיהו, תלישה אטו תלישה נגזר.</w:t>
      </w:r>
    </w:p>
    <w:p w14:paraId="695CDFB5" w14:textId="77777777" w:rsidR="000426DE" w:rsidRDefault="000426DE" w:rsidP="000426DE">
      <w:pPr>
        <w:pStyle w:val="afffff7"/>
        <w:rPr>
          <w:rtl/>
        </w:rPr>
      </w:pPr>
      <w:bookmarkStart w:id="1526" w:name="_Toc135513708"/>
      <w:bookmarkStart w:id="1527" w:name="_Toc163505633"/>
      <w:r>
        <w:rPr>
          <w:rtl/>
        </w:rPr>
        <w:t xml:space="preserve">נשמת אדם שבת כלל יב סעיף </w:t>
      </w:r>
      <w:r>
        <w:rPr>
          <w:rFonts w:hint="cs"/>
          <w:rtl/>
        </w:rPr>
        <w:t>ב</w:t>
      </w:r>
      <w:bookmarkEnd w:id="1526"/>
      <w:bookmarkEnd w:id="1527"/>
    </w:p>
    <w:p w14:paraId="2AFF1060" w14:textId="77777777" w:rsidR="000426DE" w:rsidRDefault="000426DE" w:rsidP="000426DE">
      <w:pPr>
        <w:pStyle w:val="afffff7"/>
        <w:rPr>
          <w:rtl/>
        </w:rPr>
      </w:pPr>
      <w:bookmarkStart w:id="1528" w:name="_Toc135513709"/>
      <w:bookmarkStart w:id="1529" w:name="_Toc163505634"/>
      <w:r>
        <w:rPr>
          <w:rtl/>
        </w:rPr>
        <w:t xml:space="preserve">חזון איש </w:t>
      </w:r>
      <w:r>
        <w:rPr>
          <w:rFonts w:hint="cs"/>
          <w:rtl/>
        </w:rPr>
        <w:t>או"ח</w:t>
      </w:r>
      <w:r>
        <w:rPr>
          <w:rtl/>
        </w:rPr>
        <w:t xml:space="preserve"> השמטות </w:t>
      </w:r>
      <w:r>
        <w:rPr>
          <w:rFonts w:hint="cs"/>
          <w:rtl/>
        </w:rPr>
        <w:t>סי'</w:t>
      </w:r>
      <w:r>
        <w:rPr>
          <w:rtl/>
        </w:rPr>
        <w:t xml:space="preserve"> קנו לסי' של"א ד"ה ולפ"ז</w:t>
      </w:r>
      <w:bookmarkEnd w:id="1528"/>
      <w:bookmarkEnd w:id="1529"/>
      <w:r>
        <w:rPr>
          <w:rtl/>
        </w:rPr>
        <w:t xml:space="preserve"> </w:t>
      </w:r>
    </w:p>
    <w:p w14:paraId="162402C0" w14:textId="77777777" w:rsidR="000426DE" w:rsidRDefault="000426DE" w:rsidP="000426DE">
      <w:pPr>
        <w:pStyle w:val="a7"/>
        <w:rPr>
          <w:rtl/>
        </w:rPr>
      </w:pPr>
      <w:bookmarkStart w:id="1530" w:name="_Toc139316365"/>
      <w:r>
        <w:rPr>
          <w:rFonts w:hint="cs"/>
          <w:rtl/>
        </w:rPr>
        <w:t>בי' הנשמ"א והחזו"א דגרסינן ברמב"ם דאילן שיבש עם פירותיו דאף כשכולו יבש דינו כמחובר</w:t>
      </w:r>
      <w:bookmarkEnd w:id="1530"/>
    </w:p>
    <w:p w14:paraId="7E8A4B59" w14:textId="0F337C8E" w:rsidR="000426DE" w:rsidRPr="002C6F80" w:rsidRDefault="000426DE" w:rsidP="00BC7DC8">
      <w:pPr>
        <w:pStyle w:val="a3"/>
        <w:rPr>
          <w:rtl/>
        </w:rPr>
      </w:pPr>
      <w:bookmarkStart w:id="1531" w:name="_Ref135385816"/>
      <w:r>
        <w:rPr>
          <w:rFonts w:hint="cs"/>
          <w:rtl/>
        </w:rPr>
        <w:t xml:space="preserve">במ"ש </w:t>
      </w:r>
      <w:r w:rsidRPr="00C65D8D">
        <w:rPr>
          <w:rStyle w:val="aff4"/>
          <w:rFonts w:hint="cs"/>
          <w:vanish/>
          <w:rtl/>
        </w:rPr>
        <w:t>-</w:t>
      </w:r>
      <w:r w:rsidRPr="00C65D8D">
        <w:rPr>
          <w:rStyle w:val="aff4"/>
          <w:rFonts w:hint="cs"/>
          <w:rtl/>
        </w:rPr>
        <w:t>המג"א</w:t>
      </w:r>
      <w:r w:rsidRPr="00C65D8D">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Ref135403573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לו)</w:t>
      </w:r>
      <w:r>
        <w:rPr>
          <w:rStyle w:val="af2"/>
          <w:rFonts w:eastAsia="Guttman Hodes"/>
          <w:rtl/>
        </w:rPr>
        <w:fldChar w:fldCharType="end"/>
      </w:r>
      <w:r>
        <w:rPr>
          <w:rFonts w:hint="cs"/>
          <w:rtl/>
        </w:rPr>
        <w:t xml:space="preserve"> דלדעת </w:t>
      </w:r>
      <w:r w:rsidRPr="00C65D8D">
        <w:rPr>
          <w:rStyle w:val="aff4"/>
          <w:rFonts w:hint="cs"/>
          <w:vanish/>
          <w:rtl/>
        </w:rPr>
        <w:t>-</w:t>
      </w:r>
      <w:r w:rsidRPr="00C65D8D">
        <w:rPr>
          <w:rStyle w:val="aff4"/>
          <w:rFonts w:hint="cs"/>
          <w:rtl/>
        </w:rPr>
        <w:t>הרמב"ם</w:t>
      </w:r>
      <w:r w:rsidRPr="00C65D8D">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Ref134564918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לד)</w:t>
      </w:r>
      <w:r>
        <w:rPr>
          <w:rStyle w:val="af2"/>
          <w:rFonts w:eastAsia="Guttman Hodes"/>
          <w:rtl/>
        </w:rPr>
        <w:fldChar w:fldCharType="end"/>
      </w:r>
      <w:r>
        <w:rPr>
          <w:rFonts w:hint="cs"/>
          <w:rtl/>
        </w:rPr>
        <w:t xml:space="preserve"> יש איסור תולש גם באילן יבש לגמרי, הקשה </w:t>
      </w:r>
      <w:r w:rsidRPr="00C65D8D">
        <w:rPr>
          <w:rStyle w:val="aff4"/>
          <w:rFonts w:hint="cs"/>
          <w:vanish/>
          <w:rtl/>
        </w:rPr>
        <w:t>-</w:t>
      </w:r>
      <w:r w:rsidRPr="00C65D8D">
        <w:rPr>
          <w:rStyle w:val="aff4"/>
          <w:rFonts w:hint="cs"/>
          <w:rtl/>
        </w:rPr>
        <w:t>ה</w:t>
      </w:r>
      <w:r w:rsidRPr="00B53404">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Ref135385816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לח)</w:t>
      </w:r>
      <w:r>
        <w:rPr>
          <w:rStyle w:val="aff4"/>
          <w:vanish/>
          <w:rtl/>
        </w:rPr>
        <w:fldChar w:fldCharType="end"/>
      </w:r>
      <w:r w:rsidRPr="00B53404">
        <w:rPr>
          <w:rStyle w:val="aff4"/>
          <w:rFonts w:hint="cs"/>
          <w:vanish/>
          <w:rtl/>
        </w:rPr>
        <w:t xml:space="preserve"> &gt;</w:t>
      </w:r>
      <w:r w:rsidRPr="00C65D8D">
        <w:rPr>
          <w:rStyle w:val="aff4"/>
          <w:rFonts w:hint="cs"/>
          <w:rtl/>
        </w:rPr>
        <w:t>נשמת אדם</w:t>
      </w:r>
      <w:r w:rsidRPr="00C65D8D">
        <w:rPr>
          <w:rStyle w:val="aff4"/>
          <w:rFonts w:hint="cs"/>
          <w:vanish/>
          <w:rtl/>
        </w:rPr>
        <w:t>-</w:t>
      </w:r>
      <w:r>
        <w:rPr>
          <w:rFonts w:hint="cs"/>
          <w:rtl/>
        </w:rPr>
        <w:t xml:space="preserve"> </w:t>
      </w:r>
      <w:r w:rsidRPr="00FB451D">
        <w:rPr>
          <w:rStyle w:val="af2"/>
          <w:rFonts w:eastAsia="Guttman Hodes" w:hint="cs"/>
          <w:rtl/>
        </w:rPr>
        <w:t>(כלל י"ב ב')</w:t>
      </w:r>
      <w:r w:rsidRPr="00C65D8D">
        <w:rPr>
          <w:rFonts w:hint="cs"/>
          <w:vanish/>
          <w:rtl/>
        </w:rPr>
        <w:t>=</w:t>
      </w:r>
      <w:r>
        <w:rPr>
          <w:rFonts w:hint="cs"/>
          <w:rtl/>
        </w:rPr>
        <w:t xml:space="preserve"> דאף שכתב </w:t>
      </w:r>
      <w:r w:rsidRPr="00C65D8D">
        <w:rPr>
          <w:rStyle w:val="aff4"/>
          <w:rFonts w:hint="cs"/>
          <w:vanish/>
          <w:rtl/>
        </w:rPr>
        <w:t>-</w:t>
      </w:r>
      <w:r w:rsidRPr="00C65D8D">
        <w:rPr>
          <w:rStyle w:val="aff4"/>
          <w:rFonts w:hint="cs"/>
          <w:rtl/>
        </w:rPr>
        <w:t>הרמב"ם</w:t>
      </w:r>
      <w:r w:rsidRPr="00C65D8D">
        <w:rPr>
          <w:rStyle w:val="aff4"/>
          <w:rFonts w:hint="cs"/>
          <w:vanish/>
          <w:rtl/>
        </w:rPr>
        <w:t>-</w:t>
      </w:r>
      <w:r>
        <w:rPr>
          <w:rFonts w:hint="cs"/>
          <w:rtl/>
        </w:rPr>
        <w:t xml:space="preserve"> דתאנים שיבשו באיביהן חייב משום תולש, אין מזה ראיה דבאילן יבש לגמרי ג"כ חייב, ואעפ"י ששינה </w:t>
      </w:r>
      <w:r w:rsidRPr="00C65D8D">
        <w:rPr>
          <w:rStyle w:val="aff4"/>
          <w:rFonts w:hint="cs"/>
          <w:vanish/>
          <w:rtl/>
        </w:rPr>
        <w:t>-</w:t>
      </w:r>
      <w:r w:rsidRPr="00C65D8D">
        <w:rPr>
          <w:rStyle w:val="aff4"/>
          <w:rFonts w:hint="cs"/>
          <w:rtl/>
        </w:rPr>
        <w:t>הרמב"ם</w:t>
      </w:r>
      <w:r w:rsidRPr="00C65D8D">
        <w:rPr>
          <w:rStyle w:val="aff4"/>
          <w:rFonts w:hint="cs"/>
          <w:vanish/>
          <w:rtl/>
        </w:rPr>
        <w:t>-</w:t>
      </w:r>
      <w:r>
        <w:rPr>
          <w:rFonts w:hint="cs"/>
          <w:rtl/>
        </w:rPr>
        <w:t xml:space="preserve"> מלשון הגמ' וכתב תאנים "שיבשו", עדיין צ"ב מנא ליה לבאר כן, דהא מקור דברי </w:t>
      </w:r>
      <w:r w:rsidRPr="00C65D8D">
        <w:rPr>
          <w:rStyle w:val="aff4"/>
          <w:rFonts w:hint="cs"/>
          <w:vanish/>
          <w:rtl/>
        </w:rPr>
        <w:t>-</w:t>
      </w:r>
      <w:r w:rsidRPr="00C65D8D">
        <w:rPr>
          <w:rStyle w:val="aff4"/>
          <w:rFonts w:hint="cs"/>
          <w:rtl/>
        </w:rPr>
        <w:t>הרמב"ם</w:t>
      </w:r>
      <w:r w:rsidRPr="00C65D8D">
        <w:rPr>
          <w:rStyle w:val="aff4"/>
          <w:rFonts w:hint="cs"/>
          <w:vanish/>
          <w:rtl/>
        </w:rPr>
        <w:t>-</w:t>
      </w:r>
      <w:r>
        <w:rPr>
          <w:rFonts w:hint="cs"/>
          <w:rtl/>
        </w:rPr>
        <w:t xml:space="preserve"> הוא מהגמ' בחולין </w:t>
      </w:r>
      <w:r w:rsidRPr="00FB451D">
        <w:rPr>
          <w:rStyle w:val="af2"/>
          <w:rFonts w:eastAsia="Guttman Hodes" w:hint="cs"/>
          <w:rtl/>
        </w:rPr>
        <w:t>(קכז.)</w:t>
      </w:r>
      <w:r>
        <w:rPr>
          <w:rFonts w:hint="cs"/>
          <w:rtl/>
        </w:rPr>
        <w:t xml:space="preserve"> ושם איירי כשהפירות יבשים אבל עוקציהן לחין, וכדביארו </w:t>
      </w:r>
      <w:r w:rsidRPr="00C65D8D">
        <w:rPr>
          <w:rStyle w:val="aff4"/>
          <w:rFonts w:hint="cs"/>
          <w:vanish/>
          <w:rtl/>
        </w:rPr>
        <w:t>-</w:t>
      </w:r>
      <w:r w:rsidRPr="00C65D8D">
        <w:rPr>
          <w:rStyle w:val="aff4"/>
          <w:rFonts w:hint="cs"/>
          <w:rtl/>
        </w:rPr>
        <w:t>התוס' לקמן</w:t>
      </w:r>
      <w:r w:rsidRPr="00C65D8D">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Ref135404755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כט)</w:t>
      </w:r>
      <w:r>
        <w:rPr>
          <w:rStyle w:val="af2"/>
          <w:rFonts w:eastAsia="Guttman Hodes"/>
          <w:rtl/>
        </w:rPr>
        <w:fldChar w:fldCharType="end"/>
      </w:r>
      <w:r>
        <w:rPr>
          <w:rFonts w:hint="cs"/>
          <w:rtl/>
        </w:rPr>
        <w:t xml:space="preserve">, וכ"כ </w:t>
      </w:r>
      <w:r w:rsidRPr="00C65D8D">
        <w:rPr>
          <w:rStyle w:val="aff4"/>
          <w:rFonts w:hint="cs"/>
          <w:vanish/>
          <w:rtl/>
        </w:rPr>
        <w:t>-</w:t>
      </w:r>
      <w:r w:rsidRPr="00C65D8D">
        <w:rPr>
          <w:rStyle w:val="aff4"/>
          <w:rFonts w:hint="cs"/>
          <w:rtl/>
        </w:rPr>
        <w:t>רש"י ותוס' בחולין</w:t>
      </w:r>
      <w:r w:rsidRPr="00C65D8D">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Ref135404755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כט)</w:t>
      </w:r>
      <w:r>
        <w:rPr>
          <w:rStyle w:val="af2"/>
          <w:rFonts w:eastAsia="Guttman Hodes"/>
          <w:rtl/>
        </w:rPr>
        <w:fldChar w:fldCharType="end"/>
      </w:r>
      <w:r>
        <w:rPr>
          <w:rFonts w:hint="cs"/>
          <w:rtl/>
        </w:rPr>
        <w:t xml:space="preserve">, ותירץ </w:t>
      </w:r>
      <w:r w:rsidRPr="00C65D8D">
        <w:rPr>
          <w:rStyle w:val="aff4"/>
          <w:rFonts w:hint="cs"/>
          <w:vanish/>
          <w:rtl/>
        </w:rPr>
        <w:t>-</w:t>
      </w:r>
      <w:r w:rsidRPr="00C65D8D">
        <w:rPr>
          <w:rStyle w:val="aff4"/>
          <w:rFonts w:hint="cs"/>
          <w:rtl/>
        </w:rPr>
        <w:t>הנשמת אדם</w:t>
      </w:r>
      <w:r w:rsidRPr="00C65D8D">
        <w:rPr>
          <w:rStyle w:val="aff4"/>
          <w:rFonts w:hint="cs"/>
          <w:vanish/>
          <w:rtl/>
        </w:rPr>
        <w:t>-</w:t>
      </w:r>
      <w:r>
        <w:rPr>
          <w:rFonts w:hint="cs"/>
          <w:rtl/>
        </w:rPr>
        <w:t xml:space="preserve"> דכן מוכח ממ"ש </w:t>
      </w:r>
      <w:r w:rsidRPr="00C65D8D">
        <w:rPr>
          <w:rStyle w:val="aff4"/>
          <w:rFonts w:hint="cs"/>
          <w:vanish/>
          <w:rtl/>
        </w:rPr>
        <w:t>-</w:t>
      </w:r>
      <w:r w:rsidRPr="00C65D8D">
        <w:rPr>
          <w:rStyle w:val="aff4"/>
          <w:rFonts w:hint="cs"/>
          <w:rtl/>
        </w:rPr>
        <w:t>הרמב"ם</w:t>
      </w:r>
      <w:r w:rsidRPr="00C65D8D">
        <w:rPr>
          <w:rStyle w:val="aff4"/>
          <w:rFonts w:hint="cs"/>
          <w:vanish/>
          <w:rtl/>
        </w:rPr>
        <w:t>-</w:t>
      </w:r>
      <w:r>
        <w:rPr>
          <w:rFonts w:hint="cs"/>
          <w:rtl/>
        </w:rPr>
        <w:t xml:space="preserve"> תאנים שיבשו וכו' וכן אילן שיבש, ועיי"ש במה שהאריך </w:t>
      </w:r>
      <w:r w:rsidRPr="00C65D8D">
        <w:rPr>
          <w:rStyle w:val="aff4"/>
          <w:rFonts w:hint="cs"/>
          <w:vanish/>
          <w:rtl/>
        </w:rPr>
        <w:t>-</w:t>
      </w:r>
      <w:r w:rsidRPr="00C65D8D">
        <w:rPr>
          <w:rStyle w:val="aff4"/>
          <w:rFonts w:hint="cs"/>
          <w:rtl/>
        </w:rPr>
        <w:t>הנשמת אדם</w:t>
      </w:r>
      <w:r w:rsidRPr="00C65D8D">
        <w:rPr>
          <w:rStyle w:val="aff4"/>
          <w:rFonts w:hint="cs"/>
          <w:vanish/>
          <w:rtl/>
        </w:rPr>
        <w:t>-</w:t>
      </w:r>
      <w:r>
        <w:rPr>
          <w:rFonts w:hint="cs"/>
          <w:rtl/>
        </w:rPr>
        <w:t xml:space="preserve"> טובא להוכיח דכוונת </w:t>
      </w:r>
      <w:r w:rsidRPr="00C65D8D">
        <w:rPr>
          <w:rStyle w:val="aff4"/>
          <w:rFonts w:hint="cs"/>
          <w:vanish/>
          <w:rtl/>
        </w:rPr>
        <w:t>-</w:t>
      </w:r>
      <w:r w:rsidRPr="00C65D8D">
        <w:rPr>
          <w:rStyle w:val="aff4"/>
          <w:rFonts w:hint="cs"/>
          <w:rtl/>
        </w:rPr>
        <w:t>הרמב"ם</w:t>
      </w:r>
      <w:r w:rsidRPr="00C65D8D">
        <w:rPr>
          <w:rStyle w:val="aff4"/>
          <w:rFonts w:hint="cs"/>
          <w:vanish/>
          <w:rtl/>
        </w:rPr>
        <w:t>-</w:t>
      </w:r>
      <w:r>
        <w:rPr>
          <w:rFonts w:hint="cs"/>
          <w:rtl/>
        </w:rPr>
        <w:t xml:space="preserve"> דאף ביבש לגמרי יש איסור תולש, וכמבואר בגמ' בעירובין </w:t>
      </w:r>
      <w:r w:rsidRPr="00FB451D">
        <w:rPr>
          <w:rStyle w:val="af2"/>
          <w:rFonts w:eastAsia="Guttman Hodes" w:hint="cs"/>
          <w:rtl/>
        </w:rPr>
        <w:t>(ק:)</w:t>
      </w:r>
      <w:r w:rsidRPr="00356B6E">
        <w:rPr>
          <w:rFonts w:hint="cs"/>
          <w:rtl/>
        </w:rPr>
        <w:t xml:space="preserve"> </w:t>
      </w:r>
      <w:r>
        <w:rPr>
          <w:rFonts w:hint="cs"/>
          <w:rtl/>
        </w:rPr>
        <w:t xml:space="preserve">דמותר ללכת ע"ג עשבים יבשים, ופליג על </w:t>
      </w:r>
      <w:r w:rsidRPr="00C65D8D">
        <w:rPr>
          <w:rStyle w:val="aff4"/>
          <w:rFonts w:hint="cs"/>
          <w:vanish/>
          <w:rtl/>
        </w:rPr>
        <w:t>-</w:t>
      </w:r>
      <w:r w:rsidRPr="00C65D8D">
        <w:rPr>
          <w:rStyle w:val="aff4"/>
          <w:rFonts w:hint="cs"/>
          <w:rtl/>
        </w:rPr>
        <w:t>רש"י</w:t>
      </w:r>
      <w:r w:rsidRPr="00C65D8D">
        <w:rPr>
          <w:rStyle w:val="aff4"/>
          <w:rFonts w:hint="cs"/>
          <w:vanish/>
          <w:rtl/>
        </w:rPr>
        <w:t>-</w:t>
      </w:r>
      <w:r>
        <w:rPr>
          <w:rFonts w:hint="cs"/>
          <w:rtl/>
        </w:rPr>
        <w:t xml:space="preserve"> דס"ל דאין איסור תולש ביבש לגמרי, וכתב </w:t>
      </w:r>
      <w:r w:rsidRPr="00C65D8D">
        <w:rPr>
          <w:rStyle w:val="aff4"/>
          <w:rFonts w:hint="cs"/>
          <w:vanish/>
          <w:rtl/>
        </w:rPr>
        <w:t>-</w:t>
      </w:r>
      <w:r w:rsidRPr="00C65D8D">
        <w:rPr>
          <w:rStyle w:val="aff4"/>
          <w:rFonts w:hint="cs"/>
          <w:rtl/>
        </w:rPr>
        <w:t>הנשמת אדם</w:t>
      </w:r>
      <w:r w:rsidRPr="00C65D8D">
        <w:rPr>
          <w:rStyle w:val="aff4"/>
          <w:rFonts w:hint="cs"/>
          <w:vanish/>
          <w:rtl/>
        </w:rPr>
        <w:t>-</w:t>
      </w:r>
      <w:r>
        <w:rPr>
          <w:rFonts w:hint="cs"/>
          <w:rtl/>
        </w:rPr>
        <w:t xml:space="preserve"> דבמ"ש </w:t>
      </w:r>
      <w:r w:rsidRPr="00C65D8D">
        <w:rPr>
          <w:rStyle w:val="aff4"/>
          <w:rFonts w:hint="cs"/>
          <w:vanish/>
          <w:rtl/>
        </w:rPr>
        <w:t>-</w:t>
      </w:r>
      <w:r w:rsidRPr="00C65D8D">
        <w:rPr>
          <w:rStyle w:val="aff4"/>
          <w:rFonts w:hint="cs"/>
          <w:rtl/>
        </w:rPr>
        <w:t>הרמב"ם</w:t>
      </w:r>
      <w:r w:rsidRPr="00C65D8D">
        <w:rPr>
          <w:rStyle w:val="aff4"/>
          <w:rFonts w:hint="cs"/>
          <w:vanish/>
          <w:rtl/>
        </w:rPr>
        <w:t>-</w:t>
      </w:r>
      <w:r>
        <w:rPr>
          <w:rFonts w:hint="cs"/>
          <w:rtl/>
        </w:rPr>
        <w:t xml:space="preserve"> </w:t>
      </w:r>
      <w:r w:rsidRPr="00BD4EC5">
        <w:rPr>
          <w:rtl/>
        </w:rPr>
        <w:t xml:space="preserve">וכן אילן </w:t>
      </w:r>
      <w:r>
        <w:rPr>
          <w:rFonts w:hint="cs"/>
          <w:rtl/>
        </w:rPr>
        <w:t>"</w:t>
      </w:r>
      <w:r w:rsidRPr="00BD4EC5">
        <w:rPr>
          <w:rtl/>
        </w:rPr>
        <w:t>שיבשו פירותיו</w:t>
      </w:r>
      <w:r>
        <w:rPr>
          <w:rFonts w:hint="cs"/>
          <w:rtl/>
        </w:rPr>
        <w:t>"</w:t>
      </w:r>
      <w:r w:rsidRPr="00BD4EC5">
        <w:rPr>
          <w:rtl/>
        </w:rPr>
        <w:t xml:space="preserve"> בו</w:t>
      </w:r>
      <w:r>
        <w:rPr>
          <w:rFonts w:hint="cs"/>
          <w:rtl/>
        </w:rPr>
        <w:t xml:space="preserve">, יש ט"ס והגירסא היא </w:t>
      </w:r>
      <w:r w:rsidRPr="00BD4EC5">
        <w:rPr>
          <w:rtl/>
        </w:rPr>
        <w:t xml:space="preserve">וכן אילן </w:t>
      </w:r>
      <w:r>
        <w:rPr>
          <w:rFonts w:hint="cs"/>
          <w:rtl/>
        </w:rPr>
        <w:t>"</w:t>
      </w:r>
      <w:r w:rsidRPr="00BD4EC5">
        <w:rPr>
          <w:rtl/>
        </w:rPr>
        <w:t>שיבש ופירותיו</w:t>
      </w:r>
      <w:r>
        <w:rPr>
          <w:rFonts w:hint="cs"/>
          <w:rtl/>
        </w:rPr>
        <w:t>"</w:t>
      </w:r>
      <w:r w:rsidRPr="00BD4EC5">
        <w:rPr>
          <w:rtl/>
        </w:rPr>
        <w:t xml:space="preserve"> בו</w:t>
      </w:r>
      <w:r>
        <w:rPr>
          <w:rFonts w:hint="cs"/>
          <w:rtl/>
        </w:rPr>
        <w:t xml:space="preserve">, וכ"כ </w:t>
      </w:r>
      <w:r w:rsidRPr="00C65D8D">
        <w:rPr>
          <w:rStyle w:val="aff4"/>
          <w:rFonts w:hint="cs"/>
          <w:vanish/>
          <w:rtl/>
        </w:rPr>
        <w:t>-</w:t>
      </w:r>
      <w:r w:rsidRPr="00C65D8D">
        <w:rPr>
          <w:rStyle w:val="aff4"/>
          <w:rFonts w:hint="cs"/>
          <w:rtl/>
        </w:rPr>
        <w:t>ה</w:t>
      </w:r>
      <w:r w:rsidRPr="00B53404">
        <w:rPr>
          <w:rStyle w:val="aff4"/>
          <w:rFonts w:hint="cs"/>
          <w:vanish/>
          <w:rtl/>
        </w:rPr>
        <w:t>&lt; &gt;</w:t>
      </w:r>
      <w:r w:rsidRPr="00C65D8D">
        <w:rPr>
          <w:rStyle w:val="aff4"/>
          <w:rFonts w:hint="cs"/>
          <w:rtl/>
        </w:rPr>
        <w:t>חזו"א</w:t>
      </w:r>
      <w:r w:rsidRPr="00C65D8D">
        <w:rPr>
          <w:rStyle w:val="aff4"/>
          <w:rFonts w:hint="cs"/>
          <w:vanish/>
          <w:rtl/>
        </w:rPr>
        <w:t>-</w:t>
      </w:r>
      <w:r>
        <w:rPr>
          <w:rFonts w:hint="cs"/>
          <w:rtl/>
        </w:rPr>
        <w:t xml:space="preserve"> </w:t>
      </w:r>
      <w:r w:rsidRPr="00FB451D">
        <w:rPr>
          <w:rStyle w:val="af2"/>
          <w:rFonts w:eastAsia="Guttman Hodes" w:hint="cs"/>
          <w:rtl/>
        </w:rPr>
        <w:t>(השמטות סי' קנ"ו לסי' של"ו ד"ה ולפ"ז)</w:t>
      </w:r>
      <w:r w:rsidRPr="00C65D8D">
        <w:rPr>
          <w:rFonts w:hint="cs"/>
          <w:vanish/>
          <w:rtl/>
        </w:rPr>
        <w:t>=</w:t>
      </w:r>
      <w:r>
        <w:rPr>
          <w:rFonts w:hint="cs"/>
          <w:rtl/>
        </w:rPr>
        <w:t>.</w:t>
      </w:r>
      <w:bookmarkEnd w:id="1531"/>
      <w:r>
        <w:rPr>
          <w:rFonts w:hint="cs"/>
          <w:rtl/>
        </w:rPr>
        <w:t xml:space="preserve"> </w:t>
      </w:r>
    </w:p>
    <w:p w14:paraId="1A79A01A" w14:textId="77777777" w:rsidR="000426DE" w:rsidRPr="00747170" w:rsidRDefault="000426DE" w:rsidP="00747170">
      <w:pPr>
        <w:pStyle w:val="a2"/>
        <w:rPr>
          <w:rtl/>
        </w:rPr>
      </w:pPr>
      <w:r w:rsidRPr="00747170">
        <w:rPr>
          <w:rtl/>
        </w:rPr>
        <w:t>כתב המ"א בסי' של"ו דלהרמב"ם גם באילן יבש שייך בו תלישה ע"ש, נ"ל דיצא לו זה מדכתב בפ"ח וז"ל "תאנים שיבשן באיביהן וכן אילן שיבשו פירותיו כל התולש ממנו בשבת חייב, אף על פי שהן כעקורין לענין טומאה", כדאי' בש"ע סי' הנ"ל, ע"ש. וצ"ע, דמזה לא מוכח רק כשהפירות הן יבשין אבל האילן י"ל דהוא לח וכדאיתא להדיא בחולין קכ"ז דמיירי בלא יבשו עוקציהן לגמרי ופשיטא כשהאילן יבש מנ"ל דחייב, ואף די"ל מדשינה הרמב"ם וכתב תאנים שיבשו ובגמרא איתא להדיא תאנים שצמקו ודוקא צמקו משמע בלא עוקציהן אבל יבשו משמע בעוקציהן כמו שכתב להדיא תוס' בשבת (ק"ל) [ק"נ עמוד ב' ד"ה במחובר], דא"כ צ"ע על הרמב"ם מנ"ל דין זה, וכ"כ תוס' ורש"י שם בחולין להדיא דביבש לגמרי לא שייך תלישה, ונ"ל לתרץ ולדעתי מקום הניחו לי מן השמים לכוין האמת בדעת הרמב"ם וראב"ד, ומקודם נדקדק בדברי הרמב"ם שכתב תאנים שיבשו כו' וכן אילן, דכיון שכתב דאילן שיבש למה כתב דין דתאנים, דמאי שנא תאנים משאר אילן, ובגמ' שם דין דתאנים הוא מימרא דשמואל ולא נקט אילן (ואפשר דדרך תאנים כך ההוא שכיח משא"כ בשאר אילן) ודין דאילן הוא ברייתא שם, אילן שנפשח ובו פירות הרי הן כתלושין, יבש הרי הן כמחוברין ע"ש, אבל הרמב"ם למה ליה לכתוב תרווייהו, ובגמרא מוכח שם דאין לחלק בין תאנים לשאר פירות דאל"כ מאי מייתי סייעתא שם מכרוב ואילן.</w:t>
      </w:r>
    </w:p>
    <w:p w14:paraId="46FFC835" w14:textId="77777777" w:rsidR="000426DE" w:rsidRPr="00D578AC" w:rsidRDefault="000426DE" w:rsidP="00747170">
      <w:pPr>
        <w:pStyle w:val="afffff5"/>
        <w:rPr>
          <w:rtl/>
        </w:rPr>
      </w:pPr>
      <w:r w:rsidRPr="00D578AC">
        <w:rPr>
          <w:rtl/>
        </w:rPr>
        <w:t>ועוד צ"ע שכאן בהלכות שבת כתב, וכן אילן שיבשו פירותיו בו התולש חייב אף על פי שהן כעקורין לענין טומאה, ואין ספק שהוציא זה מברייתא דחולין, אילן שנפשח כו' יבשו הרי הן כמחוברין, ובהלכות טומאת אוכלין פ"ב כתב וז"ל אילן שנפשח ובו פירות הרי הן כתלושין, וכן אם יבש האילן ובו פירות הרי הן כתלושין, תאנים שיבשו באיביהן מטמאין טומאת אוכלין במקומן, עכ"ל, הרי להדיא שלא כתב שם דין זה דאילן שיבשו פירותיו בו אלא דין דיבש האילן, ובהל' שבת כתב אף על גב דהוי כתלושין לטומאה ושם לא הוזכר כלל דין זה, וע"כ צ"ל דמה שכתב אף על גב דהוי כתלושין לטומאה כוונתו לדין תאנים שיבשו שכתב שם דמאי שנא תאנים משאר אילנות, ואם כן קשה למה כפל בהלכות שבת דין זה דתאנים ואילן:</w:t>
      </w:r>
    </w:p>
    <w:p w14:paraId="5DB06D06" w14:textId="77777777" w:rsidR="000426DE" w:rsidRPr="00D578AC" w:rsidRDefault="000426DE" w:rsidP="00747170">
      <w:pPr>
        <w:pStyle w:val="afffff5"/>
        <w:rPr>
          <w:rtl/>
        </w:rPr>
      </w:pPr>
      <w:r w:rsidRPr="00D578AC">
        <w:rPr>
          <w:rtl/>
        </w:rPr>
        <w:t>והנה הראב"ד שם כתב יבש האילן א"א, אין דבר זה לא במשנה ולא בתוספתא ולא בגמרא דחולין, אבל אם יבשו בו פירות במחובר הרי הן כמחוברין כו' עכ"ל, וע"ש בכסף משנה מה שמתמיה על הראב"ד, והמשנה למלך שם מתמיה על הכ"מ, וכתב שיש טעות סופר בראב"ד, ול"נ כוונת הראב"ד בלא שום ט"ס, וכוונתו להשיג על הרמב"ם שכתב דין דיבש האילן ועל זה השיג דאינו לא במשנה ולא בחולין, אבל דין זה נזכר בחולין (כמו "אבל שרה אשתך" ועיין מכשירין פ"א מ"ד בתי"ט) אם יבשו בו פירות במחובר הרי הן כמחוברין כדאיתא שם בברייתא אילן שנפשח כו', יבשו, פרש"י שלא נפשח אלא שיבשו הפירות באילן, הרי הן כמחוברין, ואין כוונת הראב"ד שיהיה כמחוברים לענין טומאה, שהרי בגמרא מסיק שם דדוקא לענין שבת הן כמחוברין, אלא כוונתו דדין זה נזכר שם דהוי כמחוברין לענין שבת אבל לא לענין טומאת אוכלין, אבל דין זה דיבש האילן לא נזכר שם, כן נ"ל בכוונת הראב"ד:</w:t>
      </w:r>
    </w:p>
    <w:p w14:paraId="54535BDD" w14:textId="77777777" w:rsidR="000426DE" w:rsidRPr="00D578AC" w:rsidRDefault="000426DE" w:rsidP="00747170">
      <w:pPr>
        <w:pStyle w:val="afffff5"/>
        <w:rPr>
          <w:rtl/>
        </w:rPr>
      </w:pPr>
      <w:r w:rsidRPr="00D578AC">
        <w:rPr>
          <w:rtl/>
        </w:rPr>
        <w:t>וכפי הנראה שהרמב"ם אינו מפרש כפרש"י יבשו, דר"ל יבשו הפירות, דבאמת הוא דחוק, שהרי ברישא תני אילן שנפשח וקאי על הענפים ועל זה תני בסיפא יבשו ר"ל שיבשו הענפים, והיינו דין דיבש האילן שכתב הרמב"ם, ואפשר שגירסת הראב"ד [הרמב"ם] יבש בלא ו' א"כ פשיטא דמשמע דקאי על האילן:</w:t>
      </w:r>
    </w:p>
    <w:p w14:paraId="1CF82194" w14:textId="77777777" w:rsidR="000426DE" w:rsidRPr="00D578AC" w:rsidRDefault="000426DE" w:rsidP="00747170">
      <w:pPr>
        <w:pStyle w:val="afffff5"/>
        <w:rPr>
          <w:rtl/>
        </w:rPr>
      </w:pPr>
      <w:r w:rsidRPr="00D578AC">
        <w:rPr>
          <w:rtl/>
        </w:rPr>
        <w:t>ואיך שיהיה כיון דדין זה בהלכות שבת הדין בעצמו מה שכתב לענין טומאת אוכלין, וכמו שכתב להדיא בהלכות שבת אף על גב שהן כתלושין לענין טומאה, אין ספק אצלי שנפל טעות בדפוס ברמב"ם וכצ"ל בהלכות שבת "תאנים שיבשו כו' וכן אילן שיבש ופירותיו בו", רק בדפוס נתרחק הוא"ו של "ופירותיו" ונמשך לתיבת "שיבש" ולפיכך נדפס "שיבשו" פירותיו בו, ובאמת צ"ל אילן שיבש ופירותיו בו, והוא הדין בעצמו שכתב בהלכות ט"א אם יבש האילן ובו פירות, וא"כ הם הדינים בעצמם שכתב בהל' ט"א. ודין דתאנים הוא מימרא דשמואל ודין דיבש האילן הוא מברייתא דאילן שנפשח או שלמד דין זה ממקום אחר כדברי הראב"ד. גם י"ל דיצא לו לרמב"ם דין זה לענין שבת דהוי כמחובר מעירובין ק' ע"ב דפריך הש"ס שם באילן יבש הא קנתרי פירא וע"ש ברש"י שדחק לפרש דלגזור אטו תלישה דלח, ותוס' בשבת ק"ן כתב דס"ד דמיירי ביבשו בלא עוקציהן וכ"ז דוחק, ולכן הוכיח הרמב"ם דין זה דאפילו ביבש גמור שייך תלישה לענין שבת. ולפ"ז גם מה שהקשה המ"א דלרמב"ם למה פריך הא נתרי פירא יותר היה לו להקשות שמא יתלוש, ולדידי לק"מ דיותר טפי פריך שפיר והא קנתרי פירא, ר"ל על ידי עלייתו ודאי יפלו פירות דהוי פסיק רישא:</w:t>
      </w:r>
    </w:p>
    <w:p w14:paraId="762CDAA4" w14:textId="77777777" w:rsidR="000426DE" w:rsidRPr="00D578AC" w:rsidRDefault="000426DE" w:rsidP="00747170">
      <w:pPr>
        <w:pStyle w:val="afffff5"/>
        <w:rPr>
          <w:rtl/>
        </w:rPr>
      </w:pPr>
      <w:r w:rsidRPr="00D578AC">
        <w:rPr>
          <w:rtl/>
        </w:rPr>
        <w:t>ובזה אתי שפיר ג"כ אף לפי מה שכתבתי דהגירסא ברמב"ם אילן שיבש ובו פירות, וא"כ קשה למה לא השיג הראב"ד בהלכות שבת לכתוב דדין זה אינו לא במשנה וגמרא וכמו שהשיג בהלכות טומאת אוכלין, ולפי זה אתי שפיר דבודאי לענין שבת דהוי כמחובר יצא לרמב"ם מסוגיא דעירובין ולכן מודה לו הראב"ד, רק מה שכתב הרמב"ם בהלכות טומאת אוכלין דיבש האילן הוי כתלוש לענין טומאת אוכלין, על זה השיג דדין זה אינו לא במשנה ולא בחולין לפי מה שמפרש הראב"ד יבשו בחולין דקאי על הפירות וא"כ היה לו לרמב"ם לכתוב דין המוזכר בגמרא:</w:t>
      </w:r>
    </w:p>
    <w:p w14:paraId="31CCC867" w14:textId="77777777" w:rsidR="000426DE" w:rsidRPr="00D578AC" w:rsidRDefault="000426DE" w:rsidP="00747170">
      <w:pPr>
        <w:pStyle w:val="afffff5"/>
        <w:rPr>
          <w:rtl/>
        </w:rPr>
      </w:pPr>
      <w:r w:rsidRPr="00D578AC">
        <w:rPr>
          <w:rtl/>
        </w:rPr>
        <w:t>האיר ה' את עיני ומצאתי תוספתא בפ"ב דעוקצין וז"ל אילן שנפשח ובו פירות הרי הן כתלושין, יבש ובו פירות הרי הן כמחוברין עכ"ל, וברוך ה' שהנחני בדרך אמת שבודאי גירסת הרמב"ם גם בחולין בברייתא זו כמו שכתבתי "יבש" ולא "יבשו" כגירסת רש"י, והראב"ד גרס כרש"י, ומסתמא גם בתוספתא היה גורס הראב"ד יבשו בו פירות כו', וה' אמת ינחני בדרך אמת:</w:t>
      </w:r>
    </w:p>
    <w:p w14:paraId="1830F6F4" w14:textId="77777777" w:rsidR="000426DE" w:rsidRPr="00D578AC" w:rsidRDefault="000426DE" w:rsidP="00747170">
      <w:pPr>
        <w:pStyle w:val="afffff5"/>
        <w:rPr>
          <w:rtl/>
        </w:rPr>
      </w:pPr>
      <w:r w:rsidRPr="00D578AC">
        <w:rPr>
          <w:rtl/>
        </w:rPr>
        <w:t>ומעכשיו נחזור לתרץ למה כתב הרמב"ם יבשו ובגמרא איתא להדיא צמקו, דמשמע דוקא בלא עוקציהן, וכן הראב"ד השיגו בהל' ט"א על מה שכתב הרמב"ם שם כרוב שיבש אין מטמא ט"א, והשיג הראב"ד, א"א, ואפילו צמקו עכ"ל, והכ"מ כתב דרמב"ם ס"ל דאם צמקו עדיין תורת אוכל עליהן בכרוב, אלא דלאו דוקא צמקו אמרו בגמרא אלא דכוונת הברייתא יבשו, ובתוספתא הגירסא יבשו עכ"ל, וכ"ז דוחק גדול, דאף תנא דברייתא שם י"ל דלאו דוקא צמקו דתנא אין מדקדק בלישנא, מ"מ על שמואל דאמר צמקו ואמורא בודאי מדקדק בדבריו ואיך יאמר צמקו במקום יבשו. ונראה דהשגת הראב"ד שם לא קאי דוקא על כרוב לבד דמאי שנא מתאנים שיבשו שכתב הרמב"ם, ובגמרא בברייתא ובמימרא דשמואל איתא צמקו, אלא באמת דכוונתו שמשיג בין אכרוב ובין על התאנים דאפילו צמקו בתאנים מטמאין ט"א במקומן, ומדלא השיג בהלכות שבת ג"כ שכתב הרמב"ם תאנים שיבשו הרי הן כמחובר לענין שבת, והיה לו לראב"ד להשיגו דדוקא צמקו אבל לא יבשו, מוכח דמודה ליה לרמב"ם לענין שבת וכמו שכתבתי. ונראה דהרמב"ם לא ס"ל כתוס' שכתבו דצמקו היינו בלא עוקציהן ויבשו הן ועוקציהן, דא"כ מ"פ הש"ס בחולין אברייתא דכרוב ודלעת שצמקו אי נימא הן ועוקציהן פשיטא, ואיך ס"ד הכי שהרי תנא בברייתא שצמקו, אלא על כרחך דס"ל לגמרא דאף אם נאמר בדברי שמואל דאמורא מדקדק בדבריו ותני צמקו דוקא הוי כתלוש לענין ט"א אבל בתנא י"ל שפיר דל"ד. ולשיטת הרמב"ם אין לפרש כפרש"י שכתב פשיטא דלא לדיוקא אצטריך, דהא לרמב"ם הוי כמחובר אפילו לענין שבת וא"כ י"ל שפיר דלדיוקא אצטריך דאע"ג דהוי כמחובר לענין שבת מכל מקום שאר פירות כיון שצמקו הוי כתלוש לענין טומאה. וצ"ל דהרמב"ם מפרש הכי היכי דמי אי נימא הן ועוקציהן פשיטא, דלגופא לא אצטריך כיון דכבר יבש לגמרי פשיטא שכרוב ודלעת הוי כעץ בעלמא, ואית ליה למידק מיניה דשאר פירות מטמאין, דזה אינו דממתני' דחולין אשמעינן זה כמו שהקשו תוס' שם, אע"כ בלא עוקציהן ולגופא אצטריך דאע"פ שלא נתייבשו עוקציהן אפ"ה יצא מתורת אוכל, וממילא נשמע דשאר פירות נחשבין כתלושין, וע"ז משני הש"ס דלעולם צמקו לאו דוקא אלא משום סיפא דקצצן ע"מ ליבשן אצטריך. וס"ל לרמב"ם כיון דבתוספתא תני בהדיא יבשו כמ"ש הכ"מ, א"כ מסתמא גם תנא דברייתא זו דתני צמקו לא דק בלישניה, וכוונתו יבשו, ופסק הרמב"ם כמו שמתרץ הש"ס שם דלעולם הן ועוקציהן. אבל הראב"ד ס"ל דדיחוי בעלמא הוא ולא שבקינן מלתא דשמואל משום דיחוי דש"ס ולכן השיג עליו, ובאמת גם על תאנים קאי השגתו. ולפי זה שפיר עשה הרמב"ם שלא חילק בין יבשו עוקציהן או לא, דזה נכלל במה שכתב יבשו:</w:t>
      </w:r>
    </w:p>
    <w:p w14:paraId="297EB8D2" w14:textId="77777777" w:rsidR="000426DE" w:rsidRPr="00D578AC" w:rsidRDefault="000426DE" w:rsidP="00747170">
      <w:pPr>
        <w:pStyle w:val="afffff5"/>
        <w:rPr>
          <w:rtl/>
        </w:rPr>
      </w:pPr>
      <w:r w:rsidRPr="00D578AC">
        <w:rPr>
          <w:rtl/>
        </w:rPr>
        <w:t>ולפ"ז נראה דיש ט"ס בל' הר"מ פ"ח מה' שבת ה"ד שכ' תאנים שיבשו באיביהן וכן אילן שיבשו פירותיו בו התולש מהן בשבת חייב אע"פ שהן כעקורין לענין [טומאה], עכ"ל, והנה קשה מאי וכן אילן דקאמר וכי תאנה אינה באילן ואין כאן ב' דברים כלל ועוד למה לא הזכיר דין יבש האילן שהזכיר בפ"ב מטו"א ואי סבר דבזה אף לענין שבת פטור דהוי יבשו עוקציהן הו"ל לפרש כמו שפירשה לענין טו"א, ואם הוא חייב לענין שבת וכמו שפירשנו לעיל דגרסינן יבש והיינו האילן ואפ"ה מסקינן דלענין טו"א הרי הן כתלושין, א"כ נתפרש בגמ' דחייב לענין שבת, והו"ל לרבינו להזכירו אבל ט"ס יש כאן וצ"ל וכן אילן שיבש ופירותיו בו [וניתק הוי"ו ממקומו ונתקרב לתיבת שיבש וכן בל' הראב"ד בה' טו"א אירע זה המאורע וצ"ל שיבש ובו פירות וכמש"כ מל"מ שם] התולש מהן כו' וכן נראה מל' המ"מ שכ' שדין אילן מוזכר ג"כ בחולין שם ולהאמור דברי המ"א סי' של"ו סעי' י"ב מכוונים והאחרונים ז"ל כתבו בשם הא"ר דביבש האילן מודה הר"מ דהוא תלוש לענין שבת וזה לא יתכן וכמש"נ ועוד אדמפליג בברייתא חולין קכ"ז ב' בין נפשח ליבשו ליפלוג בדידי' יבש האילן הרי הן כתלושין יבשו הפירות הרי הן כמחוברין.</w:t>
      </w:r>
    </w:p>
    <w:p w14:paraId="7D852362" w14:textId="77777777" w:rsidR="000426DE" w:rsidRDefault="000426DE" w:rsidP="000426DE">
      <w:pPr>
        <w:pStyle w:val="afffff7"/>
        <w:rPr>
          <w:rtl/>
        </w:rPr>
      </w:pPr>
      <w:bookmarkStart w:id="1532" w:name="_Toc135513710"/>
      <w:bookmarkStart w:id="1533" w:name="_Toc163505635"/>
      <w:r>
        <w:rPr>
          <w:rFonts w:hint="cs"/>
          <w:rtl/>
        </w:rPr>
        <w:t>שו"ת מהר"י קורקוס סי' ג' ד"ה מעתה</w:t>
      </w:r>
      <w:bookmarkEnd w:id="1532"/>
      <w:bookmarkEnd w:id="1533"/>
    </w:p>
    <w:p w14:paraId="77AB514C" w14:textId="77777777" w:rsidR="000426DE" w:rsidRDefault="000426DE" w:rsidP="000426DE">
      <w:pPr>
        <w:pStyle w:val="a7"/>
        <w:rPr>
          <w:rtl/>
        </w:rPr>
      </w:pPr>
      <w:bookmarkStart w:id="1534" w:name="_Toc139316366"/>
      <w:r>
        <w:rPr>
          <w:rFonts w:hint="cs"/>
          <w:rtl/>
        </w:rPr>
        <w:t>בי' המהר"י קורקוס בתשו' דגרסי' ברמב"ם אילן שיבש ויש בו פירות משנה שעברה דכמחובר</w:t>
      </w:r>
      <w:bookmarkEnd w:id="1534"/>
    </w:p>
    <w:p w14:paraId="025AC3A1" w14:textId="46B4C847" w:rsidR="000426DE" w:rsidRPr="005F3F77" w:rsidRDefault="000426DE" w:rsidP="00BC7DC8">
      <w:pPr>
        <w:pStyle w:val="a3"/>
        <w:rPr>
          <w:rtl/>
        </w:rPr>
      </w:pPr>
      <w:bookmarkStart w:id="1535" w:name="_Ref134564910"/>
      <w:r>
        <w:rPr>
          <w:rFonts w:hint="cs"/>
          <w:rtl/>
        </w:rPr>
        <w:t xml:space="preserve">וכבר כתב כן </w:t>
      </w:r>
      <w:r w:rsidRPr="00C65D8D">
        <w:rPr>
          <w:rStyle w:val="aff4"/>
          <w:rFonts w:hint="cs"/>
          <w:vanish/>
          <w:rtl/>
        </w:rPr>
        <w:t>-</w:t>
      </w:r>
      <w:r w:rsidRPr="00C65D8D">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Ref134564910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לט)</w:t>
      </w:r>
      <w:r w:rsidRPr="00B53404">
        <w:rPr>
          <w:rStyle w:val="aff4"/>
          <w:vanish/>
          <w:rtl/>
        </w:rPr>
        <w:fldChar w:fldCharType="end"/>
      </w:r>
      <w:r w:rsidRPr="00B53404">
        <w:rPr>
          <w:rStyle w:val="aff4"/>
          <w:rFonts w:hint="cs"/>
          <w:vanish/>
          <w:rtl/>
        </w:rPr>
        <w:t xml:space="preserve"> &gt;</w:t>
      </w:r>
      <w:r w:rsidRPr="00C65D8D">
        <w:rPr>
          <w:rStyle w:val="aff4"/>
          <w:rFonts w:hint="cs"/>
          <w:rtl/>
        </w:rPr>
        <w:t>מהר"י קורקוס בתשו'</w:t>
      </w:r>
      <w:r w:rsidRPr="00C65D8D">
        <w:rPr>
          <w:rStyle w:val="aff4"/>
          <w:rFonts w:hint="cs"/>
          <w:vanish/>
          <w:rtl/>
        </w:rPr>
        <w:t>-</w:t>
      </w:r>
      <w:r>
        <w:rPr>
          <w:rFonts w:hint="cs"/>
          <w:rtl/>
        </w:rPr>
        <w:t xml:space="preserve"> </w:t>
      </w:r>
      <w:r w:rsidRPr="00FB451D">
        <w:rPr>
          <w:rStyle w:val="af2"/>
          <w:rFonts w:eastAsia="Guttman Hodes" w:hint="cs"/>
          <w:rtl/>
        </w:rPr>
        <w:t>(סי' ג' ד"ה מעתה, הועתק במפרשי היד החזקה "עוז והדר" שבת פ"ח ה"ד)</w:t>
      </w:r>
      <w:r w:rsidRPr="00C65D8D">
        <w:rPr>
          <w:rFonts w:hint="cs"/>
          <w:vanish/>
          <w:rtl/>
        </w:rPr>
        <w:t>=</w:t>
      </w:r>
      <w:r>
        <w:rPr>
          <w:rFonts w:hint="cs"/>
          <w:rtl/>
        </w:rPr>
        <w:t xml:space="preserve"> דמ"ש </w:t>
      </w:r>
      <w:r w:rsidRPr="00C65D8D">
        <w:rPr>
          <w:rStyle w:val="aff4"/>
          <w:rFonts w:hint="cs"/>
          <w:vanish/>
          <w:rtl/>
        </w:rPr>
        <w:t>-</w:t>
      </w:r>
      <w:r w:rsidRPr="00C65D8D">
        <w:rPr>
          <w:rStyle w:val="aff4"/>
          <w:rFonts w:hint="cs"/>
          <w:rtl/>
        </w:rPr>
        <w:t>הרמב"ם</w:t>
      </w:r>
      <w:r w:rsidRPr="00C65D8D">
        <w:rPr>
          <w:rStyle w:val="aff4"/>
          <w:rFonts w:hint="cs"/>
          <w:vanish/>
          <w:rtl/>
        </w:rPr>
        <w:t>-</w:t>
      </w:r>
      <w:r>
        <w:rPr>
          <w:rFonts w:hint="cs"/>
          <w:rtl/>
        </w:rPr>
        <w:t xml:space="preserve"> </w:t>
      </w:r>
      <w:r w:rsidRPr="00FB451D">
        <w:rPr>
          <w:rStyle w:val="af2"/>
          <w:rFonts w:eastAsia="Guttman Hodes" w:hint="cs"/>
          <w:rtl/>
        </w:rPr>
        <w:t xml:space="preserve">(עי' אות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Ref134564918 \r \h</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לד)</w:t>
      </w:r>
      <w:r w:rsidRPr="00FB451D">
        <w:rPr>
          <w:rStyle w:val="af2"/>
          <w:rFonts w:eastAsia="Guttman Hodes"/>
          <w:rtl/>
        </w:rPr>
        <w:fldChar w:fldCharType="end"/>
      </w:r>
      <w:r>
        <w:rPr>
          <w:rFonts w:hint="cs"/>
          <w:rtl/>
        </w:rPr>
        <w:t xml:space="preserve"> תאנים שיבשו באיביהן, היינו שהפירות יבשו ע"ג העץ, והעץ עצמו אינו יבש, </w:t>
      </w:r>
      <w:bookmarkStart w:id="1536" w:name="_Hlk134609496"/>
      <w:r>
        <w:rPr>
          <w:rFonts w:hint="cs"/>
          <w:rtl/>
        </w:rPr>
        <w:t xml:space="preserve">ומ"ש </w:t>
      </w:r>
      <w:r w:rsidRPr="00C65D8D">
        <w:rPr>
          <w:rStyle w:val="aff4"/>
          <w:rFonts w:hint="cs"/>
          <w:vanish/>
          <w:rtl/>
        </w:rPr>
        <w:t>-</w:t>
      </w:r>
      <w:r w:rsidRPr="00C65D8D">
        <w:rPr>
          <w:rStyle w:val="aff4"/>
          <w:rFonts w:hint="cs"/>
          <w:rtl/>
        </w:rPr>
        <w:t>הרמב"ם</w:t>
      </w:r>
      <w:r w:rsidRPr="00C65D8D">
        <w:rPr>
          <w:rStyle w:val="aff4"/>
          <w:rFonts w:hint="cs"/>
          <w:vanish/>
          <w:rtl/>
        </w:rPr>
        <w:t>-</w:t>
      </w:r>
      <w:r>
        <w:rPr>
          <w:rFonts w:hint="cs"/>
          <w:rtl/>
        </w:rPr>
        <w:t xml:space="preserve"> </w:t>
      </w:r>
      <w:r w:rsidRPr="00BD4EC5">
        <w:rPr>
          <w:rtl/>
        </w:rPr>
        <w:t xml:space="preserve">וכן אילן </w:t>
      </w:r>
      <w:r>
        <w:rPr>
          <w:rFonts w:hint="cs"/>
          <w:rtl/>
        </w:rPr>
        <w:t>"</w:t>
      </w:r>
      <w:r w:rsidRPr="00BD4EC5">
        <w:rPr>
          <w:rtl/>
        </w:rPr>
        <w:t>שיבשו פירותיו</w:t>
      </w:r>
      <w:r>
        <w:rPr>
          <w:rFonts w:hint="cs"/>
          <w:rtl/>
        </w:rPr>
        <w:t>"</w:t>
      </w:r>
      <w:r w:rsidRPr="00BD4EC5">
        <w:rPr>
          <w:rtl/>
        </w:rPr>
        <w:t xml:space="preserve"> בו</w:t>
      </w:r>
      <w:r>
        <w:rPr>
          <w:rFonts w:hint="cs"/>
          <w:rtl/>
        </w:rPr>
        <w:t xml:space="preserve">, צריך לקרותו </w:t>
      </w:r>
      <w:r w:rsidRPr="00BD4EC5">
        <w:rPr>
          <w:rtl/>
        </w:rPr>
        <w:t xml:space="preserve">וכן אילן </w:t>
      </w:r>
      <w:r>
        <w:rPr>
          <w:rFonts w:hint="cs"/>
          <w:rtl/>
        </w:rPr>
        <w:t>"</w:t>
      </w:r>
      <w:r w:rsidRPr="00BD4EC5">
        <w:rPr>
          <w:rtl/>
        </w:rPr>
        <w:t xml:space="preserve">שיבש </w:t>
      </w:r>
      <w:r w:rsidRPr="00BD4EC5">
        <w:rPr>
          <w:rtl/>
        </w:rPr>
        <w:t>ופירותיו</w:t>
      </w:r>
      <w:r>
        <w:rPr>
          <w:rFonts w:hint="cs"/>
          <w:rtl/>
        </w:rPr>
        <w:t>"</w:t>
      </w:r>
      <w:r w:rsidRPr="00BD4EC5">
        <w:rPr>
          <w:rtl/>
        </w:rPr>
        <w:t xml:space="preserve"> בו,</w:t>
      </w:r>
      <w:r>
        <w:rPr>
          <w:rFonts w:hint="cs"/>
          <w:rtl/>
        </w:rPr>
        <w:t xml:space="preserve"> </w:t>
      </w:r>
      <w:bookmarkEnd w:id="1536"/>
      <w:r>
        <w:rPr>
          <w:rFonts w:hint="cs"/>
          <w:rtl/>
        </w:rPr>
        <w:t xml:space="preserve">דהיינו שהאילן עצמו יבש ופירותיו עליו, ולא שהפירות יבשו והאילן עצמו לח, וביאר </w:t>
      </w:r>
      <w:r w:rsidRPr="00C65D8D">
        <w:rPr>
          <w:rStyle w:val="aff4"/>
          <w:rFonts w:hint="cs"/>
          <w:vanish/>
          <w:rtl/>
        </w:rPr>
        <w:t>-</w:t>
      </w:r>
      <w:r w:rsidRPr="00C65D8D">
        <w:rPr>
          <w:rStyle w:val="aff4"/>
          <w:rFonts w:hint="cs"/>
          <w:rtl/>
        </w:rPr>
        <w:t>המהר"י קורקוס בתשו'</w:t>
      </w:r>
      <w:r w:rsidRPr="00C65D8D">
        <w:rPr>
          <w:rStyle w:val="aff4"/>
          <w:rFonts w:hint="cs"/>
          <w:vanish/>
          <w:rtl/>
        </w:rPr>
        <w:t>-</w:t>
      </w:r>
      <w:r>
        <w:rPr>
          <w:rFonts w:hint="cs"/>
          <w:rtl/>
        </w:rPr>
        <w:t xml:space="preserve"> דס"ל </w:t>
      </w:r>
      <w:r w:rsidRPr="00C65D8D">
        <w:rPr>
          <w:rStyle w:val="aff4"/>
          <w:rFonts w:hint="cs"/>
          <w:vanish/>
          <w:rtl/>
        </w:rPr>
        <w:t>-</w:t>
      </w:r>
      <w:r w:rsidRPr="00C65D8D">
        <w:rPr>
          <w:rStyle w:val="aff4"/>
          <w:rFonts w:hint="cs"/>
          <w:rtl/>
        </w:rPr>
        <w:t>להרמב"ם</w:t>
      </w:r>
      <w:r w:rsidRPr="00C65D8D">
        <w:rPr>
          <w:rStyle w:val="aff4"/>
          <w:rFonts w:hint="cs"/>
          <w:vanish/>
          <w:rtl/>
        </w:rPr>
        <w:t>-</w:t>
      </w:r>
      <w:r>
        <w:rPr>
          <w:rFonts w:hint="cs"/>
          <w:rtl/>
        </w:rPr>
        <w:t xml:space="preserve"> דאף שהאילן יבש לגמרי, כשרואים עליו פירות יבשים משנה שעברה, מ"מ חייב עליו בתולש לענין שבת, אעפ"י דלענין טומאה הם כעקורים, עיי"ש בדבריו דהוכיח כן מדברי </w:t>
      </w:r>
      <w:r w:rsidRPr="00C65D8D">
        <w:rPr>
          <w:rStyle w:val="aff4"/>
          <w:rFonts w:hint="cs"/>
          <w:vanish/>
          <w:rtl/>
        </w:rPr>
        <w:t>-</w:t>
      </w:r>
      <w:r w:rsidRPr="00C65D8D">
        <w:rPr>
          <w:rStyle w:val="aff4"/>
          <w:rFonts w:hint="cs"/>
          <w:rtl/>
        </w:rPr>
        <w:t>הרמב"ם</w:t>
      </w:r>
      <w:r w:rsidRPr="00C65D8D">
        <w:rPr>
          <w:rStyle w:val="aff4"/>
          <w:rFonts w:hint="cs"/>
          <w:vanish/>
          <w:rtl/>
        </w:rPr>
        <w:t>-</w:t>
      </w:r>
      <w:r>
        <w:rPr>
          <w:rFonts w:hint="cs"/>
          <w:rtl/>
        </w:rPr>
        <w:t xml:space="preserve"> ומהגמ'.</w:t>
      </w:r>
      <w:bookmarkEnd w:id="1535"/>
    </w:p>
    <w:p w14:paraId="6F0FA411" w14:textId="77777777" w:rsidR="000426DE" w:rsidRPr="00747170" w:rsidRDefault="000426DE" w:rsidP="00747170">
      <w:pPr>
        <w:pStyle w:val="a2"/>
        <w:rPr>
          <w:rtl/>
        </w:rPr>
      </w:pPr>
      <w:r w:rsidRPr="00747170">
        <w:rPr>
          <w:rtl/>
        </w:rPr>
        <w:t>[ד] עוד שאלת מ"ש תאנים שיבשו באיביהן וכן אילן שיבשו פירותיו בו התולש מהם [בשבת] חייב אף על פי שהם כעקורין לענין טומאה. וקשיא לך דאילן שיבשו פירותיו כו' היינו תאנים שיבשו באיביהן ומאי וכן היא תנא.</w:t>
      </w:r>
    </w:p>
    <w:p w14:paraId="4616234D" w14:textId="77777777" w:rsidR="000426DE" w:rsidRPr="00D578AC" w:rsidRDefault="000426DE" w:rsidP="00747170">
      <w:pPr>
        <w:pStyle w:val="afffff5"/>
        <w:rPr>
          <w:rtl/>
        </w:rPr>
      </w:pPr>
      <w:r w:rsidRPr="00D578AC">
        <w:rPr>
          <w:rtl/>
        </w:rPr>
        <w:t>תשובה יכילנא לשנויי דקמ"ל שאין הפרש בין תאנים שדרך לייבשן לשאר פירות. אי נמי מפליגנא מטעם אחר ומיהו שינויא דחיקא לא משנינא פירוש אין טעם ברור להעלות על הדעת לחלק וכל שכן דהו"ל למנקט וכן שאר פירות שיבשו באילן כי היכי דנקט תאנים שיבשו וכו' לא וכן אילן דעד השתא נמי באילן מיירי. לכך צריך לדעת כי דין תאנים היא מימרא דשמואל פרק העור והרוטב שאמר שם שהם כעקורים לענין טומאה והתולש מהן בשבת חייב ואתינן למפרך עליה מברייתא דתניא אילן שנפשח וכו' פירות הרי הן כתלושין יבשו הרי הן כמחוברים מאי לאו כי היכי דבתלושים דרישא היינו לכולא מילתא דסיפא נמי היינו לכולא מילתא כלומר בין לשבת בין לטומאה ואסיק דמחוברים לשבת דוקא אבל לטומאה הוו כתלושים והרב פ"ב מהל' טומאת אוכלים כתב אילן שנפשח וכו' פירות וכן אם יבש האילן ובו פירות הרי הן כתלושים תאנים שיבשו באיביהן מטמאים וכו' והראב"ד השיג עליו ז"ל אין דבר זה לא במשנה ולא בתוספתא ולא בגמרא דחולין אבל אם יבשו בו פירות במחובר הרי הן כמחוברים ואולי מבכורים גמר לה דתנן יבש האילן או נקצץ מביא ואינו קורא קתני יבש דומיא דנקצץ ע"כ.</w:t>
      </w:r>
    </w:p>
    <w:p w14:paraId="5A552CF1" w14:textId="77777777" w:rsidR="000426DE" w:rsidRPr="00D578AC" w:rsidRDefault="000426DE" w:rsidP="00747170">
      <w:pPr>
        <w:pStyle w:val="afffff5"/>
        <w:rPr>
          <w:rtl/>
        </w:rPr>
      </w:pPr>
      <w:r w:rsidRPr="00D578AC">
        <w:rPr>
          <w:rtl/>
        </w:rPr>
        <w:t>ולדידי הרב לא הוציאו מבכורים דלאו ראיה היא אלא מברייתא דחולין שכתבתי כי הוא גורס יבש במקום יבשו ואאילן קאי לא אפירות והלשון יותר מכוון כגירסא זו דרישא קתני אילן שנפשח ובו פירות הרי הן כתלושים וסיפא קתני יבש דהיינו שלא נפשח אלא יבש הרי הן כמחוברים פירוש לענין שבת כאשר נתבאר ולא חסר מידי כי יבש מקביל נפשח ואי גרסינן יבשו משמע המשך הלשון שעל נפשח חוזר אלא שצריך לפרש ואם לא נפשח אלא שיבשו הפירות בו דוק ותשכח. וכן כתבה ותקנה רש"י כי הוא גורס יבשו כגירסת הספרים שלנו ואין לטעות בדברי הרב ולדייק אבל אם יבשו בו פירות שיהיו כמחוברים כאשר כתב הראב"ד דהא תאנים שיבשו היינו יבשו בו פירות ואמר שהם כתלושים. ונמצא לשון הרב שהוא מגמרא דחולין וליכא למטעי מידי.</w:t>
      </w:r>
    </w:p>
    <w:p w14:paraId="10AA0FF1" w14:textId="77777777" w:rsidR="000426DE" w:rsidRPr="00D578AC" w:rsidRDefault="000426DE" w:rsidP="00747170">
      <w:pPr>
        <w:pStyle w:val="afffff5"/>
        <w:rPr>
          <w:rtl/>
        </w:rPr>
      </w:pPr>
      <w:r w:rsidRPr="00D578AC">
        <w:rPr>
          <w:rtl/>
        </w:rPr>
        <w:t>מעתה הדבר ברור כי לשונו בהל' שבת צריך להיות אילן שיבש ופירותיו בו ולא שאני מגיה אלא שהוי"ו של יבשו צריך להפרידה ולחברה עם מלת פירותיו ובזה יצא לשונו מדוקדק מכוון אל מ"ש גבי טומאה כי כן כתב הוא אף על פי שהן כעקורים לענין טומאה ואלו הב' חלוקות הם שכתב גבי טומאה ואף על פי שבסוגיא דבכל מערבין גבי תני חדא יבש מותר ולח אסור וכו' נראה ממנה שאם יבש האילן אין אסור בתלישת פירותיו אפשר שאותה סוגיא מדברת כשיבש האילן וגם הפירות כלומר שאין בו פירות אלא משנה שעברה וכן פירש"י שם הא קא נתרי פירי שנשארו בו משנה שעברה והוא כי שם העמידו אותו בימות החמה מפני שניכר לכל שהוא יבש שאינו מוציא עלין אבל בודאי אם יש בו פירות לחים דגזרינן שמא יתלוש וגם הרי יש בו עלין לחין ודינו כלח לדעת רבינו וסוגיא התם הכי רהטא וזהו שכתב רבינו אילן שיבש ופירותיו בו דהיינו פירות שנה זו שעדיין לא יבשו אבל ודאי אם יבש האילן וגם הפירות אין כאן דבר מחובר והוו כתלושים ומן הברייתא עצמה אנו מוכרחים לומר כן מדנקט אילן שנפשח היינו שנעקר לגמרי ונחתך ומשמע הא יבש הרי הוא כמחובר דאי לא לינקוט יבש דעדיפא מינה. וכיון שכן לגירסת רבינו דגריס יבש אתי שפיר דפליג בדידה אבל לגירסת רש"י שגורס יבשו ליפלוג וליתני בדידה דהיינו באילן גופיה בין נפשח ליבש אלא ודאי כדכתיבנא. ובתוס' בשבת פרק שואל שיש איסור ביבשו הם ולא עוקציהן. והנראה לענ"ד כתבתי. הצעיר יוסף קורקוס.</w:t>
      </w:r>
    </w:p>
    <w:p w14:paraId="673243BA" w14:textId="77777777" w:rsidR="000426DE" w:rsidRDefault="000426DE" w:rsidP="000426DE">
      <w:pPr>
        <w:pStyle w:val="afffff7"/>
        <w:rPr>
          <w:rtl/>
        </w:rPr>
      </w:pPr>
      <w:bookmarkStart w:id="1537" w:name="_Toc135513711"/>
      <w:bookmarkStart w:id="1538" w:name="_Toc163505636"/>
      <w:r>
        <w:rPr>
          <w:rtl/>
        </w:rPr>
        <w:t xml:space="preserve">חזון איש </w:t>
      </w:r>
      <w:r>
        <w:rPr>
          <w:rFonts w:hint="cs"/>
          <w:rtl/>
        </w:rPr>
        <w:t>או"ח</w:t>
      </w:r>
      <w:r>
        <w:rPr>
          <w:rtl/>
        </w:rPr>
        <w:t xml:space="preserve"> השמטות </w:t>
      </w:r>
      <w:r>
        <w:rPr>
          <w:rFonts w:hint="cs"/>
          <w:rtl/>
        </w:rPr>
        <w:t>סי'</w:t>
      </w:r>
      <w:r>
        <w:rPr>
          <w:rtl/>
        </w:rPr>
        <w:t xml:space="preserve"> קנו לסי' של"א ד"ה </w:t>
      </w:r>
      <w:r>
        <w:rPr>
          <w:rFonts w:hint="cs"/>
          <w:rtl/>
        </w:rPr>
        <w:t>וכתב</w:t>
      </w:r>
      <w:bookmarkEnd w:id="1537"/>
      <w:bookmarkEnd w:id="1538"/>
      <w:r>
        <w:rPr>
          <w:rtl/>
        </w:rPr>
        <w:t xml:space="preserve"> </w:t>
      </w:r>
    </w:p>
    <w:p w14:paraId="0E5D12BC" w14:textId="77777777" w:rsidR="000426DE" w:rsidRDefault="000426DE" w:rsidP="000426DE">
      <w:pPr>
        <w:pStyle w:val="a7"/>
        <w:rPr>
          <w:rtl/>
        </w:rPr>
      </w:pPr>
      <w:bookmarkStart w:id="1539" w:name="_Toc139316367"/>
      <w:r>
        <w:rPr>
          <w:rFonts w:hint="cs"/>
          <w:rtl/>
        </w:rPr>
        <w:t>בי' החזו"א בראב"ד דפירות שיבשו לגמרי אינם צומחים ותלושים אך אילן שיבש יכול לחזור</w:t>
      </w:r>
      <w:bookmarkEnd w:id="1539"/>
    </w:p>
    <w:p w14:paraId="23A479CF" w14:textId="46349266" w:rsidR="000426DE" w:rsidRDefault="000426DE" w:rsidP="00BC7DC8">
      <w:pPr>
        <w:pStyle w:val="a3"/>
        <w:rPr>
          <w:rtl/>
        </w:rPr>
      </w:pPr>
      <w:bookmarkStart w:id="1540" w:name="_Ref135321560"/>
      <w:r>
        <w:rPr>
          <w:rFonts w:hint="cs"/>
          <w:rtl/>
        </w:rPr>
        <w:t xml:space="preserve">ובדעת </w:t>
      </w:r>
      <w:r w:rsidRPr="00C410BC">
        <w:rPr>
          <w:rStyle w:val="aff4"/>
          <w:rFonts w:hint="cs"/>
          <w:vanish/>
          <w:rtl/>
        </w:rPr>
        <w:t>-</w:t>
      </w:r>
      <w:r w:rsidRPr="00E556E2">
        <w:rPr>
          <w:rStyle w:val="aff4"/>
          <w:rFonts w:hint="cs"/>
          <w:rtl/>
        </w:rPr>
        <w:t>הראב"ד</w:t>
      </w:r>
      <w:r w:rsidRPr="00C410BC">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Ref134701029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לה)</w:t>
      </w:r>
      <w:r>
        <w:rPr>
          <w:rStyle w:val="af2"/>
          <w:rFonts w:eastAsia="Guttman Hodes"/>
          <w:rtl/>
        </w:rPr>
        <w:fldChar w:fldCharType="end"/>
      </w:r>
      <w:r>
        <w:rPr>
          <w:rFonts w:hint="cs"/>
          <w:rtl/>
        </w:rPr>
        <w:t xml:space="preserve"> ביאר </w:t>
      </w:r>
      <w:r w:rsidRPr="00C410BC">
        <w:rPr>
          <w:rStyle w:val="aff4"/>
          <w:rFonts w:hint="cs"/>
          <w:vanish/>
          <w:rtl/>
        </w:rPr>
        <w:t>-</w:t>
      </w:r>
      <w:r w:rsidRPr="00E556E2">
        <w:rPr>
          <w:rStyle w:val="aff4"/>
          <w:rFonts w:hint="cs"/>
          <w:rtl/>
        </w:rPr>
        <w:t>ה</w:t>
      </w:r>
      <w:r w:rsidRPr="0042155E">
        <w:rPr>
          <w:rStyle w:val="aff4"/>
          <w:rFonts w:hint="cs"/>
          <w:vanish/>
          <w:rtl/>
        </w:rPr>
        <w:t xml:space="preserve">&lt;. </w:t>
      </w:r>
      <w:r w:rsidRPr="0042155E">
        <w:rPr>
          <w:rStyle w:val="aff4"/>
          <w:vanish/>
          <w:rtl/>
        </w:rPr>
        <w:fldChar w:fldCharType="begin"/>
      </w:r>
      <w:r w:rsidRPr="0042155E">
        <w:rPr>
          <w:rStyle w:val="aff4"/>
          <w:vanish/>
          <w:rtl/>
        </w:rPr>
        <w:instrText xml:space="preserve"> </w:instrText>
      </w:r>
      <w:r w:rsidRPr="0042155E">
        <w:rPr>
          <w:rStyle w:val="aff4"/>
          <w:rFonts w:hint="cs"/>
          <w:vanish/>
        </w:rPr>
        <w:instrText>REF</w:instrText>
      </w:r>
      <w:r w:rsidRPr="0042155E">
        <w:rPr>
          <w:rStyle w:val="aff4"/>
          <w:rFonts w:hint="cs"/>
          <w:vanish/>
          <w:rtl/>
        </w:rPr>
        <w:instrText xml:space="preserve"> _</w:instrText>
      </w:r>
      <w:r w:rsidRPr="0042155E">
        <w:rPr>
          <w:rStyle w:val="aff4"/>
          <w:rFonts w:hint="cs"/>
          <w:vanish/>
        </w:rPr>
        <w:instrText>Ref135321560 \r \h</w:instrText>
      </w:r>
      <w:r w:rsidRPr="0042155E">
        <w:rPr>
          <w:rStyle w:val="aff4"/>
          <w:vanish/>
          <w:rtl/>
        </w:rPr>
        <w:instrText xml:space="preserve"> </w:instrText>
      </w:r>
      <w:r>
        <w:rPr>
          <w:rStyle w:val="aff4"/>
          <w:vanish/>
          <w:rtl/>
        </w:rPr>
        <w:instrText xml:space="preserve"> \* </w:instrText>
      </w:r>
      <w:r>
        <w:rPr>
          <w:rStyle w:val="aff4"/>
          <w:vanish/>
        </w:rPr>
        <w:instrText>MERGEFORMAT</w:instrText>
      </w:r>
      <w:r>
        <w:rPr>
          <w:rStyle w:val="aff4"/>
          <w:vanish/>
          <w:rtl/>
        </w:rPr>
        <w:instrText xml:space="preserve"> </w:instrText>
      </w:r>
      <w:r w:rsidRPr="0042155E">
        <w:rPr>
          <w:rStyle w:val="aff4"/>
          <w:vanish/>
          <w:rtl/>
        </w:rPr>
      </w:r>
      <w:r w:rsidRPr="0042155E">
        <w:rPr>
          <w:rStyle w:val="aff4"/>
          <w:vanish/>
          <w:rtl/>
        </w:rPr>
        <w:fldChar w:fldCharType="separate"/>
      </w:r>
      <w:r w:rsidR="00D82181">
        <w:rPr>
          <w:rStyle w:val="aff4"/>
          <w:vanish/>
          <w:cs/>
        </w:rPr>
        <w:t>‎</w:t>
      </w:r>
      <w:r w:rsidR="00D82181">
        <w:rPr>
          <w:rStyle w:val="aff4"/>
          <w:vanish/>
          <w:rtl/>
        </w:rPr>
        <w:t>מ)</w:t>
      </w:r>
      <w:r w:rsidRPr="0042155E">
        <w:rPr>
          <w:rStyle w:val="aff4"/>
          <w:vanish/>
          <w:rtl/>
        </w:rPr>
        <w:fldChar w:fldCharType="end"/>
      </w:r>
      <w:r w:rsidRPr="0042155E">
        <w:rPr>
          <w:rStyle w:val="aff4"/>
          <w:rFonts w:hint="cs"/>
          <w:vanish/>
          <w:rtl/>
        </w:rPr>
        <w:t xml:space="preserve"> &gt;</w:t>
      </w:r>
      <w:r w:rsidRPr="00E556E2">
        <w:rPr>
          <w:rStyle w:val="aff4"/>
          <w:rFonts w:hint="cs"/>
          <w:rtl/>
        </w:rPr>
        <w:t>חזו"א</w:t>
      </w:r>
      <w:r w:rsidRPr="00C410BC">
        <w:rPr>
          <w:rStyle w:val="aff4"/>
          <w:rFonts w:hint="cs"/>
          <w:vanish/>
          <w:rtl/>
        </w:rPr>
        <w:t>-</w:t>
      </w:r>
      <w:r>
        <w:rPr>
          <w:rFonts w:hint="cs"/>
          <w:rtl/>
        </w:rPr>
        <w:t xml:space="preserve"> </w:t>
      </w:r>
      <w:r w:rsidRPr="00FB451D">
        <w:rPr>
          <w:rStyle w:val="af2"/>
          <w:rFonts w:eastAsia="Guttman Hodes" w:hint="cs"/>
          <w:rtl/>
        </w:rPr>
        <w:t>(השמטות סי' קנ"ו לסי' של"ו ד"ה וכתב)</w:t>
      </w:r>
      <w:r w:rsidRPr="005A30AF">
        <w:rPr>
          <w:rFonts w:hint="cs"/>
          <w:vanish/>
          <w:rtl/>
        </w:rPr>
        <w:t>=</w:t>
      </w:r>
      <w:r>
        <w:rPr>
          <w:rFonts w:hint="cs"/>
          <w:rtl/>
        </w:rPr>
        <w:t xml:space="preserve"> דס"ל דרק ביבשו הפירות לגמרי הם כתלושין, כיון דפירות שיבשו אינם חוזרים לצמוח, אבל ביבש כל האילן אינו תלוש, דאילן גזעו מחליף והוא יכול לחזור ולצמוח, וכדעת </w:t>
      </w:r>
      <w:r w:rsidRPr="00C410BC">
        <w:rPr>
          <w:rStyle w:val="aff4"/>
          <w:rFonts w:hint="cs"/>
          <w:vanish/>
          <w:rtl/>
        </w:rPr>
        <w:t>-</w:t>
      </w:r>
      <w:r w:rsidRPr="00E556E2">
        <w:rPr>
          <w:rStyle w:val="aff4"/>
          <w:rFonts w:hint="cs"/>
          <w:rtl/>
        </w:rPr>
        <w:t>התוס'</w:t>
      </w:r>
      <w:r>
        <w:rPr>
          <w:rFonts w:hint="cs"/>
          <w:rtl/>
        </w:rPr>
        <w:t xml:space="preserve"> </w:t>
      </w:r>
      <w:r w:rsidRPr="00E556E2">
        <w:rPr>
          <w:rStyle w:val="aff4"/>
          <w:rFonts w:hint="cs"/>
          <w:rtl/>
        </w:rPr>
        <w:t>לקמן</w:t>
      </w:r>
      <w:r w:rsidRPr="00C410BC">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Ref135404755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כט)</w:t>
      </w:r>
      <w:r>
        <w:rPr>
          <w:rStyle w:val="af2"/>
          <w:rFonts w:eastAsia="Guttman Hodes"/>
          <w:rtl/>
        </w:rPr>
        <w:fldChar w:fldCharType="end"/>
      </w:r>
      <w:r>
        <w:rPr>
          <w:rFonts w:hint="cs"/>
          <w:rtl/>
        </w:rPr>
        <w:t xml:space="preserve"> דאילן שיבש כולו אינו תלוש, וע"ע במה שביאר </w:t>
      </w:r>
      <w:r w:rsidRPr="00C65D8D">
        <w:rPr>
          <w:rStyle w:val="aff4"/>
          <w:rFonts w:hint="cs"/>
          <w:rtl/>
        </w:rPr>
        <w:t>ה</w:t>
      </w:r>
      <w:r>
        <w:rPr>
          <w:rStyle w:val="aff4"/>
          <w:rFonts w:hint="cs"/>
          <w:vanish/>
          <w:rtl/>
        </w:rPr>
        <w:t>&lt; &gt;</w:t>
      </w:r>
      <w:r w:rsidRPr="00C65D8D">
        <w:rPr>
          <w:rStyle w:val="aff4"/>
          <w:rFonts w:hint="cs"/>
          <w:rtl/>
        </w:rPr>
        <w:t>נשמת אדם</w:t>
      </w:r>
      <w:r w:rsidRPr="00C65D8D">
        <w:rPr>
          <w:rStyle w:val="aff4"/>
          <w:rFonts w:hint="cs"/>
          <w:vanish/>
          <w:rtl/>
        </w:rPr>
        <w:t>-</w:t>
      </w:r>
      <w:r>
        <w:rPr>
          <w:rFonts w:hint="cs"/>
          <w:rtl/>
        </w:rPr>
        <w:t xml:space="preserve"> </w:t>
      </w:r>
      <w:r w:rsidRPr="00FB451D">
        <w:rPr>
          <w:rStyle w:val="af2"/>
          <w:rFonts w:eastAsia="Guttman Hodes" w:hint="cs"/>
          <w:rtl/>
        </w:rPr>
        <w:t>(כלל י"ב ב' ד"ה ואיך)</w:t>
      </w:r>
      <w:r w:rsidRPr="00C65D8D">
        <w:rPr>
          <w:rFonts w:hint="cs"/>
          <w:vanish/>
          <w:rtl/>
        </w:rPr>
        <w:t>=</w:t>
      </w:r>
      <w:r>
        <w:rPr>
          <w:rFonts w:hint="cs"/>
          <w:rtl/>
        </w:rPr>
        <w:t>.</w:t>
      </w:r>
      <w:bookmarkEnd w:id="1540"/>
    </w:p>
    <w:p w14:paraId="77E1C6EC" w14:textId="77777777" w:rsidR="000426DE" w:rsidRPr="00747170" w:rsidRDefault="000426DE" w:rsidP="00747170">
      <w:pPr>
        <w:pStyle w:val="a2"/>
      </w:pPr>
      <w:r w:rsidRPr="00747170">
        <w:rPr>
          <w:rtl/>
        </w:rPr>
        <w:t>וכתב הראב"ד פ"ב מטו"א דדוקא ביבשו או צמקו הפירות אבל יבש האילן ולא הפירות פירותיו כממוברין ונראה הטעם דפירות שיבשו לעולם אין חוזרין לצמוח וכן יבשו העוקצין אינן חוזרין אבל יבש האילן אפשר לחזור כדכתיב איוב י"ד ימות בארץ גזעו מריח מים יפריח וגו' אע"ג דאמר עירובין ק' ב' דיבש היינו אין גזעו מחליף היינו שאין לאפוקי בידוע טבעו ליבש ולחזור אבל גם כל יבש אפשר לחזור א"נ הפירות שיבשו עומדות לינטל ומשיב כתלוש אבל אין האילן עומד ליעקר וחשיב עדיין מחובר ולדעת הראב"ד הא דאמר עירובין שם נתרי פירי נתרי קינסי היינו משום דאיירי באילן יבש ולא בפירות יבשין מיהו מדברי הראב"ד שם נראה דלא מצא סתירה בגמ' לדעת הר"מ לכן נראה דבגמ' פריך אף בפירות יבשין וכמש"כ רש"י ו</w:t>
      </w:r>
      <w:r w:rsidRPr="00747170">
        <w:rPr>
          <w:rFonts w:hint="cs"/>
          <w:rtl/>
        </w:rPr>
        <w:t>ת</w:t>
      </w:r>
      <w:r w:rsidRPr="00747170">
        <w:rPr>
          <w:rtl/>
        </w:rPr>
        <w:t>וס' מיהו התוס' שבת ק"נ ב' ד"ה במחובר כתבו דהא דאמר נתרי פירי באילן יבש היינו ביבשו הן בלא עוקציהן ואין כונתם ביבשו הפירות בלא עוקציהן דהא באילן יבש איירי בעירובין ומבואר מדבריהם כדעת הראב"ד דיבש האילן אכתי הפירות כמחוברין</w:t>
      </w:r>
      <w:r w:rsidRPr="00747170">
        <w:rPr>
          <w:rFonts w:hint="cs"/>
          <w:rtl/>
        </w:rPr>
        <w:t>.</w:t>
      </w:r>
    </w:p>
    <w:p w14:paraId="2B994BF0" w14:textId="77777777" w:rsidR="000426DE" w:rsidRPr="00D578AC" w:rsidRDefault="000426DE" w:rsidP="00747170">
      <w:pPr>
        <w:pStyle w:val="afffff5"/>
      </w:pPr>
      <w:r w:rsidRPr="00D578AC">
        <w:rPr>
          <w:rtl/>
        </w:rPr>
        <w:t>והא דתניא חולין קכ"ז ב' אילן שנפשח כו' יבשו הרי הן כמחוברין</w:t>
      </w:r>
      <w:r w:rsidRPr="00D578AC">
        <w:rPr>
          <w:rFonts w:hint="cs"/>
          <w:rtl/>
        </w:rPr>
        <w:t>,</w:t>
      </w:r>
      <w:r w:rsidRPr="00D578AC">
        <w:rPr>
          <w:rtl/>
        </w:rPr>
        <w:t xml:space="preserve"> היינו יבשו הפירות ולכך פריך התם מה תלושין כו' אף מחוברים לכל דבריהם אבל אי מפרשינן לה אאילן לא פריך מידי דהא אה"נ דהוא מחובר אף לענין טו"א והא דלא מוקי לה ביבש האילן דקתני יבשו בל' רבים והא דלא קתני באמת בברייתא יבש האילן דזה פשיטא ואשמעינן דאף ביבשו פירי הוי כמחובר לענין שבת</w:t>
      </w:r>
      <w:r w:rsidRPr="00D578AC">
        <w:rPr>
          <w:rFonts w:hint="cs"/>
          <w:rtl/>
        </w:rPr>
        <w:t>.</w:t>
      </w:r>
    </w:p>
    <w:p w14:paraId="330307EF" w14:textId="77777777" w:rsidR="000426DE" w:rsidRDefault="000426DE" w:rsidP="000426DE">
      <w:pPr>
        <w:pStyle w:val="1"/>
        <w:rPr>
          <w:rtl/>
        </w:rPr>
      </w:pPr>
      <w:bookmarkStart w:id="1541" w:name="_Toc139316368"/>
      <w:r>
        <w:rPr>
          <w:rFonts w:hint="cs"/>
          <w:rtl/>
        </w:rPr>
        <w:t>הבי' ברמב"ם דפירות שיבשו כמחובר אך ביבש האילן כתלוש</w:t>
      </w:r>
      <w:bookmarkEnd w:id="1541"/>
    </w:p>
    <w:p w14:paraId="16543C2F" w14:textId="77777777" w:rsidR="000426DE" w:rsidRDefault="000426DE" w:rsidP="000426DE">
      <w:pPr>
        <w:pStyle w:val="afffff7"/>
        <w:rPr>
          <w:rtl/>
        </w:rPr>
      </w:pPr>
      <w:bookmarkStart w:id="1542" w:name="_Toc135513712"/>
      <w:bookmarkStart w:id="1543" w:name="_Toc163505637"/>
      <w:r>
        <w:rPr>
          <w:rtl/>
        </w:rPr>
        <w:t>באור הלכה סי</w:t>
      </w:r>
      <w:r>
        <w:rPr>
          <w:rFonts w:hint="cs"/>
          <w:rtl/>
        </w:rPr>
        <w:t>'</w:t>
      </w:r>
      <w:r>
        <w:rPr>
          <w:rtl/>
        </w:rPr>
        <w:t xml:space="preserve"> שלו סעיף יב ד"ה חייב</w:t>
      </w:r>
      <w:bookmarkEnd w:id="1542"/>
      <w:bookmarkEnd w:id="1543"/>
    </w:p>
    <w:p w14:paraId="3895A12E" w14:textId="77777777" w:rsidR="000426DE" w:rsidRPr="00747170" w:rsidRDefault="000426DE" w:rsidP="00747170">
      <w:pPr>
        <w:pStyle w:val="a2"/>
      </w:pPr>
      <w:r w:rsidRPr="00747170">
        <w:rPr>
          <w:rtl/>
        </w:rPr>
        <w:t xml:space="preserve">* חייב - דע דיש פלוגתא בין הפוסקים יש אומרים דאפילו יבשו הפירות הן ועוקציהן וכן ה"ה יבש האילן אפילו לגמרי דהיינו שאין גזעו מחליף [וכמבואר בפרק בתרא דעירובין] אפ"ה חייב כיון דעכ"פ האילן מחובר וכן ה"ה הפירות נמי מחוברים באילן [רמב"ם וכפי מה שמפרש אותו המ"א וכן בנשמת אדם עי"ש באריכות] והרבה פוסקים [רש"י ותוס' שבת ק"נ ע"ב ד"ה במחובר והרשב"א בחידושיו ודעת א"ר ותו"ש שגם הרמב"ם סובר כן] ס"ל דלא מחייב רק ביבשו הפירות ועוקציהן עדיין לח [ובזה אפשר דחייב אפילו יתלוש מעט מן גוף הפרי היבש] או יבש האילן ועדיין גזעו מחליף אבל אם יבשו לגמרי פטור על הפירות ועל האילן דכתלושין דמיא </w:t>
      </w:r>
      <w:r w:rsidRPr="00747170">
        <w:rPr>
          <w:rStyle w:val="afff7"/>
          <w:rtl/>
        </w:rPr>
        <w:t>ועיין במ"ב מש"כ בשם המ"א לענין עשבים יבשים דלכו"ע היינו אף לדעת הרמב"ם פטור ומ"מ פשוט דאם הוא ארעא דידיה והוא שדה דלאו אגם שמתיפה הקרקע עי"ז חייב משום חורש אפילו על תלישת עשבים כל שהוא ואף על גב דלא מיכוין ליפות פסיק רישא הוא וכדאיתא בהדיא בשבת ק"ג וד"ז העתיקו ג"כ התוספות בשבת ק"נ ע"ב לענין תלישת קש ע"ש וכן הרשב"א שם בחידושיו ומה שסתם הרב מ"א בענין זה משום דהוא איירי רק לענין קצירה ונ"מ בארעא דלאו דידיה או באגם שאינו צריך ליפות. ומש"כ דאיסור דרבנן יש בודאי הוא ממה שכתב הרשב"א שם בחידושיו דהא מזיז העפר ואין להקשות הרי גם בטומן לפת וצנון תחת הקרקע והובא בס"ח שמותר אף על פי שמזיז העפר משום דהוי טלטול מהצד וכדאיתא בדף נ' ע"ב ע"ש דז"א דהלא שם כתבו הפוסקים דבעינן דוקא הטומן משום שלא נתכוין לזריעה אבל כשנתכוין לזריעה אף על פי שלא השרישו אסור עכ"פ מדרבנן להוציאן משום דמחזי כתולש וה"נ לא עדיפא מהתם ולישנא דרשב"א דכתב הטעם משום דמזיז העפר דחוק קצת לפ"ז דלפי דברינו יש ע"ז עצם האיסור:</w:t>
      </w:r>
    </w:p>
    <w:p w14:paraId="5F552DD6" w14:textId="77777777" w:rsidR="000426DE" w:rsidRPr="009F3082" w:rsidRDefault="000426DE" w:rsidP="000426DE">
      <w:pPr>
        <w:pStyle w:val="afffff7"/>
        <w:rPr>
          <w:vanish/>
          <w:rtl/>
        </w:rPr>
      </w:pPr>
      <w:bookmarkStart w:id="1544" w:name="_Toc135513713"/>
      <w:r w:rsidRPr="009F3082">
        <w:rPr>
          <w:vanish/>
          <w:rtl/>
        </w:rPr>
        <w:t>עולת שבת על שו"ע או"ח סי' של"ו י"ב</w:t>
      </w:r>
      <w:r w:rsidRPr="009F3082">
        <w:rPr>
          <w:rFonts w:hint="cs"/>
          <w:vanish/>
          <w:rtl/>
        </w:rPr>
        <w:t xml:space="preserve"> סק"ט</w:t>
      </w:r>
      <w:bookmarkEnd w:id="1544"/>
    </w:p>
    <w:p w14:paraId="61CC598F" w14:textId="77777777" w:rsidR="000426DE" w:rsidRPr="00D578AC" w:rsidRDefault="000426DE" w:rsidP="00747170">
      <w:pPr>
        <w:pStyle w:val="afffff5"/>
        <w:rPr>
          <w:rtl/>
        </w:rPr>
      </w:pPr>
      <w:r w:rsidRPr="00D578AC">
        <w:rPr>
          <w:rtl/>
        </w:rPr>
        <w:t>ט תאנים שיבשו וכו'. גם זה לשון הרמב"ם שם [פכ"א ה"ד]. וצ"ע דבסוף עירובין [ק ע"ב] גרסינן תני חדא אסור לאדם שיהלך על גבי עשבים ותניא אידך מותר, לא קשיא הא בלחים הא ביבשים, ופירש רש"י ז"ל דיבשים כתלושין וליכא למיחש שמא יתלוש, ודוחק לומר דיש חילוק בין עשבים לאילנות. וגם דברי המחבר אינו מדוקדק לפי מ"ש כאן ופסק כדברי הרמב"ם, א"כ מאי האי דכתב לעיל בסעיף ג' מותר לילך על גבי עשבים בין לחים ובין יבשים, דמה לי לחים ומה לי יבשים, אלא ודאי דסבירא ליה דביבשים ליכא משום תולש וזו ואין צריך לומר זו קתני ודוק:</w:t>
      </w:r>
    </w:p>
    <w:p w14:paraId="7794B596" w14:textId="77777777" w:rsidR="000426DE" w:rsidRDefault="000426DE" w:rsidP="000426DE">
      <w:pPr>
        <w:pStyle w:val="afffff7"/>
      </w:pPr>
      <w:bookmarkStart w:id="1545" w:name="_Toc135513714"/>
      <w:bookmarkStart w:id="1546" w:name="_Toc163505638"/>
      <w:r>
        <w:rPr>
          <w:rtl/>
        </w:rPr>
        <w:t>אליה רבה סי' של</w:t>
      </w:r>
      <w:r>
        <w:rPr>
          <w:rFonts w:hint="cs"/>
          <w:rtl/>
        </w:rPr>
        <w:t>"</w:t>
      </w:r>
      <w:r>
        <w:rPr>
          <w:rtl/>
        </w:rPr>
        <w:t>ו</w:t>
      </w:r>
      <w:r>
        <w:rPr>
          <w:rFonts w:hint="cs"/>
          <w:rtl/>
        </w:rPr>
        <w:t xml:space="preserve"> סק</w:t>
      </w:r>
      <w:r>
        <w:rPr>
          <w:rtl/>
        </w:rPr>
        <w:t>ט</w:t>
      </w:r>
      <w:r>
        <w:rPr>
          <w:rFonts w:hint="cs"/>
          <w:rtl/>
        </w:rPr>
        <w:t>"</w:t>
      </w:r>
      <w:r>
        <w:rPr>
          <w:rtl/>
        </w:rPr>
        <w:t>ז</w:t>
      </w:r>
      <w:bookmarkEnd w:id="1545"/>
      <w:bookmarkEnd w:id="1546"/>
    </w:p>
    <w:p w14:paraId="1F073840" w14:textId="77777777" w:rsidR="000426DE" w:rsidRDefault="000426DE" w:rsidP="000426DE">
      <w:pPr>
        <w:pStyle w:val="a7"/>
        <w:rPr>
          <w:rtl/>
        </w:rPr>
      </w:pPr>
      <w:bookmarkStart w:id="1547" w:name="_Toc139316369"/>
      <w:r>
        <w:rPr>
          <w:rFonts w:hint="cs"/>
          <w:rtl/>
        </w:rPr>
        <w:t>בי' העו"ש והא"ר דאף להרמב"ם אילן שיבש כולו הוא כתלוש דדוחק לחלק בין אילן לעשבים</w:t>
      </w:r>
      <w:bookmarkEnd w:id="1547"/>
    </w:p>
    <w:p w14:paraId="7305B35B" w14:textId="314321CE" w:rsidR="000426DE" w:rsidRDefault="000426DE" w:rsidP="00BC7DC8">
      <w:pPr>
        <w:pStyle w:val="a3"/>
        <w:rPr>
          <w:rtl/>
        </w:rPr>
      </w:pPr>
      <w:bookmarkStart w:id="1548" w:name="_Ref134610236"/>
      <w:bookmarkStart w:id="1549" w:name="_Ref135403591"/>
      <w:r>
        <w:rPr>
          <w:rFonts w:hint="cs"/>
          <w:rtl/>
        </w:rPr>
        <w:t xml:space="preserve">כתב </w:t>
      </w:r>
      <w:r w:rsidRPr="00C65D8D">
        <w:rPr>
          <w:rStyle w:val="aff4"/>
          <w:rFonts w:hint="cs"/>
          <w:vanish/>
          <w:rtl/>
        </w:rPr>
        <w:t>-</w:t>
      </w:r>
      <w:r w:rsidRPr="00C65D8D">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Ref134610236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מא)</w:t>
      </w:r>
      <w:r w:rsidRPr="00B53404">
        <w:rPr>
          <w:rStyle w:val="aff4"/>
          <w:vanish/>
          <w:rtl/>
        </w:rPr>
        <w:fldChar w:fldCharType="end"/>
      </w:r>
      <w:r w:rsidRPr="00B53404">
        <w:rPr>
          <w:rStyle w:val="aff4"/>
          <w:rFonts w:hint="cs"/>
          <w:vanish/>
          <w:rtl/>
        </w:rPr>
        <w:t xml:space="preserve"> &gt;</w:t>
      </w:r>
      <w:r w:rsidRPr="00C65D8D">
        <w:rPr>
          <w:rStyle w:val="aff4"/>
          <w:rFonts w:hint="cs"/>
          <w:rtl/>
        </w:rPr>
        <w:t>ביה"ל</w:t>
      </w:r>
      <w:r w:rsidRPr="00C65D8D">
        <w:rPr>
          <w:rStyle w:val="aff4"/>
          <w:rFonts w:hint="cs"/>
          <w:vanish/>
          <w:rtl/>
        </w:rPr>
        <w:t>-</w:t>
      </w:r>
      <w:r>
        <w:rPr>
          <w:rFonts w:hint="cs"/>
          <w:rtl/>
        </w:rPr>
        <w:t xml:space="preserve"> </w:t>
      </w:r>
      <w:r w:rsidRPr="00FB451D">
        <w:rPr>
          <w:rStyle w:val="af2"/>
          <w:rFonts w:eastAsia="Guttman Hodes" w:hint="cs"/>
          <w:rtl/>
        </w:rPr>
        <w:t>(סי' של"ו י"ב ד"ה חייב)</w:t>
      </w:r>
      <w:r w:rsidRPr="00C65D8D">
        <w:rPr>
          <w:rFonts w:hint="cs"/>
          <w:vanish/>
          <w:rtl/>
        </w:rPr>
        <w:t>=</w:t>
      </w:r>
      <w:bookmarkEnd w:id="1548"/>
      <w:r>
        <w:rPr>
          <w:rFonts w:hint="cs"/>
          <w:rtl/>
        </w:rPr>
        <w:t xml:space="preserve"> דמדברי  </w:t>
      </w:r>
      <w:r w:rsidRPr="00C65D8D">
        <w:rPr>
          <w:rStyle w:val="aff4"/>
          <w:rFonts w:hint="cs"/>
          <w:vanish/>
          <w:rtl/>
        </w:rPr>
        <w:t>-</w:t>
      </w:r>
      <w:r w:rsidRPr="00C65D8D">
        <w:rPr>
          <w:rStyle w:val="aff4"/>
          <w:rFonts w:hint="cs"/>
          <w:rtl/>
        </w:rPr>
        <w:t>ה</w:t>
      </w:r>
      <w:r w:rsidRPr="00B53404">
        <w:rPr>
          <w:rStyle w:val="aff4"/>
          <w:rFonts w:hint="cs"/>
          <w:vanish/>
          <w:rtl/>
        </w:rPr>
        <w:t>&lt; &gt;</w:t>
      </w:r>
      <w:r w:rsidRPr="00C65D8D">
        <w:rPr>
          <w:rStyle w:val="aff4"/>
          <w:rFonts w:hint="cs"/>
          <w:rtl/>
        </w:rPr>
        <w:t>עולת שבת</w:t>
      </w:r>
      <w:r w:rsidRPr="00C65D8D">
        <w:rPr>
          <w:rStyle w:val="aff4"/>
          <w:rFonts w:hint="cs"/>
          <w:vanish/>
          <w:rtl/>
        </w:rPr>
        <w:t>-</w:t>
      </w:r>
      <w:r>
        <w:rPr>
          <w:rFonts w:hint="cs"/>
          <w:rtl/>
        </w:rPr>
        <w:t xml:space="preserve"> </w:t>
      </w:r>
      <w:r w:rsidRPr="00FB451D">
        <w:rPr>
          <w:rStyle w:val="af2"/>
          <w:rFonts w:eastAsia="Guttman Hodes" w:hint="cs"/>
          <w:rtl/>
        </w:rPr>
        <w:t>(סי' של"ו סק"ט)</w:t>
      </w:r>
      <w:r w:rsidRPr="00336CB7">
        <w:rPr>
          <w:rFonts w:hint="cs"/>
          <w:vanish/>
          <w:rtl/>
        </w:rPr>
        <w:t xml:space="preserve"> </w:t>
      </w:r>
      <w:r w:rsidRPr="00C65D8D">
        <w:rPr>
          <w:rFonts w:hint="cs"/>
          <w:vanish/>
          <w:rtl/>
        </w:rPr>
        <w:t>=</w:t>
      </w:r>
      <w:r>
        <w:rPr>
          <w:rFonts w:hint="cs"/>
          <w:rtl/>
        </w:rPr>
        <w:t xml:space="preserve"> </w:t>
      </w:r>
      <w:r w:rsidRPr="00C65D8D">
        <w:rPr>
          <w:rStyle w:val="aff4"/>
          <w:rFonts w:hint="cs"/>
          <w:vanish/>
          <w:rtl/>
        </w:rPr>
        <w:t>-</w:t>
      </w:r>
      <w:r w:rsidRPr="00C65D8D">
        <w:rPr>
          <w:rStyle w:val="aff4"/>
          <w:rFonts w:hint="cs"/>
          <w:rtl/>
        </w:rPr>
        <w:t>וה</w:t>
      </w:r>
      <w:r w:rsidRPr="00B53404">
        <w:rPr>
          <w:rStyle w:val="aff4"/>
          <w:rFonts w:hint="cs"/>
          <w:vanish/>
          <w:rtl/>
        </w:rPr>
        <w:t>&lt; &gt;</w:t>
      </w:r>
      <w:r w:rsidRPr="00C65D8D">
        <w:rPr>
          <w:rStyle w:val="aff4"/>
          <w:rFonts w:hint="cs"/>
          <w:rtl/>
        </w:rPr>
        <w:t>אליה רבה</w:t>
      </w:r>
      <w:r w:rsidRPr="00C65D8D">
        <w:rPr>
          <w:rStyle w:val="aff4"/>
          <w:rFonts w:hint="cs"/>
          <w:vanish/>
          <w:rtl/>
        </w:rPr>
        <w:t>-</w:t>
      </w:r>
      <w:r>
        <w:rPr>
          <w:rFonts w:hint="cs"/>
          <w:rtl/>
        </w:rPr>
        <w:t xml:space="preserve"> </w:t>
      </w:r>
      <w:r w:rsidRPr="00FB451D">
        <w:rPr>
          <w:rStyle w:val="af2"/>
          <w:rFonts w:eastAsia="Guttman Hodes" w:hint="cs"/>
          <w:rtl/>
        </w:rPr>
        <w:t>(סי' של"ו סקט"ז)</w:t>
      </w:r>
      <w:r w:rsidRPr="00C65D8D">
        <w:rPr>
          <w:rFonts w:hint="cs"/>
          <w:vanish/>
          <w:rtl/>
        </w:rPr>
        <w:t>=</w:t>
      </w:r>
      <w:r>
        <w:rPr>
          <w:rFonts w:hint="cs"/>
          <w:rtl/>
        </w:rPr>
        <w:t xml:space="preserve"> מבואר דביארו דאף לדעת</w:t>
      </w:r>
      <w:r w:rsidRPr="00D01F53">
        <w:rPr>
          <w:rFonts w:hint="cs"/>
          <w:rtl/>
        </w:rPr>
        <w:t xml:space="preserve"> </w:t>
      </w:r>
      <w:r w:rsidRPr="00C65D8D">
        <w:rPr>
          <w:rStyle w:val="aff4"/>
          <w:rFonts w:hint="cs"/>
          <w:vanish/>
          <w:rtl/>
        </w:rPr>
        <w:t>-</w:t>
      </w:r>
      <w:r w:rsidRPr="00C65D8D">
        <w:rPr>
          <w:rStyle w:val="aff4"/>
          <w:rFonts w:hint="cs"/>
          <w:rtl/>
        </w:rPr>
        <w:t>הרמב"ם</w:t>
      </w:r>
      <w:r w:rsidRPr="00C65D8D">
        <w:rPr>
          <w:rStyle w:val="aff4"/>
          <w:rFonts w:hint="cs"/>
          <w:vanish/>
          <w:rtl/>
        </w:rPr>
        <w:t>-</w:t>
      </w:r>
      <w:r>
        <w:rPr>
          <w:rFonts w:hint="cs"/>
          <w:rtl/>
        </w:rPr>
        <w:t xml:space="preserve"> </w:t>
      </w:r>
      <w:r w:rsidRPr="00FB451D">
        <w:rPr>
          <w:rStyle w:val="af2"/>
          <w:rFonts w:eastAsia="Guttman Hodes" w:hint="cs"/>
          <w:rtl/>
        </w:rPr>
        <w:t xml:space="preserve">(עי' אות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Ref134564918 \r \h</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לד)</w:t>
      </w:r>
      <w:r w:rsidRPr="00FB451D">
        <w:rPr>
          <w:rStyle w:val="af2"/>
          <w:rFonts w:eastAsia="Guttman Hodes"/>
          <w:rtl/>
        </w:rPr>
        <w:fldChar w:fldCharType="end"/>
      </w:r>
      <w:r>
        <w:rPr>
          <w:rFonts w:hint="cs"/>
          <w:rtl/>
        </w:rPr>
        <w:t xml:space="preserve"> יש איסור תולש רק שהפירות יבשו ע"ג העץ, והעץ עצמו אינו יבש, אבל בעץ יבש לגמרי אין בו איסור תולש, </w:t>
      </w:r>
      <w:r w:rsidRPr="007A72D8">
        <w:rPr>
          <w:rStyle w:val="af"/>
          <w:rFonts w:hint="cs"/>
          <w:rtl/>
        </w:rPr>
        <w:t xml:space="preserve">[ודלא כביאור </w:t>
      </w:r>
      <w:r w:rsidRPr="00394B7E">
        <w:rPr>
          <w:rStyle w:val="aff9"/>
          <w:rFonts w:hint="cs"/>
          <w:vanish/>
          <w:rtl/>
        </w:rPr>
        <w:t>-</w:t>
      </w:r>
      <w:r w:rsidRPr="00394B7E">
        <w:rPr>
          <w:rStyle w:val="aff9"/>
          <w:rFonts w:hint="cs"/>
          <w:rtl/>
        </w:rPr>
        <w:t>המג"א</w:t>
      </w:r>
      <w:r w:rsidRPr="00394B7E">
        <w:rPr>
          <w:rStyle w:val="aff9"/>
          <w:rFonts w:hint="cs"/>
          <w:vanish/>
          <w:rtl/>
        </w:rPr>
        <w:t>-</w:t>
      </w:r>
      <w:r w:rsidRPr="007A72D8">
        <w:rPr>
          <w:rStyle w:val="af"/>
          <w:rFonts w:hint="cs"/>
          <w:rtl/>
        </w:rPr>
        <w:t xml:space="preserve"> </w:t>
      </w:r>
      <w:r w:rsidRPr="00394B7E">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Ref135403573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לו)</w:t>
      </w:r>
      <w:r>
        <w:rPr>
          <w:rStyle w:val="aff0"/>
          <w:rtl/>
        </w:rPr>
        <w:fldChar w:fldCharType="end"/>
      </w:r>
      <w:r w:rsidRPr="007A72D8">
        <w:rPr>
          <w:rStyle w:val="af"/>
          <w:rFonts w:hint="cs"/>
          <w:rtl/>
        </w:rPr>
        <w:t xml:space="preserve"> </w:t>
      </w:r>
      <w:r w:rsidRPr="00394B7E">
        <w:rPr>
          <w:rStyle w:val="aff9"/>
          <w:rFonts w:hint="cs"/>
          <w:vanish/>
          <w:rtl/>
        </w:rPr>
        <w:t>-</w:t>
      </w:r>
      <w:r w:rsidRPr="00394B7E">
        <w:rPr>
          <w:rStyle w:val="aff9"/>
          <w:rFonts w:hint="cs"/>
          <w:rtl/>
        </w:rPr>
        <w:t>ברמב"ם</w:t>
      </w:r>
      <w:r w:rsidRPr="00394B7E">
        <w:rPr>
          <w:rStyle w:val="aff9"/>
          <w:rFonts w:hint="cs"/>
          <w:vanish/>
          <w:rtl/>
        </w:rPr>
        <w:t>-</w:t>
      </w:r>
      <w:r w:rsidRPr="007A72D8">
        <w:rPr>
          <w:rStyle w:val="af"/>
          <w:rFonts w:hint="cs"/>
          <w:rtl/>
        </w:rPr>
        <w:t>]</w:t>
      </w:r>
      <w:r w:rsidRPr="00356B6E">
        <w:rPr>
          <w:rStyle w:val="af"/>
          <w:rFonts w:hint="cs"/>
          <w:rtl/>
        </w:rPr>
        <w:t>,</w:t>
      </w:r>
      <w:r>
        <w:rPr>
          <w:rFonts w:hint="cs"/>
          <w:rtl/>
        </w:rPr>
        <w:t xml:space="preserve"> וכדעת </w:t>
      </w:r>
      <w:r w:rsidRPr="00C65D8D">
        <w:rPr>
          <w:rStyle w:val="aff4"/>
          <w:rFonts w:hint="cs"/>
          <w:vanish/>
          <w:rtl/>
        </w:rPr>
        <w:t>-</w:t>
      </w:r>
      <w:r w:rsidRPr="00C65D8D">
        <w:rPr>
          <w:rStyle w:val="aff4"/>
          <w:rFonts w:hint="cs"/>
          <w:rtl/>
        </w:rPr>
        <w:t>רש"י והתוס' לקמן</w:t>
      </w:r>
      <w:r w:rsidRPr="00C65D8D">
        <w:rPr>
          <w:rStyle w:val="aff4"/>
          <w:rFonts w:hint="cs"/>
          <w:vanish/>
          <w:rtl/>
        </w:rPr>
        <w:t>-</w:t>
      </w:r>
      <w:r>
        <w:rPr>
          <w:rFonts w:hint="cs"/>
          <w:rtl/>
        </w:rPr>
        <w:t xml:space="preserve"> </w:t>
      </w:r>
      <w:r w:rsidRPr="00FB451D">
        <w:rPr>
          <w:rStyle w:val="af2"/>
          <w:rFonts w:eastAsia="Guttman Hodes" w:hint="cs"/>
          <w:rtl/>
        </w:rPr>
        <w:t xml:space="preserve">(עי' אות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Ref134565153 \r \h</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כט)</w:t>
      </w:r>
      <w:r w:rsidRPr="00FB451D">
        <w:rPr>
          <w:rStyle w:val="af2"/>
          <w:rFonts w:eastAsia="Guttman Hodes"/>
          <w:rtl/>
        </w:rPr>
        <w:fldChar w:fldCharType="end"/>
      </w:r>
      <w:r>
        <w:rPr>
          <w:rFonts w:hint="cs"/>
          <w:rtl/>
        </w:rPr>
        <w:t xml:space="preserve">, וכתב </w:t>
      </w:r>
      <w:r w:rsidRPr="00B4411F">
        <w:rPr>
          <w:rStyle w:val="aff4"/>
          <w:rFonts w:hint="cs"/>
          <w:vanish/>
          <w:rtl/>
        </w:rPr>
        <w:t>-</w:t>
      </w:r>
      <w:r w:rsidRPr="005C4013">
        <w:rPr>
          <w:rStyle w:val="aff4"/>
          <w:rFonts w:hint="cs"/>
          <w:rtl/>
        </w:rPr>
        <w:t>העולת שבת</w:t>
      </w:r>
      <w:r w:rsidRPr="00B4411F">
        <w:rPr>
          <w:rStyle w:val="aff4"/>
          <w:rFonts w:hint="cs"/>
          <w:vanish/>
          <w:rtl/>
        </w:rPr>
        <w:t>-</w:t>
      </w:r>
      <w:r>
        <w:rPr>
          <w:rFonts w:hint="cs"/>
          <w:rtl/>
        </w:rPr>
        <w:t xml:space="preserve"> דכן מוכח מהא דאמרינן בגמ' בעירובין </w:t>
      </w:r>
      <w:r w:rsidRPr="00FB451D">
        <w:rPr>
          <w:rStyle w:val="af2"/>
          <w:rFonts w:eastAsia="Guttman Hodes" w:hint="cs"/>
          <w:rtl/>
        </w:rPr>
        <w:t>(ק:)</w:t>
      </w:r>
      <w:r>
        <w:rPr>
          <w:rFonts w:hint="cs"/>
          <w:rtl/>
        </w:rPr>
        <w:t xml:space="preserve"> דמותר ללכת ע"ג עשבים, וביאר </w:t>
      </w:r>
      <w:r w:rsidRPr="00B4411F">
        <w:rPr>
          <w:rStyle w:val="aff4"/>
          <w:rFonts w:hint="cs"/>
          <w:vanish/>
          <w:rtl/>
        </w:rPr>
        <w:t>-</w:t>
      </w:r>
      <w:r w:rsidRPr="005C4013">
        <w:rPr>
          <w:rStyle w:val="aff4"/>
          <w:rFonts w:hint="cs"/>
          <w:rtl/>
        </w:rPr>
        <w:t>רש"י בעירובין</w:t>
      </w:r>
      <w:r w:rsidRPr="00B4411F">
        <w:rPr>
          <w:rStyle w:val="aff4"/>
          <w:rFonts w:hint="cs"/>
          <w:vanish/>
          <w:rtl/>
        </w:rPr>
        <w:t>-</w:t>
      </w:r>
      <w:r>
        <w:rPr>
          <w:rFonts w:hint="cs"/>
          <w:rtl/>
        </w:rPr>
        <w:t xml:space="preserve"> </w:t>
      </w:r>
      <w:r w:rsidRPr="00FB451D">
        <w:rPr>
          <w:rStyle w:val="af2"/>
          <w:rFonts w:eastAsia="Guttman Hodes" w:hint="cs"/>
          <w:rtl/>
        </w:rPr>
        <w:t>(ק: ד"ה לחים)</w:t>
      </w:r>
      <w:r>
        <w:rPr>
          <w:rFonts w:hint="cs"/>
          <w:rtl/>
        </w:rPr>
        <w:t xml:space="preserve"> דעשבים יבשים הם כתלושים, וכתב </w:t>
      </w:r>
      <w:r w:rsidRPr="00B4411F">
        <w:rPr>
          <w:rStyle w:val="aff4"/>
          <w:rFonts w:hint="cs"/>
          <w:vanish/>
          <w:rtl/>
        </w:rPr>
        <w:t>-</w:t>
      </w:r>
      <w:r w:rsidRPr="005C4013">
        <w:rPr>
          <w:rStyle w:val="aff4"/>
          <w:rFonts w:hint="cs"/>
          <w:rtl/>
        </w:rPr>
        <w:t>העולת שבת</w:t>
      </w:r>
      <w:r w:rsidRPr="00B4411F">
        <w:rPr>
          <w:rStyle w:val="aff4"/>
          <w:rFonts w:hint="cs"/>
          <w:vanish/>
          <w:rtl/>
        </w:rPr>
        <w:t>-</w:t>
      </w:r>
      <w:r>
        <w:rPr>
          <w:rFonts w:hint="cs"/>
          <w:rtl/>
        </w:rPr>
        <w:t xml:space="preserve"> דדוחק לחלק בין אילן לעשבים, וכעי"ז כתב </w:t>
      </w:r>
      <w:r w:rsidRPr="00C65D8D">
        <w:rPr>
          <w:rStyle w:val="aff4"/>
          <w:rFonts w:hint="cs"/>
          <w:vanish/>
          <w:rtl/>
        </w:rPr>
        <w:t>-</w:t>
      </w:r>
      <w:r>
        <w:rPr>
          <w:rStyle w:val="aff4"/>
          <w:rFonts w:hint="cs"/>
          <w:rtl/>
        </w:rPr>
        <w:t>ה</w:t>
      </w:r>
      <w:r w:rsidRPr="00C65D8D">
        <w:rPr>
          <w:rStyle w:val="aff4"/>
          <w:rFonts w:hint="cs"/>
          <w:rtl/>
        </w:rPr>
        <w:t>דבר אברהם</w:t>
      </w:r>
      <w:r w:rsidRPr="00C65D8D">
        <w:rPr>
          <w:rStyle w:val="aff4"/>
          <w:rFonts w:hint="cs"/>
          <w:vanish/>
          <w:rtl/>
        </w:rPr>
        <w:t>-</w:t>
      </w:r>
      <w:r>
        <w:rPr>
          <w:rFonts w:hint="cs"/>
          <w:rtl/>
        </w:rPr>
        <w:t xml:space="preserve"> </w:t>
      </w:r>
      <w:r w:rsidRPr="00E10845">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rPr>
        <w:instrText>REF</w:instrText>
      </w:r>
      <w:r>
        <w:rPr>
          <w:rStyle w:val="af2"/>
          <w:rFonts w:eastAsia="Guttman Hodes"/>
          <w:rtl/>
        </w:rPr>
        <w:instrText xml:space="preserve"> _</w:instrText>
      </w:r>
      <w:r>
        <w:rPr>
          <w:rStyle w:val="af2"/>
          <w:rFonts w:eastAsia="Guttman Hodes"/>
        </w:rPr>
        <w:instrText>Ref135403912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קטז)</w:t>
      </w:r>
      <w:r>
        <w:rPr>
          <w:rStyle w:val="af2"/>
          <w:rFonts w:eastAsia="Guttman Hodes"/>
          <w:rtl/>
        </w:rPr>
        <w:fldChar w:fldCharType="end"/>
      </w:r>
      <w:r>
        <w:rPr>
          <w:rFonts w:hint="cs"/>
          <w:rtl/>
        </w:rPr>
        <w:t>.</w:t>
      </w:r>
      <w:bookmarkEnd w:id="1549"/>
    </w:p>
    <w:p w14:paraId="3CBEAE88" w14:textId="77777777" w:rsidR="000426DE" w:rsidRPr="00D578AC" w:rsidRDefault="000426DE" w:rsidP="00747170">
      <w:pPr>
        <w:pStyle w:val="afffff5"/>
      </w:pPr>
      <w:r w:rsidRPr="00D578AC">
        <w:rPr>
          <w:rtl/>
        </w:rPr>
        <w:t>שיבשו וכו'. כתב עולת שבת [סק"ט] צ"ע דבסוף עירובין [ק ע"ב] פירש"י עשבים יבשין כתלושין, וכן משמע מסעיף ג' מותר לילך וכו' בין לחים בין יבשים, דמה לי לחים מה לי יבשים, אלא דס"ל דביבשים ליכא משום תולש [וזו ואין צריך לומר זו קתני], ודוחק לחלק בין עשבים לאילנות ע"כ. ותמהני דיותר הו"ל להקשות מעירובין דף ק' [ע"א] דמפורש בש"ס ובפירש"י שם דאילן יבש הוא כתלוש, ויותר תימא על מג"א [ס"ק יד] דמחלק בין עשבים לאילן, גם על מ"ש ריש סי' זה קשה. אלא נ"ל דמעיקרא לק"מ, דודאי אילן יבש נמי כתלוש, אלא דהכא מיירי באילן לח רק שהפירות נתייבשו, וכן מצאתי בחולין דף קכ"ז [ע"ב] בש"ס ופרש"י שם:</w:t>
      </w:r>
    </w:p>
    <w:p w14:paraId="7A3A76A3" w14:textId="77777777" w:rsidR="000426DE" w:rsidRDefault="000426DE" w:rsidP="000426DE">
      <w:pPr>
        <w:pStyle w:val="afffff7"/>
        <w:rPr>
          <w:rtl/>
        </w:rPr>
      </w:pPr>
      <w:bookmarkStart w:id="1550" w:name="_Toc135513715"/>
      <w:bookmarkStart w:id="1551" w:name="_Toc163505639"/>
      <w:r>
        <w:rPr>
          <w:rtl/>
        </w:rPr>
        <w:t>מגן אברהם סימן שלו ס"ק יד</w:t>
      </w:r>
      <w:bookmarkEnd w:id="1550"/>
      <w:bookmarkEnd w:id="1551"/>
    </w:p>
    <w:p w14:paraId="2FE64640" w14:textId="77777777" w:rsidR="000426DE" w:rsidRDefault="000426DE" w:rsidP="000426DE">
      <w:pPr>
        <w:pStyle w:val="a7"/>
        <w:rPr>
          <w:rtl/>
        </w:rPr>
      </w:pPr>
      <w:bookmarkStart w:id="1552" w:name="_Toc139316370"/>
      <w:r>
        <w:rPr>
          <w:rFonts w:hint="cs"/>
          <w:rtl/>
        </w:rPr>
        <w:t>בי' המג"א דבעשבים יבשים אף הרמב"ם מודה דהם כתלושים ולא דמו עשבים לאילן דכמחובר</w:t>
      </w:r>
      <w:bookmarkEnd w:id="1552"/>
    </w:p>
    <w:p w14:paraId="3021C29E" w14:textId="52340D7C" w:rsidR="000426DE" w:rsidRPr="00933E36" w:rsidRDefault="000426DE" w:rsidP="00BC7DC8">
      <w:pPr>
        <w:pStyle w:val="a3"/>
        <w:rPr>
          <w:rtl/>
        </w:rPr>
      </w:pPr>
      <w:bookmarkStart w:id="1553" w:name="_Ref135385845"/>
      <w:r>
        <w:rPr>
          <w:rFonts w:hint="cs"/>
          <w:rtl/>
        </w:rPr>
        <w:t xml:space="preserve">אבל </w:t>
      </w:r>
      <w:r w:rsidRPr="00B4411F">
        <w:rPr>
          <w:rStyle w:val="aff4"/>
          <w:rFonts w:hint="cs"/>
          <w:vanish/>
          <w:rtl/>
        </w:rPr>
        <w:t>-</w:t>
      </w:r>
      <w:r w:rsidRPr="005C4013">
        <w:rPr>
          <w:rStyle w:val="aff4"/>
          <w:rFonts w:hint="cs"/>
          <w:rtl/>
        </w:rPr>
        <w:t>ה</w:t>
      </w:r>
      <w:r w:rsidRPr="00B4411F">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Ref135385845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מב)</w:t>
      </w:r>
      <w:r>
        <w:rPr>
          <w:rStyle w:val="aff4"/>
          <w:vanish/>
          <w:rtl/>
        </w:rPr>
        <w:fldChar w:fldCharType="end"/>
      </w:r>
      <w:r w:rsidRPr="00B4411F">
        <w:rPr>
          <w:rStyle w:val="aff4"/>
          <w:rFonts w:hint="cs"/>
          <w:vanish/>
          <w:rtl/>
        </w:rPr>
        <w:t xml:space="preserve"> &gt;</w:t>
      </w:r>
      <w:r w:rsidRPr="005C4013">
        <w:rPr>
          <w:rStyle w:val="aff4"/>
          <w:rFonts w:hint="cs"/>
          <w:rtl/>
        </w:rPr>
        <w:t>מג"א</w:t>
      </w:r>
      <w:r w:rsidRPr="00B4411F">
        <w:rPr>
          <w:rStyle w:val="aff4"/>
          <w:rFonts w:hint="cs"/>
          <w:vanish/>
          <w:rtl/>
        </w:rPr>
        <w:t>-</w:t>
      </w:r>
      <w:r>
        <w:rPr>
          <w:rFonts w:hint="cs"/>
          <w:rtl/>
        </w:rPr>
        <w:t xml:space="preserve"> </w:t>
      </w:r>
      <w:r w:rsidRPr="00FB451D">
        <w:rPr>
          <w:rStyle w:val="af2"/>
          <w:rFonts w:eastAsia="Guttman Hodes" w:hint="cs"/>
          <w:rtl/>
        </w:rPr>
        <w:t>(סי' של"ו סקי"ד)</w:t>
      </w:r>
      <w:r w:rsidRPr="00B4411F">
        <w:rPr>
          <w:rFonts w:hint="cs"/>
          <w:vanish/>
          <w:rtl/>
        </w:rPr>
        <w:t>=</w:t>
      </w:r>
      <w:r>
        <w:rPr>
          <w:rFonts w:hint="cs"/>
          <w:rtl/>
        </w:rPr>
        <w:t xml:space="preserve"> כתב דבעשבים יבשים כו"ע מודו דהם כתלושים דמי, ולא דמי לאילן, ודלא </w:t>
      </w:r>
      <w:r w:rsidRPr="00B4411F">
        <w:rPr>
          <w:rStyle w:val="aff4"/>
          <w:rFonts w:hint="cs"/>
          <w:vanish/>
          <w:rtl/>
        </w:rPr>
        <w:t>-</w:t>
      </w:r>
      <w:r w:rsidRPr="005C4013">
        <w:rPr>
          <w:rStyle w:val="aff4"/>
          <w:rFonts w:hint="cs"/>
          <w:rtl/>
        </w:rPr>
        <w:t>העולת שבת</w:t>
      </w:r>
      <w:r w:rsidRPr="00B4411F">
        <w:rPr>
          <w:rStyle w:val="aff4"/>
          <w:rFonts w:hint="cs"/>
          <w:vanish/>
          <w:rtl/>
        </w:rPr>
        <w:t>-</w:t>
      </w:r>
      <w:r>
        <w:rPr>
          <w:rFonts w:hint="cs"/>
          <w:rtl/>
        </w:rPr>
        <w:t xml:space="preserve"> כתב דאין לחלק בין אילן לעשבים.</w:t>
      </w:r>
      <w:bookmarkEnd w:id="1553"/>
      <w:r>
        <w:rPr>
          <w:rFonts w:hint="cs"/>
          <w:rtl/>
        </w:rPr>
        <w:t xml:space="preserve"> </w:t>
      </w:r>
    </w:p>
    <w:p w14:paraId="1A33F82C" w14:textId="77777777" w:rsidR="000426DE" w:rsidRPr="00747170" w:rsidRDefault="000426DE" w:rsidP="00747170">
      <w:pPr>
        <w:pStyle w:val="a2"/>
      </w:pPr>
      <w:r w:rsidRPr="00747170">
        <w:rPr>
          <w:rtl/>
        </w:rPr>
        <w:t>התולש. ונ"ל דבעשבים יבשים כ"ע מודי' דכתלושין דמי דלא כע"ש:</w:t>
      </w:r>
    </w:p>
    <w:p w14:paraId="56C4827B" w14:textId="77777777" w:rsidR="000426DE" w:rsidRDefault="000426DE" w:rsidP="000426DE">
      <w:pPr>
        <w:pStyle w:val="affff5"/>
      </w:pPr>
      <w:bookmarkStart w:id="1554" w:name="_Toc139316371"/>
      <w:bookmarkEnd w:id="1521"/>
      <w:r w:rsidRPr="00716C93">
        <w:rPr>
          <w:rFonts w:hint="cs"/>
          <w:rtl/>
        </w:rPr>
        <w:t>~~~~~~~~~~~~~~~~~~~~~~~~~~~~</w:t>
      </w:r>
      <w:bookmarkEnd w:id="1554"/>
      <w:r w:rsidRPr="002439C9">
        <w:rPr>
          <w:vanish/>
          <w:rtl/>
        </w:rPr>
        <w:t>&lt; # =</w:t>
      </w:r>
    </w:p>
    <w:p w14:paraId="4BCE81FF" w14:textId="77777777" w:rsidR="000426DE" w:rsidRDefault="000426DE" w:rsidP="000426DE">
      <w:pPr>
        <w:pStyle w:val="affff5"/>
        <w:rPr>
          <w:rtl/>
        </w:rPr>
      </w:pPr>
      <w:bookmarkStart w:id="1555" w:name="_Toc139316372"/>
      <w:r>
        <w:rPr>
          <w:rFonts w:hint="cs"/>
          <w:rtl/>
        </w:rPr>
        <w:t>אי קוצר ונוטע בעציץ נקוב דאו' או דרבנן</w:t>
      </w:r>
      <w:bookmarkEnd w:id="1555"/>
      <w:r w:rsidRPr="002439C9">
        <w:rPr>
          <w:vanish/>
          <w:rtl/>
        </w:rPr>
        <w:t>&lt; # =</w:t>
      </w:r>
    </w:p>
    <w:p w14:paraId="4C5E0142" w14:textId="77777777" w:rsidR="000426DE" w:rsidRDefault="000426DE" w:rsidP="000426DE">
      <w:pPr>
        <w:pStyle w:val="1"/>
        <w:rPr>
          <w:rtl/>
        </w:rPr>
      </w:pPr>
      <w:bookmarkStart w:id="1556" w:name="_Toc139316373"/>
      <w:r>
        <w:rPr>
          <w:rFonts w:hint="cs"/>
          <w:rtl/>
        </w:rPr>
        <w:t>בי' רש"י ותוס' בפרפיסא דתולש רק מדרבנן מדמותר לקנח בו</w:t>
      </w:r>
      <w:bookmarkEnd w:id="1556"/>
    </w:p>
    <w:p w14:paraId="4D6310DA" w14:textId="77777777" w:rsidR="000426DE" w:rsidRDefault="000426DE" w:rsidP="000426DE">
      <w:pPr>
        <w:pStyle w:val="afffff7"/>
        <w:rPr>
          <w:rtl/>
        </w:rPr>
      </w:pPr>
      <w:bookmarkStart w:id="1557" w:name="_Toc163505640"/>
      <w:r>
        <w:rPr>
          <w:rtl/>
        </w:rPr>
        <w:t>רש"י שבת פ"א ע"ב</w:t>
      </w:r>
      <w:r>
        <w:rPr>
          <w:rFonts w:hint="cs"/>
          <w:rtl/>
        </w:rPr>
        <w:t xml:space="preserve"> ד"ה מדריש לקיש, האי</w:t>
      </w:r>
      <w:r w:rsidRPr="00CF7E2D">
        <w:rPr>
          <w:rtl/>
        </w:rPr>
        <w:t>, שרי</w:t>
      </w:r>
      <w:bookmarkEnd w:id="1557"/>
    </w:p>
    <w:p w14:paraId="6C8A46CC" w14:textId="77777777" w:rsidR="000426DE" w:rsidRDefault="000426DE" w:rsidP="000426DE">
      <w:pPr>
        <w:pStyle w:val="a7"/>
        <w:rPr>
          <w:rtl/>
        </w:rPr>
      </w:pPr>
      <w:bookmarkStart w:id="1558" w:name="_Toc139316374"/>
      <w:r>
        <w:rPr>
          <w:rFonts w:hint="cs"/>
          <w:rtl/>
        </w:rPr>
        <w:t>בי' רש"י דעשבים שגדלו בצרור אין איסור תולש בהגבהתם מהקרקע דהא מותר לקנח בצרור</w:t>
      </w:r>
      <w:bookmarkEnd w:id="1558"/>
    </w:p>
    <w:p w14:paraId="0FCAE484" w14:textId="4ECED9D2" w:rsidR="000426DE" w:rsidRPr="00433064" w:rsidRDefault="000426DE" w:rsidP="00BC7DC8">
      <w:pPr>
        <w:pStyle w:val="a3"/>
        <w:rPr>
          <w:rtl/>
        </w:rPr>
      </w:pPr>
      <w:r>
        <w:rPr>
          <w:rFonts w:hint="cs"/>
          <w:rtl/>
        </w:rPr>
        <w:t xml:space="preserve">בהא דאמר ר"ל בגמ' לקמן </w:t>
      </w:r>
      <w:r w:rsidRPr="00FB451D">
        <w:rPr>
          <w:rStyle w:val="af2"/>
          <w:rFonts w:eastAsia="Guttman Hodes" w:hint="cs"/>
          <w:rtl/>
        </w:rPr>
        <w:t>(פא:)</w:t>
      </w:r>
      <w:r>
        <w:rPr>
          <w:rFonts w:hint="cs"/>
          <w:rtl/>
        </w:rPr>
        <w:t xml:space="preserve"> דצרור שעלו בו עשבים מותר לקנח בו, ואסור לתלוש ממנו, ואמר רב פפי דש"מ דמותר לטלטל פרפיסא, ביאר </w:t>
      </w:r>
      <w:r w:rsidRPr="00B53404">
        <w:rPr>
          <w:rFonts w:hint="cs"/>
          <w:vanish/>
          <w:rtl/>
        </w:rPr>
        <w:t xml:space="preserve">&lt;. </w:t>
      </w:r>
      <w:r w:rsidRPr="00B53404">
        <w:rPr>
          <w:vanish/>
          <w:rtl/>
        </w:rPr>
        <w:fldChar w:fldCharType="begin"/>
      </w:r>
      <w:r w:rsidRPr="00B53404">
        <w:rPr>
          <w:vanish/>
          <w:rtl/>
        </w:rPr>
        <w:instrText xml:space="preserve"> </w:instrText>
      </w:r>
      <w:r w:rsidRPr="00B53404">
        <w:rPr>
          <w:rFonts w:hint="cs"/>
          <w:vanish/>
        </w:rPr>
        <w:instrText>REF</w:instrText>
      </w:r>
      <w:r w:rsidRPr="00B53404">
        <w:rPr>
          <w:rFonts w:hint="cs"/>
          <w:vanish/>
          <w:rtl/>
        </w:rPr>
        <w:instrText xml:space="preserve"> _</w:instrText>
      </w:r>
      <w:r w:rsidRPr="00B53404">
        <w:rPr>
          <w:rFonts w:hint="cs"/>
          <w:vanish/>
        </w:rPr>
        <w:instrText>Ref134734637 \r \h</w:instrText>
      </w:r>
      <w:r w:rsidRPr="00B53404">
        <w:rPr>
          <w:vanish/>
          <w:rtl/>
        </w:rPr>
        <w:instrText xml:space="preserve">  \* </w:instrText>
      </w:r>
      <w:r w:rsidRPr="00B53404">
        <w:rPr>
          <w:vanish/>
        </w:rPr>
        <w:instrText>MERGEFORMAT</w:instrText>
      </w:r>
      <w:r w:rsidRPr="00B53404">
        <w:rPr>
          <w:vanish/>
          <w:rtl/>
        </w:rPr>
        <w:instrText xml:space="preserve"> </w:instrText>
      </w:r>
      <w:r w:rsidRPr="00B53404">
        <w:rPr>
          <w:vanish/>
          <w:rtl/>
        </w:rPr>
      </w:r>
      <w:r w:rsidRPr="00B53404">
        <w:rPr>
          <w:vanish/>
          <w:rtl/>
        </w:rPr>
        <w:fldChar w:fldCharType="separate"/>
      </w:r>
      <w:r w:rsidR="00D82181">
        <w:rPr>
          <w:vanish/>
          <w:cs/>
        </w:rPr>
        <w:t>‎</w:t>
      </w:r>
      <w:r w:rsidR="00D82181">
        <w:rPr>
          <w:vanish/>
          <w:rtl/>
        </w:rPr>
        <w:t>לה)</w:t>
      </w:r>
      <w:r w:rsidRPr="00B53404">
        <w:rPr>
          <w:vanish/>
          <w:rtl/>
        </w:rPr>
        <w:fldChar w:fldCharType="end"/>
      </w:r>
      <w:r w:rsidRPr="00B53404">
        <w:rPr>
          <w:rFonts w:hint="cs"/>
          <w:vanish/>
          <w:rtl/>
        </w:rPr>
        <w:t xml:space="preserve"> &gt;</w:t>
      </w:r>
      <w:r w:rsidRPr="008D113A">
        <w:rPr>
          <w:rStyle w:val="aff4"/>
          <w:rFonts w:hint="cs"/>
          <w:vanish/>
          <w:rtl/>
        </w:rPr>
        <w:t>-</w:t>
      </w:r>
      <w:r w:rsidRPr="000614F7">
        <w:rPr>
          <w:rStyle w:val="aff4"/>
          <w:rFonts w:hint="cs"/>
          <w:rtl/>
        </w:rPr>
        <w:t>רש"י</w:t>
      </w:r>
      <w:r w:rsidRPr="008D113A">
        <w:rPr>
          <w:rStyle w:val="aff4"/>
          <w:rFonts w:hint="cs"/>
          <w:vanish/>
          <w:rtl/>
        </w:rPr>
        <w:t>-</w:t>
      </w:r>
      <w:r>
        <w:rPr>
          <w:rFonts w:hint="cs"/>
          <w:rtl/>
        </w:rPr>
        <w:t xml:space="preserve"> </w:t>
      </w:r>
      <w:r w:rsidRPr="00FB451D">
        <w:rPr>
          <w:rStyle w:val="af2"/>
          <w:rFonts w:eastAsia="Guttman Hodes" w:hint="cs"/>
          <w:rtl/>
        </w:rPr>
        <w:t>(פא: ד"ה מדריש)</w:t>
      </w:r>
      <w:r w:rsidRPr="008D113A">
        <w:rPr>
          <w:rFonts w:hint="cs"/>
          <w:vanish/>
          <w:rtl/>
        </w:rPr>
        <w:t>=</w:t>
      </w:r>
      <w:r>
        <w:rPr>
          <w:rFonts w:hint="cs"/>
          <w:rtl/>
        </w:rPr>
        <w:t xml:space="preserve"> דהיה אפש"ל דהעשבים שעל הצרור הם גדלים מהלחות של הקרקע, וכשהוא מגביה את הצרור מהקרקע הוא תולש, וכיון דמותר לקנח בצרור, א"כ מוכח דאינו תולש בזה, </w:t>
      </w:r>
      <w:r>
        <w:rPr>
          <w:rFonts w:hint="cs"/>
          <w:rtl/>
        </w:rPr>
        <w:lastRenderedPageBreak/>
        <w:t xml:space="preserve">וכתב </w:t>
      </w:r>
      <w:r w:rsidRPr="00B53404">
        <w:rPr>
          <w:rFonts w:hint="cs"/>
          <w:vanish/>
          <w:rtl/>
        </w:rPr>
        <w:t>&lt; &gt;</w:t>
      </w:r>
      <w:r w:rsidRPr="008D113A">
        <w:rPr>
          <w:rStyle w:val="aff4"/>
          <w:rFonts w:hint="cs"/>
          <w:vanish/>
          <w:rtl/>
        </w:rPr>
        <w:t>-</w:t>
      </w:r>
      <w:r w:rsidRPr="000614F7">
        <w:rPr>
          <w:rStyle w:val="aff4"/>
          <w:rFonts w:hint="cs"/>
          <w:rtl/>
        </w:rPr>
        <w:t>רש"י לקמן</w:t>
      </w:r>
      <w:r w:rsidRPr="008D113A">
        <w:rPr>
          <w:rStyle w:val="aff4"/>
          <w:rFonts w:hint="cs"/>
          <w:vanish/>
          <w:rtl/>
        </w:rPr>
        <w:t>-</w:t>
      </w:r>
      <w:r>
        <w:rPr>
          <w:rFonts w:hint="cs"/>
          <w:rtl/>
        </w:rPr>
        <w:t xml:space="preserve"> </w:t>
      </w:r>
      <w:r w:rsidRPr="00FB451D">
        <w:rPr>
          <w:rStyle w:val="af2"/>
          <w:rFonts w:eastAsia="Guttman Hodes" w:hint="cs"/>
          <w:rtl/>
        </w:rPr>
        <w:t>(פא: ד"ה האי, ד"ה שרי)</w:t>
      </w:r>
      <w:r w:rsidRPr="008D113A">
        <w:rPr>
          <w:rFonts w:hint="cs"/>
          <w:vanish/>
          <w:rtl/>
        </w:rPr>
        <w:t>=</w:t>
      </w:r>
      <w:r>
        <w:rPr>
          <w:rFonts w:hint="cs"/>
          <w:rtl/>
        </w:rPr>
        <w:t xml:space="preserve"> דלכן מותר לטלטל את הפרפיסא שהוא עציץ נקוב שזרעו בו, ולא אמרינן דהוא תולש. </w:t>
      </w:r>
    </w:p>
    <w:p w14:paraId="75AD5EB6" w14:textId="77777777" w:rsidR="000426DE" w:rsidRPr="00747170" w:rsidRDefault="000426DE" w:rsidP="00747170">
      <w:pPr>
        <w:pStyle w:val="a2"/>
        <w:rPr>
          <w:rtl/>
        </w:rPr>
      </w:pPr>
      <w:r w:rsidRPr="00747170">
        <w:rPr>
          <w:rtl/>
        </w:rPr>
        <w:t>מדריש לקיש - דאמר: מותר לקנח בו, ולא אמרינן צרור זה העשבים שעלו מלחלוחית הקרקע הן יוצאין, וכשמגביהן הרי הוא כעוקרן מגידוליהן.</w:t>
      </w:r>
    </w:p>
    <w:p w14:paraId="17176641" w14:textId="77777777" w:rsidR="000426DE" w:rsidRPr="009F3082" w:rsidRDefault="000426DE" w:rsidP="00747170">
      <w:pPr>
        <w:pStyle w:val="afffff5"/>
        <w:rPr>
          <w:rtl/>
        </w:rPr>
      </w:pPr>
      <w:r w:rsidRPr="00D578AC">
        <w:rPr>
          <w:rtl/>
        </w:rPr>
        <w:t>האי פרפיסא - עציץ נקוב שזרעו בו</w:t>
      </w:r>
      <w:r w:rsidRPr="00D578AC">
        <w:rPr>
          <w:rFonts w:hint="cs"/>
          <w:rtl/>
        </w:rPr>
        <w:t xml:space="preserve">, </w:t>
      </w:r>
      <w:r w:rsidRPr="009F3082">
        <w:rPr>
          <w:rStyle w:val="afff7"/>
          <w:rtl/>
        </w:rPr>
        <w:t>ובתשובת הגאונים מצאתי: שעושין חותלות מכפות תמרים, וממלאין אותם עפר וזבל בהמה, ועשרים ושנים או חמישה עשר יום לפני ראש השנה עושין כל אחד ואחד לשם כל קטן וקטנה שבבית, וזורעים לתוכן פול המצרי או קיטנית, וקורין לו פורפיסא, וצומח, ובערב ראש השנה נוטל כל אחד שלו, ומחזירו סביבות ראשו שבעה פעמים, ואומר: זה תחת זה, וזה חליפתי וזה תמורתי, ומשליכו לנהר.</w:t>
      </w:r>
    </w:p>
    <w:p w14:paraId="77BA8215" w14:textId="77777777" w:rsidR="000426DE" w:rsidRPr="009F3082" w:rsidRDefault="000426DE" w:rsidP="00747170">
      <w:pPr>
        <w:pStyle w:val="afffff5"/>
        <w:rPr>
          <w:rtl/>
        </w:rPr>
      </w:pPr>
      <w:r w:rsidRPr="009F3082">
        <w:rPr>
          <w:rtl/>
        </w:rPr>
        <w:t>שרי לטלטולי - ולא אמרינן תולש הוא.</w:t>
      </w:r>
    </w:p>
    <w:p w14:paraId="491D61DB" w14:textId="77777777" w:rsidR="000426DE" w:rsidRPr="009F3082" w:rsidRDefault="000426DE" w:rsidP="000426DE">
      <w:pPr>
        <w:pStyle w:val="afffff7"/>
        <w:rPr>
          <w:vanish/>
          <w:rtl/>
        </w:rPr>
      </w:pPr>
      <w:r w:rsidRPr="009F3082">
        <w:rPr>
          <w:vanish/>
          <w:rtl/>
        </w:rPr>
        <w:t>רש"י שבת פ"א ע"ב</w:t>
      </w:r>
      <w:r w:rsidRPr="009F3082">
        <w:rPr>
          <w:rFonts w:hint="cs"/>
          <w:vanish/>
          <w:rtl/>
        </w:rPr>
        <w:t xml:space="preserve"> ד"ה חייב</w:t>
      </w:r>
    </w:p>
    <w:p w14:paraId="073FDCB6" w14:textId="77777777" w:rsidR="000426DE" w:rsidRPr="009F3082" w:rsidRDefault="000426DE" w:rsidP="000426DE">
      <w:pPr>
        <w:pStyle w:val="a7"/>
        <w:rPr>
          <w:vanish/>
          <w:rtl/>
        </w:rPr>
      </w:pPr>
      <w:r w:rsidRPr="009F3082">
        <w:rPr>
          <w:rFonts w:hint="cs"/>
          <w:vanish/>
          <w:rtl/>
        </w:rPr>
        <w:t>בי' רש"י דהא דאמרינן דמגביה צרור מע"ג הקרקע הוא תולש היינו מדרבנן דדמי לתולש</w:t>
      </w:r>
    </w:p>
    <w:p w14:paraId="3802F6E7" w14:textId="0DDD98AE" w:rsidR="000426DE" w:rsidRPr="009F4C54" w:rsidRDefault="000426DE" w:rsidP="00BC7DC8">
      <w:pPr>
        <w:pStyle w:val="a3"/>
        <w:rPr>
          <w:rtl/>
        </w:rPr>
      </w:pPr>
      <w:r>
        <w:rPr>
          <w:rFonts w:hint="cs"/>
          <w:rtl/>
        </w:rPr>
        <w:t xml:space="preserve">ובהא דדחתה הגמ' לקמן </w:t>
      </w:r>
      <w:r w:rsidRPr="00FB451D">
        <w:rPr>
          <w:rStyle w:val="af2"/>
          <w:rFonts w:eastAsia="Guttman Hodes" w:hint="cs"/>
          <w:rtl/>
        </w:rPr>
        <w:t>(פא:)</w:t>
      </w:r>
      <w:r>
        <w:rPr>
          <w:rFonts w:hint="cs"/>
          <w:rtl/>
        </w:rPr>
        <w:t xml:space="preserve"> דר"ל התיר דוקא בצרור לקנח בו לצורך, ואמר אביי דפרפיסא שהיה מונח ע"ג קרקע והגביהו ע"ג יתדות חייב משום תולש, כתב </w:t>
      </w:r>
      <w:r w:rsidRPr="00B53404">
        <w:rPr>
          <w:rFonts w:hint="cs"/>
          <w:vanish/>
          <w:rtl/>
        </w:rPr>
        <w:t xml:space="preserve">&lt;. </w:t>
      </w:r>
      <w:r w:rsidRPr="00B53404">
        <w:rPr>
          <w:vanish/>
          <w:rtl/>
        </w:rPr>
        <w:fldChar w:fldCharType="begin"/>
      </w:r>
      <w:r w:rsidRPr="00B53404">
        <w:rPr>
          <w:vanish/>
          <w:rtl/>
        </w:rPr>
        <w:instrText xml:space="preserve"> </w:instrText>
      </w:r>
      <w:r w:rsidRPr="00B53404">
        <w:rPr>
          <w:rFonts w:hint="cs"/>
          <w:vanish/>
        </w:rPr>
        <w:instrText>REF</w:instrText>
      </w:r>
      <w:r w:rsidRPr="00B53404">
        <w:rPr>
          <w:rFonts w:hint="cs"/>
          <w:vanish/>
          <w:rtl/>
        </w:rPr>
        <w:instrText xml:space="preserve"> _</w:instrText>
      </w:r>
      <w:r w:rsidRPr="00B53404">
        <w:rPr>
          <w:rFonts w:hint="cs"/>
          <w:vanish/>
        </w:rPr>
        <w:instrText>Ref134734991 \r \h</w:instrText>
      </w:r>
      <w:r w:rsidRPr="00B53404">
        <w:rPr>
          <w:vanish/>
          <w:rtl/>
        </w:rPr>
        <w:instrText xml:space="preserve"> </w:instrText>
      </w:r>
      <w:r w:rsidRPr="00B53404">
        <w:rPr>
          <w:vanish/>
          <w:rtl/>
        </w:rPr>
      </w:r>
      <w:r w:rsidRPr="00B53404">
        <w:rPr>
          <w:vanish/>
          <w:rtl/>
        </w:rPr>
        <w:fldChar w:fldCharType="separate"/>
      </w:r>
      <w:r w:rsidR="00D82181">
        <w:rPr>
          <w:vanish/>
          <w:cs/>
        </w:rPr>
        <w:t>‎</w:t>
      </w:r>
      <w:r w:rsidR="00D82181">
        <w:rPr>
          <w:vanish/>
          <w:rtl/>
        </w:rPr>
        <w:t>לו)</w:t>
      </w:r>
      <w:r w:rsidRPr="00B53404">
        <w:rPr>
          <w:vanish/>
          <w:rtl/>
        </w:rPr>
        <w:fldChar w:fldCharType="end"/>
      </w:r>
      <w:r w:rsidRPr="00B53404">
        <w:rPr>
          <w:rFonts w:hint="cs"/>
          <w:vanish/>
          <w:rtl/>
        </w:rPr>
        <w:t xml:space="preserve"> &gt;</w:t>
      </w:r>
      <w:r w:rsidRPr="008D113A">
        <w:rPr>
          <w:rStyle w:val="aff4"/>
          <w:rFonts w:hint="cs"/>
          <w:vanish/>
          <w:rtl/>
        </w:rPr>
        <w:t>-</w:t>
      </w:r>
      <w:r w:rsidRPr="000614F7">
        <w:rPr>
          <w:rStyle w:val="aff4"/>
          <w:rFonts w:hint="cs"/>
          <w:rtl/>
        </w:rPr>
        <w:t>רש"י לקמן</w:t>
      </w:r>
      <w:r w:rsidRPr="008D113A">
        <w:rPr>
          <w:rStyle w:val="aff4"/>
          <w:rFonts w:hint="cs"/>
          <w:vanish/>
          <w:rtl/>
        </w:rPr>
        <w:t>-</w:t>
      </w:r>
      <w:r>
        <w:rPr>
          <w:rFonts w:hint="cs"/>
          <w:rtl/>
        </w:rPr>
        <w:t xml:space="preserve"> </w:t>
      </w:r>
      <w:r w:rsidRPr="00FB451D">
        <w:rPr>
          <w:rStyle w:val="af2"/>
          <w:rFonts w:eastAsia="Guttman Hodes" w:hint="cs"/>
          <w:rtl/>
        </w:rPr>
        <w:t>(פא: ד"ה חייב)</w:t>
      </w:r>
      <w:r w:rsidRPr="008D113A">
        <w:rPr>
          <w:rFonts w:hint="cs"/>
          <w:vanish/>
          <w:rtl/>
        </w:rPr>
        <w:t>=</w:t>
      </w:r>
      <w:r>
        <w:rPr>
          <w:rFonts w:hint="cs"/>
          <w:rtl/>
        </w:rPr>
        <w:t xml:space="preserve"> דהוא תולש כיון דע"ג היתדות הפרפיסא אינו נהנה מהריח של הקרקע, וכתב </w:t>
      </w:r>
      <w:r w:rsidRPr="008D113A">
        <w:rPr>
          <w:rStyle w:val="aff4"/>
          <w:rFonts w:hint="cs"/>
          <w:vanish/>
          <w:rtl/>
        </w:rPr>
        <w:t>-</w:t>
      </w:r>
      <w:r w:rsidRPr="000614F7">
        <w:rPr>
          <w:rStyle w:val="aff4"/>
          <w:rFonts w:hint="cs"/>
          <w:rtl/>
        </w:rPr>
        <w:t>רש"י</w:t>
      </w:r>
      <w:r w:rsidRPr="008D113A">
        <w:rPr>
          <w:rStyle w:val="aff4"/>
          <w:rFonts w:hint="cs"/>
          <w:vanish/>
          <w:rtl/>
        </w:rPr>
        <w:t>-</w:t>
      </w:r>
      <w:r>
        <w:rPr>
          <w:rFonts w:hint="cs"/>
          <w:rtl/>
        </w:rPr>
        <w:t xml:space="preserve"> דנראה דהא דאמר אביי דחייב הוא לאו דוקא, והכוונה דאסור לעשות כן, כיון דהוא דומה לתולש, וכתב </w:t>
      </w:r>
      <w:r w:rsidRPr="008D113A">
        <w:rPr>
          <w:rStyle w:val="aff4"/>
          <w:rFonts w:hint="cs"/>
          <w:vanish/>
          <w:rtl/>
        </w:rPr>
        <w:t>-</w:t>
      </w:r>
      <w:r w:rsidRPr="000614F7">
        <w:rPr>
          <w:rStyle w:val="aff4"/>
          <w:rFonts w:hint="cs"/>
          <w:rtl/>
        </w:rPr>
        <w:t>רש"י</w:t>
      </w:r>
      <w:r w:rsidRPr="008D113A">
        <w:rPr>
          <w:rStyle w:val="aff4"/>
          <w:rFonts w:hint="cs"/>
          <w:vanish/>
          <w:rtl/>
        </w:rPr>
        <w:t>-</w:t>
      </w:r>
      <w:r>
        <w:rPr>
          <w:rFonts w:hint="cs"/>
          <w:rtl/>
        </w:rPr>
        <w:t xml:space="preserve"> דאי כוונת אביי לומר דהוא חייב ממש, היאך התירו רבנן איסור כרת וסקילה משום קינוח. </w:t>
      </w:r>
      <w:r w:rsidRPr="007A72D8">
        <w:rPr>
          <w:rStyle w:val="af"/>
          <w:rFonts w:hint="cs"/>
          <w:rtl/>
        </w:rPr>
        <w:t xml:space="preserve">[וכתב </w:t>
      </w:r>
      <w:r w:rsidRPr="00394B7E">
        <w:rPr>
          <w:rStyle w:val="aff9"/>
          <w:rFonts w:hint="cs"/>
          <w:vanish/>
          <w:rtl/>
        </w:rPr>
        <w:t>-</w:t>
      </w:r>
      <w:r w:rsidRPr="00394B7E">
        <w:rPr>
          <w:rStyle w:val="aff9"/>
          <w:rFonts w:hint="cs"/>
          <w:rtl/>
        </w:rPr>
        <w:t>רש"י</w:t>
      </w:r>
      <w:r w:rsidRPr="00394B7E">
        <w:rPr>
          <w:rStyle w:val="aff9"/>
          <w:rFonts w:hint="cs"/>
          <w:vanish/>
          <w:rtl/>
        </w:rPr>
        <w:t>-</w:t>
      </w:r>
      <w:r w:rsidRPr="007A72D8">
        <w:rPr>
          <w:rStyle w:val="af"/>
          <w:rFonts w:hint="cs"/>
          <w:rtl/>
        </w:rPr>
        <w:t xml:space="preserve"> דכעי"ז איתא בגמ' בסנהדרין </w:t>
      </w:r>
      <w:r w:rsidRPr="00394B7E">
        <w:rPr>
          <w:rStyle w:val="aff0"/>
          <w:rFonts w:hint="cs"/>
          <w:rtl/>
        </w:rPr>
        <w:t>(פב.)</w:t>
      </w:r>
      <w:r w:rsidRPr="007A72D8">
        <w:rPr>
          <w:rStyle w:val="af"/>
          <w:rFonts w:hint="cs"/>
          <w:rtl/>
        </w:rPr>
        <w:t xml:space="preserve"> דהבא על הכותית חייב משום נשג"ז, ואינו מדאו' אלא מדרבנן]</w:t>
      </w:r>
      <w:r w:rsidRPr="00CD1359">
        <w:rPr>
          <w:rStyle w:val="af"/>
          <w:rFonts w:hint="cs"/>
          <w:rtl/>
        </w:rPr>
        <w:t>.</w:t>
      </w:r>
    </w:p>
    <w:p w14:paraId="64C6CC04" w14:textId="77777777" w:rsidR="000426DE" w:rsidRPr="00747170" w:rsidRDefault="000426DE" w:rsidP="00747170">
      <w:pPr>
        <w:pStyle w:val="a2"/>
        <w:rPr>
          <w:rtl/>
        </w:rPr>
      </w:pPr>
      <w:r w:rsidRPr="00747170">
        <w:rPr>
          <w:rtl/>
        </w:rPr>
        <w:t>חייב משום תולש - דאינו נהנה שוב מריח הקרקע, ולי נראה דהאי חייב לאו דווקא, אלא אסור משום דדמי לתולש, דאי חייב ממש קאמר, לצורך היכי שרי רבנן איסור כרת וסקילה משום קינוח, ודומה לו במסכת סנהדרין (פב, א): הבא על הכותית חייב משום נשג"ז, דלאו מדאורייתא היא, אלא מדרבנן.</w:t>
      </w:r>
    </w:p>
    <w:p w14:paraId="398D95F6" w14:textId="77777777" w:rsidR="000426DE" w:rsidRPr="00B66C3B" w:rsidRDefault="000426DE" w:rsidP="000426DE">
      <w:pPr>
        <w:pStyle w:val="afffff7"/>
        <w:rPr>
          <w:rtl/>
        </w:rPr>
      </w:pPr>
      <w:bookmarkStart w:id="1559" w:name="_Toc163505641"/>
      <w:r w:rsidRPr="00B66C3B">
        <w:rPr>
          <w:rtl/>
        </w:rPr>
        <w:t>תוספות שבת פ"א ע"ב</w:t>
      </w:r>
      <w:r w:rsidRPr="00B66C3B">
        <w:rPr>
          <w:rFonts w:hint="cs"/>
          <w:rtl/>
        </w:rPr>
        <w:t xml:space="preserve"> ד"ה והניחו</w:t>
      </w:r>
      <w:bookmarkEnd w:id="1559"/>
    </w:p>
    <w:p w14:paraId="07BED669" w14:textId="77777777" w:rsidR="000426DE" w:rsidRPr="00B66C3B" w:rsidRDefault="000426DE" w:rsidP="000426DE">
      <w:pPr>
        <w:pStyle w:val="afffff7"/>
        <w:rPr>
          <w:rtl/>
        </w:rPr>
      </w:pPr>
      <w:bookmarkStart w:id="1560" w:name="_Toc163505642"/>
      <w:r w:rsidRPr="00B66C3B">
        <w:rPr>
          <w:rtl/>
        </w:rPr>
        <w:t>חדושי הריטב"א שבת פ"א ע"ב</w:t>
      </w:r>
      <w:r w:rsidRPr="00B66C3B">
        <w:rPr>
          <w:rFonts w:hint="cs"/>
          <w:rtl/>
        </w:rPr>
        <w:t xml:space="preserve"> ד"ה היה</w:t>
      </w:r>
      <w:bookmarkEnd w:id="1560"/>
    </w:p>
    <w:p w14:paraId="3F343E08" w14:textId="77777777" w:rsidR="000426DE" w:rsidRPr="00B66C3B" w:rsidRDefault="000426DE" w:rsidP="000426DE">
      <w:pPr>
        <w:pStyle w:val="a7"/>
        <w:rPr>
          <w:rtl/>
        </w:rPr>
      </w:pPr>
      <w:bookmarkStart w:id="1561" w:name="_Toc139316375"/>
      <w:r>
        <w:rPr>
          <w:rFonts w:hint="cs"/>
          <w:rtl/>
        </w:rPr>
        <w:t>בי' התוס' דאיסור הגבהת צרור מהקרקע דרבנן והגמ' לקמן פליגא על הגמ' בגיטין דהוא כמחובר</w:t>
      </w:r>
      <w:bookmarkEnd w:id="1561"/>
    </w:p>
    <w:p w14:paraId="523C821C" w14:textId="0F81E515" w:rsidR="000426DE" w:rsidRDefault="000426DE" w:rsidP="00BC7DC8">
      <w:pPr>
        <w:pStyle w:val="a3"/>
        <w:rPr>
          <w:rtl/>
        </w:rPr>
      </w:pPr>
      <w:r w:rsidRPr="00B66C3B">
        <w:rPr>
          <w:rFonts w:hint="cs"/>
          <w:rtl/>
        </w:rPr>
        <w:t xml:space="preserve">וכ"כ </w:t>
      </w:r>
      <w:r w:rsidRPr="005568F7">
        <w:rPr>
          <w:rStyle w:val="aff4"/>
          <w:rFonts w:hint="cs"/>
          <w:vanish/>
          <w:rtl/>
        </w:rPr>
        <w:t>-</w:t>
      </w:r>
      <w:r w:rsidRPr="009B386D">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Ref134954812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לז)</w:t>
      </w:r>
      <w:r w:rsidRPr="00B53404">
        <w:rPr>
          <w:rStyle w:val="aff4"/>
          <w:vanish/>
          <w:rtl/>
        </w:rPr>
        <w:fldChar w:fldCharType="end"/>
      </w:r>
      <w:r w:rsidRPr="00B53404">
        <w:rPr>
          <w:rStyle w:val="aff4"/>
          <w:rFonts w:hint="cs"/>
          <w:vanish/>
          <w:rtl/>
        </w:rPr>
        <w:t xml:space="preserve"> &gt;</w:t>
      </w:r>
      <w:r w:rsidRPr="009B386D">
        <w:rPr>
          <w:rStyle w:val="aff4"/>
          <w:rFonts w:hint="cs"/>
          <w:rtl/>
        </w:rPr>
        <w:t>תוס' לקמן</w:t>
      </w:r>
      <w:r w:rsidRPr="005568F7">
        <w:rPr>
          <w:rStyle w:val="aff4"/>
          <w:rFonts w:hint="cs"/>
          <w:vanish/>
          <w:rtl/>
        </w:rPr>
        <w:t>-</w:t>
      </w:r>
      <w:r w:rsidRPr="00B66C3B">
        <w:rPr>
          <w:rFonts w:hint="cs"/>
          <w:rtl/>
        </w:rPr>
        <w:t xml:space="preserve"> </w:t>
      </w:r>
      <w:r w:rsidRPr="00FB451D">
        <w:rPr>
          <w:rStyle w:val="af2"/>
          <w:rFonts w:eastAsia="Guttman Hodes" w:hint="cs"/>
          <w:rtl/>
        </w:rPr>
        <w:t>(פא: ד"ה והניחו)</w:t>
      </w:r>
      <w:r w:rsidRPr="005568F7">
        <w:rPr>
          <w:rFonts w:hint="cs"/>
          <w:vanish/>
          <w:rtl/>
        </w:rPr>
        <w:t>=</w:t>
      </w:r>
      <w:r w:rsidRPr="00B66C3B">
        <w:rPr>
          <w:rFonts w:hint="cs"/>
          <w:rtl/>
        </w:rPr>
        <w:t xml:space="preserve"> דהא דאמר אביי דחייב משום תולש, היינו מכת מרדות דרבנן, וכדביאר </w:t>
      </w:r>
      <w:r w:rsidRPr="005568F7">
        <w:rPr>
          <w:rStyle w:val="aff4"/>
          <w:rFonts w:hint="cs"/>
          <w:vanish/>
          <w:rtl/>
        </w:rPr>
        <w:t>-</w:t>
      </w:r>
      <w:r w:rsidRPr="009B386D">
        <w:rPr>
          <w:rStyle w:val="aff4"/>
          <w:rFonts w:hint="cs"/>
          <w:rtl/>
        </w:rPr>
        <w:t>רש"י</w:t>
      </w:r>
      <w:r w:rsidRPr="005568F7">
        <w:rPr>
          <w:rStyle w:val="aff4"/>
          <w:rFonts w:hint="cs"/>
          <w:vanish/>
          <w:rtl/>
        </w:rPr>
        <w:t>-</w:t>
      </w:r>
      <w:r w:rsidRPr="00B66C3B">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Ref134956345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לו)</w:t>
      </w:r>
      <w:r>
        <w:rPr>
          <w:rStyle w:val="af2"/>
          <w:rFonts w:eastAsia="Guttman Hodes"/>
          <w:rtl/>
        </w:rPr>
        <w:fldChar w:fldCharType="end"/>
      </w:r>
      <w:r w:rsidRPr="00B66C3B">
        <w:rPr>
          <w:rFonts w:hint="cs"/>
          <w:rtl/>
        </w:rPr>
        <w:t xml:space="preserve"> דכן מוכח מהא דהתיר ר"ל לקנח בצרור, אך הקשה </w:t>
      </w:r>
      <w:r w:rsidRPr="005568F7">
        <w:rPr>
          <w:rStyle w:val="aff4"/>
          <w:rFonts w:hint="cs"/>
          <w:vanish/>
          <w:rtl/>
        </w:rPr>
        <w:t>-</w:t>
      </w:r>
      <w:r w:rsidRPr="009B386D">
        <w:rPr>
          <w:rStyle w:val="aff4"/>
          <w:rFonts w:hint="cs"/>
          <w:rtl/>
        </w:rPr>
        <w:t>ר"י בתוס'</w:t>
      </w:r>
      <w:r w:rsidRPr="005568F7">
        <w:rPr>
          <w:rStyle w:val="aff4"/>
          <w:rFonts w:hint="cs"/>
          <w:vanish/>
          <w:rtl/>
        </w:rPr>
        <w:t>-</w:t>
      </w:r>
      <w:r w:rsidRPr="00B66C3B">
        <w:rPr>
          <w:rFonts w:hint="cs"/>
          <w:rtl/>
        </w:rPr>
        <w:t xml:space="preserve"> דהא ריו"ח בגמ' בגיטין </w:t>
      </w:r>
      <w:r w:rsidRPr="00FB451D">
        <w:rPr>
          <w:rStyle w:val="af2"/>
          <w:rFonts w:eastAsia="Guttman Hodes" w:hint="cs"/>
          <w:rtl/>
        </w:rPr>
        <w:t>(ז:)</w:t>
      </w:r>
      <w:r w:rsidRPr="00B66C3B">
        <w:rPr>
          <w:rFonts w:hint="cs"/>
          <w:rtl/>
        </w:rPr>
        <w:t xml:space="preserve"> אמר דעציץ נקוב שמונח ע"ג יתדות נחלקו בו ר"י ורבנן לענין חיוב מעשרות בספינה גוששת, דלרבנן חייב בעציץ שאינו נקוב, ודחה רבא דבעציץ שמפסיק אוירא בינו לקרקע, אף רבנן מודו דמותר, וא"כ היאך אפש"ל דמבואר בסוגיין דנטלו מע"ג קרקע והניח ע"ג יתדות, הוא תולש רק מדרבנן, ותירץ </w:t>
      </w:r>
      <w:r w:rsidRPr="005568F7">
        <w:rPr>
          <w:rStyle w:val="aff4"/>
          <w:rFonts w:hint="cs"/>
          <w:vanish/>
          <w:rtl/>
        </w:rPr>
        <w:t>-</w:t>
      </w:r>
      <w:r w:rsidRPr="009B386D">
        <w:rPr>
          <w:rStyle w:val="aff4"/>
          <w:rFonts w:hint="cs"/>
          <w:rtl/>
        </w:rPr>
        <w:t>ר"י בתוס'</w:t>
      </w:r>
      <w:r w:rsidRPr="005568F7">
        <w:rPr>
          <w:rStyle w:val="aff4"/>
          <w:rFonts w:hint="cs"/>
          <w:vanish/>
          <w:rtl/>
        </w:rPr>
        <w:t>-</w:t>
      </w:r>
      <w:r w:rsidRPr="00B66C3B">
        <w:rPr>
          <w:rFonts w:hint="cs"/>
          <w:rtl/>
        </w:rPr>
        <w:t xml:space="preserve"> דהגמ' בסוגיין לא ס"ל כתירוץ רבא בגמ' בגיטין, אלא כדעת ריו"ח, וכ"כ </w:t>
      </w:r>
      <w:r w:rsidRPr="005568F7">
        <w:rPr>
          <w:rStyle w:val="aff4"/>
          <w:rFonts w:hint="cs"/>
          <w:vanish/>
          <w:rtl/>
        </w:rPr>
        <w:t>-</w:t>
      </w:r>
      <w:r w:rsidRPr="009B386D">
        <w:rPr>
          <w:rStyle w:val="aff4"/>
          <w:rFonts w:hint="cs"/>
          <w:rtl/>
        </w:rPr>
        <w:t>ה</w:t>
      </w:r>
      <w:r w:rsidRPr="00B53404">
        <w:rPr>
          <w:rStyle w:val="aff4"/>
          <w:rFonts w:hint="cs"/>
          <w:vanish/>
          <w:rtl/>
        </w:rPr>
        <w:t>&lt; &gt;</w:t>
      </w:r>
      <w:r w:rsidRPr="009B386D">
        <w:rPr>
          <w:rStyle w:val="aff4"/>
          <w:rFonts w:hint="cs"/>
          <w:rtl/>
        </w:rPr>
        <w:t>ריטב"א לקמן</w:t>
      </w:r>
      <w:r w:rsidRPr="005568F7">
        <w:rPr>
          <w:rStyle w:val="aff4"/>
          <w:rFonts w:hint="cs"/>
          <w:vanish/>
          <w:rtl/>
        </w:rPr>
        <w:t>-</w:t>
      </w:r>
      <w:r w:rsidRPr="00B66C3B">
        <w:rPr>
          <w:rFonts w:hint="cs"/>
          <w:rtl/>
        </w:rPr>
        <w:t xml:space="preserve"> </w:t>
      </w:r>
      <w:r w:rsidRPr="00FB451D">
        <w:rPr>
          <w:rStyle w:val="af2"/>
          <w:rFonts w:eastAsia="Guttman Hodes" w:hint="cs"/>
          <w:rtl/>
        </w:rPr>
        <w:t>(פא: ד"ה היה)</w:t>
      </w:r>
      <w:r w:rsidRPr="005568F7">
        <w:rPr>
          <w:rFonts w:hint="cs"/>
          <w:vanish/>
          <w:rtl/>
        </w:rPr>
        <w:t>=</w:t>
      </w:r>
      <w:r w:rsidRPr="00B66C3B">
        <w:rPr>
          <w:rFonts w:hint="cs"/>
          <w:rtl/>
        </w:rPr>
        <w:t xml:space="preserve"> בשם </w:t>
      </w:r>
      <w:r w:rsidRPr="005568F7">
        <w:rPr>
          <w:rStyle w:val="aff4"/>
          <w:rFonts w:hint="cs"/>
          <w:vanish/>
          <w:rtl/>
        </w:rPr>
        <w:t>-</w:t>
      </w:r>
      <w:r w:rsidRPr="009B386D">
        <w:rPr>
          <w:rStyle w:val="aff4"/>
          <w:rFonts w:hint="cs"/>
          <w:rtl/>
        </w:rPr>
        <w:t>תוס'</w:t>
      </w:r>
      <w:r w:rsidRPr="005568F7">
        <w:rPr>
          <w:rStyle w:val="aff4"/>
          <w:rFonts w:hint="cs"/>
          <w:vanish/>
          <w:rtl/>
        </w:rPr>
        <w:t>-</w:t>
      </w:r>
      <w:r w:rsidRPr="00B66C3B">
        <w:rPr>
          <w:rFonts w:hint="cs"/>
          <w:rtl/>
        </w:rPr>
        <w:t xml:space="preserve"> דאביי ס"ל דתירוץ רבא בגמ' בגיטין הוא דיחוי בעלמא</w:t>
      </w:r>
      <w:r>
        <w:rPr>
          <w:rFonts w:hint="cs"/>
          <w:rtl/>
        </w:rPr>
        <w:t xml:space="preserve">, ועי' במה שנחלקו </w:t>
      </w:r>
      <w:r w:rsidRPr="00B45845">
        <w:rPr>
          <w:rStyle w:val="aff4"/>
          <w:rFonts w:hint="cs"/>
          <w:vanish/>
          <w:rtl/>
        </w:rPr>
        <w:t>-</w:t>
      </w:r>
      <w:r w:rsidRPr="004F5390">
        <w:rPr>
          <w:rStyle w:val="aff4"/>
          <w:rFonts w:hint="cs"/>
          <w:rtl/>
        </w:rPr>
        <w:t>האו"ש</w:t>
      </w:r>
      <w:r w:rsidRPr="00B45845">
        <w:rPr>
          <w:rStyle w:val="aff4"/>
          <w:rFonts w:hint="cs"/>
          <w:vanish/>
          <w:rtl/>
        </w:rPr>
        <w:t>-</w:t>
      </w:r>
      <w:r>
        <w:rPr>
          <w:rFonts w:hint="cs"/>
          <w:rtl/>
        </w:rPr>
        <w:t xml:space="preserve"> </w:t>
      </w:r>
      <w:r w:rsidRPr="00B45845">
        <w:rPr>
          <w:rStyle w:val="af2"/>
          <w:rFonts w:eastAsia="Guttman Hodes" w:hint="cs"/>
          <w:rtl/>
        </w:rPr>
        <w:t>(עי'</w:t>
      </w:r>
      <w:r>
        <w:rPr>
          <w:rFonts w:hint="cs"/>
          <w:rtl/>
        </w:rPr>
        <w:t xml:space="preserve"> </w:t>
      </w:r>
      <w:r w:rsidRPr="00B45845">
        <w:rPr>
          <w:rStyle w:val="af2"/>
          <w:rFonts w:eastAsia="Guttman Hodes" w:hint="cs"/>
          <w:rtl/>
        </w:rPr>
        <w:t xml:space="preserve">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Ref134979566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צג)</w:t>
      </w:r>
      <w:r>
        <w:rPr>
          <w:rStyle w:val="af2"/>
          <w:rFonts w:eastAsia="Guttman Hodes"/>
          <w:rtl/>
        </w:rPr>
        <w:fldChar w:fldCharType="end"/>
      </w:r>
      <w:r>
        <w:rPr>
          <w:rFonts w:hint="cs"/>
          <w:rtl/>
        </w:rPr>
        <w:t xml:space="preserve"> </w:t>
      </w:r>
      <w:r w:rsidRPr="00B45845">
        <w:rPr>
          <w:rStyle w:val="aff4"/>
          <w:rFonts w:hint="cs"/>
          <w:vanish/>
          <w:rtl/>
        </w:rPr>
        <w:t>-</w:t>
      </w:r>
      <w:r w:rsidRPr="004F5390">
        <w:rPr>
          <w:rStyle w:val="aff4"/>
          <w:rFonts w:hint="cs"/>
          <w:rtl/>
        </w:rPr>
        <w:t>והדברי יחזקאל</w:t>
      </w:r>
      <w:r w:rsidRPr="00B45845">
        <w:rPr>
          <w:rStyle w:val="aff4"/>
          <w:rFonts w:hint="cs"/>
          <w:vanish/>
          <w:rtl/>
        </w:rPr>
        <w:t>-</w:t>
      </w:r>
      <w:r>
        <w:rPr>
          <w:rFonts w:hint="cs"/>
          <w:rtl/>
        </w:rPr>
        <w:t xml:space="preserve"> </w:t>
      </w:r>
      <w:r w:rsidRPr="00B45845">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Ref134979559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צד)</w:t>
      </w:r>
      <w:r>
        <w:rPr>
          <w:rStyle w:val="af2"/>
          <w:rFonts w:eastAsia="Guttman Hodes"/>
          <w:rtl/>
        </w:rPr>
        <w:fldChar w:fldCharType="end"/>
      </w:r>
      <w:r>
        <w:rPr>
          <w:rFonts w:hint="cs"/>
          <w:rtl/>
        </w:rPr>
        <w:t xml:space="preserve"> במיעוט יניקה לדעת </w:t>
      </w:r>
      <w:r w:rsidRPr="00B45845">
        <w:rPr>
          <w:rStyle w:val="aff4"/>
          <w:rFonts w:hint="cs"/>
          <w:vanish/>
          <w:rtl/>
        </w:rPr>
        <w:t>-</w:t>
      </w:r>
      <w:r w:rsidRPr="004F5390">
        <w:rPr>
          <w:rStyle w:val="aff4"/>
          <w:rFonts w:hint="cs"/>
          <w:rtl/>
        </w:rPr>
        <w:t>התוס'</w:t>
      </w:r>
      <w:r w:rsidRPr="00B45845">
        <w:rPr>
          <w:rStyle w:val="aff4"/>
          <w:rFonts w:hint="cs"/>
          <w:vanish/>
          <w:rtl/>
        </w:rPr>
        <w:t>-</w:t>
      </w:r>
      <w:r w:rsidRPr="00B66C3B">
        <w:rPr>
          <w:rFonts w:hint="cs"/>
          <w:rtl/>
        </w:rPr>
        <w:t>.</w:t>
      </w:r>
      <w:r w:rsidRPr="005568F7">
        <w:rPr>
          <w:rFonts w:hint="cs"/>
          <w:rtl/>
        </w:rPr>
        <w:t xml:space="preserve"> </w:t>
      </w:r>
      <w:r w:rsidRPr="007A72D8">
        <w:rPr>
          <w:rStyle w:val="af"/>
          <w:rFonts w:hint="cs"/>
          <w:rtl/>
        </w:rPr>
        <w:t xml:space="preserve">[וע"ע במה שביאר </w:t>
      </w:r>
      <w:r w:rsidRPr="00394B7E">
        <w:rPr>
          <w:rStyle w:val="aff9"/>
          <w:rFonts w:hint="cs"/>
          <w:vanish/>
          <w:rtl/>
        </w:rPr>
        <w:t>-</w:t>
      </w:r>
      <w:r w:rsidRPr="00394B7E">
        <w:rPr>
          <w:rStyle w:val="aff9"/>
          <w:rFonts w:hint="cs"/>
          <w:rtl/>
        </w:rPr>
        <w:t>ה</w:t>
      </w:r>
      <w:r w:rsidRPr="00394B7E">
        <w:rPr>
          <w:rStyle w:val="aff9"/>
          <w:rFonts w:hint="cs"/>
          <w:vanish/>
          <w:rtl/>
        </w:rPr>
        <w:t>&lt; &gt;</w:t>
      </w:r>
      <w:r w:rsidRPr="00394B7E">
        <w:rPr>
          <w:rStyle w:val="aff9"/>
          <w:rFonts w:hint="cs"/>
          <w:rtl/>
        </w:rPr>
        <w:t>אפיקי ים</w:t>
      </w:r>
      <w:r w:rsidRPr="00394B7E">
        <w:rPr>
          <w:rStyle w:val="aff9"/>
          <w:rFonts w:hint="cs"/>
          <w:vanish/>
          <w:rtl/>
        </w:rPr>
        <w:t>-</w:t>
      </w:r>
      <w:r w:rsidRPr="007A72D8">
        <w:rPr>
          <w:rStyle w:val="af"/>
          <w:rFonts w:hint="cs"/>
          <w:rtl/>
        </w:rPr>
        <w:t xml:space="preserve"> </w:t>
      </w:r>
      <w:r w:rsidRPr="00394B7E">
        <w:rPr>
          <w:rStyle w:val="aff0"/>
          <w:rFonts w:hint="cs"/>
          <w:rtl/>
        </w:rPr>
        <w:t>(ח"ב סי' מ"ג ד"ה והנלע"ד עוד בזה)</w:t>
      </w:r>
      <w:r w:rsidRPr="00394B7E">
        <w:rPr>
          <w:rStyle w:val="af"/>
          <w:rFonts w:hint="cs"/>
          <w:vanish/>
          <w:rtl/>
        </w:rPr>
        <w:t>=</w:t>
      </w:r>
      <w:r w:rsidRPr="007A72D8">
        <w:rPr>
          <w:rStyle w:val="af"/>
          <w:rFonts w:hint="cs"/>
          <w:rtl/>
        </w:rPr>
        <w:t xml:space="preserve"> בדברי </w:t>
      </w:r>
      <w:r w:rsidRPr="00394B7E">
        <w:rPr>
          <w:rStyle w:val="aff9"/>
          <w:rFonts w:hint="cs"/>
          <w:vanish/>
          <w:rtl/>
        </w:rPr>
        <w:t>-</w:t>
      </w:r>
      <w:r w:rsidRPr="00394B7E">
        <w:rPr>
          <w:rStyle w:val="aff9"/>
          <w:rFonts w:hint="cs"/>
          <w:rtl/>
        </w:rPr>
        <w:t>התוס'</w:t>
      </w:r>
      <w:r w:rsidRPr="00394B7E">
        <w:rPr>
          <w:rStyle w:val="aff9"/>
          <w:rFonts w:hint="cs"/>
          <w:vanish/>
          <w:rtl/>
        </w:rPr>
        <w:t>-</w:t>
      </w:r>
      <w:r w:rsidRPr="007A72D8">
        <w:rPr>
          <w:rStyle w:val="af"/>
          <w:rFonts w:hint="cs"/>
          <w:rtl/>
        </w:rPr>
        <w:t>]</w:t>
      </w:r>
      <w:r w:rsidRPr="00CD1359">
        <w:rPr>
          <w:rStyle w:val="af"/>
          <w:rFonts w:hint="cs"/>
          <w:rtl/>
        </w:rPr>
        <w:t>.</w:t>
      </w:r>
    </w:p>
    <w:p w14:paraId="765857C4" w14:textId="77777777" w:rsidR="000426DE" w:rsidRPr="00747170" w:rsidRDefault="000426DE" w:rsidP="00747170">
      <w:pPr>
        <w:pStyle w:val="a2"/>
      </w:pPr>
      <w:r w:rsidRPr="00747170">
        <w:rPr>
          <w:rtl/>
        </w:rPr>
        <w:t>והניחו ע"ג יתדות מיחייב משום תולש - האי מיחייב מכת מרדות מדרבנן כדפירש בקונטרס מדשרי ריש לקיש וקשה לר"י דאמרי' בפ"ק דגיטין (דף ז:) א"ר יוחנן עציץ נקוב המונח ע"ג יתדות באנו למחלוקת ר"י ורבנן דלר"י פטור מן המעשר כדמפליג בין ספינה גוששת לשאינה גוששת ולרבנן חייב אמר רבא דילמא לא היא ע"כ לא קאמרי רבנן אלא דספינה דלא מפסיק אויר אבל עציץ דמיפסיק אוירא אפילו רבנן מודו הא בשמעתין חשבינן ליה כמחובר מדאורייתא אפי' הניחו על גבי יתדות ולא מיחייב משום תולש אלא מדרבנן ונראה לר"י דשמעתין לא סברא דחויא דרבא דהתם.</w:t>
      </w:r>
    </w:p>
    <w:p w14:paraId="362BF41D" w14:textId="77777777" w:rsidR="000426DE" w:rsidRPr="00D578AC" w:rsidRDefault="000426DE" w:rsidP="00747170">
      <w:pPr>
        <w:pStyle w:val="afffff5"/>
        <w:rPr>
          <w:rtl/>
        </w:rPr>
      </w:pPr>
      <w:r w:rsidRPr="00D578AC">
        <w:rPr>
          <w:rtl/>
        </w:rPr>
        <w:t>תירצו בתוספות דאביי סבר דההיא דיחויא בעלמא הוא ולא סמכינן עליה, ובמקומו הארכתי בס"ד.</w:t>
      </w:r>
    </w:p>
    <w:p w14:paraId="4F40C464" w14:textId="77777777" w:rsidR="000426DE" w:rsidRPr="00DF0FA9" w:rsidRDefault="000426DE" w:rsidP="000426DE">
      <w:pPr>
        <w:pStyle w:val="afffff7"/>
        <w:rPr>
          <w:rtl/>
        </w:rPr>
      </w:pPr>
      <w:bookmarkStart w:id="1562" w:name="_Toc135513720"/>
      <w:bookmarkStart w:id="1563" w:name="_Toc163505643"/>
      <w:r w:rsidRPr="00DF0FA9">
        <w:rPr>
          <w:rtl/>
        </w:rPr>
        <w:t xml:space="preserve">מנחת חינוך מוסך השבת </w:t>
      </w:r>
      <w:r w:rsidRPr="00DF0FA9">
        <w:rPr>
          <w:rFonts w:hint="cs"/>
          <w:rtl/>
        </w:rPr>
        <w:t xml:space="preserve">זורע אות </w:t>
      </w:r>
      <w:r>
        <w:rPr>
          <w:rFonts w:hint="cs"/>
          <w:rtl/>
        </w:rPr>
        <w:t>ג</w:t>
      </w:r>
      <w:r w:rsidRPr="00DF0FA9">
        <w:rPr>
          <w:rFonts w:hint="cs"/>
          <w:rtl/>
        </w:rPr>
        <w:t xml:space="preserve">' ד"ה </w:t>
      </w:r>
      <w:r>
        <w:rPr>
          <w:rFonts w:hint="cs"/>
          <w:rtl/>
        </w:rPr>
        <w:t>והנה הזורע</w:t>
      </w:r>
      <w:bookmarkEnd w:id="1562"/>
      <w:bookmarkEnd w:id="1563"/>
    </w:p>
    <w:p w14:paraId="02BB1197" w14:textId="77777777" w:rsidR="000426DE" w:rsidRPr="00DF0FA9" w:rsidRDefault="000426DE" w:rsidP="000426DE">
      <w:pPr>
        <w:pStyle w:val="a7"/>
        <w:rPr>
          <w:rtl/>
        </w:rPr>
      </w:pPr>
      <w:bookmarkStart w:id="1564" w:name="_Toc139316376"/>
      <w:r>
        <w:rPr>
          <w:rFonts w:hint="cs"/>
          <w:rtl/>
        </w:rPr>
        <w:t>בי' המנ"ח ברש"י דרק מגביה עציץ ע"ג יתדות הוא דרבנן אבל מניחו ע"ג קרקע אסור מדאו'</w:t>
      </w:r>
      <w:bookmarkEnd w:id="1564"/>
    </w:p>
    <w:p w14:paraId="5D9E787D" w14:textId="4CC5906B" w:rsidR="000426DE" w:rsidRDefault="000426DE" w:rsidP="00BC7DC8">
      <w:pPr>
        <w:pStyle w:val="a3"/>
        <w:rPr>
          <w:rtl/>
        </w:rPr>
      </w:pPr>
      <w:r>
        <w:rPr>
          <w:rFonts w:hint="cs"/>
          <w:rtl/>
        </w:rPr>
        <w:t xml:space="preserve">במ"ש </w:t>
      </w:r>
      <w:r w:rsidRPr="00DE1AA0">
        <w:rPr>
          <w:rStyle w:val="aff4"/>
          <w:rFonts w:hint="cs"/>
          <w:vanish/>
          <w:rtl/>
        </w:rPr>
        <w:t>-</w:t>
      </w:r>
      <w:r w:rsidRPr="00DB6BF0">
        <w:rPr>
          <w:rStyle w:val="aff4"/>
          <w:rFonts w:hint="cs"/>
          <w:rtl/>
        </w:rPr>
        <w:t>רש"י לקמן</w:t>
      </w:r>
      <w:r w:rsidRPr="00DE1AA0">
        <w:rPr>
          <w:rStyle w:val="aff4"/>
          <w:rFonts w:hint="cs"/>
          <w:vanish/>
          <w:rtl/>
        </w:rPr>
        <w:t>-</w:t>
      </w:r>
      <w:r>
        <w:rPr>
          <w:rFonts w:hint="cs"/>
          <w:rtl/>
        </w:rPr>
        <w:t xml:space="preserve"> </w:t>
      </w:r>
      <w:r w:rsidRPr="00FB451D">
        <w:rPr>
          <w:rStyle w:val="af2"/>
          <w:rFonts w:eastAsia="Guttman Hodes" w:hint="cs"/>
          <w:rtl/>
        </w:rPr>
        <w:t xml:space="preserve">(עי' אות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Ref134734637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לה)</w:t>
      </w:r>
      <w:r>
        <w:rPr>
          <w:rStyle w:val="af2"/>
          <w:rFonts w:eastAsia="Guttman Hodes"/>
          <w:rtl/>
        </w:rPr>
        <w:fldChar w:fldCharType="end"/>
      </w:r>
      <w:r>
        <w:rPr>
          <w:rFonts w:hint="cs"/>
          <w:rtl/>
        </w:rPr>
        <w:t xml:space="preserve"> דהאיסור להגביה פרפיסא מע"ג קרקע לע"ג יתדות הוא מדרבנן, כתב</w:t>
      </w:r>
      <w:r w:rsidRPr="00DF0FA9">
        <w:rPr>
          <w:rFonts w:hint="cs"/>
          <w:rtl/>
        </w:rPr>
        <w:t xml:space="preserve"> </w:t>
      </w:r>
      <w:r w:rsidRPr="003B307E">
        <w:rPr>
          <w:rStyle w:val="aff4"/>
          <w:rFonts w:hint="cs"/>
          <w:vanish/>
          <w:rtl/>
        </w:rPr>
        <w:t>-</w:t>
      </w:r>
      <w:r w:rsidRPr="004F32D2">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Ref133575439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קכ)</w:t>
      </w:r>
      <w:r w:rsidRPr="00B53404">
        <w:rPr>
          <w:rStyle w:val="aff4"/>
          <w:vanish/>
          <w:rtl/>
        </w:rPr>
        <w:fldChar w:fldCharType="end"/>
      </w:r>
      <w:r w:rsidRPr="00B53404">
        <w:rPr>
          <w:rStyle w:val="aff4"/>
          <w:rFonts w:hint="cs"/>
          <w:vanish/>
          <w:rtl/>
        </w:rPr>
        <w:t xml:space="preserve"> &gt;</w:t>
      </w:r>
      <w:r w:rsidRPr="004F32D2">
        <w:rPr>
          <w:rStyle w:val="aff4"/>
          <w:rFonts w:hint="cs"/>
          <w:rtl/>
        </w:rPr>
        <w:t>מנחת חינוך</w:t>
      </w:r>
      <w:r w:rsidRPr="003B307E">
        <w:rPr>
          <w:rStyle w:val="aff4"/>
          <w:rFonts w:hint="cs"/>
          <w:vanish/>
          <w:rtl/>
        </w:rPr>
        <w:t>-</w:t>
      </w:r>
      <w:r w:rsidRPr="00DF0FA9">
        <w:rPr>
          <w:rFonts w:hint="cs"/>
          <w:rtl/>
        </w:rPr>
        <w:t xml:space="preserve"> </w:t>
      </w:r>
      <w:r w:rsidRPr="00FB451D">
        <w:rPr>
          <w:rStyle w:val="af2"/>
          <w:rFonts w:eastAsia="Guttman Hodes" w:hint="cs"/>
          <w:rtl/>
        </w:rPr>
        <w:t>(מוסך השבת זורע אות ג' ד"ה והנה הזורע)</w:t>
      </w:r>
      <w:r w:rsidRPr="003B307E">
        <w:rPr>
          <w:rFonts w:hint="cs"/>
          <w:vanish/>
          <w:rtl/>
        </w:rPr>
        <w:t>=</w:t>
      </w:r>
      <w:r w:rsidRPr="00516524">
        <w:rPr>
          <w:rFonts w:hint="cs"/>
          <w:rtl/>
        </w:rPr>
        <w:t xml:space="preserve"> </w:t>
      </w:r>
      <w:r>
        <w:rPr>
          <w:rFonts w:hint="cs"/>
          <w:rtl/>
        </w:rPr>
        <w:t xml:space="preserve">דהיינו דוקא לענין תולש, אבל בנטל את העציץ מע"ג יתדות והניחו ע"ג קרקע, מודה </w:t>
      </w:r>
      <w:r w:rsidRPr="003B307E">
        <w:rPr>
          <w:rStyle w:val="aff4"/>
          <w:rFonts w:hint="cs"/>
          <w:vanish/>
          <w:rtl/>
        </w:rPr>
        <w:t>-</w:t>
      </w:r>
      <w:r w:rsidRPr="004F32D2">
        <w:rPr>
          <w:rStyle w:val="aff4"/>
          <w:rFonts w:hint="cs"/>
          <w:rtl/>
        </w:rPr>
        <w:t>רש"י</w:t>
      </w:r>
      <w:r w:rsidRPr="003B307E">
        <w:rPr>
          <w:rStyle w:val="aff4"/>
          <w:rFonts w:hint="cs"/>
          <w:vanish/>
          <w:rtl/>
        </w:rPr>
        <w:t>-</w:t>
      </w:r>
      <w:r>
        <w:rPr>
          <w:rFonts w:hint="cs"/>
          <w:rtl/>
        </w:rPr>
        <w:t xml:space="preserve"> למ"ש </w:t>
      </w:r>
      <w:r w:rsidRPr="00C65D8D">
        <w:rPr>
          <w:rStyle w:val="aff4"/>
          <w:rFonts w:hint="cs"/>
          <w:vanish/>
          <w:rtl/>
        </w:rPr>
        <w:t>-</w:t>
      </w:r>
      <w:r w:rsidRPr="00C65D8D">
        <w:rPr>
          <w:rStyle w:val="aff4"/>
          <w:rFonts w:hint="cs"/>
          <w:rtl/>
        </w:rPr>
        <w:t>הרמב"ם</w:t>
      </w:r>
      <w:r w:rsidRPr="00C65D8D">
        <w:rPr>
          <w:rStyle w:val="aff4"/>
          <w:rFonts w:hint="cs"/>
          <w:vanish/>
          <w:rtl/>
        </w:rPr>
        <w:t>-</w:t>
      </w:r>
      <w:r>
        <w:rPr>
          <w:rFonts w:hint="cs"/>
          <w:rtl/>
        </w:rPr>
        <w:t xml:space="preserve"> </w:t>
      </w:r>
      <w:r w:rsidRPr="00FB451D">
        <w:rPr>
          <w:rStyle w:val="af2"/>
          <w:rFonts w:eastAsia="Guttman Hodes" w:hint="cs"/>
          <w:rtl/>
        </w:rPr>
        <w:t>(עי' אות</w:t>
      </w:r>
      <w:r w:rsidRPr="00FB451D">
        <w:rPr>
          <w:rStyle w:val="af2"/>
          <w:rFonts w:eastAsia="Guttman Hodes"/>
          <w:rtl/>
        </w:rPr>
        <w:t xml:space="preserve">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Ref134736415 \r \h</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מ)</w:t>
      </w:r>
      <w:r w:rsidRPr="00FB451D">
        <w:rPr>
          <w:rStyle w:val="af2"/>
          <w:rFonts w:eastAsia="Guttman Hodes"/>
          <w:rtl/>
        </w:rPr>
        <w:fldChar w:fldCharType="end"/>
      </w:r>
      <w:r>
        <w:rPr>
          <w:rFonts w:hint="cs"/>
          <w:rtl/>
        </w:rPr>
        <w:t xml:space="preserve"> דגבשושית של עפר יש בה חיוב נוטע דאו', והביא</w:t>
      </w:r>
      <w:r w:rsidRPr="002C5E3D">
        <w:rPr>
          <w:rFonts w:hint="cs"/>
          <w:rtl/>
        </w:rPr>
        <w:t xml:space="preserve"> </w:t>
      </w:r>
      <w:r w:rsidRPr="00B4411F">
        <w:rPr>
          <w:rStyle w:val="aff4"/>
          <w:rFonts w:hint="cs"/>
          <w:vanish/>
          <w:rtl/>
        </w:rPr>
        <w:t>-</w:t>
      </w:r>
      <w:r w:rsidRPr="005C4013">
        <w:rPr>
          <w:rStyle w:val="aff4"/>
          <w:rFonts w:hint="cs"/>
          <w:rtl/>
        </w:rPr>
        <w:t>המנחת חינוך</w:t>
      </w:r>
      <w:r w:rsidRPr="00B4411F">
        <w:rPr>
          <w:rStyle w:val="aff4"/>
          <w:rFonts w:hint="cs"/>
          <w:vanish/>
          <w:rtl/>
        </w:rPr>
        <w:t>-</w:t>
      </w:r>
      <w:r w:rsidRPr="002C5E3D">
        <w:rPr>
          <w:rFonts w:hint="cs"/>
          <w:rtl/>
        </w:rPr>
        <w:t xml:space="preserve"> דכן חילק </w:t>
      </w:r>
      <w:r w:rsidRPr="00B4411F">
        <w:rPr>
          <w:rStyle w:val="aff4"/>
          <w:rFonts w:hint="cs"/>
          <w:vanish/>
          <w:rtl/>
        </w:rPr>
        <w:t>-</w:t>
      </w:r>
      <w:r w:rsidRPr="005C4013">
        <w:rPr>
          <w:rStyle w:val="aff4"/>
          <w:rFonts w:hint="cs"/>
          <w:rtl/>
        </w:rPr>
        <w:t>הנשמת אדם</w:t>
      </w:r>
      <w:r w:rsidRPr="00B4411F">
        <w:rPr>
          <w:rStyle w:val="aff4"/>
          <w:rFonts w:hint="cs"/>
          <w:vanish/>
          <w:rtl/>
        </w:rPr>
        <w:t>-</w:t>
      </w:r>
      <w:r w:rsidRPr="002C5E3D">
        <w:rPr>
          <w:rFonts w:hint="cs"/>
          <w:rtl/>
        </w:rPr>
        <w:t xml:space="preserve"> </w:t>
      </w:r>
      <w:r w:rsidRPr="00FB451D">
        <w:rPr>
          <w:rStyle w:val="af2"/>
          <w:rFonts w:eastAsia="Guttman Hodes" w:hint="cs"/>
          <w:rtl/>
        </w:rPr>
        <w:t xml:space="preserve">(שבת כלל י"א אות א' ד"ה </w:t>
      </w:r>
      <w:r w:rsidRPr="00FB451D">
        <w:rPr>
          <w:rStyle w:val="af2"/>
          <w:rFonts w:eastAsia="Guttman Hodes"/>
          <w:rtl/>
        </w:rPr>
        <w:t>וה</w:t>
      </w:r>
      <w:r w:rsidRPr="00FB451D">
        <w:rPr>
          <w:rStyle w:val="af2"/>
          <w:rFonts w:eastAsia="Guttman Hodes" w:hint="cs"/>
          <w:rtl/>
        </w:rPr>
        <w:t>נ</w:t>
      </w:r>
      <w:r w:rsidRPr="00FB451D">
        <w:rPr>
          <w:rStyle w:val="af2"/>
          <w:rFonts w:eastAsia="Guttman Hodes"/>
          <w:rtl/>
        </w:rPr>
        <w:t>ה</w:t>
      </w:r>
      <w:r w:rsidRPr="00FB451D">
        <w:rPr>
          <w:rStyle w:val="af2"/>
          <w:rFonts w:eastAsia="Guttman Hodes" w:hint="cs"/>
          <w:rtl/>
        </w:rPr>
        <w:t>, הובא בסימן א אות קי"ט)</w:t>
      </w:r>
      <w:r w:rsidRPr="002C5E3D">
        <w:rPr>
          <w:rFonts w:hint="cs"/>
          <w:rtl/>
        </w:rPr>
        <w:t xml:space="preserve"> בין תולש לזורע וס"ל דזורע חייב, </w:t>
      </w:r>
      <w:r w:rsidRPr="00E96CDE">
        <w:rPr>
          <w:rStyle w:val="af"/>
          <w:rFonts w:hint="cs"/>
          <w:rtl/>
        </w:rPr>
        <w:t xml:space="preserve">[אך כתב </w:t>
      </w:r>
      <w:r w:rsidRPr="00E96CDE">
        <w:rPr>
          <w:rStyle w:val="aff9"/>
          <w:rFonts w:hint="cs"/>
          <w:vanish/>
          <w:rtl/>
        </w:rPr>
        <w:t>-</w:t>
      </w:r>
      <w:r w:rsidRPr="00E96CDE">
        <w:rPr>
          <w:rStyle w:val="aff9"/>
          <w:rFonts w:hint="cs"/>
          <w:rtl/>
        </w:rPr>
        <w:t>המנחת חינוך דהמגן אבות</w:t>
      </w:r>
      <w:r w:rsidRPr="00E96CDE">
        <w:rPr>
          <w:rStyle w:val="aff9"/>
          <w:rFonts w:hint="cs"/>
          <w:vanish/>
          <w:rtl/>
        </w:rPr>
        <w:t>-</w:t>
      </w:r>
      <w:r w:rsidRPr="00E96CDE">
        <w:rPr>
          <w:rStyle w:val="aff9"/>
          <w:rFonts w:hint="cs"/>
          <w:rtl/>
        </w:rPr>
        <w:t xml:space="preserve"> </w:t>
      </w:r>
      <w:r w:rsidRPr="00E96CDE">
        <w:rPr>
          <w:rStyle w:val="aff0"/>
          <w:rFonts w:hint="cs"/>
          <w:rtl/>
        </w:rPr>
        <w:t xml:space="preserve">(הזורע ד"ה ולכאורה, הובא בסימן א' אות קי"ז) </w:t>
      </w:r>
      <w:r w:rsidRPr="00E96CDE">
        <w:rPr>
          <w:rStyle w:val="af"/>
          <w:rFonts w:hint="cs"/>
          <w:rtl/>
        </w:rPr>
        <w:t xml:space="preserve">מסתפק בזה], </w:t>
      </w:r>
      <w:r w:rsidRPr="002C5E3D">
        <w:rPr>
          <w:rFonts w:hint="cs"/>
          <w:rtl/>
        </w:rPr>
        <w:t xml:space="preserve">וביאר </w:t>
      </w:r>
      <w:r w:rsidRPr="00B4411F">
        <w:rPr>
          <w:rStyle w:val="aff4"/>
          <w:rFonts w:hint="cs"/>
          <w:vanish/>
          <w:rtl/>
        </w:rPr>
        <w:t>-</w:t>
      </w:r>
      <w:r w:rsidRPr="005C4013">
        <w:rPr>
          <w:rStyle w:val="aff4"/>
          <w:rFonts w:hint="cs"/>
          <w:rtl/>
        </w:rPr>
        <w:t>המנחת חינוך</w:t>
      </w:r>
      <w:r w:rsidRPr="00B4411F">
        <w:rPr>
          <w:rStyle w:val="aff4"/>
          <w:rFonts w:hint="cs"/>
          <w:vanish/>
          <w:rtl/>
        </w:rPr>
        <w:t>-</w:t>
      </w:r>
      <w:r w:rsidRPr="002C5E3D">
        <w:rPr>
          <w:rFonts w:hint="cs"/>
          <w:rtl/>
        </w:rPr>
        <w:t xml:space="preserve"> דלענין זורע החיוב הוא כל שממהר עי"ז להצמיח כמו במשקה מים לזרעים, אך הביא </w:t>
      </w:r>
      <w:r w:rsidRPr="00B4411F">
        <w:rPr>
          <w:rStyle w:val="aff4"/>
          <w:rFonts w:hint="cs"/>
          <w:vanish/>
          <w:rtl/>
        </w:rPr>
        <w:t>-</w:t>
      </w:r>
      <w:r w:rsidRPr="005C4013">
        <w:rPr>
          <w:rStyle w:val="aff4"/>
          <w:rFonts w:hint="cs"/>
          <w:rtl/>
        </w:rPr>
        <w:t>המנחת חינוך</w:t>
      </w:r>
      <w:r w:rsidRPr="00B4411F">
        <w:rPr>
          <w:rStyle w:val="aff4"/>
          <w:rFonts w:hint="cs"/>
          <w:vanish/>
          <w:rtl/>
        </w:rPr>
        <w:t>-</w:t>
      </w:r>
      <w:r w:rsidRPr="002C5E3D">
        <w:rPr>
          <w:rFonts w:hint="cs"/>
          <w:rtl/>
        </w:rPr>
        <w:t xml:space="preserve"> את דברי </w:t>
      </w:r>
      <w:r w:rsidRPr="00B4411F">
        <w:rPr>
          <w:rStyle w:val="aff4"/>
          <w:rFonts w:hint="cs"/>
          <w:vanish/>
          <w:rtl/>
        </w:rPr>
        <w:t>-</w:t>
      </w:r>
      <w:r w:rsidRPr="005C4013">
        <w:rPr>
          <w:rStyle w:val="aff4"/>
          <w:rFonts w:hint="cs"/>
          <w:rtl/>
        </w:rPr>
        <w:t>ההג' אשר"י</w:t>
      </w:r>
      <w:r w:rsidRPr="00B4411F">
        <w:rPr>
          <w:rStyle w:val="aff4"/>
          <w:rFonts w:hint="cs"/>
          <w:vanish/>
          <w:rtl/>
        </w:rPr>
        <w:t>-</w:t>
      </w:r>
      <w:r w:rsidRPr="002C5E3D">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Ref134956004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מז)</w:t>
      </w:r>
      <w:r>
        <w:rPr>
          <w:rStyle w:val="af2"/>
          <w:rFonts w:eastAsia="Guttman Hodes"/>
          <w:rtl/>
        </w:rPr>
        <w:fldChar w:fldCharType="end"/>
      </w:r>
      <w:r w:rsidRPr="002C5E3D">
        <w:rPr>
          <w:rFonts w:hint="cs"/>
          <w:rtl/>
        </w:rPr>
        <w:t xml:space="preserve"> דכתב דאף לענין זורע האיסור הוא רק מדרבנן, ותמה</w:t>
      </w:r>
      <w:r>
        <w:rPr>
          <w:rFonts w:hint="cs"/>
          <w:rtl/>
        </w:rPr>
        <w:t xml:space="preserve"> </w:t>
      </w:r>
      <w:r w:rsidRPr="00B4411F">
        <w:rPr>
          <w:rStyle w:val="aff4"/>
          <w:rFonts w:hint="cs"/>
          <w:vanish/>
          <w:rtl/>
        </w:rPr>
        <w:t>-</w:t>
      </w:r>
      <w:r w:rsidRPr="005C4013">
        <w:rPr>
          <w:rStyle w:val="aff4"/>
          <w:rFonts w:hint="cs"/>
          <w:rtl/>
        </w:rPr>
        <w:t>המנחת חינוך</w:t>
      </w:r>
      <w:r w:rsidRPr="00B4411F">
        <w:rPr>
          <w:rStyle w:val="aff4"/>
          <w:rFonts w:hint="cs"/>
          <w:vanish/>
          <w:rtl/>
        </w:rPr>
        <w:t>-</w:t>
      </w:r>
      <w:r w:rsidRPr="002C5E3D">
        <w:rPr>
          <w:rFonts w:hint="cs"/>
          <w:rtl/>
        </w:rPr>
        <w:t xml:space="preserve"> על דבריו. </w:t>
      </w:r>
      <w:r w:rsidRPr="007A72D8">
        <w:rPr>
          <w:rStyle w:val="af"/>
          <w:rFonts w:hint="cs"/>
          <w:rtl/>
        </w:rPr>
        <w:t xml:space="preserve">[ועי' במה שתירץ </w:t>
      </w:r>
      <w:r w:rsidRPr="00394B7E">
        <w:rPr>
          <w:rStyle w:val="aff9"/>
          <w:rFonts w:hint="cs"/>
          <w:vanish/>
          <w:rtl/>
        </w:rPr>
        <w:t>-</w:t>
      </w:r>
      <w:r w:rsidRPr="00394B7E">
        <w:rPr>
          <w:rStyle w:val="aff9"/>
          <w:rFonts w:hint="cs"/>
          <w:rtl/>
        </w:rPr>
        <w:t>ב</w:t>
      </w:r>
      <w:r w:rsidRPr="00394B7E">
        <w:rPr>
          <w:rStyle w:val="aff9"/>
          <w:rFonts w:hint="cs"/>
          <w:vanish/>
          <w:rtl/>
        </w:rPr>
        <w:t>&lt; &gt;</w:t>
      </w:r>
      <w:r w:rsidRPr="00394B7E">
        <w:rPr>
          <w:rStyle w:val="aff9"/>
          <w:rFonts w:hint="cs"/>
          <w:rtl/>
        </w:rPr>
        <w:t>חי' רבי ראובן בגיטין</w:t>
      </w:r>
      <w:r w:rsidRPr="00394B7E">
        <w:rPr>
          <w:rStyle w:val="aff9"/>
          <w:rFonts w:hint="cs"/>
          <w:vanish/>
          <w:rtl/>
        </w:rPr>
        <w:t>-</w:t>
      </w:r>
      <w:r w:rsidRPr="007A72D8">
        <w:rPr>
          <w:rStyle w:val="af"/>
          <w:rFonts w:hint="cs"/>
          <w:rtl/>
        </w:rPr>
        <w:t xml:space="preserve"> </w:t>
      </w:r>
      <w:r w:rsidRPr="00394B7E">
        <w:rPr>
          <w:rStyle w:val="aff0"/>
          <w:rFonts w:hint="cs"/>
          <w:rtl/>
        </w:rPr>
        <w:t>(סי' ט' ד"ה ולכאורה)</w:t>
      </w:r>
      <w:r w:rsidRPr="00394B7E">
        <w:rPr>
          <w:rStyle w:val="af"/>
          <w:rFonts w:hint="cs"/>
          <w:vanish/>
          <w:rtl/>
        </w:rPr>
        <w:t>=</w:t>
      </w:r>
      <w:r w:rsidRPr="007A72D8">
        <w:rPr>
          <w:rStyle w:val="af"/>
          <w:rFonts w:hint="cs"/>
          <w:rtl/>
        </w:rPr>
        <w:t xml:space="preserve"> דבזומר ומשקה הוא מוסיף בפירות והעץ עצמם דעי"ז הם נעשים יותר גדולים, אבל כשמניח את העציץ ע"ג הקרקע, אינו מגדל בעצם הפירות שבעציץ, ואף דעי"ז הוא מוסיף להם יניקה, מ"מ אינו מוסיף לאיכות של הפרי, דעיקר גידולו הוא מהעפר שבעציץ ולא מהקרקע שתחת הנקב, עיי"ש במה שהוכיח כן מדברי </w:t>
      </w:r>
      <w:r w:rsidRPr="00394B7E">
        <w:rPr>
          <w:rStyle w:val="aff9"/>
          <w:rFonts w:hint="cs"/>
          <w:vanish/>
          <w:rtl/>
        </w:rPr>
        <w:t>-</w:t>
      </w:r>
      <w:r w:rsidRPr="00394B7E">
        <w:rPr>
          <w:rStyle w:val="aff9"/>
          <w:rFonts w:hint="cs"/>
          <w:rtl/>
        </w:rPr>
        <w:t>התוס' בב"ב</w:t>
      </w:r>
      <w:r w:rsidRPr="00394B7E">
        <w:rPr>
          <w:rStyle w:val="aff9"/>
          <w:rFonts w:hint="cs"/>
          <w:vanish/>
          <w:rtl/>
        </w:rPr>
        <w:t>-</w:t>
      </w:r>
      <w:r w:rsidRPr="007A72D8">
        <w:rPr>
          <w:rStyle w:val="af"/>
          <w:rFonts w:hint="cs"/>
          <w:rtl/>
        </w:rPr>
        <w:t xml:space="preserve"> </w:t>
      </w:r>
      <w:r w:rsidRPr="00394B7E">
        <w:rPr>
          <w:rStyle w:val="aff0"/>
          <w:rFonts w:hint="cs"/>
          <w:rtl/>
        </w:rPr>
        <w:t>(כז: ד"ה בחטה)</w:t>
      </w:r>
      <w:r w:rsidRPr="007A72D8">
        <w:rPr>
          <w:rStyle w:val="af"/>
          <w:rFonts w:hint="cs"/>
          <w:rtl/>
        </w:rPr>
        <w:t>]</w:t>
      </w:r>
      <w:r w:rsidRPr="00CD1359">
        <w:rPr>
          <w:rStyle w:val="af"/>
          <w:rFonts w:hint="cs"/>
          <w:rtl/>
        </w:rPr>
        <w:t>.</w:t>
      </w:r>
      <w:r>
        <w:rPr>
          <w:rFonts w:hint="cs"/>
          <w:rtl/>
        </w:rPr>
        <w:t xml:space="preserve">  </w:t>
      </w:r>
    </w:p>
    <w:p w14:paraId="23813AD1" w14:textId="77777777" w:rsidR="000426DE" w:rsidRPr="00A36009" w:rsidRDefault="000426DE" w:rsidP="000426DE">
      <w:pPr>
        <w:pStyle w:val="a7"/>
        <w:rPr>
          <w:rtl/>
        </w:rPr>
      </w:pPr>
    </w:p>
    <w:p w14:paraId="2FBA2185" w14:textId="77777777" w:rsidR="000426DE" w:rsidRPr="00747170" w:rsidRDefault="000426DE" w:rsidP="00747170">
      <w:pPr>
        <w:pStyle w:val="a2"/>
      </w:pPr>
      <w:r w:rsidRPr="00747170">
        <w:rPr>
          <w:rtl/>
        </w:rPr>
        <w:t>והנה הזורע בעציץ שא"נ אינו מבואר הדין ובמג"א מסתפק בזה ובח"א דעתו לחייב גם בעציץ שא"נ ומביא פירש"י שבת שכ' דלאו היינו רבותא לענין עציץ שא"נ פי' דאין זריעה בכך וכ' דכוונתו לענין תלישה אבל לא לענין זריעה ואינו מוכרח וצ"ע. ומבואר בר"מ לקמן ה"ד גבשושית של עפר שעלו בה עשבים אם היתה ע"ג יתידות הניחה על הארץ חייב משום זורע וע' בשבת דפ"א ע"ב ונראה דאף רש"י מודה בזה אף דלענין תלישה פירש"י שם דהוא מדרבנן דגם ע"ג יתדות יונק מהקרקע ע"ש מ"מ כאן מודה דעכ"פ יונק יותר וממהר להצמיח הו"ל תולדת זורע כמו משקה מים וכו' וז"ב ע"ל במלאכת קוצר. שוב מצאתי בהג"א פ' המוציא כ' בשם ר"י דגם הניחה ע"ג קרקע א"ח רק מדרבנן ובטלה דעתי מ"מ צ"ע כי הדברים שכ' נכונים המה.</w:t>
      </w:r>
    </w:p>
    <w:p w14:paraId="12A4AAA2" w14:textId="77777777" w:rsidR="000426DE" w:rsidRPr="00722D43" w:rsidRDefault="000426DE" w:rsidP="000426DE">
      <w:pPr>
        <w:pStyle w:val="1"/>
        <w:rPr>
          <w:rtl/>
        </w:rPr>
      </w:pPr>
      <w:bookmarkStart w:id="1565" w:name="_Toc139316377"/>
      <w:r>
        <w:rPr>
          <w:rFonts w:hint="cs"/>
          <w:rtl/>
        </w:rPr>
        <w:t>בי' ההג"א דאף חיוב נוטע בעציץ נקוב מיתדות לקרקע דרבנן</w:t>
      </w:r>
      <w:bookmarkEnd w:id="1565"/>
    </w:p>
    <w:p w14:paraId="5232CEFC" w14:textId="77777777" w:rsidR="000426DE" w:rsidRDefault="000426DE" w:rsidP="000426DE">
      <w:pPr>
        <w:pStyle w:val="afffff7"/>
        <w:rPr>
          <w:rtl/>
        </w:rPr>
      </w:pPr>
      <w:bookmarkStart w:id="1566" w:name="_Toc135513721"/>
      <w:bookmarkStart w:id="1567" w:name="_Toc163505644"/>
      <w:r>
        <w:rPr>
          <w:rtl/>
        </w:rPr>
        <w:t xml:space="preserve">הגהות אשרי שבת </w:t>
      </w:r>
      <w:r>
        <w:rPr>
          <w:rFonts w:hint="cs"/>
          <w:rtl/>
        </w:rPr>
        <w:t>פ"</w:t>
      </w:r>
      <w:r>
        <w:rPr>
          <w:rtl/>
        </w:rPr>
        <w:t>ח סי' ב</w:t>
      </w:r>
      <w:bookmarkEnd w:id="1566"/>
      <w:bookmarkEnd w:id="1567"/>
    </w:p>
    <w:p w14:paraId="023B73FD" w14:textId="77777777" w:rsidR="000426DE" w:rsidRDefault="000426DE" w:rsidP="000426DE">
      <w:pPr>
        <w:pStyle w:val="a7"/>
        <w:rPr>
          <w:rtl/>
        </w:rPr>
      </w:pPr>
      <w:bookmarkStart w:id="1568" w:name="_Toc139316378"/>
      <w:r>
        <w:rPr>
          <w:rFonts w:hint="cs"/>
          <w:rtl/>
        </w:rPr>
        <w:t>בי' ההג"א דאף מניח עצי"נ מיתדות לקרקע הוא נוטע דרבנן ורק במפסיק בבגד תולש מדאו'</w:t>
      </w:r>
      <w:bookmarkEnd w:id="1568"/>
    </w:p>
    <w:p w14:paraId="3DDD6D9A" w14:textId="27B0A2CC" w:rsidR="000426DE" w:rsidRPr="00DB7273" w:rsidRDefault="000426DE" w:rsidP="00BC7DC8">
      <w:pPr>
        <w:pStyle w:val="a3"/>
        <w:rPr>
          <w:rtl/>
        </w:rPr>
      </w:pPr>
      <w:bookmarkStart w:id="1569" w:name="_Ref134956004"/>
      <w:r>
        <w:rPr>
          <w:rFonts w:hint="cs"/>
          <w:rtl/>
        </w:rPr>
        <w:t xml:space="preserve">הביא </w:t>
      </w:r>
      <w:r w:rsidRPr="009C5B22">
        <w:rPr>
          <w:rStyle w:val="aff4"/>
          <w:rFonts w:hint="cs"/>
          <w:vanish/>
          <w:rtl/>
        </w:rPr>
        <w:t>-</w:t>
      </w:r>
      <w:r w:rsidRPr="009C5B22">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Ref134956004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מז)</w:t>
      </w:r>
      <w:r w:rsidRPr="00B53404">
        <w:rPr>
          <w:rStyle w:val="aff4"/>
          <w:vanish/>
          <w:rtl/>
        </w:rPr>
        <w:fldChar w:fldCharType="end"/>
      </w:r>
      <w:r w:rsidRPr="00B53404">
        <w:rPr>
          <w:rStyle w:val="aff4"/>
          <w:rFonts w:hint="cs"/>
          <w:vanish/>
          <w:rtl/>
        </w:rPr>
        <w:t xml:space="preserve"> &gt;</w:t>
      </w:r>
      <w:r w:rsidRPr="009C5B22">
        <w:rPr>
          <w:rStyle w:val="aff4"/>
          <w:rFonts w:hint="cs"/>
          <w:rtl/>
        </w:rPr>
        <w:t>ב"י</w:t>
      </w:r>
      <w:r w:rsidRPr="009C5B22">
        <w:rPr>
          <w:rStyle w:val="aff4"/>
          <w:rFonts w:hint="cs"/>
          <w:vanish/>
          <w:rtl/>
        </w:rPr>
        <w:t>-</w:t>
      </w:r>
      <w:r>
        <w:rPr>
          <w:rFonts w:hint="cs"/>
          <w:rtl/>
        </w:rPr>
        <w:t xml:space="preserve"> </w:t>
      </w:r>
      <w:r w:rsidRPr="009C5B22">
        <w:rPr>
          <w:rStyle w:val="af2"/>
          <w:rFonts w:eastAsia="Guttman Hodes" w:hint="cs"/>
          <w:rtl/>
        </w:rPr>
        <w:t>(סי' של"ו ח' סוד"ה כתב רש"י)</w:t>
      </w:r>
      <w:r w:rsidRPr="009C5B22">
        <w:rPr>
          <w:rFonts w:hint="cs"/>
          <w:vanish/>
          <w:rtl/>
        </w:rPr>
        <w:t>=</w:t>
      </w:r>
      <w:r>
        <w:rPr>
          <w:rFonts w:hint="cs"/>
          <w:rtl/>
        </w:rPr>
        <w:t xml:space="preserve"> את דברי </w:t>
      </w:r>
      <w:r w:rsidRPr="006527E3">
        <w:rPr>
          <w:rStyle w:val="aff4"/>
          <w:rFonts w:hint="cs"/>
          <w:vanish/>
          <w:rtl/>
        </w:rPr>
        <w:t>-</w:t>
      </w:r>
      <w:r w:rsidRPr="009B386D">
        <w:rPr>
          <w:rStyle w:val="aff4"/>
          <w:rFonts w:hint="cs"/>
          <w:rtl/>
        </w:rPr>
        <w:t>ה</w:t>
      </w:r>
      <w:r w:rsidRPr="00131524">
        <w:rPr>
          <w:rStyle w:val="aff4"/>
          <w:rFonts w:hint="cs"/>
          <w:vanish/>
          <w:rtl/>
        </w:rPr>
        <w:t>&lt; &gt;</w:t>
      </w:r>
      <w:r w:rsidRPr="009B386D">
        <w:rPr>
          <w:rStyle w:val="aff4"/>
          <w:rFonts w:hint="cs"/>
          <w:rtl/>
        </w:rPr>
        <w:t>הג' אשר"י לקמן</w:t>
      </w:r>
      <w:r w:rsidRPr="006527E3">
        <w:rPr>
          <w:rStyle w:val="aff4"/>
          <w:rFonts w:hint="cs"/>
          <w:vanish/>
          <w:rtl/>
        </w:rPr>
        <w:t>-</w:t>
      </w:r>
      <w:r w:rsidRPr="0025575E">
        <w:rPr>
          <w:rFonts w:hint="cs"/>
          <w:rtl/>
        </w:rPr>
        <w:t xml:space="preserve"> </w:t>
      </w:r>
      <w:r w:rsidRPr="00FB451D">
        <w:rPr>
          <w:rStyle w:val="af2"/>
          <w:rFonts w:eastAsia="Guttman Hodes" w:hint="cs"/>
          <w:rtl/>
        </w:rPr>
        <w:t>(על הרא"ש פ"ח סי' ב')</w:t>
      </w:r>
      <w:r w:rsidRPr="006527E3">
        <w:rPr>
          <w:rFonts w:hint="cs"/>
          <w:vanish/>
          <w:rtl/>
        </w:rPr>
        <w:t>=</w:t>
      </w:r>
      <w:r w:rsidRPr="0025575E">
        <w:rPr>
          <w:rFonts w:hint="cs"/>
          <w:rtl/>
        </w:rPr>
        <w:t xml:space="preserve"> </w:t>
      </w:r>
      <w:r>
        <w:rPr>
          <w:rFonts w:hint="cs"/>
          <w:rtl/>
        </w:rPr>
        <w:t xml:space="preserve">דכתב </w:t>
      </w:r>
      <w:r w:rsidRPr="0025575E">
        <w:rPr>
          <w:rFonts w:hint="cs"/>
          <w:rtl/>
        </w:rPr>
        <w:t xml:space="preserve">דמניח עציץ נקוב ע"ג יתדות, הוא תולש מדרבנן ולכן התירו לצורך קינוח, והוסיף </w:t>
      </w:r>
      <w:r w:rsidRPr="006527E3">
        <w:rPr>
          <w:rStyle w:val="aff4"/>
          <w:rFonts w:hint="cs"/>
          <w:vanish/>
          <w:rtl/>
        </w:rPr>
        <w:t>-</w:t>
      </w:r>
      <w:r w:rsidRPr="009B386D">
        <w:rPr>
          <w:rStyle w:val="aff4"/>
          <w:rFonts w:hint="cs"/>
          <w:rtl/>
        </w:rPr>
        <w:t>ההג' אשר"י</w:t>
      </w:r>
      <w:r w:rsidRPr="006527E3">
        <w:rPr>
          <w:rStyle w:val="aff4"/>
          <w:rFonts w:hint="cs"/>
          <w:vanish/>
          <w:rtl/>
        </w:rPr>
        <w:t>-</w:t>
      </w:r>
      <w:r w:rsidRPr="0025575E">
        <w:rPr>
          <w:rFonts w:hint="cs"/>
          <w:rtl/>
        </w:rPr>
        <w:t xml:space="preserve"> ד</w:t>
      </w:r>
      <w:r>
        <w:rPr>
          <w:rFonts w:hint="cs"/>
          <w:rtl/>
        </w:rPr>
        <w:t>ה</w:t>
      </w:r>
      <w:r w:rsidRPr="0025575E">
        <w:rPr>
          <w:rFonts w:hint="cs"/>
          <w:rtl/>
        </w:rPr>
        <w:t>"ה בנוטל מע"ג יתדות והניחו ע"ג קרקע, דחייב בנוטע רק מדרבנן, כיון דגם ע"ג היתדות הוא  יונק קצת מהקרקע, ולכן אין בו איסור דאו' בתולש או נוטע</w:t>
      </w:r>
      <w:r>
        <w:rPr>
          <w:rFonts w:hint="cs"/>
          <w:rtl/>
        </w:rPr>
        <w:t xml:space="preserve">, וכתב </w:t>
      </w:r>
      <w:r w:rsidRPr="006527E3">
        <w:rPr>
          <w:rStyle w:val="aff4"/>
          <w:rFonts w:hint="cs"/>
          <w:vanish/>
          <w:rtl/>
        </w:rPr>
        <w:t>-</w:t>
      </w:r>
      <w:r w:rsidRPr="009B386D">
        <w:rPr>
          <w:rStyle w:val="aff4"/>
          <w:rFonts w:hint="cs"/>
          <w:rtl/>
        </w:rPr>
        <w:t>ההג' אשר"י</w:t>
      </w:r>
      <w:r w:rsidRPr="006527E3">
        <w:rPr>
          <w:rStyle w:val="aff4"/>
          <w:rFonts w:hint="cs"/>
          <w:vanish/>
          <w:rtl/>
        </w:rPr>
        <w:t>-</w:t>
      </w:r>
      <w:r>
        <w:rPr>
          <w:rFonts w:hint="cs"/>
          <w:rtl/>
        </w:rPr>
        <w:t xml:space="preserve"> דאם הפסיק בין העציץ לקרקע לגמרי בעצים או בבגד יש בו איסור תולש ונוטע דאו', כיון דהפסיק את יניקתו לגמרי, ועי' במה שביארו </w:t>
      </w:r>
      <w:r w:rsidRPr="006527E3">
        <w:rPr>
          <w:rStyle w:val="aff4"/>
          <w:rFonts w:hint="cs"/>
          <w:vanish/>
          <w:rtl/>
        </w:rPr>
        <w:t>-</w:t>
      </w:r>
      <w:r w:rsidRPr="009B386D">
        <w:rPr>
          <w:rStyle w:val="aff4"/>
          <w:rFonts w:hint="cs"/>
          <w:rtl/>
        </w:rPr>
        <w:t>הדברי יחזקאל</w:t>
      </w:r>
      <w:r w:rsidRPr="006527E3">
        <w:rPr>
          <w:rStyle w:val="aff4"/>
          <w:rFonts w:hint="cs"/>
          <w:vanish/>
          <w:rtl/>
        </w:rPr>
        <w:t>-</w:t>
      </w:r>
      <w:r>
        <w:rPr>
          <w:rFonts w:hint="cs"/>
          <w:rtl/>
        </w:rPr>
        <w:t xml:space="preserve"> </w:t>
      </w:r>
      <w:r w:rsidRPr="00FB451D">
        <w:rPr>
          <w:rStyle w:val="af2"/>
          <w:rFonts w:eastAsia="Guttman Hodes" w:hint="cs"/>
          <w:rtl/>
        </w:rPr>
        <w:t xml:space="preserve">(עי' אות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Ref134956613 \r \h</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קז)</w:t>
      </w:r>
      <w:r w:rsidRPr="00FB451D">
        <w:rPr>
          <w:rStyle w:val="af2"/>
          <w:rFonts w:eastAsia="Guttman Hodes"/>
          <w:rtl/>
        </w:rPr>
        <w:fldChar w:fldCharType="end"/>
      </w:r>
      <w:r>
        <w:rPr>
          <w:rFonts w:hint="cs"/>
          <w:rtl/>
        </w:rPr>
        <w:t xml:space="preserve"> </w:t>
      </w:r>
      <w:r w:rsidRPr="00DE1AA0">
        <w:rPr>
          <w:rStyle w:val="aff4"/>
          <w:rFonts w:hint="cs"/>
          <w:vanish/>
          <w:rtl/>
        </w:rPr>
        <w:t>-</w:t>
      </w:r>
      <w:r>
        <w:rPr>
          <w:rStyle w:val="aff4"/>
          <w:rFonts w:hint="cs"/>
          <w:vanish/>
          <w:rtl/>
        </w:rPr>
        <w:t>ו</w:t>
      </w:r>
      <w:r w:rsidRPr="00DB6BF0">
        <w:rPr>
          <w:rStyle w:val="aff4"/>
          <w:rFonts w:hint="cs"/>
          <w:rtl/>
        </w:rPr>
        <w:t>החזו"א</w:t>
      </w:r>
      <w:r w:rsidRPr="00DE1AA0">
        <w:rPr>
          <w:rStyle w:val="aff4"/>
          <w:rFonts w:hint="cs"/>
          <w:vanish/>
          <w:rtl/>
        </w:rPr>
        <w:t>-</w:t>
      </w:r>
      <w:r>
        <w:rPr>
          <w:rFonts w:hint="cs"/>
          <w:rtl/>
        </w:rPr>
        <w:t xml:space="preserve"> </w:t>
      </w:r>
      <w:r>
        <w:rPr>
          <w:rStyle w:val="af2"/>
          <w:rFonts w:eastAsia="Guttman Hodes" w:hint="cs"/>
          <w:rtl/>
        </w:rPr>
        <w:t>(</w:t>
      </w:r>
      <w:r w:rsidRPr="00C03297">
        <w:rPr>
          <w:rStyle w:val="af2"/>
          <w:rFonts w:eastAsia="Guttman Hodes" w:hint="cs"/>
          <w:rtl/>
        </w:rPr>
        <w:t xml:space="preserve">עי' אות </w:t>
      </w:r>
      <w:r w:rsidRPr="00C03297">
        <w:rPr>
          <w:rStyle w:val="af2"/>
          <w:rFonts w:eastAsia="Guttman Hodes"/>
          <w:rtl/>
        </w:rPr>
        <w:fldChar w:fldCharType="begin"/>
      </w:r>
      <w:r w:rsidRPr="00C03297">
        <w:rPr>
          <w:rStyle w:val="af2"/>
          <w:rFonts w:eastAsia="Guttman Hodes"/>
          <w:rtl/>
        </w:rPr>
        <w:instrText xml:space="preserve"> </w:instrText>
      </w:r>
      <w:r w:rsidRPr="00C03297">
        <w:rPr>
          <w:rStyle w:val="af2"/>
          <w:rFonts w:eastAsia="Guttman Hodes" w:hint="cs"/>
        </w:rPr>
        <w:instrText>REF</w:instrText>
      </w:r>
      <w:r w:rsidRPr="00C03297">
        <w:rPr>
          <w:rStyle w:val="af2"/>
          <w:rFonts w:eastAsia="Guttman Hodes" w:hint="cs"/>
          <w:rtl/>
        </w:rPr>
        <w:instrText xml:space="preserve"> _</w:instrText>
      </w:r>
      <w:r w:rsidRPr="00C03297">
        <w:rPr>
          <w:rStyle w:val="af2"/>
          <w:rFonts w:eastAsia="Guttman Hodes" w:hint="cs"/>
        </w:rPr>
        <w:instrText>Ref135063159 \r \h</w:instrText>
      </w:r>
      <w:r w:rsidRPr="00C03297">
        <w:rPr>
          <w:rStyle w:val="af2"/>
          <w:rFonts w:eastAsia="Guttman Hodes"/>
          <w:rtl/>
        </w:rPr>
        <w:instrText xml:space="preserve"> </w:instrText>
      </w:r>
      <w:r w:rsidRPr="00C03297">
        <w:rPr>
          <w:rStyle w:val="af2"/>
          <w:rFonts w:eastAsia="Guttman Hodes"/>
          <w:rtl/>
        </w:rPr>
      </w:r>
      <w:r w:rsidRPr="00C03297">
        <w:rPr>
          <w:rStyle w:val="af2"/>
          <w:rFonts w:eastAsia="Guttman Hodes"/>
          <w:rtl/>
        </w:rPr>
        <w:fldChar w:fldCharType="separate"/>
      </w:r>
      <w:r w:rsidR="00D82181">
        <w:rPr>
          <w:rStyle w:val="af2"/>
          <w:rFonts w:eastAsia="Guttman Hodes"/>
          <w:cs/>
        </w:rPr>
        <w:t>‎</w:t>
      </w:r>
      <w:r w:rsidR="00D82181">
        <w:rPr>
          <w:rStyle w:val="af2"/>
          <w:rFonts w:eastAsia="Guttman Hodes"/>
          <w:rtl/>
        </w:rPr>
        <w:t>קח)</w:t>
      </w:r>
      <w:r w:rsidRPr="00C03297">
        <w:rPr>
          <w:rStyle w:val="af2"/>
          <w:rFonts w:eastAsia="Guttman Hodes"/>
          <w:rtl/>
        </w:rPr>
        <w:fldChar w:fldCharType="end"/>
      </w:r>
      <w:r w:rsidRPr="00FB451D">
        <w:rPr>
          <w:rStyle w:val="af2"/>
          <w:rFonts w:eastAsia="Guttman Hodes" w:hint="cs"/>
          <w:rtl/>
        </w:rPr>
        <w:t xml:space="preserve"> </w:t>
      </w:r>
      <w:r>
        <w:rPr>
          <w:rFonts w:hint="cs"/>
          <w:rtl/>
        </w:rPr>
        <w:t xml:space="preserve">בדברי </w:t>
      </w:r>
      <w:r w:rsidRPr="006527E3">
        <w:rPr>
          <w:rStyle w:val="aff4"/>
          <w:rFonts w:hint="cs"/>
          <w:vanish/>
          <w:rtl/>
        </w:rPr>
        <w:t>-</w:t>
      </w:r>
      <w:r w:rsidRPr="009B386D">
        <w:rPr>
          <w:rStyle w:val="aff4"/>
          <w:rFonts w:hint="cs"/>
          <w:rtl/>
        </w:rPr>
        <w:t>ההג' אשר"י</w:t>
      </w:r>
      <w:r w:rsidRPr="006527E3">
        <w:rPr>
          <w:rStyle w:val="aff4"/>
          <w:rFonts w:hint="cs"/>
          <w:vanish/>
          <w:rtl/>
        </w:rPr>
        <w:t>-</w:t>
      </w:r>
      <w:r w:rsidRPr="0025575E">
        <w:rPr>
          <w:rFonts w:hint="cs"/>
          <w:rtl/>
        </w:rPr>
        <w:t>.</w:t>
      </w:r>
      <w:bookmarkEnd w:id="1569"/>
    </w:p>
    <w:p w14:paraId="72C28BBB" w14:textId="77777777" w:rsidR="000426DE" w:rsidRPr="00747170" w:rsidRDefault="000426DE" w:rsidP="00747170">
      <w:pPr>
        <w:pStyle w:val="a2"/>
        <w:rPr>
          <w:rtl/>
        </w:rPr>
      </w:pPr>
      <w:r w:rsidRPr="00747170">
        <w:rPr>
          <w:rtl/>
        </w:rPr>
        <w:t>*** אף על פי שמגביהו מן הקרקע והרי מבטל יניקתו משום כבוד הבריות שרי. אבל שלא לצורך קינוח אסור הלכך האי עציץ נקוב שמונח על גבי [קרקע והניחו ע"ג] יתידות חייב משום תולש מדרבנן או אם מונח על גבי יתידות והניחו על גבי קרקע חייב משום נוטע ומדרבנן. אף על גב דמונח על גבי יתידות יונק מן הקרקע קצת הלכך מדאורייתא אין חייב משום תולש ומשום נוטע פר"י. א"כ משמע אם הפסיקו (לגמרי) בעצים או בבגד דפסיק יניקתו לגמרי שייך בו תלישה ונטיעה מדאורייתא. מהרי"ח:</w:t>
      </w:r>
    </w:p>
    <w:p w14:paraId="2C776D29" w14:textId="77777777" w:rsidR="000426DE" w:rsidRDefault="000426DE" w:rsidP="000426DE">
      <w:pPr>
        <w:pStyle w:val="1"/>
        <w:rPr>
          <w:rtl/>
        </w:rPr>
      </w:pPr>
      <w:bookmarkStart w:id="1570" w:name="_Toc139316379"/>
      <w:r>
        <w:rPr>
          <w:rFonts w:hint="cs"/>
          <w:rtl/>
        </w:rPr>
        <w:t>בי' המאירי דהעציץ יונק רק ע"ג הקרקע ולא ע"ג היתדות</w:t>
      </w:r>
      <w:bookmarkEnd w:id="1570"/>
    </w:p>
    <w:p w14:paraId="7CA38AD8" w14:textId="77777777" w:rsidR="000426DE" w:rsidRDefault="000426DE" w:rsidP="000426DE">
      <w:pPr>
        <w:pStyle w:val="afffff7"/>
        <w:rPr>
          <w:rtl/>
        </w:rPr>
      </w:pPr>
      <w:bookmarkStart w:id="1571" w:name="_Toc163505645"/>
      <w:r>
        <w:rPr>
          <w:rtl/>
        </w:rPr>
        <w:t>מאירי שבת פ"א ע"ב</w:t>
      </w:r>
      <w:r>
        <w:rPr>
          <w:rFonts w:hint="cs"/>
          <w:rtl/>
        </w:rPr>
        <w:t xml:space="preserve"> ד"ה זה שהתרנו</w:t>
      </w:r>
      <w:bookmarkEnd w:id="1571"/>
    </w:p>
    <w:p w14:paraId="29126F37" w14:textId="77777777" w:rsidR="000426DE" w:rsidRDefault="000426DE" w:rsidP="000426DE">
      <w:pPr>
        <w:pStyle w:val="a7"/>
        <w:rPr>
          <w:rtl/>
        </w:rPr>
      </w:pPr>
      <w:bookmarkStart w:id="1572" w:name="_Toc139316380"/>
      <w:r>
        <w:rPr>
          <w:rFonts w:hint="cs"/>
          <w:rtl/>
        </w:rPr>
        <w:t>בי' המאירי דרק בקרקע העציץ יונק ולא ע"ג יתדות והוי תולש ונוטע אך נר' כרש"י דהוא דרבנן</w:t>
      </w:r>
      <w:bookmarkEnd w:id="1572"/>
    </w:p>
    <w:p w14:paraId="43415670" w14:textId="54AD0988" w:rsidR="000426DE" w:rsidRPr="001179C1" w:rsidRDefault="000426DE" w:rsidP="00BC7DC8">
      <w:pPr>
        <w:pStyle w:val="a3"/>
        <w:rPr>
          <w:rtl/>
        </w:rPr>
      </w:pPr>
      <w:r>
        <w:rPr>
          <w:rFonts w:hint="cs"/>
          <w:rtl/>
        </w:rPr>
        <w:t xml:space="preserve">כתב </w:t>
      </w:r>
      <w:r w:rsidRPr="00DE1AA0">
        <w:rPr>
          <w:rStyle w:val="aff4"/>
          <w:rFonts w:hint="cs"/>
          <w:vanish/>
          <w:rtl/>
        </w:rPr>
        <w:t>-</w:t>
      </w:r>
      <w:r w:rsidRPr="00DB6BF0">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Ref135067489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לח)</w:t>
      </w:r>
      <w:r w:rsidRPr="00B53404">
        <w:rPr>
          <w:rStyle w:val="aff4"/>
          <w:vanish/>
          <w:rtl/>
        </w:rPr>
        <w:fldChar w:fldCharType="end"/>
      </w:r>
      <w:r w:rsidRPr="00B53404">
        <w:rPr>
          <w:rStyle w:val="aff4"/>
          <w:rFonts w:hint="cs"/>
          <w:vanish/>
          <w:rtl/>
        </w:rPr>
        <w:t xml:space="preserve"> &gt;</w:t>
      </w:r>
      <w:r w:rsidRPr="00DB6BF0">
        <w:rPr>
          <w:rStyle w:val="aff4"/>
          <w:rFonts w:hint="cs"/>
          <w:rtl/>
        </w:rPr>
        <w:t>מאירי לקמן</w:t>
      </w:r>
      <w:r w:rsidRPr="00DE1AA0">
        <w:rPr>
          <w:rStyle w:val="aff4"/>
          <w:rFonts w:hint="cs"/>
          <w:vanish/>
          <w:rtl/>
        </w:rPr>
        <w:t>-</w:t>
      </w:r>
      <w:r>
        <w:rPr>
          <w:rFonts w:hint="cs"/>
          <w:rtl/>
        </w:rPr>
        <w:t xml:space="preserve"> </w:t>
      </w:r>
      <w:r w:rsidRPr="00FB451D">
        <w:rPr>
          <w:rStyle w:val="af2"/>
          <w:rFonts w:eastAsia="Guttman Hodes" w:hint="cs"/>
          <w:rtl/>
        </w:rPr>
        <w:t>(פא: ד"ה זה שהתרנו)</w:t>
      </w:r>
      <w:r w:rsidRPr="00DE1AA0">
        <w:rPr>
          <w:rFonts w:hint="cs"/>
          <w:vanish/>
          <w:rtl/>
        </w:rPr>
        <w:t>=</w:t>
      </w:r>
      <w:r>
        <w:rPr>
          <w:rFonts w:hint="cs"/>
          <w:rtl/>
        </w:rPr>
        <w:t xml:space="preserve"> דההיתר לקנח בצרור הוא רק משום כבוד הבריות, אבל שלא לצורך אסור לטלטל את העציץ הנקוב מע"ג הקרקע, כיון שהוא יונק מהקרקע, וכתב </w:t>
      </w:r>
      <w:r w:rsidRPr="00DE1AA0">
        <w:rPr>
          <w:rStyle w:val="aff4"/>
          <w:rFonts w:hint="cs"/>
          <w:vanish/>
          <w:rtl/>
        </w:rPr>
        <w:t>-</w:t>
      </w:r>
      <w:r w:rsidRPr="00DB6BF0">
        <w:rPr>
          <w:rStyle w:val="aff4"/>
          <w:rFonts w:hint="cs"/>
          <w:rtl/>
        </w:rPr>
        <w:t>המאירי</w:t>
      </w:r>
      <w:r w:rsidRPr="00DE1AA0">
        <w:rPr>
          <w:rStyle w:val="aff4"/>
          <w:rFonts w:hint="cs"/>
          <w:vanish/>
          <w:rtl/>
        </w:rPr>
        <w:t>-</w:t>
      </w:r>
      <w:r>
        <w:rPr>
          <w:rFonts w:hint="cs"/>
          <w:rtl/>
        </w:rPr>
        <w:t xml:space="preserve"> דרק כשהוא מונח ע"ג היתדות דאינו יונק מהקרקע, מותר לטלטלו, וכתב </w:t>
      </w:r>
      <w:r w:rsidRPr="00DE1AA0">
        <w:rPr>
          <w:rStyle w:val="aff4"/>
          <w:rFonts w:hint="cs"/>
          <w:vanish/>
          <w:rtl/>
        </w:rPr>
        <w:t>-</w:t>
      </w:r>
      <w:r w:rsidRPr="00DB6BF0">
        <w:rPr>
          <w:rStyle w:val="aff4"/>
          <w:rFonts w:hint="cs"/>
          <w:rtl/>
        </w:rPr>
        <w:t>המאירי</w:t>
      </w:r>
      <w:r w:rsidRPr="00DE1AA0">
        <w:rPr>
          <w:rStyle w:val="aff4"/>
          <w:rFonts w:hint="cs"/>
          <w:vanish/>
          <w:rtl/>
        </w:rPr>
        <w:t>-</w:t>
      </w:r>
      <w:r>
        <w:rPr>
          <w:rFonts w:hint="cs"/>
          <w:rtl/>
        </w:rPr>
        <w:t xml:space="preserve"> דזהו הביאור בהא דאמרינן בגמ' דבמונח ע"כ קרקע והניחו ע"ג  יתדות חייב משום תולש, ובמונח ע"ג יתדות והניחו ע"ג קרקע חייב משום נוטע, אך הביא </w:t>
      </w:r>
      <w:r w:rsidRPr="00DE1AA0">
        <w:rPr>
          <w:rStyle w:val="aff4"/>
          <w:rFonts w:hint="cs"/>
          <w:vanish/>
          <w:rtl/>
        </w:rPr>
        <w:t>-</w:t>
      </w:r>
      <w:r w:rsidRPr="00DB6BF0">
        <w:rPr>
          <w:rStyle w:val="aff4"/>
          <w:rFonts w:hint="cs"/>
          <w:rtl/>
        </w:rPr>
        <w:t>המאירי</w:t>
      </w:r>
      <w:r w:rsidRPr="00DE1AA0">
        <w:rPr>
          <w:rStyle w:val="aff4"/>
          <w:rFonts w:hint="cs"/>
          <w:vanish/>
          <w:rtl/>
        </w:rPr>
        <w:t>-</w:t>
      </w:r>
      <w:r>
        <w:rPr>
          <w:rFonts w:hint="cs"/>
          <w:rtl/>
        </w:rPr>
        <w:t xml:space="preserve"> את דברי </w:t>
      </w:r>
      <w:r w:rsidRPr="00DE1AA0">
        <w:rPr>
          <w:rStyle w:val="aff4"/>
          <w:rFonts w:hint="cs"/>
          <w:vanish/>
          <w:rtl/>
        </w:rPr>
        <w:t>-</w:t>
      </w:r>
      <w:r w:rsidRPr="00DB6BF0">
        <w:rPr>
          <w:rStyle w:val="aff4"/>
          <w:rFonts w:hint="cs"/>
          <w:rtl/>
        </w:rPr>
        <w:t>רש"י</w:t>
      </w:r>
      <w:r w:rsidRPr="00DE1AA0">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Ref134734637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לה)</w:t>
      </w:r>
      <w:r>
        <w:rPr>
          <w:rStyle w:val="af2"/>
          <w:rFonts w:eastAsia="Guttman Hodes"/>
          <w:rtl/>
        </w:rPr>
        <w:fldChar w:fldCharType="end"/>
      </w:r>
      <w:r>
        <w:rPr>
          <w:rFonts w:hint="cs"/>
          <w:rtl/>
        </w:rPr>
        <w:t xml:space="preserve"> דביאר דהוא תולש רק מדרבנן, וכתב </w:t>
      </w:r>
      <w:r w:rsidRPr="00DE1AA0">
        <w:rPr>
          <w:rStyle w:val="aff4"/>
          <w:rFonts w:hint="cs"/>
          <w:vanish/>
          <w:rtl/>
        </w:rPr>
        <w:t>-</w:t>
      </w:r>
      <w:r w:rsidRPr="00DB6BF0">
        <w:rPr>
          <w:rStyle w:val="aff4"/>
          <w:rFonts w:hint="cs"/>
          <w:rtl/>
        </w:rPr>
        <w:t>המאירי</w:t>
      </w:r>
      <w:r w:rsidRPr="00DE1AA0">
        <w:rPr>
          <w:rStyle w:val="aff4"/>
          <w:rFonts w:hint="cs"/>
          <w:vanish/>
          <w:rtl/>
        </w:rPr>
        <w:t>-</w:t>
      </w:r>
      <w:r>
        <w:rPr>
          <w:rFonts w:hint="cs"/>
          <w:rtl/>
        </w:rPr>
        <w:t xml:space="preserve"> דנראה כביאור </w:t>
      </w:r>
      <w:r w:rsidRPr="00DE1AA0">
        <w:rPr>
          <w:rStyle w:val="aff4"/>
          <w:rFonts w:hint="cs"/>
          <w:vanish/>
          <w:rtl/>
        </w:rPr>
        <w:t>-</w:t>
      </w:r>
      <w:r w:rsidRPr="00DB6BF0">
        <w:rPr>
          <w:rStyle w:val="aff4"/>
          <w:rFonts w:hint="cs"/>
          <w:rtl/>
        </w:rPr>
        <w:t>רש"י</w:t>
      </w:r>
      <w:r w:rsidRPr="00DE1AA0">
        <w:rPr>
          <w:rStyle w:val="aff4"/>
          <w:rFonts w:hint="cs"/>
          <w:vanish/>
          <w:rtl/>
        </w:rPr>
        <w:t>-</w:t>
      </w:r>
      <w:r>
        <w:rPr>
          <w:rFonts w:hint="cs"/>
          <w:rtl/>
        </w:rPr>
        <w:t xml:space="preserve">, אך בעציץ שאינו נקוב מותר, ועי' במ"ש </w:t>
      </w:r>
      <w:r w:rsidRPr="00DE1AA0">
        <w:rPr>
          <w:rStyle w:val="aff4"/>
          <w:rFonts w:hint="cs"/>
          <w:vanish/>
          <w:rtl/>
        </w:rPr>
        <w:t>-</w:t>
      </w:r>
      <w:r w:rsidRPr="00DB6BF0">
        <w:rPr>
          <w:rStyle w:val="aff4"/>
          <w:rFonts w:hint="cs"/>
          <w:rtl/>
        </w:rPr>
        <w:t>הדבר אברהם</w:t>
      </w:r>
      <w:r w:rsidRPr="00DE1AA0">
        <w:rPr>
          <w:rStyle w:val="aff4"/>
          <w:rFonts w:hint="cs"/>
          <w:vanish/>
          <w:rtl/>
        </w:rPr>
        <w:t>-</w:t>
      </w:r>
      <w:r>
        <w:rPr>
          <w:rFonts w:hint="cs"/>
          <w:rtl/>
        </w:rPr>
        <w:t xml:space="preserve"> </w:t>
      </w:r>
      <w:r>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Ref135384824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צז)</w:t>
      </w:r>
      <w:r>
        <w:rPr>
          <w:rStyle w:val="af2"/>
          <w:rFonts w:eastAsia="Guttman Hodes"/>
          <w:rtl/>
        </w:rPr>
        <w:fldChar w:fldCharType="end"/>
      </w:r>
      <w:r>
        <w:rPr>
          <w:rStyle w:val="af2"/>
          <w:rFonts w:eastAsia="Guttman Hodes" w:hint="cs"/>
          <w:rtl/>
        </w:rPr>
        <w:t xml:space="preserve"> </w:t>
      </w:r>
      <w:r>
        <w:rPr>
          <w:rFonts w:hint="cs"/>
          <w:rtl/>
        </w:rPr>
        <w:t xml:space="preserve">בדברי </w:t>
      </w:r>
      <w:r w:rsidRPr="00DE1AA0">
        <w:rPr>
          <w:rStyle w:val="aff4"/>
          <w:rFonts w:hint="cs"/>
          <w:vanish/>
          <w:rtl/>
        </w:rPr>
        <w:t>-</w:t>
      </w:r>
      <w:r w:rsidRPr="00DB6BF0">
        <w:rPr>
          <w:rStyle w:val="aff4"/>
          <w:rFonts w:hint="cs"/>
          <w:rtl/>
        </w:rPr>
        <w:t>המאירי</w:t>
      </w:r>
      <w:r w:rsidRPr="00DE1AA0">
        <w:rPr>
          <w:rStyle w:val="aff4"/>
          <w:rFonts w:hint="cs"/>
          <w:vanish/>
          <w:rtl/>
        </w:rPr>
        <w:t>-</w:t>
      </w:r>
      <w:r>
        <w:rPr>
          <w:rFonts w:hint="cs"/>
          <w:rtl/>
        </w:rPr>
        <w:t>.</w:t>
      </w:r>
    </w:p>
    <w:p w14:paraId="3C9DEF23" w14:textId="77777777" w:rsidR="000426DE" w:rsidRPr="00747170" w:rsidRDefault="000426DE" w:rsidP="00747170">
      <w:pPr>
        <w:pStyle w:val="a2"/>
        <w:rPr>
          <w:rtl/>
        </w:rPr>
      </w:pPr>
      <w:r w:rsidRPr="00747170">
        <w:rPr>
          <w:rtl/>
        </w:rPr>
        <w:t>זה שהתרנו לעקור צרור ממקומו אף על פי שהעשבים יונקים מן הקרקע לא הותר אלא לצורך כגון כבוד הבריות על הדרך שביארנו אבל שלא לצורך אסור מעתה עציץ נקוב המונח על הקרקע אסור לטלטלו שהרי יונק הוא מן הארץ אא"כ היה מונח על גבי יתדות שאינו יונק מן הארץ והוא שאמרו היה מונח על גבי קרקע והניחו על גבי יתדות חייב משום תולש היה מונח על גבי יתדות והניחו על גבי קרקע חייב משום נוטע ומ"מ גדולי הרבנים כתבו שלא נאמר כאן חייב אלא משום אסור שאלו חייב ממש היאך יתירו איסור סקילה וכרת משום כבוד הבריות ואין כבוד הבריות דוחה אלא לאו דלא תסור אלא שהוא אסור ודומה לו חייב משום נשג"א ומשום נשג"ז והדברים נראים ומ"מ בשאינו נקוב יראה שאין איסור בדבר וכן כתבוה חכמי הדורות</w:t>
      </w:r>
      <w:r w:rsidRPr="00747170">
        <w:rPr>
          <w:rFonts w:hint="cs"/>
          <w:rtl/>
        </w:rPr>
        <w:t>.</w:t>
      </w:r>
    </w:p>
    <w:p w14:paraId="11EBF380" w14:textId="77777777" w:rsidR="000426DE" w:rsidRDefault="000426DE" w:rsidP="000426DE">
      <w:pPr>
        <w:pStyle w:val="afffff7"/>
        <w:rPr>
          <w:rtl/>
        </w:rPr>
      </w:pPr>
      <w:bookmarkStart w:id="1573" w:name="_Toc163505646"/>
      <w:r>
        <w:rPr>
          <w:rtl/>
        </w:rPr>
        <w:t>מאירי גיטין ז' ע"ב</w:t>
      </w:r>
      <w:r>
        <w:rPr>
          <w:rFonts w:hint="cs"/>
          <w:rtl/>
        </w:rPr>
        <w:t xml:space="preserve"> ד"ה ממה</w:t>
      </w:r>
      <w:bookmarkEnd w:id="1573"/>
    </w:p>
    <w:p w14:paraId="23E92A8D" w14:textId="77777777" w:rsidR="000426DE" w:rsidRDefault="000426DE" w:rsidP="000426DE">
      <w:pPr>
        <w:pStyle w:val="a7"/>
        <w:rPr>
          <w:rtl/>
        </w:rPr>
      </w:pPr>
      <w:bookmarkStart w:id="1574" w:name="_Toc139316381"/>
      <w:r>
        <w:rPr>
          <w:rFonts w:hint="cs"/>
          <w:rtl/>
        </w:rPr>
        <w:t>בי' המאירי בגיטין דמוכח בגמ' בגיטין דעציץ נקוב ע"ג יתדות אינו כמונח בקרקע אלא תלוש</w:t>
      </w:r>
      <w:bookmarkEnd w:id="1574"/>
    </w:p>
    <w:p w14:paraId="43122DC7" w14:textId="56468FC0" w:rsidR="000426DE" w:rsidRDefault="000426DE" w:rsidP="00BC7DC8">
      <w:pPr>
        <w:pStyle w:val="a3"/>
        <w:rPr>
          <w:rtl/>
        </w:rPr>
      </w:pPr>
      <w:r>
        <w:rPr>
          <w:rFonts w:hint="cs"/>
          <w:rtl/>
        </w:rPr>
        <w:t xml:space="preserve">וע"ע בדברי </w:t>
      </w:r>
      <w:r w:rsidRPr="00B4411F">
        <w:rPr>
          <w:rStyle w:val="aff4"/>
          <w:rFonts w:hint="cs"/>
          <w:vanish/>
          <w:rtl/>
        </w:rPr>
        <w:t>-</w:t>
      </w:r>
      <w:r w:rsidRPr="005C4013">
        <w:rPr>
          <w:rStyle w:val="aff4"/>
          <w:rFonts w:hint="cs"/>
          <w:rtl/>
        </w:rPr>
        <w:t>ה</w:t>
      </w:r>
      <w:r w:rsidRPr="00B4411F">
        <w:rPr>
          <w:rStyle w:val="aff4"/>
          <w:rFonts w:hint="cs"/>
          <w:vanish/>
          <w:rtl/>
        </w:rPr>
        <w:t xml:space="preserve">&lt;. </w:t>
      </w:r>
      <w:r w:rsidRPr="00B4411F">
        <w:rPr>
          <w:rStyle w:val="aff4"/>
          <w:vanish/>
          <w:rtl/>
        </w:rPr>
        <w:fldChar w:fldCharType="begin"/>
      </w:r>
      <w:r w:rsidRPr="00B4411F">
        <w:rPr>
          <w:rStyle w:val="aff4"/>
          <w:vanish/>
          <w:rtl/>
        </w:rPr>
        <w:instrText xml:space="preserve"> </w:instrText>
      </w:r>
      <w:r w:rsidRPr="00B4411F">
        <w:rPr>
          <w:rStyle w:val="aff4"/>
          <w:rFonts w:hint="cs"/>
          <w:vanish/>
        </w:rPr>
        <w:instrText>REF</w:instrText>
      </w:r>
      <w:r w:rsidRPr="00B4411F">
        <w:rPr>
          <w:rStyle w:val="aff4"/>
          <w:rFonts w:hint="cs"/>
          <w:vanish/>
          <w:rtl/>
        </w:rPr>
        <w:instrText xml:space="preserve"> _</w:instrText>
      </w:r>
      <w:r w:rsidRPr="00B4411F">
        <w:rPr>
          <w:rStyle w:val="aff4"/>
          <w:rFonts w:hint="cs"/>
          <w:vanish/>
        </w:rPr>
        <w:instrText>Ref135213011 \r \h</w:instrText>
      </w:r>
      <w:r w:rsidRPr="00B4411F">
        <w:rPr>
          <w:rStyle w:val="aff4"/>
          <w:vanish/>
          <w:rtl/>
        </w:rPr>
        <w:instrText xml:space="preserve"> </w:instrText>
      </w:r>
      <w:r w:rsidRPr="00B4411F">
        <w:rPr>
          <w:rStyle w:val="aff4"/>
          <w:vanish/>
          <w:rtl/>
        </w:rPr>
      </w:r>
      <w:r w:rsidRPr="00B4411F">
        <w:rPr>
          <w:rStyle w:val="aff4"/>
          <w:vanish/>
          <w:rtl/>
        </w:rPr>
        <w:fldChar w:fldCharType="separate"/>
      </w:r>
      <w:r w:rsidR="00D82181">
        <w:rPr>
          <w:rStyle w:val="aff4"/>
          <w:vanish/>
          <w:cs/>
        </w:rPr>
        <w:t>‎</w:t>
      </w:r>
      <w:r w:rsidR="00D82181">
        <w:rPr>
          <w:rStyle w:val="aff4"/>
          <w:vanish/>
          <w:rtl/>
        </w:rPr>
        <w:t>לט)</w:t>
      </w:r>
      <w:r w:rsidRPr="00B4411F">
        <w:rPr>
          <w:rStyle w:val="aff4"/>
          <w:vanish/>
          <w:rtl/>
        </w:rPr>
        <w:fldChar w:fldCharType="end"/>
      </w:r>
      <w:r w:rsidRPr="00B4411F">
        <w:rPr>
          <w:rStyle w:val="aff4"/>
          <w:rFonts w:hint="cs"/>
          <w:vanish/>
          <w:rtl/>
        </w:rPr>
        <w:t xml:space="preserve"> &gt;</w:t>
      </w:r>
      <w:r w:rsidRPr="005C4013">
        <w:rPr>
          <w:rStyle w:val="aff4"/>
          <w:rFonts w:hint="cs"/>
          <w:rtl/>
        </w:rPr>
        <w:t>מאירי בגיטין</w:t>
      </w:r>
      <w:r w:rsidRPr="00B4411F">
        <w:rPr>
          <w:rStyle w:val="aff4"/>
          <w:rFonts w:hint="cs"/>
          <w:vanish/>
          <w:rtl/>
        </w:rPr>
        <w:t>-</w:t>
      </w:r>
      <w:r>
        <w:rPr>
          <w:rFonts w:hint="cs"/>
          <w:rtl/>
        </w:rPr>
        <w:t xml:space="preserve"> </w:t>
      </w:r>
      <w:r w:rsidRPr="00FB451D">
        <w:rPr>
          <w:rStyle w:val="af2"/>
          <w:rFonts w:eastAsia="Guttman Hodes" w:hint="cs"/>
          <w:rtl/>
        </w:rPr>
        <w:t>(ז: ד"ה ממה)</w:t>
      </w:r>
      <w:r w:rsidRPr="00B4411F">
        <w:rPr>
          <w:rFonts w:hint="cs"/>
          <w:vanish/>
          <w:rtl/>
        </w:rPr>
        <w:t>=</w:t>
      </w:r>
      <w:r>
        <w:rPr>
          <w:rFonts w:hint="cs"/>
          <w:rtl/>
        </w:rPr>
        <w:t xml:space="preserve"> דכתב דמוכח בגמ' בגיטין </w:t>
      </w:r>
      <w:r w:rsidRPr="00FB451D">
        <w:rPr>
          <w:rStyle w:val="af2"/>
          <w:rFonts w:eastAsia="Guttman Hodes" w:hint="cs"/>
          <w:rtl/>
        </w:rPr>
        <w:t>(ז:)</w:t>
      </w:r>
      <w:r>
        <w:rPr>
          <w:rFonts w:hint="cs"/>
          <w:rtl/>
        </w:rPr>
        <w:t xml:space="preserve"> דעציץ נקוב ע"ג יתדות לא חשיב כמונח בקרקע והוא כתלוש, ובהא דכותבין עליו פרוזבול, כתב </w:t>
      </w:r>
      <w:r w:rsidRPr="00B4411F">
        <w:rPr>
          <w:rStyle w:val="aff4"/>
          <w:rFonts w:hint="cs"/>
          <w:vanish/>
          <w:rtl/>
        </w:rPr>
        <w:t>-</w:t>
      </w:r>
      <w:r w:rsidRPr="005C4013">
        <w:rPr>
          <w:rStyle w:val="aff4"/>
          <w:rFonts w:hint="cs"/>
          <w:rtl/>
        </w:rPr>
        <w:t>המאירי</w:t>
      </w:r>
      <w:r w:rsidRPr="00B4411F">
        <w:rPr>
          <w:rStyle w:val="aff4"/>
          <w:rFonts w:hint="cs"/>
          <w:vanish/>
          <w:rtl/>
        </w:rPr>
        <w:t>-</w:t>
      </w:r>
      <w:r>
        <w:rPr>
          <w:rFonts w:hint="cs"/>
          <w:rtl/>
        </w:rPr>
        <w:t xml:space="preserve"> דאפש"ל דלענין פרוזבול הקילו.</w:t>
      </w:r>
    </w:p>
    <w:p w14:paraId="2B72FADE" w14:textId="77777777" w:rsidR="000426DE" w:rsidRPr="00747170" w:rsidRDefault="000426DE" w:rsidP="00747170">
      <w:pPr>
        <w:pStyle w:val="a2"/>
      </w:pPr>
      <w:r w:rsidRPr="00747170">
        <w:rPr>
          <w:rtl/>
        </w:rPr>
        <w:t>ממה שכתבנו למדת שכל שהעציץ מונח על גבי יתדות אף על פי שהוא נקוב אינו כמונח בקרקע וכן ביארנוה לענין שבת בפרק המוציא פ"א ב' שכל שהוא מונח על גבי יתדות כתלוש הוא ומכל מקום לענין שביעית אמרו בפרק השולח ל"ז א' אין כותבין פרוסבל אלא על הקרקע או על עציץ נקוב והקשה נקוב אין שאינו נקוב לא והא איכא מיהא מקומו ותירץ דמונח אסיכי אלמא שאף המונח על גבי יתדות הואיל ונקוב הוא קרקע מקרי ואיפשר שלענין פרוסבל הקלו:</w:t>
      </w:r>
    </w:p>
    <w:p w14:paraId="750EECBD" w14:textId="77777777" w:rsidR="000426DE" w:rsidRDefault="000426DE" w:rsidP="000426DE">
      <w:pPr>
        <w:pStyle w:val="afffff7"/>
        <w:rPr>
          <w:rtl/>
        </w:rPr>
      </w:pPr>
      <w:bookmarkStart w:id="1575" w:name="_Toc135513724"/>
      <w:bookmarkStart w:id="1576" w:name="_Toc163505647"/>
      <w:r>
        <w:rPr>
          <w:rtl/>
        </w:rPr>
        <w:t>ש</w:t>
      </w:r>
      <w:r>
        <w:rPr>
          <w:rFonts w:hint="cs"/>
          <w:rtl/>
        </w:rPr>
        <w:t>ו"ע</w:t>
      </w:r>
      <w:r>
        <w:rPr>
          <w:rtl/>
        </w:rPr>
        <w:t xml:space="preserve"> </w:t>
      </w:r>
      <w:r>
        <w:rPr>
          <w:rFonts w:hint="cs"/>
          <w:rtl/>
        </w:rPr>
        <w:t>או"ח סי'</w:t>
      </w:r>
      <w:r>
        <w:rPr>
          <w:rtl/>
        </w:rPr>
        <w:t xml:space="preserve"> של</w:t>
      </w:r>
      <w:r>
        <w:rPr>
          <w:rFonts w:hint="cs"/>
          <w:rtl/>
        </w:rPr>
        <w:t>"</w:t>
      </w:r>
      <w:r>
        <w:rPr>
          <w:rtl/>
        </w:rPr>
        <w:t>ו ח</w:t>
      </w:r>
      <w:r>
        <w:rPr>
          <w:rFonts w:hint="cs"/>
          <w:rtl/>
        </w:rPr>
        <w:t>'</w:t>
      </w:r>
      <w:bookmarkEnd w:id="1575"/>
      <w:bookmarkEnd w:id="1576"/>
    </w:p>
    <w:p w14:paraId="589D038C" w14:textId="77777777" w:rsidR="000426DE" w:rsidRDefault="000426DE" w:rsidP="000426DE">
      <w:pPr>
        <w:pStyle w:val="afffff7"/>
        <w:rPr>
          <w:rtl/>
        </w:rPr>
      </w:pPr>
      <w:bookmarkStart w:id="1577" w:name="_Toc135513725"/>
      <w:bookmarkStart w:id="1578" w:name="_Toc163505648"/>
      <w:r>
        <w:rPr>
          <w:rFonts w:hint="cs"/>
          <w:rtl/>
        </w:rPr>
        <w:t>לבוש</w:t>
      </w:r>
      <w:r>
        <w:rPr>
          <w:rtl/>
        </w:rPr>
        <w:t xml:space="preserve"> או"ח סי' של"ו ח'</w:t>
      </w:r>
      <w:bookmarkEnd w:id="1577"/>
      <w:bookmarkEnd w:id="1578"/>
    </w:p>
    <w:p w14:paraId="1A9DF97D" w14:textId="77777777" w:rsidR="000426DE" w:rsidRDefault="000426DE" w:rsidP="000426DE">
      <w:pPr>
        <w:pStyle w:val="a7"/>
        <w:rPr>
          <w:rtl/>
        </w:rPr>
      </w:pPr>
      <w:bookmarkStart w:id="1579" w:name="_Toc139316382"/>
      <w:r>
        <w:rPr>
          <w:rFonts w:hint="cs"/>
          <w:rtl/>
        </w:rPr>
        <w:t>בי' השו"ע דאף בעציץ שא"נ אין להניחו ע"ג יתדות ולהיפך ובי' הלבוש דהוא ממעט את יניקתו</w:t>
      </w:r>
      <w:bookmarkEnd w:id="1579"/>
    </w:p>
    <w:p w14:paraId="3978EBE7" w14:textId="164131E2" w:rsidR="000426DE" w:rsidRDefault="000426DE" w:rsidP="00BC7DC8">
      <w:pPr>
        <w:pStyle w:val="a3"/>
        <w:rPr>
          <w:rtl/>
        </w:rPr>
      </w:pPr>
      <w:bookmarkStart w:id="1580" w:name="_Ref135083821"/>
      <w:bookmarkStart w:id="1581" w:name="_Hlk135083893"/>
      <w:r>
        <w:rPr>
          <w:rFonts w:hint="cs"/>
          <w:rtl/>
        </w:rPr>
        <w:t xml:space="preserve">כתב </w:t>
      </w:r>
      <w:r w:rsidRPr="00DE1AA0">
        <w:rPr>
          <w:rStyle w:val="aff4"/>
          <w:rFonts w:hint="cs"/>
          <w:vanish/>
          <w:rtl/>
        </w:rPr>
        <w:t>-</w:t>
      </w:r>
      <w:r w:rsidRPr="00DB6BF0">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Ref135083821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נ)</w:t>
      </w:r>
      <w:r w:rsidRPr="00B53404">
        <w:rPr>
          <w:rStyle w:val="aff4"/>
          <w:vanish/>
          <w:rtl/>
        </w:rPr>
        <w:fldChar w:fldCharType="end"/>
      </w:r>
      <w:r w:rsidRPr="00B53404">
        <w:rPr>
          <w:rStyle w:val="aff4"/>
          <w:rFonts w:hint="cs"/>
          <w:vanish/>
          <w:rtl/>
        </w:rPr>
        <w:t xml:space="preserve"> &gt;</w:t>
      </w:r>
      <w:r w:rsidRPr="00DB6BF0">
        <w:rPr>
          <w:rStyle w:val="aff4"/>
          <w:rFonts w:hint="cs"/>
          <w:rtl/>
        </w:rPr>
        <w:t>שו"ע</w:t>
      </w:r>
      <w:r w:rsidRPr="00DE1AA0">
        <w:rPr>
          <w:rStyle w:val="aff4"/>
          <w:rFonts w:hint="cs"/>
          <w:vanish/>
          <w:rtl/>
        </w:rPr>
        <w:t>-</w:t>
      </w:r>
      <w:r>
        <w:rPr>
          <w:rFonts w:hint="cs"/>
          <w:rtl/>
        </w:rPr>
        <w:t xml:space="preserve"> </w:t>
      </w:r>
      <w:r w:rsidRPr="00FB451D">
        <w:rPr>
          <w:rStyle w:val="af2"/>
          <w:rFonts w:eastAsia="Guttman Hodes" w:hint="cs"/>
          <w:rtl/>
        </w:rPr>
        <w:t>(סי' של"ו ח')</w:t>
      </w:r>
      <w:r w:rsidRPr="00DE1AA0">
        <w:rPr>
          <w:rFonts w:hint="cs"/>
          <w:vanish/>
          <w:rtl/>
        </w:rPr>
        <w:t>=</w:t>
      </w:r>
      <w:r>
        <w:rPr>
          <w:rFonts w:hint="cs"/>
          <w:rtl/>
        </w:rPr>
        <w:t xml:space="preserve"> דיש ליזהר מליטול עציץ מע"ג קרקע, ולהניחו ע"ג יתדות או להיפך, אף בעציץ שאינו נקוב בין של עץ בין של חרס, וביאר </w:t>
      </w:r>
      <w:r w:rsidRPr="00DE1AA0">
        <w:rPr>
          <w:rStyle w:val="aff4"/>
          <w:rFonts w:hint="cs"/>
          <w:vanish/>
          <w:rtl/>
        </w:rPr>
        <w:t>-</w:t>
      </w:r>
      <w:r w:rsidRPr="00DB6BF0">
        <w:rPr>
          <w:rStyle w:val="aff4"/>
          <w:rFonts w:hint="cs"/>
          <w:rtl/>
        </w:rPr>
        <w:t>ה</w:t>
      </w:r>
      <w:r w:rsidRPr="00B53404">
        <w:rPr>
          <w:rStyle w:val="aff4"/>
          <w:rFonts w:hint="cs"/>
          <w:vanish/>
          <w:rtl/>
        </w:rPr>
        <w:t>&lt; &gt;</w:t>
      </w:r>
      <w:r w:rsidRPr="00DB6BF0">
        <w:rPr>
          <w:rStyle w:val="aff4"/>
          <w:rFonts w:hint="cs"/>
          <w:rtl/>
        </w:rPr>
        <w:t>לבוש</w:t>
      </w:r>
      <w:r w:rsidRPr="00DE1AA0">
        <w:rPr>
          <w:rStyle w:val="aff4"/>
          <w:rFonts w:hint="cs"/>
          <w:vanish/>
          <w:rtl/>
        </w:rPr>
        <w:t>-</w:t>
      </w:r>
      <w:r>
        <w:rPr>
          <w:rFonts w:hint="cs"/>
          <w:rtl/>
        </w:rPr>
        <w:t xml:space="preserve"> </w:t>
      </w:r>
      <w:r w:rsidRPr="00FB451D">
        <w:rPr>
          <w:rStyle w:val="af2"/>
          <w:rFonts w:eastAsia="Guttman Hodes" w:hint="cs"/>
          <w:rtl/>
        </w:rPr>
        <w:t>(סי' של"ו ח')</w:t>
      </w:r>
      <w:r w:rsidRPr="00DE1AA0">
        <w:rPr>
          <w:rFonts w:hint="cs"/>
          <w:vanish/>
          <w:rtl/>
        </w:rPr>
        <w:t>=</w:t>
      </w:r>
      <w:r>
        <w:rPr>
          <w:rFonts w:hint="cs"/>
          <w:rtl/>
        </w:rPr>
        <w:t xml:space="preserve"> דע"ג הקרקע העציץ יונק יתר ולחות מהקרקע, וכשמגביהו הוא כתולש דממעט את היניקה, וכן להיפך כשנוטלו מע"ג יתידות ומניחו ע"ג קרקע הוא כזורע ואסור, ועי' במ"ש </w:t>
      </w:r>
      <w:r w:rsidRPr="00DE1AA0">
        <w:rPr>
          <w:rStyle w:val="aff4"/>
          <w:rFonts w:hint="cs"/>
          <w:vanish/>
          <w:rtl/>
        </w:rPr>
        <w:t>-</w:t>
      </w:r>
      <w:r w:rsidRPr="00DB6BF0">
        <w:rPr>
          <w:rStyle w:val="aff4"/>
          <w:rFonts w:hint="cs"/>
          <w:rtl/>
        </w:rPr>
        <w:t>הדבר אברהם</w:t>
      </w:r>
      <w:r w:rsidRPr="00DE1AA0">
        <w:rPr>
          <w:rStyle w:val="aff4"/>
          <w:rFonts w:hint="cs"/>
          <w:vanish/>
          <w:rtl/>
        </w:rPr>
        <w:t>-</w:t>
      </w:r>
      <w:r>
        <w:rPr>
          <w:rFonts w:hint="cs"/>
          <w:rtl/>
        </w:rPr>
        <w:t xml:space="preserve"> </w:t>
      </w:r>
      <w:r w:rsidRPr="00FB451D">
        <w:rPr>
          <w:rStyle w:val="af2"/>
          <w:rFonts w:eastAsia="Guttman Hodes" w:hint="cs"/>
          <w:rtl/>
        </w:rPr>
        <w:t xml:space="preserve">(עי' אות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Ref135084211 \r \h</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ק)</w:t>
      </w:r>
      <w:r w:rsidRPr="00FB451D">
        <w:rPr>
          <w:rStyle w:val="af2"/>
          <w:rFonts w:eastAsia="Guttman Hodes"/>
          <w:rtl/>
        </w:rPr>
        <w:fldChar w:fldCharType="end"/>
      </w:r>
      <w:r>
        <w:rPr>
          <w:rFonts w:hint="cs"/>
          <w:rtl/>
        </w:rPr>
        <w:t xml:space="preserve"> דבפשטות מבואר מדברי </w:t>
      </w:r>
      <w:r w:rsidRPr="00DE1AA0">
        <w:rPr>
          <w:rStyle w:val="aff4"/>
          <w:rFonts w:hint="cs"/>
          <w:vanish/>
          <w:rtl/>
        </w:rPr>
        <w:t>-</w:t>
      </w:r>
      <w:r w:rsidRPr="00DB6BF0">
        <w:rPr>
          <w:rStyle w:val="aff4"/>
          <w:rFonts w:hint="cs"/>
          <w:rtl/>
        </w:rPr>
        <w:t>הלבוש</w:t>
      </w:r>
      <w:r w:rsidRPr="00DE1AA0">
        <w:rPr>
          <w:rStyle w:val="aff4"/>
          <w:rFonts w:hint="cs"/>
          <w:vanish/>
          <w:rtl/>
        </w:rPr>
        <w:t>-</w:t>
      </w:r>
      <w:r>
        <w:rPr>
          <w:rFonts w:hint="cs"/>
          <w:rtl/>
        </w:rPr>
        <w:t xml:space="preserve"> כביאור </w:t>
      </w:r>
      <w:r w:rsidRPr="00DE1AA0">
        <w:rPr>
          <w:rStyle w:val="aff4"/>
          <w:rFonts w:hint="cs"/>
          <w:vanish/>
          <w:rtl/>
        </w:rPr>
        <w:t>-</w:t>
      </w:r>
      <w:r w:rsidRPr="00DB6BF0">
        <w:rPr>
          <w:rStyle w:val="aff4"/>
          <w:rFonts w:hint="cs"/>
          <w:rtl/>
        </w:rPr>
        <w:t>הזכר יצחק</w:t>
      </w:r>
      <w:r w:rsidRPr="00DE1AA0">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Ref135412461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סו)</w:t>
      </w:r>
      <w:r>
        <w:rPr>
          <w:rStyle w:val="af2"/>
          <w:rFonts w:eastAsia="Guttman Hodes"/>
          <w:rtl/>
        </w:rPr>
        <w:fldChar w:fldCharType="end"/>
      </w:r>
      <w:r>
        <w:rPr>
          <w:rFonts w:hint="cs"/>
          <w:rtl/>
        </w:rPr>
        <w:t xml:space="preserve"> דגדר קוצר הוא מחמת דמפסיק את היניקה, ולכן גם הפסקת מקצת היניקה אסורה, עיי"ש בדבריו.</w:t>
      </w:r>
      <w:bookmarkEnd w:id="1580"/>
    </w:p>
    <w:p w14:paraId="6EFEDF4C" w14:textId="77777777" w:rsidR="000426DE" w:rsidRPr="00A36009" w:rsidRDefault="000426DE" w:rsidP="000426DE">
      <w:pPr>
        <w:pStyle w:val="a7"/>
        <w:rPr>
          <w:rtl/>
        </w:rPr>
      </w:pPr>
    </w:p>
    <w:bookmarkEnd w:id="1581"/>
    <w:p w14:paraId="42C95368" w14:textId="77777777" w:rsidR="000426DE" w:rsidRPr="00747170" w:rsidRDefault="000426DE" w:rsidP="00747170">
      <w:pPr>
        <w:pStyle w:val="a2"/>
      </w:pPr>
      <w:r w:rsidRPr="00747170">
        <w:rPr>
          <w:rtl/>
        </w:rPr>
        <w:lastRenderedPageBreak/>
        <w:t xml:space="preserve">עציץ אפילו אינו נקוב, יש ליזהר מליטלו מעל גבי קרקע ולהניחו על גבי יתדות, או איפכא, בין שהוא של עץ בין של חרס. </w:t>
      </w:r>
    </w:p>
    <w:p w14:paraId="40918CBB" w14:textId="77777777" w:rsidR="000426DE" w:rsidRPr="00D578AC" w:rsidRDefault="000426DE" w:rsidP="00747170">
      <w:pPr>
        <w:pStyle w:val="afffff5"/>
        <w:rPr>
          <w:rtl/>
        </w:rPr>
      </w:pPr>
      <w:r w:rsidRPr="00D578AC">
        <w:rPr>
          <w:rtl/>
        </w:rPr>
        <w:t>ואפילו העציץ עצמה אף על פי שאינה נקובה, יש ליזהר מליטלה מעל גבי הקרקע ולהניחה על גבי יתידות או איפכא, בין שהיא של עץ בין שהיא של חרס, מפני שבעוד שהיא על גבי קרקע היא יונקת ליחות יותר מן הארץ, וכשהוא מגביה הוי ליה כתולש שממעט יניקתה, וכן איפכא שנוטלה מעל גבי היתידות ומניחה על גבי הקרקע, הוי ליה כזורע שמרבה יניקתה ואסור.</w:t>
      </w:r>
    </w:p>
    <w:p w14:paraId="2AD0B482" w14:textId="77777777" w:rsidR="000426DE" w:rsidRDefault="000426DE" w:rsidP="000426DE">
      <w:pPr>
        <w:pStyle w:val="1"/>
        <w:rPr>
          <w:rtl/>
        </w:rPr>
      </w:pPr>
      <w:bookmarkStart w:id="1582" w:name="_Toc139316383"/>
      <w:r>
        <w:rPr>
          <w:rFonts w:hint="cs"/>
          <w:rtl/>
        </w:rPr>
        <w:t>ד' הרמב"ם דהמניח גבשושית ע"ג יתדות תולש מדאו' וכן בזורע</w:t>
      </w:r>
      <w:bookmarkEnd w:id="1582"/>
    </w:p>
    <w:p w14:paraId="23A99926" w14:textId="77777777" w:rsidR="000426DE" w:rsidRDefault="000426DE" w:rsidP="000426DE">
      <w:pPr>
        <w:pStyle w:val="afffff7"/>
        <w:rPr>
          <w:rtl/>
        </w:rPr>
      </w:pPr>
      <w:bookmarkStart w:id="1583" w:name="_Toc135148608"/>
      <w:bookmarkStart w:id="1584" w:name="_Toc163505649"/>
      <w:r>
        <w:rPr>
          <w:rFonts w:hint="cs"/>
          <w:rtl/>
        </w:rPr>
        <w:t>רמב"ם שבת פ"ח ה"ד</w:t>
      </w:r>
      <w:bookmarkEnd w:id="1584"/>
    </w:p>
    <w:p w14:paraId="3C6509F1" w14:textId="77777777" w:rsidR="000426DE" w:rsidRDefault="000426DE" w:rsidP="000426DE">
      <w:pPr>
        <w:pStyle w:val="a7"/>
        <w:rPr>
          <w:rtl/>
        </w:rPr>
      </w:pPr>
      <w:bookmarkStart w:id="1585" w:name="_Toc139316384"/>
      <w:r>
        <w:rPr>
          <w:rFonts w:hint="cs"/>
          <w:rtl/>
        </w:rPr>
        <w:t>בי' הרמב"ם דגבשושית עפר עם עשבים ומגביהה מהקרקע ליתדות תולש מדאו' ולהיפך הוי זורע</w:t>
      </w:r>
      <w:bookmarkEnd w:id="1585"/>
    </w:p>
    <w:p w14:paraId="0B3B32CD" w14:textId="649ECC07" w:rsidR="000426DE" w:rsidRPr="003A0B22" w:rsidRDefault="000426DE" w:rsidP="00BC7DC8">
      <w:pPr>
        <w:pStyle w:val="a3"/>
        <w:rPr>
          <w:rtl/>
        </w:rPr>
      </w:pPr>
      <w:r>
        <w:rPr>
          <w:rFonts w:hint="cs"/>
          <w:rtl/>
        </w:rPr>
        <w:t>כתב</w:t>
      </w:r>
      <w:r w:rsidRPr="0013767C">
        <w:rPr>
          <w:rFonts w:hint="cs"/>
          <w:rtl/>
        </w:rPr>
        <w:t xml:space="preserve"> </w:t>
      </w:r>
      <w:r w:rsidRPr="00AA1E45">
        <w:rPr>
          <w:rStyle w:val="aff4"/>
          <w:rFonts w:hint="cs"/>
          <w:vanish/>
          <w:rtl/>
        </w:rPr>
        <w:t>-</w:t>
      </w:r>
      <w:r w:rsidRPr="00C65D8D">
        <w:rPr>
          <w:rStyle w:val="aff4"/>
          <w:rFonts w:hint="cs"/>
          <w:rtl/>
        </w:rPr>
        <w:t>ה</w:t>
      </w:r>
      <w:r w:rsidRPr="00AA1E45">
        <w:rPr>
          <w:rStyle w:val="aff4"/>
          <w:rFonts w:hint="cs"/>
          <w:vanish/>
          <w:rtl/>
        </w:rPr>
        <w:t xml:space="preserve">&lt;. </w:t>
      </w:r>
      <w:r w:rsidRPr="00AA1E45">
        <w:rPr>
          <w:rStyle w:val="aff4"/>
          <w:vanish/>
          <w:rtl/>
        </w:rPr>
        <w:fldChar w:fldCharType="begin"/>
      </w:r>
      <w:r w:rsidRPr="00AA1E45">
        <w:rPr>
          <w:rStyle w:val="aff4"/>
          <w:vanish/>
          <w:rtl/>
        </w:rPr>
        <w:instrText xml:space="preserve"> </w:instrText>
      </w:r>
      <w:r w:rsidRPr="00AA1E45">
        <w:rPr>
          <w:rStyle w:val="aff4"/>
          <w:rFonts w:hint="cs"/>
          <w:vanish/>
        </w:rPr>
        <w:instrText>REF</w:instrText>
      </w:r>
      <w:r w:rsidRPr="00AA1E45">
        <w:rPr>
          <w:rStyle w:val="aff4"/>
          <w:rFonts w:hint="cs"/>
          <w:vanish/>
          <w:rtl/>
        </w:rPr>
        <w:instrText xml:space="preserve"> _</w:instrText>
      </w:r>
      <w:r w:rsidRPr="00AA1E45">
        <w:rPr>
          <w:rStyle w:val="aff4"/>
          <w:rFonts w:hint="cs"/>
          <w:vanish/>
        </w:rPr>
        <w:instrText>Ref134736415 \r \h</w:instrText>
      </w:r>
      <w:r w:rsidRPr="00AA1E45">
        <w:rPr>
          <w:rStyle w:val="aff4"/>
          <w:vanish/>
          <w:rtl/>
        </w:rPr>
        <w:instrText xml:space="preserve"> </w:instrText>
      </w:r>
      <w:r w:rsidRPr="00AA1E45">
        <w:rPr>
          <w:rStyle w:val="aff4"/>
          <w:vanish/>
          <w:rtl/>
        </w:rPr>
      </w:r>
      <w:r w:rsidRPr="00AA1E45">
        <w:rPr>
          <w:rStyle w:val="aff4"/>
          <w:vanish/>
          <w:rtl/>
        </w:rPr>
        <w:fldChar w:fldCharType="separate"/>
      </w:r>
      <w:r w:rsidR="00D82181">
        <w:rPr>
          <w:rStyle w:val="aff4"/>
          <w:vanish/>
          <w:cs/>
        </w:rPr>
        <w:t>‎</w:t>
      </w:r>
      <w:r w:rsidR="00D82181">
        <w:rPr>
          <w:rStyle w:val="aff4"/>
          <w:vanish/>
          <w:rtl/>
        </w:rPr>
        <w:t>מ)</w:t>
      </w:r>
      <w:r w:rsidRPr="00AA1E45">
        <w:rPr>
          <w:rStyle w:val="aff4"/>
          <w:vanish/>
          <w:rtl/>
        </w:rPr>
        <w:fldChar w:fldCharType="end"/>
      </w:r>
      <w:r w:rsidRPr="00AA1E45">
        <w:rPr>
          <w:rStyle w:val="aff4"/>
          <w:rFonts w:hint="cs"/>
          <w:vanish/>
          <w:rtl/>
        </w:rPr>
        <w:t xml:space="preserve"> &gt;</w:t>
      </w:r>
      <w:r w:rsidRPr="00C65D8D">
        <w:rPr>
          <w:rStyle w:val="aff4"/>
          <w:rFonts w:hint="cs"/>
          <w:rtl/>
        </w:rPr>
        <w:t>רמב"ם</w:t>
      </w:r>
      <w:r w:rsidRPr="00AA1E45">
        <w:rPr>
          <w:rStyle w:val="aff4"/>
          <w:rFonts w:hint="cs"/>
          <w:vanish/>
          <w:rtl/>
        </w:rPr>
        <w:t>-</w:t>
      </w:r>
      <w:r>
        <w:rPr>
          <w:rFonts w:hint="cs"/>
          <w:rtl/>
        </w:rPr>
        <w:t xml:space="preserve"> </w:t>
      </w:r>
      <w:r w:rsidRPr="00AA1E45">
        <w:rPr>
          <w:rStyle w:val="af2"/>
          <w:rFonts w:eastAsia="Guttman Hodes" w:hint="cs"/>
          <w:rtl/>
        </w:rPr>
        <w:t>(שבת פ"ח ה"ד)</w:t>
      </w:r>
      <w:r w:rsidRPr="00AA1E45">
        <w:rPr>
          <w:rFonts w:hint="cs"/>
          <w:vanish/>
          <w:rtl/>
        </w:rPr>
        <w:t>=</w:t>
      </w:r>
      <w:r>
        <w:rPr>
          <w:rFonts w:hint="cs"/>
          <w:rtl/>
        </w:rPr>
        <w:t xml:space="preserve"> דגבשושית עפר שעלו בה עשבים, והגביה אותה מהקרקע, והניחה ע"ג יתדות, דחייב משום תולש, ובהייתה הגבשושית ע"ג יתדות והניחה ע"ג הקרקע, חייב משום זורע, ועי' במה שביארו </w:t>
      </w:r>
      <w:r w:rsidRPr="00AA1E45">
        <w:rPr>
          <w:rStyle w:val="aff4"/>
          <w:rFonts w:hint="cs"/>
          <w:vanish/>
          <w:rtl/>
        </w:rPr>
        <w:t>-</w:t>
      </w:r>
      <w:r w:rsidRPr="00C65D8D">
        <w:rPr>
          <w:rStyle w:val="aff4"/>
          <w:rFonts w:hint="cs"/>
          <w:rtl/>
        </w:rPr>
        <w:t>הזכר יצחק</w:t>
      </w:r>
      <w:r w:rsidRPr="00AA1E45">
        <w:rPr>
          <w:rStyle w:val="aff4"/>
          <w:rFonts w:hint="cs"/>
          <w:vanish/>
          <w:rtl/>
        </w:rPr>
        <w:t>-</w:t>
      </w:r>
      <w:r>
        <w:rPr>
          <w:rFonts w:hint="cs"/>
          <w:rtl/>
        </w:rPr>
        <w:t xml:space="preserve"> </w:t>
      </w:r>
      <w:r w:rsidRPr="00AA1E45">
        <w:rPr>
          <w:rStyle w:val="af2"/>
          <w:rFonts w:eastAsia="Guttman Hodes" w:hint="cs"/>
          <w:rtl/>
        </w:rPr>
        <w:t xml:space="preserve">(עי' אות </w:t>
      </w:r>
      <w:r w:rsidRPr="00AA1E45">
        <w:rPr>
          <w:rStyle w:val="af2"/>
          <w:rFonts w:eastAsia="Guttman Hodes"/>
          <w:rtl/>
        </w:rPr>
        <w:fldChar w:fldCharType="begin"/>
      </w:r>
      <w:r w:rsidRPr="00AA1E45">
        <w:rPr>
          <w:rStyle w:val="af2"/>
          <w:rFonts w:eastAsia="Guttman Hodes"/>
          <w:rtl/>
        </w:rPr>
        <w:instrText xml:space="preserve"> </w:instrText>
      </w:r>
      <w:r w:rsidRPr="00AA1E45">
        <w:rPr>
          <w:rStyle w:val="af2"/>
          <w:rFonts w:eastAsia="Guttman Hodes" w:hint="cs"/>
        </w:rPr>
        <w:instrText>REF</w:instrText>
      </w:r>
      <w:r w:rsidRPr="00AA1E45">
        <w:rPr>
          <w:rStyle w:val="af2"/>
          <w:rFonts w:eastAsia="Guttman Hodes" w:hint="cs"/>
          <w:rtl/>
        </w:rPr>
        <w:instrText xml:space="preserve"> _</w:instrText>
      </w:r>
      <w:r w:rsidRPr="00AA1E45">
        <w:rPr>
          <w:rStyle w:val="af2"/>
          <w:rFonts w:eastAsia="Guttman Hodes" w:hint="cs"/>
        </w:rPr>
        <w:instrText>Ref134565616 \r \h</w:instrText>
      </w:r>
      <w:r w:rsidRPr="00AA1E45">
        <w:rPr>
          <w:rStyle w:val="af2"/>
          <w:rFonts w:eastAsia="Guttman Hodes"/>
          <w:rtl/>
        </w:rPr>
        <w:instrText xml:space="preserve"> </w:instrText>
      </w:r>
      <w:r w:rsidRPr="00AA1E45">
        <w:rPr>
          <w:rStyle w:val="af2"/>
          <w:rFonts w:eastAsia="Guttman Hodes"/>
          <w:rtl/>
        </w:rPr>
      </w:r>
      <w:r w:rsidRPr="00AA1E45">
        <w:rPr>
          <w:rStyle w:val="af2"/>
          <w:rFonts w:eastAsia="Guttman Hodes"/>
          <w:rtl/>
        </w:rPr>
        <w:fldChar w:fldCharType="separate"/>
      </w:r>
      <w:r w:rsidR="00D82181">
        <w:rPr>
          <w:rStyle w:val="af2"/>
          <w:rFonts w:eastAsia="Guttman Hodes"/>
          <w:cs/>
        </w:rPr>
        <w:t>‎</w:t>
      </w:r>
      <w:r w:rsidR="00D82181">
        <w:rPr>
          <w:rStyle w:val="af2"/>
          <w:rFonts w:eastAsia="Guttman Hodes"/>
          <w:rtl/>
        </w:rPr>
        <w:t>סה)</w:t>
      </w:r>
      <w:r w:rsidRPr="00AA1E45">
        <w:rPr>
          <w:rStyle w:val="af2"/>
          <w:rFonts w:eastAsia="Guttman Hodes"/>
          <w:rtl/>
        </w:rPr>
        <w:fldChar w:fldCharType="end"/>
      </w:r>
      <w:r>
        <w:rPr>
          <w:rFonts w:hint="cs"/>
          <w:rtl/>
        </w:rPr>
        <w:t xml:space="preserve"> </w:t>
      </w:r>
      <w:r w:rsidRPr="007F356E">
        <w:rPr>
          <w:rStyle w:val="aff4"/>
          <w:rFonts w:hint="cs"/>
          <w:vanish/>
          <w:rtl/>
        </w:rPr>
        <w:t>-</w:t>
      </w:r>
      <w:r w:rsidRPr="0078770B">
        <w:rPr>
          <w:rStyle w:val="aff4"/>
          <w:rFonts w:hint="cs"/>
          <w:rtl/>
        </w:rPr>
        <w:t>וה</w:t>
      </w:r>
      <w:r w:rsidRPr="001F02FD">
        <w:rPr>
          <w:rStyle w:val="aff4"/>
          <w:rFonts w:hint="cs"/>
          <w:rtl/>
        </w:rPr>
        <w:t>דבר אברהם</w:t>
      </w:r>
      <w:r w:rsidRPr="007F356E">
        <w:rPr>
          <w:rStyle w:val="aff4"/>
          <w:rFonts w:hint="cs"/>
          <w:vanish/>
          <w:rtl/>
        </w:rPr>
        <w:t>-</w:t>
      </w:r>
      <w:r>
        <w:rPr>
          <w:rFonts w:hint="cs"/>
          <w:rtl/>
        </w:rPr>
        <w:t xml:space="preserve"> </w:t>
      </w:r>
      <w:r>
        <w:rPr>
          <w:rStyle w:val="af2"/>
          <w:rFonts w:eastAsia="Guttman Hodes" w:hint="cs"/>
          <w:rtl/>
        </w:rPr>
        <w:t>(</w:t>
      </w:r>
      <w:r w:rsidRPr="00AE655C">
        <w:rPr>
          <w:rStyle w:val="af2"/>
          <w:rFonts w:eastAsia="Guttman Hodes" w:hint="cs"/>
          <w:rtl/>
        </w:rPr>
        <w:t xml:space="preserve">עי' אות </w:t>
      </w:r>
      <w:r w:rsidRPr="0078770B">
        <w:rPr>
          <w:rStyle w:val="af2"/>
          <w:rFonts w:eastAsia="Guttman Hodes"/>
          <w:rtl/>
        </w:rPr>
        <w:t>פד)</w:t>
      </w:r>
      <w:r w:rsidRPr="0078770B">
        <w:rPr>
          <w:rStyle w:val="aff4"/>
          <w:rFonts w:hint="cs"/>
          <w:rtl/>
        </w:rPr>
        <w:t xml:space="preserve"> </w:t>
      </w:r>
      <w:r w:rsidRPr="00DE1AA0">
        <w:rPr>
          <w:rStyle w:val="aff4"/>
          <w:rFonts w:hint="cs"/>
          <w:vanish/>
          <w:rtl/>
        </w:rPr>
        <w:t>-</w:t>
      </w:r>
      <w:r>
        <w:rPr>
          <w:rStyle w:val="aff4"/>
          <w:rFonts w:hint="cs"/>
          <w:rtl/>
        </w:rPr>
        <w:t>ו</w:t>
      </w:r>
      <w:r w:rsidRPr="00DB6BF0">
        <w:rPr>
          <w:rStyle w:val="aff4"/>
          <w:rFonts w:hint="cs"/>
          <w:rtl/>
        </w:rPr>
        <w:t>הדברי יחזקאל</w:t>
      </w:r>
      <w:r w:rsidRPr="00DE1AA0">
        <w:rPr>
          <w:rStyle w:val="aff4"/>
          <w:rFonts w:hint="cs"/>
          <w:vanish/>
          <w:rtl/>
        </w:rPr>
        <w:t>-</w:t>
      </w:r>
      <w:r>
        <w:rPr>
          <w:rFonts w:hint="cs"/>
          <w:rtl/>
        </w:rPr>
        <w:t xml:space="preserve"> </w:t>
      </w:r>
      <w:r w:rsidRPr="00FB451D">
        <w:rPr>
          <w:rStyle w:val="af2"/>
          <w:rFonts w:eastAsia="Guttman Hodes" w:hint="cs"/>
          <w:rtl/>
        </w:rPr>
        <w:t xml:space="preserve">(עי' אות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Ref135063989 \r \h</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קי)</w:t>
      </w:r>
      <w:r w:rsidRPr="00FB451D">
        <w:rPr>
          <w:rStyle w:val="af2"/>
          <w:rFonts w:eastAsia="Guttman Hodes"/>
          <w:rtl/>
        </w:rPr>
        <w:fldChar w:fldCharType="end"/>
      </w:r>
      <w:r>
        <w:rPr>
          <w:rFonts w:hint="cs"/>
          <w:rtl/>
        </w:rPr>
        <w:t xml:space="preserve"> </w:t>
      </w:r>
      <w:r w:rsidRPr="00DE1AA0">
        <w:rPr>
          <w:rStyle w:val="aff4"/>
          <w:rFonts w:hint="cs"/>
          <w:vanish/>
          <w:rtl/>
        </w:rPr>
        <w:t>-</w:t>
      </w:r>
      <w:r>
        <w:rPr>
          <w:rStyle w:val="aff4"/>
          <w:rFonts w:hint="cs"/>
          <w:rtl/>
        </w:rPr>
        <w:t>ו</w:t>
      </w:r>
      <w:r w:rsidRPr="00DB6BF0">
        <w:rPr>
          <w:rStyle w:val="aff4"/>
          <w:rFonts w:hint="cs"/>
          <w:rtl/>
        </w:rPr>
        <w:t>החזו"א</w:t>
      </w:r>
      <w:r w:rsidRPr="00DE1AA0">
        <w:rPr>
          <w:rStyle w:val="aff4"/>
          <w:rFonts w:hint="cs"/>
          <w:vanish/>
          <w:rtl/>
        </w:rPr>
        <w:t>-</w:t>
      </w:r>
      <w:r>
        <w:rPr>
          <w:rFonts w:hint="cs"/>
          <w:rtl/>
        </w:rPr>
        <w:t xml:space="preserve"> </w:t>
      </w:r>
      <w:r>
        <w:rPr>
          <w:rStyle w:val="af2"/>
          <w:rFonts w:eastAsia="Guttman Hodes" w:hint="cs"/>
          <w:rtl/>
        </w:rPr>
        <w:t>(</w:t>
      </w:r>
      <w:r w:rsidRPr="00AE655C">
        <w:rPr>
          <w:rStyle w:val="af2"/>
          <w:rFonts w:eastAsia="Guttman Hodes" w:hint="cs"/>
          <w:rtl/>
        </w:rPr>
        <w:t xml:space="preserve">עי' אות </w:t>
      </w:r>
      <w:r w:rsidRPr="00AE655C">
        <w:rPr>
          <w:rStyle w:val="af2"/>
          <w:rFonts w:eastAsia="Guttman Hodes"/>
          <w:rtl/>
        </w:rPr>
        <w:fldChar w:fldCharType="begin"/>
      </w:r>
      <w:r w:rsidRPr="00AE655C">
        <w:rPr>
          <w:rStyle w:val="af2"/>
          <w:rFonts w:eastAsia="Guttman Hodes"/>
          <w:rtl/>
        </w:rPr>
        <w:instrText xml:space="preserve"> </w:instrText>
      </w:r>
      <w:r w:rsidRPr="00AE655C">
        <w:rPr>
          <w:rStyle w:val="af2"/>
          <w:rFonts w:eastAsia="Guttman Hodes" w:hint="cs"/>
        </w:rPr>
        <w:instrText>REF</w:instrText>
      </w:r>
      <w:r w:rsidRPr="00AE655C">
        <w:rPr>
          <w:rStyle w:val="af2"/>
          <w:rFonts w:eastAsia="Guttman Hodes" w:hint="cs"/>
          <w:rtl/>
        </w:rPr>
        <w:instrText xml:space="preserve"> _</w:instrText>
      </w:r>
      <w:r w:rsidRPr="00AE655C">
        <w:rPr>
          <w:rStyle w:val="af2"/>
          <w:rFonts w:eastAsia="Guttman Hodes" w:hint="cs"/>
        </w:rPr>
        <w:instrText>Ref135063821 \r \h</w:instrText>
      </w:r>
      <w:r w:rsidRPr="00AE655C">
        <w:rPr>
          <w:rStyle w:val="af2"/>
          <w:rFonts w:eastAsia="Guttman Hodes"/>
          <w:rtl/>
        </w:rPr>
        <w:instrText xml:space="preserve"> </w:instrText>
      </w:r>
      <w:r w:rsidRPr="00AE655C">
        <w:rPr>
          <w:rStyle w:val="af2"/>
          <w:rFonts w:eastAsia="Guttman Hodes"/>
          <w:rtl/>
        </w:rPr>
      </w:r>
      <w:r w:rsidRPr="00AE655C">
        <w:rPr>
          <w:rStyle w:val="af2"/>
          <w:rFonts w:eastAsia="Guttman Hodes"/>
          <w:rtl/>
        </w:rPr>
        <w:fldChar w:fldCharType="separate"/>
      </w:r>
      <w:r w:rsidR="00D82181">
        <w:rPr>
          <w:rStyle w:val="af2"/>
          <w:rFonts w:eastAsia="Guttman Hodes"/>
          <w:cs/>
        </w:rPr>
        <w:t>‎</w:t>
      </w:r>
      <w:r w:rsidR="00D82181">
        <w:rPr>
          <w:rStyle w:val="af2"/>
          <w:rFonts w:eastAsia="Guttman Hodes"/>
          <w:rtl/>
        </w:rPr>
        <w:t>קיד)</w:t>
      </w:r>
      <w:r w:rsidRPr="00AE655C">
        <w:rPr>
          <w:rStyle w:val="af2"/>
          <w:rFonts w:eastAsia="Guttman Hodes"/>
          <w:rtl/>
        </w:rPr>
        <w:fldChar w:fldCharType="end"/>
      </w:r>
      <w:r>
        <w:rPr>
          <w:rFonts w:hint="cs"/>
          <w:rtl/>
        </w:rPr>
        <w:t xml:space="preserve"> בדברי </w:t>
      </w:r>
      <w:r w:rsidRPr="00AA1E45">
        <w:rPr>
          <w:rStyle w:val="aff4"/>
          <w:rFonts w:hint="cs"/>
          <w:vanish/>
          <w:rtl/>
        </w:rPr>
        <w:t>-</w:t>
      </w:r>
      <w:r w:rsidRPr="00C65D8D">
        <w:rPr>
          <w:rStyle w:val="aff4"/>
          <w:rFonts w:hint="cs"/>
          <w:rtl/>
        </w:rPr>
        <w:t>הרמב"ם</w:t>
      </w:r>
      <w:r w:rsidRPr="00AA1E45">
        <w:rPr>
          <w:rStyle w:val="aff4"/>
          <w:rFonts w:hint="cs"/>
          <w:vanish/>
          <w:rtl/>
        </w:rPr>
        <w:t>-</w:t>
      </w:r>
      <w:r>
        <w:rPr>
          <w:rFonts w:hint="cs"/>
          <w:rtl/>
        </w:rPr>
        <w:t>.</w:t>
      </w:r>
    </w:p>
    <w:p w14:paraId="7918AA8D" w14:textId="77777777" w:rsidR="000426DE" w:rsidRPr="00747170" w:rsidRDefault="000426DE" w:rsidP="00747170">
      <w:pPr>
        <w:pStyle w:val="a2"/>
        <w:rPr>
          <w:rtl/>
        </w:rPr>
      </w:pPr>
      <w:r w:rsidRPr="00747170">
        <w:rPr>
          <w:rFonts w:hint="cs"/>
          <w:rtl/>
        </w:rPr>
        <w:t>גבשושית של עפר שעלו בה עשבים הגביהה מעל הארץ והניחה על גבי יתדות חייב משום תולש, היתה על גבי יתדות והניחה על הארץ חייב משום זורע, תאנים שיבשו באיביהן וכן אילן שיבשו פירותיו בו, התולש מהן בשבת חייב אף על פי שהן כעקורין לענין טומאה.</w:t>
      </w:r>
    </w:p>
    <w:p w14:paraId="4253D962" w14:textId="77777777" w:rsidR="000426DE" w:rsidRDefault="000426DE" w:rsidP="000426DE">
      <w:pPr>
        <w:pStyle w:val="afffff7"/>
        <w:rPr>
          <w:rtl/>
        </w:rPr>
      </w:pPr>
      <w:bookmarkStart w:id="1586" w:name="_Toc135513727"/>
      <w:bookmarkStart w:id="1587" w:name="_Toc163505650"/>
      <w:r>
        <w:rPr>
          <w:rFonts w:hint="cs"/>
          <w:rtl/>
        </w:rPr>
        <w:t>רמב"ם שבת פ"ח ה"ג</w:t>
      </w:r>
      <w:bookmarkEnd w:id="1583"/>
      <w:bookmarkEnd w:id="1586"/>
      <w:bookmarkEnd w:id="1587"/>
    </w:p>
    <w:p w14:paraId="25C76FAD" w14:textId="77777777" w:rsidR="000426DE" w:rsidRDefault="000426DE" w:rsidP="000426DE">
      <w:pPr>
        <w:pStyle w:val="a7"/>
        <w:rPr>
          <w:rtl/>
        </w:rPr>
      </w:pPr>
      <w:bookmarkStart w:id="1588" w:name="_Toc139316385"/>
      <w:r>
        <w:rPr>
          <w:rFonts w:hint="cs"/>
          <w:rtl/>
        </w:rPr>
        <w:t>בי' הרמב"ם דעוקר דבר מגידולו כתולש עשבים מצרור וכשות מסנה הוא קוצר דזה מקום גידולן</w:t>
      </w:r>
      <w:bookmarkEnd w:id="1588"/>
    </w:p>
    <w:p w14:paraId="6F1408FA" w14:textId="70BB9997" w:rsidR="000426DE" w:rsidRDefault="000426DE" w:rsidP="00BC7DC8">
      <w:pPr>
        <w:pStyle w:val="a3"/>
      </w:pPr>
      <w:r>
        <w:rPr>
          <w:rFonts w:hint="cs"/>
          <w:rtl/>
        </w:rPr>
        <w:t xml:space="preserve">ועוד כתב </w:t>
      </w:r>
      <w:r w:rsidRPr="000D4E5E">
        <w:rPr>
          <w:rStyle w:val="aff4"/>
          <w:rFonts w:hint="cs"/>
          <w:vanish/>
          <w:rtl/>
        </w:rPr>
        <w:t>-</w:t>
      </w:r>
      <w:r w:rsidRPr="00572920">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Ref134459496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ו)</w:t>
      </w:r>
      <w:r w:rsidRPr="00B53404">
        <w:rPr>
          <w:rStyle w:val="aff4"/>
          <w:vanish/>
          <w:rtl/>
        </w:rPr>
        <w:fldChar w:fldCharType="end"/>
      </w:r>
      <w:r w:rsidRPr="00B53404">
        <w:rPr>
          <w:rStyle w:val="aff4"/>
          <w:rFonts w:hint="cs"/>
          <w:vanish/>
          <w:rtl/>
        </w:rPr>
        <w:t xml:space="preserve"> &gt;</w:t>
      </w:r>
      <w:r w:rsidRPr="00572920">
        <w:rPr>
          <w:rStyle w:val="aff4"/>
          <w:rFonts w:hint="cs"/>
          <w:rtl/>
        </w:rPr>
        <w:t>רמב"ם</w:t>
      </w:r>
      <w:r w:rsidRPr="000D4E5E">
        <w:rPr>
          <w:rStyle w:val="aff4"/>
          <w:rFonts w:hint="cs"/>
          <w:vanish/>
          <w:rtl/>
        </w:rPr>
        <w:t>-</w:t>
      </w:r>
      <w:r>
        <w:rPr>
          <w:rFonts w:hint="cs"/>
          <w:rtl/>
        </w:rPr>
        <w:t xml:space="preserve"> </w:t>
      </w:r>
      <w:r w:rsidRPr="00FB451D">
        <w:rPr>
          <w:rStyle w:val="af2"/>
          <w:rFonts w:eastAsia="Guttman Hodes" w:hint="cs"/>
          <w:rtl/>
        </w:rPr>
        <w:t>(שבת פ"ח ה"ג)</w:t>
      </w:r>
      <w:r w:rsidRPr="000D4E5E">
        <w:rPr>
          <w:rFonts w:hint="cs"/>
          <w:vanish/>
          <w:rtl/>
        </w:rPr>
        <w:t>=</w:t>
      </w:r>
      <w:r>
        <w:rPr>
          <w:rFonts w:hint="cs"/>
          <w:rtl/>
        </w:rPr>
        <w:t xml:space="preserve"> דהקוצר כגרוגרת חייב, ותולש הוא תולדה של קוצר, והוסיף </w:t>
      </w:r>
      <w:r w:rsidRPr="000D4E5E">
        <w:rPr>
          <w:rStyle w:val="aff4"/>
          <w:rFonts w:hint="cs"/>
          <w:vanish/>
          <w:rtl/>
        </w:rPr>
        <w:t>-</w:t>
      </w:r>
      <w:r w:rsidRPr="00572920">
        <w:rPr>
          <w:rStyle w:val="aff4"/>
          <w:rFonts w:hint="cs"/>
          <w:rtl/>
        </w:rPr>
        <w:t>הרמב"ם</w:t>
      </w:r>
      <w:r w:rsidRPr="000D4E5E">
        <w:rPr>
          <w:rStyle w:val="aff4"/>
          <w:rFonts w:hint="cs"/>
          <w:vanish/>
          <w:rtl/>
        </w:rPr>
        <w:t>-</w:t>
      </w:r>
      <w:r>
        <w:rPr>
          <w:rFonts w:hint="cs"/>
          <w:rtl/>
        </w:rPr>
        <w:t xml:space="preserve"> דכל שעוקר דבר מגידולו חייב משום קוצר, ולכן התולש עשבים מצרור או כשות מסנה או עשבים שצמחו ע"ג חבית חייב, כיון שזהו מקום גידולן,</w:t>
      </w:r>
      <w:r w:rsidRPr="00C34EE2">
        <w:rPr>
          <w:rFonts w:hint="cs"/>
          <w:rtl/>
        </w:rPr>
        <w:t xml:space="preserve"> </w:t>
      </w:r>
      <w:r>
        <w:rPr>
          <w:rFonts w:hint="cs"/>
          <w:rtl/>
        </w:rPr>
        <w:t xml:space="preserve">אך כתב </w:t>
      </w:r>
      <w:r w:rsidRPr="000D4E5E">
        <w:rPr>
          <w:rStyle w:val="aff4"/>
          <w:rFonts w:hint="cs"/>
          <w:vanish/>
          <w:rtl/>
        </w:rPr>
        <w:t>-</w:t>
      </w:r>
      <w:r w:rsidRPr="00572920">
        <w:rPr>
          <w:rStyle w:val="aff4"/>
          <w:rFonts w:hint="cs"/>
          <w:rtl/>
        </w:rPr>
        <w:t>הרמב"ם</w:t>
      </w:r>
      <w:r w:rsidRPr="000D4E5E">
        <w:rPr>
          <w:rStyle w:val="aff4"/>
          <w:rFonts w:hint="cs"/>
          <w:vanish/>
          <w:rtl/>
        </w:rPr>
        <w:t>-</w:t>
      </w:r>
      <w:r>
        <w:rPr>
          <w:rFonts w:hint="cs"/>
          <w:rtl/>
        </w:rPr>
        <w:t xml:space="preserve"> דהתולש מעציץ שאינו נקוב פטור, כיון שאי"ז מקום גידולו, אבל עציץ נקוב בשיעור של שורש קטן, העציץ הוא כארץ והתולש ממנו חייב.</w:t>
      </w:r>
    </w:p>
    <w:p w14:paraId="6EA94372" w14:textId="77777777" w:rsidR="000426DE" w:rsidRPr="00747170" w:rsidRDefault="000426DE" w:rsidP="00747170">
      <w:pPr>
        <w:pStyle w:val="a2"/>
        <w:rPr>
          <w:rtl/>
        </w:rPr>
      </w:pPr>
      <w:r w:rsidRPr="00747170">
        <w:rPr>
          <w:rFonts w:hint="cs"/>
          <w:rtl/>
        </w:rPr>
        <w:t xml:space="preserve">הקוצר כגרוגרת חייב, ותולש תולדת קוצר הוא, וכל העוקר דבר מגידוליו חייב משום קוצר, לפיכך צרור שעלו בו עשבים וכשות שעלה בסנה ועשבים שצמחו על גב החבית, התולש מהן חייב שזה הוא מקום גידולן, אבל התולש מעציץ שאינו נקוב פטור מפני שאין זה מקום גידולו, ועציץ נקוב בכדי שורש קטן הרי הוא כארץ והתולש ממנו חייב. </w:t>
      </w:r>
    </w:p>
    <w:p w14:paraId="6E8D6A84" w14:textId="77777777" w:rsidR="000426DE" w:rsidRDefault="000426DE" w:rsidP="000426DE">
      <w:pPr>
        <w:pStyle w:val="afffff7"/>
        <w:rPr>
          <w:rtl/>
        </w:rPr>
      </w:pPr>
      <w:bookmarkStart w:id="1589" w:name="_Toc163505651"/>
      <w:r>
        <w:rPr>
          <w:rtl/>
        </w:rPr>
        <w:t>מגיד משנה שבת פ"ח ה"ד</w:t>
      </w:r>
      <w:r>
        <w:rPr>
          <w:rFonts w:hint="cs"/>
          <w:rtl/>
        </w:rPr>
        <w:t xml:space="preserve"> ד"ה גבשושית</w:t>
      </w:r>
      <w:bookmarkEnd w:id="1589"/>
    </w:p>
    <w:p w14:paraId="423C3EC4" w14:textId="77777777" w:rsidR="000426DE" w:rsidRDefault="000426DE" w:rsidP="000426DE">
      <w:pPr>
        <w:pStyle w:val="a7"/>
        <w:rPr>
          <w:rtl/>
        </w:rPr>
      </w:pPr>
      <w:bookmarkStart w:id="1590" w:name="_Toc139316386"/>
      <w:r>
        <w:rPr>
          <w:rFonts w:hint="cs"/>
          <w:rtl/>
        </w:rPr>
        <w:t>בי' המ"מ ברמב"ם דהשמיט את היתר קינוח בצרור דס"ל דר"ל התיר בצרור שאינו אסור מדאו'</w:t>
      </w:r>
      <w:bookmarkEnd w:id="1590"/>
    </w:p>
    <w:p w14:paraId="1C40C5F0" w14:textId="4C38142F" w:rsidR="000426DE" w:rsidRPr="00250E2B" w:rsidRDefault="000426DE" w:rsidP="00BC7DC8">
      <w:pPr>
        <w:pStyle w:val="a3"/>
        <w:rPr>
          <w:rtl/>
        </w:rPr>
      </w:pPr>
      <w:r>
        <w:rPr>
          <w:rFonts w:hint="cs"/>
          <w:rtl/>
        </w:rPr>
        <w:t xml:space="preserve">במ"ש </w:t>
      </w:r>
      <w:r w:rsidRPr="00C65D8D">
        <w:rPr>
          <w:rStyle w:val="aff4"/>
          <w:rFonts w:hint="cs"/>
          <w:vanish/>
          <w:rtl/>
        </w:rPr>
        <w:t>-</w:t>
      </w:r>
      <w:r w:rsidRPr="00C65D8D">
        <w:rPr>
          <w:rStyle w:val="aff4"/>
          <w:rFonts w:hint="cs"/>
          <w:rtl/>
        </w:rPr>
        <w:t>הרמב"ם</w:t>
      </w:r>
      <w:r w:rsidRPr="00C65D8D">
        <w:rPr>
          <w:rStyle w:val="aff4"/>
          <w:rFonts w:hint="cs"/>
          <w:vanish/>
          <w:rtl/>
        </w:rPr>
        <w:t>-</w:t>
      </w:r>
      <w:r>
        <w:rPr>
          <w:rFonts w:hint="cs"/>
          <w:rtl/>
        </w:rPr>
        <w:t xml:space="preserve"> </w:t>
      </w:r>
      <w:r w:rsidRPr="00FB451D">
        <w:rPr>
          <w:rStyle w:val="af2"/>
          <w:rFonts w:eastAsia="Guttman Hodes" w:hint="cs"/>
          <w:rtl/>
        </w:rPr>
        <w:t>(עי' אות</w:t>
      </w:r>
      <w:r w:rsidRPr="00FB451D">
        <w:rPr>
          <w:rStyle w:val="af2"/>
          <w:rFonts w:eastAsia="Guttman Hodes"/>
          <w:rtl/>
        </w:rPr>
        <w:t xml:space="preserve">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Ref134736415 \r \h</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מ)</w:t>
      </w:r>
      <w:r w:rsidRPr="00FB451D">
        <w:rPr>
          <w:rStyle w:val="af2"/>
          <w:rFonts w:eastAsia="Guttman Hodes"/>
          <w:rtl/>
        </w:rPr>
        <w:fldChar w:fldCharType="end"/>
      </w:r>
      <w:r>
        <w:rPr>
          <w:rFonts w:hint="cs"/>
          <w:rtl/>
        </w:rPr>
        <w:t xml:space="preserve"> דגבשושית של עפר יש בה חיוב תולש דאו', והשמיט </w:t>
      </w:r>
      <w:r w:rsidRPr="00C65D8D">
        <w:rPr>
          <w:rStyle w:val="aff4"/>
          <w:rFonts w:hint="cs"/>
          <w:vanish/>
          <w:rtl/>
        </w:rPr>
        <w:t>-</w:t>
      </w:r>
      <w:r w:rsidRPr="00C65D8D">
        <w:rPr>
          <w:rStyle w:val="aff4"/>
          <w:rFonts w:hint="cs"/>
          <w:rtl/>
        </w:rPr>
        <w:t>הרמב"ם</w:t>
      </w:r>
      <w:r w:rsidRPr="00C65D8D">
        <w:rPr>
          <w:rStyle w:val="aff4"/>
          <w:rFonts w:hint="cs"/>
          <w:vanish/>
          <w:rtl/>
        </w:rPr>
        <w:t>-</w:t>
      </w:r>
      <w:r>
        <w:rPr>
          <w:rFonts w:hint="cs"/>
          <w:rtl/>
        </w:rPr>
        <w:t xml:space="preserve"> את דינא דר"ל דמותר לקנח בצרור שעלו בו עשבים, דמזה הוכיח </w:t>
      </w:r>
      <w:r w:rsidRPr="00BC5B58">
        <w:rPr>
          <w:rStyle w:val="aff4"/>
          <w:rFonts w:hint="cs"/>
          <w:vanish/>
          <w:rtl/>
        </w:rPr>
        <w:t>-</w:t>
      </w:r>
      <w:r w:rsidRPr="009C1791">
        <w:rPr>
          <w:rStyle w:val="aff4"/>
          <w:rFonts w:hint="cs"/>
          <w:rtl/>
        </w:rPr>
        <w:t>רש"י</w:t>
      </w:r>
      <w:r w:rsidRPr="00BC5B58">
        <w:rPr>
          <w:rStyle w:val="aff4"/>
          <w:rFonts w:hint="cs"/>
          <w:vanish/>
          <w:rtl/>
        </w:rPr>
        <w:t>-</w:t>
      </w:r>
      <w:r>
        <w:rPr>
          <w:rFonts w:hint="cs"/>
          <w:rtl/>
        </w:rPr>
        <w:t xml:space="preserve"> </w:t>
      </w:r>
      <w:r w:rsidRPr="00FB451D">
        <w:rPr>
          <w:rStyle w:val="af2"/>
          <w:rFonts w:eastAsia="Guttman Hodes" w:hint="cs"/>
          <w:rtl/>
        </w:rPr>
        <w:t xml:space="preserve">(עי' אות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Ref134956345 \r \h</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לו)</w:t>
      </w:r>
      <w:r w:rsidRPr="00FB451D">
        <w:rPr>
          <w:rStyle w:val="af2"/>
          <w:rFonts w:eastAsia="Guttman Hodes"/>
          <w:rtl/>
        </w:rPr>
        <w:fldChar w:fldCharType="end"/>
      </w:r>
      <w:r>
        <w:rPr>
          <w:rFonts w:hint="cs"/>
          <w:rtl/>
        </w:rPr>
        <w:t xml:space="preserve"> דאין בזה איסור תולש דאו', ביאר </w:t>
      </w:r>
      <w:r w:rsidRPr="00BC5B58">
        <w:rPr>
          <w:rStyle w:val="aff4"/>
          <w:rFonts w:hint="cs"/>
          <w:vanish/>
          <w:rtl/>
        </w:rPr>
        <w:t>-</w:t>
      </w:r>
      <w:r w:rsidRPr="009C1791">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Ref135064813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מא)</w:t>
      </w:r>
      <w:r w:rsidRPr="00B53404">
        <w:rPr>
          <w:rStyle w:val="aff4"/>
          <w:vanish/>
          <w:rtl/>
        </w:rPr>
        <w:fldChar w:fldCharType="end"/>
      </w:r>
      <w:r w:rsidRPr="00B53404">
        <w:rPr>
          <w:rStyle w:val="aff4"/>
          <w:rFonts w:hint="cs"/>
          <w:vanish/>
          <w:rtl/>
        </w:rPr>
        <w:t xml:space="preserve"> &gt;</w:t>
      </w:r>
      <w:r w:rsidRPr="009C1791">
        <w:rPr>
          <w:rStyle w:val="aff4"/>
          <w:rFonts w:hint="cs"/>
          <w:rtl/>
        </w:rPr>
        <w:t>מ"מ</w:t>
      </w:r>
      <w:r w:rsidRPr="00BC5B58">
        <w:rPr>
          <w:rStyle w:val="aff4"/>
          <w:rFonts w:hint="cs"/>
          <w:vanish/>
          <w:rtl/>
        </w:rPr>
        <w:t>-</w:t>
      </w:r>
      <w:r>
        <w:rPr>
          <w:rFonts w:hint="cs"/>
          <w:rtl/>
        </w:rPr>
        <w:t xml:space="preserve"> </w:t>
      </w:r>
      <w:r w:rsidRPr="00FB451D">
        <w:rPr>
          <w:rStyle w:val="af2"/>
          <w:rFonts w:eastAsia="Guttman Hodes" w:hint="cs"/>
          <w:rtl/>
        </w:rPr>
        <w:t>(שבת פ"ח ה"ד ד"ה גבשושית)</w:t>
      </w:r>
      <w:r w:rsidRPr="00BC5B58">
        <w:rPr>
          <w:rFonts w:hint="cs"/>
          <w:vanish/>
          <w:rtl/>
        </w:rPr>
        <w:t>=</w:t>
      </w:r>
      <w:r>
        <w:rPr>
          <w:rFonts w:hint="cs"/>
          <w:rtl/>
        </w:rPr>
        <w:t xml:space="preserve"> דאפש"ל דס"ל </w:t>
      </w:r>
      <w:r w:rsidRPr="00BC5B58">
        <w:rPr>
          <w:rStyle w:val="aff4"/>
          <w:rFonts w:hint="cs"/>
          <w:vanish/>
          <w:rtl/>
        </w:rPr>
        <w:t>-</w:t>
      </w:r>
      <w:r w:rsidRPr="009C1791">
        <w:rPr>
          <w:rStyle w:val="aff4"/>
          <w:rFonts w:hint="cs"/>
          <w:rtl/>
        </w:rPr>
        <w:t>להרמב"ם</w:t>
      </w:r>
      <w:r w:rsidRPr="00BC5B58">
        <w:rPr>
          <w:rStyle w:val="aff4"/>
          <w:rFonts w:hint="cs"/>
          <w:vanish/>
          <w:rtl/>
        </w:rPr>
        <w:t>-</w:t>
      </w:r>
      <w:r>
        <w:rPr>
          <w:rFonts w:hint="cs"/>
          <w:rtl/>
        </w:rPr>
        <w:t xml:space="preserve"> דר"ל איירי בצרור שמונח ע"ג יתדות, דאן בה איסור תולש דאו',</w:t>
      </w:r>
      <w:r w:rsidRPr="0059356A">
        <w:rPr>
          <w:rFonts w:hint="cs"/>
          <w:rtl/>
        </w:rPr>
        <w:t xml:space="preserve"> </w:t>
      </w:r>
      <w:r>
        <w:rPr>
          <w:rFonts w:hint="cs"/>
          <w:rtl/>
        </w:rPr>
        <w:t xml:space="preserve">ועיי"ש במה שהקשה </w:t>
      </w:r>
      <w:r w:rsidRPr="00BC5B58">
        <w:rPr>
          <w:rStyle w:val="aff4"/>
          <w:rFonts w:hint="cs"/>
          <w:vanish/>
          <w:rtl/>
        </w:rPr>
        <w:t>-</w:t>
      </w:r>
      <w:r w:rsidRPr="009C1791">
        <w:rPr>
          <w:rStyle w:val="aff4"/>
          <w:rFonts w:hint="cs"/>
          <w:rtl/>
        </w:rPr>
        <w:t>ה</w:t>
      </w:r>
      <w:r w:rsidRPr="00B53404">
        <w:rPr>
          <w:rStyle w:val="aff4"/>
          <w:rFonts w:hint="cs"/>
          <w:vanish/>
          <w:rtl/>
        </w:rPr>
        <w:t>&lt; &gt;</w:t>
      </w:r>
      <w:r w:rsidRPr="009C1791">
        <w:rPr>
          <w:rStyle w:val="aff4"/>
          <w:rFonts w:hint="cs"/>
          <w:rtl/>
        </w:rPr>
        <w:t>לח"מ</w:t>
      </w:r>
      <w:r w:rsidRPr="00BC5B58">
        <w:rPr>
          <w:rStyle w:val="aff4"/>
          <w:rFonts w:hint="cs"/>
          <w:vanish/>
          <w:rtl/>
        </w:rPr>
        <w:t>-</w:t>
      </w:r>
      <w:r>
        <w:rPr>
          <w:rFonts w:hint="cs"/>
          <w:rtl/>
        </w:rPr>
        <w:t xml:space="preserve"> </w:t>
      </w:r>
      <w:r w:rsidRPr="00FB451D">
        <w:rPr>
          <w:rStyle w:val="af2"/>
          <w:rFonts w:eastAsia="Guttman Hodes" w:hint="cs"/>
          <w:rtl/>
        </w:rPr>
        <w:t>(שבת פ"ח ה"ד ד"ה עוד כתב)</w:t>
      </w:r>
      <w:r w:rsidRPr="00BC5B58">
        <w:rPr>
          <w:rFonts w:hint="cs"/>
          <w:vanish/>
          <w:rtl/>
        </w:rPr>
        <w:t>=</w:t>
      </w:r>
      <w:r>
        <w:rPr>
          <w:rFonts w:hint="cs"/>
          <w:rtl/>
        </w:rPr>
        <w:t xml:space="preserve"> על ביאור </w:t>
      </w:r>
      <w:r w:rsidRPr="00BC5B58">
        <w:rPr>
          <w:rStyle w:val="aff4"/>
          <w:rFonts w:hint="cs"/>
          <w:vanish/>
          <w:rtl/>
        </w:rPr>
        <w:t>-</w:t>
      </w:r>
      <w:r w:rsidRPr="009C1791">
        <w:rPr>
          <w:rStyle w:val="aff4"/>
          <w:rFonts w:hint="cs"/>
          <w:rtl/>
        </w:rPr>
        <w:t>המ"מ</w:t>
      </w:r>
      <w:r w:rsidRPr="00BC5B58">
        <w:rPr>
          <w:rStyle w:val="aff4"/>
          <w:rFonts w:hint="cs"/>
          <w:vanish/>
          <w:rtl/>
        </w:rPr>
        <w:t>-</w:t>
      </w:r>
      <w:r>
        <w:rPr>
          <w:rFonts w:hint="cs"/>
          <w:rtl/>
        </w:rPr>
        <w:t>.</w:t>
      </w:r>
    </w:p>
    <w:p w14:paraId="7BF64EC4" w14:textId="77777777" w:rsidR="000426DE" w:rsidRPr="00747170" w:rsidRDefault="000426DE" w:rsidP="00747170">
      <w:pPr>
        <w:pStyle w:val="a2"/>
        <w:rPr>
          <w:rtl/>
        </w:rPr>
      </w:pPr>
      <w:r w:rsidRPr="00747170">
        <w:rPr>
          <w:rtl/>
        </w:rPr>
        <w:t>גבשושית של עפר וכו'. פ' המוציא (שבת פ"א:) פרפיסא היה מונח ע"ג קרקע והניחו ע"ג יתדות חייב משום תולש היה מונח ע"ג יתדות והניחו על גבי קרקע חייב משום נוטע ע"כ, ופי' רבינו פרפיסא גבשושית. ורש"י ז"ל כתב ול"נ דהאי חייב לאו דוקא אלא אסור משום דדמי לתולש דאי חייב משום תולש קאמר היכי שרו רבנן לצורך קינוח איסור כרת וסקילה, עכ"ל. ונראה שלא היה גורס בההיא דצרור חייב חטאת אלא חייב בלבד. ורבינו לא הזכיר היתר קנוח בצרור שעלו בו עשבים והוא מבואר שם במימרא דרשב"ל הזכרתיה למעלה. ואפשר שדעת רבינו ז"ל היא שההיתר הוא כשהצרור מונח על גבי יתדות ונסמך על מה שהזכיר פרק ט' היה לפניו צרור וכו'. ואף על פי שלא נזכר שם צרור שעלו בו עשבים כיון שמונח על גבי יתדות אין איסור מחמת עשבים:</w:t>
      </w:r>
    </w:p>
    <w:p w14:paraId="3338B974" w14:textId="77777777" w:rsidR="000426DE" w:rsidRDefault="000426DE" w:rsidP="000426DE">
      <w:pPr>
        <w:pStyle w:val="afffff7"/>
        <w:rPr>
          <w:rtl/>
        </w:rPr>
      </w:pPr>
      <w:bookmarkStart w:id="1591" w:name="_Toc163505652"/>
      <w:r>
        <w:rPr>
          <w:rtl/>
        </w:rPr>
        <w:t>חדושי מים חיים שבת פ"ח ה"ד</w:t>
      </w:r>
      <w:bookmarkEnd w:id="1591"/>
    </w:p>
    <w:p w14:paraId="222F618C" w14:textId="77777777" w:rsidR="000426DE" w:rsidRDefault="000426DE" w:rsidP="000426DE">
      <w:pPr>
        <w:pStyle w:val="a7"/>
        <w:rPr>
          <w:rtl/>
        </w:rPr>
      </w:pPr>
      <w:bookmarkStart w:id="1592" w:name="_Toc139316387"/>
      <w:r>
        <w:rPr>
          <w:rFonts w:hint="cs"/>
          <w:rtl/>
        </w:rPr>
        <w:t>בי' הפר"ח ברמב"ם דס"ל דאביי פליג על ר"ל דהתיר לקנח בצרור וס"ל דאסור מדאו' וכן קיי"ל</w:t>
      </w:r>
      <w:bookmarkEnd w:id="1592"/>
    </w:p>
    <w:p w14:paraId="0EBDF980" w14:textId="0F8370E4" w:rsidR="000426DE" w:rsidRPr="0071574C" w:rsidRDefault="000426DE" w:rsidP="00BC7DC8">
      <w:pPr>
        <w:pStyle w:val="a3"/>
        <w:rPr>
          <w:rtl/>
        </w:rPr>
      </w:pPr>
      <w:r w:rsidRPr="00BC5B58">
        <w:rPr>
          <w:rStyle w:val="aff4"/>
          <w:rFonts w:hint="cs"/>
          <w:vanish/>
          <w:rtl/>
        </w:rPr>
        <w:t>-</w:t>
      </w:r>
      <w:r w:rsidRPr="009C1791">
        <w:rPr>
          <w:rStyle w:val="aff4"/>
          <w:rFonts w:hint="cs"/>
          <w:rtl/>
        </w:rPr>
        <w:t>וה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Ref134983501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מב)</w:t>
      </w:r>
      <w:r w:rsidRPr="00B53404">
        <w:rPr>
          <w:rStyle w:val="aff4"/>
          <w:vanish/>
          <w:rtl/>
        </w:rPr>
        <w:fldChar w:fldCharType="end"/>
      </w:r>
      <w:r w:rsidRPr="00B53404">
        <w:rPr>
          <w:rStyle w:val="aff4"/>
          <w:rFonts w:hint="cs"/>
          <w:vanish/>
          <w:rtl/>
        </w:rPr>
        <w:t xml:space="preserve"> &gt;</w:t>
      </w:r>
      <w:r w:rsidRPr="009C1791">
        <w:rPr>
          <w:rStyle w:val="aff4"/>
          <w:rFonts w:hint="cs"/>
          <w:rtl/>
        </w:rPr>
        <w:t>פר"ח בספר מים חיים</w:t>
      </w:r>
      <w:r w:rsidRPr="00BC5B58">
        <w:rPr>
          <w:rStyle w:val="aff4"/>
          <w:rFonts w:hint="cs"/>
          <w:vanish/>
          <w:rtl/>
        </w:rPr>
        <w:t>-</w:t>
      </w:r>
      <w:r>
        <w:rPr>
          <w:rFonts w:hint="cs"/>
          <w:rtl/>
        </w:rPr>
        <w:t xml:space="preserve"> </w:t>
      </w:r>
      <w:r w:rsidRPr="00FB451D">
        <w:rPr>
          <w:rStyle w:val="af2"/>
          <w:rFonts w:eastAsia="Guttman Hodes" w:hint="cs"/>
          <w:rtl/>
        </w:rPr>
        <w:t>(שבת פ"ח ה"ד, נד' בסוף רמב"ם מהדו' פרנקל בספר הליקוטים)</w:t>
      </w:r>
      <w:r w:rsidRPr="00BC5B58">
        <w:rPr>
          <w:rFonts w:hint="cs"/>
          <w:vanish/>
          <w:rtl/>
        </w:rPr>
        <w:t>=</w:t>
      </w:r>
      <w:r>
        <w:rPr>
          <w:rFonts w:hint="cs"/>
          <w:rtl/>
        </w:rPr>
        <w:t xml:space="preserve"> ביאר דס"ל </w:t>
      </w:r>
      <w:r w:rsidRPr="00BC5B58">
        <w:rPr>
          <w:rStyle w:val="aff4"/>
          <w:rFonts w:hint="cs"/>
          <w:vanish/>
          <w:rtl/>
        </w:rPr>
        <w:t>-</w:t>
      </w:r>
      <w:r w:rsidRPr="009C1791">
        <w:rPr>
          <w:rStyle w:val="aff4"/>
          <w:rFonts w:hint="cs"/>
          <w:rtl/>
        </w:rPr>
        <w:t>להרמב"ם</w:t>
      </w:r>
      <w:r w:rsidRPr="00BC5B58">
        <w:rPr>
          <w:rStyle w:val="aff4"/>
          <w:rFonts w:hint="cs"/>
          <w:vanish/>
          <w:rtl/>
        </w:rPr>
        <w:t>-</w:t>
      </w:r>
      <w:r>
        <w:rPr>
          <w:rFonts w:hint="cs"/>
          <w:rtl/>
        </w:rPr>
        <w:t xml:space="preserve"> דאביי דחייב בפרפיסא משום תולש מדאו', פליג על ר"ל דהתיר בצרור, דכיון דהוא אסור מדאו', פשיטא דאסור לקנח בו, </w:t>
      </w:r>
      <w:r w:rsidRPr="00BC5B58">
        <w:rPr>
          <w:rStyle w:val="aff4"/>
          <w:rFonts w:hint="cs"/>
          <w:vanish/>
          <w:rtl/>
        </w:rPr>
        <w:t>-</w:t>
      </w:r>
      <w:r w:rsidRPr="009C1791">
        <w:rPr>
          <w:rStyle w:val="aff4"/>
          <w:rFonts w:hint="cs"/>
          <w:rtl/>
        </w:rPr>
        <w:t>והרמב"ם</w:t>
      </w:r>
      <w:r w:rsidRPr="00BC5B58">
        <w:rPr>
          <w:rStyle w:val="aff4"/>
          <w:rFonts w:hint="cs"/>
          <w:vanish/>
          <w:rtl/>
        </w:rPr>
        <w:t>-</w:t>
      </w:r>
      <w:r>
        <w:rPr>
          <w:rFonts w:hint="cs"/>
          <w:rtl/>
        </w:rPr>
        <w:t xml:space="preserve"> פסק כאביי ולכן השמיט את דברי ר"ל.</w:t>
      </w:r>
    </w:p>
    <w:p w14:paraId="29195B79" w14:textId="77777777" w:rsidR="000426DE" w:rsidRPr="00747170" w:rsidRDefault="000426DE" w:rsidP="00747170">
      <w:pPr>
        <w:pStyle w:val="a2"/>
        <w:rPr>
          <w:rtl/>
        </w:rPr>
      </w:pPr>
      <w:r w:rsidRPr="00747170">
        <w:rPr>
          <w:rtl/>
        </w:rPr>
        <w:t>עוד תמה הרב המגיד דרבינו לא הזכיר היתר קינוח בצרור. ולי נראה דאביי בההיא דפרפיסא ור"ל פליגי ולאביי כיון דמחייב עליו מן התורה פשיטא דאסור לקנוחי ביה וזה שהשמיט הרב היתר קנוח בצרור שעלו בו עשבים דקיי"ל כאביי דבתראי הוא וזה ברור:</w:t>
      </w:r>
    </w:p>
    <w:p w14:paraId="4CD6FEBB" w14:textId="77777777" w:rsidR="000426DE" w:rsidRDefault="000426DE" w:rsidP="000426DE">
      <w:pPr>
        <w:pStyle w:val="afffff7"/>
        <w:rPr>
          <w:rtl/>
        </w:rPr>
      </w:pPr>
      <w:bookmarkStart w:id="1593" w:name="_Toc163505653"/>
      <w:r>
        <w:rPr>
          <w:rtl/>
        </w:rPr>
        <w:t>אור שמח שבת פ"ח ה"ד</w:t>
      </w:r>
      <w:bookmarkEnd w:id="1593"/>
    </w:p>
    <w:p w14:paraId="6EF73A9A" w14:textId="77777777" w:rsidR="000426DE" w:rsidRDefault="000426DE" w:rsidP="000426DE">
      <w:pPr>
        <w:pStyle w:val="a7"/>
        <w:rPr>
          <w:rtl/>
        </w:rPr>
      </w:pPr>
      <w:bookmarkStart w:id="1594" w:name="_Toc139316388"/>
      <w:r>
        <w:rPr>
          <w:rFonts w:hint="cs"/>
          <w:rtl/>
        </w:rPr>
        <w:t>בי' האו"ש דגבשושית עפר בטלה לעפר והוי תולש מדאו' ור"ל התיר בצרור הוא בפנ"ע ולא בטל</w:t>
      </w:r>
      <w:bookmarkEnd w:id="1594"/>
      <w:r>
        <w:rPr>
          <w:rFonts w:hint="cs"/>
          <w:rtl/>
        </w:rPr>
        <w:t xml:space="preserve"> </w:t>
      </w:r>
    </w:p>
    <w:p w14:paraId="1D900AA7" w14:textId="5E7C2220" w:rsidR="000426DE" w:rsidRDefault="000426DE" w:rsidP="00BC7DC8">
      <w:pPr>
        <w:pStyle w:val="a3"/>
        <w:rPr>
          <w:rtl/>
        </w:rPr>
      </w:pPr>
      <w:r w:rsidRPr="00BC5B58">
        <w:rPr>
          <w:rStyle w:val="aff4"/>
          <w:rFonts w:hint="cs"/>
          <w:vanish/>
          <w:rtl/>
        </w:rPr>
        <w:t>-</w:t>
      </w:r>
      <w:r w:rsidRPr="009C1791">
        <w:rPr>
          <w:rStyle w:val="aff4"/>
          <w:rFonts w:hint="cs"/>
          <w:rtl/>
        </w:rPr>
        <w:t>וה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Ref134983328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מג)</w:t>
      </w:r>
      <w:r w:rsidRPr="00B53404">
        <w:rPr>
          <w:rStyle w:val="aff4"/>
          <w:vanish/>
          <w:rtl/>
        </w:rPr>
        <w:fldChar w:fldCharType="end"/>
      </w:r>
      <w:r w:rsidRPr="00B53404">
        <w:rPr>
          <w:rStyle w:val="aff4"/>
          <w:rFonts w:hint="cs"/>
          <w:vanish/>
          <w:rtl/>
        </w:rPr>
        <w:t xml:space="preserve"> &gt;</w:t>
      </w:r>
      <w:r w:rsidRPr="009C1791">
        <w:rPr>
          <w:rStyle w:val="aff4"/>
          <w:rFonts w:hint="cs"/>
          <w:rtl/>
        </w:rPr>
        <w:t>או"ש</w:t>
      </w:r>
      <w:r w:rsidRPr="00BC5B58">
        <w:rPr>
          <w:rStyle w:val="aff4"/>
          <w:rFonts w:hint="cs"/>
          <w:vanish/>
          <w:rtl/>
        </w:rPr>
        <w:t>-</w:t>
      </w:r>
      <w:r>
        <w:rPr>
          <w:rFonts w:hint="cs"/>
          <w:rtl/>
        </w:rPr>
        <w:t xml:space="preserve"> </w:t>
      </w:r>
      <w:r w:rsidRPr="00FB451D">
        <w:rPr>
          <w:rStyle w:val="af2"/>
          <w:rFonts w:eastAsia="Guttman Hodes" w:hint="cs"/>
          <w:rtl/>
        </w:rPr>
        <w:t>(שבת פ"ח ה"ד)</w:t>
      </w:r>
      <w:r w:rsidRPr="00BC5B58">
        <w:rPr>
          <w:rFonts w:hint="cs"/>
          <w:vanish/>
          <w:rtl/>
        </w:rPr>
        <w:t>=</w:t>
      </w:r>
      <w:r>
        <w:rPr>
          <w:rFonts w:hint="cs"/>
          <w:rtl/>
        </w:rPr>
        <w:t xml:space="preserve"> ביאר דס"ל </w:t>
      </w:r>
      <w:r w:rsidRPr="00BC5B58">
        <w:rPr>
          <w:rStyle w:val="aff4"/>
          <w:rFonts w:hint="cs"/>
          <w:vanish/>
          <w:rtl/>
        </w:rPr>
        <w:t>-</w:t>
      </w:r>
      <w:r w:rsidRPr="009C1791">
        <w:rPr>
          <w:rStyle w:val="aff4"/>
          <w:rFonts w:hint="cs"/>
          <w:rtl/>
        </w:rPr>
        <w:t>להרמב"ם</w:t>
      </w:r>
      <w:r w:rsidRPr="00BC5B58">
        <w:rPr>
          <w:rStyle w:val="aff4"/>
          <w:rFonts w:hint="cs"/>
          <w:vanish/>
          <w:rtl/>
        </w:rPr>
        <w:t>-</w:t>
      </w:r>
      <w:r>
        <w:rPr>
          <w:rFonts w:hint="cs"/>
          <w:rtl/>
        </w:rPr>
        <w:t xml:space="preserve"> </w:t>
      </w:r>
      <w:r w:rsidRPr="00FB451D">
        <w:rPr>
          <w:rStyle w:val="af2"/>
          <w:rFonts w:eastAsia="Guttman Hodes" w:hint="cs"/>
          <w:rtl/>
        </w:rPr>
        <w:t xml:space="preserve">(עי' אות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Ref134736415 \r \h</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מ)</w:t>
      </w:r>
      <w:r w:rsidRPr="00FB451D">
        <w:rPr>
          <w:rStyle w:val="af2"/>
          <w:rFonts w:eastAsia="Guttman Hodes"/>
          <w:rtl/>
        </w:rPr>
        <w:fldChar w:fldCharType="end"/>
      </w:r>
      <w:r>
        <w:rPr>
          <w:rFonts w:hint="cs"/>
          <w:rtl/>
        </w:rPr>
        <w:t xml:space="preserve"> שיש חילוק בין גבשושית של עפר לבין צרור, דהגבשושית כיון שהיא עשויה מעפר היא בטלה לו, וכיון שהעשבים שעל גבה גדלים מהלחלוחית של העפר לכן כל שממעט את יניקת הגבשושית חייב, אבל צרור שעלו בו עשבים, דהתיר ר"ל לקנח בו, ס"ל </w:t>
      </w:r>
      <w:r w:rsidRPr="00BC5B58">
        <w:rPr>
          <w:rStyle w:val="aff4"/>
          <w:rFonts w:hint="cs"/>
          <w:vanish/>
          <w:rtl/>
        </w:rPr>
        <w:t>-</w:t>
      </w:r>
      <w:r w:rsidRPr="009C1791">
        <w:rPr>
          <w:rStyle w:val="aff4"/>
          <w:rFonts w:hint="cs"/>
          <w:rtl/>
        </w:rPr>
        <w:t>להרמב"ם</w:t>
      </w:r>
      <w:r w:rsidRPr="00BC5B58">
        <w:rPr>
          <w:rStyle w:val="aff4"/>
          <w:rFonts w:hint="cs"/>
          <w:vanish/>
          <w:rtl/>
        </w:rPr>
        <w:t>-</w:t>
      </w:r>
      <w:r>
        <w:rPr>
          <w:rFonts w:hint="cs"/>
          <w:rtl/>
        </w:rPr>
        <w:t xml:space="preserve"> דכיון שהוא דבר בפנ"ע ואינו בטל לעפר, לכן כשמגביה אותה מהקרקע אינו תולש, ובפרפיסא ההיתר הוא רק במונח ע"ג יתדות, אבל בצרור אף במונח ע"ג קרקע מותר.</w:t>
      </w:r>
    </w:p>
    <w:p w14:paraId="39F560F1" w14:textId="77777777" w:rsidR="000426DE" w:rsidRPr="00361185" w:rsidRDefault="000426DE" w:rsidP="000426DE">
      <w:pPr>
        <w:pStyle w:val="a7"/>
        <w:rPr>
          <w:rtl/>
        </w:rPr>
      </w:pPr>
    </w:p>
    <w:p w14:paraId="1594C0D7" w14:textId="77777777" w:rsidR="000426DE" w:rsidRPr="00361185" w:rsidRDefault="000426DE" w:rsidP="000426DE">
      <w:pPr>
        <w:pStyle w:val="a7"/>
        <w:rPr>
          <w:rtl/>
        </w:rPr>
      </w:pPr>
    </w:p>
    <w:p w14:paraId="06B6AFEE" w14:textId="77777777" w:rsidR="000426DE" w:rsidRPr="00747170" w:rsidRDefault="000426DE" w:rsidP="00747170">
      <w:pPr>
        <w:pStyle w:val="a2"/>
        <w:rPr>
          <w:rtl/>
        </w:rPr>
      </w:pPr>
      <w:r w:rsidRPr="00747170">
        <w:rPr>
          <w:rtl/>
        </w:rPr>
        <w:t>[ד] גבשושית, של עפר כו', חייב משום תולש.</w:t>
      </w:r>
    </w:p>
    <w:p w14:paraId="2987FD4D" w14:textId="77777777" w:rsidR="000426DE" w:rsidRPr="00D578AC" w:rsidRDefault="000426DE" w:rsidP="00747170">
      <w:pPr>
        <w:pStyle w:val="afffff5"/>
        <w:rPr>
          <w:rtl/>
        </w:rPr>
      </w:pPr>
      <w:r w:rsidRPr="00D578AC">
        <w:rPr>
          <w:rtl/>
        </w:rPr>
        <w:t>פירש, דווקא בגבשושית של עפר, שכשהיא מונחת ע"ג עפר בטילה היא להעפר, וגדילה מלחלוחית העפר, ולכן כי מיעט יניקתה חייב, אבל צרור שעלו בו עשבים כי מונח ע"ג קרקע שרי לטלטלו ולקנח בו (שם פ"א ע"ב), דהעשבים מלחלוחית הצרור רבי, והצרור הוא דבר אחר מהעפר ומובדל ממנו, ומה שנתלש ממנו העשבים זה הוי דבר שאינו מתכוין, ופרפיסא דסבר לומר (שם) דשרי לטלטולי היינו שמונח ע"ג יתדות, אבל צרור אפילו מונח ע"ג קרקע.</w:t>
      </w:r>
    </w:p>
    <w:p w14:paraId="610D4385" w14:textId="77777777" w:rsidR="000426DE" w:rsidRDefault="000426DE" w:rsidP="000426DE">
      <w:pPr>
        <w:pStyle w:val="1"/>
        <w:rPr>
          <w:rtl/>
        </w:rPr>
      </w:pPr>
      <w:bookmarkStart w:id="1595" w:name="_Toc139316389"/>
      <w:r>
        <w:rPr>
          <w:rFonts w:hint="cs"/>
          <w:rtl/>
        </w:rPr>
        <w:t>ד' האו"ז והמרכה"מ דמניח ע"ג יתדות ומחזיר לקרקע ל"ה תולש</w:t>
      </w:r>
      <w:bookmarkEnd w:id="1595"/>
    </w:p>
    <w:p w14:paraId="54E42945" w14:textId="77777777" w:rsidR="000426DE" w:rsidRDefault="000426DE" w:rsidP="000426DE">
      <w:pPr>
        <w:pStyle w:val="afffff7"/>
        <w:rPr>
          <w:rtl/>
        </w:rPr>
      </w:pPr>
      <w:bookmarkStart w:id="1596" w:name="_Toc163505654"/>
      <w:r>
        <w:rPr>
          <w:rtl/>
        </w:rPr>
        <w:t>מרכבת המשנה שבת פ"ח ה"ד</w:t>
      </w:r>
      <w:r>
        <w:rPr>
          <w:rFonts w:hint="cs"/>
          <w:rtl/>
        </w:rPr>
        <w:t xml:space="preserve"> ד"ה גבשושית</w:t>
      </w:r>
      <w:bookmarkEnd w:id="1596"/>
    </w:p>
    <w:p w14:paraId="501021BE" w14:textId="77777777" w:rsidR="000426DE" w:rsidRDefault="000426DE" w:rsidP="000426DE">
      <w:pPr>
        <w:pStyle w:val="a7"/>
        <w:rPr>
          <w:rtl/>
        </w:rPr>
      </w:pPr>
      <w:bookmarkStart w:id="1597" w:name="_Toc139316390"/>
      <w:r>
        <w:rPr>
          <w:rFonts w:hint="cs"/>
          <w:rtl/>
        </w:rPr>
        <w:t>בי' המרכה"מ ברמב"ם דמניח ע"ג יתדות רק ליום או יומיים מבטל יניקה ולא בצרור שמחזירו</w:t>
      </w:r>
      <w:bookmarkEnd w:id="1597"/>
    </w:p>
    <w:p w14:paraId="15EB6286" w14:textId="52E75A8C" w:rsidR="000426DE" w:rsidRDefault="000426DE" w:rsidP="00BC7DC8">
      <w:pPr>
        <w:pStyle w:val="a3"/>
        <w:rPr>
          <w:rtl/>
        </w:rPr>
      </w:pPr>
      <w:r w:rsidRPr="00A816F6">
        <w:rPr>
          <w:rStyle w:val="aff4"/>
          <w:rFonts w:hint="cs"/>
          <w:vanish/>
          <w:rtl/>
        </w:rPr>
        <w:t>-</w:t>
      </w:r>
      <w:r w:rsidRPr="00610487">
        <w:rPr>
          <w:rStyle w:val="aff4"/>
          <w:rFonts w:hint="cs"/>
          <w:rtl/>
        </w:rPr>
        <w:t>וב</w:t>
      </w:r>
      <w:r w:rsidRPr="00A816F6">
        <w:rPr>
          <w:rStyle w:val="aff4"/>
          <w:rFonts w:hint="cs"/>
          <w:vanish/>
          <w:rtl/>
        </w:rPr>
        <w:t xml:space="preserve">&lt;. </w:t>
      </w:r>
      <w:r w:rsidRPr="00A816F6">
        <w:rPr>
          <w:rStyle w:val="aff4"/>
          <w:vanish/>
          <w:rtl/>
        </w:rPr>
        <w:fldChar w:fldCharType="begin"/>
      </w:r>
      <w:r w:rsidRPr="00A816F6">
        <w:rPr>
          <w:rStyle w:val="aff4"/>
          <w:vanish/>
          <w:rtl/>
        </w:rPr>
        <w:instrText xml:space="preserve"> </w:instrText>
      </w:r>
      <w:r w:rsidRPr="00A816F6">
        <w:rPr>
          <w:rStyle w:val="aff4"/>
          <w:rFonts w:hint="cs"/>
          <w:vanish/>
        </w:rPr>
        <w:instrText>REF</w:instrText>
      </w:r>
      <w:r w:rsidRPr="00A816F6">
        <w:rPr>
          <w:rStyle w:val="aff4"/>
          <w:rFonts w:hint="cs"/>
          <w:vanish/>
          <w:rtl/>
        </w:rPr>
        <w:instrText xml:space="preserve"> _</w:instrText>
      </w:r>
      <w:r w:rsidRPr="00A816F6">
        <w:rPr>
          <w:rStyle w:val="aff4"/>
          <w:rFonts w:hint="cs"/>
          <w:vanish/>
        </w:rPr>
        <w:instrText>Ref135167445 \r \h</w:instrText>
      </w:r>
      <w:r w:rsidRPr="00A816F6">
        <w:rPr>
          <w:rStyle w:val="aff4"/>
          <w:vanish/>
          <w:rtl/>
        </w:rPr>
        <w:instrText xml:space="preserve"> </w:instrText>
      </w:r>
      <w:r w:rsidRPr="00A816F6">
        <w:rPr>
          <w:rStyle w:val="aff4"/>
          <w:vanish/>
          <w:rtl/>
        </w:rPr>
      </w:r>
      <w:r w:rsidRPr="00A816F6">
        <w:rPr>
          <w:rStyle w:val="aff4"/>
          <w:vanish/>
          <w:rtl/>
        </w:rPr>
        <w:fldChar w:fldCharType="separate"/>
      </w:r>
      <w:r w:rsidR="00D82181">
        <w:rPr>
          <w:rStyle w:val="aff4"/>
          <w:vanish/>
          <w:cs/>
        </w:rPr>
        <w:t>‎</w:t>
      </w:r>
      <w:r w:rsidR="00D82181">
        <w:rPr>
          <w:rStyle w:val="aff4"/>
          <w:vanish/>
          <w:rtl/>
        </w:rPr>
        <w:t>מה)</w:t>
      </w:r>
      <w:r w:rsidRPr="00A816F6">
        <w:rPr>
          <w:rStyle w:val="aff4"/>
          <w:vanish/>
          <w:rtl/>
        </w:rPr>
        <w:fldChar w:fldCharType="end"/>
      </w:r>
      <w:r w:rsidRPr="00A816F6">
        <w:rPr>
          <w:rStyle w:val="aff4"/>
          <w:rFonts w:hint="cs"/>
          <w:vanish/>
          <w:rtl/>
        </w:rPr>
        <w:t xml:space="preserve"> &gt;</w:t>
      </w:r>
      <w:r w:rsidRPr="00610487">
        <w:rPr>
          <w:rStyle w:val="aff4"/>
          <w:rFonts w:hint="cs"/>
          <w:rtl/>
        </w:rPr>
        <w:t>מרכבת המשנה</w:t>
      </w:r>
      <w:r w:rsidRPr="00A816F6">
        <w:rPr>
          <w:rStyle w:val="aff4"/>
          <w:rFonts w:hint="cs"/>
          <w:vanish/>
          <w:rtl/>
        </w:rPr>
        <w:t>-</w:t>
      </w:r>
      <w:r>
        <w:rPr>
          <w:rFonts w:hint="cs"/>
          <w:rtl/>
        </w:rPr>
        <w:t xml:space="preserve"> </w:t>
      </w:r>
      <w:r w:rsidRPr="00A816F6">
        <w:rPr>
          <w:rStyle w:val="af2"/>
          <w:rFonts w:eastAsia="Guttman Hodes" w:hint="cs"/>
          <w:rtl/>
        </w:rPr>
        <w:t>(שבת פ"ח ה"ד ד"ה גבשושית)</w:t>
      </w:r>
      <w:r w:rsidRPr="00A816F6">
        <w:rPr>
          <w:rFonts w:hint="cs"/>
          <w:vanish/>
          <w:rtl/>
        </w:rPr>
        <w:t>=</w:t>
      </w:r>
      <w:r>
        <w:rPr>
          <w:rFonts w:hint="cs"/>
          <w:rtl/>
        </w:rPr>
        <w:t xml:space="preserve"> תירץ דהא דס"ל </w:t>
      </w:r>
      <w:r w:rsidRPr="00A816F6">
        <w:rPr>
          <w:rStyle w:val="aff4"/>
          <w:rFonts w:hint="cs"/>
          <w:vanish/>
          <w:rtl/>
        </w:rPr>
        <w:t>-</w:t>
      </w:r>
      <w:r w:rsidRPr="00610487">
        <w:rPr>
          <w:rStyle w:val="aff4"/>
          <w:rFonts w:hint="cs"/>
          <w:rtl/>
        </w:rPr>
        <w:t>להרמב"ם</w:t>
      </w:r>
      <w:r w:rsidRPr="00A816F6">
        <w:rPr>
          <w:rStyle w:val="aff4"/>
          <w:rFonts w:hint="cs"/>
          <w:vanish/>
          <w:rtl/>
        </w:rPr>
        <w:t>-</w:t>
      </w:r>
      <w:r>
        <w:rPr>
          <w:rFonts w:hint="cs"/>
          <w:rtl/>
        </w:rPr>
        <w:t xml:space="preserve"> </w:t>
      </w:r>
      <w:r w:rsidRPr="00A816F6">
        <w:rPr>
          <w:rStyle w:val="af2"/>
          <w:rFonts w:eastAsia="Guttman Hodes" w:hint="cs"/>
          <w:rtl/>
        </w:rPr>
        <w:t>(עי' אות</w:t>
      </w:r>
      <w:r w:rsidRPr="00A816F6">
        <w:rPr>
          <w:rStyle w:val="af2"/>
          <w:rFonts w:eastAsia="Guttman Hodes"/>
          <w:rtl/>
        </w:rPr>
        <w:t xml:space="preserve"> </w:t>
      </w:r>
      <w:r w:rsidRPr="00A816F6">
        <w:rPr>
          <w:rStyle w:val="af2"/>
          <w:rFonts w:eastAsia="Guttman Hodes"/>
          <w:rtl/>
        </w:rPr>
        <w:fldChar w:fldCharType="begin"/>
      </w:r>
      <w:r w:rsidRPr="00A816F6">
        <w:rPr>
          <w:rStyle w:val="af2"/>
          <w:rFonts w:eastAsia="Guttman Hodes"/>
          <w:rtl/>
        </w:rPr>
        <w:instrText xml:space="preserve"> </w:instrText>
      </w:r>
      <w:r w:rsidRPr="00A816F6">
        <w:rPr>
          <w:rStyle w:val="af2"/>
          <w:rFonts w:eastAsia="Guttman Hodes" w:hint="cs"/>
        </w:rPr>
        <w:instrText>REF</w:instrText>
      </w:r>
      <w:r w:rsidRPr="00A816F6">
        <w:rPr>
          <w:rStyle w:val="af2"/>
          <w:rFonts w:eastAsia="Guttman Hodes" w:hint="cs"/>
          <w:rtl/>
        </w:rPr>
        <w:instrText xml:space="preserve"> _</w:instrText>
      </w:r>
      <w:r w:rsidRPr="00A816F6">
        <w:rPr>
          <w:rStyle w:val="af2"/>
          <w:rFonts w:eastAsia="Guttman Hodes" w:hint="cs"/>
        </w:rPr>
        <w:instrText>Ref134736415 \r \h</w:instrText>
      </w:r>
      <w:r w:rsidRPr="00A816F6">
        <w:rPr>
          <w:rStyle w:val="af2"/>
          <w:rFonts w:eastAsia="Guttman Hodes"/>
          <w:rtl/>
        </w:rPr>
        <w:instrText xml:space="preserve"> </w:instrText>
      </w:r>
      <w:r w:rsidRPr="00A816F6">
        <w:rPr>
          <w:rStyle w:val="af2"/>
          <w:rFonts w:eastAsia="Guttman Hodes"/>
          <w:rtl/>
        </w:rPr>
      </w:r>
      <w:r w:rsidRPr="00A816F6">
        <w:rPr>
          <w:rStyle w:val="af2"/>
          <w:rFonts w:eastAsia="Guttman Hodes"/>
          <w:rtl/>
        </w:rPr>
        <w:fldChar w:fldCharType="separate"/>
      </w:r>
      <w:r w:rsidR="00D82181">
        <w:rPr>
          <w:rStyle w:val="af2"/>
          <w:rFonts w:eastAsia="Guttman Hodes"/>
          <w:cs/>
        </w:rPr>
        <w:t>‎</w:t>
      </w:r>
      <w:r w:rsidR="00D82181">
        <w:rPr>
          <w:rStyle w:val="af2"/>
          <w:rFonts w:eastAsia="Guttman Hodes"/>
          <w:rtl/>
        </w:rPr>
        <w:t>מ)</w:t>
      </w:r>
      <w:r w:rsidRPr="00A816F6">
        <w:rPr>
          <w:rStyle w:val="af2"/>
          <w:rFonts w:eastAsia="Guttman Hodes"/>
          <w:rtl/>
        </w:rPr>
        <w:fldChar w:fldCharType="end"/>
      </w:r>
      <w:r>
        <w:rPr>
          <w:rFonts w:hint="cs"/>
          <w:rtl/>
        </w:rPr>
        <w:t xml:space="preserve"> דהוא תולש, היינו דוקא בהניחה ע"ג היתדות ליום או יומיים, דבזה הוא מבטל את היניקה שהייתה לעציץ מהקרקע, אבל כשהגביה את העציץ רק לשעה וחזר והניחו ע"ג הקרקע, אין בזה איסור תולש, כיון דבזמן המועט שהניחו ע"ג היתדות לא יתייבש, וכתב </w:t>
      </w:r>
      <w:r w:rsidRPr="00A816F6">
        <w:rPr>
          <w:rStyle w:val="aff4"/>
          <w:rFonts w:hint="cs"/>
          <w:vanish/>
          <w:rtl/>
        </w:rPr>
        <w:t>-</w:t>
      </w:r>
      <w:r w:rsidRPr="00610487">
        <w:rPr>
          <w:rStyle w:val="aff4"/>
          <w:rFonts w:hint="cs"/>
          <w:rtl/>
        </w:rPr>
        <w:t>המרכבת המשנה</w:t>
      </w:r>
      <w:r w:rsidRPr="00A816F6">
        <w:rPr>
          <w:rStyle w:val="aff4"/>
          <w:rFonts w:hint="cs"/>
          <w:vanish/>
          <w:rtl/>
        </w:rPr>
        <w:t>-</w:t>
      </w:r>
      <w:r>
        <w:rPr>
          <w:rFonts w:hint="cs"/>
          <w:rtl/>
        </w:rPr>
        <w:t xml:space="preserve"> דבזה מיושבת קושית </w:t>
      </w:r>
      <w:r w:rsidRPr="00A816F6">
        <w:rPr>
          <w:rStyle w:val="aff4"/>
          <w:rFonts w:hint="cs"/>
          <w:vanish/>
          <w:rtl/>
        </w:rPr>
        <w:t>-</w:t>
      </w:r>
      <w:r w:rsidRPr="00610487">
        <w:rPr>
          <w:rStyle w:val="aff4"/>
          <w:rFonts w:hint="cs"/>
          <w:rtl/>
        </w:rPr>
        <w:t>רש"י</w:t>
      </w:r>
      <w:r w:rsidRPr="00A816F6">
        <w:rPr>
          <w:rStyle w:val="aff4"/>
          <w:rFonts w:hint="cs"/>
          <w:vanish/>
          <w:rtl/>
        </w:rPr>
        <w:t>-</w:t>
      </w:r>
      <w:r>
        <w:rPr>
          <w:rFonts w:hint="cs"/>
          <w:rtl/>
        </w:rPr>
        <w:t xml:space="preserve"> </w:t>
      </w:r>
      <w:r w:rsidRPr="00A816F6">
        <w:rPr>
          <w:rStyle w:val="af2"/>
          <w:rFonts w:eastAsia="Guttman Hodes" w:hint="cs"/>
          <w:rtl/>
        </w:rPr>
        <w:t xml:space="preserve">(עי' אות </w:t>
      </w:r>
      <w:r w:rsidRPr="00A816F6">
        <w:rPr>
          <w:rStyle w:val="af2"/>
          <w:rFonts w:eastAsia="Guttman Hodes"/>
          <w:rtl/>
        </w:rPr>
        <w:fldChar w:fldCharType="begin"/>
      </w:r>
      <w:r w:rsidRPr="00A816F6">
        <w:rPr>
          <w:rStyle w:val="af2"/>
          <w:rFonts w:eastAsia="Guttman Hodes"/>
          <w:rtl/>
        </w:rPr>
        <w:instrText xml:space="preserve"> </w:instrText>
      </w:r>
      <w:r w:rsidRPr="00A816F6">
        <w:rPr>
          <w:rStyle w:val="af2"/>
          <w:rFonts w:eastAsia="Guttman Hodes" w:hint="cs"/>
        </w:rPr>
        <w:instrText>REF</w:instrText>
      </w:r>
      <w:r w:rsidRPr="00A816F6">
        <w:rPr>
          <w:rStyle w:val="af2"/>
          <w:rFonts w:eastAsia="Guttman Hodes" w:hint="cs"/>
          <w:rtl/>
        </w:rPr>
        <w:instrText xml:space="preserve"> _</w:instrText>
      </w:r>
      <w:r w:rsidRPr="00A816F6">
        <w:rPr>
          <w:rStyle w:val="af2"/>
          <w:rFonts w:eastAsia="Guttman Hodes" w:hint="cs"/>
        </w:rPr>
        <w:instrText>Ref134956345 \r \h</w:instrText>
      </w:r>
      <w:r w:rsidRPr="00A816F6">
        <w:rPr>
          <w:rStyle w:val="af2"/>
          <w:rFonts w:eastAsia="Guttman Hodes"/>
          <w:rtl/>
        </w:rPr>
        <w:instrText xml:space="preserve"> </w:instrText>
      </w:r>
      <w:r w:rsidRPr="00A816F6">
        <w:rPr>
          <w:rStyle w:val="af2"/>
          <w:rFonts w:eastAsia="Guttman Hodes"/>
          <w:rtl/>
        </w:rPr>
      </w:r>
      <w:r w:rsidRPr="00A816F6">
        <w:rPr>
          <w:rStyle w:val="af2"/>
          <w:rFonts w:eastAsia="Guttman Hodes"/>
          <w:rtl/>
        </w:rPr>
        <w:fldChar w:fldCharType="separate"/>
      </w:r>
      <w:r w:rsidR="00D82181">
        <w:rPr>
          <w:rStyle w:val="af2"/>
          <w:rFonts w:eastAsia="Guttman Hodes"/>
          <w:cs/>
        </w:rPr>
        <w:t>‎</w:t>
      </w:r>
      <w:r w:rsidR="00D82181">
        <w:rPr>
          <w:rStyle w:val="af2"/>
          <w:rFonts w:eastAsia="Guttman Hodes"/>
          <w:rtl/>
        </w:rPr>
        <w:t>לו)</w:t>
      </w:r>
      <w:r w:rsidRPr="00A816F6">
        <w:rPr>
          <w:rStyle w:val="af2"/>
          <w:rFonts w:eastAsia="Guttman Hodes"/>
          <w:rtl/>
        </w:rPr>
        <w:fldChar w:fldCharType="end"/>
      </w:r>
      <w:r>
        <w:rPr>
          <w:rFonts w:hint="cs"/>
          <w:rtl/>
        </w:rPr>
        <w:t xml:space="preserve"> דאי חייב בתולש מדאו' לא היה מתיר ר"ל לקנח בו, ועי' במה שביאר </w:t>
      </w:r>
      <w:r w:rsidRPr="00A816F6">
        <w:rPr>
          <w:rStyle w:val="aff4"/>
          <w:rFonts w:hint="cs"/>
          <w:vanish/>
          <w:rtl/>
        </w:rPr>
        <w:t>-</w:t>
      </w:r>
      <w:r w:rsidRPr="00610487">
        <w:rPr>
          <w:rStyle w:val="aff4"/>
          <w:rFonts w:hint="cs"/>
          <w:rtl/>
        </w:rPr>
        <w:t>בחי' רבי ראובן</w:t>
      </w:r>
      <w:r w:rsidRPr="00A816F6">
        <w:rPr>
          <w:rStyle w:val="aff4"/>
          <w:rFonts w:hint="cs"/>
          <w:vanish/>
          <w:rtl/>
        </w:rPr>
        <w:t>-</w:t>
      </w:r>
      <w:r>
        <w:rPr>
          <w:rFonts w:hint="cs"/>
          <w:rtl/>
        </w:rPr>
        <w:t xml:space="preserve"> </w:t>
      </w:r>
      <w:r w:rsidRPr="00A816F6">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Ref135414582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עד)</w:t>
      </w:r>
      <w:r>
        <w:rPr>
          <w:rStyle w:val="af2"/>
          <w:rFonts w:eastAsia="Guttman Hodes"/>
          <w:rtl/>
        </w:rPr>
        <w:fldChar w:fldCharType="end"/>
      </w:r>
      <w:r>
        <w:rPr>
          <w:rFonts w:hint="cs"/>
          <w:rtl/>
        </w:rPr>
        <w:t xml:space="preserve"> בדברי </w:t>
      </w:r>
      <w:r w:rsidRPr="00A816F6">
        <w:rPr>
          <w:rStyle w:val="aff4"/>
          <w:rFonts w:hint="cs"/>
          <w:vanish/>
          <w:rtl/>
        </w:rPr>
        <w:t>-</w:t>
      </w:r>
      <w:r w:rsidRPr="00610487">
        <w:rPr>
          <w:rStyle w:val="aff4"/>
          <w:rFonts w:hint="cs"/>
          <w:rtl/>
        </w:rPr>
        <w:t>המרכה"מ</w:t>
      </w:r>
      <w:r w:rsidRPr="00A816F6">
        <w:rPr>
          <w:rStyle w:val="aff4"/>
          <w:rFonts w:hint="cs"/>
          <w:vanish/>
          <w:rtl/>
        </w:rPr>
        <w:t>-</w:t>
      </w:r>
      <w:r>
        <w:rPr>
          <w:rFonts w:hint="cs"/>
          <w:rtl/>
        </w:rPr>
        <w:t>.</w:t>
      </w:r>
    </w:p>
    <w:p w14:paraId="022F62C2" w14:textId="77777777" w:rsidR="000426DE" w:rsidRPr="00747170" w:rsidRDefault="000426DE" w:rsidP="00747170">
      <w:pPr>
        <w:pStyle w:val="a2"/>
        <w:rPr>
          <w:rtl/>
        </w:rPr>
      </w:pPr>
      <w:r w:rsidRPr="00747170">
        <w:rPr>
          <w:rtl/>
        </w:rPr>
        <w:t>גבשושית של עפר וכו'. עיין במ"מ ולח"מ ומה שנראה לענ"ד ביישוב דברי רבנו דדוקא בהגביה מעל הארץ והניחה על גבי יתדות שיהיה מונח כן יום או יומים הוא דהו"ל תולש שמבטל היניקה משא"כ במגביה לפי שעה וחוזר ומניחו על גבי הקרקע לית בי' משום תולש דבזמן מועט עודנו באבו לא ייבש ומשו"ה קשרי ריש לקיש לקנח בו וההיתר הזה נלמד מדברי רבנו ממ"ש פ"א ה"ה וגם לקמן פכ"ו הזכיר היתר הקינוח בצרור שמשיר צרורות ודמי לטוחן והוא הדין צרור שעלו בו עשבים דהו"ל דבר שאינו מתכוין ושרי ועיין בערוך ערך פרפס דמפרש נמי חייב חטאת דלא כפרש"י והאריך שם בנותן טעם והנכון כמ"ש.</w:t>
      </w:r>
    </w:p>
    <w:p w14:paraId="6EEC692A" w14:textId="77777777" w:rsidR="000426DE" w:rsidRDefault="000426DE" w:rsidP="000426DE">
      <w:pPr>
        <w:pStyle w:val="afffff7"/>
        <w:rPr>
          <w:rtl/>
        </w:rPr>
      </w:pPr>
      <w:bookmarkStart w:id="1598" w:name="_Toc163505655"/>
      <w:r>
        <w:rPr>
          <w:rtl/>
        </w:rPr>
        <w:t xml:space="preserve">אור זרוע </w:t>
      </w:r>
      <w:r>
        <w:rPr>
          <w:rFonts w:hint="cs"/>
          <w:rtl/>
        </w:rPr>
        <w:t>ח"ב</w:t>
      </w:r>
      <w:r>
        <w:rPr>
          <w:rtl/>
        </w:rPr>
        <w:t xml:space="preserve"> הלכות שבת סי</w:t>
      </w:r>
      <w:r>
        <w:rPr>
          <w:rFonts w:hint="cs"/>
          <w:rtl/>
        </w:rPr>
        <w:t>'</w:t>
      </w:r>
      <w:r>
        <w:rPr>
          <w:rtl/>
        </w:rPr>
        <w:t xml:space="preserve"> נ</w:t>
      </w:r>
      <w:r>
        <w:rPr>
          <w:rFonts w:hint="cs"/>
          <w:rtl/>
        </w:rPr>
        <w:t>"</w:t>
      </w:r>
      <w:r>
        <w:rPr>
          <w:rtl/>
        </w:rPr>
        <w:t>ו</w:t>
      </w:r>
      <w:r w:rsidRPr="000F71BA">
        <w:rPr>
          <w:rtl/>
        </w:rPr>
        <w:t xml:space="preserve"> ד"ה אמר אביי</w:t>
      </w:r>
      <w:bookmarkEnd w:id="1598"/>
    </w:p>
    <w:p w14:paraId="7E8B7567" w14:textId="77777777" w:rsidR="000426DE" w:rsidRDefault="000426DE" w:rsidP="000426DE">
      <w:pPr>
        <w:pStyle w:val="a7"/>
        <w:rPr>
          <w:rtl/>
        </w:rPr>
      </w:pPr>
      <w:bookmarkStart w:id="1599" w:name="_Toc139316391"/>
      <w:r>
        <w:rPr>
          <w:rFonts w:hint="cs"/>
          <w:rtl/>
        </w:rPr>
        <w:t>בי' האו"ז בשם הריב"א דצרור שמחזירו למקום גדילתו ל"ה תולש כיון דלא היה מחובר לגמרי</w:t>
      </w:r>
      <w:bookmarkEnd w:id="1599"/>
    </w:p>
    <w:p w14:paraId="4723FF02" w14:textId="4D154A42" w:rsidR="000426DE" w:rsidRDefault="000426DE" w:rsidP="00BC7DC8">
      <w:pPr>
        <w:pStyle w:val="a3"/>
        <w:rPr>
          <w:rtl/>
        </w:rPr>
      </w:pPr>
      <w:r>
        <w:rPr>
          <w:rFonts w:hint="cs"/>
          <w:rtl/>
        </w:rPr>
        <w:t xml:space="preserve">במ"ש </w:t>
      </w:r>
      <w:r w:rsidRPr="00DE1AA0">
        <w:rPr>
          <w:rStyle w:val="aff4"/>
          <w:rFonts w:hint="cs"/>
          <w:vanish/>
          <w:rtl/>
        </w:rPr>
        <w:t>-</w:t>
      </w:r>
      <w:r w:rsidRPr="00DB6BF0">
        <w:rPr>
          <w:rStyle w:val="aff4"/>
          <w:rFonts w:hint="cs"/>
          <w:rtl/>
        </w:rPr>
        <w:t>רש"י לקמן</w:t>
      </w:r>
      <w:r w:rsidRPr="00DE1AA0">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Ref134734637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לה)</w:t>
      </w:r>
      <w:r>
        <w:rPr>
          <w:rStyle w:val="af2"/>
          <w:rFonts w:eastAsia="Guttman Hodes"/>
          <w:rtl/>
        </w:rPr>
        <w:fldChar w:fldCharType="end"/>
      </w:r>
      <w:r>
        <w:rPr>
          <w:rFonts w:hint="cs"/>
          <w:rtl/>
        </w:rPr>
        <w:t xml:space="preserve"> דהאיסור להגביה פרפיסא מע"ג קרקע לע"ג יתדות הוא מדרבנן, וכמו שאמרו בנשג"ז, וא"א לומר דהאיסור הוא מדאו' דא"כ היאך התיר ר"ל לקנח בצרור, הביא </w:t>
      </w:r>
      <w:r w:rsidRPr="00DE1AA0">
        <w:rPr>
          <w:rStyle w:val="aff4"/>
          <w:rFonts w:hint="cs"/>
          <w:vanish/>
          <w:rtl/>
        </w:rPr>
        <w:t>-</w:t>
      </w:r>
      <w:r w:rsidRPr="00DB6BF0">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Ref135126973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מו)</w:t>
      </w:r>
      <w:r w:rsidRPr="00B53404">
        <w:rPr>
          <w:rStyle w:val="aff4"/>
          <w:vanish/>
          <w:rtl/>
        </w:rPr>
        <w:fldChar w:fldCharType="end"/>
      </w:r>
      <w:r w:rsidRPr="00B53404">
        <w:rPr>
          <w:rStyle w:val="aff4"/>
          <w:rFonts w:hint="cs"/>
          <w:vanish/>
          <w:rtl/>
        </w:rPr>
        <w:t xml:space="preserve"> &gt;</w:t>
      </w:r>
      <w:r w:rsidRPr="00DB6BF0">
        <w:rPr>
          <w:rStyle w:val="aff4"/>
          <w:rFonts w:hint="cs"/>
          <w:rtl/>
        </w:rPr>
        <w:t>או"ז</w:t>
      </w:r>
      <w:r w:rsidRPr="00DE1AA0">
        <w:rPr>
          <w:rStyle w:val="aff4"/>
          <w:rFonts w:hint="cs"/>
          <w:vanish/>
          <w:rtl/>
        </w:rPr>
        <w:t>-</w:t>
      </w:r>
      <w:r>
        <w:rPr>
          <w:rFonts w:hint="cs"/>
          <w:rtl/>
        </w:rPr>
        <w:t xml:space="preserve"> </w:t>
      </w:r>
      <w:r w:rsidRPr="00FB451D">
        <w:rPr>
          <w:rStyle w:val="af2"/>
          <w:rFonts w:eastAsia="Guttman Hodes" w:hint="cs"/>
          <w:rtl/>
        </w:rPr>
        <w:t>(ח"ב שבת סי' נ"ו ד"ה אמר אביי)</w:t>
      </w:r>
      <w:r>
        <w:rPr>
          <w:rFonts w:hint="cs"/>
          <w:rtl/>
        </w:rPr>
        <w:t xml:space="preserve"> בשם </w:t>
      </w:r>
      <w:r w:rsidRPr="00DE1AA0">
        <w:rPr>
          <w:rStyle w:val="aff4"/>
          <w:rFonts w:hint="cs"/>
          <w:vanish/>
          <w:rtl/>
        </w:rPr>
        <w:t>-</w:t>
      </w:r>
      <w:r w:rsidRPr="00DB6BF0">
        <w:rPr>
          <w:rStyle w:val="aff4"/>
          <w:rFonts w:hint="cs"/>
          <w:rtl/>
        </w:rPr>
        <w:t>הריב"א</w:t>
      </w:r>
      <w:r w:rsidRPr="00DE1AA0">
        <w:rPr>
          <w:rStyle w:val="aff4"/>
          <w:rFonts w:hint="cs"/>
          <w:vanish/>
          <w:rtl/>
        </w:rPr>
        <w:t>-</w:t>
      </w:r>
      <w:r w:rsidRPr="00DE1AA0">
        <w:rPr>
          <w:rFonts w:hint="cs"/>
          <w:vanish/>
          <w:rtl/>
        </w:rPr>
        <w:t>=</w:t>
      </w:r>
      <w:r>
        <w:rPr>
          <w:rFonts w:hint="cs"/>
          <w:rtl/>
        </w:rPr>
        <w:t xml:space="preserve"> דהקשה דבנשג"ז אמרינן להדיא בגמ' דהוא מדרבנן, ואילו בפרפיסא אמרינן בסתמא דחייב, וביאר </w:t>
      </w:r>
      <w:r w:rsidRPr="00DE1AA0">
        <w:rPr>
          <w:rStyle w:val="aff4"/>
          <w:rFonts w:hint="cs"/>
          <w:vanish/>
          <w:rtl/>
        </w:rPr>
        <w:t>-</w:t>
      </w:r>
      <w:r w:rsidRPr="00DB6BF0">
        <w:rPr>
          <w:rStyle w:val="aff4"/>
          <w:rFonts w:hint="cs"/>
          <w:rtl/>
        </w:rPr>
        <w:t>הריב"א</w:t>
      </w:r>
      <w:r w:rsidRPr="00DE1AA0">
        <w:rPr>
          <w:rStyle w:val="aff4"/>
          <w:rFonts w:hint="cs"/>
          <w:vanish/>
          <w:rtl/>
        </w:rPr>
        <w:t>-</w:t>
      </w:r>
      <w:r>
        <w:rPr>
          <w:rFonts w:hint="cs"/>
          <w:rtl/>
        </w:rPr>
        <w:t xml:space="preserve"> דהא דהתיר ר"ל לקנח בצרור, הוא כיון דאחר שמקנח בו מחזירו לקרקע, וכל שמחזירו למקום גדילתו לא חשיב תולש, וכתב </w:t>
      </w:r>
      <w:r w:rsidRPr="00DE1AA0">
        <w:rPr>
          <w:rStyle w:val="aff4"/>
          <w:rFonts w:hint="cs"/>
          <w:vanish/>
          <w:rtl/>
        </w:rPr>
        <w:t>-</w:t>
      </w:r>
      <w:r w:rsidRPr="00DB6BF0">
        <w:rPr>
          <w:rStyle w:val="aff4"/>
          <w:rFonts w:hint="cs"/>
          <w:rtl/>
        </w:rPr>
        <w:t>הריב"א</w:t>
      </w:r>
      <w:r w:rsidRPr="00DE1AA0">
        <w:rPr>
          <w:rStyle w:val="aff4"/>
          <w:rFonts w:hint="cs"/>
          <w:vanish/>
          <w:rtl/>
        </w:rPr>
        <w:t>-</w:t>
      </w:r>
      <w:r>
        <w:rPr>
          <w:rFonts w:hint="cs"/>
          <w:rtl/>
        </w:rPr>
        <w:t xml:space="preserve"> דאעפ"י דהתולש דבר שהיה מחובר והחזירו חייב משום תולש ומשום נוטע, היינו דוקא בדבר שהיה מחובר לגמרי, אבל צרור לא חשיב מחובר לגמרי וכשמגביהו אינו נקרא תולש לגמרי, ורק כשקרע את הצרור ממקום אחר הוא תולש, כיון דבזה הוא ממעט את יניקתו, ועי' במ"ש </w:t>
      </w:r>
      <w:r w:rsidRPr="00065BDB">
        <w:rPr>
          <w:rStyle w:val="aff4"/>
          <w:rFonts w:hint="cs"/>
          <w:vanish/>
          <w:rtl/>
        </w:rPr>
        <w:t>-</w:t>
      </w:r>
      <w:r w:rsidRPr="00610487">
        <w:rPr>
          <w:rStyle w:val="aff4"/>
          <w:rFonts w:hint="cs"/>
          <w:rtl/>
        </w:rPr>
        <w:t>בחי' רבי ראובן</w:t>
      </w:r>
      <w:r w:rsidRPr="00065BDB">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Ref135414582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עד)</w:t>
      </w:r>
      <w:r>
        <w:rPr>
          <w:rStyle w:val="af2"/>
          <w:rFonts w:eastAsia="Guttman Hodes"/>
          <w:rtl/>
        </w:rPr>
        <w:fldChar w:fldCharType="end"/>
      </w:r>
      <w:r>
        <w:rPr>
          <w:rFonts w:hint="cs"/>
          <w:rtl/>
        </w:rPr>
        <w:t xml:space="preserve"> דכוונת </w:t>
      </w:r>
      <w:r w:rsidRPr="00065BDB">
        <w:rPr>
          <w:rStyle w:val="aff4"/>
          <w:rFonts w:hint="cs"/>
          <w:vanish/>
          <w:rtl/>
        </w:rPr>
        <w:t>-</w:t>
      </w:r>
      <w:r w:rsidRPr="00610487">
        <w:rPr>
          <w:rStyle w:val="aff4"/>
          <w:rFonts w:hint="cs"/>
          <w:rtl/>
        </w:rPr>
        <w:t>האו"ז</w:t>
      </w:r>
      <w:r w:rsidRPr="00065BDB">
        <w:rPr>
          <w:rStyle w:val="aff4"/>
          <w:rFonts w:hint="cs"/>
          <w:vanish/>
          <w:rtl/>
        </w:rPr>
        <w:t>-</w:t>
      </w:r>
      <w:r>
        <w:rPr>
          <w:rFonts w:hint="cs"/>
          <w:rtl/>
        </w:rPr>
        <w:t xml:space="preserve"> לומר כמו שביאר </w:t>
      </w:r>
      <w:r w:rsidRPr="00065BDB">
        <w:rPr>
          <w:rStyle w:val="aff4"/>
          <w:rFonts w:hint="cs"/>
          <w:vanish/>
          <w:rtl/>
        </w:rPr>
        <w:t>-</w:t>
      </w:r>
      <w:r w:rsidRPr="00610487">
        <w:rPr>
          <w:rStyle w:val="aff4"/>
          <w:rFonts w:hint="cs"/>
          <w:rtl/>
        </w:rPr>
        <w:t>המרכה"מ</w:t>
      </w:r>
      <w:r w:rsidRPr="00065BDB">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Ref135340655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מה)</w:t>
      </w:r>
      <w:r>
        <w:rPr>
          <w:rStyle w:val="af2"/>
          <w:rFonts w:eastAsia="Guttman Hodes"/>
          <w:rtl/>
        </w:rPr>
        <w:fldChar w:fldCharType="end"/>
      </w:r>
      <w:r>
        <w:rPr>
          <w:rFonts w:hint="cs"/>
          <w:rtl/>
        </w:rPr>
        <w:t xml:space="preserve"> עיי"ש בדבריו.</w:t>
      </w:r>
    </w:p>
    <w:p w14:paraId="4AFABCAD" w14:textId="77777777" w:rsidR="000426DE" w:rsidRPr="00747170" w:rsidRDefault="000426DE" w:rsidP="00747170">
      <w:pPr>
        <w:pStyle w:val="a2"/>
        <w:rPr>
          <w:rtl/>
        </w:rPr>
      </w:pPr>
      <w:r w:rsidRPr="00747170">
        <w:rPr>
          <w:rtl/>
        </w:rPr>
        <w:t>אמר אביי פרפיסא הואיל ואתא לידן נימא בה מילתא. הי' מונח ע"ג קרקע והניחו [ע"ג יתדות מחייב משום תולש] ע"ג יתדות והניחו ע"ג קרקע מחייב משום נוטע פירש"י חייב משום תולש דאינו נהנה שוב מריח הקרקע. ולי נראה [דהאי] חייב לאו חייב ממש קאמר דאי חייב ממש לצורך היכי שרו רבנן איסורא דאורייתא איסור כרת ואיסור סקילה [משום קנוח] ודומה לו הבא על הנכרית חייב משום נשג"ז דלאו מדאורייתא הוא אלא מדרבנן עכ"ל. ולפי דבריו גבי צרור אין לגרוס חייב חטאת אלא חייב ותו לא וחייב מדרבנן. ואינו נראה לריב"א דהתם גבי נשג"ז מפרש להדיא דמדרבנן הוא כדקתני פ' אילו הן הנשרפין כי אתא רב דימי אמר בית דינו של חשמונאי גזרו הבא על הנכרית חייב משום נשג"ז אבל הכא סתם קתני חייב ומה שהקשה דאי חייב ממש לצורך היכי שרו רבנן איסור סקילה לא דמי האי לצרור שעלו בו עשבים שמותר לקנח בו שכיון שהוא מחזירו לקרקע למקום גדולתו לאו תולש הוא ואף על גב דהתולש דבר שהוא מחובר אפי' החזירו חייב היינו היכא שהי' מחובר גמור וכשמחזירו לשם נוטע לכתחילה הוא אבל זה שאינו מחובר גמור כשהוא מגביהו אינו תולש גמור אא"כ קורעו במקום אחר שמיעט את יניקתו כך פי' ריב"א.</w:t>
      </w:r>
    </w:p>
    <w:p w14:paraId="10252798" w14:textId="77777777" w:rsidR="000426DE" w:rsidRDefault="000426DE" w:rsidP="000426DE">
      <w:pPr>
        <w:pStyle w:val="a7"/>
        <w:rPr>
          <w:rtl/>
        </w:rPr>
      </w:pPr>
      <w:bookmarkStart w:id="1600" w:name="_Toc139316392"/>
      <w:r>
        <w:rPr>
          <w:rFonts w:hint="cs"/>
          <w:rtl/>
        </w:rPr>
        <w:t>בי' האו"ז דאף לריב"א ההיתר רק בצרור דאינו מחובר כ"כ אבל בפרפיסא אף בהחזירו הוי תולש</w:t>
      </w:r>
      <w:bookmarkEnd w:id="1600"/>
    </w:p>
    <w:p w14:paraId="7C6CB786" w14:textId="77777777" w:rsidR="000426DE" w:rsidRPr="00706C5F" w:rsidRDefault="000426DE" w:rsidP="00BC7DC8">
      <w:pPr>
        <w:pStyle w:val="a3"/>
      </w:pPr>
      <w:r>
        <w:rPr>
          <w:rFonts w:hint="cs"/>
          <w:rtl/>
        </w:rPr>
        <w:t xml:space="preserve">אך כתב </w:t>
      </w:r>
      <w:r w:rsidRPr="00DE1AA0">
        <w:rPr>
          <w:rStyle w:val="aff4"/>
          <w:rFonts w:hint="cs"/>
          <w:vanish/>
          <w:rtl/>
        </w:rPr>
        <w:t>-</w:t>
      </w:r>
      <w:r w:rsidRPr="00DB6BF0">
        <w:rPr>
          <w:rStyle w:val="aff4"/>
          <w:rFonts w:hint="cs"/>
          <w:rtl/>
        </w:rPr>
        <w:t>האו"ז</w:t>
      </w:r>
      <w:r w:rsidRPr="00DE1AA0">
        <w:rPr>
          <w:rStyle w:val="aff4"/>
          <w:rFonts w:hint="cs"/>
          <w:vanish/>
          <w:rtl/>
        </w:rPr>
        <w:t>-</w:t>
      </w:r>
      <w:r>
        <w:rPr>
          <w:rFonts w:hint="cs"/>
          <w:rtl/>
        </w:rPr>
        <w:t xml:space="preserve"> דיש להסתפק אי כוונת </w:t>
      </w:r>
      <w:r w:rsidRPr="00DE1AA0">
        <w:rPr>
          <w:rStyle w:val="aff4"/>
          <w:rFonts w:hint="cs"/>
          <w:vanish/>
          <w:rtl/>
        </w:rPr>
        <w:t>-</w:t>
      </w:r>
      <w:r w:rsidRPr="00DB6BF0">
        <w:rPr>
          <w:rStyle w:val="aff4"/>
          <w:rFonts w:hint="cs"/>
          <w:rtl/>
        </w:rPr>
        <w:t>הריב"א</w:t>
      </w:r>
      <w:r w:rsidRPr="00DE1AA0">
        <w:rPr>
          <w:rStyle w:val="aff4"/>
          <w:rFonts w:hint="cs"/>
          <w:vanish/>
          <w:rtl/>
        </w:rPr>
        <w:t>-</w:t>
      </w:r>
      <w:r>
        <w:rPr>
          <w:rFonts w:hint="cs"/>
          <w:rtl/>
        </w:rPr>
        <w:t xml:space="preserve"> לומר דאף בפרפיסא אם החזירה ע"ג פטור או רק בצרור, וכתב </w:t>
      </w:r>
      <w:r w:rsidRPr="00DE1AA0">
        <w:rPr>
          <w:rStyle w:val="aff4"/>
          <w:rFonts w:hint="cs"/>
          <w:vanish/>
          <w:rtl/>
        </w:rPr>
        <w:t>-</w:t>
      </w:r>
      <w:r w:rsidRPr="00DB6BF0">
        <w:rPr>
          <w:rStyle w:val="aff4"/>
          <w:rFonts w:hint="cs"/>
          <w:rtl/>
        </w:rPr>
        <w:t>האו"ז</w:t>
      </w:r>
      <w:r w:rsidRPr="00DE1AA0">
        <w:rPr>
          <w:rStyle w:val="aff4"/>
          <w:rFonts w:hint="cs"/>
          <w:vanish/>
          <w:rtl/>
        </w:rPr>
        <w:t>-</w:t>
      </w:r>
      <w:r>
        <w:rPr>
          <w:rFonts w:hint="cs"/>
          <w:rtl/>
        </w:rPr>
        <w:t xml:space="preserve"> דמסתבר דרק בצרור מותר כיון דהעשבים שבצרור אינם מחוברים כ"כ, ולכן אינו תולש גמור, כל שאח"כ החזיר את הצרור למקום גידולו, אבל בפרפיסא שע"ג הקרקע, הוא מחובר יותר ואף אם החזירו אח"כ למקום גידולו חייב משום תולשו, וכתב </w:t>
      </w:r>
      <w:r w:rsidRPr="00DE1AA0">
        <w:rPr>
          <w:rStyle w:val="aff4"/>
          <w:rFonts w:hint="cs"/>
          <w:vanish/>
          <w:rtl/>
        </w:rPr>
        <w:t>-</w:t>
      </w:r>
      <w:r w:rsidRPr="00DB6BF0">
        <w:rPr>
          <w:rStyle w:val="aff4"/>
          <w:rFonts w:hint="cs"/>
          <w:rtl/>
        </w:rPr>
        <w:t>האו"ז</w:t>
      </w:r>
      <w:r w:rsidRPr="00DE1AA0">
        <w:rPr>
          <w:rStyle w:val="aff4"/>
          <w:rFonts w:hint="cs"/>
          <w:vanish/>
          <w:rtl/>
        </w:rPr>
        <w:t>-</w:t>
      </w:r>
      <w:r>
        <w:rPr>
          <w:rFonts w:hint="cs"/>
          <w:rtl/>
        </w:rPr>
        <w:t xml:space="preserve"> דמדברי </w:t>
      </w:r>
      <w:r w:rsidRPr="00DE1AA0">
        <w:rPr>
          <w:rStyle w:val="aff4"/>
          <w:rFonts w:hint="cs"/>
          <w:vanish/>
          <w:rtl/>
        </w:rPr>
        <w:t>-</w:t>
      </w:r>
      <w:r w:rsidRPr="00DB6BF0">
        <w:rPr>
          <w:rStyle w:val="aff4"/>
          <w:rFonts w:hint="cs"/>
          <w:rtl/>
        </w:rPr>
        <w:t>הערוך</w:t>
      </w:r>
      <w:r w:rsidRPr="00DE1AA0">
        <w:rPr>
          <w:rStyle w:val="aff4"/>
          <w:rFonts w:hint="cs"/>
          <w:vanish/>
          <w:rtl/>
        </w:rPr>
        <w:t>-</w:t>
      </w:r>
      <w:r>
        <w:rPr>
          <w:rFonts w:hint="cs"/>
          <w:rtl/>
        </w:rPr>
        <w:t xml:space="preserve"> משמע דפרפיסא הוא מחובר יותר מצרור. </w:t>
      </w:r>
    </w:p>
    <w:p w14:paraId="71C9908E" w14:textId="77777777" w:rsidR="000426DE" w:rsidRPr="00747170" w:rsidRDefault="000426DE" w:rsidP="00747170">
      <w:pPr>
        <w:pStyle w:val="a2"/>
      </w:pPr>
      <w:r w:rsidRPr="00747170">
        <w:rPr>
          <w:rtl/>
        </w:rPr>
        <w:t>וא"י אם ריב"א רוצה לומר שגם גבי פרפיסא אם החזירה ע"ג קרקע פטור ולא מסתבר אלא ר"ל דפרפיסא שע"ג הקרקע מחובר הוא טפי ואפי' החזירו כבר נתחייב משום תולש אבל עשבים שבצרור לא מחברי טפי הלכך לא הוי תולש גמור אא"כ לא החזירם</w:t>
      </w:r>
      <w:r w:rsidRPr="00747170">
        <w:rPr>
          <w:rFonts w:hint="cs"/>
          <w:rtl/>
        </w:rPr>
        <w:t xml:space="preserve">, </w:t>
      </w:r>
      <w:r w:rsidRPr="00747170">
        <w:rPr>
          <w:rtl/>
        </w:rPr>
        <w:t>ובערוך פי' מה היא פרפיסא כשזורעין אותו עושין לו מקום כמו כן או כמו שוליים שיושב עליו [שעור] שיניח עליו ע"ג קרקע [ואפשר שהוא משרש שם ומתחבר לקרקע] ובזמן שמניחו על גבי יתדות הרי הוא מעבירו ממקום שמתחבר ומתחייב משום תולש אבל אם זרעו מעיקרא להניחו ע"ג יתדות והיה מונח שם ולקחו והניחו ע"ג קרקע הרי הכינו במקו' שמתחבר לקרקע וחייב משום (תולש) [נוטע] עכ"ל משמע דהאי פרפיס' טפי מתחבר.</w:t>
      </w:r>
    </w:p>
    <w:p w14:paraId="5CBB819C" w14:textId="77777777" w:rsidR="000426DE" w:rsidRDefault="000426DE" w:rsidP="000426DE">
      <w:pPr>
        <w:pStyle w:val="afffff7"/>
        <w:rPr>
          <w:rtl/>
        </w:rPr>
      </w:pPr>
      <w:bookmarkStart w:id="1601" w:name="_Toc163505656"/>
      <w:r>
        <w:rPr>
          <w:rtl/>
        </w:rPr>
        <w:t xml:space="preserve">אגלי טל קוצר </w:t>
      </w:r>
      <w:r>
        <w:rPr>
          <w:rFonts w:hint="cs"/>
          <w:rtl/>
        </w:rPr>
        <w:t>סק"ו</w:t>
      </w:r>
      <w:bookmarkEnd w:id="1601"/>
    </w:p>
    <w:p w14:paraId="2068186A" w14:textId="77777777" w:rsidR="000426DE" w:rsidRDefault="000426DE" w:rsidP="000426DE">
      <w:pPr>
        <w:pStyle w:val="a7"/>
        <w:rPr>
          <w:rtl/>
        </w:rPr>
      </w:pPr>
      <w:bookmarkStart w:id="1602" w:name="_Toc139316393"/>
      <w:r>
        <w:rPr>
          <w:rFonts w:hint="cs"/>
          <w:rtl/>
        </w:rPr>
        <w:t>בי' האגל"ט דלרש"י ותוס' תולש דאו' ולרמב"ם דרבנן דנח' בגמ' בגיטין אי ע"ג יתדות הוי תלוש</w:t>
      </w:r>
      <w:bookmarkEnd w:id="1602"/>
    </w:p>
    <w:p w14:paraId="547D4CB5" w14:textId="6137E127" w:rsidR="000426DE" w:rsidRDefault="000426DE" w:rsidP="00BC7DC8">
      <w:pPr>
        <w:pStyle w:val="a3"/>
      </w:pPr>
      <w:r>
        <w:rPr>
          <w:rFonts w:hint="cs"/>
          <w:rtl/>
        </w:rPr>
        <w:t xml:space="preserve">במ"ש </w:t>
      </w:r>
      <w:r w:rsidRPr="00BE599A">
        <w:rPr>
          <w:rStyle w:val="aff4"/>
          <w:rFonts w:hint="cs"/>
          <w:vanish/>
          <w:rtl/>
        </w:rPr>
        <w:t>-</w:t>
      </w:r>
      <w:r w:rsidRPr="000614F7">
        <w:rPr>
          <w:rStyle w:val="aff4"/>
          <w:rFonts w:hint="cs"/>
          <w:rtl/>
        </w:rPr>
        <w:t>רש"י לקמן</w:t>
      </w:r>
      <w:r w:rsidRPr="00BE599A">
        <w:rPr>
          <w:rStyle w:val="aff4"/>
          <w:rFonts w:hint="cs"/>
          <w:vanish/>
          <w:rtl/>
        </w:rPr>
        <w:t>-</w:t>
      </w:r>
      <w:r>
        <w:rPr>
          <w:rFonts w:hint="cs"/>
          <w:rtl/>
        </w:rPr>
        <w:t xml:space="preserve"> </w:t>
      </w:r>
      <w:r w:rsidRPr="00FB451D">
        <w:rPr>
          <w:rStyle w:val="af2"/>
          <w:rFonts w:eastAsia="Guttman Hodes" w:hint="cs"/>
          <w:rtl/>
        </w:rPr>
        <w:t xml:space="preserve">(עי' אות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Ref134956345 \r \h</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לו)</w:t>
      </w:r>
      <w:r w:rsidRPr="00FB451D">
        <w:rPr>
          <w:rStyle w:val="af2"/>
          <w:rFonts w:eastAsia="Guttman Hodes"/>
          <w:rtl/>
        </w:rPr>
        <w:fldChar w:fldCharType="end"/>
      </w:r>
      <w:r>
        <w:rPr>
          <w:rFonts w:hint="cs"/>
          <w:rtl/>
        </w:rPr>
        <w:t xml:space="preserve"> </w:t>
      </w:r>
      <w:r w:rsidRPr="0051221E">
        <w:rPr>
          <w:rStyle w:val="aff4"/>
          <w:rFonts w:hint="cs"/>
          <w:vanish/>
          <w:rtl/>
        </w:rPr>
        <w:t>-</w:t>
      </w:r>
      <w:r w:rsidRPr="000614F7">
        <w:rPr>
          <w:rStyle w:val="aff4"/>
          <w:rFonts w:hint="cs"/>
          <w:rtl/>
        </w:rPr>
        <w:t>ותוס' לקמן</w:t>
      </w:r>
      <w:r w:rsidRPr="0051221E">
        <w:rPr>
          <w:rStyle w:val="aff4"/>
          <w:rFonts w:hint="cs"/>
          <w:vanish/>
          <w:rtl/>
        </w:rPr>
        <w:t>-</w:t>
      </w:r>
      <w:r>
        <w:rPr>
          <w:rFonts w:hint="cs"/>
          <w:rtl/>
        </w:rPr>
        <w:t xml:space="preserve"> </w:t>
      </w:r>
      <w:r w:rsidRPr="00FB451D">
        <w:rPr>
          <w:rStyle w:val="af2"/>
          <w:rFonts w:eastAsia="Guttman Hodes" w:hint="cs"/>
          <w:rtl/>
        </w:rPr>
        <w:t xml:space="preserve">(עי' </w:t>
      </w:r>
      <w:r w:rsidRPr="00DF3ED0">
        <w:rPr>
          <w:rStyle w:val="af2"/>
          <w:rFonts w:eastAsia="Guttman Hodes" w:hint="cs"/>
          <w:rtl/>
        </w:rPr>
        <w:t xml:space="preserve">אות </w:t>
      </w:r>
      <w:r w:rsidRPr="00DF3ED0">
        <w:rPr>
          <w:rStyle w:val="af2"/>
          <w:rFonts w:eastAsia="Guttman Hodes"/>
          <w:rtl/>
        </w:rPr>
        <w:fldChar w:fldCharType="begin"/>
      </w:r>
      <w:r w:rsidRPr="00DF3ED0">
        <w:rPr>
          <w:rStyle w:val="af2"/>
          <w:rFonts w:eastAsia="Guttman Hodes"/>
          <w:rtl/>
        </w:rPr>
        <w:instrText xml:space="preserve"> </w:instrText>
      </w:r>
      <w:r w:rsidRPr="00DF3ED0">
        <w:rPr>
          <w:rStyle w:val="af2"/>
          <w:rFonts w:eastAsia="Guttman Hodes" w:hint="cs"/>
        </w:rPr>
        <w:instrText>REF</w:instrText>
      </w:r>
      <w:r w:rsidRPr="00DF3ED0">
        <w:rPr>
          <w:rStyle w:val="af2"/>
          <w:rFonts w:eastAsia="Guttman Hodes" w:hint="cs"/>
          <w:rtl/>
        </w:rPr>
        <w:instrText xml:space="preserve"> _</w:instrText>
      </w:r>
      <w:r w:rsidRPr="00DF3ED0">
        <w:rPr>
          <w:rStyle w:val="af2"/>
          <w:rFonts w:eastAsia="Guttman Hodes" w:hint="cs"/>
        </w:rPr>
        <w:instrText>Ref135383793 \r \h</w:instrText>
      </w:r>
      <w:r w:rsidRPr="00DF3ED0">
        <w:rPr>
          <w:rStyle w:val="af2"/>
          <w:rFonts w:eastAsia="Guttman Hodes"/>
          <w:rtl/>
        </w:rPr>
        <w:instrText xml:space="preserve"> </w:instrText>
      </w:r>
      <w:r w:rsidRPr="00DF3ED0">
        <w:rPr>
          <w:rStyle w:val="af2"/>
          <w:rFonts w:eastAsia="Guttman Hodes"/>
          <w:rtl/>
        </w:rPr>
      </w:r>
      <w:r w:rsidRPr="00DF3ED0">
        <w:rPr>
          <w:rStyle w:val="af2"/>
          <w:rFonts w:eastAsia="Guttman Hodes"/>
          <w:rtl/>
        </w:rPr>
        <w:fldChar w:fldCharType="separate"/>
      </w:r>
      <w:r w:rsidR="00D82181">
        <w:rPr>
          <w:rStyle w:val="af2"/>
          <w:rFonts w:eastAsia="Guttman Hodes"/>
          <w:cs/>
        </w:rPr>
        <w:t>‎</w:t>
      </w:r>
      <w:r w:rsidR="00D82181">
        <w:rPr>
          <w:rStyle w:val="af2"/>
          <w:rFonts w:eastAsia="Guttman Hodes"/>
          <w:rtl/>
        </w:rPr>
        <w:t>לז)</w:t>
      </w:r>
      <w:r w:rsidRPr="00DF3ED0">
        <w:rPr>
          <w:rStyle w:val="af2"/>
          <w:rFonts w:eastAsia="Guttman Hodes"/>
          <w:rtl/>
        </w:rPr>
        <w:fldChar w:fldCharType="end"/>
      </w:r>
      <w:r>
        <w:rPr>
          <w:rFonts w:hint="cs"/>
          <w:rtl/>
        </w:rPr>
        <w:t xml:space="preserve"> </w:t>
      </w:r>
      <w:r w:rsidRPr="00BE599A">
        <w:rPr>
          <w:rStyle w:val="aff4"/>
          <w:rFonts w:hint="cs"/>
          <w:vanish/>
          <w:rtl/>
        </w:rPr>
        <w:t>-</w:t>
      </w:r>
      <w:r w:rsidRPr="000614F7">
        <w:rPr>
          <w:rStyle w:val="aff4"/>
          <w:rFonts w:hint="cs"/>
          <w:rtl/>
        </w:rPr>
        <w:t>ו</w:t>
      </w:r>
      <w:r>
        <w:rPr>
          <w:rStyle w:val="aff4"/>
          <w:rFonts w:hint="cs"/>
          <w:rtl/>
        </w:rPr>
        <w:t>ההג' אשר"י</w:t>
      </w:r>
      <w:r w:rsidRPr="000614F7">
        <w:rPr>
          <w:rStyle w:val="aff4"/>
          <w:rFonts w:hint="cs"/>
          <w:rtl/>
        </w:rPr>
        <w:t xml:space="preserve"> לקמן</w:t>
      </w:r>
      <w:r w:rsidRPr="00BE599A">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Ref134956004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מז)</w:t>
      </w:r>
      <w:r>
        <w:rPr>
          <w:rStyle w:val="af2"/>
          <w:rFonts w:eastAsia="Guttman Hodes"/>
          <w:rtl/>
        </w:rPr>
        <w:fldChar w:fldCharType="end"/>
      </w:r>
      <w:r>
        <w:rPr>
          <w:rFonts w:hint="cs"/>
          <w:rtl/>
        </w:rPr>
        <w:t xml:space="preserve"> דהא דאמרינן בגמ' לקמן </w:t>
      </w:r>
      <w:r w:rsidRPr="00FB451D">
        <w:rPr>
          <w:rStyle w:val="af2"/>
          <w:rFonts w:eastAsia="Guttman Hodes" w:hint="cs"/>
          <w:rtl/>
        </w:rPr>
        <w:t>(פא:)</w:t>
      </w:r>
      <w:r>
        <w:rPr>
          <w:rFonts w:hint="cs"/>
          <w:rtl/>
        </w:rPr>
        <w:t xml:space="preserve"> דחייב משום תולש, הוא לאו דוקא ורק מדרבנן חשיב תולש, כתב </w:t>
      </w:r>
      <w:r w:rsidRPr="00BE599A">
        <w:rPr>
          <w:rStyle w:val="aff4"/>
          <w:rFonts w:hint="cs"/>
          <w:vanish/>
          <w:rtl/>
        </w:rPr>
        <w:t>-</w:t>
      </w:r>
      <w:r>
        <w:rPr>
          <w:rStyle w:val="aff4"/>
          <w:rFonts w:hint="cs"/>
          <w:rtl/>
        </w:rPr>
        <w:t>ה</w:t>
      </w:r>
      <w:r>
        <w:rPr>
          <w:rFonts w:hint="cs"/>
          <w:vanish/>
          <w:rtl/>
        </w:rPr>
        <w:t xml:space="preserve">&lt;. </w:t>
      </w:r>
      <w:r>
        <w:rPr>
          <w:vanish/>
          <w:rtl/>
        </w:rPr>
        <w:fldChar w:fldCharType="begin"/>
      </w:r>
      <w:r>
        <w:rPr>
          <w:vanish/>
          <w:rtl/>
        </w:rPr>
        <w:instrText xml:space="preserve"> </w:instrText>
      </w:r>
      <w:r>
        <w:rPr>
          <w:rFonts w:hint="cs"/>
          <w:vanish/>
        </w:rPr>
        <w:instrText>REF</w:instrText>
      </w:r>
      <w:r>
        <w:rPr>
          <w:rFonts w:hint="cs"/>
          <w:vanish/>
          <w:rtl/>
        </w:rPr>
        <w:instrText xml:space="preserve"> _</w:instrText>
      </w:r>
      <w:r>
        <w:rPr>
          <w:rFonts w:hint="cs"/>
          <w:vanish/>
        </w:rPr>
        <w:instrText>Ref135236688 \r \h</w:instrText>
      </w:r>
      <w:r>
        <w:rPr>
          <w:vanish/>
          <w:rtl/>
        </w:rPr>
        <w:instrText xml:space="preserve"> </w:instrText>
      </w:r>
      <w:r>
        <w:rPr>
          <w:vanish/>
          <w:rtl/>
        </w:rPr>
      </w:r>
      <w:r>
        <w:rPr>
          <w:vanish/>
          <w:rtl/>
        </w:rPr>
        <w:fldChar w:fldCharType="separate"/>
      </w:r>
      <w:r w:rsidR="00D82181">
        <w:rPr>
          <w:vanish/>
          <w:cs/>
        </w:rPr>
        <w:t>‎</w:t>
      </w:r>
      <w:r w:rsidR="00D82181">
        <w:rPr>
          <w:vanish/>
          <w:rtl/>
        </w:rPr>
        <w:t>מד)</w:t>
      </w:r>
      <w:r>
        <w:rPr>
          <w:vanish/>
          <w:rtl/>
        </w:rPr>
        <w:fldChar w:fldCharType="end"/>
      </w:r>
      <w:r>
        <w:rPr>
          <w:rFonts w:hint="cs"/>
          <w:vanish/>
          <w:rtl/>
        </w:rPr>
        <w:t xml:space="preserve"> &gt;</w:t>
      </w:r>
      <w:r w:rsidRPr="00BE599A">
        <w:rPr>
          <w:rStyle w:val="aff4"/>
          <w:rFonts w:hint="cs"/>
          <w:rtl/>
        </w:rPr>
        <w:t>אגלי טל</w:t>
      </w:r>
      <w:r w:rsidRPr="00BE599A">
        <w:rPr>
          <w:rStyle w:val="aff4"/>
          <w:rFonts w:hint="cs"/>
          <w:vanish/>
          <w:rtl/>
        </w:rPr>
        <w:t>-</w:t>
      </w:r>
      <w:r>
        <w:rPr>
          <w:rFonts w:hint="cs"/>
          <w:rtl/>
        </w:rPr>
        <w:t xml:space="preserve"> </w:t>
      </w:r>
      <w:r w:rsidRPr="00FB451D">
        <w:rPr>
          <w:rStyle w:val="af2"/>
          <w:rFonts w:eastAsia="Guttman Hodes" w:hint="cs"/>
          <w:rtl/>
        </w:rPr>
        <w:t>(קוצר סק"ו)</w:t>
      </w:r>
      <w:r w:rsidRPr="00BE599A">
        <w:rPr>
          <w:rFonts w:hint="cs"/>
          <w:vanish/>
          <w:rtl/>
        </w:rPr>
        <w:t>=</w:t>
      </w:r>
      <w:r w:rsidRPr="009E7321">
        <w:rPr>
          <w:rFonts w:hint="cs"/>
          <w:rtl/>
        </w:rPr>
        <w:t xml:space="preserve"> </w:t>
      </w:r>
      <w:r>
        <w:rPr>
          <w:rFonts w:hint="cs"/>
          <w:rtl/>
        </w:rPr>
        <w:t xml:space="preserve">דמהא דכתב </w:t>
      </w:r>
      <w:r w:rsidRPr="00BE599A">
        <w:rPr>
          <w:rStyle w:val="aff4"/>
          <w:rFonts w:hint="cs"/>
          <w:vanish/>
          <w:rtl/>
        </w:rPr>
        <w:t>-</w:t>
      </w:r>
      <w:r w:rsidRPr="00C65D8D">
        <w:rPr>
          <w:rStyle w:val="aff4"/>
          <w:rFonts w:hint="cs"/>
          <w:rtl/>
        </w:rPr>
        <w:t>הרמב"ם</w:t>
      </w:r>
      <w:r w:rsidRPr="00BE599A">
        <w:rPr>
          <w:rStyle w:val="aff4"/>
          <w:rFonts w:hint="cs"/>
          <w:vanish/>
          <w:rtl/>
        </w:rPr>
        <w:t>-</w:t>
      </w:r>
      <w:r>
        <w:rPr>
          <w:rFonts w:hint="cs"/>
          <w:rtl/>
        </w:rPr>
        <w:t xml:space="preserve"> </w:t>
      </w:r>
      <w:r w:rsidRPr="00FB451D">
        <w:rPr>
          <w:rStyle w:val="af2"/>
          <w:rFonts w:eastAsia="Guttman Hodes" w:hint="cs"/>
          <w:rtl/>
        </w:rPr>
        <w:t xml:space="preserve">(עי' אות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Ref134736415 \r \h</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מ)</w:t>
      </w:r>
      <w:r w:rsidRPr="00FB451D">
        <w:rPr>
          <w:rStyle w:val="af2"/>
          <w:rFonts w:eastAsia="Guttman Hodes"/>
          <w:rtl/>
        </w:rPr>
        <w:fldChar w:fldCharType="end"/>
      </w:r>
      <w:r>
        <w:rPr>
          <w:rFonts w:hint="cs"/>
          <w:rtl/>
        </w:rPr>
        <w:t xml:space="preserve"> דגבשושית שעלו בה עשבים, והגביה אותה מהקרקע, והניחה ע"ג יתדות, דחייב משום תולש, מבואר דלדעת </w:t>
      </w:r>
      <w:r w:rsidRPr="00BE599A">
        <w:rPr>
          <w:rStyle w:val="aff4"/>
          <w:rFonts w:hint="cs"/>
          <w:vanish/>
          <w:rtl/>
        </w:rPr>
        <w:t>-</w:t>
      </w:r>
      <w:r w:rsidRPr="000614F7">
        <w:rPr>
          <w:rStyle w:val="aff4"/>
          <w:rFonts w:hint="cs"/>
          <w:rtl/>
        </w:rPr>
        <w:t>הרמב"ם</w:t>
      </w:r>
      <w:r w:rsidRPr="00BE599A">
        <w:rPr>
          <w:rStyle w:val="aff4"/>
          <w:rFonts w:hint="cs"/>
          <w:vanish/>
          <w:rtl/>
        </w:rPr>
        <w:t>-</w:t>
      </w:r>
      <w:r>
        <w:rPr>
          <w:rFonts w:hint="cs"/>
          <w:rtl/>
        </w:rPr>
        <w:t xml:space="preserve"> חייב בתולש מדאו', דהא כתב </w:t>
      </w:r>
      <w:r w:rsidRPr="00BE599A">
        <w:rPr>
          <w:rStyle w:val="aff4"/>
          <w:rFonts w:hint="cs"/>
          <w:vanish/>
          <w:rtl/>
        </w:rPr>
        <w:t>-</w:t>
      </w:r>
      <w:r w:rsidRPr="000614F7">
        <w:rPr>
          <w:rStyle w:val="aff4"/>
          <w:rFonts w:hint="cs"/>
          <w:rtl/>
        </w:rPr>
        <w:t>הרמב"ם</w:t>
      </w:r>
      <w:r w:rsidRPr="00BE599A">
        <w:rPr>
          <w:rStyle w:val="aff4"/>
          <w:rFonts w:hint="cs"/>
          <w:vanish/>
          <w:rtl/>
        </w:rPr>
        <w:t>-</w:t>
      </w:r>
      <w:r>
        <w:rPr>
          <w:rFonts w:hint="cs"/>
          <w:rtl/>
        </w:rPr>
        <w:t xml:space="preserve"> </w:t>
      </w:r>
      <w:r w:rsidRPr="00FB451D">
        <w:rPr>
          <w:rStyle w:val="af2"/>
          <w:rFonts w:eastAsia="Guttman Hodes" w:hint="cs"/>
          <w:rtl/>
        </w:rPr>
        <w:t>(שבת פ"א ה"ב)</w:t>
      </w:r>
      <w:r>
        <w:rPr>
          <w:rFonts w:hint="cs"/>
          <w:rtl/>
        </w:rPr>
        <w:t xml:space="preserve"> דבכל מקום שכתב חייב, הוא חיוב דאו', וביאר </w:t>
      </w:r>
      <w:r w:rsidRPr="00B21A47">
        <w:rPr>
          <w:rStyle w:val="aff4"/>
          <w:rFonts w:hint="cs"/>
          <w:vanish/>
          <w:rtl/>
        </w:rPr>
        <w:t>-</w:t>
      </w:r>
      <w:r w:rsidRPr="00272A5B">
        <w:rPr>
          <w:rStyle w:val="aff4"/>
          <w:rFonts w:hint="cs"/>
          <w:rtl/>
        </w:rPr>
        <w:t>האגלי טל</w:t>
      </w:r>
      <w:r w:rsidRPr="00B21A47">
        <w:rPr>
          <w:rStyle w:val="aff4"/>
          <w:rFonts w:hint="cs"/>
          <w:vanish/>
          <w:rtl/>
        </w:rPr>
        <w:t>-</w:t>
      </w:r>
      <w:r>
        <w:rPr>
          <w:rFonts w:hint="cs"/>
          <w:rtl/>
        </w:rPr>
        <w:t xml:space="preserve"> דפלוגתתם תליא בביאור הסוגיא בגיטין </w:t>
      </w:r>
      <w:r w:rsidRPr="00FB451D">
        <w:rPr>
          <w:rStyle w:val="af2"/>
          <w:rFonts w:eastAsia="Guttman Hodes" w:hint="cs"/>
          <w:rtl/>
        </w:rPr>
        <w:t>(ז:)</w:t>
      </w:r>
      <w:r>
        <w:rPr>
          <w:rFonts w:hint="cs"/>
          <w:rtl/>
        </w:rPr>
        <w:t xml:space="preserve"> דלדעת </w:t>
      </w:r>
      <w:r w:rsidRPr="00B53404">
        <w:rPr>
          <w:rFonts w:hint="cs"/>
          <w:vanish/>
          <w:rtl/>
        </w:rPr>
        <w:t>&lt; &gt;</w:t>
      </w:r>
      <w:r w:rsidRPr="00B21A47">
        <w:rPr>
          <w:rStyle w:val="aff4"/>
          <w:rFonts w:hint="cs"/>
          <w:vanish/>
          <w:rtl/>
        </w:rPr>
        <w:t>-</w:t>
      </w:r>
      <w:r w:rsidRPr="00272A5B">
        <w:rPr>
          <w:rStyle w:val="aff4"/>
          <w:rFonts w:hint="cs"/>
          <w:rtl/>
        </w:rPr>
        <w:t>רש"י בגיטין</w:t>
      </w:r>
      <w:r w:rsidRPr="00B21A47">
        <w:rPr>
          <w:rStyle w:val="aff4"/>
          <w:rFonts w:hint="cs"/>
          <w:vanish/>
          <w:rtl/>
        </w:rPr>
        <w:t>-</w:t>
      </w:r>
      <w:r>
        <w:rPr>
          <w:rFonts w:hint="cs"/>
          <w:rtl/>
        </w:rPr>
        <w:t xml:space="preserve"> </w:t>
      </w:r>
      <w:r w:rsidRPr="00FB451D">
        <w:rPr>
          <w:rStyle w:val="af2"/>
          <w:rFonts w:eastAsia="Guttman Hodes" w:hint="cs"/>
          <w:rtl/>
        </w:rPr>
        <w:t>(ז: ד"ה עציץ)</w:t>
      </w:r>
      <w:r w:rsidRPr="00B21A47">
        <w:rPr>
          <w:rFonts w:hint="cs"/>
          <w:vanish/>
          <w:rtl/>
        </w:rPr>
        <w:t>=</w:t>
      </w:r>
      <w:r>
        <w:rPr>
          <w:rFonts w:hint="cs"/>
          <w:rtl/>
        </w:rPr>
        <w:t xml:space="preserve"> וכן לדעת </w:t>
      </w:r>
      <w:r w:rsidRPr="00B21A47">
        <w:rPr>
          <w:rStyle w:val="aff4"/>
          <w:rFonts w:hint="cs"/>
          <w:vanish/>
          <w:rtl/>
        </w:rPr>
        <w:t>-</w:t>
      </w:r>
      <w:r w:rsidRPr="00272A5B">
        <w:rPr>
          <w:rStyle w:val="aff4"/>
          <w:rFonts w:hint="cs"/>
          <w:rtl/>
        </w:rPr>
        <w:t>ה</w:t>
      </w:r>
      <w:r w:rsidRPr="00B53404">
        <w:rPr>
          <w:rStyle w:val="aff4"/>
          <w:rFonts w:hint="cs"/>
          <w:vanish/>
          <w:rtl/>
        </w:rPr>
        <w:t>&lt; &gt;</w:t>
      </w:r>
      <w:r w:rsidRPr="00272A5B">
        <w:rPr>
          <w:rStyle w:val="aff4"/>
          <w:rFonts w:hint="cs"/>
          <w:rtl/>
        </w:rPr>
        <w:t>תוס' בגיטין</w:t>
      </w:r>
      <w:r w:rsidRPr="00B21A47">
        <w:rPr>
          <w:rStyle w:val="aff4"/>
          <w:rFonts w:hint="cs"/>
          <w:vanish/>
          <w:rtl/>
        </w:rPr>
        <w:t>-</w:t>
      </w:r>
      <w:r>
        <w:rPr>
          <w:rFonts w:hint="cs"/>
          <w:rtl/>
        </w:rPr>
        <w:t xml:space="preserve"> </w:t>
      </w:r>
      <w:r w:rsidRPr="00FB451D">
        <w:rPr>
          <w:rStyle w:val="af2"/>
          <w:rFonts w:eastAsia="Guttman Hodes" w:hint="cs"/>
          <w:rtl/>
        </w:rPr>
        <w:t>(ז: ד"ה דילמא)</w:t>
      </w:r>
      <w:r w:rsidRPr="00B21A47">
        <w:rPr>
          <w:rFonts w:hint="cs"/>
          <w:vanish/>
          <w:rtl/>
        </w:rPr>
        <w:t>=</w:t>
      </w:r>
      <w:r>
        <w:rPr>
          <w:rFonts w:hint="cs"/>
          <w:rtl/>
        </w:rPr>
        <w:t xml:space="preserve"> מבואר דעציץ אף כשהוא ע"ג יתדות חשיב מחובר לקרקע, ולכן כשמגביהו מע"ג קרקע ומניחו ע"ג יתדות אינו תולש מדאו', אבל מדברי </w:t>
      </w:r>
      <w:r w:rsidRPr="00B21A47">
        <w:rPr>
          <w:rStyle w:val="aff4"/>
          <w:rFonts w:hint="cs"/>
          <w:vanish/>
          <w:rtl/>
        </w:rPr>
        <w:t>-</w:t>
      </w:r>
      <w:r w:rsidRPr="00272A5B">
        <w:rPr>
          <w:rStyle w:val="aff4"/>
          <w:rFonts w:hint="cs"/>
          <w:rtl/>
        </w:rPr>
        <w:t>ה</w:t>
      </w:r>
      <w:r w:rsidRPr="00B53404">
        <w:rPr>
          <w:rStyle w:val="aff4"/>
          <w:rFonts w:hint="cs"/>
          <w:vanish/>
          <w:rtl/>
        </w:rPr>
        <w:t>&lt; &gt;</w:t>
      </w:r>
      <w:r w:rsidRPr="00272A5B">
        <w:rPr>
          <w:rStyle w:val="aff4"/>
          <w:rFonts w:hint="cs"/>
          <w:rtl/>
        </w:rPr>
        <w:t>רמב"ם</w:t>
      </w:r>
      <w:r w:rsidRPr="00B21A47">
        <w:rPr>
          <w:rStyle w:val="aff4"/>
          <w:rFonts w:hint="cs"/>
          <w:vanish/>
          <w:rtl/>
        </w:rPr>
        <w:t>-</w:t>
      </w:r>
      <w:r>
        <w:rPr>
          <w:rFonts w:hint="cs"/>
          <w:rtl/>
        </w:rPr>
        <w:t xml:space="preserve"> </w:t>
      </w:r>
      <w:r w:rsidRPr="00FB451D">
        <w:rPr>
          <w:rStyle w:val="af2"/>
          <w:rFonts w:eastAsia="Guttman Hodes" w:hint="cs"/>
          <w:rtl/>
        </w:rPr>
        <w:t>(תרומות פ"א הכ"ג)</w:t>
      </w:r>
      <w:r w:rsidRPr="00B21A47">
        <w:rPr>
          <w:rFonts w:hint="cs"/>
          <w:vanish/>
          <w:rtl/>
        </w:rPr>
        <w:t>=</w:t>
      </w:r>
      <w:r>
        <w:rPr>
          <w:rFonts w:hint="cs"/>
          <w:rtl/>
        </w:rPr>
        <w:t xml:space="preserve"> מבואר דס"ל דעציץ </w:t>
      </w:r>
      <w:r>
        <w:rPr>
          <w:rFonts w:hint="cs"/>
          <w:rtl/>
        </w:rPr>
        <w:lastRenderedPageBreak/>
        <w:t xml:space="preserve">נקוב ע"ג יתדות חשיב כתלוש, ולכן יש בזה איסור תולש דאו', עיי"ש במה שהאריך </w:t>
      </w:r>
      <w:r w:rsidRPr="00B21A47">
        <w:rPr>
          <w:rStyle w:val="aff4"/>
          <w:rFonts w:hint="cs"/>
          <w:vanish/>
          <w:rtl/>
        </w:rPr>
        <w:t>-</w:t>
      </w:r>
      <w:r w:rsidRPr="00272A5B">
        <w:rPr>
          <w:rStyle w:val="aff4"/>
          <w:rFonts w:hint="cs"/>
          <w:rtl/>
        </w:rPr>
        <w:t>האגלי טל</w:t>
      </w:r>
      <w:r w:rsidRPr="00B21A47">
        <w:rPr>
          <w:rStyle w:val="aff4"/>
          <w:rFonts w:hint="cs"/>
          <w:vanish/>
          <w:rtl/>
        </w:rPr>
        <w:t>-</w:t>
      </w:r>
      <w:r>
        <w:rPr>
          <w:rFonts w:hint="cs"/>
          <w:rtl/>
        </w:rPr>
        <w:t xml:space="preserve"> טובא בזה.</w:t>
      </w:r>
    </w:p>
    <w:p w14:paraId="65F4B06A" w14:textId="77777777" w:rsidR="000426DE" w:rsidRPr="00747170" w:rsidRDefault="000426DE" w:rsidP="00747170">
      <w:pPr>
        <w:pStyle w:val="a2"/>
        <w:rPr>
          <w:rtl/>
        </w:rPr>
      </w:pPr>
      <w:r w:rsidRPr="00747170">
        <w:rPr>
          <w:rtl/>
        </w:rPr>
        <w:t>[ו] (א) ואפי' לא הי' מונח בקרקע. בפ' המוציא יין פ"א: אמר ריש לקיש צרור שעלו בו עשבים מותר לקנח בו והתולש ממנו בשבת חייב חטאת [פירש"י מותר לקנח דאינו מתכוין לתלוש ומותר דהלכה כר"ש. והתולש ממנו במתכוין חייב דמקום גידולו הוא א] אמר רב פפי ש"מ מדר"ל האי פרפיסא שרי לטלטולי [פירש"י מדר"ל דאמר מותר לקנח בו ולא אמרינן צרור זה העשבים שעלו מלחלוחית הקרקע הם יוצאין וכשמגביהן הרי הוא כעוקרן מגידוליהן האי פרפיסא עציב נקוב שזרעו בו וכו' שרי לטלטולי ולא אמרינן תולש הוא א] מתקיף לה רב כהנא אם אמרו לצורך יאמרו שלא לצורך [פירש"י לצורך קינוח כבוד הבריות] אמר אביי פרפיסא הואיל ואתא לידן נימא בי' מילתא. הי' מונח ע"ג קרקע והניחו ע"ג יתידות מיחייב משום תולש. הי' מונח ע"ג יתידות והניחו ע"ג קרקע חייב משום נוטע. [פירש"י חייב משום תולש דאינו נהנה שוב מריח הקרקע ול"נ דהאי חייב לאו דווקא אלא אסור משום דדמי לתולש דאי חייב ממש קאמר לצורך היכי שרי רבנן איסור כרת וסקילה משום קינוח. ודומה לו במס' סנהדרין פ"ב. הבא על הנכרית חייב משום נשג"ז דלאו מדאורייתא הוא אלא מדרבנן] ובתוס' ד"ה והניחו. האי מיחייב מכת מרדות מדרבנן כדפירש בקונטרס מדשרי ר"ל. עכ"ל. וכן הוא בהג"א שם דהאי מיחייב מדרבנן ומסיים בה דאע"ג דמונח ע"ג יתידות יונק מן הקרקע קצת הלכך מדאורייתא אין חייב משום תולש ומשום נוטע. א"כ משמע אם הפסיקו לגמרי בבגד או בעצים דפסיק יניקתו לגמרי שייך בו תלישה ונטיעה מדאורייתא עכ"ל. הרי מפורש דכל היכי שנקב העציץ רואה פני הקרקע אף שאויר מפסיקו חשוב כמחובר. וממילא התולש ממנו כתולש מהארץ:</w:t>
      </w:r>
    </w:p>
    <w:p w14:paraId="7720CB97" w14:textId="77777777" w:rsidR="000426DE" w:rsidRPr="00D578AC" w:rsidRDefault="000426DE" w:rsidP="00747170">
      <w:pPr>
        <w:pStyle w:val="afffff5"/>
        <w:rPr>
          <w:rtl/>
        </w:rPr>
      </w:pPr>
      <w:r w:rsidRPr="00D578AC">
        <w:rPr>
          <w:rtl/>
        </w:rPr>
        <w:t>(ב) אך הרמב"ם פ"ח מה"ש ה"ד כתב וז"ל גבשושית של עפר שעלו בה עשבים הגביהה מעל הארץ והניחה ע"ג יתידות חייב משום תולש. היתה ע"ג יתידות והניחה על הארץ חייב משום זורע עכ"ל. והנה לפי הכלל שהניח הרמב"ם בפ"א ה"ב שכל מקום שיכתוב בהלכות שבת חייב הוא מדאורייתא. א"כ מוכרח דבאויר מפסיקו הוא כתלוש מדאורייתא. וממילא דהתולש ממנו בשבת פטור:</w:t>
      </w:r>
    </w:p>
    <w:p w14:paraId="402F4E13" w14:textId="77777777" w:rsidR="000426DE" w:rsidRPr="00D578AC" w:rsidRDefault="000426DE" w:rsidP="00747170">
      <w:pPr>
        <w:pStyle w:val="afffff5"/>
        <w:rPr>
          <w:rtl/>
        </w:rPr>
      </w:pPr>
      <w:r w:rsidRPr="00D578AC">
        <w:rPr>
          <w:rtl/>
        </w:rPr>
        <w:t>(ג) ונראה דאזדו לטעמייהו ומחלוקתם תליא בשמעתתא דפ"ק דגיטין דף ז': והכי גרסינן התם תנא חדא המביא גט בספינה כמביא בארץ ישראל [פירש"י שנכתב בספינה וקס"ד דבנהרות דא"י קאמר. כמביא בא"י. כאלו מביאה דרך יבשה ואין צריך לומר בפני נכתב] ותניא אידך כמביא בחוץ לארץ. [שהנהר אין לו תורת יבשה. לכל תורת הארץ]. א"ר ירמיה לא קשיא הא ר' יהודא הא רבנן דתנן עפר חוץ לארץ הבא בספינה לארץ חייב במעשר ובשביעית. א"ר יהודא אימתי בזמן שהספינה גוששת אבל אין הספינה גוששת פטור [פירש"י עפר חוץ לארץ הבא בספינה לארץ. וזרעו בספינה וצמח והספינה של חרס היא ואינה צריכה לינקב אם היתה מונחת בקרקע כדאמר במנחות דף פ"ד: חייבת במעשר ובשביעית שהנהרות שבא"י הרי הם כא"י. גוששת. מגששת בקרקע שאין המים עמוקים]. אביי אמר הא והא ר' יהודא היא ולא קשיא כאן בזמן שאין הספינה גוששת כאן בזמן שהספינה גוששת. א"ר זירא עציץ נקוב המונח ע"ג יתידות באנו למחלוקת ר' יהודה ורבנן. [פירש"י עציץ של עץ נקוב המונח ע"ג יתידות. באנו למחלוקת ר' יהודא ורבנן. לרבנן אוירא כמאן דמנחא דמי ולר"י לא מחייב במעשר מדאורייתא עד דמנחא אארעא]. אמר רבא דילמא לא היא עד כאן לא קאמר ר' יהודא התם אלא בספינה העשוי' לברוח [פירש"י העשוי' לברוח כלומר מפני שהיא מהלכת כל שעה]. אבל עציץ שאינו עשוי לברוח לא. אי נמי עד כאן לא קאמרי רבנן התם אלא בספינה דלא מפסיק אוירא דמיא כי ארעא סמיכתא דמיא אבל עציץ דמפסיק אוירא לא [פירש"י דלא מפסיק אוירא בין ספינה לארץ אין שום אויר ומיא כארעא סמיכתא דמי]:</w:t>
      </w:r>
    </w:p>
    <w:p w14:paraId="71D3103B" w14:textId="77777777" w:rsidR="000426DE" w:rsidRPr="00D578AC" w:rsidRDefault="000426DE" w:rsidP="00747170">
      <w:pPr>
        <w:pStyle w:val="afffff5"/>
        <w:rPr>
          <w:rtl/>
        </w:rPr>
      </w:pPr>
      <w:r w:rsidRPr="00D578AC">
        <w:rPr>
          <w:rtl/>
        </w:rPr>
        <w:t>(ד) ובתוס' ד"ה דילמא לא היא עד כאן לא קאמר ר' יהודה. כן הוא האמת דעציץ כמחובר דבפרק השולח דף ל"ז. אמרינן אין כותבין פרוזבול אלא על עציץ נקוב ומוקי לה דמנחא אסיכי. והא דקאמר הכא עד כאן לא קאמרי רבנן אלא בספינה משמע דבעציץ לכ"ע לא הוי כמחובר דחויא בעלמא הוא. והא דאמר בשבת בפרק המוציא יין דף פ"א: האי פרפיסא דמנחא אארעא ואנחא אסיכי חייב משום תולש היינו מדרבנן כדפירש התם בקונטרס עכ"ל. וצ"ע הא כשלקח העציץ בידו מן הקרקע אינו עומד במקום אחד בשעת לקיחה והוי דומיא דספינה דעשוי לברוח דהיינו שאינו עומד במקום אחד. [וכן הוא בירושלמי] ויתחייב משום תולש וכשחזר והניחו ע"ג יתידות יתחייב משום נוטע. וצ"ל דס"ל להתוס' דהלכה כרבנן דאפי' בספינה חשוב כמחובר והא דהוצרכו לומר כן הוא האמת היינו לאפוקי משנויא בתרא דרבא דאפי' רבנן מודים בעציץ. וכן משמע בדבריהם בשבת דף פ"א: ד"ה והניחו. ועולה מדברי התוס' דקי"ל כרבנן ולדידהו אף המונח ע"ג יתידות חשוב כמחובר ושם בתוס' ד"ה אמר הקשו דהא ר' יהודא אמר אימתי בזמן שהספינה גוששת וכל מקום שאמר ר"י אימתי הוא לפרש. ותירצו בתוספות בתירוץ הב' דדוקא במשנה אבל בברייתא אימתי לחלוק. ואף דהא דספינה יש גם במשנה והוא לפרש. מ"מ אימתי דברייתא לחלוק. ותרי תנאי אליבא דר"י. תנא דמתני' ס"ל ר' יהודא בא לפרש. ותנא דברייתא סבר ר"י בא לחלוק ע"ש:</w:t>
      </w:r>
    </w:p>
    <w:p w14:paraId="4922A5C3" w14:textId="77777777" w:rsidR="000426DE" w:rsidRPr="00D578AC" w:rsidRDefault="000426DE" w:rsidP="00747170">
      <w:pPr>
        <w:pStyle w:val="afffff5"/>
        <w:rPr>
          <w:rtl/>
        </w:rPr>
      </w:pPr>
      <w:r w:rsidRPr="00D578AC">
        <w:rPr>
          <w:rtl/>
        </w:rPr>
        <w:t>(ה) והרמב"ם בפי' המשנה [חלה פ"ב מ"ב] מפרש אימתי דר"י לפרש ופסק בהלכותיו [תרומות פ"א הכ"ג] דאימתי בזמן שהספינה גוששת ואזיל לטעמי' בפי' המשנה דאימתי לפרש ואף דתנא דברייתא ס"ל לחלוק פסק כתנא דמתני'. וא"כ המונח ע"ג יתידות חשוב כתלוש. והא דכותבין פרוזבול על עציץ נקוב דלא צריך לדין זה אלא דמנח אסיכי [דאל"כ דאיכא קרקע כ"ש מקום עציץ ואף אם השאילו חבירו כותבין עליו פרוזבול] לא הביא הרמב"ם ז"ל כלל דין זה דכותבין פרוזבול על עציץ נקוב. ואזיל לטעמי' דפסק שהמונח ע"ג יתידות תלוש הוא דקי"ל כר' יהודא דספינה כתנא דמתני' דאימתי דר"י לפרש. וברייתא דכותבין פרוזבול על עציץ נקוב ס"ל כברייתא אחריתא דאימתי דר"י לחלוק וקי"ל כרבנן דמונח ע"ג יתידות חשוב כמחובר. אבל לדידן דקי"ל כתנא דמתני' אין כותבין כו'. וליכא למימר כאידך תירוצא דרבא דלא נצרך גוששת אלא בספינה משום דעשוי לברוח אבל בעציץ כ"ע מודו דחשוב מחובר. וא"כ למה לי' להרמב"ם לדחות ברייתא דפרוזבול מהלכתא. ליתא שהרי כבר כתבנו דא"כ יקשה הש"ס שבת פ"א. דלא מחייב אלא חדא ושם בשעה שמעביר העציץ דמיא לספינה דעשוי לברוח ולחייב משום תולש ומשום זורע. ומאחר שהרמב"ם מפרש דאימתי לפרש א"כ האי סוגיא דשבת לא אתיא כמאן. וע"כ לומר דלמאן דמפרש אימתי לפרש לית ליה שנויא דרבא דמחלק בספינה משום דעשוי לברוח ונדחה ברייתא דפרוזבול מהלכתא. וזה ברור בדעת הרמב"ם. והרי"ף ג"כ לא הביא הא דעציץ נקוב לגבי פרוזבול. וברור דס"ל ג"כ המונח ע"ג יתידות חשוב כתלוש. ואין כותבין על עציץ נקוב המונח ע"ג סיכי:</w:t>
      </w:r>
    </w:p>
    <w:p w14:paraId="513E0D45" w14:textId="77777777" w:rsidR="000426DE" w:rsidRDefault="000426DE" w:rsidP="000426DE">
      <w:pPr>
        <w:pStyle w:val="affff5"/>
      </w:pPr>
      <w:bookmarkStart w:id="1603" w:name="_Toc139316394"/>
      <w:r w:rsidRPr="00716C93">
        <w:rPr>
          <w:rFonts w:hint="cs"/>
          <w:rtl/>
        </w:rPr>
        <w:t>~~~~~~~~~~~~~~~~~~~~~~~~~~~~</w:t>
      </w:r>
      <w:bookmarkEnd w:id="1603"/>
      <w:r w:rsidRPr="002439C9">
        <w:rPr>
          <w:vanish/>
          <w:rtl/>
        </w:rPr>
        <w:t>&lt; # =</w:t>
      </w:r>
    </w:p>
    <w:p w14:paraId="548FEB54" w14:textId="77777777" w:rsidR="000426DE" w:rsidRDefault="000426DE" w:rsidP="000426DE">
      <w:pPr>
        <w:pStyle w:val="affff5"/>
        <w:rPr>
          <w:rtl/>
        </w:rPr>
      </w:pPr>
      <w:bookmarkStart w:id="1604" w:name="_Toc139316395"/>
      <w:r>
        <w:rPr>
          <w:rFonts w:hint="cs"/>
          <w:rtl/>
        </w:rPr>
        <w:t>בקוצר בהפסקת גידול בלא תלישה כלל</w:t>
      </w:r>
      <w:bookmarkEnd w:id="1604"/>
      <w:r w:rsidRPr="002439C9">
        <w:rPr>
          <w:vanish/>
          <w:rtl/>
        </w:rPr>
        <w:t>&lt; # =</w:t>
      </w:r>
    </w:p>
    <w:p w14:paraId="3043D87F" w14:textId="77777777" w:rsidR="000426DE" w:rsidRDefault="000426DE" w:rsidP="000426DE">
      <w:pPr>
        <w:pStyle w:val="1"/>
        <w:rPr>
          <w:rtl/>
        </w:rPr>
      </w:pPr>
      <w:bookmarkStart w:id="1605" w:name="_Toc139316396"/>
      <w:r>
        <w:rPr>
          <w:rFonts w:hint="cs"/>
          <w:rtl/>
        </w:rPr>
        <w:t>בי' המאירי בירו' דמניח עציץ ע"ג עציץ קוצר דמפסיק גידולו</w:t>
      </w:r>
      <w:bookmarkEnd w:id="1605"/>
    </w:p>
    <w:p w14:paraId="35D557F4" w14:textId="77777777" w:rsidR="000426DE" w:rsidRDefault="000426DE" w:rsidP="000426DE">
      <w:pPr>
        <w:pStyle w:val="afffff7"/>
        <w:rPr>
          <w:rtl/>
        </w:rPr>
      </w:pPr>
      <w:bookmarkStart w:id="1606" w:name="_Toc135513734"/>
      <w:bookmarkStart w:id="1607" w:name="_Toc163505657"/>
      <w:r>
        <w:rPr>
          <w:rtl/>
        </w:rPr>
        <w:t>מאירי שבת פ"א ע"ב</w:t>
      </w:r>
      <w:r>
        <w:rPr>
          <w:rFonts w:hint="cs"/>
          <w:rtl/>
        </w:rPr>
        <w:t xml:space="preserve"> ד"ה זה שהתרנו</w:t>
      </w:r>
      <w:bookmarkEnd w:id="1606"/>
      <w:bookmarkEnd w:id="1607"/>
    </w:p>
    <w:p w14:paraId="549C00FC" w14:textId="77777777" w:rsidR="000426DE" w:rsidRDefault="000426DE" w:rsidP="000426DE">
      <w:pPr>
        <w:pStyle w:val="a7"/>
        <w:rPr>
          <w:rtl/>
        </w:rPr>
      </w:pPr>
      <w:bookmarkStart w:id="1608" w:name="_Toc139316397"/>
      <w:r>
        <w:rPr>
          <w:rFonts w:hint="cs"/>
          <w:rtl/>
        </w:rPr>
        <w:t>בי' הי"מ במאירי בירושלמי דמניח עציץ ע"ג עציץ קוצר בתחתון דלא מגדל ומוסיף יניקה בעליון</w:t>
      </w:r>
      <w:bookmarkEnd w:id="1608"/>
    </w:p>
    <w:p w14:paraId="7FDE991D" w14:textId="549AF6B6" w:rsidR="000426DE" w:rsidRPr="001179C1" w:rsidRDefault="000426DE" w:rsidP="00BC7DC8">
      <w:pPr>
        <w:pStyle w:val="a3"/>
        <w:rPr>
          <w:rtl/>
        </w:rPr>
      </w:pPr>
      <w:bookmarkStart w:id="1609" w:name="_Ref134611605"/>
      <w:r>
        <w:rPr>
          <w:rFonts w:hint="cs"/>
          <w:rtl/>
        </w:rPr>
        <w:t xml:space="preserve">הביא </w:t>
      </w:r>
      <w:r w:rsidRPr="00C65D8D">
        <w:rPr>
          <w:rStyle w:val="aff4"/>
          <w:rFonts w:hint="cs"/>
          <w:vanish/>
          <w:rtl/>
        </w:rPr>
        <w:t>-</w:t>
      </w:r>
      <w:r w:rsidRPr="00C65D8D">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Ref134611605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ס)</w:t>
      </w:r>
      <w:r w:rsidRPr="00B53404">
        <w:rPr>
          <w:rStyle w:val="aff4"/>
          <w:vanish/>
          <w:rtl/>
        </w:rPr>
        <w:fldChar w:fldCharType="end"/>
      </w:r>
      <w:r w:rsidRPr="00B53404">
        <w:rPr>
          <w:rStyle w:val="aff4"/>
          <w:rFonts w:hint="cs"/>
          <w:vanish/>
          <w:rtl/>
        </w:rPr>
        <w:t xml:space="preserve"> &gt;</w:t>
      </w:r>
      <w:r w:rsidRPr="00C65D8D">
        <w:rPr>
          <w:rStyle w:val="aff4"/>
          <w:rFonts w:hint="cs"/>
          <w:rtl/>
        </w:rPr>
        <w:t>מאירי לקמן</w:t>
      </w:r>
      <w:r w:rsidRPr="00C65D8D">
        <w:rPr>
          <w:rStyle w:val="aff4"/>
          <w:rFonts w:hint="cs"/>
          <w:vanish/>
          <w:rtl/>
        </w:rPr>
        <w:t>-</w:t>
      </w:r>
      <w:r>
        <w:rPr>
          <w:rFonts w:hint="cs"/>
          <w:rtl/>
        </w:rPr>
        <w:t xml:space="preserve"> </w:t>
      </w:r>
      <w:r w:rsidRPr="00FB451D">
        <w:rPr>
          <w:rStyle w:val="af2"/>
          <w:rFonts w:eastAsia="Guttman Hodes" w:hint="cs"/>
          <w:rtl/>
        </w:rPr>
        <w:t>(פא: ד"ה זה שהתרנו)</w:t>
      </w:r>
      <w:r w:rsidRPr="00496A69">
        <w:rPr>
          <w:rFonts w:hint="cs"/>
          <w:vanish/>
          <w:rtl/>
        </w:rPr>
        <w:t>=</w:t>
      </w:r>
      <w:r>
        <w:rPr>
          <w:rFonts w:hint="cs"/>
          <w:rtl/>
        </w:rPr>
        <w:t xml:space="preserve"> את דברי הירושלמי </w:t>
      </w:r>
      <w:r w:rsidRPr="00FB451D">
        <w:rPr>
          <w:rStyle w:val="af2"/>
          <w:rFonts w:eastAsia="Guttman Hodes" w:hint="cs"/>
          <w:rtl/>
        </w:rPr>
        <w:t>(פ"ז ה"ב, מח:)</w:t>
      </w:r>
      <w:r>
        <w:rPr>
          <w:rFonts w:hint="cs"/>
          <w:rtl/>
        </w:rPr>
        <w:t xml:space="preserve"> דהנותן עציץ נקוב ע"ג עציץ נקוב חייב משום קוצר ומשום זורע, וביאר </w:t>
      </w:r>
      <w:r w:rsidRPr="00C65D8D">
        <w:rPr>
          <w:rStyle w:val="aff4"/>
          <w:rFonts w:hint="cs"/>
          <w:vanish/>
          <w:rtl/>
        </w:rPr>
        <w:t>-</w:t>
      </w:r>
      <w:r w:rsidRPr="00C65D8D">
        <w:rPr>
          <w:rStyle w:val="aff4"/>
          <w:rFonts w:hint="cs"/>
          <w:rtl/>
        </w:rPr>
        <w:t>המאירי</w:t>
      </w:r>
      <w:r w:rsidRPr="00C65D8D">
        <w:rPr>
          <w:rStyle w:val="aff4"/>
          <w:rFonts w:hint="cs"/>
          <w:vanish/>
          <w:rtl/>
        </w:rPr>
        <w:t>-</w:t>
      </w:r>
      <w:r>
        <w:rPr>
          <w:rFonts w:hint="cs"/>
          <w:rtl/>
        </w:rPr>
        <w:t xml:space="preserve"> בשם </w:t>
      </w:r>
      <w:r w:rsidRPr="00C65D8D">
        <w:rPr>
          <w:rStyle w:val="aff4"/>
          <w:rFonts w:hint="cs"/>
          <w:vanish/>
          <w:rtl/>
        </w:rPr>
        <w:t>-</w:t>
      </w:r>
      <w:r w:rsidRPr="00C65D8D">
        <w:rPr>
          <w:rStyle w:val="aff4"/>
          <w:rFonts w:hint="cs"/>
          <w:rtl/>
        </w:rPr>
        <w:t>י"מ</w:t>
      </w:r>
      <w:r w:rsidRPr="00C65D8D">
        <w:rPr>
          <w:rStyle w:val="aff4"/>
          <w:rFonts w:hint="cs"/>
          <w:vanish/>
          <w:rtl/>
        </w:rPr>
        <w:t>-</w:t>
      </w:r>
      <w:r>
        <w:rPr>
          <w:rFonts w:hint="cs"/>
          <w:rtl/>
        </w:rPr>
        <w:t xml:space="preserve"> דהוא קוצר כיון שהעשבים שבעציץ התחתון אינם יכולים לגדול מחמת שהניח עליהם את העליון, וחייב משום זורע כיון שמוסיף יניקה לעציץ העליון מהעציץ התחתון, ועי' במה שביאר </w:t>
      </w:r>
      <w:r w:rsidRPr="006527E3">
        <w:rPr>
          <w:rStyle w:val="aff4"/>
          <w:rFonts w:hint="cs"/>
          <w:vanish/>
          <w:rtl/>
        </w:rPr>
        <w:t>-</w:t>
      </w:r>
      <w:r w:rsidRPr="009B386D">
        <w:rPr>
          <w:rStyle w:val="aff4"/>
          <w:rFonts w:hint="cs"/>
          <w:rtl/>
        </w:rPr>
        <w:t>הדברי יחזקאל</w:t>
      </w:r>
      <w:r w:rsidRPr="006527E3">
        <w:rPr>
          <w:rStyle w:val="aff4"/>
          <w:rFonts w:hint="cs"/>
          <w:vanish/>
          <w:rtl/>
        </w:rPr>
        <w:t>-</w:t>
      </w:r>
      <w:r>
        <w:rPr>
          <w:rFonts w:hint="cs"/>
          <w:rtl/>
        </w:rPr>
        <w:t xml:space="preserve"> </w:t>
      </w:r>
      <w:r>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Ref135402304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קיג)</w:t>
      </w:r>
      <w:r>
        <w:rPr>
          <w:rStyle w:val="af2"/>
          <w:rFonts w:eastAsia="Guttman Hodes"/>
          <w:rtl/>
        </w:rPr>
        <w:fldChar w:fldCharType="end"/>
      </w:r>
      <w:r w:rsidRPr="004814A3">
        <w:rPr>
          <w:rFonts w:hint="cs"/>
          <w:rtl/>
        </w:rPr>
        <w:t xml:space="preserve"> </w:t>
      </w:r>
      <w:r>
        <w:rPr>
          <w:rFonts w:hint="cs"/>
          <w:rtl/>
        </w:rPr>
        <w:t xml:space="preserve">בדברי </w:t>
      </w:r>
      <w:r w:rsidRPr="006527E3">
        <w:rPr>
          <w:rStyle w:val="aff4"/>
          <w:rFonts w:hint="cs"/>
          <w:vanish/>
          <w:rtl/>
        </w:rPr>
        <w:t>-</w:t>
      </w:r>
      <w:r w:rsidRPr="009B386D">
        <w:rPr>
          <w:rStyle w:val="aff4"/>
          <w:rFonts w:hint="cs"/>
          <w:rtl/>
        </w:rPr>
        <w:t>המאירי</w:t>
      </w:r>
      <w:r w:rsidRPr="006527E3">
        <w:rPr>
          <w:rStyle w:val="aff4"/>
          <w:rFonts w:hint="cs"/>
          <w:vanish/>
          <w:rtl/>
        </w:rPr>
        <w:t>-</w:t>
      </w:r>
      <w:r>
        <w:rPr>
          <w:rFonts w:hint="cs"/>
          <w:rtl/>
        </w:rPr>
        <w:t>.</w:t>
      </w:r>
      <w:bookmarkEnd w:id="1609"/>
    </w:p>
    <w:p w14:paraId="19A4D803" w14:textId="77777777" w:rsidR="000426DE" w:rsidRPr="00747170" w:rsidRDefault="000426DE" w:rsidP="00747170">
      <w:pPr>
        <w:pStyle w:val="a2"/>
        <w:rPr>
          <w:rtl/>
        </w:rPr>
      </w:pPr>
      <w:r w:rsidRPr="00747170">
        <w:rPr>
          <w:rtl/>
        </w:rPr>
        <w:t>ובתלמוד המערב אמרו הנותן עציץ נקוב על עציץ נקוב חייב משום קוצר ומשום זורע וי"מ בזה שקוצר התחתון שעשבים שבו אין יכולין ליגדל וזורע העליון שמוסיף לו יניקה מן התחתון</w:t>
      </w:r>
      <w:r w:rsidRPr="00747170">
        <w:rPr>
          <w:rFonts w:hint="cs"/>
          <w:rtl/>
        </w:rPr>
        <w:t>.</w:t>
      </w:r>
    </w:p>
    <w:p w14:paraId="63FFA2E9" w14:textId="77777777" w:rsidR="000426DE" w:rsidRDefault="000426DE" w:rsidP="000426DE">
      <w:pPr>
        <w:pStyle w:val="a7"/>
        <w:rPr>
          <w:rtl/>
        </w:rPr>
      </w:pPr>
      <w:bookmarkStart w:id="1610" w:name="_Toc139316398"/>
      <w:r>
        <w:rPr>
          <w:rFonts w:hint="cs"/>
          <w:rtl/>
        </w:rPr>
        <w:t>בי' הי"מ במאירי דזורע בעליון רק כשהוסיף לו יניקה מהתחתון אך מעביר ממקום למקום פטור</w:t>
      </w:r>
      <w:bookmarkEnd w:id="1610"/>
    </w:p>
    <w:p w14:paraId="6119AAD8" w14:textId="77777777" w:rsidR="000426DE" w:rsidRPr="00996351" w:rsidRDefault="000426DE" w:rsidP="00BC7DC8">
      <w:pPr>
        <w:pStyle w:val="a3"/>
      </w:pPr>
      <w:r>
        <w:rPr>
          <w:rFonts w:hint="cs"/>
          <w:rtl/>
        </w:rPr>
        <w:t xml:space="preserve">וכתב </w:t>
      </w:r>
      <w:r w:rsidRPr="00C65D8D">
        <w:rPr>
          <w:rStyle w:val="aff4"/>
          <w:rFonts w:hint="cs"/>
          <w:vanish/>
          <w:rtl/>
        </w:rPr>
        <w:t>-</w:t>
      </w:r>
      <w:r w:rsidRPr="00C65D8D">
        <w:rPr>
          <w:rStyle w:val="aff4"/>
          <w:rFonts w:hint="cs"/>
          <w:rtl/>
        </w:rPr>
        <w:t>המאירי לקמן</w:t>
      </w:r>
      <w:r w:rsidRPr="00C65D8D">
        <w:rPr>
          <w:rStyle w:val="aff4"/>
          <w:rFonts w:hint="cs"/>
          <w:vanish/>
          <w:rtl/>
        </w:rPr>
        <w:t>-</w:t>
      </w:r>
      <w:r>
        <w:rPr>
          <w:rFonts w:hint="cs"/>
          <w:rtl/>
        </w:rPr>
        <w:t xml:space="preserve"> דלפי ביאור </w:t>
      </w:r>
      <w:r w:rsidRPr="00C65D8D">
        <w:rPr>
          <w:rStyle w:val="aff4"/>
          <w:rFonts w:hint="cs"/>
          <w:vanish/>
          <w:rtl/>
        </w:rPr>
        <w:t>-</w:t>
      </w:r>
      <w:r w:rsidRPr="00C65D8D">
        <w:rPr>
          <w:rStyle w:val="aff4"/>
          <w:rFonts w:hint="cs"/>
          <w:rtl/>
        </w:rPr>
        <w:t>הי"מ</w:t>
      </w:r>
      <w:r w:rsidRPr="00C65D8D">
        <w:rPr>
          <w:rStyle w:val="aff4"/>
          <w:rFonts w:hint="cs"/>
          <w:vanish/>
          <w:rtl/>
        </w:rPr>
        <w:t>-</w:t>
      </w:r>
      <w:r>
        <w:rPr>
          <w:rFonts w:hint="cs"/>
          <w:rtl/>
        </w:rPr>
        <w:t xml:space="preserve"> הא דחייב בזורע על העציץ העליון, הוא רק באופן שמוסיף לו יניקה מהתחתון, אבל אם לא הוסיף לו יניקה, אלא רק העביר את העציץ הנקוב ממקום למקום פטור.</w:t>
      </w:r>
    </w:p>
    <w:p w14:paraId="30BC1762" w14:textId="77777777" w:rsidR="000426DE" w:rsidRPr="00747170" w:rsidRDefault="000426DE" w:rsidP="00747170">
      <w:pPr>
        <w:pStyle w:val="a2"/>
        <w:rPr>
          <w:rtl/>
        </w:rPr>
      </w:pPr>
      <w:r w:rsidRPr="00747170">
        <w:rPr>
          <w:rtl/>
        </w:rPr>
        <w:t>ונמצא לדבריהם שאם אין מוסיף לו יניקה אלא שמשנהו ממקום למקום פטור</w:t>
      </w:r>
      <w:r w:rsidRPr="00747170">
        <w:rPr>
          <w:rFonts w:hint="cs"/>
          <w:rtl/>
        </w:rPr>
        <w:t>.</w:t>
      </w:r>
    </w:p>
    <w:p w14:paraId="3AD9C831" w14:textId="77777777" w:rsidR="000426DE" w:rsidRDefault="000426DE" w:rsidP="000426DE">
      <w:pPr>
        <w:pStyle w:val="a7"/>
        <w:rPr>
          <w:rtl/>
        </w:rPr>
      </w:pPr>
      <w:bookmarkStart w:id="1611" w:name="_Toc139316399"/>
      <w:r>
        <w:rPr>
          <w:rFonts w:hint="cs"/>
          <w:rtl/>
        </w:rPr>
        <w:t>דחיית המאירי דאף מעביר עציץ נקוב ממקום למקום הוא קוצר וזורע אף כשמיעט ביניקתו</w:t>
      </w:r>
      <w:bookmarkEnd w:id="1611"/>
    </w:p>
    <w:p w14:paraId="4FE1E57A" w14:textId="16134805" w:rsidR="000426DE" w:rsidRPr="00996351" w:rsidRDefault="000426DE" w:rsidP="00BC7DC8">
      <w:pPr>
        <w:pStyle w:val="a3"/>
      </w:pPr>
      <w:bookmarkStart w:id="1612" w:name="_Ref134978528"/>
      <w:bookmarkStart w:id="1613" w:name="_Ref135412085"/>
      <w:r>
        <w:rPr>
          <w:rFonts w:hint="cs"/>
          <w:rtl/>
        </w:rPr>
        <w:t xml:space="preserve">ודחה </w:t>
      </w:r>
      <w:r w:rsidRPr="00496A69">
        <w:rPr>
          <w:rStyle w:val="aff4"/>
          <w:rFonts w:hint="cs"/>
          <w:vanish/>
          <w:rtl/>
        </w:rPr>
        <w:t>-</w:t>
      </w:r>
      <w:r w:rsidRPr="00C65D8D">
        <w:rPr>
          <w:rStyle w:val="aff4"/>
          <w:rFonts w:hint="cs"/>
          <w:rtl/>
        </w:rPr>
        <w:t>המאירי לקמן</w:t>
      </w:r>
      <w:r w:rsidRPr="00496A69">
        <w:rPr>
          <w:rStyle w:val="aff4"/>
          <w:rFonts w:hint="cs"/>
          <w:vanish/>
          <w:rtl/>
        </w:rPr>
        <w:t>-</w:t>
      </w:r>
      <w:r>
        <w:rPr>
          <w:rFonts w:hint="cs"/>
          <w:rtl/>
        </w:rPr>
        <w:t xml:space="preserve"> את דעת </w:t>
      </w:r>
      <w:r w:rsidRPr="00496A69">
        <w:rPr>
          <w:rStyle w:val="aff4"/>
          <w:rFonts w:hint="cs"/>
          <w:vanish/>
          <w:rtl/>
        </w:rPr>
        <w:t>-</w:t>
      </w:r>
      <w:r w:rsidRPr="00C65D8D">
        <w:rPr>
          <w:rStyle w:val="aff4"/>
          <w:rFonts w:hint="cs"/>
          <w:rtl/>
        </w:rPr>
        <w:t>הי"מ</w:t>
      </w:r>
      <w:r w:rsidRPr="00496A69">
        <w:rPr>
          <w:rStyle w:val="aff4"/>
          <w:rFonts w:hint="cs"/>
          <w:vanish/>
          <w:rtl/>
        </w:rPr>
        <w:t>-</w:t>
      </w:r>
      <w:r>
        <w:rPr>
          <w:rFonts w:hint="cs"/>
          <w:rtl/>
        </w:rPr>
        <w:t xml:space="preserve"> וכתב דאף כשמעביר עציץ נקוב ממקום למקום, הוא נקרא קוצר, וכשמניחו במקום אחר, הוא נקרא זורע, אף שהניחו במקום שיונק פחות מהיניקה שהייתה לו במקום הראשון, ואסור לשנות את העציץ ממקום יניקתו כלל, ועי' במה שביארו</w:t>
      </w:r>
      <w:r w:rsidRPr="002D5CEE">
        <w:rPr>
          <w:rFonts w:hint="cs"/>
          <w:rtl/>
        </w:rPr>
        <w:t xml:space="preserve"> </w:t>
      </w:r>
      <w:r w:rsidRPr="00DE1AA0">
        <w:rPr>
          <w:rStyle w:val="aff4"/>
          <w:rFonts w:hint="cs"/>
          <w:vanish/>
          <w:rtl/>
        </w:rPr>
        <w:t>-</w:t>
      </w:r>
      <w:r w:rsidRPr="00DB6BF0">
        <w:rPr>
          <w:rStyle w:val="aff4"/>
          <w:rFonts w:hint="cs"/>
          <w:rtl/>
        </w:rPr>
        <w:t>הדבר אברהם</w:t>
      </w:r>
      <w:r w:rsidRPr="00DE1AA0">
        <w:rPr>
          <w:rStyle w:val="aff4"/>
          <w:rFonts w:hint="cs"/>
          <w:vanish/>
          <w:rtl/>
        </w:rPr>
        <w:t>-</w:t>
      </w:r>
      <w:r>
        <w:rPr>
          <w:rFonts w:hint="cs"/>
          <w:rtl/>
        </w:rPr>
        <w:t xml:space="preserve"> </w:t>
      </w:r>
      <w:r w:rsidRPr="00FB451D">
        <w:rPr>
          <w:rStyle w:val="af2"/>
          <w:rFonts w:eastAsia="Guttman Hodes" w:hint="cs"/>
          <w:rtl/>
        </w:rPr>
        <w:t>(</w:t>
      </w:r>
      <w:r>
        <w:rPr>
          <w:rStyle w:val="af2"/>
          <w:rFonts w:eastAsia="Guttman Hodes" w:hint="cs"/>
          <w:rtl/>
        </w:rPr>
        <w:t xml:space="preserve">עי' </w:t>
      </w:r>
      <w:r w:rsidRPr="002D5CEE">
        <w:rPr>
          <w:rStyle w:val="af2"/>
          <w:rFonts w:eastAsia="Guttman Hodes" w:hint="cs"/>
          <w:rtl/>
        </w:rPr>
        <w:t xml:space="preserve">אות </w:t>
      </w:r>
      <w:r w:rsidRPr="002D5CEE">
        <w:rPr>
          <w:rStyle w:val="af2"/>
          <w:rFonts w:eastAsia="Guttman Hodes"/>
          <w:rtl/>
        </w:rPr>
        <w:fldChar w:fldCharType="begin"/>
      </w:r>
      <w:r w:rsidRPr="002D5CEE">
        <w:rPr>
          <w:rStyle w:val="af2"/>
          <w:rFonts w:eastAsia="Guttman Hodes"/>
          <w:rtl/>
        </w:rPr>
        <w:instrText xml:space="preserve"> </w:instrText>
      </w:r>
      <w:r w:rsidRPr="002D5CEE">
        <w:rPr>
          <w:rStyle w:val="af2"/>
          <w:rFonts w:eastAsia="Guttman Hodes" w:hint="cs"/>
        </w:rPr>
        <w:instrText>REF</w:instrText>
      </w:r>
      <w:r w:rsidRPr="002D5CEE">
        <w:rPr>
          <w:rStyle w:val="af2"/>
          <w:rFonts w:eastAsia="Guttman Hodes" w:hint="cs"/>
          <w:rtl/>
        </w:rPr>
        <w:instrText xml:space="preserve"> _</w:instrText>
      </w:r>
      <w:r w:rsidRPr="002D5CEE">
        <w:rPr>
          <w:rStyle w:val="af2"/>
          <w:rFonts w:eastAsia="Guttman Hodes" w:hint="cs"/>
        </w:rPr>
        <w:instrText>Ref135068741 \r \h</w:instrText>
      </w:r>
      <w:r w:rsidRPr="002D5CEE">
        <w:rPr>
          <w:rStyle w:val="af2"/>
          <w:rFonts w:eastAsia="Guttman Hodes"/>
          <w:rtl/>
        </w:rPr>
        <w:instrText xml:space="preserve"> </w:instrText>
      </w:r>
      <w:r w:rsidRPr="002D5CEE">
        <w:rPr>
          <w:rStyle w:val="af2"/>
          <w:rFonts w:eastAsia="Guttman Hodes"/>
          <w:rtl/>
        </w:rPr>
      </w:r>
      <w:r w:rsidRPr="002D5CEE">
        <w:rPr>
          <w:rStyle w:val="af2"/>
          <w:rFonts w:eastAsia="Guttman Hodes"/>
          <w:rtl/>
        </w:rPr>
        <w:fldChar w:fldCharType="separate"/>
      </w:r>
      <w:r w:rsidR="00D82181">
        <w:rPr>
          <w:rStyle w:val="af2"/>
          <w:rFonts w:eastAsia="Guttman Hodes"/>
          <w:cs/>
        </w:rPr>
        <w:t>‎</w:t>
      </w:r>
      <w:r w:rsidR="00D82181">
        <w:rPr>
          <w:rStyle w:val="af2"/>
          <w:rFonts w:eastAsia="Guttman Hodes"/>
          <w:rtl/>
        </w:rPr>
        <w:t>קכא)</w:t>
      </w:r>
      <w:r w:rsidRPr="002D5CEE">
        <w:rPr>
          <w:rStyle w:val="af2"/>
          <w:rFonts w:eastAsia="Guttman Hodes"/>
          <w:rtl/>
        </w:rPr>
        <w:fldChar w:fldCharType="end"/>
      </w:r>
      <w:r>
        <w:rPr>
          <w:rFonts w:hint="cs"/>
          <w:rtl/>
        </w:rPr>
        <w:t xml:space="preserve"> </w:t>
      </w:r>
      <w:r w:rsidRPr="00496A69">
        <w:rPr>
          <w:rStyle w:val="aff4"/>
          <w:rFonts w:hint="cs"/>
          <w:vanish/>
          <w:rtl/>
        </w:rPr>
        <w:t>-</w:t>
      </w:r>
      <w:r>
        <w:rPr>
          <w:rStyle w:val="aff4"/>
          <w:rFonts w:hint="cs"/>
          <w:rtl/>
        </w:rPr>
        <w:t>ו</w:t>
      </w:r>
      <w:r w:rsidRPr="005C4013">
        <w:rPr>
          <w:rStyle w:val="aff4"/>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Ref135412085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סב)</w:t>
      </w:r>
      <w:r>
        <w:rPr>
          <w:rStyle w:val="aff4"/>
          <w:vanish/>
          <w:rtl/>
        </w:rPr>
        <w:fldChar w:fldCharType="end"/>
      </w:r>
      <w:r>
        <w:rPr>
          <w:rStyle w:val="aff4"/>
          <w:rFonts w:hint="cs"/>
          <w:vanish/>
          <w:rtl/>
        </w:rPr>
        <w:t xml:space="preserve"> &gt;</w:t>
      </w:r>
      <w:r w:rsidRPr="005C4013">
        <w:rPr>
          <w:rStyle w:val="aff4"/>
          <w:rtl/>
        </w:rPr>
        <w:t>דברי יחזקאל</w:t>
      </w:r>
      <w:r w:rsidRPr="00496A69">
        <w:rPr>
          <w:rStyle w:val="aff4"/>
          <w:rFonts w:hint="cs"/>
          <w:vanish/>
          <w:rtl/>
        </w:rPr>
        <w:t>-</w:t>
      </w:r>
      <w:r w:rsidRPr="00067400">
        <w:rPr>
          <w:rtl/>
        </w:rPr>
        <w:t xml:space="preserve"> </w:t>
      </w:r>
      <w:r w:rsidRPr="00496A69">
        <w:rPr>
          <w:rStyle w:val="af2"/>
          <w:rFonts w:eastAsia="Guttman Hodes"/>
          <w:rtl/>
        </w:rPr>
        <w:t>(סי' ב' אות ז' ד"ה ועדיין</w:t>
      </w:r>
      <w:r w:rsidRPr="00496A69">
        <w:rPr>
          <w:rStyle w:val="af2"/>
          <w:rFonts w:eastAsia="Guttman Hodes" w:hint="cs"/>
          <w:rtl/>
        </w:rPr>
        <w:t>, עי' בהערה</w:t>
      </w:r>
      <w:r w:rsidRPr="00496A69">
        <w:rPr>
          <w:rStyle w:val="af2"/>
          <w:rFonts w:eastAsia="Guttman Hodes"/>
          <w:rtl/>
        </w:rPr>
        <w:t>)</w:t>
      </w:r>
      <w:r w:rsidRPr="00496A69">
        <w:rPr>
          <w:rFonts w:hint="cs"/>
          <w:vanish/>
          <w:rtl/>
        </w:rPr>
        <w:t>=</w:t>
      </w:r>
      <w:bookmarkEnd w:id="1612"/>
      <w:r w:rsidRPr="002D5CEE">
        <w:rPr>
          <w:rStyle w:val="afff0"/>
          <w:rtl/>
        </w:rPr>
        <w:footnoteReference w:id="3"/>
      </w:r>
      <w:r>
        <w:rPr>
          <w:rFonts w:hint="cs"/>
          <w:rtl/>
        </w:rPr>
        <w:t xml:space="preserve"> בדברי </w:t>
      </w:r>
      <w:r w:rsidRPr="00496A69">
        <w:rPr>
          <w:rStyle w:val="aff4"/>
          <w:rFonts w:hint="cs"/>
          <w:vanish/>
          <w:rtl/>
        </w:rPr>
        <w:t>-</w:t>
      </w:r>
      <w:r w:rsidRPr="00C65D8D">
        <w:rPr>
          <w:rStyle w:val="aff4"/>
          <w:rFonts w:hint="cs"/>
          <w:rtl/>
        </w:rPr>
        <w:t>המאירי</w:t>
      </w:r>
      <w:r w:rsidRPr="00496A69">
        <w:rPr>
          <w:rStyle w:val="aff4"/>
          <w:rFonts w:hint="cs"/>
          <w:vanish/>
          <w:rtl/>
        </w:rPr>
        <w:t>-</w:t>
      </w:r>
      <w:r>
        <w:rPr>
          <w:rFonts w:hint="cs"/>
          <w:rtl/>
        </w:rPr>
        <w:t>.</w:t>
      </w:r>
      <w:bookmarkEnd w:id="1613"/>
    </w:p>
    <w:p w14:paraId="282D65D1" w14:textId="77777777" w:rsidR="000426DE" w:rsidRPr="00747170" w:rsidRDefault="000426DE" w:rsidP="00747170">
      <w:pPr>
        <w:pStyle w:val="a2"/>
        <w:rPr>
          <w:rtl/>
        </w:rPr>
      </w:pPr>
      <w:r w:rsidRPr="00747170">
        <w:rPr>
          <w:rtl/>
        </w:rPr>
        <w:t>ולי נראה שמשהעתיקו ממקומו נקרא קוצר וכשהניחו במקום יניקה אפי' אינה כיניקה ראשונה נעשה זורע ולמדת שאסור לשנותו ממקום יניקה כלל</w:t>
      </w:r>
      <w:r w:rsidRPr="00747170">
        <w:rPr>
          <w:rFonts w:hint="cs"/>
          <w:rtl/>
        </w:rPr>
        <w:t>.</w:t>
      </w:r>
    </w:p>
    <w:p w14:paraId="70A7DD5D" w14:textId="77777777" w:rsidR="000426DE" w:rsidRDefault="000426DE" w:rsidP="000426DE">
      <w:pPr>
        <w:pStyle w:val="a7"/>
        <w:rPr>
          <w:rtl/>
        </w:rPr>
      </w:pPr>
      <w:bookmarkStart w:id="1614" w:name="_Toc139316400"/>
      <w:r>
        <w:rPr>
          <w:rFonts w:hint="cs"/>
          <w:rtl/>
        </w:rPr>
        <w:t>בי' המאירי דהמניח עציץ נקוב ע"ג אינו נקוב פטור דאף דהתחתון לא מגדל אין בו תולש דאו'</w:t>
      </w:r>
      <w:bookmarkEnd w:id="1614"/>
    </w:p>
    <w:p w14:paraId="72E41BD6" w14:textId="77777777" w:rsidR="000426DE" w:rsidRPr="00DB48D5" w:rsidRDefault="000426DE" w:rsidP="00BC7DC8">
      <w:pPr>
        <w:pStyle w:val="a3"/>
      </w:pPr>
      <w:r>
        <w:rPr>
          <w:rFonts w:hint="cs"/>
          <w:rtl/>
        </w:rPr>
        <w:t xml:space="preserve">אך כתב </w:t>
      </w:r>
      <w:r w:rsidRPr="00C65D8D">
        <w:rPr>
          <w:rStyle w:val="aff4"/>
          <w:rFonts w:hint="cs"/>
          <w:vanish/>
          <w:rtl/>
        </w:rPr>
        <w:t>-</w:t>
      </w:r>
      <w:r w:rsidRPr="00C65D8D">
        <w:rPr>
          <w:rStyle w:val="aff4"/>
          <w:rFonts w:hint="cs"/>
          <w:rtl/>
        </w:rPr>
        <w:t>המאירי לקמן</w:t>
      </w:r>
      <w:r w:rsidRPr="00C65D8D">
        <w:rPr>
          <w:rStyle w:val="aff4"/>
          <w:rFonts w:hint="cs"/>
          <w:vanish/>
          <w:rtl/>
        </w:rPr>
        <w:t>-</w:t>
      </w:r>
      <w:r>
        <w:rPr>
          <w:rFonts w:hint="cs"/>
          <w:rtl/>
        </w:rPr>
        <w:t xml:space="preserve"> דהמניח עציץ נקוב על עציץ שאינו נקוב, אינו קוצר, דאף שהעשבים שבעציץ התחתון אינם יכולים לגדול, מ"מ אף התולש מעציץ שאינו נקוב פטור, וכ"ש כשמניח עליו עציץ אחר.</w:t>
      </w:r>
    </w:p>
    <w:p w14:paraId="340CE60A" w14:textId="10FD1C81" w:rsidR="000426DE" w:rsidRPr="00747170" w:rsidRDefault="000426DE" w:rsidP="00747170">
      <w:pPr>
        <w:pStyle w:val="a2"/>
        <w:rPr>
          <w:rtl/>
        </w:rPr>
        <w:sectPr w:rsidR="000426DE" w:rsidRPr="00747170" w:rsidSect="001918F0">
          <w:type w:val="continuous"/>
          <w:pgSz w:w="11906" w:h="16838"/>
          <w:pgMar w:top="720" w:right="720" w:bottom="720" w:left="720" w:header="283" w:footer="283" w:gutter="0"/>
          <w:cols w:num="2" w:space="567"/>
          <w:bidi/>
          <w:rtlGutter/>
        </w:sectPr>
      </w:pPr>
      <w:r w:rsidRPr="00747170">
        <w:rPr>
          <w:rtl/>
        </w:rPr>
        <w:t>ומ"מ הניח עציץ נקוב על שאינו נקוב אינו נעשה קוצר מצד התחתון שהרי התולש מעציץ שאינו נקוב פטור ואם בתולש ביד אמרו כן כל שכן בזו:</w:t>
      </w:r>
      <w:bookmarkEnd w:id="1410"/>
    </w:p>
    <w:p w14:paraId="6DE1ECDD" w14:textId="77777777" w:rsidR="000426DE" w:rsidRPr="00747170" w:rsidRDefault="000426DE" w:rsidP="00747170">
      <w:pPr>
        <w:pStyle w:val="a2"/>
        <w:numPr>
          <w:ilvl w:val="0"/>
          <w:numId w:val="0"/>
        </w:numPr>
        <w:rPr>
          <w:rtl/>
        </w:rPr>
      </w:pPr>
    </w:p>
    <w:p w14:paraId="0F48D552" w14:textId="77777777" w:rsidR="000426DE" w:rsidRPr="008624D6" w:rsidRDefault="000426DE" w:rsidP="000426DE">
      <w:pPr>
        <w:bidi w:val="0"/>
        <w:spacing w:after="0" w:line="360" w:lineRule="auto"/>
        <w:rPr>
          <w:rFonts w:eastAsia="Guttman Hodes" w:cs="Guttman Hodes"/>
          <w:bCs/>
          <w:sz w:val="12"/>
          <w:szCs w:val="12"/>
          <w:rtl/>
        </w:rPr>
        <w:sectPr w:rsidR="000426DE" w:rsidRPr="008624D6" w:rsidSect="001918F0">
          <w:type w:val="continuous"/>
          <w:pgSz w:w="11906" w:h="16838"/>
          <w:pgMar w:top="720" w:right="720" w:bottom="720" w:left="720" w:header="283" w:footer="283" w:gutter="0"/>
          <w:cols w:num="2" w:space="567"/>
          <w:bidi/>
          <w:rtlGutter/>
        </w:sectPr>
      </w:pPr>
    </w:p>
    <w:p w14:paraId="782C6827" w14:textId="77777777" w:rsidR="000426DE" w:rsidRDefault="008D6ECA" w:rsidP="000426DE">
      <w:pPr>
        <w:tabs>
          <w:tab w:val="left" w:pos="1163"/>
        </w:tabs>
        <w:spacing w:after="0" w:line="240" w:lineRule="auto"/>
        <w:jc w:val="center"/>
      </w:pPr>
      <w:r>
        <w:rPr>
          <w:rFonts w:ascii="Guttman Hodes" w:eastAsia="Guttman Hodes" w:hAnsi="Guttman Hodes" w:cs="Guttman Hodes"/>
          <w:noProof/>
          <w:sz w:val="18"/>
          <w:szCs w:val="18"/>
        </w:rPr>
        <w:lastRenderedPageBreak/>
        <w:pict w14:anchorId="1AE059FB">
          <v:shape id="_x0000_i7853" type="#_x0000_t75" style="width:404.55pt;height:6.8pt" o:hrpct="0" o:hralign="center" o:hr="t">
            <v:imagedata r:id="rId36" o:title="BD14845_"/>
          </v:shape>
        </w:pict>
      </w:r>
    </w:p>
    <w:p w14:paraId="5AA4974D" w14:textId="77777777" w:rsidR="000426DE" w:rsidRDefault="000426DE" w:rsidP="000426DE">
      <w:pPr>
        <w:pStyle w:val="affff5"/>
        <w:rPr>
          <w:rtl/>
        </w:rPr>
      </w:pPr>
      <w:bookmarkStart w:id="1615" w:name="_Toc139316401"/>
      <w:r>
        <w:rPr>
          <w:rFonts w:hint="cs"/>
          <w:rtl/>
        </w:rPr>
        <w:t>~</w:t>
      </w:r>
      <w:r>
        <w:rPr>
          <w:rFonts w:hint="cs"/>
          <w:noProof/>
          <w:rtl/>
        </w:rPr>
        <w:t>~~~~~~</w:t>
      </w:r>
      <w:r>
        <w:rPr>
          <w:rFonts w:hint="cs"/>
          <w:rtl/>
        </w:rPr>
        <w:t xml:space="preserve"> ביאורי ראשי הישיבות ~</w:t>
      </w:r>
      <w:r>
        <w:rPr>
          <w:rFonts w:hint="cs"/>
          <w:noProof/>
          <w:rtl/>
        </w:rPr>
        <w:t>~~~~</w:t>
      </w:r>
      <w:r>
        <w:rPr>
          <w:rFonts w:hint="cs"/>
          <w:rtl/>
        </w:rPr>
        <w:t>~~</w:t>
      </w:r>
      <w:bookmarkEnd w:id="1615"/>
      <w:r w:rsidRPr="002439C9">
        <w:rPr>
          <w:vanish/>
          <w:rtl/>
        </w:rPr>
        <w:t>&lt; # =</w:t>
      </w:r>
    </w:p>
    <w:p w14:paraId="774D5DFB" w14:textId="77777777" w:rsidR="000426DE" w:rsidRPr="00110D58" w:rsidRDefault="000426DE" w:rsidP="000426DE">
      <w:pPr>
        <w:bidi w:val="0"/>
        <w:spacing w:after="0" w:line="360" w:lineRule="auto"/>
        <w:rPr>
          <w:rFonts w:eastAsia="Guttman Adii-Light" w:cs="Guttman Hodes"/>
          <w:b/>
          <w:bCs/>
          <w:sz w:val="18"/>
          <w:szCs w:val="28"/>
          <w:rtl/>
        </w:rPr>
        <w:sectPr w:rsidR="000426DE" w:rsidRPr="00110D58" w:rsidSect="001918F0">
          <w:pgSz w:w="11906" w:h="16838"/>
          <w:pgMar w:top="720" w:right="720" w:bottom="720" w:left="720" w:header="283" w:footer="283" w:gutter="0"/>
          <w:cols w:space="720"/>
          <w:bidi/>
          <w:rtlGutter/>
        </w:sectPr>
      </w:pPr>
    </w:p>
    <w:p w14:paraId="6E1B4D6F" w14:textId="77777777" w:rsidR="000426DE" w:rsidRDefault="000426DE" w:rsidP="000426DE">
      <w:pPr>
        <w:pStyle w:val="affff5"/>
        <w:rPr>
          <w:rtl/>
        </w:rPr>
      </w:pPr>
      <w:bookmarkStart w:id="1616" w:name="_Toc139316402"/>
      <w:r>
        <w:rPr>
          <w:rFonts w:hint="cs"/>
          <w:rtl/>
        </w:rPr>
        <w:t>גדר קוצר הפסק חיות או תולש ממחובר</w:t>
      </w:r>
      <w:bookmarkEnd w:id="1616"/>
      <w:r w:rsidRPr="002439C9">
        <w:rPr>
          <w:vanish/>
          <w:rtl/>
        </w:rPr>
        <w:t>&lt; # =</w:t>
      </w:r>
    </w:p>
    <w:p w14:paraId="287680DB" w14:textId="77777777" w:rsidR="000426DE" w:rsidRPr="00605D48" w:rsidRDefault="000426DE" w:rsidP="000426DE">
      <w:pPr>
        <w:pStyle w:val="1"/>
        <w:rPr>
          <w:rtl/>
        </w:rPr>
      </w:pPr>
      <w:bookmarkStart w:id="1617" w:name="_Toc139316403"/>
      <w:r>
        <w:rPr>
          <w:rFonts w:hint="cs"/>
          <w:rtl/>
        </w:rPr>
        <w:t>בי' הזכר יצחק דלכו"ע קוצר מפסיק חיות ויבש מחובר ולא יונק</w:t>
      </w:r>
      <w:bookmarkEnd w:id="1617"/>
      <w:r>
        <w:rPr>
          <w:rFonts w:hint="cs"/>
          <w:rtl/>
        </w:rPr>
        <w:t xml:space="preserve"> </w:t>
      </w:r>
    </w:p>
    <w:p w14:paraId="653A09D4" w14:textId="77777777" w:rsidR="000426DE" w:rsidRDefault="000426DE" w:rsidP="000426DE">
      <w:pPr>
        <w:pStyle w:val="afffff7"/>
        <w:rPr>
          <w:rtl/>
        </w:rPr>
      </w:pPr>
      <w:bookmarkStart w:id="1618" w:name="_Toc135513735"/>
      <w:bookmarkStart w:id="1619" w:name="_Toc163505658"/>
      <w:r>
        <w:rPr>
          <w:rtl/>
        </w:rPr>
        <w:t>זכר יצחק ח</w:t>
      </w:r>
      <w:r>
        <w:rPr>
          <w:rFonts w:hint="cs"/>
          <w:rtl/>
        </w:rPr>
        <w:t>"</w:t>
      </w:r>
      <w:r>
        <w:rPr>
          <w:rtl/>
        </w:rPr>
        <w:t>ב סי</w:t>
      </w:r>
      <w:r>
        <w:rPr>
          <w:rFonts w:hint="cs"/>
          <w:rtl/>
        </w:rPr>
        <w:t>'</w:t>
      </w:r>
      <w:r>
        <w:rPr>
          <w:rtl/>
        </w:rPr>
        <w:t xml:space="preserve"> מ</w:t>
      </w:r>
      <w:r>
        <w:rPr>
          <w:rFonts w:hint="cs"/>
          <w:rtl/>
        </w:rPr>
        <w:t>"</w:t>
      </w:r>
      <w:r>
        <w:rPr>
          <w:rtl/>
        </w:rPr>
        <w:t>ה</w:t>
      </w:r>
      <w:r>
        <w:rPr>
          <w:rFonts w:hint="cs"/>
          <w:rtl/>
        </w:rPr>
        <w:t xml:space="preserve"> אות </w:t>
      </w:r>
      <w:r>
        <w:rPr>
          <w:rtl/>
        </w:rPr>
        <w:t>ב</w:t>
      </w:r>
      <w:r>
        <w:rPr>
          <w:rFonts w:hint="cs"/>
          <w:rtl/>
        </w:rPr>
        <w:t>'</w:t>
      </w:r>
      <w:bookmarkEnd w:id="1618"/>
      <w:bookmarkEnd w:id="1619"/>
    </w:p>
    <w:p w14:paraId="7E97F3A9" w14:textId="77777777" w:rsidR="000426DE" w:rsidRDefault="000426DE" w:rsidP="000426DE">
      <w:pPr>
        <w:pStyle w:val="a7"/>
        <w:rPr>
          <w:rtl/>
        </w:rPr>
      </w:pPr>
      <w:bookmarkStart w:id="1620" w:name="_Toc139316404"/>
      <w:bookmarkStart w:id="1621" w:name="_Ref134546974"/>
      <w:r>
        <w:rPr>
          <w:rFonts w:hint="cs"/>
          <w:rtl/>
        </w:rPr>
        <w:t>בי' הזכר יצחק דבירו' דשולה דג חייב בקוצר מבאר דגדר קוצר הוא הפסקת דבר מחיותו</w:t>
      </w:r>
      <w:bookmarkEnd w:id="1620"/>
      <w:r>
        <w:rPr>
          <w:rFonts w:hint="cs"/>
          <w:rtl/>
        </w:rPr>
        <w:t xml:space="preserve"> </w:t>
      </w:r>
    </w:p>
    <w:p w14:paraId="266B9EF2" w14:textId="271513FD" w:rsidR="000426DE" w:rsidRPr="00E567AB" w:rsidRDefault="000426DE" w:rsidP="00BC7DC8">
      <w:pPr>
        <w:pStyle w:val="a3"/>
        <w:rPr>
          <w:rtl/>
        </w:rPr>
      </w:pPr>
      <w:bookmarkStart w:id="1622" w:name="_Ref135379833"/>
      <w:r>
        <w:rPr>
          <w:rFonts w:hint="cs"/>
          <w:rtl/>
        </w:rPr>
        <w:t xml:space="preserve">בהא דאמרו רבנן דקיסרין בירושלמי </w:t>
      </w:r>
      <w:r w:rsidRPr="00FB451D">
        <w:rPr>
          <w:rStyle w:val="af2"/>
          <w:rFonts w:eastAsia="Guttman Hodes" w:hint="cs"/>
          <w:rtl/>
        </w:rPr>
        <w:t>(פ"ז ה"ב, מח:)</w:t>
      </w:r>
      <w:r>
        <w:rPr>
          <w:rFonts w:hint="cs"/>
          <w:rtl/>
        </w:rPr>
        <w:t xml:space="preserve"> דהצד דגים וכל דבר שמבדילו מחיותו, חייב משום קוצר, כתב </w:t>
      </w:r>
      <w:r w:rsidRPr="00100B8E">
        <w:rPr>
          <w:rStyle w:val="aff4"/>
          <w:rFonts w:hint="cs"/>
          <w:vanish/>
          <w:rtl/>
        </w:rPr>
        <w:t>-</w:t>
      </w:r>
      <w:r w:rsidRPr="00335C9B">
        <w:rPr>
          <w:rStyle w:val="aff4"/>
          <w:rFonts w:hint="cs"/>
          <w:rtl/>
        </w:rPr>
        <w:t>ה</w:t>
      </w:r>
      <w:r w:rsidRPr="00B53404">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Ref135379833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סד)</w:t>
      </w:r>
      <w:r>
        <w:rPr>
          <w:rStyle w:val="aff4"/>
          <w:vanish/>
          <w:rtl/>
        </w:rPr>
        <w:fldChar w:fldCharType="end"/>
      </w:r>
      <w:r w:rsidRPr="00B53404">
        <w:rPr>
          <w:rStyle w:val="aff4"/>
          <w:rFonts w:hint="cs"/>
          <w:vanish/>
          <w:rtl/>
        </w:rPr>
        <w:t xml:space="preserve"> &gt;</w:t>
      </w:r>
      <w:r>
        <w:rPr>
          <w:rStyle w:val="aff4"/>
          <w:rFonts w:hint="cs"/>
          <w:rtl/>
        </w:rPr>
        <w:t>זכר יצחק</w:t>
      </w:r>
      <w:r w:rsidRPr="00100B8E">
        <w:rPr>
          <w:rStyle w:val="aff4"/>
          <w:rFonts w:hint="cs"/>
          <w:vanish/>
          <w:rtl/>
        </w:rPr>
        <w:t>-</w:t>
      </w:r>
      <w:r>
        <w:rPr>
          <w:rFonts w:hint="cs"/>
          <w:rtl/>
        </w:rPr>
        <w:t xml:space="preserve"> </w:t>
      </w:r>
      <w:r w:rsidRPr="00FB451D">
        <w:rPr>
          <w:rStyle w:val="af2"/>
          <w:rFonts w:eastAsia="Guttman Hodes" w:hint="cs"/>
          <w:rtl/>
        </w:rPr>
        <w:t>(ח"ב, סי' מ"ה אות ב')</w:t>
      </w:r>
      <w:r w:rsidRPr="004A7379">
        <w:rPr>
          <w:rFonts w:hint="cs"/>
          <w:vanish/>
          <w:rtl/>
        </w:rPr>
        <w:t>=</w:t>
      </w:r>
      <w:r>
        <w:rPr>
          <w:rFonts w:hint="cs"/>
          <w:rtl/>
        </w:rPr>
        <w:t xml:space="preserve"> דמבואר מדברי הירושלמי</w:t>
      </w:r>
      <w:bookmarkEnd w:id="1621"/>
      <w:r>
        <w:rPr>
          <w:rFonts w:hint="cs"/>
          <w:rtl/>
        </w:rPr>
        <w:t xml:space="preserve"> דיסוד המלאכה בקוצר הוא שמבדיל דבר מחיותו.</w:t>
      </w:r>
      <w:bookmarkEnd w:id="1622"/>
    </w:p>
    <w:p w14:paraId="09BD69D5" w14:textId="77777777" w:rsidR="000426DE" w:rsidRPr="00747170" w:rsidRDefault="000426DE" w:rsidP="00747170">
      <w:pPr>
        <w:pStyle w:val="a2"/>
      </w:pPr>
      <w:r w:rsidRPr="00747170">
        <w:rPr>
          <w:rtl/>
        </w:rPr>
        <w:t>בירושלמי שבת פ' כלל גדול ה"ב (מח, ב) ההן דצייד כוורא וכל דבר שאתה מבדילו מחיותו חייב משום קוצר ומשמע דיסוד מלאכת קוצר הוא הבדלת החיות.</w:t>
      </w:r>
    </w:p>
    <w:p w14:paraId="4291C188" w14:textId="3A5766C6" w:rsidR="000426DE" w:rsidRDefault="000426DE" w:rsidP="000426DE">
      <w:pPr>
        <w:pStyle w:val="a7"/>
        <w:rPr>
          <w:rtl/>
        </w:rPr>
      </w:pPr>
      <w:bookmarkStart w:id="1623" w:name="_Toc139316405"/>
      <w:r>
        <w:rPr>
          <w:rFonts w:hint="cs"/>
          <w:rtl/>
        </w:rPr>
        <w:t>קו' הזכר יצחק דמחיוב קוצר בתאנים שיבשו לרמב"ם מוכח דגדר קוצר הוא עוקר דבר מחיבורו</w:t>
      </w:r>
      <w:bookmarkEnd w:id="1623"/>
    </w:p>
    <w:p w14:paraId="6CBA5E3D" w14:textId="1CB3BEE3" w:rsidR="000426DE" w:rsidRPr="00F24B53" w:rsidRDefault="000426DE" w:rsidP="00BC7DC8">
      <w:pPr>
        <w:pStyle w:val="a3"/>
      </w:pPr>
      <w:bookmarkStart w:id="1624" w:name="_Ref135342533"/>
      <w:r>
        <w:rPr>
          <w:rFonts w:hint="cs"/>
          <w:rtl/>
        </w:rPr>
        <w:t xml:space="preserve">אך הקשה </w:t>
      </w:r>
      <w:r w:rsidRPr="009370D3">
        <w:rPr>
          <w:rStyle w:val="aff4"/>
          <w:rFonts w:hint="cs"/>
          <w:vanish/>
          <w:rtl/>
        </w:rPr>
        <w:t>-</w:t>
      </w:r>
      <w:r w:rsidRPr="00BB1491">
        <w:rPr>
          <w:rStyle w:val="aff4"/>
          <w:rFonts w:hint="cs"/>
          <w:rtl/>
        </w:rPr>
        <w:t>הזכר יצחק</w:t>
      </w:r>
      <w:r w:rsidRPr="009370D3">
        <w:rPr>
          <w:rStyle w:val="aff4"/>
          <w:rFonts w:hint="cs"/>
          <w:vanish/>
          <w:rtl/>
        </w:rPr>
        <w:t>-</w:t>
      </w:r>
      <w:r>
        <w:rPr>
          <w:rFonts w:hint="cs"/>
          <w:rtl/>
        </w:rPr>
        <w:t xml:space="preserve"> דהא פסק </w:t>
      </w:r>
      <w:r w:rsidRPr="009370D3">
        <w:rPr>
          <w:rStyle w:val="aff4"/>
          <w:rFonts w:hint="cs"/>
          <w:vanish/>
          <w:rtl/>
        </w:rPr>
        <w:t>-</w:t>
      </w:r>
      <w:r w:rsidRPr="00BB1491">
        <w:rPr>
          <w:rStyle w:val="aff4"/>
          <w:rFonts w:hint="cs"/>
          <w:rtl/>
        </w:rPr>
        <w:t>הרמב"ם</w:t>
      </w:r>
      <w:r w:rsidRPr="009370D3">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Ref134564918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לד)</w:t>
      </w:r>
      <w:r>
        <w:rPr>
          <w:rStyle w:val="af2"/>
          <w:rFonts w:eastAsia="Guttman Hodes"/>
          <w:rtl/>
        </w:rPr>
        <w:fldChar w:fldCharType="end"/>
      </w:r>
      <w:r>
        <w:rPr>
          <w:rFonts w:hint="cs"/>
          <w:rtl/>
        </w:rPr>
        <w:t xml:space="preserve"> את הגמ' בחולין </w:t>
      </w:r>
      <w:r w:rsidRPr="00FB451D">
        <w:rPr>
          <w:rStyle w:val="af2"/>
          <w:rFonts w:eastAsia="Guttman Hodes" w:hint="cs"/>
          <w:rtl/>
        </w:rPr>
        <w:t>(קכז:)</w:t>
      </w:r>
      <w:r>
        <w:rPr>
          <w:rFonts w:hint="cs"/>
          <w:rtl/>
        </w:rPr>
        <w:t xml:space="preserve"> ד</w:t>
      </w:r>
      <w:r>
        <w:rPr>
          <w:rtl/>
        </w:rPr>
        <w:t>תאנים שצמקו באיביהן התולש מהן בשבת חייב חטאת</w:t>
      </w:r>
      <w:r>
        <w:rPr>
          <w:rFonts w:hint="cs"/>
          <w:rtl/>
        </w:rPr>
        <w:t xml:space="preserve">, וכתב </w:t>
      </w:r>
      <w:r w:rsidRPr="009370D3">
        <w:rPr>
          <w:rStyle w:val="aff4"/>
          <w:rFonts w:hint="cs"/>
          <w:vanish/>
          <w:rtl/>
        </w:rPr>
        <w:t>-</w:t>
      </w:r>
      <w:r w:rsidRPr="00BB1491">
        <w:rPr>
          <w:rStyle w:val="aff4"/>
          <w:rFonts w:hint="cs"/>
          <w:rtl/>
        </w:rPr>
        <w:t>הזכר יצחק</w:t>
      </w:r>
      <w:r w:rsidRPr="009370D3">
        <w:rPr>
          <w:rStyle w:val="aff4"/>
          <w:rFonts w:hint="cs"/>
          <w:vanish/>
          <w:rtl/>
        </w:rPr>
        <w:t>-</w:t>
      </w:r>
      <w:r>
        <w:rPr>
          <w:rFonts w:hint="cs"/>
          <w:rtl/>
        </w:rPr>
        <w:t xml:space="preserve"> דמשמע דהאיסור בקוצר הוא כיון שעוקר דבר מחיבורו אעפ"י שאינו יונק. </w:t>
      </w:r>
      <w:r w:rsidRPr="007A72D8">
        <w:rPr>
          <w:rStyle w:val="af"/>
          <w:rFonts w:hint="cs"/>
          <w:rtl/>
        </w:rPr>
        <w:t xml:space="preserve">[וכ"כ </w:t>
      </w:r>
      <w:r w:rsidRPr="00394B7E">
        <w:rPr>
          <w:rStyle w:val="aff9"/>
          <w:rFonts w:hint="cs"/>
          <w:vanish/>
          <w:rtl/>
        </w:rPr>
        <w:t>-</w:t>
      </w:r>
      <w:r w:rsidRPr="00394B7E">
        <w:rPr>
          <w:rStyle w:val="aff9"/>
          <w:rFonts w:hint="cs"/>
          <w:rtl/>
        </w:rPr>
        <w:t>הזכרון שמואל</w:t>
      </w:r>
      <w:r w:rsidRPr="00394B7E">
        <w:rPr>
          <w:rStyle w:val="aff9"/>
          <w:rFonts w:hint="cs"/>
          <w:vanish/>
          <w:rtl/>
        </w:rPr>
        <w:t>-</w:t>
      </w:r>
      <w:r w:rsidRPr="007A72D8">
        <w:rPr>
          <w:rStyle w:val="af"/>
          <w:rFonts w:hint="cs"/>
          <w:rtl/>
        </w:rPr>
        <w:t xml:space="preserve"> </w:t>
      </w:r>
      <w:r w:rsidRPr="00394B7E">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Ref134564918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לד)</w:t>
      </w:r>
      <w:r>
        <w:rPr>
          <w:rStyle w:val="aff0"/>
          <w:rtl/>
        </w:rPr>
        <w:fldChar w:fldCharType="end"/>
      </w:r>
      <w:r w:rsidRPr="007A72D8">
        <w:rPr>
          <w:rStyle w:val="af"/>
          <w:rFonts w:hint="cs"/>
          <w:rtl/>
        </w:rPr>
        <w:t>]</w:t>
      </w:r>
      <w:r w:rsidRPr="00CD1359">
        <w:rPr>
          <w:rStyle w:val="af"/>
          <w:rFonts w:hint="cs"/>
          <w:rtl/>
        </w:rPr>
        <w:t>.</w:t>
      </w:r>
      <w:bookmarkEnd w:id="1624"/>
    </w:p>
    <w:p w14:paraId="44BE3036" w14:textId="77777777" w:rsidR="000426DE" w:rsidRPr="00747170" w:rsidRDefault="000426DE" w:rsidP="00747170">
      <w:pPr>
        <w:pStyle w:val="a2"/>
        <w:rPr>
          <w:rtl/>
        </w:rPr>
      </w:pPr>
      <w:r w:rsidRPr="00747170">
        <w:rPr>
          <w:rtl/>
        </w:rPr>
        <w:t>ובחולין קכז, ב איתא דתאנים שצמקו באיביהן מטמאין טומאת אוכלים והתולש מהן בשבת חייב חטאת וכן פסק הרמב"ם (ה' שבת פ"ח ה"ד), הרי אעפ"י שאין יונקים שהרי צמקו כבר מ"מ כיוון שהם מחוברים חייב משום תולש ומשמע דהאיסור הוא משום שעוקרו מחיבורו ואעפ"י שאינו יונק]</w:t>
      </w:r>
      <w:r w:rsidRPr="00747170">
        <w:rPr>
          <w:rFonts w:hint="cs"/>
          <w:rtl/>
        </w:rPr>
        <w:t>.</w:t>
      </w:r>
    </w:p>
    <w:p w14:paraId="4F4C70BE" w14:textId="77777777" w:rsidR="000426DE" w:rsidRDefault="000426DE" w:rsidP="000426DE">
      <w:pPr>
        <w:pStyle w:val="a7"/>
        <w:rPr>
          <w:rtl/>
        </w:rPr>
      </w:pPr>
      <w:bookmarkStart w:id="1625" w:name="_Toc139316406"/>
      <w:bookmarkStart w:id="1626" w:name="_Hlk134565074"/>
      <w:r>
        <w:rPr>
          <w:rFonts w:hint="cs"/>
          <w:rtl/>
        </w:rPr>
        <w:t>בי' הזכר יצחק בתוס' דאין תולש ביבש כיון שאינו יונק כלל אעפ"י דחשיב מחובר אף לשבת</w:t>
      </w:r>
      <w:bookmarkEnd w:id="1625"/>
    </w:p>
    <w:p w14:paraId="428DFCCB" w14:textId="40488CEA" w:rsidR="000426DE" w:rsidRDefault="000426DE" w:rsidP="00BC7DC8">
      <w:pPr>
        <w:pStyle w:val="a3"/>
        <w:rPr>
          <w:rtl/>
        </w:rPr>
      </w:pPr>
      <w:bookmarkStart w:id="1627" w:name="_Ref135342536"/>
      <w:bookmarkStart w:id="1628" w:name="_Ref135412461"/>
      <w:r>
        <w:rPr>
          <w:rFonts w:hint="cs"/>
          <w:rtl/>
        </w:rPr>
        <w:t xml:space="preserve">והביא </w:t>
      </w:r>
      <w:r w:rsidRPr="00C65D8D">
        <w:rPr>
          <w:rStyle w:val="aff4"/>
          <w:rFonts w:hint="cs"/>
          <w:vanish/>
          <w:rtl/>
        </w:rPr>
        <w:t>-</w:t>
      </w:r>
      <w:r w:rsidRPr="00C65D8D">
        <w:rPr>
          <w:rStyle w:val="aff4"/>
          <w:rFonts w:hint="cs"/>
          <w:rtl/>
        </w:rPr>
        <w:t>הזכר יצחק</w:t>
      </w:r>
      <w:r w:rsidRPr="00C65D8D">
        <w:rPr>
          <w:rStyle w:val="aff4"/>
          <w:rFonts w:hint="cs"/>
          <w:vanish/>
          <w:rtl/>
        </w:rPr>
        <w:t>-</w:t>
      </w:r>
      <w:r>
        <w:rPr>
          <w:rFonts w:hint="cs"/>
          <w:rtl/>
        </w:rPr>
        <w:t xml:space="preserve"> את דברי </w:t>
      </w:r>
      <w:r w:rsidRPr="00C65D8D">
        <w:rPr>
          <w:rStyle w:val="aff4"/>
          <w:rFonts w:hint="cs"/>
          <w:vanish/>
          <w:rtl/>
        </w:rPr>
        <w:t>-</w:t>
      </w:r>
      <w:r w:rsidRPr="00C65D8D">
        <w:rPr>
          <w:rStyle w:val="aff4"/>
          <w:rFonts w:hint="cs"/>
          <w:rtl/>
        </w:rPr>
        <w:t>התוס' לקמן</w:t>
      </w:r>
      <w:r w:rsidRPr="00C65D8D">
        <w:rPr>
          <w:rStyle w:val="aff4"/>
          <w:rFonts w:hint="cs"/>
          <w:vanish/>
          <w:rtl/>
        </w:rPr>
        <w:t>-</w:t>
      </w:r>
      <w:r>
        <w:rPr>
          <w:rFonts w:hint="cs"/>
          <w:rtl/>
        </w:rPr>
        <w:t xml:space="preserve"> </w:t>
      </w:r>
      <w:r w:rsidRPr="00FB451D">
        <w:rPr>
          <w:rStyle w:val="af2"/>
          <w:rFonts w:eastAsia="Guttman Hodes" w:hint="cs"/>
          <w:rtl/>
        </w:rPr>
        <w:t xml:space="preserve">(עי' אות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Ref134565153 \r \h</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כט)</w:t>
      </w:r>
      <w:r w:rsidRPr="00FB451D">
        <w:rPr>
          <w:rStyle w:val="af2"/>
          <w:rFonts w:eastAsia="Guttman Hodes"/>
          <w:rtl/>
        </w:rPr>
        <w:fldChar w:fldCharType="end"/>
      </w:r>
      <w:r>
        <w:rPr>
          <w:rFonts w:hint="cs"/>
          <w:rtl/>
        </w:rPr>
        <w:t xml:space="preserve"> דכתבו דתבן יבש שמחובר לקרקע, אין בו איסור תלישה בשבת, כדמוכח בגמ' בחולין </w:t>
      </w:r>
      <w:r w:rsidRPr="00FB451D">
        <w:rPr>
          <w:rStyle w:val="af2"/>
          <w:rFonts w:eastAsia="Guttman Hodes" w:hint="cs"/>
          <w:rtl/>
        </w:rPr>
        <w:t>(קכז:)</w:t>
      </w:r>
      <w:r>
        <w:rPr>
          <w:rFonts w:hint="cs"/>
          <w:rtl/>
        </w:rPr>
        <w:t xml:space="preserve"> דרק ב</w:t>
      </w:r>
      <w:r>
        <w:rPr>
          <w:rtl/>
        </w:rPr>
        <w:t>תאנים שצמקו התולש מהן חייב</w:t>
      </w:r>
      <w:r>
        <w:rPr>
          <w:rFonts w:hint="cs"/>
          <w:rtl/>
        </w:rPr>
        <w:t xml:space="preserve">, ומשמע דהיינו דוקא כשצמקו, אבל ביבשו לגמרי הן ועוקציהן אינם כמחובר כלל, וכתבו </w:t>
      </w:r>
      <w:r w:rsidRPr="00C65D8D">
        <w:rPr>
          <w:rStyle w:val="aff4"/>
          <w:rFonts w:hint="cs"/>
          <w:vanish/>
          <w:rtl/>
        </w:rPr>
        <w:t>-</w:t>
      </w:r>
      <w:r w:rsidRPr="00C65D8D">
        <w:rPr>
          <w:rStyle w:val="aff4"/>
          <w:rFonts w:hint="cs"/>
          <w:rtl/>
        </w:rPr>
        <w:t>התוס' לקמן</w:t>
      </w:r>
      <w:r w:rsidRPr="00C65D8D">
        <w:rPr>
          <w:rStyle w:val="aff4"/>
          <w:rFonts w:hint="cs"/>
          <w:vanish/>
          <w:rtl/>
        </w:rPr>
        <w:t>-</w:t>
      </w:r>
      <w:r>
        <w:rPr>
          <w:rFonts w:hint="cs"/>
          <w:rtl/>
        </w:rPr>
        <w:t xml:space="preserve"> דהא דאיתא בגמ' לקמן </w:t>
      </w:r>
      <w:r w:rsidRPr="00FB451D">
        <w:rPr>
          <w:rStyle w:val="af2"/>
          <w:rFonts w:eastAsia="Guttman Hodes" w:hint="cs"/>
          <w:rtl/>
        </w:rPr>
        <w:t>(קנ:)</w:t>
      </w:r>
      <w:r>
        <w:rPr>
          <w:rFonts w:hint="cs"/>
          <w:rtl/>
        </w:rPr>
        <w:t xml:space="preserve"> דתבן מחובר אסור בשבת, אינו משום איסור תולש, אלא כיון דכשתולשו הוא מיפה את הקרקע, וביאר </w:t>
      </w:r>
      <w:r w:rsidRPr="00C65D8D">
        <w:rPr>
          <w:rStyle w:val="aff4"/>
          <w:rFonts w:hint="cs"/>
          <w:vanish/>
          <w:rtl/>
        </w:rPr>
        <w:t>-</w:t>
      </w:r>
      <w:r w:rsidRPr="00C65D8D">
        <w:rPr>
          <w:rStyle w:val="aff4"/>
          <w:rFonts w:hint="cs"/>
          <w:rtl/>
        </w:rPr>
        <w:t>הזכר יצחק</w:t>
      </w:r>
      <w:r w:rsidRPr="00C65D8D">
        <w:rPr>
          <w:rStyle w:val="aff4"/>
          <w:rFonts w:hint="cs"/>
          <w:vanish/>
          <w:rtl/>
        </w:rPr>
        <w:t>-</w:t>
      </w:r>
      <w:r>
        <w:rPr>
          <w:rFonts w:hint="cs"/>
          <w:rtl/>
        </w:rPr>
        <w:t xml:space="preserve"> דכוונת </w:t>
      </w:r>
      <w:r w:rsidRPr="00C65D8D">
        <w:rPr>
          <w:rStyle w:val="aff4"/>
          <w:rFonts w:hint="cs"/>
          <w:vanish/>
          <w:rtl/>
        </w:rPr>
        <w:t>-</w:t>
      </w:r>
      <w:r w:rsidRPr="00C65D8D">
        <w:rPr>
          <w:rStyle w:val="aff4"/>
          <w:rFonts w:hint="cs"/>
          <w:rtl/>
        </w:rPr>
        <w:t>התוס' לקמן</w:t>
      </w:r>
      <w:r w:rsidRPr="00C65D8D">
        <w:rPr>
          <w:rStyle w:val="aff4"/>
          <w:rFonts w:hint="cs"/>
          <w:vanish/>
          <w:rtl/>
        </w:rPr>
        <w:t>-</w:t>
      </w:r>
      <w:r>
        <w:rPr>
          <w:rFonts w:hint="cs"/>
          <w:rtl/>
        </w:rPr>
        <w:t xml:space="preserve"> לומר דביבשו הן ועוקציהן, נגמרה היניקה לגמרי, אבל כשהעוקץ עדיין לח, יש בו איסור תולש, וכדהוכיחו </w:t>
      </w:r>
      <w:r w:rsidRPr="00C65D8D">
        <w:rPr>
          <w:rStyle w:val="aff4"/>
          <w:rFonts w:hint="cs"/>
          <w:vanish/>
          <w:rtl/>
        </w:rPr>
        <w:t>-</w:t>
      </w:r>
      <w:r w:rsidRPr="00C65D8D">
        <w:rPr>
          <w:rStyle w:val="aff4"/>
          <w:rFonts w:hint="cs"/>
          <w:rtl/>
        </w:rPr>
        <w:t>התוס'</w:t>
      </w:r>
      <w:r w:rsidRPr="00C65D8D">
        <w:rPr>
          <w:rStyle w:val="aff4"/>
          <w:rFonts w:hint="cs"/>
          <w:vanish/>
          <w:rtl/>
        </w:rPr>
        <w:t>-</w:t>
      </w:r>
      <w:r>
        <w:rPr>
          <w:rFonts w:hint="cs"/>
          <w:rtl/>
        </w:rPr>
        <w:t xml:space="preserve"> מהא דאמר שמואל "צמקו" ולא "יבשו", </w:t>
      </w:r>
      <w:r w:rsidRPr="007A72D8">
        <w:rPr>
          <w:rStyle w:val="af"/>
          <w:rFonts w:hint="cs"/>
          <w:rtl/>
        </w:rPr>
        <w:t xml:space="preserve">[וכן מבואר </w:t>
      </w:r>
      <w:r w:rsidRPr="00394B7E">
        <w:rPr>
          <w:rStyle w:val="aff9"/>
          <w:rFonts w:hint="cs"/>
          <w:vanish/>
          <w:rtl/>
        </w:rPr>
        <w:t>-</w:t>
      </w:r>
      <w:r w:rsidRPr="00394B7E">
        <w:rPr>
          <w:rStyle w:val="aff9"/>
          <w:rFonts w:hint="cs"/>
          <w:rtl/>
        </w:rPr>
        <w:t>ב</w:t>
      </w:r>
      <w:r>
        <w:rPr>
          <w:rStyle w:val="aff9"/>
          <w:rFonts w:hint="cs"/>
          <w:rtl/>
        </w:rPr>
        <w:t>רשב"א וב</w:t>
      </w:r>
      <w:r w:rsidRPr="00394B7E">
        <w:rPr>
          <w:rStyle w:val="aff9"/>
          <w:rFonts w:hint="cs"/>
          <w:rtl/>
        </w:rPr>
        <w:t>תוס' הרא"ש לקמן</w:t>
      </w:r>
      <w:r w:rsidRPr="00394B7E">
        <w:rPr>
          <w:rStyle w:val="aff9"/>
          <w:rFonts w:hint="cs"/>
          <w:vanish/>
          <w:rtl/>
        </w:rPr>
        <w:t>-</w:t>
      </w:r>
      <w:r w:rsidRPr="007A72D8">
        <w:rPr>
          <w:rStyle w:val="af"/>
          <w:rFonts w:hint="cs"/>
          <w:rtl/>
        </w:rPr>
        <w:t xml:space="preserve"> </w:t>
      </w:r>
      <w:r w:rsidRPr="00394B7E">
        <w:rPr>
          <w:rStyle w:val="aff0"/>
          <w:rFonts w:hint="cs"/>
          <w:rtl/>
        </w:rPr>
        <w:t>(עי' אות</w:t>
      </w:r>
      <w:r>
        <w:rPr>
          <w:rStyle w:val="aff0"/>
          <w:rFonts w:hint="cs"/>
          <w:rtl/>
        </w:rPr>
        <w:t xml:space="preserve">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Ref135303664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ל)</w:t>
      </w:r>
      <w:r>
        <w:rPr>
          <w:rStyle w:val="aff0"/>
          <w:rtl/>
        </w:rPr>
        <w:fldChar w:fldCharType="end"/>
      </w:r>
      <w:r>
        <w:rPr>
          <w:rStyle w:val="aff0"/>
          <w:rFonts w:hint="cs"/>
          <w:rtl/>
        </w:rPr>
        <w:t xml:space="preserve"> </w:t>
      </w:r>
      <w:r w:rsidRPr="007A72D8">
        <w:rPr>
          <w:rStyle w:val="af"/>
          <w:rFonts w:hint="cs"/>
          <w:rtl/>
        </w:rPr>
        <w:t xml:space="preserve"> דהוסי</w:t>
      </w:r>
      <w:r>
        <w:rPr>
          <w:rStyle w:val="af"/>
          <w:rFonts w:hint="cs"/>
          <w:rtl/>
        </w:rPr>
        <w:t>פו</w:t>
      </w:r>
      <w:r w:rsidRPr="007A72D8">
        <w:rPr>
          <w:rStyle w:val="af"/>
          <w:rFonts w:hint="cs"/>
          <w:rtl/>
        </w:rPr>
        <w:t xml:space="preserve"> דביבש לגמרי אינו יונק, ולכן אין בו איסור תלישה]</w:t>
      </w:r>
      <w:r w:rsidRPr="009C1377">
        <w:rPr>
          <w:rStyle w:val="af"/>
          <w:rFonts w:hint="cs"/>
          <w:rtl/>
        </w:rPr>
        <w:t>,</w:t>
      </w:r>
      <w:r>
        <w:rPr>
          <w:rFonts w:hint="cs"/>
          <w:rtl/>
        </w:rPr>
        <w:t xml:space="preserve"> והוסיף </w:t>
      </w:r>
      <w:r w:rsidRPr="00C65D8D">
        <w:rPr>
          <w:rStyle w:val="aff4"/>
          <w:rFonts w:hint="cs"/>
          <w:vanish/>
          <w:rtl/>
        </w:rPr>
        <w:t>-</w:t>
      </w:r>
      <w:r w:rsidRPr="00C65D8D">
        <w:rPr>
          <w:rStyle w:val="aff4"/>
          <w:rFonts w:hint="cs"/>
          <w:rtl/>
        </w:rPr>
        <w:t>הזכר</w:t>
      </w:r>
      <w:r>
        <w:rPr>
          <w:rStyle w:val="aff4"/>
          <w:rFonts w:hint="cs"/>
          <w:rtl/>
        </w:rPr>
        <w:t xml:space="preserve"> </w:t>
      </w:r>
      <w:r w:rsidRPr="00C65D8D">
        <w:rPr>
          <w:rStyle w:val="aff4"/>
          <w:rFonts w:hint="cs"/>
          <w:rtl/>
        </w:rPr>
        <w:t>יצחק</w:t>
      </w:r>
      <w:r w:rsidRPr="00C65D8D">
        <w:rPr>
          <w:rStyle w:val="aff4"/>
          <w:rFonts w:hint="cs"/>
          <w:vanish/>
          <w:rtl/>
        </w:rPr>
        <w:t>-</w:t>
      </w:r>
      <w:r>
        <w:rPr>
          <w:rFonts w:hint="cs"/>
          <w:rtl/>
        </w:rPr>
        <w:t xml:space="preserve"> דמ"ש </w:t>
      </w:r>
      <w:r w:rsidRPr="00C65D8D">
        <w:rPr>
          <w:rStyle w:val="aff4"/>
          <w:rFonts w:hint="cs"/>
          <w:vanish/>
          <w:rtl/>
        </w:rPr>
        <w:t>-</w:t>
      </w:r>
      <w:r w:rsidRPr="00C65D8D">
        <w:rPr>
          <w:rStyle w:val="aff4"/>
          <w:rFonts w:hint="cs"/>
          <w:rtl/>
        </w:rPr>
        <w:t>התוס'</w:t>
      </w:r>
      <w:r w:rsidRPr="00C65D8D">
        <w:rPr>
          <w:rStyle w:val="aff4"/>
          <w:rFonts w:hint="cs"/>
          <w:vanish/>
          <w:rtl/>
        </w:rPr>
        <w:t>-</w:t>
      </w:r>
      <w:r>
        <w:rPr>
          <w:rFonts w:hint="cs"/>
          <w:rtl/>
        </w:rPr>
        <w:t xml:space="preserve"> דאינו כמחובר כלל, כוונתם לענין טומאת אוכלין, אבל לענין שבת, אין כל נ"מ אי חשיב מחובר או לא, וביאר </w:t>
      </w:r>
      <w:r w:rsidRPr="00C65D8D">
        <w:rPr>
          <w:rStyle w:val="aff4"/>
          <w:rFonts w:hint="cs"/>
          <w:vanish/>
          <w:rtl/>
        </w:rPr>
        <w:t>-</w:t>
      </w:r>
      <w:r w:rsidRPr="00C65D8D">
        <w:rPr>
          <w:rStyle w:val="aff4"/>
          <w:rFonts w:hint="cs"/>
          <w:rtl/>
        </w:rPr>
        <w:t>הזכר יצחק</w:t>
      </w:r>
      <w:r w:rsidRPr="00C65D8D">
        <w:rPr>
          <w:rStyle w:val="aff4"/>
          <w:rFonts w:hint="cs"/>
          <w:vanish/>
          <w:rtl/>
        </w:rPr>
        <w:t>-</w:t>
      </w:r>
      <w:r>
        <w:rPr>
          <w:rFonts w:hint="cs"/>
          <w:rtl/>
        </w:rPr>
        <w:t xml:space="preserve"> דהאיסור בקוצר הוא מחמת היניקה, וכל שיבש לגמרי ואין בו יניקה אינו תולש כלל לענין שבת, </w:t>
      </w:r>
      <w:r w:rsidRPr="007A72D8">
        <w:rPr>
          <w:rStyle w:val="af"/>
          <w:rFonts w:hint="cs"/>
          <w:rtl/>
        </w:rPr>
        <w:t>[וא"כ אף בגמ' בחולין מבואר דהאיסור הוא מחמת היניקה, כמבואר בירושלמי לענין שולה דג]</w:t>
      </w:r>
      <w:bookmarkEnd w:id="1627"/>
      <w:r>
        <w:rPr>
          <w:rStyle w:val="af"/>
          <w:rFonts w:hint="cs"/>
          <w:rtl/>
        </w:rPr>
        <w:t>,</w:t>
      </w:r>
      <w:r>
        <w:rPr>
          <w:rFonts w:hint="cs"/>
          <w:rtl/>
        </w:rPr>
        <w:t xml:space="preserve"> ועי' במ"ש </w:t>
      </w:r>
      <w:r w:rsidRPr="00C65D8D">
        <w:rPr>
          <w:rStyle w:val="aff4"/>
          <w:rFonts w:hint="cs"/>
          <w:vanish/>
          <w:rtl/>
        </w:rPr>
        <w:t>-</w:t>
      </w:r>
      <w:r w:rsidRPr="00C65D8D">
        <w:rPr>
          <w:rStyle w:val="aff4"/>
          <w:rFonts w:hint="cs"/>
          <w:rtl/>
        </w:rPr>
        <w:t>הדבר אברהם</w:t>
      </w:r>
      <w:r w:rsidRPr="00C65D8D">
        <w:rPr>
          <w:rStyle w:val="aff4"/>
          <w:rFonts w:hint="cs"/>
          <w:vanish/>
          <w:rtl/>
        </w:rPr>
        <w:t>-</w:t>
      </w:r>
      <w:r>
        <w:rPr>
          <w:rFonts w:hint="cs"/>
          <w:rtl/>
        </w:rPr>
        <w:t xml:space="preserve"> </w:t>
      </w:r>
      <w:r w:rsidRPr="00FB451D">
        <w:rPr>
          <w:rStyle w:val="af2"/>
          <w:rFonts w:eastAsia="Guttman Hodes" w:hint="cs"/>
          <w:rtl/>
        </w:rPr>
        <w:t xml:space="preserve">(עי' </w:t>
      </w:r>
      <w:r w:rsidRPr="0021063C">
        <w:rPr>
          <w:rStyle w:val="af2"/>
          <w:rFonts w:eastAsia="Guttman Hodes" w:hint="cs"/>
          <w:rtl/>
        </w:rPr>
        <w:t xml:space="preserve">אות </w:t>
      </w:r>
      <w:r w:rsidRPr="0021063C">
        <w:rPr>
          <w:rStyle w:val="af2"/>
          <w:rFonts w:eastAsia="Guttman Hodes"/>
          <w:rtl/>
        </w:rPr>
        <w:fldChar w:fldCharType="begin"/>
      </w:r>
      <w:r w:rsidRPr="0021063C">
        <w:rPr>
          <w:rStyle w:val="af2"/>
          <w:rFonts w:eastAsia="Guttman Hodes"/>
          <w:rtl/>
        </w:rPr>
        <w:instrText xml:space="preserve"> </w:instrText>
      </w:r>
      <w:r w:rsidRPr="0021063C">
        <w:rPr>
          <w:rStyle w:val="af2"/>
          <w:rFonts w:eastAsia="Guttman Hodes" w:hint="cs"/>
        </w:rPr>
        <w:instrText>REF</w:instrText>
      </w:r>
      <w:r w:rsidRPr="0021063C">
        <w:rPr>
          <w:rStyle w:val="af2"/>
          <w:rFonts w:eastAsia="Guttman Hodes" w:hint="cs"/>
          <w:rtl/>
        </w:rPr>
        <w:instrText xml:space="preserve"> _</w:instrText>
      </w:r>
      <w:r w:rsidRPr="0021063C">
        <w:rPr>
          <w:rStyle w:val="af2"/>
          <w:rFonts w:eastAsia="Guttman Hodes" w:hint="cs"/>
        </w:rPr>
        <w:instrText>Ref134697038 \r \h</w:instrText>
      </w:r>
      <w:r w:rsidRPr="0021063C">
        <w:rPr>
          <w:rStyle w:val="af2"/>
          <w:rFonts w:eastAsia="Guttman Hodes"/>
          <w:rtl/>
        </w:rPr>
        <w:instrText xml:space="preserve"> </w:instrText>
      </w:r>
      <w:r w:rsidRPr="0021063C">
        <w:rPr>
          <w:rStyle w:val="af2"/>
          <w:rFonts w:eastAsia="Guttman Hodes"/>
          <w:rtl/>
        </w:rPr>
      </w:r>
      <w:r w:rsidRPr="0021063C">
        <w:rPr>
          <w:rStyle w:val="af2"/>
          <w:rFonts w:eastAsia="Guttman Hodes"/>
          <w:rtl/>
        </w:rPr>
        <w:fldChar w:fldCharType="separate"/>
      </w:r>
      <w:r w:rsidR="00D82181">
        <w:rPr>
          <w:rStyle w:val="af2"/>
          <w:rFonts w:eastAsia="Guttman Hodes"/>
          <w:cs/>
        </w:rPr>
        <w:t>‎</w:t>
      </w:r>
      <w:r w:rsidR="00D82181">
        <w:rPr>
          <w:rStyle w:val="af2"/>
          <w:rFonts w:eastAsia="Guttman Hodes"/>
          <w:rtl/>
        </w:rPr>
        <w:t>פג)</w:t>
      </w:r>
      <w:r w:rsidRPr="0021063C">
        <w:rPr>
          <w:rStyle w:val="af2"/>
          <w:rFonts w:eastAsia="Guttman Hodes"/>
          <w:rtl/>
        </w:rPr>
        <w:fldChar w:fldCharType="end"/>
      </w:r>
      <w:r>
        <w:rPr>
          <w:rFonts w:hint="cs"/>
          <w:rtl/>
        </w:rPr>
        <w:t>.</w:t>
      </w:r>
      <w:bookmarkEnd w:id="1628"/>
    </w:p>
    <w:p w14:paraId="5C27D46E" w14:textId="77777777" w:rsidR="000426DE" w:rsidRPr="00747170" w:rsidRDefault="000426DE" w:rsidP="00747170">
      <w:pPr>
        <w:pStyle w:val="a2"/>
        <w:rPr>
          <w:rtl/>
        </w:rPr>
      </w:pPr>
      <w:r w:rsidRPr="00747170">
        <w:rPr>
          <w:rtl/>
        </w:rPr>
        <w:t xml:space="preserve">ונראה לומר דהתוס' בשבת קנ, ב (ד"ה המחובר) כתבו וז"ל "דאע"ג שמחובר לארץ אין בו איסור תלישה כיוון שיבש אינו יונק מן הארץ כדמוכח בחולין פ' העור והרוטב דאמר תאנים שצמקו באיביהן מטמאין טומאת אוכלין והתולש ממנה בשבת חייב חטאת, דוקא צמקו אבל יבשו לא. וכן משמע בכל הסוגיא דיבשו הן ועוקציהן מטמא טומאת אוכלין ואין דינו כלל כמחובר" עכ"ל. נראה להדיא כוונתם דכל שיבשו עוקציהם כלתה יניקתו לגמרי, אבל כל שהעוקץ לח לא, ולזה דקדקו מהא דנקיט שמואל צמקו ולא יבשו דצמוק ויבש שונים זה מזה כדמוכח לענין טריפות הריאה (עיין חולין מו, ב ונה, ב ועיין רמב"ם ה' שחיטה פ"ח ה"ט). ומה שכתבו דלא הוי כלל כמחובר היינו לענין טומאת אוכלין דבשבת אין העיקר בשביל החיבור כי אם בשביל היניקה. </w:t>
      </w:r>
    </w:p>
    <w:bookmarkEnd w:id="1626"/>
    <w:p w14:paraId="7F0D743F" w14:textId="77777777" w:rsidR="000426DE" w:rsidRPr="00D578AC" w:rsidRDefault="000426DE" w:rsidP="000426DE">
      <w:pPr>
        <w:pStyle w:val="afffffb"/>
        <w:rPr>
          <w:vanish/>
          <w:rtl/>
        </w:rPr>
      </w:pPr>
      <w:r w:rsidRPr="00D578AC">
        <w:rPr>
          <w:vanish/>
          <w:rtl/>
        </w:rPr>
        <w:t>זכר יצחק ח</w:t>
      </w:r>
      <w:r w:rsidRPr="00D578AC">
        <w:rPr>
          <w:rFonts w:hint="cs"/>
          <w:vanish/>
          <w:rtl/>
        </w:rPr>
        <w:t>"</w:t>
      </w:r>
      <w:r w:rsidRPr="00D578AC">
        <w:rPr>
          <w:vanish/>
          <w:rtl/>
        </w:rPr>
        <w:t>ב סי</w:t>
      </w:r>
      <w:r w:rsidRPr="00D578AC">
        <w:rPr>
          <w:rFonts w:hint="cs"/>
          <w:vanish/>
          <w:rtl/>
        </w:rPr>
        <w:t>'</w:t>
      </w:r>
      <w:r w:rsidRPr="00D578AC">
        <w:rPr>
          <w:vanish/>
          <w:rtl/>
        </w:rPr>
        <w:t xml:space="preserve"> מ</w:t>
      </w:r>
      <w:r w:rsidRPr="00D578AC">
        <w:rPr>
          <w:rFonts w:hint="cs"/>
          <w:vanish/>
          <w:rtl/>
        </w:rPr>
        <w:t>"</w:t>
      </w:r>
      <w:r w:rsidRPr="00D578AC">
        <w:rPr>
          <w:vanish/>
          <w:rtl/>
        </w:rPr>
        <w:t>ה</w:t>
      </w:r>
      <w:r w:rsidRPr="00D578AC">
        <w:rPr>
          <w:rFonts w:hint="cs"/>
          <w:vanish/>
          <w:rtl/>
        </w:rPr>
        <w:t xml:space="preserve"> אות </w:t>
      </w:r>
      <w:r w:rsidRPr="00D578AC">
        <w:rPr>
          <w:vanish/>
          <w:rtl/>
        </w:rPr>
        <w:t>ב</w:t>
      </w:r>
      <w:r w:rsidRPr="00D578AC">
        <w:rPr>
          <w:rFonts w:hint="cs"/>
          <w:vanish/>
          <w:rtl/>
        </w:rPr>
        <w:t>' ד"ה וכן מוכח</w:t>
      </w:r>
    </w:p>
    <w:p w14:paraId="4231917E" w14:textId="77777777" w:rsidR="000426DE" w:rsidRPr="00A13E6F" w:rsidRDefault="000426DE" w:rsidP="000426DE">
      <w:pPr>
        <w:pStyle w:val="a7"/>
        <w:rPr>
          <w:rtl/>
        </w:rPr>
      </w:pPr>
      <w:bookmarkStart w:id="1629" w:name="_Toc139316407"/>
      <w:r>
        <w:rPr>
          <w:rFonts w:hint="cs"/>
          <w:rtl/>
        </w:rPr>
        <w:t>בי' הזכר יצחק ברמב"ם דגדר קוצר הפסקת חיות ואף ע"ג יתדות מחובר והוי תולש דמיעט יניקתו</w:t>
      </w:r>
      <w:bookmarkEnd w:id="1629"/>
      <w:r>
        <w:rPr>
          <w:rFonts w:hint="cs"/>
          <w:rtl/>
        </w:rPr>
        <w:t xml:space="preserve"> </w:t>
      </w:r>
    </w:p>
    <w:p w14:paraId="02A76B50" w14:textId="63C20A73" w:rsidR="000426DE" w:rsidRDefault="000426DE" w:rsidP="00BC7DC8">
      <w:pPr>
        <w:pStyle w:val="a3"/>
        <w:rPr>
          <w:rtl/>
        </w:rPr>
      </w:pPr>
      <w:r>
        <w:rPr>
          <w:rFonts w:hint="cs"/>
          <w:rtl/>
        </w:rPr>
        <w:t xml:space="preserve">והביא </w:t>
      </w:r>
      <w:r w:rsidRPr="00C65D8D">
        <w:rPr>
          <w:rStyle w:val="aff4"/>
          <w:rFonts w:hint="cs"/>
          <w:vanish/>
          <w:rtl/>
        </w:rPr>
        <w:t>-</w:t>
      </w:r>
      <w:r w:rsidRPr="00C65D8D">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Ref134565616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סה)</w:t>
      </w:r>
      <w:r w:rsidRPr="00B53404">
        <w:rPr>
          <w:rStyle w:val="aff4"/>
          <w:vanish/>
          <w:rtl/>
        </w:rPr>
        <w:fldChar w:fldCharType="end"/>
      </w:r>
      <w:r w:rsidRPr="00B53404">
        <w:rPr>
          <w:rStyle w:val="aff4"/>
          <w:rFonts w:hint="cs"/>
          <w:vanish/>
          <w:rtl/>
        </w:rPr>
        <w:t xml:space="preserve"> &gt;</w:t>
      </w:r>
      <w:r w:rsidRPr="00C65D8D">
        <w:rPr>
          <w:rStyle w:val="aff4"/>
          <w:rFonts w:hint="cs"/>
          <w:rtl/>
        </w:rPr>
        <w:t>זכר יצחק</w:t>
      </w:r>
      <w:r w:rsidRPr="00C65D8D">
        <w:rPr>
          <w:rStyle w:val="aff4"/>
          <w:rFonts w:hint="cs"/>
          <w:vanish/>
          <w:rtl/>
        </w:rPr>
        <w:t>-</w:t>
      </w:r>
      <w:r>
        <w:rPr>
          <w:rFonts w:hint="cs"/>
          <w:rtl/>
        </w:rPr>
        <w:t xml:space="preserve"> </w:t>
      </w:r>
      <w:r w:rsidRPr="00FB451D">
        <w:rPr>
          <w:rStyle w:val="af2"/>
          <w:rFonts w:eastAsia="Guttman Hodes" w:hint="cs"/>
          <w:rtl/>
        </w:rPr>
        <w:t>(ח"ב סי' מ"ה אות ב' ד"ה וכן מוכח)</w:t>
      </w:r>
      <w:r w:rsidRPr="00C65D8D">
        <w:rPr>
          <w:rFonts w:hint="cs"/>
          <w:vanish/>
          <w:rtl/>
        </w:rPr>
        <w:t>=</w:t>
      </w:r>
      <w:r>
        <w:rPr>
          <w:rFonts w:hint="cs"/>
          <w:rtl/>
        </w:rPr>
        <w:t xml:space="preserve"> את דברי </w:t>
      </w:r>
      <w:r w:rsidRPr="00C65D8D">
        <w:rPr>
          <w:rStyle w:val="aff4"/>
          <w:rFonts w:hint="cs"/>
          <w:vanish/>
          <w:rtl/>
        </w:rPr>
        <w:t>-</w:t>
      </w:r>
      <w:r w:rsidRPr="00C65D8D">
        <w:rPr>
          <w:rStyle w:val="aff4"/>
          <w:rFonts w:hint="cs"/>
          <w:rtl/>
        </w:rPr>
        <w:t>הרמב"ם</w:t>
      </w:r>
      <w:r w:rsidRPr="00C65D8D">
        <w:rPr>
          <w:rStyle w:val="aff4"/>
          <w:rFonts w:hint="cs"/>
          <w:vanish/>
          <w:rtl/>
        </w:rPr>
        <w:t>-</w:t>
      </w:r>
      <w:r>
        <w:rPr>
          <w:rFonts w:hint="cs"/>
          <w:rtl/>
        </w:rPr>
        <w:t xml:space="preserve"> </w:t>
      </w:r>
      <w:r w:rsidRPr="00FB451D">
        <w:rPr>
          <w:rStyle w:val="af2"/>
          <w:rFonts w:eastAsia="Guttman Hodes" w:hint="cs"/>
          <w:rtl/>
        </w:rPr>
        <w:t xml:space="preserve">(עי' אות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Ref134736415 \r \h</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מ)</w:t>
      </w:r>
      <w:r w:rsidRPr="00FB451D">
        <w:rPr>
          <w:rStyle w:val="af2"/>
          <w:rFonts w:eastAsia="Guttman Hodes"/>
          <w:rtl/>
        </w:rPr>
        <w:fldChar w:fldCharType="end"/>
      </w:r>
      <w:r>
        <w:rPr>
          <w:rFonts w:hint="cs"/>
          <w:rtl/>
        </w:rPr>
        <w:t xml:space="preserve"> דכתב דגבשושית שעלו בה עשבים, והגביה אותה מהקרקע, והניחה ע"ג יתדות, דחייב משום תולש, וכתב </w:t>
      </w:r>
      <w:r w:rsidRPr="00C65D8D">
        <w:rPr>
          <w:rStyle w:val="aff4"/>
          <w:rFonts w:hint="cs"/>
          <w:vanish/>
          <w:rtl/>
        </w:rPr>
        <w:t>-</w:t>
      </w:r>
      <w:r w:rsidRPr="00C65D8D">
        <w:rPr>
          <w:rStyle w:val="aff4"/>
          <w:rFonts w:hint="cs"/>
          <w:rtl/>
        </w:rPr>
        <w:t>הזכר יצחק</w:t>
      </w:r>
      <w:r w:rsidRPr="00C65D8D">
        <w:rPr>
          <w:rStyle w:val="aff4"/>
          <w:rFonts w:hint="cs"/>
          <w:vanish/>
          <w:rtl/>
        </w:rPr>
        <w:t>-</w:t>
      </w:r>
      <w:r>
        <w:rPr>
          <w:rFonts w:hint="cs"/>
          <w:rtl/>
        </w:rPr>
        <w:t xml:space="preserve"> דמבואר מדברי </w:t>
      </w:r>
      <w:r w:rsidRPr="00C65D8D">
        <w:rPr>
          <w:rStyle w:val="aff4"/>
          <w:rFonts w:hint="cs"/>
          <w:vanish/>
          <w:rtl/>
        </w:rPr>
        <w:t>-</w:t>
      </w:r>
      <w:r w:rsidRPr="00C65D8D">
        <w:rPr>
          <w:rStyle w:val="aff4"/>
          <w:rFonts w:hint="cs"/>
          <w:rtl/>
        </w:rPr>
        <w:t>הרמב"ם</w:t>
      </w:r>
      <w:r w:rsidRPr="00C65D8D">
        <w:rPr>
          <w:rStyle w:val="aff4"/>
          <w:rFonts w:hint="cs"/>
          <w:vanish/>
          <w:rtl/>
        </w:rPr>
        <w:t>-</w:t>
      </w:r>
      <w:r>
        <w:rPr>
          <w:rFonts w:hint="cs"/>
          <w:rtl/>
        </w:rPr>
        <w:t xml:space="preserve"> דאעפ"י דעדיין חשיבא כמחובר ע"ג היתדות, מ"מ ס"ל </w:t>
      </w:r>
      <w:r w:rsidRPr="00C65D8D">
        <w:rPr>
          <w:rStyle w:val="aff4"/>
          <w:rFonts w:hint="cs"/>
          <w:vanish/>
          <w:rtl/>
        </w:rPr>
        <w:t>-</w:t>
      </w:r>
      <w:r w:rsidRPr="00C65D8D">
        <w:rPr>
          <w:rStyle w:val="aff4"/>
          <w:rFonts w:hint="cs"/>
          <w:rtl/>
        </w:rPr>
        <w:t>להרמב"ם</w:t>
      </w:r>
      <w:r w:rsidRPr="00C65D8D">
        <w:rPr>
          <w:rStyle w:val="aff4"/>
          <w:rFonts w:hint="cs"/>
          <w:vanish/>
          <w:rtl/>
        </w:rPr>
        <w:t>-</w:t>
      </w:r>
      <w:r>
        <w:rPr>
          <w:rFonts w:hint="cs"/>
          <w:rtl/>
        </w:rPr>
        <w:t xml:space="preserve"> דכיון דהוא ממעט את היניקה במה שמגביה אותה מהקרקע ליתדות, לכן חייב על מיעוט היניקה, וכתב </w:t>
      </w:r>
      <w:r w:rsidRPr="00C65D8D">
        <w:rPr>
          <w:rStyle w:val="aff4"/>
          <w:rFonts w:hint="cs"/>
          <w:vanish/>
          <w:rtl/>
        </w:rPr>
        <w:t>-</w:t>
      </w:r>
      <w:r w:rsidRPr="00C65D8D">
        <w:rPr>
          <w:rStyle w:val="aff4"/>
          <w:rFonts w:hint="cs"/>
          <w:rtl/>
        </w:rPr>
        <w:t>הזכר יצחק</w:t>
      </w:r>
      <w:r w:rsidRPr="00C65D8D">
        <w:rPr>
          <w:rStyle w:val="aff4"/>
          <w:rFonts w:hint="cs"/>
          <w:vanish/>
          <w:rtl/>
        </w:rPr>
        <w:t>-</w:t>
      </w:r>
      <w:r>
        <w:rPr>
          <w:rFonts w:hint="cs"/>
          <w:rtl/>
        </w:rPr>
        <w:t xml:space="preserve"> דמוכח מדברי </w:t>
      </w:r>
      <w:r w:rsidRPr="00C65D8D">
        <w:rPr>
          <w:rStyle w:val="aff4"/>
          <w:rFonts w:hint="cs"/>
          <w:vanish/>
          <w:rtl/>
        </w:rPr>
        <w:t>-</w:t>
      </w:r>
      <w:r w:rsidRPr="00C65D8D">
        <w:rPr>
          <w:rStyle w:val="aff4"/>
          <w:rFonts w:hint="cs"/>
          <w:rtl/>
        </w:rPr>
        <w:t>הרמב"ם</w:t>
      </w:r>
      <w:r w:rsidRPr="00C65D8D">
        <w:rPr>
          <w:rStyle w:val="aff4"/>
          <w:rFonts w:hint="cs"/>
          <w:vanish/>
          <w:rtl/>
        </w:rPr>
        <w:t>-</w:t>
      </w:r>
      <w:r>
        <w:rPr>
          <w:rFonts w:hint="cs"/>
          <w:rtl/>
        </w:rPr>
        <w:t xml:space="preserve"> דחיוב קוצר הוא רק מחמת דמבדיל את החיות, אבל אי אמרינן דחיוב קוצר הוא מחמת שתולש דבר מחובר, א"כ א"א לחייב במגביה גבשושית ע"ג יתדות, דהא אף ע"ג היתדות היא עדיין מחוברת. </w:t>
      </w:r>
    </w:p>
    <w:p w14:paraId="6BCC9C0D" w14:textId="77777777" w:rsidR="000426DE" w:rsidRPr="00361185" w:rsidRDefault="000426DE" w:rsidP="000426DE">
      <w:pPr>
        <w:pStyle w:val="a7"/>
        <w:rPr>
          <w:rtl/>
        </w:rPr>
      </w:pPr>
    </w:p>
    <w:p w14:paraId="238B7D36" w14:textId="77777777" w:rsidR="000426DE" w:rsidRPr="00747170" w:rsidRDefault="000426DE" w:rsidP="00747170">
      <w:pPr>
        <w:pStyle w:val="a2"/>
        <w:rPr>
          <w:rtl/>
        </w:rPr>
      </w:pPr>
      <w:r w:rsidRPr="00747170">
        <w:rPr>
          <w:rtl/>
        </w:rPr>
        <w:t>וכן מוכח מהא דפסק הרמב"ם (בה' שבת פ"ח ה"ד) "גבשושית של עפר שעלו בה עשבים הגביהה מעל הארץ והניחה ע"ג יתדות חייב משום תולש" עכ"ל. אעפ"י שגם ע"ג יתדות הוי מחובר, ובע"כ דס"ל דכל שממעט יניקתו דבודאי יניקתו יותר מעטה כשהיא ע"ג יתדות, ובשביל מיעוט היניקה חייב.</w:t>
      </w:r>
      <w:r w:rsidRPr="00747170">
        <w:rPr>
          <w:rFonts w:hint="cs"/>
          <w:rtl/>
        </w:rPr>
        <w:t xml:space="preserve"> </w:t>
      </w:r>
      <w:r w:rsidRPr="00747170">
        <w:rPr>
          <w:rtl/>
        </w:rPr>
        <w:t xml:space="preserve">וא"כ מוכרח דחיוב הקוצר הוא משום הבדלת חיותו, אבל אם נימא דיסוד הקוצר הוא משום תלישת החיבור אין מקום לחייב בזה כיוון דגם עתה הוא מחובר. </w:t>
      </w:r>
    </w:p>
    <w:p w14:paraId="394F4CF8" w14:textId="7C41A1CB" w:rsidR="000426DE" w:rsidRDefault="000426DE" w:rsidP="000426DE">
      <w:pPr>
        <w:pStyle w:val="afffff7"/>
        <w:rPr>
          <w:rtl/>
        </w:rPr>
      </w:pPr>
      <w:bookmarkStart w:id="1630" w:name="_Toc135513736"/>
      <w:bookmarkStart w:id="1631" w:name="_Toc163505659"/>
      <w:r>
        <w:rPr>
          <w:rtl/>
        </w:rPr>
        <w:t>זכר יצחק ח</w:t>
      </w:r>
      <w:r>
        <w:rPr>
          <w:rFonts w:hint="cs"/>
          <w:rtl/>
        </w:rPr>
        <w:t>"</w:t>
      </w:r>
      <w:r>
        <w:rPr>
          <w:rtl/>
        </w:rPr>
        <w:t>ב סי</w:t>
      </w:r>
      <w:r>
        <w:rPr>
          <w:rFonts w:hint="cs"/>
          <w:rtl/>
        </w:rPr>
        <w:t>'</w:t>
      </w:r>
      <w:r>
        <w:rPr>
          <w:rtl/>
        </w:rPr>
        <w:t xml:space="preserve"> מ</w:t>
      </w:r>
      <w:r>
        <w:rPr>
          <w:rFonts w:hint="cs"/>
          <w:rtl/>
        </w:rPr>
        <w:t>"</w:t>
      </w:r>
      <w:r>
        <w:rPr>
          <w:rtl/>
        </w:rPr>
        <w:t>ה</w:t>
      </w:r>
      <w:r>
        <w:rPr>
          <w:rFonts w:hint="cs"/>
          <w:rtl/>
        </w:rPr>
        <w:t xml:space="preserve"> אות </w:t>
      </w:r>
      <w:r>
        <w:rPr>
          <w:rtl/>
        </w:rPr>
        <w:t>ב</w:t>
      </w:r>
      <w:r>
        <w:rPr>
          <w:rFonts w:hint="cs"/>
          <w:rtl/>
        </w:rPr>
        <w:t>' ד"ה וכן משמע</w:t>
      </w:r>
      <w:bookmarkEnd w:id="1630"/>
      <w:bookmarkEnd w:id="1631"/>
    </w:p>
    <w:p w14:paraId="3248A375" w14:textId="77777777" w:rsidR="000426DE" w:rsidRDefault="000426DE" w:rsidP="000426DE">
      <w:pPr>
        <w:pStyle w:val="a7"/>
        <w:rPr>
          <w:rtl/>
        </w:rPr>
      </w:pPr>
      <w:bookmarkStart w:id="1632" w:name="_Toc139316408"/>
      <w:r>
        <w:rPr>
          <w:rFonts w:hint="cs"/>
          <w:rtl/>
        </w:rPr>
        <w:t>בי' הזכר יצחק ברמב"ן דקוצר הוא הפסקת חיות ומדלדל עובר דמפסיק חיות דמי לעוקר מגידולו</w:t>
      </w:r>
      <w:bookmarkEnd w:id="1632"/>
    </w:p>
    <w:p w14:paraId="27B37F6B" w14:textId="2C64DC43" w:rsidR="000426DE" w:rsidRPr="000113FB" w:rsidRDefault="000426DE" w:rsidP="00BC7DC8">
      <w:pPr>
        <w:pStyle w:val="a3"/>
      </w:pPr>
      <w:bookmarkStart w:id="1633" w:name="_Ref135044922"/>
      <w:r>
        <w:rPr>
          <w:rFonts w:hint="cs"/>
          <w:rtl/>
        </w:rPr>
        <w:t xml:space="preserve">במ"ש </w:t>
      </w:r>
      <w:r w:rsidRPr="006527E3">
        <w:rPr>
          <w:rStyle w:val="aff4"/>
          <w:rFonts w:hint="cs"/>
          <w:vanish/>
          <w:rtl/>
        </w:rPr>
        <w:t>-</w:t>
      </w:r>
      <w:r w:rsidRPr="00BC350B">
        <w:rPr>
          <w:rStyle w:val="aff4"/>
          <w:rFonts w:hint="cs"/>
          <w:rtl/>
        </w:rPr>
        <w:t>הרמב"ן לקמן</w:t>
      </w:r>
      <w:r w:rsidRPr="006527E3">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Ref135342542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w:t>
      </w:r>
      <w:r>
        <w:rPr>
          <w:rStyle w:val="af2"/>
          <w:rFonts w:eastAsia="Guttman Hodes"/>
          <w:rtl/>
        </w:rPr>
        <w:fldChar w:fldCharType="end"/>
      </w:r>
      <w:r>
        <w:rPr>
          <w:rFonts w:hint="cs"/>
          <w:rtl/>
        </w:rPr>
        <w:t xml:space="preserve"> דהא דהמדלדל עובר חייב משום נטילת נשמה, דומיא דחובל דחייב משום נטילת נשמה של אבר אחד, ביאר </w:t>
      </w:r>
      <w:r w:rsidRPr="006527E3">
        <w:rPr>
          <w:rStyle w:val="aff4"/>
          <w:rFonts w:hint="cs"/>
          <w:vanish/>
          <w:rtl/>
        </w:rPr>
        <w:t>-</w:t>
      </w:r>
      <w:r w:rsidRPr="009B386D">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Ref135044922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סח)</w:t>
      </w:r>
      <w:r w:rsidRPr="00B53404">
        <w:rPr>
          <w:rStyle w:val="aff4"/>
          <w:vanish/>
          <w:rtl/>
        </w:rPr>
        <w:fldChar w:fldCharType="end"/>
      </w:r>
      <w:r w:rsidRPr="00B53404">
        <w:rPr>
          <w:rStyle w:val="aff4"/>
          <w:rFonts w:hint="cs"/>
          <w:vanish/>
          <w:rtl/>
        </w:rPr>
        <w:t xml:space="preserve"> &gt;</w:t>
      </w:r>
      <w:r w:rsidRPr="009B386D">
        <w:rPr>
          <w:rStyle w:val="aff4"/>
          <w:rFonts w:hint="cs"/>
          <w:rtl/>
        </w:rPr>
        <w:t>זכר יצחק</w:t>
      </w:r>
      <w:r w:rsidRPr="006527E3">
        <w:rPr>
          <w:rStyle w:val="aff4"/>
          <w:rFonts w:hint="cs"/>
          <w:vanish/>
          <w:rtl/>
        </w:rPr>
        <w:t>-</w:t>
      </w:r>
      <w:r>
        <w:rPr>
          <w:rFonts w:hint="cs"/>
          <w:rtl/>
        </w:rPr>
        <w:t xml:space="preserve"> </w:t>
      </w:r>
      <w:r w:rsidRPr="00FB451D">
        <w:rPr>
          <w:rStyle w:val="af2"/>
          <w:rFonts w:eastAsia="Guttman Hodes" w:hint="cs"/>
          <w:rtl/>
        </w:rPr>
        <w:t>(ח"ב סי' מ"ה אות ב' ד"ה וכן משמע)</w:t>
      </w:r>
      <w:r w:rsidRPr="006527E3">
        <w:rPr>
          <w:rFonts w:hint="cs"/>
          <w:vanish/>
          <w:rtl/>
        </w:rPr>
        <w:t>=</w:t>
      </w:r>
      <w:r>
        <w:rPr>
          <w:rFonts w:hint="cs"/>
          <w:rtl/>
        </w:rPr>
        <w:t xml:space="preserve"> דכוונתו לומר דלכן נקטה הגמ' במדלדל עובר דהוא כעוקר דבר מגידולו, כיון דהוא דומה ביסוד המלאכה לתולש, דבשניהם הוא עוקר את הדבר מגידולו, דבדבר חי הוא נוטל את נשמתו, ובצומח הוא נוטל את היניקה שהיא הנשמה של הצומח, ובמה שהוסיף </w:t>
      </w:r>
      <w:r w:rsidRPr="006527E3">
        <w:rPr>
          <w:rStyle w:val="aff4"/>
          <w:rFonts w:hint="cs"/>
          <w:vanish/>
          <w:rtl/>
        </w:rPr>
        <w:t>-</w:t>
      </w:r>
      <w:r w:rsidRPr="009B386D">
        <w:rPr>
          <w:rStyle w:val="aff4"/>
          <w:rFonts w:hint="cs"/>
          <w:rtl/>
        </w:rPr>
        <w:t>הרמב"ן</w:t>
      </w:r>
      <w:r w:rsidRPr="006527E3">
        <w:rPr>
          <w:rStyle w:val="aff4"/>
          <w:rFonts w:hint="cs"/>
          <w:vanish/>
          <w:rtl/>
        </w:rPr>
        <w:t>-</w:t>
      </w:r>
      <w:r>
        <w:rPr>
          <w:rFonts w:hint="cs"/>
          <w:rtl/>
        </w:rPr>
        <w:t xml:space="preserve"> דהוא כחובל באבר אחד, ביאר </w:t>
      </w:r>
      <w:r w:rsidRPr="006527E3">
        <w:rPr>
          <w:rStyle w:val="aff4"/>
          <w:rFonts w:hint="cs"/>
          <w:vanish/>
          <w:rtl/>
        </w:rPr>
        <w:t>-</w:t>
      </w:r>
      <w:r w:rsidRPr="009B386D">
        <w:rPr>
          <w:rStyle w:val="aff4"/>
          <w:rFonts w:hint="cs"/>
          <w:rtl/>
        </w:rPr>
        <w:t>הזכר יצחק</w:t>
      </w:r>
      <w:r w:rsidRPr="006527E3">
        <w:rPr>
          <w:rStyle w:val="aff4"/>
          <w:rFonts w:hint="cs"/>
          <w:vanish/>
          <w:rtl/>
        </w:rPr>
        <w:t>-</w:t>
      </w:r>
      <w:r>
        <w:rPr>
          <w:rFonts w:hint="cs"/>
          <w:rtl/>
        </w:rPr>
        <w:t xml:space="preserve"> דכוונתו לבאר דחיוב נטילת נשמה אינו רק בשוחט שמפסיק את כל החיות, אלא אף בחובל שנוטל מקצת מהחיות, וה"ה בתולש חלק מהצמח נפסקה חלק מיניקתו שהיא החיות של הצמח.</w:t>
      </w:r>
      <w:bookmarkEnd w:id="1633"/>
    </w:p>
    <w:p w14:paraId="2C2C0364" w14:textId="77777777" w:rsidR="000426DE" w:rsidRPr="00747170" w:rsidRDefault="000426DE" w:rsidP="00747170">
      <w:pPr>
        <w:pStyle w:val="a2"/>
      </w:pPr>
      <w:r w:rsidRPr="00747170">
        <w:rPr>
          <w:rtl/>
        </w:rPr>
        <w:t xml:space="preserve">וכן משמע משיטת הרמב"ן הובאה בחידושי הרשב"א (שבת קז, ב) דז"ל ומיחייב משום עוקר דבר מגידולו דהוא משום נטילת נשמה דומיא דחובל דהוא משום נטילת נשמה באבר אחד. כוונתו דלזה נקטה הגמרא בשניהם שם עוקר דבר, דיסוד שתי המלאכות דומה, שזה נוטל נשמת החי וזה נוטל נשמת הצומח שהוא היניקה. ובא לבאר שלא תקשה דהרי שם חייב רק בשוחט, וע"ז כתב דגם בחובל מיחייב אף שלקח רק המקצת וכן בתולש אף אם תלש רק איזה חלק מן הדבר מ"מ בזה שתלש נפסק החיות. </w:t>
      </w:r>
    </w:p>
    <w:p w14:paraId="2F8ACCCD" w14:textId="0D53B1E3" w:rsidR="000426DE" w:rsidRPr="00115381" w:rsidRDefault="000426DE" w:rsidP="000426DE">
      <w:pPr>
        <w:pStyle w:val="1"/>
        <w:rPr>
          <w:rtl/>
        </w:rPr>
      </w:pPr>
      <w:bookmarkStart w:id="1634" w:name="_Toc139316409"/>
      <w:r>
        <w:rPr>
          <w:rFonts w:hint="cs"/>
          <w:rtl/>
        </w:rPr>
        <w:t>בי' הדב"א בירו' דגדרי קוצר הפסקת חיות וגם תולש ממחובר</w:t>
      </w:r>
      <w:bookmarkEnd w:id="1634"/>
    </w:p>
    <w:p w14:paraId="7ADF9429" w14:textId="77777777" w:rsidR="000426DE" w:rsidRDefault="000426DE" w:rsidP="000426DE">
      <w:pPr>
        <w:pStyle w:val="afffff7"/>
        <w:rPr>
          <w:rtl/>
        </w:rPr>
      </w:pPr>
      <w:bookmarkStart w:id="1635" w:name="_Toc135513737"/>
      <w:bookmarkStart w:id="1636" w:name="_Toc163505660"/>
      <w:r>
        <w:rPr>
          <w:rtl/>
        </w:rPr>
        <w:t>דבר אברהם ח</w:t>
      </w:r>
      <w:r>
        <w:rPr>
          <w:rFonts w:hint="cs"/>
          <w:rtl/>
        </w:rPr>
        <w:t>"</w:t>
      </w:r>
      <w:r>
        <w:rPr>
          <w:rtl/>
        </w:rPr>
        <w:t>א סי' כ"ד</w:t>
      </w:r>
      <w:r>
        <w:rPr>
          <w:rFonts w:hint="cs"/>
          <w:rtl/>
        </w:rPr>
        <w:t xml:space="preserve"> אות י"א</w:t>
      </w:r>
      <w:r w:rsidRPr="007E7D84">
        <w:rPr>
          <w:rFonts w:hint="cs"/>
          <w:rtl/>
        </w:rPr>
        <w:t xml:space="preserve"> </w:t>
      </w:r>
      <w:r>
        <w:rPr>
          <w:rFonts w:hint="cs"/>
          <w:rtl/>
        </w:rPr>
        <w:t>ד</w:t>
      </w:r>
      <w:r>
        <w:rPr>
          <w:rFonts w:cs="Guttman Hodes" w:hint="cs"/>
          <w:rtl/>
        </w:rPr>
        <w:t>"</w:t>
      </w:r>
      <w:r>
        <w:rPr>
          <w:rFonts w:hint="cs"/>
          <w:rtl/>
        </w:rPr>
        <w:t>ה ואחר, אבל</w:t>
      </w:r>
      <w:bookmarkEnd w:id="1635"/>
      <w:bookmarkEnd w:id="1636"/>
    </w:p>
    <w:p w14:paraId="6E43D1DE" w14:textId="77777777" w:rsidR="000426DE" w:rsidRDefault="000426DE" w:rsidP="000426DE">
      <w:pPr>
        <w:pStyle w:val="a7"/>
        <w:rPr>
          <w:rtl/>
        </w:rPr>
      </w:pPr>
      <w:bookmarkStart w:id="1637" w:name="_Toc139316410"/>
      <w:r>
        <w:rPr>
          <w:rFonts w:hint="cs"/>
          <w:rtl/>
        </w:rPr>
        <w:t>בי' הדב"א דל"מ בירושלמי דקוצר הוא תולש ממחובר ודג כמחובר אלא קוצר הוא הפסקת חיות</w:t>
      </w:r>
      <w:bookmarkEnd w:id="1637"/>
    </w:p>
    <w:p w14:paraId="3AD71DEC" w14:textId="096A3EBB" w:rsidR="000426DE" w:rsidRPr="00B122D6" w:rsidRDefault="000426DE" w:rsidP="00BC7DC8">
      <w:pPr>
        <w:pStyle w:val="a3"/>
        <w:rPr>
          <w:rtl/>
        </w:rPr>
      </w:pPr>
      <w:bookmarkStart w:id="1638" w:name="_Ref134634907"/>
      <w:r>
        <w:rPr>
          <w:rFonts w:hint="cs"/>
          <w:rtl/>
        </w:rPr>
        <w:t xml:space="preserve">במ"ש </w:t>
      </w:r>
      <w:r w:rsidRPr="00C65D8D">
        <w:rPr>
          <w:rStyle w:val="aff4"/>
          <w:rFonts w:hint="cs"/>
          <w:vanish/>
          <w:rtl/>
        </w:rPr>
        <w:t>-</w:t>
      </w:r>
      <w:r w:rsidRPr="00C65D8D">
        <w:rPr>
          <w:rStyle w:val="aff4"/>
          <w:rFonts w:hint="cs"/>
          <w:rtl/>
        </w:rPr>
        <w:t>הרמב"ן</w:t>
      </w:r>
      <w:r w:rsidRPr="00C65D8D">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Ref135380071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ד)</w:t>
      </w:r>
      <w:r>
        <w:rPr>
          <w:rStyle w:val="af2"/>
          <w:rFonts w:eastAsia="Guttman Hodes"/>
          <w:rtl/>
        </w:rPr>
        <w:fldChar w:fldCharType="end"/>
      </w:r>
      <w:r>
        <w:rPr>
          <w:rFonts w:hint="cs"/>
          <w:rtl/>
        </w:rPr>
        <w:t xml:space="preserve"> דהבבלי פליג על הירושלמי וס"ל דקוצר הוא רק בגידולי קרקע, אבל דבר שמפסיקו מחיותו כשולה דג מן הים אין בו איסור קוצר, כתב </w:t>
      </w:r>
      <w:r w:rsidRPr="00C65D8D">
        <w:rPr>
          <w:rStyle w:val="aff4"/>
          <w:rFonts w:hint="cs"/>
          <w:vanish/>
          <w:rtl/>
        </w:rPr>
        <w:t>-</w:t>
      </w:r>
      <w:r w:rsidRPr="00C65D8D">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Ref134634907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סט)</w:t>
      </w:r>
      <w:r w:rsidRPr="00B53404">
        <w:rPr>
          <w:rStyle w:val="aff4"/>
          <w:vanish/>
          <w:rtl/>
        </w:rPr>
        <w:fldChar w:fldCharType="end"/>
      </w:r>
      <w:r w:rsidRPr="00B53404">
        <w:rPr>
          <w:rStyle w:val="aff4"/>
          <w:rFonts w:hint="cs"/>
          <w:vanish/>
          <w:rtl/>
        </w:rPr>
        <w:t xml:space="preserve"> &gt;</w:t>
      </w:r>
      <w:r w:rsidRPr="00C65D8D">
        <w:rPr>
          <w:rStyle w:val="aff4"/>
          <w:rFonts w:hint="cs"/>
          <w:rtl/>
        </w:rPr>
        <w:t>דבר אברהם</w:t>
      </w:r>
      <w:r w:rsidRPr="00C65D8D">
        <w:rPr>
          <w:rStyle w:val="aff4"/>
          <w:rFonts w:hint="cs"/>
          <w:vanish/>
          <w:rtl/>
        </w:rPr>
        <w:t>-</w:t>
      </w:r>
      <w:r>
        <w:rPr>
          <w:rFonts w:hint="cs"/>
          <w:rtl/>
        </w:rPr>
        <w:t xml:space="preserve"> </w:t>
      </w:r>
      <w:r w:rsidRPr="00FB451D">
        <w:rPr>
          <w:rStyle w:val="af2"/>
          <w:rFonts w:eastAsia="Guttman Hodes" w:hint="cs"/>
          <w:rtl/>
        </w:rPr>
        <w:t>(ח"א סי' כ"ד אות י"א ד"ה ואחר)</w:t>
      </w:r>
      <w:r w:rsidRPr="00C65D8D">
        <w:rPr>
          <w:rFonts w:hint="cs"/>
          <w:vanish/>
          <w:rtl/>
        </w:rPr>
        <w:t>=</w:t>
      </w:r>
      <w:r>
        <w:rPr>
          <w:rFonts w:hint="cs"/>
          <w:rtl/>
        </w:rPr>
        <w:t xml:space="preserve"> דהיה אפש"ל דאין כוונת הירושלמי לחדש כלל בכל דבר תלוש שמפסיקו מחיותו, אלא דס"ל להירושלמי דמים הם כארעא סמיכתא ושליית דג חשיב כקוצר ממחובר, אבל בדבר שהוא תלוש לגמרי מודה הירושלמי דאין בו קוצר, כדביאר </w:t>
      </w:r>
      <w:r w:rsidRPr="00C65D8D">
        <w:rPr>
          <w:rStyle w:val="aff4"/>
          <w:rFonts w:hint="cs"/>
          <w:vanish/>
          <w:rtl/>
        </w:rPr>
        <w:t>-</w:t>
      </w:r>
      <w:r w:rsidRPr="00C65D8D">
        <w:rPr>
          <w:rStyle w:val="aff4"/>
          <w:rFonts w:hint="cs"/>
          <w:rtl/>
        </w:rPr>
        <w:t>הרמב"ן</w:t>
      </w:r>
      <w:r w:rsidRPr="00C65D8D">
        <w:rPr>
          <w:rStyle w:val="aff4"/>
          <w:rFonts w:hint="cs"/>
          <w:vanish/>
          <w:rtl/>
        </w:rPr>
        <w:t>-</w:t>
      </w:r>
      <w:r>
        <w:rPr>
          <w:rFonts w:hint="cs"/>
          <w:rtl/>
        </w:rPr>
        <w:t xml:space="preserve"> דקוצר הוא רק בגידולי קרקע, אך דחה </w:t>
      </w:r>
      <w:r w:rsidRPr="00C65D8D">
        <w:rPr>
          <w:rStyle w:val="aff4"/>
          <w:rFonts w:hint="cs"/>
          <w:vanish/>
          <w:rtl/>
        </w:rPr>
        <w:t>-</w:t>
      </w:r>
      <w:r w:rsidRPr="00C65D8D">
        <w:rPr>
          <w:rStyle w:val="aff4"/>
          <w:rFonts w:hint="cs"/>
          <w:rtl/>
        </w:rPr>
        <w:t>ה</w:t>
      </w:r>
      <w:r w:rsidRPr="00B53404">
        <w:rPr>
          <w:rStyle w:val="aff4"/>
          <w:rFonts w:hint="cs"/>
          <w:vanish/>
          <w:rtl/>
        </w:rPr>
        <w:t>&lt; &gt;</w:t>
      </w:r>
      <w:r w:rsidRPr="00C65D8D">
        <w:rPr>
          <w:rStyle w:val="aff4"/>
          <w:rFonts w:hint="cs"/>
          <w:rtl/>
        </w:rPr>
        <w:t>דבר אברהם</w:t>
      </w:r>
      <w:r w:rsidRPr="00C65D8D">
        <w:rPr>
          <w:rStyle w:val="aff4"/>
          <w:rFonts w:hint="cs"/>
          <w:vanish/>
          <w:rtl/>
        </w:rPr>
        <w:t>-</w:t>
      </w:r>
      <w:r>
        <w:rPr>
          <w:rFonts w:hint="cs"/>
          <w:rtl/>
        </w:rPr>
        <w:t xml:space="preserve"> </w:t>
      </w:r>
      <w:r w:rsidRPr="00FB451D">
        <w:rPr>
          <w:rStyle w:val="af2"/>
          <w:rFonts w:eastAsia="Guttman Hodes" w:hint="cs"/>
          <w:rtl/>
        </w:rPr>
        <w:t>(ח"א סי' כ"ד אות י"א ד"ה אבל)</w:t>
      </w:r>
      <w:r w:rsidRPr="00C65D8D">
        <w:rPr>
          <w:rFonts w:hint="cs"/>
          <w:vanish/>
          <w:rtl/>
        </w:rPr>
        <w:t>=</w:t>
      </w:r>
      <w:r>
        <w:rPr>
          <w:rFonts w:hint="cs"/>
          <w:rtl/>
        </w:rPr>
        <w:t xml:space="preserve"> דמשמעות הירושלמי דחידש כלל בכל דבר שמפסיקו מחיותו, ולא בא לחדש דמיא כארעא סמכיתא דמי.</w:t>
      </w:r>
      <w:bookmarkEnd w:id="1638"/>
    </w:p>
    <w:p w14:paraId="69A3AC57" w14:textId="77777777" w:rsidR="000426DE" w:rsidRPr="00747170" w:rsidRDefault="000426DE" w:rsidP="00747170">
      <w:pPr>
        <w:pStyle w:val="a2"/>
        <w:rPr>
          <w:rtl/>
        </w:rPr>
      </w:pPr>
      <w:r w:rsidRPr="00747170">
        <w:rPr>
          <w:rtl/>
        </w:rPr>
        <w:t>[יא] ואחר שביררנו שדברי רבנו הרמב"ן ז"ל נקיים מכל השגות הנ"ל וברורים הם מכל צד בלי שום פקפוק נשים פנינו אל יתר דבריו בשיטת הירושלמי שהביא וז"ל ומה שאמרו בירושלמי פ' כלל גדול רבנן דקסרין אמרין ההוא דצד נונא וכל דבר שהוא מבדילו מחיותו חייב משום קוצר לא אתי בשיטתא גמ' דילן עכ"ל. והנה הא דלא אתי הירושלמי בשיטת גמ' דילן הוא מכח הראיות שהביא הרמב"ן דאין קוצר בבע"ח וסליק אדעתאי להרהר לכאורה דאי משום ההוא פרטא דפריט הירושלמי, ר"ל מדינא דצד נונא גופיה, עדיין היה אפשר לדחוק להשוות שי' הירושלמי עם שיטתא דגמ' דילן, ונאמר דבאמת לא פליג הירושלמי על ש"ס דילן בעיקר הדין אלא ס"ל נמי דאין קוצר אלא בג"ק ממש ולא בבע"ח, וס"ל דבע"ח נמי ג"ק נינהו אלא דמ"מ פטור הקוצר מהם משום דבעינן שיקצור ויפסיק מן הקרקע ממש משא"כ כשהוא קוצר מבע"ח הרי הוא קוצר רק מן הגידולי קרקע ולא מן הקרקע עצמה כמ"ש לעיל (אות ג') ומ"מ חייב בצד נונא משום די"ל דנונא שאני דכיון דס"ל להירושלמי דמקום החיות חשוב כמקום חיבור ממש וכשמבדילו ממקום זה הוי כתולשו ממקום חיבורו י"ל דשולה דג מן הים מיקרי קוצר מן הקרקע ממש משום שהדג מחובר למים כמקום חיותו ואפ"ל דמים דינם כקרקע, כעין דאמרינן בגיטין (דף ח' ע"א) עד כאן לא קאמרי רבנן התם אלא בספינה דלא מפסיק אוירא דמיא כארעא סמיכתא דמיא, וכן אמרינן בשבת (דף ק' ע"ב) רב חסדא ורבה בר ר"ה אמרי עושה מקום ד' וממילא קסברי כרמלית משפת מיא משחינן מיא ארעא סמיכתא כו', ועיי' בע"ז (דף מ"ז ע"א) גבי משתחוה למעין דמעין הוי מחובר ולפי"ז אם נדחוק את נפשנו בדברי הירושלמי לומר דמאי דמסיק בכללא דכל דבר שהוא מבדילו מחיותו לאו כללא רבה הוא לכל הדברים התלושים ולשאינם ג"ק כלל אלא דהכוונה היא רק לרבות כל מילי דדמו להפרט שקדם להם דהיינו כנונא עצמו הי' נפתח לנו פתח להשוות דברי הירושלמי עם ש"ס דילן:</w:t>
      </w:r>
    </w:p>
    <w:p w14:paraId="47177BFE" w14:textId="77777777" w:rsidR="000426DE" w:rsidRPr="00D578AC" w:rsidRDefault="000426DE" w:rsidP="00747170">
      <w:pPr>
        <w:pStyle w:val="afffff5"/>
        <w:rPr>
          <w:rtl/>
        </w:rPr>
      </w:pPr>
      <w:r w:rsidRPr="00D578AC">
        <w:rPr>
          <w:rtl/>
        </w:rPr>
        <w:t>אבל רחוקים הדברים מנקודת האמת שאין הדמיון עולה יפה לדון מיא כארעא סמיכתא לענין קוצר וסוף דברי הירושלמי וכל דבר שהוא מבדילו מחיותו משמע ודאי דכלל גדול הוא בכל מילי ולאו דוקא בהני דדמו לנונא, ותו דאפילו בכי הא לא מיתוקמא שיטת הירושלמי כגמ' דילן שהרי מסקינן בעירובין (דף כ"ז) דדגים לאו ג"ק נינהו עיין שם בפירש"י:</w:t>
      </w:r>
    </w:p>
    <w:p w14:paraId="6AFC98CF" w14:textId="092F4987" w:rsidR="000426DE" w:rsidRDefault="000426DE" w:rsidP="000426DE">
      <w:pPr>
        <w:pStyle w:val="afffff7"/>
        <w:rPr>
          <w:rtl/>
        </w:rPr>
      </w:pPr>
      <w:bookmarkStart w:id="1639" w:name="_Toc135513738"/>
      <w:bookmarkStart w:id="1640" w:name="_Toc163505661"/>
      <w:r w:rsidRPr="007E7D84">
        <w:rPr>
          <w:rtl/>
        </w:rPr>
        <w:t>דבר אברהם ח</w:t>
      </w:r>
      <w:r>
        <w:rPr>
          <w:rFonts w:hint="cs"/>
          <w:rtl/>
        </w:rPr>
        <w:t>"</w:t>
      </w:r>
      <w:r w:rsidRPr="007E7D84">
        <w:rPr>
          <w:rtl/>
        </w:rPr>
        <w:t>א סי</w:t>
      </w:r>
      <w:r>
        <w:rPr>
          <w:rFonts w:hint="cs"/>
          <w:rtl/>
        </w:rPr>
        <w:t xml:space="preserve">' </w:t>
      </w:r>
      <w:r w:rsidRPr="007E7D84">
        <w:rPr>
          <w:rtl/>
        </w:rPr>
        <w:t>כ</w:t>
      </w:r>
      <w:r>
        <w:rPr>
          <w:rFonts w:hint="cs"/>
          <w:rtl/>
        </w:rPr>
        <w:t>"</w:t>
      </w:r>
      <w:r w:rsidRPr="007E7D84">
        <w:rPr>
          <w:rtl/>
        </w:rPr>
        <w:t>ד</w:t>
      </w:r>
      <w:r w:rsidRPr="007E7D84">
        <w:rPr>
          <w:rFonts w:hint="cs"/>
          <w:rtl/>
        </w:rPr>
        <w:t xml:space="preserve"> אות י"</w:t>
      </w:r>
      <w:r>
        <w:rPr>
          <w:rFonts w:hint="cs"/>
          <w:rtl/>
        </w:rPr>
        <w:t>ג</w:t>
      </w:r>
      <w:r w:rsidRPr="007E7D84">
        <w:rPr>
          <w:rFonts w:hint="cs"/>
          <w:rtl/>
        </w:rPr>
        <w:t xml:space="preserve"> ד"ה </w:t>
      </w:r>
      <w:r>
        <w:rPr>
          <w:rFonts w:hint="cs"/>
          <w:rtl/>
        </w:rPr>
        <w:t>אולם</w:t>
      </w:r>
      <w:bookmarkEnd w:id="1639"/>
      <w:bookmarkEnd w:id="1640"/>
    </w:p>
    <w:p w14:paraId="777F3FB9" w14:textId="77777777" w:rsidR="000426DE" w:rsidRDefault="000426DE" w:rsidP="000426DE">
      <w:pPr>
        <w:pStyle w:val="a7"/>
        <w:rPr>
          <w:rtl/>
        </w:rPr>
      </w:pPr>
      <w:bookmarkStart w:id="1641" w:name="_Toc139316411"/>
      <w:r>
        <w:rPr>
          <w:rFonts w:hint="cs"/>
          <w:rtl/>
        </w:rPr>
        <w:t>בי' הדב"א דמוכח בירו' דיש קוצר בבע"ח לענין חולב ורודה דבש ומוכח דהבבלי פליג ע"ז</w:t>
      </w:r>
      <w:bookmarkEnd w:id="1641"/>
    </w:p>
    <w:p w14:paraId="67BC863A" w14:textId="34691815" w:rsidR="000426DE" w:rsidRDefault="000426DE" w:rsidP="00BC7DC8">
      <w:pPr>
        <w:pStyle w:val="a3"/>
      </w:pPr>
      <w:bookmarkStart w:id="1642" w:name="_Ref134647192"/>
      <w:bookmarkStart w:id="1643" w:name="_Ref135149351"/>
      <w:r>
        <w:rPr>
          <w:rFonts w:hint="cs"/>
          <w:rtl/>
        </w:rPr>
        <w:t xml:space="preserve">ועוד כתב </w:t>
      </w:r>
      <w:r w:rsidRPr="002852B7">
        <w:rPr>
          <w:rStyle w:val="aff4"/>
          <w:rFonts w:hint="cs"/>
          <w:vanish/>
          <w:rtl/>
        </w:rPr>
        <w:t>-</w:t>
      </w:r>
      <w:r w:rsidRPr="00C65D8D">
        <w:rPr>
          <w:rStyle w:val="aff4"/>
          <w:rFonts w:hint="cs"/>
          <w:rtl/>
        </w:rPr>
        <w:t>ה</w:t>
      </w:r>
      <w:r w:rsidRPr="002852B7">
        <w:rPr>
          <w:rStyle w:val="aff4"/>
          <w:rFonts w:hint="cs"/>
          <w:vanish/>
          <w:rtl/>
        </w:rPr>
        <w:t>&lt;.</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Ref135149351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ע)</w:t>
      </w:r>
      <w:r>
        <w:rPr>
          <w:rStyle w:val="aff4"/>
          <w:vanish/>
          <w:rtl/>
        </w:rPr>
        <w:fldChar w:fldCharType="end"/>
      </w:r>
      <w:r>
        <w:rPr>
          <w:rStyle w:val="aff4"/>
          <w:rFonts w:hint="cs"/>
          <w:vanish/>
          <w:rtl/>
        </w:rPr>
        <w:t xml:space="preserve"> </w:t>
      </w:r>
      <w:r w:rsidRPr="002852B7">
        <w:rPr>
          <w:rStyle w:val="aff4"/>
          <w:rFonts w:hint="cs"/>
          <w:vanish/>
          <w:rtl/>
        </w:rPr>
        <w:t>&gt;</w:t>
      </w:r>
      <w:r w:rsidRPr="00C65D8D">
        <w:rPr>
          <w:rStyle w:val="aff4"/>
          <w:rFonts w:hint="cs"/>
          <w:rtl/>
        </w:rPr>
        <w:t>דבר אברהם</w:t>
      </w:r>
      <w:r w:rsidRPr="002852B7">
        <w:rPr>
          <w:rStyle w:val="aff4"/>
          <w:rFonts w:hint="cs"/>
          <w:vanish/>
          <w:rtl/>
        </w:rPr>
        <w:t>-</w:t>
      </w:r>
      <w:r>
        <w:rPr>
          <w:rFonts w:hint="cs"/>
          <w:rtl/>
        </w:rPr>
        <w:t xml:space="preserve"> </w:t>
      </w:r>
      <w:r w:rsidRPr="00FB451D">
        <w:rPr>
          <w:rStyle w:val="af2"/>
          <w:rFonts w:eastAsia="Guttman Hodes" w:hint="cs"/>
          <w:rtl/>
        </w:rPr>
        <w:t>(ח"א סי' כ"ד אות י"ג ד"ה אולם)</w:t>
      </w:r>
      <w:r w:rsidRPr="002852B7">
        <w:rPr>
          <w:rFonts w:hint="cs"/>
          <w:vanish/>
          <w:rtl/>
        </w:rPr>
        <w:t>=</w:t>
      </w:r>
      <w:bookmarkEnd w:id="1642"/>
      <w:r>
        <w:rPr>
          <w:rFonts w:hint="cs"/>
          <w:rtl/>
        </w:rPr>
        <w:t xml:space="preserve"> דאף אי נימא דהבבלי לא פליג על סברת הירושלמי דקוצר הוא הפסקת החיות, ואינו רק קצירה ממחובר, </w:t>
      </w:r>
      <w:r w:rsidRPr="007A72D8">
        <w:rPr>
          <w:rStyle w:val="af"/>
          <w:rFonts w:hint="cs"/>
          <w:rtl/>
        </w:rPr>
        <w:t xml:space="preserve">[וכדביאר </w:t>
      </w:r>
      <w:r w:rsidRPr="00394B7E">
        <w:rPr>
          <w:rStyle w:val="aff9"/>
          <w:rFonts w:hint="cs"/>
          <w:vanish/>
          <w:rtl/>
        </w:rPr>
        <w:t>-</w:t>
      </w:r>
      <w:r w:rsidRPr="00394B7E">
        <w:rPr>
          <w:rStyle w:val="aff9"/>
          <w:rFonts w:hint="cs"/>
          <w:rtl/>
        </w:rPr>
        <w:t>ה</w:t>
      </w:r>
      <w:r>
        <w:rPr>
          <w:rStyle w:val="aff9"/>
          <w:rFonts w:hint="cs"/>
          <w:rtl/>
        </w:rPr>
        <w:t>דבר</w:t>
      </w:r>
      <w:r w:rsidRPr="00394B7E">
        <w:rPr>
          <w:rStyle w:val="aff9"/>
          <w:rFonts w:hint="cs"/>
          <w:rtl/>
        </w:rPr>
        <w:t xml:space="preserve"> אברהם</w:t>
      </w:r>
      <w:r w:rsidRPr="00394B7E">
        <w:rPr>
          <w:rStyle w:val="aff9"/>
          <w:rFonts w:hint="cs"/>
          <w:vanish/>
          <w:rtl/>
        </w:rPr>
        <w:t>-</w:t>
      </w:r>
      <w:r w:rsidRPr="007A72D8">
        <w:rPr>
          <w:rStyle w:val="af"/>
          <w:rFonts w:hint="cs"/>
          <w:rtl/>
        </w:rPr>
        <w:t xml:space="preserve"> </w:t>
      </w:r>
      <w:r w:rsidRPr="00394B7E">
        <w:rPr>
          <w:rStyle w:val="aff0"/>
          <w:rFonts w:hint="cs"/>
          <w:rtl/>
        </w:rPr>
        <w:t>(</w:t>
      </w:r>
      <w:r w:rsidRPr="00AB61E9">
        <w:rPr>
          <w:rStyle w:val="aff0"/>
          <w:rFonts w:hint="cs"/>
          <w:rtl/>
        </w:rPr>
        <w:t xml:space="preserve">עי' אות </w:t>
      </w:r>
      <w:r w:rsidRPr="00AB61E9">
        <w:rPr>
          <w:rStyle w:val="aff0"/>
          <w:rtl/>
        </w:rPr>
        <w:fldChar w:fldCharType="begin"/>
      </w:r>
      <w:r w:rsidRPr="00AB61E9">
        <w:rPr>
          <w:rStyle w:val="aff0"/>
          <w:rtl/>
        </w:rPr>
        <w:instrText xml:space="preserve"> </w:instrText>
      </w:r>
      <w:r w:rsidRPr="00AB61E9">
        <w:rPr>
          <w:rStyle w:val="aff0"/>
          <w:rFonts w:hint="cs"/>
        </w:rPr>
        <w:instrText>REF</w:instrText>
      </w:r>
      <w:r w:rsidRPr="00AB61E9">
        <w:rPr>
          <w:rStyle w:val="aff0"/>
          <w:rFonts w:hint="cs"/>
          <w:rtl/>
        </w:rPr>
        <w:instrText xml:space="preserve"> _</w:instrText>
      </w:r>
      <w:r w:rsidRPr="00AB61E9">
        <w:rPr>
          <w:rStyle w:val="aff0"/>
          <w:rFonts w:hint="cs"/>
        </w:rPr>
        <w:instrText>Ref134635635 \r \h</w:instrText>
      </w:r>
      <w:r w:rsidRPr="00AB61E9">
        <w:rPr>
          <w:rStyle w:val="aff0"/>
          <w:rtl/>
        </w:rPr>
        <w:instrText xml:space="preserve"> </w:instrText>
      </w:r>
      <w:r w:rsidRPr="00AB61E9">
        <w:rPr>
          <w:rStyle w:val="aff0"/>
          <w:rtl/>
        </w:rPr>
      </w:r>
      <w:r w:rsidRPr="00AB61E9">
        <w:rPr>
          <w:rStyle w:val="aff0"/>
          <w:rtl/>
        </w:rPr>
        <w:fldChar w:fldCharType="separate"/>
      </w:r>
      <w:r w:rsidR="00D82181">
        <w:rPr>
          <w:rStyle w:val="aff0"/>
          <w:cs/>
        </w:rPr>
        <w:t>‎</w:t>
      </w:r>
      <w:r w:rsidR="00D82181">
        <w:rPr>
          <w:rStyle w:val="aff0"/>
          <w:rtl/>
        </w:rPr>
        <w:t>עז)</w:t>
      </w:r>
      <w:r w:rsidRPr="00AB61E9">
        <w:rPr>
          <w:rStyle w:val="aff0"/>
          <w:rtl/>
        </w:rPr>
        <w:fldChar w:fldCharType="end"/>
      </w:r>
      <w:r>
        <w:rPr>
          <w:rStyle w:val="af"/>
          <w:rFonts w:hint="cs"/>
          <w:rtl/>
        </w:rPr>
        <w:t xml:space="preserve"> </w:t>
      </w:r>
      <w:r w:rsidRPr="007A72D8">
        <w:rPr>
          <w:rStyle w:val="af"/>
          <w:rFonts w:hint="cs"/>
          <w:rtl/>
        </w:rPr>
        <w:t xml:space="preserve">בדעת </w:t>
      </w:r>
      <w:r w:rsidRPr="00394B7E">
        <w:rPr>
          <w:rStyle w:val="aff9"/>
          <w:rFonts w:hint="cs"/>
          <w:vanish/>
          <w:rtl/>
        </w:rPr>
        <w:t>-</w:t>
      </w:r>
      <w:r w:rsidRPr="00394B7E">
        <w:rPr>
          <w:rStyle w:val="aff9"/>
          <w:rFonts w:hint="cs"/>
          <w:rtl/>
        </w:rPr>
        <w:t>רבינו גרשום</w:t>
      </w:r>
      <w:r w:rsidRPr="00394B7E">
        <w:rPr>
          <w:rStyle w:val="aff9"/>
          <w:rFonts w:hint="cs"/>
          <w:vanish/>
          <w:rtl/>
        </w:rPr>
        <w:t>-</w:t>
      </w:r>
      <w:r w:rsidRPr="007A72D8">
        <w:rPr>
          <w:rStyle w:val="af"/>
          <w:rFonts w:hint="cs"/>
          <w:rtl/>
        </w:rPr>
        <w:t>]</w:t>
      </w:r>
      <w:r w:rsidRPr="009C1377">
        <w:rPr>
          <w:rStyle w:val="af"/>
          <w:rFonts w:hint="cs"/>
          <w:rtl/>
        </w:rPr>
        <w:t>,</w:t>
      </w:r>
      <w:r>
        <w:rPr>
          <w:rFonts w:hint="cs"/>
          <w:rtl/>
        </w:rPr>
        <w:t xml:space="preserve"> מ"מ </w:t>
      </w:r>
      <w:bookmarkStart w:id="1644" w:name="_Hlk135306500"/>
      <w:r>
        <w:rPr>
          <w:rFonts w:hint="cs"/>
          <w:rtl/>
        </w:rPr>
        <w:t xml:space="preserve">הא איתא בירושלמי </w:t>
      </w:r>
      <w:r w:rsidRPr="00FB451D">
        <w:rPr>
          <w:rStyle w:val="af2"/>
          <w:rFonts w:eastAsia="Guttman Hodes" w:hint="cs"/>
          <w:rtl/>
        </w:rPr>
        <w:t>(פ"ז ה"ב, נב:)</w:t>
      </w:r>
      <w:r>
        <w:rPr>
          <w:rFonts w:hint="cs"/>
          <w:rtl/>
        </w:rPr>
        <w:t xml:space="preserve"> דלר"א </w:t>
      </w:r>
      <w:r>
        <w:rPr>
          <w:rtl/>
        </w:rPr>
        <w:t>החולב והרודה חלות דבש חייב משום קוצר</w:t>
      </w:r>
      <w:r>
        <w:rPr>
          <w:rFonts w:hint="cs"/>
          <w:rtl/>
        </w:rPr>
        <w:t xml:space="preserve">, </w:t>
      </w:r>
      <w:bookmarkEnd w:id="1644"/>
      <w:r>
        <w:rPr>
          <w:rFonts w:hint="cs"/>
          <w:rtl/>
        </w:rPr>
        <w:t xml:space="preserve">ומוכח דס"ל להירושלמי דיש קוצר בבע"ח, וכבר כ"כ </w:t>
      </w:r>
      <w:r w:rsidRPr="009C1377">
        <w:rPr>
          <w:rStyle w:val="aff4"/>
          <w:rFonts w:hint="cs"/>
          <w:vanish/>
          <w:rtl/>
        </w:rPr>
        <w:t>-</w:t>
      </w:r>
      <w:r w:rsidRPr="003704D9">
        <w:rPr>
          <w:rStyle w:val="aff4"/>
          <w:rFonts w:hint="cs"/>
          <w:rtl/>
        </w:rPr>
        <w:t>המהרי"ט אלגאזי</w:t>
      </w:r>
      <w:r w:rsidRPr="009C1377">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Ref135325795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ו)</w:t>
      </w:r>
      <w:r>
        <w:rPr>
          <w:rStyle w:val="af2"/>
          <w:rFonts w:eastAsia="Guttman Hodes"/>
          <w:rtl/>
        </w:rPr>
        <w:fldChar w:fldCharType="end"/>
      </w:r>
      <w:r>
        <w:rPr>
          <w:rFonts w:hint="cs"/>
          <w:rtl/>
        </w:rPr>
        <w:t>.</w:t>
      </w:r>
      <w:bookmarkEnd w:id="1643"/>
    </w:p>
    <w:p w14:paraId="4676602C" w14:textId="77777777" w:rsidR="000426DE" w:rsidRPr="00747170" w:rsidRDefault="000426DE" w:rsidP="00747170">
      <w:pPr>
        <w:pStyle w:val="a2"/>
        <w:rPr>
          <w:rtl/>
        </w:rPr>
      </w:pPr>
      <w:r w:rsidRPr="00747170">
        <w:rPr>
          <w:rtl/>
        </w:rPr>
        <w:t>[יג] אולם איך שיעלה בידינו לדחוק בדברי הירושלמי אלו ולפרשם באופן שלא יחלוק אשיטתא דגמ' דילן הנה מצינו להירושלמי במק"א מפורש דיש קוצר בבע"ח, והוא בפ' כלל גדול (הלכה ב') דתנינן תמן החולב והרודה חלות דבש חייב חטאת דברי ר"א וחכ"א משום שבות כו' החולב והרודה חלות דבש חייב משום קוצר, הרי לנו מפורש דבבע"ח נמי הוי קוצר ולאו דוקא מן הקרקע ממש.</w:t>
      </w:r>
    </w:p>
    <w:p w14:paraId="4654508D" w14:textId="77777777" w:rsidR="000426DE" w:rsidRPr="009F3082" w:rsidRDefault="000426DE" w:rsidP="00747170">
      <w:pPr>
        <w:pStyle w:val="afffff5"/>
        <w:rPr>
          <w:rtl/>
        </w:rPr>
      </w:pPr>
      <w:r w:rsidRPr="009F3082">
        <w:rPr>
          <w:rStyle w:val="afff7"/>
          <w:rtl/>
        </w:rPr>
        <w:t>וכן יתבאר לן עוד מזה דלדעת רש"י פליג ש"ס דילן אירושלמי דצד נונא בעיקר היסוד וסבר דהבדלת חיות לא הוי קוצר כמש"ל מהא דשולה דגים</w:t>
      </w:r>
      <w:r w:rsidRPr="009F3082">
        <w:rPr>
          <w:rtl/>
        </w:rPr>
        <w:t xml:space="preserve"> דהנה בש"ס דילן בשבת (דף צ"ה ע"א) אמרינן דחולב חייב משום מפרק ופירש"י והוי תולדה דדש ואית דאמרי תולדה דקוצר ולא היא דלאו מחובר הוא אלא פקיד ועקיר וקאי בעטיני הדד עכ"ל. והוא תמוה מאד שדחה שי' האית דאמרי באמת הבנין מסברא בעלמא דחלב פקיד ועקיר והרי מבואר הכי להדיא בירושלמי דחיובו משום קוצר ובע"כ צ"ל דס"ל להירושלמי דלא הוי פקיד ועקיר אלא מחובר דאל"ה לא הוי קוצר, דנהי נמי דס"ל להירושלמי דיש קצירה מבע"ח מ"מ לא עדיפי בע"ח מקרקע ממש וכי היכי דבקרקע אין קצירה אלא בדבר המחובר לה ה"נ בבע"ח אין קצירה אלא בדבר המחובר להם, ואפילו נימא דרש"י ס"ל כהרמב"ן דשיטתא דגמ' דילן דאין קצירה בבע"ח אלא בג"ק ממש מ"מ קשה דבסברא דחלב מחובר הוא לא מצינו לש"ס דילן דפליג ולא הו"ל לרש"י למידחי מהאי טעמא מסברא דנפשיה.</w:t>
      </w:r>
      <w:r w:rsidRPr="009F3082">
        <w:rPr>
          <w:rFonts w:hint="cs"/>
          <w:rtl/>
        </w:rPr>
        <w:t xml:space="preserve"> וכו', </w:t>
      </w:r>
      <w:r w:rsidRPr="009F3082">
        <w:rPr>
          <w:rtl/>
        </w:rPr>
        <w:t>וכן פי' בק"ע דמשו"ה חייב חולב משום קוצר להירושלמי משום שמבדילו מחיותו כמ"ש. ועיי' בש"ק ובגליון שעמדו על דברינו בחלקם</w:t>
      </w:r>
      <w:r w:rsidRPr="009F3082">
        <w:rPr>
          <w:rFonts w:hint="cs"/>
          <w:rtl/>
        </w:rPr>
        <w:t>.</w:t>
      </w:r>
    </w:p>
    <w:p w14:paraId="2BA2FF86" w14:textId="7F0A5CEF" w:rsidR="000426DE" w:rsidRPr="009F3082" w:rsidRDefault="000426DE" w:rsidP="000426DE">
      <w:pPr>
        <w:pStyle w:val="afffff7"/>
        <w:rPr>
          <w:vanish/>
          <w:rtl/>
        </w:rPr>
      </w:pPr>
      <w:bookmarkStart w:id="1645" w:name="_Toc135513739"/>
      <w:r w:rsidRPr="009F3082">
        <w:rPr>
          <w:vanish/>
          <w:rtl/>
        </w:rPr>
        <w:t>קרבן העדה שבת פ"ז הלכה ב</w:t>
      </w:r>
      <w:bookmarkEnd w:id="1645"/>
    </w:p>
    <w:p w14:paraId="27318A67" w14:textId="77777777" w:rsidR="000426DE" w:rsidRPr="00C1373E" w:rsidRDefault="000426DE" w:rsidP="000426DE">
      <w:pPr>
        <w:pStyle w:val="a7"/>
      </w:pPr>
      <w:bookmarkStart w:id="1646" w:name="_Toc139316412"/>
      <w:r>
        <w:rPr>
          <w:rFonts w:hint="cs"/>
          <w:rtl/>
        </w:rPr>
        <w:t>בי' הדב"א בירו' דחולב חייב משום קוצר ובי' הקרבן העדה דמבדילו מחיותו ומבו' דזה גדר קוצר</w:t>
      </w:r>
      <w:bookmarkEnd w:id="1646"/>
    </w:p>
    <w:p w14:paraId="32975946" w14:textId="2A6F8E5B" w:rsidR="000426DE" w:rsidRDefault="000426DE" w:rsidP="00BC7DC8">
      <w:pPr>
        <w:pStyle w:val="a3"/>
      </w:pPr>
      <w:bookmarkStart w:id="1647" w:name="_Ref135149368"/>
      <w:r>
        <w:rPr>
          <w:rFonts w:hint="cs"/>
          <w:rtl/>
        </w:rPr>
        <w:t xml:space="preserve">בהא דאמרינן בגמ' לקמן </w:t>
      </w:r>
      <w:r w:rsidRPr="00FB451D">
        <w:rPr>
          <w:rStyle w:val="af2"/>
          <w:rFonts w:eastAsia="Guttman Hodes" w:hint="cs"/>
          <w:rtl/>
        </w:rPr>
        <w:t>(צה.)</w:t>
      </w:r>
      <w:r>
        <w:rPr>
          <w:rFonts w:hint="cs"/>
          <w:rtl/>
        </w:rPr>
        <w:t xml:space="preserve"> דחולב חייב משום מפרק, הביא </w:t>
      </w:r>
      <w:r w:rsidRPr="00C65D8D">
        <w:rPr>
          <w:rStyle w:val="aff4"/>
          <w:rFonts w:hint="cs"/>
          <w:vanish/>
          <w:rtl/>
        </w:rPr>
        <w:t>-</w:t>
      </w:r>
      <w:r w:rsidRPr="00C65D8D">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Ref135149368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עא)</w:t>
      </w:r>
      <w:r w:rsidRPr="00B53404">
        <w:rPr>
          <w:rStyle w:val="aff4"/>
          <w:vanish/>
          <w:rtl/>
        </w:rPr>
        <w:fldChar w:fldCharType="end"/>
      </w:r>
      <w:r w:rsidRPr="00B53404">
        <w:rPr>
          <w:rStyle w:val="aff4"/>
          <w:rFonts w:hint="cs"/>
          <w:vanish/>
          <w:rtl/>
        </w:rPr>
        <w:t xml:space="preserve"> &gt;</w:t>
      </w:r>
      <w:r w:rsidRPr="00C65D8D">
        <w:rPr>
          <w:rStyle w:val="aff4"/>
          <w:rFonts w:hint="cs"/>
          <w:rtl/>
        </w:rPr>
        <w:t>דבר אברהם</w:t>
      </w:r>
      <w:r w:rsidRPr="00C65D8D">
        <w:rPr>
          <w:rStyle w:val="aff4"/>
          <w:rFonts w:hint="cs"/>
          <w:vanish/>
          <w:rtl/>
        </w:rPr>
        <w:t>-</w:t>
      </w:r>
      <w:r w:rsidRPr="00185C10">
        <w:rPr>
          <w:rStyle w:val="aff4"/>
          <w:rFonts w:hint="cs"/>
          <w:rtl/>
        </w:rPr>
        <w:t xml:space="preserve"> </w:t>
      </w:r>
      <w:r w:rsidRPr="00FB451D">
        <w:rPr>
          <w:rStyle w:val="af2"/>
          <w:rFonts w:eastAsia="Guttman Hodes" w:hint="cs"/>
          <w:rtl/>
        </w:rPr>
        <w:t>(ח"א סי' כ"ד אות י"ג ד"ה אולם)</w:t>
      </w:r>
      <w:r w:rsidRPr="00C65D8D">
        <w:rPr>
          <w:rFonts w:hint="cs"/>
          <w:vanish/>
          <w:rtl/>
        </w:rPr>
        <w:t>=</w:t>
      </w:r>
      <w:r>
        <w:rPr>
          <w:rFonts w:hint="cs"/>
          <w:rtl/>
        </w:rPr>
        <w:t xml:space="preserve"> ד</w:t>
      </w:r>
      <w:r w:rsidRPr="00400CD5">
        <w:rPr>
          <w:rFonts w:hint="cs"/>
          <w:rtl/>
        </w:rPr>
        <w:t xml:space="preserve">בירושלמי </w:t>
      </w:r>
      <w:r w:rsidRPr="00FB451D">
        <w:rPr>
          <w:rStyle w:val="af2"/>
          <w:rFonts w:eastAsia="Guttman Hodes" w:hint="cs"/>
          <w:rtl/>
        </w:rPr>
        <w:t>(פ"ז ה"ב, נב:)</w:t>
      </w:r>
      <w:r w:rsidRPr="0094141D">
        <w:rPr>
          <w:rFonts w:hint="cs"/>
          <w:color w:val="7030A0"/>
          <w:rtl/>
        </w:rPr>
        <w:t xml:space="preserve"> </w:t>
      </w:r>
      <w:r w:rsidRPr="00400CD5">
        <w:rPr>
          <w:rFonts w:hint="cs"/>
          <w:rtl/>
        </w:rPr>
        <w:t>איתא להדיא ד</w:t>
      </w:r>
      <w:r>
        <w:rPr>
          <w:rFonts w:hint="cs"/>
          <w:rtl/>
        </w:rPr>
        <w:t xml:space="preserve">חולב </w:t>
      </w:r>
      <w:r w:rsidRPr="00400CD5">
        <w:rPr>
          <w:rFonts w:hint="cs"/>
          <w:rtl/>
        </w:rPr>
        <w:t>חייב משום קוצר,</w:t>
      </w:r>
      <w:bookmarkEnd w:id="1647"/>
      <w:r w:rsidRPr="00E40D2B">
        <w:rPr>
          <w:rFonts w:hint="cs"/>
          <w:rtl/>
        </w:rPr>
        <w:t xml:space="preserve"> </w:t>
      </w:r>
      <w:r>
        <w:rPr>
          <w:rFonts w:hint="cs"/>
          <w:rtl/>
        </w:rPr>
        <w:t xml:space="preserve">וביאר </w:t>
      </w:r>
      <w:r w:rsidRPr="00C65D8D">
        <w:rPr>
          <w:rStyle w:val="aff4"/>
          <w:rFonts w:hint="cs"/>
          <w:vanish/>
          <w:rtl/>
        </w:rPr>
        <w:t>-</w:t>
      </w:r>
      <w:r w:rsidRPr="00C65D8D">
        <w:rPr>
          <w:rStyle w:val="aff4"/>
          <w:rFonts w:hint="cs"/>
          <w:rtl/>
        </w:rPr>
        <w:t>ה</w:t>
      </w:r>
      <w:r w:rsidRPr="00B53404">
        <w:rPr>
          <w:rStyle w:val="aff4"/>
          <w:rFonts w:hint="cs"/>
          <w:vanish/>
          <w:rtl/>
        </w:rPr>
        <w:t>&lt; &gt;</w:t>
      </w:r>
      <w:r w:rsidRPr="00C65D8D">
        <w:rPr>
          <w:rStyle w:val="aff4"/>
          <w:rFonts w:hint="cs"/>
          <w:rtl/>
        </w:rPr>
        <w:t>קרבן העדה</w:t>
      </w:r>
      <w:r w:rsidRPr="00C65D8D">
        <w:rPr>
          <w:rStyle w:val="aff4"/>
          <w:rFonts w:hint="cs"/>
          <w:vanish/>
          <w:rtl/>
        </w:rPr>
        <w:t>-</w:t>
      </w:r>
      <w:r>
        <w:rPr>
          <w:rFonts w:hint="cs"/>
          <w:rtl/>
        </w:rPr>
        <w:t xml:space="preserve"> </w:t>
      </w:r>
      <w:r w:rsidRPr="00FB451D">
        <w:rPr>
          <w:rStyle w:val="af2"/>
          <w:rFonts w:eastAsia="Guttman Hodes" w:hint="cs"/>
          <w:rtl/>
        </w:rPr>
        <w:t>(פ"ז ה"ב, נב: ד"ה חייב)</w:t>
      </w:r>
      <w:r w:rsidRPr="00C65D8D">
        <w:rPr>
          <w:rFonts w:hint="cs"/>
          <w:vanish/>
          <w:rtl/>
        </w:rPr>
        <w:t>=</w:t>
      </w:r>
      <w:r>
        <w:rPr>
          <w:rFonts w:hint="cs"/>
          <w:rtl/>
        </w:rPr>
        <w:t xml:space="preserve"> דחיוב חולב הוא כיון דמבדילו ממקום חיותו.</w:t>
      </w:r>
    </w:p>
    <w:p w14:paraId="7348B3AF" w14:textId="77777777" w:rsidR="000426DE" w:rsidRPr="00747170" w:rsidRDefault="000426DE" w:rsidP="00747170">
      <w:pPr>
        <w:pStyle w:val="a2"/>
        <w:rPr>
          <w:rtl/>
        </w:rPr>
      </w:pPr>
      <w:r w:rsidRPr="00747170">
        <w:rPr>
          <w:rtl/>
        </w:rPr>
        <w:t>חייב משום קוצר. שכל שמבדיל דבר מחיותו חייב משום קוצר:</w:t>
      </w:r>
    </w:p>
    <w:p w14:paraId="472237EF" w14:textId="3F7F871B" w:rsidR="000426DE" w:rsidRDefault="000426DE" w:rsidP="000426DE">
      <w:pPr>
        <w:pStyle w:val="afffff7"/>
      </w:pPr>
      <w:bookmarkStart w:id="1648" w:name="_Toc135513740"/>
      <w:bookmarkStart w:id="1649" w:name="_Toc163505662"/>
      <w:r>
        <w:rPr>
          <w:rFonts w:hint="cs"/>
          <w:rtl/>
        </w:rPr>
        <w:t xml:space="preserve">דבר אברהם ח"א סי' כ"ד אות י"ג ד"ה </w:t>
      </w:r>
      <w:r w:rsidRPr="003526B4">
        <w:rPr>
          <w:rtl/>
        </w:rPr>
        <w:t>אבל לענ"ד</w:t>
      </w:r>
      <w:bookmarkEnd w:id="1648"/>
      <w:bookmarkEnd w:id="1649"/>
    </w:p>
    <w:p w14:paraId="06C8B34E" w14:textId="77777777" w:rsidR="000426DE" w:rsidRDefault="000426DE" w:rsidP="000426DE">
      <w:pPr>
        <w:pStyle w:val="a7"/>
        <w:rPr>
          <w:rtl/>
        </w:rPr>
      </w:pPr>
      <w:bookmarkStart w:id="1650" w:name="_Toc139316413"/>
      <w:r>
        <w:rPr>
          <w:rFonts w:hint="cs"/>
          <w:rtl/>
        </w:rPr>
        <w:t>דחיית הדב"א דחולב אינו הפסקת חיות ומוכח דמודה הירו' דגדר קוצר הוא גם תלישה ממחובר</w:t>
      </w:r>
      <w:bookmarkEnd w:id="1650"/>
    </w:p>
    <w:p w14:paraId="5C9364E4" w14:textId="06A7116A" w:rsidR="000426DE" w:rsidRPr="003526B4" w:rsidRDefault="000426DE" w:rsidP="00BC7DC8">
      <w:pPr>
        <w:pStyle w:val="a3"/>
      </w:pPr>
      <w:bookmarkStart w:id="1651" w:name="_Ref135415555"/>
      <w:r>
        <w:rPr>
          <w:rFonts w:hint="cs"/>
          <w:rtl/>
        </w:rPr>
        <w:t xml:space="preserve">אך דחה </w:t>
      </w:r>
      <w:r w:rsidRPr="00C65D8D">
        <w:rPr>
          <w:rStyle w:val="aff4"/>
          <w:rFonts w:hint="cs"/>
          <w:vanish/>
          <w:rtl/>
        </w:rPr>
        <w:t>-</w:t>
      </w:r>
      <w:r w:rsidRPr="00C65D8D">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Ref135415555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עב)</w:t>
      </w:r>
      <w:r>
        <w:rPr>
          <w:rStyle w:val="aff4"/>
          <w:vanish/>
          <w:rtl/>
        </w:rPr>
        <w:fldChar w:fldCharType="end"/>
      </w:r>
      <w:r>
        <w:rPr>
          <w:rStyle w:val="aff4"/>
          <w:rFonts w:hint="cs"/>
          <w:vanish/>
          <w:rtl/>
        </w:rPr>
        <w:t xml:space="preserve"> &gt;</w:t>
      </w:r>
      <w:r w:rsidRPr="00C65D8D">
        <w:rPr>
          <w:rStyle w:val="aff4"/>
          <w:rFonts w:hint="cs"/>
          <w:rtl/>
        </w:rPr>
        <w:t>דבר אברהם</w:t>
      </w:r>
      <w:r w:rsidRPr="00C65D8D">
        <w:rPr>
          <w:rStyle w:val="aff4"/>
          <w:rFonts w:hint="cs"/>
          <w:vanish/>
          <w:rtl/>
        </w:rPr>
        <w:t>-</w:t>
      </w:r>
      <w:r>
        <w:rPr>
          <w:rFonts w:hint="cs"/>
          <w:rtl/>
        </w:rPr>
        <w:t xml:space="preserve"> </w:t>
      </w:r>
      <w:r w:rsidRPr="00FB451D">
        <w:rPr>
          <w:rStyle w:val="af2"/>
          <w:rFonts w:eastAsia="Guttman Hodes" w:hint="cs"/>
          <w:rtl/>
        </w:rPr>
        <w:t>(ח"א סי' כ"ד אות י"ג ד"ה אבל לענ"ד)</w:t>
      </w:r>
      <w:r w:rsidRPr="00C65D8D">
        <w:rPr>
          <w:rFonts w:hint="cs"/>
          <w:vanish/>
          <w:rtl/>
        </w:rPr>
        <w:t>=</w:t>
      </w:r>
      <w:r>
        <w:rPr>
          <w:rFonts w:hint="cs"/>
          <w:rtl/>
        </w:rPr>
        <w:t xml:space="preserve"> דא"א לומר דהחולב הוא קוצר מסברת דקיסרין בירושלמי </w:t>
      </w:r>
      <w:r w:rsidRPr="00FB451D">
        <w:rPr>
          <w:rStyle w:val="af2"/>
          <w:rFonts w:eastAsia="Guttman Hodes" w:hint="cs"/>
          <w:rtl/>
        </w:rPr>
        <w:t>(פ"ז ה"ב, מח:)</w:t>
      </w:r>
      <w:r>
        <w:rPr>
          <w:rFonts w:hint="cs"/>
          <w:rtl/>
        </w:rPr>
        <w:t xml:space="preserve"> דכל דבר שמבדילו מחיותו חייב משום קוצר, דהא החיות של החלב אינה </w:t>
      </w:r>
      <w:r>
        <w:rPr>
          <w:rFonts w:hint="cs"/>
          <w:rtl/>
        </w:rPr>
        <w:lastRenderedPageBreak/>
        <w:t xml:space="preserve">תלויה בעטיני הדד, והוא כחלב בכלי, ואדרבה אם לא יחלוב אותו יתקלקל, אלא כתב </w:t>
      </w:r>
      <w:r w:rsidRPr="00C65D8D">
        <w:rPr>
          <w:rStyle w:val="aff4"/>
          <w:rFonts w:hint="cs"/>
          <w:vanish/>
          <w:rtl/>
        </w:rPr>
        <w:t>-</w:t>
      </w:r>
      <w:r w:rsidRPr="00C65D8D">
        <w:rPr>
          <w:rStyle w:val="aff4"/>
          <w:rFonts w:hint="cs"/>
          <w:rtl/>
        </w:rPr>
        <w:t>הדבר אברהם</w:t>
      </w:r>
      <w:r w:rsidRPr="00C65D8D">
        <w:rPr>
          <w:rStyle w:val="aff4"/>
          <w:rFonts w:hint="cs"/>
          <w:vanish/>
          <w:rtl/>
        </w:rPr>
        <w:t>-</w:t>
      </w:r>
      <w:r>
        <w:rPr>
          <w:rFonts w:hint="cs"/>
          <w:rtl/>
        </w:rPr>
        <w:t xml:space="preserve"> דמוכח דס"ל להירושלמי דחלב הוא מחובר ואינו מיפקד פקיד, </w:t>
      </w:r>
      <w:r w:rsidRPr="00EB3683">
        <w:rPr>
          <w:rStyle w:val="af"/>
          <w:rFonts w:hint="cs"/>
          <w:rtl/>
        </w:rPr>
        <w:t xml:space="preserve">[ודלא </w:t>
      </w:r>
      <w:r w:rsidRPr="00EB3683">
        <w:rPr>
          <w:rStyle w:val="aff9"/>
          <w:rFonts w:hint="cs"/>
          <w:vanish/>
          <w:rtl/>
        </w:rPr>
        <w:t>-</w:t>
      </w:r>
      <w:r w:rsidRPr="00EB3683">
        <w:rPr>
          <w:rStyle w:val="aff9"/>
          <w:rFonts w:hint="cs"/>
          <w:rtl/>
        </w:rPr>
        <w:t>כרש"י לקמן</w:t>
      </w:r>
      <w:r w:rsidRPr="00EB3683">
        <w:rPr>
          <w:rStyle w:val="aff9"/>
          <w:rFonts w:hint="cs"/>
          <w:vanish/>
          <w:rtl/>
        </w:rPr>
        <w:t>-</w:t>
      </w:r>
      <w:r w:rsidRPr="00EB3683">
        <w:rPr>
          <w:rStyle w:val="af"/>
          <w:rFonts w:hint="cs"/>
          <w:rtl/>
        </w:rPr>
        <w:t xml:space="preserve"> </w:t>
      </w:r>
      <w:r w:rsidRPr="00EB3683">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Ref135299758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כה)</w:t>
      </w:r>
      <w:r>
        <w:rPr>
          <w:rStyle w:val="aff0"/>
          <w:rtl/>
        </w:rPr>
        <w:fldChar w:fldCharType="end"/>
      </w:r>
      <w:r w:rsidRPr="00EB3683">
        <w:rPr>
          <w:rStyle w:val="af"/>
          <w:rFonts w:hint="cs"/>
          <w:rtl/>
        </w:rPr>
        <w:t>]</w:t>
      </w:r>
      <w:r>
        <w:rPr>
          <w:rStyle w:val="af"/>
          <w:rFonts w:hint="cs"/>
          <w:rtl/>
        </w:rPr>
        <w:t>,</w:t>
      </w:r>
      <w:r w:rsidRPr="00F25A13">
        <w:rPr>
          <w:rFonts w:hint="cs"/>
          <w:rtl/>
        </w:rPr>
        <w:t xml:space="preserve"> </w:t>
      </w:r>
      <w:r>
        <w:rPr>
          <w:rFonts w:hint="cs"/>
          <w:rtl/>
        </w:rPr>
        <w:t xml:space="preserve">ועי' במ"ש </w:t>
      </w:r>
      <w:r w:rsidRPr="00C65D8D">
        <w:rPr>
          <w:rStyle w:val="aff4"/>
          <w:rFonts w:hint="cs"/>
          <w:vanish/>
          <w:rtl/>
        </w:rPr>
        <w:t>-</w:t>
      </w:r>
      <w:r w:rsidRPr="00C65D8D">
        <w:rPr>
          <w:rStyle w:val="aff4"/>
          <w:rFonts w:hint="cs"/>
          <w:rtl/>
        </w:rPr>
        <w:t>ה</w:t>
      </w:r>
      <w:r>
        <w:rPr>
          <w:rStyle w:val="aff4"/>
          <w:rFonts w:hint="cs"/>
          <w:rtl/>
        </w:rPr>
        <w:t>מהרי"ט אלגאזי</w:t>
      </w:r>
      <w:r w:rsidRPr="00C65D8D">
        <w:rPr>
          <w:rStyle w:val="aff4"/>
          <w:rFonts w:hint="cs"/>
          <w:vanish/>
          <w:rtl/>
        </w:rPr>
        <w:t>-</w:t>
      </w:r>
      <w:r>
        <w:rPr>
          <w:rFonts w:hint="cs"/>
          <w:rtl/>
        </w:rPr>
        <w:t xml:space="preserve"> </w:t>
      </w:r>
      <w:r>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Ref135325795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ו)</w:t>
      </w:r>
      <w:r>
        <w:rPr>
          <w:rStyle w:val="af2"/>
          <w:rFonts w:eastAsia="Guttman Hodes"/>
          <w:rtl/>
        </w:rPr>
        <w:fldChar w:fldCharType="end"/>
      </w:r>
      <w:r>
        <w:rPr>
          <w:rFonts w:hint="cs"/>
          <w:rtl/>
        </w:rPr>
        <w:t>.</w:t>
      </w:r>
      <w:bookmarkEnd w:id="1651"/>
    </w:p>
    <w:p w14:paraId="1D926974" w14:textId="77777777" w:rsidR="000426DE" w:rsidRPr="00747170" w:rsidRDefault="000426DE" w:rsidP="00747170">
      <w:pPr>
        <w:pStyle w:val="a2"/>
        <w:rPr>
          <w:rtl/>
        </w:rPr>
      </w:pPr>
      <w:r w:rsidRPr="00747170">
        <w:rPr>
          <w:rtl/>
        </w:rPr>
        <w:t>אבל לענ"ד נראה דא"א לפרש קוצר דחולב משום מבדילו מחיותו כצד נונא דשאני התם שחיות הדגים תלוי במים אבל האי חלב במה חיותו תלויה בעטיני הדד הרי הוי כחלב שבכלי ואדרבא אם לא יחלבוהו וישהה יתקלקל. ואין לומר דמ"מ מיקרי מבדילו מחיותו משום דברייתו וגידולו היה בעטיני הדד דא"כ דש נמי ליחייב משום קוצר שהגרעינים גדלו במוץ שלהן וזה מקום ברייתן. וגדולה מזו כתב היש"ש בביצה פ' אין צדין וז"ל ומ"מ נ"ל דוקא בביבר שהדגים שטין במים כמו בבריכה ואוכלים מעפר הארץ ועשבים ע"כ הצד אותם הוי כעוקר אותם ממקום גידולם ומ"ה אמרינן נמי בירושלמי פ' כלל גדול רבנן דקסרין אמרי הדין דצייד כוורא כו' ומ"מ דוקא בביברין שהן על הארץ אבל מה שיש ארגז מנוקב בתוך המים לא שייך בהו צידה כלל ושרי ביום טוב לצוד מהם יעוש"ה. ואף על פי שדבריו תמוהים לכאורה דא"כ הצד בהמה וחיה ממקום מרעיתם ליחייב משום עוקר דבר מגידולו, צ"ל דלא קאמר לה אלא בכוורא דעיקר החיוב של עוקר דבר מגידולו שיש בהם הוא באמת רק בשביל המים שהם חיים בתוכם ולא בשביל מה שאוכלים מעפר הארץ ועשבים, אלא היש"ש בא למעט מדעתי' דנפשי' שאין המים מועילים למישווי' לעוקר דבר מגידולו אא"כ היו בהם גם עשבים כדי חיותם אבל אם אין בהם עשבים לא מהני מים לחוד ולא הוי עוקר דבר מגידולו, אבל הא מיהא ודאי דמקום מזונות לחוד לא הוי כמקום חיותו עכ"פ הרי חזינן דלא חשיב עוקר דבר מגידולו כשמוציא ממקום שהיה גדל ורבה שם אלא כשמוציא ממה שחיותו תלויה בו ולא יפה מדמי לה בעל ק"ע קוצר דחול</w:t>
      </w:r>
      <w:r w:rsidRPr="00747170">
        <w:rPr>
          <w:rFonts w:hint="cs"/>
          <w:rtl/>
        </w:rPr>
        <w:t>ב</w:t>
      </w:r>
      <w:r w:rsidRPr="00747170">
        <w:rPr>
          <w:rtl/>
        </w:rPr>
        <w:t xml:space="preserve"> לקוצר דצד כוורא ולא מן השם הוא והשתא בע"כ צ"ל דהירושלמי ס"ל דכשם שדם חבורי מיחבר כדאמרינן בשבת (דף קל"ג ע"ב) מהו דתימא דם מיפקד פקיד קמ"ל דדם חבורי מיחבר ה"נ חלב חבורי מיחבר וא"כ הוי עוקר ממקום חיבורו ממש. ומה שחייב בחלות דבש משום קוצר אף על גב דבודאי אינו מחובר היינו משום דאמרינן בש"ס דילן וכי מה ענין דבש אצל יער אלא לומר לך כו' ולכן גם החיוב הוי משום קוצר כיער. ולפי"ז קשה טובא על רש"י ז"ל שדחה להאית דאמרי מסברא דנפשיה דחלב פקיד ועקיר והרי מבואר בירושלמי דהוי מחובר ולפלפולא בעלמא י"ל דהא דחלב מיפקד פקיד או חבורי מיחבר תליא, בפלוגתא דר"מ ור"י בנדה (דף ט') דר"מ ס"ל דם נעכר ונעשה חלב ור"י פליג, והא דסבר הירושלמי דחלב חבורי מיחבר היינו טעמיה משום דדם נעכר ונעשה חלב והלכך כשם שדם עצמו חבורי מיחבר כמ"ש ה"נ חלב שנעשה ממנו הוי מחובר אבל לר"י דחלב מילתא אחריתא הוא ואינו שייך כלל לדם [יעו"ש בפירש"י ורבנן אמר ר' יוחנן כלומר ורבנן האי קרא מאי עבדי ליה כו'] אה"נ דלא הוי מחובר, ומשו"ה כיון דאנן קיי"ל דלא כר"מ, דהרי פסקינן דמניקה שמת בנה דיה שעתה כל כ"ד חדש ואם היתה מניקתו ארבע וחמש שנים מטמאה מעת לעת ומפקידה לפקידה כמבואר ברמב"ם (פ"ד מהלכות מטמאי מו"מ ה"א) ובשו"ע יו"ד (סי' קפ"ט סל"ג) ואמרינן התם בסוגיא כשתמצא לומר לדברי ר"מ דם נעכר ונעשה חלב לדברי ר"י כו' אבריה מתפרקין כו',* והכא קיי"ל כר"א דחולב חייב חטאת לכן ס"ל לרש"י דלא הוי משום קוצר לדר"י דקיי"ל כוותיה חלב מיפקד פקיד ותקשה הלכתא אהלכתא, אבל הירושלמי י"ל דס"ל דהלכה כר"מ או דמוקים לה דר"א דחולב סבר כר"מ דדם נעכר כו' אמנם זהו רק לפלפולא אבל לקושטא דמילתא דברי רש"י ז"ל צע"ג דשיטת האית דאמרי היא שיטת הירושלמי והוא ז"ל דחאה בשתי ידים מסברא גרידא:</w:t>
      </w:r>
    </w:p>
    <w:p w14:paraId="14E44CD4" w14:textId="2E633E76" w:rsidR="000426DE" w:rsidRDefault="000426DE" w:rsidP="000426DE">
      <w:pPr>
        <w:pStyle w:val="afffff7"/>
      </w:pPr>
      <w:bookmarkStart w:id="1652" w:name="_Toc135513741"/>
      <w:bookmarkStart w:id="1653" w:name="_Toc163505663"/>
      <w:r>
        <w:rPr>
          <w:rFonts w:hint="cs"/>
          <w:rtl/>
        </w:rPr>
        <w:t>דבר אברהם ח"א סי' כ"ד אות י"ד ד"ה ועפי"ז</w:t>
      </w:r>
      <w:bookmarkEnd w:id="1652"/>
      <w:bookmarkEnd w:id="1653"/>
    </w:p>
    <w:p w14:paraId="156411A6" w14:textId="77777777" w:rsidR="000426DE" w:rsidRDefault="000426DE" w:rsidP="000426DE">
      <w:pPr>
        <w:pStyle w:val="a7"/>
        <w:rPr>
          <w:rtl/>
        </w:rPr>
      </w:pPr>
      <w:bookmarkStart w:id="1654" w:name="_Toc139316414"/>
      <w:r>
        <w:rPr>
          <w:rFonts w:hint="cs"/>
          <w:rtl/>
        </w:rPr>
        <w:t>בי' הדב"א בירו' דקוצר הוא הבדלת חיות וגם תלישה ממחובר שלא בגידו"ק או דבהמה גידו"ק</w:t>
      </w:r>
      <w:bookmarkEnd w:id="1654"/>
    </w:p>
    <w:p w14:paraId="3B05BC5C" w14:textId="5B1CA91B" w:rsidR="000426DE" w:rsidRDefault="000426DE" w:rsidP="00BC7DC8">
      <w:pPr>
        <w:pStyle w:val="a3"/>
      </w:pPr>
      <w:bookmarkStart w:id="1655" w:name="_Ref135513254"/>
      <w:r>
        <w:rPr>
          <w:rFonts w:hint="cs"/>
          <w:rtl/>
        </w:rPr>
        <w:t xml:space="preserve">אלא כתב </w:t>
      </w:r>
      <w:r w:rsidRPr="00C65D8D">
        <w:rPr>
          <w:rStyle w:val="aff4"/>
          <w:rFonts w:hint="cs"/>
          <w:vanish/>
          <w:rtl/>
        </w:rPr>
        <w:t>-</w:t>
      </w:r>
      <w:r w:rsidRPr="00C65D8D">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Ref135513254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עג)</w:t>
      </w:r>
      <w:r>
        <w:rPr>
          <w:rStyle w:val="aff4"/>
          <w:vanish/>
          <w:rtl/>
        </w:rPr>
        <w:fldChar w:fldCharType="end"/>
      </w:r>
      <w:r>
        <w:rPr>
          <w:rStyle w:val="aff4"/>
          <w:rFonts w:hint="cs"/>
          <w:vanish/>
          <w:rtl/>
        </w:rPr>
        <w:t xml:space="preserve"> &gt;</w:t>
      </w:r>
      <w:r>
        <w:rPr>
          <w:rStyle w:val="aff4"/>
          <w:rFonts w:hint="cs"/>
          <w:rtl/>
        </w:rPr>
        <w:t>ד</w:t>
      </w:r>
      <w:r w:rsidRPr="00C65D8D">
        <w:rPr>
          <w:rStyle w:val="aff4"/>
          <w:rFonts w:hint="cs"/>
          <w:rtl/>
        </w:rPr>
        <w:t>בר אברהם</w:t>
      </w:r>
      <w:r w:rsidRPr="00C65D8D">
        <w:rPr>
          <w:rStyle w:val="aff4"/>
          <w:rFonts w:hint="cs"/>
          <w:vanish/>
          <w:rtl/>
        </w:rPr>
        <w:t>-</w:t>
      </w:r>
      <w:r>
        <w:rPr>
          <w:rFonts w:hint="cs"/>
          <w:rtl/>
        </w:rPr>
        <w:t xml:space="preserve"> </w:t>
      </w:r>
      <w:r w:rsidRPr="00FB451D">
        <w:rPr>
          <w:rStyle w:val="af2"/>
          <w:rFonts w:eastAsia="Guttman Hodes" w:hint="cs"/>
          <w:rtl/>
        </w:rPr>
        <w:t>(ח"א סי' כ"ד אות י"ד ד"ה ועפי"ז)</w:t>
      </w:r>
      <w:r w:rsidRPr="00C65D8D">
        <w:rPr>
          <w:rFonts w:hint="cs"/>
          <w:vanish/>
          <w:rtl/>
        </w:rPr>
        <w:t>=</w:t>
      </w:r>
      <w:r>
        <w:rPr>
          <w:rFonts w:hint="cs"/>
          <w:rtl/>
        </w:rPr>
        <w:t xml:space="preserve"> דמבואר מדברי הירושלמי </w:t>
      </w:r>
      <w:r w:rsidRPr="00FB451D">
        <w:rPr>
          <w:rStyle w:val="af2"/>
          <w:rFonts w:eastAsia="Guttman Hodes" w:hint="cs"/>
          <w:rtl/>
        </w:rPr>
        <w:t>(פ"ז ה"ב, נב:)</w:t>
      </w:r>
      <w:r w:rsidRPr="0094141D">
        <w:rPr>
          <w:rFonts w:hint="cs"/>
          <w:color w:val="7030A0"/>
          <w:rtl/>
        </w:rPr>
        <w:t xml:space="preserve"> </w:t>
      </w:r>
      <w:r>
        <w:rPr>
          <w:rFonts w:hint="cs"/>
          <w:rtl/>
        </w:rPr>
        <w:t xml:space="preserve">דמחייב בחולב משום קוצר, אינו מסברת רבנן דקיסרין בירושלמי </w:t>
      </w:r>
      <w:r w:rsidRPr="00FB451D">
        <w:rPr>
          <w:rStyle w:val="af2"/>
          <w:rFonts w:eastAsia="Guttman Hodes" w:hint="cs"/>
          <w:rtl/>
        </w:rPr>
        <w:t>(פ"ז ה"ב, מח:)</w:t>
      </w:r>
      <w:r>
        <w:rPr>
          <w:rFonts w:hint="cs"/>
          <w:rtl/>
        </w:rPr>
        <w:t xml:space="preserve"> דהצד דגים וכל דבר שמבדילו מחיותו, חייב משום קוצר, אלא דקוצר הוא כשקוצר את הדבר ממה שהוא מחובר לו, ולדעת </w:t>
      </w:r>
      <w:r w:rsidRPr="00C65D8D">
        <w:rPr>
          <w:rStyle w:val="aff4"/>
          <w:rFonts w:hint="cs"/>
          <w:vanish/>
          <w:rtl/>
        </w:rPr>
        <w:t>-</w:t>
      </w:r>
      <w:r w:rsidRPr="00C65D8D">
        <w:rPr>
          <w:rStyle w:val="aff4"/>
          <w:rFonts w:hint="cs"/>
          <w:rtl/>
        </w:rPr>
        <w:t>הרמב"ן</w:t>
      </w:r>
      <w:r w:rsidRPr="00C65D8D">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Ref134521888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כא)</w:t>
      </w:r>
      <w:r>
        <w:rPr>
          <w:rStyle w:val="af2"/>
          <w:rFonts w:eastAsia="Guttman Hodes"/>
          <w:rtl/>
        </w:rPr>
        <w:fldChar w:fldCharType="end"/>
      </w:r>
      <w:r>
        <w:rPr>
          <w:rFonts w:hint="cs"/>
          <w:rtl/>
        </w:rPr>
        <w:t xml:space="preserve"> צריך לקצור גם מגידולי קרקע או מהקרקע עצמה, וחולב הוא קוצר את החלב מהבהמה שהחלב מחובר לה, וס"ל להירושלמי דחיוב קוצר אינו רק מגידולי קרקע, או דס"ל דבהמה חשיבא כגידולי קרקע, ובשולה דגים אעפ"י שאינו מחובר ממש למים, וחסר בזה את עיקר מלאכת קוצר, מ"מ לדעת הירושלמי יש סברא נוספת לחייבו משום קוצר, כיון דמבדילו מחיותו.</w:t>
      </w:r>
      <w:bookmarkEnd w:id="1655"/>
    </w:p>
    <w:p w14:paraId="6617F1F5" w14:textId="77777777" w:rsidR="000426DE" w:rsidRPr="00747170" w:rsidRDefault="000426DE" w:rsidP="00747170">
      <w:pPr>
        <w:pStyle w:val="a2"/>
        <w:rPr>
          <w:rtl/>
        </w:rPr>
      </w:pPr>
      <w:r w:rsidRPr="00747170">
        <w:rPr>
          <w:rtl/>
        </w:rPr>
        <w:t>[יד] ועפי"ז מתבאר דתרי מילי חדית לן הירושלמי ואין חידושו של קוצר דחולב כחידושו של קוצר דצד נונא. דבקצירה בעינן שיהא דבר הנקצר מחובר אל מה שנקצר ממנו ולשיטת הרמב"ן בעינן עוד שיהא דבר הנקצר גם ג"ק או שיקצרוהו מן הקרקע ממש. והנה לפמ"ש למעלה בביאור הירושלמי דחולב הוי החלב מחובר ממש לבהמה וכשחולבו הרי הוא עוקר מן המחובר אלא שהחסרון הוא רק במה שאינו ג"ק או במה שאינו קוצרו מן הקרקע עצמה ובזה חדית לן הירושלמי דלא בעינן ג"ק או דבע"ח נמי הוו ג"ק, אבל בקוצר דצד נונא מלבד מה שאינו ג"ק ממש אין כאן גם קצירה ממקום חיבור שבאמת אינו מחובר ממש למה שנקצר ממנו היינו המים ועיקר מלאכת הקוצר חסר כאן ובזה חדית לן הירושלמי עוד דמקום חיותו הוי כחיבור ממש וכשמבדילו חשיב קוצר.</w:t>
      </w:r>
      <w:r w:rsidRPr="00747170">
        <w:rPr>
          <w:rFonts w:hint="cs"/>
          <w:rtl/>
        </w:rPr>
        <w:t xml:space="preserve"> </w:t>
      </w:r>
    </w:p>
    <w:p w14:paraId="3FAA2A5B" w14:textId="32F8A435" w:rsidR="000426DE" w:rsidRPr="002852B7" w:rsidRDefault="000426DE" w:rsidP="000426DE">
      <w:pPr>
        <w:pStyle w:val="1"/>
        <w:rPr>
          <w:rtl/>
        </w:rPr>
      </w:pPr>
      <w:bookmarkStart w:id="1656" w:name="_Toc139316415"/>
      <w:r>
        <w:rPr>
          <w:rFonts w:hint="cs"/>
          <w:rtl/>
        </w:rPr>
        <w:t>בי' הדב"א דנח' הראשונים אי הבבלי מודה לירו' בהפסקת חיות</w:t>
      </w:r>
      <w:bookmarkEnd w:id="1656"/>
    </w:p>
    <w:p w14:paraId="7E27C38A" w14:textId="77777777" w:rsidR="000426DE" w:rsidRDefault="000426DE" w:rsidP="000426DE">
      <w:pPr>
        <w:pStyle w:val="afffff7"/>
        <w:rPr>
          <w:rtl/>
        </w:rPr>
      </w:pPr>
      <w:bookmarkStart w:id="1657" w:name="_Toc135513742"/>
      <w:bookmarkStart w:id="1658" w:name="_Toc163505664"/>
      <w:r w:rsidRPr="007E7D84">
        <w:rPr>
          <w:rtl/>
        </w:rPr>
        <w:t>דבר אברהם ח</w:t>
      </w:r>
      <w:r>
        <w:rPr>
          <w:rFonts w:hint="cs"/>
          <w:rtl/>
        </w:rPr>
        <w:t>"</w:t>
      </w:r>
      <w:r w:rsidRPr="007E7D84">
        <w:rPr>
          <w:rtl/>
        </w:rPr>
        <w:t xml:space="preserve">א </w:t>
      </w:r>
      <w:r>
        <w:rPr>
          <w:rtl/>
        </w:rPr>
        <w:t>סי' כ"ד</w:t>
      </w:r>
      <w:r w:rsidRPr="007E7D84">
        <w:rPr>
          <w:rFonts w:hint="cs"/>
          <w:rtl/>
        </w:rPr>
        <w:t xml:space="preserve"> אות י"</w:t>
      </w:r>
      <w:r>
        <w:rPr>
          <w:rFonts w:hint="cs"/>
          <w:rtl/>
        </w:rPr>
        <w:t>ב</w:t>
      </w:r>
      <w:r w:rsidRPr="007E7D84">
        <w:rPr>
          <w:rFonts w:hint="cs"/>
          <w:rtl/>
        </w:rPr>
        <w:t xml:space="preserve"> ד"ה </w:t>
      </w:r>
      <w:r>
        <w:rPr>
          <w:rFonts w:hint="cs"/>
          <w:rtl/>
        </w:rPr>
        <w:t>ועוד</w:t>
      </w:r>
      <w:bookmarkEnd w:id="1657"/>
      <w:bookmarkEnd w:id="1658"/>
    </w:p>
    <w:p w14:paraId="56858735" w14:textId="77777777" w:rsidR="000426DE" w:rsidRDefault="000426DE" w:rsidP="000426DE">
      <w:pPr>
        <w:pStyle w:val="a7"/>
        <w:rPr>
          <w:rtl/>
        </w:rPr>
      </w:pPr>
      <w:bookmarkStart w:id="1659" w:name="_Toc139316416"/>
      <w:r>
        <w:rPr>
          <w:rFonts w:hint="cs"/>
          <w:rtl/>
        </w:rPr>
        <w:t>בי' הדב"א דמהא דלבבלי החיוב בדג רק ביבש כסלע מוכח דפליג על הירו' דחייב בקוצר מיד</w:t>
      </w:r>
      <w:bookmarkEnd w:id="1659"/>
    </w:p>
    <w:p w14:paraId="5BA0E2AE" w14:textId="03A192BF" w:rsidR="000426DE" w:rsidRDefault="000426DE" w:rsidP="00BC7DC8">
      <w:pPr>
        <w:pStyle w:val="a3"/>
        <w:rPr>
          <w:rtl/>
        </w:rPr>
      </w:pPr>
      <w:bookmarkStart w:id="1660" w:name="_Ref134634917"/>
      <w:r>
        <w:rPr>
          <w:rFonts w:hint="cs"/>
          <w:rtl/>
        </w:rPr>
        <w:t xml:space="preserve">במ"ש </w:t>
      </w:r>
      <w:r w:rsidRPr="00C65D8D">
        <w:rPr>
          <w:rStyle w:val="aff4"/>
          <w:rFonts w:hint="cs"/>
          <w:vanish/>
          <w:rtl/>
        </w:rPr>
        <w:t>-</w:t>
      </w:r>
      <w:r w:rsidRPr="00C65D8D">
        <w:rPr>
          <w:rStyle w:val="aff4"/>
          <w:rFonts w:hint="cs"/>
          <w:rtl/>
        </w:rPr>
        <w:t>הרמב"ן</w:t>
      </w:r>
      <w:r w:rsidRPr="00C65D8D">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Ref135380071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ד)</w:t>
      </w:r>
      <w:r>
        <w:rPr>
          <w:rStyle w:val="af2"/>
          <w:rFonts w:eastAsia="Guttman Hodes"/>
          <w:rtl/>
        </w:rPr>
        <w:fldChar w:fldCharType="end"/>
      </w:r>
      <w:r>
        <w:rPr>
          <w:rFonts w:hint="cs"/>
          <w:rtl/>
        </w:rPr>
        <w:t xml:space="preserve"> דהבבלי פליג על הירושלמי וס"ל דקוצר הוא רק בגידולי קרקע, אבל דבר שמפסיקו מחיותו כשולה דג מן הים אין בו איסור קוצר, כתב </w:t>
      </w:r>
      <w:r w:rsidRPr="00C65D8D">
        <w:rPr>
          <w:rStyle w:val="aff4"/>
          <w:rFonts w:hint="cs"/>
          <w:vanish/>
          <w:rtl/>
        </w:rPr>
        <w:t>-</w:t>
      </w:r>
      <w:r w:rsidRPr="00C65D8D">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Ref134634917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עד)</w:t>
      </w:r>
      <w:r w:rsidRPr="00B53404">
        <w:rPr>
          <w:rStyle w:val="aff4"/>
          <w:vanish/>
          <w:rtl/>
        </w:rPr>
        <w:fldChar w:fldCharType="end"/>
      </w:r>
      <w:r w:rsidRPr="00B53404">
        <w:rPr>
          <w:rStyle w:val="aff4"/>
          <w:rFonts w:hint="cs"/>
          <w:vanish/>
          <w:rtl/>
        </w:rPr>
        <w:t xml:space="preserve"> &gt;</w:t>
      </w:r>
      <w:r w:rsidRPr="00C65D8D">
        <w:rPr>
          <w:rStyle w:val="aff4"/>
          <w:rFonts w:hint="cs"/>
          <w:rtl/>
        </w:rPr>
        <w:t>דבר אברהם</w:t>
      </w:r>
      <w:r w:rsidRPr="00C65D8D">
        <w:rPr>
          <w:rStyle w:val="aff4"/>
          <w:rFonts w:hint="cs"/>
          <w:vanish/>
          <w:rtl/>
        </w:rPr>
        <w:t>-</w:t>
      </w:r>
      <w:r>
        <w:rPr>
          <w:rFonts w:hint="cs"/>
          <w:rtl/>
        </w:rPr>
        <w:t xml:space="preserve"> </w:t>
      </w:r>
      <w:r w:rsidRPr="00FB451D">
        <w:rPr>
          <w:rStyle w:val="af2"/>
          <w:rFonts w:eastAsia="Guttman Hodes" w:hint="cs"/>
          <w:rtl/>
        </w:rPr>
        <w:t>(ח"א סי' כ"ד אות י"ב ד"ה ועוד)</w:t>
      </w:r>
      <w:r w:rsidRPr="00C65D8D">
        <w:rPr>
          <w:rFonts w:hint="cs"/>
          <w:vanish/>
          <w:rtl/>
        </w:rPr>
        <w:t>=</w:t>
      </w:r>
      <w:r>
        <w:rPr>
          <w:rFonts w:hint="cs"/>
          <w:rtl/>
        </w:rPr>
        <w:t xml:space="preserve"> דאף להחולקים </w:t>
      </w:r>
      <w:r w:rsidRPr="00FB2347">
        <w:rPr>
          <w:rStyle w:val="af"/>
          <w:rFonts w:hint="cs"/>
          <w:rtl/>
        </w:rPr>
        <w:t>[</w:t>
      </w:r>
      <w:r w:rsidRPr="00065BDB">
        <w:rPr>
          <w:rStyle w:val="aff9"/>
          <w:rFonts w:hint="cs"/>
          <w:vanish/>
          <w:rtl/>
        </w:rPr>
        <w:t>-</w:t>
      </w:r>
      <w:r w:rsidRPr="00FB2347">
        <w:rPr>
          <w:rStyle w:val="aff9"/>
          <w:rFonts w:hint="cs"/>
          <w:rtl/>
        </w:rPr>
        <w:t>תוס'</w:t>
      </w:r>
      <w:r w:rsidRPr="00065BDB">
        <w:rPr>
          <w:rStyle w:val="aff9"/>
          <w:rFonts w:hint="cs"/>
          <w:vanish/>
          <w:rtl/>
        </w:rPr>
        <w:t>-</w:t>
      </w:r>
      <w:r w:rsidRPr="00FB2347">
        <w:rPr>
          <w:rStyle w:val="af"/>
          <w:rFonts w:hint="cs"/>
          <w:rtl/>
        </w:rPr>
        <w:t xml:space="preserve"> </w:t>
      </w:r>
      <w:r w:rsidRPr="00FB451D">
        <w:rPr>
          <w:rStyle w:val="af2"/>
          <w:rFonts w:eastAsia="Guttman Rashi" w:hint="cs"/>
          <w:rtl/>
        </w:rPr>
        <w:t>(</w:t>
      </w:r>
      <w:r>
        <w:rPr>
          <w:rStyle w:val="af2"/>
          <w:rFonts w:eastAsia="Guttman Rashi" w:hint="cs"/>
          <w:rtl/>
        </w:rPr>
        <w:t>ד"ה מפרק, צה. ד"ה החולב</w:t>
      </w:r>
      <w:r w:rsidRPr="00FB451D">
        <w:rPr>
          <w:rStyle w:val="af2"/>
          <w:rFonts w:eastAsia="Guttman Rashi" w:hint="cs"/>
          <w:rtl/>
        </w:rPr>
        <w:t>)</w:t>
      </w:r>
      <w:r w:rsidRPr="00FB2347">
        <w:rPr>
          <w:rStyle w:val="af"/>
          <w:rFonts w:hint="cs"/>
          <w:rtl/>
        </w:rPr>
        <w:t xml:space="preserve"> </w:t>
      </w:r>
      <w:r>
        <w:rPr>
          <w:rStyle w:val="af"/>
          <w:rFonts w:hint="cs"/>
          <w:rtl/>
        </w:rPr>
        <w:t>כדביאר</w:t>
      </w:r>
      <w:r w:rsidRPr="00FB2347">
        <w:rPr>
          <w:rStyle w:val="af"/>
          <w:rFonts w:hint="cs"/>
          <w:rtl/>
        </w:rPr>
        <w:t xml:space="preserve"> </w:t>
      </w:r>
      <w:r w:rsidRPr="00065BDB">
        <w:rPr>
          <w:rStyle w:val="aff9"/>
          <w:rFonts w:hint="cs"/>
          <w:vanish/>
          <w:rtl/>
        </w:rPr>
        <w:t>-</w:t>
      </w:r>
      <w:r>
        <w:rPr>
          <w:rStyle w:val="aff9"/>
          <w:rFonts w:hint="cs"/>
          <w:rtl/>
        </w:rPr>
        <w:t>ה</w:t>
      </w:r>
      <w:r w:rsidRPr="00FB2347">
        <w:rPr>
          <w:rStyle w:val="aff9"/>
          <w:rFonts w:hint="cs"/>
          <w:rtl/>
        </w:rPr>
        <w:t>דבר אברהם</w:t>
      </w:r>
      <w:r w:rsidRPr="00065BDB">
        <w:rPr>
          <w:rStyle w:val="aff9"/>
          <w:rFonts w:hint="cs"/>
          <w:vanish/>
          <w:rtl/>
        </w:rPr>
        <w:t>-</w:t>
      </w:r>
      <w:r w:rsidRPr="00FB2347">
        <w:rPr>
          <w:rStyle w:val="af"/>
          <w:rFonts w:hint="cs"/>
          <w:rtl/>
        </w:rPr>
        <w:t xml:space="preserve"> </w:t>
      </w:r>
      <w:r w:rsidRPr="004D5911">
        <w:rPr>
          <w:rStyle w:val="aff0"/>
          <w:rFonts w:hint="cs"/>
          <w:rtl/>
        </w:rPr>
        <w:t>(ח"א סי' כ"ד אות ב')</w:t>
      </w:r>
      <w:r w:rsidRPr="00FB2347">
        <w:rPr>
          <w:rStyle w:val="af"/>
          <w:rFonts w:hint="cs"/>
          <w:rtl/>
        </w:rPr>
        <w:t>]</w:t>
      </w:r>
      <w:r>
        <w:rPr>
          <w:rFonts w:hint="cs"/>
          <w:rtl/>
        </w:rPr>
        <w:t xml:space="preserve"> על </w:t>
      </w:r>
      <w:r w:rsidRPr="00C65D8D">
        <w:rPr>
          <w:rStyle w:val="aff4"/>
          <w:rFonts w:hint="cs"/>
          <w:vanish/>
          <w:rtl/>
        </w:rPr>
        <w:t>-</w:t>
      </w:r>
      <w:r w:rsidRPr="00C65D8D">
        <w:rPr>
          <w:rStyle w:val="aff4"/>
          <w:rFonts w:hint="cs"/>
          <w:rtl/>
        </w:rPr>
        <w:t>הרמב"ן</w:t>
      </w:r>
      <w:r w:rsidRPr="00C65D8D">
        <w:rPr>
          <w:rStyle w:val="aff4"/>
          <w:rFonts w:hint="cs"/>
          <w:vanish/>
          <w:rtl/>
        </w:rPr>
        <w:t>-</w:t>
      </w:r>
      <w:r>
        <w:rPr>
          <w:rFonts w:hint="cs"/>
          <w:rtl/>
        </w:rPr>
        <w:t xml:space="preserve"> </w:t>
      </w:r>
      <w:r>
        <w:rPr>
          <w:rStyle w:val="af2"/>
          <w:rFonts w:eastAsia="Guttman Hodes" w:hint="cs"/>
          <w:rtl/>
        </w:rPr>
        <w:t xml:space="preserve">(עי' </w:t>
      </w:r>
      <w:r w:rsidRPr="00FB451D">
        <w:rPr>
          <w:rStyle w:val="af2"/>
          <w:rFonts w:eastAsia="Guttman Hodes" w:hint="cs"/>
          <w:rtl/>
        </w:rPr>
        <w:t xml:space="preserve">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Ref134521888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כא)</w:t>
      </w:r>
      <w:r>
        <w:rPr>
          <w:rStyle w:val="af2"/>
          <w:rFonts w:eastAsia="Guttman Hodes"/>
          <w:rtl/>
        </w:rPr>
        <w:fldChar w:fldCharType="end"/>
      </w:r>
      <w:r>
        <w:rPr>
          <w:rFonts w:hint="cs"/>
          <w:rtl/>
        </w:rPr>
        <w:t xml:space="preserve"> וס"ל דאף להבבלי יש קוצר בדבר שאינו גידולי קרקע, מ"מ בהא דס"ל לרבנן דקיסרין בירושלמי דשולה דג מן הים חייב משום קוצר, מוכח דהבבלי פליג, דהא אמר שמואל לקמן </w:t>
      </w:r>
      <w:r w:rsidRPr="00FB451D">
        <w:rPr>
          <w:rStyle w:val="af2"/>
          <w:rFonts w:eastAsia="Guttman Hodes" w:hint="cs"/>
          <w:rtl/>
        </w:rPr>
        <w:t>(קז:)</w:t>
      </w:r>
      <w:r>
        <w:rPr>
          <w:rFonts w:hint="cs"/>
          <w:rtl/>
        </w:rPr>
        <w:t xml:space="preserve"> דהשולה דג מן הים כיון שיבש בו כסלע חייב, וביארו </w:t>
      </w:r>
      <w:r w:rsidRPr="00C65D8D">
        <w:rPr>
          <w:rStyle w:val="aff4"/>
          <w:rFonts w:hint="cs"/>
          <w:vanish/>
          <w:rtl/>
        </w:rPr>
        <w:t>-</w:t>
      </w:r>
      <w:r w:rsidRPr="00C65D8D">
        <w:rPr>
          <w:rStyle w:val="aff4"/>
          <w:rFonts w:hint="cs"/>
          <w:rtl/>
        </w:rPr>
        <w:t>רש"י לקמן</w:t>
      </w:r>
      <w:r w:rsidRPr="00C65D8D">
        <w:rPr>
          <w:rStyle w:val="aff4"/>
          <w:rFonts w:hint="cs"/>
          <w:vanish/>
          <w:rtl/>
        </w:rPr>
        <w:t>-</w:t>
      </w:r>
      <w:r>
        <w:rPr>
          <w:rFonts w:hint="cs"/>
          <w:rtl/>
        </w:rPr>
        <w:t xml:space="preserve"> </w:t>
      </w:r>
      <w:r w:rsidRPr="00FB451D">
        <w:rPr>
          <w:rStyle w:val="af2"/>
          <w:rFonts w:eastAsia="Guttman Hodes" w:hint="cs"/>
          <w:rtl/>
        </w:rPr>
        <w:t xml:space="preserve">(עי' אות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Ref134525529 \r \h</w:instrText>
      </w:r>
      <w:r w:rsidRPr="00FB451D">
        <w:rPr>
          <w:rStyle w:val="af2"/>
          <w:rFonts w:eastAsia="Guttman Hodes"/>
          <w:rtl/>
        </w:rPr>
        <w:instrText xml:space="preserve">  \* </w:instrText>
      </w:r>
      <w:r w:rsidRPr="00FB451D">
        <w:rPr>
          <w:rStyle w:val="af2"/>
          <w:rFonts w:eastAsia="Guttman Hodes"/>
        </w:rPr>
        <w:instrText>MERGEFORMAT</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יג)</w:t>
      </w:r>
      <w:r w:rsidRPr="00FB451D">
        <w:rPr>
          <w:rStyle w:val="af2"/>
          <w:rFonts w:eastAsia="Guttman Hodes"/>
          <w:rtl/>
        </w:rPr>
        <w:fldChar w:fldCharType="end"/>
      </w:r>
      <w:r>
        <w:rPr>
          <w:rFonts w:hint="cs"/>
          <w:rtl/>
        </w:rPr>
        <w:t xml:space="preserve"> </w:t>
      </w:r>
      <w:r w:rsidRPr="00C65D8D">
        <w:rPr>
          <w:rStyle w:val="aff4"/>
          <w:rFonts w:hint="cs"/>
          <w:vanish/>
          <w:rtl/>
        </w:rPr>
        <w:t>-</w:t>
      </w:r>
      <w:r w:rsidRPr="00C65D8D">
        <w:rPr>
          <w:rStyle w:val="aff4"/>
          <w:rFonts w:hint="cs"/>
          <w:rtl/>
        </w:rPr>
        <w:t>והתוס' לקמן</w:t>
      </w:r>
      <w:r w:rsidRPr="00C65D8D">
        <w:rPr>
          <w:rStyle w:val="aff4"/>
          <w:rFonts w:hint="cs"/>
          <w:vanish/>
          <w:rtl/>
        </w:rPr>
        <w:t>-</w:t>
      </w:r>
      <w:r>
        <w:rPr>
          <w:rFonts w:hint="cs"/>
          <w:rtl/>
        </w:rPr>
        <w:t xml:space="preserve"> </w:t>
      </w:r>
      <w:r w:rsidRPr="00FB451D">
        <w:rPr>
          <w:rStyle w:val="af2"/>
          <w:rFonts w:eastAsia="Guttman Hodes" w:hint="cs"/>
          <w:rtl/>
        </w:rPr>
        <w:t>(קז: ד"ה כיון)</w:t>
      </w:r>
      <w:r>
        <w:rPr>
          <w:rFonts w:hint="cs"/>
          <w:rtl/>
        </w:rPr>
        <w:t xml:space="preserve"> דאיירי בדג שהיה נצוד מבעוד יום, והחיוב הוא משום נטילת נשמה, וביאר </w:t>
      </w:r>
      <w:r w:rsidRPr="00C65D8D">
        <w:rPr>
          <w:rStyle w:val="aff4"/>
          <w:rFonts w:hint="cs"/>
          <w:vanish/>
          <w:rtl/>
        </w:rPr>
        <w:t>-</w:t>
      </w:r>
      <w:r w:rsidRPr="00C65D8D">
        <w:rPr>
          <w:rStyle w:val="aff4"/>
          <w:rFonts w:hint="cs"/>
          <w:rtl/>
        </w:rPr>
        <w:t>הדבר אברהם</w:t>
      </w:r>
      <w:r w:rsidRPr="00C65D8D">
        <w:rPr>
          <w:rStyle w:val="aff4"/>
          <w:rFonts w:hint="cs"/>
          <w:vanish/>
          <w:rtl/>
        </w:rPr>
        <w:t>-</w:t>
      </w:r>
      <w:r>
        <w:rPr>
          <w:rFonts w:hint="cs"/>
          <w:rtl/>
        </w:rPr>
        <w:t xml:space="preserve"> דא"א לומר דכוונת שמואל לחייב משום צידה, דא"כ חייב מיד אף אם לא יבש בו כסלע, וא"כ מבואר דהבבלי לא ס"ל כירושלמי, דהא לדעת הירושלמי שחייב משום קוצר, החיוב הוא מיד כיון שעקרו ממקום חיותו, וא"צ שיבש בו כסלע, ואף דלפני שיבש יכול לחזור ולהטילו לים, מ"מ עדיין הוא חייב, כיון דחשיב שקצרו מחיותו וחזר ונטעו, ודמי לעוקר זרעים עם השורשים שלהם, דחייב מיד אף שיכול לחזור ולזרוע אותם, </w:t>
      </w:r>
      <w:r w:rsidRPr="007A72D8">
        <w:rPr>
          <w:rStyle w:val="af"/>
          <w:rFonts w:hint="cs"/>
          <w:rtl/>
        </w:rPr>
        <w:t xml:space="preserve">[אמנם יעוי' במ"ש </w:t>
      </w:r>
      <w:r w:rsidRPr="00394B7E">
        <w:rPr>
          <w:rStyle w:val="aff9"/>
          <w:rFonts w:hint="cs"/>
          <w:vanish/>
          <w:rtl/>
        </w:rPr>
        <w:t>-</w:t>
      </w:r>
      <w:r w:rsidRPr="00394B7E">
        <w:rPr>
          <w:rStyle w:val="aff9"/>
          <w:rFonts w:hint="cs"/>
          <w:rtl/>
        </w:rPr>
        <w:t>ר"ח</w:t>
      </w:r>
      <w:r w:rsidRPr="00394B7E">
        <w:rPr>
          <w:rStyle w:val="aff9"/>
          <w:rFonts w:hint="cs"/>
          <w:vanish/>
          <w:rtl/>
        </w:rPr>
        <w:t>-</w:t>
      </w:r>
      <w:r w:rsidRPr="007A72D8">
        <w:rPr>
          <w:rStyle w:val="af"/>
          <w:rFonts w:hint="cs"/>
          <w:rtl/>
        </w:rPr>
        <w:t xml:space="preserve"> </w:t>
      </w:r>
      <w:r w:rsidRPr="00394B7E">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Ref135380571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יב)</w:t>
      </w:r>
      <w:r>
        <w:rPr>
          <w:rStyle w:val="aff0"/>
          <w:rtl/>
        </w:rPr>
        <w:fldChar w:fldCharType="end"/>
      </w:r>
      <w:r w:rsidRPr="007A72D8">
        <w:rPr>
          <w:rStyle w:val="af"/>
          <w:rFonts w:hint="cs"/>
          <w:rtl/>
        </w:rPr>
        <w:t xml:space="preserve">, וכתב </w:t>
      </w:r>
      <w:r w:rsidRPr="00394B7E">
        <w:rPr>
          <w:rStyle w:val="aff9"/>
          <w:rFonts w:hint="cs"/>
          <w:vanish/>
          <w:rtl/>
        </w:rPr>
        <w:t>-</w:t>
      </w:r>
      <w:r w:rsidRPr="00394B7E">
        <w:rPr>
          <w:rStyle w:val="aff9"/>
          <w:rFonts w:hint="cs"/>
          <w:rtl/>
        </w:rPr>
        <w:t>הדבר אברהם</w:t>
      </w:r>
      <w:r w:rsidRPr="00394B7E">
        <w:rPr>
          <w:rStyle w:val="aff9"/>
          <w:rFonts w:hint="cs"/>
          <w:vanish/>
          <w:rtl/>
        </w:rPr>
        <w:t>-</w:t>
      </w:r>
      <w:r w:rsidRPr="007A72D8">
        <w:rPr>
          <w:rStyle w:val="af"/>
          <w:rFonts w:hint="cs"/>
          <w:rtl/>
        </w:rPr>
        <w:t xml:space="preserve"> דלא ירד לסוף כוונת דברי </w:t>
      </w:r>
      <w:r w:rsidRPr="00394B7E">
        <w:rPr>
          <w:rStyle w:val="aff9"/>
          <w:rFonts w:hint="cs"/>
          <w:vanish/>
          <w:rtl/>
        </w:rPr>
        <w:t>-</w:t>
      </w:r>
      <w:r w:rsidRPr="00394B7E">
        <w:rPr>
          <w:rStyle w:val="aff9"/>
          <w:rFonts w:hint="cs"/>
          <w:rtl/>
        </w:rPr>
        <w:t>ר"ח</w:t>
      </w:r>
      <w:r w:rsidRPr="00394B7E">
        <w:rPr>
          <w:rStyle w:val="aff9"/>
          <w:rFonts w:hint="cs"/>
          <w:vanish/>
          <w:rtl/>
        </w:rPr>
        <w:t>-</w:t>
      </w:r>
      <w:r>
        <w:rPr>
          <w:rStyle w:val="af"/>
          <w:rFonts w:hint="cs"/>
          <w:rtl/>
        </w:rPr>
        <w:t xml:space="preserve">, וע"ע </w:t>
      </w:r>
      <w:r w:rsidRPr="007A72D8">
        <w:rPr>
          <w:rStyle w:val="af"/>
          <w:rFonts w:hint="cs"/>
          <w:rtl/>
        </w:rPr>
        <w:t xml:space="preserve">במ"ש </w:t>
      </w:r>
      <w:r w:rsidRPr="00394B7E">
        <w:rPr>
          <w:rStyle w:val="aff9"/>
          <w:rFonts w:hint="cs"/>
          <w:vanish/>
          <w:rtl/>
        </w:rPr>
        <w:t>-</w:t>
      </w:r>
      <w:r w:rsidRPr="00394B7E">
        <w:rPr>
          <w:rStyle w:val="aff9"/>
          <w:rFonts w:hint="cs"/>
          <w:rtl/>
        </w:rPr>
        <w:t>השיירי קרבן</w:t>
      </w:r>
      <w:r w:rsidRPr="00394B7E">
        <w:rPr>
          <w:rStyle w:val="aff9"/>
          <w:rFonts w:hint="cs"/>
          <w:vanish/>
          <w:rtl/>
        </w:rPr>
        <w:t>-</w:t>
      </w:r>
      <w:r w:rsidRPr="007A72D8">
        <w:rPr>
          <w:rStyle w:val="af"/>
          <w:rFonts w:hint="cs"/>
          <w:rtl/>
        </w:rPr>
        <w:t xml:space="preserve"> </w:t>
      </w:r>
      <w:r w:rsidRPr="00394B7E">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Ref134993471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יד)</w:t>
      </w:r>
      <w:r>
        <w:rPr>
          <w:rStyle w:val="aff0"/>
          <w:rtl/>
        </w:rPr>
        <w:fldChar w:fldCharType="end"/>
      </w:r>
      <w:r w:rsidRPr="007A72D8">
        <w:rPr>
          <w:rStyle w:val="af"/>
          <w:rFonts w:hint="cs"/>
          <w:rtl/>
        </w:rPr>
        <w:t xml:space="preserve"> </w:t>
      </w:r>
      <w:r w:rsidRPr="00394B7E">
        <w:rPr>
          <w:rStyle w:val="aff9"/>
          <w:rFonts w:hint="cs"/>
          <w:vanish/>
          <w:rtl/>
        </w:rPr>
        <w:t>-</w:t>
      </w:r>
      <w:r w:rsidRPr="00394B7E">
        <w:rPr>
          <w:rStyle w:val="aff9"/>
          <w:rFonts w:hint="cs"/>
          <w:rtl/>
        </w:rPr>
        <w:t>והרש"ש</w:t>
      </w:r>
      <w:r w:rsidRPr="00394B7E">
        <w:rPr>
          <w:rStyle w:val="aff9"/>
          <w:rFonts w:hint="cs"/>
          <w:vanish/>
          <w:rtl/>
        </w:rPr>
        <w:t>-</w:t>
      </w:r>
      <w:r w:rsidRPr="007A72D8">
        <w:rPr>
          <w:rStyle w:val="af"/>
          <w:rFonts w:hint="cs"/>
          <w:rtl/>
        </w:rPr>
        <w:t xml:space="preserve"> </w:t>
      </w:r>
      <w:r w:rsidRPr="00394B7E">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Ref135380600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טו)</w:t>
      </w:r>
      <w:r>
        <w:rPr>
          <w:rStyle w:val="aff0"/>
          <w:rtl/>
        </w:rPr>
        <w:fldChar w:fldCharType="end"/>
      </w:r>
      <w:r w:rsidRPr="007A72D8">
        <w:rPr>
          <w:rStyle w:val="af"/>
          <w:rFonts w:hint="cs"/>
          <w:rtl/>
        </w:rPr>
        <w:t>]</w:t>
      </w:r>
      <w:r w:rsidRPr="009C1377">
        <w:rPr>
          <w:rStyle w:val="af"/>
          <w:rFonts w:hint="cs"/>
          <w:rtl/>
        </w:rPr>
        <w:t>,</w:t>
      </w:r>
      <w:r>
        <w:rPr>
          <w:rFonts w:hint="cs"/>
          <w:rtl/>
        </w:rPr>
        <w:t xml:space="preserve"> והביא </w:t>
      </w:r>
      <w:r w:rsidRPr="00C65D8D">
        <w:rPr>
          <w:rStyle w:val="aff4"/>
          <w:rFonts w:hint="cs"/>
          <w:vanish/>
          <w:rtl/>
        </w:rPr>
        <w:t>-</w:t>
      </w:r>
      <w:r w:rsidRPr="00C65D8D">
        <w:rPr>
          <w:rStyle w:val="aff4"/>
          <w:rFonts w:hint="cs"/>
          <w:rtl/>
        </w:rPr>
        <w:t>הדבר אברהם</w:t>
      </w:r>
      <w:r w:rsidRPr="00C65D8D">
        <w:rPr>
          <w:rStyle w:val="aff4"/>
          <w:rFonts w:hint="cs"/>
          <w:vanish/>
          <w:rtl/>
        </w:rPr>
        <w:t>-</w:t>
      </w:r>
      <w:r>
        <w:rPr>
          <w:rFonts w:hint="cs"/>
          <w:rtl/>
        </w:rPr>
        <w:t xml:space="preserve"> דכ"כ </w:t>
      </w:r>
      <w:r w:rsidRPr="00C65D8D">
        <w:rPr>
          <w:rStyle w:val="aff4"/>
          <w:rFonts w:hint="cs"/>
          <w:vanish/>
          <w:rtl/>
        </w:rPr>
        <w:t>-</w:t>
      </w:r>
      <w:r w:rsidRPr="00C65D8D">
        <w:rPr>
          <w:rStyle w:val="aff4"/>
          <w:rFonts w:hint="cs"/>
          <w:rtl/>
        </w:rPr>
        <w:t>היש"ש בביצה</w:t>
      </w:r>
      <w:r w:rsidRPr="00C65D8D">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Ref135380546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י)</w:t>
      </w:r>
      <w:r>
        <w:rPr>
          <w:rStyle w:val="af2"/>
          <w:rFonts w:eastAsia="Guttman Hodes"/>
          <w:rtl/>
        </w:rPr>
        <w:fldChar w:fldCharType="end"/>
      </w:r>
      <w:r>
        <w:rPr>
          <w:rFonts w:hint="cs"/>
          <w:rtl/>
        </w:rPr>
        <w:t xml:space="preserve"> </w:t>
      </w:r>
      <w:r w:rsidRPr="00C65D8D">
        <w:rPr>
          <w:rStyle w:val="aff4"/>
          <w:rFonts w:hint="cs"/>
          <w:vanish/>
          <w:rtl/>
        </w:rPr>
        <w:t>-</w:t>
      </w:r>
      <w:r w:rsidRPr="00C65D8D">
        <w:rPr>
          <w:rStyle w:val="aff4"/>
          <w:rFonts w:hint="cs"/>
          <w:rtl/>
        </w:rPr>
        <w:t>והפרמ"ג</w:t>
      </w:r>
      <w:r w:rsidRPr="00C65D8D">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Ref135238118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יא)</w:t>
      </w:r>
      <w:r>
        <w:rPr>
          <w:rStyle w:val="af2"/>
          <w:rFonts w:eastAsia="Guttman Hodes"/>
          <w:rtl/>
        </w:rPr>
        <w:fldChar w:fldCharType="end"/>
      </w:r>
      <w:r>
        <w:rPr>
          <w:rFonts w:hint="cs"/>
          <w:rtl/>
        </w:rPr>
        <w:t xml:space="preserve"> דלרבנן דקיסרין בירושלמי חיוב קוצר הוא מיד, אף אם חזר והטילו לים, אך הקשה </w:t>
      </w:r>
      <w:r w:rsidRPr="00C65D8D">
        <w:rPr>
          <w:rStyle w:val="aff4"/>
          <w:rFonts w:hint="cs"/>
          <w:vanish/>
          <w:rtl/>
        </w:rPr>
        <w:t>-</w:t>
      </w:r>
      <w:r w:rsidRPr="00C65D8D">
        <w:rPr>
          <w:rStyle w:val="aff4"/>
          <w:rFonts w:hint="cs"/>
          <w:rtl/>
        </w:rPr>
        <w:t>הדבר אברהם</w:t>
      </w:r>
      <w:r w:rsidRPr="00C65D8D">
        <w:rPr>
          <w:rStyle w:val="aff4"/>
          <w:rFonts w:hint="cs"/>
          <w:vanish/>
          <w:rtl/>
        </w:rPr>
        <w:t>-</w:t>
      </w:r>
      <w:r>
        <w:rPr>
          <w:rFonts w:hint="cs"/>
          <w:rtl/>
        </w:rPr>
        <w:t xml:space="preserve"> על </w:t>
      </w:r>
      <w:r w:rsidRPr="00C65D8D">
        <w:rPr>
          <w:rStyle w:val="aff4"/>
          <w:rFonts w:hint="cs"/>
          <w:vanish/>
          <w:rtl/>
        </w:rPr>
        <w:t>-</w:t>
      </w:r>
      <w:r w:rsidRPr="00C65D8D">
        <w:rPr>
          <w:rStyle w:val="aff4"/>
          <w:rFonts w:hint="cs"/>
          <w:rtl/>
        </w:rPr>
        <w:t>היש"ש</w:t>
      </w:r>
      <w:r w:rsidRPr="00C65D8D">
        <w:rPr>
          <w:rStyle w:val="aff4"/>
          <w:rFonts w:hint="cs"/>
          <w:vanish/>
          <w:rtl/>
        </w:rPr>
        <w:t>-</w:t>
      </w:r>
      <w:r>
        <w:rPr>
          <w:rFonts w:hint="cs"/>
          <w:rtl/>
        </w:rPr>
        <w:t xml:space="preserve"> דהיאך פסק להלכה את דברי רבנן דקיסרין בירושלמי, הא מבואר דשמואל בבבלי פליג.</w:t>
      </w:r>
      <w:bookmarkEnd w:id="1660"/>
    </w:p>
    <w:p w14:paraId="462512AA" w14:textId="77777777" w:rsidR="000426DE" w:rsidRPr="00747170" w:rsidRDefault="000426DE" w:rsidP="00747170">
      <w:pPr>
        <w:pStyle w:val="a2"/>
        <w:rPr>
          <w:rtl/>
        </w:rPr>
      </w:pPr>
      <w:r w:rsidRPr="00747170">
        <w:rPr>
          <w:rtl/>
        </w:rPr>
        <w:t>[יב] ועוד אני מוסיף לומר דאפילו למי שיאמר דלא כהרמב"ן אלא דאף אליבא דש"ס דילן יש קוצר שלא בגידולי קרקע מ"מ לא אתיין רבנן דקסרין כשיטתא דגמ' דילן משום דאשכחן דשמואל פליג עלייהו בש"ס דילן דגרסינן בשבת (דף ק"ז ע"ב) אמר שמואל השולה דג מן הים כיון שיבש בו כסלע חייב ופירש"י דמיירי שהיה ניצוד מבעוד יום שאין כאן צידה ומיחייב משום נטילת נשמה. וכ"כ התוס' וז"ל בניצוד ועומד מיירי מדלא מחייב ליה עד דיבש כסלע עכ"ל, פי' לפירושם דמשום צידה היה חייב מיד כששלהו מן הים אבל לענין נטילת נשמה אינו חייב אלא עד שתינטל חיותו וכל זמן שעדיין יכול לחיות ע"י הטלה לים לא מיחשב כניטלה נשמתו. ומה שהכריחם לאוקמי בגוונא דליכא צידה הוא משום דלישנא כיון שיבש בו כסלע חייב משמע להו דקודם שיבש פטור לגמרי ואי במחוסר צידה ליחייב מיד משום צידה. והשתא אי נימא דס"ל לשמואל להא דרבנן דקסרין א"כ אפילו בניצוד מבעוד יום נמי ליחייב מיד משום קוצר שמבדילו מחיותו, דהא לרבנן דקסרין בודאי מיחייב משום קוצר מיד ולא בעינן עד שיבש בו כסלע דמיד שמבדילו מן המים הוא קוצרו ממקום חיותו ומה שיכול לחזור ולהטילו לים אינו פוטר כמובן דאז יהיה כנוטעו מחדש והרי זה דומה לעוקר זרעים עם השרשים שחייב מיד אף על פי שיכול לחזור ולהושיבם בקרקע ויהיו זרועים ומושרשים יפה כמו שהיו מקודם, וכמו בצידה שחייב מיד. וכ"כ המהרש"ל ביש"ש ביצה (פ"ג סי' ב') מובא קצתו במג"א (סי' תצ"ז סק"ו) דלהירושלמי חייב מיד ואפילו חזר והטילו לים חייב וכ"כ הפמ"ג באשל אברהם (סי' שט"ז סקי"ז) ועיי' במג"א תצ"ז שם ותמיהני על היש"ש דנקט התם להלכה כירושלמי כרבנן דקסרין אף על גב דשמואל פליג עלייהו לשי' רש"י ותוס':</w:t>
      </w:r>
    </w:p>
    <w:p w14:paraId="1749DB5A" w14:textId="2FA33786" w:rsidR="000426DE" w:rsidRDefault="000426DE" w:rsidP="000426DE">
      <w:pPr>
        <w:pStyle w:val="afffff7"/>
        <w:rPr>
          <w:rtl/>
        </w:rPr>
      </w:pPr>
      <w:bookmarkStart w:id="1661" w:name="_Toc135513743"/>
      <w:bookmarkStart w:id="1662" w:name="_Toc163505665"/>
      <w:r w:rsidRPr="007E7D84">
        <w:rPr>
          <w:rtl/>
        </w:rPr>
        <w:t>דבר אברהם ח</w:t>
      </w:r>
      <w:r>
        <w:rPr>
          <w:rFonts w:hint="cs"/>
          <w:rtl/>
        </w:rPr>
        <w:t>"</w:t>
      </w:r>
      <w:r w:rsidRPr="007E7D84">
        <w:rPr>
          <w:rtl/>
        </w:rPr>
        <w:t xml:space="preserve">א </w:t>
      </w:r>
      <w:r>
        <w:rPr>
          <w:rtl/>
        </w:rPr>
        <w:t>סי' כ"ד</w:t>
      </w:r>
      <w:r w:rsidRPr="007E7D84">
        <w:rPr>
          <w:rFonts w:hint="cs"/>
          <w:rtl/>
        </w:rPr>
        <w:t xml:space="preserve"> אות י"</w:t>
      </w:r>
      <w:r>
        <w:rPr>
          <w:rFonts w:hint="cs"/>
          <w:rtl/>
        </w:rPr>
        <w:t>ב</w:t>
      </w:r>
      <w:r w:rsidRPr="007E7D84">
        <w:rPr>
          <w:rFonts w:hint="cs"/>
          <w:rtl/>
        </w:rPr>
        <w:t xml:space="preserve"> ד"ה </w:t>
      </w:r>
      <w:r>
        <w:rPr>
          <w:rFonts w:hint="cs"/>
          <w:rtl/>
        </w:rPr>
        <w:t>והנה</w:t>
      </w:r>
      <w:bookmarkEnd w:id="1661"/>
      <w:bookmarkEnd w:id="1662"/>
    </w:p>
    <w:p w14:paraId="0770CC23" w14:textId="77777777" w:rsidR="000426DE" w:rsidRDefault="000426DE" w:rsidP="000426DE">
      <w:pPr>
        <w:pStyle w:val="a7"/>
        <w:rPr>
          <w:rtl/>
        </w:rPr>
      </w:pPr>
      <w:bookmarkStart w:id="1663" w:name="_Toc139316417"/>
      <w:r>
        <w:rPr>
          <w:rFonts w:hint="cs"/>
          <w:rtl/>
        </w:rPr>
        <w:t>בי' הדב"א דמוכח דלבבלי קוצר הוא רק בגידו"ק אך אפש"ל דמודה לסברת הירו' בהפסקת חיות</w:t>
      </w:r>
      <w:bookmarkEnd w:id="1663"/>
    </w:p>
    <w:p w14:paraId="0D541649" w14:textId="4C5348EE" w:rsidR="000426DE" w:rsidRPr="001466B2" w:rsidRDefault="000426DE" w:rsidP="00BC7DC8">
      <w:pPr>
        <w:pStyle w:val="a3"/>
        <w:rPr>
          <w:rtl/>
        </w:rPr>
      </w:pPr>
      <w:bookmarkStart w:id="1664" w:name="_Ref134634929"/>
      <w:r>
        <w:rPr>
          <w:rFonts w:hint="cs"/>
          <w:rtl/>
        </w:rPr>
        <w:t xml:space="preserve">וכתב </w:t>
      </w:r>
      <w:r w:rsidRPr="00C65D8D">
        <w:rPr>
          <w:rStyle w:val="aff4"/>
          <w:rFonts w:hint="cs"/>
          <w:vanish/>
          <w:rtl/>
        </w:rPr>
        <w:t>-</w:t>
      </w:r>
      <w:r w:rsidRPr="00C65D8D">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Ref134634929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עה)</w:t>
      </w:r>
      <w:r w:rsidRPr="00B53404">
        <w:rPr>
          <w:rStyle w:val="aff4"/>
          <w:vanish/>
          <w:rtl/>
        </w:rPr>
        <w:fldChar w:fldCharType="end"/>
      </w:r>
      <w:r w:rsidRPr="00B53404">
        <w:rPr>
          <w:rStyle w:val="aff4"/>
          <w:rFonts w:hint="cs"/>
          <w:vanish/>
          <w:rtl/>
        </w:rPr>
        <w:t xml:space="preserve"> &gt;</w:t>
      </w:r>
      <w:r w:rsidRPr="00C65D8D">
        <w:rPr>
          <w:rStyle w:val="aff4"/>
          <w:rFonts w:hint="cs"/>
          <w:rtl/>
        </w:rPr>
        <w:t>דבר אברהם</w:t>
      </w:r>
      <w:r w:rsidRPr="00C65D8D">
        <w:rPr>
          <w:rStyle w:val="aff4"/>
          <w:rFonts w:hint="cs"/>
          <w:vanish/>
          <w:rtl/>
        </w:rPr>
        <w:t>-</w:t>
      </w:r>
      <w:r>
        <w:rPr>
          <w:rFonts w:hint="cs"/>
          <w:rtl/>
        </w:rPr>
        <w:t xml:space="preserve"> </w:t>
      </w:r>
      <w:r w:rsidRPr="00FB451D">
        <w:rPr>
          <w:rStyle w:val="af2"/>
          <w:rFonts w:eastAsia="Guttman Hodes" w:hint="cs"/>
          <w:rtl/>
        </w:rPr>
        <w:t>(ח"א סי' כ"ד אות י"ב ד"ה והנה)</w:t>
      </w:r>
      <w:r w:rsidRPr="00C65D8D">
        <w:rPr>
          <w:rFonts w:hint="cs"/>
          <w:vanish/>
          <w:rtl/>
        </w:rPr>
        <w:t>=</w:t>
      </w:r>
      <w:r>
        <w:rPr>
          <w:rFonts w:hint="cs"/>
          <w:rtl/>
        </w:rPr>
        <w:t xml:space="preserve"> דא"כ מבואר דודאי שמואל בגמ' לקמן </w:t>
      </w:r>
      <w:r w:rsidRPr="00FB451D">
        <w:rPr>
          <w:rStyle w:val="af2"/>
          <w:rFonts w:eastAsia="Guttman Hodes" w:hint="cs"/>
          <w:rtl/>
        </w:rPr>
        <w:t>(קז:)</w:t>
      </w:r>
      <w:r>
        <w:rPr>
          <w:rFonts w:hint="cs"/>
          <w:rtl/>
        </w:rPr>
        <w:t xml:space="preserve"> פליג על הא דאמרו רבנן דקיסרין בירושלמי דשולה דג חייב משום קוצר, ולדעת </w:t>
      </w:r>
      <w:r w:rsidRPr="00C65D8D">
        <w:rPr>
          <w:rStyle w:val="aff4"/>
          <w:rFonts w:hint="cs"/>
          <w:vanish/>
          <w:rtl/>
        </w:rPr>
        <w:t>-</w:t>
      </w:r>
      <w:r w:rsidRPr="00C65D8D">
        <w:rPr>
          <w:rStyle w:val="aff4"/>
          <w:rFonts w:hint="cs"/>
          <w:rtl/>
        </w:rPr>
        <w:t>הרמב"ן</w:t>
      </w:r>
      <w:r w:rsidRPr="00C65D8D">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Ref135380071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ד)</w:t>
      </w:r>
      <w:r>
        <w:rPr>
          <w:rStyle w:val="af2"/>
          <w:rFonts w:eastAsia="Guttman Hodes"/>
          <w:rtl/>
        </w:rPr>
        <w:fldChar w:fldCharType="end"/>
      </w:r>
      <w:r>
        <w:rPr>
          <w:rFonts w:hint="cs"/>
          <w:rtl/>
        </w:rPr>
        <w:t xml:space="preserve"> הוא כיון דס"ל להבבלי דקוצר הוא רק בגידולי קרקע, וכתב </w:t>
      </w:r>
      <w:r w:rsidRPr="00C65D8D">
        <w:rPr>
          <w:rStyle w:val="aff4"/>
          <w:rFonts w:hint="cs"/>
          <w:vanish/>
          <w:rtl/>
        </w:rPr>
        <w:t>-</w:t>
      </w:r>
      <w:r w:rsidRPr="00C65D8D">
        <w:rPr>
          <w:rStyle w:val="aff4"/>
          <w:rFonts w:hint="cs"/>
          <w:rtl/>
        </w:rPr>
        <w:t>הדבר אברהם</w:t>
      </w:r>
      <w:r w:rsidRPr="00C65D8D">
        <w:rPr>
          <w:rStyle w:val="aff4"/>
          <w:rFonts w:hint="cs"/>
          <w:vanish/>
          <w:rtl/>
        </w:rPr>
        <w:t>-</w:t>
      </w:r>
      <w:r>
        <w:rPr>
          <w:rFonts w:hint="cs"/>
          <w:rtl/>
        </w:rPr>
        <w:t xml:space="preserve"> דא"כ בעיקר גדר מלאכת קוצר אפש"ל דמודה שמואל לרבנן דקיסרין </w:t>
      </w:r>
      <w:r>
        <w:rPr>
          <w:rFonts w:hint="cs"/>
          <w:rtl/>
        </w:rPr>
        <w:t>בירושלמי דגדר קוצר הוא בדבר שמפסיקו מחיותו, אלא דקוצר הוא רק בגידולי קרקע, ולא בדבר תלוש שמפסיקו מחיותו.</w:t>
      </w:r>
      <w:bookmarkEnd w:id="1664"/>
    </w:p>
    <w:p w14:paraId="6DE7B181" w14:textId="77777777" w:rsidR="000426DE" w:rsidRPr="00747170" w:rsidRDefault="000426DE" w:rsidP="00747170">
      <w:pPr>
        <w:pStyle w:val="a2"/>
        <w:rPr>
          <w:rtl/>
        </w:rPr>
      </w:pPr>
      <w:r w:rsidRPr="00747170">
        <w:rPr>
          <w:rtl/>
        </w:rPr>
        <w:t>והנה בדינא ודאי פליג שמואל על רבנן דקסרין אך בטעמא דפלוגתתייהו איכא לאיסתפוקי ואפשר על שני פנים. דלהרמב"ן וסייעתו דסברי דאין קצירה אלא בג"ק ובקוצרו מן הקרקע ממש דוקא י"ל דשמואל לא פליג על רבנן דקסרין אלא בהא דסבירא להו דיש קצירה אפילו שלא בג"ק ואיהו סבר דבעינן ג"ק דוקא ודגים לאו ג"ק נינהו, אבל בעיקר הסברא של רבנן דקסרין דכל שמבדילו מחיותו אף על פי שלא היה מחובר ממש כגון דגים נמי מיקרי קוצר י"ל דלא פליג שמואל כלל, [אם לא שנחדש לומר דלמאן דבעי ג"ק כסממני משכן ממילא בהא נמי בעינן דומיא דסממנין שיהו מחוברין ממש ולא סגי בהבדלת החיות]</w:t>
      </w:r>
      <w:r w:rsidRPr="00747170">
        <w:rPr>
          <w:rFonts w:hint="cs"/>
          <w:rtl/>
        </w:rPr>
        <w:t>.</w:t>
      </w:r>
    </w:p>
    <w:p w14:paraId="6C918A89" w14:textId="38CE96D0" w:rsidR="000426DE" w:rsidRDefault="000426DE" w:rsidP="000426DE">
      <w:pPr>
        <w:pStyle w:val="a7"/>
        <w:rPr>
          <w:rtl/>
        </w:rPr>
      </w:pPr>
      <w:bookmarkStart w:id="1665" w:name="_Toc139316418"/>
      <w:r>
        <w:rPr>
          <w:rFonts w:hint="cs"/>
          <w:rtl/>
        </w:rPr>
        <w:t>בי' הדב"א דלדעת הסוברים דיש קוצר שלא בגידו"ק מוכח דלבבלי קוצר אינו הפסקת החיות</w:t>
      </w:r>
      <w:bookmarkEnd w:id="1665"/>
    </w:p>
    <w:p w14:paraId="267CA088" w14:textId="5165D170" w:rsidR="000426DE" w:rsidRPr="002C72DE" w:rsidRDefault="000426DE" w:rsidP="00BC7DC8">
      <w:pPr>
        <w:pStyle w:val="a3"/>
      </w:pPr>
      <w:r>
        <w:rPr>
          <w:rFonts w:hint="cs"/>
          <w:rtl/>
        </w:rPr>
        <w:t xml:space="preserve">וכתב </w:t>
      </w:r>
      <w:r w:rsidRPr="00C65D8D">
        <w:rPr>
          <w:rStyle w:val="aff4"/>
          <w:rFonts w:hint="cs"/>
          <w:vanish/>
          <w:rtl/>
        </w:rPr>
        <w:t>-</w:t>
      </w:r>
      <w:r w:rsidRPr="00C65D8D">
        <w:rPr>
          <w:rStyle w:val="aff4"/>
          <w:rFonts w:hint="cs"/>
          <w:rtl/>
        </w:rPr>
        <w:t>הדבר אברהם</w:t>
      </w:r>
      <w:r w:rsidRPr="00C65D8D">
        <w:rPr>
          <w:rStyle w:val="aff4"/>
          <w:rFonts w:hint="cs"/>
          <w:vanish/>
          <w:rtl/>
        </w:rPr>
        <w:t>-</w:t>
      </w:r>
      <w:r>
        <w:rPr>
          <w:rFonts w:hint="cs"/>
          <w:rtl/>
        </w:rPr>
        <w:t xml:space="preserve"> דלדעת החולקים</w:t>
      </w:r>
      <w:r w:rsidRPr="004D1168">
        <w:rPr>
          <w:rFonts w:hint="cs"/>
          <w:rtl/>
        </w:rPr>
        <w:t xml:space="preserve"> </w:t>
      </w:r>
      <w:r w:rsidRPr="00FB2347">
        <w:rPr>
          <w:rStyle w:val="af"/>
          <w:rFonts w:hint="cs"/>
          <w:rtl/>
        </w:rPr>
        <w:t>[</w:t>
      </w:r>
      <w:r w:rsidRPr="00065BDB">
        <w:rPr>
          <w:rStyle w:val="aff9"/>
          <w:rFonts w:hint="cs"/>
          <w:vanish/>
          <w:rtl/>
        </w:rPr>
        <w:t>-</w:t>
      </w:r>
      <w:r w:rsidRPr="00FB2347">
        <w:rPr>
          <w:rStyle w:val="aff9"/>
          <w:rFonts w:hint="cs"/>
          <w:rtl/>
        </w:rPr>
        <w:t>תוס'</w:t>
      </w:r>
      <w:r w:rsidRPr="00065BDB">
        <w:rPr>
          <w:rStyle w:val="aff9"/>
          <w:rFonts w:hint="cs"/>
          <w:vanish/>
          <w:rtl/>
        </w:rPr>
        <w:t>-</w:t>
      </w:r>
      <w:r w:rsidRPr="00FB2347">
        <w:rPr>
          <w:rStyle w:val="af"/>
          <w:rFonts w:hint="cs"/>
          <w:rtl/>
        </w:rPr>
        <w:t xml:space="preserve"> </w:t>
      </w:r>
      <w:r w:rsidRPr="00FB451D">
        <w:rPr>
          <w:rStyle w:val="af2"/>
          <w:rFonts w:eastAsia="Guttman Rashi" w:hint="cs"/>
          <w:rtl/>
        </w:rPr>
        <w:t>(</w:t>
      </w:r>
      <w:r>
        <w:rPr>
          <w:rStyle w:val="af2"/>
          <w:rFonts w:eastAsia="Guttman Rashi" w:hint="cs"/>
          <w:rtl/>
        </w:rPr>
        <w:t>ד"ה מפרק, צה. ד"ה החולב</w:t>
      </w:r>
      <w:r w:rsidRPr="00FB451D">
        <w:rPr>
          <w:rStyle w:val="af2"/>
          <w:rFonts w:eastAsia="Guttman Rashi" w:hint="cs"/>
          <w:rtl/>
        </w:rPr>
        <w:t>)</w:t>
      </w:r>
      <w:r w:rsidRPr="00FB2347">
        <w:rPr>
          <w:rStyle w:val="af"/>
          <w:rFonts w:hint="cs"/>
          <w:rtl/>
        </w:rPr>
        <w:t xml:space="preserve"> </w:t>
      </w:r>
      <w:r>
        <w:rPr>
          <w:rStyle w:val="af"/>
          <w:rFonts w:hint="cs"/>
          <w:rtl/>
        </w:rPr>
        <w:t>כדביאר</w:t>
      </w:r>
      <w:r w:rsidRPr="00FB2347">
        <w:rPr>
          <w:rStyle w:val="af"/>
          <w:rFonts w:hint="cs"/>
          <w:rtl/>
        </w:rPr>
        <w:t xml:space="preserve"> </w:t>
      </w:r>
      <w:r w:rsidRPr="00065BDB">
        <w:rPr>
          <w:rStyle w:val="aff9"/>
          <w:rFonts w:hint="cs"/>
          <w:vanish/>
          <w:rtl/>
        </w:rPr>
        <w:t>-</w:t>
      </w:r>
      <w:r>
        <w:rPr>
          <w:rStyle w:val="aff9"/>
          <w:rFonts w:hint="cs"/>
          <w:rtl/>
        </w:rPr>
        <w:t>ה</w:t>
      </w:r>
      <w:r w:rsidRPr="00FB2347">
        <w:rPr>
          <w:rStyle w:val="aff9"/>
          <w:rFonts w:hint="cs"/>
          <w:rtl/>
        </w:rPr>
        <w:t>דבר אברהם</w:t>
      </w:r>
      <w:r w:rsidRPr="00065BDB">
        <w:rPr>
          <w:rStyle w:val="aff9"/>
          <w:rFonts w:hint="cs"/>
          <w:vanish/>
          <w:rtl/>
        </w:rPr>
        <w:t>-</w:t>
      </w:r>
      <w:r w:rsidRPr="00FB2347">
        <w:rPr>
          <w:rStyle w:val="af"/>
          <w:rFonts w:hint="cs"/>
          <w:rtl/>
        </w:rPr>
        <w:t xml:space="preserve"> </w:t>
      </w:r>
      <w:r w:rsidRPr="004D5911">
        <w:rPr>
          <w:rStyle w:val="aff0"/>
          <w:rFonts w:hint="cs"/>
          <w:rtl/>
        </w:rPr>
        <w:t>(ח"א סי' כ"ד אות ב')</w:t>
      </w:r>
      <w:r w:rsidRPr="00FB2347">
        <w:rPr>
          <w:rStyle w:val="af"/>
          <w:rFonts w:hint="cs"/>
          <w:rtl/>
        </w:rPr>
        <w:t>]</w:t>
      </w:r>
      <w:r>
        <w:rPr>
          <w:rFonts w:hint="cs"/>
          <w:rtl/>
        </w:rPr>
        <w:t xml:space="preserve"> על </w:t>
      </w:r>
      <w:r w:rsidRPr="00C65D8D">
        <w:rPr>
          <w:rStyle w:val="aff4"/>
          <w:rFonts w:hint="cs"/>
          <w:vanish/>
          <w:rtl/>
        </w:rPr>
        <w:t>-</w:t>
      </w:r>
      <w:r w:rsidRPr="00C65D8D">
        <w:rPr>
          <w:rStyle w:val="aff4"/>
          <w:rFonts w:hint="cs"/>
          <w:rtl/>
        </w:rPr>
        <w:t>הרמב"ן</w:t>
      </w:r>
      <w:r w:rsidRPr="00C65D8D">
        <w:rPr>
          <w:rStyle w:val="aff4"/>
          <w:rFonts w:hint="cs"/>
          <w:vanish/>
          <w:rtl/>
        </w:rPr>
        <w:t>-</w:t>
      </w:r>
      <w:r>
        <w:rPr>
          <w:rFonts w:hint="cs"/>
          <w:rtl/>
        </w:rPr>
        <w:t xml:space="preserve"> </w:t>
      </w:r>
      <w:r>
        <w:rPr>
          <w:rStyle w:val="af2"/>
          <w:rFonts w:eastAsia="Guttman Hodes" w:hint="cs"/>
          <w:rtl/>
        </w:rPr>
        <w:t xml:space="preserve">(עי' </w:t>
      </w:r>
      <w:r w:rsidRPr="00FB451D">
        <w:rPr>
          <w:rStyle w:val="af2"/>
          <w:rFonts w:eastAsia="Guttman Hodes" w:hint="cs"/>
          <w:rtl/>
        </w:rPr>
        <w:t xml:space="preserve">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Ref134521888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כא)</w:t>
      </w:r>
      <w:r>
        <w:rPr>
          <w:rStyle w:val="af2"/>
          <w:rFonts w:eastAsia="Guttman Hodes"/>
          <w:rtl/>
        </w:rPr>
        <w:fldChar w:fldCharType="end"/>
      </w:r>
      <w:r>
        <w:rPr>
          <w:rFonts w:hint="cs"/>
          <w:rtl/>
        </w:rPr>
        <w:t xml:space="preserve"> דס"ל דיש קוצר אף בגידולי קרקע, כיון דשמואל פליג על רבנן דקיסרין בירושלמי, א"כ מוכח דשמואל פליג על עיקר סברת הירושלמי, וס"ל דגדר קוצר אינו תלוי בהפסקת החיות, ורק כשקוצר דבר ממחובר הוא בכלל קוצר. </w:t>
      </w:r>
      <w:r w:rsidRPr="007A72D8">
        <w:rPr>
          <w:rStyle w:val="af"/>
          <w:rFonts w:hint="cs"/>
          <w:rtl/>
        </w:rPr>
        <w:t xml:space="preserve">[וכתב </w:t>
      </w:r>
      <w:r w:rsidRPr="00394B7E">
        <w:rPr>
          <w:rStyle w:val="aff9"/>
          <w:rFonts w:hint="cs"/>
          <w:vanish/>
          <w:rtl/>
        </w:rPr>
        <w:t>-</w:t>
      </w:r>
      <w:r w:rsidRPr="00394B7E">
        <w:rPr>
          <w:rStyle w:val="aff9"/>
          <w:rFonts w:hint="cs"/>
          <w:rtl/>
        </w:rPr>
        <w:t>הדבר אברהם</w:t>
      </w:r>
      <w:r w:rsidRPr="00394B7E">
        <w:rPr>
          <w:rStyle w:val="aff9"/>
          <w:rFonts w:hint="cs"/>
          <w:vanish/>
          <w:rtl/>
        </w:rPr>
        <w:t>-</w:t>
      </w:r>
      <w:r w:rsidRPr="007A72D8">
        <w:rPr>
          <w:rStyle w:val="af"/>
          <w:rFonts w:hint="cs"/>
          <w:rtl/>
        </w:rPr>
        <w:t xml:space="preserve"> דנ"מ בבע"ח שגדלים רק ברפש, דלדעת </w:t>
      </w:r>
      <w:r w:rsidRPr="00394B7E">
        <w:rPr>
          <w:rStyle w:val="aff9"/>
          <w:rFonts w:hint="cs"/>
          <w:vanish/>
          <w:rtl/>
        </w:rPr>
        <w:t>-</w:t>
      </w:r>
      <w:r w:rsidRPr="00394B7E">
        <w:rPr>
          <w:rStyle w:val="aff9"/>
          <w:rFonts w:hint="cs"/>
          <w:rtl/>
        </w:rPr>
        <w:t>הרמב"ן</w:t>
      </w:r>
      <w:r w:rsidRPr="00394B7E">
        <w:rPr>
          <w:rStyle w:val="aff9"/>
          <w:rFonts w:hint="cs"/>
          <w:vanish/>
          <w:rtl/>
        </w:rPr>
        <w:t>-</w:t>
      </w:r>
      <w:r w:rsidRPr="007A72D8">
        <w:rPr>
          <w:rStyle w:val="af"/>
          <w:rFonts w:hint="cs"/>
          <w:rtl/>
        </w:rPr>
        <w:t xml:space="preserve"> אפש"ל דחשיבי כגידולי קרקע, וכיון שמפסיקם ממקום חיותם חייב, אבל לדעת הסוברים דלשמואל גדר קוצר הוא רק קצירה ממחובר, א"כ בבע"ח אלו דאינם מחוברים לקרקע לא שייך קוצר כלל]</w:t>
      </w:r>
      <w:r w:rsidRPr="00CD1359">
        <w:rPr>
          <w:rStyle w:val="af"/>
          <w:rFonts w:hint="cs"/>
          <w:rtl/>
        </w:rPr>
        <w:t>.</w:t>
      </w:r>
    </w:p>
    <w:p w14:paraId="16275780" w14:textId="77777777" w:rsidR="000426DE" w:rsidRPr="00747170" w:rsidRDefault="000426DE" w:rsidP="00747170">
      <w:pPr>
        <w:pStyle w:val="a2"/>
        <w:rPr>
          <w:rtl/>
        </w:rPr>
      </w:pPr>
      <w:r w:rsidRPr="00747170">
        <w:rPr>
          <w:rtl/>
        </w:rPr>
        <w:t>ולהיפוך למי שיאמר דלדידן נמי יש קצירה אפילו שלא בג"ק. וע"ז לא פליג שמואל בע"כ צ"ל דפליג על רבנן דקסרין בהא דקרו להבדלת החיות קוצר ואיהו סבר דאין קוצר אלא בכורת ממקום חיבור ממש ולא במבדיל ממקום החיות. ונ"מ בין הני תרי אנפי בצד בע"ח הגדלים רק ברפש וקרקע ומוציאם ממקום חיותם אם חייב עלייהו משום קוצר, דלהסוברים דאין קצירה אלא בג"ק ולא מצינו לפי"ז דפליג שמואל על עיקר היסוד דמבדיל מחיותו הוי קוצר חייב הכא גם לשמואל שהרי קצרם ממקום חיבורם ומקום זה הוי קרקע ממש, [אמנם להלן יבואר דבהא נמי איכא למיפטר מטעמא אחרינא], ולהסוברים דיש קוצר אפילו שלא בג"ק ובע"כ דס"ל לשמואל דמבדיל מחיותו לא הוי קוצר כמ"ש ה"נ פטור שאין כאן קצירה ממקום חיבור:</w:t>
      </w:r>
    </w:p>
    <w:p w14:paraId="7E549805" w14:textId="44F17617" w:rsidR="000426DE" w:rsidRDefault="000426DE" w:rsidP="000426DE">
      <w:pPr>
        <w:pStyle w:val="afffff7"/>
        <w:rPr>
          <w:rtl/>
        </w:rPr>
      </w:pPr>
      <w:bookmarkStart w:id="1666" w:name="_Toc135513744"/>
      <w:bookmarkStart w:id="1667" w:name="_Toc163505666"/>
      <w:r w:rsidRPr="007E7D84">
        <w:rPr>
          <w:rtl/>
        </w:rPr>
        <w:t>דבר אברהם ח</w:t>
      </w:r>
      <w:r>
        <w:rPr>
          <w:rFonts w:hint="cs"/>
          <w:rtl/>
        </w:rPr>
        <w:t>"</w:t>
      </w:r>
      <w:r w:rsidRPr="007E7D84">
        <w:rPr>
          <w:rtl/>
        </w:rPr>
        <w:t xml:space="preserve">א </w:t>
      </w:r>
      <w:r>
        <w:rPr>
          <w:rtl/>
        </w:rPr>
        <w:t>סי' כ"ד</w:t>
      </w:r>
      <w:r w:rsidRPr="007E7D84">
        <w:rPr>
          <w:rFonts w:hint="cs"/>
          <w:rtl/>
        </w:rPr>
        <w:t xml:space="preserve"> אות י"</w:t>
      </w:r>
      <w:r>
        <w:rPr>
          <w:rFonts w:hint="cs"/>
          <w:rtl/>
        </w:rPr>
        <w:t>ב</w:t>
      </w:r>
      <w:r w:rsidRPr="007E7D84">
        <w:rPr>
          <w:rFonts w:hint="cs"/>
          <w:rtl/>
        </w:rPr>
        <w:t xml:space="preserve"> ד"ה </w:t>
      </w:r>
      <w:r>
        <w:rPr>
          <w:rFonts w:hint="cs"/>
          <w:rtl/>
        </w:rPr>
        <w:t>וראיתי</w:t>
      </w:r>
      <w:bookmarkEnd w:id="1666"/>
      <w:bookmarkEnd w:id="1667"/>
    </w:p>
    <w:p w14:paraId="0E5905CF" w14:textId="77777777" w:rsidR="000426DE" w:rsidRDefault="000426DE" w:rsidP="000426DE">
      <w:pPr>
        <w:pStyle w:val="a7"/>
        <w:rPr>
          <w:rtl/>
        </w:rPr>
      </w:pPr>
      <w:bookmarkStart w:id="1668" w:name="_Toc139316419"/>
      <w:r>
        <w:rPr>
          <w:rFonts w:hint="cs"/>
          <w:rtl/>
        </w:rPr>
        <w:t>בי' הדב"א ברבינו גרשום דשמואל הוסיף חיוב אחר שיבש אך הבבלי מודה לירו' בהפסקת חיות</w:t>
      </w:r>
      <w:bookmarkEnd w:id="1668"/>
    </w:p>
    <w:p w14:paraId="084091C5" w14:textId="7C79DF7C" w:rsidR="000426DE" w:rsidRDefault="000426DE" w:rsidP="00BC7DC8">
      <w:pPr>
        <w:pStyle w:val="a3"/>
      </w:pPr>
      <w:bookmarkStart w:id="1669" w:name="_Ref134635635"/>
      <w:bookmarkStart w:id="1670" w:name="_Ref134721572"/>
      <w:r>
        <w:rPr>
          <w:rFonts w:hint="cs"/>
          <w:rtl/>
        </w:rPr>
        <w:t xml:space="preserve">אך הביא </w:t>
      </w:r>
      <w:r w:rsidRPr="00C65D8D">
        <w:rPr>
          <w:rStyle w:val="aff4"/>
          <w:rFonts w:hint="cs"/>
          <w:vanish/>
          <w:rtl/>
        </w:rPr>
        <w:t>-</w:t>
      </w:r>
      <w:r w:rsidRPr="00C65D8D">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Ref134635635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עז)</w:t>
      </w:r>
      <w:r w:rsidRPr="00B53404">
        <w:rPr>
          <w:rStyle w:val="aff4"/>
          <w:vanish/>
          <w:rtl/>
        </w:rPr>
        <w:fldChar w:fldCharType="end"/>
      </w:r>
      <w:r w:rsidRPr="00B53404">
        <w:rPr>
          <w:rStyle w:val="aff4"/>
          <w:rFonts w:hint="cs"/>
          <w:vanish/>
          <w:rtl/>
        </w:rPr>
        <w:t xml:space="preserve"> &gt;</w:t>
      </w:r>
      <w:r w:rsidRPr="00C65D8D">
        <w:rPr>
          <w:rStyle w:val="aff4"/>
          <w:rFonts w:hint="cs"/>
          <w:rtl/>
        </w:rPr>
        <w:t>דבר אברהם</w:t>
      </w:r>
      <w:r w:rsidRPr="00C65D8D">
        <w:rPr>
          <w:rStyle w:val="aff4"/>
          <w:rFonts w:hint="cs"/>
          <w:vanish/>
          <w:rtl/>
        </w:rPr>
        <w:t>-</w:t>
      </w:r>
      <w:r>
        <w:rPr>
          <w:rFonts w:hint="cs"/>
          <w:rtl/>
        </w:rPr>
        <w:t xml:space="preserve"> </w:t>
      </w:r>
      <w:r w:rsidRPr="00FB451D">
        <w:rPr>
          <w:rStyle w:val="af2"/>
          <w:rFonts w:eastAsia="Guttman Hodes" w:hint="cs"/>
          <w:rtl/>
        </w:rPr>
        <w:t>(ח"א סי' כ"ד אות י"ב ד"ה וראיתי)</w:t>
      </w:r>
      <w:r w:rsidRPr="00C65D8D">
        <w:rPr>
          <w:rFonts w:hint="cs"/>
          <w:vanish/>
          <w:rtl/>
        </w:rPr>
        <w:t>=</w:t>
      </w:r>
      <w:r>
        <w:rPr>
          <w:rFonts w:hint="cs"/>
          <w:rtl/>
        </w:rPr>
        <w:t xml:space="preserve"> את דברי </w:t>
      </w:r>
      <w:r w:rsidRPr="00C65D8D">
        <w:rPr>
          <w:rStyle w:val="aff4"/>
          <w:rFonts w:hint="cs"/>
          <w:vanish/>
          <w:rtl/>
        </w:rPr>
        <w:t>-</w:t>
      </w:r>
      <w:r w:rsidRPr="00C65D8D">
        <w:rPr>
          <w:rStyle w:val="aff4"/>
          <w:rFonts w:hint="cs"/>
          <w:rtl/>
        </w:rPr>
        <w:t>רבינו גרשום בתענית</w:t>
      </w:r>
      <w:r w:rsidRPr="00C65D8D">
        <w:rPr>
          <w:rStyle w:val="aff4"/>
          <w:rFonts w:hint="cs"/>
          <w:vanish/>
          <w:rtl/>
        </w:rPr>
        <w:t>-</w:t>
      </w:r>
      <w:r>
        <w:rPr>
          <w:rFonts w:hint="cs"/>
          <w:rtl/>
        </w:rPr>
        <w:t xml:space="preserve"> </w:t>
      </w:r>
      <w:r w:rsidRPr="00FB451D">
        <w:rPr>
          <w:rStyle w:val="af2"/>
          <w:rFonts w:eastAsia="Guttman Hodes" w:hint="cs"/>
          <w:rtl/>
        </w:rPr>
        <w:t xml:space="preserve">(עי' אות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Ref134721582 \r \h</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ג)</w:t>
      </w:r>
      <w:r w:rsidRPr="00FB451D">
        <w:rPr>
          <w:rStyle w:val="af2"/>
          <w:rFonts w:eastAsia="Guttman Hodes"/>
          <w:rtl/>
        </w:rPr>
        <w:fldChar w:fldCharType="end"/>
      </w:r>
      <w:r>
        <w:rPr>
          <w:rFonts w:hint="cs"/>
          <w:rtl/>
        </w:rPr>
        <w:t xml:space="preserve"> דכתב דלשמואל החיוב בשולה דג שיבש בו כסלע, הוא גם משום צידה וגם משום נטילת נשמה, וביאר </w:t>
      </w:r>
      <w:r w:rsidRPr="00C65D8D">
        <w:rPr>
          <w:rStyle w:val="aff4"/>
          <w:rFonts w:hint="cs"/>
          <w:vanish/>
          <w:rtl/>
        </w:rPr>
        <w:t>-</w:t>
      </w:r>
      <w:r w:rsidRPr="00C65D8D">
        <w:rPr>
          <w:rStyle w:val="aff4"/>
          <w:rFonts w:hint="cs"/>
          <w:rtl/>
        </w:rPr>
        <w:t>הדבר אברהם</w:t>
      </w:r>
      <w:r w:rsidRPr="00C65D8D">
        <w:rPr>
          <w:rStyle w:val="aff4"/>
          <w:rFonts w:hint="cs"/>
          <w:vanish/>
          <w:rtl/>
        </w:rPr>
        <w:t>-</w:t>
      </w:r>
      <w:r>
        <w:rPr>
          <w:rFonts w:hint="cs"/>
          <w:rtl/>
        </w:rPr>
        <w:t xml:space="preserve"> דא"א לומר דרק אחר שיבש בו כסלע חייב משום צידה, דהא חיוב צידה הוא אף בבע"ח שלא נטל מהם את החיות כלל, אלא כוונת </w:t>
      </w:r>
      <w:r w:rsidRPr="00C65D8D">
        <w:rPr>
          <w:rStyle w:val="aff4"/>
          <w:rFonts w:hint="cs"/>
          <w:vanish/>
          <w:rtl/>
        </w:rPr>
        <w:t>-</w:t>
      </w:r>
      <w:r w:rsidRPr="00C65D8D">
        <w:rPr>
          <w:rStyle w:val="aff4"/>
          <w:rFonts w:hint="cs"/>
          <w:rtl/>
        </w:rPr>
        <w:t>רבינו גרשום</w:t>
      </w:r>
      <w:r w:rsidRPr="00C65D8D">
        <w:rPr>
          <w:rStyle w:val="aff4"/>
          <w:rFonts w:hint="cs"/>
          <w:vanish/>
          <w:rtl/>
        </w:rPr>
        <w:t>-</w:t>
      </w:r>
      <w:r>
        <w:rPr>
          <w:rFonts w:hint="cs"/>
          <w:rtl/>
        </w:rPr>
        <w:t xml:space="preserve"> לומר דשמואל חידש דמלבד חיוב צידה שחייב מיד, יש חיוב נוסף אחר שיבש בו כסלע משום נטילת נשמה, וכתב </w:t>
      </w:r>
      <w:r w:rsidRPr="00C65D8D">
        <w:rPr>
          <w:rStyle w:val="aff4"/>
          <w:rFonts w:hint="cs"/>
          <w:vanish/>
          <w:rtl/>
        </w:rPr>
        <w:t>-</w:t>
      </w:r>
      <w:r w:rsidRPr="00C65D8D">
        <w:rPr>
          <w:rStyle w:val="aff4"/>
          <w:rFonts w:hint="cs"/>
          <w:rtl/>
        </w:rPr>
        <w:t>הדבר אברהם</w:t>
      </w:r>
      <w:r w:rsidRPr="00C65D8D">
        <w:rPr>
          <w:rStyle w:val="aff4"/>
          <w:rFonts w:hint="cs"/>
          <w:vanish/>
          <w:rtl/>
        </w:rPr>
        <w:t>-</w:t>
      </w:r>
      <w:r>
        <w:rPr>
          <w:rFonts w:hint="cs"/>
          <w:rtl/>
        </w:rPr>
        <w:t xml:space="preserve"> דלפי"ז כמו שביאר </w:t>
      </w:r>
      <w:r w:rsidRPr="00C65D8D">
        <w:rPr>
          <w:rStyle w:val="aff4"/>
          <w:rFonts w:hint="cs"/>
          <w:vanish/>
          <w:rtl/>
        </w:rPr>
        <w:t>-</w:t>
      </w:r>
      <w:r w:rsidRPr="00C65D8D">
        <w:rPr>
          <w:rStyle w:val="aff4"/>
          <w:rFonts w:hint="cs"/>
          <w:rtl/>
        </w:rPr>
        <w:t>רבינו גרשום</w:t>
      </w:r>
      <w:r w:rsidRPr="00C65D8D">
        <w:rPr>
          <w:rStyle w:val="aff4"/>
          <w:rFonts w:hint="cs"/>
          <w:vanish/>
          <w:rtl/>
        </w:rPr>
        <w:t>-</w:t>
      </w:r>
      <w:r>
        <w:rPr>
          <w:rFonts w:hint="cs"/>
          <w:rtl/>
        </w:rPr>
        <w:t xml:space="preserve"> לענין צידה כך אפש"ל לענין קוצר, דשמואל לא פליג כלל על רבנן דקיסרין בירושלמי, ומודה שמואל דחייב מיד משום קוצר, כמו דחייב משום צידה, ורק בא להוסיף שמואל חיוב אחר שיבש כסלע משום נטילת נשמה, וכתב </w:t>
      </w:r>
      <w:r w:rsidRPr="00C65D8D">
        <w:rPr>
          <w:rStyle w:val="aff4"/>
          <w:rFonts w:hint="cs"/>
          <w:vanish/>
          <w:rtl/>
        </w:rPr>
        <w:t>-</w:t>
      </w:r>
      <w:r w:rsidRPr="00C65D8D">
        <w:rPr>
          <w:rStyle w:val="aff4"/>
          <w:rFonts w:hint="cs"/>
          <w:rtl/>
        </w:rPr>
        <w:t>הדבר אברהם</w:t>
      </w:r>
      <w:r w:rsidRPr="00C65D8D">
        <w:rPr>
          <w:rStyle w:val="aff4"/>
          <w:rFonts w:hint="cs"/>
          <w:vanish/>
          <w:rtl/>
        </w:rPr>
        <w:t>-</w:t>
      </w:r>
      <w:r>
        <w:rPr>
          <w:rFonts w:hint="cs"/>
          <w:rtl/>
        </w:rPr>
        <w:t xml:space="preserve"> דלפי"ז מבוארים דברי </w:t>
      </w:r>
      <w:r w:rsidRPr="00C65D8D">
        <w:rPr>
          <w:rStyle w:val="aff4"/>
          <w:rFonts w:hint="cs"/>
          <w:vanish/>
          <w:rtl/>
        </w:rPr>
        <w:t>-</w:t>
      </w:r>
      <w:r w:rsidRPr="00C65D8D">
        <w:rPr>
          <w:rStyle w:val="aff4"/>
          <w:rFonts w:hint="cs"/>
          <w:rtl/>
        </w:rPr>
        <w:t>היש"ש בביצה</w:t>
      </w:r>
      <w:r w:rsidRPr="00C65D8D">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Ref135380546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י)</w:t>
      </w:r>
      <w:r>
        <w:rPr>
          <w:rStyle w:val="af2"/>
          <w:rFonts w:eastAsia="Guttman Hodes"/>
          <w:rtl/>
        </w:rPr>
        <w:fldChar w:fldCharType="end"/>
      </w:r>
      <w:r>
        <w:rPr>
          <w:rFonts w:hint="cs"/>
          <w:rtl/>
        </w:rPr>
        <w:t xml:space="preserve"> דפסק כרבנן דקיסרין בירושלמי.</w:t>
      </w:r>
      <w:r w:rsidRPr="00783C2D">
        <w:rPr>
          <w:rFonts w:hint="cs"/>
          <w:rtl/>
        </w:rPr>
        <w:t xml:space="preserve"> </w:t>
      </w:r>
      <w:r w:rsidRPr="007A72D8">
        <w:rPr>
          <w:rStyle w:val="af"/>
          <w:rFonts w:hint="cs"/>
          <w:rtl/>
        </w:rPr>
        <w:t xml:space="preserve">[אמנם ציין </w:t>
      </w:r>
      <w:r w:rsidRPr="00394B7E">
        <w:rPr>
          <w:rStyle w:val="aff9"/>
          <w:rFonts w:hint="cs"/>
          <w:vanish/>
          <w:rtl/>
        </w:rPr>
        <w:t>-</w:t>
      </w:r>
      <w:r w:rsidRPr="00394B7E">
        <w:rPr>
          <w:rStyle w:val="aff9"/>
          <w:rFonts w:hint="cs"/>
          <w:rtl/>
        </w:rPr>
        <w:t>הדבר אברהם</w:t>
      </w:r>
      <w:r w:rsidRPr="00394B7E">
        <w:rPr>
          <w:rStyle w:val="aff9"/>
          <w:rFonts w:hint="cs"/>
          <w:vanish/>
          <w:rtl/>
        </w:rPr>
        <w:t>-</w:t>
      </w:r>
      <w:r w:rsidRPr="007A72D8">
        <w:rPr>
          <w:rStyle w:val="af"/>
          <w:rFonts w:hint="cs"/>
          <w:rtl/>
        </w:rPr>
        <w:t xml:space="preserve"> לדברי </w:t>
      </w:r>
      <w:r w:rsidRPr="00394B7E">
        <w:rPr>
          <w:rStyle w:val="aff9"/>
          <w:rFonts w:hint="cs"/>
          <w:vanish/>
          <w:rtl/>
        </w:rPr>
        <w:t>-</w:t>
      </w:r>
      <w:r w:rsidRPr="00394B7E">
        <w:rPr>
          <w:rStyle w:val="aff9"/>
          <w:rFonts w:hint="cs"/>
          <w:rtl/>
        </w:rPr>
        <w:t>ר"ח לקמן</w:t>
      </w:r>
      <w:r w:rsidRPr="00394B7E">
        <w:rPr>
          <w:rStyle w:val="aff9"/>
          <w:rFonts w:hint="cs"/>
          <w:vanish/>
          <w:rtl/>
        </w:rPr>
        <w:t>-</w:t>
      </w:r>
      <w:r w:rsidRPr="007A72D8">
        <w:rPr>
          <w:rStyle w:val="af"/>
          <w:rFonts w:hint="cs"/>
          <w:rtl/>
        </w:rPr>
        <w:t xml:space="preserve"> </w:t>
      </w:r>
      <w:r w:rsidRPr="00394B7E">
        <w:rPr>
          <w:rStyle w:val="aff0"/>
          <w:rFonts w:hint="cs"/>
          <w:rtl/>
        </w:rPr>
        <w:t xml:space="preserve">(עי' אות </w:t>
      </w:r>
      <w:r w:rsidRPr="00394B7E">
        <w:rPr>
          <w:rStyle w:val="aff0"/>
          <w:rtl/>
        </w:rPr>
        <w:fldChar w:fldCharType="begin"/>
      </w:r>
      <w:r w:rsidRPr="00394B7E">
        <w:rPr>
          <w:rStyle w:val="aff0"/>
          <w:rtl/>
        </w:rPr>
        <w:instrText xml:space="preserve"> </w:instrText>
      </w:r>
      <w:r w:rsidRPr="00394B7E">
        <w:rPr>
          <w:rStyle w:val="aff0"/>
          <w:rFonts w:hint="cs"/>
        </w:rPr>
        <w:instrText>REF</w:instrText>
      </w:r>
      <w:r w:rsidRPr="00394B7E">
        <w:rPr>
          <w:rStyle w:val="aff0"/>
          <w:rFonts w:hint="cs"/>
          <w:rtl/>
        </w:rPr>
        <w:instrText xml:space="preserve"> _</w:instrText>
      </w:r>
      <w:r w:rsidRPr="00394B7E">
        <w:rPr>
          <w:rStyle w:val="aff0"/>
          <w:rFonts w:hint="cs"/>
        </w:rPr>
        <w:instrText>Ref134721659 \r \h</w:instrText>
      </w:r>
      <w:r w:rsidRPr="00394B7E">
        <w:rPr>
          <w:rStyle w:val="aff0"/>
          <w:rtl/>
        </w:rPr>
        <w:instrText xml:space="preserve"> </w:instrText>
      </w:r>
      <w:r w:rsidRPr="00394B7E">
        <w:rPr>
          <w:rStyle w:val="aff0"/>
          <w:rtl/>
        </w:rPr>
      </w:r>
      <w:r w:rsidRPr="00394B7E">
        <w:rPr>
          <w:rStyle w:val="aff0"/>
          <w:rtl/>
        </w:rPr>
        <w:fldChar w:fldCharType="separate"/>
      </w:r>
      <w:r w:rsidR="00D82181">
        <w:rPr>
          <w:rStyle w:val="aff0"/>
          <w:cs/>
        </w:rPr>
        <w:t>‎</w:t>
      </w:r>
      <w:r w:rsidR="00D82181">
        <w:rPr>
          <w:rStyle w:val="aff0"/>
          <w:rtl/>
        </w:rPr>
        <w:t>יב)</w:t>
      </w:r>
      <w:r w:rsidRPr="00394B7E">
        <w:rPr>
          <w:rStyle w:val="aff0"/>
          <w:rtl/>
        </w:rPr>
        <w:fldChar w:fldCharType="end"/>
      </w:r>
      <w:r w:rsidRPr="007A72D8">
        <w:rPr>
          <w:rStyle w:val="af"/>
          <w:rFonts w:hint="cs"/>
          <w:rtl/>
        </w:rPr>
        <w:t xml:space="preserve"> דכתב דאם הוציא את הדג ולא שהה עד שתצא נפשו, והחזיר את הדג לים פטור, כיון שלא עקר דבר מגידולו, וגם לא הרג אותו, דלא העתיקו ממקום חיותו לגמרי, וכתב </w:t>
      </w:r>
      <w:r w:rsidRPr="00394B7E">
        <w:rPr>
          <w:rStyle w:val="aff9"/>
          <w:rFonts w:hint="cs"/>
          <w:vanish/>
          <w:rtl/>
        </w:rPr>
        <w:t>-</w:t>
      </w:r>
      <w:r w:rsidRPr="00394B7E">
        <w:rPr>
          <w:rStyle w:val="aff9"/>
          <w:rFonts w:hint="cs"/>
          <w:rtl/>
        </w:rPr>
        <w:t>הדבר אברהם</w:t>
      </w:r>
      <w:r w:rsidRPr="00394B7E">
        <w:rPr>
          <w:rStyle w:val="aff9"/>
          <w:rFonts w:hint="cs"/>
          <w:vanish/>
          <w:rtl/>
        </w:rPr>
        <w:t>-</w:t>
      </w:r>
      <w:r w:rsidRPr="007A72D8">
        <w:rPr>
          <w:rStyle w:val="af"/>
          <w:rFonts w:hint="cs"/>
          <w:rtl/>
        </w:rPr>
        <w:t xml:space="preserve"> דלא ירד לסוף כוונת דברי </w:t>
      </w:r>
      <w:r w:rsidRPr="00394B7E">
        <w:rPr>
          <w:rStyle w:val="aff9"/>
          <w:rFonts w:hint="cs"/>
          <w:vanish/>
          <w:rtl/>
        </w:rPr>
        <w:t>-</w:t>
      </w:r>
      <w:r w:rsidRPr="00394B7E">
        <w:rPr>
          <w:rStyle w:val="aff9"/>
          <w:rFonts w:hint="cs"/>
          <w:rtl/>
        </w:rPr>
        <w:t>ר"ח</w:t>
      </w:r>
      <w:r w:rsidRPr="00394B7E">
        <w:rPr>
          <w:rStyle w:val="aff9"/>
          <w:rFonts w:hint="cs"/>
          <w:vanish/>
          <w:rtl/>
        </w:rPr>
        <w:t>-</w:t>
      </w:r>
      <w:r w:rsidRPr="007A72D8">
        <w:rPr>
          <w:rStyle w:val="af"/>
          <w:rFonts w:hint="cs"/>
          <w:rtl/>
        </w:rPr>
        <w:t>]</w:t>
      </w:r>
      <w:bookmarkEnd w:id="1669"/>
      <w:r w:rsidRPr="00CD1359">
        <w:rPr>
          <w:rStyle w:val="af"/>
          <w:rFonts w:hint="cs"/>
          <w:rtl/>
        </w:rPr>
        <w:t>.</w:t>
      </w:r>
      <w:bookmarkEnd w:id="1670"/>
    </w:p>
    <w:p w14:paraId="3024F58E" w14:textId="77777777" w:rsidR="000426DE" w:rsidRPr="00747170" w:rsidRDefault="000426DE" w:rsidP="00747170">
      <w:pPr>
        <w:pStyle w:val="a2"/>
        <w:rPr>
          <w:rtl/>
        </w:rPr>
      </w:pPr>
      <w:r w:rsidRPr="00747170">
        <w:rPr>
          <w:rtl/>
        </w:rPr>
        <w:t xml:space="preserve">וראיתי לרבנו גרשם בתענית (דף כ"ד ע"א) שכתב וז"ל שיבש בו כסלע חייב משום צידה ומשום נטילת נשמה עכ"ל. והנה זה ברור דמשום צידה הוא חייב מיד אף על פי שעדיין לא יבש כסלע דמאי שנא דגים משאר בע"ח שלא ניטלה חיותם כלל ע"י צידה ויכולים לחיות אחר צידה כמו קודם צידה ומ"מ חייב מיד, ובע"כ צ"ל דאין כוונת רבנו גרשם דחיוב צידה נמי לא בא אלא עם היבשות כסלע ולא קודם לכן אלא דמשום צידה באמת חייב מיד ולא אתי שמואל לאשמעינן אלא דאח"כ חייב גם משום נטילת נשמה. ולפי"ז אין לנו שום הכרח דשמואל פליג על רבנן דקסרין, די"ל דבאמת חייב מיד אף משום קוצר כמו שהוא חייב משום צידה אלא שאם יבש אח"כ מיחייב נמי משום נטילת נשמה. ובזה מצאנו גואל להמהרש"ל ממה שתמהנו עליו שפסק כהירושלמי נגד שמואל בש"ס דילן ועיי' ברבנו חננאל בשבת שם ולא ירדתי לע"ע לסוף כוונתו: </w:t>
      </w:r>
    </w:p>
    <w:p w14:paraId="14ED0AE7" w14:textId="77777777" w:rsidR="000426DE" w:rsidRPr="00D578AC" w:rsidRDefault="000426DE" w:rsidP="000426DE">
      <w:pPr>
        <w:pStyle w:val="afffffb"/>
        <w:rPr>
          <w:vanish/>
          <w:rtl/>
        </w:rPr>
      </w:pPr>
      <w:r w:rsidRPr="00D578AC">
        <w:rPr>
          <w:vanish/>
          <w:rtl/>
        </w:rPr>
        <w:t>דבר אברהם ח</w:t>
      </w:r>
      <w:r w:rsidRPr="00D578AC">
        <w:rPr>
          <w:rFonts w:hint="cs"/>
          <w:vanish/>
          <w:rtl/>
        </w:rPr>
        <w:t>"</w:t>
      </w:r>
      <w:r w:rsidRPr="00D578AC">
        <w:rPr>
          <w:vanish/>
          <w:rtl/>
        </w:rPr>
        <w:t>א סי</w:t>
      </w:r>
      <w:r w:rsidRPr="00D578AC">
        <w:rPr>
          <w:rFonts w:hint="cs"/>
          <w:vanish/>
          <w:rtl/>
        </w:rPr>
        <w:t xml:space="preserve">' </w:t>
      </w:r>
      <w:r w:rsidRPr="00D578AC">
        <w:rPr>
          <w:vanish/>
          <w:rtl/>
        </w:rPr>
        <w:t>כ</w:t>
      </w:r>
      <w:r w:rsidRPr="00D578AC">
        <w:rPr>
          <w:rFonts w:hint="cs"/>
          <w:vanish/>
          <w:rtl/>
        </w:rPr>
        <w:t>"</w:t>
      </w:r>
      <w:r w:rsidRPr="00D578AC">
        <w:rPr>
          <w:vanish/>
          <w:rtl/>
        </w:rPr>
        <w:t>ד</w:t>
      </w:r>
      <w:r w:rsidRPr="00D578AC">
        <w:rPr>
          <w:rFonts w:hint="cs"/>
          <w:vanish/>
          <w:rtl/>
        </w:rPr>
        <w:t xml:space="preserve"> אות י"ג ד"ה אולם</w:t>
      </w:r>
    </w:p>
    <w:p w14:paraId="64C7E9E0" w14:textId="77777777" w:rsidR="000426DE" w:rsidRPr="00D578AC" w:rsidRDefault="000426DE" w:rsidP="00747170">
      <w:pPr>
        <w:pStyle w:val="afffff5"/>
        <w:rPr>
          <w:rtl/>
        </w:rPr>
      </w:pPr>
      <w:r w:rsidRPr="00D578AC">
        <w:rPr>
          <w:rtl/>
        </w:rPr>
        <w:t>וכן יתבאר לן עוד מזה דלדעת רש"י פליג ש"ס דילן אירושלמי דצד נונא בעיקר היסוד וסבר דהבדלת חיות לא הוי קוצר כמש"ל מהא דשולה דגים דהנה בש"ס דילן בשבת (דף צ"ה ע"א) אמרינן דחולב חייב משום מפרק ופירש"י והוי תולדה דדש ואית דאמרי תולדה דקוצר ולא היא דלאו מחובר הוא אלא פקיד ועקיר וקאי בעטיני הדד עכ"ל. והוא תמוה מאד שדחה שי' האית דאמרי באמת הבנין מסברא בעלמא דחלב פקיד ועקיר והרי מבואר הכי להדיא בירושלמי דחיובו משום קוצר ובע"כ צ"ל דס"ל להירושלמי דלא הוי פקיד ועקיר אלא מחובר דאל"ה לא הוי קוצר, דנהי נמי דס"ל להירושלמי דיש קצירה מבע"ח מ"מ לא עדיפי בע"ח מקרקע ממש וכי היכי דבקרקע אין קצירה אלא בדבר המחובר לה ה"נ בבע"ח אין קצירה אלא בדבר המחובר להם, ואפילו נימא דרש"י ס"ל כהרמב"ן דשיטתא דגמ' דילן דאין קצירה בבע"ח אלא בג"ק ממש מ"מ קשה דבסברא דחלב מחובר הוא לא מצינו לש"ס דילן דפליג ולא הו"ל לרש"י למידחי מהאי טעמא מסברא דנפשיה.</w:t>
      </w:r>
    </w:p>
    <w:p w14:paraId="64642BC9" w14:textId="405B44E6" w:rsidR="000426DE" w:rsidRDefault="000426DE" w:rsidP="000426DE">
      <w:pPr>
        <w:pStyle w:val="afffff7"/>
        <w:rPr>
          <w:rtl/>
        </w:rPr>
      </w:pPr>
      <w:bookmarkStart w:id="1671" w:name="_Toc135513745"/>
      <w:bookmarkStart w:id="1672" w:name="_Toc163505667"/>
      <w:r>
        <w:rPr>
          <w:rtl/>
        </w:rPr>
        <w:t>רש"י שבת צ"ה ע"א</w:t>
      </w:r>
      <w:bookmarkEnd w:id="1671"/>
      <w:bookmarkEnd w:id="1672"/>
    </w:p>
    <w:p w14:paraId="71F0B00F" w14:textId="77777777" w:rsidR="000426DE" w:rsidRPr="00C1373E" w:rsidRDefault="000426DE" w:rsidP="000426DE">
      <w:pPr>
        <w:pStyle w:val="a7"/>
      </w:pPr>
      <w:bookmarkStart w:id="1673" w:name="_Toc139316420"/>
      <w:r>
        <w:rPr>
          <w:rFonts w:hint="cs"/>
          <w:rtl/>
        </w:rPr>
        <w:t>קו' הדב"א על רש"י דלירו' חולב חייב משום קוצר ומוכח דהחלב מחובר ובזה ל"מ דהבבלי פליג</w:t>
      </w:r>
      <w:bookmarkEnd w:id="1673"/>
    </w:p>
    <w:p w14:paraId="399F1AD2" w14:textId="3D938FCD" w:rsidR="000426DE" w:rsidRDefault="000426DE" w:rsidP="00BC7DC8">
      <w:pPr>
        <w:pStyle w:val="a3"/>
      </w:pPr>
      <w:bookmarkStart w:id="1674" w:name="_Ref134721323"/>
      <w:r>
        <w:rPr>
          <w:rFonts w:hint="cs"/>
          <w:rtl/>
        </w:rPr>
        <w:t xml:space="preserve">ועוד הביא </w:t>
      </w:r>
      <w:r w:rsidRPr="00C65D8D">
        <w:rPr>
          <w:rStyle w:val="aff4"/>
          <w:rFonts w:hint="cs"/>
          <w:vanish/>
          <w:rtl/>
        </w:rPr>
        <w:t>-</w:t>
      </w:r>
      <w:r w:rsidRPr="00C65D8D">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Ref134721323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עח)</w:t>
      </w:r>
      <w:r w:rsidRPr="00B53404">
        <w:rPr>
          <w:rStyle w:val="aff4"/>
          <w:vanish/>
          <w:rtl/>
        </w:rPr>
        <w:fldChar w:fldCharType="end"/>
      </w:r>
      <w:r w:rsidRPr="00B53404">
        <w:rPr>
          <w:rStyle w:val="aff4"/>
          <w:rFonts w:hint="cs"/>
          <w:vanish/>
          <w:rtl/>
        </w:rPr>
        <w:t xml:space="preserve"> &gt;</w:t>
      </w:r>
      <w:r w:rsidRPr="00C65D8D">
        <w:rPr>
          <w:rStyle w:val="aff4"/>
          <w:rFonts w:hint="cs"/>
          <w:rtl/>
        </w:rPr>
        <w:t>דבר אברהם</w:t>
      </w:r>
      <w:r w:rsidRPr="00C65D8D">
        <w:rPr>
          <w:rStyle w:val="aff4"/>
          <w:rFonts w:hint="cs"/>
          <w:vanish/>
          <w:rtl/>
        </w:rPr>
        <w:t>-</w:t>
      </w:r>
      <w:r w:rsidRPr="00200E26">
        <w:rPr>
          <w:rStyle w:val="aff4"/>
          <w:rFonts w:hint="cs"/>
          <w:rtl/>
        </w:rPr>
        <w:t xml:space="preserve"> </w:t>
      </w:r>
      <w:r w:rsidRPr="00FB451D">
        <w:rPr>
          <w:rStyle w:val="af2"/>
          <w:rFonts w:eastAsia="Guttman Hodes" w:hint="cs"/>
          <w:rtl/>
        </w:rPr>
        <w:t>(ח"א סי' כ"ד אות י"ג ד"ה אולם)</w:t>
      </w:r>
      <w:r w:rsidRPr="00C65D8D">
        <w:rPr>
          <w:rFonts w:hint="cs"/>
          <w:vanish/>
          <w:rtl/>
        </w:rPr>
        <w:t>=</w:t>
      </w:r>
      <w:r>
        <w:rPr>
          <w:rFonts w:hint="cs"/>
          <w:rtl/>
        </w:rPr>
        <w:t xml:space="preserve"> דבהא דאמרינן בגמ' לקמן </w:t>
      </w:r>
      <w:r w:rsidRPr="00FB451D">
        <w:rPr>
          <w:rStyle w:val="af2"/>
          <w:rFonts w:eastAsia="Guttman Hodes" w:hint="cs"/>
          <w:rtl/>
        </w:rPr>
        <w:t>(צה.)</w:t>
      </w:r>
      <w:r>
        <w:rPr>
          <w:rFonts w:hint="cs"/>
          <w:rtl/>
        </w:rPr>
        <w:t xml:space="preserve"> דחולב חייב משום מפרק, ביאר </w:t>
      </w:r>
      <w:r w:rsidRPr="00C65D8D">
        <w:rPr>
          <w:rStyle w:val="aff4"/>
          <w:rFonts w:hint="cs"/>
          <w:vanish/>
          <w:rtl/>
        </w:rPr>
        <w:t>-</w:t>
      </w:r>
      <w:r w:rsidRPr="00C65D8D">
        <w:rPr>
          <w:rStyle w:val="aff4"/>
          <w:rFonts w:hint="cs"/>
          <w:rtl/>
        </w:rPr>
        <w:t>רש"י לקמן</w:t>
      </w:r>
      <w:r w:rsidRPr="00C65D8D">
        <w:rPr>
          <w:rStyle w:val="aff4"/>
          <w:rFonts w:hint="cs"/>
          <w:vanish/>
          <w:rtl/>
        </w:rPr>
        <w:t>-</w:t>
      </w:r>
      <w:r>
        <w:rPr>
          <w:rFonts w:hint="cs"/>
          <w:rtl/>
        </w:rPr>
        <w:t xml:space="preserve"> </w:t>
      </w:r>
      <w:r w:rsidRPr="00FB451D">
        <w:rPr>
          <w:rStyle w:val="af2"/>
          <w:rFonts w:eastAsia="Guttman Hodes" w:hint="cs"/>
          <w:rtl/>
        </w:rPr>
        <w:t xml:space="preserve">(עי' אות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Ref134695257 \r \h</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כד)</w:t>
      </w:r>
      <w:r w:rsidRPr="00FB451D">
        <w:rPr>
          <w:rStyle w:val="af2"/>
          <w:rFonts w:eastAsia="Guttman Hodes"/>
          <w:rtl/>
        </w:rPr>
        <w:fldChar w:fldCharType="end"/>
      </w:r>
      <w:r>
        <w:rPr>
          <w:rFonts w:hint="cs"/>
          <w:rtl/>
        </w:rPr>
        <w:t xml:space="preserve"> דהוא תולדה דדש, ועוד הביא </w:t>
      </w:r>
      <w:r w:rsidRPr="00C65D8D">
        <w:rPr>
          <w:rStyle w:val="aff4"/>
          <w:rFonts w:hint="cs"/>
          <w:vanish/>
          <w:rtl/>
        </w:rPr>
        <w:t>-</w:t>
      </w:r>
      <w:r w:rsidRPr="00C65D8D">
        <w:rPr>
          <w:rStyle w:val="aff4"/>
          <w:rFonts w:hint="cs"/>
          <w:rtl/>
        </w:rPr>
        <w:t>רש"י</w:t>
      </w:r>
      <w:r w:rsidRPr="00C65D8D">
        <w:rPr>
          <w:rStyle w:val="aff4"/>
          <w:rFonts w:hint="cs"/>
          <w:vanish/>
          <w:rtl/>
        </w:rPr>
        <w:t>-</w:t>
      </w:r>
      <w:r>
        <w:rPr>
          <w:rFonts w:hint="cs"/>
          <w:rtl/>
        </w:rPr>
        <w:t xml:space="preserve"> </w:t>
      </w:r>
      <w:r w:rsidRPr="00FB451D">
        <w:rPr>
          <w:rStyle w:val="af2"/>
          <w:rFonts w:eastAsia="Guttman Hodes" w:hint="cs"/>
          <w:rtl/>
        </w:rPr>
        <w:t xml:space="preserve">(עי' אות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Ref135299758 \r \h</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כה)</w:t>
      </w:r>
      <w:r w:rsidRPr="00FB451D">
        <w:rPr>
          <w:rStyle w:val="af2"/>
          <w:rFonts w:eastAsia="Guttman Hodes"/>
          <w:rtl/>
        </w:rPr>
        <w:fldChar w:fldCharType="end"/>
      </w:r>
      <w:r>
        <w:rPr>
          <w:rFonts w:hint="cs"/>
          <w:rtl/>
        </w:rPr>
        <w:t xml:space="preserve"> בשם </w:t>
      </w:r>
      <w:r w:rsidRPr="00C65D8D">
        <w:rPr>
          <w:rStyle w:val="aff4"/>
          <w:rFonts w:hint="cs"/>
          <w:vanish/>
          <w:rtl/>
        </w:rPr>
        <w:t>-</w:t>
      </w:r>
      <w:r w:rsidRPr="00C65D8D">
        <w:rPr>
          <w:rStyle w:val="aff4"/>
          <w:rFonts w:hint="cs"/>
          <w:rtl/>
        </w:rPr>
        <w:t>י"מ</w:t>
      </w:r>
      <w:r w:rsidRPr="00C65D8D">
        <w:rPr>
          <w:rStyle w:val="aff4"/>
          <w:rFonts w:hint="cs"/>
          <w:vanish/>
          <w:rtl/>
        </w:rPr>
        <w:t>-</w:t>
      </w:r>
      <w:r>
        <w:rPr>
          <w:rFonts w:hint="cs"/>
          <w:rtl/>
        </w:rPr>
        <w:t xml:space="preserve"> דהוא תולדה דקוצר, ודחה </w:t>
      </w:r>
      <w:r w:rsidRPr="00C65D8D">
        <w:rPr>
          <w:rStyle w:val="aff4"/>
          <w:rFonts w:hint="cs"/>
          <w:vanish/>
          <w:rtl/>
        </w:rPr>
        <w:t>-</w:t>
      </w:r>
      <w:r w:rsidRPr="00C65D8D">
        <w:rPr>
          <w:rStyle w:val="aff4"/>
          <w:rFonts w:hint="cs"/>
          <w:rtl/>
        </w:rPr>
        <w:t>רש"י</w:t>
      </w:r>
      <w:r w:rsidRPr="00C65D8D">
        <w:rPr>
          <w:rStyle w:val="aff4"/>
          <w:rFonts w:hint="cs"/>
          <w:vanish/>
          <w:rtl/>
        </w:rPr>
        <w:t>-</w:t>
      </w:r>
      <w:r>
        <w:rPr>
          <w:rFonts w:hint="cs"/>
          <w:rtl/>
        </w:rPr>
        <w:t xml:space="preserve"> דהחלב אינו מחובר אלא הוא מיפקד פקיד ולא שייך בזה קוצר, והקשה </w:t>
      </w:r>
      <w:r w:rsidRPr="00C65D8D">
        <w:rPr>
          <w:rStyle w:val="aff4"/>
          <w:rFonts w:hint="cs"/>
          <w:vanish/>
          <w:rtl/>
        </w:rPr>
        <w:t>-</w:t>
      </w:r>
      <w:r w:rsidRPr="00C65D8D">
        <w:rPr>
          <w:rStyle w:val="aff4"/>
          <w:rFonts w:hint="cs"/>
          <w:rtl/>
        </w:rPr>
        <w:t>הדבר אברהם</w:t>
      </w:r>
      <w:r w:rsidRPr="00C65D8D">
        <w:rPr>
          <w:rStyle w:val="aff4"/>
          <w:rFonts w:hint="cs"/>
          <w:vanish/>
          <w:rtl/>
        </w:rPr>
        <w:t>-</w:t>
      </w:r>
      <w:r>
        <w:rPr>
          <w:rFonts w:hint="cs"/>
          <w:rtl/>
        </w:rPr>
        <w:t xml:space="preserve"> דהיאך דחה </w:t>
      </w:r>
      <w:r w:rsidRPr="00C65D8D">
        <w:rPr>
          <w:rStyle w:val="aff4"/>
          <w:rFonts w:hint="cs"/>
          <w:vanish/>
          <w:rtl/>
        </w:rPr>
        <w:t>-</w:t>
      </w:r>
      <w:r w:rsidRPr="00C65D8D">
        <w:rPr>
          <w:rStyle w:val="aff4"/>
          <w:rFonts w:hint="cs"/>
          <w:rtl/>
        </w:rPr>
        <w:t>רש"י</w:t>
      </w:r>
      <w:r w:rsidRPr="00C65D8D">
        <w:rPr>
          <w:rStyle w:val="aff4"/>
          <w:rFonts w:hint="cs"/>
          <w:vanish/>
          <w:rtl/>
        </w:rPr>
        <w:t>-</w:t>
      </w:r>
      <w:r w:rsidRPr="00C65D8D">
        <w:rPr>
          <w:rStyle w:val="aff4"/>
          <w:rFonts w:hint="cs"/>
          <w:rtl/>
        </w:rPr>
        <w:t xml:space="preserve"> </w:t>
      </w:r>
      <w:r w:rsidRPr="00400CD5">
        <w:rPr>
          <w:rFonts w:hint="cs"/>
          <w:rtl/>
        </w:rPr>
        <w:t xml:space="preserve">את דעת </w:t>
      </w:r>
      <w:r w:rsidRPr="00A36DE6">
        <w:rPr>
          <w:rStyle w:val="aff4"/>
          <w:rFonts w:hint="cs"/>
          <w:vanish/>
          <w:rtl/>
        </w:rPr>
        <w:t>-</w:t>
      </w:r>
      <w:r w:rsidRPr="00A36DE6">
        <w:rPr>
          <w:rStyle w:val="aff4"/>
          <w:rFonts w:hint="cs"/>
          <w:rtl/>
        </w:rPr>
        <w:t>הי"מ</w:t>
      </w:r>
      <w:r w:rsidRPr="00A36DE6">
        <w:rPr>
          <w:rStyle w:val="aff4"/>
          <w:rFonts w:hint="cs"/>
          <w:vanish/>
          <w:rtl/>
        </w:rPr>
        <w:t>-</w:t>
      </w:r>
      <w:r w:rsidRPr="00400CD5">
        <w:rPr>
          <w:rFonts w:hint="cs"/>
          <w:rtl/>
        </w:rPr>
        <w:t xml:space="preserve"> מסברא, והא בירושלמי איתא להדיא דחייב משום קוצר, ומוכח דס"ל להירושלמי דהחלב הוא מחובר ולא פקיד, ואף אי נימא דהבבלי פליג על הירושלמי וס"ל דקוצר הוא רק בגידולי קרקע, מ"מ מוכח בירושלמי דלא כסברת </w:t>
      </w:r>
      <w:r w:rsidRPr="00C65D8D">
        <w:rPr>
          <w:rStyle w:val="aff4"/>
          <w:rFonts w:hint="cs"/>
          <w:vanish/>
          <w:rtl/>
        </w:rPr>
        <w:t>-</w:t>
      </w:r>
      <w:r w:rsidRPr="00C65D8D">
        <w:rPr>
          <w:rStyle w:val="aff4"/>
          <w:rFonts w:hint="cs"/>
          <w:rtl/>
        </w:rPr>
        <w:t>רש"י</w:t>
      </w:r>
      <w:r w:rsidRPr="00C65D8D">
        <w:rPr>
          <w:rStyle w:val="aff4"/>
          <w:rFonts w:hint="cs"/>
          <w:vanish/>
          <w:rtl/>
        </w:rPr>
        <w:t>-</w:t>
      </w:r>
      <w:r w:rsidRPr="00400CD5">
        <w:rPr>
          <w:rFonts w:hint="cs"/>
          <w:rtl/>
        </w:rPr>
        <w:t xml:space="preserve"> ולא מצינו דהבבלי פליג על ז</w:t>
      </w:r>
      <w:r>
        <w:rPr>
          <w:rFonts w:hint="cs"/>
          <w:rtl/>
        </w:rPr>
        <w:t>ה.</w:t>
      </w:r>
      <w:bookmarkEnd w:id="1674"/>
    </w:p>
    <w:p w14:paraId="27D4CF5E" w14:textId="77777777" w:rsidR="000426DE" w:rsidRPr="00747170" w:rsidRDefault="000426DE" w:rsidP="00747170">
      <w:pPr>
        <w:pStyle w:val="a2"/>
        <w:rPr>
          <w:rtl/>
        </w:rPr>
      </w:pPr>
      <w:r w:rsidRPr="00747170">
        <w:rPr>
          <w:rtl/>
        </w:rPr>
        <w:t>מפרק - כמו מפרק משאוי, שפורק אוכל ממקום שנתכסה בו, והוי תולדת דש, ואית דאמרי תולדה דקוצר - ולא היא, דלאו מחובר הוא, אלא פקיד ועקיר, וקאי בעטיני הדד כתבואה בקשיה, ולשון מפרק נמי לא שייך למימר, אלא לשון תולש.</w:t>
      </w:r>
    </w:p>
    <w:p w14:paraId="2A242443" w14:textId="77777777" w:rsidR="000426DE" w:rsidRPr="00D578AC" w:rsidRDefault="000426DE" w:rsidP="000426DE">
      <w:pPr>
        <w:pStyle w:val="afffffb"/>
        <w:rPr>
          <w:vanish/>
          <w:rtl/>
        </w:rPr>
      </w:pPr>
      <w:r w:rsidRPr="00D578AC">
        <w:rPr>
          <w:vanish/>
          <w:rtl/>
        </w:rPr>
        <w:t>דבר אברהם ח</w:t>
      </w:r>
      <w:r w:rsidRPr="00D578AC">
        <w:rPr>
          <w:rFonts w:hint="cs"/>
          <w:vanish/>
          <w:rtl/>
        </w:rPr>
        <w:t>"</w:t>
      </w:r>
      <w:r w:rsidRPr="00D578AC">
        <w:rPr>
          <w:vanish/>
          <w:rtl/>
        </w:rPr>
        <w:t>א סי</w:t>
      </w:r>
      <w:r w:rsidRPr="00D578AC">
        <w:rPr>
          <w:rFonts w:hint="cs"/>
          <w:vanish/>
          <w:rtl/>
        </w:rPr>
        <w:t xml:space="preserve">' </w:t>
      </w:r>
      <w:r w:rsidRPr="00D578AC">
        <w:rPr>
          <w:vanish/>
          <w:rtl/>
        </w:rPr>
        <w:t>כ</w:t>
      </w:r>
      <w:r w:rsidRPr="00D578AC">
        <w:rPr>
          <w:rFonts w:hint="cs"/>
          <w:vanish/>
          <w:rtl/>
        </w:rPr>
        <w:t>"</w:t>
      </w:r>
      <w:r w:rsidRPr="00D578AC">
        <w:rPr>
          <w:vanish/>
          <w:rtl/>
        </w:rPr>
        <w:t>ד</w:t>
      </w:r>
      <w:r w:rsidRPr="00D578AC">
        <w:rPr>
          <w:rFonts w:hint="cs"/>
          <w:vanish/>
          <w:rtl/>
        </w:rPr>
        <w:t xml:space="preserve"> אות י"ג ד"ה אולם</w:t>
      </w:r>
    </w:p>
    <w:p w14:paraId="478FF362" w14:textId="77777777" w:rsidR="000426DE" w:rsidRPr="001E54D5" w:rsidRDefault="000426DE" w:rsidP="000426DE">
      <w:pPr>
        <w:pStyle w:val="a7"/>
      </w:pPr>
      <w:bookmarkStart w:id="1675" w:name="_Toc139316421"/>
      <w:r>
        <w:rPr>
          <w:rFonts w:hint="cs"/>
          <w:rtl/>
        </w:rPr>
        <w:t>בי' הדב"א דמוכח ברש"י דהבבלי פליג על הפסקת חיות ואפשר לחייב בחולב רק אי הוא מחובר</w:t>
      </w:r>
      <w:bookmarkEnd w:id="1675"/>
    </w:p>
    <w:p w14:paraId="7878D6A8" w14:textId="694F7F07" w:rsidR="000426DE" w:rsidRPr="00C1373E" w:rsidRDefault="000426DE" w:rsidP="00BC7DC8">
      <w:pPr>
        <w:pStyle w:val="a3"/>
      </w:pPr>
      <w:bookmarkStart w:id="1676" w:name="_Ref134694849"/>
      <w:r>
        <w:rPr>
          <w:rFonts w:hint="cs"/>
          <w:rtl/>
        </w:rPr>
        <w:t xml:space="preserve">אלא כתב </w:t>
      </w:r>
      <w:r w:rsidRPr="00C65D8D">
        <w:rPr>
          <w:rStyle w:val="aff4"/>
          <w:rFonts w:hint="cs"/>
          <w:vanish/>
          <w:rtl/>
        </w:rPr>
        <w:t>-</w:t>
      </w:r>
      <w:r w:rsidRPr="00C65D8D">
        <w:rPr>
          <w:rStyle w:val="aff4"/>
          <w:rFonts w:hint="cs"/>
          <w:rtl/>
        </w:rPr>
        <w:t>הדבר אברהם</w:t>
      </w:r>
      <w:r w:rsidRPr="00C65D8D">
        <w:rPr>
          <w:rStyle w:val="aff4"/>
          <w:rFonts w:hint="cs"/>
          <w:vanish/>
          <w:rtl/>
        </w:rPr>
        <w:t>-</w:t>
      </w:r>
      <w:r>
        <w:rPr>
          <w:rFonts w:hint="cs"/>
          <w:rtl/>
        </w:rPr>
        <w:t xml:space="preserve"> דמוכח דלדעת </w:t>
      </w:r>
      <w:r w:rsidRPr="00C65D8D">
        <w:rPr>
          <w:rStyle w:val="aff4"/>
          <w:rFonts w:hint="cs"/>
          <w:vanish/>
          <w:rtl/>
        </w:rPr>
        <w:t>-</w:t>
      </w:r>
      <w:r w:rsidRPr="00C65D8D">
        <w:rPr>
          <w:rStyle w:val="aff4"/>
          <w:rFonts w:hint="cs"/>
          <w:rtl/>
        </w:rPr>
        <w:t>רש"י</w:t>
      </w:r>
      <w:r w:rsidRPr="00C65D8D">
        <w:rPr>
          <w:rStyle w:val="aff4"/>
          <w:rFonts w:hint="cs"/>
          <w:vanish/>
          <w:rtl/>
        </w:rPr>
        <w:t>-</w:t>
      </w:r>
      <w:r>
        <w:rPr>
          <w:rFonts w:hint="cs"/>
          <w:rtl/>
        </w:rPr>
        <w:t xml:space="preserve"> הבבלי פליג על עיקר סברת רבנן דקיסרין בירושלמי </w:t>
      </w:r>
      <w:r w:rsidRPr="00FB451D">
        <w:rPr>
          <w:rStyle w:val="af2"/>
          <w:rFonts w:eastAsia="Guttman Hodes" w:hint="cs"/>
          <w:rtl/>
        </w:rPr>
        <w:t>(פ"ז ה"ב, מח:)</w:t>
      </w:r>
      <w:r>
        <w:rPr>
          <w:rFonts w:hint="cs"/>
          <w:rtl/>
        </w:rPr>
        <w:t xml:space="preserve"> דהצד דגים וכל דבר שמבדילו מחיותו, חייב משום קוצר,</w:t>
      </w:r>
      <w:r w:rsidRPr="007336EE">
        <w:rPr>
          <w:rFonts w:hint="cs"/>
          <w:rtl/>
        </w:rPr>
        <w:t xml:space="preserve"> </w:t>
      </w:r>
      <w:r>
        <w:rPr>
          <w:rFonts w:hint="cs"/>
          <w:rtl/>
        </w:rPr>
        <w:t xml:space="preserve">ולדעת הבבלי קוצר אינו הפסקת החיות, </w:t>
      </w:r>
      <w:r w:rsidRPr="007A72D8">
        <w:rPr>
          <w:rStyle w:val="af"/>
          <w:rFonts w:hint="cs"/>
          <w:rtl/>
        </w:rPr>
        <w:t xml:space="preserve">[וכדהוכיח </w:t>
      </w:r>
      <w:r w:rsidRPr="00394B7E">
        <w:rPr>
          <w:rStyle w:val="aff9"/>
          <w:rFonts w:hint="cs"/>
          <w:vanish/>
          <w:rtl/>
        </w:rPr>
        <w:t>-</w:t>
      </w:r>
      <w:r w:rsidRPr="00394B7E">
        <w:rPr>
          <w:rStyle w:val="aff9"/>
          <w:rFonts w:hint="cs"/>
          <w:rtl/>
        </w:rPr>
        <w:t>הדבר אברהם</w:t>
      </w:r>
      <w:r w:rsidRPr="00394B7E">
        <w:rPr>
          <w:rStyle w:val="aff9"/>
          <w:rFonts w:hint="cs"/>
          <w:vanish/>
          <w:rtl/>
        </w:rPr>
        <w:t>-</w:t>
      </w:r>
      <w:r w:rsidRPr="007A72D8">
        <w:rPr>
          <w:rStyle w:val="af"/>
          <w:rFonts w:hint="cs"/>
          <w:rtl/>
        </w:rPr>
        <w:t xml:space="preserve"> </w:t>
      </w:r>
      <w:r w:rsidRPr="00394B7E">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Ref134634917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עד)</w:t>
      </w:r>
      <w:r>
        <w:rPr>
          <w:rStyle w:val="aff0"/>
          <w:rtl/>
        </w:rPr>
        <w:fldChar w:fldCharType="end"/>
      </w:r>
      <w:r w:rsidRPr="007A72D8">
        <w:rPr>
          <w:rStyle w:val="af"/>
          <w:rFonts w:hint="cs"/>
          <w:rtl/>
        </w:rPr>
        <w:t xml:space="preserve"> מדברי </w:t>
      </w:r>
      <w:r w:rsidRPr="00394B7E">
        <w:rPr>
          <w:rStyle w:val="aff9"/>
          <w:rFonts w:hint="cs"/>
          <w:vanish/>
          <w:rtl/>
        </w:rPr>
        <w:t>-</w:t>
      </w:r>
      <w:r w:rsidRPr="00394B7E">
        <w:rPr>
          <w:rStyle w:val="aff9"/>
          <w:rFonts w:hint="cs"/>
          <w:rtl/>
        </w:rPr>
        <w:t>רש"י לקמן</w:t>
      </w:r>
      <w:r w:rsidRPr="00394B7E">
        <w:rPr>
          <w:rStyle w:val="aff9"/>
          <w:rFonts w:hint="cs"/>
          <w:vanish/>
          <w:rtl/>
        </w:rPr>
        <w:t>-</w:t>
      </w:r>
      <w:r w:rsidRPr="007A72D8">
        <w:rPr>
          <w:rStyle w:val="af"/>
          <w:rFonts w:hint="cs"/>
          <w:rtl/>
        </w:rPr>
        <w:t>]</w:t>
      </w:r>
      <w:r w:rsidRPr="009C1377">
        <w:rPr>
          <w:rStyle w:val="af"/>
          <w:rFonts w:hint="cs"/>
          <w:rtl/>
        </w:rPr>
        <w:t>,</w:t>
      </w:r>
      <w:r>
        <w:rPr>
          <w:rFonts w:hint="cs"/>
          <w:rtl/>
        </w:rPr>
        <w:t xml:space="preserve"> וא"כ אין כל ראיה מהא דס"ל להירושלמי דחולב חייב משום קוצר דהחלב הוא מחובר, דאפש"ל דבאמת החלב מיפקד פקיד כסברת </w:t>
      </w:r>
      <w:r w:rsidRPr="00C65D8D">
        <w:rPr>
          <w:rStyle w:val="aff4"/>
          <w:rFonts w:hint="cs"/>
          <w:vanish/>
          <w:rtl/>
        </w:rPr>
        <w:t>-</w:t>
      </w:r>
      <w:r w:rsidRPr="00C65D8D">
        <w:rPr>
          <w:rStyle w:val="aff4"/>
          <w:rFonts w:hint="cs"/>
          <w:rtl/>
        </w:rPr>
        <w:t>רש"י</w:t>
      </w:r>
      <w:r w:rsidRPr="00C65D8D">
        <w:rPr>
          <w:rStyle w:val="aff4"/>
          <w:rFonts w:hint="cs"/>
          <w:vanish/>
          <w:rtl/>
        </w:rPr>
        <w:t>-</w:t>
      </w:r>
      <w:r>
        <w:rPr>
          <w:rFonts w:hint="cs"/>
          <w:rtl/>
        </w:rPr>
        <w:t xml:space="preserve"> ואפ"ה לדעת הירושלמי יש בזה קוצר כיון דהוא מפסיקו ממקום חיותו, והביא </w:t>
      </w:r>
      <w:r w:rsidRPr="00C65D8D">
        <w:rPr>
          <w:rStyle w:val="aff4"/>
          <w:rFonts w:hint="cs"/>
          <w:vanish/>
          <w:rtl/>
        </w:rPr>
        <w:t>-</w:t>
      </w:r>
      <w:r w:rsidRPr="00C65D8D">
        <w:rPr>
          <w:rStyle w:val="aff4"/>
          <w:rFonts w:hint="cs"/>
          <w:rtl/>
        </w:rPr>
        <w:t>הדבר אברהם</w:t>
      </w:r>
      <w:r w:rsidRPr="00C65D8D">
        <w:rPr>
          <w:rStyle w:val="aff4"/>
          <w:rFonts w:hint="cs"/>
          <w:vanish/>
          <w:rtl/>
        </w:rPr>
        <w:t>-</w:t>
      </w:r>
      <w:r>
        <w:rPr>
          <w:rFonts w:hint="cs"/>
          <w:rtl/>
        </w:rPr>
        <w:t xml:space="preserve"> דכן ביאר </w:t>
      </w:r>
      <w:r w:rsidRPr="00C65D8D">
        <w:rPr>
          <w:rStyle w:val="aff4"/>
          <w:rFonts w:hint="cs"/>
          <w:vanish/>
          <w:rtl/>
        </w:rPr>
        <w:t>-</w:t>
      </w:r>
      <w:r w:rsidRPr="00C65D8D">
        <w:rPr>
          <w:rStyle w:val="aff4"/>
          <w:rFonts w:hint="cs"/>
          <w:rtl/>
        </w:rPr>
        <w:t>ה</w:t>
      </w:r>
      <w:r w:rsidRPr="00B53404">
        <w:rPr>
          <w:rStyle w:val="aff4"/>
          <w:rFonts w:hint="cs"/>
          <w:vanish/>
          <w:rtl/>
        </w:rPr>
        <w:t>&lt; &gt;</w:t>
      </w:r>
      <w:r w:rsidRPr="00C65D8D">
        <w:rPr>
          <w:rStyle w:val="aff4"/>
          <w:rFonts w:hint="cs"/>
          <w:rtl/>
        </w:rPr>
        <w:t>קרבן העדה</w:t>
      </w:r>
      <w:r w:rsidRPr="00C65D8D">
        <w:rPr>
          <w:rStyle w:val="aff4"/>
          <w:rFonts w:hint="cs"/>
          <w:vanish/>
          <w:rtl/>
        </w:rPr>
        <w:t>-</w:t>
      </w:r>
      <w:r>
        <w:rPr>
          <w:rFonts w:hint="cs"/>
          <w:rtl/>
        </w:rPr>
        <w:t xml:space="preserve"> </w:t>
      </w:r>
      <w:r w:rsidRPr="00FB451D">
        <w:rPr>
          <w:rStyle w:val="af2"/>
          <w:rFonts w:eastAsia="Guttman Hodes" w:hint="cs"/>
          <w:rtl/>
        </w:rPr>
        <w:t>(פ"ז ה"ב, נב: ד"ה חייב)</w:t>
      </w:r>
      <w:r w:rsidRPr="00C65D8D">
        <w:rPr>
          <w:rFonts w:hint="cs"/>
          <w:vanish/>
          <w:rtl/>
        </w:rPr>
        <w:t>=</w:t>
      </w:r>
      <w:r>
        <w:rPr>
          <w:rFonts w:hint="cs"/>
          <w:rtl/>
        </w:rPr>
        <w:t xml:space="preserve"> </w:t>
      </w:r>
      <w:r>
        <w:rPr>
          <w:rFonts w:hint="cs"/>
          <w:rtl/>
        </w:rPr>
        <w:lastRenderedPageBreak/>
        <w:t xml:space="preserve">דחיוב חולב הוא כיון דמבדילו ממקום חיותו, אבל לדעת הבבלי כתב </w:t>
      </w:r>
      <w:r w:rsidRPr="00C65D8D">
        <w:rPr>
          <w:rStyle w:val="aff4"/>
          <w:rFonts w:hint="cs"/>
          <w:vanish/>
          <w:rtl/>
        </w:rPr>
        <w:t>-</w:t>
      </w:r>
      <w:r w:rsidRPr="00C65D8D">
        <w:rPr>
          <w:rStyle w:val="aff4"/>
          <w:rFonts w:hint="cs"/>
          <w:rtl/>
        </w:rPr>
        <w:t>הדבר אברהם</w:t>
      </w:r>
      <w:r w:rsidRPr="00C65D8D">
        <w:rPr>
          <w:rStyle w:val="aff4"/>
          <w:rFonts w:hint="cs"/>
          <w:vanish/>
          <w:rtl/>
        </w:rPr>
        <w:t>-</w:t>
      </w:r>
      <w:r>
        <w:rPr>
          <w:rFonts w:hint="cs"/>
          <w:rtl/>
        </w:rPr>
        <w:t xml:space="preserve"> דס"ל </w:t>
      </w:r>
      <w:r w:rsidRPr="00C65D8D">
        <w:rPr>
          <w:rStyle w:val="aff4"/>
          <w:rFonts w:hint="cs"/>
          <w:vanish/>
          <w:rtl/>
        </w:rPr>
        <w:t>-</w:t>
      </w:r>
      <w:r w:rsidRPr="00C65D8D">
        <w:rPr>
          <w:rStyle w:val="aff4"/>
          <w:rFonts w:hint="cs"/>
          <w:rtl/>
        </w:rPr>
        <w:t>לרש"י</w:t>
      </w:r>
      <w:r w:rsidRPr="00C65D8D">
        <w:rPr>
          <w:rStyle w:val="aff4"/>
          <w:rFonts w:hint="cs"/>
          <w:vanish/>
          <w:rtl/>
        </w:rPr>
        <w:t>-</w:t>
      </w:r>
      <w:r>
        <w:rPr>
          <w:rFonts w:hint="cs"/>
          <w:rtl/>
        </w:rPr>
        <w:t xml:space="preserve"> דקוצר שייך רק במחובר, לא שייך לומר דחולב הוא קוצר כיון דהחלב מיפקד פקיד</w:t>
      </w:r>
      <w:r w:rsidRPr="00636BE3">
        <w:rPr>
          <w:rFonts w:hint="cs"/>
          <w:rtl/>
        </w:rPr>
        <w:t xml:space="preserve"> </w:t>
      </w:r>
      <w:r>
        <w:rPr>
          <w:rFonts w:hint="cs"/>
          <w:rtl/>
        </w:rPr>
        <w:t xml:space="preserve">ועי' במ"ש </w:t>
      </w:r>
      <w:r w:rsidRPr="00C65D8D">
        <w:rPr>
          <w:rStyle w:val="aff4"/>
          <w:rFonts w:hint="cs"/>
          <w:vanish/>
          <w:rtl/>
        </w:rPr>
        <w:t>-</w:t>
      </w:r>
      <w:r w:rsidRPr="00C65D8D">
        <w:rPr>
          <w:rStyle w:val="aff4"/>
          <w:rFonts w:hint="cs"/>
          <w:rtl/>
        </w:rPr>
        <w:t>ה</w:t>
      </w:r>
      <w:r>
        <w:rPr>
          <w:rStyle w:val="aff4"/>
          <w:rFonts w:hint="cs"/>
          <w:rtl/>
        </w:rPr>
        <w:t>מהרי"ט אלגאזי</w:t>
      </w:r>
      <w:r w:rsidRPr="00C65D8D">
        <w:rPr>
          <w:rStyle w:val="aff4"/>
          <w:rFonts w:hint="cs"/>
          <w:vanish/>
          <w:rtl/>
        </w:rPr>
        <w:t>-</w:t>
      </w:r>
      <w:r>
        <w:rPr>
          <w:rFonts w:hint="cs"/>
          <w:rtl/>
        </w:rPr>
        <w:t xml:space="preserve"> </w:t>
      </w:r>
      <w:r>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Ref135325795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ו)</w:t>
      </w:r>
      <w:r>
        <w:rPr>
          <w:rStyle w:val="af2"/>
          <w:rFonts w:eastAsia="Guttman Hodes"/>
          <w:rtl/>
        </w:rPr>
        <w:fldChar w:fldCharType="end"/>
      </w:r>
      <w:r>
        <w:rPr>
          <w:rFonts w:hint="cs"/>
          <w:rtl/>
        </w:rPr>
        <w:t>.</w:t>
      </w:r>
      <w:bookmarkEnd w:id="1676"/>
    </w:p>
    <w:p w14:paraId="4ECFE5FD" w14:textId="77777777" w:rsidR="000426DE" w:rsidRPr="00747170" w:rsidRDefault="000426DE" w:rsidP="00747170">
      <w:pPr>
        <w:pStyle w:val="a2"/>
        <w:rPr>
          <w:rtl/>
        </w:rPr>
      </w:pPr>
      <w:r w:rsidRPr="00747170">
        <w:rPr>
          <w:rtl/>
        </w:rPr>
        <w:t>אמנם אם נאמר כמ"ש דלדעת רש"י פליג ש"ס דילן אירושלמי בעיקר הסברא דמבדיל ממקום חיותו מיקרי קוצר אשה"ט, די"ל דלעולם ס"ל להירושלמי נמי דחלב פקיד ועקיר כסברת רש"י ואפ"ה חייב משום קוצר משום דהירושלמי לטעמיה אזיל דמבדיל ממקום חיותו הוי קוצר וה"נ מבדיל את החלב ממקום חיותו וחייב, משא"כ לש"ס דילן דמבדיל מחיותו לא הוי קוצר וצריך שיהא מחובר ממש שפיר דחי לה רש"י דא"א לחייב את החולב משום קוצר דחלב פקיד ועקיר, ועיי' מ"ש לעיל (אות א') וכן פי' בק"ע דמשו"ה חייב חולב משום קוצר להירושלמי משום שמבדילו מחיותו כמ"ש. ועיי' בש"ק ובגליון שעמדו על דברינו בחלקם</w:t>
      </w:r>
      <w:r w:rsidRPr="00747170">
        <w:rPr>
          <w:rFonts w:hint="cs"/>
          <w:rtl/>
        </w:rPr>
        <w:t>.</w:t>
      </w:r>
    </w:p>
    <w:p w14:paraId="18B6F799" w14:textId="788ED14F" w:rsidR="000426DE" w:rsidRPr="00AB3426" w:rsidRDefault="000426DE" w:rsidP="000426DE">
      <w:pPr>
        <w:pStyle w:val="afffff7"/>
        <w:rPr>
          <w:rtl/>
        </w:rPr>
      </w:pPr>
      <w:bookmarkStart w:id="1677" w:name="_Toc135513746"/>
      <w:bookmarkStart w:id="1678" w:name="_Toc163505668"/>
      <w:r w:rsidRPr="00AB3426">
        <w:rPr>
          <w:rtl/>
        </w:rPr>
        <w:t>קרבן העדה שבת פ"ז הלכה ב</w:t>
      </w:r>
      <w:bookmarkEnd w:id="1677"/>
      <w:bookmarkEnd w:id="1678"/>
    </w:p>
    <w:p w14:paraId="3E457682" w14:textId="77777777" w:rsidR="000426DE" w:rsidRPr="00D578AC" w:rsidRDefault="000426DE" w:rsidP="00747170">
      <w:pPr>
        <w:pStyle w:val="afffff5"/>
        <w:rPr>
          <w:rtl/>
        </w:rPr>
      </w:pPr>
      <w:r w:rsidRPr="00D578AC">
        <w:rPr>
          <w:rtl/>
        </w:rPr>
        <w:t>חייב משום קוצר. שכל שמבדיל דבר מחיותו חייב משום קוצר:</w:t>
      </w:r>
    </w:p>
    <w:p w14:paraId="09E02F79" w14:textId="0FFEBC88" w:rsidR="000426DE" w:rsidRDefault="000426DE" w:rsidP="000426DE">
      <w:pPr>
        <w:pStyle w:val="a7"/>
        <w:rPr>
          <w:rtl/>
        </w:rPr>
      </w:pPr>
      <w:bookmarkStart w:id="1679" w:name="_Toc139316422"/>
      <w:r>
        <w:rPr>
          <w:rFonts w:hint="cs"/>
          <w:rtl/>
        </w:rPr>
        <w:t>בי' הדב"א בי"מ ברש"י דמוכח דהבבלי מודה להפסקת חיות אך צ"ב דחולב לא מפסיק חיות</w:t>
      </w:r>
      <w:bookmarkEnd w:id="1679"/>
    </w:p>
    <w:p w14:paraId="7889EB0D" w14:textId="0872E0B6" w:rsidR="000426DE" w:rsidRPr="00A269AE" w:rsidRDefault="000426DE" w:rsidP="00BC7DC8">
      <w:pPr>
        <w:pStyle w:val="a3"/>
      </w:pPr>
      <w:bookmarkStart w:id="1680" w:name="_Ref134721367"/>
      <w:r>
        <w:rPr>
          <w:rFonts w:hint="cs"/>
          <w:rtl/>
        </w:rPr>
        <w:t xml:space="preserve">ובדעת </w:t>
      </w:r>
      <w:r w:rsidRPr="00C65D8D">
        <w:rPr>
          <w:rStyle w:val="aff4"/>
          <w:rFonts w:hint="cs"/>
          <w:vanish/>
          <w:rtl/>
        </w:rPr>
        <w:t>-</w:t>
      </w:r>
      <w:r w:rsidRPr="00C65D8D">
        <w:rPr>
          <w:rStyle w:val="aff4"/>
          <w:rFonts w:hint="cs"/>
          <w:rtl/>
        </w:rPr>
        <w:t>הי"מ ברש"י לקמן</w:t>
      </w:r>
      <w:r w:rsidRPr="00C65D8D">
        <w:rPr>
          <w:rStyle w:val="aff4"/>
          <w:rFonts w:hint="cs"/>
          <w:vanish/>
          <w:rtl/>
        </w:rPr>
        <w:t>-</w:t>
      </w:r>
      <w:r>
        <w:rPr>
          <w:rFonts w:hint="cs"/>
          <w:rtl/>
        </w:rPr>
        <w:t xml:space="preserve"> </w:t>
      </w:r>
      <w:r w:rsidRPr="00FB451D">
        <w:rPr>
          <w:rStyle w:val="af2"/>
          <w:rFonts w:eastAsia="Guttman Hodes" w:hint="cs"/>
          <w:rtl/>
        </w:rPr>
        <w:t xml:space="preserve">(עי' אות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Ref135299758 \r \h</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כה)</w:t>
      </w:r>
      <w:r w:rsidRPr="00FB451D">
        <w:rPr>
          <w:rStyle w:val="af2"/>
          <w:rFonts w:eastAsia="Guttman Hodes"/>
          <w:rtl/>
        </w:rPr>
        <w:fldChar w:fldCharType="end"/>
      </w:r>
      <w:r>
        <w:rPr>
          <w:rStyle w:val="af2"/>
          <w:rFonts w:eastAsia="Guttman Hodes" w:hint="cs"/>
          <w:rtl/>
        </w:rPr>
        <w:t xml:space="preserve"> </w:t>
      </w:r>
      <w:r>
        <w:rPr>
          <w:rFonts w:hint="cs"/>
          <w:rtl/>
        </w:rPr>
        <w:t xml:space="preserve">דביארו בגמ' לקמן </w:t>
      </w:r>
      <w:r w:rsidRPr="00FB451D">
        <w:rPr>
          <w:rStyle w:val="af2"/>
          <w:rFonts w:eastAsia="Guttman Hodes" w:hint="cs"/>
          <w:rtl/>
        </w:rPr>
        <w:t>(צה.)</w:t>
      </w:r>
      <w:r>
        <w:rPr>
          <w:rFonts w:hint="cs"/>
          <w:rtl/>
        </w:rPr>
        <w:t xml:space="preserve"> דחולב חייב משום קוצר, ביאר </w:t>
      </w:r>
      <w:r w:rsidRPr="00C65D8D">
        <w:rPr>
          <w:rStyle w:val="aff4"/>
          <w:rFonts w:hint="cs"/>
          <w:vanish/>
          <w:rtl/>
        </w:rPr>
        <w:t>-</w:t>
      </w:r>
      <w:r w:rsidRPr="00C65D8D">
        <w:rPr>
          <w:rStyle w:val="aff4"/>
          <w:rFonts w:hint="cs"/>
          <w:rtl/>
        </w:rPr>
        <w:t>הדבר אברהם</w:t>
      </w:r>
      <w:r w:rsidRPr="00C65D8D">
        <w:rPr>
          <w:rStyle w:val="aff4"/>
          <w:rFonts w:hint="cs"/>
          <w:vanish/>
          <w:rtl/>
        </w:rPr>
        <w:t>-</w:t>
      </w:r>
      <w:r>
        <w:rPr>
          <w:rFonts w:hint="cs"/>
          <w:rtl/>
        </w:rPr>
        <w:t xml:space="preserve"> דס"ל דהבבלי מודה לסברת הירושלמי דקוצר הוא הפסקת החיות, ולכן אעפ"י דהחלב הוא מיפקד פקיד, מ"מ חייב עליו משום קוצר, והא דאמר שמואל לקמן </w:t>
      </w:r>
      <w:r w:rsidRPr="00FB451D">
        <w:rPr>
          <w:rStyle w:val="af2"/>
          <w:rFonts w:eastAsia="Guttman Hodes" w:hint="cs"/>
          <w:rtl/>
        </w:rPr>
        <w:t>(קז:)</w:t>
      </w:r>
      <w:r>
        <w:rPr>
          <w:rFonts w:hint="cs"/>
          <w:rtl/>
        </w:rPr>
        <w:t xml:space="preserve"> דהשולה דג חייב, מודה שמואל דהוא חייב גם משום קוצר, וכדביאר </w:t>
      </w:r>
      <w:r w:rsidRPr="00C65D8D">
        <w:rPr>
          <w:rStyle w:val="aff4"/>
          <w:rFonts w:hint="cs"/>
          <w:vanish/>
          <w:rtl/>
        </w:rPr>
        <w:t>-</w:t>
      </w:r>
      <w:r w:rsidRPr="00C65D8D">
        <w:rPr>
          <w:rStyle w:val="aff4"/>
          <w:rFonts w:hint="cs"/>
          <w:rtl/>
        </w:rPr>
        <w:t>הדבר אברהם</w:t>
      </w:r>
      <w:r w:rsidRPr="00C65D8D">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Ref134721572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עז)</w:t>
      </w:r>
      <w:r>
        <w:rPr>
          <w:rStyle w:val="af2"/>
          <w:rFonts w:eastAsia="Guttman Hodes"/>
          <w:rtl/>
        </w:rPr>
        <w:fldChar w:fldCharType="end"/>
      </w:r>
      <w:r>
        <w:rPr>
          <w:rFonts w:hint="cs"/>
          <w:rtl/>
        </w:rPr>
        <w:t xml:space="preserve"> בדעת </w:t>
      </w:r>
      <w:r w:rsidRPr="00C65D8D">
        <w:rPr>
          <w:rStyle w:val="aff4"/>
          <w:rFonts w:hint="cs"/>
          <w:vanish/>
          <w:rtl/>
        </w:rPr>
        <w:t>-</w:t>
      </w:r>
      <w:r w:rsidRPr="00C65D8D">
        <w:rPr>
          <w:rStyle w:val="aff4"/>
          <w:rFonts w:hint="cs"/>
          <w:rtl/>
        </w:rPr>
        <w:t>רבינו גרשום</w:t>
      </w:r>
      <w:r w:rsidRPr="00C65D8D">
        <w:rPr>
          <w:rStyle w:val="aff4"/>
          <w:rFonts w:hint="cs"/>
          <w:vanish/>
          <w:rtl/>
        </w:rPr>
        <w:t>-</w:t>
      </w:r>
      <w:r>
        <w:rPr>
          <w:rFonts w:hint="cs"/>
          <w:rtl/>
        </w:rPr>
        <w:t xml:space="preserve"> דשמואל בא לחדש דחייב גם משום נטילת נשמה לאחר שיבש כסלע, אך דחה </w:t>
      </w:r>
      <w:r w:rsidRPr="00C65D8D">
        <w:rPr>
          <w:rStyle w:val="aff4"/>
          <w:rFonts w:hint="cs"/>
          <w:vanish/>
          <w:rtl/>
        </w:rPr>
        <w:t>-</w:t>
      </w:r>
      <w:r w:rsidRPr="00C65D8D">
        <w:rPr>
          <w:rStyle w:val="aff4"/>
          <w:rFonts w:hint="cs"/>
          <w:rtl/>
        </w:rPr>
        <w:t>הדבר אברהם</w:t>
      </w:r>
      <w:r w:rsidRPr="00C65D8D">
        <w:rPr>
          <w:rStyle w:val="aff4"/>
          <w:rFonts w:hint="cs"/>
          <w:vanish/>
          <w:rtl/>
        </w:rPr>
        <w:t>-</w:t>
      </w:r>
      <w:r>
        <w:rPr>
          <w:rFonts w:hint="cs"/>
          <w:rtl/>
        </w:rPr>
        <w:t xml:space="preserve"> דא"א לומר דהחולב הוא קוצר מסברת דקיסרין בירושלמי </w:t>
      </w:r>
      <w:r w:rsidRPr="00FB451D">
        <w:rPr>
          <w:rStyle w:val="af2"/>
          <w:rFonts w:eastAsia="Guttman Hodes" w:hint="cs"/>
          <w:rtl/>
        </w:rPr>
        <w:t>(פ"ז ה"ב, מח:)</w:t>
      </w:r>
      <w:r>
        <w:rPr>
          <w:rFonts w:hint="cs"/>
          <w:rtl/>
        </w:rPr>
        <w:t xml:space="preserve"> דכל דבר שמבדילו מחיותו חייב משום קוצר, דהחיות של החלב אינה תלויה בעטיני הדד, והוא כחלב בכלי, ואדרבה אם לא יחלוב אותו יתקלקל, אלא כתב </w:t>
      </w:r>
      <w:r w:rsidRPr="00C65D8D">
        <w:rPr>
          <w:rStyle w:val="aff4"/>
          <w:rFonts w:hint="cs"/>
          <w:vanish/>
          <w:rtl/>
        </w:rPr>
        <w:t>-</w:t>
      </w:r>
      <w:r w:rsidRPr="00C65D8D">
        <w:rPr>
          <w:rStyle w:val="aff4"/>
          <w:rFonts w:hint="cs"/>
          <w:rtl/>
        </w:rPr>
        <w:t>הדבר אברהם</w:t>
      </w:r>
      <w:r w:rsidRPr="00C65D8D">
        <w:rPr>
          <w:rStyle w:val="aff4"/>
          <w:rFonts w:hint="cs"/>
          <w:vanish/>
          <w:rtl/>
        </w:rPr>
        <w:t>-</w:t>
      </w:r>
      <w:r>
        <w:rPr>
          <w:rFonts w:hint="cs"/>
          <w:rtl/>
        </w:rPr>
        <w:t xml:space="preserve"> דמוכח דס"ל להירושלמי דחלב הוא מחובר ואינו מיפקד פקיד, וצ"ע טובא אמאי דחה </w:t>
      </w:r>
      <w:r w:rsidRPr="00C65D8D">
        <w:rPr>
          <w:rStyle w:val="aff4"/>
          <w:rFonts w:hint="cs"/>
          <w:vanish/>
          <w:rtl/>
        </w:rPr>
        <w:t>-</w:t>
      </w:r>
      <w:r w:rsidRPr="00C65D8D">
        <w:rPr>
          <w:rStyle w:val="aff4"/>
          <w:rFonts w:hint="cs"/>
          <w:rtl/>
        </w:rPr>
        <w:t>רש"י לקמן</w:t>
      </w:r>
      <w:r w:rsidRPr="00C65D8D">
        <w:rPr>
          <w:rStyle w:val="aff4"/>
          <w:rFonts w:hint="cs"/>
          <w:vanish/>
          <w:rtl/>
        </w:rPr>
        <w:t>-</w:t>
      </w:r>
      <w:r>
        <w:rPr>
          <w:rFonts w:hint="cs"/>
          <w:rtl/>
        </w:rPr>
        <w:t xml:space="preserve"> את דעת </w:t>
      </w:r>
      <w:r w:rsidRPr="00C65D8D">
        <w:rPr>
          <w:rStyle w:val="aff4"/>
          <w:rFonts w:hint="cs"/>
          <w:vanish/>
          <w:rtl/>
        </w:rPr>
        <w:t>-</w:t>
      </w:r>
      <w:r w:rsidRPr="00C65D8D">
        <w:rPr>
          <w:rStyle w:val="aff4"/>
          <w:rFonts w:hint="cs"/>
          <w:rtl/>
        </w:rPr>
        <w:t>הי"מ</w:t>
      </w:r>
      <w:r w:rsidRPr="00C65D8D">
        <w:rPr>
          <w:rStyle w:val="aff4"/>
          <w:rFonts w:hint="cs"/>
          <w:vanish/>
          <w:rtl/>
        </w:rPr>
        <w:t>-</w:t>
      </w:r>
      <w:r>
        <w:rPr>
          <w:rFonts w:hint="cs"/>
          <w:rtl/>
        </w:rPr>
        <w:t>, עיי"ש בדברי במה שהאריך בזה.</w:t>
      </w:r>
      <w:bookmarkEnd w:id="1680"/>
    </w:p>
    <w:p w14:paraId="5E0B5778" w14:textId="77777777" w:rsidR="000426DE" w:rsidRPr="00747170" w:rsidRDefault="000426DE" w:rsidP="00747170">
      <w:pPr>
        <w:pStyle w:val="a2"/>
      </w:pPr>
      <w:r w:rsidRPr="00747170">
        <w:rPr>
          <w:rtl/>
        </w:rPr>
        <w:t>ולשי' האית דאמרי י"ל דסברי דש"ס דילן ס"ל נמי כהירושלמי דכל שמבדילו מחיותו הוי קוצר ושמואל דקאמר השולה דג כו' מודי נמי דחייב מיד משום קוצר וכמש"ל אליבא דרבנו גרשם</w:t>
      </w:r>
      <w:r w:rsidRPr="00747170">
        <w:rPr>
          <w:rFonts w:hint="cs"/>
          <w:rtl/>
        </w:rPr>
        <w:t>.</w:t>
      </w:r>
    </w:p>
    <w:p w14:paraId="74277945" w14:textId="77777777" w:rsidR="000426DE" w:rsidRPr="009F3082" w:rsidRDefault="000426DE" w:rsidP="00747170">
      <w:pPr>
        <w:pStyle w:val="afffff5"/>
        <w:rPr>
          <w:rStyle w:val="afff7"/>
          <w:rtl/>
        </w:rPr>
      </w:pPr>
      <w:r w:rsidRPr="00D578AC">
        <w:rPr>
          <w:rtl/>
        </w:rPr>
        <w:t xml:space="preserve">אבל לענ"ד נראה דא"א לפרש קוצר דחולב משום מבדילו מחיותו כצד נונא דשאני התם שחיות הדגים תלוי במים אבל האי חלב במה חיותו תלויה בעטיני הדד הרי הוי כחלב שבכלי ואדרבא אם לא יחלבוהו וישהה יתקלקל. </w:t>
      </w:r>
      <w:r w:rsidRPr="009F3082">
        <w:rPr>
          <w:rStyle w:val="afff7"/>
          <w:rtl/>
        </w:rPr>
        <w:t>ואין לומר דמ"מ מיקרי מבדילו מחיותו משום דברייתו וגידולו היה בעטיני הדד דא"כ דש נמי ליחייב משום קוצר שהגרעינים גדלו במוץ שלהן וזה מקום ברייתן. וגדולה מזו כתב היש"ש בביצה פ' אין צדין וז"ל ומ"מ נ"ל דוקא בביבר שהדגים שטין במים כמו בבריכה ואוכלים מעפר הארץ ועשבים ע"כ הצד אותם הוי כעוקר אותם ממקום גידולם ומ"ה אמרינן נמי בירושלמי פ' כלל גדול רבנן דקסרין אמרי הדין דצייד כוורא כו' ומ"מ דוקא בביברין שהן על הארץ אבל מה שיש ארגז מנוקב בתוך המים לא שייך בהו צידה כלל ושרי ביום טוב לצוד מהם יעוש"ה. ואף על פי שדבריו תמוהים לכאורה דא"כ הצד בהמה וחיה ממקום מרעיתם ליחייב משום עוקר דבר מגידולו, צ"ל דלא קאמר לה אלא בכוורא דעיקר החיוב של עוקר דבר מגידולו שיש בהם הוא באמת רק בשביל המים שהם חיים בתוכם ולא בשביל מה שאוכלים מעפר הארץ ועשבים, אלא היש"ש בא למעט מדעתי' דנפשי' שאין המים מועילים למישווי' לעוקר דבר מגידולו אא"כ היו בהם גם עשבים כדי חיותם אבל אם אין בהם עשבים לא מהני מים לחוד ולא הוי עוקר דבר מגידולו, אבל הא מיהא ודאי דמקום מזונות לחוד לא הוי כמקום חיותו עכ"פ הרי חזינן דלא חשיב עוקר דבר מגידולו כשמוציא ממקום שהיה גדל ורבה שם אלא כשמוציא ממה שחיותו תלויה בו ולא יפה מדמי לה בעל ק"ע קוצר דחול</w:t>
      </w:r>
      <w:r w:rsidRPr="009F3082">
        <w:rPr>
          <w:rStyle w:val="afff7"/>
          <w:rFonts w:hint="cs"/>
          <w:rtl/>
        </w:rPr>
        <w:t>ב</w:t>
      </w:r>
      <w:r w:rsidRPr="009F3082">
        <w:rPr>
          <w:rStyle w:val="afff7"/>
          <w:rtl/>
        </w:rPr>
        <w:t xml:space="preserve"> לקוצר דצד כוורא ולא מן השם הוא והשתא בע"כ צ"ל דהירושלמי ס"ל דכשם שדם חבורי מיחבר כדאמרינן בשבת (דף קל"ג ע"ב) מהו דתימא דם מיפקד פקיד קמ"ל דדם חבורי מיחבר ה"נ חלב חבורי מיחבר וא"כ הוי עוקר ממקום חיבורו ממש. ומה שחייב בחלות דבש משום קוצר אף על גב דבודאי אינו מחובר היינו משום דאמרינן בש"ס דילן וכי מה ענין דבש אצל יער אלא לומר לך כו' ולכן גם החיוב הוי משום קוצר כיער. ולפי"ז קשה טובא על רש"י ז"ל שדחה להאית דאמרי מסברא דנפשיה דחלב פקיד ועקיר והרי מבואר בירושלמי דהוי מחובר ולפלפולא בעלמא י"ל דהא דחלב מיפקד פקיד או חבורי מיחבר תליא, בפלוגתא דר"מ ור"י בנדה (דף ט') דר"מ ס"ל דם נעכר ונעשה חלב ור"י פליג, והא דסבר הירושלמי דחלב חבורי מיחבר היינו טעמיה משום דדם נעכר ונעשה חלב והלכך כשם שדם עצמו חבורי מיחבר כמ"ש ה"נ חלב שנעשה ממנו הוי מחובר אבל לר"י דחלב מילתא אחריתא הוא ואינו שייך כלל לדם [יעו"ש בפירש"י ורבנן אמר ר' יוחנן כלומר ורבנן האי קרא מאי עבדי ליה כו'] אה"נ דלא הוי מחובר, ומשו"ה כיון דאנן קיי"ל דלא כר"מ, דהרי פסקינן דמניקה שמת בנה דיה שעתה כל כ"ד חדש ואם היתה מניקתו ארבע וחמש שנים מטמאה מעת לעת ומפקידה לפקידה כמבואר ברמב"ם (פ"ד מהלכות מטמאי מו"מ ה"א) ובשו"ע יו"ד (סי' קפ"ט סל"ג) ואמרינן התם בסוגיא כשתמצא לומר לדברי ר"מ דם נעכר ונעשה חלב לדברי ר"י כו' אבריה מתפרקין כו',* והכא קיי"ל כר"א דחולב חייב חטאת לכן ס"ל לרש"י דלא הוי משום קוצר לדר"י דקיי"ל כוותיה חלב מיפקד פקיד ותקשה הלכתא אהלכתא, אבל הירושלמי י"ל דס"ל דהלכה כר"מ או דמוקים לה דר"א דחולב סבר כר"מ דדם נעכר כו' אמנם זהו רק לפלפולא אבל לקושטא דמילתא דברי רש"י ז"ל צע"ג דשיטת האית דאמרי היא שיטת הירושלמי והוא ז"ל דחאה בשתי ידים מסברא גרידא:</w:t>
      </w:r>
    </w:p>
    <w:p w14:paraId="296454BD" w14:textId="77777777" w:rsidR="000426DE" w:rsidRPr="00B24305" w:rsidRDefault="000426DE" w:rsidP="000426DE">
      <w:pPr>
        <w:pStyle w:val="1"/>
        <w:rPr>
          <w:rtl/>
        </w:rPr>
      </w:pPr>
      <w:bookmarkStart w:id="1681" w:name="_Toc139316423"/>
      <w:bookmarkStart w:id="1682" w:name="_Ref134695712"/>
      <w:bookmarkStart w:id="1683" w:name="_Hlk134652108"/>
      <w:r w:rsidRPr="00B24305">
        <w:rPr>
          <w:rFonts w:hint="cs"/>
          <w:rtl/>
        </w:rPr>
        <w:t>הוכחת הדב"א דלדידן קוצר אינו הפסקת חיות דאף ביבש אסור</w:t>
      </w:r>
      <w:bookmarkEnd w:id="1681"/>
    </w:p>
    <w:p w14:paraId="09139621" w14:textId="77777777" w:rsidR="000426DE" w:rsidRPr="0091712A" w:rsidRDefault="000426DE" w:rsidP="000426DE">
      <w:pPr>
        <w:pStyle w:val="a7"/>
      </w:pPr>
      <w:bookmarkStart w:id="1684" w:name="_Toc139316424"/>
      <w:r>
        <w:rPr>
          <w:rFonts w:hint="cs"/>
          <w:rtl/>
        </w:rPr>
        <w:t>בי' הדב"א דאף אי הבבלי ס"ל דקוצר רק בגידו"ק אפש"ל דמודה לסברת הירו' בהפסקת חיות</w:t>
      </w:r>
      <w:bookmarkEnd w:id="1684"/>
    </w:p>
    <w:p w14:paraId="4F731DB2" w14:textId="7B2FA1C3" w:rsidR="000426DE" w:rsidRPr="00A20D25" w:rsidRDefault="000426DE" w:rsidP="00BC7DC8">
      <w:pPr>
        <w:pStyle w:val="a3"/>
        <w:rPr>
          <w:rtl/>
        </w:rPr>
      </w:pPr>
      <w:r>
        <w:rPr>
          <w:rFonts w:hint="cs"/>
          <w:rtl/>
        </w:rPr>
        <w:t xml:space="preserve">וכתב </w:t>
      </w:r>
      <w:r w:rsidRPr="00C65D8D">
        <w:rPr>
          <w:rStyle w:val="aff4"/>
          <w:rFonts w:hint="cs"/>
          <w:vanish/>
          <w:rtl/>
        </w:rPr>
        <w:t>-</w:t>
      </w:r>
      <w:r w:rsidRPr="00C65D8D">
        <w:rPr>
          <w:rStyle w:val="aff4"/>
          <w:rFonts w:hint="cs"/>
          <w:rtl/>
        </w:rPr>
        <w:t>הדבר אברהם</w:t>
      </w:r>
      <w:r w:rsidRPr="00C65D8D">
        <w:rPr>
          <w:rStyle w:val="aff4"/>
          <w:rFonts w:hint="cs"/>
          <w:vanish/>
          <w:rtl/>
        </w:rPr>
        <w:t>-</w:t>
      </w:r>
      <w:r>
        <w:rPr>
          <w:rFonts w:hint="cs"/>
          <w:rtl/>
        </w:rPr>
        <w:t xml:space="preserve"> </w:t>
      </w:r>
      <w:r w:rsidRPr="00FB451D">
        <w:rPr>
          <w:rStyle w:val="af2"/>
          <w:rFonts w:eastAsia="Guttman Hodes" w:hint="cs"/>
          <w:rtl/>
        </w:rPr>
        <w:t>(ח"א סי' כ"ד אות י"ד ד"ה ועפי"ז)</w:t>
      </w:r>
      <w:r>
        <w:rPr>
          <w:rFonts w:hint="cs"/>
          <w:rtl/>
        </w:rPr>
        <w:t xml:space="preserve"> דבהא דס"ל להירושלמי דחולב הוי קוצר, דלדידן ודאי דקיי"ל כדעת </w:t>
      </w:r>
      <w:r w:rsidRPr="00C65D8D">
        <w:rPr>
          <w:rStyle w:val="aff4"/>
          <w:rFonts w:hint="cs"/>
          <w:vanish/>
          <w:rtl/>
        </w:rPr>
        <w:t>-</w:t>
      </w:r>
      <w:r w:rsidRPr="00C65D8D">
        <w:rPr>
          <w:rStyle w:val="aff4"/>
          <w:rFonts w:hint="cs"/>
          <w:rtl/>
        </w:rPr>
        <w:t>הרמב"ן</w:t>
      </w:r>
      <w:r w:rsidRPr="00C65D8D">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Ref134521888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כא)</w:t>
      </w:r>
      <w:r>
        <w:rPr>
          <w:rStyle w:val="af2"/>
          <w:rFonts w:eastAsia="Guttman Hodes"/>
          <w:rtl/>
        </w:rPr>
        <w:fldChar w:fldCharType="end"/>
      </w:r>
      <w:r>
        <w:rPr>
          <w:rFonts w:hint="cs"/>
          <w:rtl/>
        </w:rPr>
        <w:t xml:space="preserve"> וכן דעת </w:t>
      </w:r>
      <w:r w:rsidRPr="00C65D8D">
        <w:rPr>
          <w:rStyle w:val="aff4"/>
          <w:rFonts w:hint="cs"/>
          <w:vanish/>
          <w:rtl/>
        </w:rPr>
        <w:t>-</w:t>
      </w:r>
      <w:r w:rsidRPr="00C65D8D">
        <w:rPr>
          <w:rStyle w:val="aff4"/>
          <w:rFonts w:hint="cs"/>
          <w:rtl/>
        </w:rPr>
        <w:t>רוב הראשונים</w:t>
      </w:r>
      <w:r w:rsidRPr="00C65D8D">
        <w:rPr>
          <w:rStyle w:val="aff4"/>
          <w:rFonts w:hint="cs"/>
          <w:vanish/>
          <w:rtl/>
        </w:rPr>
        <w:t>-</w:t>
      </w:r>
      <w:r>
        <w:rPr>
          <w:rFonts w:hint="cs"/>
          <w:rtl/>
        </w:rPr>
        <w:t xml:space="preserve"> דאין קוצר בבע"ח, אבל בסברת הירושלמי דמבדילן ממקום חיותן הוי קוצר, כתב </w:t>
      </w:r>
      <w:r w:rsidRPr="00C65D8D">
        <w:rPr>
          <w:rStyle w:val="aff4"/>
          <w:rFonts w:hint="cs"/>
          <w:vanish/>
          <w:rtl/>
        </w:rPr>
        <w:t>-</w:t>
      </w:r>
      <w:r w:rsidRPr="00C65D8D">
        <w:rPr>
          <w:rStyle w:val="aff4"/>
          <w:rFonts w:hint="cs"/>
          <w:rtl/>
        </w:rPr>
        <w:t>הדבר אברהם</w:t>
      </w:r>
      <w:r w:rsidRPr="00C65D8D">
        <w:rPr>
          <w:rStyle w:val="aff4"/>
          <w:rFonts w:hint="cs"/>
          <w:vanish/>
          <w:rtl/>
        </w:rPr>
        <w:t>-</w:t>
      </w:r>
      <w:r>
        <w:rPr>
          <w:rFonts w:hint="cs"/>
          <w:rtl/>
        </w:rPr>
        <w:t xml:space="preserve"> דהיה אפש"ל דאף לדידן קיי"ל כירושלמי בסברא זו, אעפ"י דלענין שולה דג כתבו </w:t>
      </w:r>
      <w:r w:rsidRPr="00C65D8D">
        <w:rPr>
          <w:rStyle w:val="aff4"/>
          <w:rFonts w:hint="cs"/>
          <w:vanish/>
          <w:rtl/>
        </w:rPr>
        <w:t>-</w:t>
      </w:r>
      <w:r w:rsidRPr="00C65D8D">
        <w:rPr>
          <w:rStyle w:val="aff4"/>
          <w:rFonts w:hint="cs"/>
          <w:rtl/>
        </w:rPr>
        <w:t>רש"י ותוס'</w:t>
      </w:r>
      <w:r w:rsidRPr="00C65D8D">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Ref135405568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א)</w:t>
      </w:r>
      <w:r>
        <w:rPr>
          <w:rStyle w:val="af2"/>
          <w:rFonts w:eastAsia="Guttman Hodes"/>
          <w:rtl/>
        </w:rPr>
        <w:fldChar w:fldCharType="end"/>
      </w:r>
      <w:r>
        <w:rPr>
          <w:rFonts w:hint="cs"/>
          <w:rtl/>
        </w:rPr>
        <w:t xml:space="preserve"> דלבבלי חיובו משום נטילת נשמה ולא משום קוצר, אבל לענין עיקר הסברא לחייב קוצר בנטילת החיות אפש"ל דהבבלי לא פליג. </w:t>
      </w:r>
      <w:r w:rsidRPr="007A72D8">
        <w:rPr>
          <w:rStyle w:val="af"/>
          <w:rFonts w:hint="cs"/>
          <w:rtl/>
        </w:rPr>
        <w:t xml:space="preserve">[וכתב </w:t>
      </w:r>
      <w:r w:rsidRPr="00394B7E">
        <w:rPr>
          <w:rStyle w:val="aff9"/>
          <w:rFonts w:hint="cs"/>
          <w:vanish/>
          <w:rtl/>
        </w:rPr>
        <w:t>-</w:t>
      </w:r>
      <w:r w:rsidRPr="00394B7E">
        <w:rPr>
          <w:rStyle w:val="aff9"/>
          <w:rFonts w:hint="cs"/>
          <w:rtl/>
        </w:rPr>
        <w:t>הדבר אברהם</w:t>
      </w:r>
      <w:r w:rsidRPr="00394B7E">
        <w:rPr>
          <w:rStyle w:val="aff9"/>
          <w:rFonts w:hint="cs"/>
          <w:vanish/>
          <w:rtl/>
        </w:rPr>
        <w:t>-</w:t>
      </w:r>
      <w:r w:rsidRPr="007A72D8">
        <w:rPr>
          <w:rStyle w:val="af"/>
          <w:rFonts w:hint="cs"/>
          <w:rtl/>
        </w:rPr>
        <w:t xml:space="preserve"> דנ"מ לבע"ח שחיותן היא רק במקום רפש, דהמוציאן משם אף שאינו מנתקן מחיבורן, מ"מ מבדילן מחיותן]</w:t>
      </w:r>
      <w:r w:rsidRPr="00CD1359">
        <w:rPr>
          <w:rStyle w:val="af"/>
          <w:rFonts w:hint="cs"/>
          <w:rtl/>
        </w:rPr>
        <w:t>.</w:t>
      </w:r>
      <w:bookmarkEnd w:id="1682"/>
    </w:p>
    <w:p w14:paraId="0E4707DD" w14:textId="77777777" w:rsidR="000426DE" w:rsidRPr="00747170" w:rsidRDefault="000426DE" w:rsidP="00747170">
      <w:pPr>
        <w:pStyle w:val="a2"/>
        <w:rPr>
          <w:rtl/>
        </w:rPr>
      </w:pPr>
      <w:r w:rsidRPr="00747170">
        <w:rPr>
          <w:rtl/>
        </w:rPr>
        <w:t>והנה לשיטת הרמב"ן ולפי"מ דנקטינן השתא שהיא שיטת רוב הראשונים ז"ל דלדידן אין קוצר בבע"ח ההיא דירושלמי דחולב ודאי דלא כהלכתא היא, אבל ההיא דצייד כוורא אף על גב דלדינא פליג ש"ס דילן עלה לשי' רש"י ותוס' כמש"ל מ"מ עיקר הסברא דהבדלת החיות הוי כקוצר מן המחובר אפשר דקיימת גם לדידן ונ"מ לבע"ח הגדלים רק בעפר כמ"ש.</w:t>
      </w:r>
    </w:p>
    <w:p w14:paraId="560566BA" w14:textId="77777777" w:rsidR="000426DE" w:rsidRDefault="000426DE" w:rsidP="000426DE">
      <w:pPr>
        <w:pStyle w:val="a7"/>
        <w:rPr>
          <w:rtl/>
        </w:rPr>
      </w:pPr>
      <w:bookmarkStart w:id="1685" w:name="_Toc139316425"/>
      <w:r>
        <w:rPr>
          <w:rFonts w:hint="cs"/>
          <w:rtl/>
        </w:rPr>
        <w:t>דחיית הדב"א דמחיוב קוצר ביבש מוכח דלבבלי קוצר הוא רק תולש ממחובר ולא הפסקת חיות</w:t>
      </w:r>
      <w:bookmarkEnd w:id="1685"/>
    </w:p>
    <w:p w14:paraId="2842C550" w14:textId="3C911307" w:rsidR="000426DE" w:rsidRPr="008E1ADD" w:rsidRDefault="000426DE" w:rsidP="00BC7DC8">
      <w:pPr>
        <w:pStyle w:val="a3"/>
      </w:pPr>
      <w:r>
        <w:rPr>
          <w:rFonts w:hint="cs"/>
          <w:rtl/>
        </w:rPr>
        <w:t xml:space="preserve">אך דחה </w:t>
      </w:r>
      <w:r w:rsidRPr="00C65D8D">
        <w:rPr>
          <w:rStyle w:val="aff4"/>
          <w:rFonts w:hint="cs"/>
          <w:vanish/>
          <w:rtl/>
        </w:rPr>
        <w:t>-</w:t>
      </w:r>
      <w:r w:rsidRPr="00C65D8D">
        <w:rPr>
          <w:rStyle w:val="aff4"/>
          <w:rFonts w:hint="cs"/>
          <w:rtl/>
        </w:rPr>
        <w:t>הדבר אברהם</w:t>
      </w:r>
      <w:r w:rsidRPr="00C65D8D">
        <w:rPr>
          <w:rStyle w:val="aff4"/>
          <w:rFonts w:hint="cs"/>
          <w:vanish/>
          <w:rtl/>
        </w:rPr>
        <w:t>-</w:t>
      </w:r>
      <w:r>
        <w:rPr>
          <w:rFonts w:hint="cs"/>
          <w:rtl/>
        </w:rPr>
        <w:t xml:space="preserve"> דא"א לומר דלדידן יש חיוב קוצר בהבדלת החיות, דהא פסק </w:t>
      </w:r>
      <w:r w:rsidRPr="00C65D8D">
        <w:rPr>
          <w:rStyle w:val="aff4"/>
          <w:rFonts w:hint="cs"/>
          <w:vanish/>
          <w:rtl/>
        </w:rPr>
        <w:t>-</w:t>
      </w:r>
      <w:r w:rsidRPr="00C65D8D">
        <w:rPr>
          <w:rStyle w:val="aff4"/>
          <w:rFonts w:hint="cs"/>
          <w:rtl/>
        </w:rPr>
        <w:t>הרמב"ם</w:t>
      </w:r>
      <w:r w:rsidRPr="00C65D8D">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Ref134564918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לד)</w:t>
      </w:r>
      <w:r>
        <w:rPr>
          <w:rStyle w:val="af2"/>
          <w:rFonts w:eastAsia="Guttman Hodes"/>
          <w:rtl/>
        </w:rPr>
        <w:fldChar w:fldCharType="end"/>
      </w:r>
      <w:r>
        <w:rPr>
          <w:rFonts w:hint="cs"/>
          <w:rtl/>
        </w:rPr>
        <w:t xml:space="preserve"> כדעת שמואל בחולין </w:t>
      </w:r>
      <w:r w:rsidRPr="00FB451D">
        <w:rPr>
          <w:rStyle w:val="af2"/>
          <w:rFonts w:eastAsia="Guttman Hodes" w:hint="cs"/>
          <w:rtl/>
        </w:rPr>
        <w:t>(קכז:)</w:t>
      </w:r>
      <w:r>
        <w:rPr>
          <w:rFonts w:hint="cs"/>
          <w:rtl/>
        </w:rPr>
        <w:t xml:space="preserve"> ד</w:t>
      </w:r>
      <w:r>
        <w:rPr>
          <w:rtl/>
        </w:rPr>
        <w:t>תאנים שצמקו באיביהן התולש מהן בשבת חייב חטאת</w:t>
      </w:r>
      <w:r>
        <w:rPr>
          <w:rFonts w:hint="cs"/>
          <w:rtl/>
        </w:rPr>
        <w:t xml:space="preserve">, ומוכח דגדר מלאכת קוצר אינה הבדלת החיות כלל, אלא קצירה ממחובר אף במקום שאין הפירות יונקים כלל ואינו מבדילן מחיותן, וא"כ אי באב דקוצר מוכח דהגדר אינו הבדלת החיות, א"א לומר דבשולה דג יתחייב משום קוצר דמבדילו מחיותו, ומוכח דלדעת הירושלמי גדר האב דקוצר הוא הבדלת החיות ולכן אף בשולה דג אפשר לחייב, כתולדה של קוצר, אבל לדעת הבבלי גדר האב הוא קצירה ממחובר, ואילו הבדלת החיות אינה כלולה בגדר המלאכה. </w:t>
      </w:r>
    </w:p>
    <w:p w14:paraId="24985C71" w14:textId="77777777" w:rsidR="000426DE" w:rsidRPr="00747170" w:rsidRDefault="000426DE" w:rsidP="00747170">
      <w:pPr>
        <w:pStyle w:val="a2"/>
        <w:rPr>
          <w:rtl/>
        </w:rPr>
      </w:pPr>
      <w:r w:rsidRPr="00747170">
        <w:rPr>
          <w:rtl/>
        </w:rPr>
        <w:t>אבל עתה שבתי אני וראה דבסברא זו נמי פליג ש"ס דילן אירושלמי כמו שיבואר. דהנה לפי שיטת הירושלמי דהבדלת החיות הוי תולדה דקוצר בע"כ צ"ל דעיקר המלאכה שבאב נמי משום הבדלת חיות הוא, וזהו אופיה ויסודה של מלאכת הקוצר מה שמפסיק החיות, ולכן כל כי האי גוונא הוי תולדה דידיה דדמי לאב. ולפי"ז צ"ל דאין חיוב קצירה אא"כ היו הזרעים הנקצרים יונקים מן הקרקע וכשקצרם הפסיק חיותם ויש בו אופי של מלאכת קוצר אבל אם יבשו הזרעים ונפסקה כבר יניקתם מן הקרקע פטור הקוצרם לפי שלא הפסיק חיותם ויסוד מלאכת הקוצר חסר כאן. אבל אם נימא דיש קצירה אפילו אם נפסקה כבר יניקת הזרעים מן הקרקע ואין כאן הפסקת חיות בע"כ מוכח דאין גדרה ואופיה של מלאכת קוצר הבדלת החיות אלא עיקרה הוא רק מה שתולש מן הקרקע, וא"כ היאך אפשר לומר דהבדלת החיות נכללה במלאכת הקצירה והוי תולדה דידיה, מאי שייטא דהבדלת החיות לקוצר הרי כמו כן יכולה היא להיות תולדה דגוזז ואחריתי כמו שהיא תולדה דקוצר וכיון שכן אשכחנא דש"ס דילן פליג על סברא זו, דבחולין (דף קכ"ז ע"ב) אמר שמואל תאנים שצמקו באיביהן מטמאות טומאת אוכלין והתולש מהן בשבת חייב חטאת וכ"פ הרמב"ם (פ"ח מהלכות שבת) הרי חזינן דלדידן יש קוצר גם במקום שאין הפסקת חיות ואין זו אופיה של מלאכת קצירה שהרי תאנים שיבשו פסקה כבר יניקתם וחיותם וא"א לומר דהבדלת החיות חשובה כתולדה דקוצר:</w:t>
      </w:r>
    </w:p>
    <w:p w14:paraId="041F0E61" w14:textId="3A4048D0" w:rsidR="000426DE" w:rsidRDefault="000426DE" w:rsidP="000426DE">
      <w:pPr>
        <w:pStyle w:val="afffff7"/>
        <w:rPr>
          <w:rtl/>
        </w:rPr>
      </w:pPr>
      <w:bookmarkStart w:id="1686" w:name="_Toc135513747"/>
      <w:bookmarkStart w:id="1687" w:name="_Toc163505669"/>
      <w:bookmarkEnd w:id="1683"/>
      <w:r>
        <w:rPr>
          <w:rFonts w:hint="cs"/>
          <w:rtl/>
        </w:rPr>
        <w:t xml:space="preserve">דבר אברהם ח"א סי' כ"ד אות י"ד ד"ה </w:t>
      </w:r>
      <w:r w:rsidRPr="00C03F0A">
        <w:rPr>
          <w:rtl/>
        </w:rPr>
        <w:t>ולכאורה</w:t>
      </w:r>
      <w:bookmarkEnd w:id="1686"/>
      <w:bookmarkEnd w:id="1687"/>
    </w:p>
    <w:p w14:paraId="367762F9" w14:textId="77777777" w:rsidR="000426DE" w:rsidRDefault="000426DE" w:rsidP="000426DE">
      <w:pPr>
        <w:pStyle w:val="a7"/>
        <w:rPr>
          <w:rtl/>
        </w:rPr>
      </w:pPr>
      <w:bookmarkStart w:id="1688" w:name="_Toc139316426"/>
      <w:r>
        <w:rPr>
          <w:rFonts w:hint="cs"/>
          <w:rtl/>
        </w:rPr>
        <w:t>בי' הדב"א דלתוס' דאין קוצר באילן יבש הוא כיון דאינו מחובר לקרקע כלל וכתוחב קנה בקרקע</w:t>
      </w:r>
      <w:bookmarkEnd w:id="1688"/>
    </w:p>
    <w:p w14:paraId="1D1CCC17" w14:textId="042775D3" w:rsidR="000426DE" w:rsidRPr="00C03F0A" w:rsidRDefault="000426DE" w:rsidP="00BC7DC8">
      <w:pPr>
        <w:pStyle w:val="a3"/>
      </w:pPr>
      <w:bookmarkStart w:id="1689" w:name="_Ref134697038"/>
      <w:r>
        <w:rPr>
          <w:rFonts w:hint="cs"/>
          <w:rtl/>
        </w:rPr>
        <w:t xml:space="preserve">וכתב </w:t>
      </w:r>
      <w:r w:rsidRPr="00C65D8D">
        <w:rPr>
          <w:rStyle w:val="aff4"/>
          <w:rFonts w:hint="cs"/>
          <w:vanish/>
          <w:rtl/>
        </w:rPr>
        <w:t>-</w:t>
      </w:r>
      <w:r w:rsidRPr="00C65D8D">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Ref134697038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פג)</w:t>
      </w:r>
      <w:r w:rsidRPr="00B53404">
        <w:rPr>
          <w:rStyle w:val="aff4"/>
          <w:vanish/>
          <w:rtl/>
        </w:rPr>
        <w:fldChar w:fldCharType="end"/>
      </w:r>
      <w:r w:rsidRPr="00B53404">
        <w:rPr>
          <w:rStyle w:val="aff4"/>
          <w:rFonts w:hint="cs"/>
          <w:vanish/>
          <w:rtl/>
        </w:rPr>
        <w:t xml:space="preserve"> &gt;</w:t>
      </w:r>
      <w:r w:rsidRPr="00C65D8D">
        <w:rPr>
          <w:rStyle w:val="aff4"/>
          <w:rFonts w:hint="cs"/>
          <w:rtl/>
        </w:rPr>
        <w:t>דבר אברהם</w:t>
      </w:r>
      <w:r w:rsidRPr="00C65D8D">
        <w:rPr>
          <w:rStyle w:val="aff4"/>
          <w:rFonts w:hint="cs"/>
          <w:vanish/>
          <w:rtl/>
        </w:rPr>
        <w:t>-</w:t>
      </w:r>
      <w:r>
        <w:rPr>
          <w:rFonts w:hint="cs"/>
          <w:rtl/>
        </w:rPr>
        <w:t xml:space="preserve"> </w:t>
      </w:r>
      <w:r w:rsidRPr="00FB451D">
        <w:rPr>
          <w:rStyle w:val="af2"/>
          <w:rFonts w:eastAsia="Guttman Hodes" w:hint="cs"/>
          <w:rtl/>
        </w:rPr>
        <w:t>(ח"א סי' כ"ד אות י"ד ד"ה ולכאורה)</w:t>
      </w:r>
      <w:r w:rsidRPr="00C65D8D">
        <w:rPr>
          <w:rFonts w:hint="cs"/>
          <w:vanish/>
          <w:rtl/>
        </w:rPr>
        <w:t>=</w:t>
      </w:r>
      <w:r>
        <w:rPr>
          <w:rFonts w:hint="cs"/>
          <w:rtl/>
        </w:rPr>
        <w:t xml:space="preserve"> דהיה אפשר להוכיח להיפך דאף לדעת הבבלי עיקר גדר קוצר הוא הפסקת החיות, אבל במקום שאינו מפסיק חיות אין חיוב קוצר, מהא דאיתא בגמ' בעירובין </w:t>
      </w:r>
      <w:r w:rsidRPr="00FB451D">
        <w:rPr>
          <w:rStyle w:val="af2"/>
          <w:rFonts w:eastAsia="Guttman Hodes" w:hint="cs"/>
          <w:rtl/>
        </w:rPr>
        <w:t>(ק:)</w:t>
      </w:r>
      <w:r>
        <w:rPr>
          <w:rFonts w:hint="cs"/>
          <w:rtl/>
        </w:rPr>
        <w:t xml:space="preserve"> דאסור לעלות בשבת על אילן יבש, וביאר </w:t>
      </w:r>
      <w:r w:rsidRPr="00C65D8D">
        <w:rPr>
          <w:rStyle w:val="aff4"/>
          <w:rFonts w:hint="cs"/>
          <w:vanish/>
          <w:rtl/>
        </w:rPr>
        <w:t>-</w:t>
      </w:r>
      <w:r w:rsidRPr="00C65D8D">
        <w:rPr>
          <w:rStyle w:val="aff4"/>
          <w:rFonts w:hint="cs"/>
          <w:rtl/>
        </w:rPr>
        <w:t xml:space="preserve">רש"י </w:t>
      </w:r>
      <w:r w:rsidRPr="00C65D8D">
        <w:rPr>
          <w:rStyle w:val="aff4"/>
          <w:rFonts w:hint="cs"/>
          <w:rtl/>
        </w:rPr>
        <w:t>בעירובין</w:t>
      </w:r>
      <w:r w:rsidRPr="00C65D8D">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Ref135383150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לז)</w:t>
      </w:r>
      <w:r>
        <w:rPr>
          <w:rStyle w:val="af2"/>
          <w:rFonts w:eastAsia="Guttman Hodes"/>
          <w:rtl/>
        </w:rPr>
        <w:fldChar w:fldCharType="end"/>
      </w:r>
      <w:r>
        <w:rPr>
          <w:rFonts w:hint="cs"/>
          <w:rtl/>
        </w:rPr>
        <w:t xml:space="preserve"> דאיסור תולש באילן יבש הוא רק מגזירה דרבנן, וכן דעת </w:t>
      </w:r>
      <w:r w:rsidRPr="00C65D8D">
        <w:rPr>
          <w:rStyle w:val="aff4"/>
          <w:rFonts w:hint="cs"/>
          <w:vanish/>
          <w:rtl/>
        </w:rPr>
        <w:t>-</w:t>
      </w:r>
      <w:r w:rsidRPr="00C65D8D">
        <w:rPr>
          <w:rStyle w:val="aff4"/>
          <w:rFonts w:hint="cs"/>
          <w:rtl/>
        </w:rPr>
        <w:t>התוס' לקמן</w:t>
      </w:r>
      <w:r w:rsidRPr="00C65D8D">
        <w:rPr>
          <w:rStyle w:val="aff4"/>
          <w:rFonts w:hint="cs"/>
          <w:vanish/>
          <w:rtl/>
        </w:rPr>
        <w:t>-</w:t>
      </w:r>
      <w:r>
        <w:rPr>
          <w:rFonts w:hint="cs"/>
          <w:rtl/>
        </w:rPr>
        <w:t xml:space="preserve"> </w:t>
      </w:r>
      <w:r w:rsidRPr="00FB451D">
        <w:rPr>
          <w:rStyle w:val="af2"/>
          <w:rFonts w:eastAsia="Guttman Hodes" w:hint="cs"/>
          <w:rtl/>
        </w:rPr>
        <w:t xml:space="preserve">(עי' אות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Ref134565153 \r \h</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כט)</w:t>
      </w:r>
      <w:r w:rsidRPr="00FB451D">
        <w:rPr>
          <w:rStyle w:val="af2"/>
          <w:rFonts w:eastAsia="Guttman Hodes"/>
          <w:rtl/>
        </w:rPr>
        <w:fldChar w:fldCharType="end"/>
      </w:r>
      <w:r>
        <w:rPr>
          <w:rFonts w:hint="cs"/>
          <w:rtl/>
        </w:rPr>
        <w:t xml:space="preserve">, אך דחה </w:t>
      </w:r>
      <w:r w:rsidRPr="00C65D8D">
        <w:rPr>
          <w:rStyle w:val="aff4"/>
          <w:rFonts w:hint="cs"/>
          <w:vanish/>
          <w:rtl/>
        </w:rPr>
        <w:t>-</w:t>
      </w:r>
      <w:r w:rsidRPr="00C65D8D">
        <w:rPr>
          <w:rStyle w:val="aff4"/>
          <w:rFonts w:hint="cs"/>
          <w:rtl/>
        </w:rPr>
        <w:t>הדבר אברהם</w:t>
      </w:r>
      <w:r w:rsidRPr="00C65D8D">
        <w:rPr>
          <w:rStyle w:val="aff4"/>
          <w:rFonts w:hint="cs"/>
          <w:vanish/>
          <w:rtl/>
        </w:rPr>
        <w:t>-</w:t>
      </w:r>
      <w:r>
        <w:rPr>
          <w:rFonts w:hint="cs"/>
          <w:rtl/>
        </w:rPr>
        <w:t xml:space="preserve"> דהא דאין קוצר באילן יבש, הוא כיון דבכה"ג לא חשיב מחובר כלל, ולא מחמת דאינו מפסיק את החיות, </w:t>
      </w:r>
      <w:r w:rsidRPr="007A72D8">
        <w:rPr>
          <w:rStyle w:val="af"/>
          <w:rFonts w:hint="cs"/>
          <w:rtl/>
        </w:rPr>
        <w:t xml:space="preserve">[והוא כתוחב קנה בקרקע ומוציאו, דמבואר בגמ' בסנהדרין </w:t>
      </w:r>
      <w:r w:rsidRPr="00394B7E">
        <w:rPr>
          <w:rStyle w:val="aff0"/>
          <w:rFonts w:hint="cs"/>
          <w:rtl/>
        </w:rPr>
        <w:t>(מו:)</w:t>
      </w:r>
      <w:r w:rsidRPr="007A72D8">
        <w:rPr>
          <w:rStyle w:val="af"/>
          <w:rFonts w:hint="cs"/>
          <w:rtl/>
        </w:rPr>
        <w:t xml:space="preserve"> דהוא כמונח בכדא</w:t>
      </w:r>
      <w:r>
        <w:rPr>
          <w:rStyle w:val="af"/>
          <w:rFonts w:hint="cs"/>
          <w:rtl/>
        </w:rPr>
        <w:t xml:space="preserve">, ועי' במ"ש </w:t>
      </w:r>
      <w:r w:rsidRPr="00797F76">
        <w:rPr>
          <w:rStyle w:val="aff9"/>
          <w:rFonts w:hint="cs"/>
          <w:vanish/>
          <w:rtl/>
        </w:rPr>
        <w:t>-</w:t>
      </w:r>
      <w:r w:rsidRPr="00797F76">
        <w:rPr>
          <w:rStyle w:val="aff9"/>
          <w:rFonts w:hint="cs"/>
          <w:rtl/>
        </w:rPr>
        <w:t>הזכר יצחק</w:t>
      </w:r>
      <w:r w:rsidRPr="00797F76">
        <w:rPr>
          <w:rStyle w:val="aff9"/>
          <w:rFonts w:hint="cs"/>
          <w:vanish/>
          <w:rtl/>
        </w:rPr>
        <w:t>-</w:t>
      </w:r>
      <w:r>
        <w:rPr>
          <w:rStyle w:val="af"/>
          <w:rFonts w:hint="cs"/>
          <w:rtl/>
        </w:rPr>
        <w:t xml:space="preserve"> </w:t>
      </w:r>
      <w:r w:rsidRPr="009E1139">
        <w:rPr>
          <w:rStyle w:val="aff0"/>
          <w:rFonts w:hint="cs"/>
          <w:rtl/>
        </w:rPr>
        <w:t xml:space="preserve">(עי' אות </w:t>
      </w:r>
      <w:r w:rsidRPr="009E1139">
        <w:rPr>
          <w:rStyle w:val="aff0"/>
          <w:rtl/>
        </w:rPr>
        <w:fldChar w:fldCharType="begin"/>
      </w:r>
      <w:r w:rsidRPr="009E1139">
        <w:rPr>
          <w:rStyle w:val="aff0"/>
          <w:rtl/>
        </w:rPr>
        <w:instrText xml:space="preserve"> </w:instrText>
      </w:r>
      <w:r w:rsidRPr="009E1139">
        <w:rPr>
          <w:rStyle w:val="aff0"/>
          <w:rFonts w:hint="cs"/>
        </w:rPr>
        <w:instrText>REF</w:instrText>
      </w:r>
      <w:r w:rsidRPr="009E1139">
        <w:rPr>
          <w:rStyle w:val="aff0"/>
          <w:rFonts w:hint="cs"/>
          <w:rtl/>
        </w:rPr>
        <w:instrText xml:space="preserve"> _</w:instrText>
      </w:r>
      <w:r w:rsidRPr="009E1139">
        <w:rPr>
          <w:rStyle w:val="aff0"/>
          <w:rFonts w:hint="cs"/>
        </w:rPr>
        <w:instrText>Ref135342536 \r \h</w:instrText>
      </w:r>
      <w:r w:rsidRPr="009E1139">
        <w:rPr>
          <w:rStyle w:val="aff0"/>
          <w:rtl/>
        </w:rPr>
        <w:instrText xml:space="preserve"> </w:instrText>
      </w:r>
      <w:r w:rsidRPr="009E1139">
        <w:rPr>
          <w:rStyle w:val="aff0"/>
          <w:rtl/>
        </w:rPr>
      </w:r>
      <w:r w:rsidRPr="009E1139">
        <w:rPr>
          <w:rStyle w:val="aff0"/>
          <w:rtl/>
        </w:rPr>
        <w:fldChar w:fldCharType="separate"/>
      </w:r>
      <w:r w:rsidR="00D82181">
        <w:rPr>
          <w:rStyle w:val="aff0"/>
          <w:cs/>
        </w:rPr>
        <w:t>‎</w:t>
      </w:r>
      <w:r w:rsidR="00D82181">
        <w:rPr>
          <w:rStyle w:val="aff0"/>
          <w:rtl/>
        </w:rPr>
        <w:t>סו)</w:t>
      </w:r>
      <w:r w:rsidRPr="009E1139">
        <w:rPr>
          <w:rStyle w:val="aff0"/>
          <w:rtl/>
        </w:rPr>
        <w:fldChar w:fldCharType="end"/>
      </w:r>
      <w:r w:rsidRPr="007A72D8">
        <w:rPr>
          <w:rStyle w:val="af"/>
          <w:rFonts w:hint="cs"/>
          <w:rtl/>
        </w:rPr>
        <w:t>]</w:t>
      </w:r>
      <w:r w:rsidRPr="009C1377">
        <w:rPr>
          <w:rStyle w:val="af"/>
          <w:rFonts w:hint="cs"/>
          <w:rtl/>
        </w:rPr>
        <w:t>,</w:t>
      </w:r>
      <w:r>
        <w:rPr>
          <w:rFonts w:hint="cs"/>
          <w:rtl/>
        </w:rPr>
        <w:t xml:space="preserve"> אבל בדבר שהוא מחובר ממש, יש בו קוצר אף כשאינו מפסיקו מחיותו, וכדמוכח מחיוב קוצר בתאנים שצמקו באיביהן בגמ' בחולין </w:t>
      </w:r>
      <w:r w:rsidRPr="00FB451D">
        <w:rPr>
          <w:rStyle w:val="af2"/>
          <w:rFonts w:eastAsia="Guttman Hodes" w:hint="cs"/>
          <w:rtl/>
        </w:rPr>
        <w:t>(קכז:)</w:t>
      </w:r>
      <w:r>
        <w:rPr>
          <w:rFonts w:hint="cs"/>
          <w:rtl/>
        </w:rPr>
        <w:t xml:space="preserve"> דהם כמחוברים, </w:t>
      </w:r>
      <w:bookmarkStart w:id="1690" w:name="_Ref134720262"/>
      <w:r>
        <w:rPr>
          <w:rFonts w:hint="cs"/>
          <w:rtl/>
        </w:rPr>
        <w:t xml:space="preserve">וכתב </w:t>
      </w:r>
      <w:r w:rsidRPr="00CE3C65">
        <w:rPr>
          <w:rStyle w:val="aff4"/>
          <w:rFonts w:hint="cs"/>
          <w:vanish/>
          <w:rtl/>
        </w:rPr>
        <w:t>-</w:t>
      </w:r>
      <w:r w:rsidRPr="000614F7">
        <w:rPr>
          <w:rStyle w:val="aff4"/>
          <w:rFonts w:hint="cs"/>
          <w:rtl/>
        </w:rPr>
        <w:t>הדבר אברהם</w:t>
      </w:r>
      <w:r w:rsidRPr="00CE3C65">
        <w:rPr>
          <w:rStyle w:val="aff4"/>
          <w:rFonts w:hint="cs"/>
          <w:vanish/>
          <w:rtl/>
        </w:rPr>
        <w:t>-</w:t>
      </w:r>
      <w:r>
        <w:rPr>
          <w:rFonts w:hint="cs"/>
          <w:rtl/>
        </w:rPr>
        <w:t xml:space="preserve"> </w:t>
      </w:r>
      <w:bookmarkEnd w:id="1690"/>
      <w:r>
        <w:rPr>
          <w:rFonts w:hint="cs"/>
          <w:rtl/>
        </w:rPr>
        <w:t>דא"כ מוכח דלדידן א"א לומר דקוצר הוא הפסקת החיות כסברת רבנן דקיסרין בירושלמי, דהא החיוב בתאנים שיבשו הוא אף שאין בהם כל הבדלת חיות, אלא מבואר דלבבלי גדר מלאכת קוצר הוא קצירה ממחובר, ופליג על הירושלמי.</w:t>
      </w:r>
      <w:bookmarkEnd w:id="1689"/>
    </w:p>
    <w:p w14:paraId="74CE5BD4" w14:textId="77777777" w:rsidR="000426DE" w:rsidRPr="00747170" w:rsidRDefault="000426DE" w:rsidP="00747170">
      <w:pPr>
        <w:pStyle w:val="a2"/>
      </w:pPr>
      <w:r w:rsidRPr="00747170">
        <w:rPr>
          <w:rtl/>
        </w:rPr>
        <w:t>ולכאורה יש להביא ראיה להיפוך דעיקר מלאכת הקצירה הוי דוקא עם הבדלת החיות ובלאו הכי אינו חייב, מהא דאמרינן שלהי עירובין (דף ק' ע"ב) תני חדא אחד אילן לח ואחד אילן יבש [פי' אסור לעלות עליו] ותניא אידך בד"א בלח אבל ביבש מותר אר"י ל"ק כאן בשגזעו מחליף כאן בשאין גזעו מחליף גזעו מחליף יבש קרית ליה אלא ל"ק כאן בימות החמה כאן בימות הגשמים בימות החמה הא נתרי פירי בדליכא פירי כו', ופירש"י יבש שאין בו לחלוח ולאו מחובר הוא, בימות החמה יבש מותר דליכא אפילו משום מראית עין כו' קא נתרי פירי שנשארו בו משנה שעברה ואתי למישרי ביה תלישה דלח כו' הרי להדיא דביבש לא הוי תלישה. וכ"כ התוס' בשבת (דף ק"נ ע"ב ד"ה במחובר) וז"ל אומר רבי דלאו משום תלישה נקט לה דאע"ג שמחובר לארץ אין בו איסור תלישה כיון שיבש אינו יונק מן הארץ עכ"ל, א"כ נראה מזה להיפוך דביבש שאין בו הפסקת חיות לא הוי קוצר. אבל ז"א דבהנך אין טעם הפטור משום שחסרה הבדלת החיות אלא משום דכיון שיבש לא חשיב כבר כמחובר כלל, וכשם שהתוחב קנה בארץ וחזר והוציאו אין בו משום קוצר דלא הוי מחובר לקרקע אלא דמי כמאן דמנח בכדא כמבואר בסנהדרין (דף מ"ו ע"ב) ועיי' בתוס' גיטין (דף כ"א ע"ב ד"ה יצא) ה"נ יבש כיון שפסקה יניקתו לא הוי כמחובר אלא כקנה בעלמא התחוב בארץ וכמבואר להדיא ברש"י ותוס' שם טעם זה דלאו כמחובר, אבל היכא דעדיין חשיב כמחובר אה"נ דלא איכפת לן כלל במה שאין בו הבדלת חיות. ובתאנים שצמקו באיביהן שהתולשן חייב בודאי צ"ל דחשיבי עדיין כמחוברין לקרקע</w:t>
      </w:r>
      <w:r w:rsidRPr="00747170">
        <w:rPr>
          <w:rFonts w:hint="cs"/>
          <w:rtl/>
        </w:rPr>
        <w:t>.</w:t>
      </w:r>
    </w:p>
    <w:p w14:paraId="2BA5CD2D" w14:textId="77777777" w:rsidR="000426DE" w:rsidRPr="00D578AC" w:rsidRDefault="000426DE" w:rsidP="00747170">
      <w:pPr>
        <w:pStyle w:val="afffff5"/>
        <w:rPr>
          <w:rtl/>
        </w:rPr>
      </w:pPr>
      <w:r w:rsidRPr="00D578AC">
        <w:rPr>
          <w:rtl/>
        </w:rPr>
        <w:t xml:space="preserve">עכ"פ הרי חזינן דתאנים שצמקו חייב משום קוצר אף על פי שאין בהם הבדלת החיות ומוכח דאופיה של מלאכת קוצר לשיטת ש"ס דילן לאו הבדלת החיות הוא אלא מה שקוצץ מן המחובר ודלא כשיטת הירושלמי: </w:t>
      </w:r>
    </w:p>
    <w:p w14:paraId="12BD0640" w14:textId="17BA8508" w:rsidR="000426DE" w:rsidRPr="00836AA4" w:rsidRDefault="000426DE" w:rsidP="000426DE">
      <w:pPr>
        <w:pStyle w:val="1"/>
        <w:rPr>
          <w:rtl/>
        </w:rPr>
      </w:pPr>
      <w:bookmarkStart w:id="1691" w:name="_Toc139316427"/>
      <w:r>
        <w:rPr>
          <w:rFonts w:hint="cs"/>
          <w:rtl/>
        </w:rPr>
        <w:t>בי' הדב"א דבפרפיסא מוכח דהבבלי פליג על הירו'</w:t>
      </w:r>
      <w:r w:rsidRPr="00211F13">
        <w:rPr>
          <w:rFonts w:hint="cs"/>
          <w:rtl/>
        </w:rPr>
        <w:t xml:space="preserve"> </w:t>
      </w:r>
      <w:r>
        <w:rPr>
          <w:rFonts w:hint="cs"/>
          <w:rtl/>
        </w:rPr>
        <w:t>לרש"י ותוס'</w:t>
      </w:r>
      <w:bookmarkEnd w:id="1691"/>
    </w:p>
    <w:p w14:paraId="78A582FD" w14:textId="77777777" w:rsidR="000426DE" w:rsidRDefault="000426DE" w:rsidP="000426DE">
      <w:pPr>
        <w:pStyle w:val="afffff7"/>
        <w:rPr>
          <w:rtl/>
        </w:rPr>
      </w:pPr>
      <w:bookmarkStart w:id="1692" w:name="_Toc135513748"/>
      <w:bookmarkStart w:id="1693" w:name="_Toc163505670"/>
      <w:r>
        <w:rPr>
          <w:rtl/>
        </w:rPr>
        <w:t>דבר אברהם ח</w:t>
      </w:r>
      <w:r>
        <w:rPr>
          <w:rFonts w:hint="cs"/>
          <w:rtl/>
        </w:rPr>
        <w:t>"</w:t>
      </w:r>
      <w:r>
        <w:rPr>
          <w:rtl/>
        </w:rPr>
        <w:t>א סי</w:t>
      </w:r>
      <w:r>
        <w:rPr>
          <w:rFonts w:hint="cs"/>
          <w:rtl/>
        </w:rPr>
        <w:t>'</w:t>
      </w:r>
      <w:r>
        <w:rPr>
          <w:rtl/>
        </w:rPr>
        <w:t xml:space="preserve"> כ</w:t>
      </w:r>
      <w:r>
        <w:rPr>
          <w:rFonts w:hint="cs"/>
          <w:rtl/>
        </w:rPr>
        <w:t>"</w:t>
      </w:r>
      <w:r>
        <w:rPr>
          <w:rtl/>
        </w:rPr>
        <w:t>ה</w:t>
      </w:r>
      <w:r>
        <w:rPr>
          <w:rFonts w:hint="cs"/>
          <w:rtl/>
        </w:rPr>
        <w:t xml:space="preserve"> אות א', ב'</w:t>
      </w:r>
      <w:bookmarkEnd w:id="1692"/>
      <w:bookmarkEnd w:id="1693"/>
    </w:p>
    <w:p w14:paraId="009F1787" w14:textId="77777777" w:rsidR="000426DE" w:rsidRDefault="000426DE" w:rsidP="000426DE">
      <w:pPr>
        <w:pStyle w:val="a7"/>
        <w:rPr>
          <w:rtl/>
        </w:rPr>
      </w:pPr>
      <w:bookmarkStart w:id="1694" w:name="_Toc139316428"/>
      <w:r>
        <w:rPr>
          <w:rFonts w:hint="cs"/>
          <w:rtl/>
        </w:rPr>
        <w:t>בי' הדב"א דאף אי ברמב"ם בגבשושית מ' דהבבלי מודה לירו' מ"מ ברש"י ותוס' מוכח דפליג</w:t>
      </w:r>
      <w:bookmarkEnd w:id="1694"/>
    </w:p>
    <w:p w14:paraId="72565402" w14:textId="1AA869A4" w:rsidR="000426DE" w:rsidRPr="005E4B20" w:rsidRDefault="000426DE" w:rsidP="00BC7DC8">
      <w:pPr>
        <w:pStyle w:val="a3"/>
        <w:rPr>
          <w:rtl/>
        </w:rPr>
      </w:pPr>
      <w:bookmarkStart w:id="1695" w:name="_Ref135065796"/>
      <w:r>
        <w:rPr>
          <w:rFonts w:hint="cs"/>
          <w:rtl/>
        </w:rPr>
        <w:t xml:space="preserve">עי' במ"ש </w:t>
      </w:r>
      <w:r w:rsidRPr="00C65D8D">
        <w:rPr>
          <w:rStyle w:val="aff4"/>
          <w:rFonts w:hint="cs"/>
          <w:vanish/>
          <w:rtl/>
        </w:rPr>
        <w:t>-</w:t>
      </w:r>
      <w:r w:rsidRPr="00C65D8D">
        <w:rPr>
          <w:rStyle w:val="aff4"/>
          <w:rFonts w:hint="cs"/>
          <w:rtl/>
        </w:rPr>
        <w:t>הדבר אברהם</w:t>
      </w:r>
      <w:r w:rsidRPr="00C65D8D">
        <w:rPr>
          <w:rStyle w:val="aff4"/>
          <w:rFonts w:hint="cs"/>
          <w:vanish/>
          <w:rtl/>
        </w:rPr>
        <w:t>-</w:t>
      </w:r>
      <w:r>
        <w:rPr>
          <w:rFonts w:hint="cs"/>
          <w:rtl/>
        </w:rPr>
        <w:t xml:space="preserve"> </w:t>
      </w:r>
      <w:r w:rsidRPr="00FB451D">
        <w:rPr>
          <w:rStyle w:val="af2"/>
          <w:rFonts w:eastAsia="Guttman Hodes" w:hint="cs"/>
          <w:rtl/>
        </w:rPr>
        <w:t xml:space="preserve">(עי' אות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Ref134720262 \r \h</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פג)</w:t>
      </w:r>
      <w:r w:rsidRPr="00FB451D">
        <w:rPr>
          <w:rStyle w:val="af2"/>
          <w:rFonts w:eastAsia="Guttman Hodes"/>
          <w:rtl/>
        </w:rPr>
        <w:fldChar w:fldCharType="end"/>
      </w:r>
      <w:r>
        <w:rPr>
          <w:rFonts w:hint="cs"/>
          <w:rtl/>
        </w:rPr>
        <w:t xml:space="preserve"> דמוכח דלבבלי גדר מלאכת קוצר הוא קצירה ממחובר, ופליג על הירושלמי, אך הביא </w:t>
      </w:r>
      <w:r w:rsidRPr="007F356E">
        <w:rPr>
          <w:rStyle w:val="aff4"/>
          <w:rFonts w:hint="cs"/>
          <w:vanish/>
          <w:rtl/>
        </w:rPr>
        <w:t>-</w:t>
      </w:r>
      <w:r w:rsidRPr="001F02FD">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Ref135065796 \r \h</w:instrText>
      </w:r>
      <w:r w:rsidRPr="00B53404">
        <w:rPr>
          <w:rStyle w:val="aff4"/>
          <w:vanish/>
          <w:rtl/>
        </w:rPr>
        <w:instrText xml:space="preserve">  \* </w:instrText>
      </w:r>
      <w:r w:rsidRPr="00B53404">
        <w:rPr>
          <w:rStyle w:val="aff4"/>
          <w:vanish/>
        </w:rPr>
        <w:instrText>MERGEFORMAT</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פד)</w:t>
      </w:r>
      <w:r w:rsidRPr="00B53404">
        <w:rPr>
          <w:rStyle w:val="aff4"/>
          <w:vanish/>
          <w:rtl/>
        </w:rPr>
        <w:fldChar w:fldCharType="end"/>
      </w:r>
      <w:r w:rsidRPr="00B53404">
        <w:rPr>
          <w:rStyle w:val="aff4"/>
          <w:rFonts w:hint="cs"/>
          <w:vanish/>
          <w:rtl/>
        </w:rPr>
        <w:t xml:space="preserve"> &gt;</w:t>
      </w:r>
      <w:r w:rsidRPr="001F02FD">
        <w:rPr>
          <w:rStyle w:val="aff4"/>
          <w:rFonts w:hint="cs"/>
          <w:rtl/>
        </w:rPr>
        <w:t>דבר אברהם</w:t>
      </w:r>
      <w:r w:rsidRPr="007F356E">
        <w:rPr>
          <w:rStyle w:val="aff4"/>
          <w:rFonts w:hint="cs"/>
          <w:vanish/>
          <w:rtl/>
        </w:rPr>
        <w:t>-</w:t>
      </w:r>
      <w:r>
        <w:rPr>
          <w:rFonts w:hint="cs"/>
          <w:rtl/>
        </w:rPr>
        <w:t xml:space="preserve"> </w:t>
      </w:r>
      <w:r w:rsidRPr="00FB451D">
        <w:rPr>
          <w:rStyle w:val="af2"/>
          <w:rFonts w:eastAsia="Guttman Hodes" w:hint="cs"/>
          <w:rtl/>
        </w:rPr>
        <w:t>(ח"א סי' כ"ה אות א')</w:t>
      </w:r>
      <w:r w:rsidRPr="007F356E">
        <w:rPr>
          <w:rFonts w:hint="cs"/>
          <w:vanish/>
          <w:rtl/>
        </w:rPr>
        <w:t>=</w:t>
      </w:r>
      <w:r>
        <w:rPr>
          <w:rFonts w:hint="cs"/>
          <w:rtl/>
        </w:rPr>
        <w:t xml:space="preserve"> דהקשה עליו </w:t>
      </w:r>
      <w:r w:rsidRPr="005E4B20">
        <w:rPr>
          <w:b/>
          <w:bCs/>
          <w:vanish/>
          <w:rtl/>
        </w:rPr>
        <w:t>-</w:t>
      </w:r>
      <w:r w:rsidRPr="005E4B20">
        <w:rPr>
          <w:b/>
          <w:bCs/>
          <w:rtl/>
        </w:rPr>
        <w:t>הזכר יצחק</w:t>
      </w:r>
      <w:r w:rsidRPr="005E4B20">
        <w:rPr>
          <w:b/>
          <w:bCs/>
          <w:vanish/>
          <w:rtl/>
        </w:rPr>
        <w:t>-</w:t>
      </w:r>
      <w:r w:rsidRPr="005E4B20">
        <w:rPr>
          <w:rFonts w:hint="cs"/>
          <w:rtl/>
        </w:rPr>
        <w:t xml:space="preserve"> </w:t>
      </w:r>
      <w:r w:rsidRPr="00FB451D">
        <w:rPr>
          <w:rStyle w:val="af2"/>
          <w:rFonts w:eastAsia="Guttman Hodes" w:hint="cs"/>
          <w:rtl/>
        </w:rPr>
        <w:t xml:space="preserve">(עי' אות </w:t>
      </w:r>
      <w:r w:rsidRPr="00FB451D">
        <w:rPr>
          <w:rStyle w:val="af2"/>
          <w:rFonts w:eastAsiaTheme="majorEastAsia"/>
          <w:rtl/>
        </w:rPr>
        <w:fldChar w:fldCharType="begin"/>
      </w:r>
      <w:r w:rsidRPr="00FB451D">
        <w:rPr>
          <w:rStyle w:val="af2"/>
          <w:rFonts w:eastAsiaTheme="majorEastAsia"/>
          <w:rtl/>
        </w:rPr>
        <w:instrText xml:space="preserve"> </w:instrText>
      </w:r>
      <w:r w:rsidRPr="00FB451D">
        <w:rPr>
          <w:rStyle w:val="af2"/>
          <w:rFonts w:eastAsiaTheme="majorEastAsia"/>
        </w:rPr>
        <w:instrText>REF</w:instrText>
      </w:r>
      <w:r w:rsidRPr="00FB451D">
        <w:rPr>
          <w:rStyle w:val="af2"/>
          <w:rFonts w:eastAsiaTheme="majorEastAsia"/>
          <w:rtl/>
        </w:rPr>
        <w:instrText xml:space="preserve"> _</w:instrText>
      </w:r>
      <w:r w:rsidRPr="00FB451D">
        <w:rPr>
          <w:rStyle w:val="af2"/>
          <w:rFonts w:eastAsiaTheme="majorEastAsia"/>
        </w:rPr>
        <w:instrText>Ref134565616 \r \h</w:instrText>
      </w:r>
      <w:r w:rsidRPr="00FB451D">
        <w:rPr>
          <w:rStyle w:val="af2"/>
          <w:rFonts w:eastAsiaTheme="majorEastAsia"/>
          <w:rtl/>
        </w:rPr>
        <w:instrText xml:space="preserve"> </w:instrText>
      </w:r>
      <w:r w:rsidRPr="00FB451D">
        <w:rPr>
          <w:rStyle w:val="af2"/>
          <w:rFonts w:eastAsiaTheme="majorEastAsia"/>
          <w:rtl/>
        </w:rPr>
      </w:r>
      <w:r w:rsidRPr="00FB451D">
        <w:rPr>
          <w:rStyle w:val="af2"/>
          <w:rFonts w:eastAsiaTheme="majorEastAsia"/>
          <w:rtl/>
        </w:rPr>
        <w:fldChar w:fldCharType="separate"/>
      </w:r>
      <w:r w:rsidR="00D82181">
        <w:rPr>
          <w:rStyle w:val="af2"/>
          <w:rFonts w:eastAsiaTheme="majorEastAsia"/>
          <w:cs/>
        </w:rPr>
        <w:t>‎</w:t>
      </w:r>
      <w:r w:rsidR="00D82181">
        <w:rPr>
          <w:rStyle w:val="af2"/>
          <w:rFonts w:eastAsiaTheme="majorEastAsia"/>
          <w:rtl/>
        </w:rPr>
        <w:t>סה)</w:t>
      </w:r>
      <w:r w:rsidRPr="00FB451D">
        <w:rPr>
          <w:rStyle w:val="af2"/>
          <w:rFonts w:eastAsiaTheme="majorEastAsia"/>
          <w:rtl/>
        </w:rPr>
        <w:fldChar w:fldCharType="end"/>
      </w:r>
      <w:r w:rsidRPr="00A73E6D">
        <w:rPr>
          <w:b/>
          <w:bCs/>
          <w:rtl/>
        </w:rPr>
        <w:t xml:space="preserve"> </w:t>
      </w:r>
      <w:r>
        <w:rPr>
          <w:rFonts w:hint="cs"/>
          <w:rtl/>
        </w:rPr>
        <w:t>דא"א לומר דהבבלי פליג על הירושלמי, ולדעת הבבלי חיוב קוצר אינו מחמת הבדלת החיות, אלא כיון שעוקרו ממקום חיבורו, אף בדבר יבש שאינו יונק ממנו, דהא מ</w:t>
      </w:r>
      <w:r w:rsidRPr="005E4B20">
        <w:rPr>
          <w:rFonts w:hint="cs"/>
          <w:rtl/>
        </w:rPr>
        <w:t xml:space="preserve">דברי </w:t>
      </w:r>
      <w:r w:rsidRPr="005E4B20">
        <w:rPr>
          <w:b/>
          <w:bCs/>
          <w:vanish/>
          <w:rtl/>
        </w:rPr>
        <w:t>-</w:t>
      </w:r>
      <w:r w:rsidRPr="005E4B20">
        <w:rPr>
          <w:b/>
          <w:bCs/>
          <w:rtl/>
        </w:rPr>
        <w:t>הרמב"ם</w:t>
      </w:r>
      <w:r w:rsidRPr="005E4B20">
        <w:rPr>
          <w:b/>
          <w:bCs/>
          <w:vanish/>
          <w:rtl/>
        </w:rPr>
        <w:t>-</w:t>
      </w:r>
      <w:r w:rsidRPr="005E4B20">
        <w:rPr>
          <w:rFonts w:hint="cs"/>
          <w:rtl/>
        </w:rPr>
        <w:t xml:space="preserve"> </w:t>
      </w:r>
      <w:r w:rsidRPr="00FB451D">
        <w:rPr>
          <w:rStyle w:val="af2"/>
          <w:rFonts w:eastAsia="Guttman Hodes" w:hint="cs"/>
          <w:rtl/>
        </w:rPr>
        <w:t xml:space="preserve">(עי' אות </w:t>
      </w:r>
      <w:r w:rsidRPr="00FB451D">
        <w:rPr>
          <w:rStyle w:val="af2"/>
          <w:rFonts w:eastAsia="Guttman Hodes" w:hint="cs"/>
          <w:rtl/>
        </w:rPr>
        <w:fldChar w:fldCharType="begin"/>
      </w:r>
      <w:r w:rsidRPr="00FB451D">
        <w:rPr>
          <w:rStyle w:val="af2"/>
          <w:rFonts w:eastAsia="Guttman Hodes" w:hint="cs"/>
          <w:rtl/>
        </w:rPr>
        <w:instrText xml:space="preserve"> </w:instrText>
      </w:r>
      <w:r w:rsidRPr="00FB451D">
        <w:rPr>
          <w:rStyle w:val="af2"/>
          <w:rFonts w:eastAsia="Guttman Hodes"/>
        </w:rPr>
        <w:instrText>REF</w:instrText>
      </w:r>
      <w:r w:rsidRPr="00FB451D">
        <w:rPr>
          <w:rStyle w:val="af2"/>
          <w:rFonts w:eastAsia="Guttman Hodes" w:hint="cs"/>
          <w:rtl/>
        </w:rPr>
        <w:instrText xml:space="preserve"> _</w:instrText>
      </w:r>
      <w:r w:rsidRPr="00FB451D">
        <w:rPr>
          <w:rStyle w:val="af2"/>
          <w:rFonts w:eastAsia="Guttman Hodes"/>
        </w:rPr>
        <w:instrText>Ref134736415 \r \h</w:instrText>
      </w:r>
      <w:r w:rsidRPr="00FB451D">
        <w:rPr>
          <w:rStyle w:val="af2"/>
          <w:rFonts w:eastAsia="Guttman Hodes" w:hint="cs"/>
          <w:rtl/>
        </w:rPr>
        <w:instrText xml:space="preserve"> </w:instrText>
      </w:r>
      <w:r w:rsidRPr="00FB451D">
        <w:rPr>
          <w:rStyle w:val="af2"/>
          <w:rFonts w:eastAsia="Guttman Hodes" w:hint="cs"/>
          <w:rtl/>
        </w:rPr>
      </w:r>
      <w:r w:rsidRPr="00FB451D">
        <w:rPr>
          <w:rStyle w:val="af2"/>
          <w:rFonts w:eastAsia="Guttman Hodes" w:hint="cs"/>
          <w:rtl/>
        </w:rPr>
        <w:fldChar w:fldCharType="separate"/>
      </w:r>
      <w:r w:rsidR="00D82181">
        <w:rPr>
          <w:rStyle w:val="af2"/>
          <w:rFonts w:eastAsia="Guttman Hodes" w:hint="eastAsia"/>
          <w:cs/>
        </w:rPr>
        <w:t>‎</w:t>
      </w:r>
      <w:r w:rsidR="00D82181">
        <w:rPr>
          <w:rStyle w:val="af2"/>
          <w:rFonts w:eastAsia="Guttman Hodes" w:hint="eastAsia"/>
          <w:rtl/>
        </w:rPr>
        <w:t>מ</w:t>
      </w:r>
      <w:r w:rsidR="00D82181">
        <w:rPr>
          <w:rStyle w:val="af2"/>
          <w:rFonts w:eastAsia="Guttman Hodes"/>
          <w:rtl/>
        </w:rPr>
        <w:t>)</w:t>
      </w:r>
      <w:r w:rsidRPr="00FB451D">
        <w:rPr>
          <w:rStyle w:val="af2"/>
          <w:rFonts w:eastAsia="Guttman Hodes" w:hint="cs"/>
          <w:rtl/>
        </w:rPr>
        <w:fldChar w:fldCharType="end"/>
      </w:r>
      <w:r w:rsidRPr="005E4B20">
        <w:rPr>
          <w:rFonts w:hint="cs"/>
          <w:rtl/>
        </w:rPr>
        <w:t xml:space="preserve"> דכתב דגבשושית </w:t>
      </w:r>
      <w:r>
        <w:rPr>
          <w:rFonts w:hint="cs"/>
          <w:rtl/>
        </w:rPr>
        <w:t>ש</w:t>
      </w:r>
      <w:r w:rsidRPr="005E4B20">
        <w:rPr>
          <w:rFonts w:hint="cs"/>
          <w:rtl/>
        </w:rPr>
        <w:t>הניחה ע"ג יתדות</w:t>
      </w:r>
      <w:r>
        <w:rPr>
          <w:rFonts w:hint="cs"/>
          <w:rtl/>
        </w:rPr>
        <w:t xml:space="preserve"> </w:t>
      </w:r>
      <w:r w:rsidRPr="005E4B20">
        <w:rPr>
          <w:rFonts w:hint="cs"/>
          <w:rtl/>
        </w:rPr>
        <w:t xml:space="preserve">חייב משום תולש, </w:t>
      </w:r>
      <w:r>
        <w:rPr>
          <w:rFonts w:hint="cs"/>
          <w:rtl/>
        </w:rPr>
        <w:t>ומוכח</w:t>
      </w:r>
      <w:r w:rsidRPr="005E4B20">
        <w:rPr>
          <w:rFonts w:hint="cs"/>
          <w:rtl/>
        </w:rPr>
        <w:t xml:space="preserve"> דחייב על מיעוט היניקה</w:t>
      </w:r>
      <w:r>
        <w:rPr>
          <w:rFonts w:hint="cs"/>
          <w:rtl/>
        </w:rPr>
        <w:t>, וא"כ מבואר</w:t>
      </w:r>
      <w:r w:rsidRPr="005E4B20">
        <w:rPr>
          <w:rFonts w:hint="cs"/>
          <w:rtl/>
        </w:rPr>
        <w:t xml:space="preserve"> מדברי </w:t>
      </w:r>
      <w:r w:rsidRPr="005E4B20">
        <w:rPr>
          <w:b/>
          <w:bCs/>
          <w:vanish/>
          <w:rtl/>
        </w:rPr>
        <w:t>-</w:t>
      </w:r>
      <w:r w:rsidRPr="005E4B20">
        <w:rPr>
          <w:b/>
          <w:bCs/>
          <w:rtl/>
        </w:rPr>
        <w:t>הרמב"ם</w:t>
      </w:r>
      <w:r w:rsidRPr="005E4B20">
        <w:rPr>
          <w:b/>
          <w:bCs/>
          <w:vanish/>
          <w:rtl/>
        </w:rPr>
        <w:t>-</w:t>
      </w:r>
      <w:r w:rsidRPr="005E4B20">
        <w:rPr>
          <w:rFonts w:hint="cs"/>
          <w:rtl/>
        </w:rPr>
        <w:t xml:space="preserve"> דחיוב קוצר הוא רק מחמת דמבדיל את החיות, אבל אי אמרינן דחיוב קוצר הוא מחמת שתולש דבר מחובר, א"כ א"א לחייב במגביה גבשושית ע"ג יתדות, דהא אף ע"ג היתדות היא עדיין מחוברת</w:t>
      </w:r>
      <w:r>
        <w:rPr>
          <w:rFonts w:hint="cs"/>
          <w:rtl/>
        </w:rPr>
        <w:t xml:space="preserve">, והשיב לו </w:t>
      </w:r>
      <w:r w:rsidRPr="007F356E">
        <w:rPr>
          <w:rStyle w:val="aff4"/>
          <w:rFonts w:hint="cs"/>
          <w:vanish/>
          <w:rtl/>
        </w:rPr>
        <w:t>-</w:t>
      </w:r>
      <w:r w:rsidRPr="001F02FD">
        <w:rPr>
          <w:rStyle w:val="aff4"/>
          <w:rFonts w:hint="cs"/>
          <w:rtl/>
        </w:rPr>
        <w:t>ה</w:t>
      </w:r>
      <w:r w:rsidRPr="00B53404">
        <w:rPr>
          <w:rStyle w:val="aff4"/>
          <w:rFonts w:hint="cs"/>
          <w:vanish/>
          <w:rtl/>
        </w:rPr>
        <w:t>&lt; &gt;</w:t>
      </w:r>
      <w:r w:rsidRPr="001F02FD">
        <w:rPr>
          <w:rStyle w:val="aff4"/>
          <w:rFonts w:hint="cs"/>
          <w:rtl/>
        </w:rPr>
        <w:t>דבר אברהם</w:t>
      </w:r>
      <w:r w:rsidRPr="007F356E">
        <w:rPr>
          <w:rStyle w:val="aff4"/>
          <w:rFonts w:hint="cs"/>
          <w:vanish/>
          <w:rtl/>
        </w:rPr>
        <w:t>-</w:t>
      </w:r>
      <w:r>
        <w:rPr>
          <w:rFonts w:hint="cs"/>
          <w:rtl/>
        </w:rPr>
        <w:t xml:space="preserve"> </w:t>
      </w:r>
      <w:r w:rsidRPr="00FB451D">
        <w:rPr>
          <w:rStyle w:val="af2"/>
          <w:rFonts w:eastAsia="Guttman Hodes" w:hint="cs"/>
          <w:rtl/>
        </w:rPr>
        <w:t>(ח"א סי' כ"ה אות ב')</w:t>
      </w:r>
      <w:r w:rsidRPr="007F356E">
        <w:rPr>
          <w:rFonts w:hint="cs"/>
          <w:vanish/>
          <w:rtl/>
        </w:rPr>
        <w:t>=</w:t>
      </w:r>
      <w:r>
        <w:rPr>
          <w:rFonts w:hint="cs"/>
          <w:rtl/>
        </w:rPr>
        <w:t xml:space="preserve"> דאי מדברי </w:t>
      </w:r>
      <w:r w:rsidRPr="007F356E">
        <w:rPr>
          <w:rStyle w:val="aff4"/>
          <w:rFonts w:hint="cs"/>
          <w:vanish/>
          <w:rtl/>
        </w:rPr>
        <w:t>-</w:t>
      </w:r>
      <w:r w:rsidRPr="001F02FD">
        <w:rPr>
          <w:rStyle w:val="aff4"/>
          <w:rFonts w:hint="cs"/>
          <w:rtl/>
        </w:rPr>
        <w:t>הרמב"ם</w:t>
      </w:r>
      <w:r w:rsidRPr="007F356E">
        <w:rPr>
          <w:rStyle w:val="aff4"/>
          <w:rFonts w:hint="cs"/>
          <w:vanish/>
          <w:rtl/>
        </w:rPr>
        <w:t>-</w:t>
      </w:r>
      <w:r>
        <w:rPr>
          <w:rFonts w:hint="cs"/>
          <w:rtl/>
        </w:rPr>
        <w:t xml:space="preserve"> מוכח דהפסקת יניקה הוי קוצר, א"כ מדברי </w:t>
      </w:r>
      <w:r w:rsidRPr="007F356E">
        <w:rPr>
          <w:rStyle w:val="aff4"/>
          <w:rFonts w:hint="cs"/>
          <w:vanish/>
          <w:rtl/>
        </w:rPr>
        <w:t>-</w:t>
      </w:r>
      <w:r w:rsidRPr="001F02FD">
        <w:rPr>
          <w:rStyle w:val="aff4"/>
          <w:rFonts w:hint="cs"/>
          <w:rtl/>
        </w:rPr>
        <w:t>התוס' לקמן</w:t>
      </w:r>
      <w:r w:rsidRPr="007F356E">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Ref135383793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לז)</w:t>
      </w:r>
      <w:r>
        <w:rPr>
          <w:rStyle w:val="af2"/>
          <w:rFonts w:eastAsia="Guttman Hodes"/>
          <w:rtl/>
        </w:rPr>
        <w:fldChar w:fldCharType="end"/>
      </w:r>
      <w:r>
        <w:rPr>
          <w:rFonts w:hint="cs"/>
          <w:rtl/>
        </w:rPr>
        <w:t xml:space="preserve"> מוכח להיפך, דהא כתבו </w:t>
      </w:r>
      <w:r w:rsidRPr="007F356E">
        <w:rPr>
          <w:rStyle w:val="aff4"/>
          <w:rFonts w:hint="cs"/>
          <w:vanish/>
          <w:rtl/>
        </w:rPr>
        <w:t>-</w:t>
      </w:r>
      <w:r w:rsidRPr="001F02FD">
        <w:rPr>
          <w:rStyle w:val="aff4"/>
          <w:rFonts w:hint="cs"/>
          <w:rtl/>
        </w:rPr>
        <w:t>התוס'</w:t>
      </w:r>
      <w:r w:rsidRPr="007F356E">
        <w:rPr>
          <w:rStyle w:val="aff4"/>
          <w:rFonts w:hint="cs"/>
          <w:vanish/>
          <w:rtl/>
        </w:rPr>
        <w:t>-</w:t>
      </w:r>
      <w:r>
        <w:rPr>
          <w:rFonts w:hint="cs"/>
          <w:rtl/>
        </w:rPr>
        <w:t xml:space="preserve"> דכשמניחו ע"ג יתדות אינו תולש מדאו', דעדיין הוא מחובר, והא לדברי </w:t>
      </w:r>
      <w:r w:rsidRPr="007F356E">
        <w:rPr>
          <w:rStyle w:val="aff4"/>
          <w:rFonts w:hint="cs"/>
          <w:vanish/>
          <w:rtl/>
        </w:rPr>
        <w:t>-</w:t>
      </w:r>
      <w:r w:rsidRPr="001F02FD">
        <w:rPr>
          <w:rStyle w:val="aff4"/>
          <w:rFonts w:hint="cs"/>
          <w:rtl/>
        </w:rPr>
        <w:t>הזכר יצחק</w:t>
      </w:r>
      <w:r w:rsidRPr="007F356E">
        <w:rPr>
          <w:rStyle w:val="aff4"/>
          <w:rFonts w:hint="cs"/>
          <w:vanish/>
          <w:rtl/>
        </w:rPr>
        <w:t>-</w:t>
      </w:r>
      <w:r>
        <w:rPr>
          <w:rFonts w:hint="cs"/>
          <w:rtl/>
        </w:rPr>
        <w:t xml:space="preserve"> היה </w:t>
      </w:r>
      <w:r w:rsidRPr="007F356E">
        <w:rPr>
          <w:rStyle w:val="aff4"/>
          <w:rFonts w:hint="cs"/>
          <w:vanish/>
          <w:rtl/>
        </w:rPr>
        <w:t>-</w:t>
      </w:r>
      <w:r w:rsidRPr="001F02FD">
        <w:rPr>
          <w:rStyle w:val="aff4"/>
          <w:rFonts w:hint="cs"/>
          <w:rtl/>
        </w:rPr>
        <w:t>להתוס'</w:t>
      </w:r>
      <w:r w:rsidRPr="007F356E">
        <w:rPr>
          <w:rStyle w:val="aff4"/>
          <w:rFonts w:hint="cs"/>
          <w:vanish/>
          <w:rtl/>
        </w:rPr>
        <w:t>-</w:t>
      </w:r>
      <w:r>
        <w:rPr>
          <w:rFonts w:hint="cs"/>
          <w:rtl/>
        </w:rPr>
        <w:t xml:space="preserve"> לחייב משום תולש דאו', דאעפ"י דעדיין הוא מחובר מ"מ התמעטה יניקתו, </w:t>
      </w:r>
      <w:r w:rsidRPr="007A72D8">
        <w:rPr>
          <w:rStyle w:val="af"/>
          <w:rFonts w:hint="cs"/>
          <w:rtl/>
        </w:rPr>
        <w:t xml:space="preserve">[וכתב </w:t>
      </w:r>
      <w:r w:rsidRPr="00394B7E">
        <w:rPr>
          <w:rStyle w:val="aff9"/>
          <w:rFonts w:hint="cs"/>
          <w:vanish/>
          <w:rtl/>
        </w:rPr>
        <w:t>-</w:t>
      </w:r>
      <w:r w:rsidRPr="00394B7E">
        <w:rPr>
          <w:rStyle w:val="aff9"/>
          <w:rFonts w:hint="cs"/>
          <w:rtl/>
        </w:rPr>
        <w:t>הדבר אברהם</w:t>
      </w:r>
      <w:r w:rsidRPr="00394B7E">
        <w:rPr>
          <w:rStyle w:val="aff9"/>
          <w:rFonts w:hint="cs"/>
          <w:vanish/>
          <w:rtl/>
        </w:rPr>
        <w:t>-</w:t>
      </w:r>
      <w:r w:rsidRPr="007A72D8">
        <w:rPr>
          <w:rStyle w:val="af"/>
          <w:rFonts w:hint="cs"/>
          <w:rtl/>
        </w:rPr>
        <w:t xml:space="preserve"> דא"א לומר דנחלקו אי מתמעטת היניקה בזה, עיי"ש בדבריו]</w:t>
      </w:r>
      <w:r w:rsidRPr="009C1377">
        <w:rPr>
          <w:rStyle w:val="af"/>
          <w:rFonts w:hint="cs"/>
          <w:rtl/>
        </w:rPr>
        <w:t>,</w:t>
      </w:r>
      <w:r>
        <w:rPr>
          <w:rFonts w:hint="cs"/>
          <w:rtl/>
        </w:rPr>
        <w:t xml:space="preserve"> והוסיף </w:t>
      </w:r>
      <w:r w:rsidRPr="007F356E">
        <w:rPr>
          <w:rStyle w:val="aff4"/>
          <w:rFonts w:hint="cs"/>
          <w:vanish/>
          <w:rtl/>
        </w:rPr>
        <w:t>-</w:t>
      </w:r>
      <w:r w:rsidRPr="001F02FD">
        <w:rPr>
          <w:rStyle w:val="aff4"/>
          <w:rFonts w:hint="cs"/>
          <w:rtl/>
        </w:rPr>
        <w:t>הדבר אברהם</w:t>
      </w:r>
      <w:r w:rsidRPr="007F356E">
        <w:rPr>
          <w:rStyle w:val="aff4"/>
          <w:rFonts w:hint="cs"/>
          <w:vanish/>
          <w:rtl/>
        </w:rPr>
        <w:t>-</w:t>
      </w:r>
      <w:r>
        <w:rPr>
          <w:rFonts w:hint="cs"/>
          <w:rtl/>
        </w:rPr>
        <w:t xml:space="preserve"> דכן מוכח מדברי </w:t>
      </w:r>
      <w:r w:rsidRPr="007F356E">
        <w:rPr>
          <w:rStyle w:val="aff4"/>
          <w:rFonts w:hint="cs"/>
          <w:vanish/>
          <w:rtl/>
        </w:rPr>
        <w:t>-</w:t>
      </w:r>
      <w:r w:rsidRPr="001F02FD">
        <w:rPr>
          <w:rStyle w:val="aff4"/>
          <w:rFonts w:hint="cs"/>
          <w:rtl/>
        </w:rPr>
        <w:t>רש"י לקמן</w:t>
      </w:r>
      <w:r w:rsidRPr="007F356E">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Ref134734637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לה)</w:t>
      </w:r>
      <w:r>
        <w:rPr>
          <w:rStyle w:val="af2"/>
          <w:rFonts w:eastAsia="Guttman Hodes"/>
          <w:rtl/>
        </w:rPr>
        <w:fldChar w:fldCharType="end"/>
      </w:r>
      <w:r>
        <w:rPr>
          <w:rFonts w:hint="cs"/>
          <w:rtl/>
        </w:rPr>
        <w:t xml:space="preserve"> </w:t>
      </w:r>
      <w:r w:rsidRPr="007F356E">
        <w:rPr>
          <w:rStyle w:val="aff4"/>
          <w:rFonts w:hint="cs"/>
          <w:vanish/>
          <w:rtl/>
        </w:rPr>
        <w:t>-</w:t>
      </w:r>
      <w:r w:rsidRPr="001F02FD">
        <w:rPr>
          <w:rStyle w:val="aff4"/>
          <w:rFonts w:hint="cs"/>
          <w:rtl/>
        </w:rPr>
        <w:t>וההג' אשר"י לקמן</w:t>
      </w:r>
      <w:r w:rsidRPr="007F356E">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Ref134956004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מז)</w:t>
      </w:r>
      <w:r>
        <w:rPr>
          <w:rStyle w:val="af2"/>
          <w:rFonts w:eastAsia="Guttman Hodes"/>
          <w:rtl/>
        </w:rPr>
        <w:fldChar w:fldCharType="end"/>
      </w:r>
      <w:r>
        <w:rPr>
          <w:rFonts w:hint="cs"/>
          <w:rtl/>
        </w:rPr>
        <w:t xml:space="preserve"> דכתבו דחייב משום תולש רק מדרבנן, ועי' במ"ש </w:t>
      </w:r>
      <w:r w:rsidRPr="00DE1AA0">
        <w:rPr>
          <w:rStyle w:val="aff4"/>
          <w:rFonts w:hint="cs"/>
          <w:vanish/>
          <w:rtl/>
        </w:rPr>
        <w:t>-</w:t>
      </w:r>
      <w:r w:rsidRPr="00DB6BF0">
        <w:rPr>
          <w:rStyle w:val="aff4"/>
          <w:rFonts w:hint="cs"/>
          <w:rtl/>
        </w:rPr>
        <w:t>הדבר אברהם</w:t>
      </w:r>
      <w:r w:rsidRPr="00DE1AA0">
        <w:rPr>
          <w:rStyle w:val="aff4"/>
          <w:rFonts w:hint="cs"/>
          <w:vanish/>
          <w:rtl/>
        </w:rPr>
        <w:t>-</w:t>
      </w:r>
      <w:r>
        <w:rPr>
          <w:rFonts w:hint="cs"/>
          <w:rtl/>
        </w:rPr>
        <w:t xml:space="preserve"> </w:t>
      </w:r>
      <w:r w:rsidRPr="00FB451D">
        <w:rPr>
          <w:rStyle w:val="af2"/>
          <w:rFonts w:eastAsia="Guttman Hodes" w:hint="cs"/>
          <w:rtl/>
        </w:rPr>
        <w:t>(</w:t>
      </w:r>
      <w:r>
        <w:rPr>
          <w:rStyle w:val="af2"/>
          <w:rFonts w:eastAsia="Guttman Hodes" w:hint="cs"/>
          <w:rtl/>
        </w:rPr>
        <w:t>עי'</w:t>
      </w:r>
      <w:r w:rsidRPr="00FD67B7">
        <w:rPr>
          <w:rStyle w:val="af2"/>
          <w:rFonts w:eastAsia="Guttman Hodes" w:hint="cs"/>
          <w:rtl/>
        </w:rPr>
        <w:t xml:space="preserve"> אות </w:t>
      </w:r>
      <w:r w:rsidRPr="00FD67B7">
        <w:rPr>
          <w:rStyle w:val="af2"/>
          <w:rFonts w:eastAsia="Guttman Hodes"/>
          <w:rtl/>
        </w:rPr>
        <w:fldChar w:fldCharType="begin"/>
      </w:r>
      <w:r w:rsidRPr="00FD67B7">
        <w:rPr>
          <w:rStyle w:val="af2"/>
          <w:rFonts w:eastAsia="Guttman Hodes"/>
          <w:rtl/>
        </w:rPr>
        <w:instrText xml:space="preserve"> </w:instrText>
      </w:r>
      <w:r w:rsidRPr="00FD67B7">
        <w:rPr>
          <w:rStyle w:val="af2"/>
          <w:rFonts w:eastAsia="Guttman Hodes" w:hint="cs"/>
        </w:rPr>
        <w:instrText>REF</w:instrText>
      </w:r>
      <w:r w:rsidRPr="00FD67B7">
        <w:rPr>
          <w:rStyle w:val="af2"/>
          <w:rFonts w:eastAsia="Guttman Hodes" w:hint="cs"/>
          <w:rtl/>
        </w:rPr>
        <w:instrText xml:space="preserve"> _</w:instrText>
      </w:r>
      <w:r w:rsidRPr="00FD67B7">
        <w:rPr>
          <w:rStyle w:val="af2"/>
          <w:rFonts w:eastAsia="Guttman Hodes" w:hint="cs"/>
        </w:rPr>
        <w:instrText>Ref135083976 \r \h</w:instrText>
      </w:r>
      <w:r w:rsidRPr="00FD67B7">
        <w:rPr>
          <w:rStyle w:val="af2"/>
          <w:rFonts w:eastAsia="Guttman Hodes"/>
          <w:rtl/>
        </w:rPr>
        <w:instrText xml:space="preserve"> </w:instrText>
      </w:r>
      <w:r w:rsidRPr="00FD67B7">
        <w:rPr>
          <w:rStyle w:val="af2"/>
          <w:rFonts w:eastAsia="Guttman Hodes"/>
          <w:rtl/>
        </w:rPr>
      </w:r>
      <w:r w:rsidRPr="00FD67B7">
        <w:rPr>
          <w:rStyle w:val="af2"/>
          <w:rFonts w:eastAsia="Guttman Hodes"/>
          <w:rtl/>
        </w:rPr>
        <w:fldChar w:fldCharType="separate"/>
      </w:r>
      <w:r w:rsidR="00D82181">
        <w:rPr>
          <w:rStyle w:val="af2"/>
          <w:rFonts w:eastAsia="Guttman Hodes"/>
          <w:cs/>
        </w:rPr>
        <w:t>‎</w:t>
      </w:r>
      <w:r w:rsidR="00D82181">
        <w:rPr>
          <w:rStyle w:val="af2"/>
          <w:rFonts w:eastAsia="Guttman Hodes"/>
          <w:rtl/>
        </w:rPr>
        <w:t>ק)</w:t>
      </w:r>
      <w:r w:rsidRPr="00FD67B7">
        <w:rPr>
          <w:rStyle w:val="af2"/>
          <w:rFonts w:eastAsia="Guttman Hodes"/>
          <w:rtl/>
        </w:rPr>
        <w:fldChar w:fldCharType="end"/>
      </w:r>
      <w:r>
        <w:rPr>
          <w:rFonts w:hint="cs"/>
          <w:rtl/>
        </w:rPr>
        <w:t xml:space="preserve"> אי מדברי </w:t>
      </w:r>
      <w:r w:rsidRPr="00DE1AA0">
        <w:rPr>
          <w:rStyle w:val="aff4"/>
          <w:rFonts w:hint="cs"/>
          <w:vanish/>
          <w:rtl/>
        </w:rPr>
        <w:t>-</w:t>
      </w:r>
      <w:r w:rsidRPr="00DB6BF0">
        <w:rPr>
          <w:rStyle w:val="aff4"/>
          <w:rFonts w:hint="cs"/>
          <w:rtl/>
        </w:rPr>
        <w:t>הלבוש</w:t>
      </w:r>
      <w:r w:rsidRPr="00DE1AA0">
        <w:rPr>
          <w:rStyle w:val="aff4"/>
          <w:rFonts w:hint="cs"/>
          <w:vanish/>
          <w:rtl/>
        </w:rPr>
        <w:t>-</w:t>
      </w:r>
      <w:r>
        <w:rPr>
          <w:rFonts w:hint="cs"/>
          <w:rtl/>
        </w:rPr>
        <w:t xml:space="preserve"> </w:t>
      </w:r>
      <w:r w:rsidRPr="00FB451D">
        <w:rPr>
          <w:rStyle w:val="af2"/>
          <w:rFonts w:eastAsia="Guttman Hodes" w:hint="cs"/>
          <w:rtl/>
        </w:rPr>
        <w:t xml:space="preserve">(עי' אות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Ref135083821 \r \h</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נ)</w:t>
      </w:r>
      <w:r w:rsidRPr="00FB451D">
        <w:rPr>
          <w:rStyle w:val="af2"/>
          <w:rFonts w:eastAsia="Guttman Hodes"/>
          <w:rtl/>
        </w:rPr>
        <w:fldChar w:fldCharType="end"/>
      </w:r>
      <w:r w:rsidRPr="00FD67B7">
        <w:rPr>
          <w:rFonts w:hint="cs"/>
          <w:rtl/>
        </w:rPr>
        <w:t xml:space="preserve"> </w:t>
      </w:r>
      <w:r>
        <w:rPr>
          <w:rFonts w:hint="cs"/>
          <w:rtl/>
        </w:rPr>
        <w:t xml:space="preserve">מבואר כביאור </w:t>
      </w:r>
      <w:r w:rsidRPr="00DE1AA0">
        <w:rPr>
          <w:rStyle w:val="aff4"/>
          <w:rFonts w:hint="cs"/>
          <w:vanish/>
          <w:rtl/>
        </w:rPr>
        <w:t>-</w:t>
      </w:r>
      <w:r w:rsidRPr="00DB6BF0">
        <w:rPr>
          <w:rStyle w:val="aff4"/>
          <w:rFonts w:hint="cs"/>
          <w:rtl/>
        </w:rPr>
        <w:t>הזכר יצחק</w:t>
      </w:r>
      <w:r w:rsidRPr="00DE1AA0">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Ref135385725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צה)</w:t>
      </w:r>
      <w:r>
        <w:rPr>
          <w:rStyle w:val="af2"/>
          <w:rFonts w:eastAsia="Guttman Hodes"/>
          <w:rtl/>
        </w:rPr>
        <w:fldChar w:fldCharType="end"/>
      </w:r>
      <w:r>
        <w:rPr>
          <w:rFonts w:hint="cs"/>
          <w:rtl/>
        </w:rPr>
        <w:t xml:space="preserve"> דגדר קוצר הוא מחמת דמפסיק את היניקה.</w:t>
      </w:r>
      <w:bookmarkEnd w:id="1695"/>
    </w:p>
    <w:p w14:paraId="74E1B2E2" w14:textId="77777777" w:rsidR="000426DE" w:rsidRPr="00747170" w:rsidRDefault="000426DE" w:rsidP="00747170">
      <w:pPr>
        <w:pStyle w:val="a2"/>
        <w:rPr>
          <w:rtl/>
        </w:rPr>
      </w:pPr>
      <w:r w:rsidRPr="00747170">
        <w:rPr>
          <w:rtl/>
        </w:rPr>
        <w:t xml:space="preserve">[א] על מה שכתבתי דש"ס דילן לא סבר דיסוד מלאכת הקוצר הוא הבדלת החיות כההיא דירושלמי (פ' כלל גדול) הדין דצייד כוורא וכל דבר שהוא מבדילו מחיותו חייב משום קוצר, אלא דעיקר הקוצר הוא משום שעוקרו ממקום חיבורו אף על פי שלא היה יונק משם. וחילא דידי מההיא דחולין (דף קכ"ז ע"ב) תאנים שצמקו באיביהן מטמא טומאת אוכלין והתולש מהן בשבת חייב וכן פסק הרמב"ם (פ"ח מהלכות שבת ה"ד) הרי דאע"פ שאינם יונקים מן הקרקע שהרי צמקו כבר מ"מ כיון שהן מחוברין חייב משום תולש וע"ז כתב כ"ג להוכיח שלא כדברי אלו מהא דפסק הרמב"ם (פרק והלכה הנ"ל) גבשושית של עפר שעלו בה עשבים הגביהה מעל הארץ והניחה ע"ג יתדות חייב משום תולש עכ"ל, אף על פי שגם ע"ג יתדות הוי מחובר ובע"כ לומר דס"ל דכל שממעט יניקתו [דבודאי יניקתו יותר מעטה כשהיא ע"ג יתדות] בשביל מיעוט היניקה חייב, וא"כ מוכרח דחיוב הקוצר הוא משום הבדלת חיותו אבל אם נימא דיסוד הקוצר הוא משום תלישת החיבור אין מקום לחייב בזה כיון דגם עתה הוא מחובר עכ"ד כ"ג: </w:t>
      </w:r>
    </w:p>
    <w:p w14:paraId="11986B89" w14:textId="77777777" w:rsidR="000426DE" w:rsidRPr="009F3082" w:rsidRDefault="000426DE" w:rsidP="00747170">
      <w:pPr>
        <w:pStyle w:val="afffff5"/>
        <w:rPr>
          <w:rtl/>
        </w:rPr>
      </w:pPr>
      <w:r w:rsidRPr="00D578AC">
        <w:rPr>
          <w:rtl/>
        </w:rPr>
        <w:t xml:space="preserve">[ב] ואני אומר אדמותיב לי כ"ג מדברי הרמב"ם לסייע לי מדברי התוס' גיטין (דף ז' ע"ב ד"ה דילמא) שכתבו דעציץ נקוב המונח ע"ג יתדות הוי מחובר לקרקע, והוקשה להם מהא דשבת (דף פ"א ע"ב) האי פרפיסא דמנחא אארעא והניחו ע"ג יתדות חייב משום תולש אלמא דע"ג יתדות לא הוי מחובר ומכח קושיא זו הכריחו דהא דמחייבינן התם משום תולש מדרבנן הוא, א"כ מוכרח מדבריהם דלא כמש"כ כ"ג, דלפי דבריו שפיר אפשר דהוי מחובר ומ"מ חייב משום תולש מדאורייתא בשביל מיעוט היניקה אלא דודאי ס"ל דאם נשאר עדיין מחובר אינו חייב משום קוצר בשביל מיעוט היניקה דעיקר התולש הוא מה שעוקרו מן החיבור אבל כשנשאר מחובר פטור. ואין לומר דלהתוס' נמי במיעוט היניקה הוי תולש אלא דסברי דבמניחו ע"ג יתדות אינו ממעט את היניקה כלל שכך הוא יונק באויר כמו בסמוך לקרקע דז"א דלמה נכניס בין הרמב"ם והתוס' מחלוקת במעשה כזו שהחוש והשכל מעידים שכל שמתרחק מן כקרקע היניקה מתמעטת </w:t>
      </w:r>
      <w:r w:rsidRPr="009F3082">
        <w:rPr>
          <w:rStyle w:val="afff7"/>
          <w:rtl/>
        </w:rPr>
        <w:t>ועדיפא מזו כתב הריטב"א בחי' לגיטין שם דעד כאן לא הוי עציץ נקוב המונח ע"ג יתדות כמחובר אלא למטה מעשרה אבל למעלה מעשרה לא, ובודאי כוונתו דלמעלה מעשרה פסק כח היניקה ואין הנקב מועיל לזרעים שבעציץ והוי כעציץ שאינו נקוב שהוא כתלוש, ופשוט הוא שאין היניקה פוסקת בפעם אחת בדיוק במרחק עשרה אלא פורתא פורתא היא מתמעטת והולכת ובמרחק עשרה היא נפסקת לגמרי* ואפילו לל"א שבריטב"א שם דלמעלה מעשרה נמי הוי מחובר מ"מ ברור לענ"ד דהך לישנא אחרינא חולק רק על השיעור של עשרה טפחים שניתן בו אבל הא מיהא ודאי לכו"ע שהיניקה מתמעטת פורתא פורתא ובמרחק ידוע תיפסק לגמרי ויהא נידון כתלוש. וכן נ"ל להוכיח מתוספתא דטבול יום (פ"ד) מובאת בר"ש עוקצים (פ"ב משנה י') עציץ נקוב שנתנו ע"ג יתדות אפילו גבוה מן הארץ אמה אינו מכשיר את הזרעים, ואי נימא שאין היניקה מתמעטת כלל במה שמוגבה ומתרחק מן הארץ מאי רבותא היא דקמ"ל בגבוה מן הארץ אמה מ"ל אמה מ"ל פחות או יותר מזה, אע"כ דכל שמתרחק מן הארץ יניקתו מתמעטת והולכת וקמ"ל דאפ"ה במרחק אמה עדיין הוא יונק והוי מחובר:</w:t>
      </w:r>
    </w:p>
    <w:p w14:paraId="1F621BBF" w14:textId="77777777" w:rsidR="000426DE" w:rsidRPr="009F3082" w:rsidRDefault="000426DE" w:rsidP="000426DE">
      <w:pPr>
        <w:pStyle w:val="afff6"/>
        <w:rPr>
          <w:vanish/>
          <w:rtl/>
        </w:rPr>
      </w:pPr>
      <w:r w:rsidRPr="009F3082">
        <w:rPr>
          <w:vanish/>
          <w:rtl/>
        </w:rPr>
        <w:t>* [הגה"ה] ודרך אגב נעיר בזה שע"פ דברי הריטב"א אלו ניחא לי מה שיש לדקדק במנחות (דף פ"ד ע"ב) תנא חדא שבגג ושבחורבה ושבספינה ושבעציץ מביא וקורא ותניא אידך מביא ואינו קורא כו' גג אגג ל"ק הא בגג דמערה הא בגג דבית ספינה אספינה ל"ק כאן בספינה של עץ כאן בספינה של חרס. פי' דשל עץ בעי נקיבה ושל חרס לא בעי נקיבה לרש"י ולר"ת להיפוך. וה"ה לעציץ המונח ע"ג יתדות של חרס לרש"י ושל עץ לר"ת לא בעי נקיבה כמבואר התם בגיטין ויעו"ש ברש"י ותוס'. וק"ק מאי דוחקא דגמ' לאוקמי ההיא דמביא וקורא בגג של מערה דשינויא דחיקא הוא דקרי לעליונו של מערה גג סתם ועוד מאי רבותא היא בגג מערה שמביא וקורא פשיטא דקרקע מעלייתא הוי, עדיפא הו"ל לשנויי כדמשני בספינה כאן בגג של חרס כאן בגג של עץ שהרי הגג הוי כעציץ המונח ע"ג יתדות ונהי דלרש"י י"ל דאין דרך גג להיות של חרס אבל לר"ת דשל עץ לא בעי נקיבה לוקמי תרווייהו בגג של עץ ובשל בית והא דתני מביא וקורא כשאין רצפה של אבנים תחת הגג והוי כעציץ שע"ג יתדות שיונק מן הקרקע ומה שאין הגג נקוב לא איכפת לן שהרי של עץ היא דלא בעי נקיבה, והא דתנא מביא ואינו קורא כשיש רצפה לבית שחוצצת בפני היניקה והוי כעציץ שאינו נקוב. ולפי דברי הריטב"א ניחא שאין בית פחות מעשרה באוירו וא"כ הוי הגג למעלה מעשרה מן הקרקע ובגובה כזה אין עציץ המונח ע"ג יתדות יונק מלחלוחית הקרקע: [ע"כ הגה"ה]</w:t>
      </w:r>
    </w:p>
    <w:p w14:paraId="11CF31FA" w14:textId="77777777" w:rsidR="000426DE" w:rsidRPr="009F3082" w:rsidRDefault="000426DE" w:rsidP="00747170">
      <w:pPr>
        <w:pStyle w:val="afffff5"/>
        <w:rPr>
          <w:rtl/>
        </w:rPr>
      </w:pPr>
      <w:r w:rsidRPr="009F3082">
        <w:rPr>
          <w:rtl/>
        </w:rPr>
        <w:t>וגם שיטת רש"י ז"ל בשבת היא דתולש דפרפיסא הוי דרבנן, ואף על פי שהוא הכריח לה מטעמא אחרינא מדהתירו בצרור לצורך מ"מ הרי מסקנתו מיהא דהוי דרבנן ובודאי בטעמא דמילתא שאינו דאורייתא צ"ל משום דמיעוט היניקה לא הוי תולש ומחובר הוא נשאר גם אח"כ וכן מבואר להדיא בהגהות אשר"י פ' המוציא יין (סי' ב') וז"ל עציץ נקוב שמונח ע"ג יתדות חייב משום תולש מדרבנן או אם מונח ע"ג יתדות והניח ע"ג קרקע חייב משום נוטע ומדרבנן, אף על גב דמונח ע"ג יתדות יונק מן הקרקע קצת הלכך מדאורייתא אינו חייב משום תולש ומשום זורע עכ"ל, וזהו בודאי גם טעמו של רש"י וכ"כ הב"י או"ח (סי' של"ו) הרי להדיא דאע"ג דממעט יניקתו שהרי במונח ע"ג יתדות קאמר דיונק רק קצת מ"מ אינו חייב שהרי במונח ע"ג יתדות קאמר דיונק רק קצת מ"מ אינו חייב משום תולש.</w:t>
      </w:r>
    </w:p>
    <w:p w14:paraId="54BCF127" w14:textId="77777777" w:rsidR="000426DE" w:rsidRPr="009F3082" w:rsidRDefault="000426DE" w:rsidP="000426DE">
      <w:pPr>
        <w:pStyle w:val="a7"/>
        <w:rPr>
          <w:vanish/>
          <w:rtl/>
        </w:rPr>
      </w:pPr>
      <w:r w:rsidRPr="009F3082">
        <w:rPr>
          <w:rFonts w:hint="cs"/>
          <w:vanish/>
          <w:rtl/>
        </w:rPr>
        <w:t>בי' הדב"א דבהג"א אין ראיה דהבבלי מודה לירו' ואפש"ל דבמפסיק בבגד לא חשיב כמחובר</w:t>
      </w:r>
    </w:p>
    <w:p w14:paraId="6F7C3AE2" w14:textId="1B6480F1" w:rsidR="000426DE" w:rsidRPr="00465509" w:rsidRDefault="000426DE" w:rsidP="00BC7DC8">
      <w:pPr>
        <w:pStyle w:val="a3"/>
      </w:pPr>
      <w:r>
        <w:rPr>
          <w:rFonts w:hint="cs"/>
          <w:rtl/>
        </w:rPr>
        <w:t xml:space="preserve">וכתב </w:t>
      </w:r>
      <w:r w:rsidRPr="007F356E">
        <w:rPr>
          <w:rStyle w:val="aff4"/>
          <w:rFonts w:hint="cs"/>
          <w:vanish/>
          <w:rtl/>
        </w:rPr>
        <w:t>-</w:t>
      </w:r>
      <w:r w:rsidRPr="001F02FD">
        <w:rPr>
          <w:rStyle w:val="aff4"/>
          <w:rFonts w:hint="cs"/>
          <w:rtl/>
        </w:rPr>
        <w:t>הדבר אברהם</w:t>
      </w:r>
      <w:r w:rsidRPr="007F356E">
        <w:rPr>
          <w:rStyle w:val="aff4"/>
          <w:rFonts w:hint="cs"/>
          <w:vanish/>
          <w:rtl/>
        </w:rPr>
        <w:t>-</w:t>
      </w:r>
      <w:r>
        <w:rPr>
          <w:rFonts w:hint="cs"/>
          <w:rtl/>
        </w:rPr>
        <w:t xml:space="preserve"> דממ"ש </w:t>
      </w:r>
      <w:r w:rsidRPr="007F356E">
        <w:rPr>
          <w:rStyle w:val="aff4"/>
          <w:rFonts w:hint="cs"/>
          <w:vanish/>
          <w:rtl/>
        </w:rPr>
        <w:t>-</w:t>
      </w:r>
      <w:r w:rsidRPr="001F02FD">
        <w:rPr>
          <w:rStyle w:val="aff4"/>
          <w:rFonts w:hint="cs"/>
          <w:rtl/>
        </w:rPr>
        <w:t>ההג' אשר"י לקמן</w:t>
      </w:r>
      <w:r w:rsidRPr="007F356E">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Ref134956004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מז)</w:t>
      </w:r>
      <w:r>
        <w:rPr>
          <w:rStyle w:val="af2"/>
          <w:rFonts w:eastAsia="Guttman Hodes"/>
          <w:rtl/>
        </w:rPr>
        <w:fldChar w:fldCharType="end"/>
      </w:r>
      <w:r>
        <w:rPr>
          <w:rFonts w:hint="cs"/>
          <w:rtl/>
        </w:rPr>
        <w:t xml:space="preserve"> דאם הפסיק את היניקה לגמרי כשהניח בגד בין העציץ לקרקע, חייב מדאו', א"א להוכיח דלדידן חיוב קוצר הוא מחמת הפסקת היניקה, אלא באמת החיוב הוא מחמת דקוצר ממחובר, ובעציץ שהפסיק את יניקתו ממילא אינו מחובר, דכ"מ שהיה חשיב מחובר הוא מחמת היניקה.</w:t>
      </w:r>
    </w:p>
    <w:p w14:paraId="0BEBE884" w14:textId="77777777" w:rsidR="000426DE" w:rsidRPr="00747170" w:rsidRDefault="000426DE" w:rsidP="00747170">
      <w:pPr>
        <w:pStyle w:val="a2"/>
        <w:rPr>
          <w:rtl/>
        </w:rPr>
      </w:pPr>
      <w:r w:rsidRPr="00747170">
        <w:rPr>
          <w:rtl/>
        </w:rPr>
        <w:t>ומהא דמשמע מדבריו שאם לא היה יונק כלל היה חייב מדאורייתא אין ראיה דחיוב הקוצר משום הבדלת החיות הוא, דכה"ג שאין לו יניקה כלל מחובר נמי לא הוי, דעיקר דין חיבורו הוא משום שיונק מן הקרקע וכשפסקה יניקתו הוי תלוש ושפיר חייב משום עקירתו מחיבורו ולאו משום הבדלת החיות גרידא מצד עצמה. אבל לפי מש"כ כ"ג דבמיעוט היניקה הוי קוצר ליחייב משום תולש מדאורייתא:</w:t>
      </w:r>
    </w:p>
    <w:p w14:paraId="7443BF88" w14:textId="77777777" w:rsidR="000426DE" w:rsidRDefault="000426DE" w:rsidP="000426DE">
      <w:pPr>
        <w:pStyle w:val="afffff7"/>
        <w:rPr>
          <w:rtl/>
        </w:rPr>
      </w:pPr>
      <w:bookmarkStart w:id="1696" w:name="_Toc135513749"/>
      <w:bookmarkStart w:id="1697" w:name="_Hlk135216260"/>
      <w:bookmarkStart w:id="1698" w:name="_Toc163505671"/>
      <w:r>
        <w:rPr>
          <w:rtl/>
        </w:rPr>
        <w:t>דבר אברהם ח</w:t>
      </w:r>
      <w:r>
        <w:rPr>
          <w:rFonts w:hint="cs"/>
          <w:rtl/>
        </w:rPr>
        <w:t>"</w:t>
      </w:r>
      <w:r>
        <w:rPr>
          <w:rtl/>
        </w:rPr>
        <w:t>א סי</w:t>
      </w:r>
      <w:r>
        <w:rPr>
          <w:rFonts w:hint="cs"/>
          <w:rtl/>
        </w:rPr>
        <w:t>'</w:t>
      </w:r>
      <w:r>
        <w:rPr>
          <w:rtl/>
        </w:rPr>
        <w:t xml:space="preserve"> כ</w:t>
      </w:r>
      <w:r>
        <w:rPr>
          <w:rFonts w:hint="cs"/>
          <w:rtl/>
        </w:rPr>
        <w:t>"</w:t>
      </w:r>
      <w:r>
        <w:rPr>
          <w:rtl/>
        </w:rPr>
        <w:t>ה</w:t>
      </w:r>
      <w:r>
        <w:rPr>
          <w:rFonts w:hint="cs"/>
          <w:rtl/>
        </w:rPr>
        <w:t xml:space="preserve"> אות י'</w:t>
      </w:r>
      <w:bookmarkEnd w:id="1696"/>
      <w:bookmarkEnd w:id="1698"/>
    </w:p>
    <w:p w14:paraId="6617AB5B" w14:textId="77777777" w:rsidR="000426DE" w:rsidRDefault="000426DE" w:rsidP="000426DE">
      <w:pPr>
        <w:pStyle w:val="a7"/>
        <w:rPr>
          <w:rtl/>
        </w:rPr>
      </w:pPr>
      <w:bookmarkStart w:id="1699" w:name="_Toc139316429"/>
      <w:r>
        <w:rPr>
          <w:rFonts w:hint="cs"/>
          <w:rtl/>
        </w:rPr>
        <w:t>בי' הדב"א דבתוס' בשבועות מוכח דגדר קוצר הוא תלישה ממחובר ולא הפסקת החיות</w:t>
      </w:r>
      <w:bookmarkEnd w:id="1699"/>
    </w:p>
    <w:p w14:paraId="3515B214" w14:textId="4704732E" w:rsidR="000426DE" w:rsidRDefault="000426DE" w:rsidP="00BC7DC8">
      <w:pPr>
        <w:pStyle w:val="a3"/>
        <w:rPr>
          <w:rtl/>
        </w:rPr>
      </w:pPr>
      <w:bookmarkStart w:id="1700" w:name="_Ref135079701"/>
      <w:r>
        <w:rPr>
          <w:rFonts w:hint="cs"/>
          <w:rtl/>
        </w:rPr>
        <w:t xml:space="preserve">ועוד כתב </w:t>
      </w:r>
      <w:r w:rsidRPr="00DE1AA0">
        <w:rPr>
          <w:rStyle w:val="aff4"/>
          <w:rFonts w:hint="cs"/>
          <w:vanish/>
          <w:rtl/>
        </w:rPr>
        <w:t>-</w:t>
      </w:r>
      <w:r w:rsidRPr="00DB6BF0">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Ref135079701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פו)</w:t>
      </w:r>
      <w:r w:rsidRPr="00B53404">
        <w:rPr>
          <w:rStyle w:val="aff4"/>
          <w:vanish/>
          <w:rtl/>
        </w:rPr>
        <w:fldChar w:fldCharType="end"/>
      </w:r>
      <w:r w:rsidRPr="00B53404">
        <w:rPr>
          <w:rStyle w:val="aff4"/>
          <w:rFonts w:hint="cs"/>
          <w:vanish/>
          <w:rtl/>
        </w:rPr>
        <w:t xml:space="preserve"> &gt;</w:t>
      </w:r>
      <w:r w:rsidRPr="00DB6BF0">
        <w:rPr>
          <w:rStyle w:val="aff4"/>
          <w:rFonts w:hint="cs"/>
          <w:rtl/>
        </w:rPr>
        <w:t>דבר אברהם</w:t>
      </w:r>
      <w:r w:rsidRPr="00DE1AA0">
        <w:rPr>
          <w:rStyle w:val="aff4"/>
          <w:rFonts w:hint="cs"/>
          <w:vanish/>
          <w:rtl/>
        </w:rPr>
        <w:t>-</w:t>
      </w:r>
      <w:r>
        <w:rPr>
          <w:rFonts w:hint="cs"/>
          <w:rtl/>
        </w:rPr>
        <w:t xml:space="preserve"> </w:t>
      </w:r>
      <w:r w:rsidRPr="00FB451D">
        <w:rPr>
          <w:rStyle w:val="af2"/>
          <w:rFonts w:eastAsia="Guttman Hodes" w:hint="cs"/>
          <w:rtl/>
        </w:rPr>
        <w:t>(ח"א סי' כ"ה אות י')</w:t>
      </w:r>
      <w:r w:rsidRPr="00DE1AA0">
        <w:rPr>
          <w:rFonts w:hint="cs"/>
          <w:vanish/>
          <w:rtl/>
        </w:rPr>
        <w:t>=</w:t>
      </w:r>
      <w:r>
        <w:rPr>
          <w:rFonts w:hint="cs"/>
          <w:rtl/>
        </w:rPr>
        <w:t xml:space="preserve"> דכמו דמדברי </w:t>
      </w:r>
      <w:r w:rsidRPr="00DE1AA0">
        <w:rPr>
          <w:rStyle w:val="aff4"/>
          <w:rFonts w:hint="cs"/>
          <w:vanish/>
          <w:rtl/>
        </w:rPr>
        <w:t>-</w:t>
      </w:r>
      <w:r w:rsidRPr="00DB6BF0">
        <w:rPr>
          <w:rStyle w:val="aff4"/>
          <w:rFonts w:hint="cs"/>
          <w:rtl/>
        </w:rPr>
        <w:t>רש"י לקמן</w:t>
      </w:r>
      <w:r w:rsidRPr="00DE1AA0">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Ref134734637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לה)</w:t>
      </w:r>
      <w:r>
        <w:rPr>
          <w:rStyle w:val="af2"/>
          <w:rFonts w:eastAsia="Guttman Hodes"/>
          <w:rtl/>
        </w:rPr>
        <w:fldChar w:fldCharType="end"/>
      </w:r>
      <w:r>
        <w:rPr>
          <w:rFonts w:hint="cs"/>
          <w:rtl/>
        </w:rPr>
        <w:t xml:space="preserve"> </w:t>
      </w:r>
      <w:r w:rsidRPr="00DE1AA0">
        <w:rPr>
          <w:rStyle w:val="aff4"/>
          <w:rFonts w:hint="cs"/>
          <w:vanish/>
          <w:rtl/>
        </w:rPr>
        <w:t>-</w:t>
      </w:r>
      <w:r w:rsidRPr="00DB6BF0">
        <w:rPr>
          <w:rStyle w:val="aff4"/>
          <w:rFonts w:hint="cs"/>
          <w:rtl/>
        </w:rPr>
        <w:t>והתוס' לקמן</w:t>
      </w:r>
      <w:r w:rsidRPr="00DE1AA0">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Ref135383793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לז)</w:t>
      </w:r>
      <w:r>
        <w:rPr>
          <w:rStyle w:val="af2"/>
          <w:rFonts w:eastAsia="Guttman Hodes"/>
          <w:rtl/>
        </w:rPr>
        <w:fldChar w:fldCharType="end"/>
      </w:r>
      <w:r>
        <w:rPr>
          <w:rFonts w:hint="cs"/>
          <w:rtl/>
        </w:rPr>
        <w:t xml:space="preserve"> </w:t>
      </w:r>
      <w:r w:rsidRPr="00DE1AA0">
        <w:rPr>
          <w:rStyle w:val="aff4"/>
          <w:rFonts w:hint="cs"/>
          <w:vanish/>
          <w:rtl/>
        </w:rPr>
        <w:t>-</w:t>
      </w:r>
      <w:r w:rsidRPr="00DB6BF0">
        <w:rPr>
          <w:rStyle w:val="aff4"/>
          <w:rFonts w:hint="cs"/>
          <w:rtl/>
        </w:rPr>
        <w:t>וההג"א לקמן</w:t>
      </w:r>
      <w:r w:rsidRPr="00DE1AA0">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Ref134956004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מז)</w:t>
      </w:r>
      <w:r>
        <w:rPr>
          <w:rStyle w:val="af2"/>
          <w:rFonts w:eastAsia="Guttman Hodes"/>
          <w:rtl/>
        </w:rPr>
        <w:fldChar w:fldCharType="end"/>
      </w:r>
      <w:r>
        <w:rPr>
          <w:rFonts w:hint="cs"/>
          <w:rtl/>
        </w:rPr>
        <w:t xml:space="preserve"> מבואר דעיקר גדר קוצר הוא מחמת שקוצרו ומבדילו ממקום שהיה מחובר בו, ולא מחמת שמפסיק את חיותו</w:t>
      </w:r>
      <w:bookmarkEnd w:id="1700"/>
      <w:r>
        <w:rPr>
          <w:rFonts w:hint="cs"/>
          <w:rtl/>
        </w:rPr>
        <w:t xml:space="preserve">, כן מוכח בדברי </w:t>
      </w:r>
      <w:r w:rsidRPr="008D113A">
        <w:rPr>
          <w:rStyle w:val="aff4"/>
          <w:rFonts w:hint="cs"/>
          <w:vanish/>
          <w:rtl/>
        </w:rPr>
        <w:t>-</w:t>
      </w:r>
      <w:r w:rsidRPr="003A46DB">
        <w:rPr>
          <w:rStyle w:val="aff4"/>
          <w:rFonts w:hint="cs"/>
          <w:rtl/>
        </w:rPr>
        <w:t>ה</w:t>
      </w:r>
      <w:r w:rsidRPr="00B53404">
        <w:rPr>
          <w:rStyle w:val="aff4"/>
          <w:rFonts w:hint="cs"/>
          <w:vanish/>
          <w:rtl/>
        </w:rPr>
        <w:t>&lt; &gt;</w:t>
      </w:r>
      <w:r w:rsidRPr="000614F7">
        <w:rPr>
          <w:rStyle w:val="aff4"/>
          <w:rFonts w:hint="cs"/>
          <w:rtl/>
        </w:rPr>
        <w:t>תוס' בשבועות</w:t>
      </w:r>
      <w:r w:rsidRPr="008D113A">
        <w:rPr>
          <w:rStyle w:val="aff4"/>
          <w:rFonts w:hint="cs"/>
          <w:vanish/>
          <w:rtl/>
        </w:rPr>
        <w:t>-</w:t>
      </w:r>
      <w:r>
        <w:rPr>
          <w:rFonts w:hint="cs"/>
          <w:rtl/>
        </w:rPr>
        <w:t xml:space="preserve"> </w:t>
      </w:r>
      <w:r w:rsidRPr="00FB451D">
        <w:rPr>
          <w:rStyle w:val="af2"/>
          <w:rFonts w:eastAsia="Guttman Hodes" w:hint="cs"/>
          <w:rtl/>
        </w:rPr>
        <w:t>(מג. ד"ה כבצורות)</w:t>
      </w:r>
      <w:r w:rsidRPr="003A46DB">
        <w:rPr>
          <w:rFonts w:hint="cs"/>
          <w:vanish/>
          <w:rtl/>
        </w:rPr>
        <w:t>=</w:t>
      </w:r>
      <w:r>
        <w:rPr>
          <w:rFonts w:hint="cs"/>
          <w:rtl/>
        </w:rPr>
        <w:t xml:space="preserve"> דכתבו דאף דבענבים העומדות ליבצר נחלקו ר"מ ורבנן אי </w:t>
      </w:r>
      <w:r>
        <w:rPr>
          <w:rFonts w:hint="cs"/>
          <w:rtl/>
        </w:rPr>
        <w:lastRenderedPageBreak/>
        <w:t>כבצורות דמי, מ"מ לענין שבת לכו"ע אינם כבצורות אלא כמחוברות,</w:t>
      </w:r>
      <w:r w:rsidRPr="004324C8">
        <w:rPr>
          <w:rFonts w:hint="cs"/>
          <w:rtl/>
        </w:rPr>
        <w:t xml:space="preserve"> </w:t>
      </w:r>
      <w:r>
        <w:rPr>
          <w:rFonts w:hint="cs"/>
          <w:rtl/>
        </w:rPr>
        <w:t xml:space="preserve">וכתב </w:t>
      </w:r>
      <w:r w:rsidRPr="008D113A">
        <w:rPr>
          <w:rStyle w:val="aff4"/>
          <w:rFonts w:hint="cs"/>
          <w:vanish/>
          <w:rtl/>
        </w:rPr>
        <w:t>-</w:t>
      </w:r>
      <w:r w:rsidRPr="000614F7">
        <w:rPr>
          <w:rStyle w:val="aff4"/>
          <w:rFonts w:hint="cs"/>
          <w:rtl/>
        </w:rPr>
        <w:t>הדבר אברהם</w:t>
      </w:r>
      <w:r w:rsidRPr="008D113A">
        <w:rPr>
          <w:rStyle w:val="aff4"/>
          <w:rFonts w:hint="cs"/>
          <w:vanish/>
          <w:rtl/>
        </w:rPr>
        <w:t>-</w:t>
      </w:r>
      <w:r>
        <w:rPr>
          <w:rFonts w:hint="cs"/>
          <w:rtl/>
        </w:rPr>
        <w:t xml:space="preserve"> דמבואר מדברי </w:t>
      </w:r>
      <w:r w:rsidRPr="008D113A">
        <w:rPr>
          <w:rStyle w:val="aff4"/>
          <w:rFonts w:hint="cs"/>
          <w:vanish/>
          <w:rtl/>
        </w:rPr>
        <w:t>-</w:t>
      </w:r>
      <w:r w:rsidRPr="000614F7">
        <w:rPr>
          <w:rStyle w:val="aff4"/>
          <w:rFonts w:hint="cs"/>
          <w:rtl/>
        </w:rPr>
        <w:t>התוס'</w:t>
      </w:r>
      <w:r w:rsidRPr="008D113A">
        <w:rPr>
          <w:rStyle w:val="aff4"/>
          <w:rFonts w:hint="cs"/>
          <w:vanish/>
          <w:rtl/>
        </w:rPr>
        <w:t>-</w:t>
      </w:r>
      <w:r>
        <w:rPr>
          <w:rFonts w:hint="cs"/>
          <w:rtl/>
        </w:rPr>
        <w:t xml:space="preserve"> דעיקר הנדון בקוצר הוא אי חשיב כמחובר או לא, ואי גדר מלאכת קוצר תלוי בהפסקת החיות, אין כל שייכות בין מלאכות שבת לבין הא דעומדות ליבצר כבצורות דמיין. </w:t>
      </w:r>
    </w:p>
    <w:p w14:paraId="1C5D71F3" w14:textId="77777777" w:rsidR="000426DE" w:rsidRPr="00747170" w:rsidRDefault="000426DE" w:rsidP="00747170">
      <w:pPr>
        <w:pStyle w:val="a2"/>
        <w:rPr>
          <w:rtl/>
        </w:rPr>
      </w:pPr>
      <w:r w:rsidRPr="00747170">
        <w:rPr>
          <w:rtl/>
        </w:rPr>
        <w:t>[י] עכ"פ הרי חזינן דלשי' רש"י ותוס' והג"א בשם מהרי"ח עיקר הקוצר הוא מה שמבדילו ממקום חיבורו ולא הבדלת החיות וכן נראה מתוס' שבועות (דף מ"ג ע"א ד"ה כבצורות דמיין) וז"ל נראה דלענין שבת לכו"ע לאו כבצורות דמיין וכמחוברות דמו עכ"ל, הרי שתפסו דעיקר הקוצר תלוי במחובר דאלת"ה אלא דתלי בהבדלת החיות מאי שייטא דמלאכת שבת לענין עומדין ליבצר דאפי"ת כבצורות דמיין מ"מ חייב הקוצרן משום שהוא מבדילן מחיותן.</w:t>
      </w:r>
    </w:p>
    <w:p w14:paraId="47E93219" w14:textId="77777777" w:rsidR="000426DE" w:rsidRDefault="000426DE" w:rsidP="000426DE">
      <w:pPr>
        <w:pStyle w:val="a7"/>
        <w:rPr>
          <w:rtl/>
        </w:rPr>
      </w:pPr>
      <w:bookmarkStart w:id="1701" w:name="_Toc139316430"/>
      <w:r>
        <w:rPr>
          <w:rFonts w:hint="cs"/>
          <w:rtl/>
        </w:rPr>
        <w:t>בי' הדב"א דאפשר לדחות דמרש"י ומההג"א אין ראיה כיון דהפסקת יניקה אי"ז מלאכה שלימה</w:t>
      </w:r>
      <w:bookmarkEnd w:id="1701"/>
      <w:r>
        <w:rPr>
          <w:rFonts w:hint="cs"/>
          <w:rtl/>
        </w:rPr>
        <w:t xml:space="preserve"> </w:t>
      </w:r>
    </w:p>
    <w:p w14:paraId="5833B31C" w14:textId="7C03ADD9" w:rsidR="000426DE" w:rsidRDefault="000426DE" w:rsidP="00BC7DC8">
      <w:pPr>
        <w:pStyle w:val="a3"/>
      </w:pPr>
      <w:bookmarkStart w:id="1702" w:name="_Ref135082042"/>
      <w:bookmarkStart w:id="1703" w:name="_Ref135150529"/>
      <w:r>
        <w:rPr>
          <w:rFonts w:hint="cs"/>
          <w:rtl/>
        </w:rPr>
        <w:t xml:space="preserve">אך כתב </w:t>
      </w:r>
      <w:r w:rsidRPr="00DE1AA0">
        <w:rPr>
          <w:rStyle w:val="aff4"/>
          <w:rFonts w:hint="cs"/>
          <w:vanish/>
          <w:rtl/>
        </w:rPr>
        <w:t>-</w:t>
      </w:r>
      <w:r w:rsidRPr="00DB6BF0">
        <w:rPr>
          <w:rStyle w:val="aff4"/>
          <w:rFonts w:hint="cs"/>
          <w:rtl/>
        </w:rPr>
        <w:t>הדבר אברהם</w:t>
      </w:r>
      <w:r w:rsidRPr="00DE1AA0">
        <w:rPr>
          <w:rStyle w:val="aff4"/>
          <w:rFonts w:hint="cs"/>
          <w:vanish/>
          <w:rtl/>
        </w:rPr>
        <w:t>-</w:t>
      </w:r>
      <w:r>
        <w:rPr>
          <w:rFonts w:hint="cs"/>
          <w:rtl/>
        </w:rPr>
        <w:t xml:space="preserve"> דאת הראיה מדברי </w:t>
      </w:r>
      <w:r w:rsidRPr="00DE1AA0">
        <w:rPr>
          <w:rStyle w:val="aff4"/>
          <w:rFonts w:hint="cs"/>
          <w:vanish/>
          <w:rtl/>
        </w:rPr>
        <w:t>-</w:t>
      </w:r>
      <w:r w:rsidRPr="00DB6BF0">
        <w:rPr>
          <w:rStyle w:val="aff4"/>
          <w:rFonts w:hint="cs"/>
          <w:rtl/>
        </w:rPr>
        <w:t>רש"י לקמן</w:t>
      </w:r>
      <w:r w:rsidRPr="00DE1AA0">
        <w:rPr>
          <w:rStyle w:val="aff4"/>
          <w:rFonts w:hint="cs"/>
          <w:vanish/>
          <w:rtl/>
        </w:rPr>
        <w:t>-</w:t>
      </w:r>
      <w:r>
        <w:rPr>
          <w:rFonts w:hint="cs"/>
          <w:rtl/>
        </w:rPr>
        <w:t xml:space="preserve"> </w:t>
      </w:r>
      <w:r w:rsidRPr="00FB451D">
        <w:rPr>
          <w:rStyle w:val="af2"/>
          <w:rFonts w:eastAsia="Guttman Hodes" w:hint="cs"/>
          <w:rtl/>
        </w:rPr>
        <w:t xml:space="preserve">(עי' </w:t>
      </w:r>
      <w:r w:rsidRPr="00CC19D9">
        <w:rPr>
          <w:rStyle w:val="af2"/>
          <w:rFonts w:eastAsia="Guttman Hodes" w:hint="cs"/>
          <w:rtl/>
        </w:rPr>
        <w:t xml:space="preserve">אות </w:t>
      </w:r>
      <w:r w:rsidRPr="00CC19D9">
        <w:rPr>
          <w:rStyle w:val="af2"/>
          <w:rFonts w:eastAsia="Guttman Hodes"/>
          <w:rtl/>
        </w:rPr>
        <w:fldChar w:fldCharType="begin"/>
      </w:r>
      <w:r w:rsidRPr="00CC19D9">
        <w:rPr>
          <w:rStyle w:val="af2"/>
          <w:rFonts w:eastAsia="Guttman Hodes"/>
          <w:rtl/>
        </w:rPr>
        <w:instrText xml:space="preserve"> </w:instrText>
      </w:r>
      <w:r w:rsidRPr="00CC19D9">
        <w:rPr>
          <w:rStyle w:val="af2"/>
          <w:rFonts w:eastAsia="Guttman Hodes" w:hint="cs"/>
        </w:rPr>
        <w:instrText>REF</w:instrText>
      </w:r>
      <w:r w:rsidRPr="00CC19D9">
        <w:rPr>
          <w:rStyle w:val="af2"/>
          <w:rFonts w:eastAsia="Guttman Hodes" w:hint="cs"/>
          <w:rtl/>
        </w:rPr>
        <w:instrText xml:space="preserve"> _</w:instrText>
      </w:r>
      <w:r w:rsidRPr="00CC19D9">
        <w:rPr>
          <w:rStyle w:val="af2"/>
          <w:rFonts w:eastAsia="Guttman Hodes" w:hint="cs"/>
        </w:rPr>
        <w:instrText>Ref134734637 \r \h</w:instrText>
      </w:r>
      <w:r w:rsidRPr="00CC19D9">
        <w:rPr>
          <w:rStyle w:val="af2"/>
          <w:rFonts w:eastAsia="Guttman Hodes"/>
          <w:rtl/>
        </w:rPr>
        <w:instrText xml:space="preserve"> </w:instrText>
      </w:r>
      <w:r w:rsidRPr="00CC19D9">
        <w:rPr>
          <w:rStyle w:val="af2"/>
          <w:rFonts w:eastAsia="Guttman Hodes"/>
          <w:rtl/>
        </w:rPr>
      </w:r>
      <w:r w:rsidRPr="00CC19D9">
        <w:rPr>
          <w:rStyle w:val="af2"/>
          <w:rFonts w:eastAsia="Guttman Hodes"/>
          <w:rtl/>
        </w:rPr>
        <w:fldChar w:fldCharType="separate"/>
      </w:r>
      <w:r w:rsidR="00D82181">
        <w:rPr>
          <w:rStyle w:val="af2"/>
          <w:rFonts w:eastAsia="Guttman Hodes"/>
          <w:cs/>
        </w:rPr>
        <w:t>‎</w:t>
      </w:r>
      <w:r w:rsidR="00D82181">
        <w:rPr>
          <w:rStyle w:val="af2"/>
          <w:rFonts w:eastAsia="Guttman Hodes"/>
          <w:rtl/>
        </w:rPr>
        <w:t>לה)</w:t>
      </w:r>
      <w:r w:rsidRPr="00CC19D9">
        <w:rPr>
          <w:rStyle w:val="af2"/>
          <w:rFonts w:eastAsia="Guttman Hodes"/>
          <w:rtl/>
        </w:rPr>
        <w:fldChar w:fldCharType="end"/>
      </w:r>
      <w:r>
        <w:rPr>
          <w:rFonts w:hint="cs"/>
          <w:rtl/>
        </w:rPr>
        <w:t xml:space="preserve"> </w:t>
      </w:r>
      <w:r w:rsidRPr="00DE1AA0">
        <w:rPr>
          <w:rStyle w:val="aff4"/>
          <w:rFonts w:hint="cs"/>
          <w:vanish/>
          <w:rtl/>
        </w:rPr>
        <w:t>-</w:t>
      </w:r>
      <w:r w:rsidRPr="00DB6BF0">
        <w:rPr>
          <w:rStyle w:val="aff4"/>
          <w:rFonts w:hint="cs"/>
          <w:rtl/>
        </w:rPr>
        <w:t>וההג' אשר"י לקמן</w:t>
      </w:r>
      <w:r w:rsidRPr="00DE1AA0">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Ref134956004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מז)</w:t>
      </w:r>
      <w:r>
        <w:rPr>
          <w:rStyle w:val="af2"/>
          <w:rFonts w:eastAsia="Guttman Hodes"/>
          <w:rtl/>
        </w:rPr>
        <w:fldChar w:fldCharType="end"/>
      </w:r>
      <w:r>
        <w:rPr>
          <w:rFonts w:hint="cs"/>
          <w:rtl/>
        </w:rPr>
        <w:t xml:space="preserve"> אפשר לדחות עפימ"ש </w:t>
      </w:r>
      <w:r w:rsidRPr="00DE1AA0">
        <w:rPr>
          <w:rStyle w:val="aff4"/>
          <w:rFonts w:hint="cs"/>
          <w:vanish/>
          <w:rtl/>
        </w:rPr>
        <w:t>-</w:t>
      </w:r>
      <w:r w:rsidRPr="00DB6BF0">
        <w:rPr>
          <w:rStyle w:val="aff4"/>
          <w:rFonts w:hint="cs"/>
          <w:rtl/>
        </w:rPr>
        <w:t>המשכנות יעקב</w:t>
      </w:r>
      <w:r w:rsidRPr="00DE1AA0">
        <w:rPr>
          <w:rStyle w:val="aff4"/>
          <w:rFonts w:hint="cs"/>
          <w:vanish/>
          <w:rtl/>
        </w:rPr>
        <w:t>-</w:t>
      </w:r>
      <w:r>
        <w:rPr>
          <w:rFonts w:hint="cs"/>
          <w:rtl/>
        </w:rPr>
        <w:t xml:space="preserve"> </w:t>
      </w:r>
      <w:r>
        <w:rPr>
          <w:rStyle w:val="af2"/>
          <w:rFonts w:eastAsia="Guttman Hodes" w:hint="cs"/>
          <w:rtl/>
        </w:rPr>
        <w:t>(עי' אות</w:t>
      </w:r>
      <w:r w:rsidRPr="00ED4769">
        <w:rPr>
          <w:rStyle w:val="af2"/>
          <w:rFonts w:eastAsia="Guttman Hodes" w:hint="cs"/>
          <w:rtl/>
        </w:rPr>
        <w:t xml:space="preserve"> </w:t>
      </w:r>
      <w:r w:rsidRPr="00ED4769">
        <w:rPr>
          <w:rStyle w:val="af2"/>
          <w:rFonts w:eastAsia="Guttman Hodes"/>
          <w:rtl/>
        </w:rPr>
        <w:fldChar w:fldCharType="begin"/>
      </w:r>
      <w:r w:rsidRPr="00ED4769">
        <w:rPr>
          <w:rStyle w:val="af2"/>
          <w:rFonts w:eastAsia="Guttman Hodes"/>
          <w:rtl/>
        </w:rPr>
        <w:instrText xml:space="preserve"> </w:instrText>
      </w:r>
      <w:r w:rsidRPr="00ED4769">
        <w:rPr>
          <w:rStyle w:val="af2"/>
          <w:rFonts w:eastAsia="Guttman Hodes" w:hint="cs"/>
        </w:rPr>
        <w:instrText>REF</w:instrText>
      </w:r>
      <w:r w:rsidRPr="00ED4769">
        <w:rPr>
          <w:rStyle w:val="af2"/>
          <w:rFonts w:eastAsia="Guttman Hodes" w:hint="cs"/>
          <w:rtl/>
        </w:rPr>
        <w:instrText xml:space="preserve"> _</w:instrText>
      </w:r>
      <w:r w:rsidRPr="00ED4769">
        <w:rPr>
          <w:rStyle w:val="af2"/>
          <w:rFonts w:eastAsia="Guttman Hodes" w:hint="cs"/>
        </w:rPr>
        <w:instrText>Ref135384272 \r \h</w:instrText>
      </w:r>
      <w:r w:rsidRPr="00ED4769">
        <w:rPr>
          <w:rStyle w:val="af2"/>
          <w:rFonts w:eastAsia="Guttman Hodes"/>
          <w:rtl/>
        </w:rPr>
        <w:instrText xml:space="preserve"> </w:instrText>
      </w:r>
      <w:r w:rsidRPr="00ED4769">
        <w:rPr>
          <w:rStyle w:val="af2"/>
          <w:rFonts w:eastAsia="Guttman Hodes"/>
          <w:rtl/>
        </w:rPr>
      </w:r>
      <w:r w:rsidRPr="00ED4769">
        <w:rPr>
          <w:rStyle w:val="af2"/>
          <w:rFonts w:eastAsia="Guttman Hodes"/>
          <w:rtl/>
        </w:rPr>
        <w:fldChar w:fldCharType="separate"/>
      </w:r>
      <w:r w:rsidR="00D82181">
        <w:rPr>
          <w:rStyle w:val="af2"/>
          <w:rFonts w:eastAsia="Guttman Hodes"/>
          <w:cs/>
        </w:rPr>
        <w:t>‎</w:t>
      </w:r>
      <w:r w:rsidR="00D82181">
        <w:rPr>
          <w:rStyle w:val="af2"/>
          <w:rFonts w:eastAsia="Guttman Hodes"/>
          <w:rtl/>
        </w:rPr>
        <w:t>צו)</w:t>
      </w:r>
      <w:r w:rsidRPr="00ED4769">
        <w:rPr>
          <w:rStyle w:val="af2"/>
          <w:rFonts w:eastAsia="Guttman Hodes"/>
          <w:rtl/>
        </w:rPr>
        <w:fldChar w:fldCharType="end"/>
      </w:r>
      <w:r w:rsidRPr="00B53404">
        <w:rPr>
          <w:rStyle w:val="aff4"/>
          <w:rFonts w:hint="cs"/>
          <w:vanish/>
          <w:rtl/>
        </w:rPr>
        <w:t xml:space="preserve"> </w:t>
      </w:r>
      <w:r>
        <w:rPr>
          <w:rFonts w:hint="cs"/>
          <w:rtl/>
        </w:rPr>
        <w:t xml:space="preserve"> דמניח עציץ ע"ג יתדות, אינו תולש אעפ"י דמיעט את יניקתו, דאי"ז מלאכה שלמה כמו שהייתה במשכן, וכתב</w:t>
      </w:r>
      <w:bookmarkEnd w:id="1702"/>
      <w:r>
        <w:rPr>
          <w:rFonts w:hint="cs"/>
          <w:rtl/>
        </w:rPr>
        <w:t xml:space="preserve"> </w:t>
      </w:r>
      <w:r w:rsidRPr="00DE1AA0">
        <w:rPr>
          <w:rStyle w:val="aff4"/>
          <w:rFonts w:hint="cs"/>
          <w:vanish/>
          <w:rtl/>
        </w:rPr>
        <w:t>-</w:t>
      </w:r>
      <w:r w:rsidRPr="00DB6BF0">
        <w:rPr>
          <w:rStyle w:val="aff4"/>
          <w:rFonts w:hint="cs"/>
          <w:rtl/>
        </w:rPr>
        <w:t>הדבר אברהם</w:t>
      </w:r>
      <w:r w:rsidRPr="00DE1AA0">
        <w:rPr>
          <w:rStyle w:val="aff4"/>
          <w:rFonts w:hint="cs"/>
          <w:vanish/>
          <w:rtl/>
        </w:rPr>
        <w:t>-</w:t>
      </w:r>
      <w:r>
        <w:rPr>
          <w:rFonts w:hint="cs"/>
          <w:rtl/>
        </w:rPr>
        <w:t xml:space="preserve"> דא"כ אפש"ל דאף לדעת </w:t>
      </w:r>
      <w:r w:rsidRPr="00DE1AA0">
        <w:rPr>
          <w:rStyle w:val="aff4"/>
          <w:rFonts w:hint="cs"/>
          <w:vanish/>
          <w:rtl/>
        </w:rPr>
        <w:t>-</w:t>
      </w:r>
      <w:r w:rsidRPr="00DB6BF0">
        <w:rPr>
          <w:rStyle w:val="aff4"/>
          <w:rFonts w:hint="cs"/>
          <w:rtl/>
        </w:rPr>
        <w:t>רש"י וההג' אשר"י</w:t>
      </w:r>
      <w:r w:rsidRPr="00DE1AA0">
        <w:rPr>
          <w:rStyle w:val="aff4"/>
          <w:rFonts w:hint="cs"/>
          <w:vanish/>
          <w:rtl/>
        </w:rPr>
        <w:t>-</w:t>
      </w:r>
      <w:r>
        <w:rPr>
          <w:rFonts w:hint="cs"/>
          <w:rtl/>
        </w:rPr>
        <w:t xml:space="preserve"> גדר מלאכת קוצר הוא הפסקת החיות, ולא מחמת דעוקר את המחובר, אך מ"מ במגביה עציץ ומניחו ע"ג יתדות אי"ז תולש, כיון שמיעוט יניקה אינו מלאכה שלמה.</w:t>
      </w:r>
    </w:p>
    <w:p w14:paraId="526B24B1" w14:textId="77777777" w:rsidR="000426DE" w:rsidRPr="00747170" w:rsidRDefault="000426DE" w:rsidP="00747170">
      <w:pPr>
        <w:pStyle w:val="a2"/>
        <w:rPr>
          <w:rtl/>
        </w:rPr>
      </w:pPr>
      <w:r w:rsidRPr="00747170">
        <w:rPr>
          <w:rtl/>
        </w:rPr>
        <w:t>מיהו איכא למידחי דמרש"י והג"א אין סייעתא ע"פ מה שראיתי בס' משכנות יעקב (חאו"ח סי' ק</w:t>
      </w:r>
      <w:r w:rsidRPr="00747170">
        <w:rPr>
          <w:rFonts w:hint="cs"/>
          <w:rtl/>
        </w:rPr>
        <w:t>י</w:t>
      </w:r>
      <w:r w:rsidRPr="00747170">
        <w:rPr>
          <w:rtl/>
        </w:rPr>
        <w:t>"ג) שהעיר דבמיעוט היניקה אינו חייב משום קוצר דכיון שנשאר עדיין יונק לא הוי מלאכה שלמה ואינו חייב אלא במפסיק כל יניקתו לגמרי, ולפי"ז אפ"ל דרש"י והג"א סברי באמת דשורש הקוצר הוא הבדלת החיות ולאו משום עקירה מן החיבור ואפ"ה פטור כשממעט את היניקה דלאו מלאכה שלמה היא ויש לדון הרבה בדברים אלו ועוד חזון למועד בעז"ה.</w:t>
      </w:r>
    </w:p>
    <w:p w14:paraId="736B8D3D" w14:textId="639CCB3E" w:rsidR="000426DE" w:rsidRPr="001C097F" w:rsidRDefault="000426DE" w:rsidP="000426DE">
      <w:pPr>
        <w:pStyle w:val="1"/>
        <w:rPr>
          <w:rtl/>
        </w:rPr>
      </w:pPr>
      <w:bookmarkStart w:id="1704" w:name="_Toc139316431"/>
      <w:bookmarkEnd w:id="1697"/>
      <w:bookmarkEnd w:id="1703"/>
      <w:r>
        <w:rPr>
          <w:rFonts w:hint="cs"/>
          <w:rtl/>
        </w:rPr>
        <w:t>בי' הדב"א אי צרור ופיטרא על חבית הוי מחובר או מפסיק חיות</w:t>
      </w:r>
      <w:bookmarkEnd w:id="1704"/>
    </w:p>
    <w:p w14:paraId="00164F6E" w14:textId="77777777" w:rsidR="000426DE" w:rsidRPr="0056160C" w:rsidRDefault="000426DE" w:rsidP="000426DE">
      <w:pPr>
        <w:pStyle w:val="afffff7"/>
      </w:pPr>
      <w:bookmarkStart w:id="1705" w:name="_Hlk135124537"/>
      <w:bookmarkStart w:id="1706" w:name="_Toc163505672"/>
      <w:r w:rsidRPr="0056160C">
        <w:rPr>
          <w:rFonts w:hint="cs"/>
          <w:rtl/>
        </w:rPr>
        <w:t xml:space="preserve">דבר אברהם ח"א סי' כ"ד אות </w:t>
      </w:r>
      <w:r>
        <w:rPr>
          <w:rFonts w:hint="cs"/>
          <w:rtl/>
        </w:rPr>
        <w:t>י</w:t>
      </w:r>
      <w:r>
        <w:rPr>
          <w:rFonts w:cs="Guttman Hodes" w:hint="cs"/>
          <w:rtl/>
        </w:rPr>
        <w:t>"</w:t>
      </w:r>
      <w:r>
        <w:rPr>
          <w:rFonts w:hint="cs"/>
          <w:rtl/>
        </w:rPr>
        <w:t>ז</w:t>
      </w:r>
      <w:bookmarkEnd w:id="1706"/>
    </w:p>
    <w:p w14:paraId="72F1E295" w14:textId="77777777" w:rsidR="000426DE" w:rsidRPr="005A2639" w:rsidRDefault="000426DE" w:rsidP="000426DE">
      <w:pPr>
        <w:pStyle w:val="a7"/>
        <w:rPr>
          <w:rtl/>
        </w:rPr>
      </w:pPr>
      <w:bookmarkStart w:id="1707" w:name="_Toc139316432"/>
      <w:r>
        <w:rPr>
          <w:rFonts w:hint="cs"/>
          <w:rtl/>
        </w:rPr>
        <w:t>בי' הדב"א דתולש כשות מהיזמי כתולש ממחובר ובמאירי משמע דחשיב מחובר לקרקע עצמה</w:t>
      </w:r>
      <w:bookmarkEnd w:id="1707"/>
    </w:p>
    <w:p w14:paraId="448E741A" w14:textId="5C85404B" w:rsidR="000426DE" w:rsidRPr="004D2FF6" w:rsidRDefault="000426DE" w:rsidP="00BC7DC8">
      <w:pPr>
        <w:pStyle w:val="a3"/>
        <w:rPr>
          <w:rStyle w:val="af"/>
        </w:rPr>
      </w:pPr>
      <w:bookmarkStart w:id="1708" w:name="_Ref135217402"/>
      <w:r>
        <w:rPr>
          <w:rFonts w:hint="cs"/>
          <w:rtl/>
        </w:rPr>
        <w:t xml:space="preserve">במ"ש </w:t>
      </w:r>
      <w:r w:rsidRPr="00B4411F">
        <w:rPr>
          <w:rStyle w:val="aff4"/>
          <w:rFonts w:hint="cs"/>
          <w:vanish/>
          <w:rtl/>
        </w:rPr>
        <w:t>-</w:t>
      </w:r>
      <w:r w:rsidRPr="005C4013">
        <w:rPr>
          <w:rStyle w:val="aff4"/>
          <w:rFonts w:hint="cs"/>
          <w:rtl/>
        </w:rPr>
        <w:t>הרמב"ם</w:t>
      </w:r>
      <w:r w:rsidRPr="00B4411F">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Ref134459496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ו)</w:t>
      </w:r>
      <w:r>
        <w:rPr>
          <w:rStyle w:val="af2"/>
          <w:rFonts w:eastAsia="Guttman Hodes"/>
          <w:rtl/>
        </w:rPr>
        <w:fldChar w:fldCharType="end"/>
      </w:r>
      <w:r>
        <w:rPr>
          <w:rFonts w:hint="cs"/>
          <w:rtl/>
        </w:rPr>
        <w:t xml:space="preserve"> </w:t>
      </w:r>
      <w:r w:rsidRPr="002B4D3E">
        <w:rPr>
          <w:rStyle w:val="aff4"/>
          <w:rFonts w:hint="cs"/>
          <w:vanish/>
          <w:rtl/>
        </w:rPr>
        <w:t>-</w:t>
      </w:r>
      <w:r w:rsidRPr="00133F9F">
        <w:rPr>
          <w:rStyle w:val="aff4"/>
          <w:rFonts w:hint="cs"/>
          <w:rtl/>
        </w:rPr>
        <w:t>ו</w:t>
      </w:r>
      <w:r w:rsidRPr="00572920">
        <w:rPr>
          <w:rStyle w:val="aff4"/>
          <w:rFonts w:hint="cs"/>
          <w:rtl/>
        </w:rPr>
        <w:t>הרמב"ן לקמן</w:t>
      </w:r>
      <w:r w:rsidRPr="002B4D3E">
        <w:rPr>
          <w:rStyle w:val="aff4"/>
          <w:rFonts w:hint="cs"/>
          <w:vanish/>
          <w:rtl/>
        </w:rPr>
        <w:t>-</w:t>
      </w:r>
      <w:r>
        <w:rPr>
          <w:rFonts w:hint="cs"/>
          <w:rtl/>
        </w:rPr>
        <w:t xml:space="preserve"> </w:t>
      </w:r>
      <w:r w:rsidRPr="00FB451D">
        <w:rPr>
          <w:rStyle w:val="af2"/>
          <w:rFonts w:eastAsia="Guttman Hodes" w:hint="cs"/>
          <w:rtl/>
        </w:rPr>
        <w:t xml:space="preserve">(עי' אות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Ref134721473 \r \h</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כג)</w:t>
      </w:r>
      <w:r w:rsidRPr="00FB451D">
        <w:rPr>
          <w:rStyle w:val="af2"/>
          <w:rFonts w:eastAsia="Guttman Hodes"/>
          <w:rtl/>
        </w:rPr>
        <w:fldChar w:fldCharType="end"/>
      </w:r>
      <w:r>
        <w:rPr>
          <w:rFonts w:hint="cs"/>
          <w:rtl/>
        </w:rPr>
        <w:t xml:space="preserve"> דהתולש כשותא מהיזמי, חייב בתולדה דקוצר דהוא עוקר דבר מגידולו, וכן פיטרא  מאונא דחצבא בגמ' לקמן </w:t>
      </w:r>
      <w:r w:rsidRPr="00FB451D">
        <w:rPr>
          <w:rStyle w:val="af2"/>
          <w:rFonts w:eastAsia="Guttman Hodes" w:hint="cs"/>
          <w:rtl/>
        </w:rPr>
        <w:t>(קח.)</w:t>
      </w:r>
      <w:r>
        <w:rPr>
          <w:rFonts w:hint="cs"/>
          <w:rtl/>
        </w:rPr>
        <w:t xml:space="preserve"> דהוא עוקר דבר מגידולו, ביאר </w:t>
      </w:r>
      <w:r w:rsidRPr="00B4411F">
        <w:rPr>
          <w:rStyle w:val="aff4"/>
          <w:rFonts w:hint="cs"/>
          <w:vanish/>
          <w:rtl/>
        </w:rPr>
        <w:t>-</w:t>
      </w:r>
      <w:r w:rsidRPr="005C4013">
        <w:rPr>
          <w:rStyle w:val="aff4"/>
          <w:rFonts w:hint="cs"/>
          <w:rtl/>
        </w:rPr>
        <w:t>ה</w:t>
      </w:r>
      <w:r w:rsidRPr="00B4411F">
        <w:rPr>
          <w:rStyle w:val="aff4"/>
          <w:rFonts w:hint="cs"/>
          <w:vanish/>
          <w:rtl/>
        </w:rPr>
        <w:t xml:space="preserve">&lt;. </w:t>
      </w:r>
      <w:r w:rsidRPr="00B4411F">
        <w:rPr>
          <w:rStyle w:val="aff4"/>
          <w:vanish/>
          <w:rtl/>
        </w:rPr>
        <w:fldChar w:fldCharType="begin"/>
      </w:r>
      <w:r w:rsidRPr="00B4411F">
        <w:rPr>
          <w:rStyle w:val="aff4"/>
          <w:vanish/>
          <w:rtl/>
        </w:rPr>
        <w:instrText xml:space="preserve"> </w:instrText>
      </w:r>
      <w:r w:rsidRPr="00B4411F">
        <w:rPr>
          <w:rStyle w:val="aff4"/>
          <w:rFonts w:hint="cs"/>
          <w:vanish/>
        </w:rPr>
        <w:instrText>REF</w:instrText>
      </w:r>
      <w:r w:rsidRPr="00B4411F">
        <w:rPr>
          <w:rStyle w:val="aff4"/>
          <w:rFonts w:hint="cs"/>
          <w:vanish/>
          <w:rtl/>
        </w:rPr>
        <w:instrText xml:space="preserve"> _</w:instrText>
      </w:r>
      <w:r w:rsidRPr="00B4411F">
        <w:rPr>
          <w:rStyle w:val="aff4"/>
          <w:rFonts w:hint="cs"/>
          <w:vanish/>
        </w:rPr>
        <w:instrText>Ref135217402 \r \h</w:instrText>
      </w:r>
      <w:r w:rsidRPr="00B4411F">
        <w:rPr>
          <w:rStyle w:val="aff4"/>
          <w:vanish/>
          <w:rtl/>
        </w:rPr>
        <w:instrText xml:space="preserve"> </w:instrText>
      </w:r>
      <w:r w:rsidRPr="00B4411F">
        <w:rPr>
          <w:rStyle w:val="aff4"/>
          <w:vanish/>
          <w:rtl/>
        </w:rPr>
      </w:r>
      <w:r w:rsidRPr="00B4411F">
        <w:rPr>
          <w:rStyle w:val="aff4"/>
          <w:vanish/>
          <w:rtl/>
        </w:rPr>
        <w:fldChar w:fldCharType="separate"/>
      </w:r>
      <w:r w:rsidR="00D82181">
        <w:rPr>
          <w:rStyle w:val="aff4"/>
          <w:vanish/>
          <w:cs/>
        </w:rPr>
        <w:t>‎</w:t>
      </w:r>
      <w:r w:rsidR="00D82181">
        <w:rPr>
          <w:rStyle w:val="aff4"/>
          <w:vanish/>
          <w:rtl/>
        </w:rPr>
        <w:t>פח)</w:t>
      </w:r>
      <w:r w:rsidRPr="00B4411F">
        <w:rPr>
          <w:rStyle w:val="aff4"/>
          <w:vanish/>
          <w:rtl/>
        </w:rPr>
        <w:fldChar w:fldCharType="end"/>
      </w:r>
      <w:r w:rsidRPr="00B4411F">
        <w:rPr>
          <w:rStyle w:val="aff4"/>
          <w:rFonts w:hint="cs"/>
          <w:vanish/>
          <w:rtl/>
        </w:rPr>
        <w:t xml:space="preserve"> &gt;</w:t>
      </w:r>
      <w:r w:rsidRPr="005C4013">
        <w:rPr>
          <w:rStyle w:val="aff4"/>
          <w:rFonts w:hint="cs"/>
          <w:rtl/>
        </w:rPr>
        <w:t>דבר אברהם</w:t>
      </w:r>
      <w:r w:rsidRPr="00B4411F">
        <w:rPr>
          <w:rStyle w:val="aff4"/>
          <w:rFonts w:hint="cs"/>
          <w:vanish/>
          <w:rtl/>
        </w:rPr>
        <w:t>-</w:t>
      </w:r>
      <w:r>
        <w:rPr>
          <w:rFonts w:hint="cs"/>
          <w:rtl/>
        </w:rPr>
        <w:t xml:space="preserve"> </w:t>
      </w:r>
      <w:r w:rsidRPr="00FB451D">
        <w:rPr>
          <w:rStyle w:val="af2"/>
          <w:rFonts w:eastAsia="Guttman Hodes" w:hint="cs"/>
          <w:rtl/>
        </w:rPr>
        <w:t>(ח"א סי' כ"ד אות י"ז)</w:t>
      </w:r>
      <w:r w:rsidRPr="00B4411F">
        <w:rPr>
          <w:rFonts w:hint="cs"/>
          <w:vanish/>
          <w:rtl/>
        </w:rPr>
        <w:t>=</w:t>
      </w:r>
      <w:bookmarkEnd w:id="1708"/>
      <w:r>
        <w:rPr>
          <w:rFonts w:hint="cs"/>
          <w:rtl/>
        </w:rPr>
        <w:t xml:space="preserve"> דאינם מחייבים מחמת שמבדילם מהחיות שלהם, אלא כיון דהכשות והפיטרא יונקים וגדלים מהם חשיבי כמחוברים אליהם, והתולשם הוא כתולש ממחובר, </w:t>
      </w:r>
      <w:r w:rsidRPr="007A72D8">
        <w:rPr>
          <w:rStyle w:val="af"/>
          <w:rFonts w:hint="cs"/>
          <w:rtl/>
        </w:rPr>
        <w:t xml:space="preserve">[אמנם </w:t>
      </w:r>
      <w:r w:rsidRPr="00394B7E">
        <w:rPr>
          <w:rStyle w:val="aff9"/>
          <w:rFonts w:hint="cs"/>
          <w:vanish/>
          <w:rtl/>
        </w:rPr>
        <w:t>-</w:t>
      </w:r>
      <w:r w:rsidRPr="00394B7E">
        <w:rPr>
          <w:rStyle w:val="aff9"/>
          <w:rFonts w:hint="cs"/>
          <w:rtl/>
        </w:rPr>
        <w:t>האו"ז</w:t>
      </w:r>
      <w:r w:rsidRPr="00394B7E">
        <w:rPr>
          <w:rStyle w:val="aff9"/>
          <w:rFonts w:hint="cs"/>
          <w:vanish/>
          <w:rtl/>
        </w:rPr>
        <w:t>-</w:t>
      </w:r>
      <w:r w:rsidRPr="007A72D8">
        <w:rPr>
          <w:rStyle w:val="af"/>
          <w:rFonts w:hint="cs"/>
          <w:rtl/>
        </w:rPr>
        <w:t xml:space="preserve"> </w:t>
      </w:r>
      <w:r w:rsidRPr="00394B7E">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Ref135215846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כז)</w:t>
      </w:r>
      <w:r>
        <w:rPr>
          <w:rStyle w:val="aff0"/>
          <w:rtl/>
        </w:rPr>
        <w:fldChar w:fldCharType="end"/>
      </w:r>
      <w:r w:rsidRPr="007A72D8">
        <w:rPr>
          <w:rStyle w:val="af"/>
          <w:rFonts w:hint="cs"/>
          <w:rtl/>
        </w:rPr>
        <w:t xml:space="preserve"> כתב דהוא עוקר דבר מגידולו, ומשמע דס"ל דאינו מחובר]</w:t>
      </w:r>
      <w:r w:rsidRPr="009C1377">
        <w:rPr>
          <w:rStyle w:val="af"/>
          <w:rFonts w:hint="cs"/>
          <w:rtl/>
        </w:rPr>
        <w:t>,</w:t>
      </w:r>
      <w:r>
        <w:rPr>
          <w:rFonts w:hint="cs"/>
          <w:rtl/>
        </w:rPr>
        <w:t xml:space="preserve"> אך כתב </w:t>
      </w:r>
      <w:r w:rsidRPr="00B4411F">
        <w:rPr>
          <w:rStyle w:val="aff4"/>
          <w:rFonts w:hint="cs"/>
          <w:vanish/>
          <w:rtl/>
        </w:rPr>
        <w:t>-</w:t>
      </w:r>
      <w:r w:rsidRPr="005C4013">
        <w:rPr>
          <w:rStyle w:val="aff4"/>
          <w:rFonts w:hint="cs"/>
          <w:rtl/>
        </w:rPr>
        <w:t>הדבר אברהם</w:t>
      </w:r>
      <w:r w:rsidRPr="00B4411F">
        <w:rPr>
          <w:rStyle w:val="aff4"/>
          <w:rFonts w:hint="cs"/>
          <w:vanish/>
          <w:rtl/>
        </w:rPr>
        <w:t>-</w:t>
      </w:r>
      <w:r>
        <w:rPr>
          <w:rFonts w:hint="cs"/>
          <w:rtl/>
        </w:rPr>
        <w:t xml:space="preserve"> דיש להסתפק אי חשיבי כמחוברים לקרקע ממש, או דחשיבי כמחוברים רק להיזמי ולחבית, ובכדי לחייב בקוצר סגי שעוקר דבר מחיבורו, אף שאינו מחובר לקרקע, דכיון שהוא גם נהנה מריח הקרקע, חשיב כגידולי קרקע, וכתב </w:t>
      </w:r>
      <w:r w:rsidRPr="00B4411F">
        <w:rPr>
          <w:rStyle w:val="aff4"/>
          <w:rFonts w:hint="cs"/>
          <w:vanish/>
          <w:rtl/>
        </w:rPr>
        <w:t>-</w:t>
      </w:r>
      <w:r w:rsidRPr="005C4013">
        <w:rPr>
          <w:rStyle w:val="aff4"/>
          <w:rFonts w:hint="cs"/>
          <w:rtl/>
        </w:rPr>
        <w:t>הדבר אברהם</w:t>
      </w:r>
      <w:r w:rsidRPr="00B4411F">
        <w:rPr>
          <w:rStyle w:val="aff4"/>
          <w:rFonts w:hint="cs"/>
          <w:vanish/>
          <w:rtl/>
        </w:rPr>
        <w:t>-</w:t>
      </w:r>
      <w:r>
        <w:rPr>
          <w:rFonts w:hint="cs"/>
          <w:rtl/>
        </w:rPr>
        <w:t xml:space="preserve"> דממ"ש </w:t>
      </w:r>
      <w:r w:rsidRPr="00100B8E">
        <w:rPr>
          <w:rStyle w:val="aff4"/>
          <w:rFonts w:hint="cs"/>
          <w:vanish/>
          <w:rtl/>
        </w:rPr>
        <w:t>-</w:t>
      </w:r>
      <w:r>
        <w:rPr>
          <w:rStyle w:val="aff4"/>
          <w:rFonts w:hint="cs"/>
          <w:rtl/>
        </w:rPr>
        <w:t>ה</w:t>
      </w:r>
      <w:r w:rsidRPr="00335C9B">
        <w:rPr>
          <w:rStyle w:val="aff4"/>
          <w:rFonts w:hint="cs"/>
          <w:rtl/>
        </w:rPr>
        <w:t>מאירי לקמן</w:t>
      </w:r>
      <w:r w:rsidRPr="00100B8E">
        <w:rPr>
          <w:rStyle w:val="aff4"/>
          <w:rFonts w:hint="cs"/>
          <w:vanish/>
          <w:rtl/>
        </w:rPr>
        <w:t>-</w:t>
      </w:r>
      <w:r>
        <w:rPr>
          <w:rFonts w:hint="cs"/>
          <w:rtl/>
        </w:rPr>
        <w:t xml:space="preserve"> </w:t>
      </w:r>
      <w:r w:rsidRPr="00FB451D">
        <w:rPr>
          <w:rStyle w:val="af2"/>
          <w:rFonts w:eastAsia="Guttman Hodes" w:hint="cs"/>
          <w:rtl/>
        </w:rPr>
        <w:t xml:space="preserve">(עי' אות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Ref134525459 \r \h</w:instrText>
      </w:r>
      <w:r w:rsidRPr="00FB451D">
        <w:rPr>
          <w:rStyle w:val="af2"/>
          <w:rFonts w:eastAsia="Guttman Hodes"/>
          <w:rtl/>
        </w:rPr>
        <w:instrText xml:space="preserve">  \* </w:instrText>
      </w:r>
      <w:r w:rsidRPr="00FB451D">
        <w:rPr>
          <w:rStyle w:val="af2"/>
          <w:rFonts w:eastAsia="Guttman Hodes"/>
        </w:rPr>
        <w:instrText>MERGEFORMAT</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כח)</w:t>
      </w:r>
      <w:r w:rsidRPr="00FB451D">
        <w:rPr>
          <w:rStyle w:val="af2"/>
          <w:rFonts w:eastAsia="Guttman Hodes"/>
          <w:rtl/>
        </w:rPr>
        <w:fldChar w:fldCharType="end"/>
      </w:r>
      <w:r>
        <w:rPr>
          <w:rFonts w:hint="cs"/>
          <w:rtl/>
        </w:rPr>
        <w:t xml:space="preserve"> דפיטרא מאונא דחצבא גדל שם מחמת לחות הקרקע, וחשיב כתולש מעציץ נקוב, מבואר דחשיב כמחובר לקרקע עצמה, וא"כ דינו כמחובר לכל דבר ולא רק לענין שבת. </w:t>
      </w:r>
      <w:r w:rsidRPr="007A72D8">
        <w:rPr>
          <w:rStyle w:val="af"/>
          <w:rFonts w:hint="cs"/>
          <w:rtl/>
        </w:rPr>
        <w:t xml:space="preserve">[וכן משמע מדברי </w:t>
      </w:r>
      <w:r w:rsidRPr="00394B7E">
        <w:rPr>
          <w:rStyle w:val="aff9"/>
          <w:rFonts w:hint="cs"/>
          <w:vanish/>
          <w:rtl/>
        </w:rPr>
        <w:t>-</w:t>
      </w:r>
      <w:r w:rsidRPr="00394B7E">
        <w:rPr>
          <w:rStyle w:val="aff9"/>
          <w:rFonts w:hint="cs"/>
          <w:rtl/>
        </w:rPr>
        <w:t>ה</w:t>
      </w:r>
      <w:r w:rsidRPr="00394B7E">
        <w:rPr>
          <w:rStyle w:val="aff9"/>
          <w:rFonts w:hint="cs"/>
          <w:vanish/>
          <w:rtl/>
        </w:rPr>
        <w:t>&lt; &gt;</w:t>
      </w:r>
      <w:r w:rsidRPr="00394B7E">
        <w:rPr>
          <w:rStyle w:val="aff9"/>
          <w:rFonts w:hint="cs"/>
          <w:rtl/>
        </w:rPr>
        <w:t>שו"ע</w:t>
      </w:r>
      <w:r w:rsidRPr="00394B7E">
        <w:rPr>
          <w:rStyle w:val="aff9"/>
          <w:rFonts w:hint="cs"/>
          <w:vanish/>
          <w:rtl/>
        </w:rPr>
        <w:t>-</w:t>
      </w:r>
      <w:r w:rsidRPr="007A72D8">
        <w:rPr>
          <w:rStyle w:val="af"/>
          <w:rFonts w:hint="cs"/>
          <w:rtl/>
        </w:rPr>
        <w:t xml:space="preserve"> </w:t>
      </w:r>
      <w:r w:rsidRPr="00394B7E">
        <w:rPr>
          <w:rStyle w:val="aff0"/>
          <w:rFonts w:hint="cs"/>
          <w:rtl/>
        </w:rPr>
        <w:t>(סי' של"ו ה')</w:t>
      </w:r>
      <w:r w:rsidRPr="00394B7E">
        <w:rPr>
          <w:rStyle w:val="af"/>
          <w:rFonts w:hint="cs"/>
          <w:vanish/>
          <w:rtl/>
        </w:rPr>
        <w:t>=</w:t>
      </w:r>
      <w:r w:rsidRPr="007A72D8">
        <w:rPr>
          <w:rStyle w:val="af"/>
          <w:rFonts w:hint="cs"/>
          <w:rtl/>
        </w:rPr>
        <w:t xml:space="preserve"> דכתב דחשיבי כמחוברים לקרקע, ולכן התולשן חייב]</w:t>
      </w:r>
      <w:r w:rsidRPr="00CD1359">
        <w:rPr>
          <w:rStyle w:val="af"/>
          <w:rFonts w:hint="cs"/>
          <w:rtl/>
        </w:rPr>
        <w:t>.</w:t>
      </w:r>
    </w:p>
    <w:p w14:paraId="2808E862" w14:textId="77777777" w:rsidR="000426DE" w:rsidRPr="00747170" w:rsidRDefault="000426DE" w:rsidP="00747170">
      <w:pPr>
        <w:pStyle w:val="a2"/>
        <w:rPr>
          <w:rtl/>
        </w:rPr>
      </w:pPr>
      <w:r w:rsidRPr="00747170">
        <w:rPr>
          <w:rtl/>
        </w:rPr>
        <w:t xml:space="preserve">[יז] והא דאמרינן בשבת (דף ק"ח) האי מאן דתלש פיטרא מאונא דחצבא מיחייב משום עוקר דבר מגידולו וכן כשות מהיזמי והיגי ופירש הרמב"ן שהוא משום קוצר וכ"כ הרמב"ם (פ"ח מהלכות שבת ה"ג) וכל העוקר דבר מגידולו חייב משום קוצר לפיכך צרור שעלו בו עשבים וכשות שעלה בסנה ועשבין שצמחו על גב החבית התולש מהן חייב שזהו מקום גידולן, לאו משום הבדלת החיות הוא דמחייבי אלא משום דכיון שיונק וגדל שם הוי מחובר אליו ולכן המבדילו חייב משום קוצר מפני שמעתיקו מחיבורו ממש ומ"מ יש להסתפק אי חשיבא פיטרא כמחוברת לקרקע גופה וכשעוקרה הוא תולש ג"ק מן הקרקע ממש וזהו כמ"ש, או דחשיבא מחוברת רק לחצבא וחבית ולא לקרקע ומ"מ חייב משום קוצר לפי שעוקרו ממקום חיבורו זה ולא בעינן שיעקרנו דוקא מן הקרקע עצמה אלא כל שעוקרו ממקום חיבור איזה שיהיה סגי ובלבד שיהא הדבר הנקצר ג"ק והכא בנהנה מריח הקרקע חשוב ג"ק ודלא כמ"ש למעלה דבעינן שיקצור מן הקרקע ממש. ורש"י ז"ל כתב כשותא כו' וגדל מתוך ההיזמי מריח הקרקע שההיזמי יונק ממנו עכ"ל, ואין הכרע אם כוונתו דבשביל שגדל מריח הקרקע חשיב מחובר אליה או דבשביל זה חשיב רק ג"ק ואל"ה לא הוה בהו איסור קצירה. אך המאירי כתב וז"ל והתולש כשותא שבין היזמי והיגי ועומד שם בלחותו משום יניקת הארץ הרי הוא כתולש מעציץ נקוב וחייב משום עוקר דבר מגידולו אפילו תולש כמהין ופטריות מאוזן הכד או מן הקורה חייב עכ"ל משמע דדינו ממש כבעציץ נקוב והוו גם מחוברין לקרקע עצמה ונ"מ לשאר מילי שלא לענין שבת. </w:t>
      </w:r>
    </w:p>
    <w:p w14:paraId="78C7B065" w14:textId="77777777" w:rsidR="000426DE" w:rsidRDefault="000426DE" w:rsidP="000426DE">
      <w:pPr>
        <w:pStyle w:val="a7"/>
        <w:rPr>
          <w:rtl/>
        </w:rPr>
      </w:pPr>
      <w:bookmarkStart w:id="1709" w:name="_Toc139316433"/>
      <w:r>
        <w:rPr>
          <w:rFonts w:hint="cs"/>
          <w:rtl/>
        </w:rPr>
        <w:t>בי' הדב"א ברמב"ם דעוקרם ממקום גידולם היינו דהוא רביתיה ואין כוונתו דמפסיקם מחיותם</w:t>
      </w:r>
      <w:bookmarkEnd w:id="1709"/>
    </w:p>
    <w:p w14:paraId="1FC706C2" w14:textId="77777777" w:rsidR="000426DE" w:rsidRDefault="000426DE" w:rsidP="00BC7DC8">
      <w:pPr>
        <w:pStyle w:val="a3"/>
      </w:pPr>
      <w:r>
        <w:rPr>
          <w:rFonts w:hint="cs"/>
          <w:rtl/>
        </w:rPr>
        <w:t xml:space="preserve">וכתב </w:t>
      </w:r>
      <w:r w:rsidRPr="00B4411F">
        <w:rPr>
          <w:rStyle w:val="aff4"/>
          <w:rFonts w:hint="cs"/>
          <w:vanish/>
          <w:rtl/>
        </w:rPr>
        <w:t>-</w:t>
      </w:r>
      <w:r w:rsidRPr="005C4013">
        <w:rPr>
          <w:rStyle w:val="aff4"/>
          <w:rFonts w:hint="cs"/>
          <w:rtl/>
        </w:rPr>
        <w:t>הדבר אברהם</w:t>
      </w:r>
      <w:r w:rsidRPr="00B4411F">
        <w:rPr>
          <w:rStyle w:val="aff4"/>
          <w:rFonts w:hint="cs"/>
          <w:vanish/>
          <w:rtl/>
        </w:rPr>
        <w:t>-</w:t>
      </w:r>
      <w:r>
        <w:rPr>
          <w:rFonts w:hint="cs"/>
          <w:rtl/>
        </w:rPr>
        <w:t xml:space="preserve"> דמ"ש </w:t>
      </w:r>
      <w:r w:rsidRPr="00B4411F">
        <w:rPr>
          <w:rStyle w:val="aff4"/>
          <w:rFonts w:hint="cs"/>
          <w:vanish/>
          <w:rtl/>
        </w:rPr>
        <w:t>-</w:t>
      </w:r>
      <w:r w:rsidRPr="005C4013">
        <w:rPr>
          <w:rStyle w:val="aff4"/>
          <w:rFonts w:hint="cs"/>
          <w:rtl/>
        </w:rPr>
        <w:t>הרמב"ם</w:t>
      </w:r>
      <w:r w:rsidRPr="00B4411F">
        <w:rPr>
          <w:rStyle w:val="aff4"/>
          <w:rFonts w:hint="cs"/>
          <w:vanish/>
          <w:rtl/>
        </w:rPr>
        <w:t>-</w:t>
      </w:r>
      <w:r>
        <w:rPr>
          <w:rFonts w:hint="cs"/>
          <w:rtl/>
        </w:rPr>
        <w:t xml:space="preserve"> דהחיוב בזה הוא כיון דעוקר דבר ממקום גידולו, אין כוונת </w:t>
      </w:r>
      <w:r w:rsidRPr="00B4411F">
        <w:rPr>
          <w:rStyle w:val="aff4"/>
          <w:rFonts w:hint="cs"/>
          <w:vanish/>
          <w:rtl/>
        </w:rPr>
        <w:t>-</w:t>
      </w:r>
      <w:r w:rsidRPr="005C4013">
        <w:rPr>
          <w:rStyle w:val="aff4"/>
          <w:rFonts w:hint="cs"/>
          <w:rtl/>
        </w:rPr>
        <w:t>הרמב"ם</w:t>
      </w:r>
      <w:r w:rsidRPr="00B4411F">
        <w:rPr>
          <w:rStyle w:val="aff4"/>
          <w:rFonts w:hint="cs"/>
          <w:vanish/>
          <w:rtl/>
        </w:rPr>
        <w:t>-</w:t>
      </w:r>
      <w:r>
        <w:rPr>
          <w:rFonts w:hint="cs"/>
          <w:rtl/>
        </w:rPr>
        <w:t xml:space="preserve"> לומר דהוא מפסיק אותם מהחיות שלהם, אלא דבא לבאר דלא דמי לעציץ שאינו נקוב דפטור כיון דאינו מקום גידולו, וכדאמרינן בגמ' לקמן </w:t>
      </w:r>
      <w:r w:rsidRPr="00FB451D">
        <w:rPr>
          <w:rStyle w:val="af2"/>
          <w:rFonts w:eastAsia="Guttman Hodes" w:hint="cs"/>
          <w:rtl/>
        </w:rPr>
        <w:t>(קח.)</w:t>
      </w:r>
      <w:r>
        <w:rPr>
          <w:rFonts w:hint="cs"/>
          <w:rtl/>
        </w:rPr>
        <w:t xml:space="preserve"> דכשותא מהיזמי ופיטרא מאונא דחצבא היינו רביתיה, ועציץ שאינו נקוב לאו היינו רביתיה.</w:t>
      </w:r>
    </w:p>
    <w:p w14:paraId="315B01E4" w14:textId="77777777" w:rsidR="000426DE" w:rsidRPr="00747170" w:rsidRDefault="000426DE" w:rsidP="00747170">
      <w:pPr>
        <w:pStyle w:val="a2"/>
        <w:rPr>
          <w:rtl/>
        </w:rPr>
      </w:pPr>
      <w:r w:rsidRPr="00747170">
        <w:rPr>
          <w:rtl/>
        </w:rPr>
        <w:t>ומ"ש הרמב"ם בכל הני דמשו"ה חייב שזהו מקום גידולן אין כוונתו לומר דזהו חיובן במה שמבדיל את החיות ששואבין ממקום גידולן, אלא שנתכוין בזה רק לחלק ממה שכתב אח"כ שהתולש מעציץ שאינו נקוב פטור ומה בין זה לזה אלא מפני שזה מקום גידולו וזה לאו מקום גידולו הוא, ורומז הוא למה שמבואר התם בסוגיא דשבת דפריך עלה מעציץ שאינו נקוב ומשני התם לאו היינו ריביתי' הכא היינו ריבותיה, וה"נ מסיק הרמב"ם בעציץ שאינו נקוב דפטור מפני שאין זה מקום גידולו, ומאי דקרי ליה הש"ס מקום ריביתיה קרי ליה הרמב"ם בלשונו מקום גידולו והיינו משום שאין דרך זריעה בכך כמ"ש רש"י נמצא דאע"פ שכתב שתהא לו חיות במקומו אין זה כי היכי דתיהוי ביה הבדלת חיות אלא משום דלאו מחובר ממש הוא כדבר המושרש לכן פירשו בו ענין היניקה בכדי לבאר דמשוה"ט הוא נידון כמחובר</w:t>
      </w:r>
      <w:r w:rsidRPr="00747170">
        <w:rPr>
          <w:rFonts w:hint="cs"/>
          <w:rtl/>
        </w:rPr>
        <w:t>.</w:t>
      </w:r>
    </w:p>
    <w:p w14:paraId="0B645143" w14:textId="77777777" w:rsidR="000426DE" w:rsidRPr="0070202A" w:rsidRDefault="000426DE" w:rsidP="000426DE">
      <w:pPr>
        <w:pStyle w:val="a7"/>
      </w:pPr>
      <w:bookmarkStart w:id="1710" w:name="_Toc139316434"/>
      <w:r>
        <w:rPr>
          <w:rFonts w:hint="cs"/>
          <w:rtl/>
        </w:rPr>
        <w:t>בי' הדב"א דירושלמי כל הפסקת חיות קוצר אך לבבלי רק במקום רביתיה דצריך שיהיה מחובר</w:t>
      </w:r>
      <w:bookmarkEnd w:id="1710"/>
    </w:p>
    <w:p w14:paraId="228E2B1E" w14:textId="77777777" w:rsidR="000426DE" w:rsidRPr="00A41724" w:rsidRDefault="000426DE" w:rsidP="00BC7DC8">
      <w:pPr>
        <w:pStyle w:val="a3"/>
      </w:pPr>
      <w:r>
        <w:rPr>
          <w:rFonts w:hint="cs"/>
          <w:rtl/>
        </w:rPr>
        <w:t xml:space="preserve">אך כתב </w:t>
      </w:r>
      <w:r w:rsidRPr="00B4411F">
        <w:rPr>
          <w:rStyle w:val="aff4"/>
          <w:rFonts w:hint="cs"/>
          <w:vanish/>
          <w:rtl/>
        </w:rPr>
        <w:t>-</w:t>
      </w:r>
      <w:r w:rsidRPr="005C4013">
        <w:rPr>
          <w:rStyle w:val="aff4"/>
          <w:rFonts w:hint="cs"/>
          <w:rtl/>
        </w:rPr>
        <w:t>הדבר אברהם</w:t>
      </w:r>
      <w:r w:rsidRPr="00B4411F">
        <w:rPr>
          <w:rStyle w:val="aff4"/>
          <w:rFonts w:hint="cs"/>
          <w:vanish/>
          <w:rtl/>
        </w:rPr>
        <w:t>-</w:t>
      </w:r>
      <w:r>
        <w:rPr>
          <w:rFonts w:hint="cs"/>
          <w:rtl/>
        </w:rPr>
        <w:t xml:space="preserve"> דדבר שאינו מחובר לא שייך בו קוצר לדעת הבבלי, ואינו שייך כלל לסברת הירושלמי דשולה דג הוא קוצר מחמת שמפסיקו מחיותו, כיון דלדעת הירושלמי אין נ"מ אי דרך גדילתן שם או לא, דאף אי אין הדרך שיגדלו שם מ"מ חייב כיון דמפסיקן מחיותן, ורק לבבלי דצריך שיתלוש ממחובר אמרינן בגמ' לקמן </w:t>
      </w:r>
      <w:r w:rsidRPr="00FB451D">
        <w:rPr>
          <w:rStyle w:val="af2"/>
          <w:rFonts w:eastAsia="Guttman Hodes" w:hint="cs"/>
          <w:rtl/>
        </w:rPr>
        <w:t>(קח.)</w:t>
      </w:r>
      <w:r>
        <w:rPr>
          <w:rFonts w:hint="cs"/>
          <w:rtl/>
        </w:rPr>
        <w:t xml:space="preserve"> דהיינו רביתיה, וכתב </w:t>
      </w:r>
      <w:r w:rsidRPr="00B4411F">
        <w:rPr>
          <w:rStyle w:val="aff4"/>
          <w:rFonts w:hint="cs"/>
          <w:vanish/>
          <w:rtl/>
        </w:rPr>
        <w:t>-</w:t>
      </w:r>
      <w:r w:rsidRPr="005C4013">
        <w:rPr>
          <w:rStyle w:val="aff4"/>
          <w:rFonts w:hint="cs"/>
          <w:rtl/>
        </w:rPr>
        <w:t>הדבר אברהם</w:t>
      </w:r>
      <w:r w:rsidRPr="00B4411F">
        <w:rPr>
          <w:rStyle w:val="aff4"/>
          <w:rFonts w:hint="cs"/>
          <w:vanish/>
          <w:rtl/>
        </w:rPr>
        <w:t>-</w:t>
      </w:r>
      <w:r>
        <w:rPr>
          <w:rFonts w:hint="cs"/>
          <w:rtl/>
        </w:rPr>
        <w:t xml:space="preserve"> דלדעת הירושלמי צ"ל דהא דתנן לקמן </w:t>
      </w:r>
      <w:r w:rsidRPr="00FB451D">
        <w:rPr>
          <w:rStyle w:val="af2"/>
          <w:rFonts w:eastAsia="Guttman Hodes" w:hint="cs"/>
          <w:rtl/>
        </w:rPr>
        <w:t>(צה.)</w:t>
      </w:r>
      <w:r>
        <w:rPr>
          <w:rFonts w:hint="cs"/>
          <w:rtl/>
        </w:rPr>
        <w:t xml:space="preserve"> דהתולש מעציץ שאינו נקוב פטור, אינו מחמת דלאו היינו רביתיה, אלא דאין דרך קצירה בכך, או דלא חשיב מפסיקו ממקום חיותו.</w:t>
      </w:r>
    </w:p>
    <w:p w14:paraId="4318E515" w14:textId="77777777" w:rsidR="000426DE" w:rsidRPr="00747170" w:rsidRDefault="000426DE" w:rsidP="00747170">
      <w:pPr>
        <w:pStyle w:val="a2"/>
        <w:rPr>
          <w:rtl/>
        </w:rPr>
      </w:pPr>
      <w:r w:rsidRPr="00747170">
        <w:rPr>
          <w:rtl/>
        </w:rPr>
        <w:t>אבל בהפסקת חיות לחוד היכא דלא הוי מחובר אה"נ דלא הוי קוצר וא"כ אין זה שייך כלל לההיא דירושלמי דהתם אין הירושלמי דן לה כקוצר בשביל התלישה מן המחובר דהני כוורי ודאי לאו מחוברין נינהו אלא דהבדלת החיות בעצמה הויא הקצירה, והכא לאו הבדלת החיות עצמה אלא התלישה מן המחובר היא דהויא קצירה ואדרבא מסוגיין משמע קצת דלא כהירושלמי דעל ההיא דפיטרא מאונא דחצבא דחייב פריך הש"ס מהתולש מעציץ שאי"נ דפטור ומשני התם לאו היינו ריבותיה הכא היינו ריביתיה ופרש"י דאין דרך זריעה שם. והוא צריך ביאור מה לי דאין דרך זריעה בכך הרי לאו לענין זריעה עסקינן הכא אלא לענין קצירה, ופשוט הוא דכיון דאין דרך זריעה בכך לא מיקרי מחובר וממילא פטור הקוצר, דאע"פ שהפסיק את החיות שהיה יונק מן העפר שבעציץ מ"מ לא תלשו ממקום חיבור משא"כ הני דעיקר גידולן בכך חשיבי מחוברין והקוצרן עוקרן ממקום חיבור. אך לשיטת הירושלמי דהבדלת החיות לחוד הוי קוצר ולא בעינן מחובר כלל ק"ק מה לי דאין דרך זריעה בכך מ"מ הרי הפסיק את החיות, וכ"ת דכי היכי דאין דרך זריעה בכך ה"נ אין דרך קצירה בכך לקצור דברים כאלה והוי קוצר שלא כדרכו דפטור, א"כ לא הו"ל לרש"י למימר וכן לא הו"ל להש"ס למימר לאו ריביתיה אלא דלאו דרך קצירה בכך. וכ"ת דלפי"ז יקשה על הירושלמי ממתניתין דהתולש מעציץ שאי"נ, י"ל דהירושלמי באמת לא יתרץ לה משום שאינו דרך זריעה אלא משום דאין דרך קצירה בכך כמ"ש או דלא חשיב כמקום חיותן* ומפשטיות לשון רש"י ור"ח והמאירי מתבאר דהעיקר הוא מה שמחובר לקרקע גופה:</w:t>
      </w:r>
    </w:p>
    <w:p w14:paraId="2D191F89" w14:textId="77777777" w:rsidR="000426DE" w:rsidRDefault="000426DE" w:rsidP="000426DE">
      <w:pPr>
        <w:pStyle w:val="afffff7"/>
        <w:rPr>
          <w:rtl/>
        </w:rPr>
      </w:pPr>
      <w:bookmarkStart w:id="1711" w:name="_Toc135513751"/>
      <w:bookmarkStart w:id="1712" w:name="_Toc163505673"/>
      <w:r>
        <w:rPr>
          <w:rFonts w:hint="cs"/>
          <w:rtl/>
        </w:rPr>
        <w:t>דבר אברהם ח"א סי' כ"ה אות י"ב</w:t>
      </w:r>
      <w:r w:rsidRPr="00AE2063">
        <w:rPr>
          <w:rtl/>
        </w:rPr>
        <w:t xml:space="preserve"> ד"ה ולפי דרך</w:t>
      </w:r>
      <w:bookmarkEnd w:id="1711"/>
      <w:bookmarkEnd w:id="1712"/>
    </w:p>
    <w:p w14:paraId="37DB9A7E" w14:textId="1B1DDF1C" w:rsidR="000426DE" w:rsidRPr="00765C26" w:rsidRDefault="000426DE" w:rsidP="000426DE">
      <w:pPr>
        <w:pStyle w:val="a7"/>
        <w:rPr>
          <w:rtl/>
        </w:rPr>
      </w:pPr>
      <w:bookmarkStart w:id="1713" w:name="_Toc139316435"/>
      <w:bookmarkEnd w:id="1705"/>
      <w:r>
        <w:rPr>
          <w:rFonts w:hint="cs"/>
          <w:rtl/>
        </w:rPr>
        <w:t>בי' הדב"א דלבי' הזכר יצחק צרור לרמב"ם אינו מחובר ותולש ממנו אסור רק דמפסיק את החיות</w:t>
      </w:r>
      <w:bookmarkEnd w:id="1713"/>
    </w:p>
    <w:p w14:paraId="7EC2B7CD" w14:textId="41DCC435" w:rsidR="000426DE" w:rsidRDefault="000426DE" w:rsidP="00BC7DC8">
      <w:pPr>
        <w:pStyle w:val="a3"/>
      </w:pPr>
      <w:r>
        <w:rPr>
          <w:rFonts w:hint="cs"/>
          <w:rtl/>
        </w:rPr>
        <w:t xml:space="preserve">ובמ"ש </w:t>
      </w:r>
      <w:r w:rsidRPr="00DE1AA0">
        <w:rPr>
          <w:rStyle w:val="aff4"/>
          <w:rFonts w:hint="cs"/>
          <w:vanish/>
          <w:rtl/>
        </w:rPr>
        <w:t>-</w:t>
      </w:r>
      <w:r w:rsidRPr="00DB6BF0">
        <w:rPr>
          <w:rStyle w:val="aff4"/>
          <w:rFonts w:hint="cs"/>
          <w:rtl/>
        </w:rPr>
        <w:t>הרמב"ם</w:t>
      </w:r>
      <w:r w:rsidRPr="00DE1AA0">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Ref134736415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מ)</w:t>
      </w:r>
      <w:r>
        <w:rPr>
          <w:rStyle w:val="af2"/>
          <w:rFonts w:eastAsia="Guttman Hodes"/>
          <w:rtl/>
        </w:rPr>
        <w:fldChar w:fldCharType="end"/>
      </w:r>
      <w:r>
        <w:rPr>
          <w:rFonts w:hint="cs"/>
          <w:rtl/>
        </w:rPr>
        <w:t xml:space="preserve"> דהמגביה עציץ נקוב מע"ג הקרקע והניחו ע"ג יתדות הוא תולש מדאו', ובמה שהקשה </w:t>
      </w:r>
      <w:r w:rsidRPr="00DE1AA0">
        <w:rPr>
          <w:rStyle w:val="aff4"/>
          <w:rFonts w:hint="cs"/>
          <w:vanish/>
          <w:rtl/>
        </w:rPr>
        <w:t>-</w:t>
      </w:r>
      <w:r w:rsidRPr="00DB6BF0">
        <w:rPr>
          <w:rStyle w:val="aff4"/>
          <w:rFonts w:hint="cs"/>
          <w:rtl/>
        </w:rPr>
        <w:t>רש"י</w:t>
      </w:r>
      <w:r w:rsidRPr="00DE1AA0">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Ref134956345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לו)</w:t>
      </w:r>
      <w:r>
        <w:rPr>
          <w:rStyle w:val="af2"/>
          <w:rFonts w:eastAsia="Guttman Hodes"/>
          <w:rtl/>
        </w:rPr>
        <w:fldChar w:fldCharType="end"/>
      </w:r>
      <w:r>
        <w:rPr>
          <w:rFonts w:hint="cs"/>
          <w:rtl/>
        </w:rPr>
        <w:t xml:space="preserve"> דאי אסור מדאו' א"כ היאך התיר ר"ל לקנח בצרור, כתב </w:t>
      </w:r>
      <w:r w:rsidRPr="00DE1AA0">
        <w:rPr>
          <w:rStyle w:val="aff4"/>
          <w:rFonts w:hint="cs"/>
          <w:vanish/>
          <w:rtl/>
        </w:rPr>
        <w:t>-</w:t>
      </w:r>
      <w:r w:rsidRPr="00DB6BF0">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Ref135110939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קב)</w:t>
      </w:r>
      <w:r w:rsidRPr="00B53404">
        <w:rPr>
          <w:rStyle w:val="aff4"/>
          <w:vanish/>
          <w:rtl/>
        </w:rPr>
        <w:fldChar w:fldCharType="end"/>
      </w:r>
      <w:r w:rsidRPr="00B53404">
        <w:rPr>
          <w:rStyle w:val="aff4"/>
          <w:rFonts w:hint="cs"/>
          <w:vanish/>
          <w:rtl/>
        </w:rPr>
        <w:t xml:space="preserve"> &gt;</w:t>
      </w:r>
      <w:r w:rsidRPr="00DB6BF0">
        <w:rPr>
          <w:rStyle w:val="aff4"/>
          <w:rFonts w:hint="cs"/>
          <w:rtl/>
        </w:rPr>
        <w:t>דבר אברהם</w:t>
      </w:r>
      <w:r w:rsidRPr="00DE1AA0">
        <w:rPr>
          <w:rStyle w:val="aff4"/>
          <w:rFonts w:hint="cs"/>
          <w:vanish/>
          <w:rtl/>
        </w:rPr>
        <w:t>-</w:t>
      </w:r>
      <w:r>
        <w:rPr>
          <w:rFonts w:hint="cs"/>
          <w:rtl/>
        </w:rPr>
        <w:t xml:space="preserve"> </w:t>
      </w:r>
      <w:r w:rsidRPr="00FB451D">
        <w:rPr>
          <w:rStyle w:val="af2"/>
          <w:rFonts w:eastAsia="Guttman Hodes" w:hint="cs"/>
          <w:rtl/>
        </w:rPr>
        <w:t>(ח"א סי' כ"ה אות י"ב ד"ה ולפי דרך)</w:t>
      </w:r>
      <w:r w:rsidRPr="00DE1AA0">
        <w:rPr>
          <w:rFonts w:hint="cs"/>
          <w:vanish/>
          <w:rtl/>
        </w:rPr>
        <w:t>=</w:t>
      </w:r>
      <w:r>
        <w:rPr>
          <w:rFonts w:hint="cs"/>
          <w:rtl/>
        </w:rPr>
        <w:t xml:space="preserve"> דלפי ביאור </w:t>
      </w:r>
      <w:r w:rsidRPr="00DE1AA0">
        <w:rPr>
          <w:rStyle w:val="aff4"/>
          <w:rFonts w:hint="cs"/>
          <w:vanish/>
          <w:rtl/>
        </w:rPr>
        <w:t>-</w:t>
      </w:r>
      <w:r w:rsidRPr="00DB6BF0">
        <w:rPr>
          <w:rStyle w:val="aff4"/>
          <w:rFonts w:hint="cs"/>
          <w:rtl/>
        </w:rPr>
        <w:t>הזכר יצחק</w:t>
      </w:r>
      <w:r w:rsidRPr="00DE1AA0">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Ref135342847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סה)</w:t>
      </w:r>
      <w:r>
        <w:rPr>
          <w:rStyle w:val="af2"/>
          <w:rFonts w:eastAsia="Guttman Hodes"/>
          <w:rtl/>
        </w:rPr>
        <w:fldChar w:fldCharType="end"/>
      </w:r>
      <w:r>
        <w:rPr>
          <w:rFonts w:hint="cs"/>
          <w:rtl/>
        </w:rPr>
        <w:t xml:space="preserve"> דגדר האיסור בקוצר הוא מחמת הפסקת היניקה, ואף מיעוט היניקה אסור מדאו', אפשר לבאר דכ"מ דהקשה </w:t>
      </w:r>
      <w:r w:rsidRPr="00DE1AA0">
        <w:rPr>
          <w:rStyle w:val="aff4"/>
          <w:rFonts w:hint="cs"/>
          <w:vanish/>
          <w:rtl/>
        </w:rPr>
        <w:t>-</w:t>
      </w:r>
      <w:r w:rsidRPr="00DB6BF0">
        <w:rPr>
          <w:rStyle w:val="aff4"/>
          <w:rFonts w:hint="cs"/>
          <w:rtl/>
        </w:rPr>
        <w:t>רש"י</w:t>
      </w:r>
      <w:r w:rsidRPr="00DE1AA0">
        <w:rPr>
          <w:rStyle w:val="aff4"/>
          <w:rFonts w:hint="cs"/>
          <w:vanish/>
          <w:rtl/>
        </w:rPr>
        <w:t>-</w:t>
      </w:r>
      <w:r>
        <w:rPr>
          <w:rFonts w:hint="cs"/>
          <w:rtl/>
        </w:rPr>
        <w:t xml:space="preserve"> דא"א לומר דהוא תולש מדאו', היינו לפי ביאור </w:t>
      </w:r>
      <w:r w:rsidRPr="00DE1AA0">
        <w:rPr>
          <w:rStyle w:val="aff4"/>
          <w:rFonts w:hint="cs"/>
          <w:vanish/>
          <w:rtl/>
        </w:rPr>
        <w:t>-</w:t>
      </w:r>
      <w:r w:rsidRPr="00DB6BF0">
        <w:rPr>
          <w:rStyle w:val="aff4"/>
          <w:rFonts w:hint="cs"/>
          <w:rtl/>
        </w:rPr>
        <w:t>רש"י</w:t>
      </w:r>
      <w:r w:rsidRPr="00DE1AA0">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Ref134956345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לו)</w:t>
      </w:r>
      <w:r>
        <w:rPr>
          <w:rStyle w:val="af2"/>
          <w:rFonts w:eastAsia="Guttman Hodes"/>
          <w:rtl/>
        </w:rPr>
        <w:fldChar w:fldCharType="end"/>
      </w:r>
      <w:r>
        <w:rPr>
          <w:rFonts w:hint="cs"/>
          <w:rtl/>
        </w:rPr>
        <w:t xml:space="preserve"> דפרפיסא הוא עציץ נקוב, אבל לדעת </w:t>
      </w:r>
      <w:r w:rsidRPr="00DE1AA0">
        <w:rPr>
          <w:rStyle w:val="aff4"/>
          <w:rFonts w:hint="cs"/>
          <w:vanish/>
          <w:rtl/>
        </w:rPr>
        <w:t>-</w:t>
      </w:r>
      <w:r w:rsidRPr="00DB6BF0">
        <w:rPr>
          <w:rStyle w:val="aff4"/>
          <w:rFonts w:hint="cs"/>
          <w:rtl/>
        </w:rPr>
        <w:t>הרמב"ם</w:t>
      </w:r>
      <w:r w:rsidRPr="00DE1AA0">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Ref134459496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ו)</w:t>
      </w:r>
      <w:r>
        <w:rPr>
          <w:rStyle w:val="af2"/>
          <w:rFonts w:eastAsia="Guttman Hodes"/>
          <w:rtl/>
        </w:rPr>
        <w:fldChar w:fldCharType="end"/>
      </w:r>
      <w:r>
        <w:rPr>
          <w:rFonts w:hint="cs"/>
          <w:rtl/>
        </w:rPr>
        <w:t xml:space="preserve"> דר"ל התיר בצרור דהוא עציץ שאינו נקוב, א"כ לא קשה קושית </w:t>
      </w:r>
      <w:r w:rsidRPr="00DE1AA0">
        <w:rPr>
          <w:rStyle w:val="aff4"/>
          <w:rFonts w:hint="cs"/>
          <w:vanish/>
          <w:rtl/>
        </w:rPr>
        <w:t>-</w:t>
      </w:r>
      <w:r w:rsidRPr="00DB6BF0">
        <w:rPr>
          <w:rStyle w:val="aff4"/>
          <w:rFonts w:hint="cs"/>
          <w:rtl/>
        </w:rPr>
        <w:t>רש"י</w:t>
      </w:r>
      <w:r w:rsidRPr="00DE1AA0">
        <w:rPr>
          <w:rStyle w:val="aff4"/>
          <w:rFonts w:hint="cs"/>
          <w:vanish/>
          <w:rtl/>
        </w:rPr>
        <w:t>-</w:t>
      </w:r>
      <w:r>
        <w:rPr>
          <w:rFonts w:hint="cs"/>
          <w:rtl/>
        </w:rPr>
        <w:t xml:space="preserve"> דהצרור אינו מחובר לקרקע כלל, והא דהתולש ממנו עשבים חייב הוא כמו בפיטרא אפומא דחצבא דהוא מפסיק את החיות של הפיטרא אף שאינה מחוברת לקרקע, וכן בעשבים שע"ג הצרור דהתולש ממנו הוא מפסיק את החיות שלהם, אף שאין הצרור מחובר כלל, ולכן התיר ר"ל לקנח בצרור, ורב פפי שרצה ללמוד להתיר בפרפיסא היינו בעציץ שאינו נקוב, ובזה דחתה הגמ' דאף בכה"ג התירו רק לצורך קינוח, אך כתב </w:t>
      </w:r>
      <w:r w:rsidRPr="00DE1AA0">
        <w:rPr>
          <w:rStyle w:val="aff4"/>
          <w:rFonts w:hint="cs"/>
          <w:vanish/>
          <w:rtl/>
        </w:rPr>
        <w:t>-</w:t>
      </w:r>
      <w:r w:rsidRPr="00DB6BF0">
        <w:rPr>
          <w:rStyle w:val="aff4"/>
          <w:rFonts w:hint="cs"/>
          <w:rtl/>
        </w:rPr>
        <w:t>הדבר אברהם</w:t>
      </w:r>
      <w:r w:rsidRPr="00DE1AA0">
        <w:rPr>
          <w:rStyle w:val="aff4"/>
          <w:rFonts w:hint="cs"/>
          <w:vanish/>
          <w:rtl/>
        </w:rPr>
        <w:t>-</w:t>
      </w:r>
      <w:r>
        <w:rPr>
          <w:rFonts w:hint="cs"/>
          <w:rtl/>
        </w:rPr>
        <w:t xml:space="preserve"> דאביי איירי בפרפיסא דהוא עציץ נקוב, ובזה פסק </w:t>
      </w:r>
      <w:r w:rsidRPr="00DE1AA0">
        <w:rPr>
          <w:rStyle w:val="aff4"/>
          <w:rFonts w:hint="cs"/>
          <w:vanish/>
          <w:rtl/>
        </w:rPr>
        <w:t>-</w:t>
      </w:r>
      <w:r w:rsidRPr="00DB6BF0">
        <w:rPr>
          <w:rStyle w:val="aff4"/>
          <w:rFonts w:hint="cs"/>
          <w:rtl/>
        </w:rPr>
        <w:t>הרמב"ם</w:t>
      </w:r>
      <w:r w:rsidRPr="00DE1AA0">
        <w:rPr>
          <w:rStyle w:val="aff4"/>
          <w:rFonts w:hint="cs"/>
          <w:vanish/>
          <w:rtl/>
        </w:rPr>
        <w:t>-</w:t>
      </w:r>
      <w:r>
        <w:rPr>
          <w:rFonts w:hint="cs"/>
          <w:rtl/>
        </w:rPr>
        <w:t xml:space="preserve"> דהוא תולש מדאו'.</w:t>
      </w:r>
    </w:p>
    <w:p w14:paraId="0F12201F" w14:textId="77777777" w:rsidR="000426DE" w:rsidRPr="00747170" w:rsidRDefault="000426DE" w:rsidP="00747170">
      <w:pPr>
        <w:pStyle w:val="a2"/>
      </w:pPr>
      <w:r w:rsidRPr="00747170">
        <w:rPr>
          <w:rtl/>
        </w:rPr>
        <w:t xml:space="preserve">[יב] ולפי דרך כ"ג יש מקום לומר דאפילו עציץ שאי"נ אסור לתלוש מע"ג קרקע שלא לצורך קינוח, ובזה תסור מעל הרמב"ם קושיית רש"י ז"ל לדעת האומרים דתולש דפרפיסא הוי דאורייתא. דזוהי הצעת הסוגיא דהתם, גופא אמר ר"ל צרור שעלו בו עשבים מותר לקנח בה והתולש ממנה בשבת חייב חטאת אמר ר"פ ש"מ מדר"ל האי פרפיסא שרי לטלטוליה מתקיף לה רב כהנא אם אמרו לצורך יאמרו שלא לצורך אמר אביי פרפיסא הואיל ואתא לידן נימא ביה מילתא היה מונח ע"ג קרקע והניחו ע"ג יתדות מיחייב משום תולש היה מונח ע"ג יתדות והניחו ע"ג קרקע חייב משום נוטע. ופירש"י והתולש ממנו במתכוין חייב דמקום גידולו הוא כו' האי פרפיסא עציץ נקוב שזרעו בו כו' שרי לטלטוליה כו' חייב משום תולש כו' ול"נ דהאי חייב לאו דוקא אלא אסור משום דדמי לתולש דאי חייב ממש קאמר לצורך היכי שרו רבנן איסור כרת וסקילה משום קינוח עכ"ל ולשיטת הרמב"ם דחייב בגבשושית משום תולש דאורייתא נשארה קושיית רש"י ז"ל האיך התירו איסור כרת וסקילה לצורך קינוח. ולפי דרכו של כ"ג יש ליישב דהנה הוכחת רש"י ז"ל בנויה על יסוד פירושו דפרפיסא דרב פפי הוי עציץ נקוב וכן גם העשבים דינם כבעציץ נקוב משום דמקום גידולם הוא דהיינו ריביתיה כמש"ל, אבל להרמב"ם י"ל דפרפיסא דרב פפי מיירי בעציץ שאינו נקוב וצרור נמי הוי עציץ שאי"נ כמו שיבואר דהנה בהא דפיטרא באונא דחצבא דחייב משום עוקר דבר מגידולו משום דהיינו ריביתיה יש לפרש על שני פנים, או דמשום דהיינו ריביתיה הוי הפיטרא מחובר לקרקע וכשתולשו הוא תולש מן הקרקע, או דמשום הכי הוי רק כמחובר לחצבא ולא לקרקע. וע"פ דרכנו שאין קוצר אלא בתולש מן המחובר לקרקע בע"כ צ"ל כדרך הראשון דהוי מחובר לקרקע דאל"ה לא היה חייב, אבל לפמ"ש כ"ג דעיקר הקוצר הוא משום הבדלת החיות ולא בעינן כלל תלישה מן הקרקע דוקא וי"ל דאפילו שלא בג"ק ממש יש קוצר כה"ג [כמו דלענין דישה הא דבעינן בה ג"ק השיא לה כ"ג במכתבו לכוונה אחרת והעלה דאפילו בדגים שאינם ג"ק ס"ל להרמב"ם דיש דישה כשהם חיים], לפי"ז י"ל דהפיטרא הוי מחובר רק לחצבא משום דהיינו ריביתיה וזהו מקום חיובו וכשתולשו הוא מבדילו מחיובו וחייב אבל לקרקע עצמה באמת אינו מחובר משום דחצבא מפסיק דהוי עציץ שאינו נקוב ולפי"ז לשאר מילי באמת לא יהא דין הפיטרא כמחובר לקרקע כבעציץ נקוב אלא דלענין שבת שאני דסגי במה שהוא מחובר לחצבא והוי הבדלת החיות. ובעציץ שאי"נ דפטור צ"ל דאינו מחובר כלל אפילו לעציץ עצמו משום הך סברא דש"ס דלאו דרך זריעה בכך וכיון שאינו דרך זריעה ממילא אינו קוצר. והשתא האי צרור דר"ל הוי עציץ שאי"נ לענין זה שאם מגביהו עם העשבים מע"ג קרקע לא הוי תולש משום דלא הוה מחובר כלל לקרקע ומ"מ התולש את העשבים מן הצרור גופי' חייב משום דהבדילם ממקום חיותם ואף שכתב הר"ש בעוקצים דצרור הוי כטבלא שאין לה לבזביז וטבלא שאין לה לבזביז דינה כעציץ נקוב שהוא מחובר לקרקע לכל מילי, הנה בפירוש הר"מ ז"ל מבואר דבטבלא נמי לאו משום נקוב נגעו בה אלא משום דבטל מינה תורת כלי לענין הכשר ומים שבכלי, ושיטה זו הביא גם הר"ש ודחאה יעו"ש והלכך להרמב"ם הוי צרור עציץ שאי"נ וכשמגביהו מע"ג קרקע לית ביה איסור תולש מה"ת ומשו"ה מותר לצורך קינוח, ועלה קאמר ר"פ ש"מ מדר"ל האי פרפיסא שרי לטלטוליה והיינו נמי בעציץ שאי"נ, ודחי רב כהנא דאף בזה [ר"ל באינו נקוב] לא התירו אלא לצורך אבל שלא לצורך אסור מדרבנן מיהא משום דדמי לתולש, ופרפיסא דאביי מיירי בעציץ נקוב שמחובר לקרקע ממש ומשו"ה כשמגביהו מע"ג קרקע ונותנו ע"ג יתדות חייב משום תולש מה"ת וא"ש דברי הרמב"ם בגבשושית וסרה קושיית רש"י ז"ל. </w:t>
      </w:r>
    </w:p>
    <w:p w14:paraId="4567076C" w14:textId="7DF0E9BF" w:rsidR="000426DE" w:rsidRDefault="000426DE" w:rsidP="000426DE">
      <w:pPr>
        <w:pStyle w:val="afffff7"/>
        <w:rPr>
          <w:rtl/>
        </w:rPr>
      </w:pPr>
      <w:bookmarkStart w:id="1714" w:name="_Toc135513752"/>
      <w:bookmarkStart w:id="1715" w:name="_Toc163505674"/>
      <w:r>
        <w:rPr>
          <w:rFonts w:hint="cs"/>
          <w:rtl/>
        </w:rPr>
        <w:t>דבר אברהם ח"א סי' כ"ה אות י"ב ד</w:t>
      </w:r>
      <w:r>
        <w:rPr>
          <w:rFonts w:cs="Guttman Hodes" w:hint="cs"/>
          <w:rtl/>
        </w:rPr>
        <w:t>"</w:t>
      </w:r>
      <w:r>
        <w:rPr>
          <w:rFonts w:hint="cs"/>
          <w:rtl/>
        </w:rPr>
        <w:t>ה אך זהו</w:t>
      </w:r>
      <w:bookmarkEnd w:id="1714"/>
      <w:bookmarkEnd w:id="1715"/>
    </w:p>
    <w:p w14:paraId="1C94A2FD" w14:textId="77777777" w:rsidR="000426DE" w:rsidRDefault="000426DE" w:rsidP="000426DE">
      <w:pPr>
        <w:pStyle w:val="a7"/>
        <w:rPr>
          <w:rtl/>
        </w:rPr>
      </w:pPr>
      <w:bookmarkStart w:id="1716" w:name="_Toc139316436"/>
      <w:r>
        <w:rPr>
          <w:rFonts w:hint="cs"/>
          <w:rtl/>
        </w:rPr>
        <w:t>בי' הדב"א דאי גדר קוצר הוא תלישה ממחובר מוכח דכשותא ופיטרא הוי מחובר דהוא רביתיה</w:t>
      </w:r>
      <w:bookmarkEnd w:id="1716"/>
    </w:p>
    <w:p w14:paraId="0D3D74D7" w14:textId="3FE3D037" w:rsidR="000426DE" w:rsidRPr="001A79C6" w:rsidRDefault="000426DE" w:rsidP="00BC7DC8">
      <w:pPr>
        <w:pStyle w:val="a3"/>
        <w:rPr>
          <w:rtl/>
        </w:rPr>
      </w:pPr>
      <w:bookmarkStart w:id="1717" w:name="_Ref135124729"/>
      <w:r>
        <w:rPr>
          <w:rFonts w:hint="cs"/>
          <w:rtl/>
        </w:rPr>
        <w:t xml:space="preserve">אך כתב </w:t>
      </w:r>
      <w:r w:rsidRPr="00DE1AA0">
        <w:rPr>
          <w:rStyle w:val="aff4"/>
          <w:rFonts w:hint="cs"/>
          <w:vanish/>
          <w:rtl/>
        </w:rPr>
        <w:t>-</w:t>
      </w:r>
      <w:r w:rsidRPr="00DB6BF0">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Ref135124729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צב)</w:t>
      </w:r>
      <w:r w:rsidRPr="00B53404">
        <w:rPr>
          <w:rStyle w:val="aff4"/>
          <w:vanish/>
          <w:rtl/>
        </w:rPr>
        <w:fldChar w:fldCharType="end"/>
      </w:r>
      <w:r w:rsidRPr="00B53404">
        <w:rPr>
          <w:rStyle w:val="aff4"/>
          <w:rFonts w:hint="cs"/>
          <w:vanish/>
          <w:rtl/>
        </w:rPr>
        <w:t xml:space="preserve"> &gt;</w:t>
      </w:r>
      <w:r w:rsidRPr="00DB6BF0">
        <w:rPr>
          <w:rStyle w:val="aff4"/>
          <w:rFonts w:hint="cs"/>
          <w:rtl/>
        </w:rPr>
        <w:t>דבר אברהם</w:t>
      </w:r>
      <w:r w:rsidRPr="00DE1AA0">
        <w:rPr>
          <w:rStyle w:val="aff4"/>
          <w:rFonts w:hint="cs"/>
          <w:vanish/>
          <w:rtl/>
        </w:rPr>
        <w:t>-</w:t>
      </w:r>
      <w:r>
        <w:rPr>
          <w:rFonts w:hint="cs"/>
          <w:rtl/>
        </w:rPr>
        <w:t xml:space="preserve"> </w:t>
      </w:r>
      <w:r w:rsidRPr="00FB451D">
        <w:rPr>
          <w:rStyle w:val="af2"/>
          <w:rFonts w:eastAsia="Guttman Hodes" w:hint="cs"/>
          <w:rtl/>
        </w:rPr>
        <w:t>(ח"א סי' כ"ה אות י"ב ד"ה אך זהו)</w:t>
      </w:r>
      <w:r w:rsidRPr="00DE1AA0">
        <w:rPr>
          <w:rFonts w:hint="cs"/>
          <w:vanish/>
          <w:rtl/>
        </w:rPr>
        <w:t>=</w:t>
      </w:r>
      <w:r>
        <w:rPr>
          <w:rFonts w:hint="cs"/>
          <w:rtl/>
        </w:rPr>
        <w:t xml:space="preserve"> דלפי מה שביאר </w:t>
      </w:r>
      <w:r w:rsidRPr="00DE1AA0">
        <w:rPr>
          <w:rStyle w:val="aff4"/>
          <w:rFonts w:hint="cs"/>
          <w:vanish/>
          <w:rtl/>
        </w:rPr>
        <w:t>-</w:t>
      </w:r>
      <w:r w:rsidRPr="00DB6BF0">
        <w:rPr>
          <w:rStyle w:val="aff4"/>
          <w:rFonts w:hint="cs"/>
          <w:rtl/>
        </w:rPr>
        <w:t>הדבר אברהם</w:t>
      </w:r>
      <w:r w:rsidRPr="00DE1AA0">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Ref134634929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עה)</w:t>
      </w:r>
      <w:r>
        <w:rPr>
          <w:rStyle w:val="af2"/>
          <w:rFonts w:eastAsia="Guttman Hodes"/>
          <w:rtl/>
        </w:rPr>
        <w:fldChar w:fldCharType="end"/>
      </w:r>
      <w:r>
        <w:rPr>
          <w:rFonts w:hint="cs"/>
          <w:rtl/>
        </w:rPr>
        <w:t xml:space="preserve"> דגדר מלאכת קוצר אינה הפסקת החיות, אלא שקוצר מהמחובר, א"כ צ"ל דבפיטרא אפומא דחצבא, חשיב כמחובר לארץ כיון דהיינו רביתיה, וכן בעשבים שע"ג הצרור חשיבי כמחוברים לקרקע. </w:t>
      </w:r>
      <w:r w:rsidRPr="007A72D8">
        <w:rPr>
          <w:rStyle w:val="af"/>
          <w:rFonts w:hint="cs"/>
          <w:rtl/>
        </w:rPr>
        <w:t xml:space="preserve">[ועיי"ש במה שהאריך </w:t>
      </w:r>
      <w:r w:rsidRPr="00394B7E">
        <w:rPr>
          <w:rStyle w:val="aff9"/>
          <w:rFonts w:hint="cs"/>
          <w:vanish/>
          <w:rtl/>
        </w:rPr>
        <w:t>-</w:t>
      </w:r>
      <w:r w:rsidRPr="00394B7E">
        <w:rPr>
          <w:rStyle w:val="aff9"/>
          <w:rFonts w:hint="cs"/>
          <w:rtl/>
        </w:rPr>
        <w:t>הדבר אברהם</w:t>
      </w:r>
      <w:r w:rsidRPr="00394B7E">
        <w:rPr>
          <w:rStyle w:val="aff9"/>
          <w:rFonts w:hint="cs"/>
          <w:vanish/>
          <w:rtl/>
        </w:rPr>
        <w:t>-</w:t>
      </w:r>
      <w:r w:rsidRPr="007A72D8">
        <w:rPr>
          <w:rStyle w:val="af"/>
          <w:rFonts w:hint="cs"/>
          <w:rtl/>
        </w:rPr>
        <w:t xml:space="preserve"> לבאר לפי"ז את הדין בטבלא שאין לה לזביז]</w:t>
      </w:r>
      <w:r w:rsidRPr="00CD1359">
        <w:rPr>
          <w:rStyle w:val="af"/>
          <w:rFonts w:hint="cs"/>
          <w:rtl/>
        </w:rPr>
        <w:t>.</w:t>
      </w:r>
      <w:bookmarkEnd w:id="1717"/>
    </w:p>
    <w:p w14:paraId="09B8270A" w14:textId="77777777" w:rsidR="000426DE" w:rsidRPr="00747170" w:rsidRDefault="000426DE" w:rsidP="00747170">
      <w:pPr>
        <w:pStyle w:val="a2"/>
      </w:pPr>
      <w:r w:rsidRPr="00747170">
        <w:rPr>
          <w:rtl/>
        </w:rPr>
        <w:t>אך זהו רק לפי דרך כ"ג דחייב בהבדלת החיות, אבל לדרכנו דבעינן מחובר לארץ דוקא בע"כ צ"ל דפיטרא הוי נמי מחובר לארץ מטעמא דהיינו ריביתיה, וא"כ הדק"ל דעשבים שבצרור מחוברין נמי לקרקע מה"ט ומאי ראיה היא לשאין בה לבזביז במקום דלאו ריביתיה.</w:t>
      </w:r>
    </w:p>
    <w:p w14:paraId="78BE5052" w14:textId="786F70EA" w:rsidR="000426DE" w:rsidRDefault="000426DE" w:rsidP="000426DE">
      <w:pPr>
        <w:pStyle w:val="affff5"/>
      </w:pPr>
      <w:bookmarkStart w:id="1718" w:name="_Toc139316437"/>
      <w:r w:rsidRPr="00716C93">
        <w:rPr>
          <w:rFonts w:hint="cs"/>
          <w:rtl/>
        </w:rPr>
        <w:t>~~~~~~~~~~~~~~~~~~~~~~~~~~~~</w:t>
      </w:r>
      <w:bookmarkEnd w:id="1718"/>
      <w:r w:rsidRPr="002439C9">
        <w:rPr>
          <w:vanish/>
          <w:rtl/>
        </w:rPr>
        <w:t>&lt; # =</w:t>
      </w:r>
    </w:p>
    <w:p w14:paraId="381C41A4" w14:textId="77777777" w:rsidR="000426DE" w:rsidRDefault="000426DE" w:rsidP="000426DE">
      <w:pPr>
        <w:pStyle w:val="affff5"/>
        <w:rPr>
          <w:rtl/>
        </w:rPr>
      </w:pPr>
      <w:bookmarkStart w:id="1719" w:name="_Toc139316438"/>
      <w:r>
        <w:rPr>
          <w:rFonts w:hint="cs"/>
          <w:rtl/>
        </w:rPr>
        <w:t>אי מיעוט והוספת יניקה אסורים מדאו'</w:t>
      </w:r>
      <w:bookmarkEnd w:id="1719"/>
      <w:r w:rsidRPr="002439C9">
        <w:rPr>
          <w:vanish/>
          <w:rtl/>
        </w:rPr>
        <w:t>&lt; # =</w:t>
      </w:r>
    </w:p>
    <w:p w14:paraId="2F0F0121" w14:textId="77777777" w:rsidR="000426DE" w:rsidRDefault="000426DE" w:rsidP="000426DE">
      <w:pPr>
        <w:pStyle w:val="1"/>
        <w:rPr>
          <w:rtl/>
        </w:rPr>
      </w:pPr>
      <w:bookmarkStart w:id="1720" w:name="_Toc139316439"/>
      <w:bookmarkStart w:id="1721" w:name="_Toc135149936"/>
      <w:r>
        <w:rPr>
          <w:rFonts w:hint="cs"/>
          <w:rtl/>
        </w:rPr>
        <w:t>פלוגתת האחרונים אי בממעט יניקה בעציץ נקוב יש חיוב קוצר</w:t>
      </w:r>
      <w:bookmarkEnd w:id="1720"/>
    </w:p>
    <w:p w14:paraId="6DAB0C94" w14:textId="77777777" w:rsidR="000426DE" w:rsidRDefault="000426DE" w:rsidP="000426DE">
      <w:pPr>
        <w:pStyle w:val="afffff7"/>
        <w:rPr>
          <w:rtl/>
        </w:rPr>
      </w:pPr>
      <w:bookmarkStart w:id="1722" w:name="_Toc135513753"/>
      <w:bookmarkStart w:id="1723" w:name="_Toc163505675"/>
      <w:r>
        <w:rPr>
          <w:rtl/>
        </w:rPr>
        <w:t>אור שמח מאכלות אסורות פי"ד הי"ד</w:t>
      </w:r>
      <w:r>
        <w:rPr>
          <w:rFonts w:hint="cs"/>
          <w:rtl/>
        </w:rPr>
        <w:t xml:space="preserve"> בהגה"ה</w:t>
      </w:r>
      <w:bookmarkEnd w:id="1722"/>
      <w:bookmarkEnd w:id="1723"/>
    </w:p>
    <w:p w14:paraId="560E6F71" w14:textId="77777777" w:rsidR="000426DE" w:rsidRDefault="000426DE" w:rsidP="000426DE">
      <w:pPr>
        <w:pStyle w:val="a7"/>
        <w:rPr>
          <w:rtl/>
        </w:rPr>
      </w:pPr>
      <w:bookmarkStart w:id="1724" w:name="_Toc139316440"/>
      <w:r>
        <w:rPr>
          <w:rFonts w:hint="cs"/>
          <w:rtl/>
        </w:rPr>
        <w:t>בי' האו"ש בתוס' דהממעט יניקה חסר בשיעור קוצר ול"ד למכבה דממעט חייב דאין בו שיעור</w:t>
      </w:r>
      <w:bookmarkEnd w:id="1724"/>
      <w:r>
        <w:rPr>
          <w:rFonts w:hint="cs"/>
          <w:rtl/>
        </w:rPr>
        <w:t xml:space="preserve"> </w:t>
      </w:r>
    </w:p>
    <w:p w14:paraId="02D62EA0" w14:textId="0F78D0B0" w:rsidR="000426DE" w:rsidRPr="0055785A" w:rsidRDefault="000426DE" w:rsidP="00BC7DC8">
      <w:pPr>
        <w:pStyle w:val="a3"/>
        <w:rPr>
          <w:rtl/>
        </w:rPr>
      </w:pPr>
      <w:bookmarkStart w:id="1725" w:name="_Ref134979566"/>
      <w:r>
        <w:rPr>
          <w:rFonts w:hint="cs"/>
          <w:rtl/>
        </w:rPr>
        <w:t xml:space="preserve">במ"ש </w:t>
      </w:r>
      <w:r w:rsidRPr="00BC5B58">
        <w:rPr>
          <w:rStyle w:val="aff4"/>
          <w:rFonts w:hint="cs"/>
          <w:vanish/>
          <w:rtl/>
        </w:rPr>
        <w:t>-</w:t>
      </w:r>
      <w:r w:rsidRPr="009C1791">
        <w:rPr>
          <w:rStyle w:val="aff4"/>
          <w:rFonts w:hint="cs"/>
          <w:rtl/>
        </w:rPr>
        <w:t>התוס' לקמן</w:t>
      </w:r>
      <w:r w:rsidRPr="00BC5B58">
        <w:rPr>
          <w:rStyle w:val="aff4"/>
          <w:rFonts w:hint="cs"/>
          <w:vanish/>
          <w:rtl/>
        </w:rPr>
        <w:t>-</w:t>
      </w:r>
      <w:r>
        <w:rPr>
          <w:rFonts w:hint="cs"/>
          <w:rtl/>
        </w:rPr>
        <w:t xml:space="preserve"> </w:t>
      </w:r>
      <w:r w:rsidRPr="00FB451D">
        <w:rPr>
          <w:rStyle w:val="af2"/>
          <w:rFonts w:eastAsia="Guttman Hodes" w:hint="cs"/>
          <w:rtl/>
        </w:rPr>
        <w:t xml:space="preserve">(עי' אות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Ref134954812 \r \h</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לז)</w:t>
      </w:r>
      <w:r w:rsidRPr="00FB451D">
        <w:rPr>
          <w:rStyle w:val="af2"/>
          <w:rFonts w:eastAsia="Guttman Hodes"/>
          <w:rtl/>
        </w:rPr>
        <w:fldChar w:fldCharType="end"/>
      </w:r>
      <w:r>
        <w:rPr>
          <w:rFonts w:hint="cs"/>
          <w:rtl/>
        </w:rPr>
        <w:t xml:space="preserve"> דהנוטל פרפיסא מע"ג קרקע והניחו ע"ג יתדות, אין בו איסור תולש דאו', ביאר </w:t>
      </w:r>
      <w:r w:rsidRPr="00BC5B58">
        <w:rPr>
          <w:rStyle w:val="aff4"/>
          <w:rFonts w:hint="cs"/>
          <w:vanish/>
          <w:rtl/>
        </w:rPr>
        <w:t>-</w:t>
      </w:r>
      <w:r w:rsidRPr="009C1791">
        <w:rPr>
          <w:rStyle w:val="aff4"/>
          <w:rFonts w:hint="cs"/>
          <w:rtl/>
        </w:rPr>
        <w:t>ה</w:t>
      </w:r>
      <w:r w:rsidRPr="00B53404">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Ref134979566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צג)</w:t>
      </w:r>
      <w:r>
        <w:rPr>
          <w:rStyle w:val="aff4"/>
          <w:vanish/>
          <w:rtl/>
        </w:rPr>
        <w:fldChar w:fldCharType="end"/>
      </w:r>
      <w:r w:rsidRPr="00B53404">
        <w:rPr>
          <w:rStyle w:val="aff4"/>
          <w:rFonts w:hint="cs"/>
          <w:vanish/>
          <w:rtl/>
        </w:rPr>
        <w:t xml:space="preserve"> &gt;</w:t>
      </w:r>
      <w:r w:rsidRPr="009C1791">
        <w:rPr>
          <w:rStyle w:val="aff4"/>
          <w:rFonts w:hint="cs"/>
          <w:rtl/>
        </w:rPr>
        <w:t>או"ש</w:t>
      </w:r>
      <w:r w:rsidRPr="00BC5B58">
        <w:rPr>
          <w:rStyle w:val="aff4"/>
          <w:rFonts w:hint="cs"/>
          <w:vanish/>
          <w:rtl/>
        </w:rPr>
        <w:t>-</w:t>
      </w:r>
      <w:r>
        <w:rPr>
          <w:rFonts w:hint="cs"/>
          <w:rtl/>
        </w:rPr>
        <w:t xml:space="preserve"> </w:t>
      </w:r>
      <w:r w:rsidRPr="00FB451D">
        <w:rPr>
          <w:rStyle w:val="af2"/>
          <w:rFonts w:eastAsia="Guttman Hodes" w:hint="cs"/>
          <w:rtl/>
        </w:rPr>
        <w:t>(מאכ"א פי"ד הי"ד סוף ההג"ה)</w:t>
      </w:r>
      <w:r w:rsidRPr="00BC5B58">
        <w:rPr>
          <w:rFonts w:hint="cs"/>
          <w:vanish/>
          <w:rtl/>
        </w:rPr>
        <w:t>=</w:t>
      </w:r>
      <w:r>
        <w:rPr>
          <w:rFonts w:hint="cs"/>
          <w:rtl/>
        </w:rPr>
        <w:t xml:space="preserve"> דס"ל </w:t>
      </w:r>
      <w:r w:rsidRPr="00BC5B58">
        <w:rPr>
          <w:rStyle w:val="aff4"/>
          <w:rFonts w:hint="cs"/>
          <w:vanish/>
          <w:rtl/>
        </w:rPr>
        <w:t>-</w:t>
      </w:r>
      <w:r w:rsidRPr="009C1791">
        <w:rPr>
          <w:rStyle w:val="aff4"/>
          <w:rFonts w:hint="cs"/>
          <w:rtl/>
        </w:rPr>
        <w:t>לתוס'</w:t>
      </w:r>
      <w:r w:rsidRPr="00BC5B58">
        <w:rPr>
          <w:rStyle w:val="aff4"/>
          <w:rFonts w:hint="cs"/>
          <w:vanish/>
          <w:rtl/>
        </w:rPr>
        <w:t>-</w:t>
      </w:r>
      <w:r>
        <w:rPr>
          <w:rFonts w:hint="cs"/>
          <w:rtl/>
        </w:rPr>
        <w:t xml:space="preserve"> דמיעוט יניקה אין בו שיעור מלאכת קוצר, דכל שלא נעקר לגמרי מהקרקע חשיב מחובר, ודמי למלאכת הוצאה דאיגודו בידו, וכתב </w:t>
      </w:r>
      <w:r w:rsidRPr="00BC5B58">
        <w:rPr>
          <w:rStyle w:val="aff4"/>
          <w:rFonts w:hint="cs"/>
          <w:vanish/>
          <w:rtl/>
        </w:rPr>
        <w:t>-</w:t>
      </w:r>
      <w:r w:rsidRPr="009C1791">
        <w:rPr>
          <w:rStyle w:val="aff4"/>
          <w:rFonts w:hint="cs"/>
          <w:rtl/>
        </w:rPr>
        <w:t>האו"ש</w:t>
      </w:r>
      <w:r w:rsidRPr="00BC5B58">
        <w:rPr>
          <w:rStyle w:val="aff4"/>
          <w:rFonts w:hint="cs"/>
          <w:vanish/>
          <w:rtl/>
        </w:rPr>
        <w:t>-</w:t>
      </w:r>
      <w:r>
        <w:rPr>
          <w:rFonts w:hint="cs"/>
          <w:rtl/>
        </w:rPr>
        <w:t xml:space="preserve"> דלא דמי </w:t>
      </w:r>
      <w:bookmarkStart w:id="1726" w:name="_Hlk135165731"/>
      <w:r>
        <w:rPr>
          <w:rFonts w:hint="cs"/>
          <w:rtl/>
        </w:rPr>
        <w:t xml:space="preserve">למלאכת מכבה דאף במקליש את האור חייב משום מכבה, כדכתבו </w:t>
      </w:r>
      <w:r w:rsidRPr="00BC5B58">
        <w:rPr>
          <w:rStyle w:val="aff4"/>
          <w:rFonts w:hint="cs"/>
          <w:vanish/>
          <w:rtl/>
        </w:rPr>
        <w:t>-</w:t>
      </w:r>
      <w:r w:rsidRPr="009C1791">
        <w:rPr>
          <w:rStyle w:val="aff4"/>
          <w:rFonts w:hint="cs"/>
          <w:rtl/>
        </w:rPr>
        <w:t>התוס' בביצה</w:t>
      </w:r>
      <w:r w:rsidRPr="00BC5B58">
        <w:rPr>
          <w:rStyle w:val="aff4"/>
          <w:rFonts w:hint="cs"/>
          <w:vanish/>
          <w:rtl/>
        </w:rPr>
        <w:t>-</w:t>
      </w:r>
      <w:r>
        <w:rPr>
          <w:rFonts w:hint="cs"/>
          <w:rtl/>
        </w:rPr>
        <w:t xml:space="preserve"> </w:t>
      </w:r>
      <w:r w:rsidRPr="00FB451D">
        <w:rPr>
          <w:rStyle w:val="af2"/>
          <w:rFonts w:eastAsia="Guttman Hodes" w:hint="cs"/>
          <w:rtl/>
        </w:rPr>
        <w:t>(כב. ד"ה והמסתפק)</w:t>
      </w:r>
      <w:r>
        <w:rPr>
          <w:rFonts w:hint="cs"/>
          <w:rtl/>
        </w:rPr>
        <w:t xml:space="preserve"> </w:t>
      </w:r>
      <w:bookmarkEnd w:id="1726"/>
      <w:r>
        <w:rPr>
          <w:rFonts w:hint="cs"/>
          <w:rtl/>
        </w:rPr>
        <w:t xml:space="preserve">כיון דחיוב כיבוי הוא בכל שהוא, אבל במלאכת קוצר יש בה שיעור, ומלאכה שיש בה שיעור הכוונה שצריך מלאכה חשובה, ולכן אם רק ממעט את היניקה ועדיין הפרפיסא נשארת מחוברת לקרקע גם ע"ג היתדות, לא חשיב שעשה את שיעור המלאכה ופטור. </w:t>
      </w:r>
      <w:r w:rsidRPr="007A72D8">
        <w:rPr>
          <w:rStyle w:val="af"/>
          <w:rFonts w:hint="cs"/>
          <w:rtl/>
        </w:rPr>
        <w:t xml:space="preserve">[וכתב </w:t>
      </w:r>
      <w:r w:rsidRPr="00394B7E">
        <w:rPr>
          <w:rStyle w:val="aff9"/>
          <w:rFonts w:hint="cs"/>
          <w:vanish/>
          <w:rtl/>
        </w:rPr>
        <w:t>-</w:t>
      </w:r>
      <w:r w:rsidRPr="00394B7E">
        <w:rPr>
          <w:rStyle w:val="aff9"/>
          <w:rFonts w:hint="cs"/>
          <w:rtl/>
        </w:rPr>
        <w:t>האו"ש</w:t>
      </w:r>
      <w:r w:rsidRPr="00394B7E">
        <w:rPr>
          <w:rStyle w:val="aff9"/>
          <w:rFonts w:hint="cs"/>
          <w:vanish/>
          <w:rtl/>
        </w:rPr>
        <w:t>-</w:t>
      </w:r>
      <w:r w:rsidRPr="007A72D8">
        <w:rPr>
          <w:rStyle w:val="af"/>
          <w:rFonts w:hint="cs"/>
          <w:rtl/>
        </w:rPr>
        <w:t xml:space="preserve"> דה"ה בנטיעה שהבריכו אותה לקרקע, והיא גדילה מב' שורשים שונים בקרקע, דאם חתך את אחד מהשורשים והשורש השני עדיין מחובר, אינו קוצר אף דמיעט את יניקתה, ועי' ועי' </w:t>
      </w:r>
      <w:r w:rsidRPr="00394B7E">
        <w:rPr>
          <w:rStyle w:val="aff9"/>
          <w:rFonts w:hint="cs"/>
          <w:vanish/>
          <w:rtl/>
        </w:rPr>
        <w:t>-</w:t>
      </w:r>
      <w:r w:rsidRPr="00394B7E">
        <w:rPr>
          <w:rStyle w:val="aff9"/>
          <w:rFonts w:hint="cs"/>
          <w:rtl/>
        </w:rPr>
        <w:t>ב</w:t>
      </w:r>
      <w:r w:rsidRPr="00394B7E">
        <w:rPr>
          <w:rStyle w:val="aff9"/>
          <w:rFonts w:hint="cs"/>
          <w:vanish/>
          <w:rtl/>
        </w:rPr>
        <w:t>&lt; &gt;</w:t>
      </w:r>
      <w:r w:rsidRPr="00394B7E">
        <w:rPr>
          <w:rStyle w:val="aff9"/>
          <w:rFonts w:hint="cs"/>
          <w:rtl/>
        </w:rPr>
        <w:t>חי' רבי ראובן בגיטין</w:t>
      </w:r>
      <w:r w:rsidRPr="00394B7E">
        <w:rPr>
          <w:rStyle w:val="aff9"/>
          <w:rFonts w:hint="cs"/>
          <w:vanish/>
          <w:rtl/>
        </w:rPr>
        <w:t>-</w:t>
      </w:r>
      <w:r w:rsidRPr="007A72D8">
        <w:rPr>
          <w:rStyle w:val="af"/>
          <w:rFonts w:hint="cs"/>
          <w:rtl/>
        </w:rPr>
        <w:t xml:space="preserve"> </w:t>
      </w:r>
      <w:r w:rsidRPr="00394B7E">
        <w:rPr>
          <w:rStyle w:val="aff0"/>
          <w:rFonts w:hint="cs"/>
          <w:rtl/>
        </w:rPr>
        <w:t>(סי' ט' ד"ה ולכאורה)</w:t>
      </w:r>
      <w:r w:rsidRPr="00394B7E">
        <w:rPr>
          <w:rStyle w:val="af"/>
          <w:rFonts w:hint="cs"/>
          <w:vanish/>
          <w:rtl/>
        </w:rPr>
        <w:t>=</w:t>
      </w:r>
      <w:r w:rsidRPr="007A72D8">
        <w:rPr>
          <w:rStyle w:val="af"/>
          <w:rFonts w:hint="cs"/>
          <w:rtl/>
        </w:rPr>
        <w:t xml:space="preserve"> דביאר דכוונת </w:t>
      </w:r>
      <w:r w:rsidRPr="00394B7E">
        <w:rPr>
          <w:rStyle w:val="aff9"/>
          <w:rFonts w:hint="cs"/>
          <w:vanish/>
          <w:rtl/>
        </w:rPr>
        <w:t>-</w:t>
      </w:r>
      <w:r w:rsidRPr="00394B7E">
        <w:rPr>
          <w:rStyle w:val="aff9"/>
          <w:rFonts w:hint="cs"/>
          <w:rtl/>
        </w:rPr>
        <w:t>האו"ש</w:t>
      </w:r>
      <w:r w:rsidRPr="00394B7E">
        <w:rPr>
          <w:rStyle w:val="aff9"/>
          <w:rFonts w:hint="cs"/>
          <w:vanish/>
          <w:rtl/>
        </w:rPr>
        <w:t>-</w:t>
      </w:r>
      <w:r w:rsidRPr="007A72D8">
        <w:rPr>
          <w:rStyle w:val="af"/>
          <w:rFonts w:hint="cs"/>
          <w:rtl/>
        </w:rPr>
        <w:t xml:space="preserve"> לומר דמלאכה </w:t>
      </w:r>
      <w:r w:rsidRPr="007A72D8">
        <w:rPr>
          <w:rStyle w:val="af"/>
          <w:rFonts w:hint="cs"/>
          <w:rtl/>
        </w:rPr>
        <w:lastRenderedPageBreak/>
        <w:t>שצריכה שיעור מוכח שצריך חפצא של מלאכה, וכל שחסר בשיעור אי"ז חצי שיעור אלא חסרון בעצם המלאכה]</w:t>
      </w:r>
      <w:r w:rsidRPr="00CD1359">
        <w:rPr>
          <w:rStyle w:val="af"/>
          <w:rFonts w:hint="cs"/>
          <w:rtl/>
        </w:rPr>
        <w:t>.</w:t>
      </w:r>
      <w:bookmarkEnd w:id="1725"/>
    </w:p>
    <w:p w14:paraId="6DC76B2B" w14:textId="77777777" w:rsidR="000426DE" w:rsidRPr="00747170" w:rsidRDefault="000426DE" w:rsidP="00747170">
      <w:pPr>
        <w:pStyle w:val="a2"/>
      </w:pPr>
      <w:r w:rsidRPr="00747170">
        <w:rPr>
          <w:rtl/>
        </w:rPr>
        <w:t>וכזה אמרתי דהא דקוצר חייב בשבת, אם היה נטיעה נברכת לארץ, והיתה גדילה משני קצותיה, וחתך צד אחד מן הקרקע, לא מחייב משום קוצר, דאף על גב דלכאורה משמע מהא דפירשו תוספות ביצה דף כ"ב (ע"א ד"ה והמסתפק) גבי המסתפק ממנו חייב משום מכבה, דמשום דקליש נהורא תיכף, וא"כ כאן קליש גידולו, דאינו יונק רק מצד אחד הנשאר בארץ, בכ"ז פטור, ודמיא למלאכת הוצאה, דאם איגודו בפנים פטור (שבת צ"א ע"ב), או קרומיות שלה יוצאין למעלה מעשרה טפחים (שם ח' ע"א), דלא נעשה המלאכה בשלימותה, ולא נעקר לגמרי מן הארץ, דהוי עדיין מחובר, ומה דקליש הגידול לא איכפת לן, דהא לא דמי למלאכת מכבה, דתמן המלאכה לא נכנס בסוג השיעור כלל, דמכבה בכל שהוא, לכן מה שנקלש האור הוי זה בסוג מכבה, אבל מלאכת קוצר, דהמלאכה איכא בה שיעור, וכן מלאכת ההוצאה דשייך בה שיעור, דשיעוריהן כגרוגרות וכיו"ב, מידי דחשיב, א"כ איך תוכל לחשוב האיכות למידי דשיעורא מה שיונק מעט מקודם, שהיה נטוע משני צדדיו בארץ, שאין האיכות משלים להשיעור, ואינו נחשב כלל בסוג מידי דבעי שיעור, ויעיין תוס' ס"פ המוציא (שם פ"א ע"ב) ד"ה והניחו ע"ג יתדות ומוכח כמ"ש ודוק</w:t>
      </w:r>
      <w:r w:rsidRPr="00747170">
        <w:rPr>
          <w:rFonts w:hint="cs"/>
          <w:rtl/>
        </w:rPr>
        <w:t>.</w:t>
      </w:r>
    </w:p>
    <w:p w14:paraId="16672F8F" w14:textId="77777777" w:rsidR="000426DE" w:rsidRDefault="000426DE" w:rsidP="000426DE">
      <w:pPr>
        <w:pStyle w:val="afffff7"/>
        <w:rPr>
          <w:rtl/>
        </w:rPr>
      </w:pPr>
      <w:bookmarkStart w:id="1727" w:name="_Toc135513754"/>
      <w:bookmarkStart w:id="1728" w:name="_Toc163505676"/>
      <w:r>
        <w:rPr>
          <w:rFonts w:hint="cs"/>
          <w:rtl/>
        </w:rPr>
        <w:t>דברי יחזקאל סי' ב' אות ח'</w:t>
      </w:r>
      <w:bookmarkEnd w:id="1727"/>
      <w:bookmarkEnd w:id="1728"/>
    </w:p>
    <w:p w14:paraId="0F9850C0" w14:textId="77777777" w:rsidR="000426DE" w:rsidRDefault="000426DE" w:rsidP="000426DE">
      <w:pPr>
        <w:pStyle w:val="a7"/>
        <w:rPr>
          <w:rtl/>
        </w:rPr>
      </w:pPr>
      <w:bookmarkStart w:id="1729" w:name="_Toc139316441"/>
      <w:r>
        <w:rPr>
          <w:rFonts w:hint="cs"/>
          <w:rtl/>
        </w:rPr>
        <w:t>בי' הדבר"י דאף מלאכה שאין לה שיעור צריך חשיבות מלאכה ומיעוט יניקה חייב כמו במכבה</w:t>
      </w:r>
      <w:bookmarkEnd w:id="1729"/>
    </w:p>
    <w:p w14:paraId="615E9A62" w14:textId="1A74FA14" w:rsidR="000426DE" w:rsidRPr="00D53055" w:rsidRDefault="000426DE" w:rsidP="00BC7DC8">
      <w:pPr>
        <w:pStyle w:val="a3"/>
      </w:pPr>
      <w:bookmarkStart w:id="1730" w:name="_Ref134979559"/>
      <w:r>
        <w:rPr>
          <w:rFonts w:hint="cs"/>
          <w:rtl/>
        </w:rPr>
        <w:t xml:space="preserve">אבל </w:t>
      </w:r>
      <w:r w:rsidRPr="00BC5B58">
        <w:rPr>
          <w:rStyle w:val="aff4"/>
          <w:rFonts w:hint="cs"/>
          <w:vanish/>
          <w:rtl/>
        </w:rPr>
        <w:t>-</w:t>
      </w:r>
      <w:r w:rsidRPr="009C1791">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Ref134979559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צד)</w:t>
      </w:r>
      <w:r w:rsidRPr="00B53404">
        <w:rPr>
          <w:rStyle w:val="aff4"/>
          <w:vanish/>
          <w:rtl/>
        </w:rPr>
        <w:fldChar w:fldCharType="end"/>
      </w:r>
      <w:r w:rsidRPr="00B53404">
        <w:rPr>
          <w:rStyle w:val="aff4"/>
          <w:rFonts w:hint="cs"/>
          <w:vanish/>
          <w:rtl/>
        </w:rPr>
        <w:t xml:space="preserve"> &gt;</w:t>
      </w:r>
      <w:r w:rsidRPr="009C1791">
        <w:rPr>
          <w:rStyle w:val="aff4"/>
          <w:rFonts w:hint="cs"/>
          <w:rtl/>
        </w:rPr>
        <w:t>דברי יחזקאל</w:t>
      </w:r>
      <w:r w:rsidRPr="00BC5B58">
        <w:rPr>
          <w:rStyle w:val="aff4"/>
          <w:rFonts w:hint="cs"/>
          <w:vanish/>
          <w:rtl/>
        </w:rPr>
        <w:t>-</w:t>
      </w:r>
      <w:r>
        <w:rPr>
          <w:rFonts w:hint="cs"/>
          <w:rtl/>
        </w:rPr>
        <w:t xml:space="preserve"> </w:t>
      </w:r>
      <w:r w:rsidRPr="00FB451D">
        <w:rPr>
          <w:rStyle w:val="af2"/>
          <w:rFonts w:eastAsia="Guttman Hodes" w:hint="cs"/>
          <w:rtl/>
        </w:rPr>
        <w:t>(סי' ב' אות ח')</w:t>
      </w:r>
      <w:r w:rsidRPr="00BD4BB4">
        <w:rPr>
          <w:rFonts w:hint="cs"/>
          <w:vanish/>
          <w:rtl/>
        </w:rPr>
        <w:t xml:space="preserve"> </w:t>
      </w:r>
      <w:r w:rsidRPr="00DE1AA0">
        <w:rPr>
          <w:rFonts w:hint="cs"/>
          <w:vanish/>
          <w:rtl/>
        </w:rPr>
        <w:t>=</w:t>
      </w:r>
      <w:r>
        <w:rPr>
          <w:rFonts w:hint="cs"/>
          <w:rtl/>
        </w:rPr>
        <w:t xml:space="preserve"> דחה את ביאור </w:t>
      </w:r>
      <w:r w:rsidRPr="00BC5B58">
        <w:rPr>
          <w:rStyle w:val="aff4"/>
          <w:rFonts w:hint="cs"/>
          <w:vanish/>
          <w:rtl/>
        </w:rPr>
        <w:t>-</w:t>
      </w:r>
      <w:r w:rsidRPr="009C1791">
        <w:rPr>
          <w:rStyle w:val="aff4"/>
          <w:rFonts w:hint="cs"/>
          <w:rtl/>
        </w:rPr>
        <w:t>האו"ש</w:t>
      </w:r>
      <w:r w:rsidRPr="00BC5B58">
        <w:rPr>
          <w:rStyle w:val="aff4"/>
          <w:rFonts w:hint="cs"/>
          <w:vanish/>
          <w:rtl/>
        </w:rPr>
        <w:t>-</w:t>
      </w:r>
      <w:r>
        <w:rPr>
          <w:rFonts w:hint="cs"/>
          <w:rtl/>
        </w:rPr>
        <w:t xml:space="preserve"> </w:t>
      </w:r>
      <w:r w:rsidRPr="00FB451D">
        <w:rPr>
          <w:rStyle w:val="af2"/>
          <w:rFonts w:eastAsia="Guttman Hodes" w:hint="cs"/>
          <w:rtl/>
        </w:rPr>
        <w:t xml:space="preserve">(עי' אות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Ref134979566 \r \h</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צג)</w:t>
      </w:r>
      <w:r w:rsidRPr="00FB451D">
        <w:rPr>
          <w:rStyle w:val="af2"/>
          <w:rFonts w:eastAsia="Guttman Hodes"/>
          <w:rtl/>
        </w:rPr>
        <w:fldChar w:fldCharType="end"/>
      </w:r>
      <w:r>
        <w:rPr>
          <w:rFonts w:hint="cs"/>
          <w:rtl/>
        </w:rPr>
        <w:t xml:space="preserve"> וכתב דאף מלאכה שאין לה שיעור, החיוב בה בכל שהוא, צריך שתהיה לה חשיבות של מלאכה, והיא חשובה אף בכל שהוא, ואף בקוצר שייך חיוב בלא שיעור כקוצר ליפות את הקרקע, וא"כ א"א לומר דלענין מכבה חייב במקליש את האור כיון שא"צ שיעור, אבל במיעוט יניקה אין בו שיעור חיוב בקוצר, דאף בקוצר צריך מלאכה חשובה.</w:t>
      </w:r>
      <w:bookmarkEnd w:id="1730"/>
      <w:r>
        <w:rPr>
          <w:rFonts w:hint="cs"/>
          <w:rtl/>
        </w:rPr>
        <w:t xml:space="preserve"> </w:t>
      </w:r>
    </w:p>
    <w:p w14:paraId="05558A21" w14:textId="77777777" w:rsidR="000426DE" w:rsidRPr="00747170" w:rsidRDefault="000426DE" w:rsidP="00747170">
      <w:pPr>
        <w:pStyle w:val="a2"/>
        <w:rPr>
          <w:rtl/>
        </w:rPr>
      </w:pPr>
      <w:r w:rsidRPr="00747170">
        <w:rPr>
          <w:rtl/>
        </w:rPr>
        <w:t>[ח] וראיתי באור שמח (פי"ד מהלכות מאכלות אסורות) שכתב בטעמא דס"ל לרש"י ותוס' דאינו חייב אלא משום תולש דרבנן אף דממעט יניקה דלכאורה דמי למ"ש התוס' בביצה (דף כ"ב ע"א) ד"ה והמסתפק וכו' דמשו"ה חייב משום מכבה משום דקליש נהורא תיכף דאל"ה לא הוי אלא גרם כיבוי יעו"ש וא"כ ה"נ קליש גידולו, וכתב לחלק דדוקא בהנך מלאכות דלא בעי שיעורא כמו מכבה דחייב בכ"ש, לכן מה שנקלש האור הוי זה בסוג מכבה, אבל מלאכת קוצר דאית בה שיעורא א"כ מה דקליש גידולו באיכות לבד אין כאן שיעור מלאכה יעו"ש. ודוגמא לזה כתב עוד (בהלכות שבת פי"ח) ליישב קושית המנחת חינוך (מצוה ל"ב) לדעת הר"ן בפ"ב דביצה דריבוי בשיעורין הוא איסור תורה, ואם אמדוהו לחולה לשני גרוגרות ויש שנים בעוקץ אחד ושלשה בעוקץ אחד, וקצץ השלשה חייב מדאורייתא, וכתב לחלק בין יום טוב דממלאה אשה קדרה בשר אף על פי שאינה צריכה אלא לכזית דהתם כיון דהעיקר מותר מדין אוכל נפש גם התוספת כמוהו, אבל לענין פיקוח נפש דלא הותרה רק דחויה משו"ה מרבה בשיעור איכא איסור תורה ע"ש. והקשה המנ"ח מהש"ס דחולין (דף ט"ו ע"ב) דאמרינן התם השוחט לחולה בשבת מותר לבריא באומצא המבשל בשבת לחולה אסור לבריא מ"ט גזירה שמא ירבה בשבילו, אבל שחיטה א"א לכזית בשר בלא שחיטה, ואם איתא הא בשוחט נמי יש לגזור דלמא ישחוט יותר ממה שצריך כגון שהחולה צריך לעוף קטן והוא ישחוט עוף גדול דהו"ל מרבה בשיעורא דאסור מה"ת יעו"ש. וכתב באור שמח דבמלאכת קצירה דאיכא שיעורא כגרוגרת משו"ה כל דאיכא שיעורא במלאכתו מלבד מה שהותר לו בשביל פיק"נ מיקרי מלאכה גמורה, דזהו עיקר המלאכה מה שנקצר כשיעור זה, משא"כ בשחיטה וכיו"ב דלא בעי שיעורא ומחייב בכ"ש באיזה נטילת נשמה שיהיה א"כ אין המלאכה מתחשבת לפי ריבוי שיעורה דמ"מ עיקר המלאכה דהיינו נטילת נשמה חדא היא יעו"ש. ונראה דבאמת אין חילוק בין אלו המלאכות דבעי שיעורא ובין אלו דלא בעי שיעורא, אלא דכל שיעור המלאכות הוא מצד חשיבות שלהן, ומשו"ה בהנך מלאכות דכ"ש שלהן חשוב מיקרי מלאכה בכ"ש והנך דלא חשיבי בעי שיעור חשוב כאו"א לפי חשיבותו, ומשכחת גם בקוצר דלא בעי שיעורא כגון הקוצר ליפות הקרקע דחייב בכ"ש גם על הקצירה, כיון דבכה"ג הך כ"ש מיקרי דבר חשוב, דמתיפה הקרקע עי"ז וכן כל כיו"ב, וכל זה נתבאר במנ"ח שם במלאכת קצירה יעו"ש, ולפ"ז שוב ליכא חילוק בין הך מלאכה דמחייב בכ"ש ובין הך דבעי שיעורא, כיון דאין השיעור דין בעצמיות המלאכה אלא כדי שתהיה מלאכה חשובה, ועיין בשבת (דף ע"ד ע"א) וכי מותר לאפות מכשיעור וכו' ובפירש"י שם.</w:t>
      </w:r>
    </w:p>
    <w:p w14:paraId="3DA0D660" w14:textId="77777777" w:rsidR="000426DE" w:rsidRPr="00D578AC" w:rsidRDefault="000426DE" w:rsidP="000426DE">
      <w:pPr>
        <w:pStyle w:val="afffffb"/>
        <w:rPr>
          <w:vanish/>
          <w:rtl/>
        </w:rPr>
      </w:pPr>
      <w:r w:rsidRPr="00D578AC">
        <w:rPr>
          <w:vanish/>
          <w:rtl/>
        </w:rPr>
        <w:t>זכר יצחק ח</w:t>
      </w:r>
      <w:r w:rsidRPr="00D578AC">
        <w:rPr>
          <w:rFonts w:hint="cs"/>
          <w:vanish/>
          <w:rtl/>
        </w:rPr>
        <w:t>"</w:t>
      </w:r>
      <w:r w:rsidRPr="00D578AC">
        <w:rPr>
          <w:vanish/>
          <w:rtl/>
        </w:rPr>
        <w:t>ב סי</w:t>
      </w:r>
      <w:r w:rsidRPr="00D578AC">
        <w:rPr>
          <w:rFonts w:hint="cs"/>
          <w:vanish/>
          <w:rtl/>
        </w:rPr>
        <w:t>'</w:t>
      </w:r>
      <w:r w:rsidRPr="00D578AC">
        <w:rPr>
          <w:vanish/>
          <w:rtl/>
        </w:rPr>
        <w:t xml:space="preserve"> מ</w:t>
      </w:r>
      <w:r w:rsidRPr="00D578AC">
        <w:rPr>
          <w:rFonts w:hint="cs"/>
          <w:vanish/>
          <w:rtl/>
        </w:rPr>
        <w:t>"</w:t>
      </w:r>
      <w:r w:rsidRPr="00D578AC">
        <w:rPr>
          <w:vanish/>
          <w:rtl/>
        </w:rPr>
        <w:t>ה</w:t>
      </w:r>
      <w:r w:rsidRPr="00D578AC">
        <w:rPr>
          <w:rFonts w:hint="cs"/>
          <w:vanish/>
          <w:rtl/>
        </w:rPr>
        <w:t xml:space="preserve"> אות </w:t>
      </w:r>
      <w:r w:rsidRPr="00D578AC">
        <w:rPr>
          <w:vanish/>
          <w:rtl/>
        </w:rPr>
        <w:t>ב</w:t>
      </w:r>
      <w:r w:rsidRPr="00D578AC">
        <w:rPr>
          <w:rFonts w:hint="cs"/>
          <w:vanish/>
          <w:rtl/>
        </w:rPr>
        <w:t>' ד"ה וכן מוכח</w:t>
      </w:r>
    </w:p>
    <w:p w14:paraId="5E4CF82A" w14:textId="77777777" w:rsidR="000426DE" w:rsidRPr="00A13E6F" w:rsidRDefault="000426DE" w:rsidP="000426DE">
      <w:pPr>
        <w:pStyle w:val="a7"/>
        <w:rPr>
          <w:rtl/>
        </w:rPr>
      </w:pPr>
      <w:bookmarkStart w:id="1731" w:name="_Toc139316442"/>
      <w:r>
        <w:rPr>
          <w:rFonts w:hint="cs"/>
          <w:rtl/>
        </w:rPr>
        <w:t>בי' הזכר יצחק ברמב"ם דהנחת עציץ ע"ג יתדות ממעט יניקה  וחייב בתולש אעפ"י דהוא מחובר</w:t>
      </w:r>
      <w:bookmarkEnd w:id="1731"/>
    </w:p>
    <w:p w14:paraId="49D9548D" w14:textId="663BA08A" w:rsidR="000426DE" w:rsidRPr="000C3B8E" w:rsidRDefault="000426DE" w:rsidP="00BC7DC8">
      <w:pPr>
        <w:pStyle w:val="a3"/>
        <w:rPr>
          <w:rStyle w:val="af"/>
          <w:rtl/>
        </w:rPr>
      </w:pPr>
      <w:bookmarkStart w:id="1732" w:name="_Ref135385725"/>
      <w:r>
        <w:rPr>
          <w:rFonts w:hint="cs"/>
          <w:rtl/>
        </w:rPr>
        <w:t xml:space="preserve">הביא </w:t>
      </w:r>
      <w:r w:rsidRPr="009809C1">
        <w:rPr>
          <w:rStyle w:val="aff4"/>
          <w:rFonts w:hint="cs"/>
          <w:vanish/>
          <w:rtl/>
        </w:rPr>
        <w:t>-</w:t>
      </w:r>
      <w:r w:rsidRPr="00C65D8D">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Ref135385725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צה)</w:t>
      </w:r>
      <w:r>
        <w:rPr>
          <w:rStyle w:val="aff4"/>
          <w:vanish/>
          <w:rtl/>
        </w:rPr>
        <w:fldChar w:fldCharType="end"/>
      </w:r>
      <w:r>
        <w:rPr>
          <w:rStyle w:val="aff4"/>
          <w:rFonts w:hint="cs"/>
          <w:vanish/>
          <w:rtl/>
        </w:rPr>
        <w:t xml:space="preserve"> &gt;</w:t>
      </w:r>
      <w:r w:rsidRPr="00C65D8D">
        <w:rPr>
          <w:rStyle w:val="aff4"/>
          <w:rFonts w:hint="cs"/>
          <w:rtl/>
        </w:rPr>
        <w:t>זכר יצחק</w:t>
      </w:r>
      <w:r w:rsidRPr="009809C1">
        <w:rPr>
          <w:rStyle w:val="aff4"/>
          <w:rFonts w:hint="cs"/>
          <w:vanish/>
          <w:rtl/>
        </w:rPr>
        <w:t>-</w:t>
      </w:r>
      <w:r>
        <w:rPr>
          <w:rFonts w:hint="cs"/>
          <w:rtl/>
        </w:rPr>
        <w:t xml:space="preserve"> </w:t>
      </w:r>
      <w:r w:rsidRPr="00FB451D">
        <w:rPr>
          <w:rStyle w:val="af2"/>
          <w:rFonts w:eastAsia="Guttman Hodes" w:hint="cs"/>
          <w:rtl/>
        </w:rPr>
        <w:t>(ח"ב סי' מ"ה אות ב' ד"ה וכן מוכח)</w:t>
      </w:r>
      <w:r w:rsidRPr="009809C1">
        <w:rPr>
          <w:rFonts w:hint="cs"/>
          <w:vanish/>
          <w:rtl/>
        </w:rPr>
        <w:t>=</w:t>
      </w:r>
      <w:r>
        <w:rPr>
          <w:rFonts w:hint="cs"/>
          <w:rtl/>
        </w:rPr>
        <w:t xml:space="preserve"> את דברי </w:t>
      </w:r>
      <w:r w:rsidRPr="009809C1">
        <w:rPr>
          <w:rStyle w:val="aff4"/>
          <w:rFonts w:hint="cs"/>
          <w:vanish/>
          <w:rtl/>
        </w:rPr>
        <w:t>-</w:t>
      </w:r>
      <w:r w:rsidRPr="00C65D8D">
        <w:rPr>
          <w:rStyle w:val="aff4"/>
          <w:rFonts w:hint="cs"/>
          <w:rtl/>
        </w:rPr>
        <w:t>הרמב"ם</w:t>
      </w:r>
      <w:r w:rsidRPr="009809C1">
        <w:rPr>
          <w:rStyle w:val="aff4"/>
          <w:rFonts w:hint="cs"/>
          <w:vanish/>
          <w:rtl/>
        </w:rPr>
        <w:t>-</w:t>
      </w:r>
      <w:r>
        <w:rPr>
          <w:rFonts w:hint="cs"/>
          <w:rtl/>
        </w:rPr>
        <w:t xml:space="preserve"> </w:t>
      </w:r>
      <w:r w:rsidRPr="00FB451D">
        <w:rPr>
          <w:rStyle w:val="af2"/>
          <w:rFonts w:eastAsia="Guttman Hodes" w:hint="cs"/>
          <w:rtl/>
        </w:rPr>
        <w:t xml:space="preserve">(עי' אות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Ref134736415 \r \h</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מ)</w:t>
      </w:r>
      <w:r w:rsidRPr="00FB451D">
        <w:rPr>
          <w:rStyle w:val="af2"/>
          <w:rFonts w:eastAsia="Guttman Hodes"/>
          <w:rtl/>
        </w:rPr>
        <w:fldChar w:fldCharType="end"/>
      </w:r>
      <w:r>
        <w:rPr>
          <w:rFonts w:hint="cs"/>
          <w:rtl/>
        </w:rPr>
        <w:t xml:space="preserve"> דכתב דגבשושית שעלו בה עשבים, והגביה אותה מהקרקע, והניחה ע"ג יתדות, דחייב משום תולש, וכתב </w:t>
      </w:r>
      <w:r w:rsidRPr="009809C1">
        <w:rPr>
          <w:rStyle w:val="aff4"/>
          <w:rFonts w:hint="cs"/>
          <w:vanish/>
          <w:rtl/>
        </w:rPr>
        <w:t>-</w:t>
      </w:r>
      <w:r w:rsidRPr="00C65D8D">
        <w:rPr>
          <w:rStyle w:val="aff4"/>
          <w:rFonts w:hint="cs"/>
          <w:rtl/>
        </w:rPr>
        <w:t>הזכר יצחק</w:t>
      </w:r>
      <w:r w:rsidRPr="009809C1">
        <w:rPr>
          <w:rStyle w:val="aff4"/>
          <w:rFonts w:hint="cs"/>
          <w:vanish/>
          <w:rtl/>
        </w:rPr>
        <w:t>-</w:t>
      </w:r>
      <w:r>
        <w:rPr>
          <w:rFonts w:hint="cs"/>
          <w:rtl/>
        </w:rPr>
        <w:t xml:space="preserve"> דמבואר מדברי </w:t>
      </w:r>
      <w:r w:rsidRPr="009809C1">
        <w:rPr>
          <w:rStyle w:val="aff4"/>
          <w:rFonts w:hint="cs"/>
          <w:vanish/>
          <w:rtl/>
        </w:rPr>
        <w:t>-</w:t>
      </w:r>
      <w:r w:rsidRPr="00C65D8D">
        <w:rPr>
          <w:rStyle w:val="aff4"/>
          <w:rFonts w:hint="cs"/>
          <w:rtl/>
        </w:rPr>
        <w:t>הרמב"ם</w:t>
      </w:r>
      <w:r w:rsidRPr="009809C1">
        <w:rPr>
          <w:rStyle w:val="aff4"/>
          <w:rFonts w:hint="cs"/>
          <w:vanish/>
          <w:rtl/>
        </w:rPr>
        <w:t>-</w:t>
      </w:r>
      <w:r>
        <w:rPr>
          <w:rFonts w:hint="cs"/>
          <w:rtl/>
        </w:rPr>
        <w:t xml:space="preserve"> דאעפ"י דעדיין חשיבא כמחובר ע"ג היתדות, מ"מ ס"ל </w:t>
      </w:r>
      <w:r w:rsidRPr="009809C1">
        <w:rPr>
          <w:rStyle w:val="aff4"/>
          <w:rFonts w:hint="cs"/>
          <w:vanish/>
          <w:rtl/>
        </w:rPr>
        <w:t>-</w:t>
      </w:r>
      <w:r w:rsidRPr="00C65D8D">
        <w:rPr>
          <w:rStyle w:val="aff4"/>
          <w:rFonts w:hint="cs"/>
          <w:rtl/>
        </w:rPr>
        <w:t>להרמב"ם</w:t>
      </w:r>
      <w:r w:rsidRPr="009809C1">
        <w:rPr>
          <w:rStyle w:val="aff4"/>
          <w:rFonts w:hint="cs"/>
          <w:vanish/>
          <w:rtl/>
        </w:rPr>
        <w:t>-</w:t>
      </w:r>
      <w:r>
        <w:rPr>
          <w:rFonts w:hint="cs"/>
          <w:rtl/>
        </w:rPr>
        <w:t xml:space="preserve"> דכיון דהוא ממעט את היניקה במה שמגביה אותה מהקרקע ליתדות, לכן חייב על מיעוט היניקה.</w:t>
      </w:r>
      <w:bookmarkEnd w:id="1732"/>
      <w:r>
        <w:rPr>
          <w:rFonts w:hint="cs"/>
          <w:rtl/>
        </w:rPr>
        <w:t xml:space="preserve"> </w:t>
      </w:r>
    </w:p>
    <w:p w14:paraId="318D7147" w14:textId="77777777" w:rsidR="000426DE" w:rsidRPr="00747170" w:rsidRDefault="000426DE" w:rsidP="00747170">
      <w:pPr>
        <w:pStyle w:val="a2"/>
        <w:rPr>
          <w:rtl/>
        </w:rPr>
      </w:pPr>
      <w:r w:rsidRPr="00747170">
        <w:rPr>
          <w:rtl/>
        </w:rPr>
        <w:t>וכן מוכח מהא דפסק הרמב"ם (בה' שבת פ"ח ה"ד) "גבשושית של עפר שעלו בה עשבים הגביהה מעל הארץ והניחה ע"ג יתדות חייב משום תולש" עכ"ל. אעפ"י שגם ע"ג יתדות הוי מחובר, ובע"כ דס"ל דכל שממעט יניקתו דבודאי יניקתו יותר מעטה כשהיא ע"ג יתדות, ובשביל מיעוט היניקה חייב.</w:t>
      </w:r>
      <w:r w:rsidRPr="00747170">
        <w:rPr>
          <w:rFonts w:hint="cs"/>
          <w:rtl/>
        </w:rPr>
        <w:t xml:space="preserve"> </w:t>
      </w:r>
    </w:p>
    <w:p w14:paraId="1A3F7248" w14:textId="77777777" w:rsidR="000426DE" w:rsidRDefault="000426DE" w:rsidP="000426DE">
      <w:pPr>
        <w:pStyle w:val="a7"/>
        <w:rPr>
          <w:rtl/>
        </w:rPr>
      </w:pPr>
      <w:bookmarkStart w:id="1733" w:name="_Toc139316443"/>
      <w:r>
        <w:rPr>
          <w:rFonts w:hint="cs"/>
          <w:rtl/>
        </w:rPr>
        <w:t>בי' המשכנ"י דמיעוט יניקה אינו מלאכה שלימה במשכן ולכן מניח עציץ ע"ג יתדות פטור</w:t>
      </w:r>
      <w:bookmarkEnd w:id="1733"/>
    </w:p>
    <w:p w14:paraId="0F10048F" w14:textId="66E5A62A" w:rsidR="000426DE" w:rsidRDefault="000426DE" w:rsidP="00BC7DC8">
      <w:pPr>
        <w:pStyle w:val="a3"/>
      </w:pPr>
      <w:bookmarkStart w:id="1734" w:name="_Hlk135165330"/>
      <w:bookmarkStart w:id="1735" w:name="_Ref135384272"/>
      <w:r>
        <w:rPr>
          <w:rFonts w:hint="cs"/>
          <w:rtl/>
        </w:rPr>
        <w:t xml:space="preserve">במ"ש </w:t>
      </w:r>
      <w:r w:rsidRPr="008A126C">
        <w:rPr>
          <w:rStyle w:val="aff4"/>
          <w:rFonts w:hint="cs"/>
          <w:vanish/>
          <w:rtl/>
        </w:rPr>
        <w:t>-</w:t>
      </w:r>
      <w:r w:rsidRPr="009B386D">
        <w:rPr>
          <w:rStyle w:val="aff4"/>
          <w:rFonts w:hint="cs"/>
          <w:rtl/>
        </w:rPr>
        <w:t>רש"י לקמן</w:t>
      </w:r>
      <w:r w:rsidRPr="008A126C">
        <w:rPr>
          <w:rStyle w:val="aff4"/>
          <w:rFonts w:hint="cs"/>
          <w:vanish/>
          <w:rtl/>
        </w:rPr>
        <w:t>-</w:t>
      </w:r>
      <w:r>
        <w:rPr>
          <w:rFonts w:hint="cs"/>
          <w:rtl/>
        </w:rPr>
        <w:t xml:space="preserve"> </w:t>
      </w:r>
      <w:r w:rsidRPr="00FB451D">
        <w:rPr>
          <w:rStyle w:val="af2"/>
          <w:rFonts w:eastAsia="Guttman Hodes" w:hint="cs"/>
          <w:rtl/>
        </w:rPr>
        <w:t xml:space="preserve">(עי' אות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Ref134956345 \r \h</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לו)</w:t>
      </w:r>
      <w:r w:rsidRPr="00FB451D">
        <w:rPr>
          <w:rStyle w:val="af2"/>
          <w:rFonts w:eastAsia="Guttman Hodes"/>
          <w:rtl/>
        </w:rPr>
        <w:fldChar w:fldCharType="end"/>
      </w:r>
      <w:r>
        <w:rPr>
          <w:rFonts w:hint="cs"/>
          <w:rtl/>
        </w:rPr>
        <w:t xml:space="preserve"> </w:t>
      </w:r>
      <w:r w:rsidRPr="008A126C">
        <w:rPr>
          <w:rStyle w:val="aff4"/>
          <w:rFonts w:hint="cs"/>
          <w:vanish/>
          <w:rtl/>
        </w:rPr>
        <w:t>-</w:t>
      </w:r>
      <w:r w:rsidRPr="009B386D">
        <w:rPr>
          <w:rStyle w:val="aff4"/>
          <w:rFonts w:hint="cs"/>
          <w:rtl/>
        </w:rPr>
        <w:t>ותוס' לקמן</w:t>
      </w:r>
      <w:r w:rsidRPr="008A126C">
        <w:rPr>
          <w:rStyle w:val="aff4"/>
          <w:rFonts w:hint="cs"/>
          <w:vanish/>
          <w:rtl/>
        </w:rPr>
        <w:t>-</w:t>
      </w:r>
      <w:r>
        <w:rPr>
          <w:rFonts w:hint="cs"/>
          <w:rtl/>
        </w:rPr>
        <w:t xml:space="preserve"> </w:t>
      </w:r>
      <w:r w:rsidRPr="00FB451D">
        <w:rPr>
          <w:rStyle w:val="af2"/>
          <w:rFonts w:eastAsia="Guttman Hodes" w:hint="cs"/>
          <w:rtl/>
        </w:rPr>
        <w:t xml:space="preserve">(עי' אות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Ref134954812 \r \h</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לז)</w:t>
      </w:r>
      <w:r w:rsidRPr="00FB451D">
        <w:rPr>
          <w:rStyle w:val="af2"/>
          <w:rFonts w:eastAsia="Guttman Hodes"/>
          <w:rtl/>
        </w:rPr>
        <w:fldChar w:fldCharType="end"/>
      </w:r>
      <w:r>
        <w:rPr>
          <w:rFonts w:hint="cs"/>
          <w:rtl/>
        </w:rPr>
        <w:t xml:space="preserve"> דהגבהת פרפיסא ע"ג יתדות הוא תולש מדרבנן, כדמוכח מהא דמותר לקנח בצרור, ובמה שהקשו </w:t>
      </w:r>
      <w:r w:rsidRPr="00065BDB">
        <w:rPr>
          <w:rStyle w:val="aff4"/>
          <w:rFonts w:hint="cs"/>
          <w:vanish/>
          <w:rtl/>
        </w:rPr>
        <w:t>-</w:t>
      </w:r>
      <w:r w:rsidRPr="00610487">
        <w:rPr>
          <w:rStyle w:val="aff4"/>
          <w:rFonts w:hint="cs"/>
          <w:rtl/>
        </w:rPr>
        <w:t>התוס'</w:t>
      </w:r>
      <w:r w:rsidRPr="00065BDB">
        <w:rPr>
          <w:rStyle w:val="aff4"/>
          <w:rFonts w:hint="cs"/>
          <w:vanish/>
          <w:rtl/>
        </w:rPr>
        <w:t>-</w:t>
      </w:r>
      <w:r>
        <w:rPr>
          <w:rFonts w:hint="cs"/>
          <w:rtl/>
        </w:rPr>
        <w:t xml:space="preserve"> דבגמ' בגיטין מוכח דעציץ שאינו נקוב באויר אינו כמחובר, ותירצו דהגמ' בסוגיין פליגא על הגמ' בגיטין, כתב </w:t>
      </w:r>
      <w:bookmarkEnd w:id="1734"/>
      <w:r w:rsidRPr="008A126C">
        <w:rPr>
          <w:rStyle w:val="aff4"/>
          <w:rFonts w:hint="cs"/>
          <w:vanish/>
          <w:rtl/>
        </w:rPr>
        <w:t>-</w:t>
      </w:r>
      <w:r w:rsidRPr="00DB6BF0">
        <w:rPr>
          <w:rStyle w:val="aff4"/>
          <w:rFonts w:hint="cs"/>
          <w:rtl/>
        </w:rPr>
        <w:t>ה</w:t>
      </w:r>
      <w:r w:rsidRPr="00B53404">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Ref135384272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צו)</w:t>
      </w:r>
      <w:r>
        <w:rPr>
          <w:rStyle w:val="aff4"/>
          <w:vanish/>
          <w:rtl/>
        </w:rPr>
        <w:fldChar w:fldCharType="end"/>
      </w:r>
      <w:r w:rsidRPr="00B53404">
        <w:rPr>
          <w:rStyle w:val="aff4"/>
          <w:rFonts w:hint="cs"/>
          <w:vanish/>
          <w:rtl/>
        </w:rPr>
        <w:t xml:space="preserve"> &gt;</w:t>
      </w:r>
      <w:r w:rsidRPr="00DB6BF0">
        <w:rPr>
          <w:rStyle w:val="aff4"/>
          <w:rFonts w:hint="cs"/>
          <w:rtl/>
        </w:rPr>
        <w:t>משכנות יעקב</w:t>
      </w:r>
      <w:r w:rsidRPr="008A126C">
        <w:rPr>
          <w:rStyle w:val="aff4"/>
          <w:rFonts w:hint="cs"/>
          <w:vanish/>
          <w:rtl/>
        </w:rPr>
        <w:t>-</w:t>
      </w:r>
      <w:r>
        <w:rPr>
          <w:rFonts w:hint="cs"/>
          <w:rtl/>
        </w:rPr>
        <w:t xml:space="preserve"> </w:t>
      </w:r>
      <w:r w:rsidRPr="00FB451D">
        <w:rPr>
          <w:rStyle w:val="af2"/>
          <w:rFonts w:eastAsia="Guttman Hodes" w:hint="cs"/>
          <w:rtl/>
        </w:rPr>
        <w:t>(או"ח סי' קי"ג)</w:t>
      </w:r>
      <w:r w:rsidRPr="008A126C">
        <w:rPr>
          <w:rFonts w:hint="cs"/>
          <w:vanish/>
          <w:rtl/>
        </w:rPr>
        <w:t>=</w:t>
      </w:r>
      <w:r>
        <w:rPr>
          <w:rFonts w:hint="cs"/>
          <w:rtl/>
        </w:rPr>
        <w:t xml:space="preserve"> דאפש"ל דבאמת העציץ אינו מחובר, אך מ"מ לענין שבת, המגביה עציץ נקוב מע"ג קרקע והניחו ע"ג יתדות, אינו חייב מדין תולש אעפ"י דמיעט את יניקתו, כיון דהוא כלל גדול בהל' שבת, דהחיוב במלאכות הוא במלאכה כמו שהייתה במשכן, וכיון דבמלאכת קוצר במשכן הפסיק את הח</w:t>
      </w:r>
      <w:r w:rsidRPr="0056737C">
        <w:rPr>
          <w:rFonts w:hint="cs"/>
          <w:rtl/>
        </w:rPr>
        <w:t xml:space="preserve">יות והיניקה לגמרי, לכן אין חיוב במיעוט יניקה, והוסיף </w:t>
      </w:r>
      <w:r w:rsidRPr="00065BDB">
        <w:rPr>
          <w:rStyle w:val="aff4"/>
          <w:rFonts w:hint="cs"/>
          <w:vanish/>
          <w:rtl/>
        </w:rPr>
        <w:t>-</w:t>
      </w:r>
      <w:r w:rsidRPr="00610487">
        <w:rPr>
          <w:rStyle w:val="aff4"/>
          <w:rFonts w:hint="cs"/>
          <w:rtl/>
        </w:rPr>
        <w:t>המשכנות יעקב</w:t>
      </w:r>
      <w:r w:rsidRPr="00065BDB">
        <w:rPr>
          <w:rStyle w:val="aff4"/>
          <w:rFonts w:hint="cs"/>
          <w:vanish/>
          <w:rtl/>
        </w:rPr>
        <w:t>-</w:t>
      </w:r>
      <w:r w:rsidRPr="0056737C">
        <w:rPr>
          <w:rFonts w:hint="cs"/>
          <w:rtl/>
        </w:rPr>
        <w:t xml:space="preserve"> דה"ה בשולה דג מן הים דחייב רק ביבש כסלע שאינו יכול לחיות כלל</w:t>
      </w:r>
      <w:r>
        <w:rPr>
          <w:rFonts w:hint="cs"/>
          <w:rtl/>
        </w:rPr>
        <w:t xml:space="preserve"> וכ"ש בעציץ נקוב שהניחו ע"ג יתדות דהוא ממשיך לגדול, וכתב </w:t>
      </w:r>
      <w:r w:rsidRPr="00065BDB">
        <w:rPr>
          <w:rStyle w:val="aff4"/>
          <w:rFonts w:hint="cs"/>
          <w:vanish/>
          <w:rtl/>
        </w:rPr>
        <w:t>-</w:t>
      </w:r>
      <w:r w:rsidRPr="00610487">
        <w:rPr>
          <w:rStyle w:val="aff4"/>
          <w:rFonts w:hint="cs"/>
          <w:rtl/>
        </w:rPr>
        <w:t>המשכנות יעקב</w:t>
      </w:r>
      <w:r w:rsidRPr="00065BDB">
        <w:rPr>
          <w:rStyle w:val="aff4"/>
          <w:rFonts w:hint="cs"/>
          <w:vanish/>
          <w:rtl/>
        </w:rPr>
        <w:t>-</w:t>
      </w:r>
      <w:r>
        <w:rPr>
          <w:rFonts w:hint="cs"/>
          <w:rtl/>
        </w:rPr>
        <w:t xml:space="preserve"> דא"כ אפש"ל דהגמ' בסוגיין לא פליגא על הגמ' בגיטין, ולדינא קיי"ל כגמ' בסוגיין דאין בזה איסור תולש דאו' ומותר מפני כבוד הבריות</w:t>
      </w:r>
      <w:r w:rsidRPr="00065BDB">
        <w:rPr>
          <w:rStyle w:val="aff4"/>
          <w:rFonts w:hint="cs"/>
          <w:vanish/>
          <w:rtl/>
        </w:rPr>
        <w:t xml:space="preserve"> -</w:t>
      </w:r>
      <w:r>
        <w:rPr>
          <w:rFonts w:hint="cs"/>
          <w:rtl/>
        </w:rPr>
        <w:t>.</w:t>
      </w:r>
      <w:bookmarkEnd w:id="1735"/>
    </w:p>
    <w:p w14:paraId="748B919A" w14:textId="77777777" w:rsidR="000426DE" w:rsidRPr="00747170" w:rsidRDefault="000426DE" w:rsidP="00747170">
      <w:pPr>
        <w:pStyle w:val="a2"/>
        <w:rPr>
          <w:rtl/>
        </w:rPr>
      </w:pPr>
    </w:p>
    <w:p w14:paraId="295DAEDE" w14:textId="77777777" w:rsidR="000426DE" w:rsidRPr="00D578AC" w:rsidRDefault="000426DE" w:rsidP="00747170">
      <w:pPr>
        <w:pStyle w:val="afffff5"/>
        <w:rPr>
          <w:rtl/>
        </w:rPr>
      </w:pPr>
      <w:r w:rsidRPr="00D578AC">
        <w:rPr>
          <w:noProof/>
          <w:rtl/>
        </w:rPr>
        <w:drawing>
          <wp:inline distT="0" distB="0" distL="0" distR="0" wp14:anchorId="2919BA10" wp14:editId="5B03B986">
            <wp:extent cx="3142615" cy="2992582"/>
            <wp:effectExtent l="0" t="0" r="635" b="0"/>
            <wp:docPr id="199" name="תמונה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0"/>
                    <a:srcRect b="5138"/>
                    <a:stretch/>
                  </pic:blipFill>
                  <pic:spPr bwMode="auto">
                    <a:xfrm>
                      <a:off x="0" y="0"/>
                      <a:ext cx="3142615" cy="2992582"/>
                    </a:xfrm>
                    <a:prstGeom prst="rect">
                      <a:avLst/>
                    </a:prstGeom>
                    <a:ln>
                      <a:noFill/>
                    </a:ln>
                    <a:extLst>
                      <a:ext uri="{53640926-AAD7-44D8-BBD7-CCE9431645EC}">
                        <a14:shadowObscured xmlns:a14="http://schemas.microsoft.com/office/drawing/2010/main"/>
                      </a:ext>
                    </a:extLst>
                  </pic:spPr>
                </pic:pic>
              </a:graphicData>
            </a:graphic>
          </wp:inline>
        </w:drawing>
      </w:r>
    </w:p>
    <w:p w14:paraId="0A0A401C" w14:textId="77777777" w:rsidR="000426DE" w:rsidRPr="00D578AC" w:rsidRDefault="000426DE" w:rsidP="00747170">
      <w:pPr>
        <w:pStyle w:val="afffff5"/>
        <w:rPr>
          <w:rtl/>
        </w:rPr>
      </w:pPr>
      <w:r w:rsidRPr="00D578AC">
        <w:rPr>
          <w:noProof/>
          <w:rtl/>
        </w:rPr>
        <w:drawing>
          <wp:inline distT="0" distB="0" distL="0" distR="0" wp14:anchorId="38F12EFC" wp14:editId="17A44334">
            <wp:extent cx="3142615" cy="1704109"/>
            <wp:effectExtent l="0" t="0" r="635" b="0"/>
            <wp:docPr id="200" name="תמונה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1"/>
                    <a:srcRect b="7778"/>
                    <a:stretch/>
                  </pic:blipFill>
                  <pic:spPr bwMode="auto">
                    <a:xfrm>
                      <a:off x="0" y="0"/>
                      <a:ext cx="3142615" cy="1704109"/>
                    </a:xfrm>
                    <a:prstGeom prst="rect">
                      <a:avLst/>
                    </a:prstGeom>
                    <a:ln>
                      <a:noFill/>
                    </a:ln>
                    <a:extLst>
                      <a:ext uri="{53640926-AAD7-44D8-BBD7-CCE9431645EC}">
                        <a14:shadowObscured xmlns:a14="http://schemas.microsoft.com/office/drawing/2010/main"/>
                      </a:ext>
                    </a:extLst>
                  </pic:spPr>
                </pic:pic>
              </a:graphicData>
            </a:graphic>
          </wp:inline>
        </w:drawing>
      </w:r>
    </w:p>
    <w:p w14:paraId="464A3442" w14:textId="77777777" w:rsidR="000426DE" w:rsidRDefault="000426DE" w:rsidP="000426DE">
      <w:pPr>
        <w:pStyle w:val="afffff7"/>
        <w:rPr>
          <w:rtl/>
        </w:rPr>
      </w:pPr>
      <w:bookmarkStart w:id="1736" w:name="_Toc135513755"/>
      <w:bookmarkStart w:id="1737" w:name="_Toc163505677"/>
      <w:r>
        <w:rPr>
          <w:rtl/>
        </w:rPr>
        <w:t>דבר אברהם ח</w:t>
      </w:r>
      <w:r>
        <w:rPr>
          <w:rFonts w:hint="cs"/>
          <w:rtl/>
        </w:rPr>
        <w:t>"</w:t>
      </w:r>
      <w:r>
        <w:rPr>
          <w:rtl/>
        </w:rPr>
        <w:t>א סי</w:t>
      </w:r>
      <w:r>
        <w:rPr>
          <w:rFonts w:hint="cs"/>
          <w:rtl/>
        </w:rPr>
        <w:t>'</w:t>
      </w:r>
      <w:r>
        <w:rPr>
          <w:rtl/>
        </w:rPr>
        <w:t xml:space="preserve"> כ</w:t>
      </w:r>
      <w:r>
        <w:rPr>
          <w:rFonts w:hint="cs"/>
          <w:rtl/>
        </w:rPr>
        <w:t>"</w:t>
      </w:r>
      <w:r>
        <w:rPr>
          <w:rtl/>
        </w:rPr>
        <w:t>ה</w:t>
      </w:r>
      <w:r>
        <w:rPr>
          <w:rFonts w:hint="cs"/>
          <w:rtl/>
        </w:rPr>
        <w:t xml:space="preserve"> אות י'</w:t>
      </w:r>
      <w:bookmarkEnd w:id="1736"/>
      <w:bookmarkEnd w:id="1737"/>
    </w:p>
    <w:p w14:paraId="27C3A9C3" w14:textId="77777777" w:rsidR="000426DE" w:rsidRPr="00F731E1" w:rsidRDefault="000426DE" w:rsidP="000426DE">
      <w:pPr>
        <w:pStyle w:val="a7"/>
        <w:rPr>
          <w:rtl/>
        </w:rPr>
      </w:pPr>
      <w:bookmarkStart w:id="1738" w:name="_Toc139316444"/>
      <w:r>
        <w:rPr>
          <w:rFonts w:hint="cs"/>
          <w:rtl/>
        </w:rPr>
        <w:t>בי' הדב"א דאף דמרש"י אין ראיה בדין מיעוט יניקה במאירי מוכח דמיעוט יניקה אינו כלום</w:t>
      </w:r>
      <w:bookmarkEnd w:id="1738"/>
    </w:p>
    <w:p w14:paraId="185452E4" w14:textId="459BA0A5" w:rsidR="000426DE" w:rsidRPr="003B1F13" w:rsidRDefault="000426DE" w:rsidP="00BC7DC8">
      <w:pPr>
        <w:pStyle w:val="a3"/>
      </w:pPr>
      <w:bookmarkStart w:id="1739" w:name="_Ref135384824"/>
      <w:r>
        <w:rPr>
          <w:rFonts w:hint="cs"/>
          <w:rtl/>
        </w:rPr>
        <w:t xml:space="preserve">וכתב </w:t>
      </w:r>
      <w:r w:rsidRPr="00DE1AA0">
        <w:rPr>
          <w:rStyle w:val="aff4"/>
          <w:rFonts w:hint="cs"/>
          <w:vanish/>
          <w:rtl/>
        </w:rPr>
        <w:t>-</w:t>
      </w:r>
      <w:r w:rsidRPr="00DB6BF0">
        <w:rPr>
          <w:rStyle w:val="aff4"/>
          <w:rFonts w:hint="cs"/>
          <w:rtl/>
        </w:rPr>
        <w:t>ה</w:t>
      </w:r>
      <w:r w:rsidRPr="00847437">
        <w:rPr>
          <w:rStyle w:val="aff4"/>
          <w:rFonts w:hint="cs"/>
          <w:vanish/>
          <w:rtl/>
        </w:rPr>
        <w:t xml:space="preserve">&lt;. </w:t>
      </w:r>
      <w:r w:rsidRPr="00847437">
        <w:rPr>
          <w:rStyle w:val="aff4"/>
          <w:vanish/>
          <w:rtl/>
        </w:rPr>
        <w:fldChar w:fldCharType="begin"/>
      </w:r>
      <w:r w:rsidRPr="00847437">
        <w:rPr>
          <w:rStyle w:val="aff4"/>
          <w:vanish/>
          <w:rtl/>
        </w:rPr>
        <w:instrText xml:space="preserve"> </w:instrText>
      </w:r>
      <w:r w:rsidRPr="00847437">
        <w:rPr>
          <w:rStyle w:val="aff4"/>
          <w:rFonts w:hint="cs"/>
          <w:vanish/>
        </w:rPr>
        <w:instrText>REF</w:instrText>
      </w:r>
      <w:r w:rsidRPr="00847437">
        <w:rPr>
          <w:rStyle w:val="aff4"/>
          <w:rFonts w:hint="cs"/>
          <w:vanish/>
          <w:rtl/>
        </w:rPr>
        <w:instrText xml:space="preserve"> _</w:instrText>
      </w:r>
      <w:r w:rsidRPr="00847437">
        <w:rPr>
          <w:rStyle w:val="aff4"/>
          <w:rFonts w:hint="cs"/>
          <w:vanish/>
        </w:rPr>
        <w:instrText>Ref135384824 \r \h</w:instrText>
      </w:r>
      <w:r w:rsidRPr="00847437">
        <w:rPr>
          <w:rStyle w:val="aff4"/>
          <w:vanish/>
          <w:rtl/>
        </w:rPr>
        <w:instrText xml:space="preserve"> </w:instrText>
      </w:r>
      <w:r>
        <w:rPr>
          <w:rStyle w:val="aff4"/>
          <w:vanish/>
          <w:rtl/>
        </w:rPr>
        <w:instrText xml:space="preserve"> \* </w:instrText>
      </w:r>
      <w:r>
        <w:rPr>
          <w:rStyle w:val="aff4"/>
          <w:vanish/>
        </w:rPr>
        <w:instrText>MERGEFORMAT</w:instrText>
      </w:r>
      <w:r>
        <w:rPr>
          <w:rStyle w:val="aff4"/>
          <w:vanish/>
          <w:rtl/>
        </w:rPr>
        <w:instrText xml:space="preserve"> </w:instrText>
      </w:r>
      <w:r w:rsidRPr="00847437">
        <w:rPr>
          <w:rStyle w:val="aff4"/>
          <w:vanish/>
          <w:rtl/>
        </w:rPr>
      </w:r>
      <w:r w:rsidRPr="00847437">
        <w:rPr>
          <w:rStyle w:val="aff4"/>
          <w:vanish/>
          <w:rtl/>
        </w:rPr>
        <w:fldChar w:fldCharType="separate"/>
      </w:r>
      <w:r w:rsidR="00D82181">
        <w:rPr>
          <w:rStyle w:val="aff4"/>
          <w:vanish/>
          <w:cs/>
        </w:rPr>
        <w:t>‎</w:t>
      </w:r>
      <w:r w:rsidR="00D82181">
        <w:rPr>
          <w:rStyle w:val="aff4"/>
          <w:vanish/>
          <w:rtl/>
        </w:rPr>
        <w:t>צז)</w:t>
      </w:r>
      <w:r w:rsidRPr="00847437">
        <w:rPr>
          <w:rStyle w:val="aff4"/>
          <w:vanish/>
          <w:rtl/>
        </w:rPr>
        <w:fldChar w:fldCharType="end"/>
      </w:r>
      <w:r w:rsidRPr="00847437">
        <w:rPr>
          <w:rStyle w:val="aff4"/>
          <w:rFonts w:hint="cs"/>
          <w:vanish/>
          <w:rtl/>
        </w:rPr>
        <w:t xml:space="preserve"> &gt;</w:t>
      </w:r>
      <w:r w:rsidRPr="00DB6BF0">
        <w:rPr>
          <w:rStyle w:val="aff4"/>
          <w:rFonts w:hint="cs"/>
          <w:rtl/>
        </w:rPr>
        <w:t>דבר אברהם</w:t>
      </w:r>
      <w:r w:rsidRPr="00DE1AA0">
        <w:rPr>
          <w:rStyle w:val="aff4"/>
          <w:rFonts w:hint="cs"/>
          <w:vanish/>
          <w:rtl/>
        </w:rPr>
        <w:t>-</w:t>
      </w:r>
      <w:r>
        <w:rPr>
          <w:rFonts w:hint="cs"/>
          <w:rtl/>
        </w:rPr>
        <w:t xml:space="preserve"> </w:t>
      </w:r>
      <w:r w:rsidRPr="00FB451D">
        <w:rPr>
          <w:rStyle w:val="af2"/>
          <w:rFonts w:eastAsia="Guttman Hodes" w:hint="cs"/>
          <w:rtl/>
        </w:rPr>
        <w:t>(ח"א סי' כ"ה אות י')</w:t>
      </w:r>
      <w:r w:rsidRPr="00DE1AA0">
        <w:rPr>
          <w:rFonts w:hint="cs"/>
          <w:vanish/>
          <w:rtl/>
        </w:rPr>
        <w:t>=</w:t>
      </w:r>
      <w:r>
        <w:rPr>
          <w:rFonts w:hint="cs"/>
          <w:rtl/>
        </w:rPr>
        <w:t xml:space="preserve"> דלפי דברי </w:t>
      </w:r>
      <w:r w:rsidRPr="000A34B7">
        <w:rPr>
          <w:rStyle w:val="aff4"/>
          <w:rFonts w:hint="cs"/>
          <w:vanish/>
          <w:rtl/>
        </w:rPr>
        <w:t>-</w:t>
      </w:r>
      <w:r w:rsidRPr="00DB6BF0">
        <w:rPr>
          <w:rStyle w:val="aff4"/>
          <w:rFonts w:hint="cs"/>
          <w:rtl/>
        </w:rPr>
        <w:t>המשכנות יעקב</w:t>
      </w:r>
      <w:r w:rsidRPr="000A34B7">
        <w:rPr>
          <w:rStyle w:val="aff4"/>
          <w:rFonts w:hint="cs"/>
          <w:vanish/>
          <w:rtl/>
        </w:rPr>
        <w:t>-</w:t>
      </w:r>
      <w:r>
        <w:rPr>
          <w:rFonts w:hint="cs"/>
          <w:rtl/>
        </w:rPr>
        <w:t xml:space="preserve"> </w:t>
      </w:r>
      <w:r w:rsidRPr="000A34B7">
        <w:rPr>
          <w:rStyle w:val="af2"/>
          <w:rFonts w:eastAsia="Guttman Hodes" w:hint="cs"/>
          <w:rtl/>
        </w:rPr>
        <w:t xml:space="preserve">(עי' אות </w:t>
      </w:r>
      <w:r w:rsidRPr="000A34B7">
        <w:rPr>
          <w:rStyle w:val="af2"/>
          <w:rFonts w:eastAsia="Guttman Hodes"/>
          <w:rtl/>
        </w:rPr>
        <w:fldChar w:fldCharType="begin"/>
      </w:r>
      <w:r w:rsidRPr="000A34B7">
        <w:rPr>
          <w:rStyle w:val="af2"/>
          <w:rFonts w:eastAsia="Guttman Hodes"/>
          <w:rtl/>
        </w:rPr>
        <w:instrText xml:space="preserve"> </w:instrText>
      </w:r>
      <w:r w:rsidRPr="000A34B7">
        <w:rPr>
          <w:rStyle w:val="af2"/>
          <w:rFonts w:eastAsia="Guttman Hodes" w:hint="cs"/>
        </w:rPr>
        <w:instrText>REF</w:instrText>
      </w:r>
      <w:r w:rsidRPr="000A34B7">
        <w:rPr>
          <w:rStyle w:val="af2"/>
          <w:rFonts w:eastAsia="Guttman Hodes" w:hint="cs"/>
          <w:rtl/>
        </w:rPr>
        <w:instrText xml:space="preserve"> _</w:instrText>
      </w:r>
      <w:r w:rsidRPr="000A34B7">
        <w:rPr>
          <w:rStyle w:val="af2"/>
          <w:rFonts w:eastAsia="Guttman Hodes" w:hint="cs"/>
        </w:rPr>
        <w:instrText>Ref135384272 \r \h</w:instrText>
      </w:r>
      <w:r w:rsidRPr="000A34B7">
        <w:rPr>
          <w:rStyle w:val="af2"/>
          <w:rFonts w:eastAsia="Guttman Hodes"/>
          <w:rtl/>
        </w:rPr>
        <w:instrText xml:space="preserve"> </w:instrText>
      </w:r>
      <w:r w:rsidRPr="000A34B7">
        <w:rPr>
          <w:rStyle w:val="af2"/>
          <w:rFonts w:eastAsia="Guttman Hodes"/>
          <w:rtl/>
        </w:rPr>
      </w:r>
      <w:r w:rsidRPr="000A34B7">
        <w:rPr>
          <w:rStyle w:val="af2"/>
          <w:rFonts w:eastAsia="Guttman Hodes"/>
          <w:rtl/>
        </w:rPr>
        <w:fldChar w:fldCharType="separate"/>
      </w:r>
      <w:r w:rsidR="00D82181">
        <w:rPr>
          <w:rStyle w:val="af2"/>
          <w:rFonts w:eastAsia="Guttman Hodes"/>
          <w:cs/>
        </w:rPr>
        <w:t>‎</w:t>
      </w:r>
      <w:r w:rsidR="00D82181">
        <w:rPr>
          <w:rStyle w:val="af2"/>
          <w:rFonts w:eastAsia="Guttman Hodes"/>
          <w:rtl/>
        </w:rPr>
        <w:t>צו)</w:t>
      </w:r>
      <w:r w:rsidRPr="000A34B7">
        <w:rPr>
          <w:rStyle w:val="af2"/>
          <w:rFonts w:eastAsia="Guttman Hodes"/>
          <w:rtl/>
        </w:rPr>
        <w:fldChar w:fldCharType="end"/>
      </w:r>
      <w:r w:rsidRPr="000A34B7">
        <w:rPr>
          <w:rStyle w:val="aff4"/>
          <w:rFonts w:hint="cs"/>
          <w:vanish/>
          <w:rtl/>
        </w:rPr>
        <w:t xml:space="preserve"> </w:t>
      </w:r>
      <w:r>
        <w:rPr>
          <w:rFonts w:hint="cs"/>
          <w:rtl/>
        </w:rPr>
        <w:t xml:space="preserve"> דמיעוט יניקה אי"ז מלאכה שלמה כמו שהייתה במשכן, א"כ אפש"ל דאף לדעת </w:t>
      </w:r>
      <w:r w:rsidRPr="000A34B7">
        <w:rPr>
          <w:rStyle w:val="aff4"/>
          <w:rFonts w:hint="cs"/>
          <w:vanish/>
          <w:rtl/>
        </w:rPr>
        <w:t>-</w:t>
      </w:r>
      <w:r w:rsidRPr="00DB6BF0">
        <w:rPr>
          <w:rStyle w:val="aff4"/>
          <w:rFonts w:hint="cs"/>
          <w:rtl/>
        </w:rPr>
        <w:t>רש"י לקמן</w:t>
      </w:r>
      <w:r w:rsidRPr="000A34B7">
        <w:rPr>
          <w:rStyle w:val="aff4"/>
          <w:rFonts w:hint="cs"/>
          <w:vanish/>
          <w:rtl/>
        </w:rPr>
        <w:t>-</w:t>
      </w:r>
      <w:r>
        <w:rPr>
          <w:rFonts w:hint="cs"/>
          <w:rtl/>
        </w:rPr>
        <w:t xml:space="preserve"> </w:t>
      </w:r>
      <w:r w:rsidRPr="000A34B7">
        <w:rPr>
          <w:rStyle w:val="af2"/>
          <w:rFonts w:eastAsia="Guttman Hodes" w:hint="cs"/>
          <w:rtl/>
        </w:rPr>
        <w:t xml:space="preserve">(עי' אות </w:t>
      </w:r>
      <w:r w:rsidRPr="000A34B7">
        <w:rPr>
          <w:rStyle w:val="af2"/>
          <w:rFonts w:eastAsia="Guttman Hodes"/>
          <w:rtl/>
        </w:rPr>
        <w:fldChar w:fldCharType="begin"/>
      </w:r>
      <w:r w:rsidRPr="000A34B7">
        <w:rPr>
          <w:rStyle w:val="af2"/>
          <w:rFonts w:eastAsia="Guttman Hodes"/>
          <w:rtl/>
        </w:rPr>
        <w:instrText xml:space="preserve"> </w:instrText>
      </w:r>
      <w:r w:rsidRPr="000A34B7">
        <w:rPr>
          <w:rStyle w:val="af2"/>
          <w:rFonts w:eastAsia="Guttman Hodes" w:hint="cs"/>
        </w:rPr>
        <w:instrText>REF</w:instrText>
      </w:r>
      <w:r w:rsidRPr="000A34B7">
        <w:rPr>
          <w:rStyle w:val="af2"/>
          <w:rFonts w:eastAsia="Guttman Hodes" w:hint="cs"/>
          <w:rtl/>
        </w:rPr>
        <w:instrText xml:space="preserve"> _</w:instrText>
      </w:r>
      <w:r w:rsidRPr="000A34B7">
        <w:rPr>
          <w:rStyle w:val="af2"/>
          <w:rFonts w:eastAsia="Guttman Hodes" w:hint="cs"/>
        </w:rPr>
        <w:instrText>Ref134734637 \r \h</w:instrText>
      </w:r>
      <w:r w:rsidRPr="000A34B7">
        <w:rPr>
          <w:rStyle w:val="af2"/>
          <w:rFonts w:eastAsia="Guttman Hodes"/>
          <w:rtl/>
        </w:rPr>
        <w:instrText xml:space="preserve"> </w:instrText>
      </w:r>
      <w:r w:rsidRPr="000A34B7">
        <w:rPr>
          <w:rStyle w:val="af2"/>
          <w:rFonts w:eastAsia="Guttman Hodes"/>
          <w:rtl/>
        </w:rPr>
      </w:r>
      <w:r w:rsidRPr="000A34B7">
        <w:rPr>
          <w:rStyle w:val="af2"/>
          <w:rFonts w:eastAsia="Guttman Hodes"/>
          <w:rtl/>
        </w:rPr>
        <w:fldChar w:fldCharType="separate"/>
      </w:r>
      <w:r w:rsidR="00D82181">
        <w:rPr>
          <w:rStyle w:val="af2"/>
          <w:rFonts w:eastAsia="Guttman Hodes"/>
          <w:cs/>
        </w:rPr>
        <w:t>‎</w:t>
      </w:r>
      <w:r w:rsidR="00D82181">
        <w:rPr>
          <w:rStyle w:val="af2"/>
          <w:rFonts w:eastAsia="Guttman Hodes"/>
          <w:rtl/>
        </w:rPr>
        <w:t>לה)</w:t>
      </w:r>
      <w:r w:rsidRPr="000A34B7">
        <w:rPr>
          <w:rStyle w:val="af2"/>
          <w:rFonts w:eastAsia="Guttman Hodes"/>
          <w:rtl/>
        </w:rPr>
        <w:fldChar w:fldCharType="end"/>
      </w:r>
      <w:r>
        <w:rPr>
          <w:rFonts w:hint="cs"/>
          <w:rtl/>
        </w:rPr>
        <w:t xml:space="preserve"> </w:t>
      </w:r>
      <w:r w:rsidRPr="000A34B7">
        <w:rPr>
          <w:rStyle w:val="aff4"/>
          <w:rFonts w:hint="cs"/>
          <w:vanish/>
          <w:rtl/>
        </w:rPr>
        <w:t>-</w:t>
      </w:r>
      <w:r w:rsidRPr="00DB6BF0">
        <w:rPr>
          <w:rStyle w:val="aff4"/>
          <w:rFonts w:hint="cs"/>
          <w:rtl/>
        </w:rPr>
        <w:t>וההג' אשר"י לקמן</w:t>
      </w:r>
      <w:r w:rsidRPr="000A34B7">
        <w:rPr>
          <w:rStyle w:val="aff4"/>
          <w:rFonts w:hint="cs"/>
          <w:vanish/>
          <w:rtl/>
        </w:rPr>
        <w:t>-</w:t>
      </w:r>
      <w:r>
        <w:rPr>
          <w:rFonts w:hint="cs"/>
          <w:rtl/>
        </w:rPr>
        <w:t xml:space="preserve"> </w:t>
      </w:r>
      <w:r w:rsidRPr="000A34B7">
        <w:rPr>
          <w:rStyle w:val="af2"/>
          <w:rFonts w:eastAsia="Guttman Hodes" w:hint="cs"/>
          <w:rtl/>
        </w:rPr>
        <w:t xml:space="preserve">(עי' אות </w:t>
      </w:r>
      <w:r w:rsidRPr="000A34B7">
        <w:rPr>
          <w:rStyle w:val="af2"/>
          <w:rFonts w:eastAsia="Guttman Hodes"/>
          <w:rtl/>
        </w:rPr>
        <w:fldChar w:fldCharType="begin"/>
      </w:r>
      <w:r w:rsidRPr="000A34B7">
        <w:rPr>
          <w:rStyle w:val="af2"/>
          <w:rFonts w:eastAsia="Guttman Hodes"/>
          <w:rtl/>
        </w:rPr>
        <w:instrText xml:space="preserve"> </w:instrText>
      </w:r>
      <w:r w:rsidRPr="000A34B7">
        <w:rPr>
          <w:rStyle w:val="af2"/>
          <w:rFonts w:eastAsia="Guttman Hodes" w:hint="cs"/>
        </w:rPr>
        <w:instrText>REF</w:instrText>
      </w:r>
      <w:r w:rsidRPr="000A34B7">
        <w:rPr>
          <w:rStyle w:val="af2"/>
          <w:rFonts w:eastAsia="Guttman Hodes" w:hint="cs"/>
          <w:rtl/>
        </w:rPr>
        <w:instrText xml:space="preserve"> _</w:instrText>
      </w:r>
      <w:r w:rsidRPr="000A34B7">
        <w:rPr>
          <w:rStyle w:val="af2"/>
          <w:rFonts w:eastAsia="Guttman Hodes" w:hint="cs"/>
        </w:rPr>
        <w:instrText>Ref134956004 \r \h</w:instrText>
      </w:r>
      <w:r w:rsidRPr="000A34B7">
        <w:rPr>
          <w:rStyle w:val="af2"/>
          <w:rFonts w:eastAsia="Guttman Hodes"/>
          <w:rtl/>
        </w:rPr>
        <w:instrText xml:space="preserve"> </w:instrText>
      </w:r>
      <w:r w:rsidRPr="000A34B7">
        <w:rPr>
          <w:rStyle w:val="af2"/>
          <w:rFonts w:eastAsia="Guttman Hodes"/>
          <w:rtl/>
        </w:rPr>
      </w:r>
      <w:r w:rsidRPr="000A34B7">
        <w:rPr>
          <w:rStyle w:val="af2"/>
          <w:rFonts w:eastAsia="Guttman Hodes"/>
          <w:rtl/>
        </w:rPr>
        <w:fldChar w:fldCharType="separate"/>
      </w:r>
      <w:r w:rsidR="00D82181">
        <w:rPr>
          <w:rStyle w:val="af2"/>
          <w:rFonts w:eastAsia="Guttman Hodes"/>
          <w:cs/>
        </w:rPr>
        <w:t>‎</w:t>
      </w:r>
      <w:r w:rsidR="00D82181">
        <w:rPr>
          <w:rStyle w:val="af2"/>
          <w:rFonts w:eastAsia="Guttman Hodes"/>
          <w:rtl/>
        </w:rPr>
        <w:t>מז)</w:t>
      </w:r>
      <w:r w:rsidRPr="000A34B7">
        <w:rPr>
          <w:rStyle w:val="af2"/>
          <w:rFonts w:eastAsia="Guttman Hodes"/>
          <w:rtl/>
        </w:rPr>
        <w:fldChar w:fldCharType="end"/>
      </w:r>
      <w:r>
        <w:rPr>
          <w:rFonts w:hint="cs"/>
          <w:rtl/>
        </w:rPr>
        <w:t xml:space="preserve"> גדר מלאכת קוצר הוא הפסקת החיות, ולא מחמת דעוקר את המחובר, אך מ"מ במגביה עציץ ומניחו ע"ג יתדות אי"ז תולש, כיון שמיעוט יניקה אינו מלאכה שלמה, אך מ"מ מדברי </w:t>
      </w:r>
      <w:r w:rsidRPr="000169D5">
        <w:rPr>
          <w:rStyle w:val="aff4"/>
          <w:rFonts w:hint="cs"/>
          <w:vanish/>
          <w:rtl/>
        </w:rPr>
        <w:t>-</w:t>
      </w:r>
      <w:r w:rsidRPr="00DB6BF0">
        <w:rPr>
          <w:rStyle w:val="aff4"/>
          <w:rFonts w:hint="cs"/>
          <w:rtl/>
        </w:rPr>
        <w:t>המאירי</w:t>
      </w:r>
      <w:r w:rsidRPr="000169D5">
        <w:rPr>
          <w:rStyle w:val="aff4"/>
          <w:rFonts w:hint="cs"/>
          <w:vanish/>
          <w:rtl/>
        </w:rPr>
        <w:t>-</w:t>
      </w:r>
      <w:r>
        <w:rPr>
          <w:rFonts w:hint="cs"/>
          <w:rtl/>
        </w:rPr>
        <w:t xml:space="preserve"> </w:t>
      </w:r>
      <w:r w:rsidRPr="000169D5">
        <w:rPr>
          <w:rStyle w:val="af2"/>
          <w:rFonts w:eastAsia="Guttman Hodes" w:hint="cs"/>
          <w:rtl/>
        </w:rPr>
        <w:t xml:space="preserve">(עי' אות </w:t>
      </w:r>
      <w:r w:rsidRPr="000169D5">
        <w:rPr>
          <w:rStyle w:val="af2"/>
          <w:rFonts w:eastAsia="Guttman Hodes"/>
          <w:rtl/>
        </w:rPr>
        <w:fldChar w:fldCharType="begin"/>
      </w:r>
      <w:r w:rsidRPr="000169D5">
        <w:rPr>
          <w:rStyle w:val="af2"/>
          <w:rFonts w:eastAsia="Guttman Hodes"/>
          <w:rtl/>
        </w:rPr>
        <w:instrText xml:space="preserve"> </w:instrText>
      </w:r>
      <w:r w:rsidRPr="000169D5">
        <w:rPr>
          <w:rStyle w:val="af2"/>
          <w:rFonts w:eastAsia="Guttman Hodes" w:hint="cs"/>
        </w:rPr>
        <w:instrText>REF</w:instrText>
      </w:r>
      <w:r w:rsidRPr="000169D5">
        <w:rPr>
          <w:rStyle w:val="af2"/>
          <w:rFonts w:eastAsia="Guttman Hodes" w:hint="cs"/>
          <w:rtl/>
        </w:rPr>
        <w:instrText xml:space="preserve"> _</w:instrText>
      </w:r>
      <w:r w:rsidRPr="000169D5">
        <w:rPr>
          <w:rStyle w:val="af2"/>
          <w:rFonts w:eastAsia="Guttman Hodes" w:hint="cs"/>
        </w:rPr>
        <w:instrText>Ref135339012 \r \h</w:instrText>
      </w:r>
      <w:r w:rsidRPr="000169D5">
        <w:rPr>
          <w:rStyle w:val="af2"/>
          <w:rFonts w:eastAsia="Guttman Hodes"/>
          <w:rtl/>
        </w:rPr>
        <w:instrText xml:space="preserve"> </w:instrText>
      </w:r>
      <w:r w:rsidRPr="000169D5">
        <w:rPr>
          <w:rStyle w:val="af2"/>
          <w:rFonts w:eastAsia="Guttman Hodes"/>
          <w:rtl/>
        </w:rPr>
      </w:r>
      <w:r w:rsidRPr="000169D5">
        <w:rPr>
          <w:rStyle w:val="af2"/>
          <w:rFonts w:eastAsia="Guttman Hodes"/>
          <w:rtl/>
        </w:rPr>
        <w:fldChar w:fldCharType="separate"/>
      </w:r>
      <w:r w:rsidR="00D82181">
        <w:rPr>
          <w:rStyle w:val="af2"/>
          <w:rFonts w:eastAsia="Guttman Hodes"/>
          <w:cs/>
        </w:rPr>
        <w:t>‎</w:t>
      </w:r>
      <w:r w:rsidR="00D82181">
        <w:rPr>
          <w:rStyle w:val="af2"/>
          <w:rFonts w:eastAsia="Guttman Hodes"/>
          <w:rtl/>
        </w:rPr>
        <w:t>לח)</w:t>
      </w:r>
      <w:r w:rsidRPr="000169D5">
        <w:rPr>
          <w:rStyle w:val="af2"/>
          <w:rFonts w:eastAsia="Guttman Hodes"/>
          <w:rtl/>
        </w:rPr>
        <w:fldChar w:fldCharType="end"/>
      </w:r>
      <w:r>
        <w:rPr>
          <w:rFonts w:hint="cs"/>
          <w:rtl/>
        </w:rPr>
        <w:t xml:space="preserve"> דכתב דמניח עציץ נקוב ע"ג יתדות הוא תולש כיון דאינו יונק, מוכח דהפסקת מקצת יניקה אינה כלום, ודלא </w:t>
      </w:r>
      <w:r w:rsidRPr="000169D5">
        <w:rPr>
          <w:rStyle w:val="aff4"/>
          <w:rFonts w:hint="cs"/>
          <w:vanish/>
          <w:rtl/>
        </w:rPr>
        <w:t>-</w:t>
      </w:r>
      <w:r>
        <w:rPr>
          <w:rStyle w:val="aff4"/>
          <w:rFonts w:hint="cs"/>
          <w:rtl/>
        </w:rPr>
        <w:t>כ</w:t>
      </w:r>
      <w:r w:rsidRPr="00C65D8D">
        <w:rPr>
          <w:rStyle w:val="aff4"/>
          <w:rFonts w:hint="cs"/>
          <w:rtl/>
        </w:rPr>
        <w:t>זכר יצחק</w:t>
      </w:r>
      <w:r w:rsidRPr="000169D5">
        <w:rPr>
          <w:rStyle w:val="aff4"/>
          <w:rFonts w:hint="cs"/>
          <w:vanish/>
          <w:rtl/>
        </w:rPr>
        <w:t>-</w:t>
      </w:r>
      <w:r>
        <w:rPr>
          <w:rFonts w:hint="cs"/>
          <w:rtl/>
        </w:rPr>
        <w:t xml:space="preserve"> </w:t>
      </w:r>
      <w:r w:rsidRPr="000169D5">
        <w:rPr>
          <w:rStyle w:val="af2"/>
          <w:rFonts w:eastAsia="Guttman Hodes" w:hint="cs"/>
          <w:rtl/>
        </w:rPr>
        <w:t>(עי' אות</w:t>
      </w:r>
      <w:r w:rsidRPr="000169D5">
        <w:rPr>
          <w:rStyle w:val="af2"/>
          <w:rFonts w:eastAsia="Guttman Hodes"/>
          <w:rtl/>
        </w:rPr>
        <w:t xml:space="preserve"> צג)</w:t>
      </w:r>
      <w:r w:rsidRPr="00A9221C">
        <w:rPr>
          <w:rFonts w:hint="cs"/>
          <w:rtl/>
        </w:rPr>
        <w:t xml:space="preserve"> </w:t>
      </w:r>
      <w:r>
        <w:rPr>
          <w:rFonts w:hint="cs"/>
          <w:rtl/>
        </w:rPr>
        <w:t xml:space="preserve">דכתב דאפשר לחייב משום מיעוט יניקה, וכן משמע מכל </w:t>
      </w:r>
      <w:r w:rsidRPr="000169D5">
        <w:rPr>
          <w:rStyle w:val="aff4"/>
          <w:rFonts w:hint="cs"/>
          <w:vanish/>
          <w:rtl/>
        </w:rPr>
        <w:t>-</w:t>
      </w:r>
      <w:r w:rsidRPr="00DB6BF0">
        <w:rPr>
          <w:rStyle w:val="aff4"/>
          <w:rFonts w:hint="cs"/>
          <w:rtl/>
        </w:rPr>
        <w:t>הראשונים</w:t>
      </w:r>
      <w:r w:rsidRPr="000169D5">
        <w:rPr>
          <w:rStyle w:val="aff4"/>
          <w:rFonts w:hint="cs"/>
          <w:vanish/>
          <w:rtl/>
        </w:rPr>
        <w:t>-</w:t>
      </w:r>
      <w:r>
        <w:rPr>
          <w:rFonts w:hint="cs"/>
          <w:rtl/>
        </w:rPr>
        <w:t xml:space="preserve"> הנ"ל </w:t>
      </w:r>
      <w:r w:rsidRPr="00FB2347">
        <w:rPr>
          <w:rStyle w:val="af"/>
          <w:rFonts w:hint="cs"/>
          <w:rtl/>
        </w:rPr>
        <w:t>[</w:t>
      </w:r>
      <w:r w:rsidRPr="000169D5">
        <w:rPr>
          <w:rStyle w:val="aff9"/>
          <w:rFonts w:hint="cs"/>
          <w:vanish/>
          <w:rtl/>
        </w:rPr>
        <w:t>-</w:t>
      </w:r>
      <w:r w:rsidRPr="00FB2347">
        <w:rPr>
          <w:rStyle w:val="aff9"/>
          <w:rFonts w:hint="cs"/>
          <w:rtl/>
        </w:rPr>
        <w:t>רש"י ותוס' וההג' אשר"י</w:t>
      </w:r>
      <w:r w:rsidRPr="000169D5">
        <w:rPr>
          <w:rStyle w:val="aff9"/>
          <w:rFonts w:hint="cs"/>
          <w:vanish/>
          <w:rtl/>
        </w:rPr>
        <w:t>-</w:t>
      </w:r>
      <w:r>
        <w:rPr>
          <w:rStyle w:val="af"/>
          <w:rFonts w:hint="cs"/>
          <w:rtl/>
        </w:rPr>
        <w:t xml:space="preserve"> </w:t>
      </w:r>
      <w:r w:rsidRPr="007A49DF">
        <w:rPr>
          <w:rStyle w:val="aff0"/>
          <w:rFonts w:hint="cs"/>
          <w:rtl/>
        </w:rPr>
        <w:t xml:space="preserve">(עי' אות </w:t>
      </w:r>
      <w:r w:rsidRPr="007A49DF">
        <w:rPr>
          <w:rStyle w:val="aff0"/>
          <w:rtl/>
        </w:rPr>
        <w:fldChar w:fldCharType="begin"/>
      </w:r>
      <w:r w:rsidRPr="007A49DF">
        <w:rPr>
          <w:rStyle w:val="aff0"/>
          <w:rtl/>
        </w:rPr>
        <w:instrText xml:space="preserve"> </w:instrText>
      </w:r>
      <w:r w:rsidRPr="007A49DF">
        <w:rPr>
          <w:rStyle w:val="aff0"/>
          <w:rFonts w:hint="cs"/>
        </w:rPr>
        <w:instrText>REF</w:instrText>
      </w:r>
      <w:r w:rsidRPr="007A49DF">
        <w:rPr>
          <w:rStyle w:val="aff0"/>
          <w:rFonts w:hint="cs"/>
          <w:rtl/>
        </w:rPr>
        <w:instrText xml:space="preserve"> _</w:instrText>
      </w:r>
      <w:r w:rsidRPr="007A49DF">
        <w:rPr>
          <w:rStyle w:val="aff0"/>
          <w:rFonts w:hint="cs"/>
        </w:rPr>
        <w:instrText>Ref135065796 \r \h</w:instrText>
      </w:r>
      <w:r w:rsidRPr="007A49DF">
        <w:rPr>
          <w:rStyle w:val="aff0"/>
          <w:rtl/>
        </w:rPr>
        <w:instrText xml:space="preserve"> </w:instrText>
      </w:r>
      <w:r w:rsidRPr="007A49DF">
        <w:rPr>
          <w:rStyle w:val="aff0"/>
          <w:rtl/>
        </w:rPr>
      </w:r>
      <w:r w:rsidRPr="007A49DF">
        <w:rPr>
          <w:rStyle w:val="aff0"/>
          <w:rtl/>
        </w:rPr>
        <w:fldChar w:fldCharType="separate"/>
      </w:r>
      <w:r w:rsidR="00D82181">
        <w:rPr>
          <w:rStyle w:val="aff0"/>
          <w:cs/>
        </w:rPr>
        <w:t>‎</w:t>
      </w:r>
      <w:r w:rsidR="00D82181">
        <w:rPr>
          <w:rStyle w:val="aff0"/>
          <w:rtl/>
        </w:rPr>
        <w:t>פד)</w:t>
      </w:r>
      <w:r w:rsidRPr="007A49DF">
        <w:rPr>
          <w:rStyle w:val="aff0"/>
          <w:rtl/>
        </w:rPr>
        <w:fldChar w:fldCharType="end"/>
      </w:r>
      <w:r w:rsidRPr="00FB2347">
        <w:rPr>
          <w:rStyle w:val="af"/>
          <w:rFonts w:hint="cs"/>
          <w:rtl/>
        </w:rPr>
        <w:t>]</w:t>
      </w:r>
      <w:r>
        <w:rPr>
          <w:rFonts w:hint="cs"/>
          <w:rtl/>
        </w:rPr>
        <w:t xml:space="preserve"> אך כתב </w:t>
      </w:r>
      <w:r w:rsidRPr="000169D5">
        <w:rPr>
          <w:rStyle w:val="aff4"/>
          <w:rFonts w:hint="cs"/>
          <w:vanish/>
          <w:rtl/>
        </w:rPr>
        <w:t>-</w:t>
      </w:r>
      <w:r w:rsidRPr="00DB6BF0">
        <w:rPr>
          <w:rStyle w:val="aff4"/>
          <w:rFonts w:hint="cs"/>
          <w:rtl/>
        </w:rPr>
        <w:t>הדבר אברהם</w:t>
      </w:r>
      <w:r w:rsidRPr="000169D5">
        <w:rPr>
          <w:rStyle w:val="aff4"/>
          <w:rFonts w:hint="cs"/>
          <w:vanish/>
          <w:rtl/>
        </w:rPr>
        <w:t>-</w:t>
      </w:r>
      <w:r>
        <w:rPr>
          <w:rFonts w:hint="cs"/>
          <w:rtl/>
        </w:rPr>
        <w:t xml:space="preserve"> דמדברי </w:t>
      </w:r>
      <w:r w:rsidRPr="000169D5">
        <w:rPr>
          <w:rStyle w:val="aff4"/>
          <w:rFonts w:hint="cs"/>
          <w:vanish/>
          <w:rtl/>
        </w:rPr>
        <w:t>-</w:t>
      </w:r>
      <w:r w:rsidRPr="00DB6BF0">
        <w:rPr>
          <w:rStyle w:val="aff4"/>
          <w:rFonts w:hint="cs"/>
          <w:rtl/>
        </w:rPr>
        <w:t>הרמב"ם</w:t>
      </w:r>
      <w:r w:rsidRPr="000169D5">
        <w:rPr>
          <w:rStyle w:val="aff4"/>
          <w:rFonts w:hint="cs"/>
          <w:vanish/>
          <w:rtl/>
        </w:rPr>
        <w:t>-</w:t>
      </w:r>
      <w:r>
        <w:rPr>
          <w:rFonts w:hint="cs"/>
          <w:rtl/>
        </w:rPr>
        <w:t xml:space="preserve"> אין הכרע בזה.</w:t>
      </w:r>
      <w:bookmarkEnd w:id="1739"/>
    </w:p>
    <w:p w14:paraId="75FCBF61" w14:textId="77777777" w:rsidR="000426DE" w:rsidRPr="00747170" w:rsidRDefault="000426DE" w:rsidP="00747170">
      <w:pPr>
        <w:pStyle w:val="a2"/>
        <w:rPr>
          <w:rtl/>
        </w:rPr>
      </w:pPr>
      <w:r w:rsidRPr="00747170">
        <w:rPr>
          <w:rtl/>
        </w:rPr>
        <w:t>מיהו איכא למידחי דמרש"י והג"א אין סייעתא ע"פ מה שראיתי בס' משכנות יעקב (חאו"ח סי' ק</w:t>
      </w:r>
      <w:r w:rsidRPr="00747170">
        <w:rPr>
          <w:rFonts w:hint="cs"/>
          <w:rtl/>
        </w:rPr>
        <w:t>י</w:t>
      </w:r>
      <w:r w:rsidRPr="00747170">
        <w:rPr>
          <w:rtl/>
        </w:rPr>
        <w:t>"ג) שהעיר דבמיעוט היניקה אינו חייב משום קוצר דכיון שנשאר עדיין יונק לא הוי מלאכה שלמה ואינו חייב אלא במפסיק כל יניקתו לגמרי, ולפי"ז אפ"ל דרש"י והג"א סברי באמת דשורש הקוצר הוא הבדלת החיות ולאו משום עקירה מן החיבור ואפ"ה פטור כשממעט את היניקה דלאו מלאכה שלמה היא ויש לדון הרבה בדברים אלו ועוד חזון למועד בעז"ה</w:t>
      </w:r>
      <w:r w:rsidRPr="00747170">
        <w:rPr>
          <w:rFonts w:hint="cs"/>
          <w:rtl/>
        </w:rPr>
        <w:t xml:space="preserve">בי' הדב"א דממ"ש המאירי דעציץ ע"ג יתדות לא יונק מוכח </w:t>
      </w:r>
      <w:r w:rsidRPr="00747170">
        <w:rPr>
          <w:rtl/>
        </w:rPr>
        <w:t xml:space="preserve">אבל איך שיהיה פירכא לכ"ג מיהא הוי שרצה לדון שיתחייב משום מיעוט היניקה וכן משמע מדברי המאירי שהזכרנו דבטעמא דתולש עציץ ומניחו ע"ג יתדות חייב כתב לפי שאינו יונק מן הארץ משמע דוקא משום דפסקה כל יניקתו הא מקצת יניקה לאו כלום היא אי פסקה וכל הני רבוותא לא כוותיה דכ"ג קיימי, ובשיטת הרמב"ם אין הכרע בזה כמש"כ: </w:t>
      </w:r>
    </w:p>
    <w:p w14:paraId="7C46E22C" w14:textId="77777777" w:rsidR="000426DE" w:rsidRDefault="000426DE" w:rsidP="000426DE">
      <w:pPr>
        <w:pStyle w:val="afffff7"/>
        <w:rPr>
          <w:rtl/>
        </w:rPr>
      </w:pPr>
      <w:bookmarkStart w:id="1740" w:name="_Toc135513756"/>
      <w:bookmarkStart w:id="1741" w:name="_Toc163505678"/>
      <w:r>
        <w:rPr>
          <w:rtl/>
        </w:rPr>
        <w:t>דבר אברהם ח</w:t>
      </w:r>
      <w:r>
        <w:rPr>
          <w:rFonts w:hint="cs"/>
          <w:rtl/>
        </w:rPr>
        <w:t>"</w:t>
      </w:r>
      <w:r>
        <w:rPr>
          <w:rtl/>
        </w:rPr>
        <w:t>א סי</w:t>
      </w:r>
      <w:r>
        <w:rPr>
          <w:rFonts w:hint="cs"/>
          <w:rtl/>
        </w:rPr>
        <w:t>'</w:t>
      </w:r>
      <w:r>
        <w:rPr>
          <w:rtl/>
        </w:rPr>
        <w:t xml:space="preserve"> כ</w:t>
      </w:r>
      <w:r>
        <w:rPr>
          <w:rFonts w:hint="cs"/>
          <w:rtl/>
        </w:rPr>
        <w:t>"</w:t>
      </w:r>
      <w:r>
        <w:rPr>
          <w:rtl/>
        </w:rPr>
        <w:t>ה</w:t>
      </w:r>
      <w:r>
        <w:rPr>
          <w:rFonts w:hint="cs"/>
          <w:rtl/>
        </w:rPr>
        <w:t xml:space="preserve"> אות ו'</w:t>
      </w:r>
      <w:bookmarkEnd w:id="1740"/>
      <w:bookmarkEnd w:id="1741"/>
    </w:p>
    <w:p w14:paraId="465FAE97" w14:textId="77777777" w:rsidR="000426DE" w:rsidRDefault="000426DE" w:rsidP="000426DE">
      <w:pPr>
        <w:pStyle w:val="a7"/>
        <w:rPr>
          <w:rtl/>
        </w:rPr>
      </w:pPr>
      <w:bookmarkStart w:id="1742" w:name="_Toc139316445"/>
      <w:r>
        <w:rPr>
          <w:rFonts w:hint="cs"/>
          <w:rtl/>
        </w:rPr>
        <w:t>בי' הדב"א דאין ראיה ברמב"ם דמיעוט יניקה חייב אלא דס"ל דתולש</w:t>
      </w:r>
      <w:r w:rsidRPr="00954484">
        <w:rPr>
          <w:rFonts w:hint="cs"/>
          <w:rtl/>
        </w:rPr>
        <w:t xml:space="preserve"> </w:t>
      </w:r>
      <w:r>
        <w:rPr>
          <w:rFonts w:hint="cs"/>
          <w:rtl/>
        </w:rPr>
        <w:t>כשמטלטל עציץ באויר</w:t>
      </w:r>
      <w:bookmarkEnd w:id="1742"/>
    </w:p>
    <w:p w14:paraId="5FB9B364" w14:textId="6A0F0717" w:rsidR="000426DE" w:rsidRPr="00E12BD6" w:rsidRDefault="000426DE" w:rsidP="00BC7DC8">
      <w:pPr>
        <w:pStyle w:val="a3"/>
        <w:rPr>
          <w:rtl/>
        </w:rPr>
      </w:pPr>
      <w:r>
        <w:rPr>
          <w:rFonts w:hint="cs"/>
          <w:rtl/>
        </w:rPr>
        <w:t xml:space="preserve">ובמ"ש </w:t>
      </w:r>
      <w:r w:rsidRPr="00DE1AA0">
        <w:rPr>
          <w:rStyle w:val="aff4"/>
          <w:rFonts w:hint="cs"/>
          <w:vanish/>
          <w:rtl/>
        </w:rPr>
        <w:t>-</w:t>
      </w:r>
      <w:r w:rsidRPr="00DB6BF0">
        <w:rPr>
          <w:rStyle w:val="aff4"/>
          <w:rFonts w:hint="cs"/>
          <w:rtl/>
        </w:rPr>
        <w:t>הזכר יצחק</w:t>
      </w:r>
      <w:r w:rsidRPr="00DE1AA0">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Ref135385725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צה)</w:t>
      </w:r>
      <w:r>
        <w:rPr>
          <w:rStyle w:val="af2"/>
          <w:rFonts w:eastAsia="Guttman Hodes"/>
          <w:rtl/>
        </w:rPr>
        <w:fldChar w:fldCharType="end"/>
      </w:r>
      <w:r>
        <w:rPr>
          <w:rFonts w:hint="cs"/>
          <w:rtl/>
        </w:rPr>
        <w:t xml:space="preserve"> דמוכח דעציץ נקוב ע"ג יתדות חשיב מחובר ממ"ש </w:t>
      </w:r>
      <w:r w:rsidRPr="008D113A">
        <w:rPr>
          <w:rStyle w:val="aff4"/>
          <w:rFonts w:hint="cs"/>
          <w:vanish/>
          <w:rtl/>
        </w:rPr>
        <w:t>-</w:t>
      </w:r>
      <w:r w:rsidRPr="000614F7">
        <w:rPr>
          <w:rStyle w:val="aff4"/>
          <w:rFonts w:hint="cs"/>
          <w:rtl/>
        </w:rPr>
        <w:t>הרמב"ם</w:t>
      </w:r>
      <w:r w:rsidRPr="008D113A">
        <w:rPr>
          <w:rStyle w:val="aff4"/>
          <w:rFonts w:hint="cs"/>
          <w:vanish/>
          <w:rtl/>
        </w:rPr>
        <w:t>-</w:t>
      </w:r>
      <w:r w:rsidRPr="008163AB">
        <w:rPr>
          <w:rFonts w:hint="cs"/>
          <w:rtl/>
        </w:rPr>
        <w:t xml:space="preserve"> </w:t>
      </w:r>
      <w:r w:rsidRPr="00FB451D">
        <w:rPr>
          <w:rStyle w:val="af2"/>
          <w:rFonts w:eastAsia="Guttman Hodes" w:hint="cs"/>
          <w:rtl/>
        </w:rPr>
        <w:t xml:space="preserve">(עי' אות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Ref134736415 \r \h</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מ)</w:t>
      </w:r>
      <w:r w:rsidRPr="00FB451D">
        <w:rPr>
          <w:rStyle w:val="af2"/>
          <w:rFonts w:eastAsia="Guttman Hodes"/>
          <w:rtl/>
        </w:rPr>
        <w:fldChar w:fldCharType="end"/>
      </w:r>
      <w:r w:rsidRPr="008163AB">
        <w:rPr>
          <w:rFonts w:hint="cs"/>
          <w:rtl/>
        </w:rPr>
        <w:t xml:space="preserve"> </w:t>
      </w:r>
      <w:r>
        <w:rPr>
          <w:rFonts w:hint="cs"/>
          <w:rtl/>
        </w:rPr>
        <w:t xml:space="preserve">דגבשושית עפר שעלו בה עשבים, והגביה אותה מהקרקע, והניחה ע"ג יתדות, דחייב משום תולש, כתב </w:t>
      </w:r>
      <w:r w:rsidRPr="00DE1AA0">
        <w:rPr>
          <w:rStyle w:val="aff4"/>
          <w:rFonts w:hint="cs"/>
          <w:vanish/>
          <w:rtl/>
        </w:rPr>
        <w:t>-</w:t>
      </w:r>
      <w:r w:rsidRPr="00DB6BF0">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Ref135066163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סז)</w:t>
      </w:r>
      <w:r w:rsidRPr="00B53404">
        <w:rPr>
          <w:rStyle w:val="aff4"/>
          <w:vanish/>
          <w:rtl/>
        </w:rPr>
        <w:fldChar w:fldCharType="end"/>
      </w:r>
      <w:r w:rsidRPr="00B53404">
        <w:rPr>
          <w:rStyle w:val="aff4"/>
          <w:rFonts w:hint="cs"/>
          <w:vanish/>
          <w:rtl/>
        </w:rPr>
        <w:t xml:space="preserve"> &gt;</w:t>
      </w:r>
      <w:r w:rsidRPr="00DB6BF0">
        <w:rPr>
          <w:rStyle w:val="aff4"/>
          <w:rFonts w:hint="cs"/>
          <w:rtl/>
        </w:rPr>
        <w:t>דבר אברהם</w:t>
      </w:r>
      <w:r w:rsidRPr="00DE1AA0">
        <w:rPr>
          <w:rStyle w:val="aff4"/>
          <w:rFonts w:hint="cs"/>
          <w:vanish/>
          <w:rtl/>
        </w:rPr>
        <w:t>-</w:t>
      </w:r>
      <w:r>
        <w:rPr>
          <w:rFonts w:hint="cs"/>
          <w:rtl/>
        </w:rPr>
        <w:t xml:space="preserve"> </w:t>
      </w:r>
      <w:r w:rsidRPr="00FB451D">
        <w:rPr>
          <w:rStyle w:val="af2"/>
          <w:rFonts w:eastAsia="Guttman Hodes" w:hint="cs"/>
          <w:rtl/>
        </w:rPr>
        <w:t>(ח"א סי' כ"ה אות ו')</w:t>
      </w:r>
      <w:r w:rsidRPr="00DE1AA0">
        <w:rPr>
          <w:rFonts w:hint="cs"/>
          <w:vanish/>
          <w:rtl/>
        </w:rPr>
        <w:t>=</w:t>
      </w:r>
      <w:r>
        <w:rPr>
          <w:rFonts w:hint="cs"/>
          <w:rtl/>
        </w:rPr>
        <w:t xml:space="preserve"> דאף אי נימא כביאור </w:t>
      </w:r>
      <w:r w:rsidRPr="00DE1AA0">
        <w:rPr>
          <w:rStyle w:val="aff4"/>
          <w:rFonts w:hint="cs"/>
          <w:vanish/>
          <w:rtl/>
        </w:rPr>
        <w:t>-</w:t>
      </w:r>
      <w:r w:rsidRPr="00DB6BF0">
        <w:rPr>
          <w:rStyle w:val="aff4"/>
          <w:rFonts w:hint="cs"/>
          <w:rtl/>
        </w:rPr>
        <w:t>הזכר יצחק</w:t>
      </w:r>
      <w:r w:rsidRPr="00DE1AA0">
        <w:rPr>
          <w:rStyle w:val="aff4"/>
          <w:rFonts w:hint="cs"/>
          <w:vanish/>
          <w:rtl/>
        </w:rPr>
        <w:t>-</w:t>
      </w:r>
      <w:r>
        <w:rPr>
          <w:rFonts w:hint="cs"/>
          <w:rtl/>
        </w:rPr>
        <w:t xml:space="preserve"> דלא פליג </w:t>
      </w:r>
      <w:r w:rsidRPr="00DE1AA0">
        <w:rPr>
          <w:rStyle w:val="aff4"/>
          <w:rFonts w:hint="cs"/>
          <w:vanish/>
          <w:rtl/>
        </w:rPr>
        <w:t>-</w:t>
      </w:r>
      <w:r w:rsidRPr="00DB6BF0">
        <w:rPr>
          <w:rStyle w:val="aff4"/>
          <w:rFonts w:hint="cs"/>
          <w:rtl/>
        </w:rPr>
        <w:t>הרמב"ם</w:t>
      </w:r>
      <w:r w:rsidRPr="00DE1AA0">
        <w:rPr>
          <w:rStyle w:val="aff4"/>
          <w:rFonts w:hint="cs"/>
          <w:vanish/>
          <w:rtl/>
        </w:rPr>
        <w:t>-</w:t>
      </w:r>
      <w:r>
        <w:rPr>
          <w:rFonts w:hint="cs"/>
          <w:rtl/>
        </w:rPr>
        <w:t xml:space="preserve"> על </w:t>
      </w:r>
      <w:r w:rsidRPr="00DE1AA0">
        <w:rPr>
          <w:rStyle w:val="aff4"/>
          <w:rFonts w:hint="cs"/>
          <w:vanish/>
          <w:rtl/>
        </w:rPr>
        <w:t>-</w:t>
      </w:r>
      <w:r w:rsidRPr="00DB6BF0">
        <w:rPr>
          <w:rStyle w:val="aff4"/>
          <w:rFonts w:hint="cs"/>
          <w:rtl/>
        </w:rPr>
        <w:t>רש"י ותוס'</w:t>
      </w:r>
      <w:r w:rsidRPr="00DE1AA0">
        <w:rPr>
          <w:rStyle w:val="aff4"/>
          <w:rFonts w:hint="cs"/>
          <w:vanish/>
          <w:rtl/>
        </w:rPr>
        <w:t>-</w:t>
      </w:r>
      <w:r>
        <w:rPr>
          <w:rFonts w:hint="cs"/>
          <w:rtl/>
        </w:rPr>
        <w:t xml:space="preserve"> וס"ל דעציץ שמונח ע"ג יתדות הוא מחובר, מ"מ א"א להוכיח מזה כהוכחת </w:t>
      </w:r>
      <w:r w:rsidRPr="00DE1AA0">
        <w:rPr>
          <w:rStyle w:val="aff4"/>
          <w:rFonts w:hint="cs"/>
          <w:vanish/>
          <w:rtl/>
        </w:rPr>
        <w:t>-</w:t>
      </w:r>
      <w:r w:rsidRPr="00DB6BF0">
        <w:rPr>
          <w:rStyle w:val="aff4"/>
          <w:rFonts w:hint="cs"/>
          <w:rtl/>
        </w:rPr>
        <w:t>הזכר יצחק</w:t>
      </w:r>
      <w:r w:rsidRPr="00DE1AA0">
        <w:rPr>
          <w:rStyle w:val="aff4"/>
          <w:rFonts w:hint="cs"/>
          <w:vanish/>
          <w:rtl/>
        </w:rPr>
        <w:t>-</w:t>
      </w:r>
      <w:r>
        <w:rPr>
          <w:rFonts w:hint="cs"/>
          <w:rtl/>
        </w:rPr>
        <w:t xml:space="preserve"> דס"ל </w:t>
      </w:r>
      <w:r w:rsidRPr="00C65D8D">
        <w:rPr>
          <w:rStyle w:val="aff4"/>
          <w:rFonts w:hint="cs"/>
          <w:vanish/>
          <w:rtl/>
        </w:rPr>
        <w:t>-</w:t>
      </w:r>
      <w:r w:rsidRPr="00C65D8D">
        <w:rPr>
          <w:rStyle w:val="aff4"/>
          <w:rFonts w:hint="cs"/>
          <w:rtl/>
        </w:rPr>
        <w:t>להרמב"ם</w:t>
      </w:r>
      <w:r w:rsidRPr="00C65D8D">
        <w:rPr>
          <w:rStyle w:val="aff4"/>
          <w:rFonts w:hint="cs"/>
          <w:vanish/>
          <w:rtl/>
        </w:rPr>
        <w:t>-</w:t>
      </w:r>
      <w:r>
        <w:rPr>
          <w:rFonts w:hint="cs"/>
          <w:rtl/>
        </w:rPr>
        <w:t xml:space="preserve"> דחייב על מיעוט היניקה, </w:t>
      </w:r>
      <w:r w:rsidRPr="007A72D8">
        <w:rPr>
          <w:rStyle w:val="af"/>
          <w:rFonts w:hint="cs"/>
          <w:rtl/>
        </w:rPr>
        <w:t xml:space="preserve">[ועי' במ"ש </w:t>
      </w:r>
      <w:r w:rsidRPr="00394B7E">
        <w:rPr>
          <w:rStyle w:val="aff9"/>
          <w:rFonts w:hint="cs"/>
          <w:vanish/>
          <w:rtl/>
        </w:rPr>
        <w:t>-</w:t>
      </w:r>
      <w:r w:rsidRPr="00394B7E">
        <w:rPr>
          <w:rStyle w:val="aff9"/>
          <w:rFonts w:hint="cs"/>
          <w:rtl/>
        </w:rPr>
        <w:t>הדבר אברהם</w:t>
      </w:r>
      <w:r w:rsidRPr="00394B7E">
        <w:rPr>
          <w:rStyle w:val="aff9"/>
          <w:rFonts w:hint="cs"/>
          <w:vanish/>
          <w:rtl/>
        </w:rPr>
        <w:t>-</w:t>
      </w:r>
      <w:r w:rsidRPr="007A72D8">
        <w:rPr>
          <w:rStyle w:val="af"/>
          <w:rFonts w:hint="cs"/>
          <w:rtl/>
        </w:rPr>
        <w:t xml:space="preserve"> </w:t>
      </w:r>
      <w:r w:rsidRPr="00394B7E">
        <w:rPr>
          <w:rStyle w:val="aff0"/>
          <w:rFonts w:hint="cs"/>
          <w:rtl/>
        </w:rPr>
        <w:t xml:space="preserve">(עי' אות </w:t>
      </w:r>
      <w:r w:rsidRPr="00394B7E">
        <w:rPr>
          <w:rStyle w:val="aff0"/>
          <w:rtl/>
        </w:rPr>
        <w:fldChar w:fldCharType="begin"/>
      </w:r>
      <w:r w:rsidRPr="00394B7E">
        <w:rPr>
          <w:rStyle w:val="aff0"/>
          <w:rtl/>
        </w:rPr>
        <w:instrText xml:space="preserve"> </w:instrText>
      </w:r>
      <w:r w:rsidRPr="00394B7E">
        <w:rPr>
          <w:rStyle w:val="aff0"/>
          <w:rFonts w:hint="cs"/>
        </w:rPr>
        <w:instrText>REF</w:instrText>
      </w:r>
      <w:r w:rsidRPr="00394B7E">
        <w:rPr>
          <w:rStyle w:val="aff0"/>
          <w:rFonts w:hint="cs"/>
          <w:rtl/>
        </w:rPr>
        <w:instrText xml:space="preserve"> _</w:instrText>
      </w:r>
      <w:r w:rsidRPr="00394B7E">
        <w:rPr>
          <w:rStyle w:val="aff0"/>
          <w:rFonts w:hint="cs"/>
        </w:rPr>
        <w:instrText>Ref135150529 \r \h</w:instrText>
      </w:r>
      <w:r w:rsidRPr="00394B7E">
        <w:rPr>
          <w:rStyle w:val="aff0"/>
          <w:rtl/>
        </w:rPr>
        <w:instrText xml:space="preserve"> </w:instrText>
      </w:r>
      <w:r w:rsidRPr="00394B7E">
        <w:rPr>
          <w:rStyle w:val="aff0"/>
          <w:rtl/>
        </w:rPr>
      </w:r>
      <w:r w:rsidRPr="00394B7E">
        <w:rPr>
          <w:rStyle w:val="aff0"/>
          <w:rtl/>
        </w:rPr>
        <w:fldChar w:fldCharType="separate"/>
      </w:r>
      <w:r w:rsidR="00D82181">
        <w:rPr>
          <w:rStyle w:val="aff0"/>
          <w:cs/>
        </w:rPr>
        <w:t>‎</w:t>
      </w:r>
      <w:r w:rsidR="00D82181">
        <w:rPr>
          <w:rStyle w:val="aff0"/>
          <w:rtl/>
        </w:rPr>
        <w:t>פז)</w:t>
      </w:r>
      <w:r w:rsidRPr="00394B7E">
        <w:rPr>
          <w:rStyle w:val="aff0"/>
          <w:rtl/>
        </w:rPr>
        <w:fldChar w:fldCharType="end"/>
      </w:r>
      <w:r w:rsidRPr="007A72D8">
        <w:rPr>
          <w:rStyle w:val="af"/>
          <w:rFonts w:hint="cs"/>
          <w:rtl/>
        </w:rPr>
        <w:t xml:space="preserve"> דמדברי </w:t>
      </w:r>
      <w:r w:rsidRPr="00394B7E">
        <w:rPr>
          <w:rStyle w:val="aff9"/>
          <w:rFonts w:hint="cs"/>
          <w:vanish/>
          <w:rtl/>
        </w:rPr>
        <w:t>-</w:t>
      </w:r>
      <w:r w:rsidRPr="00394B7E">
        <w:rPr>
          <w:rStyle w:val="aff9"/>
          <w:rFonts w:hint="cs"/>
          <w:rtl/>
        </w:rPr>
        <w:t>הרמב"ם</w:t>
      </w:r>
      <w:r w:rsidRPr="00394B7E">
        <w:rPr>
          <w:rStyle w:val="aff9"/>
          <w:rFonts w:hint="cs"/>
          <w:vanish/>
          <w:rtl/>
        </w:rPr>
        <w:t>-</w:t>
      </w:r>
      <w:r w:rsidRPr="007A72D8">
        <w:rPr>
          <w:rStyle w:val="af"/>
          <w:rFonts w:hint="cs"/>
          <w:rtl/>
        </w:rPr>
        <w:t xml:space="preserve"> אין הכרע בזה]</w:t>
      </w:r>
      <w:r w:rsidRPr="009C1377">
        <w:rPr>
          <w:rStyle w:val="af"/>
          <w:rFonts w:hint="cs"/>
          <w:rtl/>
        </w:rPr>
        <w:t>,</w:t>
      </w:r>
      <w:r>
        <w:rPr>
          <w:rFonts w:hint="cs"/>
          <w:rtl/>
        </w:rPr>
        <w:t xml:space="preserve"> אלא ביאר </w:t>
      </w:r>
      <w:r w:rsidRPr="00DE1AA0">
        <w:rPr>
          <w:rStyle w:val="aff4"/>
          <w:rFonts w:hint="cs"/>
          <w:vanish/>
          <w:rtl/>
        </w:rPr>
        <w:t>-</w:t>
      </w:r>
      <w:r w:rsidRPr="00DB6BF0">
        <w:rPr>
          <w:rStyle w:val="aff4"/>
          <w:rFonts w:hint="cs"/>
          <w:rtl/>
        </w:rPr>
        <w:t>הדבר אברהם</w:t>
      </w:r>
      <w:r w:rsidRPr="00DE1AA0">
        <w:rPr>
          <w:rStyle w:val="aff4"/>
          <w:rFonts w:hint="cs"/>
          <w:vanish/>
          <w:rtl/>
        </w:rPr>
        <w:t>-</w:t>
      </w:r>
      <w:r>
        <w:rPr>
          <w:rFonts w:hint="cs"/>
          <w:rtl/>
        </w:rPr>
        <w:t xml:space="preserve"> דס"ל </w:t>
      </w:r>
      <w:r w:rsidRPr="00DE1AA0">
        <w:rPr>
          <w:rStyle w:val="aff4"/>
          <w:rFonts w:hint="cs"/>
          <w:vanish/>
          <w:rtl/>
        </w:rPr>
        <w:t>-</w:t>
      </w:r>
      <w:r w:rsidRPr="00DB6BF0">
        <w:rPr>
          <w:rStyle w:val="aff4"/>
          <w:rFonts w:hint="cs"/>
          <w:rtl/>
        </w:rPr>
        <w:t>להרמב"ם</w:t>
      </w:r>
      <w:r w:rsidRPr="00DE1AA0">
        <w:rPr>
          <w:rStyle w:val="aff4"/>
          <w:rFonts w:hint="cs"/>
          <w:vanish/>
          <w:rtl/>
        </w:rPr>
        <w:t>-</w:t>
      </w:r>
      <w:r>
        <w:rPr>
          <w:rFonts w:hint="cs"/>
          <w:rtl/>
        </w:rPr>
        <w:t xml:space="preserve"> דכשמגביהו מע"ג הקרקע הוא תולשו לגמרי מהקרקע, ועיי"ש במה שהאריך </w:t>
      </w:r>
      <w:r w:rsidRPr="00DE1AA0">
        <w:rPr>
          <w:rStyle w:val="aff4"/>
          <w:rFonts w:hint="cs"/>
          <w:vanish/>
          <w:rtl/>
        </w:rPr>
        <w:t>-</w:t>
      </w:r>
      <w:r w:rsidRPr="00DB6BF0">
        <w:rPr>
          <w:rStyle w:val="aff4"/>
          <w:rFonts w:hint="cs"/>
          <w:rtl/>
        </w:rPr>
        <w:t>הדבר אברהם</w:t>
      </w:r>
      <w:r w:rsidRPr="00DE1AA0">
        <w:rPr>
          <w:rStyle w:val="aff4"/>
          <w:rFonts w:hint="cs"/>
          <w:vanish/>
          <w:rtl/>
        </w:rPr>
        <w:t>-</w:t>
      </w:r>
      <w:r>
        <w:rPr>
          <w:rFonts w:hint="cs"/>
          <w:rtl/>
        </w:rPr>
        <w:t xml:space="preserve"> לבאר דאף אי כשמונח ע"ג יתדות חשיב כמחובר, מ"מ בשעה שמטלטלו מע"ג הקרקע לע"ג היתדות הוא תלוש לגמרי. </w:t>
      </w:r>
    </w:p>
    <w:p w14:paraId="7223E9AD" w14:textId="77777777" w:rsidR="000426DE" w:rsidRPr="00747170" w:rsidRDefault="000426DE" w:rsidP="00747170">
      <w:pPr>
        <w:pStyle w:val="a2"/>
        <w:rPr>
          <w:rtl/>
        </w:rPr>
      </w:pPr>
      <w:r w:rsidRPr="00747170">
        <w:rPr>
          <w:rtl/>
        </w:rPr>
        <w:t>[ו] ואפילו אי יהיבנא לכ"ג דשיטת הרמב"ם היא ג"כ כשיטת התוס' דעציץ המונח ע"ג יתדות הוי מחובר מ"מ אין ראיה מזה לנ"ד, ולאו משום מיעוט היניקה מחייב לה הרמב"ם אלא משום שתולש לגמרי מן הקרקע כמו שנבאר. דהנה הרמב"ם פסק בספינה כר' יהודה דאימתי בזמן שהספינה גוששת אבל אין הספינה גוששת פטור וגם ס"ל דמעולם לא נחלקו עליו רבנן בזה כמש"ל, ולפי"ז אלו הוה סבר כר' זירא דעציץ נקוב המונח ע"ג יתדות דמי לספינה בודאי היה העציץ נידון כתלוש, ולכן אם נבוא לומר דסבר דעציץ נקוב המונח ע"ג יתדות דמי לספינה בודאי היה העציץ נידון כתולש ולכן אם נבוא לומר דסבר דעציץ נקוב המונח ע"ג יתדות הוי מחובר בע"כ צ"ל דטעמו הוא משום דלית ליה הא דר' זירא אלא פסק כרבא דדחי התם לדר' זירא דילמא לא היא עד כאן לא קאמר ר' יהודה התם אלא בספינה העשויה לברוח אבל עציץ שאינו עשוי לברוח לא. והנה הא דאמר דשאני ספינה שעשויה לברוח יש לפרש על שני פנים, א) דלפי שהיא עשויה מעיקרה ודרכה לברוח משו"ה לא הויא כמחובר אפילו בשעה שאינה בורחת אלא עומדת והעיקר תלוי במה שהיא עשויה לכך כדדייק לשון הגמ' ב) שאינו תלוי במה שהיא עשויה לכך אלא במה שהיא בורחת בפועל דאז לא הויא כמחובר באותה שעה אבל בשעה שהיא עומדת דמיא לעציץ שע"ג יתדות והויא מחובר ואין חילוק בינה לעציץ אלא במה שהיא מהלכת ועציץ במקומו עומד. ולענ"ד נראה פשוטן של דברים כאופן השני דהעיקר תלוי בזה אם היא מהלכת או עומדת ובשעה שהיא עומדת הויא כעציץ דבמה גרע מה שהיא מהלכת תמיד כיון דעכשיו עומדת היא ואולי לזה דייק רש"י ז"ל העשויה לברוח כלומר מפני שהיא מהלכת כל שעה עכ"ל. וכן מורה להדיא לשון הירושלמי (חלה פ"ב ה"א) רבי הילא בשם ר' לעזר הקונה עציץ נקוב בסוריא אף על פי שלא קנה עפר שתחתיו וקרקע שע"ג קנה לחייבו למעשרות ולשביעית אפילו נתון ע"ג שתי יתדות אף רבי יודה מודה בה מה בינו לבין הספינה ספינה עולה ויורדת וזה במקומו הוא, הרי דהעיקר הוא במה שהיא עולה ויורדת וזה במקומו:</w:t>
      </w:r>
    </w:p>
    <w:p w14:paraId="66C896B2" w14:textId="77777777" w:rsidR="000426DE" w:rsidRPr="00D578AC" w:rsidRDefault="000426DE" w:rsidP="00747170">
      <w:pPr>
        <w:pStyle w:val="afffff5"/>
        <w:rPr>
          <w:rtl/>
        </w:rPr>
      </w:pPr>
      <w:r w:rsidRPr="00D578AC">
        <w:rPr>
          <w:rtl/>
        </w:rPr>
        <w:t xml:space="preserve">ולפי"ז נ"ל לומר מילתא חדתא, דהא דעציץ המונח ע"ג יתדות הוי מחובר לר"י אליבא דרבא וכן להרמב"ם דפסק כוותיה לפום מאי דקיימינן השתא הני מילי בשעה שהוא מונח ע"ג היתדות אבל בשעה שהוא מטולטל ממקום למקום באויר הוי תלוש, לפי שאז אינו עומד במקומו ודמי לספינה בשעה שהיא מהלכת שדינה כתלוש, והוי עציץ דומיא דספינה ממש שאם נגרר על הארץ הוי מחובר גם בשעה שנגרר כספינה הגוששת אבל אם הוא מיטלטל באויר הוי תלוש כאינה גוששת. ואף על פי שדבר חדש הוא נכון וברור הוא ב"ה לענ"ד. ועפי"ז דברי הרמב"ם ז"ל מבוארים היטב, דפרפיסא שהיתה מונחת ע"ג קרקע והניחה ע"ג יתדות חייב משום תולש אף על פי שע"ג יתדות נמי הוי מחובר משום דמיד כשתולשו מן הקרקע לאויר קודם שהניחו על היתדות מיחייב משום תולש שהרי בשעה שהוא מיטלטל והולך באויר הוי תלוש: </w:t>
      </w:r>
    </w:p>
    <w:p w14:paraId="384A0674" w14:textId="77777777" w:rsidR="000426DE" w:rsidRDefault="000426DE" w:rsidP="000426DE">
      <w:pPr>
        <w:pStyle w:val="afffff7"/>
        <w:rPr>
          <w:rtl/>
        </w:rPr>
      </w:pPr>
      <w:bookmarkStart w:id="1743" w:name="_Toc135513757"/>
      <w:bookmarkStart w:id="1744" w:name="_Toc163505679"/>
      <w:r>
        <w:rPr>
          <w:rtl/>
        </w:rPr>
        <w:t>דבר אברהם ח</w:t>
      </w:r>
      <w:r>
        <w:rPr>
          <w:rFonts w:hint="cs"/>
          <w:rtl/>
        </w:rPr>
        <w:t>"</w:t>
      </w:r>
      <w:r>
        <w:rPr>
          <w:rtl/>
        </w:rPr>
        <w:t>א סי</w:t>
      </w:r>
      <w:r>
        <w:rPr>
          <w:rFonts w:hint="cs"/>
          <w:rtl/>
        </w:rPr>
        <w:t>'</w:t>
      </w:r>
      <w:r>
        <w:rPr>
          <w:rtl/>
        </w:rPr>
        <w:t xml:space="preserve"> כ</w:t>
      </w:r>
      <w:r>
        <w:rPr>
          <w:rFonts w:hint="cs"/>
          <w:rtl/>
        </w:rPr>
        <w:t>"</w:t>
      </w:r>
      <w:r>
        <w:rPr>
          <w:rtl/>
        </w:rPr>
        <w:t>ה</w:t>
      </w:r>
      <w:r>
        <w:rPr>
          <w:rFonts w:hint="cs"/>
          <w:rtl/>
        </w:rPr>
        <w:t xml:space="preserve"> אות ט'</w:t>
      </w:r>
      <w:bookmarkEnd w:id="1743"/>
      <w:bookmarkEnd w:id="1744"/>
    </w:p>
    <w:p w14:paraId="0AE6572D" w14:textId="77777777" w:rsidR="000426DE" w:rsidRDefault="000426DE" w:rsidP="000426DE">
      <w:pPr>
        <w:pStyle w:val="a7"/>
        <w:rPr>
          <w:rtl/>
        </w:rPr>
      </w:pPr>
      <w:bookmarkStart w:id="1745" w:name="_Toc139316446"/>
      <w:r>
        <w:rPr>
          <w:rFonts w:hint="cs"/>
          <w:rtl/>
        </w:rPr>
        <w:t>בי' הדב"א דאף דבאויר תלוש פטור בזורע כיון דלא פסקה היניקה וגדר זורע הוא הוספת יניקה</w:t>
      </w:r>
      <w:bookmarkEnd w:id="1745"/>
    </w:p>
    <w:p w14:paraId="41AB1451" w14:textId="7766CF79" w:rsidR="000426DE" w:rsidRPr="00E12BD6" w:rsidRDefault="000426DE" w:rsidP="00BC7DC8">
      <w:pPr>
        <w:pStyle w:val="a3"/>
        <w:rPr>
          <w:rtl/>
        </w:rPr>
      </w:pPr>
      <w:bookmarkStart w:id="1746" w:name="_Ref135066429"/>
      <w:r>
        <w:rPr>
          <w:rFonts w:hint="cs"/>
          <w:rtl/>
        </w:rPr>
        <w:t xml:space="preserve">וכתב </w:t>
      </w:r>
      <w:r w:rsidRPr="00DE1AA0">
        <w:rPr>
          <w:rStyle w:val="aff4"/>
          <w:rFonts w:hint="cs"/>
          <w:vanish/>
          <w:rtl/>
        </w:rPr>
        <w:t>-</w:t>
      </w:r>
      <w:r w:rsidRPr="00DB6BF0">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Ref135066429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צט)</w:t>
      </w:r>
      <w:r w:rsidRPr="00B53404">
        <w:rPr>
          <w:rStyle w:val="aff4"/>
          <w:vanish/>
          <w:rtl/>
        </w:rPr>
        <w:fldChar w:fldCharType="end"/>
      </w:r>
      <w:r w:rsidRPr="00B53404">
        <w:rPr>
          <w:rStyle w:val="aff4"/>
          <w:rFonts w:hint="cs"/>
          <w:vanish/>
          <w:rtl/>
        </w:rPr>
        <w:t xml:space="preserve"> &gt;</w:t>
      </w:r>
      <w:r w:rsidRPr="00DB6BF0">
        <w:rPr>
          <w:rStyle w:val="aff4"/>
          <w:rFonts w:hint="cs"/>
          <w:rtl/>
        </w:rPr>
        <w:t>דבר אברהם</w:t>
      </w:r>
      <w:r w:rsidRPr="00DE1AA0">
        <w:rPr>
          <w:rStyle w:val="aff4"/>
          <w:rFonts w:hint="cs"/>
          <w:vanish/>
          <w:rtl/>
        </w:rPr>
        <w:t>-</w:t>
      </w:r>
      <w:r>
        <w:rPr>
          <w:rFonts w:hint="cs"/>
          <w:rtl/>
        </w:rPr>
        <w:t xml:space="preserve"> </w:t>
      </w:r>
      <w:r w:rsidRPr="00FB451D">
        <w:rPr>
          <w:rStyle w:val="af2"/>
          <w:rFonts w:eastAsia="Guttman Hodes" w:hint="cs"/>
          <w:rtl/>
        </w:rPr>
        <w:t>(ח"א סי' כ"ה אות ט')</w:t>
      </w:r>
      <w:r w:rsidRPr="00DE1AA0">
        <w:rPr>
          <w:rFonts w:hint="cs"/>
          <w:vanish/>
          <w:rtl/>
        </w:rPr>
        <w:t>=</w:t>
      </w:r>
      <w:r>
        <w:rPr>
          <w:rFonts w:hint="cs"/>
          <w:rtl/>
        </w:rPr>
        <w:t xml:space="preserve"> דאף דבשעה שמטלטלו מע"ג הקרקע לע"ג היתדות הוא תלוש לגמרי</w:t>
      </w:r>
      <w:bookmarkEnd w:id="1746"/>
      <w:r>
        <w:rPr>
          <w:rFonts w:hint="cs"/>
          <w:rtl/>
        </w:rPr>
        <w:t xml:space="preserve">, א"א לחייבו מדין זורע כשמניחו ע"ג היתדות, כיון שיש חילוק בעיקר המלאכה בין תולש לזורע, דתולש הוא לתלוש דבר מחובר מהקרקע, אבל גדר מלאכת זורע אינה חיבור הזרע לקרקע, אלא הוספת יניקה בזרע, ולכן כשמגביהו מע"ג קרקע ומניחו ע"ג יתדות, א"א לחייבו משום זורע, דלא הוסיף בו יניקה כלל, דאף כשהיה באויר דלא היה חשיב כמחובר מ"מ לא פסקה יניקתו. </w:t>
      </w:r>
      <w:r w:rsidRPr="007A72D8">
        <w:rPr>
          <w:rStyle w:val="af"/>
          <w:rFonts w:hint="cs"/>
          <w:rtl/>
        </w:rPr>
        <w:t xml:space="preserve">[ועיי"ש במה שהוכיח כן </w:t>
      </w:r>
      <w:r w:rsidRPr="00394B7E">
        <w:rPr>
          <w:rStyle w:val="aff9"/>
          <w:rFonts w:hint="cs"/>
          <w:vanish/>
          <w:rtl/>
        </w:rPr>
        <w:t>-</w:t>
      </w:r>
      <w:r w:rsidRPr="00394B7E">
        <w:rPr>
          <w:rStyle w:val="aff9"/>
          <w:rFonts w:hint="cs"/>
          <w:rtl/>
        </w:rPr>
        <w:t>הדבר אברהם</w:t>
      </w:r>
      <w:r w:rsidRPr="00394B7E">
        <w:rPr>
          <w:rStyle w:val="aff9"/>
          <w:rFonts w:hint="cs"/>
          <w:vanish/>
          <w:rtl/>
        </w:rPr>
        <w:t>-</w:t>
      </w:r>
      <w:r w:rsidRPr="007A72D8">
        <w:rPr>
          <w:rStyle w:val="af"/>
          <w:rFonts w:hint="cs"/>
          <w:rtl/>
        </w:rPr>
        <w:t xml:space="preserve"> מדברי </w:t>
      </w:r>
      <w:r w:rsidRPr="00394B7E">
        <w:rPr>
          <w:rStyle w:val="aff9"/>
          <w:rFonts w:hint="cs"/>
          <w:vanish/>
          <w:rtl/>
        </w:rPr>
        <w:t>-</w:t>
      </w:r>
      <w:r w:rsidRPr="00394B7E">
        <w:rPr>
          <w:rStyle w:val="aff9"/>
          <w:rFonts w:hint="cs"/>
          <w:rtl/>
        </w:rPr>
        <w:t>הרמב"ם</w:t>
      </w:r>
      <w:r w:rsidRPr="00394B7E">
        <w:rPr>
          <w:rStyle w:val="aff9"/>
          <w:rFonts w:hint="cs"/>
          <w:vanish/>
          <w:rtl/>
        </w:rPr>
        <w:t>-</w:t>
      </w:r>
      <w:r w:rsidRPr="007A72D8">
        <w:rPr>
          <w:rStyle w:val="af"/>
          <w:rFonts w:hint="cs"/>
          <w:rtl/>
        </w:rPr>
        <w:t xml:space="preserve"> </w:t>
      </w:r>
      <w:r w:rsidRPr="00394B7E">
        <w:rPr>
          <w:rStyle w:val="aff0"/>
          <w:rFonts w:hint="cs"/>
          <w:rtl/>
        </w:rPr>
        <w:t>(שבת פ"ח ה"ב, הובא בסימן א' אות ע"ט)</w:t>
      </w:r>
      <w:r w:rsidRPr="00394B7E">
        <w:rPr>
          <w:rStyle w:val="af"/>
          <w:rFonts w:hint="cs"/>
          <w:vanish/>
          <w:rtl/>
        </w:rPr>
        <w:t>=</w:t>
      </w:r>
      <w:r w:rsidRPr="007A72D8">
        <w:rPr>
          <w:rStyle w:val="af"/>
          <w:rFonts w:hint="cs"/>
          <w:rtl/>
        </w:rPr>
        <w:t xml:space="preserve"> דהשורה חיטין במים, הוא תולדה של זורע, ומבואר דגדר המלאכה הוא הצמחה, וכעי"ז ביאר </w:t>
      </w:r>
      <w:r w:rsidRPr="00394B7E">
        <w:rPr>
          <w:rStyle w:val="aff9"/>
          <w:rFonts w:hint="cs"/>
          <w:vanish/>
          <w:rtl/>
        </w:rPr>
        <w:t>-</w:t>
      </w:r>
      <w:r w:rsidRPr="00394B7E">
        <w:rPr>
          <w:rStyle w:val="aff9"/>
          <w:rFonts w:hint="cs"/>
          <w:rtl/>
        </w:rPr>
        <w:t>המנחת חינוך</w:t>
      </w:r>
      <w:r w:rsidRPr="00394B7E">
        <w:rPr>
          <w:rStyle w:val="aff9"/>
          <w:rFonts w:hint="cs"/>
          <w:vanish/>
          <w:rtl/>
        </w:rPr>
        <w:t>-</w:t>
      </w:r>
      <w:r w:rsidRPr="007A72D8">
        <w:rPr>
          <w:rStyle w:val="af"/>
          <w:rFonts w:hint="cs"/>
          <w:rtl/>
        </w:rPr>
        <w:t xml:space="preserve"> </w:t>
      </w:r>
      <w:r w:rsidRPr="00394B7E">
        <w:rPr>
          <w:rStyle w:val="aff0"/>
          <w:rFonts w:hint="cs"/>
          <w:rtl/>
        </w:rPr>
        <w:t>(מוסך השבת זורע אות ב' ד"ה עוד כתב, הובא בסימן א' אות ק"ח)</w:t>
      </w:r>
      <w:r w:rsidRPr="007A72D8">
        <w:rPr>
          <w:rStyle w:val="af"/>
          <w:rFonts w:hint="cs"/>
          <w:rtl/>
        </w:rPr>
        <w:t>]</w:t>
      </w:r>
      <w:r w:rsidRPr="00CD1359">
        <w:rPr>
          <w:rStyle w:val="af"/>
          <w:rFonts w:hint="cs"/>
          <w:rtl/>
        </w:rPr>
        <w:t>.</w:t>
      </w:r>
    </w:p>
    <w:p w14:paraId="5B373F64" w14:textId="77777777" w:rsidR="000426DE" w:rsidRPr="00747170" w:rsidRDefault="000426DE" w:rsidP="00747170">
      <w:pPr>
        <w:pStyle w:val="a2"/>
        <w:rPr>
          <w:rtl/>
        </w:rPr>
      </w:pPr>
      <w:r w:rsidRPr="00747170">
        <w:rPr>
          <w:rtl/>
        </w:rPr>
        <w:t xml:space="preserve">[ט] אולם גם אחר שיישבנו את דברינו מצד עצמם דבשעה שהעציץ מטולטל הוי כתלוש מ"מ אכתי יקשה בהא דפרפיסא דהו"ל להתחייב שתים משום תולש ומשום זורע משום תולש בשעה שמגביהו מן הקרקע לאויר ומשווי ליה לתלוש ומשום זורע כשמניחו מן האויר ע"ג יתדות שחוזר ומחברו. ונ"ל לומר בזה, דהנה עיקר דין חיבורו של עציץ נקוב הוא משום יניקתו מן הקרקע ולהכי עציץ שאינו נקוב שאינו יונק הוי תלוש כמבואר ברש"י שבת (דף צ"ה ע"א) במשנה ובכ"מ שדין העציץ לענין חיבורו תלוי ביניקתו מן הקרקע אבל מסתפק אני במונח ע"ג יתדות למאן דסבר דהוי תלוש וכן לר"י בספינה שאינה גוששת בשעה שהיא מהלכת, אם טעמם הוא דבכה"ג אינו יונק מן הקרקע שאין נקיבתו מועלת לו ומשו"ה הוי תלוש, או דילמא מינק שפיר קא יניק כיון שהוא מנוקב ואין לפניו עיכוב מלשאוב ריח הקרקע אלא דס"ל דאפילו כשיונק אינו חשוב כמחובר אא"כ הוא מונח על הארץ דוקא או עומד במקומו ולא כשנתון ע"ג יתדות או מהלך, וכיוצא בזה מצינו לר"ש דס"ל התם בשבת דנקוב כשאינו נקוב ומ"מ בניקב בכדי טהרתו מודה דהוי כמחובר אף על פי שבפחות מזה נמי יונק מן הקרקע מ"מ בעי בכדי טהרתו משום דבשיעור נקב כזה בטל אגב קרקע כמ"ש התוס' שבת (דף צ"ה ע"ב ד"ה ומודה ר"ש) וה"נ אפ"ל דכוותה דאע"ג דנקוב מינק יניק מ"מ לענין למישווייה מחובר בעינן שיהא מונח ע"ג קרקע ואם כנים אנחנו בזה לפי הדרך האחרון יתיישב לן שפיר מה שאינו חייב גם משום זורע בשעה שנתנו ע"ג יתדות. דהנה מלאכת הזורע בודאי אין גדרה לעשות את הזרע מחובר אלא עיקר עניינה הוא מה שנותן או מסבב שתנתן בו יניקה. </w:t>
      </w:r>
      <w:r w:rsidRPr="00747170">
        <w:rPr>
          <w:rStyle w:val="afff7"/>
          <w:rtl/>
        </w:rPr>
        <w:t>שהרי שורה חטים ושעורים במים חייב משום זורע כמבואר בזבחים (דף צ"ד ע"ב) וברמב"ם (פ"ח מהלכות שבת ה"ב) והתם לא מיחברי כלל אלא שנותן בהם רק יניקה וצמיחה,</w:t>
      </w:r>
      <w:r w:rsidRPr="00747170">
        <w:rPr>
          <w:rtl/>
        </w:rPr>
        <w:t xml:space="preserve"> </w:t>
      </w:r>
      <w:r w:rsidRPr="00747170">
        <w:rPr>
          <w:rStyle w:val="afff7"/>
          <w:rtl/>
        </w:rPr>
        <w:t>וכן המוסיף יניקה הוי זורע כדאמרינן במו"ק (דף ב' ע"ב) המשקה מים לזרעים בשבת חייב משום זורע וכן הזומר חייב משום נוטע [ויותר מזה מבואר אצלנו בסימן כ"ג בארוכה בגדר מלאכת הזורע דמיד שנותנו בעפר אפילו קודם שנקלט חייב ובלבד שיהא במקום שאפשר לו ליקלט וכ"כ בספר החינוך (מצוה תקמ"ח) לענין כלאי הכרם דאע"פ שאינו נאסר אלא עד שישרשו כמבואר בפסחים (דף כ"ה) מ"מ לענין מלקות מתחייב מיד שזרע שהלאו נאמר בלשון לא תזרע וזהו מעשה זריעה כבר. וכן נראה לי להביא ראיה מתו"כ (פ' שמיני) מנין לזרעים שזרען טהרו ת"ל אשר יזרע טהור או יכול אף על פי שלא השרישו ת"ל הוא הרי חזינן דאי לאו מיעוטא דהוא הו"א דאפילו לא השרישו טהור מקרא דאשר יזרע ומוכח דשם זריעה נופל מיד משזרעו אף על פי שלא נקלט עדיין ומכיון דאופיו של זורע לא הוי החיבור לקרקע אלא נתינת היניקה נראה דלא בעי גם זמן שתתחיל היניקה אלא מיד חייב, וכן בשורה חטים ושעורים מיד שזרקן למים אף על פי שעדיין לא התחילה תפיחת הצמיחה חייב משום זורע. ויש לתמוה על המג"א (סי' של"ו ס"ק י"ב) שכתב בשורה חטים ושעורים שאינו חייב אלא בשורה זמן ארוך כמו חצי יום, ומאי שנא תולדה זו מהאב והרי בזריעה חייב אף על פי שעדיין לא נקלט וה"נ בתולדה ליחייב מיד אפילו לא באו עדיין לידי תפיחה. וקצת י"ל דזריעה עצמה שאני דכיון שא"א בענין אחר כך היא דרכה של זריעה ובזה נגמרה המלאכה במה שנותנו בעפר, אבל בתולדה [דשורה במים] שכל דמיונה להאב הוא מה שמצמיח בעינן דוקא שיתחיל לצמוח או לתפוח, ודוחק הוא. ואפ"ל שאם נתנו אדעתא דהכי שישרה כמו חצי יום ויבוא לידי תפיחה חייב מיד כמו בזורע ורק אם אינו מכוון כלל להשאירו שם אלא שמעביר את הזרעים בידו במים דרך הדחה בעלמא אז פטור משום זורע, אבל משום לש חייב מיד שכבר נגמרה מלאכת הלישה ודו"ק].</w:t>
      </w:r>
      <w:r w:rsidRPr="00747170">
        <w:rPr>
          <w:rtl/>
        </w:rPr>
        <w:t xml:space="preserve"> והלכך כשנתנו מן האויר ע"ג יתדות אף על גב דמשווי ליה מתלוש למחובר אינו חייב משום זורע לפי שאינו מוסיף בו יניקה דגם בשעת טלטולו באויר היה יונק באותו שיעור שהוא יונק ע"ג יתדות והא דהוה תלוש בעודו באויר לאו משום דחסרה בי' יניקה אלא דלדינא דמחובר בעינן שיהא מונח דוקא וכנ"ל:</w:t>
      </w:r>
    </w:p>
    <w:p w14:paraId="7187C29B" w14:textId="77777777" w:rsidR="000426DE" w:rsidRPr="009F3082" w:rsidRDefault="000426DE" w:rsidP="000426DE">
      <w:pPr>
        <w:pStyle w:val="afffff7"/>
        <w:rPr>
          <w:vanish/>
          <w:rtl/>
        </w:rPr>
      </w:pPr>
      <w:bookmarkStart w:id="1747" w:name="_Toc135513758"/>
      <w:bookmarkStart w:id="1748" w:name="_Hlk135069180"/>
      <w:r w:rsidRPr="009F3082">
        <w:rPr>
          <w:rFonts w:hint="cs"/>
          <w:vanish/>
          <w:rtl/>
        </w:rPr>
        <w:t>דבר אברהם ח"א סי' כ"ה אות י"א</w:t>
      </w:r>
      <w:bookmarkEnd w:id="1747"/>
    </w:p>
    <w:p w14:paraId="0041A801" w14:textId="77777777" w:rsidR="000426DE" w:rsidRDefault="000426DE" w:rsidP="000426DE">
      <w:pPr>
        <w:pStyle w:val="a7"/>
        <w:rPr>
          <w:rtl/>
        </w:rPr>
      </w:pPr>
      <w:bookmarkStart w:id="1749" w:name="_Toc139316447"/>
      <w:r>
        <w:rPr>
          <w:rFonts w:hint="cs"/>
          <w:rtl/>
        </w:rPr>
        <w:t>בי' הדב"א בלבוש דמיעוט יניקה הוא תולש וכן מוסיף יניקה הוא זורע דגדר קוצר דמפסיק יניקה</w:t>
      </w:r>
      <w:bookmarkEnd w:id="1749"/>
    </w:p>
    <w:p w14:paraId="71D6CCDB" w14:textId="77C3C4F8" w:rsidR="000426DE" w:rsidRPr="008C6851" w:rsidRDefault="000426DE" w:rsidP="00BC7DC8">
      <w:pPr>
        <w:pStyle w:val="a3"/>
      </w:pPr>
      <w:bookmarkStart w:id="1750" w:name="_Ref135083976"/>
      <w:bookmarkStart w:id="1751" w:name="_Ref135084211"/>
      <w:r>
        <w:rPr>
          <w:rFonts w:hint="cs"/>
          <w:rtl/>
        </w:rPr>
        <w:t xml:space="preserve">אך הביא </w:t>
      </w:r>
      <w:r w:rsidRPr="00DE1AA0">
        <w:rPr>
          <w:rStyle w:val="aff4"/>
          <w:rFonts w:hint="cs"/>
          <w:vanish/>
          <w:rtl/>
        </w:rPr>
        <w:t>-</w:t>
      </w:r>
      <w:r w:rsidRPr="00DB6BF0">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Ref135083976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ק)</w:t>
      </w:r>
      <w:r w:rsidRPr="00B53404">
        <w:rPr>
          <w:rStyle w:val="aff4"/>
          <w:vanish/>
          <w:rtl/>
        </w:rPr>
        <w:fldChar w:fldCharType="end"/>
      </w:r>
      <w:r w:rsidRPr="00B53404">
        <w:rPr>
          <w:rStyle w:val="aff4"/>
          <w:rFonts w:hint="cs"/>
          <w:vanish/>
          <w:rtl/>
        </w:rPr>
        <w:t xml:space="preserve"> &gt;</w:t>
      </w:r>
      <w:r w:rsidRPr="00DB6BF0">
        <w:rPr>
          <w:rStyle w:val="aff4"/>
          <w:rFonts w:hint="cs"/>
          <w:rtl/>
        </w:rPr>
        <w:t>דבר אברהם</w:t>
      </w:r>
      <w:r w:rsidRPr="00DE1AA0">
        <w:rPr>
          <w:rStyle w:val="aff4"/>
          <w:rFonts w:hint="cs"/>
          <w:vanish/>
          <w:rtl/>
        </w:rPr>
        <w:t>-</w:t>
      </w:r>
      <w:r>
        <w:rPr>
          <w:rFonts w:hint="cs"/>
          <w:rtl/>
        </w:rPr>
        <w:t xml:space="preserve"> </w:t>
      </w:r>
      <w:r w:rsidRPr="00FB451D">
        <w:rPr>
          <w:rStyle w:val="af2"/>
          <w:rFonts w:eastAsia="Guttman Hodes" w:hint="cs"/>
          <w:rtl/>
        </w:rPr>
        <w:t>(ח"א סי' כ"ה אות י"א)</w:t>
      </w:r>
      <w:r w:rsidRPr="00DE1AA0">
        <w:rPr>
          <w:rFonts w:hint="cs"/>
          <w:vanish/>
          <w:rtl/>
        </w:rPr>
        <w:t>=</w:t>
      </w:r>
      <w:r>
        <w:rPr>
          <w:rFonts w:hint="cs"/>
          <w:rtl/>
        </w:rPr>
        <w:t xml:space="preserve"> את דברי </w:t>
      </w:r>
      <w:r w:rsidRPr="00DE1AA0">
        <w:rPr>
          <w:rStyle w:val="aff4"/>
          <w:rFonts w:hint="cs"/>
          <w:vanish/>
          <w:rtl/>
        </w:rPr>
        <w:t>-</w:t>
      </w:r>
      <w:r w:rsidRPr="00DB6BF0">
        <w:rPr>
          <w:rStyle w:val="aff4"/>
          <w:rFonts w:hint="cs"/>
          <w:rtl/>
        </w:rPr>
        <w:t>השו"ע</w:t>
      </w:r>
      <w:r w:rsidRPr="00DE1AA0">
        <w:rPr>
          <w:rStyle w:val="aff4"/>
          <w:rFonts w:hint="cs"/>
          <w:vanish/>
          <w:rtl/>
        </w:rPr>
        <w:t>-</w:t>
      </w:r>
      <w:r>
        <w:rPr>
          <w:rFonts w:hint="cs"/>
          <w:rtl/>
        </w:rPr>
        <w:t xml:space="preserve"> </w:t>
      </w:r>
      <w:r w:rsidRPr="00FB451D">
        <w:rPr>
          <w:rStyle w:val="af2"/>
          <w:rFonts w:eastAsia="Guttman Hodes" w:hint="cs"/>
          <w:rtl/>
        </w:rPr>
        <w:t xml:space="preserve">(עי' אות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Ref135083821 \r \h</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נ)</w:t>
      </w:r>
      <w:r w:rsidRPr="00FB451D">
        <w:rPr>
          <w:rStyle w:val="af2"/>
          <w:rFonts w:eastAsia="Guttman Hodes"/>
          <w:rtl/>
        </w:rPr>
        <w:fldChar w:fldCharType="end"/>
      </w:r>
      <w:r>
        <w:rPr>
          <w:rFonts w:hint="cs"/>
          <w:rtl/>
        </w:rPr>
        <w:t xml:space="preserve"> דכתב דיש ליזהר מליטול עציץ שאינו נקוב מע"ג קרקע, ולהניחו ע"ג יתדות או להיפך, וביאר </w:t>
      </w:r>
      <w:r w:rsidRPr="00DE1AA0">
        <w:rPr>
          <w:rStyle w:val="aff4"/>
          <w:rFonts w:hint="cs"/>
          <w:vanish/>
          <w:rtl/>
        </w:rPr>
        <w:t>-</w:t>
      </w:r>
      <w:r w:rsidRPr="00DB6BF0">
        <w:rPr>
          <w:rStyle w:val="aff4"/>
          <w:rFonts w:hint="cs"/>
          <w:rtl/>
        </w:rPr>
        <w:t>הלבוש</w:t>
      </w:r>
      <w:r w:rsidRPr="00DE1AA0">
        <w:rPr>
          <w:rStyle w:val="aff4"/>
          <w:rFonts w:hint="cs"/>
          <w:vanish/>
          <w:rtl/>
        </w:rPr>
        <w:t>-</w:t>
      </w:r>
      <w:r>
        <w:rPr>
          <w:rFonts w:hint="cs"/>
          <w:rtl/>
        </w:rPr>
        <w:t xml:space="preserve"> דהוא כתולש דממעט את היניקה, וכן כשמניחו ע"ג קרקע הוא כזורע כיון שמוסיף ביניקה ולכן אסור, וכתב </w:t>
      </w:r>
      <w:r w:rsidRPr="00DE1AA0">
        <w:rPr>
          <w:rStyle w:val="aff4"/>
          <w:rFonts w:hint="cs"/>
          <w:vanish/>
          <w:rtl/>
        </w:rPr>
        <w:t>-</w:t>
      </w:r>
      <w:r w:rsidRPr="00DB6BF0">
        <w:rPr>
          <w:rStyle w:val="aff4"/>
          <w:rFonts w:hint="cs"/>
          <w:rtl/>
        </w:rPr>
        <w:t>הדבר אברהם</w:t>
      </w:r>
      <w:r w:rsidRPr="00DE1AA0">
        <w:rPr>
          <w:rStyle w:val="aff4"/>
          <w:rFonts w:hint="cs"/>
          <w:vanish/>
          <w:rtl/>
        </w:rPr>
        <w:t>-</w:t>
      </w:r>
      <w:r>
        <w:rPr>
          <w:rFonts w:hint="cs"/>
          <w:rtl/>
        </w:rPr>
        <w:t xml:space="preserve"> דמבואר מדברי </w:t>
      </w:r>
      <w:r w:rsidRPr="00DE1AA0">
        <w:rPr>
          <w:rStyle w:val="aff4"/>
          <w:rFonts w:hint="cs"/>
          <w:vanish/>
          <w:rtl/>
        </w:rPr>
        <w:t>-</w:t>
      </w:r>
      <w:r w:rsidRPr="00DB6BF0">
        <w:rPr>
          <w:rStyle w:val="aff4"/>
          <w:rFonts w:hint="cs"/>
          <w:rtl/>
        </w:rPr>
        <w:t>הלבוש</w:t>
      </w:r>
      <w:r w:rsidRPr="00DE1AA0">
        <w:rPr>
          <w:rStyle w:val="aff4"/>
          <w:rFonts w:hint="cs"/>
          <w:vanish/>
          <w:rtl/>
        </w:rPr>
        <w:t>-</w:t>
      </w:r>
      <w:r>
        <w:rPr>
          <w:rFonts w:hint="cs"/>
          <w:rtl/>
        </w:rPr>
        <w:t xml:space="preserve"> כביאור </w:t>
      </w:r>
      <w:r w:rsidRPr="00DE1AA0">
        <w:rPr>
          <w:rStyle w:val="aff4"/>
          <w:rFonts w:hint="cs"/>
          <w:vanish/>
          <w:rtl/>
        </w:rPr>
        <w:t>-</w:t>
      </w:r>
      <w:r w:rsidRPr="00DB6BF0">
        <w:rPr>
          <w:rStyle w:val="aff4"/>
          <w:rFonts w:hint="cs"/>
          <w:rtl/>
        </w:rPr>
        <w:t>הזכר יצחק</w:t>
      </w:r>
      <w:r w:rsidRPr="00DE1AA0">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Ref135385725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צה)</w:t>
      </w:r>
      <w:r>
        <w:rPr>
          <w:rStyle w:val="af2"/>
          <w:rFonts w:eastAsia="Guttman Hodes"/>
          <w:rtl/>
        </w:rPr>
        <w:fldChar w:fldCharType="end"/>
      </w:r>
      <w:r>
        <w:rPr>
          <w:rFonts w:hint="cs"/>
          <w:rtl/>
        </w:rPr>
        <w:t xml:space="preserve"> דגדר קוצר הוא מחמת דמפסיק את היניקה, ולכן גם הפסקת מקצת היניקה אסורה</w:t>
      </w:r>
      <w:bookmarkEnd w:id="1750"/>
      <w:bookmarkEnd w:id="1751"/>
      <w:r>
        <w:rPr>
          <w:rFonts w:hint="cs"/>
          <w:rtl/>
        </w:rPr>
        <w:t>.</w:t>
      </w:r>
    </w:p>
    <w:p w14:paraId="587DEAFD" w14:textId="77777777" w:rsidR="000426DE" w:rsidRPr="00747170" w:rsidRDefault="000426DE" w:rsidP="00747170">
      <w:pPr>
        <w:pStyle w:val="a2"/>
        <w:rPr>
          <w:rtl/>
        </w:rPr>
      </w:pPr>
      <w:r w:rsidRPr="00747170">
        <w:rPr>
          <w:rtl/>
        </w:rPr>
        <w:t>[יא] וראיתי להלבוש או"ח (סי' של"ו סעי' ח') שתפס כדעת כ"ג דבמיעוט היניקה הוי תולש שכתב וז"ל ואפילו העציץ עצמה יש ליזהר מליטלה מעל גבי הקרקע ולהניחה ע"ג יתדות או איפכא בין שהיא של עץ בין שהיא של חרס מפני שבעוד שהיא ע"ג קרקע היא יונקת ליחות יותר מן הארץ וכשהוא מגביהה ה"ל כתולש שממעט יניקתה וכן איפכא שנוטלה מע"ג היתדות ומניחה ע"ג הקרקע ה"ל כזורע שמרבה יניקתה ואסור עכ"ל. הנה מפורש בדבריו כדברי כ"ג</w:t>
      </w:r>
      <w:r w:rsidRPr="00747170">
        <w:rPr>
          <w:rFonts w:hint="cs"/>
          <w:rtl/>
        </w:rPr>
        <w:t>.</w:t>
      </w:r>
    </w:p>
    <w:p w14:paraId="71ACD6AE" w14:textId="77777777" w:rsidR="000426DE" w:rsidRPr="005278CE" w:rsidRDefault="000426DE" w:rsidP="000426DE">
      <w:pPr>
        <w:pStyle w:val="a7"/>
      </w:pPr>
      <w:bookmarkStart w:id="1752" w:name="_Toc139316448"/>
      <w:r>
        <w:rPr>
          <w:rFonts w:hint="cs"/>
          <w:rtl/>
        </w:rPr>
        <w:t>דחיית הדב"א דאפש"ל דס"ל ללבוש כרש"י דהגבהה ע"ג יתדות דרבנן ומיעוט יניקה ל"ה קוצר</w:t>
      </w:r>
      <w:bookmarkEnd w:id="1752"/>
    </w:p>
    <w:p w14:paraId="0EB4CB33" w14:textId="1A432E16" w:rsidR="000426DE" w:rsidRPr="00E86DF7" w:rsidRDefault="000426DE" w:rsidP="00BC7DC8">
      <w:pPr>
        <w:pStyle w:val="a3"/>
        <w:rPr>
          <w:rStyle w:val="af"/>
        </w:rPr>
      </w:pPr>
      <w:r>
        <w:rPr>
          <w:rFonts w:hint="cs"/>
          <w:rtl/>
        </w:rPr>
        <w:t xml:space="preserve">אך דחה </w:t>
      </w:r>
      <w:r w:rsidRPr="00E86DF7">
        <w:rPr>
          <w:rStyle w:val="aff4"/>
          <w:rFonts w:hint="cs"/>
          <w:vanish/>
          <w:rtl/>
        </w:rPr>
        <w:t>-</w:t>
      </w:r>
      <w:r w:rsidRPr="00DB6BF0">
        <w:rPr>
          <w:rStyle w:val="aff4"/>
          <w:rFonts w:hint="cs"/>
          <w:rtl/>
        </w:rPr>
        <w:t>הדבר אברהם</w:t>
      </w:r>
      <w:r w:rsidRPr="00E86DF7">
        <w:rPr>
          <w:rStyle w:val="aff4"/>
          <w:rFonts w:hint="cs"/>
          <w:vanish/>
          <w:rtl/>
        </w:rPr>
        <w:t>-</w:t>
      </w:r>
      <w:r>
        <w:rPr>
          <w:rFonts w:hint="cs"/>
          <w:rtl/>
        </w:rPr>
        <w:t xml:space="preserve"> דיש להסתפק אי ס"ל </w:t>
      </w:r>
      <w:r w:rsidRPr="00E86DF7">
        <w:rPr>
          <w:rStyle w:val="aff4"/>
          <w:rFonts w:hint="cs"/>
          <w:vanish/>
          <w:rtl/>
        </w:rPr>
        <w:t>-</w:t>
      </w:r>
      <w:r w:rsidRPr="00DB6BF0">
        <w:rPr>
          <w:rStyle w:val="aff4"/>
          <w:rFonts w:hint="cs"/>
          <w:rtl/>
        </w:rPr>
        <w:t>להלבוש</w:t>
      </w:r>
      <w:r w:rsidRPr="00E86DF7">
        <w:rPr>
          <w:rStyle w:val="aff4"/>
          <w:rFonts w:hint="cs"/>
          <w:vanish/>
          <w:rtl/>
        </w:rPr>
        <w:t>-</w:t>
      </w:r>
      <w:r>
        <w:rPr>
          <w:rFonts w:hint="cs"/>
          <w:rtl/>
        </w:rPr>
        <w:t xml:space="preserve"> כדעת </w:t>
      </w:r>
      <w:r w:rsidRPr="00E86DF7">
        <w:rPr>
          <w:rStyle w:val="aff4"/>
          <w:rFonts w:hint="cs"/>
          <w:vanish/>
          <w:rtl/>
        </w:rPr>
        <w:t>-</w:t>
      </w:r>
      <w:r w:rsidRPr="00DB6BF0">
        <w:rPr>
          <w:rStyle w:val="aff4"/>
          <w:rFonts w:hint="cs"/>
          <w:rtl/>
        </w:rPr>
        <w:t>הרמב"ם</w:t>
      </w:r>
      <w:r w:rsidRPr="00E86DF7">
        <w:rPr>
          <w:rStyle w:val="aff4"/>
          <w:rFonts w:hint="cs"/>
          <w:vanish/>
          <w:rtl/>
        </w:rPr>
        <w:t>-</w:t>
      </w:r>
      <w:r>
        <w:rPr>
          <w:rFonts w:hint="cs"/>
          <w:rtl/>
        </w:rPr>
        <w:t xml:space="preserve"> </w:t>
      </w:r>
      <w:r w:rsidRPr="00E86DF7">
        <w:rPr>
          <w:rStyle w:val="af2"/>
          <w:rFonts w:eastAsia="Guttman Hodes" w:hint="cs"/>
          <w:rtl/>
        </w:rPr>
        <w:t xml:space="preserve">(עי' אות </w:t>
      </w:r>
      <w:r w:rsidRPr="00E86DF7">
        <w:rPr>
          <w:rStyle w:val="af2"/>
          <w:rFonts w:eastAsia="Guttman Hodes"/>
          <w:rtl/>
        </w:rPr>
        <w:fldChar w:fldCharType="begin"/>
      </w:r>
      <w:r w:rsidRPr="00E86DF7">
        <w:rPr>
          <w:rStyle w:val="af2"/>
          <w:rFonts w:eastAsia="Guttman Hodes"/>
          <w:rtl/>
        </w:rPr>
        <w:instrText xml:space="preserve"> </w:instrText>
      </w:r>
      <w:r w:rsidRPr="00E86DF7">
        <w:rPr>
          <w:rStyle w:val="af2"/>
          <w:rFonts w:eastAsia="Guttman Hodes" w:hint="cs"/>
        </w:rPr>
        <w:instrText>REF</w:instrText>
      </w:r>
      <w:r w:rsidRPr="00E86DF7">
        <w:rPr>
          <w:rStyle w:val="af2"/>
          <w:rFonts w:eastAsia="Guttman Hodes" w:hint="cs"/>
          <w:rtl/>
        </w:rPr>
        <w:instrText xml:space="preserve"> _</w:instrText>
      </w:r>
      <w:r w:rsidRPr="00E86DF7">
        <w:rPr>
          <w:rStyle w:val="af2"/>
          <w:rFonts w:eastAsia="Guttman Hodes" w:hint="cs"/>
        </w:rPr>
        <w:instrText>Ref134736415 \r \h</w:instrText>
      </w:r>
      <w:r w:rsidRPr="00E86DF7">
        <w:rPr>
          <w:rStyle w:val="af2"/>
          <w:rFonts w:eastAsia="Guttman Hodes"/>
          <w:rtl/>
        </w:rPr>
        <w:instrText xml:space="preserve"> </w:instrText>
      </w:r>
      <w:r w:rsidRPr="00E86DF7">
        <w:rPr>
          <w:rStyle w:val="af2"/>
          <w:rFonts w:eastAsia="Guttman Hodes"/>
          <w:rtl/>
        </w:rPr>
      </w:r>
      <w:r w:rsidRPr="00E86DF7">
        <w:rPr>
          <w:rStyle w:val="af2"/>
          <w:rFonts w:eastAsia="Guttman Hodes"/>
          <w:rtl/>
        </w:rPr>
        <w:fldChar w:fldCharType="separate"/>
      </w:r>
      <w:r w:rsidR="00D82181">
        <w:rPr>
          <w:rStyle w:val="af2"/>
          <w:rFonts w:eastAsia="Guttman Hodes"/>
          <w:cs/>
        </w:rPr>
        <w:t>‎</w:t>
      </w:r>
      <w:r w:rsidR="00D82181">
        <w:rPr>
          <w:rStyle w:val="af2"/>
          <w:rFonts w:eastAsia="Guttman Hodes"/>
          <w:rtl/>
        </w:rPr>
        <w:t>מ)</w:t>
      </w:r>
      <w:r w:rsidRPr="00E86DF7">
        <w:rPr>
          <w:rStyle w:val="af2"/>
          <w:rFonts w:eastAsia="Guttman Hodes"/>
          <w:rtl/>
        </w:rPr>
        <w:fldChar w:fldCharType="end"/>
      </w:r>
      <w:r>
        <w:rPr>
          <w:rFonts w:hint="cs"/>
          <w:rtl/>
        </w:rPr>
        <w:t xml:space="preserve"> דבעציץ נקוב הוא תולש דאו', וכיון דכתב </w:t>
      </w:r>
      <w:r w:rsidRPr="00E86DF7">
        <w:rPr>
          <w:rStyle w:val="aff4"/>
          <w:rFonts w:hint="cs"/>
          <w:vanish/>
          <w:rtl/>
        </w:rPr>
        <w:t>-</w:t>
      </w:r>
      <w:r w:rsidRPr="00DB6BF0">
        <w:rPr>
          <w:rStyle w:val="aff4"/>
          <w:rFonts w:hint="cs"/>
          <w:rtl/>
        </w:rPr>
        <w:t>הלבוש</w:t>
      </w:r>
      <w:r w:rsidRPr="00E86DF7">
        <w:rPr>
          <w:rStyle w:val="aff4"/>
          <w:rFonts w:hint="cs"/>
          <w:vanish/>
          <w:rtl/>
        </w:rPr>
        <w:t>-</w:t>
      </w:r>
      <w:r>
        <w:rPr>
          <w:rFonts w:hint="cs"/>
          <w:rtl/>
        </w:rPr>
        <w:t xml:space="preserve"> דהאיסור להגביה את העציץ מהקרקע ולהיפך, הוא אף בעציץ שאינו נקוב, א"כ מוכח </w:t>
      </w:r>
      <w:r w:rsidRPr="00E86DF7">
        <w:rPr>
          <w:rStyle w:val="aff4"/>
          <w:rFonts w:hint="cs"/>
          <w:vanish/>
          <w:rtl/>
        </w:rPr>
        <w:t>-</w:t>
      </w:r>
      <w:r w:rsidRPr="00DB6BF0">
        <w:rPr>
          <w:rStyle w:val="aff4"/>
          <w:rFonts w:hint="cs"/>
          <w:rtl/>
        </w:rPr>
        <w:t>מהלבוש</w:t>
      </w:r>
      <w:r w:rsidRPr="00E86DF7">
        <w:rPr>
          <w:rStyle w:val="aff4"/>
          <w:rFonts w:hint="cs"/>
          <w:vanish/>
          <w:rtl/>
        </w:rPr>
        <w:t>-</w:t>
      </w:r>
      <w:r>
        <w:rPr>
          <w:rFonts w:hint="cs"/>
          <w:rtl/>
        </w:rPr>
        <w:t xml:space="preserve"> דיסוד האיסור בקוצר הוא משום שמבדילו מחיותו, ולכן אף בעציץ שאינו נקוב דממעט מהיניקה יש איסור מדאו', כביאור </w:t>
      </w:r>
      <w:r w:rsidRPr="00E86DF7">
        <w:rPr>
          <w:rStyle w:val="aff4"/>
          <w:rFonts w:hint="cs"/>
          <w:vanish/>
          <w:rtl/>
        </w:rPr>
        <w:t>-</w:t>
      </w:r>
      <w:r w:rsidRPr="00DB6BF0">
        <w:rPr>
          <w:rStyle w:val="aff4"/>
          <w:rFonts w:hint="cs"/>
          <w:rtl/>
        </w:rPr>
        <w:t>הזכר יצחק</w:t>
      </w:r>
      <w:r w:rsidRPr="00E86DF7">
        <w:rPr>
          <w:rStyle w:val="aff4"/>
          <w:rFonts w:hint="cs"/>
          <w:vanish/>
          <w:rtl/>
        </w:rPr>
        <w:t>-</w:t>
      </w:r>
      <w:r>
        <w:rPr>
          <w:rFonts w:hint="cs"/>
          <w:rtl/>
        </w:rPr>
        <w:t xml:space="preserve">, אף שאינו מפסיקו מחיותו לגמרי, או דס"ל </w:t>
      </w:r>
      <w:r w:rsidRPr="00E86DF7">
        <w:rPr>
          <w:rStyle w:val="aff4"/>
          <w:rFonts w:hint="cs"/>
          <w:vanish/>
          <w:rtl/>
        </w:rPr>
        <w:t>-</w:t>
      </w:r>
      <w:r w:rsidRPr="00DB6BF0">
        <w:rPr>
          <w:rStyle w:val="aff4"/>
          <w:rFonts w:hint="cs"/>
          <w:rtl/>
        </w:rPr>
        <w:t>להלבוש</w:t>
      </w:r>
      <w:r w:rsidRPr="00E86DF7">
        <w:rPr>
          <w:rStyle w:val="aff4"/>
          <w:rFonts w:hint="cs"/>
          <w:vanish/>
          <w:rtl/>
        </w:rPr>
        <w:t>-</w:t>
      </w:r>
      <w:r>
        <w:rPr>
          <w:rFonts w:hint="cs"/>
          <w:rtl/>
        </w:rPr>
        <w:t xml:space="preserve"> כדעת </w:t>
      </w:r>
      <w:r w:rsidRPr="00E86DF7">
        <w:rPr>
          <w:rStyle w:val="aff4"/>
          <w:rFonts w:hint="cs"/>
          <w:vanish/>
          <w:rtl/>
        </w:rPr>
        <w:t>-</w:t>
      </w:r>
      <w:r w:rsidRPr="00DB6BF0">
        <w:rPr>
          <w:rStyle w:val="aff4"/>
          <w:rFonts w:hint="cs"/>
          <w:rtl/>
        </w:rPr>
        <w:t>רש"י ותוס' ושא"ר</w:t>
      </w:r>
      <w:r w:rsidRPr="00E86DF7">
        <w:rPr>
          <w:rStyle w:val="aff4"/>
          <w:rFonts w:hint="cs"/>
          <w:vanish/>
          <w:rtl/>
        </w:rPr>
        <w:t>-</w:t>
      </w:r>
      <w:r>
        <w:rPr>
          <w:rFonts w:hint="cs"/>
          <w:rtl/>
        </w:rPr>
        <w:t xml:space="preserve"> דאף בעציץ נקוב שמגביהו מע"ג הקרקע ומניחו ע"ג יתדות אין איסור דאו', והאיסור בזה הוא רק מדרבנן, וא"כ כוונת </w:t>
      </w:r>
      <w:r w:rsidRPr="00E86DF7">
        <w:rPr>
          <w:rStyle w:val="aff4"/>
          <w:rFonts w:hint="cs"/>
          <w:vanish/>
          <w:rtl/>
        </w:rPr>
        <w:t>-</w:t>
      </w:r>
      <w:r w:rsidRPr="00DB6BF0">
        <w:rPr>
          <w:rStyle w:val="aff4"/>
          <w:rFonts w:hint="cs"/>
          <w:rtl/>
        </w:rPr>
        <w:t>הלבוש</w:t>
      </w:r>
      <w:r w:rsidRPr="00E86DF7">
        <w:rPr>
          <w:rStyle w:val="aff4"/>
          <w:rFonts w:hint="cs"/>
          <w:vanish/>
          <w:rtl/>
        </w:rPr>
        <w:t>-</w:t>
      </w:r>
      <w:r>
        <w:rPr>
          <w:rFonts w:hint="cs"/>
          <w:rtl/>
        </w:rPr>
        <w:t xml:space="preserve"> לבאר דטעם האיסור מדרבנן הוא דאעפ"י שאי"ז תולש כלל, מ"מ כיון שממעט את היניקה דמי לתולש, ולכן גזרו רבנן בזה, וא"כ מבואר מדברי </w:t>
      </w:r>
      <w:r w:rsidRPr="00E86DF7">
        <w:rPr>
          <w:rStyle w:val="aff4"/>
          <w:rFonts w:hint="cs"/>
          <w:vanish/>
          <w:rtl/>
        </w:rPr>
        <w:t>-</w:t>
      </w:r>
      <w:r w:rsidRPr="00DB6BF0">
        <w:rPr>
          <w:rStyle w:val="aff4"/>
          <w:rFonts w:hint="cs"/>
          <w:rtl/>
        </w:rPr>
        <w:t>הלבוש</w:t>
      </w:r>
      <w:r w:rsidRPr="00E86DF7">
        <w:rPr>
          <w:rStyle w:val="aff4"/>
          <w:rFonts w:hint="cs"/>
          <w:vanish/>
          <w:rtl/>
        </w:rPr>
        <w:t>-</w:t>
      </w:r>
      <w:r>
        <w:rPr>
          <w:rFonts w:hint="cs"/>
          <w:rtl/>
        </w:rPr>
        <w:t xml:space="preserve"> להיפך מביאור </w:t>
      </w:r>
      <w:r w:rsidRPr="00E86DF7">
        <w:rPr>
          <w:rStyle w:val="aff4"/>
          <w:rFonts w:hint="cs"/>
          <w:vanish/>
          <w:rtl/>
        </w:rPr>
        <w:t>-</w:t>
      </w:r>
      <w:r w:rsidRPr="00DB6BF0">
        <w:rPr>
          <w:rStyle w:val="aff4"/>
          <w:rFonts w:hint="cs"/>
          <w:rtl/>
        </w:rPr>
        <w:t>הזכר יצחק</w:t>
      </w:r>
      <w:r w:rsidRPr="00E86DF7">
        <w:rPr>
          <w:rStyle w:val="aff4"/>
          <w:rFonts w:hint="cs"/>
          <w:vanish/>
          <w:rtl/>
        </w:rPr>
        <w:t>-</w:t>
      </w:r>
      <w:r>
        <w:rPr>
          <w:rFonts w:hint="cs"/>
          <w:rtl/>
        </w:rPr>
        <w:t xml:space="preserve"> </w:t>
      </w:r>
      <w:r w:rsidRPr="00E86DF7">
        <w:rPr>
          <w:rStyle w:val="af2"/>
          <w:rFonts w:eastAsia="Guttman Hodes" w:hint="cs"/>
          <w:rtl/>
        </w:rPr>
        <w:t xml:space="preserve">(עי' אות </w:t>
      </w:r>
      <w:r w:rsidRPr="00E86DF7">
        <w:rPr>
          <w:rStyle w:val="af2"/>
          <w:rFonts w:eastAsia="Guttman Hodes"/>
          <w:rtl/>
        </w:rPr>
        <w:fldChar w:fldCharType="begin"/>
      </w:r>
      <w:r w:rsidRPr="00E86DF7">
        <w:rPr>
          <w:rStyle w:val="af2"/>
          <w:rFonts w:eastAsia="Guttman Hodes"/>
          <w:rtl/>
        </w:rPr>
        <w:instrText xml:space="preserve"> </w:instrText>
      </w:r>
      <w:r w:rsidRPr="00E86DF7">
        <w:rPr>
          <w:rStyle w:val="af2"/>
          <w:rFonts w:eastAsia="Guttman Hodes" w:hint="cs"/>
        </w:rPr>
        <w:instrText>REF</w:instrText>
      </w:r>
      <w:r w:rsidRPr="00E86DF7">
        <w:rPr>
          <w:rStyle w:val="af2"/>
          <w:rFonts w:eastAsia="Guttman Hodes" w:hint="cs"/>
          <w:rtl/>
        </w:rPr>
        <w:instrText xml:space="preserve"> _</w:instrText>
      </w:r>
      <w:r w:rsidRPr="00E86DF7">
        <w:rPr>
          <w:rStyle w:val="af2"/>
          <w:rFonts w:eastAsia="Guttman Hodes" w:hint="cs"/>
        </w:rPr>
        <w:instrText>Ref135385725 \r \h</w:instrText>
      </w:r>
      <w:r w:rsidRPr="00E86DF7">
        <w:rPr>
          <w:rStyle w:val="af2"/>
          <w:rFonts w:eastAsia="Guttman Hodes"/>
          <w:rtl/>
        </w:rPr>
        <w:instrText xml:space="preserve"> </w:instrText>
      </w:r>
      <w:r w:rsidRPr="00E86DF7">
        <w:rPr>
          <w:rStyle w:val="af2"/>
          <w:rFonts w:eastAsia="Guttman Hodes"/>
          <w:rtl/>
        </w:rPr>
      </w:r>
      <w:r w:rsidRPr="00E86DF7">
        <w:rPr>
          <w:rStyle w:val="af2"/>
          <w:rFonts w:eastAsia="Guttman Hodes"/>
          <w:rtl/>
        </w:rPr>
        <w:fldChar w:fldCharType="separate"/>
      </w:r>
      <w:r w:rsidR="00D82181">
        <w:rPr>
          <w:rStyle w:val="af2"/>
          <w:rFonts w:eastAsia="Guttman Hodes"/>
          <w:cs/>
        </w:rPr>
        <w:t>‎</w:t>
      </w:r>
      <w:r w:rsidR="00D82181">
        <w:rPr>
          <w:rStyle w:val="af2"/>
          <w:rFonts w:eastAsia="Guttman Hodes"/>
          <w:rtl/>
        </w:rPr>
        <w:t>צה)</w:t>
      </w:r>
      <w:r w:rsidRPr="00E86DF7">
        <w:rPr>
          <w:rStyle w:val="af2"/>
          <w:rFonts w:eastAsia="Guttman Hodes"/>
          <w:rtl/>
        </w:rPr>
        <w:fldChar w:fldCharType="end"/>
      </w:r>
      <w:r>
        <w:rPr>
          <w:rFonts w:hint="cs"/>
          <w:rtl/>
        </w:rPr>
        <w:t xml:space="preserve">. </w:t>
      </w:r>
      <w:r w:rsidRPr="00E86DF7">
        <w:rPr>
          <w:rStyle w:val="af"/>
          <w:rFonts w:hint="cs"/>
          <w:rtl/>
        </w:rPr>
        <w:t xml:space="preserve">[וכתב </w:t>
      </w:r>
      <w:r w:rsidRPr="00E86DF7">
        <w:rPr>
          <w:rStyle w:val="aff9"/>
          <w:rFonts w:hint="cs"/>
          <w:vanish/>
          <w:rtl/>
        </w:rPr>
        <w:t>-</w:t>
      </w:r>
      <w:r w:rsidRPr="00E86DF7">
        <w:rPr>
          <w:rStyle w:val="aff9"/>
          <w:rFonts w:hint="cs"/>
          <w:rtl/>
        </w:rPr>
        <w:t>הדבר אברהם</w:t>
      </w:r>
      <w:r w:rsidRPr="00E86DF7">
        <w:rPr>
          <w:rStyle w:val="aff9"/>
          <w:rFonts w:hint="cs"/>
          <w:vanish/>
          <w:rtl/>
        </w:rPr>
        <w:t>-</w:t>
      </w:r>
      <w:r w:rsidRPr="00E86DF7">
        <w:rPr>
          <w:rStyle w:val="af"/>
          <w:rFonts w:hint="cs"/>
          <w:rtl/>
        </w:rPr>
        <w:t xml:space="preserve"> דממ"ש </w:t>
      </w:r>
      <w:r w:rsidRPr="00E86DF7">
        <w:rPr>
          <w:rStyle w:val="aff9"/>
          <w:rFonts w:hint="cs"/>
          <w:vanish/>
          <w:rtl/>
        </w:rPr>
        <w:t>-</w:t>
      </w:r>
      <w:r w:rsidRPr="00E86DF7">
        <w:rPr>
          <w:rStyle w:val="aff9"/>
          <w:rFonts w:hint="cs"/>
          <w:rtl/>
        </w:rPr>
        <w:t>השו"ע</w:t>
      </w:r>
      <w:r w:rsidRPr="00E86DF7">
        <w:rPr>
          <w:rStyle w:val="aff9"/>
          <w:rFonts w:hint="cs"/>
          <w:vanish/>
          <w:rtl/>
        </w:rPr>
        <w:t>-</w:t>
      </w:r>
      <w:r w:rsidRPr="00E86DF7">
        <w:rPr>
          <w:rStyle w:val="af"/>
          <w:rFonts w:hint="cs"/>
          <w:rtl/>
        </w:rPr>
        <w:t xml:space="preserve"> דהאיסור הוא אף בעציץ שאינו נקוב, וביאר </w:t>
      </w:r>
      <w:r w:rsidRPr="00E86DF7">
        <w:rPr>
          <w:rStyle w:val="aff9"/>
          <w:rFonts w:hint="cs"/>
          <w:vanish/>
          <w:rtl/>
        </w:rPr>
        <w:t>-</w:t>
      </w:r>
      <w:r w:rsidRPr="00E86DF7">
        <w:rPr>
          <w:rStyle w:val="aff9"/>
          <w:rFonts w:hint="cs"/>
          <w:rtl/>
        </w:rPr>
        <w:t>הלבוש</w:t>
      </w:r>
      <w:r w:rsidRPr="00E86DF7">
        <w:rPr>
          <w:rStyle w:val="aff9"/>
          <w:rFonts w:hint="cs"/>
          <w:vanish/>
          <w:rtl/>
        </w:rPr>
        <w:t>-</w:t>
      </w:r>
      <w:r w:rsidRPr="00E86DF7">
        <w:rPr>
          <w:rStyle w:val="af"/>
          <w:rFonts w:hint="cs"/>
          <w:rtl/>
        </w:rPr>
        <w:t xml:space="preserve"> דהוא מחמת שממעט את היניקה, משמע דס"ל </w:t>
      </w:r>
      <w:r w:rsidRPr="00E86DF7">
        <w:rPr>
          <w:rStyle w:val="aff9"/>
          <w:rFonts w:hint="cs"/>
          <w:vanish/>
          <w:rtl/>
        </w:rPr>
        <w:t>-</w:t>
      </w:r>
      <w:r w:rsidRPr="00E86DF7">
        <w:rPr>
          <w:rStyle w:val="aff9"/>
          <w:rFonts w:hint="cs"/>
          <w:rtl/>
        </w:rPr>
        <w:t>להלבוש</w:t>
      </w:r>
      <w:r w:rsidRPr="00E86DF7">
        <w:rPr>
          <w:rStyle w:val="aff9"/>
          <w:rFonts w:hint="cs"/>
          <w:vanish/>
          <w:rtl/>
        </w:rPr>
        <w:t>-</w:t>
      </w:r>
      <w:r w:rsidRPr="00E86DF7">
        <w:rPr>
          <w:rStyle w:val="af"/>
          <w:rFonts w:hint="cs"/>
          <w:rtl/>
        </w:rPr>
        <w:t xml:space="preserve"> כדעת </w:t>
      </w:r>
      <w:r w:rsidRPr="00E86DF7">
        <w:rPr>
          <w:rStyle w:val="aff9"/>
          <w:rFonts w:hint="cs"/>
          <w:vanish/>
          <w:rtl/>
        </w:rPr>
        <w:t>-</w:t>
      </w:r>
      <w:r w:rsidRPr="00E86DF7">
        <w:rPr>
          <w:rStyle w:val="aff9"/>
          <w:rFonts w:hint="cs"/>
          <w:rtl/>
        </w:rPr>
        <w:t>רש"י ותוס'</w:t>
      </w:r>
      <w:r w:rsidRPr="00E86DF7">
        <w:rPr>
          <w:rStyle w:val="aff9"/>
          <w:rFonts w:hint="cs"/>
          <w:vanish/>
          <w:rtl/>
        </w:rPr>
        <w:t>-</w:t>
      </w:r>
      <w:r w:rsidRPr="00E86DF7">
        <w:rPr>
          <w:rStyle w:val="af"/>
          <w:rFonts w:hint="cs"/>
          <w:rtl/>
        </w:rPr>
        <w:t xml:space="preserve"> דהאיסור תולש בעציץ הוא רק מדרבנן, דהא כלל את דין עציץ נקוב עם עציץ שאינו נקוב, דבו ודאי דהאיסור הוא מדרבנן, ועיי"ש במה שתמה </w:t>
      </w:r>
      <w:r w:rsidRPr="00E86DF7">
        <w:rPr>
          <w:rStyle w:val="aff9"/>
          <w:rFonts w:hint="cs"/>
          <w:vanish/>
          <w:rtl/>
        </w:rPr>
        <w:t>-</w:t>
      </w:r>
      <w:r w:rsidRPr="00E86DF7">
        <w:rPr>
          <w:rStyle w:val="aff9"/>
          <w:rFonts w:hint="cs"/>
          <w:rtl/>
        </w:rPr>
        <w:t>הדבר אברהם</w:t>
      </w:r>
      <w:r w:rsidRPr="00E86DF7">
        <w:rPr>
          <w:rStyle w:val="aff9"/>
          <w:rFonts w:hint="cs"/>
          <w:vanish/>
          <w:rtl/>
        </w:rPr>
        <w:t>-</w:t>
      </w:r>
      <w:r w:rsidRPr="00E86DF7">
        <w:rPr>
          <w:rStyle w:val="af"/>
          <w:rFonts w:hint="cs"/>
          <w:rtl/>
        </w:rPr>
        <w:t xml:space="preserve"> דמהיכן הוציא </w:t>
      </w:r>
      <w:r w:rsidRPr="00E86DF7">
        <w:rPr>
          <w:rStyle w:val="aff9"/>
          <w:rFonts w:hint="cs"/>
          <w:vanish/>
          <w:rtl/>
        </w:rPr>
        <w:t>-</w:t>
      </w:r>
      <w:r w:rsidRPr="00E86DF7">
        <w:rPr>
          <w:rStyle w:val="aff9"/>
          <w:rFonts w:hint="cs"/>
          <w:rtl/>
        </w:rPr>
        <w:t>השו"ע</w:t>
      </w:r>
      <w:r w:rsidRPr="00E86DF7">
        <w:rPr>
          <w:rStyle w:val="aff9"/>
          <w:rFonts w:hint="cs"/>
          <w:vanish/>
          <w:rtl/>
        </w:rPr>
        <w:t>-</w:t>
      </w:r>
      <w:r w:rsidRPr="00E86DF7">
        <w:rPr>
          <w:rStyle w:val="af"/>
          <w:rFonts w:hint="cs"/>
          <w:rtl/>
        </w:rPr>
        <w:t xml:space="preserve"> את דינו לאסור בעציץ שאינו נקוב, וכתב דאפש"ל דלמד כן מהגמ' לקמן </w:t>
      </w:r>
      <w:r w:rsidRPr="00E86DF7">
        <w:rPr>
          <w:rStyle w:val="aff0"/>
          <w:rFonts w:hint="cs"/>
          <w:rtl/>
        </w:rPr>
        <w:t>(קח.)</w:t>
      </w:r>
      <w:r w:rsidRPr="00E86DF7">
        <w:rPr>
          <w:rStyle w:val="af"/>
          <w:rFonts w:hint="cs"/>
          <w:rtl/>
        </w:rPr>
        <w:t xml:space="preserve"> דהתולש פיטרא מאונא דחצבא חייב משום עוקר דבר מגידולו, כיון דהיינו רביתיה, ומבואר דדינו כעציץ נקוב, ומזה למד </w:t>
      </w:r>
      <w:r w:rsidRPr="00E86DF7">
        <w:rPr>
          <w:rStyle w:val="aff9"/>
          <w:rFonts w:hint="cs"/>
          <w:vanish/>
          <w:rtl/>
        </w:rPr>
        <w:t>-</w:t>
      </w:r>
      <w:r w:rsidRPr="00E86DF7">
        <w:rPr>
          <w:rStyle w:val="aff9"/>
          <w:rFonts w:hint="cs"/>
          <w:rtl/>
        </w:rPr>
        <w:t>השו"ע</w:t>
      </w:r>
      <w:r w:rsidRPr="00E86DF7">
        <w:rPr>
          <w:rStyle w:val="aff9"/>
          <w:rFonts w:hint="cs"/>
          <w:vanish/>
          <w:rtl/>
        </w:rPr>
        <w:t>-</w:t>
      </w:r>
      <w:r w:rsidRPr="00E86DF7">
        <w:rPr>
          <w:rStyle w:val="af"/>
          <w:rFonts w:hint="cs"/>
          <w:rtl/>
        </w:rPr>
        <w:t xml:space="preserve"> דה"ה בצרור </w:t>
      </w:r>
      <w:r w:rsidRPr="00E86DF7">
        <w:rPr>
          <w:rStyle w:val="af"/>
          <w:rFonts w:hint="cs"/>
          <w:rtl/>
        </w:rPr>
        <w:lastRenderedPageBreak/>
        <w:t xml:space="preserve">דדינו כעציץ נקוב אף שהוא עצמו אינו נקוב, עיי"ש במה שהאריך </w:t>
      </w:r>
      <w:r w:rsidRPr="00E86DF7">
        <w:rPr>
          <w:rStyle w:val="aff9"/>
          <w:rFonts w:hint="cs"/>
          <w:vanish/>
          <w:rtl/>
        </w:rPr>
        <w:t>-</w:t>
      </w:r>
      <w:r w:rsidRPr="00E86DF7">
        <w:rPr>
          <w:rStyle w:val="aff9"/>
          <w:rFonts w:hint="cs"/>
          <w:rtl/>
        </w:rPr>
        <w:t>הדבר אברהם</w:t>
      </w:r>
      <w:r w:rsidRPr="00E86DF7">
        <w:rPr>
          <w:rStyle w:val="aff9"/>
          <w:rFonts w:hint="cs"/>
          <w:vanish/>
          <w:rtl/>
        </w:rPr>
        <w:t>-</w:t>
      </w:r>
      <w:r w:rsidRPr="00E86DF7">
        <w:rPr>
          <w:rStyle w:val="af"/>
          <w:rFonts w:hint="cs"/>
          <w:rtl/>
        </w:rPr>
        <w:t xml:space="preserve"> בזה, אך דחה </w:t>
      </w:r>
      <w:r w:rsidRPr="00E86DF7">
        <w:rPr>
          <w:rStyle w:val="aff9"/>
          <w:rFonts w:hint="cs"/>
          <w:vanish/>
          <w:rtl/>
        </w:rPr>
        <w:t>-</w:t>
      </w:r>
      <w:r w:rsidRPr="00E86DF7">
        <w:rPr>
          <w:rStyle w:val="aff9"/>
          <w:rFonts w:hint="cs"/>
          <w:rtl/>
        </w:rPr>
        <w:t>הדבר אברהם</w:t>
      </w:r>
      <w:r w:rsidRPr="00E86DF7">
        <w:rPr>
          <w:rStyle w:val="aff9"/>
          <w:rFonts w:hint="cs"/>
          <w:vanish/>
          <w:rtl/>
        </w:rPr>
        <w:t>-</w:t>
      </w:r>
      <w:r w:rsidRPr="00E86DF7">
        <w:rPr>
          <w:rStyle w:val="af"/>
          <w:rFonts w:hint="cs"/>
          <w:rtl/>
        </w:rPr>
        <w:t xml:space="preserve"> דבדברי </w:t>
      </w:r>
      <w:r w:rsidRPr="00E86DF7">
        <w:rPr>
          <w:rStyle w:val="aff9"/>
          <w:rFonts w:hint="cs"/>
          <w:vanish/>
          <w:rtl/>
        </w:rPr>
        <w:t>-</w:t>
      </w:r>
      <w:r w:rsidRPr="00E86DF7">
        <w:rPr>
          <w:rStyle w:val="aff9"/>
          <w:rFonts w:hint="cs"/>
          <w:rtl/>
        </w:rPr>
        <w:t>המאירי</w:t>
      </w:r>
      <w:r w:rsidRPr="00E86DF7">
        <w:rPr>
          <w:rStyle w:val="aff9"/>
          <w:rFonts w:hint="cs"/>
          <w:vanish/>
          <w:rtl/>
        </w:rPr>
        <w:t>-</w:t>
      </w:r>
      <w:r w:rsidRPr="00E86DF7">
        <w:rPr>
          <w:rStyle w:val="af"/>
          <w:rFonts w:hint="cs"/>
          <w:rtl/>
        </w:rPr>
        <w:t xml:space="preserve"> </w:t>
      </w:r>
      <w:r w:rsidRPr="00E86DF7">
        <w:rPr>
          <w:rStyle w:val="aff0"/>
          <w:rFonts w:hint="cs"/>
          <w:rtl/>
        </w:rPr>
        <w:t xml:space="preserve">(עי' </w:t>
      </w:r>
      <w:r w:rsidRPr="009A4CDF">
        <w:rPr>
          <w:rStyle w:val="aff0"/>
          <w:rFonts w:hint="cs"/>
          <w:rtl/>
        </w:rPr>
        <w:t xml:space="preserve">אות </w:t>
      </w:r>
      <w:r w:rsidRPr="009A4CDF">
        <w:rPr>
          <w:rStyle w:val="aff0"/>
          <w:rtl/>
        </w:rPr>
        <w:fldChar w:fldCharType="begin"/>
      </w:r>
      <w:r w:rsidRPr="009A4CDF">
        <w:rPr>
          <w:rStyle w:val="aff0"/>
          <w:rtl/>
        </w:rPr>
        <w:instrText xml:space="preserve"> </w:instrText>
      </w:r>
      <w:r w:rsidRPr="009A4CDF">
        <w:rPr>
          <w:rStyle w:val="aff0"/>
          <w:rFonts w:hint="cs"/>
        </w:rPr>
        <w:instrText>REF</w:instrText>
      </w:r>
      <w:r w:rsidRPr="009A4CDF">
        <w:rPr>
          <w:rStyle w:val="aff0"/>
          <w:rFonts w:hint="cs"/>
          <w:rtl/>
        </w:rPr>
        <w:instrText xml:space="preserve"> _</w:instrText>
      </w:r>
      <w:r w:rsidRPr="009A4CDF">
        <w:rPr>
          <w:rStyle w:val="aff0"/>
          <w:rFonts w:hint="cs"/>
        </w:rPr>
        <w:instrText>Ref135339012 \r \h</w:instrText>
      </w:r>
      <w:r w:rsidRPr="009A4CDF">
        <w:rPr>
          <w:rStyle w:val="aff0"/>
          <w:rtl/>
        </w:rPr>
        <w:instrText xml:space="preserve"> </w:instrText>
      </w:r>
      <w:r w:rsidRPr="009A4CDF">
        <w:rPr>
          <w:rStyle w:val="aff0"/>
          <w:rtl/>
        </w:rPr>
      </w:r>
      <w:r w:rsidRPr="009A4CDF">
        <w:rPr>
          <w:rStyle w:val="aff0"/>
          <w:rtl/>
        </w:rPr>
        <w:fldChar w:fldCharType="separate"/>
      </w:r>
      <w:r w:rsidR="00D82181">
        <w:rPr>
          <w:rStyle w:val="aff0"/>
          <w:cs/>
        </w:rPr>
        <w:t>‎</w:t>
      </w:r>
      <w:r w:rsidR="00D82181">
        <w:rPr>
          <w:rStyle w:val="aff0"/>
          <w:rtl/>
        </w:rPr>
        <w:t>לח)</w:t>
      </w:r>
      <w:r w:rsidRPr="009A4CDF">
        <w:rPr>
          <w:rStyle w:val="aff0"/>
          <w:rtl/>
        </w:rPr>
        <w:fldChar w:fldCharType="end"/>
      </w:r>
      <w:r w:rsidRPr="00E86DF7">
        <w:rPr>
          <w:rStyle w:val="af"/>
          <w:rFonts w:hint="cs"/>
          <w:rtl/>
        </w:rPr>
        <w:t xml:space="preserve"> </w:t>
      </w:r>
      <w:r w:rsidRPr="00E86DF7">
        <w:rPr>
          <w:rStyle w:val="af"/>
          <w:rFonts w:hint="cs"/>
          <w:vanish/>
          <w:rtl/>
        </w:rPr>
        <w:t>-</w:t>
      </w:r>
      <w:r w:rsidRPr="00E86DF7">
        <w:rPr>
          <w:rStyle w:val="af"/>
          <w:rFonts w:hint="cs"/>
          <w:rtl/>
        </w:rPr>
        <w:t>מפורש דאין איסור בעציץ שאינו נקוב].</w:t>
      </w:r>
    </w:p>
    <w:p w14:paraId="48E40BEA" w14:textId="77777777" w:rsidR="000426DE" w:rsidRPr="00747170" w:rsidRDefault="000426DE" w:rsidP="00747170">
      <w:pPr>
        <w:pStyle w:val="a2"/>
        <w:rPr>
          <w:rtl/>
        </w:rPr>
      </w:pPr>
      <w:r w:rsidRPr="00747170">
        <w:rPr>
          <w:rtl/>
        </w:rPr>
        <w:t>אבל מסתפק אני מה דעתו ז"ל בעיקר האיסור שבעציץ הנקוב ובפי' הסוגיא דשבת אם אזיל בשיטת הרמב"ם שבנקוב הוא חייב משום תולש מה"ת ולפי"ז גם בעיקר האיסור של נקוב שכללו יחד עם האינו נקוב תפס דשורש הקוצר משום הבדלת החיות הוא ובממעט יניקתו נמי חייב ולא בעי להפסיק כל היניקה וזהו כדברי כ"ג לגמרי, או דאזיל בשיטת רש"י ותוס' ושאר ראשונים דאין כאן תולש דאורייתא אלא דרבנן ובא רק ליתן טעם למה גזרו ביה רבנן משם תולש וכי איזה תולש יש כאן וע"ז פירש דמשום מיעוט היניקה דדמי לתולש גזרו ביה רבנן ואין זה כדברי כ"ג אלא להיפוך.</w:t>
      </w:r>
      <w:r w:rsidRPr="00747170">
        <w:rPr>
          <w:rFonts w:hint="cs"/>
          <w:rtl/>
        </w:rPr>
        <w:t xml:space="preserve"> </w:t>
      </w:r>
      <w:r w:rsidRPr="00747170">
        <w:rPr>
          <w:rStyle w:val="afff7"/>
          <w:rtl/>
        </w:rPr>
        <w:t>ולכאורה בע"כ צ"ל דאיירי הכא מאיסור דרבנן שהרי כלל בזה גם את העציץ שאינו נקוב שיש ליזהר מליטלה מע"ג קרקע ובהא ודאי ליכא אלא איסורא דרבנן, שהרי גם התולש ממש מעציץ שאינו נקוב ר"ל שעוקר את הזרעים מן העציץ אינו אלא איסור דרבנן כש"כ תולש רק העציץ מן הקרקע. אבל דבריו אלו שהם העתקה מדברי השו"ע (סעי' ח') דגם בעציץ שאינו נקוב יש ליזהר מליטלו מע"ג קרקע ולהניחו ע"ג יתדות תמוהים מאד, מנ"ל להמחבר דה"ה בעציץ שאי"נ הרי פרפיסא דאביי דחייב ביה משום תולש בעציץ נקוב מיירי דחשיב מחובר לקרקע אבל באינו נקוב מנ"ל. ואין להסתייע דבאינו נקוב נמי איכא איסורא דרבנן מהא דאמרינן התם בשבת אמר ר"ל צרור שעלו בו עשבים מותר לקנח בה ומסקינן דלא אמרן אלא לצורך אבל שלא לצורך לא וצרור עציץ שאי"נ הוא, דז"א דודאי דינו של צרור כעציץ נקוב כמ"ש רש"י וז"ל והתולש ממנו במתכוין חייב דמקום גידולו הוא עכ"ל וכ"ה בר"ן, ונראה שכיוונו להא דאמרינן בשבת (דף ק"ח ע"א) אמר אביי האי מאן דתלש פיטרא מאונא דחצבא מיחייב משום עוקר דבר מגידולו מתיב רב אושעיא התולש מעציץ נקוב חייב ושאינו נקוב פטור התם לאו היינו ריביתיה הכא היינו ריביתיה ופירש"י לאו היינו ריביתיה דאין דרך זריעה שם אבל אלו שאמרנו הוא עיקר גידולן עכ"ל והוא דומה ממש לדבריו דמקום גידולו דהכא, וכן הבין הב"ח בהגהותיו לרי"ף ס"פ המוציא שהצרור דומה לפיטרא באונא דחצבא יעו"ש, וא"כ כי היכי דהתם דינו של פיטרא כמחובר כמו עציץ נקוב יעו"ש בפי' הר"ח ה"נ האי צרור דינו כעציץ נקוב וכן מתבאר מרמב"ם (פ"ח מהלכות שבת ה"ג) דתנא להו כחדא צרור שעלו בו עשבים ועשבים שצמחו על גב החבית והרואה יראה שמקורו מאונא דחצבא דאמרינן היינו ריביתיה וכ"כ המ"מ וכ"כ הר"ש בעוקצים (פ"ב משנה י') דצרור הוי טבלא שאין לה לבזביז דחשיבא כעציץ נקוב. ובע"כ אתה צ"ל כן שהצרור נידון כעצי"נ דאל"כ היכי קאמר רב פפי עלה ש"מ מדר"ל האי פרפיסא שרי לטלטולי ופירש"י פריסא עציץ נקוב ומאי ראיה היא מאי"נ לנקוב אע"כ דצרור נמי דינו כנקוב. ומפורש מצאתי בחי' המאירי שבת שכתב דבאינו נקוב ליכא אפילו איסורא דרבנן וכתב שכן כתבוהו חכמי הדורות, וכ"ה גם בחי' הר"ן יעו"ש:</w:t>
      </w:r>
    </w:p>
    <w:p w14:paraId="6FA9E62C" w14:textId="77777777" w:rsidR="000426DE" w:rsidRPr="009F3082" w:rsidRDefault="000426DE" w:rsidP="000426DE">
      <w:pPr>
        <w:pStyle w:val="afffff7"/>
        <w:rPr>
          <w:vanish/>
          <w:rtl/>
        </w:rPr>
      </w:pPr>
      <w:bookmarkStart w:id="1753" w:name="_Toc135513759"/>
      <w:r w:rsidRPr="009F3082">
        <w:rPr>
          <w:rFonts w:hint="cs"/>
          <w:vanish/>
          <w:rtl/>
        </w:rPr>
        <w:t>דבר אברהם ח"א סי' כ"ה אות י"א ד"ה לכן נראה</w:t>
      </w:r>
      <w:bookmarkEnd w:id="1753"/>
    </w:p>
    <w:p w14:paraId="63F021D7" w14:textId="77777777" w:rsidR="000426DE" w:rsidRPr="00765C26" w:rsidRDefault="000426DE" w:rsidP="000426DE">
      <w:pPr>
        <w:pStyle w:val="a7"/>
        <w:rPr>
          <w:rtl/>
        </w:rPr>
      </w:pPr>
      <w:bookmarkStart w:id="1754" w:name="_Toc139316449"/>
      <w:r>
        <w:rPr>
          <w:rFonts w:hint="cs"/>
          <w:rtl/>
        </w:rPr>
        <w:t>בי' הדב"א דהשו"ע מספקא ליה בעציץ שאי"נ דחרס ועץ ובלבוש אפש"ל או כרמב"ם או כרש"י</w:t>
      </w:r>
      <w:bookmarkEnd w:id="1754"/>
    </w:p>
    <w:p w14:paraId="0E4F18B0" w14:textId="1AD9FF13" w:rsidR="000426DE" w:rsidRPr="00BD600C" w:rsidRDefault="000426DE" w:rsidP="00BC7DC8">
      <w:pPr>
        <w:pStyle w:val="a3"/>
      </w:pPr>
      <w:bookmarkStart w:id="1755" w:name="_Ref135110939"/>
      <w:r>
        <w:rPr>
          <w:rFonts w:hint="cs"/>
          <w:rtl/>
        </w:rPr>
        <w:t xml:space="preserve">אלא כתב </w:t>
      </w:r>
      <w:r w:rsidRPr="00DE1AA0">
        <w:rPr>
          <w:rStyle w:val="aff4"/>
          <w:rFonts w:hint="cs"/>
          <w:vanish/>
          <w:rtl/>
        </w:rPr>
        <w:t>-</w:t>
      </w:r>
      <w:r w:rsidRPr="00DB6BF0">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Ref135110939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קב)</w:t>
      </w:r>
      <w:r w:rsidRPr="00B53404">
        <w:rPr>
          <w:rStyle w:val="aff4"/>
          <w:vanish/>
          <w:rtl/>
        </w:rPr>
        <w:fldChar w:fldCharType="end"/>
      </w:r>
      <w:r w:rsidRPr="00B53404">
        <w:rPr>
          <w:rStyle w:val="aff4"/>
          <w:rFonts w:hint="cs"/>
          <w:vanish/>
          <w:rtl/>
        </w:rPr>
        <w:t xml:space="preserve"> &gt;</w:t>
      </w:r>
      <w:r w:rsidRPr="00DB6BF0">
        <w:rPr>
          <w:rStyle w:val="aff4"/>
          <w:rFonts w:hint="cs"/>
          <w:rtl/>
        </w:rPr>
        <w:t>דבר אברהם</w:t>
      </w:r>
      <w:r w:rsidRPr="00DE1AA0">
        <w:rPr>
          <w:rStyle w:val="aff4"/>
          <w:rFonts w:hint="cs"/>
          <w:vanish/>
          <w:rtl/>
        </w:rPr>
        <w:t>-</w:t>
      </w:r>
      <w:r>
        <w:rPr>
          <w:rFonts w:hint="cs"/>
          <w:rtl/>
        </w:rPr>
        <w:t xml:space="preserve"> </w:t>
      </w:r>
      <w:r w:rsidRPr="00FB451D">
        <w:rPr>
          <w:rStyle w:val="af2"/>
          <w:rFonts w:eastAsia="Guttman Hodes" w:hint="cs"/>
          <w:rtl/>
        </w:rPr>
        <w:t>(ח"א סי' כ"ה אות י"א ד"ה לכן נראה)</w:t>
      </w:r>
      <w:r w:rsidRPr="00DE1AA0">
        <w:rPr>
          <w:rFonts w:hint="cs"/>
          <w:vanish/>
          <w:rtl/>
        </w:rPr>
        <w:t>=</w:t>
      </w:r>
      <w:r>
        <w:rPr>
          <w:rFonts w:hint="cs"/>
          <w:rtl/>
        </w:rPr>
        <w:t xml:space="preserve"> דצ"ל דמספקא </w:t>
      </w:r>
      <w:r w:rsidRPr="00DE1AA0">
        <w:rPr>
          <w:rStyle w:val="aff4"/>
          <w:rFonts w:hint="cs"/>
          <w:vanish/>
          <w:rtl/>
        </w:rPr>
        <w:t>-</w:t>
      </w:r>
      <w:r w:rsidRPr="00DB6BF0">
        <w:rPr>
          <w:rStyle w:val="aff4"/>
          <w:rFonts w:hint="cs"/>
          <w:rtl/>
        </w:rPr>
        <w:t>לשו"ע</w:t>
      </w:r>
      <w:r w:rsidRPr="00DE1AA0">
        <w:rPr>
          <w:rStyle w:val="aff4"/>
          <w:rFonts w:hint="cs"/>
          <w:vanish/>
          <w:rtl/>
        </w:rPr>
        <w:t>-</w:t>
      </w:r>
      <w:r>
        <w:rPr>
          <w:rFonts w:hint="cs"/>
          <w:rtl/>
        </w:rPr>
        <w:t xml:space="preserve"> בפלוגתת </w:t>
      </w:r>
      <w:r w:rsidRPr="00DE1AA0">
        <w:rPr>
          <w:rStyle w:val="aff4"/>
          <w:rFonts w:hint="cs"/>
          <w:vanish/>
          <w:rtl/>
        </w:rPr>
        <w:t>-</w:t>
      </w:r>
      <w:r w:rsidRPr="00DB6BF0">
        <w:rPr>
          <w:rStyle w:val="aff4"/>
          <w:rFonts w:hint="cs"/>
          <w:rtl/>
        </w:rPr>
        <w:t>רש"י ור"ת</w:t>
      </w:r>
      <w:r w:rsidRPr="00DE1AA0">
        <w:rPr>
          <w:rStyle w:val="aff4"/>
          <w:rFonts w:hint="cs"/>
          <w:vanish/>
          <w:rtl/>
        </w:rPr>
        <w:t>-</w:t>
      </w:r>
      <w:r>
        <w:rPr>
          <w:rFonts w:hint="cs"/>
          <w:rtl/>
        </w:rPr>
        <w:t xml:space="preserve"> אי עציץ של עץ א"צ נקיבה או עציץ של חרס, ולכן נקט לחומרא דשניהם כעציץ נקוב, אבל באינו נקוב ממש אין איסור, וכתב </w:t>
      </w:r>
      <w:r w:rsidRPr="00DE1AA0">
        <w:rPr>
          <w:rStyle w:val="aff4"/>
          <w:rFonts w:hint="cs"/>
          <w:vanish/>
          <w:rtl/>
        </w:rPr>
        <w:t>-</w:t>
      </w:r>
      <w:r w:rsidRPr="00DB6BF0">
        <w:rPr>
          <w:rStyle w:val="aff4"/>
          <w:rFonts w:hint="cs"/>
          <w:rtl/>
        </w:rPr>
        <w:t>הדבר אברהם</w:t>
      </w:r>
      <w:r w:rsidRPr="00DE1AA0">
        <w:rPr>
          <w:rStyle w:val="aff4"/>
          <w:rFonts w:hint="cs"/>
          <w:vanish/>
          <w:rtl/>
        </w:rPr>
        <w:t>-</w:t>
      </w:r>
      <w:r>
        <w:rPr>
          <w:rFonts w:hint="cs"/>
          <w:rtl/>
        </w:rPr>
        <w:t xml:space="preserve"> דלפי"ז מהא דביאר </w:t>
      </w:r>
      <w:r w:rsidRPr="00DE1AA0">
        <w:rPr>
          <w:rStyle w:val="aff4"/>
          <w:rFonts w:hint="cs"/>
          <w:vanish/>
          <w:rtl/>
        </w:rPr>
        <w:t>-</w:t>
      </w:r>
      <w:r w:rsidRPr="00DB6BF0">
        <w:rPr>
          <w:rStyle w:val="aff4"/>
          <w:rFonts w:hint="cs"/>
          <w:rtl/>
        </w:rPr>
        <w:t>הלבוש</w:t>
      </w:r>
      <w:r w:rsidRPr="00DE1AA0">
        <w:rPr>
          <w:rStyle w:val="aff4"/>
          <w:rFonts w:hint="cs"/>
          <w:vanish/>
          <w:rtl/>
        </w:rPr>
        <w:t>-</w:t>
      </w:r>
      <w:r>
        <w:rPr>
          <w:rFonts w:hint="cs"/>
          <w:rtl/>
        </w:rPr>
        <w:t xml:space="preserve"> בדברי </w:t>
      </w:r>
      <w:r w:rsidRPr="00DE1AA0">
        <w:rPr>
          <w:rStyle w:val="aff4"/>
          <w:rFonts w:hint="cs"/>
          <w:vanish/>
          <w:rtl/>
        </w:rPr>
        <w:t>-</w:t>
      </w:r>
      <w:r w:rsidRPr="00DB6BF0">
        <w:rPr>
          <w:rStyle w:val="aff4"/>
          <w:rFonts w:hint="cs"/>
          <w:rtl/>
        </w:rPr>
        <w:t>השו"ע</w:t>
      </w:r>
      <w:r w:rsidRPr="00DE1AA0">
        <w:rPr>
          <w:rStyle w:val="aff4"/>
          <w:rFonts w:hint="cs"/>
          <w:vanish/>
          <w:rtl/>
        </w:rPr>
        <w:t>-</w:t>
      </w:r>
      <w:r>
        <w:rPr>
          <w:rFonts w:hint="cs"/>
          <w:rtl/>
        </w:rPr>
        <w:t xml:space="preserve"> דהאיסור הוא מחמת דממעט את היניקה, משמע דס"ל דבעציץ נקוב האיסור הוא מדאו' כדעת </w:t>
      </w:r>
      <w:r w:rsidRPr="00DE1AA0">
        <w:rPr>
          <w:rStyle w:val="aff4"/>
          <w:rFonts w:hint="cs"/>
          <w:vanish/>
          <w:rtl/>
        </w:rPr>
        <w:t>-</w:t>
      </w:r>
      <w:r w:rsidRPr="00DB6BF0">
        <w:rPr>
          <w:rStyle w:val="aff4"/>
          <w:rFonts w:hint="cs"/>
          <w:rtl/>
        </w:rPr>
        <w:t>הרמב"ם</w:t>
      </w:r>
      <w:r w:rsidRPr="00DE1AA0">
        <w:rPr>
          <w:rStyle w:val="aff4"/>
          <w:rFonts w:hint="cs"/>
          <w:vanish/>
          <w:rtl/>
        </w:rPr>
        <w:t>-</w:t>
      </w:r>
      <w:r>
        <w:rPr>
          <w:rFonts w:hint="cs"/>
          <w:rtl/>
        </w:rPr>
        <w:t xml:space="preserve"> וכביאור </w:t>
      </w:r>
      <w:r w:rsidRPr="00DE1AA0">
        <w:rPr>
          <w:rStyle w:val="aff4"/>
          <w:rFonts w:hint="cs"/>
          <w:vanish/>
          <w:rtl/>
        </w:rPr>
        <w:t>-</w:t>
      </w:r>
      <w:r w:rsidRPr="00DB6BF0">
        <w:rPr>
          <w:rStyle w:val="aff4"/>
          <w:rFonts w:hint="cs"/>
          <w:rtl/>
        </w:rPr>
        <w:t>הזכר יצחק</w:t>
      </w:r>
      <w:r w:rsidRPr="00DE1AA0">
        <w:rPr>
          <w:rStyle w:val="aff4"/>
          <w:rFonts w:hint="cs"/>
          <w:vanish/>
          <w:rtl/>
        </w:rPr>
        <w:t>-</w:t>
      </w:r>
      <w:r>
        <w:rPr>
          <w:rFonts w:hint="cs"/>
          <w:rtl/>
        </w:rPr>
        <w:t xml:space="preserve"> דאף מיעוט יניקה אסור מדאו', אך אי"ז מוכח דאפש"ל דס"ל כדעת </w:t>
      </w:r>
      <w:r w:rsidRPr="00DE1AA0">
        <w:rPr>
          <w:rStyle w:val="aff4"/>
          <w:rFonts w:hint="cs"/>
          <w:vanish/>
          <w:rtl/>
        </w:rPr>
        <w:t>-</w:t>
      </w:r>
      <w:r w:rsidRPr="00DB6BF0">
        <w:rPr>
          <w:rStyle w:val="aff4"/>
          <w:rFonts w:hint="cs"/>
          <w:rtl/>
        </w:rPr>
        <w:t>רש"י ותוס' והראשונים</w:t>
      </w:r>
      <w:r w:rsidRPr="00DE1AA0">
        <w:rPr>
          <w:rStyle w:val="aff4"/>
          <w:rFonts w:hint="cs"/>
          <w:vanish/>
          <w:rtl/>
        </w:rPr>
        <w:t>-</w:t>
      </w:r>
      <w:r>
        <w:rPr>
          <w:rFonts w:hint="cs"/>
          <w:rtl/>
        </w:rPr>
        <w:t xml:space="preserve"> דהאיסור תולש הוא מדרבנן, ומ"ש </w:t>
      </w:r>
      <w:r w:rsidRPr="00DE1AA0">
        <w:rPr>
          <w:rStyle w:val="aff4"/>
          <w:rFonts w:hint="cs"/>
          <w:vanish/>
          <w:rtl/>
        </w:rPr>
        <w:t>-</w:t>
      </w:r>
      <w:r w:rsidRPr="00DB6BF0">
        <w:rPr>
          <w:rStyle w:val="aff4"/>
          <w:rFonts w:hint="cs"/>
          <w:rtl/>
        </w:rPr>
        <w:t>הלבוש</w:t>
      </w:r>
      <w:r w:rsidRPr="00DE1AA0">
        <w:rPr>
          <w:rStyle w:val="aff4"/>
          <w:rFonts w:hint="cs"/>
          <w:vanish/>
          <w:rtl/>
        </w:rPr>
        <w:t>-</w:t>
      </w:r>
      <w:r>
        <w:rPr>
          <w:rFonts w:hint="cs"/>
          <w:rtl/>
        </w:rPr>
        <w:t xml:space="preserve"> דהאיסור הוא מחמת מיעוט היניקה, היינו לבאר מ"ט אסרו רבנן בכה"ג.</w:t>
      </w:r>
      <w:bookmarkEnd w:id="1755"/>
      <w:r>
        <w:rPr>
          <w:rFonts w:hint="cs"/>
          <w:rtl/>
        </w:rPr>
        <w:t xml:space="preserve"> </w:t>
      </w:r>
    </w:p>
    <w:p w14:paraId="0B72DAC7" w14:textId="77777777" w:rsidR="000426DE" w:rsidRPr="00747170" w:rsidRDefault="000426DE" w:rsidP="00747170">
      <w:pPr>
        <w:pStyle w:val="a2"/>
        <w:rPr>
          <w:rtl/>
        </w:rPr>
      </w:pPr>
      <w:r w:rsidRPr="00747170">
        <w:rPr>
          <w:rtl/>
        </w:rPr>
        <w:t>לכן נראה דבאמת ס"ל להשו"ע שאינו אסור אלא בעציץ נקוב ומ"ש דיש ליזהר גם באי"נ בין של עץ בין של חרס הוא משום פלוגתא דרש"י ור"ת דרש"י ס"ל דשל חרס לא בעי נקיבה ור"ת ס"ל להיפוך דשל עץ לא בעי נקיבה ומשום דמספקא ליה הלכתא כמאן כתב דיש ליזהר באינו נקוב בין בשל עץ בין בשל חרס כחומרי שניהם שמא דינם כנקוב. אח"ז ראיתי בהגהות רעק"א לאו"ח שתפס בפשיטות דאיסור תולש דפרפיסא הוי דרבנן והקשה כנ"ל מסברא דנפשיה דראוי שיהא מותר באי"נ דהוי גזרה לגזרה ולא הביא דברי המאירי והר"ן שהזכרנו דמבואר להדיא דבאינו נקוב מותר, ותי' כמ"ש דמשום ספיקא דרש"י ור"ת פסק השו"ע בתרווייהו לחומרא:</w:t>
      </w:r>
    </w:p>
    <w:p w14:paraId="503FB8AB" w14:textId="77777777" w:rsidR="000426DE" w:rsidRPr="00D578AC" w:rsidRDefault="000426DE" w:rsidP="00747170">
      <w:pPr>
        <w:pStyle w:val="afffff5"/>
        <w:rPr>
          <w:rtl/>
        </w:rPr>
      </w:pPr>
      <w:r w:rsidRPr="00D578AC">
        <w:rPr>
          <w:rtl/>
        </w:rPr>
        <w:t>ומזה יצא לן דין חדש שאם הניח עציץ של חרס בתוך עציץ של עץ או איפכא ותרווייהו אינם נקובים שרי ממ"נ בין לרש"י בין לר"ת דחד מינייהו בודאי אינו נקוב וסותם את היניקה ואין כאן תולש משא"כ למאי דהוה ס"ד מעיקרא למימר דס"ל להשו"ע דאף באינו נקוב יש איסור היה אסור גם בכה"ג ופשוט הוא:</w:t>
      </w:r>
    </w:p>
    <w:p w14:paraId="379C50B0" w14:textId="77777777" w:rsidR="000426DE" w:rsidRPr="00D578AC" w:rsidRDefault="000426DE" w:rsidP="00747170">
      <w:pPr>
        <w:pStyle w:val="afffff5"/>
        <w:rPr>
          <w:rtl/>
        </w:rPr>
      </w:pPr>
      <w:r w:rsidRPr="00D578AC">
        <w:rPr>
          <w:rtl/>
        </w:rPr>
        <w:t xml:space="preserve">ולפי"ז י"ל דס"ל להשו"ע והלבוש שנמשך אחריו דתולש דפרפיסא הוי דאורייתא כהרמב"ם ואם ע"ז יסוב טעמו של הלבוש משום מיעוט היניקה הרי דבריו עולים בד בבד עם דברי כ"ג, אבל להסתייע מזה בודאי א"א די"ל דס"ל כרוב הראשונים שהוא דרבנן ובא רק ליתן טעם לתקנתא דרבנן וכמש"ל: </w:t>
      </w:r>
    </w:p>
    <w:p w14:paraId="02D03E3E" w14:textId="77777777" w:rsidR="000426DE" w:rsidRDefault="000426DE" w:rsidP="000426DE">
      <w:pPr>
        <w:pStyle w:val="afffff7"/>
      </w:pPr>
      <w:bookmarkStart w:id="1756" w:name="_Toc163505680"/>
      <w:r>
        <w:rPr>
          <w:rFonts w:hint="cs"/>
          <w:rtl/>
        </w:rPr>
        <w:t>חידושי רבי ראובן גיטין סי' ט' ד"ה וי"ל</w:t>
      </w:r>
      <w:bookmarkEnd w:id="1756"/>
    </w:p>
    <w:p w14:paraId="09F07CE2" w14:textId="77777777" w:rsidR="000426DE" w:rsidRDefault="000426DE" w:rsidP="000426DE">
      <w:pPr>
        <w:pStyle w:val="a7"/>
      </w:pPr>
      <w:bookmarkStart w:id="1757" w:name="_Toc139316450"/>
      <w:r>
        <w:rPr>
          <w:rFonts w:hint="cs"/>
          <w:rtl/>
        </w:rPr>
        <w:t>בי' רבי ראובן ברמב"ם דע"ג יתדות ממעט יניקה ותולש מדאו' להיפך מוסיף יניקה וזורע מדאו'</w:t>
      </w:r>
      <w:bookmarkEnd w:id="1757"/>
    </w:p>
    <w:p w14:paraId="69F3B1F5" w14:textId="0F14431C" w:rsidR="000426DE" w:rsidRDefault="000426DE" w:rsidP="00BC7DC8">
      <w:pPr>
        <w:pStyle w:val="a3"/>
        <w:rPr>
          <w:rtl/>
        </w:rPr>
      </w:pPr>
      <w:r>
        <w:rPr>
          <w:rFonts w:hint="cs"/>
          <w:rtl/>
        </w:rPr>
        <w:t xml:space="preserve">במ"ש </w:t>
      </w:r>
      <w:r w:rsidRPr="00082563">
        <w:rPr>
          <w:rStyle w:val="aff4"/>
          <w:rFonts w:hint="cs"/>
          <w:vanish/>
          <w:rtl/>
        </w:rPr>
        <w:t>-</w:t>
      </w:r>
      <w:r>
        <w:rPr>
          <w:rStyle w:val="aff4"/>
          <w:rFonts w:hint="cs"/>
          <w:rtl/>
        </w:rPr>
        <w:t>ה</w:t>
      </w:r>
      <w:r w:rsidRPr="009B386D">
        <w:rPr>
          <w:rStyle w:val="aff4"/>
          <w:rFonts w:hint="cs"/>
          <w:rtl/>
        </w:rPr>
        <w:t>תוס' לקמן</w:t>
      </w:r>
      <w:r w:rsidRPr="00082563">
        <w:rPr>
          <w:rStyle w:val="aff4"/>
          <w:rFonts w:hint="cs"/>
          <w:vanish/>
          <w:rtl/>
        </w:rPr>
        <w:t>-</w:t>
      </w:r>
      <w:r>
        <w:rPr>
          <w:rFonts w:hint="cs"/>
          <w:rtl/>
        </w:rPr>
        <w:t xml:space="preserve"> </w:t>
      </w:r>
      <w:r w:rsidRPr="00FB451D">
        <w:rPr>
          <w:rStyle w:val="af2"/>
          <w:rFonts w:eastAsia="Guttman Hodes" w:hint="cs"/>
          <w:rtl/>
        </w:rPr>
        <w:t xml:space="preserve">(עי' אות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Ref134954812 \r \h</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לז)</w:t>
      </w:r>
      <w:r w:rsidRPr="00FB451D">
        <w:rPr>
          <w:rStyle w:val="af2"/>
          <w:rFonts w:eastAsia="Guttman Hodes"/>
          <w:rtl/>
        </w:rPr>
        <w:fldChar w:fldCharType="end"/>
      </w:r>
      <w:r>
        <w:rPr>
          <w:rFonts w:hint="cs"/>
          <w:rtl/>
        </w:rPr>
        <w:t xml:space="preserve"> דהגבהת פרפיסא ע"ג יתדות הוא תולש מדרבנן, כדמוכח בגמ' בגיטין </w:t>
      </w:r>
      <w:r w:rsidRPr="00FB451D">
        <w:rPr>
          <w:rStyle w:val="af2"/>
          <w:rFonts w:eastAsia="Guttman Hodes" w:hint="cs"/>
          <w:rtl/>
        </w:rPr>
        <w:t>(ז:)</w:t>
      </w:r>
      <w:r>
        <w:rPr>
          <w:rFonts w:hint="cs"/>
          <w:rtl/>
        </w:rPr>
        <w:t xml:space="preserve"> דעציץ שאינו נקוב באויר אינו כמחובר, ותירצו דהגמ' בסוגיין פליגא על הגמ' בגיטין, ואילו </w:t>
      </w:r>
      <w:r w:rsidRPr="00082563">
        <w:rPr>
          <w:rStyle w:val="aff4"/>
          <w:rFonts w:hint="cs"/>
          <w:vanish/>
          <w:rtl/>
        </w:rPr>
        <w:t>-</w:t>
      </w:r>
      <w:r w:rsidRPr="00C65D8D">
        <w:rPr>
          <w:rStyle w:val="aff4"/>
          <w:rFonts w:hint="cs"/>
          <w:rtl/>
        </w:rPr>
        <w:t>הרמב"ם</w:t>
      </w:r>
      <w:r w:rsidRPr="00082563">
        <w:rPr>
          <w:rStyle w:val="aff4"/>
          <w:rFonts w:hint="cs"/>
          <w:vanish/>
          <w:rtl/>
        </w:rPr>
        <w:t>-</w:t>
      </w:r>
      <w:r>
        <w:rPr>
          <w:rFonts w:hint="cs"/>
          <w:rtl/>
        </w:rPr>
        <w:t xml:space="preserve"> </w:t>
      </w:r>
      <w:r w:rsidRPr="00FB451D">
        <w:rPr>
          <w:rStyle w:val="af2"/>
          <w:rFonts w:eastAsia="Guttman Hodes" w:hint="cs"/>
          <w:rtl/>
        </w:rPr>
        <w:t>(עי' אות</w:t>
      </w:r>
      <w:r w:rsidRPr="00FB451D">
        <w:rPr>
          <w:rStyle w:val="af2"/>
          <w:rFonts w:eastAsia="Guttman Hodes"/>
          <w:rtl/>
        </w:rPr>
        <w:t xml:space="preserve">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Ref134736415 \r \h</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מ)</w:t>
      </w:r>
      <w:r w:rsidRPr="00FB451D">
        <w:rPr>
          <w:rStyle w:val="af2"/>
          <w:rFonts w:eastAsia="Guttman Hodes"/>
          <w:rtl/>
        </w:rPr>
        <w:fldChar w:fldCharType="end"/>
      </w:r>
      <w:r>
        <w:rPr>
          <w:rFonts w:hint="cs"/>
          <w:rtl/>
        </w:rPr>
        <w:t xml:space="preserve"> כתב דגבשושית של עפר יש בה חיוב תולש דאו', כתב </w:t>
      </w:r>
      <w:r w:rsidRPr="00065BDB">
        <w:rPr>
          <w:rStyle w:val="aff4"/>
          <w:rFonts w:hint="cs"/>
          <w:vanish/>
          <w:rtl/>
        </w:rPr>
        <w:t>-</w:t>
      </w:r>
      <w:r w:rsidRPr="00610487">
        <w:rPr>
          <w:rStyle w:val="aff4"/>
          <w:rFonts w:hint="cs"/>
          <w:rtl/>
        </w:rPr>
        <w:t>ב</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Ref135165511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עד)</w:t>
      </w:r>
      <w:r w:rsidRPr="00B53404">
        <w:rPr>
          <w:rStyle w:val="aff4"/>
          <w:vanish/>
          <w:rtl/>
        </w:rPr>
        <w:fldChar w:fldCharType="end"/>
      </w:r>
      <w:r w:rsidRPr="00B53404">
        <w:rPr>
          <w:rStyle w:val="aff4"/>
          <w:rFonts w:hint="cs"/>
          <w:vanish/>
          <w:rtl/>
        </w:rPr>
        <w:t xml:space="preserve"> &gt;</w:t>
      </w:r>
      <w:r w:rsidRPr="00610487">
        <w:rPr>
          <w:rStyle w:val="aff4"/>
          <w:rFonts w:hint="cs"/>
          <w:rtl/>
        </w:rPr>
        <w:t>חי' רבי ראובן בגיטין</w:t>
      </w:r>
      <w:r w:rsidRPr="00065BDB">
        <w:rPr>
          <w:rStyle w:val="aff4"/>
          <w:rFonts w:hint="cs"/>
          <w:vanish/>
          <w:rtl/>
        </w:rPr>
        <w:t>-</w:t>
      </w:r>
      <w:r>
        <w:rPr>
          <w:rFonts w:hint="cs"/>
          <w:rtl/>
        </w:rPr>
        <w:t xml:space="preserve"> </w:t>
      </w:r>
      <w:r w:rsidRPr="00FB451D">
        <w:rPr>
          <w:rStyle w:val="af2"/>
          <w:rFonts w:eastAsia="Guttman Hodes" w:hint="cs"/>
          <w:rtl/>
        </w:rPr>
        <w:t>(סי' ט' ד"ה וי"ל)</w:t>
      </w:r>
      <w:r w:rsidRPr="008C587E">
        <w:rPr>
          <w:rFonts w:hint="cs"/>
          <w:vanish/>
          <w:rtl/>
        </w:rPr>
        <w:t>=</w:t>
      </w:r>
      <w:r>
        <w:rPr>
          <w:rFonts w:hint="cs"/>
          <w:rtl/>
        </w:rPr>
        <w:t xml:space="preserve"> דס"ל </w:t>
      </w:r>
      <w:r w:rsidRPr="00065BDB">
        <w:rPr>
          <w:rStyle w:val="aff4"/>
          <w:rFonts w:hint="cs"/>
          <w:vanish/>
          <w:rtl/>
        </w:rPr>
        <w:t>-</w:t>
      </w:r>
      <w:r w:rsidRPr="00610487">
        <w:rPr>
          <w:rStyle w:val="aff4"/>
          <w:rFonts w:hint="cs"/>
          <w:rtl/>
        </w:rPr>
        <w:t>להרמב"ם</w:t>
      </w:r>
      <w:r w:rsidRPr="00065BDB">
        <w:rPr>
          <w:rStyle w:val="aff4"/>
          <w:rFonts w:hint="cs"/>
          <w:vanish/>
          <w:rtl/>
        </w:rPr>
        <w:t>-</w:t>
      </w:r>
      <w:r>
        <w:rPr>
          <w:rFonts w:hint="cs"/>
          <w:rtl/>
        </w:rPr>
        <w:t xml:space="preserve"> דאף ע"ג יתידות חשיב העציץ כמחובר, ואפ"ה כשהגביהו מע"ג הקרקע והניחו ע"ג יתדות חייב משום תולש, כיון דהוא ממעט את היניקה, </w:t>
      </w:r>
      <w:r w:rsidRPr="007A72D8">
        <w:rPr>
          <w:rStyle w:val="af"/>
          <w:rFonts w:hint="cs"/>
          <w:rtl/>
        </w:rPr>
        <w:t xml:space="preserve">[וכתב </w:t>
      </w:r>
      <w:r w:rsidRPr="00394B7E">
        <w:rPr>
          <w:rStyle w:val="aff9"/>
          <w:rFonts w:hint="cs"/>
          <w:vanish/>
          <w:rtl/>
        </w:rPr>
        <w:t>-</w:t>
      </w:r>
      <w:r w:rsidRPr="00394B7E">
        <w:rPr>
          <w:rStyle w:val="aff9"/>
          <w:rFonts w:hint="cs"/>
          <w:rtl/>
        </w:rPr>
        <w:t>בחי' רבי ראובן</w:t>
      </w:r>
      <w:r w:rsidRPr="00394B7E">
        <w:rPr>
          <w:rStyle w:val="aff9"/>
          <w:rFonts w:hint="cs"/>
          <w:vanish/>
          <w:rtl/>
        </w:rPr>
        <w:t>-</w:t>
      </w:r>
      <w:r w:rsidRPr="007A72D8">
        <w:rPr>
          <w:rStyle w:val="af"/>
          <w:rFonts w:hint="cs"/>
          <w:rtl/>
        </w:rPr>
        <w:t xml:space="preserve"> דהוא כמלאכת מכבה דאף במקליש את האור חייב משום מכבה, כדכתבו </w:t>
      </w:r>
      <w:r w:rsidRPr="00394B7E">
        <w:rPr>
          <w:rStyle w:val="aff9"/>
          <w:rFonts w:hint="cs"/>
          <w:vanish/>
          <w:rtl/>
        </w:rPr>
        <w:t>-</w:t>
      </w:r>
      <w:r w:rsidRPr="00394B7E">
        <w:rPr>
          <w:rStyle w:val="aff9"/>
          <w:rFonts w:hint="cs"/>
          <w:rtl/>
        </w:rPr>
        <w:t>התוס' בביצה</w:t>
      </w:r>
      <w:r w:rsidRPr="00394B7E">
        <w:rPr>
          <w:rStyle w:val="aff9"/>
          <w:rFonts w:hint="cs"/>
          <w:vanish/>
          <w:rtl/>
        </w:rPr>
        <w:t>-</w:t>
      </w:r>
      <w:r w:rsidRPr="007A72D8">
        <w:rPr>
          <w:rStyle w:val="af"/>
          <w:rFonts w:hint="cs"/>
          <w:rtl/>
        </w:rPr>
        <w:t xml:space="preserve"> </w:t>
      </w:r>
      <w:r w:rsidRPr="00394B7E">
        <w:rPr>
          <w:rStyle w:val="aff0"/>
          <w:rFonts w:hint="cs"/>
          <w:rtl/>
        </w:rPr>
        <w:t>(כב. ד"ה והמסתפק)</w:t>
      </w:r>
      <w:r w:rsidRPr="007A72D8">
        <w:rPr>
          <w:rStyle w:val="af"/>
          <w:rFonts w:hint="cs"/>
          <w:rtl/>
        </w:rPr>
        <w:t xml:space="preserve">, ומוכח </w:t>
      </w:r>
      <w:r w:rsidRPr="00394B7E">
        <w:rPr>
          <w:rStyle w:val="aff9"/>
          <w:rFonts w:hint="cs"/>
          <w:vanish/>
          <w:rtl/>
        </w:rPr>
        <w:t>-</w:t>
      </w:r>
      <w:r w:rsidRPr="00394B7E">
        <w:rPr>
          <w:rStyle w:val="aff9"/>
          <w:rFonts w:hint="cs"/>
          <w:rtl/>
        </w:rPr>
        <w:t>ברמב"ם</w:t>
      </w:r>
      <w:r w:rsidRPr="00394B7E">
        <w:rPr>
          <w:rStyle w:val="aff9"/>
          <w:rFonts w:hint="cs"/>
          <w:vanish/>
          <w:rtl/>
        </w:rPr>
        <w:t>-</w:t>
      </w:r>
      <w:r w:rsidRPr="007A72D8">
        <w:rPr>
          <w:rStyle w:val="af"/>
          <w:rFonts w:hint="cs"/>
          <w:rtl/>
        </w:rPr>
        <w:t xml:space="preserve"> </w:t>
      </w:r>
      <w:r w:rsidRPr="00394B7E">
        <w:rPr>
          <w:rStyle w:val="aff0"/>
          <w:rFonts w:hint="cs"/>
          <w:rtl/>
        </w:rPr>
        <w:t>(שבת פי"ב ה"ב)</w:t>
      </w:r>
      <w:r w:rsidRPr="007A72D8">
        <w:rPr>
          <w:rStyle w:val="af"/>
          <w:rFonts w:hint="cs"/>
          <w:rtl/>
        </w:rPr>
        <w:t xml:space="preserve"> דהחיוב בזה הוא מדאו']</w:t>
      </w:r>
      <w:r w:rsidRPr="009C1377">
        <w:rPr>
          <w:rStyle w:val="af"/>
          <w:rFonts w:hint="cs"/>
          <w:rtl/>
        </w:rPr>
        <w:t>,</w:t>
      </w:r>
      <w:r>
        <w:rPr>
          <w:rFonts w:hint="cs"/>
          <w:rtl/>
        </w:rPr>
        <w:t xml:space="preserve"> וכתב </w:t>
      </w:r>
      <w:r w:rsidRPr="00065BDB">
        <w:rPr>
          <w:rStyle w:val="aff4"/>
          <w:rFonts w:hint="cs"/>
          <w:vanish/>
          <w:rtl/>
        </w:rPr>
        <w:t>-</w:t>
      </w:r>
      <w:r w:rsidRPr="00610487">
        <w:rPr>
          <w:rStyle w:val="aff4"/>
          <w:rFonts w:hint="cs"/>
          <w:rtl/>
        </w:rPr>
        <w:t>בחי' רבי ראובן</w:t>
      </w:r>
      <w:r w:rsidRPr="00065BDB">
        <w:rPr>
          <w:rStyle w:val="aff4"/>
          <w:rFonts w:hint="cs"/>
          <w:vanish/>
          <w:rtl/>
        </w:rPr>
        <w:t>-</w:t>
      </w:r>
      <w:r>
        <w:rPr>
          <w:rFonts w:hint="cs"/>
          <w:rtl/>
        </w:rPr>
        <w:t xml:space="preserve"> דה"ה בהגביה מע"ג היתדות והניחה ע"ג הקרקע דחייב משום נוטע, כיון שהוא מוסיף ביניקה ומשביח אותה, והוא כזומר ומשקה מים דחייב משום זורע, אף שלא חיבר דבר תלוש למחובר, וא"כ לא קשה קושית </w:t>
      </w:r>
      <w:r w:rsidRPr="00065BDB">
        <w:rPr>
          <w:rStyle w:val="aff4"/>
          <w:rFonts w:hint="cs"/>
          <w:vanish/>
          <w:rtl/>
        </w:rPr>
        <w:t>-</w:t>
      </w:r>
      <w:r w:rsidRPr="00610487">
        <w:rPr>
          <w:rStyle w:val="aff4"/>
          <w:rFonts w:hint="cs"/>
          <w:rtl/>
        </w:rPr>
        <w:t>התוס'</w:t>
      </w:r>
      <w:r w:rsidRPr="00065BDB">
        <w:rPr>
          <w:rStyle w:val="aff4"/>
          <w:rFonts w:hint="cs"/>
          <w:vanish/>
          <w:rtl/>
        </w:rPr>
        <w:t>-</w:t>
      </w:r>
      <w:r>
        <w:rPr>
          <w:rFonts w:hint="cs"/>
          <w:rtl/>
        </w:rPr>
        <w:t xml:space="preserve"> מהגמ' בגיטין דבאמת לענין פרוזבול עדיין חשיב מחובר. </w:t>
      </w:r>
      <w:r w:rsidRPr="007A72D8">
        <w:rPr>
          <w:rStyle w:val="af"/>
          <w:rFonts w:hint="cs"/>
          <w:rtl/>
        </w:rPr>
        <w:t xml:space="preserve">[אך כתב </w:t>
      </w:r>
      <w:r w:rsidRPr="00394B7E">
        <w:rPr>
          <w:rStyle w:val="aff9"/>
          <w:rFonts w:hint="cs"/>
          <w:vanish/>
          <w:rtl/>
        </w:rPr>
        <w:t>-</w:t>
      </w:r>
      <w:r w:rsidRPr="00394B7E">
        <w:rPr>
          <w:rStyle w:val="aff9"/>
          <w:rFonts w:hint="cs"/>
          <w:rtl/>
        </w:rPr>
        <w:t>בחי' רבי ראובן בגיטין</w:t>
      </w:r>
      <w:r w:rsidRPr="00394B7E">
        <w:rPr>
          <w:rStyle w:val="aff9"/>
          <w:rFonts w:hint="cs"/>
          <w:vanish/>
          <w:rtl/>
        </w:rPr>
        <w:t>-</w:t>
      </w:r>
      <w:r w:rsidRPr="007A72D8">
        <w:rPr>
          <w:rStyle w:val="af"/>
          <w:rFonts w:hint="cs"/>
          <w:rtl/>
        </w:rPr>
        <w:t xml:space="preserve"> </w:t>
      </w:r>
      <w:r w:rsidRPr="00394B7E">
        <w:rPr>
          <w:rStyle w:val="aff0"/>
          <w:rFonts w:hint="cs"/>
          <w:rtl/>
        </w:rPr>
        <w:t>(סי' ט' ד"ה אבל)</w:t>
      </w:r>
      <w:r w:rsidRPr="007A72D8">
        <w:rPr>
          <w:rStyle w:val="af"/>
          <w:rFonts w:hint="cs"/>
          <w:rtl/>
        </w:rPr>
        <w:t xml:space="preserve"> דבדברי </w:t>
      </w:r>
      <w:r w:rsidRPr="00394B7E">
        <w:rPr>
          <w:rStyle w:val="aff9"/>
          <w:rFonts w:hint="cs"/>
          <w:vanish/>
          <w:rtl/>
        </w:rPr>
        <w:t>-</w:t>
      </w:r>
      <w:r w:rsidRPr="00394B7E">
        <w:rPr>
          <w:rStyle w:val="aff9"/>
          <w:rFonts w:hint="cs"/>
          <w:rtl/>
        </w:rPr>
        <w:t>המ"מ</w:t>
      </w:r>
      <w:r w:rsidRPr="00394B7E">
        <w:rPr>
          <w:rStyle w:val="aff9"/>
          <w:rFonts w:hint="cs"/>
          <w:vanish/>
          <w:rtl/>
        </w:rPr>
        <w:t>-</w:t>
      </w:r>
      <w:r w:rsidRPr="007A72D8">
        <w:rPr>
          <w:rStyle w:val="af"/>
          <w:rFonts w:hint="cs"/>
          <w:rtl/>
        </w:rPr>
        <w:t xml:space="preserve"> </w:t>
      </w:r>
      <w:r w:rsidRPr="00394B7E">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Ref135064813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מא)</w:t>
      </w:r>
      <w:r>
        <w:rPr>
          <w:rStyle w:val="aff0"/>
          <w:rtl/>
        </w:rPr>
        <w:fldChar w:fldCharType="end"/>
      </w:r>
      <w:r w:rsidRPr="007A72D8">
        <w:rPr>
          <w:rStyle w:val="af"/>
          <w:rFonts w:hint="cs"/>
          <w:rtl/>
        </w:rPr>
        <w:t xml:space="preserve"> משמע דס"ל </w:t>
      </w:r>
      <w:r w:rsidRPr="00394B7E">
        <w:rPr>
          <w:rStyle w:val="aff9"/>
          <w:rFonts w:hint="cs"/>
          <w:vanish/>
          <w:rtl/>
        </w:rPr>
        <w:t>-</w:t>
      </w:r>
      <w:r w:rsidRPr="00394B7E">
        <w:rPr>
          <w:rStyle w:val="aff9"/>
          <w:rFonts w:hint="cs"/>
          <w:rtl/>
        </w:rPr>
        <w:t>להרמב"ם</w:t>
      </w:r>
      <w:r w:rsidRPr="00394B7E">
        <w:rPr>
          <w:rStyle w:val="aff9"/>
          <w:rFonts w:hint="cs"/>
          <w:vanish/>
          <w:rtl/>
        </w:rPr>
        <w:t>-</w:t>
      </w:r>
      <w:r w:rsidRPr="007A72D8">
        <w:rPr>
          <w:rStyle w:val="af"/>
          <w:rFonts w:hint="cs"/>
          <w:rtl/>
        </w:rPr>
        <w:t xml:space="preserve"> דע"ג יתדות אינו מחובר]</w:t>
      </w:r>
      <w:r w:rsidRPr="00CD1359">
        <w:rPr>
          <w:rStyle w:val="af"/>
          <w:rFonts w:hint="cs"/>
          <w:rtl/>
        </w:rPr>
        <w:t>.</w:t>
      </w:r>
    </w:p>
    <w:p w14:paraId="44FEFC41" w14:textId="77777777" w:rsidR="000426DE" w:rsidRPr="00747170" w:rsidRDefault="000426DE" w:rsidP="00747170">
      <w:pPr>
        <w:pStyle w:val="a2"/>
        <w:rPr>
          <w:rtl/>
        </w:rPr>
      </w:pPr>
    </w:p>
    <w:p w14:paraId="052028A0" w14:textId="77777777" w:rsidR="000426DE" w:rsidRPr="00D578AC" w:rsidRDefault="000426DE" w:rsidP="00747170">
      <w:pPr>
        <w:pStyle w:val="afffff5"/>
        <w:rPr>
          <w:rtl/>
        </w:rPr>
      </w:pPr>
      <w:r w:rsidRPr="00D578AC">
        <w:rPr>
          <w:noProof/>
          <w:rtl/>
        </w:rPr>
        <w:drawing>
          <wp:inline distT="0" distB="0" distL="0" distR="0" wp14:anchorId="13B2EA93" wp14:editId="51DDC438">
            <wp:extent cx="3141291" cy="2592060"/>
            <wp:effectExtent l="0" t="0" r="2540" b="0"/>
            <wp:docPr id="201" name="תמונה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t="27485" b="39192"/>
                    <a:stretch/>
                  </pic:blipFill>
                  <pic:spPr bwMode="auto">
                    <a:xfrm>
                      <a:off x="0" y="0"/>
                      <a:ext cx="3142615" cy="2593152"/>
                    </a:xfrm>
                    <a:prstGeom prst="rect">
                      <a:avLst/>
                    </a:prstGeom>
                    <a:ln>
                      <a:noFill/>
                    </a:ln>
                    <a:extLst>
                      <a:ext uri="{53640926-AAD7-44D8-BBD7-CCE9431645EC}">
                        <a14:shadowObscured xmlns:a14="http://schemas.microsoft.com/office/drawing/2010/main"/>
                      </a:ext>
                    </a:extLst>
                  </pic:spPr>
                </pic:pic>
              </a:graphicData>
            </a:graphic>
          </wp:inline>
        </w:drawing>
      </w:r>
    </w:p>
    <w:p w14:paraId="3DC341E4" w14:textId="77777777" w:rsidR="000426DE" w:rsidRPr="00D578AC" w:rsidRDefault="000426DE" w:rsidP="00747170">
      <w:pPr>
        <w:pStyle w:val="afffff5"/>
        <w:rPr>
          <w:rtl/>
        </w:rPr>
      </w:pPr>
    </w:p>
    <w:p w14:paraId="06C39169" w14:textId="77777777" w:rsidR="000426DE" w:rsidRPr="00D578AC" w:rsidRDefault="000426DE" w:rsidP="00747170">
      <w:pPr>
        <w:pStyle w:val="afffff5"/>
        <w:rPr>
          <w:rtl/>
        </w:rPr>
      </w:pPr>
      <w:r w:rsidRPr="00D578AC">
        <w:rPr>
          <w:noProof/>
          <w:rtl/>
        </w:rPr>
        <w:drawing>
          <wp:inline distT="0" distB="0" distL="0" distR="0" wp14:anchorId="43BD88BC" wp14:editId="59337FD1">
            <wp:extent cx="3140848" cy="623455"/>
            <wp:effectExtent l="0" t="0" r="2540" b="5715"/>
            <wp:docPr id="202" name="תמונה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srcRect t="67633" b="5527"/>
                    <a:stretch/>
                  </pic:blipFill>
                  <pic:spPr bwMode="auto">
                    <a:xfrm>
                      <a:off x="0" y="0"/>
                      <a:ext cx="3142615" cy="623806"/>
                    </a:xfrm>
                    <a:prstGeom prst="rect">
                      <a:avLst/>
                    </a:prstGeom>
                    <a:ln>
                      <a:noFill/>
                    </a:ln>
                    <a:extLst>
                      <a:ext uri="{53640926-AAD7-44D8-BBD7-CCE9431645EC}">
                        <a14:shadowObscured xmlns:a14="http://schemas.microsoft.com/office/drawing/2010/main"/>
                      </a:ext>
                    </a:extLst>
                  </pic:spPr>
                </pic:pic>
              </a:graphicData>
            </a:graphic>
          </wp:inline>
        </w:drawing>
      </w:r>
    </w:p>
    <w:p w14:paraId="17AE2ADC" w14:textId="77777777" w:rsidR="000426DE" w:rsidRDefault="000426DE" w:rsidP="000426DE">
      <w:pPr>
        <w:pStyle w:val="a7"/>
      </w:pPr>
      <w:bookmarkStart w:id="1758" w:name="_Toc139316451"/>
      <w:r>
        <w:rPr>
          <w:rFonts w:hint="cs"/>
          <w:rtl/>
        </w:rPr>
        <w:t>בי' רבי ראובן באו"ז ומרכה"מ דהגבהת עציץ ליתדות ממעט יניקה ולכן בהחזירו אין חיוב תולש</w:t>
      </w:r>
      <w:bookmarkEnd w:id="1758"/>
    </w:p>
    <w:p w14:paraId="0FAEF8DD" w14:textId="1903AD72" w:rsidR="000426DE" w:rsidRDefault="000426DE" w:rsidP="00BC7DC8">
      <w:pPr>
        <w:pStyle w:val="a3"/>
        <w:rPr>
          <w:rtl/>
        </w:rPr>
      </w:pPr>
      <w:r>
        <w:rPr>
          <w:rFonts w:hint="cs"/>
          <w:rtl/>
        </w:rPr>
        <w:t xml:space="preserve">וכן במ"ש </w:t>
      </w:r>
      <w:r w:rsidRPr="00065BDB">
        <w:rPr>
          <w:rStyle w:val="aff4"/>
          <w:rFonts w:hint="cs"/>
          <w:vanish/>
          <w:rtl/>
        </w:rPr>
        <w:t>-</w:t>
      </w:r>
      <w:r w:rsidRPr="00610487">
        <w:rPr>
          <w:rStyle w:val="aff4"/>
          <w:rFonts w:hint="cs"/>
          <w:rtl/>
        </w:rPr>
        <w:t>המרכבת המשנה</w:t>
      </w:r>
      <w:r w:rsidRPr="00065BDB">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Ref135340655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מה)</w:t>
      </w:r>
      <w:r>
        <w:rPr>
          <w:rStyle w:val="af2"/>
          <w:rFonts w:eastAsia="Guttman Hodes"/>
          <w:rtl/>
        </w:rPr>
        <w:fldChar w:fldCharType="end"/>
      </w:r>
      <w:r>
        <w:rPr>
          <w:rFonts w:hint="cs"/>
          <w:rtl/>
        </w:rPr>
        <w:t xml:space="preserve"> דכשהגביה את העציץ רק לשעה וחזר והניחו ע"ג הקרקע, אין בזה איסור תולש, ביאר </w:t>
      </w:r>
      <w:r w:rsidRPr="00065BDB">
        <w:rPr>
          <w:rStyle w:val="aff4"/>
          <w:rFonts w:hint="cs"/>
          <w:vanish/>
          <w:rtl/>
        </w:rPr>
        <w:t>-</w:t>
      </w:r>
      <w:r w:rsidRPr="00610487">
        <w:rPr>
          <w:rStyle w:val="aff4"/>
          <w:rFonts w:hint="cs"/>
          <w:rtl/>
        </w:rPr>
        <w:t>בחי' רבי ראובן</w:t>
      </w:r>
      <w:r w:rsidRPr="00065BDB">
        <w:rPr>
          <w:rStyle w:val="aff4"/>
          <w:rFonts w:hint="cs"/>
          <w:vanish/>
          <w:rtl/>
        </w:rPr>
        <w:t>-</w:t>
      </w:r>
      <w:r>
        <w:rPr>
          <w:rFonts w:hint="cs"/>
          <w:rtl/>
        </w:rPr>
        <w:t xml:space="preserve"> דכוונתו לומר דאף ע"ג היתדות העציץ חשיב כמחובר, והא דחייב משום תולש הוא כיון דמקליש את היניקה, ועי"ז מקליש את הגידול של העשבים שבעציץ, וא"כ החיוב בזה הוא רק כשמתמעטת הלחלוחית בעציץ, ולכן אם החזירו ע"ג קרקע לפני שהתמעטה לחלוחיתו אין בזה מלאכה כלל, וכתב </w:t>
      </w:r>
      <w:r w:rsidRPr="00065BDB">
        <w:rPr>
          <w:rStyle w:val="aff4"/>
          <w:rFonts w:hint="cs"/>
          <w:vanish/>
          <w:rtl/>
        </w:rPr>
        <w:t>-</w:t>
      </w:r>
      <w:r w:rsidRPr="00610487">
        <w:rPr>
          <w:rStyle w:val="aff4"/>
          <w:rFonts w:hint="cs"/>
          <w:rtl/>
        </w:rPr>
        <w:t>בחי' רבי ראובן</w:t>
      </w:r>
      <w:r w:rsidRPr="00065BDB">
        <w:rPr>
          <w:rStyle w:val="aff4"/>
          <w:rFonts w:hint="cs"/>
          <w:vanish/>
          <w:rtl/>
        </w:rPr>
        <w:t>-</w:t>
      </w:r>
      <w:r>
        <w:rPr>
          <w:rFonts w:hint="cs"/>
          <w:rtl/>
        </w:rPr>
        <w:t xml:space="preserve"> דדמי לרדה את הפת מהתנור לפני האפיה, והוסיף </w:t>
      </w:r>
      <w:r w:rsidRPr="00065BDB">
        <w:rPr>
          <w:rStyle w:val="aff4"/>
          <w:rFonts w:hint="cs"/>
          <w:vanish/>
          <w:rtl/>
        </w:rPr>
        <w:t>-</w:t>
      </w:r>
      <w:r w:rsidRPr="00610487">
        <w:rPr>
          <w:rStyle w:val="aff4"/>
          <w:rFonts w:hint="cs"/>
          <w:rtl/>
        </w:rPr>
        <w:t>בחי' רבי ראובן</w:t>
      </w:r>
      <w:r w:rsidRPr="00663D06">
        <w:rPr>
          <w:rStyle w:val="aff4"/>
          <w:rFonts w:hint="cs"/>
          <w:vanish/>
          <w:rtl/>
        </w:rPr>
        <w:t>–</w:t>
      </w:r>
      <w:r w:rsidRPr="00610487">
        <w:rPr>
          <w:rStyle w:val="aff4"/>
          <w:rFonts w:hint="cs"/>
          <w:rtl/>
        </w:rPr>
        <w:t xml:space="preserve"> </w:t>
      </w:r>
      <w:r w:rsidRPr="00531C33">
        <w:rPr>
          <w:rFonts w:hint="cs"/>
          <w:rtl/>
        </w:rPr>
        <w:t xml:space="preserve">דכדברי </w:t>
      </w:r>
      <w:r w:rsidRPr="00531C33">
        <w:rPr>
          <w:rStyle w:val="aff4"/>
          <w:rFonts w:hint="cs"/>
          <w:vanish/>
          <w:rtl/>
        </w:rPr>
        <w:t>-</w:t>
      </w:r>
      <w:r w:rsidRPr="00531C33">
        <w:rPr>
          <w:rStyle w:val="aff4"/>
          <w:rFonts w:hint="cs"/>
          <w:rtl/>
        </w:rPr>
        <w:t>המרכה"מ</w:t>
      </w:r>
      <w:r w:rsidRPr="00531C33">
        <w:rPr>
          <w:rStyle w:val="aff4"/>
          <w:rFonts w:hint="cs"/>
          <w:vanish/>
          <w:rtl/>
        </w:rPr>
        <w:t>-</w:t>
      </w:r>
      <w:r w:rsidRPr="00531C33">
        <w:rPr>
          <w:rFonts w:hint="cs"/>
          <w:rtl/>
        </w:rPr>
        <w:t xml:space="preserve"> כן מפורש בדברי</w:t>
      </w:r>
      <w:r w:rsidRPr="00610487">
        <w:rPr>
          <w:rStyle w:val="aff4"/>
          <w:rFonts w:hint="cs"/>
          <w:rtl/>
        </w:rPr>
        <w:t xml:space="preserve"> </w:t>
      </w:r>
      <w:r w:rsidRPr="00065BDB">
        <w:rPr>
          <w:rStyle w:val="aff4"/>
          <w:rFonts w:hint="cs"/>
          <w:vanish/>
          <w:rtl/>
        </w:rPr>
        <w:t>-</w:t>
      </w:r>
      <w:r w:rsidRPr="00610487">
        <w:rPr>
          <w:rStyle w:val="aff4"/>
          <w:rFonts w:hint="cs"/>
          <w:rtl/>
        </w:rPr>
        <w:t>האו"ז</w:t>
      </w:r>
      <w:r w:rsidRPr="00065BDB">
        <w:rPr>
          <w:rStyle w:val="aff4"/>
          <w:rFonts w:hint="cs"/>
          <w:vanish/>
          <w:rtl/>
        </w:rPr>
        <w:t>-</w:t>
      </w:r>
      <w:r w:rsidRPr="00610487">
        <w:rPr>
          <w:rStyle w:val="aff4"/>
          <w:rFonts w:hint="cs"/>
          <w:rtl/>
        </w:rPr>
        <w:t xml:space="preserve"> </w:t>
      </w:r>
      <w:r w:rsidRPr="00FB451D">
        <w:rPr>
          <w:rStyle w:val="af2"/>
          <w:rFonts w:eastAsia="Guttman Hodes" w:hint="cs"/>
          <w:rtl/>
        </w:rPr>
        <w:t xml:space="preserve">(עי' אות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Ref135126973 \r \h</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מו)</w:t>
      </w:r>
      <w:r w:rsidRPr="00FB451D">
        <w:rPr>
          <w:rStyle w:val="af2"/>
          <w:rFonts w:eastAsia="Guttman Hodes"/>
          <w:rtl/>
        </w:rPr>
        <w:fldChar w:fldCharType="end"/>
      </w:r>
      <w:r w:rsidRPr="00663D06">
        <w:rPr>
          <w:rFonts w:hint="cs"/>
          <w:rtl/>
        </w:rPr>
        <w:t xml:space="preserve"> והיינו דס"ל</w:t>
      </w:r>
      <w:r w:rsidRPr="00610487">
        <w:rPr>
          <w:rStyle w:val="aff4"/>
          <w:rFonts w:hint="cs"/>
          <w:rtl/>
        </w:rPr>
        <w:t xml:space="preserve"> </w:t>
      </w:r>
      <w:r w:rsidRPr="00065BDB">
        <w:rPr>
          <w:rStyle w:val="aff4"/>
          <w:rFonts w:hint="cs"/>
          <w:vanish/>
          <w:rtl/>
        </w:rPr>
        <w:t>-</w:t>
      </w:r>
      <w:r w:rsidRPr="00663D06">
        <w:rPr>
          <w:rStyle w:val="aff4"/>
          <w:rFonts w:hint="cs"/>
          <w:rtl/>
        </w:rPr>
        <w:t>לאו"ז</w:t>
      </w:r>
      <w:r w:rsidRPr="00663D06">
        <w:rPr>
          <w:rStyle w:val="aff4"/>
          <w:rFonts w:hint="cs"/>
          <w:vanish/>
          <w:rtl/>
        </w:rPr>
        <w:t>-</w:t>
      </w:r>
      <w:r>
        <w:rPr>
          <w:rFonts w:hint="cs"/>
          <w:rtl/>
        </w:rPr>
        <w:t xml:space="preserve"> דהעציץ עדיין מחובר והחיוב הוא רק כשממעט את יניקתו. </w:t>
      </w:r>
    </w:p>
    <w:p w14:paraId="468DFFF1" w14:textId="77777777" w:rsidR="000426DE" w:rsidRPr="00747170" w:rsidRDefault="000426DE" w:rsidP="00747170">
      <w:pPr>
        <w:pStyle w:val="a2"/>
        <w:rPr>
          <w:rtl/>
        </w:rPr>
      </w:pPr>
    </w:p>
    <w:p w14:paraId="50A0893B" w14:textId="77777777" w:rsidR="000426DE" w:rsidRPr="00D578AC" w:rsidRDefault="000426DE" w:rsidP="00747170">
      <w:pPr>
        <w:pStyle w:val="afffff5"/>
        <w:rPr>
          <w:rtl/>
        </w:rPr>
      </w:pPr>
      <w:r w:rsidRPr="00D578AC">
        <w:rPr>
          <w:noProof/>
          <w:rtl/>
        </w:rPr>
        <w:drawing>
          <wp:inline distT="0" distB="0" distL="0" distR="0" wp14:anchorId="27BB67DE" wp14:editId="5B8C7B8D">
            <wp:extent cx="3141980" cy="2990574"/>
            <wp:effectExtent l="0" t="0" r="1270" b="635"/>
            <wp:docPr id="203" name="תמונה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t="58419" b="3142"/>
                    <a:stretch/>
                  </pic:blipFill>
                  <pic:spPr bwMode="auto">
                    <a:xfrm>
                      <a:off x="0" y="0"/>
                      <a:ext cx="3142615" cy="2991178"/>
                    </a:xfrm>
                    <a:prstGeom prst="rect">
                      <a:avLst/>
                    </a:prstGeom>
                    <a:ln>
                      <a:noFill/>
                    </a:ln>
                    <a:extLst>
                      <a:ext uri="{53640926-AAD7-44D8-BBD7-CCE9431645EC}">
                        <a14:shadowObscured xmlns:a14="http://schemas.microsoft.com/office/drawing/2010/main"/>
                      </a:ext>
                    </a:extLst>
                  </pic:spPr>
                </pic:pic>
              </a:graphicData>
            </a:graphic>
          </wp:inline>
        </w:drawing>
      </w:r>
    </w:p>
    <w:p w14:paraId="39BD7D9E" w14:textId="77777777" w:rsidR="000426DE" w:rsidRPr="00D578AC" w:rsidRDefault="000426DE" w:rsidP="00747170">
      <w:pPr>
        <w:pStyle w:val="afffff5"/>
      </w:pPr>
      <w:r w:rsidRPr="00D578AC">
        <w:rPr>
          <w:noProof/>
          <w:rtl/>
        </w:rPr>
        <w:drawing>
          <wp:inline distT="0" distB="0" distL="0" distR="0" wp14:anchorId="376CAA23" wp14:editId="5EC7D95A">
            <wp:extent cx="3142514" cy="1783458"/>
            <wp:effectExtent l="0" t="0" r="1270" b="7620"/>
            <wp:docPr id="204" name="תמונה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srcRect b="23262"/>
                    <a:stretch/>
                  </pic:blipFill>
                  <pic:spPr bwMode="auto">
                    <a:xfrm>
                      <a:off x="0" y="0"/>
                      <a:ext cx="3142615" cy="1783516"/>
                    </a:xfrm>
                    <a:prstGeom prst="rect">
                      <a:avLst/>
                    </a:prstGeom>
                    <a:ln>
                      <a:noFill/>
                    </a:ln>
                    <a:extLst>
                      <a:ext uri="{53640926-AAD7-44D8-BBD7-CCE9431645EC}">
                        <a14:shadowObscured xmlns:a14="http://schemas.microsoft.com/office/drawing/2010/main"/>
                      </a:ext>
                    </a:extLst>
                  </pic:spPr>
                </pic:pic>
              </a:graphicData>
            </a:graphic>
          </wp:inline>
        </w:drawing>
      </w:r>
    </w:p>
    <w:p w14:paraId="3588E06E" w14:textId="77777777" w:rsidR="000426DE" w:rsidRPr="003E06DC" w:rsidRDefault="000426DE" w:rsidP="000426DE">
      <w:pPr>
        <w:pStyle w:val="1"/>
        <w:rPr>
          <w:rtl/>
        </w:rPr>
      </w:pPr>
      <w:bookmarkStart w:id="1759" w:name="_Toc139316452"/>
      <w:r>
        <w:rPr>
          <w:rFonts w:hint="cs"/>
          <w:rtl/>
        </w:rPr>
        <w:t>בי' האחרונים אי מוסיף יניקה במניח עציץ ע"ג קרקע זורע מדאו'</w:t>
      </w:r>
      <w:bookmarkEnd w:id="1759"/>
    </w:p>
    <w:p w14:paraId="5F16A11E" w14:textId="3EDBF9EE" w:rsidR="000426DE" w:rsidRDefault="000426DE" w:rsidP="000426DE">
      <w:pPr>
        <w:pStyle w:val="afffff7"/>
        <w:rPr>
          <w:rtl/>
        </w:rPr>
      </w:pPr>
      <w:bookmarkStart w:id="1760" w:name="_Toc135513761"/>
      <w:bookmarkStart w:id="1761" w:name="_Toc163505681"/>
      <w:bookmarkEnd w:id="1721"/>
      <w:bookmarkEnd w:id="1748"/>
      <w:r>
        <w:rPr>
          <w:rtl/>
        </w:rPr>
        <w:t>דברי יחזקאל סי' ב</w:t>
      </w:r>
      <w:r w:rsidRPr="00DC1479">
        <w:rPr>
          <w:rtl/>
        </w:rPr>
        <w:t xml:space="preserve"> </w:t>
      </w:r>
      <w:r>
        <w:rPr>
          <w:rFonts w:hint="cs"/>
          <w:rtl/>
        </w:rPr>
        <w:t>אות</w:t>
      </w:r>
      <w:r w:rsidRPr="00DC1479">
        <w:rPr>
          <w:rtl/>
        </w:rPr>
        <w:t xml:space="preserve"> א</w:t>
      </w:r>
      <w:r>
        <w:rPr>
          <w:rFonts w:hint="cs"/>
          <w:rtl/>
        </w:rPr>
        <w:t xml:space="preserve"> ד"ה גרסינן</w:t>
      </w:r>
      <w:bookmarkEnd w:id="1760"/>
      <w:bookmarkEnd w:id="1761"/>
    </w:p>
    <w:p w14:paraId="022FEED8" w14:textId="77777777" w:rsidR="000426DE" w:rsidRDefault="000426DE" w:rsidP="000426DE">
      <w:pPr>
        <w:pStyle w:val="a7"/>
        <w:rPr>
          <w:rtl/>
        </w:rPr>
      </w:pPr>
      <w:bookmarkStart w:id="1762" w:name="_Toc139316453"/>
      <w:r>
        <w:rPr>
          <w:rFonts w:hint="cs"/>
          <w:rtl/>
        </w:rPr>
        <w:t>בי' הדבר"י ברש"י ותוס' דמודו דהוספת יניקה הוי זורע דכל גדר זורע הוספת יניקה כמו במשקה</w:t>
      </w:r>
      <w:bookmarkEnd w:id="1762"/>
      <w:r>
        <w:rPr>
          <w:rFonts w:hint="cs"/>
          <w:rtl/>
        </w:rPr>
        <w:t xml:space="preserve"> </w:t>
      </w:r>
    </w:p>
    <w:p w14:paraId="03EA7A03" w14:textId="33E13A57" w:rsidR="000426DE" w:rsidRPr="00DC1479" w:rsidRDefault="000426DE" w:rsidP="00BC7DC8">
      <w:pPr>
        <w:pStyle w:val="a3"/>
        <w:rPr>
          <w:rtl/>
        </w:rPr>
      </w:pPr>
      <w:bookmarkStart w:id="1763" w:name="_Ref134956414"/>
      <w:r>
        <w:rPr>
          <w:rFonts w:hint="cs"/>
          <w:rtl/>
        </w:rPr>
        <w:t xml:space="preserve">במ"ש </w:t>
      </w:r>
      <w:r w:rsidRPr="006527E3">
        <w:rPr>
          <w:rStyle w:val="aff4"/>
          <w:rFonts w:hint="cs"/>
          <w:vanish/>
          <w:rtl/>
        </w:rPr>
        <w:t>-</w:t>
      </w:r>
      <w:r w:rsidRPr="009B386D">
        <w:rPr>
          <w:rStyle w:val="aff4"/>
          <w:rFonts w:hint="cs"/>
          <w:rtl/>
        </w:rPr>
        <w:t>רש"י לקמן</w:t>
      </w:r>
      <w:r w:rsidRPr="006527E3">
        <w:rPr>
          <w:rStyle w:val="aff4"/>
          <w:rFonts w:hint="cs"/>
          <w:vanish/>
          <w:rtl/>
        </w:rPr>
        <w:t>-</w:t>
      </w:r>
      <w:r>
        <w:rPr>
          <w:rFonts w:hint="cs"/>
          <w:rtl/>
        </w:rPr>
        <w:t xml:space="preserve"> </w:t>
      </w:r>
      <w:r w:rsidRPr="00FB451D">
        <w:rPr>
          <w:rStyle w:val="af2"/>
          <w:rFonts w:eastAsia="Guttman Hodes" w:hint="cs"/>
          <w:rtl/>
        </w:rPr>
        <w:t xml:space="preserve">(עי' אות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Ref134956345 \r \h</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לו)</w:t>
      </w:r>
      <w:r w:rsidRPr="00FB451D">
        <w:rPr>
          <w:rStyle w:val="af2"/>
          <w:rFonts w:eastAsia="Guttman Hodes"/>
          <w:rtl/>
        </w:rPr>
        <w:fldChar w:fldCharType="end"/>
      </w:r>
      <w:r>
        <w:rPr>
          <w:rFonts w:hint="cs"/>
          <w:rtl/>
        </w:rPr>
        <w:t xml:space="preserve"> </w:t>
      </w:r>
      <w:r w:rsidRPr="006527E3">
        <w:rPr>
          <w:rStyle w:val="aff4"/>
          <w:rFonts w:hint="cs"/>
          <w:vanish/>
          <w:rtl/>
        </w:rPr>
        <w:t>-</w:t>
      </w:r>
      <w:r w:rsidRPr="009B386D">
        <w:rPr>
          <w:rStyle w:val="aff4"/>
          <w:rFonts w:hint="cs"/>
          <w:rtl/>
        </w:rPr>
        <w:t>ותוס' לקמן</w:t>
      </w:r>
      <w:r w:rsidRPr="006527E3">
        <w:rPr>
          <w:rStyle w:val="aff4"/>
          <w:rFonts w:hint="cs"/>
          <w:vanish/>
          <w:rtl/>
        </w:rPr>
        <w:t>-</w:t>
      </w:r>
      <w:r>
        <w:rPr>
          <w:rFonts w:hint="cs"/>
          <w:rtl/>
        </w:rPr>
        <w:t xml:space="preserve"> </w:t>
      </w:r>
      <w:r w:rsidRPr="00FB451D">
        <w:rPr>
          <w:rStyle w:val="af2"/>
          <w:rFonts w:eastAsia="Guttman Hodes" w:hint="cs"/>
          <w:rtl/>
        </w:rPr>
        <w:t xml:space="preserve">(עי' אות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Ref134954812 \r \h</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לז)</w:t>
      </w:r>
      <w:r w:rsidRPr="00FB451D">
        <w:rPr>
          <w:rStyle w:val="af2"/>
          <w:rFonts w:eastAsia="Guttman Hodes"/>
          <w:rtl/>
        </w:rPr>
        <w:fldChar w:fldCharType="end"/>
      </w:r>
      <w:r>
        <w:rPr>
          <w:rFonts w:hint="cs"/>
          <w:rtl/>
        </w:rPr>
        <w:t xml:space="preserve"> דהגבהת פרפיסא ע"ג יתדות הוא תולש מדרבנן, כתב </w:t>
      </w:r>
      <w:r w:rsidRPr="006527E3">
        <w:rPr>
          <w:rStyle w:val="aff4"/>
          <w:rFonts w:hint="cs"/>
          <w:vanish/>
          <w:rtl/>
        </w:rPr>
        <w:t>-</w:t>
      </w:r>
      <w:r w:rsidRPr="009B386D">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Ref134956414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קה)</w:t>
      </w:r>
      <w:r w:rsidRPr="00B53404">
        <w:rPr>
          <w:rStyle w:val="aff4"/>
          <w:vanish/>
          <w:rtl/>
        </w:rPr>
        <w:fldChar w:fldCharType="end"/>
      </w:r>
      <w:r w:rsidRPr="00B53404">
        <w:rPr>
          <w:rStyle w:val="aff4"/>
          <w:rFonts w:hint="cs"/>
          <w:vanish/>
          <w:rtl/>
        </w:rPr>
        <w:t xml:space="preserve"> &gt;</w:t>
      </w:r>
      <w:r w:rsidRPr="009B386D">
        <w:rPr>
          <w:rStyle w:val="aff4"/>
          <w:rFonts w:hint="cs"/>
          <w:rtl/>
        </w:rPr>
        <w:t>דברי יחזקאל</w:t>
      </w:r>
      <w:r w:rsidRPr="006527E3">
        <w:rPr>
          <w:rStyle w:val="aff4"/>
          <w:rFonts w:hint="cs"/>
          <w:vanish/>
          <w:rtl/>
        </w:rPr>
        <w:t>-</w:t>
      </w:r>
      <w:r>
        <w:rPr>
          <w:rFonts w:hint="cs"/>
          <w:rtl/>
        </w:rPr>
        <w:t xml:space="preserve"> </w:t>
      </w:r>
      <w:r w:rsidRPr="00FB451D">
        <w:rPr>
          <w:rStyle w:val="af2"/>
          <w:rFonts w:eastAsia="Guttman Hodes" w:hint="cs"/>
          <w:rtl/>
        </w:rPr>
        <w:t>(סי' ב' אות א'</w:t>
      </w:r>
      <w:r w:rsidRPr="00FB451D">
        <w:rPr>
          <w:rStyle w:val="af2"/>
          <w:rFonts w:eastAsia="Guttman Hodes"/>
          <w:rtl/>
        </w:rPr>
        <w:t xml:space="preserve"> ד"ה גרסינן</w:t>
      </w:r>
      <w:r w:rsidRPr="00FB451D">
        <w:rPr>
          <w:rStyle w:val="af2"/>
          <w:rFonts w:eastAsia="Guttman Hodes" w:hint="cs"/>
          <w:rtl/>
        </w:rPr>
        <w:t>)</w:t>
      </w:r>
      <w:r w:rsidRPr="006527E3">
        <w:rPr>
          <w:rFonts w:hint="cs"/>
          <w:vanish/>
          <w:rtl/>
        </w:rPr>
        <w:t>=</w:t>
      </w:r>
      <w:r>
        <w:rPr>
          <w:rFonts w:hint="cs"/>
          <w:rtl/>
        </w:rPr>
        <w:t xml:space="preserve"> דאעפ"י דהוא תלישה מדרבנן, מ"מ מודה </w:t>
      </w:r>
      <w:r w:rsidRPr="006527E3">
        <w:rPr>
          <w:rStyle w:val="aff4"/>
          <w:rFonts w:hint="cs"/>
          <w:vanish/>
          <w:rtl/>
        </w:rPr>
        <w:t>-</w:t>
      </w:r>
      <w:r w:rsidRPr="009B386D">
        <w:rPr>
          <w:rStyle w:val="aff4"/>
          <w:rFonts w:hint="cs"/>
          <w:rtl/>
        </w:rPr>
        <w:t>רש"י</w:t>
      </w:r>
      <w:r w:rsidRPr="006527E3">
        <w:rPr>
          <w:rStyle w:val="aff4"/>
          <w:rFonts w:hint="cs"/>
          <w:vanish/>
          <w:rtl/>
        </w:rPr>
        <w:t>-</w:t>
      </w:r>
      <w:r>
        <w:rPr>
          <w:rFonts w:hint="cs"/>
          <w:rtl/>
        </w:rPr>
        <w:t xml:space="preserve"> דהוא ממעט את היניקה כשמניחו ע"ג יתדות, דהא כתב </w:t>
      </w:r>
      <w:r w:rsidRPr="006527E3">
        <w:rPr>
          <w:rStyle w:val="aff4"/>
          <w:rFonts w:hint="cs"/>
          <w:vanish/>
          <w:rtl/>
        </w:rPr>
        <w:t>-</w:t>
      </w:r>
      <w:r w:rsidRPr="009B386D">
        <w:rPr>
          <w:rStyle w:val="aff4"/>
          <w:rFonts w:hint="cs"/>
          <w:rtl/>
        </w:rPr>
        <w:t>רש"י</w:t>
      </w:r>
      <w:r w:rsidRPr="006527E3">
        <w:rPr>
          <w:rStyle w:val="aff4"/>
          <w:rFonts w:hint="cs"/>
          <w:vanish/>
          <w:rtl/>
        </w:rPr>
        <w:t>-</w:t>
      </w:r>
      <w:r>
        <w:rPr>
          <w:rFonts w:hint="cs"/>
          <w:rtl/>
        </w:rPr>
        <w:t xml:space="preserve"> </w:t>
      </w:r>
      <w:r w:rsidRPr="00FB451D">
        <w:rPr>
          <w:rStyle w:val="af2"/>
          <w:rFonts w:eastAsia="Guttman Hodes" w:hint="cs"/>
          <w:rtl/>
        </w:rPr>
        <w:t xml:space="preserve">(עי' אות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Ref134956345 \r \h</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לו)</w:t>
      </w:r>
      <w:r w:rsidRPr="00FB451D">
        <w:rPr>
          <w:rStyle w:val="af2"/>
          <w:rFonts w:eastAsia="Guttman Hodes"/>
          <w:rtl/>
        </w:rPr>
        <w:fldChar w:fldCharType="end"/>
      </w:r>
      <w:r>
        <w:rPr>
          <w:rFonts w:hint="cs"/>
          <w:rtl/>
        </w:rPr>
        <w:t xml:space="preserve"> דאינו נהנה מריח הקרקע, אלא דמ"מ לענין תולש דאו' אי"ז מחייב כיון שלא </w:t>
      </w:r>
      <w:r>
        <w:rPr>
          <w:rFonts w:hint="cs"/>
          <w:rtl/>
        </w:rPr>
        <w:t xml:space="preserve">נפסקה היניקה לגמרי והוא כמחובר, וכתב </w:t>
      </w:r>
      <w:r w:rsidRPr="006527E3">
        <w:rPr>
          <w:rStyle w:val="aff4"/>
          <w:rFonts w:hint="cs"/>
          <w:vanish/>
          <w:rtl/>
        </w:rPr>
        <w:t>-</w:t>
      </w:r>
      <w:r w:rsidRPr="009B386D">
        <w:rPr>
          <w:rStyle w:val="aff4"/>
          <w:rFonts w:hint="cs"/>
          <w:rtl/>
        </w:rPr>
        <w:t>הדברי יחזקאל</w:t>
      </w:r>
      <w:r w:rsidRPr="006527E3">
        <w:rPr>
          <w:rStyle w:val="aff4"/>
          <w:rFonts w:hint="cs"/>
          <w:vanish/>
          <w:rtl/>
        </w:rPr>
        <w:t>-</w:t>
      </w:r>
      <w:r>
        <w:rPr>
          <w:rFonts w:hint="cs"/>
          <w:rtl/>
        </w:rPr>
        <w:t xml:space="preserve"> דהיינו דוקא לענין תולש, כיון דגדר המלאכה הוא שמפסיק את היניקה לגמרי, דאינו מחובר כלל, אבל לענין זורע חייב אף כשנוטלו מע"ג יתדות ומניחו ע"ג קרקע, דהוא מוסיף יניקה, וגדר מלאכת זורע אינה להפוך את הזרע למחובר, אלא גדר המלאכה היא להוסיף ביניקה, כדמוכח בגמ' במו"ק </w:t>
      </w:r>
      <w:r w:rsidRPr="00FB451D">
        <w:rPr>
          <w:rStyle w:val="af2"/>
          <w:rFonts w:eastAsia="Guttman Hodes" w:hint="cs"/>
          <w:rtl/>
        </w:rPr>
        <w:t>(ג:)</w:t>
      </w:r>
      <w:r>
        <w:rPr>
          <w:rFonts w:hint="cs"/>
          <w:rtl/>
        </w:rPr>
        <w:t xml:space="preserve"> דמשקה מים לזרעים חייב משום זורע, וכן בדין שורה חיטין במים, דפסק </w:t>
      </w:r>
      <w:r w:rsidRPr="006527E3">
        <w:rPr>
          <w:rStyle w:val="aff4"/>
          <w:rFonts w:hint="cs"/>
          <w:vanish/>
          <w:rtl/>
        </w:rPr>
        <w:t>-</w:t>
      </w:r>
      <w:r w:rsidRPr="009B386D">
        <w:rPr>
          <w:rStyle w:val="aff4"/>
          <w:rFonts w:hint="cs"/>
          <w:rtl/>
        </w:rPr>
        <w:t>השו"ע</w:t>
      </w:r>
      <w:r w:rsidRPr="006527E3">
        <w:rPr>
          <w:rStyle w:val="aff4"/>
          <w:rFonts w:hint="cs"/>
          <w:vanish/>
          <w:rtl/>
        </w:rPr>
        <w:t>-</w:t>
      </w:r>
      <w:r>
        <w:rPr>
          <w:rFonts w:hint="cs"/>
          <w:rtl/>
        </w:rPr>
        <w:t xml:space="preserve"> </w:t>
      </w:r>
      <w:r w:rsidRPr="00FB451D">
        <w:rPr>
          <w:rStyle w:val="af2"/>
          <w:rFonts w:eastAsia="Guttman Hodes" w:hint="cs"/>
          <w:rtl/>
        </w:rPr>
        <w:t>(סי' של"ו י"א)</w:t>
      </w:r>
      <w:r>
        <w:rPr>
          <w:rFonts w:hint="cs"/>
          <w:rtl/>
        </w:rPr>
        <w:t xml:space="preserve"> דחייב משום זורע. </w:t>
      </w:r>
      <w:r w:rsidRPr="007A72D8">
        <w:rPr>
          <w:rStyle w:val="af"/>
          <w:rFonts w:hint="cs"/>
          <w:rtl/>
        </w:rPr>
        <w:t xml:space="preserve">[והיינו כביאור </w:t>
      </w:r>
      <w:r w:rsidRPr="00394B7E">
        <w:rPr>
          <w:rStyle w:val="aff9"/>
          <w:rFonts w:hint="cs"/>
          <w:vanish/>
          <w:rtl/>
        </w:rPr>
        <w:t>-</w:t>
      </w:r>
      <w:r w:rsidRPr="00394B7E">
        <w:rPr>
          <w:rStyle w:val="aff9"/>
          <w:rFonts w:hint="cs"/>
          <w:rtl/>
        </w:rPr>
        <w:t>המנחת חינוך</w:t>
      </w:r>
      <w:r w:rsidRPr="00394B7E">
        <w:rPr>
          <w:rStyle w:val="aff9"/>
          <w:rFonts w:hint="cs"/>
          <w:vanish/>
          <w:rtl/>
        </w:rPr>
        <w:t>-</w:t>
      </w:r>
      <w:r w:rsidRPr="007A72D8">
        <w:rPr>
          <w:rStyle w:val="af"/>
          <w:rFonts w:hint="cs"/>
          <w:rtl/>
        </w:rPr>
        <w:t xml:space="preserve"> </w:t>
      </w:r>
      <w:r w:rsidRPr="00394B7E">
        <w:rPr>
          <w:rStyle w:val="aff0"/>
          <w:rFonts w:hint="cs"/>
          <w:rtl/>
        </w:rPr>
        <w:t>(מוסך השבת זורע אות ב' ד"ה עוד כתב, הובא בסי' א' אות ק"ט)</w:t>
      </w:r>
      <w:r w:rsidRPr="007A72D8">
        <w:rPr>
          <w:rStyle w:val="af"/>
          <w:rFonts w:hint="cs"/>
          <w:rtl/>
        </w:rPr>
        <w:t xml:space="preserve"> בדעת </w:t>
      </w:r>
      <w:r w:rsidRPr="00394B7E">
        <w:rPr>
          <w:rStyle w:val="aff9"/>
          <w:rFonts w:hint="cs"/>
          <w:vanish/>
          <w:rtl/>
        </w:rPr>
        <w:t>-</w:t>
      </w:r>
      <w:r w:rsidRPr="00394B7E">
        <w:rPr>
          <w:rStyle w:val="aff9"/>
          <w:rFonts w:hint="cs"/>
          <w:rtl/>
        </w:rPr>
        <w:t>הרמב"ם</w:t>
      </w:r>
      <w:r w:rsidRPr="00394B7E">
        <w:rPr>
          <w:rStyle w:val="aff9"/>
          <w:rFonts w:hint="cs"/>
          <w:vanish/>
          <w:rtl/>
        </w:rPr>
        <w:t>-</w:t>
      </w:r>
      <w:r w:rsidRPr="007A72D8">
        <w:rPr>
          <w:rStyle w:val="af"/>
          <w:rFonts w:hint="cs"/>
          <w:rtl/>
        </w:rPr>
        <w:t xml:space="preserve"> עיי"ש]</w:t>
      </w:r>
      <w:r w:rsidRPr="00CD1359">
        <w:rPr>
          <w:rStyle w:val="af"/>
          <w:rFonts w:hint="cs"/>
          <w:rtl/>
        </w:rPr>
        <w:t>.</w:t>
      </w:r>
      <w:bookmarkEnd w:id="1763"/>
    </w:p>
    <w:p w14:paraId="555778A4" w14:textId="77777777" w:rsidR="000426DE" w:rsidRPr="00747170" w:rsidRDefault="000426DE" w:rsidP="00747170">
      <w:pPr>
        <w:pStyle w:val="a2"/>
        <w:rPr>
          <w:rtl/>
        </w:rPr>
      </w:pPr>
      <w:r w:rsidRPr="00747170">
        <w:rPr>
          <w:rtl/>
        </w:rPr>
        <w:t>גרסינן בשבת (דף פ"א ע"ב) גופא אמר ר"ל צרור שעלו בו עשבים מותר לקנח בה והתולש ממנה בשבת חייב חטאת, אמר ר"פ ש"מ מדר"ל האי פרפיסא שרי לטלטולי, מתקיף לה ר"כ אם אמרו לצורך יאמרו שלא לצורך, אמר אביי פרפיסא הואיל ואתא לידן לימא ביה מלתא, היה מונח ע"ג קרקע והניחו ע"ג יתדות מיחייב משום תולש, היה מונח ע"ג יתדות והניחו ע"ג קרקע חייב משום נוטע, ופירש"י חייב משום תולש דשוב אינו נהנה מריח הקרקע, ולי נראה דהאי חייב לאו דוקא אלא אסור משום דדמי לתולש, דאי חייב ממש קאמר לצורך היכי שרי רבנן איסור כרת וסקילה משום קינוח וכו' עכ"ל, וכן מבואר בתד"ה והניחו וכו' ע"ש וכן מתבאר בדברי התוס' פ"ק דגיטין (דף ז' ע"ב) ד"ה דלמא וכו' דמונח ע"ג יתדות חשיב מחובר כדיחויא דרבא, דאפילו לר"י דס"ל דבאין הספינה גוששת פטור ממעשר, היינו דוקא משום דעשויה לברוח, אבל עציץ לא, ולא כרבי זירא דמדמי להו והוכיחו כן מסוגיא דפרק השולח (דף ל"ו ע"א) דכותבין פרוזבול על עציץ נקוב ומוקי לה דמנח אסיכי, אלמא דחשיב מחובר אף על פי שמונח ע"ג יתדות, וע"כ דהא דחייב משום תולש אינו אלא דרבנן יעו"ש. והנה מבואר מדברי רש"י דהיניקה מתמעטת ע"י שהניחה ע"ג יתדות משום דאינו נהנה מריח הקרקע, ואפילו למאי דמסיק דהאי תולש אינו אלא דרבנן לא הדר ביה מהך סברא אלא דמשום דלא נפסק היניקה לגמרי יש לו עדיין דין מחובר ומשו"ה פטור משום תולש, דעיקרו של מלאכת תולש אינו אלא משום תלישת החיבור ולא משום מיעוט היניקה, ואף דמלאכת זורע היא ע"י הוספת יניקה לבד אף שלא עשאו מחובר, וכמבואר ברפ"ק דמועד קטן (דף ב' ע"א) דמשקה מים לזרעים חייב משום זורע דאורייתא יעו"ש מ"מ ס"ל לרש"י ותוס' דשניא מלאכת תולש ממלאכת זורע, ועיין זבחים (דף צ"ד ע"ב) דזרק פשתן למים חייב משום זורע משום דצומח במים אף דאינו במחובר כלל ועיין בשו"ע או"ח (סי' של"ו) ובמג"א שם (ס"ק י"ב) יעו"ש.</w:t>
      </w:r>
    </w:p>
    <w:p w14:paraId="17BC1B37" w14:textId="6CDCD779" w:rsidR="000426DE" w:rsidRDefault="000426DE" w:rsidP="000426DE">
      <w:pPr>
        <w:pStyle w:val="a7"/>
        <w:rPr>
          <w:rtl/>
        </w:rPr>
      </w:pPr>
      <w:bookmarkStart w:id="1764" w:name="_Toc139316454"/>
      <w:r>
        <w:rPr>
          <w:rFonts w:hint="cs"/>
          <w:rtl/>
        </w:rPr>
        <w:t>בי' הדבר"י דהגבהת עציץ מיתדות לע"ג קרקע</w:t>
      </w:r>
      <w:r w:rsidRPr="004D5DC8">
        <w:rPr>
          <w:rFonts w:hint="cs"/>
          <w:rtl/>
        </w:rPr>
        <w:t xml:space="preserve"> </w:t>
      </w:r>
      <w:r>
        <w:rPr>
          <w:rFonts w:hint="cs"/>
          <w:rtl/>
        </w:rPr>
        <w:t>אף לרש"י ותוס' זורע מדאו' דא"צ מחובר לזורע</w:t>
      </w:r>
      <w:bookmarkEnd w:id="1764"/>
    </w:p>
    <w:p w14:paraId="266CC9E6" w14:textId="77777777" w:rsidR="000426DE" w:rsidRDefault="000426DE" w:rsidP="00BC7DC8">
      <w:pPr>
        <w:pStyle w:val="a3"/>
        <w:rPr>
          <w:rtl/>
        </w:rPr>
      </w:pPr>
      <w:bookmarkStart w:id="1765" w:name="_Ref134956399"/>
      <w:r>
        <w:rPr>
          <w:rFonts w:hint="cs"/>
          <w:rtl/>
        </w:rPr>
        <w:t xml:space="preserve">וכתב </w:t>
      </w:r>
      <w:r w:rsidRPr="006527E3">
        <w:rPr>
          <w:rStyle w:val="aff4"/>
          <w:rFonts w:hint="cs"/>
          <w:vanish/>
          <w:rtl/>
        </w:rPr>
        <w:t>-</w:t>
      </w:r>
      <w:r w:rsidRPr="009B386D">
        <w:rPr>
          <w:rStyle w:val="aff4"/>
          <w:rFonts w:hint="cs"/>
          <w:rtl/>
        </w:rPr>
        <w:t>הדברי יחזקאל</w:t>
      </w:r>
      <w:r w:rsidRPr="006527E3">
        <w:rPr>
          <w:rStyle w:val="aff4"/>
          <w:rFonts w:hint="cs"/>
          <w:vanish/>
          <w:rtl/>
        </w:rPr>
        <w:t>-</w:t>
      </w:r>
      <w:r>
        <w:rPr>
          <w:rFonts w:hint="cs"/>
          <w:rtl/>
        </w:rPr>
        <w:t xml:space="preserve"> דלפי"ז הנוטל עציץ מע"ג יתדות ומניחו ע"ג קרקע, חייב לכו"ע מדין נוטע דאו', דהוא  מוסיף ביניקתו, אעפ"י דאינו מוסיף בדין מחובר, כיון דבמלאכת זורע א"צ שיהיה מחובר כלל. </w:t>
      </w:r>
      <w:r w:rsidRPr="007A72D8">
        <w:rPr>
          <w:rStyle w:val="af"/>
          <w:rFonts w:hint="cs"/>
          <w:rtl/>
        </w:rPr>
        <w:t xml:space="preserve">[ועיי"ש במה שדחק </w:t>
      </w:r>
      <w:r w:rsidRPr="00394B7E">
        <w:rPr>
          <w:rStyle w:val="aff9"/>
          <w:rFonts w:hint="cs"/>
          <w:vanish/>
          <w:rtl/>
        </w:rPr>
        <w:t>-</w:t>
      </w:r>
      <w:r w:rsidRPr="00394B7E">
        <w:rPr>
          <w:rStyle w:val="aff9"/>
          <w:rFonts w:hint="cs"/>
          <w:rtl/>
        </w:rPr>
        <w:t>הדברי יחזקאל</w:t>
      </w:r>
      <w:r w:rsidRPr="00394B7E">
        <w:rPr>
          <w:rStyle w:val="aff9"/>
          <w:rFonts w:hint="cs"/>
          <w:vanish/>
          <w:rtl/>
        </w:rPr>
        <w:t>-</w:t>
      </w:r>
      <w:r w:rsidRPr="007A72D8">
        <w:rPr>
          <w:rStyle w:val="af"/>
          <w:rFonts w:hint="cs"/>
          <w:rtl/>
        </w:rPr>
        <w:t xml:space="preserve"> בהא דמותר לקנח בצרור אעפ"י דאם יניחו ע"ג קרקע חייב מדאו']</w:t>
      </w:r>
      <w:r w:rsidRPr="00CD1359">
        <w:rPr>
          <w:rStyle w:val="af"/>
          <w:rFonts w:hint="cs"/>
          <w:rtl/>
        </w:rPr>
        <w:t>.</w:t>
      </w:r>
      <w:r>
        <w:rPr>
          <w:rFonts w:hint="cs"/>
          <w:rtl/>
        </w:rPr>
        <w:t xml:space="preserve"> </w:t>
      </w:r>
    </w:p>
    <w:p w14:paraId="368A49E2" w14:textId="77777777" w:rsidR="000426DE" w:rsidRPr="00747170" w:rsidRDefault="000426DE" w:rsidP="00747170">
      <w:pPr>
        <w:pStyle w:val="a2"/>
        <w:rPr>
          <w:rtl/>
        </w:rPr>
      </w:pPr>
      <w:r w:rsidRPr="00747170">
        <w:rPr>
          <w:rtl/>
        </w:rPr>
        <w:t>ולפ"ז ע"כ צ"ל לכאורה דבמונח ע"ג יתדות והניחו ע"ג קרקע דחייב משום נוטע הוא דאורייתא שהרי הוסיף יניקה, אף שלא הוסיף חיבור, דזורע לא בעי דין מחובר כלל, והא דאמר אביי בתרווייהו חייב לצדדין קאמר דבמונח ע"ג קרקע והניחו ע"ג יתדות חייב מדרבנן, ובמונח ע"ג יתדות והניחו ע"ג קרקע חייב דאורייתא. ואין להקשות לפ"ז איך שרי ר"ל לקנח בצרור שעלו בו עשבים משום כבוד הבריות כיון דמניחו אח"כ ע"ג קרקע, א"כ הרי עובר באיסור נוטע דאורייתא, ואין לומר דמיירי באיכא יתדות ומנח ליה אח"כ שם דאכתי ליגזור דלמא מנח ליה אארעא, וכדאמר לעיל מינה בשדה ניר דלמא שקיל מעילאי ושדי לתתאי ומחייב משום חורש. וממה שכתב הש"ג דלשיטת הרמב"ם דס"ל דחייב משום נוטע ותולש דאורייתא צ"ל הא דשרי ר"ל לקנח בו מיירי בנוטלו מע"ג היתדות ומניחו אח"כ שם יעו"ש, אלמא דלא גזרינן דלמא מנח ליה ע"ג קרקע כמו בשדה ניר אין להביא ראיה לדידן, דהתם כיון דנטלה מע"ג יתדות לא גזרינן דלמא יניחו במק"א אבל לפירש"י דנוטלו מע"ג קרקע תיקשי, די"ל דבאמת לא גזרינן דלמא שדי ליה בכוונה עוד ע"מ שיגדלו בו עשבים דתו לא צריך ליה כלל כיון דנמאס כבר, וכיון דמשליכו כלאחר יד בלא כוונה הו"ל דבר שאינו מתכוין ולא הוי פסיק רישא כיון דאפשר שיפול הצרור למעלה והעשבים למטה ובטלה יניקתו, משא"כ בשדה ניר דהתם שפיר יש לגזור דלמא שדי למקום גומא כדי לכסותה שם ונמצא דכוונתו להשוות הקרקע והו"ל מלאכת חורש דאורייתא</w:t>
      </w:r>
      <w:r w:rsidRPr="00747170">
        <w:rPr>
          <w:rFonts w:hint="cs"/>
          <w:rtl/>
        </w:rPr>
        <w:t>.</w:t>
      </w:r>
    </w:p>
    <w:p w14:paraId="724127F5" w14:textId="77777777" w:rsidR="000426DE" w:rsidRDefault="000426DE" w:rsidP="000426DE">
      <w:pPr>
        <w:pStyle w:val="afffff7"/>
        <w:rPr>
          <w:rtl/>
        </w:rPr>
      </w:pPr>
      <w:bookmarkStart w:id="1766" w:name="_Toc135513762"/>
      <w:bookmarkStart w:id="1767" w:name="_Toc163505682"/>
      <w:r>
        <w:rPr>
          <w:rtl/>
        </w:rPr>
        <w:t>דברי יחזקאל סי' ב</w:t>
      </w:r>
      <w:r w:rsidRPr="00DC1479">
        <w:rPr>
          <w:rtl/>
        </w:rPr>
        <w:t xml:space="preserve"> </w:t>
      </w:r>
      <w:r>
        <w:rPr>
          <w:rFonts w:hint="cs"/>
          <w:rtl/>
        </w:rPr>
        <w:t>אות</w:t>
      </w:r>
      <w:r w:rsidRPr="00DC1479">
        <w:rPr>
          <w:rtl/>
        </w:rPr>
        <w:t xml:space="preserve"> א</w:t>
      </w:r>
      <w:r>
        <w:rPr>
          <w:rFonts w:hint="cs"/>
          <w:rtl/>
        </w:rPr>
        <w:t xml:space="preserve"> ד"ה ולפ"ז</w:t>
      </w:r>
      <w:bookmarkEnd w:id="1766"/>
      <w:bookmarkEnd w:id="1767"/>
    </w:p>
    <w:p w14:paraId="48A6DF6F" w14:textId="77777777" w:rsidR="000426DE" w:rsidRDefault="000426DE" w:rsidP="000426DE">
      <w:pPr>
        <w:pStyle w:val="afffff7"/>
        <w:rPr>
          <w:rtl/>
        </w:rPr>
      </w:pPr>
      <w:bookmarkStart w:id="1768" w:name="_Toc135513763"/>
      <w:bookmarkStart w:id="1769" w:name="_Toc163505683"/>
      <w:r>
        <w:rPr>
          <w:rtl/>
        </w:rPr>
        <w:t xml:space="preserve">דברי יחזקאל </w:t>
      </w:r>
      <w:r>
        <w:rPr>
          <w:rFonts w:hint="cs"/>
          <w:rtl/>
        </w:rPr>
        <w:t>קובץ כתבי בית ישראל נד' במהדו' חד'</w:t>
      </w:r>
      <w:bookmarkEnd w:id="1768"/>
      <w:bookmarkEnd w:id="1769"/>
    </w:p>
    <w:p w14:paraId="44D681DC" w14:textId="77777777" w:rsidR="000426DE" w:rsidRPr="003F3B3A" w:rsidRDefault="000426DE" w:rsidP="000426DE">
      <w:pPr>
        <w:pStyle w:val="a7"/>
      </w:pPr>
      <w:bookmarkStart w:id="1770" w:name="_Toc139316455"/>
      <w:r>
        <w:rPr>
          <w:rFonts w:hint="cs"/>
          <w:rtl/>
        </w:rPr>
        <w:t>בי' הדבר"י דלהג"א דזורע מדרבנן מוסיף יניקה פטור אך ק' דמ"ש ממשקה ושורה חיטין במים</w:t>
      </w:r>
      <w:bookmarkEnd w:id="1770"/>
      <w:r>
        <w:rPr>
          <w:rFonts w:hint="cs"/>
          <w:rtl/>
        </w:rPr>
        <w:t xml:space="preserve"> </w:t>
      </w:r>
    </w:p>
    <w:p w14:paraId="7440BB45" w14:textId="138F9738" w:rsidR="000426DE" w:rsidRPr="00042E4E" w:rsidRDefault="000426DE" w:rsidP="00BC7DC8">
      <w:pPr>
        <w:pStyle w:val="a3"/>
        <w:rPr>
          <w:rtl/>
        </w:rPr>
      </w:pPr>
      <w:bookmarkStart w:id="1771" w:name="_Ref134956613"/>
      <w:r>
        <w:rPr>
          <w:rFonts w:hint="cs"/>
          <w:rtl/>
        </w:rPr>
        <w:t xml:space="preserve">אך הביא </w:t>
      </w:r>
      <w:r w:rsidRPr="006527E3">
        <w:rPr>
          <w:rStyle w:val="aff4"/>
          <w:rFonts w:hint="cs"/>
          <w:vanish/>
          <w:rtl/>
        </w:rPr>
        <w:t>-</w:t>
      </w:r>
      <w:r w:rsidRPr="009B386D">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Ref134956613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קז)</w:t>
      </w:r>
      <w:r w:rsidRPr="00B53404">
        <w:rPr>
          <w:rStyle w:val="aff4"/>
          <w:vanish/>
          <w:rtl/>
        </w:rPr>
        <w:fldChar w:fldCharType="end"/>
      </w:r>
      <w:r w:rsidRPr="00B53404">
        <w:rPr>
          <w:rStyle w:val="aff4"/>
          <w:rFonts w:hint="cs"/>
          <w:vanish/>
          <w:rtl/>
        </w:rPr>
        <w:t xml:space="preserve"> &gt;</w:t>
      </w:r>
      <w:r w:rsidRPr="009B386D">
        <w:rPr>
          <w:rStyle w:val="aff4"/>
          <w:rFonts w:hint="cs"/>
          <w:rtl/>
        </w:rPr>
        <w:t>דברי יחזקאל</w:t>
      </w:r>
      <w:r w:rsidRPr="006527E3">
        <w:rPr>
          <w:rStyle w:val="aff4"/>
          <w:rFonts w:hint="cs"/>
          <w:vanish/>
          <w:rtl/>
        </w:rPr>
        <w:t>-</w:t>
      </w:r>
      <w:r>
        <w:rPr>
          <w:rFonts w:hint="cs"/>
          <w:rtl/>
        </w:rPr>
        <w:t xml:space="preserve"> </w:t>
      </w:r>
      <w:r w:rsidRPr="00FB451D">
        <w:rPr>
          <w:rStyle w:val="af2"/>
          <w:rFonts w:eastAsia="Guttman Hodes" w:hint="cs"/>
          <w:rtl/>
        </w:rPr>
        <w:t>(סי' ב' אות א' ד"ה ולפ"ז)</w:t>
      </w:r>
      <w:r w:rsidRPr="006527E3">
        <w:rPr>
          <w:rFonts w:hint="cs"/>
          <w:vanish/>
          <w:rtl/>
        </w:rPr>
        <w:t>=</w:t>
      </w:r>
      <w:r>
        <w:rPr>
          <w:rFonts w:hint="cs"/>
          <w:rtl/>
        </w:rPr>
        <w:t xml:space="preserve"> את דברי </w:t>
      </w:r>
      <w:r w:rsidRPr="006527E3">
        <w:rPr>
          <w:rStyle w:val="aff4"/>
          <w:rFonts w:hint="cs"/>
          <w:vanish/>
          <w:rtl/>
        </w:rPr>
        <w:t>-</w:t>
      </w:r>
      <w:r w:rsidRPr="009B386D">
        <w:rPr>
          <w:rStyle w:val="aff4"/>
          <w:rFonts w:hint="cs"/>
          <w:rtl/>
        </w:rPr>
        <w:t>ההג' אשר"י</w:t>
      </w:r>
      <w:r w:rsidRPr="006527E3">
        <w:rPr>
          <w:rStyle w:val="aff4"/>
          <w:rFonts w:hint="cs"/>
          <w:vanish/>
          <w:rtl/>
        </w:rPr>
        <w:t>-</w:t>
      </w:r>
      <w:r>
        <w:rPr>
          <w:rFonts w:hint="cs"/>
          <w:rtl/>
        </w:rPr>
        <w:t xml:space="preserve"> </w:t>
      </w:r>
      <w:r w:rsidRPr="00FB451D">
        <w:rPr>
          <w:rStyle w:val="af2"/>
          <w:rFonts w:eastAsia="Guttman Hodes" w:hint="cs"/>
          <w:rtl/>
        </w:rPr>
        <w:t xml:space="preserve">(עי' אות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Ref134956004 \r \h</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מז)</w:t>
      </w:r>
      <w:r w:rsidRPr="00FB451D">
        <w:rPr>
          <w:rStyle w:val="af2"/>
          <w:rFonts w:eastAsia="Guttman Hodes"/>
          <w:rtl/>
        </w:rPr>
        <w:fldChar w:fldCharType="end"/>
      </w:r>
      <w:r>
        <w:rPr>
          <w:rFonts w:hint="cs"/>
          <w:rtl/>
        </w:rPr>
        <w:t xml:space="preserve"> דכתב דלא רק נוטל עציץ נקוב מע"ג קרקע ומניחו ע"ג יתדות הוא תולש דרבנן, אלא נוטל עציץ נקוב מע"ג יתדות ומניחו ע"ג קרקע הוא בנוטע חייב רק מדרבנן, ורק אם הפסיק לגמרי את היניקה כשהניח בגד בין העציץ לקרקע, חייב מדאו', וכתב </w:t>
      </w:r>
      <w:r w:rsidRPr="006527E3">
        <w:rPr>
          <w:rStyle w:val="aff4"/>
          <w:rFonts w:hint="cs"/>
          <w:vanish/>
          <w:rtl/>
        </w:rPr>
        <w:t>-</w:t>
      </w:r>
      <w:r w:rsidRPr="009B386D">
        <w:rPr>
          <w:rStyle w:val="aff4"/>
          <w:rFonts w:hint="cs"/>
          <w:rtl/>
        </w:rPr>
        <w:t>הדברי יחזקאל</w:t>
      </w:r>
      <w:r w:rsidRPr="006527E3">
        <w:rPr>
          <w:rStyle w:val="aff4"/>
          <w:rFonts w:hint="cs"/>
          <w:vanish/>
          <w:rtl/>
        </w:rPr>
        <w:t>-</w:t>
      </w:r>
      <w:r>
        <w:rPr>
          <w:rFonts w:hint="cs"/>
          <w:rtl/>
        </w:rPr>
        <w:t xml:space="preserve"> דלפי"ז צריך לחלק בין משקה מים לזרעים ושורה חיטין במים דחייב מחמת שמוסיף יניקה, לבין עציץ ע"ג יתדות, דמבואר מדברי </w:t>
      </w:r>
      <w:r w:rsidRPr="006527E3">
        <w:rPr>
          <w:rStyle w:val="aff4"/>
          <w:rFonts w:hint="cs"/>
          <w:vanish/>
          <w:rtl/>
        </w:rPr>
        <w:t>-</w:t>
      </w:r>
      <w:r w:rsidRPr="009B386D">
        <w:rPr>
          <w:rStyle w:val="aff4"/>
          <w:rFonts w:hint="cs"/>
          <w:rtl/>
        </w:rPr>
        <w:t>ההג' אשר"י</w:t>
      </w:r>
      <w:r w:rsidRPr="006527E3">
        <w:rPr>
          <w:rStyle w:val="aff4"/>
          <w:rFonts w:hint="cs"/>
          <w:vanish/>
          <w:rtl/>
        </w:rPr>
        <w:t>-</w:t>
      </w:r>
      <w:r>
        <w:rPr>
          <w:rFonts w:hint="cs"/>
          <w:rtl/>
        </w:rPr>
        <w:t xml:space="preserve"> דהוספת יניקה אינה מחייבתו מדאו'</w:t>
      </w:r>
      <w:bookmarkStart w:id="1772" w:name="_Ref135062407"/>
      <w:r>
        <w:rPr>
          <w:rFonts w:hint="cs"/>
          <w:rtl/>
        </w:rPr>
        <w:t xml:space="preserve">, אך הקשה </w:t>
      </w:r>
      <w:r w:rsidRPr="00DE1AA0">
        <w:rPr>
          <w:rStyle w:val="aff4"/>
          <w:rFonts w:hint="cs"/>
          <w:vanish/>
          <w:rtl/>
        </w:rPr>
        <w:t>-</w:t>
      </w:r>
      <w:r w:rsidRPr="00DB6BF0">
        <w:rPr>
          <w:rStyle w:val="aff4"/>
          <w:rFonts w:hint="cs"/>
          <w:rtl/>
        </w:rPr>
        <w:t>ה</w:t>
      </w:r>
      <w:r>
        <w:rPr>
          <w:rStyle w:val="aff4"/>
          <w:rFonts w:hint="cs"/>
          <w:vanish/>
          <w:rtl/>
        </w:rPr>
        <w:t>&lt; &gt;</w:t>
      </w:r>
      <w:r w:rsidRPr="00DB6BF0">
        <w:rPr>
          <w:rStyle w:val="aff4"/>
          <w:rFonts w:hint="cs"/>
          <w:rtl/>
        </w:rPr>
        <w:t>דברי יחזקאל</w:t>
      </w:r>
      <w:r w:rsidRPr="00DE1AA0">
        <w:rPr>
          <w:rStyle w:val="aff4"/>
          <w:rFonts w:hint="cs"/>
          <w:vanish/>
          <w:rtl/>
        </w:rPr>
        <w:t>-</w:t>
      </w:r>
      <w:r>
        <w:rPr>
          <w:rFonts w:hint="cs"/>
          <w:rtl/>
        </w:rPr>
        <w:t xml:space="preserve"> </w:t>
      </w:r>
      <w:r w:rsidRPr="00FB451D">
        <w:rPr>
          <w:rStyle w:val="af2"/>
          <w:rFonts w:eastAsia="Guttman Hodes" w:hint="cs"/>
          <w:rtl/>
        </w:rPr>
        <w:t>(נד' במהדו' מישור עמ' תק"ה אות א' בסוגריים, ומקורו בקובץ כתבי בית ישראל)</w:t>
      </w:r>
      <w:r w:rsidRPr="00BD4BB4">
        <w:rPr>
          <w:rFonts w:hint="cs"/>
          <w:vanish/>
          <w:rtl/>
        </w:rPr>
        <w:t xml:space="preserve"> </w:t>
      </w:r>
      <w:r w:rsidRPr="00DE1AA0">
        <w:rPr>
          <w:rFonts w:hint="cs"/>
          <w:vanish/>
          <w:rtl/>
        </w:rPr>
        <w:t>=</w:t>
      </w:r>
      <w:r>
        <w:rPr>
          <w:rFonts w:hint="cs"/>
          <w:rtl/>
        </w:rPr>
        <w:t xml:space="preserve"> על </w:t>
      </w:r>
      <w:r w:rsidRPr="00DE1AA0">
        <w:rPr>
          <w:rStyle w:val="aff4"/>
          <w:rFonts w:hint="cs"/>
          <w:vanish/>
          <w:rtl/>
        </w:rPr>
        <w:t>-</w:t>
      </w:r>
      <w:r w:rsidRPr="00DB6BF0">
        <w:rPr>
          <w:rStyle w:val="aff4"/>
          <w:rFonts w:hint="cs"/>
          <w:rtl/>
        </w:rPr>
        <w:t>ההג' אשר"י</w:t>
      </w:r>
      <w:r w:rsidRPr="00DE1AA0">
        <w:rPr>
          <w:rStyle w:val="aff4"/>
          <w:rFonts w:hint="cs"/>
          <w:vanish/>
          <w:rtl/>
        </w:rPr>
        <w:t>-</w:t>
      </w:r>
      <w:bookmarkEnd w:id="1772"/>
      <w:r>
        <w:rPr>
          <w:rFonts w:hint="cs"/>
          <w:rtl/>
        </w:rPr>
        <w:t xml:space="preserve"> דאי אף נוטל עציץ נקוב מע"ג יתדות ומניחו ע"ג קרקע הוא בנוטע חייב רק מדרבנן, א"כ מבואר דאין חיוב דאו' בהוספת יניקה, ואמאי משקה מים לזרעים חייב מדאו', וכתב </w:t>
      </w:r>
      <w:r w:rsidRPr="00DE1AA0">
        <w:rPr>
          <w:rStyle w:val="aff4"/>
          <w:rFonts w:hint="cs"/>
          <w:vanish/>
          <w:rtl/>
        </w:rPr>
        <w:t>-</w:t>
      </w:r>
      <w:r w:rsidRPr="00DB6BF0">
        <w:rPr>
          <w:rStyle w:val="aff4"/>
          <w:rFonts w:hint="cs"/>
          <w:rtl/>
        </w:rPr>
        <w:t>הדברי יחזקאל</w:t>
      </w:r>
      <w:r w:rsidRPr="00DE1AA0">
        <w:rPr>
          <w:rStyle w:val="aff4"/>
          <w:rFonts w:hint="cs"/>
          <w:vanish/>
          <w:rtl/>
        </w:rPr>
        <w:t>-</w:t>
      </w:r>
      <w:r>
        <w:rPr>
          <w:rFonts w:hint="cs"/>
          <w:rtl/>
        </w:rPr>
        <w:t xml:space="preserve"> דדוחק לומר דס"ל דבהנחת העציץ ע"ג קרקע אינו מוסיף יניקה, וכן כשמגביהו ע"ג יתדות אין היניקה מתמעטת.</w:t>
      </w:r>
      <w:bookmarkEnd w:id="1765"/>
      <w:bookmarkEnd w:id="1771"/>
      <w:r>
        <w:rPr>
          <w:rFonts w:hint="cs"/>
          <w:rtl/>
        </w:rPr>
        <w:t xml:space="preserve"> </w:t>
      </w:r>
    </w:p>
    <w:p w14:paraId="725D4AE9" w14:textId="77777777" w:rsidR="000426DE" w:rsidRPr="00747170" w:rsidRDefault="000426DE" w:rsidP="00747170">
      <w:pPr>
        <w:pStyle w:val="a2"/>
        <w:rPr>
          <w:rtl/>
        </w:rPr>
      </w:pPr>
      <w:r w:rsidRPr="00747170">
        <w:rPr>
          <w:rtl/>
        </w:rPr>
        <w:t xml:space="preserve">אבל מדברי הג"א (סי' ב) נראה דגם בהניחו ע"ג קרקע דחייב משום נוטע אינו אלא מדרבנן ואינו חייב משום נוטע דאורייתא אלא כשהיה שם דבר המפסיק יניקתו ונטלו יעו"ש וצריך לפ"ז לחלק בין הך הוספת היניקה להך דמשקה מים לזרעים וזורק פשתן למים. </w:t>
      </w:r>
    </w:p>
    <w:p w14:paraId="000FCECD" w14:textId="77777777" w:rsidR="000426DE" w:rsidRPr="00D578AC" w:rsidRDefault="000426DE" w:rsidP="00747170">
      <w:pPr>
        <w:pStyle w:val="afffff5"/>
        <w:rPr>
          <w:rtl/>
        </w:rPr>
      </w:pPr>
      <w:r w:rsidRPr="00D578AC">
        <w:rPr>
          <w:rFonts w:hint="cs"/>
          <w:rtl/>
        </w:rPr>
        <w:t>[</w:t>
      </w:r>
      <w:r w:rsidRPr="00D578AC">
        <w:rPr>
          <w:rtl/>
        </w:rPr>
        <w:t>ומאד תמוהין בזה דברי הג"א שכתב כאן לשיטת רש"י דהאי תולש אינו אלא מדרבנן ה"ה גם בהניחו ע"ג קרקע דהוי נוטע ג"כ אינו אלא מדרבנן יעוי"ש דאינו מחוייב מדאורייתא רק בהפסיק יניקתו או שנטע דבר שהיה מופסק יניקתו ואז מחוייב מדאורייתא תעשה תלוש ומחובר ממש וא"י מה יענה להא דמשקה מים לזרעים ודוחק לומר לשיטתו דאינו מוסיף שום יניקה בהנחה ע"ג קרקע וכן אינו מתמעט יניקתו בהניחו ע"ג יתדות</w:t>
      </w:r>
      <w:r w:rsidRPr="00D578AC">
        <w:rPr>
          <w:rFonts w:hint="cs"/>
          <w:rtl/>
        </w:rPr>
        <w:t>].</w:t>
      </w:r>
    </w:p>
    <w:p w14:paraId="797D2F37" w14:textId="075CACF8" w:rsidR="000426DE" w:rsidRDefault="000426DE" w:rsidP="000426DE">
      <w:pPr>
        <w:pStyle w:val="afffff7"/>
        <w:rPr>
          <w:rtl/>
        </w:rPr>
      </w:pPr>
      <w:bookmarkStart w:id="1773" w:name="_Toc135513764"/>
      <w:bookmarkStart w:id="1774" w:name="_Toc163505684"/>
      <w:r>
        <w:rPr>
          <w:rFonts w:hint="cs"/>
          <w:rtl/>
        </w:rPr>
        <w:t>חזו"א על מסכת שבת פ"א ע"ב ד"ה בסוגין</w:t>
      </w:r>
      <w:bookmarkEnd w:id="1773"/>
      <w:bookmarkEnd w:id="1774"/>
    </w:p>
    <w:p w14:paraId="52893948" w14:textId="77777777" w:rsidR="000426DE" w:rsidRPr="00153B9F" w:rsidRDefault="000426DE" w:rsidP="000426DE">
      <w:pPr>
        <w:pStyle w:val="a7"/>
        <w:rPr>
          <w:rtl/>
        </w:rPr>
      </w:pPr>
      <w:bookmarkStart w:id="1775" w:name="_Toc139316456"/>
      <w:r>
        <w:rPr>
          <w:rFonts w:hint="cs"/>
          <w:rtl/>
        </w:rPr>
        <w:t>תי' החזו"א דהנחת עציץ לא מוסיף כח לעפר ורק מקרבו לקרקע ול"ד למשקה דמוסיף לזרע</w:t>
      </w:r>
      <w:bookmarkEnd w:id="1775"/>
      <w:r>
        <w:rPr>
          <w:rFonts w:hint="cs"/>
          <w:rtl/>
        </w:rPr>
        <w:t xml:space="preserve"> </w:t>
      </w:r>
    </w:p>
    <w:p w14:paraId="756760C9" w14:textId="10AB75C2" w:rsidR="000426DE" w:rsidRDefault="000426DE" w:rsidP="00BC7DC8">
      <w:pPr>
        <w:pStyle w:val="a3"/>
        <w:rPr>
          <w:rtl/>
        </w:rPr>
      </w:pPr>
      <w:bookmarkStart w:id="1776" w:name="_Ref135063159"/>
      <w:r>
        <w:rPr>
          <w:rFonts w:hint="cs"/>
          <w:rtl/>
        </w:rPr>
        <w:t xml:space="preserve">ותירץ </w:t>
      </w:r>
      <w:r w:rsidRPr="00DE1AA0">
        <w:rPr>
          <w:rStyle w:val="aff4"/>
          <w:rFonts w:hint="cs"/>
          <w:vanish/>
          <w:rtl/>
        </w:rPr>
        <w:t>-</w:t>
      </w:r>
      <w:r w:rsidRPr="00DB6BF0">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Ref135063159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קח)</w:t>
      </w:r>
      <w:r w:rsidRPr="00B53404">
        <w:rPr>
          <w:rStyle w:val="aff4"/>
          <w:vanish/>
          <w:rtl/>
        </w:rPr>
        <w:fldChar w:fldCharType="end"/>
      </w:r>
      <w:r w:rsidRPr="00B53404">
        <w:rPr>
          <w:rStyle w:val="aff4"/>
          <w:rFonts w:hint="cs"/>
          <w:vanish/>
          <w:rtl/>
        </w:rPr>
        <w:t xml:space="preserve"> &gt;</w:t>
      </w:r>
      <w:r w:rsidRPr="00DB6BF0">
        <w:rPr>
          <w:rStyle w:val="aff4"/>
          <w:rFonts w:hint="cs"/>
          <w:rtl/>
        </w:rPr>
        <w:t>חזו"א</w:t>
      </w:r>
      <w:r w:rsidRPr="00DE1AA0">
        <w:rPr>
          <w:rStyle w:val="aff4"/>
          <w:rFonts w:hint="cs"/>
          <w:vanish/>
          <w:rtl/>
        </w:rPr>
        <w:t>-</w:t>
      </w:r>
      <w:r>
        <w:rPr>
          <w:rFonts w:hint="cs"/>
          <w:rtl/>
        </w:rPr>
        <w:t xml:space="preserve"> </w:t>
      </w:r>
      <w:r w:rsidRPr="00FB451D">
        <w:rPr>
          <w:rStyle w:val="af2"/>
          <w:rFonts w:eastAsia="Guttman Hodes" w:hint="cs"/>
          <w:rtl/>
        </w:rPr>
        <w:t>(נד' בחזו"א שבת פא: ד"ה בסוגין, ומקורו בהג' לקובץ כתבי בית ישראל)</w:t>
      </w:r>
      <w:r w:rsidRPr="00DE1AA0">
        <w:rPr>
          <w:rFonts w:hint="cs"/>
          <w:vanish/>
          <w:rtl/>
        </w:rPr>
        <w:t>=</w:t>
      </w:r>
      <w:r>
        <w:rPr>
          <w:rFonts w:hint="cs"/>
          <w:rtl/>
        </w:rPr>
        <w:t xml:space="preserve"> את קושית </w:t>
      </w:r>
      <w:r w:rsidRPr="00DE1AA0">
        <w:rPr>
          <w:rStyle w:val="aff4"/>
          <w:rFonts w:hint="cs"/>
          <w:vanish/>
          <w:rtl/>
        </w:rPr>
        <w:t>-</w:t>
      </w:r>
      <w:r w:rsidRPr="00DB6BF0">
        <w:rPr>
          <w:rStyle w:val="aff4"/>
          <w:rFonts w:hint="cs"/>
          <w:rtl/>
        </w:rPr>
        <w:t>הדברי יחזקאל</w:t>
      </w:r>
      <w:r w:rsidRPr="00DE1AA0">
        <w:rPr>
          <w:rStyle w:val="aff4"/>
          <w:rFonts w:hint="cs"/>
          <w:vanish/>
          <w:rtl/>
        </w:rPr>
        <w:t>-</w:t>
      </w:r>
      <w:r>
        <w:rPr>
          <w:rFonts w:hint="cs"/>
          <w:rtl/>
        </w:rPr>
        <w:t xml:space="preserve"> </w:t>
      </w:r>
      <w:r w:rsidRPr="00FB451D">
        <w:rPr>
          <w:rStyle w:val="af2"/>
          <w:rFonts w:eastAsia="Guttman Hodes" w:hint="cs"/>
          <w:rtl/>
        </w:rPr>
        <w:t>(עי' אות</w:t>
      </w:r>
      <w:r>
        <w:rPr>
          <w:rStyle w:val="af2"/>
          <w:rFonts w:eastAsia="Guttman Hodes" w:hint="cs"/>
          <w:rtl/>
        </w:rPr>
        <w:t xml:space="preserve">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Ref134956613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קז)</w:t>
      </w:r>
      <w:r>
        <w:rPr>
          <w:rStyle w:val="af2"/>
          <w:rFonts w:eastAsia="Guttman Hodes"/>
          <w:rtl/>
        </w:rPr>
        <w:fldChar w:fldCharType="end"/>
      </w:r>
      <w:r w:rsidRPr="00FB451D">
        <w:rPr>
          <w:rStyle w:val="af2"/>
          <w:rFonts w:eastAsia="Guttman Hodes" w:hint="cs"/>
          <w:rtl/>
        </w:rPr>
        <w:t xml:space="preserve">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Ref135063159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קח)</w:t>
      </w:r>
      <w:r>
        <w:rPr>
          <w:rStyle w:val="af2"/>
          <w:rFonts w:eastAsia="Guttman Hodes"/>
          <w:rtl/>
        </w:rPr>
        <w:fldChar w:fldCharType="end"/>
      </w:r>
      <w:r>
        <w:rPr>
          <w:rFonts w:hint="cs"/>
          <w:rtl/>
        </w:rPr>
        <w:t xml:space="preserve">דבגמ' לקמן </w:t>
      </w:r>
      <w:r w:rsidRPr="00FB451D">
        <w:rPr>
          <w:rStyle w:val="af2"/>
          <w:rFonts w:eastAsia="Guttman Hodes" w:hint="cs"/>
          <w:rtl/>
        </w:rPr>
        <w:t>(פא:)</w:t>
      </w:r>
      <w:r>
        <w:rPr>
          <w:rFonts w:hint="cs"/>
          <w:rtl/>
        </w:rPr>
        <w:t xml:space="preserve"> מוכח כדברי </w:t>
      </w:r>
      <w:r w:rsidRPr="00DE1AA0">
        <w:rPr>
          <w:rStyle w:val="aff4"/>
          <w:rFonts w:hint="cs"/>
          <w:vanish/>
          <w:rtl/>
        </w:rPr>
        <w:t>-</w:t>
      </w:r>
      <w:r w:rsidRPr="00DB6BF0">
        <w:rPr>
          <w:rStyle w:val="aff4"/>
          <w:rFonts w:hint="cs"/>
          <w:rtl/>
        </w:rPr>
        <w:t>ההג' אשר"י</w:t>
      </w:r>
      <w:r w:rsidRPr="00DE1AA0">
        <w:rPr>
          <w:rStyle w:val="aff4"/>
          <w:rFonts w:hint="cs"/>
          <w:vanish/>
          <w:rtl/>
        </w:rPr>
        <w:t>-</w:t>
      </w:r>
      <w:r>
        <w:rPr>
          <w:rFonts w:hint="cs"/>
          <w:rtl/>
        </w:rPr>
        <w:t xml:space="preserve"> </w:t>
      </w:r>
      <w:r w:rsidRPr="00FB451D">
        <w:rPr>
          <w:rStyle w:val="af2"/>
          <w:rFonts w:eastAsia="Guttman Hodes" w:hint="cs"/>
          <w:rtl/>
        </w:rPr>
        <w:t xml:space="preserve">(עי' אות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Ref134956004 \r \h</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מז)</w:t>
      </w:r>
      <w:r w:rsidRPr="00FB451D">
        <w:rPr>
          <w:rStyle w:val="af2"/>
          <w:rFonts w:eastAsia="Guttman Hodes"/>
          <w:rtl/>
        </w:rPr>
        <w:fldChar w:fldCharType="end"/>
      </w:r>
      <w:r>
        <w:rPr>
          <w:rFonts w:hint="cs"/>
          <w:rtl/>
        </w:rPr>
        <w:t xml:space="preserve"> כיון דהגמ' מדמה את ההגבהת העציץ מהקרקע לע"ג יתדות להנחתו ע"ג קרקע, וכתב </w:t>
      </w:r>
      <w:r w:rsidRPr="00DE1AA0">
        <w:rPr>
          <w:rStyle w:val="aff4"/>
          <w:rFonts w:hint="cs"/>
          <w:vanish/>
          <w:rtl/>
        </w:rPr>
        <w:t>-</w:t>
      </w:r>
      <w:r w:rsidRPr="00DB6BF0">
        <w:rPr>
          <w:rStyle w:val="aff4"/>
          <w:rFonts w:hint="cs"/>
          <w:rtl/>
        </w:rPr>
        <w:t>החזו"א</w:t>
      </w:r>
      <w:r w:rsidRPr="00DE1AA0">
        <w:rPr>
          <w:rStyle w:val="aff4"/>
          <w:rFonts w:hint="cs"/>
          <w:vanish/>
          <w:rtl/>
        </w:rPr>
        <w:t>-</w:t>
      </w:r>
      <w:r>
        <w:rPr>
          <w:rFonts w:hint="cs"/>
          <w:rtl/>
        </w:rPr>
        <w:t xml:space="preserve"> דהנחת העציץ ע"ג קרקע לא דמי כלל למשקה, כיון דבמשקה והא מוסיף הצמחה במקום שהזרעים זרועים כבר ועושה פעולה בקרקע עצמה להוסיף הצמחה לזרעים, אבל כשמניח את העציץ ע"ג הקרקע, אינו מוסיף כח לעפר שבעציץ, והוא רק מקרב את הזרעים שבעציץ לעפר אחר שבקרקע, וכתב </w:t>
      </w:r>
      <w:r w:rsidRPr="00DE1AA0">
        <w:rPr>
          <w:rStyle w:val="aff4"/>
          <w:rFonts w:hint="cs"/>
          <w:vanish/>
          <w:rtl/>
        </w:rPr>
        <w:t>-</w:t>
      </w:r>
      <w:r w:rsidRPr="00DB6BF0">
        <w:rPr>
          <w:rStyle w:val="aff4"/>
          <w:rFonts w:hint="cs"/>
          <w:rtl/>
        </w:rPr>
        <w:t>החזו"א</w:t>
      </w:r>
      <w:r w:rsidRPr="00DE1AA0">
        <w:rPr>
          <w:rStyle w:val="aff4"/>
          <w:rFonts w:hint="cs"/>
          <w:vanish/>
          <w:rtl/>
        </w:rPr>
        <w:t>-</w:t>
      </w:r>
      <w:r w:rsidRPr="00DB6BF0">
        <w:rPr>
          <w:rStyle w:val="aff4"/>
          <w:rFonts w:hint="cs"/>
          <w:rtl/>
        </w:rPr>
        <w:t xml:space="preserve"> </w:t>
      </w:r>
      <w:r w:rsidRPr="007C3C30">
        <w:rPr>
          <w:rFonts w:hint="cs"/>
          <w:rtl/>
        </w:rPr>
        <w:t>דחשיב שהוא מוסיף עפר לעציץ, ולא מוסיף ביניקה של הזרעים עצמם, וביאר</w:t>
      </w:r>
      <w:r w:rsidRPr="00DB6BF0">
        <w:rPr>
          <w:rStyle w:val="aff4"/>
          <w:rFonts w:hint="cs"/>
          <w:rtl/>
        </w:rPr>
        <w:t xml:space="preserve"> </w:t>
      </w:r>
      <w:r w:rsidRPr="00DE1AA0">
        <w:rPr>
          <w:rStyle w:val="aff4"/>
          <w:rFonts w:hint="cs"/>
          <w:vanish/>
          <w:rtl/>
        </w:rPr>
        <w:t>-</w:t>
      </w:r>
      <w:r w:rsidRPr="00DB6BF0">
        <w:rPr>
          <w:rStyle w:val="aff4"/>
          <w:rFonts w:hint="cs"/>
          <w:rtl/>
        </w:rPr>
        <w:t>החזו"א</w:t>
      </w:r>
      <w:r w:rsidRPr="00DE1AA0">
        <w:rPr>
          <w:rStyle w:val="aff4"/>
          <w:rFonts w:hint="cs"/>
          <w:vanish/>
          <w:rtl/>
        </w:rPr>
        <w:t>-</w:t>
      </w:r>
      <w:r w:rsidRPr="00DB6BF0">
        <w:rPr>
          <w:rStyle w:val="aff4"/>
          <w:rFonts w:hint="cs"/>
          <w:rtl/>
        </w:rPr>
        <w:t xml:space="preserve"> </w:t>
      </w:r>
      <w:r>
        <w:rPr>
          <w:rFonts w:hint="cs"/>
          <w:rtl/>
        </w:rPr>
        <w:t>דדברים אלו מסורים לחז"ל מהו נקרא הוספת יניקה ומה לא.</w:t>
      </w:r>
      <w:bookmarkEnd w:id="1776"/>
    </w:p>
    <w:p w14:paraId="19F8F2DD" w14:textId="77777777" w:rsidR="000426DE" w:rsidRPr="00747170" w:rsidRDefault="000426DE" w:rsidP="00747170">
      <w:pPr>
        <w:pStyle w:val="a2"/>
        <w:rPr>
          <w:rtl/>
        </w:rPr>
      </w:pPr>
      <w:r w:rsidRPr="00747170">
        <w:rPr>
          <w:rFonts w:hint="cs"/>
          <w:rtl/>
        </w:rPr>
        <w:t>בגמ'</w:t>
      </w:r>
      <w:r w:rsidRPr="00747170">
        <w:rPr>
          <w:rtl/>
        </w:rPr>
        <w:t xml:space="preserve"> ודאי משמע כדברי הגהות אשר"י דהניחו על גבי הקרקע נמי מדרבנן מדהשוה שתיהן ואין לדמות הענינין דמשקה זרעים מוסיף במקום נטיעתן ומוסיף פעולות הקרקע בזרעים אבל הניחו ע"ג קרקע אינו מוסיף כח בעפר שבעציץ במקום עיקר</w:t>
      </w:r>
      <w:r w:rsidRPr="00747170">
        <w:rPr>
          <w:rFonts w:hint="cs"/>
          <w:rtl/>
        </w:rPr>
        <w:t xml:space="preserve"> </w:t>
      </w:r>
      <w:r w:rsidRPr="00747170">
        <w:rPr>
          <w:rtl/>
        </w:rPr>
        <w:t>נטיעתן אלא מקרבן לעפר אחר והוי כמוסיף עפר בעציץ וענינים אלו מסורים לחז"ל ולא לנו</w:t>
      </w:r>
      <w:r w:rsidRPr="00747170">
        <w:rPr>
          <w:rFonts w:hint="cs"/>
          <w:rtl/>
        </w:rPr>
        <w:t>.</w:t>
      </w:r>
    </w:p>
    <w:p w14:paraId="7E89B4DD" w14:textId="7CE1C791" w:rsidR="000426DE" w:rsidRDefault="000426DE" w:rsidP="000426DE">
      <w:pPr>
        <w:pStyle w:val="a7"/>
        <w:rPr>
          <w:rtl/>
        </w:rPr>
      </w:pPr>
      <w:bookmarkStart w:id="1777" w:name="_Toc139316457"/>
      <w:r>
        <w:rPr>
          <w:rFonts w:hint="cs"/>
          <w:rtl/>
        </w:rPr>
        <w:t>בי' החזו"א דמוכח כהג"א מדהתיר ר"ל לקנח בצרור אף דמחזירו לקרקע וזו כוונת רש"י ותוס'</w:t>
      </w:r>
      <w:bookmarkEnd w:id="1777"/>
    </w:p>
    <w:p w14:paraId="03EC856A" w14:textId="556D2946" w:rsidR="000426DE" w:rsidRPr="00153B9F" w:rsidRDefault="000426DE" w:rsidP="00BC7DC8">
      <w:pPr>
        <w:pStyle w:val="a3"/>
      </w:pPr>
      <w:r>
        <w:rPr>
          <w:rFonts w:hint="cs"/>
          <w:rtl/>
        </w:rPr>
        <w:t xml:space="preserve">והוסיף </w:t>
      </w:r>
      <w:r w:rsidRPr="00DE1AA0">
        <w:rPr>
          <w:rStyle w:val="aff4"/>
          <w:rFonts w:hint="cs"/>
          <w:vanish/>
          <w:rtl/>
        </w:rPr>
        <w:t>-</w:t>
      </w:r>
      <w:r w:rsidRPr="00DB6BF0">
        <w:rPr>
          <w:rStyle w:val="aff4"/>
          <w:rFonts w:hint="cs"/>
          <w:rtl/>
        </w:rPr>
        <w:t>החזו"א</w:t>
      </w:r>
      <w:r w:rsidRPr="00DE1AA0">
        <w:rPr>
          <w:rStyle w:val="aff4"/>
          <w:rFonts w:hint="cs"/>
          <w:vanish/>
          <w:rtl/>
        </w:rPr>
        <w:t>-</w:t>
      </w:r>
      <w:r>
        <w:rPr>
          <w:rFonts w:hint="cs"/>
          <w:rtl/>
        </w:rPr>
        <w:t xml:space="preserve"> דמוכח כדברי </w:t>
      </w:r>
      <w:r w:rsidRPr="00DE1AA0">
        <w:rPr>
          <w:rStyle w:val="aff4"/>
          <w:rFonts w:hint="cs"/>
          <w:vanish/>
          <w:rtl/>
        </w:rPr>
        <w:t>-</w:t>
      </w:r>
      <w:r w:rsidRPr="00DB6BF0">
        <w:rPr>
          <w:rStyle w:val="aff4"/>
          <w:rFonts w:hint="cs"/>
          <w:rtl/>
        </w:rPr>
        <w:t>ההג' אשר"י</w:t>
      </w:r>
      <w:r w:rsidRPr="00DE1AA0">
        <w:rPr>
          <w:rStyle w:val="aff4"/>
          <w:rFonts w:hint="cs"/>
          <w:vanish/>
          <w:rtl/>
        </w:rPr>
        <w:t>-</w:t>
      </w:r>
      <w:r>
        <w:rPr>
          <w:rFonts w:hint="cs"/>
          <w:rtl/>
        </w:rPr>
        <w:t xml:space="preserve"> דלא רק נטילת הצרור מהקרקע היא תלישה דרבנן, אלא אף הנחת העציץ ע"ג הקרקע היא נטיעה מדרבנן, מהא דאמר ר"ל דמותר לקנח בצרור, </w:t>
      </w:r>
      <w:r w:rsidRPr="007A72D8">
        <w:rPr>
          <w:rStyle w:val="af"/>
          <w:rFonts w:hint="cs"/>
          <w:rtl/>
        </w:rPr>
        <w:t xml:space="preserve">[ומזה הוכיח </w:t>
      </w:r>
      <w:r w:rsidRPr="00394B7E">
        <w:rPr>
          <w:rStyle w:val="aff9"/>
          <w:rFonts w:hint="cs"/>
          <w:vanish/>
          <w:rtl/>
        </w:rPr>
        <w:t>-</w:t>
      </w:r>
      <w:r w:rsidRPr="00394B7E">
        <w:rPr>
          <w:rStyle w:val="aff9"/>
          <w:rFonts w:hint="cs"/>
          <w:rtl/>
        </w:rPr>
        <w:t>רש"י לקמן</w:t>
      </w:r>
      <w:r w:rsidRPr="00394B7E">
        <w:rPr>
          <w:rStyle w:val="aff9"/>
          <w:rFonts w:hint="cs"/>
          <w:vanish/>
          <w:rtl/>
        </w:rPr>
        <w:t>-</w:t>
      </w:r>
      <w:r w:rsidRPr="007A72D8">
        <w:rPr>
          <w:rStyle w:val="af"/>
          <w:rFonts w:hint="cs"/>
          <w:rtl/>
        </w:rPr>
        <w:t xml:space="preserve"> </w:t>
      </w:r>
      <w:r w:rsidRPr="00394B7E">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Ref134734637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לה)</w:t>
      </w:r>
      <w:r>
        <w:rPr>
          <w:rStyle w:val="aff0"/>
          <w:rtl/>
        </w:rPr>
        <w:fldChar w:fldCharType="end"/>
      </w:r>
      <w:r w:rsidRPr="007A72D8">
        <w:rPr>
          <w:rStyle w:val="af"/>
          <w:rFonts w:hint="cs"/>
          <w:rtl/>
        </w:rPr>
        <w:t xml:space="preserve"> דכשנוטלו אין איסור תולש מדאו']</w:t>
      </w:r>
      <w:r w:rsidRPr="009C1377">
        <w:rPr>
          <w:rStyle w:val="af"/>
          <w:rFonts w:hint="cs"/>
          <w:rtl/>
        </w:rPr>
        <w:t>,</w:t>
      </w:r>
      <w:r>
        <w:rPr>
          <w:rFonts w:hint="cs"/>
          <w:rtl/>
        </w:rPr>
        <w:t xml:space="preserve"> וודאי דאחר </w:t>
      </w:r>
      <w:r>
        <w:rPr>
          <w:rFonts w:hint="cs"/>
          <w:rtl/>
        </w:rPr>
        <w:lastRenderedPageBreak/>
        <w:t xml:space="preserve">שמקנח בו מניחו ע"ג קרקע, ואף אי נימא דאיירי באופן שיש יתדות בשדה ויכול להניח את הצרור עליהם, מ"מ היה לרבנן לגזור איסור לקנח בצרור שמא יניחו ע"ג קרקע ויתחייב בנוטע דאו', אלא כתב </w:t>
      </w:r>
      <w:r w:rsidRPr="00DE1AA0">
        <w:rPr>
          <w:rStyle w:val="aff4"/>
          <w:rFonts w:hint="cs"/>
          <w:vanish/>
          <w:rtl/>
        </w:rPr>
        <w:t>-</w:t>
      </w:r>
      <w:r w:rsidRPr="00DB6BF0">
        <w:rPr>
          <w:rStyle w:val="aff4"/>
          <w:rFonts w:hint="cs"/>
          <w:rtl/>
        </w:rPr>
        <w:t>החזו"א</w:t>
      </w:r>
      <w:r w:rsidRPr="00DE1AA0">
        <w:rPr>
          <w:rStyle w:val="aff4"/>
          <w:rFonts w:hint="cs"/>
          <w:vanish/>
          <w:rtl/>
        </w:rPr>
        <w:t>-</w:t>
      </w:r>
      <w:r>
        <w:rPr>
          <w:rFonts w:hint="cs"/>
          <w:rtl/>
        </w:rPr>
        <w:t xml:space="preserve"> דמוכח כדברי </w:t>
      </w:r>
      <w:r w:rsidRPr="00DE1AA0">
        <w:rPr>
          <w:rStyle w:val="aff4"/>
          <w:rFonts w:hint="cs"/>
          <w:vanish/>
          <w:rtl/>
        </w:rPr>
        <w:t>-</w:t>
      </w:r>
      <w:r w:rsidRPr="00DB6BF0">
        <w:rPr>
          <w:rStyle w:val="aff4"/>
          <w:rFonts w:hint="cs"/>
          <w:rtl/>
        </w:rPr>
        <w:t>ההג' אשר"י</w:t>
      </w:r>
      <w:r w:rsidRPr="00DE1AA0">
        <w:rPr>
          <w:rStyle w:val="aff4"/>
          <w:rFonts w:hint="cs"/>
          <w:vanish/>
          <w:rtl/>
        </w:rPr>
        <w:t>-</w:t>
      </w:r>
      <w:r>
        <w:rPr>
          <w:rFonts w:hint="cs"/>
          <w:rtl/>
        </w:rPr>
        <w:t xml:space="preserve"> וזו כוונת </w:t>
      </w:r>
      <w:r w:rsidRPr="00DE1AA0">
        <w:rPr>
          <w:rStyle w:val="aff4"/>
          <w:rFonts w:hint="cs"/>
          <w:vanish/>
          <w:rtl/>
        </w:rPr>
        <w:t>-</w:t>
      </w:r>
      <w:r w:rsidRPr="00DB6BF0">
        <w:rPr>
          <w:rStyle w:val="aff4"/>
          <w:rFonts w:hint="cs"/>
          <w:rtl/>
        </w:rPr>
        <w:t xml:space="preserve"> רש"י לקמן</w:t>
      </w:r>
      <w:r w:rsidRPr="00DE1AA0">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Ref134734637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לה)</w:t>
      </w:r>
      <w:r>
        <w:rPr>
          <w:rStyle w:val="af2"/>
          <w:rFonts w:eastAsia="Guttman Hodes"/>
          <w:rtl/>
        </w:rPr>
        <w:fldChar w:fldCharType="end"/>
      </w:r>
      <w:r>
        <w:rPr>
          <w:rFonts w:hint="cs"/>
          <w:rtl/>
        </w:rPr>
        <w:t xml:space="preserve"> </w:t>
      </w:r>
      <w:r w:rsidRPr="00DE1AA0">
        <w:rPr>
          <w:rStyle w:val="aff4"/>
          <w:rFonts w:hint="cs"/>
          <w:vanish/>
          <w:rtl/>
        </w:rPr>
        <w:t>-</w:t>
      </w:r>
      <w:r w:rsidRPr="00DB6BF0">
        <w:rPr>
          <w:rStyle w:val="aff4"/>
          <w:rFonts w:hint="cs"/>
          <w:rtl/>
        </w:rPr>
        <w:t>ותוס' לקמן</w:t>
      </w:r>
      <w:r w:rsidRPr="00DE1AA0">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Ref135383793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לז)</w:t>
      </w:r>
      <w:r>
        <w:rPr>
          <w:rStyle w:val="af2"/>
          <w:rFonts w:eastAsia="Guttman Hodes"/>
          <w:rtl/>
        </w:rPr>
        <w:fldChar w:fldCharType="end"/>
      </w:r>
      <w:r>
        <w:rPr>
          <w:rFonts w:hint="cs"/>
          <w:rtl/>
        </w:rPr>
        <w:t>.</w:t>
      </w:r>
    </w:p>
    <w:p w14:paraId="23C6E231" w14:textId="77777777" w:rsidR="000426DE" w:rsidRPr="00747170" w:rsidRDefault="000426DE" w:rsidP="00747170">
      <w:pPr>
        <w:pStyle w:val="a2"/>
        <w:rPr>
          <w:rtl/>
        </w:rPr>
      </w:pPr>
      <w:r w:rsidRPr="00747170">
        <w:rPr>
          <w:rtl/>
        </w:rPr>
        <w:t>ומלבד לשון הגמ' בשמעתין דהשוה שתיהן נראה דהדבר מוכרח דהא ר"ל אמר מותר לקנח ומה יעשה בצרור אם לא יניחנו אח"כ בקרקע ואף אי איכא יתידות בשדה דמנח ליה אכתי ליגזור דלמא מנח ליה אארעא כדאמר בשדה ניר שם ולכן דברי ההגהות אשר"י הן הנה דברי רש"י ותוס' ומוכרעין מוכרחין ומאירין</w:t>
      </w:r>
      <w:r w:rsidRPr="00747170">
        <w:rPr>
          <w:rFonts w:hint="cs"/>
          <w:rtl/>
        </w:rPr>
        <w:t>.</w:t>
      </w:r>
      <w:r w:rsidRPr="00747170">
        <w:rPr>
          <w:rtl/>
        </w:rPr>
        <w:t xml:space="preserve"> </w:t>
      </w:r>
    </w:p>
    <w:p w14:paraId="1FE02B7F" w14:textId="6F389376" w:rsidR="000426DE" w:rsidRPr="00F402A4" w:rsidRDefault="000426DE" w:rsidP="000426DE">
      <w:pPr>
        <w:pStyle w:val="1"/>
        <w:rPr>
          <w:rtl/>
        </w:rPr>
      </w:pPr>
      <w:bookmarkStart w:id="1778" w:name="_Toc139316458"/>
      <w:r>
        <w:rPr>
          <w:rFonts w:hint="cs"/>
          <w:rtl/>
        </w:rPr>
        <w:t>בי' הדבר"י ברמב"ם דחייב במיעוט יניקה רק עם מעשה קצירה</w:t>
      </w:r>
      <w:bookmarkEnd w:id="1778"/>
    </w:p>
    <w:p w14:paraId="75F17BBA" w14:textId="77777777" w:rsidR="000426DE" w:rsidRDefault="000426DE" w:rsidP="000426DE">
      <w:pPr>
        <w:pStyle w:val="afffff7"/>
        <w:rPr>
          <w:rtl/>
        </w:rPr>
      </w:pPr>
      <w:bookmarkStart w:id="1779" w:name="_Toc135513765"/>
      <w:bookmarkStart w:id="1780" w:name="_Toc163505685"/>
      <w:r>
        <w:rPr>
          <w:rFonts w:hint="cs"/>
          <w:rtl/>
        </w:rPr>
        <w:t>דברי יחזקאל סי</w:t>
      </w:r>
      <w:r>
        <w:rPr>
          <w:rtl/>
        </w:rPr>
        <w:t>'</w:t>
      </w:r>
      <w:r>
        <w:rPr>
          <w:rFonts w:hint="cs"/>
          <w:rtl/>
        </w:rPr>
        <w:t xml:space="preserve"> ב' אות ב' ד"ה אמנם</w:t>
      </w:r>
      <w:bookmarkEnd w:id="1779"/>
      <w:bookmarkEnd w:id="1780"/>
    </w:p>
    <w:p w14:paraId="4C24918B" w14:textId="77777777" w:rsidR="000426DE" w:rsidRDefault="000426DE" w:rsidP="000426DE">
      <w:pPr>
        <w:pStyle w:val="a7"/>
        <w:rPr>
          <w:rtl/>
        </w:rPr>
      </w:pPr>
      <w:bookmarkStart w:id="1781" w:name="_Toc139316459"/>
      <w:r>
        <w:rPr>
          <w:rFonts w:hint="cs"/>
          <w:rtl/>
        </w:rPr>
        <w:t>בי' הדבר"י ברמב"ם דחייב מדאו' במיעט והוסיף יניקה דמוכח בפרוזבול דע"ג יתדות כמחובר</w:t>
      </w:r>
      <w:bookmarkEnd w:id="1781"/>
    </w:p>
    <w:p w14:paraId="31F06ED1" w14:textId="79504917" w:rsidR="000426DE" w:rsidRPr="00A26233" w:rsidRDefault="000426DE" w:rsidP="00BC7DC8">
      <w:pPr>
        <w:pStyle w:val="a3"/>
      </w:pPr>
      <w:bookmarkStart w:id="1782" w:name="_Ref135063989"/>
      <w:r>
        <w:rPr>
          <w:rFonts w:hint="cs"/>
          <w:rtl/>
        </w:rPr>
        <w:t xml:space="preserve">במ"ש </w:t>
      </w:r>
      <w:r w:rsidRPr="006527E3">
        <w:rPr>
          <w:rStyle w:val="aff4"/>
          <w:rFonts w:hint="cs"/>
          <w:vanish/>
          <w:rtl/>
        </w:rPr>
        <w:t>-</w:t>
      </w:r>
      <w:r w:rsidRPr="009B386D">
        <w:rPr>
          <w:rStyle w:val="aff4"/>
          <w:rFonts w:hint="cs"/>
          <w:rtl/>
        </w:rPr>
        <w:t>הרמב"ם</w:t>
      </w:r>
      <w:r w:rsidRPr="006527E3">
        <w:rPr>
          <w:rStyle w:val="aff4"/>
          <w:rFonts w:hint="cs"/>
          <w:vanish/>
          <w:rtl/>
        </w:rPr>
        <w:t>-</w:t>
      </w:r>
      <w:r>
        <w:rPr>
          <w:rFonts w:hint="cs"/>
          <w:rtl/>
        </w:rPr>
        <w:t xml:space="preserve"> </w:t>
      </w:r>
      <w:r w:rsidRPr="00FB451D">
        <w:rPr>
          <w:rStyle w:val="af2"/>
          <w:rFonts w:eastAsia="Guttman Hodes" w:hint="cs"/>
          <w:rtl/>
        </w:rPr>
        <w:t xml:space="preserve">(עי' אות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Ref134736415 \r \h</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מ)</w:t>
      </w:r>
      <w:r w:rsidRPr="00FB451D">
        <w:rPr>
          <w:rStyle w:val="af2"/>
          <w:rFonts w:eastAsia="Guttman Hodes"/>
          <w:rtl/>
        </w:rPr>
        <w:fldChar w:fldCharType="end"/>
      </w:r>
      <w:r>
        <w:rPr>
          <w:rFonts w:hint="cs"/>
          <w:rtl/>
        </w:rPr>
        <w:t xml:space="preserve"> דגבשושית שעלו בה עשבים המגביה מע"ג קרקע והניחה ע"ג יתדות חייב מדאו', וכן להיפך דחייב משום זורע, כתב </w:t>
      </w:r>
      <w:r w:rsidRPr="006527E3">
        <w:rPr>
          <w:rStyle w:val="aff4"/>
          <w:rFonts w:hint="cs"/>
          <w:vanish/>
          <w:rtl/>
        </w:rPr>
        <w:t>-</w:t>
      </w:r>
      <w:r w:rsidRPr="009B386D">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Ref135063989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קי)</w:t>
      </w:r>
      <w:r w:rsidRPr="00B53404">
        <w:rPr>
          <w:rStyle w:val="aff4"/>
          <w:vanish/>
          <w:rtl/>
        </w:rPr>
        <w:fldChar w:fldCharType="end"/>
      </w:r>
      <w:r w:rsidRPr="00B53404">
        <w:rPr>
          <w:rStyle w:val="aff4"/>
          <w:rFonts w:hint="cs"/>
          <w:vanish/>
          <w:rtl/>
        </w:rPr>
        <w:t xml:space="preserve"> &gt;</w:t>
      </w:r>
      <w:r w:rsidRPr="009B386D">
        <w:rPr>
          <w:rStyle w:val="aff4"/>
          <w:rFonts w:hint="cs"/>
          <w:rtl/>
        </w:rPr>
        <w:t>דברי יחזקאל</w:t>
      </w:r>
      <w:r w:rsidRPr="006527E3">
        <w:rPr>
          <w:rStyle w:val="aff4"/>
          <w:rFonts w:hint="cs"/>
          <w:vanish/>
          <w:rtl/>
        </w:rPr>
        <w:t>-</w:t>
      </w:r>
      <w:r>
        <w:rPr>
          <w:rFonts w:hint="cs"/>
          <w:rtl/>
        </w:rPr>
        <w:t xml:space="preserve"> </w:t>
      </w:r>
      <w:r w:rsidRPr="00FB451D">
        <w:rPr>
          <w:rStyle w:val="af2"/>
          <w:rFonts w:eastAsia="Guttman Hodes" w:hint="cs"/>
          <w:rtl/>
        </w:rPr>
        <w:t>(סי' ב' אות ב' ד"ה אמנם)</w:t>
      </w:r>
      <w:r w:rsidRPr="006527E3">
        <w:rPr>
          <w:rFonts w:hint="cs"/>
          <w:vanish/>
          <w:rtl/>
        </w:rPr>
        <w:t>=</w:t>
      </w:r>
      <w:r>
        <w:rPr>
          <w:rFonts w:hint="cs"/>
          <w:rtl/>
        </w:rPr>
        <w:t xml:space="preserve"> דמבואר דס"ל </w:t>
      </w:r>
      <w:r w:rsidRPr="006527E3">
        <w:rPr>
          <w:rStyle w:val="aff4"/>
          <w:rFonts w:hint="cs"/>
          <w:vanish/>
          <w:rtl/>
        </w:rPr>
        <w:t>-</w:t>
      </w:r>
      <w:r w:rsidRPr="009B386D">
        <w:rPr>
          <w:rStyle w:val="aff4"/>
          <w:rFonts w:hint="cs"/>
          <w:rtl/>
        </w:rPr>
        <w:t>להרמב"ם</w:t>
      </w:r>
      <w:r w:rsidRPr="006527E3">
        <w:rPr>
          <w:rStyle w:val="aff4"/>
          <w:rFonts w:hint="cs"/>
          <w:vanish/>
          <w:rtl/>
        </w:rPr>
        <w:t>-</w:t>
      </w:r>
      <w:r>
        <w:rPr>
          <w:rFonts w:hint="cs"/>
          <w:rtl/>
        </w:rPr>
        <w:t xml:space="preserve"> דמיעוט והוספת יניקה הוא חיוב דאו', וא"א לומר דס"ל דבמניח ע"ג יתדות הוא תולש לגמרי ואינו מחובר כלל, ולכן חייב, דהא לענין מעשר ופרוזבול עדיין חשיב מחובר, כדכתבו </w:t>
      </w:r>
      <w:r w:rsidRPr="006527E3">
        <w:rPr>
          <w:rStyle w:val="aff4"/>
          <w:rFonts w:hint="cs"/>
          <w:vanish/>
          <w:rtl/>
        </w:rPr>
        <w:t>-</w:t>
      </w:r>
      <w:r w:rsidRPr="009B386D">
        <w:rPr>
          <w:rStyle w:val="aff4"/>
          <w:rFonts w:hint="cs"/>
          <w:rtl/>
        </w:rPr>
        <w:t>התוס' בגיטין</w:t>
      </w:r>
      <w:r w:rsidRPr="006527E3">
        <w:rPr>
          <w:rStyle w:val="aff4"/>
          <w:rFonts w:hint="cs"/>
          <w:vanish/>
          <w:rtl/>
        </w:rPr>
        <w:t>-</w:t>
      </w:r>
      <w:r>
        <w:rPr>
          <w:rFonts w:hint="cs"/>
          <w:rtl/>
        </w:rPr>
        <w:t xml:space="preserve"> </w:t>
      </w:r>
      <w:r w:rsidRPr="00FB451D">
        <w:rPr>
          <w:rStyle w:val="af2"/>
          <w:rFonts w:eastAsia="Guttman Hodes" w:hint="cs"/>
          <w:rtl/>
        </w:rPr>
        <w:t>(ז: ד"ה דלמא)</w:t>
      </w:r>
      <w:r>
        <w:rPr>
          <w:rFonts w:hint="cs"/>
          <w:rtl/>
        </w:rPr>
        <w:t xml:space="preserve">, וא"כ מוכח </w:t>
      </w:r>
      <w:r w:rsidRPr="006527E3">
        <w:rPr>
          <w:rStyle w:val="aff4"/>
          <w:rFonts w:hint="cs"/>
          <w:vanish/>
          <w:rtl/>
        </w:rPr>
        <w:t>-</w:t>
      </w:r>
      <w:r w:rsidRPr="009B386D">
        <w:rPr>
          <w:rStyle w:val="aff4"/>
          <w:rFonts w:hint="cs"/>
          <w:rtl/>
        </w:rPr>
        <w:t>דהרמב"ם</w:t>
      </w:r>
      <w:r w:rsidRPr="006527E3">
        <w:rPr>
          <w:rStyle w:val="aff4"/>
          <w:rFonts w:hint="cs"/>
          <w:vanish/>
          <w:rtl/>
        </w:rPr>
        <w:t>-</w:t>
      </w:r>
      <w:r>
        <w:rPr>
          <w:rFonts w:hint="cs"/>
          <w:rtl/>
        </w:rPr>
        <w:t xml:space="preserve"> פליג על עיקר סברת </w:t>
      </w:r>
      <w:r w:rsidRPr="006527E3">
        <w:rPr>
          <w:rStyle w:val="aff4"/>
          <w:rFonts w:hint="cs"/>
          <w:vanish/>
          <w:rtl/>
        </w:rPr>
        <w:t>-</w:t>
      </w:r>
      <w:r w:rsidRPr="009B386D">
        <w:rPr>
          <w:rStyle w:val="aff4"/>
          <w:rFonts w:hint="cs"/>
          <w:rtl/>
        </w:rPr>
        <w:t>רש"י ותוס'</w:t>
      </w:r>
      <w:r w:rsidRPr="006527E3">
        <w:rPr>
          <w:rStyle w:val="aff4"/>
          <w:rFonts w:hint="cs"/>
          <w:vanish/>
          <w:rtl/>
        </w:rPr>
        <w:t>-</w:t>
      </w:r>
      <w:r>
        <w:rPr>
          <w:rFonts w:hint="cs"/>
          <w:rtl/>
        </w:rPr>
        <w:t xml:space="preserve"> דס"ל דמיעוט והוסיפת יניקה אין בו חיוב דאו'.</w:t>
      </w:r>
      <w:bookmarkEnd w:id="1782"/>
    </w:p>
    <w:p w14:paraId="6FD82249" w14:textId="77777777" w:rsidR="000426DE" w:rsidRPr="00747170" w:rsidRDefault="000426DE" w:rsidP="00747170">
      <w:pPr>
        <w:pStyle w:val="a2"/>
        <w:rPr>
          <w:rtl/>
        </w:rPr>
      </w:pPr>
      <w:r w:rsidRPr="00747170">
        <w:rPr>
          <w:rtl/>
        </w:rPr>
        <w:t>[ב] אמנם מדברי הרמב"ם (פ"ח מהלכות שבת הל"ד) מבואר דחייב מדאורייתא בין משום תולש ובין משום נוטע וז"ל גבשושית של עפר שעלו בה עשבים הגביה מעל הארץ והניחה ע"ג יתדות חייב משום תולש היתה ע"ג יתדות והניחה ע"ג קרקע חייב משום זורע עכ"ל, ומבואר דחייב מדאורייתא, והיינו טעמא משום דמיעוט יניקה ג"כ מיקרי תולש כמו דריבוי יניקה מיקרי זורע, דאין לפרש הטעם דבהניחו ע"ג יתדות חשיב תלוש לגמרי שהרי לענין מעשר ופרוזבול חשיב מחובר וכמ"ש התוס' בגיטין הנ"ל, ועכצ"ל הטעם דמיעוט יניקה לבד חשיב תולש, ופליג בזה היסוד על שיטת רש"י ותוספת.</w:t>
      </w:r>
    </w:p>
    <w:p w14:paraId="51A84CF8" w14:textId="688F8555" w:rsidR="000426DE" w:rsidRDefault="000426DE" w:rsidP="000426DE">
      <w:pPr>
        <w:pStyle w:val="afffff7"/>
        <w:rPr>
          <w:rtl/>
        </w:rPr>
      </w:pPr>
      <w:bookmarkStart w:id="1783" w:name="_Toc135513766"/>
      <w:bookmarkStart w:id="1784" w:name="_Toc163505686"/>
      <w:r>
        <w:rPr>
          <w:rFonts w:hint="cs"/>
          <w:rtl/>
        </w:rPr>
        <w:t>דברי יחזקאל סי</w:t>
      </w:r>
      <w:r>
        <w:rPr>
          <w:rtl/>
        </w:rPr>
        <w:t>'</w:t>
      </w:r>
      <w:r>
        <w:rPr>
          <w:rFonts w:hint="cs"/>
          <w:rtl/>
        </w:rPr>
        <w:t xml:space="preserve"> ב' אות ב' ד"ה ואין להקשות</w:t>
      </w:r>
      <w:bookmarkEnd w:id="1783"/>
      <w:bookmarkEnd w:id="1784"/>
    </w:p>
    <w:p w14:paraId="409DA913" w14:textId="77777777" w:rsidR="000426DE" w:rsidRDefault="000426DE" w:rsidP="000426DE">
      <w:pPr>
        <w:pStyle w:val="a7"/>
        <w:rPr>
          <w:rtl/>
        </w:rPr>
      </w:pPr>
      <w:bookmarkStart w:id="1785" w:name="_Toc139316460"/>
      <w:r>
        <w:rPr>
          <w:rFonts w:hint="cs"/>
          <w:rtl/>
        </w:rPr>
        <w:t>קו' הדבר"י ברמב"ם דבעשבים פסק כגמ' בעירובין דמותר לדורסם אעפ"י דפס"ר דממעט יניקה</w:t>
      </w:r>
      <w:bookmarkEnd w:id="1785"/>
    </w:p>
    <w:p w14:paraId="7B6C15B7" w14:textId="2AAC9248" w:rsidR="000426DE" w:rsidRDefault="000426DE" w:rsidP="00BC7DC8">
      <w:pPr>
        <w:pStyle w:val="a3"/>
      </w:pPr>
      <w:bookmarkStart w:id="1786" w:name="_Ref134958146"/>
      <w:r>
        <w:rPr>
          <w:rFonts w:hint="cs"/>
          <w:rtl/>
        </w:rPr>
        <w:t xml:space="preserve">אך הקשה </w:t>
      </w:r>
      <w:r w:rsidRPr="006527E3">
        <w:rPr>
          <w:rStyle w:val="aff4"/>
          <w:rFonts w:hint="cs"/>
          <w:vanish/>
          <w:rtl/>
        </w:rPr>
        <w:t>-</w:t>
      </w:r>
      <w:r w:rsidRPr="009B386D">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Ref134958146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קיא)</w:t>
      </w:r>
      <w:r w:rsidRPr="00B53404">
        <w:rPr>
          <w:rStyle w:val="aff4"/>
          <w:vanish/>
          <w:rtl/>
        </w:rPr>
        <w:fldChar w:fldCharType="end"/>
      </w:r>
      <w:r w:rsidRPr="00B53404">
        <w:rPr>
          <w:rStyle w:val="aff4"/>
          <w:rFonts w:hint="cs"/>
          <w:vanish/>
          <w:rtl/>
        </w:rPr>
        <w:t xml:space="preserve"> &gt;</w:t>
      </w:r>
      <w:r w:rsidRPr="009B386D">
        <w:rPr>
          <w:rStyle w:val="aff4"/>
          <w:rFonts w:hint="cs"/>
          <w:rtl/>
        </w:rPr>
        <w:t>דברי יחזקאל</w:t>
      </w:r>
      <w:r w:rsidRPr="006527E3">
        <w:rPr>
          <w:rStyle w:val="aff4"/>
          <w:rFonts w:hint="cs"/>
          <w:vanish/>
          <w:rtl/>
        </w:rPr>
        <w:t>-</w:t>
      </w:r>
      <w:r>
        <w:rPr>
          <w:rFonts w:hint="cs"/>
          <w:rtl/>
        </w:rPr>
        <w:t xml:space="preserve"> </w:t>
      </w:r>
      <w:r w:rsidRPr="00FB451D">
        <w:rPr>
          <w:rStyle w:val="af2"/>
          <w:rFonts w:eastAsia="Guttman Hodes" w:hint="cs"/>
          <w:rtl/>
        </w:rPr>
        <w:t>(סי' ב' אות ב' ד"ה ואין)</w:t>
      </w:r>
      <w:r w:rsidRPr="006527E3">
        <w:rPr>
          <w:rFonts w:hint="cs"/>
          <w:vanish/>
          <w:rtl/>
        </w:rPr>
        <w:t>=</w:t>
      </w:r>
      <w:r>
        <w:rPr>
          <w:rFonts w:hint="cs"/>
          <w:rtl/>
        </w:rPr>
        <w:t xml:space="preserve"> דהיאך אפש"ל דלדעת </w:t>
      </w:r>
      <w:r w:rsidRPr="006527E3">
        <w:rPr>
          <w:rStyle w:val="aff4"/>
          <w:rFonts w:hint="cs"/>
          <w:vanish/>
          <w:rtl/>
        </w:rPr>
        <w:t>-</w:t>
      </w:r>
      <w:r w:rsidRPr="009B386D">
        <w:rPr>
          <w:rStyle w:val="aff4"/>
          <w:rFonts w:hint="cs"/>
          <w:rtl/>
        </w:rPr>
        <w:t>הרמב"ם</w:t>
      </w:r>
      <w:r w:rsidRPr="006527E3">
        <w:rPr>
          <w:rStyle w:val="aff4"/>
          <w:rFonts w:hint="cs"/>
          <w:vanish/>
          <w:rtl/>
        </w:rPr>
        <w:t>-</w:t>
      </w:r>
      <w:r>
        <w:rPr>
          <w:rFonts w:hint="cs"/>
          <w:rtl/>
        </w:rPr>
        <w:t xml:space="preserve"> הפסקת היניקה מחייבת מדאו', והא איתא בגמ' בעירובין </w:t>
      </w:r>
      <w:r w:rsidRPr="00FB451D">
        <w:rPr>
          <w:rStyle w:val="af2"/>
          <w:rFonts w:eastAsia="Guttman Hodes" w:hint="cs"/>
          <w:rtl/>
        </w:rPr>
        <w:t>(ק:)</w:t>
      </w:r>
      <w:r>
        <w:rPr>
          <w:rFonts w:hint="cs"/>
          <w:rtl/>
        </w:rPr>
        <w:t xml:space="preserve"> דמותר ללכת ע"ג עשבים, ואף שהם נתלשים הוא דבר שאינו מתכוון ואינו פסיק רישיה, וכ"כ </w:t>
      </w:r>
      <w:r w:rsidRPr="006527E3">
        <w:rPr>
          <w:rStyle w:val="aff4"/>
          <w:rFonts w:hint="cs"/>
          <w:vanish/>
          <w:rtl/>
        </w:rPr>
        <w:t>-</w:t>
      </w:r>
      <w:r w:rsidRPr="009B386D">
        <w:rPr>
          <w:rStyle w:val="aff4"/>
          <w:rFonts w:hint="cs"/>
          <w:rtl/>
        </w:rPr>
        <w:t>הרמב"ם</w:t>
      </w:r>
      <w:r w:rsidRPr="006527E3">
        <w:rPr>
          <w:rStyle w:val="aff4"/>
          <w:rFonts w:hint="cs"/>
          <w:vanish/>
          <w:rtl/>
        </w:rPr>
        <w:t>-</w:t>
      </w:r>
      <w:r>
        <w:rPr>
          <w:rFonts w:hint="cs"/>
          <w:rtl/>
        </w:rPr>
        <w:t xml:space="preserve"> </w:t>
      </w:r>
      <w:r w:rsidRPr="00FB451D">
        <w:rPr>
          <w:rStyle w:val="af2"/>
          <w:rFonts w:eastAsia="Guttman Hodes" w:hint="cs"/>
          <w:rtl/>
        </w:rPr>
        <w:t>(שבת פ"א ה"ה)</w:t>
      </w:r>
      <w:r>
        <w:rPr>
          <w:rFonts w:hint="cs"/>
          <w:rtl/>
        </w:rPr>
        <w:t xml:space="preserve">, והא אעפ"י דאינו פסיק רישיה שיתלשו מהקרקע, מ"מ ודאי דכשדורס את העשבים הוא ממעט את היניקה שלהם, ובזה הוא פסיק רישיה, וא"כ לדעת </w:t>
      </w:r>
      <w:r w:rsidRPr="006527E3">
        <w:rPr>
          <w:rStyle w:val="aff4"/>
          <w:rFonts w:hint="cs"/>
          <w:vanish/>
          <w:rtl/>
        </w:rPr>
        <w:t>-</w:t>
      </w:r>
      <w:r w:rsidRPr="009B386D">
        <w:rPr>
          <w:rStyle w:val="aff4"/>
          <w:rFonts w:hint="cs"/>
          <w:rtl/>
        </w:rPr>
        <w:t>הרמב"ם</w:t>
      </w:r>
      <w:r w:rsidRPr="006527E3">
        <w:rPr>
          <w:rStyle w:val="aff4"/>
          <w:rFonts w:hint="cs"/>
          <w:vanish/>
          <w:rtl/>
        </w:rPr>
        <w:t>-</w:t>
      </w:r>
      <w:r>
        <w:rPr>
          <w:rFonts w:hint="cs"/>
          <w:rtl/>
        </w:rPr>
        <w:t xml:space="preserve"> צריך להתחייב מדין תולש.</w:t>
      </w:r>
      <w:bookmarkEnd w:id="1786"/>
    </w:p>
    <w:p w14:paraId="7C8A092F" w14:textId="77777777" w:rsidR="000426DE" w:rsidRPr="00747170" w:rsidRDefault="000426DE" w:rsidP="00747170">
      <w:pPr>
        <w:pStyle w:val="a2"/>
      </w:pPr>
      <w:r w:rsidRPr="00747170">
        <w:rPr>
          <w:rtl/>
        </w:rPr>
        <w:t>ואין להקשות מהא דאמרינן בעירובין (דף ק' ע"ב) דמותר להלך ע"ג עשבים בשבת דתלישת עשבים שע"י הליכה הו"ל דבר שא"מ וגם לא הוי פס"ר, וכן פסק הרמב"ם (פ"א מהלכות שבת הל"ה) יעו"ש, ולפמ"ש דמיעוט יניקה לבד מיקרי תולש א"כ ע"י דריסתו הרי מתמעט יניקת העשבים וזהו הו"ל פס"ר</w:t>
      </w:r>
      <w:r w:rsidRPr="00747170">
        <w:rPr>
          <w:rFonts w:hint="cs"/>
          <w:rtl/>
        </w:rPr>
        <w:t>.</w:t>
      </w:r>
    </w:p>
    <w:p w14:paraId="568F4C14" w14:textId="63E768DD" w:rsidR="000426DE" w:rsidRDefault="000426DE" w:rsidP="000426DE">
      <w:pPr>
        <w:pStyle w:val="a7"/>
      </w:pPr>
      <w:bookmarkStart w:id="1787" w:name="_Toc139316461"/>
      <w:r>
        <w:rPr>
          <w:rFonts w:hint="cs"/>
          <w:rtl/>
        </w:rPr>
        <w:t>בי' הדבר"י ברמב"ם דחיוב מיעוט יניקה רק יחד עם מעשה קצירה ולא בדריסה לבדה</w:t>
      </w:r>
      <w:bookmarkEnd w:id="1787"/>
    </w:p>
    <w:p w14:paraId="52668CC8" w14:textId="4BF644CD" w:rsidR="000426DE" w:rsidRPr="00B937F0" w:rsidRDefault="000426DE" w:rsidP="00BC7DC8">
      <w:pPr>
        <w:pStyle w:val="a3"/>
        <w:rPr>
          <w:rtl/>
        </w:rPr>
      </w:pPr>
      <w:bookmarkStart w:id="1788" w:name="_Ref135064443"/>
      <w:r>
        <w:rPr>
          <w:rFonts w:hint="cs"/>
          <w:rtl/>
        </w:rPr>
        <w:t xml:space="preserve">ותירץ </w:t>
      </w:r>
      <w:r w:rsidRPr="006527E3">
        <w:rPr>
          <w:rStyle w:val="aff4"/>
          <w:rFonts w:hint="cs"/>
          <w:vanish/>
          <w:rtl/>
        </w:rPr>
        <w:t>-</w:t>
      </w:r>
      <w:r w:rsidRPr="009B386D">
        <w:rPr>
          <w:rStyle w:val="aff4"/>
          <w:rFonts w:hint="cs"/>
          <w:rtl/>
        </w:rPr>
        <w:t>הדברי יחזקאל</w:t>
      </w:r>
      <w:r w:rsidRPr="006527E3">
        <w:rPr>
          <w:rStyle w:val="aff4"/>
          <w:rFonts w:hint="cs"/>
          <w:vanish/>
          <w:rtl/>
        </w:rPr>
        <w:t>-</w:t>
      </w:r>
      <w:r>
        <w:rPr>
          <w:rFonts w:hint="cs"/>
          <w:rtl/>
        </w:rPr>
        <w:t xml:space="preserve"> דאף לדעת </w:t>
      </w:r>
      <w:r w:rsidRPr="006527E3">
        <w:rPr>
          <w:rStyle w:val="aff4"/>
          <w:rFonts w:hint="cs"/>
          <w:vanish/>
          <w:rtl/>
        </w:rPr>
        <w:t>-</w:t>
      </w:r>
      <w:r w:rsidRPr="009B386D">
        <w:rPr>
          <w:rStyle w:val="aff4"/>
          <w:rFonts w:hint="cs"/>
          <w:rtl/>
        </w:rPr>
        <w:t>הרמב"ם</w:t>
      </w:r>
      <w:r w:rsidRPr="006527E3">
        <w:rPr>
          <w:rStyle w:val="aff4"/>
          <w:rFonts w:hint="cs"/>
          <w:vanish/>
          <w:rtl/>
        </w:rPr>
        <w:t>-</w:t>
      </w:r>
      <w:r>
        <w:rPr>
          <w:rFonts w:hint="cs"/>
          <w:rtl/>
        </w:rPr>
        <w:t xml:space="preserve"> מיעוט היניקה לבדה אינה מלאכה, ורק באופן שהוא עושה מעשה של מלאכת קוצר, דמפריד את הדבר הנקצר ממקום חיבורו, ובזה הוא גם ממעט את היניקה חייב, אבל כשאינו תולש את העשבים מהקרקע, ורק דורס עליהם וממעט את יניקתם, אין בזה חיוב תולש כלל, דאינו בכלל מלאכת קוצר.</w:t>
      </w:r>
      <w:r w:rsidRPr="003D2610">
        <w:rPr>
          <w:rFonts w:hint="cs"/>
          <w:rtl/>
        </w:rPr>
        <w:t xml:space="preserve"> </w:t>
      </w:r>
      <w:r w:rsidRPr="007A72D8">
        <w:rPr>
          <w:rStyle w:val="af"/>
          <w:rFonts w:hint="cs"/>
          <w:rtl/>
        </w:rPr>
        <w:t xml:space="preserve">[ועיי"ש במה שהוסיף </w:t>
      </w:r>
      <w:r w:rsidRPr="00394B7E">
        <w:rPr>
          <w:rStyle w:val="aff9"/>
          <w:rFonts w:hint="cs"/>
          <w:vanish/>
          <w:rtl/>
        </w:rPr>
        <w:t>-</w:t>
      </w:r>
      <w:r w:rsidRPr="00394B7E">
        <w:rPr>
          <w:rStyle w:val="aff9"/>
          <w:rFonts w:hint="cs"/>
          <w:rtl/>
        </w:rPr>
        <w:t>ה</w:t>
      </w:r>
      <w:r w:rsidRPr="00394B7E">
        <w:rPr>
          <w:rStyle w:val="aff9"/>
          <w:rFonts w:hint="cs"/>
          <w:vanish/>
          <w:rtl/>
        </w:rPr>
        <w:t>&lt; &gt;</w:t>
      </w:r>
      <w:r w:rsidRPr="00394B7E">
        <w:rPr>
          <w:rStyle w:val="aff9"/>
          <w:rFonts w:hint="cs"/>
          <w:rtl/>
        </w:rPr>
        <w:t>דברי יחזקאל</w:t>
      </w:r>
      <w:r w:rsidRPr="00394B7E">
        <w:rPr>
          <w:rStyle w:val="aff9"/>
          <w:rFonts w:hint="cs"/>
          <w:vanish/>
          <w:rtl/>
        </w:rPr>
        <w:t>-</w:t>
      </w:r>
      <w:r w:rsidRPr="007A72D8">
        <w:rPr>
          <w:rStyle w:val="af"/>
          <w:rFonts w:hint="cs"/>
          <w:rtl/>
        </w:rPr>
        <w:t xml:space="preserve"> </w:t>
      </w:r>
      <w:r w:rsidRPr="00394B7E">
        <w:rPr>
          <w:rStyle w:val="aff0"/>
          <w:rFonts w:hint="cs"/>
          <w:rtl/>
        </w:rPr>
        <w:t xml:space="preserve">(סי' ב' אות ב' ד"ה </w:t>
      </w:r>
      <w:r w:rsidRPr="00394B7E">
        <w:rPr>
          <w:rStyle w:val="aff0"/>
          <w:rtl/>
        </w:rPr>
        <w:t>ועדיין אפשר</w:t>
      </w:r>
      <w:r w:rsidRPr="00394B7E">
        <w:rPr>
          <w:rStyle w:val="aff0"/>
          <w:rFonts w:hint="cs"/>
          <w:rtl/>
        </w:rPr>
        <w:t>)</w:t>
      </w:r>
      <w:r w:rsidRPr="00394B7E">
        <w:rPr>
          <w:rStyle w:val="af"/>
          <w:rFonts w:hint="cs"/>
          <w:vanish/>
          <w:rtl/>
        </w:rPr>
        <w:t>=</w:t>
      </w:r>
      <w:r w:rsidRPr="007A72D8">
        <w:rPr>
          <w:rStyle w:val="af"/>
          <w:rFonts w:hint="cs"/>
          <w:rtl/>
        </w:rPr>
        <w:t xml:space="preserve"> דא"א לומר דלדעת </w:t>
      </w:r>
      <w:r w:rsidRPr="00394B7E">
        <w:rPr>
          <w:rStyle w:val="aff9"/>
          <w:rFonts w:hint="cs"/>
          <w:vanish/>
          <w:rtl/>
        </w:rPr>
        <w:t>-</w:t>
      </w:r>
      <w:r w:rsidRPr="00394B7E">
        <w:rPr>
          <w:rStyle w:val="aff9"/>
          <w:rFonts w:hint="cs"/>
          <w:rtl/>
        </w:rPr>
        <w:t>הרמב"ם</w:t>
      </w:r>
      <w:r w:rsidRPr="00394B7E">
        <w:rPr>
          <w:rStyle w:val="aff9"/>
          <w:rFonts w:hint="cs"/>
          <w:vanish/>
          <w:rtl/>
        </w:rPr>
        <w:t>-</w:t>
      </w:r>
      <w:r w:rsidRPr="007A72D8">
        <w:rPr>
          <w:rStyle w:val="af"/>
          <w:rFonts w:hint="cs"/>
          <w:rtl/>
        </w:rPr>
        <w:t xml:space="preserve"> מיעוט יניקה אינו נקרא  תולש כלל, והא דכתב </w:t>
      </w:r>
      <w:r w:rsidRPr="00394B7E">
        <w:rPr>
          <w:rStyle w:val="aff9"/>
          <w:rFonts w:hint="cs"/>
          <w:vanish/>
          <w:rtl/>
        </w:rPr>
        <w:t>-</w:t>
      </w:r>
      <w:r w:rsidRPr="00394B7E">
        <w:rPr>
          <w:rStyle w:val="aff9"/>
          <w:rFonts w:hint="cs"/>
          <w:rtl/>
        </w:rPr>
        <w:t>הרמב"ם</w:t>
      </w:r>
      <w:r w:rsidRPr="00394B7E">
        <w:rPr>
          <w:rStyle w:val="aff9"/>
          <w:rFonts w:hint="cs"/>
          <w:vanish/>
          <w:rtl/>
        </w:rPr>
        <w:t>-</w:t>
      </w:r>
      <w:r w:rsidRPr="007A72D8">
        <w:rPr>
          <w:rStyle w:val="af"/>
          <w:rFonts w:hint="cs"/>
          <w:rtl/>
        </w:rPr>
        <w:t xml:space="preserve"> </w:t>
      </w:r>
      <w:r w:rsidRPr="00394B7E">
        <w:rPr>
          <w:rStyle w:val="aff0"/>
          <w:rFonts w:hint="cs"/>
          <w:rtl/>
        </w:rPr>
        <w:t xml:space="preserve">(עי' אות </w:t>
      </w:r>
      <w:r w:rsidRPr="00394B7E">
        <w:rPr>
          <w:rStyle w:val="aff0"/>
          <w:rtl/>
        </w:rPr>
        <w:fldChar w:fldCharType="begin"/>
      </w:r>
      <w:r w:rsidRPr="00394B7E">
        <w:rPr>
          <w:rStyle w:val="aff0"/>
          <w:rtl/>
        </w:rPr>
        <w:instrText xml:space="preserve"> </w:instrText>
      </w:r>
      <w:r w:rsidRPr="00394B7E">
        <w:rPr>
          <w:rStyle w:val="aff0"/>
          <w:rFonts w:hint="cs"/>
        </w:rPr>
        <w:instrText>REF</w:instrText>
      </w:r>
      <w:r w:rsidRPr="00394B7E">
        <w:rPr>
          <w:rStyle w:val="aff0"/>
          <w:rFonts w:hint="cs"/>
          <w:rtl/>
        </w:rPr>
        <w:instrText xml:space="preserve"> _</w:instrText>
      </w:r>
      <w:r w:rsidRPr="00394B7E">
        <w:rPr>
          <w:rStyle w:val="aff0"/>
          <w:rFonts w:hint="cs"/>
        </w:rPr>
        <w:instrText>Ref134736415 \r \h</w:instrText>
      </w:r>
      <w:r w:rsidRPr="00394B7E">
        <w:rPr>
          <w:rStyle w:val="aff0"/>
          <w:rtl/>
        </w:rPr>
        <w:instrText xml:space="preserve"> </w:instrText>
      </w:r>
      <w:r w:rsidRPr="00394B7E">
        <w:rPr>
          <w:rStyle w:val="aff0"/>
          <w:rtl/>
        </w:rPr>
      </w:r>
      <w:r w:rsidRPr="00394B7E">
        <w:rPr>
          <w:rStyle w:val="aff0"/>
          <w:rtl/>
        </w:rPr>
        <w:fldChar w:fldCharType="separate"/>
      </w:r>
      <w:r w:rsidR="00D82181">
        <w:rPr>
          <w:rStyle w:val="aff0"/>
          <w:cs/>
        </w:rPr>
        <w:t>‎</w:t>
      </w:r>
      <w:r w:rsidR="00D82181">
        <w:rPr>
          <w:rStyle w:val="aff0"/>
          <w:rtl/>
        </w:rPr>
        <w:t>מ)</w:t>
      </w:r>
      <w:r w:rsidRPr="00394B7E">
        <w:rPr>
          <w:rStyle w:val="aff0"/>
          <w:rtl/>
        </w:rPr>
        <w:fldChar w:fldCharType="end"/>
      </w:r>
      <w:r w:rsidRPr="007A72D8">
        <w:rPr>
          <w:rStyle w:val="af"/>
          <w:rFonts w:hint="cs"/>
          <w:rtl/>
        </w:rPr>
        <w:t xml:space="preserve"> דהמניח גבשושית ע"ג יתדות הוא תולש מדאו', הוא כיון דבכה"ג הוא תולש ממש דאינו נשאר מחובר, ולא רק מפסיק את היניקה, דמוכח דלכו"ע דינו כמחובר, עיי"ש בדבריו]</w:t>
      </w:r>
      <w:r w:rsidRPr="00CD1359">
        <w:rPr>
          <w:rStyle w:val="af"/>
          <w:rFonts w:hint="cs"/>
          <w:rtl/>
        </w:rPr>
        <w:t>.</w:t>
      </w:r>
      <w:bookmarkEnd w:id="1788"/>
    </w:p>
    <w:p w14:paraId="4333B59D" w14:textId="77777777" w:rsidR="000426DE" w:rsidRPr="00747170" w:rsidRDefault="000426DE" w:rsidP="00747170">
      <w:pPr>
        <w:pStyle w:val="a2"/>
        <w:rPr>
          <w:rtl/>
        </w:rPr>
      </w:pPr>
      <w:r w:rsidRPr="00747170">
        <w:rPr>
          <w:rtl/>
        </w:rPr>
        <w:t>זה אינו דעיקר מלאכת תולש הוא דוקא באופן דאיכא הפרדת דבר הנקצר ממקום חיבורו או גידולו בפועל, אבל מיעוט יניקה לבד אין זה מלאכת קוצר.</w:t>
      </w:r>
    </w:p>
    <w:p w14:paraId="31CB2386" w14:textId="77777777" w:rsidR="000426DE" w:rsidRPr="009F3082" w:rsidRDefault="000426DE" w:rsidP="000426DE">
      <w:pPr>
        <w:pStyle w:val="afff6"/>
        <w:rPr>
          <w:vanish/>
          <w:rtl/>
        </w:rPr>
      </w:pPr>
      <w:r w:rsidRPr="009F3082">
        <w:rPr>
          <w:vanish/>
          <w:rtl/>
        </w:rPr>
        <w:t xml:space="preserve">ועדיין אפשר לומר בדעת הרמב"ם דמיעוט יניקה לא מיקרי תולש והניחה ע"ג יתדות חשיב תלוש ממש, ואף דס"ל לר"ז בפ"ק דגיטין דעציץ נקוב המונח ע"ג יתדות באנו למחלוקת ר"י ורבנן, ולרבנן חייב במעשר, מ"מ הרמב"ם השמיט לגמרי הך דר"ז דעציץ נקוב לענין מעשר, ובספינה פסק (פ"א מהלכות תרומות הלכ"ג) דבעי דוקא גוששת ואינה גוששת פטור, וא"כ י"ל דה"ה בעציץ נקוב ע"ג יתדות חשיב כספינה שאינה גוששת וכאוקימתא דר"ז, ולא ס"ל כדיחויא דרבא דשאני ספינה דעשויה לברוח, וכן האי דינא דכותבין פרוזבול על עציץ נקוב השמיט ג"כ (בפ"ט מהלכות שמיטה ויובל) יעו"ש, וא"כ אין להוכיח כלל מדברי הרמב"ם הך דינא דעציץ נקוב המונח ע"ג יתדות דחשיב מחובר, ואדרבה לכאורה מהנך ראיות דמעשר ופרוזבול משמע דס"ל דחשיב תלוש, וא"כ ליכא להוכיח כלל דלענין שבת יתחייב משום תולש במיעוט יניקה לבד, דהא איכא גם תלישת החיבור במה שמגביהו מהקרקע ומניחו ע"ג יתדות. אמנם יש להוכיח דלכו"ע עציץ נקוב המונח ע"ג יתדות חשוב מחובר ממתניתין (פ"ב דעוקצין מ"ט) קישות שנטעה בעציץ והגדילה ויצאת חוץ לעציץ טהורה, אמר ר"ש וכי מה טיבה ליטהר אלא הטמא בטומאתו והטהור יאכל, וע"ש בפירוש הר"ש והרא"ש דמיירי בעציץ שאינו נקוב, ומחלוקת דר"ש ורבנן הוא לענין הזרעים שבתוך העציץ, אבל לכו"ע מה שיצא חוץ לעציץ חשוב מחובר הואיל ויונק מן הקרקע דרך האויר אף דמיפסק אוירא, וכן מתבאר בחולין (דף קכ"ח ע"א) בפירש"י ותוס' שם עלה דהך מתניתין כמו שפירשו הר"ש והרא"ש יעו"ש, הרי מבואר דאפילו מיפסק אוירא חשוב מחובר במה שיונק מן הקרקע וה"ה לעציץ נקוב. ואין לחלק דשאני נוף הנוטה לחוץ דיונק להדיא מן הקרקע, אבל בעציץ נקוב הרי העציץ חוצץ ואינו יונק אלא דרך הנקב לבד, דהא התוס' בחולין שם ד"ה אלא וכו' הקשו דאמאי ס"ל לר"ש דהטמא בטומאתו, ולא חשיב מחובר אלא מה שיוצא חוץ לעציץ לבד, והלא בעציץ נקוב ס"ל לר"ש בשבת (דף צ"ה ע"ב) דחשוב כמחובר כל הגדולים שבעציץ, ותירצו דהתם ע"י הנקב חשיב כמחובר אבל הכא ע"י מה שיוצא לחוץ לא יהא מה שבפנים מחובר ע"ש, אלמא דיותר גדול כח היניקה של עציץ נקוב מיניקת הנוף של עציץ שאינו נקוב היוצא לחוץ, וכיון דחזינן דחשוב היוצא לחוץ כמחובר כ"ש עציץ נקוב כמחובר חשיב. ועוד ראיה מדברי התוספתא הובאה בר"ש (פ"ב דעוקצין מ"י) עציץ נקוב המונח ע"ג יתדות אפילו גבוה אמה מן הארץ אינו מכשיר את הזרעים בד"א מלמטה אבל מן הצד הר"ז מכשיר את הזרעים עכ"ל, אלמא דעציץ המונח ע"ג יתדות דמיפסק אוירא חשיב כמחובר לקרקע, וע"כ צ"ל דהא דס"ל להרמב"ם דבהניח ע"ג יתדות חייב משום תולש אינו מטעם דחשיב תלוש אלא מטעם מיעוט יניקה כמו שנתבאר. </w:t>
      </w:r>
    </w:p>
    <w:p w14:paraId="591E9D33" w14:textId="77777777" w:rsidR="000426DE" w:rsidRPr="0088710B" w:rsidRDefault="000426DE" w:rsidP="000426DE">
      <w:pPr>
        <w:pStyle w:val="a7"/>
      </w:pPr>
      <w:bookmarkStart w:id="1789" w:name="_Toc139316462"/>
      <w:r>
        <w:rPr>
          <w:rFonts w:hint="cs"/>
          <w:rtl/>
        </w:rPr>
        <w:t>בי' הדבר"י במאירי דמניח עציץ ע"ג עציץ חשיב מעשה קצירה והפסקת יניקה ולכן חייב בזה</w:t>
      </w:r>
      <w:bookmarkEnd w:id="1789"/>
    </w:p>
    <w:p w14:paraId="06819F59" w14:textId="1DB13F9B" w:rsidR="000426DE" w:rsidRPr="00DB5405" w:rsidRDefault="000426DE" w:rsidP="00BC7DC8">
      <w:pPr>
        <w:pStyle w:val="a3"/>
      </w:pPr>
      <w:bookmarkStart w:id="1790" w:name="_Ref135402304"/>
      <w:r>
        <w:rPr>
          <w:rFonts w:hint="cs"/>
          <w:rtl/>
        </w:rPr>
        <w:t xml:space="preserve">אך הביא </w:t>
      </w:r>
      <w:r w:rsidRPr="00C65D8D">
        <w:rPr>
          <w:rStyle w:val="aff4"/>
          <w:rFonts w:hint="cs"/>
          <w:vanish/>
          <w:rtl/>
        </w:rPr>
        <w:t>-</w:t>
      </w:r>
      <w:r w:rsidRPr="00C65D8D">
        <w:rPr>
          <w:rStyle w:val="aff4"/>
          <w:rFonts w:hint="cs"/>
          <w:rtl/>
        </w:rPr>
        <w:t>ה</w:t>
      </w:r>
      <w:r w:rsidRPr="003351AC">
        <w:rPr>
          <w:rStyle w:val="aff4"/>
          <w:rFonts w:hint="cs"/>
          <w:rtl/>
        </w:rPr>
        <w:t>דברי יחזקאל</w:t>
      </w:r>
      <w:r>
        <w:rPr>
          <w:rStyle w:val="aff4"/>
          <w:rFonts w:hint="cs"/>
          <w:vanish/>
          <w:rtl/>
        </w:rPr>
        <w:t>-</w:t>
      </w:r>
      <w:r w:rsidRPr="005E6DC9">
        <w:rPr>
          <w:rStyle w:val="aff4"/>
          <w:rFonts w:hint="cs"/>
          <w:rtl/>
        </w:rPr>
        <w:t xml:space="preserve"> </w:t>
      </w:r>
      <w:r>
        <w:rPr>
          <w:rFonts w:hint="cs"/>
          <w:rtl/>
        </w:rPr>
        <w:t xml:space="preserve">את דברי </w:t>
      </w:r>
      <w:r>
        <w:rPr>
          <w:rStyle w:val="aff4"/>
          <w:rFonts w:hint="cs"/>
          <w:vanish/>
          <w:rtl/>
        </w:rPr>
        <w:t>-</w:t>
      </w:r>
      <w:r w:rsidRPr="003351AC">
        <w:rPr>
          <w:rStyle w:val="aff4"/>
          <w:rFonts w:hint="cs"/>
          <w:rtl/>
        </w:rPr>
        <w:t>ה</w:t>
      </w:r>
      <w:r w:rsidRPr="00C65D8D">
        <w:rPr>
          <w:rStyle w:val="aff4"/>
          <w:rFonts w:hint="cs"/>
          <w:rtl/>
        </w:rPr>
        <w:t>מאירי לקמן</w:t>
      </w:r>
      <w:r w:rsidRPr="00C65D8D">
        <w:rPr>
          <w:rStyle w:val="aff4"/>
          <w:rFonts w:hint="cs"/>
          <w:vanish/>
          <w:rtl/>
        </w:rPr>
        <w:t>-</w:t>
      </w:r>
      <w:r>
        <w:rPr>
          <w:rFonts w:hint="cs"/>
          <w:rtl/>
        </w:rPr>
        <w:t xml:space="preserve"> </w:t>
      </w:r>
      <w:r w:rsidRPr="00FB451D">
        <w:rPr>
          <w:rStyle w:val="af2"/>
          <w:rFonts w:eastAsia="Guttman Hodes" w:hint="cs"/>
          <w:rtl/>
        </w:rPr>
        <w:t xml:space="preserve">(עי' אות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Ref134611605 \r \h</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ס)</w:t>
      </w:r>
      <w:r w:rsidRPr="00FB451D">
        <w:rPr>
          <w:rStyle w:val="af2"/>
          <w:rFonts w:eastAsia="Guttman Hodes"/>
          <w:rtl/>
        </w:rPr>
        <w:fldChar w:fldCharType="end"/>
      </w:r>
      <w:r>
        <w:rPr>
          <w:rFonts w:hint="cs"/>
          <w:rtl/>
        </w:rPr>
        <w:t xml:space="preserve"> דכתב בשם </w:t>
      </w:r>
      <w:r w:rsidRPr="00C65D8D">
        <w:rPr>
          <w:rStyle w:val="aff4"/>
          <w:rFonts w:hint="cs"/>
          <w:vanish/>
          <w:rtl/>
        </w:rPr>
        <w:t>-</w:t>
      </w:r>
      <w:r w:rsidRPr="00C65D8D">
        <w:rPr>
          <w:rStyle w:val="aff4"/>
          <w:rFonts w:hint="cs"/>
          <w:rtl/>
        </w:rPr>
        <w:t>י"מ</w:t>
      </w:r>
      <w:r w:rsidRPr="00C65D8D">
        <w:rPr>
          <w:rStyle w:val="aff4"/>
          <w:rFonts w:hint="cs"/>
          <w:vanish/>
          <w:rtl/>
        </w:rPr>
        <w:t>-</w:t>
      </w:r>
      <w:r>
        <w:rPr>
          <w:rFonts w:hint="cs"/>
          <w:rtl/>
        </w:rPr>
        <w:t xml:space="preserve"> דהמניח עציץ נקוב ע"ג עציץ נקוב, הוא קוצר כיון שהעשבים שבעציץ התחתון אינם יכולים לגדול מחמת שהניח עליהם את העליון, והקשה </w:t>
      </w:r>
      <w:r w:rsidRPr="006527E3">
        <w:rPr>
          <w:rStyle w:val="aff4"/>
          <w:rFonts w:hint="cs"/>
          <w:vanish/>
          <w:rtl/>
        </w:rPr>
        <w:t>-</w:t>
      </w:r>
      <w:r w:rsidRPr="009B386D">
        <w:rPr>
          <w:rStyle w:val="aff4"/>
          <w:rFonts w:hint="cs"/>
          <w:rtl/>
        </w:rPr>
        <w:t>הדברי יחזקאל</w:t>
      </w:r>
      <w:r w:rsidRPr="006527E3">
        <w:rPr>
          <w:rStyle w:val="aff4"/>
          <w:rFonts w:hint="cs"/>
          <w:vanish/>
          <w:rtl/>
        </w:rPr>
        <w:t>-</w:t>
      </w:r>
      <w:r>
        <w:rPr>
          <w:rFonts w:hint="cs"/>
          <w:rtl/>
        </w:rPr>
        <w:t xml:space="preserve"> דמוכח מדברי </w:t>
      </w:r>
      <w:r w:rsidRPr="006527E3">
        <w:rPr>
          <w:rStyle w:val="aff4"/>
          <w:rFonts w:hint="cs"/>
          <w:vanish/>
          <w:rtl/>
        </w:rPr>
        <w:t>-</w:t>
      </w:r>
      <w:r w:rsidRPr="009B386D">
        <w:rPr>
          <w:rStyle w:val="aff4"/>
          <w:rFonts w:hint="cs"/>
          <w:rtl/>
        </w:rPr>
        <w:t>הי"מ במאירי</w:t>
      </w:r>
      <w:r w:rsidRPr="006527E3">
        <w:rPr>
          <w:rStyle w:val="aff4"/>
          <w:rFonts w:hint="cs"/>
          <w:vanish/>
          <w:rtl/>
        </w:rPr>
        <w:t>-</w:t>
      </w:r>
      <w:r>
        <w:rPr>
          <w:rFonts w:hint="cs"/>
          <w:rtl/>
        </w:rPr>
        <w:t xml:space="preserve"> דחיוב קוצר הוא רק בהפסקת יניקה לבדה, אף שאינו תולש את העשבים ממקום חיבורם כלל, ותירץ </w:t>
      </w:r>
      <w:r w:rsidRPr="006527E3">
        <w:rPr>
          <w:rStyle w:val="aff4"/>
          <w:rFonts w:hint="cs"/>
          <w:vanish/>
          <w:rtl/>
        </w:rPr>
        <w:t>-</w:t>
      </w:r>
      <w:r w:rsidRPr="009B386D">
        <w:rPr>
          <w:rStyle w:val="aff4"/>
          <w:rFonts w:hint="cs"/>
          <w:rtl/>
        </w:rPr>
        <w:t>הדברי יחזקאל</w:t>
      </w:r>
      <w:r w:rsidRPr="006527E3">
        <w:rPr>
          <w:rStyle w:val="aff4"/>
          <w:rFonts w:hint="cs"/>
          <w:vanish/>
          <w:rtl/>
        </w:rPr>
        <w:t>-</w:t>
      </w:r>
      <w:r>
        <w:rPr>
          <w:rFonts w:hint="cs"/>
          <w:rtl/>
        </w:rPr>
        <w:t xml:space="preserve"> דכיון דבהנחת העליון על התחתון הוא מפסיק את יניקת התחתון לגמרי, חשיב כקוצר ממש, וכדכתב </w:t>
      </w:r>
      <w:r w:rsidRPr="006527E3">
        <w:rPr>
          <w:rStyle w:val="aff4"/>
          <w:rFonts w:hint="cs"/>
          <w:vanish/>
          <w:rtl/>
        </w:rPr>
        <w:t>-</w:t>
      </w:r>
      <w:r w:rsidRPr="009B386D">
        <w:rPr>
          <w:rStyle w:val="aff4"/>
          <w:rFonts w:hint="cs"/>
          <w:rtl/>
        </w:rPr>
        <w:t>ההג' אשר"י</w:t>
      </w:r>
      <w:r w:rsidRPr="006527E3">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Ref134956004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מז)</w:t>
      </w:r>
      <w:r>
        <w:rPr>
          <w:rStyle w:val="af2"/>
          <w:rFonts w:eastAsia="Guttman Hodes"/>
          <w:rtl/>
        </w:rPr>
        <w:fldChar w:fldCharType="end"/>
      </w:r>
      <w:r>
        <w:rPr>
          <w:rFonts w:hint="cs"/>
          <w:rtl/>
        </w:rPr>
        <w:t xml:space="preserve"> דבמניח בגד בין </w:t>
      </w:r>
      <w:r>
        <w:rPr>
          <w:rFonts w:hint="cs"/>
          <w:rtl/>
        </w:rPr>
        <w:t>העציץ לקרקע חייב משום תולש, וה"ה בעציץ ע"ג עציץ דהוא מפריד בין הזרעים לקרקע, והוא בכלל גדר קוצר.</w:t>
      </w:r>
      <w:bookmarkEnd w:id="1790"/>
      <w:r w:rsidRPr="007649BD">
        <w:rPr>
          <w:rFonts w:hint="cs"/>
          <w:rtl/>
        </w:rPr>
        <w:t xml:space="preserve"> </w:t>
      </w:r>
    </w:p>
    <w:p w14:paraId="35CAC970" w14:textId="77777777" w:rsidR="000426DE" w:rsidRPr="00747170" w:rsidRDefault="000426DE" w:rsidP="00747170">
      <w:pPr>
        <w:pStyle w:val="a2"/>
        <w:rPr>
          <w:rtl/>
        </w:rPr>
      </w:pPr>
      <w:r w:rsidRPr="00747170">
        <w:rPr>
          <w:rtl/>
        </w:rPr>
        <w:t>ומה שכתב המאירי בסוגיין וז"ל ובתלמוד המערב אמרו הנותן עציץ נקוב ע"ג עציץ נקוב חייב משום קוצר ומשום זורע, ויש מפרשים בזה שקוצר התחתון שעשבים שבו אינם יכולין ליגדל, וזורע העליון שמוסיף לו יניקה מן התחתון, ונמצא לדבריהם שאם אין מוסיף לו יניקה אלא שמשכהו ממקום למקום פטור. ולי נראה שמשהעתיקו ממקומו הוא נקרא קוצר, וכשהניחו במקום יניקה אפילו אינה כיניקה ראשונה נעשה זורע, ולמדת שאסור לשנותו ממקום יניקה כלל, ומ"מ הניח עציץ נקוב על שאינו נקוב אינו נעשה קוצר מצד התחתון, שהרי התולש מעציץ שאינו נקוב פטור ואם בתולש ביד אמרו כ"ש בזו עכ"ל, הרי דשייך בזה מלאכת קוצר לפירוש הי"מ על העציץ התחתון אף שלא הפרידו בפועל אלא שהפסיק יניקתם לבד, וא"כ לדעת הרמב"ם דלא בעי הפסק יניקה לגמרי אלא במיעוט יניקה ג"כ סגי, א"כ ג"כ לא בעי הפרדה בפועל, ותיקשי מסוגיא דעירובין דאיך מותר לידרס ע"ג עשבים, אבל באמת לא קשה כלל דהרי במה שנתן העליון ע"ג התחתון ופסק יניקת התחתון הרי הוא קוצר ממש שהרי שוב אינו יונק העציץ התחתון דרך הנקב כלל, וחשיב כנתן דבר המפסיק יניקה בין עציץ לקרקע דחייב משום תולש כמו שנתבאר לעיל בשם הג"א וזהו מלאכת קוצר ממש שהפריד הזרעים מהקרקע.</w:t>
      </w:r>
    </w:p>
    <w:p w14:paraId="3F9E98B1" w14:textId="3C6618EC" w:rsidR="000426DE" w:rsidRDefault="000426DE" w:rsidP="000426DE">
      <w:pPr>
        <w:pStyle w:val="afffff7"/>
        <w:rPr>
          <w:rtl/>
        </w:rPr>
      </w:pPr>
      <w:bookmarkStart w:id="1791" w:name="_Toc135513767"/>
      <w:bookmarkStart w:id="1792" w:name="_Toc163505687"/>
      <w:r>
        <w:rPr>
          <w:rFonts w:hint="cs"/>
          <w:rtl/>
        </w:rPr>
        <w:t>חזו"א על מסכת שבת פ"א ע"ב ד"ה מהא דאמר</w:t>
      </w:r>
      <w:bookmarkEnd w:id="1791"/>
      <w:bookmarkEnd w:id="1792"/>
    </w:p>
    <w:p w14:paraId="42549152" w14:textId="77777777" w:rsidR="000426DE" w:rsidRPr="00153B9F" w:rsidRDefault="000426DE" w:rsidP="000426DE">
      <w:pPr>
        <w:pStyle w:val="a7"/>
        <w:rPr>
          <w:rtl/>
        </w:rPr>
      </w:pPr>
      <w:bookmarkStart w:id="1793" w:name="_Toc139316463"/>
      <w:r>
        <w:rPr>
          <w:rFonts w:hint="cs"/>
          <w:rtl/>
        </w:rPr>
        <w:t>דחיית החזו"א דמדפסק הרמב"ם דמותר לדרוס ע"ג עשבים מוכח דמיעוט הצמחה לא בכלל קוצר</w:t>
      </w:r>
      <w:bookmarkEnd w:id="1793"/>
    </w:p>
    <w:p w14:paraId="4157DA85" w14:textId="2BFE4F70" w:rsidR="000426DE" w:rsidRDefault="000426DE" w:rsidP="00BC7DC8">
      <w:pPr>
        <w:pStyle w:val="a3"/>
      </w:pPr>
      <w:r>
        <w:rPr>
          <w:rFonts w:hint="cs"/>
          <w:rtl/>
        </w:rPr>
        <w:t xml:space="preserve">במ"ש </w:t>
      </w:r>
      <w:r w:rsidRPr="00DE1AA0">
        <w:rPr>
          <w:rStyle w:val="aff4"/>
          <w:rFonts w:hint="cs"/>
          <w:vanish/>
          <w:rtl/>
        </w:rPr>
        <w:t>-</w:t>
      </w:r>
      <w:r w:rsidRPr="00DB6BF0">
        <w:rPr>
          <w:rStyle w:val="aff4"/>
          <w:rFonts w:hint="cs"/>
          <w:rtl/>
        </w:rPr>
        <w:t>הדברי יחזקאל</w:t>
      </w:r>
      <w:r w:rsidRPr="00DE1AA0">
        <w:rPr>
          <w:rStyle w:val="aff4"/>
          <w:rFonts w:hint="cs"/>
          <w:vanish/>
          <w:rtl/>
        </w:rPr>
        <w:t>-</w:t>
      </w:r>
      <w:r>
        <w:rPr>
          <w:rFonts w:hint="cs"/>
          <w:rtl/>
        </w:rPr>
        <w:t xml:space="preserve"> </w:t>
      </w:r>
      <w:r w:rsidRPr="00FB451D">
        <w:rPr>
          <w:rStyle w:val="af2"/>
          <w:rFonts w:eastAsia="Guttman Hodes" w:hint="cs"/>
          <w:rtl/>
        </w:rPr>
        <w:t xml:space="preserve">(עי' אות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Ref135063989 \r \h</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קי)</w:t>
      </w:r>
      <w:r w:rsidRPr="00FB451D">
        <w:rPr>
          <w:rStyle w:val="af2"/>
          <w:rFonts w:eastAsia="Guttman Hodes"/>
          <w:rtl/>
        </w:rPr>
        <w:fldChar w:fldCharType="end"/>
      </w:r>
      <w:r>
        <w:rPr>
          <w:rFonts w:hint="cs"/>
          <w:rtl/>
        </w:rPr>
        <w:t xml:space="preserve"> בדעת </w:t>
      </w:r>
      <w:r w:rsidRPr="006527E3">
        <w:rPr>
          <w:rStyle w:val="aff4"/>
          <w:rFonts w:hint="cs"/>
          <w:vanish/>
          <w:rtl/>
        </w:rPr>
        <w:t>-</w:t>
      </w:r>
      <w:r>
        <w:rPr>
          <w:rStyle w:val="aff4"/>
          <w:rFonts w:hint="cs"/>
          <w:rtl/>
        </w:rPr>
        <w:t>ה</w:t>
      </w:r>
      <w:r w:rsidRPr="009B386D">
        <w:rPr>
          <w:rStyle w:val="aff4"/>
          <w:rFonts w:hint="cs"/>
          <w:rtl/>
        </w:rPr>
        <w:t>רמב"ם</w:t>
      </w:r>
      <w:r w:rsidRPr="006527E3">
        <w:rPr>
          <w:rStyle w:val="aff4"/>
          <w:rFonts w:hint="cs"/>
          <w:vanish/>
          <w:rtl/>
        </w:rPr>
        <w:t>-</w:t>
      </w:r>
      <w:r>
        <w:rPr>
          <w:rFonts w:hint="cs"/>
          <w:rtl/>
        </w:rPr>
        <w:t xml:space="preserve"> </w:t>
      </w:r>
      <w:r w:rsidRPr="00FB451D">
        <w:rPr>
          <w:rStyle w:val="af2"/>
          <w:rFonts w:eastAsia="Guttman Hodes" w:hint="cs"/>
          <w:rtl/>
        </w:rPr>
        <w:t xml:space="preserve">(עי' אות </w:t>
      </w:r>
      <w:r w:rsidRPr="00FB451D">
        <w:rPr>
          <w:rStyle w:val="af2"/>
          <w:rFonts w:eastAsia="Guttman Hodes"/>
          <w:rtl/>
        </w:rPr>
        <w:fldChar w:fldCharType="begin"/>
      </w:r>
      <w:r w:rsidRPr="00FB451D">
        <w:rPr>
          <w:rStyle w:val="af2"/>
          <w:rFonts w:eastAsia="Guttman Hodes"/>
          <w:rtl/>
        </w:rPr>
        <w:instrText xml:space="preserve"> </w:instrText>
      </w:r>
      <w:r w:rsidRPr="00FB451D">
        <w:rPr>
          <w:rStyle w:val="af2"/>
          <w:rFonts w:eastAsia="Guttman Hodes" w:hint="cs"/>
        </w:rPr>
        <w:instrText>REF</w:instrText>
      </w:r>
      <w:r w:rsidRPr="00FB451D">
        <w:rPr>
          <w:rStyle w:val="af2"/>
          <w:rFonts w:eastAsia="Guttman Hodes" w:hint="cs"/>
          <w:rtl/>
        </w:rPr>
        <w:instrText xml:space="preserve"> _</w:instrText>
      </w:r>
      <w:r w:rsidRPr="00FB451D">
        <w:rPr>
          <w:rStyle w:val="af2"/>
          <w:rFonts w:eastAsia="Guttman Hodes" w:hint="cs"/>
        </w:rPr>
        <w:instrText>Ref134736415 \r \h</w:instrText>
      </w:r>
      <w:r w:rsidRPr="00FB451D">
        <w:rPr>
          <w:rStyle w:val="af2"/>
          <w:rFonts w:eastAsia="Guttman Hodes"/>
          <w:rtl/>
        </w:rPr>
        <w:instrText xml:space="preserve"> </w:instrText>
      </w:r>
      <w:r w:rsidRPr="00FB451D">
        <w:rPr>
          <w:rStyle w:val="af2"/>
          <w:rFonts w:eastAsia="Guttman Hodes"/>
          <w:rtl/>
        </w:rPr>
      </w:r>
      <w:r w:rsidRPr="00FB451D">
        <w:rPr>
          <w:rStyle w:val="af2"/>
          <w:rFonts w:eastAsia="Guttman Hodes"/>
          <w:rtl/>
        </w:rPr>
        <w:fldChar w:fldCharType="separate"/>
      </w:r>
      <w:r w:rsidR="00D82181">
        <w:rPr>
          <w:rStyle w:val="af2"/>
          <w:rFonts w:eastAsia="Guttman Hodes"/>
          <w:cs/>
        </w:rPr>
        <w:t>‎</w:t>
      </w:r>
      <w:r w:rsidR="00D82181">
        <w:rPr>
          <w:rStyle w:val="af2"/>
          <w:rFonts w:eastAsia="Guttman Hodes"/>
          <w:rtl/>
        </w:rPr>
        <w:t>מ)</w:t>
      </w:r>
      <w:r w:rsidRPr="00FB451D">
        <w:rPr>
          <w:rStyle w:val="af2"/>
          <w:rFonts w:eastAsia="Guttman Hodes"/>
          <w:rtl/>
        </w:rPr>
        <w:fldChar w:fldCharType="end"/>
      </w:r>
      <w:r>
        <w:rPr>
          <w:rFonts w:hint="cs"/>
          <w:rtl/>
        </w:rPr>
        <w:t xml:space="preserve"> דמיעוט והוספת יניקה הוא חיוב דאו', </w:t>
      </w:r>
      <w:bookmarkStart w:id="1794" w:name="_Ref135063821"/>
      <w:r>
        <w:rPr>
          <w:rFonts w:hint="cs"/>
          <w:rtl/>
        </w:rPr>
        <w:t xml:space="preserve">דחה </w:t>
      </w:r>
      <w:r w:rsidRPr="00DE1AA0">
        <w:rPr>
          <w:rStyle w:val="aff4"/>
          <w:rFonts w:hint="cs"/>
          <w:vanish/>
          <w:rtl/>
        </w:rPr>
        <w:t>-</w:t>
      </w:r>
      <w:r w:rsidRPr="00DB6BF0">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Ref135063821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קיד)</w:t>
      </w:r>
      <w:r w:rsidRPr="00B53404">
        <w:rPr>
          <w:rStyle w:val="aff4"/>
          <w:vanish/>
          <w:rtl/>
        </w:rPr>
        <w:fldChar w:fldCharType="end"/>
      </w:r>
      <w:r w:rsidRPr="00B53404">
        <w:rPr>
          <w:rStyle w:val="aff4"/>
          <w:rFonts w:hint="cs"/>
          <w:vanish/>
          <w:rtl/>
        </w:rPr>
        <w:t xml:space="preserve"> &gt;</w:t>
      </w:r>
      <w:r w:rsidRPr="00DB6BF0">
        <w:rPr>
          <w:rStyle w:val="aff4"/>
          <w:rFonts w:hint="cs"/>
          <w:rtl/>
        </w:rPr>
        <w:t>חזו"א</w:t>
      </w:r>
      <w:r w:rsidRPr="00DE1AA0">
        <w:rPr>
          <w:rStyle w:val="aff4"/>
          <w:rFonts w:hint="cs"/>
          <w:vanish/>
          <w:rtl/>
        </w:rPr>
        <w:t>-</w:t>
      </w:r>
      <w:r>
        <w:rPr>
          <w:rFonts w:hint="cs"/>
          <w:rtl/>
        </w:rPr>
        <w:t xml:space="preserve"> </w:t>
      </w:r>
      <w:r w:rsidRPr="00FB451D">
        <w:rPr>
          <w:rStyle w:val="af2"/>
          <w:rFonts w:eastAsia="Guttman Hodes" w:hint="cs"/>
          <w:rtl/>
        </w:rPr>
        <w:t xml:space="preserve">(נד' בחזו"א שבת פא: ד"ה </w:t>
      </w:r>
      <w:r w:rsidRPr="00FB451D">
        <w:rPr>
          <w:rStyle w:val="af2"/>
          <w:rFonts w:eastAsia="Guttman Hodes"/>
          <w:rtl/>
        </w:rPr>
        <w:t>מהא דאמר</w:t>
      </w:r>
      <w:r w:rsidRPr="00FB451D">
        <w:rPr>
          <w:rStyle w:val="af2"/>
          <w:rFonts w:eastAsia="Guttman Hodes" w:hint="cs"/>
          <w:rtl/>
        </w:rPr>
        <w:t>, ומקורו בהג' לקובץ כתבי בית ישראל)</w:t>
      </w:r>
      <w:r w:rsidRPr="00DE1AA0">
        <w:rPr>
          <w:rFonts w:hint="cs"/>
          <w:vanish/>
          <w:rtl/>
        </w:rPr>
        <w:t>=</w:t>
      </w:r>
      <w:r>
        <w:rPr>
          <w:rFonts w:hint="cs"/>
          <w:rtl/>
        </w:rPr>
        <w:t xml:space="preserve"> </w:t>
      </w:r>
      <w:bookmarkEnd w:id="1794"/>
      <w:r>
        <w:rPr>
          <w:rFonts w:hint="cs"/>
          <w:rtl/>
        </w:rPr>
        <w:t>דמהא</w:t>
      </w:r>
      <w:r w:rsidRPr="00EF3EA2">
        <w:rPr>
          <w:rFonts w:hint="cs"/>
          <w:rtl/>
        </w:rPr>
        <w:t xml:space="preserve"> </w:t>
      </w:r>
      <w:r>
        <w:rPr>
          <w:rFonts w:hint="cs"/>
          <w:rtl/>
        </w:rPr>
        <w:t xml:space="preserve">דפסק </w:t>
      </w:r>
      <w:r w:rsidRPr="006527E3">
        <w:rPr>
          <w:rStyle w:val="aff4"/>
          <w:rFonts w:hint="cs"/>
          <w:vanish/>
          <w:rtl/>
        </w:rPr>
        <w:t>-</w:t>
      </w:r>
      <w:r w:rsidRPr="009B386D">
        <w:rPr>
          <w:rStyle w:val="aff4"/>
          <w:rFonts w:hint="cs"/>
          <w:rtl/>
        </w:rPr>
        <w:t>הרמב"ם</w:t>
      </w:r>
      <w:r w:rsidRPr="006527E3">
        <w:rPr>
          <w:rStyle w:val="aff4"/>
          <w:rFonts w:hint="cs"/>
          <w:vanish/>
          <w:rtl/>
        </w:rPr>
        <w:t>-</w:t>
      </w:r>
      <w:r>
        <w:rPr>
          <w:rFonts w:hint="cs"/>
          <w:rtl/>
        </w:rPr>
        <w:t xml:space="preserve"> </w:t>
      </w:r>
      <w:r w:rsidRPr="00FB451D">
        <w:rPr>
          <w:rStyle w:val="af2"/>
          <w:rFonts w:eastAsia="Guttman Hodes" w:hint="cs"/>
          <w:rtl/>
        </w:rPr>
        <w:t>(שבת פ"א ה"ה)</w:t>
      </w:r>
      <w:r>
        <w:rPr>
          <w:rFonts w:hint="cs"/>
          <w:rtl/>
        </w:rPr>
        <w:t xml:space="preserve"> את הגמ' בעירובין </w:t>
      </w:r>
      <w:r w:rsidRPr="00FB451D">
        <w:rPr>
          <w:rStyle w:val="af2"/>
          <w:rFonts w:eastAsia="Guttman Hodes" w:hint="cs"/>
          <w:rtl/>
        </w:rPr>
        <w:t>(ק:)</w:t>
      </w:r>
      <w:r>
        <w:rPr>
          <w:rFonts w:hint="cs"/>
          <w:rtl/>
        </w:rPr>
        <w:t xml:space="preserve"> דמותר ללכת ע"ג עשבים, מוכח דמיעוט הצמחה אינו בכלל מלאכת קוצר. </w:t>
      </w:r>
      <w:r w:rsidRPr="007A72D8">
        <w:rPr>
          <w:rStyle w:val="af"/>
          <w:rFonts w:hint="cs"/>
          <w:rtl/>
        </w:rPr>
        <w:t xml:space="preserve">[ועי' במה שתירץ </w:t>
      </w:r>
      <w:r w:rsidRPr="00394B7E">
        <w:rPr>
          <w:rStyle w:val="aff9"/>
          <w:rFonts w:hint="cs"/>
          <w:vanish/>
          <w:rtl/>
        </w:rPr>
        <w:t>-</w:t>
      </w:r>
      <w:r w:rsidRPr="00394B7E">
        <w:rPr>
          <w:rStyle w:val="aff9"/>
          <w:rFonts w:hint="cs"/>
          <w:rtl/>
        </w:rPr>
        <w:t>הדברי יחזקאל</w:t>
      </w:r>
      <w:r w:rsidRPr="00394B7E">
        <w:rPr>
          <w:rStyle w:val="aff9"/>
          <w:rFonts w:hint="cs"/>
          <w:vanish/>
          <w:rtl/>
        </w:rPr>
        <w:t>-</w:t>
      </w:r>
      <w:r w:rsidRPr="007A72D8">
        <w:rPr>
          <w:rStyle w:val="af"/>
          <w:rFonts w:hint="cs"/>
          <w:rtl/>
        </w:rPr>
        <w:t xml:space="preserve"> </w:t>
      </w:r>
      <w:r w:rsidRPr="00394B7E">
        <w:rPr>
          <w:rStyle w:val="aff0"/>
          <w:rFonts w:hint="cs"/>
          <w:rtl/>
        </w:rPr>
        <w:t xml:space="preserve">(עי' אות </w:t>
      </w:r>
      <w:r w:rsidRPr="00394B7E">
        <w:rPr>
          <w:rStyle w:val="aff0"/>
          <w:rtl/>
        </w:rPr>
        <w:fldChar w:fldCharType="begin"/>
      </w:r>
      <w:r w:rsidRPr="00394B7E">
        <w:rPr>
          <w:rStyle w:val="aff0"/>
          <w:rtl/>
        </w:rPr>
        <w:instrText xml:space="preserve"> </w:instrText>
      </w:r>
      <w:r w:rsidRPr="00394B7E">
        <w:rPr>
          <w:rStyle w:val="aff0"/>
          <w:rFonts w:hint="cs"/>
        </w:rPr>
        <w:instrText>REF</w:instrText>
      </w:r>
      <w:r w:rsidRPr="00394B7E">
        <w:rPr>
          <w:rStyle w:val="aff0"/>
          <w:rFonts w:hint="cs"/>
          <w:rtl/>
        </w:rPr>
        <w:instrText xml:space="preserve"> _</w:instrText>
      </w:r>
      <w:r w:rsidRPr="00394B7E">
        <w:rPr>
          <w:rStyle w:val="aff0"/>
          <w:rFonts w:hint="cs"/>
        </w:rPr>
        <w:instrText>Ref135064443 \r \h</w:instrText>
      </w:r>
      <w:r w:rsidRPr="00394B7E">
        <w:rPr>
          <w:rStyle w:val="aff0"/>
          <w:rtl/>
        </w:rPr>
        <w:instrText xml:space="preserve"> </w:instrText>
      </w:r>
      <w:r w:rsidRPr="00394B7E">
        <w:rPr>
          <w:rStyle w:val="aff0"/>
          <w:rtl/>
        </w:rPr>
      </w:r>
      <w:r w:rsidRPr="00394B7E">
        <w:rPr>
          <w:rStyle w:val="aff0"/>
          <w:rtl/>
        </w:rPr>
        <w:fldChar w:fldCharType="separate"/>
      </w:r>
      <w:r w:rsidR="00D82181">
        <w:rPr>
          <w:rStyle w:val="aff0"/>
          <w:cs/>
        </w:rPr>
        <w:t>‎</w:t>
      </w:r>
      <w:r w:rsidR="00D82181">
        <w:rPr>
          <w:rStyle w:val="aff0"/>
          <w:rtl/>
        </w:rPr>
        <w:t>קיב)</w:t>
      </w:r>
      <w:r w:rsidRPr="00394B7E">
        <w:rPr>
          <w:rStyle w:val="aff0"/>
          <w:rtl/>
        </w:rPr>
        <w:fldChar w:fldCharType="end"/>
      </w:r>
      <w:r w:rsidRPr="007A72D8">
        <w:rPr>
          <w:rStyle w:val="af"/>
          <w:rFonts w:hint="cs"/>
          <w:rtl/>
        </w:rPr>
        <w:t xml:space="preserve"> את הגמ' בעירובין]</w:t>
      </w:r>
      <w:r w:rsidRPr="00CD1359">
        <w:rPr>
          <w:rStyle w:val="af"/>
          <w:rFonts w:hint="cs"/>
          <w:rtl/>
        </w:rPr>
        <w:t>.</w:t>
      </w:r>
      <w:r>
        <w:rPr>
          <w:rStyle w:val="afff0"/>
        </w:rPr>
        <w:footnoteReference w:id="4"/>
      </w:r>
    </w:p>
    <w:p w14:paraId="6266F116" w14:textId="77777777" w:rsidR="000426DE" w:rsidRPr="00747170" w:rsidRDefault="000426DE" w:rsidP="00747170">
      <w:pPr>
        <w:pStyle w:val="a2"/>
        <w:rPr>
          <w:rtl/>
        </w:rPr>
      </w:pPr>
      <w:r w:rsidRPr="00747170">
        <w:rPr>
          <w:rtl/>
        </w:rPr>
        <w:t>מהא דאמר עירובין ק' ע"ב מותר לילך ע"ג עשבים ופסקה הרמב"ם פ"א ה"ה משמע דמיעוט צמיחה אינו בכלל קוצר</w:t>
      </w:r>
      <w:r w:rsidRPr="00747170">
        <w:rPr>
          <w:rFonts w:hint="cs"/>
          <w:rtl/>
        </w:rPr>
        <w:t>.</w:t>
      </w:r>
    </w:p>
    <w:p w14:paraId="223BD1DB" w14:textId="413C6959" w:rsidR="000426DE" w:rsidRPr="00BD689F" w:rsidRDefault="000426DE" w:rsidP="000426DE">
      <w:pPr>
        <w:pStyle w:val="a7"/>
      </w:pPr>
      <w:bookmarkStart w:id="1795" w:name="_Toc139316464"/>
      <w:r>
        <w:rPr>
          <w:rFonts w:hint="cs"/>
          <w:rtl/>
        </w:rPr>
        <w:t>בי' החזו"א דהעציץ אינו כמחובר אך הזרעים שבגבשושית כמחוברים לקרקע ולכן הוא תולש</w:t>
      </w:r>
      <w:bookmarkEnd w:id="1795"/>
    </w:p>
    <w:p w14:paraId="6BEE7182" w14:textId="1407020F" w:rsidR="000426DE" w:rsidRDefault="000426DE" w:rsidP="00BC7DC8">
      <w:pPr>
        <w:pStyle w:val="a3"/>
        <w:rPr>
          <w:rtl/>
        </w:rPr>
      </w:pPr>
      <w:bookmarkStart w:id="1796" w:name="_Ref135412388"/>
      <w:r>
        <w:rPr>
          <w:rFonts w:hint="cs"/>
          <w:rtl/>
        </w:rPr>
        <w:t xml:space="preserve">אלא ביאר </w:t>
      </w:r>
      <w:r w:rsidRPr="00DE1AA0">
        <w:rPr>
          <w:rStyle w:val="aff4"/>
          <w:rFonts w:hint="cs"/>
          <w:vanish/>
          <w:rtl/>
        </w:rPr>
        <w:t>-</w:t>
      </w:r>
      <w:r w:rsidRPr="00DB6BF0">
        <w:rPr>
          <w:rStyle w:val="aff4"/>
          <w:rFonts w:hint="cs"/>
          <w:rtl/>
        </w:rPr>
        <w:t>החזו"א</w:t>
      </w:r>
      <w:r w:rsidRPr="00DE1AA0">
        <w:rPr>
          <w:rStyle w:val="aff4"/>
          <w:rFonts w:hint="cs"/>
          <w:vanish/>
          <w:rtl/>
        </w:rPr>
        <w:t>-</w:t>
      </w:r>
      <w:r>
        <w:rPr>
          <w:rFonts w:hint="cs"/>
          <w:rtl/>
        </w:rPr>
        <w:t xml:space="preserve"> דלדעת </w:t>
      </w:r>
      <w:r w:rsidRPr="00DE1AA0">
        <w:rPr>
          <w:rStyle w:val="aff4"/>
          <w:rFonts w:hint="cs"/>
          <w:vanish/>
          <w:rtl/>
        </w:rPr>
        <w:t>-</w:t>
      </w:r>
      <w:r w:rsidRPr="00DB6BF0">
        <w:rPr>
          <w:rStyle w:val="aff4"/>
          <w:rFonts w:hint="cs"/>
          <w:rtl/>
        </w:rPr>
        <w:t>הרמב"ם</w:t>
      </w:r>
      <w:r w:rsidRPr="00DE1AA0">
        <w:rPr>
          <w:rStyle w:val="aff4"/>
          <w:rFonts w:hint="cs"/>
          <w:vanish/>
          <w:rtl/>
        </w:rPr>
        <w:t>-</w:t>
      </w:r>
      <w:r>
        <w:rPr>
          <w:rFonts w:hint="cs"/>
          <w:rtl/>
        </w:rPr>
        <w:t xml:space="preserve"> כשמגביה את העציץ מע"ג קרקע ומניחו ע"ג יתדות, חשיב שתולש את הזרעים מהקרקע ולא מהעציץ, כיון דכשהעציץ הנקוב מונח ע"ג הקרקע, חשיב שעיקר החיבור של הזרעים הוא לקרקע, אבל העציץ עצמו אינו מחובר לקרקע, ונחשב כחתיכה של אדמה, ולכן כל שהוא נוטל את העציץ מהקרקע, הוא תולש את הזרעים מהקרקע עצמה, וכתב </w:t>
      </w:r>
      <w:r w:rsidRPr="00DE1AA0">
        <w:rPr>
          <w:rStyle w:val="aff4"/>
          <w:rFonts w:hint="cs"/>
          <w:vanish/>
          <w:rtl/>
        </w:rPr>
        <w:t>-</w:t>
      </w:r>
      <w:r w:rsidRPr="00DB6BF0">
        <w:rPr>
          <w:rStyle w:val="aff4"/>
          <w:rFonts w:hint="cs"/>
          <w:rtl/>
        </w:rPr>
        <w:t>החזו"א</w:t>
      </w:r>
      <w:r w:rsidRPr="00DE1AA0">
        <w:rPr>
          <w:rStyle w:val="aff4"/>
          <w:rFonts w:hint="cs"/>
          <w:vanish/>
          <w:rtl/>
        </w:rPr>
        <w:t>-</w:t>
      </w:r>
      <w:r>
        <w:rPr>
          <w:rFonts w:hint="cs"/>
          <w:rtl/>
        </w:rPr>
        <w:t xml:space="preserve"> דלביאור </w:t>
      </w:r>
      <w:r w:rsidRPr="00DE1AA0">
        <w:rPr>
          <w:rStyle w:val="aff4"/>
          <w:rFonts w:hint="cs"/>
          <w:vanish/>
          <w:rtl/>
        </w:rPr>
        <w:t>-</w:t>
      </w:r>
      <w:r w:rsidRPr="00DB6BF0">
        <w:rPr>
          <w:rStyle w:val="aff4"/>
          <w:rFonts w:hint="cs"/>
          <w:rtl/>
        </w:rPr>
        <w:t>הרמב"ם</w:t>
      </w:r>
      <w:r w:rsidRPr="00DE1AA0">
        <w:rPr>
          <w:rStyle w:val="aff4"/>
          <w:rFonts w:hint="cs"/>
          <w:vanish/>
          <w:rtl/>
        </w:rPr>
        <w:t>-</w:t>
      </w:r>
      <w:r>
        <w:rPr>
          <w:rFonts w:hint="cs"/>
          <w:rtl/>
        </w:rPr>
        <w:t xml:space="preserve"> דפרפיסא היינו גבשושית של עפר, מבואר היטב דהחיבור של הזרעים הוא לקרקע עצמה, והוסיף </w:t>
      </w:r>
      <w:r w:rsidRPr="00DE1AA0">
        <w:rPr>
          <w:rStyle w:val="aff4"/>
          <w:rFonts w:hint="cs"/>
          <w:vanish/>
          <w:rtl/>
        </w:rPr>
        <w:t>-</w:t>
      </w:r>
      <w:r w:rsidRPr="00DB6BF0">
        <w:rPr>
          <w:rStyle w:val="aff4"/>
          <w:rFonts w:hint="cs"/>
          <w:rtl/>
        </w:rPr>
        <w:t>החזו"א</w:t>
      </w:r>
      <w:r w:rsidRPr="00DE1AA0">
        <w:rPr>
          <w:rStyle w:val="aff4"/>
          <w:rFonts w:hint="cs"/>
          <w:vanish/>
          <w:rtl/>
        </w:rPr>
        <w:t>-</w:t>
      </w:r>
      <w:r>
        <w:rPr>
          <w:rFonts w:hint="cs"/>
          <w:rtl/>
        </w:rPr>
        <w:t xml:space="preserve"> דאפש"ל דבעציץ מודה </w:t>
      </w:r>
      <w:r w:rsidRPr="00DE1AA0">
        <w:rPr>
          <w:rStyle w:val="aff4"/>
          <w:rFonts w:hint="cs"/>
          <w:vanish/>
          <w:rtl/>
        </w:rPr>
        <w:t>-</w:t>
      </w:r>
      <w:r w:rsidRPr="00DB6BF0">
        <w:rPr>
          <w:rStyle w:val="aff4"/>
          <w:rFonts w:hint="cs"/>
          <w:rtl/>
        </w:rPr>
        <w:t>הרמב"ם</w:t>
      </w:r>
      <w:r w:rsidRPr="00DE1AA0">
        <w:rPr>
          <w:rStyle w:val="aff4"/>
          <w:rFonts w:hint="cs"/>
          <w:vanish/>
          <w:rtl/>
        </w:rPr>
        <w:t>-</w:t>
      </w:r>
      <w:r>
        <w:rPr>
          <w:rFonts w:hint="cs"/>
          <w:rtl/>
        </w:rPr>
        <w:t xml:space="preserve"> לדעת</w:t>
      </w:r>
      <w:r>
        <w:rPr>
          <w:rStyle w:val="aff4"/>
          <w:rFonts w:hint="cs"/>
          <w:vanish/>
          <w:rtl/>
        </w:rPr>
        <w:t>:</w:t>
      </w:r>
      <w:r w:rsidRPr="00DB6BF0">
        <w:rPr>
          <w:rStyle w:val="aff4"/>
          <w:rFonts w:hint="cs"/>
          <w:rtl/>
        </w:rPr>
        <w:t xml:space="preserve"> רש"י לקמן</w:t>
      </w:r>
      <w:r w:rsidRPr="00DE1AA0">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Ref134734637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לה)</w:t>
      </w:r>
      <w:r>
        <w:rPr>
          <w:rStyle w:val="af2"/>
          <w:rFonts w:eastAsia="Guttman Hodes"/>
          <w:rtl/>
        </w:rPr>
        <w:fldChar w:fldCharType="end"/>
      </w:r>
      <w:r>
        <w:rPr>
          <w:rFonts w:hint="cs"/>
          <w:rtl/>
        </w:rPr>
        <w:t xml:space="preserve"> </w:t>
      </w:r>
      <w:r w:rsidRPr="00DE1AA0">
        <w:rPr>
          <w:rStyle w:val="aff4"/>
          <w:rFonts w:hint="cs"/>
          <w:vanish/>
          <w:rtl/>
        </w:rPr>
        <w:t>-</w:t>
      </w:r>
      <w:r w:rsidRPr="00DB6BF0">
        <w:rPr>
          <w:rStyle w:val="aff4"/>
          <w:rFonts w:hint="cs"/>
          <w:rtl/>
        </w:rPr>
        <w:t>ותוס' לקמן</w:t>
      </w:r>
      <w:r w:rsidRPr="00DE1AA0">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Ref135383793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לז)</w:t>
      </w:r>
      <w:r>
        <w:rPr>
          <w:rStyle w:val="af2"/>
          <w:rFonts w:eastAsia="Guttman Hodes"/>
          <w:rtl/>
        </w:rPr>
        <w:fldChar w:fldCharType="end"/>
      </w:r>
      <w:r>
        <w:rPr>
          <w:rFonts w:hint="cs"/>
          <w:rtl/>
        </w:rPr>
        <w:t xml:space="preserve"> דאם הגביהו מע"ג קרקע והניחו ע"ג  יתדות דאינו תולש מדאו'.</w:t>
      </w:r>
      <w:bookmarkEnd w:id="1796"/>
    </w:p>
    <w:p w14:paraId="358575D9" w14:textId="77777777" w:rsidR="000426DE" w:rsidRPr="00747170" w:rsidRDefault="000426DE" w:rsidP="00747170">
      <w:pPr>
        <w:pStyle w:val="a2"/>
        <w:rPr>
          <w:rtl/>
        </w:rPr>
      </w:pPr>
      <w:bookmarkStart w:id="1797" w:name="_Ref134958248"/>
      <w:r w:rsidRPr="00747170">
        <w:rPr>
          <w:rtl/>
        </w:rPr>
        <w:t>אלא הניחה ע"ג יתידות היינו טעמא דנטוע בארץ הוי עיקר החיבור בארץ אבל עציץ אינו מחובר בארץ אלא נחשב כסעיף האדמה היכי דנקוב כדינו ויניקת הארץ מגעת לזרעים שבתוכו והלכך לענין שבת אי נוטל מהארץ ומניח ע"ג יתידות חשיב תולש והדבר מתיישב טפי לפי' הרמב"ם דהוא גבשושית עפר ואפשר דמודה הרמב"ם בעציץ שהגביהו והניחו ע"ג יתידו</w:t>
      </w:r>
      <w:r w:rsidRPr="00747170">
        <w:rPr>
          <w:rFonts w:hint="cs"/>
          <w:rtl/>
        </w:rPr>
        <w:t>ת.</w:t>
      </w:r>
    </w:p>
    <w:p w14:paraId="5C06D5C7" w14:textId="542C88AE" w:rsidR="000426DE" w:rsidRDefault="000426DE" w:rsidP="000426DE">
      <w:pPr>
        <w:pStyle w:val="affff5"/>
      </w:pPr>
      <w:bookmarkStart w:id="1798" w:name="_Toc139316465"/>
      <w:bookmarkEnd w:id="1797"/>
      <w:r w:rsidRPr="00716C93">
        <w:rPr>
          <w:rFonts w:hint="cs"/>
          <w:rtl/>
        </w:rPr>
        <w:t>~~~~~~~~~~~~~~~~~~~~~~~~~~~~</w:t>
      </w:r>
      <w:bookmarkEnd w:id="1798"/>
      <w:r w:rsidRPr="002439C9">
        <w:rPr>
          <w:vanish/>
          <w:rtl/>
        </w:rPr>
        <w:t>&lt; # =</w:t>
      </w:r>
    </w:p>
    <w:p w14:paraId="0D442C3B" w14:textId="77777777" w:rsidR="000426DE" w:rsidRDefault="000426DE" w:rsidP="000426DE">
      <w:pPr>
        <w:pStyle w:val="affff5"/>
        <w:rPr>
          <w:rtl/>
        </w:rPr>
      </w:pPr>
      <w:bookmarkStart w:id="1799" w:name="_Toc139316466"/>
      <w:r>
        <w:rPr>
          <w:rFonts w:hint="cs"/>
          <w:rtl/>
        </w:rPr>
        <w:t>בקוצר במחובר יבש שאין בו יניקה כלל</w:t>
      </w:r>
      <w:bookmarkEnd w:id="1799"/>
      <w:r w:rsidRPr="002439C9">
        <w:rPr>
          <w:vanish/>
          <w:rtl/>
        </w:rPr>
        <w:t>&lt; # =</w:t>
      </w:r>
    </w:p>
    <w:p w14:paraId="0B618D5B" w14:textId="77777777" w:rsidR="000426DE" w:rsidRPr="00111989" w:rsidRDefault="000426DE" w:rsidP="000426DE">
      <w:pPr>
        <w:pStyle w:val="1"/>
      </w:pPr>
      <w:bookmarkStart w:id="1800" w:name="_Toc139316467"/>
      <w:r>
        <w:rPr>
          <w:rFonts w:hint="cs"/>
          <w:rtl/>
        </w:rPr>
        <w:t>בי' הדב"א בפלו' הרמב"ם והראב"ד ורש"י בדין קוצר ביבש</w:t>
      </w:r>
      <w:bookmarkEnd w:id="1800"/>
    </w:p>
    <w:p w14:paraId="38789F32" w14:textId="77777777" w:rsidR="000426DE" w:rsidRDefault="000426DE" w:rsidP="000426DE">
      <w:pPr>
        <w:pStyle w:val="afffff7"/>
        <w:rPr>
          <w:rtl/>
        </w:rPr>
      </w:pPr>
      <w:bookmarkStart w:id="1801" w:name="_Toc135513768"/>
      <w:bookmarkStart w:id="1802" w:name="_Toc163505688"/>
      <w:r>
        <w:rPr>
          <w:rFonts w:hint="cs"/>
          <w:rtl/>
        </w:rPr>
        <w:t xml:space="preserve">דבר אברהם ח"א סי' כ"ד אות י"ד ד"ה </w:t>
      </w:r>
      <w:r w:rsidRPr="00C03F0A">
        <w:rPr>
          <w:rtl/>
        </w:rPr>
        <w:t>ולכאורה</w:t>
      </w:r>
      <w:bookmarkEnd w:id="1801"/>
      <w:bookmarkEnd w:id="1802"/>
    </w:p>
    <w:p w14:paraId="0680116B" w14:textId="77777777" w:rsidR="000426DE" w:rsidRDefault="000426DE" w:rsidP="000426DE">
      <w:pPr>
        <w:pStyle w:val="afffff7"/>
        <w:rPr>
          <w:rtl/>
        </w:rPr>
      </w:pPr>
      <w:bookmarkStart w:id="1803" w:name="_Toc135513769"/>
      <w:bookmarkStart w:id="1804" w:name="_Toc163505689"/>
      <w:r>
        <w:rPr>
          <w:rFonts w:hint="cs"/>
          <w:rtl/>
        </w:rPr>
        <w:t>דבר אברהם ח"א סי' כ"ד אות ט</w:t>
      </w:r>
      <w:r>
        <w:rPr>
          <w:rFonts w:cs="Guttman Hodes" w:hint="cs"/>
          <w:rtl/>
        </w:rPr>
        <w:t>"</w:t>
      </w:r>
      <w:r>
        <w:rPr>
          <w:rFonts w:hint="cs"/>
          <w:rtl/>
        </w:rPr>
        <w:t xml:space="preserve">ו ד"ה </w:t>
      </w:r>
      <w:r w:rsidRPr="00F95C0C">
        <w:rPr>
          <w:rtl/>
        </w:rPr>
        <w:t>והנה הרמב"ם</w:t>
      </w:r>
      <w:bookmarkEnd w:id="1803"/>
      <w:bookmarkEnd w:id="1804"/>
    </w:p>
    <w:p w14:paraId="7A28D796" w14:textId="77777777" w:rsidR="000426DE" w:rsidRDefault="000426DE" w:rsidP="000426DE">
      <w:pPr>
        <w:pStyle w:val="a7"/>
        <w:rPr>
          <w:rtl/>
        </w:rPr>
      </w:pPr>
      <w:bookmarkStart w:id="1805" w:name="_Toc139316468"/>
      <w:r>
        <w:rPr>
          <w:rFonts w:hint="cs"/>
          <w:rtl/>
        </w:rPr>
        <w:t>בי' הדב"א ברמב"ם דרק פירות ועוקציהן שיבשו כמחוברין אך ביבש כל האילן הוי כתלוש</w:t>
      </w:r>
      <w:bookmarkEnd w:id="1805"/>
    </w:p>
    <w:p w14:paraId="0BE38BA8" w14:textId="40A5D259" w:rsidR="000426DE" w:rsidRPr="0096229D" w:rsidRDefault="000426DE" w:rsidP="00BC7DC8">
      <w:pPr>
        <w:pStyle w:val="a3"/>
        <w:rPr>
          <w:rtl/>
        </w:rPr>
      </w:pPr>
      <w:bookmarkStart w:id="1806" w:name="_Ref135403912"/>
      <w:r>
        <w:rPr>
          <w:rFonts w:hint="cs"/>
          <w:rtl/>
        </w:rPr>
        <w:t xml:space="preserve">כתב </w:t>
      </w:r>
      <w:r w:rsidRPr="00C65D8D">
        <w:rPr>
          <w:rStyle w:val="aff4"/>
          <w:rFonts w:hint="cs"/>
          <w:vanish/>
          <w:rtl/>
        </w:rPr>
        <w:t>-</w:t>
      </w:r>
      <w:r w:rsidRPr="00C65D8D">
        <w:rPr>
          <w:rStyle w:val="aff4"/>
          <w:rFonts w:hint="cs"/>
          <w:rtl/>
        </w:rPr>
        <w:t>ה</w:t>
      </w:r>
      <w:r w:rsidRPr="00DA151D">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Ref135403912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קטז)</w:t>
      </w:r>
      <w:r>
        <w:rPr>
          <w:rStyle w:val="aff4"/>
          <w:vanish/>
          <w:rtl/>
        </w:rPr>
        <w:fldChar w:fldCharType="end"/>
      </w:r>
      <w:r w:rsidRPr="00DA151D">
        <w:rPr>
          <w:rStyle w:val="aff4"/>
          <w:rFonts w:hint="cs"/>
          <w:vanish/>
          <w:rtl/>
        </w:rPr>
        <w:t xml:space="preserve"> &gt;</w:t>
      </w:r>
      <w:r w:rsidRPr="00C65D8D">
        <w:rPr>
          <w:rStyle w:val="aff4"/>
          <w:rFonts w:hint="cs"/>
          <w:rtl/>
        </w:rPr>
        <w:t>דבר אברהם</w:t>
      </w:r>
      <w:r w:rsidRPr="00C65D8D">
        <w:rPr>
          <w:rStyle w:val="aff4"/>
          <w:rFonts w:hint="cs"/>
          <w:vanish/>
          <w:rtl/>
        </w:rPr>
        <w:t>-</w:t>
      </w:r>
      <w:r>
        <w:rPr>
          <w:rFonts w:hint="cs"/>
          <w:rtl/>
        </w:rPr>
        <w:t xml:space="preserve"> </w:t>
      </w:r>
      <w:r w:rsidRPr="00FB451D">
        <w:rPr>
          <w:rStyle w:val="af2"/>
          <w:rFonts w:eastAsia="Guttman Hodes" w:hint="cs"/>
          <w:rtl/>
        </w:rPr>
        <w:t>(ח"א סי' כ"ד אות י"ד סוד"ה ולכאורה)</w:t>
      </w:r>
      <w:r w:rsidRPr="00BD4BB4">
        <w:rPr>
          <w:rFonts w:hint="cs"/>
          <w:vanish/>
          <w:rtl/>
        </w:rPr>
        <w:t xml:space="preserve"> </w:t>
      </w:r>
      <w:r w:rsidRPr="0021500D">
        <w:rPr>
          <w:rFonts w:hint="cs"/>
          <w:vanish/>
          <w:rtl/>
        </w:rPr>
        <w:t>=</w:t>
      </w:r>
      <w:r>
        <w:rPr>
          <w:rFonts w:hint="cs"/>
          <w:rtl/>
        </w:rPr>
        <w:t xml:space="preserve"> דצריך לבאר מה החילוק בין אילן יבש, דלא חשיב מחובר ואין בו קוצר, לבין תאנים שצמקו באיביהן דהם כמחוברין לקרקע, ויש בהם חיוב תולש, </w:t>
      </w:r>
      <w:bookmarkStart w:id="1807" w:name="_Ref134698256"/>
      <w:r>
        <w:rPr>
          <w:rFonts w:hint="cs"/>
          <w:rtl/>
        </w:rPr>
        <w:t xml:space="preserve">והביא </w:t>
      </w:r>
      <w:r w:rsidRPr="0021500D">
        <w:rPr>
          <w:rStyle w:val="aff4"/>
          <w:rFonts w:hint="cs"/>
          <w:vanish/>
          <w:rtl/>
        </w:rPr>
        <w:t>-</w:t>
      </w:r>
      <w:r w:rsidRPr="00894DA6">
        <w:rPr>
          <w:rStyle w:val="aff4"/>
          <w:rFonts w:hint="cs"/>
          <w:rtl/>
        </w:rPr>
        <w:t>ה</w:t>
      </w:r>
      <w:r>
        <w:rPr>
          <w:rStyle w:val="aff4"/>
          <w:rFonts w:hint="cs"/>
          <w:vanish/>
          <w:rtl/>
        </w:rPr>
        <w:t>&lt; &gt;</w:t>
      </w:r>
      <w:r w:rsidRPr="00894DA6">
        <w:rPr>
          <w:rStyle w:val="aff4"/>
          <w:rFonts w:hint="cs"/>
          <w:rtl/>
        </w:rPr>
        <w:t>דבר אברהם</w:t>
      </w:r>
      <w:r w:rsidRPr="0021500D">
        <w:rPr>
          <w:rStyle w:val="aff4"/>
          <w:rFonts w:hint="cs"/>
          <w:vanish/>
          <w:rtl/>
        </w:rPr>
        <w:t>-</w:t>
      </w:r>
      <w:r>
        <w:rPr>
          <w:rFonts w:hint="cs"/>
          <w:rtl/>
        </w:rPr>
        <w:t xml:space="preserve"> </w:t>
      </w:r>
      <w:r w:rsidRPr="00FB451D">
        <w:rPr>
          <w:rStyle w:val="af2"/>
          <w:rFonts w:eastAsia="Guttman Hodes" w:hint="cs"/>
          <w:rtl/>
        </w:rPr>
        <w:t>(ח"א סי' כ"ד אות ט"ו ד"ה והנה הרמב"ם)</w:t>
      </w:r>
      <w:r w:rsidRPr="0021500D">
        <w:rPr>
          <w:rFonts w:hint="cs"/>
          <w:vanish/>
          <w:rtl/>
        </w:rPr>
        <w:t>=</w:t>
      </w:r>
      <w:r>
        <w:rPr>
          <w:rFonts w:hint="cs"/>
          <w:rtl/>
        </w:rPr>
        <w:t xml:space="preserve"> את דברי </w:t>
      </w:r>
      <w:r w:rsidRPr="0021500D">
        <w:rPr>
          <w:rStyle w:val="aff4"/>
          <w:rFonts w:hint="cs"/>
          <w:vanish/>
          <w:rtl/>
        </w:rPr>
        <w:t>-</w:t>
      </w:r>
      <w:r w:rsidRPr="00894DA6">
        <w:rPr>
          <w:rStyle w:val="aff4"/>
          <w:rFonts w:hint="cs"/>
          <w:rtl/>
        </w:rPr>
        <w:t>המג"א</w:t>
      </w:r>
      <w:r w:rsidRPr="0021500D">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Ref135403573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לו)</w:t>
      </w:r>
      <w:r>
        <w:rPr>
          <w:rStyle w:val="af2"/>
          <w:rFonts w:eastAsia="Guttman Hodes"/>
          <w:rtl/>
        </w:rPr>
        <w:fldChar w:fldCharType="end"/>
      </w:r>
      <w:r>
        <w:rPr>
          <w:rFonts w:hint="cs"/>
          <w:rtl/>
        </w:rPr>
        <w:t xml:space="preserve"> דכתב דלדעת </w:t>
      </w:r>
      <w:r w:rsidRPr="0021500D">
        <w:rPr>
          <w:rStyle w:val="aff4"/>
          <w:rFonts w:hint="cs"/>
          <w:vanish/>
          <w:rtl/>
        </w:rPr>
        <w:t>-</w:t>
      </w:r>
      <w:r w:rsidRPr="00894DA6">
        <w:rPr>
          <w:rStyle w:val="aff4"/>
          <w:rFonts w:hint="cs"/>
          <w:rtl/>
        </w:rPr>
        <w:t>הרמב"ם</w:t>
      </w:r>
      <w:r w:rsidRPr="0021500D">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Ref134564918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לד)</w:t>
      </w:r>
      <w:r>
        <w:rPr>
          <w:rStyle w:val="af2"/>
          <w:rFonts w:eastAsia="Guttman Hodes"/>
          <w:rtl/>
        </w:rPr>
        <w:fldChar w:fldCharType="end"/>
      </w:r>
      <w:r>
        <w:rPr>
          <w:rFonts w:hint="cs"/>
          <w:rtl/>
        </w:rPr>
        <w:t xml:space="preserve"> יש איסור תולש אף באילן יבש, ודחה </w:t>
      </w:r>
      <w:r w:rsidRPr="0021500D">
        <w:rPr>
          <w:rStyle w:val="aff4"/>
          <w:rFonts w:hint="cs"/>
          <w:vanish/>
          <w:rtl/>
        </w:rPr>
        <w:t>-</w:t>
      </w:r>
      <w:r w:rsidRPr="00894DA6">
        <w:rPr>
          <w:rStyle w:val="aff4"/>
          <w:rFonts w:hint="cs"/>
          <w:rtl/>
        </w:rPr>
        <w:t>הדבר אברהם</w:t>
      </w:r>
      <w:r w:rsidRPr="0021500D">
        <w:rPr>
          <w:rStyle w:val="aff4"/>
          <w:rFonts w:hint="cs"/>
          <w:vanish/>
          <w:rtl/>
        </w:rPr>
        <w:t>-</w:t>
      </w:r>
      <w:r>
        <w:rPr>
          <w:rFonts w:hint="cs"/>
          <w:rtl/>
        </w:rPr>
        <w:t xml:space="preserve"> דמוכח ב</w:t>
      </w:r>
      <w:r>
        <w:rPr>
          <w:rtl/>
        </w:rPr>
        <w:t xml:space="preserve">ירושלמי </w:t>
      </w:r>
      <w:r>
        <w:rPr>
          <w:rFonts w:hint="cs"/>
          <w:rtl/>
        </w:rPr>
        <w:t>ב</w:t>
      </w:r>
      <w:r>
        <w:rPr>
          <w:rtl/>
        </w:rPr>
        <w:t xml:space="preserve">ביצה </w:t>
      </w:r>
      <w:r w:rsidRPr="00FB451D">
        <w:rPr>
          <w:rStyle w:val="af2"/>
          <w:rFonts w:eastAsia="Guttman Hodes"/>
          <w:rtl/>
        </w:rPr>
        <w:t>(פ"ה ה</w:t>
      </w:r>
      <w:r w:rsidRPr="00FB451D">
        <w:rPr>
          <w:rStyle w:val="af2"/>
          <w:rFonts w:eastAsia="Guttman Hodes" w:hint="cs"/>
          <w:rtl/>
        </w:rPr>
        <w:t>"</w:t>
      </w:r>
      <w:r w:rsidRPr="00FB451D">
        <w:rPr>
          <w:rStyle w:val="af2"/>
          <w:rFonts w:eastAsia="Guttman Hodes"/>
          <w:rtl/>
        </w:rPr>
        <w:t>ב</w:t>
      </w:r>
      <w:r w:rsidRPr="00FB451D">
        <w:rPr>
          <w:rStyle w:val="af2"/>
          <w:rFonts w:eastAsia="Guttman Hodes" w:hint="cs"/>
          <w:rtl/>
        </w:rPr>
        <w:t>, כ.)</w:t>
      </w:r>
      <w:r>
        <w:rPr>
          <w:rFonts w:hint="cs"/>
          <w:rtl/>
        </w:rPr>
        <w:t xml:space="preserve"> דאין איסור תולש באילן יבש, עיי"ש בדבריו, אלא כתב </w:t>
      </w:r>
      <w:r w:rsidRPr="0021500D">
        <w:rPr>
          <w:rStyle w:val="aff4"/>
          <w:rFonts w:hint="cs"/>
          <w:vanish/>
          <w:rtl/>
        </w:rPr>
        <w:t>-</w:t>
      </w:r>
      <w:r w:rsidRPr="00894DA6">
        <w:rPr>
          <w:rStyle w:val="aff4"/>
          <w:rFonts w:hint="cs"/>
          <w:rtl/>
        </w:rPr>
        <w:t>ה</w:t>
      </w:r>
      <w:r w:rsidRPr="00B53404">
        <w:rPr>
          <w:rStyle w:val="aff4"/>
          <w:rFonts w:hint="cs"/>
          <w:vanish/>
          <w:rtl/>
        </w:rPr>
        <w:t>&lt; &gt;</w:t>
      </w:r>
      <w:r w:rsidRPr="00894DA6">
        <w:rPr>
          <w:rStyle w:val="aff4"/>
          <w:rFonts w:hint="cs"/>
          <w:rtl/>
        </w:rPr>
        <w:t>דבר אברהם</w:t>
      </w:r>
      <w:r w:rsidRPr="0021500D">
        <w:rPr>
          <w:rStyle w:val="aff4"/>
          <w:rFonts w:hint="cs"/>
          <w:vanish/>
          <w:rtl/>
        </w:rPr>
        <w:t>-</w:t>
      </w:r>
      <w:r>
        <w:rPr>
          <w:rFonts w:hint="cs"/>
          <w:rtl/>
        </w:rPr>
        <w:t xml:space="preserve"> </w:t>
      </w:r>
      <w:r w:rsidRPr="00FB451D">
        <w:rPr>
          <w:rStyle w:val="af2"/>
          <w:rFonts w:eastAsia="Guttman Hodes" w:hint="cs"/>
          <w:rtl/>
        </w:rPr>
        <w:t xml:space="preserve">(ח"א סי' כ"ד אות ט"ו ד"ה </w:t>
      </w:r>
      <w:r w:rsidRPr="00FB451D">
        <w:rPr>
          <w:rStyle w:val="af2"/>
          <w:rFonts w:eastAsia="Guttman Hodes"/>
          <w:rtl/>
        </w:rPr>
        <w:t>ע"כ נ"ל</w:t>
      </w:r>
      <w:r w:rsidRPr="00FB451D">
        <w:rPr>
          <w:rStyle w:val="af2"/>
          <w:rFonts w:eastAsia="Guttman Hodes" w:hint="cs"/>
          <w:rtl/>
        </w:rPr>
        <w:t>)</w:t>
      </w:r>
      <w:r w:rsidRPr="0021500D">
        <w:rPr>
          <w:rFonts w:hint="cs"/>
          <w:vanish/>
          <w:rtl/>
        </w:rPr>
        <w:t>=</w:t>
      </w:r>
      <w:r>
        <w:rPr>
          <w:rFonts w:hint="cs"/>
          <w:rtl/>
        </w:rPr>
        <w:t xml:space="preserve"> דרק בפירות שיבשו הן ועוקציהן ס"ל </w:t>
      </w:r>
      <w:r w:rsidRPr="0021500D">
        <w:rPr>
          <w:rStyle w:val="aff4"/>
          <w:rFonts w:hint="cs"/>
          <w:vanish/>
          <w:rtl/>
        </w:rPr>
        <w:t>-</w:t>
      </w:r>
      <w:r w:rsidRPr="00894DA6">
        <w:rPr>
          <w:rStyle w:val="aff4"/>
          <w:rFonts w:hint="cs"/>
          <w:rtl/>
        </w:rPr>
        <w:t>להרמב"ם</w:t>
      </w:r>
      <w:r w:rsidRPr="0021500D">
        <w:rPr>
          <w:rStyle w:val="aff4"/>
          <w:rFonts w:hint="cs"/>
          <w:vanish/>
          <w:rtl/>
        </w:rPr>
        <w:t>-</w:t>
      </w:r>
      <w:r>
        <w:rPr>
          <w:rFonts w:hint="cs"/>
          <w:rtl/>
        </w:rPr>
        <w:t xml:space="preserve"> דהם כמחוברים ויש בהם איסור תולש, אבל ביבש כל האילן אף לדעת </w:t>
      </w:r>
      <w:r w:rsidRPr="0021500D">
        <w:rPr>
          <w:rStyle w:val="aff4"/>
          <w:rFonts w:hint="cs"/>
          <w:vanish/>
          <w:rtl/>
        </w:rPr>
        <w:t>-</w:t>
      </w:r>
      <w:r w:rsidRPr="00894DA6">
        <w:rPr>
          <w:rStyle w:val="aff4"/>
          <w:rFonts w:hint="cs"/>
          <w:rtl/>
        </w:rPr>
        <w:t>הרמב"ם</w:t>
      </w:r>
      <w:r w:rsidRPr="0021500D">
        <w:rPr>
          <w:rStyle w:val="aff4"/>
          <w:rFonts w:hint="cs"/>
          <w:vanish/>
          <w:rtl/>
        </w:rPr>
        <w:t>-</w:t>
      </w:r>
      <w:r>
        <w:rPr>
          <w:rFonts w:hint="cs"/>
          <w:rtl/>
        </w:rPr>
        <w:t xml:space="preserve"> אינו נחשב מחובר ואין בו איסור תולש, והביא </w:t>
      </w:r>
      <w:r w:rsidRPr="0021500D">
        <w:rPr>
          <w:rStyle w:val="aff4"/>
          <w:rFonts w:hint="cs"/>
          <w:vanish/>
          <w:rtl/>
        </w:rPr>
        <w:t>-</w:t>
      </w:r>
      <w:r w:rsidRPr="00894DA6">
        <w:rPr>
          <w:rStyle w:val="aff4"/>
          <w:rFonts w:hint="cs"/>
          <w:rtl/>
        </w:rPr>
        <w:t>הדבר אברהם</w:t>
      </w:r>
      <w:r w:rsidRPr="0021500D">
        <w:rPr>
          <w:rStyle w:val="aff4"/>
          <w:rFonts w:hint="cs"/>
          <w:vanish/>
          <w:rtl/>
        </w:rPr>
        <w:t>-</w:t>
      </w:r>
      <w:r>
        <w:rPr>
          <w:rFonts w:hint="cs"/>
          <w:rtl/>
        </w:rPr>
        <w:t xml:space="preserve"> דכעי"ז ביאר </w:t>
      </w:r>
      <w:r w:rsidRPr="0021500D">
        <w:rPr>
          <w:rStyle w:val="aff4"/>
          <w:rFonts w:hint="cs"/>
          <w:vanish/>
          <w:rtl/>
        </w:rPr>
        <w:t>-</w:t>
      </w:r>
      <w:r w:rsidRPr="00894DA6">
        <w:rPr>
          <w:rStyle w:val="aff4"/>
          <w:rFonts w:hint="cs"/>
          <w:rtl/>
        </w:rPr>
        <w:t>ה</w:t>
      </w:r>
      <w:r w:rsidRPr="00B53404">
        <w:rPr>
          <w:rStyle w:val="aff4"/>
          <w:rFonts w:hint="cs"/>
          <w:vanish/>
          <w:rtl/>
        </w:rPr>
        <w:t>&lt; &gt;</w:t>
      </w:r>
      <w:r w:rsidRPr="00894DA6">
        <w:rPr>
          <w:rStyle w:val="aff4"/>
          <w:rFonts w:hint="cs"/>
          <w:rtl/>
        </w:rPr>
        <w:t>אליהו זוטא</w:t>
      </w:r>
      <w:r w:rsidRPr="0021500D">
        <w:rPr>
          <w:rStyle w:val="aff4"/>
          <w:rFonts w:hint="cs"/>
          <w:vanish/>
          <w:rtl/>
        </w:rPr>
        <w:t>-</w:t>
      </w:r>
      <w:r>
        <w:rPr>
          <w:rFonts w:hint="cs"/>
          <w:rtl/>
        </w:rPr>
        <w:t xml:space="preserve"> </w:t>
      </w:r>
      <w:r w:rsidRPr="00FB451D">
        <w:rPr>
          <w:rStyle w:val="af2"/>
          <w:rFonts w:eastAsia="Guttman Hodes" w:hint="cs"/>
          <w:rtl/>
        </w:rPr>
        <w:t>(סי' של"ו סק"ח)</w:t>
      </w:r>
      <w:r w:rsidRPr="0021500D">
        <w:rPr>
          <w:rFonts w:hint="cs"/>
          <w:vanish/>
          <w:rtl/>
        </w:rPr>
        <w:t>=</w:t>
      </w:r>
      <w:r>
        <w:rPr>
          <w:rFonts w:hint="cs"/>
          <w:rtl/>
        </w:rPr>
        <w:t xml:space="preserve">, ועי' במ"ש כתב </w:t>
      </w:r>
      <w:r w:rsidRPr="00C65D8D">
        <w:rPr>
          <w:rStyle w:val="aff4"/>
          <w:rFonts w:hint="cs"/>
          <w:vanish/>
          <w:rtl/>
        </w:rPr>
        <w:t>-</w:t>
      </w:r>
      <w:r w:rsidRPr="00C65D8D">
        <w:rPr>
          <w:rStyle w:val="aff4"/>
          <w:rFonts w:hint="cs"/>
          <w:rtl/>
        </w:rPr>
        <w:t>הביה"ל</w:t>
      </w:r>
      <w:r w:rsidRPr="00C65D8D">
        <w:rPr>
          <w:rStyle w:val="aff4"/>
          <w:rFonts w:hint="cs"/>
          <w:vanish/>
          <w:rtl/>
        </w:rPr>
        <w:t>-</w:t>
      </w:r>
      <w:r>
        <w:rPr>
          <w:rFonts w:hint="cs"/>
          <w:rtl/>
        </w:rPr>
        <w:t xml:space="preserve"> </w:t>
      </w:r>
      <w:r w:rsidRPr="00F160DF">
        <w:rPr>
          <w:rStyle w:val="af2"/>
          <w:rFonts w:eastAsia="Guttman Hodes" w:hint="cs"/>
          <w:rtl/>
        </w:rPr>
        <w:t>(עי' אות</w:t>
      </w:r>
      <w:r>
        <w:rPr>
          <w:rFonts w:hint="cs"/>
          <w:rtl/>
        </w:rPr>
        <w:t xml:space="preserve"> </w:t>
      </w:r>
      <w:r w:rsidRPr="00F160DF">
        <w:rPr>
          <w:rStyle w:val="af2"/>
          <w:rFonts w:eastAsia="Guttman Hodes"/>
          <w:rtl/>
        </w:rPr>
        <w:fldChar w:fldCharType="begin"/>
      </w:r>
      <w:r w:rsidRPr="00F160DF">
        <w:rPr>
          <w:rStyle w:val="af2"/>
          <w:rFonts w:eastAsia="Guttman Hodes"/>
          <w:rtl/>
        </w:rPr>
        <w:instrText xml:space="preserve"> </w:instrText>
      </w:r>
      <w:r w:rsidRPr="00F160DF">
        <w:rPr>
          <w:rStyle w:val="af2"/>
          <w:rFonts w:eastAsia="Guttman Hodes" w:hint="cs"/>
        </w:rPr>
        <w:instrText>REF</w:instrText>
      </w:r>
      <w:r w:rsidRPr="00F160DF">
        <w:rPr>
          <w:rStyle w:val="af2"/>
          <w:rFonts w:eastAsia="Guttman Hodes" w:hint="cs"/>
          <w:rtl/>
        </w:rPr>
        <w:instrText xml:space="preserve"> _</w:instrText>
      </w:r>
      <w:r w:rsidRPr="00F160DF">
        <w:rPr>
          <w:rStyle w:val="af2"/>
          <w:rFonts w:eastAsia="Guttman Hodes" w:hint="cs"/>
        </w:rPr>
        <w:instrText>Ref135403591 \r \h</w:instrText>
      </w:r>
      <w:r w:rsidRPr="00F160DF">
        <w:rPr>
          <w:rStyle w:val="af2"/>
          <w:rFonts w:eastAsia="Guttman Hodes"/>
          <w:rtl/>
        </w:rPr>
        <w:instrText xml:space="preserve"> </w:instrText>
      </w:r>
      <w:r>
        <w:rPr>
          <w:rStyle w:val="af2"/>
          <w:rFonts w:eastAsia="Guttman Hodes"/>
          <w:rtl/>
        </w:rPr>
        <w:instrText xml:space="preserve"> \* </w:instrText>
      </w:r>
      <w:r>
        <w:rPr>
          <w:rStyle w:val="af2"/>
          <w:rFonts w:eastAsia="Guttman Hodes"/>
        </w:rPr>
        <w:instrText>MERGEFORMAT</w:instrText>
      </w:r>
      <w:r>
        <w:rPr>
          <w:rStyle w:val="af2"/>
          <w:rFonts w:eastAsia="Guttman Hodes"/>
          <w:rtl/>
        </w:rPr>
        <w:instrText xml:space="preserve"> </w:instrText>
      </w:r>
      <w:r w:rsidRPr="00F160DF">
        <w:rPr>
          <w:rStyle w:val="af2"/>
          <w:rFonts w:eastAsia="Guttman Hodes"/>
          <w:rtl/>
        </w:rPr>
      </w:r>
      <w:r w:rsidRPr="00F160DF">
        <w:rPr>
          <w:rStyle w:val="af2"/>
          <w:rFonts w:eastAsia="Guttman Hodes"/>
          <w:rtl/>
        </w:rPr>
        <w:fldChar w:fldCharType="separate"/>
      </w:r>
      <w:r w:rsidR="00D82181">
        <w:rPr>
          <w:rStyle w:val="af2"/>
          <w:rFonts w:eastAsia="Guttman Hodes"/>
          <w:cs/>
        </w:rPr>
        <w:t>‎</w:t>
      </w:r>
      <w:r w:rsidR="00D82181">
        <w:rPr>
          <w:rStyle w:val="af2"/>
          <w:rFonts w:eastAsia="Guttman Hodes"/>
          <w:rtl/>
        </w:rPr>
        <w:t>מא)</w:t>
      </w:r>
      <w:r w:rsidRPr="00F160DF">
        <w:rPr>
          <w:rStyle w:val="af2"/>
          <w:rFonts w:eastAsia="Guttman Hodes"/>
          <w:rtl/>
        </w:rPr>
        <w:fldChar w:fldCharType="end"/>
      </w:r>
      <w:r>
        <w:rPr>
          <w:rFonts w:hint="cs"/>
          <w:rtl/>
        </w:rPr>
        <w:t xml:space="preserve">. </w:t>
      </w:r>
      <w:r w:rsidRPr="007A72D8">
        <w:rPr>
          <w:rStyle w:val="af"/>
          <w:rFonts w:hint="cs"/>
          <w:rtl/>
        </w:rPr>
        <w:t xml:space="preserve">[ולפי"ז תירץ </w:t>
      </w:r>
      <w:r w:rsidRPr="00394B7E">
        <w:rPr>
          <w:rStyle w:val="aff9"/>
          <w:rFonts w:hint="cs"/>
          <w:vanish/>
          <w:rtl/>
        </w:rPr>
        <w:t>-</w:t>
      </w:r>
      <w:r w:rsidRPr="00394B7E">
        <w:rPr>
          <w:rStyle w:val="aff9"/>
          <w:rFonts w:hint="cs"/>
          <w:rtl/>
        </w:rPr>
        <w:t>הדבר אברהם</w:t>
      </w:r>
      <w:r w:rsidRPr="00394B7E">
        <w:rPr>
          <w:rStyle w:val="aff9"/>
          <w:rFonts w:hint="cs"/>
          <w:vanish/>
          <w:rtl/>
        </w:rPr>
        <w:t>-</w:t>
      </w:r>
      <w:r w:rsidRPr="007A72D8">
        <w:rPr>
          <w:rStyle w:val="af"/>
          <w:rFonts w:hint="cs"/>
          <w:rtl/>
        </w:rPr>
        <w:t xml:space="preserve"> את קושית </w:t>
      </w:r>
      <w:r w:rsidRPr="00394B7E">
        <w:rPr>
          <w:rStyle w:val="aff9"/>
          <w:rFonts w:hint="cs"/>
          <w:vanish/>
          <w:rtl/>
        </w:rPr>
        <w:t>-</w:t>
      </w:r>
      <w:r w:rsidRPr="00394B7E">
        <w:rPr>
          <w:rStyle w:val="aff9"/>
          <w:rFonts w:hint="cs"/>
          <w:rtl/>
        </w:rPr>
        <w:t>המג"א</w:t>
      </w:r>
      <w:r w:rsidRPr="00394B7E">
        <w:rPr>
          <w:rStyle w:val="aff9"/>
          <w:rFonts w:hint="cs"/>
          <w:vanish/>
          <w:rtl/>
        </w:rPr>
        <w:t>-</w:t>
      </w:r>
      <w:r w:rsidRPr="007A72D8">
        <w:rPr>
          <w:rStyle w:val="af"/>
          <w:rFonts w:hint="cs"/>
          <w:rtl/>
        </w:rPr>
        <w:t xml:space="preserve"> </w:t>
      </w:r>
      <w:r>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Ref135385845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מב)</w:t>
      </w:r>
      <w:r>
        <w:rPr>
          <w:rStyle w:val="aff0"/>
          <w:rtl/>
        </w:rPr>
        <w:fldChar w:fldCharType="end"/>
      </w:r>
      <w:r>
        <w:rPr>
          <w:rStyle w:val="aff0"/>
          <w:rFonts w:hint="cs"/>
          <w:rtl/>
        </w:rPr>
        <w:t xml:space="preserve"> </w:t>
      </w:r>
      <w:r w:rsidRPr="007A72D8">
        <w:rPr>
          <w:rStyle w:val="af"/>
          <w:rFonts w:hint="cs"/>
          <w:rtl/>
        </w:rPr>
        <w:t>מהא דאין איסור תולש בעשבים יבשים, דהם כאילן דכולו יבש ואינם כמחוברים]</w:t>
      </w:r>
      <w:r w:rsidRPr="00CD1359">
        <w:rPr>
          <w:rStyle w:val="af"/>
          <w:rFonts w:hint="cs"/>
          <w:rtl/>
        </w:rPr>
        <w:t>.</w:t>
      </w:r>
      <w:bookmarkEnd w:id="1806"/>
      <w:bookmarkEnd w:id="1807"/>
    </w:p>
    <w:p w14:paraId="337170BE" w14:textId="77777777" w:rsidR="000426DE" w:rsidRPr="00747170" w:rsidRDefault="000426DE" w:rsidP="00747170">
      <w:pPr>
        <w:pStyle w:val="a2"/>
        <w:rPr>
          <w:rtl/>
        </w:rPr>
      </w:pPr>
      <w:r w:rsidRPr="00747170">
        <w:rPr>
          <w:rtl/>
        </w:rPr>
        <w:lastRenderedPageBreak/>
        <w:t xml:space="preserve">אך עדיין יקשה למה באמת חשבינן לתאנים שצמקו כמחוברין לענין שבת וחייב ואילן שיבש חשוב כתלוש ופטור אף על גב דשניהם יבשים הן ומאי שנא הא מהא. ולחפץ זה נברר תחילה דעת הרמב"ם ז"ל ואח"כ נבאר שחילוק גדול יש ביניהם והכל מתיישב על מכונו: </w:t>
      </w:r>
    </w:p>
    <w:p w14:paraId="21FEF228" w14:textId="77777777" w:rsidR="000426DE" w:rsidRPr="00D578AC" w:rsidRDefault="000426DE" w:rsidP="00747170">
      <w:pPr>
        <w:pStyle w:val="afffff5"/>
        <w:rPr>
          <w:rtl/>
        </w:rPr>
      </w:pPr>
      <w:r w:rsidRPr="00D578AC">
        <w:rPr>
          <w:rtl/>
        </w:rPr>
        <w:t>[טו] והנה הרמב"ם ז"ל הביא רק מימרא דשמואל דתאנים שיבשו הוי מחוברין ולא הביא החילוק שבין זה לאילן לענין שבת דאילן היבש הוי תלוש, וכן לא הביא גם בתאנים גופא דעד כאן לא חשיבי מחוברין אלא יבשו הן אבל יבשו הן ועוקציהן הוו תלושין כמ"ש רש"י בחולין שם וז"ל שצמקו באיביהן חייב חטאת אם לא יבשו עוקציהן כו' וכן להלן אי דיבשו הן ועוקציהן דאף לענין שבת תלושין הן פשיטא כו', וכ"כ התוס' שבת שם (דף ק"נ) וז"ל וכן משמע בכל הסוגיא דיבשו הן ועוקציהן מטמא טומאת אוכלין ואין דינו כלל כמחובר עכ"ל, כוונתם דאף לענין שבת דינו כתלוש במאי דאיירי ביה התוס'. וראיתי בס' מנחת חינוך שכתב דמוכח כדבריהם מהא דקאמר הש"ס בחולין ירקות שצמקו באיביהם כגון הכרוב והדלעת אין מטמאין טומאת אוכלין כו' היכי דמי אי דיבשו הן ועוקציהן פשיטא, ומדקאמר פשיטא משמע דאף לענין שבת הוי בזה כתלושין וכמ"ש רש"י דאי לענין שבת הוי מחוברין מאי פשיטא כ"כ לענין טומאה והרי אדרבא בשביל זה הו"ל להשמיענו דאע"ג דלענין שבת הוי מחוברין לענין טומאה תלושין נינהו. איך שיהיה קשה שהרמב"ם ז"ל לא חילק בתאנים בין יבשו הן ובין הן ועוקציהן. ולענין אילן מה שלא הביאו הרמב"ם ראיתי למי שכתב שרמזה בפ"ב מהלכות טומ"א (הלכה ג' וד') שכתב ירקות שיבשו באיביהן כו' אינן מתטמאין טומאת אוכלין כו' אילן שנפשח ובו פירות הרי הן כתלושין וכן אם יבש האילן ובו פירות הרי הן כתלושין, שינה בלשונו שבירקות שיבשו לא קאמר אלא שאינן מטמאין טומ"א ולא כתב דהוי כתלושין אבל באילן שיבש כתב דהוי כתלושין והיינו דלכל מילי הוי כתלושין אפילו לענין שבת. אך המג"א (סי' של"ו סק"א) תפס שדעת הרמב"ם דביבש האילן נמי שייך תלישה והקשה מעירובין, ובס' מחצית השקל כתב דאין קושיא על הרמב"ם מעירובין דאין הרמב"ם מפרש להא דקאמר הש"ס והא קנתרי פירי כפירש"י שהוא משום גזירה דלח אלא משום דביבש גופיה איכא איסור תלישה וכמו שפירשו התוס' בשבת שם וז"ל והא דפריך בפרק המוצא תפילין אאילן יבש והא קנתרי פירי משמע שיש ביבש איסור תלישה אומר רבי דמיירי התם ביבשו הן ולא עוקציהן [הרי שהתוס' מפרשי דאיסור התלישה הוא משום יבש גופיה אלא שהוסיפו דמיירי ביבשו הן ולא עוקציהן והרמב"ם לא נחית לזה, ודבריהם באמת תמוהים דהתם מיירי באילן ולא בפירות ומה זה שייך לעוקציהן] ולפי"ז שיטת הרמב"ם היא דאילן יבש הוי מחובר. אבל לענ"ד א"א לומר כהבנת המג"א, דבירושלמי ביצה (פ"ה הלכה ב') גרסינן תני אין עולין באילן בין לח בין יבש, ניחא לח יבש כך אנו אומרין אסור לדוש ע"ג זמורה בשבת אלא כר"מ דר"מ אמר גפן שיבשה אסורה ואינה מקודשת דברי הכל אסרו אילן יבש מפני אילן לח, הרי להדיא דהירושלמי מדמי אילן יבש לזמורה תלושה ומוכח דיבש האילן הוי תלוש:</w:t>
      </w:r>
    </w:p>
    <w:p w14:paraId="4C9CA6CC" w14:textId="77777777" w:rsidR="000426DE" w:rsidRPr="00D578AC" w:rsidRDefault="000426DE" w:rsidP="00747170">
      <w:pPr>
        <w:pStyle w:val="afffff5"/>
        <w:rPr>
          <w:rtl/>
        </w:rPr>
      </w:pPr>
      <w:r w:rsidRPr="00D578AC">
        <w:rPr>
          <w:rtl/>
        </w:rPr>
        <w:t>ע"כ נ"ל דהרמב"ם נמי מודה דיבש האילן עצמו הוי תלוש מדלא כתב אלא תאנים שיבשו וכן אילן שיבשו פירותיו בו דהוו מחוברין מכלל שאם יבש כל האילן לא. ואפשר שרמז לאילן עצמו היבש בטומ"א כמ"ש. מיהו בפירות שיבשו הן ועוקציהן נראה דפליג וס"ל דהוי מחובר מדסתם את דבריו ולא פירש בד"א יבשו הן ולא עוקציהן [ואף על פי שגם אילן לא פירש שניא היא דאילן מילתא אחריתא הוא וגם רמזו בהלכות טומ"א אבל בעוקציהן הו"ל לפרש]. והא דמשמע בחולין דיבשו הן ועוקציהן הוי תלוש אפילו לענין שבת מדקאמר פשיטא כמש"ל, היינו משום דמיירי התם בירקות ככרוב ודלעת שאין להם עץ כאילן אלא עוקץ בלבד ולכן עוקץ שלהם דינו כגוף האילן וכיון שיבש הו"ל כיבש כל האילן דהוי תלוש, אבל תאנים ושאר פירות שיבשו רק עוקציהן וכל האילן נשאר לח חשיב כמחובר. ובזה מיושב מה שהקשה המג"א (סי' של"ו ס"ק י"ד) על מ"ש בשו"ע דתאנים שיבשו התולש מהן בשבת חייב דמשמע אפילו ביבשו עוקציהן וכמו שהבין בסק"א א"כ למה כתב השו"ע בס"ג דמותר לילך ע"ג עשבים בין לחים בין יבשים איזה חילוק יש לדעת השו"ע בין לחים ליבשים כיון דיבשים נמי מחוברין נינהו, (עיי' במחצה"ש בשם ע"ש דזוהי כוונת המג"א) וכתב המג"א דבעשבים כו"ע מודו דיבשים הוי כתלושין וקשה להלום מהו החילוק בין עשבים לאילן לענין חיבור, ולפמ"ש אשה"ט דלא ס"ל להשו"ע דהוי כמחוברין אלא ביבשו עוקציהן אבל יבש כל האילן הוי תלוש וא"כ עשבים יבשים דביבשו כולם הרי הם כיבש כל האילן לפיכך יש חילוק אצלם בין לחים ליבשים וכעין זה מצאתי אח"כ באליהו זוטא שעל הלבוש (אות ח'):</w:t>
      </w:r>
    </w:p>
    <w:p w14:paraId="30B7B7C7" w14:textId="77777777" w:rsidR="000426DE" w:rsidRDefault="000426DE" w:rsidP="000426DE">
      <w:pPr>
        <w:pStyle w:val="afffff7"/>
      </w:pPr>
      <w:bookmarkStart w:id="1808" w:name="_Toc135513770"/>
      <w:bookmarkStart w:id="1809" w:name="_Hlk134698791"/>
      <w:bookmarkStart w:id="1810" w:name="_Toc163505690"/>
      <w:r>
        <w:rPr>
          <w:rFonts w:hint="cs"/>
          <w:rtl/>
        </w:rPr>
        <w:t xml:space="preserve">דבר אברהם ח"א סי' כ"ד אות ט"ו ד"ה </w:t>
      </w:r>
      <w:r w:rsidRPr="00745C2E">
        <w:rPr>
          <w:rtl/>
        </w:rPr>
        <w:t>אבל דעת</w:t>
      </w:r>
      <w:bookmarkEnd w:id="1808"/>
      <w:bookmarkEnd w:id="1810"/>
    </w:p>
    <w:p w14:paraId="131214B4" w14:textId="77777777" w:rsidR="000426DE" w:rsidRDefault="000426DE" w:rsidP="000426DE">
      <w:pPr>
        <w:pStyle w:val="a7"/>
        <w:rPr>
          <w:rtl/>
        </w:rPr>
      </w:pPr>
      <w:bookmarkStart w:id="1811" w:name="_Toc139316469"/>
      <w:r>
        <w:rPr>
          <w:rFonts w:hint="cs"/>
          <w:rtl/>
        </w:rPr>
        <w:t>בי' הדב"א בראב"ד דאף אילן יבש כתלוש וק' מהירושלמי ועוד מ"ש מפירות ועוקציהן דכמחובר</w:t>
      </w:r>
      <w:bookmarkEnd w:id="1811"/>
    </w:p>
    <w:p w14:paraId="37B0F4D7" w14:textId="34ECA4E5" w:rsidR="000426DE" w:rsidRPr="00B677BA" w:rsidRDefault="000426DE" w:rsidP="00BC7DC8">
      <w:pPr>
        <w:pStyle w:val="a3"/>
        <w:rPr>
          <w:rtl/>
        </w:rPr>
      </w:pPr>
      <w:bookmarkStart w:id="1812" w:name="_Ref134702196"/>
      <w:r>
        <w:rPr>
          <w:rFonts w:hint="cs"/>
          <w:rtl/>
        </w:rPr>
        <w:t xml:space="preserve">אך כתב </w:t>
      </w:r>
      <w:r w:rsidRPr="0021500D">
        <w:rPr>
          <w:rStyle w:val="aff4"/>
          <w:rFonts w:hint="cs"/>
          <w:vanish/>
          <w:rtl/>
        </w:rPr>
        <w:t>-</w:t>
      </w:r>
      <w:r w:rsidRPr="00894DA6">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Ref134702196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קיז)</w:t>
      </w:r>
      <w:r w:rsidRPr="00B53404">
        <w:rPr>
          <w:rStyle w:val="aff4"/>
          <w:vanish/>
          <w:rtl/>
        </w:rPr>
        <w:fldChar w:fldCharType="end"/>
      </w:r>
      <w:r w:rsidRPr="00B53404">
        <w:rPr>
          <w:rStyle w:val="aff4"/>
          <w:rFonts w:hint="cs"/>
          <w:vanish/>
          <w:rtl/>
        </w:rPr>
        <w:t xml:space="preserve"> &gt;</w:t>
      </w:r>
      <w:r w:rsidRPr="00894DA6">
        <w:rPr>
          <w:rStyle w:val="aff4"/>
          <w:rFonts w:hint="cs"/>
          <w:rtl/>
        </w:rPr>
        <w:t>דבר אברהם</w:t>
      </w:r>
      <w:r w:rsidRPr="0021500D">
        <w:rPr>
          <w:rStyle w:val="aff4"/>
          <w:rFonts w:hint="cs"/>
          <w:vanish/>
          <w:rtl/>
        </w:rPr>
        <w:t>-</w:t>
      </w:r>
      <w:r>
        <w:rPr>
          <w:rFonts w:hint="cs"/>
          <w:rtl/>
        </w:rPr>
        <w:t xml:space="preserve"> </w:t>
      </w:r>
      <w:r w:rsidRPr="00FB451D">
        <w:rPr>
          <w:rStyle w:val="af2"/>
          <w:rFonts w:eastAsia="Guttman Hodes" w:hint="cs"/>
          <w:rtl/>
        </w:rPr>
        <w:t>(ח"א סי' כ"ד אות ט"ו ד"ה אבל דעת)</w:t>
      </w:r>
      <w:r w:rsidRPr="0021500D">
        <w:rPr>
          <w:rFonts w:hint="cs"/>
          <w:vanish/>
          <w:rtl/>
        </w:rPr>
        <w:t>=</w:t>
      </w:r>
      <w:r>
        <w:rPr>
          <w:rFonts w:hint="cs"/>
          <w:rtl/>
        </w:rPr>
        <w:t xml:space="preserve"> דמדברי </w:t>
      </w:r>
      <w:r w:rsidRPr="0021500D">
        <w:rPr>
          <w:rStyle w:val="aff4"/>
          <w:rFonts w:hint="cs"/>
          <w:vanish/>
          <w:rtl/>
        </w:rPr>
        <w:t>-</w:t>
      </w:r>
      <w:r w:rsidRPr="00894DA6">
        <w:rPr>
          <w:rStyle w:val="aff4"/>
          <w:rFonts w:hint="cs"/>
          <w:rtl/>
        </w:rPr>
        <w:t>הראב"ד</w:t>
      </w:r>
      <w:r w:rsidRPr="0021500D">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Ref134701029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לה)</w:t>
      </w:r>
      <w:r>
        <w:rPr>
          <w:rStyle w:val="af2"/>
          <w:rFonts w:eastAsia="Guttman Hodes"/>
          <w:rtl/>
        </w:rPr>
        <w:fldChar w:fldCharType="end"/>
      </w:r>
      <w:r>
        <w:rPr>
          <w:rFonts w:hint="cs"/>
          <w:rtl/>
        </w:rPr>
        <w:t xml:space="preserve"> מבואר דס"ל דאף כשכל האילן יבש הוא כמחובר, וא"כ יש בו איסור תולש בשבת, והקשה </w:t>
      </w:r>
      <w:r w:rsidRPr="0021500D">
        <w:rPr>
          <w:rStyle w:val="aff4"/>
          <w:rFonts w:hint="cs"/>
          <w:vanish/>
          <w:rtl/>
        </w:rPr>
        <w:t>-</w:t>
      </w:r>
      <w:r w:rsidRPr="00894DA6">
        <w:rPr>
          <w:rStyle w:val="aff4"/>
          <w:rFonts w:hint="cs"/>
          <w:rtl/>
        </w:rPr>
        <w:t>הדבר אברהם</w:t>
      </w:r>
      <w:r w:rsidRPr="0021500D">
        <w:rPr>
          <w:rStyle w:val="aff4"/>
          <w:rFonts w:hint="cs"/>
          <w:vanish/>
          <w:rtl/>
        </w:rPr>
        <w:t>-</w:t>
      </w:r>
      <w:r>
        <w:rPr>
          <w:rFonts w:hint="cs"/>
          <w:rtl/>
        </w:rPr>
        <w:t xml:space="preserve"> דהא </w:t>
      </w:r>
      <w:r w:rsidRPr="00821C66">
        <w:rPr>
          <w:rtl/>
        </w:rPr>
        <w:t xml:space="preserve">מוכח בירושלמי בביצה </w:t>
      </w:r>
      <w:r w:rsidRPr="00FB451D">
        <w:rPr>
          <w:rStyle w:val="af2"/>
          <w:rFonts w:eastAsia="Guttman Hodes"/>
          <w:rtl/>
        </w:rPr>
        <w:t>(פ"ה ה"ב, כ.)</w:t>
      </w:r>
      <w:r w:rsidRPr="00821C66">
        <w:rPr>
          <w:rtl/>
        </w:rPr>
        <w:t xml:space="preserve"> דאין איסור תולש באילן יבש,</w:t>
      </w:r>
      <w:r>
        <w:rPr>
          <w:rFonts w:hint="cs"/>
          <w:rtl/>
        </w:rPr>
        <w:t xml:space="preserve"> ועוד הקשה </w:t>
      </w:r>
      <w:r w:rsidRPr="0021500D">
        <w:rPr>
          <w:rStyle w:val="aff4"/>
          <w:rFonts w:hint="cs"/>
          <w:vanish/>
          <w:rtl/>
        </w:rPr>
        <w:t>-</w:t>
      </w:r>
      <w:r w:rsidRPr="00894DA6">
        <w:rPr>
          <w:rStyle w:val="aff4"/>
          <w:rFonts w:hint="cs"/>
          <w:rtl/>
        </w:rPr>
        <w:t>ה</w:t>
      </w:r>
      <w:r w:rsidRPr="00B53404">
        <w:rPr>
          <w:rStyle w:val="aff4"/>
          <w:rFonts w:hint="cs"/>
          <w:vanish/>
          <w:rtl/>
        </w:rPr>
        <w:t>&lt; &gt;</w:t>
      </w:r>
      <w:r w:rsidRPr="00894DA6">
        <w:rPr>
          <w:rStyle w:val="aff4"/>
          <w:rFonts w:hint="cs"/>
          <w:rtl/>
        </w:rPr>
        <w:t>דבר אברהם</w:t>
      </w:r>
      <w:r w:rsidRPr="0021500D">
        <w:rPr>
          <w:rStyle w:val="aff4"/>
          <w:rFonts w:hint="cs"/>
          <w:vanish/>
          <w:rtl/>
        </w:rPr>
        <w:t>-</w:t>
      </w:r>
      <w:r>
        <w:rPr>
          <w:rFonts w:hint="cs"/>
          <w:rtl/>
        </w:rPr>
        <w:t xml:space="preserve"> </w:t>
      </w:r>
      <w:r w:rsidRPr="00FB451D">
        <w:rPr>
          <w:rStyle w:val="af2"/>
          <w:rFonts w:eastAsia="Guttman Hodes" w:hint="cs"/>
          <w:rtl/>
        </w:rPr>
        <w:t xml:space="preserve">(ח"א סי' כ"ד אות ט"ז ד"ה </w:t>
      </w:r>
      <w:r w:rsidRPr="00FB451D">
        <w:rPr>
          <w:rStyle w:val="af2"/>
          <w:rFonts w:eastAsia="Guttman Hodes"/>
          <w:rtl/>
        </w:rPr>
        <w:t>ומעתה</w:t>
      </w:r>
      <w:r w:rsidRPr="00FB451D">
        <w:rPr>
          <w:rStyle w:val="af2"/>
          <w:rFonts w:eastAsia="Guttman Hodes" w:hint="cs"/>
          <w:rtl/>
        </w:rPr>
        <w:t>)</w:t>
      </w:r>
      <w:r w:rsidRPr="0021500D">
        <w:rPr>
          <w:rFonts w:hint="cs"/>
          <w:vanish/>
          <w:rtl/>
        </w:rPr>
        <w:t>=</w:t>
      </w:r>
      <w:r>
        <w:rPr>
          <w:rFonts w:hint="cs"/>
          <w:rtl/>
        </w:rPr>
        <w:t xml:space="preserve"> על </w:t>
      </w:r>
      <w:r w:rsidRPr="0021500D">
        <w:rPr>
          <w:rStyle w:val="aff4"/>
          <w:rFonts w:hint="cs"/>
          <w:vanish/>
          <w:rtl/>
        </w:rPr>
        <w:t>-</w:t>
      </w:r>
      <w:r w:rsidRPr="00894DA6">
        <w:rPr>
          <w:rStyle w:val="aff4"/>
          <w:rFonts w:hint="cs"/>
          <w:rtl/>
        </w:rPr>
        <w:t>הראב"ד</w:t>
      </w:r>
      <w:r w:rsidRPr="0021500D">
        <w:rPr>
          <w:rStyle w:val="aff4"/>
          <w:rFonts w:hint="cs"/>
          <w:vanish/>
          <w:rtl/>
        </w:rPr>
        <w:t>-</w:t>
      </w:r>
      <w:r>
        <w:rPr>
          <w:rFonts w:hint="cs"/>
          <w:rtl/>
        </w:rPr>
        <w:t xml:space="preserve"> דמה החילוק בין אילן יבש דהוא כתלוש, לבין תאנים שיבשו אף עם עוקציהן, דהם כמחוברים.</w:t>
      </w:r>
      <w:bookmarkEnd w:id="1812"/>
    </w:p>
    <w:bookmarkEnd w:id="1809"/>
    <w:p w14:paraId="1AAD9F78" w14:textId="77777777" w:rsidR="000426DE" w:rsidRPr="00747170" w:rsidRDefault="000426DE" w:rsidP="00747170">
      <w:pPr>
        <w:pStyle w:val="a2"/>
        <w:rPr>
          <w:rtl/>
        </w:rPr>
      </w:pPr>
      <w:r w:rsidRPr="00747170">
        <w:rPr>
          <w:rtl/>
        </w:rPr>
        <w:t xml:space="preserve">אבל דעת הראב"ד (פ"ב מהלכות טומ"א ה"ד) נראה דאפילו יבש כל האילן עדיין הוי מחובר, דעל מה שכתב הרמב"ם אם יבש האילן ובו פירות הרי הן כתלושין השיג עליו וז"ל א"א אין דבר זה לא במשנה ולא בתוספתא ולא בגמרא דחולין אבל אם יבש ובו פירות במחובר הרי הן כמחוברין עכ"ל. וצ"ע מירושלמי ביצה שהבאנו דמשמע דהוי תלוש: </w:t>
      </w:r>
    </w:p>
    <w:p w14:paraId="11CB7D63" w14:textId="1A679167" w:rsidR="000426DE" w:rsidRDefault="000426DE" w:rsidP="000426DE">
      <w:pPr>
        <w:pStyle w:val="afffff7"/>
      </w:pPr>
      <w:bookmarkStart w:id="1813" w:name="_Toc135513771"/>
      <w:bookmarkStart w:id="1814" w:name="_Toc163505691"/>
      <w:r>
        <w:rPr>
          <w:rFonts w:hint="cs"/>
          <w:rtl/>
        </w:rPr>
        <w:t xml:space="preserve">דבר אברהם ח"א סי' כ"ד אות </w:t>
      </w:r>
      <w:r w:rsidRPr="001E7CC0">
        <w:rPr>
          <w:rtl/>
        </w:rPr>
        <w:t>ט"ז ד"ה ומעתה</w:t>
      </w:r>
      <w:bookmarkEnd w:id="1813"/>
      <w:bookmarkEnd w:id="1814"/>
    </w:p>
    <w:p w14:paraId="4695FAAF" w14:textId="77777777" w:rsidR="000426DE" w:rsidRPr="00D578AC" w:rsidRDefault="000426DE" w:rsidP="00747170">
      <w:pPr>
        <w:pStyle w:val="afffff5"/>
        <w:rPr>
          <w:rtl/>
        </w:rPr>
      </w:pPr>
      <w:r w:rsidRPr="00D578AC">
        <w:rPr>
          <w:rtl/>
        </w:rPr>
        <w:t>[טז] ומעתה צריך לבאר דעת הסוברים דיבש האילן הוי תלוש מה בין זה לבין תאנים שיבשו אפילו עם עוקציהן דהוי מחובר. ונ"ל דחילוקו של דבר פשוט.</w:t>
      </w:r>
    </w:p>
    <w:p w14:paraId="02BEDC80" w14:textId="5A4F71D4" w:rsidR="000426DE" w:rsidRDefault="000426DE" w:rsidP="000426DE">
      <w:pPr>
        <w:pStyle w:val="a7"/>
        <w:rPr>
          <w:rtl/>
        </w:rPr>
      </w:pPr>
      <w:bookmarkStart w:id="1815" w:name="_Toc139316470"/>
      <w:r>
        <w:rPr>
          <w:rFonts w:hint="cs"/>
          <w:rtl/>
        </w:rPr>
        <w:t>בי' הדב"א דהאילן אינו חתיכה א' עם הקרקע והוא מחובר לקרקע רק כשיונק ממנה ולא ביבש</w:t>
      </w:r>
      <w:bookmarkEnd w:id="1815"/>
    </w:p>
    <w:p w14:paraId="6F1DD491" w14:textId="77777777" w:rsidR="000426DE" w:rsidRDefault="000426DE" w:rsidP="00BC7DC8">
      <w:pPr>
        <w:pStyle w:val="a3"/>
      </w:pPr>
      <w:r>
        <w:rPr>
          <w:rFonts w:hint="cs"/>
          <w:rtl/>
        </w:rPr>
        <w:t xml:space="preserve">וביאר </w:t>
      </w:r>
      <w:r w:rsidRPr="0021500D">
        <w:rPr>
          <w:rStyle w:val="aff4"/>
          <w:rFonts w:hint="cs"/>
          <w:vanish/>
          <w:rtl/>
        </w:rPr>
        <w:t>-</w:t>
      </w:r>
      <w:r w:rsidRPr="00894DA6">
        <w:rPr>
          <w:rStyle w:val="aff4"/>
          <w:rFonts w:hint="cs"/>
          <w:rtl/>
        </w:rPr>
        <w:t>הדבר אברהם</w:t>
      </w:r>
      <w:r w:rsidRPr="0021500D">
        <w:rPr>
          <w:rStyle w:val="aff4"/>
          <w:rFonts w:hint="cs"/>
          <w:vanish/>
          <w:rtl/>
        </w:rPr>
        <w:t>-</w:t>
      </w:r>
      <w:r>
        <w:rPr>
          <w:rFonts w:hint="cs"/>
          <w:rtl/>
        </w:rPr>
        <w:t xml:space="preserve"> בדעת </w:t>
      </w:r>
      <w:r w:rsidRPr="0021500D">
        <w:rPr>
          <w:rStyle w:val="aff4"/>
          <w:rFonts w:hint="cs"/>
          <w:vanish/>
          <w:rtl/>
        </w:rPr>
        <w:t>-</w:t>
      </w:r>
      <w:r w:rsidRPr="00894DA6">
        <w:rPr>
          <w:rStyle w:val="aff4"/>
          <w:rFonts w:hint="cs"/>
          <w:rtl/>
        </w:rPr>
        <w:t>הראב"ד</w:t>
      </w:r>
      <w:r w:rsidRPr="0021500D">
        <w:rPr>
          <w:rStyle w:val="aff4"/>
          <w:rFonts w:hint="cs"/>
          <w:vanish/>
          <w:rtl/>
        </w:rPr>
        <w:t>-</w:t>
      </w:r>
      <w:r>
        <w:rPr>
          <w:rFonts w:hint="cs"/>
          <w:rtl/>
        </w:rPr>
        <w:t xml:space="preserve"> דיש ב' מיני חיבור, הא' הוא דבר שמחובר מצד עצמו, דהוא חתיכה אחת, כב' חלקים של עץ דהם מחוברים מעצם ברייתן, והב' הוא אילנות שהשרישו בקרקע, דאף שהאילן אינו חתיכה אחת עם הקרקע כלל, מ"מ ע"י ההשרשה והיניקה נעשה האילן כמחובר לקרקע, וא"כ בפירות שעל האילן יש את ב' מיני החיבור, דהפירות מחוברים לאילן עצמו מצד עצמם, דהוא חתיכה אחת מעצם ברייתה, והם חשיבי כמחוברים לקרקע ע"י היניקה שהם יונקים מהקרקע דרך האילן, וא"כ כשיבש כל האילן, ודאי דהפירות לא חשיבי כמחוברים, דאעפ"י דהם חתיכה אחת עם האילן, מ"מ האילן אינו חתיכה אחת עם הקרקע, וכל שפסקה יניקתו מהקרקע אינו מחובר לה, וממילא גם הפירות אינם מחוברים.</w:t>
      </w:r>
    </w:p>
    <w:p w14:paraId="6670B61D" w14:textId="77777777" w:rsidR="000426DE" w:rsidRPr="00747170" w:rsidRDefault="000426DE" w:rsidP="00747170">
      <w:pPr>
        <w:pStyle w:val="a2"/>
      </w:pPr>
      <w:bookmarkStart w:id="1816" w:name="_Toc139316471"/>
      <w:r w:rsidRPr="00747170">
        <w:rPr>
          <w:rtl/>
        </w:rPr>
        <w:t>ונ"ל דחילוקו של דבר פשוט. דהנה יש שני מיני חיבור א) מה שהוא מחובר גמור מטבעו כגון חיבור של חלקי העץ זה לזה שהם מחוברים לפי שהם חתיכה אחת מטבעה ומברייתה, ב) חיבור הבא ע"י השרשה בקרקע שאין הקרקע והעץ מחוברים מטבעם לחתיכה אחת אלא דההשרשה היא דמשויא להו כמחוברין. ויש חילוק בין שני מיני החיבורים אלו לענין יבש, דחתיכת עץ וכדומה אף על פי שיבשה ואין בה ליח מ"מ כל חלקיה מחוברים הם זל"ז לפי שהם חיבור גמור מטבע ממש דחתיכה אחת הם ואין חיבורם תלוי ביניקה זה מזה, אבל אילן המחובר לקרקע שיבש נפסק חיבורו שהיה לו אל הקרקע, לפי שגם בשעה שהוא לח ומושרש אינו חיבור גמור עם הקרקע דאילן וקרקע שני דברים נפרדים הם ולעולם אינם נעשים יחד כחתיכה אחת ממש, אלא דכל זמן שהוא לח חשוב מחובר לקרקע משום דאשריש ויונק מן הקרקע, והלכך ביבש שאינו יונק עוד ממנה ואין לו שום שיתוף עם הקרקע חזרו להיות שני דברים נפרדים שאין ביניהם חיבור ודמי לעץ הטמון במערה דודאי תלוש הוא. וקרוב להסבר זה יוצא מתוס' גיטין (דף כ"א ע"ב) במה שחילקו בין גט המעורה בקלף לקורה הנעוצה בארץ, ומבואר ביותר באור זרוע הלכות גיטין (סי' תשי"ח) וז"ל ונראים הדברים דחיבור גט המחובר בקלף גדול הוי חיבור טפי מחיבור עפר עיר הנדחת כו' וכן מוכח בפ' נגמר הדין עץ שומע אני בין בתלוש בין במחובר ת"ל כו' ר"י אומר מי שאינו מחוסר אלא קבורה יצא זו כו' הרי לר"י אף על גב דהאי קורה אינה מגוף הקרקע אלא שנעוצה בקרקע קרי לה מחוסר תלישה כ"ש קלף שכולו גוף א' שקרוי מחוסר קציצה ואפילו רבנן לא פליגי אלא משום דהאי קורה אינה מגוף הקרקע כו' אבל בקלף שהכל גוף אחד הוא מודו עכ"ל והוא קרוב למש"כ. והנה לפי הנ"ל מתבאר דבפירות שבאילן לח דחשיבי מחוברין לקרקע יש לדון דין חיבורם משני פנים, א) מצד חיבורם לקרקע מצד עצמם לפי שע"י אמצעות האילן יונקים גם הם מן הקרקע וכל ליונק מן הקרקע הרי הוא מחובר אליה, ב) מצד חיבורם להאילן שהם מחוברין בטבע כחתיכה אחת וכיון שהאילן מחובר לקרקע ממילא גם הם מחוברין. והשתא אשה"ט דבאילן היבש שבו פירות הנה הפירות עצמם מחוברין לאילן מצד החיבור הגמור שבטבע אבל האילן עצמו אינו מחובר עוד להקרקע לפי שאינו יונק ממנה וממילא גם הפירות הוי תלושין</w:t>
      </w:r>
      <w:r w:rsidRPr="00747170">
        <w:rPr>
          <w:rFonts w:hint="cs"/>
          <w:rtl/>
        </w:rPr>
        <w:t>.</w:t>
      </w:r>
    </w:p>
    <w:p w14:paraId="0D07559F" w14:textId="1A0BD0FB" w:rsidR="000426DE" w:rsidRDefault="000426DE" w:rsidP="000426DE">
      <w:pPr>
        <w:pStyle w:val="a7"/>
        <w:rPr>
          <w:rtl/>
        </w:rPr>
      </w:pPr>
      <w:r>
        <w:rPr>
          <w:rFonts w:hint="cs"/>
          <w:rtl/>
        </w:rPr>
        <w:t>בי' הדב"א דהפירות חתיכה א' עם האילן דהוא מחובר לקרקע והם כמחוברים אף דלא יונקים</w:t>
      </w:r>
      <w:bookmarkEnd w:id="1816"/>
    </w:p>
    <w:p w14:paraId="6D6C7B7E" w14:textId="77777777" w:rsidR="000426DE" w:rsidRPr="007877EC" w:rsidRDefault="000426DE" w:rsidP="00BC7DC8">
      <w:pPr>
        <w:pStyle w:val="a3"/>
        <w:rPr>
          <w:rtl/>
        </w:rPr>
      </w:pPr>
      <w:r>
        <w:rPr>
          <w:rFonts w:hint="cs"/>
          <w:rtl/>
        </w:rPr>
        <w:t xml:space="preserve">אבל בתאנים שיבשו עם עוקציהן, ביאר </w:t>
      </w:r>
      <w:r w:rsidRPr="0021500D">
        <w:rPr>
          <w:rStyle w:val="aff4"/>
          <w:rFonts w:hint="cs"/>
          <w:vanish/>
          <w:rtl/>
        </w:rPr>
        <w:t>-</w:t>
      </w:r>
      <w:r w:rsidRPr="00894DA6">
        <w:rPr>
          <w:rStyle w:val="aff4"/>
          <w:rFonts w:hint="cs"/>
          <w:rtl/>
        </w:rPr>
        <w:t>הדבר אברהם</w:t>
      </w:r>
      <w:r w:rsidRPr="0021500D">
        <w:rPr>
          <w:rStyle w:val="aff4"/>
          <w:rFonts w:hint="cs"/>
          <w:vanish/>
          <w:rtl/>
        </w:rPr>
        <w:t>-</w:t>
      </w:r>
      <w:r>
        <w:rPr>
          <w:rFonts w:hint="cs"/>
          <w:rtl/>
        </w:rPr>
        <w:t xml:space="preserve"> בדעת </w:t>
      </w:r>
      <w:r w:rsidRPr="0021500D">
        <w:rPr>
          <w:rStyle w:val="aff4"/>
          <w:rFonts w:hint="cs"/>
          <w:vanish/>
          <w:rtl/>
        </w:rPr>
        <w:t>-</w:t>
      </w:r>
      <w:r w:rsidRPr="00894DA6">
        <w:rPr>
          <w:rStyle w:val="aff4"/>
          <w:rFonts w:hint="cs"/>
          <w:rtl/>
        </w:rPr>
        <w:t>הראב"ד</w:t>
      </w:r>
      <w:r w:rsidRPr="0021500D">
        <w:rPr>
          <w:rStyle w:val="aff4"/>
          <w:rFonts w:hint="cs"/>
          <w:vanish/>
          <w:rtl/>
        </w:rPr>
        <w:t>-</w:t>
      </w:r>
      <w:r>
        <w:rPr>
          <w:rFonts w:hint="cs"/>
          <w:rtl/>
        </w:rPr>
        <w:t xml:space="preserve"> דאף דאין להם חיבור לקרקע עצמה מחמת שאינם יונקים ממנה, מ"מ כיון שהם חתיכה אחת עם האילן, והאילן עצמו אינו יבש לגמרי והוא יונק מהקרקע, א"כ האילן חשיב מחובר לקרקע, והם מחוברים לאילן בחתיכה אחת, וממילא חשיבי כמחוברים ולכן התולש מהם בשבת חייב.</w:t>
      </w:r>
    </w:p>
    <w:p w14:paraId="75CA7C98" w14:textId="77777777" w:rsidR="000426DE" w:rsidRPr="00747170" w:rsidRDefault="000426DE" w:rsidP="00747170">
      <w:pPr>
        <w:pStyle w:val="a2"/>
        <w:rPr>
          <w:rtl/>
        </w:rPr>
      </w:pPr>
      <w:r w:rsidRPr="00747170">
        <w:rPr>
          <w:rtl/>
        </w:rPr>
        <w:t>משא"כ כשיבשו רק הפירות והאילן עצמו עדיין לח הנה האילן דינו כמחובר לקרקע שעדיין הוא יונק ממנה וממילא חשובין גם הפירות כמחוברים לקרקע, לפי שאין אנו דנין על חיבור הפירות אל הקרקע מצד עצמם אלא על חיבורם לאיביהן ולאילן ולגבי הכי בודאי חשיבי מחוברין לפי שיש להם חיבור גמור שהם חתיכה אחת מטבע ובזה אינו מזיק מה שאינם יונקים כמ"ש וכיון שהאילן מחובר ממילא גם הם מחוברין, ומשו"ה התולשם בשבת חייב משום קוצר. ולפי"ז אין שום נ"מ בין יבשו עוקציהן ללא יבשו דמ"מ כיון שמקצת האילן עדיין מחובר לקרקע ממילא הוי כל גופו מחובר ויותר מזה דאפילו יבש כל האילן אלא שגזעו מחליף דמבואר בעירובין שם דבגזעו מחליף לא מיקרי יבש חשיב כל האילן והפירות שבו כמחוברין, דכיון שגזעו מחליף חשיבי השרשים מיהא מחוברין וממילא גם האילן והפירות מחוברין לקרקע לפי שהם מחוברים בטבע לשרשים והוו עמהם חתיכה אחת ממש כמ"ש והוא פשוט מאד וברור לענ"ד:</w:t>
      </w:r>
    </w:p>
    <w:p w14:paraId="741ABBBE" w14:textId="0D16F3FE" w:rsidR="000426DE" w:rsidRPr="00DB0D0E" w:rsidRDefault="000426DE" w:rsidP="000426DE">
      <w:pPr>
        <w:pStyle w:val="afffff7"/>
      </w:pPr>
      <w:bookmarkStart w:id="1817" w:name="_Toc135513772"/>
      <w:bookmarkStart w:id="1818" w:name="_Toc163505692"/>
      <w:r w:rsidRPr="00DB0D0E">
        <w:rPr>
          <w:rFonts w:hint="cs"/>
          <w:rtl/>
        </w:rPr>
        <w:t xml:space="preserve">דבר אברהם ח"א סי' כ"ד אות </w:t>
      </w:r>
      <w:r w:rsidRPr="00DB0D0E">
        <w:rPr>
          <w:rtl/>
        </w:rPr>
        <w:t xml:space="preserve">ט"ז ד"ה </w:t>
      </w:r>
      <w:r>
        <w:rPr>
          <w:rFonts w:hint="cs"/>
          <w:rtl/>
        </w:rPr>
        <w:t>אך לדעת</w:t>
      </w:r>
      <w:bookmarkEnd w:id="1817"/>
      <w:bookmarkEnd w:id="1818"/>
    </w:p>
    <w:p w14:paraId="40A150D9" w14:textId="77777777" w:rsidR="000426DE" w:rsidRPr="00E54848" w:rsidRDefault="000426DE" w:rsidP="000426DE">
      <w:pPr>
        <w:pStyle w:val="a7"/>
        <w:rPr>
          <w:rtl/>
        </w:rPr>
      </w:pPr>
      <w:bookmarkStart w:id="1819" w:name="_Toc139316472"/>
      <w:r>
        <w:rPr>
          <w:rFonts w:hint="cs"/>
          <w:rtl/>
        </w:rPr>
        <w:t>בי' הדב"א ברש"י דבין תאנים ובין אילן כתלושים אך בתאנים שיבשו הוי קוצר כמו במשכן</w:t>
      </w:r>
      <w:bookmarkEnd w:id="1819"/>
      <w:r>
        <w:rPr>
          <w:rFonts w:hint="cs"/>
          <w:rtl/>
        </w:rPr>
        <w:t xml:space="preserve"> </w:t>
      </w:r>
    </w:p>
    <w:p w14:paraId="07A7732C" w14:textId="05025F47" w:rsidR="000426DE" w:rsidRPr="00F734D1" w:rsidRDefault="000426DE" w:rsidP="00BC7DC8">
      <w:pPr>
        <w:pStyle w:val="a3"/>
      </w:pPr>
      <w:bookmarkStart w:id="1820" w:name="_Ref134718935"/>
      <w:bookmarkStart w:id="1821" w:name="_Ref135404884"/>
      <w:r>
        <w:rPr>
          <w:rFonts w:hint="cs"/>
          <w:rtl/>
        </w:rPr>
        <w:t xml:space="preserve">ובדעת </w:t>
      </w:r>
      <w:r w:rsidRPr="008D113A">
        <w:rPr>
          <w:rStyle w:val="aff4"/>
          <w:rFonts w:hint="cs"/>
          <w:vanish/>
          <w:rtl/>
        </w:rPr>
        <w:t>-</w:t>
      </w:r>
      <w:r w:rsidRPr="000614F7">
        <w:rPr>
          <w:rStyle w:val="aff4"/>
          <w:rFonts w:hint="cs"/>
          <w:rtl/>
        </w:rPr>
        <w:t>רש"י</w:t>
      </w:r>
      <w:r w:rsidRPr="008D113A">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Ref135404755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כט)</w:t>
      </w:r>
      <w:r>
        <w:rPr>
          <w:rStyle w:val="af2"/>
          <w:rFonts w:eastAsia="Guttman Hodes"/>
          <w:rtl/>
        </w:rPr>
        <w:fldChar w:fldCharType="end"/>
      </w:r>
      <w:r>
        <w:rPr>
          <w:rFonts w:hint="cs"/>
          <w:rtl/>
        </w:rPr>
        <w:t xml:space="preserve"> דס"ל דתאנים שיבשו הן ועוקציהן הם כתלושים, ואין בהם איסור תולש, כתב </w:t>
      </w:r>
      <w:r w:rsidRPr="008D113A">
        <w:rPr>
          <w:rStyle w:val="aff4"/>
          <w:rFonts w:hint="cs"/>
          <w:vanish/>
          <w:rtl/>
        </w:rPr>
        <w:t>-</w:t>
      </w:r>
      <w:r w:rsidRPr="000614F7">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Ref134718935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קכ)</w:t>
      </w:r>
      <w:r w:rsidRPr="00B53404">
        <w:rPr>
          <w:rStyle w:val="aff4"/>
          <w:vanish/>
          <w:rtl/>
        </w:rPr>
        <w:fldChar w:fldCharType="end"/>
      </w:r>
      <w:r w:rsidRPr="00B53404">
        <w:rPr>
          <w:rStyle w:val="aff4"/>
          <w:rFonts w:hint="cs"/>
          <w:vanish/>
          <w:rtl/>
        </w:rPr>
        <w:t xml:space="preserve"> &gt;</w:t>
      </w:r>
      <w:r w:rsidRPr="000614F7">
        <w:rPr>
          <w:rStyle w:val="aff4"/>
          <w:rFonts w:hint="cs"/>
          <w:rtl/>
        </w:rPr>
        <w:t>דבר אברהם</w:t>
      </w:r>
      <w:r w:rsidRPr="008D113A">
        <w:rPr>
          <w:rStyle w:val="aff4"/>
          <w:rFonts w:hint="cs"/>
          <w:vanish/>
          <w:rtl/>
        </w:rPr>
        <w:t>-</w:t>
      </w:r>
      <w:r>
        <w:rPr>
          <w:rFonts w:hint="cs"/>
          <w:rtl/>
        </w:rPr>
        <w:t xml:space="preserve"> </w:t>
      </w:r>
      <w:r w:rsidRPr="00FB451D">
        <w:rPr>
          <w:rStyle w:val="af2"/>
          <w:rFonts w:eastAsia="Guttman Hodes" w:hint="cs"/>
          <w:rtl/>
        </w:rPr>
        <w:t xml:space="preserve">(ח"א סי' כ"ד אות </w:t>
      </w:r>
      <w:r w:rsidRPr="00FB451D">
        <w:rPr>
          <w:rStyle w:val="af2"/>
          <w:rFonts w:eastAsia="Guttman Hodes"/>
          <w:rtl/>
        </w:rPr>
        <w:t xml:space="preserve">ט"ז ד"ה </w:t>
      </w:r>
      <w:r w:rsidRPr="00FB451D">
        <w:rPr>
          <w:rStyle w:val="af2"/>
          <w:rFonts w:eastAsia="Guttman Hodes" w:hint="cs"/>
          <w:rtl/>
        </w:rPr>
        <w:t>אך לדעת)</w:t>
      </w:r>
      <w:r w:rsidRPr="008D113A">
        <w:rPr>
          <w:rFonts w:hint="cs"/>
          <w:vanish/>
          <w:rtl/>
        </w:rPr>
        <w:t>=</w:t>
      </w:r>
      <w:r>
        <w:rPr>
          <w:rFonts w:hint="cs"/>
          <w:rtl/>
        </w:rPr>
        <w:t xml:space="preserve"> דמשמע דס"ל </w:t>
      </w:r>
      <w:r w:rsidRPr="008D113A">
        <w:rPr>
          <w:rStyle w:val="aff4"/>
          <w:rFonts w:hint="cs"/>
          <w:vanish/>
          <w:rtl/>
        </w:rPr>
        <w:t>-</w:t>
      </w:r>
      <w:r w:rsidRPr="000614F7">
        <w:rPr>
          <w:rStyle w:val="aff4"/>
          <w:rFonts w:hint="cs"/>
          <w:rtl/>
        </w:rPr>
        <w:t>לרש"י</w:t>
      </w:r>
      <w:r w:rsidRPr="008D113A">
        <w:rPr>
          <w:rStyle w:val="aff4"/>
          <w:rFonts w:hint="cs"/>
          <w:vanish/>
          <w:rtl/>
        </w:rPr>
        <w:t>-</w:t>
      </w:r>
      <w:r>
        <w:rPr>
          <w:rFonts w:hint="cs"/>
          <w:rtl/>
        </w:rPr>
        <w:t xml:space="preserve"> דאף כשהאילן כולו לח, מ"מ אין איסור תולש בתאנים, כיון שעוקציהן ג"כ יבשין, וביאר </w:t>
      </w:r>
      <w:r w:rsidRPr="008D113A">
        <w:rPr>
          <w:rStyle w:val="aff4"/>
          <w:rFonts w:hint="cs"/>
          <w:vanish/>
          <w:rtl/>
        </w:rPr>
        <w:t>-</w:t>
      </w:r>
      <w:r w:rsidRPr="000614F7">
        <w:rPr>
          <w:rStyle w:val="aff4"/>
          <w:rFonts w:hint="cs"/>
          <w:rtl/>
        </w:rPr>
        <w:t>הדבר אברהם</w:t>
      </w:r>
      <w:r w:rsidRPr="008D113A">
        <w:rPr>
          <w:rStyle w:val="aff4"/>
          <w:rFonts w:hint="cs"/>
          <w:vanish/>
          <w:rtl/>
        </w:rPr>
        <w:t>-</w:t>
      </w:r>
      <w:bookmarkEnd w:id="1820"/>
      <w:r>
        <w:rPr>
          <w:rFonts w:hint="cs"/>
          <w:rtl/>
        </w:rPr>
        <w:t xml:space="preserve"> דלדעת </w:t>
      </w:r>
      <w:r w:rsidRPr="008D113A">
        <w:rPr>
          <w:rStyle w:val="aff4"/>
          <w:rFonts w:hint="cs"/>
          <w:vanish/>
          <w:rtl/>
        </w:rPr>
        <w:t>-</w:t>
      </w:r>
      <w:r w:rsidRPr="000614F7">
        <w:rPr>
          <w:rStyle w:val="aff4"/>
          <w:rFonts w:hint="cs"/>
          <w:rtl/>
        </w:rPr>
        <w:t>רש"י</w:t>
      </w:r>
      <w:r w:rsidRPr="008D113A">
        <w:rPr>
          <w:rStyle w:val="aff4"/>
          <w:rFonts w:hint="cs"/>
          <w:vanish/>
          <w:rtl/>
        </w:rPr>
        <w:t>-</w:t>
      </w:r>
      <w:r>
        <w:rPr>
          <w:rFonts w:hint="cs"/>
          <w:rtl/>
        </w:rPr>
        <w:t xml:space="preserve"> בין אם יבש כל האילן ובין ביבשו רק התאנים ולא יבשו עוקציהן, חשיבי כתלושים ולא כמחוברים, אך מ"מ לענין מלאכת קוצר בשבת יש איסור בתאנים שיבשו בלא עוקציהן, דאפש"ל שכך היה במשכן דסממנין שיבשו ולא יבשו איביהן, לא היו קוצרים אותם עד שיתבשלו לגמרי, וביבשו הן ואיביהן היו קוצרים </w:t>
      </w:r>
      <w:r>
        <w:rPr>
          <w:rFonts w:hint="cs"/>
          <w:rtl/>
        </w:rPr>
        <w:t xml:space="preserve">אותם וזו מלאכת קוצר, אבל לא היה במשכן קצירה באופן שיבשו גם איביהן וגם הגבעולים, </w:t>
      </w:r>
      <w:r w:rsidRPr="007A72D8">
        <w:rPr>
          <w:rStyle w:val="af"/>
          <w:rFonts w:hint="cs"/>
          <w:rtl/>
        </w:rPr>
        <w:t>[שהוא כיבש כל האילן]</w:t>
      </w:r>
      <w:r w:rsidRPr="009C1377">
        <w:rPr>
          <w:rStyle w:val="af"/>
          <w:rFonts w:hint="cs"/>
          <w:rtl/>
        </w:rPr>
        <w:t>,</w:t>
      </w:r>
      <w:r>
        <w:rPr>
          <w:rFonts w:hint="cs"/>
          <w:rtl/>
        </w:rPr>
        <w:t xml:space="preserve"> </w:t>
      </w:r>
      <w:bookmarkStart w:id="1822" w:name="_Hlk135079784"/>
      <w:r>
        <w:rPr>
          <w:rFonts w:hint="cs"/>
          <w:rtl/>
        </w:rPr>
        <w:t xml:space="preserve">והביא </w:t>
      </w:r>
      <w:r w:rsidRPr="008D113A">
        <w:rPr>
          <w:rStyle w:val="aff4"/>
          <w:rFonts w:hint="cs"/>
          <w:vanish/>
          <w:rtl/>
        </w:rPr>
        <w:t>-</w:t>
      </w:r>
      <w:r w:rsidRPr="000614F7">
        <w:rPr>
          <w:rStyle w:val="aff4"/>
          <w:rFonts w:hint="cs"/>
          <w:rtl/>
        </w:rPr>
        <w:t>הדבר אברהם</w:t>
      </w:r>
      <w:r w:rsidRPr="008D113A">
        <w:rPr>
          <w:rStyle w:val="aff4"/>
          <w:rFonts w:hint="cs"/>
          <w:vanish/>
          <w:rtl/>
        </w:rPr>
        <w:t>-</w:t>
      </w:r>
      <w:r>
        <w:rPr>
          <w:rFonts w:hint="cs"/>
          <w:rtl/>
        </w:rPr>
        <w:t xml:space="preserve"> דכעי"ז כתבו </w:t>
      </w:r>
      <w:r w:rsidRPr="008D113A">
        <w:rPr>
          <w:rStyle w:val="aff4"/>
          <w:rFonts w:hint="cs"/>
          <w:vanish/>
          <w:rtl/>
        </w:rPr>
        <w:t>-</w:t>
      </w:r>
      <w:r w:rsidRPr="000614F7">
        <w:rPr>
          <w:rStyle w:val="aff4"/>
          <w:rFonts w:hint="cs"/>
          <w:rtl/>
        </w:rPr>
        <w:t>תוס' בשבועות</w:t>
      </w:r>
      <w:r w:rsidRPr="008D113A">
        <w:rPr>
          <w:rStyle w:val="aff4"/>
          <w:rFonts w:hint="cs"/>
          <w:vanish/>
          <w:rtl/>
        </w:rPr>
        <w:t>-</w:t>
      </w:r>
      <w:r>
        <w:rPr>
          <w:rFonts w:hint="cs"/>
          <w:rtl/>
        </w:rPr>
        <w:t xml:space="preserve"> </w:t>
      </w:r>
      <w:r w:rsidRPr="00FB451D">
        <w:rPr>
          <w:rStyle w:val="af2"/>
          <w:rFonts w:eastAsia="Guttman Hodes" w:hint="cs"/>
          <w:rtl/>
        </w:rPr>
        <w:t>(מג. ד"ה כבצורות)</w:t>
      </w:r>
      <w:r>
        <w:rPr>
          <w:rFonts w:hint="cs"/>
          <w:rtl/>
        </w:rPr>
        <w:t xml:space="preserve"> דאף דבענבים העומדות ליבצר נחלקו ר"מ ורבנן אי כבצורות דמי, מ"מ לענין שבת לכו"ע אינם כבצורות אלא כמחוברות, כיון דילפינן מקצירת סממנין במשכן, דקצרו אותם לאחר שעמדו ליקצר, וכתב </w:t>
      </w:r>
      <w:r w:rsidRPr="008D113A">
        <w:rPr>
          <w:rStyle w:val="aff4"/>
          <w:rFonts w:hint="cs"/>
          <w:vanish/>
          <w:rtl/>
        </w:rPr>
        <w:t>-</w:t>
      </w:r>
      <w:r w:rsidRPr="000614F7">
        <w:rPr>
          <w:rStyle w:val="aff4"/>
          <w:rFonts w:hint="cs"/>
          <w:rtl/>
        </w:rPr>
        <w:t>הדבר אברהם</w:t>
      </w:r>
      <w:r w:rsidRPr="008D113A">
        <w:rPr>
          <w:rStyle w:val="aff4"/>
          <w:rFonts w:hint="cs"/>
          <w:vanish/>
          <w:rtl/>
        </w:rPr>
        <w:t>-</w:t>
      </w:r>
      <w:r>
        <w:rPr>
          <w:rFonts w:hint="cs"/>
          <w:rtl/>
        </w:rPr>
        <w:t xml:space="preserve"> דמבואר מדברי </w:t>
      </w:r>
      <w:r w:rsidRPr="008D113A">
        <w:rPr>
          <w:rStyle w:val="aff4"/>
          <w:rFonts w:hint="cs"/>
          <w:vanish/>
          <w:rtl/>
        </w:rPr>
        <w:t>-</w:t>
      </w:r>
      <w:r w:rsidRPr="000614F7">
        <w:rPr>
          <w:rStyle w:val="aff4"/>
          <w:rFonts w:hint="cs"/>
          <w:rtl/>
        </w:rPr>
        <w:t>התוס' בשבועות</w:t>
      </w:r>
      <w:r w:rsidRPr="008D113A">
        <w:rPr>
          <w:rStyle w:val="aff4"/>
          <w:rFonts w:hint="cs"/>
          <w:vanish/>
          <w:rtl/>
        </w:rPr>
        <w:t>-</w:t>
      </w:r>
      <w:r>
        <w:rPr>
          <w:rFonts w:hint="cs"/>
          <w:rtl/>
        </w:rPr>
        <w:t xml:space="preserve"> דאף למ"ד דכבצרות דמו, מ"מ כיון שכך הייתה מלאכת קצירה במשכן חייב על קצירה כזו בשבת, וא"כ אפש"ל דה"ה בתאנים שיבשו הן ועוקציהן</w:t>
      </w:r>
      <w:bookmarkEnd w:id="1822"/>
      <w:r>
        <w:rPr>
          <w:rFonts w:hint="cs"/>
          <w:rtl/>
        </w:rPr>
        <w:t>.</w:t>
      </w:r>
      <w:bookmarkEnd w:id="1821"/>
    </w:p>
    <w:p w14:paraId="3DFA0666" w14:textId="77777777" w:rsidR="000426DE" w:rsidRPr="00747170" w:rsidRDefault="000426DE" w:rsidP="00747170">
      <w:pPr>
        <w:pStyle w:val="a2"/>
        <w:rPr>
          <w:rtl/>
        </w:rPr>
      </w:pPr>
      <w:r w:rsidRPr="00747170">
        <w:rPr>
          <w:rtl/>
        </w:rPr>
        <w:t>אך לדעת רש"י דתאנים שיבשו הן ועוקציהן הוי כתלושין לענין שבת ומשמע אפילו כשכל האילן לח צ"ע מה בין תאנים שיבשו בלא עוקציהן שהתולשן חייב ובין יבשו גם עוקציהן [והאילן שיבש] דפטור. ואפ"ל דבאמת אין נ"מ בין תאנים שצמקו ובין יבש האילן לענין חיבור לקרקע ותרוויהו לענין מילי אחריני כתלושין דמיין, אלא דלענין שבת בלחוד חייב בתאנים שיבשו בלא עוקציהן דאפשר דקצירה כזאת היתה במשכן בסממנים כשיבשו הסממנים ולא יבשו איביהן שנתאחרו מלקוצרם כדי שיתבשלו לגמרי אבל יבשו גם איביהן וגבעוליהן לא היה, וכעין שכתבו התוס' בשבועות (דף מ"ג ע"א ד"ה כבצורות דמיין) וז"ל נראה דלענין שבת לכו"ע לאו כבצורות דמיין וכמחוברות דמו דגמר מקצירת סממנין שהיתה לאחר שעומדין ליקצר עכ"ל, הרי דאע"ג דכבצורות דמו מ"מ כיון דהוה במשכן דכוותה חייב ואולי ה"נ אפ"ל כן:</w:t>
      </w:r>
    </w:p>
    <w:p w14:paraId="3BD43F5C" w14:textId="7F0E337B" w:rsidR="000426DE" w:rsidRDefault="000426DE" w:rsidP="000426DE">
      <w:pPr>
        <w:pStyle w:val="affff5"/>
        <w:rPr>
          <w:rtl/>
        </w:rPr>
      </w:pPr>
      <w:bookmarkStart w:id="1823" w:name="_Toc139316473"/>
      <w:r>
        <w:rPr>
          <w:rFonts w:hint="cs"/>
          <w:rtl/>
        </w:rPr>
        <w:t>בדברי המאירי במעביר עציץ ע"ג קרקע</w:t>
      </w:r>
      <w:bookmarkEnd w:id="1823"/>
      <w:r w:rsidRPr="002439C9">
        <w:rPr>
          <w:vanish/>
          <w:rtl/>
        </w:rPr>
        <w:t>&lt; # =</w:t>
      </w:r>
    </w:p>
    <w:p w14:paraId="588F9120" w14:textId="77777777" w:rsidR="000426DE" w:rsidRPr="00AD5F65" w:rsidRDefault="000426DE" w:rsidP="000426DE">
      <w:pPr>
        <w:pStyle w:val="1"/>
        <w:rPr>
          <w:rtl/>
        </w:rPr>
      </w:pPr>
      <w:bookmarkStart w:id="1824" w:name="_Toc139316474"/>
      <w:r>
        <w:rPr>
          <w:rFonts w:hint="cs"/>
          <w:rtl/>
        </w:rPr>
        <w:t>בי' הדב"א במעביר עציץ אי תולש ממחובר או מפסיק יניקה</w:t>
      </w:r>
      <w:bookmarkEnd w:id="1824"/>
    </w:p>
    <w:p w14:paraId="16BF5743" w14:textId="77777777" w:rsidR="000426DE" w:rsidRDefault="000426DE" w:rsidP="000426DE">
      <w:pPr>
        <w:pStyle w:val="afffff7"/>
        <w:rPr>
          <w:rtl/>
        </w:rPr>
      </w:pPr>
      <w:bookmarkStart w:id="1825" w:name="_Toc135513773"/>
      <w:bookmarkStart w:id="1826" w:name="_Hlk135069086"/>
      <w:bookmarkStart w:id="1827" w:name="_Toc163505693"/>
      <w:r>
        <w:rPr>
          <w:rtl/>
        </w:rPr>
        <w:t>דבר אברהם ח</w:t>
      </w:r>
      <w:r>
        <w:rPr>
          <w:rFonts w:hint="cs"/>
          <w:rtl/>
        </w:rPr>
        <w:t>"</w:t>
      </w:r>
      <w:r>
        <w:rPr>
          <w:rtl/>
        </w:rPr>
        <w:t>א סי</w:t>
      </w:r>
      <w:r>
        <w:rPr>
          <w:rFonts w:hint="cs"/>
          <w:rtl/>
        </w:rPr>
        <w:t>'</w:t>
      </w:r>
      <w:r>
        <w:rPr>
          <w:rtl/>
        </w:rPr>
        <w:t xml:space="preserve"> כ</w:t>
      </w:r>
      <w:r>
        <w:rPr>
          <w:rFonts w:hint="cs"/>
          <w:rtl/>
        </w:rPr>
        <w:t>"</w:t>
      </w:r>
      <w:r>
        <w:rPr>
          <w:rtl/>
        </w:rPr>
        <w:t>ה</w:t>
      </w:r>
      <w:r>
        <w:rPr>
          <w:rFonts w:hint="cs"/>
          <w:rtl/>
        </w:rPr>
        <w:t xml:space="preserve"> אות ט' בהגה</w:t>
      </w:r>
      <w:r>
        <w:rPr>
          <w:rFonts w:cs="Guttman Hodes" w:hint="cs"/>
          <w:rtl/>
        </w:rPr>
        <w:t>"</w:t>
      </w:r>
      <w:r>
        <w:rPr>
          <w:rFonts w:hint="cs"/>
          <w:rtl/>
        </w:rPr>
        <w:t>ה</w:t>
      </w:r>
      <w:bookmarkEnd w:id="1825"/>
      <w:bookmarkEnd w:id="1827"/>
    </w:p>
    <w:p w14:paraId="458368A0" w14:textId="77777777" w:rsidR="000426DE" w:rsidRDefault="000426DE" w:rsidP="000426DE">
      <w:pPr>
        <w:pStyle w:val="a7"/>
        <w:rPr>
          <w:rtl/>
        </w:rPr>
      </w:pPr>
      <w:bookmarkStart w:id="1828" w:name="_Toc139316475"/>
      <w:bookmarkEnd w:id="1826"/>
      <w:r>
        <w:rPr>
          <w:rFonts w:hint="cs"/>
          <w:rtl/>
        </w:rPr>
        <w:t>בי' הדב"א במאירי דהזרעים כזרועים בקרקע שתחת העציץ ובמעביר אף שלא פסק היניקה קוצר</w:t>
      </w:r>
      <w:bookmarkEnd w:id="1828"/>
    </w:p>
    <w:p w14:paraId="5D51A04F" w14:textId="72E8D740" w:rsidR="000426DE" w:rsidRPr="00401F7E" w:rsidRDefault="000426DE" w:rsidP="00BC7DC8">
      <w:pPr>
        <w:pStyle w:val="a3"/>
      </w:pPr>
      <w:bookmarkStart w:id="1829" w:name="_Ref135068741"/>
      <w:bookmarkStart w:id="1830" w:name="_Ref135513140"/>
      <w:r>
        <w:rPr>
          <w:rFonts w:hint="cs"/>
          <w:rtl/>
        </w:rPr>
        <w:t xml:space="preserve">במ"ש </w:t>
      </w:r>
      <w:r w:rsidRPr="00C65D8D">
        <w:rPr>
          <w:rStyle w:val="aff4"/>
          <w:rFonts w:hint="cs"/>
          <w:vanish/>
          <w:rtl/>
        </w:rPr>
        <w:t>-</w:t>
      </w:r>
      <w:r w:rsidRPr="00C65D8D">
        <w:rPr>
          <w:rStyle w:val="aff4"/>
          <w:rFonts w:hint="cs"/>
          <w:rtl/>
        </w:rPr>
        <w:t>המאירי לקמן</w:t>
      </w:r>
      <w:r w:rsidRPr="00C65D8D">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Ref135412085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סב)</w:t>
      </w:r>
      <w:r>
        <w:rPr>
          <w:rStyle w:val="af2"/>
          <w:rFonts w:eastAsia="Guttman Hodes"/>
          <w:rtl/>
        </w:rPr>
        <w:fldChar w:fldCharType="end"/>
      </w:r>
      <w:r>
        <w:rPr>
          <w:rStyle w:val="af2"/>
          <w:rFonts w:eastAsia="Guttman Hodes" w:hint="cs"/>
          <w:rtl/>
        </w:rPr>
        <w:t xml:space="preserve"> </w:t>
      </w:r>
      <w:r>
        <w:rPr>
          <w:rFonts w:hint="cs"/>
          <w:rtl/>
        </w:rPr>
        <w:t xml:space="preserve">דאף כשמעביר עציץ נקוב ממקום למקום, הוא נקרא קוצר, וכשמניחו במקום אחר, הוא נקרא זורע, אף שהניחו במקום שיונק פחות מהיניקה שהייתה לו במקום הראשון, ואסור לשנות את העציץ ממקום יניקתו כלל, כתב </w:t>
      </w:r>
      <w:r w:rsidRPr="00DE1AA0">
        <w:rPr>
          <w:rStyle w:val="aff4"/>
          <w:rFonts w:hint="cs"/>
          <w:vanish/>
          <w:rtl/>
        </w:rPr>
        <w:t>-</w:t>
      </w:r>
      <w:r w:rsidRPr="00DB6BF0">
        <w:rPr>
          <w:rStyle w:val="aff4"/>
          <w:rFonts w:hint="cs"/>
          <w:rtl/>
        </w:rPr>
        <w:t>ה</w:t>
      </w:r>
      <w:r w:rsidRPr="00B53404">
        <w:rPr>
          <w:rStyle w:val="aff4"/>
          <w:rFonts w:hint="cs"/>
          <w:vanish/>
          <w:rtl/>
        </w:rPr>
        <w:t xml:space="preserve">&lt;. </w:t>
      </w:r>
      <w:r w:rsidRPr="00B53404">
        <w:rPr>
          <w:rStyle w:val="aff4"/>
          <w:vanish/>
          <w:rtl/>
        </w:rPr>
        <w:fldChar w:fldCharType="begin"/>
      </w:r>
      <w:r w:rsidRPr="00B53404">
        <w:rPr>
          <w:rStyle w:val="aff4"/>
          <w:vanish/>
          <w:rtl/>
        </w:rPr>
        <w:instrText xml:space="preserve"> </w:instrText>
      </w:r>
      <w:r w:rsidRPr="00B53404">
        <w:rPr>
          <w:rStyle w:val="aff4"/>
          <w:rFonts w:hint="cs"/>
          <w:vanish/>
        </w:rPr>
        <w:instrText>REF</w:instrText>
      </w:r>
      <w:r w:rsidRPr="00B53404">
        <w:rPr>
          <w:rStyle w:val="aff4"/>
          <w:rFonts w:hint="cs"/>
          <w:vanish/>
          <w:rtl/>
        </w:rPr>
        <w:instrText xml:space="preserve"> _</w:instrText>
      </w:r>
      <w:r w:rsidRPr="00B53404">
        <w:rPr>
          <w:rStyle w:val="aff4"/>
          <w:rFonts w:hint="cs"/>
          <w:vanish/>
        </w:rPr>
        <w:instrText>Ref135068741 \r \h</w:instrText>
      </w:r>
      <w:r w:rsidRPr="00B53404">
        <w:rPr>
          <w:rStyle w:val="aff4"/>
          <w:vanish/>
          <w:rtl/>
        </w:rPr>
        <w:instrText xml:space="preserve"> </w:instrText>
      </w:r>
      <w:r w:rsidRPr="00B53404">
        <w:rPr>
          <w:rStyle w:val="aff4"/>
          <w:vanish/>
          <w:rtl/>
        </w:rPr>
      </w:r>
      <w:r w:rsidRPr="00B53404">
        <w:rPr>
          <w:rStyle w:val="aff4"/>
          <w:vanish/>
          <w:rtl/>
        </w:rPr>
        <w:fldChar w:fldCharType="separate"/>
      </w:r>
      <w:r w:rsidR="00D82181">
        <w:rPr>
          <w:rStyle w:val="aff4"/>
          <w:vanish/>
          <w:cs/>
        </w:rPr>
        <w:t>‎</w:t>
      </w:r>
      <w:r w:rsidR="00D82181">
        <w:rPr>
          <w:rStyle w:val="aff4"/>
          <w:vanish/>
          <w:rtl/>
        </w:rPr>
        <w:t>קכא)</w:t>
      </w:r>
      <w:r w:rsidRPr="00B53404">
        <w:rPr>
          <w:rStyle w:val="aff4"/>
          <w:vanish/>
          <w:rtl/>
        </w:rPr>
        <w:fldChar w:fldCharType="end"/>
      </w:r>
      <w:r w:rsidRPr="00B53404">
        <w:rPr>
          <w:rStyle w:val="aff4"/>
          <w:rFonts w:hint="cs"/>
          <w:vanish/>
          <w:rtl/>
        </w:rPr>
        <w:t xml:space="preserve"> &gt;</w:t>
      </w:r>
      <w:r w:rsidRPr="00DB6BF0">
        <w:rPr>
          <w:rStyle w:val="aff4"/>
          <w:rFonts w:hint="cs"/>
          <w:rtl/>
        </w:rPr>
        <w:t>דבר אברהם</w:t>
      </w:r>
      <w:r w:rsidRPr="00DE1AA0">
        <w:rPr>
          <w:rStyle w:val="aff4"/>
          <w:rFonts w:hint="cs"/>
          <w:vanish/>
          <w:rtl/>
        </w:rPr>
        <w:t>-</w:t>
      </w:r>
      <w:r>
        <w:rPr>
          <w:rFonts w:hint="cs"/>
          <w:rtl/>
        </w:rPr>
        <w:t xml:space="preserve"> </w:t>
      </w:r>
      <w:r w:rsidRPr="00FB451D">
        <w:rPr>
          <w:rStyle w:val="af2"/>
          <w:rFonts w:eastAsia="Guttman Hodes" w:hint="cs"/>
          <w:rtl/>
        </w:rPr>
        <w:t>(ח"א סי' כ"ה אות ט' בהגה"ה)</w:t>
      </w:r>
      <w:r w:rsidRPr="00DE1AA0">
        <w:rPr>
          <w:rFonts w:hint="cs"/>
          <w:vanish/>
          <w:rtl/>
        </w:rPr>
        <w:t>=</w:t>
      </w:r>
      <w:r>
        <w:rPr>
          <w:rFonts w:hint="cs"/>
          <w:rtl/>
        </w:rPr>
        <w:t xml:space="preserve"> דמשמע מדברי </w:t>
      </w:r>
      <w:r w:rsidRPr="00DE1AA0">
        <w:rPr>
          <w:rStyle w:val="aff4"/>
          <w:rFonts w:hint="cs"/>
          <w:vanish/>
          <w:rtl/>
        </w:rPr>
        <w:t>-</w:t>
      </w:r>
      <w:r w:rsidRPr="00DB6BF0">
        <w:rPr>
          <w:rStyle w:val="aff4"/>
          <w:rFonts w:hint="cs"/>
          <w:rtl/>
        </w:rPr>
        <w:t>המאירי</w:t>
      </w:r>
      <w:r w:rsidRPr="00DE1AA0">
        <w:rPr>
          <w:rStyle w:val="aff4"/>
          <w:rFonts w:hint="cs"/>
          <w:vanish/>
          <w:rtl/>
        </w:rPr>
        <w:t>-</w:t>
      </w:r>
      <w:r>
        <w:rPr>
          <w:rFonts w:hint="cs"/>
          <w:rtl/>
        </w:rPr>
        <w:t xml:space="preserve"> דאף כשלא הגביהו מהקרקע כלל, ורק משך את העציץ ע"ג הקרקע חייב משום קוצר ומשום זורע, והקשה </w:t>
      </w:r>
      <w:r w:rsidRPr="00DE1AA0">
        <w:rPr>
          <w:rStyle w:val="aff4"/>
          <w:rFonts w:hint="cs"/>
          <w:vanish/>
          <w:rtl/>
        </w:rPr>
        <w:t>-</w:t>
      </w:r>
      <w:r w:rsidRPr="00DB6BF0">
        <w:rPr>
          <w:rStyle w:val="aff4"/>
          <w:rFonts w:hint="cs"/>
          <w:rtl/>
        </w:rPr>
        <w:t>הדבר אברהם</w:t>
      </w:r>
      <w:r w:rsidRPr="00DE1AA0">
        <w:rPr>
          <w:rStyle w:val="aff4"/>
          <w:rFonts w:hint="cs"/>
          <w:vanish/>
          <w:rtl/>
        </w:rPr>
        <w:t>-</w:t>
      </w:r>
      <w:r>
        <w:rPr>
          <w:rFonts w:hint="cs"/>
          <w:rtl/>
        </w:rPr>
        <w:t xml:space="preserve"> דהא בכל רגע היה מחובר לקרקע ולא התמעטה יניקתו כלל, </w:t>
      </w:r>
      <w:r w:rsidRPr="007A72D8">
        <w:rPr>
          <w:rStyle w:val="af"/>
          <w:rFonts w:hint="cs"/>
          <w:rtl/>
        </w:rPr>
        <w:t xml:space="preserve">[ועיי"ש במ"ש </w:t>
      </w:r>
      <w:r w:rsidRPr="00394B7E">
        <w:rPr>
          <w:rStyle w:val="aff9"/>
          <w:rFonts w:hint="cs"/>
          <w:vanish/>
          <w:rtl/>
        </w:rPr>
        <w:t>-</w:t>
      </w:r>
      <w:r w:rsidRPr="00394B7E">
        <w:rPr>
          <w:rStyle w:val="aff9"/>
          <w:rFonts w:hint="cs"/>
          <w:rtl/>
        </w:rPr>
        <w:t>הדבר אברהם</w:t>
      </w:r>
      <w:r w:rsidRPr="00394B7E">
        <w:rPr>
          <w:rStyle w:val="aff9"/>
          <w:rFonts w:hint="cs"/>
          <w:vanish/>
          <w:rtl/>
        </w:rPr>
        <w:t>-</w:t>
      </w:r>
      <w:r w:rsidRPr="007A72D8">
        <w:rPr>
          <w:rStyle w:val="af"/>
          <w:rFonts w:hint="cs"/>
          <w:rtl/>
        </w:rPr>
        <w:t xml:space="preserve"> דא"א לומר דכוונת </w:t>
      </w:r>
      <w:r w:rsidRPr="00394B7E">
        <w:rPr>
          <w:rStyle w:val="aff9"/>
          <w:rFonts w:hint="cs"/>
          <w:vanish/>
          <w:rtl/>
        </w:rPr>
        <w:t>-</w:t>
      </w:r>
      <w:r w:rsidRPr="00394B7E">
        <w:rPr>
          <w:rStyle w:val="aff9"/>
          <w:rFonts w:hint="cs"/>
          <w:rtl/>
        </w:rPr>
        <w:t>המאירי</w:t>
      </w:r>
      <w:r w:rsidRPr="00394B7E">
        <w:rPr>
          <w:rStyle w:val="aff9"/>
          <w:rFonts w:hint="cs"/>
          <w:vanish/>
          <w:rtl/>
        </w:rPr>
        <w:t>-</w:t>
      </w:r>
      <w:r w:rsidRPr="007A72D8">
        <w:rPr>
          <w:rStyle w:val="af"/>
          <w:rFonts w:hint="cs"/>
          <w:rtl/>
        </w:rPr>
        <w:t xml:space="preserve"> דהוא קוצר ונוטע מדרבנן]</w:t>
      </w:r>
      <w:r w:rsidRPr="009C1377">
        <w:rPr>
          <w:rStyle w:val="af"/>
          <w:rFonts w:hint="cs"/>
          <w:rtl/>
        </w:rPr>
        <w:t>,</w:t>
      </w:r>
      <w:r>
        <w:rPr>
          <w:rFonts w:hint="cs"/>
          <w:rtl/>
        </w:rPr>
        <w:t xml:space="preserve"> ותירץ </w:t>
      </w:r>
      <w:r w:rsidRPr="00DE1AA0">
        <w:rPr>
          <w:rStyle w:val="aff4"/>
          <w:rFonts w:hint="cs"/>
          <w:vanish/>
          <w:rtl/>
        </w:rPr>
        <w:t>-</w:t>
      </w:r>
      <w:r w:rsidRPr="00DB6BF0">
        <w:rPr>
          <w:rStyle w:val="aff4"/>
          <w:rFonts w:hint="cs"/>
          <w:rtl/>
        </w:rPr>
        <w:t>הדבר אברהם</w:t>
      </w:r>
      <w:r w:rsidRPr="00DE1AA0">
        <w:rPr>
          <w:rStyle w:val="aff4"/>
          <w:rFonts w:hint="cs"/>
          <w:vanish/>
          <w:rtl/>
        </w:rPr>
        <w:t>-</w:t>
      </w:r>
      <w:bookmarkEnd w:id="1829"/>
      <w:r>
        <w:rPr>
          <w:rFonts w:hint="cs"/>
          <w:rtl/>
        </w:rPr>
        <w:t xml:space="preserve"> דמבואר מדברי </w:t>
      </w:r>
      <w:r w:rsidRPr="00DE1AA0">
        <w:rPr>
          <w:rStyle w:val="aff4"/>
          <w:rFonts w:hint="cs"/>
          <w:vanish/>
          <w:rtl/>
        </w:rPr>
        <w:t>-</w:t>
      </w:r>
      <w:r w:rsidRPr="00DB6BF0">
        <w:rPr>
          <w:rStyle w:val="aff4"/>
          <w:rFonts w:hint="cs"/>
          <w:rtl/>
        </w:rPr>
        <w:t>המאירי</w:t>
      </w:r>
      <w:r w:rsidRPr="00DE1AA0">
        <w:rPr>
          <w:rStyle w:val="aff4"/>
          <w:rFonts w:hint="cs"/>
          <w:vanish/>
          <w:rtl/>
        </w:rPr>
        <w:t>-</w:t>
      </w:r>
      <w:r>
        <w:rPr>
          <w:rFonts w:hint="cs"/>
          <w:rtl/>
        </w:rPr>
        <w:t xml:space="preserve"> דהזרעים שבעציץ הנקוב חשיבי כנטועים בקרקע שתחת העציץ, ולכן כשמשך את העציץ ע"ג הקרקע, חשיב שתלש אותם מהקרקע שהיה העציץ מונח עליה בתחילה, וחזר וזרעם בקרקע שהניח את העציץ עליה, </w:t>
      </w:r>
      <w:r w:rsidRPr="003439CD">
        <w:rPr>
          <w:rStyle w:val="af"/>
          <w:rFonts w:hint="cs"/>
          <w:rtl/>
        </w:rPr>
        <w:t xml:space="preserve">[וכעי"ז כתב </w:t>
      </w:r>
      <w:r w:rsidRPr="003439CD">
        <w:rPr>
          <w:rStyle w:val="aff9"/>
          <w:rFonts w:hint="cs"/>
          <w:vanish/>
          <w:rtl/>
        </w:rPr>
        <w:t>-</w:t>
      </w:r>
      <w:r w:rsidRPr="003439CD">
        <w:rPr>
          <w:rStyle w:val="aff9"/>
          <w:rFonts w:hint="cs"/>
          <w:rtl/>
        </w:rPr>
        <w:t>החזו"א</w:t>
      </w:r>
      <w:r w:rsidRPr="003439CD">
        <w:rPr>
          <w:rStyle w:val="aff9"/>
          <w:rFonts w:hint="cs"/>
          <w:vanish/>
          <w:rtl/>
        </w:rPr>
        <w:t>-</w:t>
      </w:r>
      <w:r w:rsidRPr="003439CD">
        <w:rPr>
          <w:rStyle w:val="af"/>
          <w:rFonts w:hint="cs"/>
          <w:rtl/>
        </w:rPr>
        <w:t xml:space="preserve"> </w:t>
      </w:r>
      <w:r w:rsidRPr="003439CD">
        <w:rPr>
          <w:rStyle w:val="aff0"/>
          <w:rFonts w:hint="cs"/>
          <w:rtl/>
        </w:rPr>
        <w:t xml:space="preserve">(עי' אות </w:t>
      </w:r>
      <w:r w:rsidRPr="003439CD">
        <w:rPr>
          <w:rStyle w:val="aff0"/>
          <w:rtl/>
        </w:rPr>
        <w:fldChar w:fldCharType="begin"/>
      </w:r>
      <w:r w:rsidRPr="003439CD">
        <w:rPr>
          <w:rStyle w:val="aff0"/>
          <w:rtl/>
        </w:rPr>
        <w:instrText xml:space="preserve"> </w:instrText>
      </w:r>
      <w:r w:rsidRPr="003439CD">
        <w:rPr>
          <w:rStyle w:val="aff0"/>
          <w:rFonts w:hint="cs"/>
        </w:rPr>
        <w:instrText>REF</w:instrText>
      </w:r>
      <w:r w:rsidRPr="003439CD">
        <w:rPr>
          <w:rStyle w:val="aff0"/>
          <w:rFonts w:hint="cs"/>
          <w:rtl/>
        </w:rPr>
        <w:instrText xml:space="preserve"> _</w:instrText>
      </w:r>
      <w:r w:rsidRPr="003439CD">
        <w:rPr>
          <w:rStyle w:val="aff0"/>
          <w:rFonts w:hint="cs"/>
        </w:rPr>
        <w:instrText>Ref135412388 \r \h</w:instrText>
      </w:r>
      <w:r w:rsidRPr="003439CD">
        <w:rPr>
          <w:rStyle w:val="aff0"/>
          <w:rtl/>
        </w:rPr>
        <w:instrText xml:space="preserve"> </w:instrText>
      </w:r>
      <w:r w:rsidRPr="003439CD">
        <w:rPr>
          <w:rStyle w:val="aff0"/>
          <w:rtl/>
        </w:rPr>
      </w:r>
      <w:r w:rsidRPr="003439CD">
        <w:rPr>
          <w:rStyle w:val="aff0"/>
          <w:rtl/>
        </w:rPr>
        <w:fldChar w:fldCharType="separate"/>
      </w:r>
      <w:r w:rsidR="00D82181">
        <w:rPr>
          <w:rStyle w:val="aff0"/>
          <w:cs/>
        </w:rPr>
        <w:t>‎</w:t>
      </w:r>
      <w:r w:rsidR="00D82181">
        <w:rPr>
          <w:rStyle w:val="aff0"/>
          <w:rtl/>
        </w:rPr>
        <w:t>קטו)</w:t>
      </w:r>
      <w:r w:rsidRPr="003439CD">
        <w:rPr>
          <w:rStyle w:val="aff0"/>
          <w:rtl/>
        </w:rPr>
        <w:fldChar w:fldCharType="end"/>
      </w:r>
      <w:r w:rsidRPr="003439CD">
        <w:rPr>
          <w:rStyle w:val="af"/>
          <w:rFonts w:hint="cs"/>
          <w:rtl/>
        </w:rPr>
        <w:t xml:space="preserve">], </w:t>
      </w:r>
      <w:r>
        <w:rPr>
          <w:rFonts w:hint="cs"/>
          <w:rtl/>
        </w:rPr>
        <w:t xml:space="preserve">אך בעציץ המונח ע"ג יתדות, כתב </w:t>
      </w:r>
      <w:r w:rsidRPr="00DE1AA0">
        <w:rPr>
          <w:rStyle w:val="aff4"/>
          <w:rFonts w:hint="cs"/>
          <w:vanish/>
          <w:rtl/>
        </w:rPr>
        <w:t>-</w:t>
      </w:r>
      <w:r w:rsidRPr="00DB6BF0">
        <w:rPr>
          <w:rStyle w:val="aff4"/>
          <w:rFonts w:hint="cs"/>
          <w:rtl/>
        </w:rPr>
        <w:t>הדבר אברהם</w:t>
      </w:r>
      <w:r w:rsidRPr="00DE1AA0">
        <w:rPr>
          <w:rStyle w:val="aff4"/>
          <w:rFonts w:hint="cs"/>
          <w:vanish/>
          <w:rtl/>
        </w:rPr>
        <w:t>-</w:t>
      </w:r>
      <w:r>
        <w:rPr>
          <w:rFonts w:hint="cs"/>
          <w:rtl/>
        </w:rPr>
        <w:t xml:space="preserve"> דיש להסתפק אי הזרעים שבו חשיבי כזרועים בעציץ עצמו, או בקרקע שתחתיו, עיי"ש בדבריו.</w:t>
      </w:r>
      <w:bookmarkEnd w:id="1830"/>
    </w:p>
    <w:p w14:paraId="1F7FDCE7" w14:textId="77777777" w:rsidR="000426DE" w:rsidRPr="00747170" w:rsidRDefault="000426DE" w:rsidP="00747170">
      <w:pPr>
        <w:pStyle w:val="a2"/>
        <w:rPr>
          <w:rtl/>
        </w:rPr>
      </w:pPr>
      <w:r w:rsidRPr="00747170">
        <w:rPr>
          <w:rtl/>
        </w:rPr>
        <w:t>* [הגה"ה] משטחיות דברי המאירי משמע דגם במושך עציץ נקוב ע"ג קרקע גופה אף על פי שלא הגביהו חייב משום קוצר ומשום זורע, והוא צריך ביאור כיון שלא פסק רגע מלהיות מחובר וגם לא מיעט יניקתו איזו קצירה יש כאן ואין לומר דאיסורא דרבנן בלחוד הוא ולמדה מהניחו ע"ג יתדות שגם בזה גילה דעתו למעלה בדבריו בפרפיסא שהיה מונח ע"ג קרקע והניחו ע"ג יתדות דמאי דחייב משום תולש הוי רק מדרבנן כרש"י והוא משום דע"ג יתדות נמי הוי מחובר ואינו תולש ומ"מ איסורא דרבנן איכא דדמי מיהא לתולש כיון שטלטלו ממקומו וה"נ מפרש להירושלמי דנתן עציץ נקוב ע"ג עציץ נקוב ג"כ מדרבנן, ומשו"ה במשיכה ע"ג קרקע ממקום למקום נמי איכא איסורא דרבנן משום דדמי נמי לקצירה, דע"ג עצי"נ דירושלמי הוי כמו ע"ג סיכי שנשאר עדיין מחובר ומ"מ אסור וה"נ במושכו ע"ג קרקע. דז"א חדא דשאני הניחו ע"ג יתדות שאסרו רבנן דמיעוט יניקה מיהא איכא משא"כ מושכו ע"ג קרקע ולא מיעט אף את היניקה שלא עשה ולא כלום, ותו דבירושלמי דנחית למניינא דחייב שתים משום קוצר ומשום זורע קשה לומר דהוי רק דרבנן, [אמנם לכאורה לשי' הסוברים דתולש דפרפיסא הוי דרבנן בע"כ צ"ל דהירושלמי נמי מדרבנן קאמר לה אפילו אם יפרשו כהי"מ שהביא המאירי, ואולם י"ל דס"ל דש"ס דילן פליג בזה על הירושלמי] ועוד דא"כ מאי מסיק המאירי ומ"מ הניח עציץ נקוב על שאינו נקוב אינו נעשה קוצר מצד התחתון שהרי התולש מעציץ שאי"נ פטור עכ"ל ואי באיסורא דרבנן איירינן מאי ראיה היא מתולש מעציץ שאי"נ הרי קיי"ל דכל פטורי שבת פטור אבל אסור וא"כ באינו נקוב נמי איכא איסורא דרבנן כשתולש ממנו. וצ"ל לדחוק דמשו"ה חייב במושכו ע"ג קרקע דאע"ג דלא פסק מלהיות מחובר מ"מ מעיקרא היה מחובר במקום זה וכשמעתיקו למקום אחר ונתחבר שם חשיב כעוקר ממקום הראשון ונוטע במקום השני, והיינו משום דדין החיבור שיש לזרעים שבעצי"נ משווי להו כאלו הם נטועים למטה בקרקע עולם שתחת העציץ ולא שיש להם רק דין חיבור במקום שהם, ולכן כשמעתיקם הוי כתולשם ממקום זה ונוטעם במק"א ומ"מ בעצי"נ המונח ע"ג יתדות דהוי מחובר יש להסתפק אם רואים אנו את הזרעים כאלו הם נטועים למטה בקרקע שתחת העציץ או שיש להם רק דין מחובר אבל רואים אנו אותם כאלו הם נטועים למעלה במקום שהם ולא למטה בקרקע. ומירושלמי כלאים שהזכרנו בפנים שאינו אסור לזרוע בעצי"נ למעלה מי' מן הכרם משום דרשות אחריתא היה ובתוך י' נמי אינו אסור אלא מדרבנן נראה לכאורה דלא הויין כנטועים למטה בארץ, אבל אינו מכריח כמבואר למעיין ואין להאריך בזה. ויש לעיין לפי"ז בנטיעת אשרה אצל מזבח ד' שכתב הרמב"ם (פ"ו מהלכות עכו"ם ה"ז) שהאיסור הוא בכל העזרה והכ"מ הביא בשם הספרי דגם הנוטע בהר הבית עובר בל"ת. ולכאורה נראה פשוט דגם הנוטע בעציץ עובר, [יעוי' בירושלמי ערלה (פ"א ה"ב) דבאילן לא בעי נקוב מפני שהשרשים מפעפעין וכ"פ הרמב"ם (פ"י מהלכות מע"ש ה"ח) ועיי' במל"מ הלכות ביכורים (פ"ב ה"ט)] האיך יהיה בנוטע בעציץ ע"ג יתדות אם לא נתקדש אויר של עזרה והר הבית יעוי' פסחים (דף פ"ו ע"א) ושבועות (דף י"ז ע"ב) ובתוס' מכות (דף י"ב ע"א) ובמל"מ (פי"א מהלכות שגגות ה"ד) או דחשוב כנטוע למטה ממש, וכן מה יהיה למעלה מי' אם ידון כמו לענין כלאים דלמעלה לאו רשות כרם הוא ובאתי רק להעיר ואכמ"ל.</w:t>
      </w:r>
    </w:p>
    <w:p w14:paraId="074A5A78" w14:textId="34EC1097" w:rsidR="000426DE" w:rsidRDefault="000426DE" w:rsidP="000426DE">
      <w:pPr>
        <w:pStyle w:val="a7"/>
        <w:rPr>
          <w:rtl/>
        </w:rPr>
      </w:pPr>
      <w:bookmarkStart w:id="1831" w:name="_Toc139316476"/>
      <w:r>
        <w:rPr>
          <w:rFonts w:hint="cs"/>
          <w:rtl/>
        </w:rPr>
        <w:t>בי' הדב"א דלזכר יצחק דגדר קוצר הוא הפסקת יניקה כשמטלטל עציץ מפסיקו מהמקום הראשון</w:t>
      </w:r>
      <w:bookmarkEnd w:id="1831"/>
    </w:p>
    <w:p w14:paraId="4A7D6B2F" w14:textId="69CB5B77" w:rsidR="000426DE" w:rsidRPr="00957FCC" w:rsidRDefault="000426DE" w:rsidP="00BC7DC8">
      <w:pPr>
        <w:pStyle w:val="a3"/>
      </w:pPr>
      <w:r>
        <w:rPr>
          <w:rFonts w:hint="cs"/>
          <w:rtl/>
        </w:rPr>
        <w:t xml:space="preserve">אך כתב </w:t>
      </w:r>
      <w:r w:rsidRPr="00DE1AA0">
        <w:rPr>
          <w:rStyle w:val="aff4"/>
          <w:rFonts w:hint="cs"/>
          <w:vanish/>
          <w:rtl/>
        </w:rPr>
        <w:t>-</w:t>
      </w:r>
      <w:r w:rsidRPr="00DB6BF0">
        <w:rPr>
          <w:rStyle w:val="aff4"/>
          <w:rFonts w:hint="cs"/>
          <w:rtl/>
        </w:rPr>
        <w:t>הדבר אברהם</w:t>
      </w:r>
      <w:r w:rsidRPr="00DE1AA0">
        <w:rPr>
          <w:rStyle w:val="aff4"/>
          <w:rFonts w:hint="cs"/>
          <w:vanish/>
          <w:rtl/>
        </w:rPr>
        <w:t>-</w:t>
      </w:r>
      <w:r>
        <w:rPr>
          <w:rFonts w:hint="cs"/>
          <w:rtl/>
        </w:rPr>
        <w:t xml:space="preserve"> דלפי ביאור </w:t>
      </w:r>
      <w:r w:rsidRPr="00DE1AA0">
        <w:rPr>
          <w:rStyle w:val="aff4"/>
          <w:rFonts w:hint="cs"/>
          <w:vanish/>
          <w:rtl/>
        </w:rPr>
        <w:t>-</w:t>
      </w:r>
      <w:r w:rsidRPr="00DB6BF0">
        <w:rPr>
          <w:rStyle w:val="aff4"/>
          <w:rFonts w:hint="cs"/>
          <w:rtl/>
        </w:rPr>
        <w:t>הזכר יצחק</w:t>
      </w:r>
      <w:r w:rsidRPr="00DE1AA0">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Ref135412461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סו)</w:t>
      </w:r>
      <w:r>
        <w:rPr>
          <w:rStyle w:val="af2"/>
          <w:rFonts w:eastAsia="Guttman Hodes"/>
          <w:rtl/>
        </w:rPr>
        <w:fldChar w:fldCharType="end"/>
      </w:r>
      <w:r>
        <w:rPr>
          <w:rFonts w:hint="cs"/>
          <w:rtl/>
        </w:rPr>
        <w:t xml:space="preserve"> דהחיוב בקוצר אינו מחמת התלישה מהמחובר, אלא מחמת הפסקת היניקה, א"כ מבוארים דברי </w:t>
      </w:r>
      <w:r w:rsidRPr="00DE1AA0">
        <w:rPr>
          <w:rStyle w:val="aff4"/>
          <w:rFonts w:hint="cs"/>
          <w:vanish/>
          <w:rtl/>
        </w:rPr>
        <w:t>-</w:t>
      </w:r>
      <w:r w:rsidRPr="00DB6BF0">
        <w:rPr>
          <w:rStyle w:val="aff4"/>
          <w:rFonts w:hint="cs"/>
          <w:rtl/>
        </w:rPr>
        <w:t>המאירי לקמן</w:t>
      </w:r>
      <w:r w:rsidRPr="00DE1AA0">
        <w:rPr>
          <w:rStyle w:val="aff4"/>
          <w:rFonts w:hint="cs"/>
          <w:vanish/>
          <w:rtl/>
        </w:rPr>
        <w:t>-</w:t>
      </w:r>
      <w:r>
        <w:rPr>
          <w:rFonts w:hint="cs"/>
          <w:rtl/>
        </w:rPr>
        <w:t xml:space="preserve"> </w:t>
      </w:r>
      <w:r w:rsidRPr="00FB4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Ref135412085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סב)</w:t>
      </w:r>
      <w:r>
        <w:rPr>
          <w:rStyle w:val="af2"/>
          <w:rFonts w:eastAsia="Guttman Hodes"/>
          <w:rtl/>
        </w:rPr>
        <w:fldChar w:fldCharType="end"/>
      </w:r>
      <w:r>
        <w:rPr>
          <w:rStyle w:val="af2"/>
          <w:rFonts w:eastAsia="Guttman Hodes" w:hint="cs"/>
          <w:rtl/>
        </w:rPr>
        <w:t xml:space="preserve"> </w:t>
      </w:r>
      <w:r>
        <w:rPr>
          <w:rFonts w:hint="cs"/>
          <w:rtl/>
        </w:rPr>
        <w:t xml:space="preserve">דכשמושך את העציץ הנקוב ע"ג הקרקע, הוא מפסיק את יניקתו ממה שינק מהמקום הראשון, ומה שחוזר ויונק הוא יניקה חדשה ממקום אחר, ולכן חייב משום קוצר ומשום זורע, אף שכל הזמן היה חשיב כמחובר ולא תלשו מחיבורו כלל, אך כתב </w:t>
      </w:r>
      <w:r w:rsidRPr="00DE1AA0">
        <w:rPr>
          <w:rStyle w:val="aff4"/>
          <w:rFonts w:hint="cs"/>
          <w:vanish/>
          <w:rtl/>
        </w:rPr>
        <w:t>-</w:t>
      </w:r>
      <w:r w:rsidRPr="00DB6BF0">
        <w:rPr>
          <w:rStyle w:val="aff4"/>
          <w:rFonts w:hint="cs"/>
          <w:rtl/>
        </w:rPr>
        <w:t>הדבר אברהם</w:t>
      </w:r>
      <w:r w:rsidRPr="00DE1AA0">
        <w:rPr>
          <w:rStyle w:val="aff4"/>
          <w:rFonts w:hint="cs"/>
          <w:vanish/>
          <w:rtl/>
        </w:rPr>
        <w:t>-</w:t>
      </w:r>
      <w:r>
        <w:rPr>
          <w:rFonts w:hint="cs"/>
          <w:rtl/>
        </w:rPr>
        <w:t xml:space="preserve"> דעיקר דברי </w:t>
      </w:r>
      <w:r w:rsidRPr="00DE1AA0">
        <w:rPr>
          <w:rStyle w:val="aff4"/>
          <w:rFonts w:hint="cs"/>
          <w:vanish/>
          <w:rtl/>
        </w:rPr>
        <w:t>-</w:t>
      </w:r>
      <w:r w:rsidRPr="00DB6BF0">
        <w:rPr>
          <w:rStyle w:val="aff4"/>
          <w:rFonts w:hint="cs"/>
          <w:rtl/>
        </w:rPr>
        <w:t>המאירי</w:t>
      </w:r>
      <w:r w:rsidRPr="00DE1AA0">
        <w:rPr>
          <w:rStyle w:val="aff4"/>
          <w:rFonts w:hint="cs"/>
          <w:vanish/>
          <w:rtl/>
        </w:rPr>
        <w:t>-</w:t>
      </w:r>
      <w:r>
        <w:rPr>
          <w:rFonts w:hint="cs"/>
          <w:rtl/>
        </w:rPr>
        <w:t xml:space="preserve"> אינם ברורים וצ"ב בעיקר כוונתו.</w:t>
      </w:r>
    </w:p>
    <w:p w14:paraId="4885CFC0" w14:textId="77777777" w:rsidR="000426DE" w:rsidRPr="00747170" w:rsidRDefault="000426DE" w:rsidP="00747170">
      <w:pPr>
        <w:pStyle w:val="a2"/>
      </w:pPr>
      <w:r w:rsidRPr="00747170">
        <w:rPr>
          <w:rtl/>
        </w:rPr>
        <w:t>ולפי דרך כ"ג דעיקר הקוצר משום פסיקת החיות הוא ולאו משום תלישה מן המחובר דברי המאירי נוחים יותר, דכשמושכו ממקום למקום הוא מפסיק משום פסיקת החיות הוא ולאו משום תלישה מן המחובר דברי המאירי נוחים יותר, דכשמושכו ממקום למקום הוא מפסיק יניקתו שהיה לו ממקום הראשון ומה שנשאר מחובר ויונק לא הוי עוד מכח אותה היניקה הראשונה אלא שנותן לו מחדש יניקה חדשה ממקום אחר והרי הוא זורע ומ"מ דברי המאירי אינם מבוררים וצ"ע בעיקר כוונתו: [ע"כ הגה"ה]</w:t>
      </w:r>
      <w:r w:rsidRPr="00747170">
        <w:rPr>
          <w:rFonts w:hint="cs"/>
          <w:rtl/>
        </w:rPr>
        <w:t>.</w:t>
      </w:r>
    </w:p>
    <w:p w14:paraId="507FE53F" w14:textId="77777777" w:rsidR="000426DE" w:rsidRPr="005D245C" w:rsidRDefault="000426DE" w:rsidP="000426DE">
      <w:pPr>
        <w:pStyle w:val="a7"/>
        <w:rPr>
          <w:rtl/>
        </w:rPr>
        <w:sectPr w:rsidR="000426DE" w:rsidRPr="005D245C" w:rsidSect="001918F0">
          <w:footerReference w:type="default" r:id="rId82"/>
          <w:type w:val="continuous"/>
          <w:pgSz w:w="11906" w:h="16838"/>
          <w:pgMar w:top="720" w:right="720" w:bottom="720" w:left="720" w:header="283" w:footer="283" w:gutter="0"/>
          <w:cols w:num="2" w:space="567"/>
          <w:bidi/>
          <w:rtlGutter/>
        </w:sectPr>
      </w:pPr>
    </w:p>
    <w:p w14:paraId="558A7C53" w14:textId="77777777" w:rsidR="000426DE" w:rsidRPr="008E1B37" w:rsidRDefault="000426DE" w:rsidP="000426DE">
      <w:pPr>
        <w:pStyle w:val="a7"/>
        <w:rPr>
          <w:rtl/>
        </w:rPr>
      </w:pPr>
    </w:p>
    <w:p w14:paraId="3CD05F35" w14:textId="77777777" w:rsidR="000426DE" w:rsidRDefault="000426DE" w:rsidP="000426DE">
      <w:pPr>
        <w:keepNext/>
        <w:keepLines/>
        <w:spacing w:after="0" w:line="240" w:lineRule="auto"/>
        <w:jc w:val="center"/>
        <w:outlineLvl w:val="1"/>
        <w:rPr>
          <w:rFonts w:ascii="FrankRuehl" w:eastAsia="Guttman Adii-Light" w:hAnsi="FrankRuehl" w:cs="Guttman Hodes"/>
          <w:b/>
          <w:bCs/>
          <w:noProof/>
          <w:sz w:val="24"/>
          <w:szCs w:val="24"/>
          <w:rtl/>
        </w:rPr>
        <w:sectPr w:rsidR="000426DE" w:rsidSect="001918F0">
          <w:type w:val="continuous"/>
          <w:pgSz w:w="11906" w:h="16838"/>
          <w:pgMar w:top="720" w:right="720" w:bottom="720" w:left="720" w:header="283" w:footer="283" w:gutter="0"/>
          <w:cols w:space="567"/>
          <w:bidi/>
          <w:rtlGutter/>
          <w:docGrid w:linePitch="299"/>
        </w:sectPr>
      </w:pPr>
    </w:p>
    <w:p w14:paraId="20A97D87" w14:textId="6DEB76AA" w:rsidR="00316453" w:rsidRPr="00224A5A" w:rsidRDefault="00316453" w:rsidP="008009AA">
      <w:pPr>
        <w:pStyle w:val="af9"/>
        <w:rPr>
          <w:rtl/>
        </w:rPr>
      </w:pPr>
      <w:r>
        <w:rPr>
          <w:rFonts w:hint="cs"/>
          <w:rtl/>
        </w:rPr>
        <w:lastRenderedPageBreak/>
        <w:t>סי</w:t>
      </w:r>
      <w:r w:rsidR="008009AA">
        <w:rPr>
          <w:rFonts w:hint="cs"/>
          <w:rtl/>
        </w:rPr>
        <w:t>מן</w:t>
      </w:r>
      <w:r>
        <w:rPr>
          <w:rFonts w:hint="cs"/>
          <w:rtl/>
        </w:rPr>
        <w:t xml:space="preserve"> ה'</w:t>
      </w:r>
    </w:p>
    <w:p w14:paraId="214173D8" w14:textId="77777777" w:rsidR="00316453" w:rsidRDefault="00316453" w:rsidP="008009AA">
      <w:pPr>
        <w:pStyle w:val="af9"/>
        <w:rPr>
          <w:rtl/>
        </w:rPr>
      </w:pPr>
      <w:r>
        <w:rPr>
          <w:rFonts w:hint="cs"/>
          <w:rtl/>
        </w:rPr>
        <w:t>בסוגיא דבורר (א')</w:t>
      </w:r>
    </w:p>
    <w:p w14:paraId="6705EA1A" w14:textId="77777777" w:rsidR="00316453" w:rsidRPr="006E6B9C" w:rsidRDefault="00316453" w:rsidP="008009AA">
      <w:pPr>
        <w:pStyle w:val="af9"/>
        <w:rPr>
          <w:rtl/>
        </w:rPr>
      </w:pPr>
      <w:r w:rsidRPr="008F4A22">
        <w:rPr>
          <w:rtl/>
        </w:rPr>
        <w:t>בגדר</w:t>
      </w:r>
      <w:r>
        <w:rPr>
          <w:rFonts w:hint="cs"/>
          <w:rtl/>
        </w:rPr>
        <w:t xml:space="preserve"> זורה ובורר אי המלאכה באוכל או בפסולת ובגדר הפרדת חלקים לירושלמי</w:t>
      </w:r>
    </w:p>
    <w:p w14:paraId="68F2CFF8" w14:textId="77777777" w:rsidR="00316453" w:rsidRPr="00224A5A" w:rsidRDefault="00316453" w:rsidP="00316453">
      <w:pPr>
        <w:keepNext/>
        <w:keepLines/>
        <w:spacing w:after="0" w:line="240" w:lineRule="auto"/>
        <w:jc w:val="center"/>
        <w:outlineLvl w:val="1"/>
        <w:rPr>
          <w:rFonts w:ascii="FrankRuehl" w:eastAsia="Guttman Adii-Light" w:hAnsi="FrankRuehl" w:cs="Guttman Hodes"/>
          <w:b/>
          <w:bCs/>
          <w:noProof/>
          <w:sz w:val="24"/>
          <w:szCs w:val="24"/>
          <w:rtl/>
        </w:rPr>
        <w:sectPr w:rsidR="00316453" w:rsidRPr="00224A5A" w:rsidSect="00316453">
          <w:headerReference w:type="default" r:id="rId83"/>
          <w:footerReference w:type="default" r:id="rId84"/>
          <w:headerReference w:type="first" r:id="rId85"/>
          <w:footerReference w:type="first" r:id="rId86"/>
          <w:type w:val="oddPage"/>
          <w:pgSz w:w="11906" w:h="16838"/>
          <w:pgMar w:top="720" w:right="720" w:bottom="720" w:left="720" w:header="283" w:footer="283" w:gutter="0"/>
          <w:cols w:space="113"/>
          <w:bidi/>
          <w:rtlGutter/>
          <w:docGrid w:linePitch="299"/>
        </w:sectPr>
      </w:pPr>
      <w:r w:rsidRPr="00224A5A">
        <w:rPr>
          <w:rFonts w:ascii="FrankRuehl" w:eastAsia="Guttman Adii-Light" w:hAnsi="FrankRuehl" w:cs="Guttman Hodes"/>
          <w:b/>
          <w:bCs/>
          <w:noProof/>
          <w:sz w:val="24"/>
          <w:szCs w:val="24"/>
          <w:rtl/>
        </w:rPr>
        <w:t>~~~~~~~</w:t>
      </w:r>
      <w:r w:rsidRPr="00224A5A">
        <w:rPr>
          <w:rFonts w:ascii="FrankRuehl" w:eastAsia="Guttman Adii-Light" w:hAnsi="FrankRuehl" w:cs="Guttman Hodes" w:hint="cs"/>
          <w:b/>
          <w:bCs/>
          <w:noProof/>
          <w:sz w:val="24"/>
          <w:szCs w:val="24"/>
          <w:rtl/>
        </w:rPr>
        <w:t xml:space="preserve"> תוכן הענייני</w:t>
      </w:r>
      <w:r w:rsidRPr="00224A5A">
        <w:rPr>
          <w:rFonts w:ascii="FrankRuehl" w:eastAsia="Guttman Adii-Light" w:hAnsi="FrankRuehl" w:cs="Guttman Hodes" w:hint="eastAsia"/>
          <w:b/>
          <w:bCs/>
          <w:noProof/>
          <w:sz w:val="24"/>
          <w:szCs w:val="24"/>
          <w:rtl/>
        </w:rPr>
        <w:t>ם</w:t>
      </w:r>
      <w:r w:rsidRPr="00224A5A">
        <w:rPr>
          <w:rFonts w:ascii="FrankRuehl" w:eastAsia="Guttman Adii-Light" w:hAnsi="FrankRuehl" w:cs="Guttman Hodes" w:hint="cs"/>
          <w:b/>
          <w:bCs/>
          <w:noProof/>
          <w:sz w:val="24"/>
          <w:szCs w:val="24"/>
          <w:rtl/>
        </w:rPr>
        <w:t xml:space="preserve"> </w:t>
      </w:r>
      <w:r w:rsidRPr="00224A5A">
        <w:rPr>
          <w:rFonts w:ascii="FrankRuehl" w:eastAsia="Guttman Adii-Light" w:hAnsi="FrankRuehl" w:cs="Guttman Hodes"/>
          <w:b/>
          <w:bCs/>
          <w:noProof/>
          <w:sz w:val="24"/>
          <w:szCs w:val="24"/>
          <w:rtl/>
        </w:rPr>
        <w:t>~~~~~~~</w:t>
      </w:r>
    </w:p>
    <w:p w14:paraId="462145D8" w14:textId="77777777" w:rsidR="00316453" w:rsidRDefault="00316453" w:rsidP="00316453">
      <w:pPr>
        <w:pStyle w:val="TOC1"/>
        <w:rPr>
          <w:rFonts w:asciiTheme="minorHAnsi" w:hAnsiTheme="minorHAnsi" w:cstheme="minorBidi"/>
          <w:b w:val="0"/>
          <w:bCs w:val="0"/>
          <w:caps w:val="0"/>
          <w:sz w:val="22"/>
          <w:szCs w:val="22"/>
          <w:rtl/>
        </w:rPr>
      </w:pPr>
      <w:r w:rsidRPr="00224A5A">
        <w:rPr>
          <w:rtl/>
        </w:rPr>
        <w:fldChar w:fldCharType="begin"/>
      </w:r>
      <w:r w:rsidRPr="00224A5A">
        <w:rPr>
          <w:rtl/>
        </w:rPr>
        <w:instrText xml:space="preserve"> </w:instrText>
      </w:r>
      <w:r w:rsidRPr="00224A5A">
        <w:rPr>
          <w:rFonts w:hint="cs"/>
        </w:rPr>
        <w:instrText>TOC</w:instrText>
      </w:r>
      <w:r w:rsidRPr="00224A5A">
        <w:rPr>
          <w:rFonts w:hint="cs"/>
          <w:rtl/>
        </w:rPr>
        <w:instrText xml:space="preserve"> \</w:instrText>
      </w:r>
      <w:r w:rsidRPr="00224A5A">
        <w:rPr>
          <w:rFonts w:hint="cs"/>
        </w:rPr>
        <w:instrText>n \p " " \h \z \t</w:instrText>
      </w:r>
      <w:r w:rsidRPr="00224A5A">
        <w:rPr>
          <w:rFonts w:hint="cs"/>
          <w:rtl/>
        </w:rPr>
        <w:instrText xml:space="preserve"> "כותרת 1,2,כות קט,3,כות מק פנ,1"</w:instrText>
      </w:r>
      <w:r w:rsidRPr="00224A5A">
        <w:rPr>
          <w:rtl/>
        </w:rPr>
        <w:instrText xml:space="preserve"> </w:instrText>
      </w:r>
      <w:r w:rsidRPr="00224A5A">
        <w:rPr>
          <w:rtl/>
        </w:rPr>
        <w:fldChar w:fldCharType="separate"/>
      </w:r>
      <w:hyperlink w:anchor="_Toc136618644" w:history="1">
        <w:r w:rsidRPr="00A65985">
          <w:rPr>
            <w:rStyle w:val="Hyperlink"/>
            <w:rtl/>
          </w:rPr>
          <w:t>בגדר זורה ובורר אי הוי מלאכה שצל"ג</w:t>
        </w:r>
      </w:hyperlink>
    </w:p>
    <w:p w14:paraId="058146C4" w14:textId="77777777" w:rsidR="00316453" w:rsidRDefault="00AD16A0" w:rsidP="00316453">
      <w:pPr>
        <w:pStyle w:val="TOC2"/>
        <w:rPr>
          <w:rFonts w:cstheme="minorBidi"/>
          <w:b w:val="0"/>
          <w:bCs w:val="0"/>
          <w:sz w:val="22"/>
          <w:szCs w:val="22"/>
          <w:rtl/>
        </w:rPr>
      </w:pPr>
      <w:hyperlink w:anchor="_Toc136618645" w:history="1">
        <w:r w:rsidR="00316453" w:rsidRPr="00A65985">
          <w:rPr>
            <w:rStyle w:val="Hyperlink"/>
            <w:rtl/>
          </w:rPr>
          <w:t>בי' הבעה"מ דזורה ובורר הוא מלאכה שאצל"ג ואפ"ה חייב</w:t>
        </w:r>
      </w:hyperlink>
    </w:p>
    <w:p w14:paraId="4B8471C5" w14:textId="77777777" w:rsidR="00316453" w:rsidRPr="00373BB3" w:rsidRDefault="00AD16A0" w:rsidP="00ED704E">
      <w:pPr>
        <w:pStyle w:val="TOC3"/>
        <w:rPr>
          <w:rFonts w:asciiTheme="minorHAnsi" w:eastAsiaTheme="minorEastAsia" w:hAnsiTheme="minorHAnsi" w:cstheme="minorBidi"/>
          <w:sz w:val="22"/>
          <w:szCs w:val="22"/>
          <w:rtl/>
        </w:rPr>
      </w:pPr>
      <w:hyperlink w:anchor="_Toc136618646" w:history="1">
        <w:r w:rsidR="00316453" w:rsidRPr="00A65985">
          <w:rPr>
            <w:rStyle w:val="Hyperlink"/>
            <w:rtl/>
          </w:rPr>
          <w:t>בי' הבעה"מ דבכל מלאכת המשכן רק זורה ובורר אינם מלאכות לצורך גופן</w:t>
        </w:r>
      </w:hyperlink>
    </w:p>
    <w:p w14:paraId="330D5E9F" w14:textId="77777777" w:rsidR="00316453" w:rsidRDefault="00AD16A0" w:rsidP="00ED704E">
      <w:pPr>
        <w:pStyle w:val="TOC3"/>
        <w:rPr>
          <w:rFonts w:asciiTheme="minorHAnsi" w:eastAsiaTheme="minorEastAsia" w:hAnsiTheme="minorHAnsi" w:cstheme="minorBidi"/>
          <w:sz w:val="22"/>
          <w:szCs w:val="22"/>
          <w:rtl/>
        </w:rPr>
      </w:pPr>
      <w:hyperlink w:anchor="_Toc136618647" w:history="1">
        <w:r w:rsidR="00316453" w:rsidRPr="00A65985">
          <w:rPr>
            <w:rStyle w:val="Hyperlink"/>
            <w:rtl/>
          </w:rPr>
          <w:t>בי' המנ"ח בבע"מ דאף דא"צ לגופן חייב לר"ש דעיקר המלאכה לדחות פסולת וכך היה במשכן</w:t>
        </w:r>
      </w:hyperlink>
    </w:p>
    <w:p w14:paraId="22F3BB40" w14:textId="77777777" w:rsidR="00316453" w:rsidRDefault="00AD16A0" w:rsidP="00ED704E">
      <w:pPr>
        <w:pStyle w:val="TOC3"/>
        <w:rPr>
          <w:rFonts w:asciiTheme="minorHAnsi" w:eastAsiaTheme="minorEastAsia" w:hAnsiTheme="minorHAnsi" w:cstheme="minorBidi"/>
          <w:sz w:val="22"/>
          <w:szCs w:val="22"/>
          <w:rtl/>
        </w:rPr>
      </w:pPr>
      <w:hyperlink w:anchor="_Toc136618648" w:history="1">
        <w:r w:rsidR="00316453" w:rsidRPr="00A65985">
          <w:rPr>
            <w:rStyle w:val="Hyperlink"/>
            <w:rtl/>
          </w:rPr>
          <w:t>קו' הישועות יעקב על הבעה"מ דאי חייב בזורה ובורר אף דא"צ לגופן נילף לשאר מלאכות</w:t>
        </w:r>
      </w:hyperlink>
    </w:p>
    <w:p w14:paraId="7B6356A5" w14:textId="77777777" w:rsidR="00316453" w:rsidRDefault="00AD16A0" w:rsidP="00ED704E">
      <w:pPr>
        <w:pStyle w:val="TOC3"/>
        <w:rPr>
          <w:rFonts w:asciiTheme="minorHAnsi" w:eastAsiaTheme="minorEastAsia" w:hAnsiTheme="minorHAnsi" w:cstheme="minorBidi"/>
          <w:sz w:val="22"/>
          <w:szCs w:val="22"/>
          <w:rtl/>
        </w:rPr>
      </w:pPr>
      <w:hyperlink w:anchor="_Toc136618649" w:history="1">
        <w:r w:rsidR="00316453" w:rsidRPr="00A65985">
          <w:rPr>
            <w:rStyle w:val="Hyperlink"/>
            <w:rtl/>
          </w:rPr>
          <w:t>בי' הישועות יעקב דבורר הוא תיקון האוכל אבל בב' מיני אוכלין הוא מלאכה שא"צ לגופה</w:t>
        </w:r>
      </w:hyperlink>
    </w:p>
    <w:p w14:paraId="2CFFF453" w14:textId="77777777" w:rsidR="00316453" w:rsidRDefault="00AD16A0" w:rsidP="00ED704E">
      <w:pPr>
        <w:pStyle w:val="TOC3"/>
        <w:rPr>
          <w:rFonts w:asciiTheme="minorHAnsi" w:eastAsiaTheme="minorEastAsia" w:hAnsiTheme="minorHAnsi" w:cstheme="minorBidi"/>
          <w:sz w:val="22"/>
          <w:szCs w:val="22"/>
          <w:rtl/>
        </w:rPr>
      </w:pPr>
      <w:hyperlink w:anchor="_Toc136618650" w:history="1">
        <w:r w:rsidR="00316453" w:rsidRPr="00A65985">
          <w:rPr>
            <w:rStyle w:val="Hyperlink"/>
            <w:rtl/>
          </w:rPr>
          <w:t>בי' הביה"ל דמוכח בראשונים דאף בב' מיני אוכלין הוא צריך לגוף תיקון המין שרוצה אותו</w:t>
        </w:r>
      </w:hyperlink>
    </w:p>
    <w:p w14:paraId="724CDBB5" w14:textId="77777777" w:rsidR="00316453" w:rsidRDefault="00AD16A0" w:rsidP="00ED704E">
      <w:pPr>
        <w:pStyle w:val="TOC3"/>
        <w:rPr>
          <w:rFonts w:asciiTheme="minorHAnsi" w:eastAsiaTheme="minorEastAsia" w:hAnsiTheme="minorHAnsi" w:cstheme="minorBidi"/>
          <w:sz w:val="22"/>
          <w:szCs w:val="22"/>
          <w:rtl/>
        </w:rPr>
      </w:pPr>
      <w:hyperlink w:anchor="_Toc136618651" w:history="1">
        <w:r w:rsidR="00316453" w:rsidRPr="00A65985">
          <w:rPr>
            <w:rStyle w:val="Hyperlink"/>
            <w:rtl/>
          </w:rPr>
          <w:t>בי' המגן אבות בבעה"מ דרוקק ברה"ר חייב אף דאצל"ג אך דחה דהחיוב רק בזורה שיש תועלת</w:t>
        </w:r>
      </w:hyperlink>
    </w:p>
    <w:p w14:paraId="09959A81" w14:textId="77777777" w:rsidR="00316453" w:rsidRDefault="00AD16A0" w:rsidP="00316453">
      <w:pPr>
        <w:pStyle w:val="TOC2"/>
        <w:rPr>
          <w:rFonts w:cstheme="minorBidi"/>
          <w:b w:val="0"/>
          <w:bCs w:val="0"/>
          <w:sz w:val="22"/>
          <w:szCs w:val="22"/>
          <w:rtl/>
        </w:rPr>
      </w:pPr>
      <w:hyperlink w:anchor="_Toc136618652" w:history="1">
        <w:r w:rsidR="00316453" w:rsidRPr="00A65985">
          <w:rPr>
            <w:rStyle w:val="Hyperlink"/>
            <w:rtl/>
          </w:rPr>
          <w:t>בי' הרמב"ן דזורה ובורר הוי צל"ג דמתקן וצריך למלאכה עצמה</w:t>
        </w:r>
      </w:hyperlink>
    </w:p>
    <w:p w14:paraId="4B550222" w14:textId="77777777" w:rsidR="00316453" w:rsidRDefault="00AD16A0" w:rsidP="00ED704E">
      <w:pPr>
        <w:pStyle w:val="TOC3"/>
        <w:rPr>
          <w:rFonts w:asciiTheme="minorHAnsi" w:eastAsiaTheme="minorEastAsia" w:hAnsiTheme="minorHAnsi" w:cstheme="minorBidi"/>
          <w:sz w:val="22"/>
          <w:szCs w:val="22"/>
          <w:rtl/>
        </w:rPr>
      </w:pPr>
      <w:hyperlink w:anchor="_Toc136618653" w:history="1">
        <w:r w:rsidR="00316453" w:rsidRPr="00A65985">
          <w:rPr>
            <w:rStyle w:val="Hyperlink"/>
            <w:rtl/>
          </w:rPr>
          <w:t>בי' הרמב"ן דזורה ובורר הם מלאכות שצריכות לגופן ודמי לגוזז שיער וציפורן שמתקן לאדם</w:t>
        </w:r>
      </w:hyperlink>
    </w:p>
    <w:p w14:paraId="173F9FD5" w14:textId="77777777" w:rsidR="00316453" w:rsidRDefault="00AD16A0" w:rsidP="00ED704E">
      <w:pPr>
        <w:pStyle w:val="TOC3"/>
        <w:rPr>
          <w:rFonts w:asciiTheme="minorHAnsi" w:eastAsiaTheme="minorEastAsia" w:hAnsiTheme="minorHAnsi" w:cstheme="minorBidi"/>
          <w:sz w:val="22"/>
          <w:szCs w:val="22"/>
          <w:rtl/>
        </w:rPr>
      </w:pPr>
      <w:hyperlink w:anchor="_Toc136618654" w:history="1">
        <w:r w:rsidR="00316453" w:rsidRPr="00A65985">
          <w:rPr>
            <w:rStyle w:val="Hyperlink"/>
            <w:rtl/>
          </w:rPr>
          <w:t>בי' הרמב"ן דגוזז שיער וציפורן בין לתקן גופו ובין לצורך השיער צל"ג ול"ד לחופר גומא</w:t>
        </w:r>
      </w:hyperlink>
    </w:p>
    <w:p w14:paraId="7EE35ACF" w14:textId="77777777" w:rsidR="00316453" w:rsidRDefault="00AD16A0" w:rsidP="00ED704E">
      <w:pPr>
        <w:pStyle w:val="TOC3"/>
        <w:rPr>
          <w:rFonts w:asciiTheme="minorHAnsi" w:eastAsiaTheme="minorEastAsia" w:hAnsiTheme="minorHAnsi" w:cstheme="minorBidi"/>
          <w:sz w:val="22"/>
          <w:szCs w:val="22"/>
          <w:rtl/>
        </w:rPr>
      </w:pPr>
      <w:hyperlink w:anchor="_Toc136618655" w:history="1">
        <w:r w:rsidR="00316453" w:rsidRPr="00A65985">
          <w:rPr>
            <w:rStyle w:val="Hyperlink"/>
            <w:rtl/>
          </w:rPr>
          <w:t>בי' הרא"ה ברמב"ן דבשיער צריך את גוף הנטילה וזורה ובורר א"א בלא"ה דכך היו החיטין</w:t>
        </w:r>
      </w:hyperlink>
    </w:p>
    <w:p w14:paraId="731FAC62" w14:textId="77777777" w:rsidR="00316453" w:rsidRDefault="00AD16A0" w:rsidP="00ED704E">
      <w:pPr>
        <w:pStyle w:val="TOC3"/>
        <w:rPr>
          <w:rFonts w:asciiTheme="minorHAnsi" w:eastAsiaTheme="minorEastAsia" w:hAnsiTheme="minorHAnsi" w:cstheme="minorBidi"/>
          <w:sz w:val="22"/>
          <w:szCs w:val="22"/>
          <w:rtl/>
        </w:rPr>
      </w:pPr>
      <w:hyperlink w:anchor="_Toc136618656" w:history="1">
        <w:r w:rsidR="00316453" w:rsidRPr="00A65985">
          <w:rPr>
            <w:rStyle w:val="Hyperlink"/>
            <w:rtl/>
          </w:rPr>
          <w:t>בי' המאירי דזורה ובורר צל"ג דהדרך להוציא פסולת ובדבר שנברא מעורב אי"ז הסרת נזק</w:t>
        </w:r>
      </w:hyperlink>
    </w:p>
    <w:p w14:paraId="21252F1A" w14:textId="77777777" w:rsidR="00316453" w:rsidRDefault="00AD16A0" w:rsidP="00ED704E">
      <w:pPr>
        <w:pStyle w:val="TOC3"/>
        <w:rPr>
          <w:rFonts w:asciiTheme="minorHAnsi" w:eastAsiaTheme="minorEastAsia" w:hAnsiTheme="minorHAnsi" w:cstheme="minorBidi"/>
          <w:sz w:val="22"/>
          <w:szCs w:val="22"/>
          <w:rtl/>
        </w:rPr>
      </w:pPr>
      <w:hyperlink w:anchor="_Toc136618657" w:history="1">
        <w:r w:rsidR="00316453" w:rsidRPr="00A65985">
          <w:rPr>
            <w:rStyle w:val="Hyperlink"/>
            <w:rtl/>
          </w:rPr>
          <w:t>בי' הריב"ש דגוזז ציפורן כדרך והיה במשכן בתחשים וצל"ג ובי' המחצה"ש דצריך לגזיזה עצמה</w:t>
        </w:r>
      </w:hyperlink>
    </w:p>
    <w:p w14:paraId="2A8CC9E5" w14:textId="77777777" w:rsidR="00316453" w:rsidRDefault="00AD16A0" w:rsidP="00ED704E">
      <w:pPr>
        <w:pStyle w:val="TOC3"/>
        <w:rPr>
          <w:rFonts w:asciiTheme="minorHAnsi" w:eastAsiaTheme="minorEastAsia" w:hAnsiTheme="minorHAnsi" w:cstheme="minorBidi"/>
          <w:sz w:val="22"/>
          <w:szCs w:val="22"/>
          <w:rtl/>
        </w:rPr>
      </w:pPr>
      <w:hyperlink w:anchor="_Toc136618658" w:history="1">
        <w:r w:rsidR="00316453" w:rsidRPr="00A65985">
          <w:rPr>
            <w:rStyle w:val="Hyperlink"/>
            <w:rtl/>
          </w:rPr>
          <w:t>בי' הדב"א דהריב"ש ס"ל כרמב"ן ובי' הגרא"ז דנח' בסברא אי היה במשכן או דזה גוף המלאכה</w:t>
        </w:r>
      </w:hyperlink>
    </w:p>
    <w:p w14:paraId="762A1AAC" w14:textId="77777777" w:rsidR="00316453" w:rsidRDefault="00AD16A0" w:rsidP="00316453">
      <w:pPr>
        <w:pStyle w:val="TOC1"/>
        <w:rPr>
          <w:rFonts w:asciiTheme="minorHAnsi" w:hAnsiTheme="minorHAnsi" w:cstheme="minorBidi"/>
          <w:b w:val="0"/>
          <w:bCs w:val="0"/>
          <w:caps w:val="0"/>
          <w:sz w:val="22"/>
          <w:szCs w:val="22"/>
          <w:rtl/>
        </w:rPr>
      </w:pPr>
      <w:hyperlink w:anchor="_Toc136618659" w:history="1">
        <w:r w:rsidR="00316453" w:rsidRPr="00A65985">
          <w:rPr>
            <w:rStyle w:val="Hyperlink"/>
            <w:rtl/>
          </w:rPr>
          <w:t>אי המלאכה בפסולת או בתיקון האוכל</w:t>
        </w:r>
      </w:hyperlink>
    </w:p>
    <w:p w14:paraId="484E3970" w14:textId="77777777" w:rsidR="00316453" w:rsidRDefault="00AD16A0" w:rsidP="00316453">
      <w:pPr>
        <w:pStyle w:val="TOC2"/>
        <w:rPr>
          <w:rFonts w:cstheme="minorBidi"/>
          <w:b w:val="0"/>
          <w:bCs w:val="0"/>
          <w:sz w:val="22"/>
          <w:szCs w:val="22"/>
          <w:rtl/>
        </w:rPr>
      </w:pPr>
      <w:hyperlink w:anchor="_Toc136618660" w:history="1">
        <w:r w:rsidR="00316453" w:rsidRPr="00A65985">
          <w:rPr>
            <w:rStyle w:val="Hyperlink"/>
            <w:rtl/>
          </w:rPr>
          <w:t>בי' האגל"ט בבעה"מ וברמב"ן דבזורה ובורר המלאכה בפסולת</w:t>
        </w:r>
      </w:hyperlink>
    </w:p>
    <w:p w14:paraId="7BFE4863" w14:textId="77777777" w:rsidR="00316453" w:rsidRDefault="00AD16A0" w:rsidP="00ED704E">
      <w:pPr>
        <w:pStyle w:val="TOC3"/>
        <w:rPr>
          <w:rFonts w:asciiTheme="minorHAnsi" w:eastAsiaTheme="minorEastAsia" w:hAnsiTheme="minorHAnsi" w:cstheme="minorBidi"/>
          <w:sz w:val="22"/>
          <w:szCs w:val="22"/>
          <w:rtl/>
        </w:rPr>
      </w:pPr>
      <w:hyperlink w:anchor="_Toc136618661" w:history="1">
        <w:r w:rsidR="00316453" w:rsidRPr="00A65985">
          <w:rPr>
            <w:rStyle w:val="Hyperlink"/>
            <w:rtl/>
          </w:rPr>
          <w:t>בי' האגל"ט בבעה"מ דעצם מלאכת זורה ובורר היא בפסולת ולא באוכל והוא דעת יחידאה</w:t>
        </w:r>
      </w:hyperlink>
    </w:p>
    <w:p w14:paraId="652C01D6" w14:textId="77777777" w:rsidR="00316453" w:rsidRDefault="00AD16A0" w:rsidP="00ED704E">
      <w:pPr>
        <w:pStyle w:val="TOC3"/>
        <w:rPr>
          <w:rFonts w:asciiTheme="minorHAnsi" w:eastAsiaTheme="minorEastAsia" w:hAnsiTheme="minorHAnsi" w:cstheme="minorBidi"/>
          <w:sz w:val="22"/>
          <w:szCs w:val="22"/>
          <w:rtl/>
        </w:rPr>
      </w:pPr>
      <w:hyperlink w:anchor="_Toc136618662" w:history="1">
        <w:r w:rsidR="00316453" w:rsidRPr="00A65985">
          <w:rPr>
            <w:rStyle w:val="Hyperlink"/>
            <w:rtl/>
          </w:rPr>
          <w:t>בי' האגל"ט דאף לרמב"ן בזורה ובורר המלאכה בפסולת וצל"ג כיון שצריך את המלאכה עצמה</w:t>
        </w:r>
      </w:hyperlink>
    </w:p>
    <w:p w14:paraId="644F62F4" w14:textId="77777777" w:rsidR="00316453" w:rsidRDefault="00AD16A0" w:rsidP="00ED704E">
      <w:pPr>
        <w:pStyle w:val="TOC3"/>
        <w:rPr>
          <w:rFonts w:asciiTheme="minorHAnsi" w:eastAsiaTheme="minorEastAsia" w:hAnsiTheme="minorHAnsi" w:cstheme="minorBidi"/>
          <w:sz w:val="22"/>
          <w:szCs w:val="22"/>
          <w:rtl/>
        </w:rPr>
      </w:pPr>
      <w:hyperlink w:anchor="_Toc136618663" w:history="1">
        <w:r w:rsidR="00316453" w:rsidRPr="00A65985">
          <w:rPr>
            <w:rStyle w:val="Hyperlink"/>
            <w:rtl/>
          </w:rPr>
          <w:t>בי' האגל"ט ברמב"ן דזורה ובורר דמו לשאר מלאכות הצריכות לגופן דצריך את גוף המלאכה</w:t>
        </w:r>
      </w:hyperlink>
    </w:p>
    <w:p w14:paraId="54942047" w14:textId="77777777" w:rsidR="00316453" w:rsidRDefault="00AD16A0" w:rsidP="00ED704E">
      <w:pPr>
        <w:pStyle w:val="TOC3"/>
        <w:rPr>
          <w:rFonts w:asciiTheme="minorHAnsi" w:eastAsiaTheme="minorEastAsia" w:hAnsiTheme="minorHAnsi" w:cstheme="minorBidi"/>
          <w:sz w:val="22"/>
          <w:szCs w:val="22"/>
          <w:rtl/>
        </w:rPr>
      </w:pPr>
      <w:hyperlink w:anchor="_Toc136618664" w:history="1">
        <w:r w:rsidR="00316453" w:rsidRPr="00A65985">
          <w:rPr>
            <w:rStyle w:val="Hyperlink"/>
            <w:rtl/>
          </w:rPr>
          <w:t>בי' האגל"ט דאפשר לדחוק ברמב"ן דמתקן בבורר באוכל עצמו וגזזו כן במשכן בתחשים כריב"ש</w:t>
        </w:r>
      </w:hyperlink>
    </w:p>
    <w:p w14:paraId="51A72460" w14:textId="77777777" w:rsidR="00316453" w:rsidRDefault="00AD16A0" w:rsidP="00ED704E">
      <w:pPr>
        <w:pStyle w:val="TOC3"/>
        <w:rPr>
          <w:rFonts w:asciiTheme="minorHAnsi" w:eastAsiaTheme="minorEastAsia" w:hAnsiTheme="minorHAnsi" w:cstheme="minorBidi"/>
          <w:sz w:val="22"/>
          <w:szCs w:val="22"/>
          <w:rtl/>
        </w:rPr>
      </w:pPr>
      <w:hyperlink w:anchor="_Toc136618665" w:history="1">
        <w:r w:rsidR="00316453" w:rsidRPr="00A65985">
          <w:rPr>
            <w:rStyle w:val="Hyperlink"/>
            <w:rtl/>
          </w:rPr>
          <w:t>דחיית האגל"ט דבר"ן מוכח דהרמב"ן דלא כריב"ש ואף שהמלאכה בפסולת חשיב צריך לגופה</w:t>
        </w:r>
      </w:hyperlink>
    </w:p>
    <w:p w14:paraId="142B55E3" w14:textId="77777777" w:rsidR="00316453" w:rsidRDefault="00AD16A0" w:rsidP="00ED704E">
      <w:pPr>
        <w:pStyle w:val="TOC3"/>
        <w:rPr>
          <w:rFonts w:asciiTheme="minorHAnsi" w:eastAsiaTheme="minorEastAsia" w:hAnsiTheme="minorHAnsi" w:cstheme="minorBidi"/>
          <w:sz w:val="22"/>
          <w:szCs w:val="22"/>
          <w:rtl/>
        </w:rPr>
      </w:pPr>
      <w:hyperlink w:anchor="_Toc136618666" w:history="1">
        <w:r w:rsidR="00316453" w:rsidRPr="00A65985">
          <w:rPr>
            <w:rStyle w:val="Hyperlink"/>
            <w:rtl/>
          </w:rPr>
          <w:t>בי' האגל"ט דמבו' בבעה"מ וברמב"ן דלבבלי המברר חלק מהפסולת חייב דהמלאכה בפסולת</w:t>
        </w:r>
      </w:hyperlink>
    </w:p>
    <w:p w14:paraId="5D8AA53A" w14:textId="77777777" w:rsidR="00316453" w:rsidRDefault="00AD16A0" w:rsidP="00316453">
      <w:pPr>
        <w:pStyle w:val="TOC2"/>
        <w:rPr>
          <w:rFonts w:cstheme="minorBidi"/>
          <w:b w:val="0"/>
          <w:bCs w:val="0"/>
          <w:sz w:val="22"/>
          <w:szCs w:val="22"/>
          <w:rtl/>
        </w:rPr>
      </w:pPr>
      <w:hyperlink w:anchor="_Toc136618667" w:history="1">
        <w:r w:rsidR="00316453" w:rsidRPr="00A65985">
          <w:rPr>
            <w:rStyle w:val="Hyperlink"/>
            <w:rtl/>
          </w:rPr>
          <w:t>בי' האגל"ט בתוס' דאף לבבלי בורר הוא תיקון האוכל כירושלמי</w:t>
        </w:r>
      </w:hyperlink>
    </w:p>
    <w:p w14:paraId="2AF19204" w14:textId="77777777" w:rsidR="00316453" w:rsidRDefault="00AD16A0" w:rsidP="00ED704E">
      <w:pPr>
        <w:pStyle w:val="TOC3"/>
        <w:rPr>
          <w:rFonts w:asciiTheme="minorHAnsi" w:eastAsiaTheme="minorEastAsia" w:hAnsiTheme="minorHAnsi" w:cstheme="minorBidi"/>
          <w:sz w:val="22"/>
          <w:szCs w:val="22"/>
          <w:rtl/>
        </w:rPr>
      </w:pPr>
      <w:hyperlink w:anchor="_Toc136618668" w:history="1">
        <w:r w:rsidR="00316453" w:rsidRPr="00A65985">
          <w:rPr>
            <w:rStyle w:val="Hyperlink"/>
            <w:rtl/>
          </w:rPr>
          <w:t>בי' התוס' דנטילת שיער א"צ לגופה ובי' האגל"ט בתוס' דבבורר וזורה המלאכה בתיקון האוכל</w:t>
        </w:r>
      </w:hyperlink>
    </w:p>
    <w:p w14:paraId="107B652B" w14:textId="77777777" w:rsidR="00316453" w:rsidRDefault="00AD16A0" w:rsidP="00ED704E">
      <w:pPr>
        <w:pStyle w:val="TOC3"/>
        <w:rPr>
          <w:rFonts w:asciiTheme="minorHAnsi" w:eastAsiaTheme="minorEastAsia" w:hAnsiTheme="minorHAnsi" w:cstheme="minorBidi"/>
          <w:sz w:val="22"/>
          <w:szCs w:val="22"/>
          <w:rtl/>
        </w:rPr>
      </w:pPr>
      <w:hyperlink w:anchor="_Toc136618669" w:history="1">
        <w:r w:rsidR="00316453" w:rsidRPr="00A65985">
          <w:rPr>
            <w:rStyle w:val="Hyperlink"/>
            <w:rtl/>
          </w:rPr>
          <w:t>בי' האגל"ט בתוס' דאף דבבורר עושה מלאכה לצורך שהיה במשכן מ"מ גוף המלאכה באוכל</w:t>
        </w:r>
      </w:hyperlink>
    </w:p>
    <w:p w14:paraId="68E4E18F" w14:textId="77777777" w:rsidR="00316453" w:rsidRDefault="00AD16A0" w:rsidP="00316453">
      <w:pPr>
        <w:pStyle w:val="TOC2"/>
        <w:rPr>
          <w:rFonts w:cstheme="minorBidi"/>
          <w:b w:val="0"/>
          <w:bCs w:val="0"/>
          <w:sz w:val="22"/>
          <w:szCs w:val="22"/>
          <w:rtl/>
        </w:rPr>
      </w:pPr>
      <w:hyperlink w:anchor="_Toc136618670" w:history="1">
        <w:r w:rsidR="00316453" w:rsidRPr="00A65985">
          <w:rPr>
            <w:rStyle w:val="Hyperlink"/>
            <w:rtl/>
          </w:rPr>
          <w:t>בי' פי' קדמון ממצרים ברמב"ם דזורה תיקון האוכל מהפסולת</w:t>
        </w:r>
      </w:hyperlink>
    </w:p>
    <w:p w14:paraId="2FAE1AF8" w14:textId="77777777" w:rsidR="00316453" w:rsidRDefault="00AD16A0" w:rsidP="00ED704E">
      <w:pPr>
        <w:pStyle w:val="TOC3"/>
        <w:rPr>
          <w:rFonts w:asciiTheme="minorHAnsi" w:eastAsiaTheme="minorEastAsia" w:hAnsiTheme="minorHAnsi" w:cstheme="minorBidi"/>
          <w:sz w:val="22"/>
          <w:szCs w:val="22"/>
          <w:rtl/>
        </w:rPr>
      </w:pPr>
      <w:hyperlink w:anchor="_Toc136618671" w:history="1">
        <w:r w:rsidR="00316453" w:rsidRPr="00A65985">
          <w:rPr>
            <w:rStyle w:val="Hyperlink"/>
            <w:rtl/>
          </w:rPr>
          <w:t>בי' פי' קדמון ממצרים דזורה ובורר ומרקד הוא הסרת פסולת וכל הסרת פסולת חייב בא' מהם</w:t>
        </w:r>
      </w:hyperlink>
    </w:p>
    <w:p w14:paraId="454D64C6" w14:textId="77777777" w:rsidR="00316453" w:rsidRDefault="00AD16A0" w:rsidP="00316453">
      <w:pPr>
        <w:pStyle w:val="TOC2"/>
        <w:rPr>
          <w:rFonts w:cstheme="minorBidi"/>
          <w:b w:val="0"/>
          <w:bCs w:val="0"/>
          <w:sz w:val="22"/>
          <w:szCs w:val="22"/>
          <w:rtl/>
        </w:rPr>
      </w:pPr>
      <w:hyperlink w:anchor="_Toc136618672" w:history="1">
        <w:r w:rsidR="00316453" w:rsidRPr="00A65985">
          <w:rPr>
            <w:rStyle w:val="Hyperlink"/>
            <w:rtl/>
          </w:rPr>
          <w:t>בי' הגר"ז דגדר בורר הוא הפרדת מינים ואוכל ופסולת כב' מינים</w:t>
        </w:r>
      </w:hyperlink>
    </w:p>
    <w:p w14:paraId="451FE11D" w14:textId="77777777" w:rsidR="00316453" w:rsidRDefault="00AD16A0" w:rsidP="00ED704E">
      <w:pPr>
        <w:pStyle w:val="TOC3"/>
        <w:rPr>
          <w:rFonts w:asciiTheme="minorHAnsi" w:eastAsiaTheme="minorEastAsia" w:hAnsiTheme="minorHAnsi" w:cstheme="minorBidi"/>
          <w:sz w:val="22"/>
          <w:szCs w:val="22"/>
          <w:rtl/>
        </w:rPr>
      </w:pPr>
      <w:hyperlink w:anchor="_Toc136618673" w:history="1">
        <w:r w:rsidR="00316453" w:rsidRPr="00A65985">
          <w:rPr>
            <w:rStyle w:val="Hyperlink"/>
            <w:rtl/>
          </w:rPr>
          <w:t>בי' הגר"ז דגדר בורר הוא רק הפרדת מינים או אוכל מפסולת דהם כעין ב' מינים</w:t>
        </w:r>
      </w:hyperlink>
    </w:p>
    <w:p w14:paraId="730BDF90" w14:textId="77777777" w:rsidR="00316453" w:rsidRDefault="00AD16A0" w:rsidP="00316453">
      <w:pPr>
        <w:pStyle w:val="TOC1"/>
        <w:rPr>
          <w:rFonts w:asciiTheme="minorHAnsi" w:hAnsiTheme="minorHAnsi" w:cstheme="minorBidi"/>
          <w:b w:val="0"/>
          <w:bCs w:val="0"/>
          <w:caps w:val="0"/>
          <w:sz w:val="22"/>
          <w:szCs w:val="22"/>
          <w:rtl/>
        </w:rPr>
      </w:pPr>
      <w:hyperlink w:anchor="_Toc136618674" w:history="1">
        <w:r w:rsidR="00316453" w:rsidRPr="00A65985">
          <w:rPr>
            <w:rStyle w:val="Hyperlink"/>
            <w:rtl/>
          </w:rPr>
          <w:t>~~~~~~~~~~~~~~~~~~~~~~~~~~~~</w:t>
        </w:r>
      </w:hyperlink>
    </w:p>
    <w:p w14:paraId="298C82D6" w14:textId="77777777" w:rsidR="00316453" w:rsidRDefault="00AD16A0" w:rsidP="00316453">
      <w:pPr>
        <w:pStyle w:val="TOC1"/>
        <w:rPr>
          <w:rFonts w:asciiTheme="minorHAnsi" w:hAnsiTheme="minorHAnsi" w:cstheme="minorBidi"/>
          <w:b w:val="0"/>
          <w:bCs w:val="0"/>
          <w:caps w:val="0"/>
          <w:sz w:val="22"/>
          <w:szCs w:val="22"/>
          <w:rtl/>
        </w:rPr>
      </w:pPr>
      <w:hyperlink w:anchor="_Toc136618675" w:history="1">
        <w:r w:rsidR="00316453" w:rsidRPr="00A65985">
          <w:rPr>
            <w:rStyle w:val="Hyperlink"/>
            <w:rtl/>
          </w:rPr>
          <w:t>בגדר זורה דהפרדת חלקים לירו' ולבבלי</w:t>
        </w:r>
      </w:hyperlink>
    </w:p>
    <w:p w14:paraId="0E841866" w14:textId="77777777" w:rsidR="00316453" w:rsidRDefault="00AD16A0" w:rsidP="00316453">
      <w:pPr>
        <w:pStyle w:val="TOC2"/>
        <w:rPr>
          <w:rFonts w:cstheme="minorBidi"/>
          <w:b w:val="0"/>
          <w:bCs w:val="0"/>
          <w:sz w:val="22"/>
          <w:szCs w:val="22"/>
          <w:rtl/>
        </w:rPr>
      </w:pPr>
      <w:hyperlink w:anchor="_Toc136618676" w:history="1">
        <w:r w:rsidR="00316453" w:rsidRPr="00A65985">
          <w:rPr>
            <w:rStyle w:val="Hyperlink"/>
            <w:rtl/>
          </w:rPr>
          <w:t>פלו' הרמ"א והמהריק"ש אי קיי"ל כירו' דרוקק חייב משום זורה</w:t>
        </w:r>
      </w:hyperlink>
    </w:p>
    <w:p w14:paraId="7CA8AD8F" w14:textId="77777777" w:rsidR="00316453" w:rsidRDefault="00AD16A0" w:rsidP="00ED704E">
      <w:pPr>
        <w:pStyle w:val="TOC3"/>
        <w:rPr>
          <w:rFonts w:asciiTheme="minorHAnsi" w:eastAsiaTheme="minorEastAsia" w:hAnsiTheme="minorHAnsi" w:cstheme="minorBidi"/>
          <w:sz w:val="22"/>
          <w:szCs w:val="22"/>
          <w:rtl/>
        </w:rPr>
      </w:pPr>
      <w:hyperlink w:anchor="_Toc136618677" w:history="1">
        <w:r w:rsidR="00316453" w:rsidRPr="00A65985">
          <w:rPr>
            <w:rStyle w:val="Hyperlink"/>
            <w:rtl/>
          </w:rPr>
          <w:t>ד' הרמ"א כירושלמי דרוקק ברוח הוי זורה ודחיית המהריק"ש והגרעק"א דאי"ז דרך זורה ופטור</w:t>
        </w:r>
      </w:hyperlink>
    </w:p>
    <w:p w14:paraId="6E17431A" w14:textId="77777777" w:rsidR="00316453" w:rsidRDefault="00AD16A0" w:rsidP="00ED704E">
      <w:pPr>
        <w:pStyle w:val="TOC3"/>
        <w:rPr>
          <w:rFonts w:asciiTheme="minorHAnsi" w:eastAsiaTheme="minorEastAsia" w:hAnsiTheme="minorHAnsi" w:cstheme="minorBidi"/>
          <w:sz w:val="22"/>
          <w:szCs w:val="22"/>
          <w:rtl/>
        </w:rPr>
      </w:pPr>
      <w:hyperlink w:anchor="_Toc136618678" w:history="1">
        <w:r w:rsidR="00316453" w:rsidRPr="00A65985">
          <w:rPr>
            <w:rStyle w:val="Hyperlink"/>
            <w:rtl/>
          </w:rPr>
          <w:t>בי' המגן אבות דלבעה"מ רוקק לרוח חייב אף שאצל"ג אך דחה דמ"מ פטור דאין לו תועלת בזה</w:t>
        </w:r>
      </w:hyperlink>
    </w:p>
    <w:p w14:paraId="0D763BE7" w14:textId="77777777" w:rsidR="00316453" w:rsidRDefault="00AD16A0" w:rsidP="00ED704E">
      <w:pPr>
        <w:pStyle w:val="TOC3"/>
        <w:rPr>
          <w:rFonts w:asciiTheme="minorHAnsi" w:eastAsiaTheme="minorEastAsia" w:hAnsiTheme="minorHAnsi" w:cstheme="minorBidi"/>
          <w:sz w:val="22"/>
          <w:szCs w:val="22"/>
          <w:rtl/>
        </w:rPr>
      </w:pPr>
      <w:hyperlink w:anchor="_Toc136618679" w:history="1">
        <w:r w:rsidR="00316453" w:rsidRPr="00A65985">
          <w:rPr>
            <w:rStyle w:val="Hyperlink"/>
            <w:rtl/>
          </w:rPr>
          <w:t>בי' הביה"ל בירושלמי דחיוב רוקק משום הוצאה ודחיית האבי עזרי דרק בזורה חייב בסיוע רוח</w:t>
        </w:r>
      </w:hyperlink>
    </w:p>
    <w:p w14:paraId="0BE4BF59" w14:textId="77777777" w:rsidR="00316453" w:rsidRDefault="00AD16A0" w:rsidP="00316453">
      <w:pPr>
        <w:pStyle w:val="TOC2"/>
        <w:rPr>
          <w:rFonts w:cstheme="minorBidi"/>
          <w:b w:val="0"/>
          <w:bCs w:val="0"/>
          <w:sz w:val="22"/>
          <w:szCs w:val="22"/>
          <w:rtl/>
        </w:rPr>
      </w:pPr>
      <w:hyperlink w:anchor="_Toc136618680" w:history="1">
        <w:r w:rsidR="00316453" w:rsidRPr="00A65985">
          <w:rPr>
            <w:rStyle w:val="Hyperlink"/>
            <w:rtl/>
          </w:rPr>
          <w:t>בי' האחרונים דילרו' זורה הוא הפרדת חלקים ולבבלי הוא כבורר</w:t>
        </w:r>
      </w:hyperlink>
    </w:p>
    <w:p w14:paraId="618D762C" w14:textId="77777777" w:rsidR="00316453" w:rsidRDefault="00AD16A0" w:rsidP="00ED704E">
      <w:pPr>
        <w:pStyle w:val="TOC3"/>
        <w:rPr>
          <w:rFonts w:asciiTheme="minorHAnsi" w:eastAsiaTheme="minorEastAsia" w:hAnsiTheme="minorHAnsi" w:cstheme="minorBidi"/>
          <w:sz w:val="22"/>
          <w:szCs w:val="22"/>
          <w:rtl/>
        </w:rPr>
      </w:pPr>
      <w:hyperlink w:anchor="_Toc136618681" w:history="1">
        <w:r w:rsidR="00316453" w:rsidRPr="00A65985">
          <w:rPr>
            <w:rStyle w:val="Hyperlink"/>
            <w:rtl/>
          </w:rPr>
          <w:t>בי' הגרעק"א דירושלמי השופך מעט מים מהחלון אף לחצר מעורבת חייב משום זורה</w:t>
        </w:r>
      </w:hyperlink>
    </w:p>
    <w:p w14:paraId="0AFB62B5" w14:textId="77777777" w:rsidR="00316453" w:rsidRDefault="00AD16A0" w:rsidP="00ED704E">
      <w:pPr>
        <w:pStyle w:val="TOC3"/>
        <w:rPr>
          <w:rFonts w:asciiTheme="minorHAnsi" w:eastAsiaTheme="minorEastAsia" w:hAnsiTheme="minorHAnsi" w:cstheme="minorBidi"/>
          <w:sz w:val="22"/>
          <w:szCs w:val="22"/>
          <w:rtl/>
        </w:rPr>
      </w:pPr>
      <w:hyperlink w:anchor="_Toc136618682" w:history="1">
        <w:r w:rsidR="00316453" w:rsidRPr="00A65985">
          <w:rPr>
            <w:rStyle w:val="Hyperlink"/>
            <w:rtl/>
          </w:rPr>
          <w:t>בי' האחרונים דקיי"ל כדמוכח בבבלי דזורה הוא ברירת פסולת ולא הפרדת חלקים כדעת הירו'</w:t>
        </w:r>
      </w:hyperlink>
    </w:p>
    <w:p w14:paraId="690682BB" w14:textId="77777777" w:rsidR="00316453" w:rsidRDefault="00AD16A0" w:rsidP="00ED704E">
      <w:pPr>
        <w:pStyle w:val="TOC3"/>
        <w:rPr>
          <w:rFonts w:asciiTheme="minorHAnsi" w:eastAsiaTheme="minorEastAsia" w:hAnsiTheme="minorHAnsi" w:cstheme="minorBidi"/>
          <w:sz w:val="22"/>
          <w:szCs w:val="22"/>
          <w:rtl/>
        </w:rPr>
      </w:pPr>
      <w:hyperlink w:anchor="_Toc136618683" w:history="1">
        <w:r w:rsidR="00316453" w:rsidRPr="00A65985">
          <w:rPr>
            <w:rStyle w:val="Hyperlink"/>
            <w:rtl/>
          </w:rPr>
          <w:t>בי' הגרעק"א דירו' זורה אף שלא בגידו"ק או דאדם גידו"ק כרמב"ם והרמ"א כ' לחשוש לרמב"ם</w:t>
        </w:r>
      </w:hyperlink>
    </w:p>
    <w:p w14:paraId="39D23CFD" w14:textId="77777777" w:rsidR="00316453" w:rsidRDefault="00AD16A0" w:rsidP="00ED704E">
      <w:pPr>
        <w:pStyle w:val="TOC3"/>
        <w:rPr>
          <w:rFonts w:asciiTheme="minorHAnsi" w:eastAsiaTheme="minorEastAsia" w:hAnsiTheme="minorHAnsi" w:cstheme="minorBidi"/>
          <w:sz w:val="22"/>
          <w:szCs w:val="22"/>
          <w:rtl/>
        </w:rPr>
      </w:pPr>
      <w:hyperlink w:anchor="_Toc136618684" w:history="1">
        <w:r w:rsidR="00316453" w:rsidRPr="00A65985">
          <w:rPr>
            <w:rStyle w:val="Hyperlink"/>
            <w:rtl/>
          </w:rPr>
          <w:t>בי' הגרעק"א דבשופך מים הוא פס"ר דלא ניחא ליה בזרייה ורק לירו' דאו' אף דמלאכה שאצל"ג</w:t>
        </w:r>
      </w:hyperlink>
    </w:p>
    <w:p w14:paraId="517A95D1" w14:textId="77777777" w:rsidR="00316453" w:rsidRDefault="00AD16A0" w:rsidP="00ED704E">
      <w:pPr>
        <w:pStyle w:val="TOC3"/>
        <w:rPr>
          <w:rFonts w:asciiTheme="minorHAnsi" w:eastAsiaTheme="minorEastAsia" w:hAnsiTheme="minorHAnsi" w:cstheme="minorBidi"/>
          <w:sz w:val="22"/>
          <w:szCs w:val="22"/>
          <w:rtl/>
        </w:rPr>
      </w:pPr>
      <w:hyperlink w:anchor="_Toc136618685" w:history="1">
        <w:r w:rsidR="00316453" w:rsidRPr="00A65985">
          <w:rPr>
            <w:rStyle w:val="Hyperlink"/>
            <w:rtl/>
          </w:rPr>
          <w:t>קו' הנשמ"א דלירו' רוקק זורה אף דאצל"ג ואין במינו זורה ואינו כבורר וקו' הב"מ דהוא מתעסק</w:t>
        </w:r>
      </w:hyperlink>
    </w:p>
    <w:p w14:paraId="66D25FF2" w14:textId="77777777" w:rsidR="00316453" w:rsidRDefault="00AD16A0" w:rsidP="00316453">
      <w:pPr>
        <w:pStyle w:val="TOC2"/>
        <w:rPr>
          <w:rFonts w:cstheme="minorBidi"/>
          <w:b w:val="0"/>
          <w:bCs w:val="0"/>
          <w:sz w:val="22"/>
          <w:szCs w:val="22"/>
          <w:rtl/>
        </w:rPr>
      </w:pPr>
      <w:hyperlink w:anchor="_Toc136618686" w:history="1">
        <w:r w:rsidR="00316453" w:rsidRPr="00A65985">
          <w:rPr>
            <w:rStyle w:val="Hyperlink"/>
            <w:rtl/>
          </w:rPr>
          <w:t>בי' הטל אורות דרוקק דכוונתו לזרות שלא יתלכלך חייב לדידן</w:t>
        </w:r>
      </w:hyperlink>
    </w:p>
    <w:p w14:paraId="2FB7ABC5" w14:textId="77777777" w:rsidR="00316453" w:rsidRDefault="00AD16A0" w:rsidP="00ED704E">
      <w:pPr>
        <w:pStyle w:val="TOC3"/>
        <w:rPr>
          <w:rFonts w:asciiTheme="minorHAnsi" w:eastAsiaTheme="minorEastAsia" w:hAnsiTheme="minorHAnsi" w:cstheme="minorBidi"/>
          <w:sz w:val="22"/>
          <w:szCs w:val="22"/>
          <w:rtl/>
        </w:rPr>
      </w:pPr>
      <w:hyperlink w:anchor="_Toc136618687" w:history="1">
        <w:r w:rsidR="00316453" w:rsidRPr="00A65985">
          <w:rPr>
            <w:rStyle w:val="Hyperlink"/>
            <w:rtl/>
          </w:rPr>
          <w:t>תי' הטל אורות דרוקק כוונתו לזרות שלא יתלכלך ובחמץ שיתבער ובמכוין מ' במהריק"ש דחייב</w:t>
        </w:r>
      </w:hyperlink>
    </w:p>
    <w:p w14:paraId="34456AC6" w14:textId="77777777" w:rsidR="00316453" w:rsidRDefault="00AD16A0" w:rsidP="00316453">
      <w:pPr>
        <w:pStyle w:val="TOC2"/>
        <w:rPr>
          <w:rFonts w:cstheme="minorBidi"/>
          <w:b w:val="0"/>
          <w:bCs w:val="0"/>
          <w:sz w:val="22"/>
          <w:szCs w:val="22"/>
          <w:rtl/>
        </w:rPr>
      </w:pPr>
      <w:hyperlink w:anchor="_Toc136618688" w:history="1">
        <w:r w:rsidR="00316453" w:rsidRPr="00A65985">
          <w:rPr>
            <w:rStyle w:val="Hyperlink"/>
            <w:rtl/>
          </w:rPr>
          <w:t>בי' האגל"ט בירו' דבורר תיקון האוכל וזורה אינו הפרדת פסולת</w:t>
        </w:r>
      </w:hyperlink>
    </w:p>
    <w:p w14:paraId="661E0F56" w14:textId="77777777" w:rsidR="00316453" w:rsidRDefault="00AD16A0" w:rsidP="00ED704E">
      <w:pPr>
        <w:pStyle w:val="TOC3"/>
        <w:rPr>
          <w:rFonts w:asciiTheme="minorHAnsi" w:eastAsiaTheme="minorEastAsia" w:hAnsiTheme="minorHAnsi" w:cstheme="minorBidi"/>
          <w:sz w:val="22"/>
          <w:szCs w:val="22"/>
          <w:rtl/>
        </w:rPr>
      </w:pPr>
      <w:hyperlink w:anchor="_Toc136618689" w:history="1">
        <w:r w:rsidR="00316453" w:rsidRPr="00A65985">
          <w:rPr>
            <w:rStyle w:val="Hyperlink"/>
            <w:rtl/>
          </w:rPr>
          <w:t>בי' האו"ז בשם הירושלמי דהבורר כל היום חלק מהפסולת שבכרי ונשארה בו עוד פסולת פטור</w:t>
        </w:r>
      </w:hyperlink>
    </w:p>
    <w:p w14:paraId="2A3F352E" w14:textId="77777777" w:rsidR="00316453" w:rsidRDefault="00AD16A0" w:rsidP="00ED704E">
      <w:pPr>
        <w:pStyle w:val="TOC3"/>
        <w:rPr>
          <w:rFonts w:asciiTheme="minorHAnsi" w:eastAsiaTheme="minorEastAsia" w:hAnsiTheme="minorHAnsi" w:cstheme="minorBidi"/>
          <w:sz w:val="22"/>
          <w:szCs w:val="22"/>
          <w:rtl/>
        </w:rPr>
      </w:pPr>
      <w:hyperlink w:anchor="_Toc136618690" w:history="1">
        <w:r w:rsidR="00316453" w:rsidRPr="00A65985">
          <w:rPr>
            <w:rStyle w:val="Hyperlink"/>
            <w:rtl/>
          </w:rPr>
          <w:t>בי' האגל"ט דלירו' ברירה הוא רק כשהאוכל נקי לגמרי וא"כ מוכח דזורה הוא רק הפרדת חלקים</w:t>
        </w:r>
      </w:hyperlink>
    </w:p>
    <w:p w14:paraId="55E7DE81" w14:textId="77777777" w:rsidR="00316453" w:rsidRDefault="00AD16A0" w:rsidP="00ED704E">
      <w:pPr>
        <w:pStyle w:val="TOC3"/>
        <w:rPr>
          <w:rFonts w:asciiTheme="minorHAnsi" w:eastAsiaTheme="minorEastAsia" w:hAnsiTheme="minorHAnsi" w:cstheme="minorBidi"/>
          <w:sz w:val="22"/>
          <w:szCs w:val="22"/>
          <w:rtl/>
        </w:rPr>
      </w:pPr>
      <w:hyperlink w:anchor="_Toc136618691" w:history="1">
        <w:r w:rsidR="00316453" w:rsidRPr="00A65985">
          <w:rPr>
            <w:rStyle w:val="Hyperlink"/>
            <w:rtl/>
          </w:rPr>
          <w:t>בי' האגל"ט בירו' דמלאכת בורר היא באוכל ולא בפסולת וכל שלא תיקן האוכל אי"ז מלאכה</w:t>
        </w:r>
      </w:hyperlink>
    </w:p>
    <w:p w14:paraId="3B4FEEEE" w14:textId="77777777" w:rsidR="00316453" w:rsidRDefault="00AD16A0" w:rsidP="00ED704E">
      <w:pPr>
        <w:pStyle w:val="TOC3"/>
        <w:rPr>
          <w:rFonts w:asciiTheme="minorHAnsi" w:eastAsiaTheme="minorEastAsia" w:hAnsiTheme="minorHAnsi" w:cstheme="minorBidi"/>
          <w:sz w:val="22"/>
          <w:szCs w:val="22"/>
          <w:rtl/>
        </w:rPr>
      </w:pPr>
      <w:hyperlink w:anchor="_Toc136618692" w:history="1">
        <w:r w:rsidR="00316453" w:rsidRPr="00A65985">
          <w:rPr>
            <w:rStyle w:val="Hyperlink"/>
            <w:rtl/>
          </w:rPr>
          <w:t>בי' האגל"ט בתוס' דבבורר המלאכה באוכל ואפ"ה לבבלי אף מקצת ברירה חשיב תיקון באוכל</w:t>
        </w:r>
      </w:hyperlink>
    </w:p>
    <w:p w14:paraId="048DE1CD" w14:textId="77777777" w:rsidR="00316453" w:rsidRDefault="00AD16A0" w:rsidP="00316453">
      <w:pPr>
        <w:pStyle w:val="TOC1"/>
        <w:rPr>
          <w:rFonts w:asciiTheme="minorHAnsi" w:hAnsiTheme="minorHAnsi" w:cstheme="minorBidi"/>
          <w:b w:val="0"/>
          <w:bCs w:val="0"/>
          <w:caps w:val="0"/>
          <w:sz w:val="22"/>
          <w:szCs w:val="22"/>
          <w:rtl/>
        </w:rPr>
      </w:pPr>
      <w:hyperlink w:anchor="_Toc136618693" w:history="1">
        <w:r w:rsidR="00316453" w:rsidRPr="00A65985">
          <w:rPr>
            <w:rStyle w:val="Hyperlink"/>
            <w:rtl/>
          </w:rPr>
          <w:t>~~~~~~~~~~~~~~~~~~~~~~~~~~~~</w:t>
        </w:r>
      </w:hyperlink>
    </w:p>
    <w:p w14:paraId="521C37EF" w14:textId="77777777" w:rsidR="00316453" w:rsidRDefault="00AD16A0" w:rsidP="00316453">
      <w:pPr>
        <w:pStyle w:val="TOC1"/>
        <w:rPr>
          <w:rFonts w:asciiTheme="minorHAnsi" w:hAnsiTheme="minorHAnsi" w:cstheme="minorBidi"/>
          <w:b w:val="0"/>
          <w:bCs w:val="0"/>
          <w:caps w:val="0"/>
          <w:sz w:val="22"/>
          <w:szCs w:val="22"/>
          <w:rtl/>
        </w:rPr>
      </w:pPr>
      <w:hyperlink w:anchor="_Toc136618694" w:history="1">
        <w:r w:rsidR="00316453" w:rsidRPr="00A65985">
          <w:rPr>
            <w:rStyle w:val="Hyperlink"/>
            <w:rtl/>
          </w:rPr>
          <w:t>בחילוק המלאכות בזורה ובורר ומרקד</w:t>
        </w:r>
      </w:hyperlink>
    </w:p>
    <w:p w14:paraId="1F9AAA16" w14:textId="77777777" w:rsidR="00316453" w:rsidRDefault="00AD16A0" w:rsidP="00316453">
      <w:pPr>
        <w:pStyle w:val="TOC2"/>
        <w:rPr>
          <w:rFonts w:cstheme="minorBidi"/>
          <w:b w:val="0"/>
          <w:bCs w:val="0"/>
          <w:sz w:val="22"/>
          <w:szCs w:val="22"/>
          <w:rtl/>
        </w:rPr>
      </w:pPr>
      <w:hyperlink w:anchor="_Toc136618695" w:history="1">
        <w:r w:rsidR="00316453" w:rsidRPr="00A65985">
          <w:rPr>
            <w:rStyle w:val="Hyperlink"/>
            <w:rtl/>
          </w:rPr>
          <w:t>בי' רש"י אי החילוק בין יד לכלי או דכ"א מפריש פסולת אחרת</w:t>
        </w:r>
      </w:hyperlink>
    </w:p>
    <w:p w14:paraId="0B7BD4CE" w14:textId="77777777" w:rsidR="00316453" w:rsidRDefault="00AD16A0" w:rsidP="00ED704E">
      <w:pPr>
        <w:pStyle w:val="TOC3"/>
        <w:rPr>
          <w:rFonts w:asciiTheme="minorHAnsi" w:eastAsiaTheme="minorEastAsia" w:hAnsiTheme="minorHAnsi" w:cstheme="minorBidi"/>
          <w:sz w:val="22"/>
          <w:szCs w:val="22"/>
          <w:rtl/>
        </w:rPr>
      </w:pPr>
      <w:hyperlink w:anchor="_Toc136618696" w:history="1">
        <w:r w:rsidR="00316453" w:rsidRPr="00A65985">
          <w:rPr>
            <w:rStyle w:val="Hyperlink"/>
            <w:rtl/>
          </w:rPr>
          <w:t>בי' רש"י במתני' דחילוק המלאכות במעשה ברוח ובידיו ובנפה וכולם להפריש אוכל מפסולת</w:t>
        </w:r>
      </w:hyperlink>
    </w:p>
    <w:p w14:paraId="289F88E7" w14:textId="77777777" w:rsidR="00316453" w:rsidRDefault="00AD16A0" w:rsidP="00ED704E">
      <w:pPr>
        <w:pStyle w:val="TOC3"/>
        <w:rPr>
          <w:rFonts w:asciiTheme="minorHAnsi" w:eastAsiaTheme="minorEastAsia" w:hAnsiTheme="minorHAnsi" w:cstheme="minorBidi"/>
          <w:sz w:val="22"/>
          <w:szCs w:val="22"/>
          <w:rtl/>
        </w:rPr>
      </w:pPr>
      <w:hyperlink w:anchor="_Toc136618697" w:history="1">
        <w:r w:rsidR="00316453" w:rsidRPr="00A65985">
          <w:rPr>
            <w:rStyle w:val="Hyperlink"/>
            <w:rtl/>
          </w:rPr>
          <w:t>בי' רש"י  לקמן דחילוק המלאכות בדבר הנברר אי בורר קשין או צרורות או קמח</w:t>
        </w:r>
      </w:hyperlink>
    </w:p>
    <w:p w14:paraId="0B53C3E3" w14:textId="77777777" w:rsidR="00316453" w:rsidRDefault="00AD16A0" w:rsidP="00ED704E">
      <w:pPr>
        <w:pStyle w:val="TOC3"/>
        <w:rPr>
          <w:rFonts w:asciiTheme="minorHAnsi" w:eastAsiaTheme="minorEastAsia" w:hAnsiTheme="minorHAnsi" w:cstheme="minorBidi"/>
          <w:sz w:val="22"/>
          <w:szCs w:val="22"/>
          <w:rtl/>
        </w:rPr>
      </w:pPr>
      <w:hyperlink w:anchor="_Toc136618698" w:history="1">
        <w:r w:rsidR="00316453" w:rsidRPr="00A65985">
          <w:rPr>
            <w:rStyle w:val="Hyperlink"/>
            <w:rtl/>
          </w:rPr>
          <w:t>בי' הריטב"א דזורה ובורר כ"א מלאכה כרש"י לקמן דחלוק בתוצאה או כרש"י במתני' במעשה</w:t>
        </w:r>
      </w:hyperlink>
    </w:p>
    <w:p w14:paraId="278E9742" w14:textId="77777777" w:rsidR="00316453" w:rsidRDefault="00AD16A0" w:rsidP="00ED704E">
      <w:pPr>
        <w:pStyle w:val="TOC3"/>
        <w:rPr>
          <w:rFonts w:asciiTheme="minorHAnsi" w:eastAsiaTheme="minorEastAsia" w:hAnsiTheme="minorHAnsi" w:cstheme="minorBidi"/>
          <w:sz w:val="22"/>
          <w:szCs w:val="22"/>
          <w:rtl/>
        </w:rPr>
      </w:pPr>
      <w:hyperlink w:anchor="_Toc136618699" w:history="1">
        <w:r w:rsidR="00316453" w:rsidRPr="00A65985">
          <w:rPr>
            <w:rStyle w:val="Hyperlink"/>
            <w:rtl/>
          </w:rPr>
          <w:t>בי' התורא"ש דחילוק המלאכות דכ"א בורר פסולת אחרת שא"א לבוררה במלאכה האחרת</w:t>
        </w:r>
      </w:hyperlink>
    </w:p>
    <w:p w14:paraId="244D96DF" w14:textId="77777777" w:rsidR="00316453" w:rsidRDefault="00AD16A0" w:rsidP="00ED704E">
      <w:pPr>
        <w:pStyle w:val="TOC3"/>
        <w:rPr>
          <w:rFonts w:asciiTheme="minorHAnsi" w:eastAsiaTheme="minorEastAsia" w:hAnsiTheme="minorHAnsi" w:cstheme="minorBidi"/>
          <w:sz w:val="22"/>
          <w:szCs w:val="22"/>
          <w:rtl/>
        </w:rPr>
      </w:pPr>
      <w:hyperlink w:anchor="_Toc136618700" w:history="1">
        <w:r w:rsidR="00316453" w:rsidRPr="00A65985">
          <w:rPr>
            <w:rStyle w:val="Hyperlink"/>
            <w:rtl/>
          </w:rPr>
          <w:t>בי' הרא"ה דזורה ובורר ומרקד בדבר א' עושה שלושתן ול"ד לזורע וזומר דאב א' דכ"א במקו"א</w:t>
        </w:r>
      </w:hyperlink>
    </w:p>
    <w:p w14:paraId="4FA19EF6" w14:textId="77777777" w:rsidR="00316453" w:rsidRDefault="00AD16A0" w:rsidP="00ED704E">
      <w:pPr>
        <w:pStyle w:val="TOC3"/>
        <w:rPr>
          <w:rFonts w:asciiTheme="minorHAnsi" w:eastAsiaTheme="minorEastAsia" w:hAnsiTheme="minorHAnsi" w:cstheme="minorBidi"/>
          <w:sz w:val="22"/>
          <w:szCs w:val="22"/>
          <w:rtl/>
        </w:rPr>
      </w:pPr>
      <w:hyperlink w:anchor="_Toc136618701" w:history="1">
        <w:r w:rsidR="00316453" w:rsidRPr="00A65985">
          <w:rPr>
            <w:rStyle w:val="Hyperlink"/>
            <w:rtl/>
          </w:rPr>
          <w:t>בי' המאירי דחילוק המלאכות הוא באופן העשייה ובזמן המלאכה ובעניין המלאכה</w:t>
        </w:r>
      </w:hyperlink>
    </w:p>
    <w:p w14:paraId="065C14D1" w14:textId="77777777" w:rsidR="00316453" w:rsidRDefault="00AD16A0" w:rsidP="00ED704E">
      <w:pPr>
        <w:pStyle w:val="TOC3"/>
        <w:rPr>
          <w:rFonts w:asciiTheme="minorHAnsi" w:eastAsiaTheme="minorEastAsia" w:hAnsiTheme="minorHAnsi" w:cstheme="minorBidi"/>
          <w:sz w:val="22"/>
          <w:szCs w:val="22"/>
          <w:rtl/>
        </w:rPr>
      </w:pPr>
      <w:hyperlink w:anchor="_Toc136618702" w:history="1">
        <w:r w:rsidR="00316453" w:rsidRPr="00A65985">
          <w:rPr>
            <w:rStyle w:val="Hyperlink"/>
            <w:rtl/>
          </w:rPr>
          <w:t>בי' הרמב"ם דכל דבר שהוא מאותו העניין בכלל האב עצמו וזורה ובורר כ"א בפנ"ע דהיו במשכן</w:t>
        </w:r>
      </w:hyperlink>
    </w:p>
    <w:p w14:paraId="15975A6A" w14:textId="77777777" w:rsidR="00316453" w:rsidRDefault="00AD16A0" w:rsidP="00316453">
      <w:pPr>
        <w:pStyle w:val="TOC2"/>
        <w:rPr>
          <w:rFonts w:cstheme="minorBidi"/>
          <w:b w:val="0"/>
          <w:bCs w:val="0"/>
          <w:sz w:val="22"/>
          <w:szCs w:val="22"/>
          <w:rtl/>
        </w:rPr>
      </w:pPr>
      <w:hyperlink w:anchor="_Toc136618703" w:history="1">
        <w:r w:rsidR="00316453" w:rsidRPr="00A65985">
          <w:rPr>
            <w:rStyle w:val="Hyperlink"/>
            <w:rtl/>
          </w:rPr>
          <w:t>בי' ר"ח והערוך דהחילוק במלאכות הוא במעשה ביד או כלי</w:t>
        </w:r>
      </w:hyperlink>
    </w:p>
    <w:p w14:paraId="6A7448BB" w14:textId="77777777" w:rsidR="00316453" w:rsidRDefault="00AD16A0" w:rsidP="00ED704E">
      <w:pPr>
        <w:pStyle w:val="TOC3"/>
        <w:rPr>
          <w:rFonts w:asciiTheme="minorHAnsi" w:eastAsiaTheme="minorEastAsia" w:hAnsiTheme="minorHAnsi" w:cstheme="minorBidi"/>
          <w:sz w:val="22"/>
          <w:szCs w:val="22"/>
          <w:rtl/>
        </w:rPr>
      </w:pPr>
      <w:hyperlink w:anchor="_Toc136618704" w:history="1">
        <w:r w:rsidR="00316453" w:rsidRPr="00A65985">
          <w:rPr>
            <w:rStyle w:val="Hyperlink"/>
            <w:rtl/>
          </w:rPr>
          <w:t>בי' ר"ח והערוך דהחילוק במלאכות במעשה ברוח ביד ובכלי ובנפה אף פסולת מאוכל הוא מרקד</w:t>
        </w:r>
      </w:hyperlink>
    </w:p>
    <w:p w14:paraId="0A171EEE" w14:textId="77777777" w:rsidR="00316453" w:rsidRDefault="00AD16A0" w:rsidP="00ED704E">
      <w:pPr>
        <w:pStyle w:val="TOC3"/>
        <w:rPr>
          <w:rFonts w:asciiTheme="minorHAnsi" w:eastAsiaTheme="minorEastAsia" w:hAnsiTheme="minorHAnsi" w:cstheme="minorBidi"/>
          <w:sz w:val="22"/>
          <w:szCs w:val="22"/>
          <w:rtl/>
        </w:rPr>
      </w:pPr>
      <w:hyperlink w:anchor="_Toc136618705" w:history="1">
        <w:r w:rsidR="00316453" w:rsidRPr="00A65985">
          <w:rPr>
            <w:rStyle w:val="Hyperlink"/>
            <w:rtl/>
          </w:rPr>
          <w:t>בי' הר"ן דחילוק המלאכות ברחת ובידיו ובנפה ודחלוקים במעשה ובזמן בתבן ובצרורות ובסובין</w:t>
        </w:r>
      </w:hyperlink>
    </w:p>
    <w:p w14:paraId="340A40A4" w14:textId="77777777" w:rsidR="00316453" w:rsidRDefault="00AD16A0" w:rsidP="00ED704E">
      <w:pPr>
        <w:pStyle w:val="TOC3"/>
        <w:rPr>
          <w:rFonts w:asciiTheme="minorHAnsi" w:eastAsiaTheme="minorEastAsia" w:hAnsiTheme="minorHAnsi" w:cstheme="minorBidi"/>
          <w:sz w:val="22"/>
          <w:szCs w:val="22"/>
          <w:rtl/>
        </w:rPr>
      </w:pPr>
      <w:hyperlink w:anchor="_Toc136618706" w:history="1">
        <w:r w:rsidR="00316453" w:rsidRPr="00A65985">
          <w:rPr>
            <w:rStyle w:val="Hyperlink"/>
            <w:rtl/>
          </w:rPr>
          <w:t xml:space="preserve">בי' השביתת השבת דמדברי הטל אורות </w:t>
        </w:r>
        <w:r w:rsidR="00316453">
          <w:rPr>
            <w:rStyle w:val="Hyperlink"/>
            <w:rtl/>
          </w:rPr>
          <w:t>הספרדי</w:t>
        </w:r>
        <w:r w:rsidR="00316453" w:rsidRPr="00A65985">
          <w:rPr>
            <w:rStyle w:val="Hyperlink"/>
            <w:rtl/>
          </w:rPr>
          <w:t xml:space="preserve"> מבו' דעיקר כוונת הר"ן כר"ח והערוך</w:t>
        </w:r>
      </w:hyperlink>
    </w:p>
    <w:p w14:paraId="085EA58E" w14:textId="77777777" w:rsidR="00316453" w:rsidRDefault="00AD16A0" w:rsidP="00316453">
      <w:pPr>
        <w:pStyle w:val="TOC2"/>
        <w:rPr>
          <w:rFonts w:cstheme="minorBidi"/>
          <w:b w:val="0"/>
          <w:bCs w:val="0"/>
          <w:sz w:val="22"/>
          <w:szCs w:val="22"/>
          <w:rtl/>
        </w:rPr>
      </w:pPr>
      <w:hyperlink w:anchor="_Toc136618707" w:history="1">
        <w:r w:rsidR="00316453" w:rsidRPr="00A65985">
          <w:rPr>
            <w:rStyle w:val="Hyperlink"/>
            <w:rtl/>
          </w:rPr>
          <w:t>בי' האחרונים אי זורה ביד חייב ואי בורר בנפה הוי רק מרקד</w:t>
        </w:r>
      </w:hyperlink>
    </w:p>
    <w:p w14:paraId="3201E120" w14:textId="77777777" w:rsidR="00316453" w:rsidRDefault="00AD16A0" w:rsidP="00ED704E">
      <w:pPr>
        <w:pStyle w:val="TOC3"/>
        <w:rPr>
          <w:rFonts w:asciiTheme="minorHAnsi" w:eastAsiaTheme="minorEastAsia" w:hAnsiTheme="minorHAnsi" w:cstheme="minorBidi"/>
          <w:sz w:val="22"/>
          <w:szCs w:val="22"/>
          <w:rtl/>
        </w:rPr>
      </w:pPr>
      <w:hyperlink w:anchor="_Toc136618708" w:history="1">
        <w:r w:rsidR="00316453" w:rsidRPr="00A65985">
          <w:rPr>
            <w:rStyle w:val="Hyperlink"/>
            <w:rtl/>
          </w:rPr>
          <w:t>בי' המגן אבות והמנ"ח ברש"י דחיוב זורה רק ברחת ולא ביד אך לסמ"ק וירושלמי ה"ה ביד</w:t>
        </w:r>
      </w:hyperlink>
    </w:p>
    <w:p w14:paraId="0D26465F" w14:textId="77777777" w:rsidR="00316453" w:rsidRDefault="00AD16A0" w:rsidP="00ED704E">
      <w:pPr>
        <w:pStyle w:val="TOC3"/>
        <w:rPr>
          <w:rFonts w:asciiTheme="minorHAnsi" w:eastAsiaTheme="minorEastAsia" w:hAnsiTheme="minorHAnsi" w:cstheme="minorBidi"/>
          <w:sz w:val="22"/>
          <w:szCs w:val="22"/>
          <w:rtl/>
        </w:rPr>
      </w:pPr>
      <w:hyperlink w:anchor="_Toc136618709" w:history="1">
        <w:r w:rsidR="00316453" w:rsidRPr="00A65985">
          <w:rPr>
            <w:rStyle w:val="Hyperlink"/>
            <w:rtl/>
          </w:rPr>
          <w:t>בי' האגל"ט בר"ח דחילוק המלאכות בצורת הפעולה ובורר בנפה הוא לעולם מרקד ודלא כרש"י</w:t>
        </w:r>
      </w:hyperlink>
    </w:p>
    <w:p w14:paraId="10665167" w14:textId="77777777" w:rsidR="00316453" w:rsidRDefault="00AD16A0" w:rsidP="00ED704E">
      <w:pPr>
        <w:pStyle w:val="TOC3"/>
        <w:rPr>
          <w:rFonts w:asciiTheme="minorHAnsi" w:eastAsiaTheme="minorEastAsia" w:hAnsiTheme="minorHAnsi" w:cstheme="minorBidi"/>
          <w:sz w:val="22"/>
          <w:szCs w:val="22"/>
          <w:rtl/>
        </w:rPr>
      </w:pPr>
      <w:hyperlink w:anchor="_Toc136618710" w:history="1">
        <w:r w:rsidR="00316453" w:rsidRPr="00A65985">
          <w:rPr>
            <w:rStyle w:val="Hyperlink"/>
            <w:rtl/>
          </w:rPr>
          <w:t>בי' האגל"ט ברש"י דהחילוק במלאכות בדברים שפועל בהם וזורה בין ביד ובין בכלי הוי זורה</w:t>
        </w:r>
      </w:hyperlink>
    </w:p>
    <w:p w14:paraId="404D9A4F" w14:textId="77777777" w:rsidR="00316453" w:rsidRDefault="00AD16A0" w:rsidP="00ED704E">
      <w:pPr>
        <w:pStyle w:val="TOC3"/>
        <w:rPr>
          <w:rFonts w:asciiTheme="minorHAnsi" w:eastAsiaTheme="minorEastAsia" w:hAnsiTheme="minorHAnsi" w:cstheme="minorBidi"/>
          <w:sz w:val="22"/>
          <w:szCs w:val="22"/>
          <w:rtl/>
        </w:rPr>
      </w:pPr>
      <w:hyperlink w:anchor="_Toc136618711" w:history="1">
        <w:r w:rsidR="00316453" w:rsidRPr="00A65985">
          <w:rPr>
            <w:rStyle w:val="Hyperlink"/>
            <w:rtl/>
          </w:rPr>
          <w:t>בי' האגל"ט דלרש"י ולרמב"ן ולר"ן ברירה בנפה היא בורר ולא מרקד ודלא כר"ח</w:t>
        </w:r>
      </w:hyperlink>
    </w:p>
    <w:p w14:paraId="7C25A3E2" w14:textId="77777777" w:rsidR="00316453" w:rsidRDefault="00AD16A0" w:rsidP="00ED704E">
      <w:pPr>
        <w:pStyle w:val="TOC3"/>
        <w:rPr>
          <w:rFonts w:asciiTheme="minorHAnsi" w:eastAsiaTheme="minorEastAsia" w:hAnsiTheme="minorHAnsi" w:cstheme="minorBidi"/>
          <w:sz w:val="22"/>
          <w:szCs w:val="22"/>
          <w:rtl/>
        </w:rPr>
      </w:pPr>
      <w:hyperlink w:anchor="_Toc136618712" w:history="1">
        <w:r w:rsidR="00316453" w:rsidRPr="00A65985">
          <w:rPr>
            <w:rStyle w:val="Hyperlink"/>
            <w:rtl/>
          </w:rPr>
          <w:t>בי' השביתת השבת דרש"י מודה לר"ח דזורה רק ברוח ולא בכלי ונח' רק בפסולת מאוכל בנפה</w:t>
        </w:r>
      </w:hyperlink>
    </w:p>
    <w:p w14:paraId="4B0D177A" w14:textId="77777777" w:rsidR="00316453" w:rsidRDefault="00AD16A0" w:rsidP="00316453">
      <w:pPr>
        <w:pStyle w:val="TOC2"/>
        <w:rPr>
          <w:rFonts w:cstheme="minorBidi"/>
          <w:b w:val="0"/>
          <w:bCs w:val="0"/>
          <w:sz w:val="22"/>
          <w:szCs w:val="22"/>
          <w:rtl/>
        </w:rPr>
      </w:pPr>
      <w:hyperlink w:anchor="_Toc136618713" w:history="1">
        <w:r w:rsidR="00316453" w:rsidRPr="00A65985">
          <w:rPr>
            <w:rStyle w:val="Hyperlink"/>
            <w:rtl/>
          </w:rPr>
          <w:t>בי' האגל"ט דהם מלאכה אחת לחומרא ולא לקולא</w:t>
        </w:r>
      </w:hyperlink>
    </w:p>
    <w:p w14:paraId="504A7F42" w14:textId="77777777" w:rsidR="00316453" w:rsidRDefault="00AD16A0" w:rsidP="00ED704E">
      <w:pPr>
        <w:pStyle w:val="TOC3"/>
        <w:rPr>
          <w:rFonts w:asciiTheme="minorHAnsi" w:eastAsiaTheme="minorEastAsia" w:hAnsiTheme="minorHAnsi" w:cstheme="minorBidi"/>
          <w:sz w:val="22"/>
          <w:szCs w:val="22"/>
          <w:rtl/>
        </w:rPr>
      </w:pPr>
      <w:hyperlink w:anchor="_Toc136618714" w:history="1">
        <w:r w:rsidR="00316453" w:rsidRPr="00A65985">
          <w:rPr>
            <w:rStyle w:val="Hyperlink"/>
            <w:rtl/>
          </w:rPr>
          <w:t>בי' האגל"ט דחילוק בין זורה ובורר ומרקד הוא רק לחומרא אך לקולא מצטרפים  לשיעור וספק</w:t>
        </w:r>
      </w:hyperlink>
    </w:p>
    <w:p w14:paraId="5500DBF2" w14:textId="77777777" w:rsidR="00316453" w:rsidRDefault="00AD16A0" w:rsidP="00316453">
      <w:pPr>
        <w:pStyle w:val="TOC1"/>
        <w:rPr>
          <w:rFonts w:asciiTheme="minorHAnsi" w:hAnsiTheme="minorHAnsi" w:cstheme="minorBidi"/>
          <w:b w:val="0"/>
          <w:bCs w:val="0"/>
          <w:caps w:val="0"/>
          <w:sz w:val="22"/>
          <w:szCs w:val="22"/>
          <w:rtl/>
        </w:rPr>
      </w:pPr>
      <w:hyperlink w:anchor="_Toc136618715" w:history="1">
        <w:r w:rsidR="00316453" w:rsidRPr="00A65985">
          <w:rPr>
            <w:rStyle w:val="Hyperlink"/>
            <w:rtl/>
          </w:rPr>
          <w:t>~~~~~~~ ביאורי ראשי הישיבות ~~~~~~~</w:t>
        </w:r>
      </w:hyperlink>
    </w:p>
    <w:p w14:paraId="1D02AC02" w14:textId="77777777" w:rsidR="00316453" w:rsidRDefault="00AD16A0" w:rsidP="00316453">
      <w:pPr>
        <w:pStyle w:val="TOC1"/>
        <w:rPr>
          <w:rFonts w:asciiTheme="minorHAnsi" w:hAnsiTheme="minorHAnsi" w:cstheme="minorBidi"/>
          <w:b w:val="0"/>
          <w:bCs w:val="0"/>
          <w:caps w:val="0"/>
          <w:sz w:val="22"/>
          <w:szCs w:val="22"/>
          <w:rtl/>
        </w:rPr>
      </w:pPr>
      <w:hyperlink w:anchor="_Toc136618716" w:history="1">
        <w:r w:rsidR="00316453" w:rsidRPr="00A65985">
          <w:rPr>
            <w:rStyle w:val="Hyperlink"/>
            <w:rtl/>
          </w:rPr>
          <w:t>בבי' מלאכה שיסודה הפרדה דהיא צל"ג</w:t>
        </w:r>
      </w:hyperlink>
    </w:p>
    <w:p w14:paraId="0A8D7B15" w14:textId="77777777" w:rsidR="00316453" w:rsidRDefault="00AD16A0" w:rsidP="00316453">
      <w:pPr>
        <w:pStyle w:val="TOC2"/>
        <w:rPr>
          <w:rFonts w:cstheme="minorBidi"/>
          <w:b w:val="0"/>
          <w:bCs w:val="0"/>
          <w:sz w:val="22"/>
          <w:szCs w:val="22"/>
          <w:rtl/>
        </w:rPr>
      </w:pPr>
      <w:hyperlink w:anchor="_Toc136618717" w:history="1">
        <w:r w:rsidR="00316453" w:rsidRPr="00A65985">
          <w:rPr>
            <w:rStyle w:val="Hyperlink"/>
            <w:rtl/>
          </w:rPr>
          <w:t>בי' הקה"י דזורה וגוזז דיסודם הפרדה חשיבא ההפרדה כצל"ג</w:t>
        </w:r>
      </w:hyperlink>
    </w:p>
    <w:p w14:paraId="70B78A80" w14:textId="77777777" w:rsidR="00316453" w:rsidRDefault="00AD16A0" w:rsidP="00ED704E">
      <w:pPr>
        <w:pStyle w:val="TOC3"/>
        <w:rPr>
          <w:rFonts w:asciiTheme="minorHAnsi" w:eastAsiaTheme="minorEastAsia" w:hAnsiTheme="minorHAnsi" w:cstheme="minorBidi"/>
          <w:sz w:val="22"/>
          <w:szCs w:val="22"/>
          <w:rtl/>
        </w:rPr>
      </w:pPr>
      <w:hyperlink w:anchor="_Toc136618718" w:history="1">
        <w:r w:rsidR="00316453" w:rsidRPr="00A65985">
          <w:rPr>
            <w:rStyle w:val="Hyperlink"/>
            <w:rtl/>
          </w:rPr>
          <w:t>בי' הקה"י דמלאכה שצריך להפריד דבר א' מדבר אחר כגוזז ובורר כל שצריך לא' מהם הוי צל"ג</w:t>
        </w:r>
      </w:hyperlink>
    </w:p>
    <w:p w14:paraId="4C494157" w14:textId="77777777" w:rsidR="00316453" w:rsidRDefault="00AD16A0" w:rsidP="00ED704E">
      <w:pPr>
        <w:pStyle w:val="TOC3"/>
        <w:rPr>
          <w:rFonts w:asciiTheme="minorHAnsi" w:eastAsiaTheme="minorEastAsia" w:hAnsiTheme="minorHAnsi" w:cstheme="minorBidi"/>
          <w:sz w:val="22"/>
          <w:szCs w:val="22"/>
          <w:rtl/>
        </w:rPr>
      </w:pPr>
      <w:hyperlink w:anchor="_Toc136618719" w:history="1">
        <w:r w:rsidR="00316453" w:rsidRPr="00A65985">
          <w:rPr>
            <w:rStyle w:val="Hyperlink"/>
            <w:rtl/>
          </w:rPr>
          <w:t>בי' הקה"י דבחופר גומא עיקר המלאכה אינה הפרדה ורק בגוזז ובורר וזורה חייב בהפרדה עצמה</w:t>
        </w:r>
      </w:hyperlink>
    </w:p>
    <w:p w14:paraId="315C95BA" w14:textId="77777777" w:rsidR="00316453" w:rsidRDefault="00AD16A0" w:rsidP="00316453">
      <w:pPr>
        <w:pStyle w:val="TOC1"/>
        <w:rPr>
          <w:rFonts w:asciiTheme="minorHAnsi" w:hAnsiTheme="minorHAnsi" w:cstheme="minorBidi"/>
          <w:b w:val="0"/>
          <w:bCs w:val="0"/>
          <w:caps w:val="0"/>
          <w:sz w:val="22"/>
          <w:szCs w:val="22"/>
          <w:rtl/>
        </w:rPr>
      </w:pPr>
      <w:hyperlink w:anchor="_Toc136618720" w:history="1">
        <w:r w:rsidR="00316453" w:rsidRPr="00A65985">
          <w:rPr>
            <w:rStyle w:val="Hyperlink"/>
            <w:rtl/>
          </w:rPr>
          <w:t>בזורה דהפרדת פסולת והפרדת חלקים</w:t>
        </w:r>
      </w:hyperlink>
    </w:p>
    <w:p w14:paraId="47E8C25B" w14:textId="77777777" w:rsidR="00316453" w:rsidRDefault="00AD16A0" w:rsidP="00316453">
      <w:pPr>
        <w:pStyle w:val="TOC2"/>
        <w:rPr>
          <w:rFonts w:cstheme="minorBidi"/>
          <w:b w:val="0"/>
          <w:bCs w:val="0"/>
          <w:sz w:val="22"/>
          <w:szCs w:val="22"/>
          <w:rtl/>
        </w:rPr>
      </w:pPr>
      <w:hyperlink w:anchor="_Toc136618721" w:history="1">
        <w:r w:rsidR="00316453" w:rsidRPr="00A65985">
          <w:rPr>
            <w:rStyle w:val="Hyperlink"/>
            <w:rtl/>
          </w:rPr>
          <w:t>בי' האבי עזרי דיסוד זורה בירור פסולת והפרדת חלקים תולדה</w:t>
        </w:r>
      </w:hyperlink>
    </w:p>
    <w:p w14:paraId="47750954" w14:textId="77777777" w:rsidR="00316453" w:rsidRDefault="00AD16A0" w:rsidP="00ED704E">
      <w:pPr>
        <w:pStyle w:val="TOC3"/>
        <w:rPr>
          <w:rFonts w:asciiTheme="minorHAnsi" w:eastAsiaTheme="minorEastAsia" w:hAnsiTheme="minorHAnsi" w:cstheme="minorBidi"/>
          <w:sz w:val="22"/>
          <w:szCs w:val="22"/>
          <w:rtl/>
        </w:rPr>
      </w:pPr>
      <w:hyperlink w:anchor="_Toc136618722" w:history="1">
        <w:r w:rsidR="00316453" w:rsidRPr="00A65985">
          <w:rPr>
            <w:rStyle w:val="Hyperlink"/>
            <w:rtl/>
          </w:rPr>
          <w:t>בי' השביתת השבת דכיון דהפרדה היא עיקר המלאכה הפרדת חלקים תולדה דהפרדת פסולת</w:t>
        </w:r>
      </w:hyperlink>
    </w:p>
    <w:p w14:paraId="6FF3C769" w14:textId="77777777" w:rsidR="00316453" w:rsidRDefault="00AD16A0" w:rsidP="00ED704E">
      <w:pPr>
        <w:pStyle w:val="TOC3"/>
        <w:rPr>
          <w:rFonts w:asciiTheme="minorHAnsi" w:eastAsiaTheme="minorEastAsia" w:hAnsiTheme="minorHAnsi" w:cstheme="minorBidi"/>
          <w:sz w:val="22"/>
          <w:szCs w:val="22"/>
          <w:rtl/>
        </w:rPr>
      </w:pPr>
      <w:hyperlink w:anchor="_Toc136618723" w:history="1">
        <w:r w:rsidR="00316453" w:rsidRPr="00A65985">
          <w:rPr>
            <w:rStyle w:val="Hyperlink"/>
            <w:rtl/>
          </w:rPr>
          <w:t>בי' האבי עזרי דהא דמבו' בבבלי דזורה הוא הפרדת פסולת היינו עיקר המלאכה ולא התולדה</w:t>
        </w:r>
      </w:hyperlink>
    </w:p>
    <w:p w14:paraId="7635F68F" w14:textId="77777777" w:rsidR="00316453" w:rsidRDefault="00316453" w:rsidP="00316453">
      <w:pPr>
        <w:keepNext/>
        <w:keepLines/>
        <w:spacing w:after="0" w:line="240" w:lineRule="auto"/>
        <w:jc w:val="center"/>
        <w:outlineLvl w:val="1"/>
        <w:rPr>
          <w:rFonts w:eastAsiaTheme="minorHAnsi" w:cs="Guttman Hodes"/>
          <w:b/>
          <w:bCs/>
          <w:noProof/>
          <w:sz w:val="14"/>
          <w:szCs w:val="14"/>
          <w:rtl/>
        </w:rPr>
        <w:sectPr w:rsidR="00316453" w:rsidSect="00CA28B3">
          <w:headerReference w:type="even" r:id="rId87"/>
          <w:headerReference w:type="default" r:id="rId88"/>
          <w:footerReference w:type="even" r:id="rId89"/>
          <w:footerReference w:type="default" r:id="rId90"/>
          <w:headerReference w:type="first" r:id="rId91"/>
          <w:footerReference w:type="first" r:id="rId92"/>
          <w:type w:val="continuous"/>
          <w:pgSz w:w="11906" w:h="16838"/>
          <w:pgMar w:top="720" w:right="720" w:bottom="720" w:left="720" w:header="283" w:footer="283" w:gutter="0"/>
          <w:cols w:num="2" w:space="113"/>
          <w:titlePg/>
          <w:bidi/>
          <w:rtlGutter/>
          <w:docGrid w:linePitch="299"/>
        </w:sectPr>
      </w:pPr>
      <w:r w:rsidRPr="00224A5A">
        <w:rPr>
          <w:rFonts w:eastAsiaTheme="minorHAnsi" w:cs="Guttman Hodes"/>
          <w:b/>
          <w:bCs/>
          <w:noProof/>
          <w:sz w:val="14"/>
          <w:szCs w:val="14"/>
          <w:rtl/>
        </w:rPr>
        <w:fldChar w:fldCharType="end"/>
      </w:r>
    </w:p>
    <w:p w14:paraId="0F40D00D" w14:textId="77777777" w:rsidR="00316453" w:rsidRPr="00224A5A" w:rsidRDefault="00316453" w:rsidP="00316453">
      <w:pPr>
        <w:keepNext/>
        <w:keepLines/>
        <w:spacing w:after="0" w:line="240" w:lineRule="auto"/>
        <w:jc w:val="center"/>
        <w:outlineLvl w:val="1"/>
        <w:rPr>
          <w:rFonts w:ascii="FrankRuehl" w:eastAsia="Guttman Adii-Light" w:hAnsi="FrankRuehl" w:cs="Guttman Hodes"/>
          <w:b/>
          <w:bCs/>
          <w:noProof/>
          <w:sz w:val="24"/>
          <w:szCs w:val="24"/>
          <w:rtl/>
        </w:rPr>
        <w:sectPr w:rsidR="00316453" w:rsidRPr="00224A5A" w:rsidSect="00CA28B3">
          <w:type w:val="continuous"/>
          <w:pgSz w:w="11906" w:h="16838"/>
          <w:pgMar w:top="720" w:right="720" w:bottom="720" w:left="720" w:header="283" w:footer="283" w:gutter="0"/>
          <w:cols w:num="2" w:space="113"/>
          <w:titlePg/>
          <w:bidi/>
          <w:rtlGutter/>
          <w:docGrid w:linePitch="299"/>
        </w:sectPr>
      </w:pPr>
    </w:p>
    <w:p w14:paraId="447A3F31" w14:textId="77777777" w:rsidR="00316453" w:rsidRPr="00224A5A" w:rsidRDefault="00316453" w:rsidP="00316453">
      <w:pPr>
        <w:spacing w:before="240" w:after="0" w:line="360" w:lineRule="auto"/>
        <w:jc w:val="center"/>
        <w:outlineLvl w:val="1"/>
        <w:rPr>
          <w:rFonts w:ascii="Guttman Adii-Light" w:eastAsia="Guttman Adii-Light" w:hAnsi="Guttman Adii-Light" w:cs="Guttman Hodes"/>
          <w:b/>
          <w:bCs/>
          <w:sz w:val="18"/>
          <w:szCs w:val="28"/>
          <w:rtl/>
        </w:rPr>
        <w:sectPr w:rsidR="00316453" w:rsidRPr="00224A5A" w:rsidSect="00CA28B3">
          <w:pgSz w:w="11906" w:h="16838"/>
          <w:pgMar w:top="720" w:right="720" w:bottom="720" w:left="720" w:header="283" w:footer="283" w:gutter="0"/>
          <w:cols w:space="720"/>
          <w:bidi/>
          <w:rtlGutter/>
          <w:docGrid w:linePitch="299"/>
        </w:sectPr>
      </w:pPr>
      <w:r w:rsidRPr="00224A5A">
        <w:rPr>
          <w:rFonts w:ascii="Guttman Adii-Light" w:eastAsia="Guttman Adii-Light" w:hAnsi="Guttman Adii-Light" w:cs="Guttman Hodes" w:hint="cs"/>
          <w:b/>
          <w:bCs/>
          <w:sz w:val="18"/>
          <w:szCs w:val="28"/>
          <w:rtl/>
        </w:rPr>
        <w:lastRenderedPageBreak/>
        <w:t>~~~</w:t>
      </w:r>
      <w:r w:rsidRPr="00224A5A">
        <w:rPr>
          <w:rFonts w:ascii="Guttman Adii-Light" w:eastAsia="Guttman Adii-Light" w:hAnsi="Guttman Adii-Light" w:cs="Guttman Hodes"/>
          <w:b/>
          <w:bCs/>
          <w:noProof/>
          <w:sz w:val="18"/>
          <w:szCs w:val="28"/>
          <w:rtl/>
        </w:rPr>
        <w:t>~~</w:t>
      </w:r>
      <w:r w:rsidRPr="00224A5A">
        <w:rPr>
          <w:rFonts w:ascii="Guttman Adii-Light" w:eastAsia="Guttman Adii-Light" w:hAnsi="Guttman Adii-Light" w:cs="Guttman Hodes" w:hint="cs"/>
          <w:b/>
          <w:bCs/>
          <w:sz w:val="18"/>
          <w:szCs w:val="28"/>
          <w:rtl/>
        </w:rPr>
        <w:t>~~ מראי מקומות וביאורים ~~~</w:t>
      </w:r>
      <w:r w:rsidRPr="00224A5A">
        <w:rPr>
          <w:rFonts w:ascii="Guttman Adii-Light" w:eastAsia="Guttman Adii-Light" w:hAnsi="Guttman Adii-Light" w:cs="Guttman Hodes"/>
          <w:b/>
          <w:bCs/>
          <w:noProof/>
          <w:sz w:val="18"/>
          <w:szCs w:val="28"/>
          <w:rtl/>
        </w:rPr>
        <w:t>~~</w:t>
      </w:r>
      <w:r w:rsidRPr="00224A5A">
        <w:rPr>
          <w:rFonts w:ascii="Guttman Adii-Light" w:eastAsia="Guttman Adii-Light" w:hAnsi="Guttman Adii-Light" w:cs="Guttman Hodes" w:hint="cs"/>
          <w:b/>
          <w:bCs/>
          <w:sz w:val="18"/>
          <w:szCs w:val="28"/>
          <w:rtl/>
        </w:rPr>
        <w:t>~~</w:t>
      </w:r>
    </w:p>
    <w:p w14:paraId="20D704AF" w14:textId="77777777" w:rsidR="00316453" w:rsidRDefault="00316453" w:rsidP="00316453">
      <w:pPr>
        <w:pStyle w:val="affff5"/>
        <w:rPr>
          <w:rtl/>
        </w:rPr>
      </w:pPr>
      <w:bookmarkStart w:id="1832" w:name="_Toc136618644"/>
      <w:r>
        <w:rPr>
          <w:rFonts w:hint="cs"/>
          <w:rtl/>
        </w:rPr>
        <w:t>בגדר זורה ובורר אי הוי מלאכה שצל"ג</w:t>
      </w:r>
      <w:bookmarkEnd w:id="1832"/>
    </w:p>
    <w:p w14:paraId="73DB64CB" w14:textId="77777777" w:rsidR="00316453" w:rsidRDefault="00316453" w:rsidP="00316453">
      <w:pPr>
        <w:pStyle w:val="1"/>
        <w:rPr>
          <w:rtl/>
        </w:rPr>
      </w:pPr>
      <w:bookmarkStart w:id="1833" w:name="_Toc136618645"/>
      <w:r>
        <w:rPr>
          <w:rFonts w:hint="cs"/>
          <w:rtl/>
        </w:rPr>
        <w:t>בי' הבעה"מ דזורה ובורר הוא מלאכה שאצל"ג ואפ"ה חייב</w:t>
      </w:r>
      <w:bookmarkEnd w:id="1833"/>
    </w:p>
    <w:p w14:paraId="42B6BAEE" w14:textId="77777777" w:rsidR="00316453" w:rsidRDefault="00316453" w:rsidP="00316453">
      <w:pPr>
        <w:pStyle w:val="afffff7"/>
        <w:rPr>
          <w:rtl/>
        </w:rPr>
      </w:pPr>
      <w:bookmarkStart w:id="1834" w:name="_Toc136620415"/>
      <w:bookmarkStart w:id="1835" w:name="_Toc163505694"/>
      <w:r w:rsidRPr="005D0910">
        <w:rPr>
          <w:rtl/>
        </w:rPr>
        <w:t>המאור שבת ל"ח ע"א</w:t>
      </w:r>
      <w:r>
        <w:rPr>
          <w:rFonts w:hint="cs"/>
          <w:rtl/>
        </w:rPr>
        <w:t xml:space="preserve"> מדה"ר ד"ה כל מלאכה</w:t>
      </w:r>
      <w:bookmarkEnd w:id="1834"/>
      <w:bookmarkEnd w:id="1835"/>
    </w:p>
    <w:p w14:paraId="772E079C" w14:textId="77777777" w:rsidR="00316453" w:rsidRPr="009D3D55" w:rsidRDefault="00316453" w:rsidP="00316453">
      <w:pPr>
        <w:pStyle w:val="a7"/>
        <w:rPr>
          <w:rFonts w:cs="Arial"/>
          <w:rtl/>
        </w:rPr>
      </w:pPr>
      <w:bookmarkStart w:id="1836" w:name="_Toc136618646"/>
      <w:r>
        <w:rPr>
          <w:rFonts w:hint="cs"/>
          <w:rtl/>
        </w:rPr>
        <w:t>בי' הבעה"מ דבכל מלאכת המשכן רק זורה ובורר אינם מלאכות לצורך גופן</w:t>
      </w:r>
      <w:bookmarkEnd w:id="1836"/>
      <w:r>
        <w:rPr>
          <w:rFonts w:hint="cs"/>
          <w:rtl/>
        </w:rPr>
        <w:t xml:space="preserve"> </w:t>
      </w:r>
    </w:p>
    <w:p w14:paraId="3BE6F2FE" w14:textId="7D3972BC" w:rsidR="00316453" w:rsidRPr="002F00AE" w:rsidRDefault="00316453" w:rsidP="00BC7DC8">
      <w:pPr>
        <w:pStyle w:val="a3"/>
        <w:numPr>
          <w:ilvl w:val="0"/>
          <w:numId w:val="22"/>
        </w:numPr>
        <w:rPr>
          <w:rtl/>
        </w:rPr>
      </w:pPr>
      <w:bookmarkStart w:id="1837" w:name="_Ref135731936"/>
      <w:r w:rsidRPr="000F6D82">
        <w:rPr>
          <w:rFonts w:hint="cs"/>
          <w:rtl/>
        </w:rPr>
        <w:t xml:space="preserve">כתב </w:t>
      </w:r>
      <w:r w:rsidRPr="00BC7DC8">
        <w:rPr>
          <w:rStyle w:val="aff4"/>
          <w:rFonts w:hint="cs"/>
          <w:vanish/>
          <w:rtl/>
        </w:rPr>
        <w:t>-</w:t>
      </w:r>
      <w:r w:rsidRPr="002241EC">
        <w:rPr>
          <w:rStyle w:val="aff4"/>
          <w:rFonts w:hint="cs"/>
          <w:rtl/>
        </w:rPr>
        <w:t>ה</w:t>
      </w:r>
      <w:r w:rsidRPr="00BC7DC8">
        <w:rPr>
          <w:rStyle w:val="aff4"/>
          <w:rFonts w:hint="cs"/>
          <w:vanish/>
          <w:rtl/>
        </w:rPr>
        <w:t xml:space="preserve">&lt;. </w:t>
      </w:r>
      <w:r w:rsidRPr="00BC7DC8">
        <w:rPr>
          <w:rStyle w:val="aff4"/>
          <w:vanish/>
          <w:rtl/>
        </w:rPr>
        <w:fldChar w:fldCharType="begin"/>
      </w:r>
      <w:r w:rsidRPr="00BC7DC8">
        <w:rPr>
          <w:rStyle w:val="aff4"/>
          <w:vanish/>
          <w:rtl/>
        </w:rPr>
        <w:instrText xml:space="preserve"> </w:instrText>
      </w:r>
      <w:r w:rsidRPr="00BC7DC8">
        <w:rPr>
          <w:rStyle w:val="aff4"/>
          <w:rFonts w:hint="cs"/>
          <w:vanish/>
        </w:rPr>
        <w:instrText>REF</w:instrText>
      </w:r>
      <w:r w:rsidRPr="00BC7DC8">
        <w:rPr>
          <w:rStyle w:val="aff4"/>
          <w:rFonts w:hint="cs"/>
          <w:vanish/>
          <w:rtl/>
        </w:rPr>
        <w:instrText xml:space="preserve"> _</w:instrText>
      </w:r>
      <w:r w:rsidRPr="00BC7DC8">
        <w:rPr>
          <w:rStyle w:val="aff4"/>
          <w:rFonts w:hint="cs"/>
          <w:vanish/>
        </w:rPr>
        <w:instrText>Ref135731936 \r \h</w:instrText>
      </w:r>
      <w:r w:rsidRPr="00BC7DC8">
        <w:rPr>
          <w:rStyle w:val="aff4"/>
          <w:vanish/>
          <w:rtl/>
        </w:rPr>
        <w:instrText xml:space="preserve">  \* </w:instrText>
      </w:r>
      <w:r w:rsidRPr="00BC7DC8">
        <w:rPr>
          <w:rStyle w:val="aff4"/>
          <w:vanish/>
        </w:rPr>
        <w:instrText>MERGEFORMAT</w:instrText>
      </w:r>
      <w:r w:rsidRPr="00BC7DC8">
        <w:rPr>
          <w:rStyle w:val="aff4"/>
          <w:vanish/>
          <w:rtl/>
        </w:rPr>
        <w:instrText xml:space="preserve"> </w:instrText>
      </w:r>
      <w:r w:rsidRPr="00112C74">
        <w:rPr>
          <w:rStyle w:val="aff4"/>
          <w:vanish/>
          <w:rtl/>
        </w:rPr>
      </w:r>
      <w:r w:rsidRPr="00BC7DC8">
        <w:rPr>
          <w:rStyle w:val="aff4"/>
          <w:vanish/>
          <w:rtl/>
        </w:rPr>
        <w:fldChar w:fldCharType="separate"/>
      </w:r>
      <w:r w:rsidR="00D82181">
        <w:rPr>
          <w:rStyle w:val="aff4"/>
          <w:vanish/>
          <w:cs/>
        </w:rPr>
        <w:t>‎</w:t>
      </w:r>
      <w:r w:rsidR="00D82181">
        <w:rPr>
          <w:rStyle w:val="aff4"/>
          <w:vanish/>
          <w:rtl/>
        </w:rPr>
        <w:t>א)</w:t>
      </w:r>
      <w:r w:rsidRPr="00BC7DC8">
        <w:rPr>
          <w:rStyle w:val="aff4"/>
          <w:vanish/>
          <w:rtl/>
        </w:rPr>
        <w:fldChar w:fldCharType="end"/>
      </w:r>
      <w:r w:rsidRPr="00BC7DC8">
        <w:rPr>
          <w:rStyle w:val="aff4"/>
          <w:rFonts w:hint="cs"/>
          <w:vanish/>
          <w:rtl/>
        </w:rPr>
        <w:t xml:space="preserve"> &gt;</w:t>
      </w:r>
      <w:r w:rsidRPr="00C86935">
        <w:rPr>
          <w:rStyle w:val="aff4"/>
          <w:rFonts w:hint="cs"/>
          <w:rtl/>
        </w:rPr>
        <w:t>בהע"מ לקמן</w:t>
      </w:r>
      <w:r w:rsidRPr="00BC7DC8">
        <w:rPr>
          <w:rStyle w:val="aff4"/>
          <w:rFonts w:hint="cs"/>
          <w:vanish/>
          <w:rtl/>
        </w:rPr>
        <w:t>-</w:t>
      </w:r>
      <w:r w:rsidRPr="000F6D82">
        <w:rPr>
          <w:rStyle w:val="aff4"/>
          <w:rFonts w:hint="cs"/>
          <w:rtl/>
        </w:rPr>
        <w:t xml:space="preserve"> </w:t>
      </w:r>
      <w:r w:rsidRPr="00BC7DC8">
        <w:rPr>
          <w:rStyle w:val="af2"/>
          <w:rFonts w:eastAsia="Guttman Hodes" w:hint="cs"/>
          <w:rtl/>
        </w:rPr>
        <w:t>(לח. מדה"ר ד"ה כל מלאכה, מהדו' עוז והדר עמ' ק"ו ד"ה כל זה)</w:t>
      </w:r>
      <w:r w:rsidRPr="00BC7DC8">
        <w:rPr>
          <w:rStyle w:val="aff4"/>
          <w:rFonts w:hint="cs"/>
          <w:vanish/>
          <w:rtl/>
        </w:rPr>
        <w:t>=</w:t>
      </w:r>
      <w:r w:rsidRPr="000F6D82">
        <w:rPr>
          <w:rStyle w:val="aff4"/>
          <w:rFonts w:hint="cs"/>
          <w:rtl/>
        </w:rPr>
        <w:t xml:space="preserve"> </w:t>
      </w:r>
      <w:r w:rsidRPr="000F6D82">
        <w:rPr>
          <w:rFonts w:hint="cs"/>
          <w:rtl/>
        </w:rPr>
        <w:t xml:space="preserve">דכל </w:t>
      </w:r>
      <w:r w:rsidRPr="00B54B73">
        <w:rPr>
          <w:rFonts w:hint="cs"/>
          <w:rtl/>
        </w:rPr>
        <w:t xml:space="preserve">המלאכות שהיו במשכן הם לצורך גופן, חוץ מזורה ובורר, ולכן לא היה צריך לכתוב ילפותא להתיר מילה ושריפת בת כהן, דמילה אינה לצורך גופה אלא לדחות את הערלה, ועיקר החבלה היא בערלה ובה אין שום תיקון אלא קלקול, והתיקון שנעשה באדם אינו נחשב לתיקון, והיא כמלאכה שא"צ לגופה, וכן שריפת בת כהן שבאה לבער אותה מישראל, דעיקר ההבערה בה אינה לעצמה אלא לקלקול, ובישול הפתילה לא חשיב כלל, וכתב </w:t>
      </w:r>
      <w:r w:rsidRPr="00BC7DC8">
        <w:rPr>
          <w:rStyle w:val="aff4"/>
          <w:rFonts w:hint="cs"/>
          <w:vanish/>
          <w:rtl/>
        </w:rPr>
        <w:t>-</w:t>
      </w:r>
      <w:r w:rsidRPr="00C86935">
        <w:rPr>
          <w:rStyle w:val="aff4"/>
          <w:rFonts w:hint="cs"/>
          <w:rtl/>
        </w:rPr>
        <w:t>הבעה"מ</w:t>
      </w:r>
      <w:r w:rsidRPr="00BC7DC8">
        <w:rPr>
          <w:rStyle w:val="aff4"/>
          <w:rFonts w:hint="cs"/>
          <w:vanish/>
          <w:rtl/>
        </w:rPr>
        <w:t>-</w:t>
      </w:r>
      <w:r w:rsidRPr="00B54B73">
        <w:rPr>
          <w:rFonts w:hint="cs"/>
          <w:rtl/>
        </w:rPr>
        <w:t xml:space="preserve"> דמהא דהוצרכה התורה</w:t>
      </w:r>
      <w:r>
        <w:rPr>
          <w:rFonts w:hint="cs"/>
          <w:rtl/>
        </w:rPr>
        <w:t xml:space="preserve"> להתיר ילפינן דמקלקל בחבורה חייב.</w:t>
      </w:r>
      <w:bookmarkEnd w:id="1837"/>
    </w:p>
    <w:p w14:paraId="2604D5EA" w14:textId="77777777" w:rsidR="00316453" w:rsidRPr="00747170" w:rsidRDefault="00316453" w:rsidP="00747170">
      <w:pPr>
        <w:pStyle w:val="a2"/>
        <w:rPr>
          <w:rtl/>
        </w:rPr>
      </w:pPr>
      <w:r w:rsidRPr="00747170">
        <w:rPr>
          <w:rtl/>
        </w:rPr>
        <w:t>כל זה שאמרנו לבאר טעמו של רבי יהודה אבל ר"ש ס"ל כולהו מלאכות ממשכן גמרינן להו מה התם כולהו מלאכות חוץ מזורה ובורר לצורך גופן אף כאן כל לצורך גופן הלכך לא איצטריך רחמנא למישרא מילה שהיא לדחות הערלה ולא למיסר הבערה גבי בת כהן שהיא לבער אותה מישראל שעיקר ההבערה שהיא בבת כהן אין בה לעצמה אלא קלקול ובישול פתילה לא כלום חשוב וכן עיקר החבלה היא בערלה ואין שם שום תיקון אלא קלקול והתיקון שהוא באיש לא חשיב לר"ש דה"ל כמלאכה שאינה צריכה לגופה</w:t>
      </w:r>
      <w:r w:rsidRPr="00747170">
        <w:rPr>
          <w:rFonts w:hint="cs"/>
          <w:rtl/>
        </w:rPr>
        <w:t xml:space="preserve"> </w:t>
      </w:r>
      <w:r w:rsidRPr="00747170">
        <w:rPr>
          <w:rtl/>
        </w:rPr>
        <w:t>ולמדנו מזה מקלקל בחבורה ובהבערה שהוא חייב</w:t>
      </w:r>
      <w:r w:rsidRPr="00747170">
        <w:rPr>
          <w:rFonts w:hint="cs"/>
          <w:rtl/>
        </w:rPr>
        <w:t>.</w:t>
      </w:r>
    </w:p>
    <w:p w14:paraId="228F2B1B" w14:textId="2CB5D9C4" w:rsidR="00316453" w:rsidRDefault="00316453" w:rsidP="00316453">
      <w:pPr>
        <w:pStyle w:val="afffff7"/>
        <w:rPr>
          <w:rtl/>
        </w:rPr>
      </w:pPr>
      <w:bookmarkStart w:id="1838" w:name="_Toc136620416"/>
      <w:bookmarkStart w:id="1839" w:name="_Toc163505695"/>
      <w:r>
        <w:rPr>
          <w:rtl/>
        </w:rPr>
        <w:t xml:space="preserve">מנחת חינוך </w:t>
      </w:r>
      <w:r>
        <w:rPr>
          <w:rFonts w:hint="cs"/>
          <w:rtl/>
        </w:rPr>
        <w:t>מ</w:t>
      </w:r>
      <w:r>
        <w:rPr>
          <w:rtl/>
        </w:rPr>
        <w:t>וסך השבת אות ו</w:t>
      </w:r>
      <w:bookmarkEnd w:id="1838"/>
      <w:bookmarkEnd w:id="1839"/>
    </w:p>
    <w:p w14:paraId="69756E04" w14:textId="77777777" w:rsidR="00316453" w:rsidRDefault="00316453" w:rsidP="00316453">
      <w:pPr>
        <w:pStyle w:val="a7"/>
        <w:rPr>
          <w:rtl/>
        </w:rPr>
      </w:pPr>
      <w:bookmarkStart w:id="1840" w:name="_Toc136618647"/>
      <w:r>
        <w:rPr>
          <w:rFonts w:hint="cs"/>
          <w:rtl/>
        </w:rPr>
        <w:t>בי' המנ"ח בבע"מ דאף דא"צ לגופן חייב לר"ש דעיקר המלאכה לדחות פסולת וכך היה במשכן</w:t>
      </w:r>
      <w:bookmarkEnd w:id="1840"/>
    </w:p>
    <w:p w14:paraId="590A8D08" w14:textId="32EFA624" w:rsidR="00316453" w:rsidRPr="00521DE2" w:rsidRDefault="00316453" w:rsidP="00BC7DC8">
      <w:pPr>
        <w:pStyle w:val="a3"/>
        <w:rPr>
          <w:rtl/>
        </w:rPr>
      </w:pPr>
      <w:bookmarkStart w:id="1841" w:name="_Ref135771310"/>
      <w:bookmarkStart w:id="1842" w:name="_Ref136618801"/>
      <w:r>
        <w:rPr>
          <w:rFonts w:hint="cs"/>
          <w:rtl/>
        </w:rPr>
        <w:t xml:space="preserve">וביאר </w:t>
      </w:r>
      <w:r w:rsidRPr="001840DA">
        <w:rPr>
          <w:rStyle w:val="aff4"/>
          <w:rFonts w:hint="cs"/>
          <w:vanish/>
          <w:rtl/>
        </w:rPr>
        <w:t>-</w:t>
      </w:r>
      <w:r w:rsidRPr="00BF46FD">
        <w:rPr>
          <w:rStyle w:val="aff4"/>
          <w:rFonts w:hint="cs"/>
          <w:rtl/>
        </w:rPr>
        <w:t>ה</w:t>
      </w:r>
      <w:r w:rsidRPr="001840DA">
        <w:rPr>
          <w:rStyle w:val="aff4"/>
          <w:rFonts w:hint="cs"/>
          <w:vanish/>
          <w:rtl/>
        </w:rPr>
        <w:t xml:space="preserve">&lt;. </w:t>
      </w:r>
      <w:r w:rsidRPr="001840DA">
        <w:rPr>
          <w:rStyle w:val="aff4"/>
          <w:vanish/>
          <w:rtl/>
        </w:rPr>
        <w:fldChar w:fldCharType="begin"/>
      </w:r>
      <w:r w:rsidRPr="001840DA">
        <w:rPr>
          <w:rStyle w:val="aff4"/>
          <w:vanish/>
          <w:rtl/>
        </w:rPr>
        <w:instrText xml:space="preserve"> </w:instrText>
      </w:r>
      <w:r w:rsidRPr="001840DA">
        <w:rPr>
          <w:rStyle w:val="aff4"/>
          <w:rFonts w:hint="cs"/>
          <w:vanish/>
        </w:rPr>
        <w:instrText>REF</w:instrText>
      </w:r>
      <w:r w:rsidRPr="001840DA">
        <w:rPr>
          <w:rStyle w:val="aff4"/>
          <w:rFonts w:hint="cs"/>
          <w:vanish/>
          <w:rtl/>
        </w:rPr>
        <w:instrText xml:space="preserve"> _</w:instrText>
      </w:r>
      <w:r w:rsidRPr="001840DA">
        <w:rPr>
          <w:rStyle w:val="aff4"/>
          <w:rFonts w:hint="cs"/>
          <w:vanish/>
        </w:rPr>
        <w:instrText>Ref135771310 \r \h</w:instrText>
      </w:r>
      <w:r w:rsidRPr="001840DA">
        <w:rPr>
          <w:rStyle w:val="aff4"/>
          <w:vanish/>
          <w:rtl/>
        </w:rPr>
        <w:instrText xml:space="preserve"> </w:instrText>
      </w:r>
      <w:r w:rsidRPr="001840DA">
        <w:rPr>
          <w:rStyle w:val="aff4"/>
          <w:vanish/>
          <w:rtl/>
        </w:rPr>
      </w:r>
      <w:r w:rsidRPr="001840DA">
        <w:rPr>
          <w:rStyle w:val="aff4"/>
          <w:vanish/>
          <w:rtl/>
        </w:rPr>
        <w:fldChar w:fldCharType="separate"/>
      </w:r>
      <w:r w:rsidR="00D82181">
        <w:rPr>
          <w:rStyle w:val="aff4"/>
          <w:vanish/>
          <w:cs/>
        </w:rPr>
        <w:t>‎</w:t>
      </w:r>
      <w:r w:rsidR="00D82181">
        <w:rPr>
          <w:rStyle w:val="aff4"/>
          <w:vanish/>
          <w:rtl/>
        </w:rPr>
        <w:t>ב)</w:t>
      </w:r>
      <w:r w:rsidRPr="001840DA">
        <w:rPr>
          <w:rStyle w:val="aff4"/>
          <w:vanish/>
          <w:rtl/>
        </w:rPr>
        <w:fldChar w:fldCharType="end"/>
      </w:r>
      <w:r w:rsidRPr="001840DA">
        <w:rPr>
          <w:rStyle w:val="aff4"/>
          <w:rFonts w:hint="cs"/>
          <w:vanish/>
          <w:rtl/>
        </w:rPr>
        <w:t xml:space="preserve"> &gt;</w:t>
      </w:r>
      <w:r w:rsidRPr="00BF46FD">
        <w:rPr>
          <w:rStyle w:val="aff4"/>
          <w:rFonts w:hint="cs"/>
          <w:rtl/>
        </w:rPr>
        <w:t>מנחת חינוך</w:t>
      </w:r>
      <w:r w:rsidRPr="001840DA">
        <w:rPr>
          <w:rStyle w:val="aff4"/>
          <w:rFonts w:hint="cs"/>
          <w:vanish/>
          <w:rtl/>
        </w:rPr>
        <w:t>-</w:t>
      </w:r>
      <w:r>
        <w:rPr>
          <w:rFonts w:hint="cs"/>
          <w:rtl/>
        </w:rPr>
        <w:t xml:space="preserve"> </w:t>
      </w:r>
      <w:r w:rsidRPr="00D4778B">
        <w:rPr>
          <w:rStyle w:val="af2"/>
          <w:rFonts w:eastAsia="Guttman Hodes" w:hint="cs"/>
          <w:rtl/>
        </w:rPr>
        <w:t>(מוסך השבת הזורה)</w:t>
      </w:r>
      <w:r w:rsidRPr="002C283A">
        <w:rPr>
          <w:rFonts w:hint="cs"/>
          <w:vanish/>
          <w:rtl/>
        </w:rPr>
        <w:t>=</w:t>
      </w:r>
      <w:r>
        <w:rPr>
          <w:rFonts w:hint="cs"/>
          <w:rtl/>
        </w:rPr>
        <w:t xml:space="preserve"> </w:t>
      </w:r>
      <w:bookmarkEnd w:id="1841"/>
      <w:r>
        <w:rPr>
          <w:rFonts w:hint="cs"/>
          <w:rtl/>
        </w:rPr>
        <w:t xml:space="preserve">את דברי </w:t>
      </w:r>
      <w:r w:rsidRPr="001840DA">
        <w:rPr>
          <w:rStyle w:val="aff4"/>
          <w:rFonts w:hint="cs"/>
          <w:vanish/>
          <w:rtl/>
        </w:rPr>
        <w:t>-</w:t>
      </w:r>
      <w:r w:rsidRPr="00BF46FD">
        <w:rPr>
          <w:rStyle w:val="aff4"/>
          <w:rFonts w:hint="cs"/>
          <w:rtl/>
        </w:rPr>
        <w:t>הבעה"מ</w:t>
      </w:r>
      <w:r w:rsidRPr="001840DA">
        <w:rPr>
          <w:rStyle w:val="aff4"/>
          <w:rFonts w:hint="cs"/>
          <w:vanish/>
          <w:rtl/>
        </w:rPr>
        <w:t>-</w:t>
      </w:r>
      <w:r>
        <w:rPr>
          <w:rFonts w:hint="cs"/>
          <w:rtl/>
        </w:rPr>
        <w:t xml:space="preserve"> </w:t>
      </w:r>
      <w:r w:rsidRPr="00D4778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Ref135731936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א)</w:t>
      </w:r>
      <w:r>
        <w:rPr>
          <w:rStyle w:val="af2"/>
          <w:rFonts w:eastAsia="Guttman Hodes"/>
          <w:rtl/>
        </w:rPr>
        <w:fldChar w:fldCharType="end"/>
      </w:r>
      <w:r>
        <w:rPr>
          <w:rFonts w:hint="cs"/>
          <w:rtl/>
        </w:rPr>
        <w:t xml:space="preserve"> דאף דא"צ לגוף המלאכה מחייב ר"ש, כיון שעיקר המלאכה היא לדחות את הפסולת וכך היה במשכן.</w:t>
      </w:r>
      <w:bookmarkEnd w:id="1842"/>
      <w:r>
        <w:rPr>
          <w:rFonts w:hint="cs"/>
          <w:rtl/>
        </w:rPr>
        <w:t xml:space="preserve"> </w:t>
      </w:r>
    </w:p>
    <w:p w14:paraId="04D1563C" w14:textId="77777777" w:rsidR="00316453" w:rsidRPr="00747170" w:rsidRDefault="00316453" w:rsidP="00747170">
      <w:pPr>
        <w:pStyle w:val="a2"/>
        <w:rPr>
          <w:rtl/>
        </w:rPr>
      </w:pPr>
      <w:r w:rsidRPr="00747170">
        <w:rPr>
          <w:rtl/>
        </w:rPr>
        <w:t>ועיין בספר המאור פרק האורג שכתב דזורה ובורר ה"ל מלאכה שאינה צריכה לגופה כי אין צריך להמוץ ולצרורות ומכל מקום גם ר"ש דפוטר באינה צריכה לגופה מחייב כאן כי זה עיקר המלאכה לדחות הפסולת וכן היה במשכן ע"ש</w:t>
      </w:r>
      <w:r w:rsidRPr="00747170">
        <w:rPr>
          <w:rFonts w:hint="cs"/>
          <w:rtl/>
        </w:rPr>
        <w:t>.</w:t>
      </w:r>
    </w:p>
    <w:p w14:paraId="6DE5E59B" w14:textId="5D9746BD" w:rsidR="00316453" w:rsidRDefault="00316453" w:rsidP="00316453">
      <w:pPr>
        <w:pStyle w:val="afffff7"/>
        <w:rPr>
          <w:rtl/>
        </w:rPr>
      </w:pPr>
      <w:bookmarkStart w:id="1843" w:name="_Toc136620417"/>
      <w:bookmarkStart w:id="1844" w:name="_Toc163505696"/>
      <w:r w:rsidRPr="00C02166">
        <w:rPr>
          <w:rtl/>
        </w:rPr>
        <w:t>ישועות יעקב סי שי"ט סק"א</w:t>
      </w:r>
      <w:bookmarkEnd w:id="1843"/>
      <w:bookmarkEnd w:id="1844"/>
    </w:p>
    <w:p w14:paraId="27A652C9" w14:textId="77777777" w:rsidR="00316453" w:rsidRDefault="00316453" w:rsidP="00316453">
      <w:pPr>
        <w:pStyle w:val="a7"/>
        <w:rPr>
          <w:rtl/>
        </w:rPr>
      </w:pPr>
      <w:bookmarkStart w:id="1845" w:name="_Toc136618648"/>
      <w:r>
        <w:rPr>
          <w:rFonts w:hint="cs"/>
          <w:rtl/>
        </w:rPr>
        <w:t>קו' הישועות יעקב על הבעה"מ דאי חייב בזורה ובורר אף דא"צ לגופן נילף לשאר מלאכות</w:t>
      </w:r>
      <w:bookmarkEnd w:id="1845"/>
    </w:p>
    <w:p w14:paraId="32C2BD04" w14:textId="1B49B6E2" w:rsidR="00316453" w:rsidRPr="009C2A3C" w:rsidRDefault="00316453" w:rsidP="00BC7DC8">
      <w:pPr>
        <w:pStyle w:val="a3"/>
      </w:pPr>
      <w:bookmarkStart w:id="1846" w:name="_Ref135773031"/>
      <w:r>
        <w:rPr>
          <w:rFonts w:hint="cs"/>
          <w:rtl/>
        </w:rPr>
        <w:t xml:space="preserve">ועי' בדברי </w:t>
      </w:r>
      <w:r w:rsidRPr="001840DA">
        <w:rPr>
          <w:rStyle w:val="aff4"/>
          <w:rFonts w:hint="cs"/>
          <w:vanish/>
          <w:rtl/>
        </w:rPr>
        <w:t>-</w:t>
      </w:r>
      <w:r w:rsidRPr="00BF46FD">
        <w:rPr>
          <w:rStyle w:val="aff4"/>
          <w:rFonts w:hint="cs"/>
          <w:rtl/>
        </w:rPr>
        <w:t>ה</w:t>
      </w:r>
      <w:r w:rsidRPr="001840DA">
        <w:rPr>
          <w:rStyle w:val="aff4"/>
          <w:rFonts w:hint="cs"/>
          <w:vanish/>
          <w:rtl/>
        </w:rPr>
        <w:t xml:space="preserve">&lt;. </w:t>
      </w:r>
      <w:r w:rsidRPr="001840DA">
        <w:rPr>
          <w:rStyle w:val="aff4"/>
          <w:vanish/>
          <w:rtl/>
        </w:rPr>
        <w:fldChar w:fldCharType="begin"/>
      </w:r>
      <w:r w:rsidRPr="001840DA">
        <w:rPr>
          <w:rStyle w:val="aff4"/>
          <w:vanish/>
          <w:rtl/>
        </w:rPr>
        <w:instrText xml:space="preserve"> </w:instrText>
      </w:r>
      <w:r w:rsidRPr="001840DA">
        <w:rPr>
          <w:rStyle w:val="aff4"/>
          <w:rFonts w:hint="cs"/>
          <w:vanish/>
        </w:rPr>
        <w:instrText>REF</w:instrText>
      </w:r>
      <w:r w:rsidRPr="001840DA">
        <w:rPr>
          <w:rStyle w:val="aff4"/>
          <w:rFonts w:hint="cs"/>
          <w:vanish/>
          <w:rtl/>
        </w:rPr>
        <w:instrText xml:space="preserve"> _</w:instrText>
      </w:r>
      <w:r w:rsidRPr="001840DA">
        <w:rPr>
          <w:rStyle w:val="aff4"/>
          <w:rFonts w:hint="cs"/>
          <w:vanish/>
        </w:rPr>
        <w:instrText>Ref135773031 \r \h</w:instrText>
      </w:r>
      <w:r w:rsidRPr="001840DA">
        <w:rPr>
          <w:rStyle w:val="aff4"/>
          <w:vanish/>
          <w:rtl/>
        </w:rPr>
        <w:instrText xml:space="preserve"> </w:instrText>
      </w:r>
      <w:r w:rsidRPr="001840DA">
        <w:rPr>
          <w:rStyle w:val="aff4"/>
          <w:vanish/>
          <w:rtl/>
        </w:rPr>
      </w:r>
      <w:r w:rsidRPr="001840DA">
        <w:rPr>
          <w:rStyle w:val="aff4"/>
          <w:vanish/>
          <w:rtl/>
        </w:rPr>
        <w:fldChar w:fldCharType="separate"/>
      </w:r>
      <w:r w:rsidR="00D82181">
        <w:rPr>
          <w:rStyle w:val="aff4"/>
          <w:vanish/>
          <w:cs/>
        </w:rPr>
        <w:t>‎</w:t>
      </w:r>
      <w:r w:rsidR="00D82181">
        <w:rPr>
          <w:rStyle w:val="aff4"/>
          <w:vanish/>
          <w:rtl/>
        </w:rPr>
        <w:t>ג)</w:t>
      </w:r>
      <w:r w:rsidRPr="001840DA">
        <w:rPr>
          <w:rStyle w:val="aff4"/>
          <w:vanish/>
          <w:rtl/>
        </w:rPr>
        <w:fldChar w:fldCharType="end"/>
      </w:r>
      <w:r w:rsidRPr="001840DA">
        <w:rPr>
          <w:rStyle w:val="aff4"/>
          <w:rFonts w:hint="cs"/>
          <w:vanish/>
          <w:rtl/>
        </w:rPr>
        <w:t xml:space="preserve"> &gt;</w:t>
      </w:r>
      <w:r w:rsidRPr="00BF46FD">
        <w:rPr>
          <w:rStyle w:val="aff4"/>
          <w:rFonts w:hint="cs"/>
          <w:rtl/>
        </w:rPr>
        <w:t>ישועות יעקב</w:t>
      </w:r>
      <w:r w:rsidRPr="001840DA">
        <w:rPr>
          <w:rStyle w:val="aff4"/>
          <w:rFonts w:hint="cs"/>
          <w:vanish/>
          <w:rtl/>
        </w:rPr>
        <w:t>-</w:t>
      </w:r>
      <w:r>
        <w:rPr>
          <w:rFonts w:hint="cs"/>
          <w:rtl/>
        </w:rPr>
        <w:t xml:space="preserve"> </w:t>
      </w:r>
      <w:r w:rsidRPr="00D4778B">
        <w:rPr>
          <w:rStyle w:val="af2"/>
          <w:rFonts w:eastAsia="Guttman Hodes" w:hint="cs"/>
          <w:rtl/>
        </w:rPr>
        <w:t>(סי' שי"ט סק"א)</w:t>
      </w:r>
      <w:r w:rsidRPr="002C283A">
        <w:rPr>
          <w:rFonts w:hint="cs"/>
          <w:vanish/>
          <w:rtl/>
        </w:rPr>
        <w:t>=</w:t>
      </w:r>
      <w:r>
        <w:rPr>
          <w:rFonts w:hint="cs"/>
          <w:rtl/>
        </w:rPr>
        <w:t xml:space="preserve"> דהקשה מסברא אמאי חייב בבורר הא א"צ לגוף המלאכה, והיא מלאכה שא"צ לגופה, ודמי להוצאת מת שרוצה לדחות את הנזק ממנו ולהוציאו מביתו, וא"צ את המת כלל, וה"ה בבורר פסולת מתוך אוכל דא"צ את הפסולת ורוצה לדחות את הנזק, והביא </w:t>
      </w:r>
      <w:r w:rsidRPr="001840DA">
        <w:rPr>
          <w:rStyle w:val="aff4"/>
          <w:rFonts w:hint="cs"/>
          <w:vanish/>
          <w:rtl/>
        </w:rPr>
        <w:t>-</w:t>
      </w:r>
      <w:r w:rsidRPr="00BF46FD">
        <w:rPr>
          <w:rStyle w:val="aff4"/>
          <w:rFonts w:hint="cs"/>
          <w:rtl/>
        </w:rPr>
        <w:t>הישועות יעקב</w:t>
      </w:r>
      <w:r w:rsidRPr="001840DA">
        <w:rPr>
          <w:rStyle w:val="aff4"/>
          <w:rFonts w:hint="cs"/>
          <w:vanish/>
          <w:rtl/>
        </w:rPr>
        <w:t>-</w:t>
      </w:r>
      <w:r>
        <w:rPr>
          <w:rFonts w:hint="cs"/>
          <w:rtl/>
        </w:rPr>
        <w:t xml:space="preserve"> את דברי </w:t>
      </w:r>
      <w:r w:rsidRPr="001840DA">
        <w:rPr>
          <w:rStyle w:val="aff4"/>
          <w:rFonts w:hint="cs"/>
          <w:vanish/>
          <w:rtl/>
        </w:rPr>
        <w:t>-</w:t>
      </w:r>
      <w:r w:rsidRPr="00BF46FD">
        <w:rPr>
          <w:rStyle w:val="aff4"/>
          <w:rFonts w:hint="cs"/>
          <w:rtl/>
        </w:rPr>
        <w:t>הבעה"מ</w:t>
      </w:r>
      <w:r w:rsidRPr="001840DA">
        <w:rPr>
          <w:rStyle w:val="aff4"/>
          <w:rFonts w:hint="cs"/>
          <w:vanish/>
          <w:rtl/>
        </w:rPr>
        <w:t>-</w:t>
      </w:r>
      <w:r>
        <w:rPr>
          <w:rFonts w:hint="cs"/>
          <w:rtl/>
        </w:rPr>
        <w:t xml:space="preserve"> </w:t>
      </w:r>
      <w:r w:rsidRPr="00D4778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Ref135731936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א)</w:t>
      </w:r>
      <w:r>
        <w:rPr>
          <w:rStyle w:val="af2"/>
          <w:rFonts w:eastAsia="Guttman Hodes"/>
          <w:rtl/>
        </w:rPr>
        <w:fldChar w:fldCharType="end"/>
      </w:r>
      <w:r>
        <w:rPr>
          <w:rFonts w:hint="cs"/>
          <w:rtl/>
        </w:rPr>
        <w:t xml:space="preserve"> דכתב דבזורה בורר ומרקד</w:t>
      </w:r>
      <w:r>
        <w:rPr>
          <w:rStyle w:val="afff0"/>
          <w:rtl/>
        </w:rPr>
        <w:footnoteReference w:id="5"/>
      </w:r>
      <w:r>
        <w:rPr>
          <w:rFonts w:hint="cs"/>
          <w:rtl/>
        </w:rPr>
        <w:t xml:space="preserve"> חייב אף שא"צ לגוף המלאכה, וביאר </w:t>
      </w:r>
      <w:r w:rsidRPr="001840DA">
        <w:rPr>
          <w:rStyle w:val="aff4"/>
          <w:rFonts w:hint="cs"/>
          <w:vanish/>
          <w:rtl/>
        </w:rPr>
        <w:t>-</w:t>
      </w:r>
      <w:r w:rsidRPr="00BF46FD">
        <w:rPr>
          <w:rStyle w:val="aff4"/>
          <w:rFonts w:hint="cs"/>
          <w:rtl/>
        </w:rPr>
        <w:t>הישועות יעקב</w:t>
      </w:r>
      <w:r w:rsidRPr="001840DA">
        <w:rPr>
          <w:rStyle w:val="aff4"/>
          <w:rFonts w:hint="cs"/>
          <w:vanish/>
          <w:rtl/>
        </w:rPr>
        <w:t>-</w:t>
      </w:r>
      <w:r>
        <w:rPr>
          <w:rFonts w:hint="cs"/>
          <w:rtl/>
        </w:rPr>
        <w:t xml:space="preserve"> דחייב כיון שזו עיקר המלאכה, וכך היה במשכן, אך הקשה </w:t>
      </w:r>
      <w:r w:rsidRPr="001840DA">
        <w:rPr>
          <w:rStyle w:val="aff4"/>
          <w:rFonts w:hint="cs"/>
          <w:vanish/>
          <w:rtl/>
        </w:rPr>
        <w:t>-</w:t>
      </w:r>
      <w:r w:rsidRPr="00BF46FD">
        <w:rPr>
          <w:rStyle w:val="aff4"/>
          <w:rFonts w:hint="cs"/>
          <w:rtl/>
        </w:rPr>
        <w:t>הישועות יעקב</w:t>
      </w:r>
      <w:r w:rsidRPr="001840DA">
        <w:rPr>
          <w:rStyle w:val="aff4"/>
          <w:rFonts w:hint="cs"/>
          <w:vanish/>
          <w:rtl/>
        </w:rPr>
        <w:t>-</w:t>
      </w:r>
      <w:r>
        <w:rPr>
          <w:rFonts w:hint="cs"/>
          <w:rtl/>
        </w:rPr>
        <w:t xml:space="preserve"> דא"כ נילף מבורר דבכל מלאכות שבת יתחייב אף כשא"צ לגוף המלאכה.</w:t>
      </w:r>
      <w:bookmarkEnd w:id="1846"/>
    </w:p>
    <w:p w14:paraId="73DA0DAE" w14:textId="77777777" w:rsidR="00316453" w:rsidRPr="00747170" w:rsidRDefault="00316453" w:rsidP="00747170">
      <w:pPr>
        <w:pStyle w:val="a2"/>
        <w:rPr>
          <w:rtl/>
        </w:rPr>
      </w:pPr>
      <w:r w:rsidRPr="00747170">
        <w:rPr>
          <w:rtl/>
        </w:rPr>
        <w:t>והנה זה לי ימים רבים בימי ילדותי היה הדבר תמוה בעיני בגוף חיובא דמלאכת בורר דהיינו בבורר פסולת מתוך האוכל דהרי הוא מלאכה שאינה צריכה לגופה לפי"מ שפירשו הפוסקים ענין משאצל"ג דהיינו דאינו חייב רק אם ענין המלאכה צריך לו אבל אם איננה באה רק לדחות הנזק ממנו כמו מוציא המת מביתו שענין</w:t>
      </w:r>
      <w:r w:rsidRPr="00747170">
        <w:rPr>
          <w:rFonts w:hint="cs"/>
          <w:rtl/>
        </w:rPr>
        <w:t xml:space="preserve"> </w:t>
      </w:r>
      <w:r w:rsidRPr="00747170">
        <w:rPr>
          <w:rtl/>
        </w:rPr>
        <w:t>המלאכה היא הוצאת המת ובאמת אי"צ כלל להמת רק שלא יהיה המת בתוך ביתו זה חשוב משאצל"ג א"כ ה"ה בבורר פסולת מתוך אוכל עיקר המלאכה היא ברירת הפסולת והוא אינו צריך לפסולת כלל אלא שבוררו מתוך האוכל הוי כעושה לדחות הנזק והוי משאצל"ג וכאשר בינותי בספרים מצאתי בבעה"מ בסוגיא דחובל ומבעיר שכתב ויש מלאכות דחייב עליהם במשאצל"ג כגון זורה בורר ומרקד לפי שעיקר מלאכתן על דרך זה כוונתו כיון דבורר דהיה במשכן הוא על דרך זה לכך חייב בענין זה אמנם עכ"ז הדברים אין בהם כדי שביעה דנילף מבורר לענין כל</w:t>
      </w:r>
      <w:r w:rsidRPr="00747170">
        <w:rPr>
          <w:rFonts w:hint="cs"/>
          <w:rtl/>
        </w:rPr>
        <w:t xml:space="preserve"> </w:t>
      </w:r>
      <w:r w:rsidRPr="00747170">
        <w:rPr>
          <w:rtl/>
        </w:rPr>
        <w:t>משאצל"ג לחייב עליה</w:t>
      </w:r>
      <w:r w:rsidRPr="00747170">
        <w:rPr>
          <w:rFonts w:hint="cs"/>
          <w:rtl/>
        </w:rPr>
        <w:t>.</w:t>
      </w:r>
    </w:p>
    <w:p w14:paraId="0F4BB424" w14:textId="43A206AA" w:rsidR="00316453" w:rsidRDefault="00316453" w:rsidP="00316453">
      <w:pPr>
        <w:pStyle w:val="a7"/>
        <w:rPr>
          <w:rtl/>
        </w:rPr>
      </w:pPr>
      <w:bookmarkStart w:id="1847" w:name="_Toc136618649"/>
      <w:r>
        <w:rPr>
          <w:rFonts w:hint="cs"/>
          <w:rtl/>
        </w:rPr>
        <w:t>בי' הישועות יעקב דבורר הוא תיקון האוכל אבל בב' מיני אוכלין הוא מלאכה שא"צ לגופה</w:t>
      </w:r>
      <w:bookmarkEnd w:id="1847"/>
    </w:p>
    <w:p w14:paraId="664A7A27" w14:textId="77777777" w:rsidR="00316453" w:rsidRPr="002F3F53" w:rsidRDefault="00316453" w:rsidP="00BC7DC8">
      <w:pPr>
        <w:pStyle w:val="a3"/>
      </w:pPr>
      <w:bookmarkStart w:id="1848" w:name="_Ref135816599"/>
      <w:r>
        <w:rPr>
          <w:rFonts w:hint="cs"/>
          <w:rtl/>
        </w:rPr>
        <w:t xml:space="preserve">אלא כתב </w:t>
      </w:r>
      <w:r w:rsidRPr="001840DA">
        <w:rPr>
          <w:rStyle w:val="aff4"/>
          <w:rFonts w:hint="cs"/>
          <w:vanish/>
          <w:rtl/>
        </w:rPr>
        <w:t>-</w:t>
      </w:r>
      <w:r w:rsidRPr="00BF46FD">
        <w:rPr>
          <w:rStyle w:val="aff4"/>
          <w:rFonts w:hint="cs"/>
          <w:rtl/>
        </w:rPr>
        <w:t>הישועות יעקב</w:t>
      </w:r>
      <w:r w:rsidRPr="001840DA">
        <w:rPr>
          <w:rStyle w:val="aff4"/>
          <w:rFonts w:hint="cs"/>
          <w:vanish/>
          <w:rtl/>
        </w:rPr>
        <w:t>-</w:t>
      </w:r>
      <w:r>
        <w:rPr>
          <w:rFonts w:hint="cs"/>
          <w:rtl/>
        </w:rPr>
        <w:t xml:space="preserve"> דהחיוב בבורר הוא כיון דהפסולת לא ראויה לאכילה, ועי"ז גם האוכל לא ראוי כ"כ, ולכן כשמפריד את הפסולת מהאוכל הוא מתקן את האוכל, והוי מלאכה הצריכה לגוף האוכל, דעי"ז נעשה לאוכל גמור</w:t>
      </w:r>
      <w:r>
        <w:rPr>
          <w:rStyle w:val="afff0"/>
          <w:rtl/>
        </w:rPr>
        <w:footnoteReference w:id="6"/>
      </w:r>
      <w:r>
        <w:rPr>
          <w:rFonts w:hint="cs"/>
          <w:rtl/>
        </w:rPr>
        <w:t xml:space="preserve">, </w:t>
      </w:r>
      <w:r w:rsidRPr="001152D3">
        <w:rPr>
          <w:rtl/>
        </w:rPr>
        <w:t xml:space="preserve">וכתב </w:t>
      </w:r>
      <w:r w:rsidRPr="006E0441">
        <w:rPr>
          <w:rStyle w:val="aff4"/>
          <w:vanish/>
          <w:rtl/>
        </w:rPr>
        <w:t>-</w:t>
      </w:r>
      <w:r w:rsidRPr="0085567C">
        <w:rPr>
          <w:rStyle w:val="aff4"/>
          <w:rtl/>
        </w:rPr>
        <w:t>הישועות יעקב</w:t>
      </w:r>
      <w:r w:rsidRPr="006E0441">
        <w:rPr>
          <w:rStyle w:val="aff4"/>
          <w:vanish/>
          <w:rtl/>
        </w:rPr>
        <w:t>-</w:t>
      </w:r>
      <w:r w:rsidRPr="001152D3">
        <w:rPr>
          <w:rtl/>
        </w:rPr>
        <w:t xml:space="preserve"> דלכן החיוב הוא רק בפסולת מתוך אוכל, דעי"ז מתקן שיהיה האוכל ראוי לאכילה, אבל בב' מיני אוכלין ואינו רוצה את א' מהם, חשיב מלאכה שא"צ לגופה, כיון דשניהם ראויים לאכילה</w:t>
      </w:r>
      <w:r>
        <w:rPr>
          <w:rFonts w:hint="cs"/>
          <w:rtl/>
        </w:rPr>
        <w:t>.</w:t>
      </w:r>
      <w:bookmarkEnd w:id="1848"/>
    </w:p>
    <w:p w14:paraId="523D2965" w14:textId="77777777" w:rsidR="00316453" w:rsidRPr="00747170" w:rsidRDefault="00316453" w:rsidP="00747170">
      <w:pPr>
        <w:pStyle w:val="a2"/>
        <w:rPr>
          <w:rtl/>
        </w:rPr>
      </w:pPr>
      <w:r w:rsidRPr="00747170">
        <w:rPr>
          <w:rtl/>
        </w:rPr>
        <w:t>ע"כ נראה דענין מלאכת בורר פסולת מן האוכל היינו שהפסולת אינו ראוי לאכילה וגם האוכל אינו ראוי כ"כ לאכילה עם הפסולת שבתוכו גלל כן הוא מפריד הפסולת מתוך האוכל וא"כ המלאכה אינה נקראת על ברירת הפסולת רק דמתקן האוכל שיהיה ראוי לאכילה וזה הוא מלאכה הצריכה לגוף האוכל דמשוי אוכל גמור וכמו שמבואר לקמן באריכות לענין שיעור גרוגרת דגבי ברירה דהיינו שבין הכל יהיה כגרוגרת מה"ט דכתיבנא</w:t>
      </w:r>
      <w:r w:rsidRPr="00747170">
        <w:rPr>
          <w:rFonts w:hint="cs"/>
          <w:rtl/>
        </w:rPr>
        <w:t xml:space="preserve">, </w:t>
      </w:r>
      <w:r w:rsidRPr="00747170">
        <w:rPr>
          <w:rtl/>
        </w:rPr>
        <w:t>ומעתה אתי שפיר דדווקא פסולת מתוך אוכל דאינו</w:t>
      </w:r>
      <w:r w:rsidRPr="00747170">
        <w:rPr>
          <w:rFonts w:hint="cs"/>
          <w:rtl/>
        </w:rPr>
        <w:t xml:space="preserve"> </w:t>
      </w:r>
      <w:r w:rsidRPr="00747170">
        <w:rPr>
          <w:rtl/>
        </w:rPr>
        <w:t>לאכילה כלל ומשוי ליה אוכל ע"י הברירה הזאת אבל בשני מיני אוכלין כשמפריד האוכל השני מחמת שאינו רוצה לאוכלו חשוב משאצל"ג כיון דאוכל זה שרוצה לאכול כעת ראוי לאכילה אף אם לא נפרד האוכל השני ופרידת האוכל השני הוא רק מחמת שכעת אין נפשו חשקה בזה הוי משאצל"ג ודו"ק היטיב</w:t>
      </w:r>
      <w:r w:rsidRPr="00747170">
        <w:rPr>
          <w:rFonts w:hint="cs"/>
          <w:rtl/>
        </w:rPr>
        <w:t>.</w:t>
      </w:r>
    </w:p>
    <w:p w14:paraId="0F69F1DE" w14:textId="77777777" w:rsidR="00316453" w:rsidRDefault="00316453" w:rsidP="00316453">
      <w:pPr>
        <w:pStyle w:val="a7"/>
        <w:rPr>
          <w:rtl/>
        </w:rPr>
      </w:pPr>
    </w:p>
    <w:p w14:paraId="6E7093E2" w14:textId="77777777" w:rsidR="00316453" w:rsidRPr="00BE4AC4" w:rsidRDefault="00316453" w:rsidP="00316453">
      <w:pPr>
        <w:pStyle w:val="a7"/>
        <w:rPr>
          <w:rtl/>
        </w:rPr>
      </w:pPr>
    </w:p>
    <w:p w14:paraId="6FE634D1" w14:textId="77777777" w:rsidR="00316453" w:rsidRDefault="00316453" w:rsidP="00316453">
      <w:pPr>
        <w:pStyle w:val="afffff7"/>
        <w:rPr>
          <w:rtl/>
        </w:rPr>
      </w:pPr>
      <w:bookmarkStart w:id="1849" w:name="_Toc136620418"/>
      <w:bookmarkStart w:id="1850" w:name="_Toc163505697"/>
      <w:r>
        <w:rPr>
          <w:rtl/>
        </w:rPr>
        <w:t>באור הלכה סימן שיט סעיף ג</w:t>
      </w:r>
      <w:bookmarkEnd w:id="1849"/>
      <w:bookmarkEnd w:id="1850"/>
    </w:p>
    <w:p w14:paraId="6D852F88" w14:textId="77777777" w:rsidR="00316453" w:rsidRDefault="00316453" w:rsidP="00316453">
      <w:pPr>
        <w:pStyle w:val="a7"/>
        <w:rPr>
          <w:rtl/>
        </w:rPr>
      </w:pPr>
      <w:bookmarkStart w:id="1851" w:name="_Toc136618650"/>
      <w:r>
        <w:rPr>
          <w:rFonts w:hint="cs"/>
          <w:rtl/>
        </w:rPr>
        <w:t>בי' הביה"ל דמוכח בראשונים דאף בב' מיני אוכלין הוא צריך לגוף תיקון המין שרוצה אותו</w:t>
      </w:r>
      <w:bookmarkEnd w:id="1851"/>
    </w:p>
    <w:p w14:paraId="297D6D1E" w14:textId="1601E236" w:rsidR="00316453" w:rsidRPr="00D72A85" w:rsidRDefault="00316453" w:rsidP="00BC7DC8">
      <w:pPr>
        <w:pStyle w:val="a3"/>
        <w:rPr>
          <w:rtl/>
        </w:rPr>
      </w:pPr>
      <w:bookmarkStart w:id="1852" w:name="_Ref135815455"/>
      <w:r>
        <w:rPr>
          <w:rFonts w:hint="cs"/>
          <w:rtl/>
        </w:rPr>
        <w:t xml:space="preserve">וכתב </w:t>
      </w:r>
      <w:r w:rsidRPr="00F30EB9">
        <w:rPr>
          <w:rStyle w:val="aff4"/>
          <w:rFonts w:hint="cs"/>
          <w:vanish/>
          <w:rtl/>
        </w:rPr>
        <w:t>-</w:t>
      </w:r>
      <w:r w:rsidRPr="0056091D">
        <w:rPr>
          <w:rStyle w:val="aff4"/>
          <w:rFonts w:hint="cs"/>
          <w:rtl/>
        </w:rPr>
        <w:t>ה</w:t>
      </w:r>
      <w:r w:rsidRPr="00F30EB9">
        <w:rPr>
          <w:rStyle w:val="aff4"/>
          <w:rFonts w:hint="cs"/>
          <w:vanish/>
          <w:rtl/>
        </w:rPr>
        <w:t xml:space="preserve">&lt;. </w:t>
      </w:r>
      <w:r w:rsidRPr="00F30EB9">
        <w:rPr>
          <w:rStyle w:val="aff4"/>
          <w:vanish/>
          <w:rtl/>
        </w:rPr>
        <w:fldChar w:fldCharType="begin"/>
      </w:r>
      <w:r w:rsidRPr="00F30EB9">
        <w:rPr>
          <w:rStyle w:val="aff4"/>
          <w:vanish/>
          <w:rtl/>
        </w:rPr>
        <w:instrText xml:space="preserve"> </w:instrText>
      </w:r>
      <w:r w:rsidRPr="00F30EB9">
        <w:rPr>
          <w:rStyle w:val="aff4"/>
          <w:rFonts w:hint="cs"/>
          <w:vanish/>
        </w:rPr>
        <w:instrText>REF</w:instrText>
      </w:r>
      <w:r w:rsidRPr="00F30EB9">
        <w:rPr>
          <w:rStyle w:val="aff4"/>
          <w:rFonts w:hint="cs"/>
          <w:vanish/>
          <w:rtl/>
        </w:rPr>
        <w:instrText xml:space="preserve"> _</w:instrText>
      </w:r>
      <w:r w:rsidRPr="00F30EB9">
        <w:rPr>
          <w:rStyle w:val="aff4"/>
          <w:rFonts w:hint="cs"/>
          <w:vanish/>
        </w:rPr>
        <w:instrText>Ref135815455 \r \h</w:instrText>
      </w:r>
      <w:r w:rsidRPr="00F30EB9">
        <w:rPr>
          <w:rStyle w:val="aff4"/>
          <w:vanish/>
          <w:rtl/>
        </w:rPr>
        <w:instrText xml:space="preserve">  \* </w:instrText>
      </w:r>
      <w:r w:rsidRPr="00F30EB9">
        <w:rPr>
          <w:rStyle w:val="aff4"/>
          <w:vanish/>
        </w:rPr>
        <w:instrText>MERGEFORMAT</w:instrText>
      </w:r>
      <w:r w:rsidRPr="00F30EB9">
        <w:rPr>
          <w:rStyle w:val="aff4"/>
          <w:vanish/>
          <w:rtl/>
        </w:rPr>
        <w:instrText xml:space="preserve"> </w:instrText>
      </w:r>
      <w:r w:rsidRPr="00F30EB9">
        <w:rPr>
          <w:rStyle w:val="aff4"/>
          <w:vanish/>
          <w:rtl/>
        </w:rPr>
      </w:r>
      <w:r w:rsidRPr="00F30EB9">
        <w:rPr>
          <w:rStyle w:val="aff4"/>
          <w:vanish/>
          <w:rtl/>
        </w:rPr>
        <w:fldChar w:fldCharType="separate"/>
      </w:r>
      <w:r w:rsidR="00D82181">
        <w:rPr>
          <w:rStyle w:val="aff4"/>
          <w:vanish/>
          <w:cs/>
        </w:rPr>
        <w:t>‎</w:t>
      </w:r>
      <w:r w:rsidR="00D82181">
        <w:rPr>
          <w:rStyle w:val="aff4"/>
          <w:vanish/>
          <w:rtl/>
        </w:rPr>
        <w:t>ה)</w:t>
      </w:r>
      <w:r w:rsidRPr="00F30EB9">
        <w:rPr>
          <w:rStyle w:val="aff4"/>
          <w:vanish/>
          <w:rtl/>
        </w:rPr>
        <w:fldChar w:fldCharType="end"/>
      </w:r>
      <w:r w:rsidRPr="00F30EB9">
        <w:rPr>
          <w:rStyle w:val="aff4"/>
          <w:rFonts w:hint="cs"/>
          <w:vanish/>
          <w:rtl/>
        </w:rPr>
        <w:t xml:space="preserve"> &gt;</w:t>
      </w:r>
      <w:r w:rsidRPr="00BF46FD">
        <w:rPr>
          <w:rStyle w:val="aff4"/>
          <w:rFonts w:hint="cs"/>
          <w:rtl/>
        </w:rPr>
        <w:t>ביאור הלכה</w:t>
      </w:r>
      <w:r w:rsidRPr="00F30EB9">
        <w:rPr>
          <w:rStyle w:val="aff4"/>
          <w:rFonts w:hint="cs"/>
          <w:vanish/>
          <w:rtl/>
        </w:rPr>
        <w:t>-</w:t>
      </w:r>
      <w:r>
        <w:rPr>
          <w:rFonts w:hint="cs"/>
          <w:rtl/>
        </w:rPr>
        <w:t xml:space="preserve"> </w:t>
      </w:r>
      <w:r w:rsidRPr="00D4778B">
        <w:rPr>
          <w:rStyle w:val="af2"/>
          <w:rFonts w:eastAsia="Guttman Hodes" w:hint="cs"/>
          <w:rtl/>
        </w:rPr>
        <w:t>(סי' שי"ט ג' ד"ה לאכול)</w:t>
      </w:r>
      <w:bookmarkEnd w:id="1852"/>
      <w:r w:rsidRPr="00F30EB9">
        <w:rPr>
          <w:rFonts w:hint="cs"/>
          <w:vanish/>
          <w:rtl/>
        </w:rPr>
        <w:t>=</w:t>
      </w:r>
      <w:r>
        <w:rPr>
          <w:rFonts w:hint="cs"/>
          <w:rtl/>
        </w:rPr>
        <w:t xml:space="preserve"> דלפי דברי </w:t>
      </w:r>
      <w:r w:rsidRPr="006E0441">
        <w:rPr>
          <w:rStyle w:val="aff4"/>
          <w:rFonts w:hint="cs"/>
          <w:vanish/>
          <w:rtl/>
        </w:rPr>
        <w:t>-</w:t>
      </w:r>
      <w:r w:rsidRPr="0085567C">
        <w:rPr>
          <w:rStyle w:val="aff4"/>
          <w:rFonts w:hint="cs"/>
          <w:rtl/>
        </w:rPr>
        <w:t>הישועות יעקב</w:t>
      </w:r>
      <w:r w:rsidRPr="006E0441">
        <w:rPr>
          <w:rStyle w:val="aff4"/>
          <w:rFonts w:hint="cs"/>
          <w:vanish/>
          <w:rtl/>
        </w:rPr>
        <w:t>-</w:t>
      </w:r>
      <w:r>
        <w:rPr>
          <w:rFonts w:hint="cs"/>
          <w:rtl/>
        </w:rPr>
        <w:t xml:space="preserve"> </w:t>
      </w:r>
      <w:r w:rsidRPr="00D4778B">
        <w:rPr>
          <w:rStyle w:val="af2"/>
          <w:rFonts w:eastAsia="Guttman Hodes" w:hint="cs"/>
          <w:rtl/>
        </w:rPr>
        <w:t xml:space="preserve">(עי' אות </w:t>
      </w:r>
      <w:r w:rsidRPr="00D4778B">
        <w:rPr>
          <w:rStyle w:val="af2"/>
          <w:rFonts w:eastAsia="Guttman Hodes"/>
          <w:rtl/>
        </w:rPr>
        <w:fldChar w:fldCharType="begin"/>
      </w:r>
      <w:r w:rsidRPr="00D4778B">
        <w:rPr>
          <w:rStyle w:val="af2"/>
          <w:rFonts w:eastAsia="Guttman Hodes"/>
          <w:rtl/>
        </w:rPr>
        <w:instrText xml:space="preserve"> </w:instrText>
      </w:r>
      <w:r w:rsidRPr="00D4778B">
        <w:rPr>
          <w:rStyle w:val="af2"/>
          <w:rFonts w:eastAsia="Guttman Hodes" w:hint="cs"/>
        </w:rPr>
        <w:instrText>REF</w:instrText>
      </w:r>
      <w:r w:rsidRPr="00D4778B">
        <w:rPr>
          <w:rStyle w:val="af2"/>
          <w:rFonts w:eastAsia="Guttman Hodes" w:hint="cs"/>
          <w:rtl/>
        </w:rPr>
        <w:instrText xml:space="preserve"> _</w:instrText>
      </w:r>
      <w:r w:rsidRPr="00D4778B">
        <w:rPr>
          <w:rStyle w:val="af2"/>
          <w:rFonts w:eastAsia="Guttman Hodes" w:hint="cs"/>
        </w:rPr>
        <w:instrText>Ref135816599 \r \h</w:instrText>
      </w:r>
      <w:r w:rsidRPr="00D4778B">
        <w:rPr>
          <w:rStyle w:val="af2"/>
          <w:rFonts w:eastAsia="Guttman Hodes"/>
          <w:rtl/>
        </w:rPr>
        <w:instrText xml:space="preserve"> </w:instrText>
      </w:r>
      <w:r w:rsidRPr="00D4778B">
        <w:rPr>
          <w:rStyle w:val="af2"/>
          <w:rFonts w:eastAsia="Guttman Hodes"/>
          <w:rtl/>
        </w:rPr>
      </w:r>
      <w:r w:rsidRPr="00D4778B">
        <w:rPr>
          <w:rStyle w:val="af2"/>
          <w:rFonts w:eastAsia="Guttman Hodes"/>
          <w:rtl/>
        </w:rPr>
        <w:fldChar w:fldCharType="separate"/>
      </w:r>
      <w:r w:rsidR="00D82181">
        <w:rPr>
          <w:rStyle w:val="af2"/>
          <w:rFonts w:eastAsia="Guttman Hodes"/>
          <w:cs/>
        </w:rPr>
        <w:t>‎</w:t>
      </w:r>
      <w:r w:rsidR="00D82181">
        <w:rPr>
          <w:rStyle w:val="af2"/>
          <w:rFonts w:eastAsia="Guttman Hodes"/>
          <w:rtl/>
        </w:rPr>
        <w:t>ד)</w:t>
      </w:r>
      <w:r w:rsidRPr="00D4778B">
        <w:rPr>
          <w:rStyle w:val="af2"/>
          <w:rFonts w:eastAsia="Guttman Hodes"/>
          <w:rtl/>
        </w:rPr>
        <w:fldChar w:fldCharType="end"/>
      </w:r>
      <w:r>
        <w:rPr>
          <w:rFonts w:hint="cs"/>
          <w:rtl/>
        </w:rPr>
        <w:t xml:space="preserve"> הא דכתבו </w:t>
      </w:r>
      <w:r w:rsidRPr="006E0441">
        <w:rPr>
          <w:rStyle w:val="aff4"/>
          <w:rFonts w:hint="cs"/>
          <w:vanish/>
          <w:rtl/>
        </w:rPr>
        <w:t>-</w:t>
      </w:r>
      <w:r w:rsidRPr="0085567C">
        <w:rPr>
          <w:rStyle w:val="aff4"/>
          <w:rFonts w:hint="cs"/>
          <w:rtl/>
        </w:rPr>
        <w:t>ה</w:t>
      </w:r>
      <w:r w:rsidRPr="006E0441">
        <w:rPr>
          <w:rStyle w:val="aff4"/>
          <w:rFonts w:hint="cs"/>
          <w:vanish/>
          <w:rtl/>
        </w:rPr>
        <w:t>&lt; &gt;</w:t>
      </w:r>
      <w:r w:rsidRPr="0085567C">
        <w:rPr>
          <w:rStyle w:val="aff4"/>
          <w:rFonts w:hint="cs"/>
          <w:rtl/>
        </w:rPr>
        <w:t>רמב"ם</w:t>
      </w:r>
      <w:r w:rsidRPr="006E0441">
        <w:rPr>
          <w:rStyle w:val="aff4"/>
          <w:rFonts w:hint="cs"/>
          <w:vanish/>
          <w:rtl/>
        </w:rPr>
        <w:t>-</w:t>
      </w:r>
      <w:r>
        <w:rPr>
          <w:rFonts w:hint="cs"/>
          <w:rtl/>
        </w:rPr>
        <w:t xml:space="preserve"> </w:t>
      </w:r>
      <w:r w:rsidRPr="00D4778B">
        <w:rPr>
          <w:rStyle w:val="af2"/>
          <w:rFonts w:eastAsia="Guttman Hodes" w:hint="cs"/>
          <w:rtl/>
        </w:rPr>
        <w:t>(שבת פ"ח הי"ב)</w:t>
      </w:r>
      <w:r>
        <w:rPr>
          <w:rFonts w:hint="cs"/>
          <w:rtl/>
        </w:rPr>
        <w:t xml:space="preserve"> </w:t>
      </w:r>
      <w:r w:rsidRPr="006E0441">
        <w:rPr>
          <w:rStyle w:val="aff4"/>
          <w:rFonts w:hint="cs"/>
          <w:vanish/>
          <w:rtl/>
        </w:rPr>
        <w:t>-</w:t>
      </w:r>
      <w:r w:rsidRPr="0085567C">
        <w:rPr>
          <w:rStyle w:val="aff4"/>
          <w:rFonts w:hint="cs"/>
          <w:rtl/>
        </w:rPr>
        <w:t>והשו"ע</w:t>
      </w:r>
      <w:r w:rsidRPr="006E0441">
        <w:rPr>
          <w:rStyle w:val="aff4"/>
          <w:rFonts w:hint="cs"/>
          <w:vanish/>
          <w:rtl/>
        </w:rPr>
        <w:t>-</w:t>
      </w:r>
      <w:r>
        <w:rPr>
          <w:rFonts w:hint="cs"/>
          <w:rtl/>
        </w:rPr>
        <w:t xml:space="preserve"> </w:t>
      </w:r>
      <w:r w:rsidRPr="00D4778B">
        <w:rPr>
          <w:rStyle w:val="af2"/>
          <w:rFonts w:eastAsia="Guttman Hodes" w:hint="cs"/>
          <w:rtl/>
        </w:rPr>
        <w:t>(סי' שי"ט א')</w:t>
      </w:r>
      <w:r w:rsidRPr="002A5078">
        <w:rPr>
          <w:rFonts w:hint="cs"/>
          <w:vanish/>
          <w:rtl/>
        </w:rPr>
        <w:t>=</w:t>
      </w:r>
      <w:r>
        <w:rPr>
          <w:rFonts w:hint="cs"/>
          <w:rtl/>
        </w:rPr>
        <w:t xml:space="preserve"> דהבורר ב' מיני אוכלין חייב, הוא רק לדעת </w:t>
      </w:r>
      <w:r w:rsidRPr="006E0441">
        <w:rPr>
          <w:rStyle w:val="aff4"/>
          <w:rFonts w:hint="cs"/>
          <w:vanish/>
          <w:rtl/>
        </w:rPr>
        <w:t>-</w:t>
      </w:r>
      <w:r w:rsidRPr="0085567C">
        <w:rPr>
          <w:rStyle w:val="aff4"/>
          <w:rFonts w:hint="cs"/>
          <w:rtl/>
        </w:rPr>
        <w:t>הרמב"ם</w:t>
      </w:r>
      <w:r w:rsidRPr="006E0441">
        <w:rPr>
          <w:rStyle w:val="aff4"/>
          <w:rFonts w:hint="cs"/>
          <w:vanish/>
          <w:rtl/>
        </w:rPr>
        <w:t>-</w:t>
      </w:r>
      <w:r>
        <w:rPr>
          <w:rFonts w:hint="cs"/>
          <w:rtl/>
        </w:rPr>
        <w:t xml:space="preserve"> </w:t>
      </w:r>
      <w:r w:rsidRPr="00D4778B">
        <w:rPr>
          <w:rStyle w:val="af2"/>
          <w:rFonts w:eastAsia="Guttman Hodes" w:hint="cs"/>
          <w:rtl/>
        </w:rPr>
        <w:t>(שבת פ"א ה"ז)</w:t>
      </w:r>
      <w:r>
        <w:rPr>
          <w:rFonts w:hint="cs"/>
          <w:rtl/>
        </w:rPr>
        <w:t xml:space="preserve"> דקיי"ל דמלאכה שאצל"ג חייב, אבל לדידן דקיי"ל דפטור א"כ בב' מיני אוכלין ובורר את המין שאינו רוצה אף בכלי</w:t>
      </w:r>
      <w:r w:rsidRPr="005E0D4B">
        <w:rPr>
          <w:rFonts w:hint="cs"/>
          <w:rtl/>
        </w:rPr>
        <w:t xml:space="preserve"> </w:t>
      </w:r>
      <w:r>
        <w:rPr>
          <w:rFonts w:hint="cs"/>
          <w:rtl/>
        </w:rPr>
        <w:t xml:space="preserve">פטור, ואפשר לחייב רק באופן שנטל את המין שהוא רוצה כשעשה כן בכלי, או בידו לאחר זמן, דבכה"ג הוא צריך את גוף המלאכה, והקשה </w:t>
      </w:r>
      <w:r w:rsidRPr="006E0441">
        <w:rPr>
          <w:rStyle w:val="aff4"/>
          <w:rFonts w:hint="cs"/>
          <w:vanish/>
          <w:rtl/>
        </w:rPr>
        <w:t>-</w:t>
      </w:r>
      <w:r w:rsidRPr="0085567C">
        <w:rPr>
          <w:rStyle w:val="aff4"/>
          <w:rFonts w:hint="cs"/>
          <w:rtl/>
        </w:rPr>
        <w:t>הביאור הלכה</w:t>
      </w:r>
      <w:r w:rsidRPr="006E0441">
        <w:rPr>
          <w:rStyle w:val="aff4"/>
          <w:rFonts w:hint="cs"/>
          <w:vanish/>
          <w:rtl/>
        </w:rPr>
        <w:t>-</w:t>
      </w:r>
      <w:r>
        <w:rPr>
          <w:rFonts w:hint="cs"/>
          <w:rtl/>
        </w:rPr>
        <w:t xml:space="preserve"> דא"כ אמאי פסקו </w:t>
      </w:r>
      <w:r w:rsidRPr="006E0441">
        <w:rPr>
          <w:rStyle w:val="aff4"/>
          <w:rFonts w:hint="cs"/>
          <w:vanish/>
          <w:rtl/>
        </w:rPr>
        <w:t>-</w:t>
      </w:r>
      <w:r w:rsidRPr="0085567C">
        <w:rPr>
          <w:rStyle w:val="aff4"/>
          <w:rFonts w:hint="cs"/>
          <w:rtl/>
        </w:rPr>
        <w:t>הפוסקים וה</w:t>
      </w:r>
      <w:r w:rsidRPr="006E0441">
        <w:rPr>
          <w:rStyle w:val="aff4"/>
          <w:rFonts w:hint="cs"/>
          <w:vanish/>
          <w:rtl/>
        </w:rPr>
        <w:t>&lt; &gt;</w:t>
      </w:r>
      <w:r w:rsidRPr="0085567C">
        <w:rPr>
          <w:rStyle w:val="aff4"/>
          <w:rFonts w:hint="cs"/>
          <w:rtl/>
        </w:rPr>
        <w:t>רא"ש</w:t>
      </w:r>
      <w:r w:rsidRPr="006E0441">
        <w:rPr>
          <w:rStyle w:val="aff4"/>
          <w:rFonts w:hint="cs"/>
          <w:vanish/>
          <w:rtl/>
        </w:rPr>
        <w:t>-</w:t>
      </w:r>
      <w:r>
        <w:rPr>
          <w:rFonts w:hint="cs"/>
          <w:rtl/>
        </w:rPr>
        <w:t xml:space="preserve"> </w:t>
      </w:r>
      <w:r w:rsidRPr="00D4778B">
        <w:rPr>
          <w:rStyle w:val="af2"/>
          <w:rFonts w:eastAsia="Guttman Hodes" w:hint="cs"/>
          <w:rtl/>
        </w:rPr>
        <w:t>(פ"ז ה"ד)</w:t>
      </w:r>
      <w:r w:rsidRPr="002A5078">
        <w:rPr>
          <w:rFonts w:hint="cs"/>
          <w:vanish/>
          <w:rtl/>
        </w:rPr>
        <w:t>=</w:t>
      </w:r>
      <w:r>
        <w:rPr>
          <w:rFonts w:hint="cs"/>
          <w:rtl/>
        </w:rPr>
        <w:t xml:space="preserve"> דהבורר ב' מיני אוכלין חייב, אעפ"י דס"ל </w:t>
      </w:r>
      <w:r w:rsidRPr="006E0441">
        <w:rPr>
          <w:rStyle w:val="aff4"/>
          <w:rFonts w:hint="cs"/>
          <w:vanish/>
          <w:rtl/>
        </w:rPr>
        <w:t>-</w:t>
      </w:r>
      <w:r w:rsidRPr="0085567C">
        <w:rPr>
          <w:rStyle w:val="aff4"/>
          <w:rFonts w:hint="cs"/>
          <w:rtl/>
        </w:rPr>
        <w:t>להרא"ש בבכורות</w:t>
      </w:r>
      <w:r w:rsidRPr="006E0441">
        <w:rPr>
          <w:rStyle w:val="aff4"/>
          <w:rFonts w:hint="cs"/>
          <w:vanish/>
          <w:rtl/>
        </w:rPr>
        <w:t>-</w:t>
      </w:r>
      <w:r>
        <w:rPr>
          <w:rFonts w:hint="cs"/>
          <w:rtl/>
        </w:rPr>
        <w:t xml:space="preserve"> </w:t>
      </w:r>
      <w:r w:rsidRPr="00D4778B">
        <w:rPr>
          <w:rStyle w:val="af2"/>
          <w:rFonts w:eastAsia="Guttman Hodes" w:hint="cs"/>
          <w:rtl/>
        </w:rPr>
        <w:t>(פ"ג סי' ה')</w:t>
      </w:r>
      <w:r>
        <w:rPr>
          <w:rFonts w:hint="cs"/>
          <w:rtl/>
        </w:rPr>
        <w:t xml:space="preserve"> דמלאכה שאצל"ג פטור עליה, וכתב </w:t>
      </w:r>
      <w:r w:rsidRPr="006E0441">
        <w:rPr>
          <w:rStyle w:val="aff4"/>
          <w:rFonts w:hint="cs"/>
          <w:vanish/>
          <w:rtl/>
        </w:rPr>
        <w:t>-</w:t>
      </w:r>
      <w:r w:rsidRPr="0085567C">
        <w:rPr>
          <w:rStyle w:val="aff4"/>
          <w:rFonts w:hint="cs"/>
          <w:rtl/>
        </w:rPr>
        <w:t>הביאור הלכה</w:t>
      </w:r>
      <w:r w:rsidRPr="006E0441">
        <w:rPr>
          <w:rStyle w:val="aff4"/>
          <w:rFonts w:hint="cs"/>
          <w:vanish/>
          <w:rtl/>
        </w:rPr>
        <w:t>-</w:t>
      </w:r>
      <w:r>
        <w:rPr>
          <w:rFonts w:hint="cs"/>
          <w:rtl/>
        </w:rPr>
        <w:t xml:space="preserve"> דמוכח </w:t>
      </w:r>
      <w:r w:rsidRPr="006E0441">
        <w:rPr>
          <w:rStyle w:val="aff4"/>
          <w:rFonts w:hint="cs"/>
          <w:vanish/>
          <w:rtl/>
        </w:rPr>
        <w:t>-</w:t>
      </w:r>
      <w:r w:rsidRPr="0085567C">
        <w:rPr>
          <w:rStyle w:val="aff4"/>
          <w:rFonts w:hint="cs"/>
          <w:rtl/>
        </w:rPr>
        <w:t>מהרא"ש</w:t>
      </w:r>
      <w:r w:rsidRPr="006E0441">
        <w:rPr>
          <w:rStyle w:val="aff4"/>
          <w:rFonts w:hint="cs"/>
          <w:vanish/>
          <w:rtl/>
        </w:rPr>
        <w:t>-</w:t>
      </w:r>
      <w:r>
        <w:rPr>
          <w:rFonts w:hint="cs"/>
          <w:rtl/>
        </w:rPr>
        <w:t xml:space="preserve"> דאף בבורר ב' מיני אוכלין הוא מלאכה הצריכה לגופה, כיון דכל מין מתייפה במה שמוציא את המין השני שמעורב בו, והוא מלאכה הצריכה לגופה. </w:t>
      </w:r>
      <w:r w:rsidRPr="00D4778B">
        <w:rPr>
          <w:rStyle w:val="af"/>
          <w:rFonts w:hint="cs"/>
          <w:rtl/>
        </w:rPr>
        <w:t xml:space="preserve">[ועיי"ש במ"ש לפי"ז </w:t>
      </w:r>
      <w:r w:rsidRPr="00EB1A7E">
        <w:rPr>
          <w:rStyle w:val="aff9"/>
          <w:rFonts w:hint="cs"/>
          <w:vanish/>
          <w:rtl/>
        </w:rPr>
        <w:t>-</w:t>
      </w:r>
      <w:r w:rsidRPr="00D4778B">
        <w:rPr>
          <w:rStyle w:val="aff9"/>
          <w:rFonts w:hint="cs"/>
          <w:rtl/>
        </w:rPr>
        <w:t>הביה"ל</w:t>
      </w:r>
      <w:r w:rsidRPr="00EB1A7E">
        <w:rPr>
          <w:rStyle w:val="aff9"/>
          <w:rFonts w:hint="cs"/>
          <w:vanish/>
          <w:rtl/>
        </w:rPr>
        <w:t>-</w:t>
      </w:r>
      <w:r w:rsidRPr="00D4778B">
        <w:rPr>
          <w:rStyle w:val="af"/>
          <w:rFonts w:hint="cs"/>
          <w:rtl/>
        </w:rPr>
        <w:t xml:space="preserve"> בדין בורר בב' מינים המונחים אחד ע"ג השני]</w:t>
      </w:r>
      <w:r>
        <w:rPr>
          <w:rFonts w:hint="cs"/>
          <w:rtl/>
        </w:rPr>
        <w:t>.</w:t>
      </w:r>
    </w:p>
    <w:p w14:paraId="4BCFE35A" w14:textId="77777777" w:rsidR="00316453" w:rsidRPr="00747170" w:rsidRDefault="00316453" w:rsidP="00747170">
      <w:pPr>
        <w:pStyle w:val="a2"/>
      </w:pPr>
      <w:r w:rsidRPr="00747170">
        <w:rPr>
          <w:rtl/>
        </w:rPr>
        <w:t>וא"כ לפי דבריו יהיו דברי הרמב"ם הנזכר בשו"ע ס"א לשיטתו דמלאכה שאצ"ל חייב אבל לדידן דפסקינן דמלאכה שאצ"ל פטור לא יהיה חייב לפ"ז בבורר אותו שאין חפץ לאכול אפילו בכלי ורק אם בורר אותו שחפץ לאכול לאלתר ובכלי או בידו ולאחר זמן וקשה דלפי דבריו אמאי העתיק הרא"ש [ויתר הפוסקים] דס"ל דמשאצ"ל פטור את הדין דאותו שאינו חפץ לאכול מקרי פסולת וא"א לומר דלהקל העתיק זה כמו שמוכח בדבריו שם וע"כ צ"ל דס"ל דגם בשני מיני אוכלים המעורבים מתיפה כל מין ע"י ברירת חבירו ממנו וע"כ מיקרי מלאכה הצריכה לגופה</w:t>
      </w:r>
      <w:r w:rsidRPr="00747170">
        <w:rPr>
          <w:rFonts w:hint="cs"/>
          <w:rtl/>
        </w:rPr>
        <w:t xml:space="preserve">. </w:t>
      </w:r>
      <w:r w:rsidRPr="00747170">
        <w:rPr>
          <w:rStyle w:val="afff7"/>
          <w:rtl/>
        </w:rPr>
        <w:t>רק כ"ז לא שייך כ"א כשהמינין מעורבין יחד כל מין בחבירו ונתקן המין ע"י ברירת חבירו ממנו משא"כ כשמונח בקערה מין אחד על מין שלמטה ממנו ומסלק להמין שלמעלה כדי להגיע למין שלמטה ממנו לא שייך בזה תיקון שיהא נקרא מלאכה שצריכה לגופה ויותר נראה דאפילו איסור דרבנן לא שייך בזה וגם אפילו למ"ד משאצ"ל חייב ג"כ יהיה מותר בזה וכדמשמע לשון הרמב"ם והשו"ע דקאמר היו לפניו וכו' מעורבים משמע אבל אינן מעורבים לא שייך שם בורר במה שמסלק מין אחד מחבירו ואפילו אם תרצה לדחוק ולומר דבמה שאינו מסודר כל מין בפ"ע הוא בכלל מעורבין ושייך בזה שם ברירה מ"מ נראה דאין להחמיר בזה רק כשמסלקו מלמעלה ודעתו בברירתו כדי להניחו לאח"ז דאז אם הוא בכלל ברירה נוכל לומר דמקרי מלאכה וגם מלאכה הצריכה לגופה כיון דבהסרתו מכינו אלאח"כ לא שנא אם מכינו על יום זה או על יום אחר אבל אם אינו חושב אודותו כלל רק שרוצה להסירו כדי להגיע למין שלמטה ממנו זה לא הוי בכלל בורר כלל ודומיא דמה שפסק השו"ע לעיל בסימן שט"ז ס"ז לענין צידת נחש דאם מתעסק שלא ישכנו מותר והוא אפילו להרמב"ם דס"ל דמשאצ"ל חייב וכמו שכתבו המפרשים הטעם כיון שאינו רוצה בעצם הצידה רק כדי להפרידו מעליו לא הוי בכלל מלאכה דאורייתא וה"נ בעניננו שרוצה לסלקו רק כדי להגיע למין שלמטה ממנו ולענין פסולת מתוך אוכל שאני שמתיפה האוכל ע"י ברירתו משא"כ בזה שאינו מתיפה המין שלמטה עי"ז ורק משום עצם הברירה שבורר כל מין מחבירו וזה לא שייך בזה וכמו שכתבנו ראיה מצידת נחש ואף דשם יש כמה פוסקים דפליגי שם אהרמב"ם וס"ל דעיקר הטעם הוא משום דמשאצ"ל פטור א"כ בעניננו ג"כ נאמר כן דהיא עכ"פ מלאכה שאצ"ל כיון שאינו מתיפה המין שלמטה עי"ז ואינו רוצה ג"כ בברירת המין שלמעלה בעצם רק כדי לסלקו ולהגיע למין שלמטה ממנו ואף דשם יש עכ"פ איסור מדרבנן ורק משום דבמקום הזיקא לא גזרו התירו מ"מ נראה דבעניננו אין להחמיר בזה דהתה"ד גופא מצדד מתחלה להקל אפילו כשנתערבו יחד היטב והוא רוצה לבררו כדי להניחו לאחר זמן ומשום דלא שייך שם בורר היכא דכל מין ניכר בפ"ע ולא החמיר בזה לבסוף רק מטעם חשש חיוב ע"ש וכיון דביררנו בעניננו דלית בזה חיובא בכל גווני נראה דאין להחמיר בדבר:</w:t>
      </w:r>
    </w:p>
    <w:p w14:paraId="0151CA2B" w14:textId="69275D44" w:rsidR="00316453" w:rsidRPr="00123A6D" w:rsidRDefault="00316453" w:rsidP="00316453">
      <w:pPr>
        <w:pStyle w:val="afffff7"/>
        <w:rPr>
          <w:rtl/>
        </w:rPr>
      </w:pPr>
      <w:bookmarkStart w:id="1853" w:name="_Toc136620419"/>
      <w:bookmarkStart w:id="1854" w:name="_Toc163505698"/>
      <w:r w:rsidRPr="00123A6D">
        <w:rPr>
          <w:rFonts w:hint="cs"/>
          <w:rtl/>
        </w:rPr>
        <w:t>מגן אבות הזורה</w:t>
      </w:r>
      <w:bookmarkEnd w:id="1853"/>
      <w:bookmarkEnd w:id="1854"/>
    </w:p>
    <w:p w14:paraId="39C57843" w14:textId="77777777" w:rsidR="00316453" w:rsidRDefault="00316453" w:rsidP="00316453">
      <w:pPr>
        <w:pStyle w:val="a7"/>
        <w:rPr>
          <w:rtl/>
        </w:rPr>
      </w:pPr>
      <w:bookmarkStart w:id="1855" w:name="_Toc136618651"/>
      <w:r>
        <w:rPr>
          <w:rFonts w:hint="cs"/>
          <w:rtl/>
        </w:rPr>
        <w:t>בי' המגן אבות בבעה"מ דרוקק ברה"ר חייב אף דאצל"ג אך דחה דהחיוב רק בזורה שיש תועלת</w:t>
      </w:r>
      <w:bookmarkEnd w:id="1855"/>
    </w:p>
    <w:p w14:paraId="67A3755C" w14:textId="5BEE9431" w:rsidR="00316453" w:rsidRDefault="00316453" w:rsidP="00BC7DC8">
      <w:pPr>
        <w:pStyle w:val="a3"/>
      </w:pPr>
      <w:bookmarkStart w:id="1856" w:name="_Ref136510929"/>
      <w:r>
        <w:rPr>
          <w:rFonts w:hint="cs"/>
          <w:rtl/>
        </w:rPr>
        <w:t xml:space="preserve">כתב </w:t>
      </w:r>
      <w:r w:rsidRPr="008A55FE">
        <w:rPr>
          <w:rStyle w:val="aff4"/>
          <w:rFonts w:hint="cs"/>
          <w:vanish/>
          <w:rtl/>
        </w:rPr>
        <w:t>-</w:t>
      </w:r>
      <w:r w:rsidRPr="00BF46FD">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Ref136510929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ו)</w:t>
      </w:r>
      <w:r>
        <w:rPr>
          <w:rStyle w:val="aff4"/>
          <w:vanish/>
          <w:rtl/>
        </w:rPr>
        <w:fldChar w:fldCharType="end"/>
      </w:r>
      <w:r>
        <w:rPr>
          <w:rStyle w:val="aff4"/>
          <w:rFonts w:hint="cs"/>
          <w:vanish/>
          <w:rtl/>
        </w:rPr>
        <w:t xml:space="preserve"> &gt;</w:t>
      </w:r>
      <w:r w:rsidRPr="00BF46FD">
        <w:rPr>
          <w:rStyle w:val="aff4"/>
          <w:rFonts w:hint="cs"/>
          <w:rtl/>
        </w:rPr>
        <w:t>מגן אבות</w:t>
      </w:r>
      <w:r w:rsidRPr="008A55FE">
        <w:rPr>
          <w:rStyle w:val="aff4"/>
          <w:rFonts w:hint="cs"/>
          <w:vanish/>
          <w:rtl/>
        </w:rPr>
        <w:t>-</w:t>
      </w:r>
      <w:r>
        <w:rPr>
          <w:rFonts w:hint="cs"/>
          <w:rtl/>
        </w:rPr>
        <w:t xml:space="preserve"> </w:t>
      </w:r>
      <w:r w:rsidRPr="008A55FE">
        <w:rPr>
          <w:rStyle w:val="af2"/>
          <w:rFonts w:eastAsia="Guttman Hodes" w:hint="cs"/>
          <w:rtl/>
        </w:rPr>
        <w:t>(הזורה)</w:t>
      </w:r>
      <w:r w:rsidRPr="008A55FE">
        <w:rPr>
          <w:rFonts w:hint="cs"/>
          <w:vanish/>
          <w:rtl/>
        </w:rPr>
        <w:t>=</w:t>
      </w:r>
      <w:r>
        <w:rPr>
          <w:rFonts w:hint="cs"/>
          <w:rtl/>
        </w:rPr>
        <w:t xml:space="preserve"> בשם </w:t>
      </w:r>
      <w:r w:rsidRPr="008A55FE">
        <w:rPr>
          <w:rStyle w:val="aff4"/>
          <w:rFonts w:hint="cs"/>
          <w:vanish/>
          <w:rtl/>
        </w:rPr>
        <w:t>-</w:t>
      </w:r>
      <w:r w:rsidRPr="00BF46FD">
        <w:rPr>
          <w:rStyle w:val="aff4"/>
          <w:rFonts w:hint="cs"/>
          <w:rtl/>
        </w:rPr>
        <w:t>הסמ"ק</w:t>
      </w:r>
      <w:r w:rsidRPr="008A55FE">
        <w:rPr>
          <w:rStyle w:val="aff4"/>
          <w:rFonts w:hint="cs"/>
          <w:vanish/>
          <w:rtl/>
        </w:rPr>
        <w:t>-</w:t>
      </w:r>
      <w:r>
        <w:rPr>
          <w:rFonts w:hint="cs"/>
          <w:rtl/>
        </w:rPr>
        <w:t xml:space="preserve"> דאסור לרוק בר"ה משום זורה, </w:t>
      </w:r>
      <w:r w:rsidRPr="00B52A36">
        <w:rPr>
          <w:rStyle w:val="af"/>
          <w:rFonts w:hint="cs"/>
          <w:rtl/>
        </w:rPr>
        <w:t xml:space="preserve">[ואינו </w:t>
      </w:r>
      <w:r w:rsidRPr="005D49B2">
        <w:rPr>
          <w:rStyle w:val="aff9"/>
          <w:rFonts w:hint="cs"/>
          <w:vanish/>
          <w:rtl/>
        </w:rPr>
        <w:t>-</w:t>
      </w:r>
      <w:r w:rsidRPr="005D49B2">
        <w:rPr>
          <w:rStyle w:val="aff9"/>
          <w:rFonts w:hint="cs"/>
          <w:rtl/>
        </w:rPr>
        <w:t>בסמ"ק</w:t>
      </w:r>
      <w:r w:rsidRPr="005D49B2">
        <w:rPr>
          <w:rStyle w:val="aff9"/>
          <w:rFonts w:hint="cs"/>
          <w:vanish/>
          <w:rtl/>
        </w:rPr>
        <w:t>-</w:t>
      </w:r>
      <w:r w:rsidRPr="00B52A36">
        <w:rPr>
          <w:rStyle w:val="af"/>
          <w:rFonts w:hint="cs"/>
          <w:rtl/>
        </w:rPr>
        <w:t xml:space="preserve"> לפנינו כדכתב </w:t>
      </w:r>
      <w:r w:rsidRPr="005D49B2">
        <w:rPr>
          <w:rStyle w:val="aff9"/>
          <w:rFonts w:hint="cs"/>
          <w:vanish/>
          <w:rtl/>
        </w:rPr>
        <w:t>-</w:t>
      </w:r>
      <w:r w:rsidRPr="005D49B2">
        <w:rPr>
          <w:rStyle w:val="aff9"/>
          <w:rFonts w:hint="cs"/>
          <w:rtl/>
        </w:rPr>
        <w:t>הגרעק"א</w:t>
      </w:r>
      <w:r w:rsidRPr="005D49B2">
        <w:rPr>
          <w:rStyle w:val="aff9"/>
          <w:rFonts w:hint="cs"/>
          <w:vanish/>
          <w:rtl/>
        </w:rPr>
        <w:t>-</w:t>
      </w:r>
      <w:r w:rsidRPr="00B52A36">
        <w:rPr>
          <w:rStyle w:val="af"/>
          <w:rFonts w:hint="cs"/>
          <w:rtl/>
        </w:rPr>
        <w:t xml:space="preserve"> </w:t>
      </w:r>
      <w:r w:rsidRPr="005D49B2">
        <w:rPr>
          <w:rStyle w:val="aff0"/>
          <w:rFonts w:hint="cs"/>
          <w:rtl/>
        </w:rPr>
        <w:t xml:space="preserve">(עי' </w:t>
      </w:r>
      <w:r w:rsidRPr="00330699">
        <w:rPr>
          <w:rStyle w:val="aff0"/>
          <w:rFonts w:hint="cs"/>
          <w:rtl/>
        </w:rPr>
        <w:t xml:space="preserve">אות </w:t>
      </w:r>
      <w:r w:rsidRPr="00330699">
        <w:rPr>
          <w:rStyle w:val="aff0"/>
          <w:rtl/>
        </w:rPr>
        <w:fldChar w:fldCharType="begin"/>
      </w:r>
      <w:r w:rsidRPr="00330699">
        <w:rPr>
          <w:rStyle w:val="aff0"/>
          <w:rtl/>
        </w:rPr>
        <w:instrText xml:space="preserve"> </w:instrText>
      </w:r>
      <w:r w:rsidRPr="00330699">
        <w:rPr>
          <w:rStyle w:val="aff0"/>
          <w:rFonts w:hint="cs"/>
        </w:rPr>
        <w:instrText>REF</w:instrText>
      </w:r>
      <w:r w:rsidRPr="00330699">
        <w:rPr>
          <w:rStyle w:val="aff0"/>
          <w:rFonts w:hint="cs"/>
          <w:rtl/>
        </w:rPr>
        <w:instrText xml:space="preserve"> _</w:instrText>
      </w:r>
      <w:r w:rsidRPr="00330699">
        <w:rPr>
          <w:rStyle w:val="aff0"/>
          <w:rFonts w:hint="cs"/>
        </w:rPr>
        <w:instrText>Ref136512049 \r \h</w:instrText>
      </w:r>
      <w:r w:rsidRPr="00330699">
        <w:rPr>
          <w:rStyle w:val="aff0"/>
          <w:rtl/>
        </w:rPr>
        <w:instrText xml:space="preserve"> </w:instrText>
      </w:r>
      <w:r w:rsidRPr="00330699">
        <w:rPr>
          <w:rStyle w:val="aff0"/>
          <w:rtl/>
        </w:rPr>
      </w:r>
      <w:r w:rsidRPr="00330699">
        <w:rPr>
          <w:rStyle w:val="aff0"/>
          <w:rtl/>
        </w:rPr>
        <w:fldChar w:fldCharType="separate"/>
      </w:r>
      <w:r w:rsidR="00D82181">
        <w:rPr>
          <w:rStyle w:val="aff0"/>
          <w:cs/>
        </w:rPr>
        <w:t>‎</w:t>
      </w:r>
      <w:r w:rsidR="00D82181">
        <w:rPr>
          <w:rStyle w:val="aff0"/>
          <w:rtl/>
        </w:rPr>
        <w:t>כז)</w:t>
      </w:r>
      <w:r w:rsidRPr="00330699">
        <w:rPr>
          <w:rStyle w:val="aff0"/>
          <w:rtl/>
        </w:rPr>
        <w:fldChar w:fldCharType="end"/>
      </w:r>
      <w:r w:rsidRPr="00B52A36">
        <w:rPr>
          <w:rStyle w:val="af"/>
          <w:rFonts w:hint="cs"/>
          <w:rtl/>
        </w:rPr>
        <w:t xml:space="preserve">, והוא דברי </w:t>
      </w:r>
      <w:r w:rsidRPr="005D49B2">
        <w:rPr>
          <w:rStyle w:val="aff9"/>
          <w:rFonts w:hint="cs"/>
          <w:vanish/>
          <w:rtl/>
        </w:rPr>
        <w:t>-</w:t>
      </w:r>
      <w:r w:rsidRPr="005D49B2">
        <w:rPr>
          <w:rStyle w:val="aff9"/>
          <w:rFonts w:hint="cs"/>
          <w:rtl/>
        </w:rPr>
        <w:t>האו"ז</w:t>
      </w:r>
      <w:r w:rsidRPr="005D49B2">
        <w:rPr>
          <w:rStyle w:val="aff9"/>
          <w:rFonts w:hint="cs"/>
          <w:vanish/>
          <w:rtl/>
        </w:rPr>
        <w:t>-</w:t>
      </w:r>
      <w:r>
        <w:rPr>
          <w:rStyle w:val="af"/>
          <w:rFonts w:hint="cs"/>
          <w:rtl/>
        </w:rPr>
        <w:t xml:space="preserve"> </w:t>
      </w:r>
      <w:r w:rsidRPr="005D49B2">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Ref136512059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כג)</w:t>
      </w:r>
      <w:r>
        <w:rPr>
          <w:rStyle w:val="aff0"/>
          <w:rtl/>
        </w:rPr>
        <w:fldChar w:fldCharType="end"/>
      </w:r>
      <w:r w:rsidRPr="005D49B2">
        <w:rPr>
          <w:rStyle w:val="aff0"/>
          <w:rFonts w:hint="cs"/>
          <w:rtl/>
        </w:rPr>
        <w:t xml:space="preserve"> </w:t>
      </w:r>
      <w:r>
        <w:rPr>
          <w:rStyle w:val="af"/>
          <w:rFonts w:hint="cs"/>
          <w:rtl/>
        </w:rPr>
        <w:t xml:space="preserve">בשם </w:t>
      </w:r>
      <w:r w:rsidRPr="00B52A36">
        <w:rPr>
          <w:rStyle w:val="af"/>
          <w:rFonts w:hint="cs"/>
          <w:rtl/>
        </w:rPr>
        <w:t xml:space="preserve">הירושלמי דהרוקק </w:t>
      </w:r>
      <w:r>
        <w:rPr>
          <w:rStyle w:val="af"/>
          <w:rFonts w:hint="cs"/>
          <w:rtl/>
        </w:rPr>
        <w:t>לרוח</w:t>
      </w:r>
      <w:r w:rsidRPr="00B52A36">
        <w:rPr>
          <w:rStyle w:val="af"/>
          <w:rFonts w:hint="cs"/>
          <w:rtl/>
        </w:rPr>
        <w:t xml:space="preserve"> חייב משום זורה],</w:t>
      </w:r>
      <w:r>
        <w:rPr>
          <w:rFonts w:hint="cs"/>
          <w:rtl/>
        </w:rPr>
        <w:t xml:space="preserve"> והקשה </w:t>
      </w:r>
      <w:r w:rsidRPr="001840DA">
        <w:rPr>
          <w:rStyle w:val="aff4"/>
          <w:rFonts w:hint="cs"/>
          <w:vanish/>
          <w:rtl/>
        </w:rPr>
        <w:t>-</w:t>
      </w:r>
      <w:r w:rsidRPr="00BF46FD">
        <w:rPr>
          <w:rStyle w:val="aff4"/>
          <w:rFonts w:hint="cs"/>
          <w:rtl/>
        </w:rPr>
        <w:t>המגן אבות</w:t>
      </w:r>
      <w:r w:rsidRPr="001840DA">
        <w:rPr>
          <w:rStyle w:val="aff4"/>
          <w:rFonts w:hint="cs"/>
          <w:vanish/>
          <w:rtl/>
        </w:rPr>
        <w:t>-</w:t>
      </w:r>
      <w:r>
        <w:rPr>
          <w:rFonts w:hint="cs"/>
          <w:rtl/>
        </w:rPr>
        <w:t xml:space="preserve"> דהוא מלאכה שא"צ לגופה, ותירץ דאפ"ה אסור מדרבנן, והוסיף </w:t>
      </w:r>
      <w:r w:rsidRPr="001840DA">
        <w:rPr>
          <w:rStyle w:val="aff4"/>
          <w:rFonts w:hint="cs"/>
          <w:vanish/>
          <w:rtl/>
        </w:rPr>
        <w:t>-</w:t>
      </w:r>
      <w:r w:rsidRPr="00BF46FD">
        <w:rPr>
          <w:rStyle w:val="aff4"/>
          <w:rFonts w:hint="cs"/>
          <w:rtl/>
        </w:rPr>
        <w:t>המגן אבות</w:t>
      </w:r>
      <w:r w:rsidRPr="001840DA">
        <w:rPr>
          <w:rStyle w:val="aff4"/>
          <w:rFonts w:hint="cs"/>
          <w:vanish/>
          <w:rtl/>
        </w:rPr>
        <w:t>-</w:t>
      </w:r>
      <w:r w:rsidRPr="001570FF">
        <w:rPr>
          <w:rFonts w:hint="cs"/>
          <w:rtl/>
        </w:rPr>
        <w:t xml:space="preserve"> </w:t>
      </w:r>
      <w:r w:rsidRPr="00321179">
        <w:rPr>
          <w:rFonts w:hint="cs"/>
          <w:rtl/>
        </w:rPr>
        <w:t xml:space="preserve">דלדעת </w:t>
      </w:r>
      <w:r w:rsidRPr="00527BD6">
        <w:rPr>
          <w:rStyle w:val="aff4"/>
          <w:rFonts w:hint="cs"/>
          <w:vanish/>
          <w:rtl/>
        </w:rPr>
        <w:t>-</w:t>
      </w:r>
      <w:r w:rsidRPr="00DE28D5">
        <w:rPr>
          <w:rStyle w:val="aff4"/>
          <w:rFonts w:hint="cs"/>
          <w:rtl/>
        </w:rPr>
        <w:t>הבעה"מ</w:t>
      </w:r>
      <w:r w:rsidRPr="00527BD6">
        <w:rPr>
          <w:rStyle w:val="aff4"/>
          <w:rFonts w:hint="cs"/>
          <w:vanish/>
          <w:rtl/>
        </w:rPr>
        <w:t>-</w:t>
      </w:r>
      <w:r w:rsidRPr="00321179">
        <w:rPr>
          <w:rFonts w:hint="cs"/>
          <w:rtl/>
        </w:rPr>
        <w:t xml:space="preserve"> </w:t>
      </w:r>
      <w:r w:rsidRPr="00D4778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Ref135731936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א)</w:t>
      </w:r>
      <w:r>
        <w:rPr>
          <w:rStyle w:val="af2"/>
          <w:rFonts w:eastAsia="Guttman Hodes"/>
          <w:rtl/>
        </w:rPr>
        <w:fldChar w:fldCharType="end"/>
      </w:r>
      <w:r>
        <w:rPr>
          <w:rFonts w:hint="cs"/>
          <w:rtl/>
        </w:rPr>
        <w:t xml:space="preserve"> </w:t>
      </w:r>
      <w:r w:rsidRPr="00321179">
        <w:rPr>
          <w:rFonts w:hint="cs"/>
          <w:rtl/>
        </w:rPr>
        <w:t xml:space="preserve">דכל זורה ובורר הוא </w:t>
      </w:r>
      <w:r>
        <w:rPr>
          <w:rFonts w:hint="cs"/>
          <w:rtl/>
        </w:rPr>
        <w:t xml:space="preserve">סילוק ההיזק והוי </w:t>
      </w:r>
      <w:r w:rsidRPr="00321179">
        <w:rPr>
          <w:rFonts w:hint="cs"/>
          <w:rtl/>
        </w:rPr>
        <w:t>מלאכה שא"צ לגופה, ואפ"ה חייב</w:t>
      </w:r>
      <w:r>
        <w:rPr>
          <w:rFonts w:hint="cs"/>
          <w:rtl/>
        </w:rPr>
        <w:t xml:space="preserve"> א"כ אפש"ל דבכל זורה חייב אף בא"צ לגופה</w:t>
      </w:r>
      <w:r w:rsidRPr="00321179">
        <w:rPr>
          <w:rFonts w:hint="cs"/>
          <w:rtl/>
        </w:rPr>
        <w:t>,</w:t>
      </w:r>
      <w:r>
        <w:rPr>
          <w:rFonts w:hint="cs"/>
          <w:rtl/>
        </w:rPr>
        <w:t xml:space="preserve"> אך כתב </w:t>
      </w:r>
      <w:r w:rsidRPr="001840DA">
        <w:rPr>
          <w:rStyle w:val="aff4"/>
          <w:rFonts w:hint="cs"/>
          <w:vanish/>
          <w:rtl/>
        </w:rPr>
        <w:t>-</w:t>
      </w:r>
      <w:r>
        <w:rPr>
          <w:rStyle w:val="aff4"/>
          <w:rFonts w:hint="cs"/>
          <w:rtl/>
        </w:rPr>
        <w:t>ה</w:t>
      </w:r>
      <w:r w:rsidRPr="00BF46FD">
        <w:rPr>
          <w:rStyle w:val="aff4"/>
          <w:rFonts w:hint="cs"/>
          <w:rtl/>
        </w:rPr>
        <w:t>מגן אבות</w:t>
      </w:r>
      <w:r w:rsidRPr="001840DA">
        <w:rPr>
          <w:rStyle w:val="aff4"/>
          <w:rFonts w:hint="cs"/>
          <w:vanish/>
          <w:rtl/>
        </w:rPr>
        <w:t>-</w:t>
      </w:r>
      <w:r>
        <w:rPr>
          <w:rFonts w:hint="cs"/>
          <w:rtl/>
        </w:rPr>
        <w:t xml:space="preserve"> </w:t>
      </w:r>
      <w:r w:rsidRPr="00EA4245">
        <w:rPr>
          <w:rFonts w:hint="cs"/>
          <w:rtl/>
        </w:rPr>
        <w:t>ד</w:t>
      </w:r>
      <w:r>
        <w:rPr>
          <w:rFonts w:hint="cs"/>
          <w:rtl/>
        </w:rPr>
        <w:t xml:space="preserve">אפש"ל דהחיוב בזה </w:t>
      </w:r>
      <w:r w:rsidRPr="00EA4245">
        <w:rPr>
          <w:rFonts w:hint="cs"/>
          <w:rtl/>
        </w:rPr>
        <w:t>ה</w:t>
      </w:r>
      <w:r>
        <w:rPr>
          <w:rFonts w:hint="cs"/>
          <w:rtl/>
        </w:rPr>
        <w:t xml:space="preserve">וא רק כיון שבזורה ובורר יש תועלת במה שמסלק את הנזק, וזו התועלת שהייתה במשכן, והוסיף </w:t>
      </w:r>
      <w:r w:rsidRPr="001840DA">
        <w:rPr>
          <w:rStyle w:val="aff4"/>
          <w:rFonts w:hint="cs"/>
          <w:vanish/>
          <w:rtl/>
        </w:rPr>
        <w:t>-</w:t>
      </w:r>
      <w:r w:rsidRPr="00BF46FD">
        <w:rPr>
          <w:rStyle w:val="aff4"/>
          <w:rFonts w:hint="cs"/>
          <w:rtl/>
        </w:rPr>
        <w:t>המגן אבות</w:t>
      </w:r>
      <w:r w:rsidRPr="001840DA">
        <w:rPr>
          <w:rStyle w:val="aff4"/>
          <w:rFonts w:hint="cs"/>
          <w:vanish/>
          <w:rtl/>
        </w:rPr>
        <w:t>-</w:t>
      </w:r>
      <w:r>
        <w:rPr>
          <w:rFonts w:hint="cs"/>
          <w:rtl/>
        </w:rPr>
        <w:t xml:space="preserve"> דבכל מלאכה שא"צ לגופה היה יכול לעשות מלכתחילה שלא יהיה נזק, משא"כ בזורה דאינו תלוי ברצונו דלכל תבואה יש מוץ וא"א לתקנה בלא זרייה, לכן בכה"ג חשיב שיש לו תועלת, </w:t>
      </w:r>
      <w:r w:rsidRPr="004863FE">
        <w:rPr>
          <w:rStyle w:val="af"/>
          <w:rFonts w:hint="cs"/>
          <w:rtl/>
        </w:rPr>
        <w:t>[</w:t>
      </w:r>
      <w:r>
        <w:rPr>
          <w:rStyle w:val="af"/>
          <w:rFonts w:hint="cs"/>
          <w:rtl/>
        </w:rPr>
        <w:t xml:space="preserve">עי' במ"ש </w:t>
      </w:r>
      <w:r w:rsidRPr="004863FE">
        <w:rPr>
          <w:rStyle w:val="aff9"/>
          <w:rFonts w:hint="cs"/>
          <w:vanish/>
          <w:rtl/>
        </w:rPr>
        <w:t>-</w:t>
      </w:r>
      <w:r w:rsidRPr="004863FE">
        <w:rPr>
          <w:rStyle w:val="aff9"/>
          <w:rFonts w:hint="cs"/>
          <w:rtl/>
        </w:rPr>
        <w:t>המאירי</w:t>
      </w:r>
      <w:r w:rsidRPr="004863FE">
        <w:rPr>
          <w:rStyle w:val="aff9"/>
          <w:rFonts w:hint="cs"/>
          <w:vanish/>
          <w:rtl/>
        </w:rPr>
        <w:t>-</w:t>
      </w:r>
      <w:r w:rsidRPr="004863FE">
        <w:rPr>
          <w:rStyle w:val="af"/>
          <w:rFonts w:hint="cs"/>
          <w:rtl/>
        </w:rPr>
        <w:t xml:space="preserve"> </w:t>
      </w:r>
      <w:r w:rsidRPr="004863FE">
        <w:rPr>
          <w:rStyle w:val="aff0"/>
          <w:rFonts w:hint="cs"/>
          <w:rtl/>
        </w:rPr>
        <w:t xml:space="preserve">(עי' אות </w:t>
      </w:r>
      <w:r w:rsidRPr="004863FE">
        <w:rPr>
          <w:rStyle w:val="aff0"/>
          <w:rtl/>
        </w:rPr>
        <w:fldChar w:fldCharType="begin"/>
      </w:r>
      <w:r w:rsidRPr="004863FE">
        <w:rPr>
          <w:rStyle w:val="aff0"/>
          <w:rtl/>
        </w:rPr>
        <w:instrText xml:space="preserve"> </w:instrText>
      </w:r>
      <w:r w:rsidRPr="004863FE">
        <w:rPr>
          <w:rStyle w:val="aff0"/>
          <w:rFonts w:hint="cs"/>
        </w:rPr>
        <w:instrText>REF</w:instrText>
      </w:r>
      <w:r w:rsidRPr="004863FE">
        <w:rPr>
          <w:rStyle w:val="aff0"/>
          <w:rFonts w:hint="cs"/>
          <w:rtl/>
        </w:rPr>
        <w:instrText xml:space="preserve"> _</w:instrText>
      </w:r>
      <w:r w:rsidRPr="004863FE">
        <w:rPr>
          <w:rStyle w:val="aff0"/>
          <w:rFonts w:hint="cs"/>
        </w:rPr>
        <w:instrText>Ref136445462 \r \h</w:instrText>
      </w:r>
      <w:r w:rsidRPr="004863FE">
        <w:rPr>
          <w:rStyle w:val="aff0"/>
          <w:rtl/>
        </w:rPr>
        <w:instrText xml:space="preserve"> </w:instrText>
      </w:r>
      <w:r w:rsidRPr="004863FE">
        <w:rPr>
          <w:rStyle w:val="aff0"/>
          <w:rtl/>
        </w:rPr>
      </w:r>
      <w:r w:rsidRPr="004863FE">
        <w:rPr>
          <w:rStyle w:val="aff0"/>
          <w:rtl/>
        </w:rPr>
        <w:fldChar w:fldCharType="separate"/>
      </w:r>
      <w:r w:rsidR="00D82181">
        <w:rPr>
          <w:rStyle w:val="aff0"/>
          <w:cs/>
        </w:rPr>
        <w:t>‎</w:t>
      </w:r>
      <w:r w:rsidR="00D82181">
        <w:rPr>
          <w:rStyle w:val="aff0"/>
          <w:rtl/>
        </w:rPr>
        <w:t>י)</w:t>
      </w:r>
      <w:r w:rsidRPr="004863FE">
        <w:rPr>
          <w:rStyle w:val="aff0"/>
          <w:rtl/>
        </w:rPr>
        <w:fldChar w:fldCharType="end"/>
      </w:r>
      <w:r w:rsidRPr="004863FE">
        <w:rPr>
          <w:rStyle w:val="af"/>
          <w:rFonts w:hint="cs"/>
          <w:rtl/>
        </w:rPr>
        <w:t xml:space="preserve">], </w:t>
      </w:r>
      <w:r>
        <w:rPr>
          <w:rFonts w:hint="cs"/>
          <w:rtl/>
        </w:rPr>
        <w:t xml:space="preserve">אבל בדבר שאין לו תועלת כרוק ברה"ר, כתב </w:t>
      </w:r>
      <w:r w:rsidRPr="001840DA">
        <w:rPr>
          <w:rStyle w:val="aff4"/>
          <w:rFonts w:hint="cs"/>
          <w:vanish/>
          <w:rtl/>
        </w:rPr>
        <w:t>-</w:t>
      </w:r>
      <w:r w:rsidRPr="00BF46FD">
        <w:rPr>
          <w:rStyle w:val="aff4"/>
          <w:rFonts w:hint="cs"/>
          <w:rtl/>
        </w:rPr>
        <w:t>המגן אבות</w:t>
      </w:r>
      <w:r w:rsidRPr="001840DA">
        <w:rPr>
          <w:rStyle w:val="aff4"/>
          <w:rFonts w:hint="cs"/>
          <w:vanish/>
          <w:rtl/>
        </w:rPr>
        <w:t>-</w:t>
      </w:r>
      <w:r>
        <w:rPr>
          <w:rFonts w:hint="cs"/>
          <w:rtl/>
        </w:rPr>
        <w:t xml:space="preserve"> דאפש"ל דפטור, ועי' במ"ש </w:t>
      </w:r>
      <w:r w:rsidRPr="00527BD6">
        <w:rPr>
          <w:rStyle w:val="aff4"/>
          <w:rFonts w:hint="cs"/>
          <w:vanish/>
          <w:rtl/>
        </w:rPr>
        <w:t>-</w:t>
      </w:r>
      <w:r w:rsidRPr="00DE28D5">
        <w:rPr>
          <w:rStyle w:val="aff4"/>
          <w:rFonts w:hint="cs"/>
          <w:rtl/>
        </w:rPr>
        <w:t>ה</w:t>
      </w:r>
      <w:r w:rsidRPr="00527BD6">
        <w:rPr>
          <w:rStyle w:val="aff4"/>
          <w:rFonts w:hint="cs"/>
          <w:vanish/>
          <w:rtl/>
        </w:rPr>
        <w:t>&lt; &gt;</w:t>
      </w:r>
      <w:r w:rsidRPr="00DE28D5">
        <w:rPr>
          <w:rStyle w:val="aff4"/>
          <w:rFonts w:hint="cs"/>
          <w:rtl/>
        </w:rPr>
        <w:t>אבי עזרי</w:t>
      </w:r>
      <w:r w:rsidRPr="00527BD6">
        <w:rPr>
          <w:rStyle w:val="aff4"/>
          <w:rFonts w:hint="cs"/>
          <w:vanish/>
          <w:rtl/>
        </w:rPr>
        <w:t>-</w:t>
      </w:r>
      <w:r>
        <w:rPr>
          <w:rFonts w:hint="cs"/>
          <w:rtl/>
        </w:rPr>
        <w:t xml:space="preserve"> </w:t>
      </w:r>
      <w:r>
        <w:rPr>
          <w:rStyle w:val="af2"/>
          <w:rFonts w:eastAsia="Guttman Hodes" w:hint="cs"/>
          <w:rtl/>
        </w:rPr>
        <w:t>(עי'</w:t>
      </w:r>
      <w:r w:rsidRPr="00911186">
        <w:rPr>
          <w:rStyle w:val="af2"/>
          <w:rFonts w:eastAsia="Guttman Hodes" w:hint="cs"/>
          <w:rtl/>
        </w:rPr>
        <w:t xml:space="preserve"> אות </w:t>
      </w:r>
      <w:r w:rsidRPr="00911186">
        <w:rPr>
          <w:rStyle w:val="af2"/>
          <w:rFonts w:eastAsia="Guttman Hodes"/>
          <w:rtl/>
        </w:rPr>
        <w:fldChar w:fldCharType="begin"/>
      </w:r>
      <w:r w:rsidRPr="00911186">
        <w:rPr>
          <w:rStyle w:val="af2"/>
          <w:rFonts w:eastAsia="Guttman Hodes"/>
          <w:rtl/>
        </w:rPr>
        <w:instrText xml:space="preserve"> </w:instrText>
      </w:r>
      <w:r w:rsidRPr="00911186">
        <w:rPr>
          <w:rStyle w:val="af2"/>
          <w:rFonts w:eastAsia="Guttman Hodes" w:hint="cs"/>
        </w:rPr>
        <w:instrText>REF</w:instrText>
      </w:r>
      <w:r w:rsidRPr="00911186">
        <w:rPr>
          <w:rStyle w:val="af2"/>
          <w:rFonts w:eastAsia="Guttman Hodes" w:hint="cs"/>
          <w:rtl/>
        </w:rPr>
        <w:instrText xml:space="preserve"> _</w:instrText>
      </w:r>
      <w:r w:rsidRPr="00911186">
        <w:rPr>
          <w:rStyle w:val="af2"/>
          <w:rFonts w:eastAsia="Guttman Hodes" w:hint="cs"/>
        </w:rPr>
        <w:instrText>Ref136429959 \r \h</w:instrText>
      </w:r>
      <w:r w:rsidRPr="00911186">
        <w:rPr>
          <w:rStyle w:val="af2"/>
          <w:rFonts w:eastAsia="Guttman Hodes"/>
          <w:rtl/>
        </w:rPr>
        <w:instrText xml:space="preserve"> </w:instrText>
      </w:r>
      <w:r w:rsidRPr="00911186">
        <w:rPr>
          <w:rStyle w:val="af2"/>
          <w:rFonts w:eastAsia="Guttman Hodes"/>
          <w:rtl/>
        </w:rPr>
      </w:r>
      <w:r w:rsidRPr="00911186">
        <w:rPr>
          <w:rStyle w:val="af2"/>
          <w:rFonts w:eastAsia="Guttman Hodes"/>
          <w:rtl/>
        </w:rPr>
        <w:fldChar w:fldCharType="separate"/>
      </w:r>
      <w:r w:rsidR="00D82181">
        <w:rPr>
          <w:rStyle w:val="af2"/>
          <w:rFonts w:eastAsia="Guttman Hodes"/>
          <w:cs/>
        </w:rPr>
        <w:t>‎</w:t>
      </w:r>
      <w:r w:rsidR="00D82181">
        <w:rPr>
          <w:rStyle w:val="af2"/>
          <w:rFonts w:eastAsia="Guttman Hodes"/>
          <w:rtl/>
        </w:rPr>
        <w:t>כה)</w:t>
      </w:r>
      <w:r w:rsidRPr="00911186">
        <w:rPr>
          <w:rStyle w:val="af2"/>
          <w:rFonts w:eastAsia="Guttman Hodes"/>
          <w:rtl/>
        </w:rPr>
        <w:fldChar w:fldCharType="end"/>
      </w:r>
      <w:r w:rsidRPr="00911186">
        <w:rPr>
          <w:rFonts w:hint="cs"/>
          <w:vanish/>
          <w:rtl/>
        </w:rPr>
        <w:t xml:space="preserve"> </w:t>
      </w:r>
      <w:r w:rsidRPr="008A55FE">
        <w:rPr>
          <w:rFonts w:hint="cs"/>
          <w:vanish/>
          <w:rtl/>
        </w:rPr>
        <w:t>=</w:t>
      </w:r>
      <w:r>
        <w:rPr>
          <w:rFonts w:hint="cs"/>
          <w:rtl/>
        </w:rPr>
        <w:t xml:space="preserve"> בזה.</w:t>
      </w:r>
      <w:bookmarkEnd w:id="1856"/>
    </w:p>
    <w:p w14:paraId="04DA399F" w14:textId="77777777" w:rsidR="00316453" w:rsidRPr="00747170" w:rsidRDefault="00316453" w:rsidP="00747170">
      <w:pPr>
        <w:pStyle w:val="a2"/>
      </w:pPr>
      <w:r w:rsidRPr="00747170">
        <w:rPr>
          <w:rStyle w:val="afff7"/>
          <w:rFonts w:hint="cs"/>
          <w:rtl/>
        </w:rPr>
        <w:t>ה</w:t>
      </w:r>
      <w:r w:rsidRPr="00747170">
        <w:rPr>
          <w:rStyle w:val="afff7"/>
          <w:rtl/>
        </w:rPr>
        <w:t>זורה</w:t>
      </w:r>
      <w:r w:rsidRPr="00747170">
        <w:rPr>
          <w:rStyle w:val="afff7"/>
          <w:rFonts w:hint="cs"/>
          <w:rtl/>
        </w:rPr>
        <w:t>,</w:t>
      </w:r>
      <w:r w:rsidRPr="00747170">
        <w:rPr>
          <w:rStyle w:val="afff7"/>
          <w:rtl/>
        </w:rPr>
        <w:t xml:space="preserve"> פירש"י ברחת משמע קצת אבל ביד ליכא זורה</w:t>
      </w:r>
      <w:r w:rsidRPr="00747170">
        <w:rPr>
          <w:rStyle w:val="afff7"/>
          <w:rFonts w:hint="cs"/>
          <w:rtl/>
        </w:rPr>
        <w:t xml:space="preserve">. </w:t>
      </w:r>
      <w:r w:rsidRPr="00747170">
        <w:rPr>
          <w:rFonts w:hint="cs"/>
          <w:rtl/>
        </w:rPr>
        <w:t xml:space="preserve">וכתב </w:t>
      </w:r>
      <w:r w:rsidRPr="00747170">
        <w:rPr>
          <w:rtl/>
        </w:rPr>
        <w:t xml:space="preserve">בסמ"ק דאין לרוק </w:t>
      </w:r>
      <w:r w:rsidRPr="00747170">
        <w:rPr>
          <w:rFonts w:hint="cs"/>
          <w:rtl/>
        </w:rPr>
        <w:t xml:space="preserve">בר"ה </w:t>
      </w:r>
      <w:r w:rsidRPr="00747170">
        <w:rPr>
          <w:rtl/>
        </w:rPr>
        <w:t xml:space="preserve">משום זורה </w:t>
      </w:r>
      <w:r w:rsidRPr="00747170">
        <w:rPr>
          <w:rStyle w:val="afff7"/>
          <w:rtl/>
        </w:rPr>
        <w:t>וכן אין לזרוק</w:t>
      </w:r>
      <w:r w:rsidRPr="00747170">
        <w:rPr>
          <w:rStyle w:val="afff7"/>
          <w:rFonts w:hint="cs"/>
          <w:rtl/>
        </w:rPr>
        <w:t xml:space="preserve"> </w:t>
      </w:r>
      <w:r w:rsidRPr="00747170">
        <w:rPr>
          <w:rStyle w:val="afff7"/>
          <w:rtl/>
        </w:rPr>
        <w:t>לעופות ממקום גבוה לארץ משום זורה ומשמע מסמ"ג דלא סבירא ליה כרש"י</w:t>
      </w:r>
      <w:r w:rsidRPr="00747170">
        <w:rPr>
          <w:rStyle w:val="afff7"/>
          <w:rFonts w:hint="cs"/>
          <w:rtl/>
        </w:rPr>
        <w:t>.</w:t>
      </w:r>
      <w:r w:rsidRPr="00747170">
        <w:rPr>
          <w:rtl/>
        </w:rPr>
        <w:t xml:space="preserve"> ומכל מקום קשה הא אין צריך לגופה הוא וצריך לומר דמכל מקום אסור מדרבנן הוא אי נמי למה שכתב המאור ריש פרק האורג</w:t>
      </w:r>
      <w:r w:rsidRPr="00747170">
        <w:rPr>
          <w:rFonts w:hint="cs"/>
          <w:rtl/>
        </w:rPr>
        <w:t xml:space="preserve"> </w:t>
      </w:r>
      <w:r w:rsidRPr="00747170">
        <w:rPr>
          <w:rtl/>
        </w:rPr>
        <w:t>דכל הזורה הוי ליה סילוק היזקא ומקרי אצל"ג ואפילו הכי חייב אם כן יש ללמוד ממנו לכל אצל"ג גבי זורה</w:t>
      </w:r>
      <w:r w:rsidRPr="00747170">
        <w:rPr>
          <w:rFonts w:hint="cs"/>
          <w:rtl/>
        </w:rPr>
        <w:t>.</w:t>
      </w:r>
    </w:p>
    <w:p w14:paraId="42E12B27" w14:textId="77777777" w:rsidR="00316453" w:rsidRPr="00123A6D" w:rsidRDefault="00316453" w:rsidP="00747170">
      <w:pPr>
        <w:pStyle w:val="afffff5"/>
        <w:rPr>
          <w:rtl/>
        </w:rPr>
      </w:pPr>
      <w:r w:rsidRPr="00123A6D">
        <w:rPr>
          <w:rtl/>
        </w:rPr>
        <w:t>ויש לו</w:t>
      </w:r>
      <w:r w:rsidRPr="00123A6D">
        <w:rPr>
          <w:rFonts w:hint="cs"/>
          <w:rtl/>
        </w:rPr>
        <w:t>מ</w:t>
      </w:r>
      <w:r w:rsidRPr="00123A6D">
        <w:rPr>
          <w:rtl/>
        </w:rPr>
        <w:t>ר דדוקא ביש לו תועלת על כל פנים לע</w:t>
      </w:r>
      <w:r w:rsidRPr="00123A6D">
        <w:rPr>
          <w:rFonts w:hint="cs"/>
          <w:rtl/>
        </w:rPr>
        <w:t>ני</w:t>
      </w:r>
      <w:r w:rsidRPr="00123A6D">
        <w:rPr>
          <w:rtl/>
        </w:rPr>
        <w:t>ן סילוק היזקא דגם במשכן היה הז</w:t>
      </w:r>
      <w:r w:rsidRPr="00123A6D">
        <w:rPr>
          <w:rFonts w:hint="cs"/>
          <w:rtl/>
        </w:rPr>
        <w:t>ו</w:t>
      </w:r>
      <w:r w:rsidRPr="00123A6D">
        <w:rPr>
          <w:rtl/>
        </w:rPr>
        <w:t>רה על דרך זה וגם אפשר דלא שייך הסברא דמניעת היזקא אלא דהיה אפשר מעיקרא בלא ההיזק והוי ליה ברצונו לא בא לו אבל כל תבואה יש</w:t>
      </w:r>
      <w:r w:rsidRPr="00123A6D">
        <w:rPr>
          <w:rFonts w:hint="cs"/>
          <w:rtl/>
        </w:rPr>
        <w:t xml:space="preserve"> </w:t>
      </w:r>
      <w:r w:rsidRPr="00123A6D">
        <w:rPr>
          <w:rtl/>
        </w:rPr>
        <w:t>לו מוץ ואי אפשר בענין אחר על כן בכי האי גוונא הוי ליה כצריך לגופה אבל בליכא תועלת כלל כמו ברוק יש לומר דפטור על כל פנים</w:t>
      </w:r>
      <w:r w:rsidRPr="00123A6D">
        <w:rPr>
          <w:rFonts w:hint="cs"/>
          <w:rtl/>
        </w:rPr>
        <w:t>.</w:t>
      </w:r>
    </w:p>
    <w:p w14:paraId="53415F51" w14:textId="01F9EA4E" w:rsidR="00316453" w:rsidRPr="006D6111" w:rsidRDefault="00316453" w:rsidP="00316453">
      <w:pPr>
        <w:pStyle w:val="1"/>
        <w:rPr>
          <w:rtl/>
        </w:rPr>
      </w:pPr>
      <w:bookmarkStart w:id="1857" w:name="_Toc136618652"/>
      <w:r w:rsidRPr="006D6111">
        <w:rPr>
          <w:rFonts w:hint="cs"/>
          <w:rtl/>
        </w:rPr>
        <w:t>בי' הרמב"ן דזורה ובורר הוי צל"ג דמתקן וצריך למלאכה עצמה</w:t>
      </w:r>
      <w:bookmarkEnd w:id="1857"/>
    </w:p>
    <w:p w14:paraId="0DF292B3" w14:textId="77777777" w:rsidR="00316453" w:rsidRDefault="00316453" w:rsidP="00316453">
      <w:pPr>
        <w:pStyle w:val="afffff7"/>
        <w:rPr>
          <w:rtl/>
        </w:rPr>
      </w:pPr>
      <w:bookmarkStart w:id="1858" w:name="_Toc136620420"/>
      <w:bookmarkStart w:id="1859" w:name="_Toc163505699"/>
      <w:r w:rsidRPr="005D0910">
        <w:rPr>
          <w:rtl/>
        </w:rPr>
        <w:t>חדושי הרמב"ן שבת ק"ו ע"א</w:t>
      </w:r>
      <w:r>
        <w:rPr>
          <w:rFonts w:hint="cs"/>
          <w:rtl/>
        </w:rPr>
        <w:t xml:space="preserve"> ד</w:t>
      </w:r>
      <w:r>
        <w:rPr>
          <w:rFonts w:cs="Guttman Hodes" w:hint="cs"/>
          <w:rtl/>
        </w:rPr>
        <w:t>"</w:t>
      </w:r>
      <w:r>
        <w:rPr>
          <w:rFonts w:hint="cs"/>
          <w:rtl/>
        </w:rPr>
        <w:t>ה ואין</w:t>
      </w:r>
      <w:bookmarkEnd w:id="1858"/>
      <w:bookmarkEnd w:id="1859"/>
    </w:p>
    <w:p w14:paraId="2DF2A290" w14:textId="77777777" w:rsidR="00316453" w:rsidRDefault="00316453" w:rsidP="00316453">
      <w:pPr>
        <w:pStyle w:val="a7"/>
        <w:rPr>
          <w:rtl/>
        </w:rPr>
      </w:pPr>
      <w:bookmarkStart w:id="1860" w:name="_Toc136618653"/>
      <w:r>
        <w:rPr>
          <w:rFonts w:hint="cs"/>
          <w:rtl/>
        </w:rPr>
        <w:t>בי' הרמב"ן דזורה ובורר הם מלאכות שצריכות לגופן ודמי לגוזז שיער וציפורן שמתקן לאדם</w:t>
      </w:r>
      <w:bookmarkEnd w:id="1860"/>
    </w:p>
    <w:p w14:paraId="5053375E" w14:textId="610EFEFA" w:rsidR="00316453" w:rsidRPr="00D0484B" w:rsidRDefault="00316453" w:rsidP="00BC7DC8">
      <w:pPr>
        <w:pStyle w:val="a3"/>
        <w:rPr>
          <w:rStyle w:val="af"/>
          <w:rtl/>
        </w:rPr>
      </w:pPr>
      <w:bookmarkStart w:id="1861" w:name="_Ref135760481"/>
      <w:bookmarkStart w:id="1862" w:name="_Ref136618799"/>
      <w:r w:rsidRPr="00D0484B">
        <w:rPr>
          <w:rFonts w:hint="cs"/>
          <w:rtl/>
        </w:rPr>
        <w:t xml:space="preserve">אבל </w:t>
      </w:r>
      <w:r w:rsidRPr="00F1458B">
        <w:rPr>
          <w:rStyle w:val="aff4"/>
          <w:rFonts w:hint="cs"/>
          <w:vanish/>
          <w:rtl/>
        </w:rPr>
        <w:t>-</w:t>
      </w:r>
      <w:r w:rsidRPr="00C86935">
        <w:rPr>
          <w:rStyle w:val="aff4"/>
          <w:rFonts w:hint="cs"/>
          <w:rtl/>
        </w:rPr>
        <w:t>ה</w:t>
      </w:r>
      <w:r w:rsidRPr="00F1458B">
        <w:rPr>
          <w:rStyle w:val="aff4"/>
          <w:rFonts w:hint="cs"/>
          <w:vanish/>
          <w:rtl/>
        </w:rPr>
        <w:t xml:space="preserve">&lt;. </w:t>
      </w:r>
      <w:r w:rsidRPr="00F1458B">
        <w:rPr>
          <w:rStyle w:val="aff4"/>
          <w:vanish/>
          <w:rtl/>
        </w:rPr>
        <w:fldChar w:fldCharType="begin"/>
      </w:r>
      <w:r w:rsidRPr="00F1458B">
        <w:rPr>
          <w:rStyle w:val="aff4"/>
          <w:vanish/>
          <w:rtl/>
        </w:rPr>
        <w:instrText xml:space="preserve"> </w:instrText>
      </w:r>
      <w:r w:rsidRPr="00F1458B">
        <w:rPr>
          <w:rStyle w:val="aff4"/>
          <w:rFonts w:hint="cs"/>
          <w:vanish/>
        </w:rPr>
        <w:instrText>REF</w:instrText>
      </w:r>
      <w:r w:rsidRPr="00F1458B">
        <w:rPr>
          <w:rStyle w:val="aff4"/>
          <w:rFonts w:hint="cs"/>
          <w:vanish/>
          <w:rtl/>
        </w:rPr>
        <w:instrText xml:space="preserve"> _</w:instrText>
      </w:r>
      <w:r w:rsidRPr="00F1458B">
        <w:rPr>
          <w:rStyle w:val="aff4"/>
          <w:rFonts w:hint="cs"/>
          <w:vanish/>
        </w:rPr>
        <w:instrText>Ref135732507 \r \h</w:instrText>
      </w:r>
      <w:r w:rsidRPr="00F1458B">
        <w:rPr>
          <w:rStyle w:val="aff4"/>
          <w:vanish/>
          <w:rtl/>
        </w:rPr>
        <w:instrText xml:space="preserve"> </w:instrText>
      </w:r>
      <w:r w:rsidRPr="00F1458B">
        <w:rPr>
          <w:rStyle w:val="aff4"/>
          <w:vanish/>
          <w:rtl/>
        </w:rPr>
      </w:r>
      <w:r w:rsidRPr="00F1458B">
        <w:rPr>
          <w:rStyle w:val="aff4"/>
          <w:vanish/>
          <w:rtl/>
        </w:rPr>
        <w:fldChar w:fldCharType="separate"/>
      </w:r>
      <w:r w:rsidR="00D82181">
        <w:rPr>
          <w:rStyle w:val="aff4"/>
          <w:vanish/>
          <w:cs/>
        </w:rPr>
        <w:t>‎</w:t>
      </w:r>
      <w:r w:rsidR="00D82181">
        <w:rPr>
          <w:rStyle w:val="aff4"/>
          <w:vanish/>
          <w:rtl/>
        </w:rPr>
        <w:t>כח)</w:t>
      </w:r>
      <w:r w:rsidRPr="00F1458B">
        <w:rPr>
          <w:rStyle w:val="aff4"/>
          <w:vanish/>
          <w:rtl/>
        </w:rPr>
        <w:fldChar w:fldCharType="end"/>
      </w:r>
      <w:r w:rsidRPr="00F1458B">
        <w:rPr>
          <w:rStyle w:val="aff4"/>
          <w:rFonts w:hint="cs"/>
          <w:vanish/>
          <w:rtl/>
        </w:rPr>
        <w:t xml:space="preserve"> &gt;</w:t>
      </w:r>
      <w:r w:rsidRPr="00C86935">
        <w:rPr>
          <w:rStyle w:val="aff4"/>
          <w:rFonts w:hint="cs"/>
          <w:rtl/>
        </w:rPr>
        <w:t>רמב"ן בחי' לקמן</w:t>
      </w:r>
      <w:r w:rsidRPr="00F1458B">
        <w:rPr>
          <w:rStyle w:val="aff4"/>
          <w:rFonts w:hint="cs"/>
          <w:vanish/>
          <w:rtl/>
        </w:rPr>
        <w:t>-</w:t>
      </w:r>
      <w:r w:rsidRPr="00D0484B">
        <w:rPr>
          <w:rFonts w:hint="cs"/>
          <w:rtl/>
        </w:rPr>
        <w:t xml:space="preserve"> </w:t>
      </w:r>
      <w:r w:rsidRPr="00D4778B">
        <w:rPr>
          <w:rStyle w:val="af2"/>
          <w:rFonts w:eastAsia="Guttman Hodes" w:hint="cs"/>
          <w:rtl/>
        </w:rPr>
        <w:t>(קו. ד"ה ואין)</w:t>
      </w:r>
      <w:r w:rsidRPr="00F1458B">
        <w:rPr>
          <w:rFonts w:hint="cs"/>
          <w:vanish/>
          <w:rtl/>
        </w:rPr>
        <w:t>=</w:t>
      </w:r>
      <w:r w:rsidRPr="00D0484B">
        <w:rPr>
          <w:rFonts w:hint="cs"/>
          <w:rtl/>
        </w:rPr>
        <w:t xml:space="preserve"> כתב דודאי דמילה היא מלאכה שצריכה לגופה כיון דהוא צריך שהאדם יהיה מהול, ודומה לנוטל צפרניו או שפמו בכלי, דתנן לקמן </w:t>
      </w:r>
      <w:r w:rsidRPr="00D4778B">
        <w:rPr>
          <w:rStyle w:val="af2"/>
          <w:rFonts w:eastAsia="Guttman Hodes" w:hint="cs"/>
          <w:rtl/>
        </w:rPr>
        <w:t>(צד:)</w:t>
      </w:r>
      <w:r w:rsidRPr="00D0484B">
        <w:rPr>
          <w:rFonts w:hint="cs"/>
          <w:rtl/>
        </w:rPr>
        <w:t xml:space="preserve"> דחייב בתולדה דגוזז, ואף שא"צ את </w:t>
      </w:r>
      <w:bookmarkStart w:id="1863" w:name="_Hlk135817245"/>
      <w:r w:rsidRPr="00D0484B">
        <w:rPr>
          <w:rFonts w:hint="cs"/>
          <w:rtl/>
        </w:rPr>
        <w:t>הצפרנ</w:t>
      </w:r>
      <w:r>
        <w:rPr>
          <w:rFonts w:hint="cs"/>
          <w:rtl/>
        </w:rPr>
        <w:t>י</w:t>
      </w:r>
      <w:r w:rsidRPr="00D0484B">
        <w:rPr>
          <w:rFonts w:hint="cs"/>
          <w:rtl/>
        </w:rPr>
        <w:t xml:space="preserve">ים </w:t>
      </w:r>
      <w:bookmarkEnd w:id="1863"/>
      <w:r w:rsidRPr="00D0484B">
        <w:rPr>
          <w:rFonts w:hint="cs"/>
          <w:rtl/>
        </w:rPr>
        <w:t xml:space="preserve">והשיער חשיב מלאכה הצריכה לגופה, וכתב </w:t>
      </w:r>
      <w:r w:rsidRPr="00F1458B">
        <w:rPr>
          <w:rStyle w:val="aff4"/>
          <w:rFonts w:hint="cs"/>
          <w:vanish/>
          <w:rtl/>
        </w:rPr>
        <w:t>-</w:t>
      </w:r>
      <w:r w:rsidRPr="00C86935">
        <w:rPr>
          <w:rStyle w:val="aff4"/>
          <w:rFonts w:hint="cs"/>
          <w:rtl/>
        </w:rPr>
        <w:t>הרמב"ן</w:t>
      </w:r>
      <w:r w:rsidRPr="00F1458B">
        <w:rPr>
          <w:rStyle w:val="aff4"/>
          <w:rFonts w:hint="cs"/>
          <w:vanish/>
          <w:rtl/>
        </w:rPr>
        <w:t>-</w:t>
      </w:r>
      <w:r w:rsidRPr="00D0484B">
        <w:rPr>
          <w:rFonts w:hint="cs"/>
          <w:rtl/>
        </w:rPr>
        <w:t xml:space="preserve"> דה"ה בזורה ובורר, וכן </w:t>
      </w:r>
      <w:bookmarkStart w:id="1864" w:name="_Hlk135838211"/>
      <w:r w:rsidRPr="00D0484B">
        <w:rPr>
          <w:rFonts w:hint="cs"/>
          <w:rtl/>
        </w:rPr>
        <w:t xml:space="preserve">הנוטל חוט מגלימה </w:t>
      </w:r>
      <w:bookmarkEnd w:id="1864"/>
      <w:r w:rsidRPr="00D0484B">
        <w:rPr>
          <w:rFonts w:hint="cs"/>
          <w:rtl/>
        </w:rPr>
        <w:t>דאיתא</w:t>
      </w:r>
      <w:r>
        <w:rPr>
          <w:rFonts w:hint="cs"/>
          <w:rtl/>
        </w:rPr>
        <w:t xml:space="preserve"> לקמן </w:t>
      </w:r>
      <w:r w:rsidRPr="00D4778B">
        <w:rPr>
          <w:rStyle w:val="af2"/>
          <w:rFonts w:eastAsia="Guttman Hodes" w:hint="cs"/>
          <w:rtl/>
        </w:rPr>
        <w:t>(עה:)</w:t>
      </w:r>
      <w:r>
        <w:rPr>
          <w:rFonts w:hint="cs"/>
          <w:rtl/>
        </w:rPr>
        <w:t xml:space="preserve"> דחייב משום מכה בפטיש, דכל אלו דמו למילה. </w:t>
      </w:r>
      <w:r w:rsidRPr="00D4778B">
        <w:rPr>
          <w:rStyle w:val="af"/>
          <w:rFonts w:hint="cs"/>
          <w:rtl/>
        </w:rPr>
        <w:t xml:space="preserve">[ובהבערת בת כהן כתב </w:t>
      </w:r>
      <w:r w:rsidRPr="00EB1A7E">
        <w:rPr>
          <w:rStyle w:val="aff9"/>
          <w:rFonts w:hint="cs"/>
          <w:vanish/>
          <w:rtl/>
        </w:rPr>
        <w:t>-</w:t>
      </w:r>
      <w:r w:rsidRPr="00D4778B">
        <w:rPr>
          <w:rStyle w:val="aff9"/>
          <w:rFonts w:hint="cs"/>
          <w:rtl/>
        </w:rPr>
        <w:t>הרמב"ן</w:t>
      </w:r>
      <w:r w:rsidRPr="00EB1A7E">
        <w:rPr>
          <w:rStyle w:val="aff9"/>
          <w:rFonts w:hint="cs"/>
          <w:vanish/>
          <w:rtl/>
        </w:rPr>
        <w:t>-</w:t>
      </w:r>
      <w:r w:rsidRPr="00D4778B">
        <w:rPr>
          <w:rStyle w:val="af"/>
          <w:rFonts w:hint="cs"/>
          <w:rtl/>
        </w:rPr>
        <w:t xml:space="preserve"> דהדלקת האש לצורך בישול הפתילה הוא מלאכה הצריכה לגופה, ודמי למדליק אור להתחמם או מדליק נר להשתמש לאורו, וכתב </w:t>
      </w:r>
      <w:r w:rsidRPr="00EB1A7E">
        <w:rPr>
          <w:rStyle w:val="aff9"/>
          <w:rFonts w:hint="cs"/>
          <w:vanish/>
          <w:rtl/>
        </w:rPr>
        <w:t>-</w:t>
      </w:r>
      <w:r w:rsidRPr="00D4778B">
        <w:rPr>
          <w:rStyle w:val="aff9"/>
          <w:rFonts w:hint="cs"/>
          <w:rtl/>
        </w:rPr>
        <w:t>הרמב"ן</w:t>
      </w:r>
      <w:r w:rsidRPr="00EB1A7E">
        <w:rPr>
          <w:rStyle w:val="aff9"/>
          <w:rFonts w:hint="cs"/>
          <w:vanish/>
          <w:rtl/>
        </w:rPr>
        <w:t>-</w:t>
      </w:r>
      <w:r w:rsidRPr="00D4778B">
        <w:rPr>
          <w:rStyle w:val="af"/>
          <w:rFonts w:hint="cs"/>
          <w:rtl/>
        </w:rPr>
        <w:t xml:space="preserve"> דהצורך עצמו של מילה והבערת בת כהן הם קלקול בגוף הנימול שהוא נשאר חבול וחולה, ובבת כהן אף דאין שום הנאה לאדם, והוא כמקלקל עצים, מ"מ יש לאדם צורך במלאכה הזו, ויש בה </w:t>
      </w:r>
      <w:r w:rsidRPr="00D4778B">
        <w:rPr>
          <w:rStyle w:val="af"/>
          <w:rFonts w:hint="cs"/>
          <w:rtl/>
        </w:rPr>
        <w:lastRenderedPageBreak/>
        <w:t>תיקון בקיום המצוה שאינו מגוף המלאכה, ולדעת ר"ש לא חשיב כתיקון]</w:t>
      </w:r>
      <w:bookmarkEnd w:id="1861"/>
      <w:r>
        <w:rPr>
          <w:rStyle w:val="af"/>
          <w:rFonts w:hint="cs"/>
          <w:rtl/>
        </w:rPr>
        <w:t>,</w:t>
      </w:r>
      <w:r w:rsidRPr="0084450A">
        <w:rPr>
          <w:rFonts w:hint="cs"/>
          <w:rtl/>
        </w:rPr>
        <w:t xml:space="preserve"> </w:t>
      </w:r>
      <w:r>
        <w:rPr>
          <w:rFonts w:hint="cs"/>
          <w:rtl/>
        </w:rPr>
        <w:t xml:space="preserve"> ועי' במ"ש </w:t>
      </w:r>
      <w:r w:rsidRPr="00CB65AA">
        <w:rPr>
          <w:rStyle w:val="aff4"/>
          <w:rFonts w:hint="cs"/>
          <w:vanish/>
          <w:rtl/>
        </w:rPr>
        <w:t>-</w:t>
      </w:r>
      <w:r w:rsidRPr="00996495">
        <w:rPr>
          <w:rStyle w:val="aff4"/>
          <w:rFonts w:hint="cs"/>
          <w:rtl/>
        </w:rPr>
        <w:t>הקה"י</w:t>
      </w:r>
      <w:r w:rsidRPr="00CB65AA">
        <w:rPr>
          <w:rStyle w:val="aff4"/>
          <w:rFonts w:hint="cs"/>
          <w:vanish/>
          <w:rtl/>
        </w:rPr>
        <w:t>-</w:t>
      </w:r>
      <w:r w:rsidRPr="00996495">
        <w:rPr>
          <w:rStyle w:val="aff4"/>
          <w:rFonts w:hint="cs"/>
          <w:rtl/>
        </w:rPr>
        <w:t xml:space="preserve"> </w:t>
      </w:r>
      <w:r>
        <w:rPr>
          <w:rStyle w:val="af2"/>
          <w:rFonts w:eastAsia="Guttman Hodes" w:hint="cs"/>
          <w:rtl/>
        </w:rPr>
        <w:t xml:space="preserve">(עי' </w:t>
      </w:r>
      <w:r w:rsidRPr="00E4371A">
        <w:rPr>
          <w:rStyle w:val="af2"/>
          <w:rFonts w:eastAsia="Guttman Hodes" w:hint="cs"/>
          <w:rtl/>
        </w:rPr>
        <w:t>אות</w:t>
      </w:r>
      <w:r>
        <w:rPr>
          <w:rStyle w:val="af2"/>
          <w:rFonts w:eastAsia="Guttman Hodes" w:hint="cs"/>
          <w:rtl/>
        </w:rPr>
        <w:t xml:space="preserve">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Ref136617876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נג)</w:t>
      </w:r>
      <w:r>
        <w:rPr>
          <w:rStyle w:val="af2"/>
          <w:rFonts w:eastAsia="Guttman Hodes"/>
          <w:rtl/>
        </w:rPr>
        <w:fldChar w:fldCharType="end"/>
      </w:r>
      <w:r w:rsidRPr="00E4371A">
        <w:rPr>
          <w:rStyle w:val="af2"/>
          <w:rFonts w:eastAsia="Guttman Hodes" w:hint="cs"/>
          <w:rtl/>
        </w:rPr>
        <w:t xml:space="preserve"> </w:t>
      </w:r>
      <w:r>
        <w:rPr>
          <w:rFonts w:hint="cs"/>
          <w:rtl/>
        </w:rPr>
        <w:t xml:space="preserve">בדברי </w:t>
      </w:r>
      <w:r w:rsidRPr="00D775FE">
        <w:rPr>
          <w:rStyle w:val="aff4"/>
          <w:rFonts w:hint="cs"/>
          <w:vanish/>
          <w:rtl/>
        </w:rPr>
        <w:t>-</w:t>
      </w:r>
      <w:r w:rsidRPr="00C86935">
        <w:rPr>
          <w:rStyle w:val="aff4"/>
          <w:rFonts w:hint="cs"/>
          <w:rtl/>
        </w:rPr>
        <w:t>הרמב"ן</w:t>
      </w:r>
      <w:r w:rsidRPr="00D775FE">
        <w:rPr>
          <w:rStyle w:val="aff4"/>
          <w:rFonts w:hint="cs"/>
          <w:vanish/>
          <w:rtl/>
        </w:rPr>
        <w:t>-</w:t>
      </w:r>
      <w:r>
        <w:rPr>
          <w:rStyle w:val="af"/>
          <w:rFonts w:hint="cs"/>
          <w:rtl/>
        </w:rPr>
        <w:t>.</w:t>
      </w:r>
      <w:bookmarkEnd w:id="1862"/>
    </w:p>
    <w:p w14:paraId="237FEED0" w14:textId="77777777" w:rsidR="00316453" w:rsidRPr="00747170" w:rsidRDefault="00316453" w:rsidP="00747170">
      <w:pPr>
        <w:pStyle w:val="a2"/>
        <w:rPr>
          <w:rtl/>
        </w:rPr>
      </w:pPr>
      <w:r w:rsidRPr="00747170">
        <w:rPr>
          <w:rtl/>
        </w:rPr>
        <w:t>ואין אני אומר כן דמילה ודאי מלאכה הצריכה לגופה היא שהוא צריך שיהא אדם זה מהול, ומה דומה לזה הנוטל צפרניו בכלי וכן שפמו (צ"ד ב') שהוא חייב משום תולדה דגוזז ואף על פי שאינו צריך לגוף הצפרנים והשיער מלאכה הצריכה לגופה נקראת, וכן הזורה והבורר ומאן דשקיל איקופי מגלימא (ע"ה ב') כולן דומות למילה, והבערה דבת כהן נמי כיון שהוא מדליק האש לבשל בו פתילה הרי היא מלאכה הצריכה לגופה דומיא דמדליק את האור להתחמם כנגדו ומדליק נר להשתמש לאורה, ולא שמענו מלאכה שא"צ לגופה במדליק אלא במכבה, אלא ודאי תרוייהו מלאכה הצריכה לגופה נינהו אלא שהצורך עצמו נקרא קלקול בגופו שהנימול נשאר חבול וחולה, והבערה של בת כהן כיון שאין הנאה לאדם ממנה אינו אלא כמקלקל בעצים אלא שאדם צריך לזו המלאכה גופה מ"מ ויש בה תיקון שאינו מגופה של מלאכה שהוא קיום המצוה ולר"ש אין אותו התיקון כלום</w:t>
      </w:r>
      <w:r w:rsidRPr="00747170">
        <w:rPr>
          <w:rFonts w:hint="cs"/>
          <w:rtl/>
        </w:rPr>
        <w:t>.</w:t>
      </w:r>
    </w:p>
    <w:p w14:paraId="7DF956FC" w14:textId="664F38B8" w:rsidR="00316453" w:rsidRDefault="00316453" w:rsidP="00316453">
      <w:pPr>
        <w:pStyle w:val="a7"/>
        <w:rPr>
          <w:rtl/>
        </w:rPr>
      </w:pPr>
      <w:bookmarkStart w:id="1865" w:name="_Toc136618654"/>
      <w:r>
        <w:rPr>
          <w:rFonts w:hint="cs"/>
          <w:rtl/>
        </w:rPr>
        <w:t>בי' הרמב"ן דגוזז שיער וציפורן בין לתקן גופו ובין לצורך השיער צל"ג ול"ד לחופר גומא</w:t>
      </w:r>
      <w:bookmarkEnd w:id="1865"/>
      <w:r>
        <w:rPr>
          <w:rFonts w:hint="cs"/>
          <w:rtl/>
        </w:rPr>
        <w:t xml:space="preserve"> </w:t>
      </w:r>
    </w:p>
    <w:p w14:paraId="618AEEF1" w14:textId="3CE07FD5" w:rsidR="00316453" w:rsidRPr="00E005EB" w:rsidRDefault="00316453" w:rsidP="00BC7DC8">
      <w:pPr>
        <w:pStyle w:val="a3"/>
      </w:pPr>
      <w:bookmarkStart w:id="1866" w:name="_Ref135760467"/>
      <w:r>
        <w:rPr>
          <w:rFonts w:hint="cs"/>
          <w:rtl/>
        </w:rPr>
        <w:t xml:space="preserve">והוסיף </w:t>
      </w:r>
      <w:r w:rsidRPr="00F1458B">
        <w:rPr>
          <w:rStyle w:val="aff4"/>
          <w:rFonts w:hint="cs"/>
          <w:vanish/>
          <w:rtl/>
        </w:rPr>
        <w:t>-</w:t>
      </w:r>
      <w:r w:rsidRPr="00C86935">
        <w:rPr>
          <w:rStyle w:val="aff4"/>
          <w:rFonts w:hint="cs"/>
          <w:rtl/>
        </w:rPr>
        <w:t>הרמב"ן לקמן</w:t>
      </w:r>
      <w:r w:rsidRPr="00F1458B">
        <w:rPr>
          <w:rStyle w:val="aff4"/>
          <w:rFonts w:hint="cs"/>
          <w:vanish/>
          <w:rtl/>
        </w:rPr>
        <w:t>-</w:t>
      </w:r>
      <w:r>
        <w:rPr>
          <w:rFonts w:hint="cs"/>
          <w:rtl/>
        </w:rPr>
        <w:t xml:space="preserve"> דלכן לר"ש מלאכה הצריכה לגופה היא רק בחובל וצריך לכלבו ומבעיר וצריך לאפרו, דהוא צריך את המלאכה עצמה, ואינו צריך לתיקון אחר, אין להקשות דמ"מ מילה היא מלאכה שא"צ לגופה כחופר גומה וצריך לעפרה, דהא בחובל מעשה המלאכה דחבלה הוא בדם עצמו שהוא צריך אותו, ודמי לגוזז ונוטל שערו וצפורניו דבין אם עושה כן בכדי לתקן את גופו ולייפות את עצמו, ובין אם עושה כן לצורך השיער והגיזה, הכל הוא מלאכה הצריכה לגופה, כיון דהם דבר אחד, והנטילה עצמה היא המלאכה, אבל חופר גומה וצריך לעפרה, המלאכה היא בבניין הקרקע, ולא בחפירת העפר, ועי' במ"ש </w:t>
      </w:r>
      <w:r w:rsidRPr="00CB65AA">
        <w:rPr>
          <w:rStyle w:val="aff4"/>
          <w:rFonts w:hint="cs"/>
          <w:vanish/>
          <w:rtl/>
        </w:rPr>
        <w:t>-</w:t>
      </w:r>
      <w:r w:rsidRPr="00996495">
        <w:rPr>
          <w:rStyle w:val="aff4"/>
          <w:rFonts w:hint="cs"/>
          <w:rtl/>
        </w:rPr>
        <w:t>הקה"י בכתובות</w:t>
      </w:r>
      <w:r w:rsidRPr="00CB65AA">
        <w:rPr>
          <w:rStyle w:val="aff4"/>
          <w:rFonts w:hint="cs"/>
          <w:vanish/>
          <w:rtl/>
        </w:rPr>
        <w:t>-</w:t>
      </w:r>
      <w:r>
        <w:rPr>
          <w:rFonts w:hint="cs"/>
          <w:rtl/>
        </w:rPr>
        <w:t xml:space="preserve"> </w:t>
      </w:r>
      <w:r>
        <w:rPr>
          <w:rStyle w:val="af2"/>
          <w:rFonts w:eastAsia="Guttman Hodes" w:hint="cs"/>
          <w:rtl/>
        </w:rPr>
        <w:t xml:space="preserve">(עי' </w:t>
      </w:r>
      <w:r w:rsidRPr="00E4371A">
        <w:rPr>
          <w:rStyle w:val="af2"/>
          <w:rFonts w:eastAsia="Guttman Hodes" w:hint="cs"/>
          <w:rtl/>
        </w:rPr>
        <w:t xml:space="preserve">אות </w:t>
      </w:r>
      <w:r w:rsidRPr="00E4371A">
        <w:rPr>
          <w:rStyle w:val="af2"/>
          <w:rFonts w:eastAsia="Guttman Hodes"/>
          <w:rtl/>
        </w:rPr>
        <w:fldChar w:fldCharType="begin"/>
      </w:r>
      <w:r w:rsidRPr="00E4371A">
        <w:rPr>
          <w:rStyle w:val="af2"/>
          <w:rFonts w:eastAsia="Guttman Hodes"/>
          <w:rtl/>
        </w:rPr>
        <w:instrText xml:space="preserve"> </w:instrText>
      </w:r>
      <w:r w:rsidRPr="00E4371A">
        <w:rPr>
          <w:rStyle w:val="af2"/>
          <w:rFonts w:eastAsia="Guttman Hodes" w:hint="cs"/>
        </w:rPr>
        <w:instrText>REF</w:instrText>
      </w:r>
      <w:r w:rsidRPr="00E4371A">
        <w:rPr>
          <w:rStyle w:val="af2"/>
          <w:rFonts w:eastAsia="Guttman Hodes" w:hint="cs"/>
          <w:rtl/>
        </w:rPr>
        <w:instrText xml:space="preserve"> _</w:instrText>
      </w:r>
      <w:r w:rsidRPr="00E4371A">
        <w:rPr>
          <w:rStyle w:val="af2"/>
          <w:rFonts w:eastAsia="Guttman Hodes" w:hint="cs"/>
        </w:rPr>
        <w:instrText>Ref136445664 \r \h</w:instrText>
      </w:r>
      <w:r w:rsidRPr="00E4371A">
        <w:rPr>
          <w:rStyle w:val="af2"/>
          <w:rFonts w:eastAsia="Guttman Hodes"/>
          <w:rtl/>
        </w:rPr>
        <w:instrText xml:space="preserve"> </w:instrText>
      </w:r>
      <w:r w:rsidRPr="00E4371A">
        <w:rPr>
          <w:rStyle w:val="af2"/>
          <w:rFonts w:eastAsia="Guttman Hodes"/>
          <w:rtl/>
        </w:rPr>
      </w:r>
      <w:r w:rsidRPr="00E4371A">
        <w:rPr>
          <w:rStyle w:val="af2"/>
          <w:rFonts w:eastAsia="Guttman Hodes"/>
          <w:rtl/>
        </w:rPr>
        <w:fldChar w:fldCharType="separate"/>
      </w:r>
      <w:r w:rsidR="00D82181">
        <w:rPr>
          <w:rStyle w:val="af2"/>
          <w:rFonts w:eastAsia="Guttman Hodes"/>
          <w:cs/>
        </w:rPr>
        <w:t>‎</w:t>
      </w:r>
      <w:r w:rsidR="00D82181">
        <w:rPr>
          <w:rStyle w:val="af2"/>
          <w:rFonts w:eastAsia="Guttman Hodes"/>
          <w:rtl/>
        </w:rPr>
        <w:t>נד)</w:t>
      </w:r>
      <w:r w:rsidRPr="00E4371A">
        <w:rPr>
          <w:rStyle w:val="af2"/>
          <w:rFonts w:eastAsia="Guttman Hodes"/>
          <w:rtl/>
        </w:rPr>
        <w:fldChar w:fldCharType="end"/>
      </w:r>
      <w:r>
        <w:rPr>
          <w:rFonts w:hint="cs"/>
          <w:rtl/>
        </w:rPr>
        <w:t xml:space="preserve"> בדברי </w:t>
      </w:r>
      <w:r w:rsidRPr="00D775FE">
        <w:rPr>
          <w:rStyle w:val="aff4"/>
          <w:rFonts w:hint="cs"/>
          <w:vanish/>
          <w:rtl/>
        </w:rPr>
        <w:t>-</w:t>
      </w:r>
      <w:r w:rsidRPr="00C86935">
        <w:rPr>
          <w:rStyle w:val="aff4"/>
          <w:rFonts w:hint="cs"/>
          <w:rtl/>
        </w:rPr>
        <w:t>הרמב"ן</w:t>
      </w:r>
      <w:r w:rsidRPr="00D775FE">
        <w:rPr>
          <w:rStyle w:val="aff4"/>
          <w:rFonts w:hint="cs"/>
          <w:vanish/>
          <w:rtl/>
        </w:rPr>
        <w:t>-</w:t>
      </w:r>
      <w:r>
        <w:rPr>
          <w:rFonts w:hint="cs"/>
          <w:rtl/>
        </w:rPr>
        <w:t>.</w:t>
      </w:r>
      <w:bookmarkEnd w:id="1866"/>
      <w:r>
        <w:rPr>
          <w:rFonts w:hint="cs"/>
          <w:rtl/>
        </w:rPr>
        <w:t xml:space="preserve"> </w:t>
      </w:r>
    </w:p>
    <w:p w14:paraId="29FD74E2" w14:textId="77777777" w:rsidR="00316453" w:rsidRPr="00747170" w:rsidRDefault="00316453" w:rsidP="00747170">
      <w:pPr>
        <w:pStyle w:val="a2"/>
        <w:rPr>
          <w:rtl/>
        </w:rPr>
      </w:pPr>
      <w:r w:rsidRPr="00747170">
        <w:rPr>
          <w:rtl/>
        </w:rPr>
        <w:t>ומשום הכי בעי ר"ש חובל וצריך לכלבו מבעיר וצריך לאפרו כדי שתהא מלאכה הצריכה לגופה לא משום דבעי שום תיקון, וה"ק ליה רבי יוחנן חובל ומבעיר אינה משנה שיתחייב בדרך מקלקל מפני שהיא מלאכה שאינה צריכה לגופה ופטור עליה ואם תמצי לומר משנה חובל בצריך לכלבו ומבעיר בצריך לאפרו</w:t>
      </w:r>
      <w:r w:rsidRPr="00747170">
        <w:rPr>
          <w:rFonts w:hint="cs"/>
          <w:rtl/>
        </w:rPr>
        <w:t xml:space="preserve">, </w:t>
      </w:r>
      <w:r w:rsidRPr="00747170">
        <w:rPr>
          <w:rtl/>
        </w:rPr>
        <w:t>וא"ת והרי אף על פי כן מלאכה שא"צ לגופה היא דומיא דחופר גומא ואין צריך אלא לעפרה, לא תטעה בזה שהחבלה בכאן היא הדם עצמו שהוא צריך לו וכבר דמיתי זה לגוזז ונוטל שערו וצפרניו בין לתקן גופו ולייפות עצמו בין לצורך השער והגיזה כולן מלאכה הצריכה לגופה היא מפני שהכל דבר אחד והנטילה היא עצמה המלאכה, משא"כ בחופר גומא שהבנין בקרקע הוא והוא הנקרא מלאכה וכן הבערה לאפר צריך לגופה הוא.</w:t>
      </w:r>
    </w:p>
    <w:p w14:paraId="7B79DA10" w14:textId="35CB7B9B" w:rsidR="00316453" w:rsidRDefault="00316453" w:rsidP="00316453">
      <w:pPr>
        <w:pStyle w:val="afffff7"/>
        <w:rPr>
          <w:rtl/>
        </w:rPr>
      </w:pPr>
      <w:bookmarkStart w:id="1867" w:name="_Toc136620421"/>
      <w:bookmarkStart w:id="1868" w:name="_Toc163505700"/>
      <w:r>
        <w:rPr>
          <w:rtl/>
        </w:rPr>
        <w:t xml:space="preserve">חדושי הר"ן </w:t>
      </w:r>
      <w:r>
        <w:rPr>
          <w:rFonts w:hint="cs"/>
          <w:rtl/>
        </w:rPr>
        <w:t xml:space="preserve">- </w:t>
      </w:r>
      <w:r>
        <w:rPr>
          <w:rtl/>
        </w:rPr>
        <w:t>מיוחס לו שבת ק"ו ע"א</w:t>
      </w:r>
      <w:r>
        <w:rPr>
          <w:rFonts w:hint="cs"/>
          <w:rtl/>
        </w:rPr>
        <w:t xml:space="preserve"> ד</w:t>
      </w:r>
      <w:r>
        <w:rPr>
          <w:rFonts w:cs="Guttman Hodes" w:hint="cs"/>
          <w:rtl/>
        </w:rPr>
        <w:t>"</w:t>
      </w:r>
      <w:r>
        <w:rPr>
          <w:rFonts w:hint="cs"/>
          <w:rtl/>
        </w:rPr>
        <w:t>ה והנכון</w:t>
      </w:r>
      <w:bookmarkEnd w:id="1867"/>
      <w:bookmarkEnd w:id="1868"/>
    </w:p>
    <w:p w14:paraId="0CAFA176" w14:textId="77777777" w:rsidR="00316453" w:rsidRPr="00343DA1" w:rsidRDefault="00316453" w:rsidP="00316453">
      <w:pPr>
        <w:pStyle w:val="a7"/>
        <w:rPr>
          <w:rtl/>
        </w:rPr>
      </w:pPr>
      <w:bookmarkStart w:id="1869" w:name="_Toc136618655"/>
      <w:r>
        <w:rPr>
          <w:rFonts w:hint="cs"/>
          <w:rtl/>
        </w:rPr>
        <w:t>בי' הרא"ה ברמב"ן דבשיער צריך את גוף הנטילה וזורה ובורר א"א בלא"ה דכך היו החיטין</w:t>
      </w:r>
      <w:bookmarkEnd w:id="1869"/>
    </w:p>
    <w:p w14:paraId="48D1D2E8" w14:textId="6C5B09F8" w:rsidR="00316453" w:rsidRPr="00C45B7A" w:rsidRDefault="00316453" w:rsidP="00BC7DC8">
      <w:pPr>
        <w:pStyle w:val="a3"/>
        <w:rPr>
          <w:rtl/>
        </w:rPr>
      </w:pPr>
      <w:bookmarkStart w:id="1870" w:name="_Hlk136450234"/>
      <w:bookmarkStart w:id="1871" w:name="_Ref136450302"/>
      <w:r w:rsidRPr="00CB65AA">
        <w:rPr>
          <w:rStyle w:val="aff4"/>
          <w:rFonts w:hint="cs"/>
          <w:vanish/>
          <w:rtl/>
        </w:rPr>
        <w:t>-</w:t>
      </w:r>
      <w:r w:rsidRPr="00996495">
        <w:rPr>
          <w:rStyle w:val="aff4"/>
          <w:rFonts w:hint="cs"/>
          <w:rtl/>
        </w:rPr>
        <w:t>וב</w:t>
      </w:r>
      <w:r w:rsidRPr="0062777A">
        <w:rPr>
          <w:rStyle w:val="aff4"/>
          <w:rFonts w:hint="cs"/>
          <w:vanish/>
          <w:rtl/>
        </w:rPr>
        <w:t xml:space="preserve">&lt;. </w:t>
      </w:r>
      <w:r w:rsidRPr="0062777A">
        <w:rPr>
          <w:rStyle w:val="aff4"/>
          <w:vanish/>
          <w:rtl/>
        </w:rPr>
        <w:fldChar w:fldCharType="begin"/>
      </w:r>
      <w:r w:rsidRPr="0062777A">
        <w:rPr>
          <w:rStyle w:val="aff4"/>
          <w:vanish/>
          <w:rtl/>
        </w:rPr>
        <w:instrText xml:space="preserve"> </w:instrText>
      </w:r>
      <w:r w:rsidRPr="0062777A">
        <w:rPr>
          <w:rStyle w:val="aff4"/>
          <w:rFonts w:hint="cs"/>
          <w:vanish/>
        </w:rPr>
        <w:instrText>REF</w:instrText>
      </w:r>
      <w:r w:rsidRPr="0062777A">
        <w:rPr>
          <w:rStyle w:val="aff4"/>
          <w:rFonts w:hint="cs"/>
          <w:vanish/>
          <w:rtl/>
        </w:rPr>
        <w:instrText xml:space="preserve"> _</w:instrText>
      </w:r>
      <w:r w:rsidRPr="0062777A">
        <w:rPr>
          <w:rStyle w:val="aff4"/>
          <w:rFonts w:hint="cs"/>
          <w:vanish/>
        </w:rPr>
        <w:instrText>Ref136450302 \r \h</w:instrText>
      </w:r>
      <w:r w:rsidRPr="0062777A">
        <w:rPr>
          <w:rStyle w:val="aff4"/>
          <w:vanish/>
          <w:rtl/>
        </w:rPr>
        <w:instrText xml:space="preserve"> </w:instrText>
      </w:r>
      <w:r>
        <w:rPr>
          <w:rStyle w:val="aff4"/>
          <w:vanish/>
          <w:rtl/>
        </w:rPr>
        <w:instrText xml:space="preserve"> \* </w:instrText>
      </w:r>
      <w:r>
        <w:rPr>
          <w:rStyle w:val="aff4"/>
          <w:vanish/>
        </w:rPr>
        <w:instrText>MERGEFORMAT</w:instrText>
      </w:r>
      <w:r>
        <w:rPr>
          <w:rStyle w:val="aff4"/>
          <w:vanish/>
          <w:rtl/>
        </w:rPr>
        <w:instrText xml:space="preserve"> </w:instrText>
      </w:r>
      <w:r w:rsidRPr="0062777A">
        <w:rPr>
          <w:rStyle w:val="aff4"/>
          <w:vanish/>
          <w:rtl/>
        </w:rPr>
      </w:r>
      <w:r w:rsidRPr="0062777A">
        <w:rPr>
          <w:rStyle w:val="aff4"/>
          <w:vanish/>
          <w:rtl/>
        </w:rPr>
        <w:fldChar w:fldCharType="separate"/>
      </w:r>
      <w:r w:rsidR="00D82181">
        <w:rPr>
          <w:rStyle w:val="aff4"/>
          <w:vanish/>
          <w:cs/>
        </w:rPr>
        <w:t>‎</w:t>
      </w:r>
      <w:r w:rsidR="00D82181">
        <w:rPr>
          <w:rStyle w:val="aff4"/>
          <w:vanish/>
          <w:rtl/>
        </w:rPr>
        <w:t>ט)</w:t>
      </w:r>
      <w:r w:rsidRPr="0062777A">
        <w:rPr>
          <w:rStyle w:val="aff4"/>
          <w:vanish/>
          <w:rtl/>
        </w:rPr>
        <w:fldChar w:fldCharType="end"/>
      </w:r>
      <w:r w:rsidRPr="0062777A">
        <w:rPr>
          <w:rStyle w:val="aff4"/>
          <w:rFonts w:hint="cs"/>
          <w:vanish/>
          <w:rtl/>
        </w:rPr>
        <w:t xml:space="preserve"> &gt;</w:t>
      </w:r>
      <w:r w:rsidRPr="00996495">
        <w:rPr>
          <w:rStyle w:val="aff4"/>
          <w:rFonts w:hint="cs"/>
          <w:rtl/>
        </w:rPr>
        <w:t>חי' המיוחסים לר"ן לקמן</w:t>
      </w:r>
      <w:r w:rsidRPr="00CB65AA">
        <w:rPr>
          <w:rStyle w:val="aff4"/>
          <w:rFonts w:hint="cs"/>
          <w:vanish/>
          <w:rtl/>
        </w:rPr>
        <w:t>-</w:t>
      </w:r>
      <w:r>
        <w:rPr>
          <w:rFonts w:hint="cs"/>
          <w:rtl/>
        </w:rPr>
        <w:t xml:space="preserve"> </w:t>
      </w:r>
      <w:r w:rsidRPr="00D4778B">
        <w:rPr>
          <w:rStyle w:val="af2"/>
          <w:rFonts w:eastAsia="Guttman Hodes" w:hint="cs"/>
          <w:rtl/>
        </w:rPr>
        <w:t>(קו. סוד"ה והנכון)</w:t>
      </w:r>
      <w:r w:rsidRPr="00CB65AA">
        <w:rPr>
          <w:rFonts w:hint="cs"/>
          <w:vanish/>
          <w:rtl/>
        </w:rPr>
        <w:t>=</w:t>
      </w:r>
      <w:r>
        <w:rPr>
          <w:rFonts w:hint="cs"/>
          <w:rtl/>
        </w:rPr>
        <w:t xml:space="preserve"> הביא את דברי </w:t>
      </w:r>
      <w:r w:rsidRPr="00CB65AA">
        <w:rPr>
          <w:rStyle w:val="aff4"/>
          <w:rFonts w:hint="cs"/>
          <w:vanish/>
          <w:rtl/>
        </w:rPr>
        <w:t>-</w:t>
      </w:r>
      <w:r w:rsidRPr="00996495">
        <w:rPr>
          <w:rStyle w:val="aff4"/>
          <w:rFonts w:hint="cs"/>
          <w:rtl/>
        </w:rPr>
        <w:t>הרא"ה</w:t>
      </w:r>
      <w:r w:rsidRPr="00CB65AA">
        <w:rPr>
          <w:rStyle w:val="aff4"/>
          <w:rFonts w:hint="cs"/>
          <w:vanish/>
          <w:rtl/>
        </w:rPr>
        <w:t>-</w:t>
      </w:r>
      <w:r>
        <w:rPr>
          <w:rFonts w:hint="cs"/>
          <w:rtl/>
        </w:rPr>
        <w:t xml:space="preserve"> בשם </w:t>
      </w:r>
      <w:r w:rsidRPr="00CB65AA">
        <w:rPr>
          <w:rStyle w:val="aff4"/>
          <w:rFonts w:hint="cs"/>
          <w:vanish/>
          <w:rtl/>
        </w:rPr>
        <w:t>-</w:t>
      </w:r>
      <w:r w:rsidRPr="00996495">
        <w:rPr>
          <w:rStyle w:val="aff4"/>
          <w:rFonts w:hint="cs"/>
          <w:rtl/>
        </w:rPr>
        <w:t>הרמב"ן</w:t>
      </w:r>
      <w:r w:rsidRPr="00CB65AA">
        <w:rPr>
          <w:rStyle w:val="aff4"/>
          <w:rFonts w:hint="cs"/>
          <w:vanish/>
          <w:rtl/>
        </w:rPr>
        <w:t>-</w:t>
      </w:r>
      <w:r>
        <w:rPr>
          <w:rFonts w:hint="cs"/>
          <w:rtl/>
        </w:rPr>
        <w:t xml:space="preserve"> דהוסיף לבאר דכמו דבגוזז שהגוף והשיער הם דבר אחד והוא צריך את הנטילה עצמה, ה"ה בזורה ובורר דכך היו החיטין מתחילה שצריך לזרותם ולבררם, משא"כ בחופר גומא דאפשר להביא עפר בלי לבנות גומא</w:t>
      </w:r>
      <w:bookmarkEnd w:id="1870"/>
      <w:r>
        <w:rPr>
          <w:rFonts w:hint="cs"/>
          <w:rtl/>
        </w:rPr>
        <w:t>.</w:t>
      </w:r>
      <w:bookmarkEnd w:id="1871"/>
    </w:p>
    <w:p w14:paraId="3494DA1C" w14:textId="77777777" w:rsidR="00316453" w:rsidRPr="00747170" w:rsidRDefault="00316453" w:rsidP="00747170">
      <w:pPr>
        <w:pStyle w:val="a2"/>
      </w:pPr>
      <w:r w:rsidRPr="00747170">
        <w:rPr>
          <w:rtl/>
        </w:rPr>
        <w:t>והוה לי' כגוזז ונוטל שערו וצפרניו בין לתיקון גופו וליפות עצמו בין לצורך השער והגיזה דכולן מלאכה הצריכה לגופה היא מפני שהכל דבר אחד והנטילה היא בעצמה המלאכה וכן זורה ובורר מפני שכך הוא מתחלתו צריך לזרות ולהבר מה שאין כן בחופר גומא שהבנין בקרקע היא והוא הנקרא מלאכה ולא נטילת העפר. ועוד שאפשר לעפר בלא גומא.</w:t>
      </w:r>
    </w:p>
    <w:p w14:paraId="4D80371E" w14:textId="48F27364" w:rsidR="00316453" w:rsidRDefault="00316453" w:rsidP="00316453">
      <w:pPr>
        <w:pStyle w:val="afffff7"/>
        <w:rPr>
          <w:rtl/>
        </w:rPr>
      </w:pPr>
      <w:bookmarkStart w:id="1872" w:name="_Toc136620422"/>
      <w:bookmarkStart w:id="1873" w:name="_Toc163505701"/>
      <w:r>
        <w:rPr>
          <w:rtl/>
        </w:rPr>
        <w:t>מאירי שבת ק"ו ע"א</w:t>
      </w:r>
      <w:r>
        <w:rPr>
          <w:rFonts w:hint="cs"/>
          <w:rtl/>
        </w:rPr>
        <w:t xml:space="preserve"> ד</w:t>
      </w:r>
      <w:r>
        <w:rPr>
          <w:rFonts w:cs="Guttman Hodes" w:hint="cs"/>
          <w:rtl/>
        </w:rPr>
        <w:t>"</w:t>
      </w:r>
      <w:r>
        <w:rPr>
          <w:rFonts w:hint="cs"/>
          <w:rtl/>
        </w:rPr>
        <w:t>ה ולשיטה</w:t>
      </w:r>
      <w:bookmarkEnd w:id="1872"/>
      <w:bookmarkEnd w:id="1873"/>
    </w:p>
    <w:p w14:paraId="4ACF56A9" w14:textId="77777777" w:rsidR="00316453" w:rsidRDefault="00316453" w:rsidP="00316453">
      <w:pPr>
        <w:pStyle w:val="a7"/>
        <w:rPr>
          <w:rtl/>
        </w:rPr>
      </w:pPr>
      <w:bookmarkStart w:id="1874" w:name="_Toc136618656"/>
      <w:r>
        <w:rPr>
          <w:rFonts w:hint="cs"/>
          <w:rtl/>
        </w:rPr>
        <w:t>בי' המאירי דזורה ובורר צל"ג דהדרך להוציא פסולת ובדבר שנברא מעורב אי"ז הסרת נזק</w:t>
      </w:r>
      <w:bookmarkEnd w:id="1874"/>
    </w:p>
    <w:p w14:paraId="0F3C664B" w14:textId="19AB56EC" w:rsidR="00316453" w:rsidRPr="00436113" w:rsidRDefault="00316453" w:rsidP="00BC7DC8">
      <w:pPr>
        <w:pStyle w:val="a3"/>
        <w:rPr>
          <w:rtl/>
        </w:rPr>
      </w:pPr>
      <w:bookmarkStart w:id="1875" w:name="_Ref136445462"/>
      <w:r>
        <w:rPr>
          <w:rFonts w:hint="cs"/>
          <w:rtl/>
        </w:rPr>
        <w:t xml:space="preserve">וכ"כ </w:t>
      </w:r>
      <w:r w:rsidRPr="00CB65AA">
        <w:rPr>
          <w:rStyle w:val="aff4"/>
          <w:rFonts w:hint="cs"/>
          <w:vanish/>
          <w:rtl/>
        </w:rPr>
        <w:t>-</w:t>
      </w:r>
      <w:r w:rsidRPr="00996495">
        <w:rPr>
          <w:rStyle w:val="aff4"/>
          <w:rFonts w:hint="cs"/>
          <w:rtl/>
        </w:rPr>
        <w:t>ה</w:t>
      </w:r>
      <w:r w:rsidRPr="0062777A">
        <w:rPr>
          <w:rStyle w:val="aff4"/>
          <w:rFonts w:hint="cs"/>
          <w:vanish/>
          <w:rtl/>
        </w:rPr>
        <w:t xml:space="preserve">&lt;. </w:t>
      </w:r>
      <w:r w:rsidRPr="0062777A">
        <w:rPr>
          <w:rStyle w:val="aff4"/>
          <w:vanish/>
          <w:rtl/>
        </w:rPr>
        <w:fldChar w:fldCharType="begin"/>
      </w:r>
      <w:r w:rsidRPr="0062777A">
        <w:rPr>
          <w:rStyle w:val="aff4"/>
          <w:vanish/>
          <w:rtl/>
        </w:rPr>
        <w:instrText xml:space="preserve"> </w:instrText>
      </w:r>
      <w:r w:rsidRPr="0062777A">
        <w:rPr>
          <w:rStyle w:val="aff4"/>
          <w:rFonts w:hint="cs"/>
          <w:vanish/>
        </w:rPr>
        <w:instrText>REF</w:instrText>
      </w:r>
      <w:r w:rsidRPr="0062777A">
        <w:rPr>
          <w:rStyle w:val="aff4"/>
          <w:rFonts w:hint="cs"/>
          <w:vanish/>
          <w:rtl/>
        </w:rPr>
        <w:instrText xml:space="preserve"> _</w:instrText>
      </w:r>
      <w:r w:rsidRPr="0062777A">
        <w:rPr>
          <w:rStyle w:val="aff4"/>
          <w:rFonts w:hint="cs"/>
          <w:vanish/>
        </w:rPr>
        <w:instrText>Ref136445462 \r \h</w:instrText>
      </w:r>
      <w:r w:rsidRPr="0062777A">
        <w:rPr>
          <w:rStyle w:val="aff4"/>
          <w:vanish/>
          <w:rtl/>
        </w:rPr>
        <w:instrText xml:space="preserve"> </w:instrText>
      </w:r>
      <w:r w:rsidRPr="0062777A">
        <w:rPr>
          <w:rStyle w:val="aff4"/>
          <w:vanish/>
          <w:rtl/>
        </w:rPr>
      </w:r>
      <w:r w:rsidRPr="0062777A">
        <w:rPr>
          <w:rStyle w:val="aff4"/>
          <w:vanish/>
          <w:rtl/>
        </w:rPr>
        <w:fldChar w:fldCharType="separate"/>
      </w:r>
      <w:r w:rsidR="00D82181">
        <w:rPr>
          <w:rStyle w:val="aff4"/>
          <w:vanish/>
          <w:cs/>
        </w:rPr>
        <w:t>‎</w:t>
      </w:r>
      <w:r w:rsidR="00D82181">
        <w:rPr>
          <w:rStyle w:val="aff4"/>
          <w:vanish/>
          <w:rtl/>
        </w:rPr>
        <w:t>י)</w:t>
      </w:r>
      <w:r w:rsidRPr="0062777A">
        <w:rPr>
          <w:rStyle w:val="aff4"/>
          <w:vanish/>
          <w:rtl/>
        </w:rPr>
        <w:fldChar w:fldCharType="end"/>
      </w:r>
      <w:r w:rsidRPr="0062777A">
        <w:rPr>
          <w:rStyle w:val="aff4"/>
          <w:rFonts w:hint="cs"/>
          <w:vanish/>
          <w:rtl/>
        </w:rPr>
        <w:t xml:space="preserve"> &gt;</w:t>
      </w:r>
      <w:r w:rsidRPr="00996495">
        <w:rPr>
          <w:rStyle w:val="aff4"/>
          <w:rFonts w:hint="cs"/>
          <w:rtl/>
        </w:rPr>
        <w:t>מאירי לקמן</w:t>
      </w:r>
      <w:r w:rsidRPr="00CB65AA">
        <w:rPr>
          <w:rStyle w:val="aff4"/>
          <w:rFonts w:hint="cs"/>
          <w:vanish/>
          <w:rtl/>
        </w:rPr>
        <w:t>-</w:t>
      </w:r>
      <w:r>
        <w:rPr>
          <w:rFonts w:hint="cs"/>
          <w:rtl/>
        </w:rPr>
        <w:t xml:space="preserve"> </w:t>
      </w:r>
      <w:r w:rsidRPr="00D4778B">
        <w:rPr>
          <w:rStyle w:val="af2"/>
          <w:rFonts w:eastAsia="Guttman Hodes" w:hint="cs"/>
          <w:rtl/>
        </w:rPr>
        <w:t>(קו. ד"ה ולשיטה)</w:t>
      </w:r>
      <w:r w:rsidRPr="00CB65AA">
        <w:rPr>
          <w:rFonts w:hint="cs"/>
          <w:vanish/>
          <w:rtl/>
        </w:rPr>
        <w:t>=</w:t>
      </w:r>
      <w:r>
        <w:rPr>
          <w:rFonts w:hint="cs"/>
          <w:rtl/>
        </w:rPr>
        <w:t xml:space="preserve"> דזורה ובורר הם מלאכה הצריכה לגופה, ואף שכוונתו היא רק להוציא את הפסולת, מ"מ כיון שהוא מתקן כדרך העולם הוי מלאכה, דבדבר שהאוכל והפסולת נבראו יחד כמוץ ותבואה לא אמרינן דהוא רק הסרת נזק, וכתב </w:t>
      </w:r>
      <w:r w:rsidRPr="00CB65AA">
        <w:rPr>
          <w:rStyle w:val="aff4"/>
          <w:rFonts w:hint="cs"/>
          <w:vanish/>
          <w:rtl/>
        </w:rPr>
        <w:t>-</w:t>
      </w:r>
      <w:r w:rsidRPr="00996495">
        <w:rPr>
          <w:rStyle w:val="aff4"/>
          <w:rFonts w:hint="cs"/>
          <w:rtl/>
        </w:rPr>
        <w:t>המאירי</w:t>
      </w:r>
      <w:r w:rsidRPr="00CB65AA">
        <w:rPr>
          <w:rStyle w:val="aff4"/>
          <w:rFonts w:hint="cs"/>
          <w:vanish/>
          <w:rtl/>
        </w:rPr>
        <w:t>-</w:t>
      </w:r>
      <w:r>
        <w:rPr>
          <w:rFonts w:hint="cs"/>
          <w:rtl/>
        </w:rPr>
        <w:t xml:space="preserve"> דלכן בכל מקלקל שאדם עושה בדבר מסוים שכך הוא הדרך לתקנו ולהנות ממנו, וניכר בשעת המלאכה שעושה לצורך תיקון, חשיב מלאכה הצריכה לגופה אף לר"ש, כחובל בשרצים ופוצע בחלזון, וכן חובל בשחיטה ומבעיר בעצים לאפיה ובישול דהוא תיקון ולא קלקול, שכך מנהג העולם.</w:t>
      </w:r>
      <w:bookmarkEnd w:id="1875"/>
      <w:r>
        <w:rPr>
          <w:rFonts w:hint="cs"/>
          <w:rtl/>
        </w:rPr>
        <w:t xml:space="preserve"> </w:t>
      </w:r>
    </w:p>
    <w:p w14:paraId="1B2CF702" w14:textId="77777777" w:rsidR="00316453" w:rsidRPr="00747170" w:rsidRDefault="00316453" w:rsidP="00747170">
      <w:pPr>
        <w:pStyle w:val="a2"/>
        <w:rPr>
          <w:rtl/>
        </w:rPr>
      </w:pPr>
      <w:r w:rsidRPr="00747170">
        <w:rPr>
          <w:rtl/>
        </w:rPr>
        <w:t>ולשיטה זו כללו מפרשים אלו בענין זה שכל המקלקל על הדרך שאדם רגיל באותו דבר לצורך תקונו והנאתו ושהדבר ניכר בשעת הקלקול שלצורך תקון הוא חייב אף לר' שמעון שפוטר במלאכה שאין צריכה לגופה ואם הוא בחבורה אף לדעת ר' יהודה הפוטר במקלקל בחבורה ואין זה קלקול כלל אלא תקון כגון חובל בשרצים ופוצע בחלזון וחובל בשחיטה ומבעיר לאפות או לבשל או לחמם ואפי' היה הקלקול יתר על התקון כמו שכתבנו למעלה וכן שאמרו בפסחים פסח ששחטו שלא לשמו חייב אף לר' יהודה הפוטר במקלקל בחבורה שהרי תקן בה שאם עלו לא ירדו והטעם מפני שזהו מתקנו כמנהג העולם וכן נצרר הדם אף על פי שמקלקלו נקרא תקון שדרך העולם להכותם כדי להחלישם שיהו נוחין ליכבש ופוצע חלזון אף על פי שאינו צריך לחלזון עצמו אלא לדם היוצא ממנו ואין זה כחובל וצריך לדם לכלבו וחופר גומא וצריך לעפרה שדרך העולם להורגו בשביל הדבר שצובעין בו ומלאכה הצריכה לגופה היא שהוצאת הדם היא עיקר המלאכה ומטעם זה נקראים זורה ובורר מלאכה הצריכה לגופה אף על פי שאין הכונה אלא לדחיית המוץ בזורה והפסולת והצרורות בבורר מפני שהוא מתקנה על מנהג העולם ואין אומרין אין זה אלא הסרת נזק שאין אומרין כן במה ששתיהן נבראין יחד כגון המוץ והתבואה וחיוב כל אלו וכיוצא בהם בין לר' יהודה בין לר' שמעון:</w:t>
      </w:r>
    </w:p>
    <w:p w14:paraId="270CBE34" w14:textId="753F3777" w:rsidR="00316453" w:rsidRDefault="00316453" w:rsidP="00316453">
      <w:pPr>
        <w:pStyle w:val="afffff7"/>
        <w:rPr>
          <w:rtl/>
        </w:rPr>
      </w:pPr>
      <w:bookmarkStart w:id="1876" w:name="_Toc136620423"/>
      <w:bookmarkStart w:id="1877" w:name="_Toc163505702"/>
      <w:r>
        <w:rPr>
          <w:rtl/>
        </w:rPr>
        <w:t>שו"ת הריב"ש סימן שצד</w:t>
      </w:r>
      <w:r>
        <w:rPr>
          <w:rFonts w:hint="cs"/>
          <w:rtl/>
        </w:rPr>
        <w:t xml:space="preserve"> ד"ה לו יהי</w:t>
      </w:r>
      <w:bookmarkEnd w:id="1876"/>
      <w:bookmarkEnd w:id="1877"/>
    </w:p>
    <w:p w14:paraId="2EE98664" w14:textId="77777777" w:rsidR="00316453" w:rsidRPr="00123A6D" w:rsidRDefault="00316453" w:rsidP="00316453">
      <w:pPr>
        <w:pStyle w:val="afffff7"/>
        <w:rPr>
          <w:rtl/>
        </w:rPr>
      </w:pPr>
      <w:bookmarkStart w:id="1878" w:name="_Toc136620424"/>
      <w:bookmarkStart w:id="1879" w:name="_Toc136618657"/>
      <w:bookmarkStart w:id="1880" w:name="_Toc163505703"/>
      <w:r w:rsidRPr="00123A6D">
        <w:rPr>
          <w:rtl/>
        </w:rPr>
        <w:t>מחצית השקל או"ח סי' ש"ג ס"ק כ"ב</w:t>
      </w:r>
      <w:bookmarkEnd w:id="1878"/>
      <w:bookmarkEnd w:id="1880"/>
    </w:p>
    <w:p w14:paraId="4FD57854" w14:textId="77777777" w:rsidR="00316453" w:rsidRDefault="00316453" w:rsidP="00316453">
      <w:pPr>
        <w:pStyle w:val="a7"/>
        <w:rPr>
          <w:rtl/>
        </w:rPr>
      </w:pPr>
      <w:r>
        <w:rPr>
          <w:rFonts w:hint="cs"/>
          <w:rtl/>
        </w:rPr>
        <w:t>בי' הריב"ש דגוזז ציפורן כדרך והיה במשכן בתחשים וצל"ג ובי' המחצה"ש דצריך לגזיזה עצמה</w:t>
      </w:r>
      <w:bookmarkEnd w:id="1879"/>
    </w:p>
    <w:p w14:paraId="4B760BBA" w14:textId="6ADE141F" w:rsidR="00316453" w:rsidRDefault="00316453" w:rsidP="00BC7DC8">
      <w:pPr>
        <w:pStyle w:val="a3"/>
      </w:pPr>
      <w:bookmarkStart w:id="1881" w:name="_Ref136618798"/>
      <w:bookmarkStart w:id="1882" w:name="_Ref135818169"/>
      <w:r>
        <w:rPr>
          <w:rFonts w:hint="cs"/>
          <w:rtl/>
        </w:rPr>
        <w:t xml:space="preserve">ועי' במ"ש </w:t>
      </w:r>
      <w:r w:rsidRPr="006E0441">
        <w:rPr>
          <w:rStyle w:val="aff4"/>
          <w:rFonts w:hint="cs"/>
          <w:vanish/>
          <w:rtl/>
        </w:rPr>
        <w:t>-</w:t>
      </w:r>
      <w:r w:rsidRPr="0085567C">
        <w:rPr>
          <w:rStyle w:val="aff4"/>
          <w:rFonts w:hint="cs"/>
          <w:rtl/>
        </w:rPr>
        <w:t>ה</w:t>
      </w:r>
      <w:r w:rsidRPr="006E0441">
        <w:rPr>
          <w:rStyle w:val="aff4"/>
          <w:rFonts w:hint="cs"/>
          <w:vanish/>
          <w:rtl/>
        </w:rPr>
        <w:t xml:space="preserve">&lt;. </w:t>
      </w:r>
      <w:r w:rsidRPr="006E0441">
        <w:rPr>
          <w:rStyle w:val="aff4"/>
          <w:vanish/>
          <w:rtl/>
        </w:rPr>
        <w:fldChar w:fldCharType="begin"/>
      </w:r>
      <w:r w:rsidRPr="006E0441">
        <w:rPr>
          <w:rStyle w:val="aff4"/>
          <w:vanish/>
          <w:rtl/>
        </w:rPr>
        <w:instrText xml:space="preserve"> </w:instrText>
      </w:r>
      <w:r w:rsidRPr="006E0441">
        <w:rPr>
          <w:rStyle w:val="aff4"/>
          <w:rFonts w:hint="cs"/>
          <w:vanish/>
        </w:rPr>
        <w:instrText>REF</w:instrText>
      </w:r>
      <w:r w:rsidRPr="006E0441">
        <w:rPr>
          <w:rStyle w:val="aff4"/>
          <w:rFonts w:hint="cs"/>
          <w:vanish/>
          <w:rtl/>
        </w:rPr>
        <w:instrText xml:space="preserve"> _</w:instrText>
      </w:r>
      <w:r w:rsidRPr="006E0441">
        <w:rPr>
          <w:rStyle w:val="aff4"/>
          <w:rFonts w:hint="cs"/>
          <w:vanish/>
        </w:rPr>
        <w:instrText>Ref135818169 \r \h</w:instrText>
      </w:r>
      <w:r w:rsidRPr="006E0441">
        <w:rPr>
          <w:rStyle w:val="aff4"/>
          <w:vanish/>
          <w:rtl/>
        </w:rPr>
        <w:instrText xml:space="preserve"> </w:instrText>
      </w:r>
      <w:r w:rsidRPr="006E0441">
        <w:rPr>
          <w:rStyle w:val="aff4"/>
          <w:vanish/>
          <w:rtl/>
        </w:rPr>
      </w:r>
      <w:r w:rsidRPr="006E0441">
        <w:rPr>
          <w:rStyle w:val="aff4"/>
          <w:vanish/>
          <w:rtl/>
        </w:rPr>
        <w:fldChar w:fldCharType="separate"/>
      </w:r>
      <w:r w:rsidR="00D82181">
        <w:rPr>
          <w:rStyle w:val="aff4"/>
          <w:vanish/>
          <w:cs/>
        </w:rPr>
        <w:t>‎</w:t>
      </w:r>
      <w:r w:rsidR="00D82181">
        <w:rPr>
          <w:rStyle w:val="aff4"/>
          <w:vanish/>
          <w:rtl/>
        </w:rPr>
        <w:t>יא)</w:t>
      </w:r>
      <w:r w:rsidRPr="006E0441">
        <w:rPr>
          <w:rStyle w:val="aff4"/>
          <w:vanish/>
          <w:rtl/>
        </w:rPr>
        <w:fldChar w:fldCharType="end"/>
      </w:r>
      <w:r w:rsidRPr="006E0441">
        <w:rPr>
          <w:rStyle w:val="aff4"/>
          <w:rFonts w:hint="cs"/>
          <w:vanish/>
          <w:rtl/>
        </w:rPr>
        <w:t xml:space="preserve"> &gt;</w:t>
      </w:r>
      <w:r w:rsidRPr="0085567C">
        <w:rPr>
          <w:rStyle w:val="aff4"/>
          <w:rFonts w:hint="cs"/>
          <w:rtl/>
        </w:rPr>
        <w:t>ריב"ש</w:t>
      </w:r>
      <w:r w:rsidRPr="006E0441">
        <w:rPr>
          <w:rStyle w:val="aff4"/>
          <w:rFonts w:hint="cs"/>
          <w:vanish/>
          <w:rtl/>
        </w:rPr>
        <w:t>-</w:t>
      </w:r>
      <w:r>
        <w:rPr>
          <w:rFonts w:hint="cs"/>
          <w:rtl/>
        </w:rPr>
        <w:t xml:space="preserve"> </w:t>
      </w:r>
      <w:r w:rsidRPr="00D4778B">
        <w:rPr>
          <w:rStyle w:val="af2"/>
          <w:rFonts w:eastAsia="Guttman Hodes" w:hint="cs"/>
          <w:rtl/>
        </w:rPr>
        <w:t>(סי' שצ"ד סוד"ה לו יהי)</w:t>
      </w:r>
      <w:r w:rsidRPr="002A5078">
        <w:rPr>
          <w:rFonts w:hint="cs"/>
          <w:vanish/>
          <w:rtl/>
        </w:rPr>
        <w:t>=</w:t>
      </w:r>
      <w:r>
        <w:rPr>
          <w:rFonts w:hint="cs"/>
          <w:rtl/>
        </w:rPr>
        <w:t xml:space="preserve"> </w:t>
      </w:r>
      <w:r w:rsidRPr="00D4778B">
        <w:rPr>
          <w:rStyle w:val="af"/>
          <w:rFonts w:hint="cs"/>
          <w:rtl/>
        </w:rPr>
        <w:t xml:space="preserve">[הובא </w:t>
      </w:r>
      <w:r w:rsidRPr="00EB1A7E">
        <w:rPr>
          <w:rStyle w:val="aff9"/>
          <w:rFonts w:hint="cs"/>
          <w:vanish/>
          <w:rtl/>
        </w:rPr>
        <w:t>-</w:t>
      </w:r>
      <w:r w:rsidRPr="00D4778B">
        <w:rPr>
          <w:rStyle w:val="aff9"/>
          <w:rFonts w:hint="cs"/>
          <w:rtl/>
        </w:rPr>
        <w:t>ב</w:t>
      </w:r>
      <w:r w:rsidRPr="00EB1A7E">
        <w:rPr>
          <w:rStyle w:val="aff9"/>
          <w:rFonts w:hint="cs"/>
          <w:vanish/>
          <w:rtl/>
        </w:rPr>
        <w:t>&lt; &gt;</w:t>
      </w:r>
      <w:r w:rsidRPr="00D4778B">
        <w:rPr>
          <w:rStyle w:val="aff9"/>
          <w:rFonts w:hint="cs"/>
          <w:rtl/>
        </w:rPr>
        <w:t>מג"א</w:t>
      </w:r>
      <w:r w:rsidRPr="00EB1A7E">
        <w:rPr>
          <w:rStyle w:val="aff9"/>
          <w:rFonts w:hint="cs"/>
          <w:vanish/>
          <w:rtl/>
        </w:rPr>
        <w:t>-</w:t>
      </w:r>
      <w:r w:rsidRPr="00D4778B">
        <w:rPr>
          <w:rStyle w:val="af"/>
          <w:rFonts w:hint="cs"/>
          <w:rtl/>
        </w:rPr>
        <w:t xml:space="preserve"> </w:t>
      </w:r>
      <w:r w:rsidRPr="00D4778B">
        <w:rPr>
          <w:rStyle w:val="aff0"/>
          <w:rFonts w:hint="cs"/>
          <w:rtl/>
        </w:rPr>
        <w:t>(סי' ש"ג סקכ"ב)</w:t>
      </w:r>
      <w:r w:rsidRPr="00EB1A7E">
        <w:rPr>
          <w:rStyle w:val="af"/>
          <w:rFonts w:hint="cs"/>
          <w:vanish/>
          <w:rtl/>
        </w:rPr>
        <w:t>=</w:t>
      </w:r>
      <w:r w:rsidRPr="00D4778B">
        <w:rPr>
          <w:rStyle w:val="af"/>
          <w:rFonts w:hint="cs"/>
          <w:rtl/>
        </w:rPr>
        <w:t>]</w:t>
      </w:r>
      <w:r>
        <w:rPr>
          <w:rFonts w:hint="cs"/>
          <w:rtl/>
        </w:rPr>
        <w:t xml:space="preserve"> דהחיוב בנטילת שיער וצפורניים הוא כיון דדרך גזיזה בכך, ועוד ביאר </w:t>
      </w:r>
      <w:r w:rsidRPr="002B585D">
        <w:rPr>
          <w:rStyle w:val="aff4"/>
          <w:rFonts w:hint="cs"/>
          <w:vanish/>
          <w:rtl/>
        </w:rPr>
        <w:t>-</w:t>
      </w:r>
      <w:r w:rsidRPr="001909B2">
        <w:rPr>
          <w:rStyle w:val="aff4"/>
          <w:rFonts w:hint="cs"/>
          <w:rtl/>
        </w:rPr>
        <w:t>הריב"ש</w:t>
      </w:r>
      <w:r w:rsidRPr="002B585D">
        <w:rPr>
          <w:rStyle w:val="aff4"/>
          <w:rFonts w:hint="cs"/>
          <w:vanish/>
          <w:rtl/>
        </w:rPr>
        <w:t>-</w:t>
      </w:r>
      <w:r>
        <w:rPr>
          <w:rFonts w:hint="cs"/>
          <w:rtl/>
        </w:rPr>
        <w:t xml:space="preserve"> דהייתה גזיזה במשכן בין לצורך הצמר והשיער ובין לצורך העור לנקותו מהשיער כגון בעורות תחשים, ולכן אף נטילת שער וצפרנים חייב, וחשיב מלאכה הצריכה לגופה אף שא"צ את השיער, כחופר גומא וצריך את הגומא אף שא"צ את העפר</w:t>
      </w:r>
      <w:bookmarkStart w:id="1883" w:name="_Hlk135819031"/>
      <w:r>
        <w:rPr>
          <w:rFonts w:hint="cs"/>
          <w:rtl/>
        </w:rPr>
        <w:t>,</w:t>
      </w:r>
      <w:r w:rsidRPr="005218FD">
        <w:rPr>
          <w:rFonts w:hint="cs"/>
          <w:rtl/>
        </w:rPr>
        <w:t xml:space="preserve"> </w:t>
      </w:r>
      <w:r>
        <w:rPr>
          <w:rFonts w:hint="cs"/>
          <w:rtl/>
        </w:rPr>
        <w:t xml:space="preserve">וביאר </w:t>
      </w:r>
      <w:r w:rsidRPr="005218FD">
        <w:rPr>
          <w:rStyle w:val="aff4"/>
          <w:rFonts w:hint="cs"/>
          <w:vanish/>
          <w:rtl/>
        </w:rPr>
        <w:t>-</w:t>
      </w:r>
      <w:r w:rsidRPr="005218FD">
        <w:rPr>
          <w:rStyle w:val="aff4"/>
          <w:rFonts w:hint="cs"/>
          <w:rtl/>
        </w:rPr>
        <w:t>ה</w:t>
      </w:r>
      <w:r w:rsidRPr="005218FD">
        <w:rPr>
          <w:rStyle w:val="aff4"/>
          <w:rFonts w:hint="cs"/>
          <w:vanish/>
          <w:rtl/>
        </w:rPr>
        <w:t>&lt; &gt;</w:t>
      </w:r>
      <w:r w:rsidRPr="005218FD">
        <w:rPr>
          <w:rStyle w:val="aff4"/>
          <w:rFonts w:hint="cs"/>
          <w:rtl/>
        </w:rPr>
        <w:t>מחצית השקל</w:t>
      </w:r>
      <w:r w:rsidRPr="005218FD">
        <w:rPr>
          <w:rStyle w:val="aff4"/>
          <w:rFonts w:hint="cs"/>
          <w:vanish/>
          <w:rtl/>
        </w:rPr>
        <w:t>-</w:t>
      </w:r>
      <w:r>
        <w:rPr>
          <w:rFonts w:hint="cs"/>
          <w:rtl/>
        </w:rPr>
        <w:t xml:space="preserve"> </w:t>
      </w:r>
      <w:r w:rsidRPr="005218FD">
        <w:rPr>
          <w:rStyle w:val="af2"/>
          <w:rFonts w:eastAsia="Guttman Hodes" w:hint="cs"/>
          <w:rtl/>
        </w:rPr>
        <w:t>(סי' ש"ג סקכ"ב)</w:t>
      </w:r>
      <w:r w:rsidRPr="005218FD">
        <w:rPr>
          <w:rFonts w:hint="cs"/>
          <w:vanish/>
          <w:rtl/>
        </w:rPr>
        <w:t>=</w:t>
      </w:r>
      <w:r>
        <w:rPr>
          <w:rFonts w:hint="cs"/>
          <w:rtl/>
        </w:rPr>
        <w:t xml:space="preserve"> את דברי </w:t>
      </w:r>
      <w:r w:rsidRPr="005218FD">
        <w:rPr>
          <w:rStyle w:val="aff4"/>
          <w:rFonts w:hint="cs"/>
          <w:vanish/>
          <w:rtl/>
        </w:rPr>
        <w:t>-</w:t>
      </w:r>
      <w:r w:rsidRPr="005218FD">
        <w:rPr>
          <w:rStyle w:val="aff4"/>
          <w:rFonts w:hint="cs"/>
          <w:rtl/>
        </w:rPr>
        <w:t>הריב"ש</w:t>
      </w:r>
      <w:r w:rsidRPr="005218FD">
        <w:rPr>
          <w:rStyle w:val="aff4"/>
          <w:rFonts w:hint="cs"/>
          <w:vanish/>
          <w:rtl/>
        </w:rPr>
        <w:t>-</w:t>
      </w:r>
      <w:r>
        <w:rPr>
          <w:rFonts w:hint="cs"/>
          <w:rtl/>
        </w:rPr>
        <w:t xml:space="preserve"> דמלאכה שא"צ לגופה היינו הוצאת המת, שא"צ את עצם ההוצאה, ורוצה רק להוציאו מלפניו, אבל בנוטל צפורנים דהגזיזה עצמה היא המלאכה, כעורות תחשים במשכן דצריך את הגזיזה עצמה ולא את הצמר.</w:t>
      </w:r>
      <w:bookmarkEnd w:id="1881"/>
    </w:p>
    <w:bookmarkEnd w:id="1882"/>
    <w:bookmarkEnd w:id="1883"/>
    <w:p w14:paraId="0AACB6EA" w14:textId="77777777" w:rsidR="00316453" w:rsidRPr="00747170" w:rsidRDefault="00316453" w:rsidP="00747170">
      <w:pPr>
        <w:pStyle w:val="a2"/>
        <w:rPr>
          <w:rtl/>
        </w:rPr>
      </w:pPr>
      <w:r w:rsidRPr="00747170">
        <w:rPr>
          <w:rStyle w:val="afff7"/>
          <w:rtl/>
        </w:rPr>
        <w:t>ואף על פי שבהפשטה נראה בפרק כל כתבי הקדש (קי"ז) דכל שהעור אזיל לאבוד לא מחייב בפסיק רישיה כגון דשקיל ליה בברזי, התם היינו טעמא משום דאין דרך הפשטה בכך ואפילו במכוין לא מחייב כמו שפרש"י ז"ל (בד"ה דשקיל).</w:t>
      </w:r>
      <w:r w:rsidRPr="00747170">
        <w:rPr>
          <w:rtl/>
        </w:rPr>
        <w:t xml:space="preserve"> אבל בנטילת שער וצפרנים דרך נטילה בכך</w:t>
      </w:r>
      <w:r w:rsidRPr="00747170">
        <w:rPr>
          <w:rFonts w:hint="cs"/>
          <w:rtl/>
        </w:rPr>
        <w:t>.</w:t>
      </w:r>
      <w:r w:rsidRPr="00747170">
        <w:rPr>
          <w:rStyle w:val="afff7"/>
          <w:rtl/>
        </w:rPr>
        <w:t xml:space="preserve"> ונראה לומר ג"כ דהפשטה לא הואי במשכן רק לצורך העור. וא"כ עקר מלאכת הפשטה היא לצורך העור. וכל שהעור נפסד פטור.</w:t>
      </w:r>
      <w:r w:rsidRPr="00747170">
        <w:rPr>
          <w:rtl/>
        </w:rPr>
        <w:t xml:space="preserve"> אבל גזיזה היתה במשכן שלא לצורך הצמר והשער, רק לצורך העור כגון בעורות תחשים. ועל כן חייב כל שהוא לצורך גופו אף על פי שאינו צריך לשער. ומלאכה הצריכה לגופה היא ודמי לחופר גומא וצריך לגומא חייב אף על פי שאינו צריך לעפרה.</w:t>
      </w:r>
    </w:p>
    <w:p w14:paraId="1EF1E868" w14:textId="77777777" w:rsidR="00316453" w:rsidRPr="0030138D" w:rsidRDefault="00316453" w:rsidP="00747170">
      <w:pPr>
        <w:pStyle w:val="afffff5"/>
        <w:rPr>
          <w:rtl/>
        </w:rPr>
      </w:pPr>
      <w:r w:rsidRPr="0030138D">
        <w:rPr>
          <w:rtl/>
        </w:rPr>
        <w:t>חייב כמו הנוטל צפרניו כו' דבמשכן היו גוזזים כו'. ר"ל, דלא תימא דמכל מקום עכ"פ חיובא ליכא דהוי מלאכה שאינה צריכה לגופה, על זה כתב דהוי דומיא דנטילת צפורנים כו'. והטעם דמשכן כו', ר"ל דזה מיקרי צריכה לגופה, דדוקא כגון המוציא מת, דפטור לרבי שמעון כדאיתא דף צ"ג ע"ב, זה מיקרי אינה צריכה לגופה, דעיקר המלאכה הוא ההוצאה, והוא אינו צריך להוצאה כי אם להסיר המת מלפניו, אבל אין רצונו דוקא להוציא המת לרשות הרבים. וכן מכבה מיקרי מלאכה שאינה צריכה לגופה, דהא אין צריך לכביה, כי אם חס על הפתילה שלא תשרף יתר הפתילה, או הנר, או שצריך לעשות פחמים, או להבהבה, מיקרי צריכה לגופה. מה שאין כן בנטילת צפורנים, דהוי תולדה דגוזז, אין המלאכה במה שהוא צריך לצמר הנגזז, אלא הגזיזה עצמה היא המלאכה, דהא ממשכן ילפינן מלאכות שבת, ובמשכן היו גוזזים עורות התחשים אף על פי שלא היו צריכים לצמר, א"כ הגזיזה היא המלאכה, לכן אף על פי שאין צריכים לצמר, או לצפרנים, מכל מקום מיקרי צריכה לגופה, דהא צריך לגוף המלאכה דהיינו הגזיזה, והוא הדין הכא בשער:</w:t>
      </w:r>
    </w:p>
    <w:p w14:paraId="416D9681" w14:textId="77777777" w:rsidR="00316453" w:rsidRDefault="00316453" w:rsidP="00316453">
      <w:pPr>
        <w:pStyle w:val="a7"/>
        <w:rPr>
          <w:rtl/>
        </w:rPr>
      </w:pPr>
    </w:p>
    <w:p w14:paraId="24339999" w14:textId="77777777" w:rsidR="00316453" w:rsidRDefault="00316453" w:rsidP="00316453">
      <w:pPr>
        <w:pStyle w:val="afffff7"/>
        <w:rPr>
          <w:rtl/>
        </w:rPr>
      </w:pPr>
      <w:bookmarkStart w:id="1884" w:name="_Toc136620425"/>
      <w:bookmarkStart w:id="1885" w:name="_Toc163505704"/>
      <w:r>
        <w:rPr>
          <w:rtl/>
        </w:rPr>
        <w:t>דבר אברהם ח</w:t>
      </w:r>
      <w:r>
        <w:rPr>
          <w:rFonts w:hint="cs"/>
          <w:rtl/>
        </w:rPr>
        <w:t>"</w:t>
      </w:r>
      <w:r>
        <w:rPr>
          <w:rtl/>
        </w:rPr>
        <w:t>א סי</w:t>
      </w:r>
      <w:r>
        <w:rPr>
          <w:rFonts w:hint="cs"/>
          <w:rtl/>
        </w:rPr>
        <w:t>'</w:t>
      </w:r>
      <w:r>
        <w:rPr>
          <w:rtl/>
        </w:rPr>
        <w:t xml:space="preserve"> כ</w:t>
      </w:r>
      <w:r>
        <w:rPr>
          <w:rFonts w:hint="cs"/>
          <w:rtl/>
        </w:rPr>
        <w:t>"</w:t>
      </w:r>
      <w:r>
        <w:rPr>
          <w:rtl/>
        </w:rPr>
        <w:t>ד</w:t>
      </w:r>
      <w:r>
        <w:rPr>
          <w:rFonts w:hint="cs"/>
          <w:rtl/>
        </w:rPr>
        <w:t xml:space="preserve"> אות ו' ד"ה ואח"ז</w:t>
      </w:r>
      <w:bookmarkEnd w:id="1884"/>
      <w:bookmarkEnd w:id="1885"/>
    </w:p>
    <w:p w14:paraId="6A98480A" w14:textId="77777777" w:rsidR="00316453" w:rsidRPr="00286369" w:rsidRDefault="00316453" w:rsidP="00316453">
      <w:pPr>
        <w:pStyle w:val="a7"/>
        <w:rPr>
          <w:rtl/>
        </w:rPr>
      </w:pPr>
      <w:bookmarkStart w:id="1886" w:name="_Toc136618658"/>
      <w:r>
        <w:rPr>
          <w:rFonts w:hint="cs"/>
          <w:rtl/>
        </w:rPr>
        <w:t>בי' הדב"א דהריב"ש ס"ל כרמב"ן ובי' הגרא"ז דנח' בסברא אי היה במשכן או דזה גוף המלאכה</w:t>
      </w:r>
      <w:bookmarkEnd w:id="1886"/>
    </w:p>
    <w:p w14:paraId="6F109015" w14:textId="1EB58264" w:rsidR="00316453" w:rsidRPr="00DE6AC4" w:rsidRDefault="00316453" w:rsidP="00BC7DC8">
      <w:pPr>
        <w:pStyle w:val="a3"/>
        <w:rPr>
          <w:rtl/>
        </w:rPr>
      </w:pPr>
      <w:bookmarkStart w:id="1887" w:name="_Ref136474515"/>
      <w:r>
        <w:rPr>
          <w:rFonts w:hint="cs"/>
          <w:rtl/>
        </w:rPr>
        <w:t xml:space="preserve">וכתב </w:t>
      </w:r>
      <w:r w:rsidRPr="006E0441">
        <w:rPr>
          <w:rStyle w:val="aff4"/>
          <w:rFonts w:hint="cs"/>
          <w:vanish/>
          <w:rtl/>
        </w:rPr>
        <w:t>-</w:t>
      </w:r>
      <w:r w:rsidRPr="0085567C">
        <w:rPr>
          <w:rStyle w:val="aff4"/>
          <w:rFonts w:hint="cs"/>
          <w:rtl/>
        </w:rPr>
        <w:t>ה</w:t>
      </w:r>
      <w:r w:rsidRPr="006E0441">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Ref136474515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יב)</w:t>
      </w:r>
      <w:r>
        <w:rPr>
          <w:rStyle w:val="aff4"/>
          <w:vanish/>
          <w:rtl/>
        </w:rPr>
        <w:fldChar w:fldCharType="end"/>
      </w:r>
      <w:r w:rsidRPr="006E0441">
        <w:rPr>
          <w:rStyle w:val="aff4"/>
          <w:rFonts w:hint="cs"/>
          <w:vanish/>
          <w:rtl/>
        </w:rPr>
        <w:t xml:space="preserve"> &gt;</w:t>
      </w:r>
      <w:r w:rsidRPr="0085567C">
        <w:rPr>
          <w:rStyle w:val="aff4"/>
          <w:rFonts w:hint="cs"/>
          <w:rtl/>
        </w:rPr>
        <w:t>דבר אברהם</w:t>
      </w:r>
      <w:r w:rsidRPr="006E0441">
        <w:rPr>
          <w:rStyle w:val="aff4"/>
          <w:rFonts w:hint="cs"/>
          <w:vanish/>
          <w:rtl/>
        </w:rPr>
        <w:t>-</w:t>
      </w:r>
      <w:r>
        <w:rPr>
          <w:rFonts w:hint="cs"/>
          <w:rtl/>
        </w:rPr>
        <w:t xml:space="preserve"> </w:t>
      </w:r>
      <w:r w:rsidRPr="00D4778B">
        <w:rPr>
          <w:rStyle w:val="af2"/>
          <w:rFonts w:eastAsia="Guttman Hodes" w:hint="cs"/>
          <w:rtl/>
        </w:rPr>
        <w:t>(ח"א סי' כ"ד אות ו' ד"ה ואח"ז)</w:t>
      </w:r>
      <w:r w:rsidRPr="002A5078">
        <w:rPr>
          <w:rFonts w:hint="cs"/>
          <w:vanish/>
          <w:rtl/>
        </w:rPr>
        <w:t>=</w:t>
      </w:r>
      <w:r>
        <w:rPr>
          <w:rFonts w:hint="cs"/>
          <w:rtl/>
        </w:rPr>
        <w:t xml:space="preserve"> דס"ל </w:t>
      </w:r>
      <w:r w:rsidRPr="006E0441">
        <w:rPr>
          <w:rStyle w:val="aff4"/>
          <w:rFonts w:hint="cs"/>
          <w:vanish/>
          <w:rtl/>
        </w:rPr>
        <w:t>-</w:t>
      </w:r>
      <w:r w:rsidRPr="0085567C">
        <w:rPr>
          <w:rStyle w:val="aff4"/>
          <w:rFonts w:hint="cs"/>
          <w:rtl/>
        </w:rPr>
        <w:t>לריב"ש</w:t>
      </w:r>
      <w:r w:rsidRPr="006E0441">
        <w:rPr>
          <w:rStyle w:val="aff4"/>
          <w:rFonts w:hint="cs"/>
          <w:vanish/>
          <w:rtl/>
        </w:rPr>
        <w:t>-</w:t>
      </w:r>
      <w:r>
        <w:rPr>
          <w:rFonts w:hint="cs"/>
          <w:rtl/>
        </w:rPr>
        <w:t xml:space="preserve"> </w:t>
      </w:r>
      <w:r w:rsidRPr="00D4778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Ref136618798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יא)</w:t>
      </w:r>
      <w:r>
        <w:rPr>
          <w:rStyle w:val="af2"/>
          <w:rFonts w:eastAsia="Guttman Hodes"/>
          <w:rtl/>
        </w:rPr>
        <w:fldChar w:fldCharType="end"/>
      </w:r>
      <w:r>
        <w:rPr>
          <w:rFonts w:hint="cs"/>
          <w:rtl/>
        </w:rPr>
        <w:t xml:space="preserve"> כדעת </w:t>
      </w:r>
      <w:r w:rsidRPr="006E0441">
        <w:rPr>
          <w:rStyle w:val="aff4"/>
          <w:rFonts w:hint="cs"/>
          <w:vanish/>
          <w:rtl/>
        </w:rPr>
        <w:t>-</w:t>
      </w:r>
      <w:r w:rsidRPr="0085567C">
        <w:rPr>
          <w:rStyle w:val="aff4"/>
          <w:rFonts w:hint="cs"/>
          <w:rtl/>
        </w:rPr>
        <w:t>הרמב"ן</w:t>
      </w:r>
      <w:r w:rsidRPr="006E0441">
        <w:rPr>
          <w:rStyle w:val="aff4"/>
          <w:rFonts w:hint="cs"/>
          <w:vanish/>
          <w:rtl/>
        </w:rPr>
        <w:t>-</w:t>
      </w:r>
      <w:r>
        <w:rPr>
          <w:rFonts w:hint="cs"/>
          <w:rtl/>
        </w:rPr>
        <w:t xml:space="preserve"> </w:t>
      </w:r>
      <w:r w:rsidRPr="00D4778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Ref136618799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ז)</w:t>
      </w:r>
      <w:r>
        <w:rPr>
          <w:rStyle w:val="af2"/>
          <w:rFonts w:eastAsia="Guttman Hodes"/>
          <w:rtl/>
        </w:rPr>
        <w:fldChar w:fldCharType="end"/>
      </w:r>
      <w:r>
        <w:rPr>
          <w:rFonts w:hint="cs"/>
          <w:rtl/>
        </w:rPr>
        <w:t xml:space="preserve"> דאף שא"צ את השיער והצפורנים חשיב מלאכה הצריכה לגופה, אך כתב </w:t>
      </w:r>
      <w:r w:rsidRPr="006E0441">
        <w:rPr>
          <w:rStyle w:val="aff4"/>
          <w:rFonts w:hint="cs"/>
          <w:vanish/>
          <w:rtl/>
        </w:rPr>
        <w:t>-</w:t>
      </w:r>
      <w:r w:rsidRPr="0085567C">
        <w:rPr>
          <w:rStyle w:val="aff4"/>
          <w:rFonts w:hint="cs"/>
          <w:rtl/>
        </w:rPr>
        <w:t>ב</w:t>
      </w:r>
      <w:r w:rsidRPr="006E0441">
        <w:rPr>
          <w:rStyle w:val="aff4"/>
          <w:rFonts w:hint="cs"/>
          <w:vanish/>
          <w:rtl/>
        </w:rPr>
        <w:t>&lt; &gt;</w:t>
      </w:r>
      <w:r w:rsidRPr="0085567C">
        <w:rPr>
          <w:rStyle w:val="aff4"/>
          <w:rFonts w:hint="cs"/>
          <w:rtl/>
        </w:rPr>
        <w:t>הג' הגרא"ז לרמב"ן לקמן</w:t>
      </w:r>
      <w:r w:rsidRPr="006E0441">
        <w:rPr>
          <w:rStyle w:val="aff4"/>
          <w:rFonts w:hint="cs"/>
          <w:vanish/>
          <w:rtl/>
        </w:rPr>
        <w:t>-</w:t>
      </w:r>
      <w:r w:rsidRPr="00D0484B">
        <w:rPr>
          <w:rFonts w:hint="cs"/>
          <w:rtl/>
        </w:rPr>
        <w:t xml:space="preserve"> </w:t>
      </w:r>
      <w:r w:rsidRPr="00D4778B">
        <w:rPr>
          <w:rStyle w:val="af2"/>
          <w:rFonts w:eastAsia="Guttman Hodes" w:hint="cs"/>
          <w:rtl/>
        </w:rPr>
        <w:t>(קו. ד"ה ואין אות ב' ג')</w:t>
      </w:r>
      <w:r w:rsidRPr="00F1458B">
        <w:rPr>
          <w:rFonts w:hint="cs"/>
          <w:vanish/>
          <w:rtl/>
        </w:rPr>
        <w:t>=</w:t>
      </w:r>
      <w:r>
        <w:rPr>
          <w:rFonts w:hint="cs"/>
          <w:rtl/>
        </w:rPr>
        <w:t xml:space="preserve"> דאף דס"ל </w:t>
      </w:r>
      <w:r w:rsidRPr="006E0441">
        <w:rPr>
          <w:rStyle w:val="aff4"/>
          <w:rFonts w:hint="cs"/>
          <w:vanish/>
          <w:rtl/>
        </w:rPr>
        <w:t>-</w:t>
      </w:r>
      <w:r w:rsidRPr="0085567C">
        <w:rPr>
          <w:rStyle w:val="aff4"/>
          <w:rFonts w:hint="cs"/>
          <w:rtl/>
        </w:rPr>
        <w:t>לריב"ש</w:t>
      </w:r>
      <w:r w:rsidRPr="006E0441">
        <w:rPr>
          <w:rStyle w:val="aff4"/>
          <w:rFonts w:hint="cs"/>
          <w:vanish/>
          <w:rtl/>
        </w:rPr>
        <w:t>-</w:t>
      </w:r>
      <w:r>
        <w:rPr>
          <w:rFonts w:hint="cs"/>
          <w:rtl/>
        </w:rPr>
        <w:t xml:space="preserve"> דהוי מלאכה הצריכה לגופה, מ"מ לדעת </w:t>
      </w:r>
      <w:r w:rsidRPr="006E0441">
        <w:rPr>
          <w:rStyle w:val="aff4"/>
          <w:rFonts w:hint="cs"/>
          <w:vanish/>
          <w:rtl/>
        </w:rPr>
        <w:t>-</w:t>
      </w:r>
      <w:r w:rsidRPr="0085567C">
        <w:rPr>
          <w:rStyle w:val="aff4"/>
          <w:rFonts w:hint="cs"/>
          <w:rtl/>
        </w:rPr>
        <w:t>הריב"ש</w:t>
      </w:r>
      <w:r w:rsidRPr="006E0441">
        <w:rPr>
          <w:rStyle w:val="aff4"/>
          <w:rFonts w:hint="cs"/>
          <w:vanish/>
          <w:rtl/>
        </w:rPr>
        <w:t>-</w:t>
      </w:r>
      <w:r>
        <w:rPr>
          <w:rFonts w:hint="cs"/>
          <w:rtl/>
        </w:rPr>
        <w:t xml:space="preserve"> הוא כיון דכך היה במשכן, אבל לדעת </w:t>
      </w:r>
      <w:r w:rsidRPr="006E0441">
        <w:rPr>
          <w:rStyle w:val="aff4"/>
          <w:rFonts w:hint="cs"/>
          <w:vanish/>
          <w:rtl/>
        </w:rPr>
        <w:t>-</w:t>
      </w:r>
      <w:r w:rsidRPr="0085567C">
        <w:rPr>
          <w:rStyle w:val="aff4"/>
          <w:rFonts w:hint="cs"/>
          <w:rtl/>
        </w:rPr>
        <w:t>הרמב"ן</w:t>
      </w:r>
      <w:r w:rsidRPr="006E0441">
        <w:rPr>
          <w:rStyle w:val="aff4"/>
          <w:rFonts w:hint="cs"/>
          <w:vanish/>
          <w:rtl/>
        </w:rPr>
        <w:t>-</w:t>
      </w:r>
      <w:r>
        <w:rPr>
          <w:rFonts w:hint="cs"/>
          <w:rtl/>
        </w:rPr>
        <w:t xml:space="preserve"> </w:t>
      </w:r>
      <w:r w:rsidRPr="00D4778B">
        <w:rPr>
          <w:rStyle w:val="af2"/>
          <w:rFonts w:eastAsia="Guttman Hodes" w:hint="cs"/>
          <w:rtl/>
        </w:rPr>
        <w:t xml:space="preserve">(עי' אות </w:t>
      </w:r>
      <w:r w:rsidRPr="00D4778B">
        <w:rPr>
          <w:rStyle w:val="af2"/>
          <w:rFonts w:eastAsia="Guttman Hodes"/>
          <w:rtl/>
        </w:rPr>
        <w:fldChar w:fldCharType="begin"/>
      </w:r>
      <w:r w:rsidRPr="00D4778B">
        <w:rPr>
          <w:rStyle w:val="af2"/>
          <w:rFonts w:eastAsia="Guttman Hodes"/>
          <w:rtl/>
        </w:rPr>
        <w:instrText xml:space="preserve"> </w:instrText>
      </w:r>
      <w:r w:rsidRPr="00D4778B">
        <w:rPr>
          <w:rStyle w:val="af2"/>
          <w:rFonts w:eastAsia="Guttman Hodes" w:hint="cs"/>
        </w:rPr>
        <w:instrText>REF</w:instrText>
      </w:r>
      <w:r w:rsidRPr="00D4778B">
        <w:rPr>
          <w:rStyle w:val="af2"/>
          <w:rFonts w:eastAsia="Guttman Hodes" w:hint="cs"/>
          <w:rtl/>
        </w:rPr>
        <w:instrText xml:space="preserve"> _</w:instrText>
      </w:r>
      <w:r w:rsidRPr="00D4778B">
        <w:rPr>
          <w:rStyle w:val="af2"/>
          <w:rFonts w:eastAsia="Guttman Hodes" w:hint="cs"/>
        </w:rPr>
        <w:instrText>Ref135760467 \r \h</w:instrText>
      </w:r>
      <w:r w:rsidRPr="00D4778B">
        <w:rPr>
          <w:rStyle w:val="af2"/>
          <w:rFonts w:eastAsia="Guttman Hodes"/>
          <w:rtl/>
        </w:rPr>
        <w:instrText xml:space="preserve"> </w:instrText>
      </w:r>
      <w:r w:rsidRPr="00D4778B">
        <w:rPr>
          <w:rStyle w:val="af2"/>
          <w:rFonts w:eastAsia="Guttman Hodes"/>
          <w:rtl/>
        </w:rPr>
      </w:r>
      <w:r w:rsidRPr="00D4778B">
        <w:rPr>
          <w:rStyle w:val="af2"/>
          <w:rFonts w:eastAsia="Guttman Hodes"/>
          <w:rtl/>
        </w:rPr>
        <w:fldChar w:fldCharType="separate"/>
      </w:r>
      <w:r w:rsidR="00D82181">
        <w:rPr>
          <w:rStyle w:val="af2"/>
          <w:rFonts w:eastAsia="Guttman Hodes"/>
          <w:cs/>
        </w:rPr>
        <w:t>‎</w:t>
      </w:r>
      <w:r w:rsidR="00D82181">
        <w:rPr>
          <w:rStyle w:val="af2"/>
          <w:rFonts w:eastAsia="Guttman Hodes"/>
          <w:rtl/>
        </w:rPr>
        <w:t>ח)</w:t>
      </w:r>
      <w:r w:rsidRPr="00D4778B">
        <w:rPr>
          <w:rStyle w:val="af2"/>
          <w:rFonts w:eastAsia="Guttman Hodes"/>
          <w:rtl/>
        </w:rPr>
        <w:fldChar w:fldCharType="end"/>
      </w:r>
      <w:r>
        <w:rPr>
          <w:rFonts w:hint="cs"/>
          <w:rtl/>
        </w:rPr>
        <w:t xml:space="preserve"> הוא מלאכה הצריכה לגופה, כיון דהם דבר אחד, והנטילה עצמה היא המלאכה</w:t>
      </w:r>
      <w:r>
        <w:rPr>
          <w:rStyle w:val="afff0"/>
          <w:rtl/>
        </w:rPr>
        <w:footnoteReference w:id="7"/>
      </w:r>
      <w:r>
        <w:rPr>
          <w:rFonts w:hint="cs"/>
          <w:rtl/>
        </w:rPr>
        <w:t xml:space="preserve">, </w:t>
      </w:r>
      <w:r w:rsidRPr="00D4778B">
        <w:rPr>
          <w:rStyle w:val="af"/>
          <w:rFonts w:hint="cs"/>
          <w:rtl/>
        </w:rPr>
        <w:t xml:space="preserve">[ולפי"ז קצת משמע </w:t>
      </w:r>
      <w:r w:rsidRPr="00EB1A7E">
        <w:rPr>
          <w:rStyle w:val="aff9"/>
          <w:rFonts w:hint="cs"/>
          <w:vanish/>
          <w:rtl/>
        </w:rPr>
        <w:t>-</w:t>
      </w:r>
      <w:r w:rsidRPr="00D4778B">
        <w:rPr>
          <w:rStyle w:val="aff9"/>
          <w:rFonts w:hint="cs"/>
          <w:rtl/>
        </w:rPr>
        <w:t>דהריב"ש</w:t>
      </w:r>
      <w:r w:rsidRPr="00EB1A7E">
        <w:rPr>
          <w:rStyle w:val="aff9"/>
          <w:rFonts w:hint="cs"/>
          <w:vanish/>
          <w:rtl/>
        </w:rPr>
        <w:t>-</w:t>
      </w:r>
      <w:r w:rsidRPr="00D4778B">
        <w:rPr>
          <w:rStyle w:val="af"/>
          <w:rFonts w:hint="cs"/>
          <w:rtl/>
        </w:rPr>
        <w:t xml:space="preserve"> ס"ל כביאור </w:t>
      </w:r>
      <w:r w:rsidRPr="00EB1A7E">
        <w:rPr>
          <w:rStyle w:val="aff9"/>
          <w:rFonts w:hint="cs"/>
          <w:vanish/>
          <w:rtl/>
        </w:rPr>
        <w:t>-</w:t>
      </w:r>
      <w:r w:rsidRPr="00D4778B">
        <w:rPr>
          <w:rStyle w:val="aff9"/>
          <w:rFonts w:hint="cs"/>
          <w:rtl/>
        </w:rPr>
        <w:t>הבהע"מ</w:t>
      </w:r>
      <w:r w:rsidRPr="00EB1A7E">
        <w:rPr>
          <w:rStyle w:val="aff9"/>
          <w:rFonts w:hint="cs"/>
          <w:vanish/>
          <w:rtl/>
        </w:rPr>
        <w:t>-</w:t>
      </w:r>
      <w:r w:rsidRPr="00D4778B">
        <w:rPr>
          <w:rStyle w:val="af"/>
          <w:rFonts w:hint="cs"/>
          <w:rtl/>
        </w:rPr>
        <w:t xml:space="preserve"> </w:t>
      </w:r>
      <w:r w:rsidRPr="00D4778B">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Ref135731936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א)</w:t>
      </w:r>
      <w:r>
        <w:rPr>
          <w:rStyle w:val="aff0"/>
          <w:rtl/>
        </w:rPr>
        <w:fldChar w:fldCharType="end"/>
      </w:r>
      <w:r w:rsidRPr="00D4778B">
        <w:rPr>
          <w:rStyle w:val="af"/>
          <w:rFonts w:hint="cs"/>
          <w:rtl/>
        </w:rPr>
        <w:t xml:space="preserve"> דאף בבורר שא"צ את גוף המלאכה מ"מ חייב דכך היה במשכן, כדביארו </w:t>
      </w:r>
      <w:r w:rsidRPr="00EB1A7E">
        <w:rPr>
          <w:rStyle w:val="aff9"/>
          <w:rFonts w:hint="cs"/>
          <w:vanish/>
          <w:rtl/>
        </w:rPr>
        <w:t>-</w:t>
      </w:r>
      <w:r w:rsidRPr="00D4778B">
        <w:rPr>
          <w:rStyle w:val="aff9"/>
          <w:rFonts w:hint="cs"/>
          <w:rtl/>
        </w:rPr>
        <w:t>הישועות יעקב</w:t>
      </w:r>
      <w:r w:rsidRPr="00EB1A7E">
        <w:rPr>
          <w:rStyle w:val="aff9"/>
          <w:rFonts w:hint="cs"/>
          <w:vanish/>
          <w:rtl/>
        </w:rPr>
        <w:t>-</w:t>
      </w:r>
      <w:r w:rsidRPr="00D4778B">
        <w:rPr>
          <w:rStyle w:val="af"/>
          <w:rFonts w:hint="cs"/>
          <w:rtl/>
        </w:rPr>
        <w:t xml:space="preserve"> </w:t>
      </w:r>
      <w:r w:rsidRPr="00D4778B">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Ref135773031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ג)</w:t>
      </w:r>
      <w:r>
        <w:rPr>
          <w:rStyle w:val="aff0"/>
          <w:rtl/>
        </w:rPr>
        <w:fldChar w:fldCharType="end"/>
      </w:r>
      <w:r w:rsidRPr="00D4778B">
        <w:rPr>
          <w:rStyle w:val="af"/>
          <w:rFonts w:hint="cs"/>
          <w:rtl/>
        </w:rPr>
        <w:t xml:space="preserve"> </w:t>
      </w:r>
      <w:r w:rsidRPr="00EB1A7E">
        <w:rPr>
          <w:rStyle w:val="aff9"/>
          <w:rFonts w:hint="cs"/>
          <w:vanish/>
          <w:rtl/>
        </w:rPr>
        <w:t>-</w:t>
      </w:r>
      <w:r w:rsidRPr="00D4778B">
        <w:rPr>
          <w:rStyle w:val="aff9"/>
          <w:rFonts w:hint="cs"/>
          <w:rtl/>
        </w:rPr>
        <w:t>והמנחת חינוך</w:t>
      </w:r>
      <w:r w:rsidRPr="00EB1A7E">
        <w:rPr>
          <w:rStyle w:val="aff9"/>
          <w:rFonts w:hint="cs"/>
          <w:vanish/>
          <w:rtl/>
        </w:rPr>
        <w:t>-</w:t>
      </w:r>
      <w:r w:rsidRPr="00D4778B">
        <w:rPr>
          <w:rStyle w:val="af"/>
          <w:rFonts w:hint="cs"/>
          <w:rtl/>
        </w:rPr>
        <w:t xml:space="preserve"> </w:t>
      </w:r>
      <w:r w:rsidRPr="00D4778B">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Ref136618801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ב)</w:t>
      </w:r>
      <w:r>
        <w:rPr>
          <w:rStyle w:val="aff0"/>
          <w:rtl/>
        </w:rPr>
        <w:fldChar w:fldCharType="end"/>
      </w:r>
      <w:r w:rsidRPr="00D4778B">
        <w:rPr>
          <w:rStyle w:val="af"/>
          <w:rFonts w:hint="cs"/>
          <w:rtl/>
        </w:rPr>
        <w:t>]</w:t>
      </w:r>
      <w:r>
        <w:rPr>
          <w:rStyle w:val="af"/>
          <w:rFonts w:hint="cs"/>
          <w:rtl/>
        </w:rPr>
        <w:t xml:space="preserve">,  </w:t>
      </w:r>
      <w:r>
        <w:rPr>
          <w:rFonts w:hint="cs"/>
          <w:rtl/>
        </w:rPr>
        <w:t xml:space="preserve">ועי' במ"ש בזה </w:t>
      </w:r>
      <w:r w:rsidRPr="002B585D">
        <w:rPr>
          <w:rStyle w:val="aff4"/>
          <w:rFonts w:hint="cs"/>
          <w:vanish/>
          <w:rtl/>
        </w:rPr>
        <w:t>-</w:t>
      </w:r>
      <w:r w:rsidRPr="001909B2">
        <w:rPr>
          <w:rStyle w:val="aff4"/>
          <w:rFonts w:hint="cs"/>
          <w:rtl/>
        </w:rPr>
        <w:t>האגלי טל</w:t>
      </w:r>
      <w:r w:rsidRPr="002B585D">
        <w:rPr>
          <w:rStyle w:val="aff4"/>
          <w:rFonts w:hint="cs"/>
          <w:vanish/>
          <w:rtl/>
        </w:rPr>
        <w:t>-</w:t>
      </w:r>
      <w:r>
        <w:rPr>
          <w:rFonts w:hint="cs"/>
          <w:rtl/>
        </w:rPr>
        <w:t xml:space="preserve"> </w:t>
      </w:r>
      <w:r w:rsidRPr="00D55823">
        <w:rPr>
          <w:rStyle w:val="af2"/>
          <w:rFonts w:eastAsia="Guttman Hodes" w:hint="cs"/>
          <w:rtl/>
        </w:rPr>
        <w:t xml:space="preserve">(עי' אות </w:t>
      </w:r>
      <w:r w:rsidRPr="00D55823">
        <w:rPr>
          <w:rStyle w:val="af2"/>
          <w:rFonts w:eastAsia="Guttman Hodes"/>
          <w:rtl/>
        </w:rPr>
        <w:fldChar w:fldCharType="begin"/>
      </w:r>
      <w:r w:rsidRPr="00D55823">
        <w:rPr>
          <w:rStyle w:val="af2"/>
          <w:rFonts w:eastAsia="Guttman Hodes"/>
          <w:rtl/>
        </w:rPr>
        <w:instrText xml:space="preserve"> </w:instrText>
      </w:r>
      <w:r w:rsidRPr="00D55823">
        <w:rPr>
          <w:rStyle w:val="af2"/>
          <w:rFonts w:eastAsia="Guttman Hodes" w:hint="cs"/>
        </w:rPr>
        <w:instrText>REF</w:instrText>
      </w:r>
      <w:r w:rsidRPr="00D55823">
        <w:rPr>
          <w:rStyle w:val="af2"/>
          <w:rFonts w:eastAsia="Guttman Hodes" w:hint="cs"/>
          <w:rtl/>
        </w:rPr>
        <w:instrText xml:space="preserve"> _</w:instrText>
      </w:r>
      <w:r w:rsidRPr="00D55823">
        <w:rPr>
          <w:rStyle w:val="af2"/>
          <w:rFonts w:eastAsia="Guttman Hodes" w:hint="cs"/>
        </w:rPr>
        <w:instrText>Ref136274689 \r \h</w:instrText>
      </w:r>
      <w:r w:rsidRPr="00D55823">
        <w:rPr>
          <w:rStyle w:val="af2"/>
          <w:rFonts w:eastAsia="Guttman Hodes"/>
          <w:rtl/>
        </w:rPr>
        <w:instrText xml:space="preserve"> </w:instrText>
      </w:r>
      <w:r w:rsidRPr="00D55823">
        <w:rPr>
          <w:rStyle w:val="af2"/>
          <w:rFonts w:eastAsia="Guttman Hodes"/>
          <w:rtl/>
        </w:rPr>
      </w:r>
      <w:r w:rsidRPr="00D55823">
        <w:rPr>
          <w:rStyle w:val="af2"/>
          <w:rFonts w:eastAsia="Guttman Hodes"/>
          <w:rtl/>
        </w:rPr>
        <w:fldChar w:fldCharType="separate"/>
      </w:r>
      <w:r w:rsidR="00D82181">
        <w:rPr>
          <w:rStyle w:val="af2"/>
          <w:rFonts w:eastAsia="Guttman Hodes"/>
          <w:cs/>
        </w:rPr>
        <w:t>‎</w:t>
      </w:r>
      <w:r w:rsidR="00D82181">
        <w:rPr>
          <w:rStyle w:val="af2"/>
          <w:rFonts w:eastAsia="Guttman Hodes"/>
          <w:rtl/>
        </w:rPr>
        <w:t>יז)</w:t>
      </w:r>
      <w:r w:rsidRPr="00D55823">
        <w:rPr>
          <w:rStyle w:val="af2"/>
          <w:rFonts w:eastAsia="Guttman Hodes"/>
          <w:rtl/>
        </w:rPr>
        <w:fldChar w:fldCharType="end"/>
      </w:r>
      <w:r>
        <w:rPr>
          <w:rFonts w:hint="cs"/>
          <w:rtl/>
        </w:rPr>
        <w:t>.</w:t>
      </w:r>
      <w:bookmarkEnd w:id="1887"/>
    </w:p>
    <w:p w14:paraId="69745768" w14:textId="77777777" w:rsidR="00316453" w:rsidRPr="00747170" w:rsidRDefault="00316453" w:rsidP="00747170">
      <w:pPr>
        <w:pStyle w:val="a2"/>
        <w:rPr>
          <w:rtl/>
        </w:rPr>
      </w:pPr>
      <w:r w:rsidRPr="00747170">
        <w:rPr>
          <w:rtl/>
        </w:rPr>
        <w:t>ע"כ נראה לומר דהנה הריב"ש (סי' שצ"ד) מובא במג"א (סי' ש"ג ס"ק כ"ב) כתב דגוזז חייב אפילו באינו צריך לצמר לפי שהיתה גזיזה במשכן שלא לצורך הצמר והשער רק לצורך העור כגון בעורות תחשים ולכן חייב כל שהוא לצורך גופו אף על פי שאינו צריך לשער ומלאכה הצריכה לגופה היא ודמי לחופר גומא וצריך לגומא חייב אף על פי שאינו צריך לעפרה. וכדברי הריב"ש אלו כתב גם הר"ן בחי' לשבת (דף צ"ד ע"ב) בשיטת רש"י ז"ל וז"ל מחלוקת ביד אבל בכלי דברי הכל חייב פירש"י ז"ל משום גוזז שאע"פ שאינו צריך לגיזה הואיל והוא צריך ליפות עצמו בגיזה זו אף בזה חייב משום גוזז דומיא דגוזז את השלח שהוא חייב משום גוזז ואף במקום שאינה צריך לגיזה אלא שישאר העור בלא שער כדי שיהא ראוי לעיבוד עכ"ל. וכן צריך לומר לכאורה לדעת הרבה מרבוותא ז"ל כמו שיבוא לפנינו בעז"ה. ומהתימא על כל המדברים בענין זה שלא הזכירו דלאו יחידאה הוא הריב"ש בזה ואחד הוא החכם צבי (בסי' פ"ב) שהזכיר שכן דעת רוב הפוסקים ולא הראה מקומם ואכמ"ל:</w:t>
      </w:r>
    </w:p>
    <w:p w14:paraId="2F4A32A2" w14:textId="77777777" w:rsidR="00316453" w:rsidRPr="0030138D" w:rsidRDefault="00316453" w:rsidP="00747170">
      <w:pPr>
        <w:pStyle w:val="afffff5"/>
        <w:rPr>
          <w:rtl/>
        </w:rPr>
      </w:pPr>
      <w:r w:rsidRPr="0030138D">
        <w:rPr>
          <w:rtl/>
        </w:rPr>
        <w:t>אח"ז מצאתי להרמב"ן ז"ל גופיה דס"ל להדיא כהריב"ש והוא בחי' הרמב"ן שבת (דף ק"ו) וז"ל דמילה ודאי מלאכה הצריכה לגופה הוא שהוא צריך שיהא אדם זה מהול ומה דומה לזה הנוטל צפרנים בכלי וכן שפמו שהוא חייב משום תולדה דגוזז ואף על פי שאינו צריך לגוף הצפרנים והשיער מלאכה הצריכה לגופה נקראת כו', וכתב עוד שם וז"ל וכבר רמזתי לגוזז ונוטל שערו וצפרנו בין לתקן גופו ולייפות עצמו ובין לצורך השער והגיזה כולן מלאכה הצריכה לגופה היא עכ"ל, ומן התימא על המג"א סי' ש"מ שלא הזכיר שכן היא גם שי' הרמב"ן:</w:t>
      </w:r>
    </w:p>
    <w:p w14:paraId="4C854260" w14:textId="45797BBE" w:rsidR="00316453" w:rsidRDefault="00316453" w:rsidP="00316453">
      <w:pPr>
        <w:pStyle w:val="affff5"/>
        <w:rPr>
          <w:rtl/>
        </w:rPr>
      </w:pPr>
      <w:bookmarkStart w:id="1888" w:name="_Toc136618659"/>
      <w:r>
        <w:rPr>
          <w:rFonts w:hint="cs"/>
          <w:rtl/>
        </w:rPr>
        <w:t>אי המלאכה בפסולת או בתיקון האוכל</w:t>
      </w:r>
      <w:bookmarkEnd w:id="1888"/>
    </w:p>
    <w:p w14:paraId="2F502854" w14:textId="77777777" w:rsidR="00316453" w:rsidRPr="004D4A3C" w:rsidRDefault="00316453" w:rsidP="00316453">
      <w:pPr>
        <w:pStyle w:val="1"/>
        <w:rPr>
          <w:rtl/>
        </w:rPr>
      </w:pPr>
      <w:bookmarkStart w:id="1889" w:name="_Toc136618660"/>
      <w:r>
        <w:rPr>
          <w:rFonts w:hint="cs"/>
          <w:rtl/>
        </w:rPr>
        <w:t>בי' האגל"ט בבעה"מ וברמב"ן דבזורה ובורר המלאכה בפסולת</w:t>
      </w:r>
      <w:bookmarkEnd w:id="1889"/>
    </w:p>
    <w:p w14:paraId="3127F4FC" w14:textId="77777777" w:rsidR="00316453" w:rsidRDefault="00316453" w:rsidP="00316453">
      <w:pPr>
        <w:pStyle w:val="afffff7"/>
        <w:rPr>
          <w:rtl/>
        </w:rPr>
      </w:pPr>
      <w:bookmarkStart w:id="1890" w:name="_Toc136620426"/>
      <w:bookmarkStart w:id="1891" w:name="_Toc163505705"/>
      <w:r w:rsidRPr="005D0910">
        <w:rPr>
          <w:rtl/>
        </w:rPr>
        <w:t xml:space="preserve">אגלי טל זורה </w:t>
      </w:r>
      <w:r>
        <w:rPr>
          <w:rFonts w:hint="cs"/>
          <w:rtl/>
        </w:rPr>
        <w:t>סק"א אות ו'</w:t>
      </w:r>
      <w:bookmarkEnd w:id="1890"/>
      <w:bookmarkEnd w:id="1891"/>
    </w:p>
    <w:p w14:paraId="64EE328C" w14:textId="77777777" w:rsidR="00316453" w:rsidRDefault="00316453" w:rsidP="00316453">
      <w:pPr>
        <w:pStyle w:val="a7"/>
        <w:rPr>
          <w:rtl/>
        </w:rPr>
      </w:pPr>
      <w:bookmarkStart w:id="1892" w:name="_Toc136618661"/>
      <w:r>
        <w:rPr>
          <w:rFonts w:hint="cs"/>
          <w:rtl/>
        </w:rPr>
        <w:t>בי' האגל"ט בבעה"מ דעצם מלאכת זורה ובורר היא בפסולת ולא באוכל והוא דעת יחידאה</w:t>
      </w:r>
      <w:bookmarkEnd w:id="1892"/>
    </w:p>
    <w:p w14:paraId="21161E3F" w14:textId="1E9D9F80" w:rsidR="00316453" w:rsidRPr="00BA3C13" w:rsidRDefault="00316453" w:rsidP="00BC7DC8">
      <w:pPr>
        <w:pStyle w:val="a3"/>
        <w:rPr>
          <w:rtl/>
        </w:rPr>
      </w:pPr>
      <w:bookmarkStart w:id="1893" w:name="_Ref135759377"/>
      <w:r>
        <w:rPr>
          <w:rFonts w:hint="cs"/>
          <w:rtl/>
        </w:rPr>
        <w:t xml:space="preserve">במ"ש </w:t>
      </w:r>
      <w:r w:rsidRPr="00F1458B">
        <w:rPr>
          <w:rStyle w:val="aff4"/>
          <w:rFonts w:hint="cs"/>
          <w:vanish/>
          <w:rtl/>
        </w:rPr>
        <w:t>-</w:t>
      </w:r>
      <w:r w:rsidRPr="00C86935">
        <w:rPr>
          <w:rStyle w:val="aff4"/>
          <w:rFonts w:hint="cs"/>
          <w:rtl/>
        </w:rPr>
        <w:t>הבעה"מ לקמן</w:t>
      </w:r>
      <w:r w:rsidRPr="00F1458B">
        <w:rPr>
          <w:rStyle w:val="aff4"/>
          <w:rFonts w:hint="cs"/>
          <w:vanish/>
          <w:rtl/>
        </w:rPr>
        <w:t>-</w:t>
      </w:r>
      <w:r>
        <w:rPr>
          <w:rFonts w:hint="cs"/>
          <w:rtl/>
        </w:rPr>
        <w:t xml:space="preserve"> </w:t>
      </w:r>
      <w:r w:rsidRPr="00D4778B">
        <w:rPr>
          <w:rStyle w:val="af2"/>
          <w:rFonts w:eastAsia="Guttman Hodes" w:hint="cs"/>
          <w:rtl/>
        </w:rPr>
        <w:t xml:space="preserve">(עי' אות </w:t>
      </w:r>
      <w:r w:rsidRPr="00D4778B">
        <w:rPr>
          <w:rStyle w:val="af2"/>
          <w:rFonts w:eastAsia="Guttman Hodes"/>
          <w:rtl/>
        </w:rPr>
        <w:fldChar w:fldCharType="begin"/>
      </w:r>
      <w:r w:rsidRPr="00D4778B">
        <w:rPr>
          <w:rStyle w:val="af2"/>
          <w:rFonts w:eastAsia="Guttman Hodes"/>
          <w:rtl/>
        </w:rPr>
        <w:instrText xml:space="preserve"> </w:instrText>
      </w:r>
      <w:r w:rsidRPr="00D4778B">
        <w:rPr>
          <w:rStyle w:val="af2"/>
          <w:rFonts w:eastAsia="Guttman Hodes" w:hint="cs"/>
        </w:rPr>
        <w:instrText>REF</w:instrText>
      </w:r>
      <w:r w:rsidRPr="00D4778B">
        <w:rPr>
          <w:rStyle w:val="af2"/>
          <w:rFonts w:eastAsia="Guttman Hodes" w:hint="cs"/>
          <w:rtl/>
        </w:rPr>
        <w:instrText xml:space="preserve"> _</w:instrText>
      </w:r>
      <w:r w:rsidRPr="00D4778B">
        <w:rPr>
          <w:rStyle w:val="af2"/>
          <w:rFonts w:eastAsia="Guttman Hodes" w:hint="cs"/>
        </w:rPr>
        <w:instrText>Ref135731936 \r \h</w:instrText>
      </w:r>
      <w:r w:rsidRPr="00D4778B">
        <w:rPr>
          <w:rStyle w:val="af2"/>
          <w:rFonts w:eastAsia="Guttman Hodes"/>
          <w:rtl/>
        </w:rPr>
        <w:instrText xml:space="preserve">  \* </w:instrText>
      </w:r>
      <w:r w:rsidRPr="00D4778B">
        <w:rPr>
          <w:rStyle w:val="af2"/>
          <w:rFonts w:eastAsia="Guttman Hodes"/>
        </w:rPr>
        <w:instrText>MERGEFORMAT</w:instrText>
      </w:r>
      <w:r w:rsidRPr="00D4778B">
        <w:rPr>
          <w:rStyle w:val="af2"/>
          <w:rFonts w:eastAsia="Guttman Hodes"/>
          <w:rtl/>
        </w:rPr>
        <w:instrText xml:space="preserve"> </w:instrText>
      </w:r>
      <w:r w:rsidRPr="00D4778B">
        <w:rPr>
          <w:rStyle w:val="af2"/>
          <w:rFonts w:eastAsia="Guttman Hodes"/>
          <w:rtl/>
        </w:rPr>
      </w:r>
      <w:r w:rsidRPr="00D4778B">
        <w:rPr>
          <w:rStyle w:val="af2"/>
          <w:rFonts w:eastAsia="Guttman Hodes"/>
          <w:rtl/>
        </w:rPr>
        <w:fldChar w:fldCharType="separate"/>
      </w:r>
      <w:r w:rsidR="00D82181">
        <w:rPr>
          <w:rStyle w:val="af2"/>
          <w:rFonts w:eastAsia="Guttman Hodes"/>
          <w:cs/>
        </w:rPr>
        <w:t>‎</w:t>
      </w:r>
      <w:r w:rsidR="00D82181">
        <w:rPr>
          <w:rStyle w:val="af2"/>
          <w:rFonts w:eastAsia="Guttman Hodes"/>
          <w:rtl/>
        </w:rPr>
        <w:t>א)</w:t>
      </w:r>
      <w:r w:rsidRPr="00D4778B">
        <w:rPr>
          <w:rStyle w:val="af2"/>
          <w:rFonts w:eastAsia="Guttman Hodes"/>
          <w:rtl/>
        </w:rPr>
        <w:fldChar w:fldCharType="end"/>
      </w:r>
      <w:r w:rsidRPr="000F6D82">
        <w:rPr>
          <w:rFonts w:hint="cs"/>
          <w:rtl/>
        </w:rPr>
        <w:t xml:space="preserve"> </w:t>
      </w:r>
      <w:r>
        <w:rPr>
          <w:rFonts w:hint="cs"/>
          <w:rtl/>
        </w:rPr>
        <w:t xml:space="preserve">דזורה ובורר ומרקד הם מלאכה שא"צ לגופה, כתב </w:t>
      </w:r>
      <w:r w:rsidRPr="00F1458B">
        <w:rPr>
          <w:rStyle w:val="aff4"/>
          <w:rFonts w:hint="cs"/>
          <w:vanish/>
          <w:rtl/>
        </w:rPr>
        <w:t>-</w:t>
      </w:r>
      <w:r w:rsidRPr="00C86935">
        <w:rPr>
          <w:rStyle w:val="aff4"/>
          <w:rFonts w:hint="cs"/>
          <w:rtl/>
        </w:rPr>
        <w:t>ה</w:t>
      </w:r>
      <w:r w:rsidRPr="00F1458B">
        <w:rPr>
          <w:rStyle w:val="aff4"/>
          <w:rFonts w:hint="cs"/>
          <w:vanish/>
          <w:rtl/>
        </w:rPr>
        <w:t xml:space="preserve">&lt;. </w:t>
      </w:r>
      <w:r w:rsidRPr="00F1458B">
        <w:rPr>
          <w:rStyle w:val="aff4"/>
          <w:vanish/>
          <w:rtl/>
        </w:rPr>
        <w:fldChar w:fldCharType="begin"/>
      </w:r>
      <w:r w:rsidRPr="00F1458B">
        <w:rPr>
          <w:rStyle w:val="aff4"/>
          <w:vanish/>
          <w:rtl/>
        </w:rPr>
        <w:instrText xml:space="preserve"> </w:instrText>
      </w:r>
      <w:r w:rsidRPr="00F1458B">
        <w:rPr>
          <w:rStyle w:val="aff4"/>
          <w:rFonts w:hint="cs"/>
          <w:vanish/>
        </w:rPr>
        <w:instrText>REF</w:instrText>
      </w:r>
      <w:r w:rsidRPr="00F1458B">
        <w:rPr>
          <w:rStyle w:val="aff4"/>
          <w:rFonts w:hint="cs"/>
          <w:vanish/>
          <w:rtl/>
        </w:rPr>
        <w:instrText xml:space="preserve"> _</w:instrText>
      </w:r>
      <w:r w:rsidRPr="00F1458B">
        <w:rPr>
          <w:rStyle w:val="aff4"/>
          <w:rFonts w:hint="cs"/>
          <w:vanish/>
        </w:rPr>
        <w:instrText>Ref135759377 \r \h</w:instrText>
      </w:r>
      <w:r w:rsidRPr="00F1458B">
        <w:rPr>
          <w:rStyle w:val="aff4"/>
          <w:vanish/>
          <w:rtl/>
        </w:rPr>
        <w:instrText xml:space="preserve"> </w:instrText>
      </w:r>
      <w:r w:rsidRPr="00F1458B">
        <w:rPr>
          <w:rStyle w:val="aff4"/>
          <w:vanish/>
          <w:rtl/>
        </w:rPr>
      </w:r>
      <w:r w:rsidRPr="00F1458B">
        <w:rPr>
          <w:rStyle w:val="aff4"/>
          <w:vanish/>
          <w:rtl/>
        </w:rPr>
        <w:fldChar w:fldCharType="separate"/>
      </w:r>
      <w:r w:rsidR="00D82181">
        <w:rPr>
          <w:rStyle w:val="aff4"/>
          <w:vanish/>
          <w:cs/>
        </w:rPr>
        <w:t>‎</w:t>
      </w:r>
      <w:r w:rsidR="00D82181">
        <w:rPr>
          <w:rStyle w:val="aff4"/>
          <w:vanish/>
          <w:rtl/>
        </w:rPr>
        <w:t>יג)</w:t>
      </w:r>
      <w:r w:rsidRPr="00F1458B">
        <w:rPr>
          <w:rStyle w:val="aff4"/>
          <w:vanish/>
          <w:rtl/>
        </w:rPr>
        <w:fldChar w:fldCharType="end"/>
      </w:r>
      <w:r w:rsidRPr="00F1458B">
        <w:rPr>
          <w:rStyle w:val="aff4"/>
          <w:rFonts w:hint="cs"/>
          <w:vanish/>
          <w:rtl/>
        </w:rPr>
        <w:t xml:space="preserve"> &gt;</w:t>
      </w:r>
      <w:r w:rsidRPr="00C86935">
        <w:rPr>
          <w:rStyle w:val="aff4"/>
          <w:rFonts w:hint="cs"/>
          <w:rtl/>
        </w:rPr>
        <w:t>אגלי טל</w:t>
      </w:r>
      <w:r w:rsidRPr="00F1458B">
        <w:rPr>
          <w:rStyle w:val="aff4"/>
          <w:rFonts w:hint="cs"/>
          <w:vanish/>
          <w:rtl/>
        </w:rPr>
        <w:t>-</w:t>
      </w:r>
      <w:r>
        <w:rPr>
          <w:rFonts w:hint="cs"/>
          <w:rtl/>
        </w:rPr>
        <w:t xml:space="preserve"> </w:t>
      </w:r>
      <w:r w:rsidRPr="00D4778B">
        <w:rPr>
          <w:rStyle w:val="af2"/>
          <w:rFonts w:eastAsia="Guttman Hodes" w:hint="cs"/>
          <w:rtl/>
        </w:rPr>
        <w:t>(זורה סק"א אות ו')</w:t>
      </w:r>
      <w:r w:rsidRPr="00F1458B">
        <w:rPr>
          <w:rFonts w:hint="cs"/>
          <w:vanish/>
          <w:rtl/>
        </w:rPr>
        <w:t>=</w:t>
      </w:r>
      <w:r>
        <w:rPr>
          <w:rFonts w:hint="cs"/>
          <w:rtl/>
        </w:rPr>
        <w:t xml:space="preserve"> דמבואר מדברי </w:t>
      </w:r>
      <w:r w:rsidRPr="00F1458B">
        <w:rPr>
          <w:rStyle w:val="aff4"/>
          <w:rFonts w:hint="cs"/>
          <w:vanish/>
          <w:rtl/>
        </w:rPr>
        <w:t>-</w:t>
      </w:r>
      <w:r w:rsidRPr="00C86935">
        <w:rPr>
          <w:rStyle w:val="aff4"/>
          <w:rFonts w:hint="cs"/>
          <w:rtl/>
        </w:rPr>
        <w:t>הבעה"מ</w:t>
      </w:r>
      <w:r w:rsidRPr="00F1458B">
        <w:rPr>
          <w:rStyle w:val="aff4"/>
          <w:rFonts w:hint="cs"/>
          <w:vanish/>
          <w:rtl/>
        </w:rPr>
        <w:t>-</w:t>
      </w:r>
      <w:r>
        <w:rPr>
          <w:rFonts w:hint="cs"/>
          <w:rtl/>
        </w:rPr>
        <w:t xml:space="preserve"> דבמלאכות הללו בברירת אוכל מפסולת, עצם המלאכה היא בפסולת שדוחה אותה, ולכן חשיבי כמלאכה שא"צ לגופה דאין לו כל צורך בפסולת, אך כתב </w:t>
      </w:r>
      <w:r w:rsidRPr="00F1458B">
        <w:rPr>
          <w:rStyle w:val="aff4"/>
          <w:rFonts w:hint="cs"/>
          <w:vanish/>
          <w:rtl/>
        </w:rPr>
        <w:t>-</w:t>
      </w:r>
      <w:r w:rsidRPr="00C86935">
        <w:rPr>
          <w:rStyle w:val="aff4"/>
          <w:rFonts w:hint="cs"/>
          <w:rtl/>
        </w:rPr>
        <w:t>האגלי טל</w:t>
      </w:r>
      <w:r w:rsidRPr="00F1458B">
        <w:rPr>
          <w:rStyle w:val="aff4"/>
          <w:rFonts w:hint="cs"/>
          <w:vanish/>
          <w:rtl/>
        </w:rPr>
        <w:t>-</w:t>
      </w:r>
      <w:r>
        <w:rPr>
          <w:rFonts w:hint="cs"/>
          <w:rtl/>
        </w:rPr>
        <w:t xml:space="preserve"> דדברי </w:t>
      </w:r>
      <w:r w:rsidRPr="00F1458B">
        <w:rPr>
          <w:rStyle w:val="aff4"/>
          <w:rFonts w:hint="cs"/>
          <w:vanish/>
          <w:rtl/>
        </w:rPr>
        <w:t>-</w:t>
      </w:r>
      <w:r w:rsidRPr="00C86935">
        <w:rPr>
          <w:rStyle w:val="aff4"/>
          <w:rFonts w:hint="cs"/>
          <w:rtl/>
        </w:rPr>
        <w:t>הבעה"מ</w:t>
      </w:r>
      <w:r w:rsidRPr="00F1458B">
        <w:rPr>
          <w:rStyle w:val="aff4"/>
          <w:rFonts w:hint="cs"/>
          <w:vanish/>
          <w:rtl/>
        </w:rPr>
        <w:t>-</w:t>
      </w:r>
      <w:r>
        <w:rPr>
          <w:rFonts w:hint="cs"/>
          <w:rtl/>
        </w:rPr>
        <w:t xml:space="preserve"> מחודשים מאוד והוא דעת יחיד.</w:t>
      </w:r>
      <w:bookmarkEnd w:id="1893"/>
    </w:p>
    <w:p w14:paraId="68931440" w14:textId="77777777" w:rsidR="00316453" w:rsidRPr="00747170" w:rsidRDefault="00316453" w:rsidP="00747170">
      <w:pPr>
        <w:pStyle w:val="a2"/>
        <w:rPr>
          <w:rtl/>
        </w:rPr>
      </w:pPr>
      <w:r w:rsidRPr="00747170">
        <w:rPr>
          <w:rtl/>
        </w:rPr>
        <w:t>(ו) אבל בעה"מ בפ' האורג כתב וז"ל כל ל"ט מלאכות שבמשכן כולן הי' בהם צורך לגופן חוץ מן הזורה והבורר שהוא זורה המוץ מן הגורן ובורר הצרורות מן הכרי וזה עיקר מלאכתן לדחות המוץ והצרורות וכן חייב עליהן ועל כל תולדה שלהן עכ"ל. ומבואר דס"ל דמלאכת בורר פסולת מאוכל המלאכה הוא בפסולת הנדחה ע"כ חשוב אינו צריך לגופן שהרי אינו צריך להפסולת. דאי כדעת הירושלמי דהמלאכה הוא באוכל שהוברר א"כ צריכה לגופה היא. אלא ודאי המלאכה היא בפסולת הנדחה. ובאמת דברי בעה"מ אלה הם חידוש גדול שנשתנה דין זורה ובורר משאר מלאכות והוא דעת יחידית.</w:t>
      </w:r>
    </w:p>
    <w:p w14:paraId="6D7CD262" w14:textId="33CDEE96" w:rsidR="00316453" w:rsidRDefault="00316453" w:rsidP="00316453">
      <w:pPr>
        <w:pStyle w:val="a7"/>
        <w:rPr>
          <w:rtl/>
        </w:rPr>
      </w:pPr>
      <w:bookmarkStart w:id="1894" w:name="_Toc136618662"/>
      <w:r>
        <w:rPr>
          <w:rFonts w:hint="cs"/>
          <w:rtl/>
        </w:rPr>
        <w:t>בי' האגל"ט דאף לרמב"ן בזורה ובורר המלאכה בפסולת וצל"ג כיון שצריך את המלאכה עצמה</w:t>
      </w:r>
      <w:bookmarkEnd w:id="1894"/>
    </w:p>
    <w:p w14:paraId="689FF275" w14:textId="19D51C15" w:rsidR="00316453" w:rsidRPr="007B338A" w:rsidRDefault="00316453" w:rsidP="00BC7DC8">
      <w:pPr>
        <w:pStyle w:val="a3"/>
      </w:pPr>
      <w:bookmarkStart w:id="1895" w:name="_Ref136336170"/>
      <w:r>
        <w:rPr>
          <w:rFonts w:hint="cs"/>
          <w:rtl/>
        </w:rPr>
        <w:t xml:space="preserve">ובמ"ש </w:t>
      </w:r>
      <w:r w:rsidRPr="00F1458B">
        <w:rPr>
          <w:rStyle w:val="aff4"/>
          <w:rFonts w:hint="cs"/>
          <w:vanish/>
          <w:rtl/>
        </w:rPr>
        <w:t>-</w:t>
      </w:r>
      <w:r w:rsidRPr="00C86935">
        <w:rPr>
          <w:rStyle w:val="aff4"/>
          <w:rFonts w:hint="cs"/>
          <w:rtl/>
        </w:rPr>
        <w:t>הרמב"ן בחי' לקמן</w:t>
      </w:r>
      <w:r w:rsidRPr="00F1458B">
        <w:rPr>
          <w:rStyle w:val="aff4"/>
          <w:rFonts w:hint="cs"/>
          <w:vanish/>
          <w:rtl/>
        </w:rPr>
        <w:t>-</w:t>
      </w:r>
      <w:r>
        <w:rPr>
          <w:rFonts w:hint="cs"/>
          <w:rtl/>
        </w:rPr>
        <w:t xml:space="preserve"> </w:t>
      </w:r>
      <w:r w:rsidRPr="00D4778B">
        <w:rPr>
          <w:rStyle w:val="af2"/>
          <w:rFonts w:eastAsia="Guttman Hodes" w:hint="cs"/>
          <w:rtl/>
        </w:rPr>
        <w:t xml:space="preserve">(עי' אות </w:t>
      </w:r>
      <w:r w:rsidRPr="00D4778B">
        <w:rPr>
          <w:rStyle w:val="af2"/>
          <w:rFonts w:eastAsia="Guttman Hodes"/>
          <w:rtl/>
        </w:rPr>
        <w:fldChar w:fldCharType="begin"/>
      </w:r>
      <w:r w:rsidRPr="00D4778B">
        <w:rPr>
          <w:rStyle w:val="af2"/>
          <w:rFonts w:eastAsia="Guttman Hodes"/>
          <w:rtl/>
        </w:rPr>
        <w:instrText xml:space="preserve"> </w:instrText>
      </w:r>
      <w:r w:rsidRPr="00D4778B">
        <w:rPr>
          <w:rStyle w:val="af2"/>
          <w:rFonts w:eastAsia="Guttman Hodes" w:hint="cs"/>
        </w:rPr>
        <w:instrText>REF</w:instrText>
      </w:r>
      <w:r w:rsidRPr="00D4778B">
        <w:rPr>
          <w:rStyle w:val="af2"/>
          <w:rFonts w:eastAsia="Guttman Hodes" w:hint="cs"/>
          <w:rtl/>
        </w:rPr>
        <w:instrText xml:space="preserve"> _</w:instrText>
      </w:r>
      <w:r w:rsidRPr="00D4778B">
        <w:rPr>
          <w:rStyle w:val="af2"/>
          <w:rFonts w:eastAsia="Guttman Hodes" w:hint="cs"/>
        </w:rPr>
        <w:instrText>Ref135732507 \r \h</w:instrText>
      </w:r>
      <w:r w:rsidRPr="00D4778B">
        <w:rPr>
          <w:rStyle w:val="af2"/>
          <w:rFonts w:eastAsia="Guttman Hodes"/>
          <w:rtl/>
        </w:rPr>
        <w:instrText xml:space="preserve"> </w:instrText>
      </w:r>
      <w:r w:rsidRPr="00D4778B">
        <w:rPr>
          <w:rStyle w:val="af2"/>
          <w:rFonts w:eastAsia="Guttman Hodes"/>
          <w:rtl/>
        </w:rPr>
      </w:r>
      <w:r w:rsidRPr="00D4778B">
        <w:rPr>
          <w:rStyle w:val="af2"/>
          <w:rFonts w:eastAsia="Guttman Hodes"/>
          <w:rtl/>
        </w:rPr>
        <w:fldChar w:fldCharType="separate"/>
      </w:r>
      <w:r w:rsidR="00D82181">
        <w:rPr>
          <w:rStyle w:val="af2"/>
          <w:rFonts w:eastAsia="Guttman Hodes"/>
          <w:cs/>
        </w:rPr>
        <w:t>‎</w:t>
      </w:r>
      <w:r w:rsidR="00D82181">
        <w:rPr>
          <w:rStyle w:val="af2"/>
          <w:rFonts w:eastAsia="Guttman Hodes"/>
          <w:rtl/>
        </w:rPr>
        <w:t>כח)</w:t>
      </w:r>
      <w:r w:rsidRPr="00D4778B">
        <w:rPr>
          <w:rStyle w:val="af2"/>
          <w:rFonts w:eastAsia="Guttman Hodes"/>
          <w:rtl/>
        </w:rPr>
        <w:fldChar w:fldCharType="end"/>
      </w:r>
      <w:r w:rsidRPr="00D0484B">
        <w:rPr>
          <w:rFonts w:hint="cs"/>
          <w:rtl/>
        </w:rPr>
        <w:t xml:space="preserve"> </w:t>
      </w:r>
      <w:r>
        <w:rPr>
          <w:rFonts w:hint="cs"/>
          <w:rtl/>
        </w:rPr>
        <w:t xml:space="preserve">דזורה ובורר ומרקד הם מלאכה לצורך גופה, כנוטל צפורניו ושפמו דחייב משום גוזז, אף שאין לו צורך בצפורנים ובשיער, כתב </w:t>
      </w:r>
      <w:r w:rsidRPr="00F1458B">
        <w:rPr>
          <w:rStyle w:val="aff4"/>
          <w:rFonts w:hint="cs"/>
          <w:vanish/>
          <w:rtl/>
        </w:rPr>
        <w:t>-</w:t>
      </w:r>
      <w:r w:rsidRPr="00C86935">
        <w:rPr>
          <w:rStyle w:val="aff4"/>
          <w:rFonts w:hint="cs"/>
          <w:rtl/>
        </w:rPr>
        <w:t>האגלי טל</w:t>
      </w:r>
      <w:r w:rsidRPr="00F1458B">
        <w:rPr>
          <w:rStyle w:val="aff4"/>
          <w:rFonts w:hint="cs"/>
          <w:vanish/>
          <w:rtl/>
        </w:rPr>
        <w:t>-</w:t>
      </w:r>
      <w:r>
        <w:rPr>
          <w:rFonts w:hint="cs"/>
          <w:rtl/>
        </w:rPr>
        <w:t xml:space="preserve"> דמבואר דאף לדעת </w:t>
      </w:r>
      <w:r w:rsidRPr="00F1458B">
        <w:rPr>
          <w:rStyle w:val="aff4"/>
          <w:rFonts w:hint="cs"/>
          <w:vanish/>
          <w:rtl/>
        </w:rPr>
        <w:t>-</w:t>
      </w:r>
      <w:r w:rsidRPr="00C86935">
        <w:rPr>
          <w:rStyle w:val="aff4"/>
          <w:rFonts w:hint="cs"/>
          <w:rtl/>
        </w:rPr>
        <w:t>הרמב"ן</w:t>
      </w:r>
      <w:r w:rsidRPr="00F1458B">
        <w:rPr>
          <w:rStyle w:val="aff4"/>
          <w:rFonts w:hint="cs"/>
          <w:vanish/>
          <w:rtl/>
        </w:rPr>
        <w:t>-</w:t>
      </w:r>
      <w:r>
        <w:rPr>
          <w:rFonts w:hint="cs"/>
          <w:rtl/>
        </w:rPr>
        <w:t xml:space="preserve"> המלאכה היא בפסולת עצמה, ולא באוכל, אלא דמ"מ ס"ל </w:t>
      </w:r>
      <w:r w:rsidRPr="00F1458B">
        <w:rPr>
          <w:rStyle w:val="aff4"/>
          <w:rFonts w:hint="cs"/>
          <w:vanish/>
          <w:rtl/>
        </w:rPr>
        <w:t>-</w:t>
      </w:r>
      <w:r w:rsidRPr="00C86935">
        <w:rPr>
          <w:rStyle w:val="aff4"/>
          <w:rFonts w:hint="cs"/>
          <w:rtl/>
        </w:rPr>
        <w:t>להרמב"ן</w:t>
      </w:r>
      <w:r w:rsidRPr="00F1458B">
        <w:rPr>
          <w:rStyle w:val="aff4"/>
          <w:rFonts w:hint="cs"/>
          <w:vanish/>
          <w:rtl/>
        </w:rPr>
        <w:t>-</w:t>
      </w:r>
      <w:r>
        <w:rPr>
          <w:rFonts w:hint="cs"/>
          <w:rtl/>
        </w:rPr>
        <w:t xml:space="preserve"> דחשיב מלאכה הצריכה לגופה כיון שיש בה תיקון, והוא צריך את המלאכה עצמה, ולכן אף שבזורה המלאכה היא בפסולת והתיקון הוא בכרי, מ"מ חשיב צריכה לגופה כנוטל צפורנים דהמלאכה היא בצפורנים והתיקון הוא באדם, כיון שיש לו צורך בגזיזה עצמה,</w:t>
      </w:r>
      <w:r w:rsidRPr="006160DF">
        <w:rPr>
          <w:rFonts w:hint="cs"/>
          <w:rtl/>
        </w:rPr>
        <w:t xml:space="preserve"> </w:t>
      </w:r>
      <w:r>
        <w:rPr>
          <w:rFonts w:hint="cs"/>
          <w:rtl/>
        </w:rPr>
        <w:t xml:space="preserve">וכתב </w:t>
      </w:r>
      <w:r w:rsidRPr="00F1458B">
        <w:rPr>
          <w:rStyle w:val="aff4"/>
          <w:rFonts w:hint="cs"/>
          <w:vanish/>
          <w:rtl/>
        </w:rPr>
        <w:t>-</w:t>
      </w:r>
      <w:r w:rsidRPr="00C86935">
        <w:rPr>
          <w:rStyle w:val="aff4"/>
          <w:rFonts w:hint="cs"/>
          <w:rtl/>
        </w:rPr>
        <w:t>האגלי טל</w:t>
      </w:r>
      <w:r w:rsidRPr="00F1458B">
        <w:rPr>
          <w:rStyle w:val="aff4"/>
          <w:rFonts w:hint="cs"/>
          <w:vanish/>
          <w:rtl/>
        </w:rPr>
        <w:t>-</w:t>
      </w:r>
      <w:r>
        <w:rPr>
          <w:rFonts w:hint="cs"/>
          <w:rtl/>
        </w:rPr>
        <w:t xml:space="preserve"> דכן מבואר בהמשך דברי </w:t>
      </w:r>
      <w:r w:rsidRPr="00F1458B">
        <w:rPr>
          <w:rStyle w:val="aff4"/>
          <w:rFonts w:hint="cs"/>
          <w:vanish/>
          <w:rtl/>
        </w:rPr>
        <w:t>-</w:t>
      </w:r>
      <w:r w:rsidRPr="00C86935">
        <w:rPr>
          <w:rStyle w:val="aff4"/>
          <w:rFonts w:hint="cs"/>
          <w:rtl/>
        </w:rPr>
        <w:t>הרמב"ן לקמן</w:t>
      </w:r>
      <w:r w:rsidRPr="00F1458B">
        <w:rPr>
          <w:rStyle w:val="aff4"/>
          <w:rFonts w:hint="cs"/>
          <w:vanish/>
          <w:rtl/>
        </w:rPr>
        <w:t>-</w:t>
      </w:r>
      <w:r>
        <w:rPr>
          <w:rFonts w:hint="cs"/>
          <w:rtl/>
        </w:rPr>
        <w:t xml:space="preserve"> </w:t>
      </w:r>
      <w:r w:rsidRPr="00D4778B">
        <w:rPr>
          <w:rStyle w:val="af2"/>
          <w:rFonts w:eastAsia="Guttman Hodes" w:hint="cs"/>
          <w:rtl/>
        </w:rPr>
        <w:t xml:space="preserve">(עי' אות </w:t>
      </w:r>
      <w:r w:rsidRPr="00D4778B">
        <w:rPr>
          <w:rStyle w:val="af2"/>
          <w:rFonts w:eastAsia="Guttman Hodes"/>
          <w:rtl/>
        </w:rPr>
        <w:fldChar w:fldCharType="begin"/>
      </w:r>
      <w:r w:rsidRPr="00D4778B">
        <w:rPr>
          <w:rStyle w:val="af2"/>
          <w:rFonts w:eastAsia="Guttman Hodes"/>
          <w:rtl/>
        </w:rPr>
        <w:instrText xml:space="preserve"> </w:instrText>
      </w:r>
      <w:r w:rsidRPr="00D4778B">
        <w:rPr>
          <w:rStyle w:val="af2"/>
          <w:rFonts w:eastAsia="Guttman Hodes" w:hint="cs"/>
        </w:rPr>
        <w:instrText>REF</w:instrText>
      </w:r>
      <w:r w:rsidRPr="00D4778B">
        <w:rPr>
          <w:rStyle w:val="af2"/>
          <w:rFonts w:eastAsia="Guttman Hodes" w:hint="cs"/>
          <w:rtl/>
        </w:rPr>
        <w:instrText xml:space="preserve"> _</w:instrText>
      </w:r>
      <w:r w:rsidRPr="00D4778B">
        <w:rPr>
          <w:rStyle w:val="af2"/>
          <w:rFonts w:eastAsia="Guttman Hodes" w:hint="cs"/>
        </w:rPr>
        <w:instrText>Ref135760467 \r \h</w:instrText>
      </w:r>
      <w:r w:rsidRPr="00D4778B">
        <w:rPr>
          <w:rStyle w:val="af2"/>
          <w:rFonts w:eastAsia="Guttman Hodes"/>
          <w:rtl/>
        </w:rPr>
        <w:instrText xml:space="preserve"> </w:instrText>
      </w:r>
      <w:r w:rsidRPr="00D4778B">
        <w:rPr>
          <w:rStyle w:val="af2"/>
          <w:rFonts w:eastAsia="Guttman Hodes"/>
          <w:rtl/>
        </w:rPr>
      </w:r>
      <w:r w:rsidRPr="00D4778B">
        <w:rPr>
          <w:rStyle w:val="af2"/>
          <w:rFonts w:eastAsia="Guttman Hodes"/>
          <w:rtl/>
        </w:rPr>
        <w:fldChar w:fldCharType="separate"/>
      </w:r>
      <w:r w:rsidR="00D82181">
        <w:rPr>
          <w:rStyle w:val="af2"/>
          <w:rFonts w:eastAsia="Guttman Hodes"/>
          <w:cs/>
        </w:rPr>
        <w:t>‎</w:t>
      </w:r>
      <w:r w:rsidR="00D82181">
        <w:rPr>
          <w:rStyle w:val="af2"/>
          <w:rFonts w:eastAsia="Guttman Hodes"/>
          <w:rtl/>
        </w:rPr>
        <w:t>ח)</w:t>
      </w:r>
      <w:r w:rsidRPr="00D4778B">
        <w:rPr>
          <w:rStyle w:val="af2"/>
          <w:rFonts w:eastAsia="Guttman Hodes"/>
          <w:rtl/>
        </w:rPr>
        <w:fldChar w:fldCharType="end"/>
      </w:r>
      <w:r>
        <w:rPr>
          <w:rFonts w:hint="cs"/>
          <w:rtl/>
        </w:rPr>
        <w:t xml:space="preserve"> דכתב דבגוזז ונוטל שערו וצפורניו דבין לתקן גופו, ובין לצורך השיער והגיזה, הוא מלאכה הצריכה לגופה, כיון דהנטילה עצמה היא המלאכה, ומבואר דכל שיש לו צורך במעשה המלאכה עצמו, חשיב כמלאכה הצריכה לגופה.</w:t>
      </w:r>
      <w:bookmarkEnd w:id="1895"/>
    </w:p>
    <w:p w14:paraId="5B257241" w14:textId="77777777" w:rsidR="00316453" w:rsidRPr="00747170" w:rsidRDefault="00316453" w:rsidP="00747170">
      <w:pPr>
        <w:pStyle w:val="a2"/>
        <w:rPr>
          <w:rtl/>
        </w:rPr>
      </w:pPr>
      <w:r w:rsidRPr="00747170">
        <w:rPr>
          <w:rtl/>
        </w:rPr>
        <w:t>אך ראיתי לרמב"ן שם [קו א] בחידושיו וז"ל. הנוטל צפרנים בכלי וכן שפמו שהוא חייב משום תולדה דגוזז אעפ"י שאינו צריך לגוף הצפרנים והשיער מלאכה צריכה לגופה נקראת וכן הזורה והבורר ומאן דשקיל אקופי מגלימא עכ"ל. והנה מבואר שגם הרמב"ן סובר זורה ובורר המלאכה היא בפסולת אלא דמ"מ חשוב צריך לגופה אף שהמלאכה הוא בפסולת והתיקון הוא בכרי דומיא דנוטל צפרנים וכו' דאף שהגזיזה הוא בהצפרנים ושיער והתיקון הוא באדם. חשוב צריך לגופה. כיון דמ"מ צריך לגזיזה</w:t>
      </w:r>
      <w:r w:rsidRPr="00747170">
        <w:rPr>
          <w:rFonts w:hint="cs"/>
          <w:rtl/>
        </w:rPr>
        <w:t>.</w:t>
      </w:r>
      <w:r w:rsidRPr="00747170">
        <w:rPr>
          <w:rtl/>
        </w:rPr>
        <w:t xml:space="preserve"> וכמ"ש עוד שם הרמב"ן וז"ל וכבר רמזתי לגוזז ונוטל שערו וצפרנו בין לתקן גופו וליפות עצמו ובין לצורך השיער והגיזה כולן מלאכה הצריכה לגופה הוא מפני שהכל דבר אחד והנטילה הוא המלאכה משא"כ בחופר גומא שהבנין בקרקע וע"ש. והוא הנקרא מלאכה.</w:t>
      </w:r>
    </w:p>
    <w:p w14:paraId="469D1C34" w14:textId="0AD190D4" w:rsidR="00316453" w:rsidRDefault="00316453" w:rsidP="00316453">
      <w:pPr>
        <w:pStyle w:val="a7"/>
      </w:pPr>
      <w:bookmarkStart w:id="1896" w:name="_Toc136618663"/>
      <w:r>
        <w:rPr>
          <w:rFonts w:hint="cs"/>
          <w:rtl/>
        </w:rPr>
        <w:t>בי' האגל"ט ברמב"ן דזורה ובורר דמו לשאר מלאכות הצריכות לגופן דצריך את גוף המלאכה</w:t>
      </w:r>
      <w:bookmarkEnd w:id="1896"/>
    </w:p>
    <w:p w14:paraId="144FC2A5" w14:textId="2206AAB2" w:rsidR="00316453" w:rsidRDefault="00316453" w:rsidP="00BC7DC8">
      <w:pPr>
        <w:pStyle w:val="a3"/>
      </w:pPr>
      <w:r>
        <w:rPr>
          <w:rFonts w:hint="cs"/>
          <w:rtl/>
        </w:rPr>
        <w:t xml:space="preserve">וכתב </w:t>
      </w:r>
      <w:r w:rsidRPr="00F1458B">
        <w:rPr>
          <w:rStyle w:val="aff4"/>
          <w:rFonts w:hint="cs"/>
          <w:vanish/>
          <w:rtl/>
        </w:rPr>
        <w:t>-</w:t>
      </w:r>
      <w:r w:rsidRPr="00C86935">
        <w:rPr>
          <w:rStyle w:val="aff4"/>
          <w:rFonts w:hint="cs"/>
          <w:rtl/>
        </w:rPr>
        <w:t>האגלי טל</w:t>
      </w:r>
      <w:r w:rsidRPr="00F1458B">
        <w:rPr>
          <w:rStyle w:val="aff4"/>
          <w:rFonts w:hint="cs"/>
          <w:vanish/>
          <w:rtl/>
        </w:rPr>
        <w:t>-</w:t>
      </w:r>
      <w:r>
        <w:rPr>
          <w:rFonts w:hint="cs"/>
          <w:rtl/>
        </w:rPr>
        <w:t xml:space="preserve"> דמבואר דלדעת </w:t>
      </w:r>
      <w:r w:rsidRPr="00F1458B">
        <w:rPr>
          <w:rStyle w:val="aff4"/>
          <w:rFonts w:hint="cs"/>
          <w:vanish/>
          <w:rtl/>
        </w:rPr>
        <w:t>-</w:t>
      </w:r>
      <w:r w:rsidRPr="00C86935">
        <w:rPr>
          <w:rStyle w:val="aff4"/>
          <w:rFonts w:hint="cs"/>
          <w:rtl/>
        </w:rPr>
        <w:t>הרמב"ן</w:t>
      </w:r>
      <w:r w:rsidRPr="00F1458B">
        <w:rPr>
          <w:rStyle w:val="aff4"/>
          <w:rFonts w:hint="cs"/>
          <w:vanish/>
          <w:rtl/>
        </w:rPr>
        <w:t>-</w:t>
      </w:r>
      <w:r>
        <w:rPr>
          <w:rFonts w:hint="cs"/>
          <w:rtl/>
        </w:rPr>
        <w:t xml:space="preserve"> </w:t>
      </w:r>
      <w:r w:rsidRPr="00D4778B">
        <w:rPr>
          <w:rStyle w:val="af2"/>
          <w:rFonts w:eastAsia="Guttman Hodes" w:hint="cs"/>
          <w:rtl/>
        </w:rPr>
        <w:t xml:space="preserve">(עי' אות </w:t>
      </w:r>
      <w:r w:rsidRPr="00D4778B">
        <w:rPr>
          <w:rStyle w:val="af2"/>
          <w:rFonts w:eastAsia="Guttman Hodes"/>
          <w:rtl/>
        </w:rPr>
        <w:fldChar w:fldCharType="begin"/>
      </w:r>
      <w:r w:rsidRPr="00D4778B">
        <w:rPr>
          <w:rStyle w:val="af2"/>
          <w:rFonts w:eastAsia="Guttman Hodes"/>
          <w:rtl/>
        </w:rPr>
        <w:instrText xml:space="preserve"> </w:instrText>
      </w:r>
      <w:r w:rsidRPr="00D4778B">
        <w:rPr>
          <w:rStyle w:val="af2"/>
          <w:rFonts w:eastAsia="Guttman Hodes" w:hint="cs"/>
        </w:rPr>
        <w:instrText>REF</w:instrText>
      </w:r>
      <w:r w:rsidRPr="00D4778B">
        <w:rPr>
          <w:rStyle w:val="af2"/>
          <w:rFonts w:eastAsia="Guttman Hodes" w:hint="cs"/>
          <w:rtl/>
        </w:rPr>
        <w:instrText xml:space="preserve"> _</w:instrText>
      </w:r>
      <w:r w:rsidRPr="00D4778B">
        <w:rPr>
          <w:rStyle w:val="af2"/>
          <w:rFonts w:eastAsia="Guttman Hodes" w:hint="cs"/>
        </w:rPr>
        <w:instrText>Ref135760481 \r \h</w:instrText>
      </w:r>
      <w:r w:rsidRPr="00D4778B">
        <w:rPr>
          <w:rStyle w:val="af2"/>
          <w:rFonts w:eastAsia="Guttman Hodes"/>
          <w:rtl/>
        </w:rPr>
        <w:instrText xml:space="preserve"> </w:instrText>
      </w:r>
      <w:r w:rsidRPr="00D4778B">
        <w:rPr>
          <w:rStyle w:val="af2"/>
          <w:rFonts w:eastAsia="Guttman Hodes"/>
          <w:rtl/>
        </w:rPr>
      </w:r>
      <w:r w:rsidRPr="00D4778B">
        <w:rPr>
          <w:rStyle w:val="af2"/>
          <w:rFonts w:eastAsia="Guttman Hodes"/>
          <w:rtl/>
        </w:rPr>
        <w:fldChar w:fldCharType="separate"/>
      </w:r>
      <w:r w:rsidR="00D82181">
        <w:rPr>
          <w:rStyle w:val="af2"/>
          <w:rFonts w:eastAsia="Guttman Hodes"/>
          <w:cs/>
        </w:rPr>
        <w:t>‎</w:t>
      </w:r>
      <w:r w:rsidR="00D82181">
        <w:rPr>
          <w:rStyle w:val="af2"/>
          <w:rFonts w:eastAsia="Guttman Hodes"/>
          <w:rtl/>
        </w:rPr>
        <w:t>ז)</w:t>
      </w:r>
      <w:r w:rsidRPr="00D4778B">
        <w:rPr>
          <w:rStyle w:val="af2"/>
          <w:rFonts w:eastAsia="Guttman Hodes"/>
          <w:rtl/>
        </w:rPr>
        <w:fldChar w:fldCharType="end"/>
      </w:r>
      <w:r>
        <w:rPr>
          <w:rFonts w:hint="cs"/>
          <w:rtl/>
        </w:rPr>
        <w:t xml:space="preserve"> א"צ לבאר כדברי </w:t>
      </w:r>
      <w:r w:rsidRPr="00F1458B">
        <w:rPr>
          <w:rStyle w:val="aff4"/>
          <w:rFonts w:hint="cs"/>
          <w:vanish/>
          <w:rtl/>
        </w:rPr>
        <w:t>-</w:t>
      </w:r>
      <w:r w:rsidRPr="00C86935">
        <w:rPr>
          <w:rStyle w:val="aff4"/>
          <w:rFonts w:hint="cs"/>
          <w:rtl/>
        </w:rPr>
        <w:t>הבעה"מ</w:t>
      </w:r>
      <w:r w:rsidRPr="00F1458B">
        <w:rPr>
          <w:rStyle w:val="aff4"/>
          <w:rFonts w:hint="cs"/>
          <w:vanish/>
          <w:rtl/>
        </w:rPr>
        <w:t>-</w:t>
      </w:r>
      <w:r>
        <w:rPr>
          <w:rFonts w:hint="cs"/>
          <w:rtl/>
        </w:rPr>
        <w:t xml:space="preserve"> </w:t>
      </w:r>
      <w:r w:rsidRPr="00D4778B">
        <w:rPr>
          <w:rStyle w:val="af2"/>
          <w:rFonts w:eastAsia="Guttman Hodes" w:hint="cs"/>
          <w:rtl/>
        </w:rPr>
        <w:t xml:space="preserve">(עי' אות </w:t>
      </w:r>
      <w:r w:rsidRPr="00D4778B">
        <w:rPr>
          <w:rStyle w:val="af2"/>
          <w:rFonts w:eastAsia="Guttman Hodes"/>
          <w:rtl/>
        </w:rPr>
        <w:fldChar w:fldCharType="begin"/>
      </w:r>
      <w:r w:rsidRPr="00D4778B">
        <w:rPr>
          <w:rStyle w:val="af2"/>
          <w:rFonts w:eastAsia="Guttman Hodes"/>
          <w:rtl/>
        </w:rPr>
        <w:instrText xml:space="preserve"> </w:instrText>
      </w:r>
      <w:r w:rsidRPr="00D4778B">
        <w:rPr>
          <w:rStyle w:val="af2"/>
          <w:rFonts w:eastAsia="Guttman Hodes" w:hint="cs"/>
        </w:rPr>
        <w:instrText>REF</w:instrText>
      </w:r>
      <w:r w:rsidRPr="00D4778B">
        <w:rPr>
          <w:rStyle w:val="af2"/>
          <w:rFonts w:eastAsia="Guttman Hodes" w:hint="cs"/>
          <w:rtl/>
        </w:rPr>
        <w:instrText xml:space="preserve"> _</w:instrText>
      </w:r>
      <w:r w:rsidRPr="00D4778B">
        <w:rPr>
          <w:rStyle w:val="af2"/>
          <w:rFonts w:eastAsia="Guttman Hodes" w:hint="cs"/>
        </w:rPr>
        <w:instrText>Ref135731936 \r \h</w:instrText>
      </w:r>
      <w:r w:rsidRPr="00D4778B">
        <w:rPr>
          <w:rStyle w:val="af2"/>
          <w:rFonts w:eastAsia="Guttman Hodes"/>
          <w:rtl/>
        </w:rPr>
        <w:instrText xml:space="preserve"> </w:instrText>
      </w:r>
      <w:r w:rsidRPr="00D4778B">
        <w:rPr>
          <w:rStyle w:val="af2"/>
          <w:rFonts w:eastAsia="Guttman Hodes"/>
          <w:rtl/>
        </w:rPr>
      </w:r>
      <w:r w:rsidRPr="00D4778B">
        <w:rPr>
          <w:rStyle w:val="af2"/>
          <w:rFonts w:eastAsia="Guttman Hodes"/>
          <w:rtl/>
        </w:rPr>
        <w:fldChar w:fldCharType="separate"/>
      </w:r>
      <w:r w:rsidR="00D82181">
        <w:rPr>
          <w:rStyle w:val="af2"/>
          <w:rFonts w:eastAsia="Guttman Hodes"/>
          <w:cs/>
        </w:rPr>
        <w:t>‎</w:t>
      </w:r>
      <w:r w:rsidR="00D82181">
        <w:rPr>
          <w:rStyle w:val="af2"/>
          <w:rFonts w:eastAsia="Guttman Hodes"/>
          <w:rtl/>
        </w:rPr>
        <w:t>א)</w:t>
      </w:r>
      <w:r w:rsidRPr="00D4778B">
        <w:rPr>
          <w:rStyle w:val="af2"/>
          <w:rFonts w:eastAsia="Guttman Hodes"/>
          <w:rtl/>
        </w:rPr>
        <w:fldChar w:fldCharType="end"/>
      </w:r>
      <w:r>
        <w:rPr>
          <w:rFonts w:hint="cs"/>
          <w:rtl/>
        </w:rPr>
        <w:t xml:space="preserve"> דזורה ובורר לא דמו לשאר מלאכות, אלא דאף דהמלאכה היא בפסולת עצמה שבורר אותה, והוא צריך את האוכל ולא את הפסולת, מ"מ חשיב מלאכה שצריכה לגופה, כיון דהמלאכה היא הברירה עצמה, ויש לו צורך במלאכה עצמה, ולא דמי לחופר גומא וצריך לעפרה, דהמלאכה היא בבניין בקרקע, ואינה בחפירה של העפר כלל.</w:t>
      </w:r>
    </w:p>
    <w:p w14:paraId="52EAFFEB" w14:textId="77777777" w:rsidR="00316453" w:rsidRPr="00747170" w:rsidRDefault="00316453" w:rsidP="00747170">
      <w:pPr>
        <w:pStyle w:val="a2"/>
        <w:rPr>
          <w:rtl/>
        </w:rPr>
      </w:pPr>
      <w:r w:rsidRPr="00747170">
        <w:rPr>
          <w:rtl/>
        </w:rPr>
        <w:lastRenderedPageBreak/>
        <w:t>ולפי"ז אין צ"ל שנשתנה דין זורה ובורר משאר מלאכות אלא דאעפ"י שהמלאכה הוא ברירת הפסולת וצריך לאוכל חשוב צריך לגופה כיון שהמלאכה היא הברירה והוא צריך לברירה ואינו דומה לחופר גומא שאין שם המלאכה בחפירה רק הבנין:</w:t>
      </w:r>
    </w:p>
    <w:p w14:paraId="1C68BB42" w14:textId="32DFA5A5" w:rsidR="00316453" w:rsidRDefault="00316453" w:rsidP="00316453">
      <w:pPr>
        <w:pStyle w:val="afffff7"/>
        <w:rPr>
          <w:rtl/>
        </w:rPr>
      </w:pPr>
      <w:bookmarkStart w:id="1897" w:name="_Toc136620427"/>
      <w:bookmarkStart w:id="1898" w:name="_Toc163505706"/>
      <w:r w:rsidRPr="00053D8B">
        <w:rPr>
          <w:rtl/>
        </w:rPr>
        <w:t xml:space="preserve">אגלי טל זורה </w:t>
      </w:r>
      <w:r w:rsidRPr="00053D8B">
        <w:rPr>
          <w:rFonts w:hint="cs"/>
          <w:rtl/>
        </w:rPr>
        <w:t>סק"א אות ו'</w:t>
      </w:r>
      <w:r>
        <w:rPr>
          <w:rFonts w:hint="cs"/>
          <w:rtl/>
        </w:rPr>
        <w:t xml:space="preserve"> בהגה</w:t>
      </w:r>
      <w:r w:rsidRPr="00AA09B4">
        <w:rPr>
          <w:rFonts w:hint="cs"/>
          <w:rtl/>
        </w:rPr>
        <w:t>"</w:t>
      </w:r>
      <w:r>
        <w:rPr>
          <w:rFonts w:hint="cs"/>
          <w:rtl/>
        </w:rPr>
        <w:t>ה</w:t>
      </w:r>
      <w:bookmarkEnd w:id="1897"/>
      <w:bookmarkEnd w:id="1898"/>
    </w:p>
    <w:p w14:paraId="78E48121" w14:textId="77777777" w:rsidR="00316453" w:rsidRDefault="00316453" w:rsidP="00316453">
      <w:pPr>
        <w:pStyle w:val="a7"/>
        <w:rPr>
          <w:rtl/>
        </w:rPr>
      </w:pPr>
      <w:bookmarkStart w:id="1899" w:name="_Toc136618664"/>
      <w:r>
        <w:rPr>
          <w:rFonts w:hint="cs"/>
          <w:rtl/>
        </w:rPr>
        <w:t>בי' האגל"ט דאפשר לדחוק ברמב"ן דמתקן בבורר באוכל עצמו וגזזו כן במשכן בתחשים כריב"ש</w:t>
      </w:r>
      <w:bookmarkEnd w:id="1899"/>
    </w:p>
    <w:p w14:paraId="713ACAFE" w14:textId="1CAC924A" w:rsidR="00316453" w:rsidRPr="00AA09B4" w:rsidRDefault="00316453" w:rsidP="00BC7DC8">
      <w:pPr>
        <w:pStyle w:val="a3"/>
        <w:rPr>
          <w:rtl/>
        </w:rPr>
      </w:pPr>
      <w:bookmarkStart w:id="1900" w:name="_Ref136274700"/>
      <w:r>
        <w:rPr>
          <w:rFonts w:hint="cs"/>
          <w:rtl/>
        </w:rPr>
        <w:t xml:space="preserve">והוסיף </w:t>
      </w:r>
      <w:r w:rsidRPr="002B585D">
        <w:rPr>
          <w:rStyle w:val="aff4"/>
          <w:rFonts w:hint="cs"/>
          <w:vanish/>
          <w:rtl/>
        </w:rPr>
        <w:t>-</w:t>
      </w:r>
      <w:r w:rsidRPr="001909B2">
        <w:rPr>
          <w:rStyle w:val="aff4"/>
          <w:rFonts w:hint="cs"/>
          <w:rtl/>
        </w:rPr>
        <w:t>ה</w:t>
      </w:r>
      <w:r w:rsidRPr="002B585D">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Ref136274700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טז)</w:t>
      </w:r>
      <w:r>
        <w:rPr>
          <w:rStyle w:val="aff4"/>
          <w:vanish/>
          <w:rtl/>
        </w:rPr>
        <w:fldChar w:fldCharType="end"/>
      </w:r>
      <w:r w:rsidRPr="002B585D">
        <w:rPr>
          <w:rStyle w:val="aff4"/>
          <w:rFonts w:hint="cs"/>
          <w:vanish/>
          <w:rtl/>
        </w:rPr>
        <w:t xml:space="preserve"> &gt;</w:t>
      </w:r>
      <w:r w:rsidRPr="001909B2">
        <w:rPr>
          <w:rStyle w:val="aff4"/>
          <w:rFonts w:hint="cs"/>
          <w:rtl/>
        </w:rPr>
        <w:t>אגלי טל</w:t>
      </w:r>
      <w:r w:rsidRPr="002B585D">
        <w:rPr>
          <w:rStyle w:val="aff4"/>
          <w:rFonts w:hint="cs"/>
          <w:vanish/>
          <w:rtl/>
        </w:rPr>
        <w:t>-</w:t>
      </w:r>
      <w:r>
        <w:rPr>
          <w:rFonts w:hint="cs"/>
          <w:rtl/>
        </w:rPr>
        <w:t xml:space="preserve"> </w:t>
      </w:r>
      <w:r w:rsidRPr="00D4778B">
        <w:rPr>
          <w:rStyle w:val="af2"/>
          <w:rFonts w:eastAsia="Guttman Hodes" w:hint="cs"/>
          <w:rtl/>
        </w:rPr>
        <w:t>(זורה סק"א אות ו' בהגה"ה)</w:t>
      </w:r>
      <w:r>
        <w:rPr>
          <w:rFonts w:hint="cs"/>
          <w:rtl/>
        </w:rPr>
        <w:t xml:space="preserve"> דא"א לומר </w:t>
      </w:r>
      <w:r w:rsidRPr="002B585D">
        <w:rPr>
          <w:rStyle w:val="aff4"/>
          <w:rFonts w:hint="cs"/>
          <w:vanish/>
          <w:rtl/>
        </w:rPr>
        <w:t>-</w:t>
      </w:r>
      <w:r w:rsidRPr="001909B2">
        <w:rPr>
          <w:rStyle w:val="aff4"/>
          <w:rFonts w:hint="cs"/>
          <w:rtl/>
        </w:rPr>
        <w:t>דלרמב"ן</w:t>
      </w:r>
      <w:r w:rsidRPr="002B585D">
        <w:rPr>
          <w:rStyle w:val="aff4"/>
          <w:rFonts w:hint="cs"/>
          <w:vanish/>
          <w:rtl/>
        </w:rPr>
        <w:t>-</w:t>
      </w:r>
      <w:r>
        <w:rPr>
          <w:rFonts w:hint="cs"/>
          <w:rtl/>
        </w:rPr>
        <w:t xml:space="preserve"> המלאכה היא באוכל עצמו שמתקנו ע"י שבורר ממנו את הפסולת, דהא דימה </w:t>
      </w:r>
      <w:r w:rsidRPr="002B585D">
        <w:rPr>
          <w:rStyle w:val="aff4"/>
          <w:rFonts w:hint="cs"/>
          <w:vanish/>
          <w:rtl/>
        </w:rPr>
        <w:t>-</w:t>
      </w:r>
      <w:r w:rsidRPr="001909B2">
        <w:rPr>
          <w:rStyle w:val="aff4"/>
          <w:rFonts w:hint="cs"/>
          <w:rtl/>
        </w:rPr>
        <w:t>הרמב"ן</w:t>
      </w:r>
      <w:r w:rsidRPr="002B585D">
        <w:rPr>
          <w:rStyle w:val="aff4"/>
          <w:rFonts w:hint="cs"/>
          <w:vanish/>
          <w:rtl/>
        </w:rPr>
        <w:t>-</w:t>
      </w:r>
      <w:r>
        <w:rPr>
          <w:rFonts w:hint="cs"/>
          <w:rtl/>
        </w:rPr>
        <w:t xml:space="preserve"> את בורר לגוזז, ובגוזז במשכן לא הייתה מלאכה בכבשים שגזזום, דהצורך היה רק בצמר, והכבשים הם מלאכה שא"צ לגופה, ואי נימא דכיון שהוא צריך את הצמר חשיב מלאכה אף בכבשים הגנגזזים, א"כ אמאי הוצרך </w:t>
      </w:r>
      <w:r w:rsidRPr="002B585D">
        <w:rPr>
          <w:rStyle w:val="aff4"/>
          <w:rFonts w:hint="cs"/>
          <w:vanish/>
          <w:rtl/>
        </w:rPr>
        <w:t>-</w:t>
      </w:r>
      <w:r w:rsidRPr="001909B2">
        <w:rPr>
          <w:rStyle w:val="aff4"/>
          <w:rFonts w:hint="cs"/>
          <w:rtl/>
        </w:rPr>
        <w:t>הרמב"ן</w:t>
      </w:r>
      <w:r w:rsidRPr="002B585D">
        <w:rPr>
          <w:rStyle w:val="aff4"/>
          <w:rFonts w:hint="cs"/>
          <w:vanish/>
          <w:rtl/>
        </w:rPr>
        <w:t>-</w:t>
      </w:r>
      <w:r>
        <w:rPr>
          <w:rFonts w:hint="cs"/>
          <w:rtl/>
        </w:rPr>
        <w:t xml:space="preserve"> לומר דבגוזז שיער וציפורן התיקון הוא באדם, הא בלא"ה חשיב מלאכה כמו בכבשים, וכתב </w:t>
      </w:r>
      <w:r w:rsidRPr="002B585D">
        <w:rPr>
          <w:rStyle w:val="aff4"/>
          <w:rFonts w:hint="cs"/>
          <w:vanish/>
          <w:rtl/>
        </w:rPr>
        <w:t>-</w:t>
      </w:r>
      <w:r w:rsidRPr="001909B2">
        <w:rPr>
          <w:rStyle w:val="aff4"/>
          <w:rFonts w:hint="cs"/>
          <w:rtl/>
        </w:rPr>
        <w:t>האגלי טל</w:t>
      </w:r>
      <w:r w:rsidRPr="002B585D">
        <w:rPr>
          <w:rStyle w:val="aff4"/>
          <w:rFonts w:hint="cs"/>
          <w:vanish/>
          <w:rtl/>
        </w:rPr>
        <w:t>-</w:t>
      </w:r>
      <w:r>
        <w:rPr>
          <w:rFonts w:hint="cs"/>
          <w:rtl/>
        </w:rPr>
        <w:t xml:space="preserve"> דאפש"ל דס"ל </w:t>
      </w:r>
      <w:r w:rsidRPr="002B585D">
        <w:rPr>
          <w:rStyle w:val="aff4"/>
          <w:rFonts w:hint="cs"/>
          <w:vanish/>
          <w:rtl/>
        </w:rPr>
        <w:t>-</w:t>
      </w:r>
      <w:r w:rsidRPr="001909B2">
        <w:rPr>
          <w:rStyle w:val="aff4"/>
          <w:rFonts w:hint="cs"/>
          <w:rtl/>
        </w:rPr>
        <w:t>לרמב"ן</w:t>
      </w:r>
      <w:r w:rsidRPr="002B585D">
        <w:rPr>
          <w:rStyle w:val="aff4"/>
          <w:rFonts w:hint="cs"/>
          <w:vanish/>
          <w:rtl/>
        </w:rPr>
        <w:t>-</w:t>
      </w:r>
      <w:r>
        <w:rPr>
          <w:rFonts w:hint="cs"/>
          <w:rtl/>
        </w:rPr>
        <w:t xml:space="preserve"> כמ"ש </w:t>
      </w:r>
      <w:r w:rsidRPr="006E0441">
        <w:rPr>
          <w:rStyle w:val="aff4"/>
          <w:rFonts w:hint="cs"/>
          <w:vanish/>
          <w:rtl/>
        </w:rPr>
        <w:t>-</w:t>
      </w:r>
      <w:r w:rsidRPr="0085567C">
        <w:rPr>
          <w:rStyle w:val="aff4"/>
          <w:rFonts w:hint="cs"/>
          <w:rtl/>
        </w:rPr>
        <w:t>הריב"ש</w:t>
      </w:r>
      <w:r w:rsidRPr="006E0441">
        <w:rPr>
          <w:rStyle w:val="aff4"/>
          <w:rFonts w:hint="cs"/>
          <w:vanish/>
          <w:rtl/>
        </w:rPr>
        <w:t>-</w:t>
      </w:r>
      <w:r>
        <w:rPr>
          <w:rFonts w:hint="cs"/>
          <w:rtl/>
        </w:rPr>
        <w:t xml:space="preserve"> </w:t>
      </w:r>
      <w:r w:rsidRPr="00D4778B">
        <w:rPr>
          <w:rStyle w:val="af2"/>
          <w:rFonts w:eastAsia="Guttman Hodes" w:hint="cs"/>
          <w:rtl/>
        </w:rPr>
        <w:t xml:space="preserve">(עי' אות </w:t>
      </w:r>
      <w:r w:rsidRPr="00D4778B">
        <w:rPr>
          <w:rStyle w:val="af2"/>
          <w:rFonts w:eastAsia="Guttman Hodes"/>
          <w:rtl/>
        </w:rPr>
        <w:fldChar w:fldCharType="begin"/>
      </w:r>
      <w:r w:rsidRPr="00D4778B">
        <w:rPr>
          <w:rStyle w:val="af2"/>
          <w:rFonts w:eastAsia="Guttman Hodes"/>
          <w:rtl/>
        </w:rPr>
        <w:instrText xml:space="preserve"> </w:instrText>
      </w:r>
      <w:r w:rsidRPr="00D4778B">
        <w:rPr>
          <w:rStyle w:val="af2"/>
          <w:rFonts w:eastAsia="Guttman Hodes" w:hint="cs"/>
        </w:rPr>
        <w:instrText>REF</w:instrText>
      </w:r>
      <w:r w:rsidRPr="00D4778B">
        <w:rPr>
          <w:rStyle w:val="af2"/>
          <w:rFonts w:eastAsia="Guttman Hodes" w:hint="cs"/>
          <w:rtl/>
        </w:rPr>
        <w:instrText xml:space="preserve"> _</w:instrText>
      </w:r>
      <w:r w:rsidRPr="00D4778B">
        <w:rPr>
          <w:rStyle w:val="af2"/>
          <w:rFonts w:eastAsia="Guttman Hodes" w:hint="cs"/>
        </w:rPr>
        <w:instrText>Ref135818169 \r \h</w:instrText>
      </w:r>
      <w:r w:rsidRPr="00D4778B">
        <w:rPr>
          <w:rStyle w:val="af2"/>
          <w:rFonts w:eastAsia="Guttman Hodes"/>
          <w:rtl/>
        </w:rPr>
        <w:instrText xml:space="preserve"> </w:instrText>
      </w:r>
      <w:r w:rsidRPr="00D4778B">
        <w:rPr>
          <w:rStyle w:val="af2"/>
          <w:rFonts w:eastAsia="Guttman Hodes"/>
          <w:rtl/>
        </w:rPr>
      </w:r>
      <w:r w:rsidRPr="00D4778B">
        <w:rPr>
          <w:rStyle w:val="af2"/>
          <w:rFonts w:eastAsia="Guttman Hodes"/>
          <w:rtl/>
        </w:rPr>
        <w:fldChar w:fldCharType="separate"/>
      </w:r>
      <w:r w:rsidR="00D82181">
        <w:rPr>
          <w:rStyle w:val="af2"/>
          <w:rFonts w:eastAsia="Guttman Hodes"/>
          <w:cs/>
        </w:rPr>
        <w:t>‎</w:t>
      </w:r>
      <w:r w:rsidR="00D82181">
        <w:rPr>
          <w:rStyle w:val="af2"/>
          <w:rFonts w:eastAsia="Guttman Hodes"/>
          <w:rtl/>
        </w:rPr>
        <w:t>יא)</w:t>
      </w:r>
      <w:r w:rsidRPr="00D4778B">
        <w:rPr>
          <w:rStyle w:val="af2"/>
          <w:rFonts w:eastAsia="Guttman Hodes"/>
          <w:rtl/>
        </w:rPr>
        <w:fldChar w:fldCharType="end"/>
      </w:r>
      <w:r>
        <w:rPr>
          <w:rFonts w:hint="cs"/>
          <w:rtl/>
        </w:rPr>
        <w:t xml:space="preserve"> בתי' הב' דבעורות תחשים גזזו במשכן לצורך העור ולא לצורך השיער.</w:t>
      </w:r>
      <w:bookmarkEnd w:id="1900"/>
    </w:p>
    <w:p w14:paraId="778A63C9" w14:textId="77777777" w:rsidR="00316453" w:rsidRPr="00747170" w:rsidRDefault="00316453" w:rsidP="00747170">
      <w:pPr>
        <w:pStyle w:val="a2"/>
        <w:rPr>
          <w:rtl/>
        </w:rPr>
      </w:pPr>
      <w:r w:rsidRPr="00747170">
        <w:rPr>
          <w:rtl/>
        </w:rPr>
        <w:t>*) ולכאורה הי' נראה לפרש דברי הרמב"ן דזורה ובורר פסולת המלאכה הוא באוכל המתברר. וכן הגוזז המלאכה הוא ג"כ בחי הנגזז והרי שם גוזז הוא בין בצמר [כמו הגוזז את הצמר] בין בצאן [לגזוז את צאנו] וע"כ הנוטל צפרנים הוי מלאכה הצריכה לגופה שהמלאכה הוא גם באדם המתתקן. אך א"א לומר שיהי' המלאכה גם בחי הנגזז ממנו שהרי במשכן לא היה צריכין לכבשים הנגזזין וא"כ מה שהכבשים נגזזין לא הי' צורך למשכן. ואף אם תדחוק כיון דע"י שהי' צריכין לצמר ע"כ הי' הכבשים נגזזין חשוב מה שהכבשים נגזזין שהי' במשכן. אכתי קשה כיון דמה שהי' הכבשים נגזזין לא היה צריכין רק לצמר הנגזז. ומה שהי' הכבשים נגזזין הי' מלאכה שאינה צריכה לגופה. וא"כ מה שהי' הכבשים נגזזין לא הי' מלאכה במשכן דמלאכה שאינה צריכה לגופה לא הוי מלאכת מחשבת ובמשכן מלאכת מחשבת כתיב וכל מה דבעינן מלאכת מחשבת הוא משום דילפינן ממשכן דכתיב בי' מלאכת מחשבת וא"כ מה שהכבשים נגזזין לא הי' מלאכה במשכן. ואם תאמר דשפיר הי' מלאכה מה שהכבשים נגזזין ואף שהצורך בצמר לא חשוב מה שהכבשים נגזזין א"צ לגופה. א"כ כ"כ להיפך כשהמלאכה בשער וצפורן והצורך באדם חשוב צריכה לגופה ואין צריך לומר שהמלאכה בחי ואדם המתתקן ודו"ק:</w:t>
      </w:r>
    </w:p>
    <w:p w14:paraId="13231D6B" w14:textId="77777777" w:rsidR="00316453" w:rsidRPr="0030138D" w:rsidRDefault="00316453" w:rsidP="00747170">
      <w:pPr>
        <w:pStyle w:val="afffff5"/>
      </w:pPr>
      <w:r w:rsidRPr="0030138D">
        <w:rPr>
          <w:rtl/>
        </w:rPr>
        <w:t>ולכאורה הי' אפשר לומר דס"ל כריב"ש סי' שצ"ד בתי' הב' דהנוטל צפרניו חשוב צריכה לגופה דבמשכן הי' גוזזין שער תחשים לצורך העורות. וע"כ הוי מלאכה בהנגזז.</w:t>
      </w:r>
    </w:p>
    <w:p w14:paraId="452C4E0A" w14:textId="77777777" w:rsidR="00316453" w:rsidRDefault="00316453" w:rsidP="00316453">
      <w:pPr>
        <w:pStyle w:val="afffff7"/>
        <w:rPr>
          <w:rtl/>
        </w:rPr>
      </w:pPr>
      <w:bookmarkStart w:id="1901" w:name="_Toc136620428"/>
      <w:bookmarkStart w:id="1902" w:name="_Toc136618665"/>
      <w:bookmarkStart w:id="1903" w:name="_Toc163505707"/>
      <w:r>
        <w:rPr>
          <w:rtl/>
        </w:rPr>
        <w:t>חדושי הר"ן שבת ק"ו ע"א</w:t>
      </w:r>
      <w:r>
        <w:rPr>
          <w:rFonts w:hint="cs"/>
          <w:rtl/>
        </w:rPr>
        <w:t xml:space="preserve"> ד"ה לפיכך</w:t>
      </w:r>
      <w:bookmarkEnd w:id="1901"/>
      <w:bookmarkEnd w:id="1903"/>
    </w:p>
    <w:p w14:paraId="4FBAAA00" w14:textId="585108F8" w:rsidR="00316453" w:rsidRPr="006510B8" w:rsidRDefault="00316453" w:rsidP="00316453">
      <w:pPr>
        <w:pStyle w:val="a7"/>
        <w:rPr>
          <w:rtl/>
        </w:rPr>
      </w:pPr>
      <w:r>
        <w:rPr>
          <w:rFonts w:hint="cs"/>
          <w:rtl/>
        </w:rPr>
        <w:t>דחיית האגל"ט דבר"ן מוכח דהרמב"ן דלא כריב"ש ואף שהמלאכה בפסולת חשיב צריך לגופה</w:t>
      </w:r>
      <w:bookmarkEnd w:id="1902"/>
    </w:p>
    <w:p w14:paraId="4718B012" w14:textId="5373E58F" w:rsidR="00316453" w:rsidRPr="006510B8" w:rsidRDefault="00316453" w:rsidP="00BC7DC8">
      <w:pPr>
        <w:pStyle w:val="a3"/>
      </w:pPr>
      <w:bookmarkStart w:id="1904" w:name="_Ref136274689"/>
      <w:r>
        <w:rPr>
          <w:rFonts w:hint="cs"/>
          <w:rtl/>
        </w:rPr>
        <w:t xml:space="preserve">אך דחה </w:t>
      </w:r>
      <w:r w:rsidRPr="002B585D">
        <w:rPr>
          <w:rStyle w:val="aff4"/>
          <w:rFonts w:hint="cs"/>
          <w:vanish/>
          <w:rtl/>
        </w:rPr>
        <w:t>-</w:t>
      </w:r>
      <w:r w:rsidRPr="001909B2">
        <w:rPr>
          <w:rStyle w:val="aff4"/>
          <w:rFonts w:hint="cs"/>
          <w:rtl/>
        </w:rPr>
        <w:t>האגלי טל</w:t>
      </w:r>
      <w:r w:rsidRPr="002B585D">
        <w:rPr>
          <w:rStyle w:val="aff4"/>
          <w:rFonts w:hint="cs"/>
          <w:vanish/>
          <w:rtl/>
        </w:rPr>
        <w:t>-</w:t>
      </w:r>
      <w:r>
        <w:rPr>
          <w:rFonts w:hint="cs"/>
          <w:rtl/>
        </w:rPr>
        <w:t xml:space="preserve"> דהא </w:t>
      </w:r>
      <w:r w:rsidRPr="002B585D">
        <w:rPr>
          <w:rStyle w:val="aff4"/>
          <w:rFonts w:hint="cs"/>
          <w:vanish/>
          <w:rtl/>
        </w:rPr>
        <w:t>-</w:t>
      </w:r>
      <w:r w:rsidRPr="001909B2">
        <w:rPr>
          <w:rStyle w:val="aff4"/>
          <w:rFonts w:hint="cs"/>
          <w:rtl/>
        </w:rPr>
        <w:t>ה</w:t>
      </w:r>
      <w:r w:rsidRPr="002B585D">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Ref136274689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יז)</w:t>
      </w:r>
      <w:r>
        <w:rPr>
          <w:rStyle w:val="aff4"/>
          <w:vanish/>
          <w:rtl/>
        </w:rPr>
        <w:fldChar w:fldCharType="end"/>
      </w:r>
      <w:r w:rsidRPr="002B585D">
        <w:rPr>
          <w:rStyle w:val="aff4"/>
          <w:rFonts w:hint="cs"/>
          <w:vanish/>
          <w:rtl/>
        </w:rPr>
        <w:t xml:space="preserve"> &gt;</w:t>
      </w:r>
      <w:r w:rsidRPr="001909B2">
        <w:rPr>
          <w:rStyle w:val="aff4"/>
          <w:rFonts w:hint="cs"/>
          <w:rtl/>
        </w:rPr>
        <w:t>ר"ן בחי' לקמן</w:t>
      </w:r>
      <w:r w:rsidRPr="002B585D">
        <w:rPr>
          <w:rStyle w:val="aff4"/>
          <w:rFonts w:hint="cs"/>
          <w:vanish/>
          <w:rtl/>
        </w:rPr>
        <w:t>-</w:t>
      </w:r>
      <w:r>
        <w:rPr>
          <w:rFonts w:hint="cs"/>
          <w:rtl/>
        </w:rPr>
        <w:t xml:space="preserve"> </w:t>
      </w:r>
      <w:r w:rsidRPr="00D4778B">
        <w:rPr>
          <w:rStyle w:val="af2"/>
          <w:rFonts w:eastAsia="Guttman Hodes" w:hint="cs"/>
          <w:rtl/>
        </w:rPr>
        <w:t>(קו. ד"ה לפיכך)</w:t>
      </w:r>
      <w:r w:rsidRPr="002B585D">
        <w:rPr>
          <w:rFonts w:hint="cs"/>
          <w:vanish/>
          <w:rtl/>
        </w:rPr>
        <w:t>=</w:t>
      </w:r>
      <w:r>
        <w:rPr>
          <w:rFonts w:hint="cs"/>
          <w:rtl/>
        </w:rPr>
        <w:t xml:space="preserve"> הביא את דברי </w:t>
      </w:r>
      <w:r w:rsidRPr="002B585D">
        <w:rPr>
          <w:rStyle w:val="aff4"/>
          <w:rFonts w:hint="cs"/>
          <w:vanish/>
          <w:rtl/>
        </w:rPr>
        <w:t>-</w:t>
      </w:r>
      <w:r w:rsidRPr="001909B2">
        <w:rPr>
          <w:rStyle w:val="aff4"/>
          <w:rFonts w:hint="cs"/>
          <w:rtl/>
        </w:rPr>
        <w:t>הרמב"ן</w:t>
      </w:r>
      <w:r w:rsidRPr="002B585D">
        <w:rPr>
          <w:rStyle w:val="aff4"/>
          <w:rFonts w:hint="cs"/>
          <w:vanish/>
          <w:rtl/>
        </w:rPr>
        <w:t>-</w:t>
      </w:r>
      <w:r>
        <w:rPr>
          <w:rFonts w:hint="cs"/>
          <w:rtl/>
        </w:rPr>
        <w:t xml:space="preserve"> </w:t>
      </w:r>
      <w:r w:rsidRPr="00D4778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Ref136618799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ז)</w:t>
      </w:r>
      <w:r>
        <w:rPr>
          <w:rStyle w:val="af2"/>
          <w:rFonts w:eastAsia="Guttman Hodes"/>
          <w:rtl/>
        </w:rPr>
        <w:fldChar w:fldCharType="end"/>
      </w:r>
      <w:r>
        <w:rPr>
          <w:rFonts w:hint="cs"/>
          <w:rtl/>
        </w:rPr>
        <w:t xml:space="preserve"> דמילה היא מלאכה הצריכה לגופה, כדמוכח מנוטל שיער וצפורנים דחייב, והשמיט </w:t>
      </w:r>
      <w:r w:rsidRPr="002B585D">
        <w:rPr>
          <w:rStyle w:val="aff4"/>
          <w:rFonts w:hint="cs"/>
          <w:vanish/>
          <w:rtl/>
        </w:rPr>
        <w:t>-</w:t>
      </w:r>
      <w:r w:rsidRPr="001909B2">
        <w:rPr>
          <w:rStyle w:val="aff4"/>
          <w:rFonts w:hint="cs"/>
          <w:rtl/>
        </w:rPr>
        <w:t>הר"ן</w:t>
      </w:r>
      <w:r w:rsidRPr="002B585D">
        <w:rPr>
          <w:rStyle w:val="aff4"/>
          <w:rFonts w:hint="cs"/>
          <w:vanish/>
          <w:rtl/>
        </w:rPr>
        <w:t>-</w:t>
      </w:r>
      <w:r>
        <w:rPr>
          <w:rFonts w:hint="cs"/>
          <w:rtl/>
        </w:rPr>
        <w:t xml:space="preserve"> את הראיות שהביא </w:t>
      </w:r>
      <w:r w:rsidRPr="002B585D">
        <w:rPr>
          <w:rStyle w:val="aff4"/>
          <w:rFonts w:hint="cs"/>
          <w:vanish/>
          <w:rtl/>
        </w:rPr>
        <w:t>-</w:t>
      </w:r>
      <w:r w:rsidRPr="001909B2">
        <w:rPr>
          <w:rStyle w:val="aff4"/>
          <w:rFonts w:hint="cs"/>
          <w:rtl/>
        </w:rPr>
        <w:t>הרמב"ן</w:t>
      </w:r>
      <w:r w:rsidRPr="002B585D">
        <w:rPr>
          <w:rStyle w:val="aff4"/>
          <w:rFonts w:hint="cs"/>
          <w:vanish/>
          <w:rtl/>
        </w:rPr>
        <w:t>-</w:t>
      </w:r>
      <w:r>
        <w:rPr>
          <w:rFonts w:hint="cs"/>
          <w:rtl/>
        </w:rPr>
        <w:t xml:space="preserve"> מזורה ובורר ומ</w:t>
      </w:r>
      <w:r w:rsidRPr="00D0484B">
        <w:rPr>
          <w:rFonts w:hint="cs"/>
          <w:rtl/>
        </w:rPr>
        <w:t>הנוטל חוט מגלימה</w:t>
      </w:r>
      <w:r>
        <w:rPr>
          <w:rFonts w:hint="cs"/>
          <w:rtl/>
        </w:rPr>
        <w:t xml:space="preserve">, ומשמע דבנוטל חוט מגלימה המלאכה היא בבגד עצמו, דנגמרה מלאכת הבגד, ובזורה ובורר אף שא"צ את הפסולת המלאכה עצמה חשיבא צורך כיון שכך היה במשכן, וכתב </w:t>
      </w:r>
      <w:r w:rsidRPr="002B585D">
        <w:rPr>
          <w:rStyle w:val="aff4"/>
          <w:rFonts w:hint="cs"/>
          <w:vanish/>
          <w:rtl/>
        </w:rPr>
        <w:t>-</w:t>
      </w:r>
      <w:r w:rsidRPr="001909B2">
        <w:rPr>
          <w:rStyle w:val="aff4"/>
          <w:rFonts w:hint="cs"/>
          <w:rtl/>
        </w:rPr>
        <w:t>האגלי טל</w:t>
      </w:r>
      <w:r w:rsidRPr="002B585D">
        <w:rPr>
          <w:rStyle w:val="aff4"/>
          <w:rFonts w:hint="cs"/>
          <w:vanish/>
          <w:rtl/>
        </w:rPr>
        <w:t>-</w:t>
      </w:r>
      <w:r>
        <w:rPr>
          <w:rFonts w:hint="cs"/>
          <w:rtl/>
        </w:rPr>
        <w:t xml:space="preserve"> דמוכח דלא ס"ל </w:t>
      </w:r>
      <w:r w:rsidRPr="002B585D">
        <w:rPr>
          <w:rStyle w:val="aff4"/>
          <w:rFonts w:hint="cs"/>
          <w:vanish/>
          <w:rtl/>
        </w:rPr>
        <w:t>-</w:t>
      </w:r>
      <w:r w:rsidRPr="001909B2">
        <w:rPr>
          <w:rStyle w:val="aff4"/>
          <w:rFonts w:hint="cs"/>
          <w:rtl/>
        </w:rPr>
        <w:t>לר"ן</w:t>
      </w:r>
      <w:r w:rsidRPr="002B585D">
        <w:rPr>
          <w:rStyle w:val="aff4"/>
          <w:rFonts w:hint="cs"/>
          <w:vanish/>
          <w:rtl/>
        </w:rPr>
        <w:t>-</w:t>
      </w:r>
      <w:r>
        <w:rPr>
          <w:rFonts w:hint="cs"/>
          <w:rtl/>
        </w:rPr>
        <w:t xml:space="preserve"> כביאור </w:t>
      </w:r>
      <w:r w:rsidRPr="002B585D">
        <w:rPr>
          <w:rStyle w:val="aff4"/>
          <w:rFonts w:hint="cs"/>
          <w:vanish/>
          <w:rtl/>
        </w:rPr>
        <w:t>-</w:t>
      </w:r>
      <w:r w:rsidRPr="001909B2">
        <w:rPr>
          <w:rStyle w:val="aff4"/>
          <w:rFonts w:hint="cs"/>
          <w:rtl/>
        </w:rPr>
        <w:t>הריב"ש</w:t>
      </w:r>
      <w:r w:rsidRPr="002B585D">
        <w:rPr>
          <w:rStyle w:val="aff4"/>
          <w:rFonts w:hint="cs"/>
          <w:vanish/>
          <w:rtl/>
        </w:rPr>
        <w:t>-</w:t>
      </w:r>
      <w:r>
        <w:rPr>
          <w:rFonts w:hint="cs"/>
          <w:rtl/>
        </w:rPr>
        <w:t>, ואפ"ה ס"ל דנטילת שיער וצפורנים חשיב מלאכה הצריכה לגופה אף שהצורך הוא באדם ולא בשיער, וא"כ אפש"ל דאף בזורה ובורר חשיב צריכה לגופה אף שמלאכה היא בפסולת  והצורך הוא באוכל.</w:t>
      </w:r>
      <w:bookmarkEnd w:id="1904"/>
    </w:p>
    <w:p w14:paraId="192775DD" w14:textId="77777777" w:rsidR="00316453" w:rsidRPr="00747170" w:rsidRDefault="00316453" w:rsidP="00747170">
      <w:pPr>
        <w:pStyle w:val="a2"/>
        <w:rPr>
          <w:rtl/>
        </w:rPr>
      </w:pPr>
      <w:r w:rsidRPr="00747170">
        <w:rPr>
          <w:rtl/>
        </w:rPr>
        <w:t>אך המעיין בחידושי הר"ן יראה דהשמיט הראי' מזורה ובורר. וכן הראי' משקיל אקופי מגלימא והיינו משום דשקיל אקופי מגלימא ודאי המלאכה בבגד שהוא גמר מלאכת הבגד. וזורה ובורר הוא צורך זה עצמו שהי' במשכן. רק הביא הראי' מנוטל שערו וצפרנו. ואי ס"ל כריב"ש א"כ גם מנוטל שערו וצפרנו אין ראי' דומיא דזורה ובורר. אלא ודאי לא ס"ל כריב"ש ומ"מ חשוב נוטל שערו וצפרנו צריך לגופה אף שהמלאכה בשער והצורך באדם. כ"כ נוכל לומר בזורה ובורר שהמלאכה במוץ והצורך בתבואה מכל מקום חשוב צריך לגופה. ע"כ הג"ה:</w:t>
      </w:r>
    </w:p>
    <w:p w14:paraId="19E1522A" w14:textId="77777777" w:rsidR="00316453" w:rsidRPr="0030138D" w:rsidRDefault="00316453" w:rsidP="00747170">
      <w:pPr>
        <w:pStyle w:val="afffff5"/>
        <w:rPr>
          <w:rtl/>
        </w:rPr>
      </w:pPr>
      <w:r w:rsidRPr="0030138D">
        <w:rPr>
          <w:rtl/>
        </w:rPr>
        <w:t>לפיכך פי' הרמב"ן ז"ל דמילה ודאי מלאכה הצריכה לגופה היא שאע"פ שאינו צריך לגוף הערלה כל כה"ג מלאכה הצריכה לגופה מקרי דאי לא תימא הכי נוטל צפרניו בכלי וכן שפמו שהוא חייב משום תולד' דגוזז אמאי חייב הרי א"צ לא לגוף השער ולא לגוף הצפרנים אלא ודאי כיון שהוא צריך שישאר מהול מלאכה הצריכה לגופ' מקרי</w:t>
      </w:r>
      <w:r w:rsidRPr="0030138D">
        <w:rPr>
          <w:rFonts w:hint="cs"/>
          <w:rtl/>
        </w:rPr>
        <w:t>.</w:t>
      </w:r>
    </w:p>
    <w:p w14:paraId="7419D58B" w14:textId="2A1CC0C0" w:rsidR="00316453" w:rsidRPr="00053D8B" w:rsidRDefault="00316453" w:rsidP="00316453">
      <w:pPr>
        <w:pStyle w:val="afffff7"/>
        <w:rPr>
          <w:rtl/>
        </w:rPr>
      </w:pPr>
      <w:bookmarkStart w:id="1905" w:name="_Toc136620429"/>
      <w:bookmarkStart w:id="1906" w:name="_Toc163505708"/>
      <w:r w:rsidRPr="00053D8B">
        <w:rPr>
          <w:rtl/>
        </w:rPr>
        <w:t xml:space="preserve">אגלי טל זורה </w:t>
      </w:r>
      <w:r w:rsidRPr="00053D8B">
        <w:rPr>
          <w:rFonts w:hint="cs"/>
          <w:rtl/>
        </w:rPr>
        <w:t>סק"א אות ו'</w:t>
      </w:r>
      <w:r>
        <w:rPr>
          <w:rFonts w:hint="cs"/>
          <w:rtl/>
        </w:rPr>
        <w:t xml:space="preserve"> ד"ה והנה</w:t>
      </w:r>
      <w:bookmarkEnd w:id="1905"/>
      <w:bookmarkEnd w:id="1906"/>
      <w:r>
        <w:rPr>
          <w:rFonts w:hint="cs"/>
          <w:rtl/>
        </w:rPr>
        <w:t xml:space="preserve"> </w:t>
      </w:r>
    </w:p>
    <w:p w14:paraId="1E222FDB" w14:textId="77777777" w:rsidR="00316453" w:rsidRDefault="00316453" w:rsidP="00316453">
      <w:pPr>
        <w:pStyle w:val="a7"/>
        <w:rPr>
          <w:rtl/>
        </w:rPr>
      </w:pPr>
      <w:bookmarkStart w:id="1907" w:name="_Toc136618666"/>
      <w:r>
        <w:rPr>
          <w:rFonts w:hint="cs"/>
          <w:rtl/>
        </w:rPr>
        <w:t>בי' האגל"ט דמבו' בבעה"מ וברמב"ן דלבבלי המברר חלק מהפסולת חייב דהמלאכה בפסולת</w:t>
      </w:r>
      <w:bookmarkEnd w:id="1907"/>
    </w:p>
    <w:p w14:paraId="2092AFDD" w14:textId="773E64D1" w:rsidR="00316453" w:rsidRPr="005E0927" w:rsidRDefault="00316453" w:rsidP="00BC7DC8">
      <w:pPr>
        <w:pStyle w:val="a3"/>
      </w:pPr>
      <w:bookmarkStart w:id="1908" w:name="_Ref136336134"/>
      <w:r>
        <w:rPr>
          <w:rFonts w:hint="cs"/>
          <w:rtl/>
        </w:rPr>
        <w:t xml:space="preserve">וכתב </w:t>
      </w:r>
      <w:r w:rsidRPr="00527BD6">
        <w:rPr>
          <w:rStyle w:val="aff4"/>
          <w:rFonts w:hint="cs"/>
          <w:vanish/>
          <w:rtl/>
        </w:rPr>
        <w:t>-</w:t>
      </w:r>
      <w:r w:rsidRPr="00DE28D5">
        <w:rPr>
          <w:rStyle w:val="aff4"/>
          <w:rFonts w:hint="cs"/>
          <w:rtl/>
        </w:rPr>
        <w:t>ה</w:t>
      </w:r>
      <w:r w:rsidRPr="00527BD6">
        <w:rPr>
          <w:rStyle w:val="aff4"/>
          <w:rFonts w:hint="cs"/>
          <w:vanish/>
          <w:rtl/>
        </w:rPr>
        <w:t xml:space="preserve">&lt;. </w:t>
      </w:r>
      <w:r w:rsidRPr="00527BD6">
        <w:rPr>
          <w:rStyle w:val="aff4"/>
          <w:vanish/>
          <w:rtl/>
        </w:rPr>
        <w:fldChar w:fldCharType="begin"/>
      </w:r>
      <w:r w:rsidRPr="00527BD6">
        <w:rPr>
          <w:rStyle w:val="aff4"/>
          <w:vanish/>
          <w:rtl/>
        </w:rPr>
        <w:instrText xml:space="preserve"> </w:instrText>
      </w:r>
      <w:r w:rsidRPr="00527BD6">
        <w:rPr>
          <w:rStyle w:val="aff4"/>
          <w:rFonts w:hint="cs"/>
          <w:vanish/>
        </w:rPr>
        <w:instrText>REF</w:instrText>
      </w:r>
      <w:r w:rsidRPr="00527BD6">
        <w:rPr>
          <w:rStyle w:val="aff4"/>
          <w:rFonts w:hint="cs"/>
          <w:vanish/>
          <w:rtl/>
        </w:rPr>
        <w:instrText xml:space="preserve"> _</w:instrText>
      </w:r>
      <w:r w:rsidRPr="00527BD6">
        <w:rPr>
          <w:rStyle w:val="aff4"/>
          <w:rFonts w:hint="cs"/>
          <w:vanish/>
        </w:rPr>
        <w:instrText>Ref136336134 \r \h</w:instrText>
      </w:r>
      <w:r w:rsidRPr="00527BD6">
        <w:rPr>
          <w:rStyle w:val="aff4"/>
          <w:vanish/>
          <w:rtl/>
        </w:rPr>
        <w:instrText xml:space="preserve"> </w:instrText>
      </w:r>
      <w:r w:rsidRPr="00527BD6">
        <w:rPr>
          <w:rStyle w:val="aff4"/>
          <w:vanish/>
          <w:rtl/>
        </w:rPr>
      </w:r>
      <w:r w:rsidRPr="00527BD6">
        <w:rPr>
          <w:rStyle w:val="aff4"/>
          <w:vanish/>
          <w:rtl/>
        </w:rPr>
        <w:fldChar w:fldCharType="separate"/>
      </w:r>
      <w:r w:rsidR="00D82181">
        <w:rPr>
          <w:rStyle w:val="aff4"/>
          <w:vanish/>
          <w:cs/>
        </w:rPr>
        <w:t>‎</w:t>
      </w:r>
      <w:r w:rsidR="00D82181">
        <w:rPr>
          <w:rStyle w:val="aff4"/>
          <w:vanish/>
          <w:rtl/>
        </w:rPr>
        <w:t>יח)</w:t>
      </w:r>
      <w:r w:rsidRPr="00527BD6">
        <w:rPr>
          <w:rStyle w:val="aff4"/>
          <w:vanish/>
          <w:rtl/>
        </w:rPr>
        <w:fldChar w:fldCharType="end"/>
      </w:r>
      <w:r w:rsidRPr="00527BD6">
        <w:rPr>
          <w:rStyle w:val="aff4"/>
          <w:rFonts w:hint="cs"/>
          <w:vanish/>
          <w:rtl/>
        </w:rPr>
        <w:t xml:space="preserve"> &gt;</w:t>
      </w:r>
      <w:r w:rsidRPr="00DE28D5">
        <w:rPr>
          <w:rStyle w:val="aff4"/>
          <w:rFonts w:hint="cs"/>
          <w:rtl/>
        </w:rPr>
        <w:t>אגלי טל</w:t>
      </w:r>
      <w:r w:rsidRPr="00527BD6">
        <w:rPr>
          <w:rStyle w:val="aff4"/>
          <w:rFonts w:hint="cs"/>
          <w:vanish/>
          <w:rtl/>
        </w:rPr>
        <w:t>-</w:t>
      </w:r>
      <w:r>
        <w:rPr>
          <w:rFonts w:hint="cs"/>
          <w:rtl/>
        </w:rPr>
        <w:t xml:space="preserve"> </w:t>
      </w:r>
      <w:r w:rsidRPr="00D4778B">
        <w:rPr>
          <w:rStyle w:val="af2"/>
          <w:rFonts w:eastAsia="Guttman Hodes" w:hint="cs"/>
          <w:rtl/>
        </w:rPr>
        <w:t>(זורה סק"א אות ו' ד"ה והנה)</w:t>
      </w:r>
      <w:r w:rsidRPr="00527BD6">
        <w:rPr>
          <w:rFonts w:hint="cs"/>
          <w:vanish/>
          <w:rtl/>
        </w:rPr>
        <w:t>=</w:t>
      </w:r>
      <w:r>
        <w:rPr>
          <w:rFonts w:hint="cs"/>
          <w:rtl/>
        </w:rPr>
        <w:t xml:space="preserve"> דכיון דמבואר מדברי </w:t>
      </w:r>
      <w:r w:rsidRPr="00527BD6">
        <w:rPr>
          <w:rStyle w:val="aff4"/>
          <w:rFonts w:hint="cs"/>
          <w:vanish/>
          <w:rtl/>
        </w:rPr>
        <w:t>-</w:t>
      </w:r>
      <w:r w:rsidRPr="00DE28D5">
        <w:rPr>
          <w:rStyle w:val="aff4"/>
          <w:rFonts w:hint="cs"/>
          <w:rtl/>
        </w:rPr>
        <w:t>הבעה"מ</w:t>
      </w:r>
      <w:r w:rsidRPr="00527BD6">
        <w:rPr>
          <w:rStyle w:val="aff4"/>
          <w:rFonts w:hint="cs"/>
          <w:vanish/>
          <w:rtl/>
        </w:rPr>
        <w:t>-</w:t>
      </w:r>
      <w:r>
        <w:rPr>
          <w:rFonts w:hint="cs"/>
          <w:rtl/>
        </w:rPr>
        <w:t xml:space="preserve"> </w:t>
      </w:r>
      <w:r w:rsidRPr="00D4778B">
        <w:rPr>
          <w:rStyle w:val="af2"/>
          <w:rFonts w:eastAsia="Guttman Hodes" w:hint="cs"/>
          <w:rtl/>
        </w:rPr>
        <w:t xml:space="preserve">(עי' אות </w:t>
      </w:r>
      <w:r w:rsidRPr="00D4778B">
        <w:rPr>
          <w:rStyle w:val="af2"/>
          <w:rFonts w:eastAsia="Guttman Hodes"/>
          <w:rtl/>
        </w:rPr>
        <w:fldChar w:fldCharType="begin"/>
      </w:r>
      <w:r w:rsidRPr="00D4778B">
        <w:rPr>
          <w:rStyle w:val="af2"/>
          <w:rFonts w:eastAsia="Guttman Hodes"/>
          <w:rtl/>
        </w:rPr>
        <w:instrText xml:space="preserve"> </w:instrText>
      </w:r>
      <w:r w:rsidRPr="00D4778B">
        <w:rPr>
          <w:rStyle w:val="af2"/>
          <w:rFonts w:eastAsia="Guttman Hodes" w:hint="cs"/>
        </w:rPr>
        <w:instrText>REF</w:instrText>
      </w:r>
      <w:r w:rsidRPr="00D4778B">
        <w:rPr>
          <w:rStyle w:val="af2"/>
          <w:rFonts w:eastAsia="Guttman Hodes" w:hint="cs"/>
          <w:rtl/>
        </w:rPr>
        <w:instrText xml:space="preserve"> _</w:instrText>
      </w:r>
      <w:r w:rsidRPr="00D4778B">
        <w:rPr>
          <w:rStyle w:val="af2"/>
          <w:rFonts w:eastAsia="Guttman Hodes" w:hint="cs"/>
        </w:rPr>
        <w:instrText>Ref135759377 \r \h</w:instrText>
      </w:r>
      <w:r w:rsidRPr="00D4778B">
        <w:rPr>
          <w:rStyle w:val="af2"/>
          <w:rFonts w:eastAsia="Guttman Hodes"/>
          <w:rtl/>
        </w:rPr>
        <w:instrText xml:space="preserve"> </w:instrText>
      </w:r>
      <w:r w:rsidRPr="00D4778B">
        <w:rPr>
          <w:rStyle w:val="af2"/>
          <w:rFonts w:eastAsia="Guttman Hodes"/>
          <w:rtl/>
        </w:rPr>
      </w:r>
      <w:r w:rsidRPr="00D4778B">
        <w:rPr>
          <w:rStyle w:val="af2"/>
          <w:rFonts w:eastAsia="Guttman Hodes"/>
          <w:rtl/>
        </w:rPr>
        <w:fldChar w:fldCharType="separate"/>
      </w:r>
      <w:r w:rsidR="00D82181">
        <w:rPr>
          <w:rStyle w:val="af2"/>
          <w:rFonts w:eastAsia="Guttman Hodes"/>
          <w:cs/>
        </w:rPr>
        <w:t>‎</w:t>
      </w:r>
      <w:r w:rsidR="00D82181">
        <w:rPr>
          <w:rStyle w:val="af2"/>
          <w:rFonts w:eastAsia="Guttman Hodes"/>
          <w:rtl/>
        </w:rPr>
        <w:t>יג)</w:t>
      </w:r>
      <w:r w:rsidRPr="00D4778B">
        <w:rPr>
          <w:rStyle w:val="af2"/>
          <w:rFonts w:eastAsia="Guttman Hodes"/>
          <w:rtl/>
        </w:rPr>
        <w:fldChar w:fldCharType="end"/>
      </w:r>
      <w:r>
        <w:rPr>
          <w:rFonts w:hint="cs"/>
          <w:rtl/>
        </w:rPr>
        <w:t xml:space="preserve"> </w:t>
      </w:r>
      <w:r w:rsidRPr="00527BD6">
        <w:rPr>
          <w:rStyle w:val="aff4"/>
          <w:rFonts w:hint="cs"/>
          <w:vanish/>
          <w:rtl/>
        </w:rPr>
        <w:t>-</w:t>
      </w:r>
      <w:r w:rsidRPr="00DE28D5">
        <w:rPr>
          <w:rStyle w:val="aff4"/>
          <w:rFonts w:hint="cs"/>
          <w:rtl/>
        </w:rPr>
        <w:t>והרמב"ן</w:t>
      </w:r>
      <w:r w:rsidRPr="00527BD6">
        <w:rPr>
          <w:rStyle w:val="aff4"/>
          <w:rFonts w:hint="cs"/>
          <w:vanish/>
          <w:rtl/>
        </w:rPr>
        <w:t>-</w:t>
      </w:r>
      <w:r>
        <w:rPr>
          <w:rFonts w:hint="cs"/>
          <w:rtl/>
        </w:rPr>
        <w:t xml:space="preserve"> </w:t>
      </w:r>
      <w:r w:rsidRPr="00D4778B">
        <w:rPr>
          <w:rStyle w:val="af2"/>
          <w:rFonts w:eastAsia="Guttman Hodes" w:hint="cs"/>
          <w:rtl/>
        </w:rPr>
        <w:t xml:space="preserve">(עי' אות </w:t>
      </w:r>
      <w:r w:rsidRPr="00D4778B">
        <w:rPr>
          <w:rStyle w:val="af2"/>
          <w:rFonts w:eastAsia="Guttman Hodes"/>
          <w:rtl/>
        </w:rPr>
        <w:fldChar w:fldCharType="begin"/>
      </w:r>
      <w:r w:rsidRPr="00D4778B">
        <w:rPr>
          <w:rStyle w:val="af2"/>
          <w:rFonts w:eastAsia="Guttman Hodes"/>
          <w:rtl/>
        </w:rPr>
        <w:instrText xml:space="preserve"> </w:instrText>
      </w:r>
      <w:r w:rsidRPr="00D4778B">
        <w:rPr>
          <w:rStyle w:val="af2"/>
          <w:rFonts w:eastAsia="Guttman Hodes" w:hint="cs"/>
        </w:rPr>
        <w:instrText>REF</w:instrText>
      </w:r>
      <w:r w:rsidRPr="00D4778B">
        <w:rPr>
          <w:rStyle w:val="af2"/>
          <w:rFonts w:eastAsia="Guttman Hodes" w:hint="cs"/>
          <w:rtl/>
        </w:rPr>
        <w:instrText xml:space="preserve"> _</w:instrText>
      </w:r>
      <w:r w:rsidRPr="00D4778B">
        <w:rPr>
          <w:rStyle w:val="af2"/>
          <w:rFonts w:eastAsia="Guttman Hodes" w:hint="cs"/>
        </w:rPr>
        <w:instrText>Ref136336170 \r \h</w:instrText>
      </w:r>
      <w:r w:rsidRPr="00D4778B">
        <w:rPr>
          <w:rStyle w:val="af2"/>
          <w:rFonts w:eastAsia="Guttman Hodes"/>
          <w:rtl/>
        </w:rPr>
        <w:instrText xml:space="preserve"> </w:instrText>
      </w:r>
      <w:r w:rsidRPr="00D4778B">
        <w:rPr>
          <w:rStyle w:val="af2"/>
          <w:rFonts w:eastAsia="Guttman Hodes"/>
          <w:rtl/>
        </w:rPr>
      </w:r>
      <w:r w:rsidRPr="00D4778B">
        <w:rPr>
          <w:rStyle w:val="af2"/>
          <w:rFonts w:eastAsia="Guttman Hodes"/>
          <w:rtl/>
        </w:rPr>
        <w:fldChar w:fldCharType="separate"/>
      </w:r>
      <w:r w:rsidR="00D82181">
        <w:rPr>
          <w:rStyle w:val="af2"/>
          <w:rFonts w:eastAsia="Guttman Hodes"/>
          <w:cs/>
        </w:rPr>
        <w:t>‎</w:t>
      </w:r>
      <w:r w:rsidR="00D82181">
        <w:rPr>
          <w:rStyle w:val="af2"/>
          <w:rFonts w:eastAsia="Guttman Hodes"/>
          <w:rtl/>
        </w:rPr>
        <w:t>יד)</w:t>
      </w:r>
      <w:r w:rsidRPr="00D4778B">
        <w:rPr>
          <w:rStyle w:val="af2"/>
          <w:rFonts w:eastAsia="Guttman Hodes"/>
          <w:rtl/>
        </w:rPr>
        <w:fldChar w:fldCharType="end"/>
      </w:r>
      <w:r>
        <w:rPr>
          <w:rFonts w:hint="cs"/>
          <w:rtl/>
        </w:rPr>
        <w:t xml:space="preserve"> דהמלאכה בבורר היא בפסולת ולא באוכל, א"כ באופן שברר חלק מהפסולת שבאוכל חייב אף דעדיין לא נעשה כל תיקון באוכל, דחלק מהפסולת עצמה הסתלקה מהאוכל, וכתב </w:t>
      </w:r>
      <w:r w:rsidRPr="00527BD6">
        <w:rPr>
          <w:rStyle w:val="aff4"/>
          <w:rFonts w:hint="cs"/>
          <w:vanish/>
          <w:rtl/>
        </w:rPr>
        <w:t>-</w:t>
      </w:r>
      <w:r w:rsidRPr="00DE28D5">
        <w:rPr>
          <w:rStyle w:val="aff4"/>
          <w:rFonts w:hint="cs"/>
          <w:rtl/>
        </w:rPr>
        <w:t>האגלי טל</w:t>
      </w:r>
      <w:r w:rsidRPr="00527BD6">
        <w:rPr>
          <w:rStyle w:val="aff4"/>
          <w:rFonts w:hint="cs"/>
          <w:vanish/>
          <w:rtl/>
        </w:rPr>
        <w:t>-</w:t>
      </w:r>
      <w:r>
        <w:rPr>
          <w:rFonts w:hint="cs"/>
          <w:rtl/>
        </w:rPr>
        <w:t xml:space="preserve"> דלפי"ז מוכח דלדידן לא ס"ל כדביאר </w:t>
      </w:r>
      <w:r w:rsidRPr="00527BD6">
        <w:rPr>
          <w:rStyle w:val="aff4"/>
          <w:rFonts w:hint="cs"/>
          <w:vanish/>
          <w:rtl/>
        </w:rPr>
        <w:t>-</w:t>
      </w:r>
      <w:r w:rsidRPr="00DE28D5">
        <w:rPr>
          <w:rStyle w:val="aff4"/>
          <w:rFonts w:hint="cs"/>
          <w:rtl/>
        </w:rPr>
        <w:t>האגלי טל</w:t>
      </w:r>
      <w:r w:rsidRPr="00527BD6">
        <w:rPr>
          <w:rStyle w:val="aff4"/>
          <w:rFonts w:hint="cs"/>
          <w:vanish/>
          <w:rtl/>
        </w:rPr>
        <w:t>-</w:t>
      </w:r>
      <w:r>
        <w:rPr>
          <w:rFonts w:hint="cs"/>
          <w:rtl/>
        </w:rPr>
        <w:t xml:space="preserve"> </w:t>
      </w:r>
      <w:r w:rsidRPr="00D4778B">
        <w:rPr>
          <w:rStyle w:val="af2"/>
          <w:rFonts w:eastAsia="Guttman Hodes" w:hint="cs"/>
          <w:rtl/>
        </w:rPr>
        <w:t xml:space="preserve">(עי' אות </w:t>
      </w:r>
      <w:r w:rsidRPr="00D4778B">
        <w:rPr>
          <w:rStyle w:val="af2"/>
          <w:rFonts w:eastAsia="Guttman Hodes"/>
          <w:rtl/>
        </w:rPr>
        <w:fldChar w:fldCharType="begin"/>
      </w:r>
      <w:r w:rsidRPr="00D4778B">
        <w:rPr>
          <w:rStyle w:val="af2"/>
          <w:rFonts w:eastAsia="Guttman Hodes"/>
          <w:rtl/>
        </w:rPr>
        <w:instrText xml:space="preserve"> </w:instrText>
      </w:r>
      <w:r w:rsidRPr="00D4778B">
        <w:rPr>
          <w:rStyle w:val="af2"/>
          <w:rFonts w:eastAsia="Guttman Hodes" w:hint="cs"/>
        </w:rPr>
        <w:instrText>REF</w:instrText>
      </w:r>
      <w:r w:rsidRPr="00D4778B">
        <w:rPr>
          <w:rStyle w:val="af2"/>
          <w:rFonts w:eastAsia="Guttman Hodes" w:hint="cs"/>
          <w:rtl/>
        </w:rPr>
        <w:instrText xml:space="preserve"> _</w:instrText>
      </w:r>
      <w:r w:rsidRPr="00D4778B">
        <w:rPr>
          <w:rStyle w:val="af2"/>
          <w:rFonts w:eastAsia="Guttman Hodes" w:hint="cs"/>
        </w:rPr>
        <w:instrText>Ref136444021 \r \h</w:instrText>
      </w:r>
      <w:r w:rsidRPr="00D4778B">
        <w:rPr>
          <w:rStyle w:val="af2"/>
          <w:rFonts w:eastAsia="Guttman Hodes"/>
          <w:rtl/>
        </w:rPr>
        <w:instrText xml:space="preserve"> </w:instrText>
      </w:r>
      <w:r w:rsidRPr="00D4778B">
        <w:rPr>
          <w:rStyle w:val="af2"/>
          <w:rFonts w:eastAsia="Guttman Hodes"/>
          <w:rtl/>
        </w:rPr>
      </w:r>
      <w:r w:rsidRPr="00D4778B">
        <w:rPr>
          <w:rStyle w:val="af2"/>
          <w:rFonts w:eastAsia="Guttman Hodes"/>
          <w:rtl/>
        </w:rPr>
        <w:fldChar w:fldCharType="separate"/>
      </w:r>
      <w:r w:rsidR="00D82181">
        <w:rPr>
          <w:rStyle w:val="af2"/>
          <w:rFonts w:eastAsia="Guttman Hodes"/>
          <w:cs/>
        </w:rPr>
        <w:t>‎</w:t>
      </w:r>
      <w:r w:rsidR="00D82181">
        <w:rPr>
          <w:rStyle w:val="af2"/>
          <w:rFonts w:eastAsia="Guttman Hodes"/>
          <w:rtl/>
        </w:rPr>
        <w:t>לד)</w:t>
      </w:r>
      <w:r w:rsidRPr="00D4778B">
        <w:rPr>
          <w:rStyle w:val="af2"/>
          <w:rFonts w:eastAsia="Guttman Hodes"/>
          <w:rtl/>
        </w:rPr>
        <w:fldChar w:fldCharType="end"/>
      </w:r>
      <w:r w:rsidRPr="00F34B3D">
        <w:rPr>
          <w:rStyle w:val="af2"/>
          <w:rFonts w:eastAsia="Guttman Hodes" w:hint="cs"/>
          <w:rtl/>
        </w:rPr>
        <w:t xml:space="preserve"> </w:t>
      </w:r>
      <w:r>
        <w:rPr>
          <w:rFonts w:hint="cs"/>
          <w:rtl/>
        </w:rPr>
        <w:t>בדעת רבי יודן בירושלמי דגדר זורה הוא תיקון האוכל, אלא דאף מלאכת זורה גדרה הוא ברירת הפסולת.</w:t>
      </w:r>
      <w:bookmarkEnd w:id="1908"/>
    </w:p>
    <w:p w14:paraId="367179D1" w14:textId="77777777" w:rsidR="00316453" w:rsidRPr="00747170" w:rsidRDefault="00316453" w:rsidP="00747170">
      <w:pPr>
        <w:pStyle w:val="a2"/>
        <w:rPr>
          <w:rtl/>
        </w:rPr>
      </w:pPr>
      <w:r w:rsidRPr="00747170">
        <w:rPr>
          <w:rtl/>
        </w:rPr>
        <w:t>והנה לפי דברי ראשונים הנ"ל דבורר פסולת מתוך אוכל המלאכה הוא בפסולת הנדחה. הבורר מקצת פסולת ודאי חייב דאף שהאוכל עוד לא נתברר. מ"מ הפסולת שלקח מהכרי נתברר ונדחה. ואי משום שהכרי עוד לא נתקן לגמרי לא איכפת לן בזה כנ"ל אות ה'. וא"כ ליתא לדר' יודן בירושלמי וניחא גמ' דידן דמלאכת זורה הוא ג"כ משום ברירת פסולת:</w:t>
      </w:r>
    </w:p>
    <w:p w14:paraId="3A5B1A2C" w14:textId="591F5FA6" w:rsidR="00316453" w:rsidRDefault="00316453" w:rsidP="00316453">
      <w:pPr>
        <w:pStyle w:val="1"/>
        <w:rPr>
          <w:rtl/>
        </w:rPr>
      </w:pPr>
      <w:bookmarkStart w:id="1909" w:name="_Toc136618667"/>
      <w:r>
        <w:rPr>
          <w:rFonts w:hint="cs"/>
          <w:rtl/>
        </w:rPr>
        <w:t>בי' האגל"ט בתוס' דאף לבבלי בורר הוא תיקון האוכל כירושלמי</w:t>
      </w:r>
      <w:bookmarkEnd w:id="1909"/>
    </w:p>
    <w:p w14:paraId="5407DC41" w14:textId="77777777" w:rsidR="00316453" w:rsidRDefault="00316453" w:rsidP="00316453">
      <w:pPr>
        <w:pStyle w:val="afffff7"/>
        <w:rPr>
          <w:rtl/>
        </w:rPr>
      </w:pPr>
      <w:bookmarkStart w:id="1910" w:name="_Toc136620430"/>
      <w:bookmarkStart w:id="1911" w:name="_Toc163505709"/>
      <w:r>
        <w:rPr>
          <w:rtl/>
        </w:rPr>
        <w:t xml:space="preserve">אגלי טל זורה </w:t>
      </w:r>
      <w:r>
        <w:rPr>
          <w:rFonts w:hint="cs"/>
          <w:rtl/>
        </w:rPr>
        <w:t>סק"</w:t>
      </w:r>
      <w:r>
        <w:rPr>
          <w:rtl/>
        </w:rPr>
        <w:t>א</w:t>
      </w:r>
      <w:r w:rsidRPr="00FB4CE6">
        <w:rPr>
          <w:rtl/>
        </w:rPr>
        <w:t xml:space="preserve"> </w:t>
      </w:r>
      <w:r>
        <w:rPr>
          <w:rtl/>
        </w:rPr>
        <w:t>אות</w:t>
      </w:r>
      <w:r>
        <w:rPr>
          <w:rFonts w:hint="cs"/>
          <w:rtl/>
        </w:rPr>
        <w:t xml:space="preserve"> ז'</w:t>
      </w:r>
      <w:bookmarkEnd w:id="1910"/>
      <w:bookmarkEnd w:id="1911"/>
    </w:p>
    <w:p w14:paraId="4C999463" w14:textId="77777777" w:rsidR="00316453" w:rsidRDefault="00316453" w:rsidP="00316453">
      <w:pPr>
        <w:pStyle w:val="afffff7"/>
        <w:rPr>
          <w:rtl/>
        </w:rPr>
      </w:pPr>
      <w:bookmarkStart w:id="1912" w:name="_Toc136620431"/>
      <w:bookmarkStart w:id="1913" w:name="_Toc136618668"/>
      <w:bookmarkStart w:id="1914" w:name="_Toc163505710"/>
      <w:r>
        <w:rPr>
          <w:rtl/>
        </w:rPr>
        <w:t>תוספות שבת צ"ד ע"ב</w:t>
      </w:r>
      <w:r>
        <w:rPr>
          <w:rFonts w:hint="cs"/>
          <w:rtl/>
        </w:rPr>
        <w:t xml:space="preserve"> ד"ה אבל</w:t>
      </w:r>
      <w:bookmarkEnd w:id="1912"/>
      <w:bookmarkEnd w:id="1914"/>
    </w:p>
    <w:p w14:paraId="3ADE6D96" w14:textId="77777777" w:rsidR="00316453" w:rsidRPr="00A85820" w:rsidRDefault="00316453" w:rsidP="00316453">
      <w:pPr>
        <w:pStyle w:val="a7"/>
        <w:rPr>
          <w:rtl/>
        </w:rPr>
      </w:pPr>
      <w:r>
        <w:rPr>
          <w:rFonts w:hint="cs"/>
          <w:rtl/>
        </w:rPr>
        <w:t>בי' התוס' דנטילת שיער א"צ לגופה ובי' האגל"ט בתוס' דבבורר וזורה המלאכה בתיקון האוכל</w:t>
      </w:r>
      <w:bookmarkEnd w:id="1913"/>
    </w:p>
    <w:p w14:paraId="021EE23F" w14:textId="070AF15E" w:rsidR="00316453" w:rsidRDefault="00316453" w:rsidP="00BC7DC8">
      <w:pPr>
        <w:pStyle w:val="a3"/>
        <w:rPr>
          <w:rtl/>
        </w:rPr>
      </w:pPr>
      <w:bookmarkStart w:id="1915" w:name="_Ref135838873"/>
      <w:r>
        <w:rPr>
          <w:rFonts w:hint="cs"/>
          <w:rtl/>
        </w:rPr>
        <w:t xml:space="preserve">אך כתב </w:t>
      </w:r>
      <w:r w:rsidRPr="00EB6FAF">
        <w:rPr>
          <w:rStyle w:val="aff4"/>
          <w:rFonts w:hint="cs"/>
          <w:vanish/>
          <w:rtl/>
        </w:rPr>
        <w:t>-</w:t>
      </w:r>
      <w:r w:rsidRPr="0085567C">
        <w:rPr>
          <w:rStyle w:val="aff4"/>
          <w:rFonts w:hint="cs"/>
          <w:rtl/>
        </w:rPr>
        <w:t>ה</w:t>
      </w:r>
      <w:r w:rsidRPr="00EB6FAF">
        <w:rPr>
          <w:rStyle w:val="aff4"/>
          <w:rFonts w:hint="cs"/>
          <w:vanish/>
          <w:rtl/>
        </w:rPr>
        <w:t xml:space="preserve">&lt;. </w:t>
      </w:r>
      <w:r w:rsidRPr="00EB6FAF">
        <w:rPr>
          <w:rStyle w:val="aff4"/>
          <w:vanish/>
          <w:rtl/>
        </w:rPr>
        <w:fldChar w:fldCharType="begin"/>
      </w:r>
      <w:r w:rsidRPr="00EB6FAF">
        <w:rPr>
          <w:rStyle w:val="aff4"/>
          <w:vanish/>
          <w:rtl/>
        </w:rPr>
        <w:instrText xml:space="preserve"> </w:instrText>
      </w:r>
      <w:r w:rsidRPr="00EB6FAF">
        <w:rPr>
          <w:rStyle w:val="aff4"/>
          <w:rFonts w:hint="cs"/>
          <w:vanish/>
        </w:rPr>
        <w:instrText>REF</w:instrText>
      </w:r>
      <w:r w:rsidRPr="00EB6FAF">
        <w:rPr>
          <w:rStyle w:val="aff4"/>
          <w:rFonts w:hint="cs"/>
          <w:vanish/>
          <w:rtl/>
        </w:rPr>
        <w:instrText xml:space="preserve"> _</w:instrText>
      </w:r>
      <w:r w:rsidRPr="00EB6FAF">
        <w:rPr>
          <w:rStyle w:val="aff4"/>
          <w:rFonts w:hint="cs"/>
          <w:vanish/>
        </w:rPr>
        <w:instrText>Ref135838873 \r \h</w:instrText>
      </w:r>
      <w:r w:rsidRPr="00EB6FAF">
        <w:rPr>
          <w:rStyle w:val="aff4"/>
          <w:vanish/>
          <w:rtl/>
        </w:rPr>
        <w:instrText xml:space="preserve"> </w:instrText>
      </w:r>
      <w:r w:rsidRPr="00EB6FAF">
        <w:rPr>
          <w:rStyle w:val="aff4"/>
          <w:vanish/>
          <w:rtl/>
        </w:rPr>
      </w:r>
      <w:r w:rsidRPr="00EB6FAF">
        <w:rPr>
          <w:rStyle w:val="aff4"/>
          <w:vanish/>
          <w:rtl/>
        </w:rPr>
        <w:fldChar w:fldCharType="separate"/>
      </w:r>
      <w:r w:rsidR="00D82181">
        <w:rPr>
          <w:rStyle w:val="aff4"/>
          <w:vanish/>
          <w:cs/>
        </w:rPr>
        <w:t>‎</w:t>
      </w:r>
      <w:r w:rsidR="00D82181">
        <w:rPr>
          <w:rStyle w:val="aff4"/>
          <w:vanish/>
          <w:rtl/>
        </w:rPr>
        <w:t>יט)</w:t>
      </w:r>
      <w:r w:rsidRPr="00EB6FAF">
        <w:rPr>
          <w:rStyle w:val="aff4"/>
          <w:vanish/>
          <w:rtl/>
        </w:rPr>
        <w:fldChar w:fldCharType="end"/>
      </w:r>
      <w:r w:rsidRPr="00EB6FAF">
        <w:rPr>
          <w:rStyle w:val="aff4"/>
          <w:rFonts w:hint="cs"/>
          <w:vanish/>
          <w:rtl/>
        </w:rPr>
        <w:t xml:space="preserve"> &gt;</w:t>
      </w:r>
      <w:r w:rsidRPr="00F2795D">
        <w:rPr>
          <w:rStyle w:val="aff4"/>
          <w:rFonts w:hint="cs"/>
          <w:rtl/>
        </w:rPr>
        <w:t>אגלי טל</w:t>
      </w:r>
      <w:r w:rsidRPr="00EB6FAF">
        <w:rPr>
          <w:rStyle w:val="aff4"/>
          <w:rFonts w:hint="cs"/>
          <w:vanish/>
          <w:rtl/>
        </w:rPr>
        <w:t>-</w:t>
      </w:r>
      <w:r w:rsidRPr="00B2257A">
        <w:rPr>
          <w:rFonts w:hint="cs"/>
          <w:rtl/>
        </w:rPr>
        <w:t xml:space="preserve"> </w:t>
      </w:r>
      <w:r w:rsidRPr="00D4778B">
        <w:rPr>
          <w:rStyle w:val="af2"/>
          <w:rFonts w:eastAsia="Guttman Hodes" w:hint="cs"/>
          <w:rtl/>
        </w:rPr>
        <w:t>(זורה סק"א אות ז')</w:t>
      </w:r>
      <w:r w:rsidRPr="003C317F">
        <w:rPr>
          <w:rFonts w:hint="cs"/>
          <w:vanish/>
          <w:rtl/>
        </w:rPr>
        <w:t xml:space="preserve"> </w:t>
      </w:r>
      <w:r w:rsidRPr="00EB6FAF">
        <w:rPr>
          <w:rFonts w:hint="cs"/>
          <w:vanish/>
          <w:rtl/>
        </w:rPr>
        <w:t>=</w:t>
      </w:r>
      <w:r>
        <w:rPr>
          <w:rFonts w:hint="cs"/>
          <w:rtl/>
        </w:rPr>
        <w:t xml:space="preserve"> דמדברי </w:t>
      </w:r>
      <w:r w:rsidRPr="00EB6FAF">
        <w:rPr>
          <w:rStyle w:val="aff4"/>
          <w:rFonts w:hint="cs"/>
          <w:vanish/>
          <w:rtl/>
        </w:rPr>
        <w:t>-</w:t>
      </w:r>
      <w:r w:rsidRPr="00F2795D">
        <w:rPr>
          <w:rStyle w:val="aff4"/>
          <w:rFonts w:hint="cs"/>
          <w:rtl/>
        </w:rPr>
        <w:t>ה</w:t>
      </w:r>
      <w:r w:rsidRPr="00EB6FAF">
        <w:rPr>
          <w:rStyle w:val="aff4"/>
          <w:rFonts w:hint="cs"/>
          <w:vanish/>
          <w:rtl/>
        </w:rPr>
        <w:t>&lt; &gt;</w:t>
      </w:r>
      <w:r w:rsidRPr="0085567C">
        <w:rPr>
          <w:rStyle w:val="aff4"/>
          <w:rFonts w:hint="cs"/>
          <w:rtl/>
        </w:rPr>
        <w:t>תוס' לקמן</w:t>
      </w:r>
      <w:r w:rsidRPr="00EB6FAF">
        <w:rPr>
          <w:rStyle w:val="aff4"/>
          <w:rFonts w:hint="cs"/>
          <w:vanish/>
          <w:rtl/>
        </w:rPr>
        <w:t>-</w:t>
      </w:r>
      <w:r>
        <w:rPr>
          <w:rFonts w:hint="cs"/>
          <w:rtl/>
        </w:rPr>
        <w:t xml:space="preserve"> </w:t>
      </w:r>
      <w:r w:rsidRPr="00D4778B">
        <w:rPr>
          <w:rStyle w:val="af2"/>
          <w:rFonts w:eastAsia="Guttman Hodes" w:hint="cs"/>
          <w:rtl/>
        </w:rPr>
        <w:t>(צד: ד"ה אבל)</w:t>
      </w:r>
      <w:r w:rsidRPr="00EB6FAF">
        <w:rPr>
          <w:rFonts w:hint="cs"/>
          <w:vanish/>
          <w:rtl/>
        </w:rPr>
        <w:t>=</w:t>
      </w:r>
      <w:r>
        <w:rPr>
          <w:rFonts w:hint="cs"/>
          <w:rtl/>
        </w:rPr>
        <w:t xml:space="preserve"> דכתבו דחיוב בנטילת שיער וצפורנים הוא לדעת ר"י דמחייב במלאכה שא"צ לגופה, </w:t>
      </w:r>
      <w:r w:rsidRPr="005C3000">
        <w:rPr>
          <w:rFonts w:hint="cs"/>
          <w:rtl/>
        </w:rPr>
        <w:t>מוכח ד</w:t>
      </w:r>
      <w:r>
        <w:rPr>
          <w:rFonts w:hint="cs"/>
          <w:rtl/>
        </w:rPr>
        <w:t xml:space="preserve">פליגי על </w:t>
      </w:r>
      <w:r w:rsidRPr="00EB6FAF">
        <w:rPr>
          <w:rStyle w:val="aff4"/>
          <w:rFonts w:hint="cs"/>
          <w:vanish/>
          <w:rtl/>
        </w:rPr>
        <w:t>-</w:t>
      </w:r>
      <w:r w:rsidRPr="0085567C">
        <w:rPr>
          <w:rStyle w:val="aff4"/>
          <w:rFonts w:hint="cs"/>
          <w:rtl/>
        </w:rPr>
        <w:t>הרמב"ן</w:t>
      </w:r>
      <w:r w:rsidRPr="00EB6FAF">
        <w:rPr>
          <w:rStyle w:val="aff4"/>
          <w:rFonts w:hint="cs"/>
          <w:vanish/>
          <w:rtl/>
        </w:rPr>
        <w:t>-</w:t>
      </w:r>
      <w:r>
        <w:rPr>
          <w:rFonts w:hint="cs"/>
          <w:rtl/>
        </w:rPr>
        <w:t xml:space="preserve"> </w:t>
      </w:r>
      <w:r w:rsidRPr="00D4778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Ref135760481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ז)</w:t>
      </w:r>
      <w:r>
        <w:rPr>
          <w:rStyle w:val="af2"/>
          <w:rFonts w:eastAsia="Guttman Hodes"/>
          <w:rtl/>
        </w:rPr>
        <w:fldChar w:fldCharType="end"/>
      </w:r>
      <w:r>
        <w:rPr>
          <w:rFonts w:hint="cs"/>
          <w:rtl/>
        </w:rPr>
        <w:t xml:space="preserve"> דס"ל דהוא מלאכה הצריכה לגופה, וא"כ ס"ל דבבורר המלאכה היא באוכל עצמו דמתקנו, אעפ"י שהברירה היא בפסולת, והיינו כדביאר </w:t>
      </w:r>
      <w:r w:rsidRPr="00527BD6">
        <w:rPr>
          <w:rStyle w:val="aff4"/>
          <w:rFonts w:hint="cs"/>
          <w:vanish/>
          <w:rtl/>
        </w:rPr>
        <w:t>-</w:t>
      </w:r>
      <w:r w:rsidRPr="00DE28D5">
        <w:rPr>
          <w:rStyle w:val="aff4"/>
          <w:rFonts w:hint="cs"/>
          <w:rtl/>
        </w:rPr>
        <w:t>האגלי טל</w:t>
      </w:r>
      <w:r w:rsidRPr="00527BD6">
        <w:rPr>
          <w:rStyle w:val="aff4"/>
          <w:rFonts w:hint="cs"/>
          <w:vanish/>
          <w:rtl/>
        </w:rPr>
        <w:t>-</w:t>
      </w:r>
      <w:r>
        <w:rPr>
          <w:rFonts w:hint="cs"/>
          <w:rtl/>
        </w:rPr>
        <w:t xml:space="preserve"> </w:t>
      </w:r>
      <w:r w:rsidRPr="00D4778B">
        <w:rPr>
          <w:rStyle w:val="af2"/>
          <w:rFonts w:eastAsia="Guttman Hodes" w:hint="cs"/>
          <w:rtl/>
        </w:rPr>
        <w:t xml:space="preserve">(עי' אות </w:t>
      </w:r>
      <w:r w:rsidRPr="00D4778B">
        <w:rPr>
          <w:rStyle w:val="af2"/>
          <w:rFonts w:eastAsia="Guttman Hodes"/>
          <w:rtl/>
        </w:rPr>
        <w:fldChar w:fldCharType="begin"/>
      </w:r>
      <w:r w:rsidRPr="00D4778B">
        <w:rPr>
          <w:rStyle w:val="af2"/>
          <w:rFonts w:eastAsia="Guttman Hodes"/>
          <w:rtl/>
        </w:rPr>
        <w:instrText xml:space="preserve"> </w:instrText>
      </w:r>
      <w:r w:rsidRPr="00D4778B">
        <w:rPr>
          <w:rStyle w:val="af2"/>
          <w:rFonts w:eastAsia="Guttman Hodes" w:hint="cs"/>
        </w:rPr>
        <w:instrText>REF</w:instrText>
      </w:r>
      <w:r w:rsidRPr="00D4778B">
        <w:rPr>
          <w:rStyle w:val="af2"/>
          <w:rFonts w:eastAsia="Guttman Hodes" w:hint="cs"/>
          <w:rtl/>
        </w:rPr>
        <w:instrText xml:space="preserve"> _</w:instrText>
      </w:r>
      <w:r w:rsidRPr="00D4778B">
        <w:rPr>
          <w:rStyle w:val="af2"/>
          <w:rFonts w:eastAsia="Guttman Hodes" w:hint="cs"/>
        </w:rPr>
        <w:instrText>Ref136444021 \r \h</w:instrText>
      </w:r>
      <w:r w:rsidRPr="00D4778B">
        <w:rPr>
          <w:rStyle w:val="af2"/>
          <w:rFonts w:eastAsia="Guttman Hodes"/>
          <w:rtl/>
        </w:rPr>
        <w:instrText xml:space="preserve"> </w:instrText>
      </w:r>
      <w:r w:rsidRPr="00D4778B">
        <w:rPr>
          <w:rStyle w:val="af2"/>
          <w:rFonts w:eastAsia="Guttman Hodes"/>
          <w:rtl/>
        </w:rPr>
      </w:r>
      <w:r w:rsidRPr="00D4778B">
        <w:rPr>
          <w:rStyle w:val="af2"/>
          <w:rFonts w:eastAsia="Guttman Hodes"/>
          <w:rtl/>
        </w:rPr>
        <w:fldChar w:fldCharType="separate"/>
      </w:r>
      <w:r w:rsidR="00D82181">
        <w:rPr>
          <w:rStyle w:val="af2"/>
          <w:rFonts w:eastAsia="Guttman Hodes"/>
          <w:cs/>
        </w:rPr>
        <w:t>‎</w:t>
      </w:r>
      <w:r w:rsidR="00D82181">
        <w:rPr>
          <w:rStyle w:val="af2"/>
          <w:rFonts w:eastAsia="Guttman Hodes"/>
          <w:rtl/>
        </w:rPr>
        <w:t>לד)</w:t>
      </w:r>
      <w:r w:rsidRPr="00D4778B">
        <w:rPr>
          <w:rStyle w:val="af2"/>
          <w:rFonts w:eastAsia="Guttman Hodes"/>
          <w:rtl/>
        </w:rPr>
        <w:fldChar w:fldCharType="end"/>
      </w:r>
      <w:r w:rsidRPr="00F34B3D">
        <w:rPr>
          <w:rStyle w:val="af2"/>
          <w:rFonts w:eastAsia="Guttman Hodes" w:hint="cs"/>
          <w:rtl/>
        </w:rPr>
        <w:t xml:space="preserve"> </w:t>
      </w:r>
      <w:r>
        <w:rPr>
          <w:rFonts w:hint="cs"/>
          <w:rtl/>
        </w:rPr>
        <w:t xml:space="preserve">בדעת הירושלמי, וכתב </w:t>
      </w:r>
      <w:r w:rsidRPr="00527BD6">
        <w:rPr>
          <w:rStyle w:val="aff4"/>
          <w:rFonts w:hint="cs"/>
          <w:vanish/>
          <w:rtl/>
        </w:rPr>
        <w:t>-</w:t>
      </w:r>
      <w:r w:rsidRPr="00DE28D5">
        <w:rPr>
          <w:rStyle w:val="aff4"/>
          <w:rFonts w:hint="cs"/>
          <w:rtl/>
        </w:rPr>
        <w:t>האגלי טל</w:t>
      </w:r>
      <w:r w:rsidRPr="00527BD6">
        <w:rPr>
          <w:rStyle w:val="aff4"/>
          <w:rFonts w:hint="cs"/>
          <w:vanish/>
          <w:rtl/>
        </w:rPr>
        <w:t>-</w:t>
      </w:r>
      <w:r>
        <w:rPr>
          <w:rFonts w:hint="cs"/>
          <w:rtl/>
        </w:rPr>
        <w:t xml:space="preserve"> דדוחק לומר דס"ל דבורר הוא מלאכה שא"צ לגופה ואפ"ה חייב כדביאר </w:t>
      </w:r>
      <w:r w:rsidRPr="00EB6FAF">
        <w:rPr>
          <w:rStyle w:val="aff4"/>
          <w:rFonts w:hint="cs"/>
          <w:vanish/>
          <w:rtl/>
        </w:rPr>
        <w:t>-</w:t>
      </w:r>
      <w:r w:rsidRPr="0085567C">
        <w:rPr>
          <w:rStyle w:val="aff4"/>
          <w:rFonts w:hint="cs"/>
          <w:rtl/>
        </w:rPr>
        <w:t>הבעה"מ</w:t>
      </w:r>
      <w:r w:rsidRPr="00EB6FAF">
        <w:rPr>
          <w:rStyle w:val="aff4"/>
          <w:rFonts w:hint="cs"/>
          <w:vanish/>
          <w:rtl/>
        </w:rPr>
        <w:t>-</w:t>
      </w:r>
      <w:r>
        <w:rPr>
          <w:rFonts w:hint="cs"/>
          <w:rtl/>
        </w:rPr>
        <w:t xml:space="preserve"> </w:t>
      </w:r>
      <w:r w:rsidRPr="00D4778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Ref135731936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א)</w:t>
      </w:r>
      <w:r>
        <w:rPr>
          <w:rStyle w:val="af2"/>
          <w:rFonts w:eastAsia="Guttman Hodes"/>
          <w:rtl/>
        </w:rPr>
        <w:fldChar w:fldCharType="end"/>
      </w:r>
      <w:r>
        <w:rPr>
          <w:rFonts w:hint="cs"/>
          <w:rtl/>
        </w:rPr>
        <w:t xml:space="preserve">, אמנם </w:t>
      </w:r>
      <w:r w:rsidRPr="00EB6FAF">
        <w:rPr>
          <w:rStyle w:val="aff4"/>
          <w:rFonts w:hint="cs"/>
          <w:vanish/>
          <w:rtl/>
        </w:rPr>
        <w:t>-</w:t>
      </w:r>
      <w:r w:rsidRPr="0085567C">
        <w:rPr>
          <w:rStyle w:val="aff4"/>
          <w:rFonts w:hint="cs"/>
          <w:rtl/>
        </w:rPr>
        <w:t>ה</w:t>
      </w:r>
      <w:r w:rsidRPr="00527BD6">
        <w:rPr>
          <w:rStyle w:val="aff4"/>
          <w:rFonts w:hint="cs"/>
          <w:vanish/>
          <w:rtl/>
        </w:rPr>
        <w:t>&lt; &gt;</w:t>
      </w:r>
      <w:r w:rsidRPr="0085567C">
        <w:rPr>
          <w:rStyle w:val="aff4"/>
          <w:rFonts w:hint="cs"/>
          <w:rtl/>
        </w:rPr>
        <w:t>אמרי בינה</w:t>
      </w:r>
      <w:r w:rsidRPr="00EB6FAF">
        <w:rPr>
          <w:rStyle w:val="aff4"/>
          <w:rFonts w:hint="cs"/>
          <w:vanish/>
          <w:rtl/>
        </w:rPr>
        <w:t>-</w:t>
      </w:r>
      <w:r>
        <w:rPr>
          <w:rFonts w:hint="cs"/>
          <w:rtl/>
        </w:rPr>
        <w:t xml:space="preserve"> </w:t>
      </w:r>
      <w:r w:rsidRPr="00D4778B">
        <w:rPr>
          <w:rStyle w:val="af2"/>
          <w:rFonts w:eastAsia="Guttman Hodes" w:hint="cs"/>
          <w:rtl/>
        </w:rPr>
        <w:t>(סי' ל"ב ד"ה ודע דהא)</w:t>
      </w:r>
      <w:r w:rsidRPr="00EB6FAF">
        <w:rPr>
          <w:rFonts w:hint="cs"/>
          <w:vanish/>
          <w:rtl/>
        </w:rPr>
        <w:t>=</w:t>
      </w:r>
      <w:r>
        <w:rPr>
          <w:rFonts w:hint="cs"/>
          <w:rtl/>
        </w:rPr>
        <w:t xml:space="preserve"> כתב דס"ל </w:t>
      </w:r>
      <w:r w:rsidRPr="00527BD6">
        <w:rPr>
          <w:rStyle w:val="aff4"/>
          <w:rFonts w:hint="cs"/>
          <w:vanish/>
          <w:rtl/>
        </w:rPr>
        <w:t>-</w:t>
      </w:r>
      <w:r w:rsidRPr="00DE28D5">
        <w:rPr>
          <w:rStyle w:val="aff4"/>
          <w:rFonts w:hint="cs"/>
          <w:rtl/>
        </w:rPr>
        <w:t>לתוס'</w:t>
      </w:r>
      <w:r w:rsidRPr="00527BD6">
        <w:rPr>
          <w:rStyle w:val="aff4"/>
          <w:rFonts w:hint="cs"/>
          <w:vanish/>
          <w:rtl/>
        </w:rPr>
        <w:t>-</w:t>
      </w:r>
      <w:r>
        <w:rPr>
          <w:rFonts w:hint="cs"/>
          <w:rtl/>
        </w:rPr>
        <w:t xml:space="preserve"> כדביאר </w:t>
      </w:r>
      <w:r w:rsidRPr="00EB6FAF">
        <w:rPr>
          <w:rStyle w:val="aff4"/>
          <w:rFonts w:hint="cs"/>
          <w:vanish/>
          <w:rtl/>
        </w:rPr>
        <w:t>-</w:t>
      </w:r>
      <w:r w:rsidRPr="0085567C">
        <w:rPr>
          <w:rStyle w:val="aff4"/>
          <w:rFonts w:hint="cs"/>
          <w:rtl/>
        </w:rPr>
        <w:t>הבעה"מ</w:t>
      </w:r>
      <w:r w:rsidRPr="00EB6FAF">
        <w:rPr>
          <w:rStyle w:val="aff4"/>
          <w:rFonts w:hint="cs"/>
          <w:vanish/>
          <w:rtl/>
        </w:rPr>
        <w:t>-</w:t>
      </w:r>
      <w:r>
        <w:rPr>
          <w:rFonts w:hint="cs"/>
          <w:rtl/>
        </w:rPr>
        <w:t xml:space="preserve"> דאף בורר וזורה א"צ לגוף המלאכה, ואפ"ה חייבה תורה עליהם אבל במלאכות אחרות אינו חייב בכה"ג.</w:t>
      </w:r>
      <w:bookmarkEnd w:id="1915"/>
    </w:p>
    <w:p w14:paraId="75DA3AB0" w14:textId="77777777" w:rsidR="00316453" w:rsidRPr="00747170" w:rsidRDefault="00316453" w:rsidP="00747170">
      <w:pPr>
        <w:pStyle w:val="a2"/>
        <w:rPr>
          <w:rtl/>
        </w:rPr>
      </w:pPr>
      <w:r w:rsidRPr="00747170">
        <w:rPr>
          <w:rtl/>
        </w:rPr>
        <w:t>דהנה מ"ש אות ו' בשם הרמב"ן בנוטל צפרניו לתיקון גופו או ליפות עצמו חשוב צריך לגופה אין כן דעת התוס' צ"ד: בד"ה אבל. שכתבו להדיא דהנוטל צפרניו בכלי דחייב היינו לר' יהודה דאמר משאצל"ג חייב עי"ש. ולפי"ז מוכח דברירה נחשב המלאכה באוכל אף שבורר הפסולת וכדעת הירושלמי דאם לא כן בורר פסולת הא הוי משאצל"ג. ולומר דנשתנה דין זורה ובורר משאר מלאכות כדעת הבעה"מ ודאי דוחק לומר כן.</w:t>
      </w:r>
    </w:p>
    <w:p w14:paraId="500A6DCC" w14:textId="77777777" w:rsidR="00316453" w:rsidRPr="0030138D" w:rsidRDefault="00316453" w:rsidP="00747170">
      <w:pPr>
        <w:pStyle w:val="afffff5"/>
      </w:pPr>
      <w:r w:rsidRPr="0030138D">
        <w:rPr>
          <w:rtl/>
        </w:rPr>
        <w:t>אבל בכלי ד"ה חייב - היינו כרבי יהודה דמחייב במלאכה שאינה צריכה לגופה</w:t>
      </w:r>
      <w:r w:rsidRPr="0030138D">
        <w:rPr>
          <w:rFonts w:hint="cs"/>
          <w:rtl/>
        </w:rPr>
        <w:t>.</w:t>
      </w:r>
    </w:p>
    <w:p w14:paraId="3B22FF41" w14:textId="53374336" w:rsidR="00316453" w:rsidRDefault="00316453" w:rsidP="00316453">
      <w:pPr>
        <w:pStyle w:val="afffff7"/>
      </w:pPr>
      <w:bookmarkStart w:id="1916" w:name="_Toc136620432"/>
      <w:bookmarkStart w:id="1917" w:name="_Toc163505711"/>
      <w:r w:rsidRPr="00D57942">
        <w:rPr>
          <w:rtl/>
        </w:rPr>
        <w:t>אמרי בינה סי' ל"ב ד"ה ודע דהא</w:t>
      </w:r>
      <w:bookmarkEnd w:id="1916"/>
      <w:bookmarkEnd w:id="1917"/>
    </w:p>
    <w:p w14:paraId="48A739C7" w14:textId="77777777" w:rsidR="00316453" w:rsidRPr="0030138D" w:rsidRDefault="00316453" w:rsidP="00747170">
      <w:pPr>
        <w:pStyle w:val="afffff5"/>
        <w:rPr>
          <w:rtl/>
        </w:rPr>
      </w:pPr>
      <w:r w:rsidRPr="0030138D">
        <w:rPr>
          <w:rtl/>
        </w:rPr>
        <w:t>אולם הרמב"ן בחידושי שב</w:t>
      </w:r>
      <w:r w:rsidRPr="0030138D">
        <w:rPr>
          <w:rFonts w:hint="cs"/>
          <w:rtl/>
        </w:rPr>
        <w:t>ת</w:t>
      </w:r>
      <w:r w:rsidRPr="0030138D">
        <w:rPr>
          <w:rtl/>
        </w:rPr>
        <w:t xml:space="preserve"> הנ"ל כ</w:t>
      </w:r>
      <w:r w:rsidRPr="0030138D">
        <w:rPr>
          <w:rFonts w:hint="cs"/>
          <w:rtl/>
        </w:rPr>
        <w:t>ת</w:t>
      </w:r>
      <w:r w:rsidRPr="0030138D">
        <w:rPr>
          <w:rtl/>
        </w:rPr>
        <w:t xml:space="preserve">ב להדיא דמילה ודאי מלאכה הצל"ג הוא שהוא צריך שיהיה אדם זה מהול ומהדומה לזה הנוטל צפרניו אם בכלי וכן שפמו חייב משום </w:t>
      </w:r>
      <w:r w:rsidRPr="0030138D">
        <w:rPr>
          <w:rFonts w:hint="cs"/>
          <w:rtl/>
        </w:rPr>
        <w:t>ת</w:t>
      </w:r>
      <w:r w:rsidRPr="0030138D">
        <w:rPr>
          <w:rtl/>
        </w:rPr>
        <w:t>ולדה דגוזז ואע"פ שא"צ לגוף הצפרנים נקראת מלאכה הצל"ג וכן הזורה והבורר ומאן דשקיל אקופי מגלימא עה כולן דומו</w:t>
      </w:r>
      <w:r w:rsidRPr="0030138D">
        <w:rPr>
          <w:rFonts w:hint="cs"/>
          <w:rtl/>
        </w:rPr>
        <w:t>ת</w:t>
      </w:r>
      <w:r w:rsidRPr="0030138D">
        <w:rPr>
          <w:rtl/>
        </w:rPr>
        <w:t xml:space="preserve"> למילה מבואר דלאו דוקא גוזז רק כל דבר המ</w:t>
      </w:r>
      <w:r w:rsidRPr="0030138D">
        <w:rPr>
          <w:rFonts w:hint="cs"/>
          <w:rtl/>
        </w:rPr>
        <w:t>ת</w:t>
      </w:r>
      <w:r w:rsidRPr="0030138D">
        <w:rPr>
          <w:rtl/>
        </w:rPr>
        <w:t>יפה ונ</w:t>
      </w:r>
      <w:r w:rsidRPr="0030138D">
        <w:rPr>
          <w:rFonts w:hint="cs"/>
          <w:rtl/>
        </w:rPr>
        <w:t>ת</w:t>
      </w:r>
      <w:r w:rsidRPr="0030138D">
        <w:rPr>
          <w:rtl/>
        </w:rPr>
        <w:t>קן על ידו הוי מלאכה הצריכה לגופה אולם לדע</w:t>
      </w:r>
      <w:r w:rsidRPr="0030138D">
        <w:rPr>
          <w:rFonts w:hint="cs"/>
          <w:rtl/>
        </w:rPr>
        <w:t xml:space="preserve">ת </w:t>
      </w:r>
      <w:r w:rsidRPr="0030138D">
        <w:rPr>
          <w:rtl/>
        </w:rPr>
        <w:t>ה</w:t>
      </w:r>
      <w:r w:rsidRPr="0030138D">
        <w:rPr>
          <w:rFonts w:hint="cs"/>
          <w:rtl/>
        </w:rPr>
        <w:t>ת</w:t>
      </w:r>
      <w:r w:rsidRPr="0030138D">
        <w:rPr>
          <w:rtl/>
        </w:rPr>
        <w:t>וס מבואר להדיא דאינו כן וכן מבואר בבעל המאור לז מ</w:t>
      </w:r>
      <w:r w:rsidRPr="0030138D">
        <w:rPr>
          <w:rFonts w:hint="cs"/>
          <w:rtl/>
        </w:rPr>
        <w:t>ד</w:t>
      </w:r>
      <w:r w:rsidRPr="0030138D">
        <w:rPr>
          <w:rtl/>
        </w:rPr>
        <w:t>פי הרי"ף דמלאכ</w:t>
      </w:r>
      <w:r w:rsidRPr="0030138D">
        <w:rPr>
          <w:rFonts w:hint="cs"/>
          <w:rtl/>
        </w:rPr>
        <w:t>ת</w:t>
      </w:r>
      <w:r w:rsidRPr="0030138D">
        <w:rPr>
          <w:rtl/>
        </w:rPr>
        <w:t xml:space="preserve"> זורה ובורר עיקרן שם מלאכ</w:t>
      </w:r>
      <w:r w:rsidRPr="0030138D">
        <w:rPr>
          <w:rFonts w:hint="cs"/>
          <w:rtl/>
        </w:rPr>
        <w:t>ת</w:t>
      </w:r>
      <w:r w:rsidRPr="0030138D">
        <w:rPr>
          <w:rtl/>
        </w:rPr>
        <w:t>ן הוי מלאכה שאצ"ל וכך חיובן משא"כ מלאכו</w:t>
      </w:r>
      <w:r w:rsidRPr="0030138D">
        <w:rPr>
          <w:rFonts w:hint="cs"/>
          <w:rtl/>
        </w:rPr>
        <w:t>ת</w:t>
      </w:r>
      <w:r w:rsidRPr="0030138D">
        <w:rPr>
          <w:rtl/>
        </w:rPr>
        <w:t xml:space="preserve"> אחרו</w:t>
      </w:r>
      <w:r w:rsidRPr="0030138D">
        <w:rPr>
          <w:rFonts w:hint="cs"/>
          <w:rtl/>
        </w:rPr>
        <w:t>ת.</w:t>
      </w:r>
    </w:p>
    <w:p w14:paraId="526066FA" w14:textId="1F5233C1" w:rsidR="00316453" w:rsidRDefault="00316453" w:rsidP="00316453">
      <w:pPr>
        <w:pStyle w:val="afffff7"/>
        <w:rPr>
          <w:rtl/>
        </w:rPr>
      </w:pPr>
      <w:bookmarkStart w:id="1918" w:name="_Toc136620433"/>
      <w:bookmarkStart w:id="1919" w:name="_Toc163505712"/>
      <w:r>
        <w:rPr>
          <w:rtl/>
        </w:rPr>
        <w:t>תוספות שבת צ"ד ע"א</w:t>
      </w:r>
      <w:r>
        <w:rPr>
          <w:rFonts w:hint="cs"/>
          <w:rtl/>
        </w:rPr>
        <w:t xml:space="preserve"> ד"ה ר"ש</w:t>
      </w:r>
      <w:bookmarkEnd w:id="1918"/>
      <w:bookmarkEnd w:id="1919"/>
    </w:p>
    <w:p w14:paraId="575B5CEF" w14:textId="77777777" w:rsidR="00316453" w:rsidRPr="005C5103" w:rsidRDefault="00316453" w:rsidP="00316453">
      <w:pPr>
        <w:pStyle w:val="afffffb"/>
        <w:rPr>
          <w:vanish/>
          <w:rtl/>
        </w:rPr>
      </w:pPr>
      <w:r w:rsidRPr="005C5103">
        <w:rPr>
          <w:vanish/>
          <w:rtl/>
        </w:rPr>
        <w:t xml:space="preserve">אגלי טל זורה </w:t>
      </w:r>
      <w:r w:rsidRPr="005C5103">
        <w:rPr>
          <w:rFonts w:hint="cs"/>
          <w:vanish/>
          <w:rtl/>
        </w:rPr>
        <w:t>סק"</w:t>
      </w:r>
      <w:r w:rsidRPr="005C5103">
        <w:rPr>
          <w:vanish/>
          <w:rtl/>
        </w:rPr>
        <w:t>א אות</w:t>
      </w:r>
      <w:r w:rsidRPr="005C5103">
        <w:rPr>
          <w:rFonts w:hint="cs"/>
          <w:vanish/>
          <w:rtl/>
        </w:rPr>
        <w:t xml:space="preserve"> ז'</w:t>
      </w:r>
    </w:p>
    <w:p w14:paraId="67092E0A" w14:textId="77777777" w:rsidR="00316453" w:rsidRPr="00607EE3" w:rsidRDefault="00316453" w:rsidP="00316453">
      <w:pPr>
        <w:pStyle w:val="a7"/>
        <w:rPr>
          <w:rtl/>
        </w:rPr>
      </w:pPr>
      <w:bookmarkStart w:id="1920" w:name="_Toc136618669"/>
      <w:r>
        <w:rPr>
          <w:rFonts w:hint="cs"/>
          <w:rtl/>
        </w:rPr>
        <w:t>בי' האגל"ט בתוס' דאף דבבורר עושה מלאכה לצורך שהיה במשכן מ"מ גוף המלאכה באוכל</w:t>
      </w:r>
      <w:bookmarkEnd w:id="1920"/>
    </w:p>
    <w:p w14:paraId="66382114" w14:textId="06B5803B" w:rsidR="00316453" w:rsidRPr="00D064F6" w:rsidRDefault="00316453" w:rsidP="00BC7DC8">
      <w:pPr>
        <w:pStyle w:val="a3"/>
        <w:rPr>
          <w:rtl/>
        </w:rPr>
      </w:pPr>
      <w:bookmarkStart w:id="1921" w:name="_Ref136474562"/>
      <w:r>
        <w:rPr>
          <w:rFonts w:hint="cs"/>
          <w:rtl/>
        </w:rPr>
        <w:t xml:space="preserve">וכתב </w:t>
      </w:r>
      <w:r w:rsidRPr="00527BD6">
        <w:rPr>
          <w:rStyle w:val="aff4"/>
          <w:rFonts w:hint="cs"/>
          <w:vanish/>
          <w:rtl/>
        </w:rPr>
        <w:t>-</w:t>
      </w:r>
      <w:r w:rsidRPr="00DE28D5">
        <w:rPr>
          <w:rStyle w:val="aff4"/>
          <w:rFonts w:hint="cs"/>
          <w:rtl/>
        </w:rPr>
        <w:t>האגלי טל</w:t>
      </w:r>
      <w:r w:rsidRPr="00527BD6">
        <w:rPr>
          <w:rStyle w:val="aff4"/>
          <w:rFonts w:hint="cs"/>
          <w:vanish/>
          <w:rtl/>
        </w:rPr>
        <w:t>-</w:t>
      </w:r>
      <w:r>
        <w:rPr>
          <w:rFonts w:hint="cs"/>
          <w:rtl/>
        </w:rPr>
        <w:t xml:space="preserve"> דהיה אפש"ל דאף </w:t>
      </w:r>
      <w:r w:rsidRPr="00527BD6">
        <w:rPr>
          <w:rStyle w:val="aff4"/>
          <w:rFonts w:hint="cs"/>
          <w:vanish/>
          <w:rtl/>
        </w:rPr>
        <w:t>-</w:t>
      </w:r>
      <w:r w:rsidRPr="00DE28D5">
        <w:rPr>
          <w:rStyle w:val="aff4"/>
          <w:rFonts w:hint="cs"/>
          <w:rtl/>
        </w:rPr>
        <w:t>התוס'</w:t>
      </w:r>
      <w:r w:rsidRPr="00527BD6">
        <w:rPr>
          <w:rStyle w:val="aff4"/>
          <w:rFonts w:hint="cs"/>
          <w:vanish/>
          <w:rtl/>
        </w:rPr>
        <w:t>-</w:t>
      </w:r>
      <w:r>
        <w:rPr>
          <w:rFonts w:hint="cs"/>
          <w:rtl/>
        </w:rPr>
        <w:t xml:space="preserve"> ס"ל </w:t>
      </w:r>
      <w:r w:rsidRPr="00527BD6">
        <w:rPr>
          <w:rStyle w:val="aff4"/>
          <w:rFonts w:hint="cs"/>
          <w:vanish/>
          <w:rtl/>
        </w:rPr>
        <w:t>-</w:t>
      </w:r>
      <w:r w:rsidRPr="00DE28D5">
        <w:rPr>
          <w:rStyle w:val="aff4"/>
          <w:rFonts w:hint="cs"/>
          <w:rtl/>
        </w:rPr>
        <w:t>כרמב"ן</w:t>
      </w:r>
      <w:r w:rsidRPr="00527BD6">
        <w:rPr>
          <w:rStyle w:val="aff4"/>
          <w:rFonts w:hint="cs"/>
          <w:vanish/>
          <w:rtl/>
        </w:rPr>
        <w:t>-</w:t>
      </w:r>
      <w:r>
        <w:rPr>
          <w:rFonts w:hint="cs"/>
          <w:rtl/>
        </w:rPr>
        <w:t xml:space="preserve"> דבורר א"צ לגופה ואפ"ה חייב כיון דצריך את המלאכה עצמה, דהא בגדר מלאכה שא"צ לגופה כתבו </w:t>
      </w:r>
      <w:r w:rsidRPr="00527BD6">
        <w:rPr>
          <w:rStyle w:val="aff4"/>
          <w:rFonts w:hint="cs"/>
          <w:vanish/>
          <w:rtl/>
        </w:rPr>
        <w:t>-</w:t>
      </w:r>
      <w:r w:rsidRPr="00DE28D5">
        <w:rPr>
          <w:rStyle w:val="aff4"/>
          <w:rFonts w:hint="cs"/>
          <w:rtl/>
        </w:rPr>
        <w:t>ה</w:t>
      </w:r>
      <w:r w:rsidRPr="00527BD6">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Ref136474562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כ)</w:t>
      </w:r>
      <w:r>
        <w:rPr>
          <w:rStyle w:val="aff4"/>
          <w:vanish/>
          <w:rtl/>
        </w:rPr>
        <w:fldChar w:fldCharType="end"/>
      </w:r>
      <w:r w:rsidRPr="00527BD6">
        <w:rPr>
          <w:rStyle w:val="aff4"/>
          <w:rFonts w:hint="cs"/>
          <w:vanish/>
          <w:rtl/>
        </w:rPr>
        <w:t xml:space="preserve"> &gt;</w:t>
      </w:r>
      <w:r w:rsidRPr="00DE28D5">
        <w:rPr>
          <w:rStyle w:val="aff4"/>
          <w:rFonts w:hint="cs"/>
          <w:rtl/>
        </w:rPr>
        <w:t>תוס' לקמן</w:t>
      </w:r>
      <w:r w:rsidRPr="00527BD6">
        <w:rPr>
          <w:rStyle w:val="aff4"/>
          <w:rFonts w:hint="cs"/>
          <w:vanish/>
          <w:rtl/>
        </w:rPr>
        <w:t>-</w:t>
      </w:r>
      <w:r>
        <w:rPr>
          <w:rFonts w:hint="cs"/>
          <w:rtl/>
        </w:rPr>
        <w:t xml:space="preserve"> </w:t>
      </w:r>
      <w:r w:rsidRPr="00D4778B">
        <w:rPr>
          <w:rStyle w:val="af2"/>
          <w:rFonts w:eastAsia="Guttman Hodes" w:hint="cs"/>
          <w:rtl/>
        </w:rPr>
        <w:t>(צד. ד"ה ר"ש)</w:t>
      </w:r>
      <w:r>
        <w:rPr>
          <w:rFonts w:hint="cs"/>
          <w:rtl/>
        </w:rPr>
        <w:t xml:space="preserve"> דכשעושה מלאכה שהייתה במשכן לצורך דבר מסוים, והוא א"צ את אותו הצורך, דהוי מלאכה שא"צ לגופה, וא"כ בבורר שבמשכן עשו כן לצורך הסממנין וכל בורר עושה כן ג"כ לצורך האוכל, א"כ חשיב מלאכה הצריכה לגופה, אך דחה </w:t>
      </w:r>
      <w:r w:rsidRPr="00527BD6">
        <w:rPr>
          <w:rStyle w:val="aff4"/>
          <w:rFonts w:hint="cs"/>
          <w:vanish/>
          <w:rtl/>
        </w:rPr>
        <w:t>-</w:t>
      </w:r>
      <w:r w:rsidRPr="00DE28D5">
        <w:rPr>
          <w:rStyle w:val="aff4"/>
          <w:rFonts w:hint="cs"/>
          <w:rtl/>
        </w:rPr>
        <w:t>האגלי טל</w:t>
      </w:r>
      <w:r w:rsidRPr="00527BD6">
        <w:rPr>
          <w:rStyle w:val="aff4"/>
          <w:rFonts w:hint="cs"/>
          <w:vanish/>
          <w:rtl/>
        </w:rPr>
        <w:t>-</w:t>
      </w:r>
      <w:r>
        <w:rPr>
          <w:rFonts w:hint="cs"/>
          <w:rtl/>
        </w:rPr>
        <w:t xml:space="preserve"> דהא </w:t>
      </w:r>
      <w:r w:rsidRPr="00527BD6">
        <w:rPr>
          <w:rStyle w:val="aff4"/>
          <w:rFonts w:hint="cs"/>
          <w:vanish/>
          <w:rtl/>
        </w:rPr>
        <w:t>-</w:t>
      </w:r>
      <w:r w:rsidRPr="00DE28D5">
        <w:rPr>
          <w:rStyle w:val="aff4"/>
          <w:rFonts w:hint="cs"/>
          <w:rtl/>
        </w:rPr>
        <w:t>התוס' לקמן</w:t>
      </w:r>
      <w:r w:rsidRPr="00527BD6">
        <w:rPr>
          <w:rStyle w:val="aff4"/>
          <w:rFonts w:hint="cs"/>
          <w:vanish/>
          <w:rtl/>
        </w:rPr>
        <w:t>-</w:t>
      </w:r>
      <w:r>
        <w:rPr>
          <w:rFonts w:hint="cs"/>
          <w:rtl/>
        </w:rPr>
        <w:t xml:space="preserve"> ביארו דגוף המלאכה הוא הצורך שבשבילו נעשית המלאכה במשכן, וממילא בבורר שהצורך הוא לאוכל ולא לפסולת, א"כ גוף המלאכה היא באוכל וכדעת הירושלמי, </w:t>
      </w:r>
      <w:r w:rsidRPr="00F94CA1">
        <w:rPr>
          <w:rStyle w:val="af"/>
          <w:rFonts w:hint="cs"/>
          <w:rtl/>
        </w:rPr>
        <w:t xml:space="preserve">[כדביאר </w:t>
      </w:r>
      <w:r w:rsidRPr="00F94CA1">
        <w:rPr>
          <w:rStyle w:val="aff9"/>
          <w:rFonts w:hint="cs"/>
          <w:vanish/>
          <w:rtl/>
        </w:rPr>
        <w:t>-</w:t>
      </w:r>
      <w:r w:rsidRPr="00F94CA1">
        <w:rPr>
          <w:rStyle w:val="aff9"/>
          <w:rFonts w:hint="cs"/>
          <w:rtl/>
        </w:rPr>
        <w:t>האגלי טל</w:t>
      </w:r>
      <w:r w:rsidRPr="00F94CA1">
        <w:rPr>
          <w:rStyle w:val="aff9"/>
          <w:rFonts w:hint="cs"/>
          <w:vanish/>
          <w:rtl/>
        </w:rPr>
        <w:t>-</w:t>
      </w:r>
      <w:r w:rsidRPr="00F94CA1">
        <w:rPr>
          <w:rStyle w:val="af"/>
          <w:rFonts w:hint="cs"/>
          <w:rtl/>
        </w:rPr>
        <w:t xml:space="preserve"> </w:t>
      </w:r>
      <w:r w:rsidRPr="00F94CA1">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Ref136618802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לד)</w:t>
      </w:r>
      <w:r>
        <w:rPr>
          <w:rStyle w:val="aff0"/>
          <w:rtl/>
        </w:rPr>
        <w:fldChar w:fldCharType="end"/>
      </w:r>
      <w:r w:rsidRPr="00F94CA1">
        <w:rPr>
          <w:rStyle w:val="af"/>
          <w:rFonts w:hint="cs"/>
          <w:rtl/>
        </w:rPr>
        <w:t xml:space="preserve"> בירושלמי],</w:t>
      </w:r>
      <w:r>
        <w:rPr>
          <w:rFonts w:hint="cs"/>
          <w:rtl/>
        </w:rPr>
        <w:t xml:space="preserve"> ודלא </w:t>
      </w:r>
      <w:r w:rsidRPr="00527BD6">
        <w:rPr>
          <w:rStyle w:val="aff4"/>
          <w:rFonts w:hint="cs"/>
          <w:vanish/>
          <w:rtl/>
        </w:rPr>
        <w:t>-</w:t>
      </w:r>
      <w:r w:rsidRPr="00DE28D5">
        <w:rPr>
          <w:rStyle w:val="aff4"/>
          <w:rFonts w:hint="cs"/>
          <w:rtl/>
        </w:rPr>
        <w:t>כרמב"ן</w:t>
      </w:r>
      <w:r w:rsidRPr="00527BD6">
        <w:rPr>
          <w:rStyle w:val="aff4"/>
          <w:rFonts w:hint="cs"/>
          <w:vanish/>
          <w:rtl/>
        </w:rPr>
        <w:t>-</w:t>
      </w:r>
      <w:r>
        <w:rPr>
          <w:rFonts w:hint="cs"/>
          <w:rtl/>
        </w:rPr>
        <w:t>.</w:t>
      </w:r>
      <w:bookmarkEnd w:id="1921"/>
    </w:p>
    <w:p w14:paraId="1259E83E" w14:textId="77777777" w:rsidR="00316453" w:rsidRPr="00747170" w:rsidRDefault="00316453" w:rsidP="00747170">
      <w:pPr>
        <w:pStyle w:val="a2"/>
      </w:pPr>
      <w:r w:rsidRPr="00747170">
        <w:rPr>
          <w:rtl/>
        </w:rPr>
        <w:t>ואף דבדף צ"ד. כתבו דמלאכה שא"צ לגופה קרי כשעושה מלאכה וא"צ לאותו צורך שהיו צריכין לה במשכן אלא לענין אחר. וא"כ כיון דבמשכן הי' צריכין לסממנין דהיינו אוכל והוא צריך לאוכל הרי חשוב צריך לגופה. ליתא שהרי התוס' שם כתבו הטעם כי הצורך שהיתה מלאכה נעשית בשבילה הוא גוף המלאכה. וא"כ כיון שהצורך באוכל הרי גוף המלאכה באוכל ולא בפסולת וכדעת הירושלמי.</w:t>
      </w:r>
    </w:p>
    <w:p w14:paraId="1E2F3C30" w14:textId="77777777" w:rsidR="00316453" w:rsidRPr="0030138D" w:rsidRDefault="00316453" w:rsidP="00747170">
      <w:pPr>
        <w:pStyle w:val="afffff5"/>
        <w:rPr>
          <w:rtl/>
        </w:rPr>
      </w:pPr>
      <w:r w:rsidRPr="0030138D">
        <w:rPr>
          <w:rtl/>
        </w:rPr>
        <w:t>רבי שמעון פוטר - נראה לר"י דמלאכה שאינה צריכה לגופה קרי כשעושה מלאכה ואין צריך לאותו צורך כעין שהיו צריכין לה במשכן אלא לענין אחר כי הצורך שהיתה מלאכה נעשית בשבילו במשכן הוא גוף (איסור) המלאכה ושורשו</w:t>
      </w:r>
      <w:r w:rsidRPr="0030138D">
        <w:rPr>
          <w:rFonts w:hint="cs"/>
          <w:rtl/>
        </w:rPr>
        <w:t>.</w:t>
      </w:r>
    </w:p>
    <w:p w14:paraId="1524B09E" w14:textId="6337C0EC" w:rsidR="00316453" w:rsidRDefault="00316453" w:rsidP="00316453">
      <w:pPr>
        <w:pStyle w:val="1"/>
        <w:rPr>
          <w:rtl/>
        </w:rPr>
      </w:pPr>
      <w:bookmarkStart w:id="1922" w:name="_Toc136618670"/>
      <w:r>
        <w:rPr>
          <w:rFonts w:hint="cs"/>
          <w:rtl/>
        </w:rPr>
        <w:t>בי' פי' קדמון ממצרים ברמב"ם דזורה תיקון האוכל מהפסולת</w:t>
      </w:r>
      <w:bookmarkEnd w:id="1922"/>
    </w:p>
    <w:p w14:paraId="3B985333" w14:textId="77777777" w:rsidR="00316453" w:rsidRPr="006B76D5" w:rsidRDefault="00316453" w:rsidP="00316453">
      <w:pPr>
        <w:pStyle w:val="afffff7"/>
        <w:rPr>
          <w:rtl/>
        </w:rPr>
      </w:pPr>
      <w:bookmarkStart w:id="1923" w:name="_Toc136620434"/>
      <w:bookmarkStart w:id="1924" w:name="_Toc163505713"/>
      <w:r w:rsidRPr="006B76D5">
        <w:rPr>
          <w:rtl/>
        </w:rPr>
        <w:t>רמב"ם שבת פ"ח הי"א</w:t>
      </w:r>
      <w:bookmarkEnd w:id="1923"/>
      <w:bookmarkEnd w:id="1924"/>
    </w:p>
    <w:p w14:paraId="5DBC8F09" w14:textId="77777777" w:rsidR="00316453" w:rsidRDefault="00316453" w:rsidP="00316453">
      <w:pPr>
        <w:pStyle w:val="afffff7"/>
        <w:rPr>
          <w:rtl/>
        </w:rPr>
      </w:pPr>
      <w:bookmarkStart w:id="1925" w:name="_Toc136620435"/>
      <w:bookmarkStart w:id="1926" w:name="_Toc136618671"/>
      <w:bookmarkStart w:id="1927" w:name="_Toc163505714"/>
      <w:r w:rsidRPr="00E57478">
        <w:rPr>
          <w:rtl/>
        </w:rPr>
        <w:t xml:space="preserve">פירוש קדמון ממצרים </w:t>
      </w:r>
      <w:r>
        <w:rPr>
          <w:rFonts w:hint="cs"/>
          <w:rtl/>
        </w:rPr>
        <w:t>שבת פ"ח הי"א</w:t>
      </w:r>
      <w:bookmarkEnd w:id="1925"/>
      <w:bookmarkEnd w:id="1927"/>
    </w:p>
    <w:p w14:paraId="25C83F5C" w14:textId="77777777" w:rsidR="00316453" w:rsidRDefault="00316453" w:rsidP="00316453">
      <w:pPr>
        <w:pStyle w:val="a7"/>
        <w:rPr>
          <w:rtl/>
        </w:rPr>
      </w:pPr>
      <w:r>
        <w:rPr>
          <w:rFonts w:hint="cs"/>
          <w:rtl/>
        </w:rPr>
        <w:t>בי' פי' קדמון ממצרים דזורה ובורר ומרקד הוא הסרת פסולת וכל הסרת פסולת חייב בא' מהם</w:t>
      </w:r>
      <w:bookmarkEnd w:id="1926"/>
    </w:p>
    <w:p w14:paraId="0E338644" w14:textId="6A52095D" w:rsidR="00316453" w:rsidRPr="000F1309" w:rsidRDefault="00316453" w:rsidP="00BC7DC8">
      <w:pPr>
        <w:pStyle w:val="a3"/>
        <w:rPr>
          <w:rtl/>
        </w:rPr>
      </w:pPr>
      <w:bookmarkStart w:id="1928" w:name="_Ref136597040"/>
      <w:r>
        <w:rPr>
          <w:rFonts w:hint="cs"/>
          <w:rtl/>
        </w:rPr>
        <w:t xml:space="preserve">כתב </w:t>
      </w:r>
      <w:r w:rsidRPr="00D20CCA">
        <w:rPr>
          <w:rStyle w:val="aff4"/>
          <w:rFonts w:hint="cs"/>
          <w:vanish/>
          <w:rtl/>
        </w:rPr>
        <w:t>-</w:t>
      </w:r>
      <w:r w:rsidRPr="00551455">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Ref136597040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כא)</w:t>
      </w:r>
      <w:r>
        <w:rPr>
          <w:rStyle w:val="aff4"/>
          <w:vanish/>
          <w:rtl/>
        </w:rPr>
        <w:fldChar w:fldCharType="end"/>
      </w:r>
      <w:r>
        <w:rPr>
          <w:rStyle w:val="aff4"/>
          <w:rFonts w:hint="cs"/>
          <w:vanish/>
          <w:rtl/>
        </w:rPr>
        <w:t xml:space="preserve"> &gt;</w:t>
      </w:r>
      <w:r w:rsidRPr="00551455">
        <w:rPr>
          <w:rStyle w:val="aff4"/>
          <w:rFonts w:hint="cs"/>
          <w:rtl/>
        </w:rPr>
        <w:t>רמב"ם</w:t>
      </w:r>
      <w:r w:rsidRPr="00D20CCA">
        <w:rPr>
          <w:rStyle w:val="aff4"/>
          <w:rFonts w:hint="cs"/>
          <w:vanish/>
          <w:rtl/>
        </w:rPr>
        <w:t>-</w:t>
      </w:r>
      <w:r>
        <w:rPr>
          <w:rFonts w:hint="cs"/>
          <w:rtl/>
        </w:rPr>
        <w:t xml:space="preserve"> </w:t>
      </w:r>
      <w:r w:rsidRPr="00D4778B">
        <w:rPr>
          <w:rStyle w:val="af2"/>
          <w:rFonts w:eastAsia="Guttman Hodes" w:hint="cs"/>
          <w:rtl/>
        </w:rPr>
        <w:t>(שבת פ"ח ה</w:t>
      </w:r>
      <w:r>
        <w:rPr>
          <w:rStyle w:val="af2"/>
          <w:rFonts w:eastAsia="Guttman Hodes" w:hint="cs"/>
          <w:rtl/>
        </w:rPr>
        <w:t>י</w:t>
      </w:r>
      <w:r w:rsidRPr="00D4778B">
        <w:rPr>
          <w:rStyle w:val="af2"/>
          <w:rFonts w:eastAsia="Guttman Hodes" w:hint="cs"/>
          <w:rtl/>
        </w:rPr>
        <w:t>"א)</w:t>
      </w:r>
      <w:r w:rsidRPr="00B822EC">
        <w:rPr>
          <w:rFonts w:hint="cs"/>
          <w:vanish/>
          <w:rtl/>
        </w:rPr>
        <w:t>=</w:t>
      </w:r>
      <w:r>
        <w:rPr>
          <w:rFonts w:hint="cs"/>
          <w:rtl/>
        </w:rPr>
        <w:t xml:space="preserve"> דמחבץ הוא תולדת בורר, וכן בורר שמרים מתוך משקין הוא תולדת בורר או תולדת מרקד וחייב, וביאר </w:t>
      </w:r>
      <w:r w:rsidRPr="003709EE">
        <w:rPr>
          <w:rStyle w:val="aff4"/>
          <w:rFonts w:hint="cs"/>
          <w:vanish/>
          <w:rtl/>
        </w:rPr>
        <w:t>-</w:t>
      </w:r>
      <w:r w:rsidRPr="003709EE">
        <w:rPr>
          <w:rStyle w:val="aff4"/>
          <w:rFonts w:hint="cs"/>
          <w:rtl/>
        </w:rPr>
        <w:t>הרמב"ם</w:t>
      </w:r>
      <w:r w:rsidRPr="003709EE">
        <w:rPr>
          <w:rStyle w:val="aff4"/>
          <w:rFonts w:hint="cs"/>
          <w:vanish/>
          <w:rtl/>
        </w:rPr>
        <w:t>-</w:t>
      </w:r>
      <w:r>
        <w:rPr>
          <w:rFonts w:hint="cs"/>
          <w:rtl/>
        </w:rPr>
        <w:t xml:space="preserve"> דזורה ובורר ומרקד אף שהם דומים זה לזה בעניין שלהם, מ"מ מנו אותם לג' מלאכות, כיון שכל מלאכה שהייתה במשכן מנו אותה כמלאכה בפנ"ע, וביאר </w:t>
      </w:r>
      <w:r w:rsidRPr="00AD3FB3">
        <w:rPr>
          <w:rFonts w:hint="cs"/>
          <w:vanish/>
          <w:rtl/>
        </w:rPr>
        <w:t>-</w:t>
      </w:r>
      <w:r w:rsidRPr="003709EE">
        <w:rPr>
          <w:rStyle w:val="aff4"/>
          <w:rFonts w:hint="cs"/>
          <w:rtl/>
        </w:rPr>
        <w:t>ב</w:t>
      </w:r>
      <w:r w:rsidRPr="00AD3FB3">
        <w:rPr>
          <w:rStyle w:val="aff4"/>
          <w:rFonts w:hint="cs"/>
          <w:vanish/>
          <w:rtl/>
        </w:rPr>
        <w:t>&lt; &gt;</w:t>
      </w:r>
      <w:r w:rsidRPr="003709EE">
        <w:rPr>
          <w:rStyle w:val="aff4"/>
          <w:rFonts w:hint="cs"/>
          <w:rtl/>
        </w:rPr>
        <w:t>פי' קדמון ממצרים</w:t>
      </w:r>
      <w:r w:rsidRPr="00AD3FB3">
        <w:rPr>
          <w:rFonts w:hint="cs"/>
          <w:vanish/>
          <w:rtl/>
        </w:rPr>
        <w:t>-</w:t>
      </w:r>
      <w:r>
        <w:rPr>
          <w:rFonts w:hint="cs"/>
          <w:rtl/>
        </w:rPr>
        <w:t xml:space="preserve"> </w:t>
      </w:r>
      <w:r w:rsidRPr="00D9231E">
        <w:rPr>
          <w:rStyle w:val="af2"/>
          <w:rFonts w:eastAsia="Guttman Hodes" w:hint="cs"/>
          <w:rtl/>
        </w:rPr>
        <w:t>(שבת פ"ח הי"א, נד' בסוף הרמב"ם מהדו' פרנקל)</w:t>
      </w:r>
      <w:r>
        <w:rPr>
          <w:rFonts w:hint="cs"/>
          <w:vanish/>
          <w:rtl/>
        </w:rPr>
        <w:t>=</w:t>
      </w:r>
      <w:r>
        <w:rPr>
          <w:rFonts w:hint="cs"/>
          <w:rtl/>
        </w:rPr>
        <w:t xml:space="preserve"> דזורה הוא ניפוץ התבן מהתבואה במזרה, ובורר הוא הסרת צרורות מתבואה, ועיקר מלאכת בורר היא הסרת פסולת מאוכל, ולכן כל הפרדת אוכל מפסולת חייב משום בורר כגון מחבץ דהוא מפריד את החלב מהקום, ובורר שמרים דמי למרקד שמניח את היין ומסיר השמרים, ודמי לבורר שמסיר פסולת מהתבואה.</w:t>
      </w:r>
      <w:bookmarkEnd w:id="1928"/>
    </w:p>
    <w:p w14:paraId="69B28A02" w14:textId="77777777" w:rsidR="00316453" w:rsidRPr="00747170" w:rsidRDefault="00316453" w:rsidP="00747170">
      <w:pPr>
        <w:pStyle w:val="a2"/>
      </w:pPr>
      <w:r w:rsidRPr="00747170">
        <w:rPr>
          <w:rtl/>
        </w:rPr>
        <w:t xml:space="preserve">הזורה או הבורר כגרוגרת חייב, והמחבץ הרי הוא תולדת בורר, וכן הבורר שמרים מתוך המשקין הרי זה תולדת בורר או תולדת מרקד וחייב, שהזורה והבורר והמרקד דומין עניניהם זה לזה, ומפני מה מנו אותן בשלשה מפני שכל מלאכה שהיתה במשכן מונין אותה בפני עצמה. </w:t>
      </w:r>
    </w:p>
    <w:p w14:paraId="01656E7C" w14:textId="77777777" w:rsidR="00316453" w:rsidRPr="0030138D" w:rsidRDefault="00316453" w:rsidP="00747170">
      <w:pPr>
        <w:pStyle w:val="afffff5"/>
        <w:rPr>
          <w:rtl/>
        </w:rPr>
      </w:pPr>
      <w:r w:rsidRPr="0030138D">
        <w:rPr>
          <w:rFonts w:hint="cs"/>
          <w:rtl/>
        </w:rPr>
        <w:t>הזורה או הבורר כגרוגרת חייב וכו', כבר אמרנו שהזורה הוא המנפץ התבן מן התבואה במזרה והבורר הוא המסיר הצרורות וחותכות הטיט הקטנים מן התבואה, לפי' כל המפריד אוכל מפסולת שלו חייב משום בורר כגון המחבץ שהוא המפרד החלב מן הקום. וכן הממחה שמרים מתוך המשקין וכו', עיקר מלאכת הבורר היא הסרת הפסולת שהיא הצרורות וכיו"ב מן התבואה לפיכך כל המסיר פסולת מתוך אוכל חייב משום בורר כגון הממחה שמרים מתוך המשקין וכו', והוא דומה למרקד שמוריד הקמח ומניח הסובין בנפה, והמחחה שמרים מסיר השמרים ומניח היין, והוא דומה לבורר שמסיר הפסולת מן התבואה ו</w:t>
      </w:r>
      <w:r w:rsidRPr="0030138D">
        <w:rPr>
          <w:rtl/>
        </w:rPr>
        <w:t>זהו שאמרו רז"ל הרי זה תולדת בורר או תולדת מרקד ללמדינו שאם התרו בו משום אחד מאלו חייב ובגמרא נחלקו בפרק רבי אליעזר אומר חולין את המשמרת במשמר משום מאי מתרינ</w:t>
      </w:r>
      <w:r w:rsidRPr="0030138D">
        <w:rPr>
          <w:rFonts w:hint="cs"/>
          <w:rtl/>
        </w:rPr>
        <w:t xml:space="preserve">ן </w:t>
      </w:r>
      <w:r w:rsidRPr="0030138D">
        <w:rPr>
          <w:rtl/>
        </w:rPr>
        <w:t>ביה רבה אמר משום</w:t>
      </w:r>
      <w:r w:rsidRPr="0030138D">
        <w:rPr>
          <w:rFonts w:hint="cs"/>
          <w:rtl/>
        </w:rPr>
        <w:t xml:space="preserve"> </w:t>
      </w:r>
      <w:r w:rsidRPr="0030138D">
        <w:rPr>
          <w:rtl/>
        </w:rPr>
        <w:t>בורר רבי זירא אמר משום מרקד ולא איפסיקא כחד מינייהו</w:t>
      </w:r>
      <w:r w:rsidRPr="0030138D">
        <w:rPr>
          <w:rFonts w:hint="cs"/>
          <w:rtl/>
        </w:rPr>
        <w:t>.</w:t>
      </w:r>
    </w:p>
    <w:p w14:paraId="2B4C32E9" w14:textId="5FFFB1A5" w:rsidR="00316453" w:rsidRDefault="00316453" w:rsidP="00316453">
      <w:pPr>
        <w:pStyle w:val="1"/>
        <w:rPr>
          <w:rtl/>
        </w:rPr>
      </w:pPr>
      <w:bookmarkStart w:id="1929" w:name="_Toc136618672"/>
      <w:r>
        <w:rPr>
          <w:rFonts w:hint="cs"/>
          <w:rtl/>
        </w:rPr>
        <w:t>בי' הגר"ז דגדר בורר הוא הפרדת מינים ואוכל ופסולת כב' מינים</w:t>
      </w:r>
      <w:bookmarkEnd w:id="1929"/>
    </w:p>
    <w:p w14:paraId="2549E066" w14:textId="77777777" w:rsidR="00316453" w:rsidRDefault="00316453" w:rsidP="00316453">
      <w:pPr>
        <w:pStyle w:val="afffff7"/>
        <w:rPr>
          <w:rtl/>
        </w:rPr>
      </w:pPr>
      <w:bookmarkStart w:id="1930" w:name="_Toc136620436"/>
      <w:bookmarkStart w:id="1931" w:name="_Toc163505715"/>
      <w:r>
        <w:rPr>
          <w:rtl/>
        </w:rPr>
        <w:t xml:space="preserve">שולחן ערוך הרב </w:t>
      </w:r>
      <w:r>
        <w:rPr>
          <w:rFonts w:hint="cs"/>
          <w:rtl/>
        </w:rPr>
        <w:t>או"ח</w:t>
      </w:r>
      <w:r>
        <w:rPr>
          <w:rtl/>
        </w:rPr>
        <w:t xml:space="preserve"> ת</w:t>
      </w:r>
      <w:r>
        <w:rPr>
          <w:rFonts w:hint="cs"/>
          <w:rtl/>
        </w:rPr>
        <w:t>"</w:t>
      </w:r>
      <w:r>
        <w:rPr>
          <w:rtl/>
        </w:rPr>
        <w:t>ק סעיף י</w:t>
      </w:r>
      <w:r>
        <w:rPr>
          <w:rFonts w:hint="cs"/>
          <w:rtl/>
        </w:rPr>
        <w:t>"</w:t>
      </w:r>
      <w:r>
        <w:rPr>
          <w:rtl/>
        </w:rPr>
        <w:t>ח</w:t>
      </w:r>
      <w:bookmarkEnd w:id="1930"/>
      <w:bookmarkEnd w:id="1931"/>
    </w:p>
    <w:p w14:paraId="1E328089" w14:textId="77777777" w:rsidR="00316453" w:rsidRDefault="00316453" w:rsidP="00316453">
      <w:pPr>
        <w:pStyle w:val="a7"/>
        <w:rPr>
          <w:rtl/>
        </w:rPr>
      </w:pPr>
      <w:bookmarkStart w:id="1932" w:name="_Toc136618673"/>
      <w:r>
        <w:rPr>
          <w:rFonts w:hint="cs"/>
          <w:rtl/>
        </w:rPr>
        <w:t>בי' הגר"ז דגדר בורר הוא רק הפרדת מינים או אוכל מפסולת דהם כעין ב' מינים</w:t>
      </w:r>
      <w:bookmarkEnd w:id="1932"/>
    </w:p>
    <w:p w14:paraId="1279D0F1" w14:textId="33223B00" w:rsidR="00316453" w:rsidRPr="00475A71" w:rsidRDefault="00316453" w:rsidP="00BC7DC8">
      <w:pPr>
        <w:pStyle w:val="a3"/>
        <w:rPr>
          <w:rtl/>
        </w:rPr>
      </w:pPr>
      <w:bookmarkStart w:id="1933" w:name="_Ref136449647"/>
      <w:r>
        <w:rPr>
          <w:rFonts w:hint="cs"/>
          <w:rtl/>
        </w:rPr>
        <w:t xml:space="preserve">וע"ע במ"ש </w:t>
      </w:r>
      <w:r w:rsidRPr="00CB65AA">
        <w:rPr>
          <w:rStyle w:val="aff4"/>
          <w:rFonts w:hint="cs"/>
          <w:vanish/>
          <w:rtl/>
        </w:rPr>
        <w:t>-</w:t>
      </w:r>
      <w:r w:rsidRPr="00996495">
        <w:rPr>
          <w:rStyle w:val="aff4"/>
          <w:rFonts w:hint="cs"/>
          <w:rtl/>
        </w:rPr>
        <w:t>ה</w:t>
      </w:r>
      <w:r w:rsidRPr="0062777A">
        <w:rPr>
          <w:rStyle w:val="aff4"/>
          <w:rFonts w:hint="cs"/>
          <w:vanish/>
          <w:rtl/>
        </w:rPr>
        <w:t xml:space="preserve">&lt;. </w:t>
      </w:r>
      <w:r w:rsidRPr="0062777A">
        <w:rPr>
          <w:rStyle w:val="aff4"/>
          <w:vanish/>
          <w:rtl/>
        </w:rPr>
        <w:fldChar w:fldCharType="begin"/>
      </w:r>
      <w:r w:rsidRPr="0062777A">
        <w:rPr>
          <w:rStyle w:val="aff4"/>
          <w:vanish/>
          <w:rtl/>
        </w:rPr>
        <w:instrText xml:space="preserve"> </w:instrText>
      </w:r>
      <w:r w:rsidRPr="0062777A">
        <w:rPr>
          <w:rStyle w:val="aff4"/>
          <w:rFonts w:hint="cs"/>
          <w:vanish/>
        </w:rPr>
        <w:instrText>REF</w:instrText>
      </w:r>
      <w:r w:rsidRPr="0062777A">
        <w:rPr>
          <w:rStyle w:val="aff4"/>
          <w:rFonts w:hint="cs"/>
          <w:vanish/>
          <w:rtl/>
        </w:rPr>
        <w:instrText xml:space="preserve"> _</w:instrText>
      </w:r>
      <w:r w:rsidRPr="0062777A">
        <w:rPr>
          <w:rStyle w:val="aff4"/>
          <w:rFonts w:hint="cs"/>
          <w:vanish/>
        </w:rPr>
        <w:instrText>Ref136449647 \r \h</w:instrText>
      </w:r>
      <w:r w:rsidRPr="0062777A">
        <w:rPr>
          <w:rStyle w:val="aff4"/>
          <w:vanish/>
          <w:rtl/>
        </w:rPr>
        <w:instrText xml:space="preserve"> </w:instrText>
      </w:r>
      <w:r w:rsidRPr="0062777A">
        <w:rPr>
          <w:rStyle w:val="aff4"/>
          <w:vanish/>
          <w:rtl/>
        </w:rPr>
      </w:r>
      <w:r w:rsidRPr="0062777A">
        <w:rPr>
          <w:rStyle w:val="aff4"/>
          <w:vanish/>
          <w:rtl/>
        </w:rPr>
        <w:fldChar w:fldCharType="separate"/>
      </w:r>
      <w:r w:rsidR="00D82181">
        <w:rPr>
          <w:rStyle w:val="aff4"/>
          <w:vanish/>
          <w:cs/>
        </w:rPr>
        <w:t>‎</w:t>
      </w:r>
      <w:r w:rsidR="00D82181">
        <w:rPr>
          <w:rStyle w:val="aff4"/>
          <w:vanish/>
          <w:rtl/>
        </w:rPr>
        <w:t>כב)</w:t>
      </w:r>
      <w:r w:rsidRPr="0062777A">
        <w:rPr>
          <w:rStyle w:val="aff4"/>
          <w:vanish/>
          <w:rtl/>
        </w:rPr>
        <w:fldChar w:fldCharType="end"/>
      </w:r>
      <w:r w:rsidRPr="0062777A">
        <w:rPr>
          <w:rStyle w:val="aff4"/>
          <w:rFonts w:hint="cs"/>
          <w:vanish/>
          <w:rtl/>
        </w:rPr>
        <w:t xml:space="preserve"> &gt;</w:t>
      </w:r>
      <w:r w:rsidRPr="00996495">
        <w:rPr>
          <w:rStyle w:val="aff4"/>
          <w:rFonts w:hint="cs"/>
          <w:rtl/>
        </w:rPr>
        <w:t>גר"ז</w:t>
      </w:r>
      <w:r w:rsidRPr="00CB65AA">
        <w:rPr>
          <w:rStyle w:val="aff4"/>
          <w:rFonts w:hint="cs"/>
          <w:vanish/>
          <w:rtl/>
        </w:rPr>
        <w:t>-</w:t>
      </w:r>
      <w:r>
        <w:rPr>
          <w:rFonts w:hint="cs"/>
          <w:rtl/>
        </w:rPr>
        <w:t xml:space="preserve"> </w:t>
      </w:r>
      <w:r w:rsidRPr="00D4778B">
        <w:rPr>
          <w:rStyle w:val="af2"/>
          <w:rFonts w:eastAsia="Guttman Hodes" w:hint="cs"/>
          <w:rtl/>
        </w:rPr>
        <w:t>(סי' ת"ק י"ח)</w:t>
      </w:r>
      <w:r w:rsidRPr="00CB65AA">
        <w:rPr>
          <w:rFonts w:hint="cs"/>
          <w:vanish/>
          <w:rtl/>
        </w:rPr>
        <w:t>=</w:t>
      </w:r>
      <w:r>
        <w:rPr>
          <w:rFonts w:hint="cs"/>
          <w:rtl/>
        </w:rPr>
        <w:t xml:space="preserve"> דמותר לנקר בהמה ביו"ט ואי"ז בורר, דמה שמפריד אוכל מאוכל אינו כלום, כיון דהבשר וגיד הנשה הם מין אחד ורק התורה אסרתו, ואילו איסור בורר הוא רק בהפרדת ב' מינים זה מזה, או בהפרדת אוכל מפסולת שהם כעין ב' מינים.</w:t>
      </w:r>
      <w:bookmarkEnd w:id="1933"/>
    </w:p>
    <w:p w14:paraId="66515C1E" w14:textId="77777777" w:rsidR="00316453" w:rsidRPr="00747170" w:rsidRDefault="00316453" w:rsidP="00747170">
      <w:pPr>
        <w:pStyle w:val="a2"/>
      </w:pPr>
      <w:r w:rsidRPr="00747170">
        <w:rPr>
          <w:rFonts w:hint="cs"/>
          <w:rtl/>
        </w:rPr>
        <w:t>מ</w:t>
      </w:r>
      <w:r w:rsidRPr="00747170">
        <w:rPr>
          <w:rtl/>
        </w:rPr>
        <w:t>ותר לנקר בהמה ביום טוב אף על פי שנשחטה מערב יום טוב והיה אפשר לנקרה קודם יום טוב לפי שהניקור אין בו מלאכה גמורה אף על פי שהוא בורר ומפריד אוכל מאוכל אין בכך כלום כיון שהכל מין אחד אלא שהתורה אסרתו באכילה ואין איסור בורר שייך אלא בבורר ומפריד שני מינים זה מזה או פסולת מתוך האוכל שהן כעין שני מינים</w:t>
      </w:r>
      <w:r w:rsidRPr="00747170">
        <w:rPr>
          <w:rFonts w:hint="cs"/>
          <w:rtl/>
        </w:rPr>
        <w:t>.</w:t>
      </w:r>
    </w:p>
    <w:p w14:paraId="5A47D3AF" w14:textId="5128C5DB" w:rsidR="00316453" w:rsidRDefault="00316453" w:rsidP="00316453">
      <w:pPr>
        <w:pStyle w:val="affff5"/>
        <w:rPr>
          <w:rtl/>
        </w:rPr>
      </w:pPr>
      <w:bookmarkStart w:id="1934" w:name="_Toc136618674"/>
      <w:r w:rsidRPr="00716C93">
        <w:rPr>
          <w:rFonts w:hint="cs"/>
          <w:rtl/>
        </w:rPr>
        <w:t>~~~~~~~~~~~~~~~~~~~~~~~~~~~~</w:t>
      </w:r>
      <w:bookmarkEnd w:id="1934"/>
    </w:p>
    <w:p w14:paraId="1090CE92" w14:textId="77777777" w:rsidR="00316453" w:rsidRDefault="00316453" w:rsidP="00316453">
      <w:pPr>
        <w:pStyle w:val="a7"/>
        <w:rPr>
          <w:rtl/>
        </w:rPr>
      </w:pPr>
      <w:bookmarkStart w:id="1935" w:name="_Toc136618675"/>
    </w:p>
    <w:p w14:paraId="1E518365" w14:textId="77777777" w:rsidR="00316453" w:rsidRDefault="00316453" w:rsidP="00316453">
      <w:pPr>
        <w:pStyle w:val="a7"/>
        <w:rPr>
          <w:rtl/>
        </w:rPr>
      </w:pPr>
    </w:p>
    <w:p w14:paraId="382A70B1" w14:textId="77777777" w:rsidR="00316453" w:rsidRDefault="00316453" w:rsidP="00316453">
      <w:pPr>
        <w:pStyle w:val="a7"/>
        <w:rPr>
          <w:rtl/>
        </w:rPr>
      </w:pPr>
    </w:p>
    <w:p w14:paraId="4F31F637" w14:textId="77777777" w:rsidR="00316453" w:rsidRPr="005C5103" w:rsidRDefault="00316453" w:rsidP="00316453">
      <w:pPr>
        <w:pStyle w:val="a7"/>
        <w:rPr>
          <w:rtl/>
        </w:rPr>
      </w:pPr>
    </w:p>
    <w:p w14:paraId="4ABF737F" w14:textId="77777777" w:rsidR="00316453" w:rsidRDefault="00316453" w:rsidP="00316453">
      <w:pPr>
        <w:pStyle w:val="a7"/>
        <w:rPr>
          <w:rtl/>
        </w:rPr>
      </w:pPr>
    </w:p>
    <w:p w14:paraId="2DBEAEF9" w14:textId="77777777" w:rsidR="00316453" w:rsidRDefault="00316453" w:rsidP="00316453">
      <w:pPr>
        <w:pStyle w:val="a7"/>
        <w:rPr>
          <w:rtl/>
        </w:rPr>
      </w:pPr>
    </w:p>
    <w:p w14:paraId="074B4626" w14:textId="77777777" w:rsidR="00316453" w:rsidRPr="005C5103" w:rsidRDefault="00316453" w:rsidP="00316453">
      <w:pPr>
        <w:pStyle w:val="a7"/>
        <w:rPr>
          <w:rtl/>
        </w:rPr>
      </w:pPr>
    </w:p>
    <w:p w14:paraId="6DCEE26A" w14:textId="77777777" w:rsidR="00316453" w:rsidRDefault="00316453" w:rsidP="00316453">
      <w:pPr>
        <w:pStyle w:val="affff5"/>
        <w:rPr>
          <w:rtl/>
        </w:rPr>
      </w:pPr>
      <w:r>
        <w:rPr>
          <w:rFonts w:hint="cs"/>
          <w:rtl/>
        </w:rPr>
        <w:lastRenderedPageBreak/>
        <w:t>בגדר זורה דהפרדת חלקים לירו' ולבבלי</w:t>
      </w:r>
      <w:bookmarkEnd w:id="1935"/>
    </w:p>
    <w:p w14:paraId="34D0E8B5" w14:textId="77777777" w:rsidR="00316453" w:rsidRDefault="00316453" w:rsidP="00316453">
      <w:pPr>
        <w:pStyle w:val="1"/>
        <w:rPr>
          <w:rtl/>
        </w:rPr>
      </w:pPr>
      <w:bookmarkStart w:id="1936" w:name="_Toc136618676"/>
      <w:r>
        <w:rPr>
          <w:rFonts w:hint="cs"/>
          <w:rtl/>
        </w:rPr>
        <w:t>פלו' הרמ"א והמהריק"ש אי קיי"ל כירו' דרוקק חייב משום זורה</w:t>
      </w:r>
      <w:bookmarkEnd w:id="1936"/>
    </w:p>
    <w:p w14:paraId="4D7C2652" w14:textId="77777777" w:rsidR="00316453" w:rsidRDefault="00316453" w:rsidP="00316453">
      <w:pPr>
        <w:pStyle w:val="afffff7"/>
        <w:rPr>
          <w:rtl/>
        </w:rPr>
      </w:pPr>
      <w:bookmarkStart w:id="1937" w:name="_Toc136620437"/>
      <w:bookmarkStart w:id="1938" w:name="_Toc163505716"/>
      <w:r>
        <w:rPr>
          <w:rtl/>
        </w:rPr>
        <w:t xml:space="preserve">אור זרוע </w:t>
      </w:r>
      <w:r>
        <w:rPr>
          <w:rFonts w:hint="cs"/>
          <w:rtl/>
        </w:rPr>
        <w:t xml:space="preserve">ח"ב </w:t>
      </w:r>
      <w:r>
        <w:rPr>
          <w:rtl/>
        </w:rPr>
        <w:t>שבת סימן נט</w:t>
      </w:r>
      <w:r>
        <w:rPr>
          <w:rFonts w:hint="cs"/>
          <w:rtl/>
        </w:rPr>
        <w:t xml:space="preserve"> ד"ה ירושלמי</w:t>
      </w:r>
      <w:bookmarkEnd w:id="1937"/>
      <w:bookmarkEnd w:id="1938"/>
    </w:p>
    <w:p w14:paraId="2ED6E4F7" w14:textId="77777777" w:rsidR="00316453" w:rsidRDefault="00316453" w:rsidP="00316453">
      <w:pPr>
        <w:pStyle w:val="afffff7"/>
        <w:rPr>
          <w:rtl/>
        </w:rPr>
      </w:pPr>
      <w:bookmarkStart w:id="1939" w:name="_Toc136620438"/>
      <w:bookmarkStart w:id="1940" w:name="_Toc136618677"/>
      <w:bookmarkStart w:id="1941" w:name="_Toc163505717"/>
      <w:r>
        <w:rPr>
          <w:rtl/>
        </w:rPr>
        <w:t>הרוקח הלכות שבת סימן סב</w:t>
      </w:r>
      <w:bookmarkEnd w:id="1939"/>
      <w:bookmarkEnd w:id="1941"/>
    </w:p>
    <w:p w14:paraId="051AB505" w14:textId="77777777" w:rsidR="00316453" w:rsidRDefault="00316453" w:rsidP="00316453">
      <w:pPr>
        <w:pStyle w:val="afffff7"/>
        <w:rPr>
          <w:rtl/>
        </w:rPr>
      </w:pPr>
      <w:bookmarkStart w:id="1942" w:name="_Toc136620439"/>
      <w:bookmarkStart w:id="1943" w:name="_Toc163505718"/>
      <w:r>
        <w:rPr>
          <w:rFonts w:hint="cs"/>
          <w:rtl/>
        </w:rPr>
        <w:t>רמ"א</w:t>
      </w:r>
      <w:r>
        <w:rPr>
          <w:rtl/>
        </w:rPr>
        <w:t xml:space="preserve"> או"ח סי' שי"ט י"ז</w:t>
      </w:r>
      <w:bookmarkEnd w:id="1942"/>
      <w:bookmarkEnd w:id="1943"/>
    </w:p>
    <w:p w14:paraId="6C9F39C2" w14:textId="77777777" w:rsidR="00316453" w:rsidRDefault="00316453" w:rsidP="00316453">
      <w:pPr>
        <w:pStyle w:val="afffff7"/>
        <w:rPr>
          <w:rtl/>
        </w:rPr>
      </w:pPr>
      <w:bookmarkStart w:id="1944" w:name="_Toc136620440"/>
      <w:bookmarkStart w:id="1945" w:name="_Toc163505719"/>
      <w:r>
        <w:rPr>
          <w:rtl/>
        </w:rPr>
        <w:t>מגן אברהם סי</w:t>
      </w:r>
      <w:r>
        <w:rPr>
          <w:rFonts w:hint="cs"/>
          <w:rtl/>
        </w:rPr>
        <w:t>'</w:t>
      </w:r>
      <w:r>
        <w:rPr>
          <w:rtl/>
        </w:rPr>
        <w:t xml:space="preserve"> תמו ס"ק ב</w:t>
      </w:r>
      <w:bookmarkEnd w:id="1944"/>
      <w:bookmarkEnd w:id="1945"/>
    </w:p>
    <w:p w14:paraId="3377C97A" w14:textId="77777777" w:rsidR="00316453" w:rsidRDefault="00316453" w:rsidP="00316453">
      <w:pPr>
        <w:pStyle w:val="afffff7"/>
        <w:rPr>
          <w:rtl/>
        </w:rPr>
      </w:pPr>
      <w:bookmarkStart w:id="1946" w:name="_Toc136620441"/>
      <w:bookmarkStart w:id="1947" w:name="_Toc163505720"/>
      <w:r>
        <w:rPr>
          <w:rtl/>
        </w:rPr>
        <w:t xml:space="preserve">רבי עקיבא איגר </w:t>
      </w:r>
      <w:r>
        <w:rPr>
          <w:rFonts w:hint="cs"/>
          <w:rtl/>
        </w:rPr>
        <w:t>או"ח סי'</w:t>
      </w:r>
      <w:r>
        <w:rPr>
          <w:rtl/>
        </w:rPr>
        <w:t xml:space="preserve"> שי</w:t>
      </w:r>
      <w:r>
        <w:rPr>
          <w:rFonts w:hint="cs"/>
          <w:rtl/>
        </w:rPr>
        <w:t>"</w:t>
      </w:r>
      <w:r>
        <w:rPr>
          <w:rtl/>
        </w:rPr>
        <w:t>ט סעיף י</w:t>
      </w:r>
      <w:r>
        <w:rPr>
          <w:rFonts w:hint="cs"/>
          <w:rtl/>
        </w:rPr>
        <w:t>"</w:t>
      </w:r>
      <w:r>
        <w:rPr>
          <w:rtl/>
        </w:rPr>
        <w:t>ז</w:t>
      </w:r>
      <w:bookmarkEnd w:id="1946"/>
      <w:bookmarkEnd w:id="1947"/>
    </w:p>
    <w:p w14:paraId="15792CDB" w14:textId="77777777" w:rsidR="00316453" w:rsidRDefault="00316453" w:rsidP="00316453">
      <w:pPr>
        <w:pStyle w:val="afffff7"/>
        <w:rPr>
          <w:rtl/>
        </w:rPr>
      </w:pPr>
      <w:bookmarkStart w:id="1948" w:name="_Toc136620442"/>
      <w:bookmarkStart w:id="1949" w:name="_Toc163505721"/>
      <w:r>
        <w:rPr>
          <w:rtl/>
        </w:rPr>
        <w:t>משנה ברורה סימן שי</w:t>
      </w:r>
      <w:r>
        <w:rPr>
          <w:rFonts w:hint="cs"/>
          <w:rtl/>
        </w:rPr>
        <w:t>"</w:t>
      </w:r>
      <w:r>
        <w:rPr>
          <w:rtl/>
        </w:rPr>
        <w:t>ט ס"ק סז</w:t>
      </w:r>
      <w:bookmarkEnd w:id="1948"/>
      <w:bookmarkEnd w:id="1949"/>
    </w:p>
    <w:p w14:paraId="64BA97BC" w14:textId="77777777" w:rsidR="00316453" w:rsidRDefault="00316453" w:rsidP="00316453">
      <w:pPr>
        <w:pStyle w:val="a7"/>
        <w:rPr>
          <w:rtl/>
        </w:rPr>
      </w:pPr>
      <w:r>
        <w:rPr>
          <w:rFonts w:hint="cs"/>
          <w:rtl/>
        </w:rPr>
        <w:t>ד' הרמ"א כירושלמי דרוקק ברוח הוי זורה ודחיית המהריק"ש והגרעק"א דאי"ז דרך זורה ופטור</w:t>
      </w:r>
      <w:bookmarkEnd w:id="1940"/>
    </w:p>
    <w:p w14:paraId="655C00C1" w14:textId="3C1ABD37" w:rsidR="00316453" w:rsidRDefault="00316453" w:rsidP="00BC7DC8">
      <w:pPr>
        <w:pStyle w:val="a3"/>
        <w:rPr>
          <w:rtl/>
        </w:rPr>
      </w:pPr>
      <w:bookmarkStart w:id="1950" w:name="_Ref136592082"/>
      <w:bookmarkStart w:id="1951" w:name="_Ref136512059"/>
      <w:bookmarkStart w:id="1952" w:name="_Ref136338786"/>
      <w:r>
        <w:rPr>
          <w:rFonts w:hint="cs"/>
          <w:rtl/>
        </w:rPr>
        <w:t xml:space="preserve">הביאו </w:t>
      </w:r>
      <w:r w:rsidRPr="00527BD6">
        <w:rPr>
          <w:rStyle w:val="aff4"/>
          <w:rFonts w:hint="cs"/>
          <w:vanish/>
          <w:rtl/>
        </w:rPr>
        <w:t>-</w:t>
      </w:r>
      <w:r w:rsidRPr="00DE28D5">
        <w:rPr>
          <w:rStyle w:val="aff4"/>
          <w:rFonts w:hint="cs"/>
          <w:rtl/>
        </w:rPr>
        <w:t>ה</w:t>
      </w:r>
      <w:r w:rsidRPr="00527BD6">
        <w:rPr>
          <w:rStyle w:val="aff4"/>
          <w:rFonts w:hint="cs"/>
          <w:vanish/>
          <w:rtl/>
        </w:rPr>
        <w:t xml:space="preserve">&lt;. </w:t>
      </w:r>
      <w:r w:rsidRPr="00527BD6">
        <w:rPr>
          <w:rStyle w:val="aff4"/>
          <w:vanish/>
          <w:rtl/>
        </w:rPr>
        <w:fldChar w:fldCharType="begin"/>
      </w:r>
      <w:r w:rsidRPr="00527BD6">
        <w:rPr>
          <w:rStyle w:val="aff4"/>
          <w:vanish/>
          <w:rtl/>
        </w:rPr>
        <w:instrText xml:space="preserve"> </w:instrText>
      </w:r>
      <w:r w:rsidRPr="00527BD6">
        <w:rPr>
          <w:rStyle w:val="aff4"/>
          <w:rFonts w:hint="cs"/>
          <w:vanish/>
        </w:rPr>
        <w:instrText>REF</w:instrText>
      </w:r>
      <w:r w:rsidRPr="00527BD6">
        <w:rPr>
          <w:rStyle w:val="aff4"/>
          <w:rFonts w:hint="cs"/>
          <w:vanish/>
          <w:rtl/>
        </w:rPr>
        <w:instrText xml:space="preserve"> _</w:instrText>
      </w:r>
      <w:r w:rsidRPr="00527BD6">
        <w:rPr>
          <w:rStyle w:val="aff4"/>
          <w:rFonts w:hint="cs"/>
          <w:vanish/>
        </w:rPr>
        <w:instrText>Ref136338786 \r \h</w:instrText>
      </w:r>
      <w:r w:rsidRPr="00527BD6">
        <w:rPr>
          <w:rStyle w:val="aff4"/>
          <w:vanish/>
          <w:rtl/>
        </w:rPr>
        <w:instrText xml:space="preserve"> </w:instrText>
      </w:r>
      <w:r w:rsidRPr="00527BD6">
        <w:rPr>
          <w:rStyle w:val="aff4"/>
          <w:vanish/>
          <w:rtl/>
        </w:rPr>
      </w:r>
      <w:r w:rsidRPr="00527BD6">
        <w:rPr>
          <w:rStyle w:val="aff4"/>
          <w:vanish/>
          <w:rtl/>
        </w:rPr>
        <w:fldChar w:fldCharType="separate"/>
      </w:r>
      <w:r w:rsidR="00D82181">
        <w:rPr>
          <w:rStyle w:val="aff4"/>
          <w:vanish/>
          <w:cs/>
        </w:rPr>
        <w:t>‎</w:t>
      </w:r>
      <w:r w:rsidR="00D82181">
        <w:rPr>
          <w:rStyle w:val="aff4"/>
          <w:vanish/>
          <w:rtl/>
        </w:rPr>
        <w:t>כג)</w:t>
      </w:r>
      <w:r w:rsidRPr="00527BD6">
        <w:rPr>
          <w:rStyle w:val="aff4"/>
          <w:vanish/>
          <w:rtl/>
        </w:rPr>
        <w:fldChar w:fldCharType="end"/>
      </w:r>
      <w:r w:rsidRPr="00527BD6">
        <w:rPr>
          <w:rStyle w:val="aff4"/>
          <w:rFonts w:hint="cs"/>
          <w:vanish/>
          <w:rtl/>
        </w:rPr>
        <w:t xml:space="preserve"> &gt;</w:t>
      </w:r>
      <w:r w:rsidRPr="00DE28D5">
        <w:rPr>
          <w:rStyle w:val="aff4"/>
          <w:rFonts w:hint="cs"/>
          <w:rtl/>
        </w:rPr>
        <w:t>או"ז</w:t>
      </w:r>
      <w:r w:rsidRPr="00527BD6">
        <w:rPr>
          <w:rStyle w:val="aff4"/>
          <w:rFonts w:hint="cs"/>
          <w:vanish/>
          <w:rtl/>
        </w:rPr>
        <w:t>-</w:t>
      </w:r>
      <w:r>
        <w:rPr>
          <w:rFonts w:hint="cs"/>
          <w:rtl/>
        </w:rPr>
        <w:t xml:space="preserve"> </w:t>
      </w:r>
      <w:r w:rsidRPr="00D4778B">
        <w:rPr>
          <w:rStyle w:val="af2"/>
          <w:rFonts w:eastAsia="Guttman Hodes" w:hint="cs"/>
          <w:rtl/>
        </w:rPr>
        <w:t>(ח"ב שבת סי' נ"ט ד"ה ירושלמי, אות צ"ד)</w:t>
      </w:r>
      <w:r w:rsidRPr="00527BD6">
        <w:rPr>
          <w:rFonts w:hint="cs"/>
          <w:vanish/>
          <w:rtl/>
        </w:rPr>
        <w:t>=</w:t>
      </w:r>
      <w:r>
        <w:rPr>
          <w:rFonts w:hint="cs"/>
          <w:rtl/>
        </w:rPr>
        <w:t xml:space="preserve"> </w:t>
      </w:r>
      <w:r w:rsidRPr="00527BD6">
        <w:rPr>
          <w:rStyle w:val="aff4"/>
          <w:rFonts w:hint="cs"/>
          <w:vanish/>
          <w:rtl/>
        </w:rPr>
        <w:t>-</w:t>
      </w:r>
      <w:r>
        <w:rPr>
          <w:rStyle w:val="aff4"/>
          <w:rFonts w:hint="cs"/>
          <w:rtl/>
        </w:rPr>
        <w:t>ו</w:t>
      </w:r>
      <w:r w:rsidRPr="00DE28D5">
        <w:rPr>
          <w:rStyle w:val="aff4"/>
          <w:rFonts w:hint="cs"/>
          <w:rtl/>
        </w:rPr>
        <w:t>ה</w:t>
      </w:r>
      <w:r>
        <w:rPr>
          <w:rStyle w:val="aff4"/>
          <w:rFonts w:hint="cs"/>
          <w:vanish/>
          <w:rtl/>
        </w:rPr>
        <w:t>&lt; &gt;</w:t>
      </w:r>
      <w:r w:rsidRPr="00A057A1">
        <w:rPr>
          <w:rStyle w:val="aff4"/>
          <w:rFonts w:hint="cs"/>
          <w:rtl/>
        </w:rPr>
        <w:t>רוקח</w:t>
      </w:r>
      <w:r w:rsidRPr="00527BD6">
        <w:rPr>
          <w:rStyle w:val="aff4"/>
          <w:rFonts w:hint="cs"/>
          <w:vanish/>
          <w:rtl/>
        </w:rPr>
        <w:t>-</w:t>
      </w:r>
      <w:r>
        <w:rPr>
          <w:rFonts w:hint="cs"/>
          <w:rtl/>
        </w:rPr>
        <w:t xml:space="preserve"> </w:t>
      </w:r>
      <w:r w:rsidRPr="00D4778B">
        <w:rPr>
          <w:rStyle w:val="af2"/>
          <w:rFonts w:eastAsia="Guttman Hodes" w:hint="cs"/>
          <w:rtl/>
        </w:rPr>
        <w:t xml:space="preserve">(שבת סי' </w:t>
      </w:r>
      <w:r>
        <w:rPr>
          <w:rStyle w:val="af2"/>
          <w:rFonts w:eastAsia="Guttman Hodes" w:hint="cs"/>
          <w:rtl/>
        </w:rPr>
        <w:t>ס"ב</w:t>
      </w:r>
      <w:r w:rsidRPr="00D4778B">
        <w:rPr>
          <w:rStyle w:val="af2"/>
          <w:rFonts w:eastAsia="Guttman Hodes" w:hint="cs"/>
          <w:rtl/>
        </w:rPr>
        <w:t>)</w:t>
      </w:r>
      <w:r w:rsidRPr="00527BD6">
        <w:rPr>
          <w:rFonts w:hint="cs"/>
          <w:vanish/>
          <w:rtl/>
        </w:rPr>
        <w:t>=</w:t>
      </w:r>
      <w:r>
        <w:rPr>
          <w:rFonts w:hint="cs"/>
          <w:rtl/>
        </w:rPr>
        <w:t xml:space="preserve"> את דברי </w:t>
      </w:r>
      <w:bookmarkStart w:id="1953" w:name="_Hlk136510015"/>
      <w:r>
        <w:rPr>
          <w:rFonts w:hint="cs"/>
          <w:rtl/>
        </w:rPr>
        <w:t xml:space="preserve">הירושלמי </w:t>
      </w:r>
      <w:r w:rsidRPr="00D4778B">
        <w:rPr>
          <w:rStyle w:val="af2"/>
          <w:rFonts w:eastAsia="Guttman Hodes" w:hint="cs"/>
          <w:rtl/>
        </w:rPr>
        <w:t>(פ"ז ה"ב, מט.)</w:t>
      </w:r>
      <w:r>
        <w:rPr>
          <w:rFonts w:hint="cs"/>
          <w:rtl/>
        </w:rPr>
        <w:t xml:space="preserve"> דהרוקק והפריחה הרוח את הרוק חייב משום זורה, </w:t>
      </w:r>
      <w:bookmarkEnd w:id="1953"/>
      <w:r>
        <w:rPr>
          <w:rFonts w:hint="cs"/>
          <w:rtl/>
        </w:rPr>
        <w:t xml:space="preserve">וכן פסק </w:t>
      </w:r>
      <w:r w:rsidRPr="00527BD6">
        <w:rPr>
          <w:rStyle w:val="aff4"/>
          <w:rFonts w:hint="cs"/>
          <w:vanish/>
          <w:rtl/>
        </w:rPr>
        <w:t>-</w:t>
      </w:r>
      <w:r w:rsidRPr="00DE28D5">
        <w:rPr>
          <w:rStyle w:val="aff4"/>
          <w:rFonts w:hint="cs"/>
          <w:rtl/>
        </w:rPr>
        <w:t>ה</w:t>
      </w:r>
      <w:r w:rsidRPr="00527BD6">
        <w:rPr>
          <w:rStyle w:val="aff4"/>
          <w:rFonts w:hint="cs"/>
          <w:vanish/>
          <w:rtl/>
        </w:rPr>
        <w:t>&lt; &gt;</w:t>
      </w:r>
      <w:r w:rsidRPr="00DE28D5">
        <w:rPr>
          <w:rStyle w:val="aff4"/>
          <w:rFonts w:hint="cs"/>
          <w:rtl/>
        </w:rPr>
        <w:t>רמ"א</w:t>
      </w:r>
      <w:r w:rsidRPr="00527BD6">
        <w:rPr>
          <w:rStyle w:val="aff4"/>
          <w:rFonts w:hint="cs"/>
          <w:vanish/>
          <w:rtl/>
        </w:rPr>
        <w:t>-</w:t>
      </w:r>
      <w:r>
        <w:rPr>
          <w:rFonts w:hint="cs"/>
          <w:rtl/>
        </w:rPr>
        <w:t xml:space="preserve"> </w:t>
      </w:r>
      <w:r w:rsidRPr="00D4778B">
        <w:rPr>
          <w:rStyle w:val="af2"/>
          <w:rFonts w:eastAsia="Guttman Hodes" w:hint="cs"/>
          <w:rtl/>
        </w:rPr>
        <w:t>(סי' שי"ט י"ז)</w:t>
      </w:r>
      <w:r>
        <w:rPr>
          <w:rFonts w:hint="cs"/>
          <w:rtl/>
        </w:rPr>
        <w:t xml:space="preserve"> בשם </w:t>
      </w:r>
      <w:r w:rsidRPr="00527BD6">
        <w:rPr>
          <w:rStyle w:val="aff4"/>
          <w:rFonts w:hint="cs"/>
          <w:vanish/>
          <w:rtl/>
        </w:rPr>
        <w:t>-</w:t>
      </w:r>
      <w:r w:rsidRPr="00DE28D5">
        <w:rPr>
          <w:rStyle w:val="aff4"/>
          <w:rFonts w:hint="cs"/>
          <w:rtl/>
        </w:rPr>
        <w:t>המהרי"ל</w:t>
      </w:r>
      <w:r w:rsidRPr="00527BD6">
        <w:rPr>
          <w:rStyle w:val="aff4"/>
          <w:rFonts w:hint="cs"/>
          <w:vanish/>
          <w:rtl/>
        </w:rPr>
        <w:t>-</w:t>
      </w:r>
      <w:r w:rsidRPr="00527BD6">
        <w:rPr>
          <w:rFonts w:hint="cs"/>
          <w:vanish/>
          <w:rtl/>
        </w:rPr>
        <w:t>=</w:t>
      </w:r>
      <w:r>
        <w:rPr>
          <w:rFonts w:hint="cs"/>
          <w:rtl/>
        </w:rPr>
        <w:t xml:space="preserve">, וכ"כ </w:t>
      </w:r>
      <w:r w:rsidRPr="00DD0188">
        <w:rPr>
          <w:rStyle w:val="aff4"/>
          <w:rFonts w:hint="cs"/>
          <w:vanish/>
          <w:rtl/>
        </w:rPr>
        <w:t>-</w:t>
      </w:r>
      <w:r w:rsidRPr="00DD0188">
        <w:rPr>
          <w:rStyle w:val="aff4"/>
          <w:rFonts w:hint="cs"/>
          <w:rtl/>
        </w:rPr>
        <w:t>ה</w:t>
      </w:r>
      <w:r w:rsidRPr="00DD0188">
        <w:rPr>
          <w:rStyle w:val="aff4"/>
          <w:rFonts w:hint="cs"/>
          <w:vanish/>
          <w:rtl/>
        </w:rPr>
        <w:t>&lt; &gt;</w:t>
      </w:r>
      <w:r w:rsidRPr="00DD0188">
        <w:rPr>
          <w:rStyle w:val="aff4"/>
          <w:rFonts w:hint="cs"/>
          <w:rtl/>
        </w:rPr>
        <w:t>מג"א</w:t>
      </w:r>
      <w:r w:rsidRPr="00DD0188">
        <w:rPr>
          <w:rStyle w:val="aff4"/>
          <w:rFonts w:hint="cs"/>
          <w:vanish/>
          <w:rtl/>
        </w:rPr>
        <w:t>-</w:t>
      </w:r>
      <w:r>
        <w:rPr>
          <w:rFonts w:hint="cs"/>
          <w:rtl/>
        </w:rPr>
        <w:t xml:space="preserve"> </w:t>
      </w:r>
      <w:r w:rsidRPr="00DD0188">
        <w:rPr>
          <w:rStyle w:val="af2"/>
          <w:rFonts w:eastAsia="Guttman Hodes" w:hint="cs"/>
          <w:rtl/>
        </w:rPr>
        <w:t>(סי' תמ"ו סק"ב)</w:t>
      </w:r>
      <w:r w:rsidRPr="00DD0188">
        <w:rPr>
          <w:rFonts w:hint="cs"/>
          <w:vanish/>
          <w:rtl/>
        </w:rPr>
        <w:t>=</w:t>
      </w:r>
      <w:r>
        <w:rPr>
          <w:rFonts w:hint="cs"/>
          <w:rtl/>
        </w:rPr>
        <w:t xml:space="preserve"> דהמוצא חמץ בשבת אסור לזרותו לרוח דיתכן שהוא מלאכה דאו' כדכתב </w:t>
      </w:r>
      <w:r w:rsidRPr="00DD0188">
        <w:rPr>
          <w:rStyle w:val="aff4"/>
          <w:rFonts w:hint="cs"/>
          <w:vanish/>
          <w:rtl/>
        </w:rPr>
        <w:t>-</w:t>
      </w:r>
      <w:r w:rsidRPr="00DD0188">
        <w:rPr>
          <w:rStyle w:val="aff4"/>
          <w:rFonts w:hint="cs"/>
          <w:rtl/>
        </w:rPr>
        <w:t>הרמ"א</w:t>
      </w:r>
      <w:r w:rsidRPr="00DD0188">
        <w:rPr>
          <w:rStyle w:val="aff4"/>
          <w:rFonts w:hint="cs"/>
          <w:vanish/>
          <w:rtl/>
        </w:rPr>
        <w:t>-</w:t>
      </w:r>
      <w:r>
        <w:rPr>
          <w:rFonts w:hint="cs"/>
          <w:rtl/>
        </w:rPr>
        <w:t xml:space="preserve">, אך </w:t>
      </w:r>
      <w:r w:rsidRPr="00527BD6">
        <w:rPr>
          <w:rStyle w:val="aff4"/>
          <w:rFonts w:hint="cs"/>
          <w:vanish/>
          <w:rtl/>
        </w:rPr>
        <w:t>-</w:t>
      </w:r>
      <w:r w:rsidRPr="00DE28D5">
        <w:rPr>
          <w:rStyle w:val="aff4"/>
          <w:rFonts w:hint="cs"/>
          <w:rtl/>
        </w:rPr>
        <w:t>ה</w:t>
      </w:r>
      <w:r w:rsidRPr="00527BD6">
        <w:rPr>
          <w:rStyle w:val="aff4"/>
          <w:rFonts w:hint="cs"/>
          <w:vanish/>
          <w:rtl/>
        </w:rPr>
        <w:t>&lt; &gt;</w:t>
      </w:r>
      <w:r w:rsidRPr="00DE28D5">
        <w:rPr>
          <w:rStyle w:val="aff4"/>
          <w:rFonts w:hint="cs"/>
          <w:rtl/>
        </w:rPr>
        <w:t>משנ"ב</w:t>
      </w:r>
      <w:r w:rsidRPr="00527BD6">
        <w:rPr>
          <w:rStyle w:val="aff4"/>
          <w:rFonts w:hint="cs"/>
          <w:vanish/>
          <w:rtl/>
        </w:rPr>
        <w:t>-</w:t>
      </w:r>
      <w:r>
        <w:rPr>
          <w:rFonts w:hint="cs"/>
          <w:rtl/>
        </w:rPr>
        <w:t xml:space="preserve"> </w:t>
      </w:r>
      <w:r w:rsidRPr="00D4778B">
        <w:rPr>
          <w:rStyle w:val="af2"/>
          <w:rFonts w:eastAsia="Guttman Hodes" w:hint="cs"/>
          <w:rtl/>
        </w:rPr>
        <w:t>(סי' שי"ט סקס"ז)</w:t>
      </w:r>
      <w:r w:rsidRPr="00527BD6">
        <w:rPr>
          <w:rFonts w:hint="cs"/>
          <w:vanish/>
          <w:rtl/>
        </w:rPr>
        <w:t>=</w:t>
      </w:r>
      <w:r>
        <w:rPr>
          <w:rFonts w:hint="cs"/>
          <w:rtl/>
        </w:rPr>
        <w:t xml:space="preserve"> הביא דכתבו </w:t>
      </w:r>
      <w:r w:rsidRPr="00527BD6">
        <w:rPr>
          <w:rStyle w:val="aff4"/>
          <w:rFonts w:hint="cs"/>
          <w:vanish/>
          <w:rtl/>
        </w:rPr>
        <w:t>-</w:t>
      </w:r>
      <w:r w:rsidRPr="00DE28D5">
        <w:rPr>
          <w:rStyle w:val="aff4"/>
          <w:rFonts w:hint="cs"/>
          <w:rtl/>
        </w:rPr>
        <w:t>ה</w:t>
      </w:r>
      <w:r w:rsidRPr="00527BD6">
        <w:rPr>
          <w:rStyle w:val="aff4"/>
          <w:rFonts w:hint="cs"/>
          <w:vanish/>
          <w:rtl/>
        </w:rPr>
        <w:t>&lt; &gt;</w:t>
      </w:r>
      <w:r>
        <w:rPr>
          <w:rStyle w:val="aff4"/>
          <w:rFonts w:hint="cs"/>
          <w:rtl/>
        </w:rPr>
        <w:t>ברכ"י</w:t>
      </w:r>
      <w:r w:rsidRPr="00527BD6">
        <w:rPr>
          <w:rStyle w:val="aff4"/>
          <w:rFonts w:hint="cs"/>
          <w:vanish/>
          <w:rtl/>
        </w:rPr>
        <w:t>-</w:t>
      </w:r>
      <w:r>
        <w:rPr>
          <w:rFonts w:hint="cs"/>
          <w:rtl/>
        </w:rPr>
        <w:t xml:space="preserve"> </w:t>
      </w:r>
      <w:r w:rsidRPr="00D4778B">
        <w:rPr>
          <w:rStyle w:val="af2"/>
          <w:rFonts w:eastAsia="Guttman Hodes" w:hint="cs"/>
          <w:rtl/>
        </w:rPr>
        <w:t>(סי' שי"ט י"ז)</w:t>
      </w:r>
      <w:r w:rsidRPr="003366CF">
        <w:rPr>
          <w:rFonts w:hint="cs"/>
          <w:vanish/>
          <w:rtl/>
        </w:rPr>
        <w:t xml:space="preserve"> </w:t>
      </w:r>
      <w:r w:rsidRPr="00527BD6">
        <w:rPr>
          <w:rFonts w:hint="cs"/>
          <w:vanish/>
          <w:rtl/>
        </w:rPr>
        <w:t>=</w:t>
      </w:r>
      <w:r>
        <w:rPr>
          <w:rFonts w:hint="cs"/>
          <w:rtl/>
        </w:rPr>
        <w:t xml:space="preserve"> </w:t>
      </w:r>
      <w:r w:rsidRPr="00527BD6">
        <w:rPr>
          <w:rStyle w:val="aff4"/>
          <w:rFonts w:hint="cs"/>
          <w:vanish/>
          <w:rtl/>
        </w:rPr>
        <w:t>-</w:t>
      </w:r>
      <w:r>
        <w:rPr>
          <w:rStyle w:val="aff4"/>
          <w:rFonts w:hint="cs"/>
          <w:vanish/>
          <w:rtl/>
        </w:rPr>
        <w:t>ו</w:t>
      </w:r>
      <w:r w:rsidRPr="00DE28D5">
        <w:rPr>
          <w:rStyle w:val="aff4"/>
          <w:rFonts w:hint="cs"/>
          <w:rtl/>
        </w:rPr>
        <w:t>ה</w:t>
      </w:r>
      <w:r w:rsidRPr="00527BD6">
        <w:rPr>
          <w:rStyle w:val="aff4"/>
          <w:rFonts w:hint="cs"/>
          <w:vanish/>
          <w:rtl/>
        </w:rPr>
        <w:t>&lt; &gt;</w:t>
      </w:r>
      <w:r w:rsidRPr="00DE28D5">
        <w:rPr>
          <w:rStyle w:val="aff4"/>
          <w:rFonts w:hint="cs"/>
          <w:rtl/>
        </w:rPr>
        <w:t>גרעק"א</w:t>
      </w:r>
      <w:r w:rsidRPr="00527BD6">
        <w:rPr>
          <w:rStyle w:val="aff4"/>
          <w:rFonts w:hint="cs"/>
          <w:vanish/>
          <w:rtl/>
        </w:rPr>
        <w:t>-</w:t>
      </w:r>
      <w:r>
        <w:rPr>
          <w:rFonts w:hint="cs"/>
          <w:rtl/>
        </w:rPr>
        <w:t xml:space="preserve"> </w:t>
      </w:r>
      <w:r w:rsidRPr="00D4778B">
        <w:rPr>
          <w:rStyle w:val="af2"/>
          <w:rFonts w:eastAsia="Guttman Hodes" w:hint="cs"/>
          <w:rtl/>
        </w:rPr>
        <w:t>(סי' שי"ט י"ז)</w:t>
      </w:r>
      <w:r>
        <w:rPr>
          <w:rFonts w:hint="cs"/>
          <w:rtl/>
        </w:rPr>
        <w:t xml:space="preserve"> בשם </w:t>
      </w:r>
      <w:r w:rsidRPr="00527BD6">
        <w:rPr>
          <w:rStyle w:val="aff4"/>
          <w:rFonts w:hint="cs"/>
          <w:vanish/>
          <w:rtl/>
        </w:rPr>
        <w:t>-</w:t>
      </w:r>
      <w:r w:rsidRPr="00DE28D5">
        <w:rPr>
          <w:rStyle w:val="aff4"/>
          <w:rFonts w:hint="cs"/>
          <w:rtl/>
        </w:rPr>
        <w:t>המהריק"ש</w:t>
      </w:r>
      <w:r w:rsidRPr="00527BD6">
        <w:rPr>
          <w:rStyle w:val="aff4"/>
          <w:rFonts w:hint="cs"/>
          <w:vanish/>
          <w:rtl/>
        </w:rPr>
        <w:t>-</w:t>
      </w:r>
      <w:r>
        <w:rPr>
          <w:rFonts w:hint="cs"/>
          <w:rtl/>
        </w:rPr>
        <w:t xml:space="preserve"> </w:t>
      </w:r>
      <w:r w:rsidRPr="00D4778B">
        <w:rPr>
          <w:rStyle w:val="af2"/>
          <w:rFonts w:eastAsia="Guttman Hodes" w:hint="cs"/>
          <w:rtl/>
        </w:rPr>
        <w:t>(</w:t>
      </w:r>
      <w:r w:rsidRPr="00D4778B">
        <w:rPr>
          <w:rStyle w:val="af2"/>
          <w:rFonts w:eastAsia="Guttman Hodes"/>
          <w:rtl/>
        </w:rPr>
        <w:t>ערך לחם</w:t>
      </w:r>
      <w:r w:rsidRPr="00D4778B">
        <w:rPr>
          <w:rStyle w:val="af2"/>
          <w:rFonts w:eastAsia="Guttman Hodes" w:hint="cs"/>
          <w:rtl/>
        </w:rPr>
        <w:t xml:space="preserve"> סי' שי"ט י"ז)</w:t>
      </w:r>
      <w:r w:rsidRPr="00527BD6">
        <w:rPr>
          <w:rFonts w:hint="cs"/>
          <w:vanish/>
          <w:rtl/>
        </w:rPr>
        <w:t>=</w:t>
      </w:r>
      <w:r>
        <w:rPr>
          <w:rFonts w:hint="cs"/>
          <w:rtl/>
        </w:rPr>
        <w:t xml:space="preserve"> דלא ראינו שחוששים לזה דכיון שאינו מתכוין לזרייה וכ"ש דאין דרך זורה בכך. </w:t>
      </w:r>
      <w:r w:rsidRPr="00D4778B">
        <w:rPr>
          <w:rStyle w:val="af"/>
          <w:rFonts w:hint="cs"/>
          <w:rtl/>
        </w:rPr>
        <w:t>[</w:t>
      </w:r>
      <w:r w:rsidRPr="00EB1A7E">
        <w:rPr>
          <w:rStyle w:val="aff9"/>
          <w:rFonts w:hint="cs"/>
          <w:vanish/>
          <w:rtl/>
        </w:rPr>
        <w:t>-</w:t>
      </w:r>
      <w:r w:rsidRPr="00D4778B">
        <w:rPr>
          <w:rStyle w:val="aff9"/>
          <w:rFonts w:hint="cs"/>
          <w:rtl/>
        </w:rPr>
        <w:t>במהריק"ש ובברכ"י ובגרעק"א</w:t>
      </w:r>
      <w:r w:rsidRPr="00EB1A7E">
        <w:rPr>
          <w:rStyle w:val="aff9"/>
          <w:rFonts w:hint="cs"/>
          <w:vanish/>
          <w:rtl/>
        </w:rPr>
        <w:t>-</w:t>
      </w:r>
      <w:r w:rsidRPr="00D4778B">
        <w:rPr>
          <w:rStyle w:val="af"/>
          <w:rFonts w:hint="cs"/>
          <w:rtl/>
        </w:rPr>
        <w:t xml:space="preserve"> לפנינו כתבו "דרך זריקה", </w:t>
      </w:r>
      <w:r w:rsidRPr="00EB1A7E">
        <w:rPr>
          <w:rStyle w:val="aff9"/>
          <w:rFonts w:hint="cs"/>
          <w:vanish/>
          <w:rtl/>
        </w:rPr>
        <w:t>-</w:t>
      </w:r>
      <w:r w:rsidRPr="00D4778B">
        <w:rPr>
          <w:rStyle w:val="aff9"/>
          <w:rFonts w:hint="cs"/>
          <w:rtl/>
        </w:rPr>
        <w:t xml:space="preserve">ובגרעק"א מכת"י </w:t>
      </w:r>
      <w:r>
        <w:rPr>
          <w:rStyle w:val="aff9"/>
          <w:rFonts w:hint="cs"/>
          <w:rtl/>
        </w:rPr>
        <w:t xml:space="preserve">ובטל אורות הספרדי </w:t>
      </w:r>
      <w:r w:rsidRPr="00D4778B">
        <w:rPr>
          <w:rStyle w:val="aff9"/>
          <w:rFonts w:hint="cs"/>
          <w:rtl/>
        </w:rPr>
        <w:t>ובביה"ל</w:t>
      </w:r>
      <w:r w:rsidRPr="00EB1A7E">
        <w:rPr>
          <w:rStyle w:val="aff9"/>
          <w:rFonts w:hint="cs"/>
          <w:vanish/>
          <w:rtl/>
        </w:rPr>
        <w:t>-</w:t>
      </w:r>
      <w:r w:rsidRPr="00D4778B">
        <w:rPr>
          <w:rStyle w:val="af"/>
          <w:rFonts w:hint="cs"/>
          <w:rtl/>
        </w:rPr>
        <w:t xml:space="preserve"> כתבו דרך זרייה</w:t>
      </w:r>
      <w:r>
        <w:rPr>
          <w:rStyle w:val="af"/>
          <w:rFonts w:hint="cs"/>
          <w:rtl/>
        </w:rPr>
        <w:t>].</w:t>
      </w:r>
      <w:bookmarkEnd w:id="1950"/>
    </w:p>
    <w:bookmarkEnd w:id="1951"/>
    <w:p w14:paraId="1595D6D0" w14:textId="77777777" w:rsidR="00316453" w:rsidRPr="00747170" w:rsidRDefault="00316453" w:rsidP="00747170">
      <w:pPr>
        <w:pStyle w:val="a2"/>
        <w:rPr>
          <w:rtl/>
        </w:rPr>
      </w:pPr>
      <w:r w:rsidRPr="00747170">
        <w:rPr>
          <w:rtl/>
        </w:rPr>
        <w:t>ירושלמי רק והפריחתו הרוח חייב משום זורה.</w:t>
      </w:r>
    </w:p>
    <w:p w14:paraId="305EB637" w14:textId="77777777" w:rsidR="00316453" w:rsidRPr="0030138D" w:rsidRDefault="00316453" w:rsidP="00747170">
      <w:pPr>
        <w:pStyle w:val="afffff5"/>
        <w:rPr>
          <w:rtl/>
        </w:rPr>
      </w:pPr>
      <w:r w:rsidRPr="0030138D">
        <w:rPr>
          <w:rtl/>
        </w:rPr>
        <w:t>הזורה. הזורה תבואה או קיטנית ירושלמי אמר רב חייא בר אשי זה שרוקק מבליעו בכסותו רקק והפריחו הרוח חייב משום זורה</w:t>
      </w:r>
      <w:r w:rsidRPr="0030138D">
        <w:rPr>
          <w:rFonts w:hint="cs"/>
          <w:rtl/>
        </w:rPr>
        <w:t>.</w:t>
      </w:r>
    </w:p>
    <w:bookmarkEnd w:id="1952"/>
    <w:p w14:paraId="3C812EDA" w14:textId="77777777" w:rsidR="00316453" w:rsidRPr="0030138D" w:rsidRDefault="00316453" w:rsidP="00747170">
      <w:pPr>
        <w:pStyle w:val="afffff5"/>
        <w:rPr>
          <w:rtl/>
        </w:rPr>
      </w:pPr>
      <w:r w:rsidRPr="0030138D">
        <w:rPr>
          <w:rtl/>
        </w:rPr>
        <w:t xml:space="preserve">הגה: הרוקק ברוח בשבת והרוח מפזר הרוק, חייב משום זורה. </w:t>
      </w:r>
      <w:r w:rsidRPr="0030138D">
        <w:rPr>
          <w:rFonts w:hint="cs"/>
          <w:rtl/>
        </w:rPr>
        <w:t>(</w:t>
      </w:r>
      <w:r w:rsidRPr="0030138D">
        <w:rPr>
          <w:rtl/>
        </w:rPr>
        <w:t>מהרי"ל בשם א"ז וירושלמי פרק כלל גדול).</w:t>
      </w:r>
    </w:p>
    <w:p w14:paraId="42EF36FD" w14:textId="77777777" w:rsidR="00316453" w:rsidRPr="0030138D" w:rsidRDefault="00316453" w:rsidP="00747170">
      <w:pPr>
        <w:pStyle w:val="afffff5"/>
        <w:rPr>
          <w:rtl/>
        </w:rPr>
      </w:pPr>
      <w:r w:rsidRPr="0030138D">
        <w:rPr>
          <w:rtl/>
        </w:rPr>
        <w:t xml:space="preserve">אבל לזרות לרוח אפשר דהוי מלאכה דאוריי' כמ"ש ססי' שי"ט </w:t>
      </w:r>
    </w:p>
    <w:p w14:paraId="6E1D60EC" w14:textId="77777777" w:rsidR="00316453" w:rsidRPr="0030138D" w:rsidRDefault="00316453" w:rsidP="00747170">
      <w:pPr>
        <w:pStyle w:val="afffff5"/>
        <w:rPr>
          <w:rtl/>
        </w:rPr>
      </w:pPr>
      <w:r w:rsidRPr="0030138D">
        <w:rPr>
          <w:rtl/>
        </w:rPr>
        <w:t xml:space="preserve">משום זורה. ולא ראינו מי שחשש בזה כיון שאינו מתכוין לכך כ"ש שאין דרך </w:t>
      </w:r>
      <w:r w:rsidRPr="0030138D">
        <w:rPr>
          <w:rFonts w:hint="cs"/>
          <w:rtl/>
        </w:rPr>
        <w:t>(</w:t>
      </w:r>
      <w:r w:rsidRPr="0030138D">
        <w:rPr>
          <w:rtl/>
        </w:rPr>
        <w:t>זריקה</w:t>
      </w:r>
      <w:r w:rsidRPr="0030138D">
        <w:rPr>
          <w:rFonts w:hint="cs"/>
          <w:rtl/>
        </w:rPr>
        <w:t>) [זרייה]</w:t>
      </w:r>
      <w:r w:rsidRPr="0030138D">
        <w:rPr>
          <w:rtl/>
        </w:rPr>
        <w:t xml:space="preserve"> בכך. עכ"ל הריק"ש:</w:t>
      </w:r>
    </w:p>
    <w:p w14:paraId="781C35D7" w14:textId="77777777" w:rsidR="00316453" w:rsidRPr="0030138D" w:rsidRDefault="00316453" w:rsidP="00747170">
      <w:pPr>
        <w:pStyle w:val="afffff5"/>
        <w:rPr>
          <w:rtl/>
        </w:rPr>
      </w:pPr>
      <w:r w:rsidRPr="0030138D">
        <w:rPr>
          <w:rtl/>
        </w:rPr>
        <w:t>(סז) מפזר הרוק - ולא ראינו מי שחושש לזה כיון דאינו מתכוין לכך וכ"ש דאין זה דרך זורה [חידושי רע"א] ועיין בבה"ל:</w:t>
      </w:r>
    </w:p>
    <w:p w14:paraId="6D4A7FE6" w14:textId="08D5FFE7" w:rsidR="00316453" w:rsidRDefault="00316453" w:rsidP="00316453">
      <w:pPr>
        <w:pStyle w:val="afffff7"/>
        <w:rPr>
          <w:rtl/>
        </w:rPr>
      </w:pPr>
      <w:bookmarkStart w:id="1954" w:name="_Toc136620443"/>
      <w:bookmarkStart w:id="1955" w:name="_Toc163505722"/>
      <w:r>
        <w:rPr>
          <w:rFonts w:hint="cs"/>
          <w:rtl/>
        </w:rPr>
        <w:t>מגן אבות הזורה</w:t>
      </w:r>
      <w:bookmarkEnd w:id="1954"/>
      <w:bookmarkEnd w:id="1955"/>
    </w:p>
    <w:p w14:paraId="5E199210" w14:textId="77777777" w:rsidR="00316453" w:rsidRPr="00855743" w:rsidRDefault="00316453" w:rsidP="00316453">
      <w:pPr>
        <w:pStyle w:val="a7"/>
        <w:rPr>
          <w:rtl/>
        </w:rPr>
      </w:pPr>
      <w:bookmarkStart w:id="1956" w:name="_Toc136618678"/>
      <w:r>
        <w:rPr>
          <w:rFonts w:hint="cs"/>
          <w:rtl/>
        </w:rPr>
        <w:t>בי' המגן אבות דלבעה"מ רוקק לרוח חייב אף שאצל"ג אך דחה דמ"מ פטור דאין לו תועלת בזה</w:t>
      </w:r>
      <w:bookmarkEnd w:id="1956"/>
    </w:p>
    <w:p w14:paraId="1605653A" w14:textId="0C283F44" w:rsidR="00316453" w:rsidRDefault="00316453" w:rsidP="00BC7DC8">
      <w:pPr>
        <w:pStyle w:val="a3"/>
      </w:pPr>
      <w:bookmarkStart w:id="1957" w:name="_Ref136563461"/>
      <w:r>
        <w:rPr>
          <w:rFonts w:hint="cs"/>
          <w:rtl/>
        </w:rPr>
        <w:t xml:space="preserve">כתב </w:t>
      </w:r>
      <w:r w:rsidRPr="008A55FE">
        <w:rPr>
          <w:rStyle w:val="aff4"/>
          <w:rFonts w:hint="cs"/>
          <w:vanish/>
          <w:rtl/>
        </w:rPr>
        <w:t>-</w:t>
      </w:r>
      <w:r w:rsidRPr="00BF46FD">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Ref136563461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כד)</w:t>
      </w:r>
      <w:r>
        <w:rPr>
          <w:rStyle w:val="aff4"/>
          <w:vanish/>
          <w:rtl/>
        </w:rPr>
        <w:fldChar w:fldCharType="end"/>
      </w:r>
      <w:r>
        <w:rPr>
          <w:rStyle w:val="aff4"/>
          <w:rFonts w:hint="cs"/>
          <w:vanish/>
          <w:rtl/>
        </w:rPr>
        <w:t xml:space="preserve"> &gt;</w:t>
      </w:r>
      <w:r w:rsidRPr="00BF46FD">
        <w:rPr>
          <w:rStyle w:val="aff4"/>
          <w:rFonts w:hint="cs"/>
          <w:rtl/>
        </w:rPr>
        <w:t>מגן אבות</w:t>
      </w:r>
      <w:r w:rsidRPr="008A55FE">
        <w:rPr>
          <w:rStyle w:val="aff4"/>
          <w:rFonts w:hint="cs"/>
          <w:vanish/>
          <w:rtl/>
        </w:rPr>
        <w:t>-</w:t>
      </w:r>
      <w:r>
        <w:rPr>
          <w:rFonts w:hint="cs"/>
          <w:rtl/>
        </w:rPr>
        <w:t xml:space="preserve"> </w:t>
      </w:r>
      <w:r w:rsidRPr="008A55FE">
        <w:rPr>
          <w:rStyle w:val="af2"/>
          <w:rFonts w:eastAsia="Guttman Hodes" w:hint="cs"/>
          <w:rtl/>
        </w:rPr>
        <w:t>(הזורה)</w:t>
      </w:r>
      <w:r w:rsidRPr="008A55FE">
        <w:rPr>
          <w:rFonts w:hint="cs"/>
          <w:vanish/>
          <w:rtl/>
        </w:rPr>
        <w:t>=</w:t>
      </w:r>
      <w:r>
        <w:rPr>
          <w:rFonts w:hint="cs"/>
          <w:rtl/>
        </w:rPr>
        <w:t xml:space="preserve"> בשם </w:t>
      </w:r>
      <w:r w:rsidRPr="008A55FE">
        <w:rPr>
          <w:rStyle w:val="aff4"/>
          <w:rFonts w:hint="cs"/>
          <w:vanish/>
          <w:rtl/>
        </w:rPr>
        <w:t>-</w:t>
      </w:r>
      <w:r w:rsidRPr="00BF46FD">
        <w:rPr>
          <w:rStyle w:val="aff4"/>
          <w:rFonts w:hint="cs"/>
          <w:rtl/>
        </w:rPr>
        <w:t>הסמ"ק</w:t>
      </w:r>
      <w:r w:rsidRPr="008A55FE">
        <w:rPr>
          <w:rStyle w:val="aff4"/>
          <w:rFonts w:hint="cs"/>
          <w:vanish/>
          <w:rtl/>
        </w:rPr>
        <w:t>-</w:t>
      </w:r>
      <w:r>
        <w:rPr>
          <w:rFonts w:hint="cs"/>
          <w:rtl/>
        </w:rPr>
        <w:t xml:space="preserve"> דאסור לרוק בר"ה משום זורה, </w:t>
      </w:r>
      <w:r w:rsidRPr="00B52A36">
        <w:rPr>
          <w:rStyle w:val="af"/>
          <w:rFonts w:hint="cs"/>
          <w:rtl/>
        </w:rPr>
        <w:t xml:space="preserve">[ואינו </w:t>
      </w:r>
      <w:r w:rsidRPr="005D49B2">
        <w:rPr>
          <w:rStyle w:val="aff9"/>
          <w:rFonts w:hint="cs"/>
          <w:vanish/>
          <w:rtl/>
        </w:rPr>
        <w:t>-</w:t>
      </w:r>
      <w:r w:rsidRPr="005D49B2">
        <w:rPr>
          <w:rStyle w:val="aff9"/>
          <w:rFonts w:hint="cs"/>
          <w:rtl/>
        </w:rPr>
        <w:t>בסמ"ק</w:t>
      </w:r>
      <w:r w:rsidRPr="005D49B2">
        <w:rPr>
          <w:rStyle w:val="aff9"/>
          <w:rFonts w:hint="cs"/>
          <w:vanish/>
          <w:rtl/>
        </w:rPr>
        <w:t>-</w:t>
      </w:r>
      <w:r w:rsidRPr="00B52A36">
        <w:rPr>
          <w:rStyle w:val="af"/>
          <w:rFonts w:hint="cs"/>
          <w:rtl/>
        </w:rPr>
        <w:t xml:space="preserve"> לפנינו כדכתב </w:t>
      </w:r>
      <w:r w:rsidRPr="005D49B2">
        <w:rPr>
          <w:rStyle w:val="aff9"/>
          <w:rFonts w:hint="cs"/>
          <w:vanish/>
          <w:rtl/>
        </w:rPr>
        <w:t>-</w:t>
      </w:r>
      <w:r w:rsidRPr="005D49B2">
        <w:rPr>
          <w:rStyle w:val="aff9"/>
          <w:rFonts w:hint="cs"/>
          <w:rtl/>
        </w:rPr>
        <w:t>הגרעק"א</w:t>
      </w:r>
      <w:r w:rsidRPr="005D49B2">
        <w:rPr>
          <w:rStyle w:val="aff9"/>
          <w:rFonts w:hint="cs"/>
          <w:vanish/>
          <w:rtl/>
        </w:rPr>
        <w:t>-</w:t>
      </w:r>
      <w:r w:rsidRPr="00B52A36">
        <w:rPr>
          <w:rStyle w:val="af"/>
          <w:rFonts w:hint="cs"/>
          <w:rtl/>
        </w:rPr>
        <w:t xml:space="preserve"> </w:t>
      </w:r>
      <w:r w:rsidRPr="005D49B2">
        <w:rPr>
          <w:rStyle w:val="aff0"/>
          <w:rFonts w:hint="cs"/>
          <w:rtl/>
        </w:rPr>
        <w:t xml:space="preserve">(עי' </w:t>
      </w:r>
      <w:r w:rsidRPr="00330699">
        <w:rPr>
          <w:rStyle w:val="aff0"/>
          <w:rFonts w:hint="cs"/>
          <w:rtl/>
        </w:rPr>
        <w:t xml:space="preserve">אות </w:t>
      </w:r>
      <w:r w:rsidRPr="00330699">
        <w:rPr>
          <w:rStyle w:val="aff0"/>
          <w:rtl/>
        </w:rPr>
        <w:fldChar w:fldCharType="begin"/>
      </w:r>
      <w:r w:rsidRPr="00330699">
        <w:rPr>
          <w:rStyle w:val="aff0"/>
          <w:rtl/>
        </w:rPr>
        <w:instrText xml:space="preserve"> </w:instrText>
      </w:r>
      <w:r w:rsidRPr="00330699">
        <w:rPr>
          <w:rStyle w:val="aff0"/>
          <w:rFonts w:hint="cs"/>
        </w:rPr>
        <w:instrText>REF</w:instrText>
      </w:r>
      <w:r w:rsidRPr="00330699">
        <w:rPr>
          <w:rStyle w:val="aff0"/>
          <w:rFonts w:hint="cs"/>
          <w:rtl/>
        </w:rPr>
        <w:instrText xml:space="preserve"> _</w:instrText>
      </w:r>
      <w:r w:rsidRPr="00330699">
        <w:rPr>
          <w:rStyle w:val="aff0"/>
          <w:rFonts w:hint="cs"/>
        </w:rPr>
        <w:instrText>Ref136512049 \r \h</w:instrText>
      </w:r>
      <w:r w:rsidRPr="00330699">
        <w:rPr>
          <w:rStyle w:val="aff0"/>
          <w:rtl/>
        </w:rPr>
        <w:instrText xml:space="preserve"> </w:instrText>
      </w:r>
      <w:r w:rsidRPr="00330699">
        <w:rPr>
          <w:rStyle w:val="aff0"/>
          <w:rtl/>
        </w:rPr>
      </w:r>
      <w:r w:rsidRPr="00330699">
        <w:rPr>
          <w:rStyle w:val="aff0"/>
          <w:rtl/>
        </w:rPr>
        <w:fldChar w:fldCharType="separate"/>
      </w:r>
      <w:r w:rsidR="00D82181">
        <w:rPr>
          <w:rStyle w:val="aff0"/>
          <w:cs/>
        </w:rPr>
        <w:t>‎</w:t>
      </w:r>
      <w:r w:rsidR="00D82181">
        <w:rPr>
          <w:rStyle w:val="aff0"/>
          <w:rtl/>
        </w:rPr>
        <w:t>כז)</w:t>
      </w:r>
      <w:r w:rsidRPr="00330699">
        <w:rPr>
          <w:rStyle w:val="aff0"/>
          <w:rtl/>
        </w:rPr>
        <w:fldChar w:fldCharType="end"/>
      </w:r>
      <w:r w:rsidRPr="00B52A36">
        <w:rPr>
          <w:rStyle w:val="af"/>
          <w:rFonts w:hint="cs"/>
          <w:rtl/>
        </w:rPr>
        <w:t xml:space="preserve">, והוא דברי </w:t>
      </w:r>
      <w:r w:rsidRPr="005D49B2">
        <w:rPr>
          <w:rStyle w:val="aff9"/>
          <w:rFonts w:hint="cs"/>
          <w:vanish/>
          <w:rtl/>
        </w:rPr>
        <w:t>-</w:t>
      </w:r>
      <w:r w:rsidRPr="005D49B2">
        <w:rPr>
          <w:rStyle w:val="aff9"/>
          <w:rFonts w:hint="cs"/>
          <w:rtl/>
        </w:rPr>
        <w:t>האו"ז</w:t>
      </w:r>
      <w:r w:rsidRPr="005D49B2">
        <w:rPr>
          <w:rStyle w:val="aff9"/>
          <w:rFonts w:hint="cs"/>
          <w:vanish/>
          <w:rtl/>
        </w:rPr>
        <w:t>-</w:t>
      </w:r>
      <w:r>
        <w:rPr>
          <w:rStyle w:val="af"/>
          <w:rFonts w:hint="cs"/>
          <w:rtl/>
        </w:rPr>
        <w:t xml:space="preserve"> </w:t>
      </w:r>
      <w:r w:rsidRPr="005D49B2">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Ref136512059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כג)</w:t>
      </w:r>
      <w:r>
        <w:rPr>
          <w:rStyle w:val="aff0"/>
          <w:rtl/>
        </w:rPr>
        <w:fldChar w:fldCharType="end"/>
      </w:r>
      <w:r w:rsidRPr="005D49B2">
        <w:rPr>
          <w:rStyle w:val="aff0"/>
          <w:rFonts w:hint="cs"/>
          <w:rtl/>
        </w:rPr>
        <w:t xml:space="preserve"> </w:t>
      </w:r>
      <w:r>
        <w:rPr>
          <w:rStyle w:val="af"/>
          <w:rFonts w:hint="cs"/>
          <w:rtl/>
        </w:rPr>
        <w:t xml:space="preserve">בשם </w:t>
      </w:r>
      <w:r w:rsidRPr="00B52A36">
        <w:rPr>
          <w:rStyle w:val="af"/>
          <w:rFonts w:hint="cs"/>
          <w:rtl/>
        </w:rPr>
        <w:t xml:space="preserve">הירושלמי דהרוקק </w:t>
      </w:r>
      <w:r>
        <w:rPr>
          <w:rStyle w:val="af"/>
          <w:rFonts w:hint="cs"/>
          <w:rtl/>
        </w:rPr>
        <w:t>לרוח</w:t>
      </w:r>
      <w:r w:rsidRPr="00B52A36">
        <w:rPr>
          <w:rStyle w:val="af"/>
          <w:rFonts w:hint="cs"/>
          <w:rtl/>
        </w:rPr>
        <w:t xml:space="preserve"> חייב משום זורה],</w:t>
      </w:r>
      <w:r>
        <w:rPr>
          <w:rFonts w:hint="cs"/>
          <w:rtl/>
        </w:rPr>
        <w:t xml:space="preserve"> והקשה </w:t>
      </w:r>
      <w:r w:rsidRPr="001840DA">
        <w:rPr>
          <w:rStyle w:val="aff4"/>
          <w:rFonts w:hint="cs"/>
          <w:vanish/>
          <w:rtl/>
        </w:rPr>
        <w:t>-</w:t>
      </w:r>
      <w:r>
        <w:rPr>
          <w:rStyle w:val="aff4"/>
          <w:rFonts w:hint="cs"/>
          <w:rtl/>
        </w:rPr>
        <w:t>ה</w:t>
      </w:r>
      <w:r w:rsidRPr="00BF46FD">
        <w:rPr>
          <w:rStyle w:val="aff4"/>
          <w:rFonts w:hint="cs"/>
          <w:rtl/>
        </w:rPr>
        <w:t>מגן אבות</w:t>
      </w:r>
      <w:r w:rsidRPr="001840DA">
        <w:rPr>
          <w:rStyle w:val="aff4"/>
          <w:rFonts w:hint="cs"/>
          <w:vanish/>
          <w:rtl/>
        </w:rPr>
        <w:t>-</w:t>
      </w:r>
      <w:r>
        <w:rPr>
          <w:rFonts w:hint="cs"/>
          <w:rtl/>
        </w:rPr>
        <w:t xml:space="preserve"> דרוקק לרוח הוא מלאכה שא"צ לגופה, ותירץ דאפ"ה אסור מדרבנן, והוסיף </w:t>
      </w:r>
      <w:r w:rsidRPr="008A55FE">
        <w:rPr>
          <w:rStyle w:val="aff4"/>
          <w:rFonts w:hint="cs"/>
          <w:vanish/>
          <w:rtl/>
        </w:rPr>
        <w:t>-</w:t>
      </w:r>
      <w:r w:rsidRPr="00BF46FD">
        <w:rPr>
          <w:rStyle w:val="aff4"/>
          <w:rFonts w:hint="cs"/>
          <w:rtl/>
        </w:rPr>
        <w:t>המגן אבות</w:t>
      </w:r>
      <w:r w:rsidRPr="008A55FE">
        <w:rPr>
          <w:rStyle w:val="aff4"/>
          <w:rFonts w:hint="cs"/>
          <w:vanish/>
          <w:rtl/>
        </w:rPr>
        <w:t>-</w:t>
      </w:r>
      <w:r>
        <w:rPr>
          <w:rFonts w:hint="cs"/>
          <w:rtl/>
        </w:rPr>
        <w:t xml:space="preserve"> דאפש"ל דהחיוב הוא לדעת </w:t>
      </w:r>
      <w:r w:rsidRPr="00527BD6">
        <w:rPr>
          <w:rStyle w:val="aff4"/>
          <w:rFonts w:hint="cs"/>
          <w:vanish/>
          <w:rtl/>
        </w:rPr>
        <w:t>-</w:t>
      </w:r>
      <w:r w:rsidRPr="00DE28D5">
        <w:rPr>
          <w:rStyle w:val="aff4"/>
          <w:rFonts w:hint="cs"/>
          <w:rtl/>
        </w:rPr>
        <w:t>הבעה"מ</w:t>
      </w:r>
      <w:r w:rsidRPr="00527BD6">
        <w:rPr>
          <w:rStyle w:val="aff4"/>
          <w:rFonts w:hint="cs"/>
          <w:vanish/>
          <w:rtl/>
        </w:rPr>
        <w:t>-</w:t>
      </w:r>
      <w:r>
        <w:rPr>
          <w:rFonts w:hint="cs"/>
          <w:rtl/>
        </w:rPr>
        <w:t xml:space="preserve"> </w:t>
      </w:r>
      <w:r w:rsidRPr="00D4778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Ref135731936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א)</w:t>
      </w:r>
      <w:r>
        <w:rPr>
          <w:rStyle w:val="af2"/>
          <w:rFonts w:eastAsia="Guttman Hodes"/>
          <w:rtl/>
        </w:rPr>
        <w:fldChar w:fldCharType="end"/>
      </w:r>
      <w:r>
        <w:rPr>
          <w:rFonts w:hint="cs"/>
          <w:rtl/>
        </w:rPr>
        <w:t xml:space="preserve"> דב</w:t>
      </w:r>
      <w:r w:rsidRPr="00321179">
        <w:rPr>
          <w:rFonts w:hint="cs"/>
          <w:rtl/>
        </w:rPr>
        <w:t xml:space="preserve">כל זורה </w:t>
      </w:r>
      <w:r>
        <w:rPr>
          <w:rFonts w:hint="cs"/>
          <w:rtl/>
        </w:rPr>
        <w:t xml:space="preserve">חייב אף שא"צ לגופה, אך דחה </w:t>
      </w:r>
      <w:r w:rsidRPr="001840DA">
        <w:rPr>
          <w:rStyle w:val="aff4"/>
          <w:rFonts w:hint="cs"/>
          <w:vanish/>
          <w:rtl/>
        </w:rPr>
        <w:t>-</w:t>
      </w:r>
      <w:r>
        <w:rPr>
          <w:rStyle w:val="aff4"/>
          <w:rFonts w:hint="cs"/>
          <w:rtl/>
        </w:rPr>
        <w:t>ה</w:t>
      </w:r>
      <w:r w:rsidRPr="00BF46FD">
        <w:rPr>
          <w:rStyle w:val="aff4"/>
          <w:rFonts w:hint="cs"/>
          <w:rtl/>
        </w:rPr>
        <w:t>מגן אבות</w:t>
      </w:r>
      <w:r w:rsidRPr="001840DA">
        <w:rPr>
          <w:rStyle w:val="aff4"/>
          <w:rFonts w:hint="cs"/>
          <w:vanish/>
          <w:rtl/>
        </w:rPr>
        <w:t>-</w:t>
      </w:r>
      <w:r>
        <w:rPr>
          <w:rFonts w:hint="cs"/>
          <w:rtl/>
        </w:rPr>
        <w:t xml:space="preserve"> דהחיוב </w:t>
      </w:r>
      <w:r w:rsidRPr="00EA4245">
        <w:rPr>
          <w:rFonts w:hint="cs"/>
          <w:rtl/>
        </w:rPr>
        <w:t>ה</w:t>
      </w:r>
      <w:r>
        <w:rPr>
          <w:rFonts w:hint="cs"/>
          <w:rtl/>
        </w:rPr>
        <w:t xml:space="preserve">וא רק בזורה ובורר שיש תועלת במה שמסלק את הנזק, וזו התועלת שהייתה במשכן, אבל בדבר שאין לו תועלת כרוק ברה"ר אפש"ל דפטור, ועי' במ"ש </w:t>
      </w:r>
      <w:r w:rsidRPr="00527BD6">
        <w:rPr>
          <w:rStyle w:val="aff4"/>
          <w:rFonts w:hint="cs"/>
          <w:vanish/>
          <w:rtl/>
        </w:rPr>
        <w:t>-</w:t>
      </w:r>
      <w:r w:rsidRPr="00DE28D5">
        <w:rPr>
          <w:rStyle w:val="aff4"/>
          <w:rFonts w:hint="cs"/>
          <w:rtl/>
        </w:rPr>
        <w:t>ה</w:t>
      </w:r>
      <w:r w:rsidRPr="00527BD6">
        <w:rPr>
          <w:rStyle w:val="aff4"/>
          <w:rFonts w:hint="cs"/>
          <w:vanish/>
          <w:rtl/>
        </w:rPr>
        <w:t>&lt; &gt;</w:t>
      </w:r>
      <w:r w:rsidRPr="00DE28D5">
        <w:rPr>
          <w:rStyle w:val="aff4"/>
          <w:rFonts w:hint="cs"/>
          <w:rtl/>
        </w:rPr>
        <w:t>אבי עזרי</w:t>
      </w:r>
      <w:r w:rsidRPr="00527BD6">
        <w:rPr>
          <w:rStyle w:val="aff4"/>
          <w:rFonts w:hint="cs"/>
          <w:vanish/>
          <w:rtl/>
        </w:rPr>
        <w:t>-</w:t>
      </w:r>
      <w:r>
        <w:rPr>
          <w:rFonts w:hint="cs"/>
          <w:rtl/>
        </w:rPr>
        <w:t xml:space="preserve"> </w:t>
      </w:r>
      <w:r>
        <w:rPr>
          <w:rStyle w:val="af2"/>
          <w:rFonts w:eastAsia="Guttman Hodes" w:hint="cs"/>
          <w:rtl/>
        </w:rPr>
        <w:t>(עי'</w:t>
      </w:r>
      <w:r w:rsidRPr="00911186">
        <w:rPr>
          <w:rStyle w:val="af2"/>
          <w:rFonts w:eastAsia="Guttman Hodes" w:hint="cs"/>
          <w:rtl/>
        </w:rPr>
        <w:t xml:space="preserve"> אות </w:t>
      </w:r>
      <w:r w:rsidRPr="00911186">
        <w:rPr>
          <w:rStyle w:val="af2"/>
          <w:rFonts w:eastAsia="Guttman Hodes"/>
          <w:rtl/>
        </w:rPr>
        <w:fldChar w:fldCharType="begin"/>
      </w:r>
      <w:r w:rsidRPr="00911186">
        <w:rPr>
          <w:rStyle w:val="af2"/>
          <w:rFonts w:eastAsia="Guttman Hodes"/>
          <w:rtl/>
        </w:rPr>
        <w:instrText xml:space="preserve"> </w:instrText>
      </w:r>
      <w:r w:rsidRPr="00911186">
        <w:rPr>
          <w:rStyle w:val="af2"/>
          <w:rFonts w:eastAsia="Guttman Hodes" w:hint="cs"/>
        </w:rPr>
        <w:instrText>REF</w:instrText>
      </w:r>
      <w:r w:rsidRPr="00911186">
        <w:rPr>
          <w:rStyle w:val="af2"/>
          <w:rFonts w:eastAsia="Guttman Hodes" w:hint="cs"/>
          <w:rtl/>
        </w:rPr>
        <w:instrText xml:space="preserve"> _</w:instrText>
      </w:r>
      <w:r w:rsidRPr="00911186">
        <w:rPr>
          <w:rStyle w:val="af2"/>
          <w:rFonts w:eastAsia="Guttman Hodes" w:hint="cs"/>
        </w:rPr>
        <w:instrText>Ref136429959 \r \h</w:instrText>
      </w:r>
      <w:r w:rsidRPr="00911186">
        <w:rPr>
          <w:rStyle w:val="af2"/>
          <w:rFonts w:eastAsia="Guttman Hodes"/>
          <w:rtl/>
        </w:rPr>
        <w:instrText xml:space="preserve"> </w:instrText>
      </w:r>
      <w:r w:rsidRPr="00911186">
        <w:rPr>
          <w:rStyle w:val="af2"/>
          <w:rFonts w:eastAsia="Guttman Hodes"/>
          <w:rtl/>
        </w:rPr>
      </w:r>
      <w:r w:rsidRPr="00911186">
        <w:rPr>
          <w:rStyle w:val="af2"/>
          <w:rFonts w:eastAsia="Guttman Hodes"/>
          <w:rtl/>
        </w:rPr>
        <w:fldChar w:fldCharType="separate"/>
      </w:r>
      <w:r w:rsidR="00D82181">
        <w:rPr>
          <w:rStyle w:val="af2"/>
          <w:rFonts w:eastAsia="Guttman Hodes"/>
          <w:cs/>
        </w:rPr>
        <w:t>‎</w:t>
      </w:r>
      <w:r w:rsidR="00D82181">
        <w:rPr>
          <w:rStyle w:val="af2"/>
          <w:rFonts w:eastAsia="Guttman Hodes"/>
          <w:rtl/>
        </w:rPr>
        <w:t>כה)</w:t>
      </w:r>
      <w:r w:rsidRPr="00911186">
        <w:rPr>
          <w:rStyle w:val="af2"/>
          <w:rFonts w:eastAsia="Guttman Hodes"/>
          <w:rtl/>
        </w:rPr>
        <w:fldChar w:fldCharType="end"/>
      </w:r>
      <w:r w:rsidRPr="00911186">
        <w:rPr>
          <w:rFonts w:hint="cs"/>
          <w:vanish/>
          <w:rtl/>
        </w:rPr>
        <w:t xml:space="preserve"> </w:t>
      </w:r>
      <w:r w:rsidRPr="008A55FE">
        <w:rPr>
          <w:rFonts w:hint="cs"/>
          <w:vanish/>
          <w:rtl/>
        </w:rPr>
        <w:t>=</w:t>
      </w:r>
      <w:r>
        <w:rPr>
          <w:rFonts w:hint="cs"/>
          <w:rtl/>
        </w:rPr>
        <w:t xml:space="preserve"> בזה.</w:t>
      </w:r>
      <w:bookmarkEnd w:id="1957"/>
    </w:p>
    <w:p w14:paraId="68092DBF" w14:textId="77777777" w:rsidR="00316453" w:rsidRPr="00747170" w:rsidRDefault="00316453" w:rsidP="00747170">
      <w:pPr>
        <w:pStyle w:val="a2"/>
      </w:pPr>
      <w:r w:rsidRPr="00747170">
        <w:rPr>
          <w:rStyle w:val="afff7"/>
          <w:rFonts w:hint="cs"/>
          <w:rtl/>
        </w:rPr>
        <w:t>ה</w:t>
      </w:r>
      <w:r w:rsidRPr="00747170">
        <w:rPr>
          <w:rStyle w:val="afff7"/>
          <w:rtl/>
        </w:rPr>
        <w:t>זורה</w:t>
      </w:r>
      <w:r w:rsidRPr="00747170">
        <w:rPr>
          <w:rStyle w:val="afff7"/>
          <w:rFonts w:hint="cs"/>
          <w:rtl/>
        </w:rPr>
        <w:t>,</w:t>
      </w:r>
      <w:r w:rsidRPr="00747170">
        <w:rPr>
          <w:rStyle w:val="afff7"/>
          <w:rtl/>
        </w:rPr>
        <w:t xml:space="preserve"> פירש"י ברחת משמע קצת אבל ביד ליכא זורה</w:t>
      </w:r>
      <w:r w:rsidRPr="00747170">
        <w:rPr>
          <w:rStyle w:val="afff7"/>
          <w:rFonts w:hint="cs"/>
          <w:rtl/>
        </w:rPr>
        <w:t xml:space="preserve">. </w:t>
      </w:r>
      <w:r w:rsidRPr="00747170">
        <w:rPr>
          <w:rFonts w:hint="cs"/>
          <w:rtl/>
        </w:rPr>
        <w:t xml:space="preserve">וכתב </w:t>
      </w:r>
      <w:r w:rsidRPr="00747170">
        <w:rPr>
          <w:rtl/>
        </w:rPr>
        <w:t xml:space="preserve">בסמ"ק דאין לרוק ברשות הרבים משום זורה </w:t>
      </w:r>
      <w:r w:rsidRPr="00747170">
        <w:rPr>
          <w:rStyle w:val="afff7"/>
          <w:rtl/>
        </w:rPr>
        <w:t>וכן אין לזרוק</w:t>
      </w:r>
      <w:r w:rsidRPr="00747170">
        <w:rPr>
          <w:rStyle w:val="afff7"/>
          <w:rFonts w:hint="cs"/>
          <w:rtl/>
        </w:rPr>
        <w:t xml:space="preserve"> </w:t>
      </w:r>
      <w:r w:rsidRPr="00747170">
        <w:rPr>
          <w:rStyle w:val="afff7"/>
          <w:rtl/>
        </w:rPr>
        <w:t>לעופות ממקום גבוה לארץ משום זורה ומשמע מסמ"ג דלא סבירא ליה כרש"י</w:t>
      </w:r>
      <w:r w:rsidRPr="00747170">
        <w:rPr>
          <w:rStyle w:val="afff7"/>
          <w:rFonts w:hint="cs"/>
          <w:rtl/>
        </w:rPr>
        <w:t>.</w:t>
      </w:r>
      <w:r w:rsidRPr="00747170">
        <w:rPr>
          <w:rtl/>
        </w:rPr>
        <w:t xml:space="preserve"> ומכל מקום קשה הא אין צריך לגופה הוא וצריך לומר דמכל מקום אסור מדרבנן הוא אי נמי למה שכתב המאור ריש פרק האורג</w:t>
      </w:r>
      <w:r w:rsidRPr="00747170">
        <w:rPr>
          <w:rFonts w:hint="cs"/>
          <w:rtl/>
        </w:rPr>
        <w:t xml:space="preserve"> </w:t>
      </w:r>
      <w:r w:rsidRPr="00747170">
        <w:rPr>
          <w:rtl/>
        </w:rPr>
        <w:t>דכל הזורה הוי ליה סילוק היזקא ומקרי אצל"ג ואפילו הכי חייב אם כן יש ללמוד ממנו לכל אצל"ג גבי זורה</w:t>
      </w:r>
      <w:r w:rsidRPr="00747170">
        <w:rPr>
          <w:rFonts w:hint="cs"/>
          <w:rtl/>
        </w:rPr>
        <w:t>.</w:t>
      </w:r>
    </w:p>
    <w:p w14:paraId="432CE3C2" w14:textId="77777777" w:rsidR="00316453" w:rsidRPr="0030138D" w:rsidRDefault="00316453" w:rsidP="00747170">
      <w:pPr>
        <w:pStyle w:val="afffff5"/>
        <w:rPr>
          <w:rtl/>
        </w:rPr>
      </w:pPr>
      <w:r w:rsidRPr="0030138D">
        <w:rPr>
          <w:rtl/>
        </w:rPr>
        <w:t>ויש לו</w:t>
      </w:r>
      <w:r w:rsidRPr="0030138D">
        <w:rPr>
          <w:rFonts w:hint="cs"/>
          <w:rtl/>
        </w:rPr>
        <w:t>מ</w:t>
      </w:r>
      <w:r w:rsidRPr="0030138D">
        <w:rPr>
          <w:rtl/>
        </w:rPr>
        <w:t>ר דדוקא ביש לו תועלת על כל פנים לע</w:t>
      </w:r>
      <w:r w:rsidRPr="0030138D">
        <w:rPr>
          <w:rFonts w:hint="cs"/>
          <w:rtl/>
        </w:rPr>
        <w:t>ני</w:t>
      </w:r>
      <w:r w:rsidRPr="0030138D">
        <w:rPr>
          <w:rtl/>
        </w:rPr>
        <w:t>ן סילוק היזקא דגם במשכן היה הז</w:t>
      </w:r>
      <w:r w:rsidRPr="0030138D">
        <w:rPr>
          <w:rFonts w:hint="cs"/>
          <w:rtl/>
        </w:rPr>
        <w:t>ו</w:t>
      </w:r>
      <w:r w:rsidRPr="0030138D">
        <w:rPr>
          <w:rtl/>
        </w:rPr>
        <w:t>רה על דרך זה וגם אפשר דלא שייך הסברא דמניעת היזקא אלא דהיה אפשר מעיקרא בלא ההיזק והוי ליה ברצונו לא בא לו אבל כל תבואה יש</w:t>
      </w:r>
      <w:r w:rsidRPr="0030138D">
        <w:rPr>
          <w:rFonts w:hint="cs"/>
          <w:rtl/>
        </w:rPr>
        <w:t xml:space="preserve"> </w:t>
      </w:r>
      <w:r w:rsidRPr="0030138D">
        <w:rPr>
          <w:rtl/>
        </w:rPr>
        <w:t>לו מוץ ואי אפשר בענין אחר על כן בכי האי גוונא הוי ליה כצריך לגופה אבל בליכא תועלת כלל כמו ברוק יש לומר דפטור על כל פנים</w:t>
      </w:r>
      <w:r w:rsidRPr="0030138D">
        <w:rPr>
          <w:rFonts w:hint="cs"/>
          <w:rtl/>
        </w:rPr>
        <w:t>.</w:t>
      </w:r>
    </w:p>
    <w:p w14:paraId="2C2A6E7B" w14:textId="1C288DA5" w:rsidR="00316453" w:rsidRDefault="00316453" w:rsidP="00316453">
      <w:pPr>
        <w:pStyle w:val="afffff7"/>
        <w:rPr>
          <w:rtl/>
        </w:rPr>
      </w:pPr>
      <w:bookmarkStart w:id="1958" w:name="_Toc136620444"/>
      <w:bookmarkStart w:id="1959" w:name="_Toc163505723"/>
      <w:r>
        <w:rPr>
          <w:rtl/>
        </w:rPr>
        <w:t>באור הלכה סי</w:t>
      </w:r>
      <w:r>
        <w:rPr>
          <w:rFonts w:hint="cs"/>
          <w:rtl/>
        </w:rPr>
        <w:t>'</w:t>
      </w:r>
      <w:r>
        <w:rPr>
          <w:rtl/>
        </w:rPr>
        <w:t xml:space="preserve"> שי</w:t>
      </w:r>
      <w:r>
        <w:rPr>
          <w:rFonts w:hint="cs"/>
          <w:rtl/>
        </w:rPr>
        <w:t>"</w:t>
      </w:r>
      <w:r>
        <w:rPr>
          <w:rtl/>
        </w:rPr>
        <w:t>ט סעיף י</w:t>
      </w:r>
      <w:r>
        <w:rPr>
          <w:rFonts w:hint="cs"/>
          <w:rtl/>
        </w:rPr>
        <w:t>"</w:t>
      </w:r>
      <w:r>
        <w:rPr>
          <w:rtl/>
        </w:rPr>
        <w:t>ז</w:t>
      </w:r>
      <w:r>
        <w:rPr>
          <w:rFonts w:hint="cs"/>
          <w:rtl/>
        </w:rPr>
        <w:t xml:space="preserve"> ד"ה</w:t>
      </w:r>
      <w:r>
        <w:rPr>
          <w:rtl/>
        </w:rPr>
        <w:t xml:space="preserve"> מפזר</w:t>
      </w:r>
      <w:bookmarkEnd w:id="1958"/>
      <w:bookmarkEnd w:id="1959"/>
    </w:p>
    <w:p w14:paraId="72DD38D3" w14:textId="77777777" w:rsidR="00316453" w:rsidRDefault="00316453" w:rsidP="00316453">
      <w:pPr>
        <w:pStyle w:val="afffff7"/>
      </w:pPr>
      <w:bookmarkStart w:id="1960" w:name="_Toc136620445"/>
      <w:bookmarkStart w:id="1961" w:name="_Toc136618679"/>
      <w:bookmarkStart w:id="1962" w:name="_Toc163505724"/>
      <w:r w:rsidRPr="00197E6F">
        <w:rPr>
          <w:rtl/>
        </w:rPr>
        <w:t>אלפי מנשה</w:t>
      </w:r>
      <w:r>
        <w:rPr>
          <w:rFonts w:hint="cs"/>
          <w:rtl/>
        </w:rPr>
        <w:t xml:space="preserve"> שבת ה ע"א ד"ה אגב</w:t>
      </w:r>
      <w:bookmarkEnd w:id="1960"/>
      <w:bookmarkEnd w:id="1962"/>
    </w:p>
    <w:p w14:paraId="2BD9F62F" w14:textId="77777777" w:rsidR="00316453" w:rsidRPr="00321179" w:rsidRDefault="00316453" w:rsidP="00316453">
      <w:pPr>
        <w:pStyle w:val="afffff7"/>
        <w:rPr>
          <w:rtl/>
        </w:rPr>
      </w:pPr>
      <w:bookmarkStart w:id="1963" w:name="_Toc136620446"/>
      <w:bookmarkStart w:id="1964" w:name="_Toc163505725"/>
      <w:r w:rsidRPr="00321179">
        <w:rPr>
          <w:rFonts w:hint="cs"/>
          <w:rtl/>
        </w:rPr>
        <w:t xml:space="preserve">אבי עזרי שבת פ"ח הי"א ד"ה </w:t>
      </w:r>
      <w:r>
        <w:rPr>
          <w:rFonts w:hint="cs"/>
          <w:rtl/>
        </w:rPr>
        <w:t>ובביאור הלכה</w:t>
      </w:r>
      <w:bookmarkEnd w:id="1963"/>
      <w:bookmarkEnd w:id="1964"/>
    </w:p>
    <w:p w14:paraId="63C6228B" w14:textId="77777777" w:rsidR="00316453" w:rsidRDefault="00316453" w:rsidP="00316453">
      <w:pPr>
        <w:pStyle w:val="a7"/>
        <w:rPr>
          <w:rtl/>
        </w:rPr>
      </w:pPr>
      <w:r>
        <w:rPr>
          <w:rFonts w:hint="cs"/>
          <w:rtl/>
        </w:rPr>
        <w:t>בי' הביה"ל בירושלמי דחיוב רוקק משום הוצאה ודחיית האבי עזרי דרק בזורה חייב בסיוע רוח</w:t>
      </w:r>
      <w:bookmarkEnd w:id="1961"/>
    </w:p>
    <w:p w14:paraId="4328148C" w14:textId="32E5A7FA" w:rsidR="00316453" w:rsidRPr="0003043D" w:rsidRDefault="00316453" w:rsidP="00BC7DC8">
      <w:pPr>
        <w:pStyle w:val="a3"/>
      </w:pPr>
      <w:bookmarkStart w:id="1965" w:name="_Ref136429959"/>
      <w:r>
        <w:rPr>
          <w:rFonts w:hint="cs"/>
          <w:rtl/>
        </w:rPr>
        <w:t xml:space="preserve">ועי' במה שהביא </w:t>
      </w:r>
      <w:r w:rsidRPr="00527BD6">
        <w:rPr>
          <w:rStyle w:val="aff4"/>
          <w:rFonts w:hint="cs"/>
          <w:vanish/>
          <w:rtl/>
        </w:rPr>
        <w:t>-</w:t>
      </w:r>
      <w:r w:rsidRPr="00DE28D5">
        <w:rPr>
          <w:rStyle w:val="aff4"/>
          <w:rFonts w:hint="cs"/>
          <w:rtl/>
        </w:rPr>
        <w:t>ה</w:t>
      </w:r>
      <w:r w:rsidRPr="00527BD6">
        <w:rPr>
          <w:rStyle w:val="aff4"/>
          <w:rFonts w:hint="cs"/>
          <w:vanish/>
          <w:rtl/>
        </w:rPr>
        <w:t xml:space="preserve">&lt;. </w:t>
      </w:r>
      <w:r w:rsidRPr="00527BD6">
        <w:rPr>
          <w:rStyle w:val="aff4"/>
          <w:vanish/>
          <w:rtl/>
        </w:rPr>
        <w:fldChar w:fldCharType="begin"/>
      </w:r>
      <w:r w:rsidRPr="00527BD6">
        <w:rPr>
          <w:rStyle w:val="aff4"/>
          <w:vanish/>
          <w:rtl/>
        </w:rPr>
        <w:instrText xml:space="preserve"> </w:instrText>
      </w:r>
      <w:r w:rsidRPr="00527BD6">
        <w:rPr>
          <w:rStyle w:val="aff4"/>
          <w:rFonts w:hint="cs"/>
          <w:vanish/>
        </w:rPr>
        <w:instrText>REF</w:instrText>
      </w:r>
      <w:r w:rsidRPr="00527BD6">
        <w:rPr>
          <w:rStyle w:val="aff4"/>
          <w:rFonts w:hint="cs"/>
          <w:vanish/>
          <w:rtl/>
        </w:rPr>
        <w:instrText xml:space="preserve"> _</w:instrText>
      </w:r>
      <w:r w:rsidRPr="00527BD6">
        <w:rPr>
          <w:rStyle w:val="aff4"/>
          <w:rFonts w:hint="cs"/>
          <w:vanish/>
        </w:rPr>
        <w:instrText>Ref136429959 \r \h</w:instrText>
      </w:r>
      <w:r w:rsidRPr="00527BD6">
        <w:rPr>
          <w:rStyle w:val="aff4"/>
          <w:vanish/>
          <w:rtl/>
        </w:rPr>
        <w:instrText xml:space="preserve"> </w:instrText>
      </w:r>
      <w:r w:rsidRPr="00527BD6">
        <w:rPr>
          <w:rStyle w:val="aff4"/>
          <w:vanish/>
          <w:rtl/>
        </w:rPr>
      </w:r>
      <w:r w:rsidRPr="00527BD6">
        <w:rPr>
          <w:rStyle w:val="aff4"/>
          <w:vanish/>
          <w:rtl/>
        </w:rPr>
        <w:fldChar w:fldCharType="separate"/>
      </w:r>
      <w:r w:rsidR="00D82181">
        <w:rPr>
          <w:rStyle w:val="aff4"/>
          <w:vanish/>
          <w:cs/>
        </w:rPr>
        <w:t>‎</w:t>
      </w:r>
      <w:r w:rsidR="00D82181">
        <w:rPr>
          <w:rStyle w:val="aff4"/>
          <w:vanish/>
          <w:rtl/>
        </w:rPr>
        <w:t>כה)</w:t>
      </w:r>
      <w:r w:rsidRPr="00527BD6">
        <w:rPr>
          <w:rStyle w:val="aff4"/>
          <w:vanish/>
          <w:rtl/>
        </w:rPr>
        <w:fldChar w:fldCharType="end"/>
      </w:r>
      <w:r w:rsidRPr="00527BD6">
        <w:rPr>
          <w:rStyle w:val="aff4"/>
          <w:rFonts w:hint="cs"/>
          <w:vanish/>
          <w:rtl/>
        </w:rPr>
        <w:t xml:space="preserve"> &gt;</w:t>
      </w:r>
      <w:r w:rsidRPr="00DE28D5">
        <w:rPr>
          <w:rStyle w:val="aff4"/>
          <w:rFonts w:hint="cs"/>
          <w:rtl/>
        </w:rPr>
        <w:t>ביה"ל</w:t>
      </w:r>
      <w:r w:rsidRPr="00527BD6">
        <w:rPr>
          <w:rStyle w:val="aff4"/>
          <w:rFonts w:hint="cs"/>
          <w:vanish/>
          <w:rtl/>
        </w:rPr>
        <w:t>-</w:t>
      </w:r>
      <w:r>
        <w:rPr>
          <w:rFonts w:hint="cs"/>
          <w:rtl/>
        </w:rPr>
        <w:t xml:space="preserve"> </w:t>
      </w:r>
      <w:r w:rsidRPr="00D4778B">
        <w:rPr>
          <w:rStyle w:val="af2"/>
          <w:rFonts w:eastAsia="Guttman Hodes" w:hint="cs"/>
          <w:rtl/>
        </w:rPr>
        <w:t>(סי' שי"ט י"ז ד"ה מפזר)</w:t>
      </w:r>
      <w:r>
        <w:rPr>
          <w:rFonts w:hint="cs"/>
          <w:rtl/>
        </w:rPr>
        <w:t xml:space="preserve"> בשם </w:t>
      </w:r>
      <w:r w:rsidRPr="00527BD6">
        <w:rPr>
          <w:rStyle w:val="aff4"/>
          <w:rFonts w:hint="cs"/>
          <w:vanish/>
          <w:rtl/>
        </w:rPr>
        <w:t>-</w:t>
      </w:r>
      <w:r w:rsidRPr="00DE28D5">
        <w:rPr>
          <w:rStyle w:val="aff4"/>
          <w:rFonts w:hint="cs"/>
          <w:rtl/>
        </w:rPr>
        <w:t>ספר אלפי מנשה</w:t>
      </w:r>
      <w:r w:rsidRPr="00527BD6">
        <w:rPr>
          <w:rStyle w:val="aff4"/>
          <w:rFonts w:hint="cs"/>
          <w:vanish/>
          <w:rtl/>
        </w:rPr>
        <w:t>-</w:t>
      </w:r>
      <w:r>
        <w:rPr>
          <w:rFonts w:hint="cs"/>
          <w:rtl/>
        </w:rPr>
        <w:t xml:space="preserve"> </w:t>
      </w:r>
      <w:r w:rsidRPr="00D4778B">
        <w:rPr>
          <w:rStyle w:val="af2"/>
          <w:rFonts w:eastAsia="Guttman Hodes" w:hint="cs"/>
          <w:rtl/>
        </w:rPr>
        <w:t>(לעיל ה. ד"ה אגב)</w:t>
      </w:r>
      <w:r w:rsidRPr="00527BD6">
        <w:rPr>
          <w:rFonts w:hint="cs"/>
          <w:vanish/>
          <w:rtl/>
        </w:rPr>
        <w:t>=</w:t>
      </w:r>
      <w:r>
        <w:rPr>
          <w:rFonts w:hint="cs"/>
          <w:rtl/>
        </w:rPr>
        <w:t xml:space="preserve"> דכתב דא"א לומר דכוונת הירושלמי דחייב משום זורה, דהא אין לו כל צורך בברירת הפסולת ברוק, אלא כוונת הירושלמי דהרוקק ד"א ברה"ר חייב משום הוצאה, ואף דהרוח מסייעתו חייב כזורה, וכתב </w:t>
      </w:r>
      <w:r w:rsidRPr="00527BD6">
        <w:rPr>
          <w:rStyle w:val="aff4"/>
          <w:rFonts w:hint="cs"/>
          <w:vanish/>
          <w:rtl/>
        </w:rPr>
        <w:t>-</w:t>
      </w:r>
      <w:r w:rsidRPr="00DE28D5">
        <w:rPr>
          <w:rStyle w:val="aff4"/>
          <w:rFonts w:hint="cs"/>
          <w:rtl/>
        </w:rPr>
        <w:t>הביה"ל</w:t>
      </w:r>
      <w:r w:rsidRPr="00527BD6">
        <w:rPr>
          <w:rStyle w:val="aff4"/>
          <w:rFonts w:hint="cs"/>
          <w:vanish/>
          <w:rtl/>
        </w:rPr>
        <w:t>-</w:t>
      </w:r>
      <w:r>
        <w:rPr>
          <w:rFonts w:hint="cs"/>
          <w:rtl/>
        </w:rPr>
        <w:t xml:space="preserve"> דזהו הביאור הנכון, ועי' במה שדחה </w:t>
      </w:r>
      <w:r w:rsidRPr="00527BD6">
        <w:rPr>
          <w:rStyle w:val="aff4"/>
          <w:rFonts w:hint="cs"/>
          <w:vanish/>
          <w:rtl/>
        </w:rPr>
        <w:t>-</w:t>
      </w:r>
      <w:r w:rsidRPr="00DE28D5">
        <w:rPr>
          <w:rStyle w:val="aff4"/>
          <w:rFonts w:hint="cs"/>
          <w:rtl/>
        </w:rPr>
        <w:t>ה</w:t>
      </w:r>
      <w:r w:rsidRPr="00527BD6">
        <w:rPr>
          <w:rStyle w:val="aff4"/>
          <w:rFonts w:hint="cs"/>
          <w:vanish/>
          <w:rtl/>
        </w:rPr>
        <w:t>&lt; &gt;</w:t>
      </w:r>
      <w:r w:rsidRPr="00DE28D5">
        <w:rPr>
          <w:rStyle w:val="aff4"/>
          <w:rFonts w:hint="cs"/>
          <w:rtl/>
        </w:rPr>
        <w:t>אבי עזרי</w:t>
      </w:r>
      <w:r w:rsidRPr="00527BD6">
        <w:rPr>
          <w:rStyle w:val="aff4"/>
          <w:rFonts w:hint="cs"/>
          <w:vanish/>
          <w:rtl/>
        </w:rPr>
        <w:t>-</w:t>
      </w:r>
      <w:r>
        <w:rPr>
          <w:rFonts w:hint="cs"/>
          <w:rtl/>
        </w:rPr>
        <w:t xml:space="preserve"> </w:t>
      </w:r>
      <w:r w:rsidRPr="00D4778B">
        <w:rPr>
          <w:rStyle w:val="af2"/>
          <w:rFonts w:eastAsia="Guttman Hodes" w:hint="cs"/>
          <w:rtl/>
        </w:rPr>
        <w:t>(שבת פ"ח הי"א ד"ה ובביאור הלכה)</w:t>
      </w:r>
      <w:r w:rsidRPr="00527BD6">
        <w:rPr>
          <w:rFonts w:hint="cs"/>
          <w:vanish/>
          <w:rtl/>
        </w:rPr>
        <w:t>=</w:t>
      </w:r>
      <w:r>
        <w:rPr>
          <w:rFonts w:hint="cs"/>
          <w:rtl/>
        </w:rPr>
        <w:t xml:space="preserve"> דא"א ללמוד מזורה לכל מלאכה דיתחייב בזורה ורוח מסייעתו, דרק במלאכה זו שכך דרכה חייבה תורה בסיוע הרוח, כמו בכל זורה ובורר, דלדעת </w:t>
      </w:r>
      <w:r w:rsidRPr="00527BD6">
        <w:rPr>
          <w:rStyle w:val="aff4"/>
          <w:rFonts w:hint="cs"/>
          <w:vanish/>
          <w:rtl/>
        </w:rPr>
        <w:t>-</w:t>
      </w:r>
      <w:r w:rsidRPr="00DE28D5">
        <w:rPr>
          <w:rStyle w:val="aff4"/>
          <w:rFonts w:hint="cs"/>
          <w:rtl/>
        </w:rPr>
        <w:t>הבעה"מ</w:t>
      </w:r>
      <w:r w:rsidRPr="00527BD6">
        <w:rPr>
          <w:rStyle w:val="aff4"/>
          <w:rFonts w:hint="cs"/>
          <w:vanish/>
          <w:rtl/>
        </w:rPr>
        <w:t>-</w:t>
      </w:r>
      <w:r>
        <w:rPr>
          <w:rFonts w:hint="cs"/>
          <w:rtl/>
        </w:rPr>
        <w:t xml:space="preserve"> </w:t>
      </w:r>
      <w:r w:rsidRPr="00D4778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Ref135731936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א)</w:t>
      </w:r>
      <w:r>
        <w:rPr>
          <w:rStyle w:val="af2"/>
          <w:rFonts w:eastAsia="Guttman Hodes"/>
          <w:rtl/>
        </w:rPr>
        <w:fldChar w:fldCharType="end"/>
      </w:r>
      <w:r>
        <w:rPr>
          <w:rFonts w:hint="cs"/>
          <w:rtl/>
        </w:rPr>
        <w:t xml:space="preserve"> חייב אף שא"צ לגופה, אבל בשאר מלאכות כגון הוצאה ודאי דאינו חייב בסיוע הרוח, </w:t>
      </w:r>
      <w:r w:rsidRPr="00D4778B">
        <w:rPr>
          <w:rStyle w:val="af"/>
          <w:rFonts w:hint="cs"/>
          <w:rtl/>
        </w:rPr>
        <w:t xml:space="preserve">[וכעי"ז כתב </w:t>
      </w:r>
      <w:r w:rsidRPr="00EB1A7E">
        <w:rPr>
          <w:rStyle w:val="aff9"/>
          <w:rFonts w:hint="cs"/>
          <w:vanish/>
          <w:rtl/>
        </w:rPr>
        <w:t>-</w:t>
      </w:r>
      <w:r w:rsidRPr="00D4778B">
        <w:rPr>
          <w:rStyle w:val="aff9"/>
          <w:rFonts w:hint="cs"/>
          <w:rtl/>
        </w:rPr>
        <w:t>ה</w:t>
      </w:r>
      <w:r w:rsidRPr="00EB1A7E">
        <w:rPr>
          <w:rStyle w:val="aff9"/>
          <w:rFonts w:hint="cs"/>
          <w:vanish/>
          <w:rtl/>
        </w:rPr>
        <w:t>&lt; &gt;</w:t>
      </w:r>
      <w:r w:rsidRPr="00D4778B">
        <w:rPr>
          <w:rStyle w:val="aff9"/>
          <w:rFonts w:hint="cs"/>
          <w:rtl/>
        </w:rPr>
        <w:t>תוצאות חיים</w:t>
      </w:r>
      <w:r w:rsidRPr="00EB1A7E">
        <w:rPr>
          <w:rStyle w:val="aff9"/>
          <w:rFonts w:hint="cs"/>
          <w:vanish/>
          <w:rtl/>
        </w:rPr>
        <w:t>-</w:t>
      </w:r>
      <w:r w:rsidRPr="00D4778B">
        <w:rPr>
          <w:rStyle w:val="af"/>
          <w:rFonts w:hint="cs"/>
          <w:rtl/>
        </w:rPr>
        <w:t xml:space="preserve"> </w:t>
      </w:r>
      <w:r w:rsidRPr="00D4778B">
        <w:rPr>
          <w:rStyle w:val="aff0"/>
          <w:rFonts w:hint="cs"/>
          <w:rtl/>
        </w:rPr>
        <w:t>(סי' י"ח אות י"ט)</w:t>
      </w:r>
      <w:r w:rsidRPr="00EB1A7E">
        <w:rPr>
          <w:rStyle w:val="af"/>
          <w:rFonts w:hint="cs"/>
          <w:vanish/>
          <w:rtl/>
        </w:rPr>
        <w:t>=</w:t>
      </w:r>
      <w:r w:rsidRPr="00D4778B">
        <w:rPr>
          <w:rStyle w:val="af"/>
          <w:rFonts w:hint="cs"/>
          <w:rtl/>
        </w:rPr>
        <w:t>]</w:t>
      </w:r>
      <w:r>
        <w:rPr>
          <w:rFonts w:hint="cs"/>
          <w:rtl/>
        </w:rPr>
        <w:t xml:space="preserve">, וכתב </w:t>
      </w:r>
      <w:r w:rsidRPr="00527BD6">
        <w:rPr>
          <w:rStyle w:val="aff4"/>
          <w:rFonts w:hint="cs"/>
          <w:vanish/>
          <w:rtl/>
        </w:rPr>
        <w:t>-</w:t>
      </w:r>
      <w:r w:rsidRPr="00DE28D5">
        <w:rPr>
          <w:rStyle w:val="aff4"/>
          <w:rFonts w:hint="cs"/>
          <w:rtl/>
        </w:rPr>
        <w:t>האבי עזרי</w:t>
      </w:r>
      <w:r w:rsidRPr="00527BD6">
        <w:rPr>
          <w:rStyle w:val="aff4"/>
          <w:rFonts w:hint="cs"/>
          <w:vanish/>
          <w:rtl/>
        </w:rPr>
        <w:t>-</w:t>
      </w:r>
      <w:r>
        <w:rPr>
          <w:rFonts w:hint="cs"/>
          <w:rtl/>
        </w:rPr>
        <w:t xml:space="preserve"> דברוקק דחייב לירושלמי הוא ממש דרך זרייה אעפ"י שאינו בכלי כדרך זרייה ברחת, כיון דזהו הדרך</w:t>
      </w:r>
      <w:r w:rsidRPr="00ED70AB">
        <w:rPr>
          <w:rFonts w:hint="cs"/>
          <w:rtl/>
        </w:rPr>
        <w:t xml:space="preserve"> </w:t>
      </w:r>
      <w:r>
        <w:rPr>
          <w:rFonts w:hint="cs"/>
          <w:rtl/>
        </w:rPr>
        <w:t xml:space="preserve">ברוקק, וע"ע במ"ש בזה </w:t>
      </w:r>
      <w:r w:rsidRPr="00EB1A7E">
        <w:rPr>
          <w:rStyle w:val="aff4"/>
          <w:rFonts w:hint="cs"/>
          <w:vanish/>
          <w:rtl/>
        </w:rPr>
        <w:t>-</w:t>
      </w:r>
      <w:r w:rsidRPr="00D4778B">
        <w:rPr>
          <w:rStyle w:val="aff4"/>
          <w:rFonts w:hint="cs"/>
          <w:rtl/>
        </w:rPr>
        <w:t>ה</w:t>
      </w:r>
      <w:r w:rsidRPr="00EB1A7E">
        <w:rPr>
          <w:rStyle w:val="aff4"/>
          <w:rFonts w:hint="cs"/>
          <w:vanish/>
          <w:rtl/>
        </w:rPr>
        <w:t>&lt; &gt;</w:t>
      </w:r>
      <w:r w:rsidRPr="00D4778B">
        <w:rPr>
          <w:rStyle w:val="aff4"/>
          <w:rFonts w:hint="cs"/>
          <w:rtl/>
        </w:rPr>
        <w:t>שביתת השבת</w:t>
      </w:r>
      <w:r w:rsidRPr="00EB1A7E">
        <w:rPr>
          <w:rStyle w:val="aff4"/>
          <w:rFonts w:hint="cs"/>
          <w:vanish/>
          <w:rtl/>
        </w:rPr>
        <w:t>-</w:t>
      </w:r>
      <w:r>
        <w:rPr>
          <w:rFonts w:hint="cs"/>
          <w:rtl/>
        </w:rPr>
        <w:t xml:space="preserve"> </w:t>
      </w:r>
      <w:r w:rsidRPr="00D4778B">
        <w:rPr>
          <w:rStyle w:val="af2"/>
          <w:rFonts w:eastAsia="Guttman Hodes" w:hint="cs"/>
          <w:rtl/>
        </w:rPr>
        <w:t>(זורה אות ט"ו ד"ה והאגלי טל)</w:t>
      </w:r>
      <w:r w:rsidRPr="00EB1A7E">
        <w:rPr>
          <w:rFonts w:hint="cs"/>
          <w:vanish/>
          <w:rtl/>
        </w:rPr>
        <w:t>=</w:t>
      </w:r>
      <w:r>
        <w:rPr>
          <w:rFonts w:hint="cs"/>
          <w:rtl/>
        </w:rPr>
        <w:t>.</w:t>
      </w:r>
      <w:bookmarkEnd w:id="1965"/>
    </w:p>
    <w:p w14:paraId="73A927D5" w14:textId="77777777" w:rsidR="00316453" w:rsidRPr="00747170" w:rsidRDefault="00316453" w:rsidP="00747170">
      <w:pPr>
        <w:pStyle w:val="a2"/>
      </w:pPr>
      <w:r w:rsidRPr="00747170">
        <w:rPr>
          <w:rtl/>
        </w:rPr>
        <w:t>ובספר אלפי מנשה פירש דכונת הירושלמי דהוא במעביר ארבע אמות ברשות הרבים ע"י הרוח והוא ע"ד דוגמא פי' דכמו בזורה אף דהרוח הוא מסייעתו אפילו הכי חייב כן ברוקק דהעברתו ע"י הרוח ג"כ חייב והוא נכון:</w:t>
      </w:r>
    </w:p>
    <w:p w14:paraId="3B6A0293" w14:textId="77777777" w:rsidR="00316453" w:rsidRPr="0030138D" w:rsidRDefault="00316453" w:rsidP="00747170">
      <w:pPr>
        <w:pStyle w:val="afffff5"/>
      </w:pPr>
      <w:r w:rsidRPr="0030138D">
        <w:rPr>
          <w:rtl/>
        </w:rPr>
        <w:t>ואגב אזכיר מה שפסק רמ"א סוף סימן שי"ט הרוקק והפריחתו הרוח חייב משום זורה</w:t>
      </w:r>
      <w:r w:rsidRPr="0030138D">
        <w:rPr>
          <w:rFonts w:hint="cs"/>
          <w:rtl/>
        </w:rPr>
        <w:t>:</w:t>
      </w:r>
      <w:r w:rsidRPr="0030138D">
        <w:rPr>
          <w:rtl/>
        </w:rPr>
        <w:t xml:space="preserve"> והוא מהירושלמי ואין לו פי' כלל דמה צריך לברור פסולת ברוקו ונ"ל דמיירי ברוקק בר"ה והפריחתו הרוח חוץ לד"א וחייב משום הוצאה ואף דהרוח סייעו מידי ד</w:t>
      </w:r>
      <w:r w:rsidRPr="0030138D">
        <w:rPr>
          <w:rFonts w:hint="cs"/>
          <w:rtl/>
        </w:rPr>
        <w:t>ה</w:t>
      </w:r>
      <w:r w:rsidRPr="0030138D">
        <w:rPr>
          <w:rtl/>
        </w:rPr>
        <w:t>וה אזורה ורוח מסייעו וכן מסיים בירושלמי וכל דבר שהוא מחוסר לרוח חייב משום זורה ועיין ב"ק ס' אי אמאי להוי כזורה וכ</w:t>
      </w:r>
      <w:r w:rsidRPr="0030138D">
        <w:rPr>
          <w:rFonts w:hint="cs"/>
          <w:rtl/>
        </w:rPr>
        <w:t>ו'</w:t>
      </w:r>
      <w:r w:rsidRPr="0030138D">
        <w:rPr>
          <w:rtl/>
        </w:rPr>
        <w:t xml:space="preserve"> ולפי זה לא הוי ליה לכותבו בדיני בורר אלא בדיני הוצאה</w:t>
      </w:r>
      <w:r w:rsidRPr="0030138D">
        <w:rPr>
          <w:rFonts w:hint="cs"/>
          <w:rtl/>
        </w:rPr>
        <w:t>.</w:t>
      </w:r>
    </w:p>
    <w:p w14:paraId="6CF1A654" w14:textId="77777777" w:rsidR="00316453" w:rsidRPr="0030138D" w:rsidRDefault="00316453" w:rsidP="00747170">
      <w:pPr>
        <w:pStyle w:val="afffff5"/>
      </w:pPr>
      <w:r w:rsidRPr="0030138D">
        <w:rPr>
          <w:rtl/>
        </w:rPr>
        <w:t>ו</w:t>
      </w:r>
      <w:r w:rsidRPr="0030138D">
        <w:rPr>
          <w:rFonts w:hint="cs"/>
          <w:rtl/>
        </w:rPr>
        <w:t>ב</w:t>
      </w:r>
      <w:r w:rsidRPr="0030138D">
        <w:rPr>
          <w:rtl/>
        </w:rPr>
        <w:t>ביאור הלכה בשו"ע או"ח סוף סימן שי"ט שם הביא בשם ספר אלפי מנשה שפירש כ</w:t>
      </w:r>
      <w:r w:rsidRPr="0030138D">
        <w:rPr>
          <w:rFonts w:hint="cs"/>
          <w:rtl/>
        </w:rPr>
        <w:t>וו</w:t>
      </w:r>
      <w:r w:rsidRPr="0030138D">
        <w:rPr>
          <w:rtl/>
        </w:rPr>
        <w:t>נת הירושלמי דהוא במעביר ארבע אמות ברה"ר ע"י הרוח והוא עד דוגמא כמו בזורה אף דהרוח הוא מסעתו אפילו הכי ח</w:t>
      </w:r>
      <w:r w:rsidRPr="0030138D">
        <w:rPr>
          <w:rFonts w:hint="cs"/>
          <w:rtl/>
        </w:rPr>
        <w:t>יי</w:t>
      </w:r>
      <w:r w:rsidRPr="0030138D">
        <w:rPr>
          <w:rtl/>
        </w:rPr>
        <w:t>ב כן ברוקק ועבר ד' אמות ע"י הרוח ג"כ ח</w:t>
      </w:r>
      <w:r w:rsidRPr="0030138D">
        <w:rPr>
          <w:rFonts w:hint="cs"/>
          <w:rtl/>
        </w:rPr>
        <w:t>יי</w:t>
      </w:r>
      <w:r w:rsidRPr="0030138D">
        <w:rPr>
          <w:rtl/>
        </w:rPr>
        <w:t>ב ומס</w:t>
      </w:r>
      <w:r w:rsidRPr="0030138D">
        <w:rPr>
          <w:rFonts w:hint="cs"/>
          <w:rtl/>
        </w:rPr>
        <w:t>י</w:t>
      </w:r>
      <w:r w:rsidRPr="0030138D">
        <w:rPr>
          <w:rtl/>
        </w:rPr>
        <w:t>ק והוא נכון</w:t>
      </w:r>
      <w:r w:rsidRPr="0030138D">
        <w:rPr>
          <w:rFonts w:hint="cs"/>
          <w:rtl/>
        </w:rPr>
        <w:t>,</w:t>
      </w:r>
      <w:r w:rsidRPr="0030138D">
        <w:rPr>
          <w:rtl/>
        </w:rPr>
        <w:t xml:space="preserve"> ומתחלה חשבתי שזה שמסיק שם הירושלמי וכל דבר שהוא מחוסר לרוח ח</w:t>
      </w:r>
      <w:r w:rsidRPr="0030138D">
        <w:rPr>
          <w:rFonts w:hint="cs"/>
          <w:rtl/>
        </w:rPr>
        <w:t>יי</w:t>
      </w:r>
      <w:r w:rsidRPr="0030138D">
        <w:rPr>
          <w:rtl/>
        </w:rPr>
        <w:t>ב משום זורה שהכנה שכל המלאכות אם צריך עוד לרוח שיהי</w:t>
      </w:r>
      <w:r w:rsidRPr="0030138D">
        <w:rPr>
          <w:rFonts w:hint="cs"/>
          <w:rtl/>
        </w:rPr>
        <w:t>'</w:t>
      </w:r>
      <w:r w:rsidRPr="0030138D">
        <w:rPr>
          <w:rtl/>
        </w:rPr>
        <w:t xml:space="preserve"> מסעתו ג</w:t>
      </w:r>
      <w:r w:rsidRPr="0030138D">
        <w:rPr>
          <w:rFonts w:hint="cs"/>
          <w:rtl/>
        </w:rPr>
        <w:t>"</w:t>
      </w:r>
      <w:r w:rsidRPr="0030138D">
        <w:rPr>
          <w:rtl/>
        </w:rPr>
        <w:t>כ ח</w:t>
      </w:r>
      <w:r w:rsidRPr="0030138D">
        <w:rPr>
          <w:rFonts w:hint="cs"/>
          <w:rtl/>
        </w:rPr>
        <w:t>יי</w:t>
      </w:r>
      <w:r w:rsidRPr="0030138D">
        <w:rPr>
          <w:rtl/>
        </w:rPr>
        <w:t>ב כמו בזורה שח</w:t>
      </w:r>
      <w:r w:rsidRPr="0030138D">
        <w:rPr>
          <w:rFonts w:hint="cs"/>
          <w:rtl/>
        </w:rPr>
        <w:t>יי</w:t>
      </w:r>
      <w:r w:rsidRPr="0030138D">
        <w:rPr>
          <w:rtl/>
        </w:rPr>
        <w:t>ב ע</w:t>
      </w:r>
      <w:r w:rsidRPr="0030138D">
        <w:rPr>
          <w:rFonts w:hint="cs"/>
          <w:rtl/>
        </w:rPr>
        <w:t>"</w:t>
      </w:r>
      <w:r w:rsidRPr="0030138D">
        <w:rPr>
          <w:rtl/>
        </w:rPr>
        <w:t>י סיוע הרוח וא</w:t>
      </w:r>
      <w:r w:rsidRPr="0030138D">
        <w:rPr>
          <w:rFonts w:hint="cs"/>
          <w:rtl/>
        </w:rPr>
        <w:t>"</w:t>
      </w:r>
      <w:r w:rsidRPr="0030138D">
        <w:rPr>
          <w:rtl/>
        </w:rPr>
        <w:t>כ מה שאמר מקודם זהו בזורה שהרוח מחלקו לחלקים דקין אולם אחר התבוננות צ</w:t>
      </w:r>
      <w:r w:rsidRPr="0030138D">
        <w:rPr>
          <w:rFonts w:hint="cs"/>
          <w:rtl/>
        </w:rPr>
        <w:t>"</w:t>
      </w:r>
      <w:r w:rsidRPr="0030138D">
        <w:rPr>
          <w:rtl/>
        </w:rPr>
        <w:t>ע לי זה טובא שזה ברור שלהני אמוראי הסוברים בפ' לא יחפור בב דכ"ו א' ובפ הכונס ד"ס א' שדין זורה ורוח מסעתו ש</w:t>
      </w:r>
      <w:r w:rsidRPr="0030138D">
        <w:rPr>
          <w:rFonts w:hint="cs"/>
          <w:rtl/>
        </w:rPr>
        <w:t>יי</w:t>
      </w:r>
      <w:r w:rsidRPr="0030138D">
        <w:rPr>
          <w:rtl/>
        </w:rPr>
        <w:t>ך גם לענין נזקין שלמידין מחיוב שבת שזה גילוי מילתא מאחר שהוא עשה ש</w:t>
      </w:r>
      <w:r w:rsidRPr="0030138D">
        <w:rPr>
          <w:rFonts w:hint="cs"/>
          <w:rtl/>
        </w:rPr>
        <w:t>ה</w:t>
      </w:r>
      <w:r w:rsidRPr="0030138D">
        <w:rPr>
          <w:rtl/>
        </w:rPr>
        <w:t>רוח יפזר נחשב נאילו הוא עשה א"כ מכש"כ שאפשר ללמוד מזה על כל מלאכות שבשבת שיתח</w:t>
      </w:r>
      <w:r w:rsidRPr="0030138D">
        <w:rPr>
          <w:rFonts w:hint="cs"/>
          <w:rtl/>
        </w:rPr>
        <w:t>יי</w:t>
      </w:r>
      <w:r w:rsidRPr="0030138D">
        <w:rPr>
          <w:rtl/>
        </w:rPr>
        <w:t>ב וע"כ גם בהוצאה והעברה ר אמות כשיהי' ע"י הסיוע של הרוח יתח</w:t>
      </w:r>
      <w:r w:rsidRPr="0030138D">
        <w:rPr>
          <w:rFonts w:hint="cs"/>
          <w:rtl/>
        </w:rPr>
        <w:t>יי</w:t>
      </w:r>
      <w:r w:rsidRPr="0030138D">
        <w:rPr>
          <w:rtl/>
        </w:rPr>
        <w:t>ב אבל להלכה כרב אשי שאמר שם בפ' הכונס כי אמרינן זורה ורוח מסעתו ה</w:t>
      </w:r>
      <w:r w:rsidRPr="0030138D">
        <w:rPr>
          <w:rFonts w:hint="cs"/>
          <w:rtl/>
        </w:rPr>
        <w:t>"</w:t>
      </w:r>
      <w:r w:rsidRPr="0030138D">
        <w:rPr>
          <w:rtl/>
        </w:rPr>
        <w:t xml:space="preserve">מ לענין שבת מלאכת מחשבת אסרה תורה אבל הכא גרמא בעלמא אין ללמוד מזורה אף על שאר מלאכת שבת ששאני זורה שזהו מלאכת </w:t>
      </w:r>
      <w:r w:rsidRPr="0030138D">
        <w:rPr>
          <w:rFonts w:hint="cs"/>
          <w:rtl/>
        </w:rPr>
        <w:t>ז</w:t>
      </w:r>
      <w:r w:rsidRPr="0030138D">
        <w:rPr>
          <w:rtl/>
        </w:rPr>
        <w:t>ורה וכן הוא המלאכת מחשבת של זורה וזהו חיובו ואין ללמוד על שאר מלאכות כמו שלא למידין מזורה ובורר שח</w:t>
      </w:r>
      <w:r w:rsidRPr="0030138D">
        <w:rPr>
          <w:rFonts w:hint="cs"/>
          <w:rtl/>
        </w:rPr>
        <w:t>יי</w:t>
      </w:r>
      <w:r w:rsidRPr="0030138D">
        <w:rPr>
          <w:rtl/>
        </w:rPr>
        <w:t>ב אף במלאכה שאינה צריכה לגופה על כל מלאכת שבת ומשום שזהו דרך מלאכת זורה ובורר שאי</w:t>
      </w:r>
      <w:r w:rsidRPr="0030138D">
        <w:rPr>
          <w:rFonts w:hint="cs"/>
          <w:rtl/>
        </w:rPr>
        <w:t>נו</w:t>
      </w:r>
      <w:r w:rsidRPr="0030138D">
        <w:rPr>
          <w:rtl/>
        </w:rPr>
        <w:t xml:space="preserve"> צריך להפסולת זוהי מלאכתן משא"כ כל המלאכות כמו כן לענין הרוח מסעתן אין ללמוד מזורה וראיתי אח</w:t>
      </w:r>
      <w:r w:rsidRPr="0030138D">
        <w:rPr>
          <w:rFonts w:hint="cs"/>
          <w:rtl/>
        </w:rPr>
        <w:t>"</w:t>
      </w:r>
      <w:r w:rsidRPr="0030138D">
        <w:rPr>
          <w:rtl/>
        </w:rPr>
        <w:t>כ במנ"ח הנ</w:t>
      </w:r>
      <w:r w:rsidRPr="0030138D">
        <w:rPr>
          <w:rFonts w:hint="cs"/>
          <w:rtl/>
        </w:rPr>
        <w:t>"</w:t>
      </w:r>
      <w:r w:rsidRPr="0030138D">
        <w:rPr>
          <w:rtl/>
        </w:rPr>
        <w:t>ל שכת</w:t>
      </w:r>
      <w:r w:rsidRPr="0030138D">
        <w:rPr>
          <w:rFonts w:hint="cs"/>
          <w:rtl/>
        </w:rPr>
        <w:t>ב</w:t>
      </w:r>
      <w:r w:rsidRPr="0030138D">
        <w:rPr>
          <w:rtl/>
        </w:rPr>
        <w:t xml:space="preserve"> שבמלאכת בורר כשיהי' בסיוע הרוח לא יתח</w:t>
      </w:r>
      <w:r w:rsidRPr="0030138D">
        <w:rPr>
          <w:rFonts w:hint="cs"/>
          <w:rtl/>
        </w:rPr>
        <w:t>יי</w:t>
      </w:r>
      <w:r w:rsidRPr="0030138D">
        <w:rPr>
          <w:rtl/>
        </w:rPr>
        <w:t>ב שרק בזורה זהו מלאכת זורה ברוח מס</w:t>
      </w:r>
      <w:r w:rsidRPr="0030138D">
        <w:rPr>
          <w:rFonts w:hint="cs"/>
          <w:rtl/>
        </w:rPr>
        <w:t>יי</w:t>
      </w:r>
      <w:r w:rsidRPr="0030138D">
        <w:rPr>
          <w:rtl/>
        </w:rPr>
        <w:t>עו ולא במלאכת בורר וזה כמו שכתבתי וא</w:t>
      </w:r>
      <w:r w:rsidRPr="0030138D">
        <w:rPr>
          <w:rFonts w:hint="cs"/>
          <w:rtl/>
        </w:rPr>
        <w:t>"</w:t>
      </w:r>
      <w:r w:rsidRPr="0030138D">
        <w:rPr>
          <w:rtl/>
        </w:rPr>
        <w:t>כ בודאי בהוצאה ג</w:t>
      </w:r>
      <w:r w:rsidRPr="0030138D">
        <w:rPr>
          <w:rFonts w:hint="cs"/>
          <w:rtl/>
        </w:rPr>
        <w:t>"</w:t>
      </w:r>
      <w:r w:rsidRPr="0030138D">
        <w:rPr>
          <w:rtl/>
        </w:rPr>
        <w:t>כ לא יתח</w:t>
      </w:r>
      <w:r w:rsidRPr="0030138D">
        <w:rPr>
          <w:rFonts w:hint="cs"/>
          <w:rtl/>
        </w:rPr>
        <w:t>יי</w:t>
      </w:r>
      <w:r w:rsidRPr="0030138D">
        <w:rPr>
          <w:rtl/>
        </w:rPr>
        <w:t>ב ע"י סיוע הרוח והוא פשוט ומה שכתב שם המנ</w:t>
      </w:r>
      <w:r w:rsidRPr="0030138D">
        <w:rPr>
          <w:rFonts w:hint="cs"/>
          <w:rtl/>
        </w:rPr>
        <w:t>"</w:t>
      </w:r>
      <w:r w:rsidRPr="0030138D">
        <w:rPr>
          <w:rtl/>
        </w:rPr>
        <w:t>ח שבזורה החיוב ע"י הכלי שהוא ברחת וביד כה"ג לא יתחב מטעם זורה</w:t>
      </w:r>
      <w:r w:rsidRPr="0030138D">
        <w:rPr>
          <w:rFonts w:hint="cs"/>
          <w:rtl/>
        </w:rPr>
        <w:t>,</w:t>
      </w:r>
      <w:r w:rsidRPr="0030138D">
        <w:rPr>
          <w:rtl/>
        </w:rPr>
        <w:t xml:space="preserve"> ובני הישיבה שיחי' הקשו עלי' מהירושלמי הנ"ל ברוקק והרוח מפזרי ח</w:t>
      </w:r>
      <w:r w:rsidRPr="0030138D">
        <w:rPr>
          <w:rFonts w:hint="cs"/>
          <w:rtl/>
        </w:rPr>
        <w:t>יי</w:t>
      </w:r>
      <w:r w:rsidRPr="0030138D">
        <w:rPr>
          <w:rtl/>
        </w:rPr>
        <w:t>ב משום זורה אף שאין זה ע</w:t>
      </w:r>
      <w:r w:rsidRPr="0030138D">
        <w:rPr>
          <w:rFonts w:hint="cs"/>
          <w:rtl/>
        </w:rPr>
        <w:t>"</w:t>
      </w:r>
      <w:r w:rsidRPr="0030138D">
        <w:rPr>
          <w:rtl/>
        </w:rPr>
        <w:t>י כלי והוא פשוט שבזורה תבואה דרך הזורה הוא ע</w:t>
      </w:r>
      <w:r w:rsidRPr="0030138D">
        <w:rPr>
          <w:rFonts w:hint="cs"/>
          <w:rtl/>
        </w:rPr>
        <w:t>"</w:t>
      </w:r>
      <w:r w:rsidRPr="0030138D">
        <w:rPr>
          <w:rtl/>
        </w:rPr>
        <w:t>י הרחת ולא ע</w:t>
      </w:r>
      <w:r w:rsidRPr="0030138D">
        <w:rPr>
          <w:rFonts w:hint="cs"/>
          <w:rtl/>
        </w:rPr>
        <w:t>"</w:t>
      </w:r>
      <w:r w:rsidRPr="0030138D">
        <w:rPr>
          <w:rtl/>
        </w:rPr>
        <w:t>י ידו אבל ברוקק שזהו מה שרוקק היא המלאכה שהרוק נתפזר ולכך חב משום זורה זהו מה שנראה בביאור ענין זה</w:t>
      </w:r>
      <w:r w:rsidRPr="0030138D">
        <w:rPr>
          <w:rFonts w:hint="cs"/>
          <w:rtl/>
        </w:rPr>
        <w:t>.</w:t>
      </w:r>
    </w:p>
    <w:p w14:paraId="0D86D80F" w14:textId="77407E8F" w:rsidR="00316453" w:rsidRDefault="00316453" w:rsidP="00316453">
      <w:pPr>
        <w:pStyle w:val="1"/>
        <w:rPr>
          <w:rtl/>
        </w:rPr>
      </w:pPr>
      <w:bookmarkStart w:id="1966" w:name="_Toc136618680"/>
      <w:r>
        <w:rPr>
          <w:rFonts w:hint="cs"/>
          <w:rtl/>
        </w:rPr>
        <w:t>בי' האחרונים דילרו' זורה הוא הפרדת חלקים ולבבלי הוא כבורר</w:t>
      </w:r>
      <w:bookmarkEnd w:id="1966"/>
    </w:p>
    <w:p w14:paraId="091B6E86" w14:textId="77777777" w:rsidR="00316453" w:rsidRDefault="00316453" w:rsidP="00316453">
      <w:pPr>
        <w:pStyle w:val="afffff7"/>
        <w:rPr>
          <w:rtl/>
        </w:rPr>
      </w:pPr>
      <w:bookmarkStart w:id="1967" w:name="_Toc136620447"/>
      <w:bookmarkStart w:id="1968" w:name="_Toc163505726"/>
      <w:r>
        <w:rPr>
          <w:rtl/>
        </w:rPr>
        <w:t xml:space="preserve">שו"ת רבי עקיבא איגר </w:t>
      </w:r>
      <w:r>
        <w:rPr>
          <w:rFonts w:hint="cs"/>
          <w:rtl/>
        </w:rPr>
        <w:t>מהדו</w:t>
      </w:r>
      <w:r>
        <w:rPr>
          <w:rtl/>
        </w:rPr>
        <w:t>"</w:t>
      </w:r>
      <w:r>
        <w:rPr>
          <w:rFonts w:hint="cs"/>
          <w:rtl/>
        </w:rPr>
        <w:t>ק ח</w:t>
      </w:r>
      <w:r>
        <w:rPr>
          <w:rtl/>
        </w:rPr>
        <w:t>"</w:t>
      </w:r>
      <w:r>
        <w:rPr>
          <w:rFonts w:hint="cs"/>
          <w:rtl/>
        </w:rPr>
        <w:t>א סי</w:t>
      </w:r>
      <w:r>
        <w:rPr>
          <w:rtl/>
        </w:rPr>
        <w:t>'</w:t>
      </w:r>
      <w:r>
        <w:rPr>
          <w:rFonts w:hint="cs"/>
          <w:rtl/>
        </w:rPr>
        <w:t xml:space="preserve"> כ</w:t>
      </w:r>
      <w:r>
        <w:rPr>
          <w:rtl/>
        </w:rPr>
        <w:t>'</w:t>
      </w:r>
      <w:r>
        <w:rPr>
          <w:rFonts w:hint="cs"/>
          <w:rtl/>
        </w:rPr>
        <w:t xml:space="preserve"> ד"ה עובדא</w:t>
      </w:r>
      <w:bookmarkEnd w:id="1967"/>
      <w:bookmarkEnd w:id="1968"/>
    </w:p>
    <w:p w14:paraId="7C6BD18F" w14:textId="77777777" w:rsidR="00316453" w:rsidRDefault="00316453" w:rsidP="00316453">
      <w:pPr>
        <w:pStyle w:val="afffff7"/>
        <w:rPr>
          <w:rtl/>
        </w:rPr>
      </w:pPr>
      <w:bookmarkStart w:id="1969" w:name="_Toc136620448"/>
      <w:bookmarkStart w:id="1970" w:name="_Toc136618681"/>
      <w:bookmarkStart w:id="1971" w:name="_Toc163505727"/>
      <w:r>
        <w:rPr>
          <w:rtl/>
        </w:rPr>
        <w:t>קרבן העדה שבת פ"ז מ"ט ב'</w:t>
      </w:r>
      <w:r>
        <w:rPr>
          <w:rFonts w:hint="cs"/>
          <w:rtl/>
        </w:rPr>
        <w:t xml:space="preserve"> ד"ה וכל</w:t>
      </w:r>
      <w:bookmarkEnd w:id="1969"/>
      <w:bookmarkEnd w:id="1971"/>
    </w:p>
    <w:p w14:paraId="4F5354B5" w14:textId="77777777" w:rsidR="00316453" w:rsidRDefault="00316453" w:rsidP="00316453">
      <w:pPr>
        <w:pStyle w:val="a7"/>
        <w:rPr>
          <w:rtl/>
        </w:rPr>
      </w:pPr>
      <w:r>
        <w:rPr>
          <w:rFonts w:hint="cs"/>
          <w:rtl/>
        </w:rPr>
        <w:t>בי' הגרעק"א דירושלמי השופך מעט מים מהחלון אף לחצר מעורבת חייב משום זורה</w:t>
      </w:r>
      <w:bookmarkEnd w:id="1970"/>
    </w:p>
    <w:p w14:paraId="4AE58409" w14:textId="17C28174" w:rsidR="00316453" w:rsidRPr="00E516D7" w:rsidRDefault="00316453" w:rsidP="00BC7DC8">
      <w:pPr>
        <w:pStyle w:val="a3"/>
        <w:rPr>
          <w:rtl/>
        </w:rPr>
      </w:pPr>
      <w:bookmarkStart w:id="1972" w:name="_Ref136341580"/>
      <w:r w:rsidRPr="00527BD6">
        <w:rPr>
          <w:rStyle w:val="aff4"/>
          <w:rFonts w:hint="cs"/>
          <w:vanish/>
          <w:rtl/>
        </w:rPr>
        <w:t>-</w:t>
      </w:r>
      <w:r w:rsidRPr="00DE28D5">
        <w:rPr>
          <w:rStyle w:val="aff4"/>
          <w:rFonts w:hint="cs"/>
          <w:rtl/>
        </w:rPr>
        <w:t>וה</w:t>
      </w:r>
      <w:r w:rsidRPr="00527BD6">
        <w:rPr>
          <w:rStyle w:val="aff4"/>
          <w:rFonts w:hint="cs"/>
          <w:vanish/>
          <w:rtl/>
        </w:rPr>
        <w:t xml:space="preserve">&lt;. </w:t>
      </w:r>
      <w:r w:rsidRPr="00527BD6">
        <w:rPr>
          <w:rStyle w:val="aff4"/>
          <w:vanish/>
          <w:rtl/>
        </w:rPr>
        <w:fldChar w:fldCharType="begin"/>
      </w:r>
      <w:r w:rsidRPr="00527BD6">
        <w:rPr>
          <w:rStyle w:val="aff4"/>
          <w:vanish/>
          <w:rtl/>
        </w:rPr>
        <w:instrText xml:space="preserve"> </w:instrText>
      </w:r>
      <w:r w:rsidRPr="00527BD6">
        <w:rPr>
          <w:rStyle w:val="aff4"/>
          <w:rFonts w:hint="cs"/>
          <w:vanish/>
        </w:rPr>
        <w:instrText>REF</w:instrText>
      </w:r>
      <w:r w:rsidRPr="00527BD6">
        <w:rPr>
          <w:rStyle w:val="aff4"/>
          <w:rFonts w:hint="cs"/>
          <w:vanish/>
          <w:rtl/>
        </w:rPr>
        <w:instrText xml:space="preserve"> _</w:instrText>
      </w:r>
      <w:r w:rsidRPr="00527BD6">
        <w:rPr>
          <w:rStyle w:val="aff4"/>
          <w:rFonts w:hint="cs"/>
          <w:vanish/>
        </w:rPr>
        <w:instrText>Ref136341580 \r \h</w:instrText>
      </w:r>
      <w:r w:rsidRPr="00527BD6">
        <w:rPr>
          <w:rStyle w:val="aff4"/>
          <w:vanish/>
          <w:rtl/>
        </w:rPr>
        <w:instrText xml:space="preserve"> </w:instrText>
      </w:r>
      <w:r w:rsidRPr="00527BD6">
        <w:rPr>
          <w:rStyle w:val="aff4"/>
          <w:vanish/>
          <w:rtl/>
        </w:rPr>
      </w:r>
      <w:r w:rsidRPr="00527BD6">
        <w:rPr>
          <w:rStyle w:val="aff4"/>
          <w:vanish/>
          <w:rtl/>
        </w:rPr>
        <w:fldChar w:fldCharType="separate"/>
      </w:r>
      <w:r w:rsidR="00D82181">
        <w:rPr>
          <w:rStyle w:val="aff4"/>
          <w:vanish/>
          <w:cs/>
        </w:rPr>
        <w:t>‎</w:t>
      </w:r>
      <w:r w:rsidR="00D82181">
        <w:rPr>
          <w:rStyle w:val="aff4"/>
          <w:vanish/>
          <w:rtl/>
        </w:rPr>
        <w:t>כו)</w:t>
      </w:r>
      <w:r w:rsidRPr="00527BD6">
        <w:rPr>
          <w:rStyle w:val="aff4"/>
          <w:vanish/>
          <w:rtl/>
        </w:rPr>
        <w:fldChar w:fldCharType="end"/>
      </w:r>
      <w:r w:rsidRPr="00527BD6">
        <w:rPr>
          <w:rStyle w:val="aff4"/>
          <w:rFonts w:hint="cs"/>
          <w:vanish/>
          <w:rtl/>
        </w:rPr>
        <w:t xml:space="preserve"> &gt;</w:t>
      </w:r>
      <w:r w:rsidRPr="00DE28D5">
        <w:rPr>
          <w:rStyle w:val="aff4"/>
          <w:rFonts w:hint="cs"/>
          <w:rtl/>
        </w:rPr>
        <w:t>גרעק"א בתשו'</w:t>
      </w:r>
      <w:r w:rsidRPr="00527BD6">
        <w:rPr>
          <w:rStyle w:val="aff4"/>
          <w:rFonts w:hint="cs"/>
          <w:vanish/>
          <w:rtl/>
        </w:rPr>
        <w:t>-</w:t>
      </w:r>
      <w:r>
        <w:rPr>
          <w:rFonts w:hint="cs"/>
          <w:rtl/>
        </w:rPr>
        <w:t xml:space="preserve"> </w:t>
      </w:r>
      <w:r w:rsidRPr="00D4778B">
        <w:rPr>
          <w:rStyle w:val="af2"/>
          <w:rFonts w:eastAsia="Guttman Hodes" w:hint="cs"/>
          <w:rtl/>
        </w:rPr>
        <w:t>(מהדו"ק ח"א סי' כ' ד"ה עובדא)</w:t>
      </w:r>
      <w:r w:rsidRPr="00527BD6">
        <w:rPr>
          <w:rFonts w:hint="cs"/>
          <w:vanish/>
          <w:rtl/>
        </w:rPr>
        <w:t>=</w:t>
      </w:r>
      <w:r>
        <w:rPr>
          <w:rFonts w:hint="cs"/>
          <w:rtl/>
        </w:rPr>
        <w:t xml:space="preserve"> הביא את המשך דברי </w:t>
      </w:r>
      <w:r w:rsidRPr="00D003C4">
        <w:rPr>
          <w:rFonts w:hint="cs"/>
          <w:rtl/>
        </w:rPr>
        <w:t xml:space="preserve">הירושלמי </w:t>
      </w:r>
      <w:r w:rsidRPr="00D4778B">
        <w:rPr>
          <w:rStyle w:val="af2"/>
          <w:rFonts w:eastAsia="Guttman Hodes" w:hint="cs"/>
          <w:rtl/>
        </w:rPr>
        <w:t>(פ"ז ה"ב, מט:)</w:t>
      </w:r>
      <w:r w:rsidRPr="00D003C4">
        <w:rPr>
          <w:rFonts w:hint="cs"/>
          <w:rtl/>
        </w:rPr>
        <w:t xml:space="preserve"> דכל דבר</w:t>
      </w:r>
      <w:r>
        <w:rPr>
          <w:rFonts w:hint="cs"/>
          <w:rtl/>
        </w:rPr>
        <w:t xml:space="preserve"> שהוא מחוסר לרוח חייב משום זורה, </w:t>
      </w:r>
      <w:r w:rsidRPr="000C7CCF">
        <w:rPr>
          <w:rStyle w:val="af"/>
          <w:rFonts w:hint="cs"/>
          <w:rtl/>
        </w:rPr>
        <w:t xml:space="preserve">[שהשמיטו </w:t>
      </w:r>
      <w:r w:rsidRPr="000C7CCF">
        <w:rPr>
          <w:rStyle w:val="aff9"/>
          <w:rFonts w:hint="cs"/>
          <w:vanish/>
          <w:rtl/>
        </w:rPr>
        <w:t>-</w:t>
      </w:r>
      <w:r w:rsidRPr="000C7CCF">
        <w:rPr>
          <w:rStyle w:val="aff9"/>
          <w:rFonts w:hint="cs"/>
          <w:rtl/>
        </w:rPr>
        <w:t>האו"ז</w:t>
      </w:r>
      <w:r w:rsidRPr="000C7CCF">
        <w:rPr>
          <w:rStyle w:val="aff9"/>
          <w:rFonts w:hint="cs"/>
          <w:vanish/>
          <w:rtl/>
        </w:rPr>
        <w:t>-</w:t>
      </w:r>
      <w:r w:rsidRPr="000C7CCF">
        <w:rPr>
          <w:rStyle w:val="af"/>
          <w:rFonts w:hint="cs"/>
          <w:rtl/>
        </w:rPr>
        <w:t xml:space="preserve"> </w:t>
      </w:r>
      <w:r w:rsidRPr="000C7CCF">
        <w:rPr>
          <w:rStyle w:val="aff0"/>
          <w:rFonts w:hint="cs"/>
          <w:rtl/>
        </w:rPr>
        <w:t xml:space="preserve">(עי' אות </w:t>
      </w:r>
      <w:r w:rsidRPr="000C7CCF">
        <w:rPr>
          <w:rStyle w:val="aff0"/>
          <w:rtl/>
        </w:rPr>
        <w:fldChar w:fldCharType="begin"/>
      </w:r>
      <w:r w:rsidRPr="000C7CCF">
        <w:rPr>
          <w:rStyle w:val="aff0"/>
          <w:rtl/>
        </w:rPr>
        <w:instrText xml:space="preserve"> </w:instrText>
      </w:r>
      <w:r w:rsidRPr="000C7CCF">
        <w:rPr>
          <w:rStyle w:val="aff0"/>
          <w:rFonts w:hint="cs"/>
        </w:rPr>
        <w:instrText>REF</w:instrText>
      </w:r>
      <w:r w:rsidRPr="000C7CCF">
        <w:rPr>
          <w:rStyle w:val="aff0"/>
          <w:rFonts w:hint="cs"/>
          <w:rtl/>
        </w:rPr>
        <w:instrText xml:space="preserve"> _</w:instrText>
      </w:r>
      <w:r w:rsidRPr="000C7CCF">
        <w:rPr>
          <w:rStyle w:val="aff0"/>
          <w:rFonts w:hint="cs"/>
        </w:rPr>
        <w:instrText>Ref136592082 \r \h</w:instrText>
      </w:r>
      <w:r w:rsidRPr="000C7CCF">
        <w:rPr>
          <w:rStyle w:val="aff0"/>
          <w:rtl/>
        </w:rPr>
        <w:instrText xml:space="preserve"> </w:instrText>
      </w:r>
      <w:r w:rsidRPr="000C7CCF">
        <w:rPr>
          <w:rStyle w:val="aff0"/>
          <w:rtl/>
        </w:rPr>
      </w:r>
      <w:r w:rsidRPr="000C7CCF">
        <w:rPr>
          <w:rStyle w:val="aff0"/>
          <w:rtl/>
        </w:rPr>
        <w:fldChar w:fldCharType="separate"/>
      </w:r>
      <w:r w:rsidR="00D82181">
        <w:rPr>
          <w:rStyle w:val="aff0"/>
          <w:cs/>
        </w:rPr>
        <w:t>‎</w:t>
      </w:r>
      <w:r w:rsidR="00D82181">
        <w:rPr>
          <w:rStyle w:val="aff0"/>
          <w:rtl/>
        </w:rPr>
        <w:t>כג)</w:t>
      </w:r>
      <w:r w:rsidRPr="000C7CCF">
        <w:rPr>
          <w:rStyle w:val="aff0"/>
          <w:rtl/>
        </w:rPr>
        <w:fldChar w:fldCharType="end"/>
      </w:r>
      <w:r w:rsidRPr="000C7CCF">
        <w:rPr>
          <w:rStyle w:val="af"/>
          <w:rFonts w:hint="cs"/>
          <w:rtl/>
        </w:rPr>
        <w:t>],</w:t>
      </w:r>
      <w:r>
        <w:rPr>
          <w:rFonts w:hint="cs"/>
          <w:rtl/>
        </w:rPr>
        <w:t xml:space="preserve"> ואת ביאור </w:t>
      </w:r>
      <w:r w:rsidRPr="00527BD6">
        <w:rPr>
          <w:rStyle w:val="aff4"/>
          <w:rFonts w:hint="cs"/>
          <w:vanish/>
          <w:rtl/>
        </w:rPr>
        <w:t>-</w:t>
      </w:r>
      <w:r w:rsidRPr="00DE28D5">
        <w:rPr>
          <w:rStyle w:val="aff4"/>
          <w:rFonts w:hint="cs"/>
          <w:rtl/>
        </w:rPr>
        <w:t>ה</w:t>
      </w:r>
      <w:r w:rsidRPr="00527BD6">
        <w:rPr>
          <w:rStyle w:val="aff4"/>
          <w:rFonts w:hint="cs"/>
          <w:vanish/>
          <w:rtl/>
        </w:rPr>
        <w:t>&lt; &gt;</w:t>
      </w:r>
      <w:r w:rsidRPr="00DE28D5">
        <w:rPr>
          <w:rStyle w:val="aff4"/>
          <w:rFonts w:hint="cs"/>
          <w:rtl/>
        </w:rPr>
        <w:t>קרבן העדה</w:t>
      </w:r>
      <w:r w:rsidRPr="00527BD6">
        <w:rPr>
          <w:rStyle w:val="aff4"/>
          <w:rFonts w:hint="cs"/>
          <w:vanish/>
          <w:rtl/>
        </w:rPr>
        <w:t>-</w:t>
      </w:r>
      <w:r>
        <w:rPr>
          <w:rFonts w:hint="cs"/>
          <w:rtl/>
        </w:rPr>
        <w:t xml:space="preserve"> </w:t>
      </w:r>
      <w:r w:rsidRPr="00D4778B">
        <w:rPr>
          <w:rStyle w:val="af2"/>
          <w:rFonts w:eastAsia="Guttman Hodes" w:hint="cs"/>
          <w:rtl/>
        </w:rPr>
        <w:t>(פ"ז ה"ב מט: ד"ה וכל)</w:t>
      </w:r>
      <w:r w:rsidRPr="00527BD6">
        <w:rPr>
          <w:rFonts w:hint="cs"/>
          <w:vanish/>
          <w:rtl/>
        </w:rPr>
        <w:t>=</w:t>
      </w:r>
      <w:r>
        <w:rPr>
          <w:rFonts w:hint="cs"/>
          <w:rtl/>
        </w:rPr>
        <w:t xml:space="preserve"> דכל דבר שהרוח מפזרתו לחלקים דקים חייב משום זורה, וכתב </w:t>
      </w:r>
      <w:r w:rsidRPr="00527BD6">
        <w:rPr>
          <w:rStyle w:val="aff4"/>
          <w:rFonts w:hint="cs"/>
          <w:vanish/>
          <w:rtl/>
        </w:rPr>
        <w:t>-</w:t>
      </w:r>
      <w:r w:rsidRPr="00DE28D5">
        <w:rPr>
          <w:rStyle w:val="aff4"/>
          <w:rFonts w:hint="cs"/>
          <w:rtl/>
        </w:rPr>
        <w:t>הגרעק"א</w:t>
      </w:r>
      <w:r w:rsidRPr="00527BD6">
        <w:rPr>
          <w:rStyle w:val="aff4"/>
          <w:rFonts w:hint="cs"/>
          <w:vanish/>
          <w:rtl/>
        </w:rPr>
        <w:t>-</w:t>
      </w:r>
      <w:r>
        <w:rPr>
          <w:rFonts w:hint="cs"/>
          <w:rtl/>
        </w:rPr>
        <w:t xml:space="preserve"> דלפי"ז השופך מעט מים דרך החלון לחצר המעורבת יש חשש איסור זורה, כיון שהרוח מפזרת את הטיפות.</w:t>
      </w:r>
      <w:bookmarkEnd w:id="1972"/>
    </w:p>
    <w:p w14:paraId="620736C4" w14:textId="77777777" w:rsidR="00316453" w:rsidRPr="00747170" w:rsidRDefault="00316453" w:rsidP="00747170">
      <w:pPr>
        <w:pStyle w:val="a2"/>
        <w:rPr>
          <w:rtl/>
        </w:rPr>
      </w:pPr>
      <w:r w:rsidRPr="00747170">
        <w:rPr>
          <w:rtl/>
        </w:rPr>
        <w:t xml:space="preserve">עובדא הוי, דרך הלוכי בשבת בחצר בהכ"נ פה ק"ק ליסא ראיתי לאיש שופך מים מועטים מצלוחית דרך החלון ולחוץ לחצר המעורבת, ומדי השקפתי עלה על לבי שיש חשש איסור בזה, כיון דהרוח מפזר הטפות א' פונה לכאן וא' פונה לכאן, ודמי להא דאיתא בירושלמי פ' כלל גדול, רוקק והפריחו הרוח חייב משום זורה וכל דבר שהוא מחוסר לרוח חייב משום זורה ופירש הקרבן עדה דמחוסר לרוח היינו שהרוח מפזרו ומחלקו לחלקים דקים חייב משום זורה, [ודין זה הובא להלכה בהגהות ש"ע א"ח סוף סי' שי"ט] א"כ לכאורה גם בשופך מים מועטים שאין בו קילוח גדול שיש כח ברוח לפזרו חייב משום זורה. </w:t>
      </w:r>
    </w:p>
    <w:p w14:paraId="49CCF3D0" w14:textId="14B46770" w:rsidR="00316453" w:rsidRPr="005D0910" w:rsidRDefault="00316453" w:rsidP="00316453">
      <w:pPr>
        <w:pStyle w:val="afffff7"/>
        <w:rPr>
          <w:rtl/>
        </w:rPr>
      </w:pPr>
      <w:bookmarkStart w:id="1973" w:name="_Toc136620449"/>
      <w:bookmarkStart w:id="1974" w:name="_Toc163505728"/>
      <w:r w:rsidRPr="005D0910">
        <w:rPr>
          <w:rtl/>
        </w:rPr>
        <w:t xml:space="preserve">אגלי טל זורה </w:t>
      </w:r>
      <w:r>
        <w:rPr>
          <w:rFonts w:hint="cs"/>
          <w:rtl/>
        </w:rPr>
        <w:t>סק"</w:t>
      </w:r>
      <w:r w:rsidRPr="005D0910">
        <w:rPr>
          <w:rtl/>
        </w:rPr>
        <w:t>א</w:t>
      </w:r>
      <w:r>
        <w:rPr>
          <w:rFonts w:hint="cs"/>
          <w:rtl/>
        </w:rPr>
        <w:t xml:space="preserve"> אות ד'</w:t>
      </w:r>
      <w:bookmarkEnd w:id="1973"/>
      <w:bookmarkEnd w:id="1974"/>
    </w:p>
    <w:p w14:paraId="56B26101" w14:textId="77777777" w:rsidR="00316453" w:rsidRDefault="00316453" w:rsidP="00316453">
      <w:pPr>
        <w:pStyle w:val="afffff7"/>
        <w:rPr>
          <w:rtl/>
        </w:rPr>
      </w:pPr>
      <w:bookmarkStart w:id="1975" w:name="_Toc136620450"/>
      <w:bookmarkStart w:id="1976" w:name="_Toc163505729"/>
      <w:r>
        <w:rPr>
          <w:rFonts w:hint="cs"/>
          <w:rtl/>
        </w:rPr>
        <w:t>עץ חיים זורה אות י'</w:t>
      </w:r>
      <w:bookmarkEnd w:id="1975"/>
      <w:bookmarkEnd w:id="1976"/>
    </w:p>
    <w:p w14:paraId="14405987" w14:textId="77777777" w:rsidR="00316453" w:rsidRDefault="00316453" w:rsidP="00316453">
      <w:pPr>
        <w:pStyle w:val="afffff7"/>
        <w:rPr>
          <w:rtl/>
        </w:rPr>
      </w:pPr>
      <w:bookmarkStart w:id="1977" w:name="_Toc136620451"/>
      <w:bookmarkStart w:id="1978" w:name="_Toc163505730"/>
      <w:r w:rsidRPr="00102958">
        <w:rPr>
          <w:rtl/>
        </w:rPr>
        <w:t xml:space="preserve">טל אורות </w:t>
      </w:r>
      <w:r>
        <w:rPr>
          <w:rFonts w:hint="cs"/>
          <w:rtl/>
        </w:rPr>
        <w:t>הספרדי זורה ד</w:t>
      </w:r>
      <w:r w:rsidRPr="00102958">
        <w:rPr>
          <w:rFonts w:hint="cs"/>
          <w:rtl/>
        </w:rPr>
        <w:t>"</w:t>
      </w:r>
      <w:r>
        <w:rPr>
          <w:rFonts w:hint="cs"/>
          <w:rtl/>
        </w:rPr>
        <w:t>ה נראה</w:t>
      </w:r>
      <w:bookmarkEnd w:id="1977"/>
      <w:bookmarkEnd w:id="1978"/>
    </w:p>
    <w:p w14:paraId="03B754AE" w14:textId="77777777" w:rsidR="00316453" w:rsidRPr="0030138D" w:rsidRDefault="00316453" w:rsidP="00747170">
      <w:pPr>
        <w:pStyle w:val="afffff5"/>
        <w:rPr>
          <w:rtl/>
        </w:rPr>
      </w:pPr>
      <w:r w:rsidRPr="0030138D">
        <w:rPr>
          <w:rtl/>
        </w:rPr>
        <w:t>וכל דבר שהוא מחוסר לרוח. פי' שהרוח מחסרו ומפררו לחלקים דקים חייב משום זורה:</w:t>
      </w:r>
    </w:p>
    <w:p w14:paraId="2B385960" w14:textId="77777777" w:rsidR="00316453" w:rsidRPr="005C5103" w:rsidRDefault="00316453" w:rsidP="00316453">
      <w:pPr>
        <w:pStyle w:val="afffffb"/>
        <w:rPr>
          <w:vanish/>
          <w:rtl/>
        </w:rPr>
      </w:pPr>
      <w:r w:rsidRPr="005C5103">
        <w:rPr>
          <w:vanish/>
          <w:rtl/>
        </w:rPr>
        <w:t xml:space="preserve">שו"ת רבי עקיבא איגר </w:t>
      </w:r>
      <w:r w:rsidRPr="005C5103">
        <w:rPr>
          <w:rFonts w:hint="cs"/>
          <w:vanish/>
          <w:rtl/>
        </w:rPr>
        <w:t>מהדו</w:t>
      </w:r>
      <w:r w:rsidRPr="005C5103">
        <w:rPr>
          <w:vanish/>
          <w:rtl/>
        </w:rPr>
        <w:t>"</w:t>
      </w:r>
      <w:r w:rsidRPr="005C5103">
        <w:rPr>
          <w:rFonts w:hint="cs"/>
          <w:vanish/>
          <w:rtl/>
        </w:rPr>
        <w:t>ק ח</w:t>
      </w:r>
      <w:r w:rsidRPr="005C5103">
        <w:rPr>
          <w:vanish/>
          <w:rtl/>
        </w:rPr>
        <w:t>"</w:t>
      </w:r>
      <w:r w:rsidRPr="005C5103">
        <w:rPr>
          <w:rFonts w:hint="cs"/>
          <w:vanish/>
          <w:rtl/>
        </w:rPr>
        <w:t>א סי</w:t>
      </w:r>
      <w:r w:rsidRPr="005C5103">
        <w:rPr>
          <w:vanish/>
          <w:rtl/>
        </w:rPr>
        <w:t>'</w:t>
      </w:r>
      <w:r w:rsidRPr="005C5103">
        <w:rPr>
          <w:rFonts w:hint="cs"/>
          <w:vanish/>
          <w:rtl/>
        </w:rPr>
        <w:t xml:space="preserve"> כ</w:t>
      </w:r>
      <w:r w:rsidRPr="005C5103">
        <w:rPr>
          <w:vanish/>
          <w:rtl/>
        </w:rPr>
        <w:t>'</w:t>
      </w:r>
      <w:r w:rsidRPr="005C5103">
        <w:rPr>
          <w:rFonts w:hint="cs"/>
          <w:vanish/>
          <w:rtl/>
        </w:rPr>
        <w:t xml:space="preserve"> ד"ה אמנם</w:t>
      </w:r>
    </w:p>
    <w:p w14:paraId="2BC97A43" w14:textId="77777777" w:rsidR="00316453" w:rsidRDefault="00316453" w:rsidP="00316453">
      <w:pPr>
        <w:pStyle w:val="a7"/>
        <w:rPr>
          <w:rtl/>
        </w:rPr>
      </w:pPr>
      <w:bookmarkStart w:id="1979" w:name="_Toc136618682"/>
      <w:r>
        <w:rPr>
          <w:rFonts w:hint="cs"/>
          <w:rtl/>
        </w:rPr>
        <w:t>בי' האחרונים דקיי"ל כדמוכח בבבלי דזורה הוא ברירת פסולת ולא הפרדת חלקים כדעת הירו'</w:t>
      </w:r>
      <w:bookmarkEnd w:id="1979"/>
    </w:p>
    <w:p w14:paraId="6B6433A1" w14:textId="55CF2579" w:rsidR="00316453" w:rsidRPr="00503BF7" w:rsidRDefault="00316453" w:rsidP="00BC7DC8">
      <w:pPr>
        <w:pStyle w:val="a3"/>
        <w:rPr>
          <w:rtl/>
        </w:rPr>
      </w:pPr>
      <w:bookmarkStart w:id="1980" w:name="_Ref136341557"/>
      <w:bookmarkStart w:id="1981" w:name="_Ref136540136"/>
      <w:bookmarkStart w:id="1982" w:name="_Ref136512049"/>
      <w:r w:rsidRPr="00503BF7">
        <w:rPr>
          <w:rFonts w:hint="cs"/>
          <w:rtl/>
        </w:rPr>
        <w:t xml:space="preserve">אך כתב </w:t>
      </w:r>
      <w:r w:rsidRPr="00503BF7">
        <w:rPr>
          <w:rStyle w:val="aff4"/>
          <w:rFonts w:hint="cs"/>
          <w:vanish/>
          <w:rtl/>
        </w:rPr>
        <w:t>-</w:t>
      </w:r>
      <w:r w:rsidRPr="00503BF7">
        <w:rPr>
          <w:rStyle w:val="aff4"/>
          <w:rFonts w:hint="cs"/>
          <w:rtl/>
        </w:rPr>
        <w:t>ה</w:t>
      </w:r>
      <w:r w:rsidRPr="00503BF7">
        <w:rPr>
          <w:rStyle w:val="aff4"/>
          <w:rFonts w:hint="cs"/>
          <w:vanish/>
          <w:rtl/>
        </w:rPr>
        <w:t xml:space="preserve">&lt;. </w:t>
      </w:r>
      <w:r w:rsidRPr="00503BF7">
        <w:rPr>
          <w:rStyle w:val="aff4"/>
          <w:vanish/>
          <w:rtl/>
        </w:rPr>
        <w:fldChar w:fldCharType="begin"/>
      </w:r>
      <w:r w:rsidRPr="00503BF7">
        <w:rPr>
          <w:rStyle w:val="aff4"/>
          <w:vanish/>
          <w:rtl/>
        </w:rPr>
        <w:instrText xml:space="preserve"> </w:instrText>
      </w:r>
      <w:r w:rsidRPr="00503BF7">
        <w:rPr>
          <w:rStyle w:val="aff4"/>
          <w:rFonts w:hint="cs"/>
          <w:vanish/>
        </w:rPr>
        <w:instrText>REF</w:instrText>
      </w:r>
      <w:r w:rsidRPr="00503BF7">
        <w:rPr>
          <w:rStyle w:val="aff4"/>
          <w:rFonts w:hint="cs"/>
          <w:vanish/>
          <w:rtl/>
        </w:rPr>
        <w:instrText xml:space="preserve"> _</w:instrText>
      </w:r>
      <w:r w:rsidRPr="00503BF7">
        <w:rPr>
          <w:rStyle w:val="aff4"/>
          <w:rFonts w:hint="cs"/>
          <w:vanish/>
        </w:rPr>
        <w:instrText>Ref136540136 \r \h</w:instrText>
      </w:r>
      <w:r w:rsidRPr="00503BF7">
        <w:rPr>
          <w:rStyle w:val="aff4"/>
          <w:vanish/>
          <w:rtl/>
        </w:rPr>
        <w:instrText xml:space="preserve">  \* </w:instrText>
      </w:r>
      <w:r w:rsidRPr="00503BF7">
        <w:rPr>
          <w:rStyle w:val="aff4"/>
          <w:vanish/>
        </w:rPr>
        <w:instrText>MERGEFORMAT</w:instrText>
      </w:r>
      <w:r w:rsidRPr="00503BF7">
        <w:rPr>
          <w:rStyle w:val="aff4"/>
          <w:vanish/>
          <w:rtl/>
        </w:rPr>
        <w:instrText xml:space="preserve"> </w:instrText>
      </w:r>
      <w:r w:rsidRPr="00503BF7">
        <w:rPr>
          <w:rStyle w:val="aff4"/>
          <w:vanish/>
          <w:rtl/>
        </w:rPr>
      </w:r>
      <w:r w:rsidRPr="00503BF7">
        <w:rPr>
          <w:rStyle w:val="aff4"/>
          <w:vanish/>
          <w:rtl/>
        </w:rPr>
        <w:fldChar w:fldCharType="separate"/>
      </w:r>
      <w:r w:rsidR="00D82181">
        <w:rPr>
          <w:rStyle w:val="aff4"/>
          <w:vanish/>
          <w:cs/>
        </w:rPr>
        <w:t>‎</w:t>
      </w:r>
      <w:r w:rsidR="00D82181">
        <w:rPr>
          <w:rStyle w:val="aff4"/>
          <w:vanish/>
          <w:rtl/>
        </w:rPr>
        <w:t>כז)</w:t>
      </w:r>
      <w:r w:rsidRPr="00503BF7">
        <w:rPr>
          <w:rStyle w:val="aff4"/>
          <w:vanish/>
          <w:rtl/>
        </w:rPr>
        <w:fldChar w:fldCharType="end"/>
      </w:r>
      <w:r w:rsidRPr="00503BF7">
        <w:rPr>
          <w:rStyle w:val="aff4"/>
          <w:rFonts w:hint="cs"/>
          <w:vanish/>
          <w:rtl/>
        </w:rPr>
        <w:t xml:space="preserve"> &gt;</w:t>
      </w:r>
      <w:r w:rsidRPr="00503BF7">
        <w:rPr>
          <w:rStyle w:val="aff4"/>
          <w:rFonts w:hint="cs"/>
          <w:rtl/>
        </w:rPr>
        <w:t>גרעק"א בתשו'</w:t>
      </w:r>
      <w:r w:rsidRPr="00503BF7">
        <w:rPr>
          <w:rStyle w:val="aff4"/>
          <w:rFonts w:hint="cs"/>
          <w:vanish/>
          <w:rtl/>
        </w:rPr>
        <w:t>-</w:t>
      </w:r>
      <w:r w:rsidRPr="00503BF7">
        <w:rPr>
          <w:rFonts w:hint="cs"/>
          <w:rtl/>
        </w:rPr>
        <w:t xml:space="preserve"> </w:t>
      </w:r>
      <w:r w:rsidRPr="00503BF7">
        <w:rPr>
          <w:rStyle w:val="af2"/>
          <w:rFonts w:eastAsia="Guttman Hodes" w:hint="cs"/>
          <w:rtl/>
        </w:rPr>
        <w:t>(מהדו"ק ח"א סי' כ' ד"ה אמנם)</w:t>
      </w:r>
      <w:r w:rsidRPr="00503BF7">
        <w:rPr>
          <w:rFonts w:hint="cs"/>
          <w:vanish/>
          <w:rtl/>
        </w:rPr>
        <w:t>=</w:t>
      </w:r>
      <w:r w:rsidRPr="00503BF7">
        <w:rPr>
          <w:rFonts w:hint="cs"/>
          <w:rtl/>
        </w:rPr>
        <w:t xml:space="preserve"> דמהא </w:t>
      </w:r>
      <w:r w:rsidRPr="00503BF7">
        <w:rPr>
          <w:rStyle w:val="aff4"/>
          <w:rFonts w:hint="cs"/>
          <w:vanish/>
          <w:rtl/>
        </w:rPr>
        <w:t>-</w:t>
      </w:r>
      <w:r w:rsidRPr="00503BF7">
        <w:rPr>
          <w:rStyle w:val="aff4"/>
          <w:rFonts w:hint="cs"/>
          <w:rtl/>
        </w:rPr>
        <w:t>ד</w:t>
      </w:r>
      <w:r w:rsidRPr="00503BF7">
        <w:rPr>
          <w:rStyle w:val="aff4"/>
          <w:rtl/>
        </w:rPr>
        <w:t xml:space="preserve">הרי"ף והרמב"ם </w:t>
      </w:r>
      <w:r w:rsidRPr="00503BF7">
        <w:rPr>
          <w:rStyle w:val="aff4"/>
          <w:rFonts w:hint="cs"/>
          <w:rtl/>
        </w:rPr>
        <w:t>וה</w:t>
      </w:r>
      <w:r w:rsidRPr="00503BF7">
        <w:rPr>
          <w:rStyle w:val="aff4"/>
          <w:rtl/>
        </w:rPr>
        <w:t>סמ"ג והרא"ש והטור</w:t>
      </w:r>
      <w:r w:rsidRPr="00503BF7">
        <w:rPr>
          <w:rStyle w:val="aff4"/>
          <w:rFonts w:hint="cs"/>
          <w:vanish/>
          <w:rtl/>
        </w:rPr>
        <w:t>-</w:t>
      </w:r>
      <w:r w:rsidRPr="00503BF7">
        <w:rPr>
          <w:rFonts w:hint="cs"/>
          <w:rtl/>
        </w:rPr>
        <w:t xml:space="preserve"> לא הביאו את דברי הירושלמי משמע דלא קיי"ל כן, וביאר </w:t>
      </w:r>
      <w:r w:rsidRPr="00503BF7">
        <w:rPr>
          <w:rStyle w:val="aff4"/>
          <w:rFonts w:hint="cs"/>
          <w:vanish/>
          <w:rtl/>
        </w:rPr>
        <w:t>-</w:t>
      </w:r>
      <w:r w:rsidRPr="00503BF7">
        <w:rPr>
          <w:rStyle w:val="aff4"/>
          <w:rFonts w:hint="cs"/>
          <w:rtl/>
        </w:rPr>
        <w:t>הגרעק"א</w:t>
      </w:r>
      <w:r w:rsidRPr="00503BF7">
        <w:rPr>
          <w:rStyle w:val="aff4"/>
          <w:rFonts w:hint="cs"/>
          <w:vanish/>
          <w:rtl/>
        </w:rPr>
        <w:t>-</w:t>
      </w:r>
      <w:r w:rsidRPr="00503BF7">
        <w:rPr>
          <w:rFonts w:hint="cs"/>
          <w:rtl/>
        </w:rPr>
        <w:t xml:space="preserve"> דמהא דאמרינן בסוגיין דזורה הוא כבורר ומרקד, מבואר דעיקר המלאכה הוא הפרדת הפסולת מהאוכל כמו בבורר, אבל במקום שהרוח רק מפרידה את הדבר לחלקים כמו ברוק או מעט מים, לא הוי זורה לדעת הבבלי, וכתב </w:t>
      </w:r>
      <w:r w:rsidRPr="00503BF7">
        <w:rPr>
          <w:rStyle w:val="aff4"/>
          <w:rFonts w:hint="cs"/>
          <w:vanish/>
          <w:rtl/>
        </w:rPr>
        <w:t>-</w:t>
      </w:r>
      <w:r w:rsidRPr="00503BF7">
        <w:rPr>
          <w:rStyle w:val="aff4"/>
          <w:rFonts w:hint="cs"/>
          <w:rtl/>
        </w:rPr>
        <w:t>הגרעק"א</w:t>
      </w:r>
      <w:r w:rsidRPr="00503BF7">
        <w:rPr>
          <w:rStyle w:val="aff4"/>
          <w:rFonts w:hint="cs"/>
          <w:vanish/>
          <w:rtl/>
        </w:rPr>
        <w:t>-</w:t>
      </w:r>
      <w:r w:rsidRPr="00503BF7">
        <w:rPr>
          <w:rFonts w:hint="cs"/>
          <w:rtl/>
        </w:rPr>
        <w:t xml:space="preserve"> דכן משמע בגמ' בב"ק </w:t>
      </w:r>
      <w:r w:rsidRPr="00503BF7">
        <w:rPr>
          <w:rStyle w:val="af2"/>
          <w:rFonts w:eastAsia="Guttman Hodes" w:hint="cs"/>
          <w:rtl/>
        </w:rPr>
        <w:t>(ס.)</w:t>
      </w:r>
      <w:r w:rsidRPr="00503BF7">
        <w:rPr>
          <w:rFonts w:hint="cs"/>
          <w:rtl/>
        </w:rPr>
        <w:t xml:space="preserve"> </w:t>
      </w:r>
      <w:bookmarkEnd w:id="1980"/>
      <w:r w:rsidRPr="00503BF7">
        <w:rPr>
          <w:rFonts w:hint="cs"/>
          <w:rtl/>
        </w:rPr>
        <w:t>דהחיוב בזורה הוא אף שהרוח מסייעתו, ומשמע בגמ' דכיון שאם היה עושה את אותה המלאכה בידיו היה חייב, לכן חייב אף ע"י סיוע הרוח, ומבואר דמלאכת זורה היא הפרדת הפסולת ובידיו חייב משום בורר, וע"י הרוח חייב משום זורה, ואילו בדין הירושלמי דרוקק לרוח אין כל חיוב אם היה מפריד בידיו את הרוק לחלקים דקים, ומבואר בגמ' בב"ק דא"א לחייבו בסיוע הרוח יותר מאשר במעשה בידים, ומוכח דהבבלי פליג על הירושלמי</w:t>
      </w:r>
      <w:r>
        <w:rPr>
          <w:rFonts w:hint="cs"/>
          <w:rtl/>
        </w:rPr>
        <w:t xml:space="preserve">, וכתב </w:t>
      </w:r>
      <w:r w:rsidRPr="00B613B1">
        <w:rPr>
          <w:rStyle w:val="aff4"/>
          <w:rFonts w:hint="cs"/>
          <w:vanish/>
          <w:rtl/>
        </w:rPr>
        <w:t>-</w:t>
      </w:r>
      <w:r w:rsidRPr="00B613B1">
        <w:rPr>
          <w:rStyle w:val="aff4"/>
          <w:rFonts w:hint="cs"/>
          <w:rtl/>
        </w:rPr>
        <w:t>ה</w:t>
      </w:r>
      <w:r>
        <w:rPr>
          <w:rStyle w:val="aff4"/>
          <w:rFonts w:hint="cs"/>
          <w:vanish/>
          <w:rtl/>
        </w:rPr>
        <w:t>&lt; &gt;</w:t>
      </w:r>
      <w:r w:rsidRPr="00B613B1">
        <w:rPr>
          <w:rStyle w:val="aff4"/>
          <w:rFonts w:hint="cs"/>
          <w:rtl/>
        </w:rPr>
        <w:t xml:space="preserve">טל אורות </w:t>
      </w:r>
      <w:r>
        <w:rPr>
          <w:rStyle w:val="aff4"/>
          <w:rFonts w:hint="cs"/>
          <w:rtl/>
        </w:rPr>
        <w:t>הספרדי</w:t>
      </w:r>
      <w:r w:rsidRPr="00B613B1">
        <w:rPr>
          <w:rStyle w:val="aff4"/>
          <w:rFonts w:hint="cs"/>
          <w:vanish/>
          <w:rtl/>
        </w:rPr>
        <w:t>-</w:t>
      </w:r>
      <w:r>
        <w:rPr>
          <w:rFonts w:hint="cs"/>
          <w:rtl/>
        </w:rPr>
        <w:t xml:space="preserve"> </w:t>
      </w:r>
      <w:r w:rsidRPr="00B613B1">
        <w:rPr>
          <w:rStyle w:val="af2"/>
          <w:rFonts w:eastAsia="Guttman Hodes" w:hint="cs"/>
          <w:rtl/>
        </w:rPr>
        <w:t>(זורה ד"ה נראה)</w:t>
      </w:r>
      <w:r w:rsidRPr="00B613B1">
        <w:rPr>
          <w:rFonts w:hint="cs"/>
          <w:vanish/>
          <w:rtl/>
        </w:rPr>
        <w:t>=</w:t>
      </w:r>
      <w:r>
        <w:rPr>
          <w:rFonts w:hint="cs"/>
          <w:rtl/>
        </w:rPr>
        <w:t xml:space="preserve"> דכן מוכח מהא דאיתא ב</w:t>
      </w:r>
      <w:r>
        <w:rPr>
          <w:rtl/>
        </w:rPr>
        <w:t xml:space="preserve">ירושלמי </w:t>
      </w:r>
      <w:r w:rsidRPr="00D4778B">
        <w:rPr>
          <w:rStyle w:val="af2"/>
          <w:rFonts w:eastAsia="Guttman Hodes" w:hint="cs"/>
          <w:rtl/>
        </w:rPr>
        <w:t>(</w:t>
      </w:r>
      <w:r w:rsidRPr="00D4778B">
        <w:rPr>
          <w:rStyle w:val="af2"/>
          <w:rFonts w:eastAsia="Guttman Hodes"/>
          <w:rtl/>
        </w:rPr>
        <w:t>פ"ז ה</w:t>
      </w:r>
      <w:r w:rsidRPr="00D4778B">
        <w:rPr>
          <w:rStyle w:val="af2"/>
          <w:rFonts w:eastAsia="Guttman Hodes" w:hint="cs"/>
          <w:rtl/>
        </w:rPr>
        <w:t>"</w:t>
      </w:r>
      <w:r w:rsidRPr="00D4778B">
        <w:rPr>
          <w:rStyle w:val="af2"/>
          <w:rFonts w:eastAsia="Guttman Hodes"/>
          <w:rtl/>
        </w:rPr>
        <w:t>ב</w:t>
      </w:r>
      <w:r w:rsidRPr="00D4778B">
        <w:rPr>
          <w:rStyle w:val="af2"/>
          <w:rFonts w:eastAsia="Guttman Hodes" w:hint="cs"/>
          <w:rtl/>
        </w:rPr>
        <w:t>, נב:)</w:t>
      </w:r>
      <w:r>
        <w:rPr>
          <w:rFonts w:hint="cs"/>
          <w:rtl/>
        </w:rPr>
        <w:t xml:space="preserve"> "</w:t>
      </w:r>
      <w:r>
        <w:rPr>
          <w:rtl/>
        </w:rPr>
        <w:t>הבורר והמשמר והמרקד כולהן משום מעביר פסולת</w:t>
      </w:r>
      <w:r>
        <w:rPr>
          <w:rFonts w:hint="cs"/>
          <w:rtl/>
        </w:rPr>
        <w:t>, ומדלא כלל הירושלמי גם את זורה מוכח דזורה אינו בכלל מעביר פסולת</w:t>
      </w:r>
      <w:r w:rsidRPr="00503BF7">
        <w:rPr>
          <w:rFonts w:hint="cs"/>
          <w:rtl/>
        </w:rPr>
        <w:t xml:space="preserve">, וכ"כ </w:t>
      </w:r>
      <w:r w:rsidRPr="00503BF7">
        <w:rPr>
          <w:rStyle w:val="aff4"/>
          <w:rFonts w:hint="cs"/>
          <w:vanish/>
          <w:rtl/>
        </w:rPr>
        <w:t>-</w:t>
      </w:r>
      <w:r w:rsidRPr="00503BF7">
        <w:rPr>
          <w:rStyle w:val="aff4"/>
          <w:rFonts w:hint="cs"/>
          <w:rtl/>
        </w:rPr>
        <w:t>ה</w:t>
      </w:r>
      <w:r w:rsidRPr="00503BF7">
        <w:rPr>
          <w:rStyle w:val="aff4"/>
          <w:rFonts w:hint="cs"/>
          <w:vanish/>
          <w:rtl/>
        </w:rPr>
        <w:t>&lt; &gt;</w:t>
      </w:r>
      <w:r w:rsidRPr="00503BF7">
        <w:rPr>
          <w:rStyle w:val="aff4"/>
          <w:rFonts w:hint="cs"/>
          <w:rtl/>
        </w:rPr>
        <w:t>אגלי טל</w:t>
      </w:r>
      <w:r w:rsidRPr="00503BF7">
        <w:rPr>
          <w:rStyle w:val="aff4"/>
          <w:rFonts w:hint="cs"/>
          <w:vanish/>
          <w:rtl/>
        </w:rPr>
        <w:t>-</w:t>
      </w:r>
      <w:r w:rsidRPr="00503BF7">
        <w:rPr>
          <w:rFonts w:hint="cs"/>
          <w:rtl/>
        </w:rPr>
        <w:t xml:space="preserve"> </w:t>
      </w:r>
      <w:r w:rsidRPr="00503BF7">
        <w:rPr>
          <w:rStyle w:val="af2"/>
          <w:rFonts w:eastAsia="Guttman Hodes" w:hint="cs"/>
          <w:rtl/>
        </w:rPr>
        <w:t>(זורה סק"א אות ד')</w:t>
      </w:r>
      <w:r w:rsidRPr="00503BF7">
        <w:rPr>
          <w:rFonts w:hint="cs"/>
          <w:vanish/>
          <w:rtl/>
        </w:rPr>
        <w:t>=</w:t>
      </w:r>
      <w:r w:rsidRPr="00503BF7">
        <w:rPr>
          <w:rFonts w:hint="cs"/>
          <w:rtl/>
        </w:rPr>
        <w:t xml:space="preserve"> דלירושלמי חיוב זורה הוא הפרדת חלקים, ולא הפרדת אוכל מפסולת, והבבלי פליג ע"ז, וכ"כ </w:t>
      </w:r>
      <w:r w:rsidRPr="00503BF7">
        <w:rPr>
          <w:rStyle w:val="aff4"/>
          <w:rFonts w:hint="cs"/>
          <w:vanish/>
          <w:rtl/>
        </w:rPr>
        <w:t>-</w:t>
      </w:r>
      <w:r w:rsidRPr="00503BF7">
        <w:rPr>
          <w:rStyle w:val="aff4"/>
          <w:rFonts w:hint="cs"/>
          <w:rtl/>
        </w:rPr>
        <w:t>ה</w:t>
      </w:r>
      <w:r w:rsidRPr="00503BF7">
        <w:rPr>
          <w:rStyle w:val="aff4"/>
          <w:rFonts w:hint="cs"/>
          <w:vanish/>
          <w:rtl/>
        </w:rPr>
        <w:t>&lt; &gt;</w:t>
      </w:r>
      <w:r w:rsidRPr="00503BF7">
        <w:rPr>
          <w:rStyle w:val="aff4"/>
          <w:rFonts w:hint="cs"/>
          <w:rtl/>
        </w:rPr>
        <w:t>מהר"י חגיז בעץ חיים</w:t>
      </w:r>
      <w:r w:rsidRPr="00503BF7">
        <w:rPr>
          <w:rStyle w:val="aff4"/>
          <w:rFonts w:hint="cs"/>
          <w:vanish/>
          <w:rtl/>
        </w:rPr>
        <w:t>-</w:t>
      </w:r>
      <w:r w:rsidRPr="00503BF7">
        <w:rPr>
          <w:rFonts w:hint="cs"/>
          <w:rtl/>
        </w:rPr>
        <w:t xml:space="preserve"> </w:t>
      </w:r>
      <w:r w:rsidRPr="00503BF7">
        <w:rPr>
          <w:rStyle w:val="af2"/>
          <w:rFonts w:eastAsia="Guttman Hodes" w:hint="cs"/>
          <w:rtl/>
        </w:rPr>
        <w:t>(זורה אות י')</w:t>
      </w:r>
      <w:r w:rsidRPr="00503BF7">
        <w:rPr>
          <w:rFonts w:hint="cs"/>
          <w:vanish/>
          <w:rtl/>
        </w:rPr>
        <w:t>=</w:t>
      </w:r>
      <w:r w:rsidRPr="00503BF7">
        <w:rPr>
          <w:rFonts w:hint="cs"/>
          <w:rtl/>
        </w:rPr>
        <w:t xml:space="preserve"> והוסיף דאף מדרבנן אין לגזור בזה דלא דמי כלל לבורר</w:t>
      </w:r>
      <w:r>
        <w:rPr>
          <w:rFonts w:hint="cs"/>
          <w:rtl/>
        </w:rPr>
        <w:t xml:space="preserve">, וא"כ מ"ש </w:t>
      </w:r>
      <w:r w:rsidRPr="00B613B1">
        <w:rPr>
          <w:rStyle w:val="aff4"/>
          <w:rFonts w:hint="cs"/>
          <w:vanish/>
          <w:rtl/>
        </w:rPr>
        <w:t>-</w:t>
      </w:r>
      <w:r w:rsidRPr="00B613B1">
        <w:rPr>
          <w:rStyle w:val="aff4"/>
          <w:rFonts w:hint="cs"/>
          <w:rtl/>
        </w:rPr>
        <w:t>הרמ"א</w:t>
      </w:r>
      <w:r w:rsidRPr="00B613B1">
        <w:rPr>
          <w:rStyle w:val="aff4"/>
          <w:rFonts w:hint="cs"/>
          <w:vanish/>
          <w:rtl/>
        </w:rPr>
        <w:t>-</w:t>
      </w:r>
      <w:r>
        <w:rPr>
          <w:rFonts w:hint="cs"/>
          <w:rtl/>
        </w:rPr>
        <w:t xml:space="preserve"> לאסור בזה הוא כיון דחשש לדעת הירושלמי, ועי' במ"ש </w:t>
      </w:r>
      <w:r w:rsidRPr="00583D3E">
        <w:rPr>
          <w:rStyle w:val="aff4"/>
          <w:rFonts w:hint="cs"/>
          <w:vanish/>
          <w:rtl/>
        </w:rPr>
        <w:t>-</w:t>
      </w:r>
      <w:r w:rsidRPr="00583D3E">
        <w:rPr>
          <w:rStyle w:val="aff4"/>
          <w:rFonts w:hint="cs"/>
          <w:rtl/>
        </w:rPr>
        <w:t>האבי עזרי</w:t>
      </w:r>
      <w:r w:rsidRPr="00583D3E">
        <w:rPr>
          <w:rStyle w:val="aff4"/>
          <w:rFonts w:hint="cs"/>
          <w:vanish/>
          <w:rtl/>
        </w:rPr>
        <w:t>–</w:t>
      </w:r>
      <w:r>
        <w:rPr>
          <w:rFonts w:hint="cs"/>
          <w:rtl/>
        </w:rPr>
        <w:t xml:space="preserve"> </w:t>
      </w:r>
      <w:r w:rsidRPr="00583D3E">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Ref136441135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נה)</w:t>
      </w:r>
      <w:r>
        <w:rPr>
          <w:rStyle w:val="af2"/>
          <w:rFonts w:eastAsia="Guttman Hodes"/>
          <w:rtl/>
        </w:rPr>
        <w:fldChar w:fldCharType="end"/>
      </w:r>
      <w:r>
        <w:rPr>
          <w:rFonts w:hint="cs"/>
          <w:rtl/>
        </w:rPr>
        <w:t xml:space="preserve"> בזה</w:t>
      </w:r>
      <w:r w:rsidRPr="00503BF7">
        <w:rPr>
          <w:rFonts w:hint="cs"/>
          <w:rtl/>
        </w:rPr>
        <w:t>.</w:t>
      </w:r>
      <w:bookmarkEnd w:id="1981"/>
    </w:p>
    <w:bookmarkEnd w:id="1982"/>
    <w:p w14:paraId="7E1D98C7" w14:textId="77777777" w:rsidR="00316453" w:rsidRPr="00747170" w:rsidRDefault="00316453" w:rsidP="00747170">
      <w:pPr>
        <w:pStyle w:val="a2"/>
        <w:rPr>
          <w:rtl/>
        </w:rPr>
      </w:pPr>
      <w:r w:rsidRPr="00747170">
        <w:rPr>
          <w:rtl/>
        </w:rPr>
        <w:t xml:space="preserve">אמנם אחר העיון קצת נראה לצדד הרבה להקל, דהא צריכין ליתן טעם על הפוסקים ראשונים אשר כל רז לא נעלם מהם, המה הרי"ף והרמב"ם סמ"ג והרא"ש והטור דלא הביאו הירושלמי הנ"ל, שהוא חידוש דין גדול, ולזה היה נראה טעמייהו דס"ל דדין זה לא סלקא אליבא דהלכתא, דסוגיא דידן פליג, במה דפרכי' היינו זורה, היינו בורר, היינו מרקד, משמע דעיקר מלאכת זורה כעין בורר, דהרוח מוליך ומפריד פסולת מהאוכל, אבל היכא דכולו פסולת ואינו מברר זה מזה רק דמחלקו לחלקים דקים לאו בכלל זורה הוא, וה"נ משמע כן ממה דאמרינן ספ"ו דבב"ק (דף ס') ולהוי כזורה ורוח מסייעתו, משמע דאם היה עושה כן בידיו היה חייב, מש"ה חייב ג"כ ע"י סיועת הרוח, והיינו כזורה ממש פסולת מהאוכל, דאם עושה כן בידיו חייב משום בורר, אבל בדינא דירושלמי הנ"ל אם בידו מחלק הרוק לטיפות דקים מה שעתה הרוח עושה לא היה חייב, לא נחייבו גם כן על ידי סיועת הרוח, יותר מאלו היה עושה בעצמו, ופסקו כתלמודא דידן נגד הירושלמי. </w:t>
      </w:r>
    </w:p>
    <w:p w14:paraId="507AFCB5" w14:textId="77777777" w:rsidR="00316453" w:rsidRPr="00123A6D" w:rsidRDefault="00316453" w:rsidP="00316453">
      <w:pPr>
        <w:pStyle w:val="afff6"/>
        <w:rPr>
          <w:vanish/>
          <w:rtl/>
        </w:rPr>
      </w:pPr>
      <w:r w:rsidRPr="00123A6D">
        <w:rPr>
          <w:vanish/>
          <w:rtl/>
        </w:rPr>
        <w:t xml:space="preserve">ועיין הרז"ה פ"ק דפסחים בארבעה עשר שחל בשבת, החמץ שנשאר אחר אכילתו מפזר וזורה לרוח ואין בזה איסור, משמע להדיא דבכה"ג לא מקרי זורה, [אב"ה עיין ב"ח סי' תמ"ד ס"ג נראה דעתו דאין חולק בזה על הרז"ה, ועיין מגן אברהם סימן תמ"ו סק"ב]. </w:t>
      </w:r>
    </w:p>
    <w:p w14:paraId="193D93AF" w14:textId="77777777" w:rsidR="00316453" w:rsidRPr="0030138D" w:rsidRDefault="00316453" w:rsidP="00747170">
      <w:pPr>
        <w:pStyle w:val="afffff5"/>
        <w:rPr>
          <w:rtl/>
        </w:rPr>
      </w:pPr>
      <w:r w:rsidRPr="0030138D">
        <w:rPr>
          <w:rtl/>
        </w:rPr>
        <w:t>(ד) וליישב כל זה נראה הנה בירושלמי הנ"ל אות א' דרקק והפריחתו הרוח חייב משום זורה. מבואר דמלאכת זורה הוא מה שמפזר לרוח. ועוד איתא בירושלמי וכל דבר שהוא מחוסר לרוח חייב משום זורה פי' הק"ע שהרוח מחסרו ומפררו לחלקים דקים. הרי שמלאכת זורה הוא מה שמתפזר לרוח לא מה שמבדיל הפסולת מתוך האוכל. וזה אינו לפי גמ' דידן מכילתין ע"ג: שהעתקנו בתחלת ס"ק זה דאמר זורה בורר ומרקד הם תלת דדמיין להדדי הרי שגם מלאכת זורה משום שמפריש הפסולת מאוכל. וע"כ השמיטו הפוסקים את הירושלמי [ושוב מצאתי כן בתשובת רע"ק איגר [מהדו"ק סי' כ']:</w:t>
      </w:r>
    </w:p>
    <w:p w14:paraId="6A575193" w14:textId="77777777" w:rsidR="00316453" w:rsidRPr="0030138D" w:rsidRDefault="00316453" w:rsidP="00747170">
      <w:pPr>
        <w:pStyle w:val="afffff5"/>
      </w:pPr>
      <w:r w:rsidRPr="0030138D">
        <w:rPr>
          <w:rFonts w:hint="cs"/>
          <w:rtl/>
        </w:rPr>
        <w:t>כ</w:t>
      </w:r>
      <w:r w:rsidRPr="0030138D">
        <w:rPr>
          <w:rtl/>
        </w:rPr>
        <w:t>תוב בהגהת ש"ע סוף סי' שי"ט הרוקק ברוח בשבת והרוח מפזר הרוק חייב משום זורה מהרי"ל בשם א"ז וירושלמי פרק כלל גדול ע"כ ונראה דגמרא דירן לא ס"ל הכי דהא פריך היינו זורה היינו בורר היינו מרקד וכולהו לברורי אוכל מתוך פסולת או פסולת מתוך אוכל עביד וא"כ ברוקק לרוח מאי ברירה איכא ולפי זה אפילו איסורא ליכא דהא ליכא למיגזר כלל משום בורר</w:t>
      </w:r>
      <w:r w:rsidRPr="0030138D">
        <w:rPr>
          <w:rFonts w:hint="cs"/>
          <w:rtl/>
        </w:rPr>
        <w:t>.</w:t>
      </w:r>
    </w:p>
    <w:p w14:paraId="32E16CAA" w14:textId="77777777" w:rsidR="00316453" w:rsidRPr="006D0A7C" w:rsidRDefault="00316453" w:rsidP="00747170">
      <w:pPr>
        <w:pStyle w:val="afffff5"/>
      </w:pPr>
      <w:r w:rsidRPr="006D0A7C">
        <w:rPr>
          <w:rtl/>
        </w:rPr>
        <w:t>שוב מצאתי למהר"י חאגיז בעץ החיים במלאכת הבורר שתמה כן וכתב וזה לשונו כתוב בהגהת שלחן ערוך ו</w:t>
      </w:r>
      <w:r w:rsidRPr="006D0A7C">
        <w:rPr>
          <w:rFonts w:hint="cs"/>
          <w:rtl/>
        </w:rPr>
        <w:t xml:space="preserve">כו' </w:t>
      </w:r>
      <w:r w:rsidRPr="006D0A7C">
        <w:rPr>
          <w:rtl/>
        </w:rPr>
        <w:t>ונראה דגמרא דילן לא סבירא לה הכי דהא פריך היינו זורה היינו בורר היינו מרקד וכול הו לברורי אוכל מתוך פסולת או פסולת מתוך אוכל ואם כן ברוקק לרוח מאי ברירה איכא ולפי זה אפילו איסור איכא ליכא דהא ליכא למגזר כלל משום בורר עד כאן</w:t>
      </w:r>
    </w:p>
    <w:p w14:paraId="0D127DB1" w14:textId="77777777" w:rsidR="00316453" w:rsidRPr="006D0A7C" w:rsidRDefault="00316453" w:rsidP="00747170">
      <w:pPr>
        <w:pStyle w:val="afffff5"/>
        <w:rPr>
          <w:rtl/>
        </w:rPr>
      </w:pPr>
      <w:r w:rsidRPr="006D0A7C">
        <w:rPr>
          <w:rtl/>
        </w:rPr>
        <w:t xml:space="preserve">נראה מדבריו דאליבא דגמרא דידן אפילו איסורא דרבנן נמי ליכא ולע"ד נראה דלעולם דגמרא דילן סוברת דאב מלאכה </w:t>
      </w:r>
      <w:r w:rsidRPr="006D0A7C">
        <w:rPr>
          <w:rFonts w:hint="cs"/>
          <w:rtl/>
        </w:rPr>
        <w:t>דזו</w:t>
      </w:r>
      <w:r w:rsidRPr="006D0A7C">
        <w:rPr>
          <w:rtl/>
        </w:rPr>
        <w:t xml:space="preserve">רה אינו אלא לברורי אוכל מתוך פסולת או פסולת מתוך האוכל אבל הירושלמי לא סבירא ליה הכי </w:t>
      </w:r>
      <w:r w:rsidRPr="006D0A7C">
        <w:rPr>
          <w:rFonts w:hint="cs"/>
          <w:rtl/>
        </w:rPr>
        <w:t>דז</w:t>
      </w:r>
      <w:r w:rsidRPr="006D0A7C">
        <w:rPr>
          <w:rtl/>
        </w:rPr>
        <w:t xml:space="preserve">ורה </w:t>
      </w:r>
      <w:r w:rsidRPr="006D0A7C">
        <w:rPr>
          <w:rFonts w:hint="cs"/>
          <w:rtl/>
        </w:rPr>
        <w:t>(</w:t>
      </w:r>
      <w:r w:rsidRPr="006D0A7C">
        <w:rPr>
          <w:rtl/>
        </w:rPr>
        <w:t>לאו</w:t>
      </w:r>
      <w:r w:rsidRPr="006D0A7C">
        <w:rPr>
          <w:rFonts w:hint="cs"/>
          <w:rtl/>
        </w:rPr>
        <w:t>)</w:t>
      </w:r>
      <w:r w:rsidRPr="006D0A7C">
        <w:rPr>
          <w:rtl/>
        </w:rPr>
        <w:t xml:space="preserve"> היינו לברורי פסולת מתוך האוכל אלא שהירושלמי סובר שכל דבר שזורין לרוח כגון רוק וכיוצא בו כדי שהרוח מפריחתו חייב משום זורה והראיה לזה דבירושלמי סוף פרק כלל גדול גרסינן הכי הבורר והמשמר והמרקד כולהון משום מעביר פסולת וכ</w:t>
      </w:r>
      <w:r w:rsidRPr="006D0A7C">
        <w:rPr>
          <w:rFonts w:hint="cs"/>
          <w:rtl/>
        </w:rPr>
        <w:t>ו'</w:t>
      </w:r>
      <w:r w:rsidRPr="006D0A7C">
        <w:rPr>
          <w:rtl/>
        </w:rPr>
        <w:t xml:space="preserve"> </w:t>
      </w:r>
      <w:r w:rsidRPr="006D0A7C">
        <w:rPr>
          <w:rFonts w:hint="cs"/>
          <w:rtl/>
        </w:rPr>
        <w:t>יעוי"ש</w:t>
      </w:r>
      <w:r w:rsidRPr="006D0A7C">
        <w:rPr>
          <w:rtl/>
        </w:rPr>
        <w:t xml:space="preserve"> ומדלא נקט הירושלמי גם כן הזורה כמו דנקט בגמרא דילן משמע דסובר הירושלמי דדוקא הני תלת הוא דמעבירין הפסולת אבל זורה לא</w:t>
      </w:r>
      <w:r w:rsidRPr="006D0A7C">
        <w:rPr>
          <w:rFonts w:hint="cs"/>
          <w:rtl/>
        </w:rPr>
        <w:t xml:space="preserve">, </w:t>
      </w:r>
      <w:r w:rsidRPr="006D0A7C">
        <w:rPr>
          <w:rtl/>
        </w:rPr>
        <w:t xml:space="preserve">ומן האמור בזה נראה דמה שכתב בהגהת שלחן ערוך מהרי"ל בשם אור זרוע לא אמרו כן אלא אליבא דהירושלמי וכיון דחששו לההיא דהירושלמי נראה דיש להחמיר שלא ירוק ברוח דספק חיוב חטאת הוא ועיין בפרק לא יחפור דף כו ע"א ובפרק הכונס דף ס ע"א בענין זורה </w:t>
      </w:r>
      <w:r w:rsidRPr="006D0A7C">
        <w:rPr>
          <w:rFonts w:hint="cs"/>
          <w:rtl/>
        </w:rPr>
        <w:t>יעוי"ש</w:t>
      </w:r>
      <w:r w:rsidRPr="006D0A7C">
        <w:rPr>
          <w:rtl/>
        </w:rPr>
        <w:t xml:space="preserve"> ודוק</w:t>
      </w:r>
      <w:r w:rsidRPr="006D0A7C">
        <w:rPr>
          <w:rFonts w:hint="cs"/>
          <w:rtl/>
        </w:rPr>
        <w:t>.</w:t>
      </w:r>
      <w:r w:rsidRPr="006D0A7C">
        <w:rPr>
          <w:rtl/>
        </w:rPr>
        <w:t xml:space="preserve"> </w:t>
      </w:r>
    </w:p>
    <w:p w14:paraId="196CB12A" w14:textId="77777777" w:rsidR="00316453" w:rsidRPr="0030138D" w:rsidRDefault="00316453" w:rsidP="00747170">
      <w:pPr>
        <w:pStyle w:val="afffff5"/>
        <w:rPr>
          <w:rtl/>
        </w:rPr>
      </w:pPr>
      <w:r w:rsidRPr="0030138D">
        <w:rPr>
          <w:rtl/>
        </w:rPr>
        <w:t>תו קשה לי למה לא יהא הרוקק קרוי אך מתעסק לגבי הפיזור שהרוח מפזרו</w:t>
      </w:r>
      <w:r w:rsidRPr="0030138D">
        <w:rPr>
          <w:rFonts w:hint="cs"/>
          <w:rtl/>
        </w:rPr>
        <w:t xml:space="preserve">, </w:t>
      </w:r>
      <w:r w:rsidRPr="0030138D">
        <w:rPr>
          <w:rtl/>
        </w:rPr>
        <w:t>ומכ"ש למה דקיי"ל כר"ש דדבר שאין מתכוין מותר אטו נימא דהוי פס"ר</w:t>
      </w:r>
      <w:r w:rsidRPr="0030138D">
        <w:rPr>
          <w:rFonts w:hint="cs"/>
          <w:rtl/>
        </w:rPr>
        <w:t>.</w:t>
      </w:r>
    </w:p>
    <w:p w14:paraId="79D56522" w14:textId="3B2C633F" w:rsidR="00316453" w:rsidRDefault="00316453" w:rsidP="00316453">
      <w:pPr>
        <w:pStyle w:val="afffff7"/>
        <w:rPr>
          <w:rtl/>
        </w:rPr>
      </w:pPr>
      <w:bookmarkStart w:id="1983" w:name="_Toc136620452"/>
      <w:bookmarkStart w:id="1984" w:name="_Toc163505731"/>
      <w:r>
        <w:rPr>
          <w:rtl/>
        </w:rPr>
        <w:t xml:space="preserve">שו"ת רבי עקיבא איגר </w:t>
      </w:r>
      <w:r>
        <w:rPr>
          <w:rFonts w:hint="cs"/>
          <w:rtl/>
        </w:rPr>
        <w:t>מהדו</w:t>
      </w:r>
      <w:r>
        <w:rPr>
          <w:rtl/>
        </w:rPr>
        <w:t>"</w:t>
      </w:r>
      <w:r>
        <w:rPr>
          <w:rFonts w:hint="cs"/>
          <w:rtl/>
        </w:rPr>
        <w:t>ק ח</w:t>
      </w:r>
      <w:r>
        <w:rPr>
          <w:rtl/>
        </w:rPr>
        <w:t>"</w:t>
      </w:r>
      <w:r>
        <w:rPr>
          <w:rFonts w:hint="cs"/>
          <w:rtl/>
        </w:rPr>
        <w:t>א סי</w:t>
      </w:r>
      <w:r>
        <w:rPr>
          <w:rtl/>
        </w:rPr>
        <w:t>'</w:t>
      </w:r>
      <w:r>
        <w:rPr>
          <w:rFonts w:hint="cs"/>
          <w:rtl/>
        </w:rPr>
        <w:t xml:space="preserve"> כ</w:t>
      </w:r>
      <w:r>
        <w:rPr>
          <w:rtl/>
        </w:rPr>
        <w:t>'</w:t>
      </w:r>
      <w:r>
        <w:rPr>
          <w:rFonts w:hint="cs"/>
          <w:rtl/>
        </w:rPr>
        <w:t xml:space="preserve"> ד"ה נלענ"ד</w:t>
      </w:r>
      <w:bookmarkEnd w:id="1983"/>
      <w:bookmarkEnd w:id="1984"/>
    </w:p>
    <w:p w14:paraId="0A95B121" w14:textId="77777777" w:rsidR="00316453" w:rsidRDefault="00316453" w:rsidP="00316453">
      <w:pPr>
        <w:pStyle w:val="a7"/>
        <w:rPr>
          <w:rtl/>
        </w:rPr>
      </w:pPr>
      <w:bookmarkStart w:id="1985" w:name="_Toc136618683"/>
      <w:r>
        <w:rPr>
          <w:rFonts w:hint="cs"/>
          <w:rtl/>
        </w:rPr>
        <w:t>בי' הגרעק"א דירו' זורה אף שלא בגידו"ק או דאדם גידו"ק כרמב"ם והרמ"א כ' לחשוש לרמב"ם</w:t>
      </w:r>
      <w:bookmarkEnd w:id="1985"/>
    </w:p>
    <w:p w14:paraId="2BB9087F" w14:textId="40EDEDB4" w:rsidR="00316453" w:rsidRPr="00C60609" w:rsidRDefault="00316453" w:rsidP="00BC7DC8">
      <w:pPr>
        <w:pStyle w:val="a3"/>
        <w:rPr>
          <w:rtl/>
        </w:rPr>
      </w:pPr>
      <w:bookmarkStart w:id="1986" w:name="_Ref136341567"/>
      <w:r>
        <w:rPr>
          <w:rFonts w:hint="cs"/>
          <w:rtl/>
        </w:rPr>
        <w:t xml:space="preserve">ובדעת הירושלמי דס"ל דרוקק חשיב זורה, ביאר </w:t>
      </w:r>
      <w:r w:rsidRPr="00527BD6">
        <w:rPr>
          <w:rStyle w:val="aff4"/>
          <w:rFonts w:hint="cs"/>
          <w:vanish/>
          <w:rtl/>
        </w:rPr>
        <w:t>-</w:t>
      </w:r>
      <w:r w:rsidRPr="00DE28D5">
        <w:rPr>
          <w:rStyle w:val="aff4"/>
          <w:rFonts w:hint="cs"/>
          <w:rtl/>
        </w:rPr>
        <w:t>ה</w:t>
      </w:r>
      <w:r w:rsidRPr="00527BD6">
        <w:rPr>
          <w:rStyle w:val="aff4"/>
          <w:rFonts w:hint="cs"/>
          <w:vanish/>
          <w:rtl/>
        </w:rPr>
        <w:t xml:space="preserve">&lt;. </w:t>
      </w:r>
      <w:r w:rsidRPr="00527BD6">
        <w:rPr>
          <w:rStyle w:val="aff4"/>
          <w:vanish/>
          <w:rtl/>
        </w:rPr>
        <w:fldChar w:fldCharType="begin"/>
      </w:r>
      <w:r w:rsidRPr="00527BD6">
        <w:rPr>
          <w:rStyle w:val="aff4"/>
          <w:vanish/>
          <w:rtl/>
        </w:rPr>
        <w:instrText xml:space="preserve"> </w:instrText>
      </w:r>
      <w:r w:rsidRPr="00527BD6">
        <w:rPr>
          <w:rStyle w:val="aff4"/>
          <w:rFonts w:hint="cs"/>
          <w:vanish/>
        </w:rPr>
        <w:instrText>REF</w:instrText>
      </w:r>
      <w:r w:rsidRPr="00527BD6">
        <w:rPr>
          <w:rStyle w:val="aff4"/>
          <w:rFonts w:hint="cs"/>
          <w:vanish/>
          <w:rtl/>
        </w:rPr>
        <w:instrText xml:space="preserve"> _</w:instrText>
      </w:r>
      <w:r w:rsidRPr="00527BD6">
        <w:rPr>
          <w:rStyle w:val="aff4"/>
          <w:rFonts w:hint="cs"/>
          <w:vanish/>
        </w:rPr>
        <w:instrText>Ref136341567 \r \h</w:instrText>
      </w:r>
      <w:r w:rsidRPr="00527BD6">
        <w:rPr>
          <w:rStyle w:val="aff4"/>
          <w:vanish/>
          <w:rtl/>
        </w:rPr>
        <w:instrText xml:space="preserve"> </w:instrText>
      </w:r>
      <w:r w:rsidRPr="00527BD6">
        <w:rPr>
          <w:rStyle w:val="aff4"/>
          <w:vanish/>
          <w:rtl/>
        </w:rPr>
      </w:r>
      <w:r w:rsidRPr="00527BD6">
        <w:rPr>
          <w:rStyle w:val="aff4"/>
          <w:vanish/>
          <w:rtl/>
        </w:rPr>
        <w:fldChar w:fldCharType="separate"/>
      </w:r>
      <w:r w:rsidR="00D82181">
        <w:rPr>
          <w:rStyle w:val="aff4"/>
          <w:vanish/>
          <w:cs/>
        </w:rPr>
        <w:t>‎</w:t>
      </w:r>
      <w:r w:rsidR="00D82181">
        <w:rPr>
          <w:rStyle w:val="aff4"/>
          <w:vanish/>
          <w:rtl/>
        </w:rPr>
        <w:t>כח)</w:t>
      </w:r>
      <w:r w:rsidRPr="00527BD6">
        <w:rPr>
          <w:rStyle w:val="aff4"/>
          <w:vanish/>
          <w:rtl/>
        </w:rPr>
        <w:fldChar w:fldCharType="end"/>
      </w:r>
      <w:r w:rsidRPr="00527BD6">
        <w:rPr>
          <w:rStyle w:val="aff4"/>
          <w:rFonts w:hint="cs"/>
          <w:vanish/>
          <w:rtl/>
        </w:rPr>
        <w:t xml:space="preserve"> &gt;</w:t>
      </w:r>
      <w:r w:rsidRPr="00DE28D5">
        <w:rPr>
          <w:rStyle w:val="aff4"/>
          <w:rFonts w:hint="cs"/>
          <w:rtl/>
        </w:rPr>
        <w:t>גרעק"א בתשו'</w:t>
      </w:r>
      <w:r w:rsidRPr="00527BD6">
        <w:rPr>
          <w:rStyle w:val="aff4"/>
          <w:rFonts w:hint="cs"/>
          <w:vanish/>
          <w:rtl/>
        </w:rPr>
        <w:t>-</w:t>
      </w:r>
      <w:r>
        <w:rPr>
          <w:rFonts w:hint="cs"/>
          <w:rtl/>
        </w:rPr>
        <w:t xml:space="preserve"> </w:t>
      </w:r>
      <w:r w:rsidRPr="00D4778B">
        <w:rPr>
          <w:rStyle w:val="af2"/>
          <w:rFonts w:eastAsia="Guttman Hodes" w:hint="cs"/>
          <w:rtl/>
        </w:rPr>
        <w:t>(מהדו"ק ח"א סי' כ' ד"ה עוד נלענ"ד)</w:t>
      </w:r>
      <w:r w:rsidRPr="00527BD6">
        <w:rPr>
          <w:rFonts w:hint="cs"/>
          <w:vanish/>
          <w:rtl/>
        </w:rPr>
        <w:t>=</w:t>
      </w:r>
      <w:r>
        <w:rPr>
          <w:rFonts w:hint="cs"/>
          <w:rtl/>
        </w:rPr>
        <w:t xml:space="preserve"> דלדעת הירושלמי יש דישה שלא בגידולי קרקע וה"ה בזורה, או דס"ל דאדם ובהמה חשיבי כגידולי קרקע, כדעת </w:t>
      </w:r>
      <w:r w:rsidRPr="00527BD6">
        <w:rPr>
          <w:rStyle w:val="aff4"/>
          <w:rFonts w:hint="cs"/>
          <w:vanish/>
          <w:rtl/>
        </w:rPr>
        <w:t>-</w:t>
      </w:r>
      <w:r w:rsidRPr="00DE28D5">
        <w:rPr>
          <w:rStyle w:val="aff4"/>
          <w:rFonts w:hint="cs"/>
          <w:rtl/>
        </w:rPr>
        <w:t>הרמב"ם</w:t>
      </w:r>
      <w:r w:rsidRPr="00527BD6">
        <w:rPr>
          <w:rStyle w:val="aff4"/>
          <w:rFonts w:hint="cs"/>
          <w:vanish/>
          <w:rtl/>
        </w:rPr>
        <w:t>-</w:t>
      </w:r>
      <w:r>
        <w:rPr>
          <w:rFonts w:hint="cs"/>
          <w:rtl/>
        </w:rPr>
        <w:t xml:space="preserve"> </w:t>
      </w:r>
      <w:r w:rsidRPr="00D4778B">
        <w:rPr>
          <w:rStyle w:val="af2"/>
          <w:rFonts w:eastAsia="Guttman Hodes" w:hint="cs"/>
          <w:rtl/>
        </w:rPr>
        <w:t>(שבת פ"ח ה"ז)</w:t>
      </w:r>
      <w:r>
        <w:rPr>
          <w:rFonts w:hint="cs"/>
          <w:rtl/>
        </w:rPr>
        <w:t xml:space="preserve">, אבל לדידן דחיוב דש הוא רק בגידולי קרקע ממש, א"כ ה"ה בזורה דאין בו חיוב ברוק ומים ולפי"ז כתב </w:t>
      </w:r>
      <w:r w:rsidRPr="00527BD6">
        <w:rPr>
          <w:rStyle w:val="aff4"/>
          <w:rFonts w:hint="cs"/>
          <w:vanish/>
          <w:rtl/>
        </w:rPr>
        <w:t>-</w:t>
      </w:r>
      <w:r w:rsidRPr="00DE28D5">
        <w:rPr>
          <w:rStyle w:val="aff4"/>
          <w:rFonts w:hint="cs"/>
          <w:rtl/>
        </w:rPr>
        <w:t>הגרעק"א</w:t>
      </w:r>
      <w:r w:rsidRPr="00527BD6">
        <w:rPr>
          <w:rStyle w:val="aff4"/>
          <w:rFonts w:hint="cs"/>
          <w:vanish/>
          <w:rtl/>
        </w:rPr>
        <w:t>-</w:t>
      </w:r>
      <w:r>
        <w:rPr>
          <w:rFonts w:hint="cs"/>
          <w:rtl/>
        </w:rPr>
        <w:t xml:space="preserve"> דהא </w:t>
      </w:r>
      <w:r w:rsidRPr="00527BD6">
        <w:rPr>
          <w:rStyle w:val="aff4"/>
          <w:rFonts w:hint="cs"/>
          <w:vanish/>
          <w:rtl/>
        </w:rPr>
        <w:t>-</w:t>
      </w:r>
      <w:r w:rsidRPr="00DE28D5">
        <w:rPr>
          <w:rStyle w:val="aff4"/>
          <w:rFonts w:hint="cs"/>
          <w:rtl/>
        </w:rPr>
        <w:t>דהרמ"א</w:t>
      </w:r>
      <w:r w:rsidRPr="00527BD6">
        <w:rPr>
          <w:rStyle w:val="aff4"/>
          <w:rFonts w:hint="cs"/>
          <w:vanish/>
          <w:rtl/>
        </w:rPr>
        <w:t>-</w:t>
      </w:r>
      <w:r>
        <w:rPr>
          <w:rFonts w:hint="cs"/>
          <w:rtl/>
        </w:rPr>
        <w:t xml:space="preserve"> </w:t>
      </w:r>
      <w:r w:rsidRPr="00D4778B">
        <w:rPr>
          <w:rStyle w:val="af2"/>
          <w:rFonts w:eastAsia="Guttman Hodes" w:hint="cs"/>
          <w:rtl/>
        </w:rPr>
        <w:t xml:space="preserve">(עי' אות </w:t>
      </w:r>
      <w:r w:rsidRPr="00D4778B">
        <w:rPr>
          <w:rStyle w:val="af2"/>
          <w:rFonts w:eastAsia="Guttman Hodes"/>
          <w:rtl/>
        </w:rPr>
        <w:fldChar w:fldCharType="begin"/>
      </w:r>
      <w:r w:rsidRPr="00D4778B">
        <w:rPr>
          <w:rStyle w:val="af2"/>
          <w:rFonts w:eastAsia="Guttman Hodes"/>
          <w:rtl/>
        </w:rPr>
        <w:instrText xml:space="preserve"> </w:instrText>
      </w:r>
      <w:r w:rsidRPr="00D4778B">
        <w:rPr>
          <w:rStyle w:val="af2"/>
          <w:rFonts w:eastAsia="Guttman Hodes" w:hint="cs"/>
        </w:rPr>
        <w:instrText>REF</w:instrText>
      </w:r>
      <w:r w:rsidRPr="00D4778B">
        <w:rPr>
          <w:rStyle w:val="af2"/>
          <w:rFonts w:eastAsia="Guttman Hodes" w:hint="cs"/>
          <w:rtl/>
        </w:rPr>
        <w:instrText xml:space="preserve"> _</w:instrText>
      </w:r>
      <w:r w:rsidRPr="00D4778B">
        <w:rPr>
          <w:rStyle w:val="af2"/>
          <w:rFonts w:eastAsia="Guttman Hodes" w:hint="cs"/>
        </w:rPr>
        <w:instrText>Ref136338786 \r \h</w:instrText>
      </w:r>
      <w:r w:rsidRPr="00D4778B">
        <w:rPr>
          <w:rStyle w:val="af2"/>
          <w:rFonts w:eastAsia="Guttman Hodes"/>
          <w:rtl/>
        </w:rPr>
        <w:instrText xml:space="preserve"> </w:instrText>
      </w:r>
      <w:r w:rsidRPr="00D4778B">
        <w:rPr>
          <w:rStyle w:val="af2"/>
          <w:rFonts w:eastAsia="Guttman Hodes"/>
          <w:rtl/>
        </w:rPr>
      </w:r>
      <w:r w:rsidRPr="00D4778B">
        <w:rPr>
          <w:rStyle w:val="af2"/>
          <w:rFonts w:eastAsia="Guttman Hodes"/>
          <w:rtl/>
        </w:rPr>
        <w:fldChar w:fldCharType="separate"/>
      </w:r>
      <w:r w:rsidR="00D82181">
        <w:rPr>
          <w:rStyle w:val="af2"/>
          <w:rFonts w:eastAsia="Guttman Hodes"/>
          <w:cs/>
        </w:rPr>
        <w:t>‎</w:t>
      </w:r>
      <w:r w:rsidR="00D82181">
        <w:rPr>
          <w:rStyle w:val="af2"/>
          <w:rFonts w:eastAsia="Guttman Hodes"/>
          <w:rtl/>
        </w:rPr>
        <w:t>כג)</w:t>
      </w:r>
      <w:r w:rsidRPr="00D4778B">
        <w:rPr>
          <w:rStyle w:val="af2"/>
          <w:rFonts w:eastAsia="Guttman Hodes"/>
          <w:rtl/>
        </w:rPr>
        <w:fldChar w:fldCharType="end"/>
      </w:r>
      <w:r>
        <w:rPr>
          <w:rFonts w:hint="cs"/>
          <w:rtl/>
        </w:rPr>
        <w:t xml:space="preserve"> פסק כהירושלמי אפש"ל דהיינו דוקא ברוק דחשש לדעת </w:t>
      </w:r>
      <w:r w:rsidRPr="00527BD6">
        <w:rPr>
          <w:rStyle w:val="aff4"/>
          <w:rFonts w:hint="cs"/>
          <w:vanish/>
          <w:rtl/>
        </w:rPr>
        <w:t>-</w:t>
      </w:r>
      <w:r w:rsidRPr="00DE28D5">
        <w:rPr>
          <w:rStyle w:val="aff4"/>
          <w:rFonts w:hint="cs"/>
          <w:rtl/>
        </w:rPr>
        <w:t>הרמב"ם</w:t>
      </w:r>
      <w:r w:rsidRPr="00527BD6">
        <w:rPr>
          <w:rStyle w:val="aff4"/>
          <w:rFonts w:hint="cs"/>
          <w:vanish/>
          <w:rtl/>
        </w:rPr>
        <w:t>-</w:t>
      </w:r>
      <w:r>
        <w:rPr>
          <w:rFonts w:hint="cs"/>
          <w:rtl/>
        </w:rPr>
        <w:t xml:space="preserve"> דאדם חשיב גידולי קרקע, אבל לדידן אף ברוק מותר וכ"ש במים, ולכן לא הביא </w:t>
      </w:r>
      <w:r w:rsidRPr="00527BD6">
        <w:rPr>
          <w:rStyle w:val="aff4"/>
          <w:rFonts w:hint="cs"/>
          <w:vanish/>
          <w:rtl/>
        </w:rPr>
        <w:t>-</w:t>
      </w:r>
      <w:r w:rsidRPr="00DE28D5">
        <w:rPr>
          <w:rStyle w:val="aff4"/>
          <w:rFonts w:hint="cs"/>
          <w:rtl/>
        </w:rPr>
        <w:t>הרמ"א</w:t>
      </w:r>
      <w:r w:rsidRPr="00527BD6">
        <w:rPr>
          <w:rStyle w:val="aff4"/>
          <w:rFonts w:hint="cs"/>
          <w:vanish/>
          <w:rtl/>
        </w:rPr>
        <w:t>-</w:t>
      </w:r>
      <w:r>
        <w:rPr>
          <w:rFonts w:hint="cs"/>
          <w:rtl/>
        </w:rPr>
        <w:t xml:space="preserve"> את המשך דברי הירושלמי דה"ה בכל דבר שזורה לרוח, כיון דלדידן רק בגידולי קרקע יש לאסור.</w:t>
      </w:r>
      <w:bookmarkEnd w:id="1986"/>
    </w:p>
    <w:p w14:paraId="7487AAE1" w14:textId="77777777" w:rsidR="00316453" w:rsidRPr="00747170" w:rsidRDefault="00316453" w:rsidP="00747170">
      <w:pPr>
        <w:pStyle w:val="a2"/>
        <w:rPr>
          <w:rtl/>
        </w:rPr>
      </w:pPr>
      <w:r w:rsidRPr="00747170">
        <w:rPr>
          <w:rtl/>
        </w:rPr>
        <w:t xml:space="preserve">עוד נלענ"ד אף לדעת הרמ"א הנ"ל יש לצדד להתיר בנ"ד, והיינו דמצינו בפרק כלל גדול (דף ע"ה) פלוגתא ר"י ורבנן בצד חלזון ופצעו, דרבנן ס"ל אין דישה אלא בגד"ק, והכי קיי"ל, וכן מצינו שם (דף ע"ג) גבי כניף מלחא ממלחתא פליגי אביי ורבה, וס"ל לאביי דאין מעמר אלא בגד"ק, והכי קיי"ל, ועיין מג"א (סי' ש"מ סקט"ו) הוכיח דהגרסא רבה ולא רבא כיון דרבא ס"ל להדיא דאין דישה אלא בגד"ק ה"נ ממילא אין עימור אלא בגד"ק דמה"ת נחלק בין עימור לדישה דכולהו ילפינן ממשכן, ונוסף על זה מצינו בתה"ד (סי' נ"ו) כ' לדמות דה"נ אין טחינה אלא בגד"ק, אלא דכתב ראיה לרבא דס"ל יש עימור שלא בגד"ק, מ"מ י"ל בטחינה מודה כיון דבאוכלין בלא"ה ל"ש טחינה כ"כ עיין שם, ולפ"ז י"ל ה"נ אין זורה אלא בגד"ק דמה"ת לחלק בזה. </w:t>
      </w:r>
    </w:p>
    <w:p w14:paraId="13B3632A" w14:textId="77777777" w:rsidR="00316453" w:rsidRPr="0030138D" w:rsidRDefault="00316453" w:rsidP="00747170">
      <w:pPr>
        <w:pStyle w:val="afffff5"/>
        <w:rPr>
          <w:rtl/>
        </w:rPr>
      </w:pPr>
      <w:r w:rsidRPr="0030138D">
        <w:rPr>
          <w:rtl/>
        </w:rPr>
        <w:t xml:space="preserve">והא דמחייב הירושלמי ברוקק והפריחתו הרוח צ"ל או דקאי לר"י דיש דישה שלא בגד"ק וה"נ זורה, או דמוכח כשיטת הרמב"ם דאדם ובהמה הוי גד"ק כמו דחשבינן להו גד"ק לענין מעשר כיון דנזונין מן הקרקע, והחובל באדם ובהמה חייב משום מפרק שהוא תולדה דדש, ה"נ הרוק שבא מהאדם הוי גד"ק וחייב משום זורה. </w:t>
      </w:r>
    </w:p>
    <w:p w14:paraId="63F00B9C" w14:textId="77777777" w:rsidR="00316453" w:rsidRPr="0030138D" w:rsidRDefault="00316453" w:rsidP="00747170">
      <w:pPr>
        <w:pStyle w:val="afffff5"/>
        <w:rPr>
          <w:rtl/>
        </w:rPr>
      </w:pPr>
      <w:r w:rsidRPr="0030138D">
        <w:rPr>
          <w:rtl/>
        </w:rPr>
        <w:t xml:space="preserve">ולפ"ז יקשה לכאורה על פסקי הרמ"א דפסק כהירושלמי, הא הלכה דאין דישה אלא בגד"ק וגם פסקינן כתוס' דאדם ובהמה לא הוי גד"ק (כדאי' סי' שכ"א) דמותר לחתוך בשר דק דק והיינו כדברי תה"ד דאין טחינה אלא בגד"ק א"כ גם ברוקק נימא דאין זורה אלא בגד"ק והרוק הבא מאדם לא הוי גד"ק, אבל באמת לא קשה מידי די"ל דהרמ"א חושש לדעת הרמב"ם דאדם ובהמה הוי גד"ק ומה דמותר לחתוך בשר דק דק היינו בצירוף אינך שיטות דבאוכלים ל"ש טחינה היכא דיכול לאכלו בלא"ה כמ"ש התה"ד להקל בצירוף סברא זו, ואוסר מה"ט לחתוך בשר חי דק דק לפני עופות כיון דלא חזי למיכל כך י"ל דהוי טוחן. </w:t>
      </w:r>
    </w:p>
    <w:p w14:paraId="0AFA5936" w14:textId="77777777" w:rsidR="00316453" w:rsidRPr="0030138D" w:rsidRDefault="00316453" w:rsidP="00747170">
      <w:pPr>
        <w:pStyle w:val="afffff5"/>
        <w:rPr>
          <w:rtl/>
        </w:rPr>
      </w:pPr>
      <w:r w:rsidRPr="0030138D">
        <w:rPr>
          <w:rtl/>
        </w:rPr>
        <w:t xml:space="preserve">ובזה יש ליישב מה דהשמיט הרמ"א סוף לשון הירושלמי וכל דבר שהוא מחוסר לרוח חייב משום זורה, והיינו דבלשון זה נכלל כל דבר אף מה שאינו גד"ק דהירושלמי קאי לר"י דיש דישה שלא בגד"ק וה"נ זורה אבל לדידן דקיי"ל אין דישה אלא בגד"ק ה"נ בזורה, ואין איסור אלא ברוקק לחוש לשיטת הרמב"ם דאדם הוי גדולי קרקע. </w:t>
      </w:r>
    </w:p>
    <w:p w14:paraId="413D118F" w14:textId="77777777" w:rsidR="00316453" w:rsidRPr="0030138D" w:rsidRDefault="00316453" w:rsidP="00747170">
      <w:pPr>
        <w:pStyle w:val="afffff5"/>
        <w:rPr>
          <w:rtl/>
        </w:rPr>
      </w:pPr>
      <w:r w:rsidRPr="0030138D">
        <w:rPr>
          <w:rtl/>
        </w:rPr>
        <w:t xml:space="preserve">אמנם נ"ל דאף בדבר שאינו גד"ק אף דאינו חייב משום טוחן, מ"מ איסור דרבנן הוא דמחזי כטוחן, וכמו במעמר דפסקינן (סי' ש"מ) דאסור לקבץ מלח ממשרפות דדמי למעמר ה"נ י"ל בטחינה דדמי לטוחן וראיה לזה ממ"ש הרמ"א /או"ח/ (סי' שכ"א ס"ח) ודוקא מלח הגס, אבל מלח הדק ונתבשל ונעשה פתיתין מותר לחתכו כמו דחותך הפת, הרי דהתיר רק מטעם אין טחינה אחר טחינה כמו דשרי פת מה"ט, והא מלח לא הוי גד"ק כדאמרינן בהדיא גבי מעמר. </w:t>
      </w:r>
    </w:p>
    <w:p w14:paraId="5ED7637A" w14:textId="77777777" w:rsidR="00316453" w:rsidRPr="0030138D" w:rsidRDefault="00316453" w:rsidP="00747170">
      <w:pPr>
        <w:pStyle w:val="afffff5"/>
        <w:rPr>
          <w:rtl/>
        </w:rPr>
      </w:pPr>
      <w:r w:rsidRPr="0030138D">
        <w:rPr>
          <w:rtl/>
        </w:rPr>
        <w:t xml:space="preserve">ומה דאסור לטחון מלח בפ"ק דביצה צ"ל דהיינו במלח הגס שהוא כמו עפר דהוי גד"ק לענין שבת כדאיתא בפרק כלל גדול (דף ע"ד) האי מאן דעביד חביתא ופירש"י דטוחן הרגבים מקרי טוחן, אבל בההיא דהרמ"א במלח דק מתחילה הא לא הוי גד"ק ולמאי צריך להיתרא דאין טחינה אחר טחינה, אע"כ דמ"מ מדרבנן אסור משום טוחן אף דלא הוי גד"ק, ומה דמותר לחתוך בשר מבושל דק דק, היינו בצירוף הסברה דאין טחינה באוכל וכנ"ל, ואם כן לכאורה בכל דבר יש לאסור משום דדמי לזורה. </w:t>
      </w:r>
    </w:p>
    <w:p w14:paraId="081038EF" w14:textId="77777777" w:rsidR="00316453" w:rsidRPr="0030138D" w:rsidRDefault="00316453" w:rsidP="00747170">
      <w:pPr>
        <w:pStyle w:val="afffff5"/>
        <w:rPr>
          <w:rtl/>
        </w:rPr>
      </w:pPr>
      <w:r w:rsidRPr="0030138D">
        <w:rPr>
          <w:rtl/>
        </w:rPr>
        <w:t xml:space="preserve">אולם מ"מ מדהשמיט הרמ"א סוף דברי הירושלמי הנ"ל, י"ל דדוקא ברוקק דיש בו חשש דאורייתא דלהרמב"ם הוי גד"ק בזה חשש הרמ"א להירושלמי, אבל בשארי דברים שאינם גד"ק כיון דעכ"פ לא הוי דאורייתא דאין זורה אלא בג"ק ואינו אסור רק משום דמחזי כזורה בזה סמך הרמ"א על השמטת הפוסקים דברי הירושלמי דנראה דדחאו אותו מהלכה. </w:t>
      </w:r>
    </w:p>
    <w:p w14:paraId="7164D4BB" w14:textId="77777777" w:rsidR="00316453" w:rsidRPr="0030138D" w:rsidRDefault="00316453" w:rsidP="00747170">
      <w:pPr>
        <w:pStyle w:val="afffff5"/>
        <w:rPr>
          <w:rtl/>
        </w:rPr>
      </w:pPr>
      <w:r w:rsidRPr="0030138D">
        <w:rPr>
          <w:rtl/>
        </w:rPr>
        <w:t xml:space="preserve">א"כ בנ"ד במים דלא הוי גד"ק יש להתיר, אף דמ"מ יש לדחות קצת די"ל דוקא במלח אסור מדרבנן משום דדמי לגד"ק דלקוחה מהקרקע בזה אסור דמחזי כמעמר, ומש"ה צריכין בטחינה טעמא דאין טחינה אחר טחינה, אבל בעלמא אפילו איסור דרבנן ליכא, וא"כ י"ל מש"ה השמיט הרמ"א סוף דברי הירושלמי משום דבדבר שאינו גד"ק כלל לית ביה משום זורה אפילו מדרבנן, וא"כ בנ"ד במים דמאספו ונוטלו מהקרקע י"ל דדמי לגד"ק ומדרבנן אסור דמחזי כגדולי קרקע כמו מלח שבא ממשרפות מים דדמי למעמר, מ"מ י"ל כיון דעכ"פ לית כאן חשש דאורייתא יש לסמוך להקל על השמטת הפוסקי' לדברי הירושלמי דנראה דדחאו זה מהלכה. </w:t>
      </w:r>
    </w:p>
    <w:p w14:paraId="4441F4B5" w14:textId="77777777" w:rsidR="00316453" w:rsidRPr="0030138D" w:rsidRDefault="00316453" w:rsidP="00747170">
      <w:pPr>
        <w:pStyle w:val="afffff5"/>
        <w:rPr>
          <w:rtl/>
        </w:rPr>
      </w:pPr>
      <w:r w:rsidRPr="0030138D">
        <w:rPr>
          <w:rtl/>
        </w:rPr>
        <w:t xml:space="preserve">והדרן לקמייתא דהא דהעתיק הרמ"א להירושלמי היינו רק ברוקק דיש בזה חשש דאורייתא להרמב"ם דאדם הוי גד"ק, ואף דהרמ"א כתב דחייב חטאת היינו שהעתיק לישנא דהירושלמי וחושש בזה לדינא לאיסור, אבל במים בנ"ד דודאי לא הוי גד"ק י"ל דאין בו משום זורה. </w:t>
      </w:r>
    </w:p>
    <w:p w14:paraId="31559773" w14:textId="77777777" w:rsidR="00316453" w:rsidRDefault="00316453" w:rsidP="00316453">
      <w:pPr>
        <w:pStyle w:val="a7"/>
        <w:rPr>
          <w:rtl/>
        </w:rPr>
      </w:pPr>
    </w:p>
    <w:p w14:paraId="3B9FEC7F" w14:textId="77777777" w:rsidR="00316453" w:rsidRPr="007224AB" w:rsidRDefault="00316453" w:rsidP="00316453">
      <w:pPr>
        <w:pStyle w:val="a7"/>
        <w:rPr>
          <w:rtl/>
        </w:rPr>
      </w:pPr>
    </w:p>
    <w:p w14:paraId="01409630" w14:textId="77777777" w:rsidR="00316453" w:rsidRDefault="00316453" w:rsidP="00316453">
      <w:pPr>
        <w:pStyle w:val="afffff7"/>
        <w:rPr>
          <w:rtl/>
        </w:rPr>
      </w:pPr>
      <w:bookmarkStart w:id="1987" w:name="_Toc136620453"/>
      <w:bookmarkStart w:id="1988" w:name="_Toc163505732"/>
      <w:r>
        <w:rPr>
          <w:rtl/>
        </w:rPr>
        <w:lastRenderedPageBreak/>
        <w:t xml:space="preserve">שו"ת רבי עקיבא איגר </w:t>
      </w:r>
      <w:r>
        <w:rPr>
          <w:rFonts w:hint="cs"/>
          <w:rtl/>
        </w:rPr>
        <w:t>מהדו"ק</w:t>
      </w:r>
      <w:r>
        <w:rPr>
          <w:rtl/>
        </w:rPr>
        <w:t xml:space="preserve"> סימן כ</w:t>
      </w:r>
      <w:r>
        <w:rPr>
          <w:rFonts w:hint="cs"/>
          <w:rtl/>
        </w:rPr>
        <w:t xml:space="preserve"> ד"ה </w:t>
      </w:r>
      <w:r w:rsidRPr="007158AF">
        <w:rPr>
          <w:rtl/>
        </w:rPr>
        <w:t>גם בנ"ד</w:t>
      </w:r>
      <w:bookmarkEnd w:id="1987"/>
      <w:bookmarkEnd w:id="1988"/>
    </w:p>
    <w:p w14:paraId="25CE5EF2" w14:textId="77777777" w:rsidR="00316453" w:rsidRDefault="00316453" w:rsidP="00316453">
      <w:pPr>
        <w:pStyle w:val="a7"/>
        <w:rPr>
          <w:rtl/>
        </w:rPr>
      </w:pPr>
      <w:bookmarkStart w:id="1989" w:name="_Toc136618684"/>
      <w:r>
        <w:rPr>
          <w:rFonts w:hint="cs"/>
          <w:rtl/>
        </w:rPr>
        <w:t>בי' הגרעק"א דבשופך מים הוא פס"ר דלא ניחא ליה בזרייה ורק לירו' דאו' אף דמלאכה שאצל"ג</w:t>
      </w:r>
      <w:bookmarkEnd w:id="1989"/>
    </w:p>
    <w:p w14:paraId="791D2388" w14:textId="23AEB672" w:rsidR="00316453" w:rsidRPr="00CF6BD5" w:rsidRDefault="00316453" w:rsidP="00BC7DC8">
      <w:pPr>
        <w:pStyle w:val="a3"/>
        <w:rPr>
          <w:rtl/>
        </w:rPr>
      </w:pPr>
      <w:bookmarkStart w:id="1990" w:name="_Ref136369539"/>
      <w:bookmarkStart w:id="1991" w:name="_Ref136594770"/>
      <w:r>
        <w:rPr>
          <w:rFonts w:hint="cs"/>
          <w:rtl/>
        </w:rPr>
        <w:t xml:space="preserve">וכתב </w:t>
      </w:r>
      <w:r w:rsidRPr="00527BD6">
        <w:rPr>
          <w:rStyle w:val="aff4"/>
          <w:rFonts w:hint="cs"/>
          <w:vanish/>
          <w:rtl/>
        </w:rPr>
        <w:t>-</w:t>
      </w:r>
      <w:r w:rsidRPr="00DE28D5">
        <w:rPr>
          <w:rStyle w:val="aff4"/>
          <w:rFonts w:hint="cs"/>
          <w:rtl/>
        </w:rPr>
        <w:t>ה</w:t>
      </w:r>
      <w:r w:rsidRPr="00527BD6">
        <w:rPr>
          <w:rStyle w:val="aff4"/>
          <w:rFonts w:hint="cs"/>
          <w:vanish/>
          <w:rtl/>
        </w:rPr>
        <w:t xml:space="preserve">&lt;. </w:t>
      </w:r>
      <w:r w:rsidRPr="00527BD6">
        <w:rPr>
          <w:rStyle w:val="aff4"/>
          <w:vanish/>
          <w:rtl/>
        </w:rPr>
        <w:fldChar w:fldCharType="begin"/>
      </w:r>
      <w:r w:rsidRPr="00527BD6">
        <w:rPr>
          <w:rStyle w:val="aff4"/>
          <w:vanish/>
          <w:rtl/>
        </w:rPr>
        <w:instrText xml:space="preserve"> </w:instrText>
      </w:r>
      <w:r w:rsidRPr="00527BD6">
        <w:rPr>
          <w:rStyle w:val="aff4"/>
          <w:rFonts w:hint="cs"/>
          <w:vanish/>
        </w:rPr>
        <w:instrText>REF</w:instrText>
      </w:r>
      <w:r w:rsidRPr="00527BD6">
        <w:rPr>
          <w:rStyle w:val="aff4"/>
          <w:rFonts w:hint="cs"/>
          <w:vanish/>
          <w:rtl/>
        </w:rPr>
        <w:instrText xml:space="preserve"> _</w:instrText>
      </w:r>
      <w:r w:rsidRPr="00527BD6">
        <w:rPr>
          <w:rStyle w:val="aff4"/>
          <w:rFonts w:hint="cs"/>
          <w:vanish/>
        </w:rPr>
        <w:instrText>Ref136369539 \r \h</w:instrText>
      </w:r>
      <w:r w:rsidRPr="00527BD6">
        <w:rPr>
          <w:rStyle w:val="aff4"/>
          <w:vanish/>
          <w:rtl/>
        </w:rPr>
        <w:instrText xml:space="preserve"> </w:instrText>
      </w:r>
      <w:r w:rsidRPr="00527BD6">
        <w:rPr>
          <w:rStyle w:val="aff4"/>
          <w:vanish/>
          <w:rtl/>
        </w:rPr>
      </w:r>
      <w:r w:rsidRPr="00527BD6">
        <w:rPr>
          <w:rStyle w:val="aff4"/>
          <w:vanish/>
          <w:rtl/>
        </w:rPr>
        <w:fldChar w:fldCharType="separate"/>
      </w:r>
      <w:r w:rsidR="00D82181">
        <w:rPr>
          <w:rStyle w:val="aff4"/>
          <w:vanish/>
          <w:cs/>
        </w:rPr>
        <w:t>‎</w:t>
      </w:r>
      <w:r w:rsidR="00D82181">
        <w:rPr>
          <w:rStyle w:val="aff4"/>
          <w:vanish/>
          <w:rtl/>
        </w:rPr>
        <w:t>כט)</w:t>
      </w:r>
      <w:r w:rsidRPr="00527BD6">
        <w:rPr>
          <w:rStyle w:val="aff4"/>
          <w:vanish/>
          <w:rtl/>
        </w:rPr>
        <w:fldChar w:fldCharType="end"/>
      </w:r>
      <w:r w:rsidRPr="00527BD6">
        <w:rPr>
          <w:rStyle w:val="aff4"/>
          <w:rFonts w:hint="cs"/>
          <w:vanish/>
          <w:rtl/>
        </w:rPr>
        <w:t xml:space="preserve"> &gt;</w:t>
      </w:r>
      <w:r w:rsidRPr="00DE28D5">
        <w:rPr>
          <w:rStyle w:val="aff4"/>
          <w:rFonts w:hint="cs"/>
          <w:rtl/>
        </w:rPr>
        <w:t>גרעק"א בתשו'</w:t>
      </w:r>
      <w:r w:rsidRPr="00527BD6">
        <w:rPr>
          <w:rStyle w:val="aff4"/>
          <w:rFonts w:hint="cs"/>
          <w:vanish/>
          <w:rtl/>
        </w:rPr>
        <w:t>-</w:t>
      </w:r>
      <w:r>
        <w:rPr>
          <w:rFonts w:hint="cs"/>
          <w:rtl/>
        </w:rPr>
        <w:t xml:space="preserve"> </w:t>
      </w:r>
      <w:r w:rsidRPr="00D4778B">
        <w:rPr>
          <w:rStyle w:val="af2"/>
          <w:rFonts w:eastAsia="Guttman Hodes" w:hint="cs"/>
          <w:rtl/>
        </w:rPr>
        <w:t xml:space="preserve">(מהדו"ק סו"ס כ' ד"ה </w:t>
      </w:r>
      <w:r w:rsidRPr="00D4778B">
        <w:rPr>
          <w:rStyle w:val="af2"/>
          <w:rFonts w:eastAsia="Guttman Hodes"/>
          <w:rtl/>
        </w:rPr>
        <w:t>גם בנ"ד</w:t>
      </w:r>
      <w:r w:rsidRPr="00D4778B">
        <w:rPr>
          <w:rStyle w:val="af2"/>
          <w:rFonts w:eastAsia="Guttman Hodes" w:hint="cs"/>
          <w:rtl/>
        </w:rPr>
        <w:t>)</w:t>
      </w:r>
      <w:r w:rsidRPr="00527BD6">
        <w:rPr>
          <w:rFonts w:hint="cs"/>
          <w:vanish/>
          <w:rtl/>
        </w:rPr>
        <w:t>=</w:t>
      </w:r>
      <w:r>
        <w:rPr>
          <w:rFonts w:hint="cs"/>
          <w:rtl/>
        </w:rPr>
        <w:t xml:space="preserve"> דכיון דמשמע </w:t>
      </w:r>
      <w:r w:rsidRPr="00527BD6">
        <w:rPr>
          <w:rStyle w:val="aff4"/>
          <w:rFonts w:hint="cs"/>
          <w:vanish/>
          <w:rtl/>
        </w:rPr>
        <w:t>-</w:t>
      </w:r>
      <w:r w:rsidRPr="00DE28D5">
        <w:rPr>
          <w:rStyle w:val="aff4"/>
          <w:rFonts w:hint="cs"/>
          <w:rtl/>
        </w:rPr>
        <w:t>בראשונים</w:t>
      </w:r>
      <w:r w:rsidRPr="00527BD6">
        <w:rPr>
          <w:rStyle w:val="aff4"/>
          <w:rFonts w:hint="cs"/>
          <w:vanish/>
          <w:rtl/>
        </w:rPr>
        <w:t>-</w:t>
      </w:r>
      <w:r>
        <w:rPr>
          <w:rFonts w:hint="cs"/>
          <w:rtl/>
        </w:rPr>
        <w:t xml:space="preserve"> </w:t>
      </w:r>
      <w:r w:rsidRPr="00496142">
        <w:rPr>
          <w:rStyle w:val="af2"/>
          <w:rFonts w:eastAsia="Guttman Hodes" w:hint="cs"/>
          <w:rtl/>
        </w:rPr>
        <w:t xml:space="preserve">(עי' אות </w:t>
      </w:r>
      <w:r w:rsidRPr="00496142">
        <w:rPr>
          <w:rStyle w:val="af2"/>
          <w:rFonts w:eastAsia="Guttman Hodes"/>
          <w:rtl/>
        </w:rPr>
        <w:fldChar w:fldCharType="begin"/>
      </w:r>
      <w:r w:rsidRPr="00496142">
        <w:rPr>
          <w:rStyle w:val="af2"/>
          <w:rFonts w:eastAsia="Guttman Hodes"/>
          <w:rtl/>
        </w:rPr>
        <w:instrText xml:space="preserve"> </w:instrText>
      </w:r>
      <w:r w:rsidRPr="00496142">
        <w:rPr>
          <w:rStyle w:val="af2"/>
          <w:rFonts w:eastAsia="Guttman Hodes" w:hint="cs"/>
        </w:rPr>
        <w:instrText>REF</w:instrText>
      </w:r>
      <w:r w:rsidRPr="00496142">
        <w:rPr>
          <w:rStyle w:val="af2"/>
          <w:rFonts w:eastAsia="Guttman Hodes" w:hint="cs"/>
          <w:rtl/>
        </w:rPr>
        <w:instrText xml:space="preserve"> _</w:instrText>
      </w:r>
      <w:r w:rsidRPr="00496142">
        <w:rPr>
          <w:rStyle w:val="af2"/>
          <w:rFonts w:eastAsia="Guttman Hodes" w:hint="cs"/>
        </w:rPr>
        <w:instrText>Ref136540136 \r \h</w:instrText>
      </w:r>
      <w:r w:rsidRPr="00496142">
        <w:rPr>
          <w:rStyle w:val="af2"/>
          <w:rFonts w:eastAsia="Guttman Hodes"/>
          <w:rtl/>
        </w:rPr>
        <w:instrText xml:space="preserve"> </w:instrText>
      </w:r>
      <w:r w:rsidRPr="00496142">
        <w:rPr>
          <w:rStyle w:val="af2"/>
          <w:rFonts w:eastAsia="Guttman Hodes"/>
          <w:rtl/>
        </w:rPr>
      </w:r>
      <w:r w:rsidRPr="00496142">
        <w:rPr>
          <w:rStyle w:val="af2"/>
          <w:rFonts w:eastAsia="Guttman Hodes"/>
          <w:rtl/>
        </w:rPr>
        <w:fldChar w:fldCharType="separate"/>
      </w:r>
      <w:r w:rsidR="00D82181">
        <w:rPr>
          <w:rStyle w:val="af2"/>
          <w:rFonts w:eastAsia="Guttman Hodes"/>
          <w:cs/>
        </w:rPr>
        <w:t>‎</w:t>
      </w:r>
      <w:r w:rsidR="00D82181">
        <w:rPr>
          <w:rStyle w:val="af2"/>
          <w:rFonts w:eastAsia="Guttman Hodes"/>
          <w:rtl/>
        </w:rPr>
        <w:t>כז)</w:t>
      </w:r>
      <w:r w:rsidRPr="00496142">
        <w:rPr>
          <w:rStyle w:val="af2"/>
          <w:rFonts w:eastAsia="Guttman Hodes"/>
          <w:rtl/>
        </w:rPr>
        <w:fldChar w:fldCharType="end"/>
      </w:r>
      <w:r>
        <w:rPr>
          <w:rFonts w:hint="cs"/>
          <w:rtl/>
        </w:rPr>
        <w:t xml:space="preserve"> דלא קיי"ל כירושלמי, א"כ בזורה מים לרוח באופן שאינו פסיק רישיה ודאי דמותר, ואף בפסיק רישיה יש להתיר לדעת </w:t>
      </w:r>
      <w:r w:rsidRPr="00527BD6">
        <w:rPr>
          <w:rStyle w:val="aff4"/>
          <w:rFonts w:hint="cs"/>
          <w:vanish/>
          <w:rtl/>
        </w:rPr>
        <w:t>-</w:t>
      </w:r>
      <w:r w:rsidRPr="00DE28D5">
        <w:rPr>
          <w:rStyle w:val="aff4"/>
          <w:rFonts w:hint="cs"/>
          <w:rtl/>
        </w:rPr>
        <w:t>הערוך</w:t>
      </w:r>
      <w:r w:rsidRPr="00527BD6">
        <w:rPr>
          <w:rStyle w:val="aff4"/>
          <w:rFonts w:hint="cs"/>
          <w:vanish/>
          <w:rtl/>
        </w:rPr>
        <w:t>-</w:t>
      </w:r>
      <w:r>
        <w:rPr>
          <w:rFonts w:hint="cs"/>
          <w:rtl/>
        </w:rPr>
        <w:t xml:space="preserve"> </w:t>
      </w:r>
      <w:r w:rsidRPr="00D4778B">
        <w:rPr>
          <w:rStyle w:val="af2"/>
          <w:rFonts w:eastAsia="Guttman Hodes" w:hint="cs"/>
          <w:rtl/>
        </w:rPr>
        <w:t>(ערך פסק, נד' לקמן קי"ז.)</w:t>
      </w:r>
      <w:r>
        <w:rPr>
          <w:rFonts w:hint="cs"/>
          <w:rtl/>
        </w:rPr>
        <w:t xml:space="preserve"> דמתיר בפסיק רישיה דלא ניחא ליה אף מדרבנן, דהא לא ניחא ליה במה שהרוח מחלקת את המים לטיפות, וכתב </w:t>
      </w:r>
      <w:r w:rsidRPr="00527BD6">
        <w:rPr>
          <w:rStyle w:val="aff4"/>
          <w:rFonts w:hint="cs"/>
          <w:vanish/>
          <w:rtl/>
        </w:rPr>
        <w:t>-</w:t>
      </w:r>
      <w:r w:rsidRPr="00DE28D5">
        <w:rPr>
          <w:rStyle w:val="aff4"/>
          <w:rFonts w:hint="cs"/>
          <w:rtl/>
        </w:rPr>
        <w:t>הגרעק"א</w:t>
      </w:r>
      <w:r w:rsidRPr="00527BD6">
        <w:rPr>
          <w:rStyle w:val="aff4"/>
          <w:rFonts w:hint="cs"/>
          <w:vanish/>
          <w:rtl/>
        </w:rPr>
        <w:t>-</w:t>
      </w:r>
      <w:r>
        <w:rPr>
          <w:rFonts w:hint="cs"/>
          <w:rtl/>
        </w:rPr>
        <w:t xml:space="preserve"> דאף לדעת </w:t>
      </w:r>
      <w:r w:rsidRPr="00527BD6">
        <w:rPr>
          <w:rStyle w:val="aff4"/>
          <w:rFonts w:hint="cs"/>
          <w:vanish/>
          <w:rtl/>
        </w:rPr>
        <w:t>-</w:t>
      </w:r>
      <w:r w:rsidRPr="00DE28D5">
        <w:rPr>
          <w:rStyle w:val="aff4"/>
          <w:rFonts w:hint="cs"/>
          <w:rtl/>
        </w:rPr>
        <w:t>התוס'</w:t>
      </w:r>
      <w:r>
        <w:rPr>
          <w:rStyle w:val="aff4"/>
          <w:rFonts w:hint="cs"/>
          <w:rtl/>
        </w:rPr>
        <w:t xml:space="preserve"> לקמן</w:t>
      </w:r>
      <w:r w:rsidRPr="00527BD6">
        <w:rPr>
          <w:rStyle w:val="aff4"/>
          <w:rFonts w:hint="cs"/>
          <w:vanish/>
          <w:rtl/>
        </w:rPr>
        <w:t>-</w:t>
      </w:r>
      <w:r>
        <w:rPr>
          <w:rFonts w:hint="cs"/>
          <w:rtl/>
        </w:rPr>
        <w:t xml:space="preserve"> </w:t>
      </w:r>
      <w:r w:rsidRPr="00D4778B">
        <w:rPr>
          <w:rStyle w:val="af2"/>
          <w:rFonts w:eastAsia="Guttman Hodes" w:hint="cs"/>
          <w:rtl/>
        </w:rPr>
        <w:t>(קג. ד"ה לא)</w:t>
      </w:r>
      <w:r>
        <w:rPr>
          <w:rFonts w:hint="cs"/>
          <w:rtl/>
        </w:rPr>
        <w:t xml:space="preserve"> דאוסרים בפסיק רישיה דלא נחא ליה, הכא יש להתיר כיון דהאיסור בזה הוא מדרבנן, ואפשר לסמוך על </w:t>
      </w:r>
      <w:r w:rsidRPr="00527BD6">
        <w:rPr>
          <w:rStyle w:val="aff4"/>
          <w:rFonts w:hint="cs"/>
          <w:vanish/>
          <w:rtl/>
        </w:rPr>
        <w:t>-</w:t>
      </w:r>
      <w:r w:rsidRPr="00DE28D5">
        <w:rPr>
          <w:rStyle w:val="aff4"/>
          <w:rFonts w:hint="cs"/>
          <w:rtl/>
        </w:rPr>
        <w:t>הפוסקים</w:t>
      </w:r>
      <w:r w:rsidRPr="00527BD6">
        <w:rPr>
          <w:rStyle w:val="aff4"/>
          <w:rFonts w:hint="cs"/>
          <w:vanish/>
          <w:rtl/>
        </w:rPr>
        <w:t>-</w:t>
      </w:r>
      <w:r>
        <w:rPr>
          <w:rFonts w:hint="cs"/>
          <w:rtl/>
        </w:rPr>
        <w:t xml:space="preserve"> </w:t>
      </w:r>
      <w:r w:rsidRPr="00D4778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Ref136512049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כז)</w:t>
      </w:r>
      <w:r>
        <w:rPr>
          <w:rStyle w:val="af2"/>
          <w:rFonts w:eastAsia="Guttman Hodes"/>
          <w:rtl/>
        </w:rPr>
        <w:fldChar w:fldCharType="end"/>
      </w:r>
      <w:r>
        <w:rPr>
          <w:rFonts w:hint="cs"/>
          <w:rtl/>
        </w:rPr>
        <w:t xml:space="preserve"> שהשמיטו דין זה, ואף לדעת </w:t>
      </w:r>
      <w:r w:rsidRPr="00527BD6">
        <w:rPr>
          <w:rStyle w:val="aff4"/>
          <w:rFonts w:hint="cs"/>
          <w:vanish/>
          <w:rtl/>
        </w:rPr>
        <w:t>-</w:t>
      </w:r>
      <w:r w:rsidRPr="00DE28D5">
        <w:rPr>
          <w:rStyle w:val="aff4"/>
          <w:rFonts w:hint="cs"/>
          <w:rtl/>
        </w:rPr>
        <w:t>הרמ"א</w:t>
      </w:r>
      <w:r w:rsidRPr="00527BD6">
        <w:rPr>
          <w:rStyle w:val="aff4"/>
          <w:rFonts w:hint="cs"/>
          <w:vanish/>
          <w:rtl/>
        </w:rPr>
        <w:t>-</w:t>
      </w:r>
      <w:r>
        <w:rPr>
          <w:rFonts w:hint="cs"/>
          <w:rtl/>
        </w:rPr>
        <w:t xml:space="preserve"> </w:t>
      </w:r>
      <w:r w:rsidRPr="00D4778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Ref136512059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כג)</w:t>
      </w:r>
      <w:r>
        <w:rPr>
          <w:rStyle w:val="af2"/>
          <w:rFonts w:eastAsia="Guttman Hodes"/>
          <w:rtl/>
        </w:rPr>
        <w:fldChar w:fldCharType="end"/>
      </w:r>
      <w:r>
        <w:rPr>
          <w:rFonts w:hint="cs"/>
          <w:rtl/>
        </w:rPr>
        <w:t xml:space="preserve"> שאוסר יש חילוק גדול בין רוקק לבין זורה מים, וכתב </w:t>
      </w:r>
      <w:r w:rsidRPr="00527BD6">
        <w:rPr>
          <w:rStyle w:val="aff4"/>
          <w:rFonts w:hint="cs"/>
          <w:vanish/>
          <w:rtl/>
        </w:rPr>
        <w:t>-</w:t>
      </w:r>
      <w:r w:rsidRPr="00DE28D5">
        <w:rPr>
          <w:rStyle w:val="aff4"/>
          <w:rFonts w:hint="cs"/>
          <w:rtl/>
        </w:rPr>
        <w:t>הגרעק"א</w:t>
      </w:r>
      <w:r w:rsidRPr="00527BD6">
        <w:rPr>
          <w:rStyle w:val="aff4"/>
          <w:rFonts w:hint="cs"/>
          <w:vanish/>
          <w:rtl/>
        </w:rPr>
        <w:t>-</w:t>
      </w:r>
      <w:r>
        <w:rPr>
          <w:rFonts w:hint="cs"/>
          <w:rtl/>
        </w:rPr>
        <w:t xml:space="preserve"> דהא דאיתא בירושלמי דחייב חטאת,</w:t>
      </w:r>
      <w:bookmarkEnd w:id="1990"/>
      <w:r>
        <w:rPr>
          <w:rFonts w:hint="cs"/>
          <w:rtl/>
        </w:rPr>
        <w:t xml:space="preserve"> הוא כדעת הירושלמי דמלאכה שא"צ לגופה, וכן פסיק רישיה דלא ניחא ליה הם מדאו', ולא קיי"ל כירושלמי בזה, ועי' במ"ש </w:t>
      </w:r>
      <w:r w:rsidRPr="00583D3E">
        <w:rPr>
          <w:rStyle w:val="aff4"/>
          <w:rFonts w:hint="cs"/>
          <w:vanish/>
          <w:rtl/>
        </w:rPr>
        <w:t>-</w:t>
      </w:r>
      <w:r w:rsidRPr="00583D3E">
        <w:rPr>
          <w:rStyle w:val="aff4"/>
          <w:rFonts w:hint="cs"/>
          <w:rtl/>
        </w:rPr>
        <w:t>האבי עזרי</w:t>
      </w:r>
      <w:r w:rsidRPr="00583D3E">
        <w:rPr>
          <w:rStyle w:val="aff4"/>
          <w:rFonts w:hint="cs"/>
          <w:vanish/>
          <w:rtl/>
        </w:rPr>
        <w:t>–</w:t>
      </w:r>
      <w:r>
        <w:rPr>
          <w:rFonts w:hint="cs"/>
          <w:rtl/>
        </w:rPr>
        <w:t xml:space="preserve"> </w:t>
      </w:r>
      <w:r w:rsidRPr="00583D3E">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Ref136444316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נט)</w:t>
      </w:r>
      <w:r>
        <w:rPr>
          <w:rStyle w:val="af2"/>
          <w:rFonts w:eastAsia="Guttman Hodes"/>
          <w:rtl/>
        </w:rPr>
        <w:fldChar w:fldCharType="end"/>
      </w:r>
      <w:r>
        <w:rPr>
          <w:rFonts w:hint="cs"/>
          <w:rtl/>
        </w:rPr>
        <w:t xml:space="preserve"> בזה.</w:t>
      </w:r>
      <w:bookmarkEnd w:id="1991"/>
    </w:p>
    <w:p w14:paraId="6DE917E5" w14:textId="77777777" w:rsidR="00316453" w:rsidRPr="00747170" w:rsidRDefault="00316453" w:rsidP="00747170">
      <w:pPr>
        <w:pStyle w:val="a2"/>
        <w:rPr>
          <w:rtl/>
        </w:rPr>
      </w:pPr>
      <w:r w:rsidRPr="00747170">
        <w:rPr>
          <w:rtl/>
        </w:rPr>
        <w:t>גם בנ"ד אם בענין דלא הוי פסיק רישא בודאי מותר דהא הוא אינו מתכוון, ואף בפסיק רישא, לדעת הערוך דפסיק רישא דלא ניחא ליה אפילו מדרבנן מותר, ה"נ בנ"ד דלא ניחא ליה דמה לו בכך דיתחלק ע"י הרוח, וגם להתוס' החולקים הא הוי רק דרבנן, [והירושלמי דנקיט חייב חטאת, צ"ל דקאי לר"י דמלאכה שאינה צריכה לגופה וכן פ"ר דלא ניחא ליה הוי דאורייתא, כההיא דכריתות דנתכוון לכבות התחתונות והובערו העליונות מאליהן] אבל לדידן הוי רק דרבנן יש לסמוך על קולות הנ"ל מהשמטות הפוסקים להירושלמי, וגם להרמ"א יש חילוק גדול בין רוקק לזורה, כנלענ"ד</w:t>
      </w:r>
      <w:r w:rsidRPr="00747170">
        <w:rPr>
          <w:rFonts w:hint="cs"/>
          <w:rtl/>
        </w:rPr>
        <w:t>.</w:t>
      </w:r>
    </w:p>
    <w:p w14:paraId="22469B9D" w14:textId="77777777" w:rsidR="00316453" w:rsidRDefault="00316453" w:rsidP="00316453">
      <w:pPr>
        <w:pStyle w:val="afffff7"/>
        <w:rPr>
          <w:rtl/>
        </w:rPr>
      </w:pPr>
      <w:bookmarkStart w:id="1992" w:name="_Toc136620454"/>
      <w:bookmarkStart w:id="1993" w:name="_Hlk136446709"/>
      <w:bookmarkStart w:id="1994" w:name="_Toc163505733"/>
      <w:r>
        <w:rPr>
          <w:rtl/>
        </w:rPr>
        <w:t>נשמת אדם כלל ט</w:t>
      </w:r>
      <w:r>
        <w:rPr>
          <w:rFonts w:cs="Guttman Hodes" w:hint="cs"/>
          <w:rtl/>
        </w:rPr>
        <w:t>"</w:t>
      </w:r>
      <w:r>
        <w:rPr>
          <w:rtl/>
        </w:rPr>
        <w:t>ו</w:t>
      </w:r>
      <w:r>
        <w:rPr>
          <w:rFonts w:hint="cs"/>
          <w:rtl/>
        </w:rPr>
        <w:t xml:space="preserve"> אות א'</w:t>
      </w:r>
      <w:bookmarkEnd w:id="1992"/>
      <w:bookmarkEnd w:id="1994"/>
    </w:p>
    <w:p w14:paraId="09CC8D69" w14:textId="77777777" w:rsidR="00316453" w:rsidRDefault="00316453" w:rsidP="00316453">
      <w:pPr>
        <w:pStyle w:val="afffff7"/>
        <w:rPr>
          <w:rtl/>
        </w:rPr>
      </w:pPr>
      <w:bookmarkStart w:id="1995" w:name="_Toc136620455"/>
      <w:bookmarkStart w:id="1996" w:name="_Toc136618685"/>
      <w:bookmarkStart w:id="1997" w:name="_Toc163505734"/>
      <w:r>
        <w:rPr>
          <w:rtl/>
        </w:rPr>
        <w:t xml:space="preserve">בית מאיר </w:t>
      </w:r>
      <w:r>
        <w:rPr>
          <w:rFonts w:hint="cs"/>
          <w:rtl/>
        </w:rPr>
        <w:t>או"ח סי'</w:t>
      </w:r>
      <w:r>
        <w:rPr>
          <w:rtl/>
        </w:rPr>
        <w:t xml:space="preserve"> שיט</w:t>
      </w:r>
      <w:r>
        <w:rPr>
          <w:rFonts w:hint="cs"/>
          <w:rtl/>
        </w:rPr>
        <w:t xml:space="preserve"> י"ז</w:t>
      </w:r>
      <w:bookmarkEnd w:id="1995"/>
      <w:bookmarkEnd w:id="1997"/>
    </w:p>
    <w:p w14:paraId="0759B18A" w14:textId="77777777" w:rsidR="00316453" w:rsidRDefault="00316453" w:rsidP="00316453">
      <w:pPr>
        <w:pStyle w:val="a7"/>
        <w:rPr>
          <w:rtl/>
        </w:rPr>
      </w:pPr>
      <w:r>
        <w:rPr>
          <w:rFonts w:hint="cs"/>
          <w:rtl/>
        </w:rPr>
        <w:t>קו' הנשמ"א דלירו' רוקק זורה אף דאצל"ג ואין במינו זורה ואינו כבורר וקו' הב"מ דהוא מתעסק</w:t>
      </w:r>
      <w:bookmarkEnd w:id="1996"/>
    </w:p>
    <w:p w14:paraId="16FCBE0C" w14:textId="0A377DA5" w:rsidR="00316453" w:rsidRPr="006D56B7" w:rsidRDefault="00316453" w:rsidP="00BC7DC8">
      <w:pPr>
        <w:pStyle w:val="a3"/>
        <w:rPr>
          <w:rtl/>
        </w:rPr>
      </w:pPr>
      <w:bookmarkStart w:id="1998" w:name="_Ref136450767"/>
      <w:r>
        <w:rPr>
          <w:rFonts w:hint="cs"/>
          <w:rtl/>
        </w:rPr>
        <w:t xml:space="preserve">וכן הקשה </w:t>
      </w:r>
      <w:r w:rsidRPr="00CB65AA">
        <w:rPr>
          <w:rStyle w:val="aff4"/>
          <w:rFonts w:hint="cs"/>
          <w:vanish/>
          <w:rtl/>
        </w:rPr>
        <w:t>-</w:t>
      </w:r>
      <w:r w:rsidRPr="00996495">
        <w:rPr>
          <w:rStyle w:val="aff4"/>
          <w:rFonts w:hint="cs"/>
          <w:rtl/>
        </w:rPr>
        <w:t>ה</w:t>
      </w:r>
      <w:r w:rsidRPr="0062777A">
        <w:rPr>
          <w:rStyle w:val="aff4"/>
          <w:rFonts w:hint="cs"/>
          <w:vanish/>
          <w:rtl/>
        </w:rPr>
        <w:t xml:space="preserve">&lt;. </w:t>
      </w:r>
      <w:r w:rsidRPr="0062777A">
        <w:rPr>
          <w:rStyle w:val="aff4"/>
          <w:vanish/>
          <w:rtl/>
        </w:rPr>
        <w:fldChar w:fldCharType="begin"/>
      </w:r>
      <w:r w:rsidRPr="0062777A">
        <w:rPr>
          <w:rStyle w:val="aff4"/>
          <w:vanish/>
          <w:rtl/>
        </w:rPr>
        <w:instrText xml:space="preserve"> </w:instrText>
      </w:r>
      <w:r w:rsidRPr="0062777A">
        <w:rPr>
          <w:rStyle w:val="aff4"/>
          <w:rFonts w:hint="cs"/>
          <w:vanish/>
        </w:rPr>
        <w:instrText>REF</w:instrText>
      </w:r>
      <w:r w:rsidRPr="0062777A">
        <w:rPr>
          <w:rStyle w:val="aff4"/>
          <w:rFonts w:hint="cs"/>
          <w:vanish/>
          <w:rtl/>
        </w:rPr>
        <w:instrText xml:space="preserve"> _</w:instrText>
      </w:r>
      <w:r w:rsidRPr="0062777A">
        <w:rPr>
          <w:rStyle w:val="aff4"/>
          <w:rFonts w:hint="cs"/>
          <w:vanish/>
        </w:rPr>
        <w:instrText>Ref136450767 \r \h</w:instrText>
      </w:r>
      <w:r w:rsidRPr="0062777A">
        <w:rPr>
          <w:rStyle w:val="aff4"/>
          <w:vanish/>
          <w:rtl/>
        </w:rPr>
        <w:instrText xml:space="preserve"> </w:instrText>
      </w:r>
      <w:r w:rsidRPr="0062777A">
        <w:rPr>
          <w:rStyle w:val="aff4"/>
          <w:vanish/>
          <w:rtl/>
        </w:rPr>
      </w:r>
      <w:r w:rsidRPr="0062777A">
        <w:rPr>
          <w:rStyle w:val="aff4"/>
          <w:vanish/>
          <w:rtl/>
        </w:rPr>
        <w:fldChar w:fldCharType="separate"/>
      </w:r>
      <w:r w:rsidR="00D82181">
        <w:rPr>
          <w:rStyle w:val="aff4"/>
          <w:vanish/>
          <w:cs/>
        </w:rPr>
        <w:t>‎</w:t>
      </w:r>
      <w:r w:rsidR="00D82181">
        <w:rPr>
          <w:rStyle w:val="aff4"/>
          <w:vanish/>
          <w:rtl/>
        </w:rPr>
        <w:t>ל)</w:t>
      </w:r>
      <w:r w:rsidRPr="0062777A">
        <w:rPr>
          <w:rStyle w:val="aff4"/>
          <w:vanish/>
          <w:rtl/>
        </w:rPr>
        <w:fldChar w:fldCharType="end"/>
      </w:r>
      <w:r w:rsidRPr="0062777A">
        <w:rPr>
          <w:rStyle w:val="aff4"/>
          <w:rFonts w:hint="cs"/>
          <w:vanish/>
          <w:rtl/>
        </w:rPr>
        <w:t xml:space="preserve"> &gt;</w:t>
      </w:r>
      <w:r w:rsidRPr="00996495">
        <w:rPr>
          <w:rStyle w:val="aff4"/>
          <w:rFonts w:hint="cs"/>
          <w:rtl/>
        </w:rPr>
        <w:t>נשמת אדם</w:t>
      </w:r>
      <w:r w:rsidRPr="00CB65AA">
        <w:rPr>
          <w:rStyle w:val="aff4"/>
          <w:rFonts w:hint="cs"/>
          <w:vanish/>
          <w:rtl/>
        </w:rPr>
        <w:t>-</w:t>
      </w:r>
      <w:r>
        <w:rPr>
          <w:rFonts w:hint="cs"/>
          <w:rtl/>
        </w:rPr>
        <w:t xml:space="preserve"> </w:t>
      </w:r>
      <w:r w:rsidRPr="00D4778B">
        <w:rPr>
          <w:rStyle w:val="af2"/>
          <w:rFonts w:eastAsia="Guttman Hodes" w:hint="cs"/>
          <w:rtl/>
        </w:rPr>
        <w:t>(כלל ט"ו אות א')</w:t>
      </w:r>
      <w:r w:rsidRPr="00CB65AA">
        <w:rPr>
          <w:rFonts w:hint="cs"/>
          <w:vanish/>
          <w:rtl/>
        </w:rPr>
        <w:t>=</w:t>
      </w:r>
      <w:r>
        <w:rPr>
          <w:rFonts w:hint="cs"/>
          <w:rtl/>
        </w:rPr>
        <w:t xml:space="preserve"> על </w:t>
      </w:r>
      <w:r w:rsidRPr="00CB65AA">
        <w:rPr>
          <w:rStyle w:val="aff4"/>
          <w:rFonts w:hint="cs"/>
          <w:vanish/>
          <w:rtl/>
        </w:rPr>
        <w:t>-</w:t>
      </w:r>
      <w:r w:rsidRPr="00996495">
        <w:rPr>
          <w:rStyle w:val="aff4"/>
          <w:rFonts w:hint="cs"/>
          <w:rtl/>
        </w:rPr>
        <w:t>הרמ"א</w:t>
      </w:r>
      <w:r w:rsidRPr="00CB65AA">
        <w:rPr>
          <w:rStyle w:val="aff4"/>
          <w:rFonts w:hint="cs"/>
          <w:vanish/>
          <w:rtl/>
        </w:rPr>
        <w:t>-</w:t>
      </w:r>
      <w:r>
        <w:rPr>
          <w:rFonts w:hint="cs"/>
          <w:rtl/>
        </w:rPr>
        <w:t xml:space="preserve"> </w:t>
      </w:r>
      <w:r w:rsidRPr="00D4778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Ref136592082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כג)</w:t>
      </w:r>
      <w:r>
        <w:rPr>
          <w:rStyle w:val="af2"/>
          <w:rFonts w:eastAsia="Guttman Hodes"/>
          <w:rtl/>
        </w:rPr>
        <w:fldChar w:fldCharType="end"/>
      </w:r>
      <w:r>
        <w:rPr>
          <w:rFonts w:hint="cs"/>
          <w:rtl/>
        </w:rPr>
        <w:t xml:space="preserve"> דהא הירושלמי ס"ל כר"י דמלאכה שא"צ לגופה חייב, וכן ס"ל לירושלמי כר"מ דהחיוב בצידה אף באין במינו ניצוד, ולכן אף בזורה חייב אף ברוק דאין במינו לזרות ברחת, ואף לדעת </w:t>
      </w:r>
      <w:r w:rsidRPr="0085567C">
        <w:rPr>
          <w:rStyle w:val="aff4"/>
          <w:rFonts w:hint="cs"/>
          <w:rtl/>
        </w:rPr>
        <w:t>הרמב"ם</w:t>
      </w:r>
      <w:r w:rsidRPr="00C5150A">
        <w:rPr>
          <w:rStyle w:val="aff4"/>
          <w:rFonts w:hint="cs"/>
          <w:vanish/>
          <w:rtl/>
        </w:rPr>
        <w:t>-</w:t>
      </w:r>
      <w:r>
        <w:rPr>
          <w:rFonts w:hint="cs"/>
          <w:rtl/>
        </w:rPr>
        <w:t xml:space="preserve"> </w:t>
      </w:r>
      <w:r w:rsidRPr="00D4778B">
        <w:rPr>
          <w:rStyle w:val="af2"/>
          <w:rFonts w:eastAsia="Guttman Hodes" w:hint="cs"/>
          <w:rtl/>
        </w:rPr>
        <w:t>(שבת פ"א ה"ז)</w:t>
      </w:r>
      <w:r>
        <w:rPr>
          <w:rFonts w:hint="cs"/>
          <w:rtl/>
        </w:rPr>
        <w:t xml:space="preserve"> דקיי"ל דמלאכה שאצל"ג חייב, לא קיי"ל כירושלמי כיון דאין במינו לזרות כלל, ולדידן לא שייך לחייב ברוקק כדמוכח בגמ' בסוגיין דזורה הוא כבורר ומרקד, ואילו לירושלמי כ"א מהם הוא מלאכה בפנ"ע וזורה לא דמי כלל לבורר ומרקד, ועוד הקשה </w:t>
      </w:r>
      <w:r w:rsidRPr="00CB65AA">
        <w:rPr>
          <w:rStyle w:val="aff4"/>
          <w:rFonts w:hint="cs"/>
          <w:vanish/>
          <w:rtl/>
        </w:rPr>
        <w:t>-</w:t>
      </w:r>
      <w:r w:rsidRPr="00996495">
        <w:rPr>
          <w:rStyle w:val="aff4"/>
          <w:rFonts w:hint="cs"/>
          <w:rtl/>
        </w:rPr>
        <w:t>ה</w:t>
      </w:r>
      <w:r w:rsidRPr="0062777A">
        <w:rPr>
          <w:rStyle w:val="aff4"/>
          <w:rFonts w:hint="cs"/>
          <w:vanish/>
          <w:rtl/>
        </w:rPr>
        <w:t>&lt; &gt;</w:t>
      </w:r>
      <w:r w:rsidRPr="00996495">
        <w:rPr>
          <w:rStyle w:val="aff4"/>
          <w:rFonts w:hint="cs"/>
          <w:rtl/>
        </w:rPr>
        <w:t>בית מאיר</w:t>
      </w:r>
      <w:r w:rsidRPr="00CB65AA">
        <w:rPr>
          <w:rStyle w:val="aff4"/>
          <w:rFonts w:hint="cs"/>
          <w:vanish/>
          <w:rtl/>
        </w:rPr>
        <w:t>-</w:t>
      </w:r>
      <w:r>
        <w:rPr>
          <w:rFonts w:hint="cs"/>
          <w:rtl/>
        </w:rPr>
        <w:t xml:space="preserve"> </w:t>
      </w:r>
      <w:r w:rsidRPr="00D4778B">
        <w:rPr>
          <w:rStyle w:val="af2"/>
          <w:rFonts w:eastAsia="Guttman Hodes" w:hint="cs"/>
          <w:rtl/>
        </w:rPr>
        <w:t>(סי' שי"ט י"ז)</w:t>
      </w:r>
      <w:r w:rsidRPr="00CB65AA">
        <w:rPr>
          <w:rFonts w:hint="cs"/>
          <w:vanish/>
          <w:rtl/>
        </w:rPr>
        <w:t>=</w:t>
      </w:r>
      <w:r>
        <w:rPr>
          <w:rFonts w:hint="cs"/>
          <w:rtl/>
        </w:rPr>
        <w:t xml:space="preserve"> דהרוקק הוא מתעסק לגבי הפיזור ברוח, והוסיף דא"א לומר דהוא פסיק רישיה, </w:t>
      </w:r>
      <w:r w:rsidRPr="003554D9">
        <w:rPr>
          <w:rStyle w:val="af"/>
          <w:rFonts w:hint="cs"/>
          <w:rtl/>
        </w:rPr>
        <w:t xml:space="preserve">[ועי' </w:t>
      </w:r>
      <w:r w:rsidRPr="00722166">
        <w:rPr>
          <w:rStyle w:val="aff9"/>
          <w:rFonts w:hint="cs"/>
          <w:vanish/>
          <w:rtl/>
        </w:rPr>
        <w:t>-</w:t>
      </w:r>
      <w:r w:rsidRPr="003554D9">
        <w:rPr>
          <w:rStyle w:val="aff9"/>
          <w:rFonts w:hint="cs"/>
          <w:rtl/>
        </w:rPr>
        <w:t>בגרעק"א</w:t>
      </w:r>
      <w:r w:rsidRPr="00722166">
        <w:rPr>
          <w:rStyle w:val="aff9"/>
          <w:rFonts w:hint="cs"/>
          <w:vanish/>
          <w:rtl/>
        </w:rPr>
        <w:t>-</w:t>
      </w:r>
      <w:r w:rsidRPr="003554D9">
        <w:rPr>
          <w:rStyle w:val="af"/>
          <w:rFonts w:hint="cs"/>
          <w:rtl/>
        </w:rPr>
        <w:t xml:space="preserve"> </w:t>
      </w:r>
      <w:r w:rsidRPr="003554D9">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Ref136594770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כט)</w:t>
      </w:r>
      <w:r>
        <w:rPr>
          <w:rStyle w:val="aff0"/>
          <w:rtl/>
        </w:rPr>
        <w:fldChar w:fldCharType="end"/>
      </w:r>
      <w:r w:rsidRPr="003554D9">
        <w:rPr>
          <w:rStyle w:val="af"/>
          <w:rFonts w:hint="cs"/>
          <w:rtl/>
        </w:rPr>
        <w:t xml:space="preserve">], </w:t>
      </w:r>
      <w:r>
        <w:rPr>
          <w:rFonts w:hint="cs"/>
          <w:rtl/>
        </w:rPr>
        <w:t xml:space="preserve">והביא </w:t>
      </w:r>
      <w:r w:rsidRPr="00CB65AA">
        <w:rPr>
          <w:rStyle w:val="aff4"/>
          <w:rFonts w:hint="cs"/>
          <w:vanish/>
          <w:rtl/>
        </w:rPr>
        <w:t>-</w:t>
      </w:r>
      <w:r w:rsidRPr="00996495">
        <w:rPr>
          <w:rStyle w:val="aff4"/>
          <w:rFonts w:hint="cs"/>
          <w:rtl/>
        </w:rPr>
        <w:t>הנשמ"א</w:t>
      </w:r>
      <w:r w:rsidRPr="00CB65AA">
        <w:rPr>
          <w:rStyle w:val="aff4"/>
          <w:rFonts w:hint="cs"/>
          <w:vanish/>
          <w:rtl/>
        </w:rPr>
        <w:t>-</w:t>
      </w:r>
      <w:r>
        <w:rPr>
          <w:rFonts w:hint="cs"/>
          <w:rtl/>
        </w:rPr>
        <w:t xml:space="preserve"> דעוד </w:t>
      </w:r>
      <w:bookmarkStart w:id="1999" w:name="_Hlk136539677"/>
      <w:r>
        <w:rPr>
          <w:rFonts w:hint="cs"/>
          <w:rtl/>
        </w:rPr>
        <w:t>איתא ב</w:t>
      </w:r>
      <w:r>
        <w:rPr>
          <w:rtl/>
        </w:rPr>
        <w:t xml:space="preserve">ירושלמי </w:t>
      </w:r>
      <w:r w:rsidRPr="00D4778B">
        <w:rPr>
          <w:rStyle w:val="af2"/>
          <w:rFonts w:eastAsia="Guttman Hodes" w:hint="cs"/>
          <w:rtl/>
        </w:rPr>
        <w:t>(</w:t>
      </w:r>
      <w:r w:rsidRPr="00D4778B">
        <w:rPr>
          <w:rStyle w:val="af2"/>
          <w:rFonts w:eastAsia="Guttman Hodes"/>
          <w:rtl/>
        </w:rPr>
        <w:t>פ"ז ה</w:t>
      </w:r>
      <w:r w:rsidRPr="00D4778B">
        <w:rPr>
          <w:rStyle w:val="af2"/>
          <w:rFonts w:eastAsia="Guttman Hodes" w:hint="cs"/>
          <w:rtl/>
        </w:rPr>
        <w:t>"</w:t>
      </w:r>
      <w:r w:rsidRPr="00D4778B">
        <w:rPr>
          <w:rStyle w:val="af2"/>
          <w:rFonts w:eastAsia="Guttman Hodes"/>
          <w:rtl/>
        </w:rPr>
        <w:t>ב</w:t>
      </w:r>
      <w:r w:rsidRPr="00D4778B">
        <w:rPr>
          <w:rStyle w:val="af2"/>
          <w:rFonts w:eastAsia="Guttman Hodes" w:hint="cs"/>
          <w:rtl/>
        </w:rPr>
        <w:t>, נב:)</w:t>
      </w:r>
      <w:r>
        <w:rPr>
          <w:rFonts w:hint="cs"/>
          <w:rtl/>
        </w:rPr>
        <w:t xml:space="preserve"> "</w:t>
      </w:r>
      <w:r>
        <w:rPr>
          <w:rtl/>
        </w:rPr>
        <w:t>הבורר והמשמר והמרקד כולהן משום מעביר פסולת</w:t>
      </w:r>
      <w:r>
        <w:rPr>
          <w:rFonts w:hint="cs"/>
          <w:rtl/>
        </w:rPr>
        <w:t>,</w:t>
      </w:r>
      <w:r>
        <w:rPr>
          <w:rtl/>
        </w:rPr>
        <w:t xml:space="preserve"> </w:t>
      </w:r>
      <w:bookmarkEnd w:id="1999"/>
      <w:r>
        <w:rPr>
          <w:rtl/>
        </w:rPr>
        <w:t>כל אחד ואחד חיובו בפני עצמו</w:t>
      </w:r>
      <w:r>
        <w:rPr>
          <w:rFonts w:hint="cs"/>
          <w:rtl/>
        </w:rPr>
        <w:t>", ומוכח דלדעת הירושלמי אינם מלאכה אחת כדאיתא בגמ' בסוגיין, וא"כ להלכה לא קיי"ל כירושלמי בזה.</w:t>
      </w:r>
      <w:bookmarkEnd w:id="1998"/>
    </w:p>
    <w:p w14:paraId="79138DB3" w14:textId="77777777" w:rsidR="00316453" w:rsidRPr="00747170" w:rsidRDefault="00316453" w:rsidP="00747170">
      <w:pPr>
        <w:pStyle w:val="a2"/>
        <w:rPr>
          <w:rtl/>
        </w:rPr>
      </w:pPr>
      <w:r w:rsidRPr="00747170">
        <w:rPr>
          <w:rtl/>
        </w:rPr>
        <w:t>א בסימן שי"ט כתב רמ"א הרוקק לרוח והרוח מפזר חייב משום זורה, והוא מירושלמי פרק כלל גדול. ולי צע"ג דהא ע"כ האי תנא דירושלמי ס"ל כר"מ וס"ל כר"י, ס"ל כר"מ דאמר דף ק"ו בצד גזין ויתושין דחייב אף על פי שאין במינו ניצוד, וכר"א בדף ק"ז בצד פרעוש, דהא רוק אינו במינו לזרות ברחת כמ"ש רש"י והרע"ב והסמ"ק הזורה ברחת, ועוד דאין במינו כלל לזרות, אלא על כרחך דס"ל כר"מ וכר"א דאף דאין במינו, וס"ל כר' יהודה דאמר מלאכה שאין צריכה לגופה חייב, ולכן הרמב"ם אף דפסק כר' יהודה דמלאכה שאצ"ל חייב, מכל מקום לא כתב דין זה דירושלמי, וכן מוכח מגמרא שלנו דף ע"ג ע"ב דפריך היינו זורה היינו בורר ומרקד אביי ורבא דאמרי כו' ע"ש, ולפי הירושלמי לאו מלאכה אחת הן אלא כל חד וחד מלאכה בפני עצמה, ומה ענין זורה לבורר, אע"כ דאביי ורבא אזלו לשיטתייהו ריש נוטל דמלאכה שאצ"ל פטור וכרבנן ור' יהושע דבעינן דוקא במינו ניצוד וכן בכל מלאכות וכדאמר רבא דף ע"ה אין דישה אלא בגידולי קרקע ובודאי ה"ה זורה, וא"כ צ"ע למה העתיק רמ"א דרוקק לרוח חייב דדי לאסור אותו אבל לא לחייב, וצ"ע גדול ליישב. ועיינתי בירושלמי דאזיל לשיטתו דאיתא התם בפרק כלל גדול קודם הלכה ג' וז"ל הבורר והמשמר והמרקד כולהו משום מעביר פסולת כל אחד ואחד חייב בפני עצמו עכ"ל, הרי דלא ס"ל כש"ס דילן דתניא הזורה הבורר והמרקד כולן מלאכה אחת, ואף שהמפרש שם כתב דגרסינן הזורה ולא המשמר, לא דק שהרי בירושלמי איתא להדיא דהזורה רוק לרוח חייב. ויש לומר דברייתא זו דירושלמי אתיא כרבי יהודה דלא תני ל"ט מלאכות כדאיתא דף ע"ה ע"ב ודף ע"ד ע"א הא מני רבי כו', וכן הוא בהדיא בירושלמי וס"ל דמשמר אף על גב דחייב משום בורר או מרקד מ"מ הוי אב בפ"ע. ובסי' תמ"ו כתב במ"א דאפשר לזרות לרוח הוי מלאכה דאורייתא כדאיתא בסי' שי"ט, ולפי מה שנת' לכאורה ליתא, ואפשר דגבי חמץ כיון דדינו הכי לזרות לרוח אם כן הוי כדבר שדרכו בכך וגם הוי מלאכה שצריכה לגופה, ועיין במלאכת טוחן בנ"א סי' ג' מה שכתבתי שם בשם מל"מ פ"א מהלכות חמץ:</w:t>
      </w:r>
    </w:p>
    <w:p w14:paraId="7E3006D5" w14:textId="38B1C5D1" w:rsidR="00316453" w:rsidRDefault="00316453" w:rsidP="00316453">
      <w:pPr>
        <w:pStyle w:val="1"/>
        <w:rPr>
          <w:rtl/>
        </w:rPr>
      </w:pPr>
      <w:bookmarkStart w:id="2000" w:name="_Toc136618686"/>
      <w:bookmarkEnd w:id="1993"/>
      <w:r>
        <w:rPr>
          <w:rFonts w:hint="cs"/>
          <w:rtl/>
        </w:rPr>
        <w:t>בי' הטל אורות דרוקק דכוונתו לזרות שלא יתלכלך חייב לדידן</w:t>
      </w:r>
      <w:bookmarkEnd w:id="2000"/>
    </w:p>
    <w:p w14:paraId="13830E7F" w14:textId="77777777" w:rsidR="00316453" w:rsidRDefault="00316453" w:rsidP="00316453">
      <w:pPr>
        <w:pStyle w:val="afffff7"/>
        <w:rPr>
          <w:rtl/>
        </w:rPr>
      </w:pPr>
      <w:bookmarkStart w:id="2001" w:name="_Toc136620456"/>
      <w:bookmarkStart w:id="2002" w:name="_Toc163505735"/>
      <w:r w:rsidRPr="00102958">
        <w:rPr>
          <w:rtl/>
        </w:rPr>
        <w:t xml:space="preserve">טל אורות </w:t>
      </w:r>
      <w:r>
        <w:rPr>
          <w:rFonts w:hint="cs"/>
          <w:rtl/>
        </w:rPr>
        <w:t>הספרדי זורה ד</w:t>
      </w:r>
      <w:r w:rsidRPr="00102958">
        <w:rPr>
          <w:rFonts w:hint="cs"/>
          <w:rtl/>
        </w:rPr>
        <w:t>"</w:t>
      </w:r>
      <w:r>
        <w:rPr>
          <w:rFonts w:hint="cs"/>
          <w:rtl/>
        </w:rPr>
        <w:t>ה והנה</w:t>
      </w:r>
      <w:bookmarkEnd w:id="2001"/>
      <w:bookmarkEnd w:id="2002"/>
    </w:p>
    <w:p w14:paraId="25CFCE05" w14:textId="77777777" w:rsidR="00316453" w:rsidRDefault="00316453" w:rsidP="00316453">
      <w:pPr>
        <w:pStyle w:val="a7"/>
        <w:rPr>
          <w:rtl/>
        </w:rPr>
      </w:pPr>
      <w:bookmarkStart w:id="2003" w:name="_Toc136618687"/>
      <w:r>
        <w:rPr>
          <w:rFonts w:hint="cs"/>
          <w:rtl/>
        </w:rPr>
        <w:t>תי' הטל אורות דרוקק כוונתו לזרות שלא יתלכלך ובחמץ שיתבער ובמכוין מ' במהריק"ש דחייב</w:t>
      </w:r>
      <w:bookmarkEnd w:id="2003"/>
    </w:p>
    <w:p w14:paraId="301F4BEA" w14:textId="4DC886B9" w:rsidR="00316453" w:rsidRPr="00C40C16" w:rsidRDefault="00316453" w:rsidP="00BC7DC8">
      <w:pPr>
        <w:pStyle w:val="a3"/>
      </w:pPr>
      <w:bookmarkStart w:id="2004" w:name="_Ref136540097"/>
      <w:r>
        <w:rPr>
          <w:rFonts w:hint="cs"/>
          <w:rtl/>
        </w:rPr>
        <w:t xml:space="preserve">וכן הקשה </w:t>
      </w:r>
      <w:r w:rsidRPr="00B613B1">
        <w:rPr>
          <w:rStyle w:val="aff4"/>
          <w:rFonts w:hint="cs"/>
          <w:vanish/>
          <w:rtl/>
        </w:rPr>
        <w:t>-</w:t>
      </w:r>
      <w:r w:rsidRPr="00B613B1">
        <w:rPr>
          <w:rStyle w:val="aff4"/>
          <w:rFonts w:hint="cs"/>
          <w:rtl/>
        </w:rPr>
        <w:t>ה</w:t>
      </w:r>
      <w:r w:rsidRPr="00B613B1">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Ref136540097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לא)</w:t>
      </w:r>
      <w:r>
        <w:rPr>
          <w:rStyle w:val="aff4"/>
          <w:vanish/>
          <w:rtl/>
        </w:rPr>
        <w:fldChar w:fldCharType="end"/>
      </w:r>
      <w:r w:rsidRPr="00B613B1">
        <w:rPr>
          <w:rStyle w:val="aff4"/>
          <w:rFonts w:hint="cs"/>
          <w:vanish/>
          <w:rtl/>
        </w:rPr>
        <w:t xml:space="preserve"> &gt;</w:t>
      </w:r>
      <w:r w:rsidRPr="00B613B1">
        <w:rPr>
          <w:rStyle w:val="aff4"/>
          <w:rFonts w:hint="cs"/>
          <w:rtl/>
        </w:rPr>
        <w:t xml:space="preserve">טל אורות </w:t>
      </w:r>
      <w:r>
        <w:rPr>
          <w:rStyle w:val="aff4"/>
          <w:rFonts w:hint="cs"/>
          <w:rtl/>
        </w:rPr>
        <w:t>הספרדי</w:t>
      </w:r>
      <w:r w:rsidRPr="00B613B1">
        <w:rPr>
          <w:rStyle w:val="aff4"/>
          <w:rFonts w:hint="cs"/>
          <w:vanish/>
          <w:rtl/>
        </w:rPr>
        <w:t>-</w:t>
      </w:r>
      <w:r>
        <w:rPr>
          <w:rFonts w:hint="cs"/>
          <w:rtl/>
        </w:rPr>
        <w:t xml:space="preserve"> </w:t>
      </w:r>
      <w:r w:rsidRPr="00B613B1">
        <w:rPr>
          <w:rStyle w:val="af2"/>
          <w:rFonts w:eastAsia="Guttman Hodes" w:hint="cs"/>
          <w:rtl/>
        </w:rPr>
        <w:t>(זורה ד"ה והנה)</w:t>
      </w:r>
      <w:r w:rsidRPr="00B613B1">
        <w:rPr>
          <w:rFonts w:hint="cs"/>
          <w:vanish/>
          <w:rtl/>
        </w:rPr>
        <w:t>=</w:t>
      </w:r>
      <w:r>
        <w:rPr>
          <w:rFonts w:hint="cs"/>
          <w:rtl/>
        </w:rPr>
        <w:t xml:space="preserve"> על </w:t>
      </w:r>
      <w:r w:rsidRPr="00B613B1">
        <w:rPr>
          <w:rStyle w:val="aff4"/>
          <w:rFonts w:hint="cs"/>
          <w:vanish/>
          <w:rtl/>
        </w:rPr>
        <w:t>-</w:t>
      </w:r>
      <w:r w:rsidRPr="00B613B1">
        <w:rPr>
          <w:rStyle w:val="aff4"/>
          <w:rFonts w:hint="cs"/>
          <w:rtl/>
        </w:rPr>
        <w:t>הרמ"א והמג"א</w:t>
      </w:r>
      <w:r w:rsidRPr="00B613B1">
        <w:rPr>
          <w:rStyle w:val="aff4"/>
          <w:rFonts w:hint="cs"/>
          <w:vanish/>
          <w:rtl/>
        </w:rPr>
        <w:t>-</w:t>
      </w:r>
      <w:r>
        <w:rPr>
          <w:rFonts w:hint="cs"/>
          <w:rtl/>
        </w:rPr>
        <w:t xml:space="preserve"> </w:t>
      </w:r>
      <w:r w:rsidRPr="00B613B1">
        <w:rPr>
          <w:rStyle w:val="af2"/>
          <w:rFonts w:eastAsia="Guttman Hodes" w:hint="cs"/>
          <w:rtl/>
        </w:rPr>
        <w:t xml:space="preserve">(עי' אות </w:t>
      </w:r>
      <w:r w:rsidRPr="00D4778B">
        <w:rPr>
          <w:rStyle w:val="af2"/>
          <w:rFonts w:eastAsia="Guttman Hodes" w:hint="cs"/>
          <w:rtl/>
        </w:rPr>
        <w:t xml:space="preserve">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Ref136592082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כג)</w:t>
      </w:r>
      <w:r>
        <w:rPr>
          <w:rStyle w:val="af2"/>
          <w:rFonts w:eastAsia="Guttman Hodes"/>
          <w:rtl/>
        </w:rPr>
        <w:fldChar w:fldCharType="end"/>
      </w:r>
      <w:r>
        <w:rPr>
          <w:rFonts w:hint="cs"/>
          <w:rtl/>
        </w:rPr>
        <w:t xml:space="preserve"> דזורה הוא ברירת האוכל מהפסולת, וברוקק לרוח לא שייך זורה כלל, ותירץ </w:t>
      </w:r>
      <w:r w:rsidRPr="00B613B1">
        <w:rPr>
          <w:rStyle w:val="aff4"/>
          <w:rFonts w:hint="cs"/>
          <w:vanish/>
          <w:rtl/>
        </w:rPr>
        <w:t>-</w:t>
      </w:r>
      <w:r w:rsidRPr="00B613B1">
        <w:rPr>
          <w:rStyle w:val="aff4"/>
          <w:rFonts w:hint="cs"/>
          <w:rtl/>
        </w:rPr>
        <w:t xml:space="preserve">הטל אורות </w:t>
      </w:r>
      <w:r>
        <w:rPr>
          <w:rStyle w:val="aff4"/>
          <w:rFonts w:hint="cs"/>
          <w:rtl/>
        </w:rPr>
        <w:t>הספרדי</w:t>
      </w:r>
      <w:r w:rsidRPr="00B613B1">
        <w:rPr>
          <w:rStyle w:val="aff4"/>
          <w:rFonts w:hint="cs"/>
          <w:vanish/>
          <w:rtl/>
        </w:rPr>
        <w:t>-</w:t>
      </w:r>
      <w:r>
        <w:rPr>
          <w:rFonts w:hint="cs"/>
          <w:rtl/>
        </w:rPr>
        <w:t xml:space="preserve"> דחשיב ברירה כיון שהוא מתכוין שהרוח תפזר את הרוק שלא יפול על בגדיו, וכן בחמץ כוונתו לתיקון שהרוח תפזר אותו ויבערו מביתו, וכן משמע מדברי </w:t>
      </w:r>
      <w:r w:rsidRPr="00B613B1">
        <w:rPr>
          <w:rStyle w:val="aff4"/>
          <w:rFonts w:hint="cs"/>
          <w:vanish/>
          <w:rtl/>
        </w:rPr>
        <w:t>-</w:t>
      </w:r>
      <w:r w:rsidRPr="00B613B1">
        <w:rPr>
          <w:rStyle w:val="aff4"/>
          <w:rFonts w:hint="cs"/>
          <w:rtl/>
        </w:rPr>
        <w:t>המהריק"ש</w:t>
      </w:r>
      <w:r w:rsidRPr="00B613B1">
        <w:rPr>
          <w:rStyle w:val="aff4"/>
          <w:rFonts w:hint="cs"/>
          <w:vanish/>
          <w:rtl/>
        </w:rPr>
        <w:t>-</w:t>
      </w:r>
      <w:r>
        <w:rPr>
          <w:rFonts w:hint="cs"/>
          <w:rtl/>
        </w:rPr>
        <w:t xml:space="preserve"> </w:t>
      </w:r>
      <w:r w:rsidRPr="00B613B1">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Ref136592082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כג)</w:t>
      </w:r>
      <w:r>
        <w:rPr>
          <w:rStyle w:val="af2"/>
          <w:rFonts w:eastAsia="Guttman Hodes"/>
          <w:rtl/>
        </w:rPr>
        <w:fldChar w:fldCharType="end"/>
      </w:r>
      <w:r>
        <w:rPr>
          <w:rFonts w:hint="cs"/>
          <w:rtl/>
        </w:rPr>
        <w:t xml:space="preserve"> דכתב דאין ברוקק חיוב זורה, כיון שאינו מתכוין לכך, ומשמע דאם מתכוין לזרותו לרוח הוי מלאכה וחייב, אך הקשה </w:t>
      </w:r>
      <w:r w:rsidRPr="00B613B1">
        <w:rPr>
          <w:rStyle w:val="aff4"/>
          <w:rFonts w:hint="cs"/>
          <w:vanish/>
          <w:rtl/>
        </w:rPr>
        <w:t>-</w:t>
      </w:r>
      <w:r w:rsidRPr="00B613B1">
        <w:rPr>
          <w:rStyle w:val="aff4"/>
          <w:rFonts w:hint="cs"/>
          <w:rtl/>
        </w:rPr>
        <w:t xml:space="preserve">הטל אורות </w:t>
      </w:r>
      <w:r>
        <w:rPr>
          <w:rStyle w:val="aff4"/>
          <w:rFonts w:hint="cs"/>
          <w:rtl/>
        </w:rPr>
        <w:t>הספרדי</w:t>
      </w:r>
      <w:r w:rsidRPr="00B613B1">
        <w:rPr>
          <w:rStyle w:val="aff4"/>
          <w:rFonts w:hint="cs"/>
          <w:vanish/>
          <w:rtl/>
        </w:rPr>
        <w:t>-</w:t>
      </w:r>
      <w:r>
        <w:rPr>
          <w:rFonts w:hint="cs"/>
          <w:rtl/>
        </w:rPr>
        <w:t xml:space="preserve"> דאי"ז דרך זורה, אלא כתב </w:t>
      </w:r>
      <w:r w:rsidRPr="00B613B1">
        <w:rPr>
          <w:rStyle w:val="aff4"/>
          <w:rFonts w:hint="cs"/>
          <w:vanish/>
          <w:rtl/>
        </w:rPr>
        <w:t>-</w:t>
      </w:r>
      <w:r w:rsidRPr="00B613B1">
        <w:rPr>
          <w:rStyle w:val="aff4"/>
          <w:rFonts w:hint="cs"/>
          <w:rtl/>
        </w:rPr>
        <w:t xml:space="preserve">הטל אורות </w:t>
      </w:r>
      <w:r>
        <w:rPr>
          <w:rStyle w:val="aff4"/>
          <w:rFonts w:hint="cs"/>
          <w:rtl/>
        </w:rPr>
        <w:t>הספרדי</w:t>
      </w:r>
      <w:r w:rsidRPr="00B613B1">
        <w:rPr>
          <w:rStyle w:val="aff4"/>
          <w:rFonts w:hint="cs"/>
          <w:vanish/>
          <w:rtl/>
        </w:rPr>
        <w:t>-</w:t>
      </w:r>
      <w:r>
        <w:rPr>
          <w:rFonts w:hint="cs"/>
          <w:rtl/>
        </w:rPr>
        <w:t xml:space="preserve"> </w:t>
      </w:r>
      <w:r w:rsidRPr="00496142">
        <w:rPr>
          <w:rStyle w:val="af2"/>
          <w:rFonts w:eastAsia="Guttman Hodes" w:hint="cs"/>
          <w:rtl/>
        </w:rPr>
        <w:t xml:space="preserve">(עי' אות </w:t>
      </w:r>
      <w:r w:rsidRPr="00496142">
        <w:rPr>
          <w:rStyle w:val="af2"/>
          <w:rFonts w:eastAsia="Guttman Hodes"/>
          <w:rtl/>
        </w:rPr>
        <w:fldChar w:fldCharType="begin"/>
      </w:r>
      <w:r w:rsidRPr="00496142">
        <w:rPr>
          <w:rStyle w:val="af2"/>
          <w:rFonts w:eastAsia="Guttman Hodes"/>
          <w:rtl/>
        </w:rPr>
        <w:instrText xml:space="preserve"> </w:instrText>
      </w:r>
      <w:r w:rsidRPr="00496142">
        <w:rPr>
          <w:rStyle w:val="af2"/>
          <w:rFonts w:eastAsia="Guttman Hodes" w:hint="cs"/>
        </w:rPr>
        <w:instrText>REF</w:instrText>
      </w:r>
      <w:r w:rsidRPr="00496142">
        <w:rPr>
          <w:rStyle w:val="af2"/>
          <w:rFonts w:eastAsia="Guttman Hodes" w:hint="cs"/>
          <w:rtl/>
        </w:rPr>
        <w:instrText xml:space="preserve"> _</w:instrText>
      </w:r>
      <w:r w:rsidRPr="00496142">
        <w:rPr>
          <w:rStyle w:val="af2"/>
          <w:rFonts w:eastAsia="Guttman Hodes" w:hint="cs"/>
        </w:rPr>
        <w:instrText>Ref136540136 \r \h</w:instrText>
      </w:r>
      <w:r w:rsidRPr="00496142">
        <w:rPr>
          <w:rStyle w:val="af2"/>
          <w:rFonts w:eastAsia="Guttman Hodes"/>
          <w:rtl/>
        </w:rPr>
        <w:instrText xml:space="preserve"> </w:instrText>
      </w:r>
      <w:r w:rsidRPr="00496142">
        <w:rPr>
          <w:rStyle w:val="af2"/>
          <w:rFonts w:eastAsia="Guttman Hodes"/>
          <w:rtl/>
        </w:rPr>
      </w:r>
      <w:r w:rsidRPr="00496142">
        <w:rPr>
          <w:rStyle w:val="af2"/>
          <w:rFonts w:eastAsia="Guttman Hodes"/>
          <w:rtl/>
        </w:rPr>
        <w:fldChar w:fldCharType="separate"/>
      </w:r>
      <w:r w:rsidR="00D82181">
        <w:rPr>
          <w:rStyle w:val="af2"/>
          <w:rFonts w:eastAsia="Guttman Hodes"/>
          <w:cs/>
        </w:rPr>
        <w:t>‎</w:t>
      </w:r>
      <w:r w:rsidR="00D82181">
        <w:rPr>
          <w:rStyle w:val="af2"/>
          <w:rFonts w:eastAsia="Guttman Hodes"/>
          <w:rtl/>
        </w:rPr>
        <w:t>כז)</w:t>
      </w:r>
      <w:r w:rsidRPr="00496142">
        <w:rPr>
          <w:rStyle w:val="af2"/>
          <w:rFonts w:eastAsia="Guttman Hodes"/>
          <w:rtl/>
        </w:rPr>
        <w:fldChar w:fldCharType="end"/>
      </w:r>
      <w:r>
        <w:rPr>
          <w:rFonts w:hint="cs"/>
          <w:rtl/>
        </w:rPr>
        <w:t xml:space="preserve"> דלבבלי זורה הוא רק בהפרדת פסולת.</w:t>
      </w:r>
      <w:bookmarkEnd w:id="2004"/>
    </w:p>
    <w:p w14:paraId="3BB02F64" w14:textId="77777777" w:rsidR="00316453" w:rsidRPr="00747170" w:rsidRDefault="00316453" w:rsidP="00747170">
      <w:pPr>
        <w:pStyle w:val="a2"/>
        <w:rPr>
          <w:rtl/>
        </w:rPr>
      </w:pPr>
      <w:r w:rsidRPr="00747170">
        <w:rPr>
          <w:rFonts w:hint="cs"/>
          <w:rtl/>
        </w:rPr>
        <w:t>והנה אחד הרואה יראה שאין דרך זורה בכך, דאין זורה אלא לברור התבואה שהיא האוכל מן הפסולת שבתוכו שהוא התבן, וכדאמרן, והכא ברוקק לרוח מאי חיובא איכא לחיובי משום זורה, גם הרב בעל מג"א ז"ל בסי' תמ"ו גבי המוצא חמץ בביתו אם הוא ביו"ט כופה עליו כלי וכו', ראיתי לו שכתב וז"ל לכן נראה דכופה עליו כלי כמשמעות הגמ' והפוסקים, אבל לזרות המחץ לרוח אפשר דהוי מלאכה דאו' כמו שאמרו בסו"ס שי"ט, עכ"ל ולפי האמור אף בזה אין שום ברירה כלל ומאי מלאכה דאו' איכא.</w:t>
      </w:r>
    </w:p>
    <w:p w14:paraId="7116F1EE" w14:textId="77777777" w:rsidR="00316453" w:rsidRPr="006D0A7C" w:rsidRDefault="00316453" w:rsidP="00747170">
      <w:pPr>
        <w:pStyle w:val="afffff5"/>
      </w:pPr>
      <w:r w:rsidRPr="006D0A7C">
        <w:rPr>
          <w:rtl/>
        </w:rPr>
        <w:t>ואפשר שאם מתכוין הרוקק ברוח כדי שהרוח יפזר הרוק שלא יפול הרוק על בגדיו</w:t>
      </w:r>
      <w:r w:rsidRPr="006D0A7C">
        <w:rPr>
          <w:rFonts w:hint="cs"/>
          <w:rtl/>
        </w:rPr>
        <w:t xml:space="preserve">, וכן לפזר החמץ לרוח וכונתו הוא כדי לבער החמץ מן הבית, אפשר </w:t>
      </w:r>
      <w:r w:rsidRPr="006D0A7C">
        <w:rPr>
          <w:rtl/>
        </w:rPr>
        <w:t>דבכה"ג חשיבא מלאכה כיון שכונתו הוא לתקן</w:t>
      </w:r>
      <w:r w:rsidRPr="006D0A7C">
        <w:rPr>
          <w:rFonts w:hint="cs"/>
          <w:rtl/>
        </w:rPr>
        <w:t>, וכמו שראיתי ל</w:t>
      </w:r>
      <w:r w:rsidRPr="006D0A7C">
        <w:rPr>
          <w:rtl/>
        </w:rPr>
        <w:t xml:space="preserve">מהריק"ש </w:t>
      </w:r>
      <w:r w:rsidRPr="006D0A7C">
        <w:rPr>
          <w:rFonts w:hint="cs"/>
          <w:rtl/>
        </w:rPr>
        <w:t xml:space="preserve">בסימן הנזכר דכתב וזה לשונו יש מי שכתב שהרוקק ברוח בשבת והרוח מפזרת הרוק שחייב </w:t>
      </w:r>
      <w:r w:rsidRPr="006D0A7C">
        <w:rPr>
          <w:rtl/>
        </w:rPr>
        <w:t xml:space="preserve">משום זורה. ולא ראינו מי שחשש בזה כיון שאינו מתכוין לכך כ"ש שאין דרך </w:t>
      </w:r>
      <w:r w:rsidRPr="006D0A7C">
        <w:rPr>
          <w:rFonts w:hint="cs"/>
          <w:rtl/>
        </w:rPr>
        <w:t>זורה</w:t>
      </w:r>
      <w:r w:rsidRPr="006D0A7C">
        <w:rPr>
          <w:rtl/>
        </w:rPr>
        <w:t xml:space="preserve"> בכך </w:t>
      </w:r>
      <w:r w:rsidRPr="006D0A7C">
        <w:rPr>
          <w:rFonts w:hint="cs"/>
          <w:rtl/>
        </w:rPr>
        <w:t>עד כאן, שנראה מדבריו</w:t>
      </w:r>
      <w:r w:rsidRPr="006D0A7C">
        <w:rPr>
          <w:rtl/>
        </w:rPr>
        <w:t xml:space="preserve"> שאם מתכוין לכך דאיכא חיובא וחשיבא מלאכה </w:t>
      </w:r>
      <w:r w:rsidRPr="006D0A7C">
        <w:rPr>
          <w:rFonts w:hint="cs"/>
          <w:rtl/>
        </w:rPr>
        <w:t xml:space="preserve">ומ"מ לא נחה דעתי בזה, </w:t>
      </w:r>
      <w:r w:rsidRPr="006D0A7C">
        <w:rPr>
          <w:rtl/>
        </w:rPr>
        <w:t xml:space="preserve">דכיון שאין דרך זורה בכך מאי חיובא איכא </w:t>
      </w:r>
    </w:p>
    <w:p w14:paraId="184C392A" w14:textId="498E5369" w:rsidR="00316453" w:rsidRDefault="00316453" w:rsidP="00316453">
      <w:pPr>
        <w:pStyle w:val="1"/>
        <w:rPr>
          <w:rtl/>
        </w:rPr>
      </w:pPr>
      <w:bookmarkStart w:id="2005" w:name="_Toc136618688"/>
      <w:r>
        <w:rPr>
          <w:rFonts w:hint="cs"/>
          <w:rtl/>
        </w:rPr>
        <w:t>בי' האגל"ט בירו' דבורר תיקון האוכל וזורה אינו הפרדת פסולת</w:t>
      </w:r>
      <w:bookmarkEnd w:id="2005"/>
    </w:p>
    <w:p w14:paraId="3F39C3EB" w14:textId="77777777" w:rsidR="00316453" w:rsidRPr="005C5103" w:rsidRDefault="00316453" w:rsidP="00316453">
      <w:pPr>
        <w:pStyle w:val="afffffb"/>
        <w:rPr>
          <w:vanish/>
          <w:rtl/>
        </w:rPr>
      </w:pPr>
      <w:r w:rsidRPr="005C5103">
        <w:rPr>
          <w:vanish/>
          <w:rtl/>
        </w:rPr>
        <w:t xml:space="preserve">אור זרוע </w:t>
      </w:r>
      <w:r w:rsidRPr="005C5103">
        <w:rPr>
          <w:rFonts w:hint="cs"/>
          <w:vanish/>
          <w:rtl/>
        </w:rPr>
        <w:t xml:space="preserve">ח"ב </w:t>
      </w:r>
      <w:r w:rsidRPr="005C5103">
        <w:rPr>
          <w:vanish/>
          <w:rtl/>
        </w:rPr>
        <w:t>שבת סימן נט</w:t>
      </w:r>
      <w:r w:rsidRPr="005C5103">
        <w:rPr>
          <w:rFonts w:hint="cs"/>
          <w:vanish/>
          <w:rtl/>
        </w:rPr>
        <w:t xml:space="preserve"> ד"ה ירושלמי</w:t>
      </w:r>
    </w:p>
    <w:p w14:paraId="261DE909" w14:textId="77777777" w:rsidR="00316453" w:rsidRPr="004C08BA" w:rsidRDefault="00316453" w:rsidP="00316453">
      <w:pPr>
        <w:pStyle w:val="a7"/>
      </w:pPr>
      <w:bookmarkStart w:id="2006" w:name="_Toc136618689"/>
      <w:r>
        <w:rPr>
          <w:rFonts w:hint="cs"/>
          <w:rtl/>
        </w:rPr>
        <w:t>בי' האו"ז בשם הירושלמי דהבורר כל היום חלק מהפסולת שבכרי ונשארה בו עוד פסולת פטור</w:t>
      </w:r>
      <w:bookmarkEnd w:id="2006"/>
    </w:p>
    <w:p w14:paraId="6481CFDD" w14:textId="17BDA6DC" w:rsidR="00316453" w:rsidRPr="00E8667D" w:rsidRDefault="00316453" w:rsidP="00BC7DC8">
      <w:pPr>
        <w:pStyle w:val="a3"/>
        <w:rPr>
          <w:rtl/>
        </w:rPr>
      </w:pPr>
      <w:bookmarkStart w:id="2007" w:name="_Ref136593620"/>
      <w:r>
        <w:rPr>
          <w:rFonts w:hint="cs"/>
          <w:rtl/>
        </w:rPr>
        <w:t xml:space="preserve">עוד הביא </w:t>
      </w:r>
      <w:r w:rsidRPr="00527BD6">
        <w:rPr>
          <w:rStyle w:val="aff4"/>
          <w:rFonts w:hint="cs"/>
          <w:vanish/>
          <w:rtl/>
        </w:rPr>
        <w:t>-</w:t>
      </w:r>
      <w:r w:rsidRPr="00DE28D5">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Ref136593620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לב)</w:t>
      </w:r>
      <w:r>
        <w:rPr>
          <w:rStyle w:val="aff4"/>
          <w:vanish/>
          <w:rtl/>
        </w:rPr>
        <w:fldChar w:fldCharType="end"/>
      </w:r>
      <w:r>
        <w:rPr>
          <w:rStyle w:val="aff4"/>
          <w:rFonts w:hint="cs"/>
          <w:vanish/>
          <w:rtl/>
        </w:rPr>
        <w:t xml:space="preserve"> &gt;</w:t>
      </w:r>
      <w:r w:rsidRPr="00DE28D5">
        <w:rPr>
          <w:rStyle w:val="aff4"/>
          <w:rFonts w:hint="cs"/>
          <w:rtl/>
        </w:rPr>
        <w:t>או"ז</w:t>
      </w:r>
      <w:r w:rsidRPr="00527BD6">
        <w:rPr>
          <w:rStyle w:val="aff4"/>
          <w:rFonts w:hint="cs"/>
          <w:vanish/>
          <w:rtl/>
        </w:rPr>
        <w:t>-</w:t>
      </w:r>
      <w:r>
        <w:rPr>
          <w:rFonts w:hint="cs"/>
          <w:rtl/>
        </w:rPr>
        <w:t xml:space="preserve"> </w:t>
      </w:r>
      <w:r w:rsidRPr="00D4778B">
        <w:rPr>
          <w:rStyle w:val="af2"/>
          <w:rFonts w:eastAsia="Guttman Hodes" w:hint="cs"/>
          <w:rtl/>
        </w:rPr>
        <w:t>(ח"ב שבת סי' נ"ט ד"ה ירושלמי, אות צ"ד)</w:t>
      </w:r>
      <w:r w:rsidRPr="00527BD6">
        <w:rPr>
          <w:rFonts w:hint="cs"/>
          <w:vanish/>
          <w:rtl/>
        </w:rPr>
        <w:t>=</w:t>
      </w:r>
      <w:r>
        <w:rPr>
          <w:rFonts w:hint="cs"/>
          <w:rtl/>
        </w:rPr>
        <w:t xml:space="preserve"> את דברי רבי יודן </w:t>
      </w:r>
      <w:bookmarkStart w:id="2008" w:name="_Hlk136432442"/>
      <w:r>
        <w:rPr>
          <w:rFonts w:hint="cs"/>
          <w:rtl/>
        </w:rPr>
        <w:t xml:space="preserve">בירושלמי </w:t>
      </w:r>
      <w:r w:rsidRPr="00D4778B">
        <w:rPr>
          <w:rStyle w:val="af2"/>
          <w:rFonts w:eastAsia="Guttman Hodes" w:hint="cs"/>
          <w:rtl/>
        </w:rPr>
        <w:t>(פ"ז ה"ב, מט:)</w:t>
      </w:r>
      <w:r>
        <w:rPr>
          <w:rFonts w:hint="cs"/>
          <w:rtl/>
        </w:rPr>
        <w:t xml:space="preserve"> דאם בירר צרורות כל היום מתוך כרי פטור, </w:t>
      </w:r>
      <w:r w:rsidRPr="00D4778B">
        <w:rPr>
          <w:rStyle w:val="af"/>
          <w:rFonts w:hint="cs"/>
          <w:rtl/>
        </w:rPr>
        <w:t>[דעדיין נשארו בו צרורות ולא תיקן את הכרי]</w:t>
      </w:r>
      <w:r>
        <w:rPr>
          <w:rFonts w:hint="cs"/>
          <w:rtl/>
        </w:rPr>
        <w:t>, ואם נטל בידו כגרוגרת וברר חייב</w:t>
      </w:r>
      <w:bookmarkEnd w:id="2008"/>
      <w:r>
        <w:rPr>
          <w:rFonts w:hint="cs"/>
          <w:rtl/>
        </w:rPr>
        <w:t xml:space="preserve">, וכן הביאו </w:t>
      </w:r>
      <w:r w:rsidRPr="00CB65AA">
        <w:rPr>
          <w:rStyle w:val="aff4"/>
          <w:rFonts w:hint="cs"/>
          <w:vanish/>
          <w:rtl/>
        </w:rPr>
        <w:t>-</w:t>
      </w:r>
      <w:r w:rsidRPr="006651A2">
        <w:rPr>
          <w:rStyle w:val="aff4"/>
          <w:rFonts w:hint="cs"/>
          <w:rtl/>
        </w:rPr>
        <w:t>הפרמ"ג</w:t>
      </w:r>
      <w:r w:rsidRPr="00CB65AA">
        <w:rPr>
          <w:rStyle w:val="aff4"/>
          <w:rFonts w:hint="cs"/>
          <w:vanish/>
          <w:rtl/>
        </w:rPr>
        <w:t>-</w:t>
      </w:r>
      <w:r>
        <w:rPr>
          <w:rFonts w:hint="cs"/>
          <w:rtl/>
        </w:rPr>
        <w:t xml:space="preserve"> </w:t>
      </w:r>
      <w:r w:rsidRPr="006651A2">
        <w:rPr>
          <w:rStyle w:val="af2"/>
          <w:rFonts w:eastAsia="Guttman Hodes" w:hint="cs"/>
          <w:rtl/>
        </w:rPr>
        <w:t>(סי' ש"מ א"א סקי"ח)</w:t>
      </w:r>
      <w:r>
        <w:rPr>
          <w:rFonts w:hint="cs"/>
          <w:rtl/>
        </w:rPr>
        <w:t xml:space="preserve"> </w:t>
      </w:r>
      <w:r w:rsidRPr="00CB65AA">
        <w:rPr>
          <w:rStyle w:val="aff4"/>
          <w:rFonts w:hint="cs"/>
          <w:vanish/>
          <w:rtl/>
        </w:rPr>
        <w:t>-</w:t>
      </w:r>
      <w:r w:rsidRPr="006651A2">
        <w:rPr>
          <w:rStyle w:val="aff4"/>
          <w:rFonts w:hint="cs"/>
          <w:rtl/>
        </w:rPr>
        <w:t>והביאור הלכה</w:t>
      </w:r>
      <w:r w:rsidRPr="00CB65AA">
        <w:rPr>
          <w:rStyle w:val="aff4"/>
          <w:rFonts w:hint="cs"/>
          <w:vanish/>
          <w:rtl/>
        </w:rPr>
        <w:t>-</w:t>
      </w:r>
      <w:r>
        <w:rPr>
          <w:rFonts w:hint="cs"/>
          <w:rtl/>
        </w:rPr>
        <w:t xml:space="preserve"> </w:t>
      </w:r>
      <w:r w:rsidRPr="006651A2">
        <w:rPr>
          <w:rStyle w:val="af2"/>
          <w:rFonts w:eastAsia="Guttman Hodes" w:hint="cs"/>
          <w:rtl/>
        </w:rPr>
        <w:t>(סי' ש"מ א' ד"ה ומלקט)</w:t>
      </w:r>
      <w:r>
        <w:rPr>
          <w:rFonts w:hint="cs"/>
          <w:rtl/>
        </w:rPr>
        <w:t xml:space="preserve"> את דברי הירושלמי.</w:t>
      </w:r>
      <w:bookmarkEnd w:id="2007"/>
    </w:p>
    <w:p w14:paraId="63104A11" w14:textId="77777777" w:rsidR="00316453" w:rsidRPr="00747170" w:rsidRDefault="00316453" w:rsidP="00747170">
      <w:pPr>
        <w:pStyle w:val="a2"/>
        <w:rPr>
          <w:rtl/>
        </w:rPr>
      </w:pPr>
      <w:r w:rsidRPr="00747170">
        <w:rPr>
          <w:rtl/>
        </w:rPr>
        <w:t>והבורר. אמר רבי יודן יש שהוא בורר צרורות כל היום ואינו מתחייב יש שהוא נוטל כגרוגרת (ובורר) [ומיד] מתחייב היך עבידא הי' יושב ע"ג כרי וברר צרורות כל היום אינו מתחייב נטל לתוך ידו כגרוגרת ובירר מתחייב:</w:t>
      </w:r>
    </w:p>
    <w:p w14:paraId="02F666E4" w14:textId="1649987F" w:rsidR="00316453" w:rsidRDefault="00316453" w:rsidP="00316453">
      <w:pPr>
        <w:pStyle w:val="afffff7"/>
        <w:rPr>
          <w:rtl/>
        </w:rPr>
      </w:pPr>
      <w:bookmarkStart w:id="2009" w:name="_Toc136620457"/>
      <w:bookmarkStart w:id="2010" w:name="_Toc163505736"/>
      <w:r w:rsidRPr="005D0910">
        <w:rPr>
          <w:rtl/>
        </w:rPr>
        <w:t xml:space="preserve">אגלי טל זורה </w:t>
      </w:r>
      <w:r>
        <w:rPr>
          <w:rFonts w:hint="cs"/>
          <w:rtl/>
        </w:rPr>
        <w:t>סק"</w:t>
      </w:r>
      <w:r w:rsidRPr="005D0910">
        <w:rPr>
          <w:rtl/>
        </w:rPr>
        <w:t>א</w:t>
      </w:r>
      <w:r>
        <w:rPr>
          <w:rFonts w:hint="cs"/>
          <w:rtl/>
        </w:rPr>
        <w:t xml:space="preserve"> אות ד' ד"ה אך טעם</w:t>
      </w:r>
      <w:bookmarkEnd w:id="2009"/>
      <w:bookmarkEnd w:id="2010"/>
    </w:p>
    <w:p w14:paraId="41D5DDD8" w14:textId="77777777" w:rsidR="00316453" w:rsidRDefault="00316453" w:rsidP="00316453">
      <w:pPr>
        <w:pStyle w:val="a7"/>
        <w:rPr>
          <w:rtl/>
        </w:rPr>
      </w:pPr>
      <w:bookmarkStart w:id="2011" w:name="_Toc136618690"/>
      <w:r>
        <w:rPr>
          <w:rFonts w:hint="cs"/>
          <w:rtl/>
        </w:rPr>
        <w:t>בי' האגל"ט דלירו' ברירה הוא רק כשהאוכל נקי לגמרי וא"כ מוכח דזורה הוא רק הפרדת חלקים</w:t>
      </w:r>
      <w:bookmarkEnd w:id="2011"/>
    </w:p>
    <w:p w14:paraId="44AC76F8" w14:textId="7B5E9764" w:rsidR="00316453" w:rsidRPr="00253451" w:rsidRDefault="00316453" w:rsidP="00BC7DC8">
      <w:pPr>
        <w:pStyle w:val="a3"/>
        <w:rPr>
          <w:rtl/>
        </w:rPr>
      </w:pPr>
      <w:bookmarkStart w:id="2012" w:name="_Ref136432493"/>
      <w:r>
        <w:rPr>
          <w:rFonts w:hint="cs"/>
          <w:rtl/>
        </w:rPr>
        <w:t xml:space="preserve">ולפי"ז ביאר </w:t>
      </w:r>
      <w:r w:rsidRPr="00CB65AA">
        <w:rPr>
          <w:rStyle w:val="aff4"/>
          <w:rFonts w:hint="cs"/>
          <w:vanish/>
          <w:rtl/>
        </w:rPr>
        <w:t>-</w:t>
      </w:r>
      <w:r w:rsidRPr="00996495">
        <w:rPr>
          <w:rStyle w:val="aff4"/>
          <w:rFonts w:hint="cs"/>
          <w:rtl/>
        </w:rPr>
        <w:t>ה</w:t>
      </w:r>
      <w:r w:rsidRPr="0062777A">
        <w:rPr>
          <w:rStyle w:val="aff4"/>
          <w:rFonts w:hint="cs"/>
          <w:vanish/>
          <w:rtl/>
        </w:rPr>
        <w:t xml:space="preserve">&lt;. </w:t>
      </w:r>
      <w:r w:rsidRPr="0062777A">
        <w:rPr>
          <w:rStyle w:val="aff4"/>
          <w:vanish/>
          <w:rtl/>
        </w:rPr>
        <w:fldChar w:fldCharType="begin"/>
      </w:r>
      <w:r w:rsidRPr="0062777A">
        <w:rPr>
          <w:rStyle w:val="aff4"/>
          <w:vanish/>
          <w:rtl/>
        </w:rPr>
        <w:instrText xml:space="preserve"> </w:instrText>
      </w:r>
      <w:r w:rsidRPr="0062777A">
        <w:rPr>
          <w:rStyle w:val="aff4"/>
          <w:rFonts w:hint="cs"/>
          <w:vanish/>
        </w:rPr>
        <w:instrText>REF</w:instrText>
      </w:r>
      <w:r w:rsidRPr="0062777A">
        <w:rPr>
          <w:rStyle w:val="aff4"/>
          <w:rFonts w:hint="cs"/>
          <w:vanish/>
          <w:rtl/>
        </w:rPr>
        <w:instrText xml:space="preserve"> _</w:instrText>
      </w:r>
      <w:r w:rsidRPr="0062777A">
        <w:rPr>
          <w:rStyle w:val="aff4"/>
          <w:rFonts w:hint="cs"/>
          <w:vanish/>
        </w:rPr>
        <w:instrText>Ref136432493 \r \h</w:instrText>
      </w:r>
      <w:r w:rsidRPr="0062777A">
        <w:rPr>
          <w:rStyle w:val="aff4"/>
          <w:vanish/>
          <w:rtl/>
        </w:rPr>
        <w:instrText xml:space="preserve"> </w:instrText>
      </w:r>
      <w:r w:rsidRPr="0062777A">
        <w:rPr>
          <w:rStyle w:val="aff4"/>
          <w:vanish/>
          <w:rtl/>
        </w:rPr>
      </w:r>
      <w:r w:rsidRPr="0062777A">
        <w:rPr>
          <w:rStyle w:val="aff4"/>
          <w:vanish/>
          <w:rtl/>
        </w:rPr>
        <w:fldChar w:fldCharType="separate"/>
      </w:r>
      <w:r w:rsidR="00D82181">
        <w:rPr>
          <w:rStyle w:val="aff4"/>
          <w:vanish/>
          <w:cs/>
        </w:rPr>
        <w:t>‎</w:t>
      </w:r>
      <w:r w:rsidR="00D82181">
        <w:rPr>
          <w:rStyle w:val="aff4"/>
          <w:vanish/>
          <w:rtl/>
        </w:rPr>
        <w:t>לג)</w:t>
      </w:r>
      <w:r w:rsidRPr="0062777A">
        <w:rPr>
          <w:rStyle w:val="aff4"/>
          <w:vanish/>
          <w:rtl/>
        </w:rPr>
        <w:fldChar w:fldCharType="end"/>
      </w:r>
      <w:r w:rsidRPr="0062777A">
        <w:rPr>
          <w:rStyle w:val="aff4"/>
          <w:rFonts w:hint="cs"/>
          <w:vanish/>
          <w:rtl/>
        </w:rPr>
        <w:t xml:space="preserve"> &gt;</w:t>
      </w:r>
      <w:r w:rsidRPr="00996495">
        <w:rPr>
          <w:rStyle w:val="aff4"/>
          <w:rFonts w:hint="cs"/>
          <w:rtl/>
        </w:rPr>
        <w:t>אגלי טל</w:t>
      </w:r>
      <w:r w:rsidRPr="00CB65AA">
        <w:rPr>
          <w:rStyle w:val="aff4"/>
          <w:rFonts w:hint="cs"/>
          <w:vanish/>
          <w:rtl/>
        </w:rPr>
        <w:t>-</w:t>
      </w:r>
      <w:r>
        <w:rPr>
          <w:rFonts w:hint="cs"/>
          <w:rtl/>
        </w:rPr>
        <w:t xml:space="preserve"> </w:t>
      </w:r>
      <w:r w:rsidRPr="00D4778B">
        <w:rPr>
          <w:rStyle w:val="af2"/>
          <w:rFonts w:eastAsia="Guttman Hodes" w:hint="cs"/>
          <w:rtl/>
        </w:rPr>
        <w:t>(זורה סק"א אות ד' ד"ה אך טעם)</w:t>
      </w:r>
      <w:r w:rsidRPr="00CB65AA">
        <w:rPr>
          <w:rFonts w:hint="cs"/>
          <w:vanish/>
          <w:rtl/>
        </w:rPr>
        <w:t>=</w:t>
      </w:r>
      <w:r>
        <w:rPr>
          <w:rFonts w:hint="cs"/>
          <w:rtl/>
        </w:rPr>
        <w:t xml:space="preserve"> דהא דלדעת הירושלמי זורה הוא הפרדת חלקים, ולא הפרדת אוכל מפסולת, הוא כיון</w:t>
      </w:r>
      <w:bookmarkEnd w:id="2012"/>
      <w:r>
        <w:rPr>
          <w:rFonts w:hint="cs"/>
          <w:rtl/>
        </w:rPr>
        <w:t xml:space="preserve"> דס"ל לירושלמי דחיוב בורר בהפרדת אוכל מפסולת הוא רק כשהאוכל נקי לגמרי, כדמוכח מדברי רב יודן, וא"כ בזורה דאחר הזרייה עדיין יש צרורות בכרי, א"א לומר דהוא הפרדת פסולת מאוכל</w:t>
      </w:r>
      <w:r>
        <w:rPr>
          <w:rStyle w:val="afff0"/>
          <w:rtl/>
        </w:rPr>
        <w:footnoteReference w:id="8"/>
      </w:r>
      <w:r>
        <w:rPr>
          <w:rFonts w:hint="cs"/>
          <w:rtl/>
        </w:rPr>
        <w:t xml:space="preserve">, </w:t>
      </w:r>
      <w:r w:rsidRPr="00D4778B">
        <w:rPr>
          <w:rStyle w:val="af"/>
          <w:rFonts w:hint="cs"/>
          <w:rtl/>
        </w:rPr>
        <w:t xml:space="preserve">[וכתב </w:t>
      </w:r>
      <w:r w:rsidRPr="00EB1A7E">
        <w:rPr>
          <w:rStyle w:val="aff9"/>
          <w:rFonts w:hint="cs"/>
          <w:vanish/>
          <w:rtl/>
        </w:rPr>
        <w:t>-</w:t>
      </w:r>
      <w:r w:rsidRPr="00D4778B">
        <w:rPr>
          <w:rStyle w:val="aff9"/>
          <w:rFonts w:hint="cs"/>
          <w:rtl/>
        </w:rPr>
        <w:t>האגלי טל</w:t>
      </w:r>
      <w:r w:rsidRPr="00EB1A7E">
        <w:rPr>
          <w:rStyle w:val="aff9"/>
          <w:rFonts w:hint="cs"/>
          <w:vanish/>
          <w:rtl/>
        </w:rPr>
        <w:t>-</w:t>
      </w:r>
      <w:r w:rsidRPr="00D4778B">
        <w:rPr>
          <w:rStyle w:val="af"/>
          <w:rFonts w:hint="cs"/>
          <w:rtl/>
        </w:rPr>
        <w:t xml:space="preserve"> דבבורר האוכל נקי לגמרי דקליפת החיטין אינה פסולת לפני הטחינה, ומלאכת מרקד היא רק אחר הטחינה דהקליפות נעשו לפסולת]</w:t>
      </w:r>
      <w:r>
        <w:rPr>
          <w:rFonts w:hint="cs"/>
          <w:rtl/>
        </w:rPr>
        <w:t xml:space="preserve">, ולכן ס"ל לירושלמי דגדר זורה הוא הפרדת חלקים, אבל לדעת הבבלי דזורה דמי לבורר, א"כ פשיטא דהפרדת אוכל מפסולת היא אף כשעדיין יש פסולת באוכל כמו לאחר הזרייה, ופליג הבבלי על רב יודן דפוטר בזה, ולכן השמיטו </w:t>
      </w:r>
      <w:r w:rsidRPr="00CB65AA">
        <w:rPr>
          <w:rStyle w:val="aff4"/>
          <w:rFonts w:hint="cs"/>
          <w:vanish/>
          <w:rtl/>
        </w:rPr>
        <w:t>-</w:t>
      </w:r>
      <w:r w:rsidRPr="00996495">
        <w:rPr>
          <w:rStyle w:val="aff4"/>
          <w:rFonts w:hint="cs"/>
          <w:rtl/>
        </w:rPr>
        <w:t>הפוסקים</w:t>
      </w:r>
      <w:r w:rsidRPr="00CB65AA">
        <w:rPr>
          <w:rStyle w:val="aff4"/>
          <w:rFonts w:hint="cs"/>
          <w:vanish/>
          <w:rtl/>
        </w:rPr>
        <w:t>-</w:t>
      </w:r>
      <w:r>
        <w:rPr>
          <w:rFonts w:hint="cs"/>
          <w:rtl/>
        </w:rPr>
        <w:t xml:space="preserve"> </w:t>
      </w:r>
      <w:r w:rsidRPr="00496142">
        <w:rPr>
          <w:rStyle w:val="af2"/>
          <w:rFonts w:eastAsia="Guttman Hodes" w:hint="cs"/>
          <w:rtl/>
        </w:rPr>
        <w:t xml:space="preserve">(עי' אות </w:t>
      </w:r>
      <w:r w:rsidRPr="00496142">
        <w:rPr>
          <w:rStyle w:val="af2"/>
          <w:rFonts w:eastAsia="Guttman Hodes"/>
          <w:rtl/>
        </w:rPr>
        <w:fldChar w:fldCharType="begin"/>
      </w:r>
      <w:r w:rsidRPr="00496142">
        <w:rPr>
          <w:rStyle w:val="af2"/>
          <w:rFonts w:eastAsia="Guttman Hodes"/>
          <w:rtl/>
        </w:rPr>
        <w:instrText xml:space="preserve"> </w:instrText>
      </w:r>
      <w:r w:rsidRPr="00496142">
        <w:rPr>
          <w:rStyle w:val="af2"/>
          <w:rFonts w:eastAsia="Guttman Hodes" w:hint="cs"/>
        </w:rPr>
        <w:instrText>REF</w:instrText>
      </w:r>
      <w:r w:rsidRPr="00496142">
        <w:rPr>
          <w:rStyle w:val="af2"/>
          <w:rFonts w:eastAsia="Guttman Hodes" w:hint="cs"/>
          <w:rtl/>
        </w:rPr>
        <w:instrText xml:space="preserve"> _</w:instrText>
      </w:r>
      <w:r w:rsidRPr="00496142">
        <w:rPr>
          <w:rStyle w:val="af2"/>
          <w:rFonts w:eastAsia="Guttman Hodes" w:hint="cs"/>
        </w:rPr>
        <w:instrText>Ref136540136 \r \h</w:instrText>
      </w:r>
      <w:r w:rsidRPr="00496142">
        <w:rPr>
          <w:rStyle w:val="af2"/>
          <w:rFonts w:eastAsia="Guttman Hodes"/>
          <w:rtl/>
        </w:rPr>
        <w:instrText xml:space="preserve"> </w:instrText>
      </w:r>
      <w:r w:rsidRPr="00496142">
        <w:rPr>
          <w:rStyle w:val="af2"/>
          <w:rFonts w:eastAsia="Guttman Hodes"/>
          <w:rtl/>
        </w:rPr>
      </w:r>
      <w:r w:rsidRPr="00496142">
        <w:rPr>
          <w:rStyle w:val="af2"/>
          <w:rFonts w:eastAsia="Guttman Hodes"/>
          <w:rtl/>
        </w:rPr>
        <w:fldChar w:fldCharType="separate"/>
      </w:r>
      <w:r w:rsidR="00D82181">
        <w:rPr>
          <w:rStyle w:val="af2"/>
          <w:rFonts w:eastAsia="Guttman Hodes"/>
          <w:cs/>
        </w:rPr>
        <w:t>‎</w:t>
      </w:r>
      <w:r w:rsidR="00D82181">
        <w:rPr>
          <w:rStyle w:val="af2"/>
          <w:rFonts w:eastAsia="Guttman Hodes"/>
          <w:rtl/>
        </w:rPr>
        <w:t>כז)</w:t>
      </w:r>
      <w:r w:rsidRPr="00496142">
        <w:rPr>
          <w:rStyle w:val="af2"/>
          <w:rFonts w:eastAsia="Guttman Hodes"/>
          <w:rtl/>
        </w:rPr>
        <w:fldChar w:fldCharType="end"/>
      </w:r>
      <w:r>
        <w:rPr>
          <w:rFonts w:hint="cs"/>
          <w:rtl/>
        </w:rPr>
        <w:t xml:space="preserve"> את דברי רב יודן וכן את חיוב הירושלמי ברוקק לרוח, והא דהביא </w:t>
      </w:r>
      <w:r w:rsidRPr="00CB65AA">
        <w:rPr>
          <w:rStyle w:val="aff4"/>
          <w:rFonts w:hint="cs"/>
          <w:vanish/>
          <w:rtl/>
        </w:rPr>
        <w:t>-</w:t>
      </w:r>
      <w:r w:rsidRPr="00996495">
        <w:rPr>
          <w:rStyle w:val="aff4"/>
          <w:rFonts w:hint="cs"/>
          <w:rtl/>
        </w:rPr>
        <w:t>האו"ז</w:t>
      </w:r>
      <w:r w:rsidRPr="00CB65AA">
        <w:rPr>
          <w:rStyle w:val="aff4"/>
          <w:rFonts w:hint="cs"/>
          <w:vanish/>
          <w:rtl/>
        </w:rPr>
        <w:t>-</w:t>
      </w:r>
      <w:r>
        <w:rPr>
          <w:rFonts w:hint="cs"/>
          <w:rtl/>
        </w:rPr>
        <w:t xml:space="preserve"> </w:t>
      </w:r>
      <w:r w:rsidRPr="00D4778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Ref136592082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כג)</w:t>
      </w:r>
      <w:r>
        <w:rPr>
          <w:rStyle w:val="af2"/>
          <w:rFonts w:eastAsia="Guttman Hodes"/>
          <w:rtl/>
        </w:rPr>
        <w:fldChar w:fldCharType="end"/>
      </w:r>
      <w:r>
        <w:rPr>
          <w:rFonts w:hint="cs"/>
          <w:rtl/>
        </w:rPr>
        <w:t xml:space="preserve"> את דברי הירושלמי היינו רק לחוש לדבריו, וע"ע במ"ש בזה </w:t>
      </w:r>
      <w:r w:rsidRPr="00EB1A7E">
        <w:rPr>
          <w:rStyle w:val="aff4"/>
          <w:rFonts w:hint="cs"/>
          <w:vanish/>
          <w:rtl/>
        </w:rPr>
        <w:t>-</w:t>
      </w:r>
      <w:r w:rsidRPr="00D4778B">
        <w:rPr>
          <w:rStyle w:val="aff4"/>
          <w:rFonts w:hint="cs"/>
          <w:rtl/>
        </w:rPr>
        <w:t>ה</w:t>
      </w:r>
      <w:r w:rsidRPr="00EB1A7E">
        <w:rPr>
          <w:rStyle w:val="aff4"/>
          <w:rFonts w:hint="cs"/>
          <w:vanish/>
          <w:rtl/>
        </w:rPr>
        <w:t>&lt; &gt;</w:t>
      </w:r>
      <w:r w:rsidRPr="00D4778B">
        <w:rPr>
          <w:rStyle w:val="aff4"/>
          <w:rFonts w:hint="cs"/>
          <w:rtl/>
        </w:rPr>
        <w:t>שביתת השבת</w:t>
      </w:r>
      <w:r w:rsidRPr="00EB1A7E">
        <w:rPr>
          <w:rStyle w:val="aff4"/>
          <w:rFonts w:hint="cs"/>
          <w:vanish/>
          <w:rtl/>
        </w:rPr>
        <w:t>-</w:t>
      </w:r>
      <w:r>
        <w:rPr>
          <w:rFonts w:hint="cs"/>
          <w:rtl/>
        </w:rPr>
        <w:t xml:space="preserve"> </w:t>
      </w:r>
      <w:r w:rsidRPr="00D4778B">
        <w:rPr>
          <w:rStyle w:val="af2"/>
          <w:rFonts w:eastAsia="Guttman Hodes" w:hint="cs"/>
          <w:rtl/>
        </w:rPr>
        <w:t>(זורה אות ט"ו ד"ה והאגלי טל)</w:t>
      </w:r>
      <w:r w:rsidRPr="00EB1A7E">
        <w:rPr>
          <w:rFonts w:hint="cs"/>
          <w:vanish/>
          <w:rtl/>
        </w:rPr>
        <w:t>=</w:t>
      </w:r>
      <w:r>
        <w:rPr>
          <w:rFonts w:hint="cs"/>
          <w:rtl/>
        </w:rPr>
        <w:t>.</w:t>
      </w:r>
    </w:p>
    <w:p w14:paraId="275CEE39" w14:textId="77777777" w:rsidR="00316453" w:rsidRPr="00747170" w:rsidRDefault="00316453" w:rsidP="00747170">
      <w:pPr>
        <w:pStyle w:val="a2"/>
        <w:rPr>
          <w:rtl/>
        </w:rPr>
      </w:pPr>
      <w:r w:rsidRPr="00747170">
        <w:rPr>
          <w:rtl/>
        </w:rPr>
        <w:t>אך טעם הירושלמי דס"ל זורה לאו משום שמבדיל פסולת מאוכל הוא דאזיל לטעמי' מאמר ב' שהבאתי באות א' דיושב ע"ג כרי ובורר צרורות כל היום אינו מתחייב דכל זמן שלא בירר כל הפסולת לא חשוב ברירה. וא"כ כיון שאחר מלאכת זורה לברר המוץ עוד נשאר צרורות אשר אינם מסתלקים רק ע"י מלאכת בורר. נמצא שבשעת זריי' לא הוברר כל הפסולת ואינו כעין בורר ומרקד. ולמה יתחייב כלל. ובשלמא על בורר לא קשיא דעדיין יש אחריו מלאכת מרקד. דליתא דבורר הוא בחטים ומרקד הוא בקמח וקליפת החטים לא חשוב פסולת רק לאחר שנטחן או בשעה שרוצה לטחון אבל בתחלה הקליפה שומר על החטה ומשעה שהוברר הצרורות חשוב נסתלק כל פסולת החיטין. ועוד נ"ל והוא העיקר אצלי משום דכשמבררין המוץ [ע"י זרוי'] והצרורות מכניסין התבואה לאוצר והמוץ והצרורות זורין הלאה ושפיר הוי בורר תבואה אוכל מתוך הצרורות פסולת. לענין הכנסה לאוצר. ועיין בביאורנו למלאכת דש ס"ק ו'. אבל במלאכת זורה לא הוי סילוק כל הפסולת. ולירושלמי זה לא חשוב ברירה ע"כ ס"ל דזורה מלאכה אחרת היא מה שמפריח לרוח. האמנם כי יש לחלק ולומר דוקא בורר צרורות ולא בירר כל הצרורות עדיין לא בירר. אבל זורה שהוא לברר הקשין ובורר הוא לברר הצרורות. וכיון שבקשין לא שייר הוי בורר מקשין ומלאכה שלימה היא. אך ז"א דהא בגמ' אמר דדמיין להדדי רק משום שהיו במשכן הם אבות. רק שקצת חילוק ביניהם שלא יהי' דבר אחד לגמרי כמו מיסך ואורג וכי בשביל קצת חילוק יהי' מלאכה שלימה וזה פשוט. ועיין לקמן ס"ק ב' אות ב'. ובגמרא דידן ע"כ ס"ל דאף שאינו מסלק כל הפסולת חשוב בורר ע"כ קאמר דזורה ובורר ומרקד דמיין להדדי. ומוכח דלית לי' לגמרא דידן הא דר' יודן דבורר צרורות מכרי כל היום ולא בירר כולו פטור. ורקק והפריחתו הרוח אין ענין כלל לזורה. וע"כ השמיטו הפוסקים שני המימרות האלה. והאו"ז הביאם לחוש לירושלמי:</w:t>
      </w:r>
    </w:p>
    <w:p w14:paraId="332BCA4A" w14:textId="70E6FDE0" w:rsidR="00316453" w:rsidRDefault="00316453" w:rsidP="00316453">
      <w:pPr>
        <w:pStyle w:val="afffff7"/>
        <w:rPr>
          <w:rtl/>
        </w:rPr>
      </w:pPr>
      <w:bookmarkStart w:id="2013" w:name="_Toc136620458"/>
      <w:bookmarkStart w:id="2014" w:name="_Toc163505737"/>
      <w:r w:rsidRPr="005D0910">
        <w:rPr>
          <w:rtl/>
        </w:rPr>
        <w:t xml:space="preserve">אגלי טל זורה </w:t>
      </w:r>
      <w:r>
        <w:rPr>
          <w:rFonts w:hint="cs"/>
          <w:rtl/>
        </w:rPr>
        <w:t>סק"</w:t>
      </w:r>
      <w:r w:rsidRPr="005D0910">
        <w:rPr>
          <w:rtl/>
        </w:rPr>
        <w:t>א</w:t>
      </w:r>
      <w:r>
        <w:rPr>
          <w:rFonts w:hint="cs"/>
          <w:rtl/>
        </w:rPr>
        <w:t xml:space="preserve"> אות ד' ד"ה אך להבין</w:t>
      </w:r>
      <w:bookmarkEnd w:id="2013"/>
      <w:bookmarkEnd w:id="2014"/>
    </w:p>
    <w:p w14:paraId="31FC3A99" w14:textId="77777777" w:rsidR="00316453" w:rsidRDefault="00316453" w:rsidP="00316453">
      <w:pPr>
        <w:pStyle w:val="a7"/>
        <w:rPr>
          <w:rtl/>
        </w:rPr>
      </w:pPr>
      <w:bookmarkStart w:id="2015" w:name="_Toc136618691"/>
      <w:r>
        <w:rPr>
          <w:rFonts w:hint="cs"/>
          <w:rtl/>
        </w:rPr>
        <w:t>בי' האגל"ט בירו' דמלאכת בורר היא באוכל ולא בפסולת וכל שלא תיקן האוכל אי"ז מלאכה</w:t>
      </w:r>
      <w:bookmarkEnd w:id="2015"/>
    </w:p>
    <w:p w14:paraId="3460BE86" w14:textId="14C944A8" w:rsidR="00316453" w:rsidRPr="00D81079" w:rsidRDefault="00316453" w:rsidP="00BC7DC8">
      <w:pPr>
        <w:pStyle w:val="a3"/>
        <w:rPr>
          <w:rtl/>
        </w:rPr>
      </w:pPr>
      <w:bookmarkStart w:id="2016" w:name="_Ref136444021"/>
      <w:bookmarkStart w:id="2017" w:name="_Ref136618802"/>
      <w:r>
        <w:rPr>
          <w:rFonts w:hint="cs"/>
          <w:rtl/>
        </w:rPr>
        <w:t xml:space="preserve">וכתב </w:t>
      </w:r>
      <w:r w:rsidRPr="00CB65AA">
        <w:rPr>
          <w:rStyle w:val="aff4"/>
          <w:rFonts w:hint="cs"/>
          <w:vanish/>
          <w:rtl/>
        </w:rPr>
        <w:t>-</w:t>
      </w:r>
      <w:r w:rsidRPr="00996495">
        <w:rPr>
          <w:rStyle w:val="aff4"/>
          <w:rFonts w:hint="cs"/>
          <w:rtl/>
        </w:rPr>
        <w:t>ה</w:t>
      </w:r>
      <w:r w:rsidRPr="0062777A">
        <w:rPr>
          <w:rStyle w:val="aff4"/>
          <w:rFonts w:hint="cs"/>
          <w:vanish/>
          <w:rtl/>
        </w:rPr>
        <w:t xml:space="preserve">&lt;. </w:t>
      </w:r>
      <w:r w:rsidRPr="0062777A">
        <w:rPr>
          <w:rStyle w:val="aff4"/>
          <w:vanish/>
          <w:rtl/>
        </w:rPr>
        <w:fldChar w:fldCharType="begin"/>
      </w:r>
      <w:r w:rsidRPr="0062777A">
        <w:rPr>
          <w:rStyle w:val="aff4"/>
          <w:vanish/>
          <w:rtl/>
        </w:rPr>
        <w:instrText xml:space="preserve"> </w:instrText>
      </w:r>
      <w:r w:rsidRPr="0062777A">
        <w:rPr>
          <w:rStyle w:val="aff4"/>
          <w:rFonts w:hint="cs"/>
          <w:vanish/>
        </w:rPr>
        <w:instrText>REF</w:instrText>
      </w:r>
      <w:r w:rsidRPr="0062777A">
        <w:rPr>
          <w:rStyle w:val="aff4"/>
          <w:rFonts w:hint="cs"/>
          <w:vanish/>
          <w:rtl/>
        </w:rPr>
        <w:instrText xml:space="preserve"> _</w:instrText>
      </w:r>
      <w:r w:rsidRPr="0062777A">
        <w:rPr>
          <w:rStyle w:val="aff4"/>
          <w:rFonts w:hint="cs"/>
          <w:vanish/>
        </w:rPr>
        <w:instrText>Ref136444021 \r \h</w:instrText>
      </w:r>
      <w:r w:rsidRPr="0062777A">
        <w:rPr>
          <w:rStyle w:val="aff4"/>
          <w:vanish/>
          <w:rtl/>
        </w:rPr>
        <w:instrText xml:space="preserve"> </w:instrText>
      </w:r>
      <w:r w:rsidRPr="0062777A">
        <w:rPr>
          <w:rStyle w:val="aff4"/>
          <w:vanish/>
          <w:rtl/>
        </w:rPr>
      </w:r>
      <w:r w:rsidRPr="0062777A">
        <w:rPr>
          <w:rStyle w:val="aff4"/>
          <w:vanish/>
          <w:rtl/>
        </w:rPr>
        <w:fldChar w:fldCharType="separate"/>
      </w:r>
      <w:r w:rsidR="00D82181">
        <w:rPr>
          <w:rStyle w:val="aff4"/>
          <w:vanish/>
          <w:cs/>
        </w:rPr>
        <w:t>‎</w:t>
      </w:r>
      <w:r w:rsidR="00D82181">
        <w:rPr>
          <w:rStyle w:val="aff4"/>
          <w:vanish/>
          <w:rtl/>
        </w:rPr>
        <w:t>לד)</w:t>
      </w:r>
      <w:r w:rsidRPr="0062777A">
        <w:rPr>
          <w:rStyle w:val="aff4"/>
          <w:vanish/>
          <w:rtl/>
        </w:rPr>
        <w:fldChar w:fldCharType="end"/>
      </w:r>
      <w:r w:rsidRPr="0062777A">
        <w:rPr>
          <w:rStyle w:val="aff4"/>
          <w:rFonts w:hint="cs"/>
          <w:vanish/>
          <w:rtl/>
        </w:rPr>
        <w:t xml:space="preserve"> &gt;</w:t>
      </w:r>
      <w:r w:rsidRPr="00996495">
        <w:rPr>
          <w:rStyle w:val="aff4"/>
          <w:rFonts w:hint="cs"/>
          <w:rtl/>
        </w:rPr>
        <w:t>אגלי טל</w:t>
      </w:r>
      <w:r w:rsidRPr="00CB65AA">
        <w:rPr>
          <w:rStyle w:val="aff4"/>
          <w:rFonts w:hint="cs"/>
          <w:vanish/>
          <w:rtl/>
        </w:rPr>
        <w:t>-</w:t>
      </w:r>
      <w:r>
        <w:rPr>
          <w:rFonts w:hint="cs"/>
          <w:rtl/>
        </w:rPr>
        <w:t xml:space="preserve"> </w:t>
      </w:r>
      <w:r w:rsidRPr="00D4778B">
        <w:rPr>
          <w:rStyle w:val="af2"/>
          <w:rFonts w:eastAsia="Guttman Hodes" w:hint="cs"/>
          <w:rtl/>
        </w:rPr>
        <w:t>(זורה סק"א אות ד' ד"ה אך להבין)</w:t>
      </w:r>
      <w:r w:rsidRPr="00CB65AA">
        <w:rPr>
          <w:rFonts w:hint="cs"/>
          <w:vanish/>
          <w:rtl/>
        </w:rPr>
        <w:t>=</w:t>
      </w:r>
      <w:r>
        <w:rPr>
          <w:rFonts w:hint="cs"/>
          <w:rtl/>
        </w:rPr>
        <w:t xml:space="preserve"> דלדעת הירושלמי כ"ז שלא בירר את כל הכרי לא חשיב מלאכה כלל, כיון דס"ל לירושלמי דבברירת פסולת מאוכל המלאכה היא באוכל ולא בפסולת, וכל שהאוכל לא מבורר אי"ז מלאכה, אבל אי המלאכה היא בפסולת, כדעת </w:t>
      </w:r>
      <w:r w:rsidRPr="00CB65AA">
        <w:rPr>
          <w:rStyle w:val="aff4"/>
          <w:rFonts w:hint="cs"/>
          <w:vanish/>
          <w:rtl/>
        </w:rPr>
        <w:t>-</w:t>
      </w:r>
      <w:r w:rsidRPr="00996495">
        <w:rPr>
          <w:rStyle w:val="aff4"/>
          <w:rFonts w:hint="cs"/>
          <w:rtl/>
        </w:rPr>
        <w:t>הבעה"מ</w:t>
      </w:r>
      <w:r w:rsidRPr="00CB65AA">
        <w:rPr>
          <w:rStyle w:val="aff4"/>
          <w:rFonts w:hint="cs"/>
          <w:vanish/>
          <w:rtl/>
        </w:rPr>
        <w:t>-</w:t>
      </w:r>
      <w:r>
        <w:rPr>
          <w:rFonts w:hint="cs"/>
          <w:rtl/>
        </w:rPr>
        <w:t xml:space="preserve"> </w:t>
      </w:r>
      <w:r w:rsidRPr="00D4778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Ref135759377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יג)</w:t>
      </w:r>
      <w:r>
        <w:rPr>
          <w:rStyle w:val="af2"/>
          <w:rFonts w:eastAsia="Guttman Hodes"/>
          <w:rtl/>
        </w:rPr>
        <w:fldChar w:fldCharType="end"/>
      </w:r>
      <w:r>
        <w:rPr>
          <w:rFonts w:hint="cs"/>
          <w:rtl/>
        </w:rPr>
        <w:t xml:space="preserve"> </w:t>
      </w:r>
      <w:r w:rsidRPr="00CB65AA">
        <w:rPr>
          <w:rStyle w:val="aff4"/>
          <w:rFonts w:hint="cs"/>
          <w:vanish/>
          <w:rtl/>
        </w:rPr>
        <w:t>-</w:t>
      </w:r>
      <w:r w:rsidRPr="00996495">
        <w:rPr>
          <w:rStyle w:val="aff4"/>
          <w:rFonts w:hint="cs"/>
          <w:rtl/>
        </w:rPr>
        <w:t>והרמב"ן</w:t>
      </w:r>
      <w:r w:rsidRPr="00CB65AA">
        <w:rPr>
          <w:rStyle w:val="aff4"/>
          <w:rFonts w:hint="cs"/>
          <w:vanish/>
          <w:rtl/>
        </w:rPr>
        <w:t>-</w:t>
      </w:r>
      <w:r>
        <w:rPr>
          <w:rFonts w:hint="cs"/>
          <w:rtl/>
        </w:rPr>
        <w:t xml:space="preserve"> </w:t>
      </w:r>
      <w:r w:rsidRPr="00D4778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Ref136336170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יד)</w:t>
      </w:r>
      <w:r>
        <w:rPr>
          <w:rStyle w:val="af2"/>
          <w:rFonts w:eastAsia="Guttman Hodes"/>
          <w:rtl/>
        </w:rPr>
        <w:fldChar w:fldCharType="end"/>
      </w:r>
      <w:r>
        <w:rPr>
          <w:rFonts w:hint="cs"/>
          <w:rtl/>
        </w:rPr>
        <w:t>, א"כ אף כשבירר מקצת מהצרורות הוי מלאכה בפסולת שביררה לעצמה</w:t>
      </w:r>
      <w:bookmarkEnd w:id="2016"/>
      <w:r>
        <w:rPr>
          <w:rFonts w:hint="cs"/>
          <w:rtl/>
        </w:rPr>
        <w:t>.</w:t>
      </w:r>
      <w:bookmarkEnd w:id="2017"/>
    </w:p>
    <w:p w14:paraId="7E79E455" w14:textId="77777777" w:rsidR="00316453" w:rsidRPr="00747170" w:rsidRDefault="00316453" w:rsidP="00747170">
      <w:pPr>
        <w:pStyle w:val="a2"/>
        <w:rPr>
          <w:rtl/>
        </w:rPr>
      </w:pPr>
      <w:r w:rsidRPr="00747170">
        <w:rPr>
          <w:rtl/>
        </w:rPr>
        <w:t>(ה) אך להבין באיזה סברא פליגי בבלי וירושלמי דלירושלמי לא הוי בורר אלא א"כ בורר כולו ולבבלי בכל ענין חשוב בורר. דהנה יש לבאר טעם הירושלמי אם משום דלא חשוב תיקון הכרי עד שיברור כל הפסולת או משום דלא חשוב מלאכה כלל עד שיברור כולו. דמלאכת בורר הוא במה שמבורר ומאחר שנשאר פסולת הרי עדיין אינו מבורר. ונראה דודאי הטעם משום דלא חשוב מלאכה כלל דודאי הכרי מתוקן קצת בהפרשת מקצת הפסולת ואין פת שיש בו פסולת מעט גרוע כמו אותו שיש בו פסולת הרבה. ועוד דבשבת ק"ג: גבי שני חוטין בבגד ושני בתים בנפה דחייב כתב רש"י בד"ה שם משמעון משום דיש שמקיימין כך לפי שאין אדם אורג בגד ביום אחד ועושה נפה בבת אחת ועושה כדי קיום שלא יהא נסתר מאליו. הרי דאף דשני חוטין לא חזי למידי וכן שני בתים בנפה מ"מ כיון שלפעמים אינו עושה בבת אחת יותר חייב א"כ בבירר צרורות כל היום אף שעדיין לא נתברר כל הפסולת. מ"מ ודאי אין דרך לישב כל היום ולילה ביחד עד שיתברר הכל ולמה אינו חייב בבירר כל היום. אלא ודאי משום דעדיין לא חשוב מלאכה כלל. דלא יקרא בורר כלל רק כשיהיה מבורר. וגבי אורג שני חוטין דמ"מ מלאכה הוא אלא דעדיין אינו שיעור הראוי ואין בו חשיבות לזה מועיל מה שאינו עושה בבת אחת יותר. אבל בבורר צרורות כל היום ולא בירר כל הפסולת עוד לא בירר כל הכרי כלל. דכ"ז שיש בו פסולת לא חשוב ברירה. והנה מוכח מירושלמי דמלאכת בורר פסולת מתוך אוכל הוא באוכל שהוברר מפסולת דאם נימא דמלאכת בורר הוא בהפסולת שהוברר ונדחה מהאוכל מה לי אם עוד נשאר פסולת בהכרי הרי סוף סוף הפסולת שהוברר הוא מבורר ומופרש לעצמו. אלא ודאי דהמלאכה הוא בהאוכל וכיון שהאוכל עדיין אינו מבורר ומופרש לעצמו לא עשה מלאכת בורר כלל:</w:t>
      </w:r>
    </w:p>
    <w:p w14:paraId="25397FED" w14:textId="0E504B9D" w:rsidR="00316453" w:rsidRDefault="00316453" w:rsidP="00316453">
      <w:pPr>
        <w:pStyle w:val="afffff7"/>
        <w:rPr>
          <w:rtl/>
        </w:rPr>
      </w:pPr>
      <w:bookmarkStart w:id="2018" w:name="_Toc136620459"/>
      <w:bookmarkStart w:id="2019" w:name="_Toc163505738"/>
      <w:r>
        <w:rPr>
          <w:rtl/>
        </w:rPr>
        <w:t xml:space="preserve">אגלי טל זורה </w:t>
      </w:r>
      <w:r>
        <w:rPr>
          <w:rFonts w:hint="cs"/>
          <w:rtl/>
        </w:rPr>
        <w:t>סק"</w:t>
      </w:r>
      <w:r>
        <w:rPr>
          <w:rtl/>
        </w:rPr>
        <w:t>א</w:t>
      </w:r>
      <w:r w:rsidRPr="00FB4CE6">
        <w:rPr>
          <w:rtl/>
        </w:rPr>
        <w:t xml:space="preserve"> </w:t>
      </w:r>
      <w:r>
        <w:rPr>
          <w:rtl/>
        </w:rPr>
        <w:t>אות</w:t>
      </w:r>
      <w:r>
        <w:rPr>
          <w:rFonts w:hint="cs"/>
          <w:rtl/>
        </w:rPr>
        <w:t xml:space="preserve"> ז' ד"ה וצ"ל</w:t>
      </w:r>
      <w:bookmarkEnd w:id="2018"/>
      <w:bookmarkEnd w:id="2019"/>
    </w:p>
    <w:p w14:paraId="29ED6211" w14:textId="77777777" w:rsidR="00316453" w:rsidRDefault="00316453" w:rsidP="00316453">
      <w:pPr>
        <w:pStyle w:val="a7"/>
        <w:rPr>
          <w:rtl/>
        </w:rPr>
      </w:pPr>
      <w:bookmarkStart w:id="2020" w:name="_Toc136618692"/>
      <w:r>
        <w:rPr>
          <w:rFonts w:hint="cs"/>
          <w:rtl/>
        </w:rPr>
        <w:t>בי' האגל"ט בתוס' דבבורר המלאכה באוכל ואפ"ה לבבלי אף מקצת ברירה חשיב תיקון באוכל</w:t>
      </w:r>
      <w:bookmarkEnd w:id="2020"/>
    </w:p>
    <w:p w14:paraId="12D7FE25" w14:textId="4830C7F5" w:rsidR="00316453" w:rsidRPr="005C1424" w:rsidRDefault="00316453" w:rsidP="00BC7DC8">
      <w:pPr>
        <w:pStyle w:val="a3"/>
        <w:rPr>
          <w:rtl/>
        </w:rPr>
      </w:pPr>
      <w:bookmarkStart w:id="2021" w:name="_Ref136444215"/>
      <w:bookmarkStart w:id="2022" w:name="_Ref136595003"/>
      <w:r>
        <w:rPr>
          <w:rFonts w:hint="cs"/>
          <w:rtl/>
        </w:rPr>
        <w:t xml:space="preserve">וכתב </w:t>
      </w:r>
      <w:r w:rsidRPr="006B10B8">
        <w:rPr>
          <w:rStyle w:val="aff4"/>
          <w:rFonts w:hint="cs"/>
          <w:vanish/>
          <w:rtl/>
        </w:rPr>
        <w:t>-</w:t>
      </w:r>
      <w:r w:rsidRPr="0085567C">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Ref136595003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לה)</w:t>
      </w:r>
      <w:r>
        <w:rPr>
          <w:rStyle w:val="aff4"/>
          <w:vanish/>
          <w:rtl/>
        </w:rPr>
        <w:fldChar w:fldCharType="end"/>
      </w:r>
      <w:r>
        <w:rPr>
          <w:rStyle w:val="aff4"/>
          <w:rFonts w:hint="cs"/>
          <w:vanish/>
          <w:rtl/>
        </w:rPr>
        <w:t xml:space="preserve"> &gt;</w:t>
      </w:r>
      <w:r w:rsidRPr="00F2795D">
        <w:rPr>
          <w:rStyle w:val="aff4"/>
          <w:rFonts w:hint="cs"/>
          <w:rtl/>
        </w:rPr>
        <w:t>אגלי טל</w:t>
      </w:r>
      <w:r w:rsidRPr="006B10B8">
        <w:rPr>
          <w:rStyle w:val="aff4"/>
          <w:rFonts w:hint="cs"/>
          <w:vanish/>
          <w:rtl/>
        </w:rPr>
        <w:t>-</w:t>
      </w:r>
      <w:r w:rsidRPr="00B2257A">
        <w:rPr>
          <w:rFonts w:hint="cs"/>
          <w:rtl/>
        </w:rPr>
        <w:t xml:space="preserve"> </w:t>
      </w:r>
      <w:r w:rsidRPr="00D4778B">
        <w:rPr>
          <w:rStyle w:val="af2"/>
          <w:rFonts w:eastAsia="Guttman Hodes" w:hint="cs"/>
          <w:rtl/>
        </w:rPr>
        <w:t>(זורה סק"א אות ז' ד"ה וצ"ל)</w:t>
      </w:r>
      <w:r w:rsidRPr="00CB65AA">
        <w:rPr>
          <w:rFonts w:hint="cs"/>
          <w:vanish/>
          <w:rtl/>
        </w:rPr>
        <w:t>=</w:t>
      </w:r>
      <w:r>
        <w:rPr>
          <w:rFonts w:hint="cs"/>
          <w:rtl/>
        </w:rPr>
        <w:t xml:space="preserve"> דלדעת </w:t>
      </w:r>
      <w:r w:rsidRPr="00EB6FAF">
        <w:rPr>
          <w:rStyle w:val="aff4"/>
          <w:rFonts w:hint="cs"/>
          <w:vanish/>
          <w:rtl/>
        </w:rPr>
        <w:t>-</w:t>
      </w:r>
      <w:r w:rsidRPr="00F2795D">
        <w:rPr>
          <w:rStyle w:val="aff4"/>
          <w:rFonts w:hint="cs"/>
          <w:rtl/>
        </w:rPr>
        <w:t>ה</w:t>
      </w:r>
      <w:r w:rsidRPr="00EB6FAF">
        <w:rPr>
          <w:rStyle w:val="aff4"/>
          <w:rFonts w:hint="cs"/>
          <w:vanish/>
          <w:rtl/>
        </w:rPr>
        <w:t>&lt; &gt;</w:t>
      </w:r>
      <w:r w:rsidRPr="0085567C">
        <w:rPr>
          <w:rStyle w:val="aff4"/>
          <w:rFonts w:hint="cs"/>
          <w:rtl/>
        </w:rPr>
        <w:t>תוס'</w:t>
      </w:r>
      <w:r w:rsidRPr="004661C5">
        <w:rPr>
          <w:rStyle w:val="aff4"/>
          <w:rFonts w:hint="cs"/>
          <w:vanish/>
          <w:rtl/>
        </w:rPr>
        <w:t>-</w:t>
      </w:r>
      <w:r w:rsidRPr="004661C5">
        <w:rPr>
          <w:rFonts w:hint="cs"/>
          <w:rtl/>
        </w:rPr>
        <w:t xml:space="preserve"> </w:t>
      </w:r>
      <w:r w:rsidRPr="003D2518">
        <w:rPr>
          <w:rStyle w:val="af2"/>
          <w:rFonts w:eastAsia="Guttman Hodes" w:hint="cs"/>
          <w:rtl/>
        </w:rPr>
        <w:t xml:space="preserve">(עי' אות </w:t>
      </w:r>
      <w:r w:rsidRPr="003D2518">
        <w:rPr>
          <w:rStyle w:val="af2"/>
          <w:rFonts w:eastAsia="Guttman Hodes"/>
          <w:rtl/>
        </w:rPr>
        <w:fldChar w:fldCharType="begin"/>
      </w:r>
      <w:r w:rsidRPr="003D2518">
        <w:rPr>
          <w:rStyle w:val="af2"/>
          <w:rFonts w:eastAsia="Guttman Hodes"/>
          <w:rtl/>
        </w:rPr>
        <w:instrText xml:space="preserve"> </w:instrText>
      </w:r>
      <w:r w:rsidRPr="003D2518">
        <w:rPr>
          <w:rStyle w:val="af2"/>
          <w:rFonts w:eastAsia="Guttman Hodes" w:hint="cs"/>
        </w:rPr>
        <w:instrText>REF</w:instrText>
      </w:r>
      <w:r w:rsidRPr="003D2518">
        <w:rPr>
          <w:rStyle w:val="af2"/>
          <w:rFonts w:eastAsia="Guttman Hodes" w:hint="cs"/>
          <w:rtl/>
        </w:rPr>
        <w:instrText xml:space="preserve"> _</w:instrText>
      </w:r>
      <w:r w:rsidRPr="003D2518">
        <w:rPr>
          <w:rStyle w:val="af2"/>
          <w:rFonts w:eastAsia="Guttman Hodes" w:hint="cs"/>
        </w:rPr>
        <w:instrText>Ref135838873 \r \h</w:instrText>
      </w:r>
      <w:r w:rsidRPr="003D2518">
        <w:rPr>
          <w:rStyle w:val="af2"/>
          <w:rFonts w:eastAsia="Guttman Hodes"/>
          <w:rtl/>
        </w:rPr>
        <w:instrText xml:space="preserve"> </w:instrText>
      </w:r>
      <w:r w:rsidRPr="003D2518">
        <w:rPr>
          <w:rStyle w:val="af2"/>
          <w:rFonts w:eastAsia="Guttman Hodes"/>
          <w:rtl/>
        </w:rPr>
      </w:r>
      <w:r w:rsidRPr="003D2518">
        <w:rPr>
          <w:rStyle w:val="af2"/>
          <w:rFonts w:eastAsia="Guttman Hodes"/>
          <w:rtl/>
        </w:rPr>
        <w:fldChar w:fldCharType="separate"/>
      </w:r>
      <w:r w:rsidR="00D82181">
        <w:rPr>
          <w:rStyle w:val="af2"/>
          <w:rFonts w:eastAsia="Guttman Hodes"/>
          <w:cs/>
        </w:rPr>
        <w:t>‎</w:t>
      </w:r>
      <w:r w:rsidR="00D82181">
        <w:rPr>
          <w:rStyle w:val="af2"/>
          <w:rFonts w:eastAsia="Guttman Hodes"/>
          <w:rtl/>
        </w:rPr>
        <w:t>יט)</w:t>
      </w:r>
      <w:r w:rsidRPr="003D2518">
        <w:rPr>
          <w:rStyle w:val="af2"/>
          <w:rFonts w:eastAsia="Guttman Hodes"/>
          <w:rtl/>
        </w:rPr>
        <w:fldChar w:fldCharType="end"/>
      </w:r>
      <w:r w:rsidRPr="004661C5">
        <w:rPr>
          <w:rStyle w:val="aff4"/>
          <w:rFonts w:hint="cs"/>
          <w:rtl/>
        </w:rPr>
        <w:t xml:space="preserve"> </w:t>
      </w:r>
      <w:r>
        <w:rPr>
          <w:rFonts w:hint="cs"/>
          <w:rtl/>
        </w:rPr>
        <w:t xml:space="preserve">דבברירת פסולת מאוכל המלאכה היא באוכל ולא בפסולת, צ"ל דהא דלדעת הבבלי ברירת </w:t>
      </w:r>
      <w:bookmarkEnd w:id="2021"/>
      <w:r>
        <w:rPr>
          <w:rFonts w:hint="cs"/>
          <w:rtl/>
        </w:rPr>
        <w:t xml:space="preserve">חלק מהפסולת הוי ברירה אף שהאוכל עדיין אינו מתוקן, היינו כיון דיש קצת ברירה באוכל שאין בו כ"כ הרבה פסולת כמו שהיה בו, ועוד דכיון שאם יברר את שאר הפסולת, יהיה האוכל מבורר גם ע"י הפסולת שנטל בתחילה לכן חשיב מלאכה. </w:t>
      </w:r>
      <w:r w:rsidRPr="00D4778B">
        <w:rPr>
          <w:rStyle w:val="af"/>
          <w:rFonts w:hint="cs"/>
          <w:rtl/>
        </w:rPr>
        <w:t xml:space="preserve">[וכתב </w:t>
      </w:r>
      <w:r w:rsidRPr="00EB1A7E">
        <w:rPr>
          <w:rStyle w:val="aff9"/>
          <w:rFonts w:hint="cs"/>
          <w:vanish/>
          <w:rtl/>
        </w:rPr>
        <w:t>-</w:t>
      </w:r>
      <w:r w:rsidRPr="00D4778B">
        <w:rPr>
          <w:rStyle w:val="aff9"/>
          <w:rFonts w:hint="cs"/>
          <w:rtl/>
        </w:rPr>
        <w:t>האגלי טל</w:t>
      </w:r>
      <w:r w:rsidRPr="00EB1A7E">
        <w:rPr>
          <w:rStyle w:val="aff9"/>
          <w:rFonts w:hint="cs"/>
          <w:vanish/>
          <w:rtl/>
        </w:rPr>
        <w:t>-</w:t>
      </w:r>
      <w:r w:rsidRPr="00D4778B">
        <w:rPr>
          <w:rStyle w:val="af"/>
          <w:rFonts w:hint="cs"/>
          <w:rtl/>
        </w:rPr>
        <w:t xml:space="preserve"> דדמי לב' זיתי מת בבית אחד והוציא את אחד מהם, דמבואר בגמ' לקמן </w:t>
      </w:r>
      <w:r w:rsidRPr="00D4778B">
        <w:rPr>
          <w:rStyle w:val="aff0"/>
          <w:rFonts w:hint="cs"/>
          <w:rtl/>
        </w:rPr>
        <w:t>(צד:)</w:t>
      </w:r>
      <w:r w:rsidRPr="00D4778B">
        <w:rPr>
          <w:rStyle w:val="af"/>
          <w:rFonts w:hint="cs"/>
          <w:rtl/>
        </w:rPr>
        <w:t xml:space="preserve"> דחשיב דאהנו מעשיו]</w:t>
      </w:r>
      <w:r>
        <w:rPr>
          <w:rFonts w:hint="cs"/>
          <w:rtl/>
        </w:rPr>
        <w:t>.</w:t>
      </w:r>
      <w:bookmarkEnd w:id="2022"/>
    </w:p>
    <w:p w14:paraId="033D8E5D" w14:textId="77777777" w:rsidR="00316453" w:rsidRPr="00747170" w:rsidRDefault="00316453" w:rsidP="00747170">
      <w:pPr>
        <w:pStyle w:val="a2"/>
      </w:pPr>
      <w:r w:rsidRPr="00747170">
        <w:rPr>
          <w:rtl/>
        </w:rPr>
        <w:t xml:space="preserve">וצ"ל לפי גמרא דידן דמלאכת זורה הוא בירור פסולת ואף שעדיין נשאר צרורות דס"ל לגמ' דידן דחשוב בורר ואף שלא בירר כולו דמ"מ הוברר האוכל קצת שאין בו פסולת כל כך כמו בתחלה. ועוד דאהני מעשיו אי שקיל גם פסולת הנשאר יעשה ברור ע"י לקיחת פסולת זה. ועי' צ"ד: בהי' שני זיתי מת בבית והוציא אחד לכ"ע חשוב אהני מעשיו עי"ש בתוס' ובחי' הר"ן. </w:t>
      </w:r>
    </w:p>
    <w:p w14:paraId="6B8B2CBF" w14:textId="77777777" w:rsidR="00316453" w:rsidRDefault="00316453" w:rsidP="00316453">
      <w:pPr>
        <w:pStyle w:val="affff5"/>
        <w:rPr>
          <w:rtl/>
        </w:rPr>
      </w:pPr>
      <w:r w:rsidRPr="00716C93">
        <w:rPr>
          <w:rFonts w:hint="cs"/>
          <w:rtl/>
        </w:rPr>
        <w:t>~~~~~~~~~~~~~~~~~~~~~~~~~~~~</w:t>
      </w:r>
    </w:p>
    <w:p w14:paraId="5540869C" w14:textId="77777777" w:rsidR="00316453" w:rsidRDefault="00316453" w:rsidP="00316453">
      <w:pPr>
        <w:pStyle w:val="a7"/>
        <w:rPr>
          <w:rtl/>
        </w:rPr>
      </w:pPr>
      <w:bookmarkStart w:id="2023" w:name="_Toc136618694"/>
    </w:p>
    <w:p w14:paraId="2778FCBE" w14:textId="77777777" w:rsidR="00316453" w:rsidRDefault="00316453" w:rsidP="00316453">
      <w:pPr>
        <w:pStyle w:val="affff5"/>
        <w:rPr>
          <w:rtl/>
        </w:rPr>
      </w:pPr>
      <w:r>
        <w:rPr>
          <w:rFonts w:hint="cs"/>
          <w:rtl/>
        </w:rPr>
        <w:lastRenderedPageBreak/>
        <w:t>בחילוק המלאכות בזורה ובורר ומרקד</w:t>
      </w:r>
      <w:bookmarkEnd w:id="2023"/>
    </w:p>
    <w:p w14:paraId="6784D857" w14:textId="77777777" w:rsidR="00316453" w:rsidRPr="002C1612" w:rsidRDefault="00316453" w:rsidP="00316453">
      <w:pPr>
        <w:pStyle w:val="1"/>
        <w:rPr>
          <w:rtl/>
        </w:rPr>
      </w:pPr>
      <w:bookmarkStart w:id="2024" w:name="_Toc136618695"/>
      <w:r>
        <w:rPr>
          <w:rFonts w:hint="cs"/>
          <w:rtl/>
        </w:rPr>
        <w:t>בי' רש"י אי החילוק בין יד לכלי או דכ"א מפריש פסולת אחרת</w:t>
      </w:r>
      <w:bookmarkEnd w:id="2024"/>
      <w:r>
        <w:rPr>
          <w:rFonts w:hint="cs"/>
          <w:rtl/>
        </w:rPr>
        <w:t xml:space="preserve"> </w:t>
      </w:r>
    </w:p>
    <w:p w14:paraId="6E6C8135" w14:textId="77777777" w:rsidR="00316453" w:rsidRDefault="00316453" w:rsidP="00316453">
      <w:pPr>
        <w:pStyle w:val="afffff7"/>
        <w:rPr>
          <w:rtl/>
        </w:rPr>
      </w:pPr>
      <w:bookmarkStart w:id="2025" w:name="_Toc136620460"/>
      <w:bookmarkStart w:id="2026" w:name="_Toc163505739"/>
      <w:r w:rsidRPr="005D0910">
        <w:rPr>
          <w:rtl/>
        </w:rPr>
        <w:t>רש"י שבת ע"ג ע"א</w:t>
      </w:r>
      <w:r>
        <w:rPr>
          <w:rFonts w:hint="cs"/>
          <w:rtl/>
        </w:rPr>
        <w:t xml:space="preserve"> ד"ה הזורה, הבורר, המרקד</w:t>
      </w:r>
      <w:bookmarkEnd w:id="2025"/>
      <w:bookmarkEnd w:id="2026"/>
    </w:p>
    <w:p w14:paraId="53A5B4E8" w14:textId="77777777" w:rsidR="00316453" w:rsidRDefault="00316453" w:rsidP="00316453">
      <w:pPr>
        <w:pStyle w:val="a7"/>
        <w:rPr>
          <w:rtl/>
        </w:rPr>
      </w:pPr>
      <w:bookmarkStart w:id="2027" w:name="_Toc136618696"/>
      <w:r>
        <w:rPr>
          <w:rFonts w:hint="cs"/>
          <w:rtl/>
        </w:rPr>
        <w:t>בי' רש"י במתני' דחילוק המלאכות במעשה ברוח ובידיו ובנפה וכולם להפריש אוכל מפסולת</w:t>
      </w:r>
      <w:bookmarkEnd w:id="2027"/>
    </w:p>
    <w:p w14:paraId="1719FC6E" w14:textId="035B0CE9" w:rsidR="00316453" w:rsidRPr="00CC0783" w:rsidRDefault="00316453" w:rsidP="00BC7DC8">
      <w:pPr>
        <w:pStyle w:val="a3"/>
        <w:rPr>
          <w:rtl/>
        </w:rPr>
      </w:pPr>
      <w:bookmarkStart w:id="2028" w:name="_Ref135730580"/>
      <w:bookmarkStart w:id="2029" w:name="_Ref136619302"/>
      <w:r>
        <w:rPr>
          <w:rFonts w:hint="cs"/>
          <w:rtl/>
        </w:rPr>
        <w:t>בקושית הגמ' דזורה הוא בורר ומרקד</w:t>
      </w:r>
      <w:bookmarkStart w:id="2030" w:name="_Ref135730592"/>
      <w:bookmarkEnd w:id="2028"/>
      <w:r>
        <w:rPr>
          <w:rFonts w:hint="cs"/>
          <w:rtl/>
        </w:rPr>
        <w:t>,</w:t>
      </w:r>
      <w:r w:rsidRPr="00D177B7">
        <w:rPr>
          <w:rFonts w:hint="cs"/>
          <w:rtl/>
        </w:rPr>
        <w:t xml:space="preserve"> </w:t>
      </w:r>
      <w:r>
        <w:rPr>
          <w:rFonts w:hint="cs"/>
          <w:rtl/>
        </w:rPr>
        <w:t xml:space="preserve">וכתב </w:t>
      </w:r>
      <w:r w:rsidRPr="000D3C9B">
        <w:rPr>
          <w:rStyle w:val="aff4"/>
          <w:rFonts w:hint="cs"/>
          <w:vanish/>
          <w:rtl/>
        </w:rPr>
        <w:t xml:space="preserve">&lt;. </w:t>
      </w:r>
      <w:r w:rsidRPr="000D3C9B">
        <w:rPr>
          <w:rStyle w:val="aff4"/>
          <w:vanish/>
          <w:rtl/>
        </w:rPr>
        <w:fldChar w:fldCharType="begin"/>
      </w:r>
      <w:r w:rsidRPr="000D3C9B">
        <w:rPr>
          <w:rStyle w:val="aff4"/>
          <w:vanish/>
          <w:rtl/>
        </w:rPr>
        <w:instrText xml:space="preserve"> </w:instrText>
      </w:r>
      <w:r w:rsidRPr="000D3C9B">
        <w:rPr>
          <w:rStyle w:val="aff4"/>
          <w:rFonts w:hint="cs"/>
          <w:vanish/>
        </w:rPr>
        <w:instrText>REF</w:instrText>
      </w:r>
      <w:r w:rsidRPr="000D3C9B">
        <w:rPr>
          <w:rStyle w:val="aff4"/>
          <w:rFonts w:hint="cs"/>
          <w:vanish/>
          <w:rtl/>
        </w:rPr>
        <w:instrText xml:space="preserve"> _</w:instrText>
      </w:r>
      <w:r w:rsidRPr="000D3C9B">
        <w:rPr>
          <w:rStyle w:val="aff4"/>
          <w:rFonts w:hint="cs"/>
          <w:vanish/>
        </w:rPr>
        <w:instrText>Ref135730580 \r \h</w:instrText>
      </w:r>
      <w:r w:rsidRPr="000D3C9B">
        <w:rPr>
          <w:rStyle w:val="aff4"/>
          <w:vanish/>
          <w:rtl/>
        </w:rPr>
        <w:instrText xml:space="preserve">  \* </w:instrText>
      </w:r>
      <w:r w:rsidRPr="000D3C9B">
        <w:rPr>
          <w:rStyle w:val="aff4"/>
          <w:vanish/>
        </w:rPr>
        <w:instrText>MERGEFORMAT</w:instrText>
      </w:r>
      <w:r w:rsidRPr="000D3C9B">
        <w:rPr>
          <w:rStyle w:val="aff4"/>
          <w:vanish/>
          <w:rtl/>
        </w:rPr>
        <w:instrText xml:space="preserve"> </w:instrText>
      </w:r>
      <w:r w:rsidRPr="000D3C9B">
        <w:rPr>
          <w:rStyle w:val="aff4"/>
          <w:vanish/>
          <w:rtl/>
        </w:rPr>
      </w:r>
      <w:r w:rsidRPr="000D3C9B">
        <w:rPr>
          <w:rStyle w:val="aff4"/>
          <w:vanish/>
          <w:rtl/>
        </w:rPr>
        <w:fldChar w:fldCharType="separate"/>
      </w:r>
      <w:r w:rsidR="00D82181">
        <w:rPr>
          <w:rStyle w:val="aff4"/>
          <w:vanish/>
          <w:cs/>
        </w:rPr>
        <w:t>‎</w:t>
      </w:r>
      <w:r w:rsidR="00D82181">
        <w:rPr>
          <w:rStyle w:val="aff4"/>
          <w:vanish/>
          <w:rtl/>
        </w:rPr>
        <w:t>לו)</w:t>
      </w:r>
      <w:r w:rsidRPr="000D3C9B">
        <w:rPr>
          <w:rStyle w:val="aff4"/>
          <w:vanish/>
          <w:rtl/>
        </w:rPr>
        <w:fldChar w:fldCharType="end"/>
      </w:r>
      <w:r w:rsidRPr="000D3C9B">
        <w:rPr>
          <w:rStyle w:val="aff4"/>
          <w:rFonts w:hint="cs"/>
          <w:vanish/>
          <w:rtl/>
        </w:rPr>
        <w:t xml:space="preserve"> &gt;-</w:t>
      </w:r>
      <w:r w:rsidRPr="00551455">
        <w:rPr>
          <w:rStyle w:val="aff4"/>
          <w:rFonts w:hint="cs"/>
          <w:rtl/>
        </w:rPr>
        <w:t>רש"י במתני'</w:t>
      </w:r>
      <w:r w:rsidRPr="00D177B7">
        <w:rPr>
          <w:rStyle w:val="aff4"/>
          <w:rFonts w:hint="cs"/>
          <w:vanish/>
          <w:rtl/>
        </w:rPr>
        <w:t>-</w:t>
      </w:r>
      <w:r>
        <w:rPr>
          <w:rFonts w:hint="cs"/>
          <w:rtl/>
        </w:rPr>
        <w:t xml:space="preserve"> </w:t>
      </w:r>
      <w:r w:rsidRPr="00D177B7">
        <w:rPr>
          <w:rStyle w:val="af2"/>
          <w:rFonts w:eastAsia="Guttman Hodes" w:hint="cs"/>
          <w:rtl/>
        </w:rPr>
        <w:t>(עג. ד"ה הזורה, הבורר, המרקד)</w:t>
      </w:r>
      <w:r w:rsidRPr="00D177B7">
        <w:rPr>
          <w:rFonts w:hint="cs"/>
          <w:vanish/>
          <w:rtl/>
        </w:rPr>
        <w:t>=</w:t>
      </w:r>
      <w:r>
        <w:rPr>
          <w:rFonts w:hint="cs"/>
          <w:rtl/>
        </w:rPr>
        <w:t xml:space="preserve"> דזורה היינו שזורה לרוח ברחת, ובורר היינו שבורר את הפסולת בידיו, ומרקד היינו שמרקד בנפה, והביא </w:t>
      </w:r>
      <w:r w:rsidRPr="00D177B7">
        <w:rPr>
          <w:rStyle w:val="aff4"/>
          <w:rFonts w:hint="cs"/>
          <w:vanish/>
          <w:rtl/>
        </w:rPr>
        <w:t>-</w:t>
      </w:r>
      <w:r w:rsidRPr="00551455">
        <w:rPr>
          <w:rStyle w:val="aff4"/>
          <w:rFonts w:hint="cs"/>
          <w:rtl/>
        </w:rPr>
        <w:t>רש"י</w:t>
      </w:r>
      <w:r w:rsidRPr="00D177B7">
        <w:rPr>
          <w:rStyle w:val="aff4"/>
          <w:rFonts w:hint="cs"/>
          <w:vanish/>
          <w:rtl/>
        </w:rPr>
        <w:t>-</w:t>
      </w:r>
      <w:r>
        <w:rPr>
          <w:rFonts w:hint="cs"/>
          <w:rtl/>
        </w:rPr>
        <w:t xml:space="preserve"> את קושית הגמ' דכולם הם מלאכה אחת, וביאר דשלושת המלאכות הללו באות להפריש את הפסולת מתוך האוכל</w:t>
      </w:r>
      <w:bookmarkEnd w:id="2030"/>
      <w:r>
        <w:rPr>
          <w:rFonts w:hint="cs"/>
          <w:rtl/>
        </w:rPr>
        <w:t>.</w:t>
      </w:r>
      <w:bookmarkEnd w:id="2029"/>
    </w:p>
    <w:p w14:paraId="5AF5BAC3" w14:textId="77777777" w:rsidR="00316453" w:rsidRPr="00747170" w:rsidRDefault="00316453" w:rsidP="00747170">
      <w:pPr>
        <w:pStyle w:val="a2"/>
        <w:rPr>
          <w:rtl/>
        </w:rPr>
      </w:pPr>
      <w:r w:rsidRPr="00747170">
        <w:rPr>
          <w:rtl/>
        </w:rPr>
        <w:t>הזורה - ברחת לרוח.</w:t>
      </w:r>
    </w:p>
    <w:p w14:paraId="200AAA87" w14:textId="77777777" w:rsidR="00316453" w:rsidRPr="0030138D" w:rsidRDefault="00316453" w:rsidP="00747170">
      <w:pPr>
        <w:pStyle w:val="afffff5"/>
        <w:rPr>
          <w:rtl/>
        </w:rPr>
      </w:pPr>
      <w:r w:rsidRPr="0030138D">
        <w:rPr>
          <w:rtl/>
        </w:rPr>
        <w:t>הבורר - פסולת בידיו.</w:t>
      </w:r>
    </w:p>
    <w:p w14:paraId="543CAECB" w14:textId="77777777" w:rsidR="00316453" w:rsidRDefault="00316453" w:rsidP="00747170">
      <w:pPr>
        <w:pStyle w:val="afffff5"/>
      </w:pPr>
      <w:r w:rsidRPr="0030138D">
        <w:rPr>
          <w:rtl/>
        </w:rPr>
        <w:t>המרקד - בנפה, ובגמרא פריך: הני כולהו חדא היא, דלהפריש פסולת מתוך אוכל נעשות שלשתן.</w:t>
      </w:r>
      <w:r w:rsidRPr="00B86CE5">
        <w:rPr>
          <w:rtl/>
        </w:rPr>
        <w:t xml:space="preserve"> </w:t>
      </w:r>
    </w:p>
    <w:p w14:paraId="370A92F7" w14:textId="017607DD" w:rsidR="00316453" w:rsidRDefault="00316453" w:rsidP="00316453">
      <w:pPr>
        <w:pStyle w:val="afffff7"/>
        <w:rPr>
          <w:rtl/>
        </w:rPr>
      </w:pPr>
      <w:bookmarkStart w:id="2031" w:name="_Toc136620461"/>
      <w:bookmarkStart w:id="2032" w:name="_Toc163505740"/>
      <w:r w:rsidRPr="005D0910">
        <w:rPr>
          <w:rFonts w:hint="cs"/>
          <w:rtl/>
        </w:rPr>
        <w:t>ר</w:t>
      </w:r>
      <w:r w:rsidRPr="005D0910">
        <w:rPr>
          <w:rtl/>
        </w:rPr>
        <w:t>ש"י שבת ע"ה ע"ב</w:t>
      </w:r>
      <w:r>
        <w:rPr>
          <w:rFonts w:hint="cs"/>
          <w:rtl/>
        </w:rPr>
        <w:t xml:space="preserve"> ד"ה הרי הוא</w:t>
      </w:r>
      <w:bookmarkEnd w:id="2031"/>
      <w:bookmarkEnd w:id="2032"/>
    </w:p>
    <w:p w14:paraId="2BB4D2D1" w14:textId="77777777" w:rsidR="00316453" w:rsidRDefault="00316453" w:rsidP="00316453">
      <w:pPr>
        <w:pStyle w:val="a7"/>
        <w:rPr>
          <w:rtl/>
        </w:rPr>
      </w:pPr>
      <w:bookmarkStart w:id="2033" w:name="_Toc136618697"/>
      <w:r>
        <w:rPr>
          <w:rFonts w:hint="cs"/>
          <w:rtl/>
        </w:rPr>
        <w:t>בי' רש"י  לקמן דחילוק המלאכות בדבר הנברר אי בורר קשין או צרורות או קמח</w:t>
      </w:r>
      <w:bookmarkEnd w:id="2033"/>
    </w:p>
    <w:p w14:paraId="53086189" w14:textId="5A417368" w:rsidR="00316453" w:rsidRPr="00D3328B" w:rsidRDefault="00316453" w:rsidP="00BC7DC8">
      <w:pPr>
        <w:pStyle w:val="a3"/>
        <w:rPr>
          <w:rtl/>
        </w:rPr>
      </w:pPr>
      <w:bookmarkStart w:id="2034" w:name="_Ref135730685"/>
      <w:bookmarkStart w:id="2035" w:name="_Ref135731059"/>
      <w:r>
        <w:rPr>
          <w:rFonts w:hint="cs"/>
          <w:rtl/>
        </w:rPr>
        <w:t xml:space="preserve">אבל בהא דאמרינן בגמ' לקמן </w:t>
      </w:r>
      <w:r w:rsidRPr="00D4778B">
        <w:rPr>
          <w:rStyle w:val="af2"/>
          <w:rFonts w:eastAsia="Guttman Hodes" w:hint="cs"/>
          <w:rtl/>
        </w:rPr>
        <w:t>(עה:)</w:t>
      </w:r>
      <w:r>
        <w:rPr>
          <w:rFonts w:hint="cs"/>
          <w:rtl/>
        </w:rPr>
        <w:t xml:space="preserve"> דמדקדק היינו אורג, ולכן אינה אב אף שהייתה במשכן, ביאר </w:t>
      </w:r>
      <w:r w:rsidRPr="00D20CCA">
        <w:rPr>
          <w:rFonts w:hint="cs"/>
          <w:vanish/>
          <w:rtl/>
        </w:rPr>
        <w:t xml:space="preserve">&lt;. </w:t>
      </w:r>
      <w:r w:rsidRPr="00D20CCA">
        <w:rPr>
          <w:vanish/>
          <w:rtl/>
        </w:rPr>
        <w:fldChar w:fldCharType="begin"/>
      </w:r>
      <w:r w:rsidRPr="00D20CCA">
        <w:rPr>
          <w:vanish/>
          <w:rtl/>
        </w:rPr>
        <w:instrText xml:space="preserve"> </w:instrText>
      </w:r>
      <w:r w:rsidRPr="00D20CCA">
        <w:rPr>
          <w:rFonts w:hint="cs"/>
          <w:vanish/>
        </w:rPr>
        <w:instrText>REF</w:instrText>
      </w:r>
      <w:r w:rsidRPr="00D20CCA">
        <w:rPr>
          <w:rFonts w:hint="cs"/>
          <w:vanish/>
          <w:rtl/>
        </w:rPr>
        <w:instrText xml:space="preserve"> _</w:instrText>
      </w:r>
      <w:r w:rsidRPr="00D20CCA">
        <w:rPr>
          <w:rFonts w:hint="cs"/>
          <w:vanish/>
        </w:rPr>
        <w:instrText>Ref135730685 \r \h</w:instrText>
      </w:r>
      <w:r w:rsidRPr="00D20CCA">
        <w:rPr>
          <w:vanish/>
          <w:rtl/>
        </w:rPr>
        <w:instrText xml:space="preserve"> </w:instrText>
      </w:r>
      <w:r w:rsidRPr="00D20CCA">
        <w:rPr>
          <w:vanish/>
          <w:rtl/>
        </w:rPr>
      </w:r>
      <w:r w:rsidRPr="00D20CCA">
        <w:rPr>
          <w:vanish/>
          <w:rtl/>
        </w:rPr>
        <w:fldChar w:fldCharType="separate"/>
      </w:r>
      <w:r w:rsidR="00D82181">
        <w:rPr>
          <w:vanish/>
          <w:cs/>
        </w:rPr>
        <w:t>‎</w:t>
      </w:r>
      <w:r w:rsidR="00D82181">
        <w:rPr>
          <w:vanish/>
          <w:rtl/>
        </w:rPr>
        <w:t>לז)</w:t>
      </w:r>
      <w:r w:rsidRPr="00D20CCA">
        <w:rPr>
          <w:vanish/>
          <w:rtl/>
        </w:rPr>
        <w:fldChar w:fldCharType="end"/>
      </w:r>
      <w:r w:rsidRPr="00D20CCA">
        <w:rPr>
          <w:rFonts w:hint="cs"/>
          <w:vanish/>
          <w:rtl/>
        </w:rPr>
        <w:t xml:space="preserve"> &gt;</w:t>
      </w:r>
      <w:r w:rsidRPr="00D20CCA">
        <w:rPr>
          <w:rStyle w:val="aff4"/>
          <w:rFonts w:hint="cs"/>
          <w:vanish/>
          <w:rtl/>
        </w:rPr>
        <w:t>-</w:t>
      </w:r>
      <w:r w:rsidRPr="00551455">
        <w:rPr>
          <w:rStyle w:val="aff4"/>
          <w:rFonts w:hint="cs"/>
          <w:rtl/>
        </w:rPr>
        <w:t>רש"י לקמן</w:t>
      </w:r>
      <w:r w:rsidRPr="00D20CCA">
        <w:rPr>
          <w:rStyle w:val="aff4"/>
          <w:rFonts w:hint="cs"/>
          <w:vanish/>
          <w:rtl/>
        </w:rPr>
        <w:t>-</w:t>
      </w:r>
      <w:r>
        <w:rPr>
          <w:rFonts w:hint="cs"/>
          <w:rtl/>
        </w:rPr>
        <w:t xml:space="preserve"> </w:t>
      </w:r>
      <w:r w:rsidRPr="00D4778B">
        <w:rPr>
          <w:rStyle w:val="af2"/>
          <w:rFonts w:eastAsia="Guttman Hodes" w:hint="cs"/>
          <w:rtl/>
        </w:rPr>
        <w:t>(עה: ד"ה הרי הוא אורג)</w:t>
      </w:r>
      <w:r w:rsidRPr="00B822EC">
        <w:rPr>
          <w:rFonts w:hint="cs"/>
          <w:vanish/>
          <w:rtl/>
        </w:rPr>
        <w:t>=</w:t>
      </w:r>
      <w:bookmarkEnd w:id="2034"/>
      <w:r>
        <w:rPr>
          <w:rFonts w:hint="cs"/>
          <w:rtl/>
        </w:rPr>
        <w:t xml:space="preserve"> דמדקדק הוא ממש</w:t>
      </w:r>
      <w:r w:rsidRPr="00D3328B">
        <w:rPr>
          <w:rFonts w:hint="cs"/>
          <w:rtl/>
        </w:rPr>
        <w:t xml:space="preserve"> </w:t>
      </w:r>
      <w:r>
        <w:rPr>
          <w:rFonts w:hint="cs"/>
          <w:rtl/>
        </w:rPr>
        <w:t>אורג, ולא דמי לזורה ובורר ומרקד דהם ג' אבות, כיון דזורה הוא בקשין ובורר בצרורות ומרקד הוא בקמח.</w:t>
      </w:r>
      <w:bookmarkEnd w:id="2035"/>
    </w:p>
    <w:p w14:paraId="039294CC" w14:textId="77777777" w:rsidR="00316453" w:rsidRPr="00747170" w:rsidRDefault="00316453" w:rsidP="00747170">
      <w:pPr>
        <w:pStyle w:val="a2"/>
        <w:rPr>
          <w:rtl/>
        </w:rPr>
      </w:pPr>
      <w:r w:rsidRPr="00747170">
        <w:rPr>
          <w:rtl/>
        </w:rPr>
        <w:t>הרי הוא אורג - דהיינו אורג ממש, ולא דמי לזורה ובורר ומרקד, דזה בקשין וזה בצרורות וזה בקמח.</w:t>
      </w:r>
    </w:p>
    <w:p w14:paraId="29630949" w14:textId="77777777" w:rsidR="00316453" w:rsidRPr="0030138D" w:rsidRDefault="00316453" w:rsidP="00747170">
      <w:pPr>
        <w:pStyle w:val="afffff5"/>
        <w:rPr>
          <w:rtl/>
        </w:rPr>
      </w:pPr>
      <w:r w:rsidRPr="0030138D">
        <w:rPr>
          <w:rtl/>
        </w:rPr>
        <w:t>הם ג' דברים שאין האחד יכול לברור מה שחבירו בורר.</w:t>
      </w:r>
    </w:p>
    <w:p w14:paraId="576811AE" w14:textId="05DB7CAC" w:rsidR="00316453" w:rsidRDefault="00316453" w:rsidP="00316453">
      <w:pPr>
        <w:pStyle w:val="afffff7"/>
        <w:rPr>
          <w:rtl/>
        </w:rPr>
      </w:pPr>
      <w:bookmarkStart w:id="2036" w:name="_Toc136620462"/>
      <w:bookmarkStart w:id="2037" w:name="_Toc163505741"/>
      <w:r w:rsidRPr="005D0910">
        <w:rPr>
          <w:rtl/>
        </w:rPr>
        <w:t>חדושי הריטב"א שבת ע"ג ע"ב</w:t>
      </w:r>
      <w:r>
        <w:rPr>
          <w:rFonts w:hint="cs"/>
          <w:rtl/>
        </w:rPr>
        <w:t xml:space="preserve"> ד"ה כל מילתא</w:t>
      </w:r>
      <w:bookmarkEnd w:id="2036"/>
      <w:bookmarkEnd w:id="2037"/>
    </w:p>
    <w:p w14:paraId="4E7B2A16" w14:textId="77777777" w:rsidR="00316453" w:rsidRDefault="00316453" w:rsidP="00316453">
      <w:pPr>
        <w:pStyle w:val="a7"/>
        <w:rPr>
          <w:rtl/>
        </w:rPr>
      </w:pPr>
      <w:bookmarkStart w:id="2038" w:name="_Toc136618698"/>
      <w:r>
        <w:rPr>
          <w:rFonts w:hint="cs"/>
          <w:rtl/>
        </w:rPr>
        <w:t>בי' הריטב"א דזורה ובורר כ"א מלאכה כרש"י לקמן דחלוק בתוצאה או כרש"י במתני' במעשה</w:t>
      </w:r>
      <w:bookmarkEnd w:id="2038"/>
    </w:p>
    <w:p w14:paraId="660A5AB7" w14:textId="27908C2E" w:rsidR="00316453" w:rsidRPr="002020D0" w:rsidRDefault="00316453" w:rsidP="00BC7DC8">
      <w:pPr>
        <w:pStyle w:val="a3"/>
        <w:rPr>
          <w:rtl/>
        </w:rPr>
      </w:pPr>
      <w:bookmarkStart w:id="2039" w:name="_Ref135731032"/>
      <w:r>
        <w:rPr>
          <w:rFonts w:hint="cs"/>
          <w:rtl/>
        </w:rPr>
        <w:t xml:space="preserve">כתב </w:t>
      </w:r>
      <w:r w:rsidRPr="00D20CCA">
        <w:rPr>
          <w:rStyle w:val="aff4"/>
          <w:rFonts w:hint="cs"/>
          <w:vanish/>
          <w:rtl/>
        </w:rPr>
        <w:t>-</w:t>
      </w:r>
      <w:r w:rsidRPr="00551455">
        <w:rPr>
          <w:rStyle w:val="aff4"/>
          <w:rFonts w:hint="cs"/>
          <w:rtl/>
        </w:rPr>
        <w:t>ה</w:t>
      </w:r>
      <w:r w:rsidRPr="00D20CCA">
        <w:rPr>
          <w:rStyle w:val="aff4"/>
          <w:rFonts w:hint="cs"/>
          <w:vanish/>
          <w:rtl/>
        </w:rPr>
        <w:t xml:space="preserve">&lt;. </w:t>
      </w:r>
      <w:r w:rsidRPr="00D20CCA">
        <w:rPr>
          <w:rStyle w:val="aff4"/>
          <w:vanish/>
          <w:rtl/>
        </w:rPr>
        <w:fldChar w:fldCharType="begin"/>
      </w:r>
      <w:r w:rsidRPr="00D20CCA">
        <w:rPr>
          <w:rStyle w:val="aff4"/>
          <w:vanish/>
          <w:rtl/>
        </w:rPr>
        <w:instrText xml:space="preserve"> </w:instrText>
      </w:r>
      <w:r w:rsidRPr="00D20CCA">
        <w:rPr>
          <w:rStyle w:val="aff4"/>
          <w:rFonts w:hint="cs"/>
          <w:vanish/>
        </w:rPr>
        <w:instrText>REF</w:instrText>
      </w:r>
      <w:r w:rsidRPr="00D20CCA">
        <w:rPr>
          <w:rStyle w:val="aff4"/>
          <w:rFonts w:hint="cs"/>
          <w:vanish/>
          <w:rtl/>
        </w:rPr>
        <w:instrText xml:space="preserve"> _</w:instrText>
      </w:r>
      <w:r w:rsidRPr="00D20CCA">
        <w:rPr>
          <w:rStyle w:val="aff4"/>
          <w:rFonts w:hint="cs"/>
          <w:vanish/>
        </w:rPr>
        <w:instrText>Ref135731032 \r \h</w:instrText>
      </w:r>
      <w:r w:rsidRPr="00D20CCA">
        <w:rPr>
          <w:rStyle w:val="aff4"/>
          <w:vanish/>
          <w:rtl/>
        </w:rPr>
        <w:instrText xml:space="preserve"> </w:instrText>
      </w:r>
      <w:r w:rsidRPr="00D20CCA">
        <w:rPr>
          <w:rStyle w:val="aff4"/>
          <w:vanish/>
          <w:rtl/>
        </w:rPr>
      </w:r>
      <w:r w:rsidRPr="00D20CCA">
        <w:rPr>
          <w:rStyle w:val="aff4"/>
          <w:vanish/>
          <w:rtl/>
        </w:rPr>
        <w:fldChar w:fldCharType="separate"/>
      </w:r>
      <w:r w:rsidR="00D82181">
        <w:rPr>
          <w:rStyle w:val="aff4"/>
          <w:vanish/>
          <w:cs/>
        </w:rPr>
        <w:t>‎</w:t>
      </w:r>
      <w:r w:rsidR="00D82181">
        <w:rPr>
          <w:rStyle w:val="aff4"/>
          <w:vanish/>
          <w:rtl/>
        </w:rPr>
        <w:t>לח)</w:t>
      </w:r>
      <w:r w:rsidRPr="00D20CCA">
        <w:rPr>
          <w:rStyle w:val="aff4"/>
          <w:vanish/>
          <w:rtl/>
        </w:rPr>
        <w:fldChar w:fldCharType="end"/>
      </w:r>
      <w:r w:rsidRPr="00D20CCA">
        <w:rPr>
          <w:rStyle w:val="aff4"/>
          <w:rFonts w:hint="cs"/>
          <w:vanish/>
          <w:rtl/>
        </w:rPr>
        <w:t xml:space="preserve"> &gt;</w:t>
      </w:r>
      <w:r w:rsidRPr="00551455">
        <w:rPr>
          <w:rStyle w:val="aff4"/>
          <w:rFonts w:hint="cs"/>
          <w:rtl/>
        </w:rPr>
        <w:t>ריטב"א</w:t>
      </w:r>
      <w:r w:rsidRPr="00D20CCA">
        <w:rPr>
          <w:rStyle w:val="aff4"/>
          <w:rFonts w:hint="cs"/>
          <w:vanish/>
          <w:rtl/>
        </w:rPr>
        <w:t>-</w:t>
      </w:r>
      <w:r>
        <w:rPr>
          <w:rFonts w:hint="cs"/>
          <w:rtl/>
        </w:rPr>
        <w:t xml:space="preserve"> </w:t>
      </w:r>
      <w:r w:rsidRPr="00D4778B">
        <w:rPr>
          <w:rStyle w:val="af2"/>
          <w:rFonts w:eastAsia="Guttman Hodes" w:hint="cs"/>
          <w:rtl/>
        </w:rPr>
        <w:t>(ד"ה כל מילתא)</w:t>
      </w:r>
      <w:r w:rsidRPr="00B822EC">
        <w:rPr>
          <w:rFonts w:hint="cs"/>
          <w:vanish/>
          <w:rtl/>
        </w:rPr>
        <w:t>=</w:t>
      </w:r>
      <w:r>
        <w:rPr>
          <w:rFonts w:hint="cs"/>
          <w:rtl/>
        </w:rPr>
        <w:t xml:space="preserve"> דהא דאמרינן </w:t>
      </w:r>
      <w:r w:rsidRPr="00F23066">
        <w:rPr>
          <w:rtl/>
        </w:rPr>
        <w:t xml:space="preserve">בגמ' לקמן </w:t>
      </w:r>
      <w:r w:rsidRPr="00D4778B">
        <w:rPr>
          <w:rStyle w:val="af2"/>
          <w:rFonts w:eastAsia="Guttman Hodes"/>
          <w:rtl/>
        </w:rPr>
        <w:t>(עה:)</w:t>
      </w:r>
      <w:r w:rsidRPr="00F23066">
        <w:rPr>
          <w:rtl/>
        </w:rPr>
        <w:t xml:space="preserve"> </w:t>
      </w:r>
      <w:r>
        <w:rPr>
          <w:rFonts w:hint="cs"/>
          <w:rtl/>
        </w:rPr>
        <w:t>דשובט היינו מיסך ו</w:t>
      </w:r>
      <w:r w:rsidRPr="00F23066">
        <w:rPr>
          <w:rtl/>
        </w:rPr>
        <w:t>מדקדק היינו אורג, ולכן אינ</w:t>
      </w:r>
      <w:r>
        <w:rPr>
          <w:rFonts w:hint="cs"/>
          <w:rtl/>
        </w:rPr>
        <w:t>ם</w:t>
      </w:r>
      <w:r w:rsidRPr="00F23066">
        <w:rPr>
          <w:rtl/>
        </w:rPr>
        <w:t xml:space="preserve"> אב</w:t>
      </w:r>
      <w:r>
        <w:rPr>
          <w:rFonts w:hint="cs"/>
          <w:rtl/>
        </w:rPr>
        <w:t>ות</w:t>
      </w:r>
      <w:r w:rsidRPr="00F23066">
        <w:rPr>
          <w:rtl/>
        </w:rPr>
        <w:t xml:space="preserve"> אף שהי</w:t>
      </w:r>
      <w:r>
        <w:rPr>
          <w:rFonts w:hint="cs"/>
          <w:rtl/>
        </w:rPr>
        <w:t>ו</w:t>
      </w:r>
      <w:r w:rsidRPr="00F23066">
        <w:rPr>
          <w:rtl/>
        </w:rPr>
        <w:t xml:space="preserve"> במשכן,</w:t>
      </w:r>
      <w:r>
        <w:rPr>
          <w:rFonts w:hint="cs"/>
          <w:rtl/>
        </w:rPr>
        <w:t xml:space="preserve"> הוא כיון דהם ממש בכלל האבות הללו, והם התיקון וההכשר של האבות, משא"כ בזורה ובורר ומרקד דכל אחד מהם הוא מלאכה בפנ"ע, </w:t>
      </w:r>
      <w:bookmarkStart w:id="2040" w:name="_Hlk135756063"/>
      <w:r>
        <w:rPr>
          <w:rFonts w:hint="cs"/>
          <w:rtl/>
        </w:rPr>
        <w:t xml:space="preserve">וכדביאר </w:t>
      </w:r>
      <w:r w:rsidRPr="00D20CCA">
        <w:rPr>
          <w:rStyle w:val="aff4"/>
          <w:rFonts w:hint="cs"/>
          <w:vanish/>
          <w:rtl/>
        </w:rPr>
        <w:t>-</w:t>
      </w:r>
      <w:r w:rsidRPr="00551455">
        <w:rPr>
          <w:rStyle w:val="aff4"/>
          <w:rFonts w:hint="cs"/>
          <w:rtl/>
        </w:rPr>
        <w:t>רש"י לקמן</w:t>
      </w:r>
      <w:r w:rsidRPr="00D20CCA">
        <w:rPr>
          <w:rStyle w:val="aff4"/>
          <w:rFonts w:hint="cs"/>
          <w:vanish/>
          <w:rtl/>
        </w:rPr>
        <w:t>-</w:t>
      </w:r>
      <w:r>
        <w:rPr>
          <w:rFonts w:hint="cs"/>
          <w:rtl/>
        </w:rPr>
        <w:t xml:space="preserve"> </w:t>
      </w:r>
      <w:r w:rsidRPr="00D4778B">
        <w:rPr>
          <w:rStyle w:val="af2"/>
          <w:rFonts w:eastAsia="Guttman Hodes" w:hint="cs"/>
          <w:rtl/>
        </w:rPr>
        <w:t xml:space="preserve">(עי' אות </w:t>
      </w:r>
      <w:r w:rsidRPr="00D4778B">
        <w:rPr>
          <w:rStyle w:val="af2"/>
          <w:rFonts w:eastAsia="Guttman Hodes"/>
          <w:rtl/>
        </w:rPr>
        <w:fldChar w:fldCharType="begin"/>
      </w:r>
      <w:r w:rsidRPr="00D4778B">
        <w:rPr>
          <w:rStyle w:val="af2"/>
          <w:rFonts w:eastAsia="Guttman Hodes"/>
          <w:rtl/>
        </w:rPr>
        <w:instrText xml:space="preserve"> </w:instrText>
      </w:r>
      <w:r w:rsidRPr="00D4778B">
        <w:rPr>
          <w:rStyle w:val="af2"/>
          <w:rFonts w:eastAsia="Guttman Hodes" w:hint="cs"/>
        </w:rPr>
        <w:instrText>REF</w:instrText>
      </w:r>
      <w:r w:rsidRPr="00D4778B">
        <w:rPr>
          <w:rStyle w:val="af2"/>
          <w:rFonts w:eastAsia="Guttman Hodes" w:hint="cs"/>
          <w:rtl/>
        </w:rPr>
        <w:instrText xml:space="preserve"> _</w:instrText>
      </w:r>
      <w:r w:rsidRPr="00D4778B">
        <w:rPr>
          <w:rStyle w:val="af2"/>
          <w:rFonts w:eastAsia="Guttman Hodes" w:hint="cs"/>
        </w:rPr>
        <w:instrText>Ref135731059 \r \h</w:instrText>
      </w:r>
      <w:r w:rsidRPr="00D4778B">
        <w:rPr>
          <w:rStyle w:val="af2"/>
          <w:rFonts w:eastAsia="Guttman Hodes"/>
          <w:rtl/>
        </w:rPr>
        <w:instrText xml:space="preserve"> </w:instrText>
      </w:r>
      <w:r w:rsidRPr="00D4778B">
        <w:rPr>
          <w:rStyle w:val="af2"/>
          <w:rFonts w:eastAsia="Guttman Hodes"/>
          <w:rtl/>
        </w:rPr>
      </w:r>
      <w:r w:rsidRPr="00D4778B">
        <w:rPr>
          <w:rStyle w:val="af2"/>
          <w:rFonts w:eastAsia="Guttman Hodes"/>
          <w:rtl/>
        </w:rPr>
        <w:fldChar w:fldCharType="separate"/>
      </w:r>
      <w:r w:rsidR="00D82181">
        <w:rPr>
          <w:rStyle w:val="af2"/>
          <w:rFonts w:eastAsia="Guttman Hodes"/>
          <w:cs/>
        </w:rPr>
        <w:t>‎</w:t>
      </w:r>
      <w:r w:rsidR="00D82181">
        <w:rPr>
          <w:rStyle w:val="af2"/>
          <w:rFonts w:eastAsia="Guttman Hodes"/>
          <w:rtl/>
        </w:rPr>
        <w:t>לז)</w:t>
      </w:r>
      <w:r w:rsidRPr="00D4778B">
        <w:rPr>
          <w:rStyle w:val="af2"/>
          <w:rFonts w:eastAsia="Guttman Hodes"/>
          <w:rtl/>
        </w:rPr>
        <w:fldChar w:fldCharType="end"/>
      </w:r>
      <w:r>
        <w:rPr>
          <w:rFonts w:hint="cs"/>
          <w:rtl/>
        </w:rPr>
        <w:t xml:space="preserve"> דזורה הוא מברר את העפר והקשין, ובורר נוטל את הצרורות, ומרקד נוטל את המורסן, </w:t>
      </w:r>
      <w:bookmarkEnd w:id="2040"/>
      <w:r>
        <w:rPr>
          <w:rFonts w:hint="cs"/>
          <w:rtl/>
        </w:rPr>
        <w:t xml:space="preserve">או </w:t>
      </w:r>
      <w:bookmarkStart w:id="2041" w:name="_Hlk135756149"/>
      <w:r>
        <w:rPr>
          <w:rFonts w:hint="cs"/>
          <w:rtl/>
        </w:rPr>
        <w:t xml:space="preserve">כדביאר </w:t>
      </w:r>
      <w:r w:rsidRPr="00D20CCA">
        <w:rPr>
          <w:rStyle w:val="aff4"/>
          <w:rFonts w:hint="cs"/>
          <w:vanish/>
          <w:rtl/>
        </w:rPr>
        <w:t>-</w:t>
      </w:r>
      <w:r w:rsidRPr="00551455">
        <w:rPr>
          <w:rStyle w:val="aff4"/>
          <w:rFonts w:hint="cs"/>
          <w:rtl/>
        </w:rPr>
        <w:t>רש"י במתני'</w:t>
      </w:r>
      <w:r w:rsidRPr="00D20CCA">
        <w:rPr>
          <w:rStyle w:val="aff4"/>
          <w:rFonts w:hint="cs"/>
          <w:vanish/>
          <w:rtl/>
        </w:rPr>
        <w:t>-</w:t>
      </w:r>
      <w:r>
        <w:rPr>
          <w:rFonts w:hint="cs"/>
          <w:rtl/>
        </w:rPr>
        <w:t xml:space="preserve"> </w:t>
      </w:r>
      <w:r w:rsidRPr="00D4778B">
        <w:rPr>
          <w:rStyle w:val="af2"/>
          <w:rFonts w:eastAsia="Guttman Hodes" w:hint="cs"/>
          <w:rtl/>
        </w:rPr>
        <w:t xml:space="preserve">(עי' אות </w:t>
      </w:r>
      <w:r w:rsidRPr="00D4778B">
        <w:rPr>
          <w:rStyle w:val="af2"/>
          <w:rFonts w:eastAsia="Guttman Hodes"/>
          <w:rtl/>
        </w:rPr>
        <w:fldChar w:fldCharType="begin"/>
      </w:r>
      <w:r w:rsidRPr="00D4778B">
        <w:rPr>
          <w:rStyle w:val="af2"/>
          <w:rFonts w:eastAsia="Guttman Hodes"/>
          <w:rtl/>
        </w:rPr>
        <w:instrText xml:space="preserve"> </w:instrText>
      </w:r>
      <w:r w:rsidRPr="00D4778B">
        <w:rPr>
          <w:rStyle w:val="af2"/>
          <w:rFonts w:eastAsia="Guttman Hodes" w:hint="cs"/>
        </w:rPr>
        <w:instrText>REF</w:instrText>
      </w:r>
      <w:r w:rsidRPr="00D4778B">
        <w:rPr>
          <w:rStyle w:val="af2"/>
          <w:rFonts w:eastAsia="Guttman Hodes" w:hint="cs"/>
          <w:rtl/>
        </w:rPr>
        <w:instrText xml:space="preserve"> _</w:instrText>
      </w:r>
      <w:r w:rsidRPr="00D4778B">
        <w:rPr>
          <w:rStyle w:val="af2"/>
          <w:rFonts w:eastAsia="Guttman Hodes" w:hint="cs"/>
        </w:rPr>
        <w:instrText>Ref135730592 \r \h</w:instrText>
      </w:r>
      <w:r w:rsidRPr="00D4778B">
        <w:rPr>
          <w:rStyle w:val="af2"/>
          <w:rFonts w:eastAsia="Guttman Hodes"/>
          <w:rtl/>
        </w:rPr>
        <w:instrText xml:space="preserve"> </w:instrText>
      </w:r>
      <w:r w:rsidRPr="00D4778B">
        <w:rPr>
          <w:rStyle w:val="af2"/>
          <w:rFonts w:eastAsia="Guttman Hodes"/>
          <w:rtl/>
        </w:rPr>
      </w:r>
      <w:r w:rsidRPr="00D4778B">
        <w:rPr>
          <w:rStyle w:val="af2"/>
          <w:rFonts w:eastAsia="Guttman Hodes"/>
          <w:rtl/>
        </w:rPr>
        <w:fldChar w:fldCharType="separate"/>
      </w:r>
      <w:r w:rsidR="00D82181">
        <w:rPr>
          <w:rStyle w:val="af2"/>
          <w:rFonts w:eastAsia="Guttman Hodes"/>
          <w:cs/>
        </w:rPr>
        <w:t>‎</w:t>
      </w:r>
      <w:r w:rsidR="00D82181">
        <w:rPr>
          <w:rStyle w:val="af2"/>
          <w:rFonts w:eastAsia="Guttman Hodes"/>
          <w:rtl/>
        </w:rPr>
        <w:t>לו)</w:t>
      </w:r>
      <w:r w:rsidRPr="00D4778B">
        <w:rPr>
          <w:rStyle w:val="af2"/>
          <w:rFonts w:eastAsia="Guttman Hodes"/>
          <w:rtl/>
        </w:rPr>
        <w:fldChar w:fldCharType="end"/>
      </w:r>
      <w:r>
        <w:rPr>
          <w:rFonts w:hint="cs"/>
          <w:rtl/>
        </w:rPr>
        <w:t xml:space="preserve"> דזורר הוא ברוח ובורר ביד ומרקד בכלי</w:t>
      </w:r>
      <w:bookmarkEnd w:id="2041"/>
      <w:r>
        <w:rPr>
          <w:rFonts w:hint="cs"/>
          <w:rtl/>
        </w:rPr>
        <w:t>.</w:t>
      </w:r>
      <w:bookmarkEnd w:id="2039"/>
    </w:p>
    <w:p w14:paraId="36471EAF" w14:textId="77777777" w:rsidR="00316453" w:rsidRPr="00747170" w:rsidRDefault="00316453" w:rsidP="00747170">
      <w:pPr>
        <w:pStyle w:val="a2"/>
        <w:rPr>
          <w:rtl/>
        </w:rPr>
      </w:pPr>
      <w:r w:rsidRPr="00747170">
        <w:rPr>
          <w:rtl/>
        </w:rPr>
        <w:t>כל מילתא דהויא במשכן אף על גב דאיכא דדמיא לה חשיב לה. וא"ת א"כ למה לא מנו [שובט] מפני שהוא בכלל מסיך ולא מנו מדקדק מפני שהוא בכלל אורג כדאיתא לקמן, י"ל דלא דמו דהויא בכלל אורג ומסיך ממש ותיקון והכשר שלהם, אבל אלו כל אחת עומדת בפני עצמה דזורה לבירור העפר [והקשין] ובורר ליטול הצרורות ומרקד ליטול המורסן וכדפרש"י ז"ל, אי נמי כדפרש"י ז"ל שזה ברוח וזה ביד וזה בכלי.</w:t>
      </w:r>
    </w:p>
    <w:p w14:paraId="6170F13F" w14:textId="7EBAE18C" w:rsidR="00316453" w:rsidRDefault="00316453" w:rsidP="00316453">
      <w:pPr>
        <w:pStyle w:val="afffff7"/>
        <w:rPr>
          <w:rtl/>
        </w:rPr>
      </w:pPr>
      <w:bookmarkStart w:id="2042" w:name="_Toc136620463"/>
      <w:bookmarkStart w:id="2043" w:name="_Toc163505742"/>
      <w:r>
        <w:rPr>
          <w:rtl/>
        </w:rPr>
        <w:t>תוספות הרא"ש שבת ע"ד ע"א</w:t>
      </w:r>
      <w:bookmarkEnd w:id="2042"/>
      <w:bookmarkEnd w:id="2043"/>
    </w:p>
    <w:p w14:paraId="44E3D747" w14:textId="77777777" w:rsidR="00316453" w:rsidRDefault="00316453" w:rsidP="00316453">
      <w:pPr>
        <w:pStyle w:val="a7"/>
        <w:rPr>
          <w:rtl/>
        </w:rPr>
      </w:pPr>
      <w:bookmarkStart w:id="2044" w:name="_Toc136618699"/>
      <w:r>
        <w:rPr>
          <w:rFonts w:hint="cs"/>
          <w:rtl/>
        </w:rPr>
        <w:t>בי' התורא"ש דחילוק המלאכות דכ"א בורר פסולת אחרת שא"א לבוררה במלאכה האחרת</w:t>
      </w:r>
      <w:bookmarkEnd w:id="2044"/>
    </w:p>
    <w:p w14:paraId="73C68D04" w14:textId="18062B4F" w:rsidR="00316453" w:rsidRPr="00E14E39" w:rsidRDefault="00316453" w:rsidP="00BC7DC8">
      <w:pPr>
        <w:pStyle w:val="a3"/>
        <w:rPr>
          <w:rtl/>
        </w:rPr>
      </w:pPr>
      <w:bookmarkStart w:id="2045" w:name="_Ref136451389"/>
      <w:r>
        <w:rPr>
          <w:rFonts w:hint="cs"/>
          <w:rtl/>
        </w:rPr>
        <w:t xml:space="preserve">כתב </w:t>
      </w:r>
      <w:r w:rsidRPr="00F575F8">
        <w:rPr>
          <w:rStyle w:val="aff4"/>
          <w:rFonts w:hint="cs"/>
          <w:vanish/>
          <w:rtl/>
        </w:rPr>
        <w:t>-</w:t>
      </w:r>
      <w:r w:rsidRPr="00996495">
        <w:rPr>
          <w:rStyle w:val="aff4"/>
          <w:rFonts w:hint="cs"/>
          <w:rtl/>
        </w:rPr>
        <w:t>ה</w:t>
      </w:r>
      <w:r w:rsidRPr="00F575F8">
        <w:rPr>
          <w:rStyle w:val="aff4"/>
          <w:rFonts w:hint="cs"/>
          <w:vanish/>
          <w:rtl/>
        </w:rPr>
        <w:t xml:space="preserve">&lt;. </w:t>
      </w:r>
      <w:r w:rsidRPr="00F575F8">
        <w:rPr>
          <w:rStyle w:val="aff4"/>
          <w:vanish/>
          <w:rtl/>
        </w:rPr>
        <w:fldChar w:fldCharType="begin"/>
      </w:r>
      <w:r w:rsidRPr="00F575F8">
        <w:rPr>
          <w:rStyle w:val="aff4"/>
          <w:vanish/>
          <w:rtl/>
        </w:rPr>
        <w:instrText xml:space="preserve"> </w:instrText>
      </w:r>
      <w:r w:rsidRPr="00F575F8">
        <w:rPr>
          <w:rStyle w:val="aff4"/>
          <w:rFonts w:hint="cs"/>
          <w:vanish/>
        </w:rPr>
        <w:instrText>REF</w:instrText>
      </w:r>
      <w:r w:rsidRPr="00F575F8">
        <w:rPr>
          <w:rStyle w:val="aff4"/>
          <w:rFonts w:hint="cs"/>
          <w:vanish/>
          <w:rtl/>
        </w:rPr>
        <w:instrText xml:space="preserve"> _</w:instrText>
      </w:r>
      <w:r w:rsidRPr="00F575F8">
        <w:rPr>
          <w:rStyle w:val="aff4"/>
          <w:rFonts w:hint="cs"/>
          <w:vanish/>
        </w:rPr>
        <w:instrText>Ref136451389 \r \h</w:instrText>
      </w:r>
      <w:r w:rsidRPr="00F575F8">
        <w:rPr>
          <w:rStyle w:val="aff4"/>
          <w:vanish/>
          <w:rtl/>
        </w:rPr>
        <w:instrText xml:space="preserve"> </w:instrText>
      </w:r>
      <w:r w:rsidRPr="00F575F8">
        <w:rPr>
          <w:rStyle w:val="aff4"/>
          <w:vanish/>
          <w:rtl/>
        </w:rPr>
      </w:r>
      <w:r w:rsidRPr="00F575F8">
        <w:rPr>
          <w:rStyle w:val="aff4"/>
          <w:vanish/>
          <w:rtl/>
        </w:rPr>
        <w:fldChar w:fldCharType="separate"/>
      </w:r>
      <w:r w:rsidR="00D82181">
        <w:rPr>
          <w:rStyle w:val="aff4"/>
          <w:vanish/>
          <w:cs/>
        </w:rPr>
        <w:t>‎</w:t>
      </w:r>
      <w:r w:rsidR="00D82181">
        <w:rPr>
          <w:rStyle w:val="aff4"/>
          <w:vanish/>
          <w:rtl/>
        </w:rPr>
        <w:t>לט)</w:t>
      </w:r>
      <w:r w:rsidRPr="00F575F8">
        <w:rPr>
          <w:rStyle w:val="aff4"/>
          <w:vanish/>
          <w:rtl/>
        </w:rPr>
        <w:fldChar w:fldCharType="end"/>
      </w:r>
      <w:r w:rsidRPr="00F575F8">
        <w:rPr>
          <w:rStyle w:val="aff4"/>
          <w:rFonts w:hint="cs"/>
          <w:vanish/>
          <w:rtl/>
        </w:rPr>
        <w:t xml:space="preserve"> &gt;</w:t>
      </w:r>
      <w:r w:rsidRPr="00996495">
        <w:rPr>
          <w:rStyle w:val="aff4"/>
          <w:rFonts w:hint="cs"/>
          <w:rtl/>
        </w:rPr>
        <w:t>תוס' הרא"ש</w:t>
      </w:r>
      <w:r w:rsidRPr="00F575F8">
        <w:rPr>
          <w:rStyle w:val="aff4"/>
          <w:rFonts w:hint="cs"/>
          <w:vanish/>
          <w:rtl/>
        </w:rPr>
        <w:t>-</w:t>
      </w:r>
      <w:r>
        <w:rPr>
          <w:rFonts w:hint="cs"/>
          <w:rtl/>
        </w:rPr>
        <w:t xml:space="preserve"> </w:t>
      </w:r>
      <w:r w:rsidRPr="00F575F8">
        <w:rPr>
          <w:rStyle w:val="af2"/>
          <w:rFonts w:eastAsia="Guttman Hodes" w:hint="cs"/>
          <w:rtl/>
        </w:rPr>
        <w:t>(עד. ד"ה אע"ג)</w:t>
      </w:r>
      <w:r w:rsidRPr="00F575F8">
        <w:rPr>
          <w:rFonts w:hint="cs"/>
          <w:vanish/>
          <w:rtl/>
        </w:rPr>
        <w:t>=</w:t>
      </w:r>
      <w:r>
        <w:rPr>
          <w:rFonts w:hint="cs"/>
          <w:rtl/>
        </w:rPr>
        <w:t xml:space="preserve"> דזורה ובורר ומרקד חשיבי כג' אבות הוא כיון שהם בג' דברים שונים, ובכל מלאכה הוא בורר פסולת שא"א לברור אותה במלאכה האחרת, ולכן לא דמי ל</w:t>
      </w:r>
      <w:r w:rsidRPr="00F23066">
        <w:rPr>
          <w:rtl/>
        </w:rPr>
        <w:t xml:space="preserve">גמ' לקמן </w:t>
      </w:r>
      <w:r w:rsidRPr="00F575F8">
        <w:rPr>
          <w:rStyle w:val="af2"/>
          <w:rFonts w:eastAsia="Guttman Hodes"/>
          <w:rtl/>
        </w:rPr>
        <w:t>(עה:)</w:t>
      </w:r>
      <w:r w:rsidRPr="00F23066">
        <w:rPr>
          <w:rtl/>
        </w:rPr>
        <w:t xml:space="preserve"> </w:t>
      </w:r>
      <w:r>
        <w:rPr>
          <w:rFonts w:hint="cs"/>
          <w:rtl/>
        </w:rPr>
        <w:t>דשובט היינו מיסך ו</w:t>
      </w:r>
      <w:r w:rsidRPr="00F23066">
        <w:rPr>
          <w:rtl/>
        </w:rPr>
        <w:t xml:space="preserve">מדקדק היינו אורג, </w:t>
      </w:r>
      <w:r>
        <w:rPr>
          <w:rFonts w:hint="cs"/>
          <w:rtl/>
        </w:rPr>
        <w:t>ד</w:t>
      </w:r>
      <w:r w:rsidRPr="00F23066">
        <w:rPr>
          <w:rtl/>
        </w:rPr>
        <w:t>אינ</w:t>
      </w:r>
      <w:r>
        <w:rPr>
          <w:rFonts w:hint="cs"/>
          <w:rtl/>
        </w:rPr>
        <w:t>ם</w:t>
      </w:r>
      <w:r w:rsidRPr="00F23066">
        <w:rPr>
          <w:rtl/>
        </w:rPr>
        <w:t xml:space="preserve"> אב</w:t>
      </w:r>
      <w:r>
        <w:rPr>
          <w:rFonts w:hint="cs"/>
          <w:rtl/>
        </w:rPr>
        <w:t>ות</w:t>
      </w:r>
      <w:r w:rsidRPr="00F23066">
        <w:rPr>
          <w:rtl/>
        </w:rPr>
        <w:t xml:space="preserve"> אף שהי</w:t>
      </w:r>
      <w:r>
        <w:rPr>
          <w:rFonts w:hint="cs"/>
          <w:rtl/>
        </w:rPr>
        <w:t>ו</w:t>
      </w:r>
      <w:r w:rsidRPr="00F23066">
        <w:rPr>
          <w:rtl/>
        </w:rPr>
        <w:t xml:space="preserve"> במשכן,</w:t>
      </w:r>
      <w:r>
        <w:rPr>
          <w:rFonts w:hint="cs"/>
          <w:rtl/>
        </w:rPr>
        <w:t xml:space="preserve"> וה"ה מנפץ פשתן דאינו מלאכה, דהוא דש ממש כדישה בתבואה.</w:t>
      </w:r>
      <w:bookmarkEnd w:id="2045"/>
    </w:p>
    <w:p w14:paraId="231CC492" w14:textId="77777777" w:rsidR="00316453" w:rsidRPr="00747170" w:rsidRDefault="00316453" w:rsidP="00747170">
      <w:pPr>
        <w:pStyle w:val="a2"/>
        <w:rPr>
          <w:rtl/>
        </w:rPr>
      </w:pPr>
      <w:r w:rsidRPr="00747170">
        <w:rPr>
          <w:rtl/>
        </w:rPr>
        <w:t>אף על גב דאיכא דדמי לה חשיב לה, והא דלא חשיב שובט ומדקדק דלקמן בפירקין מפני שהם לגמרי בכלל מיסך ואורג, והא דלא פריך ולחשוב נמי מנפץ שהיו מנפצים הפשתן לעשות מהן יריעות היינו משום דהוי דש ממש אלא שזה בתבואה וזה בפשתן אבל זורה ובורר ומרקד ר"ן על הרי"ף שבת ל"א ע"ב</w:t>
      </w:r>
      <w:r w:rsidRPr="00747170">
        <w:rPr>
          <w:rFonts w:hint="cs"/>
          <w:rtl/>
        </w:rPr>
        <w:t xml:space="preserve"> ד"ה הזורה, הבורר, המרקד.</w:t>
      </w:r>
    </w:p>
    <w:p w14:paraId="21ADE118" w14:textId="6CE0BFE0" w:rsidR="00316453" w:rsidRDefault="00316453" w:rsidP="00316453">
      <w:pPr>
        <w:pStyle w:val="afffff7"/>
        <w:rPr>
          <w:rtl/>
        </w:rPr>
      </w:pPr>
      <w:bookmarkStart w:id="2046" w:name="_Toc136620464"/>
      <w:bookmarkStart w:id="2047" w:name="_Toc163505743"/>
      <w:r w:rsidRPr="004504F2">
        <w:rPr>
          <w:rtl/>
        </w:rPr>
        <w:t xml:space="preserve">חדושי הר"ן </w:t>
      </w:r>
      <w:r>
        <w:rPr>
          <w:rFonts w:hint="cs"/>
          <w:rtl/>
        </w:rPr>
        <w:t xml:space="preserve">- </w:t>
      </w:r>
      <w:r w:rsidRPr="004504F2">
        <w:rPr>
          <w:rtl/>
        </w:rPr>
        <w:t>מיוחס לו</w:t>
      </w:r>
      <w:r>
        <w:rPr>
          <w:rFonts w:hint="cs"/>
          <w:rtl/>
        </w:rPr>
        <w:t xml:space="preserve"> </w:t>
      </w:r>
      <w:r w:rsidRPr="004504F2">
        <w:rPr>
          <w:rtl/>
        </w:rPr>
        <w:t>שבת ע"ג ע"ב</w:t>
      </w:r>
      <w:r>
        <w:rPr>
          <w:rFonts w:hint="cs"/>
          <w:rtl/>
        </w:rPr>
        <w:t xml:space="preserve"> ד</w:t>
      </w:r>
      <w:r>
        <w:rPr>
          <w:rFonts w:cs="Guttman Hodes" w:hint="cs"/>
          <w:rtl/>
        </w:rPr>
        <w:t>"</w:t>
      </w:r>
      <w:r>
        <w:rPr>
          <w:rFonts w:hint="cs"/>
          <w:rtl/>
        </w:rPr>
        <w:t>ה תנא</w:t>
      </w:r>
      <w:bookmarkEnd w:id="2046"/>
      <w:bookmarkEnd w:id="2047"/>
    </w:p>
    <w:p w14:paraId="26A11735" w14:textId="77777777" w:rsidR="00316453" w:rsidRPr="0072763D" w:rsidRDefault="00316453" w:rsidP="00316453">
      <w:pPr>
        <w:pStyle w:val="a7"/>
      </w:pPr>
      <w:bookmarkStart w:id="2048" w:name="_Toc136618700"/>
      <w:r>
        <w:rPr>
          <w:rFonts w:hint="cs"/>
          <w:rtl/>
        </w:rPr>
        <w:t>בי' הרא"ה דזורה ובורר ומרקד בדבר א' עושה שלושתן ול"ד לזורע וזומר דאב א' דכ"א במקו"א</w:t>
      </w:r>
      <w:bookmarkEnd w:id="2048"/>
    </w:p>
    <w:p w14:paraId="0D041CA8" w14:textId="16753C02" w:rsidR="00316453" w:rsidRPr="006B76D5" w:rsidRDefault="00316453" w:rsidP="00BC7DC8">
      <w:pPr>
        <w:pStyle w:val="a3"/>
      </w:pPr>
      <w:bookmarkStart w:id="2049" w:name="_Ref135731475"/>
      <w:r>
        <w:rPr>
          <w:rFonts w:hint="cs"/>
          <w:rtl/>
        </w:rPr>
        <w:t xml:space="preserve">בהא דתני בברייתא דזורע וזומר ונוטע הם מלאכה אחת, כתב </w:t>
      </w:r>
      <w:r w:rsidRPr="00C444C9">
        <w:rPr>
          <w:rStyle w:val="aff4"/>
          <w:rFonts w:hint="cs"/>
          <w:vanish/>
          <w:rtl/>
        </w:rPr>
        <w:t>-</w:t>
      </w:r>
      <w:r w:rsidRPr="004F32D2">
        <w:rPr>
          <w:rStyle w:val="aff4"/>
          <w:rFonts w:hint="cs"/>
          <w:rtl/>
        </w:rPr>
        <w:t>ב</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Ref135731475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מ)</w:t>
      </w:r>
      <w:r>
        <w:rPr>
          <w:rStyle w:val="aff4"/>
          <w:vanish/>
          <w:rtl/>
        </w:rPr>
        <w:fldChar w:fldCharType="end"/>
      </w:r>
      <w:r>
        <w:rPr>
          <w:rStyle w:val="aff4"/>
          <w:rFonts w:hint="cs"/>
          <w:vanish/>
          <w:rtl/>
        </w:rPr>
        <w:t xml:space="preserve"> &gt;</w:t>
      </w:r>
      <w:r w:rsidRPr="004F32D2">
        <w:rPr>
          <w:rStyle w:val="aff4"/>
          <w:rFonts w:hint="cs"/>
          <w:rtl/>
        </w:rPr>
        <w:t>חי' המיוחסים לר"ן</w:t>
      </w:r>
      <w:r w:rsidRPr="00C444C9">
        <w:rPr>
          <w:rStyle w:val="aff4"/>
          <w:rFonts w:hint="cs"/>
          <w:vanish/>
          <w:rtl/>
        </w:rPr>
        <w:t>-</w:t>
      </w:r>
      <w:r>
        <w:rPr>
          <w:rFonts w:hint="cs"/>
          <w:rtl/>
        </w:rPr>
        <w:t xml:space="preserve"> </w:t>
      </w:r>
      <w:r w:rsidRPr="00D4778B">
        <w:rPr>
          <w:rStyle w:val="af2"/>
          <w:rFonts w:eastAsia="Guttman Hodes" w:hint="cs"/>
          <w:rtl/>
        </w:rPr>
        <w:t>(ד"ה תנא)</w:t>
      </w:r>
      <w:r>
        <w:rPr>
          <w:rFonts w:hint="cs"/>
          <w:vanish/>
          <w:rtl/>
        </w:rPr>
        <w:t>=</w:t>
      </w:r>
      <w:r w:rsidRPr="002A17CB">
        <w:rPr>
          <w:rFonts w:hint="cs"/>
          <w:rtl/>
        </w:rPr>
        <w:t xml:space="preserve"> </w:t>
      </w:r>
      <w:r w:rsidRPr="00E526A0">
        <w:rPr>
          <w:rFonts w:hint="cs"/>
          <w:b/>
          <w:bCs/>
          <w:vanish/>
          <w:rtl/>
        </w:rPr>
        <w:t>&lt; &gt;</w:t>
      </w:r>
      <w:r>
        <w:rPr>
          <w:rFonts w:hint="cs"/>
          <w:rtl/>
        </w:rPr>
        <w:t>בשם</w:t>
      </w:r>
      <w:r>
        <w:rPr>
          <w:rFonts w:hint="cs"/>
          <w:vanish/>
          <w:rtl/>
        </w:rPr>
        <w:t>=</w:t>
      </w:r>
      <w:r>
        <w:rPr>
          <w:rFonts w:hint="cs"/>
          <w:rtl/>
        </w:rPr>
        <w:t xml:space="preserve"> </w:t>
      </w:r>
      <w:r w:rsidRPr="00C444C9">
        <w:rPr>
          <w:rStyle w:val="aff4"/>
          <w:rFonts w:hint="cs"/>
          <w:vanish/>
          <w:rtl/>
        </w:rPr>
        <w:t>-</w:t>
      </w:r>
      <w:r w:rsidRPr="004F32D2">
        <w:rPr>
          <w:rStyle w:val="aff4"/>
          <w:rFonts w:hint="cs"/>
          <w:rtl/>
        </w:rPr>
        <w:t>ה</w:t>
      </w:r>
      <w:r w:rsidRPr="00C444C9">
        <w:rPr>
          <w:rStyle w:val="aff4"/>
          <w:rFonts w:hint="cs"/>
          <w:vanish/>
          <w:rtl/>
        </w:rPr>
        <w:t>&lt; &gt;</w:t>
      </w:r>
      <w:r w:rsidRPr="004F32D2">
        <w:rPr>
          <w:rStyle w:val="aff4"/>
          <w:rFonts w:hint="cs"/>
          <w:rtl/>
        </w:rPr>
        <w:t>רא"ה</w:t>
      </w:r>
      <w:r w:rsidRPr="00C444C9">
        <w:rPr>
          <w:rStyle w:val="aff4"/>
          <w:rFonts w:hint="cs"/>
          <w:vanish/>
          <w:rtl/>
        </w:rPr>
        <w:t>-</w:t>
      </w:r>
      <w:r>
        <w:rPr>
          <w:rFonts w:hint="cs"/>
          <w:vanish/>
          <w:rtl/>
        </w:rPr>
        <w:t>=</w:t>
      </w:r>
      <w:r>
        <w:rPr>
          <w:rFonts w:hint="cs"/>
          <w:rtl/>
        </w:rPr>
        <w:t xml:space="preserve"> שכולם הם אבות, דלא דמי לזורה ובורר ומרקד דמונים אותם בשלושה אבות, כיון דבדבר אחד צריך לעשות את שלושת המלאכות הללו, </w:t>
      </w:r>
      <w:r w:rsidRPr="00D4778B">
        <w:rPr>
          <w:rStyle w:val="af"/>
          <w:rFonts w:hint="cs"/>
          <w:rtl/>
        </w:rPr>
        <w:t>[בכדי לברור את האוכל מהפסולת]</w:t>
      </w:r>
      <w:r w:rsidRPr="00345748">
        <w:rPr>
          <w:rStyle w:val="af"/>
          <w:rFonts w:hint="cs"/>
          <w:rtl/>
        </w:rPr>
        <w:t>,</w:t>
      </w:r>
      <w:r>
        <w:rPr>
          <w:rFonts w:hint="cs"/>
          <w:rtl/>
        </w:rPr>
        <w:t xml:space="preserve"> אבל בזורע ונוטע וכו', בכל מקום צריך מלאכה אחרת, ובמ</w:t>
      </w:r>
      <w:r w:rsidRPr="006B76D5">
        <w:rPr>
          <w:rFonts w:hint="cs"/>
          <w:rtl/>
        </w:rPr>
        <w:t>קום שעושה מלאכה אחת אינו עושה את המלאכה האחרת.</w:t>
      </w:r>
      <w:bookmarkEnd w:id="2049"/>
    </w:p>
    <w:p w14:paraId="71CC08AF" w14:textId="77777777" w:rsidR="00316453" w:rsidRPr="00747170" w:rsidRDefault="00316453" w:rsidP="00747170">
      <w:pPr>
        <w:pStyle w:val="a2"/>
        <w:rPr>
          <w:rtl/>
        </w:rPr>
      </w:pPr>
      <w:r w:rsidRPr="00747170">
        <w:rPr>
          <w:rtl/>
        </w:rPr>
        <w:t>תנא הזורע והזומר והנוטע וכו' כולן מלאכה אחת הן. פי' כולן אבות הן אלא שהן מענין אחד ונמני' באחד ובכלל זורע נינהו ואם עשאן כולן חמשה בהעלם אחד אינו חייב אלא חטאת אחת וכדאמרי' העושה מלאכות הרבה מעין מלאכה א' וכו' והוה ליה כאוכל חלב וחלב בהעלם אחד שאינו חייב אלא אחת</w:t>
      </w:r>
      <w:r w:rsidRPr="00747170">
        <w:rPr>
          <w:rFonts w:hint="cs"/>
          <w:rtl/>
        </w:rPr>
        <w:t xml:space="preserve">, </w:t>
      </w:r>
      <w:r w:rsidRPr="00747170">
        <w:rPr>
          <w:rtl/>
        </w:rPr>
        <w:t>וכתב הרא"ה ז"ל דלא דמי לזורה ובורר ומרקד שנמנין בשלשה דהתם שלשתן צריכין בדבר אחד אבל כאן היכא דאית' להאי ליתא להאי וכולן ענין נטיעה וזריעה הן</w:t>
      </w:r>
      <w:r w:rsidRPr="00747170">
        <w:rPr>
          <w:rFonts w:hint="cs"/>
          <w:rtl/>
        </w:rPr>
        <w:t>,</w:t>
      </w:r>
      <w:r w:rsidRPr="00747170">
        <w:rPr>
          <w:rtl/>
        </w:rPr>
        <w:t xml:space="preserve"> וכי בעי למימר דהוי תולדה פריש בהדיא חייב משום הכי עכ"ל:</w:t>
      </w:r>
    </w:p>
    <w:p w14:paraId="3B760F7F" w14:textId="1A6B9320" w:rsidR="00316453" w:rsidRDefault="00316453" w:rsidP="00316453">
      <w:pPr>
        <w:pStyle w:val="afffff7"/>
        <w:rPr>
          <w:rtl/>
        </w:rPr>
      </w:pPr>
      <w:bookmarkStart w:id="2050" w:name="_Toc136620465"/>
      <w:bookmarkStart w:id="2051" w:name="_Toc163505744"/>
      <w:r>
        <w:rPr>
          <w:rtl/>
        </w:rPr>
        <w:t>מאירי שבת ע"ג ע"א</w:t>
      </w:r>
      <w:r>
        <w:rPr>
          <w:rFonts w:hint="cs"/>
          <w:rtl/>
        </w:rPr>
        <w:t xml:space="preserve"> ד"ה א' הזורע</w:t>
      </w:r>
      <w:bookmarkEnd w:id="2050"/>
      <w:bookmarkEnd w:id="2051"/>
    </w:p>
    <w:p w14:paraId="3B3D4099" w14:textId="77777777" w:rsidR="00316453" w:rsidRDefault="00316453" w:rsidP="00316453">
      <w:pPr>
        <w:pStyle w:val="a7"/>
        <w:rPr>
          <w:rtl/>
        </w:rPr>
      </w:pPr>
      <w:bookmarkStart w:id="2052" w:name="_Toc136618701"/>
      <w:r>
        <w:rPr>
          <w:rFonts w:hint="cs"/>
          <w:rtl/>
        </w:rPr>
        <w:t>בי' המאירי דחילוק המלאכות הוא באופן העשייה ובזמן המלאכה ובעניין המלאכה</w:t>
      </w:r>
      <w:bookmarkEnd w:id="2052"/>
    </w:p>
    <w:p w14:paraId="37E3EFAB" w14:textId="4EEF4687" w:rsidR="00316453" w:rsidRPr="00A150C9" w:rsidRDefault="00316453" w:rsidP="00BC7DC8">
      <w:pPr>
        <w:pStyle w:val="a3"/>
        <w:rPr>
          <w:rtl/>
        </w:rPr>
      </w:pPr>
      <w:bookmarkStart w:id="2053" w:name="_Ref135756669"/>
      <w:r>
        <w:rPr>
          <w:rFonts w:hint="cs"/>
          <w:rtl/>
        </w:rPr>
        <w:t xml:space="preserve">בקושית הגמ' דהיינו זורה היינו בורר היינו מרקד, ביאר </w:t>
      </w:r>
      <w:r w:rsidRPr="00FE3A00">
        <w:rPr>
          <w:rStyle w:val="aff4"/>
          <w:rFonts w:hint="cs"/>
          <w:vanish/>
          <w:rtl/>
        </w:rPr>
        <w:t>-</w:t>
      </w:r>
      <w:r w:rsidRPr="00C86935">
        <w:rPr>
          <w:rStyle w:val="aff4"/>
          <w:rFonts w:hint="cs"/>
          <w:rtl/>
        </w:rPr>
        <w:t>ה</w:t>
      </w:r>
      <w:r w:rsidRPr="00FE3A00">
        <w:rPr>
          <w:rStyle w:val="aff4"/>
          <w:rFonts w:hint="cs"/>
          <w:vanish/>
          <w:rtl/>
        </w:rPr>
        <w:t xml:space="preserve">&lt;. </w:t>
      </w:r>
      <w:r w:rsidRPr="00FE3A00">
        <w:rPr>
          <w:rStyle w:val="aff4"/>
          <w:vanish/>
          <w:rtl/>
        </w:rPr>
        <w:fldChar w:fldCharType="begin"/>
      </w:r>
      <w:r w:rsidRPr="00FE3A00">
        <w:rPr>
          <w:rStyle w:val="aff4"/>
          <w:vanish/>
          <w:rtl/>
        </w:rPr>
        <w:instrText xml:space="preserve"> </w:instrText>
      </w:r>
      <w:r w:rsidRPr="00FE3A00">
        <w:rPr>
          <w:rStyle w:val="aff4"/>
          <w:rFonts w:hint="cs"/>
          <w:vanish/>
        </w:rPr>
        <w:instrText>REF</w:instrText>
      </w:r>
      <w:r w:rsidRPr="00FE3A00">
        <w:rPr>
          <w:rStyle w:val="aff4"/>
          <w:rFonts w:hint="cs"/>
          <w:vanish/>
          <w:rtl/>
        </w:rPr>
        <w:instrText xml:space="preserve"> _</w:instrText>
      </w:r>
      <w:r w:rsidRPr="00FE3A00">
        <w:rPr>
          <w:rStyle w:val="aff4"/>
          <w:rFonts w:hint="cs"/>
          <w:vanish/>
        </w:rPr>
        <w:instrText>Ref135756669 \r \h</w:instrText>
      </w:r>
      <w:r w:rsidRPr="00FE3A00">
        <w:rPr>
          <w:rStyle w:val="aff4"/>
          <w:vanish/>
          <w:rtl/>
        </w:rPr>
        <w:instrText xml:space="preserve"> </w:instrText>
      </w:r>
      <w:r w:rsidRPr="00FE3A00">
        <w:rPr>
          <w:rStyle w:val="aff4"/>
          <w:vanish/>
          <w:rtl/>
        </w:rPr>
      </w:r>
      <w:r w:rsidRPr="00FE3A00">
        <w:rPr>
          <w:rStyle w:val="aff4"/>
          <w:vanish/>
          <w:rtl/>
        </w:rPr>
        <w:fldChar w:fldCharType="separate"/>
      </w:r>
      <w:r w:rsidR="00D82181">
        <w:rPr>
          <w:rStyle w:val="aff4"/>
          <w:vanish/>
          <w:cs/>
        </w:rPr>
        <w:t>‎</w:t>
      </w:r>
      <w:r w:rsidR="00D82181">
        <w:rPr>
          <w:rStyle w:val="aff4"/>
          <w:vanish/>
          <w:rtl/>
        </w:rPr>
        <w:t>מא)</w:t>
      </w:r>
      <w:r w:rsidRPr="00FE3A00">
        <w:rPr>
          <w:rStyle w:val="aff4"/>
          <w:vanish/>
          <w:rtl/>
        </w:rPr>
        <w:fldChar w:fldCharType="end"/>
      </w:r>
      <w:r w:rsidRPr="00FE3A00">
        <w:rPr>
          <w:rStyle w:val="aff4"/>
          <w:rFonts w:hint="cs"/>
          <w:vanish/>
          <w:rtl/>
        </w:rPr>
        <w:t xml:space="preserve"> &gt;</w:t>
      </w:r>
      <w:r w:rsidRPr="00C86935">
        <w:rPr>
          <w:rStyle w:val="aff4"/>
          <w:rFonts w:hint="cs"/>
          <w:rtl/>
        </w:rPr>
        <w:t>מאירי במתני'</w:t>
      </w:r>
      <w:r w:rsidRPr="00FE3A00">
        <w:rPr>
          <w:rStyle w:val="aff4"/>
          <w:rFonts w:hint="cs"/>
          <w:vanish/>
          <w:rtl/>
        </w:rPr>
        <w:t>-</w:t>
      </w:r>
      <w:r>
        <w:rPr>
          <w:rFonts w:hint="cs"/>
          <w:rtl/>
        </w:rPr>
        <w:t xml:space="preserve"> </w:t>
      </w:r>
      <w:r w:rsidRPr="00FE3A00">
        <w:rPr>
          <w:rStyle w:val="af2"/>
          <w:rFonts w:eastAsia="Guttman Hodes" w:hint="cs"/>
          <w:rtl/>
        </w:rPr>
        <w:t>(עג. ד"ה א' הזורע)</w:t>
      </w:r>
      <w:r w:rsidRPr="00FE3A00">
        <w:rPr>
          <w:rFonts w:hint="cs"/>
          <w:vanish/>
          <w:rtl/>
        </w:rPr>
        <w:t>=</w:t>
      </w:r>
      <w:r>
        <w:rPr>
          <w:rFonts w:hint="cs"/>
          <w:rtl/>
        </w:rPr>
        <w:t xml:space="preserve"> דזורה ובורר ומרקד הם אותו מין של מלאכה, להפריש אוכל מתוך פסולת, ובתירוץ הגמ' דהם ג' אבות כיון שהיו </w:t>
      </w:r>
      <w:r>
        <w:rPr>
          <w:rFonts w:hint="cs"/>
          <w:rtl/>
        </w:rPr>
        <w:t xml:space="preserve">במשכן, ביאר </w:t>
      </w:r>
      <w:r w:rsidRPr="00FE3A00">
        <w:rPr>
          <w:rStyle w:val="aff4"/>
          <w:rFonts w:hint="cs"/>
          <w:vanish/>
          <w:rtl/>
        </w:rPr>
        <w:t>-</w:t>
      </w:r>
      <w:r w:rsidRPr="00C86935">
        <w:rPr>
          <w:rStyle w:val="aff4"/>
          <w:rFonts w:hint="cs"/>
          <w:rtl/>
        </w:rPr>
        <w:t>המאירי</w:t>
      </w:r>
      <w:r w:rsidRPr="00FE3A00">
        <w:rPr>
          <w:rStyle w:val="aff4"/>
          <w:rFonts w:hint="cs"/>
          <w:vanish/>
          <w:rtl/>
        </w:rPr>
        <w:t>-</w:t>
      </w:r>
      <w:r>
        <w:rPr>
          <w:rFonts w:hint="cs"/>
          <w:rtl/>
        </w:rPr>
        <w:t xml:space="preserve"> דאף שיש מלאכות אחרות שדומות להם מ"מ חשיב לכ"א כאב בפנ"ע, כיון שהם חלוקים באופן העשייה של המאלכה, וכן בזמן של המלאכה, וכן בענין של המלאכה, דמעשה דזורה הוא בתבן דזורה לרוח ע"י רחת או כברה עם נקבים גסים, ומפריש את התבן מהתבואה, ובורר הוא בצרורות שבורר בידיו את הפסולת מהאוכל, ומרקד הוא בסובין, דמרקד את הנפה להסיר את הסובין והמורסן מהקמח.</w:t>
      </w:r>
      <w:bookmarkEnd w:id="2053"/>
    </w:p>
    <w:p w14:paraId="3E6E54E7" w14:textId="77777777" w:rsidR="00316453" w:rsidRPr="00747170" w:rsidRDefault="00316453" w:rsidP="00747170">
      <w:pPr>
        <w:pStyle w:val="a2"/>
      </w:pPr>
      <w:r w:rsidRPr="00747170">
        <w:rPr>
          <w:rtl/>
        </w:rPr>
        <w:t>ו' הזורה ר"ל ברחת לרוח או בכברה שנקביה גסים להפריש התבן מן הבר ז' הבורר ר"ל שבורר בידיו פסולת מתוך האוכל כגון צרורות ועפר ח' הטוחן ט' המרקד בנפה להסיר הסובין והמורסן מתוך הקמח ובגמ' שאלו שהרי זורה ובורר ומרקד שלשתן מין אחד הן להפריש אוכל מתוך פסולת ולמה נחלקו לשלשה ותירץ כל מילתא דהויא במשכן אף על גב דאיכא אחריתי דדמיא לה חשיב להו ופירוש הדברים אחר שאין מעשיהם שוים ולא בזמן אחד ובענין אחד אלא זה בתבן וזה בצרורות וזה בסובין</w:t>
      </w:r>
      <w:r w:rsidRPr="00747170">
        <w:rPr>
          <w:rFonts w:hint="cs"/>
          <w:rtl/>
        </w:rPr>
        <w:t>.</w:t>
      </w:r>
    </w:p>
    <w:p w14:paraId="29BBFD55" w14:textId="5727DBE7" w:rsidR="00316453" w:rsidRPr="006B76D5" w:rsidRDefault="00316453" w:rsidP="00316453">
      <w:pPr>
        <w:pStyle w:val="afffff7"/>
        <w:rPr>
          <w:rtl/>
        </w:rPr>
      </w:pPr>
      <w:bookmarkStart w:id="2054" w:name="_Toc136620466"/>
      <w:bookmarkStart w:id="2055" w:name="_Toc163505745"/>
      <w:r w:rsidRPr="006B76D5">
        <w:rPr>
          <w:rtl/>
        </w:rPr>
        <w:t xml:space="preserve">רמב"ם שבת </w:t>
      </w:r>
      <w:r>
        <w:rPr>
          <w:rFonts w:hint="cs"/>
          <w:rtl/>
        </w:rPr>
        <w:t>פ"ז ה"ב</w:t>
      </w:r>
      <w:bookmarkEnd w:id="2054"/>
      <w:bookmarkEnd w:id="2055"/>
    </w:p>
    <w:p w14:paraId="2BF2706F" w14:textId="77777777" w:rsidR="00316453" w:rsidRPr="006B76D5" w:rsidRDefault="00316453" w:rsidP="00316453">
      <w:pPr>
        <w:pStyle w:val="afffff7"/>
        <w:rPr>
          <w:rtl/>
        </w:rPr>
      </w:pPr>
      <w:bookmarkStart w:id="2056" w:name="_Toc136620467"/>
      <w:bookmarkStart w:id="2057" w:name="_Toc136618702"/>
      <w:bookmarkStart w:id="2058" w:name="_Toc163505746"/>
      <w:r w:rsidRPr="006B76D5">
        <w:rPr>
          <w:rtl/>
        </w:rPr>
        <w:t xml:space="preserve">רמב"ם שבת </w:t>
      </w:r>
      <w:r>
        <w:rPr>
          <w:rFonts w:hint="cs"/>
          <w:rtl/>
        </w:rPr>
        <w:t>פ"ז ה"ג</w:t>
      </w:r>
      <w:bookmarkEnd w:id="2056"/>
      <w:bookmarkEnd w:id="2058"/>
    </w:p>
    <w:p w14:paraId="0ED021E7" w14:textId="77777777" w:rsidR="00316453" w:rsidRPr="006B76D5" w:rsidRDefault="00316453" w:rsidP="00316453">
      <w:pPr>
        <w:pStyle w:val="afffff7"/>
        <w:rPr>
          <w:rtl/>
        </w:rPr>
      </w:pPr>
      <w:bookmarkStart w:id="2059" w:name="_Toc136620468"/>
      <w:bookmarkStart w:id="2060" w:name="_Toc163505747"/>
      <w:r w:rsidRPr="006B76D5">
        <w:rPr>
          <w:rtl/>
        </w:rPr>
        <w:t xml:space="preserve">רמב"ם שבת </w:t>
      </w:r>
      <w:r>
        <w:rPr>
          <w:rFonts w:hint="cs"/>
          <w:rtl/>
        </w:rPr>
        <w:t>פ"ז ה"ד</w:t>
      </w:r>
      <w:bookmarkEnd w:id="2059"/>
      <w:bookmarkEnd w:id="2060"/>
    </w:p>
    <w:p w14:paraId="61B14AA5" w14:textId="77777777" w:rsidR="00316453" w:rsidRPr="006B76D5" w:rsidRDefault="00316453" w:rsidP="00316453">
      <w:pPr>
        <w:pStyle w:val="afffff7"/>
        <w:rPr>
          <w:rtl/>
        </w:rPr>
      </w:pPr>
      <w:bookmarkStart w:id="2061" w:name="_Toc136620469"/>
      <w:bookmarkStart w:id="2062" w:name="_Toc163505748"/>
      <w:r w:rsidRPr="006B76D5">
        <w:rPr>
          <w:rtl/>
        </w:rPr>
        <w:t>רמב"ם שבת פ"ח הי"א</w:t>
      </w:r>
      <w:bookmarkEnd w:id="2061"/>
      <w:bookmarkEnd w:id="2062"/>
    </w:p>
    <w:p w14:paraId="698990D4" w14:textId="77777777" w:rsidR="00316453" w:rsidRPr="006B76D5" w:rsidRDefault="00316453" w:rsidP="00316453">
      <w:pPr>
        <w:pStyle w:val="a7"/>
        <w:rPr>
          <w:rtl/>
        </w:rPr>
      </w:pPr>
      <w:r w:rsidRPr="006B76D5">
        <w:rPr>
          <w:rFonts w:hint="cs"/>
          <w:rtl/>
        </w:rPr>
        <w:t xml:space="preserve">בי' הרמב"ם </w:t>
      </w:r>
      <w:r>
        <w:rPr>
          <w:rFonts w:hint="cs"/>
          <w:rtl/>
        </w:rPr>
        <w:t>ד</w:t>
      </w:r>
      <w:r w:rsidRPr="006B76D5">
        <w:rPr>
          <w:rFonts w:hint="cs"/>
          <w:rtl/>
        </w:rPr>
        <w:t xml:space="preserve">כל דבר שהוא מאותו העניין </w:t>
      </w:r>
      <w:r>
        <w:rPr>
          <w:rFonts w:hint="cs"/>
          <w:rtl/>
        </w:rPr>
        <w:t>בכלל</w:t>
      </w:r>
      <w:r w:rsidRPr="006B76D5">
        <w:rPr>
          <w:rFonts w:hint="cs"/>
          <w:rtl/>
        </w:rPr>
        <w:t xml:space="preserve"> </w:t>
      </w:r>
      <w:r>
        <w:rPr>
          <w:rFonts w:hint="cs"/>
          <w:rtl/>
        </w:rPr>
        <w:t>ה</w:t>
      </w:r>
      <w:r w:rsidRPr="006B76D5">
        <w:rPr>
          <w:rFonts w:hint="cs"/>
          <w:rtl/>
        </w:rPr>
        <w:t xml:space="preserve">אב </w:t>
      </w:r>
      <w:r>
        <w:rPr>
          <w:rFonts w:hint="cs"/>
          <w:rtl/>
        </w:rPr>
        <w:t>עצמו וזורה ובורר כ"א בפנ"ע דהיו במשכן</w:t>
      </w:r>
      <w:bookmarkEnd w:id="2057"/>
    </w:p>
    <w:p w14:paraId="5D85FCA4" w14:textId="3D1B02B8" w:rsidR="00316453" w:rsidRPr="006B76D5" w:rsidRDefault="00316453" w:rsidP="00BC7DC8">
      <w:pPr>
        <w:pStyle w:val="a3"/>
        <w:rPr>
          <w:rtl/>
        </w:rPr>
      </w:pPr>
      <w:r>
        <w:rPr>
          <w:rFonts w:hint="cs"/>
          <w:rtl/>
        </w:rPr>
        <w:t>עי' במ"ש</w:t>
      </w:r>
      <w:r w:rsidRPr="006B76D5">
        <w:rPr>
          <w:rFonts w:hint="cs"/>
          <w:rtl/>
        </w:rPr>
        <w:t xml:space="preserve"> </w:t>
      </w:r>
      <w:r w:rsidRPr="00D20CCA">
        <w:rPr>
          <w:rStyle w:val="aff4"/>
          <w:rFonts w:hint="cs"/>
          <w:vanish/>
          <w:rtl/>
        </w:rPr>
        <w:t>-</w:t>
      </w:r>
      <w:r w:rsidRPr="00551455">
        <w:rPr>
          <w:rStyle w:val="aff4"/>
          <w:rFonts w:hint="cs"/>
          <w:rtl/>
        </w:rPr>
        <w:t>ה</w:t>
      </w:r>
      <w:r w:rsidRPr="00D20CCA">
        <w:rPr>
          <w:rStyle w:val="aff4"/>
          <w:rFonts w:hint="cs"/>
          <w:vanish/>
          <w:rtl/>
        </w:rPr>
        <w:t xml:space="preserve">&lt;. </w:t>
      </w:r>
      <w:r w:rsidRPr="00D20CCA">
        <w:rPr>
          <w:rStyle w:val="aff4"/>
          <w:vanish/>
          <w:rtl/>
        </w:rPr>
        <w:fldChar w:fldCharType="begin"/>
      </w:r>
      <w:r w:rsidRPr="00D20CCA">
        <w:rPr>
          <w:rStyle w:val="aff4"/>
          <w:vanish/>
          <w:rtl/>
        </w:rPr>
        <w:instrText xml:space="preserve"> </w:instrText>
      </w:r>
      <w:r w:rsidRPr="00D20CCA">
        <w:rPr>
          <w:rStyle w:val="aff4"/>
          <w:rFonts w:hint="cs"/>
          <w:vanish/>
        </w:rPr>
        <w:instrText>REF</w:instrText>
      </w:r>
      <w:r w:rsidRPr="00D20CCA">
        <w:rPr>
          <w:rStyle w:val="aff4"/>
          <w:rFonts w:hint="cs"/>
          <w:vanish/>
          <w:rtl/>
        </w:rPr>
        <w:instrText xml:space="preserve"> _</w:instrText>
      </w:r>
      <w:r w:rsidRPr="00D20CCA">
        <w:rPr>
          <w:rStyle w:val="aff4"/>
          <w:rFonts w:hint="cs"/>
          <w:vanish/>
        </w:rPr>
        <w:instrText>Ref130239677 \r \h</w:instrText>
      </w:r>
      <w:r w:rsidRPr="00D20CCA">
        <w:rPr>
          <w:rStyle w:val="aff4"/>
          <w:vanish/>
          <w:rtl/>
        </w:rPr>
        <w:instrText xml:space="preserve">  \* </w:instrText>
      </w:r>
      <w:r w:rsidRPr="00D20CCA">
        <w:rPr>
          <w:rStyle w:val="aff4"/>
          <w:vanish/>
        </w:rPr>
        <w:instrText>MERGEFORMAT</w:instrText>
      </w:r>
      <w:r w:rsidRPr="00D20CCA">
        <w:rPr>
          <w:rStyle w:val="aff4"/>
          <w:vanish/>
          <w:rtl/>
        </w:rPr>
        <w:instrText xml:space="preserve"> </w:instrText>
      </w:r>
      <w:r w:rsidRPr="00D20CCA">
        <w:rPr>
          <w:rStyle w:val="aff4"/>
          <w:vanish/>
          <w:rtl/>
        </w:rPr>
      </w:r>
      <w:r w:rsidRPr="00D20CCA">
        <w:rPr>
          <w:rStyle w:val="aff4"/>
          <w:vanish/>
          <w:rtl/>
        </w:rPr>
        <w:fldChar w:fldCharType="separate"/>
      </w:r>
      <w:r w:rsidR="00D82181">
        <w:rPr>
          <w:rStyle w:val="aff4"/>
          <w:vanish/>
          <w:cs/>
        </w:rPr>
        <w:t>‎</w:t>
      </w:r>
      <w:r w:rsidR="00D82181">
        <w:rPr>
          <w:rStyle w:val="aff4"/>
          <w:vanish/>
          <w:rtl/>
        </w:rPr>
        <w:t>כח)</w:t>
      </w:r>
      <w:r w:rsidRPr="00D20CCA">
        <w:rPr>
          <w:rStyle w:val="aff4"/>
          <w:vanish/>
          <w:rtl/>
        </w:rPr>
        <w:fldChar w:fldCharType="end"/>
      </w:r>
      <w:r w:rsidRPr="00D20CCA">
        <w:rPr>
          <w:rStyle w:val="aff4"/>
          <w:rFonts w:hint="cs"/>
          <w:vanish/>
          <w:rtl/>
        </w:rPr>
        <w:t xml:space="preserve"> &gt;</w:t>
      </w:r>
      <w:r w:rsidRPr="00551455">
        <w:rPr>
          <w:rStyle w:val="aff4"/>
          <w:rFonts w:hint="cs"/>
          <w:rtl/>
        </w:rPr>
        <w:t>רמב"ם</w:t>
      </w:r>
      <w:r w:rsidRPr="00D20CCA">
        <w:rPr>
          <w:rStyle w:val="aff4"/>
          <w:rFonts w:hint="cs"/>
          <w:vanish/>
          <w:rtl/>
        </w:rPr>
        <w:t>-</w:t>
      </w:r>
      <w:r w:rsidRPr="006B76D5">
        <w:rPr>
          <w:rFonts w:hint="cs"/>
          <w:rtl/>
        </w:rPr>
        <w:t xml:space="preserve"> </w:t>
      </w:r>
      <w:r w:rsidRPr="00D4778B">
        <w:rPr>
          <w:rStyle w:val="af2"/>
          <w:rFonts w:eastAsia="Guttman Hodes" w:hint="cs"/>
          <w:rtl/>
        </w:rPr>
        <w:t>(שבת פ"ז ה"ב, ה"ג, ה"ד)</w:t>
      </w:r>
      <w:r w:rsidRPr="00B822EC">
        <w:rPr>
          <w:rFonts w:hint="cs"/>
          <w:vanish/>
          <w:rtl/>
        </w:rPr>
        <w:t>=</w:t>
      </w:r>
      <w:r w:rsidRPr="006B76D5">
        <w:rPr>
          <w:rFonts w:hint="cs"/>
          <w:rtl/>
        </w:rPr>
        <w:t xml:space="preserve"> דכל הל"ט מלאכות וכל דבר שהוא מענינם נקראים אבות, כגון החורש או החופר או העושה חריץ, שכ"א מהם הוא אב מלאכה </w:t>
      </w:r>
      <w:r>
        <w:rPr>
          <w:rFonts w:hint="cs"/>
          <w:rtl/>
        </w:rPr>
        <w:t xml:space="preserve">דחורש כיון שהם </w:t>
      </w:r>
      <w:r w:rsidRPr="006B76D5">
        <w:rPr>
          <w:rFonts w:hint="cs"/>
          <w:rtl/>
        </w:rPr>
        <w:t>ענין אחד</w:t>
      </w:r>
      <w:r w:rsidRPr="00397772">
        <w:rPr>
          <w:rFonts w:hint="cs"/>
          <w:rtl/>
        </w:rPr>
        <w:t xml:space="preserve"> </w:t>
      </w:r>
      <w:r>
        <w:rPr>
          <w:rFonts w:hint="cs"/>
          <w:rtl/>
        </w:rPr>
        <w:t>לעשות חפירה בקרקע, ו</w:t>
      </w:r>
      <w:r w:rsidRPr="006B76D5">
        <w:rPr>
          <w:rFonts w:hint="cs"/>
          <w:rtl/>
        </w:rPr>
        <w:t xml:space="preserve">כן </w:t>
      </w:r>
      <w:r>
        <w:rPr>
          <w:rFonts w:hint="cs"/>
          <w:rtl/>
        </w:rPr>
        <w:t>ו</w:t>
      </w:r>
      <w:r w:rsidRPr="006B76D5">
        <w:rPr>
          <w:rFonts w:hint="cs"/>
          <w:rtl/>
        </w:rPr>
        <w:t xml:space="preserve">נוטע </w:t>
      </w:r>
      <w:r>
        <w:rPr>
          <w:rFonts w:hint="cs"/>
          <w:rtl/>
        </w:rPr>
        <w:t>ו</w:t>
      </w:r>
      <w:r w:rsidRPr="006B76D5">
        <w:rPr>
          <w:rFonts w:hint="cs"/>
          <w:rtl/>
        </w:rPr>
        <w:t xml:space="preserve">מבריך </w:t>
      </w:r>
      <w:r>
        <w:rPr>
          <w:rFonts w:hint="cs"/>
          <w:rtl/>
        </w:rPr>
        <w:t>וכו' הם אב דזורע</w:t>
      </w:r>
      <w:r w:rsidRPr="006B76D5">
        <w:rPr>
          <w:rFonts w:hint="cs"/>
          <w:rtl/>
        </w:rPr>
        <w:t xml:space="preserve"> דכולם הם אותו הענין דהכוונה שלו בכל אחת מהמלאכות הללו הוא להצמיח דבר</w:t>
      </w:r>
      <w:r>
        <w:rPr>
          <w:rFonts w:hint="cs"/>
          <w:rtl/>
        </w:rPr>
        <w:t xml:space="preserve">, וכן </w:t>
      </w:r>
      <w:r w:rsidRPr="006B76D5">
        <w:rPr>
          <w:rFonts w:hint="cs"/>
          <w:rtl/>
        </w:rPr>
        <w:t>בוצר וגודר ומוסק וכו' הם אב מלאכה דקוצר, כיון דבכ"א מהם מתכוון לעקור דבר מגידולו, וכתב</w:t>
      </w:r>
      <w:r w:rsidRPr="006B76D5">
        <w:rPr>
          <w:rStyle w:val="aff4"/>
          <w:rFonts w:hint="cs"/>
          <w:rtl/>
        </w:rPr>
        <w:t xml:space="preserve"> </w:t>
      </w:r>
      <w:r w:rsidRPr="00D20CCA">
        <w:rPr>
          <w:rStyle w:val="aff4"/>
          <w:rFonts w:hint="cs"/>
          <w:vanish/>
          <w:rtl/>
        </w:rPr>
        <w:t>-</w:t>
      </w:r>
      <w:r w:rsidRPr="00551455">
        <w:rPr>
          <w:rStyle w:val="aff4"/>
          <w:rFonts w:hint="cs"/>
          <w:rtl/>
        </w:rPr>
        <w:t>הרמב"ם</w:t>
      </w:r>
      <w:r w:rsidRPr="00D20CCA">
        <w:rPr>
          <w:rStyle w:val="aff4"/>
          <w:rFonts w:hint="cs"/>
          <w:vanish/>
          <w:rtl/>
        </w:rPr>
        <w:t>-</w:t>
      </w:r>
      <w:r w:rsidRPr="006B76D5">
        <w:rPr>
          <w:rFonts w:hint="cs"/>
          <w:rtl/>
        </w:rPr>
        <w:t xml:space="preserve"> דכן הדין בשאר אבות מלאכות</w:t>
      </w:r>
      <w:bookmarkStart w:id="2063" w:name="_Ref135733153"/>
      <w:r>
        <w:rPr>
          <w:rFonts w:hint="cs"/>
          <w:rtl/>
        </w:rPr>
        <w:t>,</w:t>
      </w:r>
      <w:r w:rsidRPr="00671B48">
        <w:rPr>
          <w:rFonts w:hint="cs"/>
          <w:rtl/>
        </w:rPr>
        <w:t xml:space="preserve"> </w:t>
      </w:r>
      <w:r>
        <w:rPr>
          <w:rFonts w:hint="cs"/>
          <w:rtl/>
        </w:rPr>
        <w:t xml:space="preserve">וכתב </w:t>
      </w:r>
      <w:r w:rsidRPr="00D20CCA">
        <w:rPr>
          <w:rStyle w:val="aff4"/>
          <w:rFonts w:hint="cs"/>
          <w:vanish/>
          <w:rtl/>
        </w:rPr>
        <w:t>-</w:t>
      </w:r>
      <w:r w:rsidRPr="00551455">
        <w:rPr>
          <w:rStyle w:val="aff4"/>
          <w:rFonts w:hint="cs"/>
          <w:rtl/>
        </w:rPr>
        <w:t>ה</w:t>
      </w:r>
      <w:r>
        <w:rPr>
          <w:rStyle w:val="aff4"/>
          <w:rFonts w:hint="cs"/>
          <w:vanish/>
          <w:rtl/>
        </w:rPr>
        <w:t>&lt; &gt;</w:t>
      </w:r>
      <w:r w:rsidRPr="00551455">
        <w:rPr>
          <w:rStyle w:val="aff4"/>
          <w:rFonts w:hint="cs"/>
          <w:rtl/>
        </w:rPr>
        <w:t>רמב"ם</w:t>
      </w:r>
      <w:r w:rsidRPr="00D20CCA">
        <w:rPr>
          <w:rStyle w:val="aff4"/>
          <w:rFonts w:hint="cs"/>
          <w:vanish/>
          <w:rtl/>
        </w:rPr>
        <w:t>-</w:t>
      </w:r>
      <w:r>
        <w:rPr>
          <w:rFonts w:hint="cs"/>
          <w:rtl/>
        </w:rPr>
        <w:t xml:space="preserve"> </w:t>
      </w:r>
      <w:r w:rsidRPr="00D4778B">
        <w:rPr>
          <w:rStyle w:val="af2"/>
          <w:rFonts w:eastAsia="Guttman Hodes" w:hint="cs"/>
          <w:rtl/>
        </w:rPr>
        <w:t>(שבת פ"ח ה</w:t>
      </w:r>
      <w:r>
        <w:rPr>
          <w:rStyle w:val="af2"/>
          <w:rFonts w:eastAsia="Guttman Hodes" w:hint="cs"/>
          <w:rtl/>
        </w:rPr>
        <w:t>י</w:t>
      </w:r>
      <w:r w:rsidRPr="00D4778B">
        <w:rPr>
          <w:rStyle w:val="af2"/>
          <w:rFonts w:eastAsia="Guttman Hodes" w:hint="cs"/>
          <w:rtl/>
        </w:rPr>
        <w:t>"א)</w:t>
      </w:r>
      <w:r w:rsidRPr="00B822EC">
        <w:rPr>
          <w:rFonts w:hint="cs"/>
          <w:vanish/>
          <w:rtl/>
        </w:rPr>
        <w:t>=</w:t>
      </w:r>
      <w:r>
        <w:rPr>
          <w:rFonts w:hint="cs"/>
          <w:rtl/>
        </w:rPr>
        <w:t xml:space="preserve"> דזורה ובורר ומרקד אף </w:t>
      </w:r>
      <w:bookmarkEnd w:id="2063"/>
      <w:r>
        <w:rPr>
          <w:rFonts w:hint="cs"/>
          <w:rtl/>
        </w:rPr>
        <w:t>שהם דומים זה לזה בעניין שלהם, מ"מ מנו אותם לג' מלאכות, כיון שכל מלאכה שהייתה במשכן מנו אותה כמלאכה בפנ"ע</w:t>
      </w:r>
      <w:r w:rsidRPr="006B76D5">
        <w:rPr>
          <w:rFonts w:hint="cs"/>
          <w:rtl/>
        </w:rPr>
        <w:t xml:space="preserve">. </w:t>
      </w:r>
    </w:p>
    <w:p w14:paraId="783A016E" w14:textId="77777777" w:rsidR="00316453" w:rsidRPr="00747170" w:rsidRDefault="00316453" w:rsidP="00747170">
      <w:pPr>
        <w:pStyle w:val="a2"/>
        <w:rPr>
          <w:rtl/>
        </w:rPr>
      </w:pPr>
      <w:r w:rsidRPr="00747170">
        <w:rPr>
          <w:rtl/>
        </w:rPr>
        <w:t xml:space="preserve">כל אלו המלאכות וכל שהוא מענינם הם הנקראין אבות מלאכות, כיצד הוא ענינן, אחד החורש או החופר או העושה חריץ הרי זה אב מלאכה, שכל אחת ואחת מהן חפירה בקרקע וענין אחד הוא. </w:t>
      </w:r>
    </w:p>
    <w:p w14:paraId="6455E1B4" w14:textId="77777777" w:rsidR="00316453" w:rsidRPr="0030138D" w:rsidRDefault="00316453" w:rsidP="00747170">
      <w:pPr>
        <w:pStyle w:val="afffff5"/>
        <w:rPr>
          <w:rtl/>
        </w:rPr>
      </w:pPr>
      <w:r w:rsidRPr="0030138D">
        <w:rPr>
          <w:rtl/>
        </w:rPr>
        <w:t>וכן אחד הזורע זרעים או הנוטע אילנות או המבריך אילנות או המרכיב או הזומר, כל אלו אב אחד הן מאבות מלאכות וענין אחד הוא, שכל אחת מהן לצמח דבר הוא מתכוין.</w:t>
      </w:r>
    </w:p>
    <w:p w14:paraId="4DC0A343" w14:textId="77777777" w:rsidR="00316453" w:rsidRPr="0030138D" w:rsidRDefault="00316453" w:rsidP="00747170">
      <w:pPr>
        <w:pStyle w:val="afffff5"/>
        <w:rPr>
          <w:rtl/>
        </w:rPr>
      </w:pPr>
      <w:r w:rsidRPr="0030138D">
        <w:rPr>
          <w:rtl/>
        </w:rPr>
        <w:t xml:space="preserve">וכן אחד הקוצר תבואה או קטנית או הבוצר ענבים או הגודר תמרים או המוסק זיתים או האורה תאנים, כל אלו אב מלאכה אחת הן, שכל אחת מהן לעקור דבר מגידוליו מתכוון, ועל דרך זו שאר האבות. </w:t>
      </w:r>
    </w:p>
    <w:p w14:paraId="72441841" w14:textId="77777777" w:rsidR="00316453" w:rsidRPr="0030138D" w:rsidRDefault="00316453" w:rsidP="00747170">
      <w:pPr>
        <w:pStyle w:val="afffff5"/>
      </w:pPr>
      <w:r w:rsidRPr="00E05283">
        <w:rPr>
          <w:rtl/>
        </w:rPr>
        <w:t xml:space="preserve">שהזורה והבורר והמרקד דומין עניניהם זה לזה, ומפני מה מנו אותן בשלשה מפני שכל מלאכה שהיתה במשכן מונין אותה בפני עצמה. </w:t>
      </w:r>
    </w:p>
    <w:p w14:paraId="39636A6D" w14:textId="027B6792" w:rsidR="00316453" w:rsidRDefault="00316453" w:rsidP="00316453">
      <w:pPr>
        <w:pStyle w:val="1"/>
        <w:rPr>
          <w:rtl/>
        </w:rPr>
      </w:pPr>
      <w:bookmarkStart w:id="2064" w:name="_Toc136618703"/>
      <w:r>
        <w:rPr>
          <w:rFonts w:hint="cs"/>
          <w:rtl/>
        </w:rPr>
        <w:t>בי' ר"ח והערוך דהחילוק במלאכות הוא במעשה ביד או כלי</w:t>
      </w:r>
      <w:bookmarkEnd w:id="2064"/>
    </w:p>
    <w:p w14:paraId="35F6B855" w14:textId="77777777" w:rsidR="00316453" w:rsidRDefault="00316453" w:rsidP="00316453">
      <w:pPr>
        <w:pStyle w:val="afffff7"/>
        <w:rPr>
          <w:rtl/>
        </w:rPr>
      </w:pPr>
      <w:bookmarkStart w:id="2065" w:name="_Toc136620470"/>
      <w:bookmarkStart w:id="2066" w:name="_Toc163505749"/>
      <w:r>
        <w:rPr>
          <w:rtl/>
        </w:rPr>
        <w:t>רבינו חננאל שבת ע</w:t>
      </w:r>
      <w:r>
        <w:rPr>
          <w:rFonts w:hint="cs"/>
          <w:rtl/>
        </w:rPr>
        <w:t>"ד ע"א ד"ה נמצא</w:t>
      </w:r>
      <w:bookmarkEnd w:id="2065"/>
      <w:bookmarkEnd w:id="2066"/>
    </w:p>
    <w:p w14:paraId="550A5B76" w14:textId="77777777" w:rsidR="00316453" w:rsidRDefault="00316453" w:rsidP="00316453">
      <w:pPr>
        <w:pStyle w:val="afffff7"/>
        <w:rPr>
          <w:rtl/>
        </w:rPr>
      </w:pPr>
      <w:bookmarkStart w:id="2067" w:name="_Toc136620471"/>
      <w:bookmarkStart w:id="2068" w:name="_Toc136618704"/>
      <w:bookmarkStart w:id="2069" w:name="_Toc163505750"/>
      <w:r>
        <w:rPr>
          <w:rFonts w:hint="cs"/>
          <w:rtl/>
        </w:rPr>
        <w:t xml:space="preserve">הערוך </w:t>
      </w:r>
      <w:r w:rsidRPr="00FA1905">
        <w:rPr>
          <w:rtl/>
        </w:rPr>
        <w:t>ערך ז</w:t>
      </w:r>
      <w:r>
        <w:rPr>
          <w:rFonts w:hint="cs"/>
          <w:rtl/>
        </w:rPr>
        <w:t>ר</w:t>
      </w:r>
      <w:r w:rsidRPr="00FA1905">
        <w:rPr>
          <w:rtl/>
        </w:rPr>
        <w:t xml:space="preserve"> ב'</w:t>
      </w:r>
      <w:r>
        <w:rPr>
          <w:rFonts w:hint="cs"/>
          <w:rtl/>
        </w:rPr>
        <w:t xml:space="preserve"> נד' בסוגיין</w:t>
      </w:r>
      <w:bookmarkEnd w:id="2067"/>
      <w:bookmarkEnd w:id="2069"/>
    </w:p>
    <w:p w14:paraId="09639BC2" w14:textId="77777777" w:rsidR="00316453" w:rsidRDefault="00316453" w:rsidP="00316453">
      <w:pPr>
        <w:pStyle w:val="a7"/>
        <w:rPr>
          <w:rtl/>
        </w:rPr>
      </w:pPr>
      <w:r>
        <w:rPr>
          <w:rFonts w:hint="cs"/>
          <w:rtl/>
        </w:rPr>
        <w:t>בי' ר"ח והערוך דהחילוק במלאכות במעשה ברוח ביד ובכלי ובנפה אף פסולת מאוכל הוא מרקד</w:t>
      </w:r>
      <w:bookmarkEnd w:id="2068"/>
    </w:p>
    <w:p w14:paraId="4D5B0571" w14:textId="5EF1F740" w:rsidR="00316453" w:rsidRPr="003D3548" w:rsidRDefault="00316453" w:rsidP="00BC7DC8">
      <w:pPr>
        <w:pStyle w:val="a3"/>
        <w:rPr>
          <w:rtl/>
        </w:rPr>
      </w:pPr>
      <w:bookmarkStart w:id="2070" w:name="_Ref135754485"/>
      <w:r>
        <w:rPr>
          <w:rFonts w:hint="cs"/>
          <w:rtl/>
        </w:rPr>
        <w:t xml:space="preserve">כתבו </w:t>
      </w:r>
      <w:r w:rsidRPr="00B8457B">
        <w:rPr>
          <w:rStyle w:val="aff4"/>
          <w:rFonts w:hint="cs"/>
          <w:vanish/>
          <w:rtl/>
        </w:rPr>
        <w:t xml:space="preserve">&lt;. </w:t>
      </w:r>
      <w:r w:rsidRPr="00B8457B">
        <w:rPr>
          <w:rStyle w:val="aff4"/>
          <w:vanish/>
          <w:rtl/>
        </w:rPr>
        <w:fldChar w:fldCharType="begin"/>
      </w:r>
      <w:r w:rsidRPr="00B8457B">
        <w:rPr>
          <w:rStyle w:val="aff4"/>
          <w:vanish/>
          <w:rtl/>
        </w:rPr>
        <w:instrText xml:space="preserve"> </w:instrText>
      </w:r>
      <w:r w:rsidRPr="00B8457B">
        <w:rPr>
          <w:rStyle w:val="aff4"/>
          <w:rFonts w:hint="cs"/>
          <w:vanish/>
        </w:rPr>
        <w:instrText>REF</w:instrText>
      </w:r>
      <w:r w:rsidRPr="00B8457B">
        <w:rPr>
          <w:rStyle w:val="aff4"/>
          <w:rFonts w:hint="cs"/>
          <w:vanish/>
          <w:rtl/>
        </w:rPr>
        <w:instrText xml:space="preserve"> _</w:instrText>
      </w:r>
      <w:r w:rsidRPr="00B8457B">
        <w:rPr>
          <w:rStyle w:val="aff4"/>
          <w:rFonts w:hint="cs"/>
          <w:vanish/>
        </w:rPr>
        <w:instrText>Ref135754485 \r \h</w:instrText>
      </w:r>
      <w:r w:rsidRPr="00B8457B">
        <w:rPr>
          <w:rStyle w:val="aff4"/>
          <w:vanish/>
          <w:rtl/>
        </w:rPr>
        <w:instrText xml:space="preserve">  \* </w:instrText>
      </w:r>
      <w:r w:rsidRPr="00B8457B">
        <w:rPr>
          <w:rStyle w:val="aff4"/>
          <w:vanish/>
        </w:rPr>
        <w:instrText>MERGEFORMAT</w:instrText>
      </w:r>
      <w:r w:rsidRPr="00B8457B">
        <w:rPr>
          <w:rStyle w:val="aff4"/>
          <w:vanish/>
          <w:rtl/>
        </w:rPr>
        <w:instrText xml:space="preserve"> </w:instrText>
      </w:r>
      <w:r w:rsidRPr="00B8457B">
        <w:rPr>
          <w:rStyle w:val="aff4"/>
          <w:vanish/>
          <w:rtl/>
        </w:rPr>
      </w:r>
      <w:r w:rsidRPr="00B8457B">
        <w:rPr>
          <w:rStyle w:val="aff4"/>
          <w:vanish/>
          <w:rtl/>
        </w:rPr>
        <w:fldChar w:fldCharType="separate"/>
      </w:r>
      <w:r w:rsidR="00D82181">
        <w:rPr>
          <w:rStyle w:val="aff4"/>
          <w:vanish/>
          <w:cs/>
        </w:rPr>
        <w:t>‎</w:t>
      </w:r>
      <w:r w:rsidR="00D82181">
        <w:rPr>
          <w:rStyle w:val="aff4"/>
          <w:vanish/>
          <w:rtl/>
        </w:rPr>
        <w:t>מג)</w:t>
      </w:r>
      <w:r w:rsidRPr="00B8457B">
        <w:rPr>
          <w:rStyle w:val="aff4"/>
          <w:vanish/>
          <w:rtl/>
        </w:rPr>
        <w:fldChar w:fldCharType="end"/>
      </w:r>
      <w:r w:rsidRPr="00B8457B">
        <w:rPr>
          <w:rStyle w:val="aff4"/>
          <w:rFonts w:hint="cs"/>
          <w:vanish/>
          <w:rtl/>
        </w:rPr>
        <w:t xml:space="preserve"> &gt;-</w:t>
      </w:r>
      <w:r w:rsidRPr="00C86935">
        <w:rPr>
          <w:rStyle w:val="aff4"/>
          <w:rFonts w:hint="cs"/>
          <w:rtl/>
        </w:rPr>
        <w:t>ר"ח</w:t>
      </w:r>
      <w:r w:rsidRPr="00F1458B">
        <w:rPr>
          <w:rStyle w:val="aff4"/>
          <w:rFonts w:hint="cs"/>
          <w:vanish/>
          <w:rtl/>
        </w:rPr>
        <w:t>-</w:t>
      </w:r>
      <w:r>
        <w:rPr>
          <w:rFonts w:hint="cs"/>
          <w:rtl/>
        </w:rPr>
        <w:t xml:space="preserve"> </w:t>
      </w:r>
      <w:r w:rsidRPr="00D4778B">
        <w:rPr>
          <w:rStyle w:val="af2"/>
          <w:rFonts w:eastAsia="Guttman Hodes" w:hint="cs"/>
          <w:rtl/>
        </w:rPr>
        <w:t>(עד. ד"ה נמצא)</w:t>
      </w:r>
      <w:r w:rsidRPr="00F1458B">
        <w:rPr>
          <w:rFonts w:hint="cs"/>
          <w:vanish/>
          <w:rtl/>
        </w:rPr>
        <w:t>=</w:t>
      </w:r>
      <w:r>
        <w:rPr>
          <w:rFonts w:hint="cs"/>
          <w:rtl/>
        </w:rPr>
        <w:t xml:space="preserve"> </w:t>
      </w:r>
      <w:r w:rsidRPr="00EB1A7E">
        <w:rPr>
          <w:rStyle w:val="aff4"/>
          <w:rFonts w:hint="cs"/>
          <w:vanish/>
          <w:rtl/>
        </w:rPr>
        <w:t>-</w:t>
      </w:r>
      <w:r>
        <w:rPr>
          <w:rStyle w:val="aff4"/>
          <w:rFonts w:hint="cs"/>
          <w:rtl/>
        </w:rPr>
        <w:t>ו</w:t>
      </w:r>
      <w:r w:rsidRPr="00D4778B">
        <w:rPr>
          <w:rStyle w:val="aff4"/>
          <w:rFonts w:hint="cs"/>
          <w:rtl/>
        </w:rPr>
        <w:t>ה</w:t>
      </w:r>
      <w:r>
        <w:rPr>
          <w:rStyle w:val="aff4"/>
          <w:rFonts w:hint="cs"/>
          <w:vanish/>
          <w:rtl/>
        </w:rPr>
        <w:t>&lt; &gt;</w:t>
      </w:r>
      <w:r w:rsidRPr="00D4778B">
        <w:rPr>
          <w:rStyle w:val="aff4"/>
          <w:rFonts w:hint="cs"/>
          <w:rtl/>
        </w:rPr>
        <w:t>ערוך</w:t>
      </w:r>
      <w:r w:rsidRPr="00EB1A7E">
        <w:rPr>
          <w:rStyle w:val="aff4"/>
          <w:rFonts w:hint="cs"/>
          <w:vanish/>
          <w:rtl/>
        </w:rPr>
        <w:t>-</w:t>
      </w:r>
      <w:r>
        <w:rPr>
          <w:rFonts w:hint="cs"/>
          <w:rtl/>
        </w:rPr>
        <w:t xml:space="preserve"> </w:t>
      </w:r>
      <w:r w:rsidRPr="00D4778B">
        <w:rPr>
          <w:rStyle w:val="af2"/>
          <w:rFonts w:eastAsia="Guttman Hodes" w:hint="cs"/>
          <w:rtl/>
        </w:rPr>
        <w:t>(ערך זר ב', מהדו' עוז והדר בסוגיין ד"ה הזורה)</w:t>
      </w:r>
      <w:r w:rsidRPr="00EB1A7E">
        <w:rPr>
          <w:rFonts w:hint="cs"/>
          <w:vanish/>
          <w:rtl/>
        </w:rPr>
        <w:t>=</w:t>
      </w:r>
      <w:r>
        <w:rPr>
          <w:rFonts w:hint="cs"/>
          <w:rtl/>
        </w:rPr>
        <w:t xml:space="preserve"> דזורה ובורר ומרקד כולם מעבירים את הפסולת שמעורבת באוכל ואינה מחוברת לה, כקליפה שהתפרקה ועפר שא"צ ניפוץ והוא רק מעורב באוכל, ולכ"א מהמלאכות יש דבר שמשלים את המלאכה,</w:t>
      </w:r>
      <w:r w:rsidRPr="007E26F4">
        <w:rPr>
          <w:rFonts w:hint="cs"/>
          <w:rtl/>
        </w:rPr>
        <w:t xml:space="preserve"> </w:t>
      </w:r>
      <w:r>
        <w:rPr>
          <w:rFonts w:hint="cs"/>
          <w:rtl/>
        </w:rPr>
        <w:t xml:space="preserve">דבמפריח ברוח חייב משום זורה, וה"ה המנפח אוכל ופסולת ברוח פיו ובררם דחשיב כזורה, ובבורר פסולת מהאוכל ומשליכו או להיפך, ומרקד שמניחם אוכל ופסולת בנפה כדי שיצא הדבר הדק וישאר הגס, וכתב </w:t>
      </w:r>
      <w:r w:rsidRPr="00F1458B">
        <w:rPr>
          <w:rStyle w:val="aff4"/>
          <w:rFonts w:hint="cs"/>
          <w:vanish/>
          <w:rtl/>
        </w:rPr>
        <w:t>-</w:t>
      </w:r>
      <w:r w:rsidRPr="00C86935">
        <w:rPr>
          <w:rStyle w:val="aff4"/>
          <w:rFonts w:hint="cs"/>
          <w:rtl/>
        </w:rPr>
        <w:t>ר"ח</w:t>
      </w:r>
      <w:r w:rsidRPr="00F1458B">
        <w:rPr>
          <w:rStyle w:val="aff4"/>
          <w:rFonts w:hint="cs"/>
          <w:vanish/>
          <w:rtl/>
        </w:rPr>
        <w:t>-</w:t>
      </w:r>
      <w:r>
        <w:rPr>
          <w:rFonts w:hint="cs"/>
          <w:rtl/>
        </w:rPr>
        <w:t xml:space="preserve"> דמסקנת הגמ' דזורה בורר ומרקד כולם הם מעין מלאכה אחת, שהיא הפרשת האוכל מהפסולת, וכיון שבמשכן הם היו ג' מלאכות, לכן חייב על כל אחת ואחת.</w:t>
      </w:r>
      <w:bookmarkEnd w:id="2070"/>
    </w:p>
    <w:p w14:paraId="37ECA115" w14:textId="77777777" w:rsidR="00316453" w:rsidRPr="00747170" w:rsidRDefault="00316453" w:rsidP="00747170">
      <w:pPr>
        <w:pStyle w:val="a2"/>
      </w:pPr>
      <w:r w:rsidRPr="00747170">
        <w:rPr>
          <w:rtl/>
        </w:rPr>
        <w:t>נמצא זורה והבורר והמרקד כולן מעבירין פסולת המעורבות באוכל ואינה מחוברת (ואינה) כגון קליפה שצריכה פירוק או כגון עפרורית שצריך ניפוץ אלא מעורבת בלבד. וכן אם נטל בידו אדם תבוא' בתיבנא ובפסולת שיש בה וניפח בה ברוח פיו ובירר חשוב הוא כזורה. פי' בורר נוטל פסולת מבין האוכל ומשליכ' או נוטל האוכל ומניח הפסולת. מרקד שמטיל את האוכל והפסולת בכברה ונשארת האוכל ואם האוכל דק והפסולת עבה כמין תבן יוצא האוכל ונשארת הפסולת בכברה. וכיון דאסיק' כי הזורה והבורר והמרקד כולן מעין מלאכה אחת הן מפריש הפסולת מן האוכל ומשום דהוו במשכן הוו להו תלתא וחייב על כל אחת ואחת.</w:t>
      </w:r>
    </w:p>
    <w:p w14:paraId="0BEC8517" w14:textId="77777777" w:rsidR="00316453" w:rsidRPr="0030138D" w:rsidRDefault="00316453" w:rsidP="00747170">
      <w:pPr>
        <w:pStyle w:val="afffff5"/>
      </w:pPr>
      <w:r w:rsidRPr="0030138D">
        <w:rPr>
          <w:rtl/>
        </w:rPr>
        <w:t>הזורה והבורר והמרקד פי' כולן מלאכה אחת שכולם העברת פסולת שהיא מעורבת באוכל ואינה מחוברת ואינה דומה לקליפה שצריכה פירוק או עפרורית שצריכה ניפוץ אלא כל אחת מהן יש לה דרך כל דבר שהיא משלימו להפרחת הרוח הוא חייב עליו משום זורה ואלו נטל בידו אוכל שיש בו פסולת או עפר ונפחו בפיו זהו זורה והבורר הוא שנוטל הפסולת מבין האוכל ומשליכו או שנוטל האוכל מבין הפסולת והמרקד שהוא מניח האוכל והפסולת בכלי כגון נפה וכיוצא בה כדי שיצא זה מזה אם האוכל דק יצא האוכל למטה ותשאר הפסולת למעלה ואם האוכל גם גס יפול הפסולת למטה וישאר האוכל נדה לא ארחי ורבעי זרית מלמד שלא מכל הטיפה אדם נוצר אלא מהברור שבה משל לאדם שזורה תבואה בבית הגרנות נוטל את האוכל ומניח את הפסולת רבי אבהו רמי כתיב ותאזרני חיל וכתיב ותזרני אמר דוד לפני הקב"ה זיריתני וזירותני</w:t>
      </w:r>
      <w:r w:rsidRPr="0030138D">
        <w:rPr>
          <w:rFonts w:hint="cs"/>
          <w:rtl/>
        </w:rPr>
        <w:t>.</w:t>
      </w:r>
    </w:p>
    <w:p w14:paraId="0BBA6A66" w14:textId="4CF191C0" w:rsidR="00316453" w:rsidRPr="00576917" w:rsidRDefault="00316453" w:rsidP="00316453">
      <w:pPr>
        <w:pStyle w:val="afffff7"/>
        <w:rPr>
          <w:rtl/>
        </w:rPr>
      </w:pPr>
      <w:bookmarkStart w:id="2071" w:name="_Toc136620472"/>
      <w:bookmarkStart w:id="2072" w:name="_Toc163505751"/>
      <w:r w:rsidRPr="00576917">
        <w:rPr>
          <w:rtl/>
        </w:rPr>
        <w:t>ר"ן על הרי"ף שבת ל"א ע"ב</w:t>
      </w:r>
      <w:r w:rsidRPr="00576917">
        <w:rPr>
          <w:rFonts w:hint="cs"/>
          <w:rtl/>
        </w:rPr>
        <w:t xml:space="preserve"> ד"ה הזורה, הבורר, המרקד</w:t>
      </w:r>
      <w:bookmarkEnd w:id="2071"/>
      <w:bookmarkEnd w:id="2072"/>
    </w:p>
    <w:p w14:paraId="09907086" w14:textId="77777777" w:rsidR="00316453" w:rsidRDefault="00316453" w:rsidP="00316453">
      <w:pPr>
        <w:pStyle w:val="a7"/>
        <w:rPr>
          <w:rtl/>
        </w:rPr>
      </w:pPr>
      <w:bookmarkStart w:id="2073" w:name="_Toc136618705"/>
      <w:r>
        <w:rPr>
          <w:rFonts w:hint="cs"/>
          <w:rtl/>
        </w:rPr>
        <w:t>בי' הר"ן דחילוק המלאכות ברחת ובידיו ובנפה ודחלוקים במעשה ובזמן בתבן ובצרורות ובסובין</w:t>
      </w:r>
      <w:bookmarkEnd w:id="2073"/>
    </w:p>
    <w:p w14:paraId="05397144" w14:textId="3ECF05FA" w:rsidR="00316453" w:rsidRPr="00E106FB" w:rsidRDefault="00316453" w:rsidP="00BC7DC8">
      <w:pPr>
        <w:pStyle w:val="a3"/>
        <w:rPr>
          <w:rtl/>
        </w:rPr>
      </w:pPr>
      <w:bookmarkStart w:id="2074" w:name="_Ref136463505"/>
      <w:r w:rsidRPr="00EB1A7E">
        <w:rPr>
          <w:rStyle w:val="aff4"/>
          <w:rFonts w:hint="cs"/>
          <w:vanish/>
          <w:rtl/>
        </w:rPr>
        <w:t>-</w:t>
      </w:r>
      <w:bookmarkStart w:id="2075" w:name="_Ref136613604"/>
      <w:r w:rsidRPr="00D4778B">
        <w:rPr>
          <w:rStyle w:val="aff4"/>
          <w:rFonts w:hint="cs"/>
          <w:rtl/>
        </w:rPr>
        <w:t>וה</w:t>
      </w:r>
      <w:r w:rsidRPr="00EB1A7E">
        <w:rPr>
          <w:rStyle w:val="aff4"/>
          <w:rFonts w:hint="cs"/>
          <w:vanish/>
          <w:rtl/>
        </w:rPr>
        <w:t xml:space="preserve">&lt;. </w:t>
      </w:r>
      <w:r w:rsidRPr="00EB1A7E">
        <w:rPr>
          <w:rStyle w:val="aff4"/>
          <w:vanish/>
          <w:rtl/>
        </w:rPr>
        <w:fldChar w:fldCharType="begin"/>
      </w:r>
      <w:r w:rsidRPr="00EB1A7E">
        <w:rPr>
          <w:rStyle w:val="aff4"/>
          <w:vanish/>
          <w:rtl/>
        </w:rPr>
        <w:instrText xml:space="preserve"> </w:instrText>
      </w:r>
      <w:r w:rsidRPr="00EB1A7E">
        <w:rPr>
          <w:rStyle w:val="aff4"/>
          <w:rFonts w:hint="cs"/>
          <w:vanish/>
        </w:rPr>
        <w:instrText>REF</w:instrText>
      </w:r>
      <w:r w:rsidRPr="00EB1A7E">
        <w:rPr>
          <w:rStyle w:val="aff4"/>
          <w:rFonts w:hint="cs"/>
          <w:vanish/>
          <w:rtl/>
        </w:rPr>
        <w:instrText xml:space="preserve"> _</w:instrText>
      </w:r>
      <w:r w:rsidRPr="00EB1A7E">
        <w:rPr>
          <w:rStyle w:val="aff4"/>
          <w:rFonts w:hint="cs"/>
          <w:vanish/>
        </w:rPr>
        <w:instrText>Ref136463505 \r \h</w:instrText>
      </w:r>
      <w:r w:rsidRPr="00EB1A7E">
        <w:rPr>
          <w:rStyle w:val="aff4"/>
          <w:vanish/>
          <w:rtl/>
        </w:rPr>
        <w:instrText xml:space="preserve"> </w:instrText>
      </w:r>
      <w:r w:rsidRPr="00EB1A7E">
        <w:rPr>
          <w:rStyle w:val="aff4"/>
          <w:vanish/>
          <w:rtl/>
        </w:rPr>
      </w:r>
      <w:r w:rsidRPr="00EB1A7E">
        <w:rPr>
          <w:rStyle w:val="aff4"/>
          <w:vanish/>
          <w:rtl/>
        </w:rPr>
        <w:fldChar w:fldCharType="separate"/>
      </w:r>
      <w:r w:rsidR="00D82181">
        <w:rPr>
          <w:rStyle w:val="aff4"/>
          <w:vanish/>
          <w:cs/>
        </w:rPr>
        <w:t>‎</w:t>
      </w:r>
      <w:r w:rsidR="00D82181">
        <w:rPr>
          <w:rStyle w:val="aff4"/>
          <w:vanish/>
          <w:rtl/>
        </w:rPr>
        <w:t>מד)</w:t>
      </w:r>
      <w:r w:rsidRPr="00EB1A7E">
        <w:rPr>
          <w:rStyle w:val="aff4"/>
          <w:vanish/>
          <w:rtl/>
        </w:rPr>
        <w:fldChar w:fldCharType="end"/>
      </w:r>
      <w:r w:rsidRPr="00EB1A7E">
        <w:rPr>
          <w:rStyle w:val="aff4"/>
          <w:rFonts w:hint="cs"/>
          <w:vanish/>
          <w:rtl/>
        </w:rPr>
        <w:t xml:space="preserve"> &gt;</w:t>
      </w:r>
      <w:r w:rsidRPr="00D4778B">
        <w:rPr>
          <w:rStyle w:val="aff4"/>
          <w:rFonts w:hint="cs"/>
          <w:rtl/>
        </w:rPr>
        <w:t>ר"ן על הרי"ף</w:t>
      </w:r>
      <w:r w:rsidRPr="00EB1A7E">
        <w:rPr>
          <w:rStyle w:val="aff4"/>
          <w:rFonts w:hint="cs"/>
          <w:vanish/>
          <w:rtl/>
        </w:rPr>
        <w:t>-</w:t>
      </w:r>
      <w:r>
        <w:rPr>
          <w:rFonts w:hint="cs"/>
          <w:rtl/>
        </w:rPr>
        <w:t xml:space="preserve"> </w:t>
      </w:r>
      <w:r w:rsidRPr="00D4778B">
        <w:rPr>
          <w:rStyle w:val="af2"/>
          <w:rFonts w:eastAsia="Guttman Hodes" w:hint="cs"/>
          <w:rtl/>
        </w:rPr>
        <w:t xml:space="preserve">(לא: מדה"ר ד"ה </w:t>
      </w:r>
      <w:r w:rsidRPr="00D4778B">
        <w:rPr>
          <w:rStyle w:val="af2"/>
          <w:rFonts w:eastAsia="Guttman Hodes"/>
          <w:rtl/>
        </w:rPr>
        <w:t>הזורה, הבורר, המרקד</w:t>
      </w:r>
      <w:r w:rsidRPr="00D4778B">
        <w:rPr>
          <w:rStyle w:val="af2"/>
          <w:rFonts w:eastAsia="Guttman Hodes" w:hint="cs"/>
          <w:rtl/>
        </w:rPr>
        <w:t>)</w:t>
      </w:r>
      <w:r w:rsidRPr="00EB1A7E">
        <w:rPr>
          <w:rFonts w:hint="cs"/>
          <w:vanish/>
          <w:rtl/>
        </w:rPr>
        <w:t>=</w:t>
      </w:r>
      <w:r>
        <w:rPr>
          <w:rFonts w:hint="cs"/>
          <w:rtl/>
        </w:rPr>
        <w:t xml:space="preserve"> כתב דזורה הוא ברחת, ובורר בידיו, ומרקד בנפה, ובהא דאמרינן דהם ג' אבות כיון שהיו במשכן, ביאר </w:t>
      </w:r>
      <w:r w:rsidRPr="00EB1A7E">
        <w:rPr>
          <w:rStyle w:val="aff4"/>
          <w:rFonts w:hint="cs"/>
          <w:vanish/>
          <w:rtl/>
        </w:rPr>
        <w:t>-</w:t>
      </w:r>
      <w:r w:rsidRPr="00D4778B">
        <w:rPr>
          <w:rStyle w:val="aff4"/>
          <w:rFonts w:hint="cs"/>
          <w:rtl/>
        </w:rPr>
        <w:t>הר"ן</w:t>
      </w:r>
      <w:r w:rsidRPr="00EB1A7E">
        <w:rPr>
          <w:rStyle w:val="aff4"/>
          <w:rFonts w:hint="cs"/>
          <w:vanish/>
          <w:rtl/>
        </w:rPr>
        <w:t>-</w:t>
      </w:r>
      <w:r>
        <w:rPr>
          <w:rFonts w:hint="cs"/>
          <w:rtl/>
        </w:rPr>
        <w:t xml:space="preserve"> דאף שיש מלאכות אחרות דדמו למה שהיה במשכן, מ"מ שניהם </w:t>
      </w:r>
      <w:r w:rsidRPr="00D4778B">
        <w:rPr>
          <w:rStyle w:val="af"/>
          <w:rFonts w:hint="cs"/>
          <w:rtl/>
        </w:rPr>
        <w:t>[בורר ומרקד]</w:t>
      </w:r>
      <w:r>
        <w:rPr>
          <w:rFonts w:hint="cs"/>
          <w:rtl/>
        </w:rPr>
        <w:t xml:space="preserve"> ג"כ חשיב כאב כיון דאינם שוים במעשה ובזמן שלהם דהם בזה אחר זה, דזורה הוא בתבן ובורר בצרורות ומרקד בסובין</w:t>
      </w:r>
      <w:r w:rsidRPr="00EB1A7E">
        <w:rPr>
          <w:rStyle w:val="aff4"/>
          <w:rFonts w:hint="cs"/>
          <w:vanish/>
          <w:rtl/>
        </w:rPr>
        <w:t xml:space="preserve"> -</w:t>
      </w:r>
      <w:r>
        <w:rPr>
          <w:rFonts w:hint="cs"/>
          <w:rtl/>
        </w:rPr>
        <w:t>.</w:t>
      </w:r>
      <w:bookmarkEnd w:id="2074"/>
      <w:bookmarkEnd w:id="2075"/>
    </w:p>
    <w:p w14:paraId="07BAF41B" w14:textId="77777777" w:rsidR="00316453" w:rsidRPr="00747170" w:rsidRDefault="00316453" w:rsidP="00747170">
      <w:pPr>
        <w:pStyle w:val="a2"/>
        <w:rPr>
          <w:rtl/>
        </w:rPr>
      </w:pPr>
      <w:r w:rsidRPr="00747170">
        <w:rPr>
          <w:rtl/>
        </w:rPr>
        <w:t>הזורה. ברחת לרוח:</w:t>
      </w:r>
    </w:p>
    <w:p w14:paraId="2A335E57" w14:textId="77777777" w:rsidR="00316453" w:rsidRPr="0030138D" w:rsidRDefault="00316453" w:rsidP="00747170">
      <w:pPr>
        <w:pStyle w:val="afffff5"/>
        <w:rPr>
          <w:rtl/>
        </w:rPr>
      </w:pPr>
      <w:r w:rsidRPr="0030138D">
        <w:rPr>
          <w:rtl/>
        </w:rPr>
        <w:t>הבורר. פסולת בידיו:</w:t>
      </w:r>
    </w:p>
    <w:p w14:paraId="0FB701BB" w14:textId="77777777" w:rsidR="00316453" w:rsidRPr="0030138D" w:rsidRDefault="00316453" w:rsidP="00747170">
      <w:pPr>
        <w:pStyle w:val="afffff5"/>
        <w:rPr>
          <w:rtl/>
        </w:rPr>
      </w:pPr>
      <w:r w:rsidRPr="0030138D">
        <w:rPr>
          <w:rtl/>
        </w:rPr>
        <w:t>המרקד. בנפה. ובגמרא [שם] פרכינן היינו זורה היינו בורר היינו מרקד דכולהו להפריש פסולת מתוך האוכל נינהו אמאי פלגינהו תנא לתלת ומשנינן דכל מילתא דהוי במשכן אף על גב דאיכא אחריתי דדמיא לה חשיב לתרוייהו באבות כיון שאין מעשיהן שוין ואינן בזמן אחד אלא זה אחר זה:</w:t>
      </w:r>
    </w:p>
    <w:p w14:paraId="7ACA1967" w14:textId="77777777" w:rsidR="00316453" w:rsidRPr="0030138D" w:rsidRDefault="00316453" w:rsidP="00747170">
      <w:pPr>
        <w:pStyle w:val="afffff5"/>
        <w:rPr>
          <w:rtl/>
        </w:rPr>
      </w:pPr>
      <w:r w:rsidRPr="0030138D">
        <w:rPr>
          <w:rtl/>
        </w:rPr>
        <w:t>זורה. בתבן:</w:t>
      </w:r>
    </w:p>
    <w:p w14:paraId="363D86A5" w14:textId="77777777" w:rsidR="00316453" w:rsidRPr="0030138D" w:rsidRDefault="00316453" w:rsidP="00747170">
      <w:pPr>
        <w:pStyle w:val="afffff5"/>
        <w:rPr>
          <w:rtl/>
        </w:rPr>
      </w:pPr>
      <w:r w:rsidRPr="0030138D">
        <w:rPr>
          <w:rtl/>
        </w:rPr>
        <w:t>בורר. בצרורות:</w:t>
      </w:r>
    </w:p>
    <w:p w14:paraId="71633617" w14:textId="77777777" w:rsidR="00316453" w:rsidRPr="0030138D" w:rsidRDefault="00316453" w:rsidP="00747170">
      <w:pPr>
        <w:pStyle w:val="afffff5"/>
      </w:pPr>
      <w:r w:rsidRPr="0030138D">
        <w:rPr>
          <w:rtl/>
        </w:rPr>
        <w:t>מרקד. בסובין:</w:t>
      </w:r>
    </w:p>
    <w:p w14:paraId="061EFB82" w14:textId="571FCED1" w:rsidR="00316453" w:rsidRDefault="00316453" w:rsidP="00316453">
      <w:pPr>
        <w:pStyle w:val="afffff7"/>
        <w:rPr>
          <w:rtl/>
        </w:rPr>
      </w:pPr>
      <w:bookmarkStart w:id="2076" w:name="_Toc136620473"/>
      <w:bookmarkStart w:id="2077" w:name="_Toc163505752"/>
      <w:r>
        <w:rPr>
          <w:rtl/>
        </w:rPr>
        <w:t>שביתת השבת פתיחה למלאכת זורה בורר ומרקד</w:t>
      </w:r>
      <w:r>
        <w:rPr>
          <w:rFonts w:hint="cs"/>
          <w:rtl/>
        </w:rPr>
        <w:t xml:space="preserve"> אות ב'</w:t>
      </w:r>
      <w:bookmarkEnd w:id="2076"/>
      <w:bookmarkEnd w:id="2077"/>
    </w:p>
    <w:p w14:paraId="6DA3541C" w14:textId="77777777" w:rsidR="00316453" w:rsidRDefault="00316453" w:rsidP="00316453">
      <w:pPr>
        <w:pStyle w:val="a7"/>
        <w:rPr>
          <w:rtl/>
        </w:rPr>
      </w:pPr>
      <w:r>
        <w:rPr>
          <w:rFonts w:hint="cs"/>
          <w:rtl/>
        </w:rPr>
        <w:t xml:space="preserve"> </w:t>
      </w:r>
      <w:bookmarkStart w:id="2078" w:name="_Toc136618706"/>
      <w:r>
        <w:rPr>
          <w:rFonts w:hint="cs"/>
          <w:rtl/>
        </w:rPr>
        <w:t>בי' השביתת השבת דמדברי הטל אורות הספרדי מבו' דעיקר כוונת הר"ן כר"ח והערוך</w:t>
      </w:r>
      <w:bookmarkEnd w:id="2078"/>
      <w:r>
        <w:rPr>
          <w:rFonts w:hint="cs"/>
          <w:rtl/>
        </w:rPr>
        <w:t xml:space="preserve">  </w:t>
      </w:r>
    </w:p>
    <w:p w14:paraId="2DDEA49E" w14:textId="7AF0D1D4" w:rsidR="00316453" w:rsidRDefault="00316453" w:rsidP="00BC7DC8">
      <w:pPr>
        <w:pStyle w:val="a3"/>
      </w:pPr>
      <w:bookmarkStart w:id="2079" w:name="_Ref136613912"/>
      <w:r>
        <w:rPr>
          <w:rFonts w:hint="cs"/>
          <w:rtl/>
        </w:rPr>
        <w:t xml:space="preserve">וכתב </w:t>
      </w:r>
      <w:r w:rsidRPr="00F15B34">
        <w:rPr>
          <w:rStyle w:val="aff4"/>
          <w:rFonts w:hint="cs"/>
          <w:vanish/>
          <w:rtl/>
        </w:rPr>
        <w:t>-</w:t>
      </w:r>
      <w:r w:rsidRPr="00D4778B">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Ref136613912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מה)</w:t>
      </w:r>
      <w:r>
        <w:rPr>
          <w:rStyle w:val="aff4"/>
          <w:vanish/>
          <w:rtl/>
        </w:rPr>
        <w:fldChar w:fldCharType="end"/>
      </w:r>
      <w:r>
        <w:rPr>
          <w:rStyle w:val="aff4"/>
          <w:rFonts w:hint="cs"/>
          <w:vanish/>
          <w:rtl/>
        </w:rPr>
        <w:t xml:space="preserve"> &gt;</w:t>
      </w:r>
      <w:r w:rsidRPr="00D4778B">
        <w:rPr>
          <w:rStyle w:val="aff4"/>
          <w:rFonts w:hint="cs"/>
          <w:rtl/>
        </w:rPr>
        <w:t>שביתת השבת</w:t>
      </w:r>
      <w:r w:rsidRPr="00F15B34">
        <w:rPr>
          <w:rStyle w:val="aff4"/>
          <w:rFonts w:hint="cs"/>
          <w:vanish/>
          <w:rtl/>
        </w:rPr>
        <w:t>-</w:t>
      </w:r>
      <w:r>
        <w:rPr>
          <w:rFonts w:hint="cs"/>
          <w:rtl/>
        </w:rPr>
        <w:t xml:space="preserve"> </w:t>
      </w:r>
      <w:r w:rsidRPr="00F15B34">
        <w:rPr>
          <w:rStyle w:val="af2"/>
          <w:rFonts w:eastAsia="Guttman Hodes" w:hint="cs"/>
          <w:rtl/>
        </w:rPr>
        <w:t>(</w:t>
      </w:r>
      <w:r w:rsidRPr="00F15B34">
        <w:rPr>
          <w:rStyle w:val="af2"/>
          <w:rFonts w:eastAsia="Guttman Hodes"/>
          <w:rtl/>
        </w:rPr>
        <w:t>פתיחה למלאכת זורה בורר ומרקד</w:t>
      </w:r>
      <w:r w:rsidRPr="00F15B34">
        <w:rPr>
          <w:rStyle w:val="af2"/>
          <w:rFonts w:eastAsia="Guttman Hodes" w:hint="cs"/>
          <w:rtl/>
        </w:rPr>
        <w:t xml:space="preserve"> אות ב')</w:t>
      </w:r>
      <w:r w:rsidRPr="00F15B34">
        <w:rPr>
          <w:rFonts w:hint="cs"/>
          <w:vanish/>
          <w:rtl/>
        </w:rPr>
        <w:t>=</w:t>
      </w:r>
      <w:r>
        <w:rPr>
          <w:rFonts w:hint="cs"/>
          <w:rtl/>
        </w:rPr>
        <w:t xml:space="preserve"> דאף דכתב </w:t>
      </w:r>
      <w:r w:rsidRPr="00F15B34">
        <w:rPr>
          <w:rStyle w:val="aff4"/>
          <w:rFonts w:hint="cs"/>
          <w:vanish/>
          <w:rtl/>
        </w:rPr>
        <w:t>-</w:t>
      </w:r>
      <w:r w:rsidRPr="00D4778B">
        <w:rPr>
          <w:rStyle w:val="aff4"/>
          <w:rFonts w:hint="cs"/>
          <w:rtl/>
        </w:rPr>
        <w:t>הר"ן</w:t>
      </w:r>
      <w:r w:rsidRPr="00F15B34">
        <w:rPr>
          <w:rStyle w:val="aff4"/>
          <w:rFonts w:hint="cs"/>
          <w:vanish/>
          <w:rtl/>
        </w:rPr>
        <w:t>-</w:t>
      </w:r>
      <w:r>
        <w:rPr>
          <w:rFonts w:hint="cs"/>
          <w:rtl/>
        </w:rPr>
        <w:t xml:space="preserve"> </w:t>
      </w:r>
      <w:r>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Ref136613604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מד)</w:t>
      </w:r>
      <w:r>
        <w:rPr>
          <w:rStyle w:val="af2"/>
          <w:rFonts w:eastAsia="Guttman Hodes"/>
          <w:rtl/>
        </w:rPr>
        <w:fldChar w:fldCharType="end"/>
      </w:r>
      <w:r>
        <w:rPr>
          <w:rFonts w:hint="cs"/>
          <w:rtl/>
        </w:rPr>
        <w:t xml:space="preserve"> גם את החילוק במעשה דזורה ברוח ובורר ביד ומרקד בכלי, מ"מ משמע דעיקר החילוק הוא כמ"ש בסוף דבריו דזורה בתבן </w:t>
      </w:r>
      <w:r>
        <w:rPr>
          <w:rFonts w:hint="cs"/>
          <w:rtl/>
        </w:rPr>
        <w:lastRenderedPageBreak/>
        <w:t xml:space="preserve">ובורר בצרורות ומרקד בסובין, אך הביא </w:t>
      </w:r>
      <w:r w:rsidRPr="00F15B34">
        <w:rPr>
          <w:rStyle w:val="aff4"/>
          <w:rFonts w:hint="cs"/>
          <w:vanish/>
          <w:rtl/>
        </w:rPr>
        <w:t>-</w:t>
      </w:r>
      <w:r w:rsidRPr="00D4778B">
        <w:rPr>
          <w:rStyle w:val="aff4"/>
          <w:rFonts w:hint="cs"/>
          <w:rtl/>
        </w:rPr>
        <w:t>השביתת השבת</w:t>
      </w:r>
      <w:r w:rsidRPr="00F15B34">
        <w:rPr>
          <w:rStyle w:val="aff4"/>
          <w:rFonts w:hint="cs"/>
          <w:vanish/>
          <w:rtl/>
        </w:rPr>
        <w:t>-</w:t>
      </w:r>
      <w:r>
        <w:rPr>
          <w:rFonts w:hint="cs"/>
          <w:rtl/>
        </w:rPr>
        <w:t xml:space="preserve"> את דברי </w:t>
      </w:r>
      <w:r w:rsidRPr="00F15B34">
        <w:rPr>
          <w:rStyle w:val="aff4"/>
          <w:rFonts w:hint="cs"/>
          <w:vanish/>
          <w:rtl/>
        </w:rPr>
        <w:t>-</w:t>
      </w:r>
      <w:r w:rsidRPr="00D4778B">
        <w:rPr>
          <w:rStyle w:val="aff4"/>
          <w:rFonts w:hint="cs"/>
          <w:rtl/>
        </w:rPr>
        <w:t>ה</w:t>
      </w:r>
      <w:r w:rsidRPr="00F15B34">
        <w:rPr>
          <w:rStyle w:val="aff4"/>
          <w:rFonts w:hint="cs"/>
          <w:vanish/>
          <w:rtl/>
        </w:rPr>
        <w:t>&lt; &gt;</w:t>
      </w:r>
      <w:r w:rsidRPr="00D4778B">
        <w:rPr>
          <w:rStyle w:val="aff4"/>
          <w:rFonts w:hint="cs"/>
          <w:rtl/>
        </w:rPr>
        <w:t xml:space="preserve">טל אורות </w:t>
      </w:r>
      <w:r>
        <w:rPr>
          <w:rStyle w:val="aff4"/>
          <w:rFonts w:hint="cs"/>
          <w:rtl/>
        </w:rPr>
        <w:t>הספרדי</w:t>
      </w:r>
      <w:r w:rsidRPr="00F15B34">
        <w:rPr>
          <w:rStyle w:val="aff4"/>
          <w:rFonts w:hint="cs"/>
          <w:vanish/>
          <w:rtl/>
        </w:rPr>
        <w:t>-</w:t>
      </w:r>
      <w:r>
        <w:rPr>
          <w:rFonts w:hint="cs"/>
          <w:rtl/>
        </w:rPr>
        <w:t xml:space="preserve"> </w:t>
      </w:r>
      <w:r w:rsidRPr="00F15B34">
        <w:rPr>
          <w:rStyle w:val="af2"/>
          <w:rFonts w:eastAsia="Guttman Hodes" w:hint="cs"/>
          <w:rtl/>
        </w:rPr>
        <w:t>(מלאכת הזורה)</w:t>
      </w:r>
      <w:r w:rsidRPr="00F15B34">
        <w:rPr>
          <w:rFonts w:hint="cs"/>
          <w:vanish/>
          <w:rtl/>
        </w:rPr>
        <w:t>=</w:t>
      </w:r>
      <w:r>
        <w:rPr>
          <w:rFonts w:hint="cs"/>
          <w:rtl/>
        </w:rPr>
        <w:t xml:space="preserve"> דכתב בשם </w:t>
      </w:r>
      <w:r w:rsidRPr="00F15B34">
        <w:rPr>
          <w:rStyle w:val="aff4"/>
          <w:rFonts w:hint="cs"/>
          <w:vanish/>
          <w:rtl/>
        </w:rPr>
        <w:t>-</w:t>
      </w:r>
      <w:r w:rsidRPr="00D4778B">
        <w:rPr>
          <w:rStyle w:val="aff4"/>
          <w:rFonts w:hint="cs"/>
          <w:rtl/>
        </w:rPr>
        <w:t>הר"ן</w:t>
      </w:r>
      <w:r w:rsidRPr="00F15B34">
        <w:rPr>
          <w:rStyle w:val="aff4"/>
          <w:rFonts w:hint="cs"/>
          <w:vanish/>
          <w:rtl/>
        </w:rPr>
        <w:t>-</w:t>
      </w:r>
      <w:r>
        <w:rPr>
          <w:rFonts w:hint="cs"/>
          <w:rtl/>
        </w:rPr>
        <w:t xml:space="preserve"> דהחילוק הוא דזורה הוא ברוח וכו', וביאר דהנ"מ בבורר עפר מתוך אוכלין, דביד חייב משום בורר ובפיו משום זורה, והוסיף </w:t>
      </w:r>
      <w:r w:rsidRPr="00F15B34">
        <w:rPr>
          <w:rStyle w:val="aff4"/>
          <w:rFonts w:hint="cs"/>
          <w:vanish/>
          <w:rtl/>
        </w:rPr>
        <w:t>-</w:t>
      </w:r>
      <w:r w:rsidRPr="00D4778B">
        <w:rPr>
          <w:rStyle w:val="aff4"/>
          <w:rFonts w:hint="cs"/>
          <w:rtl/>
        </w:rPr>
        <w:t xml:space="preserve">הטל אורות </w:t>
      </w:r>
      <w:r>
        <w:rPr>
          <w:rStyle w:val="aff4"/>
          <w:rFonts w:hint="cs"/>
          <w:rtl/>
        </w:rPr>
        <w:t>הספרדי</w:t>
      </w:r>
      <w:r w:rsidRPr="00F15B34">
        <w:rPr>
          <w:rStyle w:val="aff4"/>
          <w:rFonts w:hint="cs"/>
          <w:vanish/>
          <w:rtl/>
        </w:rPr>
        <w:t>-</w:t>
      </w:r>
      <w:r>
        <w:rPr>
          <w:rFonts w:hint="cs"/>
          <w:rtl/>
        </w:rPr>
        <w:t xml:space="preserve"> דכן דעת </w:t>
      </w:r>
      <w:r w:rsidRPr="00F15B34">
        <w:rPr>
          <w:rStyle w:val="aff4"/>
          <w:rFonts w:hint="cs"/>
          <w:vanish/>
          <w:rtl/>
        </w:rPr>
        <w:t>-</w:t>
      </w:r>
      <w:r w:rsidRPr="00D4778B">
        <w:rPr>
          <w:rStyle w:val="aff4"/>
          <w:rFonts w:hint="cs"/>
          <w:rtl/>
        </w:rPr>
        <w:t>ר"ח</w:t>
      </w:r>
      <w:r>
        <w:rPr>
          <w:rStyle w:val="aff4"/>
          <w:rFonts w:hint="cs"/>
          <w:rtl/>
        </w:rPr>
        <w:t xml:space="preserve"> </w:t>
      </w:r>
      <w:r w:rsidRPr="00D4778B">
        <w:rPr>
          <w:rStyle w:val="aff4"/>
          <w:rFonts w:hint="cs"/>
          <w:rtl/>
        </w:rPr>
        <w:t>והערוך</w:t>
      </w:r>
      <w:r w:rsidRPr="00F15B34">
        <w:rPr>
          <w:rStyle w:val="aff4"/>
          <w:rFonts w:hint="cs"/>
          <w:vanish/>
          <w:rtl/>
        </w:rPr>
        <w:t>-</w:t>
      </w:r>
      <w:r>
        <w:rPr>
          <w:rFonts w:hint="cs"/>
          <w:rtl/>
        </w:rPr>
        <w:t xml:space="preserve"> </w:t>
      </w:r>
      <w:r w:rsidRPr="00F15B34">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Ref135754485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מג)</w:t>
      </w:r>
      <w:r>
        <w:rPr>
          <w:rStyle w:val="af2"/>
          <w:rFonts w:eastAsia="Guttman Hodes"/>
          <w:rtl/>
        </w:rPr>
        <w:fldChar w:fldCharType="end"/>
      </w:r>
      <w:r>
        <w:rPr>
          <w:rFonts w:hint="cs"/>
          <w:rtl/>
        </w:rPr>
        <w:t xml:space="preserve"> דזורה הוא ברוח ובורר כשנוטל אוכל מפסולת ולהיפך, ומרקד הוא בנפה וכברה.</w:t>
      </w:r>
      <w:bookmarkEnd w:id="2079"/>
    </w:p>
    <w:p w14:paraId="515E1159" w14:textId="77777777" w:rsidR="00316453" w:rsidRPr="00747170" w:rsidRDefault="00316453" w:rsidP="00747170">
      <w:pPr>
        <w:pStyle w:val="a2"/>
        <w:rPr>
          <w:rtl/>
        </w:rPr>
      </w:pPr>
      <w:r w:rsidRPr="00747170">
        <w:rPr>
          <w:rtl/>
        </w:rPr>
        <w:t xml:space="preserve">כתב הר"ן פ' כלל גדול [בד' הרי"ף לא ב] הזורה ברחת לרוח הבורר פסולת בידיו. המרקד בנפה. ובגמ' פרכינן היינו זורה היינו בורר היינו מרקד דכולהו להפריש פסולת מאוכל נינהו ואמאי פלגינהו לתלת ומשנינן כל מילתא דהוי במשכן אף על גב דאיכא אחריתי דדמי לה חשיב לתרוייהו כיון שאין מעשיהן שוין ואינן בזמן אחד אלא בזה אחר זה, זורה בתבן, בורר בצרורות, מרקד בסובין עכ"ל והנה כתב שני חילוקים בין אלה המלאכות שתחלה כתב החילוק ביניהם שזה ברוח וזה ביד וזה בכלי ואח"כ כתב שזה בתבן וזה בצרורות וזה בסובין ולא נדע איזה מהן העיקר המחלק ביניהם ואיך יהי' המרקד בתבן או בצרורות אם הוא משום מרקד או זורה ובורר ולכאורה משמע מלשון הר"ן שעיקר החילוק בהחומרים הנפעלים שכל שבתבן הוא זורה ובצרורות הוא בורר, אבל בספר טל אורות העתיק לשון הר"ן בע"א וז"ל ובגמ' פרכינן היינו זורה וכו' ומשנינן דכל מילתא דהוי במשכן כו' חשיב להו כיון שאין מעשיהן שוין ואינן בזמן אחד. הזורה ברחת לרוח הבורר פסולת בידיו המרקד בנפה הר"ן ז"ל, כן העתיק בטל אורות ואינו כלשון הר"ן שלפנינו גם בשיטה המיוחסת להר"ן אין זה אך יש חידושי הר"ן כ"י שלא בא בדפוס וכפי הנראה מזה העתיק הטל אורות הספרדי כי מביא כמה פעמים כ"י שאין מצויים אצלנו ע"כ היה אפשר לכוין גם ד' הר"ן שברי"ף שהוא כלשון רש"י כסברא זו כי עיקר החילוק הוא כפי הפועל אם ברוח הוא זורה ואם ביד הוא בורר (אך לקמן יתבאר דדעת הר"ן אינו כן רק אפי' בנפה הוי בורר) ומסיים בזה בספר טל אורות שם נמצא דאין זורה אלא ברוח ובורר ביד ומרקד בכלי ונ"מ פירות או אוכלין שנתערבו בהן עפר וצרורות ובירר אותו עפר וצרורות מתוך הפירות אם הבירור הוא ביד כגון שליקט בידו הפסולת האמור אז חיובו משום בורר ואם הברירה היא ע"י הרוח כגון שנפח בפיו אז חיובו משום זורה, וכ"ה בהדיא בפיר"ח [נד' עד א] והערוך ערך זר וז"ל הזורה והבורר והמרקד כולם מלאכה אחת הם שכולם העברת פסולת שהיו מעורבת באוכל ואינה מחוברת ואינה דומה לקליפה שצריכה פירוק או עפרורית שצריכה ניפוץ אלא כל אחת מהם יש לה דרך כל שהוא משלימו להפרחת הרוח חייב עליו משום זורה ואילו נטל בידו אוכל שיש בו פסולת או עפר ונפחו בפיו זה הוא זורה והבורר הוא שנוטל הפסולת מן האוכל ומשליכו או שנוטל האוכל מבין הפסולת והמרקד שהוא מניח האוכל והפסולת בכלי כגון נפה וכיו"ב כדי שיצא זה מזה אם האוכל דק יצא האוכל למטה ותשאר הפסולת למעלה ואם האוכל גס יפול הפסולת למעלה ותשאר האוכל עכ"ל הערוך. </w:t>
      </w:r>
    </w:p>
    <w:p w14:paraId="20CC55E8" w14:textId="71A5789A" w:rsidR="00316453" w:rsidRDefault="00316453" w:rsidP="00316453">
      <w:pPr>
        <w:pStyle w:val="1"/>
        <w:rPr>
          <w:rtl/>
        </w:rPr>
      </w:pPr>
      <w:bookmarkStart w:id="2080" w:name="_Toc136618707"/>
      <w:r>
        <w:rPr>
          <w:rFonts w:hint="cs"/>
          <w:rtl/>
        </w:rPr>
        <w:t>בי' האחרונים אי זורה ביד חייב ואי בורר בנפה הוי רק מרקד</w:t>
      </w:r>
      <w:bookmarkEnd w:id="2080"/>
    </w:p>
    <w:p w14:paraId="5A085F33" w14:textId="77777777" w:rsidR="00316453" w:rsidRDefault="00316453" w:rsidP="00316453">
      <w:pPr>
        <w:pStyle w:val="afffff7"/>
        <w:rPr>
          <w:rtl/>
        </w:rPr>
      </w:pPr>
      <w:bookmarkStart w:id="2081" w:name="_Toc136620474"/>
      <w:bookmarkStart w:id="2082" w:name="_Toc163505753"/>
      <w:r>
        <w:rPr>
          <w:rFonts w:hint="cs"/>
          <w:rtl/>
        </w:rPr>
        <w:t>מגן אבות הזורה</w:t>
      </w:r>
      <w:bookmarkEnd w:id="2081"/>
      <w:bookmarkEnd w:id="2082"/>
    </w:p>
    <w:p w14:paraId="0E391108" w14:textId="77777777" w:rsidR="00316453" w:rsidRDefault="00316453" w:rsidP="00316453">
      <w:pPr>
        <w:pStyle w:val="a7"/>
        <w:rPr>
          <w:rtl/>
        </w:rPr>
      </w:pPr>
      <w:bookmarkStart w:id="2083" w:name="_Toc136618708"/>
      <w:r>
        <w:rPr>
          <w:rFonts w:hint="cs"/>
          <w:rtl/>
        </w:rPr>
        <w:t>בי' המגן אבות והמנ"ח ברש"י דחיוב זורה רק ברחת ולא ביד אך לסמ"ק וירושלמי ה"ה ביד</w:t>
      </w:r>
      <w:bookmarkEnd w:id="2083"/>
    </w:p>
    <w:p w14:paraId="3E4F09CB" w14:textId="77777777" w:rsidR="00316453" w:rsidRDefault="00316453" w:rsidP="00BC7DC8">
      <w:pPr>
        <w:pStyle w:val="a3"/>
        <w:rPr>
          <w:rtl/>
        </w:rPr>
      </w:pPr>
      <w:bookmarkStart w:id="2084" w:name="_Ref135773877"/>
      <w:r>
        <w:rPr>
          <w:rtl/>
        </w:rPr>
        <w:t xml:space="preserve">מנחת חינוך </w:t>
      </w:r>
      <w:r>
        <w:rPr>
          <w:rFonts w:hint="cs"/>
          <w:rtl/>
        </w:rPr>
        <w:t>מ</w:t>
      </w:r>
      <w:r>
        <w:rPr>
          <w:rtl/>
        </w:rPr>
        <w:t>וסך השבת אות ו</w:t>
      </w:r>
    </w:p>
    <w:p w14:paraId="793778D3" w14:textId="04C3FDD1" w:rsidR="00316453" w:rsidRPr="0042006E" w:rsidRDefault="00316453" w:rsidP="00BC7DC8">
      <w:pPr>
        <w:pStyle w:val="a3"/>
      </w:pPr>
      <w:r>
        <w:rPr>
          <w:rFonts w:hint="cs"/>
          <w:rtl/>
        </w:rPr>
        <w:t xml:space="preserve">במ"ש </w:t>
      </w:r>
      <w:r w:rsidRPr="00D93697">
        <w:rPr>
          <w:rStyle w:val="aff4"/>
          <w:rFonts w:hint="cs"/>
          <w:vanish/>
          <w:rtl/>
        </w:rPr>
        <w:t>-</w:t>
      </w:r>
      <w:r w:rsidRPr="00BF46FD">
        <w:rPr>
          <w:rStyle w:val="aff4"/>
          <w:rFonts w:hint="cs"/>
          <w:rtl/>
        </w:rPr>
        <w:t>רש"י</w:t>
      </w:r>
      <w:r w:rsidRPr="00D93697">
        <w:rPr>
          <w:rStyle w:val="aff4"/>
          <w:rFonts w:hint="cs"/>
          <w:vanish/>
          <w:rtl/>
        </w:rPr>
        <w:t>-</w:t>
      </w:r>
      <w:r>
        <w:rPr>
          <w:rFonts w:hint="cs"/>
          <w:rtl/>
        </w:rPr>
        <w:t xml:space="preserve"> </w:t>
      </w:r>
      <w:r w:rsidRPr="00D93697">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Ref136619302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לו)</w:t>
      </w:r>
      <w:r>
        <w:rPr>
          <w:rStyle w:val="af2"/>
          <w:rFonts w:eastAsia="Guttman Hodes"/>
          <w:rtl/>
        </w:rPr>
        <w:fldChar w:fldCharType="end"/>
      </w:r>
      <w:r>
        <w:rPr>
          <w:rFonts w:hint="cs"/>
          <w:rtl/>
        </w:rPr>
        <w:t xml:space="preserve"> דזורה הוא ברחת, כתבו </w:t>
      </w:r>
      <w:r w:rsidRPr="00D93697">
        <w:rPr>
          <w:rStyle w:val="aff4"/>
          <w:rFonts w:hint="cs"/>
          <w:vanish/>
          <w:rtl/>
        </w:rPr>
        <w:t>-</w:t>
      </w:r>
      <w:r w:rsidRPr="00BF46FD">
        <w:rPr>
          <w:rStyle w:val="aff4"/>
          <w:rFonts w:hint="cs"/>
          <w:rtl/>
        </w:rPr>
        <w:t>ה</w:t>
      </w:r>
      <w:r w:rsidRPr="00D93697">
        <w:rPr>
          <w:rStyle w:val="aff4"/>
          <w:rFonts w:hint="cs"/>
          <w:vanish/>
          <w:rtl/>
        </w:rPr>
        <w:t xml:space="preserve">&lt;. </w:t>
      </w:r>
      <w:r w:rsidRPr="00D93697">
        <w:rPr>
          <w:rStyle w:val="aff4"/>
          <w:vanish/>
          <w:rtl/>
        </w:rPr>
        <w:fldChar w:fldCharType="begin"/>
      </w:r>
      <w:r w:rsidRPr="00D93697">
        <w:rPr>
          <w:rStyle w:val="aff4"/>
          <w:vanish/>
          <w:rtl/>
        </w:rPr>
        <w:instrText xml:space="preserve"> </w:instrText>
      </w:r>
      <w:r w:rsidRPr="00D93697">
        <w:rPr>
          <w:rStyle w:val="aff4"/>
          <w:rFonts w:hint="cs"/>
          <w:vanish/>
        </w:rPr>
        <w:instrText>REF</w:instrText>
      </w:r>
      <w:r w:rsidRPr="00D93697">
        <w:rPr>
          <w:rStyle w:val="aff4"/>
          <w:rFonts w:hint="cs"/>
          <w:vanish/>
          <w:rtl/>
        </w:rPr>
        <w:instrText xml:space="preserve"> _</w:instrText>
      </w:r>
      <w:r w:rsidRPr="00D93697">
        <w:rPr>
          <w:rStyle w:val="aff4"/>
          <w:rFonts w:hint="cs"/>
          <w:vanish/>
        </w:rPr>
        <w:instrText>Ref135773877 \r \h</w:instrText>
      </w:r>
      <w:r w:rsidRPr="00D93697">
        <w:rPr>
          <w:rStyle w:val="aff4"/>
          <w:vanish/>
          <w:rtl/>
        </w:rPr>
        <w:instrText xml:space="preserve">  \* </w:instrText>
      </w:r>
      <w:r w:rsidRPr="00D93697">
        <w:rPr>
          <w:rStyle w:val="aff4"/>
          <w:vanish/>
        </w:rPr>
        <w:instrText>MERGEFORMAT</w:instrText>
      </w:r>
      <w:r w:rsidRPr="00D93697">
        <w:rPr>
          <w:rStyle w:val="aff4"/>
          <w:vanish/>
          <w:rtl/>
        </w:rPr>
        <w:instrText xml:space="preserve"> </w:instrText>
      </w:r>
      <w:r w:rsidRPr="00D93697">
        <w:rPr>
          <w:rStyle w:val="aff4"/>
          <w:vanish/>
          <w:rtl/>
        </w:rPr>
      </w:r>
      <w:r w:rsidRPr="00D93697">
        <w:rPr>
          <w:rStyle w:val="aff4"/>
          <w:vanish/>
          <w:rtl/>
        </w:rPr>
        <w:fldChar w:fldCharType="separate"/>
      </w:r>
      <w:r w:rsidR="00D82181">
        <w:rPr>
          <w:rStyle w:val="aff4"/>
          <w:vanish/>
          <w:cs/>
        </w:rPr>
        <w:t>‎</w:t>
      </w:r>
      <w:r w:rsidR="00D82181">
        <w:rPr>
          <w:rStyle w:val="aff4"/>
          <w:vanish/>
          <w:rtl/>
        </w:rPr>
        <w:t>מו)</w:t>
      </w:r>
      <w:r w:rsidRPr="00D93697">
        <w:rPr>
          <w:rStyle w:val="aff4"/>
          <w:vanish/>
          <w:rtl/>
        </w:rPr>
        <w:fldChar w:fldCharType="end"/>
      </w:r>
      <w:r w:rsidRPr="00D93697">
        <w:rPr>
          <w:rStyle w:val="aff4"/>
          <w:rFonts w:hint="cs"/>
          <w:vanish/>
          <w:rtl/>
        </w:rPr>
        <w:t xml:space="preserve"> &gt;</w:t>
      </w:r>
      <w:r w:rsidRPr="00BF46FD">
        <w:rPr>
          <w:rStyle w:val="aff4"/>
          <w:rFonts w:hint="cs"/>
          <w:rtl/>
        </w:rPr>
        <w:t>מגן אבות</w:t>
      </w:r>
      <w:r w:rsidRPr="00D93697">
        <w:rPr>
          <w:rStyle w:val="aff4"/>
          <w:rFonts w:hint="cs"/>
          <w:vanish/>
          <w:rtl/>
        </w:rPr>
        <w:t>-</w:t>
      </w:r>
      <w:r>
        <w:rPr>
          <w:rFonts w:hint="cs"/>
          <w:rtl/>
        </w:rPr>
        <w:t xml:space="preserve"> </w:t>
      </w:r>
      <w:r w:rsidRPr="00D93697">
        <w:rPr>
          <w:rStyle w:val="af2"/>
          <w:rFonts w:eastAsia="Guttman Hodes" w:hint="cs"/>
          <w:rtl/>
        </w:rPr>
        <w:t>(הזורה)</w:t>
      </w:r>
      <w:r w:rsidRPr="00D93697">
        <w:rPr>
          <w:rFonts w:hint="cs"/>
          <w:vanish/>
          <w:rtl/>
        </w:rPr>
        <w:t>=</w:t>
      </w:r>
      <w:r>
        <w:rPr>
          <w:rFonts w:hint="cs"/>
          <w:rtl/>
        </w:rPr>
        <w:t xml:space="preserve"> </w:t>
      </w:r>
      <w:r w:rsidRPr="00D93697">
        <w:rPr>
          <w:rStyle w:val="aff4"/>
          <w:rFonts w:hint="cs"/>
          <w:vanish/>
          <w:rtl/>
        </w:rPr>
        <w:t>-</w:t>
      </w:r>
      <w:r w:rsidRPr="00BF46FD">
        <w:rPr>
          <w:rStyle w:val="aff4"/>
          <w:rFonts w:hint="cs"/>
          <w:rtl/>
        </w:rPr>
        <w:t>ה</w:t>
      </w:r>
      <w:r w:rsidRPr="00D93697">
        <w:rPr>
          <w:rStyle w:val="aff4"/>
          <w:rFonts w:hint="cs"/>
          <w:vanish/>
          <w:rtl/>
        </w:rPr>
        <w:t>&lt; &gt;</w:t>
      </w:r>
      <w:r w:rsidRPr="00BF46FD">
        <w:rPr>
          <w:rStyle w:val="aff4"/>
          <w:rFonts w:hint="cs"/>
          <w:rtl/>
        </w:rPr>
        <w:t>מנחת חינוך</w:t>
      </w:r>
      <w:r w:rsidRPr="00D93697">
        <w:rPr>
          <w:rStyle w:val="aff4"/>
          <w:rFonts w:hint="cs"/>
          <w:vanish/>
          <w:rtl/>
        </w:rPr>
        <w:t>-</w:t>
      </w:r>
      <w:r>
        <w:rPr>
          <w:rFonts w:hint="cs"/>
          <w:rtl/>
        </w:rPr>
        <w:t xml:space="preserve"> </w:t>
      </w:r>
      <w:r w:rsidRPr="00D93697">
        <w:rPr>
          <w:rStyle w:val="af2"/>
          <w:rFonts w:eastAsia="Guttman Hodes" w:hint="cs"/>
          <w:rtl/>
        </w:rPr>
        <w:t>(מוסך השבת הזורה)</w:t>
      </w:r>
      <w:r w:rsidRPr="00D93697">
        <w:rPr>
          <w:rFonts w:hint="cs"/>
          <w:vanish/>
          <w:rtl/>
        </w:rPr>
        <w:t>=</w:t>
      </w:r>
      <w:r>
        <w:rPr>
          <w:rFonts w:hint="cs"/>
          <w:rtl/>
        </w:rPr>
        <w:t xml:space="preserve"> דמשמע דביד אין חיוב זורה, והוסיף</w:t>
      </w:r>
      <w:r w:rsidRPr="007644DD">
        <w:rPr>
          <w:rFonts w:hint="cs"/>
          <w:rtl/>
        </w:rPr>
        <w:t xml:space="preserve"> </w:t>
      </w:r>
      <w:r w:rsidRPr="00D93697">
        <w:rPr>
          <w:rStyle w:val="aff4"/>
          <w:rFonts w:hint="cs"/>
          <w:vanish/>
          <w:rtl/>
        </w:rPr>
        <w:t>-</w:t>
      </w:r>
      <w:r w:rsidRPr="00BF46FD">
        <w:rPr>
          <w:rStyle w:val="aff4"/>
          <w:rFonts w:hint="cs"/>
          <w:rtl/>
        </w:rPr>
        <w:t>המנחת חינוך</w:t>
      </w:r>
      <w:r w:rsidRPr="00D93697">
        <w:rPr>
          <w:rStyle w:val="aff4"/>
          <w:rFonts w:hint="cs"/>
          <w:vanish/>
          <w:rtl/>
        </w:rPr>
        <w:t>-</w:t>
      </w:r>
      <w:r>
        <w:rPr>
          <w:rFonts w:hint="cs"/>
          <w:rtl/>
        </w:rPr>
        <w:t xml:space="preserve"> דזורה הוא רק בכלי, אבל במערב במערב ביד ומפריח ברוח מתרין בו רק משום בורר, ובהתרו משום זורה פטור, דרק בזורה חייבה תורה ברוח מסייעתו,</w:t>
      </w:r>
      <w:bookmarkStart w:id="2085" w:name="_Ref135775019"/>
      <w:r w:rsidRPr="00D93697">
        <w:rPr>
          <w:rFonts w:hint="cs"/>
          <w:rtl/>
        </w:rPr>
        <w:t xml:space="preserve"> </w:t>
      </w:r>
      <w:r>
        <w:rPr>
          <w:rFonts w:hint="cs"/>
          <w:rtl/>
        </w:rPr>
        <w:t xml:space="preserve">אך </w:t>
      </w:r>
      <w:r w:rsidRPr="0042006E">
        <w:rPr>
          <w:rFonts w:hint="cs"/>
          <w:rtl/>
        </w:rPr>
        <w:t xml:space="preserve">הביא </w:t>
      </w:r>
      <w:r w:rsidRPr="00D93697">
        <w:rPr>
          <w:rStyle w:val="aff4"/>
          <w:rFonts w:hint="cs"/>
          <w:vanish/>
          <w:rtl/>
        </w:rPr>
        <w:t>-</w:t>
      </w:r>
      <w:r w:rsidRPr="0042006E">
        <w:rPr>
          <w:rStyle w:val="aff4"/>
          <w:rFonts w:hint="cs"/>
          <w:rtl/>
        </w:rPr>
        <w:t>המגן אבות</w:t>
      </w:r>
      <w:r w:rsidRPr="00D93697">
        <w:rPr>
          <w:rStyle w:val="aff4"/>
          <w:rFonts w:hint="cs"/>
          <w:vanish/>
          <w:rtl/>
        </w:rPr>
        <w:t>-</w:t>
      </w:r>
      <w:r w:rsidRPr="0042006E">
        <w:rPr>
          <w:rFonts w:hint="cs"/>
          <w:rtl/>
        </w:rPr>
        <w:t xml:space="preserve"> את דברי </w:t>
      </w:r>
      <w:r w:rsidRPr="00D93697">
        <w:rPr>
          <w:rStyle w:val="aff4"/>
          <w:rFonts w:hint="cs"/>
          <w:vanish/>
          <w:rtl/>
        </w:rPr>
        <w:t>-</w:t>
      </w:r>
      <w:r w:rsidRPr="0042006E">
        <w:rPr>
          <w:rStyle w:val="aff4"/>
          <w:rFonts w:hint="cs"/>
          <w:rtl/>
        </w:rPr>
        <w:t>הסמ"ק</w:t>
      </w:r>
      <w:r w:rsidRPr="00D93697">
        <w:rPr>
          <w:rStyle w:val="aff4"/>
          <w:rFonts w:hint="cs"/>
          <w:vanish/>
          <w:rtl/>
        </w:rPr>
        <w:t>-</w:t>
      </w:r>
      <w:r w:rsidRPr="0042006E">
        <w:rPr>
          <w:rFonts w:hint="cs"/>
          <w:rtl/>
        </w:rPr>
        <w:t xml:space="preserve"> דאסור לרוק בר</w:t>
      </w:r>
      <w:r>
        <w:rPr>
          <w:rFonts w:hint="cs"/>
          <w:rtl/>
        </w:rPr>
        <w:t>"</w:t>
      </w:r>
      <w:r w:rsidRPr="0042006E">
        <w:rPr>
          <w:rFonts w:hint="cs"/>
          <w:rtl/>
        </w:rPr>
        <w:t xml:space="preserve">ה משום זורה, </w:t>
      </w:r>
      <w:r w:rsidRPr="00B52A36">
        <w:rPr>
          <w:rStyle w:val="af"/>
          <w:rFonts w:hint="cs"/>
          <w:rtl/>
        </w:rPr>
        <w:t xml:space="preserve">[ואינו </w:t>
      </w:r>
      <w:r w:rsidRPr="00D93697">
        <w:rPr>
          <w:rStyle w:val="aff9"/>
          <w:rFonts w:hint="cs"/>
          <w:vanish/>
          <w:rtl/>
        </w:rPr>
        <w:t>-</w:t>
      </w:r>
      <w:r w:rsidRPr="005D49B2">
        <w:rPr>
          <w:rStyle w:val="aff9"/>
          <w:rFonts w:hint="cs"/>
          <w:rtl/>
        </w:rPr>
        <w:t>בסמ"ק</w:t>
      </w:r>
      <w:r w:rsidRPr="00D93697">
        <w:rPr>
          <w:rStyle w:val="aff9"/>
          <w:rFonts w:hint="cs"/>
          <w:vanish/>
          <w:rtl/>
        </w:rPr>
        <w:t>-</w:t>
      </w:r>
      <w:r w:rsidRPr="00B52A36">
        <w:rPr>
          <w:rStyle w:val="af"/>
          <w:rFonts w:hint="cs"/>
          <w:rtl/>
        </w:rPr>
        <w:t xml:space="preserve"> לפנינו כדכתב </w:t>
      </w:r>
      <w:r w:rsidRPr="00D93697">
        <w:rPr>
          <w:rStyle w:val="aff9"/>
          <w:rFonts w:hint="cs"/>
          <w:vanish/>
          <w:rtl/>
        </w:rPr>
        <w:t>-</w:t>
      </w:r>
      <w:r w:rsidRPr="005D49B2">
        <w:rPr>
          <w:rStyle w:val="aff9"/>
          <w:rFonts w:hint="cs"/>
          <w:rtl/>
        </w:rPr>
        <w:t>הגרעק"א</w:t>
      </w:r>
      <w:r w:rsidRPr="00D93697">
        <w:rPr>
          <w:rStyle w:val="aff9"/>
          <w:rFonts w:hint="cs"/>
          <w:vanish/>
          <w:rtl/>
        </w:rPr>
        <w:t>-</w:t>
      </w:r>
      <w:r w:rsidRPr="00B52A36">
        <w:rPr>
          <w:rStyle w:val="af"/>
          <w:rFonts w:hint="cs"/>
          <w:rtl/>
        </w:rPr>
        <w:t xml:space="preserve"> </w:t>
      </w:r>
      <w:r w:rsidRPr="005D49B2">
        <w:rPr>
          <w:rStyle w:val="aff0"/>
          <w:rFonts w:hint="cs"/>
          <w:rtl/>
        </w:rPr>
        <w:t xml:space="preserve">(עי' </w:t>
      </w:r>
      <w:r w:rsidRPr="00330699">
        <w:rPr>
          <w:rStyle w:val="aff0"/>
          <w:rFonts w:hint="cs"/>
          <w:rtl/>
        </w:rPr>
        <w:t xml:space="preserve">אות </w:t>
      </w:r>
      <w:r w:rsidRPr="00330699">
        <w:rPr>
          <w:rStyle w:val="aff0"/>
          <w:rtl/>
        </w:rPr>
        <w:fldChar w:fldCharType="begin"/>
      </w:r>
      <w:r w:rsidRPr="00330699">
        <w:rPr>
          <w:rStyle w:val="aff0"/>
          <w:rtl/>
        </w:rPr>
        <w:instrText xml:space="preserve"> </w:instrText>
      </w:r>
      <w:r w:rsidRPr="00330699">
        <w:rPr>
          <w:rStyle w:val="aff0"/>
          <w:rFonts w:hint="cs"/>
        </w:rPr>
        <w:instrText>REF</w:instrText>
      </w:r>
      <w:r w:rsidRPr="00330699">
        <w:rPr>
          <w:rStyle w:val="aff0"/>
          <w:rFonts w:hint="cs"/>
          <w:rtl/>
        </w:rPr>
        <w:instrText xml:space="preserve"> _</w:instrText>
      </w:r>
      <w:r w:rsidRPr="00330699">
        <w:rPr>
          <w:rStyle w:val="aff0"/>
          <w:rFonts w:hint="cs"/>
        </w:rPr>
        <w:instrText>Ref136512049 \r \h</w:instrText>
      </w:r>
      <w:r w:rsidRPr="00330699">
        <w:rPr>
          <w:rStyle w:val="aff0"/>
          <w:rtl/>
        </w:rPr>
        <w:instrText xml:space="preserve"> </w:instrText>
      </w:r>
      <w:r w:rsidRPr="00330699">
        <w:rPr>
          <w:rStyle w:val="aff0"/>
          <w:rtl/>
        </w:rPr>
      </w:r>
      <w:r w:rsidRPr="00330699">
        <w:rPr>
          <w:rStyle w:val="aff0"/>
          <w:rtl/>
        </w:rPr>
        <w:fldChar w:fldCharType="separate"/>
      </w:r>
      <w:r w:rsidR="00D82181">
        <w:rPr>
          <w:rStyle w:val="aff0"/>
          <w:cs/>
        </w:rPr>
        <w:t>‎</w:t>
      </w:r>
      <w:r w:rsidR="00D82181">
        <w:rPr>
          <w:rStyle w:val="aff0"/>
          <w:rtl/>
        </w:rPr>
        <w:t>כז)</w:t>
      </w:r>
      <w:r w:rsidRPr="00330699">
        <w:rPr>
          <w:rStyle w:val="aff0"/>
          <w:rtl/>
        </w:rPr>
        <w:fldChar w:fldCharType="end"/>
      </w:r>
      <w:r w:rsidRPr="00B52A36">
        <w:rPr>
          <w:rStyle w:val="af"/>
          <w:rFonts w:hint="cs"/>
          <w:rtl/>
        </w:rPr>
        <w:t xml:space="preserve">, והוא דברי </w:t>
      </w:r>
      <w:r w:rsidRPr="00D93697">
        <w:rPr>
          <w:rStyle w:val="aff9"/>
          <w:rFonts w:hint="cs"/>
          <w:vanish/>
          <w:rtl/>
        </w:rPr>
        <w:t>-</w:t>
      </w:r>
      <w:r w:rsidRPr="005D49B2">
        <w:rPr>
          <w:rStyle w:val="aff9"/>
          <w:rFonts w:hint="cs"/>
          <w:rtl/>
        </w:rPr>
        <w:t>האו"ז</w:t>
      </w:r>
      <w:r w:rsidRPr="00D93697">
        <w:rPr>
          <w:rStyle w:val="aff9"/>
          <w:rFonts w:hint="cs"/>
          <w:vanish/>
          <w:rtl/>
        </w:rPr>
        <w:t>-</w:t>
      </w:r>
      <w:r>
        <w:rPr>
          <w:rStyle w:val="af"/>
          <w:rFonts w:hint="cs"/>
          <w:rtl/>
        </w:rPr>
        <w:t xml:space="preserve"> </w:t>
      </w:r>
      <w:r w:rsidRPr="005D49B2">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Ref136512059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כג)</w:t>
      </w:r>
      <w:r>
        <w:rPr>
          <w:rStyle w:val="aff0"/>
          <w:rtl/>
        </w:rPr>
        <w:fldChar w:fldCharType="end"/>
      </w:r>
      <w:r w:rsidRPr="005D49B2">
        <w:rPr>
          <w:rStyle w:val="aff0"/>
          <w:rFonts w:hint="cs"/>
          <w:rtl/>
        </w:rPr>
        <w:t xml:space="preserve"> </w:t>
      </w:r>
      <w:r>
        <w:rPr>
          <w:rStyle w:val="af"/>
          <w:rFonts w:hint="cs"/>
          <w:rtl/>
        </w:rPr>
        <w:t xml:space="preserve">בשם </w:t>
      </w:r>
      <w:r w:rsidRPr="00B52A36">
        <w:rPr>
          <w:rStyle w:val="af"/>
          <w:rFonts w:hint="cs"/>
          <w:rtl/>
        </w:rPr>
        <w:t xml:space="preserve">הירושלמי דהרוקק </w:t>
      </w:r>
      <w:r>
        <w:rPr>
          <w:rStyle w:val="af"/>
          <w:rFonts w:hint="cs"/>
          <w:rtl/>
        </w:rPr>
        <w:t>לרוח</w:t>
      </w:r>
      <w:r w:rsidRPr="00B52A36">
        <w:rPr>
          <w:rStyle w:val="af"/>
          <w:rFonts w:hint="cs"/>
          <w:rtl/>
        </w:rPr>
        <w:t xml:space="preserve"> חייב משום זורה],</w:t>
      </w:r>
      <w:r>
        <w:rPr>
          <w:rFonts w:hint="cs"/>
          <w:rtl/>
        </w:rPr>
        <w:t xml:space="preserve"> </w:t>
      </w:r>
      <w:r w:rsidRPr="0042006E">
        <w:rPr>
          <w:rFonts w:hint="cs"/>
          <w:rtl/>
        </w:rPr>
        <w:t xml:space="preserve">וכן אסור לזרוק אוכל לעופות ממקום גבוה לארץ משום זורה, וכתב </w:t>
      </w:r>
      <w:r w:rsidRPr="00D93697">
        <w:rPr>
          <w:rStyle w:val="aff4"/>
          <w:rFonts w:hint="cs"/>
          <w:vanish/>
          <w:rtl/>
        </w:rPr>
        <w:t>-</w:t>
      </w:r>
      <w:r w:rsidRPr="0042006E">
        <w:rPr>
          <w:rStyle w:val="aff4"/>
          <w:rFonts w:hint="cs"/>
          <w:rtl/>
        </w:rPr>
        <w:t>המגן אבות</w:t>
      </w:r>
      <w:r w:rsidRPr="00D93697">
        <w:rPr>
          <w:rStyle w:val="aff4"/>
          <w:rFonts w:hint="cs"/>
          <w:vanish/>
          <w:rtl/>
        </w:rPr>
        <w:t>-</w:t>
      </w:r>
      <w:r w:rsidRPr="0042006E">
        <w:rPr>
          <w:rFonts w:hint="cs"/>
          <w:rtl/>
        </w:rPr>
        <w:t xml:space="preserve"> דמשמע מדבריו דאף ביד חייב בזורה, ודלא </w:t>
      </w:r>
      <w:r w:rsidRPr="00D93697">
        <w:rPr>
          <w:rStyle w:val="aff4"/>
          <w:rFonts w:hint="cs"/>
          <w:vanish/>
          <w:rtl/>
        </w:rPr>
        <w:t>-</w:t>
      </w:r>
      <w:r w:rsidRPr="0042006E">
        <w:rPr>
          <w:rStyle w:val="aff4"/>
          <w:rFonts w:hint="cs"/>
          <w:rtl/>
        </w:rPr>
        <w:t>כרש"י</w:t>
      </w:r>
      <w:r w:rsidRPr="00D93697">
        <w:rPr>
          <w:rStyle w:val="aff4"/>
          <w:rFonts w:hint="cs"/>
          <w:vanish/>
          <w:rtl/>
        </w:rPr>
        <w:t>-</w:t>
      </w:r>
      <w:r w:rsidRPr="0042006E">
        <w:rPr>
          <w:rFonts w:hint="cs"/>
          <w:rtl/>
        </w:rPr>
        <w:t>.</w:t>
      </w:r>
      <w:bookmarkEnd w:id="2085"/>
    </w:p>
    <w:bookmarkEnd w:id="2084"/>
    <w:p w14:paraId="60232CD0" w14:textId="77777777" w:rsidR="00316453" w:rsidRPr="00747170" w:rsidRDefault="00316453" w:rsidP="00747170">
      <w:pPr>
        <w:pStyle w:val="a2"/>
        <w:rPr>
          <w:rtl/>
        </w:rPr>
      </w:pPr>
      <w:r w:rsidRPr="00747170">
        <w:rPr>
          <w:rFonts w:hint="cs"/>
          <w:rtl/>
        </w:rPr>
        <w:t>ה</w:t>
      </w:r>
      <w:r w:rsidRPr="00747170">
        <w:rPr>
          <w:rtl/>
        </w:rPr>
        <w:t>זורה</w:t>
      </w:r>
      <w:r w:rsidRPr="00747170">
        <w:rPr>
          <w:rFonts w:hint="cs"/>
          <w:rtl/>
        </w:rPr>
        <w:t>,</w:t>
      </w:r>
      <w:r w:rsidRPr="00747170">
        <w:rPr>
          <w:rtl/>
        </w:rPr>
        <w:t xml:space="preserve"> פירש"י ברחת משמע קצת אבל ביד ליכא זורה</w:t>
      </w:r>
      <w:r w:rsidRPr="00747170">
        <w:rPr>
          <w:rFonts w:hint="cs"/>
          <w:rtl/>
        </w:rPr>
        <w:t xml:space="preserve">, וכתב </w:t>
      </w:r>
      <w:r w:rsidRPr="00747170">
        <w:rPr>
          <w:rtl/>
        </w:rPr>
        <w:t xml:space="preserve">בסמ"ק דאין לרוק </w:t>
      </w:r>
      <w:r w:rsidRPr="00747170">
        <w:rPr>
          <w:rFonts w:hint="cs"/>
          <w:rtl/>
        </w:rPr>
        <w:t>בר"ה</w:t>
      </w:r>
      <w:r w:rsidRPr="00747170">
        <w:rPr>
          <w:rtl/>
        </w:rPr>
        <w:t xml:space="preserve"> משום זורה וכן אין לזרוק</w:t>
      </w:r>
      <w:r w:rsidRPr="00747170">
        <w:rPr>
          <w:rFonts w:hint="cs"/>
          <w:rtl/>
        </w:rPr>
        <w:t xml:space="preserve"> </w:t>
      </w:r>
      <w:r w:rsidRPr="00747170">
        <w:rPr>
          <w:rtl/>
        </w:rPr>
        <w:t>לעופות ממקום גבוה לארץ משום זורה ומשמע מסמ"ג דלא סבירא ליה כרש"י</w:t>
      </w:r>
      <w:r w:rsidRPr="00747170">
        <w:rPr>
          <w:rFonts w:hint="cs"/>
          <w:rtl/>
        </w:rPr>
        <w:t>.</w:t>
      </w:r>
    </w:p>
    <w:p w14:paraId="407B12A3" w14:textId="77777777" w:rsidR="00316453" w:rsidRPr="0030138D" w:rsidRDefault="00316453" w:rsidP="00747170">
      <w:pPr>
        <w:pStyle w:val="afffff5"/>
        <w:rPr>
          <w:rtl/>
        </w:rPr>
      </w:pPr>
      <w:bookmarkStart w:id="2086" w:name="_Hlk136509112"/>
      <w:r w:rsidRPr="0030138D">
        <w:rPr>
          <w:rtl/>
        </w:rPr>
        <w:t>ו) הזורה ופירש"י במשנה הזורה ברחת לרוח ע"כ. ופעולת הזורה דלאחר דישה התבואה מעורבת במוץ וזורה ברחת לרוח והרוח מפריח את המוץ והוי כבורר דבורר פסולת שהתבואה תהי' נקיה ובש"ס מבואר דזורה ובורר ומרקד א' היינו דכולם כדי להפריש אוכל מן הפסולת. וכ"כ הר"מ דהנהו תליתאי דומים עניניהם זל"ז ומ"מ חשבינן בתלתא דהיו במשכן כמבואר בש"ס. והעושה הג' הללו בהעלם א' חייב ג"ח דנחשבים כ"א בפ"ע וער"נ כאן דכתב דנחשבים לג' כי אין מעשיהם שוים ואינם בזמן א' הזורה בתבן והבורר בצרורות והמרקד בסובין ע"ש ונראה עוד חילוקים דודאי זורה אינו רק בכלי כי פי' זורה הוא ברחת ואם אינו בכלי רק מערב ביד ועי"כ הרוח מפריח ל"ה זורה וצריך להתרות בו משום בורר ואם התרו בו משום זורה א"ח דזה ל"ה זורה כלל וגם ז"פ דזורה אף שרוצה לאכול תיכף מכל מקום חייב חדא כיון דהוא בכלי המיוחד לכך וגם בורר הפסולת מתוך האוכל דכה"ג אף בבורר חייב אף כדי לאכול לאלתר כמבואר לקמן במלאכת בורר בס"ד וגם במלאכה זו דזורה חייב ברוח מסייעתו כמבואר בב"ק ד"ס וב"ב דכ"ו א"כ דוקא ברחת דנקרא זורה חייב ברוח מסייעתו אבל אם עושה ביד דלא נקרא זורה רק בורר א"ח ברוח מסייעתו כי דוקא בזורה חייבתו תורה בענין זה שהרוח מסייעתו אבל אם אינו בדרך זה כגון ביד או בורר צרורות והרוח מסייע א"ח כנ"ב בס"ד והגמרא נקט זורה ורוח מסייעתו אבל אם אינו נקרא זורה פטור ברוח מסייעתו</w:t>
      </w:r>
      <w:r w:rsidRPr="0030138D">
        <w:rPr>
          <w:rFonts w:hint="cs"/>
          <w:rtl/>
        </w:rPr>
        <w:t>.</w:t>
      </w:r>
    </w:p>
    <w:p w14:paraId="4C86C058" w14:textId="77777777" w:rsidR="00316453" w:rsidRDefault="00316453" w:rsidP="00316453">
      <w:pPr>
        <w:pStyle w:val="afffff7"/>
        <w:rPr>
          <w:rtl/>
        </w:rPr>
      </w:pPr>
      <w:bookmarkStart w:id="2087" w:name="_Toc136620475"/>
      <w:bookmarkStart w:id="2088" w:name="_Hlk135755985"/>
      <w:bookmarkStart w:id="2089" w:name="_Toc163505754"/>
      <w:bookmarkEnd w:id="2086"/>
      <w:r w:rsidRPr="005D0910">
        <w:rPr>
          <w:rtl/>
        </w:rPr>
        <w:t xml:space="preserve">אגלי טל זורה </w:t>
      </w:r>
      <w:r>
        <w:rPr>
          <w:rFonts w:hint="cs"/>
          <w:rtl/>
        </w:rPr>
        <w:t>סק</w:t>
      </w:r>
      <w:r>
        <w:rPr>
          <w:rFonts w:cs="Guttman Hodes" w:hint="cs"/>
          <w:rtl/>
        </w:rPr>
        <w:t>"</w:t>
      </w:r>
      <w:r w:rsidRPr="005D0910">
        <w:rPr>
          <w:rtl/>
        </w:rPr>
        <w:t>ג</w:t>
      </w:r>
      <w:r>
        <w:rPr>
          <w:rFonts w:hint="cs"/>
          <w:rtl/>
        </w:rPr>
        <w:t xml:space="preserve"> אות א', ב', ג'</w:t>
      </w:r>
      <w:bookmarkEnd w:id="2087"/>
      <w:bookmarkEnd w:id="2089"/>
    </w:p>
    <w:p w14:paraId="688DD498" w14:textId="77777777" w:rsidR="00316453" w:rsidRDefault="00316453" w:rsidP="00316453">
      <w:pPr>
        <w:pStyle w:val="afffff7"/>
        <w:rPr>
          <w:rtl/>
        </w:rPr>
      </w:pPr>
      <w:bookmarkStart w:id="2090" w:name="_Toc136620476"/>
      <w:bookmarkStart w:id="2091" w:name="_Toc136618709"/>
      <w:bookmarkStart w:id="2092" w:name="_Toc163505755"/>
      <w:bookmarkEnd w:id="2088"/>
      <w:r>
        <w:rPr>
          <w:rtl/>
        </w:rPr>
        <w:t>רש"י שבת קל"ח ע"א</w:t>
      </w:r>
      <w:r>
        <w:rPr>
          <w:rFonts w:hint="cs"/>
          <w:rtl/>
        </w:rPr>
        <w:t xml:space="preserve"> ד"ה דנוטל</w:t>
      </w:r>
      <w:bookmarkEnd w:id="2090"/>
      <w:bookmarkEnd w:id="2092"/>
    </w:p>
    <w:p w14:paraId="2421C940" w14:textId="2A25DE75" w:rsidR="00316453" w:rsidRPr="00AC43E4" w:rsidRDefault="00316453" w:rsidP="00316453">
      <w:pPr>
        <w:pStyle w:val="a7"/>
        <w:rPr>
          <w:rFonts w:cs="Arial"/>
          <w:rtl/>
        </w:rPr>
      </w:pPr>
      <w:r>
        <w:rPr>
          <w:rFonts w:hint="cs"/>
          <w:rtl/>
        </w:rPr>
        <w:t>בי' האגל"ט בר"ח דחילוק המלאכות בצורת הפעולה ובורר בנפה הוא לעולם מרקד ודלא כרש"י</w:t>
      </w:r>
      <w:bookmarkEnd w:id="2091"/>
    </w:p>
    <w:p w14:paraId="3F3263A8" w14:textId="7B26214C" w:rsidR="00316453" w:rsidRPr="00705C27" w:rsidRDefault="00316453" w:rsidP="00BC7DC8">
      <w:pPr>
        <w:pStyle w:val="a3"/>
        <w:rPr>
          <w:rtl/>
        </w:rPr>
      </w:pPr>
      <w:bookmarkStart w:id="2093" w:name="_Ref135755171"/>
      <w:r>
        <w:rPr>
          <w:rFonts w:hint="cs"/>
          <w:rtl/>
        </w:rPr>
        <w:t xml:space="preserve">במ"ש </w:t>
      </w:r>
      <w:r w:rsidRPr="00F1458B">
        <w:rPr>
          <w:rStyle w:val="aff4"/>
          <w:rFonts w:hint="cs"/>
          <w:vanish/>
          <w:rtl/>
        </w:rPr>
        <w:t>-</w:t>
      </w:r>
      <w:r w:rsidRPr="00C86935">
        <w:rPr>
          <w:rStyle w:val="aff4"/>
          <w:rFonts w:hint="cs"/>
          <w:rtl/>
        </w:rPr>
        <w:t>ר"ח</w:t>
      </w:r>
      <w:r w:rsidRPr="00F1458B">
        <w:rPr>
          <w:rStyle w:val="aff4"/>
          <w:rFonts w:hint="cs"/>
          <w:vanish/>
          <w:rtl/>
        </w:rPr>
        <w:t>-</w:t>
      </w:r>
      <w:r>
        <w:rPr>
          <w:rFonts w:hint="cs"/>
          <w:rtl/>
        </w:rPr>
        <w:t xml:space="preserve"> </w:t>
      </w:r>
      <w:r w:rsidRPr="00D4778B">
        <w:rPr>
          <w:rStyle w:val="af2"/>
          <w:rFonts w:eastAsia="Guttman Hodes" w:hint="cs"/>
          <w:rtl/>
        </w:rPr>
        <w:t xml:space="preserve">(עי' אות </w:t>
      </w:r>
      <w:r w:rsidRPr="00D4778B">
        <w:rPr>
          <w:rStyle w:val="af2"/>
          <w:rFonts w:eastAsia="Guttman Hodes"/>
          <w:rtl/>
        </w:rPr>
        <w:fldChar w:fldCharType="begin"/>
      </w:r>
      <w:r w:rsidRPr="00D4778B">
        <w:rPr>
          <w:rStyle w:val="af2"/>
          <w:rFonts w:eastAsia="Guttman Hodes"/>
          <w:rtl/>
        </w:rPr>
        <w:instrText xml:space="preserve"> </w:instrText>
      </w:r>
      <w:r w:rsidRPr="00D4778B">
        <w:rPr>
          <w:rStyle w:val="af2"/>
          <w:rFonts w:eastAsia="Guttman Hodes" w:hint="cs"/>
        </w:rPr>
        <w:instrText>REF</w:instrText>
      </w:r>
      <w:r w:rsidRPr="00D4778B">
        <w:rPr>
          <w:rStyle w:val="af2"/>
          <w:rFonts w:eastAsia="Guttman Hodes" w:hint="cs"/>
          <w:rtl/>
        </w:rPr>
        <w:instrText xml:space="preserve"> _</w:instrText>
      </w:r>
      <w:r w:rsidRPr="00D4778B">
        <w:rPr>
          <w:rStyle w:val="af2"/>
          <w:rFonts w:eastAsia="Guttman Hodes" w:hint="cs"/>
        </w:rPr>
        <w:instrText>Ref135754485 \r \h</w:instrText>
      </w:r>
      <w:r w:rsidRPr="00D4778B">
        <w:rPr>
          <w:rStyle w:val="af2"/>
          <w:rFonts w:eastAsia="Guttman Hodes"/>
          <w:rtl/>
        </w:rPr>
        <w:instrText xml:space="preserve"> </w:instrText>
      </w:r>
      <w:r w:rsidRPr="00D4778B">
        <w:rPr>
          <w:rStyle w:val="af2"/>
          <w:rFonts w:eastAsia="Guttman Hodes"/>
          <w:rtl/>
        </w:rPr>
      </w:r>
      <w:r w:rsidRPr="00D4778B">
        <w:rPr>
          <w:rStyle w:val="af2"/>
          <w:rFonts w:eastAsia="Guttman Hodes"/>
          <w:rtl/>
        </w:rPr>
        <w:fldChar w:fldCharType="separate"/>
      </w:r>
      <w:r w:rsidR="00D82181">
        <w:rPr>
          <w:rStyle w:val="af2"/>
          <w:rFonts w:eastAsia="Guttman Hodes"/>
          <w:cs/>
        </w:rPr>
        <w:t>‎</w:t>
      </w:r>
      <w:r w:rsidR="00D82181">
        <w:rPr>
          <w:rStyle w:val="af2"/>
          <w:rFonts w:eastAsia="Guttman Hodes"/>
          <w:rtl/>
        </w:rPr>
        <w:t>מג)</w:t>
      </w:r>
      <w:r w:rsidRPr="00D4778B">
        <w:rPr>
          <w:rStyle w:val="af2"/>
          <w:rFonts w:eastAsia="Guttman Hodes"/>
          <w:rtl/>
        </w:rPr>
        <w:fldChar w:fldCharType="end"/>
      </w:r>
      <w:r>
        <w:rPr>
          <w:rFonts w:hint="cs"/>
          <w:rtl/>
        </w:rPr>
        <w:t xml:space="preserve"> דאם ניפח תבואה בפיו הוא זורה, ובוררה שנוטל אוכל מפסולת או להיפך, ומרקד הוא שנותנם בכברה ונופל ממנה האוכל או הפסולת, כתב </w:t>
      </w:r>
      <w:r w:rsidRPr="00F1458B">
        <w:rPr>
          <w:rStyle w:val="aff4"/>
          <w:rFonts w:hint="cs"/>
          <w:vanish/>
          <w:rtl/>
        </w:rPr>
        <w:t>-</w:t>
      </w:r>
      <w:r w:rsidRPr="00C86935">
        <w:rPr>
          <w:rStyle w:val="aff4"/>
          <w:rFonts w:hint="cs"/>
          <w:rtl/>
        </w:rPr>
        <w:t>ה</w:t>
      </w:r>
      <w:r w:rsidRPr="00F1458B">
        <w:rPr>
          <w:rStyle w:val="aff4"/>
          <w:rFonts w:hint="cs"/>
          <w:vanish/>
          <w:rtl/>
        </w:rPr>
        <w:t xml:space="preserve">&lt;. </w:t>
      </w:r>
      <w:r w:rsidRPr="00F1458B">
        <w:rPr>
          <w:rStyle w:val="aff4"/>
          <w:vanish/>
          <w:rtl/>
        </w:rPr>
        <w:fldChar w:fldCharType="begin"/>
      </w:r>
      <w:r w:rsidRPr="00F1458B">
        <w:rPr>
          <w:rStyle w:val="aff4"/>
          <w:vanish/>
          <w:rtl/>
        </w:rPr>
        <w:instrText xml:space="preserve"> </w:instrText>
      </w:r>
      <w:r w:rsidRPr="00F1458B">
        <w:rPr>
          <w:rStyle w:val="aff4"/>
          <w:rFonts w:hint="cs"/>
          <w:vanish/>
        </w:rPr>
        <w:instrText>REF</w:instrText>
      </w:r>
      <w:r w:rsidRPr="00F1458B">
        <w:rPr>
          <w:rStyle w:val="aff4"/>
          <w:rFonts w:hint="cs"/>
          <w:vanish/>
          <w:rtl/>
        </w:rPr>
        <w:instrText xml:space="preserve"> _</w:instrText>
      </w:r>
      <w:r w:rsidRPr="00F1458B">
        <w:rPr>
          <w:rStyle w:val="aff4"/>
          <w:rFonts w:hint="cs"/>
          <w:vanish/>
        </w:rPr>
        <w:instrText>Ref135755171 \r \h</w:instrText>
      </w:r>
      <w:r w:rsidRPr="00F1458B">
        <w:rPr>
          <w:rStyle w:val="aff4"/>
          <w:vanish/>
          <w:rtl/>
        </w:rPr>
        <w:instrText xml:space="preserve"> </w:instrText>
      </w:r>
      <w:r w:rsidRPr="00F1458B">
        <w:rPr>
          <w:rStyle w:val="aff4"/>
          <w:vanish/>
          <w:rtl/>
        </w:rPr>
      </w:r>
      <w:r w:rsidRPr="00F1458B">
        <w:rPr>
          <w:rStyle w:val="aff4"/>
          <w:vanish/>
          <w:rtl/>
        </w:rPr>
        <w:fldChar w:fldCharType="separate"/>
      </w:r>
      <w:r w:rsidR="00D82181">
        <w:rPr>
          <w:rStyle w:val="aff4"/>
          <w:vanish/>
          <w:cs/>
        </w:rPr>
        <w:t>‎</w:t>
      </w:r>
      <w:r w:rsidR="00D82181">
        <w:rPr>
          <w:rStyle w:val="aff4"/>
          <w:vanish/>
          <w:rtl/>
        </w:rPr>
        <w:t>מח)</w:t>
      </w:r>
      <w:r w:rsidRPr="00F1458B">
        <w:rPr>
          <w:rStyle w:val="aff4"/>
          <w:vanish/>
          <w:rtl/>
        </w:rPr>
        <w:fldChar w:fldCharType="end"/>
      </w:r>
      <w:r w:rsidRPr="00F1458B">
        <w:rPr>
          <w:rStyle w:val="aff4"/>
          <w:rFonts w:hint="cs"/>
          <w:vanish/>
          <w:rtl/>
        </w:rPr>
        <w:t xml:space="preserve"> &gt;</w:t>
      </w:r>
      <w:r w:rsidRPr="00C86935">
        <w:rPr>
          <w:rStyle w:val="aff4"/>
          <w:rFonts w:hint="cs"/>
          <w:rtl/>
        </w:rPr>
        <w:t>אגלי טל</w:t>
      </w:r>
      <w:r w:rsidRPr="00F1458B">
        <w:rPr>
          <w:rStyle w:val="aff4"/>
          <w:rFonts w:hint="cs"/>
          <w:vanish/>
          <w:rtl/>
        </w:rPr>
        <w:t>-</w:t>
      </w:r>
      <w:r>
        <w:rPr>
          <w:rFonts w:hint="cs"/>
          <w:rtl/>
        </w:rPr>
        <w:t xml:space="preserve"> </w:t>
      </w:r>
      <w:r w:rsidRPr="00D4778B">
        <w:rPr>
          <w:rStyle w:val="af2"/>
          <w:rFonts w:eastAsia="Guttman Hodes" w:hint="cs"/>
          <w:rtl/>
        </w:rPr>
        <w:t>(זורה סק"ג אות א')</w:t>
      </w:r>
      <w:r w:rsidRPr="00F1458B">
        <w:rPr>
          <w:rFonts w:hint="cs"/>
          <w:vanish/>
          <w:rtl/>
        </w:rPr>
        <w:t>=</w:t>
      </w:r>
      <w:r>
        <w:rPr>
          <w:rFonts w:hint="cs"/>
          <w:rtl/>
        </w:rPr>
        <w:t xml:space="preserve"> דמבואר מדברי </w:t>
      </w:r>
      <w:r w:rsidRPr="00F1458B">
        <w:rPr>
          <w:rStyle w:val="aff4"/>
          <w:rFonts w:hint="cs"/>
          <w:vanish/>
          <w:rtl/>
        </w:rPr>
        <w:t>-</w:t>
      </w:r>
      <w:r w:rsidRPr="00C86935">
        <w:rPr>
          <w:rStyle w:val="aff4"/>
          <w:rFonts w:hint="cs"/>
          <w:rtl/>
        </w:rPr>
        <w:t>ר"ח</w:t>
      </w:r>
      <w:r w:rsidRPr="00F1458B">
        <w:rPr>
          <w:rStyle w:val="aff4"/>
          <w:rFonts w:hint="cs"/>
          <w:vanish/>
          <w:rtl/>
        </w:rPr>
        <w:t>-</w:t>
      </w:r>
      <w:r>
        <w:rPr>
          <w:rFonts w:hint="cs"/>
          <w:rtl/>
        </w:rPr>
        <w:t xml:space="preserve"> דהחילוק בין המלאכות הוא בצורת הפעולה עצמה דזורה הוא ברוח ובורר ביד ומרקד בנפה וכברה, ועיי"ש במה שהקשה </w:t>
      </w:r>
      <w:r w:rsidRPr="00F1458B">
        <w:rPr>
          <w:rStyle w:val="aff4"/>
          <w:rFonts w:hint="cs"/>
          <w:vanish/>
          <w:rtl/>
        </w:rPr>
        <w:t>-</w:t>
      </w:r>
      <w:r w:rsidRPr="00C86935">
        <w:rPr>
          <w:rStyle w:val="aff4"/>
          <w:rFonts w:hint="cs"/>
          <w:rtl/>
        </w:rPr>
        <w:t>האגלי טל</w:t>
      </w:r>
      <w:r w:rsidRPr="00F1458B">
        <w:rPr>
          <w:rStyle w:val="aff4"/>
          <w:rFonts w:hint="cs"/>
          <w:vanish/>
          <w:rtl/>
        </w:rPr>
        <w:t>-</w:t>
      </w:r>
      <w:bookmarkEnd w:id="2093"/>
      <w:r>
        <w:rPr>
          <w:rFonts w:hint="cs"/>
          <w:rtl/>
        </w:rPr>
        <w:t xml:space="preserve"> על </w:t>
      </w:r>
      <w:r w:rsidRPr="00F1458B">
        <w:rPr>
          <w:rStyle w:val="aff4"/>
          <w:rFonts w:hint="cs"/>
          <w:vanish/>
          <w:rtl/>
        </w:rPr>
        <w:t>-</w:t>
      </w:r>
      <w:r w:rsidRPr="00C86935">
        <w:rPr>
          <w:rStyle w:val="aff4"/>
          <w:rFonts w:hint="cs"/>
          <w:rtl/>
        </w:rPr>
        <w:t>ר"ח</w:t>
      </w:r>
      <w:r w:rsidRPr="00F1458B">
        <w:rPr>
          <w:rStyle w:val="aff4"/>
          <w:rFonts w:hint="cs"/>
          <w:vanish/>
          <w:rtl/>
        </w:rPr>
        <w:t>-</w:t>
      </w:r>
      <w:r>
        <w:rPr>
          <w:rFonts w:hint="cs"/>
          <w:rtl/>
        </w:rPr>
        <w:t xml:space="preserve"> מהגמ' לקמן </w:t>
      </w:r>
      <w:r w:rsidRPr="00D4778B">
        <w:rPr>
          <w:rStyle w:val="af2"/>
          <w:rFonts w:eastAsia="Guttman Hodes" w:hint="cs"/>
          <w:rtl/>
        </w:rPr>
        <w:t>(קלח.)</w:t>
      </w:r>
      <w:r>
        <w:rPr>
          <w:rFonts w:hint="cs"/>
          <w:rtl/>
        </w:rPr>
        <w:t xml:space="preserve">, ובמה שביאר בגדר מרקד לדעת </w:t>
      </w:r>
      <w:r w:rsidRPr="00F1458B">
        <w:rPr>
          <w:rStyle w:val="aff4"/>
          <w:rFonts w:hint="cs"/>
          <w:vanish/>
          <w:rtl/>
        </w:rPr>
        <w:t>-</w:t>
      </w:r>
      <w:r w:rsidRPr="00C86935">
        <w:rPr>
          <w:rStyle w:val="aff4"/>
          <w:rFonts w:hint="cs"/>
          <w:rtl/>
        </w:rPr>
        <w:t>ר"ח</w:t>
      </w:r>
      <w:r w:rsidRPr="00F1458B">
        <w:rPr>
          <w:rStyle w:val="aff4"/>
          <w:rFonts w:hint="cs"/>
          <w:vanish/>
          <w:rtl/>
        </w:rPr>
        <w:t>-</w:t>
      </w:r>
      <w:r>
        <w:rPr>
          <w:rFonts w:hint="cs"/>
          <w:rtl/>
        </w:rPr>
        <w:t xml:space="preserve">, </w:t>
      </w:r>
      <w:bookmarkStart w:id="2094" w:name="_Ref135755375"/>
      <w:r>
        <w:rPr>
          <w:rFonts w:hint="cs"/>
          <w:rtl/>
        </w:rPr>
        <w:t xml:space="preserve">וכתב </w:t>
      </w:r>
      <w:r w:rsidRPr="00F1458B">
        <w:rPr>
          <w:rStyle w:val="aff4"/>
          <w:rFonts w:hint="cs"/>
          <w:vanish/>
          <w:rtl/>
        </w:rPr>
        <w:t>-</w:t>
      </w:r>
      <w:r w:rsidRPr="00C86935">
        <w:rPr>
          <w:rStyle w:val="aff4"/>
          <w:rFonts w:hint="cs"/>
          <w:rtl/>
        </w:rPr>
        <w:t>ה</w:t>
      </w:r>
      <w:r>
        <w:rPr>
          <w:rStyle w:val="aff4"/>
          <w:rFonts w:hint="cs"/>
          <w:vanish/>
          <w:rtl/>
        </w:rPr>
        <w:t>&lt; &gt;</w:t>
      </w:r>
      <w:r w:rsidRPr="00C86935">
        <w:rPr>
          <w:rStyle w:val="aff4"/>
          <w:rFonts w:hint="cs"/>
          <w:rtl/>
        </w:rPr>
        <w:t>אגלי טל</w:t>
      </w:r>
      <w:r w:rsidRPr="00F1458B">
        <w:rPr>
          <w:rStyle w:val="aff4"/>
          <w:rFonts w:hint="cs"/>
          <w:vanish/>
          <w:rtl/>
        </w:rPr>
        <w:t>-</w:t>
      </w:r>
      <w:r>
        <w:rPr>
          <w:rFonts w:hint="cs"/>
          <w:rtl/>
        </w:rPr>
        <w:t xml:space="preserve"> </w:t>
      </w:r>
      <w:r w:rsidRPr="00D4778B">
        <w:rPr>
          <w:rStyle w:val="af2"/>
          <w:rFonts w:eastAsia="Guttman Hodes" w:hint="cs"/>
          <w:rtl/>
        </w:rPr>
        <w:t>(זורה סק"ג אות ג')</w:t>
      </w:r>
      <w:r w:rsidRPr="00F1458B">
        <w:rPr>
          <w:rFonts w:hint="cs"/>
          <w:vanish/>
          <w:rtl/>
        </w:rPr>
        <w:t>=</w:t>
      </w:r>
      <w:r>
        <w:rPr>
          <w:rFonts w:hint="cs"/>
          <w:rtl/>
        </w:rPr>
        <w:t xml:space="preserve"> דמבואר מדברי </w:t>
      </w:r>
      <w:r w:rsidRPr="00F1458B">
        <w:rPr>
          <w:rStyle w:val="aff4"/>
          <w:rFonts w:hint="cs"/>
          <w:vanish/>
          <w:rtl/>
        </w:rPr>
        <w:t>-</w:t>
      </w:r>
      <w:r w:rsidRPr="00C86935">
        <w:rPr>
          <w:rStyle w:val="aff4"/>
          <w:rFonts w:hint="cs"/>
          <w:rtl/>
        </w:rPr>
        <w:t>ר"ח</w:t>
      </w:r>
      <w:r w:rsidRPr="00F1458B">
        <w:rPr>
          <w:rStyle w:val="aff4"/>
          <w:rFonts w:hint="cs"/>
          <w:vanish/>
          <w:rtl/>
        </w:rPr>
        <w:t>-</w:t>
      </w:r>
      <w:r>
        <w:rPr>
          <w:rFonts w:hint="cs"/>
          <w:rtl/>
        </w:rPr>
        <w:t xml:space="preserve"> </w:t>
      </w:r>
      <w:bookmarkEnd w:id="2094"/>
      <w:r>
        <w:rPr>
          <w:rFonts w:hint="cs"/>
          <w:rtl/>
        </w:rPr>
        <w:t xml:space="preserve">דאף הבורר קיטניות דהפסולת נופלת מהכברה למטה, היא בכלל מרקד, ולא </w:t>
      </w:r>
      <w:r w:rsidRPr="00F1458B">
        <w:rPr>
          <w:rStyle w:val="aff4"/>
          <w:rFonts w:hint="cs"/>
          <w:vanish/>
          <w:rtl/>
        </w:rPr>
        <w:t>-</w:t>
      </w:r>
      <w:r w:rsidRPr="00C86935">
        <w:rPr>
          <w:rStyle w:val="aff4"/>
          <w:rFonts w:hint="cs"/>
          <w:rtl/>
        </w:rPr>
        <w:t>כרש"י לקמן</w:t>
      </w:r>
      <w:r w:rsidRPr="00F1458B">
        <w:rPr>
          <w:rStyle w:val="aff4"/>
          <w:rFonts w:hint="cs"/>
          <w:vanish/>
          <w:rtl/>
        </w:rPr>
        <w:t>-</w:t>
      </w:r>
      <w:r>
        <w:rPr>
          <w:rFonts w:hint="cs"/>
          <w:rtl/>
        </w:rPr>
        <w:t xml:space="preserve"> </w:t>
      </w:r>
      <w:r w:rsidRPr="00D4778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Ref135731059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לז)</w:t>
      </w:r>
      <w:r>
        <w:rPr>
          <w:rStyle w:val="af2"/>
          <w:rFonts w:eastAsia="Guttman Hodes"/>
          <w:rtl/>
        </w:rPr>
        <w:fldChar w:fldCharType="end"/>
      </w:r>
      <w:r>
        <w:rPr>
          <w:rFonts w:hint="cs"/>
          <w:rtl/>
        </w:rPr>
        <w:t xml:space="preserve"> דבדברי רבי זירא בגמ' לקמן </w:t>
      </w:r>
      <w:r w:rsidRPr="00D4778B">
        <w:rPr>
          <w:rStyle w:val="af2"/>
          <w:rFonts w:eastAsia="Guttman Hodes" w:hint="cs"/>
          <w:rtl/>
        </w:rPr>
        <w:t>(קלח.)</w:t>
      </w:r>
      <w:r>
        <w:rPr>
          <w:rFonts w:hint="cs"/>
          <w:rtl/>
        </w:rPr>
        <w:t xml:space="preserve"> דההתראה במשמר היא משום מרקד ולא משום בורר, ביאר </w:t>
      </w:r>
      <w:r w:rsidRPr="00F1458B">
        <w:rPr>
          <w:rStyle w:val="aff4"/>
          <w:rFonts w:hint="cs"/>
          <w:vanish/>
          <w:rtl/>
        </w:rPr>
        <w:t>-</w:t>
      </w:r>
      <w:r w:rsidRPr="00C86935">
        <w:rPr>
          <w:rStyle w:val="aff4"/>
          <w:rFonts w:hint="cs"/>
          <w:rtl/>
        </w:rPr>
        <w:t>רש"י</w:t>
      </w:r>
      <w:r w:rsidRPr="00F1458B">
        <w:rPr>
          <w:rStyle w:val="aff4"/>
          <w:rFonts w:hint="cs"/>
          <w:vanish/>
          <w:rtl/>
        </w:rPr>
        <w:t>-</w:t>
      </w:r>
      <w:r>
        <w:rPr>
          <w:rFonts w:hint="cs"/>
          <w:rtl/>
        </w:rPr>
        <w:t xml:space="preserve"> דאם התרו בו משום בורר אינה התראה, כיון דבמשמר האוכל למטה והפסולת למעלה, ואילו בבורר קיטניות האוכל למעלה והפסולת למטה, ועיי"ש במ"ש </w:t>
      </w:r>
      <w:r w:rsidRPr="00F1458B">
        <w:rPr>
          <w:rStyle w:val="aff4"/>
          <w:rFonts w:hint="cs"/>
          <w:vanish/>
          <w:rtl/>
        </w:rPr>
        <w:t>-</w:t>
      </w:r>
      <w:r w:rsidRPr="00C86935">
        <w:rPr>
          <w:rStyle w:val="aff4"/>
          <w:rFonts w:hint="cs"/>
          <w:rtl/>
        </w:rPr>
        <w:t>האגלי טל</w:t>
      </w:r>
      <w:r w:rsidRPr="00F1458B">
        <w:rPr>
          <w:rStyle w:val="aff4"/>
          <w:rFonts w:hint="cs"/>
          <w:vanish/>
          <w:rtl/>
        </w:rPr>
        <w:t>-</w:t>
      </w:r>
      <w:r>
        <w:rPr>
          <w:rFonts w:hint="cs"/>
          <w:rtl/>
        </w:rPr>
        <w:t xml:space="preserve"> דכדברי </w:t>
      </w:r>
      <w:r w:rsidRPr="00F1458B">
        <w:rPr>
          <w:rStyle w:val="aff4"/>
          <w:rFonts w:hint="cs"/>
          <w:vanish/>
          <w:rtl/>
        </w:rPr>
        <w:t>-</w:t>
      </w:r>
      <w:r w:rsidRPr="00C86935">
        <w:rPr>
          <w:rStyle w:val="aff4"/>
          <w:rFonts w:hint="cs"/>
          <w:rtl/>
        </w:rPr>
        <w:t>ר"ח</w:t>
      </w:r>
      <w:r w:rsidRPr="00F1458B">
        <w:rPr>
          <w:rStyle w:val="aff4"/>
          <w:rFonts w:hint="cs"/>
          <w:vanish/>
          <w:rtl/>
        </w:rPr>
        <w:t>-</w:t>
      </w:r>
      <w:r>
        <w:rPr>
          <w:rFonts w:hint="cs"/>
          <w:rtl/>
        </w:rPr>
        <w:t xml:space="preserve"> כן מצינו בירושלמי </w:t>
      </w:r>
      <w:r w:rsidRPr="00D4778B">
        <w:rPr>
          <w:rStyle w:val="af2"/>
          <w:rFonts w:eastAsia="Guttman Hodes" w:hint="cs"/>
          <w:rtl/>
        </w:rPr>
        <w:t>(פ"ז ה"ב, נ:)</w:t>
      </w:r>
      <w:r>
        <w:rPr>
          <w:rFonts w:hint="cs"/>
          <w:rtl/>
        </w:rPr>
        <w:t>.</w:t>
      </w:r>
    </w:p>
    <w:p w14:paraId="0B2601D8" w14:textId="77777777" w:rsidR="00316453" w:rsidRPr="00747170" w:rsidRDefault="00316453" w:rsidP="00747170">
      <w:pPr>
        <w:pStyle w:val="a2"/>
        <w:rPr>
          <w:rtl/>
        </w:rPr>
      </w:pPr>
      <w:r w:rsidRPr="00747170">
        <w:rPr>
          <w:rtl/>
        </w:rPr>
        <w:t>[ג] (א) שלשה מלאכות האלו ההבדל שביניהם וכו'. זה לשון ר"ח ז"ל בסוגיא אם נטל אדם תבואה בתיבנא ופסולת שיש בה וניפח בה ברוח פיו ובירר חשוב הוא כזורה. פי' בורר נוטל פסולת מבין האוכל ומשליכה או נוטל האוכל ומניח הפסולת. ומרקד שמטיל את האוכל והפסולת בכברה ונשארת האוכל ואם האוכל דק והפסולת עבה כמין תבן יוצא האוכל ונשארת הפסולת בכברה עכ"ל ר"ח ז"ל. מבואר מדבריו דהחילוק ביניהם באיכות הפועל. זורה ברוח. בורר ביד. מרקד בנפה וכברה. ולכאורה קשה לשיטתו הא דר"פ תולין [קלח א] משמר משום מה חייב רבה אמר משום בורר ר"ז אמר משום מרקד. אמר רבה כוותי' דידי מסתברא מה דרכו של בורר נוטל האוכל ומניח הפסולת ה"נ נוטל אוכל ומניח הפסולת. אמר ר"ז כוותי' דידי מסתברא מה דרכו של מרקד אוכל למטן ופסולת מלמעלן ה"נ אוכל למטן ופסולת למעלן. ולשיטת ר"ח דכל בנפה וכברה דהיינו בכלי הוה מרקד א"כ התם שבמשמרת ה"ל מרקד ובמה פליגי:</w:t>
      </w:r>
    </w:p>
    <w:p w14:paraId="4C217ED4" w14:textId="77777777" w:rsidR="00316453" w:rsidRPr="0030138D" w:rsidRDefault="00316453" w:rsidP="00747170">
      <w:pPr>
        <w:pStyle w:val="afffff5"/>
        <w:rPr>
          <w:rtl/>
        </w:rPr>
      </w:pPr>
      <w:r w:rsidRPr="0030138D">
        <w:rPr>
          <w:rtl/>
        </w:rPr>
        <w:t xml:space="preserve">(ב) ונראה דרבה הכי קאמר כיון דמרקד הוא פסולת מתוך אוכל שהסובין נשארין בידו אין ללמוד משמר ממרקד וע"כ תולדת בורר הוא. ואף דבורר הוא ביד. הלא כל שדרכו ביד ועשהו בכלי חייב והוא אב מלאכה כאלו עשהו ביד. כמו שביארנו במלאכת קוצר ס"ק ג' בס"ד. ור"ז אמר דאין ללמדו מבורר ביד שאין הבורר ביד כמו המשמר בכלי שהמשמר בכלי אוכל למטה ופסולת למעלה ולא כן הבורר ביד. וע"כ מרקד הוא ולמידין אוכל מתוך פסולת מפסולת מתוך אוכל: </w:t>
      </w:r>
    </w:p>
    <w:p w14:paraId="3C0B702B" w14:textId="77777777" w:rsidR="00316453" w:rsidRPr="0030138D" w:rsidRDefault="00316453" w:rsidP="00747170">
      <w:pPr>
        <w:pStyle w:val="afffff5"/>
        <w:rPr>
          <w:rtl/>
        </w:rPr>
      </w:pPr>
      <w:r w:rsidRPr="0030138D">
        <w:rPr>
          <w:rtl/>
        </w:rPr>
        <w:t>(ג) ודע דלדעת ר"ח אין פירוש דברי ר' זירא כמו שפירש"י לאפוקי בורר קטניות בכלי שהפסולת למטה. דבורר קטניות בכלי לדעת ר"ח נמי מרקד הוא. רק הפירוש לאפוקי בורר ביד. ור"ז הכי קאמר משום מרקד שיש בו למטה ולמעלה כמו מרקד. וסעד מצאתי לפירוש זה בירושלמי בפירקין [נ ב] ובפ' תולין [צ ב] רחב"א בשם שמואל המשמר חייב משום בורר [והוא כרבה בגמ' דידן] א"ר זעירא [הוא ר' זירא כנודע] לא מסתברא אלא משום מרקד כו' יאות אמר ר"ז מה דרכו של מרקד קמח למטן וסולת למעלן אף המשמר יין למטן ושמרים למעלן. והא קמח למטן וסולת למעלן הו"ל פסולת למטן ואוכל למעלן ומה זה ענין למשמר שיין אוכל למטן כו'. אלא ודאי שאין הדמיון משום אוכל למטן. אלא משום דבמרקד יש בו למטן ולמעלן וכן במשמר. ואף שבגמ' דידן משנה ענין ריקוד מירושלמי יתבאר היטב במלאכת מרקד סק"ב בס"ד עי"ש ותמצא נחת. וכל זה לפירוש ר"ח דחילק בין מלאכות אלו באיכות הפועל. ועיין בביאורנו למלאכת בורר סק"ה אות י' שהוכחנו שגם דעת התוס' הוא כר"ח. ובפתיחה [אות י"ז] ביארנו שגם דעת רב האי גאון כר"ח:</w:t>
      </w:r>
    </w:p>
    <w:p w14:paraId="1DDB03B4" w14:textId="77777777" w:rsidR="00316453" w:rsidRPr="0030138D" w:rsidRDefault="00316453" w:rsidP="00747170">
      <w:pPr>
        <w:pStyle w:val="afffff5"/>
        <w:rPr>
          <w:rtl/>
        </w:rPr>
      </w:pPr>
      <w:r w:rsidRPr="0030138D">
        <w:rPr>
          <w:rtl/>
        </w:rPr>
        <w:t>דנוטל אוכל ומניח פסולת - ולרבא הוא הדין נמי דאי אתרו ביה משום מרקד הויא התראה, אבל לר' זירא אי אתרו ביה משום בורר - לאו התראה היא דלא דמי לבורר, שהאוכל למטה ופסולת למעלה, מה שאין כן בבורר קטנית, שהפסולת למטה.</w:t>
      </w:r>
    </w:p>
    <w:p w14:paraId="7629E14F" w14:textId="6AE31A2F" w:rsidR="00316453" w:rsidRDefault="00316453" w:rsidP="00316453">
      <w:pPr>
        <w:pStyle w:val="afffff7"/>
        <w:rPr>
          <w:rtl/>
        </w:rPr>
      </w:pPr>
      <w:bookmarkStart w:id="2095" w:name="_Toc136620477"/>
      <w:bookmarkStart w:id="2096" w:name="_Toc163505756"/>
      <w:r w:rsidRPr="005D0910">
        <w:rPr>
          <w:rtl/>
        </w:rPr>
        <w:t xml:space="preserve">אגלי טל זורה </w:t>
      </w:r>
      <w:r>
        <w:rPr>
          <w:rFonts w:hint="cs"/>
          <w:rtl/>
        </w:rPr>
        <w:t>סק</w:t>
      </w:r>
      <w:r>
        <w:rPr>
          <w:rFonts w:cs="Guttman Hodes" w:hint="cs"/>
          <w:rtl/>
        </w:rPr>
        <w:t>"</w:t>
      </w:r>
      <w:r w:rsidRPr="005D0910">
        <w:rPr>
          <w:rtl/>
        </w:rPr>
        <w:t>ג</w:t>
      </w:r>
      <w:r>
        <w:rPr>
          <w:rFonts w:hint="cs"/>
          <w:rtl/>
        </w:rPr>
        <w:t xml:space="preserve"> אות ד'</w:t>
      </w:r>
      <w:bookmarkEnd w:id="2095"/>
      <w:bookmarkEnd w:id="2096"/>
    </w:p>
    <w:p w14:paraId="3FB59A7F" w14:textId="77777777" w:rsidR="00316453" w:rsidRDefault="00316453" w:rsidP="00316453">
      <w:pPr>
        <w:pStyle w:val="a7"/>
        <w:rPr>
          <w:rtl/>
        </w:rPr>
      </w:pPr>
      <w:bookmarkStart w:id="2097" w:name="_Toc136618710"/>
      <w:r>
        <w:rPr>
          <w:rFonts w:hint="cs"/>
          <w:rtl/>
        </w:rPr>
        <w:t>בי' האגל"ט ברש"י דהחילוק במלאכות בדברים שפועל בהם וזורה בין ביד ובין בכלי הוי זורה</w:t>
      </w:r>
      <w:bookmarkEnd w:id="2097"/>
    </w:p>
    <w:p w14:paraId="34F4CB49" w14:textId="466B1A50" w:rsidR="00316453" w:rsidRPr="0077137C" w:rsidRDefault="00316453" w:rsidP="00BC7DC8">
      <w:pPr>
        <w:pStyle w:val="a3"/>
        <w:rPr>
          <w:rtl/>
        </w:rPr>
      </w:pPr>
      <w:bookmarkStart w:id="2098" w:name="_Ref135757486"/>
      <w:r>
        <w:rPr>
          <w:rFonts w:hint="cs"/>
          <w:rtl/>
        </w:rPr>
        <w:t xml:space="preserve">אך כתב </w:t>
      </w:r>
      <w:r w:rsidRPr="00F1458B">
        <w:rPr>
          <w:rStyle w:val="aff4"/>
          <w:rFonts w:hint="cs"/>
          <w:vanish/>
          <w:rtl/>
        </w:rPr>
        <w:t>-</w:t>
      </w:r>
      <w:r w:rsidRPr="00C86935">
        <w:rPr>
          <w:rStyle w:val="aff4"/>
          <w:rFonts w:hint="cs"/>
          <w:rtl/>
        </w:rPr>
        <w:t>ה</w:t>
      </w:r>
      <w:r w:rsidRPr="00F1458B">
        <w:rPr>
          <w:rStyle w:val="aff4"/>
          <w:rFonts w:hint="cs"/>
          <w:vanish/>
          <w:rtl/>
        </w:rPr>
        <w:t xml:space="preserve">&lt;. </w:t>
      </w:r>
      <w:r w:rsidRPr="00F1458B">
        <w:rPr>
          <w:rStyle w:val="aff4"/>
          <w:vanish/>
          <w:rtl/>
        </w:rPr>
        <w:fldChar w:fldCharType="begin"/>
      </w:r>
      <w:r w:rsidRPr="00F1458B">
        <w:rPr>
          <w:rStyle w:val="aff4"/>
          <w:vanish/>
          <w:rtl/>
        </w:rPr>
        <w:instrText xml:space="preserve"> </w:instrText>
      </w:r>
      <w:r w:rsidRPr="00F1458B">
        <w:rPr>
          <w:rStyle w:val="aff4"/>
          <w:rFonts w:hint="cs"/>
          <w:vanish/>
        </w:rPr>
        <w:instrText>REF</w:instrText>
      </w:r>
      <w:r w:rsidRPr="00F1458B">
        <w:rPr>
          <w:rStyle w:val="aff4"/>
          <w:rFonts w:hint="cs"/>
          <w:vanish/>
          <w:rtl/>
        </w:rPr>
        <w:instrText xml:space="preserve"> _</w:instrText>
      </w:r>
      <w:r w:rsidRPr="00F1458B">
        <w:rPr>
          <w:rStyle w:val="aff4"/>
          <w:rFonts w:hint="cs"/>
          <w:vanish/>
        </w:rPr>
        <w:instrText>Ref135757486 \r \h</w:instrText>
      </w:r>
      <w:r w:rsidRPr="00F1458B">
        <w:rPr>
          <w:rStyle w:val="aff4"/>
          <w:vanish/>
          <w:rtl/>
        </w:rPr>
        <w:instrText xml:space="preserve"> </w:instrText>
      </w:r>
      <w:r w:rsidRPr="00F1458B">
        <w:rPr>
          <w:rStyle w:val="aff4"/>
          <w:vanish/>
          <w:rtl/>
        </w:rPr>
      </w:r>
      <w:r w:rsidRPr="00F1458B">
        <w:rPr>
          <w:rStyle w:val="aff4"/>
          <w:vanish/>
          <w:rtl/>
        </w:rPr>
        <w:fldChar w:fldCharType="separate"/>
      </w:r>
      <w:r w:rsidR="00D82181">
        <w:rPr>
          <w:rStyle w:val="aff4"/>
          <w:vanish/>
          <w:cs/>
        </w:rPr>
        <w:t>‎</w:t>
      </w:r>
      <w:r w:rsidR="00D82181">
        <w:rPr>
          <w:rStyle w:val="aff4"/>
          <w:vanish/>
          <w:rtl/>
        </w:rPr>
        <w:t>מט)</w:t>
      </w:r>
      <w:r w:rsidRPr="00F1458B">
        <w:rPr>
          <w:rStyle w:val="aff4"/>
          <w:vanish/>
          <w:rtl/>
        </w:rPr>
        <w:fldChar w:fldCharType="end"/>
      </w:r>
      <w:r w:rsidRPr="00F1458B">
        <w:rPr>
          <w:rStyle w:val="aff4"/>
          <w:rFonts w:hint="cs"/>
          <w:vanish/>
          <w:rtl/>
        </w:rPr>
        <w:t xml:space="preserve"> &gt;</w:t>
      </w:r>
      <w:r w:rsidRPr="00C86935">
        <w:rPr>
          <w:rStyle w:val="aff4"/>
          <w:rFonts w:hint="cs"/>
          <w:rtl/>
        </w:rPr>
        <w:t>אגלי טל</w:t>
      </w:r>
      <w:r w:rsidRPr="00F1458B">
        <w:rPr>
          <w:rStyle w:val="aff4"/>
          <w:rFonts w:hint="cs"/>
          <w:vanish/>
          <w:rtl/>
        </w:rPr>
        <w:t>-</w:t>
      </w:r>
      <w:r>
        <w:rPr>
          <w:rFonts w:hint="cs"/>
          <w:rtl/>
        </w:rPr>
        <w:t xml:space="preserve"> </w:t>
      </w:r>
      <w:r w:rsidRPr="00D4778B">
        <w:rPr>
          <w:rStyle w:val="af2"/>
          <w:rFonts w:eastAsia="Guttman Hodes" w:hint="cs"/>
          <w:rtl/>
        </w:rPr>
        <w:t>(זורה סק"ג אות ד')</w:t>
      </w:r>
      <w:r w:rsidRPr="00F1458B">
        <w:rPr>
          <w:rFonts w:hint="cs"/>
          <w:vanish/>
          <w:rtl/>
        </w:rPr>
        <w:t>=</w:t>
      </w:r>
      <w:r>
        <w:rPr>
          <w:rFonts w:hint="cs"/>
          <w:rtl/>
        </w:rPr>
        <w:t xml:space="preserve"> דמדברי </w:t>
      </w:r>
      <w:bookmarkStart w:id="2099" w:name="_Hlk136471007"/>
      <w:r w:rsidRPr="00D20CCA">
        <w:rPr>
          <w:rStyle w:val="aff4"/>
          <w:rFonts w:hint="cs"/>
          <w:vanish/>
          <w:rtl/>
        </w:rPr>
        <w:t>-</w:t>
      </w:r>
      <w:r w:rsidRPr="00551455">
        <w:rPr>
          <w:rStyle w:val="aff4"/>
          <w:rFonts w:hint="cs"/>
          <w:rtl/>
        </w:rPr>
        <w:t>רש"י לקמן</w:t>
      </w:r>
      <w:r w:rsidRPr="00D20CCA">
        <w:rPr>
          <w:rStyle w:val="aff4"/>
          <w:rFonts w:hint="cs"/>
          <w:vanish/>
          <w:rtl/>
        </w:rPr>
        <w:t>-</w:t>
      </w:r>
      <w:r>
        <w:rPr>
          <w:rFonts w:hint="cs"/>
          <w:rtl/>
        </w:rPr>
        <w:t xml:space="preserve"> </w:t>
      </w:r>
      <w:r w:rsidRPr="00D4778B">
        <w:rPr>
          <w:rStyle w:val="af2"/>
          <w:rFonts w:eastAsia="Guttman Hodes" w:hint="cs"/>
          <w:rtl/>
        </w:rPr>
        <w:t xml:space="preserve">(עי' אות </w:t>
      </w:r>
      <w:r w:rsidRPr="00D4778B">
        <w:rPr>
          <w:rStyle w:val="af2"/>
          <w:rFonts w:eastAsia="Guttman Hodes"/>
          <w:rtl/>
        </w:rPr>
        <w:fldChar w:fldCharType="begin"/>
      </w:r>
      <w:r w:rsidRPr="00D4778B">
        <w:rPr>
          <w:rStyle w:val="af2"/>
          <w:rFonts w:eastAsia="Guttman Hodes"/>
          <w:rtl/>
        </w:rPr>
        <w:instrText xml:space="preserve"> </w:instrText>
      </w:r>
      <w:r w:rsidRPr="00D4778B">
        <w:rPr>
          <w:rStyle w:val="af2"/>
          <w:rFonts w:eastAsia="Guttman Hodes" w:hint="cs"/>
        </w:rPr>
        <w:instrText>REF</w:instrText>
      </w:r>
      <w:r w:rsidRPr="00D4778B">
        <w:rPr>
          <w:rStyle w:val="af2"/>
          <w:rFonts w:eastAsia="Guttman Hodes" w:hint="cs"/>
          <w:rtl/>
        </w:rPr>
        <w:instrText xml:space="preserve"> _</w:instrText>
      </w:r>
      <w:r w:rsidRPr="00D4778B">
        <w:rPr>
          <w:rStyle w:val="af2"/>
          <w:rFonts w:eastAsia="Guttman Hodes" w:hint="cs"/>
        </w:rPr>
        <w:instrText>Ref135731059 \r \h</w:instrText>
      </w:r>
      <w:r w:rsidRPr="00D4778B">
        <w:rPr>
          <w:rStyle w:val="af2"/>
          <w:rFonts w:eastAsia="Guttman Hodes"/>
          <w:rtl/>
        </w:rPr>
        <w:instrText xml:space="preserve"> </w:instrText>
      </w:r>
      <w:r w:rsidRPr="00D4778B">
        <w:rPr>
          <w:rStyle w:val="af2"/>
          <w:rFonts w:eastAsia="Guttman Hodes"/>
          <w:rtl/>
        </w:rPr>
      </w:r>
      <w:r w:rsidRPr="00D4778B">
        <w:rPr>
          <w:rStyle w:val="af2"/>
          <w:rFonts w:eastAsia="Guttman Hodes"/>
          <w:rtl/>
        </w:rPr>
        <w:fldChar w:fldCharType="separate"/>
      </w:r>
      <w:r w:rsidR="00D82181">
        <w:rPr>
          <w:rStyle w:val="af2"/>
          <w:rFonts w:eastAsia="Guttman Hodes"/>
          <w:cs/>
        </w:rPr>
        <w:t>‎</w:t>
      </w:r>
      <w:r w:rsidR="00D82181">
        <w:rPr>
          <w:rStyle w:val="af2"/>
          <w:rFonts w:eastAsia="Guttman Hodes"/>
          <w:rtl/>
        </w:rPr>
        <w:t>לז)</w:t>
      </w:r>
      <w:r w:rsidRPr="00D4778B">
        <w:rPr>
          <w:rStyle w:val="af2"/>
          <w:rFonts w:eastAsia="Guttman Hodes"/>
          <w:rtl/>
        </w:rPr>
        <w:fldChar w:fldCharType="end"/>
      </w:r>
      <w:r>
        <w:rPr>
          <w:rFonts w:hint="cs"/>
          <w:rtl/>
        </w:rPr>
        <w:t xml:space="preserve"> </w:t>
      </w:r>
      <w:bookmarkEnd w:id="2099"/>
      <w:r>
        <w:rPr>
          <w:rFonts w:hint="cs"/>
          <w:rtl/>
        </w:rPr>
        <w:t xml:space="preserve">דכתב דזורה הוא בקשין ובורר בצרורות ומרקד בקמח, מבואר דהחילוק בין המלאכות אינו בצורת הפעולה, אלא בדברים שפועל </w:t>
      </w:r>
      <w:r>
        <w:rPr>
          <w:rFonts w:hint="cs"/>
          <w:rtl/>
        </w:rPr>
        <w:t xml:space="preserve">בהם, ואעפ"י </w:t>
      </w:r>
      <w:r w:rsidRPr="00D20CCA">
        <w:rPr>
          <w:rStyle w:val="aff4"/>
          <w:rFonts w:hint="cs"/>
          <w:vanish/>
          <w:rtl/>
        </w:rPr>
        <w:t>-</w:t>
      </w:r>
      <w:r>
        <w:rPr>
          <w:rStyle w:val="aff4"/>
          <w:rFonts w:hint="cs"/>
          <w:rtl/>
        </w:rPr>
        <w:t>ד</w:t>
      </w:r>
      <w:r w:rsidRPr="00551455">
        <w:rPr>
          <w:rStyle w:val="aff4"/>
          <w:rFonts w:hint="cs"/>
          <w:rtl/>
        </w:rPr>
        <w:t>רש"י במתני'</w:t>
      </w:r>
      <w:r w:rsidRPr="00D20CCA">
        <w:rPr>
          <w:rStyle w:val="aff4"/>
          <w:rFonts w:hint="cs"/>
          <w:vanish/>
          <w:rtl/>
        </w:rPr>
        <w:t>-</w:t>
      </w:r>
      <w:r>
        <w:rPr>
          <w:rFonts w:hint="cs"/>
          <w:rtl/>
        </w:rPr>
        <w:t xml:space="preserve"> </w:t>
      </w:r>
      <w:r w:rsidRPr="00D4778B">
        <w:rPr>
          <w:rStyle w:val="af2"/>
          <w:rFonts w:eastAsia="Guttman Hodes" w:hint="cs"/>
          <w:rtl/>
        </w:rPr>
        <w:t xml:space="preserve">(עי' אות </w:t>
      </w:r>
      <w:r w:rsidRPr="00D4778B">
        <w:rPr>
          <w:rStyle w:val="af2"/>
          <w:rFonts w:eastAsia="Guttman Hodes"/>
          <w:rtl/>
        </w:rPr>
        <w:fldChar w:fldCharType="begin"/>
      </w:r>
      <w:r w:rsidRPr="00D4778B">
        <w:rPr>
          <w:rStyle w:val="af2"/>
          <w:rFonts w:eastAsia="Guttman Hodes"/>
          <w:rtl/>
        </w:rPr>
        <w:instrText xml:space="preserve"> </w:instrText>
      </w:r>
      <w:r w:rsidRPr="00D4778B">
        <w:rPr>
          <w:rStyle w:val="af2"/>
          <w:rFonts w:eastAsia="Guttman Hodes" w:hint="cs"/>
        </w:rPr>
        <w:instrText>REF</w:instrText>
      </w:r>
      <w:r w:rsidRPr="00D4778B">
        <w:rPr>
          <w:rStyle w:val="af2"/>
          <w:rFonts w:eastAsia="Guttman Hodes" w:hint="cs"/>
          <w:rtl/>
        </w:rPr>
        <w:instrText xml:space="preserve"> _</w:instrText>
      </w:r>
      <w:r w:rsidRPr="00D4778B">
        <w:rPr>
          <w:rStyle w:val="af2"/>
          <w:rFonts w:eastAsia="Guttman Hodes" w:hint="cs"/>
        </w:rPr>
        <w:instrText>Ref135730592 \r \h</w:instrText>
      </w:r>
      <w:r w:rsidRPr="00D4778B">
        <w:rPr>
          <w:rStyle w:val="af2"/>
          <w:rFonts w:eastAsia="Guttman Hodes"/>
          <w:rtl/>
        </w:rPr>
        <w:instrText xml:space="preserve"> </w:instrText>
      </w:r>
      <w:r w:rsidRPr="00D4778B">
        <w:rPr>
          <w:rStyle w:val="af2"/>
          <w:rFonts w:eastAsia="Guttman Hodes"/>
          <w:rtl/>
        </w:rPr>
      </w:r>
      <w:r w:rsidRPr="00D4778B">
        <w:rPr>
          <w:rStyle w:val="af2"/>
          <w:rFonts w:eastAsia="Guttman Hodes"/>
          <w:rtl/>
        </w:rPr>
        <w:fldChar w:fldCharType="separate"/>
      </w:r>
      <w:r w:rsidR="00D82181">
        <w:rPr>
          <w:rStyle w:val="af2"/>
          <w:rFonts w:eastAsia="Guttman Hodes"/>
          <w:cs/>
        </w:rPr>
        <w:t>‎</w:t>
      </w:r>
      <w:r w:rsidR="00D82181">
        <w:rPr>
          <w:rStyle w:val="af2"/>
          <w:rFonts w:eastAsia="Guttman Hodes"/>
          <w:rtl/>
        </w:rPr>
        <w:t>לו)</w:t>
      </w:r>
      <w:r w:rsidRPr="00D4778B">
        <w:rPr>
          <w:rStyle w:val="af2"/>
          <w:rFonts w:eastAsia="Guttman Hodes"/>
          <w:rtl/>
        </w:rPr>
        <w:fldChar w:fldCharType="end"/>
      </w:r>
      <w:r>
        <w:rPr>
          <w:rFonts w:hint="cs"/>
          <w:rtl/>
        </w:rPr>
        <w:t xml:space="preserve"> ביאר דזורה הוא ברוח ובורר ביד ומרקד בכלי, כתב </w:t>
      </w:r>
      <w:r w:rsidRPr="00F1458B">
        <w:rPr>
          <w:rStyle w:val="aff4"/>
          <w:rFonts w:hint="cs"/>
          <w:vanish/>
          <w:rtl/>
        </w:rPr>
        <w:t>-</w:t>
      </w:r>
      <w:r w:rsidRPr="00C86935">
        <w:rPr>
          <w:rStyle w:val="aff4"/>
          <w:rFonts w:hint="cs"/>
          <w:rtl/>
        </w:rPr>
        <w:t>האגלי טל</w:t>
      </w:r>
      <w:r w:rsidRPr="00F1458B">
        <w:rPr>
          <w:rStyle w:val="aff4"/>
          <w:rFonts w:hint="cs"/>
          <w:vanish/>
          <w:rtl/>
        </w:rPr>
        <w:t>-</w:t>
      </w:r>
      <w:r>
        <w:rPr>
          <w:rFonts w:hint="cs"/>
          <w:rtl/>
        </w:rPr>
        <w:t xml:space="preserve"> דכוונתו </w:t>
      </w:r>
      <w:r w:rsidRPr="00F1458B">
        <w:rPr>
          <w:rStyle w:val="aff4"/>
          <w:rFonts w:hint="cs"/>
          <w:vanish/>
          <w:rtl/>
        </w:rPr>
        <w:t>-</w:t>
      </w:r>
      <w:r w:rsidRPr="00C86935">
        <w:rPr>
          <w:rStyle w:val="aff4"/>
          <w:rFonts w:hint="cs"/>
          <w:rtl/>
        </w:rPr>
        <w:t>רש"י</w:t>
      </w:r>
      <w:r w:rsidRPr="00F1458B">
        <w:rPr>
          <w:rStyle w:val="aff4"/>
          <w:rFonts w:hint="cs"/>
          <w:vanish/>
          <w:rtl/>
        </w:rPr>
        <w:t>-</w:t>
      </w:r>
      <w:r>
        <w:rPr>
          <w:rFonts w:hint="cs"/>
          <w:rtl/>
        </w:rPr>
        <w:t xml:space="preserve"> לומר דזהו דרך המאלכה לזרות ברוח, אבל לדינא אם יבדיל את המוץ מהתבואה ע"י כלי ולא ע"י רוח, ג"כ חייב משום זורה, והביא </w:t>
      </w:r>
      <w:r w:rsidRPr="00F1458B">
        <w:rPr>
          <w:rStyle w:val="aff4"/>
          <w:rFonts w:hint="cs"/>
          <w:vanish/>
          <w:rtl/>
        </w:rPr>
        <w:t>-</w:t>
      </w:r>
      <w:r w:rsidRPr="00C86935">
        <w:rPr>
          <w:rStyle w:val="aff4"/>
          <w:rFonts w:hint="cs"/>
          <w:rtl/>
        </w:rPr>
        <w:t>האגלי טל</w:t>
      </w:r>
      <w:r w:rsidRPr="00F1458B">
        <w:rPr>
          <w:rStyle w:val="aff4"/>
          <w:rFonts w:hint="cs"/>
          <w:vanish/>
          <w:rtl/>
        </w:rPr>
        <w:t>-</w:t>
      </w:r>
      <w:r>
        <w:rPr>
          <w:rFonts w:hint="cs"/>
          <w:rtl/>
        </w:rPr>
        <w:t xml:space="preserve"> דכן מפורש </w:t>
      </w:r>
      <w:r w:rsidRPr="00F1458B">
        <w:rPr>
          <w:rStyle w:val="aff4"/>
          <w:rFonts w:hint="cs"/>
          <w:vanish/>
          <w:rtl/>
        </w:rPr>
        <w:t>-</w:t>
      </w:r>
      <w:r w:rsidRPr="00C86935">
        <w:rPr>
          <w:rStyle w:val="aff4"/>
          <w:rFonts w:hint="cs"/>
          <w:rtl/>
        </w:rPr>
        <w:t>במאירי</w:t>
      </w:r>
      <w:r w:rsidRPr="00F1458B">
        <w:rPr>
          <w:rStyle w:val="aff4"/>
          <w:rFonts w:hint="cs"/>
          <w:vanish/>
          <w:rtl/>
        </w:rPr>
        <w:t>-</w:t>
      </w:r>
      <w:r>
        <w:rPr>
          <w:rFonts w:hint="cs"/>
          <w:rtl/>
        </w:rPr>
        <w:t xml:space="preserve"> </w:t>
      </w:r>
      <w:r w:rsidRPr="00D4778B">
        <w:rPr>
          <w:rStyle w:val="af2"/>
          <w:rFonts w:eastAsia="Guttman Hodes" w:hint="cs"/>
          <w:rtl/>
        </w:rPr>
        <w:t xml:space="preserve">(עי' אות </w:t>
      </w:r>
      <w:r w:rsidRPr="00D4778B">
        <w:rPr>
          <w:rStyle w:val="af2"/>
          <w:rFonts w:eastAsia="Guttman Hodes"/>
          <w:rtl/>
        </w:rPr>
        <w:fldChar w:fldCharType="begin"/>
      </w:r>
      <w:r w:rsidRPr="00D4778B">
        <w:rPr>
          <w:rStyle w:val="af2"/>
          <w:rFonts w:eastAsia="Guttman Hodes"/>
          <w:rtl/>
        </w:rPr>
        <w:instrText xml:space="preserve"> </w:instrText>
      </w:r>
      <w:r w:rsidRPr="00D4778B">
        <w:rPr>
          <w:rStyle w:val="af2"/>
          <w:rFonts w:eastAsia="Guttman Hodes"/>
        </w:rPr>
        <w:instrText>REF</w:instrText>
      </w:r>
      <w:r w:rsidRPr="00D4778B">
        <w:rPr>
          <w:rStyle w:val="af2"/>
          <w:rFonts w:eastAsia="Guttman Hodes"/>
          <w:rtl/>
        </w:rPr>
        <w:instrText xml:space="preserve"> _</w:instrText>
      </w:r>
      <w:r w:rsidRPr="00D4778B">
        <w:rPr>
          <w:rStyle w:val="af2"/>
          <w:rFonts w:eastAsia="Guttman Hodes"/>
        </w:rPr>
        <w:instrText>Ref135756669 \r \h</w:instrText>
      </w:r>
      <w:r w:rsidRPr="00D4778B">
        <w:rPr>
          <w:rStyle w:val="af2"/>
          <w:rFonts w:eastAsia="Guttman Hodes"/>
          <w:rtl/>
        </w:rPr>
        <w:instrText xml:space="preserve"> </w:instrText>
      </w:r>
      <w:r w:rsidRPr="00D4778B">
        <w:rPr>
          <w:rStyle w:val="af2"/>
          <w:rFonts w:eastAsia="Guttman Hodes"/>
          <w:rtl/>
        </w:rPr>
      </w:r>
      <w:r w:rsidRPr="00D4778B">
        <w:rPr>
          <w:rStyle w:val="af2"/>
          <w:rFonts w:eastAsia="Guttman Hodes"/>
          <w:rtl/>
        </w:rPr>
        <w:fldChar w:fldCharType="separate"/>
      </w:r>
      <w:r w:rsidR="00D82181">
        <w:rPr>
          <w:rStyle w:val="af2"/>
          <w:rFonts w:eastAsia="Guttman Hodes"/>
          <w:cs/>
        </w:rPr>
        <w:t>‎</w:t>
      </w:r>
      <w:r w:rsidR="00D82181">
        <w:rPr>
          <w:rStyle w:val="af2"/>
          <w:rFonts w:eastAsia="Guttman Hodes"/>
          <w:rtl/>
        </w:rPr>
        <w:t>מא)</w:t>
      </w:r>
      <w:r w:rsidRPr="00D4778B">
        <w:rPr>
          <w:rStyle w:val="af2"/>
          <w:rFonts w:eastAsia="Guttman Hodes"/>
          <w:rtl/>
        </w:rPr>
        <w:fldChar w:fldCharType="end"/>
      </w:r>
      <w:r>
        <w:rPr>
          <w:rFonts w:hint="cs"/>
          <w:rtl/>
        </w:rPr>
        <w:t xml:space="preserve"> דהזורה לרוח בכברה חייב משום זורה. </w:t>
      </w:r>
      <w:r w:rsidRPr="00D4778B">
        <w:rPr>
          <w:rStyle w:val="af"/>
          <w:rFonts w:hint="cs"/>
          <w:rtl/>
        </w:rPr>
        <w:t xml:space="preserve">[ועיי"ש במה שביאר </w:t>
      </w:r>
      <w:r w:rsidRPr="00EB1A7E">
        <w:rPr>
          <w:rStyle w:val="aff9"/>
          <w:rFonts w:hint="cs"/>
          <w:vanish/>
          <w:rtl/>
        </w:rPr>
        <w:t>-</w:t>
      </w:r>
      <w:r w:rsidRPr="00D4778B">
        <w:rPr>
          <w:rStyle w:val="aff9"/>
          <w:rFonts w:hint="cs"/>
          <w:rtl/>
        </w:rPr>
        <w:t>האגלי טל</w:t>
      </w:r>
      <w:r w:rsidRPr="00EB1A7E">
        <w:rPr>
          <w:rStyle w:val="aff9"/>
          <w:rFonts w:hint="cs"/>
          <w:vanish/>
          <w:rtl/>
        </w:rPr>
        <w:t>-</w:t>
      </w:r>
      <w:r w:rsidRPr="00D4778B">
        <w:rPr>
          <w:rStyle w:val="af"/>
          <w:rFonts w:hint="cs"/>
          <w:rtl/>
        </w:rPr>
        <w:t xml:space="preserve"> אמאי נקט </w:t>
      </w:r>
      <w:r w:rsidRPr="00EB1A7E">
        <w:rPr>
          <w:rStyle w:val="aff9"/>
          <w:rFonts w:hint="cs"/>
          <w:vanish/>
          <w:rtl/>
        </w:rPr>
        <w:t>-</w:t>
      </w:r>
      <w:r w:rsidRPr="00D4778B">
        <w:rPr>
          <w:rStyle w:val="aff9"/>
          <w:rFonts w:hint="cs"/>
          <w:rtl/>
        </w:rPr>
        <w:t>רש"י</w:t>
      </w:r>
      <w:r w:rsidRPr="00EB1A7E">
        <w:rPr>
          <w:rStyle w:val="aff9"/>
          <w:rFonts w:hint="cs"/>
          <w:vanish/>
          <w:rtl/>
        </w:rPr>
        <w:t>-</w:t>
      </w:r>
      <w:r w:rsidRPr="00D4778B">
        <w:rPr>
          <w:rStyle w:val="af"/>
          <w:rFonts w:hint="cs"/>
          <w:rtl/>
        </w:rPr>
        <w:t xml:space="preserve"> דמרקד הוא בקמח, ולא כתב </w:t>
      </w:r>
      <w:r w:rsidRPr="00EB1A7E">
        <w:rPr>
          <w:rStyle w:val="aff9"/>
          <w:rFonts w:hint="cs"/>
          <w:vanish/>
          <w:rtl/>
        </w:rPr>
        <w:t>-</w:t>
      </w:r>
      <w:r w:rsidRPr="00D4778B">
        <w:rPr>
          <w:rStyle w:val="aff9"/>
          <w:rFonts w:hint="cs"/>
          <w:rtl/>
        </w:rPr>
        <w:t>כמאירי</w:t>
      </w:r>
      <w:r w:rsidRPr="00EB1A7E">
        <w:rPr>
          <w:rStyle w:val="aff9"/>
          <w:rFonts w:hint="cs"/>
          <w:vanish/>
          <w:rtl/>
        </w:rPr>
        <w:t>-</w:t>
      </w:r>
      <w:r w:rsidRPr="00D4778B">
        <w:rPr>
          <w:rStyle w:val="af"/>
          <w:rFonts w:hint="cs"/>
          <w:rtl/>
        </w:rPr>
        <w:t xml:space="preserve"> דהוא בסובין]</w:t>
      </w:r>
      <w:r>
        <w:rPr>
          <w:rFonts w:hint="cs"/>
          <w:rtl/>
        </w:rPr>
        <w:t>.</w:t>
      </w:r>
      <w:bookmarkEnd w:id="2098"/>
      <w:r>
        <w:rPr>
          <w:rFonts w:hint="cs"/>
          <w:rtl/>
        </w:rPr>
        <w:t xml:space="preserve"> </w:t>
      </w:r>
    </w:p>
    <w:p w14:paraId="2E277E7F" w14:textId="77777777" w:rsidR="00316453" w:rsidRPr="00747170" w:rsidRDefault="00316453" w:rsidP="00747170">
      <w:pPr>
        <w:pStyle w:val="a2"/>
        <w:rPr>
          <w:rtl/>
        </w:rPr>
      </w:pPr>
      <w:r w:rsidRPr="00747170">
        <w:rPr>
          <w:rtl/>
        </w:rPr>
        <w:t>(ד) אבל רש"י ז"ל בסוף סוגיא ע"ה: גבי מדקדק הרי הוא אורג ז"ל ולא דמי לזורה בורר ומרקד דזה בקשין וזה בצרורות וזה בקמח. הרי דהחילוק שביניהם באיכות הנפעלים. ומה שפי' במשנה הזורה לרוח היינו דמלאכת הבירור דזורה דרכו ע"י רוח ומ"מ אה"נ אם יבדיל המוץ מן הבר ע"י הכלי ג"כ יתחייב משום זורה. וכן כתב הרב המאירי להדיא [עג א] וז"ל הזורה ר"ל ברחת לרוח או בכברה שנקבי' גסים להפריש התבן וכן הבר [צ"ל מן הבר] וגבי מרקד כתב המרקד בנפה להסיר הסובין והמורסן מתוך הקמח וכו' עד אבל זה בתבן וזה בצרורות וזה בסובין. ומה שרש"י נקט מרקד בקמח ולא בסובין כזורה ובורר בקשין ובצרורות. היינו משום דזורה הרוח מפריח הקשין הרי מעשה המלאכה בקשין וכן הבורר דפי' במשנה פסולת בידיו. אבל מרקד שהקמח יורד למטה הרי מעשה המלאכה בקמח. והמאירי שכתב מרקד בסובין אפשר דס"ל מה שאוחז בידו הוא המתברר כמ"ש הרב מלאדי בסידור ומתבאר אצלינו בביאור מלאכת בורר סק"ה שזה דעת הרמב"ן והר"ן. או אפשר דמשום דנקט מלאכת זורה ובורר בפסולת נקט נמי מלאכת מרקד בפסולת:</w:t>
      </w:r>
    </w:p>
    <w:p w14:paraId="3C2C92D9" w14:textId="77777777" w:rsidR="00316453" w:rsidRPr="0030138D" w:rsidRDefault="00316453" w:rsidP="00747170">
      <w:pPr>
        <w:pStyle w:val="afffff5"/>
        <w:rPr>
          <w:rtl/>
        </w:rPr>
      </w:pPr>
      <w:r w:rsidRPr="0030138D">
        <w:rPr>
          <w:rtl/>
        </w:rPr>
        <w:t>(ה) אך העיקר מה שנ"ל בדעת רש"י דהכי קאמר זורה בקשין בורר בצרורות זה וזה בחיטין. מרקד בקמח. ומה שהכריחו לפרש כן שהוקשה לו אם יפרש מרקד בסובין הא דפ' תולין משמר משום מה חייב רבה אמר משום בורר ר' זירא אמר משום מרקד. והא שמרים ביין כסובין בקמח ואין דומות כלל לצרורות וא"כ פשיטא דהיינו מרקד ולא בורר. ע"כ פירש דהחילוק שבין בורר למרקד דבורר הוא בחיטין קודם טחינה ומרקד הוא בקמח לאחר טחינה. וזהו בחיטין שיש בהם טחינה הטחינה מחלקת הברורים. הבירור שקודם טחינה הוא בורר. ושלאחר טחינה הוא מרקד. אבל ביין שאחר דריכה דהיינו דישה אין בו עוד דבר שפיר יש לחייבו משום בורר כמו משום מרקד. וגם היין אינו דומה לא לחיטין ולא לקמח ע"כ יש לחייבו משום זה כמו משום זה. ועמ"ש בביאור מלאכת בורר סק"ו גבי אין שונין קמח ביום טוב:</w:t>
      </w:r>
    </w:p>
    <w:p w14:paraId="150A57F7" w14:textId="1071A25C" w:rsidR="00316453" w:rsidRDefault="00316453" w:rsidP="00316453">
      <w:pPr>
        <w:pStyle w:val="afffff7"/>
        <w:rPr>
          <w:rtl/>
        </w:rPr>
      </w:pPr>
      <w:bookmarkStart w:id="2100" w:name="_Toc136620478"/>
      <w:bookmarkStart w:id="2101" w:name="_Toc163505757"/>
      <w:r w:rsidRPr="005D0910">
        <w:rPr>
          <w:rtl/>
        </w:rPr>
        <w:t xml:space="preserve">אגלי טל זורה </w:t>
      </w:r>
      <w:r>
        <w:rPr>
          <w:rFonts w:hint="cs"/>
          <w:rtl/>
        </w:rPr>
        <w:t>סק</w:t>
      </w:r>
      <w:r>
        <w:rPr>
          <w:rFonts w:cs="Guttman Hodes" w:hint="cs"/>
          <w:rtl/>
        </w:rPr>
        <w:t>"</w:t>
      </w:r>
      <w:r w:rsidRPr="005D0910">
        <w:rPr>
          <w:rtl/>
        </w:rPr>
        <w:t>ג</w:t>
      </w:r>
      <w:r>
        <w:rPr>
          <w:rFonts w:hint="cs"/>
          <w:rtl/>
        </w:rPr>
        <w:t xml:space="preserve"> אות ו'</w:t>
      </w:r>
      <w:bookmarkEnd w:id="2100"/>
      <w:bookmarkEnd w:id="2101"/>
    </w:p>
    <w:p w14:paraId="48DD5CFF" w14:textId="77777777" w:rsidR="00316453" w:rsidRDefault="00316453" w:rsidP="00316453">
      <w:pPr>
        <w:pStyle w:val="afffff7"/>
        <w:rPr>
          <w:rtl/>
        </w:rPr>
      </w:pPr>
      <w:bookmarkStart w:id="2102" w:name="_Toc136620479"/>
      <w:bookmarkStart w:id="2103" w:name="_Toc136618711"/>
      <w:bookmarkStart w:id="2104" w:name="_Toc163505758"/>
      <w:r>
        <w:rPr>
          <w:rtl/>
        </w:rPr>
        <w:t>חדושי הרמב"ן שבת ע"ד ע"א</w:t>
      </w:r>
      <w:r>
        <w:rPr>
          <w:rFonts w:hint="cs"/>
          <w:rtl/>
        </w:rPr>
        <w:t xml:space="preserve"> ד"ה ואיכא</w:t>
      </w:r>
      <w:bookmarkEnd w:id="2102"/>
      <w:bookmarkEnd w:id="2104"/>
    </w:p>
    <w:p w14:paraId="6F457A4D" w14:textId="77777777" w:rsidR="00316453" w:rsidRDefault="00316453" w:rsidP="00316453">
      <w:pPr>
        <w:pStyle w:val="a7"/>
        <w:rPr>
          <w:rtl/>
        </w:rPr>
      </w:pPr>
      <w:r>
        <w:rPr>
          <w:rFonts w:hint="cs"/>
          <w:rtl/>
        </w:rPr>
        <w:t>בי' האגל"ט דלרש"י ולרמב"ן ולר"ן ברירה בנפה היא בורר ולא מרקד ודלא כר"ח</w:t>
      </w:r>
      <w:bookmarkEnd w:id="2103"/>
    </w:p>
    <w:p w14:paraId="5771C9BE" w14:textId="25F596B8" w:rsidR="00316453" w:rsidRPr="0059739B" w:rsidRDefault="00316453" w:rsidP="00BC7DC8">
      <w:pPr>
        <w:pStyle w:val="a3"/>
        <w:rPr>
          <w:rtl/>
        </w:rPr>
      </w:pPr>
      <w:bookmarkStart w:id="2105" w:name="_Ref135757494"/>
      <w:r>
        <w:rPr>
          <w:rFonts w:hint="cs"/>
          <w:rtl/>
        </w:rPr>
        <w:t xml:space="preserve">והוסיף </w:t>
      </w:r>
      <w:r w:rsidRPr="00F1458B">
        <w:rPr>
          <w:rStyle w:val="aff4"/>
          <w:rFonts w:hint="cs"/>
          <w:vanish/>
          <w:rtl/>
        </w:rPr>
        <w:t>-</w:t>
      </w:r>
      <w:r w:rsidRPr="00C86935">
        <w:rPr>
          <w:rStyle w:val="aff4"/>
          <w:rFonts w:hint="cs"/>
          <w:rtl/>
        </w:rPr>
        <w:t>ה</w:t>
      </w:r>
      <w:r w:rsidRPr="00F1458B">
        <w:rPr>
          <w:rStyle w:val="aff4"/>
          <w:rFonts w:hint="cs"/>
          <w:vanish/>
          <w:rtl/>
        </w:rPr>
        <w:t xml:space="preserve">&lt;. </w:t>
      </w:r>
      <w:r w:rsidRPr="00F1458B">
        <w:rPr>
          <w:rStyle w:val="aff4"/>
          <w:vanish/>
          <w:rtl/>
        </w:rPr>
        <w:fldChar w:fldCharType="begin"/>
      </w:r>
      <w:r w:rsidRPr="00F1458B">
        <w:rPr>
          <w:rStyle w:val="aff4"/>
          <w:vanish/>
          <w:rtl/>
        </w:rPr>
        <w:instrText xml:space="preserve"> </w:instrText>
      </w:r>
      <w:r w:rsidRPr="00F1458B">
        <w:rPr>
          <w:rStyle w:val="aff4"/>
          <w:rFonts w:hint="cs"/>
          <w:vanish/>
        </w:rPr>
        <w:instrText>REF</w:instrText>
      </w:r>
      <w:r w:rsidRPr="00F1458B">
        <w:rPr>
          <w:rStyle w:val="aff4"/>
          <w:rFonts w:hint="cs"/>
          <w:vanish/>
          <w:rtl/>
        </w:rPr>
        <w:instrText xml:space="preserve"> _</w:instrText>
      </w:r>
      <w:r w:rsidRPr="00F1458B">
        <w:rPr>
          <w:rStyle w:val="aff4"/>
          <w:rFonts w:hint="cs"/>
          <w:vanish/>
        </w:rPr>
        <w:instrText>Ref135757494 \r \h</w:instrText>
      </w:r>
      <w:r w:rsidRPr="00F1458B">
        <w:rPr>
          <w:rStyle w:val="aff4"/>
          <w:vanish/>
          <w:rtl/>
        </w:rPr>
        <w:instrText xml:space="preserve"> </w:instrText>
      </w:r>
      <w:r w:rsidRPr="00F1458B">
        <w:rPr>
          <w:rStyle w:val="aff4"/>
          <w:vanish/>
          <w:rtl/>
        </w:rPr>
      </w:r>
      <w:r w:rsidRPr="00F1458B">
        <w:rPr>
          <w:rStyle w:val="aff4"/>
          <w:vanish/>
          <w:rtl/>
        </w:rPr>
        <w:fldChar w:fldCharType="separate"/>
      </w:r>
      <w:r w:rsidR="00D82181">
        <w:rPr>
          <w:rStyle w:val="aff4"/>
          <w:vanish/>
          <w:cs/>
        </w:rPr>
        <w:t>‎</w:t>
      </w:r>
      <w:r w:rsidR="00D82181">
        <w:rPr>
          <w:rStyle w:val="aff4"/>
          <w:vanish/>
          <w:rtl/>
        </w:rPr>
        <w:t>נ)</w:t>
      </w:r>
      <w:r w:rsidRPr="00F1458B">
        <w:rPr>
          <w:rStyle w:val="aff4"/>
          <w:vanish/>
          <w:rtl/>
        </w:rPr>
        <w:fldChar w:fldCharType="end"/>
      </w:r>
      <w:r w:rsidRPr="00F1458B">
        <w:rPr>
          <w:rStyle w:val="aff4"/>
          <w:rFonts w:hint="cs"/>
          <w:vanish/>
          <w:rtl/>
        </w:rPr>
        <w:t xml:space="preserve"> &gt;</w:t>
      </w:r>
      <w:r w:rsidRPr="00C86935">
        <w:rPr>
          <w:rStyle w:val="aff4"/>
          <w:rFonts w:hint="cs"/>
          <w:rtl/>
        </w:rPr>
        <w:t>אגלי טל</w:t>
      </w:r>
      <w:r w:rsidRPr="00F1458B">
        <w:rPr>
          <w:rStyle w:val="aff4"/>
          <w:rFonts w:hint="cs"/>
          <w:vanish/>
          <w:rtl/>
        </w:rPr>
        <w:t>-</w:t>
      </w:r>
      <w:r>
        <w:rPr>
          <w:rFonts w:hint="cs"/>
          <w:rtl/>
        </w:rPr>
        <w:t xml:space="preserve"> </w:t>
      </w:r>
      <w:r w:rsidRPr="00D4778B">
        <w:rPr>
          <w:rStyle w:val="af2"/>
          <w:rFonts w:eastAsia="Guttman Hodes" w:hint="cs"/>
          <w:rtl/>
        </w:rPr>
        <w:t>(זורה סק"ג אות ו')</w:t>
      </w:r>
      <w:r w:rsidRPr="00F1458B">
        <w:rPr>
          <w:rFonts w:hint="cs"/>
          <w:vanish/>
          <w:rtl/>
        </w:rPr>
        <w:t>=</w:t>
      </w:r>
      <w:r>
        <w:rPr>
          <w:rFonts w:hint="cs"/>
          <w:rtl/>
        </w:rPr>
        <w:t xml:space="preserve"> דלדעת </w:t>
      </w:r>
      <w:r w:rsidRPr="00D20CCA">
        <w:rPr>
          <w:rStyle w:val="aff4"/>
          <w:rFonts w:hint="cs"/>
          <w:vanish/>
          <w:rtl/>
        </w:rPr>
        <w:t>-</w:t>
      </w:r>
      <w:r w:rsidRPr="00551455">
        <w:rPr>
          <w:rStyle w:val="aff4"/>
          <w:rFonts w:hint="cs"/>
          <w:rtl/>
        </w:rPr>
        <w:t>רש"י לקמן</w:t>
      </w:r>
      <w:r w:rsidRPr="00D20CCA">
        <w:rPr>
          <w:rStyle w:val="aff4"/>
          <w:rFonts w:hint="cs"/>
          <w:vanish/>
          <w:rtl/>
        </w:rPr>
        <w:t>-</w:t>
      </w:r>
      <w:r>
        <w:rPr>
          <w:rFonts w:hint="cs"/>
          <w:rtl/>
        </w:rPr>
        <w:t xml:space="preserve"> </w:t>
      </w:r>
      <w:r w:rsidRPr="00D4778B">
        <w:rPr>
          <w:rStyle w:val="af2"/>
          <w:rFonts w:eastAsia="Guttman Hodes" w:hint="cs"/>
          <w:rtl/>
        </w:rPr>
        <w:t xml:space="preserve">(עי' אות </w:t>
      </w:r>
      <w:r w:rsidRPr="00D4778B">
        <w:rPr>
          <w:rStyle w:val="af2"/>
          <w:rFonts w:eastAsia="Guttman Hodes"/>
          <w:rtl/>
        </w:rPr>
        <w:fldChar w:fldCharType="begin"/>
      </w:r>
      <w:r w:rsidRPr="00D4778B">
        <w:rPr>
          <w:rStyle w:val="af2"/>
          <w:rFonts w:eastAsia="Guttman Hodes"/>
          <w:rtl/>
        </w:rPr>
        <w:instrText xml:space="preserve"> </w:instrText>
      </w:r>
      <w:r w:rsidRPr="00D4778B">
        <w:rPr>
          <w:rStyle w:val="af2"/>
          <w:rFonts w:eastAsia="Guttman Hodes" w:hint="cs"/>
        </w:rPr>
        <w:instrText>REF</w:instrText>
      </w:r>
      <w:r w:rsidRPr="00D4778B">
        <w:rPr>
          <w:rStyle w:val="af2"/>
          <w:rFonts w:eastAsia="Guttman Hodes" w:hint="cs"/>
          <w:rtl/>
        </w:rPr>
        <w:instrText xml:space="preserve"> _</w:instrText>
      </w:r>
      <w:r w:rsidRPr="00D4778B">
        <w:rPr>
          <w:rStyle w:val="af2"/>
          <w:rFonts w:eastAsia="Guttman Hodes" w:hint="cs"/>
        </w:rPr>
        <w:instrText>Ref135731059 \r \h</w:instrText>
      </w:r>
      <w:r w:rsidRPr="00D4778B">
        <w:rPr>
          <w:rStyle w:val="af2"/>
          <w:rFonts w:eastAsia="Guttman Hodes"/>
          <w:rtl/>
        </w:rPr>
        <w:instrText xml:space="preserve"> </w:instrText>
      </w:r>
      <w:r w:rsidRPr="00D4778B">
        <w:rPr>
          <w:rStyle w:val="af2"/>
          <w:rFonts w:eastAsia="Guttman Hodes"/>
          <w:rtl/>
        </w:rPr>
      </w:r>
      <w:r w:rsidRPr="00D4778B">
        <w:rPr>
          <w:rStyle w:val="af2"/>
          <w:rFonts w:eastAsia="Guttman Hodes"/>
          <w:rtl/>
        </w:rPr>
        <w:fldChar w:fldCharType="separate"/>
      </w:r>
      <w:r w:rsidR="00D82181">
        <w:rPr>
          <w:rStyle w:val="af2"/>
          <w:rFonts w:eastAsia="Guttman Hodes"/>
          <w:cs/>
        </w:rPr>
        <w:t>‎</w:t>
      </w:r>
      <w:r w:rsidR="00D82181">
        <w:rPr>
          <w:rStyle w:val="af2"/>
          <w:rFonts w:eastAsia="Guttman Hodes"/>
          <w:rtl/>
        </w:rPr>
        <w:t>לז)</w:t>
      </w:r>
      <w:r w:rsidRPr="00D4778B">
        <w:rPr>
          <w:rStyle w:val="af2"/>
          <w:rFonts w:eastAsia="Guttman Hodes"/>
          <w:rtl/>
        </w:rPr>
        <w:fldChar w:fldCharType="end"/>
      </w:r>
      <w:r>
        <w:rPr>
          <w:rFonts w:hint="cs"/>
          <w:rtl/>
        </w:rPr>
        <w:t xml:space="preserve"> המניח אוכל ופסולת בתוך נפה וכברה ובורר אותם הוא בכלל בורר, ודלא </w:t>
      </w:r>
      <w:r w:rsidRPr="00F1458B">
        <w:rPr>
          <w:rStyle w:val="aff4"/>
          <w:rFonts w:hint="cs"/>
          <w:vanish/>
          <w:rtl/>
        </w:rPr>
        <w:t>-</w:t>
      </w:r>
      <w:r w:rsidRPr="00C86935">
        <w:rPr>
          <w:rStyle w:val="aff4"/>
          <w:rFonts w:hint="cs"/>
          <w:rtl/>
        </w:rPr>
        <w:t>כר"ח</w:t>
      </w:r>
      <w:r w:rsidRPr="00F1458B">
        <w:rPr>
          <w:rStyle w:val="aff4"/>
          <w:rFonts w:hint="cs"/>
          <w:vanish/>
          <w:rtl/>
        </w:rPr>
        <w:t>-</w:t>
      </w:r>
      <w:r>
        <w:rPr>
          <w:rFonts w:hint="cs"/>
          <w:rtl/>
        </w:rPr>
        <w:t xml:space="preserve"> </w:t>
      </w:r>
      <w:r w:rsidRPr="00D4778B">
        <w:rPr>
          <w:rStyle w:val="af2"/>
          <w:rFonts w:eastAsia="Guttman Hodes" w:hint="cs"/>
          <w:rtl/>
        </w:rPr>
        <w:t xml:space="preserve">(עי' אות </w:t>
      </w:r>
      <w:r w:rsidRPr="00D4778B">
        <w:rPr>
          <w:rStyle w:val="af2"/>
          <w:rFonts w:eastAsia="Guttman Hodes"/>
          <w:rtl/>
        </w:rPr>
        <w:fldChar w:fldCharType="begin"/>
      </w:r>
      <w:r w:rsidRPr="00D4778B">
        <w:rPr>
          <w:rStyle w:val="af2"/>
          <w:rFonts w:eastAsia="Guttman Hodes"/>
          <w:rtl/>
        </w:rPr>
        <w:instrText xml:space="preserve"> </w:instrText>
      </w:r>
      <w:r w:rsidRPr="00D4778B">
        <w:rPr>
          <w:rStyle w:val="af2"/>
          <w:rFonts w:eastAsia="Guttman Hodes" w:hint="cs"/>
        </w:rPr>
        <w:instrText>REF</w:instrText>
      </w:r>
      <w:r w:rsidRPr="00D4778B">
        <w:rPr>
          <w:rStyle w:val="af2"/>
          <w:rFonts w:eastAsia="Guttman Hodes" w:hint="cs"/>
          <w:rtl/>
        </w:rPr>
        <w:instrText xml:space="preserve"> _</w:instrText>
      </w:r>
      <w:r w:rsidRPr="00D4778B">
        <w:rPr>
          <w:rStyle w:val="af2"/>
          <w:rFonts w:eastAsia="Guttman Hodes" w:hint="cs"/>
        </w:rPr>
        <w:instrText>Ref135754485 \r \h</w:instrText>
      </w:r>
      <w:r w:rsidRPr="00D4778B">
        <w:rPr>
          <w:rStyle w:val="af2"/>
          <w:rFonts w:eastAsia="Guttman Hodes"/>
          <w:rtl/>
        </w:rPr>
        <w:instrText xml:space="preserve"> </w:instrText>
      </w:r>
      <w:r w:rsidRPr="00D4778B">
        <w:rPr>
          <w:rStyle w:val="af2"/>
          <w:rFonts w:eastAsia="Guttman Hodes"/>
          <w:rtl/>
        </w:rPr>
      </w:r>
      <w:r w:rsidRPr="00D4778B">
        <w:rPr>
          <w:rStyle w:val="af2"/>
          <w:rFonts w:eastAsia="Guttman Hodes"/>
          <w:rtl/>
        </w:rPr>
        <w:fldChar w:fldCharType="separate"/>
      </w:r>
      <w:r w:rsidR="00D82181">
        <w:rPr>
          <w:rStyle w:val="af2"/>
          <w:rFonts w:eastAsia="Guttman Hodes"/>
          <w:cs/>
        </w:rPr>
        <w:t>‎</w:t>
      </w:r>
      <w:r w:rsidR="00D82181">
        <w:rPr>
          <w:rStyle w:val="af2"/>
          <w:rFonts w:eastAsia="Guttman Hodes"/>
          <w:rtl/>
        </w:rPr>
        <w:t>מג)</w:t>
      </w:r>
      <w:r w:rsidRPr="00D4778B">
        <w:rPr>
          <w:rStyle w:val="af2"/>
          <w:rFonts w:eastAsia="Guttman Hodes"/>
          <w:rtl/>
        </w:rPr>
        <w:fldChar w:fldCharType="end"/>
      </w:r>
      <w:r>
        <w:rPr>
          <w:rFonts w:hint="cs"/>
          <w:rtl/>
        </w:rPr>
        <w:t xml:space="preserve"> דמבואר מדבריו דבכלי הוי מרקד, ועיי"ש במ"ש </w:t>
      </w:r>
      <w:r w:rsidRPr="00F1458B">
        <w:rPr>
          <w:rStyle w:val="aff4"/>
          <w:rFonts w:hint="cs"/>
          <w:vanish/>
          <w:rtl/>
        </w:rPr>
        <w:t>-</w:t>
      </w:r>
      <w:r w:rsidRPr="00C86935">
        <w:rPr>
          <w:rStyle w:val="aff4"/>
          <w:rFonts w:hint="cs"/>
          <w:rtl/>
        </w:rPr>
        <w:t>האגלי טל</w:t>
      </w:r>
      <w:r w:rsidRPr="00F1458B">
        <w:rPr>
          <w:rStyle w:val="aff4"/>
          <w:rFonts w:hint="cs"/>
          <w:vanish/>
          <w:rtl/>
        </w:rPr>
        <w:t>-</w:t>
      </w:r>
      <w:r>
        <w:rPr>
          <w:rFonts w:hint="cs"/>
          <w:rtl/>
        </w:rPr>
        <w:t xml:space="preserve"> </w:t>
      </w:r>
      <w:r w:rsidRPr="00263993">
        <w:rPr>
          <w:rFonts w:hint="cs"/>
          <w:rtl/>
        </w:rPr>
        <w:t xml:space="preserve">דמדברי </w:t>
      </w:r>
      <w:r w:rsidRPr="001840DA">
        <w:rPr>
          <w:rStyle w:val="aff4"/>
          <w:rFonts w:hint="cs"/>
          <w:vanish/>
          <w:rtl/>
        </w:rPr>
        <w:t>-</w:t>
      </w:r>
      <w:r w:rsidRPr="00BF46FD">
        <w:rPr>
          <w:rStyle w:val="aff4"/>
          <w:rFonts w:hint="cs"/>
          <w:rtl/>
        </w:rPr>
        <w:t>ה</w:t>
      </w:r>
      <w:r w:rsidRPr="001840DA">
        <w:rPr>
          <w:rStyle w:val="aff4"/>
          <w:rFonts w:hint="cs"/>
          <w:vanish/>
          <w:rtl/>
        </w:rPr>
        <w:t>&lt; &gt;</w:t>
      </w:r>
      <w:r w:rsidRPr="00BF46FD">
        <w:rPr>
          <w:rStyle w:val="aff4"/>
          <w:rFonts w:hint="cs"/>
          <w:rtl/>
        </w:rPr>
        <w:t>רמב"ן</w:t>
      </w:r>
      <w:r w:rsidRPr="001840DA">
        <w:rPr>
          <w:rStyle w:val="aff4"/>
          <w:rFonts w:hint="cs"/>
          <w:vanish/>
          <w:rtl/>
        </w:rPr>
        <w:t>-</w:t>
      </w:r>
      <w:r w:rsidRPr="00263993">
        <w:rPr>
          <w:rFonts w:hint="cs"/>
          <w:rtl/>
        </w:rPr>
        <w:t xml:space="preserve"> </w:t>
      </w:r>
      <w:r w:rsidRPr="00D4778B">
        <w:rPr>
          <w:rStyle w:val="af2"/>
          <w:rFonts w:eastAsia="Guttman Hodes" w:hint="cs"/>
          <w:rtl/>
        </w:rPr>
        <w:t>(עד. ד"ה ואיכא)</w:t>
      </w:r>
      <w:r w:rsidRPr="002C283A">
        <w:rPr>
          <w:rFonts w:hint="cs"/>
          <w:vanish/>
          <w:rtl/>
        </w:rPr>
        <w:t>=</w:t>
      </w:r>
      <w:r w:rsidRPr="00263993">
        <w:rPr>
          <w:rFonts w:hint="cs"/>
          <w:rtl/>
        </w:rPr>
        <w:t xml:space="preserve"> </w:t>
      </w:r>
      <w:r w:rsidRPr="001840DA">
        <w:rPr>
          <w:rStyle w:val="aff4"/>
          <w:rFonts w:hint="cs"/>
          <w:vanish/>
          <w:rtl/>
        </w:rPr>
        <w:t>-</w:t>
      </w:r>
      <w:r w:rsidRPr="00BF46FD">
        <w:rPr>
          <w:rStyle w:val="aff4"/>
          <w:rFonts w:hint="cs"/>
          <w:rtl/>
        </w:rPr>
        <w:t>וה</w:t>
      </w:r>
      <w:r w:rsidRPr="001840DA">
        <w:rPr>
          <w:rStyle w:val="aff4"/>
          <w:rFonts w:hint="cs"/>
          <w:vanish/>
          <w:rtl/>
        </w:rPr>
        <w:t>&lt; &gt;</w:t>
      </w:r>
      <w:r w:rsidRPr="00BF46FD">
        <w:rPr>
          <w:rStyle w:val="aff4"/>
          <w:rFonts w:hint="cs"/>
          <w:rtl/>
        </w:rPr>
        <w:t>ר"ן על הרי"ף</w:t>
      </w:r>
      <w:r w:rsidRPr="001840DA">
        <w:rPr>
          <w:rStyle w:val="aff4"/>
          <w:rFonts w:hint="cs"/>
          <w:vanish/>
          <w:rtl/>
        </w:rPr>
        <w:t>-</w:t>
      </w:r>
      <w:r w:rsidRPr="00263993">
        <w:rPr>
          <w:rFonts w:hint="cs"/>
          <w:rtl/>
        </w:rPr>
        <w:t xml:space="preserve"> </w:t>
      </w:r>
      <w:r w:rsidRPr="00D4778B">
        <w:rPr>
          <w:rStyle w:val="af2"/>
          <w:rFonts w:eastAsia="Guttman Hodes" w:hint="cs"/>
          <w:rtl/>
        </w:rPr>
        <w:t>(לב. מדה"ר ד"ה ונמצא)</w:t>
      </w:r>
      <w:r w:rsidRPr="002C283A">
        <w:rPr>
          <w:rFonts w:hint="cs"/>
          <w:vanish/>
          <w:rtl/>
        </w:rPr>
        <w:t>=</w:t>
      </w:r>
      <w:r w:rsidRPr="00263993">
        <w:rPr>
          <w:rFonts w:hint="cs"/>
          <w:rtl/>
        </w:rPr>
        <w:t xml:space="preserve"> דכתבו דבנפה וכברה חייב אף באוכל מתוך פסול</w:t>
      </w:r>
      <w:r>
        <w:rPr>
          <w:rFonts w:hint="cs"/>
          <w:rtl/>
        </w:rPr>
        <w:t>ת</w:t>
      </w:r>
      <w:r w:rsidRPr="00263993">
        <w:rPr>
          <w:rFonts w:hint="cs"/>
          <w:rtl/>
        </w:rPr>
        <w:t xml:space="preserve">, מבואר דאף הבורר בנפה חייב משום בורר כדעת </w:t>
      </w:r>
      <w:r w:rsidRPr="001840DA">
        <w:rPr>
          <w:rStyle w:val="aff4"/>
          <w:rFonts w:hint="cs"/>
          <w:vanish/>
          <w:rtl/>
        </w:rPr>
        <w:t>-</w:t>
      </w:r>
      <w:r w:rsidRPr="00BF46FD">
        <w:rPr>
          <w:rStyle w:val="aff4"/>
          <w:rFonts w:hint="cs"/>
          <w:rtl/>
        </w:rPr>
        <w:t>רש"י</w:t>
      </w:r>
      <w:r w:rsidRPr="001840DA">
        <w:rPr>
          <w:rStyle w:val="aff4"/>
          <w:rFonts w:hint="cs"/>
          <w:vanish/>
          <w:rtl/>
        </w:rPr>
        <w:t>-</w:t>
      </w:r>
      <w:r w:rsidRPr="00263993">
        <w:rPr>
          <w:rFonts w:hint="cs"/>
          <w:rtl/>
        </w:rPr>
        <w:t xml:space="preserve"> ולא משום מרקד כדעת </w:t>
      </w:r>
      <w:r w:rsidRPr="001840DA">
        <w:rPr>
          <w:rStyle w:val="aff4"/>
          <w:rFonts w:hint="cs"/>
          <w:vanish/>
          <w:rtl/>
        </w:rPr>
        <w:t>-</w:t>
      </w:r>
      <w:r w:rsidRPr="00BF46FD">
        <w:rPr>
          <w:rStyle w:val="aff4"/>
          <w:rFonts w:hint="cs"/>
          <w:rtl/>
        </w:rPr>
        <w:t>ר"ח</w:t>
      </w:r>
      <w:r w:rsidRPr="001840DA">
        <w:rPr>
          <w:rStyle w:val="aff4"/>
          <w:rFonts w:hint="cs"/>
          <w:vanish/>
          <w:rtl/>
        </w:rPr>
        <w:t>-</w:t>
      </w:r>
      <w:r w:rsidRPr="00263993">
        <w:rPr>
          <w:rFonts w:hint="cs"/>
          <w:rtl/>
        </w:rPr>
        <w:t>.</w:t>
      </w:r>
      <w:bookmarkEnd w:id="2105"/>
    </w:p>
    <w:p w14:paraId="43555BE9" w14:textId="77777777" w:rsidR="00316453" w:rsidRPr="00747170" w:rsidRDefault="00316453" w:rsidP="00747170">
      <w:pPr>
        <w:pStyle w:val="a2"/>
        <w:rPr>
          <w:rtl/>
        </w:rPr>
      </w:pPr>
      <w:r w:rsidRPr="00747170">
        <w:rPr>
          <w:rtl/>
        </w:rPr>
        <w:t>(ו) והנה מה שפירש"י זה בקשין וכו' וכן בפ' תולין [קלח א] מה דרכו של מרקד אוכל למטה פירש"י לאפוקי בורר קטניות פסולת למטן. הרי דאף שמשים בכלי האוכל והפסולת מ"מ בורר הוא. וכן מתבאר מדברי הרמב"ן ור"ן [עד א] שתירצו על קושית התוס' בהא דמה דרכו של בורר נוטל האוכל ומניח הפסולת דהיינו בורר אוכל מתוך פסולת. והקשו בתוס' הא אדרבא דרכו של בורר פסולת מתוך אוכל. ותירצו הרמב"ן והר"ן דמשום דבנפה וכברה חייב אפי' אוכל מתוך פסולת ע"כ שפיר הוי משמר תולדה דבורר אף דהוי אוכל מתוך פסולת. ומ"מ מבואר דבורר בנפה וכברה בורר הוא. ואין לומר דהני מילי לרבה דס"ל אף משמר שמשים הכל בכלי בורר הוא אבל לר' זירא כל בנפה וכברה מרקד הוא. ליתא דא"כ פליגי נמי בנותן בנפה וכברה וא"כ מה ראי' הביא רבה לדבריו ואמר כוותי' דידי מסתברא מה דרכו של בורר כו' הא בזה עצמו פליג ר' זירא. ולר"ח ראיות רבה הי' מבורר ביד. אבל לרמב"ן ור"ן שמפרשים מה דרכו של בורר בנפה וכברה מוכח שבורר צרורות מאוכלין בנפה וכברה בורר הוי וכפירש"י:</w:t>
      </w:r>
    </w:p>
    <w:p w14:paraId="3CB3C3F9" w14:textId="77777777" w:rsidR="00316453" w:rsidRPr="0030138D" w:rsidRDefault="00316453" w:rsidP="00747170">
      <w:pPr>
        <w:pStyle w:val="afffff5"/>
        <w:rPr>
          <w:rtl/>
        </w:rPr>
      </w:pPr>
      <w:r w:rsidRPr="0030138D">
        <w:rPr>
          <w:rtl/>
        </w:rPr>
        <w:t>ואיכא דקשיא ליה מהא דגרסינן בפ' תולין משמר משום מאי מחייב ואמרינן משום בורר מה דרכו של בורר נוטל אוכל ומניח פסולת אף כאן נוטל אוכל ומניח פסולת והכא אמרינן דדרך בורר ליטול פסולת מתוך אוכל, ולאו קושיא היא, דהא אמרן שאף בבורר אוכל מתוך פסולת משכחת חיובא בנפה וכברה והתם נמי ה"ק אף אי אתרו ביה משום בורר התראתו התראה דאיכא בורר דדמי לה כגון אוכל מתוך פסולת</w:t>
      </w:r>
      <w:r w:rsidRPr="0030138D">
        <w:rPr>
          <w:rFonts w:hint="cs"/>
          <w:rtl/>
        </w:rPr>
        <w:t>.</w:t>
      </w:r>
    </w:p>
    <w:p w14:paraId="5772087D" w14:textId="77777777" w:rsidR="00316453" w:rsidRDefault="00316453" w:rsidP="00316453">
      <w:pPr>
        <w:pStyle w:val="afffff7"/>
        <w:rPr>
          <w:rtl/>
        </w:rPr>
      </w:pPr>
      <w:bookmarkStart w:id="2106" w:name="_Toc136620480"/>
      <w:bookmarkStart w:id="2107" w:name="_Hlk136466576"/>
      <w:bookmarkStart w:id="2108" w:name="_Toc163505759"/>
      <w:r>
        <w:rPr>
          <w:rtl/>
        </w:rPr>
        <w:t>שביתת השבת פתיחה למלאכת זורה בורר ומרקד</w:t>
      </w:r>
      <w:r>
        <w:rPr>
          <w:rFonts w:hint="cs"/>
          <w:rtl/>
        </w:rPr>
        <w:t xml:space="preserve"> אות ז', ח'</w:t>
      </w:r>
      <w:bookmarkEnd w:id="2106"/>
      <w:bookmarkEnd w:id="2108"/>
    </w:p>
    <w:p w14:paraId="4CBC85DE" w14:textId="77777777" w:rsidR="00316453" w:rsidRDefault="00316453" w:rsidP="00316453">
      <w:pPr>
        <w:pStyle w:val="a7"/>
        <w:rPr>
          <w:rtl/>
        </w:rPr>
      </w:pPr>
      <w:bookmarkStart w:id="2109" w:name="_Toc136618712"/>
      <w:r>
        <w:rPr>
          <w:rFonts w:hint="cs"/>
          <w:rtl/>
        </w:rPr>
        <w:t>בי' השביתת השבת דרש"י מודה לר"ח דזורה רק ברוח ולא בכלי ונח' רק בפסולת מאוכל בנפה</w:t>
      </w:r>
      <w:bookmarkEnd w:id="2109"/>
    </w:p>
    <w:p w14:paraId="7768630C" w14:textId="712DC141" w:rsidR="00316453" w:rsidRPr="000A4EA7" w:rsidRDefault="00316453" w:rsidP="00BC7DC8">
      <w:pPr>
        <w:pStyle w:val="a3"/>
        <w:rPr>
          <w:rtl/>
        </w:rPr>
      </w:pPr>
      <w:bookmarkStart w:id="2110" w:name="_Ref136474594"/>
      <w:r>
        <w:rPr>
          <w:rFonts w:hint="cs"/>
          <w:rtl/>
        </w:rPr>
        <w:t xml:space="preserve">אך </w:t>
      </w:r>
      <w:r w:rsidRPr="00EB1A7E">
        <w:rPr>
          <w:rStyle w:val="aff4"/>
          <w:rFonts w:hint="cs"/>
          <w:vanish/>
          <w:rtl/>
        </w:rPr>
        <w:t>-</w:t>
      </w:r>
      <w:r w:rsidRPr="00D4778B">
        <w:rPr>
          <w:rStyle w:val="aff4"/>
          <w:rFonts w:hint="cs"/>
          <w:rtl/>
        </w:rPr>
        <w:t>ה</w:t>
      </w:r>
      <w:r w:rsidRPr="00EB1A7E">
        <w:rPr>
          <w:rStyle w:val="aff4"/>
          <w:rFonts w:hint="cs"/>
          <w:vanish/>
          <w:rtl/>
        </w:rPr>
        <w:t xml:space="preserve">&lt;. </w:t>
      </w:r>
      <w:r w:rsidRPr="00EB1A7E">
        <w:rPr>
          <w:rStyle w:val="aff4"/>
          <w:vanish/>
          <w:rtl/>
        </w:rPr>
        <w:fldChar w:fldCharType="begin"/>
      </w:r>
      <w:r w:rsidRPr="00EB1A7E">
        <w:rPr>
          <w:rStyle w:val="aff4"/>
          <w:vanish/>
          <w:rtl/>
        </w:rPr>
        <w:instrText xml:space="preserve"> </w:instrText>
      </w:r>
      <w:r w:rsidRPr="00EB1A7E">
        <w:rPr>
          <w:rStyle w:val="aff4"/>
          <w:rFonts w:hint="cs"/>
          <w:vanish/>
        </w:rPr>
        <w:instrText>REF</w:instrText>
      </w:r>
      <w:r w:rsidRPr="00EB1A7E">
        <w:rPr>
          <w:rStyle w:val="aff4"/>
          <w:rFonts w:hint="cs"/>
          <w:vanish/>
          <w:rtl/>
        </w:rPr>
        <w:instrText xml:space="preserve"> _</w:instrText>
      </w:r>
      <w:r w:rsidRPr="00EB1A7E">
        <w:rPr>
          <w:rStyle w:val="aff4"/>
          <w:rFonts w:hint="cs"/>
          <w:vanish/>
        </w:rPr>
        <w:instrText>Ref136474594 \r \h</w:instrText>
      </w:r>
      <w:r w:rsidRPr="00EB1A7E">
        <w:rPr>
          <w:rStyle w:val="aff4"/>
          <w:vanish/>
          <w:rtl/>
        </w:rPr>
        <w:instrText xml:space="preserve"> </w:instrText>
      </w:r>
      <w:r w:rsidRPr="00EB1A7E">
        <w:rPr>
          <w:rStyle w:val="aff4"/>
          <w:vanish/>
          <w:rtl/>
        </w:rPr>
      </w:r>
      <w:r w:rsidRPr="00EB1A7E">
        <w:rPr>
          <w:rStyle w:val="aff4"/>
          <w:vanish/>
          <w:rtl/>
        </w:rPr>
        <w:fldChar w:fldCharType="separate"/>
      </w:r>
      <w:r w:rsidR="00D82181">
        <w:rPr>
          <w:rStyle w:val="aff4"/>
          <w:vanish/>
          <w:cs/>
        </w:rPr>
        <w:t>‎</w:t>
      </w:r>
      <w:r w:rsidR="00D82181">
        <w:rPr>
          <w:rStyle w:val="aff4"/>
          <w:vanish/>
          <w:rtl/>
        </w:rPr>
        <w:t>נא)</w:t>
      </w:r>
      <w:r w:rsidRPr="00EB1A7E">
        <w:rPr>
          <w:rStyle w:val="aff4"/>
          <w:vanish/>
          <w:rtl/>
        </w:rPr>
        <w:fldChar w:fldCharType="end"/>
      </w:r>
      <w:r w:rsidRPr="00EB1A7E">
        <w:rPr>
          <w:rStyle w:val="aff4"/>
          <w:rFonts w:hint="cs"/>
          <w:vanish/>
          <w:rtl/>
        </w:rPr>
        <w:t xml:space="preserve"> &gt;</w:t>
      </w:r>
      <w:r w:rsidRPr="00D4778B">
        <w:rPr>
          <w:rStyle w:val="aff4"/>
          <w:rFonts w:hint="cs"/>
          <w:rtl/>
        </w:rPr>
        <w:t>שביתת השבת</w:t>
      </w:r>
      <w:r w:rsidRPr="00EB1A7E">
        <w:rPr>
          <w:rStyle w:val="aff4"/>
          <w:rFonts w:hint="cs"/>
          <w:vanish/>
          <w:rtl/>
        </w:rPr>
        <w:t>-</w:t>
      </w:r>
      <w:r>
        <w:rPr>
          <w:rFonts w:hint="cs"/>
          <w:rtl/>
        </w:rPr>
        <w:t xml:space="preserve"> </w:t>
      </w:r>
      <w:r w:rsidRPr="00D4778B">
        <w:rPr>
          <w:rStyle w:val="af2"/>
          <w:rFonts w:eastAsia="Guttman Hodes" w:hint="cs"/>
          <w:rtl/>
        </w:rPr>
        <w:t>(</w:t>
      </w:r>
      <w:r w:rsidRPr="00D4778B">
        <w:rPr>
          <w:rStyle w:val="af2"/>
          <w:rFonts w:eastAsia="Guttman Hodes"/>
          <w:rtl/>
        </w:rPr>
        <w:t>פתיחה למלאכת זורה בורר ומרקד</w:t>
      </w:r>
      <w:r w:rsidRPr="00D4778B">
        <w:rPr>
          <w:rStyle w:val="af2"/>
          <w:rFonts w:eastAsia="Guttman Hodes" w:hint="cs"/>
          <w:rtl/>
        </w:rPr>
        <w:t xml:space="preserve"> אות ז')</w:t>
      </w:r>
      <w:r w:rsidRPr="00EB1A7E">
        <w:rPr>
          <w:rFonts w:hint="cs"/>
          <w:vanish/>
          <w:rtl/>
        </w:rPr>
        <w:t>=</w:t>
      </w:r>
      <w:r>
        <w:rPr>
          <w:rFonts w:hint="cs"/>
          <w:rtl/>
        </w:rPr>
        <w:t xml:space="preserve"> דחה את דברי </w:t>
      </w:r>
      <w:r w:rsidRPr="00F1458B">
        <w:rPr>
          <w:rStyle w:val="aff4"/>
          <w:rFonts w:hint="cs"/>
          <w:vanish/>
          <w:rtl/>
        </w:rPr>
        <w:t>-</w:t>
      </w:r>
      <w:r>
        <w:rPr>
          <w:rStyle w:val="aff4"/>
          <w:rFonts w:hint="cs"/>
          <w:rtl/>
        </w:rPr>
        <w:t>ה</w:t>
      </w:r>
      <w:r w:rsidRPr="00C86935">
        <w:rPr>
          <w:rStyle w:val="aff4"/>
          <w:rFonts w:hint="cs"/>
          <w:rtl/>
        </w:rPr>
        <w:t>אגלי טל</w:t>
      </w:r>
      <w:r w:rsidRPr="00F1458B">
        <w:rPr>
          <w:rStyle w:val="aff4"/>
          <w:rFonts w:hint="cs"/>
          <w:vanish/>
          <w:rtl/>
        </w:rPr>
        <w:t>-</w:t>
      </w:r>
      <w:r>
        <w:rPr>
          <w:rFonts w:hint="cs"/>
          <w:rtl/>
        </w:rPr>
        <w:t xml:space="preserve"> </w:t>
      </w:r>
      <w:r w:rsidRPr="00D4778B">
        <w:rPr>
          <w:rStyle w:val="af2"/>
          <w:rFonts w:eastAsia="Guttman Hodes" w:hint="cs"/>
          <w:rtl/>
        </w:rPr>
        <w:t xml:space="preserve">(עי' אות </w:t>
      </w:r>
      <w:r w:rsidRPr="00D4778B">
        <w:rPr>
          <w:rStyle w:val="af2"/>
          <w:rFonts w:eastAsia="Guttman Hodes"/>
          <w:rtl/>
        </w:rPr>
        <w:fldChar w:fldCharType="begin"/>
      </w:r>
      <w:r w:rsidRPr="00D4778B">
        <w:rPr>
          <w:rStyle w:val="af2"/>
          <w:rFonts w:eastAsia="Guttman Hodes"/>
          <w:rtl/>
        </w:rPr>
        <w:instrText xml:space="preserve"> </w:instrText>
      </w:r>
      <w:r w:rsidRPr="00D4778B">
        <w:rPr>
          <w:rStyle w:val="af2"/>
          <w:rFonts w:eastAsia="Guttman Hodes" w:hint="cs"/>
        </w:rPr>
        <w:instrText>REF</w:instrText>
      </w:r>
      <w:r w:rsidRPr="00D4778B">
        <w:rPr>
          <w:rStyle w:val="af2"/>
          <w:rFonts w:eastAsia="Guttman Hodes" w:hint="cs"/>
          <w:rtl/>
        </w:rPr>
        <w:instrText xml:space="preserve"> _</w:instrText>
      </w:r>
      <w:r w:rsidRPr="00D4778B">
        <w:rPr>
          <w:rStyle w:val="af2"/>
          <w:rFonts w:eastAsia="Guttman Hodes" w:hint="cs"/>
        </w:rPr>
        <w:instrText>Ref135757486 \r \h</w:instrText>
      </w:r>
      <w:r w:rsidRPr="00D4778B">
        <w:rPr>
          <w:rStyle w:val="af2"/>
          <w:rFonts w:eastAsia="Guttman Hodes"/>
          <w:rtl/>
        </w:rPr>
        <w:instrText xml:space="preserve"> </w:instrText>
      </w:r>
      <w:r w:rsidRPr="00D4778B">
        <w:rPr>
          <w:rStyle w:val="af2"/>
          <w:rFonts w:eastAsia="Guttman Hodes"/>
          <w:rtl/>
        </w:rPr>
      </w:r>
      <w:r w:rsidRPr="00D4778B">
        <w:rPr>
          <w:rStyle w:val="af2"/>
          <w:rFonts w:eastAsia="Guttman Hodes"/>
          <w:rtl/>
        </w:rPr>
        <w:fldChar w:fldCharType="separate"/>
      </w:r>
      <w:r w:rsidR="00D82181">
        <w:rPr>
          <w:rStyle w:val="af2"/>
          <w:rFonts w:eastAsia="Guttman Hodes"/>
          <w:cs/>
        </w:rPr>
        <w:t>‎</w:t>
      </w:r>
      <w:r w:rsidR="00D82181">
        <w:rPr>
          <w:rStyle w:val="af2"/>
          <w:rFonts w:eastAsia="Guttman Hodes"/>
          <w:rtl/>
        </w:rPr>
        <w:t>מט)</w:t>
      </w:r>
      <w:r w:rsidRPr="00D4778B">
        <w:rPr>
          <w:rStyle w:val="af2"/>
          <w:rFonts w:eastAsia="Guttman Hodes"/>
          <w:rtl/>
        </w:rPr>
        <w:fldChar w:fldCharType="end"/>
      </w:r>
      <w:r>
        <w:rPr>
          <w:rFonts w:hint="cs"/>
          <w:rtl/>
        </w:rPr>
        <w:t xml:space="preserve"> וכתב דאפש"ל דאף </w:t>
      </w:r>
      <w:r w:rsidRPr="00EB1A7E">
        <w:rPr>
          <w:rStyle w:val="aff4"/>
          <w:rFonts w:hint="cs"/>
          <w:vanish/>
          <w:rtl/>
        </w:rPr>
        <w:t>-</w:t>
      </w:r>
      <w:r w:rsidRPr="00D4778B">
        <w:rPr>
          <w:rStyle w:val="aff4"/>
          <w:rFonts w:hint="cs"/>
          <w:rtl/>
        </w:rPr>
        <w:t>רש"י</w:t>
      </w:r>
      <w:r w:rsidRPr="00EB1A7E">
        <w:rPr>
          <w:rStyle w:val="aff4"/>
          <w:rFonts w:hint="cs"/>
          <w:vanish/>
          <w:rtl/>
        </w:rPr>
        <w:t>-</w:t>
      </w:r>
      <w:r>
        <w:rPr>
          <w:rFonts w:hint="cs"/>
          <w:rtl/>
        </w:rPr>
        <w:t xml:space="preserve"> מודה לדברי </w:t>
      </w:r>
      <w:r w:rsidRPr="00EB1A7E">
        <w:rPr>
          <w:rStyle w:val="aff4"/>
          <w:rFonts w:hint="cs"/>
          <w:vanish/>
          <w:rtl/>
        </w:rPr>
        <w:t>-</w:t>
      </w:r>
      <w:r w:rsidRPr="00D4778B">
        <w:rPr>
          <w:rStyle w:val="aff4"/>
          <w:rFonts w:hint="cs"/>
          <w:rtl/>
        </w:rPr>
        <w:t>ר"ח</w:t>
      </w:r>
      <w:r w:rsidRPr="00EB1A7E">
        <w:rPr>
          <w:rStyle w:val="aff4"/>
          <w:rFonts w:hint="cs"/>
          <w:vanish/>
          <w:rtl/>
        </w:rPr>
        <w:t>-</w:t>
      </w:r>
      <w:r>
        <w:rPr>
          <w:rFonts w:hint="cs"/>
          <w:rtl/>
        </w:rPr>
        <w:t xml:space="preserve"> דזורה הוא רק ברוח ומרקד הוא בכלי, וכדביאר </w:t>
      </w:r>
      <w:r w:rsidRPr="00204B28">
        <w:rPr>
          <w:b/>
          <w:bCs/>
          <w:vanish/>
          <w:rtl/>
        </w:rPr>
        <w:t>-</w:t>
      </w:r>
      <w:r w:rsidRPr="00204B28">
        <w:rPr>
          <w:b/>
          <w:bCs/>
          <w:rtl/>
        </w:rPr>
        <w:t>רש"י במתני'</w:t>
      </w:r>
      <w:r w:rsidRPr="00204B28">
        <w:rPr>
          <w:b/>
          <w:bCs/>
          <w:vanish/>
          <w:rtl/>
        </w:rPr>
        <w:t>-</w:t>
      </w:r>
      <w:r w:rsidRPr="00204B28">
        <w:rPr>
          <w:rtl/>
        </w:rPr>
        <w:t xml:space="preserve"> </w:t>
      </w:r>
      <w:r w:rsidRPr="00D4778B">
        <w:rPr>
          <w:rStyle w:val="af2"/>
          <w:rFonts w:eastAsiaTheme="minorEastAsia" w:hint="cs"/>
          <w:rtl/>
        </w:rPr>
        <w:t xml:space="preserve">(עי' אות </w:t>
      </w:r>
      <w:r w:rsidRPr="00D4778B">
        <w:rPr>
          <w:rStyle w:val="af2"/>
          <w:rFonts w:eastAsiaTheme="minorEastAsia" w:hint="cs"/>
          <w:rtl/>
        </w:rPr>
        <w:fldChar w:fldCharType="begin"/>
      </w:r>
      <w:r w:rsidRPr="00D4778B">
        <w:rPr>
          <w:rStyle w:val="af2"/>
          <w:rFonts w:eastAsiaTheme="minorEastAsia" w:hint="cs"/>
          <w:rtl/>
        </w:rPr>
        <w:instrText xml:space="preserve"> </w:instrText>
      </w:r>
      <w:r w:rsidRPr="00D4778B">
        <w:rPr>
          <w:rStyle w:val="af2"/>
          <w:rFonts w:eastAsiaTheme="minorEastAsia"/>
        </w:rPr>
        <w:instrText>REF</w:instrText>
      </w:r>
      <w:r w:rsidRPr="00D4778B">
        <w:rPr>
          <w:rStyle w:val="af2"/>
          <w:rFonts w:eastAsiaTheme="minorEastAsia" w:hint="cs"/>
          <w:rtl/>
        </w:rPr>
        <w:instrText xml:space="preserve"> _</w:instrText>
      </w:r>
      <w:r w:rsidRPr="00D4778B">
        <w:rPr>
          <w:rStyle w:val="af2"/>
          <w:rFonts w:eastAsiaTheme="minorEastAsia"/>
        </w:rPr>
        <w:instrText>Ref135730592 \r \h</w:instrText>
      </w:r>
      <w:r w:rsidRPr="00D4778B">
        <w:rPr>
          <w:rStyle w:val="af2"/>
          <w:rFonts w:eastAsiaTheme="minorEastAsia" w:hint="cs"/>
          <w:rtl/>
        </w:rPr>
        <w:instrText xml:space="preserve"> </w:instrText>
      </w:r>
      <w:r w:rsidRPr="00D4778B">
        <w:rPr>
          <w:rStyle w:val="af2"/>
          <w:rFonts w:eastAsiaTheme="minorEastAsia" w:hint="cs"/>
          <w:rtl/>
        </w:rPr>
      </w:r>
      <w:r w:rsidRPr="00D4778B">
        <w:rPr>
          <w:rStyle w:val="af2"/>
          <w:rFonts w:eastAsiaTheme="minorEastAsia" w:hint="cs"/>
          <w:rtl/>
        </w:rPr>
        <w:fldChar w:fldCharType="separate"/>
      </w:r>
      <w:r w:rsidR="00D82181">
        <w:rPr>
          <w:rStyle w:val="af2"/>
          <w:rFonts w:eastAsiaTheme="minorEastAsia" w:hint="eastAsia"/>
          <w:cs/>
        </w:rPr>
        <w:t>‎</w:t>
      </w:r>
      <w:r w:rsidR="00D82181">
        <w:rPr>
          <w:rStyle w:val="af2"/>
          <w:rFonts w:eastAsiaTheme="minorEastAsia" w:hint="eastAsia"/>
          <w:rtl/>
        </w:rPr>
        <w:t>לו</w:t>
      </w:r>
      <w:r w:rsidR="00D82181">
        <w:rPr>
          <w:rStyle w:val="af2"/>
          <w:rFonts w:eastAsiaTheme="minorEastAsia"/>
          <w:rtl/>
        </w:rPr>
        <w:t>)</w:t>
      </w:r>
      <w:r w:rsidRPr="00D4778B">
        <w:rPr>
          <w:rStyle w:val="af2"/>
          <w:rFonts w:eastAsiaTheme="minorEastAsia" w:hint="cs"/>
          <w:rtl/>
        </w:rPr>
        <w:fldChar w:fldCharType="end"/>
      </w:r>
      <w:r w:rsidRPr="00204B28">
        <w:rPr>
          <w:rtl/>
        </w:rPr>
        <w:t xml:space="preserve"> דזורה הוא ברוח ובורר ביד ומרקד בכלי, </w:t>
      </w:r>
      <w:r>
        <w:rPr>
          <w:rFonts w:hint="cs"/>
          <w:rtl/>
        </w:rPr>
        <w:t xml:space="preserve">ומ"ש </w:t>
      </w:r>
      <w:r w:rsidRPr="00D20CCA">
        <w:rPr>
          <w:rStyle w:val="aff4"/>
          <w:rFonts w:hint="cs"/>
          <w:vanish/>
          <w:rtl/>
        </w:rPr>
        <w:t>-</w:t>
      </w:r>
      <w:r w:rsidRPr="00551455">
        <w:rPr>
          <w:rStyle w:val="aff4"/>
          <w:rFonts w:hint="cs"/>
          <w:rtl/>
        </w:rPr>
        <w:t>רש"י לקמן</w:t>
      </w:r>
      <w:r w:rsidRPr="00D20CCA">
        <w:rPr>
          <w:rStyle w:val="aff4"/>
          <w:rFonts w:hint="cs"/>
          <w:vanish/>
          <w:rtl/>
        </w:rPr>
        <w:t>-</w:t>
      </w:r>
      <w:r>
        <w:rPr>
          <w:rFonts w:hint="cs"/>
          <w:rtl/>
        </w:rPr>
        <w:t xml:space="preserve"> </w:t>
      </w:r>
      <w:r w:rsidRPr="00D4778B">
        <w:rPr>
          <w:rStyle w:val="af2"/>
          <w:rFonts w:eastAsia="Guttman Hodes" w:hint="cs"/>
          <w:rtl/>
        </w:rPr>
        <w:t xml:space="preserve">(עי' אות </w:t>
      </w:r>
      <w:r w:rsidRPr="00D4778B">
        <w:rPr>
          <w:rStyle w:val="af2"/>
          <w:rFonts w:eastAsia="Guttman Hodes"/>
          <w:rtl/>
        </w:rPr>
        <w:fldChar w:fldCharType="begin"/>
      </w:r>
      <w:r w:rsidRPr="00D4778B">
        <w:rPr>
          <w:rStyle w:val="af2"/>
          <w:rFonts w:eastAsia="Guttman Hodes"/>
          <w:rtl/>
        </w:rPr>
        <w:instrText xml:space="preserve"> </w:instrText>
      </w:r>
      <w:r w:rsidRPr="00D4778B">
        <w:rPr>
          <w:rStyle w:val="af2"/>
          <w:rFonts w:eastAsia="Guttman Hodes" w:hint="cs"/>
        </w:rPr>
        <w:instrText>REF</w:instrText>
      </w:r>
      <w:r w:rsidRPr="00D4778B">
        <w:rPr>
          <w:rStyle w:val="af2"/>
          <w:rFonts w:eastAsia="Guttman Hodes" w:hint="cs"/>
          <w:rtl/>
        </w:rPr>
        <w:instrText xml:space="preserve"> _</w:instrText>
      </w:r>
      <w:r w:rsidRPr="00D4778B">
        <w:rPr>
          <w:rStyle w:val="af2"/>
          <w:rFonts w:eastAsia="Guttman Hodes" w:hint="cs"/>
        </w:rPr>
        <w:instrText>Ref135731059 \r \h</w:instrText>
      </w:r>
      <w:r w:rsidRPr="00D4778B">
        <w:rPr>
          <w:rStyle w:val="af2"/>
          <w:rFonts w:eastAsia="Guttman Hodes"/>
          <w:rtl/>
        </w:rPr>
        <w:instrText xml:space="preserve"> </w:instrText>
      </w:r>
      <w:r w:rsidRPr="00D4778B">
        <w:rPr>
          <w:rStyle w:val="af2"/>
          <w:rFonts w:eastAsia="Guttman Hodes"/>
          <w:rtl/>
        </w:rPr>
      </w:r>
      <w:r w:rsidRPr="00D4778B">
        <w:rPr>
          <w:rStyle w:val="af2"/>
          <w:rFonts w:eastAsia="Guttman Hodes"/>
          <w:rtl/>
        </w:rPr>
        <w:fldChar w:fldCharType="separate"/>
      </w:r>
      <w:r w:rsidR="00D82181">
        <w:rPr>
          <w:rStyle w:val="af2"/>
          <w:rFonts w:eastAsia="Guttman Hodes"/>
          <w:cs/>
        </w:rPr>
        <w:t>‎</w:t>
      </w:r>
      <w:r w:rsidR="00D82181">
        <w:rPr>
          <w:rStyle w:val="af2"/>
          <w:rFonts w:eastAsia="Guttman Hodes"/>
          <w:rtl/>
        </w:rPr>
        <w:t>לז)</w:t>
      </w:r>
      <w:r w:rsidRPr="00D4778B">
        <w:rPr>
          <w:rStyle w:val="af2"/>
          <w:rFonts w:eastAsia="Guttman Hodes"/>
          <w:rtl/>
        </w:rPr>
        <w:fldChar w:fldCharType="end"/>
      </w:r>
      <w:r>
        <w:rPr>
          <w:rFonts w:hint="cs"/>
          <w:rtl/>
        </w:rPr>
        <w:t xml:space="preserve">  דזורה הוא בקשין ובורר בצרורות, כוונתו דלא דמו לאופה ומבשל דהם כמעשה אחד, ולכן ביאר </w:t>
      </w:r>
      <w:r w:rsidRPr="00EB1A7E">
        <w:rPr>
          <w:rStyle w:val="aff4"/>
          <w:rFonts w:hint="cs"/>
          <w:vanish/>
          <w:rtl/>
        </w:rPr>
        <w:t>-</w:t>
      </w:r>
      <w:r w:rsidRPr="00D4778B">
        <w:rPr>
          <w:rStyle w:val="aff4"/>
          <w:rFonts w:hint="cs"/>
          <w:rtl/>
        </w:rPr>
        <w:t>רש"י</w:t>
      </w:r>
      <w:r w:rsidRPr="00EB1A7E">
        <w:rPr>
          <w:rStyle w:val="aff4"/>
          <w:rFonts w:hint="cs"/>
          <w:vanish/>
          <w:rtl/>
        </w:rPr>
        <w:t>-</w:t>
      </w:r>
      <w:r>
        <w:rPr>
          <w:rFonts w:hint="cs"/>
          <w:rtl/>
        </w:rPr>
        <w:t xml:space="preserve"> דכל מלאכה היא בזמן אחר, וכדביאר </w:t>
      </w:r>
      <w:r w:rsidRPr="00EB1A7E">
        <w:rPr>
          <w:rStyle w:val="aff4"/>
          <w:rFonts w:hint="cs"/>
          <w:vanish/>
          <w:rtl/>
        </w:rPr>
        <w:t>-</w:t>
      </w:r>
      <w:r w:rsidRPr="00D4778B">
        <w:rPr>
          <w:rStyle w:val="aff4"/>
          <w:rFonts w:hint="cs"/>
          <w:rtl/>
        </w:rPr>
        <w:t>הרא"ה</w:t>
      </w:r>
      <w:r w:rsidRPr="00EB1A7E">
        <w:rPr>
          <w:rStyle w:val="aff4"/>
          <w:rFonts w:hint="cs"/>
          <w:vanish/>
          <w:rtl/>
        </w:rPr>
        <w:t>-</w:t>
      </w:r>
      <w:r>
        <w:rPr>
          <w:rFonts w:hint="cs"/>
          <w:rtl/>
        </w:rPr>
        <w:t xml:space="preserve"> </w:t>
      </w:r>
      <w:r w:rsidRPr="00D4778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Ref135731475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מ)</w:t>
      </w:r>
      <w:r>
        <w:rPr>
          <w:rStyle w:val="af2"/>
          <w:rFonts w:eastAsia="Guttman Hodes"/>
          <w:rtl/>
        </w:rPr>
        <w:fldChar w:fldCharType="end"/>
      </w:r>
      <w:r>
        <w:rPr>
          <w:rFonts w:hint="cs"/>
          <w:rtl/>
        </w:rPr>
        <w:t xml:space="preserve">, ועיי"ש במה שביאר </w:t>
      </w:r>
      <w:r w:rsidRPr="00EB1A7E">
        <w:rPr>
          <w:rStyle w:val="aff4"/>
          <w:rFonts w:hint="cs"/>
          <w:vanish/>
          <w:rtl/>
        </w:rPr>
        <w:t>-</w:t>
      </w:r>
      <w:r w:rsidRPr="00D4778B">
        <w:rPr>
          <w:rStyle w:val="aff4"/>
          <w:rFonts w:hint="cs"/>
          <w:rtl/>
        </w:rPr>
        <w:t>השביתת השבת</w:t>
      </w:r>
      <w:r w:rsidRPr="00EB1A7E">
        <w:rPr>
          <w:rStyle w:val="aff4"/>
          <w:rFonts w:hint="cs"/>
          <w:vanish/>
          <w:rtl/>
        </w:rPr>
        <w:t>-</w:t>
      </w:r>
      <w:r>
        <w:rPr>
          <w:rFonts w:hint="cs"/>
          <w:rtl/>
        </w:rPr>
        <w:t xml:space="preserve"> דכן דעת </w:t>
      </w:r>
      <w:r w:rsidRPr="00EB1A7E">
        <w:rPr>
          <w:rStyle w:val="aff4"/>
          <w:rFonts w:hint="cs"/>
          <w:vanish/>
          <w:rtl/>
        </w:rPr>
        <w:t>-</w:t>
      </w:r>
      <w:r w:rsidRPr="00D4778B">
        <w:rPr>
          <w:rStyle w:val="aff4"/>
          <w:rFonts w:hint="cs"/>
          <w:rtl/>
        </w:rPr>
        <w:t>הר"ן</w:t>
      </w:r>
      <w:r w:rsidRPr="00EB1A7E">
        <w:rPr>
          <w:rStyle w:val="aff4"/>
          <w:rFonts w:hint="cs"/>
          <w:vanish/>
          <w:rtl/>
        </w:rPr>
        <w:t>-</w:t>
      </w:r>
      <w:r>
        <w:rPr>
          <w:rFonts w:hint="cs"/>
          <w:rtl/>
        </w:rPr>
        <w:t xml:space="preserve"> </w:t>
      </w:r>
      <w:r w:rsidRPr="00D4778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Ref136613604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מד)</w:t>
      </w:r>
      <w:r>
        <w:rPr>
          <w:rStyle w:val="af2"/>
          <w:rFonts w:eastAsia="Guttman Hodes"/>
          <w:rtl/>
        </w:rPr>
        <w:fldChar w:fldCharType="end"/>
      </w:r>
      <w:r>
        <w:rPr>
          <w:rFonts w:hint="cs"/>
          <w:rtl/>
        </w:rPr>
        <w:t xml:space="preserve"> </w:t>
      </w:r>
      <w:r w:rsidRPr="00EB1A7E">
        <w:rPr>
          <w:rStyle w:val="aff4"/>
          <w:rFonts w:hint="cs"/>
          <w:vanish/>
          <w:rtl/>
        </w:rPr>
        <w:t>-</w:t>
      </w:r>
      <w:r w:rsidRPr="00D4778B">
        <w:rPr>
          <w:rStyle w:val="aff4"/>
          <w:rFonts w:hint="cs"/>
          <w:rtl/>
        </w:rPr>
        <w:t>והמאירי</w:t>
      </w:r>
      <w:r w:rsidRPr="00EB1A7E">
        <w:rPr>
          <w:rStyle w:val="aff4"/>
          <w:rFonts w:hint="cs"/>
          <w:vanish/>
          <w:rtl/>
        </w:rPr>
        <w:t>-</w:t>
      </w:r>
      <w:r>
        <w:rPr>
          <w:rFonts w:hint="cs"/>
          <w:rtl/>
        </w:rPr>
        <w:t xml:space="preserve"> </w:t>
      </w:r>
      <w:r w:rsidRPr="00D4778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Ref135756669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מא)</w:t>
      </w:r>
      <w:r>
        <w:rPr>
          <w:rStyle w:val="af2"/>
          <w:rFonts w:eastAsia="Guttman Hodes"/>
          <w:rtl/>
        </w:rPr>
        <w:fldChar w:fldCharType="end"/>
      </w:r>
      <w:r>
        <w:rPr>
          <w:rFonts w:hint="cs"/>
          <w:rtl/>
        </w:rPr>
        <w:t xml:space="preserve">, אך מ"מ כתב </w:t>
      </w:r>
      <w:r w:rsidRPr="00EB1A7E">
        <w:rPr>
          <w:rStyle w:val="aff4"/>
          <w:rFonts w:hint="cs"/>
          <w:vanish/>
          <w:rtl/>
        </w:rPr>
        <w:t>-</w:t>
      </w:r>
      <w:r w:rsidRPr="00D4778B">
        <w:rPr>
          <w:rStyle w:val="aff4"/>
          <w:rFonts w:hint="cs"/>
          <w:rtl/>
        </w:rPr>
        <w:t>ה</w:t>
      </w:r>
      <w:r w:rsidRPr="00EB1A7E">
        <w:rPr>
          <w:rStyle w:val="aff4"/>
          <w:rFonts w:hint="cs"/>
          <w:vanish/>
          <w:rtl/>
        </w:rPr>
        <w:t>&lt; &gt;</w:t>
      </w:r>
      <w:r w:rsidRPr="00D4778B">
        <w:rPr>
          <w:rStyle w:val="aff4"/>
          <w:rFonts w:hint="cs"/>
          <w:rtl/>
        </w:rPr>
        <w:t>שביתת השבת</w:t>
      </w:r>
      <w:r w:rsidRPr="00EB1A7E">
        <w:rPr>
          <w:rStyle w:val="aff4"/>
          <w:rFonts w:hint="cs"/>
          <w:vanish/>
          <w:rtl/>
        </w:rPr>
        <w:t>-</w:t>
      </w:r>
      <w:r>
        <w:rPr>
          <w:rFonts w:hint="cs"/>
          <w:rtl/>
        </w:rPr>
        <w:t xml:space="preserve">  </w:t>
      </w:r>
      <w:r w:rsidRPr="00D4778B">
        <w:rPr>
          <w:rStyle w:val="af2"/>
          <w:rFonts w:eastAsia="Guttman Hodes" w:hint="cs"/>
          <w:rtl/>
        </w:rPr>
        <w:t>(</w:t>
      </w:r>
      <w:r w:rsidRPr="00D4778B">
        <w:rPr>
          <w:rStyle w:val="af2"/>
          <w:rFonts w:eastAsia="Guttman Hodes"/>
          <w:rtl/>
        </w:rPr>
        <w:t>פתיחה למלאכת זורה בורר ומרקד</w:t>
      </w:r>
      <w:r w:rsidRPr="00D4778B">
        <w:rPr>
          <w:rStyle w:val="af2"/>
          <w:rFonts w:eastAsia="Guttman Hodes" w:hint="cs"/>
          <w:rtl/>
        </w:rPr>
        <w:t xml:space="preserve"> אות ח')</w:t>
      </w:r>
      <w:r w:rsidRPr="00EB1A7E">
        <w:rPr>
          <w:rFonts w:hint="cs"/>
          <w:vanish/>
          <w:rtl/>
        </w:rPr>
        <w:t>=</w:t>
      </w:r>
      <w:r>
        <w:rPr>
          <w:rFonts w:hint="cs"/>
          <w:rtl/>
        </w:rPr>
        <w:t xml:space="preserve"> דלענין בורר קיטניות בנפה וכברה, דהאוכל למעלה והפסולת למטה, ודאי דפליגי דלדעת </w:t>
      </w:r>
      <w:r w:rsidRPr="00EB1A7E">
        <w:rPr>
          <w:rStyle w:val="aff4"/>
          <w:rFonts w:hint="cs"/>
          <w:vanish/>
          <w:rtl/>
        </w:rPr>
        <w:t>-</w:t>
      </w:r>
      <w:r w:rsidRPr="00D4778B">
        <w:rPr>
          <w:rStyle w:val="aff4"/>
          <w:rFonts w:hint="cs"/>
          <w:rtl/>
        </w:rPr>
        <w:t>רש"י</w:t>
      </w:r>
      <w:r w:rsidRPr="00EB1A7E">
        <w:rPr>
          <w:rStyle w:val="aff4"/>
          <w:rFonts w:hint="cs"/>
          <w:vanish/>
          <w:rtl/>
        </w:rPr>
        <w:t>-</w:t>
      </w:r>
      <w:r>
        <w:rPr>
          <w:rFonts w:hint="cs"/>
          <w:rtl/>
        </w:rPr>
        <w:t xml:space="preserve"> </w:t>
      </w:r>
      <w:r w:rsidRPr="00D4778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Ref136619302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לו)</w:t>
      </w:r>
      <w:r>
        <w:rPr>
          <w:rStyle w:val="af2"/>
          <w:rFonts w:eastAsia="Guttman Hodes"/>
          <w:rtl/>
        </w:rPr>
        <w:fldChar w:fldCharType="end"/>
      </w:r>
      <w:r>
        <w:rPr>
          <w:rFonts w:hint="cs"/>
          <w:rtl/>
        </w:rPr>
        <w:t xml:space="preserve"> </w:t>
      </w:r>
      <w:r w:rsidRPr="00EB1A7E">
        <w:rPr>
          <w:rStyle w:val="aff4"/>
          <w:rFonts w:hint="cs"/>
          <w:vanish/>
          <w:rtl/>
        </w:rPr>
        <w:t>-</w:t>
      </w:r>
      <w:r w:rsidRPr="00D4778B">
        <w:rPr>
          <w:rStyle w:val="aff4"/>
          <w:rFonts w:hint="cs"/>
          <w:rtl/>
        </w:rPr>
        <w:t>והרמב"ן</w:t>
      </w:r>
      <w:r w:rsidRPr="00EB1A7E">
        <w:rPr>
          <w:rStyle w:val="aff4"/>
          <w:rFonts w:hint="cs"/>
          <w:vanish/>
          <w:rtl/>
        </w:rPr>
        <w:t>-</w:t>
      </w:r>
      <w:r>
        <w:rPr>
          <w:rFonts w:hint="cs"/>
          <w:rtl/>
        </w:rPr>
        <w:t xml:space="preserve"> </w:t>
      </w:r>
      <w:r w:rsidRPr="00D4778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Ref135757494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נ)</w:t>
      </w:r>
      <w:r>
        <w:rPr>
          <w:rStyle w:val="af2"/>
          <w:rFonts w:eastAsia="Guttman Hodes"/>
          <w:rtl/>
        </w:rPr>
        <w:fldChar w:fldCharType="end"/>
      </w:r>
      <w:r>
        <w:rPr>
          <w:rFonts w:hint="cs"/>
          <w:rtl/>
        </w:rPr>
        <w:t xml:space="preserve"> חייב משום בורר, ולדעת </w:t>
      </w:r>
      <w:r w:rsidRPr="00EB1A7E">
        <w:rPr>
          <w:rStyle w:val="aff4"/>
          <w:rFonts w:hint="cs"/>
          <w:vanish/>
          <w:rtl/>
        </w:rPr>
        <w:t>-</w:t>
      </w:r>
      <w:r w:rsidRPr="00D4778B">
        <w:rPr>
          <w:rStyle w:val="aff4"/>
          <w:rFonts w:hint="cs"/>
          <w:rtl/>
        </w:rPr>
        <w:t>ר"ח</w:t>
      </w:r>
      <w:r>
        <w:rPr>
          <w:rStyle w:val="aff4"/>
          <w:rFonts w:hint="cs"/>
          <w:vanish/>
          <w:rtl/>
        </w:rPr>
        <w:t xml:space="preserve"> </w:t>
      </w:r>
      <w:r w:rsidRPr="00D4778B">
        <w:rPr>
          <w:rStyle w:val="aff4"/>
          <w:rFonts w:hint="cs"/>
          <w:rtl/>
        </w:rPr>
        <w:t>והערוך</w:t>
      </w:r>
      <w:r w:rsidRPr="00EB1A7E">
        <w:rPr>
          <w:rStyle w:val="aff4"/>
          <w:rFonts w:hint="cs"/>
          <w:vanish/>
          <w:rtl/>
        </w:rPr>
        <w:t>-</w:t>
      </w:r>
      <w:r>
        <w:rPr>
          <w:rFonts w:hint="cs"/>
          <w:rtl/>
        </w:rPr>
        <w:t xml:space="preserve"> </w:t>
      </w:r>
      <w:r w:rsidRPr="00D4778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Ref135754485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מג)</w:t>
      </w:r>
      <w:r>
        <w:rPr>
          <w:rStyle w:val="af2"/>
          <w:rFonts w:eastAsia="Guttman Hodes"/>
          <w:rtl/>
        </w:rPr>
        <w:fldChar w:fldCharType="end"/>
      </w:r>
      <w:r>
        <w:rPr>
          <w:rFonts w:hint="cs"/>
          <w:rtl/>
        </w:rPr>
        <w:t xml:space="preserve"> חייב משום מרקד, עיי"ש במה שביאר </w:t>
      </w:r>
      <w:r w:rsidRPr="00EB1A7E">
        <w:rPr>
          <w:rStyle w:val="aff4"/>
          <w:rFonts w:hint="cs"/>
          <w:vanish/>
          <w:rtl/>
        </w:rPr>
        <w:t>-</w:t>
      </w:r>
      <w:r w:rsidRPr="00D4778B">
        <w:rPr>
          <w:rStyle w:val="aff4"/>
          <w:rFonts w:hint="cs"/>
          <w:rtl/>
        </w:rPr>
        <w:t>השביתת השבת</w:t>
      </w:r>
      <w:r w:rsidRPr="00EB1A7E">
        <w:rPr>
          <w:rStyle w:val="aff4"/>
          <w:rFonts w:hint="cs"/>
          <w:vanish/>
          <w:rtl/>
        </w:rPr>
        <w:t>-</w:t>
      </w:r>
      <w:r>
        <w:rPr>
          <w:rFonts w:hint="cs"/>
          <w:rtl/>
        </w:rPr>
        <w:t xml:space="preserve"> בזה.</w:t>
      </w:r>
      <w:bookmarkEnd w:id="2110"/>
    </w:p>
    <w:p w14:paraId="7AACB58C" w14:textId="77777777" w:rsidR="00316453" w:rsidRPr="00747170" w:rsidRDefault="00316453" w:rsidP="00747170">
      <w:pPr>
        <w:pStyle w:val="a2"/>
        <w:rPr>
          <w:rtl/>
        </w:rPr>
      </w:pPr>
      <w:r w:rsidRPr="00747170">
        <w:rPr>
          <w:rtl/>
        </w:rPr>
        <w:t xml:space="preserve">ז. והנה מה שכתבנו שרש"י וסיעתו פליגי על רבינו חננאל והערוך בהחילוק שיש בין ג' מלאכות אלה. ולרש"י החילוק ביניהם באיכות הנפעלים כתבתי כן ע"פ דעת האגלי טל [זורה ס"ק ג'] ועל פי הנחה זו כתב שאם בירר את המוץ בידיו חייב משום זורה אך שוב ראיתי שיש הרבה דחוקים בשיטה זו חדא דחיוב דבורר הלא הוא בכל הדברים שבעולם ואיך ניקום ונאמר דבורר אינו רק בצרורות והבורר המוץ חיובו משום זורה ולדבריו אם יש מעט סובין שיכול לבררם ביד יהי' חיובו משום מרקד, ועוד שהכריח שכן דעת המאירי ונעתיקהו לקמן והמאירי כתב שהמרקד לנקות הקמח מצרורות נקרא מרקד וכמ"ש לעיל ואילו היה בוררם ביד היה החיוב משום בורר וכמ"ש ס"פ אין צדין, וע"כ גם לפי שיטה זו תלוי באיכות הפועל שאם ביד חיובו משום בורר ואם בכלי משום מרקד, ועוד דהמאירי והתוס' רי"ד כל שעתא מרגלא בפומייהו דברי הירושלמי ואיך יחלקו עליו מחלוקת גדולה וכוללת כ"כ מבלי שיזכירוהו כלל ועוד איך אפשר להעמיס כן בדעת רש"י. והלא רש"י דעת שפתיו ברור מללו בפי' המשנה דאבות מלאכות הזורה ברחת לרוח, הבורר פסולת בידיו, המרקד בנפה וכ"כ הר"ן שם, והלא ידוע דרש"י ז"ל דייק בלישניה טובא ואמרו דעל טפת דיו שכתב רש"י צריך לישב ז' נקיים ואיך נאמר שכתב שלא בדקדוק רק אורחא דמילתא, ע"כ נראה דגם רש"י וסיעתו יודו דאין זורה אלא ברוח ואין מרקד אלא בכלי (ולא נחלקו רק לענין בורר וכדלקמן) ומה שכתב רש"י שזה בתבן וזה בצרורות וזה בקמח כתב כן דלא תקשי הא מבשל ואופה ג"כ אין מעשיהם שוים, וכן הדש והמנפץ והמנפט הם במינים שונים זה בתבואה וזה בפשתן וזה בצמר גפן וכקושית הגרע"א, ע"כ כתב לתרץ דזורה ובורר ומרקד אינם בזמן אחד וכמש"ל [באות א'] בשם הרא"ה ומהרש"ל דלהכי נמנין בשלשה דכל לחם צריך לכל הג' מלאכות מה שאין כן דש ומנפט או אופה ומבשל דהיכא דאיתא להאי ליתא להאי ואין מוכרחין להיות כולם בדבר א' וע"כ לא רצה רש"י לצייר במנפה חטים וקטניות וכמו שצייר הירושלמי משום דיש שאין מנפין רק בוררין ביד ודומה לאופה ומבשל ודש ומנפט אבל גם רש"י יודה דהמנפה תבואה (והפסולת נשאר למעלה כמ"ש מהרש"ל בסמ"ג) חייב משום מרקד, והבורר את המוץ בידיו חייב משום בורר והמרקד את המוץ חייב משום מרקד וכמפורש בירושלמי, ומהיכי תיתי לעשות מחלוקת בזה. ומדויק לשון הר"ן בהלכות דמתחלה בביאור עקרי מלאכות האלה כתב הזורה ברחת לרוח, הבורר פסולת בידיו, המרקד בנפה ושוב כתב דלהכי פלגינהו לתלת משום שאינם בזמן אחד זורה בתבן בורר בצרורות מרקד בסובין ועולה לדינא כמ"ש הטל אורות הספרדי בשם הר"ן שהחילוק ביניהם באיכות הפועל כמו לר"ח והערוך. ומה שנסתייע האג"ט מדברי המאירי שכתב הזורה ר"ל ברחת לרוח וכן בכברה שנקביה גסים להפריש התבן מן הבר, דמשמע מזה דגם המרקד אם הוא בתבן חיובו משום זורה, אמר הגרצ"פ שי' דאינה ראיה דע"י הכיבור בסיוע הרוח מתפרד התבואה בפני עצמה והפסולת בפני עצמה, ובהא דאין כוברים את התבן בכברה הי' צריך להיות החיוב משום זורה לדעת האגלי טל והמאירי כתב שם מפני שהוא כבורר, וגבי האי מאן דעביד חלתא [עד ב] כתב המאירי דאיכא בורר ומרקד דמתחלה הוא בורר ביד הצרורות הגסות ואח"כ מרקד בכברה, ובתוס' רי"ד [עד ב] כתב ולא תחשוב בורר ומרקד בשנים דע"י הריקוד יוצאים כל הצרורות, ומדברי שניהם נלמד דבצרורות שייך בין בורר ובין מרקד ותלוי באיכות הפעולה אם ביד ואם בכלי כדברי ר"ח. </w:t>
      </w:r>
    </w:p>
    <w:bookmarkEnd w:id="2107"/>
    <w:p w14:paraId="4EBDB52B" w14:textId="77777777" w:rsidR="00316453" w:rsidRDefault="00316453" w:rsidP="00747170">
      <w:pPr>
        <w:pStyle w:val="afffff5"/>
        <w:rPr>
          <w:rtl/>
        </w:rPr>
      </w:pPr>
      <w:r w:rsidRPr="0030138D">
        <w:rPr>
          <w:rtl/>
        </w:rPr>
        <w:t xml:space="preserve">ח. ומ"מ גם לפי"ד דלא פליגי הפוסקים על ר"ח בכל הני ג' מלאכות והכל מודים דתלוי באיכות הפעולה, מ"מ בבורר ודאי פליגי דלרש"י ורמב"ן ור"ן ותוס' רי"ד הבורר קטניות בנפה וכברה בורר נקרא (וכ' מהרש"ל בביאורי סמ"ג דהיינו דוקא אם האוכל למעלה אבל אם האוכל נופל למטה והפסולת נשאר למעלה נקרא מרקד) ולר"ח והערוך אין חילוק בנפה וכברה בין אוכל למעלה בין פסולת למעלה בכל ענין החיוב משום מרקד וכתבנו לעיל [אות ד'] דכ"מ בירושלמי ונראה טעם רש"י וסיעתו הוא משום דמשמע להו מדקאמר בגמ' דידן בנפה וכברה לא יברור ואם בירר חייב חטאת משמע דהחיוב משום בורר כמו לאינך אוקימתי ועוד הכריחם לומר כן מדאמרינן שם דף קל"ח. ר"ז אמר משום מרקד דמה דרכו של מרקד פסולת מלמעלה ואוכל מלמטה ופירש"י דלר"ז אי אתרו בי' משום בורר לאו התראה היא דלא דמי לבורר שהאוכל למטה ופסולת למעלה משא"כ בורר קטניות שהפסולת למטה עכ"ל והיינו הבורר בנפה וכברה ולפיר"ח זה גופא נקרא מרקד ואין בורר אלא ביד והתם מאי למעלה ולמטה איכא ע"כ סברי דגמ' דידן פליג על הירושלמי ובירושלמי קאמר באמת בענין אחר אליבא דר' זירא ע"ש אבל במה שאין הכרח אין לנו לומר דגמ' דידן פליג על הירושלמי וכן תפסו שאר אחרונים דגם לדעת רש"י אין זורה אלא ברוח ולא המברר את המוץ בידיו וכיו"ב, ועיין: ולענין מ"ש האג"ט [זורה סק"ו] דבורר המוץ בידיו חייב משום זורה כ' הג' מהרצ"פ שי' לכאורה מלשון תשובת הגרע"א [מהדו"ק] סי' כ' משמע כן דמוכיח מלשון הגמ' דחיוב זורה אינו אלא באופן דאם הי' עושה כן בידיו הי' חייב, חייב נמי ע"י סיועת הרוח ותמה שם על הירושלמי [מט א] דמחייב ברוקק לרוח הא אם היה מחלק בידים לטפות דקות לא היה חייב לא נחייבו ג"כ ע"י סיועת הרוח. ואם נאמר דלא כהאג"ט א"כ בכל זורה יקשה כן דאם היה עושה בידיו לא היה מתחייב מטעם זורה וקצת י"ל דמ"מ היה מתחייב מטעם בורר ולכן שפיר נחייבהו על סיועת הרוח ועיקר קושיתו אינו אלא מי איכא מידי דבידים פטור לגמרי וע"י סיועת הרוח יתחייב. </w:t>
      </w:r>
    </w:p>
    <w:p w14:paraId="5EDC0F75" w14:textId="79FEAAA8" w:rsidR="00316453" w:rsidRPr="00B64957" w:rsidRDefault="00316453" w:rsidP="00316453">
      <w:pPr>
        <w:pStyle w:val="1"/>
      </w:pPr>
      <w:bookmarkStart w:id="2111" w:name="_Toc136618713"/>
      <w:r>
        <w:rPr>
          <w:rFonts w:hint="cs"/>
          <w:rtl/>
        </w:rPr>
        <w:t>בי' האגל"ט דהם מלאכה אחת לחומרא ולא לקולא</w:t>
      </w:r>
      <w:bookmarkEnd w:id="2111"/>
    </w:p>
    <w:p w14:paraId="3B49D75E" w14:textId="77777777" w:rsidR="00316453" w:rsidRDefault="00316453" w:rsidP="00316453">
      <w:pPr>
        <w:pStyle w:val="afffff7"/>
        <w:rPr>
          <w:rtl/>
        </w:rPr>
      </w:pPr>
      <w:bookmarkStart w:id="2112" w:name="_Toc136620481"/>
      <w:bookmarkStart w:id="2113" w:name="_Toc163505760"/>
      <w:r w:rsidRPr="00D12053">
        <w:rPr>
          <w:rtl/>
        </w:rPr>
        <w:t xml:space="preserve">אגלי טל חורש </w:t>
      </w:r>
      <w:r>
        <w:rPr>
          <w:rFonts w:hint="cs"/>
          <w:rtl/>
        </w:rPr>
        <w:t>סק</w:t>
      </w:r>
      <w:r>
        <w:rPr>
          <w:rFonts w:cs="Guttman Hodes" w:hint="cs"/>
          <w:rtl/>
        </w:rPr>
        <w:t>"</w:t>
      </w:r>
      <w:r w:rsidRPr="00D12053">
        <w:rPr>
          <w:rtl/>
        </w:rPr>
        <w:t>ז</w:t>
      </w:r>
      <w:r>
        <w:rPr>
          <w:rFonts w:hint="cs"/>
          <w:rtl/>
        </w:rPr>
        <w:t xml:space="preserve"> אות ג'</w:t>
      </w:r>
      <w:bookmarkEnd w:id="2112"/>
      <w:bookmarkEnd w:id="2113"/>
    </w:p>
    <w:p w14:paraId="1AD7FF27" w14:textId="77777777" w:rsidR="00316453" w:rsidRDefault="00316453" w:rsidP="00316453">
      <w:pPr>
        <w:pStyle w:val="a7"/>
        <w:rPr>
          <w:rtl/>
        </w:rPr>
      </w:pPr>
      <w:bookmarkStart w:id="2114" w:name="_Toc136618714"/>
      <w:r>
        <w:rPr>
          <w:rFonts w:hint="cs"/>
          <w:rtl/>
        </w:rPr>
        <w:t>בי' האגל"ט דחילוק בין זורה ובורר ומרקד הוא רק לחומרא אך לקולא מצטרפים  לשיעור וספק</w:t>
      </w:r>
      <w:bookmarkEnd w:id="2114"/>
    </w:p>
    <w:p w14:paraId="6B643203" w14:textId="76BDEC0C" w:rsidR="00316453" w:rsidRPr="00D12053" w:rsidRDefault="00316453" w:rsidP="00BC7DC8">
      <w:pPr>
        <w:pStyle w:val="a3"/>
        <w:rPr>
          <w:rtl/>
        </w:rPr>
      </w:pPr>
      <w:bookmarkStart w:id="2115" w:name="_Ref135760196"/>
      <w:r>
        <w:rPr>
          <w:rFonts w:hint="cs"/>
          <w:rtl/>
        </w:rPr>
        <w:t xml:space="preserve">כתב </w:t>
      </w:r>
      <w:r w:rsidRPr="00F1458B">
        <w:rPr>
          <w:rStyle w:val="aff4"/>
          <w:rFonts w:hint="cs"/>
          <w:vanish/>
          <w:rtl/>
        </w:rPr>
        <w:t>-</w:t>
      </w:r>
      <w:r w:rsidRPr="00C86935">
        <w:rPr>
          <w:rStyle w:val="aff4"/>
          <w:rFonts w:hint="cs"/>
          <w:rtl/>
        </w:rPr>
        <w:t>ה</w:t>
      </w:r>
      <w:r w:rsidRPr="00F1458B">
        <w:rPr>
          <w:rStyle w:val="aff4"/>
          <w:rFonts w:hint="cs"/>
          <w:vanish/>
          <w:rtl/>
        </w:rPr>
        <w:t xml:space="preserve">&lt;. </w:t>
      </w:r>
      <w:r w:rsidRPr="00F1458B">
        <w:rPr>
          <w:rStyle w:val="aff4"/>
          <w:vanish/>
          <w:rtl/>
        </w:rPr>
        <w:fldChar w:fldCharType="begin"/>
      </w:r>
      <w:r w:rsidRPr="00F1458B">
        <w:rPr>
          <w:rStyle w:val="aff4"/>
          <w:vanish/>
          <w:rtl/>
        </w:rPr>
        <w:instrText xml:space="preserve"> </w:instrText>
      </w:r>
      <w:r w:rsidRPr="00F1458B">
        <w:rPr>
          <w:rStyle w:val="aff4"/>
          <w:rFonts w:hint="cs"/>
          <w:vanish/>
        </w:rPr>
        <w:instrText>REF</w:instrText>
      </w:r>
      <w:r w:rsidRPr="00F1458B">
        <w:rPr>
          <w:rStyle w:val="aff4"/>
          <w:rFonts w:hint="cs"/>
          <w:vanish/>
          <w:rtl/>
        </w:rPr>
        <w:instrText xml:space="preserve"> _</w:instrText>
      </w:r>
      <w:r w:rsidRPr="00F1458B">
        <w:rPr>
          <w:rStyle w:val="aff4"/>
          <w:rFonts w:hint="cs"/>
          <w:vanish/>
        </w:rPr>
        <w:instrText>Ref135760196 \r \h</w:instrText>
      </w:r>
      <w:r w:rsidRPr="00F1458B">
        <w:rPr>
          <w:rStyle w:val="aff4"/>
          <w:vanish/>
          <w:rtl/>
        </w:rPr>
        <w:instrText xml:space="preserve"> </w:instrText>
      </w:r>
      <w:r w:rsidRPr="00F1458B">
        <w:rPr>
          <w:rStyle w:val="aff4"/>
          <w:vanish/>
          <w:rtl/>
        </w:rPr>
      </w:r>
      <w:r w:rsidRPr="00F1458B">
        <w:rPr>
          <w:rStyle w:val="aff4"/>
          <w:vanish/>
          <w:rtl/>
        </w:rPr>
        <w:fldChar w:fldCharType="separate"/>
      </w:r>
      <w:r w:rsidR="00D82181">
        <w:rPr>
          <w:rStyle w:val="aff4"/>
          <w:vanish/>
          <w:cs/>
        </w:rPr>
        <w:t>‎</w:t>
      </w:r>
      <w:r w:rsidR="00D82181">
        <w:rPr>
          <w:rStyle w:val="aff4"/>
          <w:vanish/>
          <w:rtl/>
        </w:rPr>
        <w:t>נב)</w:t>
      </w:r>
      <w:r w:rsidRPr="00F1458B">
        <w:rPr>
          <w:rStyle w:val="aff4"/>
          <w:vanish/>
          <w:rtl/>
        </w:rPr>
        <w:fldChar w:fldCharType="end"/>
      </w:r>
      <w:r w:rsidRPr="00F1458B">
        <w:rPr>
          <w:rStyle w:val="aff4"/>
          <w:rFonts w:hint="cs"/>
          <w:vanish/>
          <w:rtl/>
        </w:rPr>
        <w:t xml:space="preserve"> &gt;</w:t>
      </w:r>
      <w:r w:rsidRPr="00C86935">
        <w:rPr>
          <w:rStyle w:val="aff4"/>
          <w:rFonts w:hint="cs"/>
          <w:rtl/>
        </w:rPr>
        <w:t>אגלי טל</w:t>
      </w:r>
      <w:r w:rsidRPr="00F1458B">
        <w:rPr>
          <w:rStyle w:val="aff4"/>
          <w:rFonts w:hint="cs"/>
          <w:vanish/>
          <w:rtl/>
        </w:rPr>
        <w:t>-</w:t>
      </w:r>
      <w:r>
        <w:rPr>
          <w:rFonts w:hint="cs"/>
          <w:rtl/>
        </w:rPr>
        <w:t xml:space="preserve"> </w:t>
      </w:r>
      <w:r w:rsidRPr="00D4778B">
        <w:rPr>
          <w:rStyle w:val="af2"/>
          <w:rFonts w:eastAsia="Guttman Hodes" w:hint="cs"/>
          <w:rtl/>
        </w:rPr>
        <w:t>(חורש סק"ז אות ג', זורה סק"ב)</w:t>
      </w:r>
      <w:r w:rsidRPr="00F1458B">
        <w:rPr>
          <w:rFonts w:hint="cs"/>
          <w:vanish/>
          <w:rtl/>
        </w:rPr>
        <w:t>=</w:t>
      </w:r>
      <w:r>
        <w:rPr>
          <w:rFonts w:hint="cs"/>
          <w:rtl/>
        </w:rPr>
        <w:t xml:space="preserve"> דהחילוק בין זורה לבורר ומרקד, הוא רק לחומרא לחייב ב' חטאות, אך אינם מחולקים לקולא, ואם בירר חצי שיעור וריקד חצי שיעור חייב, וה"ה בספק אם עשה מלאכת בורר או מלאכת מרקד דחייב בהתראה ולא אמרינן דא"א להתרות בו כיון דהוא ספק.</w:t>
      </w:r>
      <w:bookmarkEnd w:id="2115"/>
    </w:p>
    <w:p w14:paraId="7DDF9BCA" w14:textId="77777777" w:rsidR="00316453" w:rsidRPr="00747170" w:rsidRDefault="00316453" w:rsidP="00747170">
      <w:pPr>
        <w:pStyle w:val="a2"/>
        <w:rPr>
          <w:rtl/>
        </w:rPr>
      </w:pPr>
      <w:r w:rsidRPr="00747170">
        <w:rPr>
          <w:rtl/>
        </w:rPr>
        <w:t>(ג) ואין להקשות א"כ בפרק תולין [קלח א] דפליגי רבה ור' זעירא במשמר משום מה מתרינן בי' והתם ע"כ מיירי בשבת דביו"ט אין חיוב מן התורה במשמר ויפלגו לענין קרבן. לא קשיא דזורה בורר ומרקד הואיל ודמיין להדדי אינן מחולקין אלא לחומרא לחייב שתים אבל לא לקולא ואם בירר חצי שיעור וריקד חצי שיעור חייב כמ"ש במאירי [קד ב] בכתב אות אחת ומחק ע"מ לכתוב אות אחת. וה"נ בספק אם בירר או ריקד חייב וכמבואר אצלינו בביאור מלאכת זורה סק"ב בס"ד עי"ש. ע"כ אין יכולין לחלוק לענין קרבן. ועוד לפי פירש"י שם דלרבה נמי אי אתרי בי' משום מרקד הוי התראה. א"כ גם חיוב מרקד יש בו וכ"כ הרמב"ם [פ"ח הי"א]. ומ"מ אינו חייב אלא אחת. א"כ לענין קרבן מחלוקתם בחנם דעכ"פ יש ידיעת חטא מרקד ודו"ק. אבל הכא אם איתא דבשבת ולמיתה וע"כ לבזמן שהיה בהמ"ק קיים היו יכולין לחלוק לענין קרבן:</w:t>
      </w:r>
    </w:p>
    <w:p w14:paraId="06689A95" w14:textId="77777777" w:rsidR="00316453" w:rsidRDefault="00316453" w:rsidP="00316453">
      <w:pPr>
        <w:pStyle w:val="a7"/>
        <w:rPr>
          <w:rtl/>
        </w:rPr>
      </w:pPr>
    </w:p>
    <w:p w14:paraId="75FF05E4" w14:textId="77777777" w:rsidR="00316453" w:rsidRPr="00BA76A4" w:rsidRDefault="00316453" w:rsidP="00BC7DC8">
      <w:pPr>
        <w:pStyle w:val="a3"/>
        <w:rPr>
          <w:rtl/>
        </w:rPr>
        <w:sectPr w:rsidR="00316453" w:rsidRPr="00BA76A4" w:rsidSect="001918F0">
          <w:type w:val="continuous"/>
          <w:pgSz w:w="11906" w:h="16838"/>
          <w:pgMar w:top="720" w:right="720" w:bottom="720" w:left="720" w:header="283" w:footer="283" w:gutter="0"/>
          <w:cols w:num="2" w:space="567"/>
          <w:bidi/>
          <w:rtlGutter/>
        </w:sectPr>
      </w:pPr>
    </w:p>
    <w:p w14:paraId="5391EBC5" w14:textId="77777777" w:rsidR="00316453" w:rsidRDefault="00316453" w:rsidP="00316453">
      <w:pPr>
        <w:tabs>
          <w:tab w:val="left" w:pos="1163"/>
        </w:tabs>
        <w:spacing w:after="0" w:line="240" w:lineRule="auto"/>
        <w:jc w:val="center"/>
        <w:rPr>
          <w:rFonts w:eastAsia="Guttman Hodes" w:cs="Guttman Hodes"/>
          <w:noProof/>
          <w:sz w:val="18"/>
          <w:szCs w:val="18"/>
        </w:rPr>
      </w:pPr>
      <w:r>
        <w:rPr>
          <w:rFonts w:eastAsia="Guttman Hodes" w:cs="Guttman Hodes"/>
          <w:noProof/>
          <w:sz w:val="18"/>
          <w:szCs w:val="18"/>
        </w:rPr>
        <w:br w:type="page"/>
      </w:r>
    </w:p>
    <w:p w14:paraId="200ECCCB" w14:textId="77777777" w:rsidR="00316453" w:rsidRDefault="008D6ECA" w:rsidP="00316453">
      <w:pPr>
        <w:tabs>
          <w:tab w:val="left" w:pos="1163"/>
        </w:tabs>
        <w:spacing w:after="0" w:line="240" w:lineRule="auto"/>
        <w:jc w:val="center"/>
      </w:pPr>
      <w:r>
        <w:rPr>
          <w:rFonts w:ascii="Guttman Hodes" w:eastAsia="Guttman Hodes" w:hAnsi="Guttman Hodes" w:cs="Guttman Hodes"/>
          <w:noProof/>
          <w:sz w:val="18"/>
          <w:szCs w:val="18"/>
        </w:rPr>
        <w:lastRenderedPageBreak/>
        <w:pict w14:anchorId="563CC02B">
          <v:shape id="_x0000_i7854" type="#_x0000_t75" style="width:404.55pt;height:6.8pt" o:hrpct="0" o:hralign="center" o:hr="t">
            <v:imagedata r:id="rId36" o:title="BD14845_"/>
          </v:shape>
        </w:pict>
      </w:r>
    </w:p>
    <w:p w14:paraId="72D3549F" w14:textId="77777777" w:rsidR="00316453" w:rsidRDefault="00316453" w:rsidP="00316453">
      <w:pPr>
        <w:pStyle w:val="affff5"/>
        <w:rPr>
          <w:rtl/>
        </w:rPr>
      </w:pPr>
      <w:bookmarkStart w:id="2116" w:name="_Toc135588038"/>
      <w:bookmarkStart w:id="2117" w:name="_Toc136618715"/>
      <w:r>
        <w:rPr>
          <w:rFonts w:hint="cs"/>
          <w:rtl/>
        </w:rPr>
        <w:t>~</w:t>
      </w:r>
      <w:r>
        <w:rPr>
          <w:rFonts w:hint="cs"/>
          <w:noProof/>
          <w:rtl/>
        </w:rPr>
        <w:t>~~~~~~</w:t>
      </w:r>
      <w:r>
        <w:rPr>
          <w:rFonts w:hint="cs"/>
          <w:rtl/>
        </w:rPr>
        <w:t xml:space="preserve"> ביאורי ראשי הישיבות ~</w:t>
      </w:r>
      <w:r>
        <w:rPr>
          <w:rFonts w:hint="cs"/>
          <w:noProof/>
          <w:rtl/>
        </w:rPr>
        <w:t>~~~~</w:t>
      </w:r>
      <w:r>
        <w:rPr>
          <w:rFonts w:hint="cs"/>
          <w:rtl/>
        </w:rPr>
        <w:t>~~</w:t>
      </w:r>
      <w:bookmarkEnd w:id="2116"/>
      <w:bookmarkEnd w:id="2117"/>
    </w:p>
    <w:p w14:paraId="30623F8A" w14:textId="77777777" w:rsidR="00316453" w:rsidRPr="00110D58" w:rsidRDefault="00316453" w:rsidP="00316453">
      <w:pPr>
        <w:bidi w:val="0"/>
        <w:spacing w:after="0" w:line="360" w:lineRule="auto"/>
        <w:rPr>
          <w:rFonts w:eastAsia="Guttman Adii-Light" w:cs="Guttman Hodes"/>
          <w:b/>
          <w:bCs/>
          <w:sz w:val="18"/>
          <w:szCs w:val="28"/>
          <w:rtl/>
        </w:rPr>
        <w:sectPr w:rsidR="00316453" w:rsidRPr="00110D58" w:rsidSect="00143B96">
          <w:type w:val="continuous"/>
          <w:pgSz w:w="11906" w:h="16838"/>
          <w:pgMar w:top="720" w:right="720" w:bottom="720" w:left="720" w:header="283" w:footer="283" w:gutter="0"/>
          <w:cols w:space="720"/>
          <w:bidi/>
          <w:rtlGutter/>
        </w:sectPr>
      </w:pPr>
    </w:p>
    <w:p w14:paraId="442C5AA3" w14:textId="77777777" w:rsidR="00316453" w:rsidRDefault="00316453" w:rsidP="00316453">
      <w:pPr>
        <w:pStyle w:val="affff5"/>
        <w:rPr>
          <w:rtl/>
        </w:rPr>
      </w:pPr>
      <w:bookmarkStart w:id="2118" w:name="_Toc136618716"/>
      <w:r>
        <w:rPr>
          <w:rFonts w:hint="cs"/>
          <w:rtl/>
        </w:rPr>
        <w:t>בבי' מלאכה שיסודה הפרדה דהיא צל"ג</w:t>
      </w:r>
      <w:bookmarkEnd w:id="2118"/>
      <w:r>
        <w:rPr>
          <w:rFonts w:hint="cs"/>
          <w:rtl/>
        </w:rPr>
        <w:t xml:space="preserve"> </w:t>
      </w:r>
    </w:p>
    <w:p w14:paraId="749E0052" w14:textId="77777777" w:rsidR="00316453" w:rsidRDefault="00316453" w:rsidP="00316453">
      <w:pPr>
        <w:pStyle w:val="1"/>
        <w:rPr>
          <w:rtl/>
        </w:rPr>
      </w:pPr>
      <w:bookmarkStart w:id="2119" w:name="_Toc136618717"/>
      <w:r>
        <w:rPr>
          <w:rFonts w:hint="cs"/>
          <w:rtl/>
        </w:rPr>
        <w:t>בי' הקה"י דזורה וגוזז דיסודם הפרדה חשיבא ההפרדה כצל"ג</w:t>
      </w:r>
      <w:bookmarkEnd w:id="2119"/>
    </w:p>
    <w:p w14:paraId="6C7F3336" w14:textId="77777777" w:rsidR="00316453" w:rsidRDefault="00316453" w:rsidP="00316453">
      <w:pPr>
        <w:pStyle w:val="afffff7"/>
        <w:rPr>
          <w:rtl/>
        </w:rPr>
      </w:pPr>
      <w:bookmarkStart w:id="2120" w:name="_Toc136620482"/>
      <w:bookmarkStart w:id="2121" w:name="_Toc163505761"/>
      <w:r>
        <w:rPr>
          <w:rFonts w:hint="cs"/>
          <w:rtl/>
        </w:rPr>
        <w:t>קהלות יעקב סי' מ</w:t>
      </w:r>
      <w:r>
        <w:rPr>
          <w:rFonts w:cs="Guttman Hodes" w:hint="cs"/>
          <w:rtl/>
        </w:rPr>
        <w:t>"</w:t>
      </w:r>
      <w:r>
        <w:rPr>
          <w:rFonts w:hint="cs"/>
          <w:rtl/>
        </w:rPr>
        <w:t>ט</w:t>
      </w:r>
      <w:bookmarkEnd w:id="2120"/>
      <w:bookmarkEnd w:id="2121"/>
    </w:p>
    <w:p w14:paraId="66DC8E55" w14:textId="77777777" w:rsidR="00316453" w:rsidRDefault="00316453" w:rsidP="00316453">
      <w:pPr>
        <w:pStyle w:val="a7"/>
        <w:rPr>
          <w:rtl/>
        </w:rPr>
      </w:pPr>
      <w:bookmarkStart w:id="2122" w:name="_Toc136618718"/>
      <w:r>
        <w:rPr>
          <w:rFonts w:hint="cs"/>
          <w:rtl/>
        </w:rPr>
        <w:t>בי' הקה"י דמלאכה שצריך להפריד דבר א' מדבר אחר כגוזז ובורר כל שצריך לא' מהם הוי צל"ג</w:t>
      </w:r>
      <w:bookmarkEnd w:id="2122"/>
    </w:p>
    <w:p w14:paraId="364D4C7D" w14:textId="24171CD3" w:rsidR="00316453" w:rsidRPr="00A63943" w:rsidRDefault="00316453" w:rsidP="00BC7DC8">
      <w:pPr>
        <w:pStyle w:val="a3"/>
        <w:rPr>
          <w:rtl/>
        </w:rPr>
      </w:pPr>
      <w:bookmarkStart w:id="2123" w:name="_Ref136474611"/>
      <w:bookmarkStart w:id="2124" w:name="_Ref136617876"/>
      <w:r>
        <w:rPr>
          <w:rFonts w:hint="cs"/>
          <w:rtl/>
        </w:rPr>
        <w:t>במ"ש</w:t>
      </w:r>
      <w:r w:rsidRPr="00D0484B">
        <w:rPr>
          <w:rFonts w:hint="cs"/>
          <w:rtl/>
        </w:rPr>
        <w:t xml:space="preserve"> </w:t>
      </w:r>
      <w:r w:rsidRPr="00BB6DFE">
        <w:rPr>
          <w:rStyle w:val="aff4"/>
          <w:rFonts w:hint="cs"/>
          <w:vanish/>
          <w:rtl/>
        </w:rPr>
        <w:t>-</w:t>
      </w:r>
      <w:r w:rsidRPr="00C86935">
        <w:rPr>
          <w:rStyle w:val="aff4"/>
          <w:rFonts w:hint="cs"/>
          <w:rtl/>
        </w:rPr>
        <w:t>הרמב"ן</w:t>
      </w:r>
      <w:r w:rsidRPr="00BB6DFE">
        <w:rPr>
          <w:rStyle w:val="aff4"/>
          <w:rFonts w:hint="cs"/>
          <w:vanish/>
          <w:rtl/>
        </w:rPr>
        <w:t>-</w:t>
      </w:r>
      <w:r w:rsidRPr="00D0484B">
        <w:rPr>
          <w:rFonts w:hint="cs"/>
          <w:rtl/>
        </w:rPr>
        <w:t xml:space="preserve"> </w:t>
      </w:r>
      <w:r w:rsidRPr="00D4778B">
        <w:rPr>
          <w:rStyle w:val="af2"/>
          <w:rFonts w:eastAsia="Guttman Hodes" w:hint="cs"/>
          <w:rtl/>
        </w:rPr>
        <w:t xml:space="preserve">(עי' אות </w:t>
      </w:r>
      <w:r w:rsidRPr="00D4778B">
        <w:rPr>
          <w:rStyle w:val="af2"/>
          <w:rFonts w:eastAsia="Guttman Hodes"/>
          <w:rtl/>
        </w:rPr>
        <w:fldChar w:fldCharType="begin"/>
      </w:r>
      <w:r w:rsidRPr="00D4778B">
        <w:rPr>
          <w:rStyle w:val="af2"/>
          <w:rFonts w:eastAsia="Guttman Hodes"/>
          <w:rtl/>
        </w:rPr>
        <w:instrText xml:space="preserve"> </w:instrText>
      </w:r>
      <w:r w:rsidRPr="00D4778B">
        <w:rPr>
          <w:rStyle w:val="af2"/>
          <w:rFonts w:eastAsia="Guttman Hodes" w:hint="cs"/>
        </w:rPr>
        <w:instrText>REF</w:instrText>
      </w:r>
      <w:r w:rsidRPr="00D4778B">
        <w:rPr>
          <w:rStyle w:val="af2"/>
          <w:rFonts w:eastAsia="Guttman Hodes" w:hint="cs"/>
          <w:rtl/>
        </w:rPr>
        <w:instrText xml:space="preserve"> _</w:instrText>
      </w:r>
      <w:r w:rsidRPr="00D4778B">
        <w:rPr>
          <w:rStyle w:val="af2"/>
          <w:rFonts w:eastAsia="Guttman Hodes" w:hint="cs"/>
        </w:rPr>
        <w:instrText>Ref135732507 \r \h</w:instrText>
      </w:r>
      <w:r w:rsidRPr="00D4778B">
        <w:rPr>
          <w:rStyle w:val="af2"/>
          <w:rFonts w:eastAsia="Guttman Hodes"/>
          <w:rtl/>
        </w:rPr>
        <w:instrText xml:space="preserve"> </w:instrText>
      </w:r>
      <w:r w:rsidRPr="00D4778B">
        <w:rPr>
          <w:rStyle w:val="af2"/>
          <w:rFonts w:eastAsia="Guttman Hodes"/>
          <w:rtl/>
        </w:rPr>
      </w:r>
      <w:r w:rsidRPr="00D4778B">
        <w:rPr>
          <w:rStyle w:val="af2"/>
          <w:rFonts w:eastAsia="Guttman Hodes"/>
          <w:rtl/>
        </w:rPr>
        <w:fldChar w:fldCharType="separate"/>
      </w:r>
      <w:r w:rsidR="00D82181">
        <w:rPr>
          <w:rStyle w:val="af2"/>
          <w:rFonts w:eastAsia="Guttman Hodes"/>
          <w:cs/>
        </w:rPr>
        <w:t>‎</w:t>
      </w:r>
      <w:r w:rsidR="00D82181">
        <w:rPr>
          <w:rStyle w:val="af2"/>
          <w:rFonts w:eastAsia="Guttman Hodes"/>
          <w:rtl/>
        </w:rPr>
        <w:t>כח)</w:t>
      </w:r>
      <w:r w:rsidRPr="00D4778B">
        <w:rPr>
          <w:rStyle w:val="af2"/>
          <w:rFonts w:eastAsia="Guttman Hodes"/>
          <w:rtl/>
        </w:rPr>
        <w:fldChar w:fldCharType="end"/>
      </w:r>
      <w:r w:rsidRPr="00D0484B">
        <w:rPr>
          <w:rFonts w:hint="cs"/>
          <w:rtl/>
        </w:rPr>
        <w:t xml:space="preserve"> דמילה היא מלאכה שצריכה לגופה כיון </w:t>
      </w:r>
      <w:r>
        <w:rPr>
          <w:rFonts w:hint="cs"/>
          <w:rtl/>
        </w:rPr>
        <w:t>ד</w:t>
      </w:r>
      <w:r w:rsidRPr="00D0484B">
        <w:rPr>
          <w:rFonts w:hint="cs"/>
          <w:rtl/>
        </w:rPr>
        <w:t>צריך שהאדם יהיה מהול, ודומה לנוטל צפרניו או שפמו דחייב</w:t>
      </w:r>
      <w:r>
        <w:rPr>
          <w:rFonts w:hint="cs"/>
          <w:rtl/>
        </w:rPr>
        <w:t xml:space="preserve"> משום גוזז,</w:t>
      </w:r>
      <w:r w:rsidRPr="00D0484B">
        <w:rPr>
          <w:rFonts w:hint="cs"/>
          <w:rtl/>
        </w:rPr>
        <w:t xml:space="preserve"> אף שא"צ את הצפרנ</w:t>
      </w:r>
      <w:r>
        <w:rPr>
          <w:rFonts w:hint="cs"/>
          <w:rtl/>
        </w:rPr>
        <w:t>י</w:t>
      </w:r>
      <w:r w:rsidRPr="00D0484B">
        <w:rPr>
          <w:rFonts w:hint="cs"/>
          <w:rtl/>
        </w:rPr>
        <w:t>ים והשיער,</w:t>
      </w:r>
      <w:r w:rsidRPr="00935DB8">
        <w:rPr>
          <w:rFonts w:hint="cs"/>
          <w:rtl/>
        </w:rPr>
        <w:t xml:space="preserve"> </w:t>
      </w:r>
      <w:r>
        <w:rPr>
          <w:rFonts w:hint="cs"/>
          <w:rtl/>
        </w:rPr>
        <w:t>ו</w:t>
      </w:r>
      <w:r w:rsidRPr="00D0484B">
        <w:rPr>
          <w:rFonts w:hint="cs"/>
          <w:rtl/>
        </w:rPr>
        <w:t>ה"ה בזורה ובורר</w:t>
      </w:r>
      <w:r>
        <w:rPr>
          <w:rFonts w:hint="cs"/>
          <w:rtl/>
        </w:rPr>
        <w:t xml:space="preserve"> ובחובל, ביאר </w:t>
      </w:r>
      <w:r w:rsidRPr="002B585D">
        <w:rPr>
          <w:rStyle w:val="aff4"/>
          <w:rFonts w:hint="cs"/>
          <w:vanish/>
          <w:rtl/>
        </w:rPr>
        <w:t>-</w:t>
      </w:r>
      <w:r w:rsidRPr="001909B2">
        <w:rPr>
          <w:rStyle w:val="aff4"/>
          <w:rFonts w:hint="cs"/>
          <w:rtl/>
        </w:rPr>
        <w:t>ה</w:t>
      </w:r>
      <w:r w:rsidRPr="002B585D">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Ref136474611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נג)</w:t>
      </w:r>
      <w:r>
        <w:rPr>
          <w:rStyle w:val="aff4"/>
          <w:vanish/>
          <w:rtl/>
        </w:rPr>
        <w:fldChar w:fldCharType="end"/>
      </w:r>
      <w:r w:rsidRPr="002B585D">
        <w:rPr>
          <w:rStyle w:val="aff4"/>
          <w:rFonts w:hint="cs"/>
          <w:vanish/>
          <w:rtl/>
        </w:rPr>
        <w:t xml:space="preserve"> &gt;</w:t>
      </w:r>
      <w:r w:rsidRPr="001909B2">
        <w:rPr>
          <w:rStyle w:val="aff4"/>
          <w:rFonts w:hint="cs"/>
          <w:rtl/>
        </w:rPr>
        <w:t>קה"י</w:t>
      </w:r>
      <w:r w:rsidRPr="002B585D">
        <w:rPr>
          <w:rStyle w:val="aff4"/>
          <w:rFonts w:hint="cs"/>
          <w:vanish/>
          <w:rtl/>
        </w:rPr>
        <w:t>-</w:t>
      </w:r>
      <w:r>
        <w:rPr>
          <w:rFonts w:hint="cs"/>
          <w:rtl/>
        </w:rPr>
        <w:t xml:space="preserve"> </w:t>
      </w:r>
      <w:r w:rsidRPr="00D4778B">
        <w:rPr>
          <w:rStyle w:val="af2"/>
          <w:rFonts w:eastAsia="Guttman Hodes" w:hint="cs"/>
          <w:rtl/>
        </w:rPr>
        <w:t>(סי' מ"ט)</w:t>
      </w:r>
      <w:r w:rsidRPr="002B585D">
        <w:rPr>
          <w:rFonts w:hint="cs"/>
          <w:vanish/>
          <w:rtl/>
        </w:rPr>
        <w:t>=</w:t>
      </w:r>
      <w:r>
        <w:rPr>
          <w:rFonts w:hint="cs"/>
          <w:rtl/>
        </w:rPr>
        <w:t xml:space="preserve"> דבכל מלאכה שצריך להפריד דבר מהשני, והמלאכה נעשית בב' החלקים שמפרידם ואחד מהם הוא צריך לו, חשיב צריכה לגופה, ולכן בגוזז דהוא מפריד את השיער מהעור, דהמלאכה נעשית גם בשיער וגם בעור, וכל שהוא צריך את אחד מהם הוי מלאכה הצריכה לגופה</w:t>
      </w:r>
      <w:bookmarkEnd w:id="2123"/>
      <w:r>
        <w:rPr>
          <w:rFonts w:hint="cs"/>
          <w:rtl/>
        </w:rPr>
        <w:t>.</w:t>
      </w:r>
      <w:bookmarkEnd w:id="2124"/>
      <w:r>
        <w:rPr>
          <w:rFonts w:hint="cs"/>
          <w:rtl/>
        </w:rPr>
        <w:t xml:space="preserve"> </w:t>
      </w:r>
    </w:p>
    <w:p w14:paraId="4E7C29AE" w14:textId="77777777" w:rsidR="00316453" w:rsidRPr="00747170" w:rsidRDefault="00316453" w:rsidP="00747170">
      <w:pPr>
        <w:pStyle w:val="a2"/>
        <w:rPr>
          <w:rtl/>
        </w:rPr>
      </w:pPr>
      <w:r w:rsidRPr="00747170">
        <w:rPr>
          <w:rtl/>
        </w:rPr>
        <w:t>וביאור דבריו הקדושים ז"ל הוא דכל היכא שהוא דבר אחד והמלאכה הוא הפרדת קצתו מקצתו התם המלאכה נעשית בשני החלקים שזה נפרד מזה וזה נפרד מזה ואם באחד מהחלקים הוא לצורך נחשב מלאכה הצריכה לגופה ומשו"ה בגוזז שענינו הפרדת השער מהשלח וזה נעשה בהשער ובהגוף שמחובר בו נקרא שהמלאכה נעשית בשני החלקים וסגי בשצריך לגופה באחד מהחלקים וכן חובל יסוד מלאכתו הוא הפרדת חלק בהבע"ח דודאי אם יחתוך אחד מאיבריו נקרא חובל וה"ה הוצאת דם נקרא חובל מחמת הפרדתו חלק מהבע"ח וסגי בשהוא לצורך אחד מהחלקים אבל חפירת גומא אינה מלאכה מחמת שהוא מחתך בעפר ומחלקו אלא מחמת שנעשה כותל שהרי אם יעשה כותל ע"י הנחת אבנים ועצים ה"ז בונה גמור אע"פ שאין שם ענין</w:t>
      </w:r>
      <w:r w:rsidRPr="00747170">
        <w:rPr>
          <w:rFonts w:hint="cs"/>
          <w:rtl/>
        </w:rPr>
        <w:t xml:space="preserve"> </w:t>
      </w:r>
      <w:r w:rsidRPr="00747170">
        <w:rPr>
          <w:rtl/>
        </w:rPr>
        <w:t xml:space="preserve">הפרדת דבר מדבר והיינו משום שיסוד המלאכה הוא עשיית דבר דהיינו בנין ולא הפרדת דבר ולכן החופר גומא וא"צ להבנין אלא לעפרה הוי מלאכה שאצל"ג לפי שאין המלאכה אלא בבנין הגומא ולא בהעפר שהפריד משם וכבר כתבתי כ"ז בקה"י כתובות סי' </w:t>
      </w:r>
      <w:r w:rsidRPr="00747170">
        <w:rPr>
          <w:rFonts w:hint="cs"/>
          <w:rtl/>
        </w:rPr>
        <w:t>ג'</w:t>
      </w:r>
      <w:r w:rsidRPr="00747170">
        <w:rPr>
          <w:rtl/>
        </w:rPr>
        <w:t xml:space="preserve"> וכאן כתבתי קצת בסגנון אחר והכל אחד</w:t>
      </w:r>
      <w:r w:rsidRPr="00747170">
        <w:rPr>
          <w:rFonts w:hint="cs"/>
          <w:rtl/>
        </w:rPr>
        <w:t>.</w:t>
      </w:r>
    </w:p>
    <w:p w14:paraId="0C57E2FD" w14:textId="77777777" w:rsidR="00316453" w:rsidRDefault="00316453" w:rsidP="00316453">
      <w:pPr>
        <w:pStyle w:val="afffff7"/>
        <w:rPr>
          <w:rtl/>
        </w:rPr>
      </w:pPr>
      <w:bookmarkStart w:id="2125" w:name="_Toc136620483"/>
      <w:bookmarkStart w:id="2126" w:name="_Toc163505762"/>
      <w:r>
        <w:rPr>
          <w:rFonts w:hint="cs"/>
          <w:rtl/>
        </w:rPr>
        <w:t>קהלות יעקב כתובות סי' ג' אות ב' ד</w:t>
      </w:r>
      <w:r>
        <w:rPr>
          <w:rFonts w:cs="Guttman Hodes" w:hint="cs"/>
          <w:rtl/>
        </w:rPr>
        <w:t>"</w:t>
      </w:r>
      <w:r>
        <w:rPr>
          <w:rFonts w:hint="cs"/>
          <w:rtl/>
        </w:rPr>
        <w:t>ה ואיכא</w:t>
      </w:r>
      <w:bookmarkStart w:id="2127" w:name="_Toc135588039"/>
      <w:bookmarkEnd w:id="2125"/>
      <w:bookmarkEnd w:id="2126"/>
    </w:p>
    <w:p w14:paraId="22ABB12B" w14:textId="77777777" w:rsidR="00316453" w:rsidRDefault="00316453" w:rsidP="00316453">
      <w:pPr>
        <w:pStyle w:val="a7"/>
        <w:rPr>
          <w:rtl/>
        </w:rPr>
      </w:pPr>
      <w:bookmarkStart w:id="2128" w:name="_Toc136618719"/>
      <w:r>
        <w:rPr>
          <w:rFonts w:hint="cs"/>
          <w:rtl/>
        </w:rPr>
        <w:t>בי' הקה"י דבחופר גומא עיקר המלאכה אינה הפרדה ורק בגוזז ובורר וזורה חייב בהפרדה עצמה</w:t>
      </w:r>
      <w:bookmarkEnd w:id="2128"/>
    </w:p>
    <w:p w14:paraId="2FB88D5F" w14:textId="79BDA3E1" w:rsidR="00316453" w:rsidRPr="00517ED4" w:rsidRDefault="00316453" w:rsidP="00BC7DC8">
      <w:pPr>
        <w:pStyle w:val="a3"/>
        <w:rPr>
          <w:rtl/>
        </w:rPr>
      </w:pPr>
      <w:bookmarkStart w:id="2129" w:name="_Ref136445664"/>
      <w:r>
        <w:rPr>
          <w:rFonts w:hint="cs"/>
          <w:rtl/>
        </w:rPr>
        <w:t xml:space="preserve">ובמ"ש </w:t>
      </w:r>
      <w:r w:rsidRPr="00D775FE">
        <w:rPr>
          <w:rStyle w:val="aff4"/>
          <w:rFonts w:hint="cs"/>
          <w:vanish/>
          <w:rtl/>
        </w:rPr>
        <w:t>-</w:t>
      </w:r>
      <w:r w:rsidRPr="00C86935">
        <w:rPr>
          <w:rStyle w:val="aff4"/>
          <w:rFonts w:hint="cs"/>
          <w:rtl/>
        </w:rPr>
        <w:t>הרמב"ן</w:t>
      </w:r>
      <w:r w:rsidRPr="00D775FE">
        <w:rPr>
          <w:rStyle w:val="aff4"/>
          <w:rFonts w:hint="cs"/>
          <w:vanish/>
          <w:rtl/>
        </w:rPr>
        <w:t>-</w:t>
      </w:r>
      <w:r>
        <w:rPr>
          <w:rFonts w:hint="cs"/>
          <w:rtl/>
        </w:rPr>
        <w:t xml:space="preserve"> </w:t>
      </w:r>
      <w:r w:rsidRPr="00D4778B">
        <w:rPr>
          <w:rStyle w:val="af2"/>
          <w:rFonts w:eastAsia="Guttman Hodes" w:hint="cs"/>
          <w:rtl/>
        </w:rPr>
        <w:t xml:space="preserve">(עי' אות </w:t>
      </w:r>
      <w:r w:rsidRPr="00D4778B">
        <w:rPr>
          <w:rStyle w:val="af2"/>
          <w:rFonts w:eastAsia="Guttman Hodes"/>
          <w:rtl/>
        </w:rPr>
        <w:fldChar w:fldCharType="begin"/>
      </w:r>
      <w:r w:rsidRPr="00D4778B">
        <w:rPr>
          <w:rStyle w:val="af2"/>
          <w:rFonts w:eastAsia="Guttman Hodes"/>
          <w:rtl/>
        </w:rPr>
        <w:instrText xml:space="preserve"> </w:instrText>
      </w:r>
      <w:r w:rsidRPr="00D4778B">
        <w:rPr>
          <w:rStyle w:val="af2"/>
          <w:rFonts w:eastAsia="Guttman Hodes" w:hint="cs"/>
        </w:rPr>
        <w:instrText>REF</w:instrText>
      </w:r>
      <w:r w:rsidRPr="00D4778B">
        <w:rPr>
          <w:rStyle w:val="af2"/>
          <w:rFonts w:eastAsia="Guttman Hodes" w:hint="cs"/>
          <w:rtl/>
        </w:rPr>
        <w:instrText xml:space="preserve"> _</w:instrText>
      </w:r>
      <w:r w:rsidRPr="00D4778B">
        <w:rPr>
          <w:rStyle w:val="af2"/>
          <w:rFonts w:eastAsia="Guttman Hodes" w:hint="cs"/>
        </w:rPr>
        <w:instrText>Ref135760467 \r \h</w:instrText>
      </w:r>
      <w:r w:rsidRPr="00D4778B">
        <w:rPr>
          <w:rStyle w:val="af2"/>
          <w:rFonts w:eastAsia="Guttman Hodes"/>
          <w:rtl/>
        </w:rPr>
        <w:instrText xml:space="preserve"> </w:instrText>
      </w:r>
      <w:r w:rsidRPr="00D4778B">
        <w:rPr>
          <w:rStyle w:val="af2"/>
          <w:rFonts w:eastAsia="Guttman Hodes"/>
          <w:rtl/>
        </w:rPr>
      </w:r>
      <w:r w:rsidRPr="00D4778B">
        <w:rPr>
          <w:rStyle w:val="af2"/>
          <w:rFonts w:eastAsia="Guttman Hodes"/>
          <w:rtl/>
        </w:rPr>
        <w:fldChar w:fldCharType="separate"/>
      </w:r>
      <w:r w:rsidR="00D82181">
        <w:rPr>
          <w:rStyle w:val="af2"/>
          <w:rFonts w:eastAsia="Guttman Hodes"/>
          <w:cs/>
        </w:rPr>
        <w:t>‎</w:t>
      </w:r>
      <w:r w:rsidR="00D82181">
        <w:rPr>
          <w:rStyle w:val="af2"/>
          <w:rFonts w:eastAsia="Guttman Hodes"/>
          <w:rtl/>
        </w:rPr>
        <w:t>ח)</w:t>
      </w:r>
      <w:r w:rsidRPr="00D4778B">
        <w:rPr>
          <w:rStyle w:val="af2"/>
          <w:rFonts w:eastAsia="Guttman Hodes"/>
          <w:rtl/>
        </w:rPr>
        <w:fldChar w:fldCharType="end"/>
      </w:r>
      <w:r>
        <w:rPr>
          <w:rFonts w:hint="cs"/>
          <w:rtl/>
        </w:rPr>
        <w:t xml:space="preserve"> דחופר גומה וצריך לעפרה, המלאכה היא בבניין הקרקע, ולא בחפירת העפר, ולא דמי לגוזז</w:t>
      </w:r>
      <w:r w:rsidRPr="005D6F9B">
        <w:rPr>
          <w:rFonts w:hint="cs"/>
          <w:rtl/>
        </w:rPr>
        <w:t xml:space="preserve"> </w:t>
      </w:r>
      <w:r>
        <w:rPr>
          <w:rFonts w:hint="cs"/>
          <w:rtl/>
        </w:rPr>
        <w:t xml:space="preserve">ונוטל שערו וצפורניו, דהם דבר אחד והנטילה עצמה היא המלאכה, הקשה </w:t>
      </w:r>
      <w:r w:rsidRPr="00CB65AA">
        <w:rPr>
          <w:rStyle w:val="aff4"/>
          <w:rFonts w:hint="cs"/>
          <w:vanish/>
          <w:rtl/>
        </w:rPr>
        <w:t>-</w:t>
      </w:r>
      <w:r w:rsidRPr="00996495">
        <w:rPr>
          <w:rStyle w:val="aff4"/>
          <w:rFonts w:hint="cs"/>
          <w:rtl/>
        </w:rPr>
        <w:t>ה</w:t>
      </w:r>
      <w:r w:rsidRPr="0062777A">
        <w:rPr>
          <w:rStyle w:val="aff4"/>
          <w:rFonts w:hint="cs"/>
          <w:vanish/>
          <w:rtl/>
        </w:rPr>
        <w:t xml:space="preserve">&lt;. </w:t>
      </w:r>
      <w:r w:rsidRPr="0062777A">
        <w:rPr>
          <w:rStyle w:val="aff4"/>
          <w:vanish/>
          <w:rtl/>
        </w:rPr>
        <w:fldChar w:fldCharType="begin"/>
      </w:r>
      <w:r w:rsidRPr="0062777A">
        <w:rPr>
          <w:rStyle w:val="aff4"/>
          <w:vanish/>
          <w:rtl/>
        </w:rPr>
        <w:instrText xml:space="preserve"> </w:instrText>
      </w:r>
      <w:r w:rsidRPr="0062777A">
        <w:rPr>
          <w:rStyle w:val="aff4"/>
          <w:rFonts w:hint="cs"/>
          <w:vanish/>
        </w:rPr>
        <w:instrText>REF</w:instrText>
      </w:r>
      <w:r w:rsidRPr="0062777A">
        <w:rPr>
          <w:rStyle w:val="aff4"/>
          <w:rFonts w:hint="cs"/>
          <w:vanish/>
          <w:rtl/>
        </w:rPr>
        <w:instrText xml:space="preserve"> _</w:instrText>
      </w:r>
      <w:r w:rsidRPr="0062777A">
        <w:rPr>
          <w:rStyle w:val="aff4"/>
          <w:rFonts w:hint="cs"/>
          <w:vanish/>
        </w:rPr>
        <w:instrText>Ref136445664 \r \h</w:instrText>
      </w:r>
      <w:r w:rsidRPr="0062777A">
        <w:rPr>
          <w:rStyle w:val="aff4"/>
          <w:vanish/>
          <w:rtl/>
        </w:rPr>
        <w:instrText xml:space="preserve"> </w:instrText>
      </w:r>
      <w:r w:rsidRPr="0062777A">
        <w:rPr>
          <w:rStyle w:val="aff4"/>
          <w:vanish/>
          <w:rtl/>
        </w:rPr>
      </w:r>
      <w:r w:rsidRPr="0062777A">
        <w:rPr>
          <w:rStyle w:val="aff4"/>
          <w:vanish/>
          <w:rtl/>
        </w:rPr>
        <w:fldChar w:fldCharType="separate"/>
      </w:r>
      <w:r w:rsidR="00D82181">
        <w:rPr>
          <w:rStyle w:val="aff4"/>
          <w:vanish/>
          <w:cs/>
        </w:rPr>
        <w:t>‎</w:t>
      </w:r>
      <w:r w:rsidR="00D82181">
        <w:rPr>
          <w:rStyle w:val="aff4"/>
          <w:vanish/>
          <w:rtl/>
        </w:rPr>
        <w:t>נד)</w:t>
      </w:r>
      <w:r w:rsidRPr="0062777A">
        <w:rPr>
          <w:rStyle w:val="aff4"/>
          <w:vanish/>
          <w:rtl/>
        </w:rPr>
        <w:fldChar w:fldCharType="end"/>
      </w:r>
      <w:r w:rsidRPr="0062777A">
        <w:rPr>
          <w:rStyle w:val="aff4"/>
          <w:rFonts w:hint="cs"/>
          <w:vanish/>
          <w:rtl/>
        </w:rPr>
        <w:t xml:space="preserve"> &gt;</w:t>
      </w:r>
      <w:r w:rsidRPr="00996495">
        <w:rPr>
          <w:rStyle w:val="aff4"/>
          <w:rFonts w:hint="cs"/>
          <w:rtl/>
        </w:rPr>
        <w:t>קה"י בכתובות</w:t>
      </w:r>
      <w:r w:rsidRPr="00CB65AA">
        <w:rPr>
          <w:rStyle w:val="aff4"/>
          <w:rFonts w:hint="cs"/>
          <w:vanish/>
          <w:rtl/>
        </w:rPr>
        <w:t>-</w:t>
      </w:r>
      <w:r>
        <w:rPr>
          <w:rFonts w:hint="cs"/>
          <w:rtl/>
        </w:rPr>
        <w:t xml:space="preserve"> </w:t>
      </w:r>
      <w:r w:rsidRPr="00D4778B">
        <w:rPr>
          <w:rStyle w:val="af2"/>
          <w:rFonts w:eastAsia="Guttman Hodes" w:hint="cs"/>
          <w:rtl/>
        </w:rPr>
        <w:t>(סי' ג' אות ב' ד"ה ואיכא)</w:t>
      </w:r>
      <w:r w:rsidRPr="00CB65AA">
        <w:rPr>
          <w:rFonts w:hint="cs"/>
          <w:vanish/>
          <w:rtl/>
        </w:rPr>
        <w:t>=</w:t>
      </w:r>
      <w:bookmarkEnd w:id="2129"/>
      <w:r>
        <w:rPr>
          <w:rFonts w:hint="cs"/>
          <w:rtl/>
        </w:rPr>
        <w:t xml:space="preserve"> דאף העפר והקרקע הם דבר אחד והוא מפרידם כיון שהוא צריך את אחד מהם שהוא העפר, וביאר </w:t>
      </w:r>
      <w:r w:rsidRPr="00CB65AA">
        <w:rPr>
          <w:rStyle w:val="aff4"/>
          <w:rFonts w:hint="cs"/>
          <w:vanish/>
          <w:rtl/>
        </w:rPr>
        <w:t>-</w:t>
      </w:r>
      <w:r w:rsidRPr="00996495">
        <w:rPr>
          <w:rStyle w:val="aff4"/>
          <w:rFonts w:hint="cs"/>
          <w:rtl/>
        </w:rPr>
        <w:t>הקה"י</w:t>
      </w:r>
      <w:r w:rsidRPr="00CB65AA">
        <w:rPr>
          <w:rStyle w:val="aff4"/>
          <w:rFonts w:hint="cs"/>
          <w:vanish/>
          <w:rtl/>
        </w:rPr>
        <w:t>-</w:t>
      </w:r>
      <w:r>
        <w:rPr>
          <w:rFonts w:hint="cs"/>
          <w:rtl/>
        </w:rPr>
        <w:t xml:space="preserve"> דכוונת </w:t>
      </w:r>
      <w:r w:rsidRPr="00CB65AA">
        <w:rPr>
          <w:rStyle w:val="aff4"/>
          <w:rFonts w:hint="cs"/>
          <w:vanish/>
          <w:rtl/>
        </w:rPr>
        <w:t>-</w:t>
      </w:r>
      <w:r w:rsidRPr="00996495">
        <w:rPr>
          <w:rStyle w:val="aff4"/>
          <w:rFonts w:hint="cs"/>
          <w:rtl/>
        </w:rPr>
        <w:t>הרמב"ן</w:t>
      </w:r>
      <w:r w:rsidRPr="00CB65AA">
        <w:rPr>
          <w:rStyle w:val="aff4"/>
          <w:rFonts w:hint="cs"/>
          <w:vanish/>
          <w:rtl/>
        </w:rPr>
        <w:t>-</w:t>
      </w:r>
      <w:r>
        <w:rPr>
          <w:rFonts w:hint="cs"/>
          <w:rtl/>
        </w:rPr>
        <w:t xml:space="preserve"> לומר דאפשר לחייב על עצם המלאכה, רק במלאכה שיסודה הוא הפרדה כגוזז שמפריד שיער מעור, או נטילת נשמה דמפריד נשמה מגוף, וזורה ובורר ומרקד, אבל חופר גופא דמלאכת בנין אין יסודה הפרדה, א"א לחייב על עצם ההפרדה, ואף שע"י ההפרדה נעשה בנין הגומא, מ"מ לא ההפרדה עצמה היא המלאכה אלא התוצאה שנעשים כתלים עי"ז, ולכן בצריך לעפרה הוי מלאכה שא"צ לגופה, </w:t>
      </w:r>
      <w:r w:rsidRPr="00D4778B">
        <w:rPr>
          <w:rStyle w:val="af"/>
          <w:rFonts w:hint="cs"/>
          <w:rtl/>
        </w:rPr>
        <w:t xml:space="preserve">[ועיי"ש במ"ש </w:t>
      </w:r>
      <w:r w:rsidRPr="00EB1A7E">
        <w:rPr>
          <w:rStyle w:val="aff9"/>
          <w:rFonts w:hint="cs"/>
          <w:vanish/>
          <w:rtl/>
        </w:rPr>
        <w:t>-</w:t>
      </w:r>
      <w:r w:rsidRPr="00D4778B">
        <w:rPr>
          <w:rStyle w:val="aff9"/>
          <w:rFonts w:hint="cs"/>
          <w:rtl/>
        </w:rPr>
        <w:t>הקה"י</w:t>
      </w:r>
      <w:r w:rsidRPr="00EB1A7E">
        <w:rPr>
          <w:rStyle w:val="aff9"/>
          <w:rFonts w:hint="cs"/>
          <w:vanish/>
          <w:rtl/>
        </w:rPr>
        <w:t>-</w:t>
      </w:r>
      <w:r w:rsidRPr="00D4778B">
        <w:rPr>
          <w:rStyle w:val="af"/>
          <w:rFonts w:hint="cs"/>
          <w:rtl/>
        </w:rPr>
        <w:t xml:space="preserve"> דה"ה לענין דש, אך בסוף דבריו חזר בו]</w:t>
      </w:r>
      <w:r>
        <w:rPr>
          <w:rStyle w:val="af"/>
          <w:rFonts w:hint="cs"/>
          <w:rtl/>
        </w:rPr>
        <w:t xml:space="preserve">, </w:t>
      </w:r>
      <w:r>
        <w:rPr>
          <w:rFonts w:hint="cs"/>
          <w:rtl/>
        </w:rPr>
        <w:t xml:space="preserve">וכעי"ז כתב </w:t>
      </w:r>
      <w:r w:rsidRPr="00EB1A7E">
        <w:rPr>
          <w:rStyle w:val="aff4"/>
          <w:rFonts w:hint="cs"/>
          <w:vanish/>
          <w:rtl/>
        </w:rPr>
        <w:t>-</w:t>
      </w:r>
      <w:r w:rsidRPr="00D4778B">
        <w:rPr>
          <w:rStyle w:val="aff4"/>
          <w:rFonts w:hint="cs"/>
          <w:rtl/>
        </w:rPr>
        <w:t>השביתת השבת</w:t>
      </w:r>
      <w:r w:rsidRPr="00EB1A7E">
        <w:rPr>
          <w:rStyle w:val="aff4"/>
          <w:rFonts w:hint="cs"/>
          <w:vanish/>
          <w:rtl/>
        </w:rPr>
        <w:t>-</w:t>
      </w:r>
      <w:r>
        <w:rPr>
          <w:rFonts w:hint="cs"/>
          <w:rtl/>
        </w:rPr>
        <w:t xml:space="preserve"> </w:t>
      </w:r>
      <w:r>
        <w:rPr>
          <w:rStyle w:val="af2"/>
          <w:rFonts w:eastAsia="Guttman Hodes" w:hint="cs"/>
          <w:rtl/>
        </w:rPr>
        <w:t>(</w:t>
      </w:r>
      <w:r w:rsidRPr="006755BA">
        <w:rPr>
          <w:rStyle w:val="af2"/>
          <w:rFonts w:eastAsia="Guttman Hodes" w:hint="cs"/>
          <w:rtl/>
        </w:rPr>
        <w:t xml:space="preserve">עי' אות </w:t>
      </w:r>
      <w:r w:rsidRPr="006755BA">
        <w:rPr>
          <w:rStyle w:val="af2"/>
          <w:rFonts w:eastAsia="Guttman Hodes"/>
          <w:rtl/>
        </w:rPr>
        <w:fldChar w:fldCharType="begin"/>
      </w:r>
      <w:r w:rsidRPr="006755BA">
        <w:rPr>
          <w:rStyle w:val="af2"/>
          <w:rFonts w:eastAsia="Guttman Hodes"/>
          <w:rtl/>
        </w:rPr>
        <w:instrText xml:space="preserve"> </w:instrText>
      </w:r>
      <w:r w:rsidRPr="006755BA">
        <w:rPr>
          <w:rStyle w:val="af2"/>
          <w:rFonts w:eastAsia="Guttman Hodes" w:hint="cs"/>
        </w:rPr>
        <w:instrText>REF</w:instrText>
      </w:r>
      <w:r w:rsidRPr="006755BA">
        <w:rPr>
          <w:rStyle w:val="af2"/>
          <w:rFonts w:eastAsia="Guttman Hodes" w:hint="cs"/>
          <w:rtl/>
        </w:rPr>
        <w:instrText xml:space="preserve"> _</w:instrText>
      </w:r>
      <w:r w:rsidRPr="006755BA">
        <w:rPr>
          <w:rStyle w:val="af2"/>
          <w:rFonts w:eastAsia="Guttman Hodes" w:hint="cs"/>
        </w:rPr>
        <w:instrText>Ref136474622 \r \h</w:instrText>
      </w:r>
      <w:r w:rsidRPr="006755BA">
        <w:rPr>
          <w:rStyle w:val="af2"/>
          <w:rFonts w:eastAsia="Guttman Hodes"/>
          <w:rtl/>
        </w:rPr>
        <w:instrText xml:space="preserve"> </w:instrText>
      </w:r>
      <w:r w:rsidRPr="006755BA">
        <w:rPr>
          <w:rStyle w:val="af2"/>
          <w:rFonts w:eastAsia="Guttman Hodes"/>
          <w:rtl/>
        </w:rPr>
      </w:r>
      <w:r w:rsidRPr="006755BA">
        <w:rPr>
          <w:rStyle w:val="af2"/>
          <w:rFonts w:eastAsia="Guttman Hodes"/>
          <w:rtl/>
        </w:rPr>
        <w:fldChar w:fldCharType="separate"/>
      </w:r>
      <w:r w:rsidR="00D82181">
        <w:rPr>
          <w:rStyle w:val="af2"/>
          <w:rFonts w:eastAsia="Guttman Hodes"/>
          <w:cs/>
        </w:rPr>
        <w:t>‎</w:t>
      </w:r>
      <w:r w:rsidR="00D82181">
        <w:rPr>
          <w:rStyle w:val="af2"/>
          <w:rFonts w:eastAsia="Guttman Hodes"/>
          <w:rtl/>
        </w:rPr>
        <w:t>נז)</w:t>
      </w:r>
      <w:r w:rsidRPr="006755BA">
        <w:rPr>
          <w:rStyle w:val="af2"/>
          <w:rFonts w:eastAsia="Guttman Hodes"/>
          <w:rtl/>
        </w:rPr>
        <w:fldChar w:fldCharType="end"/>
      </w:r>
      <w:r>
        <w:rPr>
          <w:rFonts w:hint="cs"/>
          <w:rtl/>
        </w:rPr>
        <w:t>.</w:t>
      </w:r>
    </w:p>
    <w:p w14:paraId="56144BAE" w14:textId="77777777" w:rsidR="00316453" w:rsidRPr="00747170" w:rsidRDefault="00316453" w:rsidP="00747170">
      <w:pPr>
        <w:pStyle w:val="a2"/>
      </w:pPr>
      <w:r w:rsidRPr="00747170">
        <w:rPr>
          <w:rtl/>
        </w:rPr>
        <w:t>ומה שמחלק הרמב"ן ז"ל מחופר גומא וא"צ אלא ל</w:t>
      </w:r>
      <w:r w:rsidRPr="00747170">
        <w:rPr>
          <w:rFonts w:hint="cs"/>
          <w:rtl/>
        </w:rPr>
        <w:t>עפ</w:t>
      </w:r>
      <w:r w:rsidRPr="00747170">
        <w:rPr>
          <w:rtl/>
        </w:rPr>
        <w:t xml:space="preserve">רה </w:t>
      </w:r>
      <w:r w:rsidRPr="00747170">
        <w:rPr>
          <w:rFonts w:hint="cs"/>
          <w:rtl/>
        </w:rPr>
        <w:t>ד</w:t>
      </w:r>
      <w:r w:rsidRPr="00747170">
        <w:rPr>
          <w:rtl/>
        </w:rPr>
        <w:t>לא חשיב</w:t>
      </w:r>
      <w:r w:rsidRPr="00747170">
        <w:rPr>
          <w:rFonts w:hint="cs"/>
          <w:rtl/>
        </w:rPr>
        <w:t xml:space="preserve"> </w:t>
      </w:r>
      <w:r w:rsidRPr="00747170">
        <w:rPr>
          <w:rtl/>
        </w:rPr>
        <w:t xml:space="preserve">צריכה לגופה משום שהבנין הוא בקרקע והוא הנקרא מלאכה צריך ביאור </w:t>
      </w:r>
      <w:r w:rsidRPr="00747170">
        <w:rPr>
          <w:rFonts w:hint="cs"/>
          <w:rtl/>
        </w:rPr>
        <w:t>ד</w:t>
      </w:r>
      <w:r w:rsidRPr="00747170">
        <w:rPr>
          <w:rtl/>
        </w:rPr>
        <w:t xml:space="preserve">מ"מ הי' העפר והקרקע </w:t>
      </w:r>
      <w:r w:rsidRPr="00747170">
        <w:rPr>
          <w:rFonts w:hint="cs"/>
          <w:rtl/>
        </w:rPr>
        <w:t>ד</w:t>
      </w:r>
      <w:r w:rsidRPr="00747170">
        <w:rPr>
          <w:rtl/>
        </w:rPr>
        <w:t>בר אח</w:t>
      </w:r>
      <w:r w:rsidRPr="00747170">
        <w:rPr>
          <w:rFonts w:hint="cs"/>
          <w:rtl/>
        </w:rPr>
        <w:t>ר</w:t>
      </w:r>
      <w:r w:rsidRPr="00747170">
        <w:rPr>
          <w:rtl/>
        </w:rPr>
        <w:t xml:space="preserve"> והוא מפרידו בשביל חלק ממנו שהוא העפר ונראה כוונת הרמב"ן ז"ל </w:t>
      </w:r>
      <w:r w:rsidRPr="00747170">
        <w:rPr>
          <w:rFonts w:hint="cs"/>
          <w:rtl/>
        </w:rPr>
        <w:t>דד</w:t>
      </w:r>
      <w:r w:rsidRPr="00747170">
        <w:rPr>
          <w:rtl/>
        </w:rPr>
        <w:t xml:space="preserve">וקא כשעיקר ענין המלאכה הוא הפרדה כגון מלאכת גוזז שיסודו הוא הפרדת שער מהעור או מלאכת נטילת נשמה שיסודו הוא הפרדת </w:t>
      </w:r>
      <w:r w:rsidRPr="00747170">
        <w:rPr>
          <w:rFonts w:hint="cs"/>
          <w:rtl/>
        </w:rPr>
        <w:t>נ</w:t>
      </w:r>
      <w:r w:rsidRPr="00747170">
        <w:rPr>
          <w:rtl/>
        </w:rPr>
        <w:t xml:space="preserve">פש מהגוף וכן מלאכת </w:t>
      </w:r>
      <w:r w:rsidRPr="00747170">
        <w:rPr>
          <w:rFonts w:hint="cs"/>
          <w:rtl/>
        </w:rPr>
        <w:t>ד</w:t>
      </w:r>
      <w:r w:rsidRPr="00747170">
        <w:rPr>
          <w:rtl/>
        </w:rPr>
        <w:t xml:space="preserve">ש שיסודו הפרדת האוכל מקליפה שסביבו וכן זורה בורר ומרקד בכל הני עיקר ענין מלאכתו הוא הפרדת </w:t>
      </w:r>
      <w:r w:rsidRPr="00747170">
        <w:rPr>
          <w:rFonts w:hint="cs"/>
          <w:rtl/>
        </w:rPr>
        <w:t>ד</w:t>
      </w:r>
      <w:r w:rsidRPr="00747170">
        <w:rPr>
          <w:rtl/>
        </w:rPr>
        <w:t>בר מ</w:t>
      </w:r>
      <w:r w:rsidRPr="00747170">
        <w:rPr>
          <w:rFonts w:hint="cs"/>
          <w:rtl/>
        </w:rPr>
        <w:t>ד</w:t>
      </w:r>
      <w:r w:rsidRPr="00747170">
        <w:rPr>
          <w:rtl/>
        </w:rPr>
        <w:t>בר ובזה אמרי</w:t>
      </w:r>
      <w:r w:rsidRPr="00747170">
        <w:rPr>
          <w:rFonts w:hint="cs"/>
          <w:rtl/>
        </w:rPr>
        <w:t>נ</w:t>
      </w:r>
      <w:r w:rsidRPr="00747170">
        <w:rPr>
          <w:rtl/>
        </w:rPr>
        <w:t>ן לכל שיש לו צורך בא' מהחלקים שהפריד מקרי צריכה לגופה דלכל חלק ש</w:t>
      </w:r>
      <w:r w:rsidRPr="00747170">
        <w:rPr>
          <w:rFonts w:hint="cs"/>
          <w:rtl/>
        </w:rPr>
        <w:t>בו</w:t>
      </w:r>
      <w:r w:rsidRPr="00747170">
        <w:rPr>
          <w:rtl/>
        </w:rPr>
        <w:t xml:space="preserve"> נ</w:t>
      </w:r>
      <w:r w:rsidRPr="00747170">
        <w:rPr>
          <w:rFonts w:hint="cs"/>
          <w:rtl/>
        </w:rPr>
        <w:t>חוץ</w:t>
      </w:r>
      <w:r w:rsidRPr="00747170">
        <w:rPr>
          <w:rtl/>
        </w:rPr>
        <w:t xml:space="preserve"> וצריך מלאכת הפרדתם זה מזה אבל מלאכת בנין אין עיקר ענין המלאכה הפרדת </w:t>
      </w:r>
      <w:r w:rsidRPr="00747170">
        <w:rPr>
          <w:rFonts w:hint="cs"/>
          <w:rtl/>
        </w:rPr>
        <w:t>ד</w:t>
      </w:r>
      <w:r w:rsidRPr="00747170">
        <w:rPr>
          <w:rtl/>
        </w:rPr>
        <w:t>בר מ</w:t>
      </w:r>
      <w:r w:rsidRPr="00747170">
        <w:rPr>
          <w:rFonts w:hint="cs"/>
          <w:rtl/>
        </w:rPr>
        <w:t>ד</w:t>
      </w:r>
      <w:r w:rsidRPr="00747170">
        <w:rPr>
          <w:rtl/>
        </w:rPr>
        <w:t xml:space="preserve">בר אלא עשיית </w:t>
      </w:r>
      <w:r w:rsidRPr="00747170">
        <w:rPr>
          <w:rFonts w:hint="cs"/>
          <w:rtl/>
        </w:rPr>
        <w:t>ד</w:t>
      </w:r>
      <w:r w:rsidRPr="00747170">
        <w:rPr>
          <w:rtl/>
        </w:rPr>
        <w:t xml:space="preserve">בר דהיינו שעושה כתלים או כיו"ב ורק הכא כשחופר גומא נזדמן שהתהוות הבנין הוא ע"י הפרדת </w:t>
      </w:r>
      <w:r w:rsidRPr="00747170">
        <w:rPr>
          <w:rFonts w:hint="cs"/>
          <w:rtl/>
        </w:rPr>
        <w:t>ע</w:t>
      </w:r>
      <w:r w:rsidRPr="00747170">
        <w:rPr>
          <w:rtl/>
        </w:rPr>
        <w:t>פר</w:t>
      </w:r>
      <w:r w:rsidRPr="00747170">
        <w:rPr>
          <w:rFonts w:hint="cs"/>
          <w:rtl/>
        </w:rPr>
        <w:t xml:space="preserve"> </w:t>
      </w:r>
      <w:r w:rsidRPr="00747170">
        <w:rPr>
          <w:rtl/>
        </w:rPr>
        <w:t xml:space="preserve">ועכ"פ אין פעולת ההפרדה עצמה נקראת בונה רק התהוות הכתלים נקרא בונה וכיון שא"צ להבנין אלא לעפרה הוי מלאכה שאצל"ג ודוק ועיין בשטמ"ק ב"ק דל"ד ע"ג בשם הרא"ה ז"ל </w:t>
      </w:r>
      <w:r w:rsidRPr="00747170">
        <w:rPr>
          <w:rFonts w:hint="cs"/>
          <w:rtl/>
        </w:rPr>
        <w:t>ד</w:t>
      </w:r>
      <w:r w:rsidRPr="00747170">
        <w:rPr>
          <w:rtl/>
        </w:rPr>
        <w:t xml:space="preserve">אסברה לה הא לחובל וא"צ אלא לדם הוי צריכה לגופה וחופר גומא וא"צ אלא לעפרה הוי א"צ לגופה ע"ש בארוכה ונראה כוונתו ז"ל ע"ל שביארנו </w:t>
      </w:r>
      <w:r w:rsidRPr="00747170">
        <w:rPr>
          <w:rFonts w:hint="cs"/>
          <w:rtl/>
        </w:rPr>
        <w:t>ד</w:t>
      </w:r>
      <w:r w:rsidRPr="00747170">
        <w:rPr>
          <w:rtl/>
        </w:rPr>
        <w:t>ברי הרמב"ן ז"ל ע"ש וקצרתי</w:t>
      </w:r>
      <w:r w:rsidRPr="00747170">
        <w:rPr>
          <w:rFonts w:hint="cs"/>
          <w:rtl/>
        </w:rPr>
        <w:t>.</w:t>
      </w:r>
    </w:p>
    <w:p w14:paraId="63A827B4" w14:textId="51D128FA" w:rsidR="00316453" w:rsidRDefault="00316453" w:rsidP="00316453">
      <w:pPr>
        <w:pStyle w:val="affff5"/>
        <w:rPr>
          <w:rtl/>
        </w:rPr>
      </w:pPr>
      <w:bookmarkStart w:id="2130" w:name="_Toc136618720"/>
      <w:r>
        <w:rPr>
          <w:rFonts w:hint="cs"/>
          <w:rtl/>
        </w:rPr>
        <w:t>ב</w:t>
      </w:r>
      <w:bookmarkEnd w:id="2127"/>
      <w:r>
        <w:rPr>
          <w:rFonts w:hint="cs"/>
          <w:rtl/>
        </w:rPr>
        <w:t>זורה דהפרדת פסולת והפרדת חלקים</w:t>
      </w:r>
      <w:bookmarkEnd w:id="2130"/>
    </w:p>
    <w:p w14:paraId="450807E5" w14:textId="77777777" w:rsidR="00316453" w:rsidRPr="00605D48" w:rsidRDefault="00316453" w:rsidP="00316453">
      <w:pPr>
        <w:pStyle w:val="1"/>
        <w:rPr>
          <w:rtl/>
        </w:rPr>
      </w:pPr>
      <w:bookmarkStart w:id="2131" w:name="_Toc135588040"/>
      <w:bookmarkStart w:id="2132" w:name="_Toc136618721"/>
      <w:r>
        <w:rPr>
          <w:rFonts w:hint="cs"/>
          <w:rtl/>
        </w:rPr>
        <w:t xml:space="preserve">בי' </w:t>
      </w:r>
      <w:bookmarkEnd w:id="2131"/>
      <w:r>
        <w:rPr>
          <w:rFonts w:hint="cs"/>
          <w:rtl/>
        </w:rPr>
        <w:t>האבי עזרי דיסוד זורה בירור פסולת והפרדת חלקים תולדה</w:t>
      </w:r>
      <w:bookmarkEnd w:id="2132"/>
    </w:p>
    <w:p w14:paraId="6023BE6C" w14:textId="77777777" w:rsidR="00316453" w:rsidRPr="00321179" w:rsidRDefault="00316453" w:rsidP="00316453">
      <w:pPr>
        <w:pStyle w:val="afffff7"/>
      </w:pPr>
      <w:bookmarkStart w:id="2133" w:name="_Toc136620484"/>
      <w:bookmarkStart w:id="2134" w:name="_Toc163505763"/>
      <w:r w:rsidRPr="00321179">
        <w:rPr>
          <w:rFonts w:hint="cs"/>
          <w:rtl/>
        </w:rPr>
        <w:t>אבי עזרי שבת פ"ח הי"א ד"ה ואשר</w:t>
      </w:r>
      <w:bookmarkEnd w:id="2133"/>
      <w:bookmarkEnd w:id="2134"/>
    </w:p>
    <w:p w14:paraId="564D1418" w14:textId="77777777" w:rsidR="00316453" w:rsidRPr="00321179" w:rsidRDefault="00316453" w:rsidP="00316453">
      <w:pPr>
        <w:spacing w:before="200" w:after="0" w:line="360" w:lineRule="auto"/>
        <w:jc w:val="center"/>
        <w:outlineLvl w:val="1"/>
        <w:rPr>
          <w:rFonts w:ascii="Guttman Hodes" w:eastAsia="Guttman Hodes" w:hAnsi="Guttman Hodes" w:cs="Guttman Hodes"/>
          <w:bCs/>
          <w:sz w:val="12"/>
          <w:szCs w:val="12"/>
          <w:rtl/>
        </w:rPr>
      </w:pPr>
      <w:r>
        <w:rPr>
          <w:rFonts w:ascii="Guttman Hodes" w:eastAsia="Guttman Hodes" w:hAnsi="Guttman Hodes" w:cs="Guttman Hodes" w:hint="cs"/>
          <w:bCs/>
          <w:sz w:val="12"/>
          <w:szCs w:val="12"/>
          <w:rtl/>
        </w:rPr>
        <w:t>בי' האבי עזרי דבבונה יסוד המלאכה הוא קיבוץ חלקים ואהל מיריעה א' תולדה שיוצאת מבונה</w:t>
      </w:r>
    </w:p>
    <w:p w14:paraId="6608B4E8" w14:textId="0528582E" w:rsidR="00316453" w:rsidRPr="00321179" w:rsidRDefault="00316453" w:rsidP="00BC7DC8">
      <w:pPr>
        <w:pStyle w:val="a3"/>
        <w:rPr>
          <w:rtl/>
        </w:rPr>
      </w:pPr>
      <w:bookmarkStart w:id="2135" w:name="_Ref136441135"/>
      <w:r w:rsidRPr="00321179">
        <w:rPr>
          <w:rFonts w:hint="cs"/>
          <w:rtl/>
        </w:rPr>
        <w:t xml:space="preserve">במה שהקשה </w:t>
      </w:r>
      <w:r w:rsidRPr="00527BD6">
        <w:rPr>
          <w:rStyle w:val="aff4"/>
          <w:rFonts w:hint="cs"/>
          <w:vanish/>
          <w:rtl/>
        </w:rPr>
        <w:t>-</w:t>
      </w:r>
      <w:r w:rsidRPr="00DE28D5">
        <w:rPr>
          <w:rStyle w:val="aff4"/>
          <w:rFonts w:hint="cs"/>
          <w:rtl/>
        </w:rPr>
        <w:t>הגרעק"א בתשו'</w:t>
      </w:r>
      <w:r w:rsidRPr="00527BD6">
        <w:rPr>
          <w:rStyle w:val="aff4"/>
          <w:rFonts w:hint="cs"/>
          <w:vanish/>
          <w:rtl/>
        </w:rPr>
        <w:t>-</w:t>
      </w:r>
      <w:r w:rsidRPr="00321179">
        <w:rPr>
          <w:rFonts w:hint="cs"/>
          <w:rtl/>
        </w:rPr>
        <w:t xml:space="preserve"> </w:t>
      </w:r>
      <w:r w:rsidRPr="00D4778B">
        <w:rPr>
          <w:rStyle w:val="af2"/>
          <w:rFonts w:eastAsia="Guttman Hodes" w:hint="cs"/>
          <w:rtl/>
        </w:rPr>
        <w:t xml:space="preserve">(עי' אות </w:t>
      </w:r>
      <w:r w:rsidRPr="00D4778B">
        <w:rPr>
          <w:rStyle w:val="af2"/>
          <w:rFonts w:eastAsia="Guttman Hodes" w:hint="cs"/>
          <w:rtl/>
        </w:rPr>
        <w:fldChar w:fldCharType="begin"/>
      </w:r>
      <w:r w:rsidRPr="00D4778B">
        <w:rPr>
          <w:rStyle w:val="af2"/>
          <w:rFonts w:eastAsia="Guttman Hodes" w:hint="cs"/>
          <w:rtl/>
        </w:rPr>
        <w:instrText xml:space="preserve"> </w:instrText>
      </w:r>
      <w:r w:rsidRPr="00D4778B">
        <w:rPr>
          <w:rStyle w:val="af2"/>
          <w:rFonts w:eastAsia="Guttman Hodes" w:hint="cs"/>
        </w:rPr>
        <w:instrText>REF</w:instrText>
      </w:r>
      <w:r w:rsidRPr="00D4778B">
        <w:rPr>
          <w:rStyle w:val="af2"/>
          <w:rFonts w:eastAsia="Guttman Hodes" w:hint="cs"/>
          <w:rtl/>
        </w:rPr>
        <w:instrText xml:space="preserve"> _</w:instrText>
      </w:r>
      <w:r w:rsidRPr="00D4778B">
        <w:rPr>
          <w:rStyle w:val="af2"/>
          <w:rFonts w:eastAsia="Guttman Hodes" w:hint="cs"/>
        </w:rPr>
        <w:instrText>Ref136341557 \r \h</w:instrText>
      </w:r>
      <w:r w:rsidRPr="00D4778B">
        <w:rPr>
          <w:rStyle w:val="af2"/>
          <w:rFonts w:eastAsia="Guttman Hodes" w:hint="cs"/>
          <w:rtl/>
        </w:rPr>
        <w:instrText xml:space="preserve"> </w:instrText>
      </w:r>
      <w:r w:rsidRPr="00D4778B">
        <w:rPr>
          <w:rStyle w:val="af2"/>
          <w:rFonts w:eastAsia="Guttman Hodes" w:hint="cs"/>
          <w:rtl/>
        </w:rPr>
      </w:r>
      <w:r w:rsidRPr="00D4778B">
        <w:rPr>
          <w:rStyle w:val="af2"/>
          <w:rFonts w:eastAsia="Guttman Hodes" w:hint="cs"/>
          <w:rtl/>
        </w:rPr>
        <w:fldChar w:fldCharType="separate"/>
      </w:r>
      <w:r w:rsidR="00D82181">
        <w:rPr>
          <w:rStyle w:val="af2"/>
          <w:rFonts w:eastAsia="Guttman Hodes" w:hint="eastAsia"/>
          <w:cs/>
        </w:rPr>
        <w:t>‎</w:t>
      </w:r>
      <w:r w:rsidR="00D82181">
        <w:rPr>
          <w:rStyle w:val="af2"/>
          <w:rFonts w:eastAsia="Guttman Hodes" w:hint="eastAsia"/>
          <w:rtl/>
        </w:rPr>
        <w:t>כז</w:t>
      </w:r>
      <w:r w:rsidR="00D82181">
        <w:rPr>
          <w:rStyle w:val="af2"/>
          <w:rFonts w:eastAsia="Guttman Hodes"/>
          <w:rtl/>
        </w:rPr>
        <w:t>)</w:t>
      </w:r>
      <w:r w:rsidRPr="00D4778B">
        <w:rPr>
          <w:rStyle w:val="af2"/>
          <w:rFonts w:eastAsia="Guttman Hodes" w:hint="cs"/>
          <w:rtl/>
        </w:rPr>
        <w:fldChar w:fldCharType="end"/>
      </w:r>
      <w:r w:rsidRPr="00321179">
        <w:rPr>
          <w:rFonts w:hint="cs"/>
          <w:rtl/>
        </w:rPr>
        <w:t xml:space="preserve"> על </w:t>
      </w:r>
      <w:r w:rsidRPr="00527BD6">
        <w:rPr>
          <w:rStyle w:val="aff4"/>
          <w:rFonts w:hint="cs"/>
          <w:vanish/>
          <w:rtl/>
        </w:rPr>
        <w:t>-</w:t>
      </w:r>
      <w:r w:rsidRPr="00DE28D5">
        <w:rPr>
          <w:rStyle w:val="aff4"/>
          <w:rFonts w:hint="cs"/>
          <w:rtl/>
        </w:rPr>
        <w:t>הרמ"א</w:t>
      </w:r>
      <w:r w:rsidRPr="00527BD6">
        <w:rPr>
          <w:rStyle w:val="aff4"/>
          <w:rFonts w:hint="cs"/>
          <w:vanish/>
          <w:rtl/>
        </w:rPr>
        <w:t>-</w:t>
      </w:r>
      <w:r w:rsidRPr="00321179">
        <w:rPr>
          <w:rFonts w:hint="cs"/>
          <w:rtl/>
        </w:rPr>
        <w:t xml:space="preserve"> </w:t>
      </w:r>
      <w:r w:rsidRPr="00D4778B">
        <w:rPr>
          <w:rStyle w:val="af2"/>
          <w:rFonts w:eastAsia="Guttman Hodes" w:hint="cs"/>
          <w:rtl/>
        </w:rPr>
        <w:t xml:space="preserve">(עי' אות </w:t>
      </w:r>
      <w:r w:rsidRPr="00D4778B">
        <w:rPr>
          <w:rStyle w:val="af2"/>
          <w:rFonts w:eastAsia="Guttman Hodes"/>
          <w:rtl/>
        </w:rPr>
        <w:fldChar w:fldCharType="begin"/>
      </w:r>
      <w:r w:rsidRPr="00D4778B">
        <w:rPr>
          <w:rStyle w:val="af2"/>
          <w:rFonts w:eastAsia="Guttman Hodes"/>
          <w:rtl/>
        </w:rPr>
        <w:instrText xml:space="preserve"> </w:instrText>
      </w:r>
      <w:r w:rsidRPr="00D4778B">
        <w:rPr>
          <w:rStyle w:val="af2"/>
          <w:rFonts w:eastAsia="Guttman Hodes" w:hint="cs"/>
        </w:rPr>
        <w:instrText>REF</w:instrText>
      </w:r>
      <w:r w:rsidRPr="00D4778B">
        <w:rPr>
          <w:rStyle w:val="af2"/>
          <w:rFonts w:eastAsia="Guttman Hodes" w:hint="cs"/>
          <w:rtl/>
        </w:rPr>
        <w:instrText xml:space="preserve"> _</w:instrText>
      </w:r>
      <w:r w:rsidRPr="00D4778B">
        <w:rPr>
          <w:rStyle w:val="af2"/>
          <w:rFonts w:eastAsia="Guttman Hodes" w:hint="cs"/>
        </w:rPr>
        <w:instrText>Ref136338786 \r \h</w:instrText>
      </w:r>
      <w:r w:rsidRPr="00D4778B">
        <w:rPr>
          <w:rStyle w:val="af2"/>
          <w:rFonts w:eastAsia="Guttman Hodes"/>
          <w:rtl/>
        </w:rPr>
        <w:instrText xml:space="preserve"> </w:instrText>
      </w:r>
      <w:r w:rsidRPr="00D4778B">
        <w:rPr>
          <w:rStyle w:val="af2"/>
          <w:rFonts w:eastAsia="Guttman Hodes"/>
          <w:rtl/>
        </w:rPr>
      </w:r>
      <w:r w:rsidRPr="00D4778B">
        <w:rPr>
          <w:rStyle w:val="af2"/>
          <w:rFonts w:eastAsia="Guttman Hodes"/>
          <w:rtl/>
        </w:rPr>
        <w:fldChar w:fldCharType="separate"/>
      </w:r>
      <w:r w:rsidR="00D82181">
        <w:rPr>
          <w:rStyle w:val="af2"/>
          <w:rFonts w:eastAsia="Guttman Hodes"/>
          <w:cs/>
        </w:rPr>
        <w:t>‎</w:t>
      </w:r>
      <w:r w:rsidR="00D82181">
        <w:rPr>
          <w:rStyle w:val="af2"/>
          <w:rFonts w:eastAsia="Guttman Hodes"/>
          <w:rtl/>
        </w:rPr>
        <w:t>כג)</w:t>
      </w:r>
      <w:r w:rsidRPr="00D4778B">
        <w:rPr>
          <w:rStyle w:val="af2"/>
          <w:rFonts w:eastAsia="Guttman Hodes"/>
          <w:rtl/>
        </w:rPr>
        <w:fldChar w:fldCharType="end"/>
      </w:r>
      <w:r w:rsidRPr="00321179">
        <w:rPr>
          <w:rFonts w:hint="cs"/>
          <w:rtl/>
        </w:rPr>
        <w:t xml:space="preserve"> דפסק את הירושלמי דרוקק חייב משום זורה, דהבבלי פליג כדמוכח בגמ' בסוגיין דזורה דמי לבורר ודלא כירושלמי, וכן במה שהוכיח מהגמ' בב"ק דחיוב </w:t>
      </w:r>
      <w:r w:rsidRPr="007E701F">
        <w:rPr>
          <w:rFonts w:hint="cs"/>
          <w:rtl/>
        </w:rPr>
        <w:t xml:space="preserve">זורה ע"י הרוח הוא רק בדבר שחייב בו כשעשאו בידים כבורר, הביא </w:t>
      </w:r>
      <w:r w:rsidRPr="00CB65AA">
        <w:rPr>
          <w:rStyle w:val="aff4"/>
          <w:rFonts w:hint="cs"/>
          <w:vanish/>
          <w:rtl/>
        </w:rPr>
        <w:t>-</w:t>
      </w:r>
      <w:r w:rsidRPr="00996495">
        <w:rPr>
          <w:rStyle w:val="aff4"/>
          <w:rFonts w:hint="cs"/>
          <w:rtl/>
        </w:rPr>
        <w:t>ה</w:t>
      </w:r>
      <w:r w:rsidRPr="0062777A">
        <w:rPr>
          <w:rStyle w:val="aff4"/>
          <w:rFonts w:hint="cs"/>
          <w:vanish/>
          <w:rtl/>
        </w:rPr>
        <w:t xml:space="preserve">&lt;. </w:t>
      </w:r>
      <w:r w:rsidRPr="0062777A">
        <w:rPr>
          <w:rStyle w:val="aff4"/>
          <w:vanish/>
          <w:rtl/>
        </w:rPr>
        <w:fldChar w:fldCharType="begin"/>
      </w:r>
      <w:r w:rsidRPr="0062777A">
        <w:rPr>
          <w:rStyle w:val="aff4"/>
          <w:vanish/>
          <w:rtl/>
        </w:rPr>
        <w:instrText xml:space="preserve"> </w:instrText>
      </w:r>
      <w:r w:rsidRPr="0062777A">
        <w:rPr>
          <w:rStyle w:val="aff4"/>
          <w:rFonts w:hint="cs"/>
          <w:vanish/>
        </w:rPr>
        <w:instrText>REF</w:instrText>
      </w:r>
      <w:r w:rsidRPr="0062777A">
        <w:rPr>
          <w:rStyle w:val="aff4"/>
          <w:rFonts w:hint="cs"/>
          <w:vanish/>
          <w:rtl/>
        </w:rPr>
        <w:instrText xml:space="preserve"> _</w:instrText>
      </w:r>
      <w:r w:rsidRPr="0062777A">
        <w:rPr>
          <w:rStyle w:val="aff4"/>
          <w:rFonts w:hint="cs"/>
          <w:vanish/>
        </w:rPr>
        <w:instrText>Ref136441135 \r \h</w:instrText>
      </w:r>
      <w:r w:rsidRPr="0062777A">
        <w:rPr>
          <w:rStyle w:val="aff4"/>
          <w:vanish/>
          <w:rtl/>
        </w:rPr>
        <w:instrText xml:space="preserve"> </w:instrText>
      </w:r>
      <w:r w:rsidRPr="0062777A">
        <w:rPr>
          <w:rStyle w:val="aff4"/>
          <w:vanish/>
          <w:rtl/>
        </w:rPr>
      </w:r>
      <w:r w:rsidRPr="0062777A">
        <w:rPr>
          <w:rStyle w:val="aff4"/>
          <w:vanish/>
          <w:rtl/>
        </w:rPr>
        <w:fldChar w:fldCharType="separate"/>
      </w:r>
      <w:r w:rsidR="00D82181">
        <w:rPr>
          <w:rStyle w:val="aff4"/>
          <w:vanish/>
          <w:cs/>
        </w:rPr>
        <w:t>‎</w:t>
      </w:r>
      <w:r w:rsidR="00D82181">
        <w:rPr>
          <w:rStyle w:val="aff4"/>
          <w:vanish/>
          <w:rtl/>
        </w:rPr>
        <w:t>נה)</w:t>
      </w:r>
      <w:r w:rsidRPr="0062777A">
        <w:rPr>
          <w:rStyle w:val="aff4"/>
          <w:vanish/>
          <w:rtl/>
        </w:rPr>
        <w:fldChar w:fldCharType="end"/>
      </w:r>
      <w:r w:rsidRPr="0062777A">
        <w:rPr>
          <w:rStyle w:val="aff4"/>
          <w:rFonts w:hint="cs"/>
          <w:vanish/>
          <w:rtl/>
        </w:rPr>
        <w:t xml:space="preserve"> &gt;</w:t>
      </w:r>
      <w:r w:rsidRPr="00996495">
        <w:rPr>
          <w:rStyle w:val="aff4"/>
          <w:rFonts w:hint="cs"/>
          <w:rtl/>
        </w:rPr>
        <w:t>אבי עזרי</w:t>
      </w:r>
      <w:r w:rsidRPr="00CB65AA">
        <w:rPr>
          <w:rStyle w:val="aff4"/>
          <w:rFonts w:hint="cs"/>
          <w:vanish/>
          <w:rtl/>
        </w:rPr>
        <w:t>-</w:t>
      </w:r>
      <w:r w:rsidRPr="007E701F">
        <w:rPr>
          <w:rFonts w:hint="cs"/>
          <w:rtl/>
        </w:rPr>
        <w:t xml:space="preserve"> </w:t>
      </w:r>
      <w:r w:rsidRPr="00D4778B">
        <w:rPr>
          <w:rStyle w:val="af2"/>
          <w:rFonts w:eastAsia="Guttman Hodes" w:hint="cs"/>
          <w:rtl/>
        </w:rPr>
        <w:t>(שבת פ"ח הי"א ד"ה ואשר)</w:t>
      </w:r>
      <w:r w:rsidRPr="00CB65AA">
        <w:rPr>
          <w:rFonts w:hint="cs"/>
          <w:vanish/>
          <w:rtl/>
        </w:rPr>
        <w:t>=</w:t>
      </w:r>
      <w:r w:rsidRPr="007E701F">
        <w:rPr>
          <w:rFonts w:hint="cs"/>
          <w:rtl/>
        </w:rPr>
        <w:t xml:space="preserve"> דביסוד דיני אב ותולדה ביאר </w:t>
      </w:r>
      <w:r w:rsidRPr="00CB65AA">
        <w:rPr>
          <w:rStyle w:val="aff4"/>
          <w:vanish/>
          <w:rtl/>
        </w:rPr>
        <w:t>-</w:t>
      </w:r>
      <w:r w:rsidRPr="00996495">
        <w:rPr>
          <w:rStyle w:val="aff4"/>
          <w:rtl/>
        </w:rPr>
        <w:t>המ"מ</w:t>
      </w:r>
      <w:r w:rsidRPr="00CB65AA">
        <w:rPr>
          <w:rStyle w:val="aff4"/>
          <w:vanish/>
          <w:rtl/>
        </w:rPr>
        <w:t>-</w:t>
      </w:r>
      <w:r w:rsidRPr="007E701F">
        <w:rPr>
          <w:rFonts w:hint="cs"/>
          <w:rtl/>
        </w:rPr>
        <w:t xml:space="preserve"> </w:t>
      </w:r>
      <w:r w:rsidRPr="00D4778B">
        <w:rPr>
          <w:rStyle w:val="af2"/>
          <w:rFonts w:eastAsia="Guttman Hodes" w:hint="cs"/>
          <w:rtl/>
        </w:rPr>
        <w:t>(שבת פ"ז ה"ד, הובא בסימן א' אות ל"ו)</w:t>
      </w:r>
      <w:r w:rsidRPr="007E701F">
        <w:rPr>
          <w:rFonts w:hint="cs"/>
          <w:rtl/>
        </w:rPr>
        <w:t xml:space="preserve"> דמלאכה שדומה לאב בדמיון גמור, ויש חילוק ביניהם רק באיכות הפעולה, או באיכות של התוצאה של המלאכה, היא אב גמור, ומלאכה שדומה לאב במקצת היא תולדה, כגון חיתוך ירק דאינו דומה ממש לטחינה, ולענין בונה </w:t>
      </w:r>
      <w:r w:rsidRPr="007E701F">
        <w:rPr>
          <w:rFonts w:hint="cs"/>
          <w:rtl/>
        </w:rPr>
        <w:t xml:space="preserve">כתב </w:t>
      </w:r>
      <w:r w:rsidRPr="00CB65AA">
        <w:rPr>
          <w:rStyle w:val="aff4"/>
          <w:rFonts w:hint="cs"/>
          <w:vanish/>
          <w:rtl/>
        </w:rPr>
        <w:t>-</w:t>
      </w:r>
      <w:r w:rsidRPr="00996495">
        <w:rPr>
          <w:rStyle w:val="aff4"/>
          <w:rFonts w:hint="cs"/>
          <w:rtl/>
        </w:rPr>
        <w:t>הרמב"ם</w:t>
      </w:r>
      <w:r w:rsidRPr="00CB65AA">
        <w:rPr>
          <w:rStyle w:val="aff4"/>
          <w:rFonts w:hint="cs"/>
          <w:vanish/>
          <w:rtl/>
        </w:rPr>
        <w:t>-</w:t>
      </w:r>
      <w:r w:rsidRPr="007E701F">
        <w:rPr>
          <w:rFonts w:hint="cs"/>
          <w:rtl/>
        </w:rPr>
        <w:t xml:space="preserve"> </w:t>
      </w:r>
      <w:r w:rsidRPr="00D4778B">
        <w:rPr>
          <w:rStyle w:val="af2"/>
          <w:rFonts w:eastAsia="Guttman Hodes" w:hint="cs"/>
          <w:rtl/>
        </w:rPr>
        <w:t>(שבת פ"ז ה"ו)</w:t>
      </w:r>
      <w:r w:rsidRPr="007E701F">
        <w:rPr>
          <w:rFonts w:hint="cs"/>
          <w:rtl/>
        </w:rPr>
        <w:t xml:space="preserve"> דמחבץ הוא תולדת בונה כיון דמקבץ חלקים ודמי לבנין, ומבואר דהאב דבונה הוא עשיית אהל ע"י קיבוץ חלקים, ועוד כתב </w:t>
      </w:r>
      <w:r w:rsidRPr="00CB65AA">
        <w:rPr>
          <w:rStyle w:val="aff4"/>
          <w:rFonts w:hint="cs"/>
          <w:vanish/>
          <w:rtl/>
        </w:rPr>
        <w:t>-</w:t>
      </w:r>
      <w:r w:rsidRPr="00996495">
        <w:rPr>
          <w:rStyle w:val="aff4"/>
          <w:rFonts w:hint="cs"/>
          <w:rtl/>
        </w:rPr>
        <w:t>הרמב"ם</w:t>
      </w:r>
      <w:r w:rsidRPr="00CB65AA">
        <w:rPr>
          <w:rStyle w:val="aff4"/>
          <w:rFonts w:hint="cs"/>
          <w:vanish/>
          <w:rtl/>
        </w:rPr>
        <w:t>-</w:t>
      </w:r>
      <w:r w:rsidRPr="007E701F">
        <w:rPr>
          <w:rFonts w:hint="cs"/>
          <w:rtl/>
        </w:rPr>
        <w:t xml:space="preserve"> </w:t>
      </w:r>
      <w:r w:rsidRPr="00D4778B">
        <w:rPr>
          <w:rStyle w:val="af2"/>
          <w:rFonts w:eastAsia="Guttman Hodes" w:hint="cs"/>
          <w:rtl/>
        </w:rPr>
        <w:t>(שבת פ"י הי"ג)</w:t>
      </w:r>
      <w:r w:rsidRPr="007E701F">
        <w:rPr>
          <w:rFonts w:hint="cs"/>
          <w:rtl/>
        </w:rPr>
        <w:t xml:space="preserve"> דהעושה אהל קבוע הוא תולדת בונה, והיינו אף באהל</w:t>
      </w:r>
      <w:r w:rsidRPr="00321179">
        <w:rPr>
          <w:rFonts w:hint="cs"/>
          <w:rtl/>
        </w:rPr>
        <w:t xml:space="preserve"> מיריעה אחת שאין בזה כל קיבוץ חלקים, ומבואר דהוי תולדה אף שדומה רק במקצת לאב, דהא האב עצמו דבונה הוא גם עשיית אהל וגם קיבוץ חלקים.</w:t>
      </w:r>
      <w:bookmarkEnd w:id="2135"/>
    </w:p>
    <w:p w14:paraId="77112077" w14:textId="77777777" w:rsidR="00316453" w:rsidRPr="00747170" w:rsidRDefault="00316453" w:rsidP="00747170">
      <w:pPr>
        <w:pStyle w:val="a2"/>
      </w:pPr>
      <w:r w:rsidRPr="00747170">
        <w:rPr>
          <w:rFonts w:hint="cs"/>
          <w:rtl/>
        </w:rPr>
        <w:t>ואשר יראה בזה דהנה ביסוד הדבר שיש אב ויש תולדה ומה נקרא אב ומה נקרא תולדה השריש לן הה"מ למעלה בפ"ז ה"ד שכל מלאכה שהיא דומה בדמיון גמור אלא שחלוקה ממנה באיכות הפעולה או באיכות הנפעל הרי זו אב וכמו הזורע שחשבה המשנה לאב גם הנוטע והמבריך והמרכיב והזומר הוא ג"כ אב וכו' אבל כשאין שם אלא קצת דמיון כמו המחתך את הירק שאינו דומה לטחינה רק בהעשות מגוף אחד גופים רבים אעפ"י שהטחינה משנה הגוף הראשון לגמרי ואין החיתוך כן זו היא תולדה והיקש זה ניתן לכולן וכו' עכ"ל וכן כתב שם הרמב"ם בה"ו שאם עשה גבינה ה"ז תולדת בונה שכל המקבץ חלק אל חלק ודבק הכל עד שיעשו לגוף אחד ה"ז דומה לבנין ובפ"י הי"ג כתב העושה אוהל קבוע ה"ז תולדת בונה וא"כ מה זה האב של בונה בהכרח שהאב הוא ע"י שעושה אוהל ביחד עם מה שקיבץ חלק אל חלק כמו בונה בית אבל אם עשה אוהל מיריעה אחת ולא הי' קיבוץ חלק אל חלק או שהי' קיבוץ חלק אל חלק ולא הי' אוהל כמו מגבן תולדות הן זהו המתבאר משיטת הרמב"ם יעו"ש היטב.</w:t>
      </w:r>
    </w:p>
    <w:p w14:paraId="67175C8E" w14:textId="3CAA8CA1" w:rsidR="00316453" w:rsidRPr="00321179" w:rsidRDefault="00316453" w:rsidP="00316453">
      <w:pPr>
        <w:pStyle w:val="afffff7"/>
        <w:rPr>
          <w:rtl/>
        </w:rPr>
      </w:pPr>
      <w:bookmarkStart w:id="2136" w:name="_Toc136620485"/>
      <w:bookmarkStart w:id="2137" w:name="_Toc163505764"/>
      <w:r w:rsidRPr="00321179">
        <w:rPr>
          <w:rFonts w:hint="cs"/>
          <w:rtl/>
        </w:rPr>
        <w:t>אבי עזרי שבת פ"ח הי"א ד"ה ומעתה</w:t>
      </w:r>
      <w:bookmarkEnd w:id="2136"/>
      <w:bookmarkEnd w:id="2137"/>
    </w:p>
    <w:p w14:paraId="0646A003" w14:textId="77777777" w:rsidR="00316453" w:rsidRPr="00321179" w:rsidRDefault="00316453" w:rsidP="00316453">
      <w:pPr>
        <w:spacing w:before="200" w:after="0" w:line="360" w:lineRule="auto"/>
        <w:jc w:val="center"/>
        <w:outlineLvl w:val="1"/>
        <w:rPr>
          <w:rFonts w:ascii="Guttman Hodes" w:eastAsia="Guttman Hodes" w:hAnsi="Guttman Hodes" w:cs="Guttman Hodes"/>
          <w:bCs/>
          <w:sz w:val="12"/>
          <w:szCs w:val="12"/>
          <w:rtl/>
        </w:rPr>
      </w:pPr>
      <w:r>
        <w:rPr>
          <w:rFonts w:ascii="Guttman Hodes" w:eastAsia="Guttman Hodes" w:hAnsi="Guttman Hodes" w:cs="Guttman Hodes" w:hint="cs"/>
          <w:bCs/>
          <w:sz w:val="12"/>
          <w:szCs w:val="12"/>
          <w:rtl/>
        </w:rPr>
        <w:t>בי' האבי עזרי דיסוד זורה הוא הפרדת אוכל מפסולת ברוח ותולדה היא הפרדת חלקים ברוח</w:t>
      </w:r>
    </w:p>
    <w:p w14:paraId="5E754032" w14:textId="2021D332" w:rsidR="00316453" w:rsidRPr="00321179" w:rsidRDefault="00316453" w:rsidP="00BC7DC8">
      <w:pPr>
        <w:pStyle w:val="a3"/>
        <w:rPr>
          <w:rtl/>
        </w:rPr>
      </w:pPr>
      <w:bookmarkStart w:id="2138" w:name="_Ref136441120"/>
      <w:r w:rsidRPr="00321179">
        <w:rPr>
          <w:rFonts w:hint="cs"/>
          <w:rtl/>
        </w:rPr>
        <w:t xml:space="preserve">ולפי"ז </w:t>
      </w:r>
      <w:r w:rsidRPr="007E701F">
        <w:rPr>
          <w:rFonts w:hint="cs"/>
          <w:rtl/>
        </w:rPr>
        <w:t xml:space="preserve">ביאר </w:t>
      </w:r>
      <w:r w:rsidRPr="00CB65AA">
        <w:rPr>
          <w:rStyle w:val="aff4"/>
          <w:rFonts w:hint="cs"/>
          <w:vanish/>
          <w:rtl/>
        </w:rPr>
        <w:t>-</w:t>
      </w:r>
      <w:r w:rsidRPr="00484EFC">
        <w:rPr>
          <w:rStyle w:val="aff4"/>
          <w:rFonts w:hint="cs"/>
          <w:rtl/>
        </w:rPr>
        <w:t>ה</w:t>
      </w:r>
      <w:r w:rsidRPr="0062777A">
        <w:rPr>
          <w:rStyle w:val="aff4"/>
          <w:rFonts w:hint="cs"/>
          <w:vanish/>
          <w:rtl/>
        </w:rPr>
        <w:t xml:space="preserve">&lt;. </w:t>
      </w:r>
      <w:r w:rsidRPr="0062777A">
        <w:rPr>
          <w:rStyle w:val="aff4"/>
          <w:vanish/>
          <w:rtl/>
        </w:rPr>
        <w:fldChar w:fldCharType="begin"/>
      </w:r>
      <w:r w:rsidRPr="0062777A">
        <w:rPr>
          <w:rStyle w:val="aff4"/>
          <w:vanish/>
          <w:rtl/>
        </w:rPr>
        <w:instrText xml:space="preserve"> </w:instrText>
      </w:r>
      <w:r w:rsidRPr="0062777A">
        <w:rPr>
          <w:rStyle w:val="aff4"/>
          <w:rFonts w:hint="cs"/>
          <w:vanish/>
        </w:rPr>
        <w:instrText>REF</w:instrText>
      </w:r>
      <w:r w:rsidRPr="0062777A">
        <w:rPr>
          <w:rStyle w:val="aff4"/>
          <w:rFonts w:hint="cs"/>
          <w:vanish/>
          <w:rtl/>
        </w:rPr>
        <w:instrText xml:space="preserve"> _</w:instrText>
      </w:r>
      <w:r w:rsidRPr="0062777A">
        <w:rPr>
          <w:rStyle w:val="aff4"/>
          <w:rFonts w:hint="cs"/>
          <w:vanish/>
        </w:rPr>
        <w:instrText>Ref136441120 \r \h</w:instrText>
      </w:r>
      <w:r w:rsidRPr="0062777A">
        <w:rPr>
          <w:rStyle w:val="aff4"/>
          <w:vanish/>
          <w:rtl/>
        </w:rPr>
        <w:instrText xml:space="preserve"> </w:instrText>
      </w:r>
      <w:r w:rsidRPr="0062777A">
        <w:rPr>
          <w:rStyle w:val="aff4"/>
          <w:vanish/>
          <w:rtl/>
        </w:rPr>
      </w:r>
      <w:r w:rsidRPr="0062777A">
        <w:rPr>
          <w:rStyle w:val="aff4"/>
          <w:vanish/>
          <w:rtl/>
        </w:rPr>
        <w:fldChar w:fldCharType="separate"/>
      </w:r>
      <w:r w:rsidR="00D82181">
        <w:rPr>
          <w:rStyle w:val="aff4"/>
          <w:vanish/>
          <w:cs/>
        </w:rPr>
        <w:t>‎</w:t>
      </w:r>
      <w:r w:rsidR="00D82181">
        <w:rPr>
          <w:rStyle w:val="aff4"/>
          <w:vanish/>
          <w:rtl/>
        </w:rPr>
        <w:t>נו)</w:t>
      </w:r>
      <w:r w:rsidRPr="0062777A">
        <w:rPr>
          <w:rStyle w:val="aff4"/>
          <w:vanish/>
          <w:rtl/>
        </w:rPr>
        <w:fldChar w:fldCharType="end"/>
      </w:r>
      <w:r w:rsidRPr="0062777A">
        <w:rPr>
          <w:rStyle w:val="aff4"/>
          <w:rFonts w:hint="cs"/>
          <w:vanish/>
          <w:rtl/>
        </w:rPr>
        <w:t xml:space="preserve"> &gt;</w:t>
      </w:r>
      <w:r w:rsidRPr="00484EFC">
        <w:rPr>
          <w:rStyle w:val="aff4"/>
          <w:rFonts w:hint="cs"/>
          <w:rtl/>
        </w:rPr>
        <w:t>אבי עזרי</w:t>
      </w:r>
      <w:r w:rsidRPr="00CB65AA">
        <w:rPr>
          <w:rStyle w:val="aff4"/>
          <w:rFonts w:hint="cs"/>
          <w:vanish/>
          <w:rtl/>
        </w:rPr>
        <w:t>-</w:t>
      </w:r>
      <w:r w:rsidRPr="00996495">
        <w:rPr>
          <w:rFonts w:hint="cs"/>
          <w:rtl/>
        </w:rPr>
        <w:t xml:space="preserve"> </w:t>
      </w:r>
      <w:r w:rsidRPr="00D4778B">
        <w:rPr>
          <w:rStyle w:val="af2"/>
          <w:rFonts w:eastAsia="Guttman Hodes" w:hint="cs"/>
          <w:rtl/>
        </w:rPr>
        <w:t>(שבת פ"ח הי"א ד"ה ואשר)</w:t>
      </w:r>
      <w:r w:rsidRPr="00CB65AA">
        <w:rPr>
          <w:rFonts w:hint="cs"/>
          <w:vanish/>
          <w:rtl/>
        </w:rPr>
        <w:t>=</w:t>
      </w:r>
      <w:r w:rsidRPr="00996495">
        <w:rPr>
          <w:rFonts w:hint="cs"/>
          <w:rtl/>
        </w:rPr>
        <w:t xml:space="preserve"> דס"ל להירושלמי דבמלאכת זורה יש ב' סוגי מלאכות, המלאכה הא' הוא הפרדת החלקים ע"י הרוח, והמלאכה הב' הוא הפרדת הפסולת מהאוכל, ובזה אמרינן בגמ' בב"ק דכיון דבהפרדת פסולת מאוכל בידיו חייב, דהוא בורר או מרקד, חייב זורה אף כשמפריד ע"י הרוח, אבל במלאכה הא' דהפרדת חלקים א"א לומר דהחיוב ברוח הוא כיון דאם היה מפריד בידיו היה חייב, דהא בידיו החיוב בהפרדת חלקים הוא רק בטוחן, ובמעשה דזורה דמפריד חלקים לא שייך לומר דבידיו יתחייב משום טוחן, וכתב </w:t>
      </w:r>
      <w:r w:rsidRPr="00CB65AA">
        <w:rPr>
          <w:rStyle w:val="aff4"/>
          <w:rFonts w:hint="cs"/>
          <w:vanish/>
          <w:rtl/>
        </w:rPr>
        <w:t>-</w:t>
      </w:r>
      <w:r w:rsidRPr="00484EFC">
        <w:rPr>
          <w:rStyle w:val="aff4"/>
          <w:rFonts w:hint="cs"/>
          <w:rtl/>
        </w:rPr>
        <w:t>האבי עזרי</w:t>
      </w:r>
      <w:r w:rsidRPr="00CB65AA">
        <w:rPr>
          <w:rStyle w:val="aff4"/>
          <w:rFonts w:hint="cs"/>
          <w:vanish/>
          <w:rtl/>
        </w:rPr>
        <w:t>-</w:t>
      </w:r>
      <w:r w:rsidRPr="00996495">
        <w:rPr>
          <w:rFonts w:hint="cs"/>
          <w:rtl/>
        </w:rPr>
        <w:t xml:space="preserve"> דכיון דמלאכת זורה הייתה במשכן, ויש חלק במלאכה שהוא הפרדת חלקים ע"י הרוח, מזה הוכיח</w:t>
      </w:r>
      <w:r w:rsidRPr="007E701F">
        <w:rPr>
          <w:rFonts w:hint="cs"/>
          <w:rtl/>
        </w:rPr>
        <w:t xml:space="preserve"> הירושלמי דבזורה יש חיוב נוסף שהוא רק ע"י הרוח, ולכן הרוקק לרוח חייב משום</w:t>
      </w:r>
      <w:r w:rsidRPr="00321179">
        <w:rPr>
          <w:rFonts w:hint="cs"/>
          <w:rtl/>
        </w:rPr>
        <w:t xml:space="preserve"> תולדת זורה אף שאינו מפריד אוכל מפסולת, וכמו בעושה אהל מיריעה אחת דחייב משום תולדת בונה, אף שאינו מקבץ חלקים</w:t>
      </w:r>
      <w:r>
        <w:rPr>
          <w:rFonts w:hint="cs"/>
          <w:rtl/>
        </w:rPr>
        <w:t>.</w:t>
      </w:r>
      <w:bookmarkEnd w:id="2138"/>
    </w:p>
    <w:p w14:paraId="532CA557" w14:textId="77777777" w:rsidR="00316453" w:rsidRPr="00747170" w:rsidRDefault="00316453" w:rsidP="00747170">
      <w:pPr>
        <w:pStyle w:val="a2"/>
      </w:pPr>
      <w:r w:rsidRPr="00747170">
        <w:rPr>
          <w:rFonts w:hint="cs"/>
          <w:rtl/>
        </w:rPr>
        <w:t>ומעתה סובר הירושלמי שגם במלאכת זורה ישנו שני סוגי מלאכות האחד מה שמפריד הפסולת מהאוכל ושנית מה שע"י הרוח נפרדים אחד לאחד זה פונה לצד זה וזה פונה לצד זה וע"כ גמירי להו שאם עשה סוג מלאכה אחת מהן אף שאין זה זורה ממש אבל תולדה היא וגמירי להו שחלק מלאכה זאת מה שמפריד הפסולת מהאוכל הכוונה אף שעכשיו הוא ע"י הרוח מ"מ חייבתו התורה שהוא כמו שעושה בידיו שהרי זה כעין מלאכת בורר ומרקד אבל סוג מלאכה השני מה שמחלק החלקים ונפרדים זה מזה אי אפשר לומר שהחיוב הוא שהוא כעושה בידיו שהרי אם עשה כן בידיו מותר לחלק דבר שלם לחלקים אם אין שם מלאכת טחינה וע"כ מדהיה במשכן מלאכת זורה שהי' בה גם חלק מלאכה זאת מה שנפרד חלק מחלק ע"י הרוח שמעינן שיש איסור מלאכה להפריד דבר שלם על חלקים ע"י הרוח וזהו איסורו וע"כ שפיר קאמר הירושלמי דרקק והפריחו הרוח חייב משום זורה הנו משום תולדת זורה אף שהוא דומה רק במקצת לזורה שהי' במשכן שהי' בה גם משום סוג מלאכה דהפריד כפסולת מהאוכל מ"מ גם חלק מלאכה אחת תולדה היא וכמו בונה שהבאתי לעיל שמלאכת בונה הוא שנעשה אוהל וגם יש משום מקבץ חלק אל חלק מ"מ אם עשה רק חלק אחד מהמלאכה תולדה היא.</w:t>
      </w:r>
    </w:p>
    <w:p w14:paraId="72CFD903" w14:textId="23A49FEF" w:rsidR="00316453" w:rsidRDefault="00316453" w:rsidP="00316453">
      <w:pPr>
        <w:pStyle w:val="afffff7"/>
        <w:rPr>
          <w:rtl/>
        </w:rPr>
      </w:pPr>
      <w:bookmarkStart w:id="2139" w:name="_Toc136620486"/>
      <w:bookmarkStart w:id="2140" w:name="_Toc163505765"/>
      <w:r>
        <w:rPr>
          <w:rtl/>
        </w:rPr>
        <w:t>שביתת השבת זורה אות ט</w:t>
      </w:r>
      <w:r>
        <w:rPr>
          <w:rFonts w:hint="cs"/>
          <w:rtl/>
        </w:rPr>
        <w:t>"</w:t>
      </w:r>
      <w:r>
        <w:rPr>
          <w:rtl/>
        </w:rPr>
        <w:t>ו</w:t>
      </w:r>
      <w:r>
        <w:rPr>
          <w:rFonts w:hint="cs"/>
          <w:rtl/>
        </w:rPr>
        <w:t xml:space="preserve"> ד"ה האחרונים</w:t>
      </w:r>
      <w:bookmarkEnd w:id="2139"/>
      <w:bookmarkEnd w:id="2140"/>
    </w:p>
    <w:p w14:paraId="2AC54333" w14:textId="77777777" w:rsidR="00316453" w:rsidRDefault="00316453" w:rsidP="00316453">
      <w:pPr>
        <w:pStyle w:val="a7"/>
        <w:rPr>
          <w:rtl/>
        </w:rPr>
      </w:pPr>
      <w:bookmarkStart w:id="2141" w:name="_Toc136618722"/>
      <w:r>
        <w:rPr>
          <w:rFonts w:hint="cs"/>
          <w:rtl/>
        </w:rPr>
        <w:t>בי' השביתת השבת דכיון דהפרדה היא עיקר המלאכה הפרדת חלקים תולדה דהפרדת פסולת</w:t>
      </w:r>
      <w:bookmarkEnd w:id="2141"/>
      <w:r>
        <w:rPr>
          <w:rFonts w:hint="cs"/>
          <w:rtl/>
        </w:rPr>
        <w:t xml:space="preserve"> </w:t>
      </w:r>
    </w:p>
    <w:p w14:paraId="6CAFBFC9" w14:textId="11DA5475" w:rsidR="00316453" w:rsidRPr="00F346DF" w:rsidRDefault="00316453" w:rsidP="00BC7DC8">
      <w:pPr>
        <w:pStyle w:val="a3"/>
        <w:rPr>
          <w:rtl/>
        </w:rPr>
      </w:pPr>
      <w:bookmarkStart w:id="2142" w:name="_Ref136474622"/>
      <w:r>
        <w:rPr>
          <w:rFonts w:hint="cs"/>
          <w:rtl/>
        </w:rPr>
        <w:t xml:space="preserve">וכעי"ז ביאר </w:t>
      </w:r>
      <w:r w:rsidRPr="00EB1A7E">
        <w:rPr>
          <w:rStyle w:val="aff4"/>
          <w:rFonts w:hint="cs"/>
          <w:vanish/>
          <w:rtl/>
        </w:rPr>
        <w:t>-</w:t>
      </w:r>
      <w:r w:rsidRPr="00D4778B">
        <w:rPr>
          <w:rStyle w:val="aff4"/>
          <w:rFonts w:hint="cs"/>
          <w:rtl/>
        </w:rPr>
        <w:t>ה</w:t>
      </w:r>
      <w:r w:rsidRPr="00EB1A7E">
        <w:rPr>
          <w:rStyle w:val="aff4"/>
          <w:rFonts w:hint="cs"/>
          <w:vanish/>
          <w:rtl/>
        </w:rPr>
        <w:t xml:space="preserve">&lt;. </w:t>
      </w:r>
      <w:r w:rsidRPr="00EB1A7E">
        <w:rPr>
          <w:rStyle w:val="aff4"/>
          <w:vanish/>
          <w:rtl/>
        </w:rPr>
        <w:fldChar w:fldCharType="begin"/>
      </w:r>
      <w:r w:rsidRPr="00EB1A7E">
        <w:rPr>
          <w:rStyle w:val="aff4"/>
          <w:vanish/>
          <w:rtl/>
        </w:rPr>
        <w:instrText xml:space="preserve"> </w:instrText>
      </w:r>
      <w:r w:rsidRPr="00EB1A7E">
        <w:rPr>
          <w:rStyle w:val="aff4"/>
          <w:rFonts w:hint="cs"/>
          <w:vanish/>
        </w:rPr>
        <w:instrText>REF</w:instrText>
      </w:r>
      <w:r w:rsidRPr="00EB1A7E">
        <w:rPr>
          <w:rStyle w:val="aff4"/>
          <w:rFonts w:hint="cs"/>
          <w:vanish/>
          <w:rtl/>
        </w:rPr>
        <w:instrText xml:space="preserve"> _</w:instrText>
      </w:r>
      <w:r w:rsidRPr="00EB1A7E">
        <w:rPr>
          <w:rStyle w:val="aff4"/>
          <w:rFonts w:hint="cs"/>
          <w:vanish/>
        </w:rPr>
        <w:instrText>Ref136474622 \r \h</w:instrText>
      </w:r>
      <w:r w:rsidRPr="00EB1A7E">
        <w:rPr>
          <w:rStyle w:val="aff4"/>
          <w:vanish/>
          <w:rtl/>
        </w:rPr>
        <w:instrText xml:space="preserve"> </w:instrText>
      </w:r>
      <w:r w:rsidRPr="00EB1A7E">
        <w:rPr>
          <w:rStyle w:val="aff4"/>
          <w:vanish/>
          <w:rtl/>
        </w:rPr>
      </w:r>
      <w:r w:rsidRPr="00EB1A7E">
        <w:rPr>
          <w:rStyle w:val="aff4"/>
          <w:vanish/>
          <w:rtl/>
        </w:rPr>
        <w:fldChar w:fldCharType="separate"/>
      </w:r>
      <w:r w:rsidR="00D82181">
        <w:rPr>
          <w:rStyle w:val="aff4"/>
          <w:vanish/>
          <w:cs/>
        </w:rPr>
        <w:t>‎</w:t>
      </w:r>
      <w:r w:rsidR="00D82181">
        <w:rPr>
          <w:rStyle w:val="aff4"/>
          <w:vanish/>
          <w:rtl/>
        </w:rPr>
        <w:t>נז)</w:t>
      </w:r>
      <w:r w:rsidRPr="00EB1A7E">
        <w:rPr>
          <w:rStyle w:val="aff4"/>
          <w:vanish/>
          <w:rtl/>
        </w:rPr>
        <w:fldChar w:fldCharType="end"/>
      </w:r>
      <w:r w:rsidRPr="00EB1A7E">
        <w:rPr>
          <w:rStyle w:val="aff4"/>
          <w:rFonts w:hint="cs"/>
          <w:vanish/>
          <w:rtl/>
        </w:rPr>
        <w:t xml:space="preserve"> &gt;</w:t>
      </w:r>
      <w:r w:rsidRPr="00D4778B">
        <w:rPr>
          <w:rStyle w:val="aff4"/>
          <w:rFonts w:hint="cs"/>
          <w:rtl/>
        </w:rPr>
        <w:t>שביתת השבת</w:t>
      </w:r>
      <w:r w:rsidRPr="00EB1A7E">
        <w:rPr>
          <w:rStyle w:val="aff4"/>
          <w:rFonts w:hint="cs"/>
          <w:vanish/>
          <w:rtl/>
        </w:rPr>
        <w:t>-</w:t>
      </w:r>
      <w:r>
        <w:rPr>
          <w:rFonts w:hint="cs"/>
          <w:rtl/>
        </w:rPr>
        <w:t xml:space="preserve"> </w:t>
      </w:r>
      <w:r w:rsidRPr="00D4778B">
        <w:rPr>
          <w:rStyle w:val="af2"/>
          <w:rFonts w:eastAsia="Guttman Hodes" w:hint="cs"/>
          <w:rtl/>
        </w:rPr>
        <w:t>(זורה אות ט"ו סוד"ה האחרונים)</w:t>
      </w:r>
      <w:r>
        <w:rPr>
          <w:rFonts w:hint="cs"/>
          <w:rtl/>
        </w:rPr>
        <w:t xml:space="preserve"> בשם </w:t>
      </w:r>
      <w:r w:rsidRPr="00EB1A7E">
        <w:rPr>
          <w:rStyle w:val="aff4"/>
          <w:rFonts w:hint="cs"/>
          <w:vanish/>
          <w:rtl/>
        </w:rPr>
        <w:t>-</w:t>
      </w:r>
      <w:r w:rsidRPr="00D4778B">
        <w:rPr>
          <w:rStyle w:val="aff4"/>
          <w:rFonts w:hint="cs"/>
          <w:rtl/>
        </w:rPr>
        <w:t>חכם אחד</w:t>
      </w:r>
      <w:r w:rsidRPr="00EB1A7E">
        <w:rPr>
          <w:rStyle w:val="aff4"/>
          <w:rFonts w:hint="cs"/>
          <w:vanish/>
          <w:rtl/>
        </w:rPr>
        <w:t>-</w:t>
      </w:r>
      <w:r w:rsidRPr="00EB1A7E">
        <w:rPr>
          <w:rFonts w:hint="cs"/>
          <w:vanish/>
          <w:rtl/>
        </w:rPr>
        <w:t>=</w:t>
      </w:r>
      <w:r>
        <w:rPr>
          <w:rFonts w:hint="cs"/>
          <w:rtl/>
        </w:rPr>
        <w:t xml:space="preserve">, והוסיף לבאר דאעפ"י דבכל מלאכה הגדר הוא תכלית המלאכה, ולא דברים שיוצאים ממנה, מ"מ ברוק הפרדת החלקים ברוח היא ג"כ הפרדה, וכיון שעיקר המלאכה היא הפרדת אוכל מפסולת, אף הפרדה אחרת היא תולדה שלה, ולא דמי לשאר המלאכות דא"א לומר דהתוצאה היא חלק מהמלאכה, כגון בעשיית גומא דחפירת העפר אינה חלק ממלאכת בונה, אעפ"י דהיא התוצאה של עשיית הגומא, וכעי"ז כתב </w:t>
      </w:r>
      <w:r w:rsidRPr="00CB65AA">
        <w:rPr>
          <w:rStyle w:val="aff4"/>
          <w:rFonts w:hint="cs"/>
          <w:vanish/>
          <w:rtl/>
        </w:rPr>
        <w:t>-</w:t>
      </w:r>
      <w:r w:rsidRPr="00996495">
        <w:rPr>
          <w:rStyle w:val="aff4"/>
          <w:rFonts w:hint="cs"/>
          <w:rtl/>
        </w:rPr>
        <w:t>הקה"י</w:t>
      </w:r>
      <w:r w:rsidRPr="00CB65AA">
        <w:rPr>
          <w:rStyle w:val="aff4"/>
          <w:rFonts w:hint="cs"/>
          <w:vanish/>
          <w:rtl/>
        </w:rPr>
        <w:t>-</w:t>
      </w:r>
      <w:r>
        <w:rPr>
          <w:rFonts w:hint="cs"/>
          <w:rtl/>
        </w:rPr>
        <w:t xml:space="preserve"> </w:t>
      </w:r>
      <w:r>
        <w:rPr>
          <w:rStyle w:val="af2"/>
          <w:rFonts w:eastAsia="Guttman Hodes" w:hint="cs"/>
          <w:rtl/>
        </w:rPr>
        <w:t>(עי' אות</w:t>
      </w:r>
      <w:r w:rsidRPr="00391AAB">
        <w:rPr>
          <w:rStyle w:val="af2"/>
          <w:rFonts w:eastAsia="Guttman Hodes" w:hint="cs"/>
          <w:rtl/>
        </w:rPr>
        <w:t xml:space="preserve"> </w:t>
      </w:r>
      <w:r w:rsidRPr="00391AAB">
        <w:rPr>
          <w:rStyle w:val="af2"/>
          <w:rFonts w:eastAsia="Guttman Hodes"/>
          <w:rtl/>
        </w:rPr>
        <w:fldChar w:fldCharType="begin"/>
      </w:r>
      <w:r w:rsidRPr="00391AAB">
        <w:rPr>
          <w:rStyle w:val="af2"/>
          <w:rFonts w:eastAsia="Guttman Hodes"/>
          <w:rtl/>
        </w:rPr>
        <w:instrText xml:space="preserve"> </w:instrText>
      </w:r>
      <w:r w:rsidRPr="00391AAB">
        <w:rPr>
          <w:rStyle w:val="af2"/>
          <w:rFonts w:eastAsia="Guttman Hodes" w:hint="cs"/>
        </w:rPr>
        <w:instrText>REF</w:instrText>
      </w:r>
      <w:r w:rsidRPr="00391AAB">
        <w:rPr>
          <w:rStyle w:val="af2"/>
          <w:rFonts w:eastAsia="Guttman Hodes" w:hint="cs"/>
          <w:rtl/>
        </w:rPr>
        <w:instrText xml:space="preserve"> _</w:instrText>
      </w:r>
      <w:r w:rsidRPr="00391AAB">
        <w:rPr>
          <w:rStyle w:val="af2"/>
          <w:rFonts w:eastAsia="Guttman Hodes" w:hint="cs"/>
        </w:rPr>
        <w:instrText>Ref136445664 \r \h</w:instrText>
      </w:r>
      <w:r w:rsidRPr="00391AAB">
        <w:rPr>
          <w:rStyle w:val="af2"/>
          <w:rFonts w:eastAsia="Guttman Hodes"/>
          <w:rtl/>
        </w:rPr>
        <w:instrText xml:space="preserve"> </w:instrText>
      </w:r>
      <w:r w:rsidRPr="00391AAB">
        <w:rPr>
          <w:rStyle w:val="af2"/>
          <w:rFonts w:eastAsia="Guttman Hodes"/>
          <w:rtl/>
        </w:rPr>
      </w:r>
      <w:r w:rsidRPr="00391AAB">
        <w:rPr>
          <w:rStyle w:val="af2"/>
          <w:rFonts w:eastAsia="Guttman Hodes"/>
          <w:rtl/>
        </w:rPr>
        <w:fldChar w:fldCharType="separate"/>
      </w:r>
      <w:r w:rsidR="00D82181">
        <w:rPr>
          <w:rStyle w:val="af2"/>
          <w:rFonts w:eastAsia="Guttman Hodes"/>
          <w:cs/>
        </w:rPr>
        <w:t>‎</w:t>
      </w:r>
      <w:r w:rsidR="00D82181">
        <w:rPr>
          <w:rStyle w:val="af2"/>
          <w:rFonts w:eastAsia="Guttman Hodes"/>
          <w:rtl/>
        </w:rPr>
        <w:t>נד)</w:t>
      </w:r>
      <w:r w:rsidRPr="00391AAB">
        <w:rPr>
          <w:rStyle w:val="af2"/>
          <w:rFonts w:eastAsia="Guttman Hodes"/>
          <w:rtl/>
        </w:rPr>
        <w:fldChar w:fldCharType="end"/>
      </w:r>
      <w:r>
        <w:rPr>
          <w:rFonts w:hint="cs"/>
          <w:rtl/>
        </w:rPr>
        <w:t>.</w:t>
      </w:r>
      <w:bookmarkEnd w:id="2142"/>
      <w:r>
        <w:rPr>
          <w:rFonts w:hint="cs"/>
          <w:rtl/>
        </w:rPr>
        <w:t xml:space="preserve"> </w:t>
      </w:r>
    </w:p>
    <w:p w14:paraId="2D5D6E11" w14:textId="77777777" w:rsidR="00316453" w:rsidRPr="00747170" w:rsidRDefault="00316453" w:rsidP="00747170">
      <w:pPr>
        <w:pStyle w:val="a2"/>
        <w:rPr>
          <w:rtl/>
        </w:rPr>
      </w:pPr>
      <w:r w:rsidRPr="00747170">
        <w:rPr>
          <w:rStyle w:val="afff7"/>
          <w:rtl/>
        </w:rPr>
        <w:t>(טו) האחרונים הרבו להקשות</w:t>
      </w:r>
      <w:r w:rsidRPr="00747170">
        <w:rPr>
          <w:rStyle w:val="afff7"/>
          <w:rFonts w:hint="cs"/>
          <w:rtl/>
        </w:rPr>
        <w:t xml:space="preserve"> </w:t>
      </w:r>
      <w:r w:rsidRPr="00747170">
        <w:rPr>
          <w:rStyle w:val="afff7"/>
          <w:rtl/>
        </w:rPr>
        <w:t>על זה ולהוכיח דתלמודא דידן לא ס"ל הכא חדא דזורה אינו רק המעביר פסולת מאוכל מדפרכינן היינו זורה היינו בורר ועוד דרוק אין במינו נזרה ואנן פטרינן באין במינו ניצוד ועוד דהוי משאצ"ל דפטור לרוב הפוסקים, והירושלמי ס"ל דחייב בכל הני כ"כ הנשמת אדם אמנם עוד אינו מספיק דגם מאן דמחייב בדבר שאין במינו ניצוד ומשאצ"ל עכ"פ צריך שיהיה בזה תיקון כמו הצד פרעוש שלא ישכנו אבל באין שום תיקון לכ"ע פטור. ובברכי יוסף [סס"י שי"ט] כתב בשם מהריק"ש על דין זה דרוקק, ולא ראינו מי שחשש לזה כיון שאין מתכוין לכך ועין מש"ל במלאכה זו בבא"ר אות ה' בשם ספר ערוגת הבושם לתרץ על הקושיא דבגמ' דידן אמרינן היינו זורה היינו בורר, דעיקר קושית הגמ' הוא על דחשיב לה לאב מלאכה בפ"ע דלא מקרי אב מלאכה אלא דכיו"ב הוי במשכן, ובמשכן לא הי' אלא בסממנים ובענין זה היינו בורר כו' ואין דברים אלו מספיקים דמ"מ כיון דמלאכת זורה איננה באותם הגבולים של מלאכת בורר רק כוללת ענין אחר מ"ט לא נחשבה בפני עצמה</w:t>
      </w:r>
      <w:r w:rsidRPr="00747170">
        <w:rPr>
          <w:rtl/>
        </w:rPr>
        <w:t xml:space="preserve"> וקרוב לזה כתב לי בזה חכם אחד דעדין הקושיא במקומה עומדת, דהנה בזורה יש שני ענינים, ענין ההפרדה, דמתברר הפסולת ומתפרד מן האוכל וענין שני דהפסולת מתחלק ומתפזר ע"י הרוח, וכל זה הוי במשכן ולשיטת הירושלמי דגם זה שהפסולת עצמה מתפזר הוי בכלל איסור זורה שפיר הקשו, דאם איתא דגם ש"ס דילן סובר כהירושלמי לא הוה פריך מידי היינו זורה וכו', דנהי דענין בורר שיש בזורה דומה לבורר ומרקד אבל הענין הב', שהפסולת עצמה מתפזר אינו ענין לבורר כלל ומשו"ה שפיר חשיב לה לאב בפני עצמה ומאי פריך אלא ודאי דהש"ס דילן לא סבירא ליה כהירושלמי, ולפי"ז לא מוכח מידי גם מהירושלמי דזורה הוא גם שלא ברחת, דנהי דאיסור ההפרדה בדבר עצמו ע"י הרוח הוי אפי' שלא ברחת כמו הרוקק ברוח אבל ענין בורר שבזורה הוא דוקא ברחת כפי' רש"י, דדרך ברירה הוא בכך אבל ביד לא מיקרי זורה עכ"ל.</w:t>
      </w:r>
    </w:p>
    <w:p w14:paraId="74545951" w14:textId="77777777" w:rsidR="00316453" w:rsidRPr="00123A6D" w:rsidRDefault="00316453" w:rsidP="00747170">
      <w:pPr>
        <w:pStyle w:val="afffff5"/>
        <w:rPr>
          <w:rtl/>
        </w:rPr>
      </w:pPr>
      <w:r w:rsidRPr="00123A6D">
        <w:rPr>
          <w:rtl/>
        </w:rPr>
        <w:t>ואין דברים אלו נראין לי דבכל מלאכה אין אנו משגיחין אלא על התכלית שלה ולא על מה שנמשך ממילא בלא כונה ותכלית דאלת"ה נימא דבחופר יש שני ענינים עשית הגומא וחפירת העפר, וא"כ היכי דליכא לחייבו משום עשית הגומא נחייבהו על חפירת העפר כמו דמחייבין על התפוצצות הרוק ולמה אמרינן בגומא דאפי' לר"י פטור וכמו"כ במפשיט יש ב' ענינים, מה שיכול להשתמש בעור ומה שמנקה הבשר מהעור ולמה אמרינן [קיז א] בשקיל לי' בברזי דפטור, אכתי יתחייב משום ענין השני שמנקה הבשר. אלא ודאי אין אנו משגיחין אלא על הכונה והתכלית שבהמלאכה ולא מה שנמשך ענין אחר. וצ"ל דהירושלמי יש לו פי' אחר וכדבעינן למימר לקמן.</w:t>
      </w:r>
    </w:p>
    <w:p w14:paraId="62F35BC7" w14:textId="77777777" w:rsidR="00316453" w:rsidRPr="00123A6D" w:rsidRDefault="00316453" w:rsidP="00747170">
      <w:pPr>
        <w:pStyle w:val="afffff5"/>
        <w:rPr>
          <w:rtl/>
        </w:rPr>
      </w:pPr>
      <w:r w:rsidRPr="00123A6D">
        <w:rPr>
          <w:rtl/>
        </w:rPr>
        <w:t>והשיב לי דאין מזה סתירה להירושלמי דהתם בזורה האיסור הוא ההפרדה ואיסור זה ס"ל להירושלמי ישנו בעצם כן בפסולת עצמה שמתפרד ע"י הרוח אלא היכא דמתפרד הפסולת מתוך האוכל נכנס תחת סוג ברירה והוי משום זה שני עניני הפרדה, משא"כ בכל הני שהוא ענין אחר לגמרי ולא הוי כלל בכלל איסורי המלאכות ועיין, אלא שבעצם דברי הירושלמי יש לדקדק ועי' באחרונים עכ"ל.</w:t>
      </w:r>
    </w:p>
    <w:p w14:paraId="2D14DC1A" w14:textId="77777777" w:rsidR="00316453" w:rsidRPr="005C5103" w:rsidRDefault="00316453" w:rsidP="00316453">
      <w:pPr>
        <w:pStyle w:val="afffffb"/>
        <w:rPr>
          <w:vanish/>
          <w:rtl/>
        </w:rPr>
      </w:pPr>
      <w:r w:rsidRPr="005C5103">
        <w:rPr>
          <w:rFonts w:hint="cs"/>
          <w:vanish/>
          <w:rtl/>
        </w:rPr>
        <w:t>אבי עזרי שבת פ"ח הי"א ד"ה ומעתה</w:t>
      </w:r>
    </w:p>
    <w:p w14:paraId="144CA01F" w14:textId="77777777" w:rsidR="00316453" w:rsidRPr="00EB254B" w:rsidRDefault="00316453" w:rsidP="00316453">
      <w:pPr>
        <w:pStyle w:val="a7"/>
        <w:rPr>
          <w:rtl/>
        </w:rPr>
      </w:pPr>
      <w:bookmarkStart w:id="2143" w:name="_Toc136618723"/>
      <w:r>
        <w:rPr>
          <w:rFonts w:hint="cs"/>
          <w:rtl/>
        </w:rPr>
        <w:t>בי' האבי עזרי דהא דמבו' בבבלי דזורה הוא הפרדת פסולת היינו עיקר המלאכה ולא התולדה</w:t>
      </w:r>
      <w:bookmarkEnd w:id="2143"/>
    </w:p>
    <w:p w14:paraId="5AA79476" w14:textId="564DE497" w:rsidR="00316453" w:rsidRPr="00321179" w:rsidRDefault="00316453" w:rsidP="00BC7DC8">
      <w:pPr>
        <w:pStyle w:val="a3"/>
        <w:rPr>
          <w:rtl/>
        </w:rPr>
      </w:pPr>
      <w:r w:rsidRPr="00321179">
        <w:rPr>
          <w:rFonts w:hint="cs"/>
          <w:rtl/>
        </w:rPr>
        <w:t xml:space="preserve">ולפי"ז תירץ </w:t>
      </w:r>
      <w:r w:rsidRPr="00527BD6">
        <w:rPr>
          <w:rStyle w:val="aff4"/>
          <w:rFonts w:hint="cs"/>
          <w:vanish/>
          <w:rtl/>
        </w:rPr>
        <w:t>-</w:t>
      </w:r>
      <w:r w:rsidRPr="00DE28D5">
        <w:rPr>
          <w:rStyle w:val="aff4"/>
          <w:rFonts w:hint="cs"/>
          <w:rtl/>
        </w:rPr>
        <w:t>האבי עזרי</w:t>
      </w:r>
      <w:r w:rsidRPr="00527BD6">
        <w:rPr>
          <w:rStyle w:val="aff4"/>
          <w:rFonts w:hint="cs"/>
          <w:vanish/>
          <w:rtl/>
        </w:rPr>
        <w:t>-</w:t>
      </w:r>
      <w:r w:rsidRPr="00321179">
        <w:rPr>
          <w:rFonts w:hint="cs"/>
          <w:rtl/>
        </w:rPr>
        <w:t xml:space="preserve"> את קושית </w:t>
      </w:r>
      <w:r w:rsidRPr="00527BD6">
        <w:rPr>
          <w:rStyle w:val="aff4"/>
          <w:rFonts w:hint="cs"/>
          <w:vanish/>
          <w:rtl/>
        </w:rPr>
        <w:t>-</w:t>
      </w:r>
      <w:r w:rsidRPr="00DE28D5">
        <w:rPr>
          <w:rStyle w:val="aff4"/>
          <w:rFonts w:hint="cs"/>
          <w:rtl/>
        </w:rPr>
        <w:t>הגרעק"א</w:t>
      </w:r>
      <w:r w:rsidRPr="00527BD6">
        <w:rPr>
          <w:rStyle w:val="aff4"/>
          <w:rFonts w:hint="cs"/>
          <w:vanish/>
          <w:rtl/>
        </w:rPr>
        <w:t>-</w:t>
      </w:r>
      <w:r w:rsidRPr="00321179">
        <w:rPr>
          <w:rFonts w:hint="cs"/>
          <w:rtl/>
        </w:rPr>
        <w:t xml:space="preserve"> </w:t>
      </w:r>
      <w:r w:rsidRPr="00D4778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Ref136594770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כט)</w:t>
      </w:r>
      <w:r>
        <w:rPr>
          <w:rStyle w:val="af2"/>
          <w:rFonts w:eastAsia="Guttman Hodes"/>
          <w:rtl/>
        </w:rPr>
        <w:fldChar w:fldCharType="end"/>
      </w:r>
      <w:r w:rsidRPr="00321179">
        <w:rPr>
          <w:rFonts w:hint="cs"/>
          <w:rtl/>
        </w:rPr>
        <w:t xml:space="preserve"> דהא דמבואר בגמ' בב"ק דחיוב זורה ע"י הרוח הוא בדבר שהיה חייב בעושה בידיו, היינו בעיקר מלאכת זורה דהוא הפרדת אוכל מפסולת, אף שאינו מפריד חלק מחלק, ואילו הירושלמי מחייב ברוקק מחמת החלק של המלאכה דהפרדת חלקים, וכן מתורץ מה שהקשה </w:t>
      </w:r>
      <w:r w:rsidRPr="00527BD6">
        <w:rPr>
          <w:rStyle w:val="aff4"/>
          <w:rFonts w:hint="cs"/>
          <w:vanish/>
          <w:rtl/>
        </w:rPr>
        <w:t>-</w:t>
      </w:r>
      <w:r w:rsidRPr="00DE28D5">
        <w:rPr>
          <w:rStyle w:val="aff4"/>
          <w:rFonts w:hint="cs"/>
          <w:rtl/>
        </w:rPr>
        <w:t>הגרעק"א</w:t>
      </w:r>
      <w:r w:rsidRPr="00527BD6">
        <w:rPr>
          <w:rStyle w:val="aff4"/>
          <w:rFonts w:hint="cs"/>
          <w:vanish/>
          <w:rtl/>
        </w:rPr>
        <w:t>-</w:t>
      </w:r>
      <w:r w:rsidRPr="00321179">
        <w:rPr>
          <w:rFonts w:hint="cs"/>
          <w:rtl/>
        </w:rPr>
        <w:t xml:space="preserve"> מהא דאיתא בסוגיין דהיינו זורה היינו בורר ומרקד, דכוונת הגמ' לומר דאי תני זורה אפשר ללמוד את החיוב גם לבורר ומרקד, אבל ודאי דא"א ללמוד מבורר ומרקד את זורה, דיש בו חלק נוסף של הפרדת חלקים ע"י הרוח, והוסיף </w:t>
      </w:r>
      <w:r w:rsidRPr="00527BD6">
        <w:rPr>
          <w:rStyle w:val="aff4"/>
          <w:rFonts w:hint="cs"/>
          <w:vanish/>
          <w:rtl/>
        </w:rPr>
        <w:t>-</w:t>
      </w:r>
      <w:r w:rsidRPr="00DE28D5">
        <w:rPr>
          <w:rStyle w:val="aff4"/>
          <w:rFonts w:hint="cs"/>
          <w:rtl/>
        </w:rPr>
        <w:t>האבי עזרי</w:t>
      </w:r>
      <w:r w:rsidRPr="00527BD6">
        <w:rPr>
          <w:rStyle w:val="aff4"/>
          <w:rFonts w:hint="cs"/>
          <w:vanish/>
          <w:rtl/>
        </w:rPr>
        <w:t>-</w:t>
      </w:r>
      <w:r w:rsidRPr="00321179">
        <w:rPr>
          <w:rFonts w:hint="cs"/>
          <w:rtl/>
        </w:rPr>
        <w:t xml:space="preserve"> דלמסקנא שהם ג' אבות ודאי דזורה ל"ד לבורר, דהמלאכה בזורה היא ע"י הרוח.</w:t>
      </w:r>
    </w:p>
    <w:p w14:paraId="69F74C7B" w14:textId="77777777" w:rsidR="00316453" w:rsidRPr="00747170" w:rsidRDefault="00316453" w:rsidP="00747170">
      <w:pPr>
        <w:pStyle w:val="a2"/>
      </w:pPr>
      <w:r w:rsidRPr="00747170">
        <w:rPr>
          <w:rFonts w:hint="cs"/>
          <w:rtl/>
        </w:rPr>
        <w:t>וע"כ שפיר פריך הגמ' בפ' הכונס ולהוי כזורה ורוח מסייעתו והיינו מעיקר זורה שהי' בה גם מה שמפריד הפסולת מהאוכל בלא הפרדת חלק מחלק הי' ג"כ חייב ומשום דהוי כמו שעושה ביד והי' תולדה דזורה וגם מיושב מה שבגמ' בפ' כלל גדול פריך היינו זורה היינו בורר היינו מרקד והיינו שאם הי' במנין רק זורה ג"כ אפשר לדעת בורר ומרקד ומשום תולדה דזורה אף שאינו דומה לגמרי לזורה אבל ודאי מבורר ומרקד לא הייתי יודע זורה חלק זה מה שהרוח מפריד חלק מחלק ודוק היטב (וגם טרם שידע התירוץ שהן שלשה אבות משום שהי' במשכן סוברת הגמ' שכולהו משום בורר וכולהו הן אב אחד ולכך פריך הגמ' היינו זורה היינו בורר היינו מרקד אבל אחרי שהגמ' מתרץ שהן שלשה אבות ממילא זורה אופן המלאכה שלה הוא ע"י הרוח וכל אחד לפי אופן שלה).</w:t>
      </w:r>
    </w:p>
    <w:p w14:paraId="4F3DEDD0" w14:textId="77777777" w:rsidR="00316453" w:rsidRDefault="00316453" w:rsidP="00316453">
      <w:pPr>
        <w:pStyle w:val="a7"/>
        <w:rPr>
          <w:rtl/>
        </w:rPr>
      </w:pPr>
    </w:p>
    <w:p w14:paraId="15D92A51" w14:textId="77777777" w:rsidR="00316453" w:rsidRPr="00321179" w:rsidRDefault="00316453" w:rsidP="00316453">
      <w:pPr>
        <w:pStyle w:val="afffff7"/>
      </w:pPr>
      <w:bookmarkStart w:id="2144" w:name="_Toc136620487"/>
      <w:bookmarkStart w:id="2145" w:name="_Toc163505766"/>
      <w:r w:rsidRPr="00321179">
        <w:rPr>
          <w:rFonts w:hint="cs"/>
          <w:rtl/>
        </w:rPr>
        <w:lastRenderedPageBreak/>
        <w:t>אבי עזרי שבת פ"ח הי"א ד"ה והנה הגרעק"א</w:t>
      </w:r>
      <w:bookmarkEnd w:id="2144"/>
      <w:bookmarkEnd w:id="2145"/>
    </w:p>
    <w:p w14:paraId="47393287" w14:textId="77777777" w:rsidR="00316453" w:rsidRPr="00321179" w:rsidRDefault="00316453" w:rsidP="00316453">
      <w:pPr>
        <w:spacing w:before="200" w:after="0" w:line="360" w:lineRule="auto"/>
        <w:jc w:val="center"/>
        <w:outlineLvl w:val="1"/>
        <w:rPr>
          <w:rFonts w:ascii="Guttman Hodes" w:eastAsia="Guttman Hodes" w:hAnsi="Guttman Hodes" w:cs="Guttman Hodes"/>
          <w:bCs/>
          <w:sz w:val="12"/>
          <w:szCs w:val="12"/>
          <w:rtl/>
        </w:rPr>
      </w:pPr>
      <w:r>
        <w:rPr>
          <w:rFonts w:ascii="Guttman Hodes" w:eastAsia="Guttman Hodes" w:hAnsi="Guttman Hodes" w:cs="Guttman Hodes" w:hint="cs"/>
          <w:bCs/>
          <w:sz w:val="12"/>
          <w:szCs w:val="12"/>
          <w:rtl/>
        </w:rPr>
        <w:t>בי' האבי עזרי בבעה"מ דזורה מים לרוח חייב אף דאצל"ג והוי פס"ר דלא ניחא ליה וחייב לתוס'</w:t>
      </w:r>
    </w:p>
    <w:p w14:paraId="78543B5B" w14:textId="026D5665" w:rsidR="00316453" w:rsidRPr="00321179" w:rsidRDefault="00316453" w:rsidP="00BC7DC8">
      <w:pPr>
        <w:pStyle w:val="a3"/>
        <w:rPr>
          <w:rtl/>
        </w:rPr>
      </w:pPr>
      <w:bookmarkStart w:id="2146" w:name="_Ref136444316"/>
      <w:r w:rsidRPr="00321179">
        <w:rPr>
          <w:rFonts w:hint="cs"/>
          <w:rtl/>
        </w:rPr>
        <w:t xml:space="preserve">ובמ"ש </w:t>
      </w:r>
      <w:r w:rsidRPr="00527BD6">
        <w:rPr>
          <w:rStyle w:val="aff4"/>
          <w:rFonts w:hint="cs"/>
          <w:vanish/>
          <w:rtl/>
        </w:rPr>
        <w:t>-</w:t>
      </w:r>
      <w:r w:rsidRPr="00DE28D5">
        <w:rPr>
          <w:rStyle w:val="aff4"/>
          <w:rFonts w:hint="cs"/>
          <w:rtl/>
        </w:rPr>
        <w:t>הגרעק"א בתשו'</w:t>
      </w:r>
      <w:r w:rsidRPr="00527BD6">
        <w:rPr>
          <w:rStyle w:val="aff4"/>
          <w:rFonts w:hint="cs"/>
          <w:vanish/>
          <w:rtl/>
        </w:rPr>
        <w:t>-</w:t>
      </w:r>
      <w:r w:rsidRPr="00321179">
        <w:rPr>
          <w:rFonts w:hint="cs"/>
          <w:rtl/>
        </w:rPr>
        <w:t xml:space="preserve"> </w:t>
      </w:r>
      <w:r w:rsidRPr="00D4778B">
        <w:rPr>
          <w:rStyle w:val="af2"/>
          <w:rFonts w:eastAsia="Guttman Hodes" w:hint="cs"/>
          <w:rtl/>
        </w:rPr>
        <w:t xml:space="preserve">(עי' אות </w:t>
      </w:r>
      <w:r w:rsidRPr="00D4778B">
        <w:rPr>
          <w:rStyle w:val="af2"/>
          <w:rFonts w:eastAsia="Guttman Hodes" w:hint="cs"/>
          <w:rtl/>
        </w:rPr>
        <w:fldChar w:fldCharType="begin"/>
      </w:r>
      <w:r w:rsidRPr="00D4778B">
        <w:rPr>
          <w:rStyle w:val="af2"/>
          <w:rFonts w:eastAsia="Guttman Hodes" w:hint="cs"/>
          <w:rtl/>
        </w:rPr>
        <w:instrText xml:space="preserve"> </w:instrText>
      </w:r>
      <w:r w:rsidRPr="00D4778B">
        <w:rPr>
          <w:rStyle w:val="af2"/>
          <w:rFonts w:eastAsia="Guttman Hodes" w:hint="cs"/>
        </w:rPr>
        <w:instrText>REF</w:instrText>
      </w:r>
      <w:r w:rsidRPr="00D4778B">
        <w:rPr>
          <w:rStyle w:val="af2"/>
          <w:rFonts w:eastAsia="Guttman Hodes" w:hint="cs"/>
          <w:rtl/>
        </w:rPr>
        <w:instrText xml:space="preserve"> _</w:instrText>
      </w:r>
      <w:r w:rsidRPr="00D4778B">
        <w:rPr>
          <w:rStyle w:val="af2"/>
          <w:rFonts w:eastAsia="Guttman Hodes" w:hint="cs"/>
        </w:rPr>
        <w:instrText>Ref136369539 \r \h</w:instrText>
      </w:r>
      <w:r w:rsidRPr="00D4778B">
        <w:rPr>
          <w:rStyle w:val="af2"/>
          <w:rFonts w:eastAsia="Guttman Hodes" w:hint="cs"/>
          <w:rtl/>
        </w:rPr>
        <w:instrText xml:space="preserve"> </w:instrText>
      </w:r>
      <w:r w:rsidRPr="00D4778B">
        <w:rPr>
          <w:rStyle w:val="af2"/>
          <w:rFonts w:eastAsia="Guttman Hodes" w:hint="cs"/>
          <w:rtl/>
        </w:rPr>
      </w:r>
      <w:r w:rsidRPr="00D4778B">
        <w:rPr>
          <w:rStyle w:val="af2"/>
          <w:rFonts w:eastAsia="Guttman Hodes" w:hint="cs"/>
          <w:rtl/>
        </w:rPr>
        <w:fldChar w:fldCharType="separate"/>
      </w:r>
      <w:r w:rsidR="00D82181">
        <w:rPr>
          <w:rStyle w:val="af2"/>
          <w:rFonts w:eastAsia="Guttman Hodes" w:hint="eastAsia"/>
          <w:cs/>
        </w:rPr>
        <w:t>‎</w:t>
      </w:r>
      <w:r w:rsidR="00D82181">
        <w:rPr>
          <w:rStyle w:val="af2"/>
          <w:rFonts w:eastAsia="Guttman Hodes" w:hint="eastAsia"/>
          <w:rtl/>
        </w:rPr>
        <w:t>כט</w:t>
      </w:r>
      <w:r w:rsidR="00D82181">
        <w:rPr>
          <w:rStyle w:val="af2"/>
          <w:rFonts w:eastAsia="Guttman Hodes"/>
          <w:rtl/>
        </w:rPr>
        <w:t>)</w:t>
      </w:r>
      <w:r w:rsidRPr="00D4778B">
        <w:rPr>
          <w:rStyle w:val="af2"/>
          <w:rFonts w:eastAsia="Guttman Hodes" w:hint="cs"/>
          <w:rtl/>
        </w:rPr>
        <w:fldChar w:fldCharType="end"/>
      </w:r>
      <w:r w:rsidRPr="00321179">
        <w:rPr>
          <w:rFonts w:hint="cs"/>
          <w:rtl/>
        </w:rPr>
        <w:t xml:space="preserve"> דאף אי יש איסור בזורה מים לרוח הוא דרבנן, והא דאיתא בירושלמי דהוא דאו', היינו דס"ל כר"י דמלאכה שא"צ לגופה חייב מדאו', כתב </w:t>
      </w:r>
      <w:r w:rsidRPr="00527BD6">
        <w:rPr>
          <w:rStyle w:val="aff4"/>
          <w:rFonts w:hint="cs"/>
          <w:vanish/>
          <w:rtl/>
        </w:rPr>
        <w:t>-</w:t>
      </w:r>
      <w:r w:rsidRPr="00DE28D5">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Ref136444316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נט)</w:t>
      </w:r>
      <w:r>
        <w:rPr>
          <w:rStyle w:val="aff4"/>
          <w:vanish/>
          <w:rtl/>
        </w:rPr>
        <w:fldChar w:fldCharType="end"/>
      </w:r>
      <w:r>
        <w:rPr>
          <w:rStyle w:val="aff4"/>
          <w:rFonts w:hint="cs"/>
          <w:vanish/>
          <w:rtl/>
        </w:rPr>
        <w:t xml:space="preserve"> &gt;</w:t>
      </w:r>
      <w:r w:rsidRPr="00DE28D5">
        <w:rPr>
          <w:rStyle w:val="aff4"/>
          <w:rFonts w:hint="cs"/>
          <w:rtl/>
        </w:rPr>
        <w:t>אבי עזרי</w:t>
      </w:r>
      <w:r w:rsidRPr="00527BD6">
        <w:rPr>
          <w:rStyle w:val="aff4"/>
          <w:rFonts w:hint="cs"/>
          <w:vanish/>
          <w:rtl/>
        </w:rPr>
        <w:t>-</w:t>
      </w:r>
      <w:r w:rsidRPr="00321179">
        <w:rPr>
          <w:rFonts w:hint="cs"/>
          <w:rtl/>
        </w:rPr>
        <w:t xml:space="preserve"> </w:t>
      </w:r>
      <w:r w:rsidRPr="00D4778B">
        <w:rPr>
          <w:rStyle w:val="af2"/>
          <w:rFonts w:eastAsia="Guttman Hodes" w:hint="cs"/>
          <w:rtl/>
        </w:rPr>
        <w:t>(שבת פ"ח הי"א ד"ה והנה הגרעק"א)</w:t>
      </w:r>
      <w:r w:rsidRPr="00527BD6">
        <w:rPr>
          <w:rFonts w:hint="cs"/>
          <w:vanish/>
          <w:rtl/>
        </w:rPr>
        <w:t>=</w:t>
      </w:r>
      <w:r w:rsidRPr="00321179">
        <w:rPr>
          <w:rFonts w:hint="cs"/>
          <w:rtl/>
        </w:rPr>
        <w:t xml:space="preserve"> </w:t>
      </w:r>
      <w:bookmarkStart w:id="2147" w:name="_Hlk136510445"/>
      <w:r w:rsidRPr="00321179">
        <w:rPr>
          <w:rFonts w:hint="cs"/>
          <w:rtl/>
        </w:rPr>
        <w:t xml:space="preserve">דלדעת </w:t>
      </w:r>
      <w:r w:rsidRPr="00527BD6">
        <w:rPr>
          <w:rStyle w:val="aff4"/>
          <w:rFonts w:hint="cs"/>
          <w:vanish/>
          <w:rtl/>
        </w:rPr>
        <w:t>-</w:t>
      </w:r>
      <w:r w:rsidRPr="00DE28D5">
        <w:rPr>
          <w:rStyle w:val="aff4"/>
          <w:rFonts w:hint="cs"/>
          <w:rtl/>
        </w:rPr>
        <w:t>הבעה"מ</w:t>
      </w:r>
      <w:r w:rsidRPr="00527BD6">
        <w:rPr>
          <w:rStyle w:val="aff4"/>
          <w:rFonts w:hint="cs"/>
          <w:vanish/>
          <w:rtl/>
        </w:rPr>
        <w:t>-</w:t>
      </w:r>
      <w:r w:rsidRPr="00321179">
        <w:rPr>
          <w:rFonts w:hint="cs"/>
          <w:rtl/>
        </w:rPr>
        <w:t xml:space="preserve"> </w:t>
      </w:r>
      <w:r w:rsidRPr="00D4778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Ref135731936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א)</w:t>
      </w:r>
      <w:r>
        <w:rPr>
          <w:rStyle w:val="af2"/>
          <w:rFonts w:eastAsia="Guttman Hodes"/>
          <w:rtl/>
        </w:rPr>
        <w:fldChar w:fldCharType="end"/>
      </w:r>
      <w:r>
        <w:rPr>
          <w:rFonts w:hint="cs"/>
          <w:rtl/>
        </w:rPr>
        <w:t xml:space="preserve"> </w:t>
      </w:r>
      <w:r w:rsidRPr="00321179">
        <w:rPr>
          <w:rFonts w:hint="cs"/>
          <w:rtl/>
        </w:rPr>
        <w:t xml:space="preserve">דכל זורה ובורר הוא מלאכה שא"צ לגופה, ואפ"ה חייבה עליה תורה, </w:t>
      </w:r>
      <w:bookmarkEnd w:id="2147"/>
      <w:r w:rsidRPr="00321179">
        <w:rPr>
          <w:rFonts w:hint="cs"/>
          <w:rtl/>
        </w:rPr>
        <w:t xml:space="preserve">א"כ אף בזורה מים לרוח חייב מדאו' אף דא"צ לגוף המלאכה, ואף דאינו מתכוין מ"מ כיון דהוא </w:t>
      </w:r>
      <w:r w:rsidRPr="00321179">
        <w:rPr>
          <w:rFonts w:hint="cs"/>
          <w:rtl/>
        </w:rPr>
        <w:t xml:space="preserve">פסיק רישיה דלא ניחא ליה, א"כ לדעת </w:t>
      </w:r>
      <w:r w:rsidRPr="00527BD6">
        <w:rPr>
          <w:rStyle w:val="aff4"/>
          <w:rFonts w:hint="cs"/>
          <w:vanish/>
          <w:rtl/>
        </w:rPr>
        <w:t>-</w:t>
      </w:r>
      <w:r w:rsidRPr="00DE28D5">
        <w:rPr>
          <w:rStyle w:val="aff4"/>
          <w:rFonts w:hint="cs"/>
          <w:rtl/>
        </w:rPr>
        <w:t>התוס'</w:t>
      </w:r>
      <w:r w:rsidRPr="00527BD6">
        <w:rPr>
          <w:rStyle w:val="aff4"/>
          <w:rFonts w:hint="cs"/>
          <w:vanish/>
          <w:rtl/>
        </w:rPr>
        <w:t>-</w:t>
      </w:r>
      <w:r w:rsidRPr="00321179">
        <w:rPr>
          <w:rFonts w:hint="cs"/>
          <w:rtl/>
        </w:rPr>
        <w:t xml:space="preserve"> הוא כמתכוין וחייב ואין להקל כנגד הירושלמי, ובמ"ש </w:t>
      </w:r>
      <w:r w:rsidRPr="00527BD6">
        <w:rPr>
          <w:rStyle w:val="aff4"/>
          <w:rFonts w:hint="cs"/>
          <w:vanish/>
          <w:rtl/>
        </w:rPr>
        <w:t>-</w:t>
      </w:r>
      <w:r w:rsidRPr="00DE28D5">
        <w:rPr>
          <w:rStyle w:val="aff4"/>
          <w:rFonts w:hint="cs"/>
          <w:rtl/>
        </w:rPr>
        <w:t>הגרעק"א</w:t>
      </w:r>
      <w:r w:rsidRPr="00527BD6">
        <w:rPr>
          <w:rStyle w:val="aff4"/>
          <w:rFonts w:hint="cs"/>
          <w:vanish/>
          <w:rtl/>
        </w:rPr>
        <w:t>-</w:t>
      </w:r>
      <w:r w:rsidRPr="00321179">
        <w:rPr>
          <w:rFonts w:hint="cs"/>
          <w:rtl/>
        </w:rPr>
        <w:t xml:space="preserve"> </w:t>
      </w:r>
      <w:r w:rsidRPr="00D4778B">
        <w:rPr>
          <w:rStyle w:val="af2"/>
          <w:rFonts w:eastAsia="Guttman Hodes" w:hint="cs"/>
          <w:rtl/>
        </w:rPr>
        <w:t xml:space="preserve">(עי' אות </w:t>
      </w:r>
      <w:r w:rsidRPr="00D4778B">
        <w:rPr>
          <w:rStyle w:val="af2"/>
          <w:rFonts w:eastAsia="Guttman Hodes" w:hint="cs"/>
          <w:rtl/>
        </w:rPr>
        <w:fldChar w:fldCharType="begin"/>
      </w:r>
      <w:r w:rsidRPr="00D4778B">
        <w:rPr>
          <w:rStyle w:val="af2"/>
          <w:rFonts w:eastAsia="Guttman Hodes" w:hint="cs"/>
          <w:rtl/>
        </w:rPr>
        <w:instrText xml:space="preserve"> </w:instrText>
      </w:r>
      <w:r w:rsidRPr="00D4778B">
        <w:rPr>
          <w:rStyle w:val="af2"/>
          <w:rFonts w:eastAsia="Guttman Hodes" w:hint="cs"/>
        </w:rPr>
        <w:instrText>REF</w:instrText>
      </w:r>
      <w:r w:rsidRPr="00D4778B">
        <w:rPr>
          <w:rStyle w:val="af2"/>
          <w:rFonts w:eastAsia="Guttman Hodes" w:hint="cs"/>
          <w:rtl/>
        </w:rPr>
        <w:instrText xml:space="preserve"> _</w:instrText>
      </w:r>
      <w:r w:rsidRPr="00D4778B">
        <w:rPr>
          <w:rStyle w:val="af2"/>
          <w:rFonts w:eastAsia="Guttman Hodes" w:hint="cs"/>
        </w:rPr>
        <w:instrText>Ref136338786 \r \h</w:instrText>
      </w:r>
      <w:r w:rsidRPr="00D4778B">
        <w:rPr>
          <w:rStyle w:val="af2"/>
          <w:rFonts w:eastAsia="Guttman Hodes" w:hint="cs"/>
          <w:rtl/>
        </w:rPr>
        <w:instrText xml:space="preserve"> </w:instrText>
      </w:r>
      <w:r w:rsidRPr="00D4778B">
        <w:rPr>
          <w:rStyle w:val="af2"/>
          <w:rFonts w:eastAsia="Guttman Hodes" w:hint="cs"/>
          <w:rtl/>
        </w:rPr>
      </w:r>
      <w:r w:rsidRPr="00D4778B">
        <w:rPr>
          <w:rStyle w:val="af2"/>
          <w:rFonts w:eastAsia="Guttman Hodes" w:hint="cs"/>
          <w:rtl/>
        </w:rPr>
        <w:fldChar w:fldCharType="separate"/>
      </w:r>
      <w:r w:rsidR="00D82181">
        <w:rPr>
          <w:rStyle w:val="af2"/>
          <w:rFonts w:eastAsia="Guttman Hodes" w:hint="eastAsia"/>
          <w:cs/>
        </w:rPr>
        <w:t>‎</w:t>
      </w:r>
      <w:r w:rsidR="00D82181">
        <w:rPr>
          <w:rStyle w:val="af2"/>
          <w:rFonts w:eastAsia="Guttman Hodes" w:hint="eastAsia"/>
          <w:rtl/>
        </w:rPr>
        <w:t>כג</w:t>
      </w:r>
      <w:r w:rsidR="00D82181">
        <w:rPr>
          <w:rStyle w:val="af2"/>
          <w:rFonts w:eastAsia="Guttman Hodes"/>
          <w:rtl/>
        </w:rPr>
        <w:t>)</w:t>
      </w:r>
      <w:r w:rsidRPr="00D4778B">
        <w:rPr>
          <w:rStyle w:val="af2"/>
          <w:rFonts w:eastAsia="Guttman Hodes" w:hint="cs"/>
          <w:rtl/>
        </w:rPr>
        <w:fldChar w:fldCharType="end"/>
      </w:r>
      <w:r w:rsidRPr="00321179">
        <w:rPr>
          <w:rFonts w:hint="cs"/>
          <w:rtl/>
        </w:rPr>
        <w:t xml:space="preserve"> בשם </w:t>
      </w:r>
      <w:r w:rsidRPr="00527BD6">
        <w:rPr>
          <w:rStyle w:val="aff4"/>
          <w:rFonts w:hint="cs"/>
          <w:vanish/>
          <w:rtl/>
        </w:rPr>
        <w:t>-</w:t>
      </w:r>
      <w:r w:rsidRPr="00DE28D5">
        <w:rPr>
          <w:rStyle w:val="aff4"/>
          <w:rFonts w:hint="cs"/>
          <w:rtl/>
        </w:rPr>
        <w:t>המהריק"ש</w:t>
      </w:r>
      <w:r w:rsidRPr="00527BD6">
        <w:rPr>
          <w:rStyle w:val="aff4"/>
          <w:rFonts w:hint="cs"/>
          <w:vanish/>
          <w:rtl/>
        </w:rPr>
        <w:t>-</w:t>
      </w:r>
      <w:r w:rsidRPr="00321179">
        <w:rPr>
          <w:rFonts w:hint="cs"/>
          <w:rtl/>
        </w:rPr>
        <w:t xml:space="preserve"> דלא ראינו שחוששים לזה, כתב </w:t>
      </w:r>
      <w:r w:rsidRPr="00527BD6">
        <w:rPr>
          <w:rStyle w:val="aff4"/>
          <w:rFonts w:hint="cs"/>
          <w:vanish/>
          <w:rtl/>
        </w:rPr>
        <w:t>-</w:t>
      </w:r>
      <w:r w:rsidRPr="00DE28D5">
        <w:rPr>
          <w:rStyle w:val="aff4"/>
          <w:rFonts w:hint="cs"/>
          <w:rtl/>
        </w:rPr>
        <w:t>האבי עזרי</w:t>
      </w:r>
      <w:r w:rsidRPr="00527BD6">
        <w:rPr>
          <w:rStyle w:val="aff4"/>
          <w:rFonts w:hint="cs"/>
          <w:vanish/>
          <w:rtl/>
        </w:rPr>
        <w:t>-</w:t>
      </w:r>
      <w:r w:rsidRPr="00321179">
        <w:rPr>
          <w:rFonts w:hint="cs"/>
          <w:rtl/>
        </w:rPr>
        <w:t xml:space="preserve"> דאפש"ל דהוא כיון דכתב </w:t>
      </w:r>
      <w:r w:rsidRPr="00527BD6">
        <w:rPr>
          <w:rStyle w:val="aff4"/>
          <w:rFonts w:hint="cs"/>
          <w:vanish/>
          <w:rtl/>
        </w:rPr>
        <w:t>-</w:t>
      </w:r>
      <w:r w:rsidRPr="00DE28D5">
        <w:rPr>
          <w:rStyle w:val="aff4"/>
          <w:rFonts w:hint="cs"/>
          <w:rtl/>
        </w:rPr>
        <w:t>השו"ע</w:t>
      </w:r>
      <w:r w:rsidRPr="00527BD6">
        <w:rPr>
          <w:rStyle w:val="aff4"/>
          <w:rFonts w:hint="cs"/>
          <w:vanish/>
          <w:rtl/>
        </w:rPr>
        <w:t>-</w:t>
      </w:r>
      <w:r w:rsidRPr="00321179">
        <w:rPr>
          <w:rFonts w:hint="cs"/>
          <w:rtl/>
        </w:rPr>
        <w:t xml:space="preserve"> </w:t>
      </w:r>
      <w:r w:rsidRPr="00D4778B">
        <w:rPr>
          <w:rStyle w:val="af2"/>
          <w:rFonts w:eastAsia="Guttman Hodes" w:hint="cs"/>
          <w:rtl/>
        </w:rPr>
        <w:t>(סי' ש"כ י"ח)</w:t>
      </w:r>
      <w:r w:rsidRPr="00321179">
        <w:rPr>
          <w:rFonts w:hint="cs"/>
          <w:rtl/>
        </w:rPr>
        <w:t xml:space="preserve"> דהעולם נהגו היתר בפסיק רישיה דלא ניחא ליה, לכן נהגו להתיר ברוקק כדעת </w:t>
      </w:r>
      <w:r w:rsidRPr="00527BD6">
        <w:rPr>
          <w:rStyle w:val="aff4"/>
          <w:rFonts w:hint="cs"/>
          <w:vanish/>
          <w:rtl/>
        </w:rPr>
        <w:t>-</w:t>
      </w:r>
      <w:r w:rsidRPr="00DE28D5">
        <w:rPr>
          <w:rStyle w:val="aff4"/>
          <w:rFonts w:hint="cs"/>
          <w:rtl/>
        </w:rPr>
        <w:t>הערוך</w:t>
      </w:r>
      <w:r w:rsidRPr="00527BD6">
        <w:rPr>
          <w:rStyle w:val="aff4"/>
          <w:rFonts w:hint="cs"/>
          <w:vanish/>
          <w:rtl/>
        </w:rPr>
        <w:t>-</w:t>
      </w:r>
      <w:r w:rsidRPr="00321179">
        <w:rPr>
          <w:rFonts w:hint="cs"/>
          <w:rtl/>
        </w:rPr>
        <w:t xml:space="preserve"> </w:t>
      </w:r>
      <w:r w:rsidRPr="00D4778B">
        <w:rPr>
          <w:rStyle w:val="af2"/>
          <w:rFonts w:eastAsia="Guttman Hodes" w:hint="cs"/>
          <w:rtl/>
        </w:rPr>
        <w:t>(ערך פסק, נד' לקמן קי"ז.)</w:t>
      </w:r>
      <w:r>
        <w:rPr>
          <w:rFonts w:hint="cs"/>
          <w:rtl/>
        </w:rPr>
        <w:t xml:space="preserve"> </w:t>
      </w:r>
      <w:r w:rsidRPr="00321179">
        <w:rPr>
          <w:rFonts w:hint="cs"/>
          <w:rtl/>
        </w:rPr>
        <w:t>דהוא כאינו מתכוין ומותר</w:t>
      </w:r>
      <w:r>
        <w:rPr>
          <w:rFonts w:hint="cs"/>
          <w:rtl/>
        </w:rPr>
        <w:t xml:space="preserve">, ועי' במ"ש </w:t>
      </w:r>
      <w:r w:rsidRPr="000D5978">
        <w:rPr>
          <w:rStyle w:val="aff4"/>
          <w:rFonts w:hint="cs"/>
          <w:vanish/>
          <w:rtl/>
        </w:rPr>
        <w:t>-</w:t>
      </w:r>
      <w:r w:rsidRPr="000D5978">
        <w:rPr>
          <w:rStyle w:val="aff4"/>
          <w:rFonts w:hint="cs"/>
          <w:rtl/>
        </w:rPr>
        <w:t>המגן אבות</w:t>
      </w:r>
      <w:r w:rsidRPr="000D5978">
        <w:rPr>
          <w:rStyle w:val="aff4"/>
          <w:rFonts w:hint="cs"/>
          <w:vanish/>
          <w:rtl/>
        </w:rPr>
        <w:t>-</w:t>
      </w:r>
      <w:r>
        <w:rPr>
          <w:rFonts w:hint="cs"/>
          <w:rtl/>
        </w:rPr>
        <w:t xml:space="preserve"> </w:t>
      </w:r>
      <w:r w:rsidRPr="000D5978">
        <w:rPr>
          <w:rStyle w:val="af2"/>
          <w:rFonts w:eastAsia="Guttman Hodes" w:hint="cs"/>
          <w:rtl/>
        </w:rPr>
        <w:t xml:space="preserve">(עי' אות </w:t>
      </w:r>
      <w:r w:rsidRPr="000D5978">
        <w:rPr>
          <w:rStyle w:val="af2"/>
          <w:rFonts w:eastAsia="Guttman Hodes"/>
          <w:rtl/>
        </w:rPr>
        <w:fldChar w:fldCharType="begin"/>
      </w:r>
      <w:r w:rsidRPr="000D5978">
        <w:rPr>
          <w:rStyle w:val="af2"/>
          <w:rFonts w:eastAsia="Guttman Hodes"/>
          <w:rtl/>
        </w:rPr>
        <w:instrText xml:space="preserve"> </w:instrText>
      </w:r>
      <w:r w:rsidRPr="000D5978">
        <w:rPr>
          <w:rStyle w:val="af2"/>
          <w:rFonts w:eastAsia="Guttman Hodes" w:hint="cs"/>
        </w:rPr>
        <w:instrText>REF</w:instrText>
      </w:r>
      <w:r w:rsidRPr="000D5978">
        <w:rPr>
          <w:rStyle w:val="af2"/>
          <w:rFonts w:eastAsia="Guttman Hodes" w:hint="cs"/>
          <w:rtl/>
        </w:rPr>
        <w:instrText xml:space="preserve"> _</w:instrText>
      </w:r>
      <w:r w:rsidRPr="000D5978">
        <w:rPr>
          <w:rStyle w:val="af2"/>
          <w:rFonts w:eastAsia="Guttman Hodes" w:hint="cs"/>
        </w:rPr>
        <w:instrText>Ref136563461 \r \h</w:instrText>
      </w:r>
      <w:r w:rsidRPr="000D5978">
        <w:rPr>
          <w:rStyle w:val="af2"/>
          <w:rFonts w:eastAsia="Guttman Hodes"/>
          <w:rtl/>
        </w:rPr>
        <w:instrText xml:space="preserve"> </w:instrText>
      </w:r>
      <w:r w:rsidRPr="000D5978">
        <w:rPr>
          <w:rStyle w:val="af2"/>
          <w:rFonts w:eastAsia="Guttman Hodes"/>
          <w:rtl/>
        </w:rPr>
      </w:r>
      <w:r w:rsidRPr="000D5978">
        <w:rPr>
          <w:rStyle w:val="af2"/>
          <w:rFonts w:eastAsia="Guttman Hodes"/>
          <w:rtl/>
        </w:rPr>
        <w:fldChar w:fldCharType="separate"/>
      </w:r>
      <w:r w:rsidR="00D82181">
        <w:rPr>
          <w:rStyle w:val="af2"/>
          <w:rFonts w:eastAsia="Guttman Hodes"/>
          <w:cs/>
        </w:rPr>
        <w:t>‎</w:t>
      </w:r>
      <w:r w:rsidR="00D82181">
        <w:rPr>
          <w:rStyle w:val="af2"/>
          <w:rFonts w:eastAsia="Guttman Hodes"/>
          <w:rtl/>
        </w:rPr>
        <w:t>כד)</w:t>
      </w:r>
      <w:r w:rsidRPr="000D5978">
        <w:rPr>
          <w:rStyle w:val="af2"/>
          <w:rFonts w:eastAsia="Guttman Hodes"/>
          <w:rtl/>
        </w:rPr>
        <w:fldChar w:fldCharType="end"/>
      </w:r>
      <w:r w:rsidRPr="00321179">
        <w:rPr>
          <w:rFonts w:hint="cs"/>
          <w:rtl/>
        </w:rPr>
        <w:t>.</w:t>
      </w:r>
      <w:bookmarkEnd w:id="2146"/>
      <w:r w:rsidRPr="00321179">
        <w:rPr>
          <w:rFonts w:hint="cs"/>
          <w:rtl/>
        </w:rPr>
        <w:t xml:space="preserve"> </w:t>
      </w:r>
    </w:p>
    <w:p w14:paraId="52761BDA" w14:textId="77777777" w:rsidR="00316453" w:rsidRPr="00747170" w:rsidRDefault="00316453" w:rsidP="00747170">
      <w:pPr>
        <w:pStyle w:val="a2"/>
        <w:rPr>
          <w:rtl/>
        </w:rPr>
      </w:pPr>
      <w:r w:rsidRPr="00747170">
        <w:rPr>
          <w:rFonts w:hint="cs"/>
          <w:rtl/>
        </w:rPr>
        <w:t>והנה הגרעק"א כתב שם בסוף התשובה להקל בעובדא דידי' בשופך מים מועטין אף באופן שהי' פסיק רישא שהרוח יפריחו על חלקים דקין מ"מ הרי דעת הערוך באם לא ניחא לי' מותר אפילו מדרבנן וגם לשיטת התוס' החולקים הוא רק דרבנן אף שנחשב כמתכוין מ"מ הוי מלאכה שאינה צריכה לגופה והירושלמי דמחייב חטאת צ"ל דקאי אליבי' דר"י דמחייב מלאכה שאינה צריכה לגופה וגם הוא פסיק רישא דלא ניחא שהוא כמתכוין כפי שיטת התוס' אבל לדידן הוא רק דרבנן משום שהוא מלאכה שאינה צריכה לגופה וע"כ יש לסמוך לקולא כמו שכתב לעיל מדהשמיטו הפוסקים את הירושלמי עכ"ל ותמיהני מה שלא זכר את מה שכתב בעל המאור בפ' האורג שזורה ובורר חייב אף באינה צריכה לגופן ע"ש ועיין במנחת חינוך במוסך שבת במלאכת זורה שהביא להמאור ולא ראיתי מי מהראשונים החולק על ע"ז (שוב ראיתי שהביאו הרבה חולקים על המאור והוא דעת יחיד) ומאחר שהוא פסיק רישא אף שלא ניחא לי לדעת התוס' נחשב כמכוין שפיר יש לחייבו ואין טעם להקל בזה נגד הירושלמי ובהגהות הגרעק"א שם באו"ח סוף סימן שי"ט כתב ולא ראינו מי שחושש לזה כיון דאינו מתכוין וכ"ש דאין זה דרך זורה ע"ש נראה שהטעם הוא כמו שכתוב בשו"ע או"ח סימן ש"כ סעיף יח המחלוקת בפסיק רישא דלא ניחא לי' וכתב והעולם נוהגין היתר ע"ש ומשום כך ברוקק והרוח מפריח אף אם זה פסק רישא מ"מ נהגו להתיר כהערוך שזה כאינו מתכוין שהלכה שמותר.</w:t>
      </w:r>
    </w:p>
    <w:p w14:paraId="18175589" w14:textId="77777777" w:rsidR="00316453" w:rsidRDefault="00316453" w:rsidP="00316453">
      <w:pPr>
        <w:pStyle w:val="a7"/>
        <w:rPr>
          <w:rtl/>
        </w:rPr>
      </w:pPr>
    </w:p>
    <w:p w14:paraId="52392C5B" w14:textId="77777777" w:rsidR="00316453" w:rsidRPr="0096498F" w:rsidRDefault="00316453" w:rsidP="00316453">
      <w:pPr>
        <w:pStyle w:val="a7"/>
        <w:rPr>
          <w:rtl/>
        </w:rPr>
        <w:sectPr w:rsidR="00316453" w:rsidRPr="0096498F" w:rsidSect="00CA28B3">
          <w:footerReference w:type="default" r:id="rId93"/>
          <w:type w:val="continuous"/>
          <w:pgSz w:w="11906" w:h="16838"/>
          <w:pgMar w:top="720" w:right="720" w:bottom="720" w:left="720" w:header="283" w:footer="283" w:gutter="0"/>
          <w:cols w:num="2" w:space="567"/>
          <w:bidi/>
          <w:rtlGutter/>
        </w:sectPr>
      </w:pPr>
    </w:p>
    <w:p w14:paraId="766772C0" w14:textId="77777777" w:rsidR="00316453" w:rsidRPr="008E1B37" w:rsidRDefault="00316453" w:rsidP="00316453">
      <w:pPr>
        <w:pStyle w:val="a7"/>
        <w:rPr>
          <w:rtl/>
        </w:rPr>
      </w:pPr>
    </w:p>
    <w:p w14:paraId="5D0DE886" w14:textId="77777777" w:rsidR="00316453" w:rsidRDefault="00316453" w:rsidP="00316453">
      <w:pPr>
        <w:keepNext/>
        <w:keepLines/>
        <w:spacing w:after="0" w:line="240" w:lineRule="auto"/>
        <w:jc w:val="center"/>
        <w:outlineLvl w:val="1"/>
        <w:rPr>
          <w:rFonts w:ascii="Guttman Hodes" w:eastAsia="Guttman Hodes" w:hAnsi="Guttman Hodes" w:cs="Guttman Hodes"/>
          <w:noProof/>
          <w:sz w:val="18"/>
          <w:szCs w:val="18"/>
        </w:rPr>
        <w:sectPr w:rsidR="00316453" w:rsidSect="00433132">
          <w:footerReference w:type="default" r:id="rId94"/>
          <w:type w:val="continuous"/>
          <w:pgSz w:w="11906" w:h="16838"/>
          <w:pgMar w:top="720" w:right="720" w:bottom="720" w:left="720" w:header="283" w:footer="283" w:gutter="0"/>
          <w:cols w:space="567"/>
          <w:bidi/>
          <w:rtlGutter/>
          <w:docGrid w:linePitch="299"/>
        </w:sectPr>
      </w:pPr>
    </w:p>
    <w:p w14:paraId="2DBFF3BD" w14:textId="77777777" w:rsidR="00592982" w:rsidRPr="00224A5A" w:rsidRDefault="00592982" w:rsidP="00350FE4">
      <w:pPr>
        <w:pStyle w:val="af9"/>
        <w:rPr>
          <w:rtl/>
        </w:rPr>
      </w:pPr>
      <w:r>
        <w:rPr>
          <w:rFonts w:hint="cs"/>
          <w:rtl/>
        </w:rPr>
        <w:lastRenderedPageBreak/>
        <w:t>סימן ו'</w:t>
      </w:r>
    </w:p>
    <w:p w14:paraId="37F6645D" w14:textId="77777777" w:rsidR="00592982" w:rsidRDefault="00592982" w:rsidP="00350FE4">
      <w:pPr>
        <w:pStyle w:val="af9"/>
        <w:rPr>
          <w:rtl/>
        </w:rPr>
      </w:pPr>
      <w:r>
        <w:rPr>
          <w:rFonts w:hint="cs"/>
          <w:rtl/>
        </w:rPr>
        <w:t>בסוגיא דבורר (ב')</w:t>
      </w:r>
    </w:p>
    <w:p w14:paraId="0275214D" w14:textId="77777777" w:rsidR="00592982" w:rsidRPr="006E6B9C" w:rsidRDefault="00592982" w:rsidP="00350FE4">
      <w:pPr>
        <w:pStyle w:val="af9"/>
        <w:rPr>
          <w:rtl/>
        </w:rPr>
      </w:pPr>
      <w:r w:rsidRPr="008F4A22">
        <w:rPr>
          <w:rtl/>
        </w:rPr>
        <w:t>בגדר</w:t>
      </w:r>
      <w:r>
        <w:rPr>
          <w:rFonts w:hint="cs"/>
          <w:rtl/>
        </w:rPr>
        <w:t xml:space="preserve"> בורר באוכל מאוכל</w:t>
      </w:r>
    </w:p>
    <w:p w14:paraId="628B2E75" w14:textId="77777777" w:rsidR="00592982" w:rsidRPr="00224A5A" w:rsidRDefault="00592982" w:rsidP="00592982">
      <w:pPr>
        <w:keepNext/>
        <w:keepLines/>
        <w:spacing w:after="0" w:line="240" w:lineRule="auto"/>
        <w:jc w:val="center"/>
        <w:outlineLvl w:val="1"/>
        <w:rPr>
          <w:rFonts w:ascii="FrankRuehl" w:eastAsia="Guttman Adii-Light" w:hAnsi="FrankRuehl" w:cs="Guttman Hodes"/>
          <w:b/>
          <w:bCs/>
          <w:noProof/>
          <w:sz w:val="24"/>
          <w:szCs w:val="24"/>
          <w:rtl/>
        </w:rPr>
        <w:sectPr w:rsidR="00592982" w:rsidRPr="00224A5A" w:rsidSect="00592982">
          <w:headerReference w:type="default" r:id="rId95"/>
          <w:footerReference w:type="default" r:id="rId96"/>
          <w:headerReference w:type="first" r:id="rId97"/>
          <w:footerReference w:type="first" r:id="rId98"/>
          <w:type w:val="oddPage"/>
          <w:pgSz w:w="11906" w:h="16838"/>
          <w:pgMar w:top="720" w:right="720" w:bottom="720" w:left="720" w:header="283" w:footer="283" w:gutter="0"/>
          <w:cols w:space="113"/>
          <w:bidi/>
          <w:rtlGutter/>
          <w:docGrid w:linePitch="299"/>
        </w:sectPr>
      </w:pPr>
      <w:r w:rsidRPr="00224A5A">
        <w:rPr>
          <w:rFonts w:ascii="FrankRuehl" w:eastAsia="Guttman Adii-Light" w:hAnsi="FrankRuehl" w:cs="Guttman Hodes"/>
          <w:b/>
          <w:bCs/>
          <w:noProof/>
          <w:sz w:val="24"/>
          <w:szCs w:val="24"/>
          <w:rtl/>
        </w:rPr>
        <w:t>~~~~~~~</w:t>
      </w:r>
      <w:r w:rsidRPr="00224A5A">
        <w:rPr>
          <w:rFonts w:ascii="FrankRuehl" w:eastAsia="Guttman Adii-Light" w:hAnsi="FrankRuehl" w:cs="Guttman Hodes" w:hint="cs"/>
          <w:b/>
          <w:bCs/>
          <w:noProof/>
          <w:sz w:val="24"/>
          <w:szCs w:val="24"/>
          <w:rtl/>
        </w:rPr>
        <w:t xml:space="preserve"> תוכן הענייני</w:t>
      </w:r>
      <w:r w:rsidRPr="00224A5A">
        <w:rPr>
          <w:rFonts w:ascii="FrankRuehl" w:eastAsia="Guttman Adii-Light" w:hAnsi="FrankRuehl" w:cs="Guttman Hodes" w:hint="eastAsia"/>
          <w:b/>
          <w:bCs/>
          <w:noProof/>
          <w:sz w:val="24"/>
          <w:szCs w:val="24"/>
          <w:rtl/>
        </w:rPr>
        <w:t>ם</w:t>
      </w:r>
      <w:r w:rsidRPr="00224A5A">
        <w:rPr>
          <w:rFonts w:ascii="FrankRuehl" w:eastAsia="Guttman Adii-Light" w:hAnsi="FrankRuehl" w:cs="Guttman Hodes" w:hint="cs"/>
          <w:b/>
          <w:bCs/>
          <w:noProof/>
          <w:sz w:val="24"/>
          <w:szCs w:val="24"/>
          <w:rtl/>
        </w:rPr>
        <w:t xml:space="preserve"> </w:t>
      </w:r>
      <w:r w:rsidRPr="00224A5A">
        <w:rPr>
          <w:rFonts w:ascii="FrankRuehl" w:eastAsia="Guttman Adii-Light" w:hAnsi="FrankRuehl" w:cs="Guttman Hodes"/>
          <w:b/>
          <w:bCs/>
          <w:noProof/>
          <w:sz w:val="24"/>
          <w:szCs w:val="24"/>
          <w:rtl/>
        </w:rPr>
        <w:t>~~~~~~~</w:t>
      </w:r>
    </w:p>
    <w:p w14:paraId="10823426" w14:textId="77777777" w:rsidR="00592982" w:rsidRDefault="00592982" w:rsidP="00592982">
      <w:pPr>
        <w:pStyle w:val="TOC1"/>
        <w:rPr>
          <w:rFonts w:asciiTheme="minorHAnsi" w:hAnsiTheme="minorHAnsi" w:cstheme="minorBidi"/>
          <w:b w:val="0"/>
          <w:bCs w:val="0"/>
          <w:caps w:val="0"/>
          <w:sz w:val="22"/>
          <w:szCs w:val="22"/>
          <w:rtl/>
        </w:rPr>
      </w:pPr>
      <w:r w:rsidRPr="00224A5A">
        <w:rPr>
          <w:rtl/>
        </w:rPr>
        <w:fldChar w:fldCharType="begin"/>
      </w:r>
      <w:r w:rsidRPr="00224A5A">
        <w:rPr>
          <w:rtl/>
        </w:rPr>
        <w:instrText xml:space="preserve"> </w:instrText>
      </w:r>
      <w:r w:rsidRPr="00224A5A">
        <w:rPr>
          <w:rFonts w:hint="cs"/>
        </w:rPr>
        <w:instrText>TOC</w:instrText>
      </w:r>
      <w:r w:rsidRPr="00224A5A">
        <w:rPr>
          <w:rFonts w:hint="cs"/>
          <w:rtl/>
        </w:rPr>
        <w:instrText xml:space="preserve"> \</w:instrText>
      </w:r>
      <w:r w:rsidRPr="00224A5A">
        <w:rPr>
          <w:rFonts w:hint="cs"/>
        </w:rPr>
        <w:instrText>n \p " " \h \z \t</w:instrText>
      </w:r>
      <w:r w:rsidRPr="00224A5A">
        <w:rPr>
          <w:rFonts w:hint="cs"/>
          <w:rtl/>
        </w:rPr>
        <w:instrText xml:space="preserve"> "כותרת 1,2,כות קט,3,כות מק פנ,1"</w:instrText>
      </w:r>
      <w:r w:rsidRPr="00224A5A">
        <w:rPr>
          <w:rtl/>
        </w:rPr>
        <w:instrText xml:space="preserve"> </w:instrText>
      </w:r>
      <w:r w:rsidRPr="00224A5A">
        <w:rPr>
          <w:rtl/>
        </w:rPr>
        <w:fldChar w:fldCharType="separate"/>
      </w:r>
      <w:hyperlink w:anchor="_Toc137741915" w:history="1">
        <w:r w:rsidRPr="00472C69">
          <w:rPr>
            <w:rStyle w:val="Hyperlink"/>
            <w:rtl/>
          </w:rPr>
          <w:t>בד' רש"י אי יש בורר באוכל מתוך אוכל</w:t>
        </w:r>
      </w:hyperlink>
    </w:p>
    <w:p w14:paraId="6E1740A9" w14:textId="77777777" w:rsidR="00592982" w:rsidRDefault="00AD16A0" w:rsidP="00592982">
      <w:pPr>
        <w:pStyle w:val="TOC2"/>
        <w:rPr>
          <w:rFonts w:cstheme="minorBidi"/>
          <w:b w:val="0"/>
          <w:bCs w:val="0"/>
          <w:sz w:val="22"/>
          <w:szCs w:val="22"/>
          <w:rtl/>
        </w:rPr>
      </w:pPr>
      <w:hyperlink w:anchor="_Toc137741916" w:history="1">
        <w:r w:rsidR="00592982" w:rsidRPr="00472C69">
          <w:rPr>
            <w:rStyle w:val="Hyperlink"/>
            <w:rtl/>
          </w:rPr>
          <w:t>הסוברים דלרש"י אין ברירה באוכל מתוך אוכל ולכן ל"ג "שני"</w:t>
        </w:r>
      </w:hyperlink>
    </w:p>
    <w:p w14:paraId="0D188FB4" w14:textId="77777777" w:rsidR="00592982" w:rsidRPr="008925FD" w:rsidRDefault="00AD16A0" w:rsidP="00ED704E">
      <w:pPr>
        <w:pStyle w:val="TOC3"/>
        <w:rPr>
          <w:rFonts w:asciiTheme="minorHAnsi" w:eastAsiaTheme="minorEastAsia" w:hAnsiTheme="minorHAnsi" w:cstheme="minorBidi"/>
          <w:sz w:val="22"/>
          <w:szCs w:val="22"/>
          <w:rtl/>
        </w:rPr>
      </w:pPr>
      <w:hyperlink w:anchor="_Toc137741917" w:history="1">
        <w:r w:rsidR="00592982" w:rsidRPr="00472C69">
          <w:rPr>
            <w:rStyle w:val="Hyperlink"/>
            <w:rtl/>
          </w:rPr>
          <w:t>בי' רש"י דל"ג בברייתא הראשונה "שני" מיני אוכלין וכן גירסת הר"ן והרי"ד והאו"ז</w:t>
        </w:r>
      </w:hyperlink>
    </w:p>
    <w:p w14:paraId="024DAD0F" w14:textId="77777777" w:rsidR="00592982" w:rsidRDefault="00AD16A0" w:rsidP="00ED704E">
      <w:pPr>
        <w:pStyle w:val="TOC3"/>
        <w:rPr>
          <w:rFonts w:asciiTheme="minorHAnsi" w:eastAsiaTheme="minorEastAsia" w:hAnsiTheme="minorHAnsi" w:cstheme="minorBidi"/>
          <w:sz w:val="22"/>
          <w:szCs w:val="22"/>
          <w:rtl/>
        </w:rPr>
      </w:pPr>
      <w:hyperlink w:anchor="_Toc137741918" w:history="1">
        <w:r w:rsidR="00592982" w:rsidRPr="00472C69">
          <w:rPr>
            <w:rStyle w:val="Hyperlink"/>
            <w:rtl/>
          </w:rPr>
          <w:t>פלו' האחרונים ברש"י אי בברייתא הב' דנחלקו רב אשי ורב ירמיה גרסינן "שני" מיני אוכלין</w:t>
        </w:r>
      </w:hyperlink>
    </w:p>
    <w:p w14:paraId="78F4C28E" w14:textId="77777777" w:rsidR="00592982" w:rsidRDefault="00AD16A0" w:rsidP="00ED704E">
      <w:pPr>
        <w:pStyle w:val="TOC3"/>
        <w:rPr>
          <w:rFonts w:asciiTheme="minorHAnsi" w:eastAsiaTheme="minorEastAsia" w:hAnsiTheme="minorHAnsi" w:cstheme="minorBidi"/>
          <w:sz w:val="22"/>
          <w:szCs w:val="22"/>
          <w:rtl/>
        </w:rPr>
      </w:pPr>
      <w:hyperlink w:anchor="_Toc137741919" w:history="1">
        <w:r w:rsidR="00592982" w:rsidRPr="00472C69">
          <w:rPr>
            <w:rStyle w:val="Hyperlink"/>
            <w:rtl/>
          </w:rPr>
          <w:t>בי' הרמב"ן [ברש"י] דיש ב' ברייתות ובראשונה איירי באוכל ופסולת ובשניה בב' מיני אוכלין</w:t>
        </w:r>
      </w:hyperlink>
    </w:p>
    <w:p w14:paraId="60D8C4F0" w14:textId="77777777" w:rsidR="00592982" w:rsidRDefault="00AD16A0" w:rsidP="00ED704E">
      <w:pPr>
        <w:pStyle w:val="TOC3"/>
        <w:rPr>
          <w:rFonts w:asciiTheme="minorHAnsi" w:eastAsiaTheme="minorEastAsia" w:hAnsiTheme="minorHAnsi" w:cstheme="minorBidi"/>
          <w:sz w:val="22"/>
          <w:szCs w:val="22"/>
          <w:rtl/>
        </w:rPr>
      </w:pPr>
      <w:hyperlink w:anchor="_Toc137741920" w:history="1">
        <w:r w:rsidR="00592982" w:rsidRPr="00472C69">
          <w:rPr>
            <w:rStyle w:val="Hyperlink"/>
            <w:rtl/>
          </w:rPr>
          <w:t>בי' רש"י לקמן דמותר לסנן ביצה במסננת של חרדל דהחלמון יורד לגוון ושניהם לא לאכילה</w:t>
        </w:r>
      </w:hyperlink>
    </w:p>
    <w:p w14:paraId="7708059F" w14:textId="77777777" w:rsidR="00592982" w:rsidRDefault="00AD16A0" w:rsidP="00ED704E">
      <w:pPr>
        <w:pStyle w:val="TOC3"/>
        <w:rPr>
          <w:rFonts w:asciiTheme="minorHAnsi" w:eastAsiaTheme="minorEastAsia" w:hAnsiTheme="minorHAnsi" w:cstheme="minorBidi"/>
          <w:sz w:val="22"/>
          <w:szCs w:val="22"/>
          <w:rtl/>
        </w:rPr>
      </w:pPr>
      <w:hyperlink w:anchor="_Toc137741921" w:history="1">
        <w:r w:rsidR="00592982" w:rsidRPr="00472C69">
          <w:rPr>
            <w:rStyle w:val="Hyperlink"/>
            <w:rtl/>
          </w:rPr>
          <w:t>בי' הי"מ במאירי דרש"י ס"ל דאין ברירה באוכל מאוכל ודחיית המאירי דהוי בורר</w:t>
        </w:r>
      </w:hyperlink>
    </w:p>
    <w:p w14:paraId="09CCAE2F" w14:textId="77777777" w:rsidR="00592982" w:rsidRDefault="00AD16A0" w:rsidP="00ED704E">
      <w:pPr>
        <w:pStyle w:val="TOC3"/>
        <w:rPr>
          <w:rFonts w:asciiTheme="minorHAnsi" w:eastAsiaTheme="minorEastAsia" w:hAnsiTheme="minorHAnsi" w:cstheme="minorBidi"/>
          <w:sz w:val="22"/>
          <w:szCs w:val="22"/>
          <w:rtl/>
        </w:rPr>
      </w:pPr>
      <w:hyperlink w:anchor="_Toc137741922" w:history="1">
        <w:r w:rsidR="00592982" w:rsidRPr="00472C69">
          <w:rPr>
            <w:rStyle w:val="Hyperlink"/>
            <w:rtl/>
          </w:rPr>
          <w:t>בי' המהר"ם קזיס ברש"י דאין ברירה באוכל מאוכל ולכן מותר לסנן ביצה דחלמון וחלבון אוכל</w:t>
        </w:r>
      </w:hyperlink>
    </w:p>
    <w:p w14:paraId="0C42F9A6" w14:textId="77777777" w:rsidR="00592982" w:rsidRDefault="00AD16A0" w:rsidP="00ED704E">
      <w:pPr>
        <w:pStyle w:val="TOC3"/>
        <w:rPr>
          <w:rFonts w:asciiTheme="minorHAnsi" w:eastAsiaTheme="minorEastAsia" w:hAnsiTheme="minorHAnsi" w:cstheme="minorBidi"/>
          <w:sz w:val="22"/>
          <w:szCs w:val="22"/>
          <w:rtl/>
        </w:rPr>
      </w:pPr>
      <w:hyperlink w:anchor="_Toc137741923" w:history="1">
        <w:r w:rsidR="00592982" w:rsidRPr="00472C69">
          <w:rPr>
            <w:rStyle w:val="Hyperlink"/>
            <w:rtl/>
          </w:rPr>
          <w:t>בי' המגלת ספר ברש"י דבאוכל מאוכל ל"ה בורר כלל אף במין שאינו רוצה ואף בנפה וכברה</w:t>
        </w:r>
      </w:hyperlink>
    </w:p>
    <w:p w14:paraId="00700E1B" w14:textId="77777777" w:rsidR="00592982" w:rsidRDefault="00AD16A0" w:rsidP="00ED704E">
      <w:pPr>
        <w:pStyle w:val="TOC3"/>
        <w:rPr>
          <w:rFonts w:asciiTheme="minorHAnsi" w:eastAsiaTheme="minorEastAsia" w:hAnsiTheme="minorHAnsi" w:cstheme="minorBidi"/>
          <w:sz w:val="22"/>
          <w:szCs w:val="22"/>
          <w:rtl/>
        </w:rPr>
      </w:pPr>
      <w:hyperlink w:anchor="_Toc137741924" w:history="1">
        <w:r w:rsidR="00592982" w:rsidRPr="00472C69">
          <w:rPr>
            <w:rStyle w:val="Hyperlink"/>
            <w:rtl/>
          </w:rPr>
          <w:t>בי' הפנ"י דבתוס' משמע דלרש"י אין בורר באוכל מאוכל ואף בברייתא הב' ל"ג רש"י "שני"</w:t>
        </w:r>
      </w:hyperlink>
    </w:p>
    <w:p w14:paraId="65D9C925" w14:textId="77777777" w:rsidR="00592982" w:rsidRDefault="00AD16A0" w:rsidP="00592982">
      <w:pPr>
        <w:pStyle w:val="TOC2"/>
        <w:rPr>
          <w:rFonts w:cstheme="minorBidi"/>
          <w:b w:val="0"/>
          <w:bCs w:val="0"/>
          <w:sz w:val="22"/>
          <w:szCs w:val="22"/>
          <w:rtl/>
        </w:rPr>
      </w:pPr>
      <w:hyperlink w:anchor="_Toc137741925" w:history="1">
        <w:r w:rsidR="00592982" w:rsidRPr="00472C69">
          <w:rPr>
            <w:rStyle w:val="Hyperlink"/>
            <w:rtl/>
          </w:rPr>
          <w:t>הסוברים דאף לרש"י יש בורר באוכל מתוך אוכל</w:t>
        </w:r>
      </w:hyperlink>
    </w:p>
    <w:p w14:paraId="6F067824" w14:textId="77777777" w:rsidR="00592982" w:rsidRDefault="00AD16A0" w:rsidP="00ED704E">
      <w:pPr>
        <w:pStyle w:val="TOC3"/>
        <w:rPr>
          <w:rFonts w:asciiTheme="minorHAnsi" w:eastAsiaTheme="minorEastAsia" w:hAnsiTheme="minorHAnsi" w:cstheme="minorBidi"/>
          <w:sz w:val="22"/>
          <w:szCs w:val="22"/>
          <w:rtl/>
        </w:rPr>
      </w:pPr>
      <w:hyperlink w:anchor="_Toc137741926" w:history="1">
        <w:r w:rsidR="00592982" w:rsidRPr="00472C69">
          <w:rPr>
            <w:rStyle w:val="Hyperlink"/>
            <w:rtl/>
          </w:rPr>
          <w:t>בי' הריטב"א ברש"י דל"ג "שני" דמבו' בגמ' דאיירי בפסולת ומשמע דיש בורר באוכל מאוכל</w:t>
        </w:r>
      </w:hyperlink>
    </w:p>
    <w:p w14:paraId="663BF15D" w14:textId="77777777" w:rsidR="00592982" w:rsidRDefault="00AD16A0" w:rsidP="00ED704E">
      <w:pPr>
        <w:pStyle w:val="TOC3"/>
        <w:rPr>
          <w:rFonts w:asciiTheme="minorHAnsi" w:eastAsiaTheme="minorEastAsia" w:hAnsiTheme="minorHAnsi" w:cstheme="minorBidi"/>
          <w:sz w:val="22"/>
          <w:szCs w:val="22"/>
          <w:rtl/>
        </w:rPr>
      </w:pPr>
      <w:hyperlink w:anchor="_Toc137741927" w:history="1">
        <w:r w:rsidR="00592982" w:rsidRPr="00472C69">
          <w:rPr>
            <w:rStyle w:val="Hyperlink"/>
            <w:rtl/>
          </w:rPr>
          <w:t>בי' הב"ח ברש"י דבברייתא הב' גרס שני ובברייתא הראשונה ל"ג דאיירי בפסולת אך ס"ל כטור</w:t>
        </w:r>
      </w:hyperlink>
    </w:p>
    <w:p w14:paraId="24A77965" w14:textId="77777777" w:rsidR="00592982" w:rsidRDefault="00AD16A0" w:rsidP="00ED704E">
      <w:pPr>
        <w:pStyle w:val="TOC3"/>
        <w:rPr>
          <w:rFonts w:asciiTheme="minorHAnsi" w:eastAsiaTheme="minorEastAsia" w:hAnsiTheme="minorHAnsi" w:cstheme="minorBidi"/>
          <w:sz w:val="22"/>
          <w:szCs w:val="22"/>
          <w:rtl/>
        </w:rPr>
      </w:pPr>
      <w:hyperlink w:anchor="_Toc137741928" w:history="1">
        <w:r w:rsidR="00592982" w:rsidRPr="00472C69">
          <w:rPr>
            <w:rStyle w:val="Hyperlink"/>
            <w:rtl/>
          </w:rPr>
          <w:t>בי' הפנ"י ברש"י דיש ברירה באוכל מאוכל ובירו' נח' לחטאת ול"ג שני דיש כמה הוכחות בגמ'</w:t>
        </w:r>
      </w:hyperlink>
    </w:p>
    <w:p w14:paraId="47E8CDCA" w14:textId="77777777" w:rsidR="00592982" w:rsidRDefault="00AD16A0" w:rsidP="00ED704E">
      <w:pPr>
        <w:pStyle w:val="TOC3"/>
        <w:rPr>
          <w:rFonts w:asciiTheme="minorHAnsi" w:eastAsiaTheme="minorEastAsia" w:hAnsiTheme="minorHAnsi" w:cstheme="minorBidi"/>
          <w:sz w:val="22"/>
          <w:szCs w:val="22"/>
          <w:rtl/>
        </w:rPr>
      </w:pPr>
      <w:hyperlink w:anchor="_Toc137741929" w:history="1">
        <w:r w:rsidR="00592982" w:rsidRPr="00472C69">
          <w:rPr>
            <w:rStyle w:val="Hyperlink"/>
            <w:rtl/>
          </w:rPr>
          <w:t>קו' הב"ח ברש"י דבביצה אף לגוון הוא בורר בורר אף באוכל מאוכל ותי' דאי"ז לאכילה ומותר</w:t>
        </w:r>
      </w:hyperlink>
    </w:p>
    <w:p w14:paraId="492B9DC4" w14:textId="77777777" w:rsidR="00592982" w:rsidRDefault="00AD16A0" w:rsidP="00ED704E">
      <w:pPr>
        <w:pStyle w:val="TOC3"/>
        <w:rPr>
          <w:rFonts w:asciiTheme="minorHAnsi" w:eastAsiaTheme="minorEastAsia" w:hAnsiTheme="minorHAnsi" w:cstheme="minorBidi"/>
          <w:sz w:val="22"/>
          <w:szCs w:val="22"/>
          <w:rtl/>
        </w:rPr>
      </w:pPr>
      <w:hyperlink w:anchor="_Toc137741930" w:history="1">
        <w:r w:rsidR="00592982" w:rsidRPr="00472C69">
          <w:rPr>
            <w:rStyle w:val="Hyperlink"/>
            <w:rtl/>
          </w:rPr>
          <w:t>בי' המגן אבות ברש"י דמודה לתוס' בבורר אוכל מאוכל ול"ג שני גם בפלו' רב אשי ורב ירמיה</w:t>
        </w:r>
      </w:hyperlink>
    </w:p>
    <w:p w14:paraId="29504ACF" w14:textId="77777777" w:rsidR="00592982" w:rsidRDefault="00AD16A0" w:rsidP="00ED704E">
      <w:pPr>
        <w:pStyle w:val="TOC3"/>
        <w:rPr>
          <w:rFonts w:asciiTheme="minorHAnsi" w:eastAsiaTheme="minorEastAsia" w:hAnsiTheme="minorHAnsi" w:cstheme="minorBidi"/>
          <w:sz w:val="22"/>
          <w:szCs w:val="22"/>
          <w:rtl/>
        </w:rPr>
      </w:pPr>
      <w:hyperlink w:anchor="_Toc137741931" w:history="1">
        <w:r w:rsidR="00592982" w:rsidRPr="00472C69">
          <w:rPr>
            <w:rStyle w:val="Hyperlink"/>
            <w:rtl/>
          </w:rPr>
          <w:t>ספק האגל"ט בגי' רש"י בברייתא הב' ובי' האגל"ט דס"ל כריו"ח בירו' דלכתחילה רק לגוון מותר</w:t>
        </w:r>
      </w:hyperlink>
    </w:p>
    <w:p w14:paraId="0852C28A" w14:textId="77777777" w:rsidR="00592982" w:rsidRDefault="00AD16A0" w:rsidP="00ED704E">
      <w:pPr>
        <w:pStyle w:val="TOC3"/>
        <w:rPr>
          <w:rFonts w:asciiTheme="minorHAnsi" w:eastAsiaTheme="minorEastAsia" w:hAnsiTheme="minorHAnsi" w:cstheme="minorBidi"/>
          <w:sz w:val="22"/>
          <w:szCs w:val="22"/>
          <w:rtl/>
        </w:rPr>
      </w:pPr>
      <w:hyperlink w:anchor="_Toc137741932" w:history="1">
        <w:r w:rsidR="00592982" w:rsidRPr="00472C69">
          <w:rPr>
            <w:rStyle w:val="Hyperlink"/>
            <w:rtl/>
          </w:rPr>
          <w:t>בי' הט"ז והמחה"ש ועו"ש דחלמון וחלבון הם מין א' ובי' העו"ש דכפסולת מאוכל ומותר רק לגוון</w:t>
        </w:r>
      </w:hyperlink>
    </w:p>
    <w:p w14:paraId="69FDEBB7" w14:textId="77777777" w:rsidR="00592982" w:rsidRDefault="00AD16A0" w:rsidP="00592982">
      <w:pPr>
        <w:pStyle w:val="TOC2"/>
        <w:rPr>
          <w:rFonts w:cstheme="minorBidi"/>
          <w:b w:val="0"/>
          <w:bCs w:val="0"/>
          <w:sz w:val="22"/>
          <w:szCs w:val="22"/>
          <w:rtl/>
        </w:rPr>
      </w:pPr>
      <w:hyperlink w:anchor="_Toc137741933" w:history="1">
        <w:r w:rsidR="00592982" w:rsidRPr="00472C69">
          <w:rPr>
            <w:rStyle w:val="Hyperlink"/>
            <w:rtl/>
          </w:rPr>
          <w:t>בי' החת"ס ברש"י דבאוכל מאוכל ל"ש אוכל מתוך פסולת כלל</w:t>
        </w:r>
      </w:hyperlink>
    </w:p>
    <w:p w14:paraId="4D48C58A" w14:textId="77777777" w:rsidR="00592982" w:rsidRDefault="00AD16A0" w:rsidP="00ED704E">
      <w:pPr>
        <w:pStyle w:val="TOC3"/>
        <w:rPr>
          <w:rFonts w:asciiTheme="minorHAnsi" w:eastAsiaTheme="minorEastAsia" w:hAnsiTheme="minorHAnsi" w:cstheme="minorBidi"/>
          <w:sz w:val="22"/>
          <w:szCs w:val="22"/>
          <w:rtl/>
        </w:rPr>
      </w:pPr>
      <w:hyperlink w:anchor="_Toc137741934" w:history="1">
        <w:r w:rsidR="00592982" w:rsidRPr="00472C69">
          <w:rPr>
            <w:rStyle w:val="Hyperlink"/>
            <w:rtl/>
          </w:rPr>
          <w:t>בי' החת"ס ברש"י דבב' מינים יש בורר רק בפסולת מאוכל אבל להיפך לא נעשה השני לפסולת</w:t>
        </w:r>
      </w:hyperlink>
    </w:p>
    <w:p w14:paraId="7BCF14D9" w14:textId="77777777" w:rsidR="00592982" w:rsidRDefault="00AD16A0" w:rsidP="00592982">
      <w:pPr>
        <w:pStyle w:val="TOC2"/>
        <w:rPr>
          <w:rFonts w:cstheme="minorBidi"/>
          <w:b w:val="0"/>
          <w:bCs w:val="0"/>
          <w:sz w:val="22"/>
          <w:szCs w:val="22"/>
          <w:rtl/>
        </w:rPr>
      </w:pPr>
      <w:hyperlink w:anchor="_Toc137741935" w:history="1">
        <w:r w:rsidR="00592982" w:rsidRPr="00472C69">
          <w:rPr>
            <w:rStyle w:val="Hyperlink"/>
            <w:rtl/>
          </w:rPr>
          <w:t>בי' ההשלמה דהוי בורר רק במין א' ראוי חי והב' צריך בישול</w:t>
        </w:r>
      </w:hyperlink>
    </w:p>
    <w:p w14:paraId="525FC13E" w14:textId="77777777" w:rsidR="00592982" w:rsidRDefault="00AD16A0" w:rsidP="00ED704E">
      <w:pPr>
        <w:pStyle w:val="TOC3"/>
        <w:rPr>
          <w:rFonts w:asciiTheme="minorHAnsi" w:eastAsiaTheme="minorEastAsia" w:hAnsiTheme="minorHAnsi" w:cstheme="minorBidi"/>
          <w:sz w:val="22"/>
          <w:szCs w:val="22"/>
          <w:rtl/>
        </w:rPr>
      </w:pPr>
      <w:hyperlink w:anchor="_Toc137741936" w:history="1">
        <w:r w:rsidR="00592982" w:rsidRPr="00472C69">
          <w:rPr>
            <w:rStyle w:val="Hyperlink"/>
            <w:rtl/>
          </w:rPr>
          <w:t>בי' ההשלמה ברי"ף דבורר באוכל מאוכל רק בא' ראוי לאכילה חי והב' בבישול ודחאו המאירי</w:t>
        </w:r>
      </w:hyperlink>
    </w:p>
    <w:p w14:paraId="3E853D77" w14:textId="77777777" w:rsidR="00592982" w:rsidRDefault="00AD16A0" w:rsidP="00ED704E">
      <w:pPr>
        <w:pStyle w:val="TOC3"/>
        <w:rPr>
          <w:rFonts w:asciiTheme="minorHAnsi" w:eastAsiaTheme="minorEastAsia" w:hAnsiTheme="minorHAnsi" w:cstheme="minorBidi"/>
          <w:sz w:val="22"/>
          <w:szCs w:val="22"/>
          <w:rtl/>
        </w:rPr>
      </w:pPr>
      <w:hyperlink w:anchor="_Toc137741937" w:history="1">
        <w:r w:rsidR="00592982" w:rsidRPr="00472C69">
          <w:rPr>
            <w:rStyle w:val="Hyperlink"/>
            <w:rtl/>
          </w:rPr>
          <w:t>בי' המאירי בהשלמה דבב' ראויין חיין ל"ה בורר והרבה מינים הוי בורר ודחה דאף בב' בורר</w:t>
        </w:r>
      </w:hyperlink>
    </w:p>
    <w:p w14:paraId="1893E52F" w14:textId="77777777" w:rsidR="00592982" w:rsidRDefault="00AD16A0" w:rsidP="00592982">
      <w:pPr>
        <w:pStyle w:val="TOC2"/>
        <w:rPr>
          <w:rFonts w:cstheme="minorBidi"/>
          <w:b w:val="0"/>
          <w:bCs w:val="0"/>
          <w:sz w:val="22"/>
          <w:szCs w:val="22"/>
          <w:rtl/>
        </w:rPr>
      </w:pPr>
      <w:hyperlink w:anchor="_Toc137741938" w:history="1">
        <w:r w:rsidR="00592982" w:rsidRPr="00472C69">
          <w:rPr>
            <w:rStyle w:val="Hyperlink"/>
            <w:rtl/>
          </w:rPr>
          <w:t>בי' האגל"ט דברירת ב' מיני אוכלין היא תולדת בורר ולא אב</w:t>
        </w:r>
      </w:hyperlink>
    </w:p>
    <w:p w14:paraId="7CCC0593" w14:textId="77777777" w:rsidR="00592982" w:rsidRDefault="00AD16A0" w:rsidP="00ED704E">
      <w:pPr>
        <w:pStyle w:val="TOC3"/>
        <w:rPr>
          <w:rFonts w:asciiTheme="minorHAnsi" w:eastAsiaTheme="minorEastAsia" w:hAnsiTheme="minorHAnsi" w:cstheme="minorBidi"/>
          <w:sz w:val="22"/>
          <w:szCs w:val="22"/>
          <w:rtl/>
        </w:rPr>
      </w:pPr>
      <w:hyperlink w:anchor="_Toc137741939" w:history="1">
        <w:r w:rsidR="00592982" w:rsidRPr="00472C69">
          <w:rPr>
            <w:rStyle w:val="Hyperlink"/>
            <w:rtl/>
          </w:rPr>
          <w:t>בי' האגל"ט דבורר אוכל מאוכל הוא תולדה ולא אב דלא היה במשכן וכן מוכח במח' בירושלמי</w:t>
        </w:r>
      </w:hyperlink>
    </w:p>
    <w:p w14:paraId="39FEDFE0" w14:textId="77777777" w:rsidR="00592982" w:rsidRDefault="00AD16A0" w:rsidP="00592982">
      <w:pPr>
        <w:pStyle w:val="TOC1"/>
        <w:rPr>
          <w:rFonts w:asciiTheme="minorHAnsi" w:hAnsiTheme="minorHAnsi" w:cstheme="minorBidi"/>
          <w:b w:val="0"/>
          <w:bCs w:val="0"/>
          <w:caps w:val="0"/>
          <w:sz w:val="22"/>
          <w:szCs w:val="22"/>
          <w:rtl/>
        </w:rPr>
      </w:pPr>
      <w:hyperlink w:anchor="_Toc137741940" w:history="1">
        <w:r w:rsidR="00592982" w:rsidRPr="00472C69">
          <w:rPr>
            <w:rStyle w:val="Hyperlink"/>
            <w:rtl/>
          </w:rPr>
          <w:t>בד' התוס' והרא"ש דתלוי איזה מין נוטל</w:t>
        </w:r>
      </w:hyperlink>
    </w:p>
    <w:p w14:paraId="01DF5771" w14:textId="77777777" w:rsidR="00592982" w:rsidRDefault="00AD16A0" w:rsidP="00592982">
      <w:pPr>
        <w:pStyle w:val="TOC2"/>
        <w:rPr>
          <w:rFonts w:cstheme="minorBidi"/>
          <w:b w:val="0"/>
          <w:bCs w:val="0"/>
          <w:sz w:val="22"/>
          <w:szCs w:val="22"/>
          <w:rtl/>
        </w:rPr>
      </w:pPr>
      <w:hyperlink w:anchor="_Toc137741941" w:history="1">
        <w:r w:rsidR="00592982" w:rsidRPr="00472C69">
          <w:rPr>
            <w:rStyle w:val="Hyperlink"/>
            <w:rtl/>
          </w:rPr>
          <w:t>בי' התוס' והרא"ש דבנוטל המין שרוצה הוא כאוכל מפסולת</w:t>
        </w:r>
      </w:hyperlink>
    </w:p>
    <w:p w14:paraId="702A2CF7" w14:textId="77777777" w:rsidR="00592982" w:rsidRDefault="00AD16A0" w:rsidP="00ED704E">
      <w:pPr>
        <w:pStyle w:val="TOC3"/>
        <w:rPr>
          <w:rFonts w:asciiTheme="minorHAnsi" w:eastAsiaTheme="minorEastAsia" w:hAnsiTheme="minorHAnsi" w:cstheme="minorBidi"/>
          <w:sz w:val="22"/>
          <w:szCs w:val="22"/>
          <w:rtl/>
        </w:rPr>
      </w:pPr>
      <w:hyperlink w:anchor="_Toc137741942" w:history="1">
        <w:r w:rsidR="00592982" w:rsidRPr="00472C69">
          <w:rPr>
            <w:rStyle w:val="Hyperlink"/>
            <w:rtl/>
          </w:rPr>
          <w:t>בי' ר"ח ותוס' והרא"ש דגרסי' "שני" דהמין שרוצה אוכל והב' פסולת והוסיף הרא"ש דרוצה עתה</w:t>
        </w:r>
      </w:hyperlink>
    </w:p>
    <w:p w14:paraId="1D0BF24D" w14:textId="77777777" w:rsidR="00592982" w:rsidRDefault="00AD16A0" w:rsidP="00ED704E">
      <w:pPr>
        <w:pStyle w:val="TOC3"/>
        <w:rPr>
          <w:rFonts w:asciiTheme="minorHAnsi" w:eastAsiaTheme="minorEastAsia" w:hAnsiTheme="minorHAnsi" w:cstheme="minorBidi"/>
          <w:sz w:val="22"/>
          <w:szCs w:val="22"/>
          <w:rtl/>
        </w:rPr>
      </w:pPr>
      <w:hyperlink w:anchor="_Toc137741943" w:history="1">
        <w:r w:rsidR="00592982" w:rsidRPr="00472C69">
          <w:rPr>
            <w:rStyle w:val="Hyperlink"/>
            <w:rtl/>
          </w:rPr>
          <w:t>בי' הטור והרמ"א דהמין שרוצה עכשיו הוא אוכל והמין שמניח פסולת ורק אוכל מפסולת מותר</w:t>
        </w:r>
      </w:hyperlink>
    </w:p>
    <w:p w14:paraId="6E5B3409" w14:textId="77777777" w:rsidR="00592982" w:rsidRDefault="00AD16A0" w:rsidP="00592982">
      <w:pPr>
        <w:pStyle w:val="TOC2"/>
        <w:rPr>
          <w:rFonts w:cstheme="minorBidi"/>
          <w:b w:val="0"/>
          <w:bCs w:val="0"/>
          <w:sz w:val="22"/>
          <w:szCs w:val="22"/>
          <w:rtl/>
        </w:rPr>
      </w:pPr>
      <w:hyperlink w:anchor="_Toc137741944" w:history="1">
        <w:r w:rsidR="00592982" w:rsidRPr="00472C69">
          <w:rPr>
            <w:rStyle w:val="Hyperlink"/>
            <w:rtl/>
          </w:rPr>
          <w:t>ד' הי"מ בתרוה"ד דבחתיכות יש בורר באוכל ודחה דבניכר מותר</w:t>
        </w:r>
      </w:hyperlink>
    </w:p>
    <w:p w14:paraId="3BE822B9" w14:textId="77777777" w:rsidR="00592982" w:rsidRDefault="00AD16A0" w:rsidP="00ED704E">
      <w:pPr>
        <w:pStyle w:val="TOC3"/>
        <w:rPr>
          <w:rFonts w:asciiTheme="minorHAnsi" w:eastAsiaTheme="minorEastAsia" w:hAnsiTheme="minorHAnsi" w:cstheme="minorBidi"/>
          <w:sz w:val="22"/>
          <w:szCs w:val="22"/>
          <w:rtl/>
        </w:rPr>
      </w:pPr>
      <w:hyperlink w:anchor="_Toc137741945" w:history="1">
        <w:r w:rsidR="00592982" w:rsidRPr="00472C69">
          <w:rPr>
            <w:rStyle w:val="Hyperlink"/>
            <w:rtl/>
          </w:rPr>
          <w:t>ד' הי"מ בתרוה"ד דמבו' ברא"ש דבב' מיני דגים יש בורר ודחיית התרוה"ד דכ"א ניכר לעצמו</w:t>
        </w:r>
      </w:hyperlink>
    </w:p>
    <w:p w14:paraId="5388EAF2" w14:textId="77777777" w:rsidR="00592982" w:rsidRDefault="00AD16A0" w:rsidP="00592982">
      <w:pPr>
        <w:pStyle w:val="TOC2"/>
        <w:rPr>
          <w:rFonts w:cstheme="minorBidi"/>
          <w:b w:val="0"/>
          <w:bCs w:val="0"/>
          <w:sz w:val="22"/>
          <w:szCs w:val="22"/>
          <w:rtl/>
        </w:rPr>
      </w:pPr>
      <w:hyperlink w:anchor="_Toc137741946" w:history="1">
        <w:r w:rsidR="00592982" w:rsidRPr="00472C69">
          <w:rPr>
            <w:rStyle w:val="Hyperlink"/>
            <w:rtl/>
          </w:rPr>
          <w:t>חקירת האגל"ט אי מין א' כפסולת או דכ"א כפסולת לגבי השני</w:t>
        </w:r>
      </w:hyperlink>
    </w:p>
    <w:p w14:paraId="46AA3AA7" w14:textId="77777777" w:rsidR="00592982" w:rsidRDefault="00AD16A0" w:rsidP="00ED704E">
      <w:pPr>
        <w:pStyle w:val="TOC3"/>
        <w:rPr>
          <w:rFonts w:asciiTheme="minorHAnsi" w:eastAsiaTheme="minorEastAsia" w:hAnsiTheme="minorHAnsi" w:cstheme="minorBidi"/>
          <w:sz w:val="22"/>
          <w:szCs w:val="22"/>
          <w:rtl/>
        </w:rPr>
      </w:pPr>
      <w:hyperlink w:anchor="_Toc137741947" w:history="1">
        <w:r w:rsidR="00592982" w:rsidRPr="00472C69">
          <w:rPr>
            <w:rStyle w:val="Hyperlink"/>
            <w:rtl/>
          </w:rPr>
          <w:t>חקירת האגל"ט אי המין שאינו רוצה חשיב כפסולת או דכל מין חשיב כפסולת כלפי המין השני</w:t>
        </w:r>
      </w:hyperlink>
    </w:p>
    <w:p w14:paraId="0B98F25C" w14:textId="77777777" w:rsidR="00592982" w:rsidRDefault="00AD16A0" w:rsidP="00ED704E">
      <w:pPr>
        <w:pStyle w:val="TOC3"/>
        <w:rPr>
          <w:rFonts w:asciiTheme="minorHAnsi" w:eastAsiaTheme="minorEastAsia" w:hAnsiTheme="minorHAnsi" w:cstheme="minorBidi"/>
          <w:sz w:val="22"/>
          <w:szCs w:val="22"/>
          <w:rtl/>
        </w:rPr>
      </w:pPr>
      <w:hyperlink w:anchor="_Toc137741948" w:history="1">
        <w:r w:rsidR="00592982" w:rsidRPr="00472C69">
          <w:rPr>
            <w:rStyle w:val="Hyperlink"/>
            <w:rtl/>
          </w:rPr>
          <w:t>קו' האגל"ט דאמאי לא קיי"ל כירו' דבבורר כל המין אסור לאלתר ועו"ק דבירו' לא כ' כתוס'</w:t>
        </w:r>
      </w:hyperlink>
    </w:p>
    <w:p w14:paraId="05967729" w14:textId="77777777" w:rsidR="00592982" w:rsidRDefault="00AD16A0" w:rsidP="00ED704E">
      <w:pPr>
        <w:pStyle w:val="TOC3"/>
        <w:rPr>
          <w:rFonts w:asciiTheme="minorHAnsi" w:eastAsiaTheme="minorEastAsia" w:hAnsiTheme="minorHAnsi" w:cstheme="minorBidi"/>
          <w:sz w:val="22"/>
          <w:szCs w:val="22"/>
          <w:rtl/>
        </w:rPr>
      </w:pPr>
      <w:hyperlink w:anchor="_Toc137741949" w:history="1">
        <w:r w:rsidR="00592982" w:rsidRPr="00472C69">
          <w:rPr>
            <w:rStyle w:val="Hyperlink"/>
            <w:rtl/>
          </w:rPr>
          <w:t>קו' האגל"ט דלתוס' מלאכת בורר היא בתיקון האוכל וכשמוציא מין אחד הוא מתקן את השני</w:t>
        </w:r>
      </w:hyperlink>
    </w:p>
    <w:p w14:paraId="78661B29" w14:textId="77777777" w:rsidR="00592982" w:rsidRDefault="00AD16A0" w:rsidP="00ED704E">
      <w:pPr>
        <w:pStyle w:val="TOC3"/>
        <w:rPr>
          <w:rFonts w:asciiTheme="minorHAnsi" w:eastAsiaTheme="minorEastAsia" w:hAnsiTheme="minorHAnsi" w:cstheme="minorBidi"/>
          <w:sz w:val="22"/>
          <w:szCs w:val="22"/>
          <w:rtl/>
        </w:rPr>
      </w:pPr>
      <w:hyperlink w:anchor="_Toc137741950" w:history="1">
        <w:r w:rsidR="00592982" w:rsidRPr="00472C69">
          <w:rPr>
            <w:rStyle w:val="Hyperlink"/>
            <w:rtl/>
          </w:rPr>
          <w:t>בי' האגל"ט בבבלי ובירו' בב' מינים כ"א פסולת לגבי הב' והברירה היא החילוק כבאוכל ומשקה</w:t>
        </w:r>
      </w:hyperlink>
    </w:p>
    <w:p w14:paraId="002CE7BD" w14:textId="77777777" w:rsidR="00592982" w:rsidRDefault="00AD16A0" w:rsidP="00ED704E">
      <w:pPr>
        <w:pStyle w:val="TOC3"/>
        <w:rPr>
          <w:rFonts w:asciiTheme="minorHAnsi" w:eastAsiaTheme="minorEastAsia" w:hAnsiTheme="minorHAnsi" w:cstheme="minorBidi"/>
          <w:sz w:val="22"/>
          <w:szCs w:val="22"/>
          <w:rtl/>
        </w:rPr>
      </w:pPr>
      <w:hyperlink w:anchor="_Toc137741951" w:history="1">
        <w:r w:rsidR="00592982" w:rsidRPr="00472C69">
          <w:rPr>
            <w:rStyle w:val="Hyperlink"/>
            <w:rtl/>
          </w:rPr>
          <w:t>בי' האגל"ט בתוס' דבירו' מוכח דברירה בחילוק המינים אך במין שרוצה א"א לומר דכפסולת</w:t>
        </w:r>
      </w:hyperlink>
    </w:p>
    <w:p w14:paraId="55C2EA3E" w14:textId="77777777" w:rsidR="00592982" w:rsidRDefault="00AD16A0" w:rsidP="00ED704E">
      <w:pPr>
        <w:pStyle w:val="TOC3"/>
        <w:rPr>
          <w:rFonts w:asciiTheme="minorHAnsi" w:eastAsiaTheme="minorEastAsia" w:hAnsiTheme="minorHAnsi" w:cstheme="minorBidi"/>
          <w:sz w:val="22"/>
          <w:szCs w:val="22"/>
          <w:rtl/>
        </w:rPr>
      </w:pPr>
      <w:hyperlink w:anchor="_Toc137741952" w:history="1">
        <w:r w:rsidR="00592982" w:rsidRPr="00472C69">
          <w:rPr>
            <w:rStyle w:val="Hyperlink"/>
            <w:rtl/>
          </w:rPr>
          <w:t>בי' האגל"ט דלירו' לעולם כל מין פסולת לשני ולכן אוסר בבורר כל המין לאלתר דהשני התברר</w:t>
        </w:r>
      </w:hyperlink>
    </w:p>
    <w:p w14:paraId="31A1294A" w14:textId="77777777" w:rsidR="00592982" w:rsidRDefault="00AD16A0" w:rsidP="00592982">
      <w:pPr>
        <w:pStyle w:val="TOC1"/>
        <w:rPr>
          <w:rFonts w:asciiTheme="minorHAnsi" w:hAnsiTheme="minorHAnsi" w:cstheme="minorBidi"/>
          <w:b w:val="0"/>
          <w:bCs w:val="0"/>
          <w:caps w:val="0"/>
          <w:sz w:val="22"/>
          <w:szCs w:val="22"/>
          <w:rtl/>
        </w:rPr>
      </w:pPr>
      <w:hyperlink w:anchor="_Toc137741953" w:history="1">
        <w:r w:rsidR="00592982" w:rsidRPr="00472C69">
          <w:rPr>
            <w:rStyle w:val="Hyperlink"/>
            <w:rtl/>
          </w:rPr>
          <w:t>אי בב' מינים לעולם דינו כאוכל מפסולת</w:t>
        </w:r>
      </w:hyperlink>
    </w:p>
    <w:p w14:paraId="0EB9B8CE" w14:textId="77777777" w:rsidR="00592982" w:rsidRDefault="00AD16A0" w:rsidP="00592982">
      <w:pPr>
        <w:pStyle w:val="TOC2"/>
        <w:rPr>
          <w:rFonts w:cstheme="minorBidi"/>
          <w:b w:val="0"/>
          <w:bCs w:val="0"/>
          <w:sz w:val="22"/>
          <w:szCs w:val="22"/>
          <w:rtl/>
        </w:rPr>
      </w:pPr>
      <w:hyperlink w:anchor="_Toc137741954" w:history="1">
        <w:r w:rsidR="00592982" w:rsidRPr="00472C69">
          <w:rPr>
            <w:rStyle w:val="Hyperlink"/>
            <w:rtl/>
          </w:rPr>
          <w:t>בי' המאירי דבכל אוכל מאוכל דינו כדין אוכל מתוך פסולת</w:t>
        </w:r>
      </w:hyperlink>
    </w:p>
    <w:p w14:paraId="05F35DCD" w14:textId="77777777" w:rsidR="00592982" w:rsidRDefault="00AD16A0" w:rsidP="00ED704E">
      <w:pPr>
        <w:pStyle w:val="TOC3"/>
        <w:rPr>
          <w:rFonts w:asciiTheme="minorHAnsi" w:eastAsiaTheme="minorEastAsia" w:hAnsiTheme="minorHAnsi" w:cstheme="minorBidi"/>
          <w:sz w:val="22"/>
          <w:szCs w:val="22"/>
          <w:rtl/>
        </w:rPr>
      </w:pPr>
      <w:hyperlink w:anchor="_Toc137741955" w:history="1">
        <w:r w:rsidR="00592982" w:rsidRPr="00472C69">
          <w:rPr>
            <w:rStyle w:val="Hyperlink"/>
            <w:rtl/>
          </w:rPr>
          <w:t>בי' המאירי דבאוכל מאוכל דינו כאוכל מפסולת דביד ולאלתר מותר ולאח"ז חייב חטאת</w:t>
        </w:r>
      </w:hyperlink>
    </w:p>
    <w:p w14:paraId="64624654" w14:textId="77777777" w:rsidR="00592982" w:rsidRDefault="00AD16A0" w:rsidP="00592982">
      <w:pPr>
        <w:pStyle w:val="TOC2"/>
        <w:rPr>
          <w:rFonts w:cstheme="minorBidi"/>
          <w:b w:val="0"/>
          <w:bCs w:val="0"/>
          <w:sz w:val="22"/>
          <w:szCs w:val="22"/>
          <w:rtl/>
        </w:rPr>
      </w:pPr>
      <w:hyperlink w:anchor="_Toc137741956" w:history="1">
        <w:r w:rsidR="00592982" w:rsidRPr="00472C69">
          <w:rPr>
            <w:rStyle w:val="Hyperlink"/>
            <w:rtl/>
          </w:rPr>
          <w:t>בי' האגל"ט דלאלתר במין שאינו רוצה נח' הראשו' בגדר בורר</w:t>
        </w:r>
      </w:hyperlink>
    </w:p>
    <w:p w14:paraId="293101F3" w14:textId="77777777" w:rsidR="00592982" w:rsidRDefault="00AD16A0" w:rsidP="00ED704E">
      <w:pPr>
        <w:pStyle w:val="TOC3"/>
        <w:rPr>
          <w:rFonts w:asciiTheme="minorHAnsi" w:eastAsiaTheme="minorEastAsia" w:hAnsiTheme="minorHAnsi" w:cstheme="minorBidi"/>
          <w:sz w:val="22"/>
          <w:szCs w:val="22"/>
          <w:rtl/>
        </w:rPr>
      </w:pPr>
      <w:hyperlink w:anchor="_Toc137741957" w:history="1">
        <w:r w:rsidR="00592982" w:rsidRPr="00472C69">
          <w:rPr>
            <w:rStyle w:val="Hyperlink"/>
            <w:rtl/>
          </w:rPr>
          <w:t>בי' האגל"ט ברא"ש ובתרוה"ד דבאוכל מאוכל לאלתר אסור ליטול מין שאינו רוצה דכפסולת</w:t>
        </w:r>
      </w:hyperlink>
    </w:p>
    <w:p w14:paraId="58247D4D" w14:textId="77777777" w:rsidR="00592982" w:rsidRDefault="00AD16A0" w:rsidP="00ED704E">
      <w:pPr>
        <w:pStyle w:val="TOC3"/>
        <w:rPr>
          <w:rFonts w:asciiTheme="minorHAnsi" w:eastAsiaTheme="minorEastAsia" w:hAnsiTheme="minorHAnsi" w:cstheme="minorBidi"/>
          <w:sz w:val="22"/>
          <w:szCs w:val="22"/>
          <w:rtl/>
        </w:rPr>
      </w:pPr>
      <w:hyperlink w:anchor="_Toc137741958" w:history="1">
        <w:r w:rsidR="00592982" w:rsidRPr="00472C69">
          <w:rPr>
            <w:rStyle w:val="Hyperlink"/>
            <w:rtl/>
          </w:rPr>
          <w:t>בי' האגל"ט במ"מ ובקרי"ס דבאוכל מאוכל ביד לאלתר מותר אף כשנוטל את המין שאינו רוצה</w:t>
        </w:r>
      </w:hyperlink>
    </w:p>
    <w:p w14:paraId="0AE7CB64" w14:textId="77777777" w:rsidR="00592982" w:rsidRDefault="00AD16A0" w:rsidP="00ED704E">
      <w:pPr>
        <w:pStyle w:val="TOC3"/>
        <w:rPr>
          <w:rFonts w:asciiTheme="minorHAnsi" w:eastAsiaTheme="minorEastAsia" w:hAnsiTheme="minorHAnsi" w:cstheme="minorBidi"/>
          <w:sz w:val="22"/>
          <w:szCs w:val="22"/>
          <w:rtl/>
        </w:rPr>
      </w:pPr>
      <w:hyperlink w:anchor="_Toc137741959" w:history="1">
        <w:r w:rsidR="00592982" w:rsidRPr="00472C69">
          <w:rPr>
            <w:rStyle w:val="Hyperlink"/>
            <w:rtl/>
          </w:rPr>
          <w:t>בי' האגל"ט במ"מ דס"ל כר"ן דעיקר בורר בפסולת מאוכל ובאוכל מאוכל ל"ה פסולת ממש</w:t>
        </w:r>
      </w:hyperlink>
    </w:p>
    <w:p w14:paraId="79727BB0" w14:textId="77777777" w:rsidR="00592982" w:rsidRDefault="00AD16A0" w:rsidP="00ED704E">
      <w:pPr>
        <w:pStyle w:val="TOC3"/>
        <w:rPr>
          <w:rFonts w:asciiTheme="minorHAnsi" w:eastAsiaTheme="minorEastAsia" w:hAnsiTheme="minorHAnsi" w:cstheme="minorBidi"/>
          <w:sz w:val="22"/>
          <w:szCs w:val="22"/>
          <w:rtl/>
        </w:rPr>
      </w:pPr>
      <w:hyperlink w:anchor="_Toc137741960" w:history="1">
        <w:r w:rsidR="00592982" w:rsidRPr="00472C69">
          <w:rPr>
            <w:rStyle w:val="Hyperlink"/>
            <w:rtl/>
          </w:rPr>
          <w:t>בי' האגל"ט בתוספתא דבבורר ב' מינים לאלתר א' לעצמו והב' לאורחין חייב דמתקן את שניהם</w:t>
        </w:r>
      </w:hyperlink>
    </w:p>
    <w:p w14:paraId="38001044" w14:textId="77777777" w:rsidR="00592982" w:rsidRDefault="00AD16A0" w:rsidP="00ED704E">
      <w:pPr>
        <w:pStyle w:val="TOC3"/>
        <w:rPr>
          <w:rFonts w:asciiTheme="minorHAnsi" w:eastAsiaTheme="minorEastAsia" w:hAnsiTheme="minorHAnsi" w:cstheme="minorBidi"/>
          <w:sz w:val="22"/>
          <w:szCs w:val="22"/>
          <w:rtl/>
        </w:rPr>
      </w:pPr>
      <w:hyperlink w:anchor="_Toc137741961" w:history="1">
        <w:r w:rsidR="00592982" w:rsidRPr="00472C69">
          <w:rPr>
            <w:rStyle w:val="Hyperlink"/>
            <w:rtl/>
          </w:rPr>
          <w:t>בי' האגל"ט בירו' דבורר בתיקון האוכל ובב' מינים לאלתר ל"ה תיקון ולתוספ' בורר לגמרי מתקן</w:t>
        </w:r>
      </w:hyperlink>
    </w:p>
    <w:p w14:paraId="757CC7F5" w14:textId="77777777" w:rsidR="00592982" w:rsidRDefault="00AD16A0" w:rsidP="00ED704E">
      <w:pPr>
        <w:pStyle w:val="TOC3"/>
        <w:rPr>
          <w:rFonts w:asciiTheme="minorHAnsi" w:eastAsiaTheme="minorEastAsia" w:hAnsiTheme="minorHAnsi" w:cstheme="minorBidi"/>
          <w:sz w:val="22"/>
          <w:szCs w:val="22"/>
          <w:rtl/>
        </w:rPr>
      </w:pPr>
      <w:hyperlink w:anchor="_Toc137741962" w:history="1">
        <w:r w:rsidR="00592982" w:rsidRPr="00472C69">
          <w:rPr>
            <w:rStyle w:val="Hyperlink"/>
            <w:rtl/>
          </w:rPr>
          <w:t>בי' האגל"ט במ"מ דהמלאכה באוכל וכרמב"ן דחיוב בורר דלא יאכל מהפסולת ול"ש בב' מינים</w:t>
        </w:r>
      </w:hyperlink>
    </w:p>
    <w:p w14:paraId="4F0FF83D" w14:textId="77777777" w:rsidR="00592982" w:rsidRDefault="00AD16A0" w:rsidP="00592982">
      <w:pPr>
        <w:pStyle w:val="TOC1"/>
        <w:rPr>
          <w:rFonts w:asciiTheme="minorHAnsi" w:hAnsiTheme="minorHAnsi" w:cstheme="minorBidi"/>
          <w:b w:val="0"/>
          <w:bCs w:val="0"/>
          <w:caps w:val="0"/>
          <w:sz w:val="22"/>
          <w:szCs w:val="22"/>
          <w:rtl/>
        </w:rPr>
      </w:pPr>
      <w:hyperlink w:anchor="_Toc137741963" w:history="1">
        <w:r w:rsidR="00592982" w:rsidRPr="00472C69">
          <w:rPr>
            <w:rStyle w:val="Hyperlink"/>
            <w:rtl/>
          </w:rPr>
          <w:t>בד' הרמב"ם דבכל ב' מינים יש ברירה</w:t>
        </w:r>
      </w:hyperlink>
    </w:p>
    <w:p w14:paraId="32B32E47" w14:textId="77777777" w:rsidR="00592982" w:rsidRDefault="00AD16A0" w:rsidP="00592982">
      <w:pPr>
        <w:pStyle w:val="TOC2"/>
        <w:rPr>
          <w:rFonts w:cstheme="minorBidi"/>
          <w:b w:val="0"/>
          <w:bCs w:val="0"/>
          <w:sz w:val="22"/>
          <w:szCs w:val="22"/>
          <w:rtl/>
        </w:rPr>
      </w:pPr>
      <w:hyperlink w:anchor="_Toc137741964" w:history="1">
        <w:r w:rsidR="00592982" w:rsidRPr="00472C69">
          <w:rPr>
            <w:rStyle w:val="Hyperlink"/>
            <w:rtl/>
          </w:rPr>
          <w:t>בד' הרמב"ם דיש בורר באוכל מאוכל אף כשאין פסולת כלל</w:t>
        </w:r>
      </w:hyperlink>
    </w:p>
    <w:p w14:paraId="1F0325C6" w14:textId="77777777" w:rsidR="00592982" w:rsidRDefault="00AD16A0" w:rsidP="00ED704E">
      <w:pPr>
        <w:pStyle w:val="TOC3"/>
        <w:rPr>
          <w:rFonts w:asciiTheme="minorHAnsi" w:eastAsiaTheme="minorEastAsia" w:hAnsiTheme="minorHAnsi" w:cstheme="minorBidi"/>
          <w:sz w:val="22"/>
          <w:szCs w:val="22"/>
          <w:rtl/>
        </w:rPr>
      </w:pPr>
      <w:hyperlink w:anchor="_Toc137741965" w:history="1">
        <w:r w:rsidR="00592982" w:rsidRPr="00472C69">
          <w:rPr>
            <w:rStyle w:val="Hyperlink"/>
            <w:rtl/>
          </w:rPr>
          <w:t>בי' הרמב"ם דבורר בב' מיני אוכלין חייב ולאלתר מותר ובמניח א' לאלתר מותר ולאח"ז חייב</w:t>
        </w:r>
      </w:hyperlink>
    </w:p>
    <w:p w14:paraId="56CCD773" w14:textId="77777777" w:rsidR="00592982" w:rsidRDefault="00AD16A0" w:rsidP="00ED704E">
      <w:pPr>
        <w:pStyle w:val="TOC3"/>
        <w:rPr>
          <w:rFonts w:asciiTheme="minorHAnsi" w:eastAsiaTheme="minorEastAsia" w:hAnsiTheme="minorHAnsi" w:cstheme="minorBidi"/>
          <w:sz w:val="22"/>
          <w:szCs w:val="22"/>
          <w:rtl/>
        </w:rPr>
      </w:pPr>
      <w:hyperlink w:anchor="_Toc137741966" w:history="1">
        <w:r w:rsidR="00592982" w:rsidRPr="00472C69">
          <w:rPr>
            <w:rStyle w:val="Hyperlink"/>
            <w:rtl/>
          </w:rPr>
          <w:t>בי' הב"י ברמב"ם דבאוכל מפסולת חייב אף לכמה שעות אבל בב' מינים רק לבין הערביים</w:t>
        </w:r>
      </w:hyperlink>
    </w:p>
    <w:p w14:paraId="0B722B4D" w14:textId="77777777" w:rsidR="00592982" w:rsidRDefault="00AD16A0" w:rsidP="00ED704E">
      <w:pPr>
        <w:pStyle w:val="TOC3"/>
        <w:rPr>
          <w:rFonts w:asciiTheme="minorHAnsi" w:eastAsiaTheme="minorEastAsia" w:hAnsiTheme="minorHAnsi" w:cstheme="minorBidi"/>
          <w:sz w:val="22"/>
          <w:szCs w:val="22"/>
          <w:rtl/>
        </w:rPr>
      </w:pPr>
      <w:hyperlink w:anchor="_Toc137741967" w:history="1">
        <w:r w:rsidR="00592982" w:rsidRPr="00472C69">
          <w:rPr>
            <w:rStyle w:val="Hyperlink"/>
            <w:rtl/>
          </w:rPr>
          <w:t>בי' המהר"ם קזיס ברמב"ם דגם החלבון וגם החלמון יורדים ול"ה בורר ולטור צ"ל דלא קפיד בזה</w:t>
        </w:r>
      </w:hyperlink>
    </w:p>
    <w:p w14:paraId="35F3D841" w14:textId="77777777" w:rsidR="00592982" w:rsidRDefault="00AD16A0" w:rsidP="00ED704E">
      <w:pPr>
        <w:pStyle w:val="TOC3"/>
        <w:rPr>
          <w:rFonts w:asciiTheme="minorHAnsi" w:eastAsiaTheme="minorEastAsia" w:hAnsiTheme="minorHAnsi" w:cstheme="minorBidi"/>
          <w:sz w:val="22"/>
          <w:szCs w:val="22"/>
          <w:rtl/>
        </w:rPr>
      </w:pPr>
      <w:hyperlink w:anchor="_Toc137741968" w:history="1">
        <w:r w:rsidR="00592982" w:rsidRPr="00472C69">
          <w:rPr>
            <w:rStyle w:val="Hyperlink"/>
            <w:rtl/>
          </w:rPr>
          <w:t>ספק הפרמ"ג ברמב"ם אי יש בורר באוכל מאוכל אף כשאין א' מהם דחשיב כפסולת ודלא כתוס'</w:t>
        </w:r>
      </w:hyperlink>
    </w:p>
    <w:p w14:paraId="66BC00B0" w14:textId="77777777" w:rsidR="00592982" w:rsidRDefault="00AD16A0" w:rsidP="00ED704E">
      <w:pPr>
        <w:pStyle w:val="TOC3"/>
        <w:rPr>
          <w:rFonts w:asciiTheme="minorHAnsi" w:eastAsiaTheme="minorEastAsia" w:hAnsiTheme="minorHAnsi" w:cstheme="minorBidi"/>
          <w:sz w:val="22"/>
          <w:szCs w:val="22"/>
          <w:rtl/>
        </w:rPr>
      </w:pPr>
      <w:hyperlink w:anchor="_Toc137741969" w:history="1">
        <w:r w:rsidR="00592982" w:rsidRPr="00472C69">
          <w:rPr>
            <w:rStyle w:val="Hyperlink"/>
            <w:rtl/>
          </w:rPr>
          <w:t>בי' הביה"ל ברמב"ם דעיקר המלאכה דכל מין נברר בפנ"ע אף שאין פסולת אך הרד"ע לא כ"כ</w:t>
        </w:r>
      </w:hyperlink>
    </w:p>
    <w:p w14:paraId="5573604A" w14:textId="77777777" w:rsidR="00592982" w:rsidRDefault="00AD16A0" w:rsidP="00592982">
      <w:pPr>
        <w:pStyle w:val="TOC1"/>
        <w:rPr>
          <w:rFonts w:asciiTheme="minorHAnsi" w:hAnsiTheme="minorHAnsi" w:cstheme="minorBidi"/>
          <w:b w:val="0"/>
          <w:bCs w:val="0"/>
          <w:caps w:val="0"/>
          <w:sz w:val="22"/>
          <w:szCs w:val="22"/>
          <w:rtl/>
        </w:rPr>
      </w:pPr>
      <w:hyperlink w:anchor="_Toc137741970" w:history="1">
        <w:r w:rsidR="00592982" w:rsidRPr="00472C69">
          <w:rPr>
            <w:rStyle w:val="Hyperlink"/>
            <w:rtl/>
          </w:rPr>
          <w:t>בדין ב' מינים שרוצה את שניהם לאח"ז</w:t>
        </w:r>
      </w:hyperlink>
    </w:p>
    <w:p w14:paraId="4641D67E" w14:textId="77777777" w:rsidR="00592982" w:rsidRDefault="00AD16A0" w:rsidP="00592982">
      <w:pPr>
        <w:pStyle w:val="TOC2"/>
        <w:rPr>
          <w:rFonts w:cstheme="minorBidi"/>
          <w:b w:val="0"/>
          <w:bCs w:val="0"/>
          <w:sz w:val="22"/>
          <w:szCs w:val="22"/>
          <w:rtl/>
        </w:rPr>
      </w:pPr>
      <w:hyperlink w:anchor="_Toc137741971" w:history="1">
        <w:r w:rsidR="00592982" w:rsidRPr="00472C69">
          <w:rPr>
            <w:rStyle w:val="Hyperlink"/>
            <w:rtl/>
          </w:rPr>
          <w:t>בי' התרוה"ד דהבורר ב' מינים לסעודה אחרת הוי כמין א' ומותר</w:t>
        </w:r>
      </w:hyperlink>
    </w:p>
    <w:p w14:paraId="66CE70EB" w14:textId="77777777" w:rsidR="00592982" w:rsidRDefault="00AD16A0" w:rsidP="00ED704E">
      <w:pPr>
        <w:pStyle w:val="TOC3"/>
        <w:rPr>
          <w:rFonts w:asciiTheme="minorHAnsi" w:eastAsiaTheme="minorEastAsia" w:hAnsiTheme="minorHAnsi" w:cstheme="minorBidi"/>
          <w:sz w:val="22"/>
          <w:szCs w:val="22"/>
          <w:rtl/>
        </w:rPr>
      </w:pPr>
      <w:hyperlink w:anchor="_Toc137741972" w:history="1">
        <w:r w:rsidR="00592982" w:rsidRPr="00472C69">
          <w:rPr>
            <w:rStyle w:val="Hyperlink"/>
            <w:rtl/>
          </w:rPr>
          <w:t>בי' התרוה"ד דבב' מינים לסעודה אחרת אי"ז בורר דהוי כמין א' ואין מין דחשיב לו כפסולת</w:t>
        </w:r>
      </w:hyperlink>
    </w:p>
    <w:p w14:paraId="18CEDCB6" w14:textId="77777777" w:rsidR="00592982" w:rsidRDefault="00AD16A0" w:rsidP="00592982">
      <w:pPr>
        <w:pStyle w:val="TOC2"/>
        <w:rPr>
          <w:rFonts w:cstheme="minorBidi"/>
          <w:b w:val="0"/>
          <w:bCs w:val="0"/>
          <w:sz w:val="22"/>
          <w:szCs w:val="22"/>
          <w:rtl/>
        </w:rPr>
      </w:pPr>
      <w:hyperlink w:anchor="_Toc137741973" w:history="1">
        <w:r w:rsidR="00592982" w:rsidRPr="00472C69">
          <w:rPr>
            <w:rStyle w:val="Hyperlink"/>
            <w:rtl/>
          </w:rPr>
          <w:t>בי' הראש יוסף בפלו' הראש' אי כשאין מין שכפסולת הוי בורר</w:t>
        </w:r>
      </w:hyperlink>
    </w:p>
    <w:p w14:paraId="52F5F6D3" w14:textId="77777777" w:rsidR="00592982" w:rsidRDefault="00AD16A0" w:rsidP="00ED704E">
      <w:pPr>
        <w:pStyle w:val="TOC3"/>
        <w:rPr>
          <w:rFonts w:asciiTheme="minorHAnsi" w:eastAsiaTheme="minorEastAsia" w:hAnsiTheme="minorHAnsi" w:cstheme="minorBidi"/>
          <w:sz w:val="22"/>
          <w:szCs w:val="22"/>
          <w:rtl/>
        </w:rPr>
      </w:pPr>
      <w:hyperlink w:anchor="_Toc137741974" w:history="1">
        <w:r w:rsidR="00592982" w:rsidRPr="00472C69">
          <w:rPr>
            <w:rStyle w:val="Hyperlink"/>
            <w:rtl/>
          </w:rPr>
          <w:t>בי' הראש יוסף בתוס' דברוצה לאכול שניהם לאח"ז א' לעצמו וא' לב"ב אי"ז בורר דאין פסולת</w:t>
        </w:r>
      </w:hyperlink>
    </w:p>
    <w:p w14:paraId="410AEC25" w14:textId="77777777" w:rsidR="00592982" w:rsidRDefault="00AD16A0" w:rsidP="00ED704E">
      <w:pPr>
        <w:pStyle w:val="TOC3"/>
        <w:rPr>
          <w:rFonts w:asciiTheme="minorHAnsi" w:eastAsiaTheme="minorEastAsia" w:hAnsiTheme="minorHAnsi" w:cstheme="minorBidi"/>
          <w:sz w:val="22"/>
          <w:szCs w:val="22"/>
          <w:rtl/>
        </w:rPr>
      </w:pPr>
      <w:hyperlink w:anchor="_Toc137741975" w:history="1">
        <w:r w:rsidR="00592982" w:rsidRPr="00472C69">
          <w:rPr>
            <w:rStyle w:val="Hyperlink"/>
            <w:rtl/>
          </w:rPr>
          <w:t>בי' הראש יוסף דברוצה לאכול לאלתר דהב' כפסולת ובנפה חייב אך שניהם לאח"ז מותר בנפה</w:t>
        </w:r>
      </w:hyperlink>
    </w:p>
    <w:p w14:paraId="5B122C12" w14:textId="77777777" w:rsidR="00592982" w:rsidRDefault="00AD16A0" w:rsidP="00ED704E">
      <w:pPr>
        <w:pStyle w:val="TOC3"/>
        <w:rPr>
          <w:rFonts w:asciiTheme="minorHAnsi" w:eastAsiaTheme="minorEastAsia" w:hAnsiTheme="minorHAnsi" w:cstheme="minorBidi"/>
          <w:sz w:val="22"/>
          <w:szCs w:val="22"/>
          <w:rtl/>
        </w:rPr>
      </w:pPr>
      <w:hyperlink w:anchor="_Toc137741976" w:history="1">
        <w:r w:rsidR="00592982" w:rsidRPr="00472C69">
          <w:rPr>
            <w:rStyle w:val="Hyperlink"/>
            <w:rtl/>
          </w:rPr>
          <w:t>ספק הפרמ"ג אי רש"י ותוס' ס"ל כרא"ש דבשניהם לאח"ז ל"ה בורר או דמין שאינו רוצה כפסולת</w:t>
        </w:r>
      </w:hyperlink>
    </w:p>
    <w:p w14:paraId="63318634" w14:textId="77777777" w:rsidR="00592982" w:rsidRDefault="00AD16A0" w:rsidP="00ED704E">
      <w:pPr>
        <w:pStyle w:val="TOC3"/>
        <w:rPr>
          <w:rFonts w:asciiTheme="minorHAnsi" w:eastAsiaTheme="minorEastAsia" w:hAnsiTheme="minorHAnsi" w:cstheme="minorBidi"/>
          <w:sz w:val="22"/>
          <w:szCs w:val="22"/>
          <w:rtl/>
        </w:rPr>
      </w:pPr>
      <w:hyperlink w:anchor="_Toc137741977" w:history="1">
        <w:r w:rsidR="00592982" w:rsidRPr="00472C69">
          <w:rPr>
            <w:rStyle w:val="Hyperlink"/>
            <w:rtl/>
          </w:rPr>
          <w:t>בי' הראש יוסף ברמב"ם דאף באוכל מאוכל גמור יש ברירה אף בבורר שניהם לאח"ז</w:t>
        </w:r>
      </w:hyperlink>
    </w:p>
    <w:p w14:paraId="7DF666A8" w14:textId="77777777" w:rsidR="00592982" w:rsidRDefault="00AD16A0" w:rsidP="00ED704E">
      <w:pPr>
        <w:pStyle w:val="TOC3"/>
        <w:rPr>
          <w:rFonts w:asciiTheme="minorHAnsi" w:eastAsiaTheme="minorEastAsia" w:hAnsiTheme="minorHAnsi" w:cstheme="minorBidi"/>
          <w:sz w:val="22"/>
          <w:szCs w:val="22"/>
          <w:rtl/>
        </w:rPr>
      </w:pPr>
      <w:hyperlink w:anchor="_Toc137741978" w:history="1">
        <w:r w:rsidR="00592982" w:rsidRPr="00472C69">
          <w:rPr>
            <w:rStyle w:val="Hyperlink"/>
            <w:rtl/>
          </w:rPr>
          <w:t>ספק הפרמ"ג ברמב"ם אי בשניהם לאח"ז מותר או דאוסר רק כשמין א' היום לאח"ז והשני למחר</w:t>
        </w:r>
      </w:hyperlink>
    </w:p>
    <w:p w14:paraId="70CD3F34" w14:textId="77777777" w:rsidR="00592982" w:rsidRDefault="00AD16A0" w:rsidP="00592982">
      <w:pPr>
        <w:pStyle w:val="TOC2"/>
        <w:rPr>
          <w:rFonts w:cstheme="minorBidi"/>
          <w:b w:val="0"/>
          <w:bCs w:val="0"/>
          <w:sz w:val="22"/>
          <w:szCs w:val="22"/>
          <w:rtl/>
        </w:rPr>
      </w:pPr>
      <w:hyperlink w:anchor="_Toc137741979" w:history="1">
        <w:r w:rsidR="00592982" w:rsidRPr="00472C69">
          <w:rPr>
            <w:rStyle w:val="Hyperlink"/>
            <w:rtl/>
          </w:rPr>
          <w:t>ספק הפרמ"ג באוכל מאוכל לאלתר אי מותר אף בנפה</w:t>
        </w:r>
      </w:hyperlink>
    </w:p>
    <w:p w14:paraId="0CFE979E" w14:textId="77777777" w:rsidR="00592982" w:rsidRDefault="00AD16A0" w:rsidP="00ED704E">
      <w:pPr>
        <w:pStyle w:val="TOC3"/>
        <w:rPr>
          <w:rFonts w:asciiTheme="minorHAnsi" w:eastAsiaTheme="minorEastAsia" w:hAnsiTheme="minorHAnsi" w:cstheme="minorBidi"/>
          <w:sz w:val="22"/>
          <w:szCs w:val="22"/>
          <w:rtl/>
        </w:rPr>
      </w:pPr>
      <w:hyperlink w:anchor="_Toc137741980" w:history="1">
        <w:r w:rsidR="00592982" w:rsidRPr="00472C69">
          <w:rPr>
            <w:rStyle w:val="Hyperlink"/>
            <w:rtl/>
          </w:rPr>
          <w:t>ספק הפרמ"ג בב' מינים לאלתר אי מותר לברור בנפה דכל חיוב נפה רק באוכל ופסולת</w:t>
        </w:r>
      </w:hyperlink>
    </w:p>
    <w:p w14:paraId="1E0B4744" w14:textId="77777777" w:rsidR="00592982" w:rsidRDefault="00AD16A0" w:rsidP="00592982">
      <w:pPr>
        <w:pStyle w:val="TOC2"/>
        <w:rPr>
          <w:rFonts w:cstheme="minorBidi"/>
          <w:b w:val="0"/>
          <w:bCs w:val="0"/>
          <w:sz w:val="22"/>
          <w:szCs w:val="22"/>
          <w:rtl/>
        </w:rPr>
      </w:pPr>
      <w:hyperlink w:anchor="_Toc137741981" w:history="1">
        <w:r w:rsidR="00592982" w:rsidRPr="00472C69">
          <w:rPr>
            <w:rStyle w:val="Hyperlink"/>
            <w:rtl/>
          </w:rPr>
          <w:t>בי' הביה"ל ברמב"ם דגדר בורר באוכל מאוכל בהפרדתם</w:t>
        </w:r>
      </w:hyperlink>
    </w:p>
    <w:p w14:paraId="31B9BE64" w14:textId="77777777" w:rsidR="00592982" w:rsidRDefault="00AD16A0" w:rsidP="00ED704E">
      <w:pPr>
        <w:pStyle w:val="TOC3"/>
        <w:rPr>
          <w:rFonts w:asciiTheme="minorHAnsi" w:eastAsiaTheme="minorEastAsia" w:hAnsiTheme="minorHAnsi" w:cstheme="minorBidi"/>
          <w:sz w:val="22"/>
          <w:szCs w:val="22"/>
          <w:rtl/>
        </w:rPr>
      </w:pPr>
      <w:hyperlink w:anchor="_Toc137741982" w:history="1">
        <w:r w:rsidR="00592982" w:rsidRPr="00472C69">
          <w:rPr>
            <w:rStyle w:val="Hyperlink"/>
            <w:rtl/>
          </w:rPr>
          <w:t>בי' הביה"ל דמוכח ברמב"ם דגדר בורר הוא הפרדת המינים א' מהב' בכל אוכל מאוכל יש ברירה</w:t>
        </w:r>
      </w:hyperlink>
    </w:p>
    <w:p w14:paraId="3DC9CF21" w14:textId="77777777" w:rsidR="00592982" w:rsidRDefault="00AD16A0" w:rsidP="00ED704E">
      <w:pPr>
        <w:pStyle w:val="TOC3"/>
        <w:rPr>
          <w:rFonts w:asciiTheme="minorHAnsi" w:eastAsiaTheme="minorEastAsia" w:hAnsiTheme="minorHAnsi" w:cstheme="minorBidi"/>
          <w:sz w:val="22"/>
          <w:szCs w:val="22"/>
          <w:rtl/>
        </w:rPr>
      </w:pPr>
      <w:hyperlink w:anchor="_Toc137741983" w:history="1">
        <w:r w:rsidR="00592982" w:rsidRPr="00472C69">
          <w:rPr>
            <w:rStyle w:val="Hyperlink"/>
            <w:rtl/>
          </w:rPr>
          <w:t>בי' הביה"ל בשם הרד"ע ברמב"ם דבנוטל את המין שרוצה לאח"ז מותר דל"ה פסולת ממש</w:t>
        </w:r>
      </w:hyperlink>
    </w:p>
    <w:p w14:paraId="021C05CD" w14:textId="77777777" w:rsidR="00592982" w:rsidRDefault="00AD16A0" w:rsidP="00ED704E">
      <w:pPr>
        <w:pStyle w:val="TOC3"/>
        <w:rPr>
          <w:rFonts w:asciiTheme="minorHAnsi" w:eastAsiaTheme="minorEastAsia" w:hAnsiTheme="minorHAnsi" w:cstheme="minorBidi"/>
          <w:sz w:val="22"/>
          <w:szCs w:val="22"/>
          <w:rtl/>
        </w:rPr>
      </w:pPr>
      <w:hyperlink w:anchor="_Toc137741984" w:history="1">
        <w:r w:rsidR="00592982" w:rsidRPr="00472C69">
          <w:rPr>
            <w:rStyle w:val="Hyperlink"/>
            <w:rtl/>
          </w:rPr>
          <w:t>בי' המגלת ספר ברמב"ם מודה לרש"י דלאלתר מותר ביד במין שאינו רוצה דל"ה פסולת ממש</w:t>
        </w:r>
      </w:hyperlink>
    </w:p>
    <w:p w14:paraId="081730AA" w14:textId="77777777" w:rsidR="00592982" w:rsidRDefault="00AD16A0" w:rsidP="00592982">
      <w:pPr>
        <w:pStyle w:val="TOC2"/>
        <w:rPr>
          <w:rFonts w:cstheme="minorBidi"/>
          <w:b w:val="0"/>
          <w:bCs w:val="0"/>
          <w:sz w:val="22"/>
          <w:szCs w:val="22"/>
          <w:rtl/>
        </w:rPr>
      </w:pPr>
      <w:hyperlink w:anchor="_Toc137741985" w:history="1">
        <w:r w:rsidR="00592982" w:rsidRPr="00472C69">
          <w:rPr>
            <w:rStyle w:val="Hyperlink"/>
            <w:rtl/>
          </w:rPr>
          <w:t>בדין בורר בב' מיני אוכלין שלא לצורך אכילה כלל או לאח"ז</w:t>
        </w:r>
      </w:hyperlink>
    </w:p>
    <w:p w14:paraId="7CB29D28" w14:textId="77777777" w:rsidR="00592982" w:rsidRDefault="00AD16A0" w:rsidP="00ED704E">
      <w:pPr>
        <w:pStyle w:val="TOC3"/>
        <w:rPr>
          <w:rFonts w:asciiTheme="minorHAnsi" w:eastAsiaTheme="minorEastAsia" w:hAnsiTheme="minorHAnsi" w:cstheme="minorBidi"/>
          <w:sz w:val="22"/>
          <w:szCs w:val="22"/>
          <w:rtl/>
        </w:rPr>
      </w:pPr>
      <w:hyperlink w:anchor="_Toc137741986" w:history="1">
        <w:r w:rsidR="00592982" w:rsidRPr="00472C69">
          <w:rPr>
            <w:rStyle w:val="Hyperlink"/>
            <w:rtl/>
          </w:rPr>
          <w:t>בי' הפרמ"ג דבאוכל מאוכל שאינו רוצה לאוכלם עכשיו מותר כדכמוכח מבריררת חלמון וחלבון</w:t>
        </w:r>
      </w:hyperlink>
    </w:p>
    <w:p w14:paraId="6B440F97" w14:textId="77777777" w:rsidR="00592982" w:rsidRDefault="00AD16A0" w:rsidP="00ED704E">
      <w:pPr>
        <w:pStyle w:val="TOC3"/>
        <w:rPr>
          <w:rFonts w:asciiTheme="minorHAnsi" w:eastAsiaTheme="minorEastAsia" w:hAnsiTheme="minorHAnsi" w:cstheme="minorBidi"/>
          <w:sz w:val="22"/>
          <w:szCs w:val="22"/>
          <w:rtl/>
        </w:rPr>
      </w:pPr>
      <w:hyperlink w:anchor="_Toc137741987" w:history="1">
        <w:r w:rsidR="00592982" w:rsidRPr="00472C69">
          <w:rPr>
            <w:rStyle w:val="Hyperlink"/>
            <w:rtl/>
          </w:rPr>
          <w:t>דחיית הביה"ל דבחלמון וחלבון אינו רוצה אותם לאכילה כלל אבל באכילה לאח"ז הוי בורר</w:t>
        </w:r>
      </w:hyperlink>
    </w:p>
    <w:p w14:paraId="2D16FF87" w14:textId="77777777" w:rsidR="00592982" w:rsidRDefault="00AD16A0" w:rsidP="00592982">
      <w:pPr>
        <w:pStyle w:val="TOC1"/>
        <w:rPr>
          <w:rFonts w:asciiTheme="minorHAnsi" w:hAnsiTheme="minorHAnsi" w:cstheme="minorBidi"/>
          <w:b w:val="0"/>
          <w:bCs w:val="0"/>
          <w:caps w:val="0"/>
          <w:sz w:val="22"/>
          <w:szCs w:val="22"/>
          <w:rtl/>
        </w:rPr>
      </w:pPr>
      <w:hyperlink w:anchor="_Toc137741988" w:history="1">
        <w:r w:rsidR="00592982" w:rsidRPr="00472C69">
          <w:rPr>
            <w:rStyle w:val="Hyperlink"/>
            <w:rtl/>
          </w:rPr>
          <w:t>בבורר בב' מינים אי חשיב צריך לגופה</w:t>
        </w:r>
      </w:hyperlink>
    </w:p>
    <w:p w14:paraId="6655B8A1" w14:textId="77777777" w:rsidR="00592982" w:rsidRDefault="00AD16A0" w:rsidP="00592982">
      <w:pPr>
        <w:pStyle w:val="TOC2"/>
        <w:rPr>
          <w:rFonts w:cstheme="minorBidi"/>
          <w:b w:val="0"/>
          <w:bCs w:val="0"/>
          <w:sz w:val="22"/>
          <w:szCs w:val="22"/>
          <w:rtl/>
        </w:rPr>
      </w:pPr>
      <w:hyperlink w:anchor="_Toc137741989" w:history="1">
        <w:r w:rsidR="00592982" w:rsidRPr="00472C69">
          <w:rPr>
            <w:rStyle w:val="Hyperlink"/>
            <w:rtl/>
          </w:rPr>
          <w:t>בגדר המלאכה בב' מינים אי מתקן האוכל או דהוא אצל"ג</w:t>
        </w:r>
      </w:hyperlink>
    </w:p>
    <w:p w14:paraId="0198E97C" w14:textId="77777777" w:rsidR="00592982" w:rsidRDefault="00AD16A0" w:rsidP="00ED704E">
      <w:pPr>
        <w:pStyle w:val="TOC3"/>
        <w:rPr>
          <w:rFonts w:asciiTheme="minorHAnsi" w:eastAsiaTheme="minorEastAsia" w:hAnsiTheme="minorHAnsi" w:cstheme="minorBidi"/>
          <w:sz w:val="22"/>
          <w:szCs w:val="22"/>
          <w:rtl/>
        </w:rPr>
      </w:pPr>
      <w:hyperlink w:anchor="_Toc137741990" w:history="1">
        <w:r w:rsidR="00592982" w:rsidRPr="00472C69">
          <w:rPr>
            <w:rStyle w:val="Hyperlink"/>
            <w:rtl/>
          </w:rPr>
          <w:t>בי' הישועות יעקב דבורר הוא תיקון האוכל אבל בב' מיני אוכלין הוא מלאכה שא"צ לגופה</w:t>
        </w:r>
      </w:hyperlink>
    </w:p>
    <w:p w14:paraId="6241EA39" w14:textId="77777777" w:rsidR="00592982" w:rsidRDefault="00AD16A0" w:rsidP="00ED704E">
      <w:pPr>
        <w:pStyle w:val="TOC3"/>
        <w:rPr>
          <w:rFonts w:asciiTheme="minorHAnsi" w:eastAsiaTheme="minorEastAsia" w:hAnsiTheme="minorHAnsi" w:cstheme="minorBidi"/>
          <w:sz w:val="22"/>
          <w:szCs w:val="22"/>
          <w:rtl/>
        </w:rPr>
      </w:pPr>
      <w:hyperlink w:anchor="_Toc137741991" w:history="1">
        <w:r w:rsidR="00592982" w:rsidRPr="00472C69">
          <w:rPr>
            <w:rStyle w:val="Hyperlink"/>
            <w:rtl/>
          </w:rPr>
          <w:t>בי' הביה"ל דמוכח ברא"ש דאף בב' מיני אוכלין צריך לגוף תיקון המין שרוצה אותו והוי צל"ג</w:t>
        </w:r>
      </w:hyperlink>
    </w:p>
    <w:p w14:paraId="15C3850C" w14:textId="77777777" w:rsidR="00592982" w:rsidRDefault="00AD16A0" w:rsidP="00592982">
      <w:pPr>
        <w:pStyle w:val="TOC1"/>
        <w:rPr>
          <w:rFonts w:asciiTheme="minorHAnsi" w:hAnsiTheme="minorHAnsi" w:cstheme="minorBidi"/>
          <w:b w:val="0"/>
          <w:bCs w:val="0"/>
          <w:caps w:val="0"/>
          <w:sz w:val="22"/>
          <w:szCs w:val="22"/>
          <w:rtl/>
        </w:rPr>
      </w:pPr>
      <w:hyperlink w:anchor="_Toc137741992" w:history="1">
        <w:r w:rsidR="00592982" w:rsidRPr="00472C69">
          <w:rPr>
            <w:rStyle w:val="Hyperlink"/>
            <w:rtl/>
          </w:rPr>
          <w:t>בבורר במין אחד אי מה שמניח כפסולת</w:t>
        </w:r>
      </w:hyperlink>
    </w:p>
    <w:p w14:paraId="08D3D15D" w14:textId="77777777" w:rsidR="00592982" w:rsidRDefault="00AD16A0" w:rsidP="00592982">
      <w:pPr>
        <w:pStyle w:val="TOC2"/>
        <w:rPr>
          <w:rFonts w:cstheme="minorBidi"/>
          <w:b w:val="0"/>
          <w:bCs w:val="0"/>
          <w:sz w:val="22"/>
          <w:szCs w:val="22"/>
          <w:rtl/>
        </w:rPr>
      </w:pPr>
      <w:hyperlink w:anchor="_Toc137741993" w:history="1">
        <w:r w:rsidR="00592982" w:rsidRPr="00472C69">
          <w:rPr>
            <w:rStyle w:val="Hyperlink"/>
            <w:rtl/>
          </w:rPr>
          <w:t>בי' התרוה"ד דבמין אחד אין ברירה ובי' הט"ז דיש ברירה</w:t>
        </w:r>
      </w:hyperlink>
    </w:p>
    <w:p w14:paraId="41139282" w14:textId="77777777" w:rsidR="00592982" w:rsidRDefault="00AD16A0" w:rsidP="00ED704E">
      <w:pPr>
        <w:pStyle w:val="TOC3"/>
        <w:rPr>
          <w:rFonts w:asciiTheme="minorHAnsi" w:eastAsiaTheme="minorEastAsia" w:hAnsiTheme="minorHAnsi" w:cstheme="minorBidi"/>
          <w:sz w:val="22"/>
          <w:szCs w:val="22"/>
          <w:rtl/>
        </w:rPr>
      </w:pPr>
      <w:hyperlink w:anchor="_Toc137741994" w:history="1">
        <w:r w:rsidR="00592982" w:rsidRPr="00472C69">
          <w:rPr>
            <w:rStyle w:val="Hyperlink"/>
            <w:rtl/>
          </w:rPr>
          <w:t>בי' התרוה"ד דמדגרסי' "שני" מינים מבו' דבמין א' לא שייכא ברירה כלל אף בגדולות מקטנות</w:t>
        </w:r>
      </w:hyperlink>
    </w:p>
    <w:p w14:paraId="26E86822" w14:textId="77777777" w:rsidR="00592982" w:rsidRDefault="00AD16A0" w:rsidP="00ED704E">
      <w:pPr>
        <w:pStyle w:val="TOC3"/>
        <w:rPr>
          <w:rFonts w:asciiTheme="minorHAnsi" w:eastAsiaTheme="minorEastAsia" w:hAnsiTheme="minorHAnsi" w:cstheme="minorBidi"/>
          <w:sz w:val="22"/>
          <w:szCs w:val="22"/>
          <w:rtl/>
        </w:rPr>
      </w:pPr>
      <w:hyperlink w:anchor="_Toc137741995" w:history="1">
        <w:r w:rsidR="00592982" w:rsidRPr="00472C69">
          <w:rPr>
            <w:rStyle w:val="Hyperlink"/>
            <w:rtl/>
          </w:rPr>
          <w:t>בי' המג"א דבראויין לאכילה ע"י הדחק אסור מדרבנן כמבו' במ"מ דבכה"ג אסור אך אי"ז בורר</w:t>
        </w:r>
      </w:hyperlink>
    </w:p>
    <w:p w14:paraId="3CEFB133" w14:textId="77777777" w:rsidR="00592982" w:rsidRDefault="00AD16A0" w:rsidP="00ED704E">
      <w:pPr>
        <w:pStyle w:val="TOC3"/>
        <w:rPr>
          <w:rFonts w:asciiTheme="minorHAnsi" w:eastAsiaTheme="minorEastAsia" w:hAnsiTheme="minorHAnsi" w:cstheme="minorBidi"/>
          <w:sz w:val="22"/>
          <w:szCs w:val="22"/>
          <w:rtl/>
        </w:rPr>
      </w:pPr>
      <w:hyperlink w:anchor="_Toc137741996" w:history="1">
        <w:r w:rsidR="00592982" w:rsidRPr="00472C69">
          <w:rPr>
            <w:rStyle w:val="Hyperlink"/>
            <w:rtl/>
          </w:rPr>
          <w:t>בי' הפרמ"ג דבמין א' מותר לברור אף שאינו רוצה א' מהם עתה וספק אי בנפה חייב או מותר</w:t>
        </w:r>
      </w:hyperlink>
    </w:p>
    <w:p w14:paraId="526DCAFE" w14:textId="77777777" w:rsidR="00592982" w:rsidRDefault="00AD16A0" w:rsidP="00ED704E">
      <w:pPr>
        <w:pStyle w:val="TOC3"/>
        <w:rPr>
          <w:rFonts w:asciiTheme="minorHAnsi" w:eastAsiaTheme="minorEastAsia" w:hAnsiTheme="minorHAnsi" w:cstheme="minorBidi"/>
          <w:sz w:val="22"/>
          <w:szCs w:val="22"/>
          <w:rtl/>
        </w:rPr>
      </w:pPr>
      <w:hyperlink w:anchor="_Toc137741997" w:history="1">
        <w:r w:rsidR="00592982" w:rsidRPr="00472C69">
          <w:rPr>
            <w:rStyle w:val="Hyperlink"/>
            <w:rtl/>
          </w:rPr>
          <w:t>בי' הט"ז דאף במין אחד יש ברירה דכל שמניח ואינו רוצה ליטול הוי כפסולת אף בחתיכות שוות</w:t>
        </w:r>
      </w:hyperlink>
    </w:p>
    <w:p w14:paraId="59114777" w14:textId="77777777" w:rsidR="00592982" w:rsidRDefault="00AD16A0" w:rsidP="00ED704E">
      <w:pPr>
        <w:pStyle w:val="TOC3"/>
        <w:rPr>
          <w:rFonts w:asciiTheme="minorHAnsi" w:eastAsiaTheme="minorEastAsia" w:hAnsiTheme="minorHAnsi" w:cstheme="minorBidi"/>
          <w:sz w:val="22"/>
          <w:szCs w:val="22"/>
          <w:rtl/>
        </w:rPr>
      </w:pPr>
      <w:hyperlink w:anchor="_Toc137741998" w:history="1">
        <w:r w:rsidR="00592982" w:rsidRPr="00472C69">
          <w:rPr>
            <w:rStyle w:val="Hyperlink"/>
            <w:rtl/>
          </w:rPr>
          <w:t>בי' הט"ז דבדברי התרוה"ד בשם א' מהגדולים וכן במהרי"ל וביש"ש מבו' דיש בורר במין אחד</w:t>
        </w:r>
      </w:hyperlink>
    </w:p>
    <w:p w14:paraId="06EF8E3B" w14:textId="77777777" w:rsidR="00592982" w:rsidRDefault="00AD16A0" w:rsidP="00ED704E">
      <w:pPr>
        <w:pStyle w:val="TOC3"/>
        <w:rPr>
          <w:rFonts w:asciiTheme="minorHAnsi" w:eastAsiaTheme="minorEastAsia" w:hAnsiTheme="minorHAnsi" w:cstheme="minorBidi"/>
          <w:sz w:val="22"/>
          <w:szCs w:val="22"/>
          <w:rtl/>
        </w:rPr>
      </w:pPr>
      <w:hyperlink w:anchor="_Toc137741999" w:history="1">
        <w:r w:rsidR="00592982" w:rsidRPr="00472C69">
          <w:rPr>
            <w:rStyle w:val="Hyperlink"/>
            <w:rtl/>
          </w:rPr>
          <w:t>דחיית המג"א דבמצ</w:t>
        </w:r>
        <w:r w:rsidR="00592982" w:rsidRPr="00472C69">
          <w:rPr>
            <w:rStyle w:val="Hyperlink"/>
            <w:rtl/>
          </w:rPr>
          <w:t>ו</w:t>
        </w:r>
        <w:r w:rsidR="00592982" w:rsidRPr="00472C69">
          <w:rPr>
            <w:rStyle w:val="Hyperlink"/>
            <w:rtl/>
          </w:rPr>
          <w:t>ת אוסר המהריל לברור כיון דהקטנות נעשות קמח והם כב' מינים</w:t>
        </w:r>
      </w:hyperlink>
    </w:p>
    <w:p w14:paraId="2F30136C" w14:textId="77777777" w:rsidR="00592982" w:rsidRDefault="00592982" w:rsidP="00592982">
      <w:pPr>
        <w:keepNext/>
        <w:keepLines/>
        <w:spacing w:after="0" w:line="240" w:lineRule="auto"/>
        <w:jc w:val="center"/>
        <w:outlineLvl w:val="1"/>
        <w:rPr>
          <w:rFonts w:eastAsiaTheme="minorHAnsi" w:cs="Guttman Hodes"/>
          <w:b/>
          <w:bCs/>
          <w:noProof/>
          <w:sz w:val="14"/>
          <w:szCs w:val="14"/>
          <w:rtl/>
        </w:rPr>
        <w:sectPr w:rsidR="00592982" w:rsidSect="00CA28B3">
          <w:headerReference w:type="even" r:id="rId99"/>
          <w:headerReference w:type="default" r:id="rId100"/>
          <w:footerReference w:type="even" r:id="rId101"/>
          <w:footerReference w:type="default" r:id="rId102"/>
          <w:headerReference w:type="first" r:id="rId103"/>
          <w:footerReference w:type="first" r:id="rId104"/>
          <w:type w:val="continuous"/>
          <w:pgSz w:w="11906" w:h="16838"/>
          <w:pgMar w:top="720" w:right="720" w:bottom="720" w:left="720" w:header="283" w:footer="283" w:gutter="0"/>
          <w:cols w:num="2" w:space="113"/>
          <w:titlePg/>
          <w:bidi/>
          <w:rtlGutter/>
          <w:docGrid w:linePitch="299"/>
        </w:sectPr>
      </w:pPr>
      <w:r w:rsidRPr="00224A5A">
        <w:rPr>
          <w:rFonts w:eastAsiaTheme="minorHAnsi" w:cs="Guttman Hodes"/>
          <w:b/>
          <w:bCs/>
          <w:noProof/>
          <w:sz w:val="14"/>
          <w:szCs w:val="14"/>
          <w:rtl/>
        </w:rPr>
        <w:fldChar w:fldCharType="end"/>
      </w:r>
    </w:p>
    <w:p w14:paraId="6265F398" w14:textId="77777777" w:rsidR="00592982" w:rsidRPr="00224A5A" w:rsidRDefault="00592982" w:rsidP="00592982">
      <w:pPr>
        <w:keepNext/>
        <w:keepLines/>
        <w:spacing w:after="0" w:line="240" w:lineRule="auto"/>
        <w:jc w:val="center"/>
        <w:outlineLvl w:val="1"/>
        <w:rPr>
          <w:rFonts w:ascii="FrankRuehl" w:eastAsia="Guttman Adii-Light" w:hAnsi="FrankRuehl" w:cs="Guttman Hodes"/>
          <w:b/>
          <w:bCs/>
          <w:noProof/>
          <w:sz w:val="24"/>
          <w:szCs w:val="24"/>
          <w:rtl/>
        </w:rPr>
        <w:sectPr w:rsidR="00592982" w:rsidRPr="00224A5A" w:rsidSect="00CA28B3">
          <w:type w:val="continuous"/>
          <w:pgSz w:w="11906" w:h="16838"/>
          <w:pgMar w:top="720" w:right="720" w:bottom="720" w:left="720" w:header="283" w:footer="283" w:gutter="0"/>
          <w:cols w:num="2" w:space="113"/>
          <w:titlePg/>
          <w:bidi/>
          <w:rtlGutter/>
          <w:docGrid w:linePitch="299"/>
        </w:sectPr>
      </w:pPr>
    </w:p>
    <w:p w14:paraId="7C3EF47E" w14:textId="77777777" w:rsidR="00592982" w:rsidRPr="00224A5A" w:rsidRDefault="00592982" w:rsidP="00592982">
      <w:pPr>
        <w:spacing w:before="240" w:after="0" w:line="360" w:lineRule="auto"/>
        <w:jc w:val="center"/>
        <w:outlineLvl w:val="1"/>
        <w:rPr>
          <w:rFonts w:ascii="Guttman Adii-Light" w:eastAsia="Guttman Adii-Light" w:hAnsi="Guttman Adii-Light" w:cs="Guttman Hodes"/>
          <w:b/>
          <w:bCs/>
          <w:sz w:val="18"/>
          <w:szCs w:val="28"/>
          <w:rtl/>
        </w:rPr>
        <w:sectPr w:rsidR="00592982" w:rsidRPr="00224A5A" w:rsidSect="00CA28B3">
          <w:pgSz w:w="11906" w:h="16838"/>
          <w:pgMar w:top="720" w:right="720" w:bottom="720" w:left="720" w:header="283" w:footer="283" w:gutter="0"/>
          <w:cols w:space="720"/>
          <w:bidi/>
          <w:rtlGutter/>
          <w:docGrid w:linePitch="299"/>
        </w:sectPr>
      </w:pPr>
      <w:r w:rsidRPr="00224A5A">
        <w:rPr>
          <w:rFonts w:ascii="Guttman Adii-Light" w:eastAsia="Guttman Adii-Light" w:hAnsi="Guttman Adii-Light" w:cs="Guttman Hodes" w:hint="cs"/>
          <w:b/>
          <w:bCs/>
          <w:sz w:val="18"/>
          <w:szCs w:val="28"/>
          <w:rtl/>
        </w:rPr>
        <w:lastRenderedPageBreak/>
        <w:t>~~~</w:t>
      </w:r>
      <w:r w:rsidRPr="00224A5A">
        <w:rPr>
          <w:rFonts w:ascii="Guttman Adii-Light" w:eastAsia="Guttman Adii-Light" w:hAnsi="Guttman Adii-Light" w:cs="Guttman Hodes"/>
          <w:b/>
          <w:bCs/>
          <w:noProof/>
          <w:sz w:val="18"/>
          <w:szCs w:val="28"/>
          <w:rtl/>
        </w:rPr>
        <w:t>~~</w:t>
      </w:r>
      <w:r w:rsidRPr="00224A5A">
        <w:rPr>
          <w:rFonts w:ascii="Guttman Adii-Light" w:eastAsia="Guttman Adii-Light" w:hAnsi="Guttman Adii-Light" w:cs="Guttman Hodes" w:hint="cs"/>
          <w:b/>
          <w:bCs/>
          <w:sz w:val="18"/>
          <w:szCs w:val="28"/>
          <w:rtl/>
        </w:rPr>
        <w:t>~~ מראי מקומות וביאורים ~~~</w:t>
      </w:r>
      <w:r w:rsidRPr="00224A5A">
        <w:rPr>
          <w:rFonts w:ascii="Guttman Adii-Light" w:eastAsia="Guttman Adii-Light" w:hAnsi="Guttman Adii-Light" w:cs="Guttman Hodes"/>
          <w:b/>
          <w:bCs/>
          <w:noProof/>
          <w:sz w:val="18"/>
          <w:szCs w:val="28"/>
          <w:rtl/>
        </w:rPr>
        <w:t>~~</w:t>
      </w:r>
      <w:r w:rsidRPr="00224A5A">
        <w:rPr>
          <w:rFonts w:ascii="Guttman Adii-Light" w:eastAsia="Guttman Adii-Light" w:hAnsi="Guttman Adii-Light" w:cs="Guttman Hodes" w:hint="cs"/>
          <w:b/>
          <w:bCs/>
          <w:sz w:val="18"/>
          <w:szCs w:val="28"/>
          <w:rtl/>
        </w:rPr>
        <w:t>~~</w:t>
      </w:r>
    </w:p>
    <w:p w14:paraId="163683A8" w14:textId="77777777" w:rsidR="00592982" w:rsidRPr="00224A5A" w:rsidRDefault="00592982" w:rsidP="00592982">
      <w:pPr>
        <w:pStyle w:val="affff5"/>
        <w:rPr>
          <w:rtl/>
        </w:rPr>
      </w:pPr>
      <w:bookmarkStart w:id="2148" w:name="_Toc137741915"/>
      <w:r>
        <w:rPr>
          <w:rFonts w:hint="cs"/>
          <w:rtl/>
        </w:rPr>
        <w:t>בד' רש"י אי יש בורר באוכל מתוך אוכל</w:t>
      </w:r>
      <w:bookmarkEnd w:id="2148"/>
    </w:p>
    <w:p w14:paraId="44657D80" w14:textId="77777777" w:rsidR="00592982" w:rsidRPr="00224A5A" w:rsidRDefault="00592982" w:rsidP="00592982">
      <w:pPr>
        <w:pStyle w:val="1"/>
        <w:rPr>
          <w:rtl/>
        </w:rPr>
      </w:pPr>
      <w:bookmarkStart w:id="2149" w:name="_Toc137741916"/>
      <w:r>
        <w:rPr>
          <w:rFonts w:hint="cs"/>
          <w:rtl/>
        </w:rPr>
        <w:t>הסוברים דלרש"י אין ברירה באוכל מתוך אוכל ולכן ל"ג "שני"</w:t>
      </w:r>
      <w:bookmarkEnd w:id="2149"/>
      <w:r>
        <w:rPr>
          <w:rFonts w:hint="cs"/>
          <w:rtl/>
        </w:rPr>
        <w:t xml:space="preserve"> </w:t>
      </w:r>
    </w:p>
    <w:p w14:paraId="048C7D8E" w14:textId="77777777" w:rsidR="00592982" w:rsidRDefault="00592982" w:rsidP="00592982">
      <w:pPr>
        <w:pStyle w:val="afffff7"/>
        <w:rPr>
          <w:rtl/>
        </w:rPr>
      </w:pPr>
      <w:bookmarkStart w:id="2150" w:name="_Toc137742000"/>
      <w:bookmarkStart w:id="2151" w:name="_Toc163505767"/>
      <w:r w:rsidRPr="007950F1">
        <w:rPr>
          <w:rFonts w:hint="cs"/>
          <w:rtl/>
        </w:rPr>
        <w:t xml:space="preserve">רש"י </w:t>
      </w:r>
      <w:r>
        <w:rPr>
          <w:rtl/>
        </w:rPr>
        <w:t>רש"י שבת ע"ד ע"א</w:t>
      </w:r>
      <w:r>
        <w:rPr>
          <w:rFonts w:hint="cs"/>
          <w:rtl/>
        </w:rPr>
        <w:t xml:space="preserve"> ד"ה היו</w:t>
      </w:r>
      <w:bookmarkEnd w:id="2150"/>
      <w:bookmarkEnd w:id="2151"/>
    </w:p>
    <w:p w14:paraId="1CB97333" w14:textId="77777777" w:rsidR="00592982" w:rsidRDefault="00592982" w:rsidP="00592982">
      <w:pPr>
        <w:pStyle w:val="afffff7"/>
        <w:rPr>
          <w:rtl/>
        </w:rPr>
      </w:pPr>
      <w:bookmarkStart w:id="2152" w:name="_Toc137742001"/>
      <w:bookmarkStart w:id="2153" w:name="_Toc163505768"/>
      <w:r>
        <w:rPr>
          <w:rtl/>
        </w:rPr>
        <w:t>ר"ן על הרי"ף שבת ל"ב ע"א</w:t>
      </w:r>
      <w:r>
        <w:rPr>
          <w:rFonts w:hint="cs"/>
          <w:rtl/>
        </w:rPr>
        <w:t xml:space="preserve"> ד"ה היו</w:t>
      </w:r>
      <w:bookmarkEnd w:id="2152"/>
      <w:bookmarkEnd w:id="2153"/>
    </w:p>
    <w:p w14:paraId="1185315D" w14:textId="77777777" w:rsidR="00592982" w:rsidRDefault="00592982" w:rsidP="00592982">
      <w:pPr>
        <w:pStyle w:val="afffff7"/>
        <w:rPr>
          <w:rtl/>
        </w:rPr>
      </w:pPr>
      <w:bookmarkStart w:id="2154" w:name="_Toc137742002"/>
      <w:bookmarkStart w:id="2155" w:name="_Toc163505769"/>
      <w:r>
        <w:rPr>
          <w:rtl/>
        </w:rPr>
        <w:t xml:space="preserve">פסקי רי"ד שבת </w:t>
      </w:r>
      <w:r>
        <w:rPr>
          <w:rFonts w:hint="cs"/>
          <w:rtl/>
        </w:rPr>
        <w:t>עד ע"א ד"ה ת"ר</w:t>
      </w:r>
      <w:bookmarkEnd w:id="2154"/>
      <w:bookmarkEnd w:id="2155"/>
    </w:p>
    <w:p w14:paraId="3DC37B5A" w14:textId="77777777" w:rsidR="00592982" w:rsidRDefault="00592982" w:rsidP="00592982">
      <w:pPr>
        <w:pStyle w:val="afffff7"/>
        <w:rPr>
          <w:rtl/>
        </w:rPr>
      </w:pPr>
      <w:bookmarkStart w:id="2156" w:name="_Toc137742003"/>
      <w:bookmarkStart w:id="2157" w:name="_Toc163505770"/>
      <w:r>
        <w:rPr>
          <w:rtl/>
        </w:rPr>
        <w:t xml:space="preserve">אור זרוע </w:t>
      </w:r>
      <w:r>
        <w:rPr>
          <w:rFonts w:hint="cs"/>
          <w:rtl/>
        </w:rPr>
        <w:t>ח"ב</w:t>
      </w:r>
      <w:r>
        <w:rPr>
          <w:rtl/>
        </w:rPr>
        <w:t xml:space="preserve"> שבת סי</w:t>
      </w:r>
      <w:r>
        <w:rPr>
          <w:rFonts w:hint="cs"/>
          <w:rtl/>
        </w:rPr>
        <w:t>'</w:t>
      </w:r>
      <w:r>
        <w:rPr>
          <w:rtl/>
        </w:rPr>
        <w:t xml:space="preserve"> נט</w:t>
      </w:r>
      <w:r>
        <w:rPr>
          <w:rFonts w:hint="cs"/>
          <w:rtl/>
        </w:rPr>
        <w:t xml:space="preserve"> ד"ה ת"ר</w:t>
      </w:r>
      <w:bookmarkEnd w:id="2156"/>
      <w:bookmarkEnd w:id="2157"/>
    </w:p>
    <w:p w14:paraId="0F5FF8E0" w14:textId="77777777" w:rsidR="00592982" w:rsidRDefault="00592982" w:rsidP="00592982">
      <w:pPr>
        <w:pStyle w:val="a7"/>
        <w:rPr>
          <w:rtl/>
        </w:rPr>
      </w:pPr>
      <w:bookmarkStart w:id="2158" w:name="_Toc137741917"/>
      <w:r>
        <w:rPr>
          <w:rFonts w:hint="cs"/>
          <w:rtl/>
        </w:rPr>
        <w:t>בי' רש"י דל"ג בברייתא הראשונה "שני" מיני אוכלין וכן גירסת הר"ן והרי"ד והאו"ז</w:t>
      </w:r>
      <w:bookmarkEnd w:id="2158"/>
    </w:p>
    <w:p w14:paraId="6FDB604B" w14:textId="600B4A24" w:rsidR="00592982" w:rsidRDefault="00592982" w:rsidP="00BC7DC8">
      <w:pPr>
        <w:pStyle w:val="a3"/>
        <w:numPr>
          <w:ilvl w:val="0"/>
          <w:numId w:val="23"/>
        </w:numPr>
      </w:pPr>
      <w:bookmarkStart w:id="2159" w:name="_Ref137583936"/>
      <w:r>
        <w:rPr>
          <w:rFonts w:hint="cs"/>
          <w:rtl/>
        </w:rPr>
        <w:t xml:space="preserve">בהא דתניא </w:t>
      </w:r>
      <w:r>
        <w:rPr>
          <w:rtl/>
        </w:rPr>
        <w:t>היו לפניו מיני אוכלין בורר ואוכל בורר ומניח</w:t>
      </w:r>
      <w:r>
        <w:rPr>
          <w:rFonts w:hint="cs"/>
          <w:rtl/>
        </w:rPr>
        <w:t xml:space="preserve">, כתב </w:t>
      </w:r>
      <w:r w:rsidRPr="00BC7DC8">
        <w:rPr>
          <w:rFonts w:hint="cs"/>
          <w:vanish/>
          <w:rtl/>
        </w:rPr>
        <w:t xml:space="preserve">&lt;. </w:t>
      </w:r>
      <w:r w:rsidRPr="00BC7DC8">
        <w:rPr>
          <w:vanish/>
          <w:rtl/>
        </w:rPr>
        <w:fldChar w:fldCharType="begin"/>
      </w:r>
      <w:r w:rsidRPr="00BC7DC8">
        <w:rPr>
          <w:vanish/>
          <w:rtl/>
        </w:rPr>
        <w:instrText xml:space="preserve"> </w:instrText>
      </w:r>
      <w:r w:rsidRPr="00BC7DC8">
        <w:rPr>
          <w:rFonts w:hint="cs"/>
          <w:vanish/>
        </w:rPr>
        <w:instrText>REF</w:instrText>
      </w:r>
      <w:r w:rsidRPr="00BC7DC8">
        <w:rPr>
          <w:rFonts w:hint="cs"/>
          <w:vanish/>
          <w:rtl/>
        </w:rPr>
        <w:instrText xml:space="preserve"> _</w:instrText>
      </w:r>
      <w:r w:rsidRPr="00BC7DC8">
        <w:rPr>
          <w:rFonts w:hint="cs"/>
          <w:vanish/>
        </w:rPr>
        <w:instrText>Ref137583936 \r \h</w:instrText>
      </w:r>
      <w:r w:rsidRPr="00BC7DC8">
        <w:rPr>
          <w:vanish/>
          <w:rtl/>
        </w:rPr>
        <w:instrText xml:space="preserve"> </w:instrText>
      </w:r>
      <w:r w:rsidRPr="00112C74">
        <w:rPr>
          <w:vanish/>
          <w:rtl/>
        </w:rPr>
      </w:r>
      <w:r w:rsidRPr="00BC7DC8">
        <w:rPr>
          <w:vanish/>
          <w:rtl/>
        </w:rPr>
        <w:fldChar w:fldCharType="separate"/>
      </w:r>
      <w:r w:rsidR="00D82181">
        <w:rPr>
          <w:vanish/>
          <w:cs/>
        </w:rPr>
        <w:t>‎</w:t>
      </w:r>
      <w:r w:rsidR="00D82181">
        <w:rPr>
          <w:vanish/>
          <w:rtl/>
        </w:rPr>
        <w:t>א)</w:t>
      </w:r>
      <w:r w:rsidRPr="00BC7DC8">
        <w:rPr>
          <w:vanish/>
          <w:rtl/>
        </w:rPr>
        <w:fldChar w:fldCharType="end"/>
      </w:r>
      <w:r w:rsidRPr="00BC7DC8">
        <w:rPr>
          <w:rFonts w:hint="cs"/>
          <w:vanish/>
          <w:rtl/>
        </w:rPr>
        <w:t xml:space="preserve"> &gt;</w:t>
      </w:r>
      <w:r w:rsidRPr="00BC7DC8">
        <w:rPr>
          <w:rStyle w:val="aff4"/>
          <w:rFonts w:hint="cs"/>
          <w:vanish/>
          <w:rtl/>
        </w:rPr>
        <w:t>-</w:t>
      </w:r>
      <w:r w:rsidRPr="00A34B78">
        <w:rPr>
          <w:rStyle w:val="aff4"/>
          <w:rFonts w:hint="cs"/>
          <w:rtl/>
        </w:rPr>
        <w:t>רש"י</w:t>
      </w:r>
      <w:r w:rsidRPr="00BC7DC8">
        <w:rPr>
          <w:rStyle w:val="aff4"/>
          <w:rFonts w:hint="cs"/>
          <w:vanish/>
          <w:rtl/>
        </w:rPr>
        <w:t>-</w:t>
      </w:r>
      <w:r>
        <w:rPr>
          <w:rFonts w:hint="cs"/>
          <w:rtl/>
        </w:rPr>
        <w:t xml:space="preserve"> </w:t>
      </w:r>
      <w:r w:rsidRPr="00BC7DC8">
        <w:rPr>
          <w:rStyle w:val="af2"/>
          <w:rFonts w:eastAsia="Guttman Hodes" w:hint="cs"/>
          <w:rtl/>
        </w:rPr>
        <w:t>(ד"ה היו)</w:t>
      </w:r>
      <w:r w:rsidRPr="00BC7DC8">
        <w:rPr>
          <w:rFonts w:hint="cs"/>
          <w:vanish/>
          <w:rtl/>
        </w:rPr>
        <w:t>=</w:t>
      </w:r>
      <w:r>
        <w:rPr>
          <w:rFonts w:hint="cs"/>
          <w:rtl/>
        </w:rPr>
        <w:t xml:space="preserve"> דלא גרסינן "שני" מיני אוכלין, וכן היא גירסת </w:t>
      </w:r>
      <w:r w:rsidRPr="00BC7DC8">
        <w:rPr>
          <w:rStyle w:val="aff4"/>
          <w:rFonts w:hint="cs"/>
          <w:vanish/>
          <w:rtl/>
        </w:rPr>
        <w:t>-</w:t>
      </w:r>
      <w:r w:rsidRPr="00D16BB6">
        <w:rPr>
          <w:rStyle w:val="aff4"/>
          <w:rFonts w:hint="cs"/>
          <w:rtl/>
        </w:rPr>
        <w:t>ה</w:t>
      </w:r>
      <w:r w:rsidRPr="00BC7DC8">
        <w:rPr>
          <w:rStyle w:val="aff4"/>
          <w:rFonts w:hint="cs"/>
          <w:vanish/>
          <w:rtl/>
        </w:rPr>
        <w:t>&lt; &gt;</w:t>
      </w:r>
      <w:r w:rsidRPr="00D16BB6">
        <w:rPr>
          <w:rStyle w:val="aff4"/>
          <w:rFonts w:hint="cs"/>
          <w:rtl/>
        </w:rPr>
        <w:t>ר"ן על הרי"ף</w:t>
      </w:r>
      <w:r w:rsidRPr="00BC7DC8">
        <w:rPr>
          <w:rStyle w:val="aff4"/>
          <w:rFonts w:hint="cs"/>
          <w:vanish/>
          <w:rtl/>
        </w:rPr>
        <w:t>-</w:t>
      </w:r>
      <w:r>
        <w:rPr>
          <w:rFonts w:hint="cs"/>
          <w:rtl/>
        </w:rPr>
        <w:t xml:space="preserve"> </w:t>
      </w:r>
      <w:r w:rsidRPr="00BC7DC8">
        <w:rPr>
          <w:rStyle w:val="af2"/>
          <w:rFonts w:eastAsia="Guttman Hodes" w:hint="cs"/>
          <w:rtl/>
        </w:rPr>
        <w:t>(לב. מדה"ר ד"ה היו, מהדו' "עוז והדר" עמ' פ"ט)</w:t>
      </w:r>
      <w:r w:rsidRPr="00BC7DC8">
        <w:rPr>
          <w:rFonts w:hint="cs"/>
          <w:vanish/>
          <w:rtl/>
        </w:rPr>
        <w:t>=</w:t>
      </w:r>
      <w:r>
        <w:rPr>
          <w:rFonts w:hint="cs"/>
          <w:rtl/>
        </w:rPr>
        <w:t xml:space="preserve"> </w:t>
      </w:r>
      <w:r w:rsidRPr="00BC7DC8">
        <w:rPr>
          <w:rStyle w:val="aff4"/>
          <w:rFonts w:hint="cs"/>
          <w:vanish/>
          <w:rtl/>
        </w:rPr>
        <w:t>-</w:t>
      </w:r>
      <w:r w:rsidRPr="00D16BB6">
        <w:rPr>
          <w:rStyle w:val="aff4"/>
          <w:rFonts w:hint="cs"/>
          <w:rtl/>
        </w:rPr>
        <w:t>ו</w:t>
      </w:r>
      <w:r>
        <w:rPr>
          <w:rStyle w:val="aff4"/>
          <w:rFonts w:hint="cs"/>
          <w:rtl/>
        </w:rPr>
        <w:t>ה</w:t>
      </w:r>
      <w:r w:rsidRPr="00BC7DC8">
        <w:rPr>
          <w:rStyle w:val="aff4"/>
          <w:rFonts w:hint="cs"/>
          <w:vanish/>
          <w:rtl/>
        </w:rPr>
        <w:t>&lt; &gt;</w:t>
      </w:r>
      <w:r>
        <w:rPr>
          <w:rStyle w:val="aff4"/>
          <w:rFonts w:hint="cs"/>
          <w:rtl/>
        </w:rPr>
        <w:t>פסקי הרי"ד</w:t>
      </w:r>
      <w:r w:rsidRPr="00BC7DC8">
        <w:rPr>
          <w:rStyle w:val="aff4"/>
          <w:rFonts w:hint="cs"/>
          <w:vanish/>
          <w:rtl/>
        </w:rPr>
        <w:t>-</w:t>
      </w:r>
      <w:r>
        <w:rPr>
          <w:rFonts w:hint="cs"/>
          <w:rtl/>
        </w:rPr>
        <w:t xml:space="preserve"> </w:t>
      </w:r>
      <w:r w:rsidRPr="00BC7DC8">
        <w:rPr>
          <w:rStyle w:val="af2"/>
          <w:rFonts w:eastAsia="Guttman Hodes" w:hint="cs"/>
          <w:rtl/>
        </w:rPr>
        <w:t>(ד"ה ת"ר)</w:t>
      </w:r>
      <w:r w:rsidRPr="00BC7DC8">
        <w:rPr>
          <w:rFonts w:hint="cs"/>
          <w:vanish/>
          <w:rtl/>
        </w:rPr>
        <w:t>=</w:t>
      </w:r>
      <w:r>
        <w:rPr>
          <w:rFonts w:hint="cs"/>
          <w:rtl/>
        </w:rPr>
        <w:t xml:space="preserve"> </w:t>
      </w:r>
      <w:r w:rsidRPr="00BC7DC8">
        <w:rPr>
          <w:rStyle w:val="aff4"/>
          <w:rFonts w:hint="cs"/>
          <w:vanish/>
          <w:rtl/>
        </w:rPr>
        <w:t>-</w:t>
      </w:r>
      <w:r w:rsidRPr="00D16BB6">
        <w:rPr>
          <w:rStyle w:val="aff4"/>
          <w:rFonts w:hint="cs"/>
          <w:rtl/>
        </w:rPr>
        <w:t>וה</w:t>
      </w:r>
      <w:r w:rsidRPr="00BC7DC8">
        <w:rPr>
          <w:rStyle w:val="aff4"/>
          <w:rFonts w:hint="cs"/>
          <w:vanish/>
          <w:rtl/>
        </w:rPr>
        <w:t>&lt; &gt;</w:t>
      </w:r>
      <w:r w:rsidRPr="00D16BB6">
        <w:rPr>
          <w:rStyle w:val="aff4"/>
          <w:rFonts w:hint="cs"/>
          <w:rtl/>
        </w:rPr>
        <w:t>או"ז</w:t>
      </w:r>
      <w:r w:rsidRPr="00BC7DC8">
        <w:rPr>
          <w:rStyle w:val="aff4"/>
          <w:rFonts w:hint="cs"/>
          <w:vanish/>
          <w:rtl/>
        </w:rPr>
        <w:t>-</w:t>
      </w:r>
      <w:r>
        <w:rPr>
          <w:rFonts w:hint="cs"/>
          <w:rtl/>
        </w:rPr>
        <w:t xml:space="preserve"> </w:t>
      </w:r>
      <w:r w:rsidRPr="00BC7DC8">
        <w:rPr>
          <w:rStyle w:val="af2"/>
          <w:rFonts w:eastAsia="Guttman Hodes" w:hint="cs"/>
          <w:rtl/>
        </w:rPr>
        <w:t>(ח"ב שבת סי' נ"ט ד"ה ת"ר)</w:t>
      </w:r>
      <w:r w:rsidRPr="00BC7DC8">
        <w:rPr>
          <w:rFonts w:hint="cs"/>
          <w:vanish/>
          <w:rtl/>
        </w:rPr>
        <w:t>=</w:t>
      </w:r>
      <w:r>
        <w:rPr>
          <w:rFonts w:hint="cs"/>
          <w:rtl/>
        </w:rPr>
        <w:t>.</w:t>
      </w:r>
      <w:bookmarkEnd w:id="2159"/>
    </w:p>
    <w:p w14:paraId="4E0A22EB" w14:textId="77777777" w:rsidR="00592982" w:rsidRPr="00747170" w:rsidRDefault="00592982" w:rsidP="00747170">
      <w:pPr>
        <w:pStyle w:val="a2"/>
        <w:rPr>
          <w:rtl/>
        </w:rPr>
      </w:pPr>
      <w:bookmarkStart w:id="2160" w:name="_Ref136812051"/>
      <w:r w:rsidRPr="00747170">
        <w:rPr>
          <w:rtl/>
        </w:rPr>
        <w:t>היו לפניו מיני אוכלין - גרסינן, ולא גרסינן שני.</w:t>
      </w:r>
      <w:bookmarkEnd w:id="2160"/>
    </w:p>
    <w:p w14:paraId="75EA6D01" w14:textId="77777777" w:rsidR="00592982" w:rsidRPr="00C61A8D" w:rsidRDefault="00592982" w:rsidP="00747170">
      <w:pPr>
        <w:pStyle w:val="afffff5"/>
        <w:rPr>
          <w:rtl/>
        </w:rPr>
      </w:pPr>
      <w:r w:rsidRPr="00C61A8D">
        <w:rPr>
          <w:rtl/>
        </w:rPr>
        <w:t>תנו רבנן היו לפניו מיני אוכלין וכו' בורר ואוכל לאלתר. ודוקא ביד כמו שנפרש בסמוך בס"ד:</w:t>
      </w:r>
    </w:p>
    <w:p w14:paraId="3D64C530" w14:textId="77777777" w:rsidR="00592982" w:rsidRDefault="00592982" w:rsidP="00747170">
      <w:pPr>
        <w:pStyle w:val="afffff5"/>
        <w:rPr>
          <w:rtl/>
        </w:rPr>
      </w:pPr>
      <w:r>
        <w:rPr>
          <w:rtl/>
        </w:rPr>
        <w:t xml:space="preserve">ת"ר, היו לפניו מיני אוכלין בורר ואוכל בורר ומניח, לא יברור ואם בירר חייב חטאת. </w:t>
      </w:r>
    </w:p>
    <w:p w14:paraId="5DED85CC" w14:textId="77777777" w:rsidR="00592982" w:rsidRPr="00C61A8D" w:rsidRDefault="00592982" w:rsidP="00747170">
      <w:pPr>
        <w:pStyle w:val="afffff5"/>
        <w:rPr>
          <w:rtl/>
        </w:rPr>
      </w:pPr>
      <w:r w:rsidRPr="00C61A8D">
        <w:rPr>
          <w:rtl/>
        </w:rPr>
        <w:t xml:space="preserve">ת"ר היו לפניו מיני אוכלין בורר ואוכל בורר ומניח ולא יברור ואם בירר חייב חטאת </w:t>
      </w:r>
    </w:p>
    <w:p w14:paraId="7C32C842" w14:textId="36C4E88E" w:rsidR="00592982" w:rsidRDefault="00592982" w:rsidP="00592982">
      <w:pPr>
        <w:pStyle w:val="afffff7"/>
        <w:rPr>
          <w:rtl/>
        </w:rPr>
      </w:pPr>
      <w:bookmarkStart w:id="2161" w:name="_Toc137742004"/>
      <w:bookmarkStart w:id="2162" w:name="_Toc163505771"/>
      <w:r>
        <w:rPr>
          <w:rtl/>
        </w:rPr>
        <w:t>רש"י שבת ע"ד ע"א</w:t>
      </w:r>
      <w:r>
        <w:rPr>
          <w:rFonts w:hint="cs"/>
          <w:rtl/>
        </w:rPr>
        <w:t xml:space="preserve"> ד"ה והתניא</w:t>
      </w:r>
      <w:bookmarkEnd w:id="2161"/>
      <w:bookmarkEnd w:id="2162"/>
    </w:p>
    <w:p w14:paraId="4339946C" w14:textId="77777777" w:rsidR="00592982" w:rsidRPr="00D921CF" w:rsidRDefault="00592982" w:rsidP="00592982">
      <w:pPr>
        <w:pStyle w:val="afffff7"/>
        <w:rPr>
          <w:rtl/>
        </w:rPr>
      </w:pPr>
      <w:bookmarkStart w:id="2163" w:name="_Toc137742005"/>
      <w:bookmarkStart w:id="2164" w:name="_Toc163505772"/>
      <w:r w:rsidRPr="00D921CF">
        <w:rPr>
          <w:rtl/>
        </w:rPr>
        <w:t>ההשלמה שבת ע"ד ע"א</w:t>
      </w:r>
      <w:r w:rsidRPr="00D921CF">
        <w:rPr>
          <w:rFonts w:hint="cs"/>
          <w:rtl/>
        </w:rPr>
        <w:t xml:space="preserve"> אות ו' ד"ה הרב אלפסי</w:t>
      </w:r>
      <w:bookmarkEnd w:id="2163"/>
      <w:bookmarkEnd w:id="2164"/>
    </w:p>
    <w:p w14:paraId="12FFC43C" w14:textId="77777777" w:rsidR="00592982" w:rsidRDefault="00592982" w:rsidP="00592982">
      <w:pPr>
        <w:pStyle w:val="afffff7"/>
        <w:rPr>
          <w:rtl/>
        </w:rPr>
      </w:pPr>
      <w:bookmarkStart w:id="2165" w:name="_Toc137742006"/>
      <w:bookmarkStart w:id="2166" w:name="_Toc163505773"/>
      <w:r>
        <w:rPr>
          <w:rtl/>
        </w:rPr>
        <w:t>פרי מגדים אורח חיים משבצות זהב סי' שי</w:t>
      </w:r>
      <w:r>
        <w:rPr>
          <w:rFonts w:hint="cs"/>
          <w:rtl/>
        </w:rPr>
        <w:t>"</w:t>
      </w:r>
      <w:r>
        <w:rPr>
          <w:rtl/>
        </w:rPr>
        <w:t>ט ס"ק ב</w:t>
      </w:r>
      <w:bookmarkEnd w:id="2165"/>
      <w:bookmarkEnd w:id="2166"/>
    </w:p>
    <w:p w14:paraId="7917F2D5" w14:textId="77777777" w:rsidR="00592982" w:rsidRDefault="00592982" w:rsidP="00592982">
      <w:pPr>
        <w:pStyle w:val="a7"/>
        <w:rPr>
          <w:rtl/>
        </w:rPr>
      </w:pPr>
      <w:bookmarkStart w:id="2167" w:name="_Toc137741918"/>
      <w:r>
        <w:rPr>
          <w:rFonts w:hint="cs"/>
          <w:rtl/>
        </w:rPr>
        <w:t>פלו' האחרונים ברש"י אי בברייתא הב' דנחלקו רב אשי ורב ירמיה גרסינן "שני" מיני אוכלין</w:t>
      </w:r>
      <w:bookmarkEnd w:id="2167"/>
    </w:p>
    <w:p w14:paraId="26CBC8B2" w14:textId="3146615B" w:rsidR="00592982" w:rsidRPr="00135DFF" w:rsidRDefault="00592982" w:rsidP="00BC7DC8">
      <w:pPr>
        <w:pStyle w:val="a3"/>
        <w:rPr>
          <w:rtl/>
        </w:rPr>
      </w:pPr>
      <w:bookmarkStart w:id="2168" w:name="_Ref136812066"/>
      <w:r>
        <w:rPr>
          <w:rFonts w:hint="cs"/>
          <w:rtl/>
        </w:rPr>
        <w:t xml:space="preserve">אמנם בהמשך הגמ' דנחלקו רב אשי ורב ירמיה מדפתי בבורר ב' מיני אוכלין, דמקשה הגמ' על רב אשי דפוטר דהא תניא דחייב, כתב </w:t>
      </w:r>
      <w:r w:rsidRPr="00E90EF3">
        <w:rPr>
          <w:rFonts w:hint="cs"/>
          <w:vanish/>
          <w:rtl/>
        </w:rPr>
        <w:t xml:space="preserve">&lt;. </w:t>
      </w:r>
      <w:r w:rsidRPr="00E90EF3">
        <w:rPr>
          <w:vanish/>
          <w:rtl/>
        </w:rPr>
        <w:fldChar w:fldCharType="begin"/>
      </w:r>
      <w:r w:rsidRPr="00E90EF3">
        <w:rPr>
          <w:vanish/>
          <w:rtl/>
        </w:rPr>
        <w:instrText xml:space="preserve"> </w:instrText>
      </w:r>
      <w:r w:rsidRPr="00E90EF3">
        <w:rPr>
          <w:rFonts w:hint="cs"/>
          <w:vanish/>
        </w:rPr>
        <w:instrText>REF</w:instrText>
      </w:r>
      <w:r w:rsidRPr="00E90EF3">
        <w:rPr>
          <w:rFonts w:hint="cs"/>
          <w:vanish/>
          <w:rtl/>
        </w:rPr>
        <w:instrText xml:space="preserve"> _</w:instrText>
      </w:r>
      <w:r w:rsidRPr="00E90EF3">
        <w:rPr>
          <w:rFonts w:hint="cs"/>
          <w:vanish/>
        </w:rPr>
        <w:instrText>Ref136812066 \r \h</w:instrText>
      </w:r>
      <w:r w:rsidRPr="00E90EF3">
        <w:rPr>
          <w:vanish/>
          <w:rtl/>
        </w:rPr>
        <w:instrText xml:space="preserve"> </w:instrText>
      </w:r>
      <w:r w:rsidRPr="00E90EF3">
        <w:rPr>
          <w:vanish/>
          <w:rtl/>
        </w:rPr>
      </w:r>
      <w:r w:rsidRPr="00E90EF3">
        <w:rPr>
          <w:vanish/>
          <w:rtl/>
        </w:rPr>
        <w:fldChar w:fldCharType="separate"/>
      </w:r>
      <w:r w:rsidR="00D82181">
        <w:rPr>
          <w:vanish/>
          <w:cs/>
        </w:rPr>
        <w:t>‎</w:t>
      </w:r>
      <w:r w:rsidR="00D82181">
        <w:rPr>
          <w:vanish/>
          <w:rtl/>
        </w:rPr>
        <w:t>ב)</w:t>
      </w:r>
      <w:r w:rsidRPr="00E90EF3">
        <w:rPr>
          <w:vanish/>
          <w:rtl/>
        </w:rPr>
        <w:fldChar w:fldCharType="end"/>
      </w:r>
      <w:r w:rsidRPr="00E90EF3">
        <w:rPr>
          <w:rFonts w:hint="cs"/>
          <w:vanish/>
          <w:rtl/>
        </w:rPr>
        <w:t xml:space="preserve"> &gt;</w:t>
      </w:r>
      <w:r w:rsidRPr="00E90EF3">
        <w:rPr>
          <w:rStyle w:val="aff4"/>
          <w:rFonts w:hint="cs"/>
          <w:vanish/>
          <w:rtl/>
        </w:rPr>
        <w:t>-</w:t>
      </w:r>
      <w:r w:rsidRPr="00A34B78">
        <w:rPr>
          <w:rStyle w:val="aff4"/>
          <w:rFonts w:hint="cs"/>
          <w:rtl/>
        </w:rPr>
        <w:t>רש"י</w:t>
      </w:r>
      <w:r w:rsidRPr="00E90EF3">
        <w:rPr>
          <w:rStyle w:val="aff4"/>
          <w:rFonts w:hint="cs"/>
          <w:vanish/>
          <w:rtl/>
        </w:rPr>
        <w:t>-</w:t>
      </w:r>
      <w:r>
        <w:rPr>
          <w:rFonts w:hint="cs"/>
          <w:rtl/>
        </w:rPr>
        <w:t xml:space="preserve"> </w:t>
      </w:r>
      <w:r w:rsidRPr="00D16BB6">
        <w:rPr>
          <w:rStyle w:val="af2"/>
          <w:rFonts w:eastAsia="Guttman Hodes" w:hint="cs"/>
          <w:rtl/>
        </w:rPr>
        <w:t>(ד"ה והתניא)</w:t>
      </w:r>
      <w:r w:rsidRPr="00E90EF3">
        <w:rPr>
          <w:rFonts w:hint="cs"/>
          <w:vanish/>
          <w:rtl/>
        </w:rPr>
        <w:t>=</w:t>
      </w:r>
      <w:r>
        <w:rPr>
          <w:rFonts w:hint="cs"/>
          <w:rtl/>
        </w:rPr>
        <w:t xml:space="preserve"> דתניא לעיל דחייב, וכתב </w:t>
      </w:r>
      <w:r w:rsidRPr="006B37A5">
        <w:rPr>
          <w:rStyle w:val="aff4"/>
          <w:rFonts w:hint="cs"/>
          <w:vanish/>
          <w:rtl/>
        </w:rPr>
        <w:t>-</w:t>
      </w:r>
      <w:r w:rsidRPr="00BF56CC">
        <w:rPr>
          <w:rStyle w:val="aff4"/>
          <w:rFonts w:hint="cs"/>
          <w:rtl/>
        </w:rPr>
        <w:t>ה</w:t>
      </w:r>
      <w:r>
        <w:rPr>
          <w:rStyle w:val="aff4"/>
          <w:rFonts w:hint="cs"/>
          <w:vanish/>
          <w:rtl/>
        </w:rPr>
        <w:t>&lt; &gt;</w:t>
      </w:r>
      <w:r w:rsidRPr="00BF56CC">
        <w:rPr>
          <w:rStyle w:val="aff4"/>
          <w:rFonts w:hint="cs"/>
          <w:rtl/>
        </w:rPr>
        <w:t>השלמה</w:t>
      </w:r>
      <w:r w:rsidRPr="006B37A5">
        <w:rPr>
          <w:rStyle w:val="aff4"/>
          <w:rFonts w:hint="cs"/>
          <w:vanish/>
          <w:rtl/>
        </w:rPr>
        <w:t>-</w:t>
      </w:r>
      <w:r w:rsidRPr="00D921CF">
        <w:rPr>
          <w:rFonts w:hint="cs"/>
          <w:rtl/>
        </w:rPr>
        <w:t xml:space="preserve"> </w:t>
      </w:r>
      <w:r w:rsidRPr="00D16BB6">
        <w:rPr>
          <w:rStyle w:val="af2"/>
          <w:rFonts w:eastAsia="Guttman Hodes" w:hint="cs"/>
          <w:rtl/>
        </w:rPr>
        <w:t>(אות ו' ד"ה הרב אלפסי)</w:t>
      </w:r>
      <w:r w:rsidRPr="006B37A5">
        <w:rPr>
          <w:rFonts w:hint="cs"/>
          <w:vanish/>
          <w:rtl/>
        </w:rPr>
        <w:t>=</w:t>
      </w:r>
      <w:r>
        <w:rPr>
          <w:rFonts w:hint="cs"/>
          <w:rtl/>
        </w:rPr>
        <w:t xml:space="preserve"> דמכתב </w:t>
      </w:r>
      <w:r w:rsidRPr="006B37A5">
        <w:rPr>
          <w:rStyle w:val="aff4"/>
          <w:rFonts w:hint="cs"/>
          <w:vanish/>
          <w:rtl/>
        </w:rPr>
        <w:t>-</w:t>
      </w:r>
      <w:r w:rsidRPr="00BF56CC">
        <w:rPr>
          <w:rStyle w:val="aff4"/>
          <w:rFonts w:hint="cs"/>
          <w:rtl/>
        </w:rPr>
        <w:t>רש"י</w:t>
      </w:r>
      <w:r w:rsidRPr="006B37A5">
        <w:rPr>
          <w:rStyle w:val="aff4"/>
          <w:rFonts w:hint="cs"/>
          <w:vanish/>
          <w:rtl/>
        </w:rPr>
        <w:t>-</w:t>
      </w:r>
      <w:r>
        <w:rPr>
          <w:rFonts w:hint="cs"/>
          <w:rtl/>
        </w:rPr>
        <w:t xml:space="preserve"> דהקושיה היא מהברייתא הראשונה מבואר דאף בפלוגתת רב אשי ורב ירמיה מדיפתי ל"ג </w:t>
      </w:r>
      <w:r w:rsidRPr="006B37A5">
        <w:rPr>
          <w:rStyle w:val="aff4"/>
          <w:rFonts w:hint="cs"/>
          <w:vanish/>
          <w:rtl/>
        </w:rPr>
        <w:t>-</w:t>
      </w:r>
      <w:r w:rsidRPr="00BF56CC">
        <w:rPr>
          <w:rStyle w:val="aff4"/>
          <w:rFonts w:hint="cs"/>
          <w:rtl/>
        </w:rPr>
        <w:t>רש"י</w:t>
      </w:r>
      <w:r w:rsidRPr="006B37A5">
        <w:rPr>
          <w:rStyle w:val="aff4"/>
          <w:rFonts w:hint="cs"/>
          <w:vanish/>
          <w:rtl/>
        </w:rPr>
        <w:t>-</w:t>
      </w:r>
      <w:r>
        <w:rPr>
          <w:rFonts w:hint="cs"/>
          <w:rtl/>
        </w:rPr>
        <w:t xml:space="preserve"> בברייתא </w:t>
      </w:r>
      <w:r w:rsidRPr="00D921CF">
        <w:rPr>
          <w:rFonts w:hint="cs"/>
          <w:rtl/>
        </w:rPr>
        <w:t xml:space="preserve">"שני" מיני </w:t>
      </w:r>
      <w:r w:rsidRPr="00D921CF">
        <w:rPr>
          <w:rtl/>
        </w:rPr>
        <w:t>אוכלין</w:t>
      </w:r>
      <w:r>
        <w:rPr>
          <w:rFonts w:hint="cs"/>
          <w:rtl/>
        </w:rPr>
        <w:t xml:space="preserve">, וכ"כ </w:t>
      </w:r>
      <w:r w:rsidRPr="00E90EF3">
        <w:rPr>
          <w:rStyle w:val="aff4"/>
          <w:rFonts w:hint="cs"/>
          <w:vanish/>
          <w:rtl/>
        </w:rPr>
        <w:t>-</w:t>
      </w:r>
      <w:r>
        <w:rPr>
          <w:rStyle w:val="aff4"/>
          <w:rFonts w:hint="cs"/>
          <w:rtl/>
        </w:rPr>
        <w:t>הב"ח</w:t>
      </w:r>
      <w:r w:rsidRPr="00E90EF3">
        <w:rPr>
          <w:rStyle w:val="aff4"/>
          <w:rFonts w:hint="cs"/>
          <w:vanish/>
          <w:rtl/>
        </w:rPr>
        <w:t>-</w:t>
      </w:r>
      <w:r>
        <w:rPr>
          <w:rFonts w:hint="cs"/>
          <w:rtl/>
        </w:rPr>
        <w:t xml:space="preserve"> </w:t>
      </w:r>
      <w:r w:rsidRPr="00D16BB6">
        <w:rPr>
          <w:rStyle w:val="af2"/>
          <w:rFonts w:eastAsia="Guttman Hodes" w:hint="cs"/>
          <w:rtl/>
        </w:rPr>
        <w:t xml:space="preserve">(עי' אות </w:t>
      </w:r>
      <w:r w:rsidRPr="00D16BB6">
        <w:rPr>
          <w:rStyle w:val="af2"/>
          <w:rFonts w:eastAsia="Guttman Hodes"/>
          <w:rtl/>
        </w:rPr>
        <w:fldChar w:fldCharType="begin"/>
      </w:r>
      <w:r w:rsidRPr="00D16BB6">
        <w:rPr>
          <w:rStyle w:val="af2"/>
          <w:rFonts w:eastAsia="Guttman Hodes"/>
          <w:rtl/>
        </w:rPr>
        <w:instrText xml:space="preserve"> </w:instrText>
      </w:r>
      <w:r w:rsidRPr="00D16BB6">
        <w:rPr>
          <w:rStyle w:val="af2"/>
          <w:rFonts w:eastAsia="Guttman Hodes" w:hint="cs"/>
        </w:rPr>
        <w:instrText>REF</w:instrText>
      </w:r>
      <w:r w:rsidRPr="00D16BB6">
        <w:rPr>
          <w:rStyle w:val="af2"/>
          <w:rFonts w:eastAsia="Guttman Hodes" w:hint="cs"/>
          <w:rtl/>
        </w:rPr>
        <w:instrText xml:space="preserve"> _</w:instrText>
      </w:r>
      <w:r w:rsidRPr="00D16BB6">
        <w:rPr>
          <w:rStyle w:val="af2"/>
          <w:rFonts w:eastAsia="Guttman Hodes" w:hint="cs"/>
        </w:rPr>
        <w:instrText>Ref136946771 \r \h</w:instrText>
      </w:r>
      <w:r w:rsidRPr="00D16BB6">
        <w:rPr>
          <w:rStyle w:val="af2"/>
          <w:rFonts w:eastAsia="Guttman Hodes"/>
          <w:rtl/>
        </w:rPr>
        <w:instrText xml:space="preserve"> </w:instrText>
      </w:r>
      <w:r w:rsidRPr="00D16BB6">
        <w:rPr>
          <w:rStyle w:val="af2"/>
          <w:rFonts w:eastAsia="Guttman Hodes"/>
          <w:rtl/>
        </w:rPr>
      </w:r>
      <w:r w:rsidRPr="00D16BB6">
        <w:rPr>
          <w:rStyle w:val="af2"/>
          <w:rFonts w:eastAsia="Guttman Hodes"/>
          <w:rtl/>
        </w:rPr>
        <w:fldChar w:fldCharType="separate"/>
      </w:r>
      <w:r w:rsidR="00D82181">
        <w:rPr>
          <w:rStyle w:val="af2"/>
          <w:rFonts w:eastAsia="Guttman Hodes"/>
          <w:cs/>
        </w:rPr>
        <w:t>‎</w:t>
      </w:r>
      <w:r w:rsidR="00D82181">
        <w:rPr>
          <w:rStyle w:val="af2"/>
          <w:rFonts w:eastAsia="Guttman Hodes"/>
          <w:rtl/>
        </w:rPr>
        <w:t>י)</w:t>
      </w:r>
      <w:r w:rsidRPr="00D16BB6">
        <w:rPr>
          <w:rStyle w:val="af2"/>
          <w:rFonts w:eastAsia="Guttman Hodes"/>
          <w:rtl/>
        </w:rPr>
        <w:fldChar w:fldCharType="end"/>
      </w:r>
      <w:r>
        <w:rPr>
          <w:rFonts w:hint="cs"/>
          <w:rtl/>
        </w:rPr>
        <w:t xml:space="preserve">, וכתב </w:t>
      </w:r>
      <w:r w:rsidRPr="00A91E2E">
        <w:rPr>
          <w:rStyle w:val="aff4"/>
          <w:rFonts w:hint="cs"/>
          <w:vanish/>
          <w:rtl/>
        </w:rPr>
        <w:t>-</w:t>
      </w:r>
      <w:r w:rsidRPr="007439A4">
        <w:rPr>
          <w:rStyle w:val="aff4"/>
          <w:rFonts w:hint="cs"/>
          <w:rtl/>
        </w:rPr>
        <w:t>הפנ"י</w:t>
      </w:r>
      <w:r w:rsidRPr="00A91E2E">
        <w:rPr>
          <w:rStyle w:val="aff4"/>
          <w:rFonts w:hint="cs"/>
          <w:vanish/>
          <w:rtl/>
        </w:rPr>
        <w:t>-</w:t>
      </w:r>
      <w:r>
        <w:rPr>
          <w:rFonts w:hint="cs"/>
          <w:rtl/>
        </w:rPr>
        <w:t xml:space="preserve"> </w:t>
      </w:r>
      <w:r w:rsidRPr="00D16BB6">
        <w:rPr>
          <w:rStyle w:val="af2"/>
          <w:rFonts w:eastAsia="Guttman Hodes" w:hint="cs"/>
          <w:rtl/>
        </w:rPr>
        <w:t xml:space="preserve">(עי' אות </w:t>
      </w:r>
      <w:r w:rsidRPr="00D16BB6">
        <w:rPr>
          <w:rStyle w:val="af2"/>
          <w:rFonts w:eastAsia="Guttman Hodes"/>
          <w:rtl/>
        </w:rPr>
        <w:fldChar w:fldCharType="begin"/>
      </w:r>
      <w:r w:rsidRPr="00D16BB6">
        <w:rPr>
          <w:rStyle w:val="af2"/>
          <w:rFonts w:eastAsia="Guttman Hodes"/>
          <w:rtl/>
        </w:rPr>
        <w:instrText xml:space="preserve"> </w:instrText>
      </w:r>
      <w:r w:rsidRPr="00D16BB6">
        <w:rPr>
          <w:rStyle w:val="af2"/>
          <w:rFonts w:eastAsia="Guttman Hodes" w:hint="cs"/>
        </w:rPr>
        <w:instrText>REF</w:instrText>
      </w:r>
      <w:r w:rsidRPr="00D16BB6">
        <w:rPr>
          <w:rStyle w:val="af2"/>
          <w:rFonts w:eastAsia="Guttman Hodes" w:hint="cs"/>
          <w:rtl/>
        </w:rPr>
        <w:instrText xml:space="preserve"> _</w:instrText>
      </w:r>
      <w:r w:rsidRPr="00D16BB6">
        <w:rPr>
          <w:rStyle w:val="af2"/>
          <w:rFonts w:eastAsia="Guttman Hodes" w:hint="cs"/>
        </w:rPr>
        <w:instrText>Ref136878760 \r \h</w:instrText>
      </w:r>
      <w:r w:rsidRPr="00D16BB6">
        <w:rPr>
          <w:rStyle w:val="af2"/>
          <w:rFonts w:eastAsia="Guttman Hodes"/>
          <w:rtl/>
        </w:rPr>
        <w:instrText xml:space="preserve"> </w:instrText>
      </w:r>
      <w:r w:rsidRPr="00D16BB6">
        <w:rPr>
          <w:rStyle w:val="af2"/>
          <w:rFonts w:eastAsia="Guttman Hodes"/>
          <w:rtl/>
        </w:rPr>
      </w:r>
      <w:r w:rsidRPr="00D16BB6">
        <w:rPr>
          <w:rStyle w:val="af2"/>
          <w:rFonts w:eastAsia="Guttman Hodes"/>
          <w:rtl/>
        </w:rPr>
        <w:fldChar w:fldCharType="separate"/>
      </w:r>
      <w:r w:rsidR="00D82181">
        <w:rPr>
          <w:rStyle w:val="af2"/>
          <w:rFonts w:eastAsia="Guttman Hodes"/>
          <w:cs/>
        </w:rPr>
        <w:t>‎</w:t>
      </w:r>
      <w:r w:rsidR="00D82181">
        <w:rPr>
          <w:rStyle w:val="af2"/>
          <w:rFonts w:eastAsia="Guttman Hodes"/>
          <w:rtl/>
        </w:rPr>
        <w:t>ח)</w:t>
      </w:r>
      <w:r w:rsidRPr="00D16BB6">
        <w:rPr>
          <w:rStyle w:val="af2"/>
          <w:rFonts w:eastAsia="Guttman Hodes"/>
          <w:rtl/>
        </w:rPr>
        <w:fldChar w:fldCharType="end"/>
      </w:r>
      <w:r>
        <w:rPr>
          <w:rStyle w:val="af2"/>
          <w:rFonts w:eastAsia="Guttman Hodes" w:hint="cs"/>
          <w:rtl/>
        </w:rPr>
        <w:t xml:space="preserve"> </w:t>
      </w:r>
      <w:r w:rsidRPr="00A91E2E">
        <w:rPr>
          <w:rFonts w:hint="cs"/>
          <w:vanish/>
          <w:rtl/>
        </w:rPr>
        <w:t>=</w:t>
      </w:r>
      <w:r>
        <w:rPr>
          <w:rFonts w:hint="cs"/>
          <w:rtl/>
        </w:rPr>
        <w:t xml:space="preserve">דמשמע מדברי </w:t>
      </w:r>
      <w:r w:rsidRPr="00A91E2E">
        <w:rPr>
          <w:rStyle w:val="aff4"/>
          <w:rFonts w:hint="cs"/>
          <w:vanish/>
          <w:rtl/>
        </w:rPr>
        <w:t>-</w:t>
      </w:r>
      <w:r>
        <w:rPr>
          <w:rStyle w:val="aff4"/>
          <w:rFonts w:hint="cs"/>
          <w:rtl/>
        </w:rPr>
        <w:t>ה</w:t>
      </w:r>
      <w:r w:rsidRPr="007439A4">
        <w:rPr>
          <w:rStyle w:val="aff4"/>
          <w:rFonts w:hint="cs"/>
          <w:rtl/>
        </w:rPr>
        <w:t>תוס'</w:t>
      </w:r>
      <w:r w:rsidRPr="00A91E2E">
        <w:rPr>
          <w:rStyle w:val="aff4"/>
          <w:rFonts w:hint="cs"/>
          <w:vanish/>
          <w:rtl/>
        </w:rPr>
        <w:t>-</w:t>
      </w:r>
      <w:r>
        <w:rPr>
          <w:rFonts w:hint="cs"/>
          <w:rtl/>
        </w:rPr>
        <w:t xml:space="preserve"> </w:t>
      </w:r>
      <w:r w:rsidRPr="00D16BB6">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Ref137671185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w:t>
      </w:r>
      <w:r>
        <w:rPr>
          <w:rStyle w:val="af2"/>
          <w:rFonts w:eastAsia="Guttman Hodes"/>
          <w:rtl/>
        </w:rPr>
        <w:fldChar w:fldCharType="end"/>
      </w:r>
      <w:r>
        <w:rPr>
          <w:rFonts w:hint="cs"/>
          <w:rtl/>
        </w:rPr>
        <w:t xml:space="preserve"> דכן הבינו בדעת </w:t>
      </w:r>
      <w:r w:rsidRPr="006B37A5">
        <w:rPr>
          <w:rStyle w:val="aff4"/>
          <w:rFonts w:hint="cs"/>
          <w:vanish/>
          <w:rtl/>
        </w:rPr>
        <w:t>-</w:t>
      </w:r>
      <w:r w:rsidRPr="00BF56CC">
        <w:rPr>
          <w:rStyle w:val="aff4"/>
          <w:rFonts w:hint="cs"/>
          <w:rtl/>
        </w:rPr>
        <w:t>רש"י</w:t>
      </w:r>
      <w:r w:rsidRPr="006B37A5">
        <w:rPr>
          <w:rStyle w:val="aff4"/>
          <w:rFonts w:hint="cs"/>
          <w:vanish/>
          <w:rtl/>
        </w:rPr>
        <w:t>-</w:t>
      </w:r>
      <w:r>
        <w:rPr>
          <w:rFonts w:hint="cs"/>
          <w:rtl/>
        </w:rPr>
        <w:t xml:space="preserve">, אבל </w:t>
      </w:r>
      <w:r w:rsidRPr="00E90EF3">
        <w:rPr>
          <w:rStyle w:val="aff4"/>
          <w:rFonts w:hint="cs"/>
          <w:vanish/>
          <w:rtl/>
        </w:rPr>
        <w:t>-</w:t>
      </w:r>
      <w:r w:rsidRPr="00A34B78">
        <w:rPr>
          <w:rStyle w:val="aff4"/>
          <w:rFonts w:hint="cs"/>
          <w:rtl/>
        </w:rPr>
        <w:t>ה</w:t>
      </w:r>
      <w:r w:rsidRPr="00E90EF3">
        <w:rPr>
          <w:rStyle w:val="aff4"/>
          <w:rFonts w:hint="cs"/>
          <w:vanish/>
          <w:rtl/>
        </w:rPr>
        <w:t>&lt; &gt;</w:t>
      </w:r>
      <w:r w:rsidRPr="00A34B78">
        <w:rPr>
          <w:rStyle w:val="aff4"/>
          <w:rFonts w:hint="cs"/>
          <w:rtl/>
        </w:rPr>
        <w:t>פרמ"ג</w:t>
      </w:r>
      <w:r w:rsidRPr="00E90EF3">
        <w:rPr>
          <w:rStyle w:val="aff4"/>
          <w:rFonts w:hint="cs"/>
          <w:vanish/>
          <w:rtl/>
        </w:rPr>
        <w:t>-</w:t>
      </w:r>
      <w:r>
        <w:rPr>
          <w:rFonts w:hint="cs"/>
          <w:rtl/>
        </w:rPr>
        <w:t xml:space="preserve"> </w:t>
      </w:r>
      <w:r w:rsidRPr="00D16BB6">
        <w:rPr>
          <w:rStyle w:val="af2"/>
          <w:rFonts w:eastAsia="Guttman Hodes" w:hint="cs"/>
          <w:rtl/>
        </w:rPr>
        <w:t>(סי' שי"ט משב"ז סק"ב ד"ה ומפני)</w:t>
      </w:r>
      <w:r w:rsidRPr="00E90EF3">
        <w:rPr>
          <w:rFonts w:hint="cs"/>
          <w:vanish/>
          <w:rtl/>
        </w:rPr>
        <w:t>=</w:t>
      </w:r>
      <w:r>
        <w:rPr>
          <w:rFonts w:hint="cs"/>
          <w:rtl/>
        </w:rPr>
        <w:t xml:space="preserve"> </w:t>
      </w:r>
      <w:r w:rsidRPr="00E90EF3">
        <w:rPr>
          <w:rStyle w:val="aff4"/>
          <w:rFonts w:hint="cs"/>
          <w:vanish/>
          <w:rtl/>
        </w:rPr>
        <w:t>-</w:t>
      </w:r>
      <w:r w:rsidRPr="00A34B78">
        <w:rPr>
          <w:rStyle w:val="aff4"/>
          <w:rFonts w:hint="cs"/>
          <w:rtl/>
        </w:rPr>
        <w:t>וה</w:t>
      </w:r>
      <w:r>
        <w:rPr>
          <w:rStyle w:val="aff4"/>
          <w:rFonts w:hint="cs"/>
          <w:rtl/>
        </w:rPr>
        <w:t>פנ"י</w:t>
      </w:r>
      <w:r w:rsidRPr="00E90EF3">
        <w:rPr>
          <w:rStyle w:val="aff4"/>
          <w:rFonts w:hint="cs"/>
          <w:vanish/>
          <w:rtl/>
        </w:rPr>
        <w:t>-</w:t>
      </w:r>
      <w:r>
        <w:rPr>
          <w:rFonts w:hint="cs"/>
          <w:rtl/>
        </w:rPr>
        <w:t xml:space="preserve"> </w:t>
      </w:r>
      <w:r w:rsidRPr="00D16BB6">
        <w:rPr>
          <w:rStyle w:val="af2"/>
          <w:rFonts w:eastAsia="Guttman Hodes" w:hint="cs"/>
          <w:rtl/>
        </w:rPr>
        <w:t xml:space="preserve">(עי' אות </w:t>
      </w:r>
      <w:r w:rsidRPr="00D16BB6">
        <w:rPr>
          <w:rStyle w:val="af2"/>
          <w:rFonts w:eastAsia="Guttman Hodes"/>
          <w:rtl/>
        </w:rPr>
        <w:fldChar w:fldCharType="begin"/>
      </w:r>
      <w:r w:rsidRPr="00D16BB6">
        <w:rPr>
          <w:rStyle w:val="af2"/>
          <w:rFonts w:eastAsia="Guttman Hodes"/>
          <w:rtl/>
        </w:rPr>
        <w:instrText xml:space="preserve"> </w:instrText>
      </w:r>
      <w:r w:rsidRPr="00D16BB6">
        <w:rPr>
          <w:rStyle w:val="af2"/>
          <w:rFonts w:eastAsia="Guttman Hodes" w:hint="cs"/>
        </w:rPr>
        <w:instrText>REF</w:instrText>
      </w:r>
      <w:r w:rsidRPr="00D16BB6">
        <w:rPr>
          <w:rStyle w:val="af2"/>
          <w:rFonts w:eastAsia="Guttman Hodes" w:hint="cs"/>
          <w:rtl/>
        </w:rPr>
        <w:instrText xml:space="preserve"> _</w:instrText>
      </w:r>
      <w:r w:rsidRPr="00D16BB6">
        <w:rPr>
          <w:rStyle w:val="af2"/>
          <w:rFonts w:eastAsia="Guttman Hodes" w:hint="cs"/>
        </w:rPr>
        <w:instrText>Ref137116067 \r \h</w:instrText>
      </w:r>
      <w:r w:rsidRPr="00D16BB6">
        <w:rPr>
          <w:rStyle w:val="af2"/>
          <w:rFonts w:eastAsia="Guttman Hodes"/>
          <w:rtl/>
        </w:rPr>
        <w:instrText xml:space="preserve"> </w:instrText>
      </w:r>
      <w:r w:rsidRPr="00D16BB6">
        <w:rPr>
          <w:rStyle w:val="af2"/>
          <w:rFonts w:eastAsia="Guttman Hodes"/>
          <w:rtl/>
        </w:rPr>
      </w:r>
      <w:r w:rsidRPr="00D16BB6">
        <w:rPr>
          <w:rStyle w:val="af2"/>
          <w:rFonts w:eastAsia="Guttman Hodes"/>
          <w:rtl/>
        </w:rPr>
        <w:fldChar w:fldCharType="separate"/>
      </w:r>
      <w:r w:rsidR="00D82181">
        <w:rPr>
          <w:rStyle w:val="af2"/>
          <w:rFonts w:eastAsia="Guttman Hodes"/>
          <w:cs/>
        </w:rPr>
        <w:t>‎</w:t>
      </w:r>
      <w:r w:rsidR="00D82181">
        <w:rPr>
          <w:rStyle w:val="af2"/>
          <w:rFonts w:eastAsia="Guttman Hodes"/>
          <w:rtl/>
        </w:rPr>
        <w:t>יא)</w:t>
      </w:r>
      <w:r w:rsidRPr="00D16BB6">
        <w:rPr>
          <w:rStyle w:val="af2"/>
          <w:rFonts w:eastAsia="Guttman Hodes"/>
          <w:rtl/>
        </w:rPr>
        <w:fldChar w:fldCharType="end"/>
      </w:r>
      <w:r>
        <w:rPr>
          <w:rFonts w:hint="cs"/>
          <w:rtl/>
        </w:rPr>
        <w:t xml:space="preserve"> </w:t>
      </w:r>
      <w:r w:rsidRPr="00E90EF3">
        <w:rPr>
          <w:rStyle w:val="aff4"/>
          <w:rFonts w:hint="cs"/>
          <w:vanish/>
          <w:rtl/>
        </w:rPr>
        <w:t>-</w:t>
      </w:r>
      <w:r w:rsidRPr="00A34B78">
        <w:rPr>
          <w:rStyle w:val="aff4"/>
          <w:rFonts w:hint="cs"/>
          <w:rtl/>
        </w:rPr>
        <w:t>והחת"ס</w:t>
      </w:r>
      <w:r w:rsidRPr="00E90EF3">
        <w:rPr>
          <w:rStyle w:val="aff4"/>
          <w:rFonts w:hint="cs"/>
          <w:vanish/>
          <w:rtl/>
        </w:rPr>
        <w:t>-</w:t>
      </w:r>
      <w:r>
        <w:rPr>
          <w:rFonts w:hint="cs"/>
          <w:rtl/>
        </w:rPr>
        <w:t xml:space="preserve"> </w:t>
      </w:r>
      <w:r w:rsidRPr="00D16BB6">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Ref136812076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טז)</w:t>
      </w:r>
      <w:r>
        <w:rPr>
          <w:rStyle w:val="af2"/>
          <w:rFonts w:eastAsia="Guttman Hodes"/>
          <w:rtl/>
        </w:rPr>
        <w:fldChar w:fldCharType="end"/>
      </w:r>
      <w:r>
        <w:rPr>
          <w:rFonts w:hint="cs"/>
          <w:rtl/>
        </w:rPr>
        <w:t xml:space="preserve"> כתבו דמבואר </w:t>
      </w:r>
      <w:r w:rsidRPr="00E90EF3">
        <w:rPr>
          <w:rStyle w:val="aff4"/>
          <w:rFonts w:hint="cs"/>
          <w:vanish/>
          <w:rtl/>
        </w:rPr>
        <w:t>-</w:t>
      </w:r>
      <w:r w:rsidRPr="00A34B78">
        <w:rPr>
          <w:rStyle w:val="aff4"/>
          <w:rFonts w:hint="cs"/>
          <w:rtl/>
        </w:rPr>
        <w:t>דרש"י</w:t>
      </w:r>
      <w:r w:rsidRPr="00E90EF3">
        <w:rPr>
          <w:rStyle w:val="aff4"/>
          <w:rFonts w:hint="cs"/>
          <w:vanish/>
          <w:rtl/>
        </w:rPr>
        <w:t>-</w:t>
      </w:r>
      <w:r>
        <w:rPr>
          <w:rFonts w:hint="cs"/>
          <w:rtl/>
        </w:rPr>
        <w:t xml:space="preserve"> כן גרס בברייתא השניה "שני" מיני אוכלין, ולכן קשה מהברייתא הזו</w:t>
      </w:r>
      <w:r w:rsidRPr="001F350C">
        <w:rPr>
          <w:rFonts w:hint="cs"/>
          <w:rtl/>
        </w:rPr>
        <w:t xml:space="preserve"> </w:t>
      </w:r>
      <w:r>
        <w:rPr>
          <w:rFonts w:hint="cs"/>
          <w:rtl/>
        </w:rPr>
        <w:t xml:space="preserve">על רב אשי, ודלא כדביאר </w:t>
      </w:r>
      <w:r w:rsidRPr="00E90EF3">
        <w:rPr>
          <w:rStyle w:val="aff4"/>
          <w:rFonts w:hint="cs"/>
          <w:vanish/>
          <w:rtl/>
        </w:rPr>
        <w:t>-</w:t>
      </w:r>
      <w:r w:rsidRPr="00A34B78">
        <w:rPr>
          <w:rStyle w:val="aff4"/>
          <w:rFonts w:hint="cs"/>
          <w:rtl/>
        </w:rPr>
        <w:t>רש"י</w:t>
      </w:r>
      <w:r w:rsidRPr="00E90EF3">
        <w:rPr>
          <w:rStyle w:val="aff4"/>
          <w:rFonts w:hint="cs"/>
          <w:vanish/>
          <w:rtl/>
        </w:rPr>
        <w:t>-</w:t>
      </w:r>
      <w:r>
        <w:rPr>
          <w:rFonts w:hint="cs"/>
          <w:rtl/>
        </w:rPr>
        <w:t xml:space="preserve"> </w:t>
      </w:r>
      <w:r w:rsidRPr="00D16BB6">
        <w:rPr>
          <w:rStyle w:val="af2"/>
          <w:rFonts w:eastAsia="Guttman Hodes" w:hint="cs"/>
          <w:rtl/>
        </w:rPr>
        <w:t xml:space="preserve">(עי' אות </w:t>
      </w:r>
      <w:r w:rsidRPr="00D16BB6">
        <w:rPr>
          <w:rStyle w:val="af2"/>
          <w:rFonts w:eastAsia="Guttman Hodes"/>
          <w:rtl/>
        </w:rPr>
        <w:fldChar w:fldCharType="begin"/>
      </w:r>
      <w:r w:rsidRPr="00D16BB6">
        <w:rPr>
          <w:rStyle w:val="af2"/>
          <w:rFonts w:eastAsia="Guttman Hodes"/>
          <w:rtl/>
        </w:rPr>
        <w:instrText xml:space="preserve"> </w:instrText>
      </w:r>
      <w:r w:rsidRPr="00D16BB6">
        <w:rPr>
          <w:rStyle w:val="af2"/>
          <w:rFonts w:eastAsia="Guttman Hodes" w:hint="cs"/>
        </w:rPr>
        <w:instrText>REF</w:instrText>
      </w:r>
      <w:r w:rsidRPr="00D16BB6">
        <w:rPr>
          <w:rStyle w:val="af2"/>
          <w:rFonts w:eastAsia="Guttman Hodes" w:hint="cs"/>
          <w:rtl/>
        </w:rPr>
        <w:instrText xml:space="preserve"> _</w:instrText>
      </w:r>
      <w:r w:rsidRPr="00D16BB6">
        <w:rPr>
          <w:rStyle w:val="af2"/>
          <w:rFonts w:eastAsia="Guttman Hodes" w:hint="cs"/>
        </w:rPr>
        <w:instrText>Ref137583936 \r \h</w:instrText>
      </w:r>
      <w:r w:rsidRPr="00D16BB6">
        <w:rPr>
          <w:rStyle w:val="af2"/>
          <w:rFonts w:eastAsia="Guttman Hodes"/>
          <w:rtl/>
        </w:rPr>
        <w:instrText xml:space="preserve"> </w:instrText>
      </w:r>
      <w:r w:rsidRPr="00D16BB6">
        <w:rPr>
          <w:rStyle w:val="af2"/>
          <w:rFonts w:eastAsia="Guttman Hodes"/>
          <w:rtl/>
        </w:rPr>
      </w:r>
      <w:r w:rsidRPr="00D16BB6">
        <w:rPr>
          <w:rStyle w:val="af2"/>
          <w:rFonts w:eastAsia="Guttman Hodes"/>
          <w:rtl/>
        </w:rPr>
        <w:fldChar w:fldCharType="separate"/>
      </w:r>
      <w:r w:rsidR="00D82181">
        <w:rPr>
          <w:rStyle w:val="af2"/>
          <w:rFonts w:eastAsia="Guttman Hodes"/>
          <w:cs/>
        </w:rPr>
        <w:t>‎</w:t>
      </w:r>
      <w:r w:rsidR="00D82181">
        <w:rPr>
          <w:rStyle w:val="af2"/>
          <w:rFonts w:eastAsia="Guttman Hodes"/>
          <w:rtl/>
        </w:rPr>
        <w:t>א)</w:t>
      </w:r>
      <w:r w:rsidRPr="00D16BB6">
        <w:rPr>
          <w:rStyle w:val="af2"/>
          <w:rFonts w:eastAsia="Guttman Hodes"/>
          <w:rtl/>
        </w:rPr>
        <w:fldChar w:fldCharType="end"/>
      </w:r>
      <w:r>
        <w:rPr>
          <w:rFonts w:hint="cs"/>
          <w:rtl/>
        </w:rPr>
        <w:t xml:space="preserve"> להדיא, ועי' במה </w:t>
      </w:r>
      <w:r w:rsidRPr="00135DFF">
        <w:rPr>
          <w:rFonts w:hint="cs"/>
          <w:rtl/>
        </w:rPr>
        <w:t xml:space="preserve">שביאר בזה </w:t>
      </w:r>
      <w:r w:rsidRPr="00135DFF">
        <w:rPr>
          <w:rStyle w:val="aff4"/>
          <w:rFonts w:hint="cs"/>
          <w:vanish/>
          <w:rtl/>
        </w:rPr>
        <w:t>-</w:t>
      </w:r>
      <w:r w:rsidRPr="00135DFF">
        <w:rPr>
          <w:rStyle w:val="aff4"/>
          <w:rFonts w:hint="cs"/>
          <w:rtl/>
        </w:rPr>
        <w:t>הפרמ"ג</w:t>
      </w:r>
      <w:r w:rsidRPr="00135DFF">
        <w:rPr>
          <w:rStyle w:val="aff4"/>
          <w:rFonts w:hint="cs"/>
          <w:vanish/>
          <w:rtl/>
        </w:rPr>
        <w:t>-</w:t>
      </w:r>
      <w:r w:rsidRPr="00135DFF">
        <w:rPr>
          <w:rFonts w:hint="cs"/>
          <w:rtl/>
        </w:rPr>
        <w:t xml:space="preserve"> </w:t>
      </w:r>
      <w:r w:rsidRPr="00D16BB6">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Ref137722592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מד)</w:t>
      </w:r>
      <w:r>
        <w:rPr>
          <w:rStyle w:val="af2"/>
          <w:rFonts w:eastAsia="Guttman Hodes"/>
          <w:rtl/>
        </w:rPr>
        <w:fldChar w:fldCharType="end"/>
      </w:r>
      <w:r w:rsidRPr="00135DFF">
        <w:rPr>
          <w:rFonts w:hint="cs"/>
          <w:rtl/>
        </w:rPr>
        <w:t xml:space="preserve">, ועי' במ"ש </w:t>
      </w:r>
      <w:r w:rsidRPr="00135DFF">
        <w:rPr>
          <w:rStyle w:val="aff4"/>
          <w:rFonts w:hint="cs"/>
          <w:vanish/>
          <w:rtl/>
        </w:rPr>
        <w:t>-</w:t>
      </w:r>
      <w:r w:rsidRPr="00135DFF">
        <w:rPr>
          <w:rStyle w:val="aff4"/>
          <w:rFonts w:hint="cs"/>
          <w:rtl/>
        </w:rPr>
        <w:t>המגן אבות</w:t>
      </w:r>
      <w:r w:rsidRPr="00135DFF">
        <w:rPr>
          <w:rStyle w:val="aff4"/>
          <w:rFonts w:hint="cs"/>
          <w:vanish/>
          <w:rtl/>
        </w:rPr>
        <w:t>-</w:t>
      </w:r>
      <w:r w:rsidRPr="00135DFF">
        <w:rPr>
          <w:rFonts w:hint="cs"/>
          <w:rtl/>
        </w:rPr>
        <w:t xml:space="preserve"> </w:t>
      </w:r>
      <w:r w:rsidRPr="00D16BB6">
        <w:rPr>
          <w:rStyle w:val="af2"/>
          <w:rFonts w:eastAsia="Guttman Hodes" w:hint="cs"/>
          <w:rtl/>
        </w:rPr>
        <w:t xml:space="preserve">(עי' אות </w:t>
      </w:r>
      <w:r w:rsidRPr="00D16BB6">
        <w:rPr>
          <w:rStyle w:val="af2"/>
          <w:rFonts w:eastAsia="Guttman Hodes"/>
          <w:rtl/>
        </w:rPr>
        <w:fldChar w:fldCharType="begin"/>
      </w:r>
      <w:r w:rsidRPr="00D16BB6">
        <w:rPr>
          <w:rStyle w:val="af2"/>
          <w:rFonts w:eastAsia="Guttman Hodes"/>
          <w:rtl/>
        </w:rPr>
        <w:instrText xml:space="preserve"> </w:instrText>
      </w:r>
      <w:r w:rsidRPr="00D16BB6">
        <w:rPr>
          <w:rStyle w:val="af2"/>
          <w:rFonts w:eastAsia="Guttman Hodes" w:hint="cs"/>
        </w:rPr>
        <w:instrText>REF</w:instrText>
      </w:r>
      <w:r w:rsidRPr="00D16BB6">
        <w:rPr>
          <w:rStyle w:val="af2"/>
          <w:rFonts w:eastAsia="Guttman Hodes" w:hint="cs"/>
          <w:rtl/>
        </w:rPr>
        <w:instrText xml:space="preserve"> _</w:instrText>
      </w:r>
      <w:r w:rsidRPr="00D16BB6">
        <w:rPr>
          <w:rStyle w:val="af2"/>
          <w:rFonts w:eastAsia="Guttman Hodes" w:hint="cs"/>
        </w:rPr>
        <w:instrText>Ref137634310 \r \h</w:instrText>
      </w:r>
      <w:r w:rsidRPr="00D16BB6">
        <w:rPr>
          <w:rStyle w:val="af2"/>
          <w:rFonts w:eastAsia="Guttman Hodes"/>
          <w:rtl/>
        </w:rPr>
        <w:instrText xml:space="preserve">  \* </w:instrText>
      </w:r>
      <w:r w:rsidRPr="00D16BB6">
        <w:rPr>
          <w:rStyle w:val="af2"/>
          <w:rFonts w:eastAsia="Guttman Hodes"/>
        </w:rPr>
        <w:instrText>MERGEFORMAT</w:instrText>
      </w:r>
      <w:r w:rsidRPr="00D16BB6">
        <w:rPr>
          <w:rStyle w:val="af2"/>
          <w:rFonts w:eastAsia="Guttman Hodes"/>
          <w:rtl/>
        </w:rPr>
        <w:instrText xml:space="preserve"> </w:instrText>
      </w:r>
      <w:r w:rsidRPr="00D16BB6">
        <w:rPr>
          <w:rStyle w:val="af2"/>
          <w:rFonts w:eastAsia="Guttman Hodes"/>
          <w:rtl/>
        </w:rPr>
      </w:r>
      <w:r w:rsidRPr="00D16BB6">
        <w:rPr>
          <w:rStyle w:val="af2"/>
          <w:rFonts w:eastAsia="Guttman Hodes"/>
          <w:rtl/>
        </w:rPr>
        <w:fldChar w:fldCharType="separate"/>
      </w:r>
      <w:r w:rsidR="00D82181">
        <w:rPr>
          <w:rStyle w:val="af2"/>
          <w:rFonts w:eastAsia="Guttman Hodes"/>
          <w:cs/>
        </w:rPr>
        <w:t>‎</w:t>
      </w:r>
      <w:r w:rsidR="00D82181">
        <w:rPr>
          <w:rStyle w:val="af2"/>
          <w:rFonts w:eastAsia="Guttman Hodes"/>
          <w:rtl/>
        </w:rPr>
        <w:t>יג)</w:t>
      </w:r>
      <w:r w:rsidRPr="00D16BB6">
        <w:rPr>
          <w:rStyle w:val="af2"/>
          <w:rFonts w:eastAsia="Guttman Hodes"/>
          <w:rtl/>
        </w:rPr>
        <w:fldChar w:fldCharType="end"/>
      </w:r>
      <w:r w:rsidRPr="00135DFF">
        <w:rPr>
          <w:rFonts w:hint="cs"/>
          <w:rtl/>
        </w:rPr>
        <w:t xml:space="preserve">, </w:t>
      </w:r>
      <w:r>
        <w:rPr>
          <w:rFonts w:hint="cs"/>
          <w:rtl/>
        </w:rPr>
        <w:t>ועי'</w:t>
      </w:r>
      <w:r w:rsidRPr="00135DFF">
        <w:rPr>
          <w:rStyle w:val="afff9"/>
          <w:rFonts w:hint="cs"/>
          <w:color w:val="auto"/>
          <w:u w:val="none"/>
          <w:rtl/>
        </w:rPr>
        <w:t xml:space="preserve"> </w:t>
      </w:r>
      <w:r w:rsidRPr="00135DFF">
        <w:rPr>
          <w:rStyle w:val="aff4"/>
          <w:rFonts w:hint="cs"/>
          <w:vanish/>
          <w:rtl/>
        </w:rPr>
        <w:t>-</w:t>
      </w:r>
      <w:r>
        <w:rPr>
          <w:rStyle w:val="aff4"/>
          <w:rFonts w:hint="cs"/>
          <w:rtl/>
        </w:rPr>
        <w:t>ב</w:t>
      </w:r>
      <w:r w:rsidRPr="00135DFF">
        <w:rPr>
          <w:rStyle w:val="aff4"/>
          <w:rFonts w:hint="cs"/>
          <w:rtl/>
        </w:rPr>
        <w:t>אגלי טל</w:t>
      </w:r>
      <w:r w:rsidRPr="00135DFF">
        <w:rPr>
          <w:rStyle w:val="aff4"/>
          <w:rFonts w:hint="cs"/>
          <w:vanish/>
          <w:rtl/>
        </w:rPr>
        <w:t>-</w:t>
      </w:r>
      <w:r w:rsidRPr="00135DFF">
        <w:rPr>
          <w:rStyle w:val="afff9"/>
          <w:rFonts w:hint="cs"/>
          <w:color w:val="auto"/>
          <w:u w:val="none"/>
          <w:rtl/>
        </w:rPr>
        <w:t xml:space="preserve"> </w:t>
      </w:r>
      <w:r w:rsidRPr="00D16BB6">
        <w:rPr>
          <w:rStyle w:val="af2"/>
          <w:rFonts w:eastAsia="Guttman Hodes" w:hint="cs"/>
          <w:rtl/>
        </w:rPr>
        <w:t xml:space="preserve">(עי' אות </w:t>
      </w:r>
      <w:r w:rsidRPr="00D16BB6">
        <w:rPr>
          <w:rStyle w:val="af2"/>
          <w:rFonts w:eastAsia="Guttman Hodes"/>
          <w:rtl/>
        </w:rPr>
        <w:fldChar w:fldCharType="begin"/>
      </w:r>
      <w:r w:rsidRPr="00D16BB6">
        <w:rPr>
          <w:rStyle w:val="af2"/>
          <w:rFonts w:eastAsia="Guttman Hodes"/>
          <w:rtl/>
        </w:rPr>
        <w:instrText xml:space="preserve"> </w:instrText>
      </w:r>
      <w:r w:rsidRPr="00D16BB6">
        <w:rPr>
          <w:rStyle w:val="af2"/>
          <w:rFonts w:eastAsia="Guttman Hodes" w:hint="cs"/>
        </w:rPr>
        <w:instrText>REF</w:instrText>
      </w:r>
      <w:r w:rsidRPr="00D16BB6">
        <w:rPr>
          <w:rStyle w:val="af2"/>
          <w:rFonts w:eastAsia="Guttman Hodes" w:hint="cs"/>
          <w:rtl/>
        </w:rPr>
        <w:instrText xml:space="preserve"> _</w:instrText>
      </w:r>
      <w:r w:rsidRPr="00D16BB6">
        <w:rPr>
          <w:rStyle w:val="af2"/>
          <w:rFonts w:eastAsia="Guttman Hodes" w:hint="cs"/>
        </w:rPr>
        <w:instrText>Ref137574592 \r \h</w:instrText>
      </w:r>
      <w:r w:rsidRPr="00D16BB6">
        <w:rPr>
          <w:rStyle w:val="af2"/>
          <w:rFonts w:eastAsia="Guttman Hodes"/>
          <w:rtl/>
        </w:rPr>
        <w:instrText xml:space="preserve"> </w:instrText>
      </w:r>
      <w:r w:rsidRPr="00D16BB6">
        <w:rPr>
          <w:rStyle w:val="af2"/>
          <w:rFonts w:eastAsia="Guttman Hodes"/>
          <w:rtl/>
        </w:rPr>
      </w:r>
      <w:r w:rsidRPr="00D16BB6">
        <w:rPr>
          <w:rStyle w:val="af2"/>
          <w:rFonts w:eastAsia="Guttman Hodes"/>
          <w:rtl/>
        </w:rPr>
        <w:fldChar w:fldCharType="separate"/>
      </w:r>
      <w:r w:rsidR="00D82181">
        <w:rPr>
          <w:rStyle w:val="af2"/>
          <w:rFonts w:eastAsia="Guttman Hodes"/>
          <w:cs/>
        </w:rPr>
        <w:t>‎</w:t>
      </w:r>
      <w:r w:rsidR="00D82181">
        <w:rPr>
          <w:rStyle w:val="af2"/>
          <w:rFonts w:eastAsia="Guttman Hodes"/>
          <w:rtl/>
        </w:rPr>
        <w:t>יד)</w:t>
      </w:r>
      <w:r w:rsidRPr="00D16BB6">
        <w:rPr>
          <w:rStyle w:val="af2"/>
          <w:rFonts w:eastAsia="Guttman Hodes"/>
          <w:rtl/>
        </w:rPr>
        <w:fldChar w:fldCharType="end"/>
      </w:r>
      <w:r w:rsidRPr="00135DFF">
        <w:rPr>
          <w:rStyle w:val="afff9"/>
          <w:rFonts w:hint="cs"/>
          <w:color w:val="auto"/>
          <w:u w:val="none"/>
          <w:rtl/>
        </w:rPr>
        <w:t xml:space="preserve"> </w:t>
      </w:r>
      <w:r w:rsidRPr="00135DFF">
        <w:rPr>
          <w:rFonts w:hint="cs"/>
          <w:rtl/>
        </w:rPr>
        <w:t>דמספקא ליה מה גירסת</w:t>
      </w:r>
      <w:r w:rsidRPr="00135DFF">
        <w:rPr>
          <w:rStyle w:val="afff9"/>
          <w:rFonts w:hint="cs"/>
          <w:color w:val="auto"/>
          <w:u w:val="none"/>
          <w:rtl/>
        </w:rPr>
        <w:t xml:space="preserve"> </w:t>
      </w:r>
      <w:r w:rsidRPr="00135DFF">
        <w:rPr>
          <w:rStyle w:val="aff4"/>
          <w:rFonts w:hint="cs"/>
          <w:vanish/>
          <w:rtl/>
        </w:rPr>
        <w:t>-</w:t>
      </w:r>
      <w:r w:rsidRPr="00135DFF">
        <w:rPr>
          <w:rStyle w:val="aff4"/>
          <w:rFonts w:hint="cs"/>
          <w:rtl/>
        </w:rPr>
        <w:t>רש"י</w:t>
      </w:r>
      <w:r w:rsidRPr="00D16BB6">
        <w:rPr>
          <w:rFonts w:hint="cs"/>
          <w:vanish/>
          <w:rtl/>
        </w:rPr>
        <w:t>-</w:t>
      </w:r>
      <w:r w:rsidRPr="00135DFF">
        <w:rPr>
          <w:rFonts w:hint="cs"/>
          <w:rtl/>
        </w:rPr>
        <w:t xml:space="preserve"> בברייתא השניה.</w:t>
      </w:r>
      <w:bookmarkEnd w:id="2168"/>
    </w:p>
    <w:p w14:paraId="72DF1D1E" w14:textId="77777777" w:rsidR="00592982" w:rsidRPr="00747170" w:rsidRDefault="00592982" w:rsidP="00747170">
      <w:pPr>
        <w:pStyle w:val="a2"/>
      </w:pPr>
      <w:r w:rsidRPr="00747170">
        <w:rPr>
          <w:rtl/>
        </w:rPr>
        <w:t>והתניא - לעיל חייב, ואי בבורר ומניח לאלתר - מותר לכתחלה הויא, ופטור אבל אסור ליכא.</w:t>
      </w:r>
    </w:p>
    <w:p w14:paraId="746CFA89" w14:textId="77777777" w:rsidR="00592982" w:rsidRPr="00C61A8D" w:rsidRDefault="00592982" w:rsidP="00747170">
      <w:pPr>
        <w:pStyle w:val="afffff5"/>
      </w:pPr>
      <w:r w:rsidRPr="00C61A8D">
        <w:rPr>
          <w:rtl/>
        </w:rPr>
        <w:t>ורבינו שלמה ז"ל לא גריס שני מיני אוכלין אלא היו לפניו מיני אוכלין. ה"ג בפי' רבינו שלמה ז"ל היו לפניו [מיני] אוכלין ובירר והניח רב אשי מתני חייב רב ירמיה מדפתי מתני פטור והתניא חייב כאן בקנון ותמחוי כאן בנפה וכברה. ופירש רבינו שלמה ז"ל דמברייתא דלעיל קא פריך ליה דקתני לבו ביום לא יברור ואם בירר נעשה כבורר לאוצר וחייב חטאת.</w:t>
      </w:r>
    </w:p>
    <w:p w14:paraId="13D456AE" w14:textId="77777777" w:rsidR="00592982" w:rsidRPr="00C61A8D" w:rsidRDefault="00592982" w:rsidP="00747170">
      <w:pPr>
        <w:pStyle w:val="afffff5"/>
        <w:rPr>
          <w:rtl/>
        </w:rPr>
      </w:pPr>
      <w:r w:rsidRPr="00C61A8D">
        <w:rPr>
          <w:rtl/>
        </w:rPr>
        <w:t>דע, דרש"י [שבת עד, א ד"ה היו] לא גרס "שני" מיני בברייתא, ובמחלוקת רב ירמיה ורב אשי [שבת שם] משמע דגרס, וצריך טעם.</w:t>
      </w:r>
    </w:p>
    <w:p w14:paraId="540DFCE5" w14:textId="326F31EB" w:rsidR="00592982" w:rsidRDefault="00592982" w:rsidP="00592982">
      <w:pPr>
        <w:pStyle w:val="afffff7"/>
        <w:rPr>
          <w:rtl/>
        </w:rPr>
      </w:pPr>
      <w:bookmarkStart w:id="2169" w:name="_Toc137742007"/>
      <w:bookmarkStart w:id="2170" w:name="_Toc163505774"/>
      <w:r>
        <w:rPr>
          <w:rtl/>
        </w:rPr>
        <w:t>חדושי הרמב"ן שבת ע"ד ע"א</w:t>
      </w:r>
      <w:r>
        <w:rPr>
          <w:rFonts w:hint="cs"/>
          <w:rtl/>
        </w:rPr>
        <w:t xml:space="preserve"> ד"ה והתניא</w:t>
      </w:r>
      <w:bookmarkEnd w:id="2169"/>
      <w:bookmarkEnd w:id="2170"/>
    </w:p>
    <w:p w14:paraId="37ABB30F" w14:textId="77777777" w:rsidR="00592982" w:rsidRDefault="00592982" w:rsidP="00592982">
      <w:pPr>
        <w:pStyle w:val="a7"/>
        <w:rPr>
          <w:rtl/>
        </w:rPr>
      </w:pPr>
      <w:bookmarkStart w:id="2171" w:name="_Toc137741919"/>
      <w:r>
        <w:rPr>
          <w:rFonts w:hint="cs"/>
          <w:rtl/>
        </w:rPr>
        <w:t>בי' הרמב"ן [ברש"י] דיש ב' ברייתות ובראשונה איירי באוכל ופסולת ובשניה בב' מיני אוכלין</w:t>
      </w:r>
      <w:bookmarkEnd w:id="2171"/>
    </w:p>
    <w:p w14:paraId="5101266F" w14:textId="5A4D3C89" w:rsidR="00592982" w:rsidRPr="00416DCA" w:rsidRDefault="00592982" w:rsidP="00BC7DC8">
      <w:pPr>
        <w:pStyle w:val="a3"/>
        <w:rPr>
          <w:rtl/>
        </w:rPr>
      </w:pPr>
      <w:bookmarkStart w:id="2172" w:name="_Ref136948284"/>
      <w:r>
        <w:rPr>
          <w:rFonts w:hint="cs"/>
          <w:rtl/>
        </w:rPr>
        <w:t xml:space="preserve">במ"ש </w:t>
      </w:r>
      <w:r w:rsidRPr="00735FCE">
        <w:rPr>
          <w:rStyle w:val="aff4"/>
          <w:rFonts w:hint="cs"/>
          <w:vanish/>
          <w:rtl/>
        </w:rPr>
        <w:t>-</w:t>
      </w:r>
      <w:r w:rsidRPr="007439A4">
        <w:rPr>
          <w:rStyle w:val="aff4"/>
          <w:rFonts w:hint="cs"/>
          <w:rtl/>
        </w:rPr>
        <w:t>רש"י</w:t>
      </w:r>
      <w:r w:rsidRPr="00735FCE">
        <w:rPr>
          <w:rStyle w:val="aff4"/>
          <w:rFonts w:hint="cs"/>
          <w:vanish/>
          <w:rtl/>
        </w:rPr>
        <w:t>-</w:t>
      </w:r>
      <w:r>
        <w:rPr>
          <w:rFonts w:hint="cs"/>
          <w:rtl/>
        </w:rPr>
        <w:t xml:space="preserve"> </w:t>
      </w:r>
      <w:r w:rsidRPr="00D16BB6">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Ref136812066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ב)</w:t>
      </w:r>
      <w:r>
        <w:rPr>
          <w:rStyle w:val="af2"/>
          <w:rFonts w:eastAsia="Guttman Hodes"/>
          <w:rtl/>
        </w:rPr>
        <w:fldChar w:fldCharType="end"/>
      </w:r>
      <w:r>
        <w:rPr>
          <w:rFonts w:hint="cs"/>
          <w:rtl/>
        </w:rPr>
        <w:t xml:space="preserve"> דקושית הגמ' על רב אשי היא מהברייתא שהביאה הגמ' בתחילה, דחה </w:t>
      </w:r>
      <w:r w:rsidRPr="00735FCE">
        <w:rPr>
          <w:rStyle w:val="aff4"/>
          <w:rFonts w:hint="cs"/>
          <w:vanish/>
          <w:rtl/>
        </w:rPr>
        <w:t>-</w:t>
      </w:r>
      <w:r w:rsidRPr="007439A4">
        <w:rPr>
          <w:rStyle w:val="aff4"/>
          <w:rFonts w:hint="cs"/>
          <w:rtl/>
        </w:rPr>
        <w:t>ה</w:t>
      </w:r>
      <w:r w:rsidRPr="00735FCE">
        <w:rPr>
          <w:rStyle w:val="aff4"/>
          <w:rFonts w:hint="cs"/>
          <w:vanish/>
          <w:rtl/>
        </w:rPr>
        <w:t xml:space="preserve">&lt;. </w:t>
      </w:r>
      <w:r w:rsidRPr="00735FCE">
        <w:rPr>
          <w:rStyle w:val="aff4"/>
          <w:vanish/>
          <w:rtl/>
        </w:rPr>
        <w:fldChar w:fldCharType="begin"/>
      </w:r>
      <w:r w:rsidRPr="00735FCE">
        <w:rPr>
          <w:rStyle w:val="aff4"/>
          <w:vanish/>
          <w:rtl/>
        </w:rPr>
        <w:instrText xml:space="preserve"> </w:instrText>
      </w:r>
      <w:r w:rsidRPr="00735FCE">
        <w:rPr>
          <w:rStyle w:val="aff4"/>
          <w:rFonts w:hint="cs"/>
          <w:vanish/>
        </w:rPr>
        <w:instrText>REF</w:instrText>
      </w:r>
      <w:r w:rsidRPr="00735FCE">
        <w:rPr>
          <w:rStyle w:val="aff4"/>
          <w:rFonts w:hint="cs"/>
          <w:vanish/>
          <w:rtl/>
        </w:rPr>
        <w:instrText xml:space="preserve"> _</w:instrText>
      </w:r>
      <w:r w:rsidRPr="00735FCE">
        <w:rPr>
          <w:rStyle w:val="aff4"/>
          <w:rFonts w:hint="cs"/>
          <w:vanish/>
        </w:rPr>
        <w:instrText>Ref136948284 \r \h</w:instrText>
      </w:r>
      <w:r w:rsidRPr="00735FCE">
        <w:rPr>
          <w:rStyle w:val="aff4"/>
          <w:vanish/>
          <w:rtl/>
        </w:rPr>
        <w:instrText xml:space="preserve"> </w:instrText>
      </w:r>
      <w:r w:rsidRPr="00735FCE">
        <w:rPr>
          <w:rStyle w:val="aff4"/>
          <w:vanish/>
          <w:rtl/>
        </w:rPr>
      </w:r>
      <w:r w:rsidRPr="00735FCE">
        <w:rPr>
          <w:rStyle w:val="aff4"/>
          <w:vanish/>
          <w:rtl/>
        </w:rPr>
        <w:fldChar w:fldCharType="separate"/>
      </w:r>
      <w:r w:rsidR="00D82181">
        <w:rPr>
          <w:rStyle w:val="aff4"/>
          <w:vanish/>
          <w:cs/>
        </w:rPr>
        <w:t>‎</w:t>
      </w:r>
      <w:r w:rsidR="00D82181">
        <w:rPr>
          <w:rStyle w:val="aff4"/>
          <w:vanish/>
          <w:rtl/>
        </w:rPr>
        <w:t>ג)</w:t>
      </w:r>
      <w:r w:rsidRPr="00735FCE">
        <w:rPr>
          <w:rStyle w:val="aff4"/>
          <w:vanish/>
          <w:rtl/>
        </w:rPr>
        <w:fldChar w:fldCharType="end"/>
      </w:r>
      <w:r w:rsidRPr="00735FCE">
        <w:rPr>
          <w:rStyle w:val="aff4"/>
          <w:rFonts w:hint="cs"/>
          <w:vanish/>
          <w:rtl/>
        </w:rPr>
        <w:t xml:space="preserve"> &gt;</w:t>
      </w:r>
      <w:r w:rsidRPr="007439A4">
        <w:rPr>
          <w:rStyle w:val="aff4"/>
          <w:rFonts w:hint="cs"/>
          <w:rtl/>
        </w:rPr>
        <w:t>רמב"ן</w:t>
      </w:r>
      <w:r w:rsidRPr="00735FCE">
        <w:rPr>
          <w:rStyle w:val="aff4"/>
          <w:rFonts w:hint="cs"/>
          <w:vanish/>
          <w:rtl/>
        </w:rPr>
        <w:t>-</w:t>
      </w:r>
      <w:r>
        <w:rPr>
          <w:rFonts w:hint="cs"/>
          <w:rtl/>
        </w:rPr>
        <w:t xml:space="preserve"> </w:t>
      </w:r>
      <w:r w:rsidRPr="00D16BB6">
        <w:rPr>
          <w:rStyle w:val="af2"/>
          <w:rFonts w:eastAsia="Guttman Hodes" w:hint="cs"/>
          <w:rtl/>
        </w:rPr>
        <w:t>(ד"ה והתניא)</w:t>
      </w:r>
      <w:r w:rsidRPr="00735FCE">
        <w:rPr>
          <w:rFonts w:hint="cs"/>
          <w:vanish/>
          <w:rtl/>
        </w:rPr>
        <w:t>=</w:t>
      </w:r>
      <w:r>
        <w:rPr>
          <w:rFonts w:hint="cs"/>
          <w:rtl/>
        </w:rPr>
        <w:t xml:space="preserve"> דהגמ' העמידה את הברייתא בנפה וכברה, והא את בברייתא הראשונה ביארה הגמ' דבורר לאלתר מותר, ובנפה הוא אסור, אלא ביאר </w:t>
      </w:r>
      <w:r w:rsidRPr="00735FCE">
        <w:rPr>
          <w:rStyle w:val="aff4"/>
          <w:rFonts w:hint="cs"/>
          <w:vanish/>
          <w:rtl/>
        </w:rPr>
        <w:t>-</w:t>
      </w:r>
      <w:r w:rsidRPr="007439A4">
        <w:rPr>
          <w:rStyle w:val="aff4"/>
          <w:rFonts w:hint="cs"/>
          <w:rtl/>
        </w:rPr>
        <w:t>הרמב"ן</w:t>
      </w:r>
      <w:r w:rsidRPr="00735FCE">
        <w:rPr>
          <w:rStyle w:val="aff4"/>
          <w:rFonts w:hint="cs"/>
          <w:vanish/>
          <w:rtl/>
        </w:rPr>
        <w:t>-</w:t>
      </w:r>
      <w:r>
        <w:rPr>
          <w:rFonts w:hint="cs"/>
          <w:rtl/>
        </w:rPr>
        <w:t xml:space="preserve"> </w:t>
      </w:r>
      <w:r w:rsidRPr="00D16BB6">
        <w:rPr>
          <w:rStyle w:val="af"/>
          <w:rFonts w:hint="cs"/>
          <w:rtl/>
        </w:rPr>
        <w:t xml:space="preserve">[בדעת </w:t>
      </w:r>
      <w:r w:rsidRPr="00D16BB6">
        <w:rPr>
          <w:rStyle w:val="aff9"/>
          <w:rFonts w:hint="cs"/>
          <w:vanish/>
          <w:rtl/>
        </w:rPr>
        <w:t>-</w:t>
      </w:r>
      <w:r w:rsidRPr="00D16BB6">
        <w:rPr>
          <w:rStyle w:val="aff9"/>
          <w:rFonts w:hint="cs"/>
          <w:rtl/>
        </w:rPr>
        <w:t>רש"י</w:t>
      </w:r>
      <w:r w:rsidRPr="00D16BB6">
        <w:rPr>
          <w:rStyle w:val="aff9"/>
          <w:rFonts w:hint="cs"/>
          <w:vanish/>
          <w:rtl/>
        </w:rPr>
        <w:t>-</w:t>
      </w:r>
      <w:r w:rsidRPr="00D16BB6">
        <w:rPr>
          <w:rStyle w:val="af"/>
          <w:rFonts w:hint="cs"/>
          <w:rtl/>
        </w:rPr>
        <w:t>]</w:t>
      </w:r>
      <w:r>
        <w:rPr>
          <w:rFonts w:hint="cs"/>
          <w:rtl/>
        </w:rPr>
        <w:t xml:space="preserve"> דהגמ' מקשה מברייתא אחרת, ורב אשי ורב ירמיה מדפתי נחלקו בב' מיני אוכלין שאין בהם פסולת כלל, אי בקנון ובתמחוי פטור</w:t>
      </w:r>
      <w:r w:rsidRPr="00BA7959">
        <w:rPr>
          <w:rFonts w:hint="cs"/>
          <w:rtl/>
        </w:rPr>
        <w:t xml:space="preserve"> </w:t>
      </w:r>
      <w:r>
        <w:rPr>
          <w:rFonts w:hint="cs"/>
          <w:rtl/>
        </w:rPr>
        <w:t>בכה"ג, אבל בברייתא הראשונה איירי באוכל ופסולת מעורבין, ולכן תני בברייתא הראשונה דבקנון ובתמחוי בו ביום חייב חטאת, אבל לאלתר מותר</w:t>
      </w:r>
      <w:bookmarkEnd w:id="2172"/>
      <w:r>
        <w:rPr>
          <w:rFonts w:hint="cs"/>
          <w:rtl/>
        </w:rPr>
        <w:t xml:space="preserve">, ועיי"ש במ"ש </w:t>
      </w:r>
      <w:r w:rsidRPr="00735FCE">
        <w:rPr>
          <w:rStyle w:val="aff4"/>
          <w:rFonts w:hint="cs"/>
          <w:vanish/>
          <w:rtl/>
        </w:rPr>
        <w:t>-</w:t>
      </w:r>
      <w:r w:rsidRPr="007439A4">
        <w:rPr>
          <w:rStyle w:val="aff4"/>
          <w:rFonts w:hint="cs"/>
          <w:rtl/>
        </w:rPr>
        <w:t>הרמב"ן</w:t>
      </w:r>
      <w:r w:rsidRPr="00735FCE">
        <w:rPr>
          <w:rStyle w:val="aff4"/>
          <w:rFonts w:hint="cs"/>
          <w:vanish/>
          <w:rtl/>
        </w:rPr>
        <w:t>-</w:t>
      </w:r>
      <w:r>
        <w:rPr>
          <w:rFonts w:hint="cs"/>
          <w:rtl/>
        </w:rPr>
        <w:t xml:space="preserve"> דהביאור הוא כדברי </w:t>
      </w:r>
      <w:r w:rsidRPr="00735FCE">
        <w:rPr>
          <w:rStyle w:val="aff4"/>
          <w:rFonts w:hint="cs"/>
          <w:vanish/>
          <w:rtl/>
        </w:rPr>
        <w:t>-</w:t>
      </w:r>
      <w:r w:rsidRPr="007439A4">
        <w:rPr>
          <w:rStyle w:val="aff4"/>
          <w:rFonts w:hint="cs"/>
          <w:rtl/>
        </w:rPr>
        <w:t>ר"ח</w:t>
      </w:r>
      <w:r w:rsidRPr="00735FCE">
        <w:rPr>
          <w:rStyle w:val="aff4"/>
          <w:rFonts w:hint="cs"/>
          <w:vanish/>
          <w:rtl/>
        </w:rPr>
        <w:t>-</w:t>
      </w:r>
      <w:r>
        <w:rPr>
          <w:rFonts w:hint="cs"/>
          <w:rtl/>
        </w:rPr>
        <w:t xml:space="preserve"> ודלא </w:t>
      </w:r>
      <w:r w:rsidRPr="00735FCE">
        <w:rPr>
          <w:rStyle w:val="aff4"/>
          <w:rFonts w:hint="cs"/>
          <w:vanish/>
          <w:rtl/>
        </w:rPr>
        <w:t>-</w:t>
      </w:r>
      <w:r>
        <w:rPr>
          <w:rStyle w:val="aff4"/>
          <w:rFonts w:hint="cs"/>
          <w:rtl/>
        </w:rPr>
        <w:t>כ</w:t>
      </w:r>
      <w:r w:rsidRPr="007439A4">
        <w:rPr>
          <w:rStyle w:val="aff4"/>
          <w:rFonts w:hint="cs"/>
          <w:rtl/>
        </w:rPr>
        <w:t>רש"י</w:t>
      </w:r>
      <w:r w:rsidRPr="00735FCE">
        <w:rPr>
          <w:rStyle w:val="aff4"/>
          <w:rFonts w:hint="cs"/>
          <w:vanish/>
          <w:rtl/>
        </w:rPr>
        <w:t>-</w:t>
      </w:r>
      <w:r>
        <w:rPr>
          <w:rFonts w:hint="cs"/>
          <w:rtl/>
        </w:rPr>
        <w:t>.</w:t>
      </w:r>
    </w:p>
    <w:p w14:paraId="342C3DF3" w14:textId="77777777" w:rsidR="00592982" w:rsidRPr="00747170" w:rsidRDefault="00592982" w:rsidP="00747170">
      <w:pPr>
        <w:pStyle w:val="a2"/>
      </w:pPr>
      <w:r w:rsidRPr="00747170">
        <w:rPr>
          <w:rtl/>
        </w:rPr>
        <w:t>והתניא חייב. פרש"י ז"ל היינו הא דתניא לעיל בתירוציה דאביי ולבו ביום לא יברור ואם בירר נעשה כבורר לאוצר וחייב חטאת ואי הא דרב אשי בבורר ואוכל לאלתר מותר לכתחלה הוא וליכא פטור אבל אסור, ואין הפירוש הזה נכון, משום דמוקמינן לה בנפה וכברה ואם כן היכי קתני רישא לאלתר מותר והא אמרינן במס' ביצה ובנפה ובכברה לא יברור כ"ש בשבת שאסור, ויש לפרש דברייתא אחרת היא ופלוגתא דרב אשי ורב ירמיה מדיפתי בשני מיני אוכלין שאין בהן פסולת כלל לפיכך נחלקו בה בקנון ובתמחוי ואפילו לבו ביום דמר פטר ומר מחייב אבל לאלתר מותר, וברייתא דלעיל באוכל ופסולת מעורבין ובקנון ובתמחוי ומשום הכי לבו ביום חייב חטאת ומיהו לאלתר מותר</w:t>
      </w:r>
      <w:r w:rsidRPr="00747170">
        <w:rPr>
          <w:rFonts w:hint="cs"/>
          <w:rtl/>
        </w:rPr>
        <w:t>.</w:t>
      </w:r>
      <w:r w:rsidRPr="00747170">
        <w:rPr>
          <w:rtl/>
        </w:rPr>
        <w:t xml:space="preserve"> </w:t>
      </w:r>
    </w:p>
    <w:p w14:paraId="20517403" w14:textId="792AA50F" w:rsidR="00592982" w:rsidRDefault="00592982" w:rsidP="00592982">
      <w:pPr>
        <w:pStyle w:val="afffff7"/>
        <w:rPr>
          <w:rtl/>
        </w:rPr>
      </w:pPr>
      <w:bookmarkStart w:id="2173" w:name="_Toc137742008"/>
      <w:bookmarkStart w:id="2174" w:name="_Toc163505775"/>
      <w:r>
        <w:rPr>
          <w:rtl/>
        </w:rPr>
        <w:t>רש"י שבת ק"מ ע"א</w:t>
      </w:r>
      <w:r>
        <w:rPr>
          <w:rFonts w:hint="cs"/>
          <w:rtl/>
        </w:rPr>
        <w:t xml:space="preserve"> ד"ה לפי</w:t>
      </w:r>
      <w:bookmarkEnd w:id="2173"/>
      <w:bookmarkEnd w:id="2174"/>
    </w:p>
    <w:p w14:paraId="6FDC5DAB" w14:textId="77777777" w:rsidR="00592982" w:rsidRDefault="00592982" w:rsidP="00592982">
      <w:pPr>
        <w:pStyle w:val="a7"/>
        <w:rPr>
          <w:rtl/>
        </w:rPr>
      </w:pPr>
      <w:bookmarkStart w:id="2175" w:name="_Toc137741920"/>
      <w:r>
        <w:rPr>
          <w:rFonts w:hint="cs"/>
          <w:rtl/>
        </w:rPr>
        <w:t>בי' רש"י לקמן דמותר לסנן ביצה במסננת של חרדל דהחלמון יורד לגוון ושניהם לא לאכילה</w:t>
      </w:r>
      <w:bookmarkEnd w:id="2175"/>
    </w:p>
    <w:p w14:paraId="74026D5E" w14:textId="1F071864" w:rsidR="00592982" w:rsidRDefault="00592982" w:rsidP="00BC7DC8">
      <w:pPr>
        <w:pStyle w:val="a3"/>
      </w:pPr>
      <w:bookmarkStart w:id="2176" w:name="_Ref137585016"/>
      <w:bookmarkStart w:id="2177" w:name="_Ref137574611"/>
      <w:r>
        <w:rPr>
          <w:rFonts w:hint="cs"/>
          <w:rtl/>
        </w:rPr>
        <w:t xml:space="preserve">בהא דאיתא בגמ' לקמן </w:t>
      </w:r>
      <w:r w:rsidRPr="00D16BB6">
        <w:rPr>
          <w:rStyle w:val="af2"/>
          <w:rFonts w:eastAsia="Guttman Hodes" w:hint="cs"/>
          <w:rtl/>
        </w:rPr>
        <w:t>(קמ.)</w:t>
      </w:r>
      <w:r>
        <w:rPr>
          <w:rFonts w:hint="cs"/>
          <w:rtl/>
        </w:rPr>
        <w:t xml:space="preserve"> דמותר לתת ביצה במסננת של חרדל כיון שהיא רק לגוון, ביאר </w:t>
      </w:r>
      <w:r w:rsidRPr="00A91E2E">
        <w:rPr>
          <w:rFonts w:hint="cs"/>
          <w:vanish/>
          <w:rtl/>
        </w:rPr>
        <w:t xml:space="preserve">&lt;. </w:t>
      </w:r>
      <w:r>
        <w:rPr>
          <w:vanish/>
          <w:rtl/>
        </w:rPr>
        <w:fldChar w:fldCharType="begin"/>
      </w:r>
      <w:r>
        <w:rPr>
          <w:vanish/>
          <w:rtl/>
        </w:rPr>
        <w:instrText xml:space="preserve"> </w:instrText>
      </w:r>
      <w:r>
        <w:rPr>
          <w:rFonts w:hint="cs"/>
          <w:vanish/>
        </w:rPr>
        <w:instrText>REF</w:instrText>
      </w:r>
      <w:r>
        <w:rPr>
          <w:rFonts w:hint="cs"/>
          <w:vanish/>
          <w:rtl/>
        </w:rPr>
        <w:instrText xml:space="preserve"> _</w:instrText>
      </w:r>
      <w:r>
        <w:rPr>
          <w:rFonts w:hint="cs"/>
          <w:vanish/>
        </w:rPr>
        <w:instrText>Ref137574611 \r \h</w:instrText>
      </w:r>
      <w:r>
        <w:rPr>
          <w:vanish/>
          <w:rtl/>
        </w:rPr>
        <w:instrText xml:space="preserve"> </w:instrText>
      </w:r>
      <w:r>
        <w:rPr>
          <w:vanish/>
          <w:rtl/>
        </w:rPr>
      </w:r>
      <w:r>
        <w:rPr>
          <w:vanish/>
          <w:rtl/>
        </w:rPr>
        <w:fldChar w:fldCharType="separate"/>
      </w:r>
      <w:r w:rsidR="00D82181">
        <w:rPr>
          <w:vanish/>
          <w:cs/>
        </w:rPr>
        <w:t>‎</w:t>
      </w:r>
      <w:r w:rsidR="00D82181">
        <w:rPr>
          <w:vanish/>
          <w:rtl/>
        </w:rPr>
        <w:t>ד)</w:t>
      </w:r>
      <w:r>
        <w:rPr>
          <w:vanish/>
          <w:rtl/>
        </w:rPr>
        <w:fldChar w:fldCharType="end"/>
      </w:r>
      <w:r w:rsidRPr="00A91E2E">
        <w:rPr>
          <w:rFonts w:hint="cs"/>
          <w:vanish/>
          <w:rtl/>
        </w:rPr>
        <w:t xml:space="preserve"> &gt;</w:t>
      </w:r>
      <w:r w:rsidRPr="00A91E2E">
        <w:rPr>
          <w:rStyle w:val="aff4"/>
          <w:rFonts w:hint="cs"/>
          <w:vanish/>
          <w:rtl/>
        </w:rPr>
        <w:t>-</w:t>
      </w:r>
      <w:r w:rsidRPr="007439A4">
        <w:rPr>
          <w:rStyle w:val="aff4"/>
          <w:rFonts w:hint="cs"/>
          <w:rtl/>
        </w:rPr>
        <w:t>רש"י לקמן</w:t>
      </w:r>
      <w:r w:rsidRPr="00A91E2E">
        <w:rPr>
          <w:rStyle w:val="aff4"/>
          <w:rFonts w:hint="cs"/>
          <w:vanish/>
          <w:rtl/>
        </w:rPr>
        <w:t>-</w:t>
      </w:r>
      <w:r>
        <w:rPr>
          <w:rFonts w:hint="cs"/>
          <w:rtl/>
        </w:rPr>
        <w:t xml:space="preserve"> </w:t>
      </w:r>
      <w:r w:rsidRPr="00D16BB6">
        <w:rPr>
          <w:rStyle w:val="af2"/>
          <w:rFonts w:eastAsia="Guttman Hodes" w:hint="cs"/>
          <w:rtl/>
        </w:rPr>
        <w:t>(קמ. ד"ה לפי)</w:t>
      </w:r>
      <w:r w:rsidRPr="00A91E2E">
        <w:rPr>
          <w:rFonts w:hint="cs"/>
          <w:vanish/>
          <w:rtl/>
        </w:rPr>
        <w:t>=</w:t>
      </w:r>
      <w:r>
        <w:rPr>
          <w:rFonts w:hint="cs"/>
          <w:rtl/>
        </w:rPr>
        <w:t xml:space="preserve"> דהחלמון יפה לגוון ולא החלבון, וכיון ששניהם אוכל אי"ז ברירת פסולת מאוכל.</w:t>
      </w:r>
      <w:bookmarkEnd w:id="2176"/>
    </w:p>
    <w:bookmarkEnd w:id="2177"/>
    <w:p w14:paraId="1C2A9FEB" w14:textId="77777777" w:rsidR="00592982" w:rsidRPr="00747170" w:rsidRDefault="00592982" w:rsidP="00747170">
      <w:pPr>
        <w:pStyle w:val="a2"/>
      </w:pPr>
      <w:r w:rsidRPr="00747170">
        <w:rPr>
          <w:rtl/>
        </w:rPr>
        <w:t>לפי שאין עושין אלא לגוון - למראה, שהחלמון יפה לגוון ולא החלבון, הלכך אידי ואידי אוכל הוא, ואין כאן ברירת פסולת מאוכל.</w:t>
      </w:r>
    </w:p>
    <w:p w14:paraId="2A45BC16" w14:textId="3A6E9432" w:rsidR="00592982" w:rsidRDefault="00592982" w:rsidP="00592982">
      <w:pPr>
        <w:pStyle w:val="afffff7"/>
      </w:pPr>
      <w:bookmarkStart w:id="2178" w:name="_Toc137742009"/>
      <w:bookmarkStart w:id="2179" w:name="_Toc163505776"/>
      <w:r>
        <w:rPr>
          <w:rtl/>
        </w:rPr>
        <w:t>מאירי שבת ע"ד ע"א</w:t>
      </w:r>
      <w:r>
        <w:rPr>
          <w:rFonts w:hint="cs"/>
          <w:rtl/>
        </w:rPr>
        <w:t xml:space="preserve"> ד"ה </w:t>
      </w:r>
      <w:r>
        <w:rPr>
          <w:rtl/>
        </w:rPr>
        <w:t>גדולי הפוסקי</w:t>
      </w:r>
      <w:r>
        <w:rPr>
          <w:rFonts w:hint="cs"/>
          <w:rtl/>
        </w:rPr>
        <w:t>ם</w:t>
      </w:r>
      <w:bookmarkEnd w:id="2178"/>
      <w:bookmarkEnd w:id="2179"/>
    </w:p>
    <w:p w14:paraId="504D56EE" w14:textId="77777777" w:rsidR="00592982" w:rsidRPr="001A21F2" w:rsidRDefault="00592982" w:rsidP="00592982">
      <w:pPr>
        <w:pStyle w:val="a7"/>
        <w:rPr>
          <w:rtl/>
        </w:rPr>
      </w:pPr>
      <w:bookmarkStart w:id="2180" w:name="_Toc137741921"/>
      <w:r>
        <w:rPr>
          <w:rFonts w:hint="cs"/>
          <w:rtl/>
        </w:rPr>
        <w:t>בי' הי"מ במאירי דרש"י ס"ל דאין ברירה באוכל מאוכל ודחיית המאירי דהוי בורר</w:t>
      </w:r>
      <w:bookmarkStart w:id="2181" w:name="_Hlk136887446"/>
      <w:bookmarkEnd w:id="2180"/>
    </w:p>
    <w:p w14:paraId="420CD87B" w14:textId="1EAD774F" w:rsidR="00592982" w:rsidRPr="00EB19B6" w:rsidRDefault="00592982" w:rsidP="00BC7DC8">
      <w:pPr>
        <w:pStyle w:val="a3"/>
        <w:rPr>
          <w:rtl/>
        </w:rPr>
      </w:pPr>
      <w:bookmarkStart w:id="2182" w:name="_Ref136947119"/>
      <w:r>
        <w:rPr>
          <w:rFonts w:hint="cs"/>
          <w:rtl/>
        </w:rPr>
        <w:t xml:space="preserve">הביא </w:t>
      </w:r>
      <w:r w:rsidRPr="008734E7">
        <w:rPr>
          <w:rStyle w:val="aff4"/>
          <w:rFonts w:hint="cs"/>
          <w:vanish/>
          <w:rtl/>
        </w:rPr>
        <w:t>-</w:t>
      </w:r>
      <w:r w:rsidRPr="007439A4">
        <w:rPr>
          <w:rStyle w:val="aff4"/>
          <w:rFonts w:hint="cs"/>
          <w:rtl/>
        </w:rPr>
        <w:t>ה</w:t>
      </w:r>
      <w:r w:rsidRPr="008734E7">
        <w:rPr>
          <w:rStyle w:val="aff4"/>
          <w:rFonts w:hint="cs"/>
          <w:vanish/>
          <w:rtl/>
        </w:rPr>
        <w:t xml:space="preserve">&lt;. </w:t>
      </w:r>
      <w:r w:rsidRPr="008734E7">
        <w:rPr>
          <w:rStyle w:val="aff4"/>
          <w:vanish/>
          <w:rtl/>
        </w:rPr>
        <w:fldChar w:fldCharType="begin"/>
      </w:r>
      <w:r w:rsidRPr="008734E7">
        <w:rPr>
          <w:rStyle w:val="aff4"/>
          <w:vanish/>
          <w:rtl/>
        </w:rPr>
        <w:instrText xml:space="preserve"> </w:instrText>
      </w:r>
      <w:r w:rsidRPr="008734E7">
        <w:rPr>
          <w:rStyle w:val="aff4"/>
          <w:rFonts w:hint="cs"/>
          <w:vanish/>
        </w:rPr>
        <w:instrText>REF</w:instrText>
      </w:r>
      <w:r w:rsidRPr="008734E7">
        <w:rPr>
          <w:rStyle w:val="aff4"/>
          <w:rFonts w:hint="cs"/>
          <w:vanish/>
          <w:rtl/>
        </w:rPr>
        <w:instrText xml:space="preserve"> _</w:instrText>
      </w:r>
      <w:r w:rsidRPr="008734E7">
        <w:rPr>
          <w:rStyle w:val="aff4"/>
          <w:rFonts w:hint="cs"/>
          <w:vanish/>
        </w:rPr>
        <w:instrText>Ref136947119 \r \h</w:instrText>
      </w:r>
      <w:r w:rsidRPr="008734E7">
        <w:rPr>
          <w:rStyle w:val="aff4"/>
          <w:vanish/>
          <w:rtl/>
        </w:rPr>
        <w:instrText xml:space="preserve"> </w:instrText>
      </w:r>
      <w:r w:rsidRPr="008734E7">
        <w:rPr>
          <w:rStyle w:val="aff4"/>
          <w:vanish/>
          <w:rtl/>
        </w:rPr>
      </w:r>
      <w:r w:rsidRPr="008734E7">
        <w:rPr>
          <w:rStyle w:val="aff4"/>
          <w:vanish/>
          <w:rtl/>
        </w:rPr>
        <w:fldChar w:fldCharType="separate"/>
      </w:r>
      <w:r w:rsidR="00D82181">
        <w:rPr>
          <w:rStyle w:val="aff4"/>
          <w:vanish/>
          <w:cs/>
        </w:rPr>
        <w:t>‎</w:t>
      </w:r>
      <w:r w:rsidR="00D82181">
        <w:rPr>
          <w:rStyle w:val="aff4"/>
          <w:vanish/>
          <w:rtl/>
        </w:rPr>
        <w:t>ה)</w:t>
      </w:r>
      <w:r w:rsidRPr="008734E7">
        <w:rPr>
          <w:rStyle w:val="aff4"/>
          <w:vanish/>
          <w:rtl/>
        </w:rPr>
        <w:fldChar w:fldCharType="end"/>
      </w:r>
      <w:r w:rsidRPr="008734E7">
        <w:rPr>
          <w:rStyle w:val="aff4"/>
          <w:rFonts w:hint="cs"/>
          <w:vanish/>
          <w:rtl/>
        </w:rPr>
        <w:t xml:space="preserve"> &gt;</w:t>
      </w:r>
      <w:r w:rsidRPr="007439A4">
        <w:rPr>
          <w:rStyle w:val="aff4"/>
          <w:rFonts w:hint="cs"/>
          <w:rtl/>
        </w:rPr>
        <w:t>מאירי</w:t>
      </w:r>
      <w:r w:rsidRPr="008734E7">
        <w:rPr>
          <w:rStyle w:val="aff4"/>
          <w:rFonts w:hint="cs"/>
          <w:vanish/>
          <w:rtl/>
        </w:rPr>
        <w:t>-</w:t>
      </w:r>
      <w:r>
        <w:rPr>
          <w:rFonts w:hint="cs"/>
          <w:rtl/>
        </w:rPr>
        <w:t xml:space="preserve"> </w:t>
      </w:r>
      <w:r w:rsidRPr="00D16BB6">
        <w:rPr>
          <w:rStyle w:val="af2"/>
          <w:rFonts w:eastAsia="Guttman Hodes" w:hint="cs"/>
          <w:rtl/>
        </w:rPr>
        <w:t xml:space="preserve">(סוד"ה </w:t>
      </w:r>
      <w:r w:rsidRPr="00D16BB6">
        <w:rPr>
          <w:rStyle w:val="af2"/>
          <w:rFonts w:eastAsia="Guttman Hodes"/>
          <w:rtl/>
        </w:rPr>
        <w:t>גדולי הפוסקים</w:t>
      </w:r>
      <w:r w:rsidRPr="00D16BB6">
        <w:rPr>
          <w:rStyle w:val="af2"/>
          <w:rFonts w:eastAsia="Guttman Hodes" w:hint="cs"/>
          <w:rtl/>
        </w:rPr>
        <w:t>)</w:t>
      </w:r>
      <w:r>
        <w:rPr>
          <w:rFonts w:hint="cs"/>
          <w:rtl/>
        </w:rPr>
        <w:t xml:space="preserve"> בשם </w:t>
      </w:r>
      <w:r w:rsidRPr="008734E7">
        <w:rPr>
          <w:rStyle w:val="aff4"/>
          <w:rFonts w:hint="cs"/>
          <w:vanish/>
          <w:rtl/>
        </w:rPr>
        <w:t>-</w:t>
      </w:r>
      <w:r w:rsidRPr="007439A4">
        <w:rPr>
          <w:rStyle w:val="aff4"/>
          <w:rFonts w:hint="cs"/>
          <w:rtl/>
        </w:rPr>
        <w:t>י"מ</w:t>
      </w:r>
      <w:r w:rsidRPr="008734E7">
        <w:rPr>
          <w:rStyle w:val="aff4"/>
          <w:rFonts w:hint="cs"/>
          <w:vanish/>
          <w:rtl/>
        </w:rPr>
        <w:t>-</w:t>
      </w:r>
      <w:r w:rsidRPr="008734E7">
        <w:rPr>
          <w:rFonts w:hint="cs"/>
          <w:vanish/>
          <w:rtl/>
        </w:rPr>
        <w:t>=</w:t>
      </w:r>
      <w:r>
        <w:rPr>
          <w:rFonts w:hint="cs"/>
          <w:rtl/>
        </w:rPr>
        <w:t xml:space="preserve"> דכתבו דלגירסת </w:t>
      </w:r>
      <w:r w:rsidRPr="008734E7">
        <w:rPr>
          <w:rStyle w:val="aff4"/>
          <w:rFonts w:hint="cs"/>
          <w:vanish/>
          <w:rtl/>
        </w:rPr>
        <w:t>-</w:t>
      </w:r>
      <w:r w:rsidRPr="007439A4">
        <w:rPr>
          <w:rStyle w:val="aff4"/>
          <w:rFonts w:hint="cs"/>
          <w:rtl/>
        </w:rPr>
        <w:t>רש"י</w:t>
      </w:r>
      <w:r w:rsidRPr="008734E7">
        <w:rPr>
          <w:rStyle w:val="aff4"/>
          <w:rFonts w:hint="cs"/>
          <w:vanish/>
          <w:rtl/>
        </w:rPr>
        <w:t>-</w:t>
      </w:r>
      <w:r>
        <w:rPr>
          <w:rFonts w:hint="cs"/>
          <w:rtl/>
        </w:rPr>
        <w:t xml:space="preserve"> </w:t>
      </w:r>
      <w:r w:rsidRPr="00D16BB6">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Ref137583936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א)</w:t>
      </w:r>
      <w:r>
        <w:rPr>
          <w:rStyle w:val="af2"/>
          <w:rFonts w:eastAsia="Guttman Hodes"/>
          <w:rtl/>
        </w:rPr>
        <w:fldChar w:fldCharType="end"/>
      </w:r>
      <w:r>
        <w:rPr>
          <w:rFonts w:hint="cs"/>
          <w:rtl/>
        </w:rPr>
        <w:t xml:space="preserve"> דל"ג "שני" מיני אוכלין, כוונת הברייתא למיני אוכלין ופסולת, אבל בב' מיני אוכלין אין ברירה, ודחה </w:t>
      </w:r>
      <w:r w:rsidRPr="008734E7">
        <w:rPr>
          <w:rStyle w:val="aff4"/>
          <w:rFonts w:hint="cs"/>
          <w:vanish/>
          <w:rtl/>
        </w:rPr>
        <w:t>-</w:t>
      </w:r>
      <w:r w:rsidRPr="007439A4">
        <w:rPr>
          <w:rStyle w:val="aff4"/>
          <w:rFonts w:hint="cs"/>
          <w:rtl/>
        </w:rPr>
        <w:t>המאירי</w:t>
      </w:r>
      <w:r w:rsidRPr="008734E7">
        <w:rPr>
          <w:rStyle w:val="aff4"/>
          <w:rFonts w:hint="cs"/>
          <w:vanish/>
          <w:rtl/>
        </w:rPr>
        <w:t>-</w:t>
      </w:r>
      <w:r>
        <w:rPr>
          <w:rFonts w:hint="cs"/>
          <w:rtl/>
        </w:rPr>
        <w:t xml:space="preserve"> את דברי </w:t>
      </w:r>
      <w:r w:rsidRPr="008734E7">
        <w:rPr>
          <w:rStyle w:val="aff4"/>
          <w:rFonts w:hint="cs"/>
          <w:vanish/>
          <w:rtl/>
        </w:rPr>
        <w:t>-</w:t>
      </w:r>
      <w:r w:rsidRPr="007439A4">
        <w:rPr>
          <w:rStyle w:val="aff4"/>
          <w:rFonts w:hint="cs"/>
          <w:rtl/>
        </w:rPr>
        <w:t>הי"מ</w:t>
      </w:r>
      <w:r>
        <w:rPr>
          <w:rFonts w:hint="cs"/>
          <w:rtl/>
        </w:rPr>
        <w:t>.</w:t>
      </w:r>
    </w:p>
    <w:bookmarkEnd w:id="2182"/>
    <w:p w14:paraId="01D9AF5E" w14:textId="77777777" w:rsidR="00592982" w:rsidRPr="00747170" w:rsidRDefault="00592982" w:rsidP="00747170">
      <w:pPr>
        <w:pStyle w:val="a2"/>
        <w:rPr>
          <w:rtl/>
        </w:rPr>
      </w:pPr>
      <w:r w:rsidRPr="00747170">
        <w:rPr>
          <w:rtl/>
        </w:rPr>
        <w:t>וי"מ אף לגירסת מיני אוכלין שהם מעורבים עם פסולת אבל אוכלין לבד אין ברירה ואין זה כלום</w:t>
      </w:r>
      <w:r w:rsidRPr="00747170">
        <w:rPr>
          <w:rFonts w:hint="cs"/>
          <w:rtl/>
        </w:rPr>
        <w:t>.</w:t>
      </w:r>
    </w:p>
    <w:p w14:paraId="172963F8" w14:textId="55D7EF45" w:rsidR="00592982" w:rsidRDefault="00592982" w:rsidP="00592982">
      <w:pPr>
        <w:pStyle w:val="afffff7"/>
        <w:rPr>
          <w:rtl/>
        </w:rPr>
      </w:pPr>
      <w:bookmarkStart w:id="2183" w:name="_Toc137742010"/>
      <w:bookmarkStart w:id="2184" w:name="_Toc163505777"/>
      <w:bookmarkEnd w:id="2181"/>
      <w:r>
        <w:rPr>
          <w:rFonts w:hint="cs"/>
          <w:rtl/>
        </w:rPr>
        <w:t>חידושי רבינו משה קזיס שבת ק"מ ע"א ד</w:t>
      </w:r>
      <w:r>
        <w:rPr>
          <w:rFonts w:cs="Guttman Hodes" w:hint="cs"/>
          <w:rtl/>
        </w:rPr>
        <w:t>"</w:t>
      </w:r>
      <w:r>
        <w:rPr>
          <w:rFonts w:hint="cs"/>
          <w:rtl/>
        </w:rPr>
        <w:t>ה ונותנים</w:t>
      </w:r>
      <w:bookmarkEnd w:id="2183"/>
      <w:bookmarkEnd w:id="2184"/>
    </w:p>
    <w:p w14:paraId="29ECEB20" w14:textId="77777777" w:rsidR="00592982" w:rsidRDefault="00592982" w:rsidP="00592982">
      <w:pPr>
        <w:pStyle w:val="a7"/>
        <w:rPr>
          <w:rtl/>
        </w:rPr>
      </w:pPr>
      <w:bookmarkStart w:id="2185" w:name="_Toc137741922"/>
      <w:r>
        <w:rPr>
          <w:rFonts w:hint="cs"/>
          <w:rtl/>
        </w:rPr>
        <w:t>בי' המהר"ם קזיס ברש"י דאין ברירה באוכל מאוכל ולכן מותר לסנן ביצה דחלמון וחלבון אוכל</w:t>
      </w:r>
      <w:bookmarkEnd w:id="2185"/>
    </w:p>
    <w:p w14:paraId="010506CA" w14:textId="0D1B3FC0" w:rsidR="00592982" w:rsidRDefault="00592982" w:rsidP="00BC7DC8">
      <w:pPr>
        <w:pStyle w:val="a3"/>
      </w:pPr>
      <w:bookmarkStart w:id="2186" w:name="_Ref137122528"/>
      <w:r>
        <w:rPr>
          <w:rFonts w:hint="cs"/>
          <w:rtl/>
        </w:rPr>
        <w:t xml:space="preserve">כתב </w:t>
      </w:r>
      <w:r w:rsidRPr="00BE47C5">
        <w:rPr>
          <w:rStyle w:val="aff4"/>
          <w:rFonts w:hint="cs"/>
          <w:vanish/>
          <w:rtl/>
        </w:rPr>
        <w:t>-</w:t>
      </w:r>
      <w:r w:rsidRPr="00BF56CC">
        <w:rPr>
          <w:rStyle w:val="aff4"/>
          <w:rFonts w:hint="cs"/>
          <w:rtl/>
        </w:rPr>
        <w:t>ה</w:t>
      </w:r>
      <w:r w:rsidRPr="00BE47C5">
        <w:rPr>
          <w:rStyle w:val="aff4"/>
          <w:rFonts w:hint="cs"/>
          <w:vanish/>
          <w:rtl/>
        </w:rPr>
        <w:t xml:space="preserve">&lt;. </w:t>
      </w:r>
      <w:r w:rsidRPr="00BE47C5">
        <w:rPr>
          <w:rStyle w:val="aff4"/>
          <w:vanish/>
          <w:rtl/>
        </w:rPr>
        <w:fldChar w:fldCharType="begin"/>
      </w:r>
      <w:r w:rsidRPr="00BE47C5">
        <w:rPr>
          <w:rStyle w:val="aff4"/>
          <w:vanish/>
          <w:rtl/>
        </w:rPr>
        <w:instrText xml:space="preserve"> </w:instrText>
      </w:r>
      <w:r w:rsidRPr="00BE47C5">
        <w:rPr>
          <w:rStyle w:val="aff4"/>
          <w:rFonts w:hint="cs"/>
          <w:vanish/>
        </w:rPr>
        <w:instrText>REF</w:instrText>
      </w:r>
      <w:r w:rsidRPr="00BE47C5">
        <w:rPr>
          <w:rStyle w:val="aff4"/>
          <w:rFonts w:hint="cs"/>
          <w:vanish/>
          <w:rtl/>
        </w:rPr>
        <w:instrText xml:space="preserve"> _</w:instrText>
      </w:r>
      <w:r w:rsidRPr="00BE47C5">
        <w:rPr>
          <w:rStyle w:val="aff4"/>
          <w:rFonts w:hint="cs"/>
          <w:vanish/>
        </w:rPr>
        <w:instrText>Ref137122528 \r \h</w:instrText>
      </w:r>
      <w:r w:rsidRPr="00BE47C5">
        <w:rPr>
          <w:rStyle w:val="aff4"/>
          <w:vanish/>
          <w:rtl/>
        </w:rPr>
        <w:instrText xml:space="preserve"> </w:instrText>
      </w:r>
      <w:r>
        <w:rPr>
          <w:rStyle w:val="aff4"/>
          <w:vanish/>
          <w:rtl/>
        </w:rPr>
        <w:instrText xml:space="preserve"> \* </w:instrText>
      </w:r>
      <w:r>
        <w:rPr>
          <w:rStyle w:val="aff4"/>
          <w:vanish/>
        </w:rPr>
        <w:instrText>MERGEFORMAT</w:instrText>
      </w:r>
      <w:r>
        <w:rPr>
          <w:rStyle w:val="aff4"/>
          <w:vanish/>
          <w:rtl/>
        </w:rPr>
        <w:instrText xml:space="preserve"> </w:instrText>
      </w:r>
      <w:r w:rsidRPr="00BE47C5">
        <w:rPr>
          <w:rStyle w:val="aff4"/>
          <w:vanish/>
          <w:rtl/>
        </w:rPr>
      </w:r>
      <w:r w:rsidRPr="00BE47C5">
        <w:rPr>
          <w:rStyle w:val="aff4"/>
          <w:vanish/>
          <w:rtl/>
        </w:rPr>
        <w:fldChar w:fldCharType="separate"/>
      </w:r>
      <w:r w:rsidR="00D82181">
        <w:rPr>
          <w:rStyle w:val="aff4"/>
          <w:vanish/>
          <w:cs/>
        </w:rPr>
        <w:t>‎</w:t>
      </w:r>
      <w:r w:rsidR="00D82181">
        <w:rPr>
          <w:rStyle w:val="aff4"/>
          <w:vanish/>
          <w:rtl/>
        </w:rPr>
        <w:t>ו)</w:t>
      </w:r>
      <w:r w:rsidRPr="00BE47C5">
        <w:rPr>
          <w:rStyle w:val="aff4"/>
          <w:vanish/>
          <w:rtl/>
        </w:rPr>
        <w:fldChar w:fldCharType="end"/>
      </w:r>
      <w:r w:rsidRPr="00BE47C5">
        <w:rPr>
          <w:rStyle w:val="aff4"/>
          <w:rFonts w:hint="cs"/>
          <w:vanish/>
          <w:rtl/>
        </w:rPr>
        <w:t xml:space="preserve"> &gt;</w:t>
      </w:r>
      <w:r w:rsidRPr="00BF56CC">
        <w:rPr>
          <w:rStyle w:val="aff4"/>
          <w:rFonts w:hint="cs"/>
          <w:rtl/>
        </w:rPr>
        <w:t>מהר"ם קזיס לקמן</w:t>
      </w:r>
      <w:r w:rsidRPr="00BE47C5">
        <w:rPr>
          <w:rStyle w:val="aff4"/>
          <w:rFonts w:hint="cs"/>
          <w:vanish/>
          <w:rtl/>
        </w:rPr>
        <w:t>-</w:t>
      </w:r>
      <w:r>
        <w:rPr>
          <w:rFonts w:hint="cs"/>
          <w:rtl/>
        </w:rPr>
        <w:t xml:space="preserve"> </w:t>
      </w:r>
      <w:r w:rsidRPr="00D16BB6">
        <w:rPr>
          <w:rStyle w:val="af2"/>
          <w:rFonts w:eastAsia="Guttman Hodes" w:hint="cs"/>
          <w:rtl/>
        </w:rPr>
        <w:t>(קמ. ד"ה ונותנים)</w:t>
      </w:r>
      <w:r w:rsidRPr="00BE47C5">
        <w:rPr>
          <w:rFonts w:hint="cs"/>
          <w:vanish/>
          <w:rtl/>
        </w:rPr>
        <w:t>=</w:t>
      </w:r>
      <w:r>
        <w:rPr>
          <w:rFonts w:hint="cs"/>
          <w:rtl/>
        </w:rPr>
        <w:t xml:space="preserve"> דמהא דל"ג </w:t>
      </w:r>
      <w:r w:rsidRPr="00BE47C5">
        <w:rPr>
          <w:rStyle w:val="aff4"/>
          <w:rFonts w:hint="cs"/>
          <w:vanish/>
          <w:rtl/>
        </w:rPr>
        <w:t>-</w:t>
      </w:r>
      <w:r w:rsidRPr="00BF56CC">
        <w:rPr>
          <w:rStyle w:val="aff4"/>
          <w:rFonts w:hint="cs"/>
          <w:rtl/>
        </w:rPr>
        <w:t>רש"י</w:t>
      </w:r>
      <w:r>
        <w:rPr>
          <w:rFonts w:hint="cs"/>
          <w:rtl/>
        </w:rPr>
        <w:t xml:space="preserve"> </w:t>
      </w:r>
      <w:r w:rsidRPr="00BF56CC">
        <w:rPr>
          <w:rStyle w:val="aff4"/>
          <w:rFonts w:hint="cs"/>
          <w:rtl/>
        </w:rPr>
        <w:t>והר"ן</w:t>
      </w:r>
      <w:r>
        <w:rPr>
          <w:rFonts w:hint="cs"/>
          <w:rtl/>
        </w:rPr>
        <w:t xml:space="preserve"> </w:t>
      </w:r>
      <w:r w:rsidRPr="00BF56CC">
        <w:rPr>
          <w:rStyle w:val="aff4"/>
          <w:rFonts w:hint="cs"/>
          <w:rtl/>
        </w:rPr>
        <w:t>והרי"ד</w:t>
      </w:r>
      <w:r w:rsidRPr="00BE47C5">
        <w:rPr>
          <w:rStyle w:val="aff4"/>
          <w:rFonts w:hint="cs"/>
          <w:vanish/>
          <w:rtl/>
        </w:rPr>
        <w:t>-</w:t>
      </w:r>
      <w:r>
        <w:rPr>
          <w:rFonts w:hint="cs"/>
          <w:rtl/>
        </w:rPr>
        <w:t xml:space="preserve"> </w:t>
      </w:r>
      <w:r w:rsidRPr="00D16BB6">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Ref137583936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א)</w:t>
      </w:r>
      <w:r>
        <w:rPr>
          <w:rStyle w:val="af2"/>
          <w:rFonts w:eastAsia="Guttman Hodes"/>
          <w:rtl/>
        </w:rPr>
        <w:fldChar w:fldCharType="end"/>
      </w:r>
      <w:r>
        <w:rPr>
          <w:rFonts w:hint="cs"/>
          <w:rtl/>
        </w:rPr>
        <w:t xml:space="preserve"> "שני" מיני אוכלים, משמע דס"ל דבאוכל מתוך אוכל</w:t>
      </w:r>
      <w:r w:rsidRPr="00CD331A">
        <w:rPr>
          <w:rFonts w:hint="cs"/>
          <w:rtl/>
        </w:rPr>
        <w:t xml:space="preserve"> </w:t>
      </w:r>
      <w:r>
        <w:rPr>
          <w:rFonts w:hint="cs"/>
          <w:rtl/>
        </w:rPr>
        <w:t xml:space="preserve">אין ברירה, ולכן ביאר </w:t>
      </w:r>
      <w:r w:rsidRPr="00BE47C5">
        <w:rPr>
          <w:rStyle w:val="aff4"/>
          <w:rFonts w:hint="cs"/>
          <w:vanish/>
          <w:rtl/>
        </w:rPr>
        <w:t>-</w:t>
      </w:r>
      <w:r w:rsidRPr="00BF56CC">
        <w:rPr>
          <w:rStyle w:val="aff4"/>
          <w:rFonts w:hint="cs"/>
          <w:rtl/>
        </w:rPr>
        <w:t>רש"י לקמן</w:t>
      </w:r>
      <w:r w:rsidRPr="00BE47C5">
        <w:rPr>
          <w:rStyle w:val="aff4"/>
          <w:rFonts w:hint="cs"/>
          <w:vanish/>
          <w:rtl/>
        </w:rPr>
        <w:t>-</w:t>
      </w:r>
      <w:r>
        <w:rPr>
          <w:rFonts w:hint="cs"/>
          <w:rtl/>
        </w:rPr>
        <w:t xml:space="preserve"> </w:t>
      </w:r>
      <w:r w:rsidRPr="00D16BB6">
        <w:rPr>
          <w:rStyle w:val="af2"/>
          <w:rFonts w:eastAsia="Guttman Hodes" w:hint="cs"/>
          <w:rtl/>
        </w:rPr>
        <w:t xml:space="preserve">(עי' אות </w:t>
      </w:r>
      <w:r w:rsidRPr="00D16BB6">
        <w:rPr>
          <w:rStyle w:val="af2"/>
          <w:rFonts w:eastAsia="Guttman Hodes"/>
          <w:rtl/>
        </w:rPr>
        <w:fldChar w:fldCharType="begin"/>
      </w:r>
      <w:r w:rsidRPr="00D16BB6">
        <w:rPr>
          <w:rStyle w:val="af2"/>
          <w:rFonts w:eastAsia="Guttman Hodes"/>
          <w:rtl/>
        </w:rPr>
        <w:instrText xml:space="preserve"> </w:instrText>
      </w:r>
      <w:r w:rsidRPr="00D16BB6">
        <w:rPr>
          <w:rStyle w:val="af2"/>
          <w:rFonts w:eastAsia="Guttman Hodes" w:hint="cs"/>
        </w:rPr>
        <w:instrText>REF</w:instrText>
      </w:r>
      <w:r w:rsidRPr="00D16BB6">
        <w:rPr>
          <w:rStyle w:val="af2"/>
          <w:rFonts w:eastAsia="Guttman Hodes" w:hint="cs"/>
          <w:rtl/>
        </w:rPr>
        <w:instrText xml:space="preserve"> _</w:instrText>
      </w:r>
      <w:r w:rsidRPr="00D16BB6">
        <w:rPr>
          <w:rStyle w:val="af2"/>
          <w:rFonts w:eastAsia="Guttman Hodes" w:hint="cs"/>
        </w:rPr>
        <w:instrText>Ref137574611 \r \h</w:instrText>
      </w:r>
      <w:r w:rsidRPr="00D16BB6">
        <w:rPr>
          <w:rStyle w:val="af2"/>
          <w:rFonts w:eastAsia="Guttman Hodes"/>
          <w:rtl/>
        </w:rPr>
        <w:instrText xml:space="preserve"> </w:instrText>
      </w:r>
      <w:r w:rsidRPr="00D16BB6">
        <w:rPr>
          <w:rStyle w:val="af2"/>
          <w:rFonts w:eastAsia="Guttman Hodes"/>
          <w:rtl/>
        </w:rPr>
      </w:r>
      <w:r w:rsidRPr="00D16BB6">
        <w:rPr>
          <w:rStyle w:val="af2"/>
          <w:rFonts w:eastAsia="Guttman Hodes"/>
          <w:rtl/>
        </w:rPr>
        <w:fldChar w:fldCharType="separate"/>
      </w:r>
      <w:r w:rsidR="00D82181">
        <w:rPr>
          <w:rStyle w:val="af2"/>
          <w:rFonts w:eastAsia="Guttman Hodes"/>
          <w:cs/>
        </w:rPr>
        <w:t>‎</w:t>
      </w:r>
      <w:r w:rsidR="00D82181">
        <w:rPr>
          <w:rStyle w:val="af2"/>
          <w:rFonts w:eastAsia="Guttman Hodes"/>
          <w:rtl/>
        </w:rPr>
        <w:t>ד)</w:t>
      </w:r>
      <w:r w:rsidRPr="00D16BB6">
        <w:rPr>
          <w:rStyle w:val="af2"/>
          <w:rFonts w:eastAsia="Guttman Hodes"/>
          <w:rtl/>
        </w:rPr>
        <w:fldChar w:fldCharType="end"/>
      </w:r>
      <w:r>
        <w:rPr>
          <w:rFonts w:hint="cs"/>
          <w:rtl/>
        </w:rPr>
        <w:t xml:space="preserve"> דהמסנן ביצה במסננת של חרדל, אי"ז בורר דשניהם אוכל ואינו בורר פסולת מתוך אוכל</w:t>
      </w:r>
      <w:bookmarkStart w:id="2187" w:name="_Ref137154391"/>
      <w:r>
        <w:rPr>
          <w:rFonts w:hint="cs"/>
          <w:rtl/>
        </w:rPr>
        <w:t>.</w:t>
      </w:r>
    </w:p>
    <w:p w14:paraId="38E236E5" w14:textId="77777777" w:rsidR="00592982" w:rsidRPr="00747170" w:rsidRDefault="00592982" w:rsidP="00747170">
      <w:pPr>
        <w:pStyle w:val="a2"/>
        <w:rPr>
          <w:rtl/>
        </w:rPr>
      </w:pPr>
      <w:bookmarkStart w:id="2188" w:name="_Ref137584519"/>
      <w:bookmarkStart w:id="2189" w:name="_Ref137667991"/>
      <w:r w:rsidRPr="00747170">
        <w:rPr>
          <w:rtl/>
        </w:rPr>
        <w:t>ונותני' ביצה במסננת של חרדל כתב הר"ן עלה הלכך אידי ואידי אוכל</w:t>
      </w:r>
      <w:r w:rsidRPr="00747170">
        <w:rPr>
          <w:rFonts w:hint="cs"/>
          <w:rtl/>
        </w:rPr>
        <w:t xml:space="preserve"> </w:t>
      </w:r>
      <w:r w:rsidRPr="00747170">
        <w:rPr>
          <w:rtl/>
        </w:rPr>
        <w:t xml:space="preserve">הוא ואין כאן ברירת פסולת מתוך האוכל בפ' כלל גדול </w:t>
      </w:r>
      <w:r w:rsidRPr="00747170">
        <w:rPr>
          <w:rFonts w:hint="cs"/>
          <w:rtl/>
        </w:rPr>
        <w:t>בדין</w:t>
      </w:r>
      <w:r w:rsidRPr="00747170">
        <w:rPr>
          <w:rtl/>
        </w:rPr>
        <w:t xml:space="preserve"> בורר תניא </w:t>
      </w:r>
      <w:r w:rsidRPr="00747170">
        <w:rPr>
          <w:rFonts w:hint="cs"/>
          <w:rtl/>
        </w:rPr>
        <w:t>היו לפני</w:t>
      </w:r>
      <w:r w:rsidRPr="00747170">
        <w:rPr>
          <w:rtl/>
        </w:rPr>
        <w:t xml:space="preserve"> מיני אוכלין בורר ואוכל בורר ומניח וכו' וכתב שם רש"י דל"ג שני מיני אוכלין וגם הר"ן לא נקט בפירושו שני מיני אוכלין והכי איתא נמי בגרסת רבינו ישעיה נ</w:t>
      </w:r>
      <w:r w:rsidRPr="00747170">
        <w:rPr>
          <w:rFonts w:hint="cs"/>
          <w:rtl/>
        </w:rPr>
        <w:t>ר</w:t>
      </w:r>
      <w:r w:rsidRPr="00747170">
        <w:rPr>
          <w:rtl/>
        </w:rPr>
        <w:t>אה שדעתם דלא שייך איסור בורר בבורר אוכל מתוך אוכל ולפיכך כתב כאן שכיון שהחלבון והחלמון שניהן אוכלין אין כאן ברירת פסולת מתוך אוכל</w:t>
      </w:r>
      <w:r w:rsidRPr="00747170">
        <w:rPr>
          <w:rFonts w:hint="cs"/>
          <w:rtl/>
        </w:rPr>
        <w:t>.</w:t>
      </w:r>
    </w:p>
    <w:p w14:paraId="5960BBEB" w14:textId="77777777" w:rsidR="00592982" w:rsidRDefault="00592982" w:rsidP="00592982">
      <w:pPr>
        <w:pStyle w:val="afffff7"/>
        <w:rPr>
          <w:rtl/>
        </w:rPr>
      </w:pPr>
      <w:bookmarkStart w:id="2190" w:name="_Toc137742011"/>
      <w:bookmarkStart w:id="2191" w:name="_Toc163505778"/>
      <w:r w:rsidRPr="00D0469C">
        <w:rPr>
          <w:rtl/>
        </w:rPr>
        <w:t>מגלת ספר על הסמ"ג לאוין ס"ה ט: ד"ה כיצד הבורר</w:t>
      </w:r>
      <w:bookmarkEnd w:id="2190"/>
      <w:bookmarkEnd w:id="2191"/>
    </w:p>
    <w:p w14:paraId="6F160BAC" w14:textId="77777777" w:rsidR="00592982" w:rsidRPr="00E80832" w:rsidRDefault="00592982" w:rsidP="00592982">
      <w:pPr>
        <w:pStyle w:val="a7"/>
      </w:pPr>
      <w:bookmarkStart w:id="2192" w:name="_Toc137741923"/>
      <w:r>
        <w:rPr>
          <w:rFonts w:hint="cs"/>
          <w:rtl/>
        </w:rPr>
        <w:t>בי' המגלת ספר ברש"י דבאוכל מאוכל ל"ה בורר כלל אף במין שאינו רוצה ואף בנפה וכברה</w:t>
      </w:r>
      <w:bookmarkEnd w:id="2192"/>
    </w:p>
    <w:bookmarkEnd w:id="2188"/>
    <w:p w14:paraId="3BCAB581" w14:textId="468D057C" w:rsidR="00592982" w:rsidRDefault="00592982" w:rsidP="00BC7DC8">
      <w:pPr>
        <w:pStyle w:val="a3"/>
        <w:rPr>
          <w:rtl/>
        </w:rPr>
      </w:pPr>
      <w:r>
        <w:rPr>
          <w:rFonts w:hint="cs"/>
          <w:rtl/>
        </w:rPr>
        <w:t xml:space="preserve">וכ"כ </w:t>
      </w:r>
      <w:r w:rsidRPr="00BE47C5">
        <w:rPr>
          <w:rStyle w:val="aff4"/>
          <w:rFonts w:hint="cs"/>
          <w:vanish/>
          <w:rtl/>
        </w:rPr>
        <w:t>-</w:t>
      </w:r>
      <w:r w:rsidRPr="00BF56CC">
        <w:rPr>
          <w:rStyle w:val="aff4"/>
          <w:rFonts w:hint="cs"/>
          <w:rtl/>
        </w:rPr>
        <w:t>ה</w:t>
      </w:r>
      <w:r>
        <w:rPr>
          <w:rStyle w:val="aff4"/>
          <w:rFonts w:hint="cs"/>
          <w:vanish/>
          <w:rtl/>
        </w:rPr>
        <w:t>&lt;.</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Ref137741105 \r \h</w:instrText>
      </w:r>
      <w:r>
        <w:rPr>
          <w:rStyle w:val="aff4"/>
          <w:vanish/>
          <w:rtl/>
        </w:rPr>
        <w:instrText xml:space="preserve"> </w:instrText>
      </w:r>
      <w:r>
        <w:rPr>
          <w:rStyle w:val="aff4"/>
          <w:vanish/>
          <w:rtl/>
        </w:rPr>
        <w:fldChar w:fldCharType="separate"/>
      </w:r>
      <w:r w:rsidR="00D82181">
        <w:rPr>
          <w:rStyle w:val="aff4"/>
          <w:rFonts w:hint="cs"/>
          <w:b w:val="0"/>
          <w:bCs w:val="0"/>
          <w:vanish/>
          <w:rtl/>
        </w:rPr>
        <w:t>שגיאה! מקור ההפניה לא נמצא.</w:t>
      </w:r>
      <w:r>
        <w:rPr>
          <w:rStyle w:val="aff4"/>
          <w:vanish/>
          <w:rtl/>
        </w:rPr>
        <w:fldChar w:fldCharType="end"/>
      </w:r>
      <w:r>
        <w:rPr>
          <w:rStyle w:val="aff4"/>
          <w:rFonts w:hint="cs"/>
          <w:vanish/>
          <w:rtl/>
        </w:rPr>
        <w:t xml:space="preserve"> &gt;</w:t>
      </w:r>
      <w:r w:rsidRPr="00BF56CC">
        <w:rPr>
          <w:rStyle w:val="aff4"/>
          <w:rFonts w:hint="cs"/>
          <w:rtl/>
        </w:rPr>
        <w:t>מגלת ספר על הסמ"ג</w:t>
      </w:r>
      <w:r w:rsidRPr="00BE47C5">
        <w:rPr>
          <w:rStyle w:val="aff4"/>
          <w:rFonts w:hint="cs"/>
          <w:vanish/>
          <w:rtl/>
        </w:rPr>
        <w:t>-</w:t>
      </w:r>
      <w:r>
        <w:rPr>
          <w:rFonts w:hint="cs"/>
          <w:rtl/>
        </w:rPr>
        <w:t xml:space="preserve"> </w:t>
      </w:r>
      <w:r w:rsidRPr="00D16BB6">
        <w:rPr>
          <w:rStyle w:val="af2"/>
          <w:rFonts w:eastAsia="Guttman Hodes" w:hint="cs"/>
          <w:rtl/>
        </w:rPr>
        <w:t>(לאוין ס"ה ט: ד"ה כיצד הבורר)</w:t>
      </w:r>
      <w:r>
        <w:rPr>
          <w:rFonts w:hint="cs"/>
          <w:rtl/>
        </w:rPr>
        <w:t xml:space="preserve"> דמהא דל"ג </w:t>
      </w:r>
      <w:r w:rsidRPr="00BE47C5">
        <w:rPr>
          <w:rStyle w:val="aff4"/>
          <w:rFonts w:hint="cs"/>
          <w:vanish/>
          <w:rtl/>
        </w:rPr>
        <w:t>-</w:t>
      </w:r>
      <w:r w:rsidRPr="00BF56CC">
        <w:rPr>
          <w:rStyle w:val="aff4"/>
          <w:rFonts w:hint="cs"/>
          <w:rtl/>
        </w:rPr>
        <w:t>רש"י</w:t>
      </w:r>
      <w:r w:rsidRPr="00BE47C5">
        <w:rPr>
          <w:rStyle w:val="aff4"/>
          <w:rFonts w:hint="cs"/>
          <w:vanish/>
          <w:rtl/>
        </w:rPr>
        <w:t>-</w:t>
      </w:r>
      <w:r>
        <w:rPr>
          <w:rFonts w:hint="cs"/>
          <w:rtl/>
        </w:rPr>
        <w:t xml:space="preserve"> </w:t>
      </w:r>
      <w:r w:rsidRPr="00D16BB6">
        <w:rPr>
          <w:rStyle w:val="af2"/>
          <w:rFonts w:eastAsia="Guttman Hodes" w:hint="cs"/>
          <w:rtl/>
        </w:rPr>
        <w:t>(עי' אות</w:t>
      </w:r>
      <w:r>
        <w:rPr>
          <w:rStyle w:val="af2"/>
          <w:rFonts w:eastAsia="Guttman Hodes" w:hint="cs"/>
          <w:rtl/>
        </w:rPr>
        <w:t xml:space="preserve">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Ref137583936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א)</w:t>
      </w:r>
      <w:r>
        <w:rPr>
          <w:rStyle w:val="af2"/>
          <w:rFonts w:eastAsia="Guttman Hodes"/>
          <w:rtl/>
        </w:rPr>
        <w:fldChar w:fldCharType="end"/>
      </w:r>
      <w:r>
        <w:rPr>
          <w:rFonts w:hint="cs"/>
          <w:rtl/>
        </w:rPr>
        <w:t xml:space="preserve"> "שני" מיני אוכלין, מבואר דס"ל דבאוכל מאוכל כשמוציא את המין שאינו רוצה, אף דחשיב כפסולת מ"מ דאינו פסולת ממש, ואף בנפה וכברה אין בזה חיוב בורר, ובכל הסוגיא איירי רק באוכל ופסולת ממש.</w:t>
      </w:r>
      <w:bookmarkEnd w:id="2187"/>
      <w:bookmarkEnd w:id="2189"/>
    </w:p>
    <w:bookmarkEnd w:id="2186"/>
    <w:p w14:paraId="6AA1DE9E" w14:textId="77777777" w:rsidR="00592982" w:rsidRPr="00747170" w:rsidRDefault="00592982" w:rsidP="00747170">
      <w:pPr>
        <w:pStyle w:val="a2"/>
        <w:rPr>
          <w:rtl/>
        </w:rPr>
      </w:pPr>
      <w:r w:rsidRPr="00747170">
        <w:rPr>
          <w:rFonts w:hint="cs"/>
          <w:rtl/>
        </w:rPr>
        <w:t>ודעת רש"י דאף בנפה ובכברה לית לן בה כיון דלא הוי פסולת ממש וזהו דכתב ז"ל היו לפניו מיני אוכלין גרסי' ול"ג שני ע"ש והיינו דס"ל דכולה סוגאי אינה אלא בבורר פסולת ממש.</w:t>
      </w:r>
    </w:p>
    <w:p w14:paraId="5EE63B8C" w14:textId="2E0A0D7D" w:rsidR="00592982" w:rsidRDefault="00592982" w:rsidP="00592982">
      <w:pPr>
        <w:pStyle w:val="afffff7"/>
        <w:rPr>
          <w:rtl/>
        </w:rPr>
      </w:pPr>
      <w:bookmarkStart w:id="2193" w:name="_Toc137742012"/>
      <w:bookmarkStart w:id="2194" w:name="_Toc163505779"/>
      <w:r>
        <w:rPr>
          <w:rtl/>
        </w:rPr>
        <w:t>פני יהושע שבת ע"ד ע"א</w:t>
      </w:r>
      <w:r>
        <w:rPr>
          <w:rFonts w:hint="cs"/>
          <w:rtl/>
        </w:rPr>
        <w:t xml:space="preserve"> ד"ה ת"ר</w:t>
      </w:r>
      <w:bookmarkEnd w:id="2193"/>
      <w:bookmarkEnd w:id="2194"/>
    </w:p>
    <w:p w14:paraId="41875622" w14:textId="77777777" w:rsidR="00592982" w:rsidRDefault="00592982" w:rsidP="00592982">
      <w:pPr>
        <w:pStyle w:val="a7"/>
        <w:rPr>
          <w:rtl/>
        </w:rPr>
      </w:pPr>
      <w:bookmarkStart w:id="2195" w:name="_Toc137741924"/>
      <w:r>
        <w:rPr>
          <w:rFonts w:hint="cs"/>
          <w:rtl/>
        </w:rPr>
        <w:t>בי' הפנ"י דבתוס' משמע דלרש"י אין בורר באוכל מאוכל ואף בברייתא הב' ל"ג רש"י "שני"</w:t>
      </w:r>
      <w:bookmarkEnd w:id="2195"/>
    </w:p>
    <w:p w14:paraId="00001BE4" w14:textId="7887E942" w:rsidR="00592982" w:rsidRPr="00AA5A1B" w:rsidRDefault="00592982" w:rsidP="00BC7DC8">
      <w:pPr>
        <w:pStyle w:val="a3"/>
        <w:rPr>
          <w:rtl/>
        </w:rPr>
      </w:pPr>
      <w:bookmarkStart w:id="2196" w:name="_Ref136878760"/>
      <w:r>
        <w:rPr>
          <w:rFonts w:hint="cs"/>
          <w:rtl/>
        </w:rPr>
        <w:t xml:space="preserve">וכתב </w:t>
      </w:r>
      <w:r w:rsidRPr="00A91E2E">
        <w:rPr>
          <w:rStyle w:val="aff4"/>
          <w:rFonts w:hint="cs"/>
          <w:vanish/>
          <w:rtl/>
        </w:rPr>
        <w:t>-</w:t>
      </w:r>
      <w:r w:rsidRPr="007439A4">
        <w:rPr>
          <w:rStyle w:val="aff4"/>
          <w:rFonts w:hint="cs"/>
          <w:rtl/>
        </w:rPr>
        <w:t>ה</w:t>
      </w:r>
      <w:r w:rsidRPr="00A91E2E">
        <w:rPr>
          <w:rStyle w:val="aff4"/>
          <w:rFonts w:hint="cs"/>
          <w:vanish/>
          <w:rtl/>
        </w:rPr>
        <w:t xml:space="preserve">&lt;. </w:t>
      </w:r>
      <w:r w:rsidRPr="00A91E2E">
        <w:rPr>
          <w:rStyle w:val="aff4"/>
          <w:vanish/>
          <w:rtl/>
        </w:rPr>
        <w:fldChar w:fldCharType="begin"/>
      </w:r>
      <w:r w:rsidRPr="00A91E2E">
        <w:rPr>
          <w:rStyle w:val="aff4"/>
          <w:vanish/>
          <w:rtl/>
        </w:rPr>
        <w:instrText xml:space="preserve"> </w:instrText>
      </w:r>
      <w:r w:rsidRPr="00A91E2E">
        <w:rPr>
          <w:rStyle w:val="aff4"/>
          <w:rFonts w:hint="cs"/>
          <w:vanish/>
        </w:rPr>
        <w:instrText>REF</w:instrText>
      </w:r>
      <w:r w:rsidRPr="00A91E2E">
        <w:rPr>
          <w:rStyle w:val="aff4"/>
          <w:rFonts w:hint="cs"/>
          <w:vanish/>
          <w:rtl/>
        </w:rPr>
        <w:instrText xml:space="preserve"> _</w:instrText>
      </w:r>
      <w:r w:rsidRPr="00A91E2E">
        <w:rPr>
          <w:rStyle w:val="aff4"/>
          <w:rFonts w:hint="cs"/>
          <w:vanish/>
        </w:rPr>
        <w:instrText>Ref136878760 \r \h</w:instrText>
      </w:r>
      <w:r w:rsidRPr="00A91E2E">
        <w:rPr>
          <w:rStyle w:val="aff4"/>
          <w:vanish/>
          <w:rtl/>
        </w:rPr>
        <w:instrText xml:space="preserve"> </w:instrText>
      </w:r>
      <w:r>
        <w:rPr>
          <w:rStyle w:val="aff4"/>
          <w:vanish/>
          <w:rtl/>
        </w:rPr>
        <w:instrText xml:space="preserve"> \* </w:instrText>
      </w:r>
      <w:r>
        <w:rPr>
          <w:rStyle w:val="aff4"/>
          <w:vanish/>
        </w:rPr>
        <w:instrText>MERGEFORMAT</w:instrText>
      </w:r>
      <w:r>
        <w:rPr>
          <w:rStyle w:val="aff4"/>
          <w:vanish/>
          <w:rtl/>
        </w:rPr>
        <w:instrText xml:space="preserve"> </w:instrText>
      </w:r>
      <w:r w:rsidRPr="00A91E2E">
        <w:rPr>
          <w:rStyle w:val="aff4"/>
          <w:vanish/>
          <w:rtl/>
        </w:rPr>
      </w:r>
      <w:r w:rsidRPr="00A91E2E">
        <w:rPr>
          <w:rStyle w:val="aff4"/>
          <w:vanish/>
          <w:rtl/>
        </w:rPr>
        <w:fldChar w:fldCharType="separate"/>
      </w:r>
      <w:r w:rsidR="00D82181">
        <w:rPr>
          <w:rStyle w:val="aff4"/>
          <w:vanish/>
          <w:cs/>
        </w:rPr>
        <w:t>‎</w:t>
      </w:r>
      <w:r w:rsidR="00D82181">
        <w:rPr>
          <w:rStyle w:val="aff4"/>
          <w:vanish/>
          <w:rtl/>
        </w:rPr>
        <w:t>ח)</w:t>
      </w:r>
      <w:r w:rsidRPr="00A91E2E">
        <w:rPr>
          <w:rStyle w:val="aff4"/>
          <w:vanish/>
          <w:rtl/>
        </w:rPr>
        <w:fldChar w:fldCharType="end"/>
      </w:r>
      <w:r w:rsidRPr="00A91E2E">
        <w:rPr>
          <w:rStyle w:val="aff4"/>
          <w:rFonts w:hint="cs"/>
          <w:vanish/>
          <w:rtl/>
        </w:rPr>
        <w:t xml:space="preserve"> &gt;</w:t>
      </w:r>
      <w:r w:rsidRPr="007439A4">
        <w:rPr>
          <w:rStyle w:val="aff4"/>
          <w:rFonts w:hint="cs"/>
          <w:rtl/>
        </w:rPr>
        <w:t>פנ"י</w:t>
      </w:r>
      <w:r w:rsidRPr="00A91E2E">
        <w:rPr>
          <w:rStyle w:val="aff4"/>
          <w:rFonts w:hint="cs"/>
          <w:vanish/>
          <w:rtl/>
        </w:rPr>
        <w:t>-</w:t>
      </w:r>
      <w:r>
        <w:rPr>
          <w:rFonts w:hint="cs"/>
          <w:rtl/>
        </w:rPr>
        <w:t xml:space="preserve"> </w:t>
      </w:r>
      <w:r w:rsidRPr="00D16BB6">
        <w:rPr>
          <w:rStyle w:val="af2"/>
          <w:rFonts w:eastAsia="Guttman Hodes" w:hint="cs"/>
          <w:rtl/>
        </w:rPr>
        <w:t>(ד"ה ת"ר)</w:t>
      </w:r>
      <w:r w:rsidRPr="00A91E2E">
        <w:rPr>
          <w:rFonts w:hint="cs"/>
          <w:vanish/>
          <w:rtl/>
        </w:rPr>
        <w:t>=</w:t>
      </w:r>
      <w:r>
        <w:rPr>
          <w:rFonts w:hint="cs"/>
          <w:rtl/>
        </w:rPr>
        <w:t xml:space="preserve"> דכן משמע </w:t>
      </w:r>
      <w:r w:rsidRPr="00A91E2E">
        <w:rPr>
          <w:rStyle w:val="aff4"/>
          <w:rFonts w:hint="cs"/>
          <w:vanish/>
          <w:rtl/>
        </w:rPr>
        <w:t>-</w:t>
      </w:r>
      <w:r w:rsidRPr="007439A4">
        <w:rPr>
          <w:rStyle w:val="aff4"/>
          <w:rFonts w:hint="cs"/>
          <w:rtl/>
        </w:rPr>
        <w:t>בתוס'</w:t>
      </w:r>
      <w:r w:rsidRPr="00A91E2E">
        <w:rPr>
          <w:rStyle w:val="aff4"/>
          <w:rFonts w:hint="cs"/>
          <w:vanish/>
          <w:rtl/>
        </w:rPr>
        <w:t>-</w:t>
      </w:r>
      <w:r>
        <w:rPr>
          <w:rFonts w:hint="cs"/>
          <w:rtl/>
        </w:rPr>
        <w:t xml:space="preserve"> </w:t>
      </w:r>
      <w:r w:rsidRPr="00D16BB6">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Ref137671185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w:t>
      </w:r>
      <w:r>
        <w:rPr>
          <w:rStyle w:val="af2"/>
          <w:rFonts w:eastAsia="Guttman Hodes"/>
          <w:rtl/>
        </w:rPr>
        <w:fldChar w:fldCharType="end"/>
      </w:r>
      <w:r>
        <w:rPr>
          <w:rFonts w:hint="cs"/>
          <w:rtl/>
        </w:rPr>
        <w:t xml:space="preserve"> דהבינו דלדעת </w:t>
      </w:r>
      <w:r w:rsidRPr="00A91E2E">
        <w:rPr>
          <w:rStyle w:val="aff4"/>
          <w:rFonts w:hint="cs"/>
          <w:vanish/>
          <w:rtl/>
        </w:rPr>
        <w:t>-</w:t>
      </w:r>
      <w:r w:rsidRPr="007439A4">
        <w:rPr>
          <w:rStyle w:val="aff4"/>
          <w:rFonts w:hint="cs"/>
          <w:rtl/>
        </w:rPr>
        <w:t>רש"י</w:t>
      </w:r>
      <w:r w:rsidRPr="00A91E2E">
        <w:rPr>
          <w:rStyle w:val="aff4"/>
          <w:rFonts w:hint="cs"/>
          <w:vanish/>
          <w:rtl/>
        </w:rPr>
        <w:t>-</w:t>
      </w:r>
      <w:r>
        <w:rPr>
          <w:rFonts w:hint="cs"/>
          <w:rtl/>
        </w:rPr>
        <w:t xml:space="preserve"> </w:t>
      </w:r>
      <w:r w:rsidRPr="00D16BB6">
        <w:rPr>
          <w:rStyle w:val="af2"/>
          <w:rFonts w:eastAsia="Guttman Hodes" w:hint="cs"/>
          <w:rtl/>
        </w:rPr>
        <w:t xml:space="preserve">(עי' אות </w:t>
      </w:r>
      <w:r w:rsidRPr="00D16BB6">
        <w:rPr>
          <w:rStyle w:val="af2"/>
          <w:rFonts w:eastAsia="Guttman Hodes"/>
          <w:rtl/>
        </w:rPr>
        <w:fldChar w:fldCharType="begin"/>
      </w:r>
      <w:r w:rsidRPr="00D16BB6">
        <w:rPr>
          <w:rStyle w:val="af2"/>
          <w:rFonts w:eastAsia="Guttman Hodes"/>
          <w:rtl/>
        </w:rPr>
        <w:instrText xml:space="preserve"> </w:instrText>
      </w:r>
      <w:r w:rsidRPr="00D16BB6">
        <w:rPr>
          <w:rStyle w:val="af2"/>
          <w:rFonts w:eastAsia="Guttman Hodes" w:hint="cs"/>
        </w:rPr>
        <w:instrText>REF</w:instrText>
      </w:r>
      <w:r w:rsidRPr="00D16BB6">
        <w:rPr>
          <w:rStyle w:val="af2"/>
          <w:rFonts w:eastAsia="Guttman Hodes" w:hint="cs"/>
          <w:rtl/>
        </w:rPr>
        <w:instrText xml:space="preserve"> _</w:instrText>
      </w:r>
      <w:r w:rsidRPr="00D16BB6">
        <w:rPr>
          <w:rStyle w:val="af2"/>
          <w:rFonts w:eastAsia="Guttman Hodes" w:hint="cs"/>
        </w:rPr>
        <w:instrText>Ref137583936 \r \h</w:instrText>
      </w:r>
      <w:r w:rsidRPr="00D16BB6">
        <w:rPr>
          <w:rStyle w:val="af2"/>
          <w:rFonts w:eastAsia="Guttman Hodes"/>
          <w:rtl/>
        </w:rPr>
        <w:instrText xml:space="preserve"> </w:instrText>
      </w:r>
      <w:r w:rsidRPr="00D16BB6">
        <w:rPr>
          <w:rStyle w:val="af2"/>
          <w:rFonts w:eastAsia="Guttman Hodes"/>
          <w:rtl/>
        </w:rPr>
      </w:r>
      <w:r w:rsidRPr="00D16BB6">
        <w:rPr>
          <w:rStyle w:val="af2"/>
          <w:rFonts w:eastAsia="Guttman Hodes"/>
          <w:rtl/>
        </w:rPr>
        <w:fldChar w:fldCharType="separate"/>
      </w:r>
      <w:r w:rsidR="00D82181">
        <w:rPr>
          <w:rStyle w:val="af2"/>
          <w:rFonts w:eastAsia="Guttman Hodes"/>
          <w:cs/>
        </w:rPr>
        <w:t>‎</w:t>
      </w:r>
      <w:r w:rsidR="00D82181">
        <w:rPr>
          <w:rStyle w:val="af2"/>
          <w:rFonts w:eastAsia="Guttman Hodes"/>
          <w:rtl/>
        </w:rPr>
        <w:t>א)</w:t>
      </w:r>
      <w:r w:rsidRPr="00D16BB6">
        <w:rPr>
          <w:rStyle w:val="af2"/>
          <w:rFonts w:eastAsia="Guttman Hodes"/>
          <w:rtl/>
        </w:rPr>
        <w:fldChar w:fldCharType="end"/>
      </w:r>
      <w:r>
        <w:rPr>
          <w:rFonts w:hint="cs"/>
          <w:rtl/>
        </w:rPr>
        <w:t xml:space="preserve"> אין ברירה באוכל מתוך אוכל, וא"כ אף בפלוגתת רב אסי ורב ירמיה מדפתי ג"כ ל"ג "שני", דהא ביאר </w:t>
      </w:r>
      <w:r w:rsidRPr="00A91E2E">
        <w:rPr>
          <w:rStyle w:val="aff4"/>
          <w:rFonts w:hint="cs"/>
          <w:vanish/>
          <w:rtl/>
        </w:rPr>
        <w:t>-</w:t>
      </w:r>
      <w:r w:rsidRPr="007439A4">
        <w:rPr>
          <w:rStyle w:val="aff4"/>
          <w:rFonts w:hint="cs"/>
          <w:rtl/>
        </w:rPr>
        <w:t>רש"י</w:t>
      </w:r>
      <w:r w:rsidRPr="00A91E2E">
        <w:rPr>
          <w:rStyle w:val="aff4"/>
          <w:rFonts w:hint="cs"/>
          <w:vanish/>
          <w:rtl/>
        </w:rPr>
        <w:t>-</w:t>
      </w:r>
      <w:r>
        <w:rPr>
          <w:rFonts w:hint="cs"/>
          <w:rtl/>
        </w:rPr>
        <w:t xml:space="preserve"> </w:t>
      </w:r>
      <w:r w:rsidRPr="00D16BB6">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Ref136812066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ב)</w:t>
      </w:r>
      <w:r>
        <w:rPr>
          <w:rStyle w:val="af2"/>
          <w:rFonts w:eastAsia="Guttman Hodes"/>
          <w:rtl/>
        </w:rPr>
        <w:fldChar w:fldCharType="end"/>
      </w:r>
      <w:r>
        <w:rPr>
          <w:rFonts w:hint="cs"/>
          <w:rtl/>
        </w:rPr>
        <w:t xml:space="preserve"> דהקושיה על רב אשי היא מהברייתא הזו, ולא שייך לומר דהכא ל"ג בברייתא "שני" ומקשה הגמ' מזה על רב אשי דאיירי בב' מיני אוכלין, וכתב </w:t>
      </w:r>
      <w:r w:rsidRPr="00A91E2E">
        <w:rPr>
          <w:rStyle w:val="aff4"/>
          <w:rFonts w:hint="cs"/>
          <w:vanish/>
          <w:rtl/>
        </w:rPr>
        <w:t>-</w:t>
      </w:r>
      <w:r w:rsidRPr="007439A4">
        <w:rPr>
          <w:rStyle w:val="aff4"/>
          <w:rFonts w:hint="cs"/>
          <w:rtl/>
        </w:rPr>
        <w:t>הפנ"י</w:t>
      </w:r>
      <w:r w:rsidRPr="00A91E2E">
        <w:rPr>
          <w:rStyle w:val="aff4"/>
          <w:rFonts w:hint="cs"/>
          <w:vanish/>
          <w:rtl/>
        </w:rPr>
        <w:t>-</w:t>
      </w:r>
      <w:r>
        <w:rPr>
          <w:rFonts w:hint="cs"/>
          <w:rtl/>
        </w:rPr>
        <w:t xml:space="preserve"> דלכן כתבו </w:t>
      </w:r>
      <w:r w:rsidRPr="00A91E2E">
        <w:rPr>
          <w:rStyle w:val="aff4"/>
          <w:rFonts w:hint="cs"/>
          <w:vanish/>
          <w:rtl/>
        </w:rPr>
        <w:t>-</w:t>
      </w:r>
      <w:r w:rsidRPr="007439A4">
        <w:rPr>
          <w:rStyle w:val="aff4"/>
          <w:rFonts w:hint="cs"/>
          <w:rtl/>
        </w:rPr>
        <w:t>תוס'</w:t>
      </w:r>
      <w:r w:rsidRPr="00A91E2E">
        <w:rPr>
          <w:rStyle w:val="aff4"/>
          <w:rFonts w:hint="cs"/>
          <w:vanish/>
          <w:rtl/>
        </w:rPr>
        <w:t>-</w:t>
      </w:r>
      <w:r>
        <w:rPr>
          <w:rFonts w:hint="cs"/>
          <w:rtl/>
        </w:rPr>
        <w:t xml:space="preserve"> דבירושלמי מוכח דאף באוכל מתוך אוכל שייך ברירה, ועיי"ש במה שהקשה </w:t>
      </w:r>
      <w:r w:rsidRPr="00A91E2E">
        <w:rPr>
          <w:rStyle w:val="aff4"/>
          <w:rFonts w:hint="cs"/>
          <w:vanish/>
          <w:rtl/>
        </w:rPr>
        <w:t>-</w:t>
      </w:r>
      <w:r w:rsidRPr="007439A4">
        <w:rPr>
          <w:rStyle w:val="aff4"/>
          <w:rFonts w:hint="cs"/>
          <w:rtl/>
        </w:rPr>
        <w:t>ה</w:t>
      </w:r>
      <w:r w:rsidRPr="00A91E2E">
        <w:rPr>
          <w:rStyle w:val="aff4"/>
          <w:rFonts w:hint="cs"/>
          <w:vanish/>
          <w:rtl/>
        </w:rPr>
        <w:t>&lt; &gt;</w:t>
      </w:r>
      <w:r w:rsidRPr="007439A4">
        <w:rPr>
          <w:rStyle w:val="aff4"/>
          <w:rFonts w:hint="cs"/>
          <w:rtl/>
        </w:rPr>
        <w:t>פנ"י</w:t>
      </w:r>
      <w:r w:rsidRPr="00A91E2E">
        <w:rPr>
          <w:rStyle w:val="aff4"/>
          <w:rFonts w:hint="cs"/>
          <w:vanish/>
          <w:rtl/>
        </w:rPr>
        <w:t>-</w:t>
      </w:r>
      <w:r>
        <w:rPr>
          <w:rFonts w:hint="cs"/>
          <w:rtl/>
        </w:rPr>
        <w:t xml:space="preserve"> </w:t>
      </w:r>
      <w:r w:rsidRPr="00D16BB6">
        <w:rPr>
          <w:rStyle w:val="af2"/>
          <w:rFonts w:eastAsia="Guttman Hodes" w:hint="cs"/>
          <w:rtl/>
        </w:rPr>
        <w:t>(ד"ה אמנם)</w:t>
      </w:r>
      <w:r w:rsidRPr="00A91E2E">
        <w:rPr>
          <w:rFonts w:hint="cs"/>
          <w:vanish/>
          <w:rtl/>
        </w:rPr>
        <w:t>=</w:t>
      </w:r>
      <w:r>
        <w:rPr>
          <w:rFonts w:hint="cs"/>
          <w:rtl/>
        </w:rPr>
        <w:t xml:space="preserve"> דמדברי הירושלמי משמע להיפך, ובמה שתירץ </w:t>
      </w:r>
      <w:r w:rsidRPr="00BE47C5">
        <w:rPr>
          <w:rStyle w:val="aff4"/>
          <w:rFonts w:hint="cs"/>
          <w:vanish/>
          <w:rtl/>
        </w:rPr>
        <w:t>-</w:t>
      </w:r>
      <w:r w:rsidRPr="00BF56CC">
        <w:rPr>
          <w:rStyle w:val="aff4"/>
          <w:rFonts w:hint="cs"/>
          <w:rtl/>
        </w:rPr>
        <w:t>ה</w:t>
      </w:r>
      <w:r w:rsidRPr="00BE47C5">
        <w:rPr>
          <w:rStyle w:val="aff4"/>
          <w:rFonts w:hint="cs"/>
          <w:vanish/>
          <w:rtl/>
        </w:rPr>
        <w:t>&lt; &gt;</w:t>
      </w:r>
      <w:r w:rsidRPr="00BF56CC">
        <w:rPr>
          <w:rStyle w:val="aff4"/>
          <w:rFonts w:hint="cs"/>
          <w:rtl/>
        </w:rPr>
        <w:t>ראש יוסף</w:t>
      </w:r>
      <w:r w:rsidRPr="00BE47C5">
        <w:rPr>
          <w:rStyle w:val="aff4"/>
          <w:rFonts w:hint="cs"/>
          <w:vanish/>
          <w:rtl/>
        </w:rPr>
        <w:t>-</w:t>
      </w:r>
      <w:r>
        <w:rPr>
          <w:rFonts w:hint="cs"/>
          <w:rtl/>
        </w:rPr>
        <w:t xml:space="preserve"> </w:t>
      </w:r>
      <w:r w:rsidRPr="00D16BB6">
        <w:rPr>
          <w:rStyle w:val="af2"/>
          <w:rFonts w:eastAsia="Guttman Hodes" w:hint="cs"/>
          <w:rtl/>
        </w:rPr>
        <w:t>(ד"ה ואמנם מה)</w:t>
      </w:r>
      <w:r w:rsidRPr="00BE47C5">
        <w:rPr>
          <w:rFonts w:hint="cs"/>
          <w:vanish/>
          <w:rtl/>
        </w:rPr>
        <w:t>=</w:t>
      </w:r>
      <w:r>
        <w:rPr>
          <w:rFonts w:hint="cs"/>
          <w:rtl/>
        </w:rPr>
        <w:t>.</w:t>
      </w:r>
      <w:bookmarkEnd w:id="2196"/>
    </w:p>
    <w:p w14:paraId="1F3A9C86" w14:textId="77777777" w:rsidR="00592982" w:rsidRPr="00747170" w:rsidRDefault="00592982" w:rsidP="00747170">
      <w:pPr>
        <w:pStyle w:val="a2"/>
        <w:rPr>
          <w:rtl/>
        </w:rPr>
      </w:pPr>
      <w:r w:rsidRPr="00747170">
        <w:rPr>
          <w:rtl/>
        </w:rPr>
        <w:t>בגמרא ת"ר היו לפניו מיני אוכלין וכו'. פירש"י דלא גרסינן שני. ולפי משמעות התוס' דהא דלא גרס רש"י שני היינו משום דסבר דבאוכל מתוך אוכל לא שייך ברירה וא"כ לפרש"י האי מיני אוכלין דקתני היינו שהיה לפניו אחד מכל מיני אוכלין שיש בהן פסולת שזה הוא עיקר ברירה דהוי במלאכת המשכן ובכל גידולי קרקע כיוצא בזה כדאמרינן נמי לעיל בסמוך היינו זורה היינו בורר היינו מרקד. ולפי"ז משמע ממילא דהא דאמרינן בסמוך בגמרא בהיו לפניו שני מיני אוכלין דפליגי רב אשי ורבי ירמיה מדיפתי נמי לא גרס רש"י שני דהא מפרש רש"י לקמן [דהא] דמקשינן והתניא חייב מברייתא דהכא מקשה ואי ס"ד דהתם גרסינן שני והכא לא גרסינן שני לא הוי מקשה מידי אלא על כרחך דלגירסת רש"י התם נמי לא גרסינן שני וא"כ כולהו בחדא גוונא איירי דסתם מיני אוכלין יש בהן פסולת ממש כיון דבשני מינים לא שייך ברירה כך הבינו התוספות מלשון רש"י, ועל זה כתבו דבירושלמי משמע דשייך ברירה באוכלין מתוך אוכלין ומש"ה כתבו דגרסינן שני מיני אוכלין כגירסת ר"ח והרי"ף והרא"ש ז"ל:</w:t>
      </w:r>
    </w:p>
    <w:p w14:paraId="269377FB" w14:textId="77777777" w:rsidR="00592982" w:rsidRPr="00C61A8D" w:rsidRDefault="00592982" w:rsidP="00747170">
      <w:pPr>
        <w:pStyle w:val="afffff5"/>
        <w:rPr>
          <w:rtl/>
        </w:rPr>
      </w:pPr>
      <w:r w:rsidRPr="00C61A8D">
        <w:rPr>
          <w:rtl/>
        </w:rPr>
        <w:t>אמנם לענ"ד קשיא לי טובא על שיטת התוס' דלכאורה אדרבה מהך ירושלמי גופא משמע איפכא דהא גרסינן התם בורר אוכלין מתוך אוכלין חזקיה אמר חייב רבי יוחנן אמר פטור ועלה קאמר מתניתא פליגא אדחזקיה דאמר בורר ואוכל בורר ומניח על השלחן, וא"כ לפירוש התוס' לא פליג הך ברייתא אדחזקיה דאדמקשה ליה מרישא אדרבה לסייע ליה מסיפא דקתני להדיא לא יברור ואם בירר חייב חטאת והיינו כחזקיה ולא כר"י דאמר פטור ואי משום דקתני בורר ואוכל בורר ומניח האיכא לאוקמי בבורר לאלתר כדמסקינן בסמוך או בחד מאינך אוקימתי דשמעתין. ולענ"ד צ"ע טובא ליישב שיטת התוספות דשמעתין דלא לפלוג אתלמודא דידן.</w:t>
      </w:r>
    </w:p>
    <w:p w14:paraId="026E9B66" w14:textId="0C856E5E" w:rsidR="00592982" w:rsidRPr="00A86345" w:rsidRDefault="00592982" w:rsidP="00592982">
      <w:pPr>
        <w:pStyle w:val="1"/>
      </w:pPr>
      <w:bookmarkStart w:id="2197" w:name="_Toc137741925"/>
      <w:r>
        <w:rPr>
          <w:rFonts w:hint="cs"/>
          <w:rtl/>
        </w:rPr>
        <w:t>הסוברים דאף לרש"י יש בורר באוכל מתוך אוכל</w:t>
      </w:r>
      <w:bookmarkEnd w:id="2197"/>
    </w:p>
    <w:p w14:paraId="684C48E8" w14:textId="77777777" w:rsidR="00592982" w:rsidRDefault="00592982" w:rsidP="00592982">
      <w:pPr>
        <w:pStyle w:val="afffff7"/>
        <w:rPr>
          <w:rtl/>
        </w:rPr>
      </w:pPr>
      <w:bookmarkStart w:id="2198" w:name="_Toc137742013"/>
      <w:bookmarkStart w:id="2199" w:name="_Toc163505780"/>
      <w:r>
        <w:rPr>
          <w:rtl/>
        </w:rPr>
        <w:t>חדושי הריטב"א שבת ע"ד ע"א</w:t>
      </w:r>
      <w:r>
        <w:rPr>
          <w:rFonts w:hint="cs"/>
          <w:rtl/>
        </w:rPr>
        <w:t xml:space="preserve"> ד"ה גירסת</w:t>
      </w:r>
      <w:bookmarkEnd w:id="2198"/>
      <w:bookmarkEnd w:id="2199"/>
    </w:p>
    <w:p w14:paraId="5195D69B" w14:textId="77777777" w:rsidR="00592982" w:rsidRPr="004715B2" w:rsidRDefault="00592982" w:rsidP="00592982">
      <w:pPr>
        <w:pStyle w:val="a7"/>
        <w:rPr>
          <w:rtl/>
        </w:rPr>
      </w:pPr>
      <w:bookmarkStart w:id="2200" w:name="_Toc137741926"/>
      <w:r>
        <w:rPr>
          <w:rFonts w:hint="cs"/>
          <w:rtl/>
        </w:rPr>
        <w:t>בי' הריטב"א ברש"י דל"ג "שני" דמבו' בגמ' דאיירי בפסולת ומשמע דיש בורר באוכל מאוכל</w:t>
      </w:r>
      <w:bookmarkEnd w:id="2200"/>
    </w:p>
    <w:p w14:paraId="7C56DF7B" w14:textId="3B0215F8" w:rsidR="00592982" w:rsidRPr="008D1C45" w:rsidRDefault="00592982" w:rsidP="00BC7DC8">
      <w:pPr>
        <w:pStyle w:val="a3"/>
        <w:rPr>
          <w:rStyle w:val="af"/>
        </w:rPr>
      </w:pPr>
      <w:bookmarkStart w:id="2201" w:name="_Ref137584095"/>
      <w:r>
        <w:rPr>
          <w:rFonts w:hint="cs"/>
          <w:rtl/>
        </w:rPr>
        <w:t xml:space="preserve">במ"ש </w:t>
      </w:r>
      <w:r w:rsidRPr="00A34B78">
        <w:rPr>
          <w:rStyle w:val="aff4"/>
          <w:rFonts w:hint="cs"/>
          <w:rtl/>
        </w:rPr>
        <w:t>רש"י</w:t>
      </w:r>
      <w:r w:rsidRPr="003A172C">
        <w:rPr>
          <w:rStyle w:val="aff4"/>
          <w:rFonts w:hint="cs"/>
          <w:vanish/>
          <w:rtl/>
        </w:rPr>
        <w:t>-</w:t>
      </w:r>
      <w:r>
        <w:rPr>
          <w:rFonts w:hint="cs"/>
          <w:rtl/>
        </w:rPr>
        <w:t xml:space="preserve"> </w:t>
      </w:r>
      <w:r w:rsidRPr="00D16BB6">
        <w:rPr>
          <w:rStyle w:val="af2"/>
          <w:rFonts w:eastAsia="Guttman Hodes" w:hint="cs"/>
          <w:rtl/>
        </w:rPr>
        <w:t xml:space="preserve">(עי' אות </w:t>
      </w:r>
      <w:r w:rsidRPr="00D16BB6">
        <w:rPr>
          <w:rStyle w:val="af2"/>
          <w:rFonts w:eastAsia="Guttman Hodes"/>
          <w:rtl/>
        </w:rPr>
        <w:fldChar w:fldCharType="begin"/>
      </w:r>
      <w:r w:rsidRPr="00D16BB6">
        <w:rPr>
          <w:rStyle w:val="af2"/>
          <w:rFonts w:eastAsia="Guttman Hodes"/>
          <w:rtl/>
        </w:rPr>
        <w:instrText xml:space="preserve"> </w:instrText>
      </w:r>
      <w:r w:rsidRPr="00D16BB6">
        <w:rPr>
          <w:rStyle w:val="af2"/>
          <w:rFonts w:eastAsia="Guttman Hodes" w:hint="cs"/>
        </w:rPr>
        <w:instrText>REF</w:instrText>
      </w:r>
      <w:r w:rsidRPr="00D16BB6">
        <w:rPr>
          <w:rStyle w:val="af2"/>
          <w:rFonts w:eastAsia="Guttman Hodes" w:hint="cs"/>
          <w:rtl/>
        </w:rPr>
        <w:instrText xml:space="preserve"> _</w:instrText>
      </w:r>
      <w:r w:rsidRPr="00D16BB6">
        <w:rPr>
          <w:rStyle w:val="af2"/>
          <w:rFonts w:eastAsia="Guttman Hodes" w:hint="cs"/>
        </w:rPr>
        <w:instrText>Ref137583936 \r \h</w:instrText>
      </w:r>
      <w:r w:rsidRPr="00D16BB6">
        <w:rPr>
          <w:rStyle w:val="af2"/>
          <w:rFonts w:eastAsia="Guttman Hodes"/>
          <w:rtl/>
        </w:rPr>
        <w:instrText xml:space="preserve"> </w:instrText>
      </w:r>
      <w:r w:rsidRPr="00D16BB6">
        <w:rPr>
          <w:rStyle w:val="af2"/>
          <w:rFonts w:eastAsia="Guttman Hodes"/>
          <w:rtl/>
        </w:rPr>
      </w:r>
      <w:r w:rsidRPr="00D16BB6">
        <w:rPr>
          <w:rStyle w:val="af2"/>
          <w:rFonts w:eastAsia="Guttman Hodes"/>
          <w:rtl/>
        </w:rPr>
        <w:fldChar w:fldCharType="separate"/>
      </w:r>
      <w:r w:rsidR="00D82181">
        <w:rPr>
          <w:rStyle w:val="af2"/>
          <w:rFonts w:eastAsia="Guttman Hodes"/>
          <w:cs/>
        </w:rPr>
        <w:t>‎</w:t>
      </w:r>
      <w:r w:rsidR="00D82181">
        <w:rPr>
          <w:rStyle w:val="af2"/>
          <w:rFonts w:eastAsia="Guttman Hodes"/>
          <w:rtl/>
        </w:rPr>
        <w:t>א)</w:t>
      </w:r>
      <w:r w:rsidRPr="00D16BB6">
        <w:rPr>
          <w:rStyle w:val="af2"/>
          <w:rFonts w:eastAsia="Guttman Hodes"/>
          <w:rtl/>
        </w:rPr>
        <w:fldChar w:fldCharType="end"/>
      </w:r>
      <w:r>
        <w:rPr>
          <w:rFonts w:hint="cs"/>
          <w:rtl/>
        </w:rPr>
        <w:t xml:space="preserve"> דלא גרסינן "שני" מיני אוכלין, ביאר </w:t>
      </w:r>
      <w:r w:rsidRPr="003A172C">
        <w:rPr>
          <w:rStyle w:val="aff4"/>
          <w:rFonts w:hint="cs"/>
          <w:vanish/>
          <w:rtl/>
        </w:rPr>
        <w:t>-</w:t>
      </w:r>
      <w:r w:rsidRPr="00A34B78">
        <w:rPr>
          <w:rStyle w:val="aff4"/>
          <w:rFonts w:hint="cs"/>
          <w:rtl/>
        </w:rPr>
        <w:t>ה</w:t>
      </w:r>
      <w:r w:rsidRPr="003A172C">
        <w:rPr>
          <w:rStyle w:val="aff4"/>
          <w:rFonts w:hint="cs"/>
          <w:vanish/>
          <w:rtl/>
        </w:rPr>
        <w:t xml:space="preserve">&lt;. </w:t>
      </w:r>
      <w:r w:rsidRPr="003A172C">
        <w:rPr>
          <w:rStyle w:val="aff4"/>
          <w:vanish/>
          <w:rtl/>
        </w:rPr>
        <w:fldChar w:fldCharType="begin"/>
      </w:r>
      <w:r w:rsidRPr="003A172C">
        <w:rPr>
          <w:rStyle w:val="aff4"/>
          <w:vanish/>
          <w:rtl/>
        </w:rPr>
        <w:instrText xml:space="preserve"> </w:instrText>
      </w:r>
      <w:r w:rsidRPr="003A172C">
        <w:rPr>
          <w:rStyle w:val="aff4"/>
          <w:rFonts w:hint="cs"/>
          <w:vanish/>
        </w:rPr>
        <w:instrText>REF</w:instrText>
      </w:r>
      <w:r w:rsidRPr="003A172C">
        <w:rPr>
          <w:rStyle w:val="aff4"/>
          <w:rFonts w:hint="cs"/>
          <w:vanish/>
          <w:rtl/>
        </w:rPr>
        <w:instrText xml:space="preserve"> _</w:instrText>
      </w:r>
      <w:r w:rsidRPr="003A172C">
        <w:rPr>
          <w:rStyle w:val="aff4"/>
          <w:rFonts w:hint="cs"/>
          <w:vanish/>
        </w:rPr>
        <w:instrText>Ref137584095 \r \h</w:instrText>
      </w:r>
      <w:r w:rsidRPr="003A172C">
        <w:rPr>
          <w:rStyle w:val="aff4"/>
          <w:vanish/>
          <w:rtl/>
        </w:rPr>
        <w:instrText xml:space="preserve"> </w:instrText>
      </w:r>
      <w:r w:rsidRPr="003A172C">
        <w:rPr>
          <w:rStyle w:val="aff4"/>
          <w:vanish/>
          <w:rtl/>
        </w:rPr>
      </w:r>
      <w:r w:rsidRPr="003A172C">
        <w:rPr>
          <w:rStyle w:val="aff4"/>
          <w:vanish/>
          <w:rtl/>
        </w:rPr>
        <w:fldChar w:fldCharType="separate"/>
      </w:r>
      <w:r w:rsidR="00D82181">
        <w:rPr>
          <w:rStyle w:val="aff4"/>
          <w:vanish/>
          <w:cs/>
        </w:rPr>
        <w:t>‎</w:t>
      </w:r>
      <w:r w:rsidR="00D82181">
        <w:rPr>
          <w:rStyle w:val="aff4"/>
          <w:vanish/>
          <w:rtl/>
        </w:rPr>
        <w:t>ט)</w:t>
      </w:r>
      <w:r w:rsidRPr="003A172C">
        <w:rPr>
          <w:rStyle w:val="aff4"/>
          <w:vanish/>
          <w:rtl/>
        </w:rPr>
        <w:fldChar w:fldCharType="end"/>
      </w:r>
      <w:r w:rsidRPr="003A172C">
        <w:rPr>
          <w:rStyle w:val="aff4"/>
          <w:rFonts w:hint="cs"/>
          <w:vanish/>
          <w:rtl/>
        </w:rPr>
        <w:t xml:space="preserve"> &gt;</w:t>
      </w:r>
      <w:r w:rsidRPr="00A34B78">
        <w:rPr>
          <w:rStyle w:val="aff4"/>
          <w:rFonts w:hint="cs"/>
          <w:rtl/>
        </w:rPr>
        <w:t>ריטב"א</w:t>
      </w:r>
      <w:r w:rsidRPr="003A172C">
        <w:rPr>
          <w:rStyle w:val="aff4"/>
          <w:rFonts w:hint="cs"/>
          <w:vanish/>
          <w:rtl/>
        </w:rPr>
        <w:t>-</w:t>
      </w:r>
      <w:r>
        <w:rPr>
          <w:rFonts w:hint="cs"/>
          <w:rtl/>
        </w:rPr>
        <w:t xml:space="preserve"> </w:t>
      </w:r>
      <w:r w:rsidRPr="00D16BB6">
        <w:rPr>
          <w:rStyle w:val="af2"/>
          <w:rFonts w:eastAsia="Guttman Hodes" w:hint="cs"/>
          <w:rtl/>
        </w:rPr>
        <w:t>(ד"ה גירסת)</w:t>
      </w:r>
      <w:r w:rsidRPr="003A172C">
        <w:rPr>
          <w:rFonts w:hint="cs"/>
          <w:vanish/>
          <w:rtl/>
        </w:rPr>
        <w:t>=</w:t>
      </w:r>
      <w:r>
        <w:rPr>
          <w:rFonts w:hint="cs"/>
          <w:rtl/>
        </w:rPr>
        <w:t xml:space="preserve"> דהברייתא איירי באוכל מתוך פסולת כדאיתא בהמשך הגמ', ולא בבורר אוכל מתוך אוכל, והא דתני לשון "אוכלין" הוא כיון דאורחא דמילתא לנקוט לשון רבים, וכתב </w:t>
      </w:r>
      <w:r w:rsidRPr="003A172C">
        <w:rPr>
          <w:rStyle w:val="aff4"/>
          <w:rFonts w:hint="cs"/>
          <w:vanish/>
          <w:rtl/>
        </w:rPr>
        <w:t>-</w:t>
      </w:r>
      <w:r w:rsidRPr="00A34B78">
        <w:rPr>
          <w:rStyle w:val="aff4"/>
          <w:rFonts w:hint="cs"/>
          <w:rtl/>
        </w:rPr>
        <w:t>הריטב"א</w:t>
      </w:r>
      <w:r w:rsidRPr="003A172C">
        <w:rPr>
          <w:rStyle w:val="aff4"/>
          <w:rFonts w:hint="cs"/>
          <w:vanish/>
          <w:rtl/>
        </w:rPr>
        <w:t>-</w:t>
      </w:r>
      <w:r>
        <w:rPr>
          <w:rFonts w:hint="cs"/>
          <w:rtl/>
        </w:rPr>
        <w:t xml:space="preserve"> דהא דאיתא בהמשך הגמ' דבברייתא איירי בפסולת מתוך אוכל, היינו דלאוכל שאינו חפץ בו קרינן פסולת.</w:t>
      </w:r>
      <w:bookmarkEnd w:id="2201"/>
      <w:r>
        <w:rPr>
          <w:rFonts w:hint="cs"/>
          <w:rtl/>
        </w:rPr>
        <w:t xml:space="preserve"> </w:t>
      </w:r>
      <w:r w:rsidRPr="00D16BB6">
        <w:rPr>
          <w:rStyle w:val="af"/>
          <w:rFonts w:hint="cs"/>
          <w:rtl/>
        </w:rPr>
        <w:t xml:space="preserve">[ומשמע מדברי </w:t>
      </w:r>
      <w:r w:rsidRPr="00D16BB6">
        <w:rPr>
          <w:rStyle w:val="aff9"/>
          <w:rFonts w:hint="cs"/>
          <w:vanish/>
          <w:rtl/>
        </w:rPr>
        <w:t>-</w:t>
      </w:r>
      <w:r w:rsidRPr="00D16BB6">
        <w:rPr>
          <w:rStyle w:val="aff9"/>
          <w:rFonts w:hint="cs"/>
          <w:rtl/>
        </w:rPr>
        <w:t>הריטב"א</w:t>
      </w:r>
      <w:r w:rsidRPr="00D16BB6">
        <w:rPr>
          <w:rStyle w:val="aff9"/>
          <w:rFonts w:hint="cs"/>
          <w:vanish/>
          <w:rtl/>
        </w:rPr>
        <w:t>-</w:t>
      </w:r>
      <w:r w:rsidRPr="00D16BB6">
        <w:rPr>
          <w:rStyle w:val="af"/>
          <w:rFonts w:hint="cs"/>
          <w:rtl/>
        </w:rPr>
        <w:t xml:space="preserve"> דאף לדעת </w:t>
      </w:r>
      <w:r w:rsidRPr="00D16BB6">
        <w:rPr>
          <w:rStyle w:val="aff9"/>
          <w:rFonts w:hint="cs"/>
          <w:vanish/>
          <w:rtl/>
        </w:rPr>
        <w:t>-</w:t>
      </w:r>
      <w:r w:rsidRPr="00D16BB6">
        <w:rPr>
          <w:rStyle w:val="aff9"/>
          <w:rFonts w:hint="cs"/>
          <w:rtl/>
        </w:rPr>
        <w:t>רש"י</w:t>
      </w:r>
      <w:r w:rsidRPr="00D16BB6">
        <w:rPr>
          <w:rStyle w:val="aff9"/>
          <w:rFonts w:hint="cs"/>
          <w:vanish/>
          <w:rtl/>
        </w:rPr>
        <w:t>-</w:t>
      </w:r>
      <w:r w:rsidRPr="00D16BB6">
        <w:rPr>
          <w:rStyle w:val="af"/>
          <w:rFonts w:hint="cs"/>
          <w:rtl/>
        </w:rPr>
        <w:t xml:space="preserve"> יש ברירה בב' מיני אוכלין, אלא דלא משמע בברייתא דאיירי באוכל מתוך אוכל]</w:t>
      </w:r>
      <w:r w:rsidRPr="008D1C45">
        <w:rPr>
          <w:rStyle w:val="af"/>
          <w:rFonts w:hint="cs"/>
          <w:rtl/>
        </w:rPr>
        <w:t>.</w:t>
      </w:r>
    </w:p>
    <w:p w14:paraId="2BC87675" w14:textId="77777777" w:rsidR="00592982" w:rsidRPr="00747170" w:rsidRDefault="00592982" w:rsidP="00747170">
      <w:pPr>
        <w:pStyle w:val="a2"/>
        <w:rPr>
          <w:rtl/>
        </w:rPr>
      </w:pPr>
      <w:r w:rsidRPr="00747170">
        <w:rPr>
          <w:rtl/>
        </w:rPr>
        <w:t>גירסת רש"י ז"ל היו לפניו [מיני] אוכלין. ולא גריס שני מיני אוכלים, דהכא בבורר אוכל מתוך פסולת הוא כדאיתא לקמן ולא בבורר אוכל מתוך אוכל, וא"ת ואמאי קתני מיני אוכלים ליתני היו לפניו אוכלים, י"ל אורחא דתנא הוא למנקט לישנא דריבויא, ור"י ז"ל גורס שני מיני אוכלים, שבורר אחד מחבירו, והא דקאמר לקמן בורר אוכל מתוך פסולת, המין שאינו [חפץ] לאכול קרוי פסולת, וכן אמר בירושלמי (ה"ב) הבורר אוכלין מתוך אוכלין חזקיה אמר בורר ואוכל וכו'.</w:t>
      </w:r>
    </w:p>
    <w:p w14:paraId="44753B3F" w14:textId="2C9F856A" w:rsidR="00592982" w:rsidRDefault="00592982" w:rsidP="00592982">
      <w:pPr>
        <w:pStyle w:val="afffff7"/>
        <w:rPr>
          <w:rtl/>
        </w:rPr>
      </w:pPr>
      <w:bookmarkStart w:id="2202" w:name="_Toc137742014"/>
      <w:bookmarkStart w:id="2203" w:name="_Toc163505781"/>
      <w:r>
        <w:rPr>
          <w:rtl/>
        </w:rPr>
        <w:t>ב"ח אורח חיים סי' שיט</w:t>
      </w:r>
      <w:r>
        <w:rPr>
          <w:rFonts w:hint="cs"/>
          <w:rtl/>
        </w:rPr>
        <w:t xml:space="preserve"> א' ד"ה ומ"ש הילכך</w:t>
      </w:r>
      <w:bookmarkEnd w:id="2202"/>
      <w:bookmarkEnd w:id="2203"/>
    </w:p>
    <w:p w14:paraId="606ECA6F" w14:textId="77777777" w:rsidR="00592982" w:rsidRDefault="00592982" w:rsidP="00592982">
      <w:pPr>
        <w:pStyle w:val="a7"/>
        <w:rPr>
          <w:rtl/>
        </w:rPr>
      </w:pPr>
      <w:bookmarkStart w:id="2204" w:name="_Toc137741927"/>
      <w:r>
        <w:rPr>
          <w:rFonts w:hint="cs"/>
          <w:rtl/>
        </w:rPr>
        <w:t>בי' הב"ח ברש"י דבברייתא הב' גרס שני ובברייתא הראשונה ל"ג דאיירי בפסולת אך ס"ל כטור</w:t>
      </w:r>
      <w:bookmarkEnd w:id="2204"/>
    </w:p>
    <w:p w14:paraId="1558E968" w14:textId="0CC16F3A" w:rsidR="00592982" w:rsidRPr="00467CC3" w:rsidRDefault="00592982" w:rsidP="00BC7DC8">
      <w:pPr>
        <w:pStyle w:val="a3"/>
        <w:rPr>
          <w:rtl/>
        </w:rPr>
      </w:pPr>
      <w:bookmarkStart w:id="2205" w:name="_Ref136946771"/>
      <w:r>
        <w:rPr>
          <w:rFonts w:hint="cs"/>
          <w:rtl/>
        </w:rPr>
        <w:t xml:space="preserve">וכתב </w:t>
      </w:r>
      <w:r w:rsidRPr="007C0A65">
        <w:rPr>
          <w:rStyle w:val="aff4"/>
          <w:rFonts w:hint="cs"/>
          <w:vanish/>
          <w:rtl/>
        </w:rPr>
        <w:t>-</w:t>
      </w:r>
      <w:r w:rsidRPr="007439A4">
        <w:rPr>
          <w:rStyle w:val="aff4"/>
          <w:rFonts w:hint="cs"/>
          <w:rtl/>
        </w:rPr>
        <w:t>ה</w:t>
      </w:r>
      <w:r w:rsidRPr="007C0A65">
        <w:rPr>
          <w:rStyle w:val="aff4"/>
          <w:rFonts w:hint="cs"/>
          <w:vanish/>
          <w:rtl/>
        </w:rPr>
        <w:t xml:space="preserve">&lt;. </w:t>
      </w:r>
      <w:r w:rsidRPr="007C0A65">
        <w:rPr>
          <w:rStyle w:val="aff4"/>
          <w:vanish/>
          <w:rtl/>
        </w:rPr>
        <w:fldChar w:fldCharType="begin"/>
      </w:r>
      <w:r w:rsidRPr="007C0A65">
        <w:rPr>
          <w:rStyle w:val="aff4"/>
          <w:vanish/>
          <w:rtl/>
        </w:rPr>
        <w:instrText xml:space="preserve"> </w:instrText>
      </w:r>
      <w:r w:rsidRPr="007C0A65">
        <w:rPr>
          <w:rStyle w:val="aff4"/>
          <w:rFonts w:hint="cs"/>
          <w:vanish/>
        </w:rPr>
        <w:instrText>REF</w:instrText>
      </w:r>
      <w:r w:rsidRPr="007C0A65">
        <w:rPr>
          <w:rStyle w:val="aff4"/>
          <w:rFonts w:hint="cs"/>
          <w:vanish/>
          <w:rtl/>
        </w:rPr>
        <w:instrText xml:space="preserve"> _</w:instrText>
      </w:r>
      <w:r w:rsidRPr="007C0A65">
        <w:rPr>
          <w:rStyle w:val="aff4"/>
          <w:rFonts w:hint="cs"/>
          <w:vanish/>
        </w:rPr>
        <w:instrText>Ref136946771 \r \h</w:instrText>
      </w:r>
      <w:r w:rsidRPr="007C0A65">
        <w:rPr>
          <w:rStyle w:val="aff4"/>
          <w:vanish/>
          <w:rtl/>
        </w:rPr>
        <w:instrText xml:space="preserve"> </w:instrText>
      </w:r>
      <w:r w:rsidRPr="007C0A65">
        <w:rPr>
          <w:rStyle w:val="aff4"/>
          <w:vanish/>
          <w:rtl/>
        </w:rPr>
      </w:r>
      <w:r w:rsidRPr="007C0A65">
        <w:rPr>
          <w:rStyle w:val="aff4"/>
          <w:vanish/>
          <w:rtl/>
        </w:rPr>
        <w:fldChar w:fldCharType="separate"/>
      </w:r>
      <w:r w:rsidR="00D82181">
        <w:rPr>
          <w:rStyle w:val="aff4"/>
          <w:vanish/>
          <w:cs/>
        </w:rPr>
        <w:t>‎</w:t>
      </w:r>
      <w:r w:rsidR="00D82181">
        <w:rPr>
          <w:rStyle w:val="aff4"/>
          <w:vanish/>
          <w:rtl/>
        </w:rPr>
        <w:t>י)</w:t>
      </w:r>
      <w:r w:rsidRPr="007C0A65">
        <w:rPr>
          <w:rStyle w:val="aff4"/>
          <w:vanish/>
          <w:rtl/>
        </w:rPr>
        <w:fldChar w:fldCharType="end"/>
      </w:r>
      <w:r w:rsidRPr="007C0A65">
        <w:rPr>
          <w:rStyle w:val="aff4"/>
          <w:rFonts w:hint="cs"/>
          <w:vanish/>
          <w:rtl/>
        </w:rPr>
        <w:t xml:space="preserve"> &gt;</w:t>
      </w:r>
      <w:r w:rsidRPr="007439A4">
        <w:rPr>
          <w:rStyle w:val="aff4"/>
          <w:rFonts w:hint="cs"/>
          <w:rtl/>
        </w:rPr>
        <w:t>ב"ח</w:t>
      </w:r>
      <w:r w:rsidRPr="007C0A65">
        <w:rPr>
          <w:rStyle w:val="aff4"/>
          <w:rFonts w:hint="cs"/>
          <w:vanish/>
          <w:rtl/>
        </w:rPr>
        <w:t>-</w:t>
      </w:r>
      <w:r>
        <w:rPr>
          <w:rFonts w:hint="cs"/>
          <w:rtl/>
        </w:rPr>
        <w:t xml:space="preserve"> </w:t>
      </w:r>
      <w:r w:rsidRPr="00D16BB6">
        <w:rPr>
          <w:rStyle w:val="af2"/>
          <w:rFonts w:eastAsia="Guttman Hodes" w:hint="cs"/>
          <w:rtl/>
        </w:rPr>
        <w:t>(סי' שי"ט א' ד"ה ומ"ש הילכך)</w:t>
      </w:r>
      <w:r w:rsidRPr="007C0A65">
        <w:rPr>
          <w:rFonts w:hint="cs"/>
          <w:vanish/>
          <w:rtl/>
        </w:rPr>
        <w:t>=</w:t>
      </w:r>
      <w:r>
        <w:rPr>
          <w:rFonts w:hint="cs"/>
          <w:rtl/>
        </w:rPr>
        <w:t xml:space="preserve"> דרק בברייתא הראשונה ל"ג </w:t>
      </w:r>
      <w:r w:rsidRPr="007C0A65">
        <w:rPr>
          <w:rStyle w:val="aff4"/>
          <w:rFonts w:hint="cs"/>
          <w:vanish/>
          <w:rtl/>
        </w:rPr>
        <w:t>-</w:t>
      </w:r>
      <w:r w:rsidRPr="007439A4">
        <w:rPr>
          <w:rStyle w:val="aff4"/>
          <w:rFonts w:hint="cs"/>
          <w:rtl/>
        </w:rPr>
        <w:t>רש"י</w:t>
      </w:r>
      <w:r w:rsidRPr="007C0A65">
        <w:rPr>
          <w:rStyle w:val="aff4"/>
          <w:rFonts w:hint="cs"/>
          <w:vanish/>
          <w:rtl/>
        </w:rPr>
        <w:t>-</w:t>
      </w:r>
      <w:r>
        <w:rPr>
          <w:rFonts w:hint="cs"/>
          <w:rtl/>
        </w:rPr>
        <w:t xml:space="preserve"> </w:t>
      </w:r>
      <w:r w:rsidRPr="00D16BB6">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Ref137583936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א)</w:t>
      </w:r>
      <w:r>
        <w:rPr>
          <w:rStyle w:val="af2"/>
          <w:rFonts w:eastAsia="Guttman Hodes"/>
          <w:rtl/>
        </w:rPr>
        <w:fldChar w:fldCharType="end"/>
      </w:r>
      <w:r>
        <w:rPr>
          <w:rFonts w:hint="cs"/>
          <w:rtl/>
        </w:rPr>
        <w:t xml:space="preserve"> "שני", אבל בברייתא שהביאה הגמ' בפלוגתת רב אשי ורב ירמיה מדפתי אף </w:t>
      </w:r>
      <w:r w:rsidRPr="007C0A65">
        <w:rPr>
          <w:rStyle w:val="aff4"/>
          <w:rFonts w:hint="cs"/>
          <w:vanish/>
          <w:rtl/>
        </w:rPr>
        <w:t>-</w:t>
      </w:r>
      <w:r w:rsidRPr="007439A4">
        <w:rPr>
          <w:rStyle w:val="aff4"/>
          <w:rFonts w:hint="cs"/>
          <w:rtl/>
        </w:rPr>
        <w:t>לרש"י</w:t>
      </w:r>
      <w:r w:rsidRPr="007C0A65">
        <w:rPr>
          <w:rStyle w:val="aff4"/>
          <w:rFonts w:hint="cs"/>
          <w:vanish/>
          <w:rtl/>
        </w:rPr>
        <w:t>-</w:t>
      </w:r>
      <w:r>
        <w:rPr>
          <w:rFonts w:hint="cs"/>
          <w:rtl/>
        </w:rPr>
        <w:t xml:space="preserve"> גרסינן "שני", וביאר </w:t>
      </w:r>
      <w:r w:rsidRPr="007C0A65">
        <w:rPr>
          <w:rStyle w:val="aff4"/>
          <w:rFonts w:hint="cs"/>
          <w:vanish/>
          <w:rtl/>
        </w:rPr>
        <w:t>-</w:t>
      </w:r>
      <w:r w:rsidRPr="007439A4">
        <w:rPr>
          <w:rStyle w:val="aff4"/>
          <w:rFonts w:hint="cs"/>
          <w:rtl/>
        </w:rPr>
        <w:t>הב"ח</w:t>
      </w:r>
      <w:r w:rsidRPr="007C0A65">
        <w:rPr>
          <w:rStyle w:val="aff4"/>
          <w:rFonts w:hint="cs"/>
          <w:vanish/>
          <w:rtl/>
        </w:rPr>
        <w:t>-</w:t>
      </w:r>
      <w:r>
        <w:rPr>
          <w:rFonts w:hint="cs"/>
          <w:rtl/>
        </w:rPr>
        <w:t xml:space="preserve"> דבברייתא הראשונה אין כוונת </w:t>
      </w:r>
      <w:r w:rsidRPr="007C0A65">
        <w:rPr>
          <w:rStyle w:val="aff4"/>
          <w:rFonts w:hint="cs"/>
          <w:vanish/>
          <w:rtl/>
        </w:rPr>
        <w:t>-</w:t>
      </w:r>
      <w:r w:rsidRPr="007439A4">
        <w:rPr>
          <w:rStyle w:val="aff4"/>
          <w:rFonts w:hint="cs"/>
          <w:rtl/>
        </w:rPr>
        <w:t>רש"י</w:t>
      </w:r>
      <w:r w:rsidRPr="007C0A65">
        <w:rPr>
          <w:rStyle w:val="aff4"/>
          <w:rFonts w:hint="cs"/>
          <w:vanish/>
          <w:rtl/>
        </w:rPr>
        <w:t>-</w:t>
      </w:r>
      <w:r>
        <w:rPr>
          <w:rFonts w:hint="cs"/>
          <w:rtl/>
        </w:rPr>
        <w:t xml:space="preserve"> דלא איירי בב' מינים כיון דאין בהם </w:t>
      </w:r>
      <w:r>
        <w:rPr>
          <w:rFonts w:hint="cs"/>
          <w:rtl/>
        </w:rPr>
        <w:lastRenderedPageBreak/>
        <w:t xml:space="preserve">ברירה, אלא דאיירי במיני אוכלין שמעורבין עם פסולת, כדמוכח מדברי רב המנונא, ובברייתא השניה המין שאינו רוצה בו חשיב כפסולת כלפי המין הראשון, וכדכתב </w:t>
      </w:r>
      <w:r w:rsidRPr="007C0A65">
        <w:rPr>
          <w:rStyle w:val="aff4"/>
          <w:rFonts w:hint="cs"/>
          <w:vanish/>
          <w:rtl/>
        </w:rPr>
        <w:t>-</w:t>
      </w:r>
      <w:r w:rsidRPr="007439A4">
        <w:rPr>
          <w:rStyle w:val="aff4"/>
          <w:rFonts w:hint="cs"/>
          <w:rtl/>
        </w:rPr>
        <w:t>הטור</w:t>
      </w:r>
      <w:r w:rsidRPr="007C0A65">
        <w:rPr>
          <w:rStyle w:val="aff4"/>
          <w:rFonts w:hint="cs"/>
          <w:vanish/>
          <w:rtl/>
        </w:rPr>
        <w:t>-</w:t>
      </w:r>
      <w:r>
        <w:rPr>
          <w:rFonts w:hint="cs"/>
          <w:rtl/>
        </w:rPr>
        <w:t xml:space="preserve"> </w:t>
      </w:r>
      <w:r w:rsidRPr="00D16BB6">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Ref137639512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כא)</w:t>
      </w:r>
      <w:r>
        <w:rPr>
          <w:rStyle w:val="af2"/>
          <w:rFonts w:eastAsia="Guttman Hodes"/>
          <w:rtl/>
        </w:rPr>
        <w:fldChar w:fldCharType="end"/>
      </w:r>
      <w:r>
        <w:rPr>
          <w:rFonts w:hint="cs"/>
          <w:rtl/>
        </w:rPr>
        <w:t>.</w:t>
      </w:r>
      <w:bookmarkEnd w:id="2205"/>
    </w:p>
    <w:p w14:paraId="0EFEEF89" w14:textId="77777777" w:rsidR="00592982" w:rsidRPr="00747170" w:rsidRDefault="00592982" w:rsidP="00747170">
      <w:pPr>
        <w:pStyle w:val="a2"/>
      </w:pPr>
      <w:r w:rsidRPr="00747170">
        <w:rPr>
          <w:rtl/>
        </w:rPr>
        <w:t>ומ"ש הילכך היו לפניו אוכלין עם פסולת שלהן וכו'. הוא על פי פירוש רש"י שכתב דבברייתא קמייתא גרסינן היו לפניו מיני אוכלין. כלומר שהיו לפניו מיני אוכלין עם פסולת שלהן וכדמוכחא מאוקימתא דרב המנונא דמוקי לברייתא באוכל עם פסולת ובאידך ברייתא גרסינן היו לפניו שני מיני אוכלין ואותו שאינו חפץ לאכול עכשיו חשיב פסולת לגבי אותו שחפץ לאכלו וכמו שכתב רבינו בסמוך. ואפשר דמשום הכי דקדק רבינו ואמר עם פסולת שלהן. כלומר שאינו מדבר כאן בשני מיני אוכלין ואותו שאינו חפץ בו עתה הוא נקרא פסולת אלא מיירי כאן באוכלין עם פסולת שלהן. כלומר הפסולת של אותו מין בעצמו שהוא פסולת ממש כגון צרורות ועפר:</w:t>
      </w:r>
    </w:p>
    <w:p w14:paraId="65380973" w14:textId="0416F782" w:rsidR="00592982" w:rsidRDefault="00592982" w:rsidP="00592982">
      <w:pPr>
        <w:pStyle w:val="afffff7"/>
        <w:rPr>
          <w:rtl/>
        </w:rPr>
      </w:pPr>
      <w:bookmarkStart w:id="2206" w:name="_Toc137742015"/>
      <w:bookmarkStart w:id="2207" w:name="_Toc163505782"/>
      <w:r>
        <w:rPr>
          <w:rtl/>
        </w:rPr>
        <w:t>פני יהושע שבת ע"ד ע"א</w:t>
      </w:r>
      <w:r>
        <w:rPr>
          <w:rFonts w:hint="cs"/>
          <w:rtl/>
        </w:rPr>
        <w:t xml:space="preserve"> ד"ה מה שא"כ</w:t>
      </w:r>
      <w:bookmarkEnd w:id="2206"/>
      <w:bookmarkEnd w:id="2207"/>
    </w:p>
    <w:p w14:paraId="31CF60D6" w14:textId="77777777" w:rsidR="00592982" w:rsidRDefault="00592982" w:rsidP="00592982">
      <w:pPr>
        <w:pStyle w:val="afffff7"/>
        <w:rPr>
          <w:rtl/>
        </w:rPr>
      </w:pPr>
      <w:bookmarkStart w:id="2208" w:name="_Toc137742016"/>
      <w:bookmarkStart w:id="2209" w:name="_Toc163505783"/>
      <w:r>
        <w:rPr>
          <w:rtl/>
        </w:rPr>
        <w:t>פני יהושע שבת ע"ד ע"א</w:t>
      </w:r>
      <w:r>
        <w:rPr>
          <w:rFonts w:hint="cs"/>
          <w:rtl/>
        </w:rPr>
        <w:t xml:space="preserve"> ד"ה </w:t>
      </w:r>
      <w:r>
        <w:rPr>
          <w:rtl/>
        </w:rPr>
        <w:t>ויש לי</w:t>
      </w:r>
      <w:bookmarkEnd w:id="2208"/>
      <w:bookmarkEnd w:id="2209"/>
    </w:p>
    <w:p w14:paraId="7BC2C655" w14:textId="77777777" w:rsidR="00592982" w:rsidRDefault="00592982" w:rsidP="00592982">
      <w:pPr>
        <w:pStyle w:val="a7"/>
        <w:rPr>
          <w:rtl/>
        </w:rPr>
      </w:pPr>
      <w:bookmarkStart w:id="2210" w:name="_Toc137741928"/>
      <w:r>
        <w:rPr>
          <w:rFonts w:hint="cs"/>
          <w:rtl/>
        </w:rPr>
        <w:t>בי' הפנ"י ברש"י דיש ברירה באוכל מאוכל ובירו' נח' לחטאת ול"ג שני דיש כמה הוכחות בגמ'</w:t>
      </w:r>
      <w:bookmarkEnd w:id="2210"/>
    </w:p>
    <w:p w14:paraId="7A3FADDA" w14:textId="097044D2" w:rsidR="00592982" w:rsidRPr="00455F15" w:rsidRDefault="00592982" w:rsidP="00BC7DC8">
      <w:pPr>
        <w:pStyle w:val="a3"/>
        <w:rPr>
          <w:rtl/>
        </w:rPr>
      </w:pPr>
      <w:bookmarkStart w:id="2211" w:name="_Ref136878751"/>
      <w:r>
        <w:rPr>
          <w:rFonts w:hint="cs"/>
          <w:rtl/>
        </w:rPr>
        <w:t xml:space="preserve">וכ"כ </w:t>
      </w:r>
      <w:r w:rsidRPr="00A91E2E">
        <w:rPr>
          <w:rStyle w:val="aff4"/>
          <w:rFonts w:hint="cs"/>
          <w:vanish/>
          <w:rtl/>
        </w:rPr>
        <w:t>-</w:t>
      </w:r>
      <w:r w:rsidRPr="007439A4">
        <w:rPr>
          <w:rStyle w:val="aff4"/>
          <w:rFonts w:hint="cs"/>
          <w:rtl/>
        </w:rPr>
        <w:t>ה</w:t>
      </w:r>
      <w:r w:rsidRPr="00A91E2E">
        <w:rPr>
          <w:rStyle w:val="aff4"/>
          <w:rFonts w:hint="cs"/>
          <w:vanish/>
          <w:rtl/>
        </w:rPr>
        <w:t xml:space="preserve">&lt;. </w:t>
      </w:r>
      <w:r w:rsidRPr="00A91E2E">
        <w:rPr>
          <w:rStyle w:val="aff4"/>
          <w:vanish/>
          <w:rtl/>
        </w:rPr>
        <w:fldChar w:fldCharType="begin"/>
      </w:r>
      <w:r w:rsidRPr="00A91E2E">
        <w:rPr>
          <w:rStyle w:val="aff4"/>
          <w:vanish/>
          <w:rtl/>
        </w:rPr>
        <w:instrText xml:space="preserve"> </w:instrText>
      </w:r>
      <w:r w:rsidRPr="00A91E2E">
        <w:rPr>
          <w:rStyle w:val="aff4"/>
          <w:rFonts w:hint="cs"/>
          <w:vanish/>
        </w:rPr>
        <w:instrText>REF</w:instrText>
      </w:r>
      <w:r w:rsidRPr="00A91E2E">
        <w:rPr>
          <w:rStyle w:val="aff4"/>
          <w:rFonts w:hint="cs"/>
          <w:vanish/>
          <w:rtl/>
        </w:rPr>
        <w:instrText xml:space="preserve"> _</w:instrText>
      </w:r>
      <w:r w:rsidRPr="00A91E2E">
        <w:rPr>
          <w:rStyle w:val="aff4"/>
          <w:rFonts w:hint="cs"/>
          <w:vanish/>
        </w:rPr>
        <w:instrText>Ref136878751 \r \h</w:instrText>
      </w:r>
      <w:r w:rsidRPr="00A91E2E">
        <w:rPr>
          <w:rStyle w:val="aff4"/>
          <w:vanish/>
          <w:rtl/>
        </w:rPr>
        <w:instrText xml:space="preserve"> </w:instrText>
      </w:r>
      <w:r w:rsidRPr="00A91E2E">
        <w:rPr>
          <w:rStyle w:val="aff4"/>
          <w:vanish/>
          <w:rtl/>
        </w:rPr>
      </w:r>
      <w:r w:rsidRPr="00A91E2E">
        <w:rPr>
          <w:rStyle w:val="aff4"/>
          <w:vanish/>
          <w:rtl/>
        </w:rPr>
        <w:fldChar w:fldCharType="separate"/>
      </w:r>
      <w:r w:rsidR="00D82181">
        <w:rPr>
          <w:rStyle w:val="aff4"/>
          <w:vanish/>
          <w:cs/>
        </w:rPr>
        <w:t>‎</w:t>
      </w:r>
      <w:r w:rsidR="00D82181">
        <w:rPr>
          <w:rStyle w:val="aff4"/>
          <w:vanish/>
          <w:rtl/>
        </w:rPr>
        <w:t>יא)</w:t>
      </w:r>
      <w:r w:rsidRPr="00A91E2E">
        <w:rPr>
          <w:rStyle w:val="aff4"/>
          <w:vanish/>
          <w:rtl/>
        </w:rPr>
        <w:fldChar w:fldCharType="end"/>
      </w:r>
      <w:r w:rsidRPr="00A91E2E">
        <w:rPr>
          <w:rStyle w:val="aff4"/>
          <w:rFonts w:hint="cs"/>
          <w:vanish/>
          <w:rtl/>
        </w:rPr>
        <w:t xml:space="preserve"> &gt;</w:t>
      </w:r>
      <w:r w:rsidRPr="007439A4">
        <w:rPr>
          <w:rStyle w:val="aff4"/>
          <w:rFonts w:hint="cs"/>
          <w:rtl/>
        </w:rPr>
        <w:t>פנ"י</w:t>
      </w:r>
      <w:r w:rsidRPr="00A91E2E">
        <w:rPr>
          <w:rStyle w:val="aff4"/>
          <w:rFonts w:hint="cs"/>
          <w:vanish/>
          <w:rtl/>
        </w:rPr>
        <w:t>-</w:t>
      </w:r>
      <w:r>
        <w:rPr>
          <w:rFonts w:hint="cs"/>
          <w:rtl/>
        </w:rPr>
        <w:t xml:space="preserve"> </w:t>
      </w:r>
      <w:r w:rsidRPr="00D16BB6">
        <w:rPr>
          <w:rStyle w:val="af2"/>
          <w:rFonts w:eastAsia="Guttman Hodes" w:hint="cs"/>
          <w:rtl/>
        </w:rPr>
        <w:t>(ד"ה מה שא"כ)</w:t>
      </w:r>
      <w:r w:rsidRPr="00A91E2E">
        <w:rPr>
          <w:rFonts w:hint="cs"/>
          <w:vanish/>
          <w:rtl/>
        </w:rPr>
        <w:t>=</w:t>
      </w:r>
      <w:bookmarkEnd w:id="2211"/>
      <w:r>
        <w:rPr>
          <w:rFonts w:hint="cs"/>
          <w:rtl/>
        </w:rPr>
        <w:t xml:space="preserve"> דאף </w:t>
      </w:r>
      <w:r w:rsidRPr="00A91E2E">
        <w:rPr>
          <w:rStyle w:val="aff4"/>
          <w:rFonts w:hint="cs"/>
          <w:vanish/>
          <w:rtl/>
        </w:rPr>
        <w:t>-</w:t>
      </w:r>
      <w:r w:rsidRPr="007439A4">
        <w:rPr>
          <w:rStyle w:val="aff4"/>
          <w:rFonts w:hint="cs"/>
          <w:rtl/>
        </w:rPr>
        <w:t>לרש"י</w:t>
      </w:r>
      <w:r w:rsidRPr="00A91E2E">
        <w:rPr>
          <w:rStyle w:val="aff4"/>
          <w:rFonts w:hint="cs"/>
          <w:vanish/>
          <w:rtl/>
        </w:rPr>
        <w:t>-</w:t>
      </w:r>
      <w:r>
        <w:rPr>
          <w:rFonts w:hint="cs"/>
          <w:rtl/>
        </w:rPr>
        <w:t xml:space="preserve"> </w:t>
      </w:r>
      <w:r w:rsidRPr="00D16BB6">
        <w:rPr>
          <w:rStyle w:val="af2"/>
          <w:rFonts w:eastAsia="Guttman Hodes" w:hint="cs"/>
          <w:rtl/>
        </w:rPr>
        <w:t xml:space="preserve">(עי' אות </w:t>
      </w:r>
      <w:r w:rsidRPr="00D16BB6">
        <w:rPr>
          <w:rStyle w:val="af2"/>
          <w:rFonts w:eastAsia="Guttman Hodes"/>
          <w:rtl/>
        </w:rPr>
        <w:fldChar w:fldCharType="begin"/>
      </w:r>
      <w:r w:rsidRPr="00D16BB6">
        <w:rPr>
          <w:rStyle w:val="af2"/>
          <w:rFonts w:eastAsia="Guttman Hodes"/>
          <w:rtl/>
        </w:rPr>
        <w:instrText xml:space="preserve"> </w:instrText>
      </w:r>
      <w:r w:rsidRPr="00D16BB6">
        <w:rPr>
          <w:rStyle w:val="af2"/>
          <w:rFonts w:eastAsia="Guttman Hodes" w:hint="cs"/>
        </w:rPr>
        <w:instrText>REF</w:instrText>
      </w:r>
      <w:r w:rsidRPr="00D16BB6">
        <w:rPr>
          <w:rStyle w:val="af2"/>
          <w:rFonts w:eastAsia="Guttman Hodes" w:hint="cs"/>
          <w:rtl/>
        </w:rPr>
        <w:instrText xml:space="preserve"> _</w:instrText>
      </w:r>
      <w:r w:rsidRPr="00D16BB6">
        <w:rPr>
          <w:rStyle w:val="af2"/>
          <w:rFonts w:eastAsia="Guttman Hodes" w:hint="cs"/>
        </w:rPr>
        <w:instrText>Ref137583936 \r \h</w:instrText>
      </w:r>
      <w:r w:rsidRPr="00D16BB6">
        <w:rPr>
          <w:rStyle w:val="af2"/>
          <w:rFonts w:eastAsia="Guttman Hodes"/>
          <w:rtl/>
        </w:rPr>
        <w:instrText xml:space="preserve"> </w:instrText>
      </w:r>
      <w:r w:rsidRPr="00D16BB6">
        <w:rPr>
          <w:rStyle w:val="af2"/>
          <w:rFonts w:eastAsia="Guttman Hodes"/>
          <w:rtl/>
        </w:rPr>
      </w:r>
      <w:r w:rsidRPr="00D16BB6">
        <w:rPr>
          <w:rStyle w:val="af2"/>
          <w:rFonts w:eastAsia="Guttman Hodes"/>
          <w:rtl/>
        </w:rPr>
        <w:fldChar w:fldCharType="separate"/>
      </w:r>
      <w:r w:rsidR="00D82181">
        <w:rPr>
          <w:rStyle w:val="af2"/>
          <w:rFonts w:eastAsia="Guttman Hodes"/>
          <w:cs/>
        </w:rPr>
        <w:t>‎</w:t>
      </w:r>
      <w:r w:rsidR="00D82181">
        <w:rPr>
          <w:rStyle w:val="af2"/>
          <w:rFonts w:eastAsia="Guttman Hodes"/>
          <w:rtl/>
        </w:rPr>
        <w:t>א)</w:t>
      </w:r>
      <w:r w:rsidRPr="00D16BB6">
        <w:rPr>
          <w:rStyle w:val="af2"/>
          <w:rFonts w:eastAsia="Guttman Hodes"/>
          <w:rtl/>
        </w:rPr>
        <w:fldChar w:fldCharType="end"/>
      </w:r>
      <w:r>
        <w:rPr>
          <w:rFonts w:hint="cs"/>
          <w:rtl/>
        </w:rPr>
        <w:t xml:space="preserve"> ברירה בב' מינים אסורה לכו"ע דהוא דרך ברירה, והא דנחלקו חזקיה וריו"ח בירושלמי</w:t>
      </w:r>
      <w:r>
        <w:rPr>
          <w:rStyle w:val="af2"/>
          <w:rFonts w:eastAsia="Guttman Hodes" w:hint="cs"/>
          <w:rtl/>
        </w:rPr>
        <w:t xml:space="preserve"> </w:t>
      </w:r>
      <w:r w:rsidRPr="00D16BB6">
        <w:rPr>
          <w:rStyle w:val="af2"/>
          <w:rFonts w:eastAsia="Guttman Hodes" w:hint="cs"/>
          <w:rtl/>
        </w:rPr>
        <w:t>(פ"ז ה"ב, מט:)</w:t>
      </w:r>
      <w:r>
        <w:rPr>
          <w:rFonts w:hint="cs"/>
          <w:rtl/>
        </w:rPr>
        <w:t xml:space="preserve"> בדין בורר בב' מיני אוכלין, הוא לענין חיוב חטאת, והא </w:t>
      </w:r>
      <w:r w:rsidRPr="00A91E2E">
        <w:rPr>
          <w:rStyle w:val="aff4"/>
          <w:rFonts w:hint="cs"/>
          <w:vanish/>
          <w:rtl/>
        </w:rPr>
        <w:t>-</w:t>
      </w:r>
      <w:r>
        <w:rPr>
          <w:rStyle w:val="aff4"/>
          <w:rFonts w:hint="cs"/>
          <w:rtl/>
        </w:rPr>
        <w:t>ד</w:t>
      </w:r>
      <w:r w:rsidRPr="007439A4">
        <w:rPr>
          <w:rStyle w:val="aff4"/>
          <w:rFonts w:hint="cs"/>
          <w:rtl/>
        </w:rPr>
        <w:t>לרש"י</w:t>
      </w:r>
      <w:r w:rsidRPr="00A91E2E">
        <w:rPr>
          <w:rStyle w:val="aff4"/>
          <w:rFonts w:hint="cs"/>
          <w:vanish/>
          <w:rtl/>
        </w:rPr>
        <w:t>-</w:t>
      </w:r>
      <w:r>
        <w:rPr>
          <w:rFonts w:hint="cs"/>
          <w:rtl/>
        </w:rPr>
        <w:t xml:space="preserve"> ל"ג בברייתא "שני", הוא כיון דכן מוכח מקושית הגמ' "מאי קאמר", דאי איירי בב' מינים א"כ הא דתני ברישא דבורר ואוכל היינו דסברה הברייתא דאי"ז דרך ברירה, והא דתני בסיפא דחייב לא איירי בב' מינים אלא בכל בורר בעלמא, וכן מהא דרצתה הגמ' להעמיד בפסולת מתוך אוכל, מוכח דלא איירי בב' מינים, וכן לא שייך לחלק כרב חסדא דהמין שאינו רוצה לאכול נקרא פסולת, וכן מה שחילק רב יוסף בין קנון ותמחוי לנפה וכברה לא משמע דאיירי בב' מינים דהדרך לברור ביד</w:t>
      </w:r>
      <w:bookmarkStart w:id="2212" w:name="_Ref137116067"/>
      <w:r>
        <w:rPr>
          <w:rFonts w:hint="cs"/>
          <w:rtl/>
        </w:rPr>
        <w:t>,</w:t>
      </w:r>
      <w:r w:rsidRPr="00676586">
        <w:rPr>
          <w:rFonts w:hint="cs"/>
          <w:rtl/>
        </w:rPr>
        <w:t xml:space="preserve"> </w:t>
      </w:r>
      <w:r w:rsidRPr="00793329">
        <w:rPr>
          <w:rFonts w:hint="cs"/>
          <w:rtl/>
        </w:rPr>
        <w:t xml:space="preserve">והוסיף </w:t>
      </w:r>
      <w:r w:rsidRPr="00BE47C5">
        <w:rPr>
          <w:rStyle w:val="aff4"/>
          <w:rFonts w:hint="cs"/>
          <w:vanish/>
          <w:rtl/>
        </w:rPr>
        <w:t>-</w:t>
      </w:r>
      <w:r w:rsidRPr="00BF56CC">
        <w:rPr>
          <w:rStyle w:val="aff4"/>
          <w:rFonts w:hint="cs"/>
          <w:rtl/>
        </w:rPr>
        <w:t>ה</w:t>
      </w:r>
      <w:r w:rsidRPr="00BE47C5">
        <w:rPr>
          <w:rStyle w:val="aff4"/>
          <w:rFonts w:hint="cs"/>
          <w:vanish/>
          <w:rtl/>
        </w:rPr>
        <w:t xml:space="preserve">&lt;. </w:t>
      </w:r>
      <w:r w:rsidRPr="00BE47C5">
        <w:rPr>
          <w:rStyle w:val="aff4"/>
          <w:vanish/>
          <w:rtl/>
        </w:rPr>
        <w:fldChar w:fldCharType="begin"/>
      </w:r>
      <w:r w:rsidRPr="00BE47C5">
        <w:rPr>
          <w:rStyle w:val="aff4"/>
          <w:vanish/>
          <w:rtl/>
        </w:rPr>
        <w:instrText xml:space="preserve"> </w:instrText>
      </w:r>
      <w:r w:rsidRPr="00BE47C5">
        <w:rPr>
          <w:rStyle w:val="aff4"/>
          <w:rFonts w:hint="cs"/>
          <w:vanish/>
        </w:rPr>
        <w:instrText>REF</w:instrText>
      </w:r>
      <w:r w:rsidRPr="00BE47C5">
        <w:rPr>
          <w:rStyle w:val="aff4"/>
          <w:rFonts w:hint="cs"/>
          <w:vanish/>
          <w:rtl/>
        </w:rPr>
        <w:instrText xml:space="preserve"> _</w:instrText>
      </w:r>
      <w:r w:rsidRPr="00BE47C5">
        <w:rPr>
          <w:rStyle w:val="aff4"/>
          <w:rFonts w:hint="cs"/>
          <w:vanish/>
        </w:rPr>
        <w:instrText>Ref137116067 \r \h</w:instrText>
      </w:r>
      <w:r w:rsidRPr="00BE47C5">
        <w:rPr>
          <w:rStyle w:val="aff4"/>
          <w:vanish/>
          <w:rtl/>
        </w:rPr>
        <w:instrText xml:space="preserve"> </w:instrText>
      </w:r>
      <w:r w:rsidRPr="00BE47C5">
        <w:rPr>
          <w:rStyle w:val="aff4"/>
          <w:vanish/>
          <w:rtl/>
        </w:rPr>
      </w:r>
      <w:r w:rsidRPr="00BE47C5">
        <w:rPr>
          <w:rStyle w:val="aff4"/>
          <w:vanish/>
          <w:rtl/>
        </w:rPr>
        <w:fldChar w:fldCharType="separate"/>
      </w:r>
      <w:r w:rsidR="00D82181">
        <w:rPr>
          <w:rStyle w:val="aff4"/>
          <w:vanish/>
          <w:cs/>
        </w:rPr>
        <w:t>‎</w:t>
      </w:r>
      <w:r w:rsidR="00D82181">
        <w:rPr>
          <w:rStyle w:val="aff4"/>
          <w:vanish/>
          <w:rtl/>
        </w:rPr>
        <w:t>יא)</w:t>
      </w:r>
      <w:r w:rsidRPr="00BE47C5">
        <w:rPr>
          <w:rStyle w:val="aff4"/>
          <w:vanish/>
          <w:rtl/>
        </w:rPr>
        <w:fldChar w:fldCharType="end"/>
      </w:r>
      <w:r w:rsidRPr="00BE47C5">
        <w:rPr>
          <w:rStyle w:val="aff4"/>
          <w:rFonts w:hint="cs"/>
          <w:vanish/>
          <w:rtl/>
        </w:rPr>
        <w:t xml:space="preserve"> &gt;</w:t>
      </w:r>
      <w:r w:rsidRPr="00BF56CC">
        <w:rPr>
          <w:rStyle w:val="aff4"/>
          <w:rFonts w:hint="cs"/>
          <w:rtl/>
        </w:rPr>
        <w:t>פנ"י</w:t>
      </w:r>
      <w:r w:rsidRPr="00BE47C5">
        <w:rPr>
          <w:rStyle w:val="aff4"/>
          <w:rFonts w:hint="cs"/>
          <w:vanish/>
          <w:rtl/>
        </w:rPr>
        <w:t>-</w:t>
      </w:r>
      <w:r w:rsidRPr="00793329">
        <w:rPr>
          <w:rFonts w:hint="cs"/>
          <w:rtl/>
        </w:rPr>
        <w:t xml:space="preserve"> </w:t>
      </w:r>
      <w:r w:rsidRPr="00D16BB6">
        <w:rPr>
          <w:rStyle w:val="af2"/>
          <w:rFonts w:eastAsia="Guttman Hodes" w:hint="cs"/>
          <w:rtl/>
        </w:rPr>
        <w:t>(ד"ה ויש לי)</w:t>
      </w:r>
      <w:r w:rsidRPr="00BE47C5">
        <w:rPr>
          <w:rFonts w:hint="cs"/>
          <w:vanish/>
          <w:rtl/>
        </w:rPr>
        <w:t>=</w:t>
      </w:r>
      <w:r w:rsidRPr="00793329">
        <w:rPr>
          <w:rFonts w:hint="cs"/>
          <w:rtl/>
        </w:rPr>
        <w:t xml:space="preserve"> דבברייתא השניה שנחלקו בה רב אשי ורב ירמיה מדיפתי גרס </w:t>
      </w:r>
      <w:r w:rsidRPr="00BE47C5">
        <w:rPr>
          <w:rStyle w:val="aff4"/>
          <w:rFonts w:hint="cs"/>
          <w:vanish/>
          <w:rtl/>
        </w:rPr>
        <w:t>-</w:t>
      </w:r>
      <w:r w:rsidRPr="00BF56CC">
        <w:rPr>
          <w:rStyle w:val="aff4"/>
          <w:rFonts w:hint="cs"/>
          <w:rtl/>
        </w:rPr>
        <w:t>רש"י</w:t>
      </w:r>
      <w:r w:rsidRPr="00BE47C5">
        <w:rPr>
          <w:rStyle w:val="aff4"/>
          <w:rFonts w:hint="cs"/>
          <w:vanish/>
          <w:rtl/>
        </w:rPr>
        <w:t>-</w:t>
      </w:r>
      <w:r w:rsidRPr="00793329">
        <w:rPr>
          <w:rFonts w:hint="cs"/>
          <w:rtl/>
        </w:rPr>
        <w:t xml:space="preserve"> היו לפניו "שני" מיני אוכלין, דרב אשי ס"ל כריו"ח בירושלמי </w:t>
      </w:r>
      <w:r w:rsidRPr="00D16BB6">
        <w:rPr>
          <w:rStyle w:val="af2"/>
          <w:rFonts w:eastAsia="Guttman Hodes" w:hint="cs"/>
          <w:rtl/>
        </w:rPr>
        <w:t>(פ"ז ה"ב, מט:)</w:t>
      </w:r>
      <w:r w:rsidRPr="00793329">
        <w:rPr>
          <w:rFonts w:hint="cs"/>
          <w:rtl/>
        </w:rPr>
        <w:t xml:space="preserve"> דפטור, ורב ירמיה כחזקיה דחייב</w:t>
      </w:r>
      <w:r>
        <w:rPr>
          <w:rFonts w:hint="cs"/>
          <w:rtl/>
        </w:rPr>
        <w:t>.</w:t>
      </w:r>
      <w:r w:rsidRPr="00676586">
        <w:rPr>
          <w:rStyle w:val="af"/>
          <w:rFonts w:hint="cs"/>
          <w:rtl/>
        </w:rPr>
        <w:t xml:space="preserve"> </w:t>
      </w:r>
      <w:r w:rsidRPr="00D16BB6">
        <w:rPr>
          <w:rStyle w:val="af"/>
          <w:rFonts w:hint="cs"/>
          <w:rtl/>
        </w:rPr>
        <w:t xml:space="preserve">[וביאר </w:t>
      </w:r>
      <w:r w:rsidRPr="00D16BB6">
        <w:rPr>
          <w:rStyle w:val="aff9"/>
          <w:rFonts w:hint="cs"/>
          <w:vanish/>
          <w:rtl/>
        </w:rPr>
        <w:t>-</w:t>
      </w:r>
      <w:r w:rsidRPr="00D16BB6">
        <w:rPr>
          <w:rStyle w:val="aff9"/>
          <w:rFonts w:hint="cs"/>
          <w:rtl/>
        </w:rPr>
        <w:t>הפנ"י</w:t>
      </w:r>
      <w:r w:rsidRPr="00D16BB6">
        <w:rPr>
          <w:rStyle w:val="aff9"/>
          <w:rFonts w:hint="cs"/>
          <w:vanish/>
          <w:rtl/>
        </w:rPr>
        <w:t>-</w:t>
      </w:r>
      <w:r w:rsidRPr="00D16BB6">
        <w:rPr>
          <w:rStyle w:val="af"/>
          <w:rFonts w:hint="cs"/>
          <w:rtl/>
        </w:rPr>
        <w:t xml:space="preserve"> דמקשה הגמ' על רב אשי מהברייתא הראשונה דאף דל"ג בה "שני", מ"מ משמע דלדעת רב אשי ה"ה בב' מינים דחייב, כיון דאמר פטור מבואר דשייך ברירה בב' מינים, ותירצה הגמ' דבברייתא השניה איירי בקנון ותמחוי דאסור אף בב' מינים, דל"פ רבנן בכל קנון, או דגזרו אטו מין אחד, אבל בברייתא הראשונה דתני חייב איירי בנפה וכברה ורק באוכל ופסולת, וכתב </w:t>
      </w:r>
      <w:r w:rsidRPr="00D16BB6">
        <w:rPr>
          <w:rStyle w:val="aff9"/>
          <w:rFonts w:hint="cs"/>
          <w:vanish/>
          <w:rtl/>
        </w:rPr>
        <w:t>-</w:t>
      </w:r>
      <w:r w:rsidRPr="00D16BB6">
        <w:rPr>
          <w:rStyle w:val="aff9"/>
          <w:rFonts w:hint="cs"/>
          <w:rtl/>
        </w:rPr>
        <w:t>הפנ"י</w:t>
      </w:r>
      <w:r w:rsidRPr="00D16BB6">
        <w:rPr>
          <w:rStyle w:val="aff9"/>
          <w:rFonts w:hint="cs"/>
          <w:vanish/>
          <w:rtl/>
        </w:rPr>
        <w:t>-</w:t>
      </w:r>
      <w:r w:rsidRPr="00D16BB6">
        <w:rPr>
          <w:rStyle w:val="af"/>
          <w:rFonts w:hint="cs"/>
          <w:rtl/>
        </w:rPr>
        <w:t xml:space="preserve"> דלפי"ז מתורצות קושיות </w:t>
      </w:r>
      <w:r w:rsidRPr="00D16BB6">
        <w:rPr>
          <w:rStyle w:val="aff9"/>
          <w:rFonts w:hint="cs"/>
          <w:vanish/>
          <w:rtl/>
        </w:rPr>
        <w:t>-</w:t>
      </w:r>
      <w:r w:rsidRPr="00D16BB6">
        <w:rPr>
          <w:rStyle w:val="aff9"/>
          <w:rFonts w:hint="cs"/>
          <w:rtl/>
        </w:rPr>
        <w:t>התוס'</w:t>
      </w:r>
      <w:r w:rsidRPr="00D16BB6">
        <w:rPr>
          <w:rStyle w:val="aff9"/>
          <w:rFonts w:hint="cs"/>
          <w:vanish/>
          <w:rtl/>
        </w:rPr>
        <w:t>-</w:t>
      </w:r>
      <w:r w:rsidRPr="00D16BB6">
        <w:rPr>
          <w:rStyle w:val="af"/>
          <w:rFonts w:hint="cs"/>
          <w:rtl/>
        </w:rPr>
        <w:t xml:space="preserve"> </w:t>
      </w:r>
      <w:r w:rsidRPr="00D16BB6">
        <w:rPr>
          <w:rStyle w:val="aff0"/>
          <w:rFonts w:hint="cs"/>
          <w:rtl/>
        </w:rPr>
        <w:t>(ד"ה והתניא)</w:t>
      </w:r>
      <w:r w:rsidRPr="00D16BB6">
        <w:rPr>
          <w:rStyle w:val="af"/>
          <w:rFonts w:hint="cs"/>
          <w:rtl/>
        </w:rPr>
        <w:t xml:space="preserve"> על </w:t>
      </w:r>
      <w:r w:rsidRPr="00D16BB6">
        <w:rPr>
          <w:rStyle w:val="aff9"/>
          <w:rFonts w:hint="cs"/>
          <w:vanish/>
          <w:rtl/>
        </w:rPr>
        <w:t>-</w:t>
      </w:r>
      <w:r w:rsidRPr="00D16BB6">
        <w:rPr>
          <w:rStyle w:val="aff9"/>
          <w:rFonts w:hint="cs"/>
          <w:rtl/>
        </w:rPr>
        <w:t>רש"י</w:t>
      </w:r>
      <w:r w:rsidRPr="00D16BB6">
        <w:rPr>
          <w:rStyle w:val="aff9"/>
          <w:rFonts w:hint="cs"/>
          <w:vanish/>
          <w:rtl/>
        </w:rPr>
        <w:t>-</w:t>
      </w:r>
      <w:r w:rsidRPr="00D16BB6">
        <w:rPr>
          <w:rStyle w:val="af"/>
          <w:rFonts w:hint="cs"/>
          <w:rtl/>
        </w:rPr>
        <w:t xml:space="preserve">, ועי' במה שביאר לפי"ז </w:t>
      </w:r>
      <w:r w:rsidRPr="00D16BB6">
        <w:rPr>
          <w:rStyle w:val="aff9"/>
          <w:rFonts w:hint="cs"/>
          <w:vanish/>
          <w:rtl/>
        </w:rPr>
        <w:t>-</w:t>
      </w:r>
      <w:r w:rsidRPr="00D16BB6">
        <w:rPr>
          <w:rStyle w:val="aff9"/>
          <w:rFonts w:hint="cs"/>
          <w:rtl/>
        </w:rPr>
        <w:t>הראש יוסף</w:t>
      </w:r>
      <w:r w:rsidRPr="00D16BB6">
        <w:rPr>
          <w:rStyle w:val="aff9"/>
          <w:rFonts w:hint="cs"/>
          <w:vanish/>
          <w:rtl/>
        </w:rPr>
        <w:t>-</w:t>
      </w:r>
      <w:r w:rsidRPr="00D16BB6">
        <w:rPr>
          <w:rStyle w:val="af"/>
          <w:rFonts w:hint="cs"/>
          <w:rtl/>
        </w:rPr>
        <w:t xml:space="preserve"> </w:t>
      </w:r>
      <w:r w:rsidRPr="00D16BB6">
        <w:rPr>
          <w:rStyle w:val="aff0"/>
          <w:rFonts w:hint="cs"/>
          <w:rtl/>
        </w:rPr>
        <w:t xml:space="preserve">(עי' אות </w:t>
      </w:r>
      <w:r w:rsidRPr="00D16BB6">
        <w:rPr>
          <w:rStyle w:val="aff0"/>
          <w:rtl/>
        </w:rPr>
        <w:fldChar w:fldCharType="begin"/>
      </w:r>
      <w:r w:rsidRPr="00D16BB6">
        <w:rPr>
          <w:rStyle w:val="aff0"/>
          <w:rtl/>
        </w:rPr>
        <w:instrText xml:space="preserve"> </w:instrText>
      </w:r>
      <w:r w:rsidRPr="00D16BB6">
        <w:rPr>
          <w:rStyle w:val="aff0"/>
          <w:rFonts w:hint="cs"/>
        </w:rPr>
        <w:instrText>REF</w:instrText>
      </w:r>
      <w:r w:rsidRPr="00D16BB6">
        <w:rPr>
          <w:rStyle w:val="aff0"/>
          <w:rFonts w:hint="cs"/>
          <w:rtl/>
        </w:rPr>
        <w:instrText xml:space="preserve"> _</w:instrText>
      </w:r>
      <w:r w:rsidRPr="00D16BB6">
        <w:rPr>
          <w:rStyle w:val="aff0"/>
          <w:rFonts w:hint="cs"/>
        </w:rPr>
        <w:instrText>Ref137117572 \r \h</w:instrText>
      </w:r>
      <w:r w:rsidRPr="00D16BB6">
        <w:rPr>
          <w:rStyle w:val="aff0"/>
          <w:rtl/>
        </w:rPr>
        <w:instrText xml:space="preserve"> </w:instrText>
      </w:r>
      <w:r w:rsidRPr="00D16BB6">
        <w:rPr>
          <w:rStyle w:val="aff0"/>
          <w:rtl/>
        </w:rPr>
      </w:r>
      <w:r w:rsidRPr="00D16BB6">
        <w:rPr>
          <w:rStyle w:val="aff0"/>
          <w:rtl/>
        </w:rPr>
        <w:fldChar w:fldCharType="separate"/>
      </w:r>
      <w:r w:rsidR="00D82181">
        <w:rPr>
          <w:rStyle w:val="aff0"/>
          <w:cs/>
        </w:rPr>
        <w:t>‎</w:t>
      </w:r>
      <w:r w:rsidR="00D82181">
        <w:rPr>
          <w:rStyle w:val="aff0"/>
          <w:rtl/>
        </w:rPr>
        <w:t>מג)</w:t>
      </w:r>
      <w:r w:rsidRPr="00D16BB6">
        <w:rPr>
          <w:rStyle w:val="aff0"/>
          <w:rtl/>
        </w:rPr>
        <w:fldChar w:fldCharType="end"/>
      </w:r>
      <w:r w:rsidRPr="00D16BB6">
        <w:rPr>
          <w:rStyle w:val="af"/>
          <w:rFonts w:hint="cs"/>
          <w:rtl/>
        </w:rPr>
        <w:t>]</w:t>
      </w:r>
      <w:r w:rsidRPr="00676586">
        <w:rPr>
          <w:rStyle w:val="af"/>
          <w:rFonts w:hint="cs"/>
          <w:rtl/>
        </w:rPr>
        <w:t>.</w:t>
      </w:r>
      <w:bookmarkEnd w:id="2212"/>
    </w:p>
    <w:p w14:paraId="77FD7183" w14:textId="77777777" w:rsidR="00592982" w:rsidRPr="00747170" w:rsidRDefault="00592982" w:rsidP="00747170">
      <w:pPr>
        <w:pStyle w:val="a2"/>
        <w:rPr>
          <w:rtl/>
        </w:rPr>
      </w:pPr>
      <w:r w:rsidRPr="00747170">
        <w:rPr>
          <w:rtl/>
        </w:rPr>
        <w:t>מה שא"כ לפי שיטת רש"י יש ליישב דאפשר דלדינא לרש"י נמי שייך ברירה בשני מיני אוכלין לאיסורא לכתחילה אליבא דכו"ע כשהוא דרך ברירה ולענין חיובא או פטורא תליא בפלוגתא דחזקיה ורבי יוחנן דירושלמי, אלא הא דלא גריס רש"י בהך ברייתא דשמעתין שני מיני אוכלין היינו משום דאי הוי גרסינן לה לא הוי מקשה שפיר מאי קאמר דהא ודאי שפיר קאמר דבשני מיני אוכלין בורר ואוכל בורר ומניח דלא מיקרי ברירה בכהאי גוונא בשני מיני אוכלין והא דקתני בסיפא לא יברור ואם בירר חייב חטאת לאו אשני מיני אוכלין דלעיל קאי אלא אסתם ברירה דעלמא קאי דהיינו בברירת אוכלין מתוך פסולת ממש דשייך בהו חיובא ופטורא כגון בקנון ותמחוי או בנפה וכברה או לאוצר. ותו קשיא ליה לרש"י דאי הוי גרסינן שני מיני אוכלין לא הוי אתי שפיר הא דבעי לאוקמא רב המנונא דבורר ואוכל דרישא היינו אוכל מתוך פסולת ובסיפא היינו פסולת מתוך אוכל ולרש"י לא משמע ליה דבשני מיני אוכלין גמורין שייך האי לישנא דאוכל מתוך פסולת או איפכא וכ"ש דלא שייך לחלק לענין דינא למה שפירש ר"ח דמה שאינו רוצה לאכול לאלתר מיקרי פסולת דזה לא משמע ליה לרש"י כלל. ואפשר עוד דאוקימתא דרב יוסף דמוקי בקנון ותמחוי ונפה וכברה נמי לא משמע ליה לרש"י לפרש דשייך בכה"ג בשני מיני אוכלין שאין דרך לבוררן אלא ביד, כן נראה לי ליישב שיטת רש"י, ובזה נתיישב היטב דקדוק לשון רש"י שכתב בד"ה לא יברור לקמן פריך ומאי קאמר ולכאורה לשון לקמן פריך תמוה טובא דהא מיד בלי הפסק פריך לה הש"ס אברייתא אלא על כרחך דלשון רש"י בזה נמשך על מ"ש בדיבור הקודם דלא גרסינן שני, ועל זה מייתי ראיה מדמקשה מאי קאמר כדפרישית ודוק היטב. ועיין עוד בסמוך:</w:t>
      </w:r>
    </w:p>
    <w:p w14:paraId="50F8AF64" w14:textId="77777777" w:rsidR="00592982" w:rsidRPr="00C61A8D" w:rsidRDefault="00592982" w:rsidP="00747170">
      <w:pPr>
        <w:pStyle w:val="afffff5"/>
        <w:rPr>
          <w:rtl/>
        </w:rPr>
      </w:pPr>
      <w:r w:rsidRPr="00C61A8D">
        <w:rPr>
          <w:rtl/>
        </w:rPr>
        <w:t>ויש לי ליישב עוד בדרך אחר ע"פ מה שדקדקתי בתחלת הסוגיא דעל כרחך נראה דנהי דרש"י לא גריס שני מינין היינו בברייתא דלעיל מטעמא דפרישית דא"כ לא אתי שפיר הנך אוקימתי דרב יוסף ודרב המנונא, משא"כ בהאי דהכא משמע דרש"י נמי מודה דגרסינן היו לפניו שני מיני אוכלין ובהאי הוא דפליגי רב אשי ורב ירמיה דלרב אשי לא שייך חיוב חטאת כלל בשני מיני אוכלין והיינו כר' יוחנן דירושלמי דלעיל שהביאו התוס' בשמעתין ור' ירמיה מתני חייב והיינו כחזקיה דירושלמי ובהא מקשה הש"ס אדרב אשי והתניא חייב והיינו כדפרישית לעיל דנהי דלא גרסינן שני אפ"ה פשטא דלישנא דמיני אוכלין יש בו משמעות נמי שני מיני אוכלין. מיהו לעיל מעיקרא הוי ס"ד דלא שייך ברירה בשני מיני אוכלין כלל אפילו לכתחלה הוי אתי שפיר דא"כ על כרחך האי לישנא דמיני אוכלין דברייתא איירי דוקא במין אחד שמעורב עם פסולת ולא איירי בתרי מיני כלל משא"כ לרב אשי דשייך ברירה אפילו בשני מינים דהא פטור קאמר משמע אבל אסור וא"כ הא דקתני אבל לא יברור היינו אפילו בשני מינים א"כ ממילא דהא דקתני בסיפא ואם בירר חייב איירי נמי אפילו בשני מינים, ועל זה משני שפיר לא קשיא הא בקנון ותמחוי הא בנפה וכברה וא"כ לפי"ז אתי שפיר הך ברייתא דאיירי בקנון ותמחוי איירי בין במין אחד בין בשני מינין דאף למאי דפרישית דבשני מיני אוכלין אין דרך לברור אפ"ה אסור לכתחילה דלא פלוג רבנן דבכל ענין אסרו רבנן בקנון ותמחוי אי משום גזירה דנפה וכברה או משום גזירה דמין אחד, משא"כ הך ברייתא דלעיל דקתני ואם בירר חייב וחיוב חטאת לא שייך אלא בנפה וכברה כדפרישית מסוגיא דלעיל דקאמר היינו זורה היינו בורר היינו מרקד א"כ ממילא משמע דלא שייך אלא במין אחד ממין אוכלין שמעורבין עם פסולת שלהם שדרך עיקר ברירתן בנפה וכברה ובזה נתיישבו קושיות התוס' מה שהקשו על פירש"י, כן נראה לי ודוק היטב ותו לא מידי. ומה שיש עוד לדקדק לענין דיני הברירה יבואר בק"א בפ"ק דביצה אי"ה:</w:t>
      </w:r>
    </w:p>
    <w:p w14:paraId="6F6D7275" w14:textId="20EFE57C" w:rsidR="00592982" w:rsidRDefault="00592982" w:rsidP="00592982">
      <w:pPr>
        <w:pStyle w:val="afffff7"/>
        <w:rPr>
          <w:rtl/>
        </w:rPr>
      </w:pPr>
      <w:bookmarkStart w:id="2213" w:name="_Toc137742017"/>
      <w:bookmarkStart w:id="2214" w:name="_Toc163505784"/>
      <w:r>
        <w:rPr>
          <w:rtl/>
        </w:rPr>
        <w:t>ב"ח אורח חיים סי' שיט</w:t>
      </w:r>
      <w:r>
        <w:rPr>
          <w:rFonts w:hint="cs"/>
          <w:rtl/>
        </w:rPr>
        <w:t xml:space="preserve"> י'</w:t>
      </w:r>
      <w:bookmarkEnd w:id="2213"/>
      <w:bookmarkEnd w:id="2214"/>
    </w:p>
    <w:p w14:paraId="54CCD841" w14:textId="77777777" w:rsidR="00592982" w:rsidRPr="00A86345" w:rsidRDefault="00592982" w:rsidP="00592982">
      <w:pPr>
        <w:pStyle w:val="a7"/>
        <w:rPr>
          <w:rtl/>
        </w:rPr>
      </w:pPr>
      <w:bookmarkStart w:id="2215" w:name="_Toc137626041"/>
      <w:bookmarkStart w:id="2216" w:name="_Toc137741929"/>
      <w:r>
        <w:rPr>
          <w:rFonts w:hint="cs"/>
          <w:rtl/>
        </w:rPr>
        <w:t>קו' הב"ח</w:t>
      </w:r>
      <w:bookmarkEnd w:id="2215"/>
      <w:r>
        <w:rPr>
          <w:rFonts w:hint="cs"/>
          <w:rtl/>
        </w:rPr>
        <w:t xml:space="preserve"> ברש"י דבביצה אף לגוון הוא בורר בורר אף באוכל מאוכל ותי' דאי"ז לאכילה ומותר</w:t>
      </w:r>
      <w:bookmarkEnd w:id="2216"/>
    </w:p>
    <w:p w14:paraId="5191293A" w14:textId="4094AAC0" w:rsidR="00592982" w:rsidRPr="00BD4AB3" w:rsidRDefault="00592982" w:rsidP="00BC7DC8">
      <w:pPr>
        <w:pStyle w:val="a3"/>
        <w:rPr>
          <w:rtl/>
        </w:rPr>
      </w:pPr>
      <w:bookmarkStart w:id="2217" w:name="_Ref137584962"/>
      <w:r>
        <w:rPr>
          <w:rFonts w:hint="cs"/>
          <w:rtl/>
        </w:rPr>
        <w:t xml:space="preserve">במ"ש </w:t>
      </w:r>
      <w:r w:rsidRPr="00BE47C5">
        <w:rPr>
          <w:rStyle w:val="aff4"/>
          <w:rFonts w:hint="cs"/>
          <w:vanish/>
          <w:rtl/>
        </w:rPr>
        <w:t>-</w:t>
      </w:r>
      <w:r w:rsidRPr="00BF56CC">
        <w:rPr>
          <w:rStyle w:val="aff4"/>
          <w:rFonts w:hint="cs"/>
          <w:rtl/>
        </w:rPr>
        <w:t>רש"י לקמן</w:t>
      </w:r>
      <w:r w:rsidRPr="00BE47C5">
        <w:rPr>
          <w:rStyle w:val="aff4"/>
          <w:rFonts w:hint="cs"/>
          <w:vanish/>
          <w:rtl/>
        </w:rPr>
        <w:t>-</w:t>
      </w:r>
      <w:r>
        <w:rPr>
          <w:rFonts w:hint="cs"/>
          <w:rtl/>
        </w:rPr>
        <w:t xml:space="preserve"> </w:t>
      </w:r>
      <w:r w:rsidRPr="00D16BB6">
        <w:rPr>
          <w:rStyle w:val="af2"/>
          <w:rFonts w:eastAsia="Guttman Hodes" w:hint="cs"/>
          <w:rtl/>
        </w:rPr>
        <w:t xml:space="preserve">(עי' אות </w:t>
      </w:r>
      <w:r w:rsidRPr="00D16BB6">
        <w:rPr>
          <w:rStyle w:val="af2"/>
          <w:rFonts w:eastAsia="Guttman Hodes"/>
          <w:rtl/>
        </w:rPr>
        <w:fldChar w:fldCharType="begin"/>
      </w:r>
      <w:r w:rsidRPr="00D16BB6">
        <w:rPr>
          <w:rStyle w:val="af2"/>
          <w:rFonts w:eastAsia="Guttman Hodes"/>
          <w:rtl/>
        </w:rPr>
        <w:instrText xml:space="preserve"> </w:instrText>
      </w:r>
      <w:r w:rsidRPr="00D16BB6">
        <w:rPr>
          <w:rStyle w:val="af2"/>
          <w:rFonts w:eastAsia="Guttman Hodes" w:hint="cs"/>
        </w:rPr>
        <w:instrText>REF</w:instrText>
      </w:r>
      <w:r w:rsidRPr="00D16BB6">
        <w:rPr>
          <w:rStyle w:val="af2"/>
          <w:rFonts w:eastAsia="Guttman Hodes" w:hint="cs"/>
          <w:rtl/>
        </w:rPr>
        <w:instrText xml:space="preserve"> _</w:instrText>
      </w:r>
      <w:r w:rsidRPr="00D16BB6">
        <w:rPr>
          <w:rStyle w:val="af2"/>
          <w:rFonts w:eastAsia="Guttman Hodes" w:hint="cs"/>
        </w:rPr>
        <w:instrText>Ref137574611 \r \h</w:instrText>
      </w:r>
      <w:r w:rsidRPr="00D16BB6">
        <w:rPr>
          <w:rStyle w:val="af2"/>
          <w:rFonts w:eastAsia="Guttman Hodes"/>
          <w:rtl/>
        </w:rPr>
        <w:instrText xml:space="preserve"> </w:instrText>
      </w:r>
      <w:r w:rsidRPr="00D16BB6">
        <w:rPr>
          <w:rStyle w:val="af2"/>
          <w:rFonts w:eastAsia="Guttman Hodes"/>
          <w:rtl/>
        </w:rPr>
      </w:r>
      <w:r w:rsidRPr="00D16BB6">
        <w:rPr>
          <w:rStyle w:val="af2"/>
          <w:rFonts w:eastAsia="Guttman Hodes"/>
          <w:rtl/>
        </w:rPr>
        <w:fldChar w:fldCharType="separate"/>
      </w:r>
      <w:r w:rsidR="00D82181">
        <w:rPr>
          <w:rStyle w:val="af2"/>
          <w:rFonts w:eastAsia="Guttman Hodes"/>
          <w:cs/>
        </w:rPr>
        <w:t>‎</w:t>
      </w:r>
      <w:r w:rsidR="00D82181">
        <w:rPr>
          <w:rStyle w:val="af2"/>
          <w:rFonts w:eastAsia="Guttman Hodes"/>
          <w:rtl/>
        </w:rPr>
        <w:t>ד)</w:t>
      </w:r>
      <w:r w:rsidRPr="00D16BB6">
        <w:rPr>
          <w:rStyle w:val="af2"/>
          <w:rFonts w:eastAsia="Guttman Hodes"/>
          <w:rtl/>
        </w:rPr>
        <w:fldChar w:fldCharType="end"/>
      </w:r>
      <w:r>
        <w:rPr>
          <w:rFonts w:hint="cs"/>
          <w:rtl/>
        </w:rPr>
        <w:t xml:space="preserve"> דהמסנן ביצה במסננת של חרדל, אי"ז בורר הקשה </w:t>
      </w:r>
      <w:r w:rsidRPr="00A91E2E">
        <w:rPr>
          <w:rStyle w:val="aff4"/>
          <w:rFonts w:hint="cs"/>
          <w:vanish/>
          <w:rtl/>
        </w:rPr>
        <w:t>-</w:t>
      </w:r>
      <w:r w:rsidRPr="007439A4">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Ref137584962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יב)</w:t>
      </w:r>
      <w:r>
        <w:rPr>
          <w:rStyle w:val="aff4"/>
          <w:vanish/>
          <w:rtl/>
        </w:rPr>
        <w:fldChar w:fldCharType="end"/>
      </w:r>
      <w:r>
        <w:rPr>
          <w:rStyle w:val="aff4"/>
          <w:rFonts w:hint="cs"/>
          <w:vanish/>
          <w:rtl/>
        </w:rPr>
        <w:t xml:space="preserve"> &gt;</w:t>
      </w:r>
      <w:r w:rsidRPr="007439A4">
        <w:rPr>
          <w:rStyle w:val="aff4"/>
          <w:rFonts w:hint="cs"/>
          <w:rtl/>
        </w:rPr>
        <w:t>ב"ח</w:t>
      </w:r>
      <w:r w:rsidRPr="00A91E2E">
        <w:rPr>
          <w:rStyle w:val="aff4"/>
          <w:rFonts w:hint="cs"/>
          <w:vanish/>
          <w:rtl/>
        </w:rPr>
        <w:t>-</w:t>
      </w:r>
      <w:r>
        <w:rPr>
          <w:rFonts w:hint="cs"/>
          <w:rtl/>
        </w:rPr>
        <w:t xml:space="preserve"> </w:t>
      </w:r>
      <w:r w:rsidRPr="00D16BB6">
        <w:rPr>
          <w:rStyle w:val="af2"/>
          <w:rFonts w:eastAsia="Guttman Hodes" w:hint="cs"/>
          <w:rtl/>
        </w:rPr>
        <w:t>(סי' שי"ט י')</w:t>
      </w:r>
      <w:r w:rsidRPr="00A91E2E">
        <w:rPr>
          <w:rFonts w:hint="cs"/>
          <w:vanish/>
          <w:rtl/>
        </w:rPr>
        <w:t>=</w:t>
      </w:r>
      <w:r>
        <w:rPr>
          <w:rFonts w:hint="cs"/>
          <w:rtl/>
        </w:rPr>
        <w:t xml:space="preserve"> דאעפ"י דעושה כן בכדי לגוון הוא בורר, ועוד דאף בב' מיני אוכלים שייך בורר, כדכתבו </w:t>
      </w:r>
      <w:r w:rsidRPr="00A91E2E">
        <w:rPr>
          <w:rStyle w:val="aff4"/>
          <w:rFonts w:hint="cs"/>
          <w:vanish/>
          <w:rtl/>
        </w:rPr>
        <w:t>-</w:t>
      </w:r>
      <w:r w:rsidRPr="007439A4">
        <w:rPr>
          <w:rStyle w:val="aff4"/>
          <w:rFonts w:hint="cs"/>
          <w:rtl/>
        </w:rPr>
        <w:t>התוס'</w:t>
      </w:r>
      <w:r w:rsidRPr="00A91E2E">
        <w:rPr>
          <w:rStyle w:val="aff4"/>
          <w:rFonts w:hint="cs"/>
          <w:vanish/>
          <w:rtl/>
        </w:rPr>
        <w:t>-</w:t>
      </w:r>
      <w:r>
        <w:rPr>
          <w:rFonts w:hint="cs"/>
          <w:rtl/>
        </w:rPr>
        <w:t xml:space="preserve"> </w:t>
      </w:r>
      <w:r w:rsidRPr="00D16BB6">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Ref137671185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w:t>
      </w:r>
      <w:r>
        <w:rPr>
          <w:rStyle w:val="af2"/>
          <w:rFonts w:eastAsia="Guttman Hodes"/>
          <w:rtl/>
        </w:rPr>
        <w:fldChar w:fldCharType="end"/>
      </w:r>
      <w:r>
        <w:rPr>
          <w:rFonts w:hint="cs"/>
          <w:rtl/>
        </w:rPr>
        <w:t xml:space="preserve"> </w:t>
      </w:r>
      <w:r w:rsidRPr="00A91E2E">
        <w:rPr>
          <w:rStyle w:val="aff4"/>
          <w:rFonts w:hint="cs"/>
          <w:vanish/>
          <w:rtl/>
        </w:rPr>
        <w:t>-</w:t>
      </w:r>
      <w:r w:rsidRPr="007439A4">
        <w:rPr>
          <w:rStyle w:val="aff4"/>
          <w:rFonts w:hint="cs"/>
          <w:rtl/>
        </w:rPr>
        <w:t>והרמב"ם</w:t>
      </w:r>
      <w:r w:rsidRPr="00A91E2E">
        <w:rPr>
          <w:rStyle w:val="aff4"/>
          <w:rFonts w:hint="cs"/>
          <w:vanish/>
          <w:rtl/>
        </w:rPr>
        <w:t>-</w:t>
      </w:r>
      <w:r>
        <w:rPr>
          <w:rFonts w:hint="cs"/>
          <w:rtl/>
        </w:rPr>
        <w:t xml:space="preserve"> </w:t>
      </w:r>
      <w:r w:rsidRPr="00D16BB6">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Ref137673024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לו)</w:t>
      </w:r>
      <w:r>
        <w:rPr>
          <w:rStyle w:val="af2"/>
          <w:rFonts w:eastAsia="Guttman Hodes"/>
          <w:rtl/>
        </w:rPr>
        <w:fldChar w:fldCharType="end"/>
      </w:r>
      <w:r>
        <w:rPr>
          <w:rFonts w:hint="cs"/>
          <w:rtl/>
        </w:rPr>
        <w:t xml:space="preserve"> </w:t>
      </w:r>
      <w:r w:rsidRPr="00A91E2E">
        <w:rPr>
          <w:rStyle w:val="aff4"/>
          <w:rFonts w:hint="cs"/>
          <w:vanish/>
          <w:rtl/>
        </w:rPr>
        <w:t>-</w:t>
      </w:r>
      <w:r w:rsidRPr="007439A4">
        <w:rPr>
          <w:rStyle w:val="aff4"/>
          <w:rFonts w:hint="cs"/>
          <w:rtl/>
        </w:rPr>
        <w:t>והטור</w:t>
      </w:r>
      <w:r w:rsidRPr="00A91E2E">
        <w:rPr>
          <w:rStyle w:val="aff4"/>
          <w:rFonts w:hint="cs"/>
          <w:vanish/>
          <w:rtl/>
        </w:rPr>
        <w:t>-</w:t>
      </w:r>
      <w:r>
        <w:rPr>
          <w:rFonts w:hint="cs"/>
          <w:rtl/>
        </w:rPr>
        <w:t xml:space="preserve"> </w:t>
      </w:r>
      <w:r w:rsidRPr="00D16BB6">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Ref137639512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כא)</w:t>
      </w:r>
      <w:r>
        <w:rPr>
          <w:rStyle w:val="af2"/>
          <w:rFonts w:eastAsia="Guttman Hodes"/>
          <w:rtl/>
        </w:rPr>
        <w:fldChar w:fldCharType="end"/>
      </w:r>
      <w:r>
        <w:rPr>
          <w:rFonts w:hint="cs"/>
          <w:rtl/>
        </w:rPr>
        <w:t xml:space="preserve">, ותירץ </w:t>
      </w:r>
      <w:r w:rsidRPr="00A91E2E">
        <w:rPr>
          <w:rStyle w:val="aff4"/>
          <w:rFonts w:hint="cs"/>
          <w:vanish/>
          <w:rtl/>
        </w:rPr>
        <w:t>-</w:t>
      </w:r>
      <w:r w:rsidRPr="007439A4">
        <w:rPr>
          <w:rStyle w:val="aff4"/>
          <w:rFonts w:hint="cs"/>
          <w:rtl/>
        </w:rPr>
        <w:t>הב"ח</w:t>
      </w:r>
      <w:r w:rsidRPr="00A91E2E">
        <w:rPr>
          <w:rStyle w:val="aff4"/>
          <w:rFonts w:hint="cs"/>
          <w:vanish/>
          <w:rtl/>
        </w:rPr>
        <w:t>-</w:t>
      </w:r>
      <w:r>
        <w:rPr>
          <w:rFonts w:hint="cs"/>
          <w:rtl/>
        </w:rPr>
        <w:t xml:space="preserve"> דרק כשרוצה לאכול מין אחד ולא לאכול את המין השני הוי בורר, אבל כשרוצה את החלמון לגוון ולא לאכילה אי"ז כאוכל מתוך פסולת.</w:t>
      </w:r>
      <w:bookmarkEnd w:id="2217"/>
    </w:p>
    <w:p w14:paraId="48E77A53" w14:textId="77777777" w:rsidR="00592982" w:rsidRPr="00747170" w:rsidRDefault="00592982" w:rsidP="00747170">
      <w:pPr>
        <w:pStyle w:val="a2"/>
        <w:rPr>
          <w:rtl/>
        </w:rPr>
      </w:pPr>
      <w:r w:rsidRPr="00747170">
        <w:rPr>
          <w:rtl/>
        </w:rPr>
        <w:t xml:space="preserve">י מסננת שנתן בה חרדל וכו'. שם במשנה ונותנין ביצה במסננת של חרדל. ופירש בה רבינו כמו שפירש רש"י וזה לשונו במסננת שהחרדל נתון בה להסתנן וקולטת את הפסולת ואף הביצה החלמון שלה נוטף ומסתנן עמו והוה ליה לחרדל למראה והחלבון שהוא קשור נשאר למעלה עכ"ל ובגמרא תני יעקב קרחה לפי שאין עושין אותה אלא לגוון. ופירש רש"י לגוון למראה שהחלמון יפה לגוון ולא החלבון הילכך אידי ואידי אוכל הוא ואין כאן ברירת פסולת מאוכל. וכן כתב הר"ן. ואיכא לתמוה מה טעם הוא זה לומר שאין בו משום בורר לפי שאין עושין אותה אלא לגוון דמכל מקום בורר הוא. ותו למה לן למימר עוד טעם שני ששניהם אוכלין הם. ותו דהלא גם בשני מיני אוכלין איכא משום בורר כמו שכתב רבינו לעיל בסימן זה וכן כתב הרמב"ם בפרק ח' (הי"ב) וכן כתבו התוספות בפרק כלל גדול (עד א) בשם רבינו חננאל בד"ה היו לפניו. ונראה ליישב דתלמודא קשיא ליה כיון שהחלמון יורד עם החרדל והחלבון נשאר עם הפסולת אף על פי ששניהם אוכלין הם הוי ליה בורר דהחלמון שהוא חפץ בו עתה לאוכלו עם החרדל חשוב כאוכל והחלבון חשוב כפסולת וקאמר דאין החלמון חשיב כבורר אוכל מתוך הפסולת כיון שאין עושין אותו אלא לגוון ולא לשם אכילה ולא אמרינן בשני מיני אוכלין דאיכא משום בורר אלא כשבורר מין אחד מתוך מין אחר כדי לאכלו </w:t>
      </w:r>
      <w:r w:rsidRPr="00747170">
        <w:rPr>
          <w:rStyle w:val="afff7"/>
          <w:rtl/>
        </w:rPr>
        <w:t>ומכל מקום אכתי קשה כיון שהחלבון נשאר למעלה עם הפסולת של החרדל הוה ליה פסולת גמור וחשוב בורר אוכל שהוא החלמון מתוך הפסולת שהוא החלבון דאף על גב דעשוי לגוון מכל מקום שם אוכל נקרא עליו כיון שהוא יורד עם החרדל לאוכלו ולזה צריך לתרץ דגם החלבון שהוא נשאר למעלה אוכל הוא דכיון שהוא קשור יכול הוא ליטלו מתוך הפסולת ולאוכלו והילכך כיון שהחלמון אינו אלא לגוון לא חשבינן ליה כבורר אוכל מתוך הפסולת לגבי חלבון:</w:t>
      </w:r>
    </w:p>
    <w:p w14:paraId="734C9D56" w14:textId="78CAE713" w:rsidR="00592982" w:rsidRPr="00DA7171" w:rsidRDefault="00592982" w:rsidP="00592982">
      <w:pPr>
        <w:pStyle w:val="afffff7"/>
        <w:rPr>
          <w:rtl/>
        </w:rPr>
      </w:pPr>
      <w:bookmarkStart w:id="2218" w:name="_Toc137742018"/>
      <w:bookmarkStart w:id="2219" w:name="_Toc163505785"/>
      <w:r w:rsidRPr="00DA7171">
        <w:rPr>
          <w:rFonts w:hint="cs"/>
          <w:rtl/>
        </w:rPr>
        <w:t>מגן אבות סוגיא דבורר</w:t>
      </w:r>
      <w:bookmarkEnd w:id="2218"/>
      <w:bookmarkEnd w:id="2219"/>
    </w:p>
    <w:p w14:paraId="5D3CEE9E" w14:textId="77777777" w:rsidR="00592982" w:rsidRDefault="00592982" w:rsidP="00592982">
      <w:pPr>
        <w:pStyle w:val="a7"/>
        <w:rPr>
          <w:rtl/>
        </w:rPr>
      </w:pPr>
      <w:bookmarkStart w:id="2220" w:name="_Toc137741930"/>
      <w:r>
        <w:rPr>
          <w:rFonts w:hint="cs"/>
          <w:rtl/>
        </w:rPr>
        <w:t>בי' המגן אבות ברש"י דמודה לתוס' בבורר אוכל מאוכל ול"ג שני גם בפלו' רב אשי ורב ירמיה</w:t>
      </w:r>
      <w:bookmarkEnd w:id="2220"/>
      <w:r>
        <w:rPr>
          <w:rFonts w:hint="cs"/>
          <w:rtl/>
        </w:rPr>
        <w:t xml:space="preserve"> </w:t>
      </w:r>
    </w:p>
    <w:p w14:paraId="059AFF57" w14:textId="56A71F56" w:rsidR="00592982" w:rsidRPr="00203B6E" w:rsidRDefault="00592982" w:rsidP="00BC7DC8">
      <w:pPr>
        <w:pStyle w:val="a3"/>
      </w:pPr>
      <w:bookmarkStart w:id="2221" w:name="_Ref136881366"/>
      <w:bookmarkStart w:id="2222" w:name="_Ref137634310"/>
      <w:r>
        <w:rPr>
          <w:rFonts w:hint="cs"/>
          <w:rtl/>
        </w:rPr>
        <w:t xml:space="preserve">וכ"כ </w:t>
      </w:r>
      <w:r w:rsidRPr="00A91E2E">
        <w:rPr>
          <w:rStyle w:val="aff4"/>
          <w:rFonts w:hint="cs"/>
          <w:vanish/>
          <w:rtl/>
        </w:rPr>
        <w:t>-</w:t>
      </w:r>
      <w:r w:rsidRPr="007439A4">
        <w:rPr>
          <w:rStyle w:val="aff4"/>
          <w:rFonts w:hint="cs"/>
          <w:rtl/>
        </w:rPr>
        <w:t>ה</w:t>
      </w:r>
      <w:r w:rsidRPr="00A91E2E">
        <w:rPr>
          <w:rStyle w:val="aff4"/>
          <w:rFonts w:hint="cs"/>
          <w:vanish/>
          <w:rtl/>
        </w:rPr>
        <w:t xml:space="preserve">&lt;. </w:t>
      </w:r>
      <w:r w:rsidRPr="00A91E2E">
        <w:rPr>
          <w:rStyle w:val="aff4"/>
          <w:vanish/>
          <w:rtl/>
        </w:rPr>
        <w:fldChar w:fldCharType="begin"/>
      </w:r>
      <w:r w:rsidRPr="00A91E2E">
        <w:rPr>
          <w:rStyle w:val="aff4"/>
          <w:vanish/>
          <w:rtl/>
        </w:rPr>
        <w:instrText xml:space="preserve"> </w:instrText>
      </w:r>
      <w:r w:rsidRPr="00A91E2E">
        <w:rPr>
          <w:rStyle w:val="aff4"/>
          <w:rFonts w:hint="cs"/>
          <w:vanish/>
        </w:rPr>
        <w:instrText>REF</w:instrText>
      </w:r>
      <w:r w:rsidRPr="00A91E2E">
        <w:rPr>
          <w:rStyle w:val="aff4"/>
          <w:rFonts w:hint="cs"/>
          <w:vanish/>
          <w:rtl/>
        </w:rPr>
        <w:instrText xml:space="preserve"> _</w:instrText>
      </w:r>
      <w:r w:rsidRPr="00A91E2E">
        <w:rPr>
          <w:rStyle w:val="aff4"/>
          <w:rFonts w:hint="cs"/>
          <w:vanish/>
        </w:rPr>
        <w:instrText>Ref136881366 \r \h</w:instrText>
      </w:r>
      <w:r w:rsidRPr="00A91E2E">
        <w:rPr>
          <w:rStyle w:val="aff4"/>
          <w:vanish/>
          <w:rtl/>
        </w:rPr>
        <w:instrText xml:space="preserve"> </w:instrText>
      </w:r>
      <w:r w:rsidRPr="00A91E2E">
        <w:rPr>
          <w:rStyle w:val="aff4"/>
          <w:vanish/>
          <w:rtl/>
        </w:rPr>
      </w:r>
      <w:r w:rsidRPr="00A91E2E">
        <w:rPr>
          <w:rStyle w:val="aff4"/>
          <w:vanish/>
          <w:rtl/>
        </w:rPr>
        <w:fldChar w:fldCharType="separate"/>
      </w:r>
      <w:r w:rsidR="00D82181">
        <w:rPr>
          <w:rStyle w:val="aff4"/>
          <w:vanish/>
          <w:cs/>
        </w:rPr>
        <w:t>‎</w:t>
      </w:r>
      <w:r w:rsidR="00D82181">
        <w:rPr>
          <w:rStyle w:val="aff4"/>
          <w:vanish/>
          <w:rtl/>
        </w:rPr>
        <w:t>יג)</w:t>
      </w:r>
      <w:r w:rsidRPr="00A91E2E">
        <w:rPr>
          <w:rStyle w:val="aff4"/>
          <w:vanish/>
          <w:rtl/>
        </w:rPr>
        <w:fldChar w:fldCharType="end"/>
      </w:r>
      <w:r w:rsidRPr="00A91E2E">
        <w:rPr>
          <w:rStyle w:val="aff4"/>
          <w:rFonts w:hint="cs"/>
          <w:vanish/>
          <w:rtl/>
        </w:rPr>
        <w:t xml:space="preserve"> &gt;</w:t>
      </w:r>
      <w:r w:rsidRPr="007439A4">
        <w:rPr>
          <w:rStyle w:val="aff4"/>
          <w:rFonts w:hint="cs"/>
          <w:rtl/>
        </w:rPr>
        <w:t>מגן אבות</w:t>
      </w:r>
      <w:r w:rsidRPr="00A91E2E">
        <w:rPr>
          <w:rStyle w:val="aff4"/>
          <w:rFonts w:hint="cs"/>
          <w:vanish/>
          <w:rtl/>
        </w:rPr>
        <w:t>-</w:t>
      </w:r>
      <w:r>
        <w:rPr>
          <w:rFonts w:hint="cs"/>
          <w:rtl/>
        </w:rPr>
        <w:t xml:space="preserve"> </w:t>
      </w:r>
      <w:r w:rsidRPr="00D16BB6">
        <w:rPr>
          <w:rStyle w:val="af2"/>
          <w:rFonts w:eastAsia="Guttman Hodes" w:hint="cs"/>
          <w:rtl/>
        </w:rPr>
        <w:t>(סוגיא דבורר ד"ה הבורר)</w:t>
      </w:r>
      <w:r w:rsidRPr="00A91E2E">
        <w:rPr>
          <w:rFonts w:hint="cs"/>
          <w:vanish/>
          <w:rtl/>
        </w:rPr>
        <w:t>=</w:t>
      </w:r>
      <w:r>
        <w:rPr>
          <w:rFonts w:hint="cs"/>
          <w:rtl/>
        </w:rPr>
        <w:t xml:space="preserve"> דמוכח מדברי </w:t>
      </w:r>
      <w:r w:rsidRPr="00A91E2E">
        <w:rPr>
          <w:rStyle w:val="aff4"/>
          <w:rFonts w:hint="cs"/>
          <w:vanish/>
          <w:rtl/>
        </w:rPr>
        <w:t>-</w:t>
      </w:r>
      <w:r w:rsidRPr="007439A4">
        <w:rPr>
          <w:rStyle w:val="aff4"/>
          <w:rFonts w:hint="cs"/>
          <w:rtl/>
        </w:rPr>
        <w:t>רש"י לקמן</w:t>
      </w:r>
      <w:r w:rsidRPr="00A91E2E">
        <w:rPr>
          <w:rStyle w:val="aff4"/>
          <w:rFonts w:hint="cs"/>
          <w:vanish/>
          <w:rtl/>
        </w:rPr>
        <w:t>-</w:t>
      </w:r>
      <w:r>
        <w:rPr>
          <w:rFonts w:hint="cs"/>
          <w:rtl/>
        </w:rPr>
        <w:t xml:space="preserve"> </w:t>
      </w:r>
      <w:r w:rsidRPr="00D16BB6">
        <w:rPr>
          <w:rStyle w:val="af2"/>
          <w:rFonts w:eastAsia="Guttman Hodes" w:hint="cs"/>
          <w:rtl/>
        </w:rPr>
        <w:t xml:space="preserve">(עי' אות </w:t>
      </w:r>
      <w:r w:rsidRPr="00D16BB6">
        <w:rPr>
          <w:rStyle w:val="af2"/>
          <w:rFonts w:eastAsia="Guttman Hodes"/>
          <w:rtl/>
        </w:rPr>
        <w:fldChar w:fldCharType="begin"/>
      </w:r>
      <w:r w:rsidRPr="00D16BB6">
        <w:rPr>
          <w:rStyle w:val="af2"/>
          <w:rFonts w:eastAsia="Guttman Hodes"/>
          <w:rtl/>
        </w:rPr>
        <w:instrText xml:space="preserve"> </w:instrText>
      </w:r>
      <w:r w:rsidRPr="00D16BB6">
        <w:rPr>
          <w:rStyle w:val="af2"/>
          <w:rFonts w:eastAsia="Guttman Hodes" w:hint="cs"/>
        </w:rPr>
        <w:instrText>REF</w:instrText>
      </w:r>
      <w:r w:rsidRPr="00D16BB6">
        <w:rPr>
          <w:rStyle w:val="af2"/>
          <w:rFonts w:eastAsia="Guttman Hodes" w:hint="cs"/>
          <w:rtl/>
        </w:rPr>
        <w:instrText xml:space="preserve"> _</w:instrText>
      </w:r>
      <w:r w:rsidRPr="00D16BB6">
        <w:rPr>
          <w:rStyle w:val="af2"/>
          <w:rFonts w:eastAsia="Guttman Hodes" w:hint="cs"/>
        </w:rPr>
        <w:instrText>Ref137585016 \r \h</w:instrText>
      </w:r>
      <w:r w:rsidRPr="00D16BB6">
        <w:rPr>
          <w:rStyle w:val="af2"/>
          <w:rFonts w:eastAsia="Guttman Hodes"/>
          <w:rtl/>
        </w:rPr>
        <w:instrText xml:space="preserve"> </w:instrText>
      </w:r>
      <w:r w:rsidRPr="00D16BB6">
        <w:rPr>
          <w:rStyle w:val="af2"/>
          <w:rFonts w:eastAsia="Guttman Hodes"/>
          <w:rtl/>
        </w:rPr>
      </w:r>
      <w:r w:rsidRPr="00D16BB6">
        <w:rPr>
          <w:rStyle w:val="af2"/>
          <w:rFonts w:eastAsia="Guttman Hodes"/>
          <w:rtl/>
        </w:rPr>
        <w:fldChar w:fldCharType="separate"/>
      </w:r>
      <w:r w:rsidR="00D82181">
        <w:rPr>
          <w:rStyle w:val="af2"/>
          <w:rFonts w:eastAsia="Guttman Hodes"/>
          <w:cs/>
        </w:rPr>
        <w:t>‎</w:t>
      </w:r>
      <w:r w:rsidR="00D82181">
        <w:rPr>
          <w:rStyle w:val="af2"/>
          <w:rFonts w:eastAsia="Guttman Hodes"/>
          <w:rtl/>
        </w:rPr>
        <w:t>ד)</w:t>
      </w:r>
      <w:r w:rsidRPr="00D16BB6">
        <w:rPr>
          <w:rStyle w:val="af2"/>
          <w:rFonts w:eastAsia="Guttman Hodes"/>
          <w:rtl/>
        </w:rPr>
        <w:fldChar w:fldCharType="end"/>
      </w:r>
      <w:r>
        <w:rPr>
          <w:rFonts w:hint="cs"/>
          <w:rtl/>
        </w:rPr>
        <w:t xml:space="preserve"> דרק במקום דהוא לגוון לא הוי בורר בב' מינים, אבל לצורך אכילה מודה </w:t>
      </w:r>
      <w:r w:rsidRPr="00A91E2E">
        <w:rPr>
          <w:rStyle w:val="aff4"/>
          <w:rFonts w:hint="cs"/>
          <w:vanish/>
          <w:rtl/>
        </w:rPr>
        <w:t>-</w:t>
      </w:r>
      <w:r w:rsidRPr="007439A4">
        <w:rPr>
          <w:rStyle w:val="aff4"/>
          <w:rFonts w:hint="cs"/>
          <w:rtl/>
        </w:rPr>
        <w:t>רש"י</w:t>
      </w:r>
      <w:r w:rsidRPr="00571481">
        <w:rPr>
          <w:rStyle w:val="aff4"/>
          <w:rFonts w:hint="cs"/>
          <w:rtl/>
        </w:rPr>
        <w:t xml:space="preserve"> </w:t>
      </w:r>
      <w:r w:rsidRPr="007439A4">
        <w:rPr>
          <w:rStyle w:val="aff4"/>
          <w:rFonts w:hint="cs"/>
          <w:rtl/>
        </w:rPr>
        <w:t>לתוס'</w:t>
      </w:r>
      <w:r w:rsidRPr="00A91E2E">
        <w:rPr>
          <w:rStyle w:val="aff4"/>
          <w:rFonts w:hint="cs"/>
          <w:vanish/>
          <w:rtl/>
        </w:rPr>
        <w:t>-</w:t>
      </w:r>
      <w:r>
        <w:rPr>
          <w:rFonts w:hint="cs"/>
          <w:rtl/>
        </w:rPr>
        <w:t xml:space="preserve"> </w:t>
      </w:r>
      <w:r w:rsidRPr="00D16BB6">
        <w:rPr>
          <w:rStyle w:val="af2"/>
          <w:rFonts w:eastAsia="Guttman Hodes" w:hint="cs"/>
          <w:rtl/>
        </w:rPr>
        <w:t xml:space="preserve">(עי' אות </w:t>
      </w:r>
      <w:r w:rsidRPr="00D16BB6">
        <w:rPr>
          <w:rStyle w:val="af2"/>
          <w:rFonts w:eastAsia="Guttman Hodes"/>
          <w:rtl/>
        </w:rPr>
        <w:fldChar w:fldCharType="begin"/>
      </w:r>
      <w:r w:rsidRPr="00D16BB6">
        <w:rPr>
          <w:rStyle w:val="af2"/>
          <w:rFonts w:eastAsia="Guttman Hodes"/>
          <w:rtl/>
        </w:rPr>
        <w:instrText xml:space="preserve"> </w:instrText>
      </w:r>
      <w:r w:rsidRPr="00D16BB6">
        <w:rPr>
          <w:rStyle w:val="af2"/>
          <w:rFonts w:eastAsia="Guttman Hodes" w:hint="cs"/>
        </w:rPr>
        <w:instrText>REF</w:instrText>
      </w:r>
      <w:r w:rsidRPr="00D16BB6">
        <w:rPr>
          <w:rStyle w:val="af2"/>
          <w:rFonts w:eastAsia="Guttman Hodes" w:hint="cs"/>
          <w:rtl/>
        </w:rPr>
        <w:instrText xml:space="preserve"> _</w:instrText>
      </w:r>
      <w:r w:rsidRPr="00D16BB6">
        <w:rPr>
          <w:rStyle w:val="af2"/>
          <w:rFonts w:eastAsia="Guttman Hodes" w:hint="cs"/>
        </w:rPr>
        <w:instrText>Ref137671185 \r \h</w:instrText>
      </w:r>
      <w:r w:rsidRPr="00D16BB6">
        <w:rPr>
          <w:rStyle w:val="af2"/>
          <w:rFonts w:eastAsia="Guttman Hodes"/>
          <w:rtl/>
        </w:rPr>
        <w:instrText xml:space="preserve"> </w:instrText>
      </w:r>
      <w:r w:rsidRPr="00D16BB6">
        <w:rPr>
          <w:rStyle w:val="af2"/>
          <w:rFonts w:eastAsia="Guttman Hodes"/>
          <w:rtl/>
        </w:rPr>
      </w:r>
      <w:r w:rsidRPr="00D16BB6">
        <w:rPr>
          <w:rStyle w:val="af2"/>
          <w:rFonts w:eastAsia="Guttman Hodes"/>
          <w:rtl/>
        </w:rPr>
        <w:fldChar w:fldCharType="separate"/>
      </w:r>
      <w:r w:rsidR="00D82181">
        <w:rPr>
          <w:rStyle w:val="af2"/>
          <w:rFonts w:eastAsia="Guttman Hodes"/>
          <w:cs/>
        </w:rPr>
        <w:t>‎</w:t>
      </w:r>
      <w:r w:rsidR="00D82181">
        <w:rPr>
          <w:rStyle w:val="af2"/>
          <w:rFonts w:eastAsia="Guttman Hodes"/>
          <w:rtl/>
        </w:rPr>
        <w:t>כ)</w:t>
      </w:r>
      <w:r w:rsidRPr="00D16BB6">
        <w:rPr>
          <w:rStyle w:val="af2"/>
          <w:rFonts w:eastAsia="Guttman Hodes"/>
          <w:rtl/>
        </w:rPr>
        <w:fldChar w:fldCharType="end"/>
      </w:r>
      <w:r>
        <w:rPr>
          <w:rFonts w:hint="cs"/>
          <w:rtl/>
        </w:rPr>
        <w:t xml:space="preserve"> דיש בורר בב' מינים, והא </w:t>
      </w:r>
      <w:r w:rsidRPr="00A91E2E">
        <w:rPr>
          <w:rStyle w:val="aff4"/>
          <w:rFonts w:hint="cs"/>
          <w:vanish/>
          <w:rtl/>
        </w:rPr>
        <w:t>-</w:t>
      </w:r>
      <w:r w:rsidRPr="007439A4">
        <w:rPr>
          <w:rStyle w:val="aff4"/>
          <w:rFonts w:hint="cs"/>
          <w:rtl/>
        </w:rPr>
        <w:t>דרש"י</w:t>
      </w:r>
      <w:r w:rsidRPr="00A91E2E">
        <w:rPr>
          <w:rStyle w:val="aff4"/>
          <w:rFonts w:hint="cs"/>
          <w:vanish/>
          <w:rtl/>
        </w:rPr>
        <w:t>-</w:t>
      </w:r>
      <w:r>
        <w:rPr>
          <w:rFonts w:hint="cs"/>
          <w:rtl/>
        </w:rPr>
        <w:t xml:space="preserve"> </w:t>
      </w:r>
      <w:r w:rsidRPr="00D16BB6">
        <w:rPr>
          <w:rStyle w:val="af2"/>
          <w:rFonts w:eastAsia="Guttman Hodes" w:hint="cs"/>
          <w:rtl/>
        </w:rPr>
        <w:t xml:space="preserve">(עי' אות </w:t>
      </w:r>
      <w:r w:rsidRPr="00D16BB6">
        <w:rPr>
          <w:rStyle w:val="af2"/>
          <w:rFonts w:eastAsia="Guttman Hodes"/>
          <w:rtl/>
        </w:rPr>
        <w:fldChar w:fldCharType="begin"/>
      </w:r>
      <w:r w:rsidRPr="00D16BB6">
        <w:rPr>
          <w:rStyle w:val="af2"/>
          <w:rFonts w:eastAsia="Guttman Hodes"/>
          <w:rtl/>
        </w:rPr>
        <w:instrText xml:space="preserve"> </w:instrText>
      </w:r>
      <w:r w:rsidRPr="00D16BB6">
        <w:rPr>
          <w:rStyle w:val="af2"/>
          <w:rFonts w:eastAsia="Guttman Hodes" w:hint="cs"/>
        </w:rPr>
        <w:instrText>REF</w:instrText>
      </w:r>
      <w:r w:rsidRPr="00D16BB6">
        <w:rPr>
          <w:rStyle w:val="af2"/>
          <w:rFonts w:eastAsia="Guttman Hodes" w:hint="cs"/>
          <w:rtl/>
        </w:rPr>
        <w:instrText xml:space="preserve"> _</w:instrText>
      </w:r>
      <w:r w:rsidRPr="00D16BB6">
        <w:rPr>
          <w:rStyle w:val="af2"/>
          <w:rFonts w:eastAsia="Guttman Hodes" w:hint="cs"/>
        </w:rPr>
        <w:instrText>Ref137583936 \r \h</w:instrText>
      </w:r>
      <w:r w:rsidRPr="00D16BB6">
        <w:rPr>
          <w:rStyle w:val="af2"/>
          <w:rFonts w:eastAsia="Guttman Hodes"/>
          <w:rtl/>
        </w:rPr>
        <w:instrText xml:space="preserve"> </w:instrText>
      </w:r>
      <w:r w:rsidRPr="00D16BB6">
        <w:rPr>
          <w:rStyle w:val="af2"/>
          <w:rFonts w:eastAsia="Guttman Hodes"/>
          <w:rtl/>
        </w:rPr>
      </w:r>
      <w:r w:rsidRPr="00D16BB6">
        <w:rPr>
          <w:rStyle w:val="af2"/>
          <w:rFonts w:eastAsia="Guttman Hodes"/>
          <w:rtl/>
        </w:rPr>
        <w:fldChar w:fldCharType="separate"/>
      </w:r>
      <w:r w:rsidR="00D82181">
        <w:rPr>
          <w:rStyle w:val="af2"/>
          <w:rFonts w:eastAsia="Guttman Hodes"/>
          <w:cs/>
        </w:rPr>
        <w:t>‎</w:t>
      </w:r>
      <w:r w:rsidR="00D82181">
        <w:rPr>
          <w:rStyle w:val="af2"/>
          <w:rFonts w:eastAsia="Guttman Hodes"/>
          <w:rtl/>
        </w:rPr>
        <w:t>א)</w:t>
      </w:r>
      <w:r w:rsidRPr="00D16BB6">
        <w:rPr>
          <w:rStyle w:val="af2"/>
          <w:rFonts w:eastAsia="Guttman Hodes"/>
          <w:rtl/>
        </w:rPr>
        <w:fldChar w:fldCharType="end"/>
      </w:r>
      <w:r>
        <w:rPr>
          <w:rFonts w:hint="cs"/>
          <w:rtl/>
        </w:rPr>
        <w:t xml:space="preserve"> ל"ג בברייתא "שני"</w:t>
      </w:r>
      <w:bookmarkEnd w:id="2221"/>
      <w:r>
        <w:rPr>
          <w:rFonts w:hint="cs"/>
          <w:rtl/>
        </w:rPr>
        <w:t xml:space="preserve"> הוא כיון דבב' מיני אוכלין שייכא ברירה רק ביד ולא בקנון ותמחוי, ורב יוסף העמיד את הברייתא בקנון ותמחוי, </w:t>
      </w:r>
      <w:r w:rsidRPr="00D16BB6">
        <w:rPr>
          <w:rStyle w:val="af"/>
          <w:rFonts w:hint="cs"/>
          <w:rtl/>
        </w:rPr>
        <w:t xml:space="preserve">[דהא לא איירי במין אחד ובורר בין הגדולים לקטנים, דאינו נקרא ב' מינים כדביאר </w:t>
      </w:r>
      <w:r w:rsidRPr="00D16BB6">
        <w:rPr>
          <w:rStyle w:val="aff9"/>
          <w:rFonts w:hint="cs"/>
          <w:vanish/>
          <w:rtl/>
        </w:rPr>
        <w:t>-</w:t>
      </w:r>
      <w:r w:rsidRPr="00D16BB6">
        <w:rPr>
          <w:rStyle w:val="aff9"/>
          <w:rFonts w:hint="cs"/>
          <w:rtl/>
        </w:rPr>
        <w:t>התרוה"ד</w:t>
      </w:r>
      <w:r w:rsidRPr="00D16BB6">
        <w:rPr>
          <w:rStyle w:val="aff9"/>
          <w:rFonts w:hint="cs"/>
          <w:vanish/>
          <w:rtl/>
        </w:rPr>
        <w:t>-</w:t>
      </w:r>
      <w:r w:rsidRPr="00D16BB6">
        <w:rPr>
          <w:rStyle w:val="af"/>
          <w:rFonts w:hint="cs"/>
          <w:rtl/>
        </w:rPr>
        <w:t xml:space="preserve"> </w:t>
      </w:r>
      <w:r w:rsidRPr="00D16BB6">
        <w:rPr>
          <w:rStyle w:val="aff0"/>
          <w:rFonts w:hint="cs"/>
          <w:rtl/>
        </w:rPr>
        <w:t>(עי' אות</w:t>
      </w:r>
      <w:r>
        <w:rPr>
          <w:rStyle w:val="aff0"/>
          <w:rFonts w:hint="cs"/>
          <w:rtl/>
        </w:rPr>
        <w:t xml:space="preserve">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Ref137724475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נה)</w:t>
      </w:r>
      <w:r>
        <w:rPr>
          <w:rStyle w:val="aff0"/>
          <w:rtl/>
        </w:rPr>
        <w:fldChar w:fldCharType="end"/>
      </w:r>
      <w:r w:rsidRPr="00D16BB6">
        <w:rPr>
          <w:rStyle w:val="af"/>
          <w:rFonts w:hint="cs"/>
          <w:rtl/>
        </w:rPr>
        <w:t>]</w:t>
      </w:r>
      <w:r w:rsidRPr="002650B4">
        <w:rPr>
          <w:rStyle w:val="af"/>
          <w:rFonts w:hint="cs"/>
          <w:rtl/>
        </w:rPr>
        <w:t>,</w:t>
      </w:r>
      <w:r>
        <w:rPr>
          <w:rFonts w:hint="cs"/>
          <w:rtl/>
        </w:rPr>
        <w:t xml:space="preserve"> ולפי"ז אף פלוגתת רב אשי ורב ירמיה מדפתי אינה בב' מינים, דהא כתב </w:t>
      </w:r>
      <w:r w:rsidRPr="00A91E2E">
        <w:rPr>
          <w:rStyle w:val="aff4"/>
          <w:rFonts w:hint="cs"/>
          <w:vanish/>
          <w:rtl/>
        </w:rPr>
        <w:t>-</w:t>
      </w:r>
      <w:r w:rsidRPr="007439A4">
        <w:rPr>
          <w:rStyle w:val="aff4"/>
          <w:rFonts w:hint="cs"/>
          <w:rtl/>
        </w:rPr>
        <w:t>רש"י</w:t>
      </w:r>
      <w:r w:rsidRPr="00A91E2E">
        <w:rPr>
          <w:rStyle w:val="aff4"/>
          <w:rFonts w:hint="cs"/>
          <w:vanish/>
          <w:rtl/>
        </w:rPr>
        <w:t>-</w:t>
      </w:r>
      <w:r>
        <w:rPr>
          <w:rFonts w:hint="cs"/>
          <w:rtl/>
        </w:rPr>
        <w:t xml:space="preserve"> </w:t>
      </w:r>
      <w:r w:rsidRPr="00D16BB6">
        <w:rPr>
          <w:rStyle w:val="af2"/>
          <w:rFonts w:eastAsia="Guttman Hodes" w:hint="cs"/>
          <w:rtl/>
        </w:rPr>
        <w:t xml:space="preserve">(עי' אות </w:t>
      </w:r>
      <w:r w:rsidRPr="00D16BB6">
        <w:rPr>
          <w:rStyle w:val="af2"/>
          <w:rFonts w:eastAsia="Guttman Hodes"/>
          <w:rtl/>
        </w:rPr>
        <w:fldChar w:fldCharType="begin"/>
      </w:r>
      <w:r w:rsidRPr="00D16BB6">
        <w:rPr>
          <w:rStyle w:val="af2"/>
          <w:rFonts w:eastAsia="Guttman Hodes"/>
          <w:rtl/>
        </w:rPr>
        <w:instrText xml:space="preserve"> </w:instrText>
      </w:r>
      <w:r w:rsidRPr="00D16BB6">
        <w:rPr>
          <w:rStyle w:val="af2"/>
          <w:rFonts w:eastAsia="Guttman Hodes" w:hint="cs"/>
        </w:rPr>
        <w:instrText>REF</w:instrText>
      </w:r>
      <w:r w:rsidRPr="00D16BB6">
        <w:rPr>
          <w:rStyle w:val="af2"/>
          <w:rFonts w:eastAsia="Guttman Hodes" w:hint="cs"/>
          <w:rtl/>
        </w:rPr>
        <w:instrText xml:space="preserve"> _</w:instrText>
      </w:r>
      <w:r w:rsidRPr="00D16BB6">
        <w:rPr>
          <w:rStyle w:val="af2"/>
          <w:rFonts w:eastAsia="Guttman Hodes" w:hint="cs"/>
        </w:rPr>
        <w:instrText>Ref136812066 \r \h</w:instrText>
      </w:r>
      <w:r w:rsidRPr="00D16BB6">
        <w:rPr>
          <w:rStyle w:val="af2"/>
          <w:rFonts w:eastAsia="Guttman Hodes"/>
          <w:rtl/>
        </w:rPr>
        <w:instrText xml:space="preserve"> </w:instrText>
      </w:r>
      <w:r w:rsidRPr="00D16BB6">
        <w:rPr>
          <w:rStyle w:val="af2"/>
          <w:rFonts w:eastAsia="Guttman Hodes"/>
          <w:rtl/>
        </w:rPr>
      </w:r>
      <w:r w:rsidRPr="00D16BB6">
        <w:rPr>
          <w:rStyle w:val="af2"/>
          <w:rFonts w:eastAsia="Guttman Hodes"/>
          <w:rtl/>
        </w:rPr>
        <w:fldChar w:fldCharType="separate"/>
      </w:r>
      <w:r w:rsidR="00D82181">
        <w:rPr>
          <w:rStyle w:val="af2"/>
          <w:rFonts w:eastAsia="Guttman Hodes"/>
          <w:cs/>
        </w:rPr>
        <w:t>‎</w:t>
      </w:r>
      <w:r w:rsidR="00D82181">
        <w:rPr>
          <w:rStyle w:val="af2"/>
          <w:rFonts w:eastAsia="Guttman Hodes"/>
          <w:rtl/>
        </w:rPr>
        <w:t>ב)</w:t>
      </w:r>
      <w:r w:rsidRPr="00D16BB6">
        <w:rPr>
          <w:rStyle w:val="af2"/>
          <w:rFonts w:eastAsia="Guttman Hodes"/>
          <w:rtl/>
        </w:rPr>
        <w:fldChar w:fldCharType="end"/>
      </w:r>
      <w:r>
        <w:rPr>
          <w:rFonts w:hint="cs"/>
          <w:rtl/>
        </w:rPr>
        <w:t xml:space="preserve"> דהקושיה על רב אשי היא מהברייתא, דל"ג בה "שני". </w:t>
      </w:r>
      <w:r w:rsidRPr="00D16BB6">
        <w:rPr>
          <w:rStyle w:val="af"/>
          <w:rFonts w:hint="cs"/>
          <w:rtl/>
        </w:rPr>
        <w:t xml:space="preserve">[ודלא </w:t>
      </w:r>
      <w:r w:rsidRPr="00D16BB6">
        <w:rPr>
          <w:rStyle w:val="aff9"/>
          <w:rFonts w:hint="cs"/>
          <w:vanish/>
          <w:rtl/>
        </w:rPr>
        <w:t>-</w:t>
      </w:r>
      <w:r w:rsidRPr="00D16BB6">
        <w:rPr>
          <w:rStyle w:val="aff9"/>
          <w:rFonts w:hint="cs"/>
          <w:rtl/>
        </w:rPr>
        <w:t>כהב"ח</w:t>
      </w:r>
      <w:r w:rsidRPr="00D16BB6">
        <w:rPr>
          <w:rStyle w:val="aff9"/>
          <w:rFonts w:hint="cs"/>
          <w:vanish/>
          <w:rtl/>
        </w:rPr>
        <w:t>-</w:t>
      </w:r>
      <w:r w:rsidRPr="00D16BB6">
        <w:rPr>
          <w:rStyle w:val="af"/>
          <w:rFonts w:hint="cs"/>
          <w:rtl/>
        </w:rPr>
        <w:t xml:space="preserve"> </w:t>
      </w:r>
      <w:r w:rsidRPr="00D16BB6">
        <w:rPr>
          <w:rStyle w:val="aff0"/>
          <w:rFonts w:hint="cs"/>
          <w:rtl/>
        </w:rPr>
        <w:t xml:space="preserve">(עי' אות </w:t>
      </w:r>
      <w:r w:rsidRPr="00D16BB6">
        <w:rPr>
          <w:rStyle w:val="aff0"/>
          <w:rtl/>
        </w:rPr>
        <w:fldChar w:fldCharType="begin"/>
      </w:r>
      <w:r w:rsidRPr="00D16BB6">
        <w:rPr>
          <w:rStyle w:val="aff0"/>
          <w:rtl/>
        </w:rPr>
        <w:instrText xml:space="preserve"> </w:instrText>
      </w:r>
      <w:r w:rsidRPr="00D16BB6">
        <w:rPr>
          <w:rStyle w:val="aff0"/>
          <w:rFonts w:hint="cs"/>
        </w:rPr>
        <w:instrText>REF</w:instrText>
      </w:r>
      <w:r w:rsidRPr="00D16BB6">
        <w:rPr>
          <w:rStyle w:val="aff0"/>
          <w:rFonts w:hint="cs"/>
          <w:rtl/>
        </w:rPr>
        <w:instrText xml:space="preserve"> _</w:instrText>
      </w:r>
      <w:r w:rsidRPr="00D16BB6">
        <w:rPr>
          <w:rStyle w:val="aff0"/>
          <w:rFonts w:hint="cs"/>
        </w:rPr>
        <w:instrText>Ref136946771 \r \h</w:instrText>
      </w:r>
      <w:r w:rsidRPr="00D16BB6">
        <w:rPr>
          <w:rStyle w:val="aff0"/>
          <w:rtl/>
        </w:rPr>
        <w:instrText xml:space="preserve"> </w:instrText>
      </w:r>
      <w:r w:rsidRPr="00D16BB6">
        <w:rPr>
          <w:rStyle w:val="aff0"/>
          <w:rtl/>
        </w:rPr>
      </w:r>
      <w:r w:rsidRPr="00D16BB6">
        <w:rPr>
          <w:rStyle w:val="aff0"/>
          <w:rtl/>
        </w:rPr>
        <w:fldChar w:fldCharType="separate"/>
      </w:r>
      <w:r w:rsidR="00D82181">
        <w:rPr>
          <w:rStyle w:val="aff0"/>
          <w:cs/>
        </w:rPr>
        <w:t>‎</w:t>
      </w:r>
      <w:r w:rsidR="00D82181">
        <w:rPr>
          <w:rStyle w:val="aff0"/>
          <w:rtl/>
        </w:rPr>
        <w:t>י)</w:t>
      </w:r>
      <w:r w:rsidRPr="00D16BB6">
        <w:rPr>
          <w:rStyle w:val="aff0"/>
          <w:rtl/>
        </w:rPr>
        <w:fldChar w:fldCharType="end"/>
      </w:r>
      <w:r w:rsidRPr="00D16BB6">
        <w:rPr>
          <w:rStyle w:val="af"/>
          <w:rFonts w:hint="cs"/>
          <w:rtl/>
        </w:rPr>
        <w:t xml:space="preserve"> </w:t>
      </w:r>
      <w:r w:rsidRPr="00D16BB6">
        <w:rPr>
          <w:rStyle w:val="aff9"/>
          <w:rFonts w:hint="cs"/>
          <w:vanish/>
          <w:rtl/>
        </w:rPr>
        <w:t>-</w:t>
      </w:r>
      <w:r w:rsidRPr="00D16BB6">
        <w:rPr>
          <w:rStyle w:val="aff9"/>
          <w:rFonts w:hint="cs"/>
          <w:rtl/>
        </w:rPr>
        <w:t>והפנ"י</w:t>
      </w:r>
      <w:r w:rsidRPr="00D16BB6">
        <w:rPr>
          <w:rStyle w:val="aff9"/>
          <w:rFonts w:hint="cs"/>
          <w:vanish/>
          <w:rtl/>
        </w:rPr>
        <w:t>-</w:t>
      </w:r>
      <w:r w:rsidRPr="00D16BB6">
        <w:rPr>
          <w:rStyle w:val="af"/>
          <w:rFonts w:hint="cs"/>
          <w:rtl/>
        </w:rPr>
        <w:t xml:space="preserve"> </w:t>
      </w:r>
      <w:r w:rsidRPr="00D16BB6">
        <w:rPr>
          <w:rStyle w:val="aff0"/>
          <w:rFonts w:hint="cs"/>
          <w:rtl/>
        </w:rPr>
        <w:t xml:space="preserve">(עי' אות </w:t>
      </w:r>
      <w:r w:rsidRPr="00D16BB6">
        <w:rPr>
          <w:rStyle w:val="aff0"/>
          <w:rtl/>
        </w:rPr>
        <w:fldChar w:fldCharType="begin"/>
      </w:r>
      <w:r w:rsidRPr="00D16BB6">
        <w:rPr>
          <w:rStyle w:val="aff0"/>
          <w:rtl/>
        </w:rPr>
        <w:instrText xml:space="preserve"> </w:instrText>
      </w:r>
      <w:r w:rsidRPr="00D16BB6">
        <w:rPr>
          <w:rStyle w:val="aff0"/>
          <w:rFonts w:hint="cs"/>
        </w:rPr>
        <w:instrText>REF</w:instrText>
      </w:r>
      <w:r w:rsidRPr="00D16BB6">
        <w:rPr>
          <w:rStyle w:val="aff0"/>
          <w:rFonts w:hint="cs"/>
          <w:rtl/>
        </w:rPr>
        <w:instrText xml:space="preserve"> _</w:instrText>
      </w:r>
      <w:r w:rsidRPr="00D16BB6">
        <w:rPr>
          <w:rStyle w:val="aff0"/>
          <w:rFonts w:hint="cs"/>
        </w:rPr>
        <w:instrText>Ref137116067 \r \h</w:instrText>
      </w:r>
      <w:r w:rsidRPr="00D16BB6">
        <w:rPr>
          <w:rStyle w:val="aff0"/>
          <w:rtl/>
        </w:rPr>
        <w:instrText xml:space="preserve"> </w:instrText>
      </w:r>
      <w:r w:rsidRPr="00D16BB6">
        <w:rPr>
          <w:rStyle w:val="aff0"/>
          <w:rtl/>
        </w:rPr>
      </w:r>
      <w:r w:rsidRPr="00D16BB6">
        <w:rPr>
          <w:rStyle w:val="aff0"/>
          <w:rtl/>
        </w:rPr>
        <w:fldChar w:fldCharType="separate"/>
      </w:r>
      <w:r w:rsidR="00D82181">
        <w:rPr>
          <w:rStyle w:val="aff0"/>
          <w:cs/>
        </w:rPr>
        <w:t>‎</w:t>
      </w:r>
      <w:r w:rsidR="00D82181">
        <w:rPr>
          <w:rStyle w:val="aff0"/>
          <w:rtl/>
        </w:rPr>
        <w:t>יא)</w:t>
      </w:r>
      <w:r w:rsidRPr="00D16BB6">
        <w:rPr>
          <w:rStyle w:val="aff0"/>
          <w:rtl/>
        </w:rPr>
        <w:fldChar w:fldCharType="end"/>
      </w:r>
      <w:r w:rsidRPr="00D16BB6">
        <w:rPr>
          <w:rStyle w:val="af"/>
          <w:rFonts w:hint="cs"/>
          <w:rtl/>
        </w:rPr>
        <w:t xml:space="preserve"> דכתבו דכיון </w:t>
      </w:r>
      <w:r w:rsidRPr="00D16BB6">
        <w:rPr>
          <w:rStyle w:val="aff9"/>
          <w:rFonts w:hint="cs"/>
          <w:vanish/>
          <w:rtl/>
        </w:rPr>
        <w:t>-</w:t>
      </w:r>
      <w:r w:rsidRPr="00D16BB6">
        <w:rPr>
          <w:rStyle w:val="aff9"/>
          <w:rFonts w:hint="cs"/>
          <w:rtl/>
        </w:rPr>
        <w:t>דלרש"י</w:t>
      </w:r>
      <w:r w:rsidRPr="00D16BB6">
        <w:rPr>
          <w:rStyle w:val="aff9"/>
          <w:rFonts w:hint="cs"/>
          <w:vanish/>
          <w:rtl/>
        </w:rPr>
        <w:t>-</w:t>
      </w:r>
      <w:r w:rsidRPr="00D16BB6">
        <w:rPr>
          <w:rStyle w:val="af"/>
          <w:rFonts w:hint="cs"/>
          <w:rtl/>
        </w:rPr>
        <w:t xml:space="preserve"> יש בורר בב' מיני אוכלין, א"כ בברייתא השניה גרס "שני"]</w:t>
      </w:r>
      <w:r w:rsidRPr="00B4072B">
        <w:rPr>
          <w:rStyle w:val="af"/>
          <w:rFonts w:hint="cs"/>
          <w:rtl/>
        </w:rPr>
        <w:t>.</w:t>
      </w:r>
      <w:bookmarkEnd w:id="2222"/>
    </w:p>
    <w:p w14:paraId="26425B36" w14:textId="77777777" w:rsidR="00592982" w:rsidRPr="00747170" w:rsidRDefault="00592982" w:rsidP="00747170">
      <w:pPr>
        <w:pStyle w:val="a2"/>
      </w:pPr>
      <w:r w:rsidRPr="00747170">
        <w:rPr>
          <w:rtl/>
        </w:rPr>
        <w:t>הבורר גמרא ת"ר היו לפניו כו' רש"י לא גריס ש</w:t>
      </w:r>
      <w:r w:rsidRPr="00747170">
        <w:rPr>
          <w:rFonts w:hint="cs"/>
          <w:rtl/>
        </w:rPr>
        <w:t>נ</w:t>
      </w:r>
      <w:r w:rsidRPr="00747170">
        <w:rPr>
          <w:rtl/>
        </w:rPr>
        <w:t>י ולדבריו צריך לומר הא דנקט מיני</w:t>
      </w:r>
      <w:r w:rsidRPr="00747170">
        <w:rPr>
          <w:rFonts w:hint="cs"/>
          <w:rtl/>
        </w:rPr>
        <w:t xml:space="preserve"> </w:t>
      </w:r>
      <w:r w:rsidRPr="00747170">
        <w:rPr>
          <w:rtl/>
        </w:rPr>
        <w:t>אוכלין לשון רבים אוכלין דעלמא קאמר ולעולם דמיירי רק מאוכל אחד כיוצא בזה בפסחים דף א' ובחולין דף ל"ד משקי דעלמא כו' ע"ש ומשמע לכאורה דרש"י לא סבירא ליה מה שכתבו התוס' על שם ר"ח דבאוכל מתוך אוכל שייך ברירה כו' דאותו שאינו חפץ בו כו' אך לקמן דף ק"מ ע"א במתני' ומסננין הביצה במסננת של חרדל ותני יעקב קר</w:t>
      </w:r>
      <w:r w:rsidRPr="00747170">
        <w:rPr>
          <w:rFonts w:hint="cs"/>
          <w:rtl/>
        </w:rPr>
        <w:t>ח</w:t>
      </w:r>
      <w:r w:rsidRPr="00747170">
        <w:rPr>
          <w:rtl/>
        </w:rPr>
        <w:t>ה לפי שעשוי לגוונן ופירש רש"י שם ועל כן הוי אידי ואידי אוכל ופירש הב"ח בסימן שי"ט בסופו דאילו לא הוי לגוונן הוי ליה החלמון שרוצה לאכול לגבי החלבון שמניח מלאכול כאוכל מתוך הפסולת אם כן על כרחך סבירא ליה לרש"י כהתוס'</w:t>
      </w:r>
      <w:r w:rsidRPr="00747170">
        <w:rPr>
          <w:rFonts w:hint="cs"/>
          <w:rtl/>
        </w:rPr>
        <w:t>.</w:t>
      </w:r>
    </w:p>
    <w:p w14:paraId="5AB1FFB5" w14:textId="77777777" w:rsidR="00592982" w:rsidRPr="00C61A8D" w:rsidRDefault="00592982" w:rsidP="00747170">
      <w:pPr>
        <w:pStyle w:val="afffff5"/>
      </w:pPr>
      <w:r w:rsidRPr="00C61A8D">
        <w:rPr>
          <w:rFonts w:hint="cs"/>
          <w:rtl/>
        </w:rPr>
        <w:t>ו</w:t>
      </w:r>
      <w:r w:rsidRPr="00C61A8D">
        <w:rPr>
          <w:rtl/>
        </w:rPr>
        <w:t>על כן נראה דרש"י משום הכי מוחק הגירסא דשני כו' משום דקשיא ליה דתינח אי מיירי בבורר ביד שייך ג"כ בשני אוכלין אבל לאוקימתא דרבי יוסף דמיירי בבורר בקינון ותמחוי או בנפה וכברה זהו לא שרינן כלל בשני מיני אוכלין ואין לומר דמיירי במין אחד גדול ובמין אחד קטן דהא כתב בתרומת הדשן סימן נ"ז דגדול וקטן לא מקרי שני מינים כי אם שני מינים ממש וא"כ מאי פסקא שיהיה אחד קטן ואחד גדול דיהיה שייך בהו ברירה על ידי כלים על כן פירש רש"י דמיירי רק מאוכל לגבי פסולת ולפי זה צריך לומר דגם בהך דלקמן דפליגי רב אשי ורב ירמיה מדפתי דאמרינן ולר"א כו' כאן בקינון כו' וכאן כו' לא גרסינן שני מינים כו' מהאי טעמא וגם בלאו הכי צריך לומר כן דא"כ מאי פריך הגמרא ולר"א הא קתני חייב דלפירוש רש"י הוא הברייתא דלעיל דמאי קושיא לעיל באוכל ופסולת וכאן בשני מיני אוכלין אלא על כרחך דאליביה דרש"י גם לקמן לא גרסינן שני מינים כו'</w:t>
      </w:r>
      <w:r w:rsidRPr="00C61A8D">
        <w:rPr>
          <w:rFonts w:hint="cs"/>
          <w:rtl/>
        </w:rPr>
        <w:t>.</w:t>
      </w:r>
    </w:p>
    <w:p w14:paraId="79AB9B77" w14:textId="77777777" w:rsidR="00592982" w:rsidRDefault="00592982" w:rsidP="00592982">
      <w:pPr>
        <w:pStyle w:val="afffff7"/>
        <w:rPr>
          <w:rtl/>
        </w:rPr>
      </w:pPr>
    </w:p>
    <w:p w14:paraId="477826D5" w14:textId="77777777" w:rsidR="00592982" w:rsidRPr="00A03956" w:rsidRDefault="00592982" w:rsidP="00592982">
      <w:pPr>
        <w:pStyle w:val="a7"/>
        <w:rPr>
          <w:rtl/>
        </w:rPr>
      </w:pPr>
    </w:p>
    <w:p w14:paraId="677683EE" w14:textId="77777777" w:rsidR="00592982" w:rsidRDefault="00592982" w:rsidP="00592982">
      <w:pPr>
        <w:pStyle w:val="afffff7"/>
        <w:rPr>
          <w:rtl/>
        </w:rPr>
      </w:pPr>
      <w:bookmarkStart w:id="2223" w:name="_Toc137742019"/>
      <w:bookmarkStart w:id="2224" w:name="_Toc163505786"/>
      <w:r>
        <w:rPr>
          <w:rtl/>
        </w:rPr>
        <w:t xml:space="preserve">אגלי טל מלאכת בורר </w:t>
      </w:r>
      <w:r>
        <w:rPr>
          <w:rFonts w:hint="cs"/>
          <w:rtl/>
        </w:rPr>
        <w:t>סק</w:t>
      </w:r>
      <w:r>
        <w:rPr>
          <w:rtl/>
        </w:rPr>
        <w:t>כ</w:t>
      </w:r>
      <w:r>
        <w:rPr>
          <w:rFonts w:hint="cs"/>
          <w:rtl/>
        </w:rPr>
        <w:t>"</w:t>
      </w:r>
      <w:r>
        <w:rPr>
          <w:rtl/>
        </w:rPr>
        <w:t>ד</w:t>
      </w:r>
      <w:r>
        <w:rPr>
          <w:rFonts w:hint="cs"/>
          <w:rtl/>
        </w:rPr>
        <w:t xml:space="preserve"> אות א' בהגה"ה</w:t>
      </w:r>
      <w:bookmarkEnd w:id="2223"/>
      <w:bookmarkEnd w:id="2224"/>
    </w:p>
    <w:p w14:paraId="48B03766" w14:textId="77777777" w:rsidR="00592982" w:rsidRDefault="00592982" w:rsidP="00592982">
      <w:pPr>
        <w:pStyle w:val="a7"/>
        <w:rPr>
          <w:rtl/>
        </w:rPr>
      </w:pPr>
      <w:bookmarkStart w:id="2225" w:name="_Toc137741931"/>
      <w:r>
        <w:rPr>
          <w:rFonts w:hint="cs"/>
          <w:rtl/>
        </w:rPr>
        <w:t>ספק האגל"ט בגי' רש"י בברייתא הב' ובי' האגל"ט דס"ל כריו"ח בירו' דלכתחילה רק לגוון מותר</w:t>
      </w:r>
      <w:bookmarkEnd w:id="2225"/>
    </w:p>
    <w:p w14:paraId="2B4A1A26" w14:textId="4327CB30" w:rsidR="00592982" w:rsidRPr="00C40317" w:rsidRDefault="00592982" w:rsidP="00BC7DC8">
      <w:pPr>
        <w:pStyle w:val="a3"/>
        <w:rPr>
          <w:rtl/>
        </w:rPr>
      </w:pPr>
      <w:bookmarkStart w:id="2226" w:name="_Ref137574592"/>
      <w:r>
        <w:rPr>
          <w:rFonts w:hint="cs"/>
          <w:rtl/>
        </w:rPr>
        <w:t xml:space="preserve">ועי' במ"ש </w:t>
      </w:r>
      <w:r w:rsidRPr="006D16A0">
        <w:rPr>
          <w:rStyle w:val="aff4"/>
          <w:rFonts w:hint="cs"/>
          <w:vanish/>
          <w:rtl/>
        </w:rPr>
        <w:t>-</w:t>
      </w:r>
      <w:r w:rsidRPr="00BF56CC">
        <w:rPr>
          <w:rStyle w:val="aff4"/>
          <w:rFonts w:hint="cs"/>
          <w:rtl/>
        </w:rPr>
        <w:t>ה</w:t>
      </w:r>
      <w:r w:rsidRPr="006D16A0">
        <w:rPr>
          <w:rStyle w:val="aff4"/>
          <w:rFonts w:hint="cs"/>
          <w:vanish/>
          <w:rtl/>
        </w:rPr>
        <w:t xml:space="preserve">&lt;. </w:t>
      </w:r>
      <w:r w:rsidRPr="006D16A0">
        <w:rPr>
          <w:rStyle w:val="aff4"/>
          <w:vanish/>
          <w:rtl/>
        </w:rPr>
        <w:fldChar w:fldCharType="begin"/>
      </w:r>
      <w:r w:rsidRPr="006D16A0">
        <w:rPr>
          <w:rStyle w:val="aff4"/>
          <w:vanish/>
          <w:rtl/>
        </w:rPr>
        <w:instrText xml:space="preserve"> </w:instrText>
      </w:r>
      <w:r w:rsidRPr="006D16A0">
        <w:rPr>
          <w:rStyle w:val="aff4"/>
          <w:rFonts w:hint="cs"/>
          <w:vanish/>
        </w:rPr>
        <w:instrText>REF</w:instrText>
      </w:r>
      <w:r w:rsidRPr="006D16A0">
        <w:rPr>
          <w:rStyle w:val="aff4"/>
          <w:rFonts w:hint="cs"/>
          <w:vanish/>
          <w:rtl/>
        </w:rPr>
        <w:instrText xml:space="preserve"> _</w:instrText>
      </w:r>
      <w:r w:rsidRPr="006D16A0">
        <w:rPr>
          <w:rStyle w:val="aff4"/>
          <w:rFonts w:hint="cs"/>
          <w:vanish/>
        </w:rPr>
        <w:instrText>Ref137574592 \r \h</w:instrText>
      </w:r>
      <w:r w:rsidRPr="006D16A0">
        <w:rPr>
          <w:rStyle w:val="aff4"/>
          <w:vanish/>
          <w:rtl/>
        </w:rPr>
        <w:instrText xml:space="preserve"> </w:instrText>
      </w:r>
      <w:r w:rsidRPr="006D16A0">
        <w:rPr>
          <w:rStyle w:val="aff4"/>
          <w:vanish/>
          <w:rtl/>
        </w:rPr>
      </w:r>
      <w:r w:rsidRPr="006D16A0">
        <w:rPr>
          <w:rStyle w:val="aff4"/>
          <w:vanish/>
          <w:rtl/>
        </w:rPr>
        <w:fldChar w:fldCharType="separate"/>
      </w:r>
      <w:r w:rsidR="00D82181">
        <w:rPr>
          <w:rStyle w:val="aff4"/>
          <w:vanish/>
          <w:cs/>
        </w:rPr>
        <w:t>‎</w:t>
      </w:r>
      <w:r w:rsidR="00D82181">
        <w:rPr>
          <w:rStyle w:val="aff4"/>
          <w:vanish/>
          <w:rtl/>
        </w:rPr>
        <w:t>יד)</w:t>
      </w:r>
      <w:r w:rsidRPr="006D16A0">
        <w:rPr>
          <w:rStyle w:val="aff4"/>
          <w:vanish/>
          <w:rtl/>
        </w:rPr>
        <w:fldChar w:fldCharType="end"/>
      </w:r>
      <w:r w:rsidRPr="006D16A0">
        <w:rPr>
          <w:rStyle w:val="aff4"/>
          <w:rFonts w:hint="cs"/>
          <w:vanish/>
          <w:rtl/>
        </w:rPr>
        <w:t xml:space="preserve"> &gt;</w:t>
      </w:r>
      <w:r w:rsidRPr="00BF56CC">
        <w:rPr>
          <w:rStyle w:val="aff4"/>
          <w:rFonts w:hint="cs"/>
          <w:rtl/>
        </w:rPr>
        <w:t>אגלי טל</w:t>
      </w:r>
      <w:r w:rsidRPr="006D16A0">
        <w:rPr>
          <w:rStyle w:val="aff4"/>
          <w:rFonts w:hint="cs"/>
          <w:vanish/>
          <w:rtl/>
        </w:rPr>
        <w:t>-</w:t>
      </w:r>
      <w:r>
        <w:rPr>
          <w:rFonts w:hint="cs"/>
          <w:rtl/>
        </w:rPr>
        <w:t xml:space="preserve"> </w:t>
      </w:r>
      <w:r w:rsidRPr="00D16BB6">
        <w:rPr>
          <w:rStyle w:val="af2"/>
          <w:rFonts w:eastAsia="Guttman Hodes" w:hint="cs"/>
          <w:rtl/>
        </w:rPr>
        <w:t>(בורר סקכ"ד אות א' בהגה"ה)</w:t>
      </w:r>
      <w:r w:rsidRPr="006D16A0">
        <w:rPr>
          <w:rFonts w:hint="cs"/>
          <w:vanish/>
          <w:rtl/>
        </w:rPr>
        <w:t>=</w:t>
      </w:r>
      <w:r>
        <w:rPr>
          <w:rFonts w:hint="cs"/>
          <w:rtl/>
        </w:rPr>
        <w:t xml:space="preserve"> דיש להסתפק אי גם בפלוגתת רב אשי ורב ירמיה מדיפתי לא גרס </w:t>
      </w:r>
      <w:r w:rsidRPr="006D16A0">
        <w:rPr>
          <w:rStyle w:val="aff4"/>
          <w:rFonts w:hint="cs"/>
          <w:vanish/>
          <w:rtl/>
        </w:rPr>
        <w:t>-</w:t>
      </w:r>
      <w:r w:rsidRPr="00BF56CC">
        <w:rPr>
          <w:rStyle w:val="aff4"/>
          <w:rFonts w:hint="cs"/>
          <w:rtl/>
        </w:rPr>
        <w:t>רש"י</w:t>
      </w:r>
      <w:r w:rsidRPr="006D16A0">
        <w:rPr>
          <w:rStyle w:val="aff4"/>
          <w:rFonts w:hint="cs"/>
          <w:vanish/>
          <w:rtl/>
        </w:rPr>
        <w:t>-</w:t>
      </w:r>
      <w:r>
        <w:rPr>
          <w:rFonts w:hint="cs"/>
          <w:rtl/>
        </w:rPr>
        <w:t xml:space="preserve"> "שני" מיני אוכלין, ואף דבגמ' לפנינו גרסינן כן, מ"מ </w:t>
      </w:r>
      <w:r w:rsidRPr="00D16BB6">
        <w:rPr>
          <w:rStyle w:val="aff4"/>
          <w:rFonts w:hint="cs"/>
          <w:vanish/>
          <w:rtl/>
        </w:rPr>
        <w:t>-</w:t>
      </w:r>
      <w:r w:rsidRPr="00D16BB6">
        <w:rPr>
          <w:rStyle w:val="aff4"/>
          <w:rFonts w:hint="cs"/>
          <w:rtl/>
        </w:rPr>
        <w:t>ב</w:t>
      </w:r>
      <w:r w:rsidRPr="00D16BB6">
        <w:rPr>
          <w:rStyle w:val="aff4"/>
          <w:rFonts w:hint="cs"/>
          <w:vanish/>
          <w:rtl/>
        </w:rPr>
        <w:t>&lt; &gt;</w:t>
      </w:r>
      <w:r w:rsidRPr="00D16BB6">
        <w:rPr>
          <w:rStyle w:val="aff4"/>
          <w:rFonts w:hint="cs"/>
          <w:rtl/>
        </w:rPr>
        <w:t>ר"ן על הרי"ף</w:t>
      </w:r>
      <w:r w:rsidRPr="00D16BB6">
        <w:rPr>
          <w:rStyle w:val="aff4"/>
          <w:rFonts w:hint="cs"/>
          <w:vanish/>
          <w:rtl/>
        </w:rPr>
        <w:t>-</w:t>
      </w:r>
      <w:r>
        <w:rPr>
          <w:rFonts w:hint="cs"/>
          <w:rtl/>
        </w:rPr>
        <w:t xml:space="preserve"> </w:t>
      </w:r>
      <w:r w:rsidRPr="00D16BB6">
        <w:rPr>
          <w:rStyle w:val="af2"/>
          <w:rFonts w:eastAsia="Guttman Hodes" w:hint="cs"/>
          <w:rtl/>
        </w:rPr>
        <w:t>(לב. מדה"ר ד"ה היו, מהדו' "עוז והדר</w:t>
      </w:r>
      <w:r>
        <w:rPr>
          <w:rStyle w:val="af2"/>
          <w:rFonts w:eastAsia="Guttman Hodes" w:hint="cs"/>
          <w:rtl/>
        </w:rPr>
        <w:t>"</w:t>
      </w:r>
      <w:r w:rsidRPr="00D16BB6">
        <w:rPr>
          <w:rStyle w:val="af2"/>
          <w:rFonts w:eastAsia="Guttman Hodes" w:hint="cs"/>
          <w:rtl/>
        </w:rPr>
        <w:t xml:space="preserve"> עמ' פ"ט)</w:t>
      </w:r>
      <w:r w:rsidRPr="00D16BB6">
        <w:rPr>
          <w:rFonts w:hint="cs"/>
          <w:vanish/>
          <w:rtl/>
        </w:rPr>
        <w:t>=</w:t>
      </w:r>
      <w:r>
        <w:rPr>
          <w:rFonts w:hint="cs"/>
          <w:rtl/>
        </w:rPr>
        <w:t xml:space="preserve"> </w:t>
      </w:r>
      <w:r w:rsidRPr="00D16BB6">
        <w:rPr>
          <w:rStyle w:val="aff4"/>
          <w:rFonts w:hint="cs"/>
          <w:vanish/>
          <w:rtl/>
        </w:rPr>
        <w:t>-</w:t>
      </w:r>
      <w:r w:rsidRPr="00D16BB6">
        <w:rPr>
          <w:rStyle w:val="aff4"/>
          <w:rFonts w:hint="cs"/>
          <w:rtl/>
        </w:rPr>
        <w:t>וב</w:t>
      </w:r>
      <w:r w:rsidRPr="00D16BB6">
        <w:rPr>
          <w:rStyle w:val="aff4"/>
          <w:rFonts w:hint="cs"/>
          <w:vanish/>
          <w:rtl/>
        </w:rPr>
        <w:t>&lt; &gt;</w:t>
      </w:r>
      <w:r w:rsidRPr="00D16BB6">
        <w:rPr>
          <w:rStyle w:val="aff4"/>
          <w:rFonts w:hint="cs"/>
          <w:rtl/>
        </w:rPr>
        <w:t>או"ז</w:t>
      </w:r>
      <w:r w:rsidRPr="00D16BB6">
        <w:rPr>
          <w:rStyle w:val="aff4"/>
          <w:rFonts w:hint="cs"/>
          <w:vanish/>
          <w:rtl/>
        </w:rPr>
        <w:t>-</w:t>
      </w:r>
      <w:r>
        <w:rPr>
          <w:rFonts w:hint="cs"/>
          <w:rtl/>
        </w:rPr>
        <w:t xml:space="preserve"> </w:t>
      </w:r>
      <w:r w:rsidRPr="00D16BB6">
        <w:rPr>
          <w:rStyle w:val="af2"/>
          <w:rFonts w:eastAsia="Guttman Hodes" w:hint="cs"/>
          <w:rtl/>
        </w:rPr>
        <w:t>(ח"ב שבת סי' נ"ט ד"ה ת"ר)</w:t>
      </w:r>
      <w:r w:rsidRPr="00D16BB6">
        <w:rPr>
          <w:rFonts w:hint="cs"/>
          <w:vanish/>
          <w:rtl/>
        </w:rPr>
        <w:t>=</w:t>
      </w:r>
      <w:r>
        <w:rPr>
          <w:rFonts w:hint="cs"/>
          <w:rtl/>
        </w:rPr>
        <w:t xml:space="preserve"> לא גרסו, וכתב </w:t>
      </w:r>
      <w:r w:rsidRPr="006D16A0">
        <w:rPr>
          <w:rStyle w:val="aff4"/>
          <w:rFonts w:hint="cs"/>
          <w:vanish/>
          <w:rtl/>
        </w:rPr>
        <w:t>-</w:t>
      </w:r>
      <w:r w:rsidRPr="00BF56CC">
        <w:rPr>
          <w:rStyle w:val="aff4"/>
          <w:rFonts w:hint="cs"/>
          <w:rtl/>
        </w:rPr>
        <w:t>האגלי טל</w:t>
      </w:r>
      <w:r w:rsidRPr="006D16A0">
        <w:rPr>
          <w:rStyle w:val="aff4"/>
          <w:rFonts w:hint="cs"/>
          <w:vanish/>
          <w:rtl/>
        </w:rPr>
        <w:t>-</w:t>
      </w:r>
      <w:r>
        <w:rPr>
          <w:rFonts w:hint="cs"/>
          <w:rtl/>
        </w:rPr>
        <w:t xml:space="preserve"> דאפש"ל </w:t>
      </w:r>
      <w:r w:rsidRPr="006D16A0">
        <w:rPr>
          <w:rStyle w:val="aff4"/>
          <w:rFonts w:hint="cs"/>
          <w:vanish/>
          <w:rtl/>
        </w:rPr>
        <w:t>-</w:t>
      </w:r>
      <w:r w:rsidRPr="00BF56CC">
        <w:rPr>
          <w:rStyle w:val="aff4"/>
          <w:rFonts w:hint="cs"/>
          <w:rtl/>
        </w:rPr>
        <w:t>דרש"י</w:t>
      </w:r>
      <w:r w:rsidRPr="006D16A0">
        <w:rPr>
          <w:rStyle w:val="aff4"/>
          <w:rFonts w:hint="cs"/>
          <w:vanish/>
          <w:rtl/>
        </w:rPr>
        <w:t>-</w:t>
      </w:r>
      <w:r>
        <w:rPr>
          <w:rFonts w:hint="cs"/>
          <w:rtl/>
        </w:rPr>
        <w:t xml:space="preserve"> ס"ל כדעת ריו"ח בירושלמי </w:t>
      </w:r>
      <w:r w:rsidRPr="00D16BB6">
        <w:rPr>
          <w:rStyle w:val="af2"/>
          <w:rFonts w:eastAsia="Guttman Hodes" w:hint="cs"/>
          <w:rtl/>
        </w:rPr>
        <w:t>(פ"ז ה"ב, מט:)</w:t>
      </w:r>
      <w:r>
        <w:rPr>
          <w:rFonts w:hint="cs"/>
          <w:rtl/>
        </w:rPr>
        <w:t xml:space="preserve"> דבאוכל מאוכל פטור אבל אסור, ולכן ל"ג כן גם בברייתא השניה דאין בזה חטאת, והביא </w:t>
      </w:r>
      <w:r w:rsidRPr="006D16A0">
        <w:rPr>
          <w:rStyle w:val="aff4"/>
          <w:rFonts w:hint="cs"/>
          <w:vanish/>
          <w:rtl/>
        </w:rPr>
        <w:t>-</w:t>
      </w:r>
      <w:r w:rsidRPr="00BF56CC">
        <w:rPr>
          <w:rStyle w:val="aff4"/>
          <w:rFonts w:hint="cs"/>
          <w:rtl/>
        </w:rPr>
        <w:t>האגלי טל</w:t>
      </w:r>
      <w:r w:rsidRPr="006D16A0">
        <w:rPr>
          <w:rStyle w:val="aff4"/>
          <w:rFonts w:hint="cs"/>
          <w:vanish/>
          <w:rtl/>
        </w:rPr>
        <w:t>-</w:t>
      </w:r>
      <w:r>
        <w:rPr>
          <w:rFonts w:hint="cs"/>
          <w:rtl/>
        </w:rPr>
        <w:t xml:space="preserve"> את מ"ש </w:t>
      </w:r>
      <w:r w:rsidRPr="006D16A0">
        <w:rPr>
          <w:rStyle w:val="aff4"/>
          <w:rFonts w:hint="cs"/>
          <w:vanish/>
          <w:rtl/>
        </w:rPr>
        <w:t>-</w:t>
      </w:r>
      <w:r w:rsidRPr="00BF56CC">
        <w:rPr>
          <w:rStyle w:val="aff4"/>
          <w:rFonts w:hint="cs"/>
          <w:rtl/>
        </w:rPr>
        <w:t>המגן אבות</w:t>
      </w:r>
      <w:r w:rsidRPr="006D16A0">
        <w:rPr>
          <w:rStyle w:val="aff4"/>
          <w:rFonts w:hint="cs"/>
          <w:vanish/>
          <w:rtl/>
        </w:rPr>
        <w:t>-</w:t>
      </w:r>
      <w:r>
        <w:rPr>
          <w:rFonts w:hint="cs"/>
          <w:rtl/>
        </w:rPr>
        <w:t xml:space="preserve"> </w:t>
      </w:r>
      <w:r w:rsidRPr="00D16BB6">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Ref137634310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יג)</w:t>
      </w:r>
      <w:r>
        <w:rPr>
          <w:rStyle w:val="af2"/>
          <w:rFonts w:eastAsia="Guttman Hodes"/>
          <w:rtl/>
        </w:rPr>
        <w:fldChar w:fldCharType="end"/>
      </w:r>
      <w:r>
        <w:rPr>
          <w:rFonts w:hint="cs"/>
          <w:rtl/>
        </w:rPr>
        <w:t xml:space="preserve"> </w:t>
      </w:r>
      <w:r w:rsidRPr="006D16A0">
        <w:rPr>
          <w:rStyle w:val="aff4"/>
          <w:rFonts w:hint="cs"/>
          <w:vanish/>
          <w:rtl/>
        </w:rPr>
        <w:t>-</w:t>
      </w:r>
      <w:r w:rsidRPr="00BF56CC">
        <w:rPr>
          <w:rStyle w:val="aff4"/>
          <w:rFonts w:hint="cs"/>
          <w:rtl/>
        </w:rPr>
        <w:t>והב"ח</w:t>
      </w:r>
      <w:r w:rsidRPr="006D16A0">
        <w:rPr>
          <w:rStyle w:val="aff4"/>
          <w:rFonts w:hint="cs"/>
          <w:vanish/>
          <w:rtl/>
        </w:rPr>
        <w:t>-</w:t>
      </w:r>
      <w:r>
        <w:rPr>
          <w:rFonts w:hint="cs"/>
          <w:rtl/>
        </w:rPr>
        <w:t xml:space="preserve"> </w:t>
      </w:r>
      <w:r w:rsidRPr="00D16BB6">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Ref137584962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יב)</w:t>
      </w:r>
      <w:r>
        <w:rPr>
          <w:rStyle w:val="af2"/>
          <w:rFonts w:eastAsia="Guttman Hodes"/>
          <w:rtl/>
        </w:rPr>
        <w:fldChar w:fldCharType="end"/>
      </w:r>
      <w:r>
        <w:rPr>
          <w:rFonts w:hint="cs"/>
          <w:rtl/>
        </w:rPr>
        <w:t xml:space="preserve"> דמדברי </w:t>
      </w:r>
      <w:r w:rsidRPr="006D16A0">
        <w:rPr>
          <w:rStyle w:val="aff4"/>
          <w:rFonts w:hint="cs"/>
          <w:vanish/>
          <w:rtl/>
        </w:rPr>
        <w:t>-</w:t>
      </w:r>
      <w:r w:rsidRPr="00BF56CC">
        <w:rPr>
          <w:rStyle w:val="aff4"/>
          <w:rFonts w:hint="cs"/>
          <w:rtl/>
        </w:rPr>
        <w:t>רש"י לקמן</w:t>
      </w:r>
      <w:r w:rsidRPr="006D16A0">
        <w:rPr>
          <w:rStyle w:val="aff4"/>
          <w:rFonts w:hint="cs"/>
          <w:vanish/>
          <w:rtl/>
        </w:rPr>
        <w:t>-</w:t>
      </w:r>
      <w:r>
        <w:rPr>
          <w:rFonts w:hint="cs"/>
          <w:rtl/>
        </w:rPr>
        <w:t xml:space="preserve"> </w:t>
      </w:r>
      <w:r w:rsidRPr="00D16BB6">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Ref137585016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ד)</w:t>
      </w:r>
      <w:r>
        <w:rPr>
          <w:rStyle w:val="af2"/>
          <w:rFonts w:eastAsia="Guttman Hodes"/>
          <w:rtl/>
        </w:rPr>
        <w:fldChar w:fldCharType="end"/>
      </w:r>
      <w:r>
        <w:rPr>
          <w:rFonts w:hint="cs"/>
          <w:rtl/>
        </w:rPr>
        <w:t xml:space="preserve"> לענין ברירת חלבון וחלמון מבואר דהוא מודה </w:t>
      </w:r>
      <w:r w:rsidRPr="006D16A0">
        <w:rPr>
          <w:rStyle w:val="aff4"/>
          <w:rFonts w:hint="cs"/>
          <w:vanish/>
          <w:rtl/>
        </w:rPr>
        <w:t>-</w:t>
      </w:r>
      <w:r w:rsidRPr="00BF56CC">
        <w:rPr>
          <w:rStyle w:val="aff4"/>
          <w:rFonts w:hint="cs"/>
          <w:rtl/>
        </w:rPr>
        <w:t>לתוס'</w:t>
      </w:r>
      <w:r w:rsidRPr="006D16A0">
        <w:rPr>
          <w:rStyle w:val="aff4"/>
          <w:rFonts w:hint="cs"/>
          <w:vanish/>
          <w:rtl/>
        </w:rPr>
        <w:t>-</w:t>
      </w:r>
      <w:r>
        <w:rPr>
          <w:rFonts w:hint="cs"/>
          <w:rtl/>
        </w:rPr>
        <w:t xml:space="preserve"> דשייך ברירה באוכל מאוכל ולכן ההיתר במסננת של חרדל הוא רק כיון דעושה כן לגוון, ודחה </w:t>
      </w:r>
      <w:r w:rsidRPr="006D16A0">
        <w:rPr>
          <w:rStyle w:val="aff4"/>
          <w:rFonts w:hint="cs"/>
          <w:vanish/>
          <w:rtl/>
        </w:rPr>
        <w:t>-</w:t>
      </w:r>
      <w:r w:rsidRPr="00BF56CC">
        <w:rPr>
          <w:rStyle w:val="aff4"/>
          <w:rFonts w:hint="cs"/>
          <w:rtl/>
        </w:rPr>
        <w:t>האגלי טל</w:t>
      </w:r>
      <w:r w:rsidRPr="006D16A0">
        <w:rPr>
          <w:rStyle w:val="aff4"/>
          <w:rFonts w:hint="cs"/>
          <w:vanish/>
          <w:rtl/>
        </w:rPr>
        <w:t>-</w:t>
      </w:r>
      <w:r>
        <w:rPr>
          <w:rFonts w:hint="cs"/>
          <w:rtl/>
        </w:rPr>
        <w:t xml:space="preserve"> דלריו"ח בב' מינים פטור אבל אסור, ולכן רק מחמת דעושה כן לגוון מותר.</w:t>
      </w:r>
      <w:bookmarkEnd w:id="2226"/>
      <w:r>
        <w:rPr>
          <w:rFonts w:hint="cs"/>
          <w:rtl/>
        </w:rPr>
        <w:t xml:space="preserve"> </w:t>
      </w:r>
    </w:p>
    <w:p w14:paraId="54D9F254" w14:textId="77777777" w:rsidR="00592982" w:rsidRPr="00747170" w:rsidRDefault="00592982" w:rsidP="00747170">
      <w:pPr>
        <w:pStyle w:val="a2"/>
        <w:rPr>
          <w:rtl/>
        </w:rPr>
      </w:pPr>
      <w:r w:rsidRPr="00747170">
        <w:rPr>
          <w:rtl/>
        </w:rPr>
        <w:t>ובאמת הדבר מסופק בעיני אם רש"י גורס בפלוגתא דר' ירמי' ור"א "שני" שאף שבגמ' שלפנינו כתיב "שני" הנה באו"ז ובר"ן לא נכתב גם בדר"י ור"א "שני" עי"ש. ואפשר דס"ל כר' יוחנן דירושלמי דפוטר אוכלין מתוך אוכלין. וראיתי במגן אבות שהביא ראי' שגם רש"י מודה להתוס' שגם באוכלין מתוך אוכלין שייך ברירה מהא [קלט ב] דנותנין ביצה במסננת של חרדל שאין נותנין אותו אלא למראה. ועי' פירש"י שם. ועפ"י פי' הב"ח דאי לאו שאין נותנין אלא למראה הי' נחשב בורר משום דחלמון וחלבון שני מינים דהרי דבשני מינים שייך ברירה. ולפמ"ש דס"ל כר' יוחנן דירושלמי אין קושיא משום דלר' יוחנן פטור אבל אסור והוצרך לטעם שאין נותנין אלא למראה שיהי' מותר:</w:t>
      </w:r>
    </w:p>
    <w:p w14:paraId="48326824" w14:textId="55E76AD5" w:rsidR="00592982" w:rsidRDefault="00592982" w:rsidP="00592982">
      <w:pPr>
        <w:pStyle w:val="afffff7"/>
        <w:rPr>
          <w:rtl/>
        </w:rPr>
      </w:pPr>
      <w:bookmarkStart w:id="2227" w:name="_Toc137742020"/>
      <w:bookmarkStart w:id="2228" w:name="_Toc163505787"/>
      <w:r>
        <w:rPr>
          <w:rtl/>
        </w:rPr>
        <w:t xml:space="preserve">ט"ז </w:t>
      </w:r>
      <w:r>
        <w:rPr>
          <w:rFonts w:hint="cs"/>
          <w:rtl/>
        </w:rPr>
        <w:t>או"ח</w:t>
      </w:r>
      <w:r>
        <w:rPr>
          <w:rtl/>
        </w:rPr>
        <w:t xml:space="preserve"> סי</w:t>
      </w:r>
      <w:r>
        <w:rPr>
          <w:rFonts w:hint="cs"/>
          <w:rtl/>
        </w:rPr>
        <w:t>'</w:t>
      </w:r>
      <w:r>
        <w:rPr>
          <w:rtl/>
        </w:rPr>
        <w:t xml:space="preserve"> שי</w:t>
      </w:r>
      <w:r>
        <w:rPr>
          <w:rFonts w:hint="cs"/>
          <w:rtl/>
        </w:rPr>
        <w:t>"</w:t>
      </w:r>
      <w:r>
        <w:rPr>
          <w:rtl/>
        </w:rPr>
        <w:t>ט</w:t>
      </w:r>
      <w:r>
        <w:rPr>
          <w:rFonts w:hint="cs"/>
          <w:rtl/>
        </w:rPr>
        <w:t xml:space="preserve"> סקי"ב</w:t>
      </w:r>
      <w:bookmarkEnd w:id="2227"/>
      <w:bookmarkEnd w:id="2228"/>
    </w:p>
    <w:p w14:paraId="50D20EEF" w14:textId="77777777" w:rsidR="00592982" w:rsidRDefault="00592982" w:rsidP="00592982">
      <w:pPr>
        <w:pStyle w:val="afffff7"/>
        <w:rPr>
          <w:rtl/>
        </w:rPr>
      </w:pPr>
      <w:bookmarkStart w:id="2229" w:name="_Toc137742021"/>
      <w:bookmarkStart w:id="2230" w:name="_Toc163505788"/>
      <w:r>
        <w:rPr>
          <w:rtl/>
        </w:rPr>
        <w:t>מחצית השקל אורח חיים סימן שיט ס"ק טז</w:t>
      </w:r>
      <w:bookmarkEnd w:id="2229"/>
      <w:bookmarkEnd w:id="2230"/>
    </w:p>
    <w:p w14:paraId="2593C935" w14:textId="77777777" w:rsidR="00592982" w:rsidRDefault="00592982" w:rsidP="00592982">
      <w:pPr>
        <w:pStyle w:val="afffff7"/>
        <w:rPr>
          <w:rtl/>
        </w:rPr>
      </w:pPr>
      <w:bookmarkStart w:id="2231" w:name="_Toc137742022"/>
      <w:bookmarkStart w:id="2232" w:name="_Toc163505789"/>
      <w:r>
        <w:rPr>
          <w:rtl/>
        </w:rPr>
        <w:t>עולת שבת סי</w:t>
      </w:r>
      <w:r>
        <w:rPr>
          <w:rFonts w:hint="cs"/>
          <w:rtl/>
        </w:rPr>
        <w:t>'</w:t>
      </w:r>
      <w:r>
        <w:rPr>
          <w:rtl/>
        </w:rPr>
        <w:t xml:space="preserve"> שי</w:t>
      </w:r>
      <w:r>
        <w:rPr>
          <w:rFonts w:hint="cs"/>
          <w:rtl/>
        </w:rPr>
        <w:t>"</w:t>
      </w:r>
      <w:r>
        <w:rPr>
          <w:rtl/>
        </w:rPr>
        <w:t>ט</w:t>
      </w:r>
      <w:r>
        <w:rPr>
          <w:rFonts w:hint="cs"/>
          <w:rtl/>
        </w:rPr>
        <w:t xml:space="preserve"> סקל"ב</w:t>
      </w:r>
      <w:bookmarkEnd w:id="2231"/>
      <w:bookmarkEnd w:id="2232"/>
    </w:p>
    <w:p w14:paraId="319ABCB0" w14:textId="77777777" w:rsidR="00592982" w:rsidRDefault="00592982" w:rsidP="00592982">
      <w:pPr>
        <w:pStyle w:val="a7"/>
        <w:rPr>
          <w:rtl/>
        </w:rPr>
      </w:pPr>
      <w:bookmarkStart w:id="2233" w:name="_Toc137741932"/>
      <w:r>
        <w:rPr>
          <w:rFonts w:hint="cs"/>
          <w:rtl/>
        </w:rPr>
        <w:t>בי' הט"ז והמחה"ש ועו"ש דחלמון וחלבון הם מין א' ובי' העו"ש דכפסולת מאוכל ומותר רק לגוון</w:t>
      </w:r>
      <w:bookmarkEnd w:id="2233"/>
    </w:p>
    <w:p w14:paraId="18457BE4" w14:textId="7DB3F9B7" w:rsidR="00592982" w:rsidRPr="00577403" w:rsidRDefault="00592982" w:rsidP="00BC7DC8">
      <w:pPr>
        <w:pStyle w:val="a3"/>
      </w:pPr>
      <w:bookmarkStart w:id="2234" w:name="_Ref137740598"/>
      <w:r>
        <w:rPr>
          <w:rFonts w:hint="cs"/>
          <w:rtl/>
        </w:rPr>
        <w:t xml:space="preserve">אך </w:t>
      </w:r>
      <w:r w:rsidRPr="00C15708">
        <w:rPr>
          <w:rStyle w:val="aff4"/>
          <w:rFonts w:hint="cs"/>
          <w:vanish/>
          <w:rtl/>
        </w:rPr>
        <w:t>-</w:t>
      </w:r>
      <w:r w:rsidRPr="00C15708">
        <w:rPr>
          <w:rStyle w:val="aff4"/>
          <w:rFonts w:hint="cs"/>
          <w:rtl/>
        </w:rPr>
        <w:t>ה</w:t>
      </w:r>
      <w:r w:rsidRPr="00C15708">
        <w:rPr>
          <w:rStyle w:val="aff4"/>
          <w:rFonts w:hint="cs"/>
          <w:vanish/>
          <w:rtl/>
        </w:rPr>
        <w:t xml:space="preserve">&lt;. </w:t>
      </w:r>
      <w:r w:rsidRPr="00C15708">
        <w:rPr>
          <w:rStyle w:val="aff4"/>
          <w:vanish/>
          <w:rtl/>
        </w:rPr>
        <w:fldChar w:fldCharType="begin"/>
      </w:r>
      <w:r w:rsidRPr="00C15708">
        <w:rPr>
          <w:rStyle w:val="aff4"/>
          <w:vanish/>
          <w:rtl/>
        </w:rPr>
        <w:instrText xml:space="preserve"> </w:instrText>
      </w:r>
      <w:r w:rsidRPr="00C15708">
        <w:rPr>
          <w:rStyle w:val="aff4"/>
          <w:rFonts w:hint="cs"/>
          <w:vanish/>
        </w:rPr>
        <w:instrText>REF</w:instrText>
      </w:r>
      <w:r w:rsidRPr="00C15708">
        <w:rPr>
          <w:rStyle w:val="aff4"/>
          <w:rFonts w:hint="cs"/>
          <w:vanish/>
          <w:rtl/>
        </w:rPr>
        <w:instrText xml:space="preserve"> _</w:instrText>
      </w:r>
      <w:r w:rsidRPr="00C15708">
        <w:rPr>
          <w:rStyle w:val="aff4"/>
          <w:rFonts w:hint="cs"/>
          <w:vanish/>
        </w:rPr>
        <w:instrText>Ref137740598 \r \h</w:instrText>
      </w:r>
      <w:r w:rsidRPr="00C15708">
        <w:rPr>
          <w:rStyle w:val="aff4"/>
          <w:vanish/>
          <w:rtl/>
        </w:rPr>
        <w:instrText xml:space="preserve"> </w:instrText>
      </w:r>
      <w:r>
        <w:rPr>
          <w:rStyle w:val="aff4"/>
          <w:vanish/>
          <w:rtl/>
        </w:rPr>
        <w:instrText xml:space="preserve"> \* </w:instrText>
      </w:r>
      <w:r>
        <w:rPr>
          <w:rStyle w:val="aff4"/>
          <w:vanish/>
        </w:rPr>
        <w:instrText>MERGEFORMAT</w:instrText>
      </w:r>
      <w:r>
        <w:rPr>
          <w:rStyle w:val="aff4"/>
          <w:vanish/>
          <w:rtl/>
        </w:rPr>
        <w:instrText xml:space="preserve"> </w:instrText>
      </w:r>
      <w:r w:rsidRPr="00C15708">
        <w:rPr>
          <w:rStyle w:val="aff4"/>
          <w:vanish/>
          <w:rtl/>
        </w:rPr>
      </w:r>
      <w:r w:rsidRPr="00C15708">
        <w:rPr>
          <w:rStyle w:val="aff4"/>
          <w:vanish/>
          <w:rtl/>
        </w:rPr>
        <w:fldChar w:fldCharType="separate"/>
      </w:r>
      <w:r w:rsidR="00D82181">
        <w:rPr>
          <w:rStyle w:val="aff4"/>
          <w:vanish/>
          <w:cs/>
        </w:rPr>
        <w:t>‎</w:t>
      </w:r>
      <w:r w:rsidR="00D82181">
        <w:rPr>
          <w:rStyle w:val="aff4"/>
          <w:vanish/>
          <w:rtl/>
        </w:rPr>
        <w:t>טו)</w:t>
      </w:r>
      <w:r w:rsidRPr="00C15708">
        <w:rPr>
          <w:rStyle w:val="aff4"/>
          <w:vanish/>
          <w:rtl/>
        </w:rPr>
        <w:fldChar w:fldCharType="end"/>
      </w:r>
      <w:r w:rsidRPr="00C15708">
        <w:rPr>
          <w:rStyle w:val="aff4"/>
          <w:rFonts w:hint="cs"/>
          <w:vanish/>
          <w:rtl/>
        </w:rPr>
        <w:t xml:space="preserve"> &gt;</w:t>
      </w:r>
      <w:r w:rsidRPr="00C15708">
        <w:rPr>
          <w:rStyle w:val="aff4"/>
          <w:rFonts w:hint="cs"/>
          <w:rtl/>
        </w:rPr>
        <w:t>ט"ז</w:t>
      </w:r>
      <w:r w:rsidRPr="00C15708">
        <w:rPr>
          <w:rStyle w:val="aff4"/>
          <w:rFonts w:hint="cs"/>
          <w:vanish/>
          <w:rtl/>
        </w:rPr>
        <w:t>-</w:t>
      </w:r>
      <w:r>
        <w:rPr>
          <w:rFonts w:hint="cs"/>
          <w:rtl/>
        </w:rPr>
        <w:t xml:space="preserve"> </w:t>
      </w:r>
      <w:r w:rsidRPr="00531A77">
        <w:rPr>
          <w:rStyle w:val="af2"/>
          <w:rFonts w:eastAsia="Guttman Hodes" w:hint="cs"/>
          <w:rtl/>
        </w:rPr>
        <w:t>(סי' שי"ט סקי"ב)</w:t>
      </w:r>
      <w:r w:rsidRPr="00C15708">
        <w:rPr>
          <w:rFonts w:hint="cs"/>
          <w:vanish/>
          <w:rtl/>
        </w:rPr>
        <w:t>=</w:t>
      </w:r>
      <w:r>
        <w:rPr>
          <w:rFonts w:hint="cs"/>
          <w:rtl/>
        </w:rPr>
        <w:t xml:space="preserve"> דחה את דברי </w:t>
      </w:r>
      <w:r w:rsidRPr="00C15708">
        <w:rPr>
          <w:rStyle w:val="aff4"/>
          <w:rFonts w:hint="cs"/>
          <w:vanish/>
          <w:rtl/>
        </w:rPr>
        <w:t>-</w:t>
      </w:r>
      <w:r w:rsidRPr="00C15708">
        <w:rPr>
          <w:rStyle w:val="aff4"/>
          <w:rFonts w:hint="cs"/>
          <w:rtl/>
        </w:rPr>
        <w:t>הב"ח</w:t>
      </w:r>
      <w:r w:rsidRPr="00C15708">
        <w:rPr>
          <w:rStyle w:val="aff4"/>
          <w:rFonts w:hint="cs"/>
          <w:vanish/>
          <w:rtl/>
        </w:rPr>
        <w:t>-</w:t>
      </w:r>
      <w:r>
        <w:rPr>
          <w:rFonts w:hint="cs"/>
          <w:rtl/>
        </w:rPr>
        <w:t xml:space="preserve"> </w:t>
      </w:r>
      <w:r w:rsidRPr="00531A77">
        <w:rPr>
          <w:rStyle w:val="af2"/>
          <w:rFonts w:eastAsia="Guttman Hodes" w:hint="cs"/>
          <w:rtl/>
        </w:rPr>
        <w:t>(עי' אות ?)</w:t>
      </w:r>
      <w:r>
        <w:rPr>
          <w:rFonts w:hint="cs"/>
          <w:rtl/>
        </w:rPr>
        <w:t xml:space="preserve"> וכתב דחלמון וחלבון הם מין אחד, וכתב </w:t>
      </w:r>
      <w:r w:rsidRPr="00C15708">
        <w:rPr>
          <w:rStyle w:val="aff4"/>
          <w:rFonts w:hint="cs"/>
          <w:vanish/>
          <w:rtl/>
        </w:rPr>
        <w:t>-</w:t>
      </w:r>
      <w:r w:rsidRPr="00C15708">
        <w:rPr>
          <w:rStyle w:val="aff4"/>
          <w:rFonts w:hint="cs"/>
          <w:rtl/>
        </w:rPr>
        <w:t>הט"ז</w:t>
      </w:r>
      <w:r w:rsidRPr="00C15708">
        <w:rPr>
          <w:rStyle w:val="aff4"/>
          <w:rFonts w:hint="cs"/>
          <w:vanish/>
          <w:rtl/>
        </w:rPr>
        <w:t>-</w:t>
      </w:r>
      <w:r>
        <w:rPr>
          <w:rFonts w:hint="cs"/>
          <w:rtl/>
        </w:rPr>
        <w:t xml:space="preserve"> דלפי דבריו </w:t>
      </w:r>
      <w:r w:rsidRPr="00531A77">
        <w:rPr>
          <w:rStyle w:val="af2"/>
          <w:rFonts w:eastAsia="Guttman Hodes" w:hint="cs"/>
          <w:rtl/>
        </w:rPr>
        <w:t>(עי' אות ?)</w:t>
      </w:r>
      <w:r>
        <w:rPr>
          <w:rFonts w:hint="cs"/>
          <w:rtl/>
        </w:rPr>
        <w:t xml:space="preserve"> דאף במין אחד שייך בורר מבואר דההיתר בביצה הוא רק כיון דעושה כן לגוון, ועי' במ"ש </w:t>
      </w:r>
      <w:r w:rsidRPr="00C15708">
        <w:rPr>
          <w:rStyle w:val="aff4"/>
          <w:rFonts w:hint="cs"/>
          <w:vanish/>
          <w:rtl/>
        </w:rPr>
        <w:t>-</w:t>
      </w:r>
      <w:r w:rsidRPr="00C15708">
        <w:rPr>
          <w:rStyle w:val="aff4"/>
          <w:rFonts w:hint="cs"/>
          <w:rtl/>
        </w:rPr>
        <w:t>ה</w:t>
      </w:r>
      <w:r w:rsidRPr="00C15708">
        <w:rPr>
          <w:rStyle w:val="aff4"/>
          <w:rFonts w:hint="cs"/>
          <w:vanish/>
          <w:rtl/>
        </w:rPr>
        <w:t>&lt; &gt;</w:t>
      </w:r>
      <w:r w:rsidRPr="00C15708">
        <w:rPr>
          <w:rStyle w:val="aff4"/>
          <w:rFonts w:hint="cs"/>
          <w:rtl/>
        </w:rPr>
        <w:t>מחצית השקל</w:t>
      </w:r>
      <w:r w:rsidRPr="00C15708">
        <w:rPr>
          <w:rStyle w:val="aff4"/>
          <w:rFonts w:hint="cs"/>
          <w:vanish/>
          <w:rtl/>
        </w:rPr>
        <w:t>-</w:t>
      </w:r>
      <w:r>
        <w:rPr>
          <w:rFonts w:hint="cs"/>
          <w:rtl/>
        </w:rPr>
        <w:t xml:space="preserve"> </w:t>
      </w:r>
      <w:r w:rsidRPr="00531A77">
        <w:rPr>
          <w:rStyle w:val="af2"/>
          <w:rFonts w:eastAsia="Guttman Hodes" w:hint="cs"/>
          <w:rtl/>
        </w:rPr>
        <w:t>(סי' שי"ט סקט"ז)</w:t>
      </w:r>
      <w:r w:rsidRPr="00C15708">
        <w:rPr>
          <w:rFonts w:hint="cs"/>
          <w:vanish/>
          <w:rtl/>
        </w:rPr>
        <w:t>=</w:t>
      </w:r>
      <w:r>
        <w:rPr>
          <w:rFonts w:hint="cs"/>
          <w:rtl/>
        </w:rPr>
        <w:t xml:space="preserve"> </w:t>
      </w:r>
      <w:r w:rsidRPr="00C15708">
        <w:rPr>
          <w:rStyle w:val="aff4"/>
          <w:rFonts w:hint="cs"/>
          <w:vanish/>
          <w:rtl/>
        </w:rPr>
        <w:t>-</w:t>
      </w:r>
      <w:r w:rsidRPr="00C15708">
        <w:rPr>
          <w:rStyle w:val="aff4"/>
          <w:rFonts w:hint="cs"/>
          <w:rtl/>
        </w:rPr>
        <w:t>וה</w:t>
      </w:r>
      <w:r w:rsidRPr="00C15708">
        <w:rPr>
          <w:rStyle w:val="aff4"/>
          <w:rFonts w:hint="cs"/>
          <w:vanish/>
          <w:rtl/>
        </w:rPr>
        <w:t>&lt; &gt;</w:t>
      </w:r>
      <w:r w:rsidRPr="00C15708">
        <w:rPr>
          <w:rStyle w:val="aff4"/>
          <w:rFonts w:hint="cs"/>
          <w:rtl/>
        </w:rPr>
        <w:t>עולת שבת</w:t>
      </w:r>
      <w:r w:rsidRPr="00C15708">
        <w:rPr>
          <w:rStyle w:val="aff4"/>
          <w:rFonts w:hint="cs"/>
          <w:vanish/>
          <w:rtl/>
        </w:rPr>
        <w:t>-</w:t>
      </w:r>
      <w:r>
        <w:rPr>
          <w:rFonts w:hint="cs"/>
          <w:rtl/>
        </w:rPr>
        <w:t xml:space="preserve"> </w:t>
      </w:r>
      <w:r w:rsidRPr="00531A77">
        <w:rPr>
          <w:rStyle w:val="af2"/>
          <w:rFonts w:eastAsia="Guttman Hodes" w:hint="cs"/>
          <w:rtl/>
        </w:rPr>
        <w:t>(סי' שי"ט סקל"ב)</w:t>
      </w:r>
      <w:r w:rsidRPr="00C15708">
        <w:rPr>
          <w:rFonts w:hint="cs"/>
          <w:vanish/>
          <w:rtl/>
        </w:rPr>
        <w:t>=</w:t>
      </w:r>
      <w:r>
        <w:rPr>
          <w:rFonts w:hint="cs"/>
          <w:rtl/>
        </w:rPr>
        <w:t xml:space="preserve"> דהם מין אחד ולכן מותר לסננם, והוסיף </w:t>
      </w:r>
      <w:r w:rsidRPr="00C15708">
        <w:rPr>
          <w:rStyle w:val="aff4"/>
          <w:rFonts w:hint="cs"/>
          <w:vanish/>
          <w:rtl/>
        </w:rPr>
        <w:t>-</w:t>
      </w:r>
      <w:r w:rsidRPr="00C15708">
        <w:rPr>
          <w:rStyle w:val="aff4"/>
          <w:rFonts w:hint="cs"/>
          <w:rtl/>
        </w:rPr>
        <w:t>העולת שבת</w:t>
      </w:r>
      <w:r w:rsidRPr="00C15708">
        <w:rPr>
          <w:rStyle w:val="aff4"/>
          <w:rFonts w:hint="cs"/>
          <w:vanish/>
          <w:rtl/>
        </w:rPr>
        <w:t>-</w:t>
      </w:r>
      <w:r>
        <w:rPr>
          <w:rFonts w:hint="cs"/>
          <w:rtl/>
        </w:rPr>
        <w:t xml:space="preserve"> דהא דהוצרכה הגמ' לומר דהייתר הוא כיון דעושה כן לגוון, כיון דהו"א דהחלבון שנשאר למעלה עם הפסולת חשיב כבורר פסולת מאוכל, וביארה הגמ' דאף החלמון שיורד למטה אינו אוכל דעושה כן רק  לגוון.</w:t>
      </w:r>
      <w:bookmarkEnd w:id="2234"/>
    </w:p>
    <w:p w14:paraId="3CAE8609" w14:textId="77777777" w:rsidR="00592982" w:rsidRPr="00747170" w:rsidRDefault="00592982" w:rsidP="00747170">
      <w:pPr>
        <w:pStyle w:val="a2"/>
      </w:pPr>
      <w:r w:rsidRPr="00747170">
        <w:rPr>
          <w:rtl/>
        </w:rPr>
        <w:t xml:space="preserve">(יב)  שהחלמון יורד למטה. בטור כ' וז"ל לא חשיב כבורר שהחלבון והחלמון שניהם אוכלין הם ואין נותנין אותו לתוכו אלא לתקן מראה החרדל הלכך לא חשיב כבורר אוכל מתוך הפסולת עכ"ל. יש בזה יתור ל' דודאי שניהם הם אוכלים ואין כאן פסולת אלא אוכל מתוך אוכל וע"כ הם מין א' דאל"כ היה לנו לאסור מטעם ב' מינים אף על פי ששניהם אוכל ולפי מש"ל בסי' זה בדעת הטור דאף באוכל מתוך אוכל אפי' במין א' שייך ברירה דהיינו מה שרוצה לאכול עתה הוא אוכל ומה שנשאר קרוי פסולת ניחא כאן דל"ת כיון דהוא רוצ' לאכול החלמון ממילא נשאר על החלבון שם פסולת לזה כ' דלא יאכל החלמון תיכף אלא נותנו לתת מראה על החרדל שיש כבר שם ונמצא שגם החלבון הוא אוכל כמו החלמון ומזה נסתייע לדברינו דלעיל לפי הנלע"ד: </w:t>
      </w:r>
    </w:p>
    <w:p w14:paraId="0E58E78E" w14:textId="77777777" w:rsidR="00592982" w:rsidRDefault="00592982" w:rsidP="00747170">
      <w:pPr>
        <w:pStyle w:val="afffff5"/>
        <w:rPr>
          <w:rtl/>
        </w:rPr>
      </w:pPr>
      <w:r>
        <w:rPr>
          <w:rtl/>
        </w:rPr>
        <w:t>אבל כו' משמע דזה מקרי מין אחד. דהמ"א ס"ק ה' הביא בשם מגיד משנה שהקשה מאי שנא דברירת עלין המעופשים שאינן אוכל כי אם על ידי הדחק אם בררן מן הירק ליכא כי אם שבות, ומחבץ ומשמר דמפריד הקום מן הגבינה או החמאה, או משמר דמפריד היין מן השמרים, הוי איסור תורה, והא גם הקום והשמרים הם אוכלים על ידי הדחק. ומאי קושיא, בשלמא עלין עם הירק הם מין אחד, אבל קום עם הגבינה או השמרים עם היין הם שני מינים. אלא על כרחך דסבירא ליה דגם הקום עם הגבינה והשמרים עם היין הם מין אחד כיון דמחוברים יחד מתחלתן, אם כן הוא הדין החלבון עם החלמון מהאי טעמא יקראו מין אחד, ולית בהו משום ברירה. וכתב על זה בספר תוספת שבת [ס"ק לא] וז"ל, ואיני מבין דבריו, דהא כתב שם בשם מגיד משנה דהיינו טעמא דמחבץ ומשמר אסור אף שהוא מין אחד כיון שהם דברים לחים, ואם כן מהאי טעמא גופיה ראוי לאסור גם הכא גבי חלבון וחלמון. ואפשר כו', ע"ש. ולענ"ד לא קשה מידי, דכבר כתבתי לעיל ס"ק ה' הסברא לחלק בין דברים לחים לדברים יבשים, דדברים לחים הם מתערבים זה עם זה והוה ליה ברירה גמורה כיון דנבללים זה עם זה, מה שאין כן דברים יבשים, אפילו מעורבין, כיון דאין נבללים זה עם זה לא שייך בהו ברירה כולי האי. אם כן בחלבון וחלמון, ניהו שהם דברים לחים, מכל מקום אין נבללים זה עם זה, וכל חד לחודיה קאי, ויש להם דין דברים יבשים:</w:t>
      </w:r>
    </w:p>
    <w:p w14:paraId="03B7F5BA" w14:textId="77777777" w:rsidR="00592982" w:rsidRDefault="00592982" w:rsidP="00747170">
      <w:pPr>
        <w:pStyle w:val="afffff5"/>
      </w:pPr>
      <w:r>
        <w:rPr>
          <w:rtl/>
        </w:rPr>
        <w:t>לב אף על פי שהחלמון וכו'. כלומר דאפילו הכי אין זה בורר, לפי שהחלבון והחלמון שניהם אוכלין הם ואין נותנין אותו לתוכו אלא לתקן מראה החרדל, והלכך אין כאן ברירת פסולת מתוך אוכל, ולפיכך מותר אפילו לכתחלה. וכן כתבו רש"י [קלט ע"ב ד"ה ונותנין] והר"ן [נז ע"ב] ז"ל. ואין להקשות הא כבר נתבאר בסעיף א' דאפילו בבורר אוכל מתוך אוכל איכא משום בורר. וי"ל דלעיל מיירי בשני מיני אוכלין כשבורר אחד מתוך חבירו נקרא בורר, אבל הכא מיירי במין אוכל אחד שהרי חלבון וחלמון מין אחד הם שהכל נקרא ביצה. והא דצריך בגמרא ליתן טעם לפי שאין עושין אותה אלא לגוון, פירוש שלא תימא כיון דהחלבון נשאר למעלה עם הפסולת והחלמון יורד למטה עם האוכל יהא כבורר פסולת מתוך אוכל, קמשמע לן דכיון שאין נותנים החלמון אלא לגוון ושניהם אוכל הם אלא שאין החלבון יפה למראה והחלמון יפה למראה. ובב"ח [ס"י] האריך בכאן ללא צורך ואשר כתבתי הוא הנכון לענ"ד. וכן מצאתי בר"ן [שם], וכן משמעות דברי רש"י בגמרא [קמ ע"א ד"ה לפי] למאן דמדקדק בדבריו עי"ש ודו"ק. כתב הב"ח [שם] דמיירי שנתן החרדל מערב שבת, דבשבת אסור שהרי עיקר יורד למטה והפסולת נשאר למעלה והוי בורר ממש, וצריך עיון לדינא:</w:t>
      </w:r>
    </w:p>
    <w:p w14:paraId="435A8A75" w14:textId="2E423CA6" w:rsidR="00592982" w:rsidRPr="007E5344" w:rsidRDefault="00592982" w:rsidP="00592982">
      <w:pPr>
        <w:pStyle w:val="1"/>
      </w:pPr>
      <w:bookmarkStart w:id="2235" w:name="_Toc137741933"/>
      <w:r>
        <w:rPr>
          <w:rFonts w:hint="cs"/>
          <w:rtl/>
        </w:rPr>
        <w:t>בי' החת"ס ברש"י דבאוכל מאוכל ל"ש אוכל מתוך פסולת כלל</w:t>
      </w:r>
      <w:bookmarkEnd w:id="2235"/>
    </w:p>
    <w:p w14:paraId="037E7297" w14:textId="77777777" w:rsidR="00592982" w:rsidRDefault="00592982" w:rsidP="00592982">
      <w:pPr>
        <w:pStyle w:val="afffff7"/>
        <w:rPr>
          <w:rtl/>
        </w:rPr>
      </w:pPr>
      <w:bookmarkStart w:id="2236" w:name="_Toc137742023"/>
      <w:bookmarkStart w:id="2237" w:name="_Toc163505790"/>
      <w:r>
        <w:rPr>
          <w:rtl/>
        </w:rPr>
        <w:t>חתם סופר שבת ע"ד ע"א</w:t>
      </w:r>
      <w:r>
        <w:rPr>
          <w:rFonts w:hint="cs"/>
          <w:rtl/>
        </w:rPr>
        <w:t xml:space="preserve"> ד"ה היו</w:t>
      </w:r>
      <w:bookmarkEnd w:id="2236"/>
      <w:bookmarkEnd w:id="2237"/>
    </w:p>
    <w:p w14:paraId="24FEB44B" w14:textId="77777777" w:rsidR="00592982" w:rsidRDefault="00592982" w:rsidP="00592982">
      <w:pPr>
        <w:pStyle w:val="a7"/>
        <w:rPr>
          <w:rtl/>
        </w:rPr>
      </w:pPr>
      <w:bookmarkStart w:id="2238" w:name="_Toc137741934"/>
      <w:r>
        <w:rPr>
          <w:rFonts w:hint="cs"/>
          <w:rtl/>
        </w:rPr>
        <w:t>בי' החת"ס ברש"י דבב' מינים יש בורר רק בפסולת מאוכל אבל להיפך לא נעשה השני לפסולת</w:t>
      </w:r>
      <w:bookmarkEnd w:id="2238"/>
    </w:p>
    <w:p w14:paraId="5A5765E1" w14:textId="2D70C2FB" w:rsidR="00592982" w:rsidRPr="00532C02" w:rsidRDefault="00592982" w:rsidP="00BC7DC8">
      <w:pPr>
        <w:pStyle w:val="a3"/>
        <w:rPr>
          <w:rtl/>
        </w:rPr>
      </w:pPr>
      <w:bookmarkStart w:id="2239" w:name="_Ref136812076"/>
      <w:r>
        <w:rPr>
          <w:rFonts w:hint="cs"/>
          <w:rtl/>
        </w:rPr>
        <w:t xml:space="preserve">בפלוגתת רב אשי ורב ירמיה מדפתי בב' מיני אוכלין, כתב </w:t>
      </w:r>
      <w:r w:rsidRPr="008B5AF8">
        <w:rPr>
          <w:rStyle w:val="aff4"/>
          <w:rFonts w:hint="cs"/>
          <w:vanish/>
          <w:rtl/>
        </w:rPr>
        <w:t>-</w:t>
      </w:r>
      <w:r w:rsidRPr="00A34B78">
        <w:rPr>
          <w:rStyle w:val="aff4"/>
          <w:rFonts w:hint="cs"/>
          <w:rtl/>
        </w:rPr>
        <w:t>ה</w:t>
      </w:r>
      <w:r w:rsidRPr="008B5AF8">
        <w:rPr>
          <w:rStyle w:val="aff4"/>
          <w:rFonts w:hint="cs"/>
          <w:vanish/>
          <w:rtl/>
        </w:rPr>
        <w:t xml:space="preserve">&lt;. </w:t>
      </w:r>
      <w:r w:rsidRPr="008B5AF8">
        <w:rPr>
          <w:rStyle w:val="aff4"/>
          <w:vanish/>
          <w:rtl/>
        </w:rPr>
        <w:fldChar w:fldCharType="begin"/>
      </w:r>
      <w:r w:rsidRPr="008B5AF8">
        <w:rPr>
          <w:rStyle w:val="aff4"/>
          <w:vanish/>
          <w:rtl/>
        </w:rPr>
        <w:instrText xml:space="preserve"> </w:instrText>
      </w:r>
      <w:r w:rsidRPr="008B5AF8">
        <w:rPr>
          <w:rStyle w:val="aff4"/>
          <w:rFonts w:hint="cs"/>
          <w:vanish/>
        </w:rPr>
        <w:instrText>REF</w:instrText>
      </w:r>
      <w:r w:rsidRPr="008B5AF8">
        <w:rPr>
          <w:rStyle w:val="aff4"/>
          <w:rFonts w:hint="cs"/>
          <w:vanish/>
          <w:rtl/>
        </w:rPr>
        <w:instrText xml:space="preserve"> _</w:instrText>
      </w:r>
      <w:r w:rsidRPr="008B5AF8">
        <w:rPr>
          <w:rStyle w:val="aff4"/>
          <w:rFonts w:hint="cs"/>
          <w:vanish/>
        </w:rPr>
        <w:instrText>Ref136812076 \r \h</w:instrText>
      </w:r>
      <w:r w:rsidRPr="008B5AF8">
        <w:rPr>
          <w:rStyle w:val="aff4"/>
          <w:vanish/>
          <w:rtl/>
        </w:rPr>
        <w:instrText xml:space="preserve"> </w:instrText>
      </w:r>
      <w:r w:rsidRPr="008B5AF8">
        <w:rPr>
          <w:rStyle w:val="aff4"/>
          <w:vanish/>
          <w:rtl/>
        </w:rPr>
      </w:r>
      <w:r w:rsidRPr="008B5AF8">
        <w:rPr>
          <w:rStyle w:val="aff4"/>
          <w:vanish/>
          <w:rtl/>
        </w:rPr>
        <w:fldChar w:fldCharType="separate"/>
      </w:r>
      <w:r w:rsidR="00D82181">
        <w:rPr>
          <w:rStyle w:val="aff4"/>
          <w:vanish/>
          <w:cs/>
        </w:rPr>
        <w:t>‎</w:t>
      </w:r>
      <w:r w:rsidR="00D82181">
        <w:rPr>
          <w:rStyle w:val="aff4"/>
          <w:vanish/>
          <w:rtl/>
        </w:rPr>
        <w:t>טז)</w:t>
      </w:r>
      <w:r w:rsidRPr="008B5AF8">
        <w:rPr>
          <w:rStyle w:val="aff4"/>
          <w:vanish/>
          <w:rtl/>
        </w:rPr>
        <w:fldChar w:fldCharType="end"/>
      </w:r>
      <w:r w:rsidRPr="008B5AF8">
        <w:rPr>
          <w:rStyle w:val="aff4"/>
          <w:rFonts w:hint="cs"/>
          <w:vanish/>
          <w:rtl/>
        </w:rPr>
        <w:t xml:space="preserve"> &gt;</w:t>
      </w:r>
      <w:r w:rsidRPr="00A34B78">
        <w:rPr>
          <w:rStyle w:val="aff4"/>
          <w:rFonts w:hint="cs"/>
          <w:rtl/>
        </w:rPr>
        <w:t>חת"ס</w:t>
      </w:r>
      <w:r w:rsidRPr="008B5AF8">
        <w:rPr>
          <w:rStyle w:val="aff4"/>
          <w:rFonts w:hint="cs"/>
          <w:vanish/>
          <w:rtl/>
        </w:rPr>
        <w:t>-</w:t>
      </w:r>
      <w:r>
        <w:rPr>
          <w:rFonts w:hint="cs"/>
          <w:rtl/>
        </w:rPr>
        <w:t xml:space="preserve"> </w:t>
      </w:r>
      <w:r w:rsidRPr="00D16BB6">
        <w:rPr>
          <w:rStyle w:val="af2"/>
          <w:rFonts w:eastAsia="Guttman Hodes" w:hint="cs"/>
          <w:rtl/>
        </w:rPr>
        <w:t>(ד"ה היו)</w:t>
      </w:r>
      <w:r w:rsidRPr="008B5AF8">
        <w:rPr>
          <w:rFonts w:hint="cs"/>
          <w:vanish/>
          <w:rtl/>
        </w:rPr>
        <w:t>=</w:t>
      </w:r>
      <w:r>
        <w:rPr>
          <w:rFonts w:hint="cs"/>
          <w:rtl/>
        </w:rPr>
        <w:t xml:space="preserve"> דאף דבברייתא </w:t>
      </w:r>
      <w:r w:rsidRPr="008B5AF8">
        <w:rPr>
          <w:rStyle w:val="aff4"/>
          <w:rFonts w:hint="cs"/>
          <w:vanish/>
          <w:rtl/>
        </w:rPr>
        <w:t>-</w:t>
      </w:r>
      <w:r w:rsidRPr="00A34B78">
        <w:rPr>
          <w:rStyle w:val="aff4"/>
          <w:rFonts w:hint="cs"/>
          <w:rtl/>
        </w:rPr>
        <w:t>רש"י</w:t>
      </w:r>
      <w:r w:rsidRPr="008B5AF8">
        <w:rPr>
          <w:rStyle w:val="aff4"/>
          <w:rFonts w:hint="cs"/>
          <w:vanish/>
          <w:rtl/>
        </w:rPr>
        <w:t>-</w:t>
      </w:r>
      <w:r>
        <w:rPr>
          <w:rFonts w:hint="cs"/>
          <w:rtl/>
        </w:rPr>
        <w:t xml:space="preserve"> </w:t>
      </w:r>
      <w:r w:rsidRPr="00D16BB6">
        <w:rPr>
          <w:rStyle w:val="af2"/>
          <w:rFonts w:eastAsia="Guttman Hodes" w:hint="cs"/>
          <w:rtl/>
        </w:rPr>
        <w:t xml:space="preserve">(עי' אות </w:t>
      </w:r>
      <w:r w:rsidRPr="00D16BB6">
        <w:rPr>
          <w:rStyle w:val="af2"/>
          <w:rFonts w:eastAsia="Guttman Hodes"/>
          <w:rtl/>
        </w:rPr>
        <w:fldChar w:fldCharType="begin"/>
      </w:r>
      <w:r w:rsidRPr="00D16BB6">
        <w:rPr>
          <w:rStyle w:val="af2"/>
          <w:rFonts w:eastAsia="Guttman Hodes"/>
          <w:rtl/>
        </w:rPr>
        <w:instrText xml:space="preserve"> </w:instrText>
      </w:r>
      <w:r w:rsidRPr="00D16BB6">
        <w:rPr>
          <w:rStyle w:val="af2"/>
          <w:rFonts w:eastAsia="Guttman Hodes" w:hint="cs"/>
        </w:rPr>
        <w:instrText>REF</w:instrText>
      </w:r>
      <w:r w:rsidRPr="00D16BB6">
        <w:rPr>
          <w:rStyle w:val="af2"/>
          <w:rFonts w:eastAsia="Guttman Hodes" w:hint="cs"/>
          <w:rtl/>
        </w:rPr>
        <w:instrText xml:space="preserve"> _</w:instrText>
      </w:r>
      <w:r w:rsidRPr="00D16BB6">
        <w:rPr>
          <w:rStyle w:val="af2"/>
          <w:rFonts w:eastAsia="Guttman Hodes" w:hint="cs"/>
        </w:rPr>
        <w:instrText>Ref137583936 \r \h</w:instrText>
      </w:r>
      <w:r w:rsidRPr="00D16BB6">
        <w:rPr>
          <w:rStyle w:val="af2"/>
          <w:rFonts w:eastAsia="Guttman Hodes"/>
          <w:rtl/>
        </w:rPr>
        <w:instrText xml:space="preserve"> </w:instrText>
      </w:r>
      <w:r w:rsidRPr="00D16BB6">
        <w:rPr>
          <w:rStyle w:val="af2"/>
          <w:rFonts w:eastAsia="Guttman Hodes"/>
          <w:rtl/>
        </w:rPr>
      </w:r>
      <w:r w:rsidRPr="00D16BB6">
        <w:rPr>
          <w:rStyle w:val="af2"/>
          <w:rFonts w:eastAsia="Guttman Hodes"/>
          <w:rtl/>
        </w:rPr>
        <w:fldChar w:fldCharType="separate"/>
      </w:r>
      <w:r w:rsidR="00D82181">
        <w:rPr>
          <w:rStyle w:val="af2"/>
          <w:rFonts w:eastAsia="Guttman Hodes"/>
          <w:cs/>
        </w:rPr>
        <w:t>‎</w:t>
      </w:r>
      <w:r w:rsidR="00D82181">
        <w:rPr>
          <w:rStyle w:val="af2"/>
          <w:rFonts w:eastAsia="Guttman Hodes"/>
          <w:rtl/>
        </w:rPr>
        <w:t>א)</w:t>
      </w:r>
      <w:r w:rsidRPr="00D16BB6">
        <w:rPr>
          <w:rStyle w:val="af2"/>
          <w:rFonts w:eastAsia="Guttman Hodes"/>
          <w:rtl/>
        </w:rPr>
        <w:fldChar w:fldCharType="end"/>
      </w:r>
      <w:r>
        <w:rPr>
          <w:rFonts w:hint="cs"/>
          <w:rtl/>
        </w:rPr>
        <w:t xml:space="preserve"> </w:t>
      </w:r>
      <w:r w:rsidRPr="008B5AF8">
        <w:rPr>
          <w:rFonts w:hint="cs"/>
          <w:rtl/>
        </w:rPr>
        <w:t>לא גרס "שני" מיני אוכלין, מ"מ לדינא מודה דיש בזה בורר, רק לענין פסולת מתוך אוכל, ולא לענין</w:t>
      </w:r>
      <w:r>
        <w:rPr>
          <w:rFonts w:hint="cs"/>
          <w:rtl/>
        </w:rPr>
        <w:t xml:space="preserve"> </w:t>
      </w:r>
      <w:r w:rsidRPr="008B5AF8">
        <w:rPr>
          <w:rFonts w:hint="cs"/>
          <w:rtl/>
        </w:rPr>
        <w:t xml:space="preserve">אוכל מתוך פסולת, דכל שבורר את המין שאינו רוצה עכשיו הוא ומניחו, בעצם מחשבתו ומעשה הברירה הוא נותן למין הזה שם פסולת, אבל כשבורר את המין שרוצה לאכול עכשיו, א"א לומר דהמין שמניח נעשה פסולת עי"ז, דיתכן שאח"כ יאכל גם את המין שהשאיר, וכתב </w:t>
      </w:r>
      <w:r w:rsidRPr="00D16BB6">
        <w:rPr>
          <w:rStyle w:val="aff4"/>
          <w:rFonts w:hint="cs"/>
          <w:vanish/>
          <w:rtl/>
        </w:rPr>
        <w:t>-</w:t>
      </w:r>
      <w:r w:rsidRPr="00D16BB6">
        <w:rPr>
          <w:rStyle w:val="aff4"/>
          <w:rFonts w:hint="cs"/>
          <w:rtl/>
        </w:rPr>
        <w:t>החת"ס</w:t>
      </w:r>
      <w:r w:rsidRPr="00D16BB6">
        <w:rPr>
          <w:rStyle w:val="aff4"/>
          <w:rFonts w:hint="cs"/>
          <w:vanish/>
          <w:rtl/>
        </w:rPr>
        <w:t>-</w:t>
      </w:r>
      <w:r w:rsidRPr="008B5AF8">
        <w:rPr>
          <w:rFonts w:hint="cs"/>
          <w:rtl/>
        </w:rPr>
        <w:t xml:space="preserve"> דכיון דהגמ' רצתה להעמיד את הברייתא באוכל מתוך פסולת, מזה הוכיח </w:t>
      </w:r>
      <w:r w:rsidRPr="00D16BB6">
        <w:rPr>
          <w:rStyle w:val="aff4"/>
          <w:rFonts w:hint="cs"/>
          <w:vanish/>
          <w:rtl/>
        </w:rPr>
        <w:t>-</w:t>
      </w:r>
      <w:r w:rsidRPr="00D16BB6">
        <w:rPr>
          <w:rStyle w:val="aff4"/>
          <w:rFonts w:hint="cs"/>
          <w:rtl/>
        </w:rPr>
        <w:t>רש"י</w:t>
      </w:r>
      <w:r w:rsidRPr="00D16BB6">
        <w:rPr>
          <w:rStyle w:val="aff4"/>
          <w:rFonts w:hint="cs"/>
          <w:vanish/>
          <w:rtl/>
        </w:rPr>
        <w:t>-</w:t>
      </w:r>
      <w:r w:rsidRPr="008B5AF8">
        <w:rPr>
          <w:rFonts w:hint="cs"/>
          <w:rtl/>
        </w:rPr>
        <w:t xml:space="preserve"> דל"ג בברייתא "שני" מיני אוכלין, אבל בפלוגתת רב אשי ורב ירמיה מדפתי דגרס </w:t>
      </w:r>
      <w:r w:rsidRPr="00D16BB6">
        <w:rPr>
          <w:rStyle w:val="aff4"/>
          <w:rFonts w:hint="cs"/>
          <w:vanish/>
          <w:rtl/>
        </w:rPr>
        <w:t>-</w:t>
      </w:r>
      <w:r w:rsidRPr="00D16BB6">
        <w:rPr>
          <w:rStyle w:val="aff4"/>
          <w:rFonts w:hint="cs"/>
          <w:rtl/>
        </w:rPr>
        <w:t>רש"י</w:t>
      </w:r>
      <w:r w:rsidRPr="00D16BB6">
        <w:rPr>
          <w:rStyle w:val="aff4"/>
          <w:rFonts w:hint="cs"/>
          <w:vanish/>
          <w:rtl/>
        </w:rPr>
        <w:t>-</w:t>
      </w:r>
      <w:r w:rsidRPr="008B5AF8">
        <w:rPr>
          <w:rFonts w:hint="cs"/>
          <w:rtl/>
        </w:rPr>
        <w:t xml:space="preserve"> </w:t>
      </w:r>
      <w:r w:rsidRPr="00D16BB6">
        <w:rPr>
          <w:rStyle w:val="af2"/>
          <w:rFonts w:eastAsia="Guttman Hodes" w:hint="cs"/>
          <w:rtl/>
        </w:rPr>
        <w:t xml:space="preserve">(עי' אות </w:t>
      </w:r>
      <w:r w:rsidRPr="00D16BB6">
        <w:rPr>
          <w:rStyle w:val="af2"/>
          <w:rFonts w:eastAsia="Guttman Hodes"/>
          <w:rtl/>
        </w:rPr>
        <w:fldChar w:fldCharType="begin"/>
      </w:r>
      <w:r w:rsidRPr="00D16BB6">
        <w:rPr>
          <w:rStyle w:val="af2"/>
          <w:rFonts w:eastAsia="Guttman Hodes"/>
          <w:rtl/>
        </w:rPr>
        <w:instrText xml:space="preserve"> </w:instrText>
      </w:r>
      <w:r w:rsidRPr="00D16BB6">
        <w:rPr>
          <w:rStyle w:val="af2"/>
          <w:rFonts w:eastAsia="Guttman Hodes" w:hint="cs"/>
        </w:rPr>
        <w:instrText>REF</w:instrText>
      </w:r>
      <w:r w:rsidRPr="00D16BB6">
        <w:rPr>
          <w:rStyle w:val="af2"/>
          <w:rFonts w:eastAsia="Guttman Hodes" w:hint="cs"/>
          <w:rtl/>
        </w:rPr>
        <w:instrText xml:space="preserve"> _</w:instrText>
      </w:r>
      <w:r w:rsidRPr="00D16BB6">
        <w:rPr>
          <w:rStyle w:val="af2"/>
          <w:rFonts w:eastAsia="Guttman Hodes" w:hint="cs"/>
        </w:rPr>
        <w:instrText>Ref136812066 \r \h</w:instrText>
      </w:r>
      <w:r w:rsidRPr="00D16BB6">
        <w:rPr>
          <w:rStyle w:val="af2"/>
          <w:rFonts w:eastAsia="Guttman Hodes"/>
          <w:rtl/>
        </w:rPr>
        <w:instrText xml:space="preserve"> </w:instrText>
      </w:r>
      <w:r w:rsidRPr="00D16BB6">
        <w:rPr>
          <w:rStyle w:val="af2"/>
          <w:rFonts w:eastAsia="Guttman Hodes"/>
          <w:rtl/>
        </w:rPr>
      </w:r>
      <w:r w:rsidRPr="00D16BB6">
        <w:rPr>
          <w:rStyle w:val="af2"/>
          <w:rFonts w:eastAsia="Guttman Hodes"/>
          <w:rtl/>
        </w:rPr>
        <w:fldChar w:fldCharType="separate"/>
      </w:r>
      <w:r w:rsidR="00D82181">
        <w:rPr>
          <w:rStyle w:val="af2"/>
          <w:rFonts w:eastAsia="Guttman Hodes"/>
          <w:cs/>
        </w:rPr>
        <w:t>‎</w:t>
      </w:r>
      <w:r w:rsidR="00D82181">
        <w:rPr>
          <w:rStyle w:val="af2"/>
          <w:rFonts w:eastAsia="Guttman Hodes"/>
          <w:rtl/>
        </w:rPr>
        <w:t>ב)</w:t>
      </w:r>
      <w:r w:rsidRPr="00D16BB6">
        <w:rPr>
          <w:rStyle w:val="af2"/>
          <w:rFonts w:eastAsia="Guttman Hodes"/>
          <w:rtl/>
        </w:rPr>
        <w:fldChar w:fldCharType="end"/>
      </w:r>
      <w:r>
        <w:rPr>
          <w:rFonts w:hint="cs"/>
          <w:rtl/>
        </w:rPr>
        <w:t xml:space="preserve"> ב' מיני אוכלין מוכח </w:t>
      </w:r>
      <w:r w:rsidRPr="00532C02">
        <w:rPr>
          <w:rFonts w:hint="cs"/>
          <w:rtl/>
        </w:rPr>
        <w:t>דאיירי בפסולת מתוך אוכל</w:t>
      </w:r>
      <w:r>
        <w:rPr>
          <w:rFonts w:hint="cs"/>
          <w:rtl/>
        </w:rPr>
        <w:t xml:space="preserve">, </w:t>
      </w:r>
      <w:r w:rsidRPr="00532C02">
        <w:rPr>
          <w:rFonts w:hint="cs"/>
          <w:rtl/>
        </w:rPr>
        <w:t xml:space="preserve">ואפ"ה מבואר בגמ' דיש חילוק בין קנון ותמחוי </w:t>
      </w:r>
      <w:r>
        <w:rPr>
          <w:rFonts w:hint="cs"/>
          <w:rtl/>
        </w:rPr>
        <w:t xml:space="preserve">דפטור </w:t>
      </w:r>
      <w:r w:rsidRPr="00532C02">
        <w:rPr>
          <w:rFonts w:hint="cs"/>
          <w:rtl/>
        </w:rPr>
        <w:t>לנפה וכברה</w:t>
      </w:r>
      <w:r>
        <w:rPr>
          <w:rFonts w:hint="cs"/>
          <w:rtl/>
        </w:rPr>
        <w:t xml:space="preserve"> דחייב, וציין </w:t>
      </w:r>
      <w:r w:rsidRPr="008B5AF8">
        <w:rPr>
          <w:rStyle w:val="aff4"/>
          <w:rFonts w:hint="cs"/>
          <w:vanish/>
          <w:rtl/>
        </w:rPr>
        <w:t>-</w:t>
      </w:r>
      <w:r w:rsidRPr="00DA4E7A">
        <w:rPr>
          <w:rStyle w:val="aff4"/>
          <w:rFonts w:hint="cs"/>
          <w:rtl/>
        </w:rPr>
        <w:t>החת"ס</w:t>
      </w:r>
      <w:r w:rsidRPr="008B5AF8">
        <w:rPr>
          <w:rStyle w:val="aff4"/>
          <w:rFonts w:hint="cs"/>
          <w:vanish/>
          <w:rtl/>
        </w:rPr>
        <w:t>-</w:t>
      </w:r>
      <w:r>
        <w:rPr>
          <w:rFonts w:hint="cs"/>
          <w:rtl/>
        </w:rPr>
        <w:t xml:space="preserve"> לדברי </w:t>
      </w:r>
      <w:r w:rsidRPr="008B5AF8">
        <w:rPr>
          <w:rStyle w:val="aff4"/>
          <w:rFonts w:hint="cs"/>
          <w:vanish/>
          <w:rtl/>
        </w:rPr>
        <w:t>-</w:t>
      </w:r>
      <w:r w:rsidRPr="0033415B">
        <w:rPr>
          <w:rStyle w:val="aff4"/>
          <w:rFonts w:hint="cs"/>
          <w:rtl/>
        </w:rPr>
        <w:t xml:space="preserve"> </w:t>
      </w:r>
      <w:r w:rsidRPr="009577B1">
        <w:rPr>
          <w:rStyle w:val="aff4"/>
          <w:rFonts w:hint="cs"/>
          <w:rtl/>
        </w:rPr>
        <w:t>ה</w:t>
      </w:r>
      <w:r w:rsidRPr="00D16BB6">
        <w:rPr>
          <w:rFonts w:hint="cs"/>
          <w:vanish/>
          <w:rtl/>
        </w:rPr>
        <w:t>&lt; &gt;</w:t>
      </w:r>
      <w:r w:rsidRPr="009577B1">
        <w:rPr>
          <w:rStyle w:val="aff4"/>
          <w:rFonts w:hint="cs"/>
          <w:rtl/>
        </w:rPr>
        <w:t>ר"ן על הרי"ף</w:t>
      </w:r>
      <w:r w:rsidRPr="00D16BB6">
        <w:rPr>
          <w:rStyle w:val="aff4"/>
          <w:rFonts w:hint="cs"/>
          <w:vanish/>
          <w:rtl/>
        </w:rPr>
        <w:t>-</w:t>
      </w:r>
      <w:r w:rsidRPr="00D16BB6">
        <w:rPr>
          <w:rStyle w:val="aff4"/>
          <w:rFonts w:hint="cs"/>
          <w:rtl/>
        </w:rPr>
        <w:t xml:space="preserve"> </w:t>
      </w:r>
      <w:r w:rsidRPr="00D16BB6">
        <w:rPr>
          <w:rStyle w:val="af2"/>
          <w:rFonts w:eastAsia="Guttman Hodes" w:hint="cs"/>
          <w:rtl/>
        </w:rPr>
        <w:t>(לב. מדה"ר ד"ה היו, מהדו' "עוז והדר</w:t>
      </w:r>
      <w:r>
        <w:rPr>
          <w:rStyle w:val="af2"/>
          <w:rFonts w:eastAsia="Guttman Hodes" w:hint="cs"/>
          <w:rtl/>
        </w:rPr>
        <w:t>"</w:t>
      </w:r>
      <w:r w:rsidRPr="00D16BB6">
        <w:rPr>
          <w:rStyle w:val="af2"/>
          <w:rFonts w:eastAsia="Guttman Hodes" w:hint="cs"/>
          <w:rtl/>
        </w:rPr>
        <w:t xml:space="preserve"> עמ' פ"ט</w:t>
      </w:r>
      <w:r w:rsidRPr="009577B1">
        <w:rPr>
          <w:rStyle w:val="af2"/>
          <w:rFonts w:eastAsia="Guttman Hodes" w:hint="cs"/>
          <w:rtl/>
        </w:rPr>
        <w:t>)</w:t>
      </w:r>
      <w:r w:rsidRPr="009577B1">
        <w:rPr>
          <w:rFonts w:hint="cs"/>
          <w:vanish/>
          <w:rtl/>
        </w:rPr>
        <w:t>=</w:t>
      </w:r>
      <w:r>
        <w:rPr>
          <w:rFonts w:hint="cs"/>
          <w:rtl/>
        </w:rPr>
        <w:t>.</w:t>
      </w:r>
      <w:bookmarkEnd w:id="2239"/>
    </w:p>
    <w:p w14:paraId="65EC5143" w14:textId="77777777" w:rsidR="00592982" w:rsidRPr="00747170" w:rsidRDefault="00592982" w:rsidP="00747170">
      <w:pPr>
        <w:pStyle w:val="a2"/>
        <w:rPr>
          <w:rtl/>
        </w:rPr>
      </w:pPr>
      <w:r w:rsidRPr="00747170">
        <w:rPr>
          <w:rtl/>
        </w:rPr>
        <w:t>היו לפניו ב' מיני אוכלין וכו'. הנה לעיל בברייתא לא גרס רש"י ב' מיני אוכלין נ"ל דלא פליג רש"י אהדין גופי' אלא ס"ל לא שייך בורר אוכל מתוך הפסולת בשני מיני אוכלין. בשלמא כשבורר מה שאינו רוצה לאכול עתה ומניחו מן הצד מחשבתו ומעשה ההנחה משוי' ליה כפסולת מתוך אוכל, אבל כשבורר מה שרוצה לאכול עתה ומניח מין אחר בקערה בזאת ההנחה לא נעשה הנשאר כפסולת דנימא שבורר אוכל מתוך הפסולת, דדילמא עדיין יאכל גם הנשאר, וא"כ בשמעתין דהוה בעי לאוקמי בבורר אוכל מתוך הפסולת א"א בגירסא ב' מינים, ולפ"ז בהך דאמוראי דגרס ב' מינים ע"כ מיירי מפסולת מתוך האוכל ואפ"ה מחלק בין קנון ותמחוי לנפה וכברה, עיין ר"ן:</w:t>
      </w:r>
    </w:p>
    <w:p w14:paraId="35F66017" w14:textId="77777777" w:rsidR="00592982" w:rsidRDefault="00592982" w:rsidP="00592982">
      <w:pPr>
        <w:pStyle w:val="a7"/>
        <w:rPr>
          <w:rtl/>
        </w:rPr>
      </w:pPr>
    </w:p>
    <w:p w14:paraId="47D129A6" w14:textId="77777777" w:rsidR="00592982" w:rsidRDefault="00592982" w:rsidP="00592982">
      <w:pPr>
        <w:pStyle w:val="a7"/>
        <w:rPr>
          <w:rtl/>
        </w:rPr>
      </w:pPr>
    </w:p>
    <w:p w14:paraId="3E37903C" w14:textId="77777777" w:rsidR="00592982" w:rsidRPr="00A03956" w:rsidRDefault="00592982" w:rsidP="00592982">
      <w:pPr>
        <w:pStyle w:val="a7"/>
        <w:rPr>
          <w:rtl/>
        </w:rPr>
      </w:pPr>
    </w:p>
    <w:p w14:paraId="74A519D9" w14:textId="77777777" w:rsidR="00592982" w:rsidRDefault="00592982" w:rsidP="00592982">
      <w:pPr>
        <w:pStyle w:val="1"/>
        <w:rPr>
          <w:rtl/>
        </w:rPr>
      </w:pPr>
      <w:bookmarkStart w:id="2240" w:name="_Toc137741935"/>
      <w:r>
        <w:rPr>
          <w:rFonts w:hint="cs"/>
          <w:rtl/>
        </w:rPr>
        <w:lastRenderedPageBreak/>
        <w:t>בי' ההשלמה דהוי בורר רק במין א' ראוי חי והב' צריך בישול</w:t>
      </w:r>
      <w:bookmarkEnd w:id="2240"/>
    </w:p>
    <w:p w14:paraId="7CDD81AE" w14:textId="77777777" w:rsidR="00592982" w:rsidRDefault="00592982" w:rsidP="00592982">
      <w:pPr>
        <w:pStyle w:val="afffff7"/>
        <w:rPr>
          <w:rtl/>
        </w:rPr>
      </w:pPr>
      <w:bookmarkStart w:id="2241" w:name="_Toc137742024"/>
      <w:bookmarkStart w:id="2242" w:name="_Toc163505791"/>
      <w:r>
        <w:rPr>
          <w:rtl/>
        </w:rPr>
        <w:t>ההשלמה שבת ע"ד ע"א</w:t>
      </w:r>
      <w:r>
        <w:rPr>
          <w:rFonts w:hint="cs"/>
          <w:rtl/>
        </w:rPr>
        <w:t xml:space="preserve"> אות ו' ד"ה הרב אלפסי</w:t>
      </w:r>
      <w:bookmarkEnd w:id="2241"/>
      <w:bookmarkEnd w:id="2242"/>
    </w:p>
    <w:p w14:paraId="58C4E71F" w14:textId="77777777" w:rsidR="00592982" w:rsidRDefault="00592982" w:rsidP="00592982">
      <w:pPr>
        <w:pStyle w:val="a7"/>
        <w:rPr>
          <w:rtl/>
        </w:rPr>
      </w:pPr>
      <w:bookmarkStart w:id="2243" w:name="_Toc137741936"/>
      <w:r>
        <w:rPr>
          <w:rFonts w:hint="cs"/>
          <w:rtl/>
        </w:rPr>
        <w:t>בי' ההשלמה ברי"ף דבורר באוכל מאוכל רק בא' ראוי לאכילה חי והב' בבישול ודחאו המאירי</w:t>
      </w:r>
      <w:bookmarkEnd w:id="2243"/>
    </w:p>
    <w:p w14:paraId="14E3744B" w14:textId="20E1321E" w:rsidR="00592982" w:rsidRDefault="00592982" w:rsidP="00BC7DC8">
      <w:pPr>
        <w:pStyle w:val="a3"/>
      </w:pPr>
      <w:bookmarkStart w:id="2244" w:name="_Ref136886498"/>
      <w:r>
        <w:rPr>
          <w:rFonts w:hint="cs"/>
          <w:rtl/>
        </w:rPr>
        <w:t xml:space="preserve">הביא </w:t>
      </w:r>
      <w:r w:rsidRPr="00A91E2E">
        <w:rPr>
          <w:rStyle w:val="aff4"/>
          <w:rFonts w:hint="cs"/>
          <w:vanish/>
          <w:rtl/>
        </w:rPr>
        <w:t>-</w:t>
      </w:r>
      <w:r w:rsidRPr="007439A4">
        <w:rPr>
          <w:rStyle w:val="aff4"/>
          <w:rFonts w:hint="cs"/>
          <w:rtl/>
        </w:rPr>
        <w:t>ה</w:t>
      </w:r>
      <w:r w:rsidRPr="00A91E2E">
        <w:rPr>
          <w:rStyle w:val="aff4"/>
          <w:rFonts w:hint="cs"/>
          <w:vanish/>
          <w:rtl/>
        </w:rPr>
        <w:t xml:space="preserve">&lt;. </w:t>
      </w:r>
      <w:r w:rsidRPr="00A91E2E">
        <w:rPr>
          <w:rStyle w:val="aff4"/>
          <w:vanish/>
          <w:rtl/>
        </w:rPr>
        <w:fldChar w:fldCharType="begin"/>
      </w:r>
      <w:r w:rsidRPr="00A91E2E">
        <w:rPr>
          <w:rStyle w:val="aff4"/>
          <w:vanish/>
          <w:rtl/>
        </w:rPr>
        <w:instrText xml:space="preserve"> </w:instrText>
      </w:r>
      <w:r w:rsidRPr="00A91E2E">
        <w:rPr>
          <w:rStyle w:val="aff4"/>
          <w:rFonts w:hint="cs"/>
          <w:vanish/>
        </w:rPr>
        <w:instrText>REF</w:instrText>
      </w:r>
      <w:r w:rsidRPr="00A91E2E">
        <w:rPr>
          <w:rStyle w:val="aff4"/>
          <w:rFonts w:hint="cs"/>
          <w:vanish/>
          <w:rtl/>
        </w:rPr>
        <w:instrText xml:space="preserve"> _</w:instrText>
      </w:r>
      <w:r w:rsidRPr="00A91E2E">
        <w:rPr>
          <w:rStyle w:val="aff4"/>
          <w:rFonts w:hint="cs"/>
          <w:vanish/>
        </w:rPr>
        <w:instrText>Ref136886498 \r \h</w:instrText>
      </w:r>
      <w:r w:rsidRPr="00A91E2E">
        <w:rPr>
          <w:rStyle w:val="aff4"/>
          <w:vanish/>
          <w:rtl/>
        </w:rPr>
        <w:instrText xml:space="preserve"> </w:instrText>
      </w:r>
      <w:r w:rsidRPr="00A91E2E">
        <w:rPr>
          <w:rStyle w:val="aff4"/>
          <w:vanish/>
          <w:rtl/>
        </w:rPr>
      </w:r>
      <w:r w:rsidRPr="00A91E2E">
        <w:rPr>
          <w:rStyle w:val="aff4"/>
          <w:vanish/>
          <w:rtl/>
        </w:rPr>
        <w:fldChar w:fldCharType="separate"/>
      </w:r>
      <w:r w:rsidR="00D82181">
        <w:rPr>
          <w:rStyle w:val="aff4"/>
          <w:vanish/>
          <w:cs/>
        </w:rPr>
        <w:t>‎</w:t>
      </w:r>
      <w:r w:rsidR="00D82181">
        <w:rPr>
          <w:rStyle w:val="aff4"/>
          <w:vanish/>
          <w:rtl/>
        </w:rPr>
        <w:t>יז)</w:t>
      </w:r>
      <w:r w:rsidRPr="00A91E2E">
        <w:rPr>
          <w:rStyle w:val="aff4"/>
          <w:vanish/>
          <w:rtl/>
        </w:rPr>
        <w:fldChar w:fldCharType="end"/>
      </w:r>
      <w:r w:rsidRPr="00A91E2E">
        <w:rPr>
          <w:rStyle w:val="aff4"/>
          <w:rFonts w:hint="cs"/>
          <w:vanish/>
          <w:rtl/>
        </w:rPr>
        <w:t xml:space="preserve"> &gt;</w:t>
      </w:r>
      <w:r w:rsidRPr="007439A4">
        <w:rPr>
          <w:rStyle w:val="aff4"/>
          <w:rFonts w:hint="cs"/>
          <w:rtl/>
        </w:rPr>
        <w:t>השלמה</w:t>
      </w:r>
      <w:r w:rsidRPr="00A91E2E">
        <w:rPr>
          <w:rStyle w:val="aff4"/>
          <w:rFonts w:hint="cs"/>
          <w:vanish/>
          <w:rtl/>
        </w:rPr>
        <w:t>-</w:t>
      </w:r>
      <w:r>
        <w:rPr>
          <w:rFonts w:hint="cs"/>
          <w:rtl/>
        </w:rPr>
        <w:t xml:space="preserve"> </w:t>
      </w:r>
      <w:r w:rsidRPr="00D16BB6">
        <w:rPr>
          <w:rStyle w:val="af2"/>
          <w:rFonts w:eastAsia="Guttman Hodes" w:hint="cs"/>
          <w:rtl/>
        </w:rPr>
        <w:t>(אות ו' ד"ה הרב אלפסי</w:t>
      </w:r>
      <w:r>
        <w:rPr>
          <w:rStyle w:val="af2"/>
          <w:rFonts w:eastAsia="Guttman Hodes" w:hint="cs"/>
          <w:rtl/>
        </w:rPr>
        <w:t>, הועתק בקובץ שיטות קמאי שבת ח"ב עמ' אלף פ"ד</w:t>
      </w:r>
      <w:r w:rsidRPr="00D16BB6">
        <w:rPr>
          <w:rStyle w:val="af2"/>
          <w:rFonts w:eastAsia="Guttman Hodes" w:hint="cs"/>
          <w:rtl/>
        </w:rPr>
        <w:t>)</w:t>
      </w:r>
      <w:r w:rsidRPr="00A91E2E">
        <w:rPr>
          <w:rFonts w:hint="cs"/>
          <w:vanish/>
          <w:rtl/>
        </w:rPr>
        <w:t>=</w:t>
      </w:r>
      <w:r>
        <w:rPr>
          <w:rFonts w:hint="cs"/>
          <w:rtl/>
        </w:rPr>
        <w:t xml:space="preserve"> את דברי </w:t>
      </w:r>
      <w:r w:rsidRPr="00A91E2E">
        <w:rPr>
          <w:rStyle w:val="aff4"/>
          <w:rFonts w:hint="cs"/>
          <w:vanish/>
          <w:rtl/>
        </w:rPr>
        <w:t>-</w:t>
      </w:r>
      <w:r w:rsidRPr="007439A4">
        <w:rPr>
          <w:rStyle w:val="aff4"/>
          <w:rFonts w:hint="cs"/>
          <w:rtl/>
        </w:rPr>
        <w:t>ה</w:t>
      </w:r>
      <w:r w:rsidRPr="00A91E2E">
        <w:rPr>
          <w:rStyle w:val="aff4"/>
          <w:rFonts w:hint="cs"/>
          <w:vanish/>
          <w:rtl/>
        </w:rPr>
        <w:t>&lt; &gt;</w:t>
      </w:r>
      <w:r w:rsidRPr="007439A4">
        <w:rPr>
          <w:rStyle w:val="aff4"/>
          <w:rFonts w:hint="cs"/>
          <w:rtl/>
        </w:rPr>
        <w:t>רי"ף</w:t>
      </w:r>
      <w:r w:rsidRPr="00A91E2E">
        <w:rPr>
          <w:rStyle w:val="aff4"/>
          <w:rFonts w:hint="cs"/>
          <w:vanish/>
          <w:rtl/>
        </w:rPr>
        <w:t>-</w:t>
      </w:r>
      <w:r>
        <w:rPr>
          <w:rFonts w:hint="cs"/>
          <w:rtl/>
        </w:rPr>
        <w:t xml:space="preserve"> </w:t>
      </w:r>
      <w:r w:rsidRPr="00D16BB6">
        <w:rPr>
          <w:rStyle w:val="af2"/>
          <w:rFonts w:eastAsia="Guttman Hodes" w:hint="cs"/>
          <w:rtl/>
        </w:rPr>
        <w:t>(לב. מדה"ר</w:t>
      </w:r>
      <w:r w:rsidRPr="00B32511">
        <w:rPr>
          <w:rStyle w:val="af2"/>
          <w:rFonts w:eastAsia="Guttman Hodes" w:hint="cs"/>
          <w:rtl/>
        </w:rPr>
        <w:t>, מהדו' "עוז והדר" עמ' פ"ט</w:t>
      </w:r>
      <w:r w:rsidRPr="00D16BB6">
        <w:rPr>
          <w:rStyle w:val="af2"/>
          <w:rFonts w:eastAsia="Guttman Hodes" w:hint="cs"/>
          <w:rtl/>
        </w:rPr>
        <w:t>)</w:t>
      </w:r>
      <w:r w:rsidRPr="00A91E2E">
        <w:rPr>
          <w:rFonts w:hint="cs"/>
          <w:vanish/>
          <w:rtl/>
        </w:rPr>
        <w:t>=</w:t>
      </w:r>
      <w:r>
        <w:rPr>
          <w:rFonts w:hint="cs"/>
          <w:rtl/>
        </w:rPr>
        <w:t xml:space="preserve"> דגרס בברייתא "שני" מיני </w:t>
      </w:r>
      <w:r w:rsidRPr="00677470">
        <w:rPr>
          <w:rtl/>
        </w:rPr>
        <w:t>אוכלין,</w:t>
      </w:r>
      <w:r w:rsidRPr="00677470">
        <w:rPr>
          <w:rFonts w:hint="cs"/>
          <w:rtl/>
        </w:rPr>
        <w:t xml:space="preserve"> </w:t>
      </w:r>
      <w:r w:rsidRPr="00D16BB6">
        <w:rPr>
          <w:rStyle w:val="af"/>
          <w:rFonts w:hint="cs"/>
          <w:rtl/>
        </w:rPr>
        <w:t xml:space="preserve">[ודלא כגי' דלפנינו דמחקו כן </w:t>
      </w:r>
      <w:r w:rsidRPr="00D16BB6">
        <w:rPr>
          <w:rStyle w:val="aff9"/>
          <w:rFonts w:hint="cs"/>
          <w:vanish/>
          <w:rtl/>
        </w:rPr>
        <w:t>-</w:t>
      </w:r>
      <w:r w:rsidRPr="00D16BB6">
        <w:rPr>
          <w:rStyle w:val="aff9"/>
          <w:rFonts w:hint="cs"/>
          <w:rtl/>
        </w:rPr>
        <w:t>ברי"ף</w:t>
      </w:r>
      <w:r w:rsidRPr="00D16BB6">
        <w:rPr>
          <w:rStyle w:val="aff9"/>
          <w:rFonts w:hint="cs"/>
          <w:vanish/>
          <w:rtl/>
        </w:rPr>
        <w:t>-</w:t>
      </w:r>
      <w:r w:rsidRPr="00D16BB6">
        <w:rPr>
          <w:rStyle w:val="af"/>
          <w:rFonts w:hint="cs"/>
          <w:rtl/>
        </w:rPr>
        <w:t>]</w:t>
      </w:r>
      <w:r w:rsidRPr="002650B4">
        <w:rPr>
          <w:rStyle w:val="af"/>
          <w:rFonts w:hint="cs"/>
          <w:rtl/>
        </w:rPr>
        <w:t>,</w:t>
      </w:r>
      <w:r>
        <w:rPr>
          <w:rFonts w:hint="cs"/>
          <w:rtl/>
        </w:rPr>
        <w:t xml:space="preserve"> וכן גרס בפלוגתת רב אשי ורב ירמיה מדיפתי, וביאר </w:t>
      </w:r>
      <w:r w:rsidRPr="00A91E2E">
        <w:rPr>
          <w:rStyle w:val="aff4"/>
          <w:rFonts w:hint="cs"/>
          <w:vanish/>
          <w:rtl/>
        </w:rPr>
        <w:t>-</w:t>
      </w:r>
      <w:r w:rsidRPr="007439A4">
        <w:rPr>
          <w:rStyle w:val="aff4"/>
          <w:rFonts w:hint="cs"/>
          <w:rtl/>
        </w:rPr>
        <w:t>ההשלמה</w:t>
      </w:r>
      <w:r w:rsidRPr="00A91E2E">
        <w:rPr>
          <w:rStyle w:val="aff4"/>
          <w:rFonts w:hint="cs"/>
          <w:vanish/>
          <w:rtl/>
        </w:rPr>
        <w:t>-</w:t>
      </w:r>
      <w:r>
        <w:rPr>
          <w:rFonts w:hint="cs"/>
          <w:rtl/>
        </w:rPr>
        <w:t xml:space="preserve"> דאיירי שבורר מין שראוי לאכילה עכשיו כשהוא חי מתוך מין שראוי לאכילה רק אחר שיבשל אותו, ולכן הוא כבורר אוכל מתוך פסולת</w:t>
      </w:r>
      <w:bookmarkEnd w:id="2244"/>
      <w:r>
        <w:rPr>
          <w:rFonts w:hint="cs"/>
          <w:rtl/>
        </w:rPr>
        <w:t>.</w:t>
      </w:r>
    </w:p>
    <w:p w14:paraId="74F12787" w14:textId="77777777" w:rsidR="00592982" w:rsidRPr="00747170" w:rsidRDefault="00592982" w:rsidP="00747170">
      <w:pPr>
        <w:pStyle w:val="a2"/>
        <w:rPr>
          <w:rtl/>
        </w:rPr>
      </w:pPr>
      <w:r w:rsidRPr="00747170">
        <w:rPr>
          <w:rtl/>
        </w:rPr>
        <w:t>הרב אלפסי ז"ל גריס היו לפני שני מיני אוכלין בורר ואוכל וכו', וכן בפלוגתא דרב אשי ורב ירמיה מדפתי גריס היו לפניו שני מיני אוכלין. ומשמע כגון שאחד ראוי לאכלו כשהוא חי ואחד אינו ראוי לאכלו אלא לאחר בישולו, וכשבורר האחד שראוי לאכלו כשהוא חי מתוך חברו הוה ליה כבורר אוכל מתוך פסולת.</w:t>
      </w:r>
    </w:p>
    <w:p w14:paraId="62864E6B" w14:textId="6F32D6BF" w:rsidR="00592982" w:rsidRPr="00E4318D" w:rsidRDefault="00592982" w:rsidP="00592982">
      <w:pPr>
        <w:pStyle w:val="a7"/>
      </w:pPr>
      <w:bookmarkStart w:id="2245" w:name="_Toc137741937"/>
      <w:r>
        <w:rPr>
          <w:rFonts w:hint="cs"/>
          <w:rtl/>
        </w:rPr>
        <w:t>בי' המאירי בהשלמה דבב' ראויין חיין ל"ה בורר והרבה מינים הוי בורר ודחה דאף בב' בורר</w:t>
      </w:r>
      <w:bookmarkEnd w:id="2245"/>
    </w:p>
    <w:p w14:paraId="557B39C2" w14:textId="31930238" w:rsidR="00592982" w:rsidRDefault="00592982" w:rsidP="00BC7DC8">
      <w:pPr>
        <w:pStyle w:val="a3"/>
      </w:pPr>
      <w:bookmarkStart w:id="2246" w:name="_Ref137719357"/>
      <w:r>
        <w:rPr>
          <w:rFonts w:hint="cs"/>
          <w:rtl/>
        </w:rPr>
        <w:t xml:space="preserve">וכתב </w:t>
      </w:r>
      <w:r w:rsidRPr="00A91E2E">
        <w:rPr>
          <w:rStyle w:val="aff4"/>
          <w:rFonts w:hint="cs"/>
          <w:vanish/>
          <w:rtl/>
        </w:rPr>
        <w:t>-</w:t>
      </w:r>
      <w:r w:rsidRPr="007439A4">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Ref137719357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יח)</w:t>
      </w:r>
      <w:r>
        <w:rPr>
          <w:rStyle w:val="aff4"/>
          <w:vanish/>
          <w:rtl/>
        </w:rPr>
        <w:fldChar w:fldCharType="end"/>
      </w:r>
      <w:r>
        <w:rPr>
          <w:rStyle w:val="aff4"/>
          <w:rFonts w:hint="cs"/>
          <w:vanish/>
          <w:rtl/>
        </w:rPr>
        <w:t xml:space="preserve"> &gt;</w:t>
      </w:r>
      <w:r w:rsidRPr="007439A4">
        <w:rPr>
          <w:rStyle w:val="aff4"/>
          <w:rFonts w:hint="cs"/>
          <w:rtl/>
        </w:rPr>
        <w:t>מאירי</w:t>
      </w:r>
      <w:r w:rsidRPr="00A91E2E">
        <w:rPr>
          <w:rStyle w:val="aff4"/>
          <w:rFonts w:hint="cs"/>
          <w:vanish/>
          <w:rtl/>
        </w:rPr>
        <w:t>-</w:t>
      </w:r>
      <w:r>
        <w:rPr>
          <w:rFonts w:hint="cs"/>
          <w:rtl/>
        </w:rPr>
        <w:t xml:space="preserve"> </w:t>
      </w:r>
      <w:r w:rsidRPr="00D16BB6">
        <w:rPr>
          <w:rStyle w:val="af2"/>
          <w:rFonts w:eastAsia="Guttman Hodes" w:hint="cs"/>
          <w:rtl/>
        </w:rPr>
        <w:t>(ד"ה גדולי הפוסקים)</w:t>
      </w:r>
      <w:r w:rsidRPr="00A91E2E">
        <w:rPr>
          <w:rFonts w:hint="cs"/>
          <w:vanish/>
          <w:rtl/>
        </w:rPr>
        <w:t>=</w:t>
      </w:r>
      <w:r>
        <w:rPr>
          <w:rFonts w:hint="cs"/>
          <w:rtl/>
        </w:rPr>
        <w:t xml:space="preserve"> דלפי דברי </w:t>
      </w:r>
      <w:r w:rsidRPr="00A91E2E">
        <w:rPr>
          <w:rStyle w:val="aff4"/>
          <w:rFonts w:hint="cs"/>
          <w:vanish/>
          <w:rtl/>
        </w:rPr>
        <w:t>-</w:t>
      </w:r>
      <w:r w:rsidRPr="007439A4">
        <w:rPr>
          <w:rStyle w:val="aff4"/>
          <w:rFonts w:hint="cs"/>
          <w:rtl/>
        </w:rPr>
        <w:t>ההשלמה</w:t>
      </w:r>
      <w:r w:rsidRPr="00A91E2E">
        <w:rPr>
          <w:rStyle w:val="aff4"/>
          <w:rFonts w:hint="cs"/>
          <w:vanish/>
          <w:rtl/>
        </w:rPr>
        <w:t>-</w:t>
      </w:r>
      <w:r>
        <w:rPr>
          <w:rFonts w:hint="cs"/>
          <w:rtl/>
        </w:rPr>
        <w:t xml:space="preserve"> כששני המינים ראויין לאכילה חיין אי"ז ברירה, ורק כשיש הרבה מינים הוי ברירה, ודחה </w:t>
      </w:r>
      <w:r w:rsidRPr="00A91E2E">
        <w:rPr>
          <w:rStyle w:val="aff4"/>
          <w:rFonts w:hint="cs"/>
          <w:vanish/>
          <w:rtl/>
        </w:rPr>
        <w:t>-</w:t>
      </w:r>
      <w:r w:rsidRPr="007439A4">
        <w:rPr>
          <w:rStyle w:val="aff4"/>
          <w:rFonts w:hint="cs"/>
          <w:rtl/>
        </w:rPr>
        <w:t>המאירי</w:t>
      </w:r>
      <w:r w:rsidRPr="00A91E2E">
        <w:rPr>
          <w:rStyle w:val="aff4"/>
          <w:rFonts w:hint="cs"/>
          <w:vanish/>
          <w:rtl/>
        </w:rPr>
        <w:t>-</w:t>
      </w:r>
      <w:r>
        <w:rPr>
          <w:rFonts w:hint="cs"/>
          <w:rtl/>
        </w:rPr>
        <w:t xml:space="preserve"> דאין חילוק בין ב' מינים להרבה מינים, וכל שכוונתו לברירה אף בב' מינים הוי ברירה, ומותר רק ביד ולאלתר, כדכתב </w:t>
      </w:r>
      <w:r w:rsidRPr="00D6165C">
        <w:rPr>
          <w:rStyle w:val="aff4"/>
          <w:rFonts w:hint="cs"/>
          <w:vanish/>
          <w:rtl/>
        </w:rPr>
        <w:t>-</w:t>
      </w:r>
      <w:r w:rsidRPr="007439A4">
        <w:rPr>
          <w:rStyle w:val="aff4"/>
          <w:rFonts w:hint="cs"/>
          <w:rtl/>
        </w:rPr>
        <w:t>המאירי</w:t>
      </w:r>
      <w:r w:rsidRPr="00D6165C">
        <w:rPr>
          <w:rStyle w:val="aff4"/>
          <w:rFonts w:hint="cs"/>
          <w:vanish/>
          <w:rtl/>
        </w:rPr>
        <w:t>-</w:t>
      </w:r>
      <w:r w:rsidRPr="00000DE4">
        <w:rPr>
          <w:rStyle w:val="aff4"/>
          <w:rFonts w:hint="cs"/>
          <w:rtl/>
        </w:rPr>
        <w:t xml:space="preserve"> </w:t>
      </w:r>
      <w:r w:rsidRPr="00D16BB6">
        <w:rPr>
          <w:rStyle w:val="af2"/>
          <w:rFonts w:eastAsia="Guttman Hodes" w:hint="cs"/>
          <w:rtl/>
        </w:rPr>
        <w:t xml:space="preserve">(עי' אות </w:t>
      </w:r>
      <w:r w:rsidRPr="00D16BB6">
        <w:rPr>
          <w:rStyle w:val="af2"/>
          <w:rFonts w:eastAsia="Guttman Hodes"/>
          <w:rtl/>
        </w:rPr>
        <w:fldChar w:fldCharType="begin"/>
      </w:r>
      <w:r w:rsidRPr="00D16BB6">
        <w:rPr>
          <w:rStyle w:val="af2"/>
          <w:rFonts w:eastAsia="Guttman Hodes"/>
          <w:rtl/>
        </w:rPr>
        <w:instrText xml:space="preserve"> </w:instrText>
      </w:r>
      <w:r w:rsidRPr="00D16BB6">
        <w:rPr>
          <w:rStyle w:val="af2"/>
          <w:rFonts w:eastAsia="Guttman Hodes" w:hint="cs"/>
        </w:rPr>
        <w:instrText>REF</w:instrText>
      </w:r>
      <w:r w:rsidRPr="00D16BB6">
        <w:rPr>
          <w:rStyle w:val="af2"/>
          <w:rFonts w:eastAsia="Guttman Hodes" w:hint="cs"/>
          <w:rtl/>
        </w:rPr>
        <w:instrText xml:space="preserve"> _</w:instrText>
      </w:r>
      <w:r w:rsidRPr="00D16BB6">
        <w:rPr>
          <w:rStyle w:val="af2"/>
          <w:rFonts w:eastAsia="Guttman Hodes" w:hint="cs"/>
        </w:rPr>
        <w:instrText>Ref136946949 \r \h</w:instrText>
      </w:r>
      <w:r w:rsidRPr="00D16BB6">
        <w:rPr>
          <w:rStyle w:val="af2"/>
          <w:rFonts w:eastAsia="Guttman Hodes"/>
          <w:rtl/>
        </w:rPr>
        <w:instrText xml:space="preserve"> </w:instrText>
      </w:r>
      <w:r w:rsidRPr="00D16BB6">
        <w:rPr>
          <w:rStyle w:val="af2"/>
          <w:rFonts w:eastAsia="Guttman Hodes"/>
          <w:rtl/>
        </w:rPr>
      </w:r>
      <w:r w:rsidRPr="00D16BB6">
        <w:rPr>
          <w:rStyle w:val="af2"/>
          <w:rFonts w:eastAsia="Guttman Hodes"/>
          <w:rtl/>
        </w:rPr>
        <w:fldChar w:fldCharType="separate"/>
      </w:r>
      <w:r w:rsidR="00D82181">
        <w:rPr>
          <w:rStyle w:val="af2"/>
          <w:rFonts w:eastAsia="Guttman Hodes"/>
          <w:cs/>
        </w:rPr>
        <w:t>‎</w:t>
      </w:r>
      <w:r w:rsidR="00D82181">
        <w:rPr>
          <w:rStyle w:val="af2"/>
          <w:rFonts w:eastAsia="Guttman Hodes"/>
          <w:rtl/>
        </w:rPr>
        <w:t>כט)</w:t>
      </w:r>
      <w:r w:rsidRPr="00D16BB6">
        <w:rPr>
          <w:rStyle w:val="af2"/>
          <w:rFonts w:eastAsia="Guttman Hodes"/>
          <w:rtl/>
        </w:rPr>
        <w:fldChar w:fldCharType="end"/>
      </w:r>
      <w:r>
        <w:rPr>
          <w:rFonts w:hint="cs"/>
          <w:rtl/>
        </w:rPr>
        <w:t>.</w:t>
      </w:r>
      <w:bookmarkEnd w:id="2246"/>
    </w:p>
    <w:p w14:paraId="7363ADFA" w14:textId="77777777" w:rsidR="00592982" w:rsidRDefault="00592982" w:rsidP="00592982">
      <w:pPr>
        <w:pStyle w:val="afffff7"/>
      </w:pPr>
      <w:bookmarkStart w:id="2247" w:name="_Toc137742025"/>
      <w:bookmarkStart w:id="2248" w:name="_Toc163505792"/>
      <w:r>
        <w:rPr>
          <w:rtl/>
        </w:rPr>
        <w:t>מאירי שבת ע"ד ע"א</w:t>
      </w:r>
      <w:r>
        <w:rPr>
          <w:rFonts w:hint="cs"/>
          <w:rtl/>
        </w:rPr>
        <w:t xml:space="preserve"> ד"ה </w:t>
      </w:r>
      <w:r>
        <w:rPr>
          <w:rtl/>
        </w:rPr>
        <w:t>גדולי הפוסקי</w:t>
      </w:r>
      <w:r>
        <w:rPr>
          <w:rFonts w:hint="cs"/>
          <w:rtl/>
        </w:rPr>
        <w:t>ם</w:t>
      </w:r>
      <w:bookmarkEnd w:id="2247"/>
      <w:bookmarkEnd w:id="2248"/>
    </w:p>
    <w:p w14:paraId="52163C3E" w14:textId="77777777" w:rsidR="00592982" w:rsidRPr="00747170" w:rsidRDefault="00592982" w:rsidP="00747170">
      <w:pPr>
        <w:pStyle w:val="a2"/>
        <w:rPr>
          <w:rtl/>
        </w:rPr>
      </w:pPr>
      <w:r w:rsidRPr="00747170">
        <w:rPr>
          <w:rtl/>
        </w:rPr>
        <w:t>גדולי הפוסקי' גורסי' בשמועה זו היו לפניו שני מיני אוכלין ומפרשי' בדבריהם שהאוכל האחד ראוי לאכלו כשהוא חי והאחר אינו ראוי לאכלו אלא לאחר שנתבשל וזה בורר לו אותו שראוי לאכול כשהוא חי והרי הוא כאוכל מתוך פסולת אבל בשניהם ראויים לאכלן חיים אין כאן ברירה אא"כ בהרבה מינים ואיני רואה הפרש בדבר זה אלא הן שני מינים הן הרבה מינים כל שמכוין לברירה ברירה היא ואינו מותר אלא על הדרכים שביארנו שכל שבורר בכלי אין בה היתר</w:t>
      </w:r>
      <w:r w:rsidRPr="00747170">
        <w:rPr>
          <w:rFonts w:hint="cs"/>
          <w:rtl/>
        </w:rPr>
        <w:t>.</w:t>
      </w:r>
    </w:p>
    <w:p w14:paraId="3A11EA12" w14:textId="1AAA80AB" w:rsidR="00592982" w:rsidRDefault="00592982" w:rsidP="00592982">
      <w:pPr>
        <w:pStyle w:val="1"/>
        <w:rPr>
          <w:rtl/>
        </w:rPr>
      </w:pPr>
      <w:bookmarkStart w:id="2249" w:name="_Toc137741938"/>
      <w:r>
        <w:rPr>
          <w:rFonts w:hint="cs"/>
          <w:rtl/>
        </w:rPr>
        <w:t>בי' האגל"ט דברירת ב' מיני אוכלין היא תולדת בורר ולא אב</w:t>
      </w:r>
      <w:bookmarkEnd w:id="2249"/>
    </w:p>
    <w:p w14:paraId="5C4D7C52" w14:textId="77777777" w:rsidR="00592982" w:rsidRDefault="00592982" w:rsidP="00592982">
      <w:pPr>
        <w:pStyle w:val="afffff7"/>
        <w:rPr>
          <w:rtl/>
        </w:rPr>
      </w:pPr>
      <w:bookmarkStart w:id="2250" w:name="_Toc137742026"/>
      <w:bookmarkStart w:id="2251" w:name="_Toc163505793"/>
      <w:r>
        <w:rPr>
          <w:rFonts w:hint="cs"/>
          <w:rtl/>
        </w:rPr>
        <w:t>אגלי טל בורר ח</w:t>
      </w:r>
      <w:bookmarkEnd w:id="2250"/>
      <w:bookmarkEnd w:id="2251"/>
    </w:p>
    <w:p w14:paraId="23A73014" w14:textId="77777777" w:rsidR="00592982" w:rsidRDefault="00592982" w:rsidP="00592982">
      <w:pPr>
        <w:pStyle w:val="afffff7"/>
        <w:rPr>
          <w:rtl/>
        </w:rPr>
      </w:pPr>
      <w:bookmarkStart w:id="2252" w:name="_Toc137742027"/>
      <w:bookmarkStart w:id="2253" w:name="_Toc163505794"/>
      <w:r>
        <w:rPr>
          <w:rtl/>
        </w:rPr>
        <w:t xml:space="preserve">אגלי טל בורר </w:t>
      </w:r>
      <w:r>
        <w:rPr>
          <w:rFonts w:hint="cs"/>
          <w:rtl/>
        </w:rPr>
        <w:t>סק</w:t>
      </w:r>
      <w:r>
        <w:rPr>
          <w:rtl/>
        </w:rPr>
        <w:t>ט</w:t>
      </w:r>
      <w:r>
        <w:rPr>
          <w:rFonts w:hint="cs"/>
          <w:rtl/>
        </w:rPr>
        <w:t>"</w:t>
      </w:r>
      <w:r>
        <w:rPr>
          <w:rtl/>
        </w:rPr>
        <w:t>ז</w:t>
      </w:r>
      <w:bookmarkEnd w:id="2252"/>
      <w:bookmarkEnd w:id="2253"/>
    </w:p>
    <w:p w14:paraId="5FEC4462" w14:textId="77777777" w:rsidR="00592982" w:rsidRDefault="00592982" w:rsidP="00592982">
      <w:pPr>
        <w:pStyle w:val="a7"/>
        <w:rPr>
          <w:rtl/>
        </w:rPr>
      </w:pPr>
      <w:bookmarkStart w:id="2254" w:name="_Toc137741939"/>
      <w:r>
        <w:rPr>
          <w:rFonts w:hint="cs"/>
          <w:rtl/>
        </w:rPr>
        <w:t>בי' האגל"ט דבורר אוכל מאוכל הוא תולדה ולא אב דלא היה במשכן וכן מוכח במח' בירושלמי</w:t>
      </w:r>
      <w:bookmarkEnd w:id="2254"/>
    </w:p>
    <w:p w14:paraId="06084AA2" w14:textId="09E08C07" w:rsidR="00592982" w:rsidRDefault="00592982" w:rsidP="00BC7DC8">
      <w:pPr>
        <w:pStyle w:val="a3"/>
        <w:rPr>
          <w:rtl/>
        </w:rPr>
      </w:pPr>
      <w:bookmarkStart w:id="2255" w:name="_Ref136983709"/>
      <w:r>
        <w:rPr>
          <w:rFonts w:hint="cs"/>
          <w:rtl/>
        </w:rPr>
        <w:t xml:space="preserve">כתב </w:t>
      </w:r>
      <w:r w:rsidRPr="00E564E4">
        <w:rPr>
          <w:rStyle w:val="aff4"/>
          <w:rFonts w:hint="cs"/>
          <w:vanish/>
          <w:rtl/>
        </w:rPr>
        <w:t>-</w:t>
      </w:r>
      <w:r w:rsidRPr="00E9617D">
        <w:rPr>
          <w:rStyle w:val="aff4"/>
          <w:rFonts w:hint="cs"/>
          <w:rtl/>
        </w:rPr>
        <w:t>ה</w:t>
      </w:r>
      <w:r w:rsidRPr="00E564E4">
        <w:rPr>
          <w:rStyle w:val="aff4"/>
          <w:rFonts w:hint="cs"/>
          <w:vanish/>
          <w:rtl/>
        </w:rPr>
        <w:t xml:space="preserve">&lt;. </w:t>
      </w:r>
      <w:r w:rsidRPr="00E564E4">
        <w:rPr>
          <w:rStyle w:val="aff4"/>
          <w:vanish/>
          <w:rtl/>
        </w:rPr>
        <w:fldChar w:fldCharType="begin"/>
      </w:r>
      <w:r w:rsidRPr="00E564E4">
        <w:rPr>
          <w:rStyle w:val="aff4"/>
          <w:vanish/>
          <w:rtl/>
        </w:rPr>
        <w:instrText xml:space="preserve"> </w:instrText>
      </w:r>
      <w:r w:rsidRPr="00E564E4">
        <w:rPr>
          <w:rStyle w:val="aff4"/>
          <w:rFonts w:hint="cs"/>
          <w:vanish/>
        </w:rPr>
        <w:instrText>REF</w:instrText>
      </w:r>
      <w:r w:rsidRPr="00E564E4">
        <w:rPr>
          <w:rStyle w:val="aff4"/>
          <w:rFonts w:hint="cs"/>
          <w:vanish/>
          <w:rtl/>
        </w:rPr>
        <w:instrText xml:space="preserve"> _</w:instrText>
      </w:r>
      <w:r w:rsidRPr="00E564E4">
        <w:rPr>
          <w:rStyle w:val="aff4"/>
          <w:rFonts w:hint="cs"/>
          <w:vanish/>
        </w:rPr>
        <w:instrText>Ref136983709 \r \h</w:instrText>
      </w:r>
      <w:r w:rsidRPr="00E564E4">
        <w:rPr>
          <w:rStyle w:val="aff4"/>
          <w:vanish/>
          <w:rtl/>
        </w:rPr>
        <w:instrText xml:space="preserve"> </w:instrText>
      </w:r>
      <w:r w:rsidRPr="00E564E4">
        <w:rPr>
          <w:rStyle w:val="aff4"/>
          <w:vanish/>
          <w:rtl/>
        </w:rPr>
      </w:r>
      <w:r w:rsidRPr="00E564E4">
        <w:rPr>
          <w:rStyle w:val="aff4"/>
          <w:vanish/>
          <w:rtl/>
        </w:rPr>
        <w:fldChar w:fldCharType="separate"/>
      </w:r>
      <w:r w:rsidR="00D82181">
        <w:rPr>
          <w:rStyle w:val="aff4"/>
          <w:vanish/>
          <w:cs/>
        </w:rPr>
        <w:t>‎</w:t>
      </w:r>
      <w:r w:rsidR="00D82181">
        <w:rPr>
          <w:rStyle w:val="aff4"/>
          <w:vanish/>
          <w:rtl/>
        </w:rPr>
        <w:t>יט)</w:t>
      </w:r>
      <w:r w:rsidRPr="00E564E4">
        <w:rPr>
          <w:rStyle w:val="aff4"/>
          <w:vanish/>
          <w:rtl/>
        </w:rPr>
        <w:fldChar w:fldCharType="end"/>
      </w:r>
      <w:r w:rsidRPr="00E564E4">
        <w:rPr>
          <w:rStyle w:val="aff4"/>
          <w:rFonts w:hint="cs"/>
          <w:vanish/>
          <w:rtl/>
        </w:rPr>
        <w:t xml:space="preserve"> &gt;</w:t>
      </w:r>
      <w:r w:rsidRPr="00E9617D">
        <w:rPr>
          <w:rStyle w:val="aff4"/>
          <w:rFonts w:hint="cs"/>
          <w:rtl/>
        </w:rPr>
        <w:t>אגלי טל</w:t>
      </w:r>
      <w:r w:rsidRPr="00E564E4">
        <w:rPr>
          <w:rStyle w:val="aff4"/>
          <w:rFonts w:hint="cs"/>
          <w:vanish/>
          <w:rtl/>
        </w:rPr>
        <w:t>-</w:t>
      </w:r>
      <w:r>
        <w:rPr>
          <w:rFonts w:hint="cs"/>
          <w:rtl/>
        </w:rPr>
        <w:t xml:space="preserve"> </w:t>
      </w:r>
      <w:r w:rsidRPr="00D16BB6">
        <w:rPr>
          <w:rStyle w:val="af2"/>
          <w:rFonts w:eastAsia="Guttman Hodes" w:hint="cs"/>
          <w:rtl/>
        </w:rPr>
        <w:t>(בורר ח')</w:t>
      </w:r>
      <w:r w:rsidRPr="00E564E4">
        <w:rPr>
          <w:rFonts w:hint="cs"/>
          <w:vanish/>
          <w:rtl/>
        </w:rPr>
        <w:t>=</w:t>
      </w:r>
      <w:r>
        <w:rPr>
          <w:rFonts w:hint="cs"/>
          <w:rtl/>
        </w:rPr>
        <w:t xml:space="preserve"> דברירת ב' מיני אוכלין היא תולדה ולא אב, וביאר </w:t>
      </w:r>
      <w:r w:rsidRPr="00E564E4">
        <w:rPr>
          <w:rStyle w:val="aff4"/>
          <w:rFonts w:hint="cs"/>
          <w:vanish/>
          <w:rtl/>
        </w:rPr>
        <w:t>-</w:t>
      </w:r>
      <w:r w:rsidRPr="00E9617D">
        <w:rPr>
          <w:rStyle w:val="aff4"/>
          <w:rFonts w:hint="cs"/>
          <w:rtl/>
        </w:rPr>
        <w:t>ה</w:t>
      </w:r>
      <w:r w:rsidRPr="00E564E4">
        <w:rPr>
          <w:rStyle w:val="aff4"/>
          <w:rFonts w:hint="cs"/>
          <w:vanish/>
          <w:rtl/>
        </w:rPr>
        <w:t>&lt; &gt;</w:t>
      </w:r>
      <w:r w:rsidRPr="00E9617D">
        <w:rPr>
          <w:rStyle w:val="aff4"/>
          <w:rFonts w:hint="cs"/>
          <w:rtl/>
        </w:rPr>
        <w:t>אגלי טל</w:t>
      </w:r>
      <w:r w:rsidRPr="00E564E4">
        <w:rPr>
          <w:rStyle w:val="aff4"/>
          <w:rFonts w:hint="cs"/>
          <w:vanish/>
          <w:rtl/>
        </w:rPr>
        <w:t>-</w:t>
      </w:r>
      <w:r>
        <w:rPr>
          <w:rFonts w:hint="cs"/>
          <w:rtl/>
        </w:rPr>
        <w:t xml:space="preserve"> </w:t>
      </w:r>
      <w:r w:rsidRPr="00D16BB6">
        <w:rPr>
          <w:rStyle w:val="af2"/>
          <w:rFonts w:eastAsia="Guttman Hodes" w:hint="cs"/>
          <w:rtl/>
        </w:rPr>
        <w:t>(בורר סקכ"ד)</w:t>
      </w:r>
      <w:r w:rsidRPr="00E564E4">
        <w:rPr>
          <w:rFonts w:hint="cs"/>
          <w:vanish/>
          <w:rtl/>
        </w:rPr>
        <w:t>=</w:t>
      </w:r>
      <w:r>
        <w:rPr>
          <w:rFonts w:hint="cs"/>
          <w:rtl/>
        </w:rPr>
        <w:t xml:space="preserve"> דמסתבר דהברירה במשכן היא באוכל ופסולת וכל שלא היה ממש במשכן הוא תולדה, ועוד דכיון דנחלקו בזה חזקיה וריו"ח בירושלמי </w:t>
      </w:r>
      <w:r w:rsidRPr="00D16BB6">
        <w:rPr>
          <w:rStyle w:val="af2"/>
          <w:rFonts w:eastAsia="Guttman Hodes" w:hint="cs"/>
          <w:rtl/>
        </w:rPr>
        <w:t>(פ"ז ה"ב, מט:)</w:t>
      </w:r>
      <w:r>
        <w:rPr>
          <w:rFonts w:hint="cs"/>
          <w:rtl/>
        </w:rPr>
        <w:t xml:space="preserve"> דוחק לומר דלחזקיה הוא בורר גמור דאב שהיה במשכן, ולריו"ח אינו אפילו תולדה.</w:t>
      </w:r>
      <w:bookmarkEnd w:id="2255"/>
    </w:p>
    <w:p w14:paraId="0723D2F7" w14:textId="77777777" w:rsidR="00592982" w:rsidRPr="00747170" w:rsidRDefault="00592982" w:rsidP="00747170">
      <w:pPr>
        <w:pStyle w:val="a2"/>
        <w:rPr>
          <w:rtl/>
        </w:rPr>
      </w:pPr>
      <w:r w:rsidRPr="00747170">
        <w:rPr>
          <w:rtl/>
        </w:rPr>
        <w:t>ח היו לפניו שני מיני אוכלין אפי' שני מיני דגים יש בהם משום בורר. ויראה לי שאינו רק תולדת בורר.</w:t>
      </w:r>
    </w:p>
    <w:p w14:paraId="0461045B" w14:textId="77777777" w:rsidR="00592982" w:rsidRPr="00DA7171" w:rsidRDefault="00592982" w:rsidP="00747170">
      <w:pPr>
        <w:pStyle w:val="afffff5"/>
        <w:rPr>
          <w:rtl/>
        </w:rPr>
      </w:pPr>
      <w:r w:rsidRPr="00C61A8D">
        <w:rPr>
          <w:rtl/>
        </w:rPr>
        <w:t xml:space="preserve">[טז] שאינו רק תולדת בורר וכו'. כן הוא מסברא דברירה שבמשכן הי' באוכל ופסולת וכיון שאינו ממש ברירה שבמשכן הוא תולדה וכמ"ש הרמב"ם והרב המגיד פ"ז. ועוד נראה כיון דבירושלמי [מט ב] יש פלוגתא בבורר אוכלין דחזקי' מחייב ור"י פוטר. וכיון דר"י פוטר ואפילו תולדה לא הוי דס"ל דלא דמי כלל לברירה שבמשכן מה"ת להפליג מחלקותם לומר דלחזקי' דומה ממש לברירה שבמשכן להיות אב מלאכה. </w:t>
      </w:r>
      <w:r w:rsidRPr="00DA7171">
        <w:rPr>
          <w:rStyle w:val="afff7"/>
          <w:rtl/>
        </w:rPr>
        <w:t>ועי' בתה"ד סימן נ"ו בטחינה שלא בגידולי קרקע אף להמחייבין. וס"ל ג"כ באוכל שאינו גידולי קרקע שייך טחינה מ"מ בתרתי לריעותא דאוכל שאינו גידולי קרקע יש לומר שמודים. עי"ש. וכן פסק בש"ע סי' שכ"א ומדבריו סיוע לדברינו:</w:t>
      </w:r>
    </w:p>
    <w:p w14:paraId="18F0DA7F" w14:textId="40AE95F1" w:rsidR="00592982" w:rsidRDefault="00592982" w:rsidP="00592982">
      <w:pPr>
        <w:pStyle w:val="affff5"/>
        <w:rPr>
          <w:rtl/>
        </w:rPr>
      </w:pPr>
      <w:bookmarkStart w:id="2256" w:name="_Toc137741940"/>
      <w:r>
        <w:rPr>
          <w:rFonts w:hint="cs"/>
          <w:rtl/>
        </w:rPr>
        <w:t>בד' התוס' והרא"ש דתלוי איזה מין נוטל</w:t>
      </w:r>
      <w:bookmarkEnd w:id="2256"/>
    </w:p>
    <w:p w14:paraId="6AFAFFE5" w14:textId="77777777" w:rsidR="00592982" w:rsidRPr="00885E0F" w:rsidRDefault="00592982" w:rsidP="00592982">
      <w:pPr>
        <w:pStyle w:val="1"/>
        <w:rPr>
          <w:rtl/>
        </w:rPr>
      </w:pPr>
      <w:bookmarkStart w:id="2257" w:name="_Toc137741941"/>
      <w:r>
        <w:rPr>
          <w:rFonts w:hint="cs"/>
          <w:rtl/>
        </w:rPr>
        <w:t>בי' התוס' והרא"ש דבנוטל המין שרוצה הוא כאוכל מפסולת</w:t>
      </w:r>
      <w:bookmarkEnd w:id="2257"/>
    </w:p>
    <w:p w14:paraId="3A37D227" w14:textId="77777777" w:rsidR="00592982" w:rsidRDefault="00592982" w:rsidP="00592982">
      <w:pPr>
        <w:pStyle w:val="afffff7"/>
        <w:rPr>
          <w:rtl/>
        </w:rPr>
      </w:pPr>
      <w:bookmarkStart w:id="2258" w:name="_Toc137566522"/>
      <w:bookmarkStart w:id="2259" w:name="_Toc137742028"/>
      <w:bookmarkStart w:id="2260" w:name="_Toc163505795"/>
      <w:r>
        <w:rPr>
          <w:rtl/>
        </w:rPr>
        <w:t>תוספות שבת ע"ד ע"א</w:t>
      </w:r>
      <w:r>
        <w:rPr>
          <w:rFonts w:hint="cs"/>
          <w:rtl/>
        </w:rPr>
        <w:t xml:space="preserve"> ד"ה היו</w:t>
      </w:r>
      <w:bookmarkEnd w:id="2258"/>
      <w:bookmarkEnd w:id="2259"/>
      <w:bookmarkEnd w:id="2260"/>
    </w:p>
    <w:p w14:paraId="0A85F39E" w14:textId="77777777" w:rsidR="00592982" w:rsidRDefault="00592982" w:rsidP="00592982">
      <w:pPr>
        <w:pStyle w:val="afffff7"/>
        <w:rPr>
          <w:rtl/>
        </w:rPr>
      </w:pPr>
      <w:bookmarkStart w:id="2261" w:name="_Toc137566523"/>
      <w:bookmarkStart w:id="2262" w:name="_Toc137742029"/>
      <w:bookmarkStart w:id="2263" w:name="_Toc163505796"/>
      <w:r>
        <w:rPr>
          <w:rtl/>
        </w:rPr>
        <w:t>רבינו חננאל שבת ע"ד ע"א</w:t>
      </w:r>
      <w:bookmarkEnd w:id="2261"/>
      <w:bookmarkEnd w:id="2262"/>
      <w:bookmarkEnd w:id="2263"/>
    </w:p>
    <w:p w14:paraId="4FDFB8E2" w14:textId="77777777" w:rsidR="00592982" w:rsidRDefault="00592982" w:rsidP="00592982">
      <w:pPr>
        <w:pStyle w:val="afffff7"/>
        <w:rPr>
          <w:rtl/>
        </w:rPr>
      </w:pPr>
      <w:bookmarkStart w:id="2264" w:name="_Toc137566524"/>
      <w:bookmarkStart w:id="2265" w:name="_Toc137742030"/>
      <w:bookmarkStart w:id="2266" w:name="_Toc163505797"/>
      <w:r>
        <w:rPr>
          <w:rtl/>
        </w:rPr>
        <w:t xml:space="preserve">רא"ש שבת </w:t>
      </w:r>
      <w:r>
        <w:rPr>
          <w:rFonts w:hint="cs"/>
          <w:rtl/>
        </w:rPr>
        <w:t>פ"ז סי'</w:t>
      </w:r>
      <w:r>
        <w:rPr>
          <w:rtl/>
        </w:rPr>
        <w:t xml:space="preserve"> ד</w:t>
      </w:r>
      <w:r>
        <w:rPr>
          <w:rFonts w:hint="cs"/>
          <w:rtl/>
        </w:rPr>
        <w:t>'</w:t>
      </w:r>
      <w:bookmarkEnd w:id="2264"/>
      <w:bookmarkEnd w:id="2265"/>
      <w:bookmarkEnd w:id="2266"/>
    </w:p>
    <w:p w14:paraId="54C490B0" w14:textId="77777777" w:rsidR="00592982" w:rsidRPr="00AA1EBF" w:rsidRDefault="00592982" w:rsidP="00592982">
      <w:pPr>
        <w:pStyle w:val="a7"/>
        <w:rPr>
          <w:rtl/>
        </w:rPr>
      </w:pPr>
      <w:bookmarkStart w:id="2267" w:name="_Toc137741942"/>
      <w:r>
        <w:rPr>
          <w:rFonts w:hint="cs"/>
          <w:rtl/>
        </w:rPr>
        <w:t>בי' ר"ח ותוס' והרא"ש דגרסי' "שני" דהמין שרוצה אוכל והב' פסולת והוסיף הרא"ש דרוצה עתה</w:t>
      </w:r>
      <w:bookmarkEnd w:id="2267"/>
    </w:p>
    <w:p w14:paraId="13EFA0EF" w14:textId="5D54ADC1" w:rsidR="00592982" w:rsidRDefault="00592982" w:rsidP="00BC7DC8">
      <w:pPr>
        <w:pStyle w:val="a3"/>
      </w:pPr>
      <w:bookmarkStart w:id="2268" w:name="_Ref137671185"/>
      <w:r>
        <w:rPr>
          <w:rFonts w:hint="cs"/>
          <w:rtl/>
        </w:rPr>
        <w:t xml:space="preserve">כתבו </w:t>
      </w:r>
      <w:r w:rsidRPr="00FA5B69">
        <w:rPr>
          <w:rStyle w:val="aff4"/>
          <w:rFonts w:hint="cs"/>
          <w:vanish/>
          <w:rtl/>
        </w:rPr>
        <w:t>-</w:t>
      </w:r>
      <w:r w:rsidRPr="00A34B78">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Ref137671185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כ)</w:t>
      </w:r>
      <w:r>
        <w:rPr>
          <w:rStyle w:val="aff4"/>
          <w:vanish/>
          <w:rtl/>
        </w:rPr>
        <w:fldChar w:fldCharType="end"/>
      </w:r>
      <w:r>
        <w:rPr>
          <w:rStyle w:val="aff4"/>
          <w:rFonts w:hint="cs"/>
          <w:vanish/>
          <w:rtl/>
        </w:rPr>
        <w:t xml:space="preserve"> &gt;</w:t>
      </w:r>
      <w:r w:rsidRPr="00A34B78">
        <w:rPr>
          <w:rStyle w:val="aff4"/>
          <w:rFonts w:hint="cs"/>
          <w:rtl/>
        </w:rPr>
        <w:t>תוס'</w:t>
      </w:r>
      <w:r w:rsidRPr="00FA5B69">
        <w:rPr>
          <w:rStyle w:val="aff4"/>
          <w:rFonts w:hint="cs"/>
          <w:vanish/>
          <w:rtl/>
        </w:rPr>
        <w:t>-</w:t>
      </w:r>
      <w:r>
        <w:rPr>
          <w:rFonts w:hint="cs"/>
          <w:rtl/>
        </w:rPr>
        <w:t xml:space="preserve"> </w:t>
      </w:r>
      <w:r w:rsidRPr="00D16BB6">
        <w:rPr>
          <w:rStyle w:val="af2"/>
          <w:rFonts w:eastAsia="Guttman Hodes" w:hint="cs"/>
          <w:rtl/>
        </w:rPr>
        <w:t>(ד"ה היו)</w:t>
      </w:r>
      <w:r w:rsidRPr="00FA5B69">
        <w:rPr>
          <w:rFonts w:hint="cs"/>
          <w:vanish/>
          <w:rtl/>
        </w:rPr>
        <w:t>=</w:t>
      </w:r>
      <w:r>
        <w:rPr>
          <w:rFonts w:hint="cs"/>
          <w:rtl/>
        </w:rPr>
        <w:t xml:space="preserve"> </w:t>
      </w:r>
      <w:r w:rsidRPr="004021DE">
        <w:rPr>
          <w:rFonts w:hint="cs"/>
          <w:vanish/>
          <w:rtl/>
        </w:rPr>
        <w:t>&lt; &gt;</w:t>
      </w:r>
      <w:r>
        <w:rPr>
          <w:rFonts w:hint="cs"/>
          <w:rtl/>
        </w:rPr>
        <w:t xml:space="preserve">בשם </w:t>
      </w:r>
      <w:r w:rsidRPr="00FA5B69">
        <w:rPr>
          <w:rStyle w:val="aff4"/>
          <w:rFonts w:hint="cs"/>
          <w:vanish/>
          <w:rtl/>
        </w:rPr>
        <w:t>-</w:t>
      </w:r>
      <w:r w:rsidRPr="00A34B78">
        <w:rPr>
          <w:rStyle w:val="aff4"/>
          <w:rFonts w:hint="cs"/>
          <w:rtl/>
        </w:rPr>
        <w:t>ר"ח</w:t>
      </w:r>
      <w:r w:rsidRPr="00FA5B69">
        <w:rPr>
          <w:rStyle w:val="aff4"/>
          <w:rFonts w:hint="cs"/>
          <w:vanish/>
          <w:rtl/>
        </w:rPr>
        <w:t>-</w:t>
      </w:r>
      <w:r>
        <w:rPr>
          <w:rFonts w:hint="cs"/>
          <w:rtl/>
        </w:rPr>
        <w:t xml:space="preserve"> </w:t>
      </w:r>
      <w:r w:rsidRPr="00D16BB6">
        <w:rPr>
          <w:rStyle w:val="af2"/>
          <w:rFonts w:eastAsia="Guttman Hodes" w:hint="cs"/>
          <w:rtl/>
        </w:rPr>
        <w:t>(ד"ה ת"ר)</w:t>
      </w:r>
      <w:r w:rsidRPr="00FA5B69">
        <w:rPr>
          <w:rFonts w:hint="cs"/>
          <w:vanish/>
          <w:rtl/>
        </w:rPr>
        <w:t>=</w:t>
      </w:r>
      <w:r>
        <w:rPr>
          <w:rFonts w:hint="cs"/>
          <w:rtl/>
        </w:rPr>
        <w:t xml:space="preserve"> דגרסינן בברייתא "שני" מיני אוכלין, ודלא </w:t>
      </w:r>
      <w:r w:rsidRPr="00D16BB6">
        <w:rPr>
          <w:rStyle w:val="aff4"/>
          <w:rFonts w:hint="cs"/>
          <w:vanish/>
          <w:rtl/>
        </w:rPr>
        <w:t>-</w:t>
      </w:r>
      <w:r w:rsidRPr="00D16BB6">
        <w:rPr>
          <w:rStyle w:val="aff4"/>
          <w:rFonts w:hint="cs"/>
          <w:rtl/>
        </w:rPr>
        <w:t>כרש"י</w:t>
      </w:r>
      <w:r w:rsidRPr="00D16BB6">
        <w:rPr>
          <w:rStyle w:val="aff4"/>
          <w:rFonts w:hint="cs"/>
          <w:vanish/>
          <w:rtl/>
        </w:rPr>
        <w:t>-</w:t>
      </w:r>
      <w:r>
        <w:rPr>
          <w:rFonts w:hint="cs"/>
          <w:rtl/>
        </w:rPr>
        <w:t xml:space="preserve"> </w:t>
      </w:r>
      <w:r w:rsidRPr="00D16BB6">
        <w:rPr>
          <w:rStyle w:val="af2"/>
          <w:rFonts w:eastAsia="Guttman Hodes" w:hint="cs"/>
          <w:rtl/>
        </w:rPr>
        <w:t xml:space="preserve">(עי' אות </w:t>
      </w:r>
      <w:r w:rsidRPr="00D16BB6">
        <w:rPr>
          <w:rStyle w:val="af2"/>
          <w:rFonts w:eastAsia="Guttman Hodes"/>
          <w:rtl/>
        </w:rPr>
        <w:fldChar w:fldCharType="begin"/>
      </w:r>
      <w:r w:rsidRPr="00D16BB6">
        <w:rPr>
          <w:rStyle w:val="af2"/>
          <w:rFonts w:eastAsia="Guttman Hodes"/>
          <w:rtl/>
        </w:rPr>
        <w:instrText xml:space="preserve"> </w:instrText>
      </w:r>
      <w:r w:rsidRPr="00D16BB6">
        <w:rPr>
          <w:rStyle w:val="af2"/>
          <w:rFonts w:eastAsia="Guttman Hodes" w:hint="cs"/>
        </w:rPr>
        <w:instrText>REF</w:instrText>
      </w:r>
      <w:r w:rsidRPr="00D16BB6">
        <w:rPr>
          <w:rStyle w:val="af2"/>
          <w:rFonts w:eastAsia="Guttman Hodes" w:hint="cs"/>
          <w:rtl/>
        </w:rPr>
        <w:instrText xml:space="preserve"> _</w:instrText>
      </w:r>
      <w:r w:rsidRPr="00D16BB6">
        <w:rPr>
          <w:rStyle w:val="af2"/>
          <w:rFonts w:eastAsia="Guttman Hodes" w:hint="cs"/>
        </w:rPr>
        <w:instrText>Ref137583936 \r \h</w:instrText>
      </w:r>
      <w:r w:rsidRPr="00D16BB6">
        <w:rPr>
          <w:rStyle w:val="af2"/>
          <w:rFonts w:eastAsia="Guttman Hodes"/>
          <w:rtl/>
        </w:rPr>
        <w:instrText xml:space="preserve"> </w:instrText>
      </w:r>
      <w:r w:rsidRPr="00D16BB6">
        <w:rPr>
          <w:rStyle w:val="af2"/>
          <w:rFonts w:eastAsia="Guttman Hodes"/>
          <w:rtl/>
        </w:rPr>
      </w:r>
      <w:r w:rsidRPr="00D16BB6">
        <w:rPr>
          <w:rStyle w:val="af2"/>
          <w:rFonts w:eastAsia="Guttman Hodes"/>
          <w:rtl/>
        </w:rPr>
        <w:fldChar w:fldCharType="separate"/>
      </w:r>
      <w:r w:rsidR="00D82181">
        <w:rPr>
          <w:rStyle w:val="af2"/>
          <w:rFonts w:eastAsia="Guttman Hodes"/>
          <w:cs/>
        </w:rPr>
        <w:t>‎</w:t>
      </w:r>
      <w:r w:rsidR="00D82181">
        <w:rPr>
          <w:rStyle w:val="af2"/>
          <w:rFonts w:eastAsia="Guttman Hodes"/>
          <w:rtl/>
        </w:rPr>
        <w:t>א)</w:t>
      </w:r>
      <w:r w:rsidRPr="00D16BB6">
        <w:rPr>
          <w:rStyle w:val="af2"/>
          <w:rFonts w:eastAsia="Guttman Hodes"/>
          <w:rtl/>
        </w:rPr>
        <w:fldChar w:fldCharType="end"/>
      </w:r>
      <w:r>
        <w:rPr>
          <w:rFonts w:hint="cs"/>
          <w:rtl/>
        </w:rPr>
        <w:t xml:space="preserve">, וביארו </w:t>
      </w:r>
      <w:r w:rsidRPr="00FA5B69">
        <w:rPr>
          <w:rStyle w:val="aff4"/>
          <w:rFonts w:hint="cs"/>
          <w:vanish/>
          <w:rtl/>
        </w:rPr>
        <w:t>-</w:t>
      </w:r>
      <w:r w:rsidRPr="00A34B78">
        <w:rPr>
          <w:rStyle w:val="aff4"/>
          <w:rFonts w:hint="cs"/>
          <w:rtl/>
        </w:rPr>
        <w:t>התוס'</w:t>
      </w:r>
      <w:r w:rsidRPr="00FA5B69">
        <w:rPr>
          <w:rStyle w:val="aff4"/>
          <w:rFonts w:hint="cs"/>
          <w:vanish/>
          <w:rtl/>
        </w:rPr>
        <w:t>-</w:t>
      </w:r>
      <w:r>
        <w:rPr>
          <w:rFonts w:hint="cs"/>
          <w:rtl/>
        </w:rPr>
        <w:t xml:space="preserve"> בשם </w:t>
      </w:r>
      <w:r w:rsidRPr="00FA5B69">
        <w:rPr>
          <w:rStyle w:val="aff4"/>
          <w:rFonts w:hint="cs"/>
          <w:vanish/>
          <w:rtl/>
        </w:rPr>
        <w:t>-</w:t>
      </w:r>
      <w:r w:rsidRPr="00A34B78">
        <w:rPr>
          <w:rStyle w:val="aff4"/>
          <w:rFonts w:hint="cs"/>
          <w:rtl/>
        </w:rPr>
        <w:t>ר"ח</w:t>
      </w:r>
      <w:r w:rsidRPr="00FA5B69">
        <w:rPr>
          <w:rStyle w:val="aff4"/>
          <w:rFonts w:hint="cs"/>
          <w:vanish/>
          <w:rtl/>
        </w:rPr>
        <w:t>-</w:t>
      </w:r>
      <w:r>
        <w:rPr>
          <w:rFonts w:hint="cs"/>
          <w:rtl/>
        </w:rPr>
        <w:t xml:space="preserve"> דאף באוכל שייכא ברירה כשבורר את המין שאינו רוצה בו מתוך המין שרוצה לאוכלו, דחשיב כפסולת מתוך אוכל, וכן משמע בירושלמי </w:t>
      </w:r>
      <w:r w:rsidRPr="00D16BB6">
        <w:rPr>
          <w:rStyle w:val="af2"/>
          <w:rFonts w:eastAsia="Guttman Hodes" w:hint="cs"/>
          <w:rtl/>
        </w:rPr>
        <w:t>(פ"ז ה"ב, מט:)</w:t>
      </w:r>
      <w:r>
        <w:rPr>
          <w:rFonts w:hint="cs"/>
          <w:rtl/>
        </w:rPr>
        <w:t xml:space="preserve"> דגרסינן בירר אוכלים מתוך אוכלים דחזקיה מחייב וריו"ח פוטר, </w:t>
      </w:r>
      <w:r w:rsidRPr="00D16BB6">
        <w:rPr>
          <w:rStyle w:val="af"/>
          <w:rFonts w:hint="cs"/>
          <w:rtl/>
        </w:rPr>
        <w:t xml:space="preserve">[וביאר </w:t>
      </w:r>
      <w:r w:rsidRPr="00D16BB6">
        <w:rPr>
          <w:rStyle w:val="aff9"/>
          <w:rFonts w:hint="cs"/>
          <w:vanish/>
          <w:rtl/>
        </w:rPr>
        <w:t>-</w:t>
      </w:r>
      <w:r w:rsidRPr="00D16BB6">
        <w:rPr>
          <w:rStyle w:val="aff9"/>
          <w:rFonts w:hint="cs"/>
          <w:rtl/>
        </w:rPr>
        <w:t>הראש יוסף</w:t>
      </w:r>
      <w:r w:rsidRPr="00D16BB6">
        <w:rPr>
          <w:rStyle w:val="aff9"/>
          <w:rFonts w:hint="cs"/>
          <w:vanish/>
          <w:rtl/>
        </w:rPr>
        <w:t>-</w:t>
      </w:r>
      <w:r w:rsidRPr="00D16BB6">
        <w:rPr>
          <w:rStyle w:val="af"/>
          <w:rFonts w:hint="cs"/>
          <w:rtl/>
        </w:rPr>
        <w:t xml:space="preserve"> </w:t>
      </w:r>
      <w:r w:rsidRPr="00D16BB6">
        <w:rPr>
          <w:rStyle w:val="aff0"/>
          <w:rFonts w:hint="cs"/>
          <w:rtl/>
        </w:rPr>
        <w:t>(ד"ה והנה)</w:t>
      </w:r>
      <w:r w:rsidRPr="00D16BB6">
        <w:rPr>
          <w:rStyle w:val="af"/>
          <w:rFonts w:hint="cs"/>
          <w:rtl/>
        </w:rPr>
        <w:t xml:space="preserve"> דכוונת </w:t>
      </w:r>
      <w:r w:rsidRPr="00D16BB6">
        <w:rPr>
          <w:rStyle w:val="aff9"/>
          <w:rFonts w:hint="cs"/>
          <w:vanish/>
          <w:rtl/>
        </w:rPr>
        <w:t>-</w:t>
      </w:r>
      <w:r w:rsidRPr="00D16BB6">
        <w:rPr>
          <w:rStyle w:val="aff9"/>
          <w:rFonts w:hint="cs"/>
          <w:rtl/>
        </w:rPr>
        <w:t>תוס'</w:t>
      </w:r>
      <w:r w:rsidRPr="00D16BB6">
        <w:rPr>
          <w:rStyle w:val="aff9"/>
          <w:rFonts w:hint="cs"/>
          <w:vanish/>
          <w:rtl/>
        </w:rPr>
        <w:t>-</w:t>
      </w:r>
      <w:r w:rsidRPr="00D16BB6">
        <w:rPr>
          <w:rStyle w:val="af"/>
          <w:rFonts w:hint="cs"/>
          <w:rtl/>
        </w:rPr>
        <w:t xml:space="preserve"> דקיי"ל כחזקיה דהוא רבו דריו"ח]</w:t>
      </w:r>
      <w:r w:rsidRPr="002650B4">
        <w:rPr>
          <w:rStyle w:val="af"/>
          <w:rFonts w:hint="cs"/>
          <w:rtl/>
        </w:rPr>
        <w:t>,</w:t>
      </w:r>
      <w:r w:rsidRPr="0007040B">
        <w:rPr>
          <w:rFonts w:hint="cs"/>
          <w:rtl/>
        </w:rPr>
        <w:t xml:space="preserve"> </w:t>
      </w:r>
      <w:r>
        <w:rPr>
          <w:rFonts w:hint="cs"/>
          <w:rtl/>
        </w:rPr>
        <w:t xml:space="preserve">וכ"כ </w:t>
      </w:r>
      <w:r w:rsidRPr="00FA5B69">
        <w:rPr>
          <w:rStyle w:val="aff4"/>
          <w:rFonts w:hint="cs"/>
          <w:vanish/>
          <w:rtl/>
        </w:rPr>
        <w:t>-</w:t>
      </w:r>
      <w:r w:rsidRPr="00A34B78">
        <w:rPr>
          <w:rStyle w:val="aff4"/>
          <w:rFonts w:hint="cs"/>
          <w:rtl/>
        </w:rPr>
        <w:t>ה</w:t>
      </w:r>
      <w:r w:rsidRPr="004021DE">
        <w:rPr>
          <w:rStyle w:val="aff4"/>
          <w:rFonts w:hint="cs"/>
          <w:vanish/>
          <w:rtl/>
        </w:rPr>
        <w:t>&lt; &gt;</w:t>
      </w:r>
      <w:r w:rsidRPr="00A34B78">
        <w:rPr>
          <w:rStyle w:val="aff4"/>
          <w:rFonts w:hint="cs"/>
          <w:rtl/>
        </w:rPr>
        <w:t>רא"ש</w:t>
      </w:r>
      <w:r w:rsidRPr="00FA5B69">
        <w:rPr>
          <w:rStyle w:val="aff4"/>
          <w:rFonts w:hint="cs"/>
          <w:vanish/>
          <w:rtl/>
        </w:rPr>
        <w:t>-</w:t>
      </w:r>
      <w:r>
        <w:rPr>
          <w:rFonts w:hint="cs"/>
          <w:rtl/>
        </w:rPr>
        <w:t xml:space="preserve"> </w:t>
      </w:r>
      <w:r w:rsidRPr="00D16BB6">
        <w:rPr>
          <w:rStyle w:val="af2"/>
          <w:rFonts w:eastAsia="Guttman Hodes" w:hint="cs"/>
          <w:rtl/>
        </w:rPr>
        <w:t>(סו"ס ד')</w:t>
      </w:r>
      <w:r w:rsidRPr="00FA5B69">
        <w:rPr>
          <w:rFonts w:hint="cs"/>
          <w:vanish/>
          <w:rtl/>
        </w:rPr>
        <w:t>=</w:t>
      </w:r>
      <w:r>
        <w:rPr>
          <w:rFonts w:hint="cs"/>
          <w:rtl/>
        </w:rPr>
        <w:t xml:space="preserve"> דגרסינן "שני" מיני אוכלין דשייך בזה ברירה, והוסיף </w:t>
      </w:r>
      <w:r w:rsidRPr="00FA5B69">
        <w:rPr>
          <w:rStyle w:val="aff4"/>
          <w:rFonts w:hint="cs"/>
          <w:vanish/>
          <w:rtl/>
        </w:rPr>
        <w:t>-</w:t>
      </w:r>
      <w:r w:rsidRPr="00A34B78">
        <w:rPr>
          <w:rStyle w:val="aff4"/>
          <w:rFonts w:hint="cs"/>
          <w:rtl/>
        </w:rPr>
        <w:t>הרא"ש</w:t>
      </w:r>
      <w:r w:rsidRPr="00FA5B69">
        <w:rPr>
          <w:rStyle w:val="aff4"/>
          <w:rFonts w:hint="cs"/>
          <w:vanish/>
          <w:rtl/>
        </w:rPr>
        <w:t>-</w:t>
      </w:r>
      <w:r>
        <w:rPr>
          <w:rFonts w:hint="cs"/>
          <w:rtl/>
        </w:rPr>
        <w:t xml:space="preserve"> דהאוכל שרוצה לאוכלו "עתה" חשיב אוכל, ועי' במה שביאר </w:t>
      </w:r>
      <w:r w:rsidRPr="00D16BB6">
        <w:rPr>
          <w:rStyle w:val="aff4"/>
          <w:rFonts w:hint="cs"/>
          <w:vanish/>
          <w:rtl/>
        </w:rPr>
        <w:t>-</w:t>
      </w:r>
      <w:r w:rsidRPr="00D16BB6">
        <w:rPr>
          <w:rStyle w:val="aff4"/>
          <w:rFonts w:hint="cs"/>
          <w:rtl/>
        </w:rPr>
        <w:t>הפרמ"ג</w:t>
      </w:r>
      <w:r w:rsidRPr="00D16BB6">
        <w:rPr>
          <w:rStyle w:val="aff4"/>
          <w:rFonts w:hint="cs"/>
          <w:vanish/>
          <w:rtl/>
        </w:rPr>
        <w:t>-</w:t>
      </w:r>
      <w:r>
        <w:rPr>
          <w:rFonts w:hint="cs"/>
          <w:rtl/>
        </w:rPr>
        <w:t xml:space="preserve"> </w:t>
      </w:r>
      <w:r w:rsidRPr="00D16BB6">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Ref137722592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מד)</w:t>
      </w:r>
      <w:r>
        <w:rPr>
          <w:rStyle w:val="af2"/>
          <w:rFonts w:eastAsia="Guttman Hodes"/>
          <w:rtl/>
        </w:rPr>
        <w:fldChar w:fldCharType="end"/>
      </w:r>
      <w:r>
        <w:rPr>
          <w:rFonts w:hint="cs"/>
          <w:rtl/>
        </w:rPr>
        <w:t xml:space="preserve"> בדברי </w:t>
      </w:r>
      <w:r w:rsidRPr="00D16BB6">
        <w:rPr>
          <w:rStyle w:val="aff4"/>
          <w:rFonts w:hint="cs"/>
          <w:vanish/>
          <w:rtl/>
        </w:rPr>
        <w:t>-</w:t>
      </w:r>
      <w:r w:rsidRPr="00D16BB6">
        <w:rPr>
          <w:rStyle w:val="aff4"/>
          <w:rFonts w:hint="cs"/>
          <w:rtl/>
        </w:rPr>
        <w:t>הרא"ש</w:t>
      </w:r>
      <w:r w:rsidRPr="00D16BB6">
        <w:rPr>
          <w:rStyle w:val="aff4"/>
          <w:rFonts w:hint="cs"/>
          <w:vanish/>
          <w:rtl/>
        </w:rPr>
        <w:t>-</w:t>
      </w:r>
      <w:r>
        <w:rPr>
          <w:rFonts w:hint="cs"/>
          <w:rtl/>
        </w:rPr>
        <w:t>.</w:t>
      </w:r>
      <w:bookmarkEnd w:id="2268"/>
    </w:p>
    <w:p w14:paraId="6AFDA100" w14:textId="77777777" w:rsidR="00592982" w:rsidRDefault="00592982" w:rsidP="00592982">
      <w:pPr>
        <w:pStyle w:val="afffff7"/>
        <w:rPr>
          <w:rtl/>
        </w:rPr>
      </w:pPr>
    </w:p>
    <w:p w14:paraId="1F167556" w14:textId="77777777" w:rsidR="00592982" w:rsidRPr="002A1396" w:rsidRDefault="00592982" w:rsidP="00592982">
      <w:pPr>
        <w:pStyle w:val="a7"/>
        <w:rPr>
          <w:rtl/>
        </w:rPr>
      </w:pPr>
    </w:p>
    <w:p w14:paraId="3BA0334B" w14:textId="77777777" w:rsidR="00592982" w:rsidRPr="00747170" w:rsidRDefault="00592982" w:rsidP="00747170">
      <w:pPr>
        <w:pStyle w:val="a2"/>
        <w:rPr>
          <w:rtl/>
        </w:rPr>
      </w:pPr>
      <w:r w:rsidRPr="00747170">
        <w:rPr>
          <w:rtl/>
        </w:rPr>
        <w:t>היו לפניו שני מיני אוכלין גרסי' - וכן פירש ר"ח דבאוכל מתוך אוכל שייכא ברירה שבורר אותו שאינו חפץ לאכול מתוך אותו שרוצה לאכול דאותו שאינו חפץ בו חשיב פסולת לגבי אותו שחפץ לאכול וכן משמע בירושלמי דגרס הבורר אוכלים מתוך אוכלים חזקיה אמר כו'.</w:t>
      </w:r>
    </w:p>
    <w:p w14:paraId="0BDC8FED" w14:textId="77777777" w:rsidR="00592982" w:rsidRPr="00C61A8D" w:rsidRDefault="00592982" w:rsidP="00747170">
      <w:pPr>
        <w:pStyle w:val="afffff5"/>
        <w:rPr>
          <w:rtl/>
        </w:rPr>
      </w:pPr>
      <w:r w:rsidRPr="00C61A8D">
        <w:rPr>
          <w:rtl/>
        </w:rPr>
        <w:t>ת"ר היו לפניו ב' מיני אוכלין בורר ואוכל בורר ומניח ולא יברר ואם בירר חייב חטאת.</w:t>
      </w:r>
    </w:p>
    <w:p w14:paraId="278A3C1C" w14:textId="77777777" w:rsidR="00592982" w:rsidRPr="00C61A8D" w:rsidRDefault="00592982" w:rsidP="00747170">
      <w:pPr>
        <w:pStyle w:val="afffff5"/>
        <w:rPr>
          <w:rtl/>
        </w:rPr>
      </w:pPr>
      <w:r w:rsidRPr="00C61A8D">
        <w:rPr>
          <w:rtl/>
        </w:rPr>
        <w:t>והבורר שני מיני אוכלין אותו שרוצה לאוכלו עתה מיקרי אוכל ואידך מקרי פסולת.</w:t>
      </w:r>
    </w:p>
    <w:p w14:paraId="7D30BCCF" w14:textId="77777777" w:rsidR="00592982" w:rsidRDefault="00592982" w:rsidP="00592982">
      <w:pPr>
        <w:pStyle w:val="afffff7"/>
        <w:rPr>
          <w:rtl/>
        </w:rPr>
      </w:pPr>
      <w:bookmarkStart w:id="2269" w:name="_Toc137742031"/>
      <w:bookmarkStart w:id="2270" w:name="_Toc137742032"/>
      <w:bookmarkStart w:id="2271" w:name="_Toc163505798"/>
      <w:r>
        <w:rPr>
          <w:rFonts w:hint="cs"/>
          <w:rtl/>
        </w:rPr>
        <w:t>רמ"א</w:t>
      </w:r>
      <w:r>
        <w:rPr>
          <w:rtl/>
        </w:rPr>
        <w:t xml:space="preserve"> או"ח סי' שי"ט ג'</w:t>
      </w:r>
      <w:bookmarkEnd w:id="2269"/>
      <w:bookmarkEnd w:id="2271"/>
    </w:p>
    <w:p w14:paraId="51C84BB5" w14:textId="330F1B05" w:rsidR="00592982" w:rsidRDefault="00592982" w:rsidP="00592982">
      <w:pPr>
        <w:pStyle w:val="afffff7"/>
        <w:rPr>
          <w:rtl/>
        </w:rPr>
      </w:pPr>
      <w:bookmarkStart w:id="2272" w:name="_Toc163505799"/>
      <w:r>
        <w:rPr>
          <w:rtl/>
        </w:rPr>
        <w:t xml:space="preserve">טור </w:t>
      </w:r>
      <w:r>
        <w:rPr>
          <w:rFonts w:hint="cs"/>
          <w:rtl/>
        </w:rPr>
        <w:t>או"ח סי'</w:t>
      </w:r>
      <w:r>
        <w:rPr>
          <w:rtl/>
        </w:rPr>
        <w:t xml:space="preserve"> שיט</w:t>
      </w:r>
      <w:r>
        <w:rPr>
          <w:rFonts w:hint="cs"/>
          <w:rtl/>
        </w:rPr>
        <w:t xml:space="preserve"> ג'</w:t>
      </w:r>
      <w:bookmarkEnd w:id="2270"/>
      <w:bookmarkEnd w:id="2272"/>
    </w:p>
    <w:p w14:paraId="0C0D37FF" w14:textId="77777777" w:rsidR="00592982" w:rsidRDefault="00592982" w:rsidP="00592982">
      <w:pPr>
        <w:pStyle w:val="afffff7"/>
        <w:rPr>
          <w:rtl/>
        </w:rPr>
      </w:pPr>
      <w:bookmarkStart w:id="2273" w:name="_Toc137742033"/>
      <w:bookmarkStart w:id="2274" w:name="_Toc163505800"/>
      <w:r>
        <w:rPr>
          <w:rtl/>
        </w:rPr>
        <w:t>מגן אברהם סי</w:t>
      </w:r>
      <w:r>
        <w:rPr>
          <w:rFonts w:hint="cs"/>
          <w:rtl/>
        </w:rPr>
        <w:t>'</w:t>
      </w:r>
      <w:r>
        <w:rPr>
          <w:rtl/>
        </w:rPr>
        <w:t xml:space="preserve"> שי</w:t>
      </w:r>
      <w:r>
        <w:rPr>
          <w:rFonts w:hint="cs"/>
          <w:rtl/>
        </w:rPr>
        <w:t>"</w:t>
      </w:r>
      <w:r>
        <w:rPr>
          <w:rtl/>
        </w:rPr>
        <w:t>ט סק</w:t>
      </w:r>
      <w:r>
        <w:rPr>
          <w:rFonts w:hint="cs"/>
          <w:rtl/>
        </w:rPr>
        <w:t>"</w:t>
      </w:r>
      <w:r>
        <w:rPr>
          <w:rtl/>
        </w:rPr>
        <w:t>ד</w:t>
      </w:r>
      <w:bookmarkEnd w:id="2273"/>
      <w:bookmarkEnd w:id="2274"/>
    </w:p>
    <w:p w14:paraId="7229F1EC" w14:textId="77777777" w:rsidR="00592982" w:rsidRPr="006C3D47" w:rsidRDefault="00592982" w:rsidP="00592982">
      <w:pPr>
        <w:pStyle w:val="afffff7"/>
      </w:pPr>
      <w:bookmarkStart w:id="2275" w:name="_Toc137742034"/>
      <w:bookmarkStart w:id="2276" w:name="_Toc163505801"/>
      <w:r w:rsidRPr="006C3D47">
        <w:rPr>
          <w:rFonts w:hint="cs"/>
          <w:rtl/>
        </w:rPr>
        <w:t>באור הלכה סי' שי"ט ג' ד"ה ומניח</w:t>
      </w:r>
      <w:bookmarkEnd w:id="2275"/>
      <w:bookmarkEnd w:id="2276"/>
    </w:p>
    <w:p w14:paraId="4E32E517" w14:textId="77777777" w:rsidR="00592982" w:rsidRDefault="00592982" w:rsidP="00592982">
      <w:pPr>
        <w:pStyle w:val="a7"/>
        <w:rPr>
          <w:rtl/>
        </w:rPr>
      </w:pPr>
      <w:bookmarkStart w:id="2277" w:name="_Toc137741943"/>
      <w:r>
        <w:rPr>
          <w:rFonts w:hint="cs"/>
          <w:rtl/>
        </w:rPr>
        <w:t>בי' הטור והרמ"א דהמין שרוצה עכשיו הוא אוכל והמין שמניח פסולת ורק אוכל מפסולת מותר</w:t>
      </w:r>
      <w:bookmarkEnd w:id="2277"/>
    </w:p>
    <w:p w14:paraId="118B9506" w14:textId="609343AD" w:rsidR="00592982" w:rsidRDefault="00592982" w:rsidP="00BC7DC8">
      <w:pPr>
        <w:pStyle w:val="a3"/>
        <w:rPr>
          <w:rtl/>
        </w:rPr>
      </w:pPr>
      <w:bookmarkStart w:id="2278" w:name="_Ref136984456"/>
      <w:bookmarkStart w:id="2279" w:name="_Ref137639512"/>
      <w:r>
        <w:rPr>
          <w:rFonts w:hint="cs"/>
          <w:rtl/>
        </w:rPr>
        <w:t xml:space="preserve">וכ"כ </w:t>
      </w:r>
      <w:r w:rsidRPr="003A7306">
        <w:rPr>
          <w:rStyle w:val="aff4"/>
          <w:rFonts w:hint="cs"/>
          <w:vanish/>
          <w:rtl/>
        </w:rPr>
        <w:t>-</w:t>
      </w:r>
      <w:r w:rsidRPr="00E9617D">
        <w:rPr>
          <w:rStyle w:val="aff4"/>
          <w:rFonts w:hint="cs"/>
          <w:rtl/>
        </w:rPr>
        <w:t>ה</w:t>
      </w:r>
      <w:r w:rsidRPr="003A7306">
        <w:rPr>
          <w:rStyle w:val="aff4"/>
          <w:rFonts w:hint="cs"/>
          <w:vanish/>
          <w:rtl/>
        </w:rPr>
        <w:t xml:space="preserve">&lt;. </w:t>
      </w:r>
      <w:r w:rsidRPr="003A7306">
        <w:rPr>
          <w:rStyle w:val="aff4"/>
          <w:vanish/>
          <w:rtl/>
        </w:rPr>
        <w:fldChar w:fldCharType="begin"/>
      </w:r>
      <w:r w:rsidRPr="003A7306">
        <w:rPr>
          <w:rStyle w:val="aff4"/>
          <w:vanish/>
          <w:rtl/>
        </w:rPr>
        <w:instrText xml:space="preserve"> </w:instrText>
      </w:r>
      <w:r w:rsidRPr="003A7306">
        <w:rPr>
          <w:rStyle w:val="aff4"/>
          <w:rFonts w:hint="cs"/>
          <w:vanish/>
        </w:rPr>
        <w:instrText>REF</w:instrText>
      </w:r>
      <w:r w:rsidRPr="003A7306">
        <w:rPr>
          <w:rStyle w:val="aff4"/>
          <w:rFonts w:hint="cs"/>
          <w:vanish/>
          <w:rtl/>
        </w:rPr>
        <w:instrText xml:space="preserve"> _</w:instrText>
      </w:r>
      <w:r w:rsidRPr="003A7306">
        <w:rPr>
          <w:rStyle w:val="aff4"/>
          <w:rFonts w:hint="cs"/>
          <w:vanish/>
        </w:rPr>
        <w:instrText>Ref136984456 \r \h</w:instrText>
      </w:r>
      <w:r w:rsidRPr="003A7306">
        <w:rPr>
          <w:rStyle w:val="aff4"/>
          <w:vanish/>
          <w:rtl/>
        </w:rPr>
        <w:instrText xml:space="preserve">  \* </w:instrText>
      </w:r>
      <w:r w:rsidRPr="003A7306">
        <w:rPr>
          <w:rStyle w:val="aff4"/>
          <w:vanish/>
        </w:rPr>
        <w:instrText>MERGEFORMAT</w:instrText>
      </w:r>
      <w:r w:rsidRPr="003A7306">
        <w:rPr>
          <w:rStyle w:val="aff4"/>
          <w:vanish/>
          <w:rtl/>
        </w:rPr>
        <w:instrText xml:space="preserve"> </w:instrText>
      </w:r>
      <w:r w:rsidRPr="003A7306">
        <w:rPr>
          <w:rStyle w:val="aff4"/>
          <w:vanish/>
          <w:rtl/>
        </w:rPr>
      </w:r>
      <w:r w:rsidRPr="003A7306">
        <w:rPr>
          <w:rStyle w:val="aff4"/>
          <w:vanish/>
          <w:rtl/>
        </w:rPr>
        <w:fldChar w:fldCharType="separate"/>
      </w:r>
      <w:r w:rsidR="00D82181">
        <w:rPr>
          <w:rStyle w:val="aff4"/>
          <w:vanish/>
          <w:cs/>
        </w:rPr>
        <w:t>‎</w:t>
      </w:r>
      <w:r w:rsidR="00D82181">
        <w:rPr>
          <w:rStyle w:val="aff4"/>
          <w:vanish/>
          <w:rtl/>
        </w:rPr>
        <w:t>כא)</w:t>
      </w:r>
      <w:r w:rsidRPr="003A7306">
        <w:rPr>
          <w:rStyle w:val="aff4"/>
          <w:vanish/>
          <w:rtl/>
        </w:rPr>
        <w:fldChar w:fldCharType="end"/>
      </w:r>
      <w:r w:rsidRPr="003A7306">
        <w:rPr>
          <w:rStyle w:val="aff4"/>
          <w:rFonts w:hint="cs"/>
          <w:vanish/>
          <w:rtl/>
        </w:rPr>
        <w:t xml:space="preserve"> &gt;</w:t>
      </w:r>
      <w:r w:rsidRPr="00E9617D">
        <w:rPr>
          <w:rStyle w:val="aff4"/>
          <w:rFonts w:hint="cs"/>
          <w:rtl/>
        </w:rPr>
        <w:t>טור</w:t>
      </w:r>
      <w:r w:rsidRPr="003A7306">
        <w:rPr>
          <w:rStyle w:val="aff4"/>
          <w:rFonts w:hint="cs"/>
          <w:vanish/>
          <w:rtl/>
        </w:rPr>
        <w:t>-</w:t>
      </w:r>
      <w:r>
        <w:rPr>
          <w:rFonts w:hint="cs"/>
          <w:rtl/>
        </w:rPr>
        <w:t xml:space="preserve"> </w:t>
      </w:r>
      <w:r w:rsidRPr="00D16BB6">
        <w:rPr>
          <w:rStyle w:val="af2"/>
          <w:rFonts w:eastAsia="Guttman Hodes" w:hint="cs"/>
          <w:rtl/>
        </w:rPr>
        <w:t>(סי' שי"ט ג')</w:t>
      </w:r>
      <w:r w:rsidRPr="003A7306">
        <w:rPr>
          <w:rFonts w:hint="cs"/>
          <w:vanish/>
          <w:rtl/>
        </w:rPr>
        <w:t>=</w:t>
      </w:r>
      <w:r>
        <w:rPr>
          <w:rFonts w:hint="cs"/>
          <w:rtl/>
        </w:rPr>
        <w:t xml:space="preserve"> דהבורר ב' מיני אוכלין, המין שרוצה לאוכלו עכשיו חשיב כאוכל, והמין השני כפסולת ואסור לבררו מהאוכל</w:t>
      </w:r>
      <w:bookmarkStart w:id="2280" w:name="_Ref137113367"/>
      <w:bookmarkEnd w:id="2278"/>
      <w:r>
        <w:rPr>
          <w:rFonts w:hint="cs"/>
          <w:rtl/>
        </w:rPr>
        <w:t>,</w:t>
      </w:r>
      <w:r w:rsidRPr="003A7306">
        <w:rPr>
          <w:rFonts w:hint="cs"/>
          <w:rtl/>
        </w:rPr>
        <w:t xml:space="preserve"> </w:t>
      </w:r>
      <w:r>
        <w:rPr>
          <w:rFonts w:hint="cs"/>
          <w:rtl/>
        </w:rPr>
        <w:t>ועי' במ"ש</w:t>
      </w:r>
      <w:r w:rsidRPr="000D6D47">
        <w:rPr>
          <w:rStyle w:val="aff4"/>
          <w:rFonts w:hint="cs"/>
          <w:rtl/>
        </w:rPr>
        <w:t xml:space="preserve"> </w:t>
      </w:r>
      <w:r w:rsidRPr="000D6D47">
        <w:rPr>
          <w:rStyle w:val="aff4"/>
          <w:rFonts w:hint="cs"/>
          <w:vanish/>
          <w:rtl/>
        </w:rPr>
        <w:t>-</w:t>
      </w:r>
      <w:r w:rsidRPr="000D6D47">
        <w:rPr>
          <w:rStyle w:val="aff4"/>
          <w:rFonts w:hint="cs"/>
          <w:rtl/>
        </w:rPr>
        <w:t>השו"ע</w:t>
      </w:r>
      <w:r w:rsidRPr="000D6D47">
        <w:rPr>
          <w:rStyle w:val="aff4"/>
          <w:rFonts w:hint="cs"/>
          <w:vanish/>
          <w:rtl/>
        </w:rPr>
        <w:t>-</w:t>
      </w:r>
      <w:r w:rsidRPr="000D6D47">
        <w:rPr>
          <w:rStyle w:val="aff4"/>
          <w:rFonts w:hint="cs"/>
          <w:rtl/>
        </w:rPr>
        <w:t xml:space="preserve"> </w:t>
      </w:r>
      <w:r w:rsidRPr="00D16BB6">
        <w:rPr>
          <w:rStyle w:val="af2"/>
          <w:rFonts w:eastAsia="Guttman Hodes" w:hint="cs"/>
          <w:rtl/>
        </w:rPr>
        <w:t xml:space="preserve">(עי' אות </w:t>
      </w:r>
      <w:r w:rsidRPr="00D16BB6">
        <w:rPr>
          <w:rStyle w:val="af2"/>
          <w:rFonts w:eastAsia="Guttman Hodes"/>
          <w:rtl/>
        </w:rPr>
        <w:fldChar w:fldCharType="begin"/>
      </w:r>
      <w:r w:rsidRPr="00D16BB6">
        <w:rPr>
          <w:rStyle w:val="af2"/>
          <w:rFonts w:eastAsia="Guttman Hodes"/>
          <w:rtl/>
        </w:rPr>
        <w:instrText xml:space="preserve"> </w:instrText>
      </w:r>
      <w:r w:rsidRPr="00D16BB6">
        <w:rPr>
          <w:rStyle w:val="af2"/>
          <w:rFonts w:eastAsia="Guttman Hodes" w:hint="cs"/>
        </w:rPr>
        <w:instrText>REF</w:instrText>
      </w:r>
      <w:r w:rsidRPr="00D16BB6">
        <w:rPr>
          <w:rStyle w:val="af2"/>
          <w:rFonts w:eastAsia="Guttman Hodes" w:hint="cs"/>
          <w:rtl/>
        </w:rPr>
        <w:instrText xml:space="preserve"> _</w:instrText>
      </w:r>
      <w:r w:rsidRPr="00D16BB6">
        <w:rPr>
          <w:rStyle w:val="af2"/>
          <w:rFonts w:eastAsia="Guttman Hodes" w:hint="cs"/>
        </w:rPr>
        <w:instrText>Ref136812058 \r \h</w:instrText>
      </w:r>
      <w:r w:rsidRPr="00D16BB6">
        <w:rPr>
          <w:rStyle w:val="af2"/>
          <w:rFonts w:eastAsia="Guttman Hodes"/>
          <w:rtl/>
        </w:rPr>
        <w:instrText xml:space="preserve"> </w:instrText>
      </w:r>
      <w:r w:rsidRPr="00D16BB6">
        <w:rPr>
          <w:rStyle w:val="af2"/>
          <w:rFonts w:eastAsia="Guttman Hodes"/>
          <w:rtl/>
        </w:rPr>
      </w:r>
      <w:r w:rsidRPr="00D16BB6">
        <w:rPr>
          <w:rStyle w:val="af2"/>
          <w:rFonts w:eastAsia="Guttman Hodes"/>
          <w:rtl/>
        </w:rPr>
        <w:fldChar w:fldCharType="separate"/>
      </w:r>
      <w:r w:rsidR="00D82181">
        <w:rPr>
          <w:rStyle w:val="af2"/>
          <w:rFonts w:eastAsia="Guttman Hodes"/>
          <w:cs/>
        </w:rPr>
        <w:t>‎</w:t>
      </w:r>
      <w:r w:rsidR="00D82181">
        <w:rPr>
          <w:rStyle w:val="af2"/>
          <w:rFonts w:eastAsia="Guttman Hodes"/>
          <w:rtl/>
        </w:rPr>
        <w:t>לו)</w:t>
      </w:r>
      <w:r w:rsidRPr="00D16BB6">
        <w:rPr>
          <w:rStyle w:val="af2"/>
          <w:rFonts w:eastAsia="Guttman Hodes"/>
          <w:rtl/>
        </w:rPr>
        <w:fldChar w:fldCharType="end"/>
      </w:r>
      <w:r w:rsidRPr="003A7306">
        <w:rPr>
          <w:rStyle w:val="af2"/>
          <w:rFonts w:eastAsia="Guttman Hodes" w:hint="cs"/>
          <w:rtl/>
        </w:rPr>
        <w:t xml:space="preserve"> </w:t>
      </w:r>
      <w:r>
        <w:rPr>
          <w:rFonts w:hint="cs"/>
          <w:rtl/>
        </w:rPr>
        <w:t xml:space="preserve">דבב' מיני אוכלין בורר אחד ומניח את השני, דהוסיף </w:t>
      </w:r>
      <w:r w:rsidRPr="003A7306">
        <w:rPr>
          <w:rStyle w:val="aff4"/>
          <w:rFonts w:hint="cs"/>
          <w:vanish/>
          <w:rtl/>
        </w:rPr>
        <w:t>-</w:t>
      </w:r>
      <w:r w:rsidRPr="00BF56CC">
        <w:rPr>
          <w:rStyle w:val="aff4"/>
          <w:rFonts w:hint="cs"/>
          <w:rtl/>
        </w:rPr>
        <w:t>ה</w:t>
      </w:r>
      <w:r>
        <w:rPr>
          <w:rStyle w:val="aff4"/>
          <w:rFonts w:hint="cs"/>
          <w:vanish/>
          <w:rtl/>
        </w:rPr>
        <w:t>&lt; &gt;</w:t>
      </w:r>
      <w:r w:rsidRPr="00BF56CC">
        <w:rPr>
          <w:rStyle w:val="aff4"/>
          <w:rFonts w:hint="cs"/>
          <w:rtl/>
        </w:rPr>
        <w:t>רמ"א</w:t>
      </w:r>
      <w:r w:rsidRPr="003A7306">
        <w:rPr>
          <w:rStyle w:val="aff4"/>
          <w:rFonts w:hint="cs"/>
          <w:vanish/>
          <w:rtl/>
        </w:rPr>
        <w:t>-</w:t>
      </w:r>
      <w:r>
        <w:rPr>
          <w:rFonts w:hint="cs"/>
          <w:rtl/>
        </w:rPr>
        <w:t xml:space="preserve"> </w:t>
      </w:r>
      <w:r w:rsidRPr="00D16BB6">
        <w:rPr>
          <w:rStyle w:val="af2"/>
          <w:rFonts w:eastAsia="Guttman Hodes" w:hint="cs"/>
          <w:rtl/>
        </w:rPr>
        <w:t>(סי' שי"ט ג')</w:t>
      </w:r>
      <w:r w:rsidRPr="003A7306">
        <w:rPr>
          <w:rFonts w:hint="cs"/>
          <w:vanish/>
          <w:rtl/>
        </w:rPr>
        <w:t>=</w:t>
      </w:r>
      <w:r>
        <w:rPr>
          <w:rFonts w:hint="cs"/>
          <w:rtl/>
        </w:rPr>
        <w:t xml:space="preserve"> ומניח "השני כדי" לאכול מיד, וביאר </w:t>
      </w:r>
      <w:r w:rsidRPr="003A7306">
        <w:rPr>
          <w:rStyle w:val="aff4"/>
          <w:rFonts w:hint="cs"/>
          <w:vanish/>
          <w:rtl/>
        </w:rPr>
        <w:t>-</w:t>
      </w:r>
      <w:r w:rsidRPr="00BF56CC">
        <w:rPr>
          <w:rStyle w:val="aff4"/>
          <w:rFonts w:hint="cs"/>
          <w:rtl/>
        </w:rPr>
        <w:t>ה</w:t>
      </w:r>
      <w:r w:rsidRPr="003A7306">
        <w:rPr>
          <w:rStyle w:val="aff4"/>
          <w:rFonts w:hint="cs"/>
          <w:vanish/>
          <w:rtl/>
        </w:rPr>
        <w:t>&lt; &gt;</w:t>
      </w:r>
      <w:r w:rsidRPr="00BF56CC">
        <w:rPr>
          <w:rStyle w:val="aff4"/>
          <w:rFonts w:hint="cs"/>
          <w:rtl/>
        </w:rPr>
        <w:t>מג"א</w:t>
      </w:r>
      <w:r w:rsidRPr="003A7306">
        <w:rPr>
          <w:rStyle w:val="aff4"/>
          <w:rFonts w:hint="cs"/>
          <w:vanish/>
          <w:rtl/>
        </w:rPr>
        <w:t>-</w:t>
      </w:r>
      <w:r>
        <w:rPr>
          <w:rFonts w:hint="cs"/>
          <w:rtl/>
        </w:rPr>
        <w:t xml:space="preserve"> </w:t>
      </w:r>
      <w:r w:rsidRPr="00D16BB6">
        <w:rPr>
          <w:rStyle w:val="af2"/>
          <w:rFonts w:eastAsia="Guttman Hodes" w:hint="cs"/>
          <w:rtl/>
        </w:rPr>
        <w:t>(סי' שי"ט סק"ד)</w:t>
      </w:r>
      <w:r w:rsidRPr="003A7306">
        <w:rPr>
          <w:rFonts w:hint="cs"/>
          <w:vanish/>
          <w:rtl/>
        </w:rPr>
        <w:t>=</w:t>
      </w:r>
      <w:r>
        <w:rPr>
          <w:rFonts w:hint="cs"/>
          <w:rtl/>
        </w:rPr>
        <w:t xml:space="preserve"> דכוונת </w:t>
      </w:r>
      <w:r w:rsidRPr="003A7306">
        <w:rPr>
          <w:rStyle w:val="aff4"/>
          <w:rFonts w:hint="cs"/>
          <w:vanish/>
          <w:rtl/>
        </w:rPr>
        <w:t>-</w:t>
      </w:r>
      <w:r w:rsidRPr="00BF56CC">
        <w:rPr>
          <w:rStyle w:val="aff4"/>
          <w:rFonts w:hint="cs"/>
          <w:rtl/>
        </w:rPr>
        <w:t>הרמ"א</w:t>
      </w:r>
      <w:r w:rsidRPr="003A7306">
        <w:rPr>
          <w:rStyle w:val="aff4"/>
          <w:rFonts w:hint="cs"/>
          <w:vanish/>
          <w:rtl/>
        </w:rPr>
        <w:t>-</w:t>
      </w:r>
      <w:r>
        <w:rPr>
          <w:rFonts w:hint="cs"/>
          <w:rtl/>
        </w:rPr>
        <w:t xml:space="preserve"> למ"ש </w:t>
      </w:r>
      <w:r w:rsidRPr="003A7306">
        <w:rPr>
          <w:rStyle w:val="aff4"/>
          <w:rFonts w:hint="cs"/>
          <w:vanish/>
          <w:rtl/>
        </w:rPr>
        <w:t>-</w:t>
      </w:r>
      <w:r w:rsidRPr="00BF56CC">
        <w:rPr>
          <w:rStyle w:val="aff4"/>
          <w:rFonts w:hint="cs"/>
          <w:rtl/>
        </w:rPr>
        <w:t>הטור</w:t>
      </w:r>
      <w:r w:rsidRPr="003A7306">
        <w:rPr>
          <w:rStyle w:val="aff4"/>
          <w:rFonts w:hint="cs"/>
          <w:vanish/>
          <w:rtl/>
        </w:rPr>
        <w:t>-</w:t>
      </w:r>
      <w:r>
        <w:rPr>
          <w:rFonts w:hint="cs"/>
          <w:rtl/>
        </w:rPr>
        <w:t xml:space="preserve"> דהמין שרוצה עכשיו הוא אוכל והשני פסולת, ומותר להוציא רק את המין שרוצה עכשיו אבל להיפך הוא פסולת מתוך אוכל, וכדכתב </w:t>
      </w:r>
      <w:r w:rsidRPr="003A7306">
        <w:rPr>
          <w:rStyle w:val="aff4"/>
          <w:rFonts w:hint="cs"/>
          <w:vanish/>
          <w:rtl/>
        </w:rPr>
        <w:t>-</w:t>
      </w:r>
      <w:r w:rsidRPr="00BF56CC">
        <w:rPr>
          <w:rStyle w:val="aff4"/>
          <w:rFonts w:hint="cs"/>
          <w:rtl/>
        </w:rPr>
        <w:t>התרוה"ד</w:t>
      </w:r>
      <w:r w:rsidRPr="003A7306">
        <w:rPr>
          <w:rStyle w:val="aff4"/>
          <w:rFonts w:hint="cs"/>
          <w:vanish/>
          <w:rtl/>
        </w:rPr>
        <w:t>-</w:t>
      </w:r>
      <w:r>
        <w:rPr>
          <w:rFonts w:hint="cs"/>
          <w:rtl/>
        </w:rPr>
        <w:t xml:space="preserve"> </w:t>
      </w:r>
      <w:r w:rsidRPr="00D16BB6">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Ref137672583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כב)</w:t>
      </w:r>
      <w:r>
        <w:rPr>
          <w:rStyle w:val="af2"/>
          <w:rFonts w:eastAsia="Guttman Hodes"/>
          <w:rtl/>
        </w:rPr>
        <w:fldChar w:fldCharType="end"/>
      </w:r>
      <w:r>
        <w:rPr>
          <w:rFonts w:hint="cs"/>
          <w:rtl/>
        </w:rPr>
        <w:t xml:space="preserve">, וכתב </w:t>
      </w:r>
      <w:r w:rsidRPr="00EA794E">
        <w:rPr>
          <w:b/>
          <w:bCs/>
          <w:vanish/>
          <w:rtl/>
        </w:rPr>
        <w:t>-</w:t>
      </w:r>
      <w:r w:rsidRPr="00EA794E">
        <w:rPr>
          <w:b/>
          <w:bCs/>
          <w:rtl/>
        </w:rPr>
        <w:t>ה</w:t>
      </w:r>
      <w:r>
        <w:rPr>
          <w:rFonts w:hint="cs"/>
          <w:b/>
          <w:bCs/>
          <w:vanish/>
          <w:rtl/>
        </w:rPr>
        <w:t>&lt; &gt;</w:t>
      </w:r>
      <w:r w:rsidRPr="00EA794E">
        <w:rPr>
          <w:b/>
          <w:bCs/>
          <w:rtl/>
        </w:rPr>
        <w:t>ביה"ל</w:t>
      </w:r>
      <w:r w:rsidRPr="00EA794E">
        <w:rPr>
          <w:b/>
          <w:bCs/>
          <w:vanish/>
          <w:rtl/>
        </w:rPr>
        <w:t>-</w:t>
      </w:r>
      <w:r w:rsidRPr="00EA794E">
        <w:rPr>
          <w:rtl/>
        </w:rPr>
        <w:t xml:space="preserve"> </w:t>
      </w:r>
      <w:r w:rsidRPr="00D16BB6">
        <w:rPr>
          <w:rStyle w:val="af2"/>
          <w:rFonts w:eastAsia="Guttman Hodes" w:hint="cs"/>
          <w:rtl/>
        </w:rPr>
        <w:t>(סי' שי"ט ג' ד"ה ומניח)</w:t>
      </w:r>
      <w:r w:rsidRPr="00EA794E">
        <w:rPr>
          <w:vanish/>
          <w:rtl/>
        </w:rPr>
        <w:t>=</w:t>
      </w:r>
      <w:r w:rsidRPr="00EA794E">
        <w:rPr>
          <w:rtl/>
        </w:rPr>
        <w:t xml:space="preserve"> דהיינו כדעת </w:t>
      </w:r>
      <w:r w:rsidRPr="00EA794E">
        <w:rPr>
          <w:b/>
          <w:bCs/>
          <w:vanish/>
          <w:rtl/>
        </w:rPr>
        <w:t>-</w:t>
      </w:r>
      <w:r w:rsidRPr="00EA794E">
        <w:rPr>
          <w:b/>
          <w:bCs/>
          <w:rtl/>
        </w:rPr>
        <w:t>הרא"ש</w:t>
      </w:r>
      <w:r w:rsidRPr="00EA794E">
        <w:rPr>
          <w:b/>
          <w:bCs/>
          <w:vanish/>
          <w:rtl/>
        </w:rPr>
        <w:t>-</w:t>
      </w:r>
      <w:r w:rsidRPr="00EA794E">
        <w:rPr>
          <w:rtl/>
        </w:rPr>
        <w:t xml:space="preserve"> </w:t>
      </w:r>
      <w:r w:rsidRPr="00D16BB6">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Ref137671185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w:t>
      </w:r>
      <w:r>
        <w:rPr>
          <w:rStyle w:val="af2"/>
          <w:rFonts w:eastAsia="Guttman Hodes"/>
          <w:rtl/>
        </w:rPr>
        <w:fldChar w:fldCharType="end"/>
      </w:r>
      <w:r w:rsidRPr="00EA794E">
        <w:rPr>
          <w:rtl/>
        </w:rPr>
        <w:t xml:space="preserve"> דכתב דרוצה את המין האחד "עתה"</w:t>
      </w:r>
      <w:r>
        <w:rPr>
          <w:rFonts w:hint="cs"/>
          <w:rtl/>
        </w:rPr>
        <w:t>.</w:t>
      </w:r>
      <w:r w:rsidRPr="00EA794E">
        <w:rPr>
          <w:rtl/>
        </w:rPr>
        <w:t xml:space="preserve"> </w:t>
      </w:r>
      <w:r w:rsidRPr="00D16BB6">
        <w:rPr>
          <w:rStyle w:val="af"/>
          <w:rFonts w:hint="cs"/>
          <w:rtl/>
        </w:rPr>
        <w:t xml:space="preserve">[ובמה שהוסיף </w:t>
      </w:r>
      <w:r w:rsidRPr="00D16BB6">
        <w:rPr>
          <w:rStyle w:val="aff9"/>
          <w:rFonts w:hint="cs"/>
          <w:vanish/>
          <w:rtl/>
        </w:rPr>
        <w:t>-</w:t>
      </w:r>
      <w:r w:rsidRPr="00D16BB6">
        <w:rPr>
          <w:rStyle w:val="aff9"/>
          <w:rFonts w:hint="cs"/>
          <w:rtl/>
        </w:rPr>
        <w:t>השו"ע</w:t>
      </w:r>
      <w:r w:rsidRPr="00D16BB6">
        <w:rPr>
          <w:rStyle w:val="aff9"/>
          <w:rFonts w:hint="cs"/>
          <w:vanish/>
          <w:rtl/>
        </w:rPr>
        <w:t>-</w:t>
      </w:r>
      <w:r w:rsidRPr="00D16BB6">
        <w:rPr>
          <w:rStyle w:val="af"/>
          <w:rFonts w:hint="cs"/>
          <w:rtl/>
        </w:rPr>
        <w:t xml:space="preserve"> דבבורר והניח לאחר זמן אף לבו ביום חייב, עי' במה שהקשה </w:t>
      </w:r>
      <w:r w:rsidRPr="00D16BB6">
        <w:rPr>
          <w:rStyle w:val="aff9"/>
          <w:rFonts w:hint="cs"/>
          <w:vanish/>
          <w:rtl/>
        </w:rPr>
        <w:t>-</w:t>
      </w:r>
      <w:r w:rsidRPr="00D16BB6">
        <w:rPr>
          <w:rStyle w:val="aff9"/>
          <w:rFonts w:hint="cs"/>
          <w:rtl/>
        </w:rPr>
        <w:t>הראש יוסף</w:t>
      </w:r>
      <w:r w:rsidRPr="00D16BB6">
        <w:rPr>
          <w:rStyle w:val="aff9"/>
          <w:rFonts w:hint="cs"/>
          <w:vanish/>
          <w:rtl/>
        </w:rPr>
        <w:t>-</w:t>
      </w:r>
      <w:r w:rsidRPr="00D16BB6">
        <w:rPr>
          <w:rStyle w:val="af"/>
          <w:rFonts w:hint="cs"/>
          <w:rtl/>
        </w:rPr>
        <w:t xml:space="preserve"> </w:t>
      </w:r>
      <w:r w:rsidRPr="00D16BB6">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Ref137586923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מה)</w:t>
      </w:r>
      <w:r>
        <w:rPr>
          <w:rStyle w:val="aff0"/>
          <w:rtl/>
        </w:rPr>
        <w:fldChar w:fldCharType="end"/>
      </w:r>
      <w:r w:rsidRPr="00D16BB6">
        <w:rPr>
          <w:rStyle w:val="af"/>
          <w:rFonts w:hint="cs"/>
          <w:rtl/>
        </w:rPr>
        <w:t xml:space="preserve"> אמאי לא פליג </w:t>
      </w:r>
      <w:r w:rsidRPr="00D16BB6">
        <w:rPr>
          <w:rStyle w:val="aff9"/>
          <w:rFonts w:hint="cs"/>
          <w:vanish/>
          <w:rtl/>
        </w:rPr>
        <w:t>-</w:t>
      </w:r>
      <w:r w:rsidRPr="00D16BB6">
        <w:rPr>
          <w:rStyle w:val="aff9"/>
          <w:rFonts w:hint="cs"/>
          <w:rtl/>
        </w:rPr>
        <w:t>הרמ"א</w:t>
      </w:r>
      <w:r w:rsidRPr="00D16BB6">
        <w:rPr>
          <w:rStyle w:val="aff9"/>
          <w:rFonts w:hint="cs"/>
          <w:vanish/>
          <w:rtl/>
        </w:rPr>
        <w:t>-</w:t>
      </w:r>
      <w:r w:rsidRPr="00D16BB6">
        <w:rPr>
          <w:rStyle w:val="af"/>
          <w:rFonts w:hint="cs"/>
          <w:rtl/>
        </w:rPr>
        <w:t>]</w:t>
      </w:r>
      <w:r w:rsidRPr="002650B4">
        <w:rPr>
          <w:rStyle w:val="af"/>
          <w:rFonts w:hint="cs"/>
          <w:rtl/>
        </w:rPr>
        <w:t>.</w:t>
      </w:r>
      <w:bookmarkEnd w:id="2279"/>
      <w:bookmarkEnd w:id="2280"/>
    </w:p>
    <w:p w14:paraId="32E0CFB6" w14:textId="77777777" w:rsidR="00592982" w:rsidRPr="00747170" w:rsidRDefault="00592982" w:rsidP="00747170">
      <w:pPr>
        <w:pStyle w:val="a2"/>
      </w:pPr>
      <w:r w:rsidRPr="00747170">
        <w:rPr>
          <w:rtl/>
        </w:rPr>
        <w:t>היו לפניו ב' מיני אוכלים אותו שרוצה לאכול עתה חשוב כאוכל והשני חשוב פסולת ואסור לבררו</w:t>
      </w:r>
      <w:r w:rsidRPr="00747170">
        <w:rPr>
          <w:rFonts w:hint="cs"/>
          <w:rtl/>
        </w:rPr>
        <w:t>.</w:t>
      </w:r>
    </w:p>
    <w:p w14:paraId="758D4C5C" w14:textId="77777777" w:rsidR="00592982" w:rsidRPr="00C61A8D" w:rsidRDefault="00592982" w:rsidP="00747170">
      <w:pPr>
        <w:pStyle w:val="afffff5"/>
        <w:rPr>
          <w:rtl/>
        </w:rPr>
      </w:pPr>
      <w:r w:rsidRPr="00C61A8D">
        <w:rPr>
          <w:rtl/>
        </w:rPr>
        <w:t>היו לפניו שני מיני אוכלים מעורבים, בורר אחד מאחד ומניח (השני כדי) לאכול מיד.</w:t>
      </w:r>
    </w:p>
    <w:p w14:paraId="48B75E0E" w14:textId="77777777" w:rsidR="00592982" w:rsidRPr="00C61A8D" w:rsidRDefault="00592982" w:rsidP="00747170">
      <w:pPr>
        <w:pStyle w:val="afffff5"/>
      </w:pPr>
      <w:r w:rsidRPr="00C61A8D">
        <w:rPr>
          <w:rtl/>
        </w:rPr>
        <w:t>היו לפניו שני מיני אוכלים מעורבים, בורר אחד מאחד ומניח (השני כדי) לאכול מיד. ומניח השני וכו'. כונת רמ"א למ"ש הטור דאותו שרוצה לאכול עתה חשוב כאוכל והשני חשוב פסולת ואם כן צריך לברור זה שרוצה לאכול ולהניח השני אבל איפכא לא דהוי פסולת מתוך אוכל וכ"כ הת"ה:</w:t>
      </w:r>
    </w:p>
    <w:p w14:paraId="3DA02A02" w14:textId="77777777" w:rsidR="00592982" w:rsidRPr="00C61A8D" w:rsidRDefault="00592982" w:rsidP="00747170">
      <w:pPr>
        <w:pStyle w:val="afffff5"/>
        <w:rPr>
          <w:rtl/>
        </w:rPr>
      </w:pPr>
      <w:r w:rsidRPr="00C61A8D">
        <w:rPr>
          <w:rtl/>
        </w:rPr>
        <w:t>אמנם למעשה אין לזוז מדברי התה"ד והרמ"א שמקורן הוא מדברי הרא"ש</w:t>
      </w:r>
      <w:r w:rsidRPr="00C61A8D">
        <w:rPr>
          <w:rFonts w:hint="cs"/>
          <w:rtl/>
        </w:rPr>
        <w:t>.</w:t>
      </w:r>
    </w:p>
    <w:p w14:paraId="44787049" w14:textId="11D20798" w:rsidR="00592982" w:rsidRDefault="00592982" w:rsidP="00592982">
      <w:pPr>
        <w:pStyle w:val="1"/>
        <w:rPr>
          <w:rtl/>
        </w:rPr>
      </w:pPr>
      <w:bookmarkStart w:id="2281" w:name="_Toc137741944"/>
      <w:r>
        <w:rPr>
          <w:rFonts w:hint="cs"/>
          <w:rtl/>
        </w:rPr>
        <w:t>ד' הי"מ בתרוה"ד דבחתיכות יש בורר באוכל ודחה דבניכר מותר</w:t>
      </w:r>
      <w:bookmarkEnd w:id="2281"/>
    </w:p>
    <w:p w14:paraId="5B786707" w14:textId="77777777" w:rsidR="00592982" w:rsidRDefault="00592982" w:rsidP="00592982">
      <w:pPr>
        <w:pStyle w:val="afffff7"/>
        <w:rPr>
          <w:rtl/>
        </w:rPr>
      </w:pPr>
      <w:bookmarkStart w:id="2282" w:name="_Toc137742035"/>
      <w:bookmarkStart w:id="2283" w:name="_Toc163505802"/>
      <w:r>
        <w:rPr>
          <w:rtl/>
        </w:rPr>
        <w:t>תרומת הדשן סי' נז</w:t>
      </w:r>
      <w:bookmarkEnd w:id="2282"/>
      <w:bookmarkEnd w:id="2283"/>
    </w:p>
    <w:p w14:paraId="35154E76" w14:textId="77777777" w:rsidR="00592982" w:rsidRDefault="00592982" w:rsidP="00592982">
      <w:pPr>
        <w:pStyle w:val="a7"/>
        <w:rPr>
          <w:rtl/>
        </w:rPr>
      </w:pPr>
      <w:bookmarkStart w:id="2284" w:name="_Toc137741945"/>
      <w:r>
        <w:rPr>
          <w:rFonts w:hint="cs"/>
          <w:rtl/>
        </w:rPr>
        <w:t>ד' הי"מ בתרוה"ד דמבו' ברא"ש דבב' מיני דגים יש בורר ודחיית התרוה"ד דכ"א ניכר לעצמו</w:t>
      </w:r>
      <w:bookmarkEnd w:id="2284"/>
    </w:p>
    <w:p w14:paraId="0D6FD352" w14:textId="44612778" w:rsidR="00592982" w:rsidRPr="00471FF9" w:rsidRDefault="00592982" w:rsidP="00BC7DC8">
      <w:pPr>
        <w:pStyle w:val="a3"/>
        <w:rPr>
          <w:rtl/>
        </w:rPr>
      </w:pPr>
      <w:bookmarkStart w:id="2285" w:name="_Ref137157124"/>
      <w:bookmarkStart w:id="2286" w:name="_Ref137672583"/>
      <w:r>
        <w:rPr>
          <w:rFonts w:hint="cs"/>
          <w:rtl/>
        </w:rPr>
        <w:t xml:space="preserve">הביא </w:t>
      </w:r>
      <w:r w:rsidRPr="002B6C65">
        <w:rPr>
          <w:rStyle w:val="aff4"/>
          <w:rFonts w:hint="cs"/>
          <w:vanish/>
          <w:rtl/>
        </w:rPr>
        <w:t>-</w:t>
      </w:r>
      <w:r w:rsidRPr="002B6C65">
        <w:rPr>
          <w:rStyle w:val="aff4"/>
          <w:rFonts w:hint="cs"/>
          <w:rtl/>
        </w:rPr>
        <w:t>ה</w:t>
      </w:r>
      <w:r w:rsidRPr="002B6C65">
        <w:rPr>
          <w:rStyle w:val="aff4"/>
          <w:rFonts w:hint="cs"/>
          <w:vanish/>
          <w:rtl/>
        </w:rPr>
        <w:t xml:space="preserve">&lt;. </w:t>
      </w:r>
      <w:r w:rsidRPr="002B6C65">
        <w:rPr>
          <w:rStyle w:val="aff4"/>
          <w:vanish/>
          <w:rtl/>
        </w:rPr>
        <w:fldChar w:fldCharType="begin"/>
      </w:r>
      <w:r w:rsidRPr="002B6C65">
        <w:rPr>
          <w:rStyle w:val="aff4"/>
          <w:vanish/>
          <w:rtl/>
        </w:rPr>
        <w:instrText xml:space="preserve"> </w:instrText>
      </w:r>
      <w:r w:rsidRPr="002B6C65">
        <w:rPr>
          <w:rStyle w:val="aff4"/>
          <w:rFonts w:hint="cs"/>
          <w:vanish/>
        </w:rPr>
        <w:instrText>REF</w:instrText>
      </w:r>
      <w:r w:rsidRPr="002B6C65">
        <w:rPr>
          <w:rStyle w:val="aff4"/>
          <w:rFonts w:hint="cs"/>
          <w:vanish/>
          <w:rtl/>
        </w:rPr>
        <w:instrText xml:space="preserve"> _</w:instrText>
      </w:r>
      <w:r w:rsidRPr="002B6C65">
        <w:rPr>
          <w:rStyle w:val="aff4"/>
          <w:rFonts w:hint="cs"/>
          <w:vanish/>
        </w:rPr>
        <w:instrText>Ref137157124 \r \h</w:instrText>
      </w:r>
      <w:r w:rsidRPr="002B6C65">
        <w:rPr>
          <w:rStyle w:val="aff4"/>
          <w:vanish/>
          <w:rtl/>
        </w:rPr>
        <w:instrText xml:space="preserve"> </w:instrText>
      </w:r>
      <w:r>
        <w:rPr>
          <w:rStyle w:val="aff4"/>
          <w:vanish/>
          <w:rtl/>
        </w:rPr>
        <w:instrText xml:space="preserve"> \* </w:instrText>
      </w:r>
      <w:r>
        <w:rPr>
          <w:rStyle w:val="aff4"/>
          <w:vanish/>
        </w:rPr>
        <w:instrText>MERGEFORMAT</w:instrText>
      </w:r>
      <w:r>
        <w:rPr>
          <w:rStyle w:val="aff4"/>
          <w:vanish/>
          <w:rtl/>
        </w:rPr>
        <w:instrText xml:space="preserve"> </w:instrText>
      </w:r>
      <w:r w:rsidRPr="002B6C65">
        <w:rPr>
          <w:rStyle w:val="aff4"/>
          <w:vanish/>
          <w:rtl/>
        </w:rPr>
      </w:r>
      <w:r w:rsidRPr="002B6C65">
        <w:rPr>
          <w:rStyle w:val="aff4"/>
          <w:vanish/>
          <w:rtl/>
        </w:rPr>
        <w:fldChar w:fldCharType="separate"/>
      </w:r>
      <w:r w:rsidR="00D82181">
        <w:rPr>
          <w:rStyle w:val="aff4"/>
          <w:vanish/>
          <w:cs/>
        </w:rPr>
        <w:t>‎</w:t>
      </w:r>
      <w:r w:rsidR="00D82181">
        <w:rPr>
          <w:rStyle w:val="aff4"/>
          <w:vanish/>
          <w:rtl/>
        </w:rPr>
        <w:t>כב)</w:t>
      </w:r>
      <w:r w:rsidRPr="002B6C65">
        <w:rPr>
          <w:rStyle w:val="aff4"/>
          <w:vanish/>
          <w:rtl/>
        </w:rPr>
        <w:fldChar w:fldCharType="end"/>
      </w:r>
      <w:r w:rsidRPr="002B6C65">
        <w:rPr>
          <w:rStyle w:val="aff4"/>
          <w:rFonts w:hint="cs"/>
          <w:vanish/>
          <w:rtl/>
        </w:rPr>
        <w:t xml:space="preserve"> &gt;</w:t>
      </w:r>
      <w:r>
        <w:rPr>
          <w:rStyle w:val="aff4"/>
          <w:rFonts w:hint="cs"/>
          <w:rtl/>
        </w:rPr>
        <w:t>תרומת הדשן</w:t>
      </w:r>
      <w:r w:rsidRPr="002B6C65">
        <w:rPr>
          <w:rStyle w:val="aff4"/>
          <w:rFonts w:hint="cs"/>
          <w:vanish/>
          <w:rtl/>
        </w:rPr>
        <w:t>-</w:t>
      </w:r>
      <w:r>
        <w:rPr>
          <w:rFonts w:hint="cs"/>
          <w:rtl/>
        </w:rPr>
        <w:t xml:space="preserve"> </w:t>
      </w:r>
      <w:r w:rsidRPr="00D16BB6">
        <w:rPr>
          <w:rStyle w:val="af2"/>
          <w:rFonts w:eastAsia="Guttman Hodes" w:hint="cs"/>
          <w:rtl/>
        </w:rPr>
        <w:t>(סי' נ"ז)</w:t>
      </w:r>
      <w:r w:rsidRPr="00E564E4">
        <w:rPr>
          <w:rFonts w:hint="cs"/>
          <w:vanish/>
          <w:rtl/>
        </w:rPr>
        <w:t>=</w:t>
      </w:r>
      <w:r>
        <w:rPr>
          <w:rFonts w:hint="cs"/>
          <w:rtl/>
        </w:rPr>
        <w:t xml:space="preserve"> בשם </w:t>
      </w:r>
      <w:r w:rsidRPr="002B6C65">
        <w:rPr>
          <w:rStyle w:val="aff4"/>
          <w:rFonts w:hint="cs"/>
          <w:vanish/>
          <w:rtl/>
        </w:rPr>
        <w:t>-</w:t>
      </w:r>
      <w:r w:rsidRPr="002B6C65">
        <w:rPr>
          <w:rStyle w:val="aff4"/>
          <w:rFonts w:hint="cs"/>
          <w:rtl/>
        </w:rPr>
        <w:t>אחד מהגדולים</w:t>
      </w:r>
      <w:r w:rsidRPr="002B6C65">
        <w:rPr>
          <w:rStyle w:val="aff4"/>
          <w:rFonts w:hint="cs"/>
          <w:vanish/>
          <w:rtl/>
        </w:rPr>
        <w:t>-</w:t>
      </w:r>
      <w:r>
        <w:rPr>
          <w:rFonts w:hint="cs"/>
          <w:rtl/>
        </w:rPr>
        <w:t xml:space="preserve"> </w:t>
      </w:r>
      <w:bookmarkStart w:id="2287" w:name="_Hlk137574827"/>
      <w:r>
        <w:rPr>
          <w:rFonts w:hint="cs"/>
          <w:rtl/>
        </w:rPr>
        <w:t xml:space="preserve">דבחתיכות גדולות של ב' מיני דגים, מותר להוציא רק את המין שחפץ בו, אבל במוציא את המין השני הוא כפסולת מאוכל, כדמשמע </w:t>
      </w:r>
      <w:r w:rsidRPr="002B6C65">
        <w:rPr>
          <w:rStyle w:val="aff4"/>
          <w:rFonts w:hint="cs"/>
          <w:vanish/>
          <w:rtl/>
        </w:rPr>
        <w:t>-</w:t>
      </w:r>
      <w:r w:rsidRPr="002B6C65">
        <w:rPr>
          <w:rStyle w:val="aff4"/>
          <w:rFonts w:hint="cs"/>
          <w:rtl/>
        </w:rPr>
        <w:t>ברא"ש</w:t>
      </w:r>
      <w:r w:rsidRPr="002B6C65">
        <w:rPr>
          <w:rStyle w:val="aff4"/>
          <w:rFonts w:hint="cs"/>
          <w:vanish/>
          <w:rtl/>
        </w:rPr>
        <w:t>-</w:t>
      </w:r>
      <w:r>
        <w:rPr>
          <w:rFonts w:hint="cs"/>
          <w:rtl/>
        </w:rPr>
        <w:t xml:space="preserve"> </w:t>
      </w:r>
      <w:r w:rsidRPr="00D16BB6">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Ref137671185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w:t>
      </w:r>
      <w:r>
        <w:rPr>
          <w:rStyle w:val="af2"/>
          <w:rFonts w:eastAsia="Guttman Hodes"/>
          <w:rtl/>
        </w:rPr>
        <w:fldChar w:fldCharType="end"/>
      </w:r>
      <w:r>
        <w:rPr>
          <w:rFonts w:hint="cs"/>
          <w:rtl/>
        </w:rPr>
        <w:t xml:space="preserve"> דכתב דבב' מיני אוכלין, המין שהוא רוצה חשיב אוכל והמין השני כפסולת וא"כ ה"ה בחתיכות דגים, </w:t>
      </w:r>
      <w:bookmarkEnd w:id="2287"/>
      <w:r>
        <w:rPr>
          <w:rFonts w:hint="cs"/>
          <w:rtl/>
        </w:rPr>
        <w:t xml:space="preserve">ודחה </w:t>
      </w:r>
      <w:r w:rsidRPr="002B6C65">
        <w:rPr>
          <w:rStyle w:val="aff4"/>
          <w:rFonts w:hint="cs"/>
          <w:vanish/>
          <w:rtl/>
        </w:rPr>
        <w:t>-</w:t>
      </w:r>
      <w:r w:rsidRPr="002B6C65">
        <w:rPr>
          <w:rStyle w:val="aff4"/>
          <w:rFonts w:hint="cs"/>
          <w:rtl/>
        </w:rPr>
        <w:t>התרוה"ד</w:t>
      </w:r>
      <w:r w:rsidRPr="002B6C65">
        <w:rPr>
          <w:rStyle w:val="aff4"/>
          <w:rFonts w:hint="cs"/>
          <w:vanish/>
          <w:rtl/>
        </w:rPr>
        <w:t>-</w:t>
      </w:r>
      <w:r>
        <w:rPr>
          <w:rFonts w:hint="cs"/>
          <w:rtl/>
        </w:rPr>
        <w:t xml:space="preserve"> דבחתיכות גדולות שאינם מעורבות לא שייך בורר, דכל מין ניכר בפנ"ע, ואף שאינם מסודרים כ"א לעצמו, מ"מ תערובת הוא רק כשאין כל מין ניכר, אך כתב </w:t>
      </w:r>
      <w:r w:rsidRPr="002B6C65">
        <w:rPr>
          <w:rStyle w:val="aff4"/>
          <w:rFonts w:hint="cs"/>
          <w:vanish/>
          <w:rtl/>
        </w:rPr>
        <w:t>-</w:t>
      </w:r>
      <w:r w:rsidRPr="002B6C65">
        <w:rPr>
          <w:rStyle w:val="aff4"/>
          <w:rFonts w:hint="cs"/>
          <w:rtl/>
        </w:rPr>
        <w:t>התרוה"ד</w:t>
      </w:r>
      <w:r w:rsidRPr="002B6C65">
        <w:rPr>
          <w:rStyle w:val="aff4"/>
          <w:rFonts w:hint="cs"/>
          <w:vanish/>
          <w:rtl/>
        </w:rPr>
        <w:t>-</w:t>
      </w:r>
      <w:r>
        <w:rPr>
          <w:rFonts w:hint="cs"/>
          <w:rtl/>
        </w:rPr>
        <w:t xml:space="preserve"> דלדינא יש לחוש לאסור, כיון דכתב </w:t>
      </w:r>
      <w:r w:rsidRPr="002B6C65">
        <w:rPr>
          <w:rStyle w:val="aff4"/>
          <w:rFonts w:hint="cs"/>
          <w:vanish/>
          <w:rtl/>
        </w:rPr>
        <w:t>-</w:t>
      </w:r>
      <w:r w:rsidRPr="00D16BB6">
        <w:rPr>
          <w:rStyle w:val="aff4"/>
          <w:rFonts w:hint="cs"/>
          <w:rtl/>
        </w:rPr>
        <w:t>הסמ"ג</w:t>
      </w:r>
      <w:r w:rsidRPr="002B6C65">
        <w:rPr>
          <w:rStyle w:val="aff4"/>
          <w:rFonts w:hint="cs"/>
          <w:vanish/>
          <w:rtl/>
        </w:rPr>
        <w:t>-</w:t>
      </w:r>
      <w:r>
        <w:rPr>
          <w:rFonts w:hint="cs"/>
          <w:rtl/>
        </w:rPr>
        <w:t xml:space="preserve"> דבכל פסולת מאוכל חייב, א"כ א"א להקל בזה.</w:t>
      </w:r>
      <w:bookmarkEnd w:id="2285"/>
      <w:bookmarkEnd w:id="2286"/>
    </w:p>
    <w:p w14:paraId="160AAB16" w14:textId="77777777" w:rsidR="00592982" w:rsidRPr="00747170" w:rsidRDefault="00592982" w:rsidP="00747170">
      <w:pPr>
        <w:pStyle w:val="a2"/>
        <w:rPr>
          <w:rtl/>
        </w:rPr>
      </w:pPr>
      <w:r w:rsidRPr="00747170">
        <w:rPr>
          <w:rtl/>
        </w:rPr>
        <w:t xml:space="preserve">שאלה: חתיכות דגים מונחים על לוח אחד, או בקערה מפורדות זו מזו, כמו שרגילין להניח כך. ובשבת כשבא לאכול מהן רוצה לאכול מקצתן, ולשייר מקצתן לסעודה אחרת היאך יברור אלו מאלו שלא יבא לידי חיוב בורר </w:t>
      </w:r>
    </w:p>
    <w:p w14:paraId="32522A9C" w14:textId="77777777" w:rsidR="00592982" w:rsidRPr="00DA7171" w:rsidRDefault="00592982" w:rsidP="00747170">
      <w:pPr>
        <w:pStyle w:val="afffff5"/>
        <w:rPr>
          <w:rtl/>
        </w:rPr>
      </w:pPr>
      <w:r w:rsidRPr="00C61A8D">
        <w:rPr>
          <w:rtl/>
        </w:rPr>
        <w:t xml:space="preserve">תשובה: יראה דלא צריך לדקדק כ"כ בדבר, כמו שאבאר לקמן אף על גב דאחד מהגדולים היה נזהר לברור דווקא אותו שהיה רוצה לאכול עתה, ואותן שהיה רוצה לשייר עד סעודה אחרת הניח מונחים על הלוח. וראייתו מהא דכתב אשירי פ' כלל גדול: ת"ר היו לפניו שני מיני אוכלין בורר ואוכל כו'; ומסיים דבורר ואוכל לאלתר, ושיעור לאלתר פירש ר"ח ז"ל, שיעור מה שמסיב לאותה סעודה על השולחן. ודווקא אוכל מתוך פסולת אבל פסולת מתוך אוכל אסור, והבורר שני מיני אוכלין אותו שרוצה לאכול עתה מיקרי אוכל, ואידך מיקרי פסולת ע"כ. מוכח דבנ"ד חשיב ברירה. </w:t>
      </w:r>
      <w:r w:rsidRPr="00DA7171">
        <w:rPr>
          <w:rStyle w:val="afff7"/>
          <w:rtl/>
        </w:rPr>
        <w:t xml:space="preserve">אמנם נראה דאפי' לפי זה לא חשיב ברירה, אלא דווקא בשני מינים ולא במין אחד כלל, דודאי דוקא נקט התנא, וכן כל המחברים שני מיני אוכלין. והכי איתא במרדכי פ' אלו טריפות, גבי נפלה לאור, דכל היכא דמצינו למימר דלישנא דמתניתין דווקא הוא, לא אמרינן לאו דווקא הוא אפי' להחמיר ע"ש, מ"מ שני מיני דגים לאו מין אחד מיקרי, דהא פסיק בא"ז במס' עבודה זרה, דמיני דגים חלוקים בשמן מיקרי מין בשאין מינו, לענין ביטול כ"ש להאי מילתא. </w:t>
      </w:r>
      <w:r w:rsidRPr="00DA7171">
        <w:rPr>
          <w:rtl/>
        </w:rPr>
        <w:t>אמנם נראה דמאד היה כנגד סברת הלב, דשני מינים שניכרים בהפרדתם חתיכות גדולות שמונחים יחד, דיהא ברירה שייכא בהו, דלשון המרדכי פ' כלל גדול לא משמע הכי, דכתב הילכך יזהר אדם מיני פירות שנתערבו כו', משמע דווקא כשהם מעורבים ואינם ניכרים, אבל בכה"ג אף על גב דאין כל מין ומין מסודר בפני עצמו, מ"מ לא מיקרי מעורב. אפס הואיל וכ' בסמ"ג, דהבורר פסולת מתוך האוכל, ואפי' בורר לאלתר חייב חטאת, אין לחלק ולהקל בלא ראיה ברורה</w:t>
      </w:r>
      <w:r w:rsidRPr="00DA7171">
        <w:rPr>
          <w:rFonts w:hint="cs"/>
          <w:rtl/>
        </w:rPr>
        <w:t>.</w:t>
      </w:r>
    </w:p>
    <w:p w14:paraId="15395E51" w14:textId="3407C303" w:rsidR="00592982" w:rsidRPr="004D0B3B" w:rsidRDefault="00592982" w:rsidP="00592982">
      <w:pPr>
        <w:pStyle w:val="1"/>
        <w:rPr>
          <w:rtl/>
        </w:rPr>
      </w:pPr>
      <w:bookmarkStart w:id="2288" w:name="_Toc137741946"/>
      <w:r w:rsidRPr="004D0B3B">
        <w:rPr>
          <w:rFonts w:hint="cs"/>
          <w:rtl/>
        </w:rPr>
        <w:t>חקירת האגל"ט</w:t>
      </w:r>
      <w:r>
        <w:rPr>
          <w:rFonts w:hint="cs"/>
          <w:rtl/>
        </w:rPr>
        <w:t xml:space="preserve"> אי מין א' כפסולת או דכ"א כפסולת לגבי השני</w:t>
      </w:r>
      <w:bookmarkEnd w:id="2288"/>
    </w:p>
    <w:p w14:paraId="54E41361" w14:textId="77777777" w:rsidR="00592982" w:rsidRPr="00743928" w:rsidRDefault="00592982" w:rsidP="00592982">
      <w:pPr>
        <w:pStyle w:val="afffff7"/>
        <w:rPr>
          <w:rtl/>
        </w:rPr>
      </w:pPr>
      <w:bookmarkStart w:id="2289" w:name="_Toc137742036"/>
      <w:bookmarkStart w:id="2290" w:name="_Toc163505803"/>
      <w:r w:rsidRPr="00743928">
        <w:rPr>
          <w:rtl/>
        </w:rPr>
        <w:t xml:space="preserve">אגלי טל זורה </w:t>
      </w:r>
      <w:r w:rsidRPr="00743928">
        <w:rPr>
          <w:rFonts w:hint="cs"/>
          <w:rtl/>
        </w:rPr>
        <w:t>סק"</w:t>
      </w:r>
      <w:r w:rsidRPr="00743928">
        <w:rPr>
          <w:rtl/>
        </w:rPr>
        <w:t>א אות</w:t>
      </w:r>
      <w:r w:rsidRPr="00743928">
        <w:rPr>
          <w:rFonts w:hint="cs"/>
          <w:rtl/>
        </w:rPr>
        <w:t xml:space="preserve"> ז'</w:t>
      </w:r>
      <w:r>
        <w:rPr>
          <w:rFonts w:hint="cs"/>
          <w:rtl/>
        </w:rPr>
        <w:t xml:space="preserve"> ד"ה ע"כ</w:t>
      </w:r>
      <w:bookmarkEnd w:id="2289"/>
      <w:bookmarkEnd w:id="2290"/>
    </w:p>
    <w:p w14:paraId="4CC854CB" w14:textId="77777777" w:rsidR="00592982" w:rsidRPr="00743928" w:rsidRDefault="00592982" w:rsidP="00592982">
      <w:pPr>
        <w:pStyle w:val="a7"/>
        <w:rPr>
          <w:rtl/>
        </w:rPr>
      </w:pPr>
      <w:bookmarkStart w:id="2291" w:name="_Toc137741947"/>
      <w:r w:rsidRPr="00D04D06">
        <w:rPr>
          <w:rtl/>
        </w:rPr>
        <w:t>חקירת האגל"ט</w:t>
      </w:r>
      <w:r>
        <w:rPr>
          <w:rFonts w:hint="cs"/>
          <w:rtl/>
        </w:rPr>
        <w:t xml:space="preserve"> אי המין שאינו רוצה חשיב כפסולת או דכל מין חשיב כפסולת כלפי המין השני</w:t>
      </w:r>
      <w:bookmarkEnd w:id="2291"/>
    </w:p>
    <w:p w14:paraId="3C69C072" w14:textId="25B58DED" w:rsidR="00592982" w:rsidRDefault="00592982" w:rsidP="00BC7DC8">
      <w:pPr>
        <w:pStyle w:val="a3"/>
      </w:pPr>
      <w:r>
        <w:rPr>
          <w:rFonts w:hint="cs"/>
          <w:rtl/>
        </w:rPr>
        <w:t>כתב</w:t>
      </w:r>
      <w:r w:rsidRPr="00743928">
        <w:rPr>
          <w:rFonts w:hint="cs"/>
          <w:rtl/>
        </w:rPr>
        <w:t xml:space="preserve"> </w:t>
      </w:r>
      <w:r w:rsidRPr="00727726">
        <w:rPr>
          <w:rStyle w:val="aff4"/>
          <w:rFonts w:hint="cs"/>
          <w:vanish/>
          <w:rtl/>
        </w:rPr>
        <w:t>-</w:t>
      </w:r>
      <w:r w:rsidRPr="00E9617D">
        <w:rPr>
          <w:rStyle w:val="aff4"/>
          <w:rFonts w:hint="cs"/>
          <w:rtl/>
        </w:rPr>
        <w:t>ה</w:t>
      </w:r>
      <w:r w:rsidRPr="00727726">
        <w:rPr>
          <w:rStyle w:val="aff4"/>
          <w:rFonts w:hint="cs"/>
          <w:vanish/>
          <w:rtl/>
        </w:rPr>
        <w:t xml:space="preserve">&lt;. </w:t>
      </w:r>
      <w:r w:rsidRPr="00727726">
        <w:rPr>
          <w:rStyle w:val="aff4"/>
          <w:vanish/>
          <w:rtl/>
        </w:rPr>
        <w:fldChar w:fldCharType="begin"/>
      </w:r>
      <w:r w:rsidRPr="00727726">
        <w:rPr>
          <w:rStyle w:val="aff4"/>
          <w:vanish/>
          <w:rtl/>
        </w:rPr>
        <w:instrText xml:space="preserve"> </w:instrText>
      </w:r>
      <w:r w:rsidRPr="00727726">
        <w:rPr>
          <w:rStyle w:val="aff4"/>
          <w:rFonts w:hint="cs"/>
          <w:vanish/>
        </w:rPr>
        <w:instrText>REF</w:instrText>
      </w:r>
      <w:r w:rsidRPr="00727726">
        <w:rPr>
          <w:rStyle w:val="aff4"/>
          <w:rFonts w:hint="cs"/>
          <w:vanish/>
          <w:rtl/>
        </w:rPr>
        <w:instrText xml:space="preserve"> _</w:instrText>
      </w:r>
      <w:r w:rsidRPr="00727726">
        <w:rPr>
          <w:rStyle w:val="aff4"/>
          <w:rFonts w:hint="cs"/>
          <w:vanish/>
        </w:rPr>
        <w:instrText>Ref136980965 \r \h</w:instrText>
      </w:r>
      <w:r w:rsidRPr="00727726">
        <w:rPr>
          <w:rStyle w:val="aff4"/>
          <w:vanish/>
          <w:rtl/>
        </w:rPr>
        <w:instrText xml:space="preserve"> </w:instrText>
      </w:r>
      <w:r w:rsidRPr="00727726">
        <w:rPr>
          <w:rStyle w:val="aff4"/>
          <w:vanish/>
          <w:rtl/>
        </w:rPr>
      </w:r>
      <w:r w:rsidRPr="00727726">
        <w:rPr>
          <w:rStyle w:val="aff4"/>
          <w:vanish/>
          <w:rtl/>
        </w:rPr>
        <w:fldChar w:fldCharType="separate"/>
      </w:r>
      <w:r w:rsidR="00D82181">
        <w:rPr>
          <w:rStyle w:val="aff4"/>
          <w:vanish/>
          <w:cs/>
        </w:rPr>
        <w:t>‎</w:t>
      </w:r>
      <w:r w:rsidR="00D82181">
        <w:rPr>
          <w:rStyle w:val="aff4"/>
          <w:vanish/>
          <w:rtl/>
        </w:rPr>
        <w:t>כו)</w:t>
      </w:r>
      <w:r w:rsidRPr="00727726">
        <w:rPr>
          <w:rStyle w:val="aff4"/>
          <w:vanish/>
          <w:rtl/>
        </w:rPr>
        <w:fldChar w:fldCharType="end"/>
      </w:r>
      <w:r w:rsidRPr="00727726">
        <w:rPr>
          <w:rStyle w:val="aff4"/>
          <w:rFonts w:hint="cs"/>
          <w:vanish/>
          <w:rtl/>
        </w:rPr>
        <w:t xml:space="preserve"> &gt;</w:t>
      </w:r>
      <w:r w:rsidRPr="00E9617D">
        <w:rPr>
          <w:rStyle w:val="aff4"/>
          <w:rFonts w:hint="cs"/>
          <w:rtl/>
        </w:rPr>
        <w:t>אגלי טל</w:t>
      </w:r>
      <w:r w:rsidRPr="00727726">
        <w:rPr>
          <w:rStyle w:val="aff4"/>
          <w:rFonts w:hint="cs"/>
          <w:vanish/>
          <w:rtl/>
        </w:rPr>
        <w:t>-</w:t>
      </w:r>
      <w:r w:rsidRPr="00743928">
        <w:rPr>
          <w:rFonts w:hint="cs"/>
          <w:rtl/>
        </w:rPr>
        <w:t xml:space="preserve"> </w:t>
      </w:r>
      <w:r w:rsidRPr="00D16BB6">
        <w:rPr>
          <w:rStyle w:val="af2"/>
          <w:rFonts w:eastAsia="Guttman Hodes" w:hint="cs"/>
          <w:rtl/>
        </w:rPr>
        <w:t>(זורה סק"א אות ז' ד"ה ע"כ)</w:t>
      </w:r>
      <w:r w:rsidRPr="00727726">
        <w:rPr>
          <w:rFonts w:hint="cs"/>
          <w:vanish/>
          <w:rtl/>
        </w:rPr>
        <w:t>=</w:t>
      </w:r>
      <w:r>
        <w:rPr>
          <w:rFonts w:hint="cs"/>
          <w:rtl/>
        </w:rPr>
        <w:t xml:space="preserve"> דבכל ברירת אוכל מאוכל אפשר לבאר בב' אופנים, האופן הא' כפשטות דברי </w:t>
      </w:r>
      <w:r w:rsidRPr="00D16BB6">
        <w:rPr>
          <w:rStyle w:val="aff4"/>
          <w:rFonts w:hint="cs"/>
          <w:vanish/>
          <w:rtl/>
        </w:rPr>
        <w:t>-</w:t>
      </w:r>
      <w:r w:rsidRPr="00D16BB6">
        <w:rPr>
          <w:rStyle w:val="aff4"/>
          <w:rFonts w:hint="cs"/>
          <w:rtl/>
        </w:rPr>
        <w:t>התוס'</w:t>
      </w:r>
      <w:r w:rsidRPr="00D16BB6">
        <w:rPr>
          <w:rStyle w:val="aff4"/>
          <w:rFonts w:hint="cs"/>
          <w:vanish/>
          <w:rtl/>
        </w:rPr>
        <w:t>-</w:t>
      </w:r>
      <w:r>
        <w:rPr>
          <w:rFonts w:hint="cs"/>
          <w:rtl/>
        </w:rPr>
        <w:t xml:space="preserve"> </w:t>
      </w:r>
      <w:r w:rsidRPr="00D16BB6">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Ref137671185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w:t>
      </w:r>
      <w:r>
        <w:rPr>
          <w:rStyle w:val="af2"/>
          <w:rFonts w:eastAsia="Guttman Hodes"/>
          <w:rtl/>
        </w:rPr>
        <w:fldChar w:fldCharType="end"/>
      </w:r>
      <w:r>
        <w:rPr>
          <w:rFonts w:hint="cs"/>
          <w:rtl/>
        </w:rPr>
        <w:t xml:space="preserve"> דהוי בורר כיון דהמין שהוא רוצה חשיב כאוכל, והמין השני חשיב כפסולת, והאופן הב' הוא דאינו תלוי במין שהוא רוצה עכשיו אלא דבתערובת של ב' מיני אוכלים כלפי כל מין חשיב דהמין השני הוא כפסולת לגביו,</w:t>
      </w:r>
      <w:r w:rsidRPr="000E54FD">
        <w:rPr>
          <w:rFonts w:hint="cs"/>
          <w:rtl/>
        </w:rPr>
        <w:t xml:space="preserve"> דכן מצינו במחבץ דהאוכל פסולת לגבי המשקה וכן להיפך, </w:t>
      </w:r>
      <w:r>
        <w:rPr>
          <w:rFonts w:hint="cs"/>
          <w:rtl/>
        </w:rPr>
        <w:t xml:space="preserve">ולפי"ז גדר הברירה היא עצם ההפרדה בין ב' המינים דכ"א פסולת לגבי השני, ועי' במ"ש </w:t>
      </w:r>
      <w:r w:rsidRPr="00D16BB6">
        <w:rPr>
          <w:rStyle w:val="aff4"/>
          <w:rFonts w:hint="cs"/>
          <w:vanish/>
          <w:rtl/>
        </w:rPr>
        <w:t>-</w:t>
      </w:r>
      <w:r w:rsidRPr="00D16BB6">
        <w:rPr>
          <w:rStyle w:val="aff4"/>
          <w:rFonts w:hint="cs"/>
          <w:rtl/>
        </w:rPr>
        <w:t>האגלי טל</w:t>
      </w:r>
      <w:r w:rsidRPr="00D16BB6">
        <w:rPr>
          <w:rStyle w:val="aff4"/>
          <w:rFonts w:hint="cs"/>
          <w:vanish/>
          <w:rtl/>
        </w:rPr>
        <w:t>-</w:t>
      </w:r>
      <w:r>
        <w:rPr>
          <w:rFonts w:hint="cs"/>
          <w:rtl/>
        </w:rPr>
        <w:t xml:space="preserve"> </w:t>
      </w:r>
      <w:r>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Ref137673765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כז)</w:t>
      </w:r>
      <w:r>
        <w:rPr>
          <w:rStyle w:val="af2"/>
          <w:rFonts w:eastAsia="Guttman Hodes"/>
          <w:rtl/>
        </w:rPr>
        <w:fldChar w:fldCharType="end"/>
      </w:r>
      <w:r>
        <w:rPr>
          <w:rFonts w:hint="cs"/>
          <w:rtl/>
        </w:rPr>
        <w:t xml:space="preserve"> דאפשר לבאר כן אף בדעת </w:t>
      </w:r>
      <w:r w:rsidRPr="00D16BB6">
        <w:rPr>
          <w:rStyle w:val="aff4"/>
          <w:rFonts w:hint="cs"/>
          <w:vanish/>
          <w:rtl/>
        </w:rPr>
        <w:t>-</w:t>
      </w:r>
      <w:r w:rsidRPr="00D16BB6">
        <w:rPr>
          <w:rStyle w:val="aff4"/>
          <w:rFonts w:hint="cs"/>
          <w:rtl/>
        </w:rPr>
        <w:t>התוס'</w:t>
      </w:r>
      <w:r w:rsidRPr="00D16BB6">
        <w:rPr>
          <w:rStyle w:val="aff4"/>
          <w:rFonts w:hint="cs"/>
          <w:vanish/>
          <w:rtl/>
        </w:rPr>
        <w:t>-</w:t>
      </w:r>
      <w:r>
        <w:rPr>
          <w:rFonts w:hint="cs"/>
          <w:rtl/>
        </w:rPr>
        <w:t>.</w:t>
      </w:r>
    </w:p>
    <w:p w14:paraId="4008A0F1" w14:textId="77777777" w:rsidR="00592982" w:rsidRPr="00747170" w:rsidRDefault="00592982" w:rsidP="00747170">
      <w:pPr>
        <w:pStyle w:val="a2"/>
      </w:pPr>
      <w:r w:rsidRPr="00747170">
        <w:rPr>
          <w:rStyle w:val="afff7"/>
          <w:rtl/>
        </w:rPr>
        <w:t>ע"כ צ"ל דלפי גמ' דידן אפי' בורר כל המין פטור. ובבלי לשיטתו וירושלמי לשיטתו.</w:t>
      </w:r>
      <w:r w:rsidRPr="00747170">
        <w:rPr>
          <w:rtl/>
        </w:rPr>
        <w:t xml:space="preserve"> דהנה בעיקר ברירת מין אחד מחבירו דחשוב מה שמבורר מין אחד מחבירו כמברר אוכל מתוך פסולת היינו דרך משל שמעורבים בטנים ושקדים חשובים בטנים לגבי שקדים פסולת במה שאינם שקדים. וכן להיפך חשוב שקדים לגבי בטנים פסולת במה שאינם בטנים. ואל תתמה ע"ז שכל אחד יקרא אוכל לגבי חבירו דמצינו כיוצא בזה בענין דישה שהמלאכה היא במה שמפרק האוכל מתוך הקליפה שהיא הפסולת. ועי' בשיטה המיוחסת להר"ן [עג א] שכתב דש בורר ומרקד דמיין להדדי והיינו שגם דש הוא ברירת אוכל מפסולת. וכ"כ בתוס' יבמות קי"ד. וז"ל חולב אדם עז לתוך הקדירה אבל לא לתוך הקערה וכ"ז משום דכשחולב לתוך הקדירה הוי משקה לאוכל ואוכל הוא ואין זה בורר אבל לא לתוך הקערה דבורר משקה מאוכל ודומה לדש שבורר אוכל מתוך פסולת עכ"ל. והנה המחבץ דחייב משום בורר שמברר הגבינה מתוך הנסיובי ואף דהנסיובי ג"כ אוכל ולדעת רוב הפוסקים במין אחד שמברר אחד מתוך השני והשני ראוי ע"י הדחק לא חשוב בורר אפי' בדברים לחים. </w:t>
      </w:r>
      <w:r w:rsidRPr="00747170">
        <w:rPr>
          <w:rStyle w:val="afff7"/>
          <w:rtl/>
        </w:rPr>
        <w:t>ומה שחילק הרב המגיד ריש הל' שביתת עשור [פ"א ה"ג] בין דברים לחים היינו לשיטת הרמב"ם כמו שביארנו בס"ק כ"ד אות ב' בביאורנו למלאכת בורר. וע"כ לומר דכי היכי דמפרק משקה מאוכל חשוב בורר אוכל מתוך פסולת כדברי תוס' הנ"ל ה"נ בורר גבינה אוכל מתוך הנסיובי [או לשיטת המפרשים נותן קיבה בחלב הוא בורר הגבינה אוכל מתוך החלב] משקה חשוב ג"כ בורר אוכל מת"פ. ואם הי' משכחת מפרק אוכלין מתוך הקליפה משקין הי' חשוב ג"כ דש.</w:t>
      </w:r>
      <w:r w:rsidRPr="00747170">
        <w:rPr>
          <w:rtl/>
        </w:rPr>
        <w:t xml:space="preserve"> והיינו דמשקה חשוב פסולת לגבי אוכל במה שהמשקה אינו אוכל והיינו מחבץ. ואוכל חשוב פסולת לגבי משקה במה שהאוכל אינו משקה והיינו חולב וסוחט. וא"כ כמו כן נוכל לומר גבי שני מינים דנחשב ברירה דכ"א חשוב פסולת לגבי חבירו. ואצ"ל כלל משום דאחד רוצה לאכול ולא השני ע"כ חשוב בורר רק משום חילוק המינים לבד כ"א ואחד נחשב פסולת לגבי השני כנ"ל.</w:t>
      </w:r>
    </w:p>
    <w:p w14:paraId="26131AFD" w14:textId="19F306AD" w:rsidR="00592982" w:rsidRPr="00DA7171" w:rsidRDefault="00592982" w:rsidP="00592982">
      <w:pPr>
        <w:pStyle w:val="afffff7"/>
        <w:rPr>
          <w:rtl/>
        </w:rPr>
      </w:pPr>
      <w:bookmarkStart w:id="2292" w:name="_Toc137742037"/>
      <w:bookmarkStart w:id="2293" w:name="_Toc163505804"/>
      <w:r w:rsidRPr="00DA7171">
        <w:rPr>
          <w:rtl/>
        </w:rPr>
        <w:t xml:space="preserve">אגלי טל זורה </w:t>
      </w:r>
      <w:r w:rsidRPr="00DA7171">
        <w:rPr>
          <w:rFonts w:hint="cs"/>
          <w:rtl/>
        </w:rPr>
        <w:t>סק"</w:t>
      </w:r>
      <w:r w:rsidRPr="00DA7171">
        <w:rPr>
          <w:rtl/>
        </w:rPr>
        <w:t>א אות</w:t>
      </w:r>
      <w:r w:rsidRPr="00DA7171">
        <w:rPr>
          <w:rFonts w:hint="cs"/>
          <w:rtl/>
        </w:rPr>
        <w:t xml:space="preserve"> א', ב', ז'</w:t>
      </w:r>
      <w:bookmarkEnd w:id="2292"/>
      <w:bookmarkEnd w:id="2293"/>
    </w:p>
    <w:p w14:paraId="45FF22CB" w14:textId="77777777" w:rsidR="00592982" w:rsidRPr="00743928" w:rsidRDefault="00592982" w:rsidP="00592982">
      <w:pPr>
        <w:pStyle w:val="a7"/>
        <w:rPr>
          <w:rtl/>
        </w:rPr>
      </w:pPr>
      <w:bookmarkStart w:id="2294" w:name="_Toc137741948"/>
      <w:r>
        <w:rPr>
          <w:rFonts w:hint="cs"/>
          <w:rtl/>
        </w:rPr>
        <w:t>קו' האגל"ט דאמאי לא קיי"ל כירו' דבבורר כל המין אסור לאלתר ועו"ק דבירו' לא כ' כתוס'</w:t>
      </w:r>
      <w:bookmarkStart w:id="2295" w:name="_Hlk136980882"/>
      <w:bookmarkEnd w:id="2294"/>
    </w:p>
    <w:p w14:paraId="67E69924" w14:textId="01712BA7" w:rsidR="00592982" w:rsidRDefault="00592982" w:rsidP="00BC7DC8">
      <w:pPr>
        <w:pStyle w:val="a3"/>
      </w:pPr>
      <w:bookmarkStart w:id="2296" w:name="_Ref137674311"/>
      <w:bookmarkStart w:id="2297" w:name="_Ref136980802"/>
      <w:r>
        <w:rPr>
          <w:rFonts w:hint="cs"/>
          <w:rtl/>
        </w:rPr>
        <w:t>ו</w:t>
      </w:r>
      <w:r w:rsidRPr="00743928">
        <w:rPr>
          <w:rFonts w:hint="cs"/>
          <w:rtl/>
        </w:rPr>
        <w:t xml:space="preserve">הקשה </w:t>
      </w:r>
      <w:r w:rsidRPr="00E564E4">
        <w:rPr>
          <w:rStyle w:val="aff4"/>
          <w:rFonts w:hint="cs"/>
          <w:vanish/>
          <w:rtl/>
        </w:rPr>
        <w:t>-</w:t>
      </w:r>
      <w:r w:rsidRPr="00E9617D">
        <w:rPr>
          <w:rStyle w:val="aff4"/>
          <w:rFonts w:hint="cs"/>
          <w:rtl/>
        </w:rPr>
        <w:t>ה</w:t>
      </w:r>
      <w:r w:rsidRPr="00E564E4">
        <w:rPr>
          <w:rStyle w:val="aff4"/>
          <w:rFonts w:hint="cs"/>
          <w:vanish/>
          <w:rtl/>
        </w:rPr>
        <w:t xml:space="preserve">&lt;. </w:t>
      </w:r>
      <w:r w:rsidRPr="00E564E4">
        <w:rPr>
          <w:rStyle w:val="aff4"/>
          <w:vanish/>
          <w:rtl/>
        </w:rPr>
        <w:fldChar w:fldCharType="begin"/>
      </w:r>
      <w:r w:rsidRPr="00E564E4">
        <w:rPr>
          <w:rStyle w:val="aff4"/>
          <w:vanish/>
          <w:rtl/>
        </w:rPr>
        <w:instrText xml:space="preserve"> </w:instrText>
      </w:r>
      <w:r w:rsidRPr="00E564E4">
        <w:rPr>
          <w:rStyle w:val="aff4"/>
          <w:rFonts w:hint="cs"/>
          <w:vanish/>
        </w:rPr>
        <w:instrText>REF</w:instrText>
      </w:r>
      <w:r w:rsidRPr="00E564E4">
        <w:rPr>
          <w:rStyle w:val="aff4"/>
          <w:rFonts w:hint="cs"/>
          <w:vanish/>
          <w:rtl/>
        </w:rPr>
        <w:instrText xml:space="preserve"> _</w:instrText>
      </w:r>
      <w:r w:rsidRPr="00E564E4">
        <w:rPr>
          <w:rStyle w:val="aff4"/>
          <w:rFonts w:hint="cs"/>
          <w:vanish/>
        </w:rPr>
        <w:instrText>Ref136980802 \r \h</w:instrText>
      </w:r>
      <w:r w:rsidRPr="00E564E4">
        <w:rPr>
          <w:rStyle w:val="aff4"/>
          <w:vanish/>
          <w:rtl/>
        </w:rPr>
        <w:instrText xml:space="preserve"> </w:instrText>
      </w:r>
      <w:r w:rsidRPr="00E564E4">
        <w:rPr>
          <w:rStyle w:val="aff4"/>
          <w:vanish/>
          <w:rtl/>
        </w:rPr>
      </w:r>
      <w:r w:rsidRPr="00E564E4">
        <w:rPr>
          <w:rStyle w:val="aff4"/>
          <w:vanish/>
          <w:rtl/>
        </w:rPr>
        <w:fldChar w:fldCharType="separate"/>
      </w:r>
      <w:r w:rsidR="00D82181">
        <w:rPr>
          <w:rStyle w:val="aff4"/>
          <w:vanish/>
          <w:cs/>
        </w:rPr>
        <w:t>‎</w:t>
      </w:r>
      <w:r w:rsidR="00D82181">
        <w:rPr>
          <w:rStyle w:val="aff4"/>
          <w:vanish/>
          <w:rtl/>
        </w:rPr>
        <w:t>כד)</w:t>
      </w:r>
      <w:r w:rsidRPr="00E564E4">
        <w:rPr>
          <w:rStyle w:val="aff4"/>
          <w:vanish/>
          <w:rtl/>
        </w:rPr>
        <w:fldChar w:fldCharType="end"/>
      </w:r>
      <w:r w:rsidRPr="00E564E4">
        <w:rPr>
          <w:rStyle w:val="aff4"/>
          <w:rFonts w:hint="cs"/>
          <w:vanish/>
          <w:rtl/>
        </w:rPr>
        <w:t xml:space="preserve"> &gt;</w:t>
      </w:r>
      <w:r w:rsidRPr="00E9617D">
        <w:rPr>
          <w:rStyle w:val="aff4"/>
          <w:rFonts w:hint="cs"/>
          <w:rtl/>
        </w:rPr>
        <w:t>אגלי טל</w:t>
      </w:r>
      <w:r w:rsidRPr="00E564E4">
        <w:rPr>
          <w:rStyle w:val="aff4"/>
          <w:rFonts w:hint="cs"/>
          <w:vanish/>
          <w:rtl/>
        </w:rPr>
        <w:t>-</w:t>
      </w:r>
      <w:r w:rsidRPr="00743928">
        <w:rPr>
          <w:rFonts w:hint="cs"/>
          <w:rtl/>
        </w:rPr>
        <w:t xml:space="preserve"> </w:t>
      </w:r>
      <w:r w:rsidRPr="00D16BB6">
        <w:rPr>
          <w:rStyle w:val="af2"/>
          <w:rFonts w:eastAsia="Guttman Hodes" w:hint="cs"/>
          <w:rtl/>
        </w:rPr>
        <w:t>(זורה סק"א אות א')</w:t>
      </w:r>
      <w:r w:rsidRPr="00E564E4">
        <w:rPr>
          <w:rFonts w:hint="cs"/>
          <w:vanish/>
          <w:rtl/>
        </w:rPr>
        <w:t>=</w:t>
      </w:r>
      <w:r w:rsidRPr="00743928">
        <w:rPr>
          <w:rFonts w:hint="cs"/>
          <w:rtl/>
        </w:rPr>
        <w:t xml:space="preserve"> </w:t>
      </w:r>
      <w:bookmarkEnd w:id="2295"/>
      <w:r w:rsidRPr="00743928">
        <w:rPr>
          <w:rFonts w:hint="cs"/>
          <w:rtl/>
        </w:rPr>
        <w:t xml:space="preserve">דאמאי כתבו </w:t>
      </w:r>
      <w:r w:rsidRPr="00E564E4">
        <w:rPr>
          <w:rStyle w:val="aff4"/>
          <w:rFonts w:hint="cs"/>
          <w:vanish/>
          <w:rtl/>
        </w:rPr>
        <w:t>-</w:t>
      </w:r>
      <w:r w:rsidRPr="00E9617D">
        <w:rPr>
          <w:rStyle w:val="aff4"/>
          <w:rFonts w:hint="cs"/>
          <w:rtl/>
        </w:rPr>
        <w:t>הפוסקים</w:t>
      </w:r>
      <w:r w:rsidRPr="00E564E4">
        <w:rPr>
          <w:rStyle w:val="aff4"/>
          <w:rFonts w:hint="cs"/>
          <w:vanish/>
          <w:rtl/>
        </w:rPr>
        <w:t>-</w:t>
      </w:r>
      <w:r w:rsidRPr="00743928">
        <w:rPr>
          <w:rFonts w:hint="cs"/>
          <w:rtl/>
        </w:rPr>
        <w:t xml:space="preserve"> </w:t>
      </w:r>
      <w:r w:rsidRPr="00D16BB6">
        <w:rPr>
          <w:rStyle w:val="af2"/>
          <w:rFonts w:eastAsia="Guttman Hodes" w:hint="cs"/>
          <w:rtl/>
        </w:rPr>
        <w:t xml:space="preserve">(עי' אות </w:t>
      </w:r>
      <w:r w:rsidRPr="00D16BB6">
        <w:rPr>
          <w:rStyle w:val="af2"/>
          <w:rFonts w:eastAsia="Guttman Hodes"/>
          <w:rtl/>
        </w:rPr>
        <w:fldChar w:fldCharType="begin"/>
      </w:r>
      <w:r w:rsidRPr="00D16BB6">
        <w:rPr>
          <w:rStyle w:val="af2"/>
          <w:rFonts w:eastAsia="Guttman Hodes"/>
          <w:rtl/>
        </w:rPr>
        <w:instrText xml:space="preserve"> </w:instrText>
      </w:r>
      <w:r w:rsidRPr="00D16BB6">
        <w:rPr>
          <w:rStyle w:val="af2"/>
          <w:rFonts w:eastAsia="Guttman Hodes" w:hint="cs"/>
        </w:rPr>
        <w:instrText>REF</w:instrText>
      </w:r>
      <w:r w:rsidRPr="00D16BB6">
        <w:rPr>
          <w:rStyle w:val="af2"/>
          <w:rFonts w:eastAsia="Guttman Hodes" w:hint="cs"/>
          <w:rtl/>
        </w:rPr>
        <w:instrText xml:space="preserve"> _</w:instrText>
      </w:r>
      <w:r w:rsidRPr="00D16BB6">
        <w:rPr>
          <w:rStyle w:val="af2"/>
          <w:rFonts w:eastAsia="Guttman Hodes" w:hint="cs"/>
        </w:rPr>
        <w:instrText>Ref137639512 \r \h</w:instrText>
      </w:r>
      <w:r w:rsidRPr="00D16BB6">
        <w:rPr>
          <w:rStyle w:val="af2"/>
          <w:rFonts w:eastAsia="Guttman Hodes"/>
          <w:rtl/>
        </w:rPr>
        <w:instrText xml:space="preserve"> </w:instrText>
      </w:r>
      <w:r w:rsidRPr="00D16BB6">
        <w:rPr>
          <w:rStyle w:val="af2"/>
          <w:rFonts w:eastAsia="Guttman Hodes"/>
          <w:rtl/>
        </w:rPr>
      </w:r>
      <w:r w:rsidRPr="00D16BB6">
        <w:rPr>
          <w:rStyle w:val="af2"/>
          <w:rFonts w:eastAsia="Guttman Hodes"/>
          <w:rtl/>
        </w:rPr>
        <w:fldChar w:fldCharType="separate"/>
      </w:r>
      <w:r w:rsidR="00D82181">
        <w:rPr>
          <w:rStyle w:val="af2"/>
          <w:rFonts w:eastAsia="Guttman Hodes"/>
          <w:cs/>
        </w:rPr>
        <w:t>‎</w:t>
      </w:r>
      <w:r w:rsidR="00D82181">
        <w:rPr>
          <w:rStyle w:val="af2"/>
          <w:rFonts w:eastAsia="Guttman Hodes"/>
          <w:rtl/>
        </w:rPr>
        <w:t>כא)</w:t>
      </w:r>
      <w:r w:rsidRPr="00D16BB6">
        <w:rPr>
          <w:rStyle w:val="af2"/>
          <w:rFonts w:eastAsia="Guttman Hodes"/>
          <w:rtl/>
        </w:rPr>
        <w:fldChar w:fldCharType="end"/>
      </w:r>
      <w:r>
        <w:rPr>
          <w:rFonts w:hint="cs"/>
          <w:rtl/>
        </w:rPr>
        <w:t xml:space="preserve"> </w:t>
      </w:r>
      <w:r w:rsidRPr="00743928">
        <w:rPr>
          <w:rFonts w:hint="cs"/>
          <w:rtl/>
        </w:rPr>
        <w:t>דבב' מיני</w:t>
      </w:r>
      <w:r>
        <w:rPr>
          <w:rFonts w:hint="cs"/>
          <w:rtl/>
        </w:rPr>
        <w:t xml:space="preserve"> אוכלין אם אוכל את</w:t>
      </w:r>
      <w:r w:rsidRPr="00743928">
        <w:rPr>
          <w:rFonts w:hint="cs"/>
          <w:rtl/>
        </w:rPr>
        <w:t xml:space="preserve"> המין שרוצה לאלתר מותר</w:t>
      </w:r>
      <w:r>
        <w:rPr>
          <w:rFonts w:hint="cs"/>
          <w:rtl/>
        </w:rPr>
        <w:t xml:space="preserve"> לבררו מתוך המין השני</w:t>
      </w:r>
      <w:r w:rsidRPr="00743928">
        <w:rPr>
          <w:rFonts w:hint="cs"/>
          <w:rtl/>
        </w:rPr>
        <w:t>,</w:t>
      </w:r>
      <w:r>
        <w:rPr>
          <w:rFonts w:hint="cs"/>
          <w:rtl/>
        </w:rPr>
        <w:t xml:space="preserve"> </w:t>
      </w:r>
      <w:r w:rsidRPr="00D16BB6">
        <w:rPr>
          <w:rStyle w:val="af"/>
          <w:rFonts w:hint="cs"/>
          <w:rtl/>
        </w:rPr>
        <w:t>[דהוא כאוכל מתוך פסולת לאלתר]</w:t>
      </w:r>
      <w:r w:rsidRPr="002650B4">
        <w:rPr>
          <w:rStyle w:val="af"/>
          <w:rFonts w:hint="cs"/>
          <w:rtl/>
        </w:rPr>
        <w:t>,</w:t>
      </w:r>
      <w:r w:rsidRPr="00743928">
        <w:rPr>
          <w:rFonts w:hint="cs"/>
          <w:rtl/>
        </w:rPr>
        <w:t xml:space="preserve"> והא איתא בירושלמי ד</w:t>
      </w:r>
      <w:r>
        <w:rPr>
          <w:rFonts w:hint="cs"/>
          <w:rtl/>
        </w:rPr>
        <w:t xml:space="preserve">בכל ב' מינים </w:t>
      </w:r>
      <w:r w:rsidRPr="00743928">
        <w:rPr>
          <w:rFonts w:hint="cs"/>
          <w:rtl/>
        </w:rPr>
        <w:t xml:space="preserve">כשבירר את כל המין אסור, </w:t>
      </w:r>
      <w:r w:rsidRPr="00D16BB6">
        <w:rPr>
          <w:rStyle w:val="af"/>
          <w:rFonts w:hint="cs"/>
          <w:rtl/>
        </w:rPr>
        <w:t xml:space="preserve">[דבשמוציא את כל המין שרוצה הוא מברר בזה גם את המין שאינו רוצה, וא"כ אף לאלתר אסור, ועי' במ"ש </w:t>
      </w:r>
      <w:r w:rsidRPr="00D16BB6">
        <w:rPr>
          <w:rStyle w:val="aff9"/>
          <w:rFonts w:hint="cs"/>
          <w:vanish/>
          <w:rtl/>
        </w:rPr>
        <w:t>-</w:t>
      </w:r>
      <w:r w:rsidRPr="00D16BB6">
        <w:rPr>
          <w:rStyle w:val="aff9"/>
          <w:rFonts w:hint="cs"/>
          <w:rtl/>
        </w:rPr>
        <w:t>הרד"ע</w:t>
      </w:r>
      <w:r w:rsidRPr="00D16BB6">
        <w:rPr>
          <w:rStyle w:val="aff9"/>
          <w:rFonts w:hint="cs"/>
          <w:vanish/>
          <w:rtl/>
        </w:rPr>
        <w:t>-</w:t>
      </w:r>
      <w:r w:rsidRPr="00D16BB6">
        <w:rPr>
          <w:rStyle w:val="af"/>
          <w:rFonts w:hint="cs"/>
          <w:rtl/>
        </w:rPr>
        <w:t xml:space="preserve"> </w:t>
      </w:r>
      <w:r w:rsidRPr="00D16BB6">
        <w:rPr>
          <w:rStyle w:val="aff0"/>
          <w:rFonts w:hint="cs"/>
          <w:rtl/>
        </w:rPr>
        <w:t xml:space="preserve">(עי' אות </w:t>
      </w:r>
      <w:r w:rsidRPr="00D16BB6">
        <w:rPr>
          <w:rStyle w:val="aff0"/>
          <w:rtl/>
        </w:rPr>
        <w:fldChar w:fldCharType="begin"/>
      </w:r>
      <w:r w:rsidRPr="00D16BB6">
        <w:rPr>
          <w:rStyle w:val="aff0"/>
          <w:rtl/>
        </w:rPr>
        <w:instrText xml:space="preserve"> </w:instrText>
      </w:r>
      <w:r w:rsidRPr="00D16BB6">
        <w:rPr>
          <w:rStyle w:val="aff0"/>
          <w:rFonts w:hint="cs"/>
        </w:rPr>
        <w:instrText>REF</w:instrText>
      </w:r>
      <w:r w:rsidRPr="00D16BB6">
        <w:rPr>
          <w:rStyle w:val="aff0"/>
          <w:rFonts w:hint="cs"/>
          <w:rtl/>
        </w:rPr>
        <w:instrText xml:space="preserve"> _</w:instrText>
      </w:r>
      <w:r w:rsidRPr="00D16BB6">
        <w:rPr>
          <w:rStyle w:val="aff0"/>
          <w:rFonts w:hint="cs"/>
        </w:rPr>
        <w:instrText>Ref137574559 \r \h</w:instrText>
      </w:r>
      <w:r w:rsidRPr="00D16BB6">
        <w:rPr>
          <w:rStyle w:val="aff0"/>
          <w:rtl/>
        </w:rPr>
        <w:instrText xml:space="preserve"> </w:instrText>
      </w:r>
      <w:r w:rsidRPr="00D16BB6">
        <w:rPr>
          <w:rStyle w:val="aff0"/>
          <w:rtl/>
        </w:rPr>
      </w:r>
      <w:r w:rsidRPr="00D16BB6">
        <w:rPr>
          <w:rStyle w:val="aff0"/>
          <w:rtl/>
        </w:rPr>
        <w:fldChar w:fldCharType="separate"/>
      </w:r>
      <w:r w:rsidR="00D82181">
        <w:rPr>
          <w:rStyle w:val="aff0"/>
          <w:cs/>
        </w:rPr>
        <w:t>‎</w:t>
      </w:r>
      <w:r w:rsidR="00D82181">
        <w:rPr>
          <w:rStyle w:val="aff0"/>
          <w:rtl/>
        </w:rPr>
        <w:t>מט)</w:t>
      </w:r>
      <w:r w:rsidRPr="00D16BB6">
        <w:rPr>
          <w:rStyle w:val="aff0"/>
          <w:rtl/>
        </w:rPr>
        <w:fldChar w:fldCharType="end"/>
      </w:r>
      <w:r w:rsidRPr="00D16BB6">
        <w:rPr>
          <w:rStyle w:val="af"/>
          <w:rFonts w:hint="cs"/>
          <w:rtl/>
        </w:rPr>
        <w:t xml:space="preserve"> בנוטל מין אחד ומניח מין אחר]</w:t>
      </w:r>
      <w:r w:rsidRPr="002650B4">
        <w:rPr>
          <w:rStyle w:val="af"/>
          <w:rFonts w:hint="cs"/>
          <w:rtl/>
        </w:rPr>
        <w:t>,</w:t>
      </w:r>
      <w:r w:rsidRPr="00743928">
        <w:rPr>
          <w:rFonts w:hint="cs"/>
          <w:rtl/>
        </w:rPr>
        <w:t xml:space="preserve"> </w:t>
      </w:r>
      <w:r>
        <w:rPr>
          <w:rFonts w:hint="cs"/>
          <w:rtl/>
        </w:rPr>
        <w:t xml:space="preserve">ועי' במה שתירץ </w:t>
      </w:r>
      <w:r w:rsidRPr="00BE47C5">
        <w:rPr>
          <w:rStyle w:val="aff4"/>
          <w:rFonts w:hint="cs"/>
          <w:vanish/>
          <w:rtl/>
        </w:rPr>
        <w:t>-</w:t>
      </w:r>
      <w:r w:rsidRPr="00BF56CC">
        <w:rPr>
          <w:rStyle w:val="aff4"/>
          <w:rFonts w:hint="cs"/>
          <w:rtl/>
        </w:rPr>
        <w:t>האגלי טל</w:t>
      </w:r>
      <w:r w:rsidRPr="00BE47C5">
        <w:rPr>
          <w:rStyle w:val="aff4"/>
          <w:rFonts w:hint="cs"/>
          <w:vanish/>
          <w:rtl/>
        </w:rPr>
        <w:t>-</w:t>
      </w:r>
      <w:r>
        <w:rPr>
          <w:rStyle w:val="aff4"/>
          <w:rFonts w:hint="cs"/>
          <w:rtl/>
        </w:rPr>
        <w:t xml:space="preserve"> </w:t>
      </w:r>
      <w:r w:rsidRPr="00D85AA8">
        <w:rPr>
          <w:rStyle w:val="af2"/>
          <w:rFonts w:eastAsia="Guttman Hodes" w:hint="cs"/>
          <w:rtl/>
        </w:rPr>
        <w:t xml:space="preserve">(עי' </w:t>
      </w:r>
      <w:r w:rsidRPr="00D44E0A">
        <w:rPr>
          <w:rStyle w:val="af2"/>
          <w:rFonts w:eastAsia="Guttman Hodes" w:hint="cs"/>
          <w:rtl/>
        </w:rPr>
        <w:t xml:space="preserve">אות </w:t>
      </w:r>
      <w:r w:rsidRPr="00D44E0A">
        <w:rPr>
          <w:rStyle w:val="af2"/>
          <w:rFonts w:eastAsia="Guttman Hodes"/>
          <w:rtl/>
        </w:rPr>
        <w:fldChar w:fldCharType="begin"/>
      </w:r>
      <w:r w:rsidRPr="00D44E0A">
        <w:rPr>
          <w:rStyle w:val="af2"/>
          <w:rFonts w:eastAsia="Guttman Hodes"/>
          <w:rtl/>
        </w:rPr>
        <w:instrText xml:space="preserve"> </w:instrText>
      </w:r>
      <w:r w:rsidRPr="00D44E0A">
        <w:rPr>
          <w:rStyle w:val="af2"/>
          <w:rFonts w:eastAsia="Guttman Hodes" w:hint="cs"/>
        </w:rPr>
        <w:instrText>REF</w:instrText>
      </w:r>
      <w:r w:rsidRPr="00D44E0A">
        <w:rPr>
          <w:rStyle w:val="af2"/>
          <w:rFonts w:eastAsia="Guttman Hodes" w:hint="cs"/>
          <w:rtl/>
        </w:rPr>
        <w:instrText xml:space="preserve"> _</w:instrText>
      </w:r>
      <w:r w:rsidRPr="00D44E0A">
        <w:rPr>
          <w:rStyle w:val="af2"/>
          <w:rFonts w:eastAsia="Guttman Hodes" w:hint="cs"/>
        </w:rPr>
        <w:instrText>Ref136982955 \r \h</w:instrText>
      </w:r>
      <w:r w:rsidRPr="00D44E0A">
        <w:rPr>
          <w:rStyle w:val="af2"/>
          <w:rFonts w:eastAsia="Guttman Hodes"/>
          <w:rtl/>
        </w:rPr>
        <w:instrText xml:space="preserve"> </w:instrText>
      </w:r>
      <w:r w:rsidRPr="00D44E0A">
        <w:rPr>
          <w:rStyle w:val="af2"/>
          <w:rFonts w:eastAsia="Guttman Hodes"/>
          <w:rtl/>
        </w:rPr>
      </w:r>
      <w:r w:rsidRPr="00D44E0A">
        <w:rPr>
          <w:rStyle w:val="af2"/>
          <w:rFonts w:eastAsia="Guttman Hodes"/>
          <w:rtl/>
        </w:rPr>
        <w:fldChar w:fldCharType="separate"/>
      </w:r>
      <w:r w:rsidR="00D82181">
        <w:rPr>
          <w:rStyle w:val="af2"/>
          <w:rFonts w:eastAsia="Guttman Hodes"/>
          <w:cs/>
        </w:rPr>
        <w:t>‎</w:t>
      </w:r>
      <w:r w:rsidR="00D82181">
        <w:rPr>
          <w:rStyle w:val="af2"/>
          <w:rFonts w:eastAsia="Guttman Hodes"/>
          <w:rtl/>
        </w:rPr>
        <w:t>כח)</w:t>
      </w:r>
      <w:r w:rsidRPr="00D44E0A">
        <w:rPr>
          <w:rStyle w:val="af2"/>
          <w:rFonts w:eastAsia="Guttman Hodes"/>
          <w:rtl/>
        </w:rPr>
        <w:fldChar w:fldCharType="end"/>
      </w:r>
      <w:r>
        <w:rPr>
          <w:rFonts w:hint="cs"/>
          <w:rtl/>
        </w:rPr>
        <w:t xml:space="preserve">, </w:t>
      </w:r>
      <w:r w:rsidRPr="00743928">
        <w:rPr>
          <w:rFonts w:hint="cs"/>
          <w:rtl/>
        </w:rPr>
        <w:lastRenderedPageBreak/>
        <w:t xml:space="preserve">ועוד הקשה </w:t>
      </w:r>
      <w:r w:rsidRPr="00E564E4">
        <w:rPr>
          <w:rStyle w:val="aff4"/>
          <w:rFonts w:hint="cs"/>
          <w:vanish/>
          <w:rtl/>
        </w:rPr>
        <w:t>-</w:t>
      </w:r>
      <w:r w:rsidRPr="00E9617D">
        <w:rPr>
          <w:rStyle w:val="aff4"/>
          <w:rFonts w:hint="cs"/>
          <w:rtl/>
        </w:rPr>
        <w:t>ה</w:t>
      </w:r>
      <w:r w:rsidRPr="00E564E4">
        <w:rPr>
          <w:rStyle w:val="aff4"/>
          <w:rFonts w:hint="cs"/>
          <w:vanish/>
          <w:rtl/>
        </w:rPr>
        <w:t>&lt; &gt;</w:t>
      </w:r>
      <w:r w:rsidRPr="00E9617D">
        <w:rPr>
          <w:rStyle w:val="aff4"/>
          <w:rFonts w:hint="cs"/>
          <w:rtl/>
        </w:rPr>
        <w:t>אגלי טל</w:t>
      </w:r>
      <w:r w:rsidRPr="00E564E4">
        <w:rPr>
          <w:rStyle w:val="aff4"/>
          <w:rFonts w:hint="cs"/>
          <w:vanish/>
          <w:rtl/>
        </w:rPr>
        <w:t>-</w:t>
      </w:r>
      <w:r w:rsidRPr="00743928">
        <w:rPr>
          <w:rFonts w:hint="cs"/>
          <w:rtl/>
        </w:rPr>
        <w:t xml:space="preserve"> </w:t>
      </w:r>
      <w:r w:rsidRPr="00D16BB6">
        <w:rPr>
          <w:rStyle w:val="af2"/>
          <w:rFonts w:eastAsia="Guttman Hodes" w:hint="cs"/>
          <w:rtl/>
        </w:rPr>
        <w:t>(זורה סק"א אות ב')</w:t>
      </w:r>
      <w:r w:rsidRPr="00E564E4">
        <w:rPr>
          <w:rFonts w:hint="cs"/>
          <w:vanish/>
          <w:rtl/>
        </w:rPr>
        <w:t>=</w:t>
      </w:r>
      <w:r w:rsidRPr="00743928">
        <w:rPr>
          <w:rFonts w:hint="cs"/>
          <w:rtl/>
        </w:rPr>
        <w:t xml:space="preserve"> על מ"ש </w:t>
      </w:r>
      <w:r w:rsidRPr="00E564E4">
        <w:rPr>
          <w:rStyle w:val="aff4"/>
          <w:rFonts w:hint="cs"/>
          <w:vanish/>
          <w:rtl/>
        </w:rPr>
        <w:t>-</w:t>
      </w:r>
      <w:r w:rsidRPr="00E9617D">
        <w:rPr>
          <w:rStyle w:val="aff4"/>
          <w:rFonts w:hint="cs"/>
          <w:rtl/>
        </w:rPr>
        <w:t>התוס'</w:t>
      </w:r>
      <w:r w:rsidRPr="00E564E4">
        <w:rPr>
          <w:rStyle w:val="aff4"/>
          <w:rFonts w:hint="cs"/>
          <w:vanish/>
          <w:rtl/>
        </w:rPr>
        <w:t>-</w:t>
      </w:r>
      <w:r w:rsidRPr="00743928">
        <w:rPr>
          <w:rFonts w:hint="cs"/>
          <w:rtl/>
        </w:rPr>
        <w:t xml:space="preserve"> </w:t>
      </w:r>
      <w:r w:rsidRPr="00D16BB6">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Ref137671185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w:t>
      </w:r>
      <w:r>
        <w:rPr>
          <w:rStyle w:val="af2"/>
          <w:rFonts w:eastAsia="Guttman Hodes"/>
          <w:rtl/>
        </w:rPr>
        <w:fldChar w:fldCharType="end"/>
      </w:r>
      <w:r w:rsidRPr="00743928">
        <w:rPr>
          <w:rFonts w:hint="cs"/>
          <w:rtl/>
        </w:rPr>
        <w:t xml:space="preserve"> דמשמע בירושלמי דהמין שאינו רוצה לאכול חשיב פסולת, </w:t>
      </w:r>
      <w:r>
        <w:rPr>
          <w:rFonts w:hint="cs"/>
          <w:rtl/>
        </w:rPr>
        <w:t>ו</w:t>
      </w:r>
      <w:r w:rsidRPr="00743928">
        <w:rPr>
          <w:rFonts w:hint="cs"/>
          <w:rtl/>
        </w:rPr>
        <w:t xml:space="preserve">הא בירושלמי לא איירי שהוא רוצה לאכול מין אחד, ומשמע דכל שבורר מין מחבירו חייב, </w:t>
      </w:r>
      <w:r>
        <w:rPr>
          <w:rFonts w:hint="cs"/>
          <w:rtl/>
        </w:rPr>
        <w:t xml:space="preserve">ולא מצינו בירושלמי דמין אחד חשיב פסולת, </w:t>
      </w:r>
      <w:r w:rsidRPr="00743928">
        <w:rPr>
          <w:rFonts w:hint="cs"/>
          <w:rtl/>
        </w:rPr>
        <w:t xml:space="preserve">וכן משמע </w:t>
      </w:r>
      <w:r w:rsidRPr="00E564E4">
        <w:rPr>
          <w:rStyle w:val="aff4"/>
          <w:rFonts w:hint="cs"/>
          <w:vanish/>
          <w:rtl/>
        </w:rPr>
        <w:t>-</w:t>
      </w:r>
      <w:r w:rsidRPr="00E9617D">
        <w:rPr>
          <w:rStyle w:val="aff4"/>
          <w:rFonts w:hint="cs"/>
          <w:rtl/>
        </w:rPr>
        <w:t>ברמב"ם</w:t>
      </w:r>
      <w:r w:rsidRPr="00E564E4">
        <w:rPr>
          <w:rStyle w:val="aff4"/>
          <w:rFonts w:hint="cs"/>
          <w:vanish/>
          <w:rtl/>
        </w:rPr>
        <w:t>-</w:t>
      </w:r>
      <w:r w:rsidRPr="00743928">
        <w:rPr>
          <w:rFonts w:hint="cs"/>
          <w:rtl/>
        </w:rPr>
        <w:t xml:space="preserve"> </w:t>
      </w:r>
      <w:r w:rsidRPr="00D16BB6">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Ref137673024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לו)</w:t>
      </w:r>
      <w:r>
        <w:rPr>
          <w:rStyle w:val="af2"/>
          <w:rFonts w:eastAsia="Guttman Hodes"/>
          <w:rtl/>
        </w:rPr>
        <w:fldChar w:fldCharType="end"/>
      </w:r>
      <w:r w:rsidRPr="00743928">
        <w:rPr>
          <w:rFonts w:hint="cs"/>
          <w:rtl/>
        </w:rPr>
        <w:t xml:space="preserve"> ובתוספתא </w:t>
      </w:r>
      <w:r w:rsidRPr="00D16BB6">
        <w:rPr>
          <w:rStyle w:val="af2"/>
          <w:rFonts w:eastAsia="Guttman Hodes" w:hint="cs"/>
          <w:rtl/>
        </w:rPr>
        <w:t>(פט"ז ה"ו)</w:t>
      </w:r>
      <w:r w:rsidRPr="00EE630B">
        <w:rPr>
          <w:rFonts w:hint="cs"/>
          <w:rtl/>
        </w:rPr>
        <w:t xml:space="preserve"> </w:t>
      </w:r>
      <w:r w:rsidRPr="00743928">
        <w:rPr>
          <w:rFonts w:hint="cs"/>
          <w:rtl/>
        </w:rPr>
        <w:t>דכל שבורר מין מחבירו חייב</w:t>
      </w:r>
      <w:r>
        <w:rPr>
          <w:rFonts w:hint="cs"/>
          <w:rtl/>
        </w:rPr>
        <w:t>,</w:t>
      </w:r>
      <w:r w:rsidRPr="00555655">
        <w:rPr>
          <w:rFonts w:hint="cs"/>
          <w:rtl/>
        </w:rPr>
        <w:t xml:space="preserve"> </w:t>
      </w:r>
      <w:r>
        <w:rPr>
          <w:rFonts w:hint="cs"/>
          <w:rtl/>
        </w:rPr>
        <w:t xml:space="preserve">ועי' במה שתירץ </w:t>
      </w:r>
      <w:r w:rsidRPr="00BE47C5">
        <w:rPr>
          <w:rStyle w:val="aff4"/>
          <w:rFonts w:hint="cs"/>
          <w:vanish/>
          <w:rtl/>
        </w:rPr>
        <w:t>-</w:t>
      </w:r>
      <w:r w:rsidRPr="00BF56CC">
        <w:rPr>
          <w:rStyle w:val="aff4"/>
          <w:rFonts w:hint="cs"/>
          <w:rtl/>
        </w:rPr>
        <w:t>האגלי טל</w:t>
      </w:r>
      <w:r w:rsidRPr="00BE47C5">
        <w:rPr>
          <w:rStyle w:val="aff4"/>
          <w:rFonts w:hint="cs"/>
          <w:vanish/>
          <w:rtl/>
        </w:rPr>
        <w:t>-</w:t>
      </w:r>
      <w:r>
        <w:rPr>
          <w:rStyle w:val="aff4"/>
          <w:rFonts w:hint="cs"/>
          <w:rtl/>
        </w:rPr>
        <w:t xml:space="preserve"> </w:t>
      </w:r>
      <w:r w:rsidRPr="00D85AA8">
        <w:rPr>
          <w:rStyle w:val="af2"/>
          <w:rFonts w:eastAsia="Guttman Hodes" w:hint="cs"/>
          <w:rtl/>
        </w:rPr>
        <w:t xml:space="preserve">(עי' אות </w:t>
      </w:r>
      <w:r w:rsidRPr="00D85AA8">
        <w:rPr>
          <w:rStyle w:val="af2"/>
          <w:rFonts w:eastAsia="Guttman Hodes"/>
          <w:rtl/>
        </w:rPr>
        <w:fldChar w:fldCharType="begin"/>
      </w:r>
      <w:r w:rsidRPr="00D85AA8">
        <w:rPr>
          <w:rStyle w:val="af2"/>
          <w:rFonts w:eastAsia="Guttman Hodes"/>
          <w:rtl/>
        </w:rPr>
        <w:instrText xml:space="preserve"> </w:instrText>
      </w:r>
      <w:r w:rsidRPr="00D85AA8">
        <w:rPr>
          <w:rStyle w:val="af2"/>
          <w:rFonts w:eastAsia="Guttman Hodes" w:hint="cs"/>
        </w:rPr>
        <w:instrText>REF</w:instrText>
      </w:r>
      <w:r w:rsidRPr="00D85AA8">
        <w:rPr>
          <w:rStyle w:val="af2"/>
          <w:rFonts w:eastAsia="Guttman Hodes" w:hint="cs"/>
          <w:rtl/>
        </w:rPr>
        <w:instrText xml:space="preserve"> _</w:instrText>
      </w:r>
      <w:r w:rsidRPr="00D85AA8">
        <w:rPr>
          <w:rStyle w:val="af2"/>
          <w:rFonts w:eastAsia="Guttman Hodes" w:hint="cs"/>
        </w:rPr>
        <w:instrText>Ref137673765 \r \h</w:instrText>
      </w:r>
      <w:r w:rsidRPr="00D85AA8">
        <w:rPr>
          <w:rStyle w:val="af2"/>
          <w:rFonts w:eastAsia="Guttman Hodes"/>
          <w:rtl/>
        </w:rPr>
        <w:instrText xml:space="preserve"> </w:instrText>
      </w:r>
      <w:r w:rsidRPr="00D85AA8">
        <w:rPr>
          <w:rStyle w:val="af2"/>
          <w:rFonts w:eastAsia="Guttman Hodes"/>
          <w:rtl/>
        </w:rPr>
      </w:r>
      <w:r w:rsidRPr="00D85AA8">
        <w:rPr>
          <w:rStyle w:val="af2"/>
          <w:rFonts w:eastAsia="Guttman Hodes"/>
          <w:rtl/>
        </w:rPr>
        <w:fldChar w:fldCharType="separate"/>
      </w:r>
      <w:r w:rsidR="00D82181">
        <w:rPr>
          <w:rStyle w:val="af2"/>
          <w:rFonts w:eastAsia="Guttman Hodes"/>
          <w:cs/>
        </w:rPr>
        <w:t>‎</w:t>
      </w:r>
      <w:r w:rsidR="00D82181">
        <w:rPr>
          <w:rStyle w:val="af2"/>
          <w:rFonts w:eastAsia="Guttman Hodes"/>
          <w:rtl/>
        </w:rPr>
        <w:t>כז)</w:t>
      </w:r>
      <w:r w:rsidRPr="00D85AA8">
        <w:rPr>
          <w:rStyle w:val="af2"/>
          <w:rFonts w:eastAsia="Guttman Hodes"/>
          <w:rtl/>
        </w:rPr>
        <w:fldChar w:fldCharType="end"/>
      </w:r>
      <w:r>
        <w:rPr>
          <w:rFonts w:hint="cs"/>
          <w:rtl/>
        </w:rPr>
        <w:t>.</w:t>
      </w:r>
      <w:bookmarkEnd w:id="2296"/>
    </w:p>
    <w:p w14:paraId="148DDA4A" w14:textId="77777777" w:rsidR="00592982" w:rsidRPr="00747170" w:rsidRDefault="00592982" w:rsidP="00747170">
      <w:pPr>
        <w:pStyle w:val="a2"/>
        <w:rPr>
          <w:rtl/>
        </w:rPr>
      </w:pPr>
      <w:r w:rsidRPr="00747170">
        <w:rPr>
          <w:rStyle w:val="afff7"/>
          <w:color w:val="auto"/>
          <w:rtl/>
        </w:rPr>
        <w:t>הנה בירושלמי פ' כלל גדול [מט א] רקק והפריחתו הרוח חייב משום זורה. עוד בירושלמי שם א"ר יודן יש שהוא בורר צרורות כל היום ואינו מתחייב היך עבידא הי' יושב ע"ג כרי וברר צרורות אינו מתחייב נטל מתוך ידו ובירר כגרוגרת חייב.</w:t>
      </w:r>
      <w:r w:rsidRPr="00747170">
        <w:rPr>
          <w:rtl/>
        </w:rPr>
        <w:t xml:space="preserve"> עוד בירושלמי שם הבורר אוכלין מתוך אוכלין חזקי' אמר חייב ר' יוחנן אמר פטור. מתניתא פליגא על חזקי' בורר ואוכל בורר ומניח על השלחן. תפתר שהיו אורחין אוכלין ראשונה ראשונה [פי' הק"ע דהיינו לאלתר] והתני [פי' בק"ע בניחותא] ובלבד שלא יבור את כל המין [פי' הק"ע ומ"ט אלא דכשבורר כל המין ניכר הברירה במין הנשאר וזה ודאי אסור שהרי אינו אוכלו עתה והו"ל כבורר ומניח לאחר זמן והיינו דחזקי'] והפוסקים השמיטו לג' מימרות האלה דירושלמי היינו שהשמיטו להב' מימרות ראשונים וגבי בורר אוכלין מתוך אוכלין פסקו דכשבורר אותו מין שרוצה לאכול לאלתר מותר ולא כתבו דכשבורר כל המין אסור. זולת האו"ז שהביא הב' מימרות הראשונים [והמימרא הג' לא הביא כלל כפי הנראה ס"ל כשיטת ר' יוחנן בירושלמי דאין ברירה באוכל מאוכל שהוא אינו גורס שני בברייתא מכילתין דף ע"ד. כפירש"י שם וגם בפלוגתא דר' אשי שם אינו גורס שני וכן כתבנו לקמן בביאורנו למלאכת בורר ס"ק כ"ד אות א' בהג"ה ב' באפשר לפירש"י] וזה צריך טעם:</w:t>
      </w:r>
    </w:p>
    <w:bookmarkEnd w:id="2297"/>
    <w:p w14:paraId="20FC050D" w14:textId="77777777" w:rsidR="00592982" w:rsidRPr="00DA7171" w:rsidRDefault="00592982" w:rsidP="00747170">
      <w:pPr>
        <w:pStyle w:val="afffff5"/>
        <w:rPr>
          <w:rtl/>
        </w:rPr>
      </w:pPr>
      <w:r w:rsidRPr="00DA7171">
        <w:rPr>
          <w:rtl/>
        </w:rPr>
        <w:t>(ב) בתוס' מכילתין ע"ד. ד"ה שני מיני אוכלין. כתבו דאוכל מתוך אוכל שייך ברירה שבורר אותו שאינו חפץ לאכול מתוך אותו שחפץ לאכול דאותו שאינו חפץ בו חשוב פסולת לגבי אותו שחפץ לאכול וכן משמע בירושלמי דגרס הבורר אוכלין מתוך אוכלין וכו' עכ"ל. והנה בירושלמי לא הוזכר זה כלל משום דמין אחד חפץ לאכול אלא סתם משמע דלעולם הבורר מין אחד מתוך מין אחר חשוב בורר. וכן משמע ברמב"ם פ"ח מהל' שבת הלכה י"ב וביותר משמע כן בתוספתא פי"ז [ה"ו] דשבת העתיקה הרשב"א ריש פ' חבית [קמג ב] נתערבו לו פירות בפירות בורר ואוכל. בורר ומניח על השלחן. בורר ומשליך לפני בהמתו. בוררן [בתוספתא שלפנינו איתא בדק ואינו מובן וצ"ל כמו שהעתיק הרשב"א בוררן] אלו בפני עצמן ואלו בפני עצמן חייב או שילקוט [צ"ל שלקט וכן העתיק הרשב"א] מתוכן עפר וצרורות חייב. ומשמעות אלו לעצמן ואלו לעצמן שרוצה בברירת שניהם. לא שחפץ באחד יותר ואעפ"כ חייב:</w:t>
      </w:r>
    </w:p>
    <w:p w14:paraId="7F5A9817" w14:textId="3EA0D30E" w:rsidR="00592982" w:rsidRPr="00DA7171" w:rsidRDefault="00592982" w:rsidP="00592982">
      <w:pPr>
        <w:pStyle w:val="afffff7"/>
        <w:rPr>
          <w:rtl/>
        </w:rPr>
      </w:pPr>
      <w:bookmarkStart w:id="2298" w:name="_Toc137742038"/>
      <w:bookmarkStart w:id="2299" w:name="_Toc163505805"/>
      <w:r w:rsidRPr="00DA7171">
        <w:rPr>
          <w:rtl/>
        </w:rPr>
        <w:t xml:space="preserve">אגלי טל זורה </w:t>
      </w:r>
      <w:r w:rsidRPr="00DA7171">
        <w:rPr>
          <w:rFonts w:hint="cs"/>
          <w:rtl/>
        </w:rPr>
        <w:t>סק"</w:t>
      </w:r>
      <w:r w:rsidRPr="00DA7171">
        <w:rPr>
          <w:rtl/>
        </w:rPr>
        <w:t>א אות</w:t>
      </w:r>
      <w:r w:rsidRPr="00DA7171">
        <w:rPr>
          <w:rFonts w:hint="cs"/>
          <w:rtl/>
        </w:rPr>
        <w:t xml:space="preserve"> ז'</w:t>
      </w:r>
      <w:bookmarkEnd w:id="2298"/>
      <w:bookmarkEnd w:id="2299"/>
    </w:p>
    <w:p w14:paraId="5189986D" w14:textId="77777777" w:rsidR="00592982" w:rsidRPr="00F81278" w:rsidRDefault="00592982" w:rsidP="00592982">
      <w:pPr>
        <w:pStyle w:val="a7"/>
        <w:rPr>
          <w:rtl/>
        </w:rPr>
      </w:pPr>
      <w:bookmarkStart w:id="2300" w:name="_Toc137741949"/>
      <w:r>
        <w:rPr>
          <w:rFonts w:hint="cs"/>
          <w:rtl/>
        </w:rPr>
        <w:t>קו' האגל"ט דלתוס' מלאכת בורר היא בתיקון האוכל וכשמוציא מין אחד הוא מתקן את השני</w:t>
      </w:r>
      <w:bookmarkEnd w:id="2300"/>
    </w:p>
    <w:p w14:paraId="26A960FF" w14:textId="324726CF" w:rsidR="00592982" w:rsidRPr="00743928" w:rsidRDefault="00592982" w:rsidP="00BC7DC8">
      <w:pPr>
        <w:pStyle w:val="a3"/>
        <w:rPr>
          <w:rtl/>
        </w:rPr>
      </w:pPr>
      <w:bookmarkStart w:id="2301" w:name="_Ref137026981"/>
      <w:r w:rsidRPr="00743928">
        <w:rPr>
          <w:rFonts w:hint="cs"/>
          <w:rtl/>
        </w:rPr>
        <w:t xml:space="preserve">ועי' במה שהאריך </w:t>
      </w:r>
      <w:r w:rsidRPr="00F81278">
        <w:rPr>
          <w:rStyle w:val="aff4"/>
          <w:rFonts w:hint="cs"/>
          <w:vanish/>
          <w:rtl/>
        </w:rPr>
        <w:t>-</w:t>
      </w:r>
      <w:r w:rsidRPr="00E9617D">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Ref137026981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כה)</w:t>
      </w:r>
      <w:r>
        <w:rPr>
          <w:rStyle w:val="aff4"/>
          <w:vanish/>
          <w:rtl/>
        </w:rPr>
        <w:fldChar w:fldCharType="end"/>
      </w:r>
      <w:r>
        <w:rPr>
          <w:rStyle w:val="aff4"/>
          <w:rFonts w:hint="cs"/>
          <w:vanish/>
          <w:rtl/>
        </w:rPr>
        <w:t xml:space="preserve"> &gt;</w:t>
      </w:r>
      <w:r w:rsidRPr="00E9617D">
        <w:rPr>
          <w:rStyle w:val="aff4"/>
          <w:rFonts w:hint="cs"/>
          <w:rtl/>
        </w:rPr>
        <w:t>אגלי טל</w:t>
      </w:r>
      <w:r w:rsidRPr="00F81278">
        <w:rPr>
          <w:rStyle w:val="aff4"/>
          <w:rFonts w:hint="cs"/>
          <w:vanish/>
          <w:rtl/>
        </w:rPr>
        <w:t>-</w:t>
      </w:r>
      <w:r w:rsidRPr="00743928">
        <w:rPr>
          <w:rFonts w:hint="cs"/>
          <w:rtl/>
        </w:rPr>
        <w:t xml:space="preserve"> </w:t>
      </w:r>
      <w:r w:rsidRPr="00D16BB6">
        <w:rPr>
          <w:rStyle w:val="af2"/>
          <w:rFonts w:eastAsia="Guttman Hodes" w:hint="cs"/>
          <w:rtl/>
        </w:rPr>
        <w:t>(זורה סק"א אות ז')</w:t>
      </w:r>
      <w:r w:rsidRPr="00F81278">
        <w:rPr>
          <w:rFonts w:hint="cs"/>
          <w:vanish/>
          <w:rtl/>
        </w:rPr>
        <w:t>=</w:t>
      </w:r>
      <w:r w:rsidRPr="00743928">
        <w:rPr>
          <w:rFonts w:hint="cs"/>
          <w:rtl/>
        </w:rPr>
        <w:t xml:space="preserve"> </w:t>
      </w:r>
      <w:r w:rsidRPr="00D16BB6">
        <w:rPr>
          <w:rStyle w:val="af"/>
          <w:rFonts w:hint="cs"/>
          <w:rtl/>
        </w:rPr>
        <w:t>[עי' בהערה]</w:t>
      </w:r>
      <w:r w:rsidRPr="00743928">
        <w:rPr>
          <w:rFonts w:hint="cs"/>
          <w:rtl/>
        </w:rPr>
        <w:t xml:space="preserve"> לבאר דלדעת הירושלמי </w:t>
      </w:r>
      <w:r>
        <w:rPr>
          <w:rFonts w:hint="cs"/>
          <w:rtl/>
        </w:rPr>
        <w:t xml:space="preserve">מעשה </w:t>
      </w:r>
      <w:r w:rsidRPr="00743928">
        <w:rPr>
          <w:rFonts w:hint="cs"/>
          <w:rtl/>
        </w:rPr>
        <w:t>המלאכה בבורר היא בתיקון האו</w:t>
      </w:r>
      <w:bookmarkStart w:id="2302" w:name="_Ref137658343"/>
      <w:r>
        <w:rPr>
          <w:rStyle w:val="afff0"/>
          <w:sz w:val="12"/>
          <w:szCs w:val="14"/>
          <w:rtl/>
        </w:rPr>
        <w:footnoteReference w:id="9"/>
      </w:r>
      <w:bookmarkEnd w:id="2302"/>
      <w:r w:rsidRPr="0027708A">
        <w:rPr>
          <w:rStyle w:val="af"/>
          <w:rFonts w:hint="cs"/>
          <w:rtl/>
        </w:rPr>
        <w:t>,</w:t>
      </w:r>
      <w:r w:rsidRPr="00743928">
        <w:rPr>
          <w:rFonts w:hint="cs"/>
          <w:rtl/>
        </w:rPr>
        <w:t>כל ולא ב</w:t>
      </w:r>
      <w:r>
        <w:rPr>
          <w:rFonts w:hint="cs"/>
          <w:rtl/>
        </w:rPr>
        <w:t>סילוק ה</w:t>
      </w:r>
      <w:r w:rsidRPr="00743928">
        <w:rPr>
          <w:rFonts w:hint="cs"/>
          <w:rtl/>
        </w:rPr>
        <w:t>פסולת,</w:t>
      </w:r>
      <w:r>
        <w:rPr>
          <w:rFonts w:hint="cs"/>
          <w:rtl/>
        </w:rPr>
        <w:t xml:space="preserve"> ולכן לירושלמי החיוב הוא רק כשהאוכל מבורר לגמרי אבל אם הוציא חלק מהצרורות פטור דהאוכל לא נעשה מתוקן, </w:t>
      </w:r>
      <w:r w:rsidRPr="00D16BB6">
        <w:rPr>
          <w:rStyle w:val="af"/>
          <w:rFonts w:hint="cs"/>
          <w:rtl/>
        </w:rPr>
        <w:t xml:space="preserve">[ועיי"ש במ"ש </w:t>
      </w:r>
      <w:r w:rsidRPr="00D16BB6">
        <w:rPr>
          <w:rStyle w:val="aff9"/>
          <w:rFonts w:hint="cs"/>
          <w:vanish/>
          <w:rtl/>
        </w:rPr>
        <w:t>-</w:t>
      </w:r>
      <w:r w:rsidRPr="00D16BB6">
        <w:rPr>
          <w:rStyle w:val="aff9"/>
          <w:rFonts w:hint="cs"/>
          <w:rtl/>
        </w:rPr>
        <w:t>האגלי טל</w:t>
      </w:r>
      <w:r w:rsidRPr="00D16BB6">
        <w:rPr>
          <w:rStyle w:val="aff9"/>
          <w:rFonts w:hint="cs"/>
          <w:vanish/>
          <w:rtl/>
        </w:rPr>
        <w:t>-</w:t>
      </w:r>
      <w:r w:rsidRPr="00D16BB6">
        <w:rPr>
          <w:rStyle w:val="af"/>
          <w:rFonts w:hint="cs"/>
          <w:rtl/>
        </w:rPr>
        <w:t xml:space="preserve"> דלדעת </w:t>
      </w:r>
      <w:r w:rsidRPr="00D16BB6">
        <w:rPr>
          <w:rStyle w:val="aff9"/>
          <w:rFonts w:hint="cs"/>
          <w:vanish/>
          <w:rtl/>
        </w:rPr>
        <w:t>-</w:t>
      </w:r>
      <w:r w:rsidRPr="00D16BB6">
        <w:rPr>
          <w:rStyle w:val="aff9"/>
          <w:rFonts w:hint="cs"/>
          <w:rtl/>
        </w:rPr>
        <w:t>הבעה"מ והרמב"ן</w:t>
      </w:r>
      <w:r w:rsidRPr="00D16BB6">
        <w:rPr>
          <w:rStyle w:val="aff9"/>
          <w:rFonts w:hint="cs"/>
          <w:vanish/>
          <w:rtl/>
        </w:rPr>
        <w:t>-</w:t>
      </w:r>
      <w:r w:rsidRPr="00D16BB6">
        <w:rPr>
          <w:rStyle w:val="af"/>
          <w:rFonts w:hint="cs"/>
          <w:rtl/>
        </w:rPr>
        <w:t xml:space="preserve"> לבבלי המלאכה היא בפסולת ולא באוכל, עי' בהערה]</w:t>
      </w:r>
      <w:r w:rsidRPr="00495E40">
        <w:rPr>
          <w:vertAlign w:val="superscript"/>
          <w:rtl/>
        </w:rPr>
        <w:fldChar w:fldCharType="begin"/>
      </w:r>
      <w:r w:rsidRPr="00495E40">
        <w:rPr>
          <w:rStyle w:val="af"/>
          <w:vertAlign w:val="superscript"/>
          <w:rtl/>
        </w:rPr>
        <w:instrText xml:space="preserve"> </w:instrText>
      </w:r>
      <w:r w:rsidRPr="00495E40">
        <w:rPr>
          <w:rStyle w:val="af"/>
          <w:rFonts w:hint="cs"/>
          <w:vertAlign w:val="superscript"/>
        </w:rPr>
        <w:instrText>NOTEREF</w:instrText>
      </w:r>
      <w:r w:rsidRPr="00495E40">
        <w:rPr>
          <w:rStyle w:val="af"/>
          <w:rFonts w:hint="cs"/>
          <w:vertAlign w:val="superscript"/>
          <w:rtl/>
        </w:rPr>
        <w:instrText xml:space="preserve"> _</w:instrText>
      </w:r>
      <w:r w:rsidRPr="00495E40">
        <w:rPr>
          <w:rStyle w:val="af"/>
          <w:rFonts w:hint="cs"/>
          <w:vertAlign w:val="superscript"/>
        </w:rPr>
        <w:instrText>Ref137658343 \h</w:instrText>
      </w:r>
      <w:r w:rsidRPr="00495E40">
        <w:rPr>
          <w:rStyle w:val="af"/>
          <w:vertAlign w:val="superscript"/>
          <w:rtl/>
        </w:rPr>
        <w:instrText xml:space="preserve"> </w:instrText>
      </w:r>
      <w:r>
        <w:rPr>
          <w:vertAlign w:val="superscript"/>
          <w:rtl/>
        </w:rPr>
        <w:instrText xml:space="preserve"> \* </w:instrText>
      </w:r>
      <w:r>
        <w:rPr>
          <w:vertAlign w:val="superscript"/>
        </w:rPr>
        <w:instrText>MERGEFORMAT</w:instrText>
      </w:r>
      <w:r>
        <w:rPr>
          <w:vertAlign w:val="superscript"/>
          <w:rtl/>
        </w:rPr>
        <w:instrText xml:space="preserve"> </w:instrText>
      </w:r>
      <w:r w:rsidRPr="00495E40">
        <w:rPr>
          <w:vertAlign w:val="superscript"/>
          <w:rtl/>
        </w:rPr>
      </w:r>
      <w:r w:rsidRPr="00495E40">
        <w:rPr>
          <w:vertAlign w:val="superscript"/>
          <w:rtl/>
        </w:rPr>
        <w:fldChar w:fldCharType="separate"/>
      </w:r>
      <w:r w:rsidR="00D82181">
        <w:rPr>
          <w:rStyle w:val="af"/>
          <w:vertAlign w:val="superscript"/>
          <w:rtl/>
        </w:rPr>
        <w:t>9</w:t>
      </w:r>
      <w:r w:rsidRPr="00495E40">
        <w:rPr>
          <w:vertAlign w:val="superscript"/>
          <w:rtl/>
        </w:rPr>
        <w:fldChar w:fldCharType="end"/>
      </w:r>
      <w:r w:rsidRPr="004A7B8F">
        <w:rPr>
          <w:rStyle w:val="af"/>
          <w:rFonts w:hint="cs"/>
          <w:rtl/>
        </w:rPr>
        <w:t>,</w:t>
      </w:r>
      <w:r>
        <w:rPr>
          <w:rFonts w:hint="cs"/>
          <w:rtl/>
        </w:rPr>
        <w:t xml:space="preserve"> </w:t>
      </w:r>
      <w:r w:rsidRPr="00743928">
        <w:rPr>
          <w:rFonts w:hint="cs"/>
          <w:rtl/>
        </w:rPr>
        <w:t>ו</w:t>
      </w:r>
      <w:r>
        <w:rPr>
          <w:rFonts w:hint="cs"/>
          <w:rtl/>
        </w:rPr>
        <w:t xml:space="preserve">עיי"ש במ"ש </w:t>
      </w:r>
      <w:r w:rsidRPr="00F81278">
        <w:rPr>
          <w:rStyle w:val="aff4"/>
          <w:rFonts w:hint="cs"/>
          <w:vanish/>
          <w:rtl/>
        </w:rPr>
        <w:t>-</w:t>
      </w:r>
      <w:r w:rsidRPr="00E9617D">
        <w:rPr>
          <w:rStyle w:val="aff4"/>
          <w:rFonts w:hint="cs"/>
          <w:rtl/>
        </w:rPr>
        <w:t>האגלי טל</w:t>
      </w:r>
      <w:r w:rsidRPr="000F6E7F">
        <w:rPr>
          <w:rStyle w:val="aff4"/>
          <w:rFonts w:hint="cs"/>
          <w:rtl/>
        </w:rPr>
        <w:t xml:space="preserve"> </w:t>
      </w:r>
      <w:r>
        <w:rPr>
          <w:rStyle w:val="aff4"/>
          <w:rFonts w:hint="cs"/>
          <w:rtl/>
        </w:rPr>
        <w:t>דה</w:t>
      </w:r>
      <w:r w:rsidRPr="00E9617D">
        <w:rPr>
          <w:rStyle w:val="aff4"/>
          <w:rFonts w:hint="cs"/>
          <w:rtl/>
        </w:rPr>
        <w:t>תוס'</w:t>
      </w:r>
      <w:r w:rsidRPr="00F81278">
        <w:rPr>
          <w:rStyle w:val="aff4"/>
          <w:rFonts w:hint="cs"/>
          <w:vanish/>
          <w:rtl/>
        </w:rPr>
        <w:t>-</w:t>
      </w:r>
      <w:r w:rsidRPr="00743928">
        <w:rPr>
          <w:rFonts w:hint="cs"/>
          <w:rtl/>
        </w:rPr>
        <w:t xml:space="preserve"> </w:t>
      </w:r>
      <w:r>
        <w:rPr>
          <w:rFonts w:hint="cs"/>
          <w:rtl/>
        </w:rPr>
        <w:t xml:space="preserve">ביארו כן גם </w:t>
      </w:r>
      <w:r w:rsidRPr="00743928">
        <w:rPr>
          <w:rFonts w:hint="cs"/>
          <w:rtl/>
        </w:rPr>
        <w:t>בדעת הבבלי</w:t>
      </w:r>
      <w:r w:rsidRPr="000F6E7F">
        <w:rPr>
          <w:rFonts w:hint="cs"/>
          <w:rtl/>
        </w:rPr>
        <w:t xml:space="preserve"> </w:t>
      </w:r>
      <w:r>
        <w:rPr>
          <w:rFonts w:hint="cs"/>
          <w:rtl/>
        </w:rPr>
        <w:t>ד</w:t>
      </w:r>
      <w:r w:rsidRPr="00743928">
        <w:rPr>
          <w:rFonts w:hint="cs"/>
          <w:rtl/>
        </w:rPr>
        <w:t>המלאכה היא בתיקון האוכל ולא ב</w:t>
      </w:r>
      <w:r>
        <w:rPr>
          <w:rFonts w:hint="cs"/>
          <w:rtl/>
        </w:rPr>
        <w:t>סילוק ה</w:t>
      </w:r>
      <w:r w:rsidRPr="00743928">
        <w:rPr>
          <w:rFonts w:hint="cs"/>
          <w:rtl/>
        </w:rPr>
        <w:t xml:space="preserve">פסולת, אלא </w:t>
      </w:r>
      <w:r>
        <w:rPr>
          <w:rFonts w:hint="cs"/>
          <w:rtl/>
        </w:rPr>
        <w:t>ד</w:t>
      </w:r>
      <w:r w:rsidRPr="00743928">
        <w:rPr>
          <w:rFonts w:hint="cs"/>
          <w:rtl/>
        </w:rPr>
        <w:t xml:space="preserve">לבבלי אף כשבירר מקצת מהפסולת מתוך האוכל חשיב </w:t>
      </w:r>
      <w:r>
        <w:rPr>
          <w:rFonts w:hint="cs"/>
          <w:rtl/>
        </w:rPr>
        <w:t>שעשה תיקון בא</w:t>
      </w:r>
      <w:r w:rsidRPr="00743928">
        <w:rPr>
          <w:rFonts w:hint="cs"/>
          <w:rtl/>
        </w:rPr>
        <w:t xml:space="preserve">וכל, והקשה </w:t>
      </w:r>
      <w:r w:rsidRPr="00F81278">
        <w:rPr>
          <w:rStyle w:val="aff4"/>
          <w:rFonts w:hint="cs"/>
          <w:vanish/>
          <w:rtl/>
        </w:rPr>
        <w:t>-</w:t>
      </w:r>
      <w:r w:rsidRPr="00E9617D">
        <w:rPr>
          <w:rStyle w:val="aff4"/>
          <w:rFonts w:hint="cs"/>
          <w:rtl/>
        </w:rPr>
        <w:t>האגלי טל</w:t>
      </w:r>
      <w:r w:rsidRPr="00F81278">
        <w:rPr>
          <w:rStyle w:val="aff4"/>
          <w:rFonts w:hint="cs"/>
          <w:vanish/>
          <w:rtl/>
        </w:rPr>
        <w:t>-</w:t>
      </w:r>
      <w:r w:rsidRPr="00743928">
        <w:rPr>
          <w:rFonts w:hint="cs"/>
          <w:rtl/>
        </w:rPr>
        <w:t xml:space="preserve"> דא"כ אמאי כתבו </w:t>
      </w:r>
      <w:r w:rsidRPr="00E564E4">
        <w:rPr>
          <w:rStyle w:val="aff4"/>
          <w:rFonts w:hint="cs"/>
          <w:vanish/>
          <w:rtl/>
        </w:rPr>
        <w:t>-</w:t>
      </w:r>
      <w:r w:rsidRPr="00E9617D">
        <w:rPr>
          <w:rStyle w:val="aff4"/>
          <w:rFonts w:hint="cs"/>
          <w:rtl/>
        </w:rPr>
        <w:t>הפוסקים</w:t>
      </w:r>
      <w:r w:rsidRPr="00E564E4">
        <w:rPr>
          <w:rStyle w:val="aff4"/>
          <w:rFonts w:hint="cs"/>
          <w:vanish/>
          <w:rtl/>
        </w:rPr>
        <w:t>-</w:t>
      </w:r>
      <w:r w:rsidRPr="00743928">
        <w:rPr>
          <w:rFonts w:hint="cs"/>
          <w:rtl/>
        </w:rPr>
        <w:t xml:space="preserve"> דבב' מיני</w:t>
      </w:r>
      <w:r>
        <w:rPr>
          <w:rFonts w:hint="cs"/>
          <w:rtl/>
        </w:rPr>
        <w:t xml:space="preserve"> אוכלין אם אוכל את</w:t>
      </w:r>
      <w:r w:rsidRPr="00743928">
        <w:rPr>
          <w:rFonts w:hint="cs"/>
          <w:rtl/>
        </w:rPr>
        <w:t xml:space="preserve"> המין שרוצה לאלתר מותר</w:t>
      </w:r>
      <w:r>
        <w:rPr>
          <w:rFonts w:hint="cs"/>
          <w:rtl/>
        </w:rPr>
        <w:t xml:space="preserve"> לבררו מתוך המין השני</w:t>
      </w:r>
      <w:r w:rsidRPr="00743928">
        <w:rPr>
          <w:rFonts w:hint="cs"/>
          <w:rtl/>
        </w:rPr>
        <w:t>,</w:t>
      </w:r>
      <w:r>
        <w:rPr>
          <w:rFonts w:hint="cs"/>
          <w:rtl/>
        </w:rPr>
        <w:t xml:space="preserve"> </w:t>
      </w:r>
      <w:r w:rsidRPr="00D16BB6">
        <w:rPr>
          <w:rStyle w:val="af"/>
          <w:rFonts w:hint="cs"/>
          <w:rtl/>
        </w:rPr>
        <w:t>[דהוא כאוכל מתוך פסולת לאלתר]</w:t>
      </w:r>
      <w:r w:rsidRPr="002650B4">
        <w:rPr>
          <w:rStyle w:val="af"/>
          <w:rFonts w:hint="cs"/>
          <w:rtl/>
        </w:rPr>
        <w:t>,</w:t>
      </w:r>
      <w:r w:rsidRPr="00743928">
        <w:rPr>
          <w:rFonts w:hint="cs"/>
          <w:rtl/>
        </w:rPr>
        <w:t xml:space="preserve"> </w:t>
      </w:r>
      <w:r>
        <w:rPr>
          <w:rFonts w:hint="cs"/>
          <w:rtl/>
        </w:rPr>
        <w:t xml:space="preserve">והא לדעת </w:t>
      </w:r>
      <w:r w:rsidRPr="00BE47C5">
        <w:rPr>
          <w:rStyle w:val="aff4"/>
          <w:rFonts w:hint="cs"/>
          <w:vanish/>
          <w:rtl/>
        </w:rPr>
        <w:t>-</w:t>
      </w:r>
      <w:r w:rsidRPr="00BF56CC">
        <w:rPr>
          <w:rStyle w:val="aff4"/>
          <w:rFonts w:hint="cs"/>
          <w:rtl/>
        </w:rPr>
        <w:t>התוס'</w:t>
      </w:r>
      <w:r w:rsidRPr="00BE47C5">
        <w:rPr>
          <w:rStyle w:val="aff4"/>
          <w:rFonts w:hint="cs"/>
          <w:vanish/>
          <w:rtl/>
        </w:rPr>
        <w:t>-</w:t>
      </w:r>
      <w:r>
        <w:rPr>
          <w:rFonts w:hint="cs"/>
          <w:rtl/>
        </w:rPr>
        <w:t xml:space="preserve"> הוא מתקן בזה את המין שנשאר</w:t>
      </w:r>
      <w:r w:rsidRPr="00743928">
        <w:rPr>
          <w:rFonts w:hint="cs"/>
          <w:rtl/>
        </w:rPr>
        <w:t>, ואף כשלא בירר את כל המין, מ"מ לבבלי מקצת ברירה חשיבא תיקון.</w:t>
      </w:r>
      <w:bookmarkEnd w:id="2301"/>
      <w:r w:rsidRPr="00743928">
        <w:rPr>
          <w:rFonts w:hint="cs"/>
          <w:rtl/>
        </w:rPr>
        <w:t xml:space="preserve"> </w:t>
      </w:r>
    </w:p>
    <w:p w14:paraId="4AFAD07B" w14:textId="77777777" w:rsidR="00592982" w:rsidRPr="00747170" w:rsidRDefault="00592982" w:rsidP="00747170">
      <w:pPr>
        <w:pStyle w:val="a2"/>
        <w:rPr>
          <w:bCs/>
          <w:rtl/>
        </w:rPr>
      </w:pPr>
      <w:r w:rsidRPr="00747170">
        <w:rPr>
          <w:rtl/>
        </w:rPr>
        <w:t>(ז) ובזה יתיישב הקושיא באות ב' על התוס' שכתבו דמין שחפץ לאכול חשוב אוכל ושאינו חפץ לאכול חשוב פסולת וסיימו וכן משמע בירושלמי ובירושלמי לא נזכר מזה. ומשמע דלעולם חייב הבורר מין אחד מחבירו. וכן מוכח בתוספתא הנ"ל. והנה עוד יש להקשות יותר דהא בירושלמי אמר ובלבד שלא יברור כל המין ומשום שאם בורר כל המין נהי דמין שבורר רוצה לאכול לאלתר מ"מ חייב על מין שני. שמין שבורר חשוב ג"כ כפסולת לגבי'. אבל אי אמרת דרק המין שרוצה הוא חשוב אוכל והשני כפסולת מה איכפת לן בשני שנתברר ואינו אוכלו לאלתר כיון שהשני הוא כפסולת וגבי בורר אוכל מתוך פסולת אין לחלק כלל בין בורר מקצת בין בורר כולו. אך לפימ"ש יש ליישב דהנה מ"ש אות ו' בשם הרמב"ן בנוטל צפרניו לתיקון גופו או ליפות עצמו חשוב צריך לגופה אין כן דעת התוס' צ"ד: בד"ה אבל. שכתבו להדיא דהנוטל צפרניו בכלי דחייב היינו לר' יהודה דאמר משאצל"ג חייב עי"ש. ולפי"ז מוכח דברירה נחשב המלאכה באוכל אף שבורר הפסולת וכדעת הירושלמי דאם לא כן בורר פסולת הא הוי משאצל"ג. ולומר דנשתנה דין זורה ובורר משאר מלאכות כדעת הבעה"מ ודאי דוחק לומר כן. ואף דבדף צ"ד. כתבו דמלאכה שא"צ לגופה קרי כשעושה מלאכה וא"צ לאותו צורך שהיו צריכין לה במשכן אלא לענין אחר. וא"כ כיון דבמשכן הי' צריכין לסממנין דהיינו אוכל והוא צריך לאוכל הרי חשוב צריך לגופה. ליתא שהרי התוס' שם כתבו הטעם כי הצורך שהיתה מלאכה נעשית בשבילה הוא גוף המלאכה. וא"כ כיון שהצורך באוכל הרי גוף המלאכה באוכל ולא בפסולת וכדעת הירושלמי. וצ"ל לפי גמרא דידן דמלאכת זורה הוא בירור פסולת ואף שעדיין נשאר צרורות דס"ל לגמ' דידן דחשוב בורר ואף שלא בירר כולו דמ"מ הוברר האוכל קצת שאין בו פסולת כל כך כמו בתחלה. ועוד דאהני מעשיו אי שקיל גם פסולת הנשאר יעשה ברור ע"י לקיחת פסולת זה. ועי' צ"ד: בהי' שני זיתי מת בבית והוציא אחד לכ"ע חשוב אהני מעשיו עי"ש בתוס' ובחי' הר"ן. וא"כ קשה לפי גמרא דידן האיך הותר לברור אוכל מאוכל לאכול לאלתר הלא מין שני אינו אוכל לאלתר. ואף שאינו בורר כל המין הלא לפי גמרא דידן אין חילוק כנ"ל:</w:t>
      </w:r>
    </w:p>
    <w:p w14:paraId="131CE138" w14:textId="65D06EE1" w:rsidR="00592982" w:rsidRPr="00743928" w:rsidRDefault="00592982" w:rsidP="00592982">
      <w:pPr>
        <w:pStyle w:val="afffff7"/>
        <w:rPr>
          <w:rtl/>
        </w:rPr>
      </w:pPr>
      <w:bookmarkStart w:id="2303" w:name="_Toc137742039"/>
      <w:bookmarkStart w:id="2304" w:name="_Toc163505806"/>
      <w:r w:rsidRPr="00743928">
        <w:rPr>
          <w:rtl/>
        </w:rPr>
        <w:t xml:space="preserve">אגלי טל זורה </w:t>
      </w:r>
      <w:r w:rsidRPr="00743928">
        <w:rPr>
          <w:rFonts w:hint="cs"/>
          <w:rtl/>
        </w:rPr>
        <w:t>סק"</w:t>
      </w:r>
      <w:r w:rsidRPr="00743928">
        <w:rPr>
          <w:rtl/>
        </w:rPr>
        <w:t>א אות</w:t>
      </w:r>
      <w:r w:rsidRPr="00743928">
        <w:rPr>
          <w:rFonts w:hint="cs"/>
          <w:rtl/>
        </w:rPr>
        <w:t xml:space="preserve"> ז'</w:t>
      </w:r>
      <w:r>
        <w:rPr>
          <w:rFonts w:hint="cs"/>
          <w:rtl/>
        </w:rPr>
        <w:t xml:space="preserve"> ד"ה ע"כ</w:t>
      </w:r>
      <w:bookmarkEnd w:id="2303"/>
      <w:bookmarkEnd w:id="2304"/>
    </w:p>
    <w:p w14:paraId="55F8CF59" w14:textId="77777777" w:rsidR="00592982" w:rsidRPr="00743928" w:rsidRDefault="00592982" w:rsidP="00592982">
      <w:pPr>
        <w:pStyle w:val="a7"/>
        <w:rPr>
          <w:rtl/>
        </w:rPr>
      </w:pPr>
      <w:bookmarkStart w:id="2305" w:name="_Toc137741950"/>
      <w:r>
        <w:rPr>
          <w:rFonts w:hint="cs"/>
          <w:rtl/>
        </w:rPr>
        <w:t>בי' האגל"ט בבבלי ובירו' בב' מינים כ"א פסולת לגבי הב' והברירה</w:t>
      </w:r>
      <w:r w:rsidRPr="00FD0AA6">
        <w:rPr>
          <w:rFonts w:hint="cs"/>
          <w:rtl/>
        </w:rPr>
        <w:t xml:space="preserve"> </w:t>
      </w:r>
      <w:r>
        <w:rPr>
          <w:rFonts w:hint="cs"/>
          <w:rtl/>
        </w:rPr>
        <w:t>היא החילוק כבאוכל ומשקה</w:t>
      </w:r>
      <w:bookmarkEnd w:id="2305"/>
    </w:p>
    <w:p w14:paraId="45377767" w14:textId="561A804A" w:rsidR="00592982" w:rsidRDefault="00592982" w:rsidP="00BC7DC8">
      <w:pPr>
        <w:pStyle w:val="a3"/>
      </w:pPr>
      <w:bookmarkStart w:id="2306" w:name="_Ref136980965"/>
      <w:bookmarkStart w:id="2307" w:name="_Ref137672678"/>
      <w:r>
        <w:rPr>
          <w:rFonts w:hint="cs"/>
          <w:rtl/>
        </w:rPr>
        <w:t>ותירץ</w:t>
      </w:r>
      <w:r w:rsidRPr="00743928">
        <w:rPr>
          <w:rFonts w:hint="cs"/>
          <w:rtl/>
        </w:rPr>
        <w:t xml:space="preserve"> </w:t>
      </w:r>
      <w:r w:rsidRPr="00E564E4">
        <w:rPr>
          <w:rStyle w:val="aff4"/>
          <w:rFonts w:hint="cs"/>
          <w:vanish/>
          <w:rtl/>
        </w:rPr>
        <w:t>-</w:t>
      </w:r>
      <w:r w:rsidRPr="00E9617D">
        <w:rPr>
          <w:rStyle w:val="aff4"/>
          <w:rFonts w:hint="cs"/>
          <w:rtl/>
        </w:rPr>
        <w:t>ה</w:t>
      </w:r>
      <w:r w:rsidRPr="00E564E4">
        <w:rPr>
          <w:rStyle w:val="aff4"/>
          <w:rFonts w:hint="cs"/>
          <w:vanish/>
          <w:rtl/>
        </w:rPr>
        <w:t xml:space="preserve">&lt;. </w:t>
      </w:r>
      <w:r w:rsidRPr="00E564E4">
        <w:rPr>
          <w:rStyle w:val="aff4"/>
          <w:vanish/>
          <w:rtl/>
        </w:rPr>
        <w:fldChar w:fldCharType="begin"/>
      </w:r>
      <w:r w:rsidRPr="00E564E4">
        <w:rPr>
          <w:rStyle w:val="aff4"/>
          <w:vanish/>
          <w:rtl/>
        </w:rPr>
        <w:instrText xml:space="preserve"> </w:instrText>
      </w:r>
      <w:r w:rsidRPr="00E564E4">
        <w:rPr>
          <w:rStyle w:val="aff4"/>
          <w:rFonts w:hint="cs"/>
          <w:vanish/>
        </w:rPr>
        <w:instrText>REF</w:instrText>
      </w:r>
      <w:r w:rsidRPr="00E564E4">
        <w:rPr>
          <w:rStyle w:val="aff4"/>
          <w:rFonts w:hint="cs"/>
          <w:vanish/>
          <w:rtl/>
        </w:rPr>
        <w:instrText xml:space="preserve"> _</w:instrText>
      </w:r>
      <w:r w:rsidRPr="00E564E4">
        <w:rPr>
          <w:rStyle w:val="aff4"/>
          <w:rFonts w:hint="cs"/>
          <w:vanish/>
        </w:rPr>
        <w:instrText>Ref136980965 \r \h</w:instrText>
      </w:r>
      <w:r w:rsidRPr="00E564E4">
        <w:rPr>
          <w:rStyle w:val="aff4"/>
          <w:vanish/>
          <w:rtl/>
        </w:rPr>
        <w:instrText xml:space="preserve"> </w:instrText>
      </w:r>
      <w:r w:rsidRPr="00E564E4">
        <w:rPr>
          <w:rStyle w:val="aff4"/>
          <w:vanish/>
          <w:rtl/>
        </w:rPr>
      </w:r>
      <w:r w:rsidRPr="00E564E4">
        <w:rPr>
          <w:rStyle w:val="aff4"/>
          <w:vanish/>
          <w:rtl/>
        </w:rPr>
        <w:fldChar w:fldCharType="separate"/>
      </w:r>
      <w:r w:rsidR="00D82181">
        <w:rPr>
          <w:rStyle w:val="aff4"/>
          <w:vanish/>
          <w:cs/>
        </w:rPr>
        <w:t>‎</w:t>
      </w:r>
      <w:r w:rsidR="00D82181">
        <w:rPr>
          <w:rStyle w:val="aff4"/>
          <w:vanish/>
          <w:rtl/>
        </w:rPr>
        <w:t>כו)</w:t>
      </w:r>
      <w:r w:rsidRPr="00E564E4">
        <w:rPr>
          <w:rStyle w:val="aff4"/>
          <w:vanish/>
          <w:rtl/>
        </w:rPr>
        <w:fldChar w:fldCharType="end"/>
      </w:r>
      <w:r w:rsidRPr="00E564E4">
        <w:rPr>
          <w:rStyle w:val="aff4"/>
          <w:rFonts w:hint="cs"/>
          <w:vanish/>
          <w:rtl/>
        </w:rPr>
        <w:t xml:space="preserve"> &gt;</w:t>
      </w:r>
      <w:r w:rsidRPr="00E9617D">
        <w:rPr>
          <w:rStyle w:val="aff4"/>
          <w:rFonts w:hint="cs"/>
          <w:rtl/>
        </w:rPr>
        <w:t>אגלי טל</w:t>
      </w:r>
      <w:r w:rsidRPr="00E564E4">
        <w:rPr>
          <w:rStyle w:val="aff4"/>
          <w:rFonts w:hint="cs"/>
          <w:vanish/>
          <w:rtl/>
        </w:rPr>
        <w:t>-</w:t>
      </w:r>
      <w:r w:rsidRPr="00743928">
        <w:rPr>
          <w:rFonts w:hint="cs"/>
          <w:rtl/>
        </w:rPr>
        <w:t xml:space="preserve"> </w:t>
      </w:r>
      <w:r w:rsidRPr="00D16BB6">
        <w:rPr>
          <w:rStyle w:val="af2"/>
          <w:rFonts w:eastAsia="Guttman Hodes" w:hint="cs"/>
          <w:rtl/>
        </w:rPr>
        <w:t>(זורה סק"א אות ז' ד"ה ע"כ)</w:t>
      </w:r>
      <w:r w:rsidRPr="00E564E4">
        <w:rPr>
          <w:rFonts w:hint="cs"/>
          <w:vanish/>
          <w:rtl/>
        </w:rPr>
        <w:t>=</w:t>
      </w:r>
      <w:bookmarkEnd w:id="2306"/>
      <w:r>
        <w:rPr>
          <w:rFonts w:hint="cs"/>
          <w:rtl/>
        </w:rPr>
        <w:t xml:space="preserve"> דבכל ברירת אוכל מאוכל א"צ לומר דהברירה מחמת דהמין שהוא רוצה חשיב אוכל והמין השני הוא פסולת, כפשטות דברי </w:t>
      </w:r>
      <w:r w:rsidRPr="00D16BB6">
        <w:rPr>
          <w:rStyle w:val="aff4"/>
          <w:rFonts w:hint="cs"/>
          <w:vanish/>
          <w:rtl/>
        </w:rPr>
        <w:t>-</w:t>
      </w:r>
      <w:r w:rsidRPr="00D16BB6">
        <w:rPr>
          <w:rStyle w:val="aff4"/>
          <w:rFonts w:hint="cs"/>
          <w:rtl/>
        </w:rPr>
        <w:t>התוס'</w:t>
      </w:r>
      <w:r w:rsidRPr="00D16BB6">
        <w:rPr>
          <w:rStyle w:val="aff4"/>
          <w:rFonts w:hint="cs"/>
          <w:vanish/>
          <w:rtl/>
        </w:rPr>
        <w:t>-</w:t>
      </w:r>
      <w:r>
        <w:rPr>
          <w:rFonts w:hint="cs"/>
          <w:rtl/>
        </w:rPr>
        <w:t xml:space="preserve"> </w:t>
      </w:r>
      <w:r w:rsidRPr="00D16BB6">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Ref137671185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w:t>
      </w:r>
      <w:r>
        <w:rPr>
          <w:rStyle w:val="af2"/>
          <w:rFonts w:eastAsia="Guttman Hodes"/>
          <w:rtl/>
        </w:rPr>
        <w:fldChar w:fldCharType="end"/>
      </w:r>
      <w:r>
        <w:rPr>
          <w:rFonts w:hint="cs"/>
          <w:rtl/>
        </w:rPr>
        <w:t xml:space="preserve">, אלא דבין לבבלי ובין לירושלמי תערובת של ב' מיני אוכלים כ"א חשיב כפסולת לגבי המין </w:t>
      </w:r>
      <w:r w:rsidRPr="000E54FD">
        <w:rPr>
          <w:rFonts w:hint="cs"/>
          <w:rtl/>
        </w:rPr>
        <w:t xml:space="preserve">האחר, דכן מצינו במחבץ דהאוכל פסולת לגבי המשקה וכן להיפך, </w:t>
      </w:r>
      <w:r>
        <w:rPr>
          <w:rFonts w:hint="cs"/>
          <w:rtl/>
        </w:rPr>
        <w:t>ולפי"ז גדר הברירה היא עצם ההפרדה בין ב' המינים דכ"א פסולת לגבי השני.</w:t>
      </w:r>
    </w:p>
    <w:bookmarkEnd w:id="2307"/>
    <w:p w14:paraId="7BEC7DBC" w14:textId="77777777" w:rsidR="00592982" w:rsidRPr="00747170" w:rsidRDefault="00592982" w:rsidP="00747170">
      <w:pPr>
        <w:pStyle w:val="a2"/>
        <w:rPr>
          <w:rtl/>
        </w:rPr>
      </w:pPr>
      <w:r w:rsidRPr="00747170">
        <w:rPr>
          <w:rtl/>
        </w:rPr>
        <w:t>ע"כ צ"ל דלפי גמ' דידן אפי' בורר כל המין פטור. ובבלי לשיטתו וירושלמי לשיטתו. דהנה בעיקר ברירת מין אחד מחבירו דחשוב מה שמבורר מין אחד מחבירו כמברר אוכל מתוך פסולת היינו דרך משל שמעורבים בטנים ושקדים חשובים בטנים לגבי שקדים פסולת במה שאינם שקדים. וכן להיפך חשוב שקדים לגבי בטנים פסולת במה שאינם בטנים. ואל תתמה ע"ז שכל אחד יקרא אוכל לגבי חבירו דמצינו כיוצא בזה בענין דישה שהמלאכה היא במה שמפרק האוכל מתוך הקליפה שהיא הפסולת. ועי' בשיטה המיוחסת להר"ן [עג א] שכתב דש בורר ומרקד דמיין להדדי והיינו שגם דש הוא ברירת אוכל מפסולת. וכ"כ בתוס' יבמות קי"ד. וז"ל חולב אדם עז לתוך הקדירה אבל לא לתוך הקערה וכ"ז משום דכשחולב לתוך הקדירה הוי משקה לאוכל ואוכל הוא ואין זה בורר אבל לא לתוך הקערה דבורר משקה מאוכל ודומה לדש שבורר אוכל מתוך פסולת עכ"ל. והנה המחבץ דחייב משום בורר שמברר הגבינה מתוך הנסיובי ואף דהנסיובי ג"כ אוכל ולדעת רוב הפוסקים במין אחד שמברר אחד מתוך השני והשני ראוי ע"י הדחק לא חשוב בורר אפי' בדברים לחים. ומה שחילק הרב המגיד ריש הל' שביתת עשור [פ"א ה"ג] בין דברים לחים היינו לשיטת הרמב"ם כמו שביארנו בס"ק כ"ד אות ב' בביאורנו למלאכת בורר. וע"כ לומר דכי היכי דמפרק משקה מאוכל חשוב בורר אוכל מתוך פסולת כדברי תוס' הנ"ל ה"נ בורר גבינה אוכל מתוך הנסיובי [או לשיטת המפרשים נותן קיבה בחלב הוא בורר הגבינה אוכל מתוך החלב] משקה חשוב ג"כ בורר אוכל מת"פ. ואם הי' משכחת מפרק אוכלין מתוך הקליפה משקין הי' חשוב ג"כ דש. והיינו דמשקה חשוב פסולת לגבי אוכל במה שהמשקה אינו אוכל והיינו מחבץ. ואוכל חשוב פסולת לגבי משקה במה שהאוכל אינו משקה והיינו חולב וסוחט. וא"כ כמו כן נוכל לומר גבי שני מינים דנחשב ברירה דכ"א חשוב פסולת לגבי חבירו. ואצ"ל כלל משום דאחד רוצה לאכול ולא השני ע"כ חשוב בורר רק משום חילוק המינים לבד כ"א ואחד נחשב פסולת לגבי השני כנ"ל.</w:t>
      </w:r>
    </w:p>
    <w:p w14:paraId="3AA094E7" w14:textId="5B88B3DC" w:rsidR="00592982" w:rsidRPr="00C46404" w:rsidRDefault="00592982" w:rsidP="00592982">
      <w:pPr>
        <w:pStyle w:val="a7"/>
      </w:pPr>
      <w:bookmarkStart w:id="2308" w:name="_Toc137741951"/>
      <w:r>
        <w:rPr>
          <w:rFonts w:hint="cs"/>
          <w:rtl/>
        </w:rPr>
        <w:t>בי' האגל"ט בתוס' דבירו' מוכח דברירה בחילוק המינים אך במין שרוצה א"א לומר דכפסולת</w:t>
      </w:r>
      <w:bookmarkEnd w:id="2308"/>
    </w:p>
    <w:p w14:paraId="3D7D2248" w14:textId="10869446" w:rsidR="00592982" w:rsidRPr="000C53DB" w:rsidRDefault="00592982" w:rsidP="00BC7DC8">
      <w:pPr>
        <w:pStyle w:val="a3"/>
        <w:rPr>
          <w:rtl/>
        </w:rPr>
      </w:pPr>
      <w:bookmarkStart w:id="2309" w:name="_Ref137673765"/>
      <w:r>
        <w:rPr>
          <w:rFonts w:hint="cs"/>
          <w:rtl/>
        </w:rPr>
        <w:t xml:space="preserve">וכתב </w:t>
      </w:r>
      <w:r w:rsidRPr="00F262CA">
        <w:rPr>
          <w:rStyle w:val="aff4"/>
          <w:rFonts w:hint="cs"/>
          <w:vanish/>
          <w:rtl/>
        </w:rPr>
        <w:t>-</w:t>
      </w:r>
      <w:r w:rsidRPr="00E9617D">
        <w:rPr>
          <w:rStyle w:val="aff4"/>
          <w:rFonts w:hint="cs"/>
          <w:rtl/>
        </w:rPr>
        <w:t>האגלי טל</w:t>
      </w:r>
      <w:r w:rsidRPr="00F262CA">
        <w:rPr>
          <w:rStyle w:val="aff4"/>
          <w:rFonts w:hint="cs"/>
          <w:vanish/>
          <w:rtl/>
        </w:rPr>
        <w:t>-</w:t>
      </w:r>
      <w:r>
        <w:rPr>
          <w:rFonts w:hint="cs"/>
          <w:rtl/>
        </w:rPr>
        <w:t xml:space="preserve"> דאעפ"י כן כתבו </w:t>
      </w:r>
      <w:r w:rsidRPr="00F262CA">
        <w:rPr>
          <w:rStyle w:val="aff4"/>
          <w:rFonts w:hint="cs"/>
          <w:vanish/>
          <w:rtl/>
        </w:rPr>
        <w:t>-</w:t>
      </w:r>
      <w:r w:rsidRPr="00E9617D">
        <w:rPr>
          <w:rStyle w:val="aff4"/>
          <w:rFonts w:hint="cs"/>
          <w:rtl/>
        </w:rPr>
        <w:t>התוס'</w:t>
      </w:r>
      <w:r w:rsidRPr="00F262CA">
        <w:rPr>
          <w:rStyle w:val="aff4"/>
          <w:rFonts w:hint="cs"/>
          <w:vanish/>
          <w:rtl/>
        </w:rPr>
        <w:t>-</w:t>
      </w:r>
      <w:r>
        <w:rPr>
          <w:rFonts w:hint="cs"/>
          <w:rtl/>
        </w:rPr>
        <w:t xml:space="preserve"> </w:t>
      </w:r>
      <w:r w:rsidRPr="00D16BB6">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Ref137671185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w:t>
      </w:r>
      <w:r>
        <w:rPr>
          <w:rStyle w:val="af2"/>
          <w:rFonts w:eastAsia="Guttman Hodes"/>
          <w:rtl/>
        </w:rPr>
        <w:fldChar w:fldCharType="end"/>
      </w:r>
      <w:r>
        <w:rPr>
          <w:rStyle w:val="af2"/>
          <w:rFonts w:eastAsia="Guttman Hodes" w:hint="cs"/>
          <w:rtl/>
        </w:rPr>
        <w:t xml:space="preserve"> </w:t>
      </w:r>
      <w:r>
        <w:rPr>
          <w:rFonts w:hint="cs"/>
          <w:rtl/>
        </w:rPr>
        <w:t xml:space="preserve">דהמין שאינו רוצה חשיב כפסולת, כיון דמבואר בגמ' בסוגיין דבב' מינים שייך אוכל מתוך פסולת ולהיפך, וביארו </w:t>
      </w:r>
      <w:r w:rsidRPr="00F262CA">
        <w:rPr>
          <w:rStyle w:val="aff4"/>
          <w:rFonts w:hint="cs"/>
          <w:vanish/>
          <w:rtl/>
        </w:rPr>
        <w:t>-</w:t>
      </w:r>
      <w:r w:rsidRPr="00E9617D">
        <w:rPr>
          <w:rStyle w:val="aff4"/>
          <w:rFonts w:hint="cs"/>
          <w:rtl/>
        </w:rPr>
        <w:t>התוס'</w:t>
      </w:r>
      <w:r w:rsidRPr="00F262CA">
        <w:rPr>
          <w:rStyle w:val="aff4"/>
          <w:rFonts w:hint="cs"/>
          <w:vanish/>
          <w:rtl/>
        </w:rPr>
        <w:t>-</w:t>
      </w:r>
      <w:r>
        <w:rPr>
          <w:rFonts w:hint="cs"/>
          <w:rtl/>
        </w:rPr>
        <w:t xml:space="preserve"> דכשרוצה מין אחד לא שייך לומר דאותו מין חשיב פסולת לגבי המין האחר, אלא המין שהוא רוצה הוא האוכל והשני הוא פסולת, אך כתב </w:t>
      </w:r>
      <w:r w:rsidRPr="00F262CA">
        <w:rPr>
          <w:rStyle w:val="aff4"/>
          <w:rFonts w:hint="cs"/>
          <w:vanish/>
          <w:rtl/>
        </w:rPr>
        <w:t>-</w:t>
      </w:r>
      <w:r w:rsidRPr="00E9617D">
        <w:rPr>
          <w:rStyle w:val="aff4"/>
          <w:rFonts w:hint="cs"/>
          <w:rtl/>
        </w:rPr>
        <w:t>האגלי טל</w:t>
      </w:r>
      <w:r w:rsidRPr="00F262CA">
        <w:rPr>
          <w:rStyle w:val="aff4"/>
          <w:rFonts w:hint="cs"/>
          <w:vanish/>
          <w:rtl/>
        </w:rPr>
        <w:t>-</w:t>
      </w:r>
      <w:r>
        <w:rPr>
          <w:rFonts w:hint="cs"/>
          <w:rtl/>
        </w:rPr>
        <w:t xml:space="preserve"> דמ"מ עצם הברירה הוא החילוק בין המינים ולא הוצאת המין שאינו רוצה בו, דא"כ אף במין אחד כשנוטל רק מה שרוצה לאכול הוי בורר, ומ"ש </w:t>
      </w:r>
      <w:r w:rsidRPr="00F262CA">
        <w:rPr>
          <w:rStyle w:val="aff4"/>
          <w:rFonts w:hint="cs"/>
          <w:vanish/>
          <w:rtl/>
        </w:rPr>
        <w:t>-</w:t>
      </w:r>
      <w:r w:rsidRPr="00E9617D">
        <w:rPr>
          <w:rStyle w:val="aff4"/>
          <w:rFonts w:hint="cs"/>
          <w:rtl/>
        </w:rPr>
        <w:t>התוס'</w:t>
      </w:r>
      <w:r w:rsidRPr="00F262CA">
        <w:rPr>
          <w:rStyle w:val="aff4"/>
          <w:rFonts w:hint="cs"/>
          <w:vanish/>
          <w:rtl/>
        </w:rPr>
        <w:t>-</w:t>
      </w:r>
      <w:r>
        <w:rPr>
          <w:rFonts w:hint="cs"/>
          <w:rtl/>
        </w:rPr>
        <w:t xml:space="preserve"> דכן משמע בירושלמי כוונתם דמבואר בירושלמי </w:t>
      </w:r>
      <w:r>
        <w:rPr>
          <w:rFonts w:hint="cs"/>
          <w:rtl/>
        </w:rPr>
        <w:t>החילוק בין המינים הוי ברירה, ואין כוונתם לומר דבירושלמי משמע דהמין שרוצה בו הוא אוכל והשני פסולת.</w:t>
      </w:r>
      <w:bookmarkEnd w:id="2309"/>
    </w:p>
    <w:p w14:paraId="0498FF20" w14:textId="77777777" w:rsidR="00592982" w:rsidRPr="00747170" w:rsidRDefault="00592982" w:rsidP="00747170">
      <w:pPr>
        <w:pStyle w:val="a2"/>
        <w:rPr>
          <w:rtl/>
        </w:rPr>
      </w:pPr>
      <w:r w:rsidRPr="00747170">
        <w:rPr>
          <w:rtl/>
        </w:rPr>
        <w:t>ומה שהוצרכו התוס' לומר דאותו שאינו חפץ בו חשוב פסולת לגבי אותו שחפץ לאכול. היינו דבסוגיא מבואר דבדין זה יש חילוק בין אמ"פ בין פמ"א והק' להתוס' הא לעולם הוי אוכל מתוך פסולת ופסולת מתוך אוכל כיון דכל אחד נחשב פסולת לגבי השני. ע"כ מתרצים משום דזה שאינו חפץ לאכול וכו' והיינו. דהנה יסוד זה שכל אחד נחשב פסולת לגבי השני למדנו מחולב שחייב משום מפרק תולדה דדש. ושם קמ"ה. כבשים שסחטן לגופן מותר ופירש"י אם לאכול הכבשים ממשקה הצף עליהן והנבלע בהן מותר לכתחלה דלא מפרק הוא הואיל ולאו למשקה הוא צריך ע"ש. והטעם דאף דבשא"צ לגופה לר' יהודה חייב ואפי' לר"ש איסורא מיהא איכא מ"מ כיון דחיוב דש משום שמפרק האוכל מן הפסולת שעליו וכיון שהוא צריך לכבשים שעל המשקה ולא למשקה אי אפשר שהמשקה יחשב אוכל והכבשים פסולת. והכי נמי בשמעתין כיון שבורר מין אחד מחבירו כדי לאכול האחד וכיון שכוונתו רק לאכול מין האחד אי אפשר שהשני יחשב אוכל והראשון פסולת ע"כ רק אותו שרוצה חשוב אוכל. אבל טעם הברירה משום חילוק המינים משום זה חשוב כל אחד אוכל לגבי השני. רק בחפץ לאכול אחד ולא השני אי אפשר שהשני יחשב אוכל והראשון פסולת ע"כ רק אותו שרוצה חשוב אוכל. וע"כ שפיר מחלק בסוגיא בשני מינים בין אוכל מתוך פסולת בין פסולת מתוך אוכל. ומ"מ הברירה משום חילוק המינים ולא משום שאינו חפץ לאכול דאל"כ אפי' במין אחד נמי רק משום חילוק המינים. וע"ז כתבו דכן משמע בירושלמי דבשני מינים שייך ברירה משום חילוק המינים [ובירושלמי עוד יותר דאפי' במין אחד משונה קצת זה מזה]:</w:t>
      </w:r>
    </w:p>
    <w:p w14:paraId="7C800F5E" w14:textId="2A317BFA" w:rsidR="00592982" w:rsidRPr="00743928" w:rsidRDefault="00592982" w:rsidP="00592982">
      <w:pPr>
        <w:pStyle w:val="afffff7"/>
        <w:rPr>
          <w:rtl/>
        </w:rPr>
      </w:pPr>
      <w:bookmarkStart w:id="2310" w:name="_Toc137742040"/>
      <w:bookmarkStart w:id="2311" w:name="_Toc163505807"/>
      <w:r w:rsidRPr="00743928">
        <w:rPr>
          <w:rtl/>
        </w:rPr>
        <w:t xml:space="preserve">אגלי טל זורה </w:t>
      </w:r>
      <w:r w:rsidRPr="00743928">
        <w:rPr>
          <w:rFonts w:hint="cs"/>
          <w:rtl/>
        </w:rPr>
        <w:t>סק"</w:t>
      </w:r>
      <w:r w:rsidRPr="00743928">
        <w:rPr>
          <w:rtl/>
        </w:rPr>
        <w:t>א אות</w:t>
      </w:r>
      <w:r w:rsidRPr="00743928">
        <w:rPr>
          <w:rFonts w:hint="cs"/>
          <w:rtl/>
        </w:rPr>
        <w:t xml:space="preserve"> ז'</w:t>
      </w:r>
      <w:r>
        <w:rPr>
          <w:rFonts w:hint="cs"/>
          <w:rtl/>
        </w:rPr>
        <w:t xml:space="preserve"> ד"ה ובזה</w:t>
      </w:r>
      <w:r w:rsidRPr="00A30849">
        <w:rPr>
          <w:rtl/>
        </w:rPr>
        <w:t xml:space="preserve"> יתיישב</w:t>
      </w:r>
      <w:bookmarkEnd w:id="2310"/>
      <w:bookmarkEnd w:id="2311"/>
    </w:p>
    <w:p w14:paraId="57DA7173" w14:textId="77777777" w:rsidR="00592982" w:rsidRDefault="00592982" w:rsidP="00592982">
      <w:pPr>
        <w:pStyle w:val="a7"/>
        <w:rPr>
          <w:rtl/>
        </w:rPr>
      </w:pPr>
      <w:bookmarkStart w:id="2312" w:name="_Toc137741952"/>
      <w:r>
        <w:rPr>
          <w:rFonts w:hint="cs"/>
          <w:rtl/>
        </w:rPr>
        <w:t>בי' האגל"ט דלירו' לעולם כל מין פסולת לשני ולכן אוסר בבורר כל המין לאלתר דהשני התברר</w:t>
      </w:r>
      <w:bookmarkEnd w:id="2312"/>
    </w:p>
    <w:p w14:paraId="723F1C9F" w14:textId="417B112B" w:rsidR="00592982" w:rsidRPr="00797E49" w:rsidRDefault="00592982" w:rsidP="00BC7DC8">
      <w:pPr>
        <w:pStyle w:val="a3"/>
        <w:rPr>
          <w:rtl/>
        </w:rPr>
      </w:pPr>
      <w:bookmarkStart w:id="2313" w:name="_Ref136982955"/>
      <w:r>
        <w:rPr>
          <w:rFonts w:hint="cs"/>
          <w:rtl/>
        </w:rPr>
        <w:t xml:space="preserve">אך עיי"ש במ"ש </w:t>
      </w:r>
      <w:r w:rsidRPr="00E564E4">
        <w:rPr>
          <w:rStyle w:val="aff4"/>
          <w:rFonts w:hint="cs"/>
          <w:vanish/>
          <w:rtl/>
        </w:rPr>
        <w:t>-</w:t>
      </w:r>
      <w:r w:rsidRPr="00E9617D">
        <w:rPr>
          <w:rStyle w:val="aff4"/>
          <w:rFonts w:hint="cs"/>
          <w:rtl/>
        </w:rPr>
        <w:t>ה</w:t>
      </w:r>
      <w:r w:rsidRPr="00E564E4">
        <w:rPr>
          <w:rStyle w:val="aff4"/>
          <w:rFonts w:hint="cs"/>
          <w:vanish/>
          <w:rtl/>
        </w:rPr>
        <w:t xml:space="preserve">&lt;. </w:t>
      </w:r>
      <w:r w:rsidRPr="00E564E4">
        <w:rPr>
          <w:rStyle w:val="aff4"/>
          <w:vanish/>
          <w:rtl/>
        </w:rPr>
        <w:fldChar w:fldCharType="begin"/>
      </w:r>
      <w:r w:rsidRPr="00E564E4">
        <w:rPr>
          <w:rStyle w:val="aff4"/>
          <w:vanish/>
          <w:rtl/>
        </w:rPr>
        <w:instrText xml:space="preserve"> </w:instrText>
      </w:r>
      <w:r w:rsidRPr="00E564E4">
        <w:rPr>
          <w:rStyle w:val="aff4"/>
          <w:rFonts w:hint="cs"/>
          <w:vanish/>
        </w:rPr>
        <w:instrText>REF</w:instrText>
      </w:r>
      <w:r w:rsidRPr="00E564E4">
        <w:rPr>
          <w:rStyle w:val="aff4"/>
          <w:rFonts w:hint="cs"/>
          <w:vanish/>
          <w:rtl/>
        </w:rPr>
        <w:instrText xml:space="preserve"> _</w:instrText>
      </w:r>
      <w:r w:rsidRPr="00E564E4">
        <w:rPr>
          <w:rStyle w:val="aff4"/>
          <w:rFonts w:hint="cs"/>
          <w:vanish/>
        </w:rPr>
        <w:instrText>Ref136982955 \r \h</w:instrText>
      </w:r>
      <w:r w:rsidRPr="00E564E4">
        <w:rPr>
          <w:rStyle w:val="aff4"/>
          <w:vanish/>
          <w:rtl/>
        </w:rPr>
        <w:instrText xml:space="preserve"> </w:instrText>
      </w:r>
      <w:r w:rsidRPr="00E564E4">
        <w:rPr>
          <w:rStyle w:val="aff4"/>
          <w:vanish/>
          <w:rtl/>
        </w:rPr>
      </w:r>
      <w:r w:rsidRPr="00E564E4">
        <w:rPr>
          <w:rStyle w:val="aff4"/>
          <w:vanish/>
          <w:rtl/>
        </w:rPr>
        <w:fldChar w:fldCharType="separate"/>
      </w:r>
      <w:r w:rsidR="00D82181">
        <w:rPr>
          <w:rStyle w:val="aff4"/>
          <w:vanish/>
          <w:cs/>
        </w:rPr>
        <w:t>‎</w:t>
      </w:r>
      <w:r w:rsidR="00D82181">
        <w:rPr>
          <w:rStyle w:val="aff4"/>
          <w:vanish/>
          <w:rtl/>
        </w:rPr>
        <w:t>כח)</w:t>
      </w:r>
      <w:r w:rsidRPr="00E564E4">
        <w:rPr>
          <w:rStyle w:val="aff4"/>
          <w:vanish/>
          <w:rtl/>
        </w:rPr>
        <w:fldChar w:fldCharType="end"/>
      </w:r>
      <w:r w:rsidRPr="00E564E4">
        <w:rPr>
          <w:rStyle w:val="aff4"/>
          <w:rFonts w:hint="cs"/>
          <w:vanish/>
          <w:rtl/>
        </w:rPr>
        <w:t xml:space="preserve"> &gt;</w:t>
      </w:r>
      <w:r w:rsidRPr="00E9617D">
        <w:rPr>
          <w:rStyle w:val="aff4"/>
          <w:rFonts w:hint="cs"/>
          <w:rtl/>
        </w:rPr>
        <w:t>אגלי טל</w:t>
      </w:r>
      <w:r w:rsidRPr="00E564E4">
        <w:rPr>
          <w:rStyle w:val="aff4"/>
          <w:rFonts w:hint="cs"/>
          <w:vanish/>
          <w:rtl/>
        </w:rPr>
        <w:t>-</w:t>
      </w:r>
      <w:r>
        <w:rPr>
          <w:rFonts w:hint="cs"/>
          <w:rtl/>
        </w:rPr>
        <w:t xml:space="preserve"> </w:t>
      </w:r>
      <w:r w:rsidRPr="00D16BB6">
        <w:rPr>
          <w:rStyle w:val="af2"/>
          <w:rFonts w:eastAsia="Guttman Hodes" w:hint="cs"/>
          <w:rtl/>
        </w:rPr>
        <w:t>(זורה סק"א אות ז' ד"ה ובזה</w:t>
      </w:r>
      <w:r w:rsidRPr="00D16BB6">
        <w:rPr>
          <w:rStyle w:val="af2"/>
          <w:rFonts w:eastAsia="Guttman Hodes"/>
          <w:rtl/>
        </w:rPr>
        <w:t xml:space="preserve"> יתיישב</w:t>
      </w:r>
      <w:r w:rsidRPr="00D16BB6">
        <w:rPr>
          <w:rStyle w:val="af2"/>
          <w:rFonts w:eastAsia="Guttman Hodes" w:hint="cs"/>
          <w:rtl/>
        </w:rPr>
        <w:t>)</w:t>
      </w:r>
      <w:r w:rsidRPr="00E564E4">
        <w:rPr>
          <w:rFonts w:hint="cs"/>
          <w:vanish/>
          <w:rtl/>
        </w:rPr>
        <w:t>=</w:t>
      </w:r>
      <w:r>
        <w:rPr>
          <w:rFonts w:hint="cs"/>
          <w:rtl/>
        </w:rPr>
        <w:t xml:space="preserve"> דמ"ש </w:t>
      </w:r>
      <w:r w:rsidRPr="00E564E4">
        <w:rPr>
          <w:rStyle w:val="aff4"/>
          <w:rFonts w:hint="cs"/>
          <w:vanish/>
          <w:rtl/>
        </w:rPr>
        <w:t>-</w:t>
      </w:r>
      <w:r w:rsidRPr="00E9617D">
        <w:rPr>
          <w:rStyle w:val="aff4"/>
          <w:rFonts w:hint="cs"/>
          <w:rtl/>
        </w:rPr>
        <w:t>התוס'</w:t>
      </w:r>
      <w:r w:rsidRPr="00E564E4">
        <w:rPr>
          <w:rStyle w:val="aff4"/>
          <w:rFonts w:hint="cs"/>
          <w:vanish/>
          <w:rtl/>
        </w:rPr>
        <w:t>-</w:t>
      </w:r>
      <w:r>
        <w:rPr>
          <w:rFonts w:hint="cs"/>
          <w:rtl/>
        </w:rPr>
        <w:t xml:space="preserve"> </w:t>
      </w:r>
      <w:r w:rsidRPr="00D16BB6">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Ref137671185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w:t>
      </w:r>
      <w:r>
        <w:rPr>
          <w:rStyle w:val="af2"/>
          <w:rFonts w:eastAsia="Guttman Hodes"/>
          <w:rtl/>
        </w:rPr>
        <w:fldChar w:fldCharType="end"/>
      </w:r>
      <w:r>
        <w:rPr>
          <w:rFonts w:hint="cs"/>
          <w:rtl/>
        </w:rPr>
        <w:t xml:space="preserve"> דהמין שאינו רוצה אותו חשיב פסולת, הוא רק בביאור הגמ' בסוגיין, אבל א"א לבאר כן בדעת הירושלמי, דהא לענין הפרדת משקה מאוכל מבואר בירושלמי דאין אחד חשיב כפסולת לגבי השני, ומוכח דלירושלמי לעולם תערובת של ב' מיני אוכלים כ"א חשיב כפסולת לגבי המין </w:t>
      </w:r>
      <w:r w:rsidRPr="000E54FD">
        <w:rPr>
          <w:rFonts w:hint="cs"/>
          <w:rtl/>
        </w:rPr>
        <w:t xml:space="preserve">האחר, </w:t>
      </w:r>
      <w:r>
        <w:rPr>
          <w:rFonts w:hint="cs"/>
          <w:rtl/>
        </w:rPr>
        <w:t xml:space="preserve">וא"כ הברירה היא רק החילוק בין המינים, ולפי"ז ביאר </w:t>
      </w:r>
      <w:r w:rsidRPr="00BE47C5">
        <w:rPr>
          <w:rStyle w:val="aff4"/>
          <w:rFonts w:hint="cs"/>
          <w:vanish/>
          <w:rtl/>
        </w:rPr>
        <w:t>-</w:t>
      </w:r>
      <w:r w:rsidRPr="00BF56CC">
        <w:rPr>
          <w:rStyle w:val="aff4"/>
          <w:rFonts w:hint="cs"/>
          <w:rtl/>
        </w:rPr>
        <w:t>האגלי טל</w:t>
      </w:r>
      <w:r w:rsidRPr="00BE47C5">
        <w:rPr>
          <w:rStyle w:val="aff4"/>
          <w:rFonts w:hint="cs"/>
          <w:vanish/>
          <w:rtl/>
        </w:rPr>
        <w:t>-</w:t>
      </w:r>
      <w:r>
        <w:rPr>
          <w:rFonts w:hint="cs"/>
          <w:rtl/>
        </w:rPr>
        <w:t xml:space="preserve"> דלכן ס"ל לירושלמי דכשבורר את כל המין אסור אף לאלתר, דהא כשבורר את כל המין ממילא יש ברירה במין שמניח, ואי"ז כאוכל מתוך פסולת אלא בירור ב' המינים, והוי ברירה גמורה במין שמניח, ולפי"ז תירץ </w:t>
      </w:r>
      <w:r w:rsidRPr="00BE47C5">
        <w:rPr>
          <w:rStyle w:val="aff4"/>
          <w:rFonts w:hint="cs"/>
          <w:vanish/>
          <w:rtl/>
        </w:rPr>
        <w:t>-</w:t>
      </w:r>
      <w:r w:rsidRPr="00BF56CC">
        <w:rPr>
          <w:rStyle w:val="aff4"/>
          <w:rFonts w:hint="cs"/>
          <w:rtl/>
        </w:rPr>
        <w:t>האגלי טל</w:t>
      </w:r>
      <w:r w:rsidRPr="00BE47C5">
        <w:rPr>
          <w:rStyle w:val="aff4"/>
          <w:rFonts w:hint="cs"/>
          <w:vanish/>
          <w:rtl/>
        </w:rPr>
        <w:t>-</w:t>
      </w:r>
      <w:r>
        <w:rPr>
          <w:rFonts w:hint="cs"/>
          <w:rtl/>
        </w:rPr>
        <w:t xml:space="preserve"> את קושיתו </w:t>
      </w:r>
      <w:r w:rsidRPr="00555655">
        <w:rPr>
          <w:rStyle w:val="af2"/>
          <w:rFonts w:eastAsia="Guttman Hodes" w:hint="cs"/>
          <w:rtl/>
        </w:rPr>
        <w:t xml:space="preserve">(עי' אות </w:t>
      </w:r>
      <w:r w:rsidRPr="00555655">
        <w:rPr>
          <w:rStyle w:val="af2"/>
          <w:rFonts w:eastAsia="Guttman Hodes"/>
          <w:rtl/>
        </w:rPr>
        <w:fldChar w:fldCharType="begin"/>
      </w:r>
      <w:r w:rsidRPr="00555655">
        <w:rPr>
          <w:rStyle w:val="af2"/>
          <w:rFonts w:eastAsia="Guttman Hodes"/>
          <w:rtl/>
        </w:rPr>
        <w:instrText xml:space="preserve"> </w:instrText>
      </w:r>
      <w:r w:rsidRPr="00555655">
        <w:rPr>
          <w:rStyle w:val="af2"/>
          <w:rFonts w:eastAsia="Guttman Hodes" w:hint="cs"/>
        </w:rPr>
        <w:instrText>REF</w:instrText>
      </w:r>
      <w:r w:rsidRPr="00555655">
        <w:rPr>
          <w:rStyle w:val="af2"/>
          <w:rFonts w:eastAsia="Guttman Hodes" w:hint="cs"/>
          <w:rtl/>
        </w:rPr>
        <w:instrText xml:space="preserve"> _</w:instrText>
      </w:r>
      <w:r w:rsidRPr="00555655">
        <w:rPr>
          <w:rStyle w:val="af2"/>
          <w:rFonts w:eastAsia="Guttman Hodes" w:hint="cs"/>
        </w:rPr>
        <w:instrText>Ref137674311 \r \h</w:instrText>
      </w:r>
      <w:r w:rsidRPr="00555655">
        <w:rPr>
          <w:rStyle w:val="af2"/>
          <w:rFonts w:eastAsia="Guttman Hodes"/>
          <w:rtl/>
        </w:rPr>
        <w:instrText xml:space="preserve"> </w:instrText>
      </w:r>
      <w:r w:rsidRPr="00555655">
        <w:rPr>
          <w:rStyle w:val="af2"/>
          <w:rFonts w:eastAsia="Guttman Hodes"/>
          <w:rtl/>
        </w:rPr>
      </w:r>
      <w:r w:rsidRPr="00555655">
        <w:rPr>
          <w:rStyle w:val="af2"/>
          <w:rFonts w:eastAsia="Guttman Hodes"/>
          <w:rtl/>
        </w:rPr>
        <w:fldChar w:fldCharType="separate"/>
      </w:r>
      <w:r w:rsidR="00D82181">
        <w:rPr>
          <w:rStyle w:val="af2"/>
          <w:rFonts w:eastAsia="Guttman Hodes"/>
          <w:cs/>
        </w:rPr>
        <w:t>‎</w:t>
      </w:r>
      <w:r w:rsidR="00D82181">
        <w:rPr>
          <w:rStyle w:val="af2"/>
          <w:rFonts w:eastAsia="Guttman Hodes"/>
          <w:rtl/>
        </w:rPr>
        <w:t>כד)</w:t>
      </w:r>
      <w:r w:rsidRPr="00555655">
        <w:rPr>
          <w:rStyle w:val="af2"/>
          <w:rFonts w:eastAsia="Guttman Hodes"/>
          <w:rtl/>
        </w:rPr>
        <w:fldChar w:fldCharType="end"/>
      </w:r>
      <w:r>
        <w:rPr>
          <w:rFonts w:hint="cs"/>
          <w:rtl/>
        </w:rPr>
        <w:t xml:space="preserve"> דהשמיטו </w:t>
      </w:r>
      <w:r w:rsidRPr="00E564E4">
        <w:rPr>
          <w:rStyle w:val="aff4"/>
          <w:rFonts w:hint="cs"/>
          <w:vanish/>
          <w:rtl/>
        </w:rPr>
        <w:t>-</w:t>
      </w:r>
      <w:r w:rsidRPr="00E9617D">
        <w:rPr>
          <w:rStyle w:val="aff4"/>
          <w:rFonts w:hint="cs"/>
          <w:rtl/>
        </w:rPr>
        <w:t>הפוסקים</w:t>
      </w:r>
      <w:r w:rsidRPr="00E564E4">
        <w:rPr>
          <w:rStyle w:val="aff4"/>
          <w:rFonts w:hint="cs"/>
          <w:vanish/>
          <w:rtl/>
        </w:rPr>
        <w:t>-</w:t>
      </w:r>
      <w:r>
        <w:rPr>
          <w:rFonts w:hint="cs"/>
          <w:rtl/>
        </w:rPr>
        <w:t xml:space="preserve"> את דעת הירושלמי, דהא לדידן המין שאינו רוצה בו חשיב פסולת, והוא כבורר אוכל מתוך פסולת, ובזה אין נ"מ בין בורר כולו למקצתו דבאוכל מתוך פסולת לעולם מותר לאלתר.</w:t>
      </w:r>
      <w:bookmarkEnd w:id="2313"/>
    </w:p>
    <w:p w14:paraId="7A39E36A" w14:textId="77777777" w:rsidR="00592982" w:rsidRPr="00747170" w:rsidRDefault="00592982" w:rsidP="00747170">
      <w:pPr>
        <w:pStyle w:val="a2"/>
        <w:rPr>
          <w:rtl/>
        </w:rPr>
      </w:pPr>
      <w:r w:rsidRPr="00747170">
        <w:rPr>
          <w:rtl/>
        </w:rPr>
        <w:t>ובזה יתיישב מה שהקשיתי דהא בירושלמי אמר ובלבד שלא יברור כל המין. ומשום דבזה חייב על ברירת מין השני והלא אינו חפץ רק במין שבורר. והמין שבורר הוא חשוב אוכל והשני פסולת לפי דברי תוס' הנ"ל ובורר אוכל אין חילוק בין בורר כולו לבורר מקצתו. בפרט לפי המבואר בירושלמי דלא שייך ברירה רק באוכל דאין נ"מ כלל במה שמין השני דחשוב פסולת מתברר. ולפמ"ש ניחא דהנה היסוד הזה דא"א דמין שאינו חפץ בו יחשב אוכל ושחפץ בו יחשב פסולת למדנו מהא דכבשים שסחטן לגופן מותר והירושלמי הא ס"ל כבשים שסחטן לר' יהודה דאמר מלאכה שאינה צריכה לגופה חייב. חייב. כמפורש בירושלמי פ' כלל גדול [מח א] דג שסוחטו לגופו לר"ש מלאכה שאינה צריכה לגופה פטור ה"נ פטור ולרבנן דפליגי אר"ש הכי נמי חייב. הרי דאף שא"צ למשקה חשיבא המשקה אוכל ה"נ אף שאינו צריך למין השני חשוב מין שני אוכל. וע"כ ניחא מה שהשמיטו הפוסקים הא דבלבד שלא יברור כל המין משום דלדידן דקיי"ל כבשים שסחטן לגופן מותר ומין שאינו חפץ בו חשוב פסולת וגבי בורר אוכל מתוך פסולת אין חילוק בין בורר כולו בין בורר קצתו:</w:t>
      </w:r>
    </w:p>
    <w:p w14:paraId="19D649D4" w14:textId="7F4E12D5" w:rsidR="00592982" w:rsidRDefault="00592982" w:rsidP="00592982">
      <w:pPr>
        <w:pStyle w:val="affff5"/>
        <w:rPr>
          <w:rtl/>
        </w:rPr>
      </w:pPr>
      <w:bookmarkStart w:id="2314" w:name="_Toc137741953"/>
      <w:r>
        <w:rPr>
          <w:rFonts w:hint="cs"/>
          <w:rtl/>
        </w:rPr>
        <w:t>אי בב' מינים לעולם דינו כאוכל מפסולת</w:t>
      </w:r>
      <w:bookmarkEnd w:id="2314"/>
    </w:p>
    <w:p w14:paraId="4CDB0848" w14:textId="77777777" w:rsidR="00592982" w:rsidRPr="00FE068A" w:rsidRDefault="00592982" w:rsidP="00592982">
      <w:pPr>
        <w:pStyle w:val="1"/>
        <w:rPr>
          <w:rtl/>
        </w:rPr>
      </w:pPr>
      <w:bookmarkStart w:id="2315" w:name="_Toc137658815"/>
      <w:bookmarkStart w:id="2316" w:name="_Toc137741954"/>
      <w:r>
        <w:rPr>
          <w:rFonts w:hint="cs"/>
          <w:rtl/>
        </w:rPr>
        <w:t>בי' המאירי דבכל אוכל מאוכל דינו כדין אוכל מתוך פסולת</w:t>
      </w:r>
      <w:bookmarkEnd w:id="2315"/>
      <w:bookmarkEnd w:id="2316"/>
    </w:p>
    <w:p w14:paraId="09D989D3" w14:textId="77777777" w:rsidR="00592982" w:rsidRDefault="00592982" w:rsidP="00592982">
      <w:pPr>
        <w:pStyle w:val="afffff7"/>
        <w:rPr>
          <w:rtl/>
        </w:rPr>
      </w:pPr>
      <w:bookmarkStart w:id="2317" w:name="_Toc137742041"/>
      <w:bookmarkStart w:id="2318" w:name="_Hlk136887454"/>
      <w:bookmarkStart w:id="2319" w:name="_Toc163505808"/>
      <w:r>
        <w:rPr>
          <w:rtl/>
        </w:rPr>
        <w:t>מאירי שבת ע"ד ע"א</w:t>
      </w:r>
      <w:r>
        <w:rPr>
          <w:rFonts w:hint="cs"/>
          <w:rtl/>
        </w:rPr>
        <w:t xml:space="preserve"> ד</w:t>
      </w:r>
      <w:r>
        <w:rPr>
          <w:rFonts w:cs="Guttman Hodes" w:hint="cs"/>
          <w:rtl/>
        </w:rPr>
        <w:t>"</w:t>
      </w:r>
      <w:r>
        <w:rPr>
          <w:rFonts w:hint="cs"/>
          <w:rtl/>
        </w:rPr>
        <w:t xml:space="preserve">ה </w:t>
      </w:r>
      <w:r>
        <w:rPr>
          <w:rtl/>
        </w:rPr>
        <w:t>זה שביארנו</w:t>
      </w:r>
      <w:bookmarkEnd w:id="2317"/>
      <w:bookmarkEnd w:id="2319"/>
    </w:p>
    <w:p w14:paraId="79892B0E" w14:textId="77777777" w:rsidR="00592982" w:rsidRDefault="00592982" w:rsidP="00592982">
      <w:pPr>
        <w:pStyle w:val="a7"/>
        <w:rPr>
          <w:rtl/>
        </w:rPr>
      </w:pPr>
      <w:bookmarkStart w:id="2320" w:name="_Toc137741955"/>
      <w:bookmarkEnd w:id="2318"/>
      <w:r>
        <w:rPr>
          <w:rFonts w:hint="cs"/>
          <w:rtl/>
        </w:rPr>
        <w:t>בי' המאירי דבאוכל מאוכל דינו כאוכל מפסולת דביד ולאלתר מותר ולאח"ז חייב חטאת</w:t>
      </w:r>
      <w:bookmarkEnd w:id="2320"/>
    </w:p>
    <w:p w14:paraId="1E45BC43" w14:textId="6269C60B" w:rsidR="00592982" w:rsidRDefault="00592982" w:rsidP="00BC7DC8">
      <w:pPr>
        <w:pStyle w:val="a3"/>
      </w:pPr>
      <w:bookmarkStart w:id="2321" w:name="_Ref136946949"/>
      <w:r>
        <w:rPr>
          <w:rFonts w:hint="cs"/>
          <w:rtl/>
        </w:rPr>
        <w:t xml:space="preserve">כתב </w:t>
      </w:r>
      <w:r w:rsidRPr="00BB4321">
        <w:rPr>
          <w:rStyle w:val="aff4"/>
          <w:rFonts w:hint="cs"/>
          <w:vanish/>
          <w:rtl/>
        </w:rPr>
        <w:t>-</w:t>
      </w:r>
      <w:r w:rsidRPr="007439A4">
        <w:rPr>
          <w:rStyle w:val="aff4"/>
          <w:rFonts w:hint="cs"/>
          <w:rtl/>
        </w:rPr>
        <w:t>ה</w:t>
      </w:r>
      <w:r w:rsidRPr="00BB4321">
        <w:rPr>
          <w:rStyle w:val="aff4"/>
          <w:rFonts w:hint="cs"/>
          <w:vanish/>
          <w:rtl/>
        </w:rPr>
        <w:t xml:space="preserve">&lt;. </w:t>
      </w:r>
      <w:r w:rsidRPr="00BB4321">
        <w:rPr>
          <w:rStyle w:val="aff4"/>
          <w:vanish/>
          <w:rtl/>
        </w:rPr>
        <w:fldChar w:fldCharType="begin"/>
      </w:r>
      <w:r w:rsidRPr="00BB4321">
        <w:rPr>
          <w:rStyle w:val="aff4"/>
          <w:vanish/>
          <w:rtl/>
        </w:rPr>
        <w:instrText xml:space="preserve"> </w:instrText>
      </w:r>
      <w:r w:rsidRPr="00BB4321">
        <w:rPr>
          <w:rStyle w:val="aff4"/>
          <w:rFonts w:hint="cs"/>
          <w:vanish/>
        </w:rPr>
        <w:instrText>REF</w:instrText>
      </w:r>
      <w:r w:rsidRPr="00BB4321">
        <w:rPr>
          <w:rStyle w:val="aff4"/>
          <w:rFonts w:hint="cs"/>
          <w:vanish/>
          <w:rtl/>
        </w:rPr>
        <w:instrText xml:space="preserve"> _</w:instrText>
      </w:r>
      <w:r w:rsidRPr="00BB4321">
        <w:rPr>
          <w:rStyle w:val="aff4"/>
          <w:rFonts w:hint="cs"/>
          <w:vanish/>
        </w:rPr>
        <w:instrText>Ref136946949 \r \h</w:instrText>
      </w:r>
      <w:r w:rsidRPr="00BB4321">
        <w:rPr>
          <w:rStyle w:val="aff4"/>
          <w:vanish/>
          <w:rtl/>
        </w:rPr>
        <w:instrText xml:space="preserve"> </w:instrText>
      </w:r>
      <w:r w:rsidRPr="00BB4321">
        <w:rPr>
          <w:rStyle w:val="aff4"/>
          <w:vanish/>
          <w:rtl/>
        </w:rPr>
      </w:r>
      <w:r w:rsidRPr="00BB4321">
        <w:rPr>
          <w:rStyle w:val="aff4"/>
          <w:vanish/>
          <w:rtl/>
        </w:rPr>
        <w:fldChar w:fldCharType="separate"/>
      </w:r>
      <w:r w:rsidR="00D82181">
        <w:rPr>
          <w:rStyle w:val="aff4"/>
          <w:vanish/>
          <w:cs/>
        </w:rPr>
        <w:t>‎</w:t>
      </w:r>
      <w:r w:rsidR="00D82181">
        <w:rPr>
          <w:rStyle w:val="aff4"/>
          <w:vanish/>
          <w:rtl/>
        </w:rPr>
        <w:t>כט)</w:t>
      </w:r>
      <w:r w:rsidRPr="00BB4321">
        <w:rPr>
          <w:rStyle w:val="aff4"/>
          <w:vanish/>
          <w:rtl/>
        </w:rPr>
        <w:fldChar w:fldCharType="end"/>
      </w:r>
      <w:r w:rsidRPr="00BB4321">
        <w:rPr>
          <w:rStyle w:val="aff4"/>
          <w:rFonts w:hint="cs"/>
          <w:vanish/>
          <w:rtl/>
        </w:rPr>
        <w:t xml:space="preserve"> &gt;</w:t>
      </w:r>
      <w:r w:rsidRPr="007439A4">
        <w:rPr>
          <w:rStyle w:val="aff4"/>
          <w:rFonts w:hint="cs"/>
          <w:rtl/>
        </w:rPr>
        <w:t>מאירי</w:t>
      </w:r>
      <w:r w:rsidRPr="00BB4321">
        <w:rPr>
          <w:rStyle w:val="aff4"/>
          <w:rFonts w:hint="cs"/>
          <w:vanish/>
          <w:rtl/>
        </w:rPr>
        <w:t>-</w:t>
      </w:r>
      <w:r>
        <w:rPr>
          <w:rFonts w:hint="cs"/>
          <w:rtl/>
        </w:rPr>
        <w:t xml:space="preserve"> </w:t>
      </w:r>
      <w:r w:rsidRPr="00D16BB6">
        <w:rPr>
          <w:rStyle w:val="af2"/>
          <w:rFonts w:eastAsia="Guttman Hodes" w:hint="cs"/>
          <w:rtl/>
        </w:rPr>
        <w:t xml:space="preserve">(ד"ה </w:t>
      </w:r>
      <w:r w:rsidRPr="00D16BB6">
        <w:rPr>
          <w:rStyle w:val="af2"/>
          <w:rFonts w:eastAsia="Guttman Hodes"/>
          <w:rtl/>
        </w:rPr>
        <w:t>זה שביארנו</w:t>
      </w:r>
      <w:r w:rsidRPr="00D16BB6">
        <w:rPr>
          <w:rStyle w:val="af2"/>
          <w:rFonts w:eastAsia="Guttman Hodes" w:hint="cs"/>
          <w:rtl/>
        </w:rPr>
        <w:t>)</w:t>
      </w:r>
      <w:r w:rsidRPr="00BB4321">
        <w:rPr>
          <w:rFonts w:hint="cs"/>
          <w:vanish/>
          <w:rtl/>
        </w:rPr>
        <w:t>=</w:t>
      </w:r>
      <w:r>
        <w:rPr>
          <w:rFonts w:hint="cs"/>
          <w:rtl/>
        </w:rPr>
        <w:t xml:space="preserve"> דברירה בב' מיני אוכלין היא כאוכל מתוך פסולת דמותר ביד לאלתר, וכדאיתא בירושלמי </w:t>
      </w:r>
      <w:r w:rsidRPr="00D16BB6">
        <w:rPr>
          <w:rStyle w:val="af2"/>
          <w:rFonts w:eastAsia="Guttman Hodes" w:hint="cs"/>
          <w:rtl/>
        </w:rPr>
        <w:t>(פ"ז ה"ב, מט:)</w:t>
      </w:r>
      <w:r>
        <w:rPr>
          <w:rFonts w:hint="cs"/>
          <w:rtl/>
        </w:rPr>
        <w:t xml:space="preserve"> דכל שמיסב על השולחן מותר, </w:t>
      </w:r>
      <w:r w:rsidRPr="00D16BB6">
        <w:rPr>
          <w:rStyle w:val="af"/>
          <w:rFonts w:hint="cs"/>
          <w:rtl/>
        </w:rPr>
        <w:t>[דלדעת חזקיה בירושלמי דמחייב בב' מיני אוכלין, העמיד רב בון דהברייתא דמתירה לברור ולהניח על השולחן, איירי באופן שהיו אורחין שאוכלין ראשונה ראשונה]</w:t>
      </w:r>
      <w:r>
        <w:rPr>
          <w:rFonts w:hint="cs"/>
          <w:rtl/>
        </w:rPr>
        <w:t xml:space="preserve">, וכתב </w:t>
      </w:r>
      <w:r w:rsidRPr="00BB4321">
        <w:rPr>
          <w:rStyle w:val="aff4"/>
          <w:rFonts w:hint="cs"/>
          <w:vanish/>
          <w:rtl/>
        </w:rPr>
        <w:t>-</w:t>
      </w:r>
      <w:r w:rsidRPr="007439A4">
        <w:rPr>
          <w:rStyle w:val="aff4"/>
          <w:rFonts w:hint="cs"/>
          <w:rtl/>
        </w:rPr>
        <w:t>המאירי</w:t>
      </w:r>
      <w:r w:rsidRPr="00BB4321">
        <w:rPr>
          <w:rStyle w:val="aff4"/>
          <w:rFonts w:hint="cs"/>
          <w:vanish/>
          <w:rtl/>
        </w:rPr>
        <w:t>-</w:t>
      </w:r>
      <w:r>
        <w:rPr>
          <w:rFonts w:hint="cs"/>
          <w:rtl/>
        </w:rPr>
        <w:t xml:space="preserve"> דבכה"ג הוא כפוצע אגוזים ואוכל את תוכם וזורק את השאר, אך כתב </w:t>
      </w:r>
      <w:r w:rsidRPr="00BB4321">
        <w:rPr>
          <w:rStyle w:val="aff4"/>
          <w:rFonts w:hint="cs"/>
          <w:vanish/>
          <w:rtl/>
        </w:rPr>
        <w:t>-</w:t>
      </w:r>
      <w:r w:rsidRPr="007439A4">
        <w:rPr>
          <w:rStyle w:val="aff4"/>
          <w:rFonts w:hint="cs"/>
          <w:rtl/>
        </w:rPr>
        <w:t>המאירי</w:t>
      </w:r>
      <w:r w:rsidRPr="00BB4321">
        <w:rPr>
          <w:rStyle w:val="aff4"/>
          <w:rFonts w:hint="cs"/>
          <w:vanish/>
          <w:rtl/>
        </w:rPr>
        <w:t>-</w:t>
      </w:r>
      <w:r>
        <w:rPr>
          <w:rFonts w:hint="cs"/>
          <w:rtl/>
        </w:rPr>
        <w:t xml:space="preserve"> דלאח"ז אסור אף לבו ביום וחייב חטאת, בקנון אסור אף לאלתר ובנפה חייב חטאת, ובפסולת מתוך אוכל חייב אף בידו ולאלתר.</w:t>
      </w:r>
      <w:bookmarkEnd w:id="2321"/>
    </w:p>
    <w:p w14:paraId="745419B3" w14:textId="77777777" w:rsidR="00592982" w:rsidRPr="00747170" w:rsidRDefault="00592982" w:rsidP="00747170">
      <w:pPr>
        <w:pStyle w:val="a2"/>
      </w:pPr>
      <w:r w:rsidRPr="00747170">
        <w:rPr>
          <w:rtl/>
        </w:rPr>
        <w:t>זה שביארנו שהברירה אב מלאכה לא כל הצדדין שוים בה כיצד מי שהיו לפניו מיני אוכלים מעורבין ורוצה לברור לו מין מתוך מין או אוכל מעורב עם פסולת ורוצה לברור לו אוכל מתוך פסולת מותר לו לברור בידו לאכול לאלתר</w:t>
      </w:r>
      <w:r w:rsidRPr="00747170">
        <w:rPr>
          <w:rFonts w:hint="cs"/>
          <w:rtl/>
        </w:rPr>
        <w:t xml:space="preserve">, </w:t>
      </w:r>
      <w:r w:rsidRPr="00747170">
        <w:rPr>
          <w:rtl/>
        </w:rPr>
        <w:t>ופי' בתלמוד המערב כל זמן שהוא מיסב על השלחן ולאו דוקא שיאכל תכף לברירה אלא כל שהוא מיסב ודעתו לאכלם או להאכילם לבני שולחן קודם עקירת שולחן לאלתר הוא ומותר שאין זה אלא כפוצע את האגוזים ואוכל מה שבתוכם וזורק השאר וכל לצורך אחר זמן אפי' לבו ביום אסור שנעשה כבורר לאוצר וחייב חטאת ובקנון או תמחוי אסור אף לאלתר אלא שפטור ובנפה וכברה אף לאלתר חייב וכן אם בירר פסולת מתוך אוכל אף בידו ואף לאלתר חייב וכל ברירה שהיא אסורה איסורה אף בפחות מכשיעור ר"ל פחות מכגרוגרת אף על פי שאין בה חיוב חטאת שחצי שיעור אסור מן התורה:</w:t>
      </w:r>
    </w:p>
    <w:p w14:paraId="596ACD2E" w14:textId="56701FF0" w:rsidR="00592982" w:rsidRDefault="00592982" w:rsidP="00592982">
      <w:pPr>
        <w:pStyle w:val="1"/>
        <w:rPr>
          <w:rtl/>
        </w:rPr>
      </w:pPr>
      <w:bookmarkStart w:id="2322" w:name="_Toc137741956"/>
      <w:r>
        <w:rPr>
          <w:rFonts w:hint="cs"/>
          <w:rtl/>
        </w:rPr>
        <w:t>בי' האגל"ט דלאלתר במין שאינו רוצה נח' הראשו' בגדר בורר</w:t>
      </w:r>
      <w:bookmarkEnd w:id="2322"/>
      <w:r>
        <w:rPr>
          <w:rFonts w:hint="cs"/>
          <w:rtl/>
        </w:rPr>
        <w:t xml:space="preserve"> </w:t>
      </w:r>
    </w:p>
    <w:p w14:paraId="714E3FF0" w14:textId="77777777" w:rsidR="00592982" w:rsidRDefault="00592982" w:rsidP="00592982">
      <w:pPr>
        <w:pStyle w:val="afffff7"/>
        <w:rPr>
          <w:rtl/>
        </w:rPr>
      </w:pPr>
      <w:bookmarkStart w:id="2323" w:name="_Toc137742042"/>
      <w:bookmarkStart w:id="2324" w:name="_Toc163505809"/>
      <w:r>
        <w:rPr>
          <w:rtl/>
        </w:rPr>
        <w:t xml:space="preserve">אגלי טל בורר </w:t>
      </w:r>
      <w:r>
        <w:rPr>
          <w:rFonts w:hint="cs"/>
          <w:rtl/>
        </w:rPr>
        <w:t>סק</w:t>
      </w:r>
      <w:r>
        <w:rPr>
          <w:rtl/>
        </w:rPr>
        <w:t>ט</w:t>
      </w:r>
      <w:r>
        <w:rPr>
          <w:rFonts w:hint="cs"/>
          <w:rtl/>
        </w:rPr>
        <w:t>"</w:t>
      </w:r>
      <w:r>
        <w:rPr>
          <w:rtl/>
        </w:rPr>
        <w:t>ו</w:t>
      </w:r>
      <w:r>
        <w:rPr>
          <w:rFonts w:hint="cs"/>
          <w:rtl/>
        </w:rPr>
        <w:t xml:space="preserve"> אות א'</w:t>
      </w:r>
      <w:bookmarkEnd w:id="2323"/>
      <w:bookmarkEnd w:id="2324"/>
    </w:p>
    <w:p w14:paraId="61F7DF69" w14:textId="77777777" w:rsidR="00592982" w:rsidRDefault="00592982" w:rsidP="00592982">
      <w:pPr>
        <w:pStyle w:val="a7"/>
        <w:rPr>
          <w:rtl/>
        </w:rPr>
      </w:pPr>
      <w:bookmarkStart w:id="2325" w:name="_Toc137741957"/>
      <w:r>
        <w:rPr>
          <w:rFonts w:hint="cs"/>
          <w:rtl/>
        </w:rPr>
        <w:t>בי' האגל"ט ברא"ש ובתרוה"ד דבאוכל מאוכל לאלתר אסור ליטול מין שאינו רוצה דכפסולת</w:t>
      </w:r>
      <w:bookmarkEnd w:id="2325"/>
    </w:p>
    <w:p w14:paraId="7D42977B" w14:textId="19B473F0" w:rsidR="00592982" w:rsidRDefault="00592982" w:rsidP="00BC7DC8">
      <w:pPr>
        <w:pStyle w:val="a3"/>
      </w:pPr>
      <w:bookmarkStart w:id="2326" w:name="_Hlk137574784"/>
      <w:bookmarkStart w:id="2327" w:name="_Ref136812024"/>
      <w:r>
        <w:rPr>
          <w:rFonts w:hint="cs"/>
          <w:rtl/>
        </w:rPr>
        <w:t xml:space="preserve">במ"ש </w:t>
      </w:r>
      <w:r w:rsidRPr="00D16BB6">
        <w:rPr>
          <w:rStyle w:val="aff4"/>
          <w:rFonts w:hint="cs"/>
          <w:vanish/>
          <w:rtl/>
        </w:rPr>
        <w:t>-</w:t>
      </w:r>
      <w:r w:rsidRPr="00D16BB6">
        <w:rPr>
          <w:rStyle w:val="aff4"/>
          <w:rFonts w:hint="cs"/>
          <w:rtl/>
        </w:rPr>
        <w:t>הרא"ש</w:t>
      </w:r>
      <w:r w:rsidRPr="00D16BB6">
        <w:rPr>
          <w:rStyle w:val="aff4"/>
          <w:rFonts w:hint="cs"/>
          <w:vanish/>
          <w:rtl/>
        </w:rPr>
        <w:t>-</w:t>
      </w:r>
      <w:r>
        <w:rPr>
          <w:rFonts w:hint="cs"/>
          <w:rtl/>
        </w:rPr>
        <w:t xml:space="preserve"> </w:t>
      </w:r>
      <w:r w:rsidRPr="00D16BB6">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Ref137671185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w:t>
      </w:r>
      <w:r>
        <w:rPr>
          <w:rStyle w:val="af2"/>
          <w:rFonts w:eastAsia="Guttman Hodes"/>
          <w:rtl/>
        </w:rPr>
        <w:fldChar w:fldCharType="end"/>
      </w:r>
      <w:r>
        <w:rPr>
          <w:rFonts w:hint="cs"/>
          <w:rtl/>
        </w:rPr>
        <w:t xml:space="preserve"> </w:t>
      </w:r>
      <w:r w:rsidRPr="00CB1AB2">
        <w:rPr>
          <w:rStyle w:val="aff4"/>
          <w:rFonts w:hint="cs"/>
          <w:vanish/>
          <w:rtl/>
        </w:rPr>
        <w:t>-</w:t>
      </w:r>
      <w:r w:rsidRPr="00EB72F7">
        <w:rPr>
          <w:rStyle w:val="aff4"/>
          <w:rFonts w:hint="cs"/>
          <w:rtl/>
        </w:rPr>
        <w:t>ו</w:t>
      </w:r>
      <w:r w:rsidRPr="00DA4E7A">
        <w:rPr>
          <w:rStyle w:val="aff4"/>
          <w:rFonts w:hint="cs"/>
          <w:rtl/>
        </w:rPr>
        <w:t>התרוה"ד</w:t>
      </w:r>
      <w:r w:rsidRPr="00CB1AB2">
        <w:rPr>
          <w:rStyle w:val="aff4"/>
          <w:rFonts w:hint="cs"/>
          <w:vanish/>
          <w:rtl/>
        </w:rPr>
        <w:t>-</w:t>
      </w:r>
      <w:r>
        <w:rPr>
          <w:rFonts w:hint="cs"/>
          <w:rtl/>
        </w:rPr>
        <w:t xml:space="preserve"> </w:t>
      </w:r>
      <w:r w:rsidRPr="00D16BB6">
        <w:rPr>
          <w:rStyle w:val="af2"/>
          <w:rFonts w:eastAsia="Guttman Hodes" w:hint="cs"/>
          <w:rtl/>
        </w:rPr>
        <w:t xml:space="preserve">(עי' אות </w:t>
      </w:r>
      <w:r w:rsidRPr="00D16BB6">
        <w:rPr>
          <w:rStyle w:val="af2"/>
          <w:rFonts w:eastAsia="Guttman Hodes"/>
          <w:rtl/>
        </w:rPr>
        <w:fldChar w:fldCharType="begin"/>
      </w:r>
      <w:r w:rsidRPr="00D16BB6">
        <w:rPr>
          <w:rStyle w:val="af2"/>
          <w:rFonts w:eastAsia="Guttman Hodes"/>
          <w:rtl/>
        </w:rPr>
        <w:instrText xml:space="preserve"> </w:instrText>
      </w:r>
      <w:r w:rsidRPr="00D16BB6">
        <w:rPr>
          <w:rStyle w:val="af2"/>
          <w:rFonts w:eastAsia="Guttman Hodes" w:hint="cs"/>
        </w:rPr>
        <w:instrText>REF</w:instrText>
      </w:r>
      <w:r w:rsidRPr="00D16BB6">
        <w:rPr>
          <w:rStyle w:val="af2"/>
          <w:rFonts w:eastAsia="Guttman Hodes" w:hint="cs"/>
          <w:rtl/>
        </w:rPr>
        <w:instrText xml:space="preserve"> _</w:instrText>
      </w:r>
      <w:r w:rsidRPr="00D16BB6">
        <w:rPr>
          <w:rStyle w:val="af2"/>
          <w:rFonts w:eastAsia="Guttman Hodes" w:hint="cs"/>
        </w:rPr>
        <w:instrText>Ref137157124 \r \h</w:instrText>
      </w:r>
      <w:r w:rsidRPr="00D16BB6">
        <w:rPr>
          <w:rStyle w:val="af2"/>
          <w:rFonts w:eastAsia="Guttman Hodes"/>
          <w:rtl/>
        </w:rPr>
        <w:instrText xml:space="preserve"> </w:instrText>
      </w:r>
      <w:r w:rsidRPr="00D16BB6">
        <w:rPr>
          <w:rStyle w:val="af2"/>
          <w:rFonts w:eastAsia="Guttman Hodes"/>
          <w:rtl/>
        </w:rPr>
      </w:r>
      <w:r w:rsidRPr="00D16BB6">
        <w:rPr>
          <w:rStyle w:val="af2"/>
          <w:rFonts w:eastAsia="Guttman Hodes"/>
          <w:rtl/>
        </w:rPr>
        <w:fldChar w:fldCharType="separate"/>
      </w:r>
      <w:r w:rsidR="00D82181">
        <w:rPr>
          <w:rStyle w:val="af2"/>
          <w:rFonts w:eastAsia="Guttman Hodes"/>
          <w:cs/>
        </w:rPr>
        <w:t>‎</w:t>
      </w:r>
      <w:r w:rsidR="00D82181">
        <w:rPr>
          <w:rStyle w:val="af2"/>
          <w:rFonts w:eastAsia="Guttman Hodes"/>
          <w:rtl/>
        </w:rPr>
        <w:t>כב)</w:t>
      </w:r>
      <w:r w:rsidRPr="00D16BB6">
        <w:rPr>
          <w:rStyle w:val="af2"/>
          <w:rFonts w:eastAsia="Guttman Hodes"/>
          <w:rtl/>
        </w:rPr>
        <w:fldChar w:fldCharType="end"/>
      </w:r>
      <w:r>
        <w:rPr>
          <w:rFonts w:hint="cs"/>
          <w:rtl/>
        </w:rPr>
        <w:t xml:space="preserve"> בשם </w:t>
      </w:r>
      <w:r w:rsidRPr="00CB1AB2">
        <w:rPr>
          <w:rStyle w:val="aff4"/>
          <w:rFonts w:hint="cs"/>
          <w:vanish/>
          <w:rtl/>
        </w:rPr>
        <w:t>-</w:t>
      </w:r>
      <w:r w:rsidRPr="00DA4E7A">
        <w:rPr>
          <w:rStyle w:val="aff4"/>
          <w:rFonts w:hint="cs"/>
          <w:rtl/>
        </w:rPr>
        <w:t>אחד מהגדולים</w:t>
      </w:r>
      <w:r w:rsidRPr="00CB1AB2">
        <w:rPr>
          <w:rStyle w:val="aff4"/>
          <w:rFonts w:hint="cs"/>
          <w:vanish/>
          <w:rtl/>
        </w:rPr>
        <w:t>-</w:t>
      </w:r>
      <w:r>
        <w:rPr>
          <w:rFonts w:hint="cs"/>
          <w:rtl/>
        </w:rPr>
        <w:t xml:space="preserve"> דבב' מינים המין שאינו רוצה חשיב כפסולת, כתב </w:t>
      </w:r>
      <w:r w:rsidRPr="00CB1AB2">
        <w:rPr>
          <w:rStyle w:val="aff4"/>
          <w:rFonts w:hint="cs"/>
          <w:vanish/>
          <w:rtl/>
        </w:rPr>
        <w:t>-</w:t>
      </w:r>
      <w:r w:rsidRPr="00DA4E7A">
        <w:rPr>
          <w:rStyle w:val="aff4"/>
          <w:rFonts w:hint="cs"/>
          <w:rtl/>
        </w:rPr>
        <w:t>ה</w:t>
      </w:r>
      <w:r w:rsidRPr="00CB1AB2">
        <w:rPr>
          <w:rStyle w:val="aff4"/>
          <w:rFonts w:hint="cs"/>
          <w:vanish/>
          <w:rtl/>
        </w:rPr>
        <w:t xml:space="preserve">&lt;. </w:t>
      </w:r>
      <w:r w:rsidRPr="00CB1AB2">
        <w:rPr>
          <w:rStyle w:val="aff4"/>
          <w:vanish/>
          <w:rtl/>
        </w:rPr>
        <w:fldChar w:fldCharType="begin"/>
      </w:r>
      <w:r w:rsidRPr="00CB1AB2">
        <w:rPr>
          <w:rStyle w:val="aff4"/>
          <w:vanish/>
          <w:rtl/>
        </w:rPr>
        <w:instrText xml:space="preserve"> </w:instrText>
      </w:r>
      <w:r w:rsidRPr="00CB1AB2">
        <w:rPr>
          <w:rStyle w:val="aff4"/>
          <w:rFonts w:hint="cs"/>
          <w:vanish/>
        </w:rPr>
        <w:instrText>REF</w:instrText>
      </w:r>
      <w:r w:rsidRPr="00CB1AB2">
        <w:rPr>
          <w:rStyle w:val="aff4"/>
          <w:rFonts w:hint="cs"/>
          <w:vanish/>
          <w:rtl/>
        </w:rPr>
        <w:instrText xml:space="preserve"> _</w:instrText>
      </w:r>
      <w:r w:rsidRPr="00CB1AB2">
        <w:rPr>
          <w:rStyle w:val="aff4"/>
          <w:rFonts w:hint="cs"/>
          <w:vanish/>
        </w:rPr>
        <w:instrText>Ref136812024 \r \h</w:instrText>
      </w:r>
      <w:r w:rsidRPr="00CB1AB2">
        <w:rPr>
          <w:rStyle w:val="aff4"/>
          <w:vanish/>
          <w:rtl/>
        </w:rPr>
        <w:instrText xml:space="preserve"> </w:instrText>
      </w:r>
      <w:r>
        <w:rPr>
          <w:rStyle w:val="aff4"/>
          <w:vanish/>
          <w:rtl/>
        </w:rPr>
        <w:instrText xml:space="preserve"> \* </w:instrText>
      </w:r>
      <w:r>
        <w:rPr>
          <w:rStyle w:val="aff4"/>
          <w:vanish/>
        </w:rPr>
        <w:instrText>MERGEFORMAT</w:instrText>
      </w:r>
      <w:r>
        <w:rPr>
          <w:rStyle w:val="aff4"/>
          <w:vanish/>
          <w:rtl/>
        </w:rPr>
        <w:instrText xml:space="preserve"> </w:instrText>
      </w:r>
      <w:r w:rsidRPr="00CB1AB2">
        <w:rPr>
          <w:rStyle w:val="aff4"/>
          <w:vanish/>
          <w:rtl/>
        </w:rPr>
      </w:r>
      <w:r w:rsidRPr="00CB1AB2">
        <w:rPr>
          <w:rStyle w:val="aff4"/>
          <w:vanish/>
          <w:rtl/>
        </w:rPr>
        <w:fldChar w:fldCharType="separate"/>
      </w:r>
      <w:r w:rsidR="00D82181">
        <w:rPr>
          <w:rStyle w:val="aff4"/>
          <w:vanish/>
          <w:cs/>
        </w:rPr>
        <w:t>‎</w:t>
      </w:r>
      <w:r w:rsidR="00D82181">
        <w:rPr>
          <w:rStyle w:val="aff4"/>
          <w:vanish/>
          <w:rtl/>
        </w:rPr>
        <w:t>ל)</w:t>
      </w:r>
      <w:r w:rsidRPr="00CB1AB2">
        <w:rPr>
          <w:rStyle w:val="aff4"/>
          <w:vanish/>
          <w:rtl/>
        </w:rPr>
        <w:fldChar w:fldCharType="end"/>
      </w:r>
      <w:r w:rsidRPr="00CB1AB2">
        <w:rPr>
          <w:rStyle w:val="aff4"/>
          <w:rFonts w:hint="cs"/>
          <w:vanish/>
          <w:rtl/>
        </w:rPr>
        <w:t xml:space="preserve"> &gt;</w:t>
      </w:r>
      <w:r w:rsidRPr="00DA4E7A">
        <w:rPr>
          <w:rStyle w:val="aff4"/>
          <w:rFonts w:hint="cs"/>
          <w:rtl/>
        </w:rPr>
        <w:t>אגלי טל</w:t>
      </w:r>
      <w:r w:rsidRPr="00CB1AB2">
        <w:rPr>
          <w:rStyle w:val="aff4"/>
          <w:rFonts w:hint="cs"/>
          <w:vanish/>
          <w:rtl/>
        </w:rPr>
        <w:t>-</w:t>
      </w:r>
      <w:r>
        <w:rPr>
          <w:rFonts w:hint="cs"/>
          <w:rtl/>
        </w:rPr>
        <w:t xml:space="preserve"> </w:t>
      </w:r>
      <w:r w:rsidRPr="00D16BB6">
        <w:rPr>
          <w:rStyle w:val="af2"/>
          <w:rFonts w:eastAsia="Guttman Hodes" w:hint="cs"/>
          <w:rtl/>
        </w:rPr>
        <w:t xml:space="preserve">(בורר </w:t>
      </w:r>
      <w:r w:rsidRPr="00D16BB6">
        <w:rPr>
          <w:rStyle w:val="af2"/>
          <w:rFonts w:eastAsia="Guttman Hodes" w:hint="cs"/>
          <w:rtl/>
        </w:rPr>
        <w:lastRenderedPageBreak/>
        <w:t>סקט"ו)</w:t>
      </w:r>
      <w:r w:rsidRPr="00CB1AB2">
        <w:rPr>
          <w:rFonts w:hint="cs"/>
          <w:vanish/>
          <w:rtl/>
        </w:rPr>
        <w:t>=</w:t>
      </w:r>
      <w:r>
        <w:rPr>
          <w:rFonts w:hint="cs"/>
          <w:rtl/>
        </w:rPr>
        <w:t xml:space="preserve"> דמבואר מזה דבב' מיני אוכלין אף באופן שהוא לאלתר, דמיד יאכל את המין שרוצה בו, מ"מ אסור לברור את המין שאינו רוצה, דהוא כפסולת מתוך אוכל</w:t>
      </w:r>
      <w:bookmarkEnd w:id="2326"/>
      <w:r>
        <w:rPr>
          <w:rFonts w:hint="cs"/>
          <w:rtl/>
        </w:rPr>
        <w:t>.</w:t>
      </w:r>
    </w:p>
    <w:bookmarkEnd w:id="2327"/>
    <w:p w14:paraId="7EBA4FCD" w14:textId="77777777" w:rsidR="00592982" w:rsidRPr="00747170" w:rsidRDefault="00592982" w:rsidP="00747170">
      <w:pPr>
        <w:pStyle w:val="a2"/>
      </w:pPr>
      <w:r w:rsidRPr="00747170">
        <w:rPr>
          <w:rtl/>
        </w:rPr>
        <w:t>[טו] (א) יש בהם משום בורר. בברייתא דף ע"ד. היו לפניו מיני אוכלין. פירש"י לא גרסינן שני ובתוס' גורסים שני. ואותו שאינו חפץ לאכול חשוב פסולת. וכן פירש הרא"ש. והנה למאי דקיי"ל דבשני מיני אוכלין נמי שייך ברירה אין היתר לברור אותו שאינו חפץ לאכול אפי' רוצה לאכול מין השני לאלתר. וכן כתב התה"ד [סי' נ"ז] בשם אחד מהגדולים.</w:t>
      </w:r>
    </w:p>
    <w:p w14:paraId="4C947112" w14:textId="77777777" w:rsidR="00592982" w:rsidRPr="00DA7171" w:rsidRDefault="00592982" w:rsidP="00592982">
      <w:pPr>
        <w:pStyle w:val="afffff7"/>
        <w:rPr>
          <w:rtl/>
        </w:rPr>
      </w:pPr>
      <w:bookmarkStart w:id="2328" w:name="_Toc137742043"/>
      <w:bookmarkStart w:id="2329" w:name="_Ref137660230"/>
      <w:bookmarkStart w:id="2330" w:name="_Toc163505810"/>
      <w:r w:rsidRPr="00DA7171">
        <w:rPr>
          <w:rtl/>
        </w:rPr>
        <w:t>קרית ספר שבת פ"ח</w:t>
      </w:r>
      <w:r w:rsidRPr="00DA7171">
        <w:rPr>
          <w:rFonts w:hint="cs"/>
          <w:rtl/>
        </w:rPr>
        <w:t xml:space="preserve"> ד"ה בורר אוכל</w:t>
      </w:r>
      <w:bookmarkEnd w:id="2328"/>
      <w:bookmarkEnd w:id="2330"/>
    </w:p>
    <w:p w14:paraId="75C29448" w14:textId="77777777" w:rsidR="00592982" w:rsidRDefault="00592982" w:rsidP="00592982">
      <w:pPr>
        <w:pStyle w:val="afffff7"/>
        <w:rPr>
          <w:rtl/>
        </w:rPr>
      </w:pPr>
      <w:bookmarkStart w:id="2331" w:name="_Toc137742044"/>
      <w:bookmarkStart w:id="2332" w:name="_Toc163505811"/>
      <w:r>
        <w:rPr>
          <w:rtl/>
        </w:rPr>
        <w:t>מגיד משנה שבת פ"ח הי"ב</w:t>
      </w:r>
      <w:bookmarkEnd w:id="2331"/>
      <w:bookmarkEnd w:id="2332"/>
    </w:p>
    <w:p w14:paraId="44BF78B4" w14:textId="77777777" w:rsidR="00592982" w:rsidRDefault="00592982" w:rsidP="00592982">
      <w:pPr>
        <w:pStyle w:val="a7"/>
      </w:pPr>
      <w:bookmarkStart w:id="2333" w:name="_Toc137741958"/>
      <w:r>
        <w:rPr>
          <w:rFonts w:hint="cs"/>
          <w:rtl/>
        </w:rPr>
        <w:t>בי' האגל"ט במ"מ ובקרי"ס דבאוכל מאוכל ביד לאלתר מותר אף כשנוטל את המין שאינו רוצה</w:t>
      </w:r>
      <w:bookmarkEnd w:id="2333"/>
    </w:p>
    <w:p w14:paraId="0086769F" w14:textId="6C265B96" w:rsidR="00592982" w:rsidRPr="00046A3B" w:rsidRDefault="00592982" w:rsidP="00BC7DC8">
      <w:pPr>
        <w:pStyle w:val="a3"/>
        <w:rPr>
          <w:rtl/>
        </w:rPr>
      </w:pPr>
      <w:bookmarkStart w:id="2334" w:name="_Ref137660739"/>
      <w:r>
        <w:rPr>
          <w:rFonts w:hint="cs"/>
          <w:rtl/>
        </w:rPr>
        <w:t xml:space="preserve">אך הביא </w:t>
      </w:r>
      <w:r w:rsidRPr="00CB1AB2">
        <w:rPr>
          <w:rStyle w:val="aff4"/>
          <w:rFonts w:hint="cs"/>
          <w:vanish/>
          <w:rtl/>
        </w:rPr>
        <w:t>-</w:t>
      </w:r>
      <w:r w:rsidRPr="00DA4E7A">
        <w:rPr>
          <w:rStyle w:val="aff4"/>
          <w:rFonts w:hint="cs"/>
          <w:rtl/>
        </w:rPr>
        <w:t>האגלי טל</w:t>
      </w:r>
      <w:r w:rsidRPr="00CB1AB2">
        <w:rPr>
          <w:rStyle w:val="aff4"/>
          <w:rFonts w:hint="cs"/>
          <w:vanish/>
          <w:rtl/>
        </w:rPr>
        <w:t>-</w:t>
      </w:r>
      <w:r>
        <w:rPr>
          <w:rFonts w:hint="cs"/>
          <w:rtl/>
        </w:rPr>
        <w:t xml:space="preserve"> את דברי </w:t>
      </w:r>
      <w:r w:rsidRPr="00CB1AB2">
        <w:rPr>
          <w:rStyle w:val="aff4"/>
          <w:rFonts w:hint="cs"/>
          <w:vanish/>
          <w:rtl/>
        </w:rPr>
        <w:t>-</w:t>
      </w:r>
      <w:r w:rsidRPr="00DA4E7A">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Ref137660739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לא)</w:t>
      </w:r>
      <w:r>
        <w:rPr>
          <w:rStyle w:val="aff4"/>
          <w:vanish/>
          <w:rtl/>
        </w:rPr>
        <w:fldChar w:fldCharType="end"/>
      </w:r>
      <w:r>
        <w:rPr>
          <w:rStyle w:val="aff4"/>
          <w:rFonts w:hint="cs"/>
          <w:vanish/>
          <w:rtl/>
        </w:rPr>
        <w:t xml:space="preserve"> &gt;</w:t>
      </w:r>
      <w:r w:rsidRPr="00DA4E7A">
        <w:rPr>
          <w:rStyle w:val="aff4"/>
          <w:rFonts w:hint="cs"/>
          <w:rtl/>
        </w:rPr>
        <w:t>קרית ספר</w:t>
      </w:r>
      <w:r w:rsidRPr="00CB1AB2">
        <w:rPr>
          <w:rStyle w:val="aff4"/>
          <w:rFonts w:hint="cs"/>
          <w:vanish/>
          <w:rtl/>
        </w:rPr>
        <w:t>-</w:t>
      </w:r>
      <w:r>
        <w:rPr>
          <w:rStyle w:val="aff4"/>
          <w:rFonts w:hint="cs"/>
          <w:rtl/>
        </w:rPr>
        <w:t xml:space="preserve"> </w:t>
      </w:r>
      <w:r w:rsidRPr="00D16BB6">
        <w:rPr>
          <w:rStyle w:val="af2"/>
          <w:rFonts w:eastAsia="Guttman Hodes" w:hint="cs"/>
          <w:rtl/>
        </w:rPr>
        <w:t>(שבת פ"ח</w:t>
      </w:r>
      <w:r w:rsidRPr="003E5BB1">
        <w:rPr>
          <w:rtl/>
        </w:rPr>
        <w:t xml:space="preserve"> </w:t>
      </w:r>
      <w:r w:rsidRPr="003E5BB1">
        <w:rPr>
          <w:rStyle w:val="af2"/>
          <w:rFonts w:eastAsia="Guttman Hodes"/>
          <w:rtl/>
        </w:rPr>
        <w:t>ד"ה בורר אוכל</w:t>
      </w:r>
      <w:r w:rsidRPr="00D16BB6">
        <w:rPr>
          <w:rStyle w:val="af2"/>
          <w:rFonts w:eastAsia="Guttman Hodes" w:hint="cs"/>
          <w:rtl/>
        </w:rPr>
        <w:t>)</w:t>
      </w:r>
      <w:r w:rsidRPr="00CB1AB2">
        <w:rPr>
          <w:rFonts w:hint="cs"/>
          <w:vanish/>
          <w:rtl/>
        </w:rPr>
        <w:t>=</w:t>
      </w:r>
      <w:r>
        <w:rPr>
          <w:rFonts w:hint="cs"/>
          <w:rtl/>
        </w:rPr>
        <w:t xml:space="preserve"> דכתב דהבורר את המין שאינו רוצה בב' מיני אוכלין, בנפה וכברה חייב, ואם בירר לאח"ז חייב אף בבורר ביד, ומבואר מדבריו דבבורר לאכול לאלתר חייב רק בנפה וכברה, אבל ביד לאלתר מותר, אעפ"י דהוא בורר את המין שאינו רוצה בו, והוסיף </w:t>
      </w:r>
      <w:r w:rsidRPr="00CB1AB2">
        <w:rPr>
          <w:rStyle w:val="aff4"/>
          <w:rFonts w:hint="cs"/>
          <w:vanish/>
          <w:rtl/>
        </w:rPr>
        <w:t>-</w:t>
      </w:r>
      <w:r w:rsidRPr="00DA4E7A">
        <w:rPr>
          <w:rStyle w:val="aff4"/>
          <w:rFonts w:hint="cs"/>
          <w:rtl/>
        </w:rPr>
        <w:t>האגלי טל</w:t>
      </w:r>
      <w:r w:rsidRPr="00CB1AB2">
        <w:rPr>
          <w:rStyle w:val="aff4"/>
          <w:rFonts w:hint="cs"/>
          <w:vanish/>
          <w:rtl/>
        </w:rPr>
        <w:t>-</w:t>
      </w:r>
      <w:r>
        <w:rPr>
          <w:rFonts w:hint="cs"/>
          <w:rtl/>
        </w:rPr>
        <w:t xml:space="preserve"> דכן משמע מדברי </w:t>
      </w:r>
      <w:r w:rsidRPr="00CB1AB2">
        <w:rPr>
          <w:rStyle w:val="aff4"/>
          <w:rFonts w:hint="cs"/>
          <w:vanish/>
          <w:rtl/>
        </w:rPr>
        <w:t>-</w:t>
      </w:r>
      <w:r w:rsidRPr="00DA4E7A">
        <w:rPr>
          <w:rStyle w:val="aff4"/>
          <w:rFonts w:hint="cs"/>
          <w:rtl/>
        </w:rPr>
        <w:t>ה</w:t>
      </w:r>
      <w:r w:rsidRPr="00CB1AB2">
        <w:rPr>
          <w:rStyle w:val="aff4"/>
          <w:rFonts w:hint="cs"/>
          <w:vanish/>
          <w:rtl/>
        </w:rPr>
        <w:t>&lt; &gt;</w:t>
      </w:r>
      <w:r w:rsidRPr="00DA4E7A">
        <w:rPr>
          <w:rStyle w:val="aff4"/>
          <w:rFonts w:hint="cs"/>
          <w:rtl/>
        </w:rPr>
        <w:t>מ"מ</w:t>
      </w:r>
      <w:r w:rsidRPr="00CB1AB2">
        <w:rPr>
          <w:rStyle w:val="aff4"/>
          <w:rFonts w:hint="cs"/>
          <w:vanish/>
          <w:rtl/>
        </w:rPr>
        <w:t>-</w:t>
      </w:r>
      <w:r>
        <w:rPr>
          <w:rFonts w:hint="cs"/>
          <w:rtl/>
        </w:rPr>
        <w:t xml:space="preserve"> </w:t>
      </w:r>
      <w:r w:rsidRPr="00D16BB6">
        <w:rPr>
          <w:rStyle w:val="af2"/>
          <w:rFonts w:eastAsia="Guttman Hodes" w:hint="cs"/>
          <w:rtl/>
        </w:rPr>
        <w:t>(שבת פ"ח הי"ב)</w:t>
      </w:r>
      <w:r w:rsidRPr="00CB1AB2">
        <w:rPr>
          <w:rFonts w:hint="cs"/>
          <w:vanish/>
          <w:rtl/>
        </w:rPr>
        <w:t>=</w:t>
      </w:r>
      <w:r>
        <w:rPr>
          <w:rFonts w:hint="cs"/>
          <w:rtl/>
        </w:rPr>
        <w:t xml:space="preserve"> דכתב דבאוכל מתוך פסולת לאלתר בקנון ותמחוי פטור ובנפה וכברה חייב, ופסולת מתוך אוכל אף לאלתר ובקנון ובתמחוי חייב, ובב' מיני אוכלין הם כאוכל מתוך פסולת, דחייב רק בנפה וכברה, וכתב </w:t>
      </w:r>
      <w:r w:rsidRPr="00CB1AB2">
        <w:rPr>
          <w:rStyle w:val="aff4"/>
          <w:rFonts w:hint="cs"/>
          <w:vanish/>
          <w:rtl/>
        </w:rPr>
        <w:t>-</w:t>
      </w:r>
      <w:r w:rsidRPr="00DA4E7A">
        <w:rPr>
          <w:rStyle w:val="aff4"/>
          <w:rFonts w:hint="cs"/>
          <w:rtl/>
        </w:rPr>
        <w:t>האגלי טל</w:t>
      </w:r>
      <w:r w:rsidRPr="00CB1AB2">
        <w:rPr>
          <w:rStyle w:val="aff4"/>
          <w:rFonts w:hint="cs"/>
          <w:vanish/>
          <w:rtl/>
        </w:rPr>
        <w:t>-</w:t>
      </w:r>
      <w:r>
        <w:rPr>
          <w:rFonts w:hint="cs"/>
          <w:rtl/>
        </w:rPr>
        <w:t xml:space="preserve"> דמדלא חילק </w:t>
      </w:r>
      <w:r w:rsidRPr="00CB1AB2">
        <w:rPr>
          <w:rStyle w:val="aff4"/>
          <w:rFonts w:hint="cs"/>
          <w:vanish/>
          <w:rtl/>
        </w:rPr>
        <w:t>-</w:t>
      </w:r>
      <w:r w:rsidRPr="00DA4E7A">
        <w:rPr>
          <w:rStyle w:val="aff4"/>
          <w:rFonts w:hint="cs"/>
          <w:rtl/>
        </w:rPr>
        <w:t>המ"מ</w:t>
      </w:r>
      <w:r w:rsidRPr="00CB1AB2">
        <w:rPr>
          <w:rStyle w:val="aff4"/>
          <w:rFonts w:hint="cs"/>
          <w:vanish/>
          <w:rtl/>
        </w:rPr>
        <w:t>-</w:t>
      </w:r>
      <w:r>
        <w:rPr>
          <w:rFonts w:hint="cs"/>
          <w:rtl/>
        </w:rPr>
        <w:t xml:space="preserve"> בין אם ברר את המין שחפץ לאכול, לבין אם ברר את המין שאינו חפץ לאכול, מבואר דבקנון ובתמחוי פטור אף כשבירר את המין שאינו רוצה בו, כמו באוכל מתוך פסולת.</w:t>
      </w:r>
      <w:bookmarkEnd w:id="2329"/>
      <w:bookmarkEnd w:id="2334"/>
      <w:r>
        <w:rPr>
          <w:rFonts w:hint="cs"/>
          <w:rtl/>
        </w:rPr>
        <w:t xml:space="preserve"> </w:t>
      </w:r>
    </w:p>
    <w:p w14:paraId="41817473" w14:textId="77777777" w:rsidR="00592982" w:rsidRPr="00747170" w:rsidRDefault="00592982" w:rsidP="00747170">
      <w:pPr>
        <w:pStyle w:val="a2"/>
        <w:rPr>
          <w:rtl/>
        </w:rPr>
      </w:pPr>
      <w:r w:rsidRPr="00747170">
        <w:rPr>
          <w:rtl/>
        </w:rPr>
        <w:t xml:space="preserve">אך ראיתי להמבי"ט בספרו קרית ספר [פ"ח מה"ש] וז"ל בורר אוכל מתוך פסולת או שבירר מין אוכל שאינו רוצה לאכול ממין אחר שרוצה אם בנפה וכברה חייב דהוי דרך ברירה בכך ובורר פסולת מתוך אוכל אפי' ביד חייב ואפי' בורר אוכל מתוך פסולת בידו אם להניחו לאח"ז חייב ובשני מיני אוכלין אם בורר בשחרית לבין הערבים אפי' ביד חייב עכ"ל. הרי דבשני מיני אוכלין ובורר אותו שאינו חפץ לאכול כדי לאכול השני לאלתר אינו חייב אלא בנפה וכברה. וכן משמע בהר' המגיד [פ"ח הי"ב] שכתב פסולת מתוך אוכל לעולם חייב ושני מיני אוכלין הרי הן כאוכל מתוך פסולת עכ"ל. ולא חילק בין אם בירר אותו שחפץ לאכול או אם בירר אותו שאינו חפץ לאכול. ונראה שהי' גרסתו בברייתא היו לפניו מיני אוכלין. </w:t>
      </w:r>
      <w:r w:rsidRPr="00747170">
        <w:rPr>
          <w:rStyle w:val="afff7"/>
          <w:rtl/>
        </w:rPr>
        <w:t>ובדר' ירמי' שני מיני אוכלין וכמו שהוא בגמרא שלפנינו. וע"כ בשני מיני אוכלין שייך ברירה מהא דר' ירמי' אך מדפטר בקנון ותמחוי ולא חילק בין אם בורר המין שחפץ לאכול או אותו שאינו חפץ לאכול.</w:t>
      </w:r>
      <w:r w:rsidRPr="00747170">
        <w:rPr>
          <w:rtl/>
        </w:rPr>
        <w:t xml:space="preserve"> ש"מ דס"ל דבשני מיני אוכלין אפי' בירר אותו שאינו חפץ לאכול בקנון ותמחוי פטור. ודינו כאוכל מתוך פסולת. ממילא דביד מותר</w:t>
      </w:r>
      <w:r w:rsidRPr="00747170">
        <w:rPr>
          <w:rFonts w:hint="cs"/>
          <w:rtl/>
        </w:rPr>
        <w:t>.</w:t>
      </w:r>
    </w:p>
    <w:p w14:paraId="1E5D2C95" w14:textId="77777777" w:rsidR="00592982" w:rsidRPr="00C61A8D" w:rsidRDefault="00592982" w:rsidP="00747170">
      <w:pPr>
        <w:pStyle w:val="afffff5"/>
        <w:rPr>
          <w:rtl/>
        </w:rPr>
      </w:pPr>
      <w:r w:rsidRPr="00C61A8D">
        <w:rPr>
          <w:rtl/>
        </w:rPr>
        <w:t>בורר אוכל מתוך פסולת או שבורר מין אוכל שאין רוצה לאכול ממין אחר שרוצה אם בנפה וכברה חייב דהוי דרך ברירה בכך ובורר פיסולת מתוך אוכל אפילו ביד חייב ובורר תורמוסין מתוך פיסולת שלהן חייב דהוו כבורר פיסולת מתוך אוכל ואפילו בורר אוכל מתוך פוסולת בידו חייב אם להניחו לאחר זמן אפילו לבו ביום דנעשת כבורר לאוצר והוי ליה דרך ברירה ובשני מיני אוכלין נמי אם ברר בשחרית לבין הערבים אפילו ביד חייב דדרך ברירה בכך</w:t>
      </w:r>
      <w:r w:rsidRPr="00C61A8D">
        <w:rPr>
          <w:rFonts w:hint="cs"/>
          <w:rtl/>
        </w:rPr>
        <w:t>.</w:t>
      </w:r>
    </w:p>
    <w:p w14:paraId="77841609" w14:textId="77777777" w:rsidR="00592982" w:rsidRPr="00C61A8D" w:rsidRDefault="00592982" w:rsidP="00747170">
      <w:pPr>
        <w:pStyle w:val="afffff5"/>
      </w:pPr>
      <w:r w:rsidRPr="00C61A8D">
        <w:rPr>
          <w:rtl/>
        </w:rPr>
        <w:t>[יב] הבורר אוכל מתוך פסולת וכו'. דברי רבינו ז"ל בדינין אלו הם כפירוש ר"ח ז"ל שפי' הסוגיא והברייתא שבפרק כלל גדול (שם ע"ד) דבבורר לאכול לאלתר ביד מותר אוכל מתוך פסולת בדוקא ובקנון בתמחוי פטור אבל אסור בנפה ובכברה חייב חטאת ובורר לבו ביום אפילו ביד חייב חטאת ופסולת מתוך אוכל לעולם חייב וכן הסכים הרמב"ן ז"ל וכן נראה מן ההלכות שפסולת מתוך אוכל לעולם חייב ושני מיני אוכלין הרי הן כאוכל מתוך פסולת ולבאר זה מן הגמרא יאריכו הדברים:</w:t>
      </w:r>
    </w:p>
    <w:p w14:paraId="214E432B" w14:textId="10F682C1" w:rsidR="00592982" w:rsidRDefault="00592982" w:rsidP="00592982">
      <w:pPr>
        <w:pStyle w:val="a7"/>
        <w:rPr>
          <w:rtl/>
        </w:rPr>
      </w:pPr>
      <w:bookmarkStart w:id="2335" w:name="_Toc137741959"/>
      <w:r>
        <w:rPr>
          <w:rFonts w:hint="cs"/>
          <w:rtl/>
        </w:rPr>
        <w:t>בי' האגל"ט במ"מ דס"ל כר"ן דעיקר בורר בפסולת מאוכל ובאוכל מאוכל ל"ה פסולת ממש</w:t>
      </w:r>
      <w:bookmarkEnd w:id="2335"/>
    </w:p>
    <w:p w14:paraId="527391AD" w14:textId="606E4F86" w:rsidR="00592982" w:rsidRPr="00710BBA" w:rsidRDefault="00592982" w:rsidP="00BC7DC8">
      <w:pPr>
        <w:pStyle w:val="a3"/>
      </w:pPr>
      <w:bookmarkStart w:id="2336" w:name="_Ref137661590"/>
      <w:r>
        <w:rPr>
          <w:rFonts w:hint="cs"/>
          <w:rtl/>
        </w:rPr>
        <w:t xml:space="preserve">וביאר </w:t>
      </w:r>
      <w:r w:rsidRPr="00CB1AB2">
        <w:rPr>
          <w:rStyle w:val="aff4"/>
          <w:rFonts w:hint="cs"/>
          <w:vanish/>
          <w:rtl/>
        </w:rPr>
        <w:t>-</w:t>
      </w:r>
      <w:r w:rsidRPr="00DA4E7A">
        <w:rPr>
          <w:rStyle w:val="aff4"/>
          <w:rFonts w:hint="cs"/>
          <w:rtl/>
        </w:rPr>
        <w:t>האגלי טל</w:t>
      </w:r>
      <w:r w:rsidRPr="00CB1AB2">
        <w:rPr>
          <w:rStyle w:val="aff4"/>
          <w:rFonts w:hint="cs"/>
          <w:vanish/>
          <w:rtl/>
        </w:rPr>
        <w:t>-</w:t>
      </w:r>
      <w:r>
        <w:rPr>
          <w:rFonts w:hint="cs"/>
          <w:rtl/>
        </w:rPr>
        <w:t xml:space="preserve"> דס"ל </w:t>
      </w:r>
      <w:r w:rsidRPr="00CB1AB2">
        <w:rPr>
          <w:rStyle w:val="aff4"/>
          <w:rFonts w:hint="cs"/>
          <w:vanish/>
          <w:rtl/>
        </w:rPr>
        <w:t>-</w:t>
      </w:r>
      <w:r w:rsidRPr="00DA4E7A">
        <w:rPr>
          <w:rStyle w:val="aff4"/>
          <w:rFonts w:hint="cs"/>
          <w:rtl/>
        </w:rPr>
        <w:t>למ"מ</w:t>
      </w:r>
      <w:r w:rsidRPr="00CB1AB2">
        <w:rPr>
          <w:rStyle w:val="aff4"/>
          <w:rFonts w:hint="cs"/>
          <w:vanish/>
          <w:rtl/>
        </w:rPr>
        <w:t>-</w:t>
      </w:r>
      <w:r>
        <w:rPr>
          <w:rFonts w:hint="cs"/>
          <w:rtl/>
        </w:rPr>
        <w:t xml:space="preserve"> דכל החילוק בין אוכל מתוך פסולת לפסולת מתוך אוכל, הוא כדביאר </w:t>
      </w:r>
      <w:r w:rsidRPr="00CB1AB2">
        <w:rPr>
          <w:rStyle w:val="aff4"/>
          <w:rFonts w:hint="cs"/>
          <w:vanish/>
          <w:rtl/>
        </w:rPr>
        <w:t>-</w:t>
      </w:r>
      <w:r w:rsidRPr="00DA4E7A">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Ref137661590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לב)</w:t>
      </w:r>
      <w:r>
        <w:rPr>
          <w:rStyle w:val="aff4"/>
          <w:vanish/>
          <w:rtl/>
        </w:rPr>
        <w:fldChar w:fldCharType="end"/>
      </w:r>
      <w:r>
        <w:rPr>
          <w:rStyle w:val="aff4"/>
          <w:rFonts w:hint="cs"/>
          <w:vanish/>
          <w:rtl/>
        </w:rPr>
        <w:t xml:space="preserve"> &gt;</w:t>
      </w:r>
      <w:r w:rsidRPr="00DA4E7A">
        <w:rPr>
          <w:rStyle w:val="aff4"/>
          <w:rFonts w:hint="cs"/>
          <w:rtl/>
        </w:rPr>
        <w:t>אגלי טל</w:t>
      </w:r>
      <w:r w:rsidRPr="00CB1AB2">
        <w:rPr>
          <w:rStyle w:val="aff4"/>
          <w:rFonts w:hint="cs"/>
          <w:vanish/>
          <w:rtl/>
        </w:rPr>
        <w:t>-</w:t>
      </w:r>
      <w:r>
        <w:rPr>
          <w:rFonts w:hint="cs"/>
          <w:rtl/>
        </w:rPr>
        <w:t xml:space="preserve"> </w:t>
      </w:r>
      <w:r w:rsidRPr="00D16BB6">
        <w:rPr>
          <w:rStyle w:val="af2"/>
          <w:rFonts w:eastAsia="Guttman Hodes" w:hint="cs"/>
          <w:rtl/>
        </w:rPr>
        <w:t>(בורר סק"א אות כ"ב)</w:t>
      </w:r>
      <w:r w:rsidRPr="00CB1AB2">
        <w:rPr>
          <w:rFonts w:hint="cs"/>
          <w:vanish/>
          <w:rtl/>
        </w:rPr>
        <w:t>=</w:t>
      </w:r>
      <w:r>
        <w:rPr>
          <w:rFonts w:hint="cs"/>
          <w:rtl/>
        </w:rPr>
        <w:t xml:space="preserve"> בדעת </w:t>
      </w:r>
      <w:r w:rsidRPr="00CB1AB2">
        <w:rPr>
          <w:rStyle w:val="aff4"/>
          <w:rFonts w:hint="cs"/>
          <w:vanish/>
          <w:rtl/>
        </w:rPr>
        <w:t>-</w:t>
      </w:r>
      <w:r w:rsidRPr="009577B1">
        <w:rPr>
          <w:rStyle w:val="aff4"/>
          <w:rFonts w:hint="cs"/>
          <w:rtl/>
        </w:rPr>
        <w:t>ה</w:t>
      </w:r>
      <w:r w:rsidRPr="00D16BB6">
        <w:rPr>
          <w:rFonts w:hint="cs"/>
          <w:vanish/>
          <w:rtl/>
        </w:rPr>
        <w:t>&lt; &gt;</w:t>
      </w:r>
      <w:r w:rsidRPr="009577B1">
        <w:rPr>
          <w:rStyle w:val="aff4"/>
          <w:rFonts w:hint="cs"/>
          <w:rtl/>
        </w:rPr>
        <w:t>ר"ן על הרי"ף</w:t>
      </w:r>
      <w:r w:rsidRPr="00D16BB6">
        <w:rPr>
          <w:rStyle w:val="aff4"/>
          <w:rFonts w:hint="cs"/>
          <w:vanish/>
          <w:rtl/>
        </w:rPr>
        <w:t>-</w:t>
      </w:r>
      <w:r w:rsidRPr="00D16BB6">
        <w:rPr>
          <w:rStyle w:val="aff4"/>
          <w:rFonts w:hint="cs"/>
          <w:rtl/>
        </w:rPr>
        <w:t xml:space="preserve"> </w:t>
      </w:r>
      <w:r w:rsidRPr="00D16BB6">
        <w:rPr>
          <w:rStyle w:val="af2"/>
          <w:rFonts w:eastAsia="Guttman Hodes" w:hint="cs"/>
          <w:rtl/>
        </w:rPr>
        <w:t>(לב. מדה"ר ד"ה היו, מהדו' "עוז והדר</w:t>
      </w:r>
      <w:r>
        <w:rPr>
          <w:rStyle w:val="af2"/>
          <w:rFonts w:eastAsia="Guttman Hodes" w:hint="cs"/>
          <w:rtl/>
        </w:rPr>
        <w:t>"</w:t>
      </w:r>
      <w:r w:rsidRPr="00D16BB6">
        <w:rPr>
          <w:rStyle w:val="af2"/>
          <w:rFonts w:eastAsia="Guttman Hodes" w:hint="cs"/>
          <w:rtl/>
        </w:rPr>
        <w:t xml:space="preserve"> עמ' פ"ט</w:t>
      </w:r>
      <w:r w:rsidRPr="009577B1">
        <w:rPr>
          <w:rStyle w:val="af2"/>
          <w:rFonts w:eastAsia="Guttman Hodes" w:hint="cs"/>
          <w:rtl/>
        </w:rPr>
        <w:t>)</w:t>
      </w:r>
      <w:r w:rsidRPr="009577B1">
        <w:rPr>
          <w:rFonts w:hint="cs"/>
          <w:vanish/>
          <w:rtl/>
        </w:rPr>
        <w:t>=</w:t>
      </w:r>
      <w:r w:rsidRPr="009577B1">
        <w:rPr>
          <w:rFonts w:hint="cs"/>
          <w:rtl/>
        </w:rPr>
        <w:t xml:space="preserve"> דעיקר ברירה היא בפסולת מתוך אוכל, וכתב</w:t>
      </w:r>
      <w:r w:rsidRPr="00D16BB6">
        <w:rPr>
          <w:rStyle w:val="aff4"/>
          <w:rFonts w:hint="cs"/>
          <w:rtl/>
        </w:rPr>
        <w:t xml:space="preserve"> </w:t>
      </w:r>
      <w:r w:rsidRPr="00CB1AB2">
        <w:rPr>
          <w:rStyle w:val="aff4"/>
          <w:rFonts w:hint="cs"/>
          <w:vanish/>
          <w:rtl/>
        </w:rPr>
        <w:t>-</w:t>
      </w:r>
      <w:r w:rsidRPr="00DA4E7A">
        <w:rPr>
          <w:rStyle w:val="aff4"/>
          <w:rFonts w:hint="cs"/>
          <w:rtl/>
        </w:rPr>
        <w:t>האגלי טל</w:t>
      </w:r>
      <w:r w:rsidRPr="00CB1AB2">
        <w:rPr>
          <w:rStyle w:val="aff4"/>
          <w:rFonts w:hint="cs"/>
          <w:vanish/>
          <w:rtl/>
        </w:rPr>
        <w:t>-</w:t>
      </w:r>
      <w:r>
        <w:rPr>
          <w:rFonts w:hint="cs"/>
          <w:rtl/>
        </w:rPr>
        <w:t xml:space="preserve"> דא"כ בב' מינים שאף בבורר את המין שאינו רוצה בו דחשיב כפסולת, מ"מ אינו עיקר ברירה ולכן דינו כאוכל מתוך פסולת, וכתב </w:t>
      </w:r>
      <w:r w:rsidRPr="00CB1AB2">
        <w:rPr>
          <w:rStyle w:val="aff4"/>
          <w:rFonts w:hint="cs"/>
          <w:vanish/>
          <w:rtl/>
        </w:rPr>
        <w:t>-</w:t>
      </w:r>
      <w:r w:rsidRPr="00DA4E7A">
        <w:rPr>
          <w:rStyle w:val="aff4"/>
          <w:rFonts w:hint="cs"/>
          <w:rtl/>
        </w:rPr>
        <w:t>האגלי טל</w:t>
      </w:r>
      <w:r w:rsidRPr="00CB1AB2">
        <w:rPr>
          <w:rStyle w:val="aff4"/>
          <w:rFonts w:hint="cs"/>
          <w:vanish/>
          <w:rtl/>
        </w:rPr>
        <w:t>-</w:t>
      </w:r>
      <w:r>
        <w:rPr>
          <w:rFonts w:hint="cs"/>
          <w:rtl/>
        </w:rPr>
        <w:t xml:space="preserve"> דנראה </w:t>
      </w:r>
      <w:r w:rsidRPr="00CB1AB2">
        <w:rPr>
          <w:rStyle w:val="aff4"/>
          <w:rFonts w:hint="cs"/>
          <w:vanish/>
          <w:rtl/>
        </w:rPr>
        <w:t>-</w:t>
      </w:r>
      <w:r w:rsidRPr="00DA4E7A">
        <w:rPr>
          <w:rStyle w:val="aff4"/>
          <w:rFonts w:hint="cs"/>
          <w:rtl/>
        </w:rPr>
        <w:t>דהמ"מ</w:t>
      </w:r>
      <w:r w:rsidRPr="00CB1AB2">
        <w:rPr>
          <w:rStyle w:val="aff4"/>
          <w:rFonts w:hint="cs"/>
          <w:vanish/>
          <w:rtl/>
        </w:rPr>
        <w:t>-</w:t>
      </w:r>
      <w:r>
        <w:rPr>
          <w:rFonts w:hint="cs"/>
          <w:rtl/>
        </w:rPr>
        <w:t xml:space="preserve"> ס"ל </w:t>
      </w:r>
      <w:r w:rsidRPr="00CB1AB2">
        <w:rPr>
          <w:rStyle w:val="aff4"/>
          <w:rFonts w:hint="cs"/>
          <w:vanish/>
          <w:rtl/>
        </w:rPr>
        <w:t>-</w:t>
      </w:r>
      <w:r w:rsidRPr="00DA4E7A">
        <w:rPr>
          <w:rStyle w:val="aff4"/>
          <w:rFonts w:hint="cs"/>
          <w:rtl/>
        </w:rPr>
        <w:t>כרש"י</w:t>
      </w:r>
      <w:r w:rsidRPr="00CB1AB2">
        <w:rPr>
          <w:rStyle w:val="aff4"/>
          <w:rFonts w:hint="cs"/>
          <w:vanish/>
          <w:rtl/>
        </w:rPr>
        <w:t>-</w:t>
      </w:r>
      <w:r>
        <w:rPr>
          <w:rFonts w:hint="cs"/>
          <w:rtl/>
        </w:rPr>
        <w:t xml:space="preserve"> </w:t>
      </w:r>
      <w:r w:rsidRPr="00D16BB6">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Ref137583936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א)</w:t>
      </w:r>
      <w:r>
        <w:rPr>
          <w:rStyle w:val="af2"/>
          <w:rFonts w:eastAsia="Guttman Hodes"/>
          <w:rtl/>
        </w:rPr>
        <w:fldChar w:fldCharType="end"/>
      </w:r>
      <w:r>
        <w:rPr>
          <w:rFonts w:hint="cs"/>
          <w:rtl/>
        </w:rPr>
        <w:t xml:space="preserve"> דל"ג</w:t>
      </w:r>
      <w:r w:rsidRPr="005E26FA">
        <w:rPr>
          <w:rFonts w:hint="cs"/>
          <w:rtl/>
        </w:rPr>
        <w:t xml:space="preserve"> </w:t>
      </w:r>
      <w:r>
        <w:rPr>
          <w:rFonts w:hint="cs"/>
          <w:rtl/>
        </w:rPr>
        <w:t xml:space="preserve">בברייתא "שני" מיני אוכלין, אבל ברב ירמיה גרסי' "שני" מיני אוכלין כגירסא דלפנינו, ולכן ס"ל דשייכא ברירה אף בב' מינים כדמוכח מרב ירמיה, אך מדלא חילק רב ירמיה אם בורר את המין שרוצה או לא, מוכח דס"ל דבב' מינים הוא כאוכל מתוך פסולת דבקנון ותמחוי פטור וממילא ביד מותר לגמרי, וכמבואר מדברי </w:t>
      </w:r>
      <w:r w:rsidRPr="00CB1AB2">
        <w:rPr>
          <w:rStyle w:val="aff4"/>
          <w:rFonts w:hint="cs"/>
          <w:vanish/>
          <w:rtl/>
        </w:rPr>
        <w:t>-</w:t>
      </w:r>
      <w:r w:rsidRPr="00DA4E7A">
        <w:rPr>
          <w:rStyle w:val="aff4"/>
          <w:rFonts w:hint="cs"/>
          <w:rtl/>
        </w:rPr>
        <w:t>הקרית ספר</w:t>
      </w:r>
      <w:r w:rsidRPr="00CB1AB2">
        <w:rPr>
          <w:rStyle w:val="aff4"/>
          <w:rFonts w:hint="cs"/>
          <w:vanish/>
          <w:rtl/>
        </w:rPr>
        <w:t>-</w:t>
      </w:r>
      <w:r>
        <w:rPr>
          <w:rFonts w:hint="cs"/>
          <w:rtl/>
        </w:rPr>
        <w:t>.</w:t>
      </w:r>
      <w:bookmarkEnd w:id="2336"/>
    </w:p>
    <w:p w14:paraId="36A87782" w14:textId="77777777" w:rsidR="00592982" w:rsidRPr="00747170" w:rsidRDefault="00592982" w:rsidP="00747170">
      <w:pPr>
        <w:pStyle w:val="a2"/>
        <w:rPr>
          <w:rtl/>
        </w:rPr>
      </w:pPr>
      <w:r w:rsidRPr="00747170">
        <w:rPr>
          <w:rtl/>
        </w:rPr>
        <w:t>ונראה שהי' גרסתו בברייתא היו לפניו מיני אוכלין. ובדר' ירמי' שני מיני אוכלין וכמו שהוא בגמרא שלפנינו. וע"כ בשני מיני אוכלין שייך ברירה מהא דר' ירמי' אך מדפטר בקנון ותמחוי ולא חילק בין אם בורר המין שחפץ לאכול או אותו שאינו חפץ לאכול. ש"מ דס"ל דבשני מיני אוכלין אפי' בירר אותו שאינו חפץ לאכול בקנון ותמחוי פטור. ודינו כאוכל מתוך פסולת. ממילא דביד מותר. וטעם הדבר יש לומר דס"ל דטעם החילוק בין אוכל מתוך פסולת ובין פסולת מתוך אוכל כמ"ש הר"ן משום דעיקר ברירה הוא פסולת מתוך האוכל. ושני מיני אוכלין לעולם לאו עיקר ברירה הוא:</w:t>
      </w:r>
    </w:p>
    <w:p w14:paraId="77FD9203" w14:textId="757F92DB" w:rsidR="00592982" w:rsidRDefault="00592982" w:rsidP="00592982">
      <w:pPr>
        <w:pStyle w:val="afffff7"/>
        <w:rPr>
          <w:rtl/>
        </w:rPr>
      </w:pPr>
      <w:bookmarkStart w:id="2337" w:name="_Toc137742045"/>
      <w:bookmarkStart w:id="2338" w:name="_Toc163505812"/>
      <w:r>
        <w:rPr>
          <w:rtl/>
        </w:rPr>
        <w:t xml:space="preserve">אגלי טל בורר </w:t>
      </w:r>
      <w:r>
        <w:rPr>
          <w:rFonts w:hint="cs"/>
          <w:rtl/>
        </w:rPr>
        <w:t>סק</w:t>
      </w:r>
      <w:r>
        <w:rPr>
          <w:rtl/>
        </w:rPr>
        <w:t>ט</w:t>
      </w:r>
      <w:r>
        <w:rPr>
          <w:rFonts w:hint="cs"/>
          <w:rtl/>
        </w:rPr>
        <w:t>"</w:t>
      </w:r>
      <w:r>
        <w:rPr>
          <w:rtl/>
        </w:rPr>
        <w:t>ו</w:t>
      </w:r>
      <w:r>
        <w:rPr>
          <w:rFonts w:hint="cs"/>
          <w:rtl/>
        </w:rPr>
        <w:t xml:space="preserve"> אות ב'</w:t>
      </w:r>
      <w:bookmarkEnd w:id="2337"/>
      <w:bookmarkEnd w:id="2338"/>
    </w:p>
    <w:p w14:paraId="55D76A7C" w14:textId="77777777" w:rsidR="00592982" w:rsidRDefault="00592982" w:rsidP="00592982">
      <w:pPr>
        <w:pStyle w:val="a7"/>
        <w:rPr>
          <w:rtl/>
        </w:rPr>
      </w:pPr>
      <w:bookmarkStart w:id="2339" w:name="_Toc137741960"/>
      <w:r>
        <w:rPr>
          <w:rFonts w:hint="cs"/>
          <w:rtl/>
        </w:rPr>
        <w:t>בי' האגל"ט בתוספתא דבבורר ב' מינים לאלתר א' לעצמו והב' לאורחין חייב דמתקן את שניהם</w:t>
      </w:r>
      <w:bookmarkEnd w:id="2339"/>
    </w:p>
    <w:p w14:paraId="441CF861" w14:textId="61A7F9C7" w:rsidR="00592982" w:rsidRDefault="00592982" w:rsidP="00BC7DC8">
      <w:pPr>
        <w:pStyle w:val="a3"/>
      </w:pPr>
      <w:bookmarkStart w:id="2340" w:name="_Ref136856295"/>
      <w:r>
        <w:rPr>
          <w:rFonts w:hint="cs"/>
          <w:rtl/>
        </w:rPr>
        <w:t xml:space="preserve">והביא </w:t>
      </w:r>
      <w:r w:rsidRPr="00C035F3">
        <w:rPr>
          <w:rStyle w:val="aff4"/>
          <w:rFonts w:hint="cs"/>
          <w:vanish/>
          <w:rtl/>
        </w:rPr>
        <w:t>-</w:t>
      </w:r>
      <w:r w:rsidRPr="003C7969">
        <w:rPr>
          <w:rStyle w:val="aff4"/>
          <w:rFonts w:hint="cs"/>
          <w:rtl/>
        </w:rPr>
        <w:t>ה</w:t>
      </w:r>
      <w:r w:rsidRPr="002B2493">
        <w:rPr>
          <w:rStyle w:val="aff4"/>
          <w:rFonts w:hint="cs"/>
          <w:vanish/>
          <w:rtl/>
        </w:rPr>
        <w:t xml:space="preserve">&lt;. </w:t>
      </w:r>
      <w:r w:rsidRPr="002B2493">
        <w:rPr>
          <w:rStyle w:val="aff4"/>
          <w:vanish/>
          <w:rtl/>
        </w:rPr>
        <w:fldChar w:fldCharType="begin"/>
      </w:r>
      <w:r w:rsidRPr="002B2493">
        <w:rPr>
          <w:rStyle w:val="aff4"/>
          <w:vanish/>
          <w:rtl/>
        </w:rPr>
        <w:instrText xml:space="preserve"> </w:instrText>
      </w:r>
      <w:r w:rsidRPr="002B2493">
        <w:rPr>
          <w:rStyle w:val="aff4"/>
          <w:rFonts w:hint="cs"/>
          <w:vanish/>
        </w:rPr>
        <w:instrText>REF</w:instrText>
      </w:r>
      <w:r w:rsidRPr="002B2493">
        <w:rPr>
          <w:rStyle w:val="aff4"/>
          <w:rFonts w:hint="cs"/>
          <w:vanish/>
          <w:rtl/>
        </w:rPr>
        <w:instrText xml:space="preserve"> _</w:instrText>
      </w:r>
      <w:r w:rsidRPr="002B2493">
        <w:rPr>
          <w:rStyle w:val="aff4"/>
          <w:rFonts w:hint="cs"/>
          <w:vanish/>
        </w:rPr>
        <w:instrText>Ref136856295 \r \h</w:instrText>
      </w:r>
      <w:r w:rsidRPr="002B2493">
        <w:rPr>
          <w:rStyle w:val="aff4"/>
          <w:vanish/>
          <w:rtl/>
        </w:rPr>
        <w:instrText xml:space="preserve"> </w:instrText>
      </w:r>
      <w:r w:rsidRPr="002B2493">
        <w:rPr>
          <w:rStyle w:val="aff4"/>
          <w:vanish/>
          <w:rtl/>
        </w:rPr>
      </w:r>
      <w:r w:rsidRPr="002B2493">
        <w:rPr>
          <w:rStyle w:val="aff4"/>
          <w:vanish/>
          <w:rtl/>
        </w:rPr>
        <w:fldChar w:fldCharType="separate"/>
      </w:r>
      <w:r w:rsidR="00D82181">
        <w:rPr>
          <w:rStyle w:val="aff4"/>
          <w:vanish/>
          <w:cs/>
        </w:rPr>
        <w:t>‎</w:t>
      </w:r>
      <w:r w:rsidR="00D82181">
        <w:rPr>
          <w:rStyle w:val="aff4"/>
          <w:vanish/>
          <w:rtl/>
        </w:rPr>
        <w:t>לג)</w:t>
      </w:r>
      <w:r w:rsidRPr="002B2493">
        <w:rPr>
          <w:rStyle w:val="aff4"/>
          <w:vanish/>
          <w:rtl/>
        </w:rPr>
        <w:fldChar w:fldCharType="end"/>
      </w:r>
      <w:r w:rsidRPr="002B2493">
        <w:rPr>
          <w:rStyle w:val="aff4"/>
          <w:rFonts w:hint="cs"/>
          <w:vanish/>
          <w:rtl/>
        </w:rPr>
        <w:t xml:space="preserve"> &gt;</w:t>
      </w:r>
      <w:r w:rsidRPr="003C7969">
        <w:rPr>
          <w:rStyle w:val="aff4"/>
          <w:rFonts w:hint="cs"/>
          <w:rtl/>
        </w:rPr>
        <w:t>אגלי טל</w:t>
      </w:r>
      <w:r w:rsidRPr="00C035F3">
        <w:rPr>
          <w:rStyle w:val="aff4"/>
          <w:rFonts w:hint="cs"/>
          <w:vanish/>
          <w:rtl/>
        </w:rPr>
        <w:t>-</w:t>
      </w:r>
      <w:r>
        <w:rPr>
          <w:rFonts w:hint="cs"/>
          <w:rtl/>
        </w:rPr>
        <w:t xml:space="preserve"> </w:t>
      </w:r>
      <w:r w:rsidRPr="00D16BB6">
        <w:rPr>
          <w:rStyle w:val="af2"/>
          <w:rFonts w:eastAsia="Guttman Hodes" w:hint="cs"/>
          <w:rtl/>
        </w:rPr>
        <w:t>(בורר סקט"ו אות ב')</w:t>
      </w:r>
      <w:r w:rsidRPr="00C035F3">
        <w:rPr>
          <w:rFonts w:hint="cs"/>
          <w:vanish/>
          <w:rtl/>
        </w:rPr>
        <w:t>=</w:t>
      </w:r>
      <w:r>
        <w:rPr>
          <w:rFonts w:hint="cs"/>
          <w:rtl/>
        </w:rPr>
        <w:t xml:space="preserve"> דתניא בתוספתא </w:t>
      </w:r>
      <w:r w:rsidRPr="00D16BB6">
        <w:rPr>
          <w:rStyle w:val="af2"/>
          <w:rFonts w:eastAsia="Guttman Hodes" w:hint="cs"/>
          <w:rtl/>
        </w:rPr>
        <w:t>(פי"ז ה"ז)</w:t>
      </w:r>
      <w:r>
        <w:rPr>
          <w:rFonts w:hint="cs"/>
          <w:rtl/>
        </w:rPr>
        <w:t xml:space="preserve"> דפירות שנתערבו מותר לברור ולאכול, ואם בירר כל מין בפנ"ע חייב, ומבואר דבב' מינים הבורר מין אחד כדי לאכול מהמין השני אף לאלתר חייב, וכתב </w:t>
      </w:r>
      <w:r w:rsidRPr="00C035F3">
        <w:rPr>
          <w:rStyle w:val="aff4"/>
          <w:rFonts w:hint="cs"/>
          <w:vanish/>
          <w:rtl/>
        </w:rPr>
        <w:t>-</w:t>
      </w:r>
      <w:r w:rsidRPr="003C7969">
        <w:rPr>
          <w:rStyle w:val="aff4"/>
          <w:rFonts w:hint="cs"/>
          <w:rtl/>
        </w:rPr>
        <w:t>האגלי טל</w:t>
      </w:r>
      <w:r w:rsidRPr="00C035F3">
        <w:rPr>
          <w:rStyle w:val="aff4"/>
          <w:rFonts w:hint="cs"/>
          <w:vanish/>
          <w:rtl/>
        </w:rPr>
        <w:t>-</w:t>
      </w:r>
      <w:r>
        <w:rPr>
          <w:rFonts w:hint="cs"/>
          <w:rtl/>
        </w:rPr>
        <w:t xml:space="preserve"> דהירושלמי </w:t>
      </w:r>
      <w:r w:rsidRPr="00D16BB6">
        <w:rPr>
          <w:rStyle w:val="af2"/>
          <w:rFonts w:eastAsia="Guttman Hodes" w:hint="cs"/>
          <w:rtl/>
        </w:rPr>
        <w:t>(פ"ז ה"ב מט:)</w:t>
      </w:r>
      <w:r>
        <w:rPr>
          <w:rFonts w:hint="cs"/>
          <w:rtl/>
        </w:rPr>
        <w:t xml:space="preserve"> שינה את לשון התוספתא וכתב דכשבירר מין אחד לגמרי חייב, כיון דס"ל להירושלמי דאף בבורר את המין שאינו רוצה בו חייב, דעי"ז ממילא מתברר גם המין השני,</w:t>
      </w:r>
      <w:r w:rsidRPr="00FC2C86">
        <w:rPr>
          <w:rFonts w:hint="cs"/>
          <w:rtl/>
        </w:rPr>
        <w:t xml:space="preserve"> </w:t>
      </w:r>
      <w:r w:rsidRPr="00D16BB6">
        <w:rPr>
          <w:rStyle w:val="af"/>
          <w:rFonts w:hint="cs"/>
          <w:rtl/>
        </w:rPr>
        <w:t xml:space="preserve">[וכדביאר </w:t>
      </w:r>
      <w:r w:rsidRPr="00D16BB6">
        <w:rPr>
          <w:rStyle w:val="aff9"/>
          <w:rFonts w:hint="cs"/>
          <w:vanish/>
          <w:rtl/>
        </w:rPr>
        <w:t>-</w:t>
      </w:r>
      <w:r w:rsidRPr="00D16BB6">
        <w:rPr>
          <w:rStyle w:val="aff9"/>
          <w:rFonts w:hint="cs"/>
          <w:rtl/>
        </w:rPr>
        <w:t>האגלי טל</w:t>
      </w:r>
      <w:r w:rsidRPr="00D16BB6">
        <w:rPr>
          <w:rStyle w:val="aff9"/>
          <w:rFonts w:hint="cs"/>
          <w:vanish/>
          <w:rtl/>
        </w:rPr>
        <w:t>-</w:t>
      </w:r>
      <w:r w:rsidRPr="00D16BB6">
        <w:rPr>
          <w:rStyle w:val="af"/>
          <w:rFonts w:hint="cs"/>
          <w:rtl/>
        </w:rPr>
        <w:t xml:space="preserve"> </w:t>
      </w:r>
      <w:r w:rsidRPr="00D16BB6">
        <w:rPr>
          <w:rStyle w:val="aff0"/>
          <w:rFonts w:hint="cs"/>
          <w:rtl/>
        </w:rPr>
        <w:t>(עי' אות</w:t>
      </w:r>
      <w:r>
        <w:rPr>
          <w:rStyle w:val="aff0"/>
          <w:rFonts w:hint="cs"/>
          <w:rtl/>
        </w:rPr>
        <w:t xml:space="preserve">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Ref136982955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כח)</w:t>
      </w:r>
      <w:r>
        <w:rPr>
          <w:rStyle w:val="aff0"/>
          <w:rtl/>
        </w:rPr>
        <w:fldChar w:fldCharType="end"/>
      </w:r>
      <w:r w:rsidRPr="00D16BB6">
        <w:rPr>
          <w:rStyle w:val="aff0"/>
          <w:rFonts w:hint="cs"/>
          <w:rtl/>
        </w:rPr>
        <w:t xml:space="preserve"> </w:t>
      </w:r>
      <w:r w:rsidRPr="00D16BB6">
        <w:rPr>
          <w:rStyle w:val="af"/>
          <w:rFonts w:hint="cs"/>
          <w:rtl/>
        </w:rPr>
        <w:t>דהירושלמי לשיטתו]</w:t>
      </w:r>
      <w:r w:rsidRPr="002650B4">
        <w:rPr>
          <w:rStyle w:val="af"/>
          <w:rFonts w:hint="cs"/>
          <w:rtl/>
        </w:rPr>
        <w:t>,</w:t>
      </w:r>
      <w:r w:rsidRPr="00151E4B">
        <w:rPr>
          <w:rFonts w:hint="cs"/>
          <w:bCs/>
          <w:rtl/>
        </w:rPr>
        <w:t xml:space="preserve"> </w:t>
      </w:r>
      <w:r>
        <w:rPr>
          <w:rFonts w:hint="cs"/>
          <w:rtl/>
        </w:rPr>
        <w:t xml:space="preserve">וכתב </w:t>
      </w:r>
      <w:r w:rsidRPr="00C035F3">
        <w:rPr>
          <w:rStyle w:val="aff4"/>
          <w:rFonts w:hint="cs"/>
          <w:vanish/>
          <w:rtl/>
        </w:rPr>
        <w:t>-</w:t>
      </w:r>
      <w:r w:rsidRPr="003C7969">
        <w:rPr>
          <w:rStyle w:val="aff4"/>
          <w:rFonts w:hint="cs"/>
          <w:rtl/>
        </w:rPr>
        <w:t>האגלי טל</w:t>
      </w:r>
      <w:r w:rsidRPr="00C035F3">
        <w:rPr>
          <w:rStyle w:val="aff4"/>
          <w:rFonts w:hint="cs"/>
          <w:vanish/>
          <w:rtl/>
        </w:rPr>
        <w:t>-</w:t>
      </w:r>
      <w:r>
        <w:rPr>
          <w:rFonts w:hint="cs"/>
          <w:rtl/>
        </w:rPr>
        <w:t xml:space="preserve"> דמדחייבה התוספתא רק כשבירר את שניהם מוכח דאיירי בבורר לאלתר דאי במניח אף כשבירר מין אחד חייב, </w:t>
      </w:r>
      <w:r w:rsidRPr="00D16BB6">
        <w:rPr>
          <w:rStyle w:val="af"/>
          <w:rFonts w:hint="cs"/>
          <w:rtl/>
        </w:rPr>
        <w:t>[ואף אם נטל מב' המינים ומה שהניח היה רק ממין אחד ג"כ חייב]</w:t>
      </w:r>
      <w:r w:rsidRPr="002650B4">
        <w:rPr>
          <w:rStyle w:val="af"/>
          <w:rFonts w:hint="cs"/>
          <w:rtl/>
        </w:rPr>
        <w:t>,</w:t>
      </w:r>
      <w:r>
        <w:rPr>
          <w:rFonts w:hint="cs"/>
          <w:rtl/>
        </w:rPr>
        <w:t xml:space="preserve"> ומבואר דבבירר את שניהם חייב אף כשרוצה מין אחד לעצמו, ואת השני לאורחין לאלתר, וביאר </w:t>
      </w:r>
      <w:r w:rsidRPr="00C035F3">
        <w:rPr>
          <w:rStyle w:val="aff4"/>
          <w:rFonts w:hint="cs"/>
          <w:vanish/>
          <w:rtl/>
        </w:rPr>
        <w:t>-</w:t>
      </w:r>
      <w:r w:rsidRPr="003C7969">
        <w:rPr>
          <w:rStyle w:val="aff4"/>
          <w:rFonts w:hint="cs"/>
          <w:rtl/>
        </w:rPr>
        <w:t>האגלי טל</w:t>
      </w:r>
      <w:r w:rsidRPr="00C035F3">
        <w:rPr>
          <w:rStyle w:val="aff4"/>
          <w:rFonts w:hint="cs"/>
          <w:vanish/>
          <w:rtl/>
        </w:rPr>
        <w:t>-</w:t>
      </w:r>
      <w:r>
        <w:rPr>
          <w:rFonts w:hint="cs"/>
          <w:rtl/>
        </w:rPr>
        <w:t xml:space="preserve"> דהמין שאינו רוצה בו חשיב פסולת לגבי המין הראשון, וכיון שהוציא ממנו את הפסולת חייב, ולא מהני מה שאלתר נותן לאורחים את המין שהוציא, דמ"מ המין שרצה בו נעשה מתוקן ע"י שהוציא ממנו את המין דחשיב כפסולת. </w:t>
      </w:r>
      <w:r w:rsidRPr="00D16BB6">
        <w:rPr>
          <w:rStyle w:val="af"/>
          <w:rFonts w:hint="cs"/>
          <w:rtl/>
        </w:rPr>
        <w:t xml:space="preserve">[וכתב </w:t>
      </w:r>
      <w:r w:rsidRPr="00D16BB6">
        <w:rPr>
          <w:rStyle w:val="aff9"/>
          <w:rFonts w:hint="cs"/>
          <w:vanish/>
          <w:rtl/>
        </w:rPr>
        <w:t>-</w:t>
      </w:r>
      <w:r w:rsidRPr="00D16BB6">
        <w:rPr>
          <w:rStyle w:val="aff9"/>
          <w:rFonts w:hint="cs"/>
          <w:rtl/>
        </w:rPr>
        <w:t>האגלי טל</w:t>
      </w:r>
      <w:r w:rsidRPr="00D16BB6">
        <w:rPr>
          <w:rStyle w:val="aff9"/>
          <w:rFonts w:hint="cs"/>
          <w:vanish/>
          <w:rtl/>
        </w:rPr>
        <w:t>-</w:t>
      </w:r>
      <w:r w:rsidRPr="00D16BB6">
        <w:rPr>
          <w:rStyle w:val="af"/>
          <w:rFonts w:hint="cs"/>
          <w:rtl/>
        </w:rPr>
        <w:t xml:space="preserve"> דא"כ החיוב הוא רק כשבירר כל מין בפנ"ע, אבל אם נטל מב' המינים והניח רק מין אחד, א"א לומר דהוציא רק פסולת ואי"ז בורר לתוספתא]</w:t>
      </w:r>
      <w:r w:rsidRPr="002650B4">
        <w:rPr>
          <w:rStyle w:val="af"/>
          <w:rFonts w:hint="cs"/>
          <w:rtl/>
        </w:rPr>
        <w:t>.</w:t>
      </w:r>
      <w:bookmarkEnd w:id="2340"/>
    </w:p>
    <w:p w14:paraId="26717935" w14:textId="77777777" w:rsidR="00592982" w:rsidRPr="00747170" w:rsidRDefault="00592982" w:rsidP="00747170">
      <w:pPr>
        <w:pStyle w:val="a2"/>
        <w:rPr>
          <w:rtl/>
        </w:rPr>
      </w:pPr>
      <w:r w:rsidRPr="00747170">
        <w:rPr>
          <w:rtl/>
        </w:rPr>
        <w:t>(ב) אך נראה להביא ראי' מתוספתא פי"ז דשבת דבורר מין אחד מחבירו כדי לאכול מין השני לאלתר חייב. והכי איתא התם נתערבו לו פירות בפירות בורר ואוכל בורר ומניח על השלחן בורר ומשליך לפני בהמתו. ואם בירר אלו בפ"ע ואלו בפ"ע או שליקט עפר וצרורות מתוכן חייב עכ"ל. והנה בירושלמי פ' כלל גדול [מט ב] הביא התוספתא זו דבורר ואוכל בורר ומניח על השלחן. ובמקום סיפא דתוספתא דאם בירר אלו בפני עצמן ואלו בפני עצמן כתב בירושלמי ובלבד שלא יבור את כל המין. ופי' בקרבן עדה משום דניכר הברירה במין הנשאר. והיינו סיפא דתוספתא דבירר אלו בפני עצמן ואלו בפני עצמן. ומה שהירושלמי שינה לשון התוספתא נראה לי משום דהתוספתא אינה מחייבת אלא ברוצה בברירת שניהם. ע"כ אמרה בירר אלו בפ"ע ואלו בפ"ע. דהמשמעות הוא שנתכוין בברירת שניהם. אבל הירושלמי שסובר דאפי' על מין שאינו חפץ בברירתו חייב כמו שכתבנו בביאורנו למלאכת זורה סק"א אות ז' דהירושלמי אזיל בזה לשיטתו. ע"כ אמר ובלבד שלא יבור את כל המין דממילא נברר מין השני ואף שלא נתכוין לו חייב. והנה מדברי הירושלמי דובלבד וכו' נלמד פי' התוספתא דהאי בירר אלו בפ"ע ואלו בפ"ע קאי ארישא דבזה אפי' בורר ואוכל חייב. ונראה לי דלהתוספתא אפי' רוצה גם במין השני להאכיל לאלתר לאורחים אחרים חייב. דאי נימא דהתוספתא מיירי כשהמין השני רוצה להניח לאוצר או לבו ביום למה לי למימר בירר אלו ואלו הלוא אין החיוב תלוי רק בברירת מין הב' שאינו חפץ לאכול לאלתר. ואפי' יקח מאלו ומאלו יחד מעורבים רק ששייר מין הב' מבורר נמי חייב. אלא ודאי דהתוספתא מיירי דגם מין הב' בירר לאכול לאלתר. והחיוב הוא משום דמין הא' לגבי הב' חשוב פסולת מחמת שהמין השני מתתקן בברירת מין הראשון ממנו. והו"ל כבורר פסולת מתוך האוכל וחייב על המין שבירר בידיו. ומה שאוכל המין שבירר בידיו לא מהני להתיר כיון שיש תיקון במין השני. וכעין שכתבנו לעיל ס"ק י"ד גבי ברירת תורמסין עי"ש היטב. וא"כ כיון שאין חיוב רק על מין שבירר בידיו משום דהו"ל כבורר פסולת מתוך אוכל. ע"כ דוקא בירר אלו ואלו חייב אבל אם מאלו ואלו יחדיו כשהן מעורבין ושייר מין השני מבורר פטור כיון שלא בירר רק מין השני שאוכלו לאלתר. ועיין בביאורנו למלאכת זורה סק"א אות ח':</w:t>
      </w:r>
    </w:p>
    <w:p w14:paraId="6A43A32B" w14:textId="31439EBB" w:rsidR="00592982" w:rsidRDefault="00592982" w:rsidP="00592982">
      <w:pPr>
        <w:pStyle w:val="afffff7"/>
        <w:rPr>
          <w:rtl/>
        </w:rPr>
      </w:pPr>
      <w:bookmarkStart w:id="2341" w:name="_Toc137742046"/>
      <w:bookmarkStart w:id="2342" w:name="_Toc163505813"/>
      <w:r>
        <w:rPr>
          <w:rtl/>
        </w:rPr>
        <w:t xml:space="preserve">אגלי טל בורר </w:t>
      </w:r>
      <w:r>
        <w:rPr>
          <w:rFonts w:hint="cs"/>
          <w:rtl/>
        </w:rPr>
        <w:t>סק</w:t>
      </w:r>
      <w:r>
        <w:rPr>
          <w:rtl/>
        </w:rPr>
        <w:t>ט</w:t>
      </w:r>
      <w:r>
        <w:rPr>
          <w:rFonts w:hint="cs"/>
          <w:rtl/>
        </w:rPr>
        <w:t>"</w:t>
      </w:r>
      <w:r>
        <w:rPr>
          <w:rtl/>
        </w:rPr>
        <w:t>ו</w:t>
      </w:r>
      <w:r>
        <w:rPr>
          <w:rFonts w:hint="cs"/>
          <w:rtl/>
        </w:rPr>
        <w:t xml:space="preserve"> אות ג'</w:t>
      </w:r>
      <w:bookmarkEnd w:id="2341"/>
      <w:bookmarkEnd w:id="2342"/>
    </w:p>
    <w:p w14:paraId="3FD79C50" w14:textId="77777777" w:rsidR="00592982" w:rsidRDefault="00592982" w:rsidP="00592982">
      <w:pPr>
        <w:pStyle w:val="a7"/>
        <w:rPr>
          <w:rtl/>
        </w:rPr>
      </w:pPr>
      <w:bookmarkStart w:id="2343" w:name="_Toc137741961"/>
      <w:r>
        <w:rPr>
          <w:rFonts w:hint="cs"/>
          <w:rtl/>
        </w:rPr>
        <w:t>בי' האגל"ט בירו' דבורר בתיקון האוכל ובב' מינים לאלתר ל"ה תיקון ולתוספ' בורר לגמרי מתקן</w:t>
      </w:r>
      <w:bookmarkEnd w:id="2343"/>
    </w:p>
    <w:p w14:paraId="4D946DEC" w14:textId="46DD3AFF" w:rsidR="00592982" w:rsidRDefault="00592982" w:rsidP="00BC7DC8">
      <w:pPr>
        <w:pStyle w:val="a3"/>
        <w:rPr>
          <w:rtl/>
        </w:rPr>
      </w:pPr>
      <w:bookmarkStart w:id="2344" w:name="_Ref137675480"/>
      <w:r>
        <w:rPr>
          <w:rFonts w:hint="cs"/>
          <w:rtl/>
        </w:rPr>
        <w:t xml:space="preserve">וכתב </w:t>
      </w:r>
      <w:r w:rsidRPr="00C035F3">
        <w:rPr>
          <w:rStyle w:val="aff4"/>
          <w:rFonts w:hint="cs"/>
          <w:vanish/>
          <w:rtl/>
        </w:rPr>
        <w:t>-</w:t>
      </w:r>
      <w:r w:rsidRPr="003C7969">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Ref137675480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לד)</w:t>
      </w:r>
      <w:r>
        <w:rPr>
          <w:rStyle w:val="aff4"/>
          <w:vanish/>
          <w:rtl/>
        </w:rPr>
        <w:fldChar w:fldCharType="end"/>
      </w:r>
      <w:r>
        <w:rPr>
          <w:rStyle w:val="aff4"/>
          <w:rFonts w:hint="cs"/>
          <w:vanish/>
          <w:rtl/>
        </w:rPr>
        <w:t xml:space="preserve"> &gt;</w:t>
      </w:r>
      <w:r w:rsidRPr="003C7969">
        <w:rPr>
          <w:rStyle w:val="aff4"/>
          <w:rFonts w:hint="cs"/>
          <w:rtl/>
        </w:rPr>
        <w:t>אגלי טל</w:t>
      </w:r>
      <w:r w:rsidRPr="00C035F3">
        <w:rPr>
          <w:rStyle w:val="aff4"/>
          <w:rFonts w:hint="cs"/>
          <w:vanish/>
          <w:rtl/>
        </w:rPr>
        <w:t>-</w:t>
      </w:r>
      <w:r>
        <w:rPr>
          <w:rFonts w:hint="cs"/>
          <w:rtl/>
        </w:rPr>
        <w:t xml:space="preserve"> </w:t>
      </w:r>
      <w:r w:rsidRPr="00A878F5">
        <w:rPr>
          <w:rStyle w:val="af2"/>
          <w:rFonts w:eastAsia="Guttman Hodes" w:hint="cs"/>
          <w:rtl/>
        </w:rPr>
        <w:t>(בורר סקט"ו אות ג')</w:t>
      </w:r>
      <w:r w:rsidRPr="00C035F3">
        <w:rPr>
          <w:rFonts w:hint="cs"/>
          <w:vanish/>
          <w:rtl/>
        </w:rPr>
        <w:t>=</w:t>
      </w:r>
      <w:r>
        <w:rPr>
          <w:rFonts w:hint="cs"/>
          <w:rtl/>
        </w:rPr>
        <w:t xml:space="preserve"> דעוד אפשר לבאר דכיון דלדעת הירושלמי המלאכה בבורר היא בתיקון האוכל ולא בהוצאת הפסולת, </w:t>
      </w:r>
      <w:r w:rsidRPr="00415D2D">
        <w:rPr>
          <w:rStyle w:val="af"/>
          <w:rFonts w:hint="cs"/>
          <w:rtl/>
        </w:rPr>
        <w:t xml:space="preserve">[כדביאר </w:t>
      </w:r>
      <w:r w:rsidRPr="00415D2D">
        <w:rPr>
          <w:rStyle w:val="aff9"/>
          <w:rFonts w:hint="cs"/>
          <w:vanish/>
          <w:rtl/>
        </w:rPr>
        <w:t>-</w:t>
      </w:r>
      <w:r w:rsidRPr="00415D2D">
        <w:rPr>
          <w:rStyle w:val="aff9"/>
          <w:rFonts w:hint="cs"/>
          <w:rtl/>
        </w:rPr>
        <w:t>האגלי טל</w:t>
      </w:r>
      <w:r w:rsidRPr="00415D2D">
        <w:rPr>
          <w:rStyle w:val="aff9"/>
          <w:rFonts w:hint="cs"/>
          <w:vanish/>
          <w:rtl/>
        </w:rPr>
        <w:t>-</w:t>
      </w:r>
      <w:r w:rsidRPr="00415D2D">
        <w:rPr>
          <w:rStyle w:val="af"/>
          <w:rFonts w:hint="cs"/>
          <w:rtl/>
        </w:rPr>
        <w:t xml:space="preserve"> </w:t>
      </w:r>
      <w:r w:rsidRPr="00415D2D">
        <w:rPr>
          <w:rStyle w:val="aff0"/>
          <w:rFonts w:hint="cs"/>
          <w:rtl/>
        </w:rPr>
        <w:t>(</w:t>
      </w:r>
      <w:r w:rsidRPr="00415D2D">
        <w:rPr>
          <w:rStyle w:val="aff0"/>
          <w:rtl/>
        </w:rPr>
        <w:t>זורה סק"א אות ד'</w:t>
      </w:r>
      <w:r w:rsidRPr="00415D2D">
        <w:rPr>
          <w:rStyle w:val="aff0"/>
          <w:rFonts w:hint="cs"/>
          <w:rtl/>
        </w:rPr>
        <w:t>, הובא בסימן ה' אות ל"ג</w:t>
      </w:r>
      <w:r>
        <w:rPr>
          <w:rStyle w:val="aff0"/>
          <w:rFonts w:hint="cs"/>
          <w:rtl/>
        </w:rPr>
        <w:t>)</w:t>
      </w:r>
      <w:r w:rsidRPr="00415D2D">
        <w:rPr>
          <w:rStyle w:val="af"/>
          <w:rFonts w:hint="cs"/>
          <w:rtl/>
        </w:rPr>
        <w:t xml:space="preserve">], </w:t>
      </w:r>
      <w:r>
        <w:rPr>
          <w:rFonts w:hint="cs"/>
          <w:rtl/>
        </w:rPr>
        <w:t xml:space="preserve">א"כ מותר לברור ב' מינים כדי לתת את השני לאורחים לאלתר, דאי"ז תיקון האוכל מהפסולת, ורק כשבירר מין אחד ע"מ להניח את השני חייב דהוא פסולת מתוך אוכל, אך כתב </w:t>
      </w:r>
      <w:r w:rsidRPr="00C035F3">
        <w:rPr>
          <w:rStyle w:val="aff4"/>
          <w:rFonts w:hint="cs"/>
          <w:vanish/>
          <w:rtl/>
        </w:rPr>
        <w:t>-</w:t>
      </w:r>
      <w:r w:rsidRPr="003C7969">
        <w:rPr>
          <w:rStyle w:val="aff4"/>
          <w:rFonts w:hint="cs"/>
          <w:rtl/>
        </w:rPr>
        <w:t>האגלי טל</w:t>
      </w:r>
      <w:r w:rsidRPr="00C035F3">
        <w:rPr>
          <w:rStyle w:val="aff4"/>
          <w:rFonts w:hint="cs"/>
          <w:vanish/>
          <w:rtl/>
        </w:rPr>
        <w:t>-</w:t>
      </w:r>
      <w:r>
        <w:rPr>
          <w:rFonts w:hint="cs"/>
          <w:rtl/>
        </w:rPr>
        <w:t xml:space="preserve"> דמ"מ משמע בירושלמי דלתוספתא דחייב בבורר את ב' המינים לאלתר היינו דוקא כשבירר כל מין לגמרי בפנ"ע, ולא בהוציא מב' המינים והניח רק ממין אחד דבכה"ג לא חשיב פסולת מתוך אוכל.</w:t>
      </w:r>
      <w:bookmarkEnd w:id="2344"/>
    </w:p>
    <w:p w14:paraId="5249CDCD" w14:textId="77777777" w:rsidR="00592982" w:rsidRPr="00747170" w:rsidRDefault="00592982" w:rsidP="00747170">
      <w:pPr>
        <w:pStyle w:val="a2"/>
      </w:pPr>
      <w:r w:rsidRPr="00747170">
        <w:rPr>
          <w:rtl/>
        </w:rPr>
        <w:t>(ג) ולפמ"ש יש ליתן עוד טעם על מה שהירושלמי משנה לשון התוספתא. דלפי הירושלמי שביארנו בביאור מלאכת זורה סק"א אות ה' דס"ל דבורר פסולת מתוך אוכל המלאכה הוא באוכל המתקנה מהפסולת. אם בירר שני המינים לאכול ולהאכיל אלו בפני עצמן ואלו בפני עצמן לאלתר ודאי מותר. ע"כ נקט ובלבד שלא יבור את כל המין דהמשמעות הוא שאינו מתכוין לברור מין השני כלל ומסתמא אינו אוכלו לאלתר. ומ"מ מדהביא הירושלמי בשם התוספתא ובלבד שלא יבור את כל המין משמע דהא דבוררן אלו לעצמן ואלו לעצמן היינו שבורר כל המין ואל"כ לא נקרא בוררן אלו לעצמן ואלו לעצמן אף שרוצה בברירת שניהם. ואף דבורר מקצת פסולת חייב למאן דסובר דמלאכת בורר היא בפסולת הנדחה מהאוכל דשפיר חשוב תיקון באוכל אף שלא בירר ממנו כל הפסולת ואף שלא בירר האוכל מ"מ הוא ברירה בפסולת. מ"מ בשני מיני אוכלין ורוצה לאכול שניהם בשבת כשאינו בורר כל המין האחד לא חשוב תיקון לגבי מין השני. דאי משום שבורר מקצת מין הראשון מן השני. ומין הראשון חשוב פסולת לגבי השני והרי בירר ממנו מקצת פסולת. הלוא לעומת זה קלקל לגבי מין הראשון הנשאר בשני כיון שהשני חשוב ג"כ פסולת לגבי הראשון הרי במין הראשון ריבה בו פסולת ואי משום שיכול לברר עוד הנשאר ודומה לאורג בגד דאף שארג מקצת ממנו חייב דאין אדם אורג בגד ביום אחד ומתחיל רק כדי קיום וחשוב תיקון מאחר שבידו לגמור. הלוא זה דעתו לאכול שניהם בשבת ולא יבוא לידי בירור לגמרי. ומודינא שאם מ"מ נחשב יותר תיקון אצלו מה שהשני מתברר אף שנשאר אצלו מעט מהמין הראשון ממה שהראשון מתקלקל חייב. אלא שאין הדבר מצוי כלל מטעם הנ"ל. וע"כ הפירוש בירר אלו לעצמן וכו' שבורר כל המין. והנה סיפא דתוספתא או שבירר מתוכו עפר וצרורות חייב. ומהירושלמי מבואר דקאי ארישא דאוכל לאלתר מוכח דפסולת מתוך אוכל לאלתר אסור וקשה על הפוסקים המתירין</w:t>
      </w:r>
      <w:r w:rsidRPr="00747170">
        <w:rPr>
          <w:rFonts w:hint="cs"/>
          <w:rtl/>
        </w:rPr>
        <w:t>.</w:t>
      </w:r>
    </w:p>
    <w:p w14:paraId="74690DDB" w14:textId="3A87347B" w:rsidR="00592982" w:rsidRPr="00D50D3D" w:rsidRDefault="00592982" w:rsidP="00592982">
      <w:pPr>
        <w:pStyle w:val="a7"/>
        <w:rPr>
          <w:rtl/>
        </w:rPr>
      </w:pPr>
      <w:bookmarkStart w:id="2345" w:name="_Toc137741962"/>
      <w:r>
        <w:rPr>
          <w:rFonts w:hint="cs"/>
          <w:rtl/>
        </w:rPr>
        <w:t>בי' האגל"ט במ"מ דהמלאכה באוכל וכרמב"ן דחיוב בורר דלא יאכל מהפסולת ול"ש בב' מינים</w:t>
      </w:r>
      <w:bookmarkEnd w:id="2345"/>
    </w:p>
    <w:p w14:paraId="7D458955" w14:textId="293FE7C8" w:rsidR="00592982" w:rsidRDefault="00592982" w:rsidP="00BC7DC8">
      <w:pPr>
        <w:pStyle w:val="a3"/>
        <w:rPr>
          <w:rtl/>
        </w:rPr>
      </w:pPr>
      <w:bookmarkStart w:id="2346" w:name="_Ref136856346"/>
      <w:r>
        <w:rPr>
          <w:rFonts w:hint="cs"/>
          <w:rtl/>
        </w:rPr>
        <w:t xml:space="preserve">וכתב </w:t>
      </w:r>
      <w:r w:rsidRPr="00C035F3">
        <w:rPr>
          <w:rStyle w:val="aff4"/>
          <w:rFonts w:hint="cs"/>
          <w:vanish/>
          <w:rtl/>
        </w:rPr>
        <w:t>-</w:t>
      </w:r>
      <w:r w:rsidRPr="003C7969">
        <w:rPr>
          <w:rStyle w:val="aff4"/>
          <w:rFonts w:hint="cs"/>
          <w:rtl/>
        </w:rPr>
        <w:t>האגלי טל</w:t>
      </w:r>
      <w:r w:rsidRPr="00C035F3">
        <w:rPr>
          <w:rStyle w:val="aff4"/>
          <w:rFonts w:hint="cs"/>
          <w:vanish/>
          <w:rtl/>
        </w:rPr>
        <w:t>-</w:t>
      </w:r>
      <w:r>
        <w:rPr>
          <w:rFonts w:hint="cs"/>
          <w:rtl/>
        </w:rPr>
        <w:t xml:space="preserve"> דלדעת </w:t>
      </w:r>
      <w:r w:rsidRPr="00C035F3">
        <w:rPr>
          <w:rStyle w:val="aff4"/>
          <w:rFonts w:hint="cs"/>
          <w:vanish/>
          <w:rtl/>
        </w:rPr>
        <w:t>-</w:t>
      </w:r>
      <w:r w:rsidRPr="003C7969">
        <w:rPr>
          <w:rStyle w:val="aff4"/>
          <w:rFonts w:hint="cs"/>
          <w:rtl/>
        </w:rPr>
        <w:t>המ"מ והקרית ספר</w:t>
      </w:r>
      <w:r w:rsidRPr="00C035F3">
        <w:rPr>
          <w:rStyle w:val="aff4"/>
          <w:rFonts w:hint="cs"/>
          <w:vanish/>
          <w:rtl/>
        </w:rPr>
        <w:t>-</w:t>
      </w:r>
      <w:r>
        <w:rPr>
          <w:rFonts w:hint="cs"/>
          <w:rtl/>
        </w:rPr>
        <w:t xml:space="preserve"> </w:t>
      </w:r>
      <w:r w:rsidRPr="00D16BB6">
        <w:rPr>
          <w:rStyle w:val="af2"/>
          <w:rFonts w:eastAsia="Guttman Hodes" w:hint="cs"/>
          <w:rtl/>
        </w:rPr>
        <w:t xml:space="preserve">(עי' אות </w:t>
      </w:r>
      <w:r w:rsidRPr="00D16BB6">
        <w:rPr>
          <w:rStyle w:val="af2"/>
          <w:rFonts w:eastAsia="Guttman Hodes"/>
          <w:rtl/>
        </w:rPr>
        <w:fldChar w:fldCharType="begin"/>
      </w:r>
      <w:r w:rsidRPr="00D16BB6">
        <w:rPr>
          <w:rStyle w:val="af2"/>
          <w:rFonts w:eastAsia="Guttman Hodes"/>
          <w:rtl/>
        </w:rPr>
        <w:instrText xml:space="preserve"> </w:instrText>
      </w:r>
      <w:r w:rsidRPr="00D16BB6">
        <w:rPr>
          <w:rStyle w:val="af2"/>
          <w:rFonts w:eastAsia="Guttman Hodes" w:hint="cs"/>
        </w:rPr>
        <w:instrText>REF</w:instrText>
      </w:r>
      <w:r w:rsidRPr="00D16BB6">
        <w:rPr>
          <w:rStyle w:val="af2"/>
          <w:rFonts w:eastAsia="Guttman Hodes" w:hint="cs"/>
          <w:rtl/>
        </w:rPr>
        <w:instrText xml:space="preserve"> _</w:instrText>
      </w:r>
      <w:r w:rsidRPr="00D16BB6">
        <w:rPr>
          <w:rStyle w:val="af2"/>
          <w:rFonts w:eastAsia="Guttman Hodes" w:hint="cs"/>
        </w:rPr>
        <w:instrText>Ref137660739 \r \h</w:instrText>
      </w:r>
      <w:r w:rsidRPr="00D16BB6">
        <w:rPr>
          <w:rStyle w:val="af2"/>
          <w:rFonts w:eastAsia="Guttman Hodes"/>
          <w:rtl/>
        </w:rPr>
        <w:instrText xml:space="preserve"> </w:instrText>
      </w:r>
      <w:r w:rsidRPr="00D16BB6">
        <w:rPr>
          <w:rStyle w:val="af2"/>
          <w:rFonts w:eastAsia="Guttman Hodes"/>
          <w:rtl/>
        </w:rPr>
      </w:r>
      <w:r w:rsidRPr="00D16BB6">
        <w:rPr>
          <w:rStyle w:val="af2"/>
          <w:rFonts w:eastAsia="Guttman Hodes"/>
          <w:rtl/>
        </w:rPr>
        <w:fldChar w:fldCharType="separate"/>
      </w:r>
      <w:r w:rsidR="00D82181">
        <w:rPr>
          <w:rStyle w:val="af2"/>
          <w:rFonts w:eastAsia="Guttman Hodes"/>
          <w:cs/>
        </w:rPr>
        <w:t>‎</w:t>
      </w:r>
      <w:r w:rsidR="00D82181">
        <w:rPr>
          <w:rStyle w:val="af2"/>
          <w:rFonts w:eastAsia="Guttman Hodes"/>
          <w:rtl/>
        </w:rPr>
        <w:t>לא)</w:t>
      </w:r>
      <w:r w:rsidRPr="00D16BB6">
        <w:rPr>
          <w:rStyle w:val="af2"/>
          <w:rFonts w:eastAsia="Guttman Hodes"/>
          <w:rtl/>
        </w:rPr>
        <w:fldChar w:fldCharType="end"/>
      </w:r>
      <w:r>
        <w:rPr>
          <w:rFonts w:hint="cs"/>
          <w:rtl/>
        </w:rPr>
        <w:t xml:space="preserve"> דבב' מינים לאלתר פטור, צ"ל דהתוספתא ס"ל דהמלאכה בבורר היא בפסולת, </w:t>
      </w:r>
      <w:r w:rsidRPr="00D16BB6">
        <w:rPr>
          <w:rStyle w:val="af"/>
          <w:rFonts w:hint="cs"/>
          <w:rtl/>
        </w:rPr>
        <w:t xml:space="preserve">[וכדביאר </w:t>
      </w:r>
      <w:r w:rsidRPr="00D16BB6">
        <w:rPr>
          <w:rStyle w:val="aff9"/>
          <w:rFonts w:hint="cs"/>
          <w:vanish/>
          <w:rtl/>
        </w:rPr>
        <w:t>-</w:t>
      </w:r>
      <w:r w:rsidRPr="00D16BB6">
        <w:rPr>
          <w:rStyle w:val="aff9"/>
          <w:rFonts w:hint="cs"/>
          <w:rtl/>
        </w:rPr>
        <w:t>האגלי טל</w:t>
      </w:r>
      <w:r w:rsidRPr="00D16BB6">
        <w:rPr>
          <w:rStyle w:val="aff9"/>
          <w:rFonts w:hint="cs"/>
          <w:vanish/>
          <w:rtl/>
        </w:rPr>
        <w:t>-</w:t>
      </w:r>
      <w:r w:rsidRPr="00D16BB6">
        <w:rPr>
          <w:rStyle w:val="af"/>
          <w:rFonts w:hint="cs"/>
          <w:rtl/>
        </w:rPr>
        <w:t xml:space="preserve"> </w:t>
      </w:r>
      <w:r w:rsidRPr="00D16BB6">
        <w:rPr>
          <w:rStyle w:val="aff0"/>
          <w:rFonts w:hint="cs"/>
          <w:rtl/>
        </w:rPr>
        <w:t xml:space="preserve">(עי' אות </w:t>
      </w:r>
      <w:r w:rsidRPr="00D16BB6">
        <w:rPr>
          <w:rStyle w:val="aff0"/>
          <w:rtl/>
        </w:rPr>
        <w:fldChar w:fldCharType="begin"/>
      </w:r>
      <w:r w:rsidRPr="00D16BB6">
        <w:rPr>
          <w:rStyle w:val="aff0"/>
          <w:rtl/>
        </w:rPr>
        <w:instrText xml:space="preserve"> </w:instrText>
      </w:r>
      <w:r w:rsidRPr="00D16BB6">
        <w:rPr>
          <w:rStyle w:val="aff0"/>
          <w:rFonts w:hint="cs"/>
        </w:rPr>
        <w:instrText>REF</w:instrText>
      </w:r>
      <w:r w:rsidRPr="00D16BB6">
        <w:rPr>
          <w:rStyle w:val="aff0"/>
          <w:rFonts w:hint="cs"/>
          <w:rtl/>
        </w:rPr>
        <w:instrText xml:space="preserve"> _</w:instrText>
      </w:r>
      <w:r w:rsidRPr="00D16BB6">
        <w:rPr>
          <w:rStyle w:val="aff0"/>
          <w:rFonts w:hint="cs"/>
        </w:rPr>
        <w:instrText>Ref136856295 \r \h</w:instrText>
      </w:r>
      <w:r w:rsidRPr="00D16BB6">
        <w:rPr>
          <w:rStyle w:val="aff0"/>
          <w:rtl/>
        </w:rPr>
        <w:instrText xml:space="preserve"> </w:instrText>
      </w:r>
      <w:r w:rsidRPr="00D16BB6">
        <w:rPr>
          <w:rStyle w:val="aff0"/>
          <w:rtl/>
        </w:rPr>
      </w:r>
      <w:r w:rsidRPr="00D16BB6">
        <w:rPr>
          <w:rStyle w:val="aff0"/>
          <w:rtl/>
        </w:rPr>
        <w:fldChar w:fldCharType="separate"/>
      </w:r>
      <w:r w:rsidR="00D82181">
        <w:rPr>
          <w:rStyle w:val="aff0"/>
          <w:cs/>
        </w:rPr>
        <w:t>‎</w:t>
      </w:r>
      <w:r w:rsidR="00D82181">
        <w:rPr>
          <w:rStyle w:val="aff0"/>
          <w:rtl/>
        </w:rPr>
        <w:t>לג)</w:t>
      </w:r>
      <w:r w:rsidRPr="00D16BB6">
        <w:rPr>
          <w:rStyle w:val="aff0"/>
          <w:rtl/>
        </w:rPr>
        <w:fldChar w:fldCharType="end"/>
      </w:r>
      <w:r w:rsidRPr="00D16BB6">
        <w:rPr>
          <w:rStyle w:val="af"/>
          <w:rFonts w:hint="cs"/>
          <w:rtl/>
        </w:rPr>
        <w:t xml:space="preserve"> דכשבירר את ב' המינים כל מין לגבי השני חשיב פסולת, ולענין המין שהתברר חשיב שהוציא ממנו את הפסולת ולא מהני מה שאח"כ אוכל את המין שהוציא דעדיין חשיב פסולת לגבי הראשון]</w:t>
      </w:r>
      <w:r w:rsidRPr="002650B4">
        <w:rPr>
          <w:rStyle w:val="af"/>
          <w:rFonts w:hint="cs"/>
          <w:rtl/>
        </w:rPr>
        <w:t>,</w:t>
      </w:r>
      <w:r>
        <w:rPr>
          <w:rFonts w:hint="cs"/>
          <w:rtl/>
        </w:rPr>
        <w:t xml:space="preserve"> דס"ל </w:t>
      </w:r>
      <w:r w:rsidRPr="00C035F3">
        <w:rPr>
          <w:rStyle w:val="aff4"/>
          <w:rFonts w:hint="cs"/>
          <w:vanish/>
          <w:rtl/>
        </w:rPr>
        <w:t>-</w:t>
      </w:r>
      <w:r>
        <w:rPr>
          <w:rStyle w:val="aff4"/>
          <w:rFonts w:hint="cs"/>
          <w:rtl/>
        </w:rPr>
        <w:t>ל</w:t>
      </w:r>
      <w:r w:rsidRPr="003C7969">
        <w:rPr>
          <w:rStyle w:val="aff4"/>
          <w:rFonts w:hint="cs"/>
          <w:rtl/>
        </w:rPr>
        <w:t>מ"מ והקרית ספר</w:t>
      </w:r>
      <w:r w:rsidRPr="00C035F3">
        <w:rPr>
          <w:rStyle w:val="aff4"/>
          <w:rFonts w:hint="cs"/>
          <w:vanish/>
          <w:rtl/>
        </w:rPr>
        <w:t>-</w:t>
      </w:r>
      <w:r>
        <w:rPr>
          <w:rFonts w:hint="cs"/>
          <w:rtl/>
        </w:rPr>
        <w:t xml:space="preserve"> כדעת הירושלמי דהמלאכה היא בתיקון האוכל, וס"ל כדביאר </w:t>
      </w:r>
      <w:r w:rsidRPr="00382817">
        <w:rPr>
          <w:rStyle w:val="aff4"/>
          <w:rFonts w:hint="cs"/>
          <w:vanish/>
          <w:rtl/>
        </w:rPr>
        <w:t>-</w:t>
      </w:r>
      <w:r w:rsidRPr="00382817">
        <w:rPr>
          <w:rStyle w:val="aff4"/>
          <w:rFonts w:hint="cs"/>
          <w:rtl/>
        </w:rPr>
        <w:t>ה</w:t>
      </w:r>
      <w:r w:rsidRPr="00382817">
        <w:rPr>
          <w:rStyle w:val="aff4"/>
          <w:rFonts w:hint="cs"/>
          <w:vanish/>
          <w:rtl/>
        </w:rPr>
        <w:t>&lt; &gt;</w:t>
      </w:r>
      <w:r w:rsidRPr="00382817">
        <w:rPr>
          <w:rStyle w:val="aff4"/>
          <w:rFonts w:hint="cs"/>
          <w:rtl/>
        </w:rPr>
        <w:t>אגלי טל</w:t>
      </w:r>
      <w:r w:rsidRPr="00382817">
        <w:rPr>
          <w:rStyle w:val="aff4"/>
          <w:rFonts w:hint="cs"/>
          <w:vanish/>
          <w:rtl/>
        </w:rPr>
        <w:t>-</w:t>
      </w:r>
      <w:r w:rsidRPr="009A329F">
        <w:rPr>
          <w:rStyle w:val="af"/>
          <w:rFonts w:hint="cs"/>
          <w:rtl/>
        </w:rPr>
        <w:t xml:space="preserve"> </w:t>
      </w:r>
      <w:r w:rsidRPr="00D16BB6">
        <w:rPr>
          <w:rStyle w:val="af2"/>
          <w:rFonts w:eastAsia="Guttman Rashi" w:hint="cs"/>
          <w:rtl/>
        </w:rPr>
        <w:t>(בורר סק"א אות י')</w:t>
      </w:r>
      <w:r w:rsidRPr="00D16BB6">
        <w:rPr>
          <w:rFonts w:hint="cs"/>
          <w:vanish/>
          <w:rtl/>
        </w:rPr>
        <w:t>=</w:t>
      </w:r>
      <w:r w:rsidRPr="00FA7CF1">
        <w:rPr>
          <w:rFonts w:hint="cs"/>
          <w:rtl/>
        </w:rPr>
        <w:t xml:space="preserve"> </w:t>
      </w:r>
      <w:r>
        <w:rPr>
          <w:rFonts w:hint="cs"/>
          <w:rtl/>
        </w:rPr>
        <w:t xml:space="preserve">בדעת </w:t>
      </w:r>
      <w:r w:rsidRPr="00C035F3">
        <w:rPr>
          <w:rStyle w:val="aff4"/>
          <w:rFonts w:hint="cs"/>
          <w:vanish/>
          <w:rtl/>
        </w:rPr>
        <w:t>-</w:t>
      </w:r>
      <w:r w:rsidRPr="003C7969">
        <w:rPr>
          <w:rStyle w:val="aff4"/>
          <w:rFonts w:hint="cs"/>
          <w:rtl/>
        </w:rPr>
        <w:t>ה</w:t>
      </w:r>
      <w:r w:rsidRPr="00D16BB6">
        <w:rPr>
          <w:rStyle w:val="aff4"/>
          <w:rFonts w:hint="cs"/>
          <w:vanish/>
          <w:rtl/>
        </w:rPr>
        <w:t>&lt; &gt;</w:t>
      </w:r>
      <w:r w:rsidRPr="003C7969">
        <w:rPr>
          <w:rStyle w:val="aff4"/>
          <w:rFonts w:hint="cs"/>
          <w:rtl/>
        </w:rPr>
        <w:t>רמב"ן</w:t>
      </w:r>
      <w:r w:rsidRPr="00C035F3">
        <w:rPr>
          <w:rStyle w:val="aff4"/>
          <w:rFonts w:hint="cs"/>
          <w:vanish/>
          <w:rtl/>
        </w:rPr>
        <w:t>-</w:t>
      </w:r>
      <w:r>
        <w:rPr>
          <w:rFonts w:hint="cs"/>
          <w:rtl/>
        </w:rPr>
        <w:t xml:space="preserve"> </w:t>
      </w:r>
      <w:r w:rsidRPr="00D16BB6">
        <w:rPr>
          <w:rStyle w:val="af2"/>
          <w:rFonts w:eastAsia="Guttman Hodes" w:hint="cs"/>
          <w:rtl/>
        </w:rPr>
        <w:t>(ד"ה והתניא)</w:t>
      </w:r>
      <w:r w:rsidRPr="00D16BB6">
        <w:rPr>
          <w:rFonts w:hint="cs"/>
          <w:vanish/>
          <w:rtl/>
        </w:rPr>
        <w:t>=</w:t>
      </w:r>
      <w:r>
        <w:rPr>
          <w:rFonts w:hint="cs"/>
          <w:rtl/>
        </w:rPr>
        <w:t xml:space="preserve"> דס"ל דהחיוב בפסולת מתוך אוכל הוא כיון שאין דעתו לאכול את הפסולת, וא"כ כשאוכל את שניהם אי"ז פסולת מתוך אוכל.</w:t>
      </w:r>
      <w:bookmarkEnd w:id="2346"/>
    </w:p>
    <w:p w14:paraId="6FB28EF7" w14:textId="77777777" w:rsidR="00592982" w:rsidRPr="00747170" w:rsidRDefault="00592982" w:rsidP="00747170">
      <w:pPr>
        <w:pStyle w:val="a2"/>
        <w:rPr>
          <w:rtl/>
        </w:rPr>
      </w:pPr>
      <w:r w:rsidRPr="00747170">
        <w:rPr>
          <w:rtl/>
        </w:rPr>
        <w:t>וצ"ל דסבירא לי' דהתוספתא ס"ל דמלאכת בורר הוא בפסולת הנדחה מהאוכל. והם ס"ל כהירושלמי דמלאכת בורר הוא באוכל המתקנה ונמצא שאוכל מה שבורר וס"ל כטעם הרמב"ן משום דאינו אוכל מה שבורר:</w:t>
      </w:r>
    </w:p>
    <w:p w14:paraId="30239B22" w14:textId="409379BF" w:rsidR="00592982" w:rsidRPr="00EB5719" w:rsidRDefault="00592982" w:rsidP="00592982">
      <w:pPr>
        <w:pStyle w:val="affff5"/>
        <w:rPr>
          <w:rtl/>
        </w:rPr>
      </w:pPr>
      <w:bookmarkStart w:id="2347" w:name="_Toc137741963"/>
      <w:r w:rsidRPr="00EB5719">
        <w:rPr>
          <w:rFonts w:hint="cs"/>
          <w:rtl/>
        </w:rPr>
        <w:t>בד' הרמב"ם דבכל ב' מינים יש ברירה</w:t>
      </w:r>
      <w:bookmarkEnd w:id="2347"/>
    </w:p>
    <w:p w14:paraId="61033580" w14:textId="77777777" w:rsidR="00592982" w:rsidRDefault="00592982" w:rsidP="00592982">
      <w:pPr>
        <w:pStyle w:val="1"/>
        <w:rPr>
          <w:rtl/>
        </w:rPr>
      </w:pPr>
      <w:bookmarkStart w:id="2348" w:name="_Toc137741964"/>
      <w:r>
        <w:rPr>
          <w:rFonts w:hint="cs"/>
          <w:rtl/>
        </w:rPr>
        <w:t>בד' הרמב"ם דיש בורר באוכל מאוכל אף כשאין פסולת כלל</w:t>
      </w:r>
      <w:bookmarkEnd w:id="2348"/>
    </w:p>
    <w:p w14:paraId="53285AA6" w14:textId="77777777" w:rsidR="00592982" w:rsidRDefault="00592982" w:rsidP="00592982">
      <w:pPr>
        <w:pStyle w:val="afffff7"/>
        <w:rPr>
          <w:rtl/>
        </w:rPr>
      </w:pPr>
      <w:bookmarkStart w:id="2349" w:name="_Toc137742047"/>
      <w:bookmarkStart w:id="2350" w:name="_Toc163505814"/>
      <w:r>
        <w:rPr>
          <w:rtl/>
        </w:rPr>
        <w:t>רמב"ם שבת פ"ח הי"ב</w:t>
      </w:r>
      <w:bookmarkEnd w:id="2349"/>
      <w:bookmarkEnd w:id="2350"/>
    </w:p>
    <w:p w14:paraId="4E2A6267" w14:textId="77777777" w:rsidR="00592982" w:rsidRDefault="00592982" w:rsidP="00592982">
      <w:pPr>
        <w:pStyle w:val="afffff7"/>
        <w:rPr>
          <w:rtl/>
        </w:rPr>
      </w:pPr>
      <w:bookmarkStart w:id="2351" w:name="_Toc137742048"/>
      <w:bookmarkStart w:id="2352" w:name="_Toc163505815"/>
      <w:r>
        <w:rPr>
          <w:rtl/>
        </w:rPr>
        <w:t>רמב"ם שבת פ"ח הי"ג</w:t>
      </w:r>
      <w:bookmarkEnd w:id="2351"/>
      <w:bookmarkEnd w:id="2352"/>
    </w:p>
    <w:p w14:paraId="4B0DE9ED" w14:textId="77777777" w:rsidR="00592982" w:rsidRDefault="00592982" w:rsidP="00592982">
      <w:pPr>
        <w:pStyle w:val="afffff7"/>
        <w:rPr>
          <w:rtl/>
        </w:rPr>
      </w:pPr>
      <w:bookmarkStart w:id="2353" w:name="_Toc137742049"/>
      <w:bookmarkStart w:id="2354" w:name="_Toc163505816"/>
      <w:r>
        <w:rPr>
          <w:rtl/>
        </w:rPr>
        <w:t>שו"ע או"ח סי' שי"ט ג'</w:t>
      </w:r>
      <w:bookmarkEnd w:id="2353"/>
      <w:bookmarkEnd w:id="2354"/>
    </w:p>
    <w:p w14:paraId="6FD40123" w14:textId="77777777" w:rsidR="00592982" w:rsidRDefault="00592982" w:rsidP="00592982">
      <w:pPr>
        <w:pStyle w:val="afffff7"/>
        <w:rPr>
          <w:rtl/>
        </w:rPr>
      </w:pPr>
      <w:bookmarkStart w:id="2355" w:name="_Toc137741965"/>
      <w:bookmarkStart w:id="2356" w:name="_Toc163505817"/>
      <w:r>
        <w:rPr>
          <w:rtl/>
        </w:rPr>
        <w:t>מגיד משנה שבת פ"ח הי"ב</w:t>
      </w:r>
      <w:bookmarkEnd w:id="2356"/>
    </w:p>
    <w:p w14:paraId="333C85F7" w14:textId="77777777" w:rsidR="00592982" w:rsidRPr="007323BA" w:rsidRDefault="00592982" w:rsidP="00592982">
      <w:pPr>
        <w:pStyle w:val="a7"/>
        <w:rPr>
          <w:rtl/>
        </w:rPr>
      </w:pPr>
      <w:r>
        <w:rPr>
          <w:rFonts w:hint="cs"/>
          <w:rtl/>
        </w:rPr>
        <w:t>בי' הרמב"ם דבורר בב' מיני אוכלין חייב ולאלתר מותר ובמניח א' לאלתר מותר ולאח"ז חייב</w:t>
      </w:r>
      <w:bookmarkEnd w:id="2355"/>
    </w:p>
    <w:p w14:paraId="33EC1E16" w14:textId="10119AA5" w:rsidR="00592982" w:rsidRDefault="00592982" w:rsidP="00BC7DC8">
      <w:pPr>
        <w:pStyle w:val="a3"/>
        <w:rPr>
          <w:rtl/>
        </w:rPr>
      </w:pPr>
      <w:bookmarkStart w:id="2357" w:name="_Ref137673024"/>
      <w:bookmarkStart w:id="2358" w:name="_Ref136812058"/>
      <w:r>
        <w:rPr>
          <w:rFonts w:hint="cs"/>
          <w:rtl/>
        </w:rPr>
        <w:t xml:space="preserve">כתב </w:t>
      </w:r>
      <w:r w:rsidRPr="00FA5B69">
        <w:rPr>
          <w:rStyle w:val="aff4"/>
          <w:rFonts w:hint="cs"/>
          <w:vanish/>
          <w:rtl/>
        </w:rPr>
        <w:t>-</w:t>
      </w:r>
      <w:r w:rsidRPr="00A34B78">
        <w:rPr>
          <w:rStyle w:val="aff4"/>
          <w:rFonts w:hint="cs"/>
          <w:rtl/>
        </w:rPr>
        <w:t>ה</w:t>
      </w:r>
      <w:r w:rsidRPr="004021DE">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Ref136812058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לו)</w:t>
      </w:r>
      <w:r>
        <w:rPr>
          <w:rStyle w:val="aff4"/>
          <w:vanish/>
          <w:rtl/>
        </w:rPr>
        <w:fldChar w:fldCharType="end"/>
      </w:r>
      <w:r w:rsidRPr="004021DE">
        <w:rPr>
          <w:rStyle w:val="aff4"/>
          <w:rFonts w:hint="cs"/>
          <w:vanish/>
          <w:rtl/>
        </w:rPr>
        <w:t xml:space="preserve"> &gt;</w:t>
      </w:r>
      <w:r w:rsidRPr="00A34B78">
        <w:rPr>
          <w:rStyle w:val="aff4"/>
          <w:rFonts w:hint="cs"/>
          <w:rtl/>
        </w:rPr>
        <w:t>רמב"ם</w:t>
      </w:r>
      <w:r w:rsidRPr="00FA5B69">
        <w:rPr>
          <w:rStyle w:val="aff4"/>
          <w:rFonts w:hint="cs"/>
          <w:vanish/>
          <w:rtl/>
        </w:rPr>
        <w:t>-</w:t>
      </w:r>
      <w:r>
        <w:rPr>
          <w:rFonts w:hint="cs"/>
          <w:rtl/>
        </w:rPr>
        <w:t xml:space="preserve"> </w:t>
      </w:r>
      <w:r w:rsidRPr="00D16BB6">
        <w:rPr>
          <w:rStyle w:val="af2"/>
          <w:rFonts w:eastAsia="Guttman Hodes" w:hint="cs"/>
          <w:rtl/>
        </w:rPr>
        <w:t>(שבת פ"ח הי"ב)</w:t>
      </w:r>
      <w:r w:rsidRPr="00FA5B69">
        <w:rPr>
          <w:rFonts w:hint="cs"/>
          <w:vanish/>
          <w:rtl/>
        </w:rPr>
        <w:t>=</w:t>
      </w:r>
      <w:r>
        <w:rPr>
          <w:rFonts w:hint="cs"/>
          <w:rtl/>
        </w:rPr>
        <w:t xml:space="preserve"> דהבורר בנפה וכברה אוכל מתוך פסולת או שברר מין אחד מתוך ב' מיני אוכלין חייב, ובע"מ לאכול לאלתר מותר, והוסיף </w:t>
      </w:r>
      <w:r w:rsidRPr="00FA5B69">
        <w:rPr>
          <w:rStyle w:val="aff4"/>
          <w:rFonts w:hint="cs"/>
          <w:vanish/>
          <w:rtl/>
        </w:rPr>
        <w:t>-</w:t>
      </w:r>
      <w:r w:rsidRPr="00A34B78">
        <w:rPr>
          <w:rStyle w:val="aff4"/>
          <w:rFonts w:hint="cs"/>
          <w:rtl/>
        </w:rPr>
        <w:t>ה</w:t>
      </w:r>
      <w:r w:rsidRPr="004021DE">
        <w:rPr>
          <w:rStyle w:val="aff4"/>
          <w:rFonts w:hint="cs"/>
          <w:vanish/>
          <w:rtl/>
        </w:rPr>
        <w:t>&lt; &gt;</w:t>
      </w:r>
      <w:r w:rsidRPr="00A34B78">
        <w:rPr>
          <w:rStyle w:val="aff4"/>
          <w:rFonts w:hint="cs"/>
          <w:rtl/>
        </w:rPr>
        <w:t>רמב"ם</w:t>
      </w:r>
      <w:r w:rsidRPr="00FA5B69">
        <w:rPr>
          <w:rStyle w:val="aff4"/>
          <w:rFonts w:hint="cs"/>
          <w:vanish/>
          <w:rtl/>
        </w:rPr>
        <w:t>-</w:t>
      </w:r>
      <w:r>
        <w:rPr>
          <w:rFonts w:hint="cs"/>
          <w:rtl/>
        </w:rPr>
        <w:t xml:space="preserve"> </w:t>
      </w:r>
      <w:r w:rsidRPr="00D16BB6">
        <w:rPr>
          <w:rStyle w:val="af2"/>
          <w:rFonts w:eastAsia="Guttman Hodes" w:hint="cs"/>
          <w:rtl/>
        </w:rPr>
        <w:t>(שבת פ"ח הי"ג)</w:t>
      </w:r>
      <w:r w:rsidRPr="00FA5B69">
        <w:rPr>
          <w:rFonts w:hint="cs"/>
          <w:vanish/>
          <w:rtl/>
        </w:rPr>
        <w:t>=</w:t>
      </w:r>
      <w:r>
        <w:rPr>
          <w:rFonts w:hint="cs"/>
          <w:rtl/>
        </w:rPr>
        <w:t xml:space="preserve"> </w:t>
      </w:r>
      <w:bookmarkStart w:id="2359" w:name="_Hlk137062546"/>
      <w:r>
        <w:rPr>
          <w:rFonts w:hint="cs"/>
          <w:rtl/>
        </w:rPr>
        <w:t xml:space="preserve">דבאוכל מתוך פסולת ע"מ להניחו אף לבו ביום חייב, ואם היו לפניו </w:t>
      </w:r>
      <w:bookmarkEnd w:id="2359"/>
      <w:r>
        <w:rPr>
          <w:rFonts w:hint="cs"/>
          <w:rtl/>
        </w:rPr>
        <w:t xml:space="preserve">ב' מיני אוכלין מעורבין, בורר אחד מהם ומניח לאכול מיד, אבל </w:t>
      </w:r>
      <w:bookmarkStart w:id="2360" w:name="_Hlk137028829"/>
      <w:r>
        <w:rPr>
          <w:rFonts w:hint="cs"/>
          <w:rtl/>
        </w:rPr>
        <w:t>אם ברר והניח לאחר זמן אף לבו ביום חייב</w:t>
      </w:r>
      <w:bookmarkEnd w:id="2360"/>
      <w:r>
        <w:rPr>
          <w:rFonts w:hint="cs"/>
          <w:rtl/>
        </w:rPr>
        <w:t xml:space="preserve">, וכ"כ </w:t>
      </w:r>
      <w:r w:rsidRPr="006970A7">
        <w:rPr>
          <w:rStyle w:val="aff4"/>
          <w:rFonts w:hint="cs"/>
          <w:vanish/>
          <w:rtl/>
        </w:rPr>
        <w:t>-</w:t>
      </w:r>
      <w:r w:rsidRPr="00BF56CC">
        <w:rPr>
          <w:rStyle w:val="aff4"/>
          <w:rFonts w:hint="cs"/>
          <w:rtl/>
        </w:rPr>
        <w:t>ה</w:t>
      </w:r>
      <w:r>
        <w:rPr>
          <w:rStyle w:val="aff4"/>
          <w:rFonts w:hint="cs"/>
          <w:vanish/>
          <w:rtl/>
        </w:rPr>
        <w:t>&lt; &gt;</w:t>
      </w:r>
      <w:r w:rsidRPr="00BF56CC">
        <w:rPr>
          <w:rStyle w:val="aff4"/>
          <w:rFonts w:hint="cs"/>
          <w:rtl/>
        </w:rPr>
        <w:t>שו"ע</w:t>
      </w:r>
      <w:r w:rsidRPr="006970A7">
        <w:rPr>
          <w:rStyle w:val="aff4"/>
          <w:rFonts w:hint="cs"/>
          <w:vanish/>
          <w:rtl/>
        </w:rPr>
        <w:t>-</w:t>
      </w:r>
      <w:r>
        <w:rPr>
          <w:rFonts w:hint="cs"/>
          <w:rtl/>
        </w:rPr>
        <w:t xml:space="preserve"> </w:t>
      </w:r>
      <w:r w:rsidRPr="00D16BB6">
        <w:rPr>
          <w:rStyle w:val="af2"/>
          <w:rFonts w:eastAsia="Guttman Hodes" w:hint="cs"/>
          <w:rtl/>
        </w:rPr>
        <w:t>(סי' שי"ט ג')</w:t>
      </w:r>
      <w:r w:rsidRPr="006970A7">
        <w:rPr>
          <w:rFonts w:hint="cs"/>
          <w:vanish/>
          <w:rtl/>
        </w:rPr>
        <w:t>=</w:t>
      </w:r>
      <w:r>
        <w:rPr>
          <w:rFonts w:hint="cs"/>
          <w:rtl/>
        </w:rPr>
        <w:t xml:space="preserve">, </w:t>
      </w:r>
      <w:bookmarkStart w:id="2361" w:name="_Ref137759143"/>
      <w:r>
        <w:rPr>
          <w:rFonts w:hint="cs"/>
          <w:rtl/>
        </w:rPr>
        <w:t xml:space="preserve">וכתב </w:t>
      </w:r>
      <w:r w:rsidRPr="00C02AA5">
        <w:rPr>
          <w:rStyle w:val="aff4"/>
          <w:rFonts w:hint="cs"/>
          <w:vanish/>
          <w:rtl/>
        </w:rPr>
        <w:t>-</w:t>
      </w:r>
      <w:r w:rsidRPr="00C02AA5">
        <w:rPr>
          <w:rStyle w:val="aff4"/>
          <w:rFonts w:hint="cs"/>
          <w:rtl/>
        </w:rPr>
        <w:t>ה</w:t>
      </w:r>
      <w:r w:rsidRPr="00C02AA5">
        <w:rPr>
          <w:rStyle w:val="aff4"/>
          <w:rFonts w:hint="cs"/>
          <w:vanish/>
          <w:rtl/>
        </w:rPr>
        <w:t>&lt; &gt;</w:t>
      </w:r>
      <w:r w:rsidRPr="00C02AA5">
        <w:rPr>
          <w:rStyle w:val="aff4"/>
          <w:rFonts w:hint="cs"/>
          <w:rtl/>
        </w:rPr>
        <w:t>מ"מ</w:t>
      </w:r>
      <w:r w:rsidRPr="00C02AA5">
        <w:rPr>
          <w:rStyle w:val="aff4"/>
          <w:rFonts w:hint="cs"/>
          <w:vanish/>
          <w:rtl/>
        </w:rPr>
        <w:t>-</w:t>
      </w:r>
      <w:r>
        <w:rPr>
          <w:rFonts w:hint="cs"/>
          <w:rtl/>
        </w:rPr>
        <w:t xml:space="preserve"> </w:t>
      </w:r>
      <w:r w:rsidRPr="00C02AA5">
        <w:rPr>
          <w:rStyle w:val="af2"/>
          <w:rFonts w:eastAsia="Guttman Hodes" w:hint="cs"/>
          <w:rtl/>
        </w:rPr>
        <w:t>(שבת פ"ח הי"ב</w:t>
      </w:r>
      <w:r>
        <w:rPr>
          <w:rStyle w:val="af2"/>
          <w:rFonts w:eastAsia="Guttman Hodes" w:hint="cs"/>
          <w:rtl/>
        </w:rPr>
        <w:t>)</w:t>
      </w:r>
      <w:r w:rsidRPr="00C02AA5">
        <w:rPr>
          <w:rFonts w:hint="cs"/>
          <w:vanish/>
          <w:rtl/>
        </w:rPr>
        <w:t>=</w:t>
      </w:r>
      <w:r>
        <w:rPr>
          <w:rFonts w:hint="cs"/>
          <w:rtl/>
        </w:rPr>
        <w:t xml:space="preserve"> </w:t>
      </w:r>
      <w:bookmarkEnd w:id="2361"/>
      <w:r>
        <w:rPr>
          <w:rFonts w:hint="cs"/>
          <w:rtl/>
        </w:rPr>
        <w:t xml:space="preserve">דכן משמע מדברי </w:t>
      </w:r>
      <w:r w:rsidRPr="00A91E2E">
        <w:rPr>
          <w:rStyle w:val="aff4"/>
          <w:rFonts w:hint="cs"/>
          <w:vanish/>
          <w:rtl/>
        </w:rPr>
        <w:t>-</w:t>
      </w:r>
      <w:r w:rsidRPr="007439A4">
        <w:rPr>
          <w:rStyle w:val="aff4"/>
          <w:rFonts w:hint="cs"/>
          <w:rtl/>
        </w:rPr>
        <w:t>ה</w:t>
      </w:r>
      <w:r w:rsidRPr="00A91E2E">
        <w:rPr>
          <w:rStyle w:val="aff4"/>
          <w:rFonts w:hint="cs"/>
          <w:vanish/>
          <w:rtl/>
        </w:rPr>
        <w:t>&lt; &gt;</w:t>
      </w:r>
      <w:r w:rsidRPr="007439A4">
        <w:rPr>
          <w:rStyle w:val="aff4"/>
          <w:rFonts w:hint="cs"/>
          <w:rtl/>
        </w:rPr>
        <w:t>רי"ף</w:t>
      </w:r>
      <w:r w:rsidRPr="00A91E2E">
        <w:rPr>
          <w:rStyle w:val="aff4"/>
          <w:rFonts w:hint="cs"/>
          <w:vanish/>
          <w:rtl/>
        </w:rPr>
        <w:t>-</w:t>
      </w:r>
      <w:r>
        <w:rPr>
          <w:rFonts w:hint="cs"/>
          <w:rtl/>
        </w:rPr>
        <w:t xml:space="preserve"> </w:t>
      </w:r>
      <w:r w:rsidRPr="00D16BB6">
        <w:rPr>
          <w:rStyle w:val="af2"/>
          <w:rFonts w:eastAsia="Guttman Hodes" w:hint="cs"/>
          <w:rtl/>
        </w:rPr>
        <w:t>(לב. מדה"ר</w:t>
      </w:r>
      <w:r w:rsidRPr="00B32511">
        <w:rPr>
          <w:rStyle w:val="af2"/>
          <w:rFonts w:eastAsia="Guttman Hodes" w:hint="cs"/>
          <w:rtl/>
        </w:rPr>
        <w:t>, מהדו' "עוז והדר" עמ' פ"ט</w:t>
      </w:r>
      <w:r w:rsidRPr="00D16BB6">
        <w:rPr>
          <w:rStyle w:val="af2"/>
          <w:rFonts w:eastAsia="Guttman Hodes" w:hint="cs"/>
          <w:rtl/>
        </w:rPr>
        <w:t>)</w:t>
      </w:r>
      <w:r w:rsidRPr="00A91E2E">
        <w:rPr>
          <w:rFonts w:hint="cs"/>
          <w:vanish/>
          <w:rtl/>
        </w:rPr>
        <w:t>=</w:t>
      </w:r>
      <w:r>
        <w:rPr>
          <w:rFonts w:hint="cs"/>
          <w:rtl/>
        </w:rPr>
        <w:t xml:space="preserve"> דב' מיני אוכלין הם כאוכל מפסולת.</w:t>
      </w:r>
      <w:bookmarkEnd w:id="2357"/>
    </w:p>
    <w:p w14:paraId="044B052B" w14:textId="77777777" w:rsidR="00592982" w:rsidRPr="00747170" w:rsidRDefault="00592982" w:rsidP="00747170">
      <w:pPr>
        <w:pStyle w:val="a2"/>
        <w:rPr>
          <w:rtl/>
        </w:rPr>
      </w:pPr>
      <w:r w:rsidRPr="00747170">
        <w:rPr>
          <w:rtl/>
        </w:rPr>
        <w:t>הבורר אוכל מתוך פסולת או שהיו לפניו שני מיני אוכלין ובירר מין ממין אחר בנפה ובכברה חייב, בקנון או בתמחוי פטור, ואם בירר בידו לאכול לאלתר מותר.</w:t>
      </w:r>
    </w:p>
    <w:p w14:paraId="4D11E78F" w14:textId="77777777" w:rsidR="00592982" w:rsidRPr="00C61A8D" w:rsidRDefault="00592982" w:rsidP="00747170">
      <w:pPr>
        <w:pStyle w:val="afffff5"/>
        <w:rPr>
          <w:rtl/>
        </w:rPr>
      </w:pPr>
      <w:r w:rsidRPr="00C61A8D">
        <w:rPr>
          <w:rtl/>
        </w:rPr>
        <w:t>הבורר אוכל מתוך פסולת בידו להניחו אפילו לבו ביום נעשה כבורר לאוצר וחייב, היו לפניו שני מיני אוכלין מעורבין בורר אחד מאחד ומניח לאכול מיד, ואם בירר והניח לאחר זמן אפילו לבו ביום כגון שבירר בשחרית לאכול בין הערבים חייב.</w:t>
      </w:r>
    </w:p>
    <w:p w14:paraId="42ED47D8" w14:textId="77777777" w:rsidR="00592982" w:rsidRPr="00C61A8D" w:rsidRDefault="00592982" w:rsidP="00747170">
      <w:pPr>
        <w:pStyle w:val="afffff5"/>
        <w:rPr>
          <w:rtl/>
        </w:rPr>
      </w:pPr>
      <w:r w:rsidRPr="00C61A8D">
        <w:rPr>
          <w:rtl/>
        </w:rPr>
        <w:t>היו לפניו שני מיני אוכלים מעורבים, בורר אחד מאחד ומניח לאכול מיד</w:t>
      </w:r>
      <w:r w:rsidRPr="00C61A8D">
        <w:rPr>
          <w:rFonts w:hint="cs"/>
          <w:rtl/>
        </w:rPr>
        <w:t xml:space="preserve">, וכו', </w:t>
      </w:r>
      <w:r w:rsidRPr="00C61A8D">
        <w:rPr>
          <w:rtl/>
        </w:rPr>
        <w:t>ואם בירר והניח לאחר זמן אפי' לבו ביום, כגון שבירר שחרית לאכול בין הערבים, חייב</w:t>
      </w:r>
      <w:r w:rsidRPr="00C61A8D">
        <w:rPr>
          <w:rFonts w:hint="cs"/>
          <w:rtl/>
        </w:rPr>
        <w:t>.</w:t>
      </w:r>
    </w:p>
    <w:p w14:paraId="23E9FCB7" w14:textId="77777777" w:rsidR="00592982" w:rsidRPr="00773DB0" w:rsidRDefault="00592982" w:rsidP="00747170">
      <w:pPr>
        <w:pStyle w:val="afffff5"/>
        <w:rPr>
          <w:rtl/>
        </w:rPr>
      </w:pPr>
      <w:bookmarkStart w:id="2362" w:name="_Toc137742050"/>
      <w:bookmarkEnd w:id="2358"/>
      <w:r>
        <w:rPr>
          <w:rtl/>
        </w:rPr>
        <w:t xml:space="preserve">וכן נראה מן ההלכות </w:t>
      </w:r>
      <w:r w:rsidRPr="00014D45">
        <w:rPr>
          <w:rStyle w:val="afff7"/>
          <w:rtl/>
        </w:rPr>
        <w:t xml:space="preserve">שפסולת מתוך אוכל לעולם חייב </w:t>
      </w:r>
      <w:r>
        <w:rPr>
          <w:rtl/>
        </w:rPr>
        <w:t>ושני מיני אוכלין הרי הן כאוכל מתוך פסולת ולבאר זה מן הגמרא יאריכו הדברים:</w:t>
      </w:r>
    </w:p>
    <w:p w14:paraId="6290CAC0" w14:textId="347F1D23" w:rsidR="00592982" w:rsidRDefault="00592982" w:rsidP="00592982">
      <w:pPr>
        <w:pStyle w:val="afffff7"/>
        <w:rPr>
          <w:rtl/>
        </w:rPr>
      </w:pPr>
      <w:bookmarkStart w:id="2363" w:name="_Toc163505818"/>
      <w:r>
        <w:rPr>
          <w:rtl/>
        </w:rPr>
        <w:t>בית יוסף או</w:t>
      </w:r>
      <w:r>
        <w:rPr>
          <w:rFonts w:hint="cs"/>
          <w:rtl/>
        </w:rPr>
        <w:t>"</w:t>
      </w:r>
      <w:r>
        <w:rPr>
          <w:rtl/>
        </w:rPr>
        <w:t>ח סי</w:t>
      </w:r>
      <w:r>
        <w:rPr>
          <w:rFonts w:hint="cs"/>
          <w:rtl/>
        </w:rPr>
        <w:t>'</w:t>
      </w:r>
      <w:r>
        <w:rPr>
          <w:rtl/>
        </w:rPr>
        <w:t xml:space="preserve"> שי</w:t>
      </w:r>
      <w:r>
        <w:rPr>
          <w:rFonts w:hint="cs"/>
          <w:rtl/>
        </w:rPr>
        <w:t>"</w:t>
      </w:r>
      <w:r>
        <w:rPr>
          <w:rtl/>
        </w:rPr>
        <w:t>ט</w:t>
      </w:r>
      <w:r>
        <w:rPr>
          <w:rFonts w:hint="cs"/>
          <w:rtl/>
        </w:rPr>
        <w:t xml:space="preserve"> א' ד"ה והמרדכי</w:t>
      </w:r>
      <w:bookmarkEnd w:id="2362"/>
      <w:bookmarkEnd w:id="2363"/>
    </w:p>
    <w:p w14:paraId="67BF1285" w14:textId="77777777" w:rsidR="00592982" w:rsidRDefault="00592982" w:rsidP="00592982">
      <w:pPr>
        <w:pStyle w:val="a7"/>
        <w:rPr>
          <w:rtl/>
        </w:rPr>
      </w:pPr>
      <w:bookmarkStart w:id="2364" w:name="_Toc137741966"/>
      <w:r>
        <w:rPr>
          <w:rFonts w:hint="cs"/>
          <w:rtl/>
        </w:rPr>
        <w:t>בי' הב"י ברמב"ם דבאוכל מפסולת חייב אף לכמה שעות אבל בב' מינים רק לבין הערביים</w:t>
      </w:r>
      <w:bookmarkEnd w:id="2364"/>
    </w:p>
    <w:p w14:paraId="2836724D" w14:textId="3737FA7E" w:rsidR="00592982" w:rsidRPr="008E7039" w:rsidRDefault="00592982" w:rsidP="00BC7DC8">
      <w:pPr>
        <w:pStyle w:val="a3"/>
        <w:rPr>
          <w:rtl/>
        </w:rPr>
      </w:pPr>
      <w:bookmarkStart w:id="2365" w:name="_Ref137062830"/>
      <w:r>
        <w:rPr>
          <w:rFonts w:hint="cs"/>
          <w:rtl/>
        </w:rPr>
        <w:t xml:space="preserve">וכתב </w:t>
      </w:r>
      <w:r w:rsidRPr="00BE47C5">
        <w:rPr>
          <w:rStyle w:val="aff4"/>
          <w:rFonts w:hint="cs"/>
          <w:vanish/>
          <w:rtl/>
        </w:rPr>
        <w:t>-</w:t>
      </w:r>
      <w:r w:rsidRPr="00BF56CC">
        <w:rPr>
          <w:rStyle w:val="aff4"/>
          <w:rFonts w:hint="cs"/>
          <w:rtl/>
        </w:rPr>
        <w:t>ה</w:t>
      </w:r>
      <w:r w:rsidRPr="00BE47C5">
        <w:rPr>
          <w:rStyle w:val="aff4"/>
          <w:rFonts w:hint="cs"/>
          <w:vanish/>
          <w:rtl/>
        </w:rPr>
        <w:t xml:space="preserve">&lt;. </w:t>
      </w:r>
      <w:r w:rsidRPr="00BE47C5">
        <w:rPr>
          <w:rStyle w:val="aff4"/>
          <w:vanish/>
          <w:rtl/>
        </w:rPr>
        <w:fldChar w:fldCharType="begin"/>
      </w:r>
      <w:r w:rsidRPr="00BE47C5">
        <w:rPr>
          <w:rStyle w:val="aff4"/>
          <w:vanish/>
          <w:rtl/>
        </w:rPr>
        <w:instrText xml:space="preserve"> </w:instrText>
      </w:r>
      <w:r w:rsidRPr="00BE47C5">
        <w:rPr>
          <w:rStyle w:val="aff4"/>
          <w:rFonts w:hint="cs"/>
          <w:vanish/>
        </w:rPr>
        <w:instrText>REF</w:instrText>
      </w:r>
      <w:r w:rsidRPr="00BE47C5">
        <w:rPr>
          <w:rStyle w:val="aff4"/>
          <w:rFonts w:hint="cs"/>
          <w:vanish/>
          <w:rtl/>
        </w:rPr>
        <w:instrText xml:space="preserve"> _</w:instrText>
      </w:r>
      <w:r w:rsidRPr="00BE47C5">
        <w:rPr>
          <w:rStyle w:val="aff4"/>
          <w:rFonts w:hint="cs"/>
          <w:vanish/>
        </w:rPr>
        <w:instrText>Ref137062830 \r \h</w:instrText>
      </w:r>
      <w:r w:rsidRPr="00BE47C5">
        <w:rPr>
          <w:rStyle w:val="aff4"/>
          <w:vanish/>
          <w:rtl/>
        </w:rPr>
        <w:instrText xml:space="preserve"> </w:instrText>
      </w:r>
      <w:r w:rsidRPr="00BE47C5">
        <w:rPr>
          <w:rStyle w:val="aff4"/>
          <w:vanish/>
          <w:rtl/>
        </w:rPr>
      </w:r>
      <w:r w:rsidRPr="00BE47C5">
        <w:rPr>
          <w:rStyle w:val="aff4"/>
          <w:vanish/>
          <w:rtl/>
        </w:rPr>
        <w:fldChar w:fldCharType="separate"/>
      </w:r>
      <w:r w:rsidR="00D82181">
        <w:rPr>
          <w:rStyle w:val="aff4"/>
          <w:vanish/>
          <w:cs/>
        </w:rPr>
        <w:t>‎</w:t>
      </w:r>
      <w:r w:rsidR="00D82181">
        <w:rPr>
          <w:rStyle w:val="aff4"/>
          <w:vanish/>
          <w:rtl/>
        </w:rPr>
        <w:t>לז)</w:t>
      </w:r>
      <w:r w:rsidRPr="00BE47C5">
        <w:rPr>
          <w:rStyle w:val="aff4"/>
          <w:vanish/>
          <w:rtl/>
        </w:rPr>
        <w:fldChar w:fldCharType="end"/>
      </w:r>
      <w:r w:rsidRPr="00BE47C5">
        <w:rPr>
          <w:rStyle w:val="aff4"/>
          <w:rFonts w:hint="cs"/>
          <w:vanish/>
          <w:rtl/>
        </w:rPr>
        <w:t xml:space="preserve"> &gt;</w:t>
      </w:r>
      <w:r w:rsidRPr="00BF56CC">
        <w:rPr>
          <w:rStyle w:val="aff4"/>
          <w:rFonts w:hint="cs"/>
          <w:rtl/>
        </w:rPr>
        <w:t>ב"י</w:t>
      </w:r>
      <w:r w:rsidRPr="00BE47C5">
        <w:rPr>
          <w:rStyle w:val="aff4"/>
          <w:rFonts w:hint="cs"/>
          <w:vanish/>
          <w:rtl/>
        </w:rPr>
        <w:t>-</w:t>
      </w:r>
      <w:r>
        <w:rPr>
          <w:rFonts w:hint="cs"/>
          <w:rtl/>
        </w:rPr>
        <w:t xml:space="preserve"> </w:t>
      </w:r>
      <w:r w:rsidRPr="00D16BB6">
        <w:rPr>
          <w:rStyle w:val="af2"/>
          <w:rFonts w:eastAsia="Guttman Hodes" w:hint="cs"/>
          <w:rtl/>
        </w:rPr>
        <w:t>(סי' שי"ט א' ד"ה והמרדכי)</w:t>
      </w:r>
      <w:r w:rsidRPr="00BE47C5">
        <w:rPr>
          <w:rFonts w:hint="cs"/>
          <w:vanish/>
          <w:rtl/>
        </w:rPr>
        <w:t>=</w:t>
      </w:r>
      <w:r>
        <w:rPr>
          <w:rFonts w:hint="cs"/>
          <w:rtl/>
        </w:rPr>
        <w:t xml:space="preserve"> דמשמע מדברי </w:t>
      </w:r>
      <w:r w:rsidRPr="005506CE">
        <w:rPr>
          <w:rStyle w:val="aff4"/>
          <w:rFonts w:hint="cs"/>
          <w:vanish/>
          <w:rtl/>
        </w:rPr>
        <w:t>-</w:t>
      </w:r>
      <w:r w:rsidRPr="00A34B78">
        <w:rPr>
          <w:rStyle w:val="aff4"/>
          <w:rFonts w:hint="cs"/>
          <w:rtl/>
        </w:rPr>
        <w:t>הרמב"ם</w:t>
      </w:r>
      <w:r w:rsidRPr="005506CE">
        <w:rPr>
          <w:rStyle w:val="aff4"/>
          <w:rFonts w:hint="cs"/>
          <w:vanish/>
          <w:rtl/>
        </w:rPr>
        <w:t>-</w:t>
      </w:r>
      <w:r>
        <w:rPr>
          <w:rFonts w:hint="cs"/>
          <w:rtl/>
        </w:rPr>
        <w:t xml:space="preserve"> </w:t>
      </w:r>
      <w:r w:rsidRPr="00D16BB6">
        <w:rPr>
          <w:rStyle w:val="af2"/>
          <w:rFonts w:eastAsia="Guttman Hodes" w:hint="cs"/>
          <w:rtl/>
        </w:rPr>
        <w:t xml:space="preserve">(עי' אות </w:t>
      </w:r>
      <w:r w:rsidRPr="00D16BB6">
        <w:rPr>
          <w:rStyle w:val="af2"/>
          <w:rFonts w:eastAsia="Guttman Hodes"/>
          <w:rtl/>
        </w:rPr>
        <w:fldChar w:fldCharType="begin"/>
      </w:r>
      <w:r w:rsidRPr="00D16BB6">
        <w:rPr>
          <w:rStyle w:val="af2"/>
          <w:rFonts w:eastAsia="Guttman Hodes"/>
          <w:rtl/>
        </w:rPr>
        <w:instrText xml:space="preserve"> </w:instrText>
      </w:r>
      <w:r w:rsidRPr="00D16BB6">
        <w:rPr>
          <w:rStyle w:val="af2"/>
          <w:rFonts w:eastAsia="Guttman Hodes" w:hint="cs"/>
        </w:rPr>
        <w:instrText>REF</w:instrText>
      </w:r>
      <w:r w:rsidRPr="00D16BB6">
        <w:rPr>
          <w:rStyle w:val="af2"/>
          <w:rFonts w:eastAsia="Guttman Hodes" w:hint="cs"/>
          <w:rtl/>
        </w:rPr>
        <w:instrText xml:space="preserve"> _</w:instrText>
      </w:r>
      <w:r w:rsidRPr="00D16BB6">
        <w:rPr>
          <w:rStyle w:val="af2"/>
          <w:rFonts w:eastAsia="Guttman Hodes" w:hint="cs"/>
        </w:rPr>
        <w:instrText>Ref136812058 \r \h</w:instrText>
      </w:r>
      <w:r w:rsidRPr="00D16BB6">
        <w:rPr>
          <w:rStyle w:val="af2"/>
          <w:rFonts w:eastAsia="Guttman Hodes"/>
          <w:rtl/>
        </w:rPr>
        <w:instrText xml:space="preserve"> </w:instrText>
      </w:r>
      <w:r w:rsidRPr="00D16BB6">
        <w:rPr>
          <w:rStyle w:val="af2"/>
          <w:rFonts w:eastAsia="Guttman Hodes"/>
          <w:rtl/>
        </w:rPr>
      </w:r>
      <w:r w:rsidRPr="00D16BB6">
        <w:rPr>
          <w:rStyle w:val="af2"/>
          <w:rFonts w:eastAsia="Guttman Hodes"/>
          <w:rtl/>
        </w:rPr>
        <w:fldChar w:fldCharType="separate"/>
      </w:r>
      <w:r w:rsidR="00D82181">
        <w:rPr>
          <w:rStyle w:val="af2"/>
          <w:rFonts w:eastAsia="Guttman Hodes"/>
          <w:cs/>
        </w:rPr>
        <w:t>‎</w:t>
      </w:r>
      <w:r w:rsidR="00D82181">
        <w:rPr>
          <w:rStyle w:val="af2"/>
          <w:rFonts w:eastAsia="Guttman Hodes"/>
          <w:rtl/>
        </w:rPr>
        <w:t>לו)</w:t>
      </w:r>
      <w:r w:rsidRPr="00D16BB6">
        <w:rPr>
          <w:rStyle w:val="af2"/>
          <w:rFonts w:eastAsia="Guttman Hodes"/>
          <w:rtl/>
        </w:rPr>
        <w:fldChar w:fldCharType="end"/>
      </w:r>
      <w:r>
        <w:rPr>
          <w:rFonts w:hint="cs"/>
          <w:rtl/>
        </w:rPr>
        <w:t xml:space="preserve"> דבבורר אוכל מפסולת ע"מ להניח כמה שעות חייב, אבל בב' מינים החיוב הוא רק בבורר שחרית ע"מ להניח לבין הערביים, והקשה </w:t>
      </w:r>
      <w:r w:rsidRPr="00BE47C5">
        <w:rPr>
          <w:rStyle w:val="aff4"/>
          <w:rFonts w:hint="cs"/>
          <w:vanish/>
          <w:rtl/>
        </w:rPr>
        <w:t>-</w:t>
      </w:r>
      <w:r w:rsidRPr="00BF56CC">
        <w:rPr>
          <w:rStyle w:val="aff4"/>
          <w:rFonts w:hint="cs"/>
          <w:rtl/>
        </w:rPr>
        <w:t>הב"י</w:t>
      </w:r>
      <w:r w:rsidRPr="00BE47C5">
        <w:rPr>
          <w:rStyle w:val="aff4"/>
          <w:rFonts w:hint="cs"/>
          <w:vanish/>
          <w:rtl/>
        </w:rPr>
        <w:t>-</w:t>
      </w:r>
      <w:r>
        <w:rPr>
          <w:rFonts w:hint="cs"/>
          <w:rtl/>
        </w:rPr>
        <w:t xml:space="preserve"> דמנליה </w:t>
      </w:r>
      <w:r w:rsidRPr="00BE47C5">
        <w:rPr>
          <w:rStyle w:val="aff4"/>
          <w:rFonts w:hint="cs"/>
          <w:vanish/>
          <w:rtl/>
        </w:rPr>
        <w:t>-</w:t>
      </w:r>
      <w:r w:rsidRPr="00BF56CC">
        <w:rPr>
          <w:rStyle w:val="aff4"/>
          <w:rFonts w:hint="cs"/>
          <w:rtl/>
        </w:rPr>
        <w:t>להרמב"ם</w:t>
      </w:r>
      <w:r w:rsidRPr="00BE47C5">
        <w:rPr>
          <w:rStyle w:val="aff4"/>
          <w:rFonts w:hint="cs"/>
          <w:vanish/>
          <w:rtl/>
        </w:rPr>
        <w:t>-</w:t>
      </w:r>
      <w:r>
        <w:rPr>
          <w:rFonts w:hint="cs"/>
          <w:rtl/>
        </w:rPr>
        <w:t xml:space="preserve"> לחלק כן, ואם אין כוונת </w:t>
      </w:r>
      <w:r w:rsidRPr="00BE47C5">
        <w:rPr>
          <w:rStyle w:val="aff4"/>
          <w:rFonts w:hint="cs"/>
          <w:vanish/>
          <w:rtl/>
        </w:rPr>
        <w:t>-</w:t>
      </w:r>
      <w:r w:rsidRPr="00BF56CC">
        <w:rPr>
          <w:rStyle w:val="aff4"/>
          <w:rFonts w:hint="cs"/>
          <w:rtl/>
        </w:rPr>
        <w:t>הרמב"ם</w:t>
      </w:r>
      <w:r w:rsidRPr="00BE47C5">
        <w:rPr>
          <w:rStyle w:val="aff4"/>
          <w:rFonts w:hint="cs"/>
          <w:vanish/>
          <w:rtl/>
        </w:rPr>
        <w:t>-</w:t>
      </w:r>
      <w:r>
        <w:rPr>
          <w:rFonts w:hint="cs"/>
          <w:rtl/>
        </w:rPr>
        <w:t xml:space="preserve"> לומר כן קשה למה לא כלל את אוכל מפסולת וב' מינים יחד.</w:t>
      </w:r>
      <w:bookmarkEnd w:id="2365"/>
    </w:p>
    <w:p w14:paraId="4BCBC2B9" w14:textId="77777777" w:rsidR="00592982" w:rsidRPr="00747170" w:rsidRDefault="00592982" w:rsidP="00747170">
      <w:pPr>
        <w:pStyle w:val="a2"/>
      </w:pPr>
      <w:r w:rsidRPr="00747170">
        <w:rPr>
          <w:rtl/>
        </w:rPr>
        <w:t xml:space="preserve">והמרדכי (בהגהות ריש פרק כלל גדול) כתב דדוקא להתחיל ולאכול אחר ברירתו שרי אבל לאכול אחר שעה נעשה כבורר לאוצר. והרמב"ם בפרק ח' (הי"ב - יג) כתב וזה לשונו הבורר אוכל מתוך פסולת או שהיו לפניו שני מיני אוכלין ובירר מין ממין אחר בנפה ובכברה חייב בקנון ובתמחוי פטור אבל אסור ואם בירר בידו לאכול לאלתר מותר הבורר אוכל מתוך פסולת בידו להניחו אפילו לבו ביום נעשה כבורר לאוצר וחייב היו לפניו שני מיני אוכלין מעורבין בורר אחד מאחר ומניח לאכול מיד ואם בירר והניח לאחר זמן אפילו לבו ביום כגון שבירר שחרית לאכול בין הערביים חייב. ומשמע דלא שרי אלא לברור כדי לאכול מיד אחר ברירתו כדברי המרדכי. ואפשר שכל שבורר לצורך סעודה כל זמן שמיסב באותה סעודה חשוב לאלתר כדברי רבנו חננאל. ומכל מקום אם בירר להניח עד אחר שלש או ארבע שעות נראה מדבריו שיש חילוק בין בורר אוכל מתוך פסולת לבורר אוכל אחד מאחר דבבורר אוכל מתוך פסולת חייב ובבורר אוכל אחד מאחר לא מיחייב אלא אם כן בירר שחרית לאכול בין הערביים אלא שאיני יודע מנין לו חילוק זה ואם לא נתכוין לכך קשה אמאי פלגינהו בתרתי: </w:t>
      </w:r>
    </w:p>
    <w:p w14:paraId="62FA095F" w14:textId="29D0523D" w:rsidR="00592982" w:rsidRDefault="00592982" w:rsidP="00592982">
      <w:pPr>
        <w:pStyle w:val="afffff7"/>
        <w:rPr>
          <w:rtl/>
        </w:rPr>
      </w:pPr>
      <w:bookmarkStart w:id="2366" w:name="_Toc137742051"/>
      <w:bookmarkStart w:id="2367" w:name="_Toc163505819"/>
      <w:r>
        <w:rPr>
          <w:rFonts w:hint="cs"/>
          <w:rtl/>
        </w:rPr>
        <w:t>חידושי רבינו משה קזיס שבת ק"מ ע"א ד"ה ונותנים</w:t>
      </w:r>
      <w:bookmarkEnd w:id="2366"/>
      <w:bookmarkEnd w:id="2367"/>
    </w:p>
    <w:p w14:paraId="2D467D5F" w14:textId="77777777" w:rsidR="00592982" w:rsidRPr="009C63CB" w:rsidRDefault="00592982" w:rsidP="00592982">
      <w:pPr>
        <w:pStyle w:val="a7"/>
        <w:rPr>
          <w:rtl/>
        </w:rPr>
      </w:pPr>
      <w:bookmarkStart w:id="2368" w:name="_Toc137741967"/>
      <w:r>
        <w:rPr>
          <w:rFonts w:hint="cs"/>
          <w:rtl/>
        </w:rPr>
        <w:t>בי' המהר"ם קזיס ברמב"ם דגם החלבון וגם החלמון יורדים ול"ה בורר ולטור צ"ל דלא קפיד בזה</w:t>
      </w:r>
      <w:bookmarkEnd w:id="2368"/>
    </w:p>
    <w:p w14:paraId="044462A8" w14:textId="231CAC81" w:rsidR="00592982" w:rsidRPr="00041659" w:rsidRDefault="00592982" w:rsidP="00BC7DC8">
      <w:pPr>
        <w:pStyle w:val="a3"/>
        <w:rPr>
          <w:rtl/>
        </w:rPr>
      </w:pPr>
      <w:bookmarkStart w:id="2369" w:name="_Ref137741307"/>
      <w:r>
        <w:rPr>
          <w:rFonts w:hint="cs"/>
          <w:rtl/>
        </w:rPr>
        <w:t xml:space="preserve">עי' במ"ש </w:t>
      </w:r>
      <w:r w:rsidRPr="00FB5644">
        <w:rPr>
          <w:rStyle w:val="aff4"/>
          <w:rFonts w:hint="cs"/>
          <w:vanish/>
          <w:rtl/>
        </w:rPr>
        <w:t>-</w:t>
      </w:r>
      <w:r w:rsidRPr="00656632">
        <w:rPr>
          <w:rStyle w:val="aff4"/>
          <w:rFonts w:hint="cs"/>
          <w:rtl/>
        </w:rPr>
        <w:t>המהר"ם קזיס</w:t>
      </w:r>
      <w:r w:rsidRPr="00FB5644">
        <w:rPr>
          <w:rStyle w:val="aff4"/>
          <w:rFonts w:hint="cs"/>
          <w:vanish/>
          <w:rtl/>
        </w:rPr>
        <w:t>-</w:t>
      </w:r>
      <w:r>
        <w:rPr>
          <w:rFonts w:hint="cs"/>
          <w:rtl/>
        </w:rPr>
        <w:t xml:space="preserve"> </w:t>
      </w:r>
      <w:r w:rsidRPr="00D16BB6">
        <w:rPr>
          <w:rStyle w:val="af2"/>
          <w:rFonts w:eastAsia="Guttman Hodes" w:hint="cs"/>
          <w:rtl/>
        </w:rPr>
        <w:t xml:space="preserve">(עי' אות </w:t>
      </w:r>
      <w:r w:rsidRPr="00D16BB6">
        <w:rPr>
          <w:rStyle w:val="af2"/>
          <w:rFonts w:eastAsia="Guttman Hodes"/>
          <w:rtl/>
        </w:rPr>
        <w:fldChar w:fldCharType="begin"/>
      </w:r>
      <w:r w:rsidRPr="00D16BB6">
        <w:rPr>
          <w:rStyle w:val="af2"/>
          <w:rFonts w:eastAsia="Guttman Hodes"/>
          <w:rtl/>
        </w:rPr>
        <w:instrText xml:space="preserve"> </w:instrText>
      </w:r>
      <w:r w:rsidRPr="00D16BB6">
        <w:rPr>
          <w:rStyle w:val="af2"/>
          <w:rFonts w:eastAsia="Guttman Hodes" w:hint="cs"/>
        </w:rPr>
        <w:instrText>REF</w:instrText>
      </w:r>
      <w:r w:rsidRPr="00D16BB6">
        <w:rPr>
          <w:rStyle w:val="af2"/>
          <w:rFonts w:eastAsia="Guttman Hodes" w:hint="cs"/>
          <w:rtl/>
        </w:rPr>
        <w:instrText xml:space="preserve"> _</w:instrText>
      </w:r>
      <w:r w:rsidRPr="00D16BB6">
        <w:rPr>
          <w:rStyle w:val="af2"/>
          <w:rFonts w:eastAsia="Guttman Hodes" w:hint="cs"/>
        </w:rPr>
        <w:instrText>Ref137122528 \r \h</w:instrText>
      </w:r>
      <w:r w:rsidRPr="00D16BB6">
        <w:rPr>
          <w:rStyle w:val="af2"/>
          <w:rFonts w:eastAsia="Guttman Hodes"/>
          <w:rtl/>
        </w:rPr>
        <w:instrText xml:space="preserve">  \* </w:instrText>
      </w:r>
      <w:r w:rsidRPr="00D16BB6">
        <w:rPr>
          <w:rStyle w:val="af2"/>
          <w:rFonts w:eastAsia="Guttman Hodes"/>
        </w:rPr>
        <w:instrText>MERGEFORMAT</w:instrText>
      </w:r>
      <w:r w:rsidRPr="00D16BB6">
        <w:rPr>
          <w:rStyle w:val="af2"/>
          <w:rFonts w:eastAsia="Guttman Hodes"/>
          <w:rtl/>
        </w:rPr>
        <w:instrText xml:space="preserve"> </w:instrText>
      </w:r>
      <w:r w:rsidRPr="00D16BB6">
        <w:rPr>
          <w:rStyle w:val="af2"/>
          <w:rFonts w:eastAsia="Guttman Hodes"/>
          <w:rtl/>
        </w:rPr>
      </w:r>
      <w:r w:rsidRPr="00D16BB6">
        <w:rPr>
          <w:rStyle w:val="af2"/>
          <w:rFonts w:eastAsia="Guttman Hodes"/>
          <w:rtl/>
        </w:rPr>
        <w:fldChar w:fldCharType="separate"/>
      </w:r>
      <w:r w:rsidR="00D82181">
        <w:rPr>
          <w:rStyle w:val="af2"/>
          <w:rFonts w:eastAsia="Guttman Hodes"/>
          <w:cs/>
        </w:rPr>
        <w:t>‎</w:t>
      </w:r>
      <w:r w:rsidR="00D82181">
        <w:rPr>
          <w:rStyle w:val="af2"/>
          <w:rFonts w:eastAsia="Guttman Hodes"/>
          <w:rtl/>
        </w:rPr>
        <w:t>ו)</w:t>
      </w:r>
      <w:r w:rsidRPr="00D16BB6">
        <w:rPr>
          <w:rStyle w:val="af2"/>
          <w:rFonts w:eastAsia="Guttman Hodes"/>
          <w:rtl/>
        </w:rPr>
        <w:fldChar w:fldCharType="end"/>
      </w:r>
      <w:r>
        <w:rPr>
          <w:rFonts w:hint="cs"/>
          <w:rtl/>
        </w:rPr>
        <w:t xml:space="preserve"> </w:t>
      </w:r>
      <w:r w:rsidRPr="00FB5644">
        <w:rPr>
          <w:rStyle w:val="aff4"/>
          <w:rFonts w:hint="cs"/>
          <w:vanish/>
          <w:rtl/>
        </w:rPr>
        <w:t>-</w:t>
      </w:r>
      <w:r w:rsidRPr="00656632">
        <w:rPr>
          <w:rStyle w:val="aff4"/>
          <w:rFonts w:hint="cs"/>
          <w:rtl/>
        </w:rPr>
        <w:t>דלרש"י</w:t>
      </w:r>
      <w:r w:rsidRPr="00FB5644">
        <w:rPr>
          <w:rStyle w:val="aff4"/>
          <w:rFonts w:hint="cs"/>
          <w:vanish/>
          <w:rtl/>
        </w:rPr>
        <w:t>-</w:t>
      </w:r>
      <w:r>
        <w:rPr>
          <w:rFonts w:hint="cs"/>
          <w:rtl/>
        </w:rPr>
        <w:t xml:space="preserve"> מותר לסנן ביצה כיון דאין בורר באוכל מאוכל, ו</w:t>
      </w:r>
      <w:r w:rsidRPr="00041659">
        <w:rPr>
          <w:rFonts w:hint="cs"/>
          <w:rtl/>
        </w:rPr>
        <w:t xml:space="preserve">כתב </w:t>
      </w:r>
      <w:r w:rsidRPr="00BE47C5">
        <w:rPr>
          <w:rStyle w:val="aff4"/>
          <w:rFonts w:hint="cs"/>
          <w:vanish/>
          <w:rtl/>
        </w:rPr>
        <w:t>-</w:t>
      </w:r>
      <w:r w:rsidRPr="00BF56CC">
        <w:rPr>
          <w:rStyle w:val="aff4"/>
          <w:rFonts w:hint="cs"/>
          <w:rtl/>
        </w:rPr>
        <w:t>ה</w:t>
      </w:r>
      <w:r>
        <w:rPr>
          <w:rStyle w:val="aff4"/>
          <w:rFonts w:hint="cs"/>
          <w:rtl/>
        </w:rPr>
        <w:t xml:space="preserve">&lt;. </w:t>
      </w:r>
      <w:r>
        <w:rPr>
          <w:rStyle w:val="aff4"/>
          <w:rtl/>
        </w:rPr>
        <w:fldChar w:fldCharType="begin"/>
      </w:r>
      <w:r>
        <w:rPr>
          <w:rStyle w:val="aff4"/>
          <w:rtl/>
        </w:rPr>
        <w:instrText xml:space="preserve"> </w:instrText>
      </w:r>
      <w:r>
        <w:rPr>
          <w:rStyle w:val="aff4"/>
          <w:rFonts w:hint="cs"/>
        </w:rPr>
        <w:instrText>REF</w:instrText>
      </w:r>
      <w:r>
        <w:rPr>
          <w:rStyle w:val="aff4"/>
          <w:rFonts w:hint="cs"/>
          <w:rtl/>
        </w:rPr>
        <w:instrText xml:space="preserve"> _</w:instrText>
      </w:r>
      <w:r>
        <w:rPr>
          <w:rStyle w:val="aff4"/>
          <w:rFonts w:hint="cs"/>
        </w:rPr>
        <w:instrText>Ref137741307 \r \h</w:instrText>
      </w:r>
      <w:r>
        <w:rPr>
          <w:rStyle w:val="aff4"/>
          <w:rtl/>
        </w:rPr>
        <w:instrText xml:space="preserve"> </w:instrText>
      </w:r>
      <w:r>
        <w:rPr>
          <w:rStyle w:val="aff4"/>
          <w:rtl/>
        </w:rPr>
      </w:r>
      <w:r>
        <w:rPr>
          <w:rStyle w:val="aff4"/>
          <w:rtl/>
        </w:rPr>
        <w:fldChar w:fldCharType="separate"/>
      </w:r>
      <w:r w:rsidR="00D82181">
        <w:rPr>
          <w:rStyle w:val="aff4"/>
          <w:cs/>
        </w:rPr>
        <w:t>‎</w:t>
      </w:r>
      <w:r w:rsidR="00D82181">
        <w:rPr>
          <w:rStyle w:val="aff4"/>
          <w:rtl/>
        </w:rPr>
        <w:t>לח)</w:t>
      </w:r>
      <w:r>
        <w:rPr>
          <w:rStyle w:val="aff4"/>
          <w:rtl/>
        </w:rPr>
        <w:fldChar w:fldCharType="end"/>
      </w:r>
      <w:r>
        <w:rPr>
          <w:rStyle w:val="aff4"/>
          <w:rFonts w:hint="cs"/>
          <w:rtl/>
        </w:rPr>
        <w:t xml:space="preserve"> &gt;</w:t>
      </w:r>
      <w:r w:rsidRPr="00BF56CC">
        <w:rPr>
          <w:rStyle w:val="aff4"/>
          <w:rFonts w:hint="cs"/>
          <w:rtl/>
        </w:rPr>
        <w:t>מהר"ם קזיס לקמן</w:t>
      </w:r>
      <w:r w:rsidRPr="00BE47C5">
        <w:rPr>
          <w:rStyle w:val="aff4"/>
          <w:rFonts w:hint="cs"/>
          <w:vanish/>
          <w:rtl/>
        </w:rPr>
        <w:t>-</w:t>
      </w:r>
      <w:r>
        <w:rPr>
          <w:rFonts w:hint="cs"/>
          <w:rtl/>
        </w:rPr>
        <w:t xml:space="preserve"> </w:t>
      </w:r>
      <w:r w:rsidRPr="00D16BB6">
        <w:rPr>
          <w:rStyle w:val="af2"/>
          <w:rFonts w:eastAsia="Guttman Hodes" w:hint="cs"/>
          <w:rtl/>
        </w:rPr>
        <w:t xml:space="preserve">(קמ. ד"ה </w:t>
      </w:r>
      <w:r w:rsidRPr="00D16BB6">
        <w:rPr>
          <w:rStyle w:val="af2"/>
          <w:rFonts w:eastAsia="Guttman Hodes" w:hint="cs"/>
          <w:rtl/>
        </w:rPr>
        <w:lastRenderedPageBreak/>
        <w:t>ונותנים)</w:t>
      </w:r>
      <w:r w:rsidRPr="00BE47C5">
        <w:rPr>
          <w:rFonts w:hint="cs"/>
          <w:vanish/>
          <w:rtl/>
        </w:rPr>
        <w:t>=</w:t>
      </w:r>
      <w:r>
        <w:rPr>
          <w:rFonts w:hint="cs"/>
          <w:rtl/>
        </w:rPr>
        <w:t xml:space="preserve"> </w:t>
      </w:r>
      <w:r w:rsidRPr="00041659">
        <w:rPr>
          <w:rFonts w:hint="cs"/>
          <w:rtl/>
        </w:rPr>
        <w:t xml:space="preserve">דלדעת </w:t>
      </w:r>
      <w:r w:rsidRPr="00FB5644">
        <w:rPr>
          <w:rStyle w:val="aff4"/>
          <w:rFonts w:hint="cs"/>
          <w:vanish/>
          <w:rtl/>
        </w:rPr>
        <w:t>-</w:t>
      </w:r>
      <w:r w:rsidRPr="00656632">
        <w:rPr>
          <w:rStyle w:val="aff4"/>
          <w:rFonts w:hint="cs"/>
          <w:rtl/>
        </w:rPr>
        <w:t>הרמב"ם</w:t>
      </w:r>
      <w:r w:rsidRPr="00FB5644">
        <w:rPr>
          <w:rStyle w:val="aff4"/>
          <w:rFonts w:hint="cs"/>
          <w:vanish/>
          <w:rtl/>
        </w:rPr>
        <w:t>-</w:t>
      </w:r>
      <w:r w:rsidRPr="00041659">
        <w:rPr>
          <w:rFonts w:hint="cs"/>
          <w:rtl/>
        </w:rPr>
        <w:t xml:space="preserve"> </w:t>
      </w:r>
      <w:r w:rsidRPr="00D16BB6">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Ref137673024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לו)</w:t>
      </w:r>
      <w:r>
        <w:rPr>
          <w:rStyle w:val="af2"/>
          <w:rFonts w:eastAsia="Guttman Hodes"/>
          <w:rtl/>
        </w:rPr>
        <w:fldChar w:fldCharType="end"/>
      </w:r>
      <w:r w:rsidRPr="00041659">
        <w:rPr>
          <w:rFonts w:hint="cs"/>
          <w:rtl/>
        </w:rPr>
        <w:t xml:space="preserve"> </w:t>
      </w:r>
      <w:r w:rsidRPr="00FB5644">
        <w:rPr>
          <w:rStyle w:val="aff4"/>
          <w:rFonts w:hint="cs"/>
          <w:vanish/>
          <w:rtl/>
        </w:rPr>
        <w:t>-</w:t>
      </w:r>
      <w:r w:rsidRPr="00656632">
        <w:rPr>
          <w:rStyle w:val="aff4"/>
          <w:rFonts w:hint="cs"/>
          <w:rtl/>
        </w:rPr>
        <w:t>והרא"ש</w:t>
      </w:r>
      <w:r w:rsidRPr="00FB5644">
        <w:rPr>
          <w:rStyle w:val="aff4"/>
          <w:rFonts w:hint="cs"/>
          <w:vanish/>
          <w:rtl/>
        </w:rPr>
        <w:t>-</w:t>
      </w:r>
      <w:r w:rsidRPr="00041659">
        <w:rPr>
          <w:rFonts w:hint="cs"/>
          <w:rtl/>
        </w:rPr>
        <w:t xml:space="preserve"> </w:t>
      </w:r>
      <w:r w:rsidRPr="00D16BB6">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Ref137671185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w:t>
      </w:r>
      <w:r>
        <w:rPr>
          <w:rStyle w:val="af2"/>
          <w:rFonts w:eastAsia="Guttman Hodes"/>
          <w:rtl/>
        </w:rPr>
        <w:fldChar w:fldCharType="end"/>
      </w:r>
      <w:r w:rsidRPr="00041659">
        <w:rPr>
          <w:rFonts w:hint="cs"/>
          <w:rtl/>
        </w:rPr>
        <w:t xml:space="preserve"> דכתבו שיש ברירה בב' מיני אוכלין, צ"ל דגם החלמון וגם החלבון יורדים במסננת ומניחם כך כדי שירדו מעט, אך הקשה </w:t>
      </w:r>
      <w:r w:rsidRPr="00FB5644">
        <w:rPr>
          <w:rStyle w:val="aff4"/>
          <w:rFonts w:hint="cs"/>
          <w:vanish/>
          <w:rtl/>
        </w:rPr>
        <w:t>-</w:t>
      </w:r>
      <w:r w:rsidRPr="00656632">
        <w:rPr>
          <w:rStyle w:val="aff4"/>
          <w:rFonts w:hint="cs"/>
          <w:rtl/>
        </w:rPr>
        <w:t>המהר"ם קזיס</w:t>
      </w:r>
      <w:r w:rsidRPr="00FB5644">
        <w:rPr>
          <w:rStyle w:val="aff4"/>
          <w:rFonts w:hint="cs"/>
          <w:vanish/>
          <w:rtl/>
        </w:rPr>
        <w:t>-</w:t>
      </w:r>
      <w:r w:rsidRPr="00041659">
        <w:rPr>
          <w:rFonts w:hint="cs"/>
          <w:rtl/>
        </w:rPr>
        <w:t xml:space="preserve"> דהא </w:t>
      </w:r>
      <w:r w:rsidRPr="00FB5644">
        <w:rPr>
          <w:rStyle w:val="aff4"/>
          <w:rFonts w:hint="cs"/>
          <w:vanish/>
          <w:rtl/>
        </w:rPr>
        <w:t>-</w:t>
      </w:r>
      <w:r w:rsidRPr="00656632">
        <w:rPr>
          <w:rStyle w:val="aff4"/>
          <w:rFonts w:hint="cs"/>
          <w:rtl/>
        </w:rPr>
        <w:t>הטור</w:t>
      </w:r>
      <w:r w:rsidRPr="00FB5644">
        <w:rPr>
          <w:rStyle w:val="aff4"/>
          <w:rFonts w:hint="cs"/>
          <w:vanish/>
          <w:rtl/>
        </w:rPr>
        <w:t>-</w:t>
      </w:r>
      <w:r w:rsidRPr="00041659">
        <w:rPr>
          <w:rFonts w:hint="cs"/>
          <w:rtl/>
        </w:rPr>
        <w:t xml:space="preserve"> </w:t>
      </w:r>
      <w:r w:rsidRPr="00D16BB6">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Ref137639512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כא)</w:t>
      </w:r>
      <w:r>
        <w:rPr>
          <w:rStyle w:val="af2"/>
          <w:rFonts w:eastAsia="Guttman Hodes"/>
          <w:rtl/>
        </w:rPr>
        <w:fldChar w:fldCharType="end"/>
      </w:r>
      <w:r w:rsidRPr="00041659">
        <w:rPr>
          <w:rFonts w:hint="cs"/>
          <w:rtl/>
        </w:rPr>
        <w:t xml:space="preserve"> ס"ל דיש ברירה בב' מיני אוכלין, ואפ"ה כתב </w:t>
      </w:r>
      <w:r w:rsidRPr="00FB5644">
        <w:rPr>
          <w:rStyle w:val="aff4"/>
          <w:rFonts w:hint="cs"/>
          <w:vanish/>
          <w:rtl/>
        </w:rPr>
        <w:t>-</w:t>
      </w:r>
      <w:r w:rsidRPr="00656632">
        <w:rPr>
          <w:rStyle w:val="aff4"/>
          <w:rFonts w:hint="cs"/>
          <w:rtl/>
        </w:rPr>
        <w:t>הטור</w:t>
      </w:r>
      <w:r w:rsidRPr="00FB5644">
        <w:rPr>
          <w:rStyle w:val="aff4"/>
          <w:rFonts w:hint="cs"/>
          <w:vanish/>
          <w:rtl/>
        </w:rPr>
        <w:t>-</w:t>
      </w:r>
      <w:r w:rsidRPr="00041659">
        <w:rPr>
          <w:rFonts w:hint="cs"/>
          <w:rtl/>
        </w:rPr>
        <w:t xml:space="preserve"> </w:t>
      </w:r>
      <w:r w:rsidRPr="00D16BB6">
        <w:rPr>
          <w:rStyle w:val="af2"/>
          <w:rFonts w:eastAsia="Guttman Hodes" w:hint="cs"/>
          <w:rtl/>
        </w:rPr>
        <w:t>(סו"ס שי"ט)</w:t>
      </w:r>
      <w:r w:rsidRPr="00041659">
        <w:rPr>
          <w:rFonts w:hint="cs"/>
          <w:rtl/>
        </w:rPr>
        <w:t xml:space="preserve"> דהחלבון נשאר למעלה,</w:t>
      </w:r>
      <w:r>
        <w:rPr>
          <w:rFonts w:hint="cs"/>
          <w:rtl/>
        </w:rPr>
        <w:t xml:space="preserve"> </w:t>
      </w:r>
      <w:r w:rsidRPr="00041659">
        <w:rPr>
          <w:rFonts w:hint="cs"/>
          <w:rtl/>
        </w:rPr>
        <w:t>ותירץ דכוונתו שאינו מקפיד אם ירד החלבון, ומניחה הביצה כך בכדי לגוון כשיורד מעט מעט, ולכן לא הוי ברירה.</w:t>
      </w:r>
      <w:bookmarkEnd w:id="2369"/>
      <w:r w:rsidRPr="00041659">
        <w:rPr>
          <w:rFonts w:hint="cs"/>
          <w:rtl/>
        </w:rPr>
        <w:t xml:space="preserve"> </w:t>
      </w:r>
    </w:p>
    <w:p w14:paraId="4E8982E6" w14:textId="77777777" w:rsidR="00592982" w:rsidRPr="00747170" w:rsidRDefault="00592982" w:rsidP="00747170">
      <w:pPr>
        <w:pStyle w:val="a2"/>
      </w:pPr>
      <w:r w:rsidRPr="00747170">
        <w:rPr>
          <w:rtl/>
        </w:rPr>
        <w:t>אבל הרמב"ם גורס שני מיני אוכלין וכן הרא"ש</w:t>
      </w:r>
      <w:r w:rsidRPr="00747170">
        <w:rPr>
          <w:rFonts w:hint="cs"/>
          <w:rtl/>
        </w:rPr>
        <w:t xml:space="preserve"> </w:t>
      </w:r>
      <w:r w:rsidRPr="00747170">
        <w:rPr>
          <w:rtl/>
        </w:rPr>
        <w:t>וכתבו שאף בשני מיני אוכלין אם בירר האחד מחבירו יש בו איסור בורר ולפי זה נראה שצריך לפרש שאינו מניח הביצה בתוך המסננת כדי שיסר החלמון וישאר החלבון למעלה אלא שניהם יורדים למטה ומה שנותנה במסננת ואינו נותנה בכלי שהחרדל יורד בו כדי שתרד מעט מעט עם החרדל ותתפשט בכולו שתתן מראה וגוון לכל החרדל בשוה וכן נראה מפי' רבינו ישעיה</w:t>
      </w:r>
      <w:r w:rsidRPr="00747170">
        <w:rPr>
          <w:rFonts w:hint="cs"/>
          <w:rtl/>
        </w:rPr>
        <w:t>.</w:t>
      </w:r>
    </w:p>
    <w:p w14:paraId="0C6F906B" w14:textId="77777777" w:rsidR="00592982" w:rsidRPr="00C61A8D" w:rsidRDefault="00592982" w:rsidP="00747170">
      <w:pPr>
        <w:pStyle w:val="afffff5"/>
        <w:rPr>
          <w:rtl/>
        </w:rPr>
      </w:pPr>
      <w:r w:rsidRPr="00C61A8D">
        <w:rPr>
          <w:rtl/>
        </w:rPr>
        <w:t>אמנם הטור כתב בסי' שי"ט זל"ש מסננת שנתן בה חרדל לסננו מותר לי</w:t>
      </w:r>
      <w:r w:rsidRPr="00C61A8D">
        <w:rPr>
          <w:rFonts w:hint="cs"/>
          <w:rtl/>
        </w:rPr>
        <w:t>ת</w:t>
      </w:r>
      <w:r w:rsidRPr="00C61A8D">
        <w:rPr>
          <w:rtl/>
        </w:rPr>
        <w:t xml:space="preserve">ן בה ביצה אע"פ שהחלמון יורד למטה עם החרדל והחלבון נשאר למעלה עם הפסולת לא </w:t>
      </w:r>
      <w:r w:rsidRPr="00C61A8D">
        <w:rPr>
          <w:rFonts w:hint="cs"/>
          <w:rtl/>
        </w:rPr>
        <w:t>ח</w:t>
      </w:r>
      <w:r w:rsidRPr="00C61A8D">
        <w:rPr>
          <w:rtl/>
        </w:rPr>
        <w:t>שיב כבורר שהחלבון והחלמון שניהן אוכלין הן ואין נותני' אותו לתוכו אלא לתקן מראה החרדל הלכך לא חשיב כבורר אוכל מתוך פסולת וקשה שהרי הוא כתב בסי' הנז' שיש ברירה בשני מיני אוכלין ונ"ל לומר שכוונת הטור שאע"פ שהחלבון למעלה אין האדם מקפיד שלא ירד עם החלמון שהרי אוכל הוא ולא היה מקלקל החרדל בירידתו לתוכו ומה שנותנ</w:t>
      </w:r>
      <w:r w:rsidRPr="00C61A8D">
        <w:rPr>
          <w:rFonts w:hint="cs"/>
          <w:rtl/>
        </w:rPr>
        <w:t>י'</w:t>
      </w:r>
      <w:r w:rsidRPr="00C61A8D">
        <w:rPr>
          <w:rtl/>
        </w:rPr>
        <w:t xml:space="preserve"> אותה לתוך המסננת ולא לתוך הכלי התחתון אין הכוונה כדי להפריש החלבון מן החלמון אלא כדי לתקן מראה החרדל כשיורד מעט מעט</w:t>
      </w:r>
      <w:r w:rsidRPr="00C61A8D">
        <w:rPr>
          <w:rFonts w:hint="cs"/>
          <w:rtl/>
        </w:rPr>
        <w:t>.</w:t>
      </w:r>
    </w:p>
    <w:p w14:paraId="2F040AB3" w14:textId="25A903A9" w:rsidR="00592982" w:rsidRDefault="00592982" w:rsidP="00592982">
      <w:pPr>
        <w:pStyle w:val="afffff7"/>
        <w:rPr>
          <w:rtl/>
        </w:rPr>
      </w:pPr>
      <w:bookmarkStart w:id="2370" w:name="_Toc137742052"/>
      <w:bookmarkStart w:id="2371" w:name="_Toc163505820"/>
      <w:r>
        <w:rPr>
          <w:rtl/>
        </w:rPr>
        <w:t>ראש יוסף שבת ע"ד ע"א</w:t>
      </w:r>
      <w:r>
        <w:rPr>
          <w:rFonts w:hint="cs"/>
          <w:rtl/>
        </w:rPr>
        <w:t xml:space="preserve"> ד</w:t>
      </w:r>
      <w:r>
        <w:rPr>
          <w:rFonts w:cs="Guttman Hodes" w:hint="cs"/>
          <w:rtl/>
        </w:rPr>
        <w:t>"</w:t>
      </w:r>
      <w:r>
        <w:rPr>
          <w:rFonts w:hint="cs"/>
          <w:rtl/>
        </w:rPr>
        <w:t>ה והנה</w:t>
      </w:r>
      <w:bookmarkEnd w:id="2370"/>
      <w:bookmarkEnd w:id="2371"/>
    </w:p>
    <w:p w14:paraId="491B46D9" w14:textId="77777777" w:rsidR="00592982" w:rsidRDefault="00592982" w:rsidP="00592982">
      <w:pPr>
        <w:pStyle w:val="afffff7"/>
        <w:rPr>
          <w:rtl/>
        </w:rPr>
      </w:pPr>
      <w:bookmarkStart w:id="2372" w:name="_Toc137742053"/>
      <w:bookmarkStart w:id="2373" w:name="_Toc163505821"/>
      <w:r>
        <w:rPr>
          <w:rtl/>
        </w:rPr>
        <w:t xml:space="preserve">פרי מגדים </w:t>
      </w:r>
      <w:r>
        <w:rPr>
          <w:rFonts w:hint="cs"/>
          <w:rtl/>
        </w:rPr>
        <w:t>או"ח משב"ז סי'</w:t>
      </w:r>
      <w:r>
        <w:rPr>
          <w:rtl/>
        </w:rPr>
        <w:t xml:space="preserve"> שי</w:t>
      </w:r>
      <w:r>
        <w:rPr>
          <w:rFonts w:hint="cs"/>
          <w:rtl/>
        </w:rPr>
        <w:t>"</w:t>
      </w:r>
      <w:r>
        <w:rPr>
          <w:rtl/>
        </w:rPr>
        <w:t>ט סק"ב</w:t>
      </w:r>
      <w:r>
        <w:rPr>
          <w:rFonts w:hint="cs"/>
          <w:rtl/>
        </w:rPr>
        <w:t xml:space="preserve"> ד"ה ומפני</w:t>
      </w:r>
      <w:bookmarkEnd w:id="2372"/>
      <w:bookmarkEnd w:id="2373"/>
    </w:p>
    <w:p w14:paraId="3679DA29" w14:textId="77777777" w:rsidR="00592982" w:rsidRDefault="00592982" w:rsidP="00592982">
      <w:pPr>
        <w:pStyle w:val="a7"/>
        <w:rPr>
          <w:rtl/>
        </w:rPr>
      </w:pPr>
      <w:bookmarkStart w:id="2374" w:name="_Toc137741968"/>
      <w:r>
        <w:rPr>
          <w:rFonts w:hint="cs"/>
          <w:rtl/>
        </w:rPr>
        <w:t>ספק הפרמ"ג ברמב"ם אי יש בורר באוכל מאוכל אף כשאין א' מהם דחשיב כפסולת ודלא כתוס'</w:t>
      </w:r>
      <w:bookmarkEnd w:id="2374"/>
    </w:p>
    <w:p w14:paraId="7BB31CE0" w14:textId="7BCE4F70" w:rsidR="00592982" w:rsidRDefault="00592982" w:rsidP="00BC7DC8">
      <w:pPr>
        <w:pStyle w:val="a3"/>
      </w:pPr>
      <w:bookmarkStart w:id="2375" w:name="_Ref137720479"/>
      <w:r>
        <w:rPr>
          <w:rFonts w:hint="cs"/>
          <w:rtl/>
        </w:rPr>
        <w:t>עי' במ"ש</w:t>
      </w:r>
      <w:r w:rsidRPr="00BA73A6">
        <w:rPr>
          <w:rStyle w:val="aff4"/>
          <w:rFonts w:hint="cs"/>
          <w:vanish/>
          <w:rtl/>
        </w:rPr>
        <w:t>-</w:t>
      </w:r>
      <w:r>
        <w:rPr>
          <w:rStyle w:val="aff4"/>
          <w:rFonts w:hint="cs"/>
          <w:rtl/>
        </w:rPr>
        <w:t xml:space="preserve"> ב</w:t>
      </w:r>
      <w:r w:rsidRPr="00BA73A6">
        <w:rPr>
          <w:rStyle w:val="aff4"/>
          <w:rFonts w:hint="cs"/>
          <w:vanish/>
          <w:rtl/>
        </w:rPr>
        <w:t xml:space="preserve">&lt;. </w:t>
      </w:r>
      <w:r w:rsidRPr="00BA73A6">
        <w:rPr>
          <w:rStyle w:val="aff4"/>
          <w:vanish/>
          <w:rtl/>
        </w:rPr>
        <w:fldChar w:fldCharType="begin"/>
      </w:r>
      <w:r w:rsidRPr="00BA73A6">
        <w:rPr>
          <w:rStyle w:val="aff4"/>
          <w:vanish/>
          <w:rtl/>
        </w:rPr>
        <w:instrText xml:space="preserve"> </w:instrText>
      </w:r>
      <w:r w:rsidRPr="00BA73A6">
        <w:rPr>
          <w:rStyle w:val="aff4"/>
          <w:rFonts w:hint="cs"/>
          <w:vanish/>
        </w:rPr>
        <w:instrText>REF</w:instrText>
      </w:r>
      <w:r w:rsidRPr="00BA73A6">
        <w:rPr>
          <w:rStyle w:val="aff4"/>
          <w:rFonts w:hint="cs"/>
          <w:vanish/>
          <w:rtl/>
        </w:rPr>
        <w:instrText xml:space="preserve"> _</w:instrText>
      </w:r>
      <w:r w:rsidRPr="00BA73A6">
        <w:rPr>
          <w:rStyle w:val="aff4"/>
          <w:rFonts w:hint="cs"/>
          <w:vanish/>
        </w:rPr>
        <w:instrText>Ref137720479 \r \h</w:instrText>
      </w:r>
      <w:r w:rsidRPr="00BA73A6">
        <w:rPr>
          <w:rStyle w:val="aff4"/>
          <w:vanish/>
          <w:rtl/>
        </w:rPr>
        <w:instrText xml:space="preserve"> </w:instrText>
      </w:r>
      <w:r w:rsidRPr="00BA73A6">
        <w:rPr>
          <w:rStyle w:val="aff4"/>
          <w:vanish/>
          <w:rtl/>
        </w:rPr>
      </w:r>
      <w:r w:rsidRPr="00BA73A6">
        <w:rPr>
          <w:rStyle w:val="aff4"/>
          <w:vanish/>
          <w:rtl/>
        </w:rPr>
        <w:fldChar w:fldCharType="separate"/>
      </w:r>
      <w:r w:rsidR="00D82181">
        <w:rPr>
          <w:rStyle w:val="aff4"/>
          <w:vanish/>
          <w:cs/>
        </w:rPr>
        <w:t>‎</w:t>
      </w:r>
      <w:r w:rsidR="00D82181">
        <w:rPr>
          <w:rStyle w:val="aff4"/>
          <w:vanish/>
          <w:rtl/>
        </w:rPr>
        <w:t>לט)</w:t>
      </w:r>
      <w:r w:rsidRPr="00BA73A6">
        <w:rPr>
          <w:rStyle w:val="aff4"/>
          <w:vanish/>
          <w:rtl/>
        </w:rPr>
        <w:fldChar w:fldCharType="end"/>
      </w:r>
      <w:r w:rsidRPr="00BA73A6">
        <w:rPr>
          <w:rStyle w:val="aff4"/>
          <w:rFonts w:hint="cs"/>
          <w:vanish/>
          <w:rtl/>
        </w:rPr>
        <w:t xml:space="preserve"> &gt;</w:t>
      </w:r>
      <w:r w:rsidRPr="00BF56CC">
        <w:rPr>
          <w:rStyle w:val="aff4"/>
          <w:rFonts w:hint="cs"/>
          <w:rtl/>
        </w:rPr>
        <w:t>ראש יוסף</w:t>
      </w:r>
      <w:r w:rsidRPr="00BA73A6">
        <w:rPr>
          <w:rStyle w:val="aff4"/>
          <w:rFonts w:hint="cs"/>
          <w:vanish/>
          <w:rtl/>
        </w:rPr>
        <w:t>-</w:t>
      </w:r>
      <w:r>
        <w:rPr>
          <w:rFonts w:hint="cs"/>
          <w:rtl/>
        </w:rPr>
        <w:t xml:space="preserve"> </w:t>
      </w:r>
      <w:r w:rsidRPr="00BA73A6">
        <w:rPr>
          <w:rStyle w:val="af2"/>
          <w:rFonts w:eastAsia="Guttman Hodes" w:hint="cs"/>
          <w:rtl/>
        </w:rPr>
        <w:t xml:space="preserve">(עי' אות </w:t>
      </w:r>
      <w:r w:rsidRPr="00BA73A6">
        <w:rPr>
          <w:rStyle w:val="af2"/>
          <w:rFonts w:eastAsia="Guttman Hodes"/>
          <w:rtl/>
        </w:rPr>
        <w:fldChar w:fldCharType="begin"/>
      </w:r>
      <w:r w:rsidRPr="00BA73A6">
        <w:rPr>
          <w:rStyle w:val="af2"/>
          <w:rFonts w:eastAsia="Guttman Hodes"/>
          <w:rtl/>
        </w:rPr>
        <w:instrText xml:space="preserve"> </w:instrText>
      </w:r>
      <w:r w:rsidRPr="00BA73A6">
        <w:rPr>
          <w:rStyle w:val="af2"/>
          <w:rFonts w:eastAsia="Guttman Hodes" w:hint="cs"/>
        </w:rPr>
        <w:instrText>REF</w:instrText>
      </w:r>
      <w:r w:rsidRPr="00BA73A6">
        <w:rPr>
          <w:rStyle w:val="af2"/>
          <w:rFonts w:eastAsia="Guttman Hodes" w:hint="cs"/>
          <w:rtl/>
        </w:rPr>
        <w:instrText xml:space="preserve"> _</w:instrText>
      </w:r>
      <w:r w:rsidRPr="00BA73A6">
        <w:rPr>
          <w:rStyle w:val="af2"/>
          <w:rFonts w:eastAsia="Guttman Hodes" w:hint="cs"/>
        </w:rPr>
        <w:instrText>Ref137574528 \r \h</w:instrText>
      </w:r>
      <w:r w:rsidRPr="00BA73A6">
        <w:rPr>
          <w:rStyle w:val="af2"/>
          <w:rFonts w:eastAsia="Guttman Hodes"/>
          <w:rtl/>
        </w:rPr>
        <w:instrText xml:space="preserve"> </w:instrText>
      </w:r>
      <w:r w:rsidRPr="00BA73A6">
        <w:rPr>
          <w:rStyle w:val="af2"/>
          <w:rFonts w:eastAsia="Guttman Hodes"/>
          <w:rtl/>
        </w:rPr>
      </w:r>
      <w:r w:rsidRPr="00BA73A6">
        <w:rPr>
          <w:rStyle w:val="af2"/>
          <w:rFonts w:eastAsia="Guttman Hodes"/>
          <w:rtl/>
        </w:rPr>
        <w:fldChar w:fldCharType="separate"/>
      </w:r>
      <w:r w:rsidR="00D82181">
        <w:rPr>
          <w:rStyle w:val="af2"/>
          <w:rFonts w:eastAsia="Guttman Hodes"/>
          <w:cs/>
        </w:rPr>
        <w:t>‎</w:t>
      </w:r>
      <w:r w:rsidR="00D82181">
        <w:rPr>
          <w:rStyle w:val="af2"/>
          <w:rFonts w:eastAsia="Guttman Hodes"/>
          <w:rtl/>
        </w:rPr>
        <w:t>מב)</w:t>
      </w:r>
      <w:r w:rsidRPr="00BA73A6">
        <w:rPr>
          <w:rStyle w:val="af2"/>
          <w:rFonts w:eastAsia="Guttman Hodes"/>
          <w:rtl/>
        </w:rPr>
        <w:fldChar w:fldCharType="end"/>
      </w:r>
      <w:r w:rsidRPr="00BA73A6">
        <w:rPr>
          <w:rFonts w:hint="cs"/>
          <w:vanish/>
          <w:rtl/>
        </w:rPr>
        <w:t>=</w:t>
      </w:r>
      <w:r>
        <w:rPr>
          <w:rFonts w:hint="cs"/>
          <w:rtl/>
        </w:rPr>
        <w:t xml:space="preserve"> </w:t>
      </w:r>
      <w:r w:rsidRPr="00BA73A6">
        <w:rPr>
          <w:rStyle w:val="aff4"/>
          <w:rFonts w:hint="cs"/>
          <w:vanish/>
          <w:rtl/>
        </w:rPr>
        <w:t>-</w:t>
      </w:r>
      <w:r>
        <w:rPr>
          <w:rStyle w:val="aff4"/>
          <w:rFonts w:hint="cs"/>
          <w:rtl/>
        </w:rPr>
        <w:t>וב</w:t>
      </w:r>
      <w:r w:rsidRPr="00BA73A6">
        <w:rPr>
          <w:rStyle w:val="aff4"/>
          <w:rFonts w:hint="cs"/>
          <w:vanish/>
          <w:rtl/>
        </w:rPr>
        <w:t>&lt; &gt;</w:t>
      </w:r>
      <w:r w:rsidRPr="00BF56CC">
        <w:rPr>
          <w:rStyle w:val="aff4"/>
          <w:rFonts w:hint="cs"/>
          <w:rtl/>
        </w:rPr>
        <w:t>פרמ"ג</w:t>
      </w:r>
      <w:r w:rsidRPr="00BA73A6">
        <w:rPr>
          <w:rStyle w:val="aff4"/>
          <w:rFonts w:hint="cs"/>
          <w:vanish/>
          <w:rtl/>
        </w:rPr>
        <w:t>-</w:t>
      </w:r>
      <w:r>
        <w:rPr>
          <w:rFonts w:hint="cs"/>
          <w:rtl/>
        </w:rPr>
        <w:t xml:space="preserve"> </w:t>
      </w:r>
      <w:r w:rsidRPr="00BA73A6">
        <w:rPr>
          <w:rStyle w:val="af2"/>
          <w:rFonts w:eastAsia="Guttman Hodes" w:hint="cs"/>
          <w:rtl/>
        </w:rPr>
        <w:t xml:space="preserve">(עי' אות </w:t>
      </w:r>
      <w:r w:rsidRPr="00BA73A6">
        <w:rPr>
          <w:rStyle w:val="af2"/>
          <w:rFonts w:eastAsia="Guttman Hodes"/>
          <w:rtl/>
        </w:rPr>
        <w:fldChar w:fldCharType="begin"/>
      </w:r>
      <w:r w:rsidRPr="00BA73A6">
        <w:rPr>
          <w:rStyle w:val="af2"/>
          <w:rFonts w:eastAsia="Guttman Hodes"/>
          <w:rtl/>
        </w:rPr>
        <w:instrText xml:space="preserve"> </w:instrText>
      </w:r>
      <w:r w:rsidRPr="00BA73A6">
        <w:rPr>
          <w:rStyle w:val="af2"/>
          <w:rFonts w:eastAsia="Guttman Hodes" w:hint="cs"/>
        </w:rPr>
        <w:instrText>REF</w:instrText>
      </w:r>
      <w:r w:rsidRPr="00BA73A6">
        <w:rPr>
          <w:rStyle w:val="af2"/>
          <w:rFonts w:eastAsia="Guttman Hodes" w:hint="cs"/>
          <w:rtl/>
        </w:rPr>
        <w:instrText xml:space="preserve"> _</w:instrText>
      </w:r>
      <w:r w:rsidRPr="00BA73A6">
        <w:rPr>
          <w:rStyle w:val="af2"/>
          <w:rFonts w:eastAsia="Guttman Hodes" w:hint="cs"/>
        </w:rPr>
        <w:instrText>Ref137722592 \r \h</w:instrText>
      </w:r>
      <w:r w:rsidRPr="00BA73A6">
        <w:rPr>
          <w:rStyle w:val="af2"/>
          <w:rFonts w:eastAsia="Guttman Hodes"/>
          <w:rtl/>
        </w:rPr>
        <w:instrText xml:space="preserve"> </w:instrText>
      </w:r>
      <w:r w:rsidRPr="00BA73A6">
        <w:rPr>
          <w:rStyle w:val="af2"/>
          <w:rFonts w:eastAsia="Guttman Hodes"/>
          <w:rtl/>
        </w:rPr>
      </w:r>
      <w:r w:rsidRPr="00BA73A6">
        <w:rPr>
          <w:rStyle w:val="af2"/>
          <w:rFonts w:eastAsia="Guttman Hodes"/>
          <w:rtl/>
        </w:rPr>
        <w:fldChar w:fldCharType="separate"/>
      </w:r>
      <w:r w:rsidR="00D82181">
        <w:rPr>
          <w:rStyle w:val="af2"/>
          <w:rFonts w:eastAsia="Guttman Hodes"/>
          <w:cs/>
        </w:rPr>
        <w:t>‎</w:t>
      </w:r>
      <w:r w:rsidR="00D82181">
        <w:rPr>
          <w:rStyle w:val="af2"/>
          <w:rFonts w:eastAsia="Guttman Hodes"/>
          <w:rtl/>
        </w:rPr>
        <w:t>מד)</w:t>
      </w:r>
      <w:r w:rsidRPr="00BA73A6">
        <w:rPr>
          <w:rStyle w:val="af2"/>
          <w:rFonts w:eastAsia="Guttman Hodes"/>
          <w:rtl/>
        </w:rPr>
        <w:fldChar w:fldCharType="end"/>
      </w:r>
      <w:r w:rsidRPr="00BA73A6">
        <w:rPr>
          <w:rStyle w:val="af2"/>
          <w:rFonts w:eastAsia="Guttman Hodes" w:hint="cs"/>
          <w:rtl/>
        </w:rPr>
        <w:t xml:space="preserve"> </w:t>
      </w:r>
      <w:r>
        <w:rPr>
          <w:rFonts w:hint="cs"/>
          <w:rtl/>
        </w:rPr>
        <w:t xml:space="preserve">בדעת </w:t>
      </w:r>
      <w:r w:rsidRPr="00BA73A6">
        <w:rPr>
          <w:rStyle w:val="aff4"/>
          <w:rFonts w:hint="cs"/>
          <w:vanish/>
          <w:rtl/>
        </w:rPr>
        <w:t>-</w:t>
      </w:r>
      <w:r w:rsidRPr="00BF56CC">
        <w:rPr>
          <w:rStyle w:val="aff4"/>
          <w:rFonts w:hint="cs"/>
          <w:rtl/>
        </w:rPr>
        <w:t>התוס'</w:t>
      </w:r>
      <w:r>
        <w:rPr>
          <w:rStyle w:val="aff4"/>
          <w:rFonts w:hint="cs"/>
          <w:rtl/>
        </w:rPr>
        <w:t xml:space="preserve"> והרא"ש</w:t>
      </w:r>
      <w:r w:rsidRPr="00BA73A6">
        <w:rPr>
          <w:rStyle w:val="aff4"/>
          <w:rFonts w:hint="cs"/>
          <w:vanish/>
          <w:rtl/>
        </w:rPr>
        <w:t>-</w:t>
      </w:r>
      <w:r>
        <w:rPr>
          <w:rFonts w:hint="cs"/>
          <w:rtl/>
        </w:rPr>
        <w:t xml:space="preserve"> </w:t>
      </w:r>
      <w:r w:rsidRPr="00BA73A6">
        <w:rPr>
          <w:rStyle w:val="af2"/>
          <w:rFonts w:eastAsia="Guttman Hodes" w:hint="cs"/>
          <w:rtl/>
        </w:rPr>
        <w:t xml:space="preserve">(עי' אות </w:t>
      </w:r>
      <w:r w:rsidRPr="00BA73A6">
        <w:rPr>
          <w:rStyle w:val="af2"/>
          <w:rFonts w:eastAsia="Guttman Hodes"/>
          <w:rtl/>
        </w:rPr>
        <w:fldChar w:fldCharType="begin"/>
      </w:r>
      <w:r w:rsidRPr="00BA73A6">
        <w:rPr>
          <w:rStyle w:val="af2"/>
          <w:rFonts w:eastAsia="Guttman Hodes"/>
          <w:rtl/>
        </w:rPr>
        <w:instrText xml:space="preserve"> </w:instrText>
      </w:r>
      <w:r w:rsidRPr="00BA73A6">
        <w:rPr>
          <w:rStyle w:val="af2"/>
          <w:rFonts w:eastAsia="Guttman Hodes" w:hint="cs"/>
        </w:rPr>
        <w:instrText>REF</w:instrText>
      </w:r>
      <w:r w:rsidRPr="00BA73A6">
        <w:rPr>
          <w:rStyle w:val="af2"/>
          <w:rFonts w:eastAsia="Guttman Hodes" w:hint="cs"/>
          <w:rtl/>
        </w:rPr>
        <w:instrText xml:space="preserve"> _</w:instrText>
      </w:r>
      <w:r w:rsidRPr="00BA73A6">
        <w:rPr>
          <w:rStyle w:val="af2"/>
          <w:rFonts w:eastAsia="Guttman Hodes" w:hint="cs"/>
        </w:rPr>
        <w:instrText>Ref137671185 \r \h</w:instrText>
      </w:r>
      <w:r w:rsidRPr="00BA73A6">
        <w:rPr>
          <w:rStyle w:val="af2"/>
          <w:rFonts w:eastAsia="Guttman Hodes"/>
          <w:rtl/>
        </w:rPr>
        <w:instrText xml:space="preserve"> </w:instrText>
      </w:r>
      <w:r w:rsidRPr="00BA73A6">
        <w:rPr>
          <w:rStyle w:val="af2"/>
          <w:rFonts w:eastAsia="Guttman Hodes"/>
          <w:rtl/>
        </w:rPr>
      </w:r>
      <w:r w:rsidRPr="00BA73A6">
        <w:rPr>
          <w:rStyle w:val="af2"/>
          <w:rFonts w:eastAsia="Guttman Hodes"/>
          <w:rtl/>
        </w:rPr>
        <w:fldChar w:fldCharType="separate"/>
      </w:r>
      <w:r w:rsidR="00D82181">
        <w:rPr>
          <w:rStyle w:val="af2"/>
          <w:rFonts w:eastAsia="Guttman Hodes"/>
          <w:cs/>
        </w:rPr>
        <w:t>‎</w:t>
      </w:r>
      <w:r w:rsidR="00D82181">
        <w:rPr>
          <w:rStyle w:val="af2"/>
          <w:rFonts w:eastAsia="Guttman Hodes"/>
          <w:rtl/>
        </w:rPr>
        <w:t>כ)</w:t>
      </w:r>
      <w:r w:rsidRPr="00BA73A6">
        <w:rPr>
          <w:rStyle w:val="af2"/>
          <w:rFonts w:eastAsia="Guttman Hodes"/>
          <w:rtl/>
        </w:rPr>
        <w:fldChar w:fldCharType="end"/>
      </w:r>
      <w:r>
        <w:rPr>
          <w:rFonts w:hint="cs"/>
          <w:rtl/>
        </w:rPr>
        <w:t xml:space="preserve"> דאוכל מאוכל לא הוי ברירה, ודין בורר בב' מינים שייך רק כשיש מין שאינו רוצה לאכול דהוא פסולת, ולכן הוי בורר דהוא כהוצאת הפסולת מהאוכל,</w:t>
      </w:r>
      <w:r w:rsidRPr="002717F0">
        <w:rPr>
          <w:rFonts w:hint="cs"/>
          <w:rtl/>
        </w:rPr>
        <w:t xml:space="preserve"> </w:t>
      </w:r>
      <w:r>
        <w:rPr>
          <w:rFonts w:hint="cs"/>
          <w:rtl/>
        </w:rPr>
        <w:t xml:space="preserve">אך כתב </w:t>
      </w:r>
      <w:r w:rsidRPr="00BA73A6">
        <w:rPr>
          <w:rStyle w:val="aff4"/>
          <w:rFonts w:hint="cs"/>
          <w:vanish/>
          <w:rtl/>
        </w:rPr>
        <w:t>-</w:t>
      </w:r>
      <w:r w:rsidRPr="00BF56CC">
        <w:rPr>
          <w:rStyle w:val="aff4"/>
          <w:rFonts w:hint="cs"/>
          <w:rtl/>
        </w:rPr>
        <w:t>ה</w:t>
      </w:r>
      <w:r w:rsidRPr="00BA73A6">
        <w:rPr>
          <w:rStyle w:val="aff4"/>
          <w:rFonts w:hint="cs"/>
          <w:vanish/>
          <w:rtl/>
        </w:rPr>
        <w:t>&lt; &gt;</w:t>
      </w:r>
      <w:r w:rsidRPr="00BF56CC">
        <w:rPr>
          <w:rStyle w:val="aff4"/>
          <w:rFonts w:hint="cs"/>
          <w:rtl/>
        </w:rPr>
        <w:t>ראש יוסף</w:t>
      </w:r>
      <w:r w:rsidRPr="00BA73A6">
        <w:rPr>
          <w:rStyle w:val="aff4"/>
          <w:rFonts w:hint="cs"/>
          <w:vanish/>
          <w:rtl/>
        </w:rPr>
        <w:t>-</w:t>
      </w:r>
      <w:r>
        <w:rPr>
          <w:rFonts w:hint="cs"/>
          <w:rtl/>
        </w:rPr>
        <w:t xml:space="preserve"> </w:t>
      </w:r>
      <w:r w:rsidRPr="00BA73A6">
        <w:rPr>
          <w:rStyle w:val="af2"/>
          <w:rFonts w:eastAsia="Guttman Hodes" w:hint="cs"/>
          <w:rtl/>
        </w:rPr>
        <w:t xml:space="preserve">(עי' אות </w:t>
      </w:r>
      <w:r w:rsidRPr="00BA73A6">
        <w:rPr>
          <w:rStyle w:val="af2"/>
          <w:rFonts w:eastAsia="Guttman Hodes"/>
          <w:rtl/>
        </w:rPr>
        <w:fldChar w:fldCharType="begin"/>
      </w:r>
      <w:r w:rsidRPr="00BA73A6">
        <w:rPr>
          <w:rStyle w:val="af2"/>
          <w:rFonts w:eastAsia="Guttman Hodes"/>
          <w:rtl/>
        </w:rPr>
        <w:instrText xml:space="preserve"> </w:instrText>
      </w:r>
      <w:r w:rsidRPr="00BA73A6">
        <w:rPr>
          <w:rStyle w:val="af2"/>
          <w:rFonts w:eastAsia="Guttman Hodes" w:hint="cs"/>
        </w:rPr>
        <w:instrText>REF</w:instrText>
      </w:r>
      <w:r w:rsidRPr="00BA73A6">
        <w:rPr>
          <w:rStyle w:val="af2"/>
          <w:rFonts w:eastAsia="Guttman Hodes" w:hint="cs"/>
          <w:rtl/>
        </w:rPr>
        <w:instrText xml:space="preserve"> _</w:instrText>
      </w:r>
      <w:r w:rsidRPr="00BA73A6">
        <w:rPr>
          <w:rStyle w:val="af2"/>
          <w:rFonts w:eastAsia="Guttman Hodes" w:hint="cs"/>
        </w:rPr>
        <w:instrText>Ref137586923 \r \h</w:instrText>
      </w:r>
      <w:r w:rsidRPr="00BA73A6">
        <w:rPr>
          <w:rStyle w:val="af2"/>
          <w:rFonts w:eastAsia="Guttman Hodes"/>
          <w:rtl/>
        </w:rPr>
        <w:instrText xml:space="preserve">  \* </w:instrText>
      </w:r>
      <w:r w:rsidRPr="00BA73A6">
        <w:rPr>
          <w:rStyle w:val="af2"/>
          <w:rFonts w:eastAsia="Guttman Hodes"/>
        </w:rPr>
        <w:instrText>MERGEFORMAT</w:instrText>
      </w:r>
      <w:r w:rsidRPr="00BA73A6">
        <w:rPr>
          <w:rStyle w:val="af2"/>
          <w:rFonts w:eastAsia="Guttman Hodes"/>
          <w:rtl/>
        </w:rPr>
        <w:instrText xml:space="preserve"> </w:instrText>
      </w:r>
      <w:r w:rsidRPr="00BA73A6">
        <w:rPr>
          <w:rStyle w:val="af2"/>
          <w:rFonts w:eastAsia="Guttman Hodes"/>
          <w:rtl/>
        </w:rPr>
      </w:r>
      <w:r w:rsidRPr="00BA73A6">
        <w:rPr>
          <w:rStyle w:val="af2"/>
          <w:rFonts w:eastAsia="Guttman Hodes"/>
          <w:rtl/>
        </w:rPr>
        <w:fldChar w:fldCharType="separate"/>
      </w:r>
      <w:r w:rsidR="00D82181">
        <w:rPr>
          <w:rStyle w:val="af2"/>
          <w:rFonts w:eastAsia="Guttman Hodes"/>
          <w:cs/>
        </w:rPr>
        <w:t>‎</w:t>
      </w:r>
      <w:r w:rsidR="00D82181">
        <w:rPr>
          <w:rStyle w:val="af2"/>
          <w:rFonts w:eastAsia="Guttman Hodes"/>
          <w:rtl/>
        </w:rPr>
        <w:t>מה)</w:t>
      </w:r>
      <w:r w:rsidRPr="00BA73A6">
        <w:rPr>
          <w:rStyle w:val="af2"/>
          <w:rFonts w:eastAsia="Guttman Hodes"/>
          <w:rtl/>
        </w:rPr>
        <w:fldChar w:fldCharType="end"/>
      </w:r>
      <w:r w:rsidRPr="00BA73A6">
        <w:rPr>
          <w:rFonts w:hint="cs"/>
          <w:vanish/>
          <w:rtl/>
        </w:rPr>
        <w:t xml:space="preserve"> =</w:t>
      </w:r>
      <w:r>
        <w:rPr>
          <w:rFonts w:hint="cs"/>
          <w:rtl/>
        </w:rPr>
        <w:t xml:space="preserve"> דמדברי </w:t>
      </w:r>
      <w:r w:rsidRPr="00BA73A6">
        <w:rPr>
          <w:rStyle w:val="aff4"/>
          <w:rFonts w:hint="cs"/>
          <w:vanish/>
          <w:rtl/>
        </w:rPr>
        <w:t>-</w:t>
      </w:r>
      <w:r>
        <w:rPr>
          <w:rStyle w:val="aff4"/>
          <w:rFonts w:hint="cs"/>
          <w:rtl/>
        </w:rPr>
        <w:t>הרמב"ם</w:t>
      </w:r>
      <w:r w:rsidRPr="00C1764D">
        <w:rPr>
          <w:rStyle w:val="aff4"/>
          <w:rFonts w:hint="cs"/>
          <w:rtl/>
        </w:rPr>
        <w:t xml:space="preserve"> </w:t>
      </w:r>
      <w:r w:rsidRPr="00BF56CC">
        <w:rPr>
          <w:rStyle w:val="aff4"/>
          <w:rFonts w:hint="cs"/>
          <w:rtl/>
        </w:rPr>
        <w:t>והשו"ע</w:t>
      </w:r>
      <w:r w:rsidRPr="00BA73A6">
        <w:rPr>
          <w:rStyle w:val="aff4"/>
          <w:rFonts w:hint="cs"/>
          <w:vanish/>
          <w:rtl/>
        </w:rPr>
        <w:t>-</w:t>
      </w:r>
      <w:r>
        <w:rPr>
          <w:rFonts w:hint="cs"/>
          <w:rtl/>
        </w:rPr>
        <w:t xml:space="preserve"> </w:t>
      </w:r>
      <w:r w:rsidRPr="00BA73A6">
        <w:rPr>
          <w:rStyle w:val="af2"/>
          <w:rFonts w:eastAsia="Guttman Hodes" w:hint="cs"/>
          <w:rtl/>
        </w:rPr>
        <w:t xml:space="preserve">(עי' אות </w:t>
      </w:r>
      <w:r w:rsidRPr="00BA73A6">
        <w:rPr>
          <w:rStyle w:val="af2"/>
          <w:rFonts w:eastAsia="Guttman Hodes"/>
          <w:rtl/>
        </w:rPr>
        <w:fldChar w:fldCharType="begin"/>
      </w:r>
      <w:r w:rsidRPr="00BA73A6">
        <w:rPr>
          <w:rStyle w:val="af2"/>
          <w:rFonts w:eastAsia="Guttman Hodes"/>
          <w:rtl/>
        </w:rPr>
        <w:instrText xml:space="preserve"> </w:instrText>
      </w:r>
      <w:r w:rsidRPr="00BA73A6">
        <w:rPr>
          <w:rStyle w:val="af2"/>
          <w:rFonts w:eastAsia="Guttman Hodes" w:hint="cs"/>
        </w:rPr>
        <w:instrText>REF</w:instrText>
      </w:r>
      <w:r w:rsidRPr="00BA73A6">
        <w:rPr>
          <w:rStyle w:val="af2"/>
          <w:rFonts w:eastAsia="Guttman Hodes" w:hint="cs"/>
          <w:rtl/>
        </w:rPr>
        <w:instrText xml:space="preserve"> _</w:instrText>
      </w:r>
      <w:r w:rsidRPr="00BA73A6">
        <w:rPr>
          <w:rStyle w:val="af2"/>
          <w:rFonts w:eastAsia="Guttman Hodes" w:hint="cs"/>
        </w:rPr>
        <w:instrText>Ref137673024 \r \h</w:instrText>
      </w:r>
      <w:r w:rsidRPr="00BA73A6">
        <w:rPr>
          <w:rStyle w:val="af2"/>
          <w:rFonts w:eastAsia="Guttman Hodes"/>
          <w:rtl/>
        </w:rPr>
        <w:instrText xml:space="preserve"> </w:instrText>
      </w:r>
      <w:r w:rsidRPr="00BA73A6">
        <w:rPr>
          <w:rStyle w:val="af2"/>
          <w:rFonts w:eastAsia="Guttman Hodes"/>
          <w:rtl/>
        </w:rPr>
      </w:r>
      <w:r w:rsidRPr="00BA73A6">
        <w:rPr>
          <w:rStyle w:val="af2"/>
          <w:rFonts w:eastAsia="Guttman Hodes"/>
          <w:rtl/>
        </w:rPr>
        <w:fldChar w:fldCharType="separate"/>
      </w:r>
      <w:r w:rsidR="00D82181">
        <w:rPr>
          <w:rStyle w:val="af2"/>
          <w:rFonts w:eastAsia="Guttman Hodes"/>
          <w:cs/>
        </w:rPr>
        <w:t>‎</w:t>
      </w:r>
      <w:r w:rsidR="00D82181">
        <w:rPr>
          <w:rStyle w:val="af2"/>
          <w:rFonts w:eastAsia="Guttman Hodes"/>
          <w:rtl/>
        </w:rPr>
        <w:t>לו)</w:t>
      </w:r>
      <w:r w:rsidRPr="00BA73A6">
        <w:rPr>
          <w:rStyle w:val="af2"/>
          <w:rFonts w:eastAsia="Guttman Hodes"/>
          <w:rtl/>
        </w:rPr>
        <w:fldChar w:fldCharType="end"/>
      </w:r>
      <w:r>
        <w:rPr>
          <w:rFonts w:hint="cs"/>
          <w:rtl/>
        </w:rPr>
        <w:t xml:space="preserve"> משמע דאף באוכל מאוכל יש דין בורר גמור והחיוב הוא בכל ברירת ב' מינים, אף כשאין מין שדינו כפסולת, כגון שרוצה לאכול את שני המינים לאח"ז,</w:t>
      </w:r>
      <w:r w:rsidRPr="00DD6380">
        <w:rPr>
          <w:rFonts w:hint="cs"/>
          <w:rtl/>
        </w:rPr>
        <w:t xml:space="preserve"> </w:t>
      </w:r>
      <w:r>
        <w:rPr>
          <w:rFonts w:hint="cs"/>
          <w:rtl/>
        </w:rPr>
        <w:t xml:space="preserve">אבל </w:t>
      </w:r>
      <w:r w:rsidRPr="00BA73A6">
        <w:rPr>
          <w:rStyle w:val="aff4"/>
          <w:rFonts w:hint="cs"/>
          <w:vanish/>
          <w:rtl/>
        </w:rPr>
        <w:t>-</w:t>
      </w:r>
      <w:r w:rsidRPr="00BF56CC">
        <w:rPr>
          <w:rStyle w:val="aff4"/>
          <w:rFonts w:hint="cs"/>
          <w:rtl/>
        </w:rPr>
        <w:t>ב</w:t>
      </w:r>
      <w:r w:rsidRPr="00BA73A6">
        <w:rPr>
          <w:rStyle w:val="aff4"/>
          <w:rFonts w:hint="cs"/>
          <w:vanish/>
          <w:rtl/>
        </w:rPr>
        <w:t>&lt;. &gt;</w:t>
      </w:r>
      <w:r w:rsidRPr="00BF56CC">
        <w:rPr>
          <w:rStyle w:val="aff4"/>
          <w:rFonts w:hint="cs"/>
          <w:rtl/>
        </w:rPr>
        <w:t>פרמ"ג</w:t>
      </w:r>
      <w:r w:rsidRPr="00BA73A6">
        <w:rPr>
          <w:rStyle w:val="aff4"/>
          <w:rFonts w:hint="cs"/>
          <w:vanish/>
          <w:rtl/>
        </w:rPr>
        <w:t>-</w:t>
      </w:r>
      <w:r>
        <w:rPr>
          <w:rFonts w:hint="cs"/>
          <w:rtl/>
        </w:rPr>
        <w:t xml:space="preserve"> </w:t>
      </w:r>
      <w:r w:rsidRPr="00BA73A6">
        <w:rPr>
          <w:rStyle w:val="af2"/>
          <w:rFonts w:eastAsia="Guttman Hodes" w:hint="cs"/>
          <w:rtl/>
        </w:rPr>
        <w:t xml:space="preserve">(עי' אות </w:t>
      </w:r>
      <w:r w:rsidRPr="00BA73A6">
        <w:rPr>
          <w:rStyle w:val="af2"/>
          <w:rFonts w:eastAsia="Guttman Hodes"/>
          <w:rtl/>
        </w:rPr>
        <w:fldChar w:fldCharType="begin"/>
      </w:r>
      <w:r w:rsidRPr="00BA73A6">
        <w:rPr>
          <w:rStyle w:val="af2"/>
          <w:rFonts w:eastAsia="Guttman Hodes"/>
          <w:rtl/>
        </w:rPr>
        <w:instrText xml:space="preserve"> </w:instrText>
      </w:r>
      <w:r w:rsidRPr="00BA73A6">
        <w:rPr>
          <w:rStyle w:val="af2"/>
          <w:rFonts w:eastAsia="Guttman Hodes" w:hint="cs"/>
        </w:rPr>
        <w:instrText>REF</w:instrText>
      </w:r>
      <w:r w:rsidRPr="00BA73A6">
        <w:rPr>
          <w:rStyle w:val="af2"/>
          <w:rFonts w:eastAsia="Guttman Hodes" w:hint="cs"/>
          <w:rtl/>
        </w:rPr>
        <w:instrText xml:space="preserve"> _</w:instrText>
      </w:r>
      <w:r w:rsidRPr="00BA73A6">
        <w:rPr>
          <w:rStyle w:val="af2"/>
          <w:rFonts w:eastAsia="Guttman Hodes" w:hint="cs"/>
        </w:rPr>
        <w:instrText>Ref137574540 \r \h</w:instrText>
      </w:r>
      <w:r w:rsidRPr="00BA73A6">
        <w:rPr>
          <w:rStyle w:val="af2"/>
          <w:rFonts w:eastAsia="Guttman Hodes"/>
          <w:rtl/>
        </w:rPr>
        <w:instrText xml:space="preserve"> </w:instrText>
      </w:r>
      <w:r w:rsidRPr="00BA73A6">
        <w:rPr>
          <w:rStyle w:val="af2"/>
          <w:rFonts w:eastAsia="Guttman Hodes"/>
          <w:rtl/>
        </w:rPr>
      </w:r>
      <w:r w:rsidRPr="00BA73A6">
        <w:rPr>
          <w:rStyle w:val="af2"/>
          <w:rFonts w:eastAsia="Guttman Hodes"/>
          <w:rtl/>
        </w:rPr>
        <w:fldChar w:fldCharType="separate"/>
      </w:r>
      <w:r w:rsidR="00D82181">
        <w:rPr>
          <w:rStyle w:val="af2"/>
          <w:rFonts w:eastAsia="Guttman Hodes"/>
          <w:cs/>
        </w:rPr>
        <w:t>‎</w:t>
      </w:r>
      <w:r w:rsidR="00D82181">
        <w:rPr>
          <w:rStyle w:val="af2"/>
          <w:rFonts w:eastAsia="Guttman Hodes"/>
          <w:rtl/>
        </w:rPr>
        <w:t>מו)</w:t>
      </w:r>
      <w:r w:rsidRPr="00BA73A6">
        <w:rPr>
          <w:rStyle w:val="af2"/>
          <w:rFonts w:eastAsia="Guttman Hodes"/>
          <w:rtl/>
        </w:rPr>
        <w:fldChar w:fldCharType="end"/>
      </w:r>
      <w:r w:rsidRPr="00BA73A6">
        <w:rPr>
          <w:rFonts w:hint="cs"/>
          <w:vanish/>
          <w:rtl/>
        </w:rPr>
        <w:t>=</w:t>
      </w:r>
      <w:r>
        <w:rPr>
          <w:rFonts w:hint="cs"/>
          <w:rtl/>
        </w:rPr>
        <w:t xml:space="preserve"> מספקא ליה בדעת </w:t>
      </w:r>
      <w:r w:rsidRPr="00BA73A6">
        <w:rPr>
          <w:rStyle w:val="aff4"/>
          <w:rFonts w:hint="cs"/>
          <w:vanish/>
          <w:rtl/>
        </w:rPr>
        <w:t>-</w:t>
      </w:r>
      <w:r w:rsidRPr="00BF56CC">
        <w:rPr>
          <w:rStyle w:val="aff4"/>
          <w:rFonts w:hint="cs"/>
          <w:rtl/>
        </w:rPr>
        <w:t>הרמב"ם</w:t>
      </w:r>
      <w:r w:rsidRPr="00BA73A6">
        <w:rPr>
          <w:rStyle w:val="aff4"/>
          <w:rFonts w:hint="cs"/>
          <w:vanish/>
          <w:rtl/>
        </w:rPr>
        <w:t>-</w:t>
      </w:r>
      <w:r>
        <w:rPr>
          <w:rFonts w:hint="cs"/>
          <w:rtl/>
        </w:rPr>
        <w:t xml:space="preserve"> אי יש בורר באוכל מאוכל כשאין מין דחשיב פסולת.</w:t>
      </w:r>
    </w:p>
    <w:bookmarkEnd w:id="2375"/>
    <w:p w14:paraId="2167B03E" w14:textId="77777777" w:rsidR="00592982" w:rsidRPr="00747170" w:rsidRDefault="00592982" w:rsidP="00747170">
      <w:pPr>
        <w:pStyle w:val="a2"/>
      </w:pPr>
      <w:r w:rsidRPr="00747170">
        <w:rPr>
          <w:rtl/>
        </w:rPr>
        <w:t>והנה בשני מיני אוכלין כתבו התוס' דחייב נמי וכ"ה בירושלמי בורר אוכל מאוכל חזקי' אמר חייב ורבי יוחנן אמר פטור והלכה כחזקי' דרבי' דרבי יוחנן כמבואר בכמה דוכתי וכ"פ הר"מ ז"ל שם ובש"ע שי"ט והוי יודע כי התוס' כתבו כאן ד"ה היו דאותו שרוצה לאכול הוה אוכל ואותו שאין רוצה לאכול (עתה) הוה פסולת</w:t>
      </w:r>
      <w:r w:rsidRPr="00747170">
        <w:rPr>
          <w:rFonts w:hint="cs"/>
          <w:rtl/>
        </w:rPr>
        <w:t>, וכו'</w:t>
      </w:r>
      <w:r w:rsidRPr="00747170">
        <w:rPr>
          <w:rtl/>
        </w:rPr>
        <w:t xml:space="preserve"> אלא שהר"מ ז"ל שם הי"ג והמחבר שם ס"ג ב' מיני אוכלין בורר ומניח ואם בורר והניח לבו ביום חייב הרי דכה"ג חייב ויש לומר דהר"מ והמחבר סוברים דב' מינים אוכל מאוכל נמי הוה ברירה ומש"ה לא התנו דוקא אותו שרוצה לאכול עתה יברור לא שאין רוצה עתה</w:t>
      </w:r>
    </w:p>
    <w:p w14:paraId="21E0FF89" w14:textId="77777777" w:rsidR="00592982" w:rsidRPr="00C61A8D" w:rsidRDefault="00592982" w:rsidP="00747170">
      <w:pPr>
        <w:pStyle w:val="afffff5"/>
        <w:rPr>
          <w:rtl/>
        </w:rPr>
      </w:pPr>
      <w:r w:rsidRPr="00C61A8D">
        <w:rPr>
          <w:rtl/>
        </w:rPr>
        <w:t>ולכאורה שני מיני אוכלין אחד לאלתר ואחד לאחר זמן אסור לברור מה שלאחר זמן, הא שניהם לאחר זמן שרי, דהי אוכל והי פסולת. ומה שכתב המחבר בסעיף ג' והוא לשון הר"מ ז"ל [שבת ח, יג] בירר להניח לאחר זמן חייב, יש לומר הכי פירושו, אם בירר והניח אותו שאין חפץ לאכול עתה חייב. ואם שאין הלשון משמע כן, יש לומר שמניח לאחר זמן והשני אין רוצה לאכול היום כי אם למחר, או כלל לא, וודאי כפסולת יחשב</w:t>
      </w:r>
      <w:r w:rsidRPr="00C61A8D">
        <w:rPr>
          <w:rFonts w:hint="cs"/>
          <w:rtl/>
        </w:rPr>
        <w:t xml:space="preserve">, </w:t>
      </w:r>
      <w:r w:rsidRPr="00C61A8D">
        <w:rPr>
          <w:rtl/>
        </w:rPr>
        <w:t>וזהו שכתבו התוספות שם ד"ה היו, דאותו שאין רוצה לאכול, והשמיטו תיבת "עתה", וברא"ש [שם פ"ז סימן ד] יש, אלא לפרש ביאור הברייתא היטב ולבו ביום לא יברור, והשני אין רוצה בו כלל</w:t>
      </w:r>
      <w:r>
        <w:rPr>
          <w:rFonts w:hint="cs"/>
          <w:rtl/>
        </w:rPr>
        <w:t xml:space="preserve">, </w:t>
      </w:r>
      <w:r w:rsidRPr="00C61A8D">
        <w:rPr>
          <w:rFonts w:hint="cs"/>
          <w:rtl/>
        </w:rPr>
        <w:t>וכו' וצ"ע לדינא</w:t>
      </w:r>
      <w:r w:rsidRPr="00C61A8D">
        <w:rPr>
          <w:rtl/>
        </w:rPr>
        <w:t>.</w:t>
      </w:r>
    </w:p>
    <w:p w14:paraId="4FB7E969" w14:textId="0FC6102A" w:rsidR="00592982" w:rsidRPr="00DA7171" w:rsidRDefault="00592982" w:rsidP="00592982">
      <w:pPr>
        <w:pStyle w:val="afffff7"/>
        <w:rPr>
          <w:rtl/>
        </w:rPr>
      </w:pPr>
      <w:bookmarkStart w:id="2376" w:name="_Toc137742054"/>
      <w:bookmarkStart w:id="2377" w:name="_Toc163505822"/>
      <w:r w:rsidRPr="00DA7171">
        <w:rPr>
          <w:rtl/>
        </w:rPr>
        <w:t>באור הלכה סי</w:t>
      </w:r>
      <w:r w:rsidRPr="00DA7171">
        <w:rPr>
          <w:rFonts w:hint="cs"/>
          <w:rtl/>
        </w:rPr>
        <w:t xml:space="preserve">' </w:t>
      </w:r>
      <w:r w:rsidRPr="00DA7171">
        <w:rPr>
          <w:rtl/>
        </w:rPr>
        <w:t>שי</w:t>
      </w:r>
      <w:r w:rsidRPr="00DA7171">
        <w:rPr>
          <w:rFonts w:cs="Guttman Hodes" w:hint="cs"/>
          <w:rtl/>
        </w:rPr>
        <w:t>"</w:t>
      </w:r>
      <w:r w:rsidRPr="00DA7171">
        <w:rPr>
          <w:rtl/>
        </w:rPr>
        <w:t>ט</w:t>
      </w:r>
      <w:r w:rsidRPr="00DA7171">
        <w:rPr>
          <w:rFonts w:hint="cs"/>
          <w:rtl/>
        </w:rPr>
        <w:t xml:space="preserve"> </w:t>
      </w:r>
      <w:r w:rsidRPr="00DA7171">
        <w:rPr>
          <w:rtl/>
        </w:rPr>
        <w:t>ג</w:t>
      </w:r>
      <w:r w:rsidRPr="00DA7171">
        <w:rPr>
          <w:rFonts w:hint="cs"/>
          <w:rtl/>
        </w:rPr>
        <w:t>' ד</w:t>
      </w:r>
      <w:r w:rsidRPr="00DA7171">
        <w:rPr>
          <w:rFonts w:cs="Guttman Hodes" w:hint="cs"/>
          <w:rtl/>
        </w:rPr>
        <w:t>"</w:t>
      </w:r>
      <w:r w:rsidRPr="00DA7171">
        <w:rPr>
          <w:rFonts w:hint="cs"/>
          <w:rtl/>
        </w:rPr>
        <w:t>ה היו</w:t>
      </w:r>
      <w:bookmarkEnd w:id="2376"/>
      <w:bookmarkEnd w:id="2377"/>
    </w:p>
    <w:p w14:paraId="5D82354A" w14:textId="77777777" w:rsidR="00592982" w:rsidRDefault="00592982" w:rsidP="00592982">
      <w:pPr>
        <w:pStyle w:val="afffff7"/>
        <w:rPr>
          <w:rtl/>
        </w:rPr>
      </w:pPr>
      <w:bookmarkStart w:id="2378" w:name="_Toc137742055"/>
      <w:bookmarkStart w:id="2379" w:name="_Toc163505823"/>
      <w:r w:rsidRPr="00FA265A">
        <w:rPr>
          <w:rtl/>
        </w:rPr>
        <w:t>באור הלכה סי</w:t>
      </w:r>
      <w:r w:rsidRPr="00FA265A">
        <w:rPr>
          <w:rFonts w:hint="cs"/>
          <w:rtl/>
        </w:rPr>
        <w:t xml:space="preserve">' </w:t>
      </w:r>
      <w:r w:rsidRPr="00FA265A">
        <w:rPr>
          <w:rtl/>
        </w:rPr>
        <w:t>שי</w:t>
      </w:r>
      <w:r w:rsidRPr="00FA265A">
        <w:rPr>
          <w:rFonts w:hint="cs"/>
          <w:rtl/>
        </w:rPr>
        <w:t>"</w:t>
      </w:r>
      <w:r w:rsidRPr="00FA265A">
        <w:rPr>
          <w:rtl/>
        </w:rPr>
        <w:t>ט</w:t>
      </w:r>
      <w:r w:rsidRPr="00FA265A">
        <w:rPr>
          <w:rFonts w:hint="cs"/>
          <w:rtl/>
        </w:rPr>
        <w:t xml:space="preserve"> </w:t>
      </w:r>
      <w:r w:rsidRPr="00FA265A">
        <w:rPr>
          <w:rtl/>
        </w:rPr>
        <w:t>ג</w:t>
      </w:r>
      <w:r w:rsidRPr="00FA265A">
        <w:rPr>
          <w:rFonts w:hint="cs"/>
          <w:rtl/>
        </w:rPr>
        <w:t xml:space="preserve">' ד"ה </w:t>
      </w:r>
      <w:r>
        <w:rPr>
          <w:rFonts w:hint="cs"/>
          <w:rtl/>
        </w:rPr>
        <w:t>ומניח</w:t>
      </w:r>
      <w:bookmarkEnd w:id="2378"/>
      <w:bookmarkEnd w:id="2379"/>
    </w:p>
    <w:p w14:paraId="6743310C" w14:textId="77777777" w:rsidR="00592982" w:rsidRDefault="00592982" w:rsidP="00592982">
      <w:pPr>
        <w:pStyle w:val="a7"/>
        <w:rPr>
          <w:rtl/>
        </w:rPr>
      </w:pPr>
      <w:bookmarkStart w:id="2380" w:name="_Toc137741969"/>
      <w:r>
        <w:rPr>
          <w:rFonts w:hint="cs"/>
          <w:rtl/>
        </w:rPr>
        <w:t>בי' הביה"ל ברמב"ם דעיקר המלאכה דכל מין נברר בפנ"ע אף שאין פסולת אך הרד"ע לא כ"כ</w:t>
      </w:r>
      <w:bookmarkEnd w:id="2380"/>
    </w:p>
    <w:p w14:paraId="17BD790C" w14:textId="267E7686" w:rsidR="00592982" w:rsidRDefault="00592982" w:rsidP="00BC7DC8">
      <w:pPr>
        <w:pStyle w:val="a3"/>
        <w:rPr>
          <w:rtl/>
        </w:rPr>
      </w:pPr>
      <w:r w:rsidRPr="00BE47C5">
        <w:rPr>
          <w:rStyle w:val="aff4"/>
          <w:rFonts w:hint="cs"/>
          <w:vanish/>
          <w:rtl/>
        </w:rPr>
        <w:t>-</w:t>
      </w:r>
      <w:bookmarkStart w:id="2381" w:name="_Ref137720970"/>
      <w:r>
        <w:rPr>
          <w:rStyle w:val="aff4"/>
          <w:rFonts w:hint="cs"/>
          <w:rtl/>
        </w:rPr>
        <w:t>ו</w:t>
      </w:r>
      <w:r w:rsidRPr="00BF56CC">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Ref137720970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מ)</w:t>
      </w:r>
      <w:r>
        <w:rPr>
          <w:rStyle w:val="aff4"/>
          <w:vanish/>
          <w:rtl/>
        </w:rPr>
        <w:fldChar w:fldCharType="end"/>
      </w:r>
      <w:r>
        <w:rPr>
          <w:rStyle w:val="aff4"/>
          <w:rFonts w:hint="cs"/>
          <w:vanish/>
          <w:rtl/>
        </w:rPr>
        <w:t xml:space="preserve"> &gt;</w:t>
      </w:r>
      <w:r w:rsidRPr="00BF56CC">
        <w:rPr>
          <w:rStyle w:val="aff4"/>
          <w:rFonts w:hint="cs"/>
          <w:rtl/>
        </w:rPr>
        <w:t>ביה"ל</w:t>
      </w:r>
      <w:r w:rsidRPr="00BE47C5">
        <w:rPr>
          <w:rStyle w:val="aff4"/>
          <w:rFonts w:hint="cs"/>
          <w:vanish/>
          <w:rtl/>
        </w:rPr>
        <w:t>-</w:t>
      </w:r>
      <w:r>
        <w:rPr>
          <w:rFonts w:hint="cs"/>
          <w:rtl/>
        </w:rPr>
        <w:t xml:space="preserve"> </w:t>
      </w:r>
      <w:r>
        <w:rPr>
          <w:rStyle w:val="af2"/>
          <w:rFonts w:eastAsia="Guttman Hodes" w:hint="cs"/>
          <w:rtl/>
        </w:rPr>
        <w:t xml:space="preserve">(עי' </w:t>
      </w:r>
      <w:r w:rsidRPr="004E37AF">
        <w:rPr>
          <w:rStyle w:val="af2"/>
          <w:rFonts w:eastAsia="Guttman Hodes" w:hint="cs"/>
          <w:rtl/>
        </w:rPr>
        <w:t xml:space="preserve">אות </w:t>
      </w:r>
      <w:r w:rsidRPr="004E37AF">
        <w:rPr>
          <w:rStyle w:val="af2"/>
          <w:rFonts w:eastAsia="Guttman Hodes"/>
          <w:rtl/>
        </w:rPr>
        <w:fldChar w:fldCharType="begin"/>
      </w:r>
      <w:r w:rsidRPr="004E37AF">
        <w:rPr>
          <w:rStyle w:val="af2"/>
          <w:rFonts w:eastAsia="Guttman Hodes"/>
          <w:rtl/>
        </w:rPr>
        <w:instrText xml:space="preserve"> </w:instrText>
      </w:r>
      <w:r w:rsidRPr="004E37AF">
        <w:rPr>
          <w:rStyle w:val="af2"/>
          <w:rFonts w:eastAsia="Guttman Hodes" w:hint="cs"/>
        </w:rPr>
        <w:instrText>REF</w:instrText>
      </w:r>
      <w:r w:rsidRPr="004E37AF">
        <w:rPr>
          <w:rStyle w:val="af2"/>
          <w:rFonts w:eastAsia="Guttman Hodes" w:hint="cs"/>
          <w:rtl/>
        </w:rPr>
        <w:instrText xml:space="preserve"> _</w:instrText>
      </w:r>
      <w:r w:rsidRPr="004E37AF">
        <w:rPr>
          <w:rStyle w:val="af2"/>
          <w:rFonts w:eastAsia="Guttman Hodes" w:hint="cs"/>
        </w:rPr>
        <w:instrText>Ref137140338 \r \h</w:instrText>
      </w:r>
      <w:r w:rsidRPr="004E37AF">
        <w:rPr>
          <w:rStyle w:val="af2"/>
          <w:rFonts w:eastAsia="Guttman Hodes"/>
          <w:rtl/>
        </w:rPr>
        <w:instrText xml:space="preserve"> </w:instrText>
      </w:r>
      <w:r w:rsidRPr="004E37AF">
        <w:rPr>
          <w:rStyle w:val="af2"/>
          <w:rFonts w:eastAsia="Guttman Hodes"/>
          <w:rtl/>
        </w:rPr>
      </w:r>
      <w:r w:rsidRPr="004E37AF">
        <w:rPr>
          <w:rStyle w:val="af2"/>
          <w:rFonts w:eastAsia="Guttman Hodes"/>
          <w:rtl/>
        </w:rPr>
        <w:fldChar w:fldCharType="separate"/>
      </w:r>
      <w:r w:rsidR="00D82181">
        <w:rPr>
          <w:rStyle w:val="af2"/>
          <w:rFonts w:eastAsia="Guttman Hodes"/>
          <w:cs/>
        </w:rPr>
        <w:t>‎</w:t>
      </w:r>
      <w:r w:rsidR="00D82181">
        <w:rPr>
          <w:rStyle w:val="af2"/>
          <w:rFonts w:eastAsia="Guttman Hodes"/>
          <w:rtl/>
        </w:rPr>
        <w:t>מח)</w:t>
      </w:r>
      <w:r w:rsidRPr="004E37AF">
        <w:rPr>
          <w:rStyle w:val="af2"/>
          <w:rFonts w:eastAsia="Guttman Hodes"/>
          <w:rtl/>
        </w:rPr>
        <w:fldChar w:fldCharType="end"/>
      </w:r>
      <w:r w:rsidRPr="00BE47C5">
        <w:rPr>
          <w:rFonts w:hint="cs"/>
          <w:vanish/>
          <w:rtl/>
        </w:rPr>
        <w:t>=</w:t>
      </w:r>
      <w:r>
        <w:rPr>
          <w:rFonts w:hint="cs"/>
          <w:rtl/>
        </w:rPr>
        <w:t xml:space="preserve"> כתב דמדברי </w:t>
      </w:r>
      <w:r w:rsidRPr="00BE47C5">
        <w:rPr>
          <w:rStyle w:val="aff4"/>
          <w:rFonts w:hint="cs"/>
          <w:vanish/>
          <w:rtl/>
        </w:rPr>
        <w:t>-</w:t>
      </w:r>
      <w:r w:rsidRPr="00BF56CC">
        <w:rPr>
          <w:rStyle w:val="aff4"/>
          <w:rFonts w:hint="cs"/>
          <w:rtl/>
        </w:rPr>
        <w:t>הרמב"ם</w:t>
      </w:r>
      <w:r w:rsidRPr="00BE47C5">
        <w:rPr>
          <w:rStyle w:val="aff4"/>
          <w:rFonts w:hint="cs"/>
          <w:vanish/>
          <w:rtl/>
        </w:rPr>
        <w:t>-</w:t>
      </w:r>
      <w:r>
        <w:rPr>
          <w:rFonts w:hint="cs"/>
          <w:rtl/>
        </w:rPr>
        <w:t xml:space="preserve"> </w:t>
      </w:r>
      <w:r w:rsidRPr="008A539A">
        <w:rPr>
          <w:rtl/>
        </w:rPr>
        <w:t xml:space="preserve">משמע דעיקר החיוב בב' מינים שבורר אחד מהשני, </w:t>
      </w:r>
      <w:r>
        <w:rPr>
          <w:rFonts w:hint="cs"/>
          <w:rtl/>
        </w:rPr>
        <w:t>ו</w:t>
      </w:r>
      <w:r w:rsidRPr="008A539A">
        <w:rPr>
          <w:rtl/>
        </w:rPr>
        <w:t>עי</w:t>
      </w:r>
      <w:r w:rsidRPr="008A539A">
        <w:rPr>
          <w:rFonts w:hint="cs"/>
          <w:rtl/>
        </w:rPr>
        <w:t>"</w:t>
      </w:r>
      <w:r w:rsidRPr="008A539A">
        <w:rPr>
          <w:rtl/>
        </w:rPr>
        <w:t>ז נעשה כל מין בפנ</w:t>
      </w:r>
      <w:r w:rsidRPr="008A539A">
        <w:rPr>
          <w:rFonts w:hint="cs"/>
          <w:rtl/>
        </w:rPr>
        <w:t>"</w:t>
      </w:r>
      <w:r w:rsidRPr="008A539A">
        <w:rPr>
          <w:rtl/>
        </w:rPr>
        <w:t>ע וזוהי עצם מלאכת בורר</w:t>
      </w:r>
      <w:r>
        <w:rPr>
          <w:rFonts w:hint="cs"/>
          <w:rtl/>
        </w:rPr>
        <w:t xml:space="preserve">, אך הביא </w:t>
      </w:r>
      <w:r w:rsidRPr="00BE47C5">
        <w:rPr>
          <w:rStyle w:val="aff4"/>
          <w:rFonts w:hint="cs"/>
          <w:vanish/>
          <w:rtl/>
        </w:rPr>
        <w:t>-</w:t>
      </w:r>
      <w:r w:rsidRPr="00BF56CC">
        <w:rPr>
          <w:rStyle w:val="aff4"/>
          <w:rFonts w:hint="cs"/>
          <w:rtl/>
        </w:rPr>
        <w:t>ה</w:t>
      </w:r>
      <w:r>
        <w:rPr>
          <w:rStyle w:val="aff4"/>
          <w:rFonts w:hint="cs"/>
          <w:vanish/>
          <w:rtl/>
        </w:rPr>
        <w:t>&lt; &gt;</w:t>
      </w:r>
      <w:r w:rsidRPr="00BF56CC">
        <w:rPr>
          <w:rStyle w:val="aff4"/>
          <w:rFonts w:hint="cs"/>
          <w:rtl/>
        </w:rPr>
        <w:t>ביה"ל</w:t>
      </w:r>
      <w:r w:rsidRPr="00BE47C5">
        <w:rPr>
          <w:rStyle w:val="aff4"/>
          <w:rFonts w:hint="cs"/>
          <w:vanish/>
          <w:rtl/>
        </w:rPr>
        <w:t>-</w:t>
      </w:r>
      <w:r>
        <w:rPr>
          <w:rFonts w:hint="cs"/>
          <w:rtl/>
        </w:rPr>
        <w:t xml:space="preserve"> </w:t>
      </w:r>
      <w:r>
        <w:rPr>
          <w:rStyle w:val="af2"/>
          <w:rFonts w:eastAsia="Guttman Hodes" w:hint="cs"/>
          <w:rtl/>
        </w:rPr>
        <w:t xml:space="preserve">(עי' </w:t>
      </w:r>
      <w:r w:rsidRPr="007A2807">
        <w:rPr>
          <w:rStyle w:val="af2"/>
          <w:rFonts w:eastAsia="Guttman Hodes" w:hint="cs"/>
          <w:rtl/>
        </w:rPr>
        <w:t xml:space="preserve">אות </w:t>
      </w:r>
      <w:r w:rsidRPr="007A2807">
        <w:rPr>
          <w:rStyle w:val="af2"/>
          <w:rFonts w:eastAsia="Guttman Hodes"/>
          <w:rtl/>
        </w:rPr>
        <w:fldChar w:fldCharType="begin"/>
      </w:r>
      <w:r w:rsidRPr="007A2807">
        <w:rPr>
          <w:rStyle w:val="af2"/>
          <w:rFonts w:eastAsia="Guttman Hodes"/>
          <w:rtl/>
        </w:rPr>
        <w:instrText xml:space="preserve"> </w:instrText>
      </w:r>
      <w:r w:rsidRPr="007A2807">
        <w:rPr>
          <w:rStyle w:val="af2"/>
          <w:rFonts w:eastAsia="Guttman Hodes" w:hint="cs"/>
        </w:rPr>
        <w:instrText>REF</w:instrText>
      </w:r>
      <w:r w:rsidRPr="007A2807">
        <w:rPr>
          <w:rStyle w:val="af2"/>
          <w:rFonts w:eastAsia="Guttman Hodes" w:hint="cs"/>
          <w:rtl/>
        </w:rPr>
        <w:instrText xml:space="preserve"> _</w:instrText>
      </w:r>
      <w:r w:rsidRPr="007A2807">
        <w:rPr>
          <w:rStyle w:val="af2"/>
          <w:rFonts w:eastAsia="Guttman Hodes" w:hint="cs"/>
        </w:rPr>
        <w:instrText>Ref137574559 \r \h</w:instrText>
      </w:r>
      <w:r w:rsidRPr="007A2807">
        <w:rPr>
          <w:rStyle w:val="af2"/>
          <w:rFonts w:eastAsia="Guttman Hodes"/>
          <w:rtl/>
        </w:rPr>
        <w:instrText xml:space="preserve"> </w:instrText>
      </w:r>
      <w:r w:rsidRPr="007A2807">
        <w:rPr>
          <w:rStyle w:val="af2"/>
          <w:rFonts w:eastAsia="Guttman Hodes"/>
          <w:rtl/>
        </w:rPr>
      </w:r>
      <w:r w:rsidRPr="007A2807">
        <w:rPr>
          <w:rStyle w:val="af2"/>
          <w:rFonts w:eastAsia="Guttman Hodes"/>
          <w:rtl/>
        </w:rPr>
        <w:fldChar w:fldCharType="separate"/>
      </w:r>
      <w:r w:rsidR="00D82181">
        <w:rPr>
          <w:rStyle w:val="af2"/>
          <w:rFonts w:eastAsia="Guttman Hodes"/>
          <w:cs/>
        </w:rPr>
        <w:t>‎</w:t>
      </w:r>
      <w:r w:rsidR="00D82181">
        <w:rPr>
          <w:rStyle w:val="af2"/>
          <w:rFonts w:eastAsia="Guttman Hodes"/>
          <w:rtl/>
        </w:rPr>
        <w:t>מט)</w:t>
      </w:r>
      <w:r w:rsidRPr="007A2807">
        <w:rPr>
          <w:rStyle w:val="af2"/>
          <w:rFonts w:eastAsia="Guttman Hodes"/>
          <w:rtl/>
        </w:rPr>
        <w:fldChar w:fldCharType="end"/>
      </w:r>
      <w:r w:rsidRPr="00BE47C5">
        <w:rPr>
          <w:rFonts w:hint="cs"/>
          <w:vanish/>
          <w:rtl/>
        </w:rPr>
        <w:t>=</w:t>
      </w:r>
      <w:r>
        <w:rPr>
          <w:rFonts w:hint="cs"/>
          <w:rtl/>
        </w:rPr>
        <w:t xml:space="preserve"> את דברי </w:t>
      </w:r>
      <w:r w:rsidRPr="00BE47C5">
        <w:rPr>
          <w:rStyle w:val="aff4"/>
          <w:rFonts w:hint="cs"/>
          <w:vanish/>
          <w:rtl/>
        </w:rPr>
        <w:t>-</w:t>
      </w:r>
      <w:r w:rsidRPr="00BF56CC">
        <w:rPr>
          <w:rStyle w:val="aff4"/>
          <w:rFonts w:hint="cs"/>
          <w:rtl/>
        </w:rPr>
        <w:t>המאמר מרדכי</w:t>
      </w:r>
      <w:r w:rsidRPr="00BE47C5">
        <w:rPr>
          <w:rStyle w:val="aff4"/>
          <w:rFonts w:hint="cs"/>
          <w:vanish/>
          <w:rtl/>
        </w:rPr>
        <w:t>-</w:t>
      </w:r>
      <w:r w:rsidRPr="0051498D">
        <w:rPr>
          <w:rStyle w:val="aff4"/>
          <w:rFonts w:hint="cs"/>
          <w:rtl/>
        </w:rPr>
        <w:t xml:space="preserve"> </w:t>
      </w:r>
      <w:r>
        <w:rPr>
          <w:rFonts w:hint="cs"/>
          <w:rtl/>
        </w:rPr>
        <w:t xml:space="preserve">בשם </w:t>
      </w:r>
      <w:r w:rsidRPr="00BE47C5">
        <w:rPr>
          <w:rStyle w:val="aff4"/>
          <w:rFonts w:hint="cs"/>
          <w:vanish/>
          <w:rtl/>
        </w:rPr>
        <w:t>-</w:t>
      </w:r>
      <w:r>
        <w:rPr>
          <w:rStyle w:val="aff4"/>
          <w:rFonts w:hint="cs"/>
          <w:rtl/>
        </w:rPr>
        <w:t>הרד"ע</w:t>
      </w:r>
      <w:r w:rsidRPr="00BE47C5">
        <w:rPr>
          <w:rStyle w:val="aff4"/>
          <w:rFonts w:hint="cs"/>
          <w:vanish/>
          <w:rtl/>
        </w:rPr>
        <w:t>-</w:t>
      </w:r>
      <w:r>
        <w:rPr>
          <w:rFonts w:hint="cs"/>
          <w:rtl/>
        </w:rPr>
        <w:t xml:space="preserve"> דכתב בדעת </w:t>
      </w:r>
      <w:r w:rsidRPr="00BE47C5">
        <w:rPr>
          <w:rStyle w:val="aff4"/>
          <w:rFonts w:hint="cs"/>
          <w:vanish/>
          <w:rtl/>
        </w:rPr>
        <w:t>-</w:t>
      </w:r>
      <w:r w:rsidRPr="00BF56CC">
        <w:rPr>
          <w:rStyle w:val="aff4"/>
          <w:rFonts w:hint="cs"/>
          <w:rtl/>
        </w:rPr>
        <w:t>הרמב"ם</w:t>
      </w:r>
      <w:r w:rsidRPr="00BE47C5">
        <w:rPr>
          <w:rStyle w:val="aff4"/>
          <w:rFonts w:hint="cs"/>
          <w:vanish/>
          <w:rtl/>
        </w:rPr>
        <w:t>-</w:t>
      </w:r>
      <w:r>
        <w:rPr>
          <w:rFonts w:hint="cs"/>
          <w:rtl/>
        </w:rPr>
        <w:t xml:space="preserve"> דבב' מיני אוכלין לא חשיב כפסולת גמורה, ואף שאינו אוכל את המין שבורר והניחו לאח"ז או למחר מותר</w:t>
      </w:r>
      <w:bookmarkEnd w:id="2381"/>
      <w:r>
        <w:rPr>
          <w:rFonts w:hint="cs"/>
          <w:rtl/>
        </w:rPr>
        <w:t xml:space="preserve">, וכ"כ </w:t>
      </w:r>
      <w:r w:rsidRPr="00BE47C5">
        <w:rPr>
          <w:rStyle w:val="aff4"/>
          <w:rFonts w:hint="cs"/>
          <w:vanish/>
          <w:rtl/>
        </w:rPr>
        <w:t>-</w:t>
      </w:r>
      <w:r w:rsidRPr="00BF56CC">
        <w:rPr>
          <w:rStyle w:val="aff4"/>
          <w:rFonts w:hint="cs"/>
          <w:rtl/>
        </w:rPr>
        <w:t>ה</w:t>
      </w:r>
      <w:r w:rsidRPr="00905CF2">
        <w:rPr>
          <w:rStyle w:val="aff4"/>
          <w:rFonts w:hint="cs"/>
          <w:vanish/>
          <w:rtl/>
        </w:rPr>
        <w:t>&lt; &gt;</w:t>
      </w:r>
      <w:r w:rsidRPr="00BF56CC">
        <w:rPr>
          <w:rStyle w:val="aff4"/>
          <w:rFonts w:hint="cs"/>
          <w:rtl/>
        </w:rPr>
        <w:t>מגלת ספר</w:t>
      </w:r>
      <w:r w:rsidRPr="00BE47C5">
        <w:rPr>
          <w:rStyle w:val="aff4"/>
          <w:rFonts w:hint="cs"/>
          <w:vanish/>
          <w:rtl/>
        </w:rPr>
        <w:t>-</w:t>
      </w:r>
      <w:r>
        <w:rPr>
          <w:rFonts w:hint="cs"/>
          <w:rtl/>
        </w:rPr>
        <w:t xml:space="preserve"> </w:t>
      </w:r>
      <w:r w:rsidRPr="00D16BB6">
        <w:rPr>
          <w:rStyle w:val="af2"/>
          <w:rFonts w:eastAsia="Guttman Hodes" w:hint="cs"/>
          <w:rtl/>
        </w:rPr>
        <w:t xml:space="preserve">(עי' אות </w:t>
      </w:r>
      <w:r w:rsidRPr="00D16BB6">
        <w:rPr>
          <w:rStyle w:val="af2"/>
          <w:rFonts w:eastAsia="Guttman Hodes"/>
          <w:rtl/>
        </w:rPr>
        <w:fldChar w:fldCharType="begin"/>
      </w:r>
      <w:r w:rsidRPr="00D16BB6">
        <w:rPr>
          <w:rStyle w:val="af2"/>
          <w:rFonts w:eastAsia="Guttman Hodes"/>
          <w:rtl/>
        </w:rPr>
        <w:instrText xml:space="preserve"> </w:instrText>
      </w:r>
      <w:r w:rsidRPr="00D16BB6">
        <w:rPr>
          <w:rStyle w:val="af2"/>
          <w:rFonts w:eastAsia="Guttman Hodes" w:hint="cs"/>
        </w:rPr>
        <w:instrText>REF</w:instrText>
      </w:r>
      <w:r w:rsidRPr="00D16BB6">
        <w:rPr>
          <w:rStyle w:val="af2"/>
          <w:rFonts w:eastAsia="Guttman Hodes" w:hint="cs"/>
          <w:rtl/>
        </w:rPr>
        <w:instrText xml:space="preserve"> _</w:instrText>
      </w:r>
      <w:r w:rsidRPr="00D16BB6">
        <w:rPr>
          <w:rStyle w:val="af2"/>
          <w:rFonts w:eastAsia="Guttman Hodes" w:hint="cs"/>
        </w:rPr>
        <w:instrText>Ref137574571 \r \h</w:instrText>
      </w:r>
      <w:r w:rsidRPr="00D16BB6">
        <w:rPr>
          <w:rStyle w:val="af2"/>
          <w:rFonts w:eastAsia="Guttman Hodes"/>
          <w:rtl/>
        </w:rPr>
        <w:instrText xml:space="preserve"> </w:instrText>
      </w:r>
      <w:r w:rsidRPr="00D16BB6">
        <w:rPr>
          <w:rStyle w:val="af2"/>
          <w:rFonts w:eastAsia="Guttman Hodes"/>
          <w:rtl/>
        </w:rPr>
      </w:r>
      <w:r w:rsidRPr="00D16BB6">
        <w:rPr>
          <w:rStyle w:val="af2"/>
          <w:rFonts w:eastAsia="Guttman Hodes"/>
          <w:rtl/>
        </w:rPr>
        <w:fldChar w:fldCharType="separate"/>
      </w:r>
      <w:r w:rsidR="00D82181">
        <w:rPr>
          <w:rStyle w:val="af2"/>
          <w:rFonts w:eastAsia="Guttman Hodes"/>
          <w:cs/>
        </w:rPr>
        <w:t>‎</w:t>
      </w:r>
      <w:r w:rsidR="00D82181">
        <w:rPr>
          <w:rStyle w:val="af2"/>
          <w:rFonts w:eastAsia="Guttman Hodes"/>
          <w:rtl/>
        </w:rPr>
        <w:t>נ)</w:t>
      </w:r>
      <w:r w:rsidRPr="00D16BB6">
        <w:rPr>
          <w:rStyle w:val="af2"/>
          <w:rFonts w:eastAsia="Guttman Hodes"/>
          <w:rtl/>
        </w:rPr>
        <w:fldChar w:fldCharType="end"/>
      </w:r>
      <w:r w:rsidRPr="00BE47C5">
        <w:rPr>
          <w:rFonts w:hint="cs"/>
          <w:vanish/>
          <w:rtl/>
        </w:rPr>
        <w:t>=</w:t>
      </w:r>
      <w:r>
        <w:rPr>
          <w:rFonts w:hint="cs"/>
          <w:rtl/>
        </w:rPr>
        <w:t>.</w:t>
      </w:r>
    </w:p>
    <w:p w14:paraId="5AD9731C" w14:textId="77777777" w:rsidR="00592982" w:rsidRPr="00747170" w:rsidRDefault="00592982" w:rsidP="00747170">
      <w:pPr>
        <w:pStyle w:val="a2"/>
        <w:rPr>
          <w:rtl/>
        </w:rPr>
      </w:pPr>
      <w:r w:rsidRPr="00747170">
        <w:rPr>
          <w:rtl/>
        </w:rPr>
        <w:t>* היו לפניו וכו' - הנה הפמ"ג מסתפק דאם בירר מין אחד מחבירו ודעתו להניח שניהם אלאחר זמן אם שייך בזה ברירה דהי אוכל והי פסולת ע"ש ולענ"ד נראה פשוט מלשון הרמב"ם דס"ל דהברירה מה שבורר מין אחד מחבירו ועי"ז הוא כל מין בפ"ע זהו עצם המלאכה אלא דאם דעתו לאכול תיכף והוא בידו הוי דרך מאכל וא"כ ק"ו הדבר ומה היכא שהניח מין אחד על מקומו שייך שם ברירה וכ"ש בזה שלקח כל מין ומין וביררו לעצמו דחייב</w:t>
      </w:r>
      <w:r w:rsidRPr="00747170">
        <w:rPr>
          <w:rFonts w:hint="cs"/>
          <w:rtl/>
        </w:rPr>
        <w:t>.</w:t>
      </w:r>
    </w:p>
    <w:p w14:paraId="6321EA63" w14:textId="77777777" w:rsidR="00592982" w:rsidRPr="00C61A8D" w:rsidRDefault="00592982" w:rsidP="00747170">
      <w:pPr>
        <w:pStyle w:val="afffff5"/>
        <w:rPr>
          <w:rtl/>
        </w:rPr>
      </w:pPr>
      <w:r w:rsidRPr="00C61A8D">
        <w:rPr>
          <w:rtl/>
        </w:rPr>
        <w:t>* ומניח השני כדי וכו' - עיין במ"ב והנה לשון המחבר מועתק מהרמב"ם פ"ח מה"ש הלכה י"ג והם כפשטן ומניח לאחרים או לעצמו והרב מוסיף תיבת השני כדי ושינה כונת המחבר והר"מ ז"ל להודיע לנו דאותו שאינו רוצה עתה הוא כפסולת וצריך לברור אותו שרוצה לאכול דוקא וכמש"כ התה"ד [פמ"ג] ואם דעת הרמב"ם הוא ג"כ כהרמ"א לא ברירא דיש גדולים שאינם סוברין כן עיין בספר מא"מ שהביא בשם הר"ר דוד עראמה בפירושו להרמב"ם שכתב דבשני מיני אוכלים אף על פי שלא אכל מה שבירר אלא מה שהיה בורר בידו הניחו לבו ביום או למחרת ואכל המין הנשאר שרי דלא אסרינן זה אלא בבורר פסולת גמור מתוך אוכל משא"כ הכא דהוי ב' מיני אוכלים וכל שבורר כדי לאכול לאלתר שרי עכ"ל המא"מ וכ"כ ג"כ בספר מגלת ספר לדעת הרמב"ם אמנם למעשה אין לזוז מדברי התה"ד והרמ"א שמקורן הוא מדברי הרא"ש [ודברי התוספות בד"ה היו וכו' שכתבו שבורר אותו שאינו חפץ וכו' יש להסתפק אי כונתם בלאלתר או אפילו בלאחר זמן ופליגי אדעת הרמב"ם והסמ"ג ויתר הפוסקים דס"ל דפסולת מתוך אוכל לאלתר חייב] ונוגע בענין איסור דאורייתא:</w:t>
      </w:r>
    </w:p>
    <w:p w14:paraId="2729C36A" w14:textId="4A29AAA4" w:rsidR="00592982" w:rsidRDefault="00592982" w:rsidP="00592982">
      <w:pPr>
        <w:pStyle w:val="affff5"/>
        <w:rPr>
          <w:rtl/>
        </w:rPr>
      </w:pPr>
      <w:bookmarkStart w:id="2382" w:name="_Toc137741970"/>
      <w:r>
        <w:rPr>
          <w:rFonts w:hint="cs"/>
          <w:rtl/>
        </w:rPr>
        <w:t>בדין ב' מינים שרוצה את שניהם לאח"ז</w:t>
      </w:r>
      <w:bookmarkEnd w:id="2382"/>
    </w:p>
    <w:p w14:paraId="083A7F1F" w14:textId="77777777" w:rsidR="00592982" w:rsidRPr="000D6D8E" w:rsidRDefault="00592982" w:rsidP="00592982">
      <w:pPr>
        <w:pStyle w:val="1"/>
        <w:rPr>
          <w:rtl/>
        </w:rPr>
      </w:pPr>
      <w:bookmarkStart w:id="2383" w:name="_Toc137741971"/>
      <w:r>
        <w:rPr>
          <w:rFonts w:hint="cs"/>
          <w:rtl/>
        </w:rPr>
        <w:t>בי' התרוה"ד דהבורר ב' מינים לסעודה אחרת הוי כמין א' ומותר</w:t>
      </w:r>
      <w:bookmarkEnd w:id="2383"/>
    </w:p>
    <w:p w14:paraId="472B71EC" w14:textId="77777777" w:rsidR="00592982" w:rsidRDefault="00592982" w:rsidP="00592982">
      <w:pPr>
        <w:pStyle w:val="afffff7"/>
        <w:rPr>
          <w:rtl/>
        </w:rPr>
      </w:pPr>
      <w:bookmarkStart w:id="2384" w:name="_Toc137742056"/>
      <w:bookmarkStart w:id="2385" w:name="_Toc163505824"/>
      <w:r>
        <w:rPr>
          <w:rtl/>
        </w:rPr>
        <w:t>תרומת הדשן סי' נז</w:t>
      </w:r>
      <w:bookmarkEnd w:id="2384"/>
      <w:bookmarkEnd w:id="2385"/>
    </w:p>
    <w:p w14:paraId="68BE4446" w14:textId="77777777" w:rsidR="00592982" w:rsidRDefault="00592982" w:rsidP="00592982">
      <w:pPr>
        <w:pStyle w:val="a7"/>
        <w:rPr>
          <w:rtl/>
        </w:rPr>
      </w:pPr>
      <w:bookmarkStart w:id="2386" w:name="_Toc137741972"/>
      <w:r>
        <w:rPr>
          <w:rFonts w:hint="cs"/>
          <w:rtl/>
        </w:rPr>
        <w:t>בי' התרוה"ד דבב' מינים לסעודה אחרת אי"ז בורר דהוי כמין א' ואין מין דחשיב לו כפסולת</w:t>
      </w:r>
      <w:bookmarkEnd w:id="2386"/>
    </w:p>
    <w:p w14:paraId="664E0D97" w14:textId="4C314C27" w:rsidR="00592982" w:rsidRPr="0028356C" w:rsidRDefault="00592982" w:rsidP="00BC7DC8">
      <w:pPr>
        <w:pStyle w:val="a3"/>
        <w:rPr>
          <w:rtl/>
        </w:rPr>
      </w:pPr>
      <w:bookmarkStart w:id="2387" w:name="_Ref137659864"/>
      <w:r>
        <w:rPr>
          <w:rFonts w:hint="cs"/>
          <w:rtl/>
        </w:rPr>
        <w:t xml:space="preserve">כתב </w:t>
      </w:r>
      <w:r w:rsidRPr="000D6D8E">
        <w:rPr>
          <w:rStyle w:val="aff4"/>
          <w:rFonts w:hint="cs"/>
          <w:vanish/>
          <w:rtl/>
        </w:rPr>
        <w:t>-</w:t>
      </w:r>
      <w:r w:rsidRPr="00BF56CC">
        <w:rPr>
          <w:rStyle w:val="aff4"/>
          <w:rFonts w:hint="cs"/>
          <w:rtl/>
        </w:rPr>
        <w:t>ה</w:t>
      </w:r>
      <w:r w:rsidRPr="000D6D8E">
        <w:rPr>
          <w:rStyle w:val="aff4"/>
          <w:rFonts w:hint="cs"/>
          <w:vanish/>
          <w:rtl/>
        </w:rPr>
        <w:t xml:space="preserve">&lt;. </w:t>
      </w:r>
      <w:r w:rsidRPr="000D6D8E">
        <w:rPr>
          <w:rStyle w:val="aff4"/>
          <w:vanish/>
          <w:rtl/>
        </w:rPr>
        <w:fldChar w:fldCharType="begin"/>
      </w:r>
      <w:r w:rsidRPr="000D6D8E">
        <w:rPr>
          <w:rStyle w:val="aff4"/>
          <w:vanish/>
          <w:rtl/>
        </w:rPr>
        <w:instrText xml:space="preserve"> </w:instrText>
      </w:r>
      <w:r w:rsidRPr="000D6D8E">
        <w:rPr>
          <w:rStyle w:val="aff4"/>
          <w:rFonts w:hint="cs"/>
          <w:vanish/>
        </w:rPr>
        <w:instrText>REF</w:instrText>
      </w:r>
      <w:r w:rsidRPr="000D6D8E">
        <w:rPr>
          <w:rStyle w:val="aff4"/>
          <w:rFonts w:hint="cs"/>
          <w:vanish/>
          <w:rtl/>
        </w:rPr>
        <w:instrText xml:space="preserve"> _</w:instrText>
      </w:r>
      <w:r w:rsidRPr="000D6D8E">
        <w:rPr>
          <w:rStyle w:val="aff4"/>
          <w:rFonts w:hint="cs"/>
          <w:vanish/>
        </w:rPr>
        <w:instrText>Ref137659864 \r \h</w:instrText>
      </w:r>
      <w:r w:rsidRPr="000D6D8E">
        <w:rPr>
          <w:rStyle w:val="aff4"/>
          <w:vanish/>
          <w:rtl/>
        </w:rPr>
        <w:instrText xml:space="preserve">  \* </w:instrText>
      </w:r>
      <w:r w:rsidRPr="000D6D8E">
        <w:rPr>
          <w:rStyle w:val="aff4"/>
          <w:vanish/>
        </w:rPr>
        <w:instrText>MERGEFORMAT</w:instrText>
      </w:r>
      <w:r w:rsidRPr="000D6D8E">
        <w:rPr>
          <w:rStyle w:val="aff4"/>
          <w:vanish/>
          <w:rtl/>
        </w:rPr>
        <w:instrText xml:space="preserve"> </w:instrText>
      </w:r>
      <w:r w:rsidRPr="000D6D8E">
        <w:rPr>
          <w:rStyle w:val="aff4"/>
          <w:vanish/>
          <w:rtl/>
        </w:rPr>
      </w:r>
      <w:r w:rsidRPr="000D6D8E">
        <w:rPr>
          <w:rStyle w:val="aff4"/>
          <w:vanish/>
          <w:rtl/>
        </w:rPr>
        <w:fldChar w:fldCharType="separate"/>
      </w:r>
      <w:r w:rsidR="00D82181">
        <w:rPr>
          <w:rStyle w:val="aff4"/>
          <w:vanish/>
          <w:cs/>
        </w:rPr>
        <w:t>‎</w:t>
      </w:r>
      <w:r w:rsidR="00D82181">
        <w:rPr>
          <w:rStyle w:val="aff4"/>
          <w:vanish/>
          <w:rtl/>
        </w:rPr>
        <w:t>מא)</w:t>
      </w:r>
      <w:r w:rsidRPr="000D6D8E">
        <w:rPr>
          <w:rStyle w:val="aff4"/>
          <w:vanish/>
          <w:rtl/>
        </w:rPr>
        <w:fldChar w:fldCharType="end"/>
      </w:r>
      <w:r w:rsidRPr="000D6D8E">
        <w:rPr>
          <w:rStyle w:val="aff4"/>
          <w:rFonts w:hint="cs"/>
          <w:vanish/>
          <w:rtl/>
        </w:rPr>
        <w:t xml:space="preserve"> &gt;</w:t>
      </w:r>
      <w:r>
        <w:rPr>
          <w:rStyle w:val="aff4"/>
          <w:rFonts w:hint="cs"/>
          <w:rtl/>
        </w:rPr>
        <w:t>תרומת הדשן</w:t>
      </w:r>
      <w:r w:rsidRPr="000D6D8E">
        <w:rPr>
          <w:rStyle w:val="aff4"/>
          <w:rFonts w:hint="cs"/>
          <w:vanish/>
          <w:rtl/>
        </w:rPr>
        <w:t>-</w:t>
      </w:r>
      <w:r>
        <w:rPr>
          <w:rFonts w:hint="cs"/>
          <w:rtl/>
        </w:rPr>
        <w:t xml:space="preserve"> </w:t>
      </w:r>
      <w:r w:rsidRPr="00D16BB6">
        <w:rPr>
          <w:rStyle w:val="af2"/>
          <w:rFonts w:eastAsia="Guttman Hodes" w:hint="cs"/>
          <w:rtl/>
        </w:rPr>
        <w:t>(סו"ס נ"ז)</w:t>
      </w:r>
      <w:r w:rsidRPr="000D6D8E">
        <w:rPr>
          <w:rFonts w:hint="cs"/>
          <w:vanish/>
          <w:rtl/>
        </w:rPr>
        <w:t>=</w:t>
      </w:r>
      <w:r>
        <w:rPr>
          <w:rFonts w:hint="cs"/>
          <w:rtl/>
        </w:rPr>
        <w:t xml:space="preserve"> דאם בורר מב' המינים לסעודה אחרת, אף דמניח כל מין בפנ"ע מ"מ אי"ז בורר, דכיון שבורר משניהם הוא כבורר ממין אחד, ובזה ס"ל </w:t>
      </w:r>
      <w:r w:rsidRPr="000D6D8E">
        <w:rPr>
          <w:rStyle w:val="aff4"/>
          <w:rFonts w:hint="cs"/>
          <w:vanish/>
          <w:rtl/>
        </w:rPr>
        <w:t>-</w:t>
      </w:r>
      <w:r w:rsidRPr="00BF56CC">
        <w:rPr>
          <w:rStyle w:val="aff4"/>
          <w:rFonts w:hint="cs"/>
          <w:rtl/>
        </w:rPr>
        <w:t>להתרוה"ד</w:t>
      </w:r>
      <w:r w:rsidRPr="000D6D8E">
        <w:rPr>
          <w:rStyle w:val="aff4"/>
          <w:rFonts w:hint="cs"/>
          <w:vanish/>
          <w:rtl/>
        </w:rPr>
        <w:t>-</w:t>
      </w:r>
      <w:r>
        <w:rPr>
          <w:rFonts w:hint="cs"/>
          <w:rtl/>
        </w:rPr>
        <w:t xml:space="preserve"> דמותר, וכדמשמע מדברי </w:t>
      </w:r>
      <w:r w:rsidRPr="000D6D8E">
        <w:rPr>
          <w:rStyle w:val="aff4"/>
          <w:rFonts w:hint="cs"/>
          <w:vanish/>
          <w:rtl/>
        </w:rPr>
        <w:t>-</w:t>
      </w:r>
      <w:r w:rsidRPr="00BF56CC">
        <w:rPr>
          <w:rStyle w:val="aff4"/>
          <w:rFonts w:hint="cs"/>
          <w:rtl/>
        </w:rPr>
        <w:t>הרא"ש</w:t>
      </w:r>
      <w:r w:rsidRPr="000D6D8E">
        <w:rPr>
          <w:rStyle w:val="aff4"/>
          <w:rFonts w:hint="cs"/>
          <w:vanish/>
          <w:rtl/>
        </w:rPr>
        <w:t>-</w:t>
      </w:r>
      <w:r>
        <w:rPr>
          <w:rFonts w:hint="cs"/>
          <w:rtl/>
        </w:rPr>
        <w:t xml:space="preserve"> </w:t>
      </w:r>
      <w:r w:rsidRPr="00D16BB6">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Ref137671185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w:t>
      </w:r>
      <w:r>
        <w:rPr>
          <w:rStyle w:val="af2"/>
          <w:rFonts w:eastAsia="Guttman Hodes"/>
          <w:rtl/>
        </w:rPr>
        <w:fldChar w:fldCharType="end"/>
      </w:r>
      <w:r>
        <w:rPr>
          <w:rFonts w:hint="cs"/>
          <w:rtl/>
        </w:rPr>
        <w:t xml:space="preserve"> דרק כשיש מין שרוצה ומין שאינו רוצה חשיב אוכל ופסולת, אבל בב' מינים אי"ז ברירה.</w:t>
      </w:r>
      <w:bookmarkEnd w:id="2387"/>
    </w:p>
    <w:p w14:paraId="5B6C43BA" w14:textId="77777777" w:rsidR="00592982" w:rsidRPr="00747170" w:rsidRDefault="00592982" w:rsidP="00747170">
      <w:pPr>
        <w:pStyle w:val="a2"/>
        <w:rPr>
          <w:rtl/>
        </w:rPr>
      </w:pPr>
      <w:r w:rsidRPr="00747170">
        <w:rPr>
          <w:rtl/>
        </w:rPr>
        <w:t>ולא להתיר אלא שיקח משני המינים להשהותן לסעודה אחרת, אם לא ירצה לברור אותן שיאכל עתה. ונראה דבכה"ג לא חשיב בורר, הואיל ובורר משני המינים הוה כאלו בורר ממין אחד. ואף על גב דאין לדקדק זה ממאי דנקט שני מינים, דאיכא למימר דלא אתי לאפוקי, אלא היכא דליכא אלא מין אחד, אבל לעולם בדאיכא תרי מיני לקמיה, אפי' יברור משניהם חשיב ברירה. אמנם מלשון אשירי דלעיל משמע קצת דלא חשיב ברירה כה"ג, כשהוא בורר שני המינים דכ' אותו שרוצה לאכול עתה מיקרי אוכל, ואידך מיקרי פסולת, מדלא כ' מה שרוצה לאכול עתה משמע דקאי על המין, ורוצה לומר אותו המין שרוצה לאכול עתה, ומשום דצריך לברור מין ממין נקט הכי וק"ל.</w:t>
      </w:r>
    </w:p>
    <w:p w14:paraId="636F29A9" w14:textId="3E1AEA16" w:rsidR="00592982" w:rsidRPr="00336D22" w:rsidRDefault="00592982" w:rsidP="00592982">
      <w:pPr>
        <w:pStyle w:val="1"/>
        <w:rPr>
          <w:rtl/>
        </w:rPr>
      </w:pPr>
      <w:bookmarkStart w:id="2388" w:name="_Toc137741973"/>
      <w:r>
        <w:rPr>
          <w:rFonts w:hint="cs"/>
          <w:rtl/>
        </w:rPr>
        <w:t>בי' הראש יוסף בפלו' הראש' אי כשאין מין שכפסולת הוי בורר</w:t>
      </w:r>
      <w:bookmarkEnd w:id="2388"/>
    </w:p>
    <w:p w14:paraId="3A9E123C" w14:textId="77777777" w:rsidR="00592982" w:rsidRDefault="00592982" w:rsidP="00592982">
      <w:pPr>
        <w:pStyle w:val="afffff7"/>
        <w:rPr>
          <w:rtl/>
        </w:rPr>
      </w:pPr>
      <w:bookmarkStart w:id="2389" w:name="_Toc137742057"/>
      <w:bookmarkStart w:id="2390" w:name="_Toc163505825"/>
      <w:r>
        <w:rPr>
          <w:rtl/>
        </w:rPr>
        <w:t>ראש יוסף שבת ע"ד ע"א</w:t>
      </w:r>
      <w:r>
        <w:rPr>
          <w:rFonts w:hint="cs"/>
          <w:rtl/>
        </w:rPr>
        <w:t xml:space="preserve"> ד</w:t>
      </w:r>
      <w:r>
        <w:rPr>
          <w:rFonts w:cs="Guttman Hodes" w:hint="cs"/>
          <w:rtl/>
        </w:rPr>
        <w:t>"</w:t>
      </w:r>
      <w:r>
        <w:rPr>
          <w:rFonts w:hint="cs"/>
          <w:rtl/>
        </w:rPr>
        <w:t>ה והנה</w:t>
      </w:r>
      <w:bookmarkEnd w:id="2389"/>
      <w:bookmarkEnd w:id="2390"/>
    </w:p>
    <w:p w14:paraId="5D2E5978" w14:textId="77777777" w:rsidR="00592982" w:rsidRDefault="00592982" w:rsidP="00592982">
      <w:pPr>
        <w:pStyle w:val="a7"/>
        <w:rPr>
          <w:rtl/>
        </w:rPr>
      </w:pPr>
      <w:bookmarkStart w:id="2391" w:name="_Toc137741974"/>
      <w:r>
        <w:rPr>
          <w:rFonts w:hint="cs"/>
          <w:rtl/>
        </w:rPr>
        <w:t>בי' הראש יוסף בתוס' דברוצה לאכול שניהם לאח"ז א' לעצמו וא' לב"ב אי"ז בורר דאין פסולת</w:t>
      </w:r>
      <w:bookmarkEnd w:id="2391"/>
    </w:p>
    <w:p w14:paraId="562B29FB" w14:textId="12FC2343" w:rsidR="00592982" w:rsidRDefault="00592982" w:rsidP="00BC7DC8">
      <w:pPr>
        <w:pStyle w:val="a3"/>
      </w:pPr>
      <w:bookmarkStart w:id="2392" w:name="_Ref137574528"/>
      <w:r>
        <w:rPr>
          <w:rFonts w:hint="cs"/>
          <w:rtl/>
        </w:rPr>
        <w:t xml:space="preserve">במ"ש </w:t>
      </w:r>
      <w:r w:rsidRPr="00BE47C5">
        <w:rPr>
          <w:rStyle w:val="aff4"/>
          <w:rFonts w:hint="cs"/>
          <w:vanish/>
          <w:rtl/>
        </w:rPr>
        <w:t>-</w:t>
      </w:r>
      <w:r w:rsidRPr="00BF56CC">
        <w:rPr>
          <w:rStyle w:val="aff4"/>
          <w:rFonts w:hint="cs"/>
          <w:rtl/>
        </w:rPr>
        <w:t>התוס'</w:t>
      </w:r>
      <w:r w:rsidRPr="00BE47C5">
        <w:rPr>
          <w:rStyle w:val="aff4"/>
          <w:rFonts w:hint="cs"/>
          <w:vanish/>
          <w:rtl/>
        </w:rPr>
        <w:t>-</w:t>
      </w:r>
      <w:r>
        <w:rPr>
          <w:rFonts w:hint="cs"/>
          <w:rtl/>
        </w:rPr>
        <w:t xml:space="preserve"> </w:t>
      </w:r>
      <w:r w:rsidRPr="00D16BB6">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Ref137671185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w:t>
      </w:r>
      <w:r>
        <w:rPr>
          <w:rStyle w:val="af2"/>
          <w:rFonts w:eastAsia="Guttman Hodes"/>
          <w:rtl/>
        </w:rPr>
        <w:fldChar w:fldCharType="end"/>
      </w:r>
      <w:r>
        <w:rPr>
          <w:rFonts w:hint="cs"/>
          <w:rtl/>
        </w:rPr>
        <w:t xml:space="preserve"> דהמין שרוצה לאכול חשיב אוכל והמין שאינו רוצה פסולת, כתב </w:t>
      </w:r>
      <w:r w:rsidRPr="00BE47C5">
        <w:rPr>
          <w:rStyle w:val="aff4"/>
          <w:rFonts w:hint="cs"/>
          <w:vanish/>
          <w:rtl/>
        </w:rPr>
        <w:t>-</w:t>
      </w:r>
      <w:r w:rsidRPr="00BF56CC">
        <w:rPr>
          <w:rStyle w:val="aff4"/>
          <w:rFonts w:hint="cs"/>
          <w:rtl/>
        </w:rPr>
        <w:t>ה</w:t>
      </w:r>
      <w:r w:rsidRPr="00BE47C5">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Ref137574528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מב)</w:t>
      </w:r>
      <w:r>
        <w:rPr>
          <w:rStyle w:val="aff4"/>
          <w:vanish/>
          <w:rtl/>
        </w:rPr>
        <w:fldChar w:fldCharType="end"/>
      </w:r>
      <w:r>
        <w:rPr>
          <w:rStyle w:val="aff4"/>
          <w:rFonts w:hint="cs"/>
          <w:vanish/>
          <w:rtl/>
        </w:rPr>
        <w:t xml:space="preserve"> </w:t>
      </w:r>
      <w:r w:rsidRPr="00BE47C5">
        <w:rPr>
          <w:rStyle w:val="aff4"/>
          <w:rFonts w:hint="cs"/>
          <w:vanish/>
          <w:rtl/>
        </w:rPr>
        <w:t>&gt;</w:t>
      </w:r>
      <w:r w:rsidRPr="00BF56CC">
        <w:rPr>
          <w:rStyle w:val="aff4"/>
          <w:rFonts w:hint="cs"/>
          <w:rtl/>
        </w:rPr>
        <w:t>ראש יוסף</w:t>
      </w:r>
      <w:r w:rsidRPr="00BE47C5">
        <w:rPr>
          <w:rStyle w:val="aff4"/>
          <w:rFonts w:hint="cs"/>
          <w:vanish/>
          <w:rtl/>
        </w:rPr>
        <w:t>-</w:t>
      </w:r>
      <w:r>
        <w:rPr>
          <w:rFonts w:hint="cs"/>
          <w:rtl/>
        </w:rPr>
        <w:t xml:space="preserve"> </w:t>
      </w:r>
      <w:r w:rsidRPr="00D16BB6">
        <w:rPr>
          <w:rStyle w:val="af2"/>
          <w:rFonts w:eastAsia="Guttman Hodes" w:hint="cs"/>
          <w:rtl/>
        </w:rPr>
        <w:t>(ד"ה והנה)</w:t>
      </w:r>
      <w:r w:rsidRPr="00BE47C5">
        <w:rPr>
          <w:rFonts w:hint="cs"/>
          <w:vanish/>
          <w:rtl/>
        </w:rPr>
        <w:t>=</w:t>
      </w:r>
      <w:r>
        <w:rPr>
          <w:rFonts w:hint="cs"/>
          <w:rtl/>
        </w:rPr>
        <w:t xml:space="preserve"> דמשמע דאם רוצה לאכול את שני המינים לאח"ז, ובוררם שהוא יאכל מין אחד ובני </w:t>
      </w:r>
      <w:r>
        <w:rPr>
          <w:rFonts w:hint="cs"/>
          <w:rtl/>
        </w:rPr>
        <w:t>ביתו יאכלו את המין השני, דאין בזה בורר כיון דאין אחד מהם פסולת.</w:t>
      </w:r>
      <w:bookmarkEnd w:id="2392"/>
    </w:p>
    <w:p w14:paraId="50F676C5" w14:textId="77777777" w:rsidR="00592982" w:rsidRPr="00747170" w:rsidRDefault="00592982" w:rsidP="00747170">
      <w:pPr>
        <w:pStyle w:val="a2"/>
        <w:rPr>
          <w:rtl/>
        </w:rPr>
      </w:pPr>
      <w:r w:rsidRPr="00747170">
        <w:rPr>
          <w:rtl/>
        </w:rPr>
        <w:t>והנה בשני מיני אוכלין כתבו התוס' דחייב נמי וכ"ה בירושלמי בורר אוכל מאוכל חזקי' אמר חייב ורבי יוחנן אמר פטור והלכה כחזקי' דרבי' דרבי יוחנן כמבואר בכמה דוכתי וכ"פ הר"מ ז"ל שם ובש"ע שי"ט והוי יודע כי התוס' כתבו כאן ד"ה היו דאותו שרוצה לאכול הוה אוכל ואותו שאין רוצה לאכול (עתה) הוה פסולת וכמ"ש המ"א בשי"ט ד' יע"ש ולפ"ז אם אין רוצה לאכול עתה כלום רק בורר קודם סעודת שחרית על סעודת מנחה קטנים מגדולים שני מינין ויאכלו במנחה המין הגדול הוא והמין הקטן בני ביתו לכאורה לית כאן בורר דהי פסולת והי אוכל ותרוייהו אוכלא נינהו ושרי כה"ג</w:t>
      </w:r>
      <w:r w:rsidRPr="00747170">
        <w:rPr>
          <w:rFonts w:hint="cs"/>
          <w:rtl/>
        </w:rPr>
        <w:t>.</w:t>
      </w:r>
    </w:p>
    <w:p w14:paraId="1A3755AF" w14:textId="78C01274" w:rsidR="00592982" w:rsidRDefault="00592982" w:rsidP="00592982">
      <w:pPr>
        <w:pStyle w:val="afffff7"/>
        <w:rPr>
          <w:rtl/>
        </w:rPr>
      </w:pPr>
      <w:bookmarkStart w:id="2393" w:name="_Toc137742058"/>
      <w:bookmarkStart w:id="2394" w:name="_Toc163505826"/>
      <w:r>
        <w:rPr>
          <w:rtl/>
        </w:rPr>
        <w:t>ראש יוסף שבת ע"ד ע"א</w:t>
      </w:r>
      <w:r>
        <w:rPr>
          <w:rFonts w:hint="cs"/>
          <w:rtl/>
        </w:rPr>
        <w:t xml:space="preserve"> ד"ה </w:t>
      </w:r>
      <w:r>
        <w:rPr>
          <w:rtl/>
        </w:rPr>
        <w:t>ומשמע דכאן</w:t>
      </w:r>
      <w:bookmarkEnd w:id="2393"/>
      <w:bookmarkEnd w:id="2394"/>
    </w:p>
    <w:p w14:paraId="57DEE68D" w14:textId="77777777" w:rsidR="00592982" w:rsidRDefault="00592982" w:rsidP="00592982">
      <w:pPr>
        <w:pStyle w:val="a7"/>
        <w:rPr>
          <w:rtl/>
        </w:rPr>
      </w:pPr>
      <w:bookmarkStart w:id="2395" w:name="_Toc137741975"/>
      <w:r>
        <w:rPr>
          <w:rFonts w:hint="cs"/>
          <w:rtl/>
        </w:rPr>
        <w:t>בי' הראש יוסף דברוצה לאכול לאלתר דהב' כפסולת ובנפה חייב אך שניהם לאח"ז מותר בנפה</w:t>
      </w:r>
      <w:bookmarkEnd w:id="2395"/>
    </w:p>
    <w:p w14:paraId="1D3F901B" w14:textId="5D064A61" w:rsidR="00592982" w:rsidRPr="00770005" w:rsidRDefault="00592982" w:rsidP="00BC7DC8">
      <w:pPr>
        <w:pStyle w:val="a3"/>
      </w:pPr>
      <w:bookmarkStart w:id="2396" w:name="_Ref137117572"/>
      <w:r>
        <w:rPr>
          <w:rFonts w:hint="cs"/>
          <w:rtl/>
        </w:rPr>
        <w:t xml:space="preserve">והביא </w:t>
      </w:r>
      <w:r w:rsidRPr="00371DAA">
        <w:rPr>
          <w:rStyle w:val="aff4"/>
          <w:rFonts w:hint="cs"/>
          <w:vanish/>
          <w:rtl/>
        </w:rPr>
        <w:t>-</w:t>
      </w:r>
      <w:r w:rsidRPr="00BF56CC">
        <w:rPr>
          <w:rStyle w:val="aff4"/>
          <w:rFonts w:hint="cs"/>
          <w:rtl/>
        </w:rPr>
        <w:t>ב</w:t>
      </w:r>
      <w:r w:rsidRPr="00371DAA">
        <w:rPr>
          <w:rStyle w:val="aff4"/>
          <w:rFonts w:hint="cs"/>
          <w:vanish/>
          <w:rtl/>
        </w:rPr>
        <w:t xml:space="preserve">&lt;. </w:t>
      </w:r>
      <w:r w:rsidRPr="00371DAA">
        <w:rPr>
          <w:rStyle w:val="aff4"/>
          <w:vanish/>
          <w:rtl/>
        </w:rPr>
        <w:fldChar w:fldCharType="begin"/>
      </w:r>
      <w:r w:rsidRPr="00371DAA">
        <w:rPr>
          <w:rStyle w:val="aff4"/>
          <w:vanish/>
          <w:rtl/>
        </w:rPr>
        <w:instrText xml:space="preserve"> </w:instrText>
      </w:r>
      <w:r w:rsidRPr="00371DAA">
        <w:rPr>
          <w:rStyle w:val="aff4"/>
          <w:rFonts w:hint="cs"/>
          <w:vanish/>
        </w:rPr>
        <w:instrText>REF</w:instrText>
      </w:r>
      <w:r w:rsidRPr="00371DAA">
        <w:rPr>
          <w:rStyle w:val="aff4"/>
          <w:rFonts w:hint="cs"/>
          <w:vanish/>
          <w:rtl/>
        </w:rPr>
        <w:instrText xml:space="preserve"> _</w:instrText>
      </w:r>
      <w:r w:rsidRPr="00371DAA">
        <w:rPr>
          <w:rStyle w:val="aff4"/>
          <w:rFonts w:hint="cs"/>
          <w:vanish/>
        </w:rPr>
        <w:instrText>Ref137117572 \r \h</w:instrText>
      </w:r>
      <w:r w:rsidRPr="00371DAA">
        <w:rPr>
          <w:rStyle w:val="aff4"/>
          <w:vanish/>
          <w:rtl/>
        </w:rPr>
        <w:instrText xml:space="preserve"> </w:instrText>
      </w:r>
      <w:r w:rsidRPr="00371DAA">
        <w:rPr>
          <w:rStyle w:val="aff4"/>
          <w:vanish/>
          <w:rtl/>
        </w:rPr>
      </w:r>
      <w:r w:rsidRPr="00371DAA">
        <w:rPr>
          <w:rStyle w:val="aff4"/>
          <w:vanish/>
          <w:rtl/>
        </w:rPr>
        <w:fldChar w:fldCharType="separate"/>
      </w:r>
      <w:r w:rsidR="00D82181">
        <w:rPr>
          <w:rStyle w:val="aff4"/>
          <w:vanish/>
          <w:cs/>
        </w:rPr>
        <w:t>‎</w:t>
      </w:r>
      <w:r w:rsidR="00D82181">
        <w:rPr>
          <w:rStyle w:val="aff4"/>
          <w:vanish/>
          <w:rtl/>
        </w:rPr>
        <w:t>מג)</w:t>
      </w:r>
      <w:r w:rsidRPr="00371DAA">
        <w:rPr>
          <w:rStyle w:val="aff4"/>
          <w:vanish/>
          <w:rtl/>
        </w:rPr>
        <w:fldChar w:fldCharType="end"/>
      </w:r>
      <w:r w:rsidRPr="00371DAA">
        <w:rPr>
          <w:rStyle w:val="aff4"/>
          <w:rFonts w:hint="cs"/>
          <w:vanish/>
          <w:rtl/>
        </w:rPr>
        <w:t xml:space="preserve"> &gt;</w:t>
      </w:r>
      <w:r w:rsidRPr="00BF56CC">
        <w:rPr>
          <w:rStyle w:val="aff4"/>
          <w:rFonts w:hint="cs"/>
          <w:rtl/>
        </w:rPr>
        <w:t>ראש יוסף</w:t>
      </w:r>
      <w:r w:rsidRPr="00371DAA">
        <w:rPr>
          <w:rStyle w:val="aff4"/>
          <w:rFonts w:hint="cs"/>
          <w:vanish/>
          <w:rtl/>
        </w:rPr>
        <w:t>-</w:t>
      </w:r>
      <w:r>
        <w:rPr>
          <w:rFonts w:hint="cs"/>
          <w:rtl/>
        </w:rPr>
        <w:t xml:space="preserve"> </w:t>
      </w:r>
      <w:r w:rsidRPr="00D16BB6">
        <w:rPr>
          <w:rStyle w:val="af2"/>
          <w:rFonts w:eastAsia="Guttman Hodes" w:hint="cs"/>
          <w:rtl/>
        </w:rPr>
        <w:t>(ד"ה ומשמע כאן)</w:t>
      </w:r>
      <w:r w:rsidRPr="00371DAA">
        <w:rPr>
          <w:rFonts w:hint="cs"/>
          <w:vanish/>
          <w:rtl/>
        </w:rPr>
        <w:t>=</w:t>
      </w:r>
      <w:r>
        <w:rPr>
          <w:rFonts w:hint="cs"/>
          <w:rtl/>
        </w:rPr>
        <w:t xml:space="preserve"> את דברי </w:t>
      </w:r>
      <w:r w:rsidRPr="00371DAA">
        <w:rPr>
          <w:rStyle w:val="aff4"/>
          <w:rFonts w:hint="cs"/>
          <w:vanish/>
          <w:rtl/>
        </w:rPr>
        <w:t>-</w:t>
      </w:r>
      <w:r w:rsidRPr="00BF56CC">
        <w:rPr>
          <w:rStyle w:val="aff4"/>
          <w:rFonts w:hint="cs"/>
          <w:rtl/>
        </w:rPr>
        <w:t>הפנ"י</w:t>
      </w:r>
      <w:r w:rsidRPr="00371DAA">
        <w:rPr>
          <w:rStyle w:val="aff4"/>
          <w:rFonts w:hint="cs"/>
          <w:vanish/>
          <w:rtl/>
        </w:rPr>
        <w:t>-</w:t>
      </w:r>
      <w:r>
        <w:rPr>
          <w:rFonts w:hint="cs"/>
          <w:rtl/>
        </w:rPr>
        <w:t xml:space="preserve"> </w:t>
      </w:r>
      <w:r w:rsidRPr="00D16BB6">
        <w:rPr>
          <w:rStyle w:val="af2"/>
          <w:rFonts w:eastAsia="Guttman Hodes" w:hint="cs"/>
          <w:rtl/>
        </w:rPr>
        <w:t xml:space="preserve">(עי' אות </w:t>
      </w:r>
      <w:r w:rsidRPr="00D16BB6">
        <w:rPr>
          <w:rStyle w:val="af2"/>
          <w:rFonts w:eastAsia="Guttman Hodes"/>
          <w:rtl/>
        </w:rPr>
        <w:fldChar w:fldCharType="begin"/>
      </w:r>
      <w:r w:rsidRPr="00D16BB6">
        <w:rPr>
          <w:rStyle w:val="af2"/>
          <w:rFonts w:eastAsia="Guttman Hodes"/>
          <w:rtl/>
        </w:rPr>
        <w:instrText xml:space="preserve"> </w:instrText>
      </w:r>
      <w:r w:rsidRPr="00D16BB6">
        <w:rPr>
          <w:rStyle w:val="af2"/>
          <w:rFonts w:eastAsia="Guttman Hodes" w:hint="cs"/>
        </w:rPr>
        <w:instrText>REF</w:instrText>
      </w:r>
      <w:r w:rsidRPr="00D16BB6">
        <w:rPr>
          <w:rStyle w:val="af2"/>
          <w:rFonts w:eastAsia="Guttman Hodes" w:hint="cs"/>
          <w:rtl/>
        </w:rPr>
        <w:instrText xml:space="preserve"> _</w:instrText>
      </w:r>
      <w:r w:rsidRPr="00D16BB6">
        <w:rPr>
          <w:rStyle w:val="af2"/>
          <w:rFonts w:eastAsia="Guttman Hodes" w:hint="cs"/>
        </w:rPr>
        <w:instrText>Ref137116067 \r \h</w:instrText>
      </w:r>
      <w:r w:rsidRPr="00D16BB6">
        <w:rPr>
          <w:rStyle w:val="af2"/>
          <w:rFonts w:eastAsia="Guttman Hodes"/>
          <w:rtl/>
        </w:rPr>
        <w:instrText xml:space="preserve"> </w:instrText>
      </w:r>
      <w:r w:rsidRPr="00D16BB6">
        <w:rPr>
          <w:rStyle w:val="af2"/>
          <w:rFonts w:eastAsia="Guttman Hodes"/>
          <w:rtl/>
        </w:rPr>
      </w:r>
      <w:r w:rsidRPr="00D16BB6">
        <w:rPr>
          <w:rStyle w:val="af2"/>
          <w:rFonts w:eastAsia="Guttman Hodes"/>
          <w:rtl/>
        </w:rPr>
        <w:fldChar w:fldCharType="separate"/>
      </w:r>
      <w:r w:rsidR="00D82181">
        <w:rPr>
          <w:rStyle w:val="af2"/>
          <w:rFonts w:eastAsia="Guttman Hodes"/>
          <w:cs/>
        </w:rPr>
        <w:t>‎</w:t>
      </w:r>
      <w:r w:rsidR="00D82181">
        <w:rPr>
          <w:rStyle w:val="af2"/>
          <w:rFonts w:eastAsia="Guttman Hodes"/>
          <w:rtl/>
        </w:rPr>
        <w:t>יא)</w:t>
      </w:r>
      <w:r w:rsidRPr="00D16BB6">
        <w:rPr>
          <w:rStyle w:val="af2"/>
          <w:rFonts w:eastAsia="Guttman Hodes"/>
          <w:rtl/>
        </w:rPr>
        <w:fldChar w:fldCharType="end"/>
      </w:r>
      <w:r>
        <w:rPr>
          <w:rFonts w:hint="cs"/>
          <w:rtl/>
        </w:rPr>
        <w:t xml:space="preserve"> דבברייתא השניה גרס </w:t>
      </w:r>
      <w:r w:rsidRPr="00371DAA">
        <w:rPr>
          <w:rStyle w:val="aff4"/>
          <w:rFonts w:hint="cs"/>
          <w:vanish/>
          <w:rtl/>
        </w:rPr>
        <w:t>-</w:t>
      </w:r>
      <w:r w:rsidRPr="00BF56CC">
        <w:rPr>
          <w:rStyle w:val="aff4"/>
          <w:rFonts w:hint="cs"/>
          <w:rtl/>
        </w:rPr>
        <w:t>רש"י</w:t>
      </w:r>
      <w:r w:rsidRPr="00371DAA">
        <w:rPr>
          <w:rStyle w:val="aff4"/>
          <w:rFonts w:hint="cs"/>
          <w:vanish/>
          <w:rtl/>
        </w:rPr>
        <w:t>-</w:t>
      </w:r>
      <w:r>
        <w:rPr>
          <w:rFonts w:hint="cs"/>
          <w:rtl/>
        </w:rPr>
        <w:t xml:space="preserve"> "שני" מינים, ובקנון אסור ובנפה חייב, וביאר </w:t>
      </w:r>
      <w:r w:rsidRPr="00371DAA">
        <w:rPr>
          <w:rStyle w:val="aff4"/>
          <w:rFonts w:hint="cs"/>
          <w:vanish/>
          <w:rtl/>
        </w:rPr>
        <w:t>-</w:t>
      </w:r>
      <w:r w:rsidRPr="00BF56CC">
        <w:rPr>
          <w:rStyle w:val="aff4"/>
          <w:rFonts w:hint="cs"/>
          <w:rtl/>
        </w:rPr>
        <w:t>הראש יוסף</w:t>
      </w:r>
      <w:r w:rsidRPr="00371DAA">
        <w:rPr>
          <w:rStyle w:val="aff4"/>
          <w:rFonts w:hint="cs"/>
          <w:vanish/>
          <w:rtl/>
        </w:rPr>
        <w:t>-</w:t>
      </w:r>
      <w:r>
        <w:rPr>
          <w:rFonts w:hint="cs"/>
          <w:rtl/>
        </w:rPr>
        <w:t xml:space="preserve"> דבברייתא השניה</w:t>
      </w:r>
      <w:r w:rsidRPr="000C36F9">
        <w:rPr>
          <w:rFonts w:hint="cs"/>
          <w:rtl/>
        </w:rPr>
        <w:t xml:space="preserve"> </w:t>
      </w:r>
      <w:r>
        <w:rPr>
          <w:rFonts w:hint="cs"/>
          <w:rtl/>
        </w:rPr>
        <w:t>איירי בע"מ לאכול לאלתר, דהמין שאינו רוצה נעשה פסולת, ופסולת מתוך אוכל בקנון אסור ובנפה</w:t>
      </w:r>
      <w:r w:rsidRPr="00034385">
        <w:rPr>
          <w:rFonts w:hint="cs"/>
          <w:rtl/>
        </w:rPr>
        <w:t xml:space="preserve"> </w:t>
      </w:r>
      <w:r>
        <w:rPr>
          <w:rFonts w:hint="cs"/>
          <w:rtl/>
        </w:rPr>
        <w:t xml:space="preserve">חייב, אבל בב' מינים שרוצה את שניהם לבו ביום לאח"ז, </w:t>
      </w:r>
      <w:r w:rsidRPr="00D16BB6">
        <w:rPr>
          <w:rStyle w:val="af"/>
          <w:rFonts w:hint="cs"/>
          <w:rtl/>
        </w:rPr>
        <w:t>[מין אחד לעצמו והב' לב"ב]</w:t>
      </w:r>
      <w:r w:rsidRPr="002650B4">
        <w:rPr>
          <w:rStyle w:val="af"/>
          <w:rFonts w:hint="cs"/>
          <w:rtl/>
        </w:rPr>
        <w:t>,</w:t>
      </w:r>
      <w:r>
        <w:rPr>
          <w:rFonts w:hint="cs"/>
          <w:rtl/>
        </w:rPr>
        <w:t xml:space="preserve"> אף בנפה וכברה מותר דשניהם אוכל ואין פסולת כלל ואי"ז בורר.</w:t>
      </w:r>
      <w:bookmarkEnd w:id="2396"/>
      <w:r>
        <w:rPr>
          <w:rFonts w:hint="cs"/>
          <w:rtl/>
        </w:rPr>
        <w:t xml:space="preserve"> </w:t>
      </w:r>
      <w:r w:rsidRPr="004011BA">
        <w:rPr>
          <w:rStyle w:val="af"/>
          <w:rFonts w:hint="cs"/>
          <w:rtl/>
        </w:rPr>
        <w:t>[</w:t>
      </w:r>
      <w:r w:rsidRPr="004011BA">
        <w:rPr>
          <w:rStyle w:val="aff9"/>
          <w:rFonts w:hint="cs"/>
          <w:vanish/>
          <w:rtl/>
        </w:rPr>
        <w:t>-</w:t>
      </w:r>
      <w:r w:rsidRPr="004011BA">
        <w:rPr>
          <w:rStyle w:val="aff9"/>
          <w:rFonts w:hint="cs"/>
          <w:rtl/>
        </w:rPr>
        <w:t>ובפרמ"ג</w:t>
      </w:r>
      <w:r w:rsidRPr="004011BA">
        <w:rPr>
          <w:rStyle w:val="aff9"/>
          <w:rFonts w:hint="cs"/>
          <w:vanish/>
          <w:rtl/>
        </w:rPr>
        <w:t>-</w:t>
      </w:r>
      <w:r w:rsidRPr="004011BA">
        <w:rPr>
          <w:rStyle w:val="af"/>
          <w:rFonts w:hint="cs"/>
          <w:rtl/>
        </w:rPr>
        <w:t xml:space="preserve"> </w:t>
      </w:r>
      <w:r w:rsidRPr="004011BA">
        <w:rPr>
          <w:rStyle w:val="aff0"/>
          <w:rFonts w:hint="cs"/>
          <w:rtl/>
        </w:rPr>
        <w:t xml:space="preserve">(עי' אות </w:t>
      </w:r>
      <w:r w:rsidRPr="004011BA">
        <w:rPr>
          <w:rStyle w:val="aff0"/>
          <w:rtl/>
        </w:rPr>
        <w:fldChar w:fldCharType="begin"/>
      </w:r>
      <w:r w:rsidRPr="004011BA">
        <w:rPr>
          <w:rStyle w:val="aff0"/>
          <w:rtl/>
        </w:rPr>
        <w:instrText xml:space="preserve"> </w:instrText>
      </w:r>
      <w:r w:rsidRPr="004011BA">
        <w:rPr>
          <w:rStyle w:val="aff0"/>
          <w:rFonts w:hint="cs"/>
        </w:rPr>
        <w:instrText>REF</w:instrText>
      </w:r>
      <w:r w:rsidRPr="004011BA">
        <w:rPr>
          <w:rStyle w:val="aff0"/>
          <w:rFonts w:hint="cs"/>
          <w:rtl/>
        </w:rPr>
        <w:instrText xml:space="preserve"> _</w:instrText>
      </w:r>
      <w:r w:rsidRPr="004011BA">
        <w:rPr>
          <w:rStyle w:val="aff0"/>
          <w:rFonts w:hint="cs"/>
        </w:rPr>
        <w:instrText>Ref137118775 \r \h</w:instrText>
      </w:r>
      <w:r w:rsidRPr="004011BA">
        <w:rPr>
          <w:rStyle w:val="aff0"/>
          <w:rtl/>
        </w:rPr>
        <w:instrText xml:space="preserve"> </w:instrText>
      </w:r>
      <w:r w:rsidRPr="004011BA">
        <w:rPr>
          <w:rStyle w:val="aff0"/>
          <w:rtl/>
        </w:rPr>
      </w:r>
      <w:r w:rsidRPr="004011BA">
        <w:rPr>
          <w:rStyle w:val="aff0"/>
          <w:rtl/>
        </w:rPr>
        <w:fldChar w:fldCharType="separate"/>
      </w:r>
      <w:r w:rsidR="00D82181">
        <w:rPr>
          <w:rStyle w:val="aff0"/>
          <w:cs/>
        </w:rPr>
        <w:t>‎</w:t>
      </w:r>
      <w:r w:rsidR="00D82181">
        <w:rPr>
          <w:rStyle w:val="aff0"/>
          <w:rtl/>
        </w:rPr>
        <w:t>מז)</w:t>
      </w:r>
      <w:r w:rsidRPr="004011BA">
        <w:rPr>
          <w:rStyle w:val="aff0"/>
          <w:rtl/>
        </w:rPr>
        <w:fldChar w:fldCharType="end"/>
      </w:r>
      <w:r w:rsidRPr="004011BA">
        <w:rPr>
          <w:rStyle w:val="af"/>
          <w:rFonts w:hint="cs"/>
          <w:rtl/>
        </w:rPr>
        <w:t xml:space="preserve"> מסתפק בזה].</w:t>
      </w:r>
    </w:p>
    <w:p w14:paraId="2A883054" w14:textId="77777777" w:rsidR="00592982" w:rsidRPr="00747170" w:rsidRDefault="00592982" w:rsidP="00747170">
      <w:pPr>
        <w:pStyle w:val="a2"/>
        <w:rPr>
          <w:rtl/>
        </w:rPr>
      </w:pPr>
      <w:r w:rsidRPr="00747170">
        <w:rPr>
          <w:rtl/>
        </w:rPr>
        <w:t>ומשמע דכאן לא גרס רש"י שני מיני הא לקמן גרס שפיר ונראה כמ"ש לעיל כי סברת רש"י ז"ל הוא דב' מיני אוכלין נהפוך הוא בבורר לאכול מיד אותו שאין רוצה עתה הוה פסולת (ובקנון אסור ובנפה חייב חטאת) הא לבו ביום שרי בב' מיני אוכלין אפילו בנפה וכברה דהי מינייהו אוכל והי מינייהו פסולת וכיון דתרוייהו אוכלא ליכא ברירה כלל משא"כ לקמן גרס שפיר שני מיני אוכלין ובירר ואוכל ובירר ומניח הכל לאלתר ובקנון אסור ובנפה וכברה חייב כמ"ש פני יהושע הביאותיו לעיל אבל לבו ביום ב' מיני אוכלין שרי כמש"ל והבן</w:t>
      </w:r>
      <w:r w:rsidRPr="00747170">
        <w:rPr>
          <w:rFonts w:hint="cs"/>
          <w:rtl/>
        </w:rPr>
        <w:t>.</w:t>
      </w:r>
    </w:p>
    <w:p w14:paraId="45B2DC29" w14:textId="3569D69A" w:rsidR="00592982" w:rsidRDefault="00592982" w:rsidP="00592982">
      <w:pPr>
        <w:pStyle w:val="afffff7"/>
        <w:rPr>
          <w:rtl/>
        </w:rPr>
      </w:pPr>
      <w:bookmarkStart w:id="2397" w:name="_Toc137742059"/>
      <w:bookmarkStart w:id="2398" w:name="_Toc163505827"/>
      <w:r>
        <w:rPr>
          <w:rtl/>
        </w:rPr>
        <w:t>פרי</w:t>
      </w:r>
      <w:bookmarkEnd w:id="2397"/>
      <w:bookmarkEnd w:id="2398"/>
      <w:r>
        <w:rPr>
          <w:rtl/>
        </w:rPr>
        <w:t xml:space="preserve"> </w:t>
      </w:r>
    </w:p>
    <w:p w14:paraId="79B4DBF8" w14:textId="77777777" w:rsidR="00592982" w:rsidRDefault="00592982" w:rsidP="00592982">
      <w:pPr>
        <w:pStyle w:val="afffff7"/>
        <w:rPr>
          <w:rtl/>
        </w:rPr>
      </w:pPr>
      <w:bookmarkStart w:id="2399" w:name="_Toc137742060"/>
      <w:bookmarkStart w:id="2400" w:name="_Toc163505828"/>
      <w:r>
        <w:rPr>
          <w:rtl/>
        </w:rPr>
        <w:t xml:space="preserve">מגדים </w:t>
      </w:r>
      <w:r>
        <w:rPr>
          <w:rFonts w:hint="cs"/>
          <w:rtl/>
        </w:rPr>
        <w:t>או"ח משב"ז סי'</w:t>
      </w:r>
      <w:r>
        <w:rPr>
          <w:rtl/>
        </w:rPr>
        <w:t xml:space="preserve"> שי</w:t>
      </w:r>
      <w:r>
        <w:rPr>
          <w:rFonts w:hint="cs"/>
          <w:rtl/>
        </w:rPr>
        <w:t>"</w:t>
      </w:r>
      <w:r>
        <w:rPr>
          <w:rtl/>
        </w:rPr>
        <w:t>ט סק"ב</w:t>
      </w:r>
      <w:r>
        <w:rPr>
          <w:rFonts w:hint="cs"/>
          <w:rtl/>
        </w:rPr>
        <w:t xml:space="preserve"> ד"ה ומפני</w:t>
      </w:r>
      <w:bookmarkEnd w:id="2399"/>
      <w:bookmarkEnd w:id="2400"/>
    </w:p>
    <w:p w14:paraId="2A67B973" w14:textId="77777777" w:rsidR="00592982" w:rsidRDefault="00592982" w:rsidP="00592982">
      <w:pPr>
        <w:pStyle w:val="afffff7"/>
        <w:rPr>
          <w:rtl/>
        </w:rPr>
      </w:pPr>
      <w:bookmarkStart w:id="2401" w:name="_Toc137742061"/>
      <w:bookmarkStart w:id="2402" w:name="_Toc163505829"/>
      <w:r w:rsidRPr="00FA265A">
        <w:rPr>
          <w:rtl/>
        </w:rPr>
        <w:t>באור הלכה סי</w:t>
      </w:r>
      <w:r w:rsidRPr="00FA265A">
        <w:rPr>
          <w:rFonts w:hint="cs"/>
          <w:rtl/>
        </w:rPr>
        <w:t xml:space="preserve">' </w:t>
      </w:r>
      <w:r w:rsidRPr="00FA265A">
        <w:rPr>
          <w:rtl/>
        </w:rPr>
        <w:t>שי</w:t>
      </w:r>
      <w:r w:rsidRPr="00FA265A">
        <w:rPr>
          <w:rFonts w:hint="cs"/>
          <w:rtl/>
        </w:rPr>
        <w:t>"</w:t>
      </w:r>
      <w:r w:rsidRPr="00FA265A">
        <w:rPr>
          <w:rtl/>
        </w:rPr>
        <w:t>ט</w:t>
      </w:r>
      <w:r w:rsidRPr="00FA265A">
        <w:rPr>
          <w:rFonts w:hint="cs"/>
          <w:rtl/>
        </w:rPr>
        <w:t xml:space="preserve"> </w:t>
      </w:r>
      <w:r w:rsidRPr="00FA265A">
        <w:rPr>
          <w:rtl/>
        </w:rPr>
        <w:t>ג</w:t>
      </w:r>
      <w:r w:rsidRPr="00FA265A">
        <w:rPr>
          <w:rFonts w:hint="cs"/>
          <w:rtl/>
        </w:rPr>
        <w:t xml:space="preserve">' ד"ה </w:t>
      </w:r>
      <w:r>
        <w:rPr>
          <w:rFonts w:hint="cs"/>
          <w:rtl/>
        </w:rPr>
        <w:t>ומניח</w:t>
      </w:r>
      <w:bookmarkEnd w:id="2401"/>
      <w:bookmarkEnd w:id="2402"/>
      <w:r>
        <w:rPr>
          <w:rFonts w:hint="cs"/>
          <w:rtl/>
        </w:rPr>
        <w:t xml:space="preserve"> </w:t>
      </w:r>
    </w:p>
    <w:p w14:paraId="68422A18" w14:textId="77777777" w:rsidR="00592982" w:rsidRPr="00DF58F5" w:rsidRDefault="00592982" w:rsidP="00592982">
      <w:pPr>
        <w:pStyle w:val="a7"/>
      </w:pPr>
      <w:bookmarkStart w:id="2403" w:name="_Toc137741976"/>
      <w:r>
        <w:rPr>
          <w:rFonts w:hint="cs"/>
          <w:rtl/>
        </w:rPr>
        <w:t>ספק הפרמ"ג אי רש"י ותוס' ס"ל כרא"ש דבשניהם לאח"ז ל"ה בורר או דמין שאינו רוצה כפסולת</w:t>
      </w:r>
      <w:bookmarkEnd w:id="2403"/>
    </w:p>
    <w:p w14:paraId="4D55D932" w14:textId="69294EF0" w:rsidR="00592982" w:rsidRPr="00032128" w:rsidRDefault="00592982" w:rsidP="00BC7DC8">
      <w:pPr>
        <w:pStyle w:val="a3"/>
      </w:pPr>
      <w:bookmarkStart w:id="2404" w:name="_Ref137586407"/>
      <w:r w:rsidRPr="00BE47C5">
        <w:rPr>
          <w:rStyle w:val="aff4"/>
          <w:rFonts w:hint="cs"/>
          <w:vanish/>
          <w:rtl/>
        </w:rPr>
        <w:t>-</w:t>
      </w:r>
      <w:bookmarkStart w:id="2405" w:name="_Ref137722592"/>
      <w:r>
        <w:rPr>
          <w:rStyle w:val="aff4"/>
          <w:rFonts w:hint="cs"/>
          <w:rtl/>
        </w:rPr>
        <w:t>וב</w:t>
      </w:r>
      <w:r w:rsidRPr="00BF56CC">
        <w:rPr>
          <w:rStyle w:val="aff4"/>
          <w:rFonts w:hint="cs"/>
          <w:rtl/>
        </w:rPr>
        <w:t>פרמ"ג</w:t>
      </w:r>
      <w:r w:rsidRPr="00BE47C5">
        <w:rPr>
          <w:rStyle w:val="aff4"/>
          <w:rFonts w:hint="cs"/>
          <w:vanish/>
          <w:rtl/>
        </w:rPr>
        <w:t>-</w:t>
      </w:r>
      <w:r>
        <w:rPr>
          <w:rFonts w:hint="cs"/>
          <w:rtl/>
        </w:rPr>
        <w:t xml:space="preserve"> </w:t>
      </w:r>
      <w:r w:rsidRPr="00D16BB6">
        <w:rPr>
          <w:rStyle w:val="af2"/>
          <w:rFonts w:eastAsia="Guttman Hodes" w:hint="cs"/>
          <w:rtl/>
        </w:rPr>
        <w:t>(סי' שי"ט משב"ז סק"ב ד"ה ומפני)</w:t>
      </w:r>
      <w:r w:rsidRPr="00BE47C5">
        <w:rPr>
          <w:rFonts w:hint="cs"/>
          <w:vanish/>
          <w:rtl/>
        </w:rPr>
        <w:t>=</w:t>
      </w:r>
      <w:r>
        <w:rPr>
          <w:rFonts w:hint="cs"/>
          <w:rtl/>
        </w:rPr>
        <w:t xml:space="preserve"> הביא דכתבו </w:t>
      </w:r>
      <w:r w:rsidRPr="00BE47C5">
        <w:rPr>
          <w:rStyle w:val="aff4"/>
          <w:rFonts w:hint="cs"/>
          <w:vanish/>
          <w:rtl/>
        </w:rPr>
        <w:t>-</w:t>
      </w:r>
      <w:r w:rsidRPr="00BF56CC">
        <w:rPr>
          <w:rStyle w:val="aff4"/>
          <w:rFonts w:hint="cs"/>
          <w:rtl/>
        </w:rPr>
        <w:t>התוס'</w:t>
      </w:r>
      <w:r w:rsidRPr="00BE47C5">
        <w:rPr>
          <w:rStyle w:val="aff4"/>
          <w:rFonts w:hint="cs"/>
          <w:vanish/>
          <w:rtl/>
        </w:rPr>
        <w:t>-</w:t>
      </w:r>
      <w:r>
        <w:rPr>
          <w:rFonts w:hint="cs"/>
          <w:rtl/>
        </w:rPr>
        <w:t xml:space="preserve"> </w:t>
      </w:r>
      <w:r w:rsidRPr="00D16BB6">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Ref137671185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w:t>
      </w:r>
      <w:r>
        <w:rPr>
          <w:rStyle w:val="af2"/>
          <w:rFonts w:eastAsia="Guttman Hodes"/>
          <w:rtl/>
        </w:rPr>
        <w:fldChar w:fldCharType="end"/>
      </w:r>
      <w:r>
        <w:rPr>
          <w:rFonts w:hint="cs"/>
          <w:rtl/>
        </w:rPr>
        <w:t xml:space="preserve"> דאינו רוצה את המין השני, </w:t>
      </w:r>
      <w:r w:rsidRPr="00BE47C5">
        <w:rPr>
          <w:rStyle w:val="aff4"/>
          <w:rFonts w:hint="cs"/>
          <w:vanish/>
          <w:rtl/>
        </w:rPr>
        <w:t>-</w:t>
      </w:r>
      <w:r w:rsidRPr="00BF56CC">
        <w:rPr>
          <w:rStyle w:val="aff4"/>
          <w:rFonts w:hint="cs"/>
          <w:rtl/>
        </w:rPr>
        <w:t>והרא"ש</w:t>
      </w:r>
      <w:r w:rsidRPr="00BE47C5">
        <w:rPr>
          <w:rStyle w:val="aff4"/>
          <w:rFonts w:hint="cs"/>
          <w:vanish/>
          <w:rtl/>
        </w:rPr>
        <w:t>-</w:t>
      </w:r>
      <w:r>
        <w:rPr>
          <w:rFonts w:hint="cs"/>
          <w:rtl/>
        </w:rPr>
        <w:t xml:space="preserve"> </w:t>
      </w:r>
      <w:r w:rsidRPr="00D16BB6">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Ref137671185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w:t>
      </w:r>
      <w:r>
        <w:rPr>
          <w:rStyle w:val="af2"/>
          <w:rFonts w:eastAsia="Guttman Hodes"/>
          <w:rtl/>
        </w:rPr>
        <w:fldChar w:fldCharType="end"/>
      </w:r>
      <w:r>
        <w:rPr>
          <w:rFonts w:hint="cs"/>
          <w:rtl/>
        </w:rPr>
        <w:t xml:space="preserve"> הוסיף דאינו רוצה אותו "עתה", וביאר </w:t>
      </w:r>
      <w:r w:rsidRPr="00BE47C5">
        <w:rPr>
          <w:rStyle w:val="aff4"/>
          <w:rFonts w:hint="cs"/>
          <w:vanish/>
          <w:rtl/>
        </w:rPr>
        <w:t>-</w:t>
      </w:r>
      <w:r w:rsidRPr="00BF56CC">
        <w:rPr>
          <w:rStyle w:val="aff4"/>
          <w:rFonts w:hint="cs"/>
          <w:rtl/>
        </w:rPr>
        <w:t>הפרמ"ג</w:t>
      </w:r>
      <w:r w:rsidRPr="00BE47C5">
        <w:rPr>
          <w:rStyle w:val="aff4"/>
          <w:rFonts w:hint="cs"/>
          <w:vanish/>
          <w:rtl/>
        </w:rPr>
        <w:t>-</w:t>
      </w:r>
      <w:r>
        <w:rPr>
          <w:rFonts w:hint="cs"/>
          <w:rtl/>
        </w:rPr>
        <w:t xml:space="preserve"> דלא כתבו </w:t>
      </w:r>
      <w:r w:rsidRPr="00BE47C5">
        <w:rPr>
          <w:rStyle w:val="aff4"/>
          <w:rFonts w:hint="cs"/>
          <w:vanish/>
          <w:rtl/>
        </w:rPr>
        <w:t>-</w:t>
      </w:r>
      <w:r w:rsidRPr="00BF56CC">
        <w:rPr>
          <w:rStyle w:val="aff4"/>
          <w:rFonts w:hint="cs"/>
          <w:rtl/>
        </w:rPr>
        <w:t>התוס'</w:t>
      </w:r>
      <w:r w:rsidRPr="00BE47C5">
        <w:rPr>
          <w:rStyle w:val="aff4"/>
          <w:rFonts w:hint="cs"/>
          <w:vanish/>
          <w:rtl/>
        </w:rPr>
        <w:t>-</w:t>
      </w:r>
      <w:r>
        <w:rPr>
          <w:rFonts w:hint="cs"/>
          <w:rtl/>
        </w:rPr>
        <w:t xml:space="preserve"> "עתה" כיון דכוונתם דכיון דמבואר בגמ' דבברייתא הוא אוכל מתוך פסולת, א"כ איירי שאינו רוצה את המין השני כלל, ואת המין שרוצה בו הוא לבו ביום לאחר זמן, והוסיף </w:t>
      </w:r>
      <w:r w:rsidRPr="00BE47C5">
        <w:rPr>
          <w:rStyle w:val="aff4"/>
          <w:rFonts w:hint="cs"/>
          <w:vanish/>
          <w:rtl/>
        </w:rPr>
        <w:t>-</w:t>
      </w:r>
      <w:r w:rsidRPr="00BF56CC">
        <w:rPr>
          <w:rStyle w:val="aff4"/>
          <w:rFonts w:hint="cs"/>
          <w:rtl/>
        </w:rPr>
        <w:t>הפרמ"ג</w:t>
      </w:r>
      <w:r w:rsidRPr="00BE47C5">
        <w:rPr>
          <w:rStyle w:val="aff4"/>
          <w:rFonts w:hint="cs"/>
          <w:vanish/>
          <w:rtl/>
        </w:rPr>
        <w:t>-</w:t>
      </w:r>
      <w:r>
        <w:rPr>
          <w:rFonts w:hint="cs"/>
          <w:rtl/>
        </w:rPr>
        <w:t xml:space="preserve"> דאפש"ל דלכן לא גרס </w:t>
      </w:r>
      <w:r w:rsidRPr="00BE47C5">
        <w:rPr>
          <w:rStyle w:val="aff4"/>
          <w:rFonts w:hint="cs"/>
          <w:vanish/>
          <w:rtl/>
        </w:rPr>
        <w:t>-</w:t>
      </w:r>
      <w:r w:rsidRPr="00BF56CC">
        <w:rPr>
          <w:rStyle w:val="aff4"/>
          <w:rFonts w:hint="cs"/>
          <w:rtl/>
        </w:rPr>
        <w:t>רש"י</w:t>
      </w:r>
      <w:r w:rsidRPr="00BE47C5">
        <w:rPr>
          <w:rStyle w:val="aff4"/>
          <w:rFonts w:hint="cs"/>
          <w:vanish/>
          <w:rtl/>
        </w:rPr>
        <w:t>-</w:t>
      </w:r>
      <w:r>
        <w:rPr>
          <w:rFonts w:hint="cs"/>
          <w:rtl/>
        </w:rPr>
        <w:t xml:space="preserve"> "שני" מיני אוכלין, כיון דבלשון הזה משמע שרוצה את שניהם לאח"ז, ואי"ז ברירה כלל, דאף אי רוצה מין אחד לעצמו ומין אחר לאורחים שניהם הם אוכל, אף אם הוא שונא את המין השני,</w:t>
      </w:r>
      <w:r w:rsidRPr="004C1895">
        <w:rPr>
          <w:rFonts w:hint="cs"/>
          <w:rtl/>
        </w:rPr>
        <w:t xml:space="preserve"> </w:t>
      </w:r>
      <w:r>
        <w:rPr>
          <w:rFonts w:hint="cs"/>
          <w:rtl/>
        </w:rPr>
        <w:t xml:space="preserve">וכתב </w:t>
      </w:r>
      <w:r w:rsidRPr="00BE47C5">
        <w:rPr>
          <w:rStyle w:val="aff4"/>
          <w:rFonts w:hint="cs"/>
          <w:vanish/>
          <w:rtl/>
        </w:rPr>
        <w:t>-</w:t>
      </w:r>
      <w:r>
        <w:rPr>
          <w:rStyle w:val="aff4"/>
          <w:rFonts w:hint="cs"/>
          <w:rtl/>
        </w:rPr>
        <w:t>ה</w:t>
      </w:r>
      <w:r w:rsidRPr="00BF56CC">
        <w:rPr>
          <w:rStyle w:val="aff4"/>
          <w:rFonts w:hint="cs"/>
          <w:rtl/>
        </w:rPr>
        <w:t>פרמ"ג</w:t>
      </w:r>
      <w:r w:rsidRPr="00BE47C5">
        <w:rPr>
          <w:rStyle w:val="aff4"/>
          <w:rFonts w:hint="cs"/>
          <w:vanish/>
          <w:rtl/>
        </w:rPr>
        <w:t>-</w:t>
      </w:r>
      <w:r>
        <w:rPr>
          <w:rFonts w:hint="cs"/>
          <w:rtl/>
        </w:rPr>
        <w:t xml:space="preserve"> דצ"ע</w:t>
      </w:r>
      <w:r w:rsidRPr="004C1895">
        <w:rPr>
          <w:rFonts w:hint="cs"/>
          <w:rtl/>
        </w:rPr>
        <w:t xml:space="preserve"> </w:t>
      </w:r>
      <w:r>
        <w:rPr>
          <w:rFonts w:hint="cs"/>
          <w:rtl/>
        </w:rPr>
        <w:t xml:space="preserve">לדינא, וביאר </w:t>
      </w:r>
      <w:r w:rsidRPr="00A76B41">
        <w:rPr>
          <w:rStyle w:val="aff4"/>
          <w:rFonts w:hint="cs"/>
          <w:vanish/>
          <w:rtl/>
        </w:rPr>
        <w:t>-</w:t>
      </w:r>
      <w:r w:rsidRPr="00BF56CC">
        <w:rPr>
          <w:rStyle w:val="aff4"/>
          <w:rFonts w:hint="cs"/>
          <w:rtl/>
        </w:rPr>
        <w:t>ה</w:t>
      </w:r>
      <w:r>
        <w:rPr>
          <w:rStyle w:val="aff4"/>
          <w:rFonts w:hint="cs"/>
          <w:vanish/>
          <w:rtl/>
        </w:rPr>
        <w:t>&lt; &gt;</w:t>
      </w:r>
      <w:r w:rsidRPr="00BF56CC">
        <w:rPr>
          <w:rStyle w:val="aff4"/>
          <w:rFonts w:hint="cs"/>
          <w:rtl/>
        </w:rPr>
        <w:t>ביה"ל</w:t>
      </w:r>
      <w:r w:rsidRPr="00A76B41">
        <w:rPr>
          <w:rStyle w:val="aff4"/>
          <w:rFonts w:hint="cs"/>
          <w:vanish/>
          <w:rtl/>
        </w:rPr>
        <w:t>-</w:t>
      </w:r>
      <w:r>
        <w:rPr>
          <w:rFonts w:hint="cs"/>
          <w:rtl/>
        </w:rPr>
        <w:t xml:space="preserve"> </w:t>
      </w:r>
      <w:r w:rsidRPr="00D16BB6">
        <w:rPr>
          <w:rStyle w:val="af2"/>
          <w:rFonts w:eastAsia="Guttman Hodes" w:hint="cs"/>
          <w:rtl/>
        </w:rPr>
        <w:t>(סי' שי"ט ג' ד"ה ומניח)</w:t>
      </w:r>
      <w:r w:rsidRPr="00A76B41">
        <w:rPr>
          <w:rFonts w:hint="cs"/>
          <w:vanish/>
          <w:rtl/>
        </w:rPr>
        <w:t>=</w:t>
      </w:r>
      <w:r>
        <w:rPr>
          <w:rFonts w:hint="cs"/>
          <w:rtl/>
        </w:rPr>
        <w:t xml:space="preserve"> את דברי </w:t>
      </w:r>
      <w:r w:rsidRPr="00BE47C5">
        <w:rPr>
          <w:rStyle w:val="aff4"/>
          <w:rFonts w:hint="cs"/>
          <w:vanish/>
          <w:rtl/>
        </w:rPr>
        <w:t>-</w:t>
      </w:r>
      <w:r w:rsidRPr="00BF56CC">
        <w:rPr>
          <w:rStyle w:val="aff4"/>
          <w:rFonts w:hint="cs"/>
          <w:rtl/>
        </w:rPr>
        <w:t>הפרמ"ג</w:t>
      </w:r>
      <w:r w:rsidRPr="00BE47C5">
        <w:rPr>
          <w:rStyle w:val="aff4"/>
          <w:rFonts w:hint="cs"/>
          <w:vanish/>
          <w:rtl/>
        </w:rPr>
        <w:t>-</w:t>
      </w:r>
      <w:r>
        <w:rPr>
          <w:rFonts w:hint="cs"/>
          <w:rtl/>
        </w:rPr>
        <w:t xml:space="preserve"> דלדעת </w:t>
      </w:r>
      <w:r w:rsidRPr="00A76B41">
        <w:rPr>
          <w:rStyle w:val="aff4"/>
          <w:rFonts w:hint="cs"/>
          <w:vanish/>
          <w:rtl/>
        </w:rPr>
        <w:t>-</w:t>
      </w:r>
      <w:r w:rsidRPr="00BF56CC">
        <w:rPr>
          <w:rStyle w:val="aff4"/>
          <w:rFonts w:hint="cs"/>
          <w:rtl/>
        </w:rPr>
        <w:t>הרא"ש</w:t>
      </w:r>
      <w:r w:rsidRPr="00A76B41">
        <w:rPr>
          <w:rStyle w:val="aff4"/>
          <w:rFonts w:hint="cs"/>
          <w:vanish/>
          <w:rtl/>
        </w:rPr>
        <w:t>-</w:t>
      </w:r>
      <w:r>
        <w:rPr>
          <w:rFonts w:hint="cs"/>
          <w:rtl/>
        </w:rPr>
        <w:t xml:space="preserve"> </w:t>
      </w:r>
      <w:r w:rsidRPr="00D16BB6">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Ref137671185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w:t>
      </w:r>
      <w:r>
        <w:rPr>
          <w:rStyle w:val="af2"/>
          <w:rFonts w:eastAsia="Guttman Hodes"/>
          <w:rtl/>
        </w:rPr>
        <w:fldChar w:fldCharType="end"/>
      </w:r>
      <w:r>
        <w:rPr>
          <w:rFonts w:hint="cs"/>
          <w:rtl/>
        </w:rPr>
        <w:t xml:space="preserve"> דהחיוב בבורר ב' מינים הוא רק באוכל מתוך פסולת, ובדעת </w:t>
      </w:r>
      <w:r w:rsidRPr="00A76B41">
        <w:rPr>
          <w:rStyle w:val="aff4"/>
          <w:rFonts w:hint="cs"/>
          <w:vanish/>
          <w:rtl/>
        </w:rPr>
        <w:t>-</w:t>
      </w:r>
      <w:r w:rsidRPr="00BF56CC">
        <w:rPr>
          <w:rStyle w:val="aff4"/>
          <w:rFonts w:hint="cs"/>
          <w:rtl/>
        </w:rPr>
        <w:t>התוס'</w:t>
      </w:r>
      <w:r w:rsidRPr="00A76B41">
        <w:rPr>
          <w:rStyle w:val="aff4"/>
          <w:rFonts w:hint="cs"/>
          <w:vanish/>
          <w:rtl/>
        </w:rPr>
        <w:t>-</w:t>
      </w:r>
      <w:r>
        <w:rPr>
          <w:rFonts w:hint="cs"/>
          <w:rtl/>
        </w:rPr>
        <w:t xml:space="preserve"> יש להתסתפק אי כוונתם דוקא לאלתר דרוצה מין אחד עכשיו ואת השני לאחר זמן, ובזה מותר דהוי כאוכל מתוך פסולת, או דאף בבורר לאחר זמן כל שנוטל את המין שרוצה חשיב כאוכל מתוך פסולת.</w:t>
      </w:r>
      <w:bookmarkEnd w:id="2404"/>
      <w:bookmarkEnd w:id="2405"/>
    </w:p>
    <w:p w14:paraId="717A4461" w14:textId="77777777" w:rsidR="00592982" w:rsidRPr="00747170" w:rsidRDefault="00592982" w:rsidP="00747170">
      <w:pPr>
        <w:pStyle w:val="a2"/>
      </w:pPr>
      <w:r w:rsidRPr="00747170">
        <w:rPr>
          <w:rtl/>
        </w:rPr>
        <w:t>וזהו שכתבו התוספות שם ד"ה היו, דאותו שאין רוצה לאכול, והשמיטו תיבת "עתה", וברא"ש [שם פ"ז סימן ד] יש, אלא לפרש ביאור הברייתא היטב ולבו ביום לא יברור, והשני אין רוצה בו כלל. או דאי גרס שני מיני אוכלין יש לפרש ברייתא בפשיטות בורר ואוכל בורר ומניח כהדדי, ר"ל בורר מין אחד לעצמו ומין השני לאורחים, וליכא כאן ברירה כלל, דהי אוכל והי פסולת, ואפשר בכהאי גוונא אף ששונא מין השני כיון דמסובין אחרים כולהי אוכלא הוה, ולא יברור מין אחד (הניח) [ומניח] השני, ואם בירר כו', לכן לא גרס רש"י כן</w:t>
      </w:r>
      <w:r w:rsidRPr="00747170">
        <w:rPr>
          <w:rFonts w:hint="cs"/>
          <w:rtl/>
        </w:rPr>
        <w:t>, וצ"ע לדינא</w:t>
      </w:r>
      <w:r w:rsidRPr="00747170">
        <w:rPr>
          <w:rtl/>
        </w:rPr>
        <w:t>.</w:t>
      </w:r>
    </w:p>
    <w:p w14:paraId="7A9E28AF" w14:textId="77777777" w:rsidR="00592982" w:rsidRPr="00C61A8D" w:rsidRDefault="00592982" w:rsidP="00747170">
      <w:pPr>
        <w:pStyle w:val="afffff5"/>
        <w:rPr>
          <w:rtl/>
        </w:rPr>
      </w:pPr>
      <w:r w:rsidRPr="00C61A8D">
        <w:rPr>
          <w:rtl/>
        </w:rPr>
        <w:t>* ומניח השני כדי וכו' - עיין במ"ב והנה לשון המחבר מועתק מהרמב"ם פ"ח מה"ש הלכה י"ג והם כפשטן ומניח לאחרים או לעצמו והרב מוסיף תיבת השני כדי ושינה כונת המחבר והר"מ ז"ל להודיע לנו דאותו שאינו רוצה עתה הוא כפסולת וצריך לברור אותו שרוצה לאכול דוקא וכמש"כ התה"ד [פמ"ג]</w:t>
      </w:r>
      <w:r w:rsidRPr="00C61A8D">
        <w:rPr>
          <w:rFonts w:hint="cs"/>
          <w:rtl/>
        </w:rPr>
        <w:t xml:space="preserve">, וכו', </w:t>
      </w:r>
      <w:r w:rsidRPr="00C61A8D">
        <w:rPr>
          <w:rtl/>
        </w:rPr>
        <w:t>[ודברי התוספות בד"ה היו וכו' שכתבו שבורר אותו שאינו חפץ וכו' יש להסתפק אי כונתם בלאלתר או אפילו בלאחר זמן ופליגי אדעת הרמב"ם והסמ"ג ויתר הפוסקים דס"ל דפסולת מתוך אוכל לאלתר חייב] ונוגע בענין איסור דאורייתא:</w:t>
      </w:r>
    </w:p>
    <w:p w14:paraId="208BADB3" w14:textId="77777777" w:rsidR="00592982" w:rsidRDefault="00592982" w:rsidP="00592982">
      <w:pPr>
        <w:pStyle w:val="afffffb"/>
        <w:rPr>
          <w:rtl/>
        </w:rPr>
      </w:pPr>
      <w:r>
        <w:rPr>
          <w:rtl/>
        </w:rPr>
        <w:t>ראש יוסף שבת ע"ד ע"א</w:t>
      </w:r>
      <w:r>
        <w:rPr>
          <w:rFonts w:hint="cs"/>
          <w:rtl/>
        </w:rPr>
        <w:t xml:space="preserve"> ד</w:t>
      </w:r>
      <w:r>
        <w:rPr>
          <w:rFonts w:cs="Guttman Hodes" w:hint="cs"/>
          <w:rtl/>
        </w:rPr>
        <w:t>"</w:t>
      </w:r>
      <w:r>
        <w:rPr>
          <w:rFonts w:hint="cs"/>
          <w:rtl/>
        </w:rPr>
        <w:t>ה והנה</w:t>
      </w:r>
    </w:p>
    <w:p w14:paraId="299363B3" w14:textId="77777777" w:rsidR="00592982" w:rsidRPr="00732BF8" w:rsidRDefault="00592982" w:rsidP="00592982">
      <w:pPr>
        <w:pStyle w:val="a7"/>
      </w:pPr>
      <w:bookmarkStart w:id="2406" w:name="_Toc137741977"/>
      <w:r>
        <w:rPr>
          <w:rFonts w:hint="cs"/>
          <w:rtl/>
        </w:rPr>
        <w:t>בי' הראש יוסף ברמב"ם דאף באוכל מאוכל גמור יש ברירה אף בבורר שניהם לאח"ז</w:t>
      </w:r>
      <w:bookmarkEnd w:id="2406"/>
    </w:p>
    <w:p w14:paraId="1664A24C" w14:textId="389855DA" w:rsidR="00592982" w:rsidRPr="00CF59DB" w:rsidRDefault="00592982" w:rsidP="00BC7DC8">
      <w:pPr>
        <w:pStyle w:val="a3"/>
        <w:rPr>
          <w:rtl/>
        </w:rPr>
      </w:pPr>
      <w:bookmarkStart w:id="2407" w:name="_Ref137586923"/>
      <w:r>
        <w:rPr>
          <w:rFonts w:hint="cs"/>
          <w:rtl/>
        </w:rPr>
        <w:t xml:space="preserve">אך כתב </w:t>
      </w:r>
      <w:r w:rsidRPr="00BE47C5">
        <w:rPr>
          <w:rStyle w:val="aff4"/>
          <w:rFonts w:hint="cs"/>
          <w:vanish/>
          <w:rtl/>
        </w:rPr>
        <w:t>-</w:t>
      </w:r>
      <w:r w:rsidRPr="00BF56CC">
        <w:rPr>
          <w:rStyle w:val="aff4"/>
          <w:rFonts w:hint="cs"/>
          <w:rtl/>
        </w:rPr>
        <w:t>ה</w:t>
      </w:r>
      <w:r w:rsidRPr="00013487">
        <w:rPr>
          <w:rStyle w:val="aff4"/>
          <w:rFonts w:hint="cs"/>
          <w:vanish/>
          <w:rtl/>
        </w:rPr>
        <w:t xml:space="preserve">&lt;. </w:t>
      </w:r>
      <w:r w:rsidRPr="00013487">
        <w:rPr>
          <w:rStyle w:val="aff4"/>
          <w:vanish/>
          <w:rtl/>
        </w:rPr>
        <w:fldChar w:fldCharType="begin"/>
      </w:r>
      <w:r w:rsidRPr="00013487">
        <w:rPr>
          <w:rStyle w:val="aff4"/>
          <w:vanish/>
          <w:rtl/>
        </w:rPr>
        <w:instrText xml:space="preserve"> </w:instrText>
      </w:r>
      <w:r w:rsidRPr="00013487">
        <w:rPr>
          <w:rStyle w:val="aff4"/>
          <w:rFonts w:hint="cs"/>
          <w:vanish/>
        </w:rPr>
        <w:instrText>REF</w:instrText>
      </w:r>
      <w:r w:rsidRPr="00013487">
        <w:rPr>
          <w:rStyle w:val="aff4"/>
          <w:rFonts w:hint="cs"/>
          <w:vanish/>
          <w:rtl/>
        </w:rPr>
        <w:instrText xml:space="preserve"> _</w:instrText>
      </w:r>
      <w:r w:rsidRPr="00013487">
        <w:rPr>
          <w:rStyle w:val="aff4"/>
          <w:rFonts w:hint="cs"/>
          <w:vanish/>
        </w:rPr>
        <w:instrText>Ref137586923 \r \h</w:instrText>
      </w:r>
      <w:r w:rsidRPr="00013487">
        <w:rPr>
          <w:rStyle w:val="aff4"/>
          <w:vanish/>
          <w:rtl/>
        </w:rPr>
        <w:instrText xml:space="preserve"> </w:instrText>
      </w:r>
      <w:r>
        <w:rPr>
          <w:rStyle w:val="aff4"/>
          <w:vanish/>
          <w:rtl/>
        </w:rPr>
        <w:instrText xml:space="preserve"> \* </w:instrText>
      </w:r>
      <w:r>
        <w:rPr>
          <w:rStyle w:val="aff4"/>
          <w:vanish/>
        </w:rPr>
        <w:instrText>MERGEFORMAT</w:instrText>
      </w:r>
      <w:r>
        <w:rPr>
          <w:rStyle w:val="aff4"/>
          <w:vanish/>
          <w:rtl/>
        </w:rPr>
        <w:instrText xml:space="preserve"> </w:instrText>
      </w:r>
      <w:r w:rsidRPr="00013487">
        <w:rPr>
          <w:rStyle w:val="aff4"/>
          <w:vanish/>
          <w:rtl/>
        </w:rPr>
      </w:r>
      <w:r w:rsidRPr="00013487">
        <w:rPr>
          <w:rStyle w:val="aff4"/>
          <w:vanish/>
          <w:rtl/>
        </w:rPr>
        <w:fldChar w:fldCharType="separate"/>
      </w:r>
      <w:r w:rsidR="00D82181">
        <w:rPr>
          <w:rStyle w:val="aff4"/>
          <w:vanish/>
          <w:cs/>
        </w:rPr>
        <w:t>‎</w:t>
      </w:r>
      <w:r w:rsidR="00D82181">
        <w:rPr>
          <w:rStyle w:val="aff4"/>
          <w:vanish/>
          <w:rtl/>
        </w:rPr>
        <w:t>מה)</w:t>
      </w:r>
      <w:r w:rsidRPr="00013487">
        <w:rPr>
          <w:rStyle w:val="aff4"/>
          <w:vanish/>
          <w:rtl/>
        </w:rPr>
        <w:fldChar w:fldCharType="end"/>
      </w:r>
      <w:r w:rsidRPr="00013487">
        <w:rPr>
          <w:rStyle w:val="aff4"/>
          <w:rFonts w:hint="cs"/>
          <w:vanish/>
          <w:rtl/>
        </w:rPr>
        <w:t xml:space="preserve"> &gt;</w:t>
      </w:r>
      <w:r w:rsidRPr="00BF56CC">
        <w:rPr>
          <w:rStyle w:val="aff4"/>
          <w:rFonts w:hint="cs"/>
          <w:rtl/>
        </w:rPr>
        <w:t>ראש יוסף</w:t>
      </w:r>
      <w:r w:rsidRPr="00BE47C5">
        <w:rPr>
          <w:rStyle w:val="aff4"/>
          <w:rFonts w:hint="cs"/>
          <w:vanish/>
          <w:rtl/>
        </w:rPr>
        <w:t>-</w:t>
      </w:r>
      <w:r>
        <w:rPr>
          <w:rFonts w:hint="cs"/>
          <w:rtl/>
        </w:rPr>
        <w:t xml:space="preserve"> </w:t>
      </w:r>
      <w:r w:rsidRPr="00D16BB6">
        <w:rPr>
          <w:rStyle w:val="af2"/>
          <w:rFonts w:eastAsia="Guttman Hodes" w:hint="cs"/>
          <w:rtl/>
        </w:rPr>
        <w:t>(ד"ה והנה)</w:t>
      </w:r>
      <w:r w:rsidRPr="00BE47C5">
        <w:rPr>
          <w:rFonts w:hint="cs"/>
          <w:vanish/>
          <w:rtl/>
        </w:rPr>
        <w:t>=</w:t>
      </w:r>
      <w:r>
        <w:rPr>
          <w:rFonts w:hint="cs"/>
          <w:rtl/>
        </w:rPr>
        <w:t xml:space="preserve"> דמדברי </w:t>
      </w:r>
      <w:r w:rsidRPr="00BE47C5">
        <w:rPr>
          <w:rStyle w:val="aff4"/>
          <w:rFonts w:hint="cs"/>
          <w:vanish/>
          <w:rtl/>
        </w:rPr>
        <w:t>-</w:t>
      </w:r>
      <w:r>
        <w:rPr>
          <w:rStyle w:val="aff4"/>
          <w:rFonts w:hint="cs"/>
          <w:rtl/>
        </w:rPr>
        <w:t>הרמב"ם</w:t>
      </w:r>
      <w:r w:rsidRPr="00C1764D">
        <w:rPr>
          <w:rStyle w:val="aff4"/>
          <w:rFonts w:hint="cs"/>
          <w:rtl/>
        </w:rPr>
        <w:t xml:space="preserve"> </w:t>
      </w:r>
      <w:r w:rsidRPr="00BF56CC">
        <w:rPr>
          <w:rStyle w:val="aff4"/>
          <w:rFonts w:hint="cs"/>
          <w:rtl/>
        </w:rPr>
        <w:t>והשו"ע</w:t>
      </w:r>
      <w:r w:rsidRPr="00BE47C5">
        <w:rPr>
          <w:rStyle w:val="aff4"/>
          <w:rFonts w:hint="cs"/>
          <w:vanish/>
          <w:rtl/>
        </w:rPr>
        <w:t>-</w:t>
      </w:r>
      <w:r>
        <w:rPr>
          <w:rFonts w:hint="cs"/>
          <w:rtl/>
        </w:rPr>
        <w:t xml:space="preserve"> </w:t>
      </w:r>
      <w:r w:rsidRPr="00D16BB6">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Ref137673024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לו)</w:t>
      </w:r>
      <w:r>
        <w:rPr>
          <w:rStyle w:val="af2"/>
          <w:rFonts w:eastAsia="Guttman Hodes"/>
          <w:rtl/>
        </w:rPr>
        <w:fldChar w:fldCharType="end"/>
      </w:r>
      <w:r>
        <w:rPr>
          <w:rFonts w:hint="cs"/>
          <w:rtl/>
        </w:rPr>
        <w:t xml:space="preserve"> משמע דבכל ברירת ב' מינים חייב, אף כשרוצה לאכול את שני המינים לאח"ז, וביאר </w:t>
      </w:r>
      <w:r w:rsidRPr="00BE47C5">
        <w:rPr>
          <w:rStyle w:val="aff4"/>
          <w:rFonts w:hint="cs"/>
          <w:vanish/>
          <w:rtl/>
        </w:rPr>
        <w:t>-</w:t>
      </w:r>
      <w:r w:rsidRPr="00BF56CC">
        <w:rPr>
          <w:rStyle w:val="aff4"/>
          <w:rFonts w:hint="cs"/>
          <w:rtl/>
        </w:rPr>
        <w:t>הראש יוסף</w:t>
      </w:r>
      <w:r w:rsidRPr="00BE47C5">
        <w:rPr>
          <w:rStyle w:val="aff4"/>
          <w:rFonts w:hint="cs"/>
          <w:vanish/>
          <w:rtl/>
        </w:rPr>
        <w:t>-</w:t>
      </w:r>
      <w:r>
        <w:rPr>
          <w:rFonts w:hint="cs"/>
          <w:rtl/>
        </w:rPr>
        <w:t xml:space="preserve"> דס"ל דאף אוכל מאוכל חשיב ברירה, ולכן אף בבורר את המין שרוצה חייב, וכתב </w:t>
      </w:r>
      <w:r w:rsidRPr="00BE47C5">
        <w:rPr>
          <w:rStyle w:val="aff4"/>
          <w:rFonts w:hint="cs"/>
          <w:vanish/>
          <w:rtl/>
        </w:rPr>
        <w:t>-</w:t>
      </w:r>
      <w:r w:rsidRPr="00BF56CC">
        <w:rPr>
          <w:rStyle w:val="aff4"/>
          <w:rFonts w:hint="cs"/>
          <w:rtl/>
        </w:rPr>
        <w:t>הראש יוסף</w:t>
      </w:r>
      <w:r w:rsidRPr="00BE47C5">
        <w:rPr>
          <w:rStyle w:val="aff4"/>
          <w:rFonts w:hint="cs"/>
          <w:vanish/>
          <w:rtl/>
        </w:rPr>
        <w:t>-</w:t>
      </w:r>
      <w:r>
        <w:rPr>
          <w:rFonts w:hint="cs"/>
          <w:rtl/>
        </w:rPr>
        <w:t xml:space="preserve"> דכן מבואר ממה שהוסיף </w:t>
      </w:r>
      <w:r w:rsidRPr="00BE47C5">
        <w:rPr>
          <w:rStyle w:val="aff4"/>
          <w:rFonts w:hint="cs"/>
          <w:vanish/>
          <w:rtl/>
        </w:rPr>
        <w:t>-</w:t>
      </w:r>
      <w:r w:rsidRPr="00BF56CC">
        <w:rPr>
          <w:rStyle w:val="aff4"/>
          <w:rFonts w:hint="cs"/>
          <w:rtl/>
        </w:rPr>
        <w:t>הרמ"א</w:t>
      </w:r>
      <w:r w:rsidRPr="00BE47C5">
        <w:rPr>
          <w:rStyle w:val="aff4"/>
          <w:rFonts w:hint="cs"/>
          <w:vanish/>
          <w:rtl/>
        </w:rPr>
        <w:t>-</w:t>
      </w:r>
      <w:r>
        <w:rPr>
          <w:rFonts w:hint="cs"/>
          <w:rtl/>
        </w:rPr>
        <w:t xml:space="preserve"> </w:t>
      </w:r>
      <w:r w:rsidRPr="00D16BB6">
        <w:rPr>
          <w:rStyle w:val="af2"/>
          <w:rFonts w:eastAsia="Guttman Hodes" w:hint="cs"/>
          <w:rtl/>
        </w:rPr>
        <w:t xml:space="preserve">(עי' </w:t>
      </w:r>
      <w:r w:rsidRPr="006D6850">
        <w:rPr>
          <w:rStyle w:val="af2"/>
          <w:rFonts w:eastAsia="Guttman Hodes" w:hint="cs"/>
          <w:rtl/>
        </w:rPr>
        <w:t xml:space="preserve">אות </w:t>
      </w:r>
      <w:r w:rsidRPr="006D6850">
        <w:rPr>
          <w:rStyle w:val="af2"/>
          <w:rFonts w:eastAsia="Guttman Hodes"/>
          <w:rtl/>
        </w:rPr>
        <w:fldChar w:fldCharType="begin"/>
      </w:r>
      <w:r w:rsidRPr="006D6850">
        <w:rPr>
          <w:rStyle w:val="af2"/>
          <w:rFonts w:eastAsia="Guttman Hodes"/>
          <w:rtl/>
        </w:rPr>
        <w:instrText xml:space="preserve"> </w:instrText>
      </w:r>
      <w:r w:rsidRPr="006D6850">
        <w:rPr>
          <w:rStyle w:val="af2"/>
          <w:rFonts w:eastAsia="Guttman Hodes" w:hint="cs"/>
        </w:rPr>
        <w:instrText>REF</w:instrText>
      </w:r>
      <w:r w:rsidRPr="006D6850">
        <w:rPr>
          <w:rStyle w:val="af2"/>
          <w:rFonts w:eastAsia="Guttman Hodes" w:hint="cs"/>
          <w:rtl/>
        </w:rPr>
        <w:instrText xml:space="preserve"> _</w:instrText>
      </w:r>
      <w:r w:rsidRPr="006D6850">
        <w:rPr>
          <w:rStyle w:val="af2"/>
          <w:rFonts w:eastAsia="Guttman Hodes" w:hint="cs"/>
        </w:rPr>
        <w:instrText>Ref137639512 \r \h</w:instrText>
      </w:r>
      <w:r w:rsidRPr="006D6850">
        <w:rPr>
          <w:rStyle w:val="af2"/>
          <w:rFonts w:eastAsia="Guttman Hodes"/>
          <w:rtl/>
        </w:rPr>
        <w:instrText xml:space="preserve"> </w:instrText>
      </w:r>
      <w:r w:rsidRPr="006D6850">
        <w:rPr>
          <w:rStyle w:val="af2"/>
          <w:rFonts w:eastAsia="Guttman Hodes"/>
          <w:rtl/>
        </w:rPr>
      </w:r>
      <w:r w:rsidRPr="006D6850">
        <w:rPr>
          <w:rStyle w:val="af2"/>
          <w:rFonts w:eastAsia="Guttman Hodes"/>
          <w:rtl/>
        </w:rPr>
        <w:fldChar w:fldCharType="separate"/>
      </w:r>
      <w:r w:rsidR="00D82181">
        <w:rPr>
          <w:rStyle w:val="af2"/>
          <w:rFonts w:eastAsia="Guttman Hodes"/>
          <w:cs/>
        </w:rPr>
        <w:t>‎</w:t>
      </w:r>
      <w:r w:rsidR="00D82181">
        <w:rPr>
          <w:rStyle w:val="af2"/>
          <w:rFonts w:eastAsia="Guttman Hodes"/>
          <w:rtl/>
        </w:rPr>
        <w:t>כא)</w:t>
      </w:r>
      <w:r w:rsidRPr="006D6850">
        <w:rPr>
          <w:rStyle w:val="af2"/>
          <w:rFonts w:eastAsia="Guttman Hodes"/>
          <w:rtl/>
        </w:rPr>
        <w:fldChar w:fldCharType="end"/>
      </w:r>
      <w:r>
        <w:rPr>
          <w:rFonts w:hint="cs"/>
          <w:rtl/>
        </w:rPr>
        <w:t xml:space="preserve"> ומניח "השני כדי" לאכול מיד, כדביאר </w:t>
      </w:r>
      <w:r w:rsidRPr="00BE47C5">
        <w:rPr>
          <w:rStyle w:val="aff4"/>
          <w:rFonts w:hint="cs"/>
          <w:vanish/>
          <w:rtl/>
        </w:rPr>
        <w:t>-</w:t>
      </w:r>
      <w:r w:rsidRPr="00BF56CC">
        <w:rPr>
          <w:rStyle w:val="aff4"/>
          <w:rFonts w:hint="cs"/>
          <w:rtl/>
        </w:rPr>
        <w:t>המג"א</w:t>
      </w:r>
      <w:r w:rsidRPr="00BE47C5">
        <w:rPr>
          <w:rStyle w:val="aff4"/>
          <w:rFonts w:hint="cs"/>
          <w:vanish/>
          <w:rtl/>
        </w:rPr>
        <w:t>-</w:t>
      </w:r>
      <w:r>
        <w:rPr>
          <w:rFonts w:hint="cs"/>
          <w:rtl/>
        </w:rPr>
        <w:t xml:space="preserve"> </w:t>
      </w:r>
      <w:r w:rsidRPr="00D16BB6">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Ref137639512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כא)</w:t>
      </w:r>
      <w:r>
        <w:rPr>
          <w:rStyle w:val="af2"/>
          <w:rFonts w:eastAsia="Guttman Hodes"/>
          <w:rtl/>
        </w:rPr>
        <w:fldChar w:fldCharType="end"/>
      </w:r>
      <w:r>
        <w:rPr>
          <w:rFonts w:hint="cs"/>
          <w:rtl/>
        </w:rPr>
        <w:t xml:space="preserve"> דכוונתו דרק כשמוציא את המין שאינו רוצה חייב, ומשמע </w:t>
      </w:r>
      <w:r w:rsidRPr="00BE47C5">
        <w:rPr>
          <w:rStyle w:val="aff4"/>
          <w:rFonts w:hint="cs"/>
          <w:vanish/>
          <w:rtl/>
        </w:rPr>
        <w:t>-</w:t>
      </w:r>
      <w:r w:rsidRPr="00BF56CC">
        <w:rPr>
          <w:rStyle w:val="aff4"/>
          <w:rFonts w:hint="cs"/>
          <w:rtl/>
        </w:rPr>
        <w:t>דל</w:t>
      </w:r>
      <w:r>
        <w:rPr>
          <w:rStyle w:val="aff4"/>
          <w:rFonts w:hint="cs"/>
          <w:rtl/>
        </w:rPr>
        <w:t>רמב"ם וה</w:t>
      </w:r>
      <w:r w:rsidRPr="00BF56CC">
        <w:rPr>
          <w:rStyle w:val="aff4"/>
          <w:rFonts w:hint="cs"/>
          <w:rtl/>
        </w:rPr>
        <w:t>שו"ע</w:t>
      </w:r>
      <w:r w:rsidRPr="00BE47C5">
        <w:rPr>
          <w:rStyle w:val="aff4"/>
          <w:rFonts w:hint="cs"/>
          <w:vanish/>
          <w:rtl/>
        </w:rPr>
        <w:t>-</w:t>
      </w:r>
      <w:r>
        <w:rPr>
          <w:rFonts w:hint="cs"/>
          <w:rtl/>
        </w:rPr>
        <w:t xml:space="preserve"> בכל ברירת ב' מינים חייב, והקשה </w:t>
      </w:r>
      <w:r w:rsidRPr="00BE47C5">
        <w:rPr>
          <w:rStyle w:val="aff4"/>
          <w:rFonts w:hint="cs"/>
          <w:vanish/>
          <w:rtl/>
        </w:rPr>
        <w:t>-</w:t>
      </w:r>
      <w:r w:rsidRPr="00BF56CC">
        <w:rPr>
          <w:rStyle w:val="aff4"/>
          <w:rFonts w:hint="cs"/>
          <w:rtl/>
        </w:rPr>
        <w:t>הראש יוסף</w:t>
      </w:r>
      <w:r w:rsidRPr="00BE47C5">
        <w:rPr>
          <w:rStyle w:val="aff4"/>
          <w:rFonts w:hint="cs"/>
          <w:vanish/>
          <w:rtl/>
        </w:rPr>
        <w:t>-</w:t>
      </w:r>
      <w:r>
        <w:rPr>
          <w:rFonts w:hint="cs"/>
          <w:rtl/>
        </w:rPr>
        <w:t xml:space="preserve"> דא"כ אמאי כשכתבו </w:t>
      </w:r>
      <w:bookmarkStart w:id="2408" w:name="_Hlk137113276"/>
      <w:r w:rsidRPr="00BE47C5">
        <w:rPr>
          <w:rStyle w:val="aff4"/>
          <w:rFonts w:hint="cs"/>
          <w:vanish/>
          <w:rtl/>
        </w:rPr>
        <w:t>-</w:t>
      </w:r>
      <w:r w:rsidRPr="00BF56CC">
        <w:rPr>
          <w:rStyle w:val="aff4"/>
          <w:rFonts w:hint="cs"/>
          <w:rtl/>
        </w:rPr>
        <w:t>הרמב"ם והשו"ע</w:t>
      </w:r>
      <w:r w:rsidRPr="00BE47C5">
        <w:rPr>
          <w:rStyle w:val="aff4"/>
          <w:rFonts w:hint="cs"/>
          <w:vanish/>
          <w:rtl/>
        </w:rPr>
        <w:t>-</w:t>
      </w:r>
      <w:r>
        <w:rPr>
          <w:rFonts w:hint="cs"/>
          <w:rtl/>
        </w:rPr>
        <w:t xml:space="preserve"> דבבורר והניח לאחר זמן אף לבו ביום חייב, </w:t>
      </w:r>
      <w:bookmarkEnd w:id="2408"/>
      <w:r>
        <w:rPr>
          <w:rFonts w:hint="cs"/>
          <w:rtl/>
        </w:rPr>
        <w:t xml:space="preserve">לא כתב </w:t>
      </w:r>
      <w:r w:rsidRPr="00BE47C5">
        <w:rPr>
          <w:rStyle w:val="aff4"/>
          <w:rFonts w:hint="cs"/>
          <w:vanish/>
          <w:rtl/>
        </w:rPr>
        <w:t>-</w:t>
      </w:r>
      <w:r w:rsidRPr="00BF56CC">
        <w:rPr>
          <w:rStyle w:val="aff4"/>
          <w:rFonts w:hint="cs"/>
          <w:rtl/>
        </w:rPr>
        <w:t>הרמ"א</w:t>
      </w:r>
      <w:r w:rsidRPr="00BE47C5">
        <w:rPr>
          <w:rStyle w:val="aff4"/>
          <w:rFonts w:hint="cs"/>
          <w:vanish/>
          <w:rtl/>
        </w:rPr>
        <w:t>-</w:t>
      </w:r>
      <w:r>
        <w:rPr>
          <w:rFonts w:hint="cs"/>
          <w:rtl/>
        </w:rPr>
        <w:t xml:space="preserve"> דהיינו דוקא כשברר את המין שאינו רוצה בו, אבל אם ברר את המין שרוצה, או שרוצה את שניהם, הוא כאוכל מתוך פסולת ומותר, וכתב </w:t>
      </w:r>
      <w:r w:rsidRPr="00BE47C5">
        <w:rPr>
          <w:rStyle w:val="aff4"/>
          <w:rFonts w:hint="cs"/>
          <w:vanish/>
          <w:rtl/>
        </w:rPr>
        <w:t>-</w:t>
      </w:r>
      <w:r w:rsidRPr="00BF56CC">
        <w:rPr>
          <w:rStyle w:val="aff4"/>
          <w:rFonts w:hint="cs"/>
          <w:rtl/>
        </w:rPr>
        <w:t>הראש יוסף</w:t>
      </w:r>
      <w:r w:rsidRPr="00BE47C5">
        <w:rPr>
          <w:rStyle w:val="aff4"/>
          <w:rFonts w:hint="cs"/>
          <w:vanish/>
          <w:rtl/>
        </w:rPr>
        <w:t>-</w:t>
      </w:r>
      <w:r>
        <w:rPr>
          <w:rFonts w:hint="cs"/>
          <w:rtl/>
        </w:rPr>
        <w:t xml:space="preserve"> דדוחק לפרש דכוונת </w:t>
      </w:r>
      <w:r w:rsidRPr="00BE47C5">
        <w:rPr>
          <w:rStyle w:val="aff4"/>
          <w:rFonts w:hint="cs"/>
          <w:vanish/>
          <w:rtl/>
        </w:rPr>
        <w:t>-</w:t>
      </w:r>
      <w:r w:rsidRPr="00BF56CC">
        <w:rPr>
          <w:rStyle w:val="aff4"/>
          <w:rFonts w:hint="cs"/>
          <w:rtl/>
        </w:rPr>
        <w:t>הרמב"ם והשו"ע</w:t>
      </w:r>
      <w:r w:rsidRPr="00BE47C5">
        <w:rPr>
          <w:rStyle w:val="aff4"/>
          <w:rFonts w:hint="cs"/>
          <w:vanish/>
          <w:rtl/>
        </w:rPr>
        <w:t>-</w:t>
      </w:r>
      <w:r>
        <w:rPr>
          <w:rFonts w:hint="cs"/>
          <w:rtl/>
        </w:rPr>
        <w:t xml:space="preserve"> דבורר מין אחד לבו ביום לאחר זמן, ואת המין השני למחר.</w:t>
      </w:r>
      <w:bookmarkEnd w:id="2407"/>
    </w:p>
    <w:p w14:paraId="2DB2F00A" w14:textId="77777777" w:rsidR="00592982" w:rsidRPr="00747170" w:rsidRDefault="00592982" w:rsidP="00747170">
      <w:pPr>
        <w:pStyle w:val="a2"/>
      </w:pPr>
      <w:r w:rsidRPr="00747170">
        <w:rPr>
          <w:rtl/>
        </w:rPr>
        <w:t>אלא שהר"מ ז"ל שם הי"ג והמחבר שם ס"ג ב' מיני אוכלין בורר ומניח ואם בורר והניח לבו ביום חייב הרי דכה"ג חייב ויש לומר דהר"מ והמחבר סוברים דב' מינים אוכל מאוכל נמי הוה ברירה ומש"ה לא התנו דוקא אותו שרוצה לאכול עתה יברור לא שאין רוצה עתה משא"כ הרב דהגי' שם ב' תיבות השני כדי כמ"ש המ"א אות ד' דסובר מניח השני דוקא שאין רוצה עתה כו' א"כ אמאי בבורר להניח לבו ביום חייב בב' מינין ומדשתיק שם אודוי אודי לי' אם לא שנאמר דלבו ביום בורר לאכול מין אחד והשני מניח למחר ג"כ הוה בורר אוכל מתוך פסולת וזה קצת דוחק:</w:t>
      </w:r>
    </w:p>
    <w:p w14:paraId="44AF6C7A" w14:textId="77777777" w:rsidR="00592982" w:rsidRDefault="00592982" w:rsidP="00592982">
      <w:pPr>
        <w:pStyle w:val="afffffb"/>
        <w:rPr>
          <w:rtl/>
        </w:rPr>
      </w:pPr>
      <w:r>
        <w:rPr>
          <w:rtl/>
        </w:rPr>
        <w:t xml:space="preserve">פרי מגדים </w:t>
      </w:r>
      <w:r>
        <w:rPr>
          <w:rFonts w:hint="cs"/>
          <w:rtl/>
        </w:rPr>
        <w:t>או"ח משב"ז סי'</w:t>
      </w:r>
      <w:r>
        <w:rPr>
          <w:rtl/>
        </w:rPr>
        <w:t xml:space="preserve"> שי</w:t>
      </w:r>
      <w:r>
        <w:rPr>
          <w:rFonts w:hint="cs"/>
          <w:rtl/>
        </w:rPr>
        <w:t>"</w:t>
      </w:r>
      <w:r>
        <w:rPr>
          <w:rtl/>
        </w:rPr>
        <w:t>ט סק"ב</w:t>
      </w:r>
      <w:r>
        <w:rPr>
          <w:rFonts w:hint="cs"/>
          <w:rtl/>
        </w:rPr>
        <w:t xml:space="preserve"> ד"ה ומפני</w:t>
      </w:r>
    </w:p>
    <w:p w14:paraId="18E14AAE" w14:textId="77777777" w:rsidR="00592982" w:rsidRPr="006D6850" w:rsidRDefault="00592982" w:rsidP="00592982">
      <w:pPr>
        <w:pStyle w:val="a7"/>
        <w:rPr>
          <w:rtl/>
        </w:rPr>
      </w:pPr>
      <w:bookmarkStart w:id="2409" w:name="_Toc137741978"/>
      <w:r>
        <w:rPr>
          <w:rFonts w:hint="cs"/>
          <w:rtl/>
        </w:rPr>
        <w:t>ספק הפרמ"ג ברמב"ם אי בשניהם לאח"ז מותר או דאוסר רק כשמין א' היום לאח"ז והשני למחר</w:t>
      </w:r>
      <w:bookmarkEnd w:id="2409"/>
    </w:p>
    <w:p w14:paraId="15FABE32" w14:textId="6D4ED382" w:rsidR="00592982" w:rsidRDefault="00592982" w:rsidP="00BC7DC8">
      <w:pPr>
        <w:pStyle w:val="a3"/>
      </w:pPr>
      <w:bookmarkStart w:id="2410" w:name="_Ref137574540"/>
      <w:r>
        <w:rPr>
          <w:rFonts w:hint="cs"/>
          <w:rtl/>
        </w:rPr>
        <w:t xml:space="preserve">אבל </w:t>
      </w:r>
      <w:r w:rsidRPr="00BE47C5">
        <w:rPr>
          <w:rStyle w:val="aff4"/>
          <w:rFonts w:hint="cs"/>
          <w:vanish/>
          <w:rtl/>
        </w:rPr>
        <w:t>-</w:t>
      </w:r>
      <w:r w:rsidRPr="00BF56CC">
        <w:rPr>
          <w:rStyle w:val="aff4"/>
          <w:rFonts w:hint="cs"/>
          <w:rtl/>
        </w:rPr>
        <w:t>ב</w:t>
      </w:r>
      <w:r w:rsidRPr="00BE47C5">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Ref137574540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מו)</w:t>
      </w:r>
      <w:r>
        <w:rPr>
          <w:rStyle w:val="aff4"/>
          <w:vanish/>
          <w:rtl/>
        </w:rPr>
        <w:fldChar w:fldCharType="end"/>
      </w:r>
      <w:r w:rsidRPr="00BE47C5">
        <w:rPr>
          <w:rStyle w:val="aff4"/>
          <w:rFonts w:hint="cs"/>
          <w:vanish/>
          <w:rtl/>
        </w:rPr>
        <w:t xml:space="preserve"> &gt;</w:t>
      </w:r>
      <w:r w:rsidRPr="00BF56CC">
        <w:rPr>
          <w:rStyle w:val="aff4"/>
          <w:rFonts w:hint="cs"/>
          <w:rtl/>
        </w:rPr>
        <w:t>פרמ"ג</w:t>
      </w:r>
      <w:r w:rsidRPr="00BE47C5">
        <w:rPr>
          <w:rStyle w:val="aff4"/>
          <w:rFonts w:hint="cs"/>
          <w:vanish/>
          <w:rtl/>
        </w:rPr>
        <w:t>-</w:t>
      </w:r>
      <w:r>
        <w:rPr>
          <w:rFonts w:hint="cs"/>
          <w:rtl/>
        </w:rPr>
        <w:t xml:space="preserve"> </w:t>
      </w:r>
      <w:r w:rsidRPr="00D16BB6">
        <w:rPr>
          <w:rStyle w:val="af2"/>
          <w:rFonts w:eastAsia="Guttman Hodes" w:hint="cs"/>
          <w:rtl/>
        </w:rPr>
        <w:t>(סי' שי"ט משב"ז סק"ב ד"ה ומפני)</w:t>
      </w:r>
      <w:r w:rsidRPr="00BE47C5">
        <w:rPr>
          <w:rFonts w:hint="cs"/>
          <w:vanish/>
          <w:rtl/>
        </w:rPr>
        <w:t>=</w:t>
      </w:r>
      <w:r>
        <w:rPr>
          <w:rFonts w:hint="cs"/>
          <w:rtl/>
        </w:rPr>
        <w:t xml:space="preserve"> כתב דאף לדעת </w:t>
      </w:r>
      <w:r w:rsidRPr="00BE47C5">
        <w:rPr>
          <w:rStyle w:val="aff4"/>
          <w:rFonts w:hint="cs"/>
          <w:vanish/>
          <w:rtl/>
        </w:rPr>
        <w:t>-</w:t>
      </w:r>
      <w:r w:rsidRPr="00BF56CC">
        <w:rPr>
          <w:rStyle w:val="aff4"/>
          <w:rFonts w:hint="cs"/>
          <w:rtl/>
        </w:rPr>
        <w:t>הרמב"ם</w:t>
      </w:r>
      <w:r w:rsidRPr="00BE47C5">
        <w:rPr>
          <w:rStyle w:val="aff4"/>
          <w:rFonts w:hint="cs"/>
          <w:vanish/>
          <w:rtl/>
        </w:rPr>
        <w:t>-</w:t>
      </w:r>
      <w:r>
        <w:rPr>
          <w:rFonts w:hint="cs"/>
          <w:rtl/>
        </w:rPr>
        <w:t xml:space="preserve"> כל האיסור בב' מיני אוכלין, הוא רק כשרוצה אחד מהם עכשיו והשני </w:t>
      </w:r>
      <w:r>
        <w:rPr>
          <w:rFonts w:hint="cs"/>
          <w:rtl/>
        </w:rPr>
        <w:lastRenderedPageBreak/>
        <w:t xml:space="preserve">לאחר זמן, אבל אם רוצה את שניהם לאחר זמן מותר, דא"א לומר דאחד אוכל והשני פסולת, ומ"ש </w:t>
      </w:r>
      <w:r w:rsidRPr="00BE47C5">
        <w:rPr>
          <w:rStyle w:val="aff4"/>
          <w:rFonts w:hint="cs"/>
          <w:vanish/>
          <w:rtl/>
        </w:rPr>
        <w:t>-</w:t>
      </w:r>
      <w:r w:rsidRPr="00BF56CC">
        <w:rPr>
          <w:rStyle w:val="aff4"/>
          <w:rFonts w:hint="cs"/>
          <w:rtl/>
        </w:rPr>
        <w:t>הרמב"ם</w:t>
      </w:r>
      <w:r w:rsidRPr="00BE47C5">
        <w:rPr>
          <w:rStyle w:val="aff4"/>
          <w:rFonts w:hint="cs"/>
          <w:vanish/>
          <w:rtl/>
        </w:rPr>
        <w:t>-</w:t>
      </w:r>
      <w:r>
        <w:rPr>
          <w:rFonts w:hint="cs"/>
          <w:rtl/>
        </w:rPr>
        <w:t xml:space="preserve"> </w:t>
      </w:r>
      <w:r w:rsidRPr="00D16BB6">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Ref137673024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לו)</w:t>
      </w:r>
      <w:r>
        <w:rPr>
          <w:rStyle w:val="af2"/>
          <w:rFonts w:eastAsia="Guttman Hodes"/>
          <w:rtl/>
        </w:rPr>
        <w:fldChar w:fldCharType="end"/>
      </w:r>
      <w:r>
        <w:rPr>
          <w:rFonts w:hint="cs"/>
          <w:rtl/>
        </w:rPr>
        <w:t xml:space="preserve"> דאם ברר והניח לאחר זמן חייב, אין כוונתו דשני המינים הם לאחר זמן, אלא צריך לדחוק דאת המין שרוצה בו מניחו לאחר זמן, אבל את המין השני אינו רוצה כלל להיום אלא למחר והוא כפסולת גמורה, ואם ברר את המין דחשיב כפסולת חייב,</w:t>
      </w:r>
      <w:r w:rsidRPr="004C1895">
        <w:rPr>
          <w:rFonts w:hint="cs"/>
          <w:rtl/>
        </w:rPr>
        <w:t xml:space="preserve"> </w:t>
      </w:r>
      <w:r>
        <w:rPr>
          <w:rFonts w:hint="cs"/>
          <w:rtl/>
        </w:rPr>
        <w:t xml:space="preserve">אמנם בסוף דבריו כתב </w:t>
      </w:r>
      <w:r w:rsidRPr="00BE47C5">
        <w:rPr>
          <w:rStyle w:val="aff4"/>
          <w:rFonts w:hint="cs"/>
          <w:vanish/>
          <w:rtl/>
        </w:rPr>
        <w:t>-</w:t>
      </w:r>
      <w:r>
        <w:rPr>
          <w:rStyle w:val="aff4"/>
          <w:rFonts w:hint="cs"/>
          <w:rtl/>
        </w:rPr>
        <w:t>ה</w:t>
      </w:r>
      <w:r w:rsidRPr="00BF56CC">
        <w:rPr>
          <w:rStyle w:val="aff4"/>
          <w:rFonts w:hint="cs"/>
          <w:rtl/>
        </w:rPr>
        <w:t>פרמ"ג</w:t>
      </w:r>
      <w:r w:rsidRPr="00BE47C5">
        <w:rPr>
          <w:rStyle w:val="aff4"/>
          <w:rFonts w:hint="cs"/>
          <w:vanish/>
          <w:rtl/>
        </w:rPr>
        <w:t>-</w:t>
      </w:r>
      <w:r>
        <w:rPr>
          <w:rFonts w:hint="cs"/>
          <w:rtl/>
        </w:rPr>
        <w:t xml:space="preserve"> דצ"ע</w:t>
      </w:r>
      <w:r w:rsidRPr="004C1895">
        <w:rPr>
          <w:rFonts w:hint="cs"/>
          <w:rtl/>
        </w:rPr>
        <w:t xml:space="preserve"> </w:t>
      </w:r>
      <w:r>
        <w:rPr>
          <w:rFonts w:hint="cs"/>
          <w:rtl/>
        </w:rPr>
        <w:t>לדינא.</w:t>
      </w:r>
      <w:bookmarkEnd w:id="2410"/>
    </w:p>
    <w:p w14:paraId="4F5F347E" w14:textId="77777777" w:rsidR="00592982" w:rsidRPr="00747170" w:rsidRDefault="00592982" w:rsidP="00747170">
      <w:pPr>
        <w:pStyle w:val="a2"/>
        <w:rPr>
          <w:rtl/>
        </w:rPr>
      </w:pPr>
      <w:r w:rsidRPr="00747170">
        <w:rPr>
          <w:rtl/>
        </w:rPr>
        <w:t>ולכאורה שני מיני אוכלין אחד לאלתר ואחד לאחר זמן אסור לברור מה שלאחר זמן, הא שניהם לאחר זמן שרי, דהי אוכל והי פסולת. ומה שכתב המחבר בסעיף ג' והוא לשון הר"מ ז"ל [שבת ח, יג] בירר להניח לאחר זמן חייב, יש לומר הכי פירושו, אם בירר והניח אותו שאין חפץ לאכול עתה חייב. ואם שאין הלשון משמע כן, יש לומר שמניח לאחר זמן והשני אין רוצה לאכול היום כי אם למחר, או כלל לא, וודאי כפסולת יחשב</w:t>
      </w:r>
      <w:r w:rsidRPr="00747170">
        <w:rPr>
          <w:rFonts w:hint="cs"/>
          <w:rtl/>
        </w:rPr>
        <w:t>, וכו' וצ"ע לדינא</w:t>
      </w:r>
      <w:r w:rsidRPr="00747170">
        <w:rPr>
          <w:rtl/>
        </w:rPr>
        <w:t>.</w:t>
      </w:r>
    </w:p>
    <w:p w14:paraId="126DA5AF" w14:textId="0D7764EF" w:rsidR="00592982" w:rsidRDefault="00592982" w:rsidP="00592982">
      <w:pPr>
        <w:pStyle w:val="1"/>
        <w:rPr>
          <w:rtl/>
        </w:rPr>
      </w:pPr>
      <w:bookmarkStart w:id="2411" w:name="_Toc137741979"/>
      <w:r>
        <w:rPr>
          <w:rFonts w:hint="cs"/>
          <w:rtl/>
        </w:rPr>
        <w:t>ספק הפרמ"ג באוכל מאוכל לאלתר אי מותר אף בנפה</w:t>
      </w:r>
      <w:bookmarkEnd w:id="2411"/>
      <w:r>
        <w:rPr>
          <w:rFonts w:hint="cs"/>
          <w:rtl/>
        </w:rPr>
        <w:t xml:space="preserve"> </w:t>
      </w:r>
    </w:p>
    <w:p w14:paraId="1379F13C" w14:textId="77777777" w:rsidR="00592982" w:rsidRDefault="00592982" w:rsidP="00592982">
      <w:pPr>
        <w:pStyle w:val="afffff7"/>
        <w:rPr>
          <w:rtl/>
        </w:rPr>
      </w:pPr>
      <w:bookmarkStart w:id="2412" w:name="_Toc137742062"/>
      <w:bookmarkStart w:id="2413" w:name="_Toc163505830"/>
      <w:r w:rsidRPr="00CF59EC">
        <w:rPr>
          <w:rtl/>
        </w:rPr>
        <w:t xml:space="preserve">פרי מגדים </w:t>
      </w:r>
      <w:r w:rsidRPr="00CF59EC">
        <w:rPr>
          <w:rFonts w:hint="cs"/>
          <w:rtl/>
        </w:rPr>
        <w:t>או"ח משב"ז סי'</w:t>
      </w:r>
      <w:r w:rsidRPr="00CF59EC">
        <w:rPr>
          <w:rtl/>
        </w:rPr>
        <w:t xml:space="preserve"> שי</w:t>
      </w:r>
      <w:r w:rsidRPr="00CF59EC">
        <w:rPr>
          <w:rFonts w:hint="cs"/>
          <w:rtl/>
        </w:rPr>
        <w:t>"</w:t>
      </w:r>
      <w:r w:rsidRPr="00CF59EC">
        <w:rPr>
          <w:rtl/>
        </w:rPr>
        <w:t>ט סק"ב</w:t>
      </w:r>
      <w:r w:rsidRPr="00CF59EC">
        <w:rPr>
          <w:rFonts w:hint="cs"/>
          <w:rtl/>
        </w:rPr>
        <w:t xml:space="preserve"> ד"ה </w:t>
      </w:r>
      <w:r>
        <w:rPr>
          <w:rFonts w:hint="cs"/>
          <w:rtl/>
        </w:rPr>
        <w:t>גם</w:t>
      </w:r>
      <w:bookmarkEnd w:id="2412"/>
      <w:bookmarkEnd w:id="2413"/>
    </w:p>
    <w:p w14:paraId="48284949" w14:textId="77777777" w:rsidR="00592982" w:rsidRDefault="00592982" w:rsidP="00592982">
      <w:pPr>
        <w:pStyle w:val="a7"/>
        <w:rPr>
          <w:rtl/>
        </w:rPr>
      </w:pPr>
      <w:bookmarkStart w:id="2414" w:name="_Toc137741980"/>
      <w:r>
        <w:rPr>
          <w:rFonts w:hint="cs"/>
          <w:rtl/>
        </w:rPr>
        <w:t>ספק הפרמ"ג בב' מינים לאלתר אי מותר לברור בנפה דכל חיוב נפה רק באוכל ופסולת</w:t>
      </w:r>
      <w:bookmarkEnd w:id="2414"/>
    </w:p>
    <w:p w14:paraId="4C906217" w14:textId="3686ADC9" w:rsidR="00592982" w:rsidRPr="006A0588" w:rsidRDefault="00592982" w:rsidP="00BC7DC8">
      <w:pPr>
        <w:pStyle w:val="a3"/>
      </w:pPr>
      <w:bookmarkStart w:id="2415" w:name="_Ref137118775"/>
      <w:r>
        <w:rPr>
          <w:rFonts w:hint="cs"/>
          <w:rtl/>
        </w:rPr>
        <w:t xml:space="preserve">עוד כתב </w:t>
      </w:r>
      <w:r w:rsidRPr="00956D50">
        <w:rPr>
          <w:rStyle w:val="aff4"/>
          <w:rFonts w:hint="cs"/>
          <w:vanish/>
          <w:rtl/>
        </w:rPr>
        <w:t>-</w:t>
      </w:r>
      <w:r w:rsidRPr="00BF56CC">
        <w:rPr>
          <w:rStyle w:val="aff4"/>
          <w:rFonts w:hint="cs"/>
          <w:rtl/>
        </w:rPr>
        <w:t>ה</w:t>
      </w:r>
      <w:r w:rsidRPr="00956D50">
        <w:rPr>
          <w:rStyle w:val="aff4"/>
          <w:rFonts w:hint="cs"/>
          <w:vanish/>
          <w:rtl/>
        </w:rPr>
        <w:t xml:space="preserve">&lt;. </w:t>
      </w:r>
      <w:r w:rsidRPr="00956D50">
        <w:rPr>
          <w:rStyle w:val="aff4"/>
          <w:vanish/>
          <w:rtl/>
        </w:rPr>
        <w:fldChar w:fldCharType="begin"/>
      </w:r>
      <w:r w:rsidRPr="00956D50">
        <w:rPr>
          <w:rStyle w:val="aff4"/>
          <w:vanish/>
          <w:rtl/>
        </w:rPr>
        <w:instrText xml:space="preserve"> </w:instrText>
      </w:r>
      <w:r w:rsidRPr="00956D50">
        <w:rPr>
          <w:rStyle w:val="aff4"/>
          <w:rFonts w:hint="cs"/>
          <w:vanish/>
        </w:rPr>
        <w:instrText>REF</w:instrText>
      </w:r>
      <w:r w:rsidRPr="00956D50">
        <w:rPr>
          <w:rStyle w:val="aff4"/>
          <w:rFonts w:hint="cs"/>
          <w:vanish/>
          <w:rtl/>
        </w:rPr>
        <w:instrText xml:space="preserve"> _</w:instrText>
      </w:r>
      <w:r w:rsidRPr="00956D50">
        <w:rPr>
          <w:rStyle w:val="aff4"/>
          <w:rFonts w:hint="cs"/>
          <w:vanish/>
        </w:rPr>
        <w:instrText>Ref137118775 \r \h</w:instrText>
      </w:r>
      <w:r w:rsidRPr="00956D50">
        <w:rPr>
          <w:rStyle w:val="aff4"/>
          <w:vanish/>
          <w:rtl/>
        </w:rPr>
        <w:instrText xml:space="preserve"> </w:instrText>
      </w:r>
      <w:r w:rsidRPr="00956D50">
        <w:rPr>
          <w:rStyle w:val="aff4"/>
          <w:vanish/>
          <w:rtl/>
        </w:rPr>
      </w:r>
      <w:r w:rsidRPr="00956D50">
        <w:rPr>
          <w:rStyle w:val="aff4"/>
          <w:vanish/>
          <w:rtl/>
        </w:rPr>
        <w:fldChar w:fldCharType="separate"/>
      </w:r>
      <w:r w:rsidR="00D82181">
        <w:rPr>
          <w:rStyle w:val="aff4"/>
          <w:vanish/>
          <w:cs/>
        </w:rPr>
        <w:t>‎</w:t>
      </w:r>
      <w:r w:rsidR="00D82181">
        <w:rPr>
          <w:rStyle w:val="aff4"/>
          <w:vanish/>
          <w:rtl/>
        </w:rPr>
        <w:t>מז)</w:t>
      </w:r>
      <w:r w:rsidRPr="00956D50">
        <w:rPr>
          <w:rStyle w:val="aff4"/>
          <w:vanish/>
          <w:rtl/>
        </w:rPr>
        <w:fldChar w:fldCharType="end"/>
      </w:r>
      <w:r w:rsidRPr="00956D50">
        <w:rPr>
          <w:rStyle w:val="aff4"/>
          <w:rFonts w:hint="cs"/>
          <w:vanish/>
          <w:rtl/>
        </w:rPr>
        <w:t xml:space="preserve"> &gt;</w:t>
      </w:r>
      <w:r w:rsidRPr="00BF56CC">
        <w:rPr>
          <w:rStyle w:val="aff4"/>
          <w:rFonts w:hint="cs"/>
          <w:rtl/>
        </w:rPr>
        <w:t>פרמ"ג</w:t>
      </w:r>
      <w:r w:rsidRPr="00956D50">
        <w:rPr>
          <w:rStyle w:val="aff4"/>
          <w:rFonts w:hint="cs"/>
          <w:vanish/>
          <w:rtl/>
        </w:rPr>
        <w:t>-</w:t>
      </w:r>
      <w:r>
        <w:rPr>
          <w:rFonts w:hint="cs"/>
          <w:rtl/>
        </w:rPr>
        <w:t xml:space="preserve"> </w:t>
      </w:r>
      <w:r w:rsidRPr="00D16BB6">
        <w:rPr>
          <w:rStyle w:val="af2"/>
          <w:rFonts w:eastAsia="Guttman Hodes" w:hint="cs"/>
          <w:rtl/>
        </w:rPr>
        <w:t>(סי' שי"ט משב"ז סק"ב ד"ה גם)</w:t>
      </w:r>
      <w:r w:rsidRPr="00956D50">
        <w:rPr>
          <w:rFonts w:hint="cs"/>
          <w:vanish/>
          <w:rtl/>
        </w:rPr>
        <w:t>=</w:t>
      </w:r>
      <w:r>
        <w:rPr>
          <w:rFonts w:hint="cs"/>
          <w:rtl/>
        </w:rPr>
        <w:t xml:space="preserve"> דעוד יש להסתפק בב' מינים לאלתר ורוצה את שניהם ובוררם בנפה וכברה, דאפש"ל דהחיוב בנפה הוא רק בפסולת ואוכל ולא בב' מינים, </w:t>
      </w:r>
      <w:r w:rsidRPr="007555C2">
        <w:rPr>
          <w:rStyle w:val="aff9"/>
          <w:rFonts w:hint="cs"/>
          <w:rtl/>
        </w:rPr>
        <w:t>[</w:t>
      </w:r>
      <w:r w:rsidRPr="007555C2">
        <w:rPr>
          <w:rStyle w:val="aff9"/>
          <w:rFonts w:hint="cs"/>
          <w:vanish/>
          <w:rtl/>
        </w:rPr>
        <w:t>-</w:t>
      </w:r>
      <w:r w:rsidRPr="007555C2">
        <w:rPr>
          <w:rStyle w:val="aff9"/>
          <w:rFonts w:hint="cs"/>
          <w:rtl/>
        </w:rPr>
        <w:t>ובראש יוסף</w:t>
      </w:r>
      <w:r w:rsidRPr="007555C2">
        <w:rPr>
          <w:rStyle w:val="aff9"/>
          <w:rFonts w:hint="cs"/>
          <w:vanish/>
          <w:rtl/>
        </w:rPr>
        <w:t>-</w:t>
      </w:r>
      <w:r w:rsidRPr="007555C2">
        <w:rPr>
          <w:rStyle w:val="af"/>
          <w:rFonts w:hint="cs"/>
          <w:rtl/>
        </w:rPr>
        <w:t xml:space="preserve"> </w:t>
      </w:r>
      <w:r w:rsidRPr="007555C2">
        <w:rPr>
          <w:rStyle w:val="aff0"/>
          <w:rFonts w:hint="cs"/>
          <w:rtl/>
        </w:rPr>
        <w:t xml:space="preserve">(עי' אות </w:t>
      </w:r>
      <w:r w:rsidRPr="007555C2">
        <w:rPr>
          <w:rStyle w:val="aff0"/>
          <w:rtl/>
        </w:rPr>
        <w:fldChar w:fldCharType="begin"/>
      </w:r>
      <w:r w:rsidRPr="007555C2">
        <w:rPr>
          <w:rStyle w:val="aff0"/>
          <w:rtl/>
        </w:rPr>
        <w:instrText xml:space="preserve"> </w:instrText>
      </w:r>
      <w:r w:rsidRPr="007555C2">
        <w:rPr>
          <w:rStyle w:val="aff0"/>
          <w:rFonts w:hint="cs"/>
        </w:rPr>
        <w:instrText>REF</w:instrText>
      </w:r>
      <w:r w:rsidRPr="007555C2">
        <w:rPr>
          <w:rStyle w:val="aff0"/>
          <w:rFonts w:hint="cs"/>
          <w:rtl/>
        </w:rPr>
        <w:instrText xml:space="preserve"> _</w:instrText>
      </w:r>
      <w:r w:rsidRPr="007555C2">
        <w:rPr>
          <w:rStyle w:val="aff0"/>
          <w:rFonts w:hint="cs"/>
        </w:rPr>
        <w:instrText>Ref137117572 \r \h</w:instrText>
      </w:r>
      <w:r w:rsidRPr="007555C2">
        <w:rPr>
          <w:rStyle w:val="aff0"/>
          <w:rtl/>
        </w:rPr>
        <w:instrText xml:space="preserve"> </w:instrText>
      </w:r>
      <w:r w:rsidRPr="007555C2">
        <w:rPr>
          <w:rStyle w:val="aff0"/>
          <w:rtl/>
        </w:rPr>
      </w:r>
      <w:r w:rsidRPr="007555C2">
        <w:rPr>
          <w:rStyle w:val="aff0"/>
          <w:rtl/>
        </w:rPr>
        <w:fldChar w:fldCharType="separate"/>
      </w:r>
      <w:r w:rsidR="00D82181">
        <w:rPr>
          <w:rStyle w:val="aff0"/>
          <w:cs/>
        </w:rPr>
        <w:t>‎</w:t>
      </w:r>
      <w:r w:rsidR="00D82181">
        <w:rPr>
          <w:rStyle w:val="aff0"/>
          <w:rtl/>
        </w:rPr>
        <w:t>מג)</w:t>
      </w:r>
      <w:r w:rsidRPr="007555C2">
        <w:rPr>
          <w:rStyle w:val="aff0"/>
          <w:rtl/>
        </w:rPr>
        <w:fldChar w:fldCharType="end"/>
      </w:r>
      <w:r w:rsidRPr="007555C2">
        <w:rPr>
          <w:rStyle w:val="af"/>
          <w:rFonts w:hint="cs"/>
          <w:rtl/>
        </w:rPr>
        <w:t xml:space="preserve"> כתב דמותר],</w:t>
      </w:r>
      <w:r>
        <w:rPr>
          <w:rFonts w:hint="cs"/>
          <w:rtl/>
        </w:rPr>
        <w:t xml:space="preserve"> וכתב </w:t>
      </w:r>
      <w:r w:rsidRPr="00956D50">
        <w:rPr>
          <w:rStyle w:val="aff4"/>
          <w:rFonts w:hint="cs"/>
          <w:vanish/>
          <w:rtl/>
        </w:rPr>
        <w:t>-</w:t>
      </w:r>
      <w:r w:rsidRPr="00BF56CC">
        <w:rPr>
          <w:rStyle w:val="aff4"/>
          <w:rFonts w:hint="cs"/>
          <w:rtl/>
        </w:rPr>
        <w:t>הפרמ"ג</w:t>
      </w:r>
      <w:r w:rsidRPr="00956D50">
        <w:rPr>
          <w:rStyle w:val="aff4"/>
          <w:rFonts w:hint="cs"/>
          <w:vanish/>
          <w:rtl/>
        </w:rPr>
        <w:t>-</w:t>
      </w:r>
      <w:r>
        <w:rPr>
          <w:rFonts w:hint="cs"/>
          <w:rtl/>
        </w:rPr>
        <w:t xml:space="preserve"> דאי נימא דבנפה אף בב' מינים חייב, יש להתספק בנפה במין אחד שיש בו גדולים וקטנים, עיי"ש בדבריו.</w:t>
      </w:r>
      <w:bookmarkEnd w:id="2415"/>
    </w:p>
    <w:p w14:paraId="5A0FEDC3" w14:textId="77777777" w:rsidR="00592982" w:rsidRPr="00747170" w:rsidRDefault="00592982" w:rsidP="00747170">
      <w:pPr>
        <w:pStyle w:val="a2"/>
      </w:pPr>
      <w:r w:rsidRPr="00747170">
        <w:rPr>
          <w:rtl/>
        </w:rPr>
        <w:t>גם שני מיני אוכלין ורוצה לאכול שתיהן באותה סעודה בנפה מהו, דאפשר אוכל מפסולת בנפה חייב לאלתר, לא שני מיני אוכלין. ואם תמצי לומר חייב, מין אחד יש בו גדולים וקטנים בכמותן, בנפה מהו.</w:t>
      </w:r>
    </w:p>
    <w:p w14:paraId="302130C6" w14:textId="14D61CE7" w:rsidR="00592982" w:rsidRDefault="00592982" w:rsidP="00592982">
      <w:pPr>
        <w:pStyle w:val="1"/>
        <w:rPr>
          <w:rtl/>
        </w:rPr>
      </w:pPr>
      <w:bookmarkStart w:id="2416" w:name="_Toc137741981"/>
      <w:r>
        <w:rPr>
          <w:rFonts w:hint="cs"/>
          <w:rtl/>
        </w:rPr>
        <w:t>בי' הביה"ל ברמב"ם דגדר בורר באוכל מאוכל בהפרדתם</w:t>
      </w:r>
      <w:bookmarkEnd w:id="2416"/>
    </w:p>
    <w:p w14:paraId="0458FB18" w14:textId="77777777" w:rsidR="00592982" w:rsidRDefault="00592982" w:rsidP="00592982">
      <w:pPr>
        <w:pStyle w:val="afffff7"/>
        <w:rPr>
          <w:rtl/>
        </w:rPr>
      </w:pPr>
      <w:bookmarkStart w:id="2417" w:name="_Toc137742063"/>
      <w:bookmarkStart w:id="2418" w:name="_Toc163505831"/>
      <w:r>
        <w:rPr>
          <w:rtl/>
        </w:rPr>
        <w:t>באור הלכה סי</w:t>
      </w:r>
      <w:r>
        <w:rPr>
          <w:rFonts w:hint="cs"/>
          <w:rtl/>
        </w:rPr>
        <w:t>'</w:t>
      </w:r>
      <w:r>
        <w:rPr>
          <w:rtl/>
        </w:rPr>
        <w:t xml:space="preserve"> שי</w:t>
      </w:r>
      <w:r>
        <w:rPr>
          <w:rFonts w:cs="Guttman Hodes" w:hint="cs"/>
          <w:rtl/>
        </w:rPr>
        <w:t>"</w:t>
      </w:r>
      <w:r>
        <w:rPr>
          <w:rtl/>
        </w:rPr>
        <w:t>ט</w:t>
      </w:r>
      <w:r>
        <w:rPr>
          <w:rFonts w:hint="cs"/>
          <w:rtl/>
        </w:rPr>
        <w:t xml:space="preserve"> א' ד</w:t>
      </w:r>
      <w:r>
        <w:rPr>
          <w:rFonts w:cs="Guttman Hodes" w:hint="cs"/>
          <w:rtl/>
        </w:rPr>
        <w:t>"</w:t>
      </w:r>
      <w:r>
        <w:rPr>
          <w:rFonts w:hint="cs"/>
          <w:rtl/>
        </w:rPr>
        <w:t>ה ובורר</w:t>
      </w:r>
      <w:bookmarkEnd w:id="2417"/>
      <w:bookmarkEnd w:id="2418"/>
    </w:p>
    <w:p w14:paraId="64A56F0E" w14:textId="77777777" w:rsidR="00592982" w:rsidRPr="00DA7171" w:rsidRDefault="00592982" w:rsidP="00592982">
      <w:pPr>
        <w:pStyle w:val="afffff7"/>
        <w:rPr>
          <w:rtl/>
        </w:rPr>
      </w:pPr>
      <w:bookmarkStart w:id="2419" w:name="_Toc137742064"/>
      <w:bookmarkStart w:id="2420" w:name="_Toc163505832"/>
      <w:r w:rsidRPr="00DA7171">
        <w:rPr>
          <w:rtl/>
        </w:rPr>
        <w:t>באור הלכה סי</w:t>
      </w:r>
      <w:r w:rsidRPr="00DA7171">
        <w:rPr>
          <w:rFonts w:hint="cs"/>
          <w:rtl/>
        </w:rPr>
        <w:t xml:space="preserve">' </w:t>
      </w:r>
      <w:r w:rsidRPr="00DA7171">
        <w:rPr>
          <w:rtl/>
        </w:rPr>
        <w:t>שי</w:t>
      </w:r>
      <w:r w:rsidRPr="00DA7171">
        <w:rPr>
          <w:rFonts w:cs="Guttman Hodes" w:hint="cs"/>
          <w:rtl/>
        </w:rPr>
        <w:t>"</w:t>
      </w:r>
      <w:r w:rsidRPr="00DA7171">
        <w:rPr>
          <w:rtl/>
        </w:rPr>
        <w:t>ט</w:t>
      </w:r>
      <w:r w:rsidRPr="00DA7171">
        <w:rPr>
          <w:rFonts w:hint="cs"/>
          <w:rtl/>
        </w:rPr>
        <w:t xml:space="preserve"> </w:t>
      </w:r>
      <w:r w:rsidRPr="00DA7171">
        <w:rPr>
          <w:rtl/>
        </w:rPr>
        <w:t>ג</w:t>
      </w:r>
      <w:r w:rsidRPr="00DA7171">
        <w:rPr>
          <w:rFonts w:hint="cs"/>
          <w:rtl/>
        </w:rPr>
        <w:t>' ד</w:t>
      </w:r>
      <w:r w:rsidRPr="00DA7171">
        <w:rPr>
          <w:rFonts w:cs="Guttman Hodes" w:hint="cs"/>
          <w:rtl/>
        </w:rPr>
        <w:t>"</w:t>
      </w:r>
      <w:r w:rsidRPr="00DA7171">
        <w:rPr>
          <w:rFonts w:hint="cs"/>
          <w:rtl/>
        </w:rPr>
        <w:t>ה היו</w:t>
      </w:r>
      <w:bookmarkEnd w:id="2419"/>
      <w:bookmarkEnd w:id="2420"/>
    </w:p>
    <w:p w14:paraId="39A253CA" w14:textId="77777777" w:rsidR="00592982" w:rsidRDefault="00592982" w:rsidP="00592982">
      <w:pPr>
        <w:pStyle w:val="a7"/>
        <w:rPr>
          <w:rtl/>
        </w:rPr>
      </w:pPr>
      <w:bookmarkStart w:id="2421" w:name="_Toc137741982"/>
      <w:r>
        <w:rPr>
          <w:rFonts w:hint="cs"/>
          <w:rtl/>
        </w:rPr>
        <w:t>בי' הביה"ל דמוכח ברמב"ם דגדר בורר הוא הפרדת המינים א' מהב' בכל אוכל מאוכל יש ברירה</w:t>
      </w:r>
      <w:bookmarkEnd w:id="2421"/>
      <w:r>
        <w:rPr>
          <w:rFonts w:hint="cs"/>
          <w:rtl/>
        </w:rPr>
        <w:t xml:space="preserve"> </w:t>
      </w:r>
    </w:p>
    <w:p w14:paraId="23752ED9" w14:textId="31D5B403" w:rsidR="00592982" w:rsidRPr="00C52C60" w:rsidRDefault="00592982" w:rsidP="00BC7DC8">
      <w:pPr>
        <w:pStyle w:val="a3"/>
        <w:rPr>
          <w:rtl/>
        </w:rPr>
      </w:pPr>
      <w:bookmarkStart w:id="2422" w:name="_Ref137140338"/>
      <w:r>
        <w:rPr>
          <w:rFonts w:hint="cs"/>
          <w:rtl/>
        </w:rPr>
        <w:t xml:space="preserve">אבל </w:t>
      </w:r>
      <w:r w:rsidRPr="00BE47C5">
        <w:rPr>
          <w:rStyle w:val="aff4"/>
          <w:rFonts w:hint="cs"/>
          <w:vanish/>
          <w:rtl/>
        </w:rPr>
        <w:t>-</w:t>
      </w:r>
      <w:r w:rsidRPr="00BF56CC">
        <w:rPr>
          <w:rStyle w:val="aff4"/>
          <w:rFonts w:hint="cs"/>
          <w:rtl/>
        </w:rPr>
        <w:t>ה</w:t>
      </w:r>
      <w:r w:rsidRPr="00BE47C5">
        <w:rPr>
          <w:rStyle w:val="aff4"/>
          <w:rFonts w:hint="cs"/>
          <w:vanish/>
          <w:rtl/>
        </w:rPr>
        <w:t xml:space="preserve">&lt;. </w:t>
      </w:r>
      <w:r w:rsidRPr="00BE47C5">
        <w:rPr>
          <w:rStyle w:val="aff4"/>
          <w:vanish/>
          <w:rtl/>
        </w:rPr>
        <w:fldChar w:fldCharType="begin"/>
      </w:r>
      <w:r w:rsidRPr="00BE47C5">
        <w:rPr>
          <w:rStyle w:val="aff4"/>
          <w:vanish/>
          <w:rtl/>
        </w:rPr>
        <w:instrText xml:space="preserve"> </w:instrText>
      </w:r>
      <w:r w:rsidRPr="00BE47C5">
        <w:rPr>
          <w:rStyle w:val="aff4"/>
          <w:rFonts w:hint="cs"/>
          <w:vanish/>
        </w:rPr>
        <w:instrText>REF</w:instrText>
      </w:r>
      <w:r w:rsidRPr="00BE47C5">
        <w:rPr>
          <w:rStyle w:val="aff4"/>
          <w:rFonts w:hint="cs"/>
          <w:vanish/>
          <w:rtl/>
        </w:rPr>
        <w:instrText xml:space="preserve"> _</w:instrText>
      </w:r>
      <w:r w:rsidRPr="00BE47C5">
        <w:rPr>
          <w:rStyle w:val="aff4"/>
          <w:rFonts w:hint="cs"/>
          <w:vanish/>
        </w:rPr>
        <w:instrText>Ref137140338 \r \h</w:instrText>
      </w:r>
      <w:r w:rsidRPr="00BE47C5">
        <w:rPr>
          <w:rStyle w:val="aff4"/>
          <w:vanish/>
          <w:rtl/>
        </w:rPr>
        <w:instrText xml:space="preserve"> </w:instrText>
      </w:r>
      <w:r w:rsidRPr="00BE47C5">
        <w:rPr>
          <w:rStyle w:val="aff4"/>
          <w:vanish/>
          <w:rtl/>
        </w:rPr>
      </w:r>
      <w:r w:rsidRPr="00BE47C5">
        <w:rPr>
          <w:rStyle w:val="aff4"/>
          <w:vanish/>
          <w:rtl/>
        </w:rPr>
        <w:fldChar w:fldCharType="separate"/>
      </w:r>
      <w:r w:rsidR="00D82181">
        <w:rPr>
          <w:rStyle w:val="aff4"/>
          <w:vanish/>
          <w:cs/>
        </w:rPr>
        <w:t>‎</w:t>
      </w:r>
      <w:r w:rsidR="00D82181">
        <w:rPr>
          <w:rStyle w:val="aff4"/>
          <w:vanish/>
          <w:rtl/>
        </w:rPr>
        <w:t>מח)</w:t>
      </w:r>
      <w:r w:rsidRPr="00BE47C5">
        <w:rPr>
          <w:rStyle w:val="aff4"/>
          <w:vanish/>
          <w:rtl/>
        </w:rPr>
        <w:fldChar w:fldCharType="end"/>
      </w:r>
      <w:r w:rsidRPr="00BE47C5">
        <w:rPr>
          <w:rStyle w:val="aff4"/>
          <w:rFonts w:hint="cs"/>
          <w:vanish/>
          <w:rtl/>
        </w:rPr>
        <w:t xml:space="preserve"> &gt;</w:t>
      </w:r>
      <w:r w:rsidRPr="00BF56CC">
        <w:rPr>
          <w:rStyle w:val="aff4"/>
          <w:rFonts w:hint="cs"/>
          <w:rtl/>
        </w:rPr>
        <w:t>ביה"ל</w:t>
      </w:r>
      <w:r w:rsidRPr="00BE47C5">
        <w:rPr>
          <w:rStyle w:val="aff4"/>
          <w:rFonts w:hint="cs"/>
          <w:vanish/>
          <w:rtl/>
        </w:rPr>
        <w:t>-</w:t>
      </w:r>
      <w:r>
        <w:rPr>
          <w:rFonts w:hint="cs"/>
          <w:rtl/>
        </w:rPr>
        <w:t xml:space="preserve"> </w:t>
      </w:r>
      <w:r w:rsidRPr="00D16BB6">
        <w:rPr>
          <w:rStyle w:val="af2"/>
          <w:rFonts w:eastAsia="Guttman Hodes" w:hint="cs"/>
          <w:rtl/>
        </w:rPr>
        <w:t>(סי' שי"ט א' ד"ה ובורר)</w:t>
      </w:r>
      <w:r w:rsidRPr="00BE47C5">
        <w:rPr>
          <w:rFonts w:hint="cs"/>
          <w:vanish/>
          <w:rtl/>
        </w:rPr>
        <w:t>=</w:t>
      </w:r>
      <w:r>
        <w:rPr>
          <w:rFonts w:hint="cs"/>
          <w:rtl/>
        </w:rPr>
        <w:t xml:space="preserve"> כתב דמדברי </w:t>
      </w:r>
      <w:r w:rsidRPr="00BE47C5">
        <w:rPr>
          <w:rStyle w:val="aff4"/>
          <w:rFonts w:hint="cs"/>
          <w:vanish/>
          <w:rtl/>
        </w:rPr>
        <w:t>-</w:t>
      </w:r>
      <w:r w:rsidRPr="00BF56CC">
        <w:rPr>
          <w:rStyle w:val="aff4"/>
          <w:rFonts w:hint="cs"/>
          <w:rtl/>
        </w:rPr>
        <w:t>הרמב"ם</w:t>
      </w:r>
      <w:r w:rsidRPr="00BE47C5">
        <w:rPr>
          <w:rStyle w:val="aff4"/>
          <w:rFonts w:hint="cs"/>
          <w:vanish/>
          <w:rtl/>
        </w:rPr>
        <w:t>-</w:t>
      </w:r>
      <w:r>
        <w:rPr>
          <w:rFonts w:hint="cs"/>
          <w:rtl/>
        </w:rPr>
        <w:t xml:space="preserve"> </w:t>
      </w:r>
      <w:r w:rsidRPr="00D16BB6">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Ref137673024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לו)</w:t>
      </w:r>
      <w:r>
        <w:rPr>
          <w:rStyle w:val="af2"/>
          <w:rFonts w:eastAsia="Guttman Hodes"/>
          <w:rtl/>
        </w:rPr>
        <w:fldChar w:fldCharType="end"/>
      </w:r>
      <w:r>
        <w:rPr>
          <w:rFonts w:hint="cs"/>
          <w:rtl/>
        </w:rPr>
        <w:t xml:space="preserve"> משמע דעיקר החיוב בב' מינים הוא כיון שבורר מין אחד מהשני, וא"כ כל שבורר בנפה וכברה לעולם חייב,</w:t>
      </w:r>
      <w:r w:rsidRPr="00195002">
        <w:rPr>
          <w:rFonts w:hint="cs"/>
          <w:rtl/>
        </w:rPr>
        <w:t xml:space="preserve"> </w:t>
      </w:r>
      <w:r>
        <w:rPr>
          <w:rFonts w:hint="cs"/>
          <w:rtl/>
        </w:rPr>
        <w:t xml:space="preserve">בין אם ברר את המין שרוצה ובין אם ברר את המין שאינו רוצה, ודלא כספק </w:t>
      </w:r>
      <w:r w:rsidRPr="00BE47C5">
        <w:rPr>
          <w:rStyle w:val="aff4"/>
          <w:rFonts w:hint="cs"/>
          <w:vanish/>
          <w:rtl/>
        </w:rPr>
        <w:t>-</w:t>
      </w:r>
      <w:r w:rsidRPr="00BF56CC">
        <w:rPr>
          <w:rStyle w:val="aff4"/>
          <w:rFonts w:hint="cs"/>
          <w:rtl/>
        </w:rPr>
        <w:t>הפרמ"ג</w:t>
      </w:r>
      <w:r w:rsidRPr="00BE47C5">
        <w:rPr>
          <w:rStyle w:val="aff4"/>
          <w:rFonts w:hint="cs"/>
          <w:vanish/>
          <w:rtl/>
        </w:rPr>
        <w:t>-</w:t>
      </w:r>
      <w:r>
        <w:rPr>
          <w:rFonts w:hint="cs"/>
          <w:rtl/>
        </w:rPr>
        <w:t xml:space="preserve"> </w:t>
      </w:r>
      <w:r w:rsidRPr="00D16BB6">
        <w:rPr>
          <w:rStyle w:val="af2"/>
          <w:rFonts w:eastAsia="Guttman Hodes" w:hint="cs"/>
          <w:rtl/>
        </w:rPr>
        <w:t xml:space="preserve">(עי' אות </w:t>
      </w:r>
      <w:r w:rsidRPr="00D16BB6">
        <w:rPr>
          <w:rStyle w:val="af2"/>
          <w:rFonts w:eastAsia="Guttman Hodes"/>
          <w:rtl/>
        </w:rPr>
        <w:fldChar w:fldCharType="begin"/>
      </w:r>
      <w:r w:rsidRPr="00D16BB6">
        <w:rPr>
          <w:rStyle w:val="af2"/>
          <w:rFonts w:eastAsia="Guttman Hodes"/>
          <w:rtl/>
        </w:rPr>
        <w:instrText xml:space="preserve"> </w:instrText>
      </w:r>
      <w:r w:rsidRPr="00D16BB6">
        <w:rPr>
          <w:rStyle w:val="af2"/>
          <w:rFonts w:eastAsia="Guttman Hodes" w:hint="cs"/>
        </w:rPr>
        <w:instrText>REF</w:instrText>
      </w:r>
      <w:r w:rsidRPr="00D16BB6">
        <w:rPr>
          <w:rStyle w:val="af2"/>
          <w:rFonts w:eastAsia="Guttman Hodes" w:hint="cs"/>
          <w:rtl/>
        </w:rPr>
        <w:instrText xml:space="preserve"> _</w:instrText>
      </w:r>
      <w:r w:rsidRPr="00D16BB6">
        <w:rPr>
          <w:rStyle w:val="af2"/>
          <w:rFonts w:eastAsia="Guttman Hodes" w:hint="cs"/>
        </w:rPr>
        <w:instrText>Ref137118775 \r \h</w:instrText>
      </w:r>
      <w:r w:rsidRPr="00D16BB6">
        <w:rPr>
          <w:rStyle w:val="af2"/>
          <w:rFonts w:eastAsia="Guttman Hodes"/>
          <w:rtl/>
        </w:rPr>
        <w:instrText xml:space="preserve"> </w:instrText>
      </w:r>
      <w:r w:rsidRPr="00D16BB6">
        <w:rPr>
          <w:rStyle w:val="af2"/>
          <w:rFonts w:eastAsia="Guttman Hodes"/>
          <w:rtl/>
        </w:rPr>
      </w:r>
      <w:r w:rsidRPr="00D16BB6">
        <w:rPr>
          <w:rStyle w:val="af2"/>
          <w:rFonts w:eastAsia="Guttman Hodes"/>
          <w:rtl/>
        </w:rPr>
        <w:fldChar w:fldCharType="separate"/>
      </w:r>
      <w:r w:rsidR="00D82181">
        <w:rPr>
          <w:rStyle w:val="af2"/>
          <w:rFonts w:eastAsia="Guttman Hodes"/>
          <w:cs/>
        </w:rPr>
        <w:t>‎</w:t>
      </w:r>
      <w:r w:rsidR="00D82181">
        <w:rPr>
          <w:rStyle w:val="af2"/>
          <w:rFonts w:eastAsia="Guttman Hodes"/>
          <w:rtl/>
        </w:rPr>
        <w:t>מז)</w:t>
      </w:r>
      <w:r w:rsidRPr="00D16BB6">
        <w:rPr>
          <w:rStyle w:val="af2"/>
          <w:rFonts w:eastAsia="Guttman Hodes"/>
          <w:rtl/>
        </w:rPr>
        <w:fldChar w:fldCharType="end"/>
      </w:r>
      <w:r>
        <w:rPr>
          <w:rFonts w:hint="cs"/>
          <w:rtl/>
        </w:rPr>
        <w:t xml:space="preserve"> בבורר ב' מינים בנפה לאלתר, וכן במה שהסתפק </w:t>
      </w:r>
      <w:r w:rsidRPr="00BE47C5">
        <w:rPr>
          <w:rStyle w:val="aff4"/>
          <w:rFonts w:hint="cs"/>
          <w:vanish/>
          <w:rtl/>
        </w:rPr>
        <w:t>-</w:t>
      </w:r>
      <w:r w:rsidRPr="00BF56CC">
        <w:rPr>
          <w:rStyle w:val="aff4"/>
          <w:rFonts w:hint="cs"/>
          <w:rtl/>
        </w:rPr>
        <w:t>הפרמ"ג</w:t>
      </w:r>
      <w:r w:rsidRPr="00BE47C5">
        <w:rPr>
          <w:rStyle w:val="aff4"/>
          <w:rFonts w:hint="cs"/>
          <w:vanish/>
          <w:rtl/>
        </w:rPr>
        <w:t>-</w:t>
      </w:r>
      <w:r>
        <w:rPr>
          <w:rFonts w:hint="cs"/>
          <w:rtl/>
        </w:rPr>
        <w:t xml:space="preserve"> </w:t>
      </w:r>
      <w:r w:rsidRPr="00D16BB6">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Ref137722592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מד)</w:t>
      </w:r>
      <w:r>
        <w:rPr>
          <w:rStyle w:val="af2"/>
          <w:rFonts w:eastAsia="Guttman Hodes"/>
          <w:rtl/>
        </w:rPr>
        <w:fldChar w:fldCharType="end"/>
      </w:r>
      <w:r>
        <w:rPr>
          <w:rFonts w:hint="cs"/>
          <w:rtl/>
        </w:rPr>
        <w:t xml:space="preserve"> בבורר ב' מינים לאח"ז, כתב </w:t>
      </w:r>
      <w:r w:rsidRPr="00BE47C5">
        <w:rPr>
          <w:rStyle w:val="aff4"/>
          <w:rFonts w:hint="cs"/>
          <w:vanish/>
          <w:rtl/>
        </w:rPr>
        <w:t>-</w:t>
      </w:r>
      <w:r w:rsidRPr="00BF56CC">
        <w:rPr>
          <w:rStyle w:val="aff4"/>
          <w:rFonts w:hint="cs"/>
          <w:rtl/>
        </w:rPr>
        <w:t>ה</w:t>
      </w:r>
      <w:r w:rsidRPr="00BE47C5">
        <w:rPr>
          <w:rStyle w:val="aff4"/>
          <w:rFonts w:hint="cs"/>
          <w:vanish/>
          <w:rtl/>
        </w:rPr>
        <w:t>&lt; &gt;</w:t>
      </w:r>
      <w:r w:rsidRPr="00BF56CC">
        <w:rPr>
          <w:rStyle w:val="aff4"/>
          <w:rFonts w:hint="cs"/>
          <w:rtl/>
        </w:rPr>
        <w:t>ביה"ל</w:t>
      </w:r>
      <w:r w:rsidRPr="00BE47C5">
        <w:rPr>
          <w:rStyle w:val="aff4"/>
          <w:rFonts w:hint="cs"/>
          <w:vanish/>
          <w:rtl/>
        </w:rPr>
        <w:t>-</w:t>
      </w:r>
      <w:r>
        <w:rPr>
          <w:rFonts w:hint="cs"/>
          <w:rtl/>
        </w:rPr>
        <w:t xml:space="preserve"> </w:t>
      </w:r>
      <w:r w:rsidRPr="00D16BB6">
        <w:rPr>
          <w:rStyle w:val="af2"/>
          <w:rFonts w:eastAsia="Guttman Hodes" w:hint="cs"/>
          <w:rtl/>
        </w:rPr>
        <w:t>(סי' שי"ט ג' ד"ה היו)</w:t>
      </w:r>
      <w:r w:rsidRPr="00BE47C5">
        <w:rPr>
          <w:rFonts w:hint="cs"/>
          <w:vanish/>
          <w:rtl/>
        </w:rPr>
        <w:t>=</w:t>
      </w:r>
      <w:r>
        <w:rPr>
          <w:rFonts w:hint="cs"/>
          <w:rtl/>
        </w:rPr>
        <w:t xml:space="preserve"> </w:t>
      </w:r>
      <w:r w:rsidRPr="008A539A">
        <w:rPr>
          <w:rtl/>
        </w:rPr>
        <w:t xml:space="preserve">דמדברי </w:t>
      </w:r>
      <w:r w:rsidRPr="00BE47C5">
        <w:rPr>
          <w:rStyle w:val="aff4"/>
          <w:vanish/>
          <w:rtl/>
        </w:rPr>
        <w:t>-</w:t>
      </w:r>
      <w:r w:rsidRPr="00BF56CC">
        <w:rPr>
          <w:rStyle w:val="aff4"/>
          <w:rFonts w:hint="cs"/>
          <w:rtl/>
        </w:rPr>
        <w:t>הרמב"ם</w:t>
      </w:r>
      <w:r w:rsidRPr="00BE47C5">
        <w:rPr>
          <w:rStyle w:val="aff4"/>
          <w:vanish/>
          <w:rtl/>
        </w:rPr>
        <w:t>-</w:t>
      </w:r>
      <w:r w:rsidRPr="008A539A">
        <w:rPr>
          <w:rtl/>
        </w:rPr>
        <w:t xml:space="preserve"> </w:t>
      </w:r>
      <w:r w:rsidRPr="00D16BB6">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Ref137673024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לו)</w:t>
      </w:r>
      <w:r>
        <w:rPr>
          <w:rStyle w:val="af2"/>
          <w:rFonts w:eastAsia="Guttman Hodes"/>
          <w:rtl/>
        </w:rPr>
        <w:fldChar w:fldCharType="end"/>
      </w:r>
      <w:r w:rsidRPr="008A539A">
        <w:rPr>
          <w:rtl/>
        </w:rPr>
        <w:t xml:space="preserve"> משמע דעיקר החיוב בב' מינים שבורר אחד מהשני, </w:t>
      </w:r>
      <w:r>
        <w:rPr>
          <w:rFonts w:hint="cs"/>
          <w:rtl/>
        </w:rPr>
        <w:t>ו</w:t>
      </w:r>
      <w:r w:rsidRPr="008A539A">
        <w:rPr>
          <w:rtl/>
        </w:rPr>
        <w:t>עי</w:t>
      </w:r>
      <w:r w:rsidRPr="008A539A">
        <w:rPr>
          <w:rFonts w:hint="cs"/>
          <w:rtl/>
        </w:rPr>
        <w:t>"</w:t>
      </w:r>
      <w:r w:rsidRPr="008A539A">
        <w:rPr>
          <w:rtl/>
        </w:rPr>
        <w:t>ז נעשה כל מין בפנ</w:t>
      </w:r>
      <w:r w:rsidRPr="008A539A">
        <w:rPr>
          <w:rFonts w:hint="cs"/>
          <w:rtl/>
        </w:rPr>
        <w:t>"</w:t>
      </w:r>
      <w:r w:rsidRPr="008A539A">
        <w:rPr>
          <w:rtl/>
        </w:rPr>
        <w:t>ע וזוהי עצם מלאכת בורר,</w:t>
      </w:r>
      <w:r>
        <w:rPr>
          <w:rFonts w:hint="cs"/>
          <w:rtl/>
        </w:rPr>
        <w:t xml:space="preserve"> וההיתר לאכול לאלתר הוא כיון דהוא דרך אכילה, אבל במניח לאח"ז כיון דברוצה מין אחד ומניח אחד הוי ברירה כ"ש ברוצה את ב' המינים לאח"ז ובורר כל מין לעצמו דהוי ברירה, וביאר </w:t>
      </w:r>
      <w:r w:rsidRPr="00BE47C5">
        <w:rPr>
          <w:rStyle w:val="aff4"/>
          <w:rFonts w:hint="cs"/>
          <w:vanish/>
          <w:rtl/>
        </w:rPr>
        <w:t>-</w:t>
      </w:r>
      <w:r w:rsidRPr="00BF56CC">
        <w:rPr>
          <w:rStyle w:val="aff4"/>
          <w:rFonts w:hint="cs"/>
          <w:rtl/>
        </w:rPr>
        <w:t>ה</w:t>
      </w:r>
      <w:r w:rsidRPr="00BE47C5">
        <w:rPr>
          <w:rStyle w:val="aff4"/>
          <w:rFonts w:hint="cs"/>
          <w:vanish/>
          <w:rtl/>
        </w:rPr>
        <w:t>&lt; &gt;</w:t>
      </w:r>
      <w:r w:rsidRPr="00BF56CC">
        <w:rPr>
          <w:rStyle w:val="aff4"/>
          <w:rFonts w:hint="cs"/>
          <w:rtl/>
        </w:rPr>
        <w:t>ביה"ל</w:t>
      </w:r>
      <w:r w:rsidRPr="00BE47C5">
        <w:rPr>
          <w:rStyle w:val="aff4"/>
          <w:rFonts w:hint="cs"/>
          <w:vanish/>
          <w:rtl/>
        </w:rPr>
        <w:t>-</w:t>
      </w:r>
      <w:r>
        <w:rPr>
          <w:rFonts w:hint="cs"/>
          <w:rtl/>
        </w:rPr>
        <w:t xml:space="preserve"> </w:t>
      </w:r>
      <w:r w:rsidRPr="00D16BB6">
        <w:rPr>
          <w:rStyle w:val="af2"/>
          <w:rFonts w:eastAsia="Guttman Hodes" w:hint="cs"/>
          <w:rtl/>
        </w:rPr>
        <w:t>(סי' שי"ט ג' סוד"ה היו)</w:t>
      </w:r>
      <w:r w:rsidRPr="00BE47C5">
        <w:rPr>
          <w:rFonts w:hint="cs"/>
          <w:vanish/>
          <w:rtl/>
        </w:rPr>
        <w:t>=</w:t>
      </w:r>
      <w:r>
        <w:rPr>
          <w:rFonts w:hint="cs"/>
          <w:rtl/>
        </w:rPr>
        <w:t xml:space="preserve"> דבכה"ג הוא מתקן כל מין בפנ"ע וודאי דהוי בורר.</w:t>
      </w:r>
      <w:bookmarkEnd w:id="2422"/>
    </w:p>
    <w:p w14:paraId="6192F2BA" w14:textId="77777777" w:rsidR="00592982" w:rsidRPr="00747170" w:rsidRDefault="00592982" w:rsidP="00747170">
      <w:pPr>
        <w:pStyle w:val="a2"/>
      </w:pPr>
      <w:r w:rsidRPr="00747170">
        <w:rPr>
          <w:rtl/>
        </w:rPr>
        <w:t xml:space="preserve">* ובורר מין ממין אחר וכו' - לענין חיובא דנפה וכברה אין חילוק בין אם בירר אותו המין שהיה רוצה לאכול והמין השני נשאר על מקומו או להיפוך [וכן כשדעתו לאכול שניהם לאלתר והפמ"ג מסתפק בזה ולא נהירא דמשמע מלשון הר"מ דעיקר חיובא הוא מחמת שבירר מין ממין ועיין מה שכתבנו לקמן עוד בכגון זה] </w:t>
      </w:r>
      <w:r w:rsidRPr="00747170">
        <w:rPr>
          <w:rStyle w:val="afff7"/>
          <w:rtl/>
        </w:rPr>
        <w:t>אבל לענין התירא כשבירר בידו אינו מותר רק כשבירר אותו המין שרוצה לאכול ולא להיפוך כי זה המין חשוב כאוכל והשני חשוב כפסולת כ"ז ביארנו לפי דעת הרמ"א לקמן בס"ג ועיין מה שכתבנו שם:</w:t>
      </w:r>
      <w:r w:rsidRPr="00747170">
        <w:rPr>
          <w:rFonts w:hint="cs"/>
          <w:rtl/>
        </w:rPr>
        <w:t xml:space="preserve"> </w:t>
      </w:r>
    </w:p>
    <w:p w14:paraId="5D76B6BD" w14:textId="77777777" w:rsidR="00592982" w:rsidRPr="00C61A8D" w:rsidRDefault="00592982" w:rsidP="00747170">
      <w:pPr>
        <w:pStyle w:val="afffff5"/>
        <w:rPr>
          <w:rtl/>
        </w:rPr>
      </w:pPr>
      <w:r w:rsidRPr="00C61A8D">
        <w:rPr>
          <w:rtl/>
        </w:rPr>
        <w:t>* היו לפניו וכו' - הנה הפמ"ג מסתפק דאם בירר מין אחד מחבירו ודעתו להניח שניהם אלאחר זמן אם שייך בזה ברירה דהי אוכל והי פסולת ע"ש ולענ"ד נראה פשוט מלשון הרמב"ם דס"ל דהברירה מה שבורר מין אחד מחבירו ועי"ז הוא כל מין בפ"ע זהו עצם המלאכה אלא דאם דעתו לאכול תיכף והוא בידו הוי דרך מאכל וא"כ ק"ו הדבר ומה היכא שהניח מין אחד על מקומו שייך שם ברירה וכ"ש בזה שלקח כל מין ומין וביררו לעצמו דחייב</w:t>
      </w:r>
      <w:r w:rsidRPr="00C61A8D">
        <w:rPr>
          <w:rFonts w:hint="cs"/>
          <w:rtl/>
        </w:rPr>
        <w:t>.</w:t>
      </w:r>
    </w:p>
    <w:p w14:paraId="2E4D6374" w14:textId="55E67977" w:rsidR="00592982" w:rsidRDefault="00592982" w:rsidP="00592982">
      <w:pPr>
        <w:pStyle w:val="afffff7"/>
        <w:rPr>
          <w:rtl/>
        </w:rPr>
      </w:pPr>
      <w:bookmarkStart w:id="2423" w:name="_Toc137742065"/>
      <w:bookmarkStart w:id="2424" w:name="_Toc163505833"/>
      <w:r w:rsidRPr="00FA265A">
        <w:rPr>
          <w:rtl/>
        </w:rPr>
        <w:t>באור הלכה סי</w:t>
      </w:r>
      <w:r w:rsidRPr="00FA265A">
        <w:rPr>
          <w:rFonts w:hint="cs"/>
          <w:rtl/>
        </w:rPr>
        <w:t xml:space="preserve">' </w:t>
      </w:r>
      <w:r w:rsidRPr="00FA265A">
        <w:rPr>
          <w:rtl/>
        </w:rPr>
        <w:t>שי</w:t>
      </w:r>
      <w:r w:rsidRPr="00FA265A">
        <w:rPr>
          <w:rFonts w:hint="cs"/>
          <w:rtl/>
        </w:rPr>
        <w:t>"</w:t>
      </w:r>
      <w:r w:rsidRPr="00FA265A">
        <w:rPr>
          <w:rtl/>
        </w:rPr>
        <w:t>ט</w:t>
      </w:r>
      <w:r w:rsidRPr="00FA265A">
        <w:rPr>
          <w:rFonts w:hint="cs"/>
          <w:rtl/>
        </w:rPr>
        <w:t xml:space="preserve"> </w:t>
      </w:r>
      <w:r w:rsidRPr="00FA265A">
        <w:rPr>
          <w:rtl/>
        </w:rPr>
        <w:t>ג</w:t>
      </w:r>
      <w:r w:rsidRPr="00FA265A">
        <w:rPr>
          <w:rFonts w:hint="cs"/>
          <w:rtl/>
        </w:rPr>
        <w:t xml:space="preserve">' ד"ה </w:t>
      </w:r>
      <w:r>
        <w:rPr>
          <w:rFonts w:hint="cs"/>
          <w:rtl/>
        </w:rPr>
        <w:t>ומניח</w:t>
      </w:r>
      <w:bookmarkEnd w:id="2423"/>
      <w:bookmarkEnd w:id="2424"/>
    </w:p>
    <w:p w14:paraId="69ED171B" w14:textId="77777777" w:rsidR="00592982" w:rsidRDefault="00592982" w:rsidP="00592982">
      <w:pPr>
        <w:pStyle w:val="afffff7"/>
        <w:rPr>
          <w:rtl/>
        </w:rPr>
      </w:pPr>
      <w:bookmarkStart w:id="2425" w:name="_Toc137742066"/>
      <w:bookmarkStart w:id="2426" w:name="_Toc163505834"/>
      <w:r>
        <w:rPr>
          <w:rtl/>
        </w:rPr>
        <w:t>מאמר מרדכי סי</w:t>
      </w:r>
      <w:r>
        <w:rPr>
          <w:rFonts w:hint="cs"/>
          <w:rtl/>
        </w:rPr>
        <w:t xml:space="preserve">' </w:t>
      </w:r>
      <w:r>
        <w:rPr>
          <w:rtl/>
        </w:rPr>
        <w:t>שי</w:t>
      </w:r>
      <w:r>
        <w:rPr>
          <w:rFonts w:hint="cs"/>
          <w:rtl/>
        </w:rPr>
        <w:t>"</w:t>
      </w:r>
      <w:r>
        <w:rPr>
          <w:rtl/>
        </w:rPr>
        <w:t>ט סק</w:t>
      </w:r>
      <w:r>
        <w:rPr>
          <w:rFonts w:hint="cs"/>
          <w:rtl/>
        </w:rPr>
        <w:t>"</w:t>
      </w:r>
      <w:r>
        <w:rPr>
          <w:rtl/>
        </w:rPr>
        <w:t>ד</w:t>
      </w:r>
      <w:bookmarkEnd w:id="2425"/>
      <w:bookmarkEnd w:id="2426"/>
    </w:p>
    <w:p w14:paraId="479C48F7" w14:textId="77777777" w:rsidR="00592982" w:rsidRDefault="00592982" w:rsidP="00592982">
      <w:pPr>
        <w:pStyle w:val="afffff7"/>
        <w:rPr>
          <w:rtl/>
        </w:rPr>
      </w:pPr>
      <w:bookmarkStart w:id="2427" w:name="_Toc137742067"/>
      <w:bookmarkStart w:id="2428" w:name="_Toc163505835"/>
      <w:r>
        <w:rPr>
          <w:rFonts w:hint="cs"/>
          <w:rtl/>
        </w:rPr>
        <w:t>רבינו</w:t>
      </w:r>
      <w:r>
        <w:rPr>
          <w:rtl/>
        </w:rPr>
        <w:t xml:space="preserve"> דוד עראמה </w:t>
      </w:r>
      <w:r>
        <w:rPr>
          <w:rFonts w:hint="cs"/>
          <w:rtl/>
        </w:rPr>
        <w:t>על הרמב"ם שבת פ"ח הי"ג</w:t>
      </w:r>
      <w:bookmarkEnd w:id="2427"/>
      <w:bookmarkEnd w:id="2428"/>
    </w:p>
    <w:p w14:paraId="51A8039F" w14:textId="77777777" w:rsidR="00592982" w:rsidRDefault="00592982" w:rsidP="00592982">
      <w:pPr>
        <w:pStyle w:val="a7"/>
        <w:rPr>
          <w:rtl/>
        </w:rPr>
      </w:pPr>
      <w:bookmarkStart w:id="2429" w:name="_Toc137741983"/>
      <w:r>
        <w:rPr>
          <w:rFonts w:hint="cs"/>
          <w:rtl/>
        </w:rPr>
        <w:t>בי' הביה"ל בשם הרד"ע ברמב"ם דבנוטל את המין שרוצה לאח"ז מותר דל"ה פסולת ממש</w:t>
      </w:r>
      <w:bookmarkEnd w:id="2429"/>
    </w:p>
    <w:p w14:paraId="359FC713" w14:textId="4EA888BD" w:rsidR="00592982" w:rsidRDefault="00592982" w:rsidP="00BC7DC8">
      <w:pPr>
        <w:pStyle w:val="a3"/>
        <w:rPr>
          <w:rtl/>
        </w:rPr>
      </w:pPr>
      <w:bookmarkStart w:id="2430" w:name="_Ref137574559"/>
      <w:r>
        <w:rPr>
          <w:rFonts w:hint="cs"/>
          <w:rtl/>
        </w:rPr>
        <w:t xml:space="preserve">אך כתב </w:t>
      </w:r>
      <w:r w:rsidRPr="00BE47C5">
        <w:rPr>
          <w:rStyle w:val="aff4"/>
          <w:rFonts w:hint="cs"/>
          <w:vanish/>
          <w:rtl/>
        </w:rPr>
        <w:t>-</w:t>
      </w:r>
      <w:r w:rsidRPr="00BF56CC">
        <w:rPr>
          <w:rStyle w:val="aff4"/>
          <w:rFonts w:hint="cs"/>
          <w:rtl/>
        </w:rPr>
        <w:t>ה</w:t>
      </w:r>
      <w:r w:rsidRPr="00BE47C5">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Ref137574559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מט)</w:t>
      </w:r>
      <w:r>
        <w:rPr>
          <w:rStyle w:val="aff4"/>
          <w:vanish/>
          <w:rtl/>
        </w:rPr>
        <w:fldChar w:fldCharType="end"/>
      </w:r>
      <w:r w:rsidRPr="00BE47C5">
        <w:rPr>
          <w:rStyle w:val="aff4"/>
          <w:rFonts w:hint="cs"/>
          <w:vanish/>
          <w:rtl/>
        </w:rPr>
        <w:t xml:space="preserve"> &gt;</w:t>
      </w:r>
      <w:r w:rsidRPr="00BF56CC">
        <w:rPr>
          <w:rStyle w:val="aff4"/>
          <w:rFonts w:hint="cs"/>
          <w:rtl/>
        </w:rPr>
        <w:t>ביה"ל</w:t>
      </w:r>
      <w:r w:rsidRPr="00BE47C5">
        <w:rPr>
          <w:rStyle w:val="aff4"/>
          <w:rFonts w:hint="cs"/>
          <w:vanish/>
          <w:rtl/>
        </w:rPr>
        <w:t>-</w:t>
      </w:r>
      <w:r>
        <w:rPr>
          <w:rFonts w:hint="cs"/>
          <w:rtl/>
        </w:rPr>
        <w:t xml:space="preserve"> </w:t>
      </w:r>
      <w:r w:rsidRPr="00D16BB6">
        <w:rPr>
          <w:rStyle w:val="af2"/>
          <w:rFonts w:eastAsia="Guttman Hodes" w:hint="cs"/>
          <w:rtl/>
        </w:rPr>
        <w:t>(סי' שי"ט ג' ד"ה ומניח)</w:t>
      </w:r>
      <w:r w:rsidRPr="00BE47C5">
        <w:rPr>
          <w:rFonts w:hint="cs"/>
          <w:vanish/>
          <w:rtl/>
        </w:rPr>
        <w:t>=</w:t>
      </w:r>
      <w:r>
        <w:rPr>
          <w:rFonts w:hint="cs"/>
          <w:rtl/>
        </w:rPr>
        <w:t xml:space="preserve"> דאף דבפשטות </w:t>
      </w:r>
      <w:r w:rsidRPr="00BE47C5">
        <w:rPr>
          <w:rStyle w:val="aff4"/>
          <w:rFonts w:hint="cs"/>
          <w:vanish/>
          <w:rtl/>
        </w:rPr>
        <w:t>-</w:t>
      </w:r>
      <w:r w:rsidRPr="00BF56CC">
        <w:rPr>
          <w:rStyle w:val="aff4"/>
          <w:rFonts w:hint="cs"/>
          <w:rtl/>
        </w:rPr>
        <w:t>הרמב"ם</w:t>
      </w:r>
      <w:r w:rsidRPr="00BE47C5">
        <w:rPr>
          <w:rStyle w:val="aff4"/>
          <w:rFonts w:hint="cs"/>
          <w:vanish/>
          <w:rtl/>
        </w:rPr>
        <w:t>-</w:t>
      </w:r>
      <w:r>
        <w:rPr>
          <w:rFonts w:hint="cs"/>
          <w:rtl/>
        </w:rPr>
        <w:t xml:space="preserve"> </w:t>
      </w:r>
      <w:r w:rsidRPr="00D16BB6">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Ref137673024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לו)</w:t>
      </w:r>
      <w:r>
        <w:rPr>
          <w:rStyle w:val="af2"/>
          <w:rFonts w:eastAsia="Guttman Hodes"/>
          <w:rtl/>
        </w:rPr>
        <w:fldChar w:fldCharType="end"/>
      </w:r>
      <w:r>
        <w:rPr>
          <w:rStyle w:val="af2"/>
          <w:rFonts w:eastAsia="Guttman Hodes" w:hint="cs"/>
          <w:rtl/>
        </w:rPr>
        <w:t xml:space="preserve"> </w:t>
      </w:r>
      <w:r>
        <w:rPr>
          <w:rFonts w:hint="cs"/>
          <w:rtl/>
        </w:rPr>
        <w:t xml:space="preserve">ס"ל דכל בורר ב' מינים חייב אף לאחר זמן, מ"מ </w:t>
      </w:r>
      <w:r w:rsidRPr="00BE47C5">
        <w:rPr>
          <w:rStyle w:val="aff4"/>
          <w:rFonts w:hint="cs"/>
          <w:vanish/>
          <w:rtl/>
        </w:rPr>
        <w:t>-</w:t>
      </w:r>
      <w:r w:rsidRPr="00BF56CC">
        <w:rPr>
          <w:rStyle w:val="aff4"/>
          <w:rFonts w:hint="cs"/>
          <w:rtl/>
        </w:rPr>
        <w:t>ה</w:t>
      </w:r>
      <w:r w:rsidRPr="00BE47C5">
        <w:rPr>
          <w:rStyle w:val="aff4"/>
          <w:rFonts w:hint="cs"/>
          <w:vanish/>
          <w:rtl/>
        </w:rPr>
        <w:t>&lt; &gt;</w:t>
      </w:r>
      <w:r w:rsidRPr="00BF56CC">
        <w:rPr>
          <w:rStyle w:val="aff4"/>
          <w:rFonts w:hint="cs"/>
          <w:rtl/>
        </w:rPr>
        <w:t>מאמר מרדכי</w:t>
      </w:r>
      <w:r w:rsidRPr="00BE47C5">
        <w:rPr>
          <w:rStyle w:val="aff4"/>
          <w:rFonts w:hint="cs"/>
          <w:vanish/>
          <w:rtl/>
        </w:rPr>
        <w:t>-</w:t>
      </w:r>
      <w:r w:rsidRPr="0051498D">
        <w:rPr>
          <w:rStyle w:val="aff4"/>
          <w:rFonts w:hint="cs"/>
          <w:rtl/>
        </w:rPr>
        <w:t xml:space="preserve"> </w:t>
      </w:r>
      <w:r w:rsidRPr="00D16BB6">
        <w:rPr>
          <w:rStyle w:val="af2"/>
          <w:rFonts w:eastAsia="Guttman Hodes" w:hint="cs"/>
          <w:rtl/>
        </w:rPr>
        <w:t>(סי' שי"ט סק"ד)</w:t>
      </w:r>
      <w:r w:rsidRPr="00BE47C5">
        <w:rPr>
          <w:rFonts w:hint="cs"/>
          <w:vanish/>
          <w:rtl/>
        </w:rPr>
        <w:t>=</w:t>
      </w:r>
      <w:r>
        <w:rPr>
          <w:rFonts w:hint="cs"/>
          <w:rtl/>
        </w:rPr>
        <w:t xml:space="preserve"> הביא בשם </w:t>
      </w:r>
      <w:r w:rsidRPr="00BE47C5">
        <w:rPr>
          <w:rStyle w:val="aff4"/>
          <w:rFonts w:hint="cs"/>
          <w:vanish/>
          <w:rtl/>
        </w:rPr>
        <w:t>-</w:t>
      </w:r>
      <w:r w:rsidRPr="00BF56CC">
        <w:rPr>
          <w:rStyle w:val="aff4"/>
          <w:rFonts w:hint="cs"/>
          <w:rtl/>
        </w:rPr>
        <w:t>רבינו דוד עראמה</w:t>
      </w:r>
      <w:r w:rsidRPr="00BE47C5">
        <w:rPr>
          <w:rStyle w:val="aff4"/>
          <w:rFonts w:hint="cs"/>
          <w:vanish/>
          <w:rtl/>
        </w:rPr>
        <w:t>-</w:t>
      </w:r>
      <w:r>
        <w:rPr>
          <w:rFonts w:hint="cs"/>
          <w:rtl/>
        </w:rPr>
        <w:t xml:space="preserve"> דכתב בדעת </w:t>
      </w:r>
      <w:r w:rsidRPr="00BE47C5">
        <w:rPr>
          <w:rStyle w:val="aff4"/>
          <w:rFonts w:hint="cs"/>
          <w:vanish/>
          <w:rtl/>
        </w:rPr>
        <w:t>-</w:t>
      </w:r>
      <w:r w:rsidRPr="00BF56CC">
        <w:rPr>
          <w:rStyle w:val="aff4"/>
          <w:rFonts w:hint="cs"/>
          <w:rtl/>
        </w:rPr>
        <w:t>הרמב"ם</w:t>
      </w:r>
      <w:r w:rsidRPr="00BE47C5">
        <w:rPr>
          <w:rStyle w:val="aff4"/>
          <w:rFonts w:hint="cs"/>
          <w:vanish/>
          <w:rtl/>
        </w:rPr>
        <w:t>-</w:t>
      </w:r>
      <w:r>
        <w:rPr>
          <w:rFonts w:hint="cs"/>
          <w:rtl/>
        </w:rPr>
        <w:t xml:space="preserve"> דבב' מיני אוכלין אף שאינו אוכל את המין שבורר והניחו לאח"ז או למחר מותר, דרק בפסולת גמורה מתוך אוכל אסור, וכ"כ </w:t>
      </w:r>
      <w:r w:rsidRPr="00BE47C5">
        <w:rPr>
          <w:rStyle w:val="aff4"/>
          <w:rFonts w:hint="cs"/>
          <w:vanish/>
          <w:rtl/>
        </w:rPr>
        <w:t>-</w:t>
      </w:r>
      <w:r w:rsidRPr="00BF56CC">
        <w:rPr>
          <w:rStyle w:val="aff4"/>
          <w:rFonts w:hint="cs"/>
          <w:rtl/>
        </w:rPr>
        <w:t>המגלת ספר</w:t>
      </w:r>
      <w:r w:rsidRPr="00BE47C5">
        <w:rPr>
          <w:rStyle w:val="aff4"/>
          <w:rFonts w:hint="cs"/>
          <w:vanish/>
          <w:rtl/>
        </w:rPr>
        <w:t>-</w:t>
      </w:r>
      <w:r>
        <w:rPr>
          <w:rFonts w:hint="cs"/>
          <w:rtl/>
        </w:rPr>
        <w:t xml:space="preserve"> </w:t>
      </w:r>
      <w:r w:rsidRPr="00D16BB6">
        <w:rPr>
          <w:rStyle w:val="af2"/>
          <w:rFonts w:eastAsia="Guttman Hodes" w:hint="cs"/>
          <w:rtl/>
        </w:rPr>
        <w:t xml:space="preserve">(עי' אות </w:t>
      </w:r>
      <w:r w:rsidRPr="00D16BB6">
        <w:rPr>
          <w:rStyle w:val="af2"/>
          <w:rFonts w:eastAsia="Guttman Hodes"/>
          <w:rtl/>
        </w:rPr>
        <w:fldChar w:fldCharType="begin"/>
      </w:r>
      <w:r w:rsidRPr="00D16BB6">
        <w:rPr>
          <w:rStyle w:val="af2"/>
          <w:rFonts w:eastAsia="Guttman Hodes"/>
          <w:rtl/>
        </w:rPr>
        <w:instrText xml:space="preserve"> </w:instrText>
      </w:r>
      <w:r w:rsidRPr="00D16BB6">
        <w:rPr>
          <w:rStyle w:val="af2"/>
          <w:rFonts w:eastAsia="Guttman Hodes" w:hint="cs"/>
        </w:rPr>
        <w:instrText>REF</w:instrText>
      </w:r>
      <w:r w:rsidRPr="00D16BB6">
        <w:rPr>
          <w:rStyle w:val="af2"/>
          <w:rFonts w:eastAsia="Guttman Hodes" w:hint="cs"/>
          <w:rtl/>
        </w:rPr>
        <w:instrText xml:space="preserve"> _</w:instrText>
      </w:r>
      <w:r w:rsidRPr="00D16BB6">
        <w:rPr>
          <w:rStyle w:val="af2"/>
          <w:rFonts w:eastAsia="Guttman Hodes" w:hint="cs"/>
        </w:rPr>
        <w:instrText>Ref137574571 \r \h</w:instrText>
      </w:r>
      <w:r w:rsidRPr="00D16BB6">
        <w:rPr>
          <w:rStyle w:val="af2"/>
          <w:rFonts w:eastAsia="Guttman Hodes"/>
          <w:rtl/>
        </w:rPr>
        <w:instrText xml:space="preserve"> </w:instrText>
      </w:r>
      <w:r w:rsidRPr="00D16BB6">
        <w:rPr>
          <w:rStyle w:val="af2"/>
          <w:rFonts w:eastAsia="Guttman Hodes"/>
          <w:rtl/>
        </w:rPr>
      </w:r>
      <w:r w:rsidRPr="00D16BB6">
        <w:rPr>
          <w:rStyle w:val="af2"/>
          <w:rFonts w:eastAsia="Guttman Hodes"/>
          <w:rtl/>
        </w:rPr>
        <w:fldChar w:fldCharType="separate"/>
      </w:r>
      <w:r w:rsidR="00D82181">
        <w:rPr>
          <w:rStyle w:val="af2"/>
          <w:rFonts w:eastAsia="Guttman Hodes"/>
          <w:cs/>
        </w:rPr>
        <w:t>‎</w:t>
      </w:r>
      <w:r w:rsidR="00D82181">
        <w:rPr>
          <w:rStyle w:val="af2"/>
          <w:rFonts w:eastAsia="Guttman Hodes"/>
          <w:rtl/>
        </w:rPr>
        <w:t>נ)</w:t>
      </w:r>
      <w:r w:rsidRPr="00D16BB6">
        <w:rPr>
          <w:rStyle w:val="af2"/>
          <w:rFonts w:eastAsia="Guttman Hodes"/>
          <w:rtl/>
        </w:rPr>
        <w:fldChar w:fldCharType="end"/>
      </w:r>
      <w:r>
        <w:rPr>
          <w:rFonts w:hint="cs"/>
          <w:rtl/>
        </w:rPr>
        <w:t xml:space="preserve">, אך כתב </w:t>
      </w:r>
      <w:r w:rsidRPr="00BE47C5">
        <w:rPr>
          <w:rStyle w:val="aff4"/>
          <w:rFonts w:hint="cs"/>
          <w:vanish/>
          <w:rtl/>
        </w:rPr>
        <w:t>-</w:t>
      </w:r>
      <w:r w:rsidRPr="00BF56CC">
        <w:rPr>
          <w:rStyle w:val="aff4"/>
          <w:rFonts w:hint="cs"/>
          <w:rtl/>
        </w:rPr>
        <w:t>הביה"ל</w:t>
      </w:r>
      <w:r w:rsidRPr="00BE47C5">
        <w:rPr>
          <w:rStyle w:val="aff4"/>
          <w:rFonts w:hint="cs"/>
          <w:vanish/>
          <w:rtl/>
        </w:rPr>
        <w:t>-</w:t>
      </w:r>
      <w:r>
        <w:rPr>
          <w:rFonts w:hint="cs"/>
          <w:rtl/>
        </w:rPr>
        <w:t xml:space="preserve"> דלדינא קיי"ל </w:t>
      </w:r>
      <w:r w:rsidRPr="00BE47C5">
        <w:rPr>
          <w:rStyle w:val="aff4"/>
          <w:rFonts w:hint="cs"/>
          <w:vanish/>
          <w:rtl/>
        </w:rPr>
        <w:t>-</w:t>
      </w:r>
      <w:r w:rsidRPr="00BF56CC">
        <w:rPr>
          <w:rStyle w:val="aff4"/>
          <w:rFonts w:hint="cs"/>
          <w:rtl/>
        </w:rPr>
        <w:t>כתרוה"ד</w:t>
      </w:r>
      <w:r w:rsidRPr="00BE47C5">
        <w:rPr>
          <w:rStyle w:val="aff4"/>
          <w:rFonts w:hint="cs"/>
          <w:vanish/>
          <w:rtl/>
        </w:rPr>
        <w:t>-</w:t>
      </w:r>
      <w:r>
        <w:rPr>
          <w:rFonts w:hint="cs"/>
          <w:rtl/>
        </w:rPr>
        <w:t xml:space="preserve"> </w:t>
      </w:r>
      <w:r w:rsidRPr="00D16BB6">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Ref137672583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כב)</w:t>
      </w:r>
      <w:r>
        <w:rPr>
          <w:rStyle w:val="af2"/>
          <w:rFonts w:eastAsia="Guttman Hodes"/>
          <w:rtl/>
        </w:rPr>
        <w:fldChar w:fldCharType="end"/>
      </w:r>
      <w:r>
        <w:rPr>
          <w:rFonts w:hint="cs"/>
          <w:rtl/>
        </w:rPr>
        <w:t xml:space="preserve"> </w:t>
      </w:r>
      <w:r w:rsidRPr="00BE47C5">
        <w:rPr>
          <w:rStyle w:val="aff4"/>
          <w:rFonts w:hint="cs"/>
          <w:vanish/>
          <w:rtl/>
        </w:rPr>
        <w:t>-</w:t>
      </w:r>
      <w:r w:rsidRPr="00BF56CC">
        <w:rPr>
          <w:rStyle w:val="aff4"/>
          <w:rFonts w:hint="cs"/>
          <w:rtl/>
        </w:rPr>
        <w:t>והרמ"א</w:t>
      </w:r>
      <w:r w:rsidRPr="00BE47C5">
        <w:rPr>
          <w:rStyle w:val="aff4"/>
          <w:rFonts w:hint="cs"/>
          <w:vanish/>
          <w:rtl/>
        </w:rPr>
        <w:t>-</w:t>
      </w:r>
      <w:r>
        <w:rPr>
          <w:rFonts w:hint="cs"/>
          <w:rtl/>
        </w:rPr>
        <w:t xml:space="preserve"> </w:t>
      </w:r>
      <w:r w:rsidRPr="00D16BB6">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Ref137639512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כא)</w:t>
      </w:r>
      <w:r>
        <w:rPr>
          <w:rStyle w:val="af2"/>
          <w:rFonts w:eastAsia="Guttman Hodes"/>
          <w:rtl/>
        </w:rPr>
        <w:fldChar w:fldCharType="end"/>
      </w:r>
      <w:r>
        <w:rPr>
          <w:rFonts w:hint="cs"/>
          <w:rtl/>
        </w:rPr>
        <w:t xml:space="preserve"> דפסקו </w:t>
      </w:r>
      <w:r w:rsidRPr="00BE47C5">
        <w:rPr>
          <w:rStyle w:val="aff4"/>
          <w:rFonts w:hint="cs"/>
          <w:vanish/>
          <w:rtl/>
        </w:rPr>
        <w:t>-</w:t>
      </w:r>
      <w:r w:rsidRPr="00BF56CC">
        <w:rPr>
          <w:rStyle w:val="aff4"/>
          <w:rFonts w:hint="cs"/>
          <w:rtl/>
        </w:rPr>
        <w:t>כהרא"ש</w:t>
      </w:r>
      <w:r w:rsidRPr="00BE47C5">
        <w:rPr>
          <w:rStyle w:val="aff4"/>
          <w:rFonts w:hint="cs"/>
          <w:vanish/>
          <w:rtl/>
        </w:rPr>
        <w:t>-</w:t>
      </w:r>
      <w:r>
        <w:rPr>
          <w:rFonts w:hint="cs"/>
          <w:rtl/>
        </w:rPr>
        <w:t xml:space="preserve"> </w:t>
      </w:r>
      <w:r w:rsidRPr="00D16BB6">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Ref137671185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w:t>
      </w:r>
      <w:r>
        <w:rPr>
          <w:rStyle w:val="af2"/>
          <w:rFonts w:eastAsia="Guttman Hodes"/>
          <w:rtl/>
        </w:rPr>
        <w:fldChar w:fldCharType="end"/>
      </w:r>
      <w:r>
        <w:rPr>
          <w:rFonts w:hint="cs"/>
          <w:rtl/>
        </w:rPr>
        <w:t xml:space="preserve">. </w:t>
      </w:r>
      <w:r w:rsidRPr="00D16BB6">
        <w:rPr>
          <w:rStyle w:val="af"/>
          <w:rFonts w:hint="cs"/>
          <w:rtl/>
        </w:rPr>
        <w:t xml:space="preserve">[אמנם בדברי </w:t>
      </w:r>
      <w:r w:rsidRPr="00D16BB6">
        <w:rPr>
          <w:rStyle w:val="af"/>
          <w:rFonts w:hint="cs"/>
          <w:vanish/>
          <w:rtl/>
        </w:rPr>
        <w:t>&lt; &gt;</w:t>
      </w:r>
      <w:r w:rsidRPr="00D16BB6">
        <w:rPr>
          <w:rStyle w:val="aff9"/>
          <w:rFonts w:hint="cs"/>
          <w:vanish/>
          <w:rtl/>
        </w:rPr>
        <w:t>-</w:t>
      </w:r>
      <w:r w:rsidRPr="00D16BB6">
        <w:rPr>
          <w:rStyle w:val="aff9"/>
          <w:rFonts w:hint="cs"/>
          <w:rtl/>
        </w:rPr>
        <w:t>רבינו דוד עראמה</w:t>
      </w:r>
      <w:r w:rsidRPr="00D16BB6">
        <w:rPr>
          <w:rStyle w:val="aff9"/>
          <w:rFonts w:hint="cs"/>
          <w:vanish/>
          <w:rtl/>
        </w:rPr>
        <w:t>-</w:t>
      </w:r>
      <w:r w:rsidRPr="00D16BB6">
        <w:rPr>
          <w:rStyle w:val="af"/>
          <w:rFonts w:hint="cs"/>
          <w:rtl/>
        </w:rPr>
        <w:t xml:space="preserve"> </w:t>
      </w:r>
      <w:r w:rsidRPr="00D16BB6">
        <w:rPr>
          <w:rStyle w:val="aff0"/>
          <w:rFonts w:hint="cs"/>
          <w:rtl/>
        </w:rPr>
        <w:t>(שבת פ"ח הי"ג, נד' בספר הליקוטים סוף הרמב"ם מהדו' פרנקל)</w:t>
      </w:r>
      <w:r w:rsidRPr="00D16BB6">
        <w:rPr>
          <w:rStyle w:val="af"/>
          <w:rFonts w:hint="cs"/>
          <w:vanish/>
          <w:rtl/>
        </w:rPr>
        <w:t>=</w:t>
      </w:r>
      <w:r w:rsidRPr="00D16BB6">
        <w:rPr>
          <w:rStyle w:val="af"/>
          <w:rFonts w:hint="cs"/>
          <w:rtl/>
        </w:rPr>
        <w:t xml:space="preserve"> לפנינו לא כ"כ, אלא כתב דבבורר ב' מינים ואכל את המין שבירר, אף שהמין השני נשאר אין בזה איסור, דרק בפסולת מתוך אוכל אסור בכה"ג, ועי' במ"ש </w:t>
      </w:r>
      <w:r w:rsidRPr="00D16BB6">
        <w:rPr>
          <w:rStyle w:val="aff9"/>
          <w:rFonts w:hint="cs"/>
          <w:vanish/>
          <w:rtl/>
        </w:rPr>
        <w:t>-</w:t>
      </w:r>
      <w:r w:rsidRPr="00D16BB6">
        <w:rPr>
          <w:rStyle w:val="aff9"/>
          <w:rFonts w:hint="cs"/>
          <w:rtl/>
        </w:rPr>
        <w:t>האגלי טל</w:t>
      </w:r>
      <w:r w:rsidRPr="00D16BB6">
        <w:rPr>
          <w:rStyle w:val="aff9"/>
          <w:rFonts w:hint="cs"/>
          <w:vanish/>
          <w:rtl/>
        </w:rPr>
        <w:t>-</w:t>
      </w:r>
      <w:r w:rsidRPr="00D16BB6">
        <w:rPr>
          <w:rStyle w:val="af"/>
          <w:rFonts w:hint="cs"/>
          <w:rtl/>
        </w:rPr>
        <w:t xml:space="preserve"> </w:t>
      </w:r>
      <w:r w:rsidRPr="00D16BB6">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Ref137026981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כה)</w:t>
      </w:r>
      <w:r>
        <w:rPr>
          <w:rStyle w:val="aff0"/>
          <w:rtl/>
        </w:rPr>
        <w:fldChar w:fldCharType="end"/>
      </w:r>
      <w:r w:rsidRPr="00D16BB6">
        <w:rPr>
          <w:rStyle w:val="af"/>
          <w:rFonts w:hint="cs"/>
          <w:rtl/>
        </w:rPr>
        <w:t xml:space="preserve"> בדברי הירושלמי דכל שבורר את כל המין חייב]</w:t>
      </w:r>
      <w:r w:rsidRPr="002650B4">
        <w:rPr>
          <w:rStyle w:val="af"/>
          <w:rFonts w:hint="cs"/>
          <w:rtl/>
        </w:rPr>
        <w:t>.</w:t>
      </w:r>
      <w:bookmarkEnd w:id="2430"/>
    </w:p>
    <w:p w14:paraId="4DA4F559" w14:textId="77777777" w:rsidR="00592982" w:rsidRPr="00747170" w:rsidRDefault="00592982" w:rsidP="00747170">
      <w:pPr>
        <w:pStyle w:val="a2"/>
        <w:rPr>
          <w:rtl/>
        </w:rPr>
      </w:pPr>
      <w:r w:rsidRPr="00747170">
        <w:rPr>
          <w:rtl/>
        </w:rPr>
        <w:t>* ומניח השני כדי וכו' - עיין במ"ב והנה לשון המחבר מועתק מהרמב"ם פ"ח מה"ש הלכה י"ג והם כפשטן ומניח לאחרים או לעצמו והרב מוסיף תיבת השני כדי ושינה כונת המחבר והר"מ ז"ל להודיע לנו דאותו שאינו רוצה עתה הוא כפסולת וצריך לברור אותו שרוצה לאכול דוקא וכמש"כ התה"ד [פמ"ג] ואם דעת הרמב"ם הוא ג"כ כהרמ"א לא ברירא דיש גדולים שאינם סוברין כן עיין בספר מא"מ שהביא בשם הר"ר דוד עראמה בפירושו להרמב"ם שכתב דבשני מיני אוכלים אף על פי שלא אכל מה שבירר אלא מה שהיה בורר בידו הניחו לבו ביום או למחרת ואכל המין הנשאר שרי דלא אסרינן זה אלא בבורר פסולת גמור מתוך אוכל משא"כ הכא דהוי ב' מיני אוכלים וכל שבורר כדי לאכול לאלתר שרי עכ"ל המא"מ וכ"כ ג"כ בספר מגלת ספר לדעת הרמב"ם אמנם למעשה אין לזוז מדברי התה"ד והרמ"א שמקורן הוא מדברי הרא"ש [ודברי התוספות בד"ה היו וכו' שכתבו שבורר אותו שאינו חפץ וכו' יש להסתפק אי כונתם בלאלתר או אפילו בלאחר זמן ופליגי אדעת הרמב"ם והסמ"ג ויתר הפוסקים דס"ל דפסולת מתוך אוכל לאלתר חייב] ונוגע בענין איסור דאורייתא:</w:t>
      </w:r>
    </w:p>
    <w:p w14:paraId="4C65422E" w14:textId="77777777" w:rsidR="00592982" w:rsidRPr="00C61A8D" w:rsidRDefault="00592982" w:rsidP="00747170">
      <w:pPr>
        <w:pStyle w:val="afffff5"/>
        <w:rPr>
          <w:rtl/>
        </w:rPr>
      </w:pPr>
      <w:r w:rsidRPr="00C61A8D">
        <w:rPr>
          <w:rtl/>
        </w:rPr>
        <w:t xml:space="preserve">(ד) היו לפניו ב' מיני אוכלים זה לשון הרב דוד עראמה ז"ל בפי' להרמב"ם ז"ל נ"ל שאם בירר אוכל מתוך אוכל ואכל האוכל שבירר אעפ"י שנשאר האוכל האחר אין כאן איסור דלא אסרינן זה אלא בפסולת מתוך אוכל ע"כ ולשונו מגומגם ונלפק"ד דכוונת הרב ז"ל לומר דבשני מיני אוכלים אעפ"י שלא אכל מה שבירר אלא מה שהיה בורר בידו הניחו לבו ביום או למחרת ואכל המין הנשא' שרי דלא אסרינן זה אלא בבורר פסולת גמור מתוך אוכל משא"כ הכא דהוי ב' מיני אוכלים וכל שבורר לאכול לאלתר שרי בכל ענין כנ"ל בהבנת דבריו אלא שהוא דחוק וגם יש לי לדון על עיקר דינו דהא מהש"ס והפוסקים מוכח דהמין הנשאר דיינינן ליה כפסולת גמור וצ"ע ועמ"ש הרב"י ובתוס': </w:t>
      </w:r>
    </w:p>
    <w:p w14:paraId="63A8B94C" w14:textId="77777777" w:rsidR="00592982" w:rsidRPr="00C61A8D" w:rsidRDefault="00592982" w:rsidP="00747170">
      <w:pPr>
        <w:pStyle w:val="afffff5"/>
      </w:pPr>
      <w:r w:rsidRPr="00C61A8D">
        <w:rPr>
          <w:rFonts w:hint="cs"/>
          <w:rtl/>
        </w:rPr>
        <w:t>נל"ד דאם בירר אוכל מתך אוכל ואכל האוכל שבירר אעפ"י שנשאר האוכל האחר אין כאן איסור דלא אסרינן זה אלא בפסולת מתוך אוכל.</w:t>
      </w:r>
    </w:p>
    <w:p w14:paraId="5AD9899A" w14:textId="1D90196E" w:rsidR="00592982" w:rsidRDefault="00592982" w:rsidP="00592982">
      <w:pPr>
        <w:pStyle w:val="afffff7"/>
        <w:rPr>
          <w:rtl/>
        </w:rPr>
      </w:pPr>
      <w:bookmarkStart w:id="2431" w:name="_Toc137742068"/>
      <w:bookmarkStart w:id="2432" w:name="_Toc163505836"/>
      <w:r w:rsidRPr="00D0469C">
        <w:rPr>
          <w:rtl/>
        </w:rPr>
        <w:t>מגלת ספר על הסמ"ג לאוין ס"ה ט: ד"ה כיצד הבורר</w:t>
      </w:r>
      <w:bookmarkEnd w:id="2431"/>
      <w:bookmarkEnd w:id="2432"/>
    </w:p>
    <w:p w14:paraId="6680AF7C" w14:textId="77777777" w:rsidR="00592982" w:rsidRPr="00F80069" w:rsidRDefault="00592982" w:rsidP="00592982">
      <w:pPr>
        <w:pStyle w:val="a7"/>
        <w:rPr>
          <w:rtl/>
        </w:rPr>
      </w:pPr>
      <w:bookmarkStart w:id="2433" w:name="_Toc137741984"/>
      <w:r>
        <w:rPr>
          <w:rFonts w:hint="cs"/>
          <w:rtl/>
        </w:rPr>
        <w:t>בי' המגלת ספר ברמב"ם מודה לרש"י דלאלתר מותר ביד במין שאינו רוצה דל"ה פסולת ממש</w:t>
      </w:r>
      <w:bookmarkEnd w:id="2433"/>
    </w:p>
    <w:p w14:paraId="71D92061" w14:textId="00AD9515" w:rsidR="00592982" w:rsidRDefault="00592982" w:rsidP="00BC7DC8">
      <w:pPr>
        <w:pStyle w:val="a3"/>
        <w:rPr>
          <w:rtl/>
        </w:rPr>
      </w:pPr>
      <w:bookmarkStart w:id="2434" w:name="_Ref137574571"/>
      <w:r>
        <w:rPr>
          <w:rFonts w:hint="cs"/>
          <w:rtl/>
        </w:rPr>
        <w:t xml:space="preserve">כתב </w:t>
      </w:r>
      <w:r w:rsidRPr="00BE47C5">
        <w:rPr>
          <w:rStyle w:val="aff4"/>
          <w:rFonts w:hint="cs"/>
          <w:vanish/>
          <w:rtl/>
        </w:rPr>
        <w:t>-</w:t>
      </w:r>
      <w:r w:rsidRPr="00BF56CC">
        <w:rPr>
          <w:rStyle w:val="aff4"/>
          <w:rFonts w:hint="cs"/>
          <w:rtl/>
        </w:rPr>
        <w:t>ה</w:t>
      </w:r>
      <w:r w:rsidRPr="00BE47C5">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Ref137574571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נ)</w:t>
      </w:r>
      <w:r>
        <w:rPr>
          <w:rStyle w:val="aff4"/>
          <w:vanish/>
          <w:rtl/>
        </w:rPr>
        <w:fldChar w:fldCharType="end"/>
      </w:r>
      <w:r w:rsidRPr="00BE47C5">
        <w:rPr>
          <w:rStyle w:val="aff4"/>
          <w:rFonts w:hint="cs"/>
          <w:vanish/>
          <w:rtl/>
        </w:rPr>
        <w:t xml:space="preserve"> &gt;</w:t>
      </w:r>
      <w:r w:rsidRPr="00BF56CC">
        <w:rPr>
          <w:rStyle w:val="aff4"/>
          <w:rFonts w:hint="cs"/>
          <w:rtl/>
        </w:rPr>
        <w:t>מגלת ספר על הסמ"ג</w:t>
      </w:r>
      <w:r w:rsidRPr="00BE47C5">
        <w:rPr>
          <w:rStyle w:val="aff4"/>
          <w:rFonts w:hint="cs"/>
          <w:vanish/>
          <w:rtl/>
        </w:rPr>
        <w:t>-</w:t>
      </w:r>
      <w:r>
        <w:rPr>
          <w:rFonts w:hint="cs"/>
          <w:rtl/>
        </w:rPr>
        <w:t xml:space="preserve"> </w:t>
      </w:r>
      <w:r w:rsidRPr="00D16BB6">
        <w:rPr>
          <w:rStyle w:val="af2"/>
          <w:rFonts w:eastAsia="Guttman Hodes" w:hint="cs"/>
          <w:rtl/>
        </w:rPr>
        <w:t>(לאוין ס"ה ט: ד"ה כיצד הבורר)</w:t>
      </w:r>
      <w:r>
        <w:rPr>
          <w:rFonts w:hint="cs"/>
          <w:rtl/>
        </w:rPr>
        <w:t xml:space="preserve"> דלדעת </w:t>
      </w:r>
      <w:r w:rsidRPr="00BE47C5">
        <w:rPr>
          <w:rStyle w:val="aff4"/>
          <w:rFonts w:hint="cs"/>
          <w:vanish/>
          <w:rtl/>
        </w:rPr>
        <w:t>-</w:t>
      </w:r>
      <w:r w:rsidRPr="00BF56CC">
        <w:rPr>
          <w:rStyle w:val="aff4"/>
          <w:rFonts w:hint="cs"/>
          <w:rtl/>
        </w:rPr>
        <w:t>הרמב"ם</w:t>
      </w:r>
      <w:r w:rsidRPr="00BE47C5">
        <w:rPr>
          <w:rStyle w:val="aff4"/>
          <w:rFonts w:hint="cs"/>
          <w:vanish/>
          <w:rtl/>
        </w:rPr>
        <w:t>-</w:t>
      </w:r>
      <w:r>
        <w:rPr>
          <w:rFonts w:hint="cs"/>
          <w:rtl/>
        </w:rPr>
        <w:t xml:space="preserve"> </w:t>
      </w:r>
      <w:r w:rsidRPr="00D16BB6">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Ref137673024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לו)</w:t>
      </w:r>
      <w:r>
        <w:rPr>
          <w:rStyle w:val="af2"/>
          <w:rFonts w:eastAsia="Guttman Hodes"/>
          <w:rtl/>
        </w:rPr>
        <w:fldChar w:fldCharType="end"/>
      </w:r>
      <w:r>
        <w:rPr>
          <w:rFonts w:hint="cs"/>
          <w:rtl/>
        </w:rPr>
        <w:t xml:space="preserve"> בב' מינים אף דבנפה חייב ובקנון אסור, מ"מ לאלתר מותר לברור ביד אף את המין שאינו רוצה בו, דבזה הם מודים </w:t>
      </w:r>
      <w:r w:rsidRPr="00BE47C5">
        <w:rPr>
          <w:rStyle w:val="aff4"/>
          <w:rFonts w:hint="cs"/>
          <w:vanish/>
          <w:rtl/>
        </w:rPr>
        <w:t>-</w:t>
      </w:r>
      <w:r w:rsidRPr="00BF56CC">
        <w:rPr>
          <w:rStyle w:val="aff4"/>
          <w:rFonts w:hint="cs"/>
          <w:rtl/>
        </w:rPr>
        <w:t>לרש"י</w:t>
      </w:r>
      <w:r w:rsidRPr="00BE47C5">
        <w:rPr>
          <w:rStyle w:val="aff4"/>
          <w:rFonts w:hint="cs"/>
          <w:vanish/>
          <w:rtl/>
        </w:rPr>
        <w:t>-</w:t>
      </w:r>
      <w:r>
        <w:rPr>
          <w:rFonts w:hint="cs"/>
          <w:rtl/>
        </w:rPr>
        <w:t xml:space="preserve"> </w:t>
      </w:r>
      <w:r w:rsidRPr="00D16BB6">
        <w:rPr>
          <w:rStyle w:val="af2"/>
          <w:rFonts w:eastAsia="Guttman Hodes" w:hint="cs"/>
          <w:rtl/>
        </w:rPr>
        <w:t xml:space="preserve">(עי' אות </w:t>
      </w:r>
      <w:r w:rsidRPr="00D16BB6">
        <w:rPr>
          <w:rStyle w:val="af2"/>
          <w:rFonts w:eastAsia="Guttman Hodes"/>
          <w:rtl/>
        </w:rPr>
        <w:fldChar w:fldCharType="begin"/>
      </w:r>
      <w:r w:rsidRPr="00D16BB6">
        <w:rPr>
          <w:rStyle w:val="af2"/>
          <w:rFonts w:eastAsia="Guttman Hodes"/>
          <w:rtl/>
        </w:rPr>
        <w:instrText xml:space="preserve"> </w:instrText>
      </w:r>
      <w:r w:rsidRPr="00D16BB6">
        <w:rPr>
          <w:rStyle w:val="af2"/>
          <w:rFonts w:eastAsia="Guttman Hodes" w:hint="cs"/>
        </w:rPr>
        <w:instrText>REF</w:instrText>
      </w:r>
      <w:r w:rsidRPr="00D16BB6">
        <w:rPr>
          <w:rStyle w:val="af2"/>
          <w:rFonts w:eastAsia="Guttman Hodes" w:hint="cs"/>
          <w:rtl/>
        </w:rPr>
        <w:instrText xml:space="preserve"> _</w:instrText>
      </w:r>
      <w:r w:rsidRPr="00D16BB6">
        <w:rPr>
          <w:rStyle w:val="af2"/>
          <w:rFonts w:eastAsia="Guttman Hodes" w:hint="cs"/>
        </w:rPr>
        <w:instrText>Ref137154391 \r \h</w:instrText>
      </w:r>
      <w:r w:rsidRPr="00D16BB6">
        <w:rPr>
          <w:rStyle w:val="af2"/>
          <w:rFonts w:eastAsia="Guttman Hodes"/>
          <w:rtl/>
        </w:rPr>
        <w:instrText xml:space="preserve"> </w:instrText>
      </w:r>
      <w:r w:rsidRPr="00D16BB6">
        <w:rPr>
          <w:rStyle w:val="af2"/>
          <w:rFonts w:eastAsia="Guttman Hodes"/>
          <w:rtl/>
        </w:rPr>
      </w:r>
      <w:r w:rsidRPr="00D16BB6">
        <w:rPr>
          <w:rStyle w:val="af2"/>
          <w:rFonts w:eastAsia="Guttman Hodes"/>
          <w:rtl/>
        </w:rPr>
        <w:fldChar w:fldCharType="separate"/>
      </w:r>
      <w:r w:rsidR="00D82181">
        <w:rPr>
          <w:rStyle w:val="af2"/>
          <w:rFonts w:eastAsia="Guttman Hodes"/>
          <w:cs/>
        </w:rPr>
        <w:t>‎</w:t>
      </w:r>
      <w:r w:rsidR="00D82181">
        <w:rPr>
          <w:rStyle w:val="af2"/>
          <w:rFonts w:eastAsia="Guttman Hodes"/>
          <w:rtl/>
        </w:rPr>
        <w:t>ו)</w:t>
      </w:r>
      <w:r w:rsidRPr="00D16BB6">
        <w:rPr>
          <w:rStyle w:val="af2"/>
          <w:rFonts w:eastAsia="Guttman Hodes"/>
          <w:rtl/>
        </w:rPr>
        <w:fldChar w:fldCharType="end"/>
      </w:r>
      <w:r>
        <w:rPr>
          <w:rFonts w:hint="cs"/>
          <w:rtl/>
        </w:rPr>
        <w:t xml:space="preserve"> דאף דחשיב כפסולת מתוך אוכל מ"מ אי"ז פסולת ממש, אבל </w:t>
      </w:r>
      <w:r w:rsidRPr="00BE47C5">
        <w:rPr>
          <w:rStyle w:val="aff4"/>
          <w:rFonts w:hint="cs"/>
          <w:vanish/>
          <w:rtl/>
        </w:rPr>
        <w:t>-</w:t>
      </w:r>
      <w:r w:rsidRPr="00BF56CC">
        <w:rPr>
          <w:rStyle w:val="aff4"/>
          <w:rFonts w:hint="cs"/>
          <w:rtl/>
        </w:rPr>
        <w:t>ברא"ש</w:t>
      </w:r>
      <w:r w:rsidRPr="00BE47C5">
        <w:rPr>
          <w:rStyle w:val="aff4"/>
          <w:rFonts w:hint="cs"/>
          <w:vanish/>
          <w:rtl/>
        </w:rPr>
        <w:t>-</w:t>
      </w:r>
      <w:r>
        <w:rPr>
          <w:rFonts w:hint="cs"/>
          <w:rtl/>
        </w:rPr>
        <w:t xml:space="preserve"> </w:t>
      </w:r>
      <w:r w:rsidRPr="00D16BB6">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Ref137671185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w:t>
      </w:r>
      <w:r>
        <w:rPr>
          <w:rStyle w:val="af2"/>
          <w:rFonts w:eastAsia="Guttman Hodes"/>
          <w:rtl/>
        </w:rPr>
        <w:fldChar w:fldCharType="end"/>
      </w:r>
      <w:r>
        <w:rPr>
          <w:rFonts w:hint="cs"/>
          <w:rtl/>
        </w:rPr>
        <w:t xml:space="preserve"> מבואר דכל שמוציא את המין שאינו רוצה בו חשיב כפסולת מתוך אוכל ממש.</w:t>
      </w:r>
      <w:bookmarkEnd w:id="2434"/>
    </w:p>
    <w:p w14:paraId="31BC1E81" w14:textId="77777777" w:rsidR="00592982" w:rsidRPr="00747170" w:rsidRDefault="00592982" w:rsidP="00747170">
      <w:pPr>
        <w:pStyle w:val="a2"/>
        <w:rPr>
          <w:rtl/>
        </w:rPr>
      </w:pPr>
      <w:r w:rsidRPr="00747170">
        <w:rPr>
          <w:rFonts w:hint="cs"/>
          <w:rtl/>
        </w:rPr>
        <w:t xml:space="preserve">ודעת ר"ח והרמב"ם ז"ל ורבינו המחבר דאף באכול מתוך אוכל אם בורר בנפה ובכברה חייב בקנון ובתמחוי פטור אבל אסור , וביד מותר לכתחילה לאלתר ואפי' שבורר אותו שאינו חפץ לאכול מתוך אותו שרוצה לאכול דבהא מודו לרש"רי כיון דלא הוי פסולת ממש אין בו משום דין בורר פסולת מתוך אוכל דחייב, אבל מדברי הרא"ש לא משמ כן דכתב וז"ל ודקא אוכל מתוך פסולת אבל פסולת מתוך אוכל אסור </w:t>
      </w:r>
      <w:r w:rsidRPr="00747170">
        <w:rPr>
          <w:rtl/>
        </w:rPr>
        <w:t>והבורר שני מיני אוכלין אותו שרוצה לאוכלו עתה מיקרי אוכל ואידך מקרי פסולת</w:t>
      </w:r>
      <w:r w:rsidRPr="00747170">
        <w:rPr>
          <w:rFonts w:hint="cs"/>
          <w:rtl/>
        </w:rPr>
        <w:t>, ע"ש</w:t>
      </w:r>
      <w:r w:rsidRPr="00747170">
        <w:rPr>
          <w:rtl/>
        </w:rPr>
        <w:t>.</w:t>
      </w:r>
    </w:p>
    <w:p w14:paraId="18EAF8AF" w14:textId="5E54EB75" w:rsidR="00592982" w:rsidRPr="00956D50" w:rsidRDefault="00592982" w:rsidP="00592982">
      <w:pPr>
        <w:pStyle w:val="1"/>
        <w:rPr>
          <w:rtl/>
        </w:rPr>
      </w:pPr>
      <w:bookmarkStart w:id="2435" w:name="_Toc137741985"/>
      <w:r>
        <w:rPr>
          <w:rFonts w:hint="cs"/>
          <w:rtl/>
        </w:rPr>
        <w:t>בדין בורר בב' מיני אוכלין שלא לצורך אכילה כלל או לאח"ז</w:t>
      </w:r>
      <w:bookmarkEnd w:id="2435"/>
    </w:p>
    <w:p w14:paraId="0952FF6F" w14:textId="77777777" w:rsidR="00592982" w:rsidRDefault="00592982" w:rsidP="00592982">
      <w:pPr>
        <w:pStyle w:val="afffff7"/>
        <w:rPr>
          <w:rtl/>
        </w:rPr>
      </w:pPr>
      <w:bookmarkStart w:id="2436" w:name="_Toc137742069"/>
      <w:bookmarkStart w:id="2437" w:name="_Toc163505837"/>
      <w:r>
        <w:rPr>
          <w:rtl/>
        </w:rPr>
        <w:t xml:space="preserve">פרי מגדים </w:t>
      </w:r>
      <w:r>
        <w:rPr>
          <w:rFonts w:hint="cs"/>
          <w:rtl/>
        </w:rPr>
        <w:t>או"ח משב"ז סי' שי"</w:t>
      </w:r>
      <w:r>
        <w:rPr>
          <w:rtl/>
        </w:rPr>
        <w:t>ט סקי</w:t>
      </w:r>
      <w:r>
        <w:rPr>
          <w:rFonts w:hint="cs"/>
          <w:rtl/>
        </w:rPr>
        <w:t>"</w:t>
      </w:r>
      <w:r>
        <w:rPr>
          <w:rtl/>
        </w:rPr>
        <w:t>ב</w:t>
      </w:r>
      <w:bookmarkEnd w:id="2436"/>
      <w:bookmarkEnd w:id="2437"/>
    </w:p>
    <w:p w14:paraId="501DFF18" w14:textId="77777777" w:rsidR="00592982" w:rsidRDefault="00592982" w:rsidP="00592982">
      <w:pPr>
        <w:pStyle w:val="a7"/>
        <w:rPr>
          <w:rtl/>
        </w:rPr>
      </w:pPr>
      <w:bookmarkStart w:id="2438" w:name="_Toc137741986"/>
      <w:r>
        <w:rPr>
          <w:rFonts w:hint="cs"/>
          <w:rtl/>
        </w:rPr>
        <w:t>בי' הפרמ"ג דבאוכל מאוכל שאינו רוצה לאוכלם עכשיו מותר כדכמוכח מבריררת חלמון וחלבון</w:t>
      </w:r>
      <w:bookmarkEnd w:id="2438"/>
    </w:p>
    <w:p w14:paraId="29D01748" w14:textId="755C62D1" w:rsidR="00592982" w:rsidRPr="00905CFC" w:rsidRDefault="00592982" w:rsidP="00BC7DC8">
      <w:pPr>
        <w:pStyle w:val="a3"/>
        <w:rPr>
          <w:rtl/>
        </w:rPr>
      </w:pPr>
      <w:bookmarkStart w:id="2439" w:name="_Ref137140308"/>
      <w:r>
        <w:rPr>
          <w:rFonts w:hint="cs"/>
          <w:rtl/>
        </w:rPr>
        <w:t xml:space="preserve">עוד כתב </w:t>
      </w:r>
      <w:r w:rsidRPr="00956D50">
        <w:rPr>
          <w:rStyle w:val="aff4"/>
          <w:rFonts w:hint="cs"/>
          <w:vanish/>
          <w:rtl/>
        </w:rPr>
        <w:t>-</w:t>
      </w:r>
      <w:r w:rsidRPr="00BF56CC">
        <w:rPr>
          <w:rStyle w:val="aff4"/>
          <w:rFonts w:hint="cs"/>
          <w:rtl/>
        </w:rPr>
        <w:t>ה</w:t>
      </w:r>
      <w:r w:rsidRPr="00956D50">
        <w:rPr>
          <w:rStyle w:val="aff4"/>
          <w:rFonts w:hint="cs"/>
          <w:vanish/>
          <w:rtl/>
        </w:rPr>
        <w:t xml:space="preserve">&lt;. </w:t>
      </w:r>
      <w:r w:rsidRPr="00956D50">
        <w:rPr>
          <w:rStyle w:val="aff4"/>
          <w:vanish/>
          <w:rtl/>
        </w:rPr>
        <w:fldChar w:fldCharType="begin"/>
      </w:r>
      <w:r w:rsidRPr="00956D50">
        <w:rPr>
          <w:rStyle w:val="aff4"/>
          <w:vanish/>
          <w:rtl/>
        </w:rPr>
        <w:instrText xml:space="preserve"> </w:instrText>
      </w:r>
      <w:r w:rsidRPr="00956D50">
        <w:rPr>
          <w:rStyle w:val="aff4"/>
          <w:rFonts w:hint="cs"/>
          <w:vanish/>
        </w:rPr>
        <w:instrText>REF</w:instrText>
      </w:r>
      <w:r w:rsidRPr="00956D50">
        <w:rPr>
          <w:rStyle w:val="aff4"/>
          <w:rFonts w:hint="cs"/>
          <w:vanish/>
          <w:rtl/>
        </w:rPr>
        <w:instrText xml:space="preserve"> _</w:instrText>
      </w:r>
      <w:r w:rsidRPr="00956D50">
        <w:rPr>
          <w:rStyle w:val="aff4"/>
          <w:rFonts w:hint="cs"/>
          <w:vanish/>
        </w:rPr>
        <w:instrText>Ref137140308 \r \h</w:instrText>
      </w:r>
      <w:r w:rsidRPr="00956D50">
        <w:rPr>
          <w:rStyle w:val="aff4"/>
          <w:vanish/>
          <w:rtl/>
        </w:rPr>
        <w:instrText xml:space="preserve"> </w:instrText>
      </w:r>
      <w:r w:rsidRPr="00956D50">
        <w:rPr>
          <w:rStyle w:val="aff4"/>
          <w:vanish/>
          <w:rtl/>
        </w:rPr>
      </w:r>
      <w:r w:rsidRPr="00956D50">
        <w:rPr>
          <w:rStyle w:val="aff4"/>
          <w:vanish/>
          <w:rtl/>
        </w:rPr>
        <w:fldChar w:fldCharType="separate"/>
      </w:r>
      <w:r w:rsidR="00D82181">
        <w:rPr>
          <w:rStyle w:val="aff4"/>
          <w:vanish/>
          <w:cs/>
        </w:rPr>
        <w:t>‎</w:t>
      </w:r>
      <w:r w:rsidR="00D82181">
        <w:rPr>
          <w:rStyle w:val="aff4"/>
          <w:vanish/>
          <w:rtl/>
        </w:rPr>
        <w:t>נא)</w:t>
      </w:r>
      <w:r w:rsidRPr="00956D50">
        <w:rPr>
          <w:rStyle w:val="aff4"/>
          <w:vanish/>
          <w:rtl/>
        </w:rPr>
        <w:fldChar w:fldCharType="end"/>
      </w:r>
      <w:r w:rsidRPr="00956D50">
        <w:rPr>
          <w:rStyle w:val="aff4"/>
          <w:rFonts w:hint="cs"/>
          <w:vanish/>
          <w:rtl/>
        </w:rPr>
        <w:t xml:space="preserve"> &gt;</w:t>
      </w:r>
      <w:r w:rsidRPr="00BF56CC">
        <w:rPr>
          <w:rStyle w:val="aff4"/>
          <w:rFonts w:hint="cs"/>
          <w:rtl/>
        </w:rPr>
        <w:t>פרמ"ג</w:t>
      </w:r>
      <w:r w:rsidRPr="00956D50">
        <w:rPr>
          <w:rStyle w:val="aff4"/>
          <w:rFonts w:hint="cs"/>
          <w:vanish/>
          <w:rtl/>
        </w:rPr>
        <w:t>-</w:t>
      </w:r>
      <w:r>
        <w:rPr>
          <w:rFonts w:hint="cs"/>
          <w:rtl/>
        </w:rPr>
        <w:t xml:space="preserve"> </w:t>
      </w:r>
      <w:r w:rsidRPr="00D16BB6">
        <w:rPr>
          <w:rStyle w:val="af2"/>
          <w:rFonts w:eastAsia="Guttman Hodes" w:hint="cs"/>
          <w:rtl/>
        </w:rPr>
        <w:t>(סי' שי"ט משב"ז סקי"ב)</w:t>
      </w:r>
      <w:r w:rsidRPr="00956D50">
        <w:rPr>
          <w:rFonts w:hint="cs"/>
          <w:vanish/>
          <w:rtl/>
        </w:rPr>
        <w:t>=</w:t>
      </w:r>
      <w:r>
        <w:rPr>
          <w:rFonts w:hint="cs"/>
          <w:rtl/>
        </w:rPr>
        <w:t xml:space="preserve"> דבאוכל ופסולת אף כשאינו רוצה לאכול שייך בזה ברירה אבל בב' מיני אוכלין אם אינו רוצה לאכול אי"ז ברירה, ולכן אמרינן בגמ' לקמן </w:t>
      </w:r>
      <w:r w:rsidRPr="00D16BB6">
        <w:rPr>
          <w:rStyle w:val="af2"/>
          <w:rFonts w:eastAsia="Guttman Hodes" w:hint="cs"/>
          <w:rtl/>
        </w:rPr>
        <w:t>(קמ.)</w:t>
      </w:r>
      <w:r>
        <w:rPr>
          <w:rFonts w:hint="cs"/>
          <w:rtl/>
        </w:rPr>
        <w:t xml:space="preserve"> דביצה במסננת של חרדל מותרת, דעושה כן לגוון ואינו רוצה לאכול לא את החלמון ולא את החלבון, וכדכתב </w:t>
      </w:r>
      <w:r w:rsidRPr="00956D50">
        <w:rPr>
          <w:rStyle w:val="aff4"/>
          <w:rFonts w:hint="cs"/>
          <w:vanish/>
          <w:rtl/>
        </w:rPr>
        <w:t>-</w:t>
      </w:r>
      <w:r w:rsidRPr="00BF56CC">
        <w:rPr>
          <w:rStyle w:val="aff4"/>
          <w:rFonts w:hint="cs"/>
          <w:rtl/>
        </w:rPr>
        <w:t>ה</w:t>
      </w:r>
      <w:r w:rsidRPr="00956D50">
        <w:rPr>
          <w:rStyle w:val="aff4"/>
          <w:rFonts w:hint="cs"/>
          <w:vanish/>
          <w:rtl/>
        </w:rPr>
        <w:t>&lt; &gt;</w:t>
      </w:r>
      <w:r w:rsidRPr="00BF56CC">
        <w:rPr>
          <w:rStyle w:val="aff4"/>
          <w:rFonts w:hint="cs"/>
          <w:rtl/>
        </w:rPr>
        <w:t>לבוש</w:t>
      </w:r>
      <w:r w:rsidRPr="00956D50">
        <w:rPr>
          <w:rStyle w:val="aff4"/>
          <w:rFonts w:hint="cs"/>
          <w:vanish/>
          <w:rtl/>
        </w:rPr>
        <w:t>-</w:t>
      </w:r>
      <w:r>
        <w:rPr>
          <w:rFonts w:hint="cs"/>
          <w:rtl/>
        </w:rPr>
        <w:t xml:space="preserve"> </w:t>
      </w:r>
      <w:r w:rsidRPr="00D16BB6">
        <w:rPr>
          <w:rStyle w:val="af2"/>
          <w:rFonts w:eastAsia="Guttman Hodes" w:hint="cs"/>
          <w:rtl/>
        </w:rPr>
        <w:t>(סי' שי"ט ט"ו)</w:t>
      </w:r>
      <w:r w:rsidRPr="00956D50">
        <w:rPr>
          <w:rFonts w:hint="cs"/>
          <w:vanish/>
          <w:rtl/>
        </w:rPr>
        <w:t>=</w:t>
      </w:r>
      <w:r>
        <w:rPr>
          <w:rFonts w:hint="cs"/>
          <w:rtl/>
        </w:rPr>
        <w:t xml:space="preserve"> דחלבון וחלמון הם ב' מינים, וכן משמע </w:t>
      </w:r>
      <w:r w:rsidRPr="00FB5644">
        <w:rPr>
          <w:rStyle w:val="aff4"/>
          <w:rFonts w:hint="cs"/>
          <w:vanish/>
          <w:rtl/>
        </w:rPr>
        <w:t>-</w:t>
      </w:r>
      <w:r w:rsidRPr="00656632">
        <w:rPr>
          <w:rStyle w:val="aff4"/>
          <w:rFonts w:hint="cs"/>
          <w:rtl/>
        </w:rPr>
        <w:t>בב"ח</w:t>
      </w:r>
      <w:r w:rsidRPr="00FB5644">
        <w:rPr>
          <w:rStyle w:val="aff4"/>
          <w:rFonts w:hint="cs"/>
          <w:vanish/>
          <w:rtl/>
        </w:rPr>
        <w:t>-</w:t>
      </w:r>
      <w:r>
        <w:rPr>
          <w:rFonts w:hint="cs"/>
          <w:rtl/>
        </w:rPr>
        <w:t xml:space="preserve"> </w:t>
      </w:r>
      <w:r w:rsidRPr="00D16BB6">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Ref137584962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יב)</w:t>
      </w:r>
      <w:r>
        <w:rPr>
          <w:rStyle w:val="af2"/>
          <w:rFonts w:eastAsia="Guttman Hodes"/>
          <w:rtl/>
        </w:rPr>
        <w:fldChar w:fldCharType="end"/>
      </w:r>
      <w:r>
        <w:rPr>
          <w:rFonts w:hint="cs"/>
          <w:rtl/>
        </w:rPr>
        <w:t xml:space="preserve"> </w:t>
      </w:r>
      <w:r w:rsidRPr="00FB5644">
        <w:rPr>
          <w:rStyle w:val="aff4"/>
          <w:rFonts w:hint="cs"/>
          <w:vanish/>
          <w:rtl/>
        </w:rPr>
        <w:t>-</w:t>
      </w:r>
      <w:r w:rsidRPr="00656632">
        <w:rPr>
          <w:rStyle w:val="aff4"/>
          <w:rFonts w:hint="cs"/>
          <w:rtl/>
        </w:rPr>
        <w:t>ובמג"א</w:t>
      </w:r>
      <w:r w:rsidRPr="00FB5644">
        <w:rPr>
          <w:rStyle w:val="aff4"/>
          <w:rFonts w:hint="cs"/>
          <w:vanish/>
          <w:rtl/>
        </w:rPr>
        <w:t>-</w:t>
      </w:r>
      <w:r>
        <w:rPr>
          <w:rFonts w:hint="cs"/>
          <w:rtl/>
        </w:rPr>
        <w:t xml:space="preserve"> </w:t>
      </w:r>
      <w:r w:rsidRPr="00D16BB6">
        <w:rPr>
          <w:rStyle w:val="af2"/>
          <w:rFonts w:eastAsia="Guttman Hodes" w:hint="cs"/>
          <w:rtl/>
        </w:rPr>
        <w:t>(סי' שי"ט סקט"ז)</w:t>
      </w:r>
      <w:r>
        <w:rPr>
          <w:rFonts w:hint="cs"/>
          <w:rtl/>
        </w:rPr>
        <w:t xml:space="preserve">, </w:t>
      </w:r>
      <w:r w:rsidRPr="005F470F">
        <w:rPr>
          <w:rStyle w:val="af"/>
          <w:rFonts w:hint="cs"/>
          <w:rtl/>
        </w:rPr>
        <w:t xml:space="preserve">[ועי' במ"ש </w:t>
      </w:r>
      <w:r w:rsidRPr="005F470F">
        <w:rPr>
          <w:rStyle w:val="aff9"/>
          <w:rFonts w:hint="cs"/>
          <w:vanish/>
          <w:rtl/>
        </w:rPr>
        <w:t>-</w:t>
      </w:r>
      <w:r w:rsidRPr="005F470F">
        <w:rPr>
          <w:rStyle w:val="aff9"/>
          <w:rFonts w:hint="cs"/>
          <w:rtl/>
        </w:rPr>
        <w:t>ה</w:t>
      </w:r>
      <w:r w:rsidRPr="005F470F">
        <w:rPr>
          <w:rStyle w:val="aff9"/>
          <w:rFonts w:hint="cs"/>
          <w:vanish/>
          <w:rtl/>
        </w:rPr>
        <w:t>&lt; &gt;</w:t>
      </w:r>
      <w:r w:rsidRPr="005F470F">
        <w:rPr>
          <w:rStyle w:val="aff9"/>
          <w:rFonts w:hint="cs"/>
          <w:rtl/>
        </w:rPr>
        <w:t>ט"ז</w:t>
      </w:r>
      <w:r w:rsidRPr="005F470F">
        <w:rPr>
          <w:rStyle w:val="aff9"/>
          <w:rFonts w:hint="cs"/>
          <w:vanish/>
          <w:rtl/>
        </w:rPr>
        <w:t>-</w:t>
      </w:r>
      <w:r w:rsidRPr="005F470F">
        <w:rPr>
          <w:rStyle w:val="af"/>
          <w:rFonts w:hint="cs"/>
          <w:rtl/>
        </w:rPr>
        <w:t xml:space="preserve"> </w:t>
      </w:r>
      <w:r w:rsidRPr="005F470F">
        <w:rPr>
          <w:rStyle w:val="aff0"/>
          <w:rFonts w:hint="cs"/>
          <w:rtl/>
        </w:rPr>
        <w:t>(סי' שי"ט סקי"ב</w:t>
      </w:r>
      <w:r>
        <w:rPr>
          <w:rStyle w:val="aff0"/>
          <w:rFonts w:hint="cs"/>
          <w:rtl/>
        </w:rPr>
        <w:t>)</w:t>
      </w:r>
      <w:r w:rsidRPr="005F470F">
        <w:rPr>
          <w:rStyle w:val="af"/>
          <w:rFonts w:hint="cs"/>
          <w:vanish/>
          <w:rtl/>
        </w:rPr>
        <w:t>=</w:t>
      </w:r>
      <w:r w:rsidRPr="005F470F">
        <w:rPr>
          <w:rStyle w:val="af"/>
          <w:rFonts w:hint="cs"/>
          <w:rtl/>
        </w:rPr>
        <w:t>],</w:t>
      </w:r>
      <w:r>
        <w:rPr>
          <w:rFonts w:hint="cs"/>
          <w:rtl/>
        </w:rPr>
        <w:t xml:space="preserve"> וכתב </w:t>
      </w:r>
      <w:r w:rsidRPr="00956D50">
        <w:rPr>
          <w:rStyle w:val="aff4"/>
          <w:rFonts w:hint="cs"/>
          <w:vanish/>
          <w:rtl/>
        </w:rPr>
        <w:t>-</w:t>
      </w:r>
      <w:r w:rsidRPr="00B17CDF">
        <w:rPr>
          <w:rStyle w:val="aff4"/>
          <w:rFonts w:hint="cs"/>
          <w:rtl/>
        </w:rPr>
        <w:t>הפרמ"ג</w:t>
      </w:r>
      <w:r w:rsidRPr="00B17CDF">
        <w:rPr>
          <w:rStyle w:val="aff4"/>
          <w:rFonts w:hint="cs"/>
          <w:vanish/>
          <w:rtl/>
        </w:rPr>
        <w:t>-</w:t>
      </w:r>
      <w:r w:rsidRPr="00B17CDF">
        <w:rPr>
          <w:rFonts w:hint="cs"/>
          <w:rtl/>
        </w:rPr>
        <w:t xml:space="preserve"> </w:t>
      </w:r>
      <w:r>
        <w:rPr>
          <w:rFonts w:hint="cs"/>
          <w:rtl/>
        </w:rPr>
        <w:t xml:space="preserve">דלפי"ז אף בנפה וכברה מותר לבוררם דאינו רוצה לאכול את שניהם עכשיו, </w:t>
      </w:r>
      <w:r w:rsidRPr="00D16BB6">
        <w:rPr>
          <w:rStyle w:val="af"/>
          <w:rFonts w:hint="cs"/>
          <w:rtl/>
        </w:rPr>
        <w:t xml:space="preserve">[כדביאר </w:t>
      </w:r>
      <w:r w:rsidRPr="00D16BB6">
        <w:rPr>
          <w:rStyle w:val="aff9"/>
          <w:rFonts w:hint="cs"/>
          <w:vanish/>
          <w:rtl/>
        </w:rPr>
        <w:t>-</w:t>
      </w:r>
      <w:r w:rsidRPr="00D16BB6">
        <w:rPr>
          <w:rStyle w:val="aff9"/>
          <w:rFonts w:hint="cs"/>
          <w:rtl/>
        </w:rPr>
        <w:t>הפרמ"ג</w:t>
      </w:r>
      <w:r w:rsidRPr="00D16BB6">
        <w:rPr>
          <w:rStyle w:val="aff9"/>
          <w:rFonts w:hint="cs"/>
          <w:vanish/>
          <w:rtl/>
        </w:rPr>
        <w:t>-</w:t>
      </w:r>
      <w:r w:rsidRPr="00D16BB6">
        <w:rPr>
          <w:rStyle w:val="af"/>
          <w:rFonts w:hint="cs"/>
          <w:rtl/>
        </w:rPr>
        <w:t xml:space="preserve"> </w:t>
      </w:r>
      <w:r w:rsidRPr="00D16BB6">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Ref137118775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מז)</w:t>
      </w:r>
      <w:r>
        <w:rPr>
          <w:rStyle w:val="aff0"/>
          <w:rtl/>
        </w:rPr>
        <w:fldChar w:fldCharType="end"/>
      </w:r>
      <w:r w:rsidRPr="00D16BB6">
        <w:rPr>
          <w:rStyle w:val="af"/>
          <w:rFonts w:hint="cs"/>
          <w:rtl/>
        </w:rPr>
        <w:t>]</w:t>
      </w:r>
      <w:r w:rsidRPr="002650B4">
        <w:rPr>
          <w:rStyle w:val="af"/>
          <w:rFonts w:hint="cs"/>
          <w:rtl/>
        </w:rPr>
        <w:t>,</w:t>
      </w:r>
      <w:r>
        <w:rPr>
          <w:rFonts w:hint="cs"/>
          <w:rtl/>
        </w:rPr>
        <w:t xml:space="preserve"> והמשמרת היא כמו נפה, דהא אם שימר חייב.</w:t>
      </w:r>
      <w:bookmarkEnd w:id="2439"/>
      <w:r>
        <w:rPr>
          <w:rFonts w:hint="cs"/>
          <w:rtl/>
        </w:rPr>
        <w:t xml:space="preserve"> </w:t>
      </w:r>
    </w:p>
    <w:p w14:paraId="2F19FDA6" w14:textId="77777777" w:rsidR="00592982" w:rsidRPr="00747170" w:rsidRDefault="00592982" w:rsidP="00747170">
      <w:pPr>
        <w:pStyle w:val="a2"/>
      </w:pPr>
      <w:r w:rsidRPr="00747170">
        <w:rPr>
          <w:rtl/>
        </w:rPr>
        <w:t>(יב) שהחלמון. עיין ט"ז. הוכיח מה שכתב לעיל אות ב' דבמין אחד שייך ברירה, מדהוצרך הטור לומר דהחלמון לגוון, וכן הוא בגמרא [שבת] ק"מ א', יע"ש, שמע מינה דבמין אחד שייך ברירה, אלא שאין עושין כי אם לגוון ואין רוצה לאכול כלל לא חלמון ולא חלבון לכך אין ברירה. ומיהו אוכל מפסולת אף שאין רוצה לאכול פשיטא דהוה בורר. ובלבוש [סעיף טו] כתב שהחלבון וחלמון שני מינים הם, וכן משמע בב"ח [עמוד תלא דבור ראשון], עיין מ"א אות י"ו. ולפי זה בנפה וכברה כל שאין רוצה לאכול עתה שניהם שרי, דמשמרת כנפה דמי, שהרי שימר חייב חטאת.</w:t>
      </w:r>
    </w:p>
    <w:p w14:paraId="132490A4" w14:textId="77777777" w:rsidR="00592982" w:rsidRDefault="00592982" w:rsidP="00592982">
      <w:pPr>
        <w:pStyle w:val="afffffb"/>
        <w:rPr>
          <w:rtl/>
        </w:rPr>
      </w:pPr>
      <w:r>
        <w:rPr>
          <w:rtl/>
        </w:rPr>
        <w:t>באור הלכה סי</w:t>
      </w:r>
      <w:r>
        <w:rPr>
          <w:rFonts w:hint="cs"/>
          <w:rtl/>
        </w:rPr>
        <w:t xml:space="preserve">' </w:t>
      </w:r>
      <w:r>
        <w:rPr>
          <w:rtl/>
        </w:rPr>
        <w:t>שי</w:t>
      </w:r>
      <w:r>
        <w:rPr>
          <w:rFonts w:hint="cs"/>
          <w:rtl/>
        </w:rPr>
        <w:t>"</w:t>
      </w:r>
      <w:r>
        <w:rPr>
          <w:rtl/>
        </w:rPr>
        <w:t>ט</w:t>
      </w:r>
      <w:r>
        <w:rPr>
          <w:rFonts w:hint="cs"/>
          <w:rtl/>
        </w:rPr>
        <w:t xml:space="preserve"> </w:t>
      </w:r>
      <w:r>
        <w:rPr>
          <w:rtl/>
        </w:rPr>
        <w:t>ג</w:t>
      </w:r>
      <w:r>
        <w:rPr>
          <w:rFonts w:hint="cs"/>
          <w:rtl/>
        </w:rPr>
        <w:t>' ד"ה היו</w:t>
      </w:r>
    </w:p>
    <w:p w14:paraId="7CCD940E" w14:textId="77777777" w:rsidR="00592982" w:rsidRDefault="00592982" w:rsidP="00592982">
      <w:pPr>
        <w:pStyle w:val="a7"/>
        <w:rPr>
          <w:rtl/>
        </w:rPr>
      </w:pPr>
      <w:bookmarkStart w:id="2440" w:name="_Toc137741987"/>
      <w:r>
        <w:rPr>
          <w:rFonts w:hint="cs"/>
          <w:rtl/>
        </w:rPr>
        <w:t>דחיית הביה"ל דבחלמון וחלבון אינו רוצה אותם לאכילה כלל אבל באכילה לאח"ז הוי בורר</w:t>
      </w:r>
      <w:bookmarkEnd w:id="2440"/>
    </w:p>
    <w:p w14:paraId="75B5CAEE" w14:textId="47404AFE" w:rsidR="00592982" w:rsidRPr="00E31628" w:rsidRDefault="00592982" w:rsidP="00BC7DC8">
      <w:pPr>
        <w:pStyle w:val="a3"/>
        <w:rPr>
          <w:rtl/>
        </w:rPr>
      </w:pPr>
      <w:bookmarkStart w:id="2441" w:name="_Ref137587636"/>
      <w:r>
        <w:rPr>
          <w:rFonts w:hint="cs"/>
          <w:rtl/>
        </w:rPr>
        <w:t xml:space="preserve">ודחה </w:t>
      </w:r>
      <w:r w:rsidRPr="00BE47C5">
        <w:rPr>
          <w:rStyle w:val="aff4"/>
          <w:rFonts w:hint="cs"/>
          <w:vanish/>
          <w:rtl/>
        </w:rPr>
        <w:t>-</w:t>
      </w:r>
      <w:r w:rsidRPr="00BF56CC">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Ref137587636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נב)</w:t>
      </w:r>
      <w:r>
        <w:rPr>
          <w:rStyle w:val="aff4"/>
          <w:vanish/>
          <w:rtl/>
        </w:rPr>
        <w:fldChar w:fldCharType="end"/>
      </w:r>
      <w:r>
        <w:rPr>
          <w:rStyle w:val="aff4"/>
          <w:rFonts w:hint="cs"/>
          <w:vanish/>
          <w:rtl/>
        </w:rPr>
        <w:t xml:space="preserve"> &gt;</w:t>
      </w:r>
      <w:r w:rsidRPr="00BF56CC">
        <w:rPr>
          <w:rStyle w:val="aff4"/>
          <w:rFonts w:hint="cs"/>
          <w:rtl/>
        </w:rPr>
        <w:t>ביה"ל</w:t>
      </w:r>
      <w:r w:rsidRPr="00BE47C5">
        <w:rPr>
          <w:rStyle w:val="aff4"/>
          <w:rFonts w:hint="cs"/>
          <w:vanish/>
          <w:rtl/>
        </w:rPr>
        <w:t>-</w:t>
      </w:r>
      <w:r>
        <w:rPr>
          <w:rFonts w:hint="cs"/>
          <w:rtl/>
        </w:rPr>
        <w:t xml:space="preserve"> </w:t>
      </w:r>
      <w:r w:rsidRPr="00D16BB6">
        <w:rPr>
          <w:rStyle w:val="af2"/>
          <w:rFonts w:eastAsia="Guttman Hodes" w:hint="cs"/>
          <w:rtl/>
        </w:rPr>
        <w:t>(סי' שי"ט ג' סוד"ה היו)</w:t>
      </w:r>
      <w:r w:rsidRPr="00BE47C5">
        <w:rPr>
          <w:rFonts w:hint="cs"/>
          <w:vanish/>
          <w:rtl/>
        </w:rPr>
        <w:t>=</w:t>
      </w:r>
      <w:r>
        <w:rPr>
          <w:rFonts w:hint="cs"/>
          <w:rtl/>
        </w:rPr>
        <w:t xml:space="preserve"> את דברי </w:t>
      </w:r>
      <w:r w:rsidRPr="00BE47C5">
        <w:rPr>
          <w:rStyle w:val="aff4"/>
          <w:rFonts w:hint="cs"/>
          <w:vanish/>
          <w:rtl/>
        </w:rPr>
        <w:t>-</w:t>
      </w:r>
      <w:r w:rsidRPr="00BF56CC">
        <w:rPr>
          <w:rStyle w:val="aff4"/>
          <w:rFonts w:hint="cs"/>
          <w:rtl/>
        </w:rPr>
        <w:t>הפרמ"ג</w:t>
      </w:r>
      <w:r w:rsidRPr="00BE47C5">
        <w:rPr>
          <w:rStyle w:val="aff4"/>
          <w:rFonts w:hint="cs"/>
          <w:vanish/>
          <w:rtl/>
        </w:rPr>
        <w:t>-</w:t>
      </w:r>
      <w:r>
        <w:rPr>
          <w:rFonts w:hint="cs"/>
          <w:rtl/>
        </w:rPr>
        <w:t xml:space="preserve"> </w:t>
      </w:r>
      <w:r w:rsidRPr="00D16BB6">
        <w:rPr>
          <w:rStyle w:val="af2"/>
          <w:rFonts w:eastAsia="Guttman Hodes" w:hint="cs"/>
          <w:rtl/>
        </w:rPr>
        <w:t xml:space="preserve">(עי' אות </w:t>
      </w:r>
      <w:r w:rsidRPr="00D16BB6">
        <w:rPr>
          <w:rStyle w:val="af2"/>
          <w:rFonts w:eastAsia="Guttman Hodes"/>
          <w:rtl/>
        </w:rPr>
        <w:fldChar w:fldCharType="begin"/>
      </w:r>
      <w:r w:rsidRPr="00D16BB6">
        <w:rPr>
          <w:rStyle w:val="af2"/>
          <w:rFonts w:eastAsia="Guttman Hodes"/>
          <w:rtl/>
        </w:rPr>
        <w:instrText xml:space="preserve"> </w:instrText>
      </w:r>
      <w:r w:rsidRPr="00D16BB6">
        <w:rPr>
          <w:rStyle w:val="af2"/>
          <w:rFonts w:eastAsia="Guttman Hodes" w:hint="cs"/>
        </w:rPr>
        <w:instrText>REF</w:instrText>
      </w:r>
      <w:r w:rsidRPr="00D16BB6">
        <w:rPr>
          <w:rStyle w:val="af2"/>
          <w:rFonts w:eastAsia="Guttman Hodes" w:hint="cs"/>
          <w:rtl/>
        </w:rPr>
        <w:instrText xml:space="preserve"> _</w:instrText>
      </w:r>
      <w:r w:rsidRPr="00D16BB6">
        <w:rPr>
          <w:rStyle w:val="af2"/>
          <w:rFonts w:eastAsia="Guttman Hodes" w:hint="cs"/>
        </w:rPr>
        <w:instrText>Ref137140308 \r \h</w:instrText>
      </w:r>
      <w:r w:rsidRPr="00D16BB6">
        <w:rPr>
          <w:rStyle w:val="af2"/>
          <w:rFonts w:eastAsia="Guttman Hodes"/>
          <w:rtl/>
        </w:rPr>
        <w:instrText xml:space="preserve"> </w:instrText>
      </w:r>
      <w:r w:rsidRPr="00D16BB6">
        <w:rPr>
          <w:rStyle w:val="af2"/>
          <w:rFonts w:eastAsia="Guttman Hodes"/>
          <w:rtl/>
        </w:rPr>
      </w:r>
      <w:r w:rsidRPr="00D16BB6">
        <w:rPr>
          <w:rStyle w:val="af2"/>
          <w:rFonts w:eastAsia="Guttman Hodes"/>
          <w:rtl/>
        </w:rPr>
        <w:fldChar w:fldCharType="separate"/>
      </w:r>
      <w:r w:rsidR="00D82181">
        <w:rPr>
          <w:rStyle w:val="af2"/>
          <w:rFonts w:eastAsia="Guttman Hodes"/>
          <w:cs/>
        </w:rPr>
        <w:t>‎</w:t>
      </w:r>
      <w:r w:rsidR="00D82181">
        <w:rPr>
          <w:rStyle w:val="af2"/>
          <w:rFonts w:eastAsia="Guttman Hodes"/>
          <w:rtl/>
        </w:rPr>
        <w:t>נא)</w:t>
      </w:r>
      <w:r w:rsidRPr="00D16BB6">
        <w:rPr>
          <w:rStyle w:val="af2"/>
          <w:rFonts w:eastAsia="Guttman Hodes"/>
          <w:rtl/>
        </w:rPr>
        <w:fldChar w:fldCharType="end"/>
      </w:r>
      <w:r>
        <w:rPr>
          <w:rFonts w:hint="cs"/>
          <w:rtl/>
        </w:rPr>
        <w:t xml:space="preserve"> דדוקא בביצה חשיב שאינו רוצה לאוכלם לעולם, דהחלבון מתערב בפסולת והחלמון בא לגוון לכן אי"ז בורר, אבל בכל ב' מינים שרוצה לאכול כ"א מהם בפנ"ע לאח"ז הוא בורר גמור.</w:t>
      </w:r>
      <w:bookmarkEnd w:id="2441"/>
    </w:p>
    <w:p w14:paraId="5A36F163" w14:textId="77777777" w:rsidR="00592982" w:rsidRPr="00747170" w:rsidRDefault="00592982" w:rsidP="00747170">
      <w:pPr>
        <w:pStyle w:val="a2"/>
        <w:rPr>
          <w:rtl/>
        </w:rPr>
      </w:pPr>
      <w:r w:rsidRPr="00747170">
        <w:rPr>
          <w:rtl/>
        </w:rPr>
        <w:t>והנה הפמ"ג במ"ז סקי"ב אהא דאיתא שם דשרי לסנן החלמון מן החלבון ע"י מסננת [שהוא דומה לנפה וכברה] אף דמקרי ב' מינים והטעם משום דאין מסנן החלמון כדי לאכול כ"א ליפות מראה החרדל ומזה הוכיח שם דה"ה דמותר לברור שני מיני אוכלים אחד מחבירו אף ע"י נפה וכברה היכא דאין רוצה לאכלם עתה ולענ"ד לא דמי כלל דהתם תרוייהו אינם עומדים לאכילה לעולם דהחלבון נתערב בפסולת החרדל ואין רוצה לאכלה והחלמון יורד למטה לגוון ולא לאכילה ולפיכך אין שייך ע"ז שם בורר שאין מתקנם ע"י ברירתו לאכילה לעולם אבל כשבורר שני מיני אוכלים כ"א מחבירו כדי לאכול כל מין בפני עצמו לאחר זמן הרי שפיר מתקן שניהם ע"י ברירתו ובורר גמור הוא וכמו שכתבנו:</w:t>
      </w:r>
    </w:p>
    <w:p w14:paraId="08D75695" w14:textId="15245EA1" w:rsidR="00592982" w:rsidRPr="00A01FD3" w:rsidRDefault="00592982" w:rsidP="00592982">
      <w:pPr>
        <w:pStyle w:val="affff5"/>
        <w:rPr>
          <w:rtl/>
        </w:rPr>
      </w:pPr>
      <w:bookmarkStart w:id="2442" w:name="_Toc137741988"/>
      <w:r>
        <w:rPr>
          <w:rFonts w:hint="cs"/>
          <w:rtl/>
        </w:rPr>
        <w:t>בבורר בב' מינים אי חשיב צריך לגופה</w:t>
      </w:r>
      <w:bookmarkEnd w:id="2442"/>
    </w:p>
    <w:p w14:paraId="48215005" w14:textId="77777777" w:rsidR="00592982" w:rsidRPr="00A0087B" w:rsidRDefault="00592982" w:rsidP="00592982">
      <w:pPr>
        <w:pStyle w:val="1"/>
        <w:rPr>
          <w:rtl/>
        </w:rPr>
      </w:pPr>
      <w:bookmarkStart w:id="2443" w:name="_Toc137741989"/>
      <w:r>
        <w:rPr>
          <w:rFonts w:hint="cs"/>
          <w:rtl/>
        </w:rPr>
        <w:t>בגדר המלאכה בב' מינים אי מתקן האוכל או דהוא אצל"ג</w:t>
      </w:r>
      <w:bookmarkEnd w:id="2443"/>
    </w:p>
    <w:p w14:paraId="4107AB01" w14:textId="77777777" w:rsidR="00592982" w:rsidRDefault="00592982" w:rsidP="00592982">
      <w:pPr>
        <w:pStyle w:val="afffff7"/>
        <w:rPr>
          <w:rtl/>
        </w:rPr>
      </w:pPr>
      <w:bookmarkStart w:id="2444" w:name="_Toc136618726"/>
      <w:bookmarkStart w:id="2445" w:name="_Toc137742070"/>
      <w:bookmarkStart w:id="2446" w:name="_Toc163505838"/>
      <w:r w:rsidRPr="00C02166">
        <w:rPr>
          <w:rtl/>
        </w:rPr>
        <w:t>ישועות יעקב סי שי"ט סק"א</w:t>
      </w:r>
      <w:bookmarkEnd w:id="2444"/>
      <w:bookmarkEnd w:id="2445"/>
      <w:bookmarkEnd w:id="2446"/>
    </w:p>
    <w:p w14:paraId="5E382160" w14:textId="77777777" w:rsidR="00592982" w:rsidRDefault="00592982" w:rsidP="00592982">
      <w:pPr>
        <w:pStyle w:val="a7"/>
        <w:rPr>
          <w:rtl/>
        </w:rPr>
      </w:pPr>
      <w:bookmarkStart w:id="2447" w:name="_Toc137741990"/>
      <w:r>
        <w:rPr>
          <w:rFonts w:hint="cs"/>
          <w:rtl/>
        </w:rPr>
        <w:t>בי' הישועות יעקב דבורר הוא תיקון האוכל אבל בב' מיני אוכלין הוא מלאכה שא"צ לגופה</w:t>
      </w:r>
      <w:bookmarkEnd w:id="2447"/>
    </w:p>
    <w:p w14:paraId="2A653BD0" w14:textId="2B50F039" w:rsidR="00592982" w:rsidRPr="002F3F53" w:rsidRDefault="00592982" w:rsidP="00BC7DC8">
      <w:pPr>
        <w:pStyle w:val="a3"/>
      </w:pPr>
      <w:r>
        <w:rPr>
          <w:rFonts w:hint="cs"/>
          <w:rtl/>
        </w:rPr>
        <w:t xml:space="preserve">עי' במ"ש </w:t>
      </w:r>
      <w:r w:rsidRPr="00332189">
        <w:rPr>
          <w:rStyle w:val="aff4"/>
          <w:rFonts w:hint="cs"/>
          <w:vanish/>
          <w:rtl/>
        </w:rPr>
        <w:t>-</w:t>
      </w:r>
      <w:r w:rsidRPr="002241EC">
        <w:rPr>
          <w:rStyle w:val="aff4"/>
          <w:rFonts w:hint="cs"/>
          <w:rtl/>
        </w:rPr>
        <w:t>ה</w:t>
      </w:r>
      <w:r w:rsidRPr="00C86935">
        <w:rPr>
          <w:rStyle w:val="aff4"/>
          <w:rFonts w:hint="cs"/>
          <w:rtl/>
        </w:rPr>
        <w:t>בהע"מ לקמן</w:t>
      </w:r>
      <w:r w:rsidRPr="00332189">
        <w:rPr>
          <w:rStyle w:val="aff4"/>
          <w:rFonts w:hint="cs"/>
          <w:vanish/>
          <w:rtl/>
        </w:rPr>
        <w:t>-</w:t>
      </w:r>
      <w:r w:rsidRPr="000F6D82">
        <w:rPr>
          <w:rStyle w:val="aff4"/>
          <w:rFonts w:hint="cs"/>
          <w:rtl/>
        </w:rPr>
        <w:t xml:space="preserve"> </w:t>
      </w:r>
      <w:r w:rsidRPr="00D16BB6">
        <w:rPr>
          <w:rStyle w:val="af2"/>
          <w:rFonts w:eastAsia="Guttman Hodes" w:hint="cs"/>
          <w:rtl/>
        </w:rPr>
        <w:t>(לח. מדה"ר ד"ה כל מלאכה, מהדו' עוז והדר</w:t>
      </w:r>
      <w:r>
        <w:rPr>
          <w:rStyle w:val="af2"/>
          <w:rFonts w:eastAsia="Guttman Hodes" w:hint="cs"/>
          <w:rtl/>
        </w:rPr>
        <w:t>"</w:t>
      </w:r>
      <w:r w:rsidRPr="00D16BB6">
        <w:rPr>
          <w:rStyle w:val="af2"/>
          <w:rFonts w:eastAsia="Guttman Hodes" w:hint="cs"/>
          <w:rtl/>
        </w:rPr>
        <w:t xml:space="preserve"> עמ' ק"ו ד"ה כל זה, הובא בסימן ה' אות א')</w:t>
      </w:r>
      <w:r w:rsidRPr="000F6D82">
        <w:rPr>
          <w:rStyle w:val="aff4"/>
          <w:rFonts w:hint="cs"/>
          <w:rtl/>
        </w:rPr>
        <w:t xml:space="preserve"> </w:t>
      </w:r>
      <w:r w:rsidRPr="000F6D82">
        <w:rPr>
          <w:rFonts w:hint="cs"/>
          <w:rtl/>
        </w:rPr>
        <w:t xml:space="preserve">דכל </w:t>
      </w:r>
      <w:r w:rsidRPr="00B54B73">
        <w:rPr>
          <w:rFonts w:hint="cs"/>
          <w:rtl/>
        </w:rPr>
        <w:t xml:space="preserve">המלאכות שהיו במשכן הם לצורך גופן, חוץ מזורה ובורר, </w:t>
      </w:r>
      <w:r>
        <w:rPr>
          <w:rFonts w:hint="cs"/>
          <w:rtl/>
        </w:rPr>
        <w:t xml:space="preserve">דא"צ לגופן, והקשה </w:t>
      </w:r>
      <w:r w:rsidRPr="00332189">
        <w:rPr>
          <w:rStyle w:val="aff4"/>
          <w:rFonts w:hint="cs"/>
          <w:vanish/>
          <w:rtl/>
        </w:rPr>
        <w:t>-</w:t>
      </w:r>
      <w:r w:rsidRPr="00BF46FD">
        <w:rPr>
          <w:rStyle w:val="aff4"/>
          <w:rFonts w:hint="cs"/>
          <w:rtl/>
        </w:rPr>
        <w:t>ה</w:t>
      </w:r>
      <w:r w:rsidRPr="00332189">
        <w:rPr>
          <w:rStyle w:val="aff4"/>
          <w:rFonts w:hint="cs"/>
          <w:vanish/>
          <w:rtl/>
        </w:rPr>
        <w:t xml:space="preserve">&lt;. </w:t>
      </w:r>
      <w:r w:rsidRPr="00332189">
        <w:rPr>
          <w:rStyle w:val="aff4"/>
          <w:vanish/>
          <w:rtl/>
        </w:rPr>
        <w:fldChar w:fldCharType="begin"/>
      </w:r>
      <w:r w:rsidRPr="00332189">
        <w:rPr>
          <w:rStyle w:val="aff4"/>
          <w:vanish/>
          <w:rtl/>
        </w:rPr>
        <w:instrText xml:space="preserve"> </w:instrText>
      </w:r>
      <w:r w:rsidRPr="00332189">
        <w:rPr>
          <w:rStyle w:val="aff4"/>
          <w:rFonts w:hint="cs"/>
          <w:vanish/>
        </w:rPr>
        <w:instrText>REF</w:instrText>
      </w:r>
      <w:r w:rsidRPr="00332189">
        <w:rPr>
          <w:rStyle w:val="aff4"/>
          <w:rFonts w:hint="cs"/>
          <w:vanish/>
          <w:rtl/>
        </w:rPr>
        <w:instrText xml:space="preserve"> _</w:instrText>
      </w:r>
      <w:r w:rsidRPr="00332189">
        <w:rPr>
          <w:rStyle w:val="aff4"/>
          <w:rFonts w:hint="cs"/>
          <w:vanish/>
        </w:rPr>
        <w:instrText>Ref135773031 \r \h</w:instrText>
      </w:r>
      <w:r w:rsidRPr="00332189">
        <w:rPr>
          <w:rStyle w:val="aff4"/>
          <w:vanish/>
          <w:rtl/>
        </w:rPr>
        <w:instrText xml:space="preserve"> </w:instrText>
      </w:r>
      <w:r w:rsidRPr="00332189">
        <w:rPr>
          <w:rStyle w:val="aff4"/>
          <w:vanish/>
          <w:rtl/>
        </w:rPr>
      </w:r>
      <w:r w:rsidRPr="00332189">
        <w:rPr>
          <w:rStyle w:val="aff4"/>
          <w:vanish/>
          <w:rtl/>
        </w:rPr>
        <w:fldChar w:fldCharType="separate"/>
      </w:r>
      <w:r w:rsidR="00D82181">
        <w:rPr>
          <w:rStyle w:val="aff4"/>
          <w:vanish/>
          <w:cs/>
        </w:rPr>
        <w:t>‎</w:t>
      </w:r>
      <w:r w:rsidR="00D82181">
        <w:rPr>
          <w:rStyle w:val="aff4"/>
          <w:vanish/>
          <w:rtl/>
        </w:rPr>
        <w:t>ג)</w:t>
      </w:r>
      <w:r w:rsidRPr="00332189">
        <w:rPr>
          <w:rStyle w:val="aff4"/>
          <w:vanish/>
          <w:rtl/>
        </w:rPr>
        <w:fldChar w:fldCharType="end"/>
      </w:r>
      <w:r w:rsidRPr="00332189">
        <w:rPr>
          <w:rStyle w:val="aff4"/>
          <w:rFonts w:hint="cs"/>
          <w:vanish/>
          <w:rtl/>
        </w:rPr>
        <w:t xml:space="preserve"> &gt;</w:t>
      </w:r>
      <w:r w:rsidRPr="00BF46FD">
        <w:rPr>
          <w:rStyle w:val="aff4"/>
          <w:rFonts w:hint="cs"/>
          <w:rtl/>
        </w:rPr>
        <w:t>ישועות יעקב</w:t>
      </w:r>
      <w:r w:rsidRPr="00332189">
        <w:rPr>
          <w:rStyle w:val="aff4"/>
          <w:rFonts w:hint="cs"/>
          <w:vanish/>
          <w:rtl/>
        </w:rPr>
        <w:t>-</w:t>
      </w:r>
      <w:r>
        <w:rPr>
          <w:rFonts w:hint="cs"/>
          <w:rtl/>
        </w:rPr>
        <w:t xml:space="preserve"> </w:t>
      </w:r>
      <w:r w:rsidRPr="00D16BB6">
        <w:rPr>
          <w:rStyle w:val="af2"/>
          <w:rFonts w:eastAsia="Guttman Hodes" w:hint="cs"/>
          <w:rtl/>
        </w:rPr>
        <w:t>(סי' שי"ט סק"א)</w:t>
      </w:r>
      <w:r w:rsidRPr="00332189">
        <w:rPr>
          <w:rFonts w:hint="cs"/>
          <w:vanish/>
          <w:rtl/>
        </w:rPr>
        <w:t>=</w:t>
      </w:r>
      <w:r>
        <w:rPr>
          <w:rFonts w:hint="cs"/>
          <w:rtl/>
        </w:rPr>
        <w:t xml:space="preserve"> דא"כ נילף מבורר דבכל מלאכות שבת יתחייב אף כשא"צ לגוף המלאכה, אלא כתב </w:t>
      </w:r>
      <w:r w:rsidRPr="00332189">
        <w:rPr>
          <w:rStyle w:val="aff4"/>
          <w:rFonts w:hint="cs"/>
          <w:vanish/>
          <w:rtl/>
        </w:rPr>
        <w:t>-</w:t>
      </w:r>
      <w:r w:rsidRPr="00BF46FD">
        <w:rPr>
          <w:rStyle w:val="aff4"/>
          <w:rFonts w:hint="cs"/>
          <w:rtl/>
        </w:rPr>
        <w:t>הישועות יעקב</w:t>
      </w:r>
      <w:r w:rsidRPr="00332189">
        <w:rPr>
          <w:rStyle w:val="aff4"/>
          <w:rFonts w:hint="cs"/>
          <w:vanish/>
          <w:rtl/>
        </w:rPr>
        <w:t>-</w:t>
      </w:r>
      <w:r>
        <w:rPr>
          <w:rFonts w:hint="cs"/>
          <w:rtl/>
        </w:rPr>
        <w:t xml:space="preserve"> דהחיוב בבורר הוא כיון דהפסולת לא ראויה לאכילה, ועי"ז גם האוכל לא ראוי כ"כ, ולכן כשמפריד את הפסולת מהאוכל הוא מתקן את האוכל, והוי מלאכה הצריכה לגוף האוכל, דעי"ז נעשה לאוכל גמור, וכתב</w:t>
      </w:r>
      <w:r w:rsidRPr="001152D3">
        <w:rPr>
          <w:rtl/>
        </w:rPr>
        <w:t xml:space="preserve"> </w:t>
      </w:r>
      <w:r w:rsidRPr="00332189">
        <w:rPr>
          <w:rStyle w:val="aff4"/>
          <w:vanish/>
          <w:rtl/>
        </w:rPr>
        <w:t>-</w:t>
      </w:r>
      <w:r w:rsidRPr="0085567C">
        <w:rPr>
          <w:rStyle w:val="aff4"/>
          <w:rtl/>
        </w:rPr>
        <w:t>הישועות יעקב</w:t>
      </w:r>
      <w:r w:rsidRPr="00332189">
        <w:rPr>
          <w:rStyle w:val="aff4"/>
          <w:vanish/>
          <w:rtl/>
        </w:rPr>
        <w:t>-</w:t>
      </w:r>
      <w:r w:rsidRPr="001152D3">
        <w:rPr>
          <w:rtl/>
        </w:rPr>
        <w:t xml:space="preserve"> </w:t>
      </w:r>
      <w:r>
        <w:rPr>
          <w:rFonts w:hint="cs"/>
          <w:rtl/>
        </w:rPr>
        <w:t xml:space="preserve">דלכן שיעור בורר הוא כגרוגרת מהאוכל והפסולת יחד, דהמלאכה היא בשניהם, </w:t>
      </w:r>
      <w:r w:rsidRPr="001152D3">
        <w:rPr>
          <w:rtl/>
        </w:rPr>
        <w:t xml:space="preserve">וכתב </w:t>
      </w:r>
      <w:r w:rsidRPr="00332189">
        <w:rPr>
          <w:rStyle w:val="aff4"/>
          <w:vanish/>
          <w:rtl/>
        </w:rPr>
        <w:t>-</w:t>
      </w:r>
      <w:r w:rsidRPr="0085567C">
        <w:rPr>
          <w:rStyle w:val="aff4"/>
          <w:rtl/>
        </w:rPr>
        <w:t>הישועות יעקב</w:t>
      </w:r>
      <w:r w:rsidRPr="00332189">
        <w:rPr>
          <w:rStyle w:val="aff4"/>
          <w:vanish/>
          <w:rtl/>
        </w:rPr>
        <w:t>-</w:t>
      </w:r>
      <w:r w:rsidRPr="001152D3">
        <w:rPr>
          <w:rtl/>
        </w:rPr>
        <w:t xml:space="preserve"> דלכן החיוב הוא רק בפסולת מתוך אוכל, דעי"ז מתקן שיהיה האוכל ראוי לאכילה, אבל בב' מיני אוכלין ואינו רוצה את א' מהם, חשיב מלאכה שא"צ לגופה, כיון דשניהם ראויים לאכילה</w:t>
      </w:r>
      <w:r>
        <w:rPr>
          <w:rFonts w:hint="cs"/>
          <w:rtl/>
        </w:rPr>
        <w:t>.</w:t>
      </w:r>
    </w:p>
    <w:p w14:paraId="08B46F89" w14:textId="77777777" w:rsidR="00592982" w:rsidRPr="00747170" w:rsidRDefault="00592982" w:rsidP="00747170">
      <w:pPr>
        <w:pStyle w:val="a2"/>
        <w:rPr>
          <w:rtl/>
        </w:rPr>
      </w:pPr>
      <w:r w:rsidRPr="00747170">
        <w:rPr>
          <w:rtl/>
        </w:rPr>
        <w:lastRenderedPageBreak/>
        <w:t>והנה זה לי ימים רבים בימי ילדותי היה הדבר תמוה בעיני בגוף חיובא דמלאכת בורר דהיינו בבורר פסולת מתוך האוכל דהרי הוא מלאכה שאינה צריכה לגופה לפי"מ שפירשו הפוסקים ענין משאצל"ג דהיינו דאינו חייב רק אם ענין המלאכה צריך לו אבל אם איננה באה רק לדחות הנזק ממנו כמו מוציא המת מביתו שענין</w:t>
      </w:r>
      <w:r w:rsidRPr="00747170">
        <w:rPr>
          <w:rFonts w:hint="cs"/>
          <w:rtl/>
        </w:rPr>
        <w:t xml:space="preserve"> </w:t>
      </w:r>
      <w:r w:rsidRPr="00747170">
        <w:rPr>
          <w:rtl/>
        </w:rPr>
        <w:t>המלאכה היא הוצאת המת ובאמת אי"צ כלל להמת רק שלא יהיה המת בתוך ביתו זה חשוב משאצל"ג א"כ ה"ה בבורר פסולת מתוך אוכל עיקר המלאכה היא ברירת הפסולת והוא אינו צריך לפסולת כלל אלא שבוררו מתוך האוכל הוי כעושה לדחות הנזק והוי משאצל"ג וכאשר בינותי בספרים מצאתי בבעה"מ בסוגיא דחובל ומבעיר שכתב ויש מלאכות דחייב עליהם במשאצל"ג כגון זורה בורר ומרקד לפי שעיקר מלאכתן על דרך זה כוונתו כיון דבורר דהיה במשכן הוא על דרך זה לכך חייב בענין זה אמנם עכ"ז הדברים אין בהם כדי שביעה דנילף מבורר לענין כל</w:t>
      </w:r>
      <w:r w:rsidRPr="00747170">
        <w:rPr>
          <w:rFonts w:hint="cs"/>
          <w:rtl/>
        </w:rPr>
        <w:t xml:space="preserve"> </w:t>
      </w:r>
      <w:r w:rsidRPr="00747170">
        <w:rPr>
          <w:rtl/>
        </w:rPr>
        <w:t>משאצל"ג לחייב עליה</w:t>
      </w:r>
      <w:r w:rsidRPr="00747170">
        <w:rPr>
          <w:rFonts w:hint="cs"/>
          <w:rtl/>
        </w:rPr>
        <w:t>.</w:t>
      </w:r>
    </w:p>
    <w:p w14:paraId="0D278D80" w14:textId="77777777" w:rsidR="00592982" w:rsidRPr="00C61A8D" w:rsidRDefault="00592982" w:rsidP="00747170">
      <w:pPr>
        <w:pStyle w:val="afffff5"/>
        <w:rPr>
          <w:rtl/>
        </w:rPr>
      </w:pPr>
      <w:r w:rsidRPr="00C61A8D">
        <w:rPr>
          <w:rtl/>
        </w:rPr>
        <w:t>ע"כ נראה דענין מלאכת בורר פסולת מן האוכל היינו שהפסולת אינו ראוי לאכילה וגם האוכל אינו ראוי כ"כ לאכילה עם הפסולת שבתוכו גלל כן הוא מפריד הפסולת מתוך האוכל וא"כ המלאכה אינה נקראת על ברירת הפסולת רק דמתקן האוכל שיהיה ראוי לאכילה וזה הוא מלאכה הצריכה לגוף האוכל דמשוי אוכל גמור וכמו שמבואר לקמן באריכות לענין שיעור גרוגרת דגבי ברירה דהיינו שבין הכל יהיה כגרוגרת מה"ט דכתיבנא</w:t>
      </w:r>
      <w:r w:rsidRPr="00C61A8D">
        <w:rPr>
          <w:rFonts w:hint="cs"/>
          <w:rtl/>
        </w:rPr>
        <w:t xml:space="preserve">, </w:t>
      </w:r>
      <w:r w:rsidRPr="00C61A8D">
        <w:rPr>
          <w:rtl/>
        </w:rPr>
        <w:t>ומעתה אתי שפיר דדווקא פסולת מתוך אוכל דאינו</w:t>
      </w:r>
      <w:r w:rsidRPr="00C61A8D">
        <w:rPr>
          <w:rFonts w:hint="cs"/>
          <w:rtl/>
        </w:rPr>
        <w:t xml:space="preserve"> </w:t>
      </w:r>
      <w:r w:rsidRPr="00C61A8D">
        <w:rPr>
          <w:rtl/>
        </w:rPr>
        <w:t>לאכילה כלל ומשוי ליה אוכל ע"י הברירה הזאת אבל בשני מיני אוכלין כשמפריד האוכל השני מחמת שאינו רוצה לאוכלו חשוב משאצל"ג כיון דאוכל זה שרוצה לאכול כעת ראוי לאכילה אף אם לא נפרד האוכל השני ופרידת האוכל השני הוא רק מחמת שכעת אין נפשו חשקה בזה הוי משאצל"ג ודו"ק היטיב</w:t>
      </w:r>
      <w:r w:rsidRPr="00C61A8D">
        <w:rPr>
          <w:rFonts w:hint="cs"/>
          <w:rtl/>
        </w:rPr>
        <w:t>.</w:t>
      </w:r>
    </w:p>
    <w:p w14:paraId="416C19DA" w14:textId="6B38CA0F" w:rsidR="00592982" w:rsidRDefault="00592982" w:rsidP="00592982">
      <w:pPr>
        <w:pStyle w:val="afffff7"/>
        <w:rPr>
          <w:rtl/>
        </w:rPr>
      </w:pPr>
      <w:bookmarkStart w:id="2448" w:name="_Toc136618727"/>
      <w:bookmarkStart w:id="2449" w:name="_Toc137742071"/>
      <w:bookmarkStart w:id="2450" w:name="_Toc163505839"/>
      <w:r>
        <w:rPr>
          <w:rtl/>
        </w:rPr>
        <w:t>באור הלכה סי</w:t>
      </w:r>
      <w:r>
        <w:rPr>
          <w:rFonts w:hint="cs"/>
          <w:rtl/>
        </w:rPr>
        <w:t>'</w:t>
      </w:r>
      <w:r>
        <w:rPr>
          <w:rtl/>
        </w:rPr>
        <w:t xml:space="preserve"> שי</w:t>
      </w:r>
      <w:r>
        <w:rPr>
          <w:rFonts w:hint="cs"/>
          <w:rtl/>
        </w:rPr>
        <w:t>"</w:t>
      </w:r>
      <w:r>
        <w:rPr>
          <w:rtl/>
        </w:rPr>
        <w:t>ט סעיף ג</w:t>
      </w:r>
      <w:bookmarkEnd w:id="2448"/>
      <w:bookmarkEnd w:id="2449"/>
      <w:bookmarkEnd w:id="2450"/>
    </w:p>
    <w:p w14:paraId="6B289C6E" w14:textId="77777777" w:rsidR="00592982" w:rsidRDefault="00592982" w:rsidP="00592982">
      <w:pPr>
        <w:pStyle w:val="a7"/>
        <w:rPr>
          <w:rtl/>
        </w:rPr>
      </w:pPr>
      <w:bookmarkStart w:id="2451" w:name="_Toc137741991"/>
      <w:r>
        <w:rPr>
          <w:rFonts w:hint="cs"/>
          <w:rtl/>
        </w:rPr>
        <w:t>בי' הביה"ל דמוכח ברא"ש דאף בב' מיני אוכלין צריך לגוף תיקון המין שרוצה אותו והוי צל"ג</w:t>
      </w:r>
      <w:bookmarkEnd w:id="2451"/>
    </w:p>
    <w:p w14:paraId="100618CE" w14:textId="792AEAA1" w:rsidR="00592982" w:rsidRPr="00D72A85" w:rsidRDefault="00592982" w:rsidP="00BC7DC8">
      <w:pPr>
        <w:pStyle w:val="a3"/>
        <w:rPr>
          <w:rtl/>
        </w:rPr>
      </w:pPr>
      <w:r>
        <w:rPr>
          <w:rFonts w:hint="cs"/>
          <w:rtl/>
        </w:rPr>
        <w:t xml:space="preserve">וכתב </w:t>
      </w:r>
      <w:r w:rsidRPr="00F30EB9">
        <w:rPr>
          <w:rStyle w:val="aff4"/>
          <w:rFonts w:hint="cs"/>
          <w:vanish/>
          <w:rtl/>
        </w:rPr>
        <w:t>-</w:t>
      </w:r>
      <w:r w:rsidRPr="0056091D">
        <w:rPr>
          <w:rStyle w:val="aff4"/>
          <w:rFonts w:hint="cs"/>
          <w:rtl/>
        </w:rPr>
        <w:t>ה</w:t>
      </w:r>
      <w:r w:rsidRPr="00F30EB9">
        <w:rPr>
          <w:rStyle w:val="aff4"/>
          <w:rFonts w:hint="cs"/>
          <w:vanish/>
          <w:rtl/>
        </w:rPr>
        <w:t xml:space="preserve">&lt;. </w:t>
      </w:r>
      <w:r w:rsidRPr="00F30EB9">
        <w:rPr>
          <w:rStyle w:val="aff4"/>
          <w:vanish/>
          <w:rtl/>
        </w:rPr>
        <w:fldChar w:fldCharType="begin"/>
      </w:r>
      <w:r w:rsidRPr="00F30EB9">
        <w:rPr>
          <w:rStyle w:val="aff4"/>
          <w:vanish/>
          <w:rtl/>
        </w:rPr>
        <w:instrText xml:space="preserve"> </w:instrText>
      </w:r>
      <w:r w:rsidRPr="00F30EB9">
        <w:rPr>
          <w:rStyle w:val="aff4"/>
          <w:rFonts w:hint="cs"/>
          <w:vanish/>
        </w:rPr>
        <w:instrText>REF</w:instrText>
      </w:r>
      <w:r w:rsidRPr="00F30EB9">
        <w:rPr>
          <w:rStyle w:val="aff4"/>
          <w:rFonts w:hint="cs"/>
          <w:vanish/>
          <w:rtl/>
        </w:rPr>
        <w:instrText xml:space="preserve"> _</w:instrText>
      </w:r>
      <w:r w:rsidRPr="00F30EB9">
        <w:rPr>
          <w:rStyle w:val="aff4"/>
          <w:rFonts w:hint="cs"/>
          <w:vanish/>
        </w:rPr>
        <w:instrText>Ref135815455 \r \h</w:instrText>
      </w:r>
      <w:r w:rsidRPr="00F30EB9">
        <w:rPr>
          <w:rStyle w:val="aff4"/>
          <w:vanish/>
          <w:rtl/>
        </w:rPr>
        <w:instrText xml:space="preserve">  \* </w:instrText>
      </w:r>
      <w:r w:rsidRPr="00F30EB9">
        <w:rPr>
          <w:rStyle w:val="aff4"/>
          <w:vanish/>
        </w:rPr>
        <w:instrText>MERGEFORMAT</w:instrText>
      </w:r>
      <w:r w:rsidRPr="00F30EB9">
        <w:rPr>
          <w:rStyle w:val="aff4"/>
          <w:vanish/>
          <w:rtl/>
        </w:rPr>
        <w:instrText xml:space="preserve"> </w:instrText>
      </w:r>
      <w:r w:rsidRPr="00F30EB9">
        <w:rPr>
          <w:rStyle w:val="aff4"/>
          <w:vanish/>
          <w:rtl/>
        </w:rPr>
      </w:r>
      <w:r w:rsidRPr="00F30EB9">
        <w:rPr>
          <w:rStyle w:val="aff4"/>
          <w:vanish/>
          <w:rtl/>
        </w:rPr>
        <w:fldChar w:fldCharType="separate"/>
      </w:r>
      <w:r w:rsidR="00D82181">
        <w:rPr>
          <w:rStyle w:val="aff4"/>
          <w:vanish/>
          <w:cs/>
        </w:rPr>
        <w:t>‎</w:t>
      </w:r>
      <w:r w:rsidR="00D82181">
        <w:rPr>
          <w:rStyle w:val="aff4"/>
          <w:vanish/>
          <w:rtl/>
        </w:rPr>
        <w:t>ה)</w:t>
      </w:r>
      <w:r w:rsidRPr="00F30EB9">
        <w:rPr>
          <w:rStyle w:val="aff4"/>
          <w:vanish/>
          <w:rtl/>
        </w:rPr>
        <w:fldChar w:fldCharType="end"/>
      </w:r>
      <w:r w:rsidRPr="00F30EB9">
        <w:rPr>
          <w:rStyle w:val="aff4"/>
          <w:rFonts w:hint="cs"/>
          <w:vanish/>
          <w:rtl/>
        </w:rPr>
        <w:t xml:space="preserve"> &gt;</w:t>
      </w:r>
      <w:r w:rsidRPr="00BF46FD">
        <w:rPr>
          <w:rStyle w:val="aff4"/>
          <w:rFonts w:hint="cs"/>
          <w:rtl/>
        </w:rPr>
        <w:t>ביאור הלכה</w:t>
      </w:r>
      <w:r w:rsidRPr="00F30EB9">
        <w:rPr>
          <w:rStyle w:val="aff4"/>
          <w:rFonts w:hint="cs"/>
          <w:vanish/>
          <w:rtl/>
        </w:rPr>
        <w:t>-</w:t>
      </w:r>
      <w:r>
        <w:rPr>
          <w:rFonts w:hint="cs"/>
          <w:rtl/>
        </w:rPr>
        <w:t xml:space="preserve"> </w:t>
      </w:r>
      <w:r w:rsidRPr="00D16BB6">
        <w:rPr>
          <w:rStyle w:val="af2"/>
          <w:rFonts w:eastAsia="Guttman Hodes" w:hint="cs"/>
          <w:rtl/>
        </w:rPr>
        <w:t>(סי' שי"ט ג' ד"ה לאכול)</w:t>
      </w:r>
      <w:r w:rsidRPr="00F30EB9">
        <w:rPr>
          <w:rFonts w:hint="cs"/>
          <w:vanish/>
          <w:rtl/>
        </w:rPr>
        <w:t>=</w:t>
      </w:r>
      <w:r>
        <w:rPr>
          <w:rFonts w:hint="cs"/>
          <w:rtl/>
        </w:rPr>
        <w:t xml:space="preserve"> דלפי דברי </w:t>
      </w:r>
      <w:r w:rsidRPr="006E0441">
        <w:rPr>
          <w:rStyle w:val="aff4"/>
          <w:rFonts w:hint="cs"/>
          <w:vanish/>
          <w:rtl/>
        </w:rPr>
        <w:t>-</w:t>
      </w:r>
      <w:r w:rsidRPr="0085567C">
        <w:rPr>
          <w:rStyle w:val="aff4"/>
          <w:rFonts w:hint="cs"/>
          <w:rtl/>
        </w:rPr>
        <w:t>הישועות יעקב</w:t>
      </w:r>
      <w:r w:rsidRPr="006E0441">
        <w:rPr>
          <w:rStyle w:val="aff4"/>
          <w:rFonts w:hint="cs"/>
          <w:vanish/>
          <w:rtl/>
        </w:rPr>
        <w:t>-</w:t>
      </w:r>
      <w:r>
        <w:rPr>
          <w:rFonts w:hint="cs"/>
          <w:rtl/>
        </w:rPr>
        <w:t xml:space="preserve"> </w:t>
      </w:r>
      <w:r w:rsidRPr="00D16BB6">
        <w:rPr>
          <w:rStyle w:val="af2"/>
          <w:rFonts w:eastAsia="Guttman Hodes" w:hint="cs"/>
          <w:rtl/>
        </w:rPr>
        <w:t xml:space="preserve">(עי' אות </w:t>
      </w:r>
      <w:r w:rsidRPr="00D16BB6">
        <w:rPr>
          <w:rStyle w:val="af2"/>
          <w:rFonts w:eastAsia="Guttman Hodes"/>
          <w:rtl/>
        </w:rPr>
        <w:fldChar w:fldCharType="begin"/>
      </w:r>
      <w:r w:rsidRPr="00D16BB6">
        <w:rPr>
          <w:rStyle w:val="af2"/>
          <w:rFonts w:eastAsia="Guttman Hodes"/>
          <w:rtl/>
        </w:rPr>
        <w:instrText xml:space="preserve"> </w:instrText>
      </w:r>
      <w:r w:rsidRPr="00D16BB6">
        <w:rPr>
          <w:rStyle w:val="af2"/>
          <w:rFonts w:eastAsia="Guttman Hodes" w:hint="cs"/>
        </w:rPr>
        <w:instrText>REF</w:instrText>
      </w:r>
      <w:r w:rsidRPr="00D16BB6">
        <w:rPr>
          <w:rStyle w:val="af2"/>
          <w:rFonts w:eastAsia="Guttman Hodes" w:hint="cs"/>
          <w:rtl/>
        </w:rPr>
        <w:instrText xml:space="preserve"> _</w:instrText>
      </w:r>
      <w:r w:rsidRPr="00D16BB6">
        <w:rPr>
          <w:rStyle w:val="af2"/>
          <w:rFonts w:eastAsia="Guttman Hodes" w:hint="cs"/>
        </w:rPr>
        <w:instrText>Ref135816599 \r \h</w:instrText>
      </w:r>
      <w:r w:rsidRPr="00D16BB6">
        <w:rPr>
          <w:rStyle w:val="af2"/>
          <w:rFonts w:eastAsia="Guttman Hodes"/>
          <w:rtl/>
        </w:rPr>
        <w:instrText xml:space="preserve"> </w:instrText>
      </w:r>
      <w:r w:rsidRPr="00D16BB6">
        <w:rPr>
          <w:rStyle w:val="af2"/>
          <w:rFonts w:eastAsia="Guttman Hodes"/>
          <w:rtl/>
        </w:rPr>
      </w:r>
      <w:r w:rsidRPr="00D16BB6">
        <w:rPr>
          <w:rStyle w:val="af2"/>
          <w:rFonts w:eastAsia="Guttman Hodes"/>
          <w:rtl/>
        </w:rPr>
        <w:fldChar w:fldCharType="separate"/>
      </w:r>
      <w:r w:rsidR="00D82181">
        <w:rPr>
          <w:rStyle w:val="af2"/>
          <w:rFonts w:eastAsia="Guttman Hodes"/>
          <w:cs/>
        </w:rPr>
        <w:t>‎</w:t>
      </w:r>
      <w:r w:rsidR="00D82181">
        <w:rPr>
          <w:rStyle w:val="af2"/>
          <w:rFonts w:eastAsia="Guttman Hodes"/>
          <w:rtl/>
        </w:rPr>
        <w:t>ד)</w:t>
      </w:r>
      <w:r w:rsidRPr="00D16BB6">
        <w:rPr>
          <w:rStyle w:val="af2"/>
          <w:rFonts w:eastAsia="Guttman Hodes"/>
          <w:rtl/>
        </w:rPr>
        <w:fldChar w:fldCharType="end"/>
      </w:r>
      <w:r>
        <w:rPr>
          <w:rFonts w:hint="cs"/>
          <w:rtl/>
        </w:rPr>
        <w:t xml:space="preserve"> הא דכתבו </w:t>
      </w:r>
      <w:r w:rsidRPr="006E0441">
        <w:rPr>
          <w:rStyle w:val="aff4"/>
          <w:rFonts w:hint="cs"/>
          <w:vanish/>
          <w:rtl/>
        </w:rPr>
        <w:t>-</w:t>
      </w:r>
      <w:r w:rsidRPr="0085567C">
        <w:rPr>
          <w:rStyle w:val="aff4"/>
          <w:rFonts w:hint="cs"/>
          <w:rtl/>
        </w:rPr>
        <w:t>הרמב"ם</w:t>
      </w:r>
      <w:r>
        <w:rPr>
          <w:rFonts w:hint="cs"/>
          <w:rtl/>
        </w:rPr>
        <w:t xml:space="preserve"> </w:t>
      </w:r>
      <w:r w:rsidRPr="0085567C">
        <w:rPr>
          <w:rStyle w:val="aff4"/>
          <w:rFonts w:hint="cs"/>
          <w:rtl/>
        </w:rPr>
        <w:t>והשו"ע</w:t>
      </w:r>
      <w:r w:rsidRPr="006E0441">
        <w:rPr>
          <w:rStyle w:val="aff4"/>
          <w:rFonts w:hint="cs"/>
          <w:vanish/>
          <w:rtl/>
        </w:rPr>
        <w:t>-</w:t>
      </w:r>
      <w:r>
        <w:rPr>
          <w:rFonts w:hint="cs"/>
          <w:rtl/>
        </w:rPr>
        <w:t xml:space="preserve"> </w:t>
      </w:r>
      <w:r w:rsidRPr="00D16BB6">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Ref137673024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לו)</w:t>
      </w:r>
      <w:r>
        <w:rPr>
          <w:rStyle w:val="af2"/>
          <w:rFonts w:eastAsia="Guttman Hodes"/>
          <w:rtl/>
        </w:rPr>
        <w:fldChar w:fldCharType="end"/>
      </w:r>
      <w:r>
        <w:rPr>
          <w:rStyle w:val="af2"/>
          <w:rFonts w:eastAsia="Guttman Hodes" w:hint="cs"/>
          <w:rtl/>
        </w:rPr>
        <w:t xml:space="preserve"> </w:t>
      </w:r>
      <w:r>
        <w:rPr>
          <w:rFonts w:hint="cs"/>
          <w:rtl/>
        </w:rPr>
        <w:t xml:space="preserve">דהבורר ב' מיני אוכלין חייב, הוא רק לדעת </w:t>
      </w:r>
      <w:r w:rsidRPr="006E0441">
        <w:rPr>
          <w:rStyle w:val="aff4"/>
          <w:rFonts w:hint="cs"/>
          <w:vanish/>
          <w:rtl/>
        </w:rPr>
        <w:t>-</w:t>
      </w:r>
      <w:r w:rsidRPr="0085567C">
        <w:rPr>
          <w:rStyle w:val="aff4"/>
          <w:rFonts w:hint="cs"/>
          <w:rtl/>
        </w:rPr>
        <w:t>הרמב"ם</w:t>
      </w:r>
      <w:r w:rsidRPr="006E0441">
        <w:rPr>
          <w:rStyle w:val="aff4"/>
          <w:rFonts w:hint="cs"/>
          <w:vanish/>
          <w:rtl/>
        </w:rPr>
        <w:t>-</w:t>
      </w:r>
      <w:r>
        <w:rPr>
          <w:rFonts w:hint="cs"/>
          <w:rtl/>
        </w:rPr>
        <w:t xml:space="preserve"> </w:t>
      </w:r>
      <w:r w:rsidRPr="00D16BB6">
        <w:rPr>
          <w:rStyle w:val="af2"/>
          <w:rFonts w:eastAsia="Guttman Hodes" w:hint="cs"/>
          <w:rtl/>
        </w:rPr>
        <w:t>(שבת פ"א ה"ז)</w:t>
      </w:r>
      <w:r>
        <w:rPr>
          <w:rFonts w:hint="cs"/>
          <w:rtl/>
        </w:rPr>
        <w:t xml:space="preserve"> דכתב דקיי"ל דמלאכה שאצל"ג חייב, אבל לדידן דקיי"ל דפטור א"כ בב' מיני אוכלין ובורר את המין שאינו רוצה אף בכלי</w:t>
      </w:r>
      <w:r w:rsidRPr="005E0D4B">
        <w:rPr>
          <w:rFonts w:hint="cs"/>
          <w:rtl/>
        </w:rPr>
        <w:t xml:space="preserve"> </w:t>
      </w:r>
      <w:r>
        <w:rPr>
          <w:rFonts w:hint="cs"/>
          <w:rtl/>
        </w:rPr>
        <w:t xml:space="preserve">פטור, ואפשר לחייב רק באופן שנטל את המין שהוא רוצה כשעשה כן בכלי, או בידו לאחר זמן, דבכה"ג הוא צריך את גוף המלאכה, והקשה </w:t>
      </w:r>
      <w:r w:rsidRPr="006E0441">
        <w:rPr>
          <w:rStyle w:val="aff4"/>
          <w:rFonts w:hint="cs"/>
          <w:vanish/>
          <w:rtl/>
        </w:rPr>
        <w:t>-</w:t>
      </w:r>
      <w:r w:rsidRPr="0085567C">
        <w:rPr>
          <w:rStyle w:val="aff4"/>
          <w:rFonts w:hint="cs"/>
          <w:rtl/>
        </w:rPr>
        <w:t>הביאור הלכה</w:t>
      </w:r>
      <w:r w:rsidRPr="006E0441">
        <w:rPr>
          <w:rStyle w:val="aff4"/>
          <w:rFonts w:hint="cs"/>
          <w:vanish/>
          <w:rtl/>
        </w:rPr>
        <w:t>-</w:t>
      </w:r>
      <w:r>
        <w:rPr>
          <w:rFonts w:hint="cs"/>
          <w:rtl/>
        </w:rPr>
        <w:t xml:space="preserve"> דא"כ אמאי פסקו </w:t>
      </w:r>
      <w:r w:rsidRPr="006E0441">
        <w:rPr>
          <w:rStyle w:val="aff4"/>
          <w:rFonts w:hint="cs"/>
          <w:vanish/>
          <w:rtl/>
        </w:rPr>
        <w:t>-</w:t>
      </w:r>
      <w:r w:rsidRPr="0085567C">
        <w:rPr>
          <w:rStyle w:val="aff4"/>
          <w:rFonts w:hint="cs"/>
          <w:rtl/>
        </w:rPr>
        <w:t>הפוסקים</w:t>
      </w:r>
      <w:r w:rsidRPr="006E0441">
        <w:rPr>
          <w:rStyle w:val="aff4"/>
          <w:rFonts w:hint="cs"/>
          <w:vanish/>
          <w:rtl/>
        </w:rPr>
        <w:t>-</w:t>
      </w:r>
      <w:r w:rsidRPr="002B0615">
        <w:rPr>
          <w:rStyle w:val="aff4"/>
          <w:rFonts w:hint="cs"/>
          <w:rtl/>
        </w:rPr>
        <w:t xml:space="preserve"> </w:t>
      </w:r>
      <w:r w:rsidRPr="002B0615">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Ref137639512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כא)</w:t>
      </w:r>
      <w:r>
        <w:rPr>
          <w:rStyle w:val="af2"/>
          <w:rFonts w:eastAsia="Guttman Hodes"/>
          <w:rtl/>
        </w:rPr>
        <w:fldChar w:fldCharType="end"/>
      </w:r>
      <w:r w:rsidRPr="002B0615">
        <w:rPr>
          <w:rStyle w:val="aff4"/>
          <w:rFonts w:hint="cs"/>
          <w:rtl/>
        </w:rPr>
        <w:t xml:space="preserve"> </w:t>
      </w:r>
      <w:r w:rsidRPr="006E0441">
        <w:rPr>
          <w:rStyle w:val="aff4"/>
          <w:rFonts w:hint="cs"/>
          <w:vanish/>
          <w:rtl/>
        </w:rPr>
        <w:t>-</w:t>
      </w:r>
      <w:r w:rsidRPr="0085567C">
        <w:rPr>
          <w:rStyle w:val="aff4"/>
          <w:rFonts w:hint="cs"/>
          <w:rtl/>
        </w:rPr>
        <w:t>והרא"ש</w:t>
      </w:r>
      <w:r w:rsidRPr="006E0441">
        <w:rPr>
          <w:rStyle w:val="aff4"/>
          <w:rFonts w:hint="cs"/>
          <w:vanish/>
          <w:rtl/>
        </w:rPr>
        <w:t>-</w:t>
      </w:r>
      <w:r>
        <w:rPr>
          <w:rFonts w:hint="cs"/>
          <w:rtl/>
        </w:rPr>
        <w:t xml:space="preserve"> </w:t>
      </w:r>
      <w:r w:rsidRPr="00D16BB6">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Ref137671185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w:t>
      </w:r>
      <w:r>
        <w:rPr>
          <w:rStyle w:val="af2"/>
          <w:rFonts w:eastAsia="Guttman Hodes"/>
          <w:rtl/>
        </w:rPr>
        <w:fldChar w:fldCharType="end"/>
      </w:r>
      <w:r>
        <w:rPr>
          <w:rStyle w:val="af2"/>
          <w:rFonts w:eastAsia="Guttman Hodes" w:hint="cs"/>
          <w:rtl/>
        </w:rPr>
        <w:t xml:space="preserve"> </w:t>
      </w:r>
      <w:r>
        <w:rPr>
          <w:rFonts w:hint="cs"/>
          <w:rtl/>
        </w:rPr>
        <w:t xml:space="preserve">דהבורר ב' מיני אוכלין חייב, והא ס"ל </w:t>
      </w:r>
      <w:r w:rsidRPr="006E0441">
        <w:rPr>
          <w:rStyle w:val="aff4"/>
          <w:rFonts w:hint="cs"/>
          <w:vanish/>
          <w:rtl/>
        </w:rPr>
        <w:t>-</w:t>
      </w:r>
      <w:r w:rsidRPr="0085567C">
        <w:rPr>
          <w:rStyle w:val="aff4"/>
          <w:rFonts w:hint="cs"/>
          <w:rtl/>
        </w:rPr>
        <w:t>להרא"ש בבכורות</w:t>
      </w:r>
      <w:r w:rsidRPr="006E0441">
        <w:rPr>
          <w:rStyle w:val="aff4"/>
          <w:rFonts w:hint="cs"/>
          <w:vanish/>
          <w:rtl/>
        </w:rPr>
        <w:t>-</w:t>
      </w:r>
      <w:r>
        <w:rPr>
          <w:rFonts w:hint="cs"/>
          <w:rtl/>
        </w:rPr>
        <w:t xml:space="preserve"> </w:t>
      </w:r>
      <w:r w:rsidRPr="00D16BB6">
        <w:rPr>
          <w:rStyle w:val="af2"/>
          <w:rFonts w:eastAsia="Guttman Hodes" w:hint="cs"/>
          <w:rtl/>
        </w:rPr>
        <w:t>(פ"ג סי' ה')</w:t>
      </w:r>
      <w:r>
        <w:rPr>
          <w:rFonts w:hint="cs"/>
          <w:rtl/>
        </w:rPr>
        <w:t xml:space="preserve"> דמלאכה שאצל"ג פטור עליה, אלא כתב </w:t>
      </w:r>
      <w:r w:rsidRPr="006E0441">
        <w:rPr>
          <w:rStyle w:val="aff4"/>
          <w:rFonts w:hint="cs"/>
          <w:vanish/>
          <w:rtl/>
        </w:rPr>
        <w:t>-</w:t>
      </w:r>
      <w:r w:rsidRPr="0085567C">
        <w:rPr>
          <w:rStyle w:val="aff4"/>
          <w:rFonts w:hint="cs"/>
          <w:rtl/>
        </w:rPr>
        <w:t>הביאור הלכה</w:t>
      </w:r>
      <w:r w:rsidRPr="006E0441">
        <w:rPr>
          <w:rStyle w:val="aff4"/>
          <w:rFonts w:hint="cs"/>
          <w:vanish/>
          <w:rtl/>
        </w:rPr>
        <w:t>-</w:t>
      </w:r>
      <w:r>
        <w:rPr>
          <w:rFonts w:hint="cs"/>
          <w:rtl/>
        </w:rPr>
        <w:t xml:space="preserve"> דמוכח </w:t>
      </w:r>
      <w:r w:rsidRPr="006E0441">
        <w:rPr>
          <w:rStyle w:val="aff4"/>
          <w:rFonts w:hint="cs"/>
          <w:vanish/>
          <w:rtl/>
        </w:rPr>
        <w:t>-</w:t>
      </w:r>
      <w:r w:rsidRPr="0085567C">
        <w:rPr>
          <w:rStyle w:val="aff4"/>
          <w:rFonts w:hint="cs"/>
          <w:rtl/>
        </w:rPr>
        <w:t>מהרא"ש</w:t>
      </w:r>
      <w:r w:rsidRPr="006E0441">
        <w:rPr>
          <w:rStyle w:val="aff4"/>
          <w:rFonts w:hint="cs"/>
          <w:vanish/>
          <w:rtl/>
        </w:rPr>
        <w:t>-</w:t>
      </w:r>
      <w:r>
        <w:rPr>
          <w:rFonts w:hint="cs"/>
          <w:rtl/>
        </w:rPr>
        <w:t xml:space="preserve"> דאף בבורר ב' מיני אוכלין הוא מלאכה הצריכה לגופה, כיון דכל מין מתייפה במה שמוציא את המין השני שמעורב בו, והוא מלאכה הצריכה לגופה. </w:t>
      </w:r>
      <w:r w:rsidRPr="00D16BB6">
        <w:rPr>
          <w:rStyle w:val="af"/>
          <w:rFonts w:hint="cs"/>
          <w:rtl/>
        </w:rPr>
        <w:t xml:space="preserve">[ועיי"ש במ"ש לפי"ז </w:t>
      </w:r>
      <w:r w:rsidRPr="00D16BB6">
        <w:rPr>
          <w:rStyle w:val="aff9"/>
          <w:rFonts w:hint="cs"/>
          <w:vanish/>
          <w:rtl/>
        </w:rPr>
        <w:t>-</w:t>
      </w:r>
      <w:r w:rsidRPr="00D16BB6">
        <w:rPr>
          <w:rStyle w:val="aff9"/>
          <w:rFonts w:hint="cs"/>
          <w:rtl/>
        </w:rPr>
        <w:t>הביה"ל</w:t>
      </w:r>
      <w:r w:rsidRPr="00D16BB6">
        <w:rPr>
          <w:rStyle w:val="aff9"/>
          <w:rFonts w:hint="cs"/>
          <w:vanish/>
          <w:rtl/>
        </w:rPr>
        <w:t>-</w:t>
      </w:r>
      <w:r w:rsidRPr="00D16BB6">
        <w:rPr>
          <w:rStyle w:val="af"/>
          <w:rFonts w:hint="cs"/>
          <w:rtl/>
        </w:rPr>
        <w:t xml:space="preserve"> בדין בורר בב' מינים המונחים אחד ע"ג השני]</w:t>
      </w:r>
      <w:r w:rsidRPr="002650B4">
        <w:rPr>
          <w:rStyle w:val="af"/>
          <w:rFonts w:hint="cs"/>
          <w:rtl/>
        </w:rPr>
        <w:t>.</w:t>
      </w:r>
    </w:p>
    <w:p w14:paraId="54F25F97" w14:textId="77777777" w:rsidR="00592982" w:rsidRPr="00747170" w:rsidRDefault="00592982" w:rsidP="00747170">
      <w:pPr>
        <w:pStyle w:val="a2"/>
      </w:pPr>
      <w:r w:rsidRPr="00747170">
        <w:rPr>
          <w:rtl/>
        </w:rPr>
        <w:t>וא"כ לפי דבריו יהיו דברי הרמב"ם הנזכר בשו"ע ס"א לשיטתו דמלאכה שאצ"ל חייב אבל לדידן דפסקינן דמלאכה שאצ"ל פטור לא יהיה חייב לפ"ז בבורר אותו שאין חפץ לאכול אפילו בכלי ורק אם בורר אותו שחפץ לאכול לאלתר ובכלי או בידו ולאחר זמן וקשה דלפי דבריו אמאי העתיק הרא"ש [ויתר הפוסקים] דס"ל דמשאצ"ל פטור את הדין דאותו שאינו חפץ לאכול מקרי פסולת וא"א לומר דלהקל העתיק זה כמו שמוכח בדבריו שם וע"כ צ"ל דס"ל דגם בשני מיני אוכלים המעורבים מתיפה כל מין ע"י ברירת חבירו ממנו וע"כ מיקרי מלאכה הצריכה לגופה</w:t>
      </w:r>
      <w:r w:rsidRPr="00747170">
        <w:rPr>
          <w:rFonts w:hint="cs"/>
          <w:rtl/>
        </w:rPr>
        <w:t xml:space="preserve">. </w:t>
      </w:r>
      <w:r w:rsidRPr="00747170">
        <w:rPr>
          <w:rStyle w:val="afff7"/>
          <w:rtl/>
        </w:rPr>
        <w:t>רק כ"ז לא שייך כ"א כשהמינין מעורבין יחד כל מין בחבירו ונתקן המין ע"י ברירת חבירו ממנו משא"כ כשמונח בקערה מין אחד על מין שלמטה ממנו ומסלק להמין שלמעלה כדי להגיע למין שלמטה ממנו לא שייך בזה תיקון שיהא נקרא מלאכה שצריכה לגופה ויותר נראה דאפילו איסור דרבנן לא שייך בזה וגם אפילו למ"ד משאצ"ל חייב ג"כ יהיה מותר בזה וכדמשמע לשון הרמב"ם והשו"ע דקאמר היו לפניו וכו' מעורבים משמע אבל אינן מעורבים לא שייך שם בורר במה שמסלק מין אחד מחבירו ואפילו אם תרצה לדחוק ולומר דבמה שאינו מסודר כל מין בפ"ע הוא בכלל מעורבין ושייך בזה שם ברירה מ"מ נראה דאין להחמיר בזה רק כשמסלקו מלמעלה ודעתו בברירתו כדי להניחו לאח"ז דאז אם הוא בכלל ברירה נוכל לומר דמקרי מלאכה וגם מלאכה הצריכה לגופה כיון דבהסרתו מכינו אלאח"כ לא שנא אם מכינו על יום זה או על יום אחר אבל אם אינו חושב אודותו כלל רק שרוצה להסירו כדי להגיע למין שלמטה ממנו זה לא הוי בכלל בורר כלל ודומיא דמה שפסק השו"ע לעיל בסימן שט"ז ס"ז לענין צידת נחש דאם מתעסק שלא ישכנו מותר והוא אפילו להרמב"ם דס"ל דמשאצ"ל חייב וכמו שכתבו המפרשים הטעם כיון שאינו רוצה בעצם הצידה רק כדי להפרידו מעליו לא הוי בכלל מלאכה דאורייתא וה"נ בעניננו שרוצה לסלקו רק כדי להגיע למין שלמטה ממנו ולענין פסולת מתוך אוכל שאני שמתיפה האוכל ע"י ברירתו משא"כ בזה שאינו מתיפה המין שלמטה עי"ז ורק משום עצם הברירה שבורר כל מין מחבירו וזה לא שייך בזה וכמו שכתבנו ראיה מצידת נחש ואף דשם יש כמה פוסקים דפליגי שם אהרמב"ם וס"ל דעיקר הטעם הוא משום דמשאצ"ל פטור א"כ בעניננו ג"כ נאמר כן דהיא עכ"פ מלאכה שאצ"ל כיון שאינו מתיפה המין שלמטה עי"ז ואינו רוצה ג"כ בברירת המין שלמעלה בעצם רק כדי לסלקו ולהגיע למין שלמטה ממנו ואף דשם יש עכ"פ איסור מדרבנן ורק משום דבמקום הזיקא לא גזרו התירו מ"מ נראה דבעניננו אין להחמיר בזה דהתה"ד גופא מצדד מתחלה להקל אפילו כשנתערבו יחד היטב והוא רוצה לבררו כדי להניחו לאחר זמן ומשום דלא שייך שם בורר היכא דכל מין ניכר בפ"ע ולא החמיר בזה לבסוף רק מטעם חשש חיוב ע"ש וכיון דביררנו בעניננו דלית בזה חיובא בכל גווני נראה דאין להחמיר בדבר:</w:t>
      </w:r>
    </w:p>
    <w:p w14:paraId="714A0C01" w14:textId="0A85BA56" w:rsidR="00592982" w:rsidRDefault="00592982" w:rsidP="00592982">
      <w:pPr>
        <w:pStyle w:val="affff5"/>
        <w:rPr>
          <w:rtl/>
        </w:rPr>
      </w:pPr>
      <w:bookmarkStart w:id="2452" w:name="_Toc137741992"/>
      <w:r>
        <w:rPr>
          <w:rFonts w:hint="cs"/>
          <w:rtl/>
        </w:rPr>
        <w:t>בבורר במין אחד אי מה שמניח כפסולת</w:t>
      </w:r>
      <w:bookmarkEnd w:id="2452"/>
    </w:p>
    <w:p w14:paraId="40BB6EA3" w14:textId="77777777" w:rsidR="00592982" w:rsidRDefault="00592982" w:rsidP="00592982">
      <w:pPr>
        <w:pStyle w:val="1"/>
        <w:rPr>
          <w:rtl/>
        </w:rPr>
      </w:pPr>
      <w:bookmarkStart w:id="2453" w:name="_Toc137741993"/>
      <w:r>
        <w:rPr>
          <w:rFonts w:hint="cs"/>
          <w:rtl/>
        </w:rPr>
        <w:t>בי' התרוה"ד דבמין אחד אין ברירה ובי' הט"ז דיש ברירה</w:t>
      </w:r>
      <w:bookmarkEnd w:id="2453"/>
      <w:r>
        <w:rPr>
          <w:rFonts w:hint="cs"/>
          <w:rtl/>
        </w:rPr>
        <w:t xml:space="preserve"> </w:t>
      </w:r>
    </w:p>
    <w:p w14:paraId="719028D2" w14:textId="77777777" w:rsidR="00592982" w:rsidRPr="000F4C81" w:rsidRDefault="00592982" w:rsidP="00592982">
      <w:pPr>
        <w:pStyle w:val="afffff7"/>
        <w:rPr>
          <w:rtl/>
        </w:rPr>
      </w:pPr>
      <w:bookmarkStart w:id="2454" w:name="_Toc137742072"/>
      <w:bookmarkStart w:id="2455" w:name="_Toc163505840"/>
      <w:r w:rsidRPr="000F4C81">
        <w:rPr>
          <w:rtl/>
        </w:rPr>
        <w:t>תרומת הדשן סימן נז</w:t>
      </w:r>
      <w:bookmarkEnd w:id="2454"/>
      <w:bookmarkEnd w:id="2455"/>
    </w:p>
    <w:p w14:paraId="427AF6AD" w14:textId="77777777" w:rsidR="00592982" w:rsidRDefault="00592982" w:rsidP="00592982">
      <w:pPr>
        <w:pStyle w:val="afffff7"/>
        <w:rPr>
          <w:rtl/>
        </w:rPr>
      </w:pPr>
      <w:bookmarkStart w:id="2456" w:name="_Toc137742073"/>
      <w:bookmarkStart w:id="2457" w:name="_Toc163505841"/>
      <w:r>
        <w:rPr>
          <w:rFonts w:hint="cs"/>
          <w:rtl/>
        </w:rPr>
        <w:t>רמ"א</w:t>
      </w:r>
      <w:r>
        <w:rPr>
          <w:rtl/>
        </w:rPr>
        <w:t xml:space="preserve"> או"ח סי' שי"ט ג'</w:t>
      </w:r>
      <w:bookmarkEnd w:id="2456"/>
      <w:bookmarkEnd w:id="2457"/>
    </w:p>
    <w:p w14:paraId="02562464" w14:textId="77777777" w:rsidR="00592982" w:rsidRPr="000F4C81" w:rsidRDefault="00592982" w:rsidP="00592982">
      <w:pPr>
        <w:pStyle w:val="a7"/>
        <w:rPr>
          <w:rtl/>
        </w:rPr>
      </w:pPr>
      <w:bookmarkStart w:id="2458" w:name="_Toc137741994"/>
      <w:r>
        <w:rPr>
          <w:rFonts w:hint="cs"/>
          <w:rtl/>
        </w:rPr>
        <w:t>בי' התרוה"ד דמדגרסי' "שני" מינים מבו' דבמין א' לא שייכא ברירה כלל אף בגדולות מקטנות</w:t>
      </w:r>
      <w:bookmarkEnd w:id="2458"/>
    </w:p>
    <w:p w14:paraId="3DBEC621" w14:textId="60E35D1D" w:rsidR="00592982" w:rsidRPr="00DB058F" w:rsidRDefault="00592982" w:rsidP="00BC7DC8">
      <w:pPr>
        <w:pStyle w:val="a3"/>
        <w:rPr>
          <w:rtl/>
        </w:rPr>
      </w:pPr>
      <w:bookmarkStart w:id="2459" w:name="_Ref137724475"/>
      <w:r>
        <w:rPr>
          <w:rFonts w:hint="cs"/>
          <w:rtl/>
        </w:rPr>
        <w:t>כתב</w:t>
      </w:r>
      <w:r w:rsidRPr="000F4C81">
        <w:rPr>
          <w:rFonts w:hint="cs"/>
          <w:rtl/>
        </w:rPr>
        <w:t xml:space="preserve"> </w:t>
      </w:r>
      <w:r w:rsidRPr="00B859B5">
        <w:rPr>
          <w:rStyle w:val="aff4"/>
          <w:rFonts w:hint="cs"/>
          <w:vanish/>
          <w:rtl/>
        </w:rPr>
        <w:t>-</w:t>
      </w:r>
      <w:r w:rsidRPr="009452F1">
        <w:rPr>
          <w:rStyle w:val="aff4"/>
          <w:rFonts w:hint="cs"/>
          <w:rtl/>
        </w:rPr>
        <w:t>ה</w:t>
      </w:r>
      <w:r w:rsidRPr="004D5BBD">
        <w:rPr>
          <w:rStyle w:val="aff4"/>
          <w:rFonts w:hint="cs"/>
          <w:vanish/>
          <w:rtl/>
        </w:rPr>
        <w:t xml:space="preserve">&lt;. </w:t>
      </w:r>
      <w:r w:rsidRPr="004D5BBD">
        <w:rPr>
          <w:rStyle w:val="aff4"/>
          <w:vanish/>
          <w:rtl/>
        </w:rPr>
        <w:fldChar w:fldCharType="begin"/>
      </w:r>
      <w:r w:rsidRPr="004D5BBD">
        <w:rPr>
          <w:rStyle w:val="aff4"/>
          <w:vanish/>
          <w:rtl/>
        </w:rPr>
        <w:instrText xml:space="preserve"> </w:instrText>
      </w:r>
      <w:r w:rsidRPr="004D5BBD">
        <w:rPr>
          <w:rStyle w:val="aff4"/>
          <w:rFonts w:hint="cs"/>
          <w:vanish/>
        </w:rPr>
        <w:instrText>REF</w:instrText>
      </w:r>
      <w:r w:rsidRPr="004D5BBD">
        <w:rPr>
          <w:rStyle w:val="aff4"/>
          <w:rFonts w:hint="cs"/>
          <w:vanish/>
          <w:rtl/>
        </w:rPr>
        <w:instrText xml:space="preserve"> _</w:instrText>
      </w:r>
      <w:r w:rsidRPr="004D5BBD">
        <w:rPr>
          <w:rStyle w:val="aff4"/>
          <w:rFonts w:hint="cs"/>
          <w:vanish/>
        </w:rPr>
        <w:instrText>Ref137724475 \r \h</w:instrText>
      </w:r>
      <w:r w:rsidRPr="004D5BBD">
        <w:rPr>
          <w:rStyle w:val="aff4"/>
          <w:vanish/>
          <w:rtl/>
        </w:rPr>
        <w:instrText xml:space="preserve"> </w:instrText>
      </w:r>
      <w:r>
        <w:rPr>
          <w:rStyle w:val="aff4"/>
          <w:vanish/>
          <w:rtl/>
        </w:rPr>
        <w:instrText xml:space="preserve"> \* </w:instrText>
      </w:r>
      <w:r>
        <w:rPr>
          <w:rStyle w:val="aff4"/>
          <w:vanish/>
        </w:rPr>
        <w:instrText>MERGEFORMAT</w:instrText>
      </w:r>
      <w:r>
        <w:rPr>
          <w:rStyle w:val="aff4"/>
          <w:vanish/>
          <w:rtl/>
        </w:rPr>
        <w:instrText xml:space="preserve"> </w:instrText>
      </w:r>
      <w:r w:rsidRPr="004D5BBD">
        <w:rPr>
          <w:rStyle w:val="aff4"/>
          <w:vanish/>
          <w:rtl/>
        </w:rPr>
      </w:r>
      <w:r w:rsidRPr="004D5BBD">
        <w:rPr>
          <w:rStyle w:val="aff4"/>
          <w:vanish/>
          <w:rtl/>
        </w:rPr>
        <w:fldChar w:fldCharType="separate"/>
      </w:r>
      <w:r w:rsidR="00D82181">
        <w:rPr>
          <w:rStyle w:val="aff4"/>
          <w:vanish/>
          <w:cs/>
        </w:rPr>
        <w:t>‎</w:t>
      </w:r>
      <w:r w:rsidR="00D82181">
        <w:rPr>
          <w:rStyle w:val="aff4"/>
          <w:vanish/>
          <w:rtl/>
        </w:rPr>
        <w:t>נה)</w:t>
      </w:r>
      <w:r w:rsidRPr="004D5BBD">
        <w:rPr>
          <w:rStyle w:val="aff4"/>
          <w:vanish/>
          <w:rtl/>
        </w:rPr>
        <w:fldChar w:fldCharType="end"/>
      </w:r>
      <w:r w:rsidRPr="004D5BBD">
        <w:rPr>
          <w:rStyle w:val="aff4"/>
          <w:rFonts w:hint="cs"/>
          <w:vanish/>
          <w:rtl/>
        </w:rPr>
        <w:t xml:space="preserve"> &gt;</w:t>
      </w:r>
      <w:r w:rsidRPr="009452F1">
        <w:rPr>
          <w:rStyle w:val="aff4"/>
          <w:rFonts w:hint="cs"/>
          <w:rtl/>
        </w:rPr>
        <w:t>תרומת הדשן</w:t>
      </w:r>
      <w:r w:rsidRPr="00B859B5">
        <w:rPr>
          <w:rStyle w:val="aff4"/>
          <w:rFonts w:hint="cs"/>
          <w:vanish/>
          <w:rtl/>
        </w:rPr>
        <w:t>-</w:t>
      </w:r>
      <w:r w:rsidRPr="000F4C81">
        <w:rPr>
          <w:rFonts w:hint="cs"/>
          <w:rtl/>
        </w:rPr>
        <w:t xml:space="preserve"> </w:t>
      </w:r>
      <w:r w:rsidRPr="009452F1">
        <w:rPr>
          <w:rStyle w:val="af2"/>
          <w:rFonts w:eastAsia="Guttman Hodes" w:hint="cs"/>
          <w:rtl/>
        </w:rPr>
        <w:t>(סי' נ"ז)</w:t>
      </w:r>
      <w:r w:rsidRPr="00B859B5">
        <w:rPr>
          <w:rFonts w:hint="cs"/>
          <w:vanish/>
          <w:rtl/>
        </w:rPr>
        <w:t>=</w:t>
      </w:r>
      <w:r>
        <w:rPr>
          <w:rFonts w:hint="cs"/>
          <w:rtl/>
        </w:rPr>
        <w:t xml:space="preserve"> דמהא דנקטה הברייתא "שני" מיני אוכלין, </w:t>
      </w:r>
      <w:r w:rsidRPr="004D5BBD">
        <w:rPr>
          <w:rStyle w:val="af"/>
          <w:rFonts w:hint="cs"/>
          <w:rtl/>
        </w:rPr>
        <w:t xml:space="preserve">[כגירסת </w:t>
      </w:r>
      <w:r w:rsidRPr="00B859B5">
        <w:rPr>
          <w:rStyle w:val="aff9"/>
          <w:rFonts w:hint="cs"/>
          <w:vanish/>
          <w:rtl/>
        </w:rPr>
        <w:t>-</w:t>
      </w:r>
      <w:r w:rsidRPr="004D5BBD">
        <w:rPr>
          <w:rStyle w:val="aff9"/>
          <w:rFonts w:hint="cs"/>
          <w:rtl/>
        </w:rPr>
        <w:t>התוס' והרא"ש</w:t>
      </w:r>
      <w:r w:rsidRPr="00B859B5">
        <w:rPr>
          <w:rStyle w:val="aff9"/>
          <w:rFonts w:hint="cs"/>
          <w:vanish/>
          <w:rtl/>
        </w:rPr>
        <w:t>-</w:t>
      </w:r>
      <w:r w:rsidRPr="004D5BBD">
        <w:rPr>
          <w:rStyle w:val="af"/>
          <w:rFonts w:hint="cs"/>
          <w:rtl/>
        </w:rPr>
        <w:t xml:space="preserve"> </w:t>
      </w:r>
      <w:r w:rsidRPr="004D5BBD">
        <w:rPr>
          <w:rStyle w:val="aff0"/>
          <w:rFonts w:hint="cs"/>
          <w:rtl/>
        </w:rPr>
        <w:t xml:space="preserve">(עי' אות </w:t>
      </w:r>
      <w:r w:rsidRPr="004D5BBD">
        <w:rPr>
          <w:rStyle w:val="aff0"/>
          <w:rtl/>
        </w:rPr>
        <w:fldChar w:fldCharType="begin"/>
      </w:r>
      <w:r w:rsidRPr="004D5BBD">
        <w:rPr>
          <w:rStyle w:val="aff0"/>
          <w:rtl/>
        </w:rPr>
        <w:instrText xml:space="preserve"> </w:instrText>
      </w:r>
      <w:r w:rsidRPr="004D5BBD">
        <w:rPr>
          <w:rStyle w:val="aff0"/>
          <w:rFonts w:hint="cs"/>
        </w:rPr>
        <w:instrText>REF</w:instrText>
      </w:r>
      <w:r w:rsidRPr="004D5BBD">
        <w:rPr>
          <w:rStyle w:val="aff0"/>
          <w:rFonts w:hint="cs"/>
          <w:rtl/>
        </w:rPr>
        <w:instrText xml:space="preserve"> _</w:instrText>
      </w:r>
      <w:r w:rsidRPr="004D5BBD">
        <w:rPr>
          <w:rStyle w:val="aff0"/>
          <w:rFonts w:hint="cs"/>
        </w:rPr>
        <w:instrText>Ref137671185 \r \h</w:instrText>
      </w:r>
      <w:r w:rsidRPr="004D5BBD">
        <w:rPr>
          <w:rStyle w:val="aff0"/>
          <w:rtl/>
        </w:rPr>
        <w:instrText xml:space="preserve"> </w:instrText>
      </w:r>
      <w:r w:rsidRPr="004D5BBD">
        <w:rPr>
          <w:rStyle w:val="aff0"/>
          <w:rtl/>
        </w:rPr>
      </w:r>
      <w:r w:rsidRPr="004D5BBD">
        <w:rPr>
          <w:rStyle w:val="aff0"/>
          <w:rtl/>
        </w:rPr>
        <w:fldChar w:fldCharType="separate"/>
      </w:r>
      <w:r w:rsidR="00D82181">
        <w:rPr>
          <w:rStyle w:val="aff0"/>
          <w:cs/>
        </w:rPr>
        <w:t>‎</w:t>
      </w:r>
      <w:r w:rsidR="00D82181">
        <w:rPr>
          <w:rStyle w:val="aff0"/>
          <w:rtl/>
        </w:rPr>
        <w:t>כ)</w:t>
      </w:r>
      <w:r w:rsidRPr="004D5BBD">
        <w:rPr>
          <w:rStyle w:val="aff0"/>
          <w:rtl/>
        </w:rPr>
        <w:fldChar w:fldCharType="end"/>
      </w:r>
      <w:r w:rsidRPr="004D5BBD">
        <w:rPr>
          <w:rStyle w:val="af"/>
          <w:rFonts w:hint="cs"/>
          <w:rtl/>
        </w:rPr>
        <w:t>],</w:t>
      </w:r>
      <w:r>
        <w:rPr>
          <w:rFonts w:hint="cs"/>
          <w:rtl/>
        </w:rPr>
        <w:t xml:space="preserve"> מבואר דדוקא בב' מיני אוכלין שייכא ברירה אבל במין אחד לא שייך ברירה כלל, וכתב </w:t>
      </w:r>
      <w:r w:rsidRPr="00B859B5">
        <w:rPr>
          <w:rStyle w:val="aff4"/>
          <w:rFonts w:hint="cs"/>
          <w:vanish/>
          <w:rtl/>
        </w:rPr>
        <w:t>-</w:t>
      </w:r>
      <w:r w:rsidRPr="009452F1">
        <w:rPr>
          <w:rStyle w:val="aff4"/>
          <w:rFonts w:hint="cs"/>
          <w:rtl/>
        </w:rPr>
        <w:t>התרוה"ד</w:t>
      </w:r>
      <w:r w:rsidRPr="00B859B5">
        <w:rPr>
          <w:rStyle w:val="aff4"/>
          <w:rFonts w:hint="cs"/>
          <w:vanish/>
          <w:rtl/>
        </w:rPr>
        <w:t>-</w:t>
      </w:r>
      <w:r>
        <w:rPr>
          <w:rFonts w:hint="cs"/>
          <w:rtl/>
        </w:rPr>
        <w:t xml:space="preserve"> דב' מיני דגים דינם כב' מינים כיון דהם חלוקים בשמם, וכן פסק </w:t>
      </w:r>
      <w:r w:rsidRPr="00B859B5">
        <w:rPr>
          <w:rStyle w:val="aff4"/>
          <w:rFonts w:hint="cs"/>
          <w:vanish/>
          <w:rtl/>
        </w:rPr>
        <w:t>-</w:t>
      </w:r>
      <w:r w:rsidRPr="009452F1">
        <w:rPr>
          <w:rStyle w:val="aff4"/>
          <w:rFonts w:hint="cs"/>
          <w:rtl/>
        </w:rPr>
        <w:t>ה</w:t>
      </w:r>
      <w:r w:rsidRPr="004D5BBD">
        <w:rPr>
          <w:rStyle w:val="aff4"/>
          <w:rFonts w:hint="cs"/>
          <w:vanish/>
          <w:rtl/>
        </w:rPr>
        <w:t>&lt; &gt;</w:t>
      </w:r>
      <w:r w:rsidRPr="009452F1">
        <w:rPr>
          <w:rStyle w:val="aff4"/>
          <w:rFonts w:hint="cs"/>
          <w:rtl/>
        </w:rPr>
        <w:t>רמ"א</w:t>
      </w:r>
      <w:r w:rsidRPr="00B859B5">
        <w:rPr>
          <w:rStyle w:val="aff4"/>
          <w:rFonts w:hint="cs"/>
          <w:vanish/>
          <w:rtl/>
        </w:rPr>
        <w:t>-</w:t>
      </w:r>
      <w:r>
        <w:rPr>
          <w:rFonts w:hint="cs"/>
          <w:rtl/>
        </w:rPr>
        <w:t xml:space="preserve"> </w:t>
      </w:r>
      <w:r w:rsidRPr="009452F1">
        <w:rPr>
          <w:rStyle w:val="af2"/>
          <w:rFonts w:eastAsia="Guttman Hodes" w:hint="cs"/>
          <w:rtl/>
        </w:rPr>
        <w:t>(סי' שי"ט ג')</w:t>
      </w:r>
      <w:r w:rsidRPr="00B859B5">
        <w:rPr>
          <w:rFonts w:hint="cs"/>
          <w:vanish/>
          <w:rtl/>
        </w:rPr>
        <w:t>=</w:t>
      </w:r>
      <w:r>
        <w:rPr>
          <w:rFonts w:hint="cs"/>
          <w:rtl/>
        </w:rPr>
        <w:t xml:space="preserve"> דבמין אחד אין ברירה אף בחתיכות גדולות מקטנות, והוסיף </w:t>
      </w:r>
      <w:r w:rsidRPr="00B859B5">
        <w:rPr>
          <w:rStyle w:val="aff4"/>
          <w:rFonts w:hint="cs"/>
          <w:vanish/>
          <w:rtl/>
        </w:rPr>
        <w:t>-</w:t>
      </w:r>
      <w:r w:rsidRPr="009452F1">
        <w:rPr>
          <w:rStyle w:val="aff4"/>
          <w:rFonts w:hint="cs"/>
          <w:rtl/>
        </w:rPr>
        <w:t>הרמ"א</w:t>
      </w:r>
      <w:r w:rsidRPr="00B859B5">
        <w:rPr>
          <w:rStyle w:val="aff4"/>
          <w:rFonts w:hint="cs"/>
          <w:vanish/>
          <w:rtl/>
        </w:rPr>
        <w:t>-</w:t>
      </w:r>
      <w:r>
        <w:rPr>
          <w:rFonts w:hint="cs"/>
          <w:rtl/>
        </w:rPr>
        <w:t xml:space="preserve"> דאף בב' מינים אם בורר את החתיכות הגדולות של ב' המינים מתוך החתיכות הקטנות או להיפך, לא הוי בורר.</w:t>
      </w:r>
      <w:bookmarkEnd w:id="2459"/>
    </w:p>
    <w:p w14:paraId="5AC3A380" w14:textId="77777777" w:rsidR="00592982" w:rsidRPr="00747170" w:rsidRDefault="00592982" w:rsidP="00747170">
      <w:pPr>
        <w:pStyle w:val="a2"/>
      </w:pPr>
      <w:r w:rsidRPr="00747170">
        <w:rPr>
          <w:rtl/>
        </w:rPr>
        <w:t xml:space="preserve">אמנם נראה דאפי' לפי זה לא חשיב ברירה, אלא דווקא בשני מינים ולא במין אחד כלל, דודאי דוקא נקט התנא, וכן כל המחברים שני מיני אוכלין. </w:t>
      </w:r>
      <w:r w:rsidRPr="00747170">
        <w:rPr>
          <w:rStyle w:val="afff7"/>
          <w:rtl/>
        </w:rPr>
        <w:t>והכי איתא במרדכי פ' אלו טריפות, גבי נפלה לאור, דכל היכא דמצינו למימר דלישנא דמתניתין דווקא הוא, לא אמרינן לאו דווקא הוא אפי' להחמיר ע"ש,</w:t>
      </w:r>
      <w:r w:rsidRPr="00747170">
        <w:rPr>
          <w:rtl/>
        </w:rPr>
        <w:t xml:space="preserve"> מ"מ שני מיני דגים לאו מין אחד מיקרי, דהא פסיק בא"ז במס' עבודה זרה, דמיני דגים חלוקים בשמן מיקרי מין בשאין מינו, לענין ביטול כ"ש להאי מילתא.</w:t>
      </w:r>
    </w:p>
    <w:p w14:paraId="1E64493B" w14:textId="2B6D8998" w:rsidR="00592982" w:rsidRDefault="00592982" w:rsidP="00592982">
      <w:pPr>
        <w:pStyle w:val="afffff7"/>
        <w:rPr>
          <w:rtl/>
        </w:rPr>
      </w:pPr>
      <w:bookmarkStart w:id="2460" w:name="_Toc137742074"/>
      <w:bookmarkStart w:id="2461" w:name="_Toc163505842"/>
      <w:r>
        <w:rPr>
          <w:rtl/>
        </w:rPr>
        <w:t>מגן אברהם סי</w:t>
      </w:r>
      <w:r>
        <w:rPr>
          <w:rFonts w:hint="cs"/>
          <w:rtl/>
        </w:rPr>
        <w:t>'</w:t>
      </w:r>
      <w:r>
        <w:rPr>
          <w:rtl/>
        </w:rPr>
        <w:t xml:space="preserve"> שי</w:t>
      </w:r>
      <w:r>
        <w:rPr>
          <w:rFonts w:hint="cs"/>
          <w:rtl/>
        </w:rPr>
        <w:t>"</w:t>
      </w:r>
      <w:r>
        <w:rPr>
          <w:rtl/>
        </w:rPr>
        <w:t>ט סק"ה</w:t>
      </w:r>
      <w:bookmarkEnd w:id="2460"/>
      <w:bookmarkEnd w:id="2461"/>
    </w:p>
    <w:p w14:paraId="085A2D36" w14:textId="77777777" w:rsidR="00592982" w:rsidRDefault="00592982" w:rsidP="00592982">
      <w:pPr>
        <w:pStyle w:val="afffff7"/>
        <w:rPr>
          <w:rtl/>
        </w:rPr>
      </w:pPr>
      <w:bookmarkStart w:id="2462" w:name="_Toc137742075"/>
      <w:bookmarkStart w:id="2463" w:name="_Toc163505843"/>
      <w:r>
        <w:rPr>
          <w:rtl/>
        </w:rPr>
        <w:t>מגיד משנה שביתת עשור פ"א ה"ג</w:t>
      </w:r>
      <w:bookmarkEnd w:id="2462"/>
      <w:bookmarkEnd w:id="2463"/>
    </w:p>
    <w:p w14:paraId="06851CC1" w14:textId="77777777" w:rsidR="00592982" w:rsidRDefault="00592982" w:rsidP="00592982">
      <w:pPr>
        <w:pStyle w:val="a7"/>
        <w:rPr>
          <w:rtl/>
        </w:rPr>
      </w:pPr>
      <w:bookmarkStart w:id="2464" w:name="_Toc137741995"/>
      <w:r>
        <w:rPr>
          <w:rFonts w:hint="cs"/>
          <w:rtl/>
        </w:rPr>
        <w:t>בי' המג"א דבראויין לאכילה ע"י הדחק אסור מדרבנן כמבו' במ"מ דבכה"ג אסור אך אי"ז בורר</w:t>
      </w:r>
      <w:bookmarkEnd w:id="2464"/>
    </w:p>
    <w:p w14:paraId="3BACCB11" w14:textId="51BC4379" w:rsidR="00592982" w:rsidRPr="00833651" w:rsidRDefault="00592982" w:rsidP="00BC7DC8">
      <w:pPr>
        <w:pStyle w:val="a3"/>
        <w:rPr>
          <w:rtl/>
        </w:rPr>
      </w:pPr>
      <w:bookmarkStart w:id="2465" w:name="_Ref137739210"/>
      <w:r>
        <w:rPr>
          <w:rFonts w:hint="cs"/>
          <w:rtl/>
        </w:rPr>
        <w:t xml:space="preserve">אך כתב </w:t>
      </w:r>
      <w:r w:rsidRPr="00C15708">
        <w:rPr>
          <w:rStyle w:val="aff4"/>
          <w:rFonts w:hint="cs"/>
          <w:vanish/>
          <w:rtl/>
        </w:rPr>
        <w:t>-</w:t>
      </w:r>
      <w:r w:rsidRPr="00C15708">
        <w:rPr>
          <w:rStyle w:val="aff4"/>
          <w:rFonts w:hint="cs"/>
          <w:rtl/>
        </w:rPr>
        <w:t>ה</w:t>
      </w:r>
      <w:r w:rsidRPr="00C15708">
        <w:rPr>
          <w:rStyle w:val="aff4"/>
          <w:rFonts w:hint="cs"/>
          <w:vanish/>
          <w:rtl/>
        </w:rPr>
        <w:t xml:space="preserve">&lt;. </w:t>
      </w:r>
      <w:r w:rsidRPr="00C15708">
        <w:rPr>
          <w:rStyle w:val="aff4"/>
          <w:vanish/>
          <w:rtl/>
        </w:rPr>
        <w:fldChar w:fldCharType="begin"/>
      </w:r>
      <w:r w:rsidRPr="00C15708">
        <w:rPr>
          <w:rStyle w:val="aff4"/>
          <w:vanish/>
          <w:rtl/>
        </w:rPr>
        <w:instrText xml:space="preserve"> </w:instrText>
      </w:r>
      <w:r w:rsidRPr="00C15708">
        <w:rPr>
          <w:rStyle w:val="aff4"/>
          <w:rFonts w:hint="cs"/>
          <w:vanish/>
        </w:rPr>
        <w:instrText>REF</w:instrText>
      </w:r>
      <w:r w:rsidRPr="00C15708">
        <w:rPr>
          <w:rStyle w:val="aff4"/>
          <w:rFonts w:hint="cs"/>
          <w:vanish/>
          <w:rtl/>
        </w:rPr>
        <w:instrText xml:space="preserve"> _</w:instrText>
      </w:r>
      <w:r w:rsidRPr="00C15708">
        <w:rPr>
          <w:rStyle w:val="aff4"/>
          <w:rFonts w:hint="cs"/>
          <w:vanish/>
        </w:rPr>
        <w:instrText>Ref137739210 \r \h</w:instrText>
      </w:r>
      <w:r w:rsidRPr="00C15708">
        <w:rPr>
          <w:rStyle w:val="aff4"/>
          <w:vanish/>
          <w:rtl/>
        </w:rPr>
        <w:instrText xml:space="preserve"> </w:instrText>
      </w:r>
      <w:r w:rsidRPr="00C15708">
        <w:rPr>
          <w:rStyle w:val="aff4"/>
          <w:vanish/>
          <w:rtl/>
        </w:rPr>
      </w:r>
      <w:r w:rsidRPr="00C15708">
        <w:rPr>
          <w:rStyle w:val="aff4"/>
          <w:vanish/>
          <w:rtl/>
        </w:rPr>
        <w:fldChar w:fldCharType="separate"/>
      </w:r>
      <w:r w:rsidR="00D82181">
        <w:rPr>
          <w:rStyle w:val="aff4"/>
          <w:vanish/>
          <w:cs/>
        </w:rPr>
        <w:t>‎</w:t>
      </w:r>
      <w:r w:rsidR="00D82181">
        <w:rPr>
          <w:rStyle w:val="aff4"/>
          <w:vanish/>
          <w:rtl/>
        </w:rPr>
        <w:t>נו)</w:t>
      </w:r>
      <w:r w:rsidRPr="00C15708">
        <w:rPr>
          <w:rStyle w:val="aff4"/>
          <w:vanish/>
          <w:rtl/>
        </w:rPr>
        <w:fldChar w:fldCharType="end"/>
      </w:r>
      <w:r w:rsidRPr="00C15708">
        <w:rPr>
          <w:rStyle w:val="aff4"/>
          <w:rFonts w:hint="cs"/>
          <w:vanish/>
          <w:rtl/>
        </w:rPr>
        <w:t xml:space="preserve"> &gt;</w:t>
      </w:r>
      <w:r w:rsidRPr="00C15708">
        <w:rPr>
          <w:rStyle w:val="aff4"/>
          <w:rFonts w:hint="cs"/>
          <w:rtl/>
        </w:rPr>
        <w:t>מג"א</w:t>
      </w:r>
      <w:r w:rsidRPr="00C15708">
        <w:rPr>
          <w:rStyle w:val="aff4"/>
          <w:rFonts w:hint="cs"/>
          <w:vanish/>
          <w:rtl/>
        </w:rPr>
        <w:t>-</w:t>
      </w:r>
      <w:r>
        <w:rPr>
          <w:rFonts w:hint="cs"/>
          <w:rtl/>
        </w:rPr>
        <w:t xml:space="preserve"> </w:t>
      </w:r>
      <w:r w:rsidRPr="00531A77">
        <w:rPr>
          <w:rStyle w:val="af2"/>
          <w:rFonts w:eastAsia="Guttman Hodes" w:hint="cs"/>
          <w:rtl/>
        </w:rPr>
        <w:t>(סי' שי"ט סק"ה)</w:t>
      </w:r>
      <w:r w:rsidRPr="00C15708">
        <w:rPr>
          <w:rFonts w:hint="cs"/>
          <w:vanish/>
          <w:rtl/>
        </w:rPr>
        <w:t>=</w:t>
      </w:r>
      <w:r>
        <w:rPr>
          <w:rFonts w:hint="cs"/>
          <w:rtl/>
        </w:rPr>
        <w:t xml:space="preserve"> דמ"מ אם יש חלק מהמין שראוי לאכילה רק ע"י הדחק פטור אבל אסור, וציין </w:t>
      </w:r>
      <w:r w:rsidRPr="00C15708">
        <w:rPr>
          <w:rStyle w:val="aff4"/>
          <w:rFonts w:hint="cs"/>
          <w:vanish/>
          <w:rtl/>
        </w:rPr>
        <w:t>-</w:t>
      </w:r>
      <w:r w:rsidRPr="00C15708">
        <w:rPr>
          <w:rStyle w:val="aff4"/>
          <w:rFonts w:hint="cs"/>
          <w:rtl/>
        </w:rPr>
        <w:t>המג"א</w:t>
      </w:r>
      <w:r w:rsidRPr="00C15708">
        <w:rPr>
          <w:rStyle w:val="aff4"/>
          <w:rFonts w:hint="cs"/>
          <w:vanish/>
          <w:rtl/>
        </w:rPr>
        <w:t>-</w:t>
      </w:r>
      <w:r>
        <w:rPr>
          <w:rFonts w:hint="cs"/>
          <w:rtl/>
        </w:rPr>
        <w:t xml:space="preserve"> לדברי </w:t>
      </w:r>
      <w:r w:rsidRPr="00C15708">
        <w:rPr>
          <w:rStyle w:val="aff4"/>
          <w:rFonts w:hint="cs"/>
          <w:vanish/>
          <w:rtl/>
        </w:rPr>
        <w:t>-</w:t>
      </w:r>
      <w:r w:rsidRPr="00C15708">
        <w:rPr>
          <w:rStyle w:val="aff4"/>
          <w:rFonts w:hint="cs"/>
          <w:rtl/>
        </w:rPr>
        <w:t>ה</w:t>
      </w:r>
      <w:r w:rsidRPr="00C15708">
        <w:rPr>
          <w:rStyle w:val="aff4"/>
          <w:rFonts w:hint="cs"/>
          <w:vanish/>
          <w:rtl/>
        </w:rPr>
        <w:t>&lt; &gt;</w:t>
      </w:r>
      <w:r w:rsidRPr="00C15708">
        <w:rPr>
          <w:rStyle w:val="aff4"/>
          <w:rFonts w:hint="cs"/>
          <w:rtl/>
        </w:rPr>
        <w:t>מ"מ</w:t>
      </w:r>
      <w:r w:rsidRPr="00C15708">
        <w:rPr>
          <w:rStyle w:val="aff4"/>
          <w:rFonts w:hint="cs"/>
          <w:vanish/>
          <w:rtl/>
        </w:rPr>
        <w:t>-</w:t>
      </w:r>
      <w:r>
        <w:rPr>
          <w:rFonts w:hint="cs"/>
          <w:rtl/>
        </w:rPr>
        <w:t xml:space="preserve"> </w:t>
      </w:r>
      <w:r w:rsidRPr="00531A77">
        <w:rPr>
          <w:rStyle w:val="af2"/>
          <w:rFonts w:eastAsia="Guttman Hodes" w:hint="cs"/>
          <w:rtl/>
        </w:rPr>
        <w:t>(שביתת עשור פ"א ה"ג)</w:t>
      </w:r>
      <w:r w:rsidRPr="00C15708">
        <w:rPr>
          <w:rFonts w:hint="cs"/>
          <w:vanish/>
          <w:rtl/>
        </w:rPr>
        <w:t>=</w:t>
      </w:r>
      <w:r>
        <w:rPr>
          <w:rFonts w:hint="cs"/>
          <w:rtl/>
        </w:rPr>
        <w:t xml:space="preserve"> דכתב דהסרת עלים רעים מירק אינו בורר גמור כיון דהכל מין אחד, ואי"ז פסולת גמורה ואינו אוכל ממין אחר, ולכן אין </w:t>
      </w:r>
      <w:r>
        <w:rPr>
          <w:rFonts w:hint="cs"/>
          <w:rtl/>
        </w:rPr>
        <w:t xml:space="preserve">העלים הרעים נקראים פסולת, והוסיף </w:t>
      </w:r>
      <w:r w:rsidRPr="00C15708">
        <w:rPr>
          <w:rStyle w:val="aff4"/>
          <w:rFonts w:hint="cs"/>
          <w:vanish/>
          <w:rtl/>
        </w:rPr>
        <w:t>-</w:t>
      </w:r>
      <w:r w:rsidRPr="00C15708">
        <w:rPr>
          <w:rStyle w:val="aff4"/>
          <w:rFonts w:hint="cs"/>
          <w:rtl/>
        </w:rPr>
        <w:t>המ"מ</w:t>
      </w:r>
      <w:r w:rsidRPr="00C15708">
        <w:rPr>
          <w:rStyle w:val="aff4"/>
          <w:rFonts w:hint="cs"/>
          <w:vanish/>
          <w:rtl/>
        </w:rPr>
        <w:t>-</w:t>
      </w:r>
      <w:r>
        <w:rPr>
          <w:rFonts w:hint="cs"/>
          <w:rtl/>
        </w:rPr>
        <w:t xml:space="preserve"> דאפש"ל דהיינו דוקא בראויין ע"י הדחק.</w:t>
      </w:r>
      <w:bookmarkEnd w:id="2465"/>
      <w:r>
        <w:rPr>
          <w:rFonts w:hint="cs"/>
          <w:rtl/>
        </w:rPr>
        <w:t xml:space="preserve"> </w:t>
      </w:r>
    </w:p>
    <w:p w14:paraId="6EF7126E" w14:textId="77777777" w:rsidR="00592982" w:rsidRPr="00747170" w:rsidRDefault="00592982" w:rsidP="00747170">
      <w:pPr>
        <w:pStyle w:val="a2"/>
      </w:pPr>
      <w:r w:rsidRPr="00747170">
        <w:rPr>
          <w:rtl/>
        </w:rPr>
        <w:t xml:space="preserve">לא מקרי ברירה. אא"כ קצת אין ראוי לאכול אלא ע"י הדחק וכמ"ש ס"א דאז פטור אבל אסור ואף על פי שמחבץ ומשמר חייב משום בורר התם בדברים לחים עמ"ש סט"ו [מ"מ הל' שביתת עשור]: </w:t>
      </w:r>
    </w:p>
    <w:p w14:paraId="178AFC33" w14:textId="77777777" w:rsidR="00592982" w:rsidRDefault="00592982" w:rsidP="00747170">
      <w:pPr>
        <w:pStyle w:val="afffff5"/>
      </w:pPr>
      <w:r>
        <w:rPr>
          <w:rtl/>
        </w:rPr>
        <w:t>[ג] ומותר לקנב וכו'. פ' אלו קשרים (שבת קט"ו:) יוה"כ מותר בקניבת ירק מן המנחה ולמעלה ופירש רבינו מהו הקנוב שיסיר העלים המעופשות וכו' וכן פירש"י ז"ל כדבריו והביאו ראיה שקניבה הוא חתיכה ממה שאמרו פרק כלל גדול (דף ע"ג:) האי מאן דקניב סלקא חייב שתים אחת משום קוצר ואחת משום נוטע. ופירוש שחותך סלקא מן המחובר וחוזרת מצמחת כמבואר פ"ח מהלכות שבת וביוה"כ הותר בתלוש שאין בו אלא משום שבות. והקשו על פירושם דאי להסיר העלים הרעים היינו בורר והיינו מלאכה גמורה. ויש לי לתרץ לדעתם דלא מקרי בורר אלא מתוך פסולת גמור או מין אוכל ממין אוכל אחר כנזכר פ"ח מהלכות שבת אבל זה הכל מין אוכל אחד ואין העלין האלו פסולת גמור ולא ראויין להקרא פסולת ואפשר שראויין לאכילה ע"י הדחק וכיון שכן אין בזה אלא משום שבות בשבת והותר ביוה"כ ואף על פי שאמרו מחבץ חייב משום בורר וכן משמר התם בדברים לחים. ופירוש יקצץ השאר אינו ר"ל דק דק שא"כ הרי זה תולדת טוחן כנזכר פ"ז מהלכות שבת. אבל הרמב"ן והרשב"א ז"ל פירשו הדחת ירק ואמרו שנזכר בירושלמי שמותר להדיח כבשין ושלקות וכן נזכר בתוספתא ואמרו שזו היא קניבת ירק האמור בגמרא שלנו:</w:t>
      </w:r>
    </w:p>
    <w:p w14:paraId="49F9FC48" w14:textId="77777777" w:rsidR="00592982" w:rsidRPr="002D4823" w:rsidRDefault="00592982" w:rsidP="00747170">
      <w:pPr>
        <w:pStyle w:val="afffff5"/>
        <w:rPr>
          <w:rtl/>
        </w:rPr>
      </w:pPr>
      <w:r>
        <w:rPr>
          <w:rtl/>
        </w:rPr>
        <w:t>אבל כל שהוא מין א', אף על פי שבורר חתיכות גדולות מתוך קטנות, לא מיקרי ברירה. ואפילו היו שני מינים ובורר משניהם ביחד הגדולות מתוך הקטנות או להיפך, שרי הואיל ואינו בורר מין אחד מתוך חבירו</w:t>
      </w:r>
    </w:p>
    <w:p w14:paraId="2797F951" w14:textId="67BB76BF" w:rsidR="00592982" w:rsidRDefault="00592982" w:rsidP="00592982">
      <w:pPr>
        <w:pStyle w:val="afffff7"/>
        <w:rPr>
          <w:rtl/>
        </w:rPr>
      </w:pPr>
      <w:bookmarkStart w:id="2466" w:name="_Toc137742076"/>
      <w:bookmarkStart w:id="2467" w:name="_Toc163505844"/>
      <w:r>
        <w:rPr>
          <w:rtl/>
        </w:rPr>
        <w:t xml:space="preserve">פרי מגדים </w:t>
      </w:r>
      <w:r>
        <w:rPr>
          <w:rFonts w:hint="cs"/>
          <w:rtl/>
        </w:rPr>
        <w:t>או"ח א"א סי' שי"</w:t>
      </w:r>
      <w:r>
        <w:rPr>
          <w:rtl/>
        </w:rPr>
        <w:t>ט סק</w:t>
      </w:r>
      <w:r>
        <w:rPr>
          <w:rFonts w:hint="cs"/>
          <w:rtl/>
        </w:rPr>
        <w:t>"</w:t>
      </w:r>
      <w:r>
        <w:rPr>
          <w:rtl/>
        </w:rPr>
        <w:t>ה</w:t>
      </w:r>
      <w:bookmarkEnd w:id="2466"/>
      <w:bookmarkEnd w:id="2467"/>
    </w:p>
    <w:p w14:paraId="0C446E13" w14:textId="77777777" w:rsidR="00592982" w:rsidRDefault="00592982" w:rsidP="00592982">
      <w:pPr>
        <w:pStyle w:val="a7"/>
        <w:rPr>
          <w:rtl/>
        </w:rPr>
      </w:pPr>
      <w:bookmarkStart w:id="2468" w:name="_Toc137741996"/>
      <w:r>
        <w:rPr>
          <w:rFonts w:hint="cs"/>
          <w:rtl/>
        </w:rPr>
        <w:t>בי' הפרמ"ג דבמין א' מותר לברור אף שאינו רוצה א' מהם עתה וספק אי בנפה חייב או מותר</w:t>
      </w:r>
      <w:bookmarkEnd w:id="2468"/>
    </w:p>
    <w:p w14:paraId="383F739E" w14:textId="37F5D6C3" w:rsidR="00592982" w:rsidRPr="00C774A8" w:rsidRDefault="00592982" w:rsidP="00BC7DC8">
      <w:pPr>
        <w:pStyle w:val="a3"/>
        <w:rPr>
          <w:rtl/>
        </w:rPr>
      </w:pPr>
      <w:bookmarkStart w:id="2469" w:name="_Ref137739398"/>
      <w:r>
        <w:rPr>
          <w:rFonts w:hint="cs"/>
          <w:rtl/>
        </w:rPr>
        <w:t xml:space="preserve">וכתב </w:t>
      </w:r>
      <w:r w:rsidRPr="00C15708">
        <w:rPr>
          <w:rStyle w:val="aff4"/>
          <w:rFonts w:hint="cs"/>
          <w:vanish/>
          <w:rtl/>
        </w:rPr>
        <w:t>-</w:t>
      </w:r>
      <w:r w:rsidRPr="00C15708">
        <w:rPr>
          <w:rStyle w:val="aff4"/>
          <w:rFonts w:hint="cs"/>
          <w:rtl/>
        </w:rPr>
        <w:t>ה</w:t>
      </w:r>
      <w:r w:rsidRPr="00C15708">
        <w:rPr>
          <w:rStyle w:val="aff4"/>
          <w:rFonts w:hint="cs"/>
          <w:vanish/>
          <w:rtl/>
        </w:rPr>
        <w:t xml:space="preserve">&lt;. </w:t>
      </w:r>
      <w:r w:rsidRPr="00C15708">
        <w:rPr>
          <w:rStyle w:val="aff4"/>
          <w:vanish/>
          <w:rtl/>
        </w:rPr>
        <w:fldChar w:fldCharType="begin"/>
      </w:r>
      <w:r w:rsidRPr="00C15708">
        <w:rPr>
          <w:rStyle w:val="aff4"/>
          <w:vanish/>
          <w:rtl/>
        </w:rPr>
        <w:instrText xml:space="preserve"> </w:instrText>
      </w:r>
      <w:r w:rsidRPr="00C15708">
        <w:rPr>
          <w:rStyle w:val="aff4"/>
          <w:rFonts w:hint="cs"/>
          <w:vanish/>
        </w:rPr>
        <w:instrText>REF</w:instrText>
      </w:r>
      <w:r w:rsidRPr="00C15708">
        <w:rPr>
          <w:rStyle w:val="aff4"/>
          <w:rFonts w:hint="cs"/>
          <w:vanish/>
          <w:rtl/>
        </w:rPr>
        <w:instrText xml:space="preserve"> _</w:instrText>
      </w:r>
      <w:r w:rsidRPr="00C15708">
        <w:rPr>
          <w:rStyle w:val="aff4"/>
          <w:rFonts w:hint="cs"/>
          <w:vanish/>
        </w:rPr>
        <w:instrText>Ref137739398 \r \h</w:instrText>
      </w:r>
      <w:r w:rsidRPr="00C15708">
        <w:rPr>
          <w:rStyle w:val="aff4"/>
          <w:vanish/>
          <w:rtl/>
        </w:rPr>
        <w:instrText xml:space="preserve"> </w:instrText>
      </w:r>
      <w:r w:rsidRPr="00C15708">
        <w:rPr>
          <w:rStyle w:val="aff4"/>
          <w:vanish/>
          <w:rtl/>
        </w:rPr>
      </w:r>
      <w:r w:rsidRPr="00C15708">
        <w:rPr>
          <w:rStyle w:val="aff4"/>
          <w:vanish/>
          <w:rtl/>
        </w:rPr>
        <w:fldChar w:fldCharType="separate"/>
      </w:r>
      <w:r w:rsidR="00D82181">
        <w:rPr>
          <w:rStyle w:val="aff4"/>
          <w:vanish/>
          <w:cs/>
        </w:rPr>
        <w:t>‎</w:t>
      </w:r>
      <w:r w:rsidR="00D82181">
        <w:rPr>
          <w:rStyle w:val="aff4"/>
          <w:vanish/>
          <w:rtl/>
        </w:rPr>
        <w:t>נז)</w:t>
      </w:r>
      <w:r w:rsidRPr="00C15708">
        <w:rPr>
          <w:rStyle w:val="aff4"/>
          <w:vanish/>
          <w:rtl/>
        </w:rPr>
        <w:fldChar w:fldCharType="end"/>
      </w:r>
      <w:r w:rsidRPr="00C15708">
        <w:rPr>
          <w:rStyle w:val="aff4"/>
          <w:rFonts w:hint="cs"/>
          <w:vanish/>
          <w:rtl/>
        </w:rPr>
        <w:t xml:space="preserve"> &gt;</w:t>
      </w:r>
      <w:r w:rsidRPr="00C15708">
        <w:rPr>
          <w:rStyle w:val="aff4"/>
          <w:rFonts w:hint="cs"/>
          <w:rtl/>
        </w:rPr>
        <w:t>פרמ"ג</w:t>
      </w:r>
      <w:r w:rsidRPr="00C15708">
        <w:rPr>
          <w:rStyle w:val="aff4"/>
          <w:rFonts w:hint="cs"/>
          <w:vanish/>
          <w:rtl/>
        </w:rPr>
        <w:t>-</w:t>
      </w:r>
      <w:r>
        <w:rPr>
          <w:rFonts w:hint="cs"/>
          <w:rtl/>
        </w:rPr>
        <w:t xml:space="preserve"> </w:t>
      </w:r>
      <w:r w:rsidRPr="00531A77">
        <w:rPr>
          <w:rStyle w:val="af2"/>
          <w:rFonts w:eastAsia="Guttman Hodes" w:hint="cs"/>
          <w:rtl/>
        </w:rPr>
        <w:t>(סי' שי"ט א"א סק"ה)</w:t>
      </w:r>
      <w:r w:rsidRPr="00C15708">
        <w:rPr>
          <w:rFonts w:hint="cs"/>
          <w:vanish/>
          <w:rtl/>
        </w:rPr>
        <w:t>=</w:t>
      </w:r>
      <w:bookmarkEnd w:id="2469"/>
      <w:r>
        <w:rPr>
          <w:rFonts w:hint="cs"/>
          <w:rtl/>
        </w:rPr>
        <w:t xml:space="preserve"> דכיון דבמין אחד אין ברירה כלל, א"כ מותר לברור קטנים מגדולים אף שאינו רוצה עכשיו לא את הקטנים ולא את הגדולים, והוסיף </w:t>
      </w:r>
      <w:r w:rsidRPr="00C15708">
        <w:rPr>
          <w:rStyle w:val="aff4"/>
          <w:rFonts w:hint="cs"/>
          <w:vanish/>
          <w:rtl/>
        </w:rPr>
        <w:t>-</w:t>
      </w:r>
      <w:r w:rsidRPr="00C15708">
        <w:rPr>
          <w:rStyle w:val="aff4"/>
          <w:rFonts w:hint="cs"/>
          <w:rtl/>
        </w:rPr>
        <w:t>הפרמ"ג</w:t>
      </w:r>
      <w:r w:rsidRPr="00C15708">
        <w:rPr>
          <w:rStyle w:val="aff4"/>
          <w:rFonts w:hint="cs"/>
          <w:vanish/>
          <w:rtl/>
        </w:rPr>
        <w:t>-</w:t>
      </w:r>
      <w:r>
        <w:rPr>
          <w:rFonts w:hint="cs"/>
          <w:rtl/>
        </w:rPr>
        <w:t xml:space="preserve"> דצ"ע אם מותר אף בנפה וכברה, או דאסור ופטור או דחייב, וביאר </w:t>
      </w:r>
      <w:r w:rsidRPr="00C15708">
        <w:rPr>
          <w:rStyle w:val="aff4"/>
          <w:rFonts w:hint="cs"/>
          <w:vanish/>
          <w:rtl/>
        </w:rPr>
        <w:t>-</w:t>
      </w:r>
      <w:r w:rsidRPr="00C15708">
        <w:rPr>
          <w:rStyle w:val="aff4"/>
          <w:rFonts w:hint="cs"/>
          <w:rtl/>
        </w:rPr>
        <w:t>הפרמ"ג</w:t>
      </w:r>
      <w:r w:rsidRPr="00C15708">
        <w:rPr>
          <w:rStyle w:val="aff4"/>
          <w:rFonts w:hint="cs"/>
          <w:vanish/>
          <w:rtl/>
        </w:rPr>
        <w:t>-</w:t>
      </w:r>
      <w:r>
        <w:rPr>
          <w:rFonts w:hint="cs"/>
          <w:rtl/>
        </w:rPr>
        <w:t xml:space="preserve"> דכיון דבנפה הוא דרך ברירה אפש"ל דאף שאין בורר במין אחד, מ"מ ע"י שהוא דרך ברירה הוי בורר גמור וחייב, או דבמין אחד לא שייך בורר כלל.</w:t>
      </w:r>
    </w:p>
    <w:p w14:paraId="75434E62" w14:textId="77777777" w:rsidR="00592982" w:rsidRPr="00747170" w:rsidRDefault="00592982" w:rsidP="00747170">
      <w:pPr>
        <w:pStyle w:val="a2"/>
      </w:pPr>
      <w:r w:rsidRPr="00747170">
        <w:rPr>
          <w:rtl/>
        </w:rPr>
        <w:t>ה לא. עיין מ"א. עיין [אשל אברהם] אות ג' [ואות] וי"ו דגדולות מקטנות היינו בסעודת שחרית באמצע סעודה רוצה לברור גדולות להניח לסעודה שלישית ולאכול עתה הקטנים, שכבר סעד, ופסולת מאוכל אסור כהאי גוונא, במין אחד שרי. והוא הדין לברור לאחר זמן בליל שבת על סעודת מחר שרי, דבמין אחד לא שייך ברירה כלל, ואף שאין רוצה לאכול עתה לא מקטנות ולא מגדולים. וצריך עיון בנפה וכברה אם מותר או פטור או חייב, על דרך משל לוזים יש במינם גדולים וקטנים, ר"ל בהאזי"ל נו"ס גופא או בוועלש"י נו"ס יש גדולים וקטנים, דאפשר דרך בורר בנפה גורם החיוב, שהרי אוכל מפסולת לאכול לאלתר שרי (וגופה) [ונפה] חייב, הוא הדין זה, או דלמא במין אחד לא שייך ברירה כלל.</w:t>
      </w:r>
    </w:p>
    <w:p w14:paraId="32230B93" w14:textId="53277E56" w:rsidR="00592982" w:rsidRDefault="00592982" w:rsidP="00592982">
      <w:pPr>
        <w:pStyle w:val="afffff7"/>
        <w:rPr>
          <w:rtl/>
        </w:rPr>
      </w:pPr>
      <w:bookmarkStart w:id="2470" w:name="_Toc137742077"/>
      <w:bookmarkStart w:id="2471" w:name="_Toc163505845"/>
      <w:r>
        <w:rPr>
          <w:rtl/>
        </w:rPr>
        <w:t>ט"ז או</w:t>
      </w:r>
      <w:r>
        <w:rPr>
          <w:rFonts w:hint="cs"/>
          <w:rtl/>
        </w:rPr>
        <w:t xml:space="preserve">"ח </w:t>
      </w:r>
      <w:r>
        <w:rPr>
          <w:rtl/>
        </w:rPr>
        <w:t>סי</w:t>
      </w:r>
      <w:r>
        <w:rPr>
          <w:rFonts w:hint="cs"/>
          <w:rtl/>
        </w:rPr>
        <w:t xml:space="preserve">' </w:t>
      </w:r>
      <w:r>
        <w:rPr>
          <w:rtl/>
        </w:rPr>
        <w:t>שי</w:t>
      </w:r>
      <w:r>
        <w:rPr>
          <w:rFonts w:hint="cs"/>
          <w:rtl/>
        </w:rPr>
        <w:t>"</w:t>
      </w:r>
      <w:r>
        <w:rPr>
          <w:rtl/>
        </w:rPr>
        <w:t>ט</w:t>
      </w:r>
      <w:r>
        <w:rPr>
          <w:rFonts w:hint="cs"/>
          <w:rtl/>
        </w:rPr>
        <w:t xml:space="preserve"> סק"ב</w:t>
      </w:r>
      <w:bookmarkEnd w:id="2470"/>
      <w:bookmarkEnd w:id="2471"/>
    </w:p>
    <w:p w14:paraId="057FD78E" w14:textId="77777777" w:rsidR="00592982" w:rsidRDefault="00592982" w:rsidP="00592982">
      <w:pPr>
        <w:pStyle w:val="a7"/>
        <w:rPr>
          <w:rtl/>
        </w:rPr>
      </w:pPr>
      <w:bookmarkStart w:id="2472" w:name="_Toc137741997"/>
      <w:r>
        <w:rPr>
          <w:rFonts w:hint="cs"/>
          <w:rtl/>
        </w:rPr>
        <w:t>בי' הט"ז דאף במין אחד יש ברירה דכל שמניח ואינו רוצה ליטול הוי כפסולת אף בחתיכות שוות</w:t>
      </w:r>
      <w:bookmarkEnd w:id="2472"/>
    </w:p>
    <w:p w14:paraId="147D0B33" w14:textId="56B4FD0B" w:rsidR="00592982" w:rsidRPr="00934A32" w:rsidRDefault="00592982" w:rsidP="00BC7DC8">
      <w:pPr>
        <w:pStyle w:val="a3"/>
        <w:rPr>
          <w:rtl/>
        </w:rPr>
      </w:pPr>
      <w:bookmarkStart w:id="2473" w:name="_Ref137726718"/>
      <w:r>
        <w:rPr>
          <w:rFonts w:hint="cs"/>
          <w:rtl/>
        </w:rPr>
        <w:t xml:space="preserve">אבל </w:t>
      </w:r>
      <w:r w:rsidRPr="00B859B5">
        <w:rPr>
          <w:rStyle w:val="aff4"/>
          <w:rFonts w:hint="cs"/>
          <w:vanish/>
          <w:rtl/>
        </w:rPr>
        <w:t>-</w:t>
      </w:r>
      <w:r w:rsidRPr="009452F1">
        <w:rPr>
          <w:rStyle w:val="aff4"/>
          <w:rFonts w:hint="cs"/>
          <w:rtl/>
        </w:rPr>
        <w:t>ה</w:t>
      </w:r>
      <w:r w:rsidRPr="004D5BBD">
        <w:rPr>
          <w:rStyle w:val="aff4"/>
          <w:rFonts w:hint="cs"/>
          <w:vanish/>
          <w:rtl/>
        </w:rPr>
        <w:t xml:space="preserve">&lt;. </w:t>
      </w:r>
      <w:r w:rsidRPr="004D5BBD">
        <w:rPr>
          <w:rStyle w:val="aff4"/>
          <w:vanish/>
          <w:rtl/>
        </w:rPr>
        <w:fldChar w:fldCharType="begin"/>
      </w:r>
      <w:r w:rsidRPr="004D5BBD">
        <w:rPr>
          <w:rStyle w:val="aff4"/>
          <w:vanish/>
          <w:rtl/>
        </w:rPr>
        <w:instrText xml:space="preserve"> </w:instrText>
      </w:r>
      <w:r w:rsidRPr="004D5BBD">
        <w:rPr>
          <w:rStyle w:val="aff4"/>
          <w:rFonts w:hint="cs"/>
          <w:vanish/>
        </w:rPr>
        <w:instrText>REF</w:instrText>
      </w:r>
      <w:r w:rsidRPr="004D5BBD">
        <w:rPr>
          <w:rStyle w:val="aff4"/>
          <w:rFonts w:hint="cs"/>
          <w:vanish/>
          <w:rtl/>
        </w:rPr>
        <w:instrText xml:space="preserve"> _</w:instrText>
      </w:r>
      <w:r w:rsidRPr="004D5BBD">
        <w:rPr>
          <w:rStyle w:val="aff4"/>
          <w:rFonts w:hint="cs"/>
          <w:vanish/>
        </w:rPr>
        <w:instrText>Ref137726718 \r \h</w:instrText>
      </w:r>
      <w:r w:rsidRPr="004D5BBD">
        <w:rPr>
          <w:rStyle w:val="aff4"/>
          <w:vanish/>
          <w:rtl/>
        </w:rPr>
        <w:instrText xml:space="preserve"> </w:instrText>
      </w:r>
      <w:r w:rsidRPr="004D5BBD">
        <w:rPr>
          <w:rStyle w:val="aff4"/>
          <w:vanish/>
          <w:rtl/>
        </w:rPr>
      </w:r>
      <w:r w:rsidRPr="004D5BBD">
        <w:rPr>
          <w:rStyle w:val="aff4"/>
          <w:vanish/>
          <w:rtl/>
        </w:rPr>
        <w:fldChar w:fldCharType="separate"/>
      </w:r>
      <w:r w:rsidR="00D82181">
        <w:rPr>
          <w:rStyle w:val="aff4"/>
          <w:vanish/>
          <w:cs/>
        </w:rPr>
        <w:t>‎</w:t>
      </w:r>
      <w:r w:rsidR="00D82181">
        <w:rPr>
          <w:rStyle w:val="aff4"/>
          <w:vanish/>
          <w:rtl/>
        </w:rPr>
        <w:t>נח)</w:t>
      </w:r>
      <w:r w:rsidRPr="004D5BBD">
        <w:rPr>
          <w:rStyle w:val="aff4"/>
          <w:vanish/>
          <w:rtl/>
        </w:rPr>
        <w:fldChar w:fldCharType="end"/>
      </w:r>
      <w:r w:rsidRPr="004D5BBD">
        <w:rPr>
          <w:rStyle w:val="aff4"/>
          <w:rFonts w:hint="cs"/>
          <w:vanish/>
          <w:rtl/>
        </w:rPr>
        <w:t xml:space="preserve"> &gt;</w:t>
      </w:r>
      <w:r w:rsidRPr="009452F1">
        <w:rPr>
          <w:rStyle w:val="aff4"/>
          <w:rFonts w:hint="cs"/>
          <w:rtl/>
        </w:rPr>
        <w:t>ט"ז</w:t>
      </w:r>
      <w:r w:rsidRPr="00B859B5">
        <w:rPr>
          <w:rStyle w:val="aff4"/>
          <w:rFonts w:hint="cs"/>
          <w:vanish/>
          <w:rtl/>
        </w:rPr>
        <w:t>-</w:t>
      </w:r>
      <w:r>
        <w:rPr>
          <w:rFonts w:hint="cs"/>
          <w:rtl/>
        </w:rPr>
        <w:t xml:space="preserve"> </w:t>
      </w:r>
      <w:r w:rsidRPr="009452F1">
        <w:rPr>
          <w:rStyle w:val="af2"/>
          <w:rFonts w:eastAsia="Guttman Hodes" w:hint="cs"/>
          <w:rtl/>
        </w:rPr>
        <w:t>(סי' שי"ט סק"ב)</w:t>
      </w:r>
      <w:r w:rsidRPr="00B859B5">
        <w:rPr>
          <w:rFonts w:hint="cs"/>
          <w:vanish/>
          <w:rtl/>
        </w:rPr>
        <w:t>=</w:t>
      </w:r>
      <w:r>
        <w:rPr>
          <w:rFonts w:hint="cs"/>
          <w:rtl/>
        </w:rPr>
        <w:t xml:space="preserve"> דחה את דברי </w:t>
      </w:r>
      <w:r w:rsidRPr="00B859B5">
        <w:rPr>
          <w:rStyle w:val="aff4"/>
          <w:rFonts w:hint="cs"/>
          <w:vanish/>
          <w:rtl/>
        </w:rPr>
        <w:t>-</w:t>
      </w:r>
      <w:r w:rsidRPr="009452F1">
        <w:rPr>
          <w:rStyle w:val="aff4"/>
          <w:rFonts w:hint="cs"/>
          <w:rtl/>
        </w:rPr>
        <w:t>התרוה"ד</w:t>
      </w:r>
      <w:r w:rsidRPr="00B859B5">
        <w:rPr>
          <w:rStyle w:val="aff4"/>
          <w:rFonts w:hint="cs"/>
          <w:vanish/>
          <w:rtl/>
        </w:rPr>
        <w:t>-</w:t>
      </w:r>
      <w:r>
        <w:rPr>
          <w:rFonts w:hint="cs"/>
          <w:rtl/>
        </w:rPr>
        <w:t xml:space="preserve"> </w:t>
      </w:r>
      <w:r w:rsidRPr="009452F1">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Ref137724475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נה)</w:t>
      </w:r>
      <w:r>
        <w:rPr>
          <w:rStyle w:val="af2"/>
          <w:rFonts w:eastAsia="Guttman Hodes"/>
          <w:rtl/>
        </w:rPr>
        <w:fldChar w:fldCharType="end"/>
      </w:r>
      <w:r>
        <w:rPr>
          <w:rFonts w:hint="cs"/>
          <w:rtl/>
        </w:rPr>
        <w:t xml:space="preserve"> וכתב דהא דנקטה הברייתא "שני" הוא לרבותא, דאף דשני המינים הם ניכרים ולא הוי תערובת מ"מ הוי בורר, וכ"ש במין אחד דהוא בורר דמניח את מה שאינו רוצה ליטול, ועוד דאוכל שמעורב עם פסולת הם מין אחד והוי בורר, וא"כ ה"ה כשאין פסולת ממש אלא שרוצה להניח חלק מאותו המין דמה שהוא משייר חשיב כפסולת, כמ"ש </w:t>
      </w:r>
      <w:r w:rsidRPr="00B859B5">
        <w:rPr>
          <w:rStyle w:val="aff4"/>
          <w:rFonts w:hint="cs"/>
          <w:vanish/>
          <w:rtl/>
        </w:rPr>
        <w:t>-</w:t>
      </w:r>
      <w:r w:rsidRPr="009452F1">
        <w:rPr>
          <w:rStyle w:val="aff4"/>
          <w:rFonts w:hint="cs"/>
          <w:rtl/>
        </w:rPr>
        <w:t>התוס'</w:t>
      </w:r>
      <w:r w:rsidRPr="00B859B5">
        <w:rPr>
          <w:rStyle w:val="aff4"/>
          <w:rFonts w:hint="cs"/>
          <w:vanish/>
          <w:rtl/>
        </w:rPr>
        <w:t>-</w:t>
      </w:r>
      <w:r>
        <w:rPr>
          <w:rFonts w:hint="cs"/>
          <w:rtl/>
        </w:rPr>
        <w:t xml:space="preserve"> </w:t>
      </w:r>
      <w:r w:rsidRPr="009452F1">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Ref137671185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w:t>
      </w:r>
      <w:r>
        <w:rPr>
          <w:rStyle w:val="af2"/>
          <w:rFonts w:eastAsia="Guttman Hodes"/>
          <w:rtl/>
        </w:rPr>
        <w:fldChar w:fldCharType="end"/>
      </w:r>
      <w:r>
        <w:rPr>
          <w:rFonts w:hint="cs"/>
          <w:rtl/>
        </w:rPr>
        <w:t xml:space="preserve"> </w:t>
      </w:r>
      <w:r w:rsidRPr="00B859B5">
        <w:rPr>
          <w:rStyle w:val="aff4"/>
          <w:rFonts w:hint="cs"/>
          <w:vanish/>
          <w:rtl/>
        </w:rPr>
        <w:t>-</w:t>
      </w:r>
      <w:r w:rsidRPr="009452F1">
        <w:rPr>
          <w:rStyle w:val="aff4"/>
          <w:rFonts w:hint="cs"/>
          <w:rtl/>
        </w:rPr>
        <w:t>והטור</w:t>
      </w:r>
      <w:r w:rsidRPr="00B859B5">
        <w:rPr>
          <w:rStyle w:val="aff4"/>
          <w:rFonts w:hint="cs"/>
          <w:vanish/>
          <w:rtl/>
        </w:rPr>
        <w:t>-</w:t>
      </w:r>
      <w:r>
        <w:rPr>
          <w:rFonts w:hint="cs"/>
          <w:rtl/>
        </w:rPr>
        <w:t xml:space="preserve"> </w:t>
      </w:r>
      <w:r w:rsidRPr="009452F1">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Ref137639512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כא)</w:t>
      </w:r>
      <w:r>
        <w:rPr>
          <w:rStyle w:val="af2"/>
          <w:rFonts w:eastAsia="Guttman Hodes"/>
          <w:rtl/>
        </w:rPr>
        <w:fldChar w:fldCharType="end"/>
      </w:r>
      <w:r>
        <w:rPr>
          <w:rFonts w:hint="cs"/>
          <w:rtl/>
        </w:rPr>
        <w:t xml:space="preserve"> לענין ב' מינים דהמין שמניח כפסולת, ובמ"ש </w:t>
      </w:r>
      <w:r w:rsidRPr="00B859B5">
        <w:rPr>
          <w:rStyle w:val="aff4"/>
          <w:rFonts w:hint="cs"/>
          <w:vanish/>
          <w:rtl/>
        </w:rPr>
        <w:t>-</w:t>
      </w:r>
      <w:r w:rsidRPr="009452F1">
        <w:rPr>
          <w:rStyle w:val="aff4"/>
          <w:rFonts w:hint="cs"/>
          <w:rtl/>
        </w:rPr>
        <w:t>הרמ"א</w:t>
      </w:r>
      <w:r w:rsidRPr="00B859B5">
        <w:rPr>
          <w:rStyle w:val="aff4"/>
          <w:rFonts w:hint="cs"/>
          <w:vanish/>
          <w:rtl/>
        </w:rPr>
        <w:t>-</w:t>
      </w:r>
      <w:r>
        <w:rPr>
          <w:rFonts w:hint="cs"/>
          <w:rtl/>
        </w:rPr>
        <w:t xml:space="preserve"> </w:t>
      </w:r>
      <w:r w:rsidRPr="009452F1">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Ref137724475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נה)</w:t>
      </w:r>
      <w:r>
        <w:rPr>
          <w:rStyle w:val="af2"/>
          <w:rFonts w:eastAsia="Guttman Hodes"/>
          <w:rtl/>
        </w:rPr>
        <w:fldChar w:fldCharType="end"/>
      </w:r>
      <w:r>
        <w:rPr>
          <w:rFonts w:hint="cs"/>
          <w:rtl/>
        </w:rPr>
        <w:t xml:space="preserve"> דבחתיכות גדולות מקטנות במין אחד לא הוי בורר, הקשה </w:t>
      </w:r>
      <w:r w:rsidRPr="00B859B5">
        <w:rPr>
          <w:rStyle w:val="aff4"/>
          <w:rFonts w:hint="cs"/>
          <w:vanish/>
          <w:rtl/>
        </w:rPr>
        <w:t>-</w:t>
      </w:r>
      <w:r w:rsidRPr="009452F1">
        <w:rPr>
          <w:rStyle w:val="aff4"/>
          <w:rFonts w:hint="cs"/>
          <w:rtl/>
        </w:rPr>
        <w:t>הט"ז</w:t>
      </w:r>
      <w:r w:rsidRPr="00B859B5">
        <w:rPr>
          <w:rStyle w:val="aff4"/>
          <w:rFonts w:hint="cs"/>
          <w:vanish/>
          <w:rtl/>
        </w:rPr>
        <w:t>-</w:t>
      </w:r>
      <w:r>
        <w:rPr>
          <w:rFonts w:hint="cs"/>
          <w:rtl/>
        </w:rPr>
        <w:t xml:space="preserve"> דמשמע </w:t>
      </w:r>
      <w:r w:rsidRPr="00B859B5">
        <w:rPr>
          <w:rStyle w:val="aff4"/>
          <w:rFonts w:hint="cs"/>
          <w:vanish/>
          <w:rtl/>
        </w:rPr>
        <w:t>-</w:t>
      </w:r>
      <w:r w:rsidRPr="009452F1">
        <w:rPr>
          <w:rStyle w:val="aff4"/>
          <w:rFonts w:hint="cs"/>
          <w:rtl/>
        </w:rPr>
        <w:t>בתרוה"ד</w:t>
      </w:r>
      <w:r w:rsidRPr="00B859B5">
        <w:rPr>
          <w:rStyle w:val="aff4"/>
          <w:rFonts w:hint="cs"/>
          <w:vanish/>
          <w:rtl/>
        </w:rPr>
        <w:t>-</w:t>
      </w:r>
      <w:r>
        <w:rPr>
          <w:rFonts w:hint="cs"/>
          <w:rtl/>
        </w:rPr>
        <w:t xml:space="preserve"> דבכל מין אחד אין ברירה</w:t>
      </w:r>
      <w:r w:rsidRPr="00726AAE">
        <w:rPr>
          <w:rFonts w:hint="cs"/>
          <w:rtl/>
        </w:rPr>
        <w:t xml:space="preserve"> </w:t>
      </w:r>
      <w:r>
        <w:rPr>
          <w:rFonts w:hint="cs"/>
          <w:rtl/>
        </w:rPr>
        <w:t>אף בשווין.</w:t>
      </w:r>
      <w:bookmarkEnd w:id="2473"/>
    </w:p>
    <w:p w14:paraId="1C23683D" w14:textId="77777777" w:rsidR="00592982" w:rsidRPr="00747170" w:rsidRDefault="00592982" w:rsidP="00747170">
      <w:pPr>
        <w:pStyle w:val="a2"/>
        <w:rPr>
          <w:rtl/>
        </w:rPr>
      </w:pPr>
      <w:r w:rsidRPr="00747170">
        <w:rPr>
          <w:rtl/>
        </w:rPr>
        <w:t>(ב)  גדולות מתוך קטנות. דבת"ה סי' נ"ז כ' שאין איסור ברירה אלא בב' מינים דבגמרא איתא היו ב' מינים לפניו ודוקא ב' מינים דנקט דכל היכא דאיכא למימר דוקא לא אמרי' לאו דוקא ותמוה לע"ד דלפי הנראה לרבותא נקט ב' מינים דבא' פשיטא ששייך ברירה במה שרוצה להניח אלא אפי' ב' מינים דכבר ניכר ומופרש כל א' מחבירו ואין שייך בזה עירוב אפ"ה לא יברור ותו דבאוכל המעורב עם פסולת הוא במין אחד וה"ה אם אין שם פסולת רק שרוצה להניח קצת ממנו מקרי אותו השיור פסולת כמ"ש הטור בסמוך בב' מינים והוא הדין בזה דמ"ש וכן משמע בדברי ר"ח שמביאים התוספות פרק כלל גדול וז"ל פירש ר"ח דבאוכל מתוך אוכל שייך ברירה שבורר אותו שאינו חפץ לאכול מתוך אותו שרוצה לאכול דאותו שאין חפץ בו חשיב פסולת משמע אפי' במין אחד הוה כן דמקרי פסולת מה שאינו רוצה לאכול עתה ובוררו להניח על סעודה אחרת ואסור ותו יש לתמוה על שהעתיק רמ"א דגדולות מתוך קטנות לא מקרי ברירה דבת"ה משמע דבמין אחד לא הוה כלל ברירה אפילו בשוין אלא דבב' מינים כתב שיקח משני המינים להשהותן לסעודה אחרת דבזה הוה כמו מין אחד ע"כ וכבר דחינו זה דלרבותא נקט ב' מינים וכ"ש מין אחד וכ"מ דברי הטור שהתחיל בבורר חייב כו' ואח"כ כתב הלכך היו לפניו אוכלין עם פסולת שלהן כו' ואח"כ כתב היו לפניו ב' מיני אוכלין כו' משמע דמתחלה במין אחד קאמר</w:t>
      </w:r>
      <w:r w:rsidRPr="00747170">
        <w:rPr>
          <w:rFonts w:hint="cs"/>
          <w:rtl/>
        </w:rPr>
        <w:t>.</w:t>
      </w:r>
    </w:p>
    <w:p w14:paraId="1562B54B" w14:textId="77777777" w:rsidR="00592982" w:rsidRPr="00747170" w:rsidRDefault="00592982" w:rsidP="00747170">
      <w:pPr>
        <w:pStyle w:val="a2"/>
        <w:rPr>
          <w:rtl/>
        </w:rPr>
      </w:pPr>
      <w:r w:rsidRPr="00747170">
        <w:rPr>
          <w:rtl/>
        </w:rPr>
        <w:t>מהרי"ל מנהגים הלכות יום טוב</w:t>
      </w:r>
      <w:r w:rsidRPr="00747170">
        <w:rPr>
          <w:rFonts w:hint="cs"/>
          <w:rtl/>
        </w:rPr>
        <w:t xml:space="preserve"> אות ח'</w:t>
      </w:r>
    </w:p>
    <w:p w14:paraId="06D1BC84" w14:textId="64671730" w:rsidR="00592982" w:rsidRDefault="00592982" w:rsidP="00592982">
      <w:pPr>
        <w:pStyle w:val="a7"/>
        <w:rPr>
          <w:rtl/>
        </w:rPr>
      </w:pPr>
      <w:bookmarkStart w:id="2474" w:name="_Toc137741998"/>
      <w:r>
        <w:rPr>
          <w:rFonts w:hint="cs"/>
          <w:rtl/>
        </w:rPr>
        <w:t>בי' הט"ז דבדברי התרוה"ד בשם א' מהגדולים וכן במהרי"ל וביש"ש מבו' דיש בורר במין אחד</w:t>
      </w:r>
      <w:bookmarkEnd w:id="2474"/>
    </w:p>
    <w:p w14:paraId="3739C542" w14:textId="6BB33009" w:rsidR="00592982" w:rsidRPr="00E71CA8" w:rsidRDefault="00592982" w:rsidP="00BC7DC8">
      <w:pPr>
        <w:pStyle w:val="a3"/>
      </w:pPr>
      <w:bookmarkStart w:id="2475" w:name="_Ref137725669"/>
      <w:r>
        <w:rPr>
          <w:rFonts w:hint="cs"/>
          <w:rtl/>
        </w:rPr>
        <w:t xml:space="preserve">והוסיף </w:t>
      </w:r>
      <w:r w:rsidRPr="00B859B5">
        <w:rPr>
          <w:rStyle w:val="aff4"/>
          <w:rFonts w:hint="cs"/>
          <w:vanish/>
          <w:rtl/>
        </w:rPr>
        <w:t>-</w:t>
      </w:r>
      <w:r w:rsidRPr="009452F1">
        <w:rPr>
          <w:rStyle w:val="aff4"/>
          <w:rFonts w:hint="cs"/>
          <w:rtl/>
        </w:rPr>
        <w:t>הט"ז</w:t>
      </w:r>
      <w:r w:rsidRPr="00B859B5">
        <w:rPr>
          <w:rStyle w:val="aff4"/>
          <w:rFonts w:hint="cs"/>
          <w:vanish/>
          <w:rtl/>
        </w:rPr>
        <w:t>-</w:t>
      </w:r>
      <w:r>
        <w:rPr>
          <w:rFonts w:hint="cs"/>
          <w:rtl/>
        </w:rPr>
        <w:t xml:space="preserve"> דכיון דבתחילת דבריו כתב </w:t>
      </w:r>
      <w:r w:rsidRPr="00B859B5">
        <w:rPr>
          <w:rStyle w:val="aff4"/>
          <w:rFonts w:hint="cs"/>
          <w:vanish/>
          <w:rtl/>
        </w:rPr>
        <w:t>-</w:t>
      </w:r>
      <w:r w:rsidRPr="009452F1">
        <w:rPr>
          <w:rStyle w:val="aff4"/>
          <w:rFonts w:hint="cs"/>
          <w:rtl/>
        </w:rPr>
        <w:t>ה</w:t>
      </w:r>
      <w:r w:rsidRPr="004D5BBD">
        <w:rPr>
          <w:rStyle w:val="aff4"/>
          <w:rFonts w:hint="cs"/>
          <w:vanish/>
          <w:rtl/>
        </w:rPr>
        <w:t xml:space="preserve">&lt;. </w:t>
      </w:r>
      <w:r w:rsidRPr="004D5BBD">
        <w:rPr>
          <w:rStyle w:val="aff4"/>
          <w:vanish/>
          <w:rtl/>
        </w:rPr>
        <w:fldChar w:fldCharType="begin"/>
      </w:r>
      <w:r w:rsidRPr="004D5BBD">
        <w:rPr>
          <w:rStyle w:val="aff4"/>
          <w:vanish/>
          <w:rtl/>
        </w:rPr>
        <w:instrText xml:space="preserve"> </w:instrText>
      </w:r>
      <w:r w:rsidRPr="004D5BBD">
        <w:rPr>
          <w:rStyle w:val="aff4"/>
          <w:rFonts w:hint="cs"/>
          <w:vanish/>
        </w:rPr>
        <w:instrText>REF</w:instrText>
      </w:r>
      <w:r w:rsidRPr="004D5BBD">
        <w:rPr>
          <w:rStyle w:val="aff4"/>
          <w:rFonts w:hint="cs"/>
          <w:vanish/>
          <w:rtl/>
        </w:rPr>
        <w:instrText xml:space="preserve"> _</w:instrText>
      </w:r>
      <w:r w:rsidRPr="004D5BBD">
        <w:rPr>
          <w:rStyle w:val="aff4"/>
          <w:rFonts w:hint="cs"/>
          <w:vanish/>
        </w:rPr>
        <w:instrText>Ref137725669 \r \h</w:instrText>
      </w:r>
      <w:r w:rsidRPr="004D5BBD">
        <w:rPr>
          <w:rStyle w:val="aff4"/>
          <w:vanish/>
          <w:rtl/>
        </w:rPr>
        <w:instrText xml:space="preserve"> </w:instrText>
      </w:r>
      <w:r w:rsidRPr="004D5BBD">
        <w:rPr>
          <w:rStyle w:val="aff4"/>
          <w:vanish/>
          <w:rtl/>
        </w:rPr>
      </w:r>
      <w:r w:rsidRPr="004D5BBD">
        <w:rPr>
          <w:rStyle w:val="aff4"/>
          <w:vanish/>
          <w:rtl/>
        </w:rPr>
        <w:fldChar w:fldCharType="separate"/>
      </w:r>
      <w:r w:rsidR="00D82181">
        <w:rPr>
          <w:rStyle w:val="aff4"/>
          <w:vanish/>
          <w:cs/>
        </w:rPr>
        <w:t>‎</w:t>
      </w:r>
      <w:r w:rsidR="00D82181">
        <w:rPr>
          <w:rStyle w:val="aff4"/>
          <w:vanish/>
          <w:rtl/>
        </w:rPr>
        <w:t>נט)</w:t>
      </w:r>
      <w:r w:rsidRPr="004D5BBD">
        <w:rPr>
          <w:rStyle w:val="aff4"/>
          <w:vanish/>
          <w:rtl/>
        </w:rPr>
        <w:fldChar w:fldCharType="end"/>
      </w:r>
      <w:r w:rsidRPr="004D5BBD">
        <w:rPr>
          <w:rStyle w:val="aff4"/>
          <w:rFonts w:hint="cs"/>
          <w:vanish/>
          <w:rtl/>
        </w:rPr>
        <w:t xml:space="preserve"> &gt;</w:t>
      </w:r>
      <w:r w:rsidRPr="009452F1">
        <w:rPr>
          <w:rStyle w:val="aff4"/>
          <w:rFonts w:hint="cs"/>
          <w:rtl/>
        </w:rPr>
        <w:t>תרומת הדשן</w:t>
      </w:r>
      <w:r w:rsidRPr="00B859B5">
        <w:rPr>
          <w:rStyle w:val="aff4"/>
          <w:rFonts w:hint="cs"/>
          <w:vanish/>
          <w:rtl/>
        </w:rPr>
        <w:t>-</w:t>
      </w:r>
      <w:r>
        <w:rPr>
          <w:rFonts w:hint="cs"/>
          <w:rtl/>
        </w:rPr>
        <w:t xml:space="preserve"> </w:t>
      </w:r>
      <w:r w:rsidRPr="009452F1">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Ref137672583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כב)</w:t>
      </w:r>
      <w:r>
        <w:rPr>
          <w:rStyle w:val="af2"/>
          <w:rFonts w:eastAsia="Guttman Hodes"/>
          <w:rtl/>
        </w:rPr>
        <w:fldChar w:fldCharType="end"/>
      </w:r>
      <w:r>
        <w:rPr>
          <w:rFonts w:hint="cs"/>
          <w:rtl/>
        </w:rPr>
        <w:t xml:space="preserve"> בשם </w:t>
      </w:r>
      <w:r w:rsidRPr="00B859B5">
        <w:rPr>
          <w:rStyle w:val="aff4"/>
          <w:rFonts w:hint="cs"/>
          <w:vanish/>
          <w:rtl/>
        </w:rPr>
        <w:t>-</w:t>
      </w:r>
      <w:r w:rsidRPr="009452F1">
        <w:rPr>
          <w:rStyle w:val="aff4"/>
          <w:rFonts w:hint="cs"/>
          <w:rtl/>
        </w:rPr>
        <w:t>אחד מהגדולים</w:t>
      </w:r>
      <w:r w:rsidRPr="00B859B5">
        <w:rPr>
          <w:rStyle w:val="aff4"/>
          <w:rFonts w:hint="cs"/>
          <w:vanish/>
          <w:rtl/>
        </w:rPr>
        <w:t>-</w:t>
      </w:r>
      <w:r w:rsidRPr="00B859B5">
        <w:rPr>
          <w:rFonts w:hint="cs"/>
          <w:vanish/>
          <w:rtl/>
        </w:rPr>
        <w:t>=</w:t>
      </w:r>
      <w:r>
        <w:rPr>
          <w:rFonts w:hint="cs"/>
          <w:rtl/>
        </w:rPr>
        <w:t xml:space="preserve"> דאוסר בב' מינים בחתיכות גדולות, ודחה </w:t>
      </w:r>
      <w:r w:rsidRPr="00B859B5">
        <w:rPr>
          <w:rStyle w:val="aff4"/>
          <w:rFonts w:hint="cs"/>
          <w:vanish/>
          <w:rtl/>
        </w:rPr>
        <w:t>-</w:t>
      </w:r>
      <w:r w:rsidRPr="009452F1">
        <w:rPr>
          <w:rStyle w:val="aff4"/>
          <w:rFonts w:hint="cs"/>
          <w:rtl/>
        </w:rPr>
        <w:t>התרומת הדשן</w:t>
      </w:r>
      <w:r w:rsidRPr="00B859B5">
        <w:rPr>
          <w:rStyle w:val="aff4"/>
          <w:rFonts w:hint="cs"/>
          <w:vanish/>
          <w:rtl/>
        </w:rPr>
        <w:t>-</w:t>
      </w:r>
      <w:r>
        <w:rPr>
          <w:rFonts w:hint="cs"/>
          <w:rtl/>
        </w:rPr>
        <w:t xml:space="preserve"> את דבריו, וכתב דאף במין אחד אין ברירה, משמע דלדעת </w:t>
      </w:r>
      <w:r w:rsidRPr="00B859B5">
        <w:rPr>
          <w:rStyle w:val="aff4"/>
          <w:rFonts w:hint="cs"/>
          <w:vanish/>
          <w:rtl/>
        </w:rPr>
        <w:t>-</w:t>
      </w:r>
      <w:r w:rsidRPr="009452F1">
        <w:rPr>
          <w:rStyle w:val="aff4"/>
          <w:rFonts w:hint="cs"/>
          <w:rtl/>
        </w:rPr>
        <w:t>אחד מהגדולים</w:t>
      </w:r>
      <w:r w:rsidRPr="00B859B5">
        <w:rPr>
          <w:rStyle w:val="aff4"/>
          <w:rFonts w:hint="cs"/>
          <w:vanish/>
          <w:rtl/>
        </w:rPr>
        <w:t>-</w:t>
      </w:r>
      <w:r>
        <w:rPr>
          <w:rFonts w:hint="cs"/>
          <w:rtl/>
        </w:rPr>
        <w:t xml:space="preserve"> אף במין אחד שייכא ברירה, והביא </w:t>
      </w:r>
      <w:r w:rsidRPr="00B859B5">
        <w:rPr>
          <w:rStyle w:val="aff4"/>
          <w:rFonts w:hint="cs"/>
          <w:vanish/>
          <w:rtl/>
        </w:rPr>
        <w:t>-</w:t>
      </w:r>
      <w:r w:rsidRPr="009452F1">
        <w:rPr>
          <w:rStyle w:val="aff4"/>
          <w:rFonts w:hint="cs"/>
          <w:rtl/>
        </w:rPr>
        <w:t>הט"ז</w:t>
      </w:r>
      <w:r w:rsidRPr="00B859B5">
        <w:rPr>
          <w:rStyle w:val="aff4"/>
          <w:rFonts w:hint="cs"/>
          <w:vanish/>
          <w:rtl/>
        </w:rPr>
        <w:t>-</w:t>
      </w:r>
      <w:r>
        <w:rPr>
          <w:rFonts w:hint="cs"/>
          <w:rtl/>
        </w:rPr>
        <w:t xml:space="preserve"> דכן מבואר בדברי </w:t>
      </w:r>
      <w:r w:rsidRPr="00B859B5">
        <w:rPr>
          <w:rStyle w:val="aff4"/>
          <w:rFonts w:hint="cs"/>
          <w:vanish/>
          <w:rtl/>
        </w:rPr>
        <w:t>-</w:t>
      </w:r>
      <w:r w:rsidRPr="009452F1">
        <w:rPr>
          <w:rStyle w:val="aff4"/>
          <w:rFonts w:hint="cs"/>
          <w:rtl/>
        </w:rPr>
        <w:t>ה</w:t>
      </w:r>
      <w:r w:rsidRPr="004D5BBD">
        <w:rPr>
          <w:rStyle w:val="aff4"/>
          <w:rFonts w:hint="cs"/>
          <w:vanish/>
          <w:rtl/>
        </w:rPr>
        <w:t>&lt; &gt;</w:t>
      </w:r>
      <w:r w:rsidRPr="009452F1">
        <w:rPr>
          <w:rStyle w:val="aff4"/>
          <w:rFonts w:hint="cs"/>
          <w:rtl/>
        </w:rPr>
        <w:t>מהרי"ל</w:t>
      </w:r>
      <w:r w:rsidRPr="00B859B5">
        <w:rPr>
          <w:rStyle w:val="aff4"/>
          <w:rFonts w:hint="cs"/>
          <w:vanish/>
          <w:rtl/>
        </w:rPr>
        <w:t>-</w:t>
      </w:r>
      <w:r>
        <w:rPr>
          <w:rFonts w:hint="cs"/>
          <w:rtl/>
        </w:rPr>
        <w:t xml:space="preserve"> </w:t>
      </w:r>
      <w:r w:rsidRPr="009452F1">
        <w:rPr>
          <w:rStyle w:val="af2"/>
          <w:rFonts w:eastAsia="Guttman Hodes" w:hint="cs"/>
          <w:rtl/>
        </w:rPr>
        <w:t>(מנהגים יו"ט אות ח')</w:t>
      </w:r>
      <w:r w:rsidRPr="00B859B5">
        <w:rPr>
          <w:rFonts w:hint="cs"/>
          <w:vanish/>
          <w:rtl/>
        </w:rPr>
        <w:t>=</w:t>
      </w:r>
      <w:r>
        <w:rPr>
          <w:rFonts w:hint="cs"/>
          <w:rtl/>
        </w:rPr>
        <w:t xml:space="preserve"> דאסור לברור חתיכות של מצות גדולות מתוך קטנות, ואף </w:t>
      </w:r>
      <w:r w:rsidRPr="00B859B5">
        <w:rPr>
          <w:rStyle w:val="aff4"/>
          <w:rFonts w:hint="cs"/>
          <w:vanish/>
          <w:rtl/>
        </w:rPr>
        <w:t>-</w:t>
      </w:r>
      <w:r w:rsidRPr="009452F1">
        <w:rPr>
          <w:rStyle w:val="aff4"/>
          <w:rFonts w:hint="cs"/>
          <w:rtl/>
        </w:rPr>
        <w:t>ב</w:t>
      </w:r>
      <w:r w:rsidRPr="004D5BBD">
        <w:rPr>
          <w:rStyle w:val="aff4"/>
          <w:rFonts w:hint="cs"/>
          <w:vanish/>
          <w:rtl/>
        </w:rPr>
        <w:t>&lt; &gt;</w:t>
      </w:r>
      <w:r w:rsidRPr="009452F1">
        <w:rPr>
          <w:rStyle w:val="aff4"/>
          <w:rFonts w:hint="cs"/>
          <w:rtl/>
        </w:rPr>
        <w:t>יש"ש בביצה</w:t>
      </w:r>
      <w:r w:rsidRPr="00B859B5">
        <w:rPr>
          <w:rStyle w:val="aff4"/>
          <w:rFonts w:hint="cs"/>
          <w:vanish/>
          <w:rtl/>
        </w:rPr>
        <w:t>-</w:t>
      </w:r>
      <w:r>
        <w:rPr>
          <w:rFonts w:hint="cs"/>
          <w:rtl/>
        </w:rPr>
        <w:t xml:space="preserve"> </w:t>
      </w:r>
      <w:r w:rsidRPr="009452F1">
        <w:rPr>
          <w:rStyle w:val="af2"/>
          <w:rFonts w:eastAsia="Guttman Hodes" w:hint="cs"/>
          <w:rtl/>
        </w:rPr>
        <w:t>(פ"א סי' מ"ב)</w:t>
      </w:r>
      <w:r w:rsidRPr="00B859B5">
        <w:rPr>
          <w:rFonts w:hint="cs"/>
          <w:vanish/>
          <w:rtl/>
        </w:rPr>
        <w:t>=</w:t>
      </w:r>
      <w:r>
        <w:rPr>
          <w:rFonts w:hint="cs"/>
          <w:rtl/>
        </w:rPr>
        <w:t xml:space="preserve"> משמע דבשבת הוי בורר בכה"ג, ולכן לדינא כתב </w:t>
      </w:r>
      <w:r w:rsidRPr="00B859B5">
        <w:rPr>
          <w:rStyle w:val="aff4"/>
          <w:rFonts w:hint="cs"/>
          <w:vanish/>
          <w:rtl/>
        </w:rPr>
        <w:t>-</w:t>
      </w:r>
      <w:r w:rsidRPr="009452F1">
        <w:rPr>
          <w:rStyle w:val="aff4"/>
          <w:rFonts w:hint="cs"/>
          <w:rtl/>
        </w:rPr>
        <w:t>הט"ז</w:t>
      </w:r>
      <w:r w:rsidRPr="00B859B5">
        <w:rPr>
          <w:rStyle w:val="aff4"/>
          <w:rFonts w:hint="cs"/>
          <w:vanish/>
          <w:rtl/>
        </w:rPr>
        <w:t>-</w:t>
      </w:r>
      <w:r>
        <w:rPr>
          <w:rFonts w:hint="cs"/>
          <w:rtl/>
        </w:rPr>
        <w:t xml:space="preserve"> דיש להחמיר אף במין אחד ואף בגדולות מתוך קטנות.</w:t>
      </w:r>
      <w:bookmarkEnd w:id="2475"/>
    </w:p>
    <w:p w14:paraId="3E513C62" w14:textId="77777777" w:rsidR="00592982" w:rsidRPr="00747170" w:rsidRDefault="00592982" w:rsidP="00747170">
      <w:pPr>
        <w:pStyle w:val="a2"/>
      </w:pPr>
      <w:r w:rsidRPr="00747170">
        <w:rPr>
          <w:rtl/>
        </w:rPr>
        <w:t>וכתב ת"ה שם דאחד מהגדולים הי' נזהר לברר דוקא מה שרוצה לאכול עתה אפי' במין א' והוא חולק עליו</w:t>
      </w:r>
      <w:r w:rsidRPr="00747170">
        <w:rPr>
          <w:rFonts w:hint="cs"/>
          <w:rtl/>
        </w:rPr>
        <w:t>,</w:t>
      </w:r>
      <w:r w:rsidRPr="00747170">
        <w:rPr>
          <w:rtl/>
        </w:rPr>
        <w:t xml:space="preserve"> ובמהרי"ל כ' בהל' פסח ולדוך מצה בי"ט של פסח מותר דקי"ל אין טחינה אחר טחינה אך יזהר שלא יברר הפרורים הגדולים מתוך הקטנים כי איסור בורר יש באוכלין עכ"ל ורש"ל פ"ק דביצה בספרו סי' מ"ב מביאו אלא שתמה עליו דהא ברירה מותר בי"ט אלא שלכתחלה ימעט בטרחה עכ"ל משמע דבשבת מודה רש"ל דיש בזה משום ברירה וכיון דיש כאן חשש איסור דאורייתא יש להחמיר אפי' במין אחד ולא יברור אפי' במין אחד ואפי' גדולות מתוך קטנות רק מה שהוא רוצה לאכול עתה או שיקח סתם מן הבא בידו להניח לסעודה אחרת לא בדרך ברירה כנלע"ד:</w:t>
      </w:r>
    </w:p>
    <w:p w14:paraId="4D865969" w14:textId="77777777" w:rsidR="00592982" w:rsidRDefault="00592982" w:rsidP="00747170">
      <w:pPr>
        <w:pStyle w:val="afffff5"/>
        <w:rPr>
          <w:rtl/>
        </w:rPr>
      </w:pPr>
      <w:r>
        <w:rPr>
          <w:rtl/>
        </w:rPr>
        <w:t>[ח] ולדוך מצה ביום טוב של פסח מותר דקי"ל דאין טחינה אחר טחינה, אך יזהר שלא יברור פירורין הגדולים מתוך הקטנים, כי איסור בורר יש נמי באוכלין. ומהאי טעמא אפי' למאן דשרי לקנות פת האפויה בשבת מן הגוי, ביום טוב אסור לקנותו משום איסור הרקדה דשמא היום נרקד להפריד הסובין מתוך הקמח שקורין בייטלין. מה שאין לגזור אפי' משום רואה בשבת דיודע בודאי אסור, וסבור אולי ביום טוב שרי הרקדה.</w:t>
      </w:r>
    </w:p>
    <w:p w14:paraId="3620FADF" w14:textId="3E5C9B60" w:rsidR="00592982" w:rsidRDefault="00592982" w:rsidP="00592982">
      <w:pPr>
        <w:pStyle w:val="afffff7"/>
        <w:rPr>
          <w:rtl/>
        </w:rPr>
      </w:pPr>
      <w:bookmarkStart w:id="2476" w:name="_Toc137742078"/>
      <w:bookmarkStart w:id="2477" w:name="_Toc163505846"/>
      <w:r>
        <w:rPr>
          <w:rtl/>
        </w:rPr>
        <w:t>מגן אברהם סי</w:t>
      </w:r>
      <w:r>
        <w:rPr>
          <w:rFonts w:hint="cs"/>
          <w:rtl/>
        </w:rPr>
        <w:t>'</w:t>
      </w:r>
      <w:r>
        <w:rPr>
          <w:rtl/>
        </w:rPr>
        <w:t xml:space="preserve"> תק</w:t>
      </w:r>
      <w:r>
        <w:rPr>
          <w:rFonts w:hint="cs"/>
          <w:rtl/>
        </w:rPr>
        <w:t>"</w:t>
      </w:r>
      <w:r>
        <w:rPr>
          <w:rtl/>
        </w:rPr>
        <w:t>ד סק"ט</w:t>
      </w:r>
      <w:bookmarkEnd w:id="2476"/>
      <w:bookmarkEnd w:id="2477"/>
    </w:p>
    <w:p w14:paraId="2A44FBCE" w14:textId="77777777" w:rsidR="00592982" w:rsidRDefault="00592982" w:rsidP="00592982">
      <w:pPr>
        <w:pStyle w:val="afffff7"/>
        <w:rPr>
          <w:rtl/>
        </w:rPr>
      </w:pPr>
      <w:bookmarkStart w:id="2478" w:name="_Toc137742079"/>
      <w:bookmarkStart w:id="2479" w:name="_Toc163505847"/>
      <w:r>
        <w:rPr>
          <w:rtl/>
        </w:rPr>
        <w:t>פרי מגדים או</w:t>
      </w:r>
      <w:r>
        <w:rPr>
          <w:rFonts w:hint="cs"/>
          <w:rtl/>
        </w:rPr>
        <w:t xml:space="preserve">"ח </w:t>
      </w:r>
      <w:r>
        <w:rPr>
          <w:rtl/>
        </w:rPr>
        <w:t>אשל אברהם ס</w:t>
      </w:r>
      <w:r>
        <w:rPr>
          <w:rFonts w:hint="cs"/>
          <w:rtl/>
        </w:rPr>
        <w:t>י'</w:t>
      </w:r>
      <w:r>
        <w:rPr>
          <w:rtl/>
        </w:rPr>
        <w:t xml:space="preserve"> תק</w:t>
      </w:r>
      <w:r>
        <w:rPr>
          <w:rFonts w:hint="cs"/>
          <w:rtl/>
        </w:rPr>
        <w:t>"</w:t>
      </w:r>
      <w:r>
        <w:rPr>
          <w:rtl/>
        </w:rPr>
        <w:t>ד סק"ט</w:t>
      </w:r>
      <w:bookmarkEnd w:id="2478"/>
      <w:bookmarkEnd w:id="2479"/>
    </w:p>
    <w:p w14:paraId="337CC98E" w14:textId="77777777" w:rsidR="00592982" w:rsidRDefault="00592982" w:rsidP="00592982">
      <w:pPr>
        <w:pStyle w:val="a7"/>
        <w:rPr>
          <w:rtl/>
        </w:rPr>
      </w:pPr>
      <w:bookmarkStart w:id="2480" w:name="_Toc137741999"/>
      <w:r>
        <w:rPr>
          <w:rFonts w:hint="cs"/>
          <w:rtl/>
        </w:rPr>
        <w:t>דחיית המג"א דבמצות אוסר המהריל לברור כיון דהקטנות נעשות קמח והם כב' מינים</w:t>
      </w:r>
      <w:bookmarkEnd w:id="2480"/>
    </w:p>
    <w:p w14:paraId="554D1D82" w14:textId="5267A34E" w:rsidR="00592982" w:rsidRPr="003050F0" w:rsidRDefault="00592982" w:rsidP="00BC7DC8">
      <w:pPr>
        <w:pStyle w:val="a3"/>
        <w:rPr>
          <w:rtl/>
        </w:rPr>
      </w:pPr>
      <w:bookmarkStart w:id="2481" w:name="_Ref137741336"/>
      <w:r>
        <w:rPr>
          <w:rFonts w:hint="cs"/>
          <w:rtl/>
        </w:rPr>
        <w:t xml:space="preserve">אבל </w:t>
      </w:r>
      <w:r w:rsidRPr="00C15708">
        <w:rPr>
          <w:rStyle w:val="aff4"/>
          <w:rFonts w:hint="cs"/>
          <w:vanish/>
          <w:rtl/>
        </w:rPr>
        <w:t>-</w:t>
      </w:r>
      <w:r w:rsidRPr="00C15708">
        <w:rPr>
          <w:rStyle w:val="aff4"/>
          <w:rFonts w:hint="cs"/>
          <w:rtl/>
        </w:rPr>
        <w:t>ה</w:t>
      </w:r>
      <w:r w:rsidRPr="00C15708">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Ref137741336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ס)</w:t>
      </w:r>
      <w:r>
        <w:rPr>
          <w:rStyle w:val="aff4"/>
          <w:vanish/>
          <w:rtl/>
        </w:rPr>
        <w:fldChar w:fldCharType="end"/>
      </w:r>
      <w:r w:rsidRPr="00C15708">
        <w:rPr>
          <w:rStyle w:val="aff4"/>
          <w:rFonts w:hint="cs"/>
          <w:vanish/>
          <w:rtl/>
        </w:rPr>
        <w:t xml:space="preserve"> &gt;</w:t>
      </w:r>
      <w:r w:rsidRPr="00C15708">
        <w:rPr>
          <w:rStyle w:val="aff4"/>
          <w:rFonts w:hint="cs"/>
          <w:rtl/>
        </w:rPr>
        <w:t>מג"א</w:t>
      </w:r>
      <w:r w:rsidRPr="00C15708">
        <w:rPr>
          <w:rStyle w:val="aff4"/>
          <w:rFonts w:hint="cs"/>
          <w:vanish/>
          <w:rtl/>
        </w:rPr>
        <w:t>-</w:t>
      </w:r>
      <w:r>
        <w:rPr>
          <w:rFonts w:hint="cs"/>
          <w:rtl/>
        </w:rPr>
        <w:t xml:space="preserve"> </w:t>
      </w:r>
      <w:r w:rsidRPr="00531A77">
        <w:rPr>
          <w:rStyle w:val="af2"/>
          <w:rFonts w:eastAsia="Guttman Hodes" w:hint="cs"/>
          <w:rtl/>
        </w:rPr>
        <w:t>(סי' תק"ד סק"ט)</w:t>
      </w:r>
      <w:r w:rsidRPr="00C15708">
        <w:rPr>
          <w:rFonts w:hint="cs"/>
          <w:vanish/>
          <w:rtl/>
        </w:rPr>
        <w:t>=</w:t>
      </w:r>
      <w:r>
        <w:rPr>
          <w:rFonts w:hint="cs"/>
          <w:rtl/>
        </w:rPr>
        <w:t xml:space="preserve"> דחה את דברי </w:t>
      </w:r>
      <w:r w:rsidRPr="00C15708">
        <w:rPr>
          <w:rStyle w:val="aff4"/>
          <w:rFonts w:hint="cs"/>
          <w:vanish/>
          <w:rtl/>
        </w:rPr>
        <w:t>-</w:t>
      </w:r>
      <w:r w:rsidRPr="00C15708">
        <w:rPr>
          <w:rStyle w:val="aff4"/>
          <w:rFonts w:hint="cs"/>
          <w:rtl/>
        </w:rPr>
        <w:t>הט"ז</w:t>
      </w:r>
      <w:r w:rsidRPr="00C15708">
        <w:rPr>
          <w:rStyle w:val="aff4"/>
          <w:rFonts w:hint="cs"/>
          <w:vanish/>
          <w:rtl/>
        </w:rPr>
        <w:t>-</w:t>
      </w:r>
      <w:r>
        <w:rPr>
          <w:rFonts w:hint="cs"/>
          <w:rtl/>
        </w:rPr>
        <w:t xml:space="preserve"> </w:t>
      </w:r>
      <w:r w:rsidRPr="00531A77">
        <w:rPr>
          <w:rStyle w:val="af2"/>
          <w:rFonts w:eastAsia="Guttman Hodes" w:hint="cs"/>
          <w:rtl/>
        </w:rPr>
        <w:t xml:space="preserve">(עי' אות </w:t>
      </w:r>
      <w:r w:rsidRPr="00531A77">
        <w:rPr>
          <w:rStyle w:val="af2"/>
          <w:rFonts w:eastAsia="Guttman Hodes"/>
          <w:rtl/>
        </w:rPr>
        <w:fldChar w:fldCharType="begin"/>
      </w:r>
      <w:r w:rsidRPr="00531A77">
        <w:rPr>
          <w:rStyle w:val="af2"/>
          <w:rFonts w:eastAsia="Guttman Hodes"/>
          <w:rtl/>
        </w:rPr>
        <w:instrText xml:space="preserve"> </w:instrText>
      </w:r>
      <w:r w:rsidRPr="00531A77">
        <w:rPr>
          <w:rStyle w:val="af2"/>
          <w:rFonts w:eastAsia="Guttman Hodes" w:hint="cs"/>
        </w:rPr>
        <w:instrText>REF</w:instrText>
      </w:r>
      <w:r w:rsidRPr="00531A77">
        <w:rPr>
          <w:rStyle w:val="af2"/>
          <w:rFonts w:eastAsia="Guttman Hodes" w:hint="cs"/>
          <w:rtl/>
        </w:rPr>
        <w:instrText xml:space="preserve"> _</w:instrText>
      </w:r>
      <w:r w:rsidRPr="00531A77">
        <w:rPr>
          <w:rStyle w:val="af2"/>
          <w:rFonts w:eastAsia="Guttman Hodes" w:hint="cs"/>
        </w:rPr>
        <w:instrText>Ref137725669 \r \h</w:instrText>
      </w:r>
      <w:r w:rsidRPr="00531A77">
        <w:rPr>
          <w:rStyle w:val="af2"/>
          <w:rFonts w:eastAsia="Guttman Hodes"/>
          <w:rtl/>
        </w:rPr>
        <w:instrText xml:space="preserve"> </w:instrText>
      </w:r>
      <w:r w:rsidRPr="00531A77">
        <w:rPr>
          <w:rStyle w:val="af2"/>
          <w:rFonts w:eastAsia="Guttman Hodes"/>
          <w:rtl/>
        </w:rPr>
      </w:r>
      <w:r w:rsidRPr="00531A77">
        <w:rPr>
          <w:rStyle w:val="af2"/>
          <w:rFonts w:eastAsia="Guttman Hodes"/>
          <w:rtl/>
        </w:rPr>
        <w:fldChar w:fldCharType="separate"/>
      </w:r>
      <w:r w:rsidR="00D82181">
        <w:rPr>
          <w:rStyle w:val="af2"/>
          <w:rFonts w:eastAsia="Guttman Hodes"/>
          <w:cs/>
        </w:rPr>
        <w:t>‎</w:t>
      </w:r>
      <w:r w:rsidR="00D82181">
        <w:rPr>
          <w:rStyle w:val="af2"/>
          <w:rFonts w:eastAsia="Guttman Hodes"/>
          <w:rtl/>
        </w:rPr>
        <w:t>נט)</w:t>
      </w:r>
      <w:r w:rsidRPr="00531A77">
        <w:rPr>
          <w:rStyle w:val="af2"/>
          <w:rFonts w:eastAsia="Guttman Hodes"/>
          <w:rtl/>
        </w:rPr>
        <w:fldChar w:fldCharType="end"/>
      </w:r>
      <w:r>
        <w:rPr>
          <w:rFonts w:hint="cs"/>
          <w:rtl/>
        </w:rPr>
        <w:t xml:space="preserve"> דבמצות קטנות וגדולות, האיסור הוא כיון דהקטנים נעשים קמח, וביאר </w:t>
      </w:r>
      <w:r w:rsidRPr="00C15708">
        <w:rPr>
          <w:rStyle w:val="aff4"/>
          <w:rFonts w:hint="cs"/>
          <w:vanish/>
          <w:rtl/>
        </w:rPr>
        <w:t>-</w:t>
      </w:r>
      <w:r w:rsidRPr="00C15708">
        <w:rPr>
          <w:rStyle w:val="aff4"/>
          <w:rFonts w:hint="cs"/>
          <w:rtl/>
        </w:rPr>
        <w:t>ה</w:t>
      </w:r>
      <w:r w:rsidRPr="00C15708">
        <w:rPr>
          <w:rStyle w:val="aff4"/>
          <w:rFonts w:hint="cs"/>
          <w:vanish/>
          <w:rtl/>
        </w:rPr>
        <w:t>&lt; &gt;</w:t>
      </w:r>
      <w:r w:rsidRPr="00C15708">
        <w:rPr>
          <w:rStyle w:val="aff4"/>
          <w:rFonts w:hint="cs"/>
          <w:rtl/>
        </w:rPr>
        <w:t>פרמ"ג</w:t>
      </w:r>
      <w:r w:rsidRPr="00C15708">
        <w:rPr>
          <w:rStyle w:val="aff4"/>
          <w:rFonts w:hint="cs"/>
          <w:vanish/>
          <w:rtl/>
        </w:rPr>
        <w:t>-</w:t>
      </w:r>
      <w:r>
        <w:rPr>
          <w:rFonts w:hint="cs"/>
          <w:rtl/>
        </w:rPr>
        <w:t xml:space="preserve"> </w:t>
      </w:r>
      <w:r w:rsidRPr="00531A77">
        <w:rPr>
          <w:rStyle w:val="af2"/>
          <w:rFonts w:eastAsia="Guttman Hodes" w:hint="cs"/>
          <w:rtl/>
        </w:rPr>
        <w:t>(סי' תק"ד א"א סק"ט)</w:t>
      </w:r>
      <w:r w:rsidRPr="00C15708">
        <w:rPr>
          <w:rFonts w:hint="cs"/>
          <w:vanish/>
          <w:rtl/>
        </w:rPr>
        <w:t>=</w:t>
      </w:r>
      <w:r>
        <w:rPr>
          <w:rFonts w:hint="cs"/>
          <w:rtl/>
        </w:rPr>
        <w:t xml:space="preserve"> דחשיב שהקמח והמצות הם ב' מינים ולכן יש בהם בורר.</w:t>
      </w:r>
      <w:bookmarkEnd w:id="2481"/>
    </w:p>
    <w:p w14:paraId="0A71E4AA" w14:textId="77777777" w:rsidR="00592982" w:rsidRPr="00747170" w:rsidRDefault="00592982" w:rsidP="00747170">
      <w:pPr>
        <w:pStyle w:val="a2"/>
      </w:pPr>
      <w:r w:rsidRPr="00747170">
        <w:rPr>
          <w:rtl/>
        </w:rPr>
        <w:t>והוא הדין מצות. כ' מהרי"ל דאסור לברור פירורי מצו' הגדולי' מתוך הטחוני' ובד"מ כתוב דשרי דהא אפי' פסולת מתוך אוכל שרי כמ"ש סי' תק"י וכ"כ היש"ש ול"נ דמהרי"ל סבר דאסור ליטול קיסם בידו מקמח וכמ"ש סי' תק"ו ס"ב בהג"ה ולכן אסור ג"כ ליטול המצות ואף על גב דבסי' שי"ט ס"ג כתב דמותר לברור חתיכות גדולות מקטנות במין א' דוקא בחתיכות אבל הכא מה שנטחן הוי כקמח ולכן יש להחמיר כמ"ש מהרי"ל:</w:t>
      </w:r>
    </w:p>
    <w:p w14:paraId="4E5DF877" w14:textId="77777777" w:rsidR="00592982" w:rsidRDefault="00592982" w:rsidP="00747170">
      <w:pPr>
        <w:pStyle w:val="afffff5"/>
      </w:pPr>
      <w:r>
        <w:rPr>
          <w:rtl/>
        </w:rPr>
        <w:t>ט והוא הדין מצות. עיין מ"א. מה שנטחן הוה קמח והוה כב' מינים, ואי"ה בסימן תק"ו וסימן תק"י יבואר עוד. ועיין מה שכתבתי בט"ז מזה:</w:t>
      </w:r>
    </w:p>
    <w:p w14:paraId="0611DB9B" w14:textId="77777777" w:rsidR="00592982" w:rsidRPr="00CA232C" w:rsidRDefault="00592982" w:rsidP="00BC7DC8">
      <w:pPr>
        <w:pStyle w:val="a3"/>
        <w:rPr>
          <w:rtl/>
        </w:rPr>
        <w:sectPr w:rsidR="00592982" w:rsidRPr="00CA232C" w:rsidSect="00CA28B3">
          <w:footerReference w:type="default" r:id="rId105"/>
          <w:type w:val="continuous"/>
          <w:pgSz w:w="11906" w:h="16838"/>
          <w:pgMar w:top="720" w:right="720" w:bottom="720" w:left="720" w:header="283" w:footer="283" w:gutter="0"/>
          <w:cols w:num="2" w:space="567"/>
          <w:bidi/>
          <w:rtlGutter/>
        </w:sectPr>
      </w:pPr>
    </w:p>
    <w:p w14:paraId="76226BC6" w14:textId="77777777" w:rsidR="00592982" w:rsidRPr="008E1B37" w:rsidRDefault="00592982" w:rsidP="00592982">
      <w:pPr>
        <w:pStyle w:val="a7"/>
        <w:rPr>
          <w:rtl/>
        </w:rPr>
      </w:pPr>
    </w:p>
    <w:p w14:paraId="218D7A0D" w14:textId="77777777" w:rsidR="00592982" w:rsidRDefault="00592982" w:rsidP="00592982">
      <w:pPr>
        <w:keepNext/>
        <w:keepLines/>
        <w:spacing w:after="0" w:line="240" w:lineRule="auto"/>
        <w:jc w:val="center"/>
        <w:outlineLvl w:val="1"/>
        <w:rPr>
          <w:rFonts w:ascii="FrankRuehl" w:eastAsia="Guttman Adii-Light" w:hAnsi="FrankRuehl" w:cs="Guttman Hodes"/>
          <w:b/>
          <w:bCs/>
          <w:noProof/>
          <w:sz w:val="24"/>
          <w:szCs w:val="24"/>
          <w:rtl/>
        </w:rPr>
        <w:sectPr w:rsidR="00592982" w:rsidSect="00CA28B3">
          <w:type w:val="continuous"/>
          <w:pgSz w:w="11906" w:h="16838"/>
          <w:pgMar w:top="720" w:right="720" w:bottom="720" w:left="720" w:header="283" w:footer="283" w:gutter="0"/>
          <w:cols w:space="567"/>
          <w:bidi/>
          <w:rtlGutter/>
          <w:docGrid w:linePitch="299"/>
        </w:sectPr>
      </w:pPr>
    </w:p>
    <w:p w14:paraId="4DE1FFE3" w14:textId="77777777" w:rsidR="008925FD" w:rsidRPr="00224A5A" w:rsidRDefault="008925FD" w:rsidP="00350FE4">
      <w:pPr>
        <w:pStyle w:val="af9"/>
        <w:rPr>
          <w:rtl/>
        </w:rPr>
      </w:pPr>
      <w:r>
        <w:rPr>
          <w:rFonts w:hint="cs"/>
          <w:rtl/>
        </w:rPr>
        <w:lastRenderedPageBreak/>
        <w:t>סימן ז'</w:t>
      </w:r>
    </w:p>
    <w:p w14:paraId="72227A68" w14:textId="77777777" w:rsidR="008925FD" w:rsidRDefault="008925FD" w:rsidP="00350FE4">
      <w:pPr>
        <w:pStyle w:val="af9"/>
        <w:rPr>
          <w:rtl/>
        </w:rPr>
      </w:pPr>
      <w:r>
        <w:rPr>
          <w:rFonts w:hint="cs"/>
          <w:rtl/>
        </w:rPr>
        <w:t>בסוגיא דבורר (ג')</w:t>
      </w:r>
    </w:p>
    <w:p w14:paraId="2FBEEAE8" w14:textId="77777777" w:rsidR="008925FD" w:rsidRPr="006E6B9C" w:rsidRDefault="008925FD" w:rsidP="00350FE4">
      <w:pPr>
        <w:pStyle w:val="af9"/>
        <w:rPr>
          <w:rtl/>
        </w:rPr>
      </w:pPr>
      <w:r>
        <w:rPr>
          <w:rFonts w:hint="cs"/>
          <w:rtl/>
        </w:rPr>
        <w:t>סיכום עיקרי שיטות הראשונים בהיתרים בבורר</w:t>
      </w:r>
    </w:p>
    <w:p w14:paraId="4A469B53" w14:textId="77777777" w:rsidR="008925FD" w:rsidRPr="00224A5A" w:rsidRDefault="008925FD" w:rsidP="008925FD">
      <w:pPr>
        <w:keepNext/>
        <w:keepLines/>
        <w:spacing w:after="0" w:line="240" w:lineRule="auto"/>
        <w:jc w:val="center"/>
        <w:outlineLvl w:val="1"/>
        <w:rPr>
          <w:rFonts w:ascii="FrankRuehl" w:eastAsia="Guttman Adii-Light" w:hAnsi="FrankRuehl" w:cs="Guttman Hodes"/>
          <w:b/>
          <w:bCs/>
          <w:noProof/>
          <w:sz w:val="24"/>
          <w:szCs w:val="24"/>
          <w:rtl/>
        </w:rPr>
        <w:sectPr w:rsidR="008925FD" w:rsidRPr="00224A5A" w:rsidSect="00517541">
          <w:headerReference w:type="default" r:id="rId106"/>
          <w:footerReference w:type="default" r:id="rId107"/>
          <w:headerReference w:type="first" r:id="rId108"/>
          <w:footerReference w:type="first" r:id="rId109"/>
          <w:type w:val="oddPage"/>
          <w:pgSz w:w="11906" w:h="16838"/>
          <w:pgMar w:top="720" w:right="720" w:bottom="720" w:left="720" w:header="283" w:footer="283" w:gutter="0"/>
          <w:cols w:space="113"/>
          <w:bidi/>
          <w:rtlGutter/>
          <w:docGrid w:linePitch="299"/>
        </w:sectPr>
      </w:pPr>
      <w:r w:rsidRPr="00224A5A">
        <w:rPr>
          <w:rFonts w:ascii="FrankRuehl" w:eastAsia="Guttman Adii-Light" w:hAnsi="FrankRuehl" w:cs="Guttman Hodes"/>
          <w:b/>
          <w:bCs/>
          <w:noProof/>
          <w:sz w:val="24"/>
          <w:szCs w:val="24"/>
          <w:rtl/>
        </w:rPr>
        <w:t>~~~~~~~</w:t>
      </w:r>
      <w:r w:rsidRPr="00224A5A">
        <w:rPr>
          <w:rFonts w:ascii="FrankRuehl" w:eastAsia="Guttman Adii-Light" w:hAnsi="FrankRuehl" w:cs="Guttman Hodes" w:hint="cs"/>
          <w:b/>
          <w:bCs/>
          <w:noProof/>
          <w:sz w:val="24"/>
          <w:szCs w:val="24"/>
          <w:rtl/>
        </w:rPr>
        <w:t xml:space="preserve"> תוכן הענייני</w:t>
      </w:r>
      <w:r w:rsidRPr="00224A5A">
        <w:rPr>
          <w:rFonts w:ascii="FrankRuehl" w:eastAsia="Guttman Adii-Light" w:hAnsi="FrankRuehl" w:cs="Guttman Hodes" w:hint="eastAsia"/>
          <w:b/>
          <w:bCs/>
          <w:noProof/>
          <w:sz w:val="24"/>
          <w:szCs w:val="24"/>
          <w:rtl/>
        </w:rPr>
        <w:t>ם</w:t>
      </w:r>
      <w:r w:rsidRPr="00224A5A">
        <w:rPr>
          <w:rFonts w:ascii="FrankRuehl" w:eastAsia="Guttman Adii-Light" w:hAnsi="FrankRuehl" w:cs="Guttman Hodes" w:hint="cs"/>
          <w:b/>
          <w:bCs/>
          <w:noProof/>
          <w:sz w:val="24"/>
          <w:szCs w:val="24"/>
          <w:rtl/>
        </w:rPr>
        <w:t xml:space="preserve"> </w:t>
      </w:r>
      <w:r w:rsidRPr="00224A5A">
        <w:rPr>
          <w:rFonts w:ascii="FrankRuehl" w:eastAsia="Guttman Adii-Light" w:hAnsi="FrankRuehl" w:cs="Guttman Hodes"/>
          <w:b/>
          <w:bCs/>
          <w:noProof/>
          <w:sz w:val="24"/>
          <w:szCs w:val="24"/>
          <w:rtl/>
        </w:rPr>
        <w:t>~~~~~~~</w:t>
      </w:r>
    </w:p>
    <w:p w14:paraId="11C19F37" w14:textId="77777777" w:rsidR="008925FD" w:rsidRDefault="008925FD" w:rsidP="008925FD">
      <w:pPr>
        <w:pStyle w:val="TOC1"/>
        <w:rPr>
          <w:rFonts w:asciiTheme="minorHAnsi" w:hAnsiTheme="minorHAnsi" w:cstheme="minorBidi"/>
          <w:b w:val="0"/>
          <w:bCs w:val="0"/>
          <w:caps w:val="0"/>
          <w:sz w:val="22"/>
          <w:szCs w:val="22"/>
          <w:rtl/>
        </w:rPr>
      </w:pPr>
      <w:r w:rsidRPr="00224A5A">
        <w:rPr>
          <w:rtl/>
        </w:rPr>
        <w:fldChar w:fldCharType="begin"/>
      </w:r>
      <w:r w:rsidRPr="00224A5A">
        <w:rPr>
          <w:rtl/>
        </w:rPr>
        <w:instrText xml:space="preserve"> </w:instrText>
      </w:r>
      <w:r w:rsidRPr="00224A5A">
        <w:rPr>
          <w:rFonts w:hint="cs"/>
        </w:rPr>
        <w:instrText>TOC</w:instrText>
      </w:r>
      <w:r w:rsidRPr="00224A5A">
        <w:rPr>
          <w:rFonts w:hint="cs"/>
          <w:rtl/>
        </w:rPr>
        <w:instrText xml:space="preserve"> \</w:instrText>
      </w:r>
      <w:r w:rsidRPr="00224A5A">
        <w:rPr>
          <w:rFonts w:hint="cs"/>
        </w:rPr>
        <w:instrText>n \p " " \h \z \t</w:instrText>
      </w:r>
      <w:r w:rsidRPr="00224A5A">
        <w:rPr>
          <w:rFonts w:hint="cs"/>
          <w:rtl/>
        </w:rPr>
        <w:instrText xml:space="preserve"> "כותרת 1,2,כות קט,3,כות מק פנ,1"</w:instrText>
      </w:r>
      <w:r w:rsidRPr="00224A5A">
        <w:rPr>
          <w:rtl/>
        </w:rPr>
        <w:instrText xml:space="preserve"> </w:instrText>
      </w:r>
      <w:r w:rsidRPr="00224A5A">
        <w:rPr>
          <w:rtl/>
        </w:rPr>
        <w:fldChar w:fldCharType="separate"/>
      </w:r>
      <w:hyperlink w:anchor="_Toc139277032" w:history="1">
        <w:r w:rsidRPr="00A03D12">
          <w:rPr>
            <w:rStyle w:val="Hyperlink"/>
            <w:rtl/>
          </w:rPr>
          <w:t>בעיקר טעם ההיתר באוכל מתוך פסולת</w:t>
        </w:r>
      </w:hyperlink>
    </w:p>
    <w:p w14:paraId="4C05AF36" w14:textId="77777777" w:rsidR="008925FD" w:rsidRDefault="00AD16A0" w:rsidP="008925FD">
      <w:pPr>
        <w:pStyle w:val="TOC2"/>
        <w:rPr>
          <w:rFonts w:cstheme="minorBidi"/>
          <w:b w:val="0"/>
          <w:bCs w:val="0"/>
          <w:sz w:val="22"/>
          <w:szCs w:val="22"/>
          <w:rtl/>
        </w:rPr>
      </w:pPr>
      <w:hyperlink w:anchor="_Toc139277033" w:history="1">
        <w:r w:rsidR="008925FD" w:rsidRPr="00A03D12">
          <w:rPr>
            <w:rStyle w:val="Hyperlink"/>
            <w:rtl/>
          </w:rPr>
          <w:t>בבי' דעות רש"י ותוס' והר"ח דאוכל מפסולת אינו דרך ברירה</w:t>
        </w:r>
      </w:hyperlink>
    </w:p>
    <w:p w14:paraId="111F873B" w14:textId="77777777" w:rsidR="008925FD" w:rsidRPr="00517541" w:rsidRDefault="00AD16A0" w:rsidP="00ED704E">
      <w:pPr>
        <w:pStyle w:val="TOC3"/>
        <w:rPr>
          <w:rFonts w:asciiTheme="minorHAnsi" w:eastAsiaTheme="minorEastAsia" w:hAnsiTheme="minorHAnsi" w:cstheme="minorBidi"/>
          <w:sz w:val="22"/>
          <w:szCs w:val="22"/>
          <w:rtl/>
        </w:rPr>
      </w:pPr>
      <w:hyperlink w:anchor="_Toc139277034" w:history="1">
        <w:r w:rsidR="008925FD" w:rsidRPr="00A03D12">
          <w:rPr>
            <w:rStyle w:val="Hyperlink"/>
            <w:rtl/>
          </w:rPr>
          <w:t>בי' רש"י דהיתר אוכל מתוך פסולת דאינו דרך ברירה</w:t>
        </w:r>
      </w:hyperlink>
    </w:p>
    <w:p w14:paraId="0193A965" w14:textId="77777777" w:rsidR="008925FD" w:rsidRDefault="00AD16A0" w:rsidP="00ED704E">
      <w:pPr>
        <w:pStyle w:val="TOC3"/>
        <w:rPr>
          <w:rFonts w:asciiTheme="minorHAnsi" w:eastAsiaTheme="minorEastAsia" w:hAnsiTheme="minorHAnsi" w:cstheme="minorBidi"/>
          <w:sz w:val="22"/>
          <w:szCs w:val="22"/>
          <w:rtl/>
        </w:rPr>
      </w:pPr>
      <w:hyperlink w:anchor="_Toc139277035" w:history="1">
        <w:r w:rsidR="008925FD" w:rsidRPr="00A03D12">
          <w:rPr>
            <w:rStyle w:val="Hyperlink"/>
            <w:rtl/>
          </w:rPr>
          <w:t>בי' האגל"ט ברש"י דאוכל מפסולת אינו דרך ברירה אך בנפה דרך ברירה וביד רק פסולת מאוכל</w:t>
        </w:r>
      </w:hyperlink>
    </w:p>
    <w:p w14:paraId="18D63BB2" w14:textId="77777777" w:rsidR="008925FD" w:rsidRDefault="00AD16A0" w:rsidP="00ED704E">
      <w:pPr>
        <w:pStyle w:val="TOC3"/>
        <w:rPr>
          <w:rFonts w:asciiTheme="minorHAnsi" w:eastAsiaTheme="minorEastAsia" w:hAnsiTheme="minorHAnsi" w:cstheme="minorBidi"/>
          <w:sz w:val="22"/>
          <w:szCs w:val="22"/>
          <w:rtl/>
        </w:rPr>
      </w:pPr>
      <w:hyperlink w:anchor="_Toc139277036" w:history="1">
        <w:r w:rsidR="008925FD" w:rsidRPr="00A03D12">
          <w:rPr>
            <w:rStyle w:val="Hyperlink"/>
            <w:rtl/>
          </w:rPr>
          <w:t>בי' האגל"ט דהשינוי שבורר אוכל מתוך פסולת ולא שלא בורר בכלי ול"ד לכל שינוי בשבת</w:t>
        </w:r>
      </w:hyperlink>
    </w:p>
    <w:p w14:paraId="6DBCD163" w14:textId="77777777" w:rsidR="008925FD" w:rsidRDefault="00AD16A0" w:rsidP="00ED704E">
      <w:pPr>
        <w:pStyle w:val="TOC3"/>
        <w:rPr>
          <w:rFonts w:asciiTheme="minorHAnsi" w:eastAsiaTheme="minorEastAsia" w:hAnsiTheme="minorHAnsi" w:cstheme="minorBidi"/>
          <w:sz w:val="22"/>
          <w:szCs w:val="22"/>
          <w:rtl/>
        </w:rPr>
      </w:pPr>
      <w:hyperlink w:anchor="_Toc139277037" w:history="1">
        <w:r w:rsidR="008925FD" w:rsidRPr="00A03D12">
          <w:rPr>
            <w:rStyle w:val="Hyperlink"/>
            <w:rtl/>
          </w:rPr>
          <w:t>בי' התוס' דהיתר אוכל מתוך פסולת הוא דאינו דרך ברירה ותלוי אי האוכל מרובה או להיפך</w:t>
        </w:r>
      </w:hyperlink>
    </w:p>
    <w:p w14:paraId="7FB9B15E" w14:textId="77777777" w:rsidR="008925FD" w:rsidRDefault="00AD16A0" w:rsidP="00ED704E">
      <w:pPr>
        <w:pStyle w:val="TOC3"/>
        <w:rPr>
          <w:rFonts w:asciiTheme="minorHAnsi" w:eastAsiaTheme="minorEastAsia" w:hAnsiTheme="minorHAnsi" w:cstheme="minorBidi"/>
          <w:sz w:val="22"/>
          <w:szCs w:val="22"/>
          <w:rtl/>
        </w:rPr>
      </w:pPr>
      <w:hyperlink w:anchor="_Toc139277038" w:history="1">
        <w:r w:rsidR="008925FD" w:rsidRPr="00A03D12">
          <w:rPr>
            <w:rStyle w:val="Hyperlink"/>
            <w:rtl/>
          </w:rPr>
          <w:t>בי' האגל"ט בתוס' דאוכל מתוך פסולת הוא שינוי ולכן אף דחייב בנפה פטור ביד ולא הוי תולדה</w:t>
        </w:r>
      </w:hyperlink>
    </w:p>
    <w:p w14:paraId="11D6690C" w14:textId="77777777" w:rsidR="008925FD" w:rsidRDefault="00AD16A0" w:rsidP="00ED704E">
      <w:pPr>
        <w:pStyle w:val="TOC3"/>
        <w:rPr>
          <w:rFonts w:asciiTheme="minorHAnsi" w:eastAsiaTheme="minorEastAsia" w:hAnsiTheme="minorHAnsi" w:cstheme="minorBidi"/>
          <w:sz w:val="22"/>
          <w:szCs w:val="22"/>
          <w:rtl/>
        </w:rPr>
      </w:pPr>
      <w:hyperlink w:anchor="_Toc139277039" w:history="1">
        <w:r w:rsidR="008925FD" w:rsidRPr="00A03D12">
          <w:rPr>
            <w:rStyle w:val="Hyperlink"/>
            <w:rtl/>
          </w:rPr>
          <w:t>בי' השביתת השבת בתוס' דההיתר מדין שינוי וע"ז הק' הרמב"ן דאי"ז מתיר אלא דרך אכילה</w:t>
        </w:r>
      </w:hyperlink>
    </w:p>
    <w:p w14:paraId="6988BB9C" w14:textId="77777777" w:rsidR="008925FD" w:rsidRDefault="00AD16A0" w:rsidP="00ED704E">
      <w:pPr>
        <w:pStyle w:val="TOC3"/>
        <w:rPr>
          <w:rFonts w:asciiTheme="minorHAnsi" w:eastAsiaTheme="minorEastAsia" w:hAnsiTheme="minorHAnsi" w:cstheme="minorBidi"/>
          <w:sz w:val="22"/>
          <w:szCs w:val="22"/>
          <w:rtl/>
        </w:rPr>
      </w:pPr>
      <w:hyperlink w:anchor="_Toc139277040" w:history="1">
        <w:r w:rsidR="008925FD" w:rsidRPr="00A03D12">
          <w:rPr>
            <w:rStyle w:val="Hyperlink"/>
            <w:rtl/>
          </w:rPr>
          <w:t>בי' האגל"ט בר"ח דאוכל מתוך פסולת אינו דרך ברירה ולאלתר דרך אכילה ובנפה לעולם דרך</w:t>
        </w:r>
      </w:hyperlink>
    </w:p>
    <w:p w14:paraId="3D925019" w14:textId="77777777" w:rsidR="008925FD" w:rsidRDefault="00AD16A0" w:rsidP="00ED704E">
      <w:pPr>
        <w:pStyle w:val="TOC3"/>
        <w:rPr>
          <w:rFonts w:asciiTheme="minorHAnsi" w:eastAsiaTheme="minorEastAsia" w:hAnsiTheme="minorHAnsi" w:cstheme="minorBidi"/>
          <w:sz w:val="22"/>
          <w:szCs w:val="22"/>
          <w:rtl/>
        </w:rPr>
      </w:pPr>
      <w:hyperlink w:anchor="_Toc139277041" w:history="1">
        <w:r w:rsidR="008925FD" w:rsidRPr="00A03D12">
          <w:rPr>
            <w:rStyle w:val="Hyperlink"/>
            <w:rtl/>
          </w:rPr>
          <w:t>בי' השביתת השבת ברמב"ם דאוכל מפסולת שינוי מברירה והוי דרך אכילה כרמב"ן או כר"ן</w:t>
        </w:r>
      </w:hyperlink>
    </w:p>
    <w:p w14:paraId="3117B5A9" w14:textId="77777777" w:rsidR="008925FD" w:rsidRDefault="00AD16A0" w:rsidP="008925FD">
      <w:pPr>
        <w:pStyle w:val="TOC2"/>
        <w:rPr>
          <w:rFonts w:cstheme="minorBidi"/>
          <w:b w:val="0"/>
          <w:bCs w:val="0"/>
          <w:sz w:val="22"/>
          <w:szCs w:val="22"/>
          <w:rtl/>
        </w:rPr>
      </w:pPr>
      <w:hyperlink w:anchor="_Toc139277042" w:history="1">
        <w:r w:rsidR="008925FD" w:rsidRPr="00A03D12">
          <w:rPr>
            <w:rStyle w:val="Hyperlink"/>
            <w:rtl/>
          </w:rPr>
          <w:t>בי' הרמב"ן דבפסולת מתוך אוכל אינו אוכל את מה שמברר</w:t>
        </w:r>
      </w:hyperlink>
    </w:p>
    <w:p w14:paraId="75A0E16B" w14:textId="77777777" w:rsidR="008925FD" w:rsidRDefault="00AD16A0" w:rsidP="00ED704E">
      <w:pPr>
        <w:pStyle w:val="TOC3"/>
        <w:rPr>
          <w:rFonts w:asciiTheme="minorHAnsi" w:eastAsiaTheme="minorEastAsia" w:hAnsiTheme="minorHAnsi" w:cstheme="minorBidi"/>
          <w:sz w:val="22"/>
          <w:szCs w:val="22"/>
          <w:rtl/>
        </w:rPr>
      </w:pPr>
      <w:hyperlink w:anchor="_Toc139277043" w:history="1">
        <w:r w:rsidR="008925FD" w:rsidRPr="00A03D12">
          <w:rPr>
            <w:rStyle w:val="Hyperlink"/>
            <w:rtl/>
          </w:rPr>
          <w:t>דחיית הרמב"ן דדרך ברירה גם באוכל מפסולת ופסולת מאוכל אסור דאינו אוכל מה שבורר</w:t>
        </w:r>
      </w:hyperlink>
    </w:p>
    <w:p w14:paraId="37F4BB96" w14:textId="77777777" w:rsidR="008925FD" w:rsidRDefault="00AD16A0" w:rsidP="008925FD">
      <w:pPr>
        <w:pStyle w:val="TOC2"/>
        <w:rPr>
          <w:rFonts w:cstheme="minorBidi"/>
          <w:b w:val="0"/>
          <w:bCs w:val="0"/>
          <w:sz w:val="22"/>
          <w:szCs w:val="22"/>
          <w:rtl/>
        </w:rPr>
      </w:pPr>
      <w:hyperlink w:anchor="_Toc139277044" w:history="1">
        <w:r w:rsidR="008925FD" w:rsidRPr="00A03D12">
          <w:rPr>
            <w:rStyle w:val="Hyperlink"/>
            <w:rtl/>
          </w:rPr>
          <w:t>בי' הר"ן דעיקר ברירה בפסולת מאוכל ובי' המהר"ם קזיס בזה</w:t>
        </w:r>
      </w:hyperlink>
    </w:p>
    <w:p w14:paraId="42CD2AC1" w14:textId="77777777" w:rsidR="008925FD" w:rsidRDefault="00AD16A0" w:rsidP="00ED704E">
      <w:pPr>
        <w:pStyle w:val="TOC3"/>
        <w:rPr>
          <w:rFonts w:asciiTheme="minorHAnsi" w:eastAsiaTheme="minorEastAsia" w:hAnsiTheme="minorHAnsi" w:cstheme="minorBidi"/>
          <w:sz w:val="22"/>
          <w:szCs w:val="22"/>
          <w:rtl/>
        </w:rPr>
      </w:pPr>
      <w:hyperlink w:anchor="_Toc139277045" w:history="1">
        <w:r w:rsidR="008925FD" w:rsidRPr="00A03D12">
          <w:rPr>
            <w:rStyle w:val="Hyperlink"/>
            <w:rtl/>
          </w:rPr>
          <w:t>בי' הר"ן דההיתר לאלתר וביד באוכל מתוך פסולת הוא כיון דעיקר ברירה בפסולת מתוך אוכל</w:t>
        </w:r>
      </w:hyperlink>
    </w:p>
    <w:p w14:paraId="53EE0FF8" w14:textId="77777777" w:rsidR="008925FD" w:rsidRDefault="00AD16A0" w:rsidP="00ED704E">
      <w:pPr>
        <w:pStyle w:val="TOC3"/>
        <w:rPr>
          <w:rFonts w:asciiTheme="minorHAnsi" w:eastAsiaTheme="minorEastAsia" w:hAnsiTheme="minorHAnsi" w:cstheme="minorBidi"/>
          <w:sz w:val="22"/>
          <w:szCs w:val="22"/>
          <w:rtl/>
        </w:rPr>
      </w:pPr>
      <w:hyperlink w:anchor="_Toc139277046" w:history="1">
        <w:r w:rsidR="008925FD" w:rsidRPr="00A03D12">
          <w:rPr>
            <w:rStyle w:val="Hyperlink"/>
            <w:rtl/>
          </w:rPr>
          <w:t>קו' המהר"ם קזיס בר"ן דאף דאוכל מתוך פסולת ל"ה עיקר ברירה מ"מ דרך ברירה אף בכה"ג</w:t>
        </w:r>
      </w:hyperlink>
    </w:p>
    <w:p w14:paraId="6EE77F79" w14:textId="77777777" w:rsidR="008925FD" w:rsidRDefault="00AD16A0" w:rsidP="00ED704E">
      <w:pPr>
        <w:pStyle w:val="TOC3"/>
        <w:rPr>
          <w:rFonts w:asciiTheme="minorHAnsi" w:eastAsiaTheme="minorEastAsia" w:hAnsiTheme="minorHAnsi" w:cstheme="minorBidi"/>
          <w:sz w:val="22"/>
          <w:szCs w:val="22"/>
          <w:rtl/>
        </w:rPr>
      </w:pPr>
      <w:hyperlink w:anchor="_Toc139277047" w:history="1">
        <w:r w:rsidR="008925FD" w:rsidRPr="00A03D12">
          <w:rPr>
            <w:rStyle w:val="Hyperlink"/>
            <w:rtl/>
          </w:rPr>
          <w:t>בי' המהר"ם קזיס דלאלתר באוכל מתוך פסולת אינו ברירה כלל אלא כאכילה בעלמא</w:t>
        </w:r>
      </w:hyperlink>
    </w:p>
    <w:p w14:paraId="421231C1" w14:textId="77777777" w:rsidR="008925FD" w:rsidRDefault="00AD16A0" w:rsidP="008925FD">
      <w:pPr>
        <w:pStyle w:val="TOC2"/>
        <w:rPr>
          <w:rFonts w:cstheme="minorBidi"/>
          <w:b w:val="0"/>
          <w:bCs w:val="0"/>
          <w:sz w:val="22"/>
          <w:szCs w:val="22"/>
          <w:rtl/>
        </w:rPr>
      </w:pPr>
      <w:hyperlink w:anchor="_Toc139277048" w:history="1">
        <w:r w:rsidR="008925FD" w:rsidRPr="00A03D12">
          <w:rPr>
            <w:rStyle w:val="Hyperlink"/>
            <w:rtl/>
          </w:rPr>
          <w:t>בי' הרי"ד דאוכל מתוך פסולת הוא שינוי</w:t>
        </w:r>
      </w:hyperlink>
    </w:p>
    <w:p w14:paraId="4F0B8910" w14:textId="77777777" w:rsidR="008925FD" w:rsidRDefault="00AD16A0" w:rsidP="00ED704E">
      <w:pPr>
        <w:pStyle w:val="TOC3"/>
        <w:rPr>
          <w:rFonts w:asciiTheme="minorHAnsi" w:eastAsiaTheme="minorEastAsia" w:hAnsiTheme="minorHAnsi" w:cstheme="minorBidi"/>
          <w:sz w:val="22"/>
          <w:szCs w:val="22"/>
          <w:rtl/>
        </w:rPr>
      </w:pPr>
      <w:hyperlink w:anchor="_Toc139277049" w:history="1">
        <w:r w:rsidR="008925FD" w:rsidRPr="00A03D12">
          <w:rPr>
            <w:rStyle w:val="Hyperlink"/>
            <w:rtl/>
          </w:rPr>
          <w:t>בי' הרי"ד דאוכל מפסולת הוא שינוי ואף בנפה וכברה פטור ויל"ע בנפה לאח"ז אי הוי שינוי</w:t>
        </w:r>
      </w:hyperlink>
    </w:p>
    <w:p w14:paraId="0895FD63" w14:textId="77777777" w:rsidR="008925FD" w:rsidRDefault="00AD16A0" w:rsidP="008925FD">
      <w:pPr>
        <w:pStyle w:val="TOC1"/>
        <w:rPr>
          <w:rFonts w:asciiTheme="minorHAnsi" w:hAnsiTheme="minorHAnsi" w:cstheme="minorBidi"/>
          <w:b w:val="0"/>
          <w:bCs w:val="0"/>
          <w:caps w:val="0"/>
          <w:sz w:val="22"/>
          <w:szCs w:val="22"/>
          <w:rtl/>
        </w:rPr>
      </w:pPr>
      <w:hyperlink w:anchor="_Toc139277050" w:history="1">
        <w:r w:rsidR="008925FD" w:rsidRPr="00A03D12">
          <w:rPr>
            <w:rStyle w:val="Hyperlink"/>
            <w:rtl/>
          </w:rPr>
          <w:t>בדיני ואופני אוכל מפסולת ביד ובכלי</w:t>
        </w:r>
      </w:hyperlink>
    </w:p>
    <w:p w14:paraId="7D2678E2" w14:textId="77777777" w:rsidR="008925FD" w:rsidRDefault="00AD16A0" w:rsidP="008925FD">
      <w:pPr>
        <w:pStyle w:val="TOC2"/>
        <w:rPr>
          <w:rFonts w:cstheme="minorBidi"/>
          <w:b w:val="0"/>
          <w:bCs w:val="0"/>
          <w:sz w:val="22"/>
          <w:szCs w:val="22"/>
          <w:rtl/>
        </w:rPr>
      </w:pPr>
      <w:hyperlink w:anchor="_Toc139277051" w:history="1">
        <w:r w:rsidR="008925FD" w:rsidRPr="00A03D12">
          <w:rPr>
            <w:rStyle w:val="Hyperlink"/>
            <w:rtl/>
          </w:rPr>
          <w:t>בי' האגל"ט ברש"י דאוכל מפסולת לאח"ז ביד מותר וקנון אסור</w:t>
        </w:r>
      </w:hyperlink>
    </w:p>
    <w:p w14:paraId="47F85F9A" w14:textId="77777777" w:rsidR="008925FD" w:rsidRDefault="00AD16A0" w:rsidP="00ED704E">
      <w:pPr>
        <w:pStyle w:val="TOC3"/>
        <w:rPr>
          <w:rFonts w:asciiTheme="minorHAnsi" w:eastAsiaTheme="minorEastAsia" w:hAnsiTheme="minorHAnsi" w:cstheme="minorBidi"/>
          <w:sz w:val="22"/>
          <w:szCs w:val="22"/>
          <w:rtl/>
        </w:rPr>
      </w:pPr>
      <w:hyperlink w:anchor="_Toc139277052" w:history="1">
        <w:r w:rsidR="008925FD" w:rsidRPr="00A03D12">
          <w:rPr>
            <w:rStyle w:val="Hyperlink"/>
            <w:rtl/>
          </w:rPr>
          <w:t>בי' האגל"ט ברש"י דאוכל מתוך פסולת ביד מותר אף לאחר זמן אעפ"י דכבורר לאוצר</w:t>
        </w:r>
      </w:hyperlink>
    </w:p>
    <w:p w14:paraId="1E786732" w14:textId="77777777" w:rsidR="008925FD" w:rsidRDefault="00AD16A0" w:rsidP="00ED704E">
      <w:pPr>
        <w:pStyle w:val="TOC3"/>
        <w:rPr>
          <w:rFonts w:asciiTheme="minorHAnsi" w:eastAsiaTheme="minorEastAsia" w:hAnsiTheme="minorHAnsi" w:cstheme="minorBidi"/>
          <w:sz w:val="22"/>
          <w:szCs w:val="22"/>
          <w:rtl/>
        </w:rPr>
      </w:pPr>
      <w:hyperlink w:anchor="_Toc139277053" w:history="1">
        <w:r w:rsidR="008925FD" w:rsidRPr="00A03D12">
          <w:rPr>
            <w:rStyle w:val="Hyperlink"/>
            <w:rtl/>
          </w:rPr>
          <w:t>בי' האגל"ט ברש"י דהא דבקנון לאח"ז פטור אבל אסור היינו אף באוכל מתוך פסולת</w:t>
        </w:r>
      </w:hyperlink>
    </w:p>
    <w:p w14:paraId="0C1BB140" w14:textId="77777777" w:rsidR="008925FD" w:rsidRDefault="00AD16A0" w:rsidP="008925FD">
      <w:pPr>
        <w:pStyle w:val="TOC2"/>
        <w:rPr>
          <w:rFonts w:cstheme="minorBidi"/>
          <w:b w:val="0"/>
          <w:bCs w:val="0"/>
          <w:sz w:val="22"/>
          <w:szCs w:val="22"/>
          <w:rtl/>
        </w:rPr>
      </w:pPr>
      <w:hyperlink w:anchor="_Toc139277054" w:history="1">
        <w:r w:rsidR="008925FD" w:rsidRPr="00A03D12">
          <w:rPr>
            <w:rStyle w:val="Hyperlink"/>
            <w:rtl/>
          </w:rPr>
          <w:t>בי' התוס' דאין מ"ד דאוסר באוכל מתוך פסולת לאלתר</w:t>
        </w:r>
      </w:hyperlink>
    </w:p>
    <w:p w14:paraId="1D6B8DB0" w14:textId="77777777" w:rsidR="008925FD" w:rsidRDefault="00AD16A0" w:rsidP="00ED704E">
      <w:pPr>
        <w:pStyle w:val="TOC3"/>
        <w:rPr>
          <w:rFonts w:asciiTheme="minorHAnsi" w:eastAsiaTheme="minorEastAsia" w:hAnsiTheme="minorHAnsi" w:cstheme="minorBidi"/>
          <w:sz w:val="22"/>
          <w:szCs w:val="22"/>
          <w:rtl/>
        </w:rPr>
      </w:pPr>
      <w:hyperlink w:anchor="_Toc139277055" w:history="1">
        <w:r w:rsidR="008925FD" w:rsidRPr="00A03D12">
          <w:rPr>
            <w:rStyle w:val="Hyperlink"/>
            <w:rtl/>
          </w:rPr>
          <w:t>בי' התוס' דאין כל צד בגמ' ברב ביבי דאוכל מתוך פסולת לאלתר אסור דלכו"ע מותר בזה</w:t>
        </w:r>
      </w:hyperlink>
    </w:p>
    <w:p w14:paraId="42275D92" w14:textId="77777777" w:rsidR="008925FD" w:rsidRDefault="00AD16A0" w:rsidP="00ED704E">
      <w:pPr>
        <w:pStyle w:val="TOC3"/>
        <w:rPr>
          <w:rFonts w:asciiTheme="minorHAnsi" w:eastAsiaTheme="minorEastAsia" w:hAnsiTheme="minorHAnsi" w:cstheme="minorBidi"/>
          <w:sz w:val="22"/>
          <w:szCs w:val="22"/>
          <w:rtl/>
        </w:rPr>
      </w:pPr>
      <w:hyperlink w:anchor="_Toc139277056" w:history="1">
        <w:r w:rsidR="008925FD" w:rsidRPr="00A03D12">
          <w:rPr>
            <w:rStyle w:val="Hyperlink"/>
            <w:rtl/>
          </w:rPr>
          <w:t>בי' האגל"ט בתוס' דבאוכל מתוך פסולת לאלתר ביד מותר ובקנון אסור ולאח"ז יש להסתפק בזה</w:t>
        </w:r>
      </w:hyperlink>
    </w:p>
    <w:p w14:paraId="7B3D9290" w14:textId="77777777" w:rsidR="008925FD" w:rsidRDefault="00AD16A0" w:rsidP="00ED704E">
      <w:pPr>
        <w:pStyle w:val="TOC3"/>
        <w:rPr>
          <w:rFonts w:asciiTheme="minorHAnsi" w:eastAsiaTheme="minorEastAsia" w:hAnsiTheme="minorHAnsi" w:cstheme="minorBidi"/>
          <w:sz w:val="22"/>
          <w:szCs w:val="22"/>
          <w:rtl/>
        </w:rPr>
      </w:pPr>
      <w:hyperlink w:anchor="_Toc139277057" w:history="1">
        <w:r w:rsidR="008925FD" w:rsidRPr="00A03D12">
          <w:rPr>
            <w:rStyle w:val="Hyperlink"/>
            <w:rtl/>
          </w:rPr>
          <w:t>בי' האגל"ט בתוס' דלאח"ז בנפה וכברה חייב אף באוכל מתוך פסולת דהוא דרך ברירה</w:t>
        </w:r>
      </w:hyperlink>
    </w:p>
    <w:p w14:paraId="042C8711" w14:textId="77777777" w:rsidR="008925FD" w:rsidRDefault="00AD16A0" w:rsidP="00ED704E">
      <w:pPr>
        <w:pStyle w:val="TOC3"/>
        <w:rPr>
          <w:rFonts w:asciiTheme="minorHAnsi" w:eastAsiaTheme="minorEastAsia" w:hAnsiTheme="minorHAnsi" w:cstheme="minorBidi"/>
          <w:sz w:val="22"/>
          <w:szCs w:val="22"/>
          <w:rtl/>
        </w:rPr>
      </w:pPr>
      <w:hyperlink w:anchor="_Toc139277058" w:history="1">
        <w:r w:rsidR="008925FD" w:rsidRPr="00A03D12">
          <w:rPr>
            <w:rStyle w:val="Hyperlink"/>
            <w:rtl/>
          </w:rPr>
          <w:t>ספק האגל"ט בתוס' באוכל מתוך פסולת בנפה וכברה לאלתר ובי' האגל"ט דמוכח בתוס' דחייב</w:t>
        </w:r>
      </w:hyperlink>
    </w:p>
    <w:p w14:paraId="3B464841" w14:textId="77777777" w:rsidR="008925FD" w:rsidRDefault="00AD16A0" w:rsidP="008925FD">
      <w:pPr>
        <w:pStyle w:val="TOC2"/>
        <w:rPr>
          <w:rFonts w:cstheme="minorBidi"/>
          <w:b w:val="0"/>
          <w:bCs w:val="0"/>
          <w:sz w:val="22"/>
          <w:szCs w:val="22"/>
          <w:rtl/>
        </w:rPr>
      </w:pPr>
      <w:hyperlink w:anchor="_Toc139277059" w:history="1">
        <w:r w:rsidR="008925FD" w:rsidRPr="00A03D12">
          <w:rPr>
            <w:rStyle w:val="Hyperlink"/>
            <w:rtl/>
          </w:rPr>
          <w:t>בי' ר"ח והרמב"ם דאוכל מתוך פסולת מותר רק ביד ולאלתר</w:t>
        </w:r>
      </w:hyperlink>
    </w:p>
    <w:p w14:paraId="124EBE7B" w14:textId="77777777" w:rsidR="008925FD" w:rsidRDefault="00AD16A0" w:rsidP="00ED704E">
      <w:pPr>
        <w:pStyle w:val="TOC3"/>
        <w:rPr>
          <w:rFonts w:asciiTheme="minorHAnsi" w:eastAsiaTheme="minorEastAsia" w:hAnsiTheme="minorHAnsi" w:cstheme="minorBidi"/>
          <w:sz w:val="22"/>
          <w:szCs w:val="22"/>
          <w:rtl/>
        </w:rPr>
      </w:pPr>
      <w:hyperlink w:anchor="_Toc139277060" w:history="1">
        <w:r w:rsidR="008925FD" w:rsidRPr="00A03D12">
          <w:rPr>
            <w:rStyle w:val="Hyperlink"/>
            <w:rtl/>
          </w:rPr>
          <w:t>בי' ר"ח דקיי"ל כאביי ורב אשי וחזקיה ורק בג' ההיתרים מותר לברור אוכל מפסולת ביד ולאלתר</w:t>
        </w:r>
      </w:hyperlink>
    </w:p>
    <w:p w14:paraId="71EE387E" w14:textId="77777777" w:rsidR="008925FD" w:rsidRDefault="00AD16A0" w:rsidP="00ED704E">
      <w:pPr>
        <w:pStyle w:val="TOC3"/>
        <w:rPr>
          <w:rFonts w:asciiTheme="minorHAnsi" w:eastAsiaTheme="minorEastAsia" w:hAnsiTheme="minorHAnsi" w:cstheme="minorBidi"/>
          <w:sz w:val="22"/>
          <w:szCs w:val="22"/>
          <w:rtl/>
        </w:rPr>
      </w:pPr>
      <w:hyperlink w:anchor="_Toc139277061" w:history="1">
        <w:r w:rsidR="008925FD" w:rsidRPr="00A03D12">
          <w:rPr>
            <w:rStyle w:val="Hyperlink"/>
            <w:rtl/>
          </w:rPr>
          <w:t>בי' הרמב"ם כר"ח דאוכל מתוך פסולת ביד מותר ובקנון אסור ובנפה חיב ולאח"ז אף ביד חייב</w:t>
        </w:r>
      </w:hyperlink>
    </w:p>
    <w:p w14:paraId="5AFA225F" w14:textId="77777777" w:rsidR="008925FD" w:rsidRDefault="00AD16A0" w:rsidP="00ED704E">
      <w:pPr>
        <w:pStyle w:val="TOC3"/>
        <w:rPr>
          <w:rFonts w:asciiTheme="minorHAnsi" w:eastAsiaTheme="minorEastAsia" w:hAnsiTheme="minorHAnsi" w:cstheme="minorBidi"/>
          <w:sz w:val="22"/>
          <w:szCs w:val="22"/>
          <w:rtl/>
        </w:rPr>
      </w:pPr>
      <w:hyperlink w:anchor="_Toc139277062" w:history="1">
        <w:r w:rsidR="008925FD" w:rsidRPr="00A03D12">
          <w:rPr>
            <w:rStyle w:val="Hyperlink"/>
            <w:rtl/>
          </w:rPr>
          <w:t>הוכחת הרמב"ן כר"ח דהיתר לאלתר הוא רק ביד ולא בקנון ותמחוי ובנפה חייב אף לאלתר</w:t>
        </w:r>
      </w:hyperlink>
    </w:p>
    <w:p w14:paraId="4905863B" w14:textId="77777777" w:rsidR="008925FD" w:rsidRDefault="00AD16A0" w:rsidP="00ED704E">
      <w:pPr>
        <w:pStyle w:val="TOC3"/>
        <w:rPr>
          <w:rFonts w:asciiTheme="minorHAnsi" w:eastAsiaTheme="minorEastAsia" w:hAnsiTheme="minorHAnsi" w:cstheme="minorBidi"/>
          <w:sz w:val="22"/>
          <w:szCs w:val="22"/>
          <w:rtl/>
        </w:rPr>
      </w:pPr>
      <w:hyperlink w:anchor="_Toc139277063" w:history="1">
        <w:r w:rsidR="008925FD" w:rsidRPr="00A03D12">
          <w:rPr>
            <w:rStyle w:val="Hyperlink"/>
            <w:rtl/>
          </w:rPr>
          <w:t>בי' הרמב"ן בר"ח דמוכח בחזקיה דפסולת מתוך אוכל בשינוי במנפח בפיו מותר ביד ולאלתר</w:t>
        </w:r>
      </w:hyperlink>
    </w:p>
    <w:p w14:paraId="73FB589A" w14:textId="77777777" w:rsidR="008925FD" w:rsidRDefault="00AD16A0" w:rsidP="00ED704E">
      <w:pPr>
        <w:pStyle w:val="TOC3"/>
        <w:rPr>
          <w:rFonts w:asciiTheme="minorHAnsi" w:eastAsiaTheme="minorEastAsia" w:hAnsiTheme="minorHAnsi" w:cstheme="minorBidi"/>
          <w:sz w:val="22"/>
          <w:szCs w:val="22"/>
          <w:rtl/>
        </w:rPr>
      </w:pPr>
      <w:hyperlink w:anchor="_Toc139277064" w:history="1">
        <w:r w:rsidR="008925FD" w:rsidRPr="00A03D12">
          <w:rPr>
            <w:rStyle w:val="Hyperlink"/>
            <w:rtl/>
          </w:rPr>
          <w:t>בי' הר"ן בר"ח דמדאסר חזקיה בסתמא בפסולת מאוכל מבו' דהוא עיקר ברירה אף בלאלתר</w:t>
        </w:r>
      </w:hyperlink>
    </w:p>
    <w:p w14:paraId="0C82FD9D" w14:textId="77777777" w:rsidR="008925FD" w:rsidRDefault="00AD16A0" w:rsidP="00ED704E">
      <w:pPr>
        <w:pStyle w:val="TOC3"/>
        <w:rPr>
          <w:rFonts w:asciiTheme="minorHAnsi" w:eastAsiaTheme="minorEastAsia" w:hAnsiTheme="minorHAnsi" w:cstheme="minorBidi"/>
          <w:sz w:val="22"/>
          <w:szCs w:val="22"/>
          <w:rtl/>
        </w:rPr>
      </w:pPr>
      <w:hyperlink w:anchor="_Toc139277065" w:history="1">
        <w:r w:rsidR="008925FD" w:rsidRPr="00A03D12">
          <w:rPr>
            <w:rStyle w:val="Hyperlink"/>
            <w:rtl/>
          </w:rPr>
          <w:t>בי' הריטב"א דנח' רב המנונא ואביי בחיוב חטאת באוכל מתוך פסולת לאח"ז וקיי"ל כאביי דחייב</w:t>
        </w:r>
      </w:hyperlink>
    </w:p>
    <w:p w14:paraId="184838A5" w14:textId="77777777" w:rsidR="008925FD" w:rsidRDefault="00AD16A0" w:rsidP="00ED704E">
      <w:pPr>
        <w:pStyle w:val="TOC3"/>
        <w:rPr>
          <w:rFonts w:asciiTheme="minorHAnsi" w:eastAsiaTheme="minorEastAsia" w:hAnsiTheme="minorHAnsi" w:cstheme="minorBidi"/>
          <w:sz w:val="22"/>
          <w:szCs w:val="22"/>
          <w:rtl/>
        </w:rPr>
      </w:pPr>
      <w:hyperlink w:anchor="_Toc139277066" w:history="1">
        <w:r w:rsidR="008925FD" w:rsidRPr="00A03D12">
          <w:rPr>
            <w:rStyle w:val="Hyperlink"/>
            <w:rtl/>
          </w:rPr>
          <w:t>קו' הרי"ד על ר"ח דאוכל מתוך פסולת הוא שינוי ולא שייך בזה חטאת אף בנפה וכ"ש בקנון וביד</w:t>
        </w:r>
      </w:hyperlink>
    </w:p>
    <w:p w14:paraId="25B1C5CB" w14:textId="77777777" w:rsidR="008925FD" w:rsidRDefault="00AD16A0" w:rsidP="00ED704E">
      <w:pPr>
        <w:pStyle w:val="TOC3"/>
        <w:rPr>
          <w:rFonts w:asciiTheme="minorHAnsi" w:eastAsiaTheme="minorEastAsia" w:hAnsiTheme="minorHAnsi" w:cstheme="minorBidi"/>
          <w:sz w:val="22"/>
          <w:szCs w:val="22"/>
          <w:rtl/>
        </w:rPr>
      </w:pPr>
      <w:hyperlink w:anchor="_Toc139277067" w:history="1">
        <w:r w:rsidR="008925FD" w:rsidRPr="00A03D12">
          <w:rPr>
            <w:rStyle w:val="Hyperlink"/>
            <w:rtl/>
          </w:rPr>
          <w:t>בי' המהריט"ץ ברמב"ם דתי' רב יוסף ורב המנונא נדחו וקיי"ל כחזקיה ואביי ורב אשי</w:t>
        </w:r>
      </w:hyperlink>
    </w:p>
    <w:p w14:paraId="2FFDCAE6" w14:textId="77777777" w:rsidR="008925FD" w:rsidRDefault="00AD16A0" w:rsidP="00ED704E">
      <w:pPr>
        <w:pStyle w:val="TOC3"/>
        <w:rPr>
          <w:rFonts w:asciiTheme="minorHAnsi" w:eastAsiaTheme="minorEastAsia" w:hAnsiTheme="minorHAnsi" w:cstheme="minorBidi"/>
          <w:sz w:val="22"/>
          <w:szCs w:val="22"/>
          <w:rtl/>
        </w:rPr>
      </w:pPr>
      <w:hyperlink w:anchor="_Toc139277068" w:history="1">
        <w:r w:rsidR="008925FD" w:rsidRPr="00A03D12">
          <w:rPr>
            <w:rStyle w:val="Hyperlink"/>
            <w:rtl/>
          </w:rPr>
          <w:t>בי' האגל"ט דר"ח ס"ל כרא"ה דנח' רק בבי' הברייתא ולא לדינא וכל הברייתא בנפה וכברה</w:t>
        </w:r>
      </w:hyperlink>
    </w:p>
    <w:p w14:paraId="365D9E57" w14:textId="77777777" w:rsidR="008925FD" w:rsidRDefault="00AD16A0" w:rsidP="00ED704E">
      <w:pPr>
        <w:pStyle w:val="TOC3"/>
        <w:rPr>
          <w:rFonts w:asciiTheme="minorHAnsi" w:eastAsiaTheme="minorEastAsia" w:hAnsiTheme="minorHAnsi" w:cstheme="minorBidi"/>
          <w:sz w:val="22"/>
          <w:szCs w:val="22"/>
          <w:rtl/>
        </w:rPr>
      </w:pPr>
      <w:hyperlink w:anchor="_Toc139277069" w:history="1">
        <w:r w:rsidR="008925FD" w:rsidRPr="00A03D12">
          <w:rPr>
            <w:rStyle w:val="Hyperlink"/>
            <w:rtl/>
          </w:rPr>
          <w:t>בי' האגל"ט בר"ח דהא דבכלי חייב אף באוכל מתוך פסולת דלעולם הוא דרך ברירה</w:t>
        </w:r>
      </w:hyperlink>
    </w:p>
    <w:p w14:paraId="40903FB4" w14:textId="77777777" w:rsidR="008925FD" w:rsidRDefault="00AD16A0" w:rsidP="00ED704E">
      <w:pPr>
        <w:pStyle w:val="TOC3"/>
        <w:rPr>
          <w:rFonts w:asciiTheme="minorHAnsi" w:eastAsiaTheme="minorEastAsia" w:hAnsiTheme="minorHAnsi" w:cstheme="minorBidi"/>
          <w:sz w:val="22"/>
          <w:szCs w:val="22"/>
          <w:rtl/>
        </w:rPr>
      </w:pPr>
      <w:hyperlink w:anchor="_Toc139277070" w:history="1">
        <w:r w:rsidR="008925FD" w:rsidRPr="00A03D12">
          <w:rPr>
            <w:rStyle w:val="Hyperlink"/>
            <w:rtl/>
          </w:rPr>
          <w:t>בי' האגל"ט בר"ח דבכלי באוכל מתוך פסולת לאלתר כו"ע מודו דחייב דאין בזה חילוק בברייתא</w:t>
        </w:r>
      </w:hyperlink>
    </w:p>
    <w:p w14:paraId="78E8BCE5" w14:textId="77777777" w:rsidR="008925FD" w:rsidRDefault="00AD16A0" w:rsidP="00ED704E">
      <w:pPr>
        <w:pStyle w:val="TOC3"/>
        <w:rPr>
          <w:rFonts w:asciiTheme="minorHAnsi" w:eastAsiaTheme="minorEastAsia" w:hAnsiTheme="minorHAnsi" w:cstheme="minorBidi"/>
          <w:sz w:val="22"/>
          <w:szCs w:val="22"/>
          <w:rtl/>
        </w:rPr>
      </w:pPr>
      <w:hyperlink w:anchor="_Toc139277071" w:history="1">
        <w:r w:rsidR="008925FD" w:rsidRPr="00A03D12">
          <w:rPr>
            <w:rStyle w:val="Hyperlink"/>
            <w:rtl/>
          </w:rPr>
          <w:t>בי' האגל"ט בר"ח דמוכח דאביי בלאלתר רק באוכל מתוך פסולת וביד ומוכח דצריך ג' היתרים</w:t>
        </w:r>
      </w:hyperlink>
    </w:p>
    <w:p w14:paraId="13A39B99" w14:textId="77777777" w:rsidR="008925FD" w:rsidRDefault="00AD16A0" w:rsidP="008925FD">
      <w:pPr>
        <w:pStyle w:val="TOC2"/>
        <w:rPr>
          <w:rFonts w:cstheme="minorBidi"/>
          <w:b w:val="0"/>
          <w:bCs w:val="0"/>
          <w:sz w:val="22"/>
          <w:szCs w:val="22"/>
          <w:rtl/>
        </w:rPr>
      </w:pPr>
      <w:hyperlink w:anchor="_Toc139277072" w:history="1">
        <w:r w:rsidR="008925FD" w:rsidRPr="00A03D12">
          <w:rPr>
            <w:rStyle w:val="Hyperlink"/>
            <w:rtl/>
          </w:rPr>
          <w:t>בי' הרי"ד דכל אוכל מתוך פסולת הוא שינוי ול"ש בו חטאת</w:t>
        </w:r>
      </w:hyperlink>
    </w:p>
    <w:p w14:paraId="0695008C" w14:textId="77777777" w:rsidR="008925FD" w:rsidRDefault="00AD16A0" w:rsidP="00ED704E">
      <w:pPr>
        <w:pStyle w:val="TOC3"/>
        <w:rPr>
          <w:rFonts w:asciiTheme="minorHAnsi" w:eastAsiaTheme="minorEastAsia" w:hAnsiTheme="minorHAnsi" w:cstheme="minorBidi"/>
          <w:sz w:val="22"/>
          <w:szCs w:val="22"/>
          <w:rtl/>
        </w:rPr>
      </w:pPr>
      <w:hyperlink w:anchor="_Toc139277073" w:history="1">
        <w:r w:rsidR="008925FD" w:rsidRPr="00A03D12">
          <w:rPr>
            <w:rStyle w:val="Hyperlink"/>
            <w:rtl/>
          </w:rPr>
          <w:t>בי' הרי"ד דאוכל מתוך פסולת הוא שינוי גמור ולכו"ע א"א לחייב חטאת אף בנפה וכברה</w:t>
        </w:r>
      </w:hyperlink>
    </w:p>
    <w:p w14:paraId="1D42A4AC" w14:textId="77777777" w:rsidR="008925FD" w:rsidRDefault="00AD16A0" w:rsidP="00ED704E">
      <w:pPr>
        <w:pStyle w:val="TOC3"/>
        <w:rPr>
          <w:rFonts w:asciiTheme="minorHAnsi" w:eastAsiaTheme="minorEastAsia" w:hAnsiTheme="minorHAnsi" w:cstheme="minorBidi"/>
          <w:sz w:val="22"/>
          <w:szCs w:val="22"/>
          <w:rtl/>
        </w:rPr>
      </w:pPr>
      <w:hyperlink w:anchor="_Toc139277074" w:history="1">
        <w:r w:rsidR="008925FD" w:rsidRPr="00A03D12">
          <w:rPr>
            <w:rStyle w:val="Hyperlink"/>
            <w:rtl/>
          </w:rPr>
          <w:t>בי' הרי"ד דלמסקנא באוכל מפסולת פטור אף בנפה ולאח"ז בפסולת מתוך אוכל אף ביד חייב</w:t>
        </w:r>
      </w:hyperlink>
    </w:p>
    <w:p w14:paraId="20B41B99" w14:textId="77777777" w:rsidR="008925FD" w:rsidRDefault="00AD16A0" w:rsidP="00ED704E">
      <w:pPr>
        <w:pStyle w:val="TOC3"/>
        <w:rPr>
          <w:rFonts w:asciiTheme="minorHAnsi" w:eastAsiaTheme="minorEastAsia" w:hAnsiTheme="minorHAnsi" w:cstheme="minorBidi"/>
          <w:sz w:val="22"/>
          <w:szCs w:val="22"/>
          <w:rtl/>
        </w:rPr>
      </w:pPr>
      <w:hyperlink w:anchor="_Toc139277075" w:history="1">
        <w:r w:rsidR="008925FD" w:rsidRPr="00A03D12">
          <w:rPr>
            <w:rStyle w:val="Hyperlink"/>
            <w:rtl/>
          </w:rPr>
          <w:t>בי' האגל"ט ברי"ד דאוכל מתוך פסולת אף בנפה לאלתר מותר ולאח"ז פטור אבל אסור</w:t>
        </w:r>
      </w:hyperlink>
    </w:p>
    <w:p w14:paraId="38939081" w14:textId="77777777" w:rsidR="008925FD" w:rsidRDefault="00AD16A0" w:rsidP="00ED704E">
      <w:pPr>
        <w:pStyle w:val="TOC3"/>
        <w:rPr>
          <w:rFonts w:asciiTheme="minorHAnsi" w:eastAsiaTheme="minorEastAsia" w:hAnsiTheme="minorHAnsi" w:cstheme="minorBidi"/>
          <w:sz w:val="22"/>
          <w:szCs w:val="22"/>
          <w:rtl/>
        </w:rPr>
      </w:pPr>
      <w:hyperlink w:anchor="_Toc139277076" w:history="1">
        <w:r w:rsidR="008925FD" w:rsidRPr="00A03D12">
          <w:rPr>
            <w:rStyle w:val="Hyperlink"/>
            <w:rtl/>
          </w:rPr>
          <w:t>בי' האגל"ט דמשמע ברי"ד דבנפה לאח"ז פטור אך מהתורי"ד מוכח דלאח"ז בנפה חייב חטאת</w:t>
        </w:r>
      </w:hyperlink>
    </w:p>
    <w:p w14:paraId="101B6920" w14:textId="77777777" w:rsidR="008925FD" w:rsidRDefault="00AD16A0" w:rsidP="008925FD">
      <w:pPr>
        <w:pStyle w:val="TOC2"/>
        <w:rPr>
          <w:rFonts w:cstheme="minorBidi"/>
          <w:b w:val="0"/>
          <w:bCs w:val="0"/>
          <w:sz w:val="22"/>
          <w:szCs w:val="22"/>
          <w:rtl/>
        </w:rPr>
      </w:pPr>
      <w:hyperlink w:anchor="_Toc139277077" w:history="1">
        <w:r w:rsidR="008925FD" w:rsidRPr="00A03D12">
          <w:rPr>
            <w:rStyle w:val="Hyperlink"/>
            <w:rtl/>
          </w:rPr>
          <w:t>בי' התורי"ד בגדר אוכל מתוך פסולת ופסולת מתוך אוכל</w:t>
        </w:r>
      </w:hyperlink>
    </w:p>
    <w:p w14:paraId="069CB650" w14:textId="77777777" w:rsidR="008925FD" w:rsidRDefault="00AD16A0" w:rsidP="00ED704E">
      <w:pPr>
        <w:pStyle w:val="TOC3"/>
        <w:rPr>
          <w:rFonts w:asciiTheme="minorHAnsi" w:eastAsiaTheme="minorEastAsia" w:hAnsiTheme="minorHAnsi" w:cstheme="minorBidi"/>
          <w:sz w:val="22"/>
          <w:szCs w:val="22"/>
          <w:rtl/>
        </w:rPr>
      </w:pPr>
      <w:hyperlink w:anchor="_Toc139277078" w:history="1">
        <w:r w:rsidR="008925FD" w:rsidRPr="00A03D12">
          <w:rPr>
            <w:rStyle w:val="Hyperlink"/>
            <w:rtl/>
          </w:rPr>
          <w:t>בי' הרי"ד דבין בורר חיטין דהפסולת למטה ובין מרקד דהפסולת למעלה הוי פסולת מתוך אוכל</w:t>
        </w:r>
      </w:hyperlink>
    </w:p>
    <w:p w14:paraId="450ACBB1" w14:textId="77777777" w:rsidR="008925FD" w:rsidRDefault="00AD16A0" w:rsidP="00ED704E">
      <w:pPr>
        <w:pStyle w:val="TOC3"/>
        <w:rPr>
          <w:rFonts w:asciiTheme="minorHAnsi" w:eastAsiaTheme="minorEastAsia" w:hAnsiTheme="minorHAnsi" w:cstheme="minorBidi"/>
          <w:sz w:val="22"/>
          <w:szCs w:val="22"/>
          <w:rtl/>
        </w:rPr>
      </w:pPr>
      <w:hyperlink w:anchor="_Toc139277079" w:history="1">
        <w:r w:rsidR="008925FD" w:rsidRPr="00A03D12">
          <w:rPr>
            <w:rStyle w:val="Hyperlink"/>
            <w:rtl/>
          </w:rPr>
          <w:t>בי' התורי"ד דבמקבץ את הפסולת וזורק הוא פסולת מאוכל ואוכל מפסולת רק במשנה מהדרך</w:t>
        </w:r>
      </w:hyperlink>
    </w:p>
    <w:p w14:paraId="4A351AB8" w14:textId="77777777" w:rsidR="008925FD" w:rsidRDefault="00AD16A0" w:rsidP="00ED704E">
      <w:pPr>
        <w:pStyle w:val="TOC3"/>
        <w:rPr>
          <w:rFonts w:asciiTheme="minorHAnsi" w:eastAsiaTheme="minorEastAsia" w:hAnsiTheme="minorHAnsi" w:cstheme="minorBidi"/>
          <w:sz w:val="22"/>
          <w:szCs w:val="22"/>
          <w:rtl/>
        </w:rPr>
      </w:pPr>
      <w:hyperlink w:anchor="_Toc139277080" w:history="1">
        <w:r w:rsidR="008925FD" w:rsidRPr="00A03D12">
          <w:rPr>
            <w:rStyle w:val="Hyperlink"/>
            <w:rtl/>
          </w:rPr>
          <w:t>הוכחת האגל"ט דבפסקיו חזר בו ממ"ש בתורי"ד וס"ל דהברירה במה שנשאר למטה</w:t>
        </w:r>
      </w:hyperlink>
    </w:p>
    <w:p w14:paraId="724EE161" w14:textId="77777777" w:rsidR="008925FD" w:rsidRDefault="00AD16A0" w:rsidP="00ED704E">
      <w:pPr>
        <w:pStyle w:val="TOC3"/>
        <w:rPr>
          <w:rFonts w:asciiTheme="minorHAnsi" w:eastAsiaTheme="minorEastAsia" w:hAnsiTheme="minorHAnsi" w:cstheme="minorBidi"/>
          <w:sz w:val="22"/>
          <w:szCs w:val="22"/>
          <w:rtl/>
        </w:rPr>
      </w:pPr>
      <w:hyperlink w:anchor="_Toc139277081" w:history="1">
        <w:r w:rsidR="008925FD" w:rsidRPr="00A03D12">
          <w:rPr>
            <w:rStyle w:val="Hyperlink"/>
            <w:rtl/>
          </w:rPr>
          <w:t>בי' האגל"ט דלמסקנתו אף דפסולת למטה הוי פסולת מאוכל אי"ז עיקר בורר ובלאלתר פטור</w:t>
        </w:r>
      </w:hyperlink>
    </w:p>
    <w:p w14:paraId="57292C97" w14:textId="77777777" w:rsidR="008925FD" w:rsidRDefault="00AD16A0" w:rsidP="00ED704E">
      <w:pPr>
        <w:pStyle w:val="TOC3"/>
        <w:rPr>
          <w:rFonts w:asciiTheme="minorHAnsi" w:eastAsiaTheme="minorEastAsia" w:hAnsiTheme="minorHAnsi" w:cstheme="minorBidi"/>
          <w:sz w:val="22"/>
          <w:szCs w:val="22"/>
          <w:rtl/>
        </w:rPr>
      </w:pPr>
      <w:hyperlink w:anchor="_Toc139277082" w:history="1">
        <w:r w:rsidR="008925FD" w:rsidRPr="00A03D12">
          <w:rPr>
            <w:rStyle w:val="Hyperlink"/>
            <w:rtl/>
          </w:rPr>
          <w:t>בי' האגל"ט ברי"ד דאוכל מפסולת לאח"ז פטור ופסולת למטה לאלתר חייב ולמעלה מותר</w:t>
        </w:r>
      </w:hyperlink>
    </w:p>
    <w:p w14:paraId="61A07B7D" w14:textId="77777777" w:rsidR="008925FD" w:rsidRDefault="00AD16A0" w:rsidP="008925FD">
      <w:pPr>
        <w:pStyle w:val="TOC1"/>
        <w:rPr>
          <w:rFonts w:asciiTheme="minorHAnsi" w:hAnsiTheme="minorHAnsi" w:cstheme="minorBidi"/>
          <w:b w:val="0"/>
          <w:bCs w:val="0"/>
          <w:caps w:val="0"/>
          <w:sz w:val="22"/>
          <w:szCs w:val="22"/>
          <w:rtl/>
        </w:rPr>
      </w:pPr>
      <w:hyperlink w:anchor="_Toc139277083" w:history="1">
        <w:r w:rsidR="008925FD" w:rsidRPr="00A03D12">
          <w:rPr>
            <w:rStyle w:val="Hyperlink"/>
            <w:rtl/>
          </w:rPr>
          <w:t>בדין קנון לאח"ז אי דינו כיד וחייב</w:t>
        </w:r>
      </w:hyperlink>
    </w:p>
    <w:p w14:paraId="64AE540F" w14:textId="77777777" w:rsidR="008925FD" w:rsidRDefault="00AD16A0" w:rsidP="008925FD">
      <w:pPr>
        <w:pStyle w:val="TOC2"/>
        <w:rPr>
          <w:rFonts w:cstheme="minorBidi"/>
          <w:b w:val="0"/>
          <w:bCs w:val="0"/>
          <w:sz w:val="22"/>
          <w:szCs w:val="22"/>
          <w:rtl/>
        </w:rPr>
      </w:pPr>
      <w:hyperlink w:anchor="_Toc139277084" w:history="1">
        <w:r w:rsidR="008925FD" w:rsidRPr="00A03D12">
          <w:rPr>
            <w:rStyle w:val="Hyperlink"/>
            <w:rtl/>
          </w:rPr>
          <w:t>בי' רש"י דקנון ותמחוי הוא ברירה כלאח"י ולכן פטור מחטאת</w:t>
        </w:r>
      </w:hyperlink>
    </w:p>
    <w:p w14:paraId="0EDBA1A3" w14:textId="77777777" w:rsidR="008925FD" w:rsidRDefault="00AD16A0" w:rsidP="00ED704E">
      <w:pPr>
        <w:pStyle w:val="TOC3"/>
        <w:rPr>
          <w:rFonts w:asciiTheme="minorHAnsi" w:eastAsiaTheme="minorEastAsia" w:hAnsiTheme="minorHAnsi" w:cstheme="minorBidi"/>
          <w:sz w:val="22"/>
          <w:szCs w:val="22"/>
          <w:rtl/>
        </w:rPr>
      </w:pPr>
      <w:hyperlink w:anchor="_Toc139277085" w:history="1">
        <w:r w:rsidR="008925FD" w:rsidRPr="00A03D12">
          <w:rPr>
            <w:rStyle w:val="Hyperlink"/>
            <w:rtl/>
          </w:rPr>
          <w:t>בי' רש"י דעיקר ברירה בנפה ובקנון הוא כלאח"י וביד ל"ד לבורר כלל ולכן מותר</w:t>
        </w:r>
      </w:hyperlink>
    </w:p>
    <w:p w14:paraId="1AD4AA0E" w14:textId="77777777" w:rsidR="008925FD" w:rsidRDefault="00AD16A0" w:rsidP="008925FD">
      <w:pPr>
        <w:pStyle w:val="TOC2"/>
        <w:rPr>
          <w:rFonts w:cstheme="minorBidi"/>
          <w:b w:val="0"/>
          <w:bCs w:val="0"/>
          <w:sz w:val="22"/>
          <w:szCs w:val="22"/>
          <w:rtl/>
        </w:rPr>
      </w:pPr>
      <w:hyperlink w:anchor="_Toc139277086" w:history="1">
        <w:r w:rsidR="008925FD" w:rsidRPr="00A03D12">
          <w:rPr>
            <w:rStyle w:val="Hyperlink"/>
            <w:rtl/>
          </w:rPr>
          <w:t>ביאורי האחרונים אי נח' הראשונים בחיוב חטאת קנון לאח"ז</w:t>
        </w:r>
      </w:hyperlink>
    </w:p>
    <w:p w14:paraId="6B8CABA2" w14:textId="77777777" w:rsidR="008925FD" w:rsidRDefault="00AD16A0" w:rsidP="00ED704E">
      <w:pPr>
        <w:pStyle w:val="TOC3"/>
        <w:rPr>
          <w:rFonts w:asciiTheme="minorHAnsi" w:eastAsiaTheme="minorEastAsia" w:hAnsiTheme="minorHAnsi" w:cstheme="minorBidi"/>
          <w:sz w:val="22"/>
          <w:szCs w:val="22"/>
          <w:rtl/>
        </w:rPr>
      </w:pPr>
      <w:hyperlink w:anchor="_Toc139277087" w:history="1">
        <w:r w:rsidR="008925FD" w:rsidRPr="00A03D12">
          <w:rPr>
            <w:rStyle w:val="Hyperlink"/>
            <w:rtl/>
          </w:rPr>
          <w:t>בי' האגל"ט דלר"ח והרמב"ם בקנון ותמחוי לאח"ז פטור אבל לרמב"ן ומ"מ ור"ן חייב חטאת</w:t>
        </w:r>
      </w:hyperlink>
    </w:p>
    <w:p w14:paraId="0EA149CF" w14:textId="77777777" w:rsidR="008925FD" w:rsidRDefault="00AD16A0" w:rsidP="00ED704E">
      <w:pPr>
        <w:pStyle w:val="TOC3"/>
        <w:rPr>
          <w:rFonts w:asciiTheme="minorHAnsi" w:eastAsiaTheme="minorEastAsia" w:hAnsiTheme="minorHAnsi" w:cstheme="minorBidi"/>
          <w:sz w:val="22"/>
          <w:szCs w:val="22"/>
          <w:rtl/>
        </w:rPr>
      </w:pPr>
      <w:hyperlink w:anchor="_Toc139277088" w:history="1">
        <w:r w:rsidR="008925FD" w:rsidRPr="00A03D12">
          <w:rPr>
            <w:rStyle w:val="Hyperlink"/>
            <w:rtl/>
          </w:rPr>
          <w:t>בי' המשנ"ב ברמב"ם ובשו"ע דבכל כלי ואף בקנון חייב חטאת לאח"ז דדרך ברירה ולא אכילה</w:t>
        </w:r>
      </w:hyperlink>
    </w:p>
    <w:p w14:paraId="5C9949A9" w14:textId="77777777" w:rsidR="008925FD" w:rsidRDefault="00AD16A0" w:rsidP="00ED704E">
      <w:pPr>
        <w:pStyle w:val="TOC3"/>
        <w:rPr>
          <w:rFonts w:asciiTheme="minorHAnsi" w:eastAsiaTheme="minorEastAsia" w:hAnsiTheme="minorHAnsi" w:cstheme="minorBidi"/>
          <w:sz w:val="22"/>
          <w:szCs w:val="22"/>
          <w:rtl/>
        </w:rPr>
      </w:pPr>
      <w:hyperlink w:anchor="_Toc139277089" w:history="1">
        <w:r w:rsidR="008925FD" w:rsidRPr="00A03D12">
          <w:rPr>
            <w:rStyle w:val="Hyperlink"/>
            <w:rtl/>
          </w:rPr>
          <w:t>בי' התהל"ד דאפש"ל דקנון לאח"ז גרע מיד כיון דיד הוא דרך ברירה וקנון לא ולכן לאח"ז פטור</w:t>
        </w:r>
      </w:hyperlink>
    </w:p>
    <w:p w14:paraId="7FABD2D3" w14:textId="77777777" w:rsidR="008925FD" w:rsidRDefault="00AD16A0" w:rsidP="00ED704E">
      <w:pPr>
        <w:pStyle w:val="TOC3"/>
        <w:rPr>
          <w:rFonts w:asciiTheme="minorHAnsi" w:eastAsiaTheme="minorEastAsia" w:hAnsiTheme="minorHAnsi" w:cstheme="minorBidi"/>
          <w:sz w:val="22"/>
          <w:szCs w:val="22"/>
          <w:rtl/>
        </w:rPr>
      </w:pPr>
      <w:hyperlink w:anchor="_Toc139277090" w:history="1">
        <w:r w:rsidR="008925FD" w:rsidRPr="00A03D12">
          <w:rPr>
            <w:rStyle w:val="Hyperlink"/>
            <w:rtl/>
          </w:rPr>
          <w:t>בי' הצל"ח ברשב"א דאין כל חומרא בקנון יותר מביד ובפסולת מתוך אוכל לאח"ז חייב אף בקנון</w:t>
        </w:r>
      </w:hyperlink>
    </w:p>
    <w:p w14:paraId="7DC3E135" w14:textId="77777777" w:rsidR="008925FD" w:rsidRDefault="00AD16A0" w:rsidP="008925FD">
      <w:pPr>
        <w:pStyle w:val="TOC1"/>
        <w:rPr>
          <w:rFonts w:asciiTheme="minorHAnsi" w:hAnsiTheme="minorHAnsi" w:cstheme="minorBidi"/>
          <w:b w:val="0"/>
          <w:bCs w:val="0"/>
          <w:caps w:val="0"/>
          <w:sz w:val="22"/>
          <w:szCs w:val="22"/>
          <w:rtl/>
        </w:rPr>
      </w:pPr>
      <w:hyperlink w:anchor="_Toc139277091" w:history="1">
        <w:r w:rsidR="008925FD" w:rsidRPr="00A03D12">
          <w:rPr>
            <w:rStyle w:val="Hyperlink"/>
            <w:rtl/>
          </w:rPr>
          <w:t>בביאור ההיתר בבורר לאלתר</w:t>
        </w:r>
      </w:hyperlink>
    </w:p>
    <w:p w14:paraId="5EA3B87F" w14:textId="77777777" w:rsidR="008925FD" w:rsidRDefault="00AD16A0" w:rsidP="008925FD">
      <w:pPr>
        <w:pStyle w:val="TOC2"/>
        <w:rPr>
          <w:rFonts w:cstheme="minorBidi"/>
          <w:b w:val="0"/>
          <w:bCs w:val="0"/>
          <w:sz w:val="22"/>
          <w:szCs w:val="22"/>
          <w:rtl/>
        </w:rPr>
      </w:pPr>
      <w:hyperlink w:anchor="_Toc139277092" w:history="1">
        <w:r w:rsidR="008925FD" w:rsidRPr="00A03D12">
          <w:rPr>
            <w:rStyle w:val="Hyperlink"/>
            <w:rtl/>
          </w:rPr>
          <w:t>בביאור ההיתר דלאלתר אי אינו דרך מלאכה או דהוי שינוי</w:t>
        </w:r>
      </w:hyperlink>
    </w:p>
    <w:p w14:paraId="49E9BEEC" w14:textId="77777777" w:rsidR="008925FD" w:rsidRDefault="00AD16A0" w:rsidP="00ED704E">
      <w:pPr>
        <w:pStyle w:val="TOC3"/>
        <w:rPr>
          <w:rFonts w:asciiTheme="minorHAnsi" w:eastAsiaTheme="minorEastAsia" w:hAnsiTheme="minorHAnsi" w:cstheme="minorBidi"/>
          <w:sz w:val="22"/>
          <w:szCs w:val="22"/>
          <w:rtl/>
        </w:rPr>
      </w:pPr>
      <w:hyperlink w:anchor="_Toc139277093" w:history="1">
        <w:r w:rsidR="008925FD" w:rsidRPr="00A03D12">
          <w:rPr>
            <w:rStyle w:val="Hyperlink"/>
            <w:rtl/>
          </w:rPr>
          <w:t>בי' רש"י דהיתר לאלתר כיון דהדרך להצניע לאוצר ולא לברור לאלתר</w:t>
        </w:r>
      </w:hyperlink>
    </w:p>
    <w:p w14:paraId="274E34F5" w14:textId="77777777" w:rsidR="008925FD" w:rsidRDefault="00AD16A0" w:rsidP="00ED704E">
      <w:pPr>
        <w:pStyle w:val="TOC3"/>
        <w:rPr>
          <w:rFonts w:asciiTheme="minorHAnsi" w:eastAsiaTheme="minorEastAsia" w:hAnsiTheme="minorHAnsi" w:cstheme="minorBidi"/>
          <w:sz w:val="22"/>
          <w:szCs w:val="22"/>
          <w:rtl/>
        </w:rPr>
      </w:pPr>
      <w:hyperlink w:anchor="_Toc139277094" w:history="1">
        <w:r w:rsidR="008925FD" w:rsidRPr="00A03D12">
          <w:rPr>
            <w:rStyle w:val="Hyperlink"/>
            <w:rtl/>
          </w:rPr>
          <w:t>בי' האגל"ט ברש"י דלאלתר ל"ה מלאכה כלל וכל שלא מוכח ממעשיו דבורר לאח"ז פטור</w:t>
        </w:r>
      </w:hyperlink>
    </w:p>
    <w:p w14:paraId="7E5270F1" w14:textId="77777777" w:rsidR="008925FD" w:rsidRDefault="00AD16A0" w:rsidP="00ED704E">
      <w:pPr>
        <w:pStyle w:val="TOC3"/>
        <w:rPr>
          <w:rFonts w:asciiTheme="minorHAnsi" w:eastAsiaTheme="minorEastAsia" w:hAnsiTheme="minorHAnsi" w:cstheme="minorBidi"/>
          <w:sz w:val="22"/>
          <w:szCs w:val="22"/>
          <w:rtl/>
        </w:rPr>
      </w:pPr>
      <w:hyperlink w:anchor="_Toc139277095" w:history="1">
        <w:r w:rsidR="008925FD" w:rsidRPr="00A03D12">
          <w:rPr>
            <w:rStyle w:val="Hyperlink"/>
            <w:rtl/>
          </w:rPr>
          <w:t>בי' הרשב"א בתשו' דבורר לאלתר הוא דרך אכילה ומותר אף דבאותו מעשה שייך חיוב חטאת</w:t>
        </w:r>
      </w:hyperlink>
    </w:p>
    <w:p w14:paraId="3BC3DADE" w14:textId="77777777" w:rsidR="008925FD" w:rsidRDefault="00AD16A0" w:rsidP="00ED704E">
      <w:pPr>
        <w:pStyle w:val="TOC3"/>
        <w:rPr>
          <w:rFonts w:asciiTheme="minorHAnsi" w:eastAsiaTheme="minorEastAsia" w:hAnsiTheme="minorHAnsi" w:cstheme="minorBidi"/>
          <w:sz w:val="22"/>
          <w:szCs w:val="22"/>
          <w:rtl/>
        </w:rPr>
      </w:pPr>
      <w:hyperlink w:anchor="_Toc139277096" w:history="1">
        <w:r w:rsidR="008925FD" w:rsidRPr="00A03D12">
          <w:rPr>
            <w:rStyle w:val="Hyperlink"/>
            <w:rtl/>
          </w:rPr>
          <w:t>בי' הגר"ז דלאלתר אינו דרך מלאכה כלל דא"א לאכול בלא"ה ורק בפסולת מאוכל הוי מלאכה</w:t>
        </w:r>
      </w:hyperlink>
    </w:p>
    <w:p w14:paraId="63B0404D" w14:textId="77777777" w:rsidR="008925FD" w:rsidRDefault="00AD16A0" w:rsidP="00ED704E">
      <w:pPr>
        <w:pStyle w:val="TOC3"/>
        <w:rPr>
          <w:rFonts w:asciiTheme="minorHAnsi" w:eastAsiaTheme="minorEastAsia" w:hAnsiTheme="minorHAnsi" w:cstheme="minorBidi"/>
          <w:sz w:val="22"/>
          <w:szCs w:val="22"/>
          <w:rtl/>
        </w:rPr>
      </w:pPr>
      <w:hyperlink w:anchor="_Toc139277097" w:history="1">
        <w:r w:rsidR="008925FD" w:rsidRPr="00A03D12">
          <w:rPr>
            <w:rStyle w:val="Hyperlink"/>
            <w:rtl/>
          </w:rPr>
          <w:t>בי' השבולי הלקט והרי"ד דלאלתר ביד הוא שינוי גמור ובקנון ותמחוי הוא שינוי קצת</w:t>
        </w:r>
      </w:hyperlink>
    </w:p>
    <w:p w14:paraId="7B9FB903" w14:textId="77777777" w:rsidR="008925FD" w:rsidRDefault="00AD16A0" w:rsidP="008925FD">
      <w:pPr>
        <w:pStyle w:val="TOC1"/>
        <w:rPr>
          <w:rFonts w:asciiTheme="minorHAnsi" w:hAnsiTheme="minorHAnsi" w:cstheme="minorBidi"/>
          <w:b w:val="0"/>
          <w:bCs w:val="0"/>
          <w:caps w:val="0"/>
          <w:sz w:val="22"/>
          <w:szCs w:val="22"/>
          <w:rtl/>
        </w:rPr>
      </w:pPr>
      <w:hyperlink w:anchor="_Toc139277098" w:history="1">
        <w:r w:rsidR="008925FD" w:rsidRPr="00A03D12">
          <w:rPr>
            <w:rStyle w:val="Hyperlink"/>
            <w:rtl/>
          </w:rPr>
          <w:t>בדין נפה לאלתר אי מותר או חייב</w:t>
        </w:r>
      </w:hyperlink>
    </w:p>
    <w:p w14:paraId="3989AFA3" w14:textId="77777777" w:rsidR="008925FD" w:rsidRDefault="00AD16A0" w:rsidP="008925FD">
      <w:pPr>
        <w:pStyle w:val="TOC2"/>
        <w:rPr>
          <w:rFonts w:cstheme="minorBidi"/>
          <w:b w:val="0"/>
          <w:bCs w:val="0"/>
          <w:sz w:val="22"/>
          <w:szCs w:val="22"/>
          <w:rtl/>
        </w:rPr>
      </w:pPr>
      <w:hyperlink w:anchor="_Toc139277099" w:history="1">
        <w:r w:rsidR="008925FD" w:rsidRPr="00A03D12">
          <w:rPr>
            <w:rStyle w:val="Hyperlink"/>
            <w:rtl/>
          </w:rPr>
          <w:t>בי' התוס' ברש"י דבנפה לאלתר מותר ובי' הראשונים דחייב</w:t>
        </w:r>
      </w:hyperlink>
    </w:p>
    <w:p w14:paraId="7223CA51" w14:textId="77777777" w:rsidR="008925FD" w:rsidRDefault="00AD16A0" w:rsidP="00ED704E">
      <w:pPr>
        <w:pStyle w:val="TOC3"/>
        <w:rPr>
          <w:rFonts w:asciiTheme="minorHAnsi" w:eastAsiaTheme="minorEastAsia" w:hAnsiTheme="minorHAnsi" w:cstheme="minorBidi"/>
          <w:sz w:val="22"/>
          <w:szCs w:val="22"/>
          <w:rtl/>
        </w:rPr>
      </w:pPr>
      <w:hyperlink w:anchor="_Toc139277100" w:history="1">
        <w:r w:rsidR="008925FD" w:rsidRPr="00A03D12">
          <w:rPr>
            <w:rStyle w:val="Hyperlink"/>
            <w:rtl/>
          </w:rPr>
          <w:t>בי' התוס' והרמב"ן ברש"י דנפה וכברה לאלתר מותר וקו' תוס' והרמב"ן דמוכח בביצה דאסור</w:t>
        </w:r>
      </w:hyperlink>
    </w:p>
    <w:p w14:paraId="621577EA" w14:textId="77777777" w:rsidR="008925FD" w:rsidRDefault="00AD16A0" w:rsidP="00ED704E">
      <w:pPr>
        <w:pStyle w:val="TOC3"/>
        <w:rPr>
          <w:rFonts w:asciiTheme="minorHAnsi" w:eastAsiaTheme="minorEastAsia" w:hAnsiTheme="minorHAnsi" w:cstheme="minorBidi"/>
          <w:sz w:val="22"/>
          <w:szCs w:val="22"/>
          <w:rtl/>
        </w:rPr>
      </w:pPr>
      <w:hyperlink w:anchor="_Toc139277101" w:history="1">
        <w:r w:rsidR="008925FD" w:rsidRPr="00A03D12">
          <w:rPr>
            <w:rStyle w:val="Hyperlink"/>
            <w:rtl/>
          </w:rPr>
          <w:t>בי' התוס' דבברייתא הראשונה איירי ביד ובשניה בנפה ואף לאלתר חייב בנפה חטאת</w:t>
        </w:r>
      </w:hyperlink>
    </w:p>
    <w:p w14:paraId="6CA63AD3" w14:textId="77777777" w:rsidR="008925FD" w:rsidRDefault="00AD16A0" w:rsidP="00ED704E">
      <w:pPr>
        <w:pStyle w:val="TOC3"/>
        <w:rPr>
          <w:rFonts w:asciiTheme="minorHAnsi" w:eastAsiaTheme="minorEastAsia" w:hAnsiTheme="minorHAnsi" w:cstheme="minorBidi"/>
          <w:sz w:val="22"/>
          <w:szCs w:val="22"/>
          <w:rtl/>
        </w:rPr>
      </w:pPr>
      <w:hyperlink w:anchor="_Toc139277102" w:history="1">
        <w:r w:rsidR="008925FD" w:rsidRPr="00A03D12">
          <w:rPr>
            <w:rStyle w:val="Hyperlink"/>
            <w:rtl/>
          </w:rPr>
          <w:t>הוכחת הר"ן דהברייתא הראשונה איירי ביד ולא בנפה דמוכח בביצה דביד לאח"ז חייב חטאת</w:t>
        </w:r>
      </w:hyperlink>
    </w:p>
    <w:p w14:paraId="402BA34B" w14:textId="77777777" w:rsidR="008925FD" w:rsidRDefault="00AD16A0" w:rsidP="00ED704E">
      <w:pPr>
        <w:pStyle w:val="TOC3"/>
        <w:rPr>
          <w:rFonts w:asciiTheme="minorHAnsi" w:eastAsiaTheme="minorEastAsia" w:hAnsiTheme="minorHAnsi" w:cstheme="minorBidi"/>
          <w:sz w:val="22"/>
          <w:szCs w:val="22"/>
          <w:rtl/>
        </w:rPr>
      </w:pPr>
      <w:hyperlink w:anchor="_Toc139277103" w:history="1">
        <w:r w:rsidR="008925FD" w:rsidRPr="00A03D12">
          <w:rPr>
            <w:rStyle w:val="Hyperlink"/>
            <w:rtl/>
          </w:rPr>
          <w:t>הבי' הא' ברמב"ן דבאוכל ופסולת נפה לאלתר מותר אך בב' מיני אוכלין נח' אף בקנון ותמחוי</w:t>
        </w:r>
      </w:hyperlink>
    </w:p>
    <w:p w14:paraId="65244AC9" w14:textId="77777777" w:rsidR="008925FD" w:rsidRDefault="00AD16A0" w:rsidP="00ED704E">
      <w:pPr>
        <w:pStyle w:val="TOC3"/>
        <w:rPr>
          <w:rFonts w:asciiTheme="minorHAnsi" w:eastAsiaTheme="minorEastAsia" w:hAnsiTheme="minorHAnsi" w:cstheme="minorBidi"/>
          <w:sz w:val="22"/>
          <w:szCs w:val="22"/>
          <w:rtl/>
        </w:rPr>
      </w:pPr>
      <w:hyperlink w:anchor="_Toc139277104" w:history="1">
        <w:r w:rsidR="008925FD" w:rsidRPr="00A03D12">
          <w:rPr>
            <w:rStyle w:val="Hyperlink"/>
            <w:rtl/>
          </w:rPr>
          <w:t>בי' האגל"ט ברש"י דנפה לאלתר מותר דכל הברייתא בנפה ולאביי לאלתר מותר ולאח"ז חייב</w:t>
        </w:r>
      </w:hyperlink>
    </w:p>
    <w:p w14:paraId="3C55F95B" w14:textId="77777777" w:rsidR="008925FD" w:rsidRDefault="00AD16A0" w:rsidP="00ED704E">
      <w:pPr>
        <w:pStyle w:val="TOC3"/>
        <w:rPr>
          <w:rFonts w:asciiTheme="minorHAnsi" w:eastAsiaTheme="minorEastAsia" w:hAnsiTheme="minorHAnsi" w:cstheme="minorBidi"/>
          <w:sz w:val="22"/>
          <w:szCs w:val="22"/>
          <w:rtl/>
        </w:rPr>
      </w:pPr>
      <w:hyperlink w:anchor="_Toc139277105" w:history="1">
        <w:r w:rsidR="008925FD" w:rsidRPr="00A03D12">
          <w:rPr>
            <w:rStyle w:val="Hyperlink"/>
            <w:rtl/>
          </w:rPr>
          <w:t>בי' האגל"ט ברש"י דאוכל מפסולת מותר בנפה כתורי"ד דהוא תולדת מרקד ורק בקמח ולא גוש</w:t>
        </w:r>
      </w:hyperlink>
    </w:p>
    <w:p w14:paraId="494BE6F5" w14:textId="77777777" w:rsidR="008925FD" w:rsidRDefault="00AD16A0" w:rsidP="00ED704E">
      <w:pPr>
        <w:pStyle w:val="TOC3"/>
        <w:rPr>
          <w:rFonts w:asciiTheme="minorHAnsi" w:eastAsiaTheme="minorEastAsia" w:hAnsiTheme="minorHAnsi" w:cstheme="minorBidi"/>
          <w:sz w:val="22"/>
          <w:szCs w:val="22"/>
          <w:rtl/>
        </w:rPr>
      </w:pPr>
      <w:hyperlink w:anchor="_Toc139277106" w:history="1">
        <w:r w:rsidR="008925FD" w:rsidRPr="00A03D12">
          <w:rPr>
            <w:rStyle w:val="Hyperlink"/>
            <w:rtl/>
          </w:rPr>
          <w:t>בי' האגל"ט דאי המתברר הנותר למעלה אוכל מפסולת מותר בנפה כרמב"ן דאוכל מה שבורר</w:t>
        </w:r>
      </w:hyperlink>
    </w:p>
    <w:p w14:paraId="7FE8291B" w14:textId="77777777" w:rsidR="008925FD" w:rsidRDefault="00AD16A0" w:rsidP="008925FD">
      <w:pPr>
        <w:pStyle w:val="TOC2"/>
        <w:rPr>
          <w:rFonts w:cstheme="minorBidi"/>
          <w:b w:val="0"/>
          <w:bCs w:val="0"/>
          <w:sz w:val="22"/>
          <w:szCs w:val="22"/>
          <w:rtl/>
        </w:rPr>
      </w:pPr>
      <w:hyperlink w:anchor="_Toc139277107" w:history="1">
        <w:r w:rsidR="008925FD" w:rsidRPr="00A03D12">
          <w:rPr>
            <w:rStyle w:val="Hyperlink"/>
            <w:rtl/>
          </w:rPr>
          <w:t>בי' האחרונים דרש"י מודה לתוס' דבנפה חייב אף בלאלתר</w:t>
        </w:r>
      </w:hyperlink>
    </w:p>
    <w:p w14:paraId="087DE46D" w14:textId="77777777" w:rsidR="008925FD" w:rsidRDefault="00AD16A0" w:rsidP="00ED704E">
      <w:pPr>
        <w:pStyle w:val="TOC3"/>
        <w:rPr>
          <w:rFonts w:asciiTheme="minorHAnsi" w:eastAsiaTheme="minorEastAsia" w:hAnsiTheme="minorHAnsi" w:cstheme="minorBidi"/>
          <w:sz w:val="22"/>
          <w:szCs w:val="22"/>
          <w:rtl/>
        </w:rPr>
      </w:pPr>
      <w:hyperlink w:anchor="_Toc139277108" w:history="1">
        <w:r w:rsidR="008925FD" w:rsidRPr="00A03D12">
          <w:rPr>
            <w:rStyle w:val="Hyperlink"/>
            <w:rtl/>
          </w:rPr>
          <w:t>בי' הפנ"י והמגן אבות ברש"י דנפה וכברה לאלתר אסור וכן הוכיח הראש יוסף מהטור והב"ח</w:t>
        </w:r>
      </w:hyperlink>
    </w:p>
    <w:p w14:paraId="60B0E790" w14:textId="77777777" w:rsidR="008925FD" w:rsidRDefault="00AD16A0" w:rsidP="00ED704E">
      <w:pPr>
        <w:pStyle w:val="TOC3"/>
        <w:rPr>
          <w:rFonts w:asciiTheme="minorHAnsi" w:eastAsiaTheme="minorEastAsia" w:hAnsiTheme="minorHAnsi" w:cstheme="minorBidi"/>
          <w:sz w:val="22"/>
          <w:szCs w:val="22"/>
          <w:rtl/>
        </w:rPr>
      </w:pPr>
      <w:hyperlink w:anchor="_Toc139277109" w:history="1">
        <w:r w:rsidR="008925FD" w:rsidRPr="00A03D12">
          <w:rPr>
            <w:rStyle w:val="Hyperlink"/>
            <w:rtl/>
          </w:rPr>
          <w:t>בי' המגן אבות ברש"י דכל שהוא דרך ברירה אסור אף לאלתר בין ביד ובין בנפה וכברה</w:t>
        </w:r>
      </w:hyperlink>
    </w:p>
    <w:p w14:paraId="7DB06177" w14:textId="77777777" w:rsidR="008925FD" w:rsidRDefault="00AD16A0" w:rsidP="008925FD">
      <w:pPr>
        <w:pStyle w:val="TOC2"/>
        <w:rPr>
          <w:rFonts w:cstheme="minorBidi"/>
          <w:b w:val="0"/>
          <w:bCs w:val="0"/>
          <w:sz w:val="22"/>
          <w:szCs w:val="22"/>
          <w:rtl/>
        </w:rPr>
      </w:pPr>
      <w:hyperlink w:anchor="_Toc139277110" w:history="1">
        <w:r w:rsidR="008925FD" w:rsidRPr="00A03D12">
          <w:rPr>
            <w:rStyle w:val="Hyperlink"/>
            <w:rtl/>
          </w:rPr>
          <w:t>בי' הרי"ד דנפה לאלתר חייב דהוי מלאכה ולאח"ז אף ביד חייב</w:t>
        </w:r>
      </w:hyperlink>
    </w:p>
    <w:p w14:paraId="7298107B" w14:textId="77777777" w:rsidR="008925FD" w:rsidRDefault="00AD16A0" w:rsidP="00ED704E">
      <w:pPr>
        <w:pStyle w:val="TOC3"/>
        <w:rPr>
          <w:rFonts w:asciiTheme="minorHAnsi" w:eastAsiaTheme="minorEastAsia" w:hAnsiTheme="minorHAnsi" w:cstheme="minorBidi"/>
          <w:sz w:val="22"/>
          <w:szCs w:val="22"/>
          <w:rtl/>
        </w:rPr>
      </w:pPr>
      <w:hyperlink w:anchor="_Toc139277111" w:history="1">
        <w:r w:rsidR="008925FD" w:rsidRPr="00A03D12">
          <w:rPr>
            <w:rStyle w:val="Hyperlink"/>
            <w:rtl/>
          </w:rPr>
          <w:t>בי' הרי"ד דאביי העמיד את הברייתא ביד ולא בנפה דהא בנפה לאלתר חייב כאופה דל"ה שינוי</w:t>
        </w:r>
      </w:hyperlink>
    </w:p>
    <w:p w14:paraId="4EBD416F" w14:textId="77777777" w:rsidR="008925FD" w:rsidRDefault="00AD16A0" w:rsidP="00ED704E">
      <w:pPr>
        <w:pStyle w:val="TOC3"/>
        <w:rPr>
          <w:rFonts w:asciiTheme="minorHAnsi" w:eastAsiaTheme="minorEastAsia" w:hAnsiTheme="minorHAnsi" w:cstheme="minorBidi"/>
          <w:sz w:val="22"/>
          <w:szCs w:val="22"/>
          <w:rtl/>
        </w:rPr>
      </w:pPr>
      <w:hyperlink w:anchor="_Toc139277112" w:history="1">
        <w:r w:rsidR="008925FD" w:rsidRPr="00A03D12">
          <w:rPr>
            <w:rStyle w:val="Hyperlink"/>
            <w:rtl/>
          </w:rPr>
          <w:t>בי' הרי"ד דביד הוי שינוי רק לאלתר אבל לאח"ז הוא דרך ברירה דבדבר מועט כך הדרך להצניע</w:t>
        </w:r>
      </w:hyperlink>
    </w:p>
    <w:p w14:paraId="4D8417D0" w14:textId="77777777" w:rsidR="008925FD" w:rsidRDefault="00AD16A0" w:rsidP="00ED704E">
      <w:pPr>
        <w:pStyle w:val="TOC3"/>
        <w:rPr>
          <w:rFonts w:asciiTheme="minorHAnsi" w:eastAsiaTheme="minorEastAsia" w:hAnsiTheme="minorHAnsi" w:cstheme="minorBidi"/>
          <w:sz w:val="22"/>
          <w:szCs w:val="22"/>
          <w:rtl/>
        </w:rPr>
      </w:pPr>
      <w:hyperlink w:anchor="_Toc139277113" w:history="1">
        <w:r w:rsidR="008925FD" w:rsidRPr="00A03D12">
          <w:rPr>
            <w:rStyle w:val="Hyperlink"/>
            <w:rtl/>
          </w:rPr>
          <w:t>בי' הרי"ד דמוכח בירושלמי דלאח"ז הוי דרך ברירה אף ביד וכן מוכח בגמ' בביצה</w:t>
        </w:r>
      </w:hyperlink>
    </w:p>
    <w:p w14:paraId="5F927442" w14:textId="77777777" w:rsidR="008925FD" w:rsidRDefault="00AD16A0" w:rsidP="008925FD">
      <w:pPr>
        <w:pStyle w:val="TOC1"/>
        <w:rPr>
          <w:rFonts w:asciiTheme="minorHAnsi" w:hAnsiTheme="minorHAnsi" w:cstheme="minorBidi"/>
          <w:b w:val="0"/>
          <w:bCs w:val="0"/>
          <w:caps w:val="0"/>
          <w:sz w:val="22"/>
          <w:szCs w:val="22"/>
          <w:rtl/>
        </w:rPr>
      </w:pPr>
      <w:hyperlink w:anchor="_Toc139277114" w:history="1">
        <w:r w:rsidR="008925FD" w:rsidRPr="00A03D12">
          <w:rPr>
            <w:rStyle w:val="Hyperlink"/>
            <w:rtl/>
          </w:rPr>
          <w:t>ד' הרשב"א דיד ולאלתר אף בפסולת</w:t>
        </w:r>
      </w:hyperlink>
    </w:p>
    <w:p w14:paraId="1082DED2" w14:textId="77777777" w:rsidR="008925FD" w:rsidRDefault="00AD16A0" w:rsidP="008925FD">
      <w:pPr>
        <w:pStyle w:val="TOC2"/>
        <w:rPr>
          <w:rFonts w:cstheme="minorBidi"/>
          <w:b w:val="0"/>
          <w:bCs w:val="0"/>
          <w:sz w:val="22"/>
          <w:szCs w:val="22"/>
          <w:rtl/>
        </w:rPr>
      </w:pPr>
      <w:hyperlink w:anchor="_Toc139277115" w:history="1">
        <w:r w:rsidR="008925FD" w:rsidRPr="00A03D12">
          <w:rPr>
            <w:rStyle w:val="Hyperlink"/>
            <w:rtl/>
          </w:rPr>
          <w:t>בד' הרשב"א דאין חילוק בין אוכל מתוך פסולת לפסולת מאוכל</w:t>
        </w:r>
      </w:hyperlink>
    </w:p>
    <w:p w14:paraId="07AAE5C6" w14:textId="77777777" w:rsidR="008925FD" w:rsidRDefault="00AD16A0" w:rsidP="00ED704E">
      <w:pPr>
        <w:pStyle w:val="TOC3"/>
        <w:rPr>
          <w:rFonts w:asciiTheme="minorHAnsi" w:eastAsiaTheme="minorEastAsia" w:hAnsiTheme="minorHAnsi" w:cstheme="minorBidi"/>
          <w:sz w:val="22"/>
          <w:szCs w:val="22"/>
          <w:rtl/>
        </w:rPr>
      </w:pPr>
      <w:hyperlink w:anchor="_Toc139277116" w:history="1">
        <w:r w:rsidR="008925FD" w:rsidRPr="00A03D12">
          <w:rPr>
            <w:rStyle w:val="Hyperlink"/>
            <w:rtl/>
          </w:rPr>
          <w:t>בי' הרשב"א דבנפה בורר גמור ובקנון ותמחוי שבות בין באוכל מתוך פסולת ובין בפסולת מאוכל</w:t>
        </w:r>
      </w:hyperlink>
    </w:p>
    <w:p w14:paraId="423D9B58" w14:textId="77777777" w:rsidR="008925FD" w:rsidRDefault="00AD16A0" w:rsidP="00ED704E">
      <w:pPr>
        <w:pStyle w:val="TOC3"/>
        <w:rPr>
          <w:rFonts w:asciiTheme="minorHAnsi" w:eastAsiaTheme="minorEastAsia" w:hAnsiTheme="minorHAnsi" w:cstheme="minorBidi"/>
          <w:sz w:val="22"/>
          <w:szCs w:val="22"/>
          <w:rtl/>
        </w:rPr>
      </w:pPr>
      <w:hyperlink w:anchor="_Toc139277117" w:history="1">
        <w:r w:rsidR="008925FD" w:rsidRPr="00A03D12">
          <w:rPr>
            <w:rStyle w:val="Hyperlink"/>
            <w:rtl/>
          </w:rPr>
          <w:t>בי' הרשב"א דכל ברירה אסורה בשבת אף בקנון ותמחוי לאלתר ובב' מיני פירות מותר רק ביד</w:t>
        </w:r>
      </w:hyperlink>
    </w:p>
    <w:p w14:paraId="507D6492" w14:textId="77777777" w:rsidR="008925FD" w:rsidRDefault="00AD16A0" w:rsidP="00ED704E">
      <w:pPr>
        <w:pStyle w:val="TOC3"/>
        <w:rPr>
          <w:rFonts w:asciiTheme="minorHAnsi" w:eastAsiaTheme="minorEastAsia" w:hAnsiTheme="minorHAnsi" w:cstheme="minorBidi"/>
          <w:sz w:val="22"/>
          <w:szCs w:val="22"/>
          <w:rtl/>
        </w:rPr>
      </w:pPr>
      <w:hyperlink w:anchor="_Toc139277118" w:history="1">
        <w:r w:rsidR="008925FD" w:rsidRPr="00A03D12">
          <w:rPr>
            <w:rStyle w:val="Hyperlink"/>
            <w:rtl/>
          </w:rPr>
          <w:t>בי' הרשב"א דבשבת לאחר זמן דכבורר לאוצר חייב חטאת בשבת ולכן אסור אף ביו"ט</w:t>
        </w:r>
      </w:hyperlink>
    </w:p>
    <w:p w14:paraId="75881A90" w14:textId="77777777" w:rsidR="008925FD" w:rsidRDefault="00AD16A0" w:rsidP="00ED704E">
      <w:pPr>
        <w:pStyle w:val="TOC3"/>
        <w:rPr>
          <w:rFonts w:asciiTheme="minorHAnsi" w:eastAsiaTheme="minorEastAsia" w:hAnsiTheme="minorHAnsi" w:cstheme="minorBidi"/>
          <w:sz w:val="22"/>
          <w:szCs w:val="22"/>
          <w:rtl/>
        </w:rPr>
      </w:pPr>
      <w:hyperlink w:anchor="_Toc139277119" w:history="1">
        <w:r w:rsidR="008925FD" w:rsidRPr="00A03D12">
          <w:rPr>
            <w:rStyle w:val="Hyperlink"/>
            <w:rtl/>
          </w:rPr>
          <w:t>בי' הרשב"א בשם י"א דצרור שנפל לקמח אסור ליטלו ובי' הרשב"א דביד הוא כלאח"י ומותר</w:t>
        </w:r>
      </w:hyperlink>
    </w:p>
    <w:p w14:paraId="01700B3D" w14:textId="77777777" w:rsidR="008925FD" w:rsidRDefault="00AD16A0" w:rsidP="00ED704E">
      <w:pPr>
        <w:pStyle w:val="TOC3"/>
        <w:rPr>
          <w:rFonts w:asciiTheme="minorHAnsi" w:eastAsiaTheme="minorEastAsia" w:hAnsiTheme="minorHAnsi" w:cstheme="minorBidi"/>
          <w:sz w:val="22"/>
          <w:szCs w:val="22"/>
          <w:rtl/>
        </w:rPr>
      </w:pPr>
      <w:hyperlink w:anchor="_Toc139277120" w:history="1">
        <w:r w:rsidR="008925FD" w:rsidRPr="00A03D12">
          <w:rPr>
            <w:rStyle w:val="Hyperlink"/>
            <w:rtl/>
          </w:rPr>
          <w:t>בי' המ"מ ברשב"א דבחיוב חטאת בשבת אסור ביו"ט וקו' המ"מ דבפסולת מאוכל אף ביד חייב</w:t>
        </w:r>
      </w:hyperlink>
    </w:p>
    <w:p w14:paraId="426BDFA1" w14:textId="77777777" w:rsidR="008925FD" w:rsidRDefault="00AD16A0" w:rsidP="00ED704E">
      <w:pPr>
        <w:pStyle w:val="TOC3"/>
        <w:rPr>
          <w:rFonts w:asciiTheme="minorHAnsi" w:eastAsiaTheme="minorEastAsia" w:hAnsiTheme="minorHAnsi" w:cstheme="minorBidi"/>
          <w:sz w:val="22"/>
          <w:szCs w:val="22"/>
          <w:rtl/>
        </w:rPr>
      </w:pPr>
      <w:hyperlink w:anchor="_Toc139277121" w:history="1">
        <w:r w:rsidR="008925FD" w:rsidRPr="00A03D12">
          <w:rPr>
            <w:rStyle w:val="Hyperlink"/>
            <w:rtl/>
          </w:rPr>
          <w:t>בי' הנשמ"א דמוכח ברשב"א דס"ל דאף בפסולת מתוך אוכל חיוב חטאת הוא רק בכלי ולא ביד</w:t>
        </w:r>
      </w:hyperlink>
    </w:p>
    <w:p w14:paraId="3F6EED5E" w14:textId="77777777" w:rsidR="008925FD" w:rsidRDefault="00AD16A0" w:rsidP="00ED704E">
      <w:pPr>
        <w:pStyle w:val="TOC3"/>
        <w:rPr>
          <w:rFonts w:asciiTheme="minorHAnsi" w:eastAsiaTheme="minorEastAsia" w:hAnsiTheme="minorHAnsi" w:cstheme="minorBidi"/>
          <w:sz w:val="22"/>
          <w:szCs w:val="22"/>
          <w:rtl/>
        </w:rPr>
      </w:pPr>
      <w:hyperlink w:anchor="_Toc139277122" w:history="1">
        <w:r w:rsidR="008925FD" w:rsidRPr="00A03D12">
          <w:rPr>
            <w:rStyle w:val="Hyperlink"/>
            <w:rtl/>
          </w:rPr>
          <w:t>בי' הנשמ"א ברשב"א דמוכח בביצה דפסולת מאוכל חייב מדאו' רק בכלי ולאח"ז וכ"כ הרמ"ך</w:t>
        </w:r>
      </w:hyperlink>
    </w:p>
    <w:p w14:paraId="1D951833" w14:textId="77777777" w:rsidR="008925FD" w:rsidRDefault="00AD16A0" w:rsidP="00ED704E">
      <w:pPr>
        <w:pStyle w:val="TOC3"/>
        <w:rPr>
          <w:rFonts w:asciiTheme="minorHAnsi" w:eastAsiaTheme="minorEastAsia" w:hAnsiTheme="minorHAnsi" w:cstheme="minorBidi"/>
          <w:sz w:val="22"/>
          <w:szCs w:val="22"/>
          <w:rtl/>
        </w:rPr>
      </w:pPr>
      <w:hyperlink w:anchor="_Toc139277123" w:history="1">
        <w:r w:rsidR="008925FD" w:rsidRPr="00A03D12">
          <w:rPr>
            <w:rStyle w:val="Hyperlink"/>
            <w:rtl/>
          </w:rPr>
          <w:t>בי' האגל"ט ברשב"א דאין חילוק בין אוכל מתוך פסולת לפסולת מתוך אוכל דמותר ביד לאלתר</w:t>
        </w:r>
      </w:hyperlink>
    </w:p>
    <w:p w14:paraId="7BCE2953" w14:textId="77777777" w:rsidR="008925FD" w:rsidRDefault="00AD16A0" w:rsidP="00ED704E">
      <w:pPr>
        <w:pStyle w:val="TOC3"/>
        <w:rPr>
          <w:rFonts w:asciiTheme="minorHAnsi" w:eastAsiaTheme="minorEastAsia" w:hAnsiTheme="minorHAnsi" w:cstheme="minorBidi"/>
          <w:sz w:val="22"/>
          <w:szCs w:val="22"/>
          <w:rtl/>
        </w:rPr>
      </w:pPr>
      <w:hyperlink w:anchor="_Toc139277124" w:history="1">
        <w:r w:rsidR="008925FD" w:rsidRPr="00A03D12">
          <w:rPr>
            <w:rStyle w:val="Hyperlink"/>
            <w:rtl/>
          </w:rPr>
          <w:t>בי' האגל"ט בקו' המ"מ מוכח דברב המנונא דחייב בפסולת מתוך אוכל ביד ולאתר דלא כרשב"א</w:t>
        </w:r>
      </w:hyperlink>
    </w:p>
    <w:p w14:paraId="2F145C53" w14:textId="77777777" w:rsidR="008925FD" w:rsidRDefault="00AD16A0" w:rsidP="00ED704E">
      <w:pPr>
        <w:pStyle w:val="TOC3"/>
        <w:rPr>
          <w:rFonts w:asciiTheme="minorHAnsi" w:eastAsiaTheme="minorEastAsia" w:hAnsiTheme="minorHAnsi" w:cstheme="minorBidi"/>
          <w:sz w:val="22"/>
          <w:szCs w:val="22"/>
          <w:rtl/>
        </w:rPr>
      </w:pPr>
      <w:hyperlink w:anchor="_Toc139277125" w:history="1">
        <w:r w:rsidR="008925FD" w:rsidRPr="00A03D12">
          <w:rPr>
            <w:rStyle w:val="Hyperlink"/>
            <w:rtl/>
          </w:rPr>
          <w:t>תי' האגל"ט דרב המנונא איירי בדרך ברירה ביד והרשב"א מתיר באין דרך בפסולת מאוכל</w:t>
        </w:r>
      </w:hyperlink>
    </w:p>
    <w:p w14:paraId="3B26A9B4" w14:textId="77777777" w:rsidR="008925FD" w:rsidRDefault="00AD16A0" w:rsidP="008925FD">
      <w:pPr>
        <w:pStyle w:val="TOC1"/>
        <w:rPr>
          <w:rFonts w:asciiTheme="minorHAnsi" w:hAnsiTheme="minorHAnsi" w:cstheme="minorBidi"/>
          <w:b w:val="0"/>
          <w:bCs w:val="0"/>
          <w:caps w:val="0"/>
          <w:sz w:val="22"/>
          <w:szCs w:val="22"/>
          <w:rtl/>
        </w:rPr>
      </w:pPr>
      <w:hyperlink w:anchor="_Toc139277126" w:history="1">
        <w:r w:rsidR="008925FD" w:rsidRPr="00A03D12">
          <w:rPr>
            <w:rStyle w:val="Hyperlink"/>
            <w:rtl/>
          </w:rPr>
          <w:t>בחיוב פסולת מאוכל ביד ובקנון ובנפה</w:t>
        </w:r>
      </w:hyperlink>
    </w:p>
    <w:p w14:paraId="55493827" w14:textId="77777777" w:rsidR="008925FD" w:rsidRDefault="00AD16A0" w:rsidP="008925FD">
      <w:pPr>
        <w:pStyle w:val="TOC2"/>
        <w:rPr>
          <w:rFonts w:cstheme="minorBidi"/>
          <w:b w:val="0"/>
          <w:bCs w:val="0"/>
          <w:sz w:val="22"/>
          <w:szCs w:val="22"/>
          <w:rtl/>
        </w:rPr>
      </w:pPr>
      <w:hyperlink w:anchor="_Toc139277127" w:history="1">
        <w:r w:rsidR="008925FD" w:rsidRPr="00A03D12">
          <w:rPr>
            <w:rStyle w:val="Hyperlink"/>
            <w:rtl/>
          </w:rPr>
          <w:t>בי' האגל"ט ברש"י דפסולת מאוכל אף ביד ולאלתר חייב</w:t>
        </w:r>
      </w:hyperlink>
    </w:p>
    <w:p w14:paraId="74FC213B" w14:textId="77777777" w:rsidR="008925FD" w:rsidRDefault="00AD16A0" w:rsidP="00ED704E">
      <w:pPr>
        <w:pStyle w:val="TOC3"/>
        <w:rPr>
          <w:rFonts w:asciiTheme="minorHAnsi" w:eastAsiaTheme="minorEastAsia" w:hAnsiTheme="minorHAnsi" w:cstheme="minorBidi"/>
          <w:sz w:val="22"/>
          <w:szCs w:val="22"/>
          <w:rtl/>
        </w:rPr>
      </w:pPr>
      <w:hyperlink w:anchor="_Toc139277128" w:history="1">
        <w:r w:rsidR="008925FD" w:rsidRPr="00A03D12">
          <w:rPr>
            <w:rStyle w:val="Hyperlink"/>
            <w:rtl/>
          </w:rPr>
          <w:t>בי' רש"י במתני' דמלאכת בורר כשבורר את הפסולת בידיו ובי' האגל"ט דהוא בפסולת מאוכל</w:t>
        </w:r>
      </w:hyperlink>
    </w:p>
    <w:p w14:paraId="0793D850" w14:textId="77777777" w:rsidR="008925FD" w:rsidRDefault="00AD16A0" w:rsidP="00ED704E">
      <w:pPr>
        <w:pStyle w:val="TOC3"/>
        <w:rPr>
          <w:rFonts w:asciiTheme="minorHAnsi" w:eastAsiaTheme="minorEastAsia" w:hAnsiTheme="minorHAnsi" w:cstheme="minorBidi"/>
          <w:sz w:val="22"/>
          <w:szCs w:val="22"/>
          <w:rtl/>
        </w:rPr>
      </w:pPr>
      <w:hyperlink w:anchor="_Toc139277129" w:history="1">
        <w:r w:rsidR="008925FD" w:rsidRPr="00A03D12">
          <w:rPr>
            <w:rStyle w:val="Hyperlink"/>
            <w:rtl/>
          </w:rPr>
          <w:t>בי' האגל"ט ברש"י דבפסולת מאוכל לעולם חייב אף ביד דכן הוא דרך ברירה</w:t>
        </w:r>
      </w:hyperlink>
    </w:p>
    <w:p w14:paraId="4DDE1C8D" w14:textId="77777777" w:rsidR="008925FD" w:rsidRDefault="00AD16A0" w:rsidP="00ED704E">
      <w:pPr>
        <w:pStyle w:val="TOC3"/>
        <w:rPr>
          <w:rFonts w:asciiTheme="minorHAnsi" w:eastAsiaTheme="minorEastAsia" w:hAnsiTheme="minorHAnsi" w:cstheme="minorBidi"/>
          <w:sz w:val="22"/>
          <w:szCs w:val="22"/>
          <w:rtl/>
        </w:rPr>
      </w:pPr>
      <w:hyperlink w:anchor="_Toc139277130" w:history="1">
        <w:r w:rsidR="008925FD" w:rsidRPr="00A03D12">
          <w:rPr>
            <w:rStyle w:val="Hyperlink"/>
            <w:rtl/>
          </w:rPr>
          <w:t>בי' האגל"ט ברש"י דפסולת מתוך אוכל חייב אף ביד ואף לאלתר כדמוכח מרב ביבי</w:t>
        </w:r>
      </w:hyperlink>
    </w:p>
    <w:p w14:paraId="5CFA1C7F" w14:textId="77777777" w:rsidR="008925FD" w:rsidRDefault="00AD16A0" w:rsidP="008925FD">
      <w:pPr>
        <w:pStyle w:val="TOC2"/>
        <w:rPr>
          <w:rFonts w:cstheme="minorBidi"/>
          <w:b w:val="0"/>
          <w:bCs w:val="0"/>
          <w:sz w:val="22"/>
          <w:szCs w:val="22"/>
          <w:rtl/>
        </w:rPr>
      </w:pPr>
      <w:hyperlink w:anchor="_Toc139277131" w:history="1">
        <w:r w:rsidR="008925FD" w:rsidRPr="00A03D12">
          <w:rPr>
            <w:rStyle w:val="Hyperlink"/>
            <w:rtl/>
          </w:rPr>
          <w:t>בי' האגל"ט דמוכח בתוס' דפסולת מאוכל ביד ולאלתר מותר</w:t>
        </w:r>
      </w:hyperlink>
    </w:p>
    <w:p w14:paraId="022414B9" w14:textId="77777777" w:rsidR="008925FD" w:rsidRDefault="00AD16A0" w:rsidP="00ED704E">
      <w:pPr>
        <w:pStyle w:val="TOC3"/>
        <w:rPr>
          <w:rFonts w:asciiTheme="minorHAnsi" w:eastAsiaTheme="minorEastAsia" w:hAnsiTheme="minorHAnsi" w:cstheme="minorBidi"/>
          <w:sz w:val="22"/>
          <w:szCs w:val="22"/>
          <w:rtl/>
        </w:rPr>
      </w:pPr>
      <w:hyperlink w:anchor="_Toc139277132" w:history="1">
        <w:r w:rsidR="008925FD" w:rsidRPr="00A03D12">
          <w:rPr>
            <w:rStyle w:val="Hyperlink"/>
            <w:rtl/>
          </w:rPr>
          <w:t>בי' האגל"ט בתוס' דפסולת מתוך אוכל לאלתר וביד מותר דלא כר"ח ובקנון אסור ובנפה חייב</w:t>
        </w:r>
      </w:hyperlink>
    </w:p>
    <w:p w14:paraId="3D3BB5DA" w14:textId="77777777" w:rsidR="008925FD" w:rsidRDefault="00AD16A0" w:rsidP="00ED704E">
      <w:pPr>
        <w:pStyle w:val="TOC3"/>
        <w:rPr>
          <w:rFonts w:asciiTheme="minorHAnsi" w:eastAsiaTheme="minorEastAsia" w:hAnsiTheme="minorHAnsi" w:cstheme="minorBidi"/>
          <w:sz w:val="22"/>
          <w:szCs w:val="22"/>
          <w:rtl/>
        </w:rPr>
      </w:pPr>
      <w:hyperlink w:anchor="_Toc139277133" w:history="1">
        <w:r w:rsidR="008925FD" w:rsidRPr="00A03D12">
          <w:rPr>
            <w:rStyle w:val="Hyperlink"/>
            <w:rtl/>
          </w:rPr>
          <w:t>בי' האגל"ט דתוס' לא ס"ל כר"ח דהברייתא רק באוכל מפסולת אלא אף פסולת מאוכל מותר</w:t>
        </w:r>
      </w:hyperlink>
    </w:p>
    <w:p w14:paraId="36BC5253" w14:textId="77777777" w:rsidR="008925FD" w:rsidRDefault="00AD16A0" w:rsidP="00ED704E">
      <w:pPr>
        <w:pStyle w:val="TOC3"/>
        <w:rPr>
          <w:rFonts w:asciiTheme="minorHAnsi" w:eastAsiaTheme="minorEastAsia" w:hAnsiTheme="minorHAnsi" w:cstheme="minorBidi"/>
          <w:sz w:val="22"/>
          <w:szCs w:val="22"/>
          <w:rtl/>
        </w:rPr>
      </w:pPr>
      <w:hyperlink w:anchor="_Toc139277134" w:history="1">
        <w:r w:rsidR="008925FD" w:rsidRPr="00A03D12">
          <w:rPr>
            <w:rStyle w:val="Hyperlink"/>
            <w:rtl/>
          </w:rPr>
          <w:t>בי' האגל"ט דמוכח בתוס' דהברייתא התירה אף בפסולת מתוך אוכל וכן ביארו בדעת רב ביבי</w:t>
        </w:r>
      </w:hyperlink>
    </w:p>
    <w:p w14:paraId="71AF1ABB" w14:textId="77777777" w:rsidR="008925FD" w:rsidRDefault="00AD16A0" w:rsidP="00ED704E">
      <w:pPr>
        <w:pStyle w:val="TOC3"/>
        <w:rPr>
          <w:rFonts w:asciiTheme="minorHAnsi" w:eastAsiaTheme="minorEastAsia" w:hAnsiTheme="minorHAnsi" w:cstheme="minorBidi"/>
          <w:sz w:val="22"/>
          <w:szCs w:val="22"/>
          <w:rtl/>
        </w:rPr>
      </w:pPr>
      <w:hyperlink w:anchor="_Toc139277135" w:history="1">
        <w:r w:rsidR="008925FD" w:rsidRPr="00A03D12">
          <w:rPr>
            <w:rStyle w:val="Hyperlink"/>
            <w:rtl/>
          </w:rPr>
          <w:t>בי' האגל"ט בתוס' דלמסקנא נפשט הספק ברב ביבי בפסולת מתוך אוכל ביד ולאלתר דמותר</w:t>
        </w:r>
      </w:hyperlink>
    </w:p>
    <w:p w14:paraId="65A17D4E" w14:textId="77777777" w:rsidR="008925FD" w:rsidRDefault="00AD16A0" w:rsidP="008925FD">
      <w:pPr>
        <w:pStyle w:val="TOC2"/>
        <w:rPr>
          <w:rFonts w:cstheme="minorBidi"/>
          <w:b w:val="0"/>
          <w:bCs w:val="0"/>
          <w:sz w:val="22"/>
          <w:szCs w:val="22"/>
          <w:rtl/>
        </w:rPr>
      </w:pPr>
      <w:hyperlink w:anchor="_Toc139277136" w:history="1">
        <w:r w:rsidR="008925FD" w:rsidRPr="00A03D12">
          <w:rPr>
            <w:rStyle w:val="Hyperlink"/>
            <w:rtl/>
          </w:rPr>
          <w:t>בי' ר"ח והרמב"ם דבפסולת מתוך אוכל חייב אף ביד ולאלתר</w:t>
        </w:r>
      </w:hyperlink>
    </w:p>
    <w:p w14:paraId="7F50FF76" w14:textId="77777777" w:rsidR="008925FD" w:rsidRDefault="00AD16A0" w:rsidP="00ED704E">
      <w:pPr>
        <w:pStyle w:val="TOC3"/>
        <w:rPr>
          <w:rFonts w:asciiTheme="minorHAnsi" w:eastAsiaTheme="minorEastAsia" w:hAnsiTheme="minorHAnsi" w:cstheme="minorBidi"/>
          <w:sz w:val="22"/>
          <w:szCs w:val="22"/>
          <w:rtl/>
        </w:rPr>
      </w:pPr>
      <w:hyperlink w:anchor="_Toc139277137" w:history="1">
        <w:r w:rsidR="008925FD" w:rsidRPr="00A03D12">
          <w:rPr>
            <w:rStyle w:val="Hyperlink"/>
            <w:rtl/>
          </w:rPr>
          <w:t>בי' ר"ח דכל ההיתר ביד ולאלתר הוא באוכל מתוך פסולת אבל פסולת מתוך אוכל לעולם אסור</w:t>
        </w:r>
      </w:hyperlink>
    </w:p>
    <w:p w14:paraId="616541CF" w14:textId="77777777" w:rsidR="008925FD" w:rsidRDefault="00AD16A0" w:rsidP="00ED704E">
      <w:pPr>
        <w:pStyle w:val="TOC3"/>
        <w:rPr>
          <w:rFonts w:asciiTheme="minorHAnsi" w:eastAsiaTheme="minorEastAsia" w:hAnsiTheme="minorHAnsi" w:cstheme="minorBidi"/>
          <w:sz w:val="22"/>
          <w:szCs w:val="22"/>
          <w:rtl/>
        </w:rPr>
      </w:pPr>
      <w:hyperlink w:anchor="_Toc139277138" w:history="1">
        <w:r w:rsidR="008925FD" w:rsidRPr="00A03D12">
          <w:rPr>
            <w:rStyle w:val="Hyperlink"/>
            <w:rtl/>
          </w:rPr>
          <w:t>בי' הרמב"ם דפסולת מתוך אוכל חייב אף ביד ובבורר לאח"ז חייב אף באוכל מתוך פסולת ביד</w:t>
        </w:r>
      </w:hyperlink>
    </w:p>
    <w:p w14:paraId="049A8A6E" w14:textId="77777777" w:rsidR="008925FD" w:rsidRDefault="00AD16A0" w:rsidP="00ED704E">
      <w:pPr>
        <w:pStyle w:val="TOC3"/>
        <w:rPr>
          <w:rFonts w:asciiTheme="minorHAnsi" w:eastAsiaTheme="minorEastAsia" w:hAnsiTheme="minorHAnsi" w:cstheme="minorBidi"/>
          <w:sz w:val="22"/>
          <w:szCs w:val="22"/>
          <w:rtl/>
        </w:rPr>
      </w:pPr>
      <w:hyperlink w:anchor="_Toc139277139" w:history="1">
        <w:r w:rsidR="008925FD" w:rsidRPr="00A03D12">
          <w:rPr>
            <w:rStyle w:val="Hyperlink"/>
            <w:rtl/>
          </w:rPr>
          <w:t>בי' המ"מ ברמב"ם דס"ל כר"ח דפסולת מתוך אוכל אסור וכ"כ הרי"ף וקו' הביה"ל דל"מ כן ברי"ף</w:t>
        </w:r>
      </w:hyperlink>
    </w:p>
    <w:p w14:paraId="37BD447A" w14:textId="77777777" w:rsidR="008925FD" w:rsidRDefault="00AD16A0" w:rsidP="00ED704E">
      <w:pPr>
        <w:pStyle w:val="TOC3"/>
        <w:rPr>
          <w:rFonts w:asciiTheme="minorHAnsi" w:eastAsiaTheme="minorEastAsia" w:hAnsiTheme="minorHAnsi" w:cstheme="minorBidi"/>
          <w:sz w:val="22"/>
          <w:szCs w:val="22"/>
          <w:rtl/>
        </w:rPr>
      </w:pPr>
      <w:hyperlink w:anchor="_Toc139277140" w:history="1">
        <w:r w:rsidR="008925FD" w:rsidRPr="00A03D12">
          <w:rPr>
            <w:rStyle w:val="Hyperlink"/>
            <w:rtl/>
          </w:rPr>
          <w:t>קו' הרמ"ך על הרמב"ם דמנלן להחמיר בשבת יותר מיו"ט ולחייב בפסולת מתוך אוכל בקנון</w:t>
        </w:r>
      </w:hyperlink>
    </w:p>
    <w:p w14:paraId="72F8BDBB" w14:textId="77777777" w:rsidR="008925FD" w:rsidRDefault="00AD16A0" w:rsidP="008925FD">
      <w:pPr>
        <w:pStyle w:val="TOC2"/>
        <w:rPr>
          <w:rFonts w:cstheme="minorBidi"/>
          <w:b w:val="0"/>
          <w:bCs w:val="0"/>
          <w:sz w:val="22"/>
          <w:szCs w:val="22"/>
          <w:rtl/>
        </w:rPr>
      </w:pPr>
      <w:hyperlink w:anchor="_Toc139277141" w:history="1">
        <w:r w:rsidR="008925FD" w:rsidRPr="00A03D12">
          <w:rPr>
            <w:rStyle w:val="Hyperlink"/>
            <w:rtl/>
          </w:rPr>
          <w:t>ד' הרי"ד וריב"ם ור"א מלוניל דפסולת מאוכל לאלתר ביד מותר</w:t>
        </w:r>
      </w:hyperlink>
    </w:p>
    <w:p w14:paraId="4B939EBA" w14:textId="77777777" w:rsidR="008925FD" w:rsidRDefault="00AD16A0" w:rsidP="00ED704E">
      <w:pPr>
        <w:pStyle w:val="TOC3"/>
        <w:rPr>
          <w:rFonts w:asciiTheme="minorHAnsi" w:eastAsiaTheme="minorEastAsia" w:hAnsiTheme="minorHAnsi" w:cstheme="minorBidi"/>
          <w:sz w:val="22"/>
          <w:szCs w:val="22"/>
          <w:rtl/>
        </w:rPr>
      </w:pPr>
      <w:hyperlink w:anchor="_Toc139277142" w:history="1">
        <w:r w:rsidR="008925FD" w:rsidRPr="00A03D12">
          <w:rPr>
            <w:rStyle w:val="Hyperlink"/>
            <w:rtl/>
          </w:rPr>
          <w:t>בי' הרי"ד דנח' רק בברייתא דלרב המנונא באוכל מפסולת ולרב יוסף אף להיפך ולאביי לאלתר</w:t>
        </w:r>
      </w:hyperlink>
    </w:p>
    <w:p w14:paraId="793D1FB5" w14:textId="77777777" w:rsidR="008925FD" w:rsidRDefault="00AD16A0" w:rsidP="00ED704E">
      <w:pPr>
        <w:pStyle w:val="TOC3"/>
        <w:rPr>
          <w:rFonts w:asciiTheme="minorHAnsi" w:eastAsiaTheme="minorEastAsia" w:hAnsiTheme="minorHAnsi" w:cstheme="minorBidi"/>
          <w:sz w:val="22"/>
          <w:szCs w:val="22"/>
          <w:rtl/>
        </w:rPr>
      </w:pPr>
      <w:hyperlink w:anchor="_Toc139277143" w:history="1">
        <w:r w:rsidR="008925FD" w:rsidRPr="00A03D12">
          <w:rPr>
            <w:rStyle w:val="Hyperlink"/>
            <w:rtl/>
          </w:rPr>
          <w:t>בי' הרי"ד באביי דפסולת מאוכל לאלתר ביד מותר ובקנון אסור ולאח"ז רק בפסולת מאוכל חייב</w:t>
        </w:r>
      </w:hyperlink>
    </w:p>
    <w:p w14:paraId="38F6504D" w14:textId="77777777" w:rsidR="008925FD" w:rsidRDefault="00AD16A0" w:rsidP="00ED704E">
      <w:pPr>
        <w:pStyle w:val="TOC3"/>
        <w:rPr>
          <w:rFonts w:asciiTheme="minorHAnsi" w:eastAsiaTheme="minorEastAsia" w:hAnsiTheme="minorHAnsi" w:cstheme="minorBidi"/>
          <w:sz w:val="22"/>
          <w:szCs w:val="22"/>
          <w:rtl/>
        </w:rPr>
      </w:pPr>
      <w:hyperlink w:anchor="_Toc139277144" w:history="1">
        <w:r w:rsidR="008925FD" w:rsidRPr="00A03D12">
          <w:rPr>
            <w:rStyle w:val="Hyperlink"/>
            <w:rtl/>
          </w:rPr>
          <w:t>הוכחת הרי"ד מהגמ' בביצה דאביי מתיר אף בפסולת מתוך אוכל ובי' הריב"ם דכן קיי"ל כאביי</w:t>
        </w:r>
      </w:hyperlink>
    </w:p>
    <w:p w14:paraId="5C736307" w14:textId="77777777" w:rsidR="008925FD" w:rsidRDefault="00AD16A0" w:rsidP="00ED704E">
      <w:pPr>
        <w:pStyle w:val="TOC3"/>
        <w:rPr>
          <w:rFonts w:asciiTheme="minorHAnsi" w:eastAsiaTheme="minorEastAsia" w:hAnsiTheme="minorHAnsi" w:cstheme="minorBidi"/>
          <w:sz w:val="22"/>
          <w:szCs w:val="22"/>
          <w:rtl/>
        </w:rPr>
      </w:pPr>
      <w:hyperlink w:anchor="_Toc139277145" w:history="1">
        <w:r w:rsidR="008925FD" w:rsidRPr="00A03D12">
          <w:rPr>
            <w:rStyle w:val="Hyperlink"/>
            <w:rtl/>
          </w:rPr>
          <w:t>בי' ההשלמה והבתים בשם הר"א מלוניל דפסולת מ</w:t>
        </w:r>
        <w:r w:rsidR="008925FD" w:rsidRPr="00A03D12">
          <w:rPr>
            <w:rStyle w:val="Hyperlink"/>
            <w:rtl/>
          </w:rPr>
          <w:t>א</w:t>
        </w:r>
        <w:r w:rsidR="008925FD" w:rsidRPr="00A03D12">
          <w:rPr>
            <w:rStyle w:val="Hyperlink"/>
            <w:rtl/>
          </w:rPr>
          <w:t>וכל לאלתר מותר ורב אשי איירי בתבואה</w:t>
        </w:r>
      </w:hyperlink>
    </w:p>
    <w:p w14:paraId="51AAE134" w14:textId="77777777" w:rsidR="008925FD" w:rsidRDefault="008925FD" w:rsidP="008925FD">
      <w:pPr>
        <w:keepNext/>
        <w:keepLines/>
        <w:spacing w:after="0" w:line="240" w:lineRule="auto"/>
        <w:jc w:val="center"/>
        <w:outlineLvl w:val="1"/>
        <w:rPr>
          <w:rFonts w:eastAsiaTheme="minorHAnsi" w:cs="Guttman Hodes"/>
          <w:b/>
          <w:bCs/>
          <w:noProof/>
          <w:sz w:val="14"/>
          <w:szCs w:val="14"/>
          <w:rtl/>
        </w:rPr>
        <w:sectPr w:rsidR="008925FD" w:rsidSect="00CA28B3">
          <w:headerReference w:type="even" r:id="rId110"/>
          <w:headerReference w:type="default" r:id="rId111"/>
          <w:footerReference w:type="even" r:id="rId112"/>
          <w:footerReference w:type="default" r:id="rId113"/>
          <w:headerReference w:type="first" r:id="rId114"/>
          <w:footerReference w:type="first" r:id="rId115"/>
          <w:type w:val="continuous"/>
          <w:pgSz w:w="11906" w:h="16838"/>
          <w:pgMar w:top="720" w:right="720" w:bottom="720" w:left="720" w:header="283" w:footer="283" w:gutter="0"/>
          <w:cols w:num="2" w:space="113"/>
          <w:titlePg/>
          <w:bidi/>
          <w:rtlGutter/>
          <w:docGrid w:linePitch="299"/>
        </w:sectPr>
      </w:pPr>
      <w:r w:rsidRPr="00224A5A">
        <w:rPr>
          <w:rFonts w:eastAsiaTheme="minorHAnsi" w:cs="Guttman Hodes"/>
          <w:b/>
          <w:bCs/>
          <w:noProof/>
          <w:sz w:val="14"/>
          <w:szCs w:val="14"/>
          <w:rtl/>
        </w:rPr>
        <w:fldChar w:fldCharType="end"/>
      </w:r>
    </w:p>
    <w:p w14:paraId="238E63AE" w14:textId="77777777" w:rsidR="008925FD" w:rsidRPr="00224A5A" w:rsidRDefault="008925FD" w:rsidP="008925FD">
      <w:pPr>
        <w:keepNext/>
        <w:keepLines/>
        <w:spacing w:after="0" w:line="240" w:lineRule="auto"/>
        <w:jc w:val="center"/>
        <w:outlineLvl w:val="1"/>
        <w:rPr>
          <w:rFonts w:ascii="FrankRuehl" w:eastAsia="Guttman Adii-Light" w:hAnsi="FrankRuehl" w:cs="Guttman Hodes"/>
          <w:b/>
          <w:bCs/>
          <w:noProof/>
          <w:sz w:val="24"/>
          <w:szCs w:val="24"/>
          <w:rtl/>
        </w:rPr>
        <w:sectPr w:rsidR="008925FD" w:rsidRPr="00224A5A" w:rsidSect="00CA28B3">
          <w:type w:val="continuous"/>
          <w:pgSz w:w="11906" w:h="16838"/>
          <w:pgMar w:top="720" w:right="720" w:bottom="720" w:left="720" w:header="283" w:footer="283" w:gutter="0"/>
          <w:cols w:num="2" w:space="113"/>
          <w:titlePg/>
          <w:bidi/>
          <w:rtlGutter/>
          <w:docGrid w:linePitch="299"/>
        </w:sectPr>
      </w:pPr>
    </w:p>
    <w:p w14:paraId="2892D13F" w14:textId="77777777" w:rsidR="008925FD" w:rsidRPr="00224A5A" w:rsidRDefault="008925FD" w:rsidP="008925FD">
      <w:pPr>
        <w:spacing w:before="240" w:after="0" w:line="360" w:lineRule="auto"/>
        <w:jc w:val="center"/>
        <w:outlineLvl w:val="1"/>
        <w:rPr>
          <w:rFonts w:ascii="Guttman Adii-Light" w:eastAsia="Guttman Adii-Light" w:hAnsi="Guttman Adii-Light" w:cs="Guttman Hodes"/>
          <w:b/>
          <w:bCs/>
          <w:sz w:val="18"/>
          <w:szCs w:val="28"/>
          <w:rtl/>
        </w:rPr>
        <w:sectPr w:rsidR="008925FD" w:rsidRPr="00224A5A" w:rsidSect="00CA28B3">
          <w:pgSz w:w="11906" w:h="16838"/>
          <w:pgMar w:top="720" w:right="720" w:bottom="720" w:left="720" w:header="283" w:footer="283" w:gutter="0"/>
          <w:cols w:space="720"/>
          <w:bidi/>
          <w:rtlGutter/>
          <w:docGrid w:linePitch="299"/>
        </w:sectPr>
      </w:pPr>
      <w:r w:rsidRPr="00224A5A">
        <w:rPr>
          <w:rFonts w:ascii="Guttman Adii-Light" w:eastAsia="Guttman Adii-Light" w:hAnsi="Guttman Adii-Light" w:cs="Guttman Hodes" w:hint="cs"/>
          <w:b/>
          <w:bCs/>
          <w:sz w:val="18"/>
          <w:szCs w:val="28"/>
          <w:rtl/>
        </w:rPr>
        <w:lastRenderedPageBreak/>
        <w:t>~~~</w:t>
      </w:r>
      <w:r w:rsidRPr="00224A5A">
        <w:rPr>
          <w:rFonts w:ascii="Guttman Adii-Light" w:eastAsia="Guttman Adii-Light" w:hAnsi="Guttman Adii-Light" w:cs="Guttman Hodes"/>
          <w:b/>
          <w:bCs/>
          <w:noProof/>
          <w:sz w:val="18"/>
          <w:szCs w:val="28"/>
          <w:rtl/>
        </w:rPr>
        <w:t>~~</w:t>
      </w:r>
      <w:r w:rsidRPr="00224A5A">
        <w:rPr>
          <w:rFonts w:ascii="Guttman Adii-Light" w:eastAsia="Guttman Adii-Light" w:hAnsi="Guttman Adii-Light" w:cs="Guttman Hodes" w:hint="cs"/>
          <w:b/>
          <w:bCs/>
          <w:sz w:val="18"/>
          <w:szCs w:val="28"/>
          <w:rtl/>
        </w:rPr>
        <w:t>~~ מראי מקומות וביאורים ~~~</w:t>
      </w:r>
      <w:r w:rsidRPr="00224A5A">
        <w:rPr>
          <w:rFonts w:ascii="Guttman Adii-Light" w:eastAsia="Guttman Adii-Light" w:hAnsi="Guttman Adii-Light" w:cs="Guttman Hodes"/>
          <w:b/>
          <w:bCs/>
          <w:noProof/>
          <w:sz w:val="18"/>
          <w:szCs w:val="28"/>
          <w:rtl/>
        </w:rPr>
        <w:t>~~</w:t>
      </w:r>
      <w:r w:rsidRPr="00224A5A">
        <w:rPr>
          <w:rFonts w:ascii="Guttman Adii-Light" w:eastAsia="Guttman Adii-Light" w:hAnsi="Guttman Adii-Light" w:cs="Guttman Hodes" w:hint="cs"/>
          <w:b/>
          <w:bCs/>
          <w:sz w:val="18"/>
          <w:szCs w:val="28"/>
          <w:rtl/>
        </w:rPr>
        <w:t>~~</w:t>
      </w:r>
    </w:p>
    <w:p w14:paraId="237218DB" w14:textId="77777777" w:rsidR="008925FD" w:rsidRDefault="008925FD" w:rsidP="008925FD">
      <w:pPr>
        <w:pStyle w:val="affff5"/>
        <w:rPr>
          <w:rtl/>
        </w:rPr>
      </w:pPr>
      <w:bookmarkStart w:id="2482" w:name="_Toc139277032"/>
      <w:bookmarkStart w:id="2483" w:name="_Toc139006947"/>
      <w:r>
        <w:rPr>
          <w:rFonts w:hint="cs"/>
          <w:rtl/>
        </w:rPr>
        <w:t>בעיקר טעם ההיתר באוכל מתוך פסולת</w:t>
      </w:r>
      <w:bookmarkEnd w:id="2482"/>
    </w:p>
    <w:p w14:paraId="6B306186" w14:textId="77777777" w:rsidR="008925FD" w:rsidRDefault="008925FD" w:rsidP="008925FD">
      <w:pPr>
        <w:pStyle w:val="1"/>
        <w:rPr>
          <w:rtl/>
        </w:rPr>
      </w:pPr>
      <w:bookmarkStart w:id="2484" w:name="_Toc139277033"/>
      <w:r>
        <w:rPr>
          <w:rFonts w:hint="cs"/>
          <w:rtl/>
        </w:rPr>
        <w:t>בבי' דעות רש"י ותוס' והר"ח דאוכל מפסולת אינו דרך ברירה</w:t>
      </w:r>
      <w:bookmarkEnd w:id="2484"/>
    </w:p>
    <w:p w14:paraId="3A1A34F6" w14:textId="77777777" w:rsidR="008925FD" w:rsidRPr="00AE62B4" w:rsidRDefault="008925FD" w:rsidP="008925FD">
      <w:pPr>
        <w:pStyle w:val="afffff7"/>
      </w:pPr>
      <w:bookmarkStart w:id="2485" w:name="_Toc139277146"/>
      <w:bookmarkStart w:id="2486" w:name="_Toc163505848"/>
      <w:r w:rsidRPr="00AE62B4">
        <w:rPr>
          <w:rFonts w:hint="cs"/>
          <w:rtl/>
        </w:rPr>
        <w:t xml:space="preserve">רש"י שבת ע"ד ע"א ד"ה </w:t>
      </w:r>
      <w:r>
        <w:rPr>
          <w:rFonts w:hint="cs"/>
          <w:rtl/>
        </w:rPr>
        <w:t>אוכל</w:t>
      </w:r>
      <w:bookmarkEnd w:id="2485"/>
      <w:bookmarkEnd w:id="2486"/>
    </w:p>
    <w:p w14:paraId="1A6E8EC5" w14:textId="77777777" w:rsidR="008925FD" w:rsidRPr="00C11BF5" w:rsidRDefault="008925FD" w:rsidP="008925FD">
      <w:pPr>
        <w:pStyle w:val="a7"/>
      </w:pPr>
      <w:bookmarkStart w:id="2487" w:name="_Toc139277034"/>
      <w:r>
        <w:rPr>
          <w:rFonts w:hint="cs"/>
          <w:rtl/>
        </w:rPr>
        <w:t>בי' רש"י דהיתר אוכל מתוך פסולת דאינו דרך ברירה</w:t>
      </w:r>
      <w:bookmarkEnd w:id="2487"/>
    </w:p>
    <w:p w14:paraId="1E67E765" w14:textId="6C633F2E" w:rsidR="008925FD" w:rsidRDefault="008925FD" w:rsidP="00BC7DC8">
      <w:pPr>
        <w:pStyle w:val="a3"/>
        <w:numPr>
          <w:ilvl w:val="0"/>
          <w:numId w:val="24"/>
        </w:numPr>
      </w:pPr>
      <w:bookmarkStart w:id="2488" w:name="_Ref138928037"/>
      <w:r>
        <w:rPr>
          <w:rFonts w:hint="cs"/>
          <w:rtl/>
        </w:rPr>
        <w:t xml:space="preserve">בהיתר אוכל מתוך פסולת, כתב </w:t>
      </w:r>
      <w:r w:rsidRPr="00BC7DC8">
        <w:rPr>
          <w:rFonts w:hint="cs"/>
          <w:vanish/>
          <w:rtl/>
        </w:rPr>
        <w:t xml:space="preserve">&lt;. </w:t>
      </w:r>
      <w:r w:rsidRPr="00BC7DC8">
        <w:rPr>
          <w:vanish/>
          <w:rtl/>
        </w:rPr>
        <w:fldChar w:fldCharType="begin"/>
      </w:r>
      <w:r w:rsidRPr="00BC7DC8">
        <w:rPr>
          <w:vanish/>
          <w:rtl/>
        </w:rPr>
        <w:instrText xml:space="preserve"> </w:instrText>
      </w:r>
      <w:r w:rsidRPr="00BC7DC8">
        <w:rPr>
          <w:rFonts w:hint="cs"/>
          <w:vanish/>
        </w:rPr>
        <w:instrText>REF</w:instrText>
      </w:r>
      <w:r w:rsidRPr="00BC7DC8">
        <w:rPr>
          <w:rFonts w:hint="cs"/>
          <w:vanish/>
          <w:rtl/>
        </w:rPr>
        <w:instrText xml:space="preserve"> _</w:instrText>
      </w:r>
      <w:r w:rsidRPr="00BC7DC8">
        <w:rPr>
          <w:rFonts w:hint="cs"/>
          <w:vanish/>
        </w:rPr>
        <w:instrText>Ref138928037 \r \h</w:instrText>
      </w:r>
      <w:r w:rsidRPr="00BC7DC8">
        <w:rPr>
          <w:vanish/>
          <w:rtl/>
        </w:rPr>
        <w:instrText xml:space="preserve"> </w:instrText>
      </w:r>
      <w:r w:rsidRPr="00112C74">
        <w:rPr>
          <w:vanish/>
          <w:rtl/>
        </w:rPr>
      </w:r>
      <w:r w:rsidRPr="00BC7DC8">
        <w:rPr>
          <w:vanish/>
          <w:rtl/>
        </w:rPr>
        <w:fldChar w:fldCharType="separate"/>
      </w:r>
      <w:r w:rsidR="00D82181">
        <w:rPr>
          <w:vanish/>
          <w:cs/>
        </w:rPr>
        <w:t>‎</w:t>
      </w:r>
      <w:r w:rsidR="00D82181">
        <w:rPr>
          <w:vanish/>
          <w:rtl/>
        </w:rPr>
        <w:t>א)</w:t>
      </w:r>
      <w:r w:rsidRPr="00BC7DC8">
        <w:rPr>
          <w:vanish/>
          <w:rtl/>
        </w:rPr>
        <w:fldChar w:fldCharType="end"/>
      </w:r>
      <w:r w:rsidRPr="00BC7DC8">
        <w:rPr>
          <w:rFonts w:hint="cs"/>
          <w:vanish/>
          <w:rtl/>
        </w:rPr>
        <w:t xml:space="preserve"> &gt;</w:t>
      </w:r>
      <w:r w:rsidRPr="00BC7DC8">
        <w:rPr>
          <w:rStyle w:val="aff4"/>
          <w:rFonts w:hint="cs"/>
          <w:vanish/>
          <w:rtl/>
        </w:rPr>
        <w:t>-</w:t>
      </w:r>
      <w:r w:rsidRPr="00554A8B">
        <w:rPr>
          <w:rStyle w:val="aff4"/>
          <w:rFonts w:hint="cs"/>
          <w:rtl/>
        </w:rPr>
        <w:t>רש"י</w:t>
      </w:r>
      <w:r w:rsidRPr="00BC7DC8">
        <w:rPr>
          <w:rStyle w:val="aff4"/>
          <w:rFonts w:hint="cs"/>
          <w:vanish/>
          <w:rtl/>
        </w:rPr>
        <w:t>-</w:t>
      </w:r>
      <w:r w:rsidRPr="00554A8B">
        <w:rPr>
          <w:rStyle w:val="aff4"/>
          <w:rFonts w:hint="cs"/>
          <w:rtl/>
        </w:rPr>
        <w:t xml:space="preserve"> </w:t>
      </w:r>
      <w:r w:rsidRPr="00BC7DC8">
        <w:rPr>
          <w:rStyle w:val="af2"/>
          <w:rFonts w:eastAsia="Guttman Hodes" w:hint="cs"/>
          <w:rtl/>
        </w:rPr>
        <w:t>(ד"ה אוכל)</w:t>
      </w:r>
      <w:r w:rsidRPr="00BC7DC8">
        <w:rPr>
          <w:rFonts w:hint="cs"/>
          <w:vanish/>
          <w:rtl/>
        </w:rPr>
        <w:t>=</w:t>
      </w:r>
      <w:r w:rsidRPr="006C3A4D">
        <w:rPr>
          <w:rFonts w:hint="cs"/>
          <w:rtl/>
        </w:rPr>
        <w:t xml:space="preserve"> דאינו דרך ברירה</w:t>
      </w:r>
      <w:r>
        <w:rPr>
          <w:rFonts w:hint="cs"/>
          <w:rtl/>
        </w:rPr>
        <w:t>.</w:t>
      </w:r>
      <w:bookmarkEnd w:id="2488"/>
    </w:p>
    <w:p w14:paraId="1324E0A4" w14:textId="77777777" w:rsidR="008925FD" w:rsidRPr="00747170" w:rsidRDefault="008925FD" w:rsidP="00747170">
      <w:pPr>
        <w:pStyle w:val="a2"/>
        <w:rPr>
          <w:rtl/>
        </w:rPr>
      </w:pPr>
      <w:r w:rsidRPr="00747170">
        <w:rPr>
          <w:rtl/>
        </w:rPr>
        <w:t>אוכל מתוך הפסולת - לא דרך ברירה היא.</w:t>
      </w:r>
    </w:p>
    <w:p w14:paraId="08CAA9FB" w14:textId="77777777" w:rsidR="008925FD" w:rsidRDefault="008925FD" w:rsidP="008925FD">
      <w:pPr>
        <w:pStyle w:val="afffff7"/>
        <w:rPr>
          <w:rtl/>
        </w:rPr>
      </w:pPr>
      <w:bookmarkStart w:id="2489" w:name="_Toc139277147"/>
      <w:bookmarkStart w:id="2490" w:name="_Toc163505849"/>
      <w:r w:rsidRPr="007D5064">
        <w:rPr>
          <w:rtl/>
        </w:rPr>
        <w:t xml:space="preserve">אגלי טל בורר </w:t>
      </w:r>
      <w:r w:rsidRPr="007D5064">
        <w:rPr>
          <w:rFonts w:hint="cs"/>
          <w:rtl/>
        </w:rPr>
        <w:t xml:space="preserve">סק"א </w:t>
      </w:r>
      <w:r w:rsidRPr="007D5064">
        <w:rPr>
          <w:rtl/>
        </w:rPr>
        <w:t xml:space="preserve">אות </w:t>
      </w:r>
      <w:r>
        <w:rPr>
          <w:rFonts w:hint="cs"/>
          <w:rtl/>
        </w:rPr>
        <w:t>י</w:t>
      </w:r>
      <w:r w:rsidRPr="007D5064">
        <w:rPr>
          <w:rFonts w:hint="cs"/>
          <w:rtl/>
        </w:rPr>
        <w:t>'</w:t>
      </w:r>
      <w:bookmarkEnd w:id="2489"/>
      <w:bookmarkEnd w:id="2490"/>
    </w:p>
    <w:p w14:paraId="61E7B0B6" w14:textId="77777777" w:rsidR="008925FD" w:rsidRDefault="008925FD" w:rsidP="008925FD">
      <w:pPr>
        <w:pStyle w:val="a7"/>
        <w:rPr>
          <w:rtl/>
        </w:rPr>
      </w:pPr>
      <w:bookmarkStart w:id="2491" w:name="_Toc139277035"/>
      <w:r>
        <w:rPr>
          <w:rFonts w:hint="cs"/>
          <w:rtl/>
        </w:rPr>
        <w:t>בי' האגל"ט ברש"י דאוכל מפסולת אינו דרך ברירה אך בנפה דרך ברירה וביד רק פסולת מאוכל</w:t>
      </w:r>
      <w:bookmarkEnd w:id="2491"/>
    </w:p>
    <w:p w14:paraId="10732E9B" w14:textId="11C39FDF" w:rsidR="008925FD" w:rsidRPr="008333B8" w:rsidRDefault="008925FD" w:rsidP="00BC7DC8">
      <w:pPr>
        <w:pStyle w:val="a3"/>
        <w:rPr>
          <w:rtl/>
        </w:rPr>
      </w:pPr>
      <w:bookmarkStart w:id="2492" w:name="_Ref137984650"/>
      <w:r>
        <w:rPr>
          <w:rFonts w:hint="cs"/>
          <w:rtl/>
        </w:rPr>
        <w:t>עי' במה ש</w:t>
      </w:r>
      <w:r w:rsidRPr="00D93AE0">
        <w:rPr>
          <w:rFonts w:hint="cs"/>
          <w:rtl/>
        </w:rPr>
        <w:t xml:space="preserve">ביאר </w:t>
      </w:r>
      <w:r w:rsidRPr="006F1E65">
        <w:rPr>
          <w:rFonts w:hint="cs"/>
          <w:vanish/>
          <w:rtl/>
        </w:rPr>
        <w:t>-</w:t>
      </w:r>
      <w:r w:rsidRPr="00256FA2">
        <w:rPr>
          <w:rStyle w:val="aff4"/>
          <w:rFonts w:hint="cs"/>
          <w:rtl/>
        </w:rPr>
        <w:t>האגלי</w:t>
      </w:r>
      <w:r w:rsidRPr="00D93AE0">
        <w:rPr>
          <w:rFonts w:hint="cs"/>
          <w:rtl/>
        </w:rPr>
        <w:t xml:space="preserve"> </w:t>
      </w:r>
      <w:r w:rsidRPr="00256FA2">
        <w:rPr>
          <w:rStyle w:val="aff4"/>
          <w:rFonts w:hint="cs"/>
          <w:rtl/>
        </w:rPr>
        <w:t>טל</w:t>
      </w:r>
      <w:r w:rsidRPr="006F1E65">
        <w:rPr>
          <w:rStyle w:val="aff4"/>
          <w:rFonts w:hint="cs"/>
          <w:vanish/>
          <w:rtl/>
        </w:rPr>
        <w:t>-</w:t>
      </w:r>
      <w:r w:rsidRPr="00D93AE0">
        <w:rPr>
          <w:rFonts w:hint="cs"/>
          <w:rtl/>
        </w:rPr>
        <w:t xml:space="preserve"> </w:t>
      </w:r>
      <w:r w:rsidRPr="006F1E65">
        <w:rPr>
          <w:rStyle w:val="af2"/>
          <w:rFonts w:eastAsia="Guttman Rashi" w:hint="cs"/>
          <w:rtl/>
        </w:rPr>
        <w:t xml:space="preserve">(עי' אות </w:t>
      </w:r>
      <w:r>
        <w:rPr>
          <w:rStyle w:val="af2"/>
          <w:rFonts w:eastAsia="Guttman Rashi"/>
          <w:rtl/>
        </w:rPr>
        <w:fldChar w:fldCharType="begin"/>
      </w:r>
      <w:r>
        <w:rPr>
          <w:rStyle w:val="af2"/>
          <w:rFonts w:eastAsia="Guttman Rashi"/>
          <w:rtl/>
        </w:rPr>
        <w:instrText xml:space="preserve"> </w:instrText>
      </w:r>
      <w:r>
        <w:rPr>
          <w:rStyle w:val="af2"/>
          <w:rFonts w:eastAsia="Guttman Rashi" w:hint="cs"/>
        </w:rPr>
        <w:instrText>REF</w:instrText>
      </w:r>
      <w:r>
        <w:rPr>
          <w:rStyle w:val="af2"/>
          <w:rFonts w:eastAsia="Guttman Rashi" w:hint="cs"/>
          <w:rtl/>
        </w:rPr>
        <w:instrText xml:space="preserve"> _</w:instrText>
      </w:r>
      <w:r>
        <w:rPr>
          <w:rStyle w:val="af2"/>
          <w:rFonts w:eastAsia="Guttman Rashi" w:hint="cs"/>
        </w:rPr>
        <w:instrText>Ref138928134 \r \h</w:instrText>
      </w:r>
      <w:r>
        <w:rPr>
          <w:rStyle w:val="af2"/>
          <w:rFonts w:eastAsia="Guttman Rashi"/>
          <w:rtl/>
        </w:rPr>
        <w:instrText xml:space="preserve"> </w:instrText>
      </w:r>
      <w:r>
        <w:rPr>
          <w:rStyle w:val="af2"/>
          <w:rFonts w:eastAsia="Guttman Rashi"/>
          <w:rtl/>
        </w:rPr>
      </w:r>
      <w:r>
        <w:rPr>
          <w:rStyle w:val="af2"/>
          <w:rFonts w:eastAsia="Guttman Rashi"/>
          <w:rtl/>
        </w:rPr>
        <w:fldChar w:fldCharType="separate"/>
      </w:r>
      <w:r w:rsidR="00D82181">
        <w:rPr>
          <w:rStyle w:val="af2"/>
          <w:rFonts w:eastAsia="Guttman Rashi"/>
          <w:cs/>
        </w:rPr>
        <w:t>‎</w:t>
      </w:r>
      <w:r w:rsidR="00D82181">
        <w:rPr>
          <w:rStyle w:val="af2"/>
          <w:rFonts w:eastAsia="Guttman Rashi"/>
          <w:rtl/>
        </w:rPr>
        <w:t>יד)</w:t>
      </w:r>
      <w:r>
        <w:rPr>
          <w:rStyle w:val="af2"/>
          <w:rFonts w:eastAsia="Guttman Rashi"/>
          <w:rtl/>
        </w:rPr>
        <w:fldChar w:fldCharType="end"/>
      </w:r>
      <w:r w:rsidRPr="00D93AE0">
        <w:rPr>
          <w:rFonts w:hint="cs"/>
          <w:rtl/>
        </w:rPr>
        <w:t xml:space="preserve"> בדעת </w:t>
      </w:r>
      <w:r w:rsidRPr="006F1E65">
        <w:rPr>
          <w:rStyle w:val="aff4"/>
          <w:rFonts w:hint="cs"/>
          <w:vanish/>
          <w:rtl/>
        </w:rPr>
        <w:t>-</w:t>
      </w:r>
      <w:r w:rsidRPr="00256FA2">
        <w:rPr>
          <w:rStyle w:val="aff4"/>
          <w:rFonts w:hint="cs"/>
          <w:rtl/>
        </w:rPr>
        <w:t>רש"י</w:t>
      </w:r>
      <w:r w:rsidRPr="006F1E65">
        <w:rPr>
          <w:rStyle w:val="aff4"/>
          <w:rFonts w:hint="cs"/>
          <w:vanish/>
          <w:rtl/>
        </w:rPr>
        <w:t>-</w:t>
      </w:r>
      <w:r>
        <w:rPr>
          <w:rFonts w:hint="cs"/>
          <w:rtl/>
        </w:rPr>
        <w:t xml:space="preserve"> </w:t>
      </w:r>
      <w:r w:rsidRPr="00D93AE0">
        <w:rPr>
          <w:rFonts w:hint="cs"/>
          <w:rtl/>
        </w:rPr>
        <w:t xml:space="preserve">דאוכל מתוך פסולת ביד מותר אף לאחר זמן, </w:t>
      </w:r>
      <w:r>
        <w:rPr>
          <w:rFonts w:hint="cs"/>
          <w:rtl/>
        </w:rPr>
        <w:t>ובמה שב</w:t>
      </w:r>
      <w:r w:rsidRPr="00D93AE0">
        <w:rPr>
          <w:rFonts w:hint="cs"/>
          <w:rtl/>
        </w:rPr>
        <w:t xml:space="preserve">יאר </w:t>
      </w:r>
      <w:r w:rsidRPr="006F1E65">
        <w:rPr>
          <w:rFonts w:hint="cs"/>
          <w:vanish/>
          <w:rtl/>
        </w:rPr>
        <w:t>-</w:t>
      </w:r>
      <w:r w:rsidRPr="00256FA2">
        <w:rPr>
          <w:rStyle w:val="aff4"/>
          <w:rFonts w:hint="cs"/>
          <w:rtl/>
        </w:rPr>
        <w:t>האגלי</w:t>
      </w:r>
      <w:r w:rsidRPr="00D93AE0">
        <w:rPr>
          <w:rFonts w:hint="cs"/>
          <w:rtl/>
        </w:rPr>
        <w:t xml:space="preserve"> </w:t>
      </w:r>
      <w:r w:rsidRPr="00256FA2">
        <w:rPr>
          <w:rStyle w:val="aff4"/>
          <w:rFonts w:hint="cs"/>
          <w:rtl/>
        </w:rPr>
        <w:t>טל</w:t>
      </w:r>
      <w:r w:rsidRPr="006F1E65">
        <w:rPr>
          <w:rFonts w:hint="cs"/>
          <w:vanish/>
          <w:rtl/>
        </w:rPr>
        <w:t>-</w:t>
      </w:r>
      <w:r w:rsidRPr="00D93AE0">
        <w:rPr>
          <w:rFonts w:hint="cs"/>
          <w:rtl/>
        </w:rPr>
        <w:t xml:space="preserve"> </w:t>
      </w:r>
      <w:r w:rsidRPr="006F1E65">
        <w:rPr>
          <w:rStyle w:val="af2"/>
          <w:rFonts w:eastAsia="Guttman Rashi" w:hint="cs"/>
          <w:rtl/>
        </w:rPr>
        <w:t xml:space="preserve">(עי' אות </w:t>
      </w:r>
      <w:r>
        <w:rPr>
          <w:rStyle w:val="af2"/>
          <w:rFonts w:eastAsia="Guttman Rashi"/>
          <w:rtl/>
        </w:rPr>
        <w:fldChar w:fldCharType="begin"/>
      </w:r>
      <w:r>
        <w:rPr>
          <w:rStyle w:val="af2"/>
          <w:rFonts w:eastAsia="Guttman Rashi"/>
          <w:rtl/>
        </w:rPr>
        <w:instrText xml:space="preserve"> </w:instrText>
      </w:r>
      <w:r>
        <w:rPr>
          <w:rStyle w:val="af2"/>
          <w:rFonts w:eastAsia="Guttman Rashi" w:hint="cs"/>
        </w:rPr>
        <w:instrText>REF</w:instrText>
      </w:r>
      <w:r>
        <w:rPr>
          <w:rStyle w:val="af2"/>
          <w:rFonts w:eastAsia="Guttman Rashi" w:hint="cs"/>
          <w:rtl/>
        </w:rPr>
        <w:instrText xml:space="preserve"> _</w:instrText>
      </w:r>
      <w:r>
        <w:rPr>
          <w:rStyle w:val="af2"/>
          <w:rFonts w:eastAsia="Guttman Rashi" w:hint="cs"/>
        </w:rPr>
        <w:instrText>Ref139276659 \r \h</w:instrText>
      </w:r>
      <w:r>
        <w:rPr>
          <w:rStyle w:val="af2"/>
          <w:rFonts w:eastAsia="Guttman Rashi"/>
          <w:rtl/>
        </w:rPr>
        <w:instrText xml:space="preserve"> </w:instrText>
      </w:r>
      <w:r>
        <w:rPr>
          <w:rStyle w:val="af2"/>
          <w:rFonts w:eastAsia="Guttman Rashi"/>
          <w:rtl/>
        </w:rPr>
      </w:r>
      <w:r>
        <w:rPr>
          <w:rStyle w:val="af2"/>
          <w:rFonts w:eastAsia="Guttman Rashi"/>
          <w:rtl/>
        </w:rPr>
        <w:fldChar w:fldCharType="separate"/>
      </w:r>
      <w:r w:rsidR="00D82181">
        <w:rPr>
          <w:rStyle w:val="af2"/>
          <w:rFonts w:eastAsia="Guttman Rashi"/>
          <w:cs/>
        </w:rPr>
        <w:t>‎</w:t>
      </w:r>
      <w:r w:rsidR="00D82181">
        <w:rPr>
          <w:rStyle w:val="af2"/>
          <w:rFonts w:eastAsia="Guttman Rashi"/>
          <w:rtl/>
        </w:rPr>
        <w:t>נה)</w:t>
      </w:r>
      <w:r>
        <w:rPr>
          <w:rStyle w:val="af2"/>
          <w:rFonts w:eastAsia="Guttman Rashi"/>
          <w:rtl/>
        </w:rPr>
        <w:fldChar w:fldCharType="end"/>
      </w:r>
      <w:r w:rsidRPr="00D93AE0">
        <w:rPr>
          <w:rFonts w:hint="cs"/>
          <w:rtl/>
        </w:rPr>
        <w:t xml:space="preserve"> בדעת </w:t>
      </w:r>
      <w:r w:rsidRPr="006F1E65">
        <w:rPr>
          <w:rStyle w:val="aff4"/>
          <w:rFonts w:hint="cs"/>
          <w:vanish/>
          <w:rtl/>
        </w:rPr>
        <w:t>-</w:t>
      </w:r>
      <w:r w:rsidRPr="00256FA2">
        <w:rPr>
          <w:rStyle w:val="aff4"/>
          <w:rFonts w:hint="cs"/>
          <w:rtl/>
        </w:rPr>
        <w:t>רש"י</w:t>
      </w:r>
      <w:r w:rsidRPr="006F1E65">
        <w:rPr>
          <w:rStyle w:val="aff4"/>
          <w:rFonts w:hint="cs"/>
          <w:vanish/>
          <w:rtl/>
        </w:rPr>
        <w:t>-</w:t>
      </w:r>
      <w:r w:rsidRPr="00D93AE0">
        <w:rPr>
          <w:rFonts w:hint="cs"/>
          <w:rtl/>
        </w:rPr>
        <w:t xml:space="preserve">, </w:t>
      </w:r>
      <w:r>
        <w:rPr>
          <w:rFonts w:hint="cs"/>
          <w:rtl/>
        </w:rPr>
        <w:t>ד</w:t>
      </w:r>
      <w:r w:rsidRPr="00D93AE0">
        <w:rPr>
          <w:rFonts w:hint="cs"/>
          <w:rtl/>
        </w:rPr>
        <w:t>בכלי חייב</w:t>
      </w:r>
      <w:r>
        <w:rPr>
          <w:rFonts w:hint="cs"/>
          <w:rtl/>
        </w:rPr>
        <w:t>,</w:t>
      </w:r>
      <w:r w:rsidRPr="00D93AE0">
        <w:rPr>
          <w:rFonts w:hint="cs"/>
          <w:rtl/>
        </w:rPr>
        <w:t xml:space="preserve"> </w:t>
      </w:r>
      <w:r>
        <w:rPr>
          <w:rFonts w:hint="cs"/>
          <w:rtl/>
        </w:rPr>
        <w:t>ו</w:t>
      </w:r>
      <w:r w:rsidRPr="00D93AE0">
        <w:rPr>
          <w:rFonts w:hint="cs"/>
          <w:rtl/>
        </w:rPr>
        <w:t>ביאר</w:t>
      </w:r>
      <w:r>
        <w:rPr>
          <w:rFonts w:hint="cs"/>
          <w:rtl/>
        </w:rPr>
        <w:t xml:space="preserve"> </w:t>
      </w:r>
      <w:r w:rsidRPr="006F1E65">
        <w:rPr>
          <w:rStyle w:val="aff4"/>
          <w:rFonts w:hint="cs"/>
          <w:vanish/>
          <w:rtl/>
        </w:rPr>
        <w:t>-</w:t>
      </w:r>
      <w:r w:rsidRPr="00194A43">
        <w:rPr>
          <w:rStyle w:val="aff4"/>
          <w:rFonts w:hint="cs"/>
          <w:rtl/>
        </w:rPr>
        <w:t>ה</w:t>
      </w:r>
      <w:r w:rsidRPr="006F1E65">
        <w:rPr>
          <w:rStyle w:val="aff4"/>
          <w:rFonts w:hint="cs"/>
          <w:vanish/>
          <w:rtl/>
        </w:rPr>
        <w:t xml:space="preserve">&lt;. </w:t>
      </w:r>
      <w:r w:rsidRPr="006F1E65">
        <w:rPr>
          <w:rStyle w:val="aff4"/>
          <w:vanish/>
          <w:rtl/>
        </w:rPr>
        <w:fldChar w:fldCharType="begin"/>
      </w:r>
      <w:r w:rsidRPr="006F1E65">
        <w:rPr>
          <w:rStyle w:val="aff4"/>
          <w:vanish/>
          <w:rtl/>
        </w:rPr>
        <w:instrText xml:space="preserve"> </w:instrText>
      </w:r>
      <w:r w:rsidRPr="006F1E65">
        <w:rPr>
          <w:rStyle w:val="aff4"/>
          <w:rFonts w:hint="cs"/>
          <w:vanish/>
        </w:rPr>
        <w:instrText>REF</w:instrText>
      </w:r>
      <w:r w:rsidRPr="006F1E65">
        <w:rPr>
          <w:rStyle w:val="aff4"/>
          <w:rFonts w:hint="cs"/>
          <w:vanish/>
          <w:rtl/>
        </w:rPr>
        <w:instrText xml:space="preserve"> _</w:instrText>
      </w:r>
      <w:r w:rsidRPr="006F1E65">
        <w:rPr>
          <w:rStyle w:val="aff4"/>
          <w:rFonts w:hint="cs"/>
          <w:vanish/>
        </w:rPr>
        <w:instrText>Ref137984650 \r \h</w:instrText>
      </w:r>
      <w:r w:rsidRPr="006F1E65">
        <w:rPr>
          <w:rStyle w:val="aff4"/>
          <w:vanish/>
          <w:rtl/>
        </w:rPr>
        <w:instrText xml:space="preserve"> </w:instrText>
      </w:r>
      <w:r w:rsidRPr="006F1E65">
        <w:rPr>
          <w:rStyle w:val="aff4"/>
          <w:vanish/>
          <w:rtl/>
        </w:rPr>
      </w:r>
      <w:r w:rsidRPr="006F1E65">
        <w:rPr>
          <w:rStyle w:val="aff4"/>
          <w:vanish/>
          <w:rtl/>
        </w:rPr>
        <w:fldChar w:fldCharType="separate"/>
      </w:r>
      <w:r w:rsidR="00D82181">
        <w:rPr>
          <w:rStyle w:val="aff4"/>
          <w:vanish/>
          <w:cs/>
        </w:rPr>
        <w:t>‎</w:t>
      </w:r>
      <w:r w:rsidR="00D82181">
        <w:rPr>
          <w:rStyle w:val="aff4"/>
          <w:vanish/>
          <w:rtl/>
        </w:rPr>
        <w:t>ב)</w:t>
      </w:r>
      <w:r w:rsidRPr="006F1E65">
        <w:rPr>
          <w:rStyle w:val="aff4"/>
          <w:vanish/>
          <w:rtl/>
        </w:rPr>
        <w:fldChar w:fldCharType="end"/>
      </w:r>
      <w:r w:rsidRPr="006F1E65">
        <w:rPr>
          <w:rStyle w:val="aff4"/>
          <w:rFonts w:hint="cs"/>
          <w:vanish/>
          <w:rtl/>
        </w:rPr>
        <w:t xml:space="preserve"> &gt;</w:t>
      </w:r>
      <w:r w:rsidRPr="00194A43">
        <w:rPr>
          <w:rStyle w:val="aff4"/>
          <w:rFonts w:hint="cs"/>
          <w:rtl/>
        </w:rPr>
        <w:t>אגלי טל</w:t>
      </w:r>
      <w:r w:rsidRPr="006F1E65">
        <w:rPr>
          <w:rStyle w:val="aff4"/>
          <w:rFonts w:hint="cs"/>
          <w:vanish/>
          <w:rtl/>
        </w:rPr>
        <w:t>-</w:t>
      </w:r>
      <w:r>
        <w:rPr>
          <w:rFonts w:hint="cs"/>
          <w:rtl/>
        </w:rPr>
        <w:t xml:space="preserve"> </w:t>
      </w:r>
      <w:r w:rsidRPr="006F1E65">
        <w:rPr>
          <w:rStyle w:val="af2"/>
          <w:rFonts w:eastAsia="Guttman Hodes" w:hint="cs"/>
          <w:rtl/>
        </w:rPr>
        <w:t>(בורר סק"א אות י')</w:t>
      </w:r>
      <w:r w:rsidRPr="006F1E65">
        <w:rPr>
          <w:rFonts w:hint="cs"/>
          <w:vanish/>
          <w:rtl/>
        </w:rPr>
        <w:t>=</w:t>
      </w:r>
      <w:r>
        <w:rPr>
          <w:rFonts w:hint="cs"/>
          <w:rtl/>
        </w:rPr>
        <w:t xml:space="preserve"> דכיון דכתב </w:t>
      </w:r>
      <w:r w:rsidRPr="006F1E65">
        <w:rPr>
          <w:rStyle w:val="aff4"/>
          <w:rFonts w:hint="cs"/>
          <w:vanish/>
          <w:rtl/>
        </w:rPr>
        <w:t>-</w:t>
      </w:r>
      <w:r w:rsidRPr="00194A43">
        <w:rPr>
          <w:rStyle w:val="aff4"/>
          <w:rFonts w:hint="cs"/>
          <w:rtl/>
        </w:rPr>
        <w:t>רש"י</w:t>
      </w:r>
      <w:r w:rsidRPr="006F1E65">
        <w:rPr>
          <w:rStyle w:val="aff4"/>
          <w:rFonts w:hint="cs"/>
          <w:vanish/>
          <w:rtl/>
        </w:rPr>
        <w:t>-</w:t>
      </w:r>
      <w:r>
        <w:rPr>
          <w:rFonts w:hint="cs"/>
          <w:rtl/>
        </w:rPr>
        <w:t xml:space="preserve"> </w:t>
      </w:r>
      <w:r w:rsidRPr="006F1E65">
        <w:rPr>
          <w:rStyle w:val="af2"/>
          <w:rFonts w:eastAsia="Guttman Hodes" w:hint="cs"/>
          <w:rtl/>
        </w:rPr>
        <w:t xml:space="preserve">(עי' אות </w:t>
      </w:r>
      <w:r w:rsidRPr="006F1E65">
        <w:rPr>
          <w:rStyle w:val="af2"/>
          <w:rFonts w:eastAsia="Guttman Hodes"/>
          <w:rtl/>
        </w:rPr>
        <w:fldChar w:fldCharType="begin"/>
      </w:r>
      <w:r w:rsidRPr="006F1E65">
        <w:rPr>
          <w:rStyle w:val="af2"/>
          <w:rFonts w:eastAsia="Guttman Hodes"/>
          <w:rtl/>
        </w:rPr>
        <w:instrText xml:space="preserve"> </w:instrText>
      </w:r>
      <w:r w:rsidRPr="006F1E65">
        <w:rPr>
          <w:rStyle w:val="af2"/>
          <w:rFonts w:eastAsia="Guttman Hodes" w:hint="cs"/>
        </w:rPr>
        <w:instrText>REF</w:instrText>
      </w:r>
      <w:r w:rsidRPr="006F1E65">
        <w:rPr>
          <w:rStyle w:val="af2"/>
          <w:rFonts w:eastAsia="Guttman Hodes" w:hint="cs"/>
          <w:rtl/>
        </w:rPr>
        <w:instrText xml:space="preserve"> _</w:instrText>
      </w:r>
      <w:r w:rsidRPr="006F1E65">
        <w:rPr>
          <w:rStyle w:val="af2"/>
          <w:rFonts w:eastAsia="Guttman Hodes" w:hint="cs"/>
        </w:rPr>
        <w:instrText>Ref137984282 \r \h</w:instrText>
      </w:r>
      <w:r w:rsidRPr="006F1E65">
        <w:rPr>
          <w:rStyle w:val="af2"/>
          <w:rFonts w:eastAsia="Guttman Hodes"/>
          <w:rtl/>
        </w:rPr>
        <w:instrText xml:space="preserve"> </w:instrText>
      </w:r>
      <w:r w:rsidRPr="006F1E65">
        <w:rPr>
          <w:rStyle w:val="af2"/>
          <w:rFonts w:eastAsia="Guttman Hodes"/>
          <w:rtl/>
        </w:rPr>
      </w:r>
      <w:r w:rsidRPr="006F1E65">
        <w:rPr>
          <w:rStyle w:val="af2"/>
          <w:rFonts w:eastAsia="Guttman Hodes"/>
          <w:rtl/>
        </w:rPr>
        <w:fldChar w:fldCharType="separate"/>
      </w:r>
      <w:r w:rsidR="00D82181">
        <w:rPr>
          <w:rStyle w:val="af2"/>
          <w:rFonts w:eastAsia="Guttman Hodes"/>
          <w:cs/>
        </w:rPr>
        <w:t>‎</w:t>
      </w:r>
      <w:r w:rsidR="00D82181">
        <w:rPr>
          <w:rStyle w:val="af2"/>
          <w:rFonts w:eastAsia="Guttman Hodes"/>
          <w:rtl/>
        </w:rPr>
        <w:t>מא)</w:t>
      </w:r>
      <w:r w:rsidRPr="006F1E65">
        <w:rPr>
          <w:rStyle w:val="af2"/>
          <w:rFonts w:eastAsia="Guttman Hodes"/>
          <w:rtl/>
        </w:rPr>
        <w:fldChar w:fldCharType="end"/>
      </w:r>
      <w:r>
        <w:rPr>
          <w:rFonts w:hint="cs"/>
          <w:rtl/>
        </w:rPr>
        <w:t xml:space="preserve"> דאין דרך ברירה באוכל מתוך פסולת ביד, אבל בנפה וכברה הוי דרך ברירה, א"כ אי ס"ל דהדבר שמתברר הוא מה שיורד למטה, </w:t>
      </w:r>
      <w:r w:rsidRPr="000D251D">
        <w:rPr>
          <w:rStyle w:val="af"/>
          <w:rFonts w:hint="cs"/>
          <w:rtl/>
        </w:rPr>
        <w:t>[</w:t>
      </w:r>
      <w:r>
        <w:rPr>
          <w:rStyle w:val="af"/>
          <w:rFonts w:hint="cs"/>
          <w:rtl/>
        </w:rPr>
        <w:t xml:space="preserve">כדביאר </w:t>
      </w:r>
      <w:r w:rsidRPr="006F1E65">
        <w:rPr>
          <w:rStyle w:val="aff9"/>
          <w:rFonts w:hint="cs"/>
          <w:vanish/>
          <w:rtl/>
        </w:rPr>
        <w:t>-</w:t>
      </w:r>
      <w:r w:rsidRPr="00991707">
        <w:rPr>
          <w:rStyle w:val="aff9"/>
          <w:rFonts w:hint="cs"/>
          <w:rtl/>
        </w:rPr>
        <w:t>האגלי טל</w:t>
      </w:r>
      <w:r w:rsidRPr="006F1E65">
        <w:rPr>
          <w:rStyle w:val="aff9"/>
          <w:rFonts w:hint="cs"/>
          <w:vanish/>
          <w:rtl/>
        </w:rPr>
        <w:t>-</w:t>
      </w:r>
      <w:r>
        <w:rPr>
          <w:rStyle w:val="af"/>
          <w:rFonts w:hint="cs"/>
          <w:rtl/>
        </w:rPr>
        <w:t xml:space="preserve"> </w:t>
      </w:r>
      <w:r w:rsidRPr="00991707">
        <w:rPr>
          <w:rStyle w:val="aff0"/>
          <w:rFonts w:hint="cs"/>
          <w:rtl/>
        </w:rPr>
        <w:t xml:space="preserve">(בורר סק"ה אות </w:t>
      </w:r>
      <w:r>
        <w:rPr>
          <w:rStyle w:val="aff0"/>
          <w:rFonts w:hint="cs"/>
          <w:rtl/>
        </w:rPr>
        <w:t>ז</w:t>
      </w:r>
      <w:r w:rsidRPr="00991707">
        <w:rPr>
          <w:rStyle w:val="aff0"/>
          <w:rFonts w:hint="cs"/>
          <w:rtl/>
        </w:rPr>
        <w:t>')</w:t>
      </w:r>
      <w:r>
        <w:rPr>
          <w:rStyle w:val="af"/>
          <w:rFonts w:hint="cs"/>
          <w:rtl/>
        </w:rPr>
        <w:t xml:space="preserve"> ב</w:t>
      </w:r>
      <w:r w:rsidRPr="000D251D">
        <w:rPr>
          <w:rStyle w:val="af"/>
          <w:rFonts w:hint="cs"/>
          <w:rtl/>
        </w:rPr>
        <w:t xml:space="preserve">דעת </w:t>
      </w:r>
      <w:r w:rsidRPr="006F1E65">
        <w:rPr>
          <w:rStyle w:val="aff9"/>
          <w:rFonts w:hint="cs"/>
          <w:vanish/>
          <w:rtl/>
        </w:rPr>
        <w:t>-</w:t>
      </w:r>
      <w:r w:rsidRPr="009B1F18">
        <w:rPr>
          <w:rStyle w:val="aff9"/>
          <w:rFonts w:hint="cs"/>
          <w:rtl/>
        </w:rPr>
        <w:t>התוס' רי"</w:t>
      </w:r>
      <w:r>
        <w:rPr>
          <w:rStyle w:val="aff9"/>
          <w:rFonts w:hint="cs"/>
          <w:rtl/>
        </w:rPr>
        <w:t>ד</w:t>
      </w:r>
      <w:r w:rsidRPr="006F1E65">
        <w:rPr>
          <w:rStyle w:val="aff9"/>
          <w:rFonts w:hint="cs"/>
          <w:vanish/>
          <w:rtl/>
        </w:rPr>
        <w:t>-</w:t>
      </w:r>
      <w:r w:rsidRPr="00394BDA">
        <w:rPr>
          <w:rStyle w:val="af"/>
          <w:rFonts w:hint="cs"/>
          <w:rtl/>
        </w:rPr>
        <w:t>],</w:t>
      </w:r>
      <w:r w:rsidRPr="00666E77">
        <w:rPr>
          <w:rFonts w:hint="cs"/>
          <w:rtl/>
        </w:rPr>
        <w:t xml:space="preserve"> </w:t>
      </w:r>
      <w:r>
        <w:rPr>
          <w:rFonts w:hint="cs"/>
          <w:rtl/>
        </w:rPr>
        <w:t xml:space="preserve">ממילא בכלי הוי דרך ברירה, כמרקד שהקמח למטה אף דהוא אוכל מתוך פסולת, וגם אי נימא דס"ל דהדבר שנשאר למעלה הוא המתברר, </w:t>
      </w:r>
      <w:r w:rsidRPr="000D251D">
        <w:rPr>
          <w:rStyle w:val="af"/>
          <w:rFonts w:hint="cs"/>
          <w:rtl/>
        </w:rPr>
        <w:t>[</w:t>
      </w:r>
      <w:r>
        <w:rPr>
          <w:rStyle w:val="af"/>
          <w:rFonts w:hint="cs"/>
          <w:rtl/>
        </w:rPr>
        <w:t xml:space="preserve">כדביאר </w:t>
      </w:r>
      <w:r w:rsidRPr="006F1E65">
        <w:rPr>
          <w:rStyle w:val="aff9"/>
          <w:rFonts w:hint="cs"/>
          <w:vanish/>
          <w:rtl/>
        </w:rPr>
        <w:t>-</w:t>
      </w:r>
      <w:r w:rsidRPr="00991707">
        <w:rPr>
          <w:rStyle w:val="aff9"/>
          <w:rFonts w:hint="cs"/>
          <w:rtl/>
        </w:rPr>
        <w:t>האגלי טל</w:t>
      </w:r>
      <w:r w:rsidRPr="006F1E65">
        <w:rPr>
          <w:rStyle w:val="aff9"/>
          <w:rFonts w:hint="cs"/>
          <w:vanish/>
          <w:rtl/>
        </w:rPr>
        <w:t>-</w:t>
      </w:r>
      <w:r>
        <w:rPr>
          <w:rStyle w:val="af"/>
          <w:rFonts w:hint="cs"/>
          <w:rtl/>
        </w:rPr>
        <w:t xml:space="preserve"> </w:t>
      </w:r>
      <w:r w:rsidRPr="00991707">
        <w:rPr>
          <w:rStyle w:val="aff0"/>
          <w:rFonts w:hint="cs"/>
          <w:rtl/>
        </w:rPr>
        <w:t>(בורר סק"ה אות ב')</w:t>
      </w:r>
      <w:r>
        <w:rPr>
          <w:rStyle w:val="af"/>
          <w:rFonts w:hint="cs"/>
          <w:rtl/>
        </w:rPr>
        <w:t xml:space="preserve"> ב</w:t>
      </w:r>
      <w:r w:rsidRPr="000D251D">
        <w:rPr>
          <w:rStyle w:val="af"/>
          <w:rFonts w:hint="cs"/>
          <w:rtl/>
        </w:rPr>
        <w:t xml:space="preserve">דעת </w:t>
      </w:r>
      <w:r w:rsidRPr="006F1E65">
        <w:rPr>
          <w:rStyle w:val="aff9"/>
          <w:rFonts w:hint="cs"/>
          <w:vanish/>
          <w:rtl/>
        </w:rPr>
        <w:t>-</w:t>
      </w:r>
      <w:r w:rsidRPr="009B1F18">
        <w:rPr>
          <w:rStyle w:val="aff9"/>
          <w:rFonts w:hint="cs"/>
          <w:rtl/>
        </w:rPr>
        <w:t>רוב הפוסקים</w:t>
      </w:r>
      <w:r w:rsidRPr="006F1E65">
        <w:rPr>
          <w:rStyle w:val="aff9"/>
          <w:rFonts w:hint="cs"/>
          <w:vanish/>
          <w:rtl/>
        </w:rPr>
        <w:t>-</w:t>
      </w:r>
      <w:r w:rsidRPr="00394BDA">
        <w:rPr>
          <w:rStyle w:val="af"/>
          <w:rFonts w:hint="cs"/>
          <w:rtl/>
        </w:rPr>
        <w:t>],</w:t>
      </w:r>
      <w:r>
        <w:rPr>
          <w:rFonts w:hint="cs"/>
          <w:rtl/>
        </w:rPr>
        <w:t xml:space="preserve"> ג"כ אוכל מתוך פסולת, הוא דרך ברירה כמו בקיטנית דהאוכל למעלה, אבל ביד א"א ללמוד מכלי, ודרך ברירה ביד היא רק בפסולת מתוך אוכל, כדביאר </w:t>
      </w:r>
      <w:r w:rsidRPr="006F1E65">
        <w:rPr>
          <w:rStyle w:val="aff4"/>
          <w:rFonts w:hint="cs"/>
          <w:vanish/>
          <w:rtl/>
        </w:rPr>
        <w:t>-</w:t>
      </w:r>
      <w:r w:rsidRPr="00B8766B">
        <w:rPr>
          <w:rStyle w:val="aff4"/>
          <w:rFonts w:hint="cs"/>
          <w:rtl/>
        </w:rPr>
        <w:t>רש"י במתני'</w:t>
      </w:r>
      <w:r w:rsidRPr="006F1E65">
        <w:rPr>
          <w:rStyle w:val="aff4"/>
          <w:rFonts w:hint="cs"/>
          <w:vanish/>
          <w:rtl/>
        </w:rPr>
        <w:t>-</w:t>
      </w:r>
      <w:r>
        <w:rPr>
          <w:rFonts w:hint="cs"/>
          <w:rtl/>
        </w:rPr>
        <w:t xml:space="preserve"> </w:t>
      </w:r>
      <w:r w:rsidRPr="006F1E65">
        <w:rPr>
          <w:rStyle w:val="af2"/>
          <w:rFonts w:eastAsia="Guttman Hodes" w:hint="cs"/>
          <w:rtl/>
        </w:rPr>
        <w:t xml:space="preserve">(עי' אות </w:t>
      </w:r>
      <w:r w:rsidRPr="006F1E65">
        <w:rPr>
          <w:rStyle w:val="af2"/>
          <w:rFonts w:eastAsia="Guttman Hodes"/>
          <w:rtl/>
        </w:rPr>
        <w:fldChar w:fldCharType="begin"/>
      </w:r>
      <w:r w:rsidRPr="006F1E65">
        <w:rPr>
          <w:rStyle w:val="af2"/>
          <w:rFonts w:eastAsia="Guttman Hodes"/>
          <w:rtl/>
        </w:rPr>
        <w:instrText xml:space="preserve"> </w:instrText>
      </w:r>
      <w:r w:rsidRPr="006F1E65">
        <w:rPr>
          <w:rStyle w:val="af2"/>
          <w:rFonts w:eastAsia="Guttman Hodes" w:hint="cs"/>
        </w:rPr>
        <w:instrText>REF</w:instrText>
      </w:r>
      <w:r w:rsidRPr="006F1E65">
        <w:rPr>
          <w:rStyle w:val="af2"/>
          <w:rFonts w:eastAsia="Guttman Hodes" w:hint="cs"/>
          <w:rtl/>
        </w:rPr>
        <w:instrText xml:space="preserve"> _</w:instrText>
      </w:r>
      <w:r w:rsidRPr="006F1E65">
        <w:rPr>
          <w:rStyle w:val="af2"/>
          <w:rFonts w:eastAsia="Guttman Hodes" w:hint="cs"/>
        </w:rPr>
        <w:instrText>Ref137984186 \r \h</w:instrText>
      </w:r>
      <w:r w:rsidRPr="006F1E65">
        <w:rPr>
          <w:rStyle w:val="af2"/>
          <w:rFonts w:eastAsia="Guttman Hodes"/>
          <w:rtl/>
        </w:rPr>
        <w:instrText xml:space="preserve"> </w:instrText>
      </w:r>
      <w:r w:rsidRPr="006F1E65">
        <w:rPr>
          <w:rStyle w:val="af2"/>
          <w:rFonts w:eastAsia="Guttman Hodes"/>
          <w:rtl/>
        </w:rPr>
      </w:r>
      <w:r w:rsidRPr="006F1E65">
        <w:rPr>
          <w:rStyle w:val="af2"/>
          <w:rFonts w:eastAsia="Guttman Hodes"/>
          <w:rtl/>
        </w:rPr>
        <w:fldChar w:fldCharType="separate"/>
      </w:r>
      <w:r w:rsidR="00D82181">
        <w:rPr>
          <w:rStyle w:val="af2"/>
          <w:rFonts w:eastAsia="Guttman Hodes"/>
          <w:cs/>
        </w:rPr>
        <w:t>‎</w:t>
      </w:r>
      <w:r w:rsidR="00D82181">
        <w:rPr>
          <w:rStyle w:val="af2"/>
          <w:rFonts w:eastAsia="Guttman Hodes"/>
          <w:rtl/>
        </w:rPr>
        <w:t>עג)</w:t>
      </w:r>
      <w:r w:rsidRPr="006F1E65">
        <w:rPr>
          <w:rStyle w:val="af2"/>
          <w:rFonts w:eastAsia="Guttman Hodes"/>
          <w:rtl/>
        </w:rPr>
        <w:fldChar w:fldCharType="end"/>
      </w:r>
      <w:r w:rsidRPr="002A1DBB">
        <w:rPr>
          <w:rStyle w:val="aff4"/>
          <w:rFonts w:hint="cs"/>
          <w:rtl/>
        </w:rPr>
        <w:t xml:space="preserve"> </w:t>
      </w:r>
      <w:r>
        <w:rPr>
          <w:rFonts w:hint="cs"/>
          <w:rtl/>
        </w:rPr>
        <w:t xml:space="preserve">דכל בורר הוא ביד, וע"ע במה שהוסיף </w:t>
      </w:r>
      <w:r w:rsidRPr="006F1E65">
        <w:rPr>
          <w:rStyle w:val="aff4"/>
          <w:rFonts w:hint="cs"/>
          <w:vanish/>
          <w:rtl/>
        </w:rPr>
        <w:t>-</w:t>
      </w:r>
      <w:r w:rsidRPr="00194A43">
        <w:rPr>
          <w:rStyle w:val="aff4"/>
          <w:rFonts w:hint="cs"/>
          <w:rtl/>
        </w:rPr>
        <w:t>האגלי טל</w:t>
      </w:r>
      <w:r w:rsidRPr="006F1E65">
        <w:rPr>
          <w:rStyle w:val="aff4"/>
          <w:rFonts w:hint="cs"/>
          <w:vanish/>
          <w:rtl/>
        </w:rPr>
        <w:t>-</w:t>
      </w:r>
      <w:r w:rsidRPr="006F5054">
        <w:rPr>
          <w:rFonts w:hint="cs"/>
          <w:rtl/>
        </w:rPr>
        <w:t xml:space="preserve"> </w:t>
      </w:r>
      <w:r w:rsidRPr="006F1E65">
        <w:rPr>
          <w:rStyle w:val="af2"/>
          <w:rFonts w:eastAsia="Guttman Hodes" w:hint="cs"/>
          <w:rtl/>
        </w:rPr>
        <w:t xml:space="preserve">(עי' אות </w:t>
      </w:r>
      <w:r w:rsidRPr="006F1E65">
        <w:rPr>
          <w:rStyle w:val="af2"/>
          <w:rFonts w:eastAsia="Guttman Hodes"/>
          <w:rtl/>
        </w:rPr>
        <w:fldChar w:fldCharType="begin"/>
      </w:r>
      <w:r w:rsidRPr="006F1E65">
        <w:rPr>
          <w:rStyle w:val="af2"/>
          <w:rFonts w:eastAsia="Guttman Hodes"/>
          <w:rtl/>
        </w:rPr>
        <w:instrText xml:space="preserve"> </w:instrText>
      </w:r>
      <w:r w:rsidRPr="006F1E65">
        <w:rPr>
          <w:rStyle w:val="af2"/>
          <w:rFonts w:eastAsia="Guttman Hodes" w:hint="cs"/>
        </w:rPr>
        <w:instrText>REF</w:instrText>
      </w:r>
      <w:r w:rsidRPr="006F1E65">
        <w:rPr>
          <w:rStyle w:val="af2"/>
          <w:rFonts w:eastAsia="Guttman Hodes" w:hint="cs"/>
          <w:rtl/>
        </w:rPr>
        <w:instrText xml:space="preserve"> _</w:instrText>
      </w:r>
      <w:r w:rsidRPr="006F1E65">
        <w:rPr>
          <w:rStyle w:val="af2"/>
          <w:rFonts w:eastAsia="Guttman Hodes" w:hint="cs"/>
        </w:rPr>
        <w:instrText>Ref139215203 \r \h</w:instrText>
      </w:r>
      <w:r w:rsidRPr="006F1E65">
        <w:rPr>
          <w:rStyle w:val="af2"/>
          <w:rFonts w:eastAsia="Guttman Hodes"/>
          <w:rtl/>
        </w:rPr>
        <w:instrText xml:space="preserve"> </w:instrText>
      </w:r>
      <w:r w:rsidRPr="006F1E65">
        <w:rPr>
          <w:rStyle w:val="af2"/>
          <w:rFonts w:eastAsia="Guttman Hodes"/>
          <w:rtl/>
        </w:rPr>
      </w:r>
      <w:r w:rsidRPr="006F1E65">
        <w:rPr>
          <w:rStyle w:val="af2"/>
          <w:rFonts w:eastAsia="Guttman Hodes"/>
          <w:rtl/>
        </w:rPr>
        <w:fldChar w:fldCharType="separate"/>
      </w:r>
      <w:r w:rsidR="00D82181">
        <w:rPr>
          <w:rStyle w:val="af2"/>
          <w:rFonts w:eastAsia="Guttman Hodes"/>
          <w:cs/>
        </w:rPr>
        <w:t>‎</w:t>
      </w:r>
      <w:r w:rsidR="00D82181">
        <w:rPr>
          <w:rStyle w:val="af2"/>
          <w:rFonts w:eastAsia="Guttman Hodes"/>
          <w:rtl/>
        </w:rPr>
        <w:t>נז)</w:t>
      </w:r>
      <w:r w:rsidRPr="006F1E65">
        <w:rPr>
          <w:rStyle w:val="af2"/>
          <w:rFonts w:eastAsia="Guttman Hodes"/>
          <w:rtl/>
        </w:rPr>
        <w:fldChar w:fldCharType="end"/>
      </w:r>
      <w:r>
        <w:rPr>
          <w:rFonts w:hint="cs"/>
          <w:rtl/>
        </w:rPr>
        <w:t xml:space="preserve"> לבאר </w:t>
      </w:r>
      <w:r w:rsidRPr="00D93AE0">
        <w:rPr>
          <w:rFonts w:hint="cs"/>
          <w:rtl/>
        </w:rPr>
        <w:t xml:space="preserve">בדעת </w:t>
      </w:r>
      <w:r w:rsidRPr="006F1E65">
        <w:rPr>
          <w:rStyle w:val="aff4"/>
          <w:rFonts w:hint="cs"/>
          <w:vanish/>
          <w:rtl/>
        </w:rPr>
        <w:t>-</w:t>
      </w:r>
      <w:r w:rsidRPr="00256FA2">
        <w:rPr>
          <w:rStyle w:val="aff4"/>
          <w:rFonts w:hint="cs"/>
          <w:rtl/>
        </w:rPr>
        <w:t>רש"י</w:t>
      </w:r>
      <w:r w:rsidRPr="006F1E65">
        <w:rPr>
          <w:rStyle w:val="aff4"/>
          <w:rFonts w:hint="cs"/>
          <w:vanish/>
          <w:rtl/>
        </w:rPr>
        <w:t>-</w:t>
      </w:r>
      <w:r>
        <w:rPr>
          <w:rFonts w:hint="cs"/>
          <w:rtl/>
        </w:rPr>
        <w:t>.</w:t>
      </w:r>
      <w:bookmarkEnd w:id="2492"/>
    </w:p>
    <w:p w14:paraId="2DCFA6C8" w14:textId="77777777" w:rsidR="008925FD" w:rsidRPr="00747170" w:rsidRDefault="008925FD" w:rsidP="00747170">
      <w:pPr>
        <w:pStyle w:val="a2"/>
        <w:rPr>
          <w:rtl/>
        </w:rPr>
      </w:pPr>
      <w:r w:rsidRPr="00747170">
        <w:rPr>
          <w:rtl/>
        </w:rPr>
        <w:t>(י) וטעם שיטתו לכאורה נראה דאוכל מתוך פסולת ביד מותר משום דאין דרך ברירה בכך כמו שפירש בעצמו להדיא דאוכל מתוך פסולת אין דרך ברירה בכך. אבל בנפה וכברה ממ"נ אם נחשוב שהיורד למטה הוא המתברר הרי מרקד שסובין למעלה שהוא הפסולת והקמח שהוא האוכל למטה א"כ הוא אוכל מתוך פסולת בכלי. ואם מה שנשאר בידו חשוב שהוא המתברר וכמו שיבואר לקמן הרי בורר הקטניות הפסולת למטה כמ"ש רש"י ריש תולין והאוכל נשאר בכלי בידו. והרי כל בורר בכלי דרכו אוכל מתוך פסולת. אבל ביד לא נוכל ללמוד מבורר בכלי או מרקד ע"כ אין חיוב רק בורר פסולת מתוך אוכל דזה הוא אב מלאכה כפירש"י במשנה זה טעם החילוק באוכל מתוך פסולת בין ביד לבכלי.</w:t>
      </w:r>
    </w:p>
    <w:p w14:paraId="123E2285" w14:textId="77777777" w:rsidR="008925FD" w:rsidRDefault="008925FD" w:rsidP="008925FD">
      <w:pPr>
        <w:pStyle w:val="afffff7"/>
        <w:rPr>
          <w:rtl/>
        </w:rPr>
      </w:pPr>
      <w:bookmarkStart w:id="2493" w:name="_Toc139277148"/>
      <w:bookmarkStart w:id="2494" w:name="_Toc163505850"/>
      <w:r w:rsidRPr="007D5064">
        <w:rPr>
          <w:rtl/>
        </w:rPr>
        <w:t xml:space="preserve">אגלי טל בורר </w:t>
      </w:r>
      <w:r w:rsidRPr="007D5064">
        <w:rPr>
          <w:rFonts w:hint="cs"/>
          <w:rtl/>
        </w:rPr>
        <w:t xml:space="preserve">סק"א </w:t>
      </w:r>
      <w:r w:rsidRPr="007D5064">
        <w:rPr>
          <w:rtl/>
        </w:rPr>
        <w:t xml:space="preserve">אות </w:t>
      </w:r>
      <w:r>
        <w:rPr>
          <w:rFonts w:hint="cs"/>
          <w:rtl/>
        </w:rPr>
        <w:t>י</w:t>
      </w:r>
      <w:r>
        <w:rPr>
          <w:rFonts w:cs="Guttman Hodes" w:hint="cs"/>
          <w:rtl/>
        </w:rPr>
        <w:t>"</w:t>
      </w:r>
      <w:r>
        <w:rPr>
          <w:rFonts w:hint="cs"/>
          <w:rtl/>
        </w:rPr>
        <w:t>א</w:t>
      </w:r>
      <w:bookmarkEnd w:id="2493"/>
      <w:bookmarkEnd w:id="2494"/>
    </w:p>
    <w:p w14:paraId="74BF1650" w14:textId="77777777" w:rsidR="008925FD" w:rsidRDefault="008925FD" w:rsidP="008925FD">
      <w:pPr>
        <w:pStyle w:val="a7"/>
        <w:rPr>
          <w:rtl/>
        </w:rPr>
      </w:pPr>
      <w:bookmarkStart w:id="2495" w:name="_Toc139277036"/>
      <w:r>
        <w:rPr>
          <w:rFonts w:hint="cs"/>
          <w:rtl/>
        </w:rPr>
        <w:t>בי' האגל"ט דהשינוי שבורר אוכל מתוך פסולת ולא שלא בורר בכלי ול"ד לכל שינוי בשבת</w:t>
      </w:r>
      <w:bookmarkEnd w:id="2495"/>
    </w:p>
    <w:p w14:paraId="61C7FEA3" w14:textId="691C93C1" w:rsidR="008925FD" w:rsidRPr="007A5766" w:rsidRDefault="008925FD" w:rsidP="00BC7DC8">
      <w:pPr>
        <w:pStyle w:val="a3"/>
        <w:rPr>
          <w:rtl/>
        </w:rPr>
      </w:pPr>
      <w:bookmarkStart w:id="2496" w:name="_Ref137981274"/>
      <w:r>
        <w:rPr>
          <w:rFonts w:hint="cs"/>
          <w:rtl/>
        </w:rPr>
        <w:t xml:space="preserve">הקשה </w:t>
      </w:r>
      <w:r w:rsidRPr="008036E5">
        <w:rPr>
          <w:rStyle w:val="aff4"/>
          <w:rFonts w:hint="cs"/>
          <w:vanish/>
          <w:rtl/>
        </w:rPr>
        <w:t>-</w:t>
      </w:r>
      <w:r w:rsidRPr="00194A43">
        <w:rPr>
          <w:rStyle w:val="aff4"/>
          <w:rFonts w:hint="cs"/>
          <w:rtl/>
        </w:rPr>
        <w:t>ה</w:t>
      </w:r>
      <w:r w:rsidRPr="008036E5">
        <w:rPr>
          <w:rStyle w:val="aff4"/>
          <w:rFonts w:hint="cs"/>
          <w:vanish/>
          <w:rtl/>
        </w:rPr>
        <w:t xml:space="preserve">&lt;. </w:t>
      </w:r>
      <w:r w:rsidRPr="008036E5">
        <w:rPr>
          <w:rStyle w:val="aff4"/>
          <w:vanish/>
          <w:rtl/>
        </w:rPr>
        <w:fldChar w:fldCharType="begin"/>
      </w:r>
      <w:r w:rsidRPr="008036E5">
        <w:rPr>
          <w:rStyle w:val="aff4"/>
          <w:vanish/>
          <w:rtl/>
        </w:rPr>
        <w:instrText xml:space="preserve"> </w:instrText>
      </w:r>
      <w:r w:rsidRPr="008036E5">
        <w:rPr>
          <w:rStyle w:val="aff4"/>
          <w:rFonts w:hint="cs"/>
          <w:vanish/>
        </w:rPr>
        <w:instrText>REF</w:instrText>
      </w:r>
      <w:r w:rsidRPr="008036E5">
        <w:rPr>
          <w:rStyle w:val="aff4"/>
          <w:rFonts w:hint="cs"/>
          <w:vanish/>
          <w:rtl/>
        </w:rPr>
        <w:instrText xml:space="preserve"> _</w:instrText>
      </w:r>
      <w:r w:rsidRPr="008036E5">
        <w:rPr>
          <w:rStyle w:val="aff4"/>
          <w:rFonts w:hint="cs"/>
          <w:vanish/>
        </w:rPr>
        <w:instrText>Ref137981274 \r \h</w:instrText>
      </w:r>
      <w:r w:rsidRPr="008036E5">
        <w:rPr>
          <w:rStyle w:val="aff4"/>
          <w:vanish/>
          <w:rtl/>
        </w:rPr>
        <w:instrText xml:space="preserve"> </w:instrText>
      </w:r>
      <w:r w:rsidRPr="008036E5">
        <w:rPr>
          <w:rStyle w:val="aff4"/>
          <w:vanish/>
          <w:rtl/>
        </w:rPr>
      </w:r>
      <w:r w:rsidRPr="008036E5">
        <w:rPr>
          <w:rStyle w:val="aff4"/>
          <w:vanish/>
          <w:rtl/>
        </w:rPr>
        <w:fldChar w:fldCharType="separate"/>
      </w:r>
      <w:r w:rsidR="00D82181">
        <w:rPr>
          <w:rStyle w:val="aff4"/>
          <w:vanish/>
          <w:cs/>
        </w:rPr>
        <w:t>‎</w:t>
      </w:r>
      <w:r w:rsidR="00D82181">
        <w:rPr>
          <w:rStyle w:val="aff4"/>
          <w:vanish/>
          <w:rtl/>
        </w:rPr>
        <w:t>ג)</w:t>
      </w:r>
      <w:r w:rsidRPr="008036E5">
        <w:rPr>
          <w:rStyle w:val="aff4"/>
          <w:vanish/>
          <w:rtl/>
        </w:rPr>
        <w:fldChar w:fldCharType="end"/>
      </w:r>
      <w:r w:rsidRPr="008036E5">
        <w:rPr>
          <w:rStyle w:val="aff4"/>
          <w:rFonts w:hint="cs"/>
          <w:vanish/>
          <w:rtl/>
        </w:rPr>
        <w:t xml:space="preserve"> &gt;</w:t>
      </w:r>
      <w:r w:rsidRPr="00194A43">
        <w:rPr>
          <w:rStyle w:val="aff4"/>
          <w:rFonts w:hint="cs"/>
          <w:rtl/>
        </w:rPr>
        <w:t>אגלי טל</w:t>
      </w:r>
      <w:r w:rsidRPr="008036E5">
        <w:rPr>
          <w:rStyle w:val="aff4"/>
          <w:rFonts w:hint="cs"/>
          <w:vanish/>
          <w:rtl/>
        </w:rPr>
        <w:t>-</w:t>
      </w:r>
      <w:r>
        <w:rPr>
          <w:rFonts w:hint="cs"/>
          <w:rtl/>
        </w:rPr>
        <w:t xml:space="preserve"> </w:t>
      </w:r>
      <w:r w:rsidRPr="000D251D">
        <w:rPr>
          <w:rStyle w:val="af2"/>
          <w:rFonts w:eastAsia="Guttman Hodes" w:hint="cs"/>
          <w:rtl/>
        </w:rPr>
        <w:t>(בורר סק"א אות י"א)</w:t>
      </w:r>
      <w:r w:rsidRPr="008036E5">
        <w:rPr>
          <w:rFonts w:hint="cs"/>
          <w:vanish/>
          <w:rtl/>
        </w:rPr>
        <w:t>=</w:t>
      </w:r>
      <w:bookmarkEnd w:id="2496"/>
      <w:r>
        <w:rPr>
          <w:rFonts w:hint="cs"/>
          <w:rtl/>
        </w:rPr>
        <w:t xml:space="preserve"> דמשמע </w:t>
      </w:r>
      <w:r w:rsidRPr="008036E5">
        <w:rPr>
          <w:rStyle w:val="aff4"/>
          <w:rFonts w:hint="cs"/>
          <w:vanish/>
          <w:rtl/>
        </w:rPr>
        <w:t>-</w:t>
      </w:r>
      <w:r w:rsidRPr="00194A43">
        <w:rPr>
          <w:rStyle w:val="aff4"/>
          <w:rFonts w:hint="cs"/>
          <w:rtl/>
        </w:rPr>
        <w:t>ברש"י</w:t>
      </w:r>
      <w:r w:rsidRPr="008036E5">
        <w:rPr>
          <w:rStyle w:val="aff4"/>
          <w:rFonts w:hint="cs"/>
          <w:vanish/>
          <w:rtl/>
        </w:rPr>
        <w:t>-</w:t>
      </w:r>
      <w:r>
        <w:rPr>
          <w:rFonts w:hint="cs"/>
          <w:rtl/>
        </w:rPr>
        <w:t xml:space="preserve"> דבבורר השינוי שבורר ביד פוטר לגמרי, מהא דאוכל מתוך פסולת ביד מותר אף לאחר זמן</w:t>
      </w:r>
      <w:r w:rsidRPr="00031B45">
        <w:rPr>
          <w:rStyle w:val="af"/>
          <w:rtl/>
        </w:rPr>
        <w:t xml:space="preserve"> </w:t>
      </w:r>
      <w:r w:rsidRPr="000D251D">
        <w:rPr>
          <w:rStyle w:val="af"/>
          <w:rtl/>
        </w:rPr>
        <w:t xml:space="preserve">[כדביאר </w:t>
      </w:r>
      <w:r w:rsidRPr="009B1F18">
        <w:rPr>
          <w:rStyle w:val="aff9"/>
          <w:vanish/>
          <w:rtl/>
        </w:rPr>
        <w:t>-</w:t>
      </w:r>
      <w:r w:rsidRPr="009B1F18">
        <w:rPr>
          <w:rStyle w:val="aff9"/>
          <w:rtl/>
        </w:rPr>
        <w:t>האגלי טל</w:t>
      </w:r>
      <w:r w:rsidRPr="009B1F18">
        <w:rPr>
          <w:rStyle w:val="aff9"/>
          <w:vanish/>
          <w:rtl/>
        </w:rPr>
        <w:t>-</w:t>
      </w:r>
      <w:r w:rsidRPr="000D251D">
        <w:rPr>
          <w:rStyle w:val="af"/>
          <w:rtl/>
        </w:rPr>
        <w:t xml:space="preserve"> </w:t>
      </w:r>
      <w:r w:rsidRPr="009B1F18">
        <w:rPr>
          <w:rStyle w:val="aff0"/>
          <w:rtl/>
        </w:rPr>
        <w:t xml:space="preserve">(עי' אות </w:t>
      </w:r>
      <w:r>
        <w:rPr>
          <w:rStyle w:val="aff0"/>
          <w:rtl/>
        </w:rPr>
        <w:fldChar w:fldCharType="begin"/>
      </w:r>
      <w:r>
        <w:rPr>
          <w:rStyle w:val="aff0"/>
          <w:rtl/>
        </w:rPr>
        <w:instrText xml:space="preserve"> </w:instrText>
      </w:r>
      <w:r>
        <w:rPr>
          <w:rStyle w:val="aff0"/>
        </w:rPr>
        <w:instrText>REF</w:instrText>
      </w:r>
      <w:r>
        <w:rPr>
          <w:rStyle w:val="aff0"/>
          <w:rtl/>
        </w:rPr>
        <w:instrText xml:space="preserve"> _</w:instrText>
      </w:r>
      <w:r>
        <w:rPr>
          <w:rStyle w:val="aff0"/>
        </w:rPr>
        <w:instrText>Ref138928134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יד)</w:t>
      </w:r>
      <w:r>
        <w:rPr>
          <w:rStyle w:val="aff0"/>
          <w:rtl/>
        </w:rPr>
        <w:fldChar w:fldCharType="end"/>
      </w:r>
      <w:r w:rsidRPr="000D251D">
        <w:rPr>
          <w:rStyle w:val="af"/>
          <w:rtl/>
        </w:rPr>
        <w:t xml:space="preserve"> בדעת </w:t>
      </w:r>
      <w:r w:rsidRPr="009B1F18">
        <w:rPr>
          <w:rStyle w:val="aff9"/>
          <w:vanish/>
          <w:rtl/>
        </w:rPr>
        <w:t>-</w:t>
      </w:r>
      <w:r w:rsidRPr="009B1F18">
        <w:rPr>
          <w:rStyle w:val="aff9"/>
          <w:rtl/>
        </w:rPr>
        <w:t>רש"י</w:t>
      </w:r>
      <w:r w:rsidRPr="009B1F18">
        <w:rPr>
          <w:rStyle w:val="aff9"/>
          <w:vanish/>
          <w:rtl/>
        </w:rPr>
        <w:t>-</w:t>
      </w:r>
      <w:r w:rsidRPr="00394BDA">
        <w:rPr>
          <w:rStyle w:val="af"/>
          <w:rtl/>
        </w:rPr>
        <w:t>],</w:t>
      </w:r>
      <w:r>
        <w:rPr>
          <w:rStyle w:val="af"/>
          <w:rtl/>
        </w:rPr>
        <w:t xml:space="preserve"> </w:t>
      </w:r>
      <w:r>
        <w:rPr>
          <w:rFonts w:hint="cs"/>
          <w:rtl/>
        </w:rPr>
        <w:t xml:space="preserve">ואילו בכלי לאחר זמן חייב, </w:t>
      </w:r>
      <w:r w:rsidRPr="000D251D">
        <w:rPr>
          <w:rStyle w:val="af"/>
          <w:rtl/>
        </w:rPr>
        <w:t xml:space="preserve">[כדביאר </w:t>
      </w:r>
      <w:r w:rsidRPr="009B1F18">
        <w:rPr>
          <w:rStyle w:val="aff9"/>
          <w:vanish/>
          <w:rtl/>
        </w:rPr>
        <w:t>-</w:t>
      </w:r>
      <w:r w:rsidRPr="009B1F18">
        <w:rPr>
          <w:rStyle w:val="aff9"/>
          <w:rtl/>
        </w:rPr>
        <w:t>האגלי טל</w:t>
      </w:r>
      <w:r w:rsidRPr="009B1F18">
        <w:rPr>
          <w:rStyle w:val="aff9"/>
          <w:vanish/>
          <w:rtl/>
        </w:rPr>
        <w:t>-</w:t>
      </w:r>
      <w:r w:rsidRPr="000D251D">
        <w:rPr>
          <w:rStyle w:val="af"/>
          <w:rtl/>
        </w:rPr>
        <w:t xml:space="preserve"> </w:t>
      </w:r>
      <w:r w:rsidRPr="009B1F18">
        <w:rPr>
          <w:rStyle w:val="aff0"/>
          <w:rtl/>
        </w:rPr>
        <w:t xml:space="preserve">(עי' אות </w:t>
      </w:r>
      <w:r>
        <w:rPr>
          <w:rStyle w:val="aff0"/>
          <w:rtl/>
        </w:rPr>
        <w:fldChar w:fldCharType="begin"/>
      </w:r>
      <w:r>
        <w:rPr>
          <w:rStyle w:val="aff0"/>
          <w:rtl/>
        </w:rPr>
        <w:instrText xml:space="preserve"> </w:instrText>
      </w:r>
      <w:r>
        <w:rPr>
          <w:rStyle w:val="aff0"/>
        </w:rPr>
        <w:instrText>REF</w:instrText>
      </w:r>
      <w:r>
        <w:rPr>
          <w:rStyle w:val="aff0"/>
          <w:rtl/>
        </w:rPr>
        <w:instrText xml:space="preserve"> _</w:instrText>
      </w:r>
      <w:r>
        <w:rPr>
          <w:rStyle w:val="aff0"/>
        </w:rPr>
        <w:instrText>Ref139276659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נה)</w:t>
      </w:r>
      <w:r>
        <w:rPr>
          <w:rStyle w:val="aff0"/>
          <w:rtl/>
        </w:rPr>
        <w:fldChar w:fldCharType="end"/>
      </w:r>
      <w:r w:rsidRPr="000D251D">
        <w:rPr>
          <w:rStyle w:val="af"/>
          <w:rtl/>
        </w:rPr>
        <w:t xml:space="preserve"> בדעת </w:t>
      </w:r>
      <w:r w:rsidRPr="009B1F18">
        <w:rPr>
          <w:rStyle w:val="aff9"/>
          <w:vanish/>
          <w:rtl/>
        </w:rPr>
        <w:t>-</w:t>
      </w:r>
      <w:r w:rsidRPr="009B1F18">
        <w:rPr>
          <w:rStyle w:val="aff9"/>
          <w:rtl/>
        </w:rPr>
        <w:t>רש"י</w:t>
      </w:r>
      <w:r w:rsidRPr="009B1F18">
        <w:rPr>
          <w:rStyle w:val="aff9"/>
          <w:vanish/>
          <w:rtl/>
        </w:rPr>
        <w:t>-</w:t>
      </w:r>
      <w:r w:rsidRPr="00394BDA">
        <w:rPr>
          <w:rStyle w:val="af"/>
          <w:rtl/>
        </w:rPr>
        <w:t>],</w:t>
      </w:r>
      <w:r w:rsidRPr="008036E5">
        <w:rPr>
          <w:sz w:val="12"/>
          <w:szCs w:val="14"/>
          <w:rtl/>
        </w:rPr>
        <w:t xml:space="preserve"> </w:t>
      </w:r>
      <w:r>
        <w:rPr>
          <w:rFonts w:hint="cs"/>
          <w:rtl/>
        </w:rPr>
        <w:t xml:space="preserve">והא בקוצר עיקר המלאכה היא בכלי וביד הוא תולש דתולדת קוצר, וכן בסוחט, ולא אמרינן דהשינוי שעשה את המלאכה ביד פוטר, ותירץ </w:t>
      </w:r>
      <w:r w:rsidRPr="008036E5">
        <w:rPr>
          <w:rStyle w:val="aff4"/>
          <w:rFonts w:hint="cs"/>
          <w:vanish/>
          <w:rtl/>
        </w:rPr>
        <w:t>-</w:t>
      </w:r>
      <w:r w:rsidRPr="00194A43">
        <w:rPr>
          <w:rStyle w:val="aff4"/>
          <w:rFonts w:hint="cs"/>
          <w:rtl/>
        </w:rPr>
        <w:t>האגלי טל</w:t>
      </w:r>
      <w:r w:rsidRPr="008036E5">
        <w:rPr>
          <w:rStyle w:val="aff4"/>
          <w:rFonts w:hint="cs"/>
          <w:vanish/>
          <w:rtl/>
        </w:rPr>
        <w:t>-</w:t>
      </w:r>
      <w:r>
        <w:rPr>
          <w:rFonts w:hint="cs"/>
          <w:rtl/>
        </w:rPr>
        <w:t xml:space="preserve"> דכיון דדרך ברירה ביד היא בפסולת</w:t>
      </w:r>
      <w:r w:rsidRPr="002454F8">
        <w:rPr>
          <w:rFonts w:hint="cs"/>
          <w:rtl/>
        </w:rPr>
        <w:t xml:space="preserve"> </w:t>
      </w:r>
      <w:r>
        <w:rPr>
          <w:rFonts w:hint="cs"/>
          <w:rtl/>
        </w:rPr>
        <w:t>אוכל מתוך, א"כ השינוי אינו במה שבורר ביד ולא בכלי, אלא במה שבורר אוכל מתוך פסולת.</w:t>
      </w:r>
    </w:p>
    <w:p w14:paraId="50808B8E" w14:textId="77777777" w:rsidR="008925FD" w:rsidRPr="00747170" w:rsidRDefault="008925FD" w:rsidP="00747170">
      <w:pPr>
        <w:pStyle w:val="a2"/>
        <w:rPr>
          <w:rtl/>
        </w:rPr>
      </w:pPr>
      <w:r w:rsidRPr="00747170">
        <w:rPr>
          <w:rtl/>
        </w:rPr>
        <w:t>(יא) ויש לעיין לדעת רש"י הבורר אוכל מתוך פסולת ביד לאכול לאחר זמן מותר. ובכלי בנפה וכברה לאחר זמן חייב חטאת. מ"ש מתולש מן המחובר ביד דהוי תולדה דקוצר בכלי. וכן תולש מבע"ח ביד הוי תולדה דגוזז בכלי. וכן הסוחט זיתים וענבים ביד הוי תולדה דדורך בכלי. וע"כ עיקר דרך מלאכות אלו בכלי דאי גם ביד יהי' ביד אב וע"כ עיקר הדרך בכלי ומ"מ ביד לא חשוב שינוי לפטור מחטאת ה"נ הבורר אוכל מתוך פסולת כיון דבכלי היינו דרך בורר או דרך מרקד כנ"ל ביד יהי' תולדה. ונ"ל דשאני בורר דביד אורחי' לברור פסולת מתוך אוכל הוי שינוי במה שבורר אוכל מתוך פסולת:</w:t>
      </w:r>
    </w:p>
    <w:p w14:paraId="6E76A657" w14:textId="77777777" w:rsidR="008925FD" w:rsidRDefault="008925FD" w:rsidP="008925FD">
      <w:pPr>
        <w:pStyle w:val="afffff7"/>
        <w:rPr>
          <w:rtl/>
        </w:rPr>
      </w:pPr>
      <w:bookmarkStart w:id="2497" w:name="_Toc139277149"/>
      <w:bookmarkStart w:id="2498" w:name="_Toc163505851"/>
      <w:r>
        <w:rPr>
          <w:rtl/>
        </w:rPr>
        <w:t>תוספות שבת ע"ד ע"א</w:t>
      </w:r>
      <w:r>
        <w:rPr>
          <w:rFonts w:hint="cs"/>
          <w:rtl/>
        </w:rPr>
        <w:t xml:space="preserve"> ד</w:t>
      </w:r>
      <w:r>
        <w:rPr>
          <w:rFonts w:cs="Guttman Hodes" w:hint="cs"/>
          <w:rtl/>
        </w:rPr>
        <w:t>"</w:t>
      </w:r>
      <w:r>
        <w:rPr>
          <w:rFonts w:hint="cs"/>
          <w:rtl/>
        </w:rPr>
        <w:t>ה בורר ואוכל</w:t>
      </w:r>
      <w:bookmarkEnd w:id="2497"/>
      <w:bookmarkEnd w:id="2498"/>
    </w:p>
    <w:p w14:paraId="58D85D0D" w14:textId="77777777" w:rsidR="008925FD" w:rsidRDefault="008925FD" w:rsidP="008925FD">
      <w:pPr>
        <w:pStyle w:val="afffff7"/>
        <w:rPr>
          <w:rtl/>
        </w:rPr>
      </w:pPr>
      <w:bookmarkStart w:id="2499" w:name="_Toc139277150"/>
      <w:bookmarkStart w:id="2500" w:name="_Toc139277037"/>
      <w:bookmarkStart w:id="2501" w:name="_Toc163505852"/>
      <w:r>
        <w:rPr>
          <w:rtl/>
        </w:rPr>
        <w:t>תוספות ביצה י"ד ע"ב</w:t>
      </w:r>
      <w:r>
        <w:rPr>
          <w:rFonts w:hint="cs"/>
          <w:rtl/>
        </w:rPr>
        <w:t xml:space="preserve"> ד"ה הבורר</w:t>
      </w:r>
      <w:bookmarkEnd w:id="2499"/>
      <w:bookmarkEnd w:id="2501"/>
    </w:p>
    <w:p w14:paraId="7F76A8E4" w14:textId="77777777" w:rsidR="008925FD" w:rsidRDefault="008925FD" w:rsidP="008925FD">
      <w:pPr>
        <w:pStyle w:val="a7"/>
        <w:rPr>
          <w:rtl/>
        </w:rPr>
      </w:pPr>
      <w:r>
        <w:rPr>
          <w:rFonts w:hint="cs"/>
          <w:rtl/>
        </w:rPr>
        <w:t>בי' התוס' דהיתר אוכל מתוך פסולת הוא דאינו דרך ברירה ותלוי אי האוכל מרובה או להיפך</w:t>
      </w:r>
      <w:bookmarkEnd w:id="2500"/>
    </w:p>
    <w:p w14:paraId="063A259F" w14:textId="7F3B1D21" w:rsidR="008925FD" w:rsidRPr="009D3D90" w:rsidRDefault="008925FD" w:rsidP="00BC7DC8">
      <w:pPr>
        <w:pStyle w:val="a3"/>
        <w:rPr>
          <w:rtl/>
        </w:rPr>
      </w:pPr>
      <w:bookmarkStart w:id="2502" w:name="_Ref138681089"/>
      <w:bookmarkStart w:id="2503" w:name="_Ref139007899"/>
      <w:r>
        <w:rPr>
          <w:rFonts w:hint="cs"/>
          <w:rtl/>
        </w:rPr>
        <w:t xml:space="preserve">בהיתר אוכל מתוך פסולת, הקשו </w:t>
      </w:r>
      <w:r w:rsidRPr="00E9416F">
        <w:rPr>
          <w:rStyle w:val="aff4"/>
          <w:rFonts w:hint="cs"/>
          <w:vanish/>
          <w:rtl/>
        </w:rPr>
        <w:t>-</w:t>
      </w:r>
      <w:r w:rsidRPr="00E9416F">
        <w:rPr>
          <w:rStyle w:val="aff4"/>
          <w:rFonts w:hint="cs"/>
          <w:rtl/>
        </w:rPr>
        <w:t>ה</w:t>
      </w:r>
      <w:r w:rsidRPr="00E9416F">
        <w:rPr>
          <w:rStyle w:val="aff4"/>
          <w:rFonts w:hint="cs"/>
          <w:vanish/>
          <w:rtl/>
        </w:rPr>
        <w:t xml:space="preserve">&lt;. </w:t>
      </w:r>
      <w:r w:rsidRPr="00E9416F">
        <w:rPr>
          <w:rStyle w:val="aff4"/>
          <w:vanish/>
          <w:rtl/>
        </w:rPr>
        <w:fldChar w:fldCharType="begin"/>
      </w:r>
      <w:r w:rsidRPr="00E9416F">
        <w:rPr>
          <w:rStyle w:val="aff4"/>
          <w:vanish/>
          <w:rtl/>
        </w:rPr>
        <w:instrText xml:space="preserve"> </w:instrText>
      </w:r>
      <w:r w:rsidRPr="00E9416F">
        <w:rPr>
          <w:rStyle w:val="aff4"/>
          <w:rFonts w:hint="cs"/>
          <w:vanish/>
        </w:rPr>
        <w:instrText>REF</w:instrText>
      </w:r>
      <w:r w:rsidRPr="00E9416F">
        <w:rPr>
          <w:rStyle w:val="aff4"/>
          <w:rFonts w:hint="cs"/>
          <w:vanish/>
          <w:rtl/>
        </w:rPr>
        <w:instrText xml:space="preserve"> _</w:instrText>
      </w:r>
      <w:r w:rsidRPr="00E9416F">
        <w:rPr>
          <w:rStyle w:val="aff4"/>
          <w:rFonts w:hint="cs"/>
          <w:vanish/>
        </w:rPr>
        <w:instrText>Ref138681089 \r \h</w:instrText>
      </w:r>
      <w:r w:rsidRPr="00E9416F">
        <w:rPr>
          <w:rStyle w:val="aff4"/>
          <w:vanish/>
          <w:rtl/>
        </w:rPr>
        <w:instrText xml:space="preserve"> </w:instrText>
      </w:r>
      <w:r>
        <w:rPr>
          <w:rStyle w:val="aff4"/>
          <w:vanish/>
          <w:rtl/>
        </w:rPr>
        <w:instrText xml:space="preserve"> \* </w:instrText>
      </w:r>
      <w:r>
        <w:rPr>
          <w:rStyle w:val="aff4"/>
          <w:vanish/>
        </w:rPr>
        <w:instrText>MERGEFORMAT</w:instrText>
      </w:r>
      <w:r>
        <w:rPr>
          <w:rStyle w:val="aff4"/>
          <w:vanish/>
          <w:rtl/>
        </w:rPr>
        <w:instrText xml:space="preserve"> </w:instrText>
      </w:r>
      <w:r w:rsidRPr="00E9416F">
        <w:rPr>
          <w:rStyle w:val="aff4"/>
          <w:vanish/>
          <w:rtl/>
        </w:rPr>
      </w:r>
      <w:r w:rsidRPr="00E9416F">
        <w:rPr>
          <w:rStyle w:val="aff4"/>
          <w:vanish/>
          <w:rtl/>
        </w:rPr>
        <w:fldChar w:fldCharType="separate"/>
      </w:r>
      <w:r w:rsidR="00D82181">
        <w:rPr>
          <w:rStyle w:val="aff4"/>
          <w:vanish/>
          <w:cs/>
        </w:rPr>
        <w:t>‎</w:t>
      </w:r>
      <w:r w:rsidR="00D82181">
        <w:rPr>
          <w:rStyle w:val="aff4"/>
          <w:vanish/>
          <w:rtl/>
        </w:rPr>
        <w:t>ד)</w:t>
      </w:r>
      <w:r w:rsidRPr="00E9416F">
        <w:rPr>
          <w:rStyle w:val="aff4"/>
          <w:vanish/>
          <w:rtl/>
        </w:rPr>
        <w:fldChar w:fldCharType="end"/>
      </w:r>
      <w:r w:rsidRPr="00E9416F">
        <w:rPr>
          <w:rStyle w:val="aff4"/>
          <w:rFonts w:hint="cs"/>
          <w:vanish/>
          <w:rtl/>
        </w:rPr>
        <w:t xml:space="preserve"> &gt;</w:t>
      </w:r>
      <w:r w:rsidRPr="00E9416F">
        <w:rPr>
          <w:rStyle w:val="aff4"/>
          <w:rFonts w:hint="cs"/>
          <w:rtl/>
        </w:rPr>
        <w:t>תוס'</w:t>
      </w:r>
      <w:r w:rsidRPr="00E9416F">
        <w:rPr>
          <w:rStyle w:val="aff4"/>
          <w:rFonts w:hint="cs"/>
          <w:vanish/>
          <w:rtl/>
        </w:rPr>
        <w:t>-</w:t>
      </w:r>
      <w:r>
        <w:rPr>
          <w:rFonts w:hint="cs"/>
          <w:rtl/>
        </w:rPr>
        <w:t xml:space="preserve"> </w:t>
      </w:r>
      <w:r w:rsidRPr="000D251D">
        <w:rPr>
          <w:rStyle w:val="af2"/>
          <w:rFonts w:eastAsia="Guttman Hodes" w:hint="cs"/>
          <w:rtl/>
        </w:rPr>
        <w:t>(ד"ה בורר ואוכל)</w:t>
      </w:r>
      <w:r w:rsidRPr="003572E4">
        <w:rPr>
          <w:rFonts w:hint="cs"/>
          <w:vanish/>
          <w:rtl/>
        </w:rPr>
        <w:t>=</w:t>
      </w:r>
      <w:r>
        <w:rPr>
          <w:rFonts w:hint="cs"/>
          <w:rtl/>
        </w:rPr>
        <w:t xml:space="preserve"> דבסוגיין משמע דאין דרך ברירה ברירה באוכל מתוך פסולת, ואילו בגמ' לקמן </w:t>
      </w:r>
      <w:r w:rsidRPr="000D251D">
        <w:rPr>
          <w:rStyle w:val="af2"/>
          <w:rFonts w:eastAsia="Guttman Hodes" w:hint="cs"/>
          <w:rtl/>
        </w:rPr>
        <w:t>(קלח.)</w:t>
      </w:r>
      <w:r>
        <w:rPr>
          <w:rFonts w:hint="cs"/>
          <w:rtl/>
        </w:rPr>
        <w:t xml:space="preserve"> אמרינן דדרך ברירה היא באוכל מתוך פסולת, ותירצו </w:t>
      </w:r>
      <w:r w:rsidRPr="00E9416F">
        <w:rPr>
          <w:rStyle w:val="aff4"/>
          <w:rFonts w:hint="cs"/>
          <w:vanish/>
          <w:rtl/>
        </w:rPr>
        <w:t>-</w:t>
      </w:r>
      <w:r w:rsidRPr="00E9416F">
        <w:rPr>
          <w:rStyle w:val="aff4"/>
          <w:rFonts w:hint="cs"/>
          <w:rtl/>
        </w:rPr>
        <w:t>התוס'</w:t>
      </w:r>
      <w:r w:rsidRPr="00E9416F">
        <w:rPr>
          <w:rStyle w:val="aff4"/>
          <w:rFonts w:hint="cs"/>
          <w:vanish/>
          <w:rtl/>
        </w:rPr>
        <w:t>-</w:t>
      </w:r>
      <w:bookmarkEnd w:id="2502"/>
      <w:r>
        <w:rPr>
          <w:rFonts w:hint="cs"/>
          <w:rtl/>
        </w:rPr>
        <w:t xml:space="preserve"> דלקמן איירי במשמר דהוא פסולת מרובה על האוכל, דבזה דרך הברירה היא באוכל מתוך פסולת, אך הקשה </w:t>
      </w:r>
      <w:r w:rsidRPr="00E9416F">
        <w:rPr>
          <w:rStyle w:val="aff4"/>
          <w:rFonts w:hint="cs"/>
          <w:vanish/>
          <w:rtl/>
        </w:rPr>
        <w:t>-</w:t>
      </w:r>
      <w:r w:rsidRPr="00E9416F">
        <w:rPr>
          <w:rStyle w:val="aff4"/>
          <w:rFonts w:hint="cs"/>
          <w:rtl/>
        </w:rPr>
        <w:t>הרשב"א בתוס'</w:t>
      </w:r>
      <w:r w:rsidRPr="00E9416F">
        <w:rPr>
          <w:rStyle w:val="aff4"/>
          <w:rFonts w:hint="cs"/>
          <w:vanish/>
          <w:rtl/>
        </w:rPr>
        <w:t>-</w:t>
      </w:r>
      <w:r>
        <w:rPr>
          <w:rFonts w:hint="cs"/>
          <w:rtl/>
        </w:rPr>
        <w:t xml:space="preserve"> דבמשנה בביצה מבואר דבפסולת מרובה על האוכל, אין דרך ברירה באוכל מתוך פסולת, ועי' במה שתירצו </w:t>
      </w:r>
      <w:r w:rsidRPr="00E9416F">
        <w:rPr>
          <w:rStyle w:val="aff4"/>
          <w:rFonts w:hint="cs"/>
          <w:vanish/>
          <w:rtl/>
        </w:rPr>
        <w:t>-</w:t>
      </w:r>
      <w:r w:rsidRPr="00E9416F">
        <w:rPr>
          <w:rStyle w:val="aff4"/>
          <w:rFonts w:hint="cs"/>
          <w:rtl/>
        </w:rPr>
        <w:t>ה</w:t>
      </w:r>
      <w:r w:rsidRPr="00E9416F">
        <w:rPr>
          <w:rStyle w:val="aff4"/>
          <w:rFonts w:hint="cs"/>
          <w:vanish/>
          <w:rtl/>
        </w:rPr>
        <w:t>&lt; &gt;</w:t>
      </w:r>
      <w:r w:rsidRPr="00E9416F">
        <w:rPr>
          <w:rStyle w:val="aff4"/>
          <w:rFonts w:hint="cs"/>
          <w:rtl/>
        </w:rPr>
        <w:t>תוס' בביצה</w:t>
      </w:r>
      <w:r w:rsidRPr="00E9416F">
        <w:rPr>
          <w:rStyle w:val="aff4"/>
          <w:rFonts w:hint="cs"/>
          <w:vanish/>
          <w:rtl/>
        </w:rPr>
        <w:t>-</w:t>
      </w:r>
      <w:r>
        <w:rPr>
          <w:rFonts w:hint="cs"/>
          <w:rtl/>
        </w:rPr>
        <w:t xml:space="preserve"> </w:t>
      </w:r>
      <w:r w:rsidRPr="000D251D">
        <w:rPr>
          <w:rStyle w:val="af2"/>
          <w:rFonts w:eastAsia="Guttman Hodes" w:hint="cs"/>
          <w:rtl/>
        </w:rPr>
        <w:t>(יד: ד"ה הבורר)</w:t>
      </w:r>
      <w:r w:rsidRPr="003572E4">
        <w:rPr>
          <w:rFonts w:hint="cs"/>
          <w:vanish/>
          <w:rtl/>
        </w:rPr>
        <w:t>=</w:t>
      </w:r>
      <w:r>
        <w:rPr>
          <w:rFonts w:hint="cs"/>
          <w:rtl/>
        </w:rPr>
        <w:t>.</w:t>
      </w:r>
      <w:bookmarkEnd w:id="2503"/>
    </w:p>
    <w:p w14:paraId="7FC202B9" w14:textId="77777777" w:rsidR="008925FD" w:rsidRPr="00747170" w:rsidRDefault="008925FD" w:rsidP="00747170">
      <w:pPr>
        <w:pStyle w:val="a2"/>
        <w:rPr>
          <w:rtl/>
        </w:rPr>
      </w:pPr>
      <w:r w:rsidRPr="00747170">
        <w:rPr>
          <w:rtl/>
        </w:rPr>
        <w:t>בורר ואוכל אוכל מתוך פסולת - משמע דאוכל מתוך פסולת אין דרך ברירה בכך וקשה דבריש פרק תולין (לקמן קלח.) אמרי' מה דרכו של בורר בורר אוכל מתוך פסולת וי"ל דהתם בפסולת מרובה על האוכל הוי אוכל מתוך פסולת דרך ברירה דהתם במשמר איירי וקשה לרשב"א דתנן בפ"ק דביצה (דף יד:) הבורר קטניות בי"ט ב"ש אומרים בורר אוכל ואוכל וב"ה אומרים בורר כדרכו ואמר בגמרא בד"א כשהאוכל מרובה על הפסולת אבל פסולת מרובה על האוכל ד"ה נוטל את האוכל ומניח את הפסולת ואי בפסולת מרובה על האוכל הוי אוכל מתוך פסולת דרך ברירה היכי שרי לב"ש הא אינהו אסרי לברר כדרכו וצ"ע שם.</w:t>
      </w:r>
    </w:p>
    <w:p w14:paraId="50EF7BBA" w14:textId="77777777" w:rsidR="008925FD" w:rsidRPr="00EB6547" w:rsidRDefault="008925FD" w:rsidP="00747170">
      <w:pPr>
        <w:pStyle w:val="afffff5"/>
        <w:rPr>
          <w:rtl/>
        </w:rPr>
      </w:pPr>
      <w:r w:rsidRPr="00EB6547">
        <w:rPr>
          <w:rtl/>
        </w:rPr>
        <w:t>הבורר קטניות ביום טוב בית שמאי אומרים בורר אוכל ואוכל - ולאו היינו ברירה וכו' ותימה דבמסכת שבת (דף קלח.) קאמר מה דרכו של בורר נוטל האוכל ומניח הפסולת והכא משמע שאין ברירה בכך דקרי ליה שנוי וי"ל דהתם ה"פ נוטל האוכל עצמו ומניח הפסולת פירוש יזרוק אותו ומכל מקום פסולת מתוך האוכל הוי ברירה אי נמי התם שהפסולת מרובה על האוכל ואז ודאי הוי אוכל מתוך הפסולת דרך ברירה אבל הכא מיירי שהאוכל מרובה על הפסולת דאז הוי פסולת מתוך האוכל דרך ברירה ובגמ' דפריך דפסולת מרובה על האוכל מי איכא מאן דשרי פי' אפי' בטלטול יהא אסור היה יכול להקשות דזהו דרך בורר אלא דעדיפא מניה פריך דאפילו טלטול יהא אסור דבטל מעוטא לגבי רובא והוי ככוליה פסולת.</w:t>
      </w:r>
    </w:p>
    <w:p w14:paraId="0E6A669D" w14:textId="77777777" w:rsidR="008925FD" w:rsidRDefault="008925FD" w:rsidP="008925FD">
      <w:pPr>
        <w:pStyle w:val="a7"/>
        <w:rPr>
          <w:rtl/>
        </w:rPr>
      </w:pPr>
      <w:bookmarkStart w:id="2504" w:name="_Toc139277151"/>
    </w:p>
    <w:p w14:paraId="22EF58EC" w14:textId="77777777" w:rsidR="008925FD" w:rsidRDefault="008925FD" w:rsidP="008925FD">
      <w:pPr>
        <w:pStyle w:val="a7"/>
        <w:rPr>
          <w:rtl/>
        </w:rPr>
      </w:pPr>
    </w:p>
    <w:p w14:paraId="53331EF0" w14:textId="77777777" w:rsidR="008925FD" w:rsidRDefault="008925FD" w:rsidP="008925FD">
      <w:pPr>
        <w:pStyle w:val="afffff7"/>
        <w:rPr>
          <w:rtl/>
        </w:rPr>
      </w:pPr>
    </w:p>
    <w:p w14:paraId="6B36C8C8" w14:textId="77777777" w:rsidR="008925FD" w:rsidRDefault="008925FD" w:rsidP="008925FD">
      <w:pPr>
        <w:pStyle w:val="afffff7"/>
        <w:rPr>
          <w:rtl/>
        </w:rPr>
      </w:pPr>
      <w:bookmarkStart w:id="2505" w:name="_Toc163505853"/>
      <w:r>
        <w:rPr>
          <w:rtl/>
        </w:rPr>
        <w:t>אגלי טל בורר</w:t>
      </w:r>
      <w:r>
        <w:rPr>
          <w:rFonts w:hint="cs"/>
          <w:rtl/>
        </w:rPr>
        <w:t xml:space="preserve"> סק"א</w:t>
      </w:r>
      <w:r>
        <w:rPr>
          <w:rtl/>
        </w:rPr>
        <w:t xml:space="preserve"> אות </w:t>
      </w:r>
      <w:r>
        <w:rPr>
          <w:rFonts w:hint="cs"/>
          <w:rtl/>
        </w:rPr>
        <w:t>י"ח</w:t>
      </w:r>
      <w:bookmarkEnd w:id="2504"/>
      <w:bookmarkEnd w:id="2505"/>
    </w:p>
    <w:p w14:paraId="2FC19A91" w14:textId="77777777" w:rsidR="008925FD" w:rsidRDefault="008925FD" w:rsidP="008925FD">
      <w:pPr>
        <w:pStyle w:val="a7"/>
        <w:rPr>
          <w:rtl/>
        </w:rPr>
      </w:pPr>
      <w:bookmarkStart w:id="2506" w:name="_Toc139277038"/>
      <w:r>
        <w:rPr>
          <w:rFonts w:hint="cs"/>
          <w:rtl/>
        </w:rPr>
        <w:t>בי' האגל"ט בתוס' דאוכל מתוך פסולת הוא שינוי ולכן אף דחייב בנפה פטור ביד ולא הוי תולדה</w:t>
      </w:r>
      <w:bookmarkEnd w:id="2506"/>
      <w:r>
        <w:rPr>
          <w:rFonts w:hint="cs"/>
          <w:rtl/>
        </w:rPr>
        <w:t xml:space="preserve"> </w:t>
      </w:r>
    </w:p>
    <w:p w14:paraId="31537489" w14:textId="41656930" w:rsidR="008925FD" w:rsidRPr="00B403C7" w:rsidRDefault="008925FD" w:rsidP="00BC7DC8">
      <w:pPr>
        <w:pStyle w:val="a3"/>
        <w:rPr>
          <w:rtl/>
        </w:rPr>
      </w:pPr>
      <w:bookmarkStart w:id="2507" w:name="_Ref139013498"/>
      <w:r>
        <w:rPr>
          <w:rFonts w:hint="cs"/>
          <w:rtl/>
        </w:rPr>
        <w:t xml:space="preserve">הקשה </w:t>
      </w:r>
      <w:r w:rsidRPr="00F00B89">
        <w:rPr>
          <w:rStyle w:val="aff4"/>
          <w:rFonts w:hint="cs"/>
          <w:vanish/>
          <w:rtl/>
        </w:rPr>
        <w:t>-</w:t>
      </w:r>
      <w:r w:rsidRPr="007F312F">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Ref139013498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ה)</w:t>
      </w:r>
      <w:r>
        <w:rPr>
          <w:rStyle w:val="aff4"/>
          <w:vanish/>
          <w:rtl/>
        </w:rPr>
        <w:fldChar w:fldCharType="end"/>
      </w:r>
      <w:r>
        <w:rPr>
          <w:rStyle w:val="aff4"/>
          <w:rFonts w:hint="cs"/>
          <w:vanish/>
          <w:rtl/>
        </w:rPr>
        <w:t xml:space="preserve"> &gt;</w:t>
      </w:r>
      <w:r w:rsidRPr="007F312F">
        <w:rPr>
          <w:rStyle w:val="aff4"/>
          <w:rFonts w:hint="cs"/>
          <w:rtl/>
        </w:rPr>
        <w:t>אגלי טל</w:t>
      </w:r>
      <w:r w:rsidRPr="00F00B89">
        <w:rPr>
          <w:rStyle w:val="aff4"/>
          <w:rFonts w:hint="cs"/>
          <w:vanish/>
          <w:rtl/>
        </w:rPr>
        <w:t>-</w:t>
      </w:r>
      <w:r>
        <w:rPr>
          <w:rFonts w:hint="cs"/>
          <w:rtl/>
        </w:rPr>
        <w:t xml:space="preserve"> </w:t>
      </w:r>
      <w:r w:rsidRPr="000D251D">
        <w:rPr>
          <w:rStyle w:val="af2"/>
          <w:rFonts w:eastAsia="Guttman Hodes" w:hint="cs"/>
          <w:rtl/>
        </w:rPr>
        <w:t>(בורר סק"א אות י"ח)</w:t>
      </w:r>
      <w:r w:rsidRPr="00F00B89">
        <w:rPr>
          <w:rFonts w:hint="cs"/>
          <w:vanish/>
          <w:rtl/>
        </w:rPr>
        <w:t>=</w:t>
      </w:r>
      <w:r>
        <w:rPr>
          <w:rFonts w:hint="cs"/>
          <w:rtl/>
        </w:rPr>
        <w:t xml:space="preserve"> על דעת </w:t>
      </w:r>
      <w:r w:rsidRPr="00F00B89">
        <w:rPr>
          <w:rStyle w:val="aff4"/>
          <w:rFonts w:hint="cs"/>
          <w:vanish/>
          <w:rtl/>
        </w:rPr>
        <w:t>-</w:t>
      </w:r>
      <w:r w:rsidRPr="007F312F">
        <w:rPr>
          <w:rStyle w:val="aff4"/>
          <w:rFonts w:hint="cs"/>
          <w:rtl/>
        </w:rPr>
        <w:t>התוס'</w:t>
      </w:r>
      <w:r w:rsidRPr="00F00B89">
        <w:rPr>
          <w:rStyle w:val="aff4"/>
          <w:rFonts w:hint="cs"/>
          <w:vanish/>
          <w:rtl/>
        </w:rPr>
        <w:t>-</w:t>
      </w:r>
      <w:r>
        <w:rPr>
          <w:rFonts w:hint="cs"/>
          <w:rtl/>
        </w:rPr>
        <w:t xml:space="preserve"> </w:t>
      </w:r>
      <w:r w:rsidRPr="00C20B18">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Ref139273599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נב)</w:t>
      </w:r>
      <w:r>
        <w:rPr>
          <w:rStyle w:val="af2"/>
          <w:rFonts w:eastAsia="Guttman Hodes"/>
          <w:rtl/>
        </w:rPr>
        <w:fldChar w:fldCharType="end"/>
      </w:r>
      <w:r w:rsidRPr="00C20B18">
        <w:rPr>
          <w:rStyle w:val="af2"/>
          <w:rFonts w:eastAsia="Guttman Hodes" w:hint="cs"/>
          <w:rtl/>
        </w:rPr>
        <w:t xml:space="preserve"> </w:t>
      </w:r>
      <w:r>
        <w:rPr>
          <w:rFonts w:hint="cs"/>
          <w:rtl/>
        </w:rPr>
        <w:t xml:space="preserve">דבנפה וכברה חייב חטאת אף באוכל מתוך פסולת, </w:t>
      </w:r>
      <w:r w:rsidRPr="00BE587F">
        <w:rPr>
          <w:rStyle w:val="af"/>
          <w:rFonts w:hint="cs"/>
          <w:rtl/>
        </w:rPr>
        <w:t xml:space="preserve">[כדביאר </w:t>
      </w:r>
      <w:r w:rsidRPr="00BE587F">
        <w:rPr>
          <w:rStyle w:val="aff9"/>
          <w:rFonts w:hint="cs"/>
          <w:vanish/>
          <w:rtl/>
        </w:rPr>
        <w:t>-</w:t>
      </w:r>
      <w:r w:rsidRPr="00BE587F">
        <w:rPr>
          <w:rStyle w:val="aff9"/>
          <w:rFonts w:hint="cs"/>
          <w:rtl/>
        </w:rPr>
        <w:t>האגלי טל</w:t>
      </w:r>
      <w:r w:rsidRPr="00BE587F">
        <w:rPr>
          <w:rStyle w:val="aff9"/>
          <w:rFonts w:hint="cs"/>
          <w:vanish/>
          <w:rtl/>
        </w:rPr>
        <w:t>-</w:t>
      </w:r>
      <w:r w:rsidRPr="00BE587F">
        <w:rPr>
          <w:rStyle w:val="aff9"/>
          <w:rFonts w:hint="cs"/>
          <w:rtl/>
        </w:rPr>
        <w:t xml:space="preserve"> </w:t>
      </w:r>
      <w:r w:rsidRPr="00BE587F">
        <w:rPr>
          <w:rStyle w:val="aff0"/>
          <w:rFonts w:hint="cs"/>
          <w:rtl/>
        </w:rPr>
        <w:t xml:space="preserve">(עי' אות </w:t>
      </w:r>
      <w:r w:rsidRPr="00BE587F">
        <w:rPr>
          <w:rStyle w:val="aff0"/>
          <w:rtl/>
        </w:rPr>
        <w:fldChar w:fldCharType="begin"/>
      </w:r>
      <w:r w:rsidRPr="00BE587F">
        <w:rPr>
          <w:rStyle w:val="aff0"/>
          <w:rtl/>
        </w:rPr>
        <w:instrText xml:space="preserve"> </w:instrText>
      </w:r>
      <w:r w:rsidRPr="00BE587F">
        <w:rPr>
          <w:rStyle w:val="aff0"/>
          <w:rFonts w:hint="cs"/>
        </w:rPr>
        <w:instrText>REF</w:instrText>
      </w:r>
      <w:r w:rsidRPr="00BE587F">
        <w:rPr>
          <w:rStyle w:val="aff0"/>
          <w:rFonts w:hint="cs"/>
          <w:rtl/>
        </w:rPr>
        <w:instrText xml:space="preserve"> _</w:instrText>
      </w:r>
      <w:r w:rsidRPr="00BE587F">
        <w:rPr>
          <w:rStyle w:val="aff0"/>
          <w:rFonts w:hint="cs"/>
        </w:rPr>
        <w:instrText>Ref139187265 \r \h</w:instrText>
      </w:r>
      <w:r w:rsidRPr="00BE587F">
        <w:rPr>
          <w:rStyle w:val="aff0"/>
          <w:rtl/>
        </w:rPr>
        <w:instrText xml:space="preserve"> </w:instrText>
      </w:r>
      <w:r w:rsidRPr="00BE587F">
        <w:rPr>
          <w:rStyle w:val="aff0"/>
          <w:rtl/>
        </w:rPr>
      </w:r>
      <w:r w:rsidRPr="00BE587F">
        <w:rPr>
          <w:rStyle w:val="aff0"/>
          <w:rtl/>
        </w:rPr>
        <w:fldChar w:fldCharType="separate"/>
      </w:r>
      <w:r w:rsidR="00D82181">
        <w:rPr>
          <w:rStyle w:val="aff0"/>
          <w:cs/>
        </w:rPr>
        <w:t>‎</w:t>
      </w:r>
      <w:r w:rsidR="00D82181">
        <w:rPr>
          <w:rStyle w:val="aff0"/>
          <w:rtl/>
        </w:rPr>
        <w:t>יט)</w:t>
      </w:r>
      <w:r w:rsidRPr="00BE587F">
        <w:rPr>
          <w:rStyle w:val="aff0"/>
          <w:rtl/>
        </w:rPr>
        <w:fldChar w:fldCharType="end"/>
      </w:r>
      <w:r w:rsidRPr="00BE587F">
        <w:rPr>
          <w:rStyle w:val="af"/>
          <w:rFonts w:hint="cs"/>
          <w:rtl/>
        </w:rPr>
        <w:t>],</w:t>
      </w:r>
      <w:r>
        <w:rPr>
          <w:rFonts w:hint="cs"/>
          <w:rtl/>
        </w:rPr>
        <w:t xml:space="preserve"> דאמאי ביד פטור באוכל מתוך פסולת, והא כיון דעיקר המלאכה היא בנפה וכברה אף באוכל מתוך פסולת א"כ ביד צריך להיות תולדה, </w:t>
      </w:r>
      <w:r w:rsidRPr="000D251D">
        <w:rPr>
          <w:rStyle w:val="af"/>
          <w:rFonts w:hint="cs"/>
          <w:rtl/>
        </w:rPr>
        <w:t xml:space="preserve">[ועיי"ש במה שהאריך </w:t>
      </w:r>
      <w:r w:rsidRPr="009B1F18">
        <w:rPr>
          <w:rStyle w:val="aff9"/>
          <w:rFonts w:hint="cs"/>
          <w:vanish/>
          <w:rtl/>
        </w:rPr>
        <w:t>-</w:t>
      </w:r>
      <w:r w:rsidRPr="009B1F18">
        <w:rPr>
          <w:rStyle w:val="aff9"/>
          <w:rFonts w:hint="cs"/>
          <w:rtl/>
        </w:rPr>
        <w:t>האגלי טל</w:t>
      </w:r>
      <w:r w:rsidRPr="009B1F18">
        <w:rPr>
          <w:rStyle w:val="aff9"/>
          <w:rFonts w:hint="cs"/>
          <w:vanish/>
          <w:rtl/>
        </w:rPr>
        <w:t>-</w:t>
      </w:r>
      <w:r w:rsidRPr="000D251D">
        <w:rPr>
          <w:rStyle w:val="af"/>
          <w:rFonts w:hint="cs"/>
          <w:rtl/>
        </w:rPr>
        <w:t xml:space="preserve"> לומר דא"א לתרץ דאינו בכלל מלאכת מחשבת, דאינו דרך המלאכה</w:t>
      </w:r>
      <w:r w:rsidRPr="00394BDA">
        <w:rPr>
          <w:rStyle w:val="af"/>
          <w:rFonts w:hint="cs"/>
          <w:rtl/>
        </w:rPr>
        <w:t>],</w:t>
      </w:r>
      <w:r>
        <w:rPr>
          <w:rFonts w:hint="cs"/>
          <w:rtl/>
        </w:rPr>
        <w:t xml:space="preserve"> ותירץ </w:t>
      </w:r>
      <w:r w:rsidRPr="00F00B89">
        <w:rPr>
          <w:rStyle w:val="aff4"/>
          <w:rFonts w:hint="cs"/>
          <w:vanish/>
          <w:rtl/>
        </w:rPr>
        <w:t>-</w:t>
      </w:r>
      <w:r w:rsidRPr="007F312F">
        <w:rPr>
          <w:rStyle w:val="aff4"/>
          <w:rFonts w:hint="cs"/>
          <w:rtl/>
        </w:rPr>
        <w:t>האגלי טל</w:t>
      </w:r>
      <w:r w:rsidRPr="00F00B89">
        <w:rPr>
          <w:rStyle w:val="aff4"/>
          <w:rFonts w:hint="cs"/>
          <w:vanish/>
          <w:rtl/>
        </w:rPr>
        <w:t>-</w:t>
      </w:r>
      <w:r>
        <w:rPr>
          <w:rFonts w:hint="cs"/>
          <w:rtl/>
        </w:rPr>
        <w:t xml:space="preserve"> דכיון שאפשר לברור פסולת מתוך אוכל כל שמברר אוכל מתוך פסולת הוי שינוי ולכן ביד פטור.</w:t>
      </w:r>
      <w:bookmarkEnd w:id="2507"/>
    </w:p>
    <w:p w14:paraId="69AA66A9" w14:textId="77777777" w:rsidR="008925FD" w:rsidRPr="00747170" w:rsidRDefault="008925FD" w:rsidP="00747170">
      <w:pPr>
        <w:pStyle w:val="a2"/>
        <w:rPr>
          <w:rtl/>
        </w:rPr>
      </w:pPr>
      <w:r w:rsidRPr="00747170">
        <w:rPr>
          <w:rtl/>
        </w:rPr>
        <w:t>(יח) ויש לעיין לשיטת התוס' למה אוכל מתוך פסולת ביד פטור כיון דבנפה וכברה חייב חטאת ממילא יהי' ביד תולדה דבכלי ולשיטתם אין ליישב כמ"ש לשיטת רש"י לעיל אות י"ג חדא דהא התוס' השיגו על פירש"י ס"פ המניח [לה א] במה דס"ל מה שאינו מלאכת מחשבת פוטר משום קלב"מ ושפיר י"ל דבורר לאכול לאלתר מותר רק משום דלא הוי מלאכת מחשבת ואזיל תירוץ הנ"ל כמ"ש שם בביאור שיטת רש"י באות י"ד. ועוד דהתירוץ על רש"י משום דדרך מלאכה זו במעשיו לבד בלא מחשבה כיון שדרך המלאכה פסולת מתוך אוכל דאפי' לאלתר חייב אך התוס' דס"ל פסולת מתוך אוכל לאלתר מותר א"כ דרך המלאכה בצירוף המחשבה לאח"ז ויתחייב כמו זה אינו יכול וזה אינו יכול ועוד דא"כ פסולת מתוך אוכל ג"כ יפטור מה"ט לפי שיטתו דפסולת מתוך אוכל ביד לאלתר פטור. וצ"ל לשיטת התוס' משום שאפשר לברר פסולת מתוך אוכל והוא מברר אוכל מתוך פסולת הוי שינוי. והא דעבד חלתא אינם מפרשים כפירש"י בורר יפות דהיינו אוכל מתוך פסולת ויפטור משום דאפשר פסולת מתוך אוכל רק מפרשים כפירוש הערוך השליך קליפתם וקנים שאינם ראוים למלאכה דהיינו פסולת מתוך אוכל:</w:t>
      </w:r>
    </w:p>
    <w:p w14:paraId="493158C1" w14:textId="77777777" w:rsidR="008925FD" w:rsidRDefault="008925FD" w:rsidP="008925FD">
      <w:pPr>
        <w:pStyle w:val="afffff7"/>
        <w:rPr>
          <w:rtl/>
        </w:rPr>
      </w:pPr>
      <w:bookmarkStart w:id="2508" w:name="_Toc139277152"/>
      <w:bookmarkStart w:id="2509" w:name="_Toc163505854"/>
      <w:r>
        <w:rPr>
          <w:rtl/>
        </w:rPr>
        <w:t xml:space="preserve">שביתת השבת בורר אות </w:t>
      </w:r>
      <w:r>
        <w:rPr>
          <w:rFonts w:hint="cs"/>
          <w:rtl/>
        </w:rPr>
        <w:t>ב'</w:t>
      </w:r>
      <w:bookmarkEnd w:id="2508"/>
      <w:bookmarkEnd w:id="2509"/>
    </w:p>
    <w:p w14:paraId="0526CB85" w14:textId="77777777" w:rsidR="008925FD" w:rsidRDefault="008925FD" w:rsidP="008925FD">
      <w:pPr>
        <w:pStyle w:val="a7"/>
        <w:rPr>
          <w:rtl/>
        </w:rPr>
      </w:pPr>
      <w:bookmarkStart w:id="2510" w:name="_Toc139277039"/>
      <w:r>
        <w:rPr>
          <w:rFonts w:hint="cs"/>
          <w:rtl/>
        </w:rPr>
        <w:t>בי' השביתת השבת בתוס' דההיתר מדין שינוי וע"ז הק' הרמב"ן דאי"ז מתיר אלא דרך אכילה</w:t>
      </w:r>
      <w:bookmarkEnd w:id="2510"/>
    </w:p>
    <w:p w14:paraId="3C5A53E8" w14:textId="08278524" w:rsidR="008925FD" w:rsidRPr="009D3D90" w:rsidRDefault="008925FD" w:rsidP="00BC7DC8">
      <w:pPr>
        <w:pStyle w:val="a3"/>
        <w:rPr>
          <w:rtl/>
        </w:rPr>
      </w:pPr>
      <w:bookmarkStart w:id="2511" w:name="_Ref138969856"/>
      <w:r>
        <w:rPr>
          <w:rFonts w:hint="cs"/>
          <w:rtl/>
        </w:rPr>
        <w:t xml:space="preserve">במה שהקשו </w:t>
      </w:r>
      <w:r w:rsidRPr="00087982">
        <w:rPr>
          <w:rStyle w:val="aff4"/>
          <w:rFonts w:hint="cs"/>
          <w:vanish/>
          <w:rtl/>
        </w:rPr>
        <w:t>-</w:t>
      </w:r>
      <w:r w:rsidRPr="00A30B60">
        <w:rPr>
          <w:rStyle w:val="aff4"/>
          <w:rFonts w:hint="cs"/>
          <w:rtl/>
        </w:rPr>
        <w:t>התוס'</w:t>
      </w:r>
      <w:r w:rsidRPr="00087982">
        <w:rPr>
          <w:rStyle w:val="aff4"/>
          <w:rFonts w:hint="cs"/>
          <w:vanish/>
          <w:rtl/>
        </w:rPr>
        <w:t>-</w:t>
      </w:r>
      <w:r>
        <w:rPr>
          <w:rFonts w:hint="cs"/>
          <w:rtl/>
        </w:rPr>
        <w:t xml:space="preserve"> </w:t>
      </w:r>
      <w:r>
        <w:rPr>
          <w:rStyle w:val="af2"/>
          <w:rFonts w:eastAsia="Guttman Hodes" w:hint="cs"/>
          <w:rtl/>
        </w:rPr>
        <w:t xml:space="preserve">(עי' </w:t>
      </w:r>
      <w:r w:rsidRPr="00CC47A9">
        <w:rPr>
          <w:rStyle w:val="af2"/>
          <w:rFonts w:eastAsia="Guttman Hodes" w:hint="cs"/>
          <w:rtl/>
        </w:rPr>
        <w:t xml:space="preserve">אות </w:t>
      </w:r>
      <w:r w:rsidRPr="00CC47A9">
        <w:rPr>
          <w:rStyle w:val="af2"/>
          <w:rFonts w:eastAsia="Guttman Hodes"/>
          <w:rtl/>
        </w:rPr>
        <w:fldChar w:fldCharType="begin"/>
      </w:r>
      <w:r w:rsidRPr="00CC47A9">
        <w:rPr>
          <w:rStyle w:val="af2"/>
          <w:rFonts w:eastAsia="Guttman Hodes"/>
          <w:rtl/>
        </w:rPr>
        <w:instrText xml:space="preserve"> </w:instrText>
      </w:r>
      <w:r w:rsidRPr="00CC47A9">
        <w:rPr>
          <w:rStyle w:val="af2"/>
          <w:rFonts w:eastAsia="Guttman Hodes" w:hint="cs"/>
        </w:rPr>
        <w:instrText>REF</w:instrText>
      </w:r>
      <w:r w:rsidRPr="00CC47A9">
        <w:rPr>
          <w:rStyle w:val="af2"/>
          <w:rFonts w:eastAsia="Guttman Hodes" w:hint="cs"/>
          <w:rtl/>
        </w:rPr>
        <w:instrText xml:space="preserve"> _</w:instrText>
      </w:r>
      <w:r w:rsidRPr="00CC47A9">
        <w:rPr>
          <w:rStyle w:val="af2"/>
          <w:rFonts w:eastAsia="Guttman Hodes" w:hint="cs"/>
        </w:rPr>
        <w:instrText>Ref138681089 \r \h</w:instrText>
      </w:r>
      <w:r w:rsidRPr="00CC47A9">
        <w:rPr>
          <w:rStyle w:val="af2"/>
          <w:rFonts w:eastAsia="Guttman Hodes"/>
          <w:rtl/>
        </w:rPr>
        <w:instrText xml:space="preserve">  \* </w:instrText>
      </w:r>
      <w:r w:rsidRPr="00CC47A9">
        <w:rPr>
          <w:rStyle w:val="af2"/>
          <w:rFonts w:eastAsia="Guttman Hodes"/>
        </w:rPr>
        <w:instrText>MERGEFORMAT</w:instrText>
      </w:r>
      <w:r w:rsidRPr="00CC47A9">
        <w:rPr>
          <w:rStyle w:val="af2"/>
          <w:rFonts w:eastAsia="Guttman Hodes"/>
          <w:rtl/>
        </w:rPr>
        <w:instrText xml:space="preserve"> </w:instrText>
      </w:r>
      <w:r w:rsidRPr="00CC47A9">
        <w:rPr>
          <w:rStyle w:val="af2"/>
          <w:rFonts w:eastAsia="Guttman Hodes"/>
          <w:rtl/>
        </w:rPr>
      </w:r>
      <w:r w:rsidRPr="00CC47A9">
        <w:rPr>
          <w:rStyle w:val="af2"/>
          <w:rFonts w:eastAsia="Guttman Hodes"/>
          <w:rtl/>
        </w:rPr>
        <w:fldChar w:fldCharType="separate"/>
      </w:r>
      <w:r w:rsidR="00D82181">
        <w:rPr>
          <w:rStyle w:val="af2"/>
          <w:rFonts w:eastAsia="Guttman Hodes"/>
          <w:cs/>
        </w:rPr>
        <w:t>‎</w:t>
      </w:r>
      <w:r w:rsidR="00D82181">
        <w:rPr>
          <w:rStyle w:val="af2"/>
          <w:rFonts w:eastAsia="Guttman Hodes"/>
          <w:rtl/>
        </w:rPr>
        <w:t>ד)</w:t>
      </w:r>
      <w:r w:rsidRPr="00CC47A9">
        <w:rPr>
          <w:rStyle w:val="af2"/>
          <w:rFonts w:eastAsia="Guttman Hodes"/>
          <w:rtl/>
        </w:rPr>
        <w:fldChar w:fldCharType="end"/>
      </w:r>
      <w:r>
        <w:rPr>
          <w:rFonts w:hint="cs"/>
          <w:rtl/>
        </w:rPr>
        <w:t xml:space="preserve"> דבסוגיין משמע דאוכל מתוך פסולת אינו דרך ברירה, ולקמן משמע דהוא דרך ברירה, כתב </w:t>
      </w:r>
      <w:r w:rsidRPr="00087982">
        <w:rPr>
          <w:rStyle w:val="aff4"/>
          <w:rFonts w:hint="cs"/>
          <w:vanish/>
          <w:rtl/>
        </w:rPr>
        <w:t>-</w:t>
      </w:r>
      <w:r w:rsidRPr="00A30B60">
        <w:rPr>
          <w:rStyle w:val="aff4"/>
          <w:rFonts w:hint="cs"/>
          <w:rtl/>
        </w:rPr>
        <w:t>ה</w:t>
      </w:r>
      <w:r w:rsidRPr="00087982">
        <w:rPr>
          <w:rStyle w:val="aff4"/>
          <w:rFonts w:hint="cs"/>
          <w:vanish/>
          <w:rtl/>
        </w:rPr>
        <w:t xml:space="preserve">&lt;. </w:t>
      </w:r>
      <w:r w:rsidRPr="00087982">
        <w:rPr>
          <w:rStyle w:val="aff4"/>
          <w:vanish/>
          <w:rtl/>
        </w:rPr>
        <w:fldChar w:fldCharType="begin"/>
      </w:r>
      <w:r w:rsidRPr="00087982">
        <w:rPr>
          <w:rStyle w:val="aff4"/>
          <w:vanish/>
          <w:rtl/>
        </w:rPr>
        <w:instrText xml:space="preserve"> </w:instrText>
      </w:r>
      <w:r w:rsidRPr="00087982">
        <w:rPr>
          <w:rStyle w:val="aff4"/>
          <w:rFonts w:hint="cs"/>
          <w:vanish/>
        </w:rPr>
        <w:instrText>REF</w:instrText>
      </w:r>
      <w:r w:rsidRPr="00087982">
        <w:rPr>
          <w:rStyle w:val="aff4"/>
          <w:rFonts w:hint="cs"/>
          <w:vanish/>
          <w:rtl/>
        </w:rPr>
        <w:instrText xml:space="preserve"> _</w:instrText>
      </w:r>
      <w:r w:rsidRPr="00087982">
        <w:rPr>
          <w:rStyle w:val="aff4"/>
          <w:rFonts w:hint="cs"/>
          <w:vanish/>
        </w:rPr>
        <w:instrText>Ref138969856 \r \h</w:instrText>
      </w:r>
      <w:r w:rsidRPr="00087982">
        <w:rPr>
          <w:rStyle w:val="aff4"/>
          <w:vanish/>
          <w:rtl/>
        </w:rPr>
        <w:instrText xml:space="preserve"> </w:instrText>
      </w:r>
      <w:r w:rsidRPr="00087982">
        <w:rPr>
          <w:rStyle w:val="aff4"/>
          <w:vanish/>
          <w:rtl/>
        </w:rPr>
      </w:r>
      <w:r w:rsidRPr="00087982">
        <w:rPr>
          <w:rStyle w:val="aff4"/>
          <w:vanish/>
          <w:rtl/>
        </w:rPr>
        <w:fldChar w:fldCharType="separate"/>
      </w:r>
      <w:r w:rsidR="00D82181">
        <w:rPr>
          <w:rStyle w:val="aff4"/>
          <w:vanish/>
          <w:cs/>
        </w:rPr>
        <w:t>‎</w:t>
      </w:r>
      <w:r w:rsidR="00D82181">
        <w:rPr>
          <w:rStyle w:val="aff4"/>
          <w:vanish/>
          <w:rtl/>
        </w:rPr>
        <w:t>ו)</w:t>
      </w:r>
      <w:r w:rsidRPr="00087982">
        <w:rPr>
          <w:rStyle w:val="aff4"/>
          <w:vanish/>
          <w:rtl/>
        </w:rPr>
        <w:fldChar w:fldCharType="end"/>
      </w:r>
      <w:r w:rsidRPr="00087982">
        <w:rPr>
          <w:rStyle w:val="aff4"/>
          <w:rFonts w:hint="cs"/>
          <w:vanish/>
          <w:rtl/>
        </w:rPr>
        <w:t xml:space="preserve"> &gt;</w:t>
      </w:r>
      <w:r w:rsidRPr="00A30B60">
        <w:rPr>
          <w:rStyle w:val="aff4"/>
          <w:rFonts w:hint="cs"/>
          <w:rtl/>
        </w:rPr>
        <w:t>שביתת השבת</w:t>
      </w:r>
      <w:r w:rsidRPr="00087982">
        <w:rPr>
          <w:rStyle w:val="aff4"/>
          <w:rFonts w:hint="cs"/>
          <w:vanish/>
          <w:rtl/>
        </w:rPr>
        <w:t>-</w:t>
      </w:r>
      <w:r>
        <w:rPr>
          <w:rFonts w:hint="cs"/>
          <w:rtl/>
        </w:rPr>
        <w:t xml:space="preserve"> </w:t>
      </w:r>
      <w:r w:rsidRPr="000D251D">
        <w:rPr>
          <w:rStyle w:val="af2"/>
          <w:rFonts w:eastAsia="Guttman Hodes" w:hint="cs"/>
          <w:rtl/>
        </w:rPr>
        <w:t>(בורר אות א')</w:t>
      </w:r>
      <w:r w:rsidRPr="00087982">
        <w:rPr>
          <w:rFonts w:hint="cs"/>
          <w:vanish/>
          <w:rtl/>
        </w:rPr>
        <w:t>=</w:t>
      </w:r>
      <w:r>
        <w:rPr>
          <w:rFonts w:hint="cs"/>
          <w:rtl/>
        </w:rPr>
        <w:t xml:space="preserve"> דמשמע דס"ל </w:t>
      </w:r>
      <w:r w:rsidRPr="00087982">
        <w:rPr>
          <w:rStyle w:val="aff4"/>
          <w:rFonts w:hint="cs"/>
          <w:vanish/>
          <w:rtl/>
        </w:rPr>
        <w:t>-</w:t>
      </w:r>
      <w:r w:rsidRPr="00A30B60">
        <w:rPr>
          <w:rStyle w:val="aff4"/>
          <w:rFonts w:hint="cs"/>
          <w:rtl/>
        </w:rPr>
        <w:t>להתוס'</w:t>
      </w:r>
      <w:r w:rsidRPr="00087982">
        <w:rPr>
          <w:rStyle w:val="aff4"/>
          <w:rFonts w:hint="cs"/>
          <w:vanish/>
          <w:rtl/>
        </w:rPr>
        <w:t>-</w:t>
      </w:r>
      <w:r>
        <w:rPr>
          <w:rFonts w:hint="cs"/>
          <w:rtl/>
        </w:rPr>
        <w:t xml:space="preserve"> דהיתר אוכל מתוך פסולת הוא כיון שהוא שינוי מדרך ברירה, כדביאר </w:t>
      </w:r>
      <w:r w:rsidRPr="00087982">
        <w:rPr>
          <w:rStyle w:val="aff4"/>
          <w:rFonts w:hint="cs"/>
          <w:vanish/>
          <w:rtl/>
        </w:rPr>
        <w:t>-</w:t>
      </w:r>
      <w:r w:rsidRPr="00A30B60">
        <w:rPr>
          <w:rStyle w:val="aff4"/>
          <w:rFonts w:hint="cs"/>
          <w:rtl/>
        </w:rPr>
        <w:t>הגר"ז</w:t>
      </w:r>
      <w:r w:rsidRPr="00087982">
        <w:rPr>
          <w:rStyle w:val="aff4"/>
          <w:rFonts w:hint="cs"/>
          <w:vanish/>
          <w:rtl/>
        </w:rPr>
        <w:t>-</w:t>
      </w:r>
      <w:r>
        <w:rPr>
          <w:rFonts w:hint="cs"/>
          <w:rtl/>
        </w:rPr>
        <w:t xml:space="preserve"> </w:t>
      </w:r>
      <w:r w:rsidRPr="000D251D">
        <w:rPr>
          <w:rStyle w:val="af2"/>
          <w:rFonts w:eastAsia="Guttman Hodes" w:hint="cs"/>
          <w:rtl/>
        </w:rPr>
        <w:t xml:space="preserve">(עי' אות </w:t>
      </w:r>
      <w:r w:rsidRPr="000D251D">
        <w:rPr>
          <w:rStyle w:val="af2"/>
          <w:rFonts w:eastAsia="Guttman Hodes"/>
          <w:rtl/>
        </w:rPr>
        <w:fldChar w:fldCharType="begin"/>
      </w:r>
      <w:r w:rsidRPr="000D251D">
        <w:rPr>
          <w:rStyle w:val="af2"/>
          <w:rFonts w:eastAsia="Guttman Hodes"/>
          <w:rtl/>
        </w:rPr>
        <w:instrText xml:space="preserve"> </w:instrText>
      </w:r>
      <w:r w:rsidRPr="000D251D">
        <w:rPr>
          <w:rStyle w:val="af2"/>
          <w:rFonts w:eastAsia="Guttman Hodes" w:hint="cs"/>
        </w:rPr>
        <w:instrText>REF</w:instrText>
      </w:r>
      <w:r w:rsidRPr="000D251D">
        <w:rPr>
          <w:rStyle w:val="af2"/>
          <w:rFonts w:eastAsia="Guttman Hodes" w:hint="cs"/>
          <w:rtl/>
        </w:rPr>
        <w:instrText xml:space="preserve"> _</w:instrText>
      </w:r>
      <w:r w:rsidRPr="000D251D">
        <w:rPr>
          <w:rStyle w:val="af2"/>
          <w:rFonts w:eastAsia="Guttman Hodes" w:hint="cs"/>
        </w:rPr>
        <w:instrText>Ref138784106 \r \h</w:instrText>
      </w:r>
      <w:r w:rsidRPr="000D251D">
        <w:rPr>
          <w:rStyle w:val="af2"/>
          <w:rFonts w:eastAsia="Guttman Hodes"/>
          <w:rtl/>
        </w:rPr>
        <w:instrText xml:space="preserve"> </w:instrText>
      </w:r>
      <w:r w:rsidRPr="000D251D">
        <w:rPr>
          <w:rStyle w:val="af2"/>
          <w:rFonts w:eastAsia="Guttman Hodes"/>
          <w:rtl/>
        </w:rPr>
      </w:r>
      <w:r w:rsidRPr="000D251D">
        <w:rPr>
          <w:rStyle w:val="af2"/>
          <w:rFonts w:eastAsia="Guttman Hodes"/>
          <w:rtl/>
        </w:rPr>
        <w:fldChar w:fldCharType="separate"/>
      </w:r>
      <w:r w:rsidR="00D82181">
        <w:rPr>
          <w:rStyle w:val="af2"/>
          <w:rFonts w:eastAsia="Guttman Hodes"/>
          <w:cs/>
        </w:rPr>
        <w:t>‎</w:t>
      </w:r>
      <w:r w:rsidR="00D82181">
        <w:rPr>
          <w:rStyle w:val="af2"/>
          <w:rFonts w:eastAsia="Guttman Hodes"/>
          <w:rtl/>
        </w:rPr>
        <w:t>מט)</w:t>
      </w:r>
      <w:r w:rsidRPr="000D251D">
        <w:rPr>
          <w:rStyle w:val="af2"/>
          <w:rFonts w:eastAsia="Guttman Hodes"/>
          <w:rtl/>
        </w:rPr>
        <w:fldChar w:fldCharType="end"/>
      </w:r>
      <w:r>
        <w:rPr>
          <w:rFonts w:hint="cs"/>
          <w:rtl/>
        </w:rPr>
        <w:t xml:space="preserve"> דאי ס"ל דההיתר הוא כיון דהוא דרך אכילה, א"כ אין הוכחה מהגמ' לקמן דאוכל מתוך פסולת אינו דרך ברירה, כדהקשה </w:t>
      </w:r>
      <w:r w:rsidRPr="00087982">
        <w:rPr>
          <w:rStyle w:val="aff4"/>
          <w:rFonts w:hint="cs"/>
          <w:vanish/>
          <w:rtl/>
        </w:rPr>
        <w:t>-</w:t>
      </w:r>
      <w:r w:rsidRPr="00A30B60">
        <w:rPr>
          <w:rStyle w:val="aff4"/>
          <w:rFonts w:hint="cs"/>
          <w:rtl/>
        </w:rPr>
        <w:t>המגן אבות</w:t>
      </w:r>
      <w:r w:rsidRPr="00087982">
        <w:rPr>
          <w:rStyle w:val="aff4"/>
          <w:rFonts w:hint="cs"/>
          <w:vanish/>
          <w:rtl/>
        </w:rPr>
        <w:t>-</w:t>
      </w:r>
      <w:r>
        <w:rPr>
          <w:rFonts w:hint="cs"/>
          <w:rtl/>
        </w:rPr>
        <w:t xml:space="preserve"> </w:t>
      </w:r>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Ref139273597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נט)</w:t>
      </w:r>
      <w:r>
        <w:rPr>
          <w:rStyle w:val="af2"/>
          <w:rFonts w:eastAsia="Guttman Hodes"/>
          <w:rtl/>
        </w:rPr>
        <w:fldChar w:fldCharType="end"/>
      </w:r>
      <w:r>
        <w:rPr>
          <w:rFonts w:hint="cs"/>
          <w:rtl/>
        </w:rPr>
        <w:t xml:space="preserve"> </w:t>
      </w:r>
      <w:r w:rsidRPr="000D251D">
        <w:rPr>
          <w:rStyle w:val="af"/>
          <w:rFonts w:hint="cs"/>
          <w:rtl/>
        </w:rPr>
        <w:t xml:space="preserve">[וכתב </w:t>
      </w:r>
      <w:r w:rsidRPr="009B1F18">
        <w:rPr>
          <w:rStyle w:val="aff9"/>
          <w:rFonts w:hint="cs"/>
          <w:vanish/>
          <w:rtl/>
        </w:rPr>
        <w:t>-</w:t>
      </w:r>
      <w:r w:rsidRPr="009B1F18">
        <w:rPr>
          <w:rStyle w:val="aff9"/>
          <w:rFonts w:hint="cs"/>
          <w:rtl/>
        </w:rPr>
        <w:t>השביתת השבת</w:t>
      </w:r>
      <w:r w:rsidRPr="009B1F18">
        <w:rPr>
          <w:rStyle w:val="aff9"/>
          <w:rFonts w:hint="cs"/>
          <w:vanish/>
          <w:rtl/>
        </w:rPr>
        <w:t>-</w:t>
      </w:r>
      <w:r w:rsidRPr="000D251D">
        <w:rPr>
          <w:rStyle w:val="af"/>
          <w:rFonts w:hint="cs"/>
          <w:rtl/>
        </w:rPr>
        <w:t xml:space="preserve"> דתירוץ </w:t>
      </w:r>
      <w:r w:rsidRPr="009B1F18">
        <w:rPr>
          <w:rStyle w:val="aff9"/>
          <w:rFonts w:hint="cs"/>
          <w:vanish/>
          <w:rtl/>
        </w:rPr>
        <w:t>-</w:t>
      </w:r>
      <w:r w:rsidRPr="009B1F18">
        <w:rPr>
          <w:rStyle w:val="aff9"/>
          <w:rFonts w:hint="cs"/>
          <w:rtl/>
        </w:rPr>
        <w:t>המגן אבות</w:t>
      </w:r>
      <w:r w:rsidRPr="009B1F18">
        <w:rPr>
          <w:rStyle w:val="aff9"/>
          <w:rFonts w:hint="cs"/>
          <w:vanish/>
          <w:rtl/>
        </w:rPr>
        <w:t>-</w:t>
      </w:r>
      <w:r w:rsidRPr="000D251D">
        <w:rPr>
          <w:rStyle w:val="af"/>
          <w:rFonts w:hint="cs"/>
          <w:rtl/>
        </w:rPr>
        <w:t xml:space="preserve"> הוא לבאר את דברי </w:t>
      </w:r>
      <w:r w:rsidRPr="009B1F18">
        <w:rPr>
          <w:rStyle w:val="aff9"/>
          <w:rFonts w:hint="cs"/>
          <w:vanish/>
          <w:rtl/>
        </w:rPr>
        <w:t>-</w:t>
      </w:r>
      <w:r w:rsidRPr="009B1F18">
        <w:rPr>
          <w:rStyle w:val="aff9"/>
          <w:rFonts w:hint="cs"/>
          <w:rtl/>
        </w:rPr>
        <w:t>התוס'</w:t>
      </w:r>
      <w:r w:rsidRPr="009B1F18">
        <w:rPr>
          <w:rStyle w:val="aff9"/>
          <w:rFonts w:hint="cs"/>
          <w:vanish/>
          <w:rtl/>
        </w:rPr>
        <w:t>-</w:t>
      </w:r>
      <w:r w:rsidRPr="000D251D">
        <w:rPr>
          <w:rStyle w:val="af"/>
          <w:rFonts w:hint="cs"/>
          <w:rtl/>
        </w:rPr>
        <w:t xml:space="preserve"> גם לפי"ז, אך באמת סברת </w:t>
      </w:r>
      <w:r w:rsidRPr="009B1F18">
        <w:rPr>
          <w:rStyle w:val="aff9"/>
          <w:rFonts w:hint="cs"/>
          <w:vanish/>
          <w:rtl/>
        </w:rPr>
        <w:t>-</w:t>
      </w:r>
      <w:r w:rsidRPr="009B1F18">
        <w:rPr>
          <w:rStyle w:val="aff9"/>
          <w:rFonts w:hint="cs"/>
          <w:rtl/>
        </w:rPr>
        <w:t>התוס'</w:t>
      </w:r>
      <w:r w:rsidRPr="009B1F18">
        <w:rPr>
          <w:rStyle w:val="aff9"/>
          <w:rFonts w:hint="cs"/>
          <w:vanish/>
          <w:rtl/>
        </w:rPr>
        <w:t>-</w:t>
      </w:r>
      <w:r w:rsidRPr="000D251D">
        <w:rPr>
          <w:rStyle w:val="af"/>
          <w:rFonts w:hint="cs"/>
          <w:rtl/>
        </w:rPr>
        <w:t xml:space="preserve"> היא דהוי שינוי מדרך ברירה</w:t>
      </w:r>
      <w:r w:rsidRPr="00394BDA">
        <w:rPr>
          <w:rStyle w:val="af"/>
          <w:rFonts w:hint="cs"/>
          <w:rtl/>
        </w:rPr>
        <w:t>],</w:t>
      </w:r>
      <w:r>
        <w:rPr>
          <w:rFonts w:hint="cs"/>
          <w:rtl/>
        </w:rPr>
        <w:t xml:space="preserve"> וכתב </w:t>
      </w:r>
      <w:r w:rsidRPr="00087982">
        <w:rPr>
          <w:rStyle w:val="aff4"/>
          <w:rFonts w:hint="cs"/>
          <w:vanish/>
          <w:rtl/>
        </w:rPr>
        <w:t>-</w:t>
      </w:r>
      <w:r w:rsidRPr="00A30B60">
        <w:rPr>
          <w:rStyle w:val="aff4"/>
          <w:rFonts w:hint="cs"/>
          <w:rtl/>
        </w:rPr>
        <w:t>השביתת השבת</w:t>
      </w:r>
      <w:r w:rsidRPr="00087982">
        <w:rPr>
          <w:rStyle w:val="aff4"/>
          <w:rFonts w:hint="cs"/>
          <w:vanish/>
          <w:rtl/>
        </w:rPr>
        <w:t>-</w:t>
      </w:r>
      <w:r>
        <w:rPr>
          <w:rFonts w:hint="cs"/>
          <w:rtl/>
        </w:rPr>
        <w:t xml:space="preserve"> דזהו הביאור בקושית </w:t>
      </w:r>
      <w:r w:rsidRPr="00087982">
        <w:rPr>
          <w:rStyle w:val="aff4"/>
          <w:rFonts w:hint="cs"/>
          <w:vanish/>
          <w:rtl/>
        </w:rPr>
        <w:t>-</w:t>
      </w:r>
      <w:r w:rsidRPr="00A30B60">
        <w:rPr>
          <w:rStyle w:val="aff4"/>
          <w:rFonts w:hint="cs"/>
          <w:rtl/>
        </w:rPr>
        <w:t>הרמב"ן</w:t>
      </w:r>
      <w:r w:rsidRPr="00087982">
        <w:rPr>
          <w:rStyle w:val="aff4"/>
          <w:rFonts w:hint="cs"/>
          <w:vanish/>
          <w:rtl/>
        </w:rPr>
        <w:t>-</w:t>
      </w:r>
      <w:r>
        <w:rPr>
          <w:rFonts w:hint="cs"/>
          <w:rtl/>
        </w:rPr>
        <w:t xml:space="preserve"> </w:t>
      </w:r>
      <w:r w:rsidRPr="000D251D">
        <w:rPr>
          <w:rStyle w:val="af2"/>
          <w:rFonts w:eastAsia="Guttman Hodes" w:hint="cs"/>
          <w:rtl/>
        </w:rPr>
        <w:t xml:space="preserve">(עי' אות </w:t>
      </w:r>
      <w:r w:rsidRPr="000D251D">
        <w:rPr>
          <w:rStyle w:val="af2"/>
          <w:rFonts w:eastAsia="Guttman Hodes"/>
          <w:rtl/>
        </w:rPr>
        <w:fldChar w:fldCharType="begin"/>
      </w:r>
      <w:r w:rsidRPr="000D251D">
        <w:rPr>
          <w:rStyle w:val="af2"/>
          <w:rFonts w:eastAsia="Guttman Hodes"/>
          <w:rtl/>
        </w:rPr>
        <w:instrText xml:space="preserve"> </w:instrText>
      </w:r>
      <w:r w:rsidRPr="000D251D">
        <w:rPr>
          <w:rStyle w:val="af2"/>
          <w:rFonts w:eastAsia="Guttman Hodes" w:hint="cs"/>
        </w:rPr>
        <w:instrText>REF</w:instrText>
      </w:r>
      <w:r w:rsidRPr="000D251D">
        <w:rPr>
          <w:rStyle w:val="af2"/>
          <w:rFonts w:eastAsia="Guttman Hodes" w:hint="cs"/>
          <w:rtl/>
        </w:rPr>
        <w:instrText xml:space="preserve"> _</w:instrText>
      </w:r>
      <w:r w:rsidRPr="000D251D">
        <w:rPr>
          <w:rStyle w:val="af2"/>
          <w:rFonts w:eastAsia="Guttman Hodes" w:hint="cs"/>
        </w:rPr>
        <w:instrText>Ref139009224 \r \h</w:instrText>
      </w:r>
      <w:r w:rsidRPr="000D251D">
        <w:rPr>
          <w:rStyle w:val="af2"/>
          <w:rFonts w:eastAsia="Guttman Hodes"/>
          <w:rtl/>
        </w:rPr>
        <w:instrText xml:space="preserve"> </w:instrText>
      </w:r>
      <w:r w:rsidRPr="000D251D">
        <w:rPr>
          <w:rStyle w:val="af2"/>
          <w:rFonts w:eastAsia="Guttman Hodes"/>
          <w:rtl/>
        </w:rPr>
      </w:r>
      <w:r w:rsidRPr="000D251D">
        <w:rPr>
          <w:rStyle w:val="af2"/>
          <w:rFonts w:eastAsia="Guttman Hodes"/>
          <w:rtl/>
        </w:rPr>
        <w:fldChar w:fldCharType="separate"/>
      </w:r>
      <w:r w:rsidR="00D82181">
        <w:rPr>
          <w:rStyle w:val="af2"/>
          <w:rFonts w:eastAsia="Guttman Hodes"/>
          <w:cs/>
        </w:rPr>
        <w:t>‎</w:t>
      </w:r>
      <w:r w:rsidR="00D82181">
        <w:rPr>
          <w:rStyle w:val="af2"/>
          <w:rFonts w:eastAsia="Guttman Hodes"/>
          <w:rtl/>
        </w:rPr>
        <w:t>ט)</w:t>
      </w:r>
      <w:r w:rsidRPr="000D251D">
        <w:rPr>
          <w:rStyle w:val="af2"/>
          <w:rFonts w:eastAsia="Guttman Hodes"/>
          <w:rtl/>
        </w:rPr>
        <w:fldChar w:fldCharType="end"/>
      </w:r>
      <w:r>
        <w:rPr>
          <w:rFonts w:hint="cs"/>
          <w:rtl/>
        </w:rPr>
        <w:t xml:space="preserve"> על </w:t>
      </w:r>
      <w:r w:rsidRPr="00087982">
        <w:rPr>
          <w:rStyle w:val="aff4"/>
          <w:rFonts w:hint="cs"/>
          <w:vanish/>
          <w:rtl/>
        </w:rPr>
        <w:t>-</w:t>
      </w:r>
      <w:r w:rsidRPr="00A30B60">
        <w:rPr>
          <w:rStyle w:val="aff4"/>
          <w:rFonts w:hint="cs"/>
          <w:rtl/>
        </w:rPr>
        <w:t>התוס'</w:t>
      </w:r>
      <w:r w:rsidRPr="00087982">
        <w:rPr>
          <w:rStyle w:val="aff4"/>
          <w:rFonts w:hint="cs"/>
          <w:vanish/>
          <w:rtl/>
        </w:rPr>
        <w:t>-</w:t>
      </w:r>
      <w:r>
        <w:rPr>
          <w:rFonts w:hint="cs"/>
          <w:rtl/>
        </w:rPr>
        <w:t xml:space="preserve"> דאף דהדרך היא גם באוכל מתוך פסולת, מ"מ מותר לטרוח רק בהיתר, ולא באיסור, דכוונתו לומר דא"א להתיר מחמת דהוי שינוי מדרך ברירה.</w:t>
      </w:r>
      <w:bookmarkEnd w:id="2511"/>
    </w:p>
    <w:p w14:paraId="7051B3A9" w14:textId="77777777" w:rsidR="008925FD" w:rsidRPr="00747170" w:rsidRDefault="008925FD" w:rsidP="00747170">
      <w:pPr>
        <w:pStyle w:val="a2"/>
        <w:rPr>
          <w:rtl/>
        </w:rPr>
      </w:pPr>
      <w:r w:rsidRPr="00747170">
        <w:rPr>
          <w:rtl/>
        </w:rPr>
        <w:t>(ב) יש לבאר טעם היתר אוכל מתוך פסולת לאלתר, אם הטעם משום שינוי או משום שהוא דרך אכילה כי בראשונים נזכרו שני הטעמים ויש בזה נ"מ לדינא כמו שיתבאר, והנה מדברי התוס' [ע"ד. ד"ה בורר] נראה לכאורה דהטעם משום דהוי שינוי, שכתבו על הא דבורר ואוכל אוכל מתוך פסולת משמע דאוכל מתוך פסולת אין דרך ברירה בכך, וקשה דבר"פ תולין אמרינן מה דרכו של בורר, בורר אוכל מתוך פסולת עכ"ל (אך בספר מגן אבות באמת עמד על ד' תוס' אלה, וז"ל ולכאורה מנ"ל להתיר משום דאין דרך ברירה בכך דלמא וודאי הברירה יותר באוכל מתוך פסולת אבל כאן בלאלתר שייך להתיר טפי אוכל מתוך פסולת דהו"ל הברירה כדרך אכילת האדם שהוא לברור האוכל ולאכלו משא"כ פסולת מתוך האוכל נכר הברירה דאי דלדרך אכילה לא הו"ל למנקט הפסולת אלא האוכל וכן משמע להרשב"א האי טעמא שהרי מש"ה יליף מיניה לענין מחתך דק דק לצורך אכילה מיד דשרי וא"כ ממילא לא תקשי כלל מהא דפ' תולין דקאמר דרכו של בורר נוטל אוכל, כו' דזה לבו ביום. ונראה דעיקר הוכחת התוס' מהא דמקשה אביי ארישא דבורר, וכי אוכל מתוך פסולת קתני ולא מקשה אהך דלא יברור (דמוקי לה בפמ"א) דמידי פסולת מתוך אוכל קתני משום דסתם הברירה כך הוא לברור פסולת מתוך אוכל וע"כ ק"ל להתוס' מהא דפ' תולין עכ"ל, אך כ"ז כתב דרך שקלא וטריא דאין הכרח לקושי' התוס' אך באמת לסברת התוס' טעם ההיתר משום דאין דרכו בכך (ומ"מ אין זה מוכרח כמש"ל בשם הר"ן) וכ"כ המגן אבות שם לקמי' דהתוס' ס"ל דפמ"א חייב לאלתר והטעם משום דכך דרכו לברור הפסולת וע"כ ממילא דפסולת מרובה שדרכו לברור האוכל חייב בבורר האוכל לאכול לאלתר עכ"ל) אמנם נראה דהתוס' לטעמייהו דלדידהו בפסולת מרובה על האוכל מותר לברור הפסולת, ואם בירר האוכל חייב וע"כ אין לפרש טעם ההיתר משום דהוא דרך אכילה וע"כ פירשו דתלוי הכל אם דרכו בכך אם לא, והרמב"ן בחידושים השיג באמת מטעם זה על התוס' וכתב על דבריהם ולא מסתברא דגבי שבת לעולם אסור לברור פסולת ולהניח אוכל, ואף על גב דתרוויהו דרך בורר נינהו בשבת בהתירא טרחינן באיסורא לא טרחינן ומאן דטרח באיסורא ובירר הפסולת הו"ל כבורר לאוצר שהרי אין דעתו לאכול מה שבירר ולפיכך חייב עכ"ל והנה מ"ש פה בפנים הטעם לפי שהוא דרך אכילה העתקתי זה מש"ע הגר"ז [שי"ט ס"א]</w:t>
      </w:r>
      <w:r w:rsidRPr="00747170">
        <w:rPr>
          <w:rFonts w:hint="cs"/>
          <w:rtl/>
        </w:rPr>
        <w:t>.</w:t>
      </w:r>
    </w:p>
    <w:p w14:paraId="09664612" w14:textId="77777777" w:rsidR="008925FD" w:rsidRDefault="008925FD" w:rsidP="008925FD">
      <w:pPr>
        <w:pStyle w:val="afffff7"/>
        <w:rPr>
          <w:rtl/>
        </w:rPr>
      </w:pPr>
      <w:bookmarkStart w:id="2512" w:name="_Toc139277153"/>
      <w:bookmarkStart w:id="2513" w:name="_Toc163505855"/>
      <w:r>
        <w:rPr>
          <w:rtl/>
        </w:rPr>
        <w:t xml:space="preserve">אגלי טל בורר </w:t>
      </w:r>
      <w:r>
        <w:rPr>
          <w:rFonts w:hint="cs"/>
          <w:rtl/>
        </w:rPr>
        <w:t xml:space="preserve">סק"א </w:t>
      </w:r>
      <w:r>
        <w:rPr>
          <w:rtl/>
        </w:rPr>
        <w:t xml:space="preserve">אות </w:t>
      </w:r>
      <w:r>
        <w:rPr>
          <w:rFonts w:hint="cs"/>
          <w:rtl/>
        </w:rPr>
        <w:t>ח'</w:t>
      </w:r>
      <w:bookmarkEnd w:id="2512"/>
      <w:bookmarkEnd w:id="2513"/>
    </w:p>
    <w:p w14:paraId="339AD4C4" w14:textId="77777777" w:rsidR="008925FD" w:rsidRDefault="008925FD" w:rsidP="008925FD">
      <w:pPr>
        <w:pStyle w:val="a7"/>
        <w:rPr>
          <w:rtl/>
        </w:rPr>
      </w:pPr>
      <w:bookmarkStart w:id="2514" w:name="_Toc139277040"/>
      <w:r>
        <w:rPr>
          <w:rFonts w:hint="cs"/>
          <w:rtl/>
        </w:rPr>
        <w:t>בי' האגל"ט בר"ח דאוכל מתוך פסולת אינו דרך ברירה ולאלתר דרך אכילה ובנפה לעולם דרך</w:t>
      </w:r>
      <w:bookmarkEnd w:id="2514"/>
    </w:p>
    <w:p w14:paraId="55E12DD5" w14:textId="3694CA29" w:rsidR="008925FD" w:rsidRPr="001D7C75" w:rsidRDefault="008925FD" w:rsidP="00BC7DC8">
      <w:pPr>
        <w:pStyle w:val="a3"/>
        <w:rPr>
          <w:rtl/>
        </w:rPr>
      </w:pPr>
      <w:bookmarkStart w:id="2515" w:name="_Ref137812896"/>
      <w:r>
        <w:rPr>
          <w:rFonts w:hint="cs"/>
          <w:rtl/>
        </w:rPr>
        <w:t>ב</w:t>
      </w:r>
      <w:r w:rsidRPr="00AA3874">
        <w:rPr>
          <w:rFonts w:hint="cs"/>
          <w:rtl/>
        </w:rPr>
        <w:t xml:space="preserve">דעת </w:t>
      </w:r>
      <w:r w:rsidRPr="005305D6">
        <w:rPr>
          <w:rStyle w:val="aff4"/>
          <w:rFonts w:hint="cs"/>
          <w:vanish/>
          <w:rtl/>
        </w:rPr>
        <w:t>-</w:t>
      </w:r>
      <w:r w:rsidRPr="00B8766B">
        <w:rPr>
          <w:rStyle w:val="aff4"/>
          <w:rFonts w:hint="cs"/>
          <w:rtl/>
        </w:rPr>
        <w:t>ר"ח</w:t>
      </w:r>
      <w:r w:rsidRPr="005305D6">
        <w:rPr>
          <w:rStyle w:val="aff4"/>
          <w:rFonts w:hint="cs"/>
          <w:vanish/>
          <w:rtl/>
        </w:rPr>
        <w:t>-</w:t>
      </w:r>
      <w:r>
        <w:rPr>
          <w:rFonts w:hint="cs"/>
          <w:rtl/>
        </w:rPr>
        <w:t xml:space="preserve"> </w:t>
      </w:r>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Ref139187404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w:t>
      </w:r>
      <w:r>
        <w:rPr>
          <w:rStyle w:val="af2"/>
          <w:rFonts w:eastAsia="Guttman Hodes"/>
          <w:rtl/>
        </w:rPr>
        <w:fldChar w:fldCharType="end"/>
      </w:r>
      <w:r>
        <w:rPr>
          <w:rFonts w:hint="cs"/>
          <w:rtl/>
        </w:rPr>
        <w:t xml:space="preserve"> דהיתר ברירה הוא רק כשיש את ג' </w:t>
      </w:r>
      <w:r w:rsidRPr="001D7C75">
        <w:rPr>
          <w:rFonts w:hint="cs"/>
          <w:rtl/>
        </w:rPr>
        <w:t>ההיתרים</w:t>
      </w:r>
      <w:r>
        <w:rPr>
          <w:rFonts w:hint="cs"/>
          <w:rtl/>
        </w:rPr>
        <w:t xml:space="preserve">, דביד ובאוכל מתוך פסולת ולאלתר, ביאר </w:t>
      </w:r>
      <w:r w:rsidRPr="005305D6">
        <w:rPr>
          <w:rStyle w:val="aff4"/>
          <w:rFonts w:hint="cs"/>
          <w:vanish/>
          <w:rtl/>
        </w:rPr>
        <w:t>-</w:t>
      </w:r>
      <w:r w:rsidRPr="00B8766B">
        <w:rPr>
          <w:rStyle w:val="aff4"/>
          <w:rFonts w:hint="cs"/>
          <w:rtl/>
        </w:rPr>
        <w:t>ה</w:t>
      </w:r>
      <w:r w:rsidRPr="00990EB8">
        <w:rPr>
          <w:rStyle w:val="aff4"/>
          <w:rFonts w:hint="cs"/>
          <w:vanish/>
          <w:rtl/>
        </w:rPr>
        <w:t xml:space="preserve">&lt;. </w:t>
      </w:r>
      <w:r w:rsidRPr="00990EB8">
        <w:rPr>
          <w:rStyle w:val="aff4"/>
          <w:vanish/>
          <w:rtl/>
        </w:rPr>
        <w:fldChar w:fldCharType="begin"/>
      </w:r>
      <w:r w:rsidRPr="00990EB8">
        <w:rPr>
          <w:rStyle w:val="aff4"/>
          <w:vanish/>
          <w:rtl/>
        </w:rPr>
        <w:instrText xml:space="preserve"> </w:instrText>
      </w:r>
      <w:r w:rsidRPr="00990EB8">
        <w:rPr>
          <w:rStyle w:val="aff4"/>
          <w:rFonts w:hint="cs"/>
          <w:vanish/>
        </w:rPr>
        <w:instrText>REF</w:instrText>
      </w:r>
      <w:r w:rsidRPr="00990EB8">
        <w:rPr>
          <w:rStyle w:val="aff4"/>
          <w:rFonts w:hint="cs"/>
          <w:vanish/>
          <w:rtl/>
        </w:rPr>
        <w:instrText xml:space="preserve"> _</w:instrText>
      </w:r>
      <w:r w:rsidRPr="00990EB8">
        <w:rPr>
          <w:rStyle w:val="aff4"/>
          <w:rFonts w:hint="cs"/>
          <w:vanish/>
        </w:rPr>
        <w:instrText>Ref137812896 \r \h</w:instrText>
      </w:r>
      <w:r w:rsidRPr="00990EB8">
        <w:rPr>
          <w:rStyle w:val="aff4"/>
          <w:vanish/>
          <w:rtl/>
        </w:rPr>
        <w:instrText xml:space="preserve"> </w:instrText>
      </w:r>
      <w:r w:rsidRPr="00990EB8">
        <w:rPr>
          <w:rStyle w:val="aff4"/>
          <w:vanish/>
          <w:rtl/>
        </w:rPr>
      </w:r>
      <w:r w:rsidRPr="00990EB8">
        <w:rPr>
          <w:rStyle w:val="aff4"/>
          <w:vanish/>
          <w:rtl/>
        </w:rPr>
        <w:fldChar w:fldCharType="separate"/>
      </w:r>
      <w:r w:rsidR="00D82181">
        <w:rPr>
          <w:rStyle w:val="aff4"/>
          <w:vanish/>
          <w:cs/>
        </w:rPr>
        <w:t>‎</w:t>
      </w:r>
      <w:r w:rsidR="00D82181">
        <w:rPr>
          <w:rStyle w:val="aff4"/>
          <w:vanish/>
          <w:rtl/>
        </w:rPr>
        <w:t>ז)</w:t>
      </w:r>
      <w:r w:rsidRPr="00990EB8">
        <w:rPr>
          <w:rStyle w:val="aff4"/>
          <w:vanish/>
          <w:rtl/>
        </w:rPr>
        <w:fldChar w:fldCharType="end"/>
      </w:r>
      <w:r w:rsidRPr="00990EB8">
        <w:rPr>
          <w:rStyle w:val="aff4"/>
          <w:rFonts w:hint="cs"/>
          <w:vanish/>
          <w:rtl/>
        </w:rPr>
        <w:t xml:space="preserve"> &gt;</w:t>
      </w:r>
      <w:r w:rsidRPr="00B8766B">
        <w:rPr>
          <w:rStyle w:val="aff4"/>
          <w:rFonts w:hint="cs"/>
          <w:rtl/>
        </w:rPr>
        <w:t>אגלי טל</w:t>
      </w:r>
      <w:r w:rsidRPr="005305D6">
        <w:rPr>
          <w:rStyle w:val="aff4"/>
          <w:rFonts w:hint="cs"/>
          <w:vanish/>
          <w:rtl/>
        </w:rPr>
        <w:t>-</w:t>
      </w:r>
      <w:r>
        <w:rPr>
          <w:rFonts w:hint="cs"/>
          <w:rtl/>
        </w:rPr>
        <w:t xml:space="preserve"> </w:t>
      </w:r>
      <w:r w:rsidRPr="000D251D">
        <w:rPr>
          <w:rStyle w:val="af2"/>
          <w:rFonts w:eastAsia="Guttman Hodes" w:hint="cs"/>
          <w:rtl/>
        </w:rPr>
        <w:t>(בורר סק"א אות ח')</w:t>
      </w:r>
      <w:r w:rsidRPr="005305D6">
        <w:rPr>
          <w:rFonts w:hint="cs"/>
          <w:vanish/>
          <w:rtl/>
        </w:rPr>
        <w:t>=</w:t>
      </w:r>
      <w:r w:rsidRPr="00AA3874">
        <w:rPr>
          <w:rFonts w:hint="cs"/>
          <w:rtl/>
        </w:rPr>
        <w:t xml:space="preserve"> </w:t>
      </w:r>
      <w:r>
        <w:rPr>
          <w:rFonts w:hint="cs"/>
          <w:rtl/>
        </w:rPr>
        <w:t>דס"ל</w:t>
      </w:r>
      <w:r w:rsidRPr="001D7C75">
        <w:rPr>
          <w:rFonts w:hint="cs"/>
          <w:rtl/>
        </w:rPr>
        <w:t xml:space="preserve"> ד</w:t>
      </w:r>
      <w:r>
        <w:rPr>
          <w:rFonts w:hint="cs"/>
          <w:rtl/>
        </w:rPr>
        <w:t xml:space="preserve">אוכל מתוך פסולת אינו דרך ברירה, ולאלתר הוא דרך אכילה, אבל כשבורר בנפה וכברה אף באוכל מתוך פסולת הוא דרך בורר ובכלל האב מלאכה, </w:t>
      </w:r>
      <w:r w:rsidRPr="0013316B">
        <w:rPr>
          <w:rStyle w:val="af"/>
          <w:rFonts w:hint="cs"/>
          <w:rtl/>
        </w:rPr>
        <w:t xml:space="preserve">[כדביאר </w:t>
      </w:r>
      <w:r w:rsidRPr="0013316B">
        <w:rPr>
          <w:rStyle w:val="aff9"/>
          <w:rFonts w:hint="cs"/>
          <w:vanish/>
          <w:rtl/>
        </w:rPr>
        <w:t>-</w:t>
      </w:r>
      <w:r w:rsidRPr="0013316B">
        <w:rPr>
          <w:rStyle w:val="aff9"/>
          <w:rFonts w:hint="cs"/>
          <w:rtl/>
        </w:rPr>
        <w:t>האגלי טל</w:t>
      </w:r>
      <w:r w:rsidRPr="0013316B">
        <w:rPr>
          <w:rStyle w:val="aff9"/>
          <w:rFonts w:hint="cs"/>
          <w:vanish/>
          <w:rtl/>
        </w:rPr>
        <w:t>-</w:t>
      </w:r>
      <w:r w:rsidRPr="0013316B">
        <w:rPr>
          <w:rStyle w:val="af"/>
          <w:rFonts w:hint="cs"/>
          <w:rtl/>
        </w:rPr>
        <w:t xml:space="preserve"> </w:t>
      </w:r>
      <w:r w:rsidRPr="004C07ED">
        <w:rPr>
          <w:rStyle w:val="aff0"/>
          <w:rFonts w:hint="cs"/>
          <w:rtl/>
        </w:rPr>
        <w:t xml:space="preserve">(עי' אות </w:t>
      </w:r>
      <w:r w:rsidRPr="004C07ED">
        <w:rPr>
          <w:rStyle w:val="aff0"/>
          <w:rtl/>
        </w:rPr>
        <w:fldChar w:fldCharType="begin"/>
      </w:r>
      <w:r w:rsidRPr="004C07ED">
        <w:rPr>
          <w:rStyle w:val="aff0"/>
          <w:rtl/>
        </w:rPr>
        <w:instrText xml:space="preserve"> </w:instrText>
      </w:r>
      <w:r w:rsidRPr="004C07ED">
        <w:rPr>
          <w:rStyle w:val="aff0"/>
          <w:rFonts w:hint="cs"/>
        </w:rPr>
        <w:instrText>REF</w:instrText>
      </w:r>
      <w:r w:rsidRPr="004C07ED">
        <w:rPr>
          <w:rStyle w:val="aff0"/>
          <w:rFonts w:hint="cs"/>
          <w:rtl/>
        </w:rPr>
        <w:instrText xml:space="preserve"> _</w:instrText>
      </w:r>
      <w:r w:rsidRPr="004C07ED">
        <w:rPr>
          <w:rStyle w:val="aff0"/>
          <w:rFonts w:hint="cs"/>
        </w:rPr>
        <w:instrText>Ref137805968 \r \h</w:instrText>
      </w:r>
      <w:r w:rsidRPr="004C07ED">
        <w:rPr>
          <w:rStyle w:val="aff0"/>
          <w:rtl/>
        </w:rPr>
        <w:instrText xml:space="preserve"> </w:instrText>
      </w:r>
      <w:r w:rsidRPr="004C07ED">
        <w:rPr>
          <w:rStyle w:val="aff0"/>
          <w:rtl/>
        </w:rPr>
      </w:r>
      <w:r w:rsidRPr="004C07ED">
        <w:rPr>
          <w:rStyle w:val="aff0"/>
          <w:rtl/>
        </w:rPr>
        <w:fldChar w:fldCharType="separate"/>
      </w:r>
      <w:r w:rsidR="00D82181">
        <w:rPr>
          <w:rStyle w:val="aff0"/>
          <w:cs/>
        </w:rPr>
        <w:t>‎</w:t>
      </w:r>
      <w:r w:rsidR="00D82181">
        <w:rPr>
          <w:rStyle w:val="aff0"/>
          <w:rtl/>
        </w:rPr>
        <w:t>כט)</w:t>
      </w:r>
      <w:r w:rsidRPr="004C07ED">
        <w:rPr>
          <w:rStyle w:val="aff0"/>
          <w:rtl/>
        </w:rPr>
        <w:fldChar w:fldCharType="end"/>
      </w:r>
      <w:r w:rsidRPr="0013316B">
        <w:rPr>
          <w:rStyle w:val="af"/>
          <w:rFonts w:hint="cs"/>
          <w:rtl/>
        </w:rPr>
        <w:t xml:space="preserve"> בדעת </w:t>
      </w:r>
      <w:r w:rsidRPr="0013316B">
        <w:rPr>
          <w:rStyle w:val="aff9"/>
          <w:rFonts w:hint="cs"/>
          <w:vanish/>
          <w:rtl/>
        </w:rPr>
        <w:t>-</w:t>
      </w:r>
      <w:r w:rsidRPr="0013316B">
        <w:rPr>
          <w:rStyle w:val="aff9"/>
          <w:rFonts w:hint="cs"/>
          <w:rtl/>
        </w:rPr>
        <w:t>ר"ח</w:t>
      </w:r>
      <w:r w:rsidRPr="0013316B">
        <w:rPr>
          <w:rStyle w:val="aff9"/>
          <w:rFonts w:hint="cs"/>
          <w:vanish/>
          <w:rtl/>
        </w:rPr>
        <w:t>-</w:t>
      </w:r>
      <w:r w:rsidRPr="0013316B">
        <w:rPr>
          <w:rStyle w:val="af"/>
          <w:rFonts w:hint="cs"/>
          <w:rtl/>
        </w:rPr>
        <w:t xml:space="preserve">], </w:t>
      </w:r>
      <w:r>
        <w:rPr>
          <w:rFonts w:hint="cs"/>
          <w:rtl/>
        </w:rPr>
        <w:t xml:space="preserve">משא"כ באוכל מתוך פסולת ביד דל"ד לאב דבורר כיון דבורר הוא רק בפסולת מאוכל, אך מ"מ כתב </w:t>
      </w:r>
      <w:r w:rsidRPr="005305D6">
        <w:rPr>
          <w:rStyle w:val="aff4"/>
          <w:rFonts w:hint="cs"/>
          <w:vanish/>
          <w:rtl/>
        </w:rPr>
        <w:t>-</w:t>
      </w:r>
      <w:r w:rsidRPr="00B8766B">
        <w:rPr>
          <w:rStyle w:val="aff4"/>
          <w:rFonts w:hint="cs"/>
          <w:rtl/>
        </w:rPr>
        <w:t>האגלי טל</w:t>
      </w:r>
      <w:r w:rsidRPr="005305D6">
        <w:rPr>
          <w:rStyle w:val="aff4"/>
          <w:rFonts w:hint="cs"/>
          <w:vanish/>
          <w:rtl/>
        </w:rPr>
        <w:t>-</w:t>
      </w:r>
      <w:r>
        <w:rPr>
          <w:rFonts w:hint="cs"/>
          <w:rtl/>
        </w:rPr>
        <w:t xml:space="preserve"> דהשינוי ביד אינו שינוי גמור, דהא כל בורר הוא ביד כדכתב </w:t>
      </w:r>
      <w:r w:rsidRPr="005305D6">
        <w:rPr>
          <w:rStyle w:val="aff4"/>
          <w:rFonts w:hint="cs"/>
          <w:vanish/>
          <w:rtl/>
        </w:rPr>
        <w:t>-</w:t>
      </w:r>
      <w:r w:rsidRPr="00B8766B">
        <w:rPr>
          <w:rStyle w:val="aff4"/>
          <w:rFonts w:hint="cs"/>
          <w:rtl/>
        </w:rPr>
        <w:t>רש"י במתני'</w:t>
      </w:r>
      <w:r w:rsidRPr="005305D6">
        <w:rPr>
          <w:rStyle w:val="aff4"/>
          <w:rFonts w:hint="cs"/>
          <w:vanish/>
          <w:rtl/>
        </w:rPr>
        <w:t>-</w:t>
      </w:r>
      <w:r>
        <w:rPr>
          <w:rFonts w:hint="cs"/>
          <w:rtl/>
        </w:rPr>
        <w:t xml:space="preserve"> </w:t>
      </w:r>
      <w:r w:rsidRPr="000D251D">
        <w:rPr>
          <w:rStyle w:val="af2"/>
          <w:rFonts w:eastAsia="Guttman Hodes" w:hint="cs"/>
          <w:rtl/>
        </w:rPr>
        <w:t>(עג. ד"ה הבורר)</w:t>
      </w:r>
      <w:r>
        <w:rPr>
          <w:rFonts w:hint="cs"/>
          <w:rtl/>
        </w:rPr>
        <w:t>, ולכן רק בבורר ביד אוכל מתוך פסולת חשיב שינוי, ולאלתר הוא דרך אכילה ומותר.</w:t>
      </w:r>
      <w:bookmarkEnd w:id="2515"/>
    </w:p>
    <w:p w14:paraId="3AA81AEC" w14:textId="77777777" w:rsidR="008925FD" w:rsidRPr="00747170" w:rsidRDefault="008925FD" w:rsidP="00747170">
      <w:pPr>
        <w:pStyle w:val="a2"/>
        <w:rPr>
          <w:rtl/>
        </w:rPr>
      </w:pPr>
      <w:r w:rsidRPr="00747170">
        <w:rPr>
          <w:rStyle w:val="af2"/>
          <w:rFonts w:eastAsia="Guttman Hodes" w:cs="Guttman Hodes"/>
          <w:sz w:val="18"/>
          <w:szCs w:val="18"/>
          <w:rtl/>
        </w:rPr>
        <w:t>(ח)</w:t>
      </w:r>
      <w:r w:rsidRPr="00747170">
        <w:rPr>
          <w:rtl/>
        </w:rPr>
        <w:t xml:space="preserve"> וטעם דבריו ג"כ עפ"י הנ"ל דהנה הטעם דבורר אוכל מתוך פסולת לאלתר מותר. משום דבמה שבורר אוכל מתוך פסולת לא הוי דרך ברירה. ובמה שכוונתו לאכול לאלתר הוי דרך אכילה. וע"כ דוקא ביד אבל בנפה וכברה אפי' אוכל מתוך פסולת הוי אב מלאכה כנ"ל באריכות. אבל אוכל מתוך פסולת ביד לא דמי לבורר דבורר ביד הוא פסולת מתוך אוכל. וביד לבד נמי לא הוי שינוי שהרי פירש"י במשנה הבורר פסולת בידיו. הנה דעיקר דרך ברירה היא ביד. אך כשבירר ביד אוכל מתוך פסולת הוי שינוי שהוא אוכל מתוך פסולת וכל בורר ביד הוא פסולת מתוך אוכל:</w:t>
      </w:r>
    </w:p>
    <w:p w14:paraId="5E1DA1B4" w14:textId="77777777" w:rsidR="008925FD" w:rsidRDefault="008925FD" w:rsidP="008925FD">
      <w:pPr>
        <w:pStyle w:val="afffff7"/>
        <w:rPr>
          <w:rtl/>
        </w:rPr>
      </w:pPr>
      <w:bookmarkStart w:id="2516" w:name="_Toc139277154"/>
      <w:bookmarkStart w:id="2517" w:name="_Toc163505856"/>
      <w:r>
        <w:rPr>
          <w:rtl/>
        </w:rPr>
        <w:t xml:space="preserve">שביתת השבת בורר אות </w:t>
      </w:r>
      <w:r>
        <w:rPr>
          <w:rFonts w:hint="cs"/>
          <w:rtl/>
        </w:rPr>
        <w:t>ב' ד</w:t>
      </w:r>
      <w:r>
        <w:rPr>
          <w:rFonts w:cs="Guttman Hodes" w:hint="cs"/>
          <w:rtl/>
        </w:rPr>
        <w:t>"</w:t>
      </w:r>
      <w:r>
        <w:rPr>
          <w:rFonts w:hint="cs"/>
          <w:rtl/>
        </w:rPr>
        <w:t>ה והנה מ</w:t>
      </w:r>
      <w:r>
        <w:rPr>
          <w:rFonts w:cs="Guttman Hodes" w:hint="cs"/>
          <w:rtl/>
        </w:rPr>
        <w:t>"</w:t>
      </w:r>
      <w:r>
        <w:rPr>
          <w:rFonts w:hint="cs"/>
          <w:rtl/>
        </w:rPr>
        <w:t>ש</w:t>
      </w:r>
      <w:bookmarkEnd w:id="2516"/>
      <w:bookmarkEnd w:id="2517"/>
    </w:p>
    <w:p w14:paraId="31D16BA8" w14:textId="77777777" w:rsidR="008925FD" w:rsidRDefault="008925FD" w:rsidP="008925FD">
      <w:pPr>
        <w:pStyle w:val="a7"/>
        <w:rPr>
          <w:rtl/>
        </w:rPr>
      </w:pPr>
      <w:bookmarkStart w:id="2518" w:name="_Toc139277041"/>
      <w:r>
        <w:rPr>
          <w:rFonts w:hint="cs"/>
          <w:rtl/>
        </w:rPr>
        <w:t>בי' השביתת השבת ברמב"ם דאוכל מפסולת שינוי מברירה והוי דרך אכילה כרמב"ן או כר"ן</w:t>
      </w:r>
      <w:bookmarkEnd w:id="2518"/>
    </w:p>
    <w:p w14:paraId="4A1BC9C6" w14:textId="464709DE" w:rsidR="008925FD" w:rsidRPr="008E1CA3" w:rsidRDefault="008925FD" w:rsidP="00BC7DC8">
      <w:pPr>
        <w:pStyle w:val="a3"/>
      </w:pPr>
      <w:bookmarkStart w:id="2519" w:name="_Ref138969919"/>
      <w:r>
        <w:rPr>
          <w:rFonts w:hint="cs"/>
          <w:rtl/>
        </w:rPr>
        <w:t xml:space="preserve">כתב </w:t>
      </w:r>
      <w:r w:rsidRPr="003D30D2">
        <w:rPr>
          <w:rStyle w:val="aff4"/>
          <w:rFonts w:hint="cs"/>
          <w:vanish/>
          <w:rtl/>
        </w:rPr>
        <w:t>-</w:t>
      </w:r>
      <w:r w:rsidRPr="00A30B60">
        <w:rPr>
          <w:rStyle w:val="aff4"/>
          <w:rFonts w:hint="cs"/>
          <w:rtl/>
        </w:rPr>
        <w:t>ה</w:t>
      </w:r>
      <w:r w:rsidRPr="003D30D2">
        <w:rPr>
          <w:rStyle w:val="aff4"/>
          <w:rFonts w:hint="cs"/>
          <w:vanish/>
          <w:rtl/>
        </w:rPr>
        <w:t xml:space="preserve">&lt;. </w:t>
      </w:r>
      <w:r w:rsidRPr="003D30D2">
        <w:rPr>
          <w:rStyle w:val="aff4"/>
          <w:vanish/>
          <w:rtl/>
        </w:rPr>
        <w:fldChar w:fldCharType="begin"/>
      </w:r>
      <w:r w:rsidRPr="003D30D2">
        <w:rPr>
          <w:rStyle w:val="aff4"/>
          <w:vanish/>
          <w:rtl/>
        </w:rPr>
        <w:instrText xml:space="preserve"> </w:instrText>
      </w:r>
      <w:r w:rsidRPr="003D30D2">
        <w:rPr>
          <w:rStyle w:val="aff4"/>
          <w:rFonts w:hint="cs"/>
          <w:vanish/>
        </w:rPr>
        <w:instrText>REF</w:instrText>
      </w:r>
      <w:r w:rsidRPr="003D30D2">
        <w:rPr>
          <w:rStyle w:val="aff4"/>
          <w:rFonts w:hint="cs"/>
          <w:vanish/>
          <w:rtl/>
        </w:rPr>
        <w:instrText xml:space="preserve"> _</w:instrText>
      </w:r>
      <w:r w:rsidRPr="003D30D2">
        <w:rPr>
          <w:rStyle w:val="aff4"/>
          <w:rFonts w:hint="cs"/>
          <w:vanish/>
        </w:rPr>
        <w:instrText>Ref138969919 \r \h</w:instrText>
      </w:r>
      <w:r w:rsidRPr="003D30D2">
        <w:rPr>
          <w:rStyle w:val="aff4"/>
          <w:vanish/>
          <w:rtl/>
        </w:rPr>
        <w:instrText xml:space="preserve"> </w:instrText>
      </w:r>
      <w:r w:rsidRPr="003D30D2">
        <w:rPr>
          <w:rStyle w:val="aff4"/>
          <w:vanish/>
          <w:rtl/>
        </w:rPr>
      </w:r>
      <w:r w:rsidRPr="003D30D2">
        <w:rPr>
          <w:rStyle w:val="aff4"/>
          <w:vanish/>
          <w:rtl/>
        </w:rPr>
        <w:fldChar w:fldCharType="separate"/>
      </w:r>
      <w:r w:rsidR="00D82181">
        <w:rPr>
          <w:rStyle w:val="aff4"/>
          <w:vanish/>
          <w:cs/>
        </w:rPr>
        <w:t>‎</w:t>
      </w:r>
      <w:r w:rsidR="00D82181">
        <w:rPr>
          <w:rStyle w:val="aff4"/>
          <w:vanish/>
          <w:rtl/>
        </w:rPr>
        <w:t>ח)</w:t>
      </w:r>
      <w:r w:rsidRPr="003D30D2">
        <w:rPr>
          <w:rStyle w:val="aff4"/>
          <w:vanish/>
          <w:rtl/>
        </w:rPr>
        <w:fldChar w:fldCharType="end"/>
      </w:r>
      <w:r w:rsidRPr="003D30D2">
        <w:rPr>
          <w:rStyle w:val="aff4"/>
          <w:rFonts w:hint="cs"/>
          <w:vanish/>
          <w:rtl/>
        </w:rPr>
        <w:t xml:space="preserve"> &gt;</w:t>
      </w:r>
      <w:r w:rsidRPr="00A30B60">
        <w:rPr>
          <w:rStyle w:val="aff4"/>
          <w:rFonts w:hint="cs"/>
          <w:rtl/>
        </w:rPr>
        <w:t>שביתת השבת</w:t>
      </w:r>
      <w:r w:rsidRPr="003D30D2">
        <w:rPr>
          <w:rStyle w:val="aff4"/>
          <w:rFonts w:hint="cs"/>
          <w:vanish/>
          <w:rtl/>
        </w:rPr>
        <w:t>-</w:t>
      </w:r>
      <w:r>
        <w:rPr>
          <w:rFonts w:hint="cs"/>
          <w:rtl/>
        </w:rPr>
        <w:t xml:space="preserve"> </w:t>
      </w:r>
      <w:r w:rsidRPr="000D251D">
        <w:rPr>
          <w:rStyle w:val="af2"/>
          <w:rFonts w:eastAsia="Guttman Hodes" w:hint="cs"/>
          <w:rtl/>
        </w:rPr>
        <w:t>(בורר אות א' ד"ה והנה מ"ש, ד"ה ולע"ד)</w:t>
      </w:r>
      <w:r w:rsidRPr="003D30D2">
        <w:rPr>
          <w:rFonts w:hint="cs"/>
          <w:vanish/>
          <w:rtl/>
        </w:rPr>
        <w:t>=</w:t>
      </w:r>
      <w:bookmarkEnd w:id="2519"/>
      <w:r>
        <w:rPr>
          <w:rFonts w:hint="cs"/>
          <w:rtl/>
        </w:rPr>
        <w:t xml:space="preserve"> דמשמע מדברי </w:t>
      </w:r>
      <w:r w:rsidRPr="003D30D2">
        <w:rPr>
          <w:rStyle w:val="aff4"/>
          <w:rFonts w:hint="cs"/>
          <w:vanish/>
          <w:rtl/>
        </w:rPr>
        <w:t>-</w:t>
      </w:r>
      <w:r w:rsidRPr="00A30B60">
        <w:rPr>
          <w:rStyle w:val="aff4"/>
          <w:rFonts w:hint="cs"/>
          <w:rtl/>
        </w:rPr>
        <w:t>ר"ח</w:t>
      </w:r>
      <w:r w:rsidRPr="003D30D2">
        <w:rPr>
          <w:rStyle w:val="aff4"/>
          <w:rFonts w:hint="cs"/>
          <w:vanish/>
          <w:rtl/>
        </w:rPr>
        <w:t>-</w:t>
      </w:r>
      <w:r>
        <w:rPr>
          <w:rFonts w:hint="cs"/>
          <w:rtl/>
        </w:rPr>
        <w:t xml:space="preserve"> </w:t>
      </w:r>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Ref139187404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w:t>
      </w:r>
      <w:r>
        <w:rPr>
          <w:rStyle w:val="af2"/>
          <w:rFonts w:eastAsia="Guttman Hodes"/>
          <w:rtl/>
        </w:rPr>
        <w:fldChar w:fldCharType="end"/>
      </w:r>
      <w:r>
        <w:rPr>
          <w:rFonts w:hint="cs"/>
          <w:rtl/>
        </w:rPr>
        <w:t xml:space="preserve"> </w:t>
      </w:r>
      <w:r w:rsidRPr="009B1F18">
        <w:rPr>
          <w:rStyle w:val="aff4"/>
          <w:rFonts w:hint="cs"/>
          <w:vanish/>
          <w:rtl/>
        </w:rPr>
        <w:t>-</w:t>
      </w:r>
      <w:r w:rsidRPr="000D251D">
        <w:rPr>
          <w:rStyle w:val="aff4"/>
          <w:rFonts w:hint="cs"/>
          <w:rtl/>
        </w:rPr>
        <w:t>והרמב"ם</w:t>
      </w:r>
      <w:r w:rsidRPr="009B1F18">
        <w:rPr>
          <w:rStyle w:val="aff4"/>
          <w:rFonts w:hint="cs"/>
          <w:vanish/>
          <w:rtl/>
        </w:rPr>
        <w:t>-</w:t>
      </w:r>
      <w:r w:rsidRPr="00D16D78">
        <w:rPr>
          <w:rFonts w:hint="cs"/>
          <w:rtl/>
        </w:rPr>
        <w:t xml:space="preserve"> </w:t>
      </w:r>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Ref139187813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כא)</w:t>
      </w:r>
      <w:r>
        <w:rPr>
          <w:rStyle w:val="af2"/>
          <w:rFonts w:eastAsia="Guttman Hodes"/>
          <w:rtl/>
        </w:rPr>
        <w:fldChar w:fldCharType="end"/>
      </w:r>
      <w:r>
        <w:rPr>
          <w:rFonts w:hint="cs"/>
          <w:rtl/>
        </w:rPr>
        <w:t xml:space="preserve"> </w:t>
      </w:r>
      <w:r w:rsidRPr="00D16D78">
        <w:rPr>
          <w:rFonts w:hint="cs"/>
          <w:rtl/>
        </w:rPr>
        <w:t xml:space="preserve">כמ"ש </w:t>
      </w:r>
      <w:r w:rsidRPr="009B1F18">
        <w:rPr>
          <w:rStyle w:val="aff4"/>
          <w:rFonts w:hint="cs"/>
          <w:vanish/>
          <w:rtl/>
        </w:rPr>
        <w:t>-</w:t>
      </w:r>
      <w:r w:rsidRPr="000D251D">
        <w:rPr>
          <w:rStyle w:val="aff4"/>
          <w:rFonts w:hint="cs"/>
          <w:rtl/>
        </w:rPr>
        <w:t>הגר"ז</w:t>
      </w:r>
      <w:r w:rsidRPr="009B1F18">
        <w:rPr>
          <w:rStyle w:val="aff4"/>
          <w:rFonts w:hint="cs"/>
          <w:vanish/>
          <w:rtl/>
        </w:rPr>
        <w:t>-</w:t>
      </w:r>
      <w:r w:rsidRPr="00D16D78">
        <w:rPr>
          <w:rFonts w:hint="cs"/>
          <w:rtl/>
        </w:rPr>
        <w:t xml:space="preserve"> </w:t>
      </w:r>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Ref138784106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מט)</w:t>
      </w:r>
      <w:r>
        <w:rPr>
          <w:rStyle w:val="af2"/>
          <w:rFonts w:eastAsia="Guttman Hodes"/>
          <w:rtl/>
        </w:rPr>
        <w:fldChar w:fldCharType="end"/>
      </w:r>
      <w:r w:rsidRPr="00D16D78">
        <w:rPr>
          <w:rFonts w:hint="cs"/>
          <w:rtl/>
        </w:rPr>
        <w:t xml:space="preserve"> </w:t>
      </w:r>
      <w:r w:rsidRPr="00DB2F71">
        <w:rPr>
          <w:rStyle w:val="af"/>
          <w:rFonts w:hint="cs"/>
          <w:rtl/>
        </w:rPr>
        <w:t>[לענין היתר לאלתר</w:t>
      </w:r>
      <w:r>
        <w:rPr>
          <w:rStyle w:val="af"/>
          <w:rFonts w:hint="cs"/>
          <w:rtl/>
        </w:rPr>
        <w:t xml:space="preserve"> דהוא שינוי</w:t>
      </w:r>
      <w:r w:rsidRPr="00DB2F71">
        <w:rPr>
          <w:rStyle w:val="af"/>
          <w:rFonts w:hint="cs"/>
          <w:rtl/>
        </w:rPr>
        <w:t>]</w:t>
      </w:r>
      <w:r>
        <w:rPr>
          <w:rStyle w:val="af"/>
          <w:rFonts w:hint="cs"/>
          <w:rtl/>
        </w:rPr>
        <w:t>,</w:t>
      </w:r>
      <w:r>
        <w:rPr>
          <w:rFonts w:hint="cs"/>
          <w:rtl/>
        </w:rPr>
        <w:t xml:space="preserve"> וה"ה לענין </w:t>
      </w:r>
      <w:r w:rsidRPr="00D16D78">
        <w:rPr>
          <w:rFonts w:hint="cs"/>
          <w:rtl/>
        </w:rPr>
        <w:t xml:space="preserve">היתר אוכל מתוך פסולת </w:t>
      </w:r>
      <w:r>
        <w:rPr>
          <w:rFonts w:hint="cs"/>
          <w:rtl/>
        </w:rPr>
        <w:t>ד</w:t>
      </w:r>
      <w:r w:rsidRPr="00D16D78">
        <w:rPr>
          <w:rFonts w:hint="cs"/>
          <w:rtl/>
        </w:rPr>
        <w:t xml:space="preserve">הוא שינוי מדרך ברירה, אך אין כוונתם דהוא שינוי וא"כ באוכל מתוך פסולת לאלתר הוי תרי שינויי, </w:t>
      </w:r>
      <w:r w:rsidRPr="000D251D">
        <w:rPr>
          <w:rStyle w:val="af"/>
          <w:rFonts w:hint="cs"/>
          <w:rtl/>
        </w:rPr>
        <w:t xml:space="preserve">[כדביאר </w:t>
      </w:r>
      <w:r w:rsidRPr="009B1F18">
        <w:rPr>
          <w:rStyle w:val="aff9"/>
          <w:rFonts w:hint="cs"/>
          <w:vanish/>
          <w:rtl/>
        </w:rPr>
        <w:t>-</w:t>
      </w:r>
      <w:r w:rsidRPr="009B1F18">
        <w:rPr>
          <w:rStyle w:val="aff9"/>
          <w:rFonts w:hint="cs"/>
          <w:rtl/>
        </w:rPr>
        <w:t>ה</w:t>
      </w:r>
      <w:r w:rsidRPr="009B1F18">
        <w:rPr>
          <w:rStyle w:val="aff9"/>
          <w:rFonts w:hint="cs"/>
          <w:vanish/>
          <w:rtl/>
        </w:rPr>
        <w:t>&lt; &gt;</w:t>
      </w:r>
      <w:r w:rsidRPr="009B1F18">
        <w:rPr>
          <w:rStyle w:val="aff9"/>
          <w:rFonts w:hint="cs"/>
          <w:rtl/>
        </w:rPr>
        <w:t>קרית מלך רב</w:t>
      </w:r>
      <w:r w:rsidRPr="009B1F18">
        <w:rPr>
          <w:rStyle w:val="aff9"/>
          <w:rFonts w:hint="cs"/>
          <w:vanish/>
          <w:rtl/>
        </w:rPr>
        <w:t>-</w:t>
      </w:r>
      <w:r w:rsidRPr="000D251D">
        <w:rPr>
          <w:rStyle w:val="af"/>
          <w:rFonts w:hint="cs"/>
          <w:rtl/>
        </w:rPr>
        <w:t xml:space="preserve"> </w:t>
      </w:r>
      <w:r w:rsidRPr="009B1F18">
        <w:rPr>
          <w:rStyle w:val="aff0"/>
          <w:rFonts w:hint="cs"/>
          <w:rtl/>
        </w:rPr>
        <w:t>(שבת פי"ז הי"ב)</w:t>
      </w:r>
      <w:r w:rsidRPr="009B1F18">
        <w:rPr>
          <w:rStyle w:val="af"/>
          <w:rFonts w:hint="cs"/>
          <w:vanish/>
          <w:rtl/>
        </w:rPr>
        <w:t>=</w:t>
      </w:r>
      <w:r w:rsidRPr="00394BDA">
        <w:rPr>
          <w:rStyle w:val="af"/>
          <w:rFonts w:hint="cs"/>
          <w:rtl/>
        </w:rPr>
        <w:t>],</w:t>
      </w:r>
      <w:r w:rsidRPr="00D16D78">
        <w:rPr>
          <w:rFonts w:hint="cs"/>
          <w:rtl/>
        </w:rPr>
        <w:t xml:space="preserve"> אלא דהוא דרך אכילה ואינו דרך ברירה, או כביאור </w:t>
      </w:r>
      <w:r w:rsidRPr="009B1F18">
        <w:rPr>
          <w:rStyle w:val="aff4"/>
          <w:rFonts w:hint="cs"/>
          <w:vanish/>
          <w:rtl/>
        </w:rPr>
        <w:t>-</w:t>
      </w:r>
      <w:r w:rsidRPr="000D251D">
        <w:rPr>
          <w:rStyle w:val="aff4"/>
          <w:rFonts w:hint="cs"/>
          <w:rtl/>
        </w:rPr>
        <w:t>הרמב"ן</w:t>
      </w:r>
      <w:r w:rsidRPr="009B1F18">
        <w:rPr>
          <w:rStyle w:val="aff4"/>
          <w:rFonts w:hint="cs"/>
          <w:vanish/>
          <w:rtl/>
        </w:rPr>
        <w:t>-</w:t>
      </w:r>
      <w:r w:rsidRPr="00D16D78">
        <w:rPr>
          <w:rFonts w:hint="cs"/>
          <w:rtl/>
        </w:rPr>
        <w:t xml:space="preserve"> </w:t>
      </w:r>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Ref139009224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ט)</w:t>
      </w:r>
      <w:r>
        <w:rPr>
          <w:rStyle w:val="af2"/>
          <w:rFonts w:eastAsia="Guttman Hodes"/>
          <w:rtl/>
        </w:rPr>
        <w:fldChar w:fldCharType="end"/>
      </w:r>
      <w:r w:rsidRPr="00D16D78">
        <w:rPr>
          <w:rFonts w:hint="cs"/>
          <w:rtl/>
        </w:rPr>
        <w:t xml:space="preserve"> דברירה הוא כשאינו אוכל את מה שבורר, או כביאור </w:t>
      </w:r>
      <w:r w:rsidRPr="009B1F18">
        <w:rPr>
          <w:rStyle w:val="aff4"/>
          <w:rFonts w:hint="cs"/>
          <w:vanish/>
          <w:rtl/>
        </w:rPr>
        <w:t>-</w:t>
      </w:r>
      <w:r w:rsidRPr="000D251D">
        <w:rPr>
          <w:rStyle w:val="aff4"/>
          <w:rFonts w:hint="cs"/>
          <w:rtl/>
        </w:rPr>
        <w:t>הר"ן</w:t>
      </w:r>
      <w:r w:rsidRPr="009B1F18">
        <w:rPr>
          <w:rStyle w:val="aff4"/>
          <w:rFonts w:hint="cs"/>
          <w:vanish/>
          <w:rtl/>
        </w:rPr>
        <w:t>-</w:t>
      </w:r>
      <w:r w:rsidRPr="00D16D78">
        <w:rPr>
          <w:rFonts w:hint="cs"/>
          <w:rtl/>
        </w:rPr>
        <w:t xml:space="preserve"> </w:t>
      </w:r>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Ref139193295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י)</w:t>
      </w:r>
      <w:r>
        <w:rPr>
          <w:rStyle w:val="af2"/>
          <w:rFonts w:eastAsia="Guttman Hodes"/>
          <w:rtl/>
        </w:rPr>
        <w:fldChar w:fldCharType="end"/>
      </w:r>
      <w:r w:rsidRPr="00D16D78">
        <w:rPr>
          <w:rFonts w:hint="cs"/>
          <w:rtl/>
        </w:rPr>
        <w:t xml:space="preserve"> </w:t>
      </w:r>
      <w:r>
        <w:rPr>
          <w:rFonts w:hint="cs"/>
          <w:rtl/>
        </w:rPr>
        <w:t>דעיקר ברירה הוא בפסולת מתוך אוכל, עיי"ש במה שהאריך בזה.</w:t>
      </w:r>
    </w:p>
    <w:p w14:paraId="27187E2F" w14:textId="77777777" w:rsidR="008925FD" w:rsidRPr="00747170" w:rsidRDefault="008925FD" w:rsidP="00747170">
      <w:pPr>
        <w:pStyle w:val="a2"/>
        <w:rPr>
          <w:rtl/>
        </w:rPr>
      </w:pPr>
      <w:r w:rsidRPr="00747170">
        <w:rPr>
          <w:rtl/>
        </w:rPr>
        <w:lastRenderedPageBreak/>
        <w:t>והנה מ"ש פה בפנים הטעם לפי שהוא דרך אכילה העתקתי זה מש"ע הגר"ז [שי"ט ס"א] והוא עולה יפה לדעת ר"ח והרמב"ם דפסקינן כותייהו בש"ע וכן מורה לשון ר"ח שאעתיק לשונו לקמן וכתבתי כ"ז באשר ראיתי בספר קרית מלך רב שהלך בדרך אחר, ובאשר הוא נוגע לכמה כללים בדיני שבת שהוציא מזה הקרית מלך רב אעתיק לשונו ז"ל בפ"ז הי"ב נראה מדברי רבינו (הרמב"ם) דדוקא אוכל מתוך פסולת לאלתר הוא דמותר וטעמא משום דאיכא תרתי לטיבותא האחד שבירר אוכל מתוך פסולת ואין זה דרך ברירה שדרך ברירה הוא לברור פסולת מתוך אוכל והב' שהוא לאלתר אבל אי איכא חדא כגון שבירר פמ"א אפי' לאלתר חייב. וכן אם בירר אוכל מתוך פסולת לבו ביום חייב כמבואר מדברי רבינו וצריך להבין אמאי כל טעם לחוד לא מהני וכששניהם יחד מותר לכתחלה וצ"ל דהיינו משום טעמא דאיכא תרי שינויי. וכן נראה ממ"ש רבינו פכ"א ה"כ וז"ל הצריך לדוך פלפלין וכיו"ב ליתן לתוך המאכל בשבת הרי זה נוקש ביד הסכין ובקערה הרי דבעי תרי שינויי סכין וקערה אמנם ראיתי להמ"א סי' שכ"א סק"ט שכתב ובקערה פי' או בקערה שידוכם בשולי הקערה. שהוא שינוי גמור דאין לומר דבעי תרי שינוי דהא לא הזכיר אלא חד שינוי דהיינו בסכין עכ"ל ולכאורה ק"ל על דבריו שהרי הוכחנו מדברי רבינו דאין להתיר אלא בתרי שינויי הן אמת דמ"ש לדעת רבינו דכל דליכא אלא חד שינוי חייב ואי איכא תרי שרי קשה ממ"ש רבינו פכ"א הי"ד היונק בפיו פטור. ופירש"י בכתובות דף ס'. שאין דרך בני אדם לינק אלא לחלוב ביד הרי מבואר דבשינוי חד פטור אבל אסור וחיוב חטאת ליכא ולישב ד' רבינו נראה דכל דאיכא שינוי גמור כגון שהוציא ברגלו כו' או יונק בפיו כו' אז פטור אבל אסור אבל כל דליכא שינוי גמור חייב ולפ"ז ס"ל לרבינו דהבורר אוכל מ"פ. (נראה דצ"ל פמ"א) אפי' לאלתר לא הוי שינוי גמור הלכך בעינן תרי שינויי. נמצא לדברינו דכמה חילוקי איכא כששינוי האחד הוא שינוי גמור הוא פטור אבל אסור. ואי איכא תרי שינויים גמורים שרי, והב' כל דליכא אלא שינוי שאינו גמור אז חייב והג' אי איכא תלת שינויי אף שאינם גמורים שרי תדע שהרי באוכל מתוך פסולת אפי' ביד חייב כשהוא לבו ביום אלא שעדיין קשה דבקנון ותמחוי כתב רבינו דפטור אפי' לאלתר וצ"ע עכ"ל הקרית מלך רב.</w:t>
      </w:r>
    </w:p>
    <w:p w14:paraId="71AD8EF6" w14:textId="77777777" w:rsidR="008925FD" w:rsidRPr="00EB6547" w:rsidRDefault="008925FD" w:rsidP="00747170">
      <w:pPr>
        <w:pStyle w:val="afffff5"/>
        <w:rPr>
          <w:rtl/>
        </w:rPr>
      </w:pPr>
      <w:r w:rsidRPr="00EB6547">
        <w:rPr>
          <w:rtl/>
        </w:rPr>
        <w:t>ולע"ד להר"ח והרמב"ם דנקטינן כותייהו אין טעם ההיתר לאוכל מתוך פסולת לאלתר משום דהוי תרי שינויי, רק משום שכן דרך אכילה ובפסולת מתוך אוכל אינו דרך אכילה שאינו אוכל מה שבורר כמ"ש הרמב"ן (או משום שעיקר דרך ברירה הוא פסולת מתוך אוכל ע"כ נקרא דרך ברירה ולא דרך אכילה כן משמע מהר"ן)</w:t>
      </w:r>
      <w:r w:rsidRPr="00EB6547">
        <w:rPr>
          <w:rFonts w:hint="cs"/>
          <w:rtl/>
        </w:rPr>
        <w:t>.</w:t>
      </w:r>
    </w:p>
    <w:p w14:paraId="2A5274EB" w14:textId="77777777" w:rsidR="008925FD" w:rsidRPr="00073E24" w:rsidRDefault="008925FD" w:rsidP="008925FD">
      <w:pPr>
        <w:pStyle w:val="1"/>
        <w:rPr>
          <w:rtl/>
        </w:rPr>
      </w:pPr>
      <w:bookmarkStart w:id="2520" w:name="_Toc139277042"/>
      <w:r>
        <w:rPr>
          <w:rFonts w:hint="cs"/>
          <w:rtl/>
        </w:rPr>
        <w:t>בי' הרמב"ן דבפסולת מתוך אוכל אינו אוכל את מה שמברר</w:t>
      </w:r>
      <w:bookmarkEnd w:id="2520"/>
    </w:p>
    <w:p w14:paraId="385C3775" w14:textId="77777777" w:rsidR="008925FD" w:rsidRDefault="008925FD" w:rsidP="008925FD">
      <w:pPr>
        <w:pStyle w:val="afffff7"/>
        <w:rPr>
          <w:rtl/>
        </w:rPr>
      </w:pPr>
      <w:bookmarkStart w:id="2521" w:name="_Toc139277155"/>
      <w:bookmarkStart w:id="2522" w:name="_Toc163505857"/>
      <w:r>
        <w:rPr>
          <w:rtl/>
        </w:rPr>
        <w:t>חדושי הרמב"ן שבת ע"ד ע"א</w:t>
      </w:r>
      <w:r>
        <w:rPr>
          <w:rFonts w:hint="cs"/>
          <w:rtl/>
        </w:rPr>
        <w:t xml:space="preserve"> ד"ה ואיכא</w:t>
      </w:r>
      <w:bookmarkEnd w:id="2521"/>
      <w:bookmarkEnd w:id="2522"/>
    </w:p>
    <w:p w14:paraId="44C86669" w14:textId="77777777" w:rsidR="008925FD" w:rsidRPr="00D73184" w:rsidRDefault="008925FD" w:rsidP="008925FD">
      <w:pPr>
        <w:pStyle w:val="a7"/>
      </w:pPr>
      <w:bookmarkStart w:id="2523" w:name="_Toc139277043"/>
      <w:r>
        <w:rPr>
          <w:rFonts w:hint="cs"/>
          <w:rtl/>
        </w:rPr>
        <w:t>דחיית הרמב"ן דדרך ברירה גם באוכל מפסולת ופסולת מאוכל אסור דאינו אוכל מה שבורר</w:t>
      </w:r>
      <w:bookmarkEnd w:id="2523"/>
      <w:r>
        <w:rPr>
          <w:rFonts w:hint="cs"/>
          <w:rtl/>
        </w:rPr>
        <w:t xml:space="preserve"> </w:t>
      </w:r>
    </w:p>
    <w:p w14:paraId="570D9AFE" w14:textId="3D4664B2" w:rsidR="008925FD" w:rsidRPr="00624E11" w:rsidRDefault="008925FD" w:rsidP="00BC7DC8">
      <w:pPr>
        <w:pStyle w:val="a3"/>
        <w:rPr>
          <w:rtl/>
        </w:rPr>
      </w:pPr>
      <w:bookmarkStart w:id="2524" w:name="_Ref139009224"/>
      <w:r>
        <w:rPr>
          <w:rFonts w:hint="cs"/>
          <w:rtl/>
        </w:rPr>
        <w:t xml:space="preserve">אבל </w:t>
      </w:r>
      <w:r w:rsidRPr="0031102F">
        <w:rPr>
          <w:rStyle w:val="aff4"/>
          <w:rFonts w:hint="cs"/>
          <w:vanish/>
          <w:rtl/>
        </w:rPr>
        <w:t>-</w:t>
      </w:r>
      <w:r w:rsidRPr="00FE6CDD">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Ref139009224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ט)</w:t>
      </w:r>
      <w:r>
        <w:rPr>
          <w:rStyle w:val="aff4"/>
          <w:vanish/>
          <w:rtl/>
        </w:rPr>
        <w:fldChar w:fldCharType="end"/>
      </w:r>
      <w:r>
        <w:rPr>
          <w:rStyle w:val="aff4"/>
          <w:rFonts w:hint="cs"/>
          <w:vanish/>
          <w:rtl/>
        </w:rPr>
        <w:t xml:space="preserve"> &gt;</w:t>
      </w:r>
      <w:r w:rsidRPr="00FE6CDD">
        <w:rPr>
          <w:rStyle w:val="aff4"/>
          <w:rFonts w:hint="cs"/>
          <w:rtl/>
        </w:rPr>
        <w:t>רמב"ן</w:t>
      </w:r>
      <w:r w:rsidRPr="0031102F">
        <w:rPr>
          <w:rStyle w:val="aff4"/>
          <w:rFonts w:hint="cs"/>
          <w:vanish/>
          <w:rtl/>
        </w:rPr>
        <w:t>-</w:t>
      </w:r>
      <w:r>
        <w:rPr>
          <w:rFonts w:hint="cs"/>
          <w:rtl/>
        </w:rPr>
        <w:t xml:space="preserve"> </w:t>
      </w:r>
      <w:r w:rsidRPr="000D251D">
        <w:rPr>
          <w:rStyle w:val="af2"/>
          <w:rFonts w:eastAsia="Guttman Hodes" w:hint="cs"/>
          <w:rtl/>
        </w:rPr>
        <w:t>(ד"ה ואיכא)</w:t>
      </w:r>
      <w:r w:rsidRPr="0031102F">
        <w:rPr>
          <w:rFonts w:hint="cs"/>
          <w:vanish/>
          <w:rtl/>
        </w:rPr>
        <w:t>=</w:t>
      </w:r>
      <w:r>
        <w:rPr>
          <w:rFonts w:hint="cs"/>
          <w:rtl/>
        </w:rPr>
        <w:t xml:space="preserve"> דחה את דברי </w:t>
      </w:r>
      <w:r w:rsidRPr="0015302A">
        <w:rPr>
          <w:rStyle w:val="aff4"/>
          <w:rFonts w:hint="cs"/>
          <w:vanish/>
          <w:rtl/>
        </w:rPr>
        <w:t>-</w:t>
      </w:r>
      <w:r w:rsidRPr="0015302A">
        <w:rPr>
          <w:rStyle w:val="aff4"/>
          <w:rFonts w:hint="cs"/>
          <w:rtl/>
        </w:rPr>
        <w:t>התוס'</w:t>
      </w:r>
      <w:r w:rsidRPr="0015302A">
        <w:rPr>
          <w:rStyle w:val="aff4"/>
          <w:rFonts w:hint="cs"/>
          <w:vanish/>
          <w:rtl/>
        </w:rPr>
        <w:t>-</w:t>
      </w:r>
      <w:r>
        <w:rPr>
          <w:rFonts w:hint="cs"/>
          <w:rtl/>
        </w:rPr>
        <w:t xml:space="preserve"> </w:t>
      </w:r>
      <w:r>
        <w:rPr>
          <w:rStyle w:val="af2"/>
          <w:rFonts w:eastAsia="Guttman Hodes" w:hint="cs"/>
          <w:rtl/>
        </w:rPr>
        <w:t xml:space="preserve">(עי' </w:t>
      </w:r>
      <w:r w:rsidRPr="00CC47A9">
        <w:rPr>
          <w:rStyle w:val="af2"/>
          <w:rFonts w:eastAsia="Guttman Hodes" w:hint="cs"/>
          <w:rtl/>
        </w:rPr>
        <w:t xml:space="preserve">אות </w:t>
      </w:r>
      <w:r w:rsidRPr="00CC47A9">
        <w:rPr>
          <w:rStyle w:val="af2"/>
          <w:rFonts w:eastAsia="Guttman Hodes"/>
          <w:rtl/>
        </w:rPr>
        <w:fldChar w:fldCharType="begin"/>
      </w:r>
      <w:r w:rsidRPr="00CC47A9">
        <w:rPr>
          <w:rStyle w:val="af2"/>
          <w:rFonts w:eastAsia="Guttman Hodes"/>
          <w:rtl/>
        </w:rPr>
        <w:instrText xml:space="preserve"> </w:instrText>
      </w:r>
      <w:r w:rsidRPr="00CC47A9">
        <w:rPr>
          <w:rStyle w:val="af2"/>
          <w:rFonts w:eastAsia="Guttman Hodes" w:hint="cs"/>
        </w:rPr>
        <w:instrText>REF</w:instrText>
      </w:r>
      <w:r w:rsidRPr="00CC47A9">
        <w:rPr>
          <w:rStyle w:val="af2"/>
          <w:rFonts w:eastAsia="Guttman Hodes" w:hint="cs"/>
          <w:rtl/>
        </w:rPr>
        <w:instrText xml:space="preserve"> _</w:instrText>
      </w:r>
      <w:r w:rsidRPr="00CC47A9">
        <w:rPr>
          <w:rStyle w:val="af2"/>
          <w:rFonts w:eastAsia="Guttman Hodes" w:hint="cs"/>
        </w:rPr>
        <w:instrText>Ref138681089 \r \h</w:instrText>
      </w:r>
      <w:r w:rsidRPr="00CC47A9">
        <w:rPr>
          <w:rStyle w:val="af2"/>
          <w:rFonts w:eastAsia="Guttman Hodes"/>
          <w:rtl/>
        </w:rPr>
        <w:instrText xml:space="preserve">  \* </w:instrText>
      </w:r>
      <w:r w:rsidRPr="00CC47A9">
        <w:rPr>
          <w:rStyle w:val="af2"/>
          <w:rFonts w:eastAsia="Guttman Hodes"/>
        </w:rPr>
        <w:instrText>MERGEFORMAT</w:instrText>
      </w:r>
      <w:r w:rsidRPr="00CC47A9">
        <w:rPr>
          <w:rStyle w:val="af2"/>
          <w:rFonts w:eastAsia="Guttman Hodes"/>
          <w:rtl/>
        </w:rPr>
        <w:instrText xml:space="preserve"> </w:instrText>
      </w:r>
      <w:r w:rsidRPr="00CC47A9">
        <w:rPr>
          <w:rStyle w:val="af2"/>
          <w:rFonts w:eastAsia="Guttman Hodes"/>
          <w:rtl/>
        </w:rPr>
      </w:r>
      <w:r w:rsidRPr="00CC47A9">
        <w:rPr>
          <w:rStyle w:val="af2"/>
          <w:rFonts w:eastAsia="Guttman Hodes"/>
          <w:rtl/>
        </w:rPr>
        <w:fldChar w:fldCharType="separate"/>
      </w:r>
      <w:r w:rsidR="00D82181">
        <w:rPr>
          <w:rStyle w:val="af2"/>
          <w:rFonts w:eastAsia="Guttman Hodes"/>
          <w:cs/>
        </w:rPr>
        <w:t>‎</w:t>
      </w:r>
      <w:r w:rsidR="00D82181">
        <w:rPr>
          <w:rStyle w:val="af2"/>
          <w:rFonts w:eastAsia="Guttman Hodes"/>
          <w:rtl/>
        </w:rPr>
        <w:t>ד)</w:t>
      </w:r>
      <w:r w:rsidRPr="00CC47A9">
        <w:rPr>
          <w:rStyle w:val="af2"/>
          <w:rFonts w:eastAsia="Guttman Hodes"/>
          <w:rtl/>
        </w:rPr>
        <w:fldChar w:fldCharType="end"/>
      </w:r>
      <w:r w:rsidRPr="00CC47A9">
        <w:rPr>
          <w:rFonts w:hint="cs"/>
          <w:rtl/>
        </w:rPr>
        <w:t xml:space="preserve"> </w:t>
      </w:r>
      <w:r>
        <w:rPr>
          <w:rFonts w:hint="cs"/>
          <w:rtl/>
        </w:rPr>
        <w:t xml:space="preserve">וכתב </w:t>
      </w:r>
      <w:r w:rsidRPr="0031102F">
        <w:rPr>
          <w:rStyle w:val="aff4"/>
          <w:rFonts w:hint="cs"/>
          <w:vanish/>
          <w:rtl/>
        </w:rPr>
        <w:t>-</w:t>
      </w:r>
      <w:r w:rsidRPr="00FE6CDD">
        <w:rPr>
          <w:rStyle w:val="aff4"/>
          <w:rFonts w:hint="cs"/>
          <w:rtl/>
        </w:rPr>
        <w:t>הרמב"ן</w:t>
      </w:r>
      <w:r w:rsidRPr="0031102F">
        <w:rPr>
          <w:rStyle w:val="aff4"/>
          <w:rFonts w:hint="cs"/>
          <w:vanish/>
          <w:rtl/>
        </w:rPr>
        <w:t>-</w:t>
      </w:r>
      <w:r>
        <w:rPr>
          <w:rFonts w:hint="cs"/>
          <w:rtl/>
        </w:rPr>
        <w:t xml:space="preserve"> דאף באוכל מתוך פסולת הוא דרך ברירה בנפה וכברה, וכוונת הגמ' לקמן לומר דבמשמר אם התרו בו משום בורר חייב כיון שיש בורר דדמי למשמר דהוא אוכל מתוך פסולת בנפה וכברה, ובמ"ש </w:t>
      </w:r>
      <w:r w:rsidRPr="0015302A">
        <w:rPr>
          <w:rStyle w:val="aff4"/>
          <w:rFonts w:hint="cs"/>
          <w:vanish/>
          <w:rtl/>
        </w:rPr>
        <w:t>-</w:t>
      </w:r>
      <w:r w:rsidRPr="0015302A">
        <w:rPr>
          <w:rStyle w:val="aff4"/>
          <w:rFonts w:hint="cs"/>
          <w:rtl/>
        </w:rPr>
        <w:t>התוס'</w:t>
      </w:r>
      <w:r w:rsidRPr="0015302A">
        <w:rPr>
          <w:rStyle w:val="aff4"/>
          <w:rFonts w:hint="cs"/>
          <w:vanish/>
          <w:rtl/>
        </w:rPr>
        <w:t>-</w:t>
      </w:r>
      <w:r>
        <w:rPr>
          <w:rFonts w:hint="cs"/>
          <w:rtl/>
        </w:rPr>
        <w:t xml:space="preserve"> דדרך ברירה היא רק בפסולת מתוך אוכל, דחה </w:t>
      </w:r>
      <w:r w:rsidRPr="0015302A">
        <w:rPr>
          <w:rStyle w:val="aff4"/>
          <w:rFonts w:hint="cs"/>
          <w:vanish/>
          <w:rtl/>
        </w:rPr>
        <w:t>-</w:t>
      </w:r>
      <w:r w:rsidRPr="0015302A">
        <w:rPr>
          <w:rStyle w:val="aff4"/>
          <w:rFonts w:hint="cs"/>
          <w:rtl/>
        </w:rPr>
        <w:t>הרמב"ן</w:t>
      </w:r>
      <w:r w:rsidRPr="0015302A">
        <w:rPr>
          <w:rStyle w:val="aff4"/>
          <w:rFonts w:hint="cs"/>
          <w:vanish/>
          <w:rtl/>
        </w:rPr>
        <w:t>-</w:t>
      </w:r>
      <w:r>
        <w:rPr>
          <w:rFonts w:hint="cs"/>
          <w:rtl/>
        </w:rPr>
        <w:t xml:space="preserve"> דדרך ברירה היא גם באוכל מתוך פסולת, ומ"מ ההיתר הוא רק כשטורח בהיתר, ופסולת מתוך אוכל אסור כיון דאין דעתו לאכול את מה שהוא מברר.</w:t>
      </w:r>
      <w:bookmarkEnd w:id="2524"/>
    </w:p>
    <w:p w14:paraId="3FFFDBBD" w14:textId="77777777" w:rsidR="008925FD" w:rsidRPr="00747170" w:rsidRDefault="008925FD" w:rsidP="00747170">
      <w:pPr>
        <w:pStyle w:val="a2"/>
        <w:rPr>
          <w:rtl/>
        </w:rPr>
      </w:pPr>
      <w:r w:rsidRPr="00747170">
        <w:rPr>
          <w:rtl/>
        </w:rPr>
        <w:t>ואיכא דקשיא ליה מהא דגרסינן בפ' תולין משמר משום מאי מחייב ואמרינן משום בורר מה דרכו של בורר נוטל אוכל ומניח פסולת אף כאן נוטל אוכל ומניח פסולת והכא אמרינן דדרך בורר ליטול פסולת מתוך אוכל, ולאו קושיא היא, דהא אמרן שאף בבורר אוכל מתוך פסולת משכחת חיובא בנפה וכברה והתם נמי ה"ק אף אי אתרו ביה משום בורר התראתו התראה דאיכא בורר דדמי לה כגון אוכל מתוך פסולת</w:t>
      </w:r>
      <w:r w:rsidRPr="00747170">
        <w:rPr>
          <w:rFonts w:hint="cs"/>
          <w:rtl/>
        </w:rPr>
        <w:t>.</w:t>
      </w:r>
    </w:p>
    <w:p w14:paraId="559DB6DA" w14:textId="77777777" w:rsidR="008925FD" w:rsidRPr="00EB6547" w:rsidRDefault="008925FD" w:rsidP="00747170">
      <w:pPr>
        <w:pStyle w:val="afffff5"/>
        <w:rPr>
          <w:rtl/>
        </w:rPr>
      </w:pPr>
      <w:r w:rsidRPr="00EB6547">
        <w:rPr>
          <w:rtl/>
        </w:rPr>
        <w:t>אבל בתוס' מתרצים בשאוכל מרובה על הפסולת דרך בורר לברור (אוכל) [פסולת] ולהניח (פסולת) [אוכל] וכשהפסולת מרובה על האוכל דרך לברור (הפסולת) [האוכל] ולהניח (האוכל) [הפסולת], ולא מסתברא דגבי שבת לעולם אסור לברור פסולת ולהניח אוכל, ואף על גב דתרוייהו דרך בורר נינהו בשבת בהתירא טרחינן באיסורא לא טרחינן, ומאן דטרח באיסורא ובירר הפסולת הו"ל כבורר לאוצר שהרי אין דעתו לאכול מה שבירר ולפיכך חייב.</w:t>
      </w:r>
    </w:p>
    <w:p w14:paraId="1E7CB731" w14:textId="77777777" w:rsidR="008925FD" w:rsidRDefault="008925FD" w:rsidP="008925FD">
      <w:pPr>
        <w:pStyle w:val="1"/>
        <w:rPr>
          <w:rtl/>
        </w:rPr>
      </w:pPr>
      <w:bookmarkStart w:id="2525" w:name="_Toc139277044"/>
      <w:r>
        <w:rPr>
          <w:rFonts w:hint="cs"/>
          <w:rtl/>
        </w:rPr>
        <w:t>בי' הר"ן דעיקר ברירה בפסולת מאוכל</w:t>
      </w:r>
      <w:r w:rsidRPr="002C7798">
        <w:rPr>
          <w:rFonts w:hint="cs"/>
          <w:rtl/>
        </w:rPr>
        <w:t xml:space="preserve"> </w:t>
      </w:r>
      <w:r>
        <w:rPr>
          <w:rFonts w:hint="cs"/>
          <w:rtl/>
        </w:rPr>
        <w:t>ובי' המהר"ם קזיס בזה</w:t>
      </w:r>
      <w:bookmarkEnd w:id="2525"/>
    </w:p>
    <w:p w14:paraId="318C9F27" w14:textId="77777777" w:rsidR="008925FD" w:rsidRDefault="008925FD" w:rsidP="008925FD">
      <w:pPr>
        <w:pStyle w:val="afffff7"/>
        <w:rPr>
          <w:rtl/>
        </w:rPr>
      </w:pPr>
      <w:bookmarkStart w:id="2526" w:name="_Toc139277156"/>
      <w:bookmarkStart w:id="2527" w:name="_Toc163505858"/>
      <w:r>
        <w:rPr>
          <w:rtl/>
        </w:rPr>
        <w:t>חדושי הר"ן שבת ע"ד ע"א</w:t>
      </w:r>
      <w:r>
        <w:rPr>
          <w:rFonts w:hint="cs"/>
          <w:rtl/>
        </w:rPr>
        <w:t xml:space="preserve"> ד"ה היו</w:t>
      </w:r>
      <w:bookmarkEnd w:id="2526"/>
      <w:bookmarkEnd w:id="2527"/>
    </w:p>
    <w:p w14:paraId="7AC27886" w14:textId="77777777" w:rsidR="008925FD" w:rsidRDefault="008925FD" w:rsidP="008925FD">
      <w:pPr>
        <w:pStyle w:val="a7"/>
        <w:rPr>
          <w:rtl/>
        </w:rPr>
      </w:pPr>
      <w:bookmarkStart w:id="2528" w:name="_Toc139277045"/>
      <w:r>
        <w:rPr>
          <w:rFonts w:hint="cs"/>
          <w:rtl/>
        </w:rPr>
        <w:t>בי' הר"ן דההיתר לאלתר וביד באוכל מתוך פסולת הוא כיון דעיקר ברירה בפסולת מתוך אוכל</w:t>
      </w:r>
      <w:bookmarkEnd w:id="2528"/>
    </w:p>
    <w:p w14:paraId="1196B953" w14:textId="05BFBC48" w:rsidR="008925FD" w:rsidRPr="00FF45B3" w:rsidRDefault="008925FD" w:rsidP="00BC7DC8">
      <w:pPr>
        <w:pStyle w:val="a3"/>
        <w:rPr>
          <w:rtl/>
        </w:rPr>
      </w:pPr>
      <w:bookmarkStart w:id="2529" w:name="_Ref139193295"/>
      <w:r>
        <w:rPr>
          <w:rFonts w:hint="cs"/>
          <w:rtl/>
        </w:rPr>
        <w:t xml:space="preserve">במ"ש </w:t>
      </w:r>
      <w:r w:rsidRPr="00DB4AA9">
        <w:rPr>
          <w:rStyle w:val="aff4"/>
          <w:rFonts w:hint="cs"/>
          <w:vanish/>
          <w:rtl/>
        </w:rPr>
        <w:t>-</w:t>
      </w:r>
      <w:r w:rsidRPr="002D2941">
        <w:rPr>
          <w:rStyle w:val="aff4"/>
          <w:rFonts w:hint="cs"/>
          <w:rtl/>
        </w:rPr>
        <w:t>ר"ח</w:t>
      </w:r>
      <w:r w:rsidRPr="00DB4AA9">
        <w:rPr>
          <w:rStyle w:val="aff4"/>
          <w:rFonts w:hint="cs"/>
          <w:vanish/>
          <w:rtl/>
        </w:rPr>
        <w:t>-</w:t>
      </w:r>
      <w:r>
        <w:rPr>
          <w:rFonts w:hint="cs"/>
          <w:rtl/>
        </w:rPr>
        <w:t xml:space="preserve"> </w:t>
      </w:r>
      <w:r w:rsidRPr="00DB4AA9">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Ref139187404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w:t>
      </w:r>
      <w:r>
        <w:rPr>
          <w:rStyle w:val="af2"/>
          <w:rFonts w:eastAsia="Guttman Hodes"/>
          <w:rtl/>
        </w:rPr>
        <w:fldChar w:fldCharType="end"/>
      </w:r>
      <w:r>
        <w:rPr>
          <w:rFonts w:hint="cs"/>
          <w:rtl/>
        </w:rPr>
        <w:t xml:space="preserve"> דההיתר דלאלתר הוא רק באוכל מתוך פסולת אבל בפסולת מתוך אוכל לעולם חייב אף לאלתר, ביאר </w:t>
      </w:r>
      <w:r w:rsidRPr="00DB4AA9">
        <w:rPr>
          <w:rStyle w:val="aff4"/>
          <w:rFonts w:hint="cs"/>
          <w:vanish/>
          <w:rtl/>
        </w:rPr>
        <w:t>-</w:t>
      </w:r>
      <w:r w:rsidRPr="002D2941">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Ref139193295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י)</w:t>
      </w:r>
      <w:r>
        <w:rPr>
          <w:rStyle w:val="aff4"/>
          <w:vanish/>
          <w:rtl/>
        </w:rPr>
        <w:fldChar w:fldCharType="end"/>
      </w:r>
      <w:r>
        <w:rPr>
          <w:rStyle w:val="aff4"/>
          <w:rFonts w:hint="cs"/>
          <w:vanish/>
          <w:rtl/>
        </w:rPr>
        <w:t xml:space="preserve"> &gt;</w:t>
      </w:r>
      <w:r w:rsidRPr="002D2941">
        <w:rPr>
          <w:rStyle w:val="aff4"/>
          <w:rFonts w:hint="cs"/>
          <w:rtl/>
        </w:rPr>
        <w:t>ר"ן בחי'</w:t>
      </w:r>
      <w:r w:rsidRPr="00DB4AA9">
        <w:rPr>
          <w:rStyle w:val="aff4"/>
          <w:rFonts w:hint="cs"/>
          <w:vanish/>
          <w:rtl/>
        </w:rPr>
        <w:t>-</w:t>
      </w:r>
      <w:r>
        <w:rPr>
          <w:rFonts w:hint="cs"/>
          <w:rtl/>
        </w:rPr>
        <w:t xml:space="preserve"> </w:t>
      </w:r>
      <w:r w:rsidRPr="00DB4AA9">
        <w:rPr>
          <w:rStyle w:val="af2"/>
          <w:rFonts w:eastAsia="Guttman Hodes" w:hint="cs"/>
          <w:rtl/>
        </w:rPr>
        <w:t>(ד"ה היו, על הרי"ף לב. מדה"ר ד"ה היו)</w:t>
      </w:r>
      <w:r w:rsidRPr="00DB4AA9">
        <w:rPr>
          <w:rFonts w:hint="cs"/>
          <w:vanish/>
          <w:rtl/>
        </w:rPr>
        <w:t>=</w:t>
      </w:r>
      <w:r>
        <w:rPr>
          <w:rFonts w:hint="cs"/>
          <w:rtl/>
        </w:rPr>
        <w:t xml:space="preserve"> דעיקר ברירה היא בפסולת מתוך אוכל.</w:t>
      </w:r>
      <w:bookmarkEnd w:id="2529"/>
    </w:p>
    <w:p w14:paraId="5E505661" w14:textId="77777777" w:rsidR="008925FD" w:rsidRPr="00747170" w:rsidRDefault="008925FD" w:rsidP="00747170">
      <w:pPr>
        <w:pStyle w:val="a2"/>
      </w:pPr>
      <w:r w:rsidRPr="00747170">
        <w:rPr>
          <w:rtl/>
        </w:rPr>
        <w:t>ועוד כתבו בשמו ז"ל דכי שרינן לאלתר היינו דוקא בבורר אוכל מתוך פסולת אבל פסולת מתוך אוכל אפי' לאלתר חייב חטאת ויליף מדחזקי' דאמר לקמן בסמוך הבורר תרמוסין מתוך פסולת שלהן חייב ומדקאמר סתמא משמע אפילו לאלתר וטעמא משום דעיקר בורר היינו פסולת מתוך אוכל</w:t>
      </w:r>
      <w:r w:rsidRPr="00747170">
        <w:rPr>
          <w:rFonts w:hint="cs"/>
          <w:rtl/>
        </w:rPr>
        <w:t>.</w:t>
      </w:r>
    </w:p>
    <w:p w14:paraId="4B0EAE0A" w14:textId="77777777" w:rsidR="008925FD" w:rsidRDefault="008925FD" w:rsidP="008925FD">
      <w:pPr>
        <w:pStyle w:val="afffff7"/>
      </w:pPr>
      <w:bookmarkStart w:id="2530" w:name="_Toc139277157"/>
      <w:bookmarkStart w:id="2531" w:name="_Toc163505859"/>
      <w:r>
        <w:rPr>
          <w:rFonts w:hint="cs"/>
          <w:rtl/>
        </w:rPr>
        <w:t>ח</w:t>
      </w:r>
      <w:r w:rsidRPr="00957561">
        <w:rPr>
          <w:rtl/>
        </w:rPr>
        <w:t>ידושי ר</w:t>
      </w:r>
      <w:r>
        <w:rPr>
          <w:rFonts w:hint="cs"/>
          <w:rtl/>
        </w:rPr>
        <w:t>בינו משה</w:t>
      </w:r>
      <w:r w:rsidRPr="00957561">
        <w:rPr>
          <w:rtl/>
        </w:rPr>
        <w:t xml:space="preserve"> קזיס</w:t>
      </w:r>
      <w:r>
        <w:rPr>
          <w:rFonts w:hint="cs"/>
          <w:rtl/>
        </w:rPr>
        <w:t xml:space="preserve"> ד"ה כפי מה</w:t>
      </w:r>
      <w:bookmarkEnd w:id="2530"/>
      <w:bookmarkEnd w:id="2531"/>
    </w:p>
    <w:p w14:paraId="0D379791" w14:textId="77777777" w:rsidR="008925FD" w:rsidRDefault="008925FD" w:rsidP="008925FD">
      <w:pPr>
        <w:pStyle w:val="a7"/>
        <w:rPr>
          <w:rtl/>
        </w:rPr>
      </w:pPr>
      <w:bookmarkStart w:id="2532" w:name="_Toc139277046"/>
      <w:r>
        <w:rPr>
          <w:rFonts w:hint="cs"/>
          <w:rtl/>
        </w:rPr>
        <w:t>קו' המהר"ם קזיס בר"ן דאף דאוכל מתוך פסולת ל"ה עיקר ברירה מ"מ דרך ברירה אף בכה"ג</w:t>
      </w:r>
      <w:bookmarkEnd w:id="2532"/>
    </w:p>
    <w:p w14:paraId="28BE58AA" w14:textId="523E610A" w:rsidR="008925FD" w:rsidRDefault="008925FD" w:rsidP="00BC7DC8">
      <w:pPr>
        <w:pStyle w:val="a3"/>
      </w:pPr>
      <w:bookmarkStart w:id="2533" w:name="_Ref138882204"/>
      <w:r>
        <w:rPr>
          <w:rFonts w:hint="cs"/>
          <w:rtl/>
        </w:rPr>
        <w:t xml:space="preserve">במ"ש </w:t>
      </w:r>
      <w:r w:rsidRPr="00E9416F">
        <w:rPr>
          <w:rStyle w:val="aff4"/>
          <w:rFonts w:hint="cs"/>
          <w:vanish/>
          <w:rtl/>
        </w:rPr>
        <w:t>-</w:t>
      </w:r>
      <w:r w:rsidRPr="00E9416F">
        <w:rPr>
          <w:rStyle w:val="aff4"/>
          <w:rFonts w:hint="cs"/>
          <w:rtl/>
        </w:rPr>
        <w:t>הרמב"ם</w:t>
      </w:r>
      <w:r w:rsidRPr="00E9416F">
        <w:rPr>
          <w:rStyle w:val="aff4"/>
          <w:rFonts w:hint="cs"/>
          <w:vanish/>
          <w:rtl/>
        </w:rPr>
        <w:t>-</w:t>
      </w:r>
      <w:r>
        <w:rPr>
          <w:rFonts w:hint="cs"/>
          <w:rtl/>
        </w:rPr>
        <w:t xml:space="preserve"> </w:t>
      </w:r>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Ref139187813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כא)</w:t>
      </w:r>
      <w:r>
        <w:rPr>
          <w:rStyle w:val="af2"/>
          <w:rFonts w:eastAsia="Guttman Hodes"/>
          <w:rtl/>
        </w:rPr>
        <w:fldChar w:fldCharType="end"/>
      </w:r>
      <w:r w:rsidRPr="00E9416F">
        <w:rPr>
          <w:rStyle w:val="aff4"/>
          <w:rFonts w:hint="cs"/>
          <w:vanish/>
          <w:rtl/>
        </w:rPr>
        <w:t>-</w:t>
      </w:r>
      <w:r w:rsidRPr="00E9416F">
        <w:rPr>
          <w:rStyle w:val="aff4"/>
          <w:rFonts w:hint="cs"/>
          <w:rtl/>
        </w:rPr>
        <w:t>והר"ן</w:t>
      </w:r>
      <w:r w:rsidRPr="00E9416F">
        <w:rPr>
          <w:rStyle w:val="aff4"/>
          <w:rFonts w:hint="cs"/>
          <w:vanish/>
          <w:rtl/>
        </w:rPr>
        <w:t>-</w:t>
      </w:r>
      <w:r>
        <w:rPr>
          <w:rFonts w:hint="cs"/>
          <w:rtl/>
        </w:rPr>
        <w:t xml:space="preserve"> </w:t>
      </w:r>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Ref139193295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י)</w:t>
      </w:r>
      <w:r>
        <w:rPr>
          <w:rStyle w:val="af2"/>
          <w:rFonts w:eastAsia="Guttman Hodes"/>
          <w:rtl/>
        </w:rPr>
        <w:fldChar w:fldCharType="end"/>
      </w:r>
      <w:r>
        <w:rPr>
          <w:rFonts w:hint="cs"/>
          <w:rtl/>
        </w:rPr>
        <w:t xml:space="preserve"> דאוכל מתוך פסולת ביד לאלתר מותר, ולהניח חייב, ובפסולת מתוך אוכל אף לאלתר חייב, ביאר </w:t>
      </w:r>
      <w:r w:rsidRPr="00E9416F">
        <w:rPr>
          <w:rStyle w:val="aff4"/>
          <w:rFonts w:hint="cs"/>
          <w:vanish/>
          <w:rtl/>
        </w:rPr>
        <w:t>-</w:t>
      </w:r>
      <w:r w:rsidRPr="00E9416F">
        <w:rPr>
          <w:rStyle w:val="aff4"/>
          <w:rFonts w:hint="cs"/>
          <w:rtl/>
        </w:rPr>
        <w:t>ב</w:t>
      </w:r>
      <w:r w:rsidRPr="00E9416F">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Ref138882204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יא)</w:t>
      </w:r>
      <w:r>
        <w:rPr>
          <w:rStyle w:val="aff4"/>
          <w:vanish/>
          <w:rtl/>
        </w:rPr>
        <w:fldChar w:fldCharType="end"/>
      </w:r>
      <w:r w:rsidRPr="00E9416F">
        <w:rPr>
          <w:rStyle w:val="aff4"/>
          <w:rFonts w:hint="cs"/>
          <w:vanish/>
          <w:rtl/>
        </w:rPr>
        <w:t xml:space="preserve"> &gt;</w:t>
      </w:r>
      <w:r w:rsidRPr="00E9416F">
        <w:rPr>
          <w:rStyle w:val="aff4"/>
          <w:rFonts w:hint="cs"/>
          <w:rtl/>
        </w:rPr>
        <w:t>חי' רבינו משה קזיס</w:t>
      </w:r>
      <w:r w:rsidRPr="00E9416F">
        <w:rPr>
          <w:rStyle w:val="aff4"/>
          <w:rFonts w:hint="cs"/>
          <w:vanish/>
          <w:rtl/>
        </w:rPr>
        <w:t>-</w:t>
      </w:r>
      <w:r>
        <w:rPr>
          <w:rFonts w:hint="cs"/>
          <w:rtl/>
        </w:rPr>
        <w:t xml:space="preserve"> </w:t>
      </w:r>
      <w:r w:rsidRPr="000D251D">
        <w:rPr>
          <w:rStyle w:val="af2"/>
          <w:rFonts w:eastAsia="Guttman Hodes" w:hint="cs"/>
          <w:rtl/>
        </w:rPr>
        <w:t>(ד"ה כפי מה)</w:t>
      </w:r>
      <w:r w:rsidRPr="003572E4">
        <w:rPr>
          <w:rFonts w:hint="cs"/>
          <w:vanish/>
          <w:rtl/>
        </w:rPr>
        <w:t>=</w:t>
      </w:r>
      <w:r>
        <w:rPr>
          <w:rFonts w:hint="cs"/>
          <w:rtl/>
        </w:rPr>
        <w:t xml:space="preserve"> דדרך ברירה היא ביד בין באוכל מתוך פסולת ובין בפסולת מתוך אוכל, ולכן הבורר להניח חייב בכל אופן, ורק בלאלתר יש חילוק בזה, כיון דהדרך לברור את מה שאינו רוצה ולזורקו דהוא פסולת מתוך אוכל, וכדכתב </w:t>
      </w:r>
      <w:r w:rsidRPr="00E9416F">
        <w:rPr>
          <w:rStyle w:val="aff4"/>
          <w:rFonts w:hint="cs"/>
          <w:vanish/>
          <w:rtl/>
        </w:rPr>
        <w:t>-</w:t>
      </w:r>
      <w:r w:rsidRPr="00E9416F">
        <w:rPr>
          <w:rStyle w:val="aff4"/>
          <w:rFonts w:hint="cs"/>
          <w:rtl/>
        </w:rPr>
        <w:t>הר"ן</w:t>
      </w:r>
      <w:r w:rsidRPr="00E9416F">
        <w:rPr>
          <w:rStyle w:val="aff4"/>
          <w:rFonts w:hint="cs"/>
          <w:vanish/>
          <w:rtl/>
        </w:rPr>
        <w:t>-</w:t>
      </w:r>
      <w:r>
        <w:rPr>
          <w:rFonts w:hint="cs"/>
          <w:rtl/>
        </w:rPr>
        <w:t xml:space="preserve"> דזהו עיקר ברירה, ולכן בכה"ג אף לאלתר חייב, אבל אוכל מתוך פסולת לאלתר אינו עיקר ברירה, אך הקשה </w:t>
      </w:r>
      <w:r w:rsidRPr="00E9416F">
        <w:rPr>
          <w:rStyle w:val="aff4"/>
          <w:rFonts w:hint="cs"/>
          <w:vanish/>
          <w:rtl/>
        </w:rPr>
        <w:t>-</w:t>
      </w:r>
      <w:r w:rsidRPr="00E9416F">
        <w:rPr>
          <w:rStyle w:val="aff4"/>
          <w:rFonts w:hint="cs"/>
          <w:rtl/>
        </w:rPr>
        <w:t>המהר"ם קזיס</w:t>
      </w:r>
      <w:r w:rsidRPr="00E9416F">
        <w:rPr>
          <w:rStyle w:val="aff4"/>
          <w:rFonts w:hint="cs"/>
          <w:vanish/>
          <w:rtl/>
        </w:rPr>
        <w:t>-</w:t>
      </w:r>
      <w:r>
        <w:rPr>
          <w:rFonts w:hint="cs"/>
          <w:rtl/>
        </w:rPr>
        <w:t xml:space="preserve"> על </w:t>
      </w:r>
      <w:r w:rsidRPr="00E9416F">
        <w:rPr>
          <w:rStyle w:val="aff4"/>
          <w:rFonts w:hint="cs"/>
          <w:vanish/>
          <w:rtl/>
        </w:rPr>
        <w:t>-</w:t>
      </w:r>
      <w:r w:rsidRPr="00E9416F">
        <w:rPr>
          <w:rStyle w:val="aff4"/>
          <w:rFonts w:hint="cs"/>
          <w:rtl/>
        </w:rPr>
        <w:t>הר"ן</w:t>
      </w:r>
      <w:r w:rsidRPr="00E9416F">
        <w:rPr>
          <w:rStyle w:val="aff4"/>
          <w:rFonts w:hint="cs"/>
          <w:vanish/>
          <w:rtl/>
        </w:rPr>
        <w:t>-</w:t>
      </w:r>
      <w:r>
        <w:rPr>
          <w:rFonts w:hint="cs"/>
          <w:rtl/>
        </w:rPr>
        <w:t xml:space="preserve"> דאף שאינו עיקר הברירה, מ"מ כיון דדרך ברירה אף באוכל מתוך פסולת לאחר זמן, היאך אפשר להתיר לאלתר.</w:t>
      </w:r>
    </w:p>
    <w:p w14:paraId="295C3412" w14:textId="77777777" w:rsidR="008925FD" w:rsidRPr="00747170" w:rsidRDefault="008925FD" w:rsidP="00747170">
      <w:pPr>
        <w:pStyle w:val="a2"/>
      </w:pPr>
      <w:r w:rsidRPr="00747170">
        <w:rPr>
          <w:rtl/>
        </w:rPr>
        <w:t>כפי מה שכתב הר"ן והוא ג"כ דעת הרמב"ם הבורר ביד אוכל מתוך פסולת לאכול לאלתר מותר ולהניח אפ</w:t>
      </w:r>
      <w:r w:rsidRPr="00747170">
        <w:rPr>
          <w:rFonts w:hint="cs"/>
          <w:rtl/>
        </w:rPr>
        <w:t xml:space="preserve">י' </w:t>
      </w:r>
      <w:r w:rsidRPr="00747170">
        <w:rPr>
          <w:rtl/>
        </w:rPr>
        <w:t>לבו ביום חייב והבורר ביד פסולת מתור אוכל אפילו לאכול לאלתר חייב והבורר בכלי בקנון ובתמחוי בכל גוונא פטור אבל אסור ובנפה וכברה בכל גוונא חייב</w:t>
      </w:r>
      <w:r w:rsidRPr="00747170">
        <w:rPr>
          <w:rFonts w:hint="cs"/>
          <w:rtl/>
        </w:rPr>
        <w:t>.</w:t>
      </w:r>
    </w:p>
    <w:p w14:paraId="514666DD" w14:textId="77777777" w:rsidR="008925FD" w:rsidRPr="00EB6547" w:rsidRDefault="008925FD" w:rsidP="00747170">
      <w:pPr>
        <w:pStyle w:val="afffff5"/>
        <w:rPr>
          <w:rtl/>
        </w:rPr>
      </w:pPr>
      <w:r w:rsidRPr="00EB6547">
        <w:rPr>
          <w:rtl/>
        </w:rPr>
        <w:t>וטעם דינים אלו כי הברירה ביד חשיבא ברירה כי אורחה שדרך הוא לברור ביד ובודאי שדרך הוא בין לברור אוכל מתוך פסולת בין לברור פסולת מתוך אוכל ולפיכך הבורר</w:t>
      </w:r>
      <w:r w:rsidRPr="00EB6547">
        <w:rPr>
          <w:rFonts w:hint="cs"/>
          <w:rtl/>
        </w:rPr>
        <w:t xml:space="preserve"> להניח </w:t>
      </w:r>
      <w:r w:rsidRPr="00EB6547">
        <w:rPr>
          <w:rtl/>
        </w:rPr>
        <w:t>אפילו לבו ביום בכל גוונא חייב שאין חילוק בין אם יש טור</w:t>
      </w:r>
      <w:r w:rsidRPr="00EB6547">
        <w:rPr>
          <w:rFonts w:hint="cs"/>
          <w:rtl/>
        </w:rPr>
        <w:t>ח</w:t>
      </w:r>
      <w:r w:rsidRPr="00EB6547">
        <w:rPr>
          <w:rtl/>
        </w:rPr>
        <w:t xml:space="preserve"> יותר בברירת הפסולת האוכל או אם יש טורח יותר בברירת הפסולת שבכל גוונא שבורר ביד להניח חייב דהויא ברירה כי אורחה ובבורר ביד כדי לאכול לאלתר בזה יש חילוק כי הבורר אוכל מתוך פסולת מותר והבורר פסולת מתוך אוכל חייב וכתב הר"ן טעם הדבר כי עיקר בורר הוי פסולת מתוך אוכל ונראה דהיינו טעמא שכיון שאינו רוצה בפסולת ההוא דרכו ליטלו מן האוכל ולזרקו ולכן אפילו אם בורר לאכול לאלתר תשיב בורר וחייב אבל בורר אוכל מתוך פסולת שאין זה עיקר בורר לא מחייב אלא במניח לאחר זמן דבבי האי גוונא חשיבא ברירה טפי ולפיכך הבורר תורמוסים מתוך פסולת שלהן כיון שהפסולת הוא ראוי לאכילה קצת ואינו מסריח והתורמוסי' אע"פ שהן ראויים יותר אי לא שקלי להן מסרחי נעשו התורמוסים כפסולת והפסולת שלהן כאוכל והבורר תורמוסי' לאכול לאלתר הוי כבורר פסולת מתוך אוכל וחייב ומטעם זה ג"כ הבורר קטנית בי</w:t>
      </w:r>
      <w:r w:rsidRPr="00EB6547">
        <w:rPr>
          <w:rFonts w:hint="cs"/>
          <w:rtl/>
        </w:rPr>
        <w:t>ו</w:t>
      </w:r>
      <w:r w:rsidRPr="00EB6547">
        <w:rPr>
          <w:rtl/>
        </w:rPr>
        <w:t>"</w:t>
      </w:r>
      <w:r w:rsidRPr="00EB6547">
        <w:rPr>
          <w:rFonts w:hint="cs"/>
          <w:rtl/>
        </w:rPr>
        <w:t>ט</w:t>
      </w:r>
      <w:r w:rsidRPr="00EB6547">
        <w:rPr>
          <w:rtl/>
        </w:rPr>
        <w:t xml:space="preserve"> הקילו טפי בברירת אוכל מתוך פסולת מבברירת פסולת מתוך אוכל כמו שנאמר לפנינו כיון שעיקר בורר הוי פסולת מתוך אוכל אמנם קשה לי על טעם זה שכיון שגם ברירת אוכל מתוך פסולת חשיבא ברירה לחייב עליה כשבורר לבו ביום למה יהיה מותר כשבורר לאכול לאלתר</w:t>
      </w:r>
      <w:r w:rsidRPr="00EB6547">
        <w:rPr>
          <w:rFonts w:hint="cs"/>
          <w:rtl/>
        </w:rPr>
        <w:t>.</w:t>
      </w:r>
    </w:p>
    <w:p w14:paraId="14E4FB56" w14:textId="77777777" w:rsidR="008925FD" w:rsidRPr="008034A3" w:rsidRDefault="008925FD" w:rsidP="008925FD">
      <w:pPr>
        <w:pStyle w:val="a7"/>
        <w:rPr>
          <w:rtl/>
        </w:rPr>
      </w:pPr>
      <w:bookmarkStart w:id="2534" w:name="_Toc139277047"/>
      <w:r>
        <w:rPr>
          <w:rFonts w:hint="cs"/>
          <w:rtl/>
        </w:rPr>
        <w:t>בי' המהר"ם קזיס דלאלתר באוכל מתוך פסולת אינו ברירה כלל אלא כאכילה בעלמא</w:t>
      </w:r>
      <w:bookmarkEnd w:id="2534"/>
    </w:p>
    <w:p w14:paraId="2F8ADDEC" w14:textId="112525FE" w:rsidR="008925FD" w:rsidRPr="00E01D10" w:rsidRDefault="008925FD" w:rsidP="00BC7DC8">
      <w:pPr>
        <w:pStyle w:val="a3"/>
      </w:pPr>
      <w:r>
        <w:rPr>
          <w:rFonts w:hint="cs"/>
          <w:rtl/>
        </w:rPr>
        <w:t xml:space="preserve">ותירץ </w:t>
      </w:r>
      <w:r w:rsidRPr="00E9416F">
        <w:rPr>
          <w:rStyle w:val="aff4"/>
          <w:rFonts w:hint="cs"/>
          <w:vanish/>
          <w:rtl/>
        </w:rPr>
        <w:t>-</w:t>
      </w:r>
      <w:r>
        <w:rPr>
          <w:rStyle w:val="aff4"/>
          <w:rFonts w:hint="cs"/>
          <w:rtl/>
        </w:rPr>
        <w:t>ב</w:t>
      </w:r>
      <w:r w:rsidRPr="00E9416F">
        <w:rPr>
          <w:rStyle w:val="aff4"/>
          <w:rFonts w:hint="cs"/>
          <w:rtl/>
        </w:rPr>
        <w:t>חי' רבינו משה קזיס</w:t>
      </w:r>
      <w:r w:rsidRPr="00E9416F">
        <w:rPr>
          <w:rStyle w:val="aff4"/>
          <w:rFonts w:hint="cs"/>
          <w:vanish/>
          <w:rtl/>
        </w:rPr>
        <w:t xml:space="preserve"> -</w:t>
      </w:r>
      <w:r>
        <w:rPr>
          <w:rFonts w:hint="cs"/>
          <w:rtl/>
        </w:rPr>
        <w:t xml:space="preserve"> דלאלתר אינו ברירה כלל דכיון שנוטל את האוכל ממקומו ומניחו בפיו, הוא כאכילה בעלמא ולא ברירה, ואף בברירה לאותה סעודה ג"כ הוא דרך אכילה, דדרך האוכל ליטול את מה שרוצה ולהניחו לפניו, משא"כ במניח לאחר זמן דאינו דרך אכילה אלא כוונתו לנקות את האוכל מהפסולת שבו שיהיה ראוי, ובפסולת מתוך אוכל, כתב </w:t>
      </w:r>
      <w:r w:rsidRPr="00E9416F">
        <w:rPr>
          <w:rStyle w:val="aff4"/>
          <w:rFonts w:hint="cs"/>
          <w:vanish/>
          <w:rtl/>
        </w:rPr>
        <w:t>-</w:t>
      </w:r>
      <w:r w:rsidRPr="00E9416F">
        <w:rPr>
          <w:rStyle w:val="aff4"/>
          <w:rFonts w:hint="cs"/>
          <w:rtl/>
        </w:rPr>
        <w:t>המהר"ם קזיס</w:t>
      </w:r>
      <w:r w:rsidRPr="00E9416F">
        <w:rPr>
          <w:rStyle w:val="aff4"/>
          <w:rFonts w:hint="cs"/>
          <w:vanish/>
          <w:rtl/>
        </w:rPr>
        <w:t>-</w:t>
      </w:r>
      <w:r>
        <w:rPr>
          <w:rFonts w:hint="cs"/>
          <w:rtl/>
        </w:rPr>
        <w:t xml:space="preserve"> דאף לאלתר אינו דרך אכילה, כיון שאינו נוטל את מה שהוא רוצה לאכול, </w:t>
      </w:r>
      <w:r w:rsidRPr="000D251D">
        <w:rPr>
          <w:rStyle w:val="af"/>
          <w:rFonts w:hint="cs"/>
          <w:rtl/>
        </w:rPr>
        <w:t xml:space="preserve">[וכסברת </w:t>
      </w:r>
      <w:r w:rsidRPr="009B1F18">
        <w:rPr>
          <w:rStyle w:val="aff9"/>
          <w:rFonts w:hint="cs"/>
          <w:vanish/>
          <w:rtl/>
        </w:rPr>
        <w:t>-</w:t>
      </w:r>
      <w:r w:rsidRPr="009B1F18">
        <w:rPr>
          <w:rStyle w:val="aff9"/>
          <w:rFonts w:hint="cs"/>
          <w:rtl/>
        </w:rPr>
        <w:t>הרמב"ן</w:t>
      </w:r>
      <w:r w:rsidRPr="009B1F18">
        <w:rPr>
          <w:rStyle w:val="aff9"/>
          <w:rFonts w:hint="cs"/>
          <w:vanish/>
          <w:rtl/>
        </w:rPr>
        <w:t>-</w:t>
      </w:r>
      <w:r w:rsidRPr="000D251D">
        <w:rPr>
          <w:rStyle w:val="af"/>
          <w:rFonts w:hint="cs"/>
          <w:rtl/>
        </w:rPr>
        <w:t xml:space="preserve"> </w:t>
      </w:r>
      <w:r w:rsidRPr="009B1F18">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Ref139009224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ט)</w:t>
      </w:r>
      <w:r>
        <w:rPr>
          <w:rStyle w:val="aff0"/>
          <w:rtl/>
        </w:rPr>
        <w:fldChar w:fldCharType="end"/>
      </w:r>
      <w:r w:rsidRPr="00394BDA">
        <w:rPr>
          <w:rStyle w:val="af"/>
          <w:rFonts w:hint="cs"/>
          <w:rtl/>
        </w:rPr>
        <w:t>],</w:t>
      </w:r>
      <w:r>
        <w:rPr>
          <w:rFonts w:hint="cs"/>
          <w:rtl/>
        </w:rPr>
        <w:t xml:space="preserve"> ולכן חשיב בורר וחייב.</w:t>
      </w:r>
      <w:bookmarkEnd w:id="2533"/>
    </w:p>
    <w:p w14:paraId="7D706BBD" w14:textId="77777777" w:rsidR="008925FD" w:rsidRPr="00747170" w:rsidRDefault="008925FD" w:rsidP="00747170">
      <w:pPr>
        <w:pStyle w:val="a2"/>
      </w:pPr>
      <w:r w:rsidRPr="00747170">
        <w:rPr>
          <w:rtl/>
        </w:rPr>
        <w:t>לכן נ"ל לומר</w:t>
      </w:r>
      <w:r w:rsidRPr="00747170">
        <w:rPr>
          <w:rFonts w:hint="cs"/>
          <w:rtl/>
        </w:rPr>
        <w:t xml:space="preserve"> שהבורר אוכל מתוך פסולת לאכול לאלתר לא חשיבא </w:t>
      </w:r>
      <w:r w:rsidRPr="00747170">
        <w:rPr>
          <w:rtl/>
        </w:rPr>
        <w:t>ברירה כלל שכיון שנוטל האוכל ומניחו לאלתר בפיו אינו אלא נוטל האוכל ממקומו לאוכלו וגם כשמני</w:t>
      </w:r>
      <w:r w:rsidRPr="00747170">
        <w:rPr>
          <w:rFonts w:hint="cs"/>
          <w:rtl/>
        </w:rPr>
        <w:t xml:space="preserve">ח </w:t>
      </w:r>
      <w:r w:rsidRPr="00747170">
        <w:rPr>
          <w:rtl/>
        </w:rPr>
        <w:t>האוכל לפניו לאכלו באותה סעודה לא תשיב בורר שכן דרך האוכל שנוטל מה שרוצה לאכול ומניחו לפניו וא</w:t>
      </w:r>
      <w:r w:rsidRPr="00747170">
        <w:rPr>
          <w:rFonts w:hint="cs"/>
          <w:rtl/>
        </w:rPr>
        <w:t>ח</w:t>
      </w:r>
      <w:r w:rsidRPr="00747170">
        <w:rPr>
          <w:rtl/>
        </w:rPr>
        <w:t>"כ אוכלו אבל כשמניחו לאחר זמן ודאי הוי בורר כיון שאינו נוטלו לאוכלו עכשיו אלא לנקותו מן הפסולת שבו שיהיה</w:t>
      </w:r>
      <w:r w:rsidRPr="00747170">
        <w:rPr>
          <w:rFonts w:hint="cs"/>
          <w:rtl/>
        </w:rPr>
        <w:t xml:space="preserve"> </w:t>
      </w:r>
      <w:r w:rsidRPr="00747170">
        <w:rPr>
          <w:rtl/>
        </w:rPr>
        <w:t>נקי כשירצה לאוכלו אבל הבורר פסולת מתוך אוכל אפילו לאכול לאלתר הוי בורר שהרי אינו נוטל מה שרוצה לאכול אלא נוטל הפסולת כדי שישאר האוכל נקי ולפיכך הוי בורר וחייב</w:t>
      </w:r>
      <w:r w:rsidRPr="00747170">
        <w:rPr>
          <w:rFonts w:hint="cs"/>
          <w:rtl/>
        </w:rPr>
        <w:t>.</w:t>
      </w:r>
    </w:p>
    <w:p w14:paraId="5CE23D06" w14:textId="77777777" w:rsidR="008925FD" w:rsidRDefault="008925FD" w:rsidP="008925FD">
      <w:pPr>
        <w:pStyle w:val="1"/>
        <w:rPr>
          <w:rtl/>
        </w:rPr>
      </w:pPr>
      <w:bookmarkStart w:id="2535" w:name="_Toc139277048"/>
      <w:r>
        <w:rPr>
          <w:rFonts w:hint="cs"/>
          <w:rtl/>
        </w:rPr>
        <w:t>בי' הרי"ד</w:t>
      </w:r>
      <w:r w:rsidRPr="00393098">
        <w:rPr>
          <w:rFonts w:hint="cs"/>
          <w:rtl/>
        </w:rPr>
        <w:t xml:space="preserve"> </w:t>
      </w:r>
      <w:r>
        <w:rPr>
          <w:rFonts w:hint="cs"/>
          <w:rtl/>
        </w:rPr>
        <w:t>דאוכל מתוך פסולת הוא שינוי</w:t>
      </w:r>
      <w:bookmarkEnd w:id="2535"/>
    </w:p>
    <w:p w14:paraId="6E4C09AF" w14:textId="77777777" w:rsidR="008925FD" w:rsidRDefault="008925FD" w:rsidP="008925FD">
      <w:pPr>
        <w:pStyle w:val="afffff7"/>
        <w:rPr>
          <w:rtl/>
        </w:rPr>
      </w:pPr>
      <w:bookmarkStart w:id="2536" w:name="_Toc139277158"/>
      <w:bookmarkStart w:id="2537" w:name="_Toc163505860"/>
      <w:r>
        <w:rPr>
          <w:rtl/>
        </w:rPr>
        <w:t>ספר המכריע סי</w:t>
      </w:r>
      <w:r>
        <w:rPr>
          <w:rFonts w:hint="cs"/>
          <w:rtl/>
        </w:rPr>
        <w:t xml:space="preserve">' </w:t>
      </w:r>
      <w:r>
        <w:rPr>
          <w:rtl/>
        </w:rPr>
        <w:t>כ</w:t>
      </w:r>
      <w:r>
        <w:rPr>
          <w:rFonts w:hint="cs"/>
          <w:rtl/>
        </w:rPr>
        <w:t>"</w:t>
      </w:r>
      <w:r>
        <w:rPr>
          <w:rtl/>
        </w:rPr>
        <w:t>ג</w:t>
      </w:r>
      <w:r w:rsidRPr="006B322E">
        <w:rPr>
          <w:rtl/>
        </w:rPr>
        <w:t xml:space="preserve"> ד"ה גרסינן</w:t>
      </w:r>
      <w:bookmarkEnd w:id="2536"/>
      <w:bookmarkEnd w:id="2537"/>
    </w:p>
    <w:p w14:paraId="761C7E19" w14:textId="77777777" w:rsidR="008925FD" w:rsidRDefault="008925FD" w:rsidP="008925FD">
      <w:pPr>
        <w:pStyle w:val="a7"/>
        <w:rPr>
          <w:rtl/>
        </w:rPr>
      </w:pPr>
      <w:bookmarkStart w:id="2538" w:name="_Toc139277049"/>
      <w:r>
        <w:rPr>
          <w:rFonts w:hint="cs"/>
          <w:rtl/>
        </w:rPr>
        <w:t>בי' הרי"ד דאוכל מפסולת הוא שינוי ואף בנפה וכברה פטור ויל"ע בנפה לאח"ז אי הוי שינוי</w:t>
      </w:r>
      <w:bookmarkEnd w:id="2538"/>
    </w:p>
    <w:p w14:paraId="3E1E8B47" w14:textId="7221888B" w:rsidR="008925FD" w:rsidRDefault="008925FD" w:rsidP="00BC7DC8">
      <w:pPr>
        <w:pStyle w:val="a3"/>
        <w:rPr>
          <w:rtl/>
        </w:rPr>
      </w:pPr>
      <w:bookmarkStart w:id="2539" w:name="_Ref139231045"/>
      <w:r>
        <w:rPr>
          <w:rFonts w:hint="cs"/>
          <w:rtl/>
        </w:rPr>
        <w:t xml:space="preserve">כתב </w:t>
      </w:r>
      <w:r w:rsidRPr="00736383">
        <w:rPr>
          <w:rStyle w:val="aff4"/>
          <w:rFonts w:hint="cs"/>
          <w:vanish/>
          <w:rtl/>
        </w:rPr>
        <w:t>-</w:t>
      </w:r>
      <w:r w:rsidRPr="00194A43">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Ref139231045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יג)</w:t>
      </w:r>
      <w:r>
        <w:rPr>
          <w:rStyle w:val="aff4"/>
          <w:vanish/>
          <w:rtl/>
        </w:rPr>
        <w:fldChar w:fldCharType="end"/>
      </w:r>
      <w:r>
        <w:rPr>
          <w:rStyle w:val="aff4"/>
          <w:rFonts w:hint="cs"/>
          <w:vanish/>
          <w:rtl/>
        </w:rPr>
        <w:t xml:space="preserve"> &gt;</w:t>
      </w:r>
      <w:r w:rsidRPr="00194A43">
        <w:rPr>
          <w:rStyle w:val="aff4"/>
          <w:rFonts w:hint="cs"/>
          <w:rtl/>
        </w:rPr>
        <w:t>רי"ד בספר המכריע</w:t>
      </w:r>
      <w:r w:rsidRPr="00736383">
        <w:rPr>
          <w:rStyle w:val="aff4"/>
          <w:rFonts w:hint="cs"/>
          <w:vanish/>
          <w:rtl/>
        </w:rPr>
        <w:t>-</w:t>
      </w:r>
      <w:r>
        <w:rPr>
          <w:rFonts w:hint="cs"/>
          <w:rtl/>
        </w:rPr>
        <w:t xml:space="preserve"> </w:t>
      </w:r>
      <w:r w:rsidRPr="000D251D">
        <w:rPr>
          <w:rStyle w:val="af2"/>
          <w:rFonts w:eastAsia="Guttman Hodes" w:hint="cs"/>
          <w:rtl/>
        </w:rPr>
        <w:t>(סי' כ"ג</w:t>
      </w:r>
      <w:r w:rsidRPr="000D251D">
        <w:rPr>
          <w:rStyle w:val="af2"/>
          <w:rFonts w:eastAsia="Guttman Hodes"/>
          <w:rtl/>
        </w:rPr>
        <w:t xml:space="preserve"> ד"ה גרסינן</w:t>
      </w:r>
      <w:r w:rsidRPr="000D251D">
        <w:rPr>
          <w:rStyle w:val="af2"/>
          <w:rFonts w:eastAsia="Guttman Hodes" w:hint="cs"/>
          <w:rtl/>
        </w:rPr>
        <w:t>, הועתק בקובץ שיטות קמאי שבת ח"ב עמ' אלף פ"ו)</w:t>
      </w:r>
      <w:r w:rsidRPr="00736383">
        <w:rPr>
          <w:rFonts w:hint="cs"/>
          <w:vanish/>
          <w:rtl/>
        </w:rPr>
        <w:t>=</w:t>
      </w:r>
      <w:r>
        <w:rPr>
          <w:rFonts w:hint="cs"/>
          <w:rtl/>
        </w:rPr>
        <w:t xml:space="preserve"> דאוכל מתוך פסולת אף בנפה וכברה, כדמוכח במשנה בביצה </w:t>
      </w:r>
      <w:r w:rsidRPr="000D251D">
        <w:rPr>
          <w:rStyle w:val="af2"/>
          <w:rFonts w:eastAsia="Guttman Hodes" w:hint="cs"/>
          <w:rtl/>
        </w:rPr>
        <w:t>(יד:)</w:t>
      </w:r>
      <w:r>
        <w:rPr>
          <w:rFonts w:hint="cs"/>
          <w:rtl/>
        </w:rPr>
        <w:t xml:space="preserve"> דבורר קיטנית הוי שינוי דהוא אוכל מתוך פסולת וביד הוא שינוי </w:t>
      </w:r>
      <w:r>
        <w:rPr>
          <w:rFonts w:hint="cs"/>
          <w:rtl/>
        </w:rPr>
        <w:t>גמור ולכן מותר, ובקנון הוא שינוי קצת ופטור אבל אסור, אף בפסולת מתוך אוכל, ועי' במה שכתב</w:t>
      </w:r>
      <w:r w:rsidRPr="00F00B89">
        <w:rPr>
          <w:rStyle w:val="aff4"/>
          <w:rFonts w:hint="cs"/>
          <w:vanish/>
          <w:rtl/>
        </w:rPr>
        <w:t>-</w:t>
      </w:r>
      <w:r>
        <w:rPr>
          <w:rStyle w:val="aff4"/>
          <w:rFonts w:hint="cs"/>
          <w:rtl/>
        </w:rPr>
        <w:t xml:space="preserve"> </w:t>
      </w:r>
      <w:r w:rsidRPr="007F312F">
        <w:rPr>
          <w:rStyle w:val="aff4"/>
          <w:rFonts w:hint="cs"/>
          <w:rtl/>
        </w:rPr>
        <w:t>האגלי טל</w:t>
      </w:r>
      <w:r w:rsidRPr="00F00B89">
        <w:rPr>
          <w:rStyle w:val="aff4"/>
          <w:rFonts w:hint="cs"/>
          <w:vanish/>
          <w:rtl/>
        </w:rPr>
        <w:t>-</w:t>
      </w:r>
      <w:r>
        <w:rPr>
          <w:rFonts w:hint="cs"/>
          <w:rtl/>
        </w:rPr>
        <w:t xml:space="preserve"> </w:t>
      </w:r>
      <w:r>
        <w:rPr>
          <w:rStyle w:val="af2"/>
          <w:rFonts w:eastAsia="Guttman Hodes" w:hint="cs"/>
          <w:rtl/>
        </w:rPr>
        <w:t>(</w:t>
      </w:r>
      <w:r w:rsidRPr="002D6ADE">
        <w:rPr>
          <w:rStyle w:val="af2"/>
          <w:rFonts w:eastAsia="Guttman Hodes" w:hint="cs"/>
          <w:rtl/>
        </w:rPr>
        <w:t>עי' או</w:t>
      </w:r>
      <w:r>
        <w:rPr>
          <w:rStyle w:val="af2"/>
          <w:rFonts w:eastAsia="Guttman Hodes" w:hint="cs"/>
          <w:rtl/>
        </w:rPr>
        <w:t>ת</w:t>
      </w:r>
      <w:r w:rsidRPr="002D6ADE">
        <w:rPr>
          <w:rStyle w:val="af2"/>
          <w:rFonts w:eastAsia="Guttman Hodes" w:hint="cs"/>
          <w:rtl/>
        </w:rPr>
        <w:t xml:space="preserve"> </w:t>
      </w:r>
      <w:r w:rsidRPr="002D6ADE">
        <w:rPr>
          <w:rStyle w:val="af2"/>
          <w:rFonts w:eastAsia="Guttman Hodes"/>
          <w:rtl/>
        </w:rPr>
        <w:fldChar w:fldCharType="begin"/>
      </w:r>
      <w:r w:rsidRPr="002D6ADE">
        <w:rPr>
          <w:rStyle w:val="af2"/>
          <w:rFonts w:eastAsia="Guttman Hodes"/>
          <w:rtl/>
        </w:rPr>
        <w:instrText xml:space="preserve"> </w:instrText>
      </w:r>
      <w:r w:rsidRPr="002D6ADE">
        <w:rPr>
          <w:rStyle w:val="af2"/>
          <w:rFonts w:eastAsia="Guttman Hodes" w:hint="cs"/>
        </w:rPr>
        <w:instrText>REF</w:instrText>
      </w:r>
      <w:r w:rsidRPr="002D6ADE">
        <w:rPr>
          <w:rStyle w:val="af2"/>
          <w:rFonts w:eastAsia="Guttman Hodes" w:hint="cs"/>
          <w:rtl/>
        </w:rPr>
        <w:instrText xml:space="preserve"> _</w:instrText>
      </w:r>
      <w:r w:rsidRPr="002D6ADE">
        <w:rPr>
          <w:rStyle w:val="af2"/>
          <w:rFonts w:eastAsia="Guttman Hodes" w:hint="cs"/>
        </w:rPr>
        <w:instrText>Ref138969529 \r \h</w:instrText>
      </w:r>
      <w:r w:rsidRPr="002D6ADE">
        <w:rPr>
          <w:rStyle w:val="af2"/>
          <w:rFonts w:eastAsia="Guttman Hodes"/>
          <w:rtl/>
        </w:rPr>
        <w:instrText xml:space="preserve"> </w:instrText>
      </w:r>
      <w:r w:rsidRPr="002D6ADE">
        <w:rPr>
          <w:rStyle w:val="af2"/>
          <w:rFonts w:eastAsia="Guttman Hodes"/>
          <w:rtl/>
        </w:rPr>
      </w:r>
      <w:r w:rsidRPr="002D6ADE">
        <w:rPr>
          <w:rStyle w:val="af2"/>
          <w:rFonts w:eastAsia="Guttman Hodes"/>
          <w:rtl/>
        </w:rPr>
        <w:fldChar w:fldCharType="separate"/>
      </w:r>
      <w:r w:rsidR="00D82181">
        <w:rPr>
          <w:rStyle w:val="af2"/>
          <w:rFonts w:eastAsia="Guttman Hodes"/>
          <w:cs/>
        </w:rPr>
        <w:t>‎</w:t>
      </w:r>
      <w:r w:rsidR="00D82181">
        <w:rPr>
          <w:rStyle w:val="af2"/>
          <w:rFonts w:eastAsia="Guttman Hodes"/>
          <w:rtl/>
        </w:rPr>
        <w:t>לה)</w:t>
      </w:r>
      <w:r w:rsidRPr="002D6ADE">
        <w:rPr>
          <w:rStyle w:val="af2"/>
          <w:rFonts w:eastAsia="Guttman Hodes"/>
          <w:rtl/>
        </w:rPr>
        <w:fldChar w:fldCharType="end"/>
      </w:r>
      <w:r>
        <w:rPr>
          <w:rFonts w:hint="cs"/>
          <w:rtl/>
        </w:rPr>
        <w:t xml:space="preserve"> דאף דמשמע מדברי </w:t>
      </w:r>
      <w:r w:rsidRPr="00194A43">
        <w:rPr>
          <w:rStyle w:val="aff4"/>
          <w:rFonts w:hint="cs"/>
          <w:rtl/>
        </w:rPr>
        <w:t>הרי"ד בספר המכריע</w:t>
      </w:r>
      <w:r w:rsidRPr="00194A43">
        <w:rPr>
          <w:rStyle w:val="aff4"/>
          <w:rFonts w:hint="cs"/>
          <w:vanish/>
          <w:rtl/>
        </w:rPr>
        <w:t>-</w:t>
      </w:r>
      <w:r>
        <w:rPr>
          <w:rFonts w:hint="cs"/>
          <w:rtl/>
        </w:rPr>
        <w:t xml:space="preserve"> דהפטור בנפה וכברה הוא אף לאחר זמן, מ"מ לדעת </w:t>
      </w:r>
      <w:r w:rsidRPr="00F00B89">
        <w:rPr>
          <w:rStyle w:val="aff4"/>
          <w:rFonts w:hint="cs"/>
          <w:vanish/>
          <w:rtl/>
        </w:rPr>
        <w:t>-</w:t>
      </w:r>
      <w:r w:rsidRPr="007F312F">
        <w:rPr>
          <w:rStyle w:val="aff4"/>
          <w:rFonts w:hint="cs"/>
          <w:rtl/>
        </w:rPr>
        <w:t>התוס' רי"ד</w:t>
      </w:r>
      <w:r w:rsidRPr="00F00B89">
        <w:rPr>
          <w:rStyle w:val="aff4"/>
          <w:rFonts w:hint="cs"/>
          <w:vanish/>
          <w:rtl/>
        </w:rPr>
        <w:t>-</w:t>
      </w:r>
      <w:r>
        <w:rPr>
          <w:rFonts w:hint="cs"/>
          <w:rtl/>
        </w:rPr>
        <w:t xml:space="preserve"> </w:t>
      </w:r>
      <w:r>
        <w:rPr>
          <w:rStyle w:val="af2"/>
          <w:rFonts w:eastAsia="Guttman Hodes" w:hint="cs"/>
          <w:rtl/>
        </w:rPr>
        <w:t xml:space="preserve">(עי' אות </w:t>
      </w:r>
      <w:r w:rsidRPr="002D6ADE">
        <w:rPr>
          <w:rStyle w:val="af2"/>
          <w:rFonts w:eastAsia="Guttman Hodes"/>
          <w:rtl/>
        </w:rPr>
        <w:fldChar w:fldCharType="begin"/>
      </w:r>
      <w:r w:rsidRPr="002D6ADE">
        <w:rPr>
          <w:rStyle w:val="af2"/>
          <w:rFonts w:eastAsia="Guttman Hodes"/>
          <w:rtl/>
        </w:rPr>
        <w:instrText xml:space="preserve"> </w:instrText>
      </w:r>
      <w:r w:rsidRPr="002D6ADE">
        <w:rPr>
          <w:rStyle w:val="af2"/>
          <w:rFonts w:eastAsia="Guttman Hodes" w:hint="cs"/>
        </w:rPr>
        <w:instrText>REF</w:instrText>
      </w:r>
      <w:r w:rsidRPr="002D6ADE">
        <w:rPr>
          <w:rStyle w:val="af2"/>
          <w:rFonts w:eastAsia="Guttman Hodes" w:hint="cs"/>
          <w:rtl/>
        </w:rPr>
        <w:instrText xml:space="preserve"> _</w:instrText>
      </w:r>
      <w:r w:rsidRPr="002D6ADE">
        <w:rPr>
          <w:rStyle w:val="af2"/>
          <w:rFonts w:eastAsia="Guttman Hodes" w:hint="cs"/>
        </w:rPr>
        <w:instrText>Ref138969529 \r \h</w:instrText>
      </w:r>
      <w:r w:rsidRPr="002D6ADE">
        <w:rPr>
          <w:rStyle w:val="af2"/>
          <w:rFonts w:eastAsia="Guttman Hodes"/>
          <w:rtl/>
        </w:rPr>
        <w:instrText xml:space="preserve"> </w:instrText>
      </w:r>
      <w:r w:rsidRPr="002D6ADE">
        <w:rPr>
          <w:rStyle w:val="af2"/>
          <w:rFonts w:eastAsia="Guttman Hodes"/>
          <w:rtl/>
        </w:rPr>
      </w:r>
      <w:r w:rsidRPr="002D6ADE">
        <w:rPr>
          <w:rStyle w:val="af2"/>
          <w:rFonts w:eastAsia="Guttman Hodes"/>
          <w:rtl/>
        </w:rPr>
        <w:fldChar w:fldCharType="separate"/>
      </w:r>
      <w:r w:rsidR="00D82181">
        <w:rPr>
          <w:rStyle w:val="af2"/>
          <w:rFonts w:eastAsia="Guttman Hodes"/>
          <w:cs/>
        </w:rPr>
        <w:t>‎</w:t>
      </w:r>
      <w:r w:rsidR="00D82181">
        <w:rPr>
          <w:rStyle w:val="af2"/>
          <w:rFonts w:eastAsia="Guttman Hodes"/>
          <w:rtl/>
        </w:rPr>
        <w:t>לה)</w:t>
      </w:r>
      <w:r w:rsidRPr="002D6ADE">
        <w:rPr>
          <w:rStyle w:val="af2"/>
          <w:rFonts w:eastAsia="Guttman Hodes"/>
          <w:rtl/>
        </w:rPr>
        <w:fldChar w:fldCharType="end"/>
      </w:r>
      <w:r>
        <w:rPr>
          <w:rFonts w:hint="cs"/>
          <w:rtl/>
        </w:rPr>
        <w:t xml:space="preserve"> משמע</w:t>
      </w:r>
      <w:r w:rsidRPr="00CD404A">
        <w:rPr>
          <w:rFonts w:hint="cs"/>
          <w:rtl/>
        </w:rPr>
        <w:t xml:space="preserve"> </w:t>
      </w:r>
      <w:r>
        <w:rPr>
          <w:rFonts w:hint="cs"/>
          <w:rtl/>
        </w:rPr>
        <w:t>ד</w:t>
      </w:r>
      <w:r w:rsidRPr="00CD404A">
        <w:rPr>
          <w:rFonts w:hint="cs"/>
          <w:rtl/>
        </w:rPr>
        <w:t xml:space="preserve">אוכל </w:t>
      </w:r>
      <w:r>
        <w:rPr>
          <w:rFonts w:hint="cs"/>
          <w:rtl/>
        </w:rPr>
        <w:t xml:space="preserve">מתוך פסולת בנפה וכברה הוא לכה"פ תולדה מרקד, וא"כ אין כוונת </w:t>
      </w:r>
      <w:r w:rsidRPr="00F00B89">
        <w:rPr>
          <w:rStyle w:val="aff4"/>
          <w:rFonts w:hint="cs"/>
          <w:vanish/>
          <w:rtl/>
        </w:rPr>
        <w:t>-</w:t>
      </w:r>
      <w:r w:rsidRPr="007F312F">
        <w:rPr>
          <w:rStyle w:val="aff4"/>
          <w:rFonts w:hint="cs"/>
          <w:rtl/>
        </w:rPr>
        <w:t>הרי"ד</w:t>
      </w:r>
      <w:r w:rsidRPr="00F00B89">
        <w:rPr>
          <w:rStyle w:val="aff4"/>
          <w:rFonts w:hint="cs"/>
          <w:vanish/>
          <w:rtl/>
        </w:rPr>
        <w:t>-</w:t>
      </w:r>
      <w:r>
        <w:rPr>
          <w:rFonts w:hint="cs"/>
          <w:rtl/>
        </w:rPr>
        <w:t xml:space="preserve"> לומר דלעולם לא שייך לחייב בכה"ג.</w:t>
      </w:r>
      <w:bookmarkEnd w:id="2539"/>
    </w:p>
    <w:p w14:paraId="34D208EC" w14:textId="77777777" w:rsidR="008925FD" w:rsidRPr="00747170" w:rsidRDefault="008925FD" w:rsidP="00747170">
      <w:pPr>
        <w:pStyle w:val="a2"/>
      </w:pPr>
      <w:r w:rsidRPr="00747170">
        <w:rPr>
          <w:rtl/>
        </w:rPr>
        <w:t>גרסינן בפרק כלל גדול (ל"ג ב') הזורה והבורר אלא אמר רב יוסף בורר ואוכל וכו' מאד נדחקתי לעמוד על דיני הברירה ומה שבידי לפרש אפרש. בורר ואוכל ביד בורר ומניח ביד פירוש האי מניח לאלתר הוא כדי לאכול באותה סעודה דומיא דלאכול ואף על פי שלאלתר הוא עושה דוקא ביד הוא מותר דהוא שינוי גמור אבל בקנון ובתמחוי דהוא שנוי קצת פטור אבל אסור ובנפה ובכברה דהוא מלאכה גמורה חייב חטאת דאע"ג דלאכול מיד קא עביד הוה ליה כאופה ומבשל מיד דחייב חטאת כדאקשינן לעולא</w:t>
      </w:r>
      <w:r w:rsidRPr="00747170">
        <w:rPr>
          <w:rFonts w:hint="cs"/>
          <w:rtl/>
        </w:rPr>
        <w:t xml:space="preserve">, </w:t>
      </w:r>
      <w:r w:rsidRPr="00747170">
        <w:rPr>
          <w:rtl/>
        </w:rPr>
        <w:t>מתקיף לה רב המנונא מידי קנון ותמחוי וכברה ונפה קתני וכו'. פירוש לא סבר רב המנונא את דברי רב יוסף לומר שאין הלכה כמותו. דודאי כן הלכה אלא מיהו פירוש דברי הברייתא אינו מיושב יפה דלא תני קנון ותמחוי נפה וכברה אלא אמר רב המנונא בורר ואוכל אוכל מתוך פסולת בורר ומניח אוכל מתוך פסולת אבל פסולת מתוך אוכל לא יברור ואם בירר חייב חטאת. נראה לי דרב המנונא בנפה ובכברה קאמר (ומשום) [ומש"ה] חייב חטאת בפסולת מתוך אוכל ואף על גב דהוא בורר לאכול וגם רב יוסף שחייב בנפה ובכברה בפסולת מתוך אוכל חייב דאלו אוכל מתוך פסולת שנוי הוי ולא מחייב עליה חטאת לעולם כדתנן בפרקא קמא דביצה הבורר קטנית בי"ט בית שמאי אומרים בורר אוכל אוכל וכו' דאלמא אוכל מתוך פסולת הוי שינוי ורב המנונא ורב יוסף לא פליגי אלא שסבר רב המנונא שרב יוסף לא יישב הברייתא יפה ובא הוא וישבה.</w:t>
      </w:r>
    </w:p>
    <w:p w14:paraId="78AD0F50" w14:textId="44F037C8" w:rsidR="008925FD" w:rsidRPr="00224A5A" w:rsidRDefault="008925FD" w:rsidP="008925FD">
      <w:pPr>
        <w:pStyle w:val="affff5"/>
        <w:rPr>
          <w:rtl/>
        </w:rPr>
      </w:pPr>
      <w:bookmarkStart w:id="2540" w:name="_Toc139277050"/>
      <w:r>
        <w:rPr>
          <w:rFonts w:hint="cs"/>
          <w:rtl/>
        </w:rPr>
        <w:t>בדיני ואופני אוכל מפסולת ביד ובכלי</w:t>
      </w:r>
      <w:bookmarkEnd w:id="2483"/>
      <w:bookmarkEnd w:id="2540"/>
    </w:p>
    <w:p w14:paraId="22315824" w14:textId="77777777" w:rsidR="008925FD" w:rsidRDefault="008925FD" w:rsidP="008925FD">
      <w:pPr>
        <w:pStyle w:val="1"/>
        <w:rPr>
          <w:rtl/>
        </w:rPr>
      </w:pPr>
      <w:bookmarkStart w:id="2541" w:name="_Toc139277051"/>
      <w:r>
        <w:rPr>
          <w:rFonts w:hint="cs"/>
          <w:rtl/>
        </w:rPr>
        <w:t>בי' האגל"ט ברש"י דאוכל מפסולת לאח"ז ביד מותר וקנון אסור</w:t>
      </w:r>
      <w:bookmarkEnd w:id="2541"/>
    </w:p>
    <w:p w14:paraId="5A0F1C17" w14:textId="77777777" w:rsidR="008925FD" w:rsidRDefault="008925FD" w:rsidP="008925FD">
      <w:pPr>
        <w:pStyle w:val="afffff7"/>
        <w:rPr>
          <w:rtl/>
        </w:rPr>
      </w:pPr>
      <w:bookmarkStart w:id="2542" w:name="_Toc139277052"/>
      <w:bookmarkStart w:id="2543" w:name="_Toc163505861"/>
      <w:r w:rsidRPr="007D5064">
        <w:rPr>
          <w:rtl/>
        </w:rPr>
        <w:t xml:space="preserve">אגלי טל בורר </w:t>
      </w:r>
      <w:r w:rsidRPr="007D5064">
        <w:rPr>
          <w:rFonts w:hint="cs"/>
          <w:rtl/>
        </w:rPr>
        <w:t xml:space="preserve">סק"א </w:t>
      </w:r>
      <w:r w:rsidRPr="007D5064">
        <w:rPr>
          <w:rtl/>
        </w:rPr>
        <w:t xml:space="preserve">אות </w:t>
      </w:r>
      <w:r>
        <w:rPr>
          <w:rFonts w:hint="cs"/>
          <w:rtl/>
        </w:rPr>
        <w:t>ט</w:t>
      </w:r>
      <w:r w:rsidRPr="007D5064">
        <w:rPr>
          <w:rFonts w:hint="cs"/>
          <w:rtl/>
        </w:rPr>
        <w:t>'</w:t>
      </w:r>
      <w:bookmarkEnd w:id="2543"/>
    </w:p>
    <w:p w14:paraId="10B59558" w14:textId="77777777" w:rsidR="008925FD" w:rsidRPr="00CA51EA" w:rsidRDefault="008925FD" w:rsidP="008925FD">
      <w:pPr>
        <w:pStyle w:val="a7"/>
      </w:pPr>
      <w:r w:rsidRPr="00CA51EA">
        <w:rPr>
          <w:rtl/>
        </w:rPr>
        <w:t xml:space="preserve">בי' האגל"ט ברש"י </w:t>
      </w:r>
      <w:r>
        <w:rPr>
          <w:rFonts w:hint="cs"/>
          <w:rtl/>
        </w:rPr>
        <w:t xml:space="preserve">דאוכל מתוך פסולת </w:t>
      </w:r>
      <w:r w:rsidRPr="00CA51EA">
        <w:rPr>
          <w:rtl/>
        </w:rPr>
        <w:t>ביד מותר אף לאחר זמן אעפ"י דכבורר לאוצר</w:t>
      </w:r>
      <w:bookmarkEnd w:id="2542"/>
    </w:p>
    <w:p w14:paraId="212F1588" w14:textId="5C082168" w:rsidR="008925FD" w:rsidRDefault="008925FD" w:rsidP="00BC7DC8">
      <w:pPr>
        <w:pStyle w:val="a3"/>
      </w:pPr>
      <w:bookmarkStart w:id="2544" w:name="_Ref138928134"/>
      <w:r>
        <w:rPr>
          <w:rFonts w:hint="cs"/>
          <w:rtl/>
        </w:rPr>
        <w:t xml:space="preserve">כתב </w:t>
      </w:r>
      <w:r w:rsidRPr="005305D6">
        <w:rPr>
          <w:rStyle w:val="aff4"/>
          <w:rFonts w:hint="cs"/>
          <w:vanish/>
          <w:rtl/>
        </w:rPr>
        <w:t>-</w:t>
      </w:r>
      <w:r w:rsidRPr="00B8766B">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Ref138928134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יד)</w:t>
      </w:r>
      <w:r>
        <w:rPr>
          <w:rStyle w:val="aff4"/>
          <w:vanish/>
          <w:rtl/>
        </w:rPr>
        <w:fldChar w:fldCharType="end"/>
      </w:r>
      <w:r>
        <w:rPr>
          <w:rStyle w:val="aff4"/>
          <w:rFonts w:hint="cs"/>
          <w:vanish/>
          <w:rtl/>
        </w:rPr>
        <w:t xml:space="preserve"> &gt;</w:t>
      </w:r>
      <w:r w:rsidRPr="00B8766B">
        <w:rPr>
          <w:rStyle w:val="aff4"/>
          <w:rFonts w:hint="cs"/>
          <w:rtl/>
        </w:rPr>
        <w:t>אגלי טל</w:t>
      </w:r>
      <w:r w:rsidRPr="005305D6">
        <w:rPr>
          <w:rStyle w:val="aff4"/>
          <w:rFonts w:hint="cs"/>
          <w:vanish/>
          <w:rtl/>
        </w:rPr>
        <w:t>-</w:t>
      </w:r>
      <w:r>
        <w:rPr>
          <w:rFonts w:hint="cs"/>
          <w:rtl/>
        </w:rPr>
        <w:t xml:space="preserve"> </w:t>
      </w:r>
      <w:r w:rsidRPr="000D251D">
        <w:rPr>
          <w:rStyle w:val="af2"/>
          <w:rFonts w:eastAsia="Guttman Hodes" w:hint="cs"/>
          <w:rtl/>
        </w:rPr>
        <w:t>(בורר סק"א אות ט')</w:t>
      </w:r>
      <w:r w:rsidRPr="005305D6">
        <w:rPr>
          <w:rFonts w:hint="cs"/>
          <w:vanish/>
          <w:rtl/>
        </w:rPr>
        <w:t>=</w:t>
      </w:r>
      <w:r>
        <w:rPr>
          <w:rFonts w:hint="cs"/>
          <w:rtl/>
        </w:rPr>
        <w:t xml:space="preserve"> דלדעת </w:t>
      </w:r>
      <w:r w:rsidRPr="003D30D2">
        <w:rPr>
          <w:rStyle w:val="aff4"/>
          <w:rFonts w:hint="cs"/>
          <w:vanish/>
          <w:rtl/>
        </w:rPr>
        <w:t>-</w:t>
      </w:r>
      <w:r w:rsidRPr="00A30B60">
        <w:rPr>
          <w:rStyle w:val="aff4"/>
          <w:rFonts w:hint="cs"/>
          <w:rtl/>
        </w:rPr>
        <w:t>רש"י</w:t>
      </w:r>
      <w:r w:rsidRPr="003D30D2">
        <w:rPr>
          <w:rStyle w:val="aff4"/>
          <w:rFonts w:hint="cs"/>
          <w:vanish/>
          <w:rtl/>
        </w:rPr>
        <w:t>-</w:t>
      </w:r>
      <w:r>
        <w:rPr>
          <w:rFonts w:hint="cs"/>
          <w:rtl/>
        </w:rPr>
        <w:t xml:space="preserve"> באוכל מתוך פסולת ביד מותר אף לאחר זמן, אעפ"י דהוא כבורר לאוצר, כמבואר מהא </w:t>
      </w:r>
      <w:r w:rsidRPr="005305D6">
        <w:rPr>
          <w:rStyle w:val="aff4"/>
          <w:rFonts w:hint="cs"/>
          <w:vanish/>
          <w:rtl/>
        </w:rPr>
        <w:t>-</w:t>
      </w:r>
      <w:r w:rsidRPr="00B8766B">
        <w:rPr>
          <w:rStyle w:val="aff4"/>
          <w:rFonts w:hint="cs"/>
          <w:rtl/>
        </w:rPr>
        <w:t>דלרש"י</w:t>
      </w:r>
      <w:r w:rsidRPr="005305D6">
        <w:rPr>
          <w:rStyle w:val="aff4"/>
          <w:rFonts w:hint="cs"/>
          <w:vanish/>
          <w:rtl/>
        </w:rPr>
        <w:t>-</w:t>
      </w:r>
      <w:r>
        <w:rPr>
          <w:rFonts w:hint="cs"/>
          <w:rtl/>
        </w:rPr>
        <w:t xml:space="preserve"> </w:t>
      </w:r>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Ref138664935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נא)</w:t>
      </w:r>
      <w:r>
        <w:rPr>
          <w:rStyle w:val="af2"/>
          <w:rFonts w:eastAsia="Guttman Hodes"/>
          <w:rtl/>
        </w:rPr>
        <w:fldChar w:fldCharType="end"/>
      </w:r>
      <w:r>
        <w:rPr>
          <w:rFonts w:hint="cs"/>
          <w:rtl/>
        </w:rPr>
        <w:t xml:space="preserve"> העמידה הגמ' את הברייתא הראשונה בקנון ותמחוי, וא"כ הא דתני בברייתא פטור אבל אסור, היינו בקנון ותמחוי, ומוכח דאיירי לאחר זמן, דהא לאלתר מותר </w:t>
      </w:r>
      <w:r w:rsidRPr="00194A43">
        <w:rPr>
          <w:rStyle w:val="aff4"/>
          <w:rFonts w:hint="cs"/>
          <w:vanish/>
          <w:rtl/>
        </w:rPr>
        <w:t>-</w:t>
      </w:r>
      <w:r w:rsidRPr="00194A43">
        <w:rPr>
          <w:rStyle w:val="aff4"/>
          <w:rFonts w:hint="cs"/>
          <w:rtl/>
        </w:rPr>
        <w:t>לרש"י</w:t>
      </w:r>
      <w:r w:rsidRPr="00194A43">
        <w:rPr>
          <w:rStyle w:val="aff4"/>
          <w:rFonts w:hint="cs"/>
          <w:vanish/>
          <w:rtl/>
        </w:rPr>
        <w:t>-</w:t>
      </w:r>
      <w:r>
        <w:rPr>
          <w:rFonts w:hint="cs"/>
          <w:rtl/>
        </w:rPr>
        <w:t xml:space="preserve"> אף בנפה וכברה וכ"ש בקנון ותמחוי, ומדאמרינן דהוא דוקא בקנון ולא אמרינן דאף ביד אסור, מוכח דביד לאחר זמן אף דהוא כבורר לאוצר, מ"מ כיון דהוא אוכל מתוך פסולת מותר.</w:t>
      </w:r>
      <w:bookmarkEnd w:id="2544"/>
    </w:p>
    <w:p w14:paraId="2659BD9A" w14:textId="77777777" w:rsidR="008925FD" w:rsidRPr="00747170" w:rsidRDefault="008925FD" w:rsidP="00747170">
      <w:pPr>
        <w:pStyle w:val="a2"/>
        <w:rPr>
          <w:rtl/>
        </w:rPr>
      </w:pPr>
      <w:r w:rsidRPr="00747170">
        <w:rPr>
          <w:rtl/>
        </w:rPr>
        <w:t>דין ב'. ביד אפי' לאחר זמן דהוי כבורר לאוצר מותר לברור אוכל מתוך פסולת</w:t>
      </w:r>
      <w:r w:rsidRPr="00747170">
        <w:rPr>
          <w:rFonts w:hint="cs"/>
          <w:rtl/>
        </w:rPr>
        <w:t>,</w:t>
      </w:r>
      <w:r w:rsidRPr="00747170">
        <w:rPr>
          <w:rtl/>
        </w:rPr>
        <w:t xml:space="preserve"> </w:t>
      </w:r>
      <w:r w:rsidRPr="00747170">
        <w:rPr>
          <w:rFonts w:hint="cs"/>
          <w:rtl/>
        </w:rPr>
        <w:t>וכו',</w:t>
      </w:r>
      <w:r w:rsidRPr="00747170">
        <w:rPr>
          <w:rtl/>
        </w:rPr>
        <w:t xml:space="preserve"> ומהא דמוקי ברייתא דתני פטור בקנון ותמחוי ולא מוקי לה ביד משמע דביד מותר לכתחילה אפי' לאכול לאחר זמן. דמה דמוקי בקנון ותמחוי ע"כ דמיירי לאכול לאחר זמן דלאלתר אפילו בנפה וכברה מותר לכתחילה כ"ש בקנון ותמחוי. וע"כ דמיירי לאכול לאחר זמן ומדלא מוקי לה ביד משמע דביד מותר לכתחילה. הרי דין השני.</w:t>
      </w:r>
    </w:p>
    <w:p w14:paraId="5BCB8374" w14:textId="3C0E4FF8" w:rsidR="008925FD" w:rsidRDefault="008925FD" w:rsidP="008925FD">
      <w:pPr>
        <w:pStyle w:val="a7"/>
        <w:rPr>
          <w:rtl/>
        </w:rPr>
      </w:pPr>
      <w:bookmarkStart w:id="2545" w:name="_Toc139277053"/>
      <w:r>
        <w:rPr>
          <w:rFonts w:hint="cs"/>
          <w:rtl/>
        </w:rPr>
        <w:t>בי' האגל"ט ברש"י דהא דבקנון לאח"ז פטור אבל אסור היינו אף באוכל מתוך פסולת</w:t>
      </w:r>
      <w:bookmarkEnd w:id="2545"/>
    </w:p>
    <w:p w14:paraId="297ED00F" w14:textId="4E8C1478" w:rsidR="008925FD" w:rsidRPr="00FA06F4" w:rsidRDefault="008925FD" w:rsidP="00BC7DC8">
      <w:pPr>
        <w:pStyle w:val="a3"/>
        <w:rPr>
          <w:sz w:val="12"/>
          <w:szCs w:val="14"/>
        </w:rPr>
      </w:pPr>
      <w:bookmarkStart w:id="2546" w:name="_Ref138928417"/>
      <w:r>
        <w:rPr>
          <w:rFonts w:hint="cs"/>
          <w:rtl/>
        </w:rPr>
        <w:t xml:space="preserve">וכתב </w:t>
      </w:r>
      <w:r>
        <w:rPr>
          <w:rStyle w:val="aff4"/>
          <w:vanish/>
          <w:rtl/>
        </w:rPr>
        <w:t>-</w:t>
      </w:r>
      <w:r>
        <w:rPr>
          <w:rStyle w:val="aff4"/>
          <w:rtl/>
        </w:rPr>
        <w:t>האגלי טל</w:t>
      </w:r>
      <w:r>
        <w:rPr>
          <w:rStyle w:val="aff4"/>
          <w:vanish/>
          <w:rtl/>
        </w:rPr>
        <w:t>-</w:t>
      </w:r>
      <w:r>
        <w:rPr>
          <w:rtl/>
        </w:rPr>
        <w:t xml:space="preserve"> </w:t>
      </w:r>
      <w:r>
        <w:rPr>
          <w:rFonts w:hint="cs"/>
          <w:rtl/>
        </w:rPr>
        <w:t xml:space="preserve">דס"ל </w:t>
      </w:r>
      <w:r w:rsidRPr="00FA06F4">
        <w:rPr>
          <w:rStyle w:val="aff4"/>
          <w:rFonts w:hint="cs"/>
          <w:vanish/>
          <w:rtl/>
        </w:rPr>
        <w:t>-</w:t>
      </w:r>
      <w:r>
        <w:rPr>
          <w:rStyle w:val="aff4"/>
          <w:rFonts w:hint="cs"/>
          <w:rtl/>
        </w:rPr>
        <w:t>ל</w:t>
      </w:r>
      <w:r w:rsidRPr="00FA06F4">
        <w:rPr>
          <w:rStyle w:val="aff4"/>
          <w:rFonts w:hint="cs"/>
          <w:rtl/>
        </w:rPr>
        <w:t>רש"י</w:t>
      </w:r>
      <w:r w:rsidRPr="00FA06F4">
        <w:rPr>
          <w:rStyle w:val="aff4"/>
          <w:rFonts w:hint="cs"/>
          <w:vanish/>
          <w:rtl/>
        </w:rPr>
        <w:t>-</w:t>
      </w:r>
      <w:r>
        <w:rPr>
          <w:rFonts w:hint="cs"/>
          <w:rtl/>
        </w:rPr>
        <w:t xml:space="preserve"> דבקנון ותמחוי לאחר זמן פטור אבל אסור, אף באוכל מתוך פסולת, כמבואר מהא </w:t>
      </w:r>
      <w:r w:rsidRPr="005305D6">
        <w:rPr>
          <w:rStyle w:val="aff4"/>
          <w:rFonts w:hint="cs"/>
          <w:vanish/>
          <w:rtl/>
        </w:rPr>
        <w:t>-</w:t>
      </w:r>
      <w:r w:rsidRPr="00B8766B">
        <w:rPr>
          <w:rStyle w:val="aff4"/>
          <w:rFonts w:hint="cs"/>
          <w:rtl/>
        </w:rPr>
        <w:t>דלרש"י</w:t>
      </w:r>
      <w:r w:rsidRPr="005305D6">
        <w:rPr>
          <w:rStyle w:val="aff4"/>
          <w:rFonts w:hint="cs"/>
          <w:vanish/>
          <w:rtl/>
        </w:rPr>
        <w:t>-</w:t>
      </w:r>
      <w:r>
        <w:rPr>
          <w:rFonts w:hint="cs"/>
          <w:rtl/>
        </w:rPr>
        <w:t xml:space="preserve"> </w:t>
      </w:r>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Ref138664935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נא)</w:t>
      </w:r>
      <w:r>
        <w:rPr>
          <w:rStyle w:val="af2"/>
          <w:rFonts w:eastAsia="Guttman Hodes"/>
          <w:rtl/>
        </w:rPr>
        <w:fldChar w:fldCharType="end"/>
      </w:r>
      <w:r>
        <w:rPr>
          <w:rFonts w:hint="cs"/>
          <w:rtl/>
        </w:rPr>
        <w:t xml:space="preserve"> העמידה הגמ' את הברייתא הראשונה בקנון ותמחוי, א"כ מבואר דהאיסור בקנון ותמחוי לאחר זמן הוא אף באוכל מתוך פסולת.</w:t>
      </w:r>
      <w:bookmarkEnd w:id="2546"/>
    </w:p>
    <w:p w14:paraId="01009DE7" w14:textId="77777777" w:rsidR="008925FD" w:rsidRPr="00747170" w:rsidRDefault="008925FD" w:rsidP="00747170">
      <w:pPr>
        <w:pStyle w:val="a2"/>
        <w:rPr>
          <w:rtl/>
        </w:rPr>
      </w:pPr>
      <w:r w:rsidRPr="00747170">
        <w:rPr>
          <w:rtl/>
        </w:rPr>
        <w:t>דין ג'. בקנון ובתמחוי לאחר זמן אפי' אוכל מתוך פסולת פטור אבל אסור</w:t>
      </w:r>
      <w:r w:rsidRPr="00747170">
        <w:rPr>
          <w:rFonts w:hint="cs"/>
          <w:rtl/>
        </w:rPr>
        <w:t xml:space="preserve">, וכו', </w:t>
      </w:r>
      <w:r w:rsidRPr="00747170">
        <w:rPr>
          <w:rtl/>
        </w:rPr>
        <w:t>ומהא דמוקי הש"ס את הברייתא דתני פטור בקנון ותמחוי הרי מפורש דין השלישי</w:t>
      </w:r>
      <w:r w:rsidRPr="00747170">
        <w:rPr>
          <w:rFonts w:hint="cs"/>
          <w:rtl/>
        </w:rPr>
        <w:t>.</w:t>
      </w:r>
    </w:p>
    <w:p w14:paraId="0FB66137" w14:textId="1248A31E" w:rsidR="008925FD" w:rsidRDefault="008925FD" w:rsidP="008925FD">
      <w:pPr>
        <w:pStyle w:val="1"/>
        <w:rPr>
          <w:rtl/>
        </w:rPr>
      </w:pPr>
      <w:bookmarkStart w:id="2547" w:name="_Toc138754516"/>
      <w:bookmarkStart w:id="2548" w:name="_Toc139277054"/>
      <w:r>
        <w:rPr>
          <w:rFonts w:hint="cs"/>
          <w:rtl/>
        </w:rPr>
        <w:t>בי' התוס'</w:t>
      </w:r>
      <w:bookmarkEnd w:id="2547"/>
      <w:r>
        <w:rPr>
          <w:rFonts w:hint="cs"/>
          <w:rtl/>
        </w:rPr>
        <w:t xml:space="preserve"> דאין מ"ד דאוסר באוכל מתוך פסולת לאלתר</w:t>
      </w:r>
      <w:bookmarkEnd w:id="2548"/>
    </w:p>
    <w:p w14:paraId="62BC3A98" w14:textId="77777777" w:rsidR="008925FD" w:rsidRDefault="008925FD" w:rsidP="008925FD">
      <w:pPr>
        <w:pStyle w:val="afffff7"/>
        <w:rPr>
          <w:rtl/>
        </w:rPr>
      </w:pPr>
      <w:bookmarkStart w:id="2549" w:name="_Toc139277159"/>
      <w:bookmarkStart w:id="2550" w:name="_Toc163505862"/>
      <w:r w:rsidRPr="000F4302">
        <w:rPr>
          <w:rtl/>
        </w:rPr>
        <w:t>תוספות שבת ע"ד ע"א</w:t>
      </w:r>
      <w:r w:rsidRPr="000F4302">
        <w:rPr>
          <w:rFonts w:hint="cs"/>
          <w:rtl/>
        </w:rPr>
        <w:t xml:space="preserve"> ד"ה </w:t>
      </w:r>
      <w:r>
        <w:rPr>
          <w:rFonts w:hint="cs"/>
          <w:rtl/>
        </w:rPr>
        <w:t>ולא ידענא</w:t>
      </w:r>
      <w:bookmarkEnd w:id="2549"/>
      <w:bookmarkEnd w:id="2550"/>
    </w:p>
    <w:p w14:paraId="6A20C6B9" w14:textId="77777777" w:rsidR="008925FD" w:rsidRDefault="008925FD" w:rsidP="008925FD">
      <w:pPr>
        <w:pStyle w:val="a7"/>
        <w:rPr>
          <w:rtl/>
        </w:rPr>
      </w:pPr>
      <w:bookmarkStart w:id="2551" w:name="_Toc139277055"/>
      <w:r>
        <w:rPr>
          <w:rFonts w:hint="cs"/>
          <w:rtl/>
        </w:rPr>
        <w:t>בי' התוס' דאין כל צד בגמ' ברב ביבי דאוכל מתוך פסולת לאלתר אסור דלכו"ע מותר בזה</w:t>
      </w:r>
      <w:bookmarkEnd w:id="2551"/>
    </w:p>
    <w:p w14:paraId="0674A624" w14:textId="0AA33507" w:rsidR="008925FD" w:rsidRPr="00D5478C" w:rsidRDefault="008925FD" w:rsidP="00BC7DC8">
      <w:pPr>
        <w:pStyle w:val="a3"/>
        <w:rPr>
          <w:rtl/>
        </w:rPr>
      </w:pPr>
      <w:bookmarkStart w:id="2552" w:name="_Ref138671355"/>
      <w:r>
        <w:rPr>
          <w:rFonts w:hint="cs"/>
          <w:rtl/>
        </w:rPr>
        <w:t xml:space="preserve">בספק בדעת רב ביבי אי ס"ל דאוכל מתוך פסולת אסור, ביארו </w:t>
      </w:r>
      <w:r w:rsidRPr="00E9416F">
        <w:rPr>
          <w:rStyle w:val="aff4"/>
          <w:rFonts w:hint="cs"/>
          <w:vanish/>
          <w:rtl/>
        </w:rPr>
        <w:t>-</w:t>
      </w:r>
      <w:r w:rsidRPr="00E9416F">
        <w:rPr>
          <w:rStyle w:val="aff4"/>
          <w:rFonts w:hint="cs"/>
          <w:rtl/>
        </w:rPr>
        <w:t>ה</w:t>
      </w:r>
      <w:r w:rsidRPr="00E9416F">
        <w:rPr>
          <w:rStyle w:val="aff4"/>
          <w:rFonts w:hint="cs"/>
          <w:vanish/>
          <w:rtl/>
        </w:rPr>
        <w:t xml:space="preserve">&lt;. </w:t>
      </w:r>
      <w:r w:rsidRPr="00E9416F">
        <w:rPr>
          <w:rStyle w:val="aff4"/>
          <w:vanish/>
          <w:rtl/>
        </w:rPr>
        <w:fldChar w:fldCharType="begin"/>
      </w:r>
      <w:r w:rsidRPr="00E9416F">
        <w:rPr>
          <w:rStyle w:val="aff4"/>
          <w:vanish/>
          <w:rtl/>
        </w:rPr>
        <w:instrText xml:space="preserve"> </w:instrText>
      </w:r>
      <w:r w:rsidRPr="00E9416F">
        <w:rPr>
          <w:rStyle w:val="aff4"/>
          <w:rFonts w:hint="cs"/>
          <w:vanish/>
        </w:rPr>
        <w:instrText>REF</w:instrText>
      </w:r>
      <w:r w:rsidRPr="00E9416F">
        <w:rPr>
          <w:rStyle w:val="aff4"/>
          <w:rFonts w:hint="cs"/>
          <w:vanish/>
          <w:rtl/>
        </w:rPr>
        <w:instrText xml:space="preserve"> _</w:instrText>
      </w:r>
      <w:r w:rsidRPr="00E9416F">
        <w:rPr>
          <w:rStyle w:val="aff4"/>
          <w:rFonts w:hint="cs"/>
          <w:vanish/>
        </w:rPr>
        <w:instrText>Ref138671355 \r \h</w:instrText>
      </w:r>
      <w:r w:rsidRPr="00E9416F">
        <w:rPr>
          <w:rStyle w:val="aff4"/>
          <w:vanish/>
          <w:rtl/>
        </w:rPr>
        <w:instrText xml:space="preserve"> </w:instrText>
      </w:r>
      <w:r w:rsidRPr="00E9416F">
        <w:rPr>
          <w:rStyle w:val="aff4"/>
          <w:vanish/>
          <w:rtl/>
        </w:rPr>
      </w:r>
      <w:r w:rsidRPr="00E9416F">
        <w:rPr>
          <w:rStyle w:val="aff4"/>
          <w:vanish/>
          <w:rtl/>
        </w:rPr>
        <w:fldChar w:fldCharType="separate"/>
      </w:r>
      <w:r w:rsidR="00D82181">
        <w:rPr>
          <w:rStyle w:val="aff4"/>
          <w:vanish/>
          <w:cs/>
        </w:rPr>
        <w:t>‎</w:t>
      </w:r>
      <w:r w:rsidR="00D82181">
        <w:rPr>
          <w:rStyle w:val="aff4"/>
          <w:vanish/>
          <w:rtl/>
        </w:rPr>
        <w:t>טז)</w:t>
      </w:r>
      <w:r w:rsidRPr="00E9416F">
        <w:rPr>
          <w:rStyle w:val="aff4"/>
          <w:vanish/>
          <w:rtl/>
        </w:rPr>
        <w:fldChar w:fldCharType="end"/>
      </w:r>
      <w:r w:rsidRPr="00E9416F">
        <w:rPr>
          <w:rStyle w:val="aff4"/>
          <w:rFonts w:hint="cs"/>
          <w:vanish/>
          <w:rtl/>
        </w:rPr>
        <w:t xml:space="preserve"> &gt;</w:t>
      </w:r>
      <w:r w:rsidRPr="00E9416F">
        <w:rPr>
          <w:rStyle w:val="aff4"/>
          <w:rFonts w:hint="cs"/>
          <w:rtl/>
        </w:rPr>
        <w:t>תוס'</w:t>
      </w:r>
      <w:r w:rsidRPr="00E9416F">
        <w:rPr>
          <w:rStyle w:val="aff4"/>
          <w:rFonts w:hint="cs"/>
          <w:vanish/>
          <w:rtl/>
        </w:rPr>
        <w:t>-</w:t>
      </w:r>
      <w:r>
        <w:rPr>
          <w:rFonts w:hint="cs"/>
          <w:rtl/>
        </w:rPr>
        <w:t xml:space="preserve"> </w:t>
      </w:r>
      <w:r w:rsidRPr="000D251D">
        <w:rPr>
          <w:rStyle w:val="af2"/>
          <w:rFonts w:eastAsia="Guttman Hodes" w:hint="cs"/>
          <w:rtl/>
        </w:rPr>
        <w:t>(ד"ה ולא ידענא)</w:t>
      </w:r>
      <w:r w:rsidRPr="003572E4">
        <w:rPr>
          <w:rFonts w:hint="cs"/>
          <w:vanish/>
          <w:rtl/>
        </w:rPr>
        <w:t>=</w:t>
      </w:r>
      <w:bookmarkEnd w:id="2552"/>
      <w:r>
        <w:rPr>
          <w:rFonts w:hint="cs"/>
          <w:rtl/>
        </w:rPr>
        <w:t xml:space="preserve"> דהצד דאסר רב ביבי היינו במה שלא בירר את הפירות לפני שהניחם לפניהם, אבל א"א לומר דכשהניחם לפניהם לא ברר מחמת דס"ל דאסור, דא"כ א"א לומר דס"ל דאוכל מתוך פסולת אסור, דהא לאלתר לכו"ע מותר באוכל מתוך פסולת.</w:t>
      </w:r>
    </w:p>
    <w:p w14:paraId="44165B04" w14:textId="77777777" w:rsidR="008925FD" w:rsidRPr="00747170" w:rsidRDefault="008925FD" w:rsidP="00747170">
      <w:pPr>
        <w:pStyle w:val="a2"/>
        <w:rPr>
          <w:rtl/>
        </w:rPr>
      </w:pPr>
      <w:r w:rsidRPr="00747170">
        <w:rPr>
          <w:rtl/>
        </w:rPr>
        <w:t>ולא ידענא אי משום דקסבר אוכל מתוך פסולת אסור - פי' לא ידענא מה שלא ביררם תחלה קודם שהביאם לפניהן אבל אין לפרש מה שלא ביררם בשעה שהניח לפניהם דא"כ מאי קאמר אי משום דקסבר אוכל מתוך פסולת אסור דהא לכ"ע שרינן אוכל מתוך פסולת לאלתר.</w:t>
      </w:r>
    </w:p>
    <w:p w14:paraId="28AE7B2D" w14:textId="77777777" w:rsidR="008925FD" w:rsidRPr="00EB6547" w:rsidRDefault="008925FD" w:rsidP="00747170">
      <w:pPr>
        <w:pStyle w:val="afffff5"/>
      </w:pPr>
      <w:bookmarkStart w:id="2553" w:name="_Ref138073436"/>
      <w:r w:rsidRPr="00EB6547">
        <w:rPr>
          <w:rtl/>
        </w:rPr>
        <w:t>ובפסולת מתוך אוכל יש ג' חילוקים בלאלתר ביד מותר. בקנון ותמחוי פטור. בנפה וכברה חייב חטאת. ואוכל מתוך פסולת לאחר זמן תלוי בספיקא דר' אמי ומסתברא לקולא שהרי בהא דחזקי' מחייב הבורר תורמסין קאמר הש"ס לימא קסבר חזקי' אוכל מתוך פסולת אסור ולתוס' צ"ל דמיירי בלאחר זמן דבלאלתר הא ליכא מאן דאסר אוכל מתוך פסולת כמו שכתבו התוס' בדר' דימי וע"כ בלאחר זמן ומשני שאני תורמסין כו' כפסולת מתוך אוכל דמי. נראה למסקנא אוכל מתוך פסולת מותר. וכן הוא בפר"ח שלפנינו לפי שיטתו שפירש לימא קסבר חזקי' אוכל מתוך פסולת אסור היינו לאלתר מוכיח מדמשני הש"ס שאני תורמוסין דכפסולת מתוך אוכל דמיא. משמע דלמסקנא אוכל מתוך פסולת מותר לאלתר. וה"ה לשיטת התוס' לפי מה שמפרשים הלימא קסבר חזקי' אוכל מתוך פסולת אסור היינו בלאחר זמן מוכח מהתירוץ דלמסקנא אוכל מתוך פסולת לאחר זמן מותר. ואינו מוכרח.</w:t>
      </w:r>
    </w:p>
    <w:p w14:paraId="48B83534" w14:textId="77777777" w:rsidR="008925FD" w:rsidRDefault="008925FD" w:rsidP="008925FD">
      <w:pPr>
        <w:pStyle w:val="afffff7"/>
        <w:rPr>
          <w:rtl/>
        </w:rPr>
      </w:pPr>
      <w:bookmarkStart w:id="2554" w:name="_Toc138674003"/>
      <w:bookmarkStart w:id="2555" w:name="_Toc139277160"/>
      <w:bookmarkStart w:id="2556" w:name="_Toc163505863"/>
      <w:r>
        <w:rPr>
          <w:rtl/>
        </w:rPr>
        <w:t>אגלי טל בורר</w:t>
      </w:r>
      <w:r>
        <w:rPr>
          <w:rFonts w:hint="cs"/>
          <w:rtl/>
        </w:rPr>
        <w:t xml:space="preserve"> סק"א</w:t>
      </w:r>
      <w:r>
        <w:rPr>
          <w:rtl/>
        </w:rPr>
        <w:t xml:space="preserve"> אות </w:t>
      </w:r>
      <w:r>
        <w:rPr>
          <w:rFonts w:hint="cs"/>
          <w:rtl/>
        </w:rPr>
        <w:t>י"ז</w:t>
      </w:r>
      <w:bookmarkEnd w:id="2554"/>
      <w:bookmarkEnd w:id="2555"/>
      <w:bookmarkEnd w:id="2556"/>
    </w:p>
    <w:p w14:paraId="5DDDED25" w14:textId="77777777" w:rsidR="008925FD" w:rsidRPr="007C1801" w:rsidRDefault="008925FD" w:rsidP="008925FD">
      <w:pPr>
        <w:pStyle w:val="a7"/>
        <w:rPr>
          <w:rtl/>
        </w:rPr>
      </w:pPr>
      <w:bookmarkStart w:id="2557" w:name="_Toc139277056"/>
      <w:r>
        <w:rPr>
          <w:rFonts w:hint="cs"/>
          <w:rtl/>
        </w:rPr>
        <w:t>בי' האגל"ט בתוס' דבאוכל מתוך פסולת לאלתר ביד מותר ובקנון אסור ולאח"ז יש להסתפק בזה</w:t>
      </w:r>
      <w:bookmarkEnd w:id="2557"/>
    </w:p>
    <w:p w14:paraId="25DF9BCE" w14:textId="66BCE8D7" w:rsidR="008925FD" w:rsidRDefault="008925FD" w:rsidP="00BC7DC8">
      <w:pPr>
        <w:pStyle w:val="a3"/>
      </w:pPr>
      <w:bookmarkStart w:id="2558" w:name="_Ref139189294"/>
      <w:r>
        <w:rPr>
          <w:rFonts w:hint="cs"/>
          <w:rtl/>
        </w:rPr>
        <w:t xml:space="preserve">בדעת </w:t>
      </w:r>
      <w:r w:rsidRPr="00194A43">
        <w:rPr>
          <w:rStyle w:val="aff4"/>
          <w:rFonts w:hint="cs"/>
          <w:vanish/>
          <w:rtl/>
        </w:rPr>
        <w:t>-</w:t>
      </w:r>
      <w:r w:rsidRPr="00194A43">
        <w:rPr>
          <w:rStyle w:val="aff4"/>
          <w:rFonts w:hint="cs"/>
          <w:rtl/>
        </w:rPr>
        <w:t>התוס'</w:t>
      </w:r>
      <w:r w:rsidRPr="00194A43">
        <w:rPr>
          <w:rStyle w:val="aff4"/>
          <w:rFonts w:hint="cs"/>
          <w:vanish/>
          <w:rtl/>
        </w:rPr>
        <w:t>-</w:t>
      </w:r>
      <w:r>
        <w:rPr>
          <w:rFonts w:hint="cs"/>
          <w:rtl/>
        </w:rPr>
        <w:t xml:space="preserve"> </w:t>
      </w:r>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Ref138664935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נא)</w:t>
      </w:r>
      <w:r>
        <w:rPr>
          <w:rStyle w:val="af2"/>
          <w:rFonts w:eastAsia="Guttman Hodes"/>
          <w:rtl/>
        </w:rPr>
        <w:fldChar w:fldCharType="end"/>
      </w:r>
      <w:r>
        <w:rPr>
          <w:rFonts w:hint="cs"/>
          <w:rtl/>
        </w:rPr>
        <w:t xml:space="preserve"> עי' במה שהאריך </w:t>
      </w:r>
      <w:r w:rsidRPr="009B1F18">
        <w:rPr>
          <w:rStyle w:val="aff4"/>
          <w:rFonts w:hint="cs"/>
          <w:vanish/>
          <w:rtl/>
        </w:rPr>
        <w:t>-</w:t>
      </w:r>
      <w:r w:rsidRPr="000D251D">
        <w:rPr>
          <w:rStyle w:val="aff4"/>
          <w:rFonts w:hint="cs"/>
          <w:rtl/>
        </w:rPr>
        <w:t>האגלי טל</w:t>
      </w:r>
      <w:r w:rsidRPr="009B1F18">
        <w:rPr>
          <w:rStyle w:val="aff4"/>
          <w:rFonts w:hint="cs"/>
          <w:vanish/>
          <w:rtl/>
        </w:rPr>
        <w:t>-</w:t>
      </w:r>
      <w:r w:rsidRPr="00944704">
        <w:rPr>
          <w:rFonts w:hint="cs"/>
          <w:rtl/>
        </w:rPr>
        <w:t xml:space="preserve"> </w:t>
      </w:r>
      <w:r w:rsidRPr="000D251D">
        <w:rPr>
          <w:rStyle w:val="af2"/>
          <w:rFonts w:eastAsia="Guttman Hodes" w:hint="cs"/>
          <w:rtl/>
        </w:rPr>
        <w:t xml:space="preserve">(עי' אות </w:t>
      </w:r>
      <w:r w:rsidRPr="000D251D">
        <w:rPr>
          <w:rStyle w:val="af2"/>
          <w:rFonts w:eastAsia="Guttman Hodes"/>
          <w:rtl/>
        </w:rPr>
        <w:fldChar w:fldCharType="begin"/>
      </w:r>
      <w:r w:rsidRPr="000D251D">
        <w:rPr>
          <w:rStyle w:val="af2"/>
          <w:rFonts w:eastAsia="Guttman Hodes"/>
          <w:rtl/>
        </w:rPr>
        <w:instrText xml:space="preserve"> </w:instrText>
      </w:r>
      <w:r w:rsidRPr="000D251D">
        <w:rPr>
          <w:rStyle w:val="af2"/>
          <w:rFonts w:eastAsia="Guttman Hodes" w:hint="cs"/>
        </w:rPr>
        <w:instrText>REF</w:instrText>
      </w:r>
      <w:r w:rsidRPr="000D251D">
        <w:rPr>
          <w:rStyle w:val="af2"/>
          <w:rFonts w:eastAsia="Guttman Hodes" w:hint="cs"/>
          <w:rtl/>
        </w:rPr>
        <w:instrText xml:space="preserve"> _</w:instrText>
      </w:r>
      <w:r w:rsidRPr="000D251D">
        <w:rPr>
          <w:rStyle w:val="af2"/>
          <w:rFonts w:eastAsia="Guttman Hodes" w:hint="cs"/>
        </w:rPr>
        <w:instrText>Ref138073988 \r \h</w:instrText>
      </w:r>
      <w:r w:rsidRPr="000D251D">
        <w:rPr>
          <w:rStyle w:val="af2"/>
          <w:rFonts w:eastAsia="Guttman Hodes"/>
          <w:rtl/>
        </w:rPr>
        <w:instrText xml:space="preserve"> </w:instrText>
      </w:r>
      <w:r w:rsidRPr="000D251D">
        <w:rPr>
          <w:rStyle w:val="af2"/>
          <w:rFonts w:eastAsia="Guttman Hodes"/>
          <w:rtl/>
        </w:rPr>
      </w:r>
      <w:r w:rsidRPr="000D251D">
        <w:rPr>
          <w:rStyle w:val="af2"/>
          <w:rFonts w:eastAsia="Guttman Hodes"/>
          <w:rtl/>
        </w:rPr>
        <w:fldChar w:fldCharType="separate"/>
      </w:r>
      <w:r w:rsidR="00D82181">
        <w:rPr>
          <w:rStyle w:val="af2"/>
          <w:rFonts w:eastAsia="Guttman Hodes"/>
          <w:cs/>
        </w:rPr>
        <w:t>‎</w:t>
      </w:r>
      <w:r w:rsidR="00D82181">
        <w:rPr>
          <w:rStyle w:val="af2"/>
          <w:rFonts w:eastAsia="Guttman Hodes"/>
          <w:rtl/>
        </w:rPr>
        <w:t>עז)</w:t>
      </w:r>
      <w:r w:rsidRPr="000D251D">
        <w:rPr>
          <w:rStyle w:val="af2"/>
          <w:rFonts w:eastAsia="Guttman Hodes"/>
          <w:rtl/>
        </w:rPr>
        <w:fldChar w:fldCharType="end"/>
      </w:r>
      <w:r w:rsidRPr="00944704">
        <w:rPr>
          <w:rFonts w:hint="cs"/>
          <w:rtl/>
        </w:rPr>
        <w:t xml:space="preserve"> </w:t>
      </w:r>
      <w:r>
        <w:rPr>
          <w:rFonts w:hint="cs"/>
          <w:rtl/>
        </w:rPr>
        <w:t>להוכיח</w:t>
      </w:r>
      <w:r w:rsidRPr="00944704">
        <w:rPr>
          <w:rFonts w:hint="cs"/>
          <w:rtl/>
        </w:rPr>
        <w:t xml:space="preserve"> </w:t>
      </w:r>
      <w:r>
        <w:rPr>
          <w:rFonts w:hint="cs"/>
          <w:rtl/>
        </w:rPr>
        <w:t>דס"ל</w:t>
      </w:r>
      <w:r w:rsidRPr="00944704">
        <w:rPr>
          <w:rFonts w:hint="cs"/>
          <w:rtl/>
        </w:rPr>
        <w:t xml:space="preserve"> </w:t>
      </w:r>
      <w:r w:rsidRPr="009B1F18">
        <w:rPr>
          <w:rStyle w:val="aff4"/>
          <w:rFonts w:hint="cs"/>
          <w:vanish/>
          <w:rtl/>
        </w:rPr>
        <w:t>-</w:t>
      </w:r>
      <w:r w:rsidRPr="000D251D">
        <w:rPr>
          <w:rStyle w:val="aff4"/>
          <w:rFonts w:hint="cs"/>
          <w:rtl/>
        </w:rPr>
        <w:t>להתוס'</w:t>
      </w:r>
      <w:r w:rsidRPr="009B1F18">
        <w:rPr>
          <w:rStyle w:val="aff4"/>
          <w:rFonts w:hint="cs"/>
          <w:vanish/>
          <w:rtl/>
        </w:rPr>
        <w:t>-</w:t>
      </w:r>
      <w:r w:rsidRPr="00944704">
        <w:rPr>
          <w:rFonts w:hint="cs"/>
          <w:rtl/>
        </w:rPr>
        <w:t xml:space="preserve"> דכל הברייתא</w:t>
      </w:r>
      <w:r w:rsidRPr="00003397">
        <w:rPr>
          <w:rFonts w:hint="cs"/>
          <w:rtl/>
        </w:rPr>
        <w:t xml:space="preserve"> </w:t>
      </w:r>
      <w:r w:rsidRPr="00003397">
        <w:rPr>
          <w:rtl/>
        </w:rPr>
        <w:t xml:space="preserve">לא איירי באוכל מתוך פסולת, אלא </w:t>
      </w:r>
      <w:r w:rsidRPr="00003397">
        <w:rPr>
          <w:rFonts w:hint="cs"/>
          <w:rtl/>
        </w:rPr>
        <w:t xml:space="preserve">איירי בפסולת מתוך אוכל, ודלא </w:t>
      </w:r>
      <w:r w:rsidRPr="009B1F18">
        <w:rPr>
          <w:rStyle w:val="aff4"/>
          <w:rFonts w:hint="cs"/>
          <w:vanish/>
          <w:rtl/>
        </w:rPr>
        <w:t>-</w:t>
      </w:r>
      <w:r w:rsidRPr="000D251D">
        <w:rPr>
          <w:rStyle w:val="aff4"/>
          <w:rFonts w:hint="cs"/>
          <w:rtl/>
        </w:rPr>
        <w:t>כר"ח</w:t>
      </w:r>
      <w:r w:rsidRPr="009B1F18">
        <w:rPr>
          <w:rStyle w:val="aff4"/>
          <w:rFonts w:hint="cs"/>
          <w:vanish/>
          <w:rtl/>
        </w:rPr>
        <w:t>-</w:t>
      </w:r>
      <w:r w:rsidRPr="00003397">
        <w:rPr>
          <w:rFonts w:hint="cs"/>
          <w:rtl/>
        </w:rPr>
        <w:t xml:space="preserve"> </w:t>
      </w:r>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Ref139187404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w:t>
      </w:r>
      <w:r>
        <w:rPr>
          <w:rStyle w:val="af2"/>
          <w:rFonts w:eastAsia="Guttman Hodes"/>
          <w:rtl/>
        </w:rPr>
        <w:fldChar w:fldCharType="end"/>
      </w:r>
      <w:r w:rsidRPr="00003397">
        <w:rPr>
          <w:rtl/>
        </w:rPr>
        <w:t xml:space="preserve"> </w:t>
      </w:r>
      <w:r w:rsidRPr="00003397">
        <w:rPr>
          <w:rFonts w:hint="cs"/>
          <w:rtl/>
        </w:rPr>
        <w:t>דלמסקנא כל הסוגיא היא באוכל מתוך פסול</w:t>
      </w:r>
      <w:r>
        <w:rPr>
          <w:rFonts w:hint="cs"/>
          <w:rtl/>
        </w:rPr>
        <w:t xml:space="preserve">ת, וא"כ לא ס"ל </w:t>
      </w:r>
      <w:r w:rsidRPr="009B1F18">
        <w:rPr>
          <w:rStyle w:val="aff4"/>
          <w:rFonts w:hint="cs"/>
          <w:vanish/>
          <w:rtl/>
        </w:rPr>
        <w:t>-</w:t>
      </w:r>
      <w:r w:rsidRPr="000D251D">
        <w:rPr>
          <w:rStyle w:val="aff4"/>
          <w:rtl/>
        </w:rPr>
        <w:t>כר"ח</w:t>
      </w:r>
      <w:r w:rsidRPr="009B1F18">
        <w:rPr>
          <w:rStyle w:val="aff4"/>
          <w:rFonts w:hint="cs"/>
          <w:vanish/>
          <w:rtl/>
        </w:rPr>
        <w:t>-</w:t>
      </w:r>
      <w:r w:rsidRPr="00003397">
        <w:rPr>
          <w:rFonts w:hint="cs"/>
          <w:rtl/>
        </w:rPr>
        <w:t xml:space="preserve"> </w:t>
      </w:r>
      <w:r w:rsidRPr="00003397">
        <w:rPr>
          <w:rtl/>
        </w:rPr>
        <w:t>דלכו"ע צריך גם את ההיתר דאוכל מתוך פסולת</w:t>
      </w:r>
      <w:r w:rsidRPr="00003397">
        <w:rPr>
          <w:rFonts w:hint="cs"/>
          <w:rtl/>
        </w:rPr>
        <w:t xml:space="preserve">, </w:t>
      </w:r>
      <w:r>
        <w:rPr>
          <w:rFonts w:hint="cs"/>
          <w:rtl/>
        </w:rPr>
        <w:t xml:space="preserve">וכתב </w:t>
      </w:r>
      <w:r w:rsidRPr="00194A43">
        <w:rPr>
          <w:rStyle w:val="aff4"/>
          <w:rFonts w:hint="cs"/>
          <w:vanish/>
          <w:rtl/>
        </w:rPr>
        <w:t>-</w:t>
      </w:r>
      <w:r w:rsidRPr="00194A43">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Ref139189294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יז)</w:t>
      </w:r>
      <w:r>
        <w:rPr>
          <w:rStyle w:val="aff4"/>
          <w:vanish/>
          <w:rtl/>
        </w:rPr>
        <w:fldChar w:fldCharType="end"/>
      </w:r>
      <w:r>
        <w:rPr>
          <w:rStyle w:val="aff4"/>
          <w:rFonts w:hint="cs"/>
          <w:vanish/>
          <w:rtl/>
        </w:rPr>
        <w:t xml:space="preserve"> &gt;</w:t>
      </w:r>
      <w:r w:rsidRPr="00194A43">
        <w:rPr>
          <w:rStyle w:val="aff4"/>
          <w:rFonts w:hint="cs"/>
          <w:rtl/>
        </w:rPr>
        <w:t>אגלי טל</w:t>
      </w:r>
      <w:r w:rsidRPr="00194A43">
        <w:rPr>
          <w:rStyle w:val="aff4"/>
          <w:rFonts w:hint="cs"/>
          <w:vanish/>
          <w:rtl/>
        </w:rPr>
        <w:t>-</w:t>
      </w:r>
      <w:r>
        <w:rPr>
          <w:rFonts w:hint="cs"/>
          <w:rtl/>
        </w:rPr>
        <w:t xml:space="preserve"> </w:t>
      </w:r>
      <w:r w:rsidRPr="000D251D">
        <w:rPr>
          <w:rStyle w:val="af2"/>
          <w:rFonts w:eastAsia="Guttman Hodes" w:hint="cs"/>
          <w:rtl/>
        </w:rPr>
        <w:t>(בורר סק"א אות י"ז)</w:t>
      </w:r>
      <w:r w:rsidRPr="00194A43">
        <w:rPr>
          <w:rFonts w:hint="cs"/>
          <w:vanish/>
          <w:rtl/>
        </w:rPr>
        <w:t>=</w:t>
      </w:r>
      <w:r>
        <w:rPr>
          <w:rFonts w:hint="cs"/>
          <w:rtl/>
        </w:rPr>
        <w:t xml:space="preserve"> דלפי"ז בפשטות באוכל מתוך פסולת אין חילוק בין לאלתר לבין לאחר זמן, וביד מותר ובקנון ותמחוי פטור אבל </w:t>
      </w:r>
      <w:r w:rsidRPr="00944704">
        <w:rPr>
          <w:rFonts w:hint="cs"/>
          <w:rtl/>
        </w:rPr>
        <w:t xml:space="preserve">אסור ובנפה וכברה חייב, </w:t>
      </w:r>
      <w:r w:rsidRPr="00003397">
        <w:rPr>
          <w:rFonts w:hint="cs"/>
          <w:rtl/>
        </w:rPr>
        <w:t xml:space="preserve">אך כתב </w:t>
      </w:r>
      <w:r w:rsidRPr="009B1F18">
        <w:rPr>
          <w:rStyle w:val="aff4"/>
          <w:rFonts w:hint="cs"/>
          <w:vanish/>
          <w:rtl/>
        </w:rPr>
        <w:t>-</w:t>
      </w:r>
      <w:r w:rsidRPr="000D251D">
        <w:rPr>
          <w:rStyle w:val="aff4"/>
          <w:rFonts w:hint="cs"/>
          <w:rtl/>
        </w:rPr>
        <w:t>האגלי טל</w:t>
      </w:r>
      <w:r w:rsidRPr="009B1F18">
        <w:rPr>
          <w:rStyle w:val="aff4"/>
          <w:rFonts w:hint="cs"/>
          <w:vanish/>
          <w:rtl/>
        </w:rPr>
        <w:t>-</w:t>
      </w:r>
      <w:r w:rsidRPr="00003397">
        <w:rPr>
          <w:rFonts w:hint="cs"/>
          <w:rtl/>
        </w:rPr>
        <w:t xml:space="preserve"> דעדיין יש להסתפק באוכל מתוך </w:t>
      </w:r>
      <w:r>
        <w:rPr>
          <w:rFonts w:hint="cs"/>
          <w:rtl/>
        </w:rPr>
        <w:t xml:space="preserve">פסולת לאחר זמן, אי ס"ל </w:t>
      </w:r>
      <w:r w:rsidRPr="003D30D2">
        <w:rPr>
          <w:rStyle w:val="aff4"/>
          <w:rFonts w:hint="cs"/>
          <w:vanish/>
          <w:rtl/>
        </w:rPr>
        <w:t>-</w:t>
      </w:r>
      <w:r w:rsidRPr="00A30B60">
        <w:rPr>
          <w:rStyle w:val="aff4"/>
          <w:rFonts w:hint="cs"/>
          <w:rtl/>
        </w:rPr>
        <w:t>להתוס'</w:t>
      </w:r>
      <w:r w:rsidRPr="003D30D2">
        <w:rPr>
          <w:rStyle w:val="aff4"/>
          <w:rFonts w:hint="cs"/>
          <w:vanish/>
          <w:rtl/>
        </w:rPr>
        <w:t>-</w:t>
      </w:r>
      <w:r>
        <w:rPr>
          <w:rFonts w:hint="cs"/>
          <w:rtl/>
        </w:rPr>
        <w:t xml:space="preserve"> דביד מותר ובקנון ותמחוי אסור, כיון דהוא תלוי בספק בגמ' ולא נפשט להדיא, ואפש"ל דנשאר בספק.</w:t>
      </w:r>
      <w:r w:rsidRPr="007C1801">
        <w:rPr>
          <w:rStyle w:val="af"/>
          <w:rFonts w:hint="cs"/>
          <w:rtl/>
        </w:rPr>
        <w:t xml:space="preserve"> </w:t>
      </w:r>
      <w:r w:rsidRPr="000D251D">
        <w:rPr>
          <w:rStyle w:val="af"/>
          <w:rFonts w:hint="cs"/>
          <w:rtl/>
        </w:rPr>
        <w:t xml:space="preserve">[ועי' במ"ש </w:t>
      </w:r>
      <w:r w:rsidRPr="009B1F18">
        <w:rPr>
          <w:rStyle w:val="aff9"/>
          <w:rFonts w:hint="cs"/>
          <w:vanish/>
          <w:rtl/>
        </w:rPr>
        <w:t>-</w:t>
      </w:r>
      <w:r w:rsidRPr="009B1F18">
        <w:rPr>
          <w:rStyle w:val="aff9"/>
          <w:rFonts w:hint="cs"/>
          <w:rtl/>
        </w:rPr>
        <w:t xml:space="preserve">האגלי </w:t>
      </w:r>
      <w:r w:rsidRPr="009B1F18">
        <w:rPr>
          <w:rStyle w:val="aff9"/>
          <w:rFonts w:hint="cs"/>
          <w:rtl/>
        </w:rPr>
        <w:lastRenderedPageBreak/>
        <w:t>טל</w:t>
      </w:r>
      <w:r w:rsidRPr="009B1F18">
        <w:rPr>
          <w:rStyle w:val="aff9"/>
          <w:rFonts w:hint="cs"/>
          <w:vanish/>
          <w:rtl/>
        </w:rPr>
        <w:t>-</w:t>
      </w:r>
      <w:r w:rsidRPr="000D251D">
        <w:rPr>
          <w:rStyle w:val="af"/>
          <w:rFonts w:hint="cs"/>
          <w:rtl/>
        </w:rPr>
        <w:t xml:space="preserve"> </w:t>
      </w:r>
      <w:r w:rsidRPr="009B1F18">
        <w:rPr>
          <w:rStyle w:val="aff0"/>
          <w:rFonts w:hint="cs"/>
          <w:rtl/>
        </w:rPr>
        <w:t xml:space="preserve">(עי' אות </w:t>
      </w:r>
      <w:r w:rsidRPr="009B1F18">
        <w:rPr>
          <w:rStyle w:val="aff0"/>
          <w:rtl/>
        </w:rPr>
        <w:fldChar w:fldCharType="begin"/>
      </w:r>
      <w:r w:rsidRPr="009B1F18">
        <w:rPr>
          <w:rStyle w:val="aff0"/>
          <w:rtl/>
        </w:rPr>
        <w:instrText xml:space="preserve"> </w:instrText>
      </w:r>
      <w:r w:rsidRPr="009B1F18">
        <w:rPr>
          <w:rStyle w:val="aff0"/>
          <w:rFonts w:hint="cs"/>
        </w:rPr>
        <w:instrText>REF</w:instrText>
      </w:r>
      <w:r w:rsidRPr="009B1F18">
        <w:rPr>
          <w:rStyle w:val="aff0"/>
          <w:rFonts w:hint="cs"/>
          <w:rtl/>
        </w:rPr>
        <w:instrText xml:space="preserve"> _</w:instrText>
      </w:r>
      <w:r w:rsidRPr="009B1F18">
        <w:rPr>
          <w:rStyle w:val="aff0"/>
          <w:rFonts w:hint="cs"/>
        </w:rPr>
        <w:instrText>Ref138074008 \r \h</w:instrText>
      </w:r>
      <w:r w:rsidRPr="009B1F18">
        <w:rPr>
          <w:rStyle w:val="aff0"/>
          <w:rtl/>
        </w:rPr>
        <w:instrText xml:space="preserve"> </w:instrText>
      </w:r>
      <w:r w:rsidRPr="009B1F18">
        <w:rPr>
          <w:rStyle w:val="aff0"/>
          <w:rtl/>
        </w:rPr>
      </w:r>
      <w:r w:rsidRPr="009B1F18">
        <w:rPr>
          <w:rStyle w:val="aff0"/>
          <w:rtl/>
        </w:rPr>
        <w:fldChar w:fldCharType="separate"/>
      </w:r>
      <w:r w:rsidR="00D82181">
        <w:rPr>
          <w:rStyle w:val="aff0"/>
          <w:cs/>
        </w:rPr>
        <w:t>‎</w:t>
      </w:r>
      <w:r w:rsidR="00D82181">
        <w:rPr>
          <w:rStyle w:val="aff0"/>
          <w:rtl/>
        </w:rPr>
        <w:t>עט)</w:t>
      </w:r>
      <w:r w:rsidRPr="009B1F18">
        <w:rPr>
          <w:rStyle w:val="aff0"/>
          <w:rtl/>
        </w:rPr>
        <w:fldChar w:fldCharType="end"/>
      </w:r>
      <w:r w:rsidRPr="000D251D">
        <w:rPr>
          <w:rStyle w:val="af"/>
          <w:rFonts w:hint="cs"/>
          <w:rtl/>
        </w:rPr>
        <w:t xml:space="preserve"> דזהו הספק דרב אסי </w:t>
      </w:r>
      <w:r w:rsidRPr="009B1F18">
        <w:rPr>
          <w:rStyle w:val="aff9"/>
          <w:rFonts w:hint="cs"/>
          <w:vanish/>
          <w:rtl/>
        </w:rPr>
        <w:t>-</w:t>
      </w:r>
      <w:r w:rsidRPr="009B1F18">
        <w:rPr>
          <w:rStyle w:val="aff9"/>
          <w:rFonts w:hint="cs"/>
          <w:rtl/>
        </w:rPr>
        <w:t>לתוס'</w:t>
      </w:r>
      <w:r w:rsidRPr="009B1F18">
        <w:rPr>
          <w:rStyle w:val="aff9"/>
          <w:rFonts w:hint="cs"/>
          <w:vanish/>
          <w:rtl/>
        </w:rPr>
        <w:t>-</w:t>
      </w:r>
      <w:r w:rsidRPr="000D251D">
        <w:rPr>
          <w:rStyle w:val="af"/>
          <w:rFonts w:hint="cs"/>
          <w:rtl/>
        </w:rPr>
        <w:t xml:space="preserve">, ומקושית הגמ' בחזקיה משמע דנפשט לקולא, אך כתב </w:t>
      </w:r>
      <w:r w:rsidRPr="009B1F18">
        <w:rPr>
          <w:rStyle w:val="aff9"/>
          <w:rFonts w:hint="cs"/>
          <w:vanish/>
          <w:rtl/>
        </w:rPr>
        <w:t>-</w:t>
      </w:r>
      <w:r w:rsidRPr="009B1F18">
        <w:rPr>
          <w:rStyle w:val="aff9"/>
          <w:rFonts w:hint="cs"/>
          <w:rtl/>
        </w:rPr>
        <w:t>האגלי טל</w:t>
      </w:r>
      <w:r w:rsidRPr="009B1F18">
        <w:rPr>
          <w:rStyle w:val="aff9"/>
          <w:rFonts w:hint="cs"/>
          <w:vanish/>
          <w:rtl/>
        </w:rPr>
        <w:t>-</w:t>
      </w:r>
      <w:r w:rsidRPr="000D251D">
        <w:rPr>
          <w:rStyle w:val="af"/>
          <w:rFonts w:hint="cs"/>
          <w:rtl/>
        </w:rPr>
        <w:t xml:space="preserve"> דאי"ז מוכרח</w:t>
      </w:r>
      <w:r w:rsidRPr="00394BDA">
        <w:rPr>
          <w:rStyle w:val="af"/>
          <w:rFonts w:hint="cs"/>
          <w:rtl/>
        </w:rPr>
        <w:t>].</w:t>
      </w:r>
      <w:bookmarkEnd w:id="2558"/>
    </w:p>
    <w:p w14:paraId="0E68EEE1" w14:textId="77777777" w:rsidR="008925FD" w:rsidRPr="00747170" w:rsidRDefault="008925FD" w:rsidP="00747170">
      <w:pPr>
        <w:pStyle w:val="a2"/>
        <w:rPr>
          <w:rtl/>
        </w:rPr>
      </w:pPr>
      <w:r w:rsidRPr="00747170">
        <w:rPr>
          <w:rtl/>
        </w:rPr>
        <w:t>(יז) העולה מזה לשיטת התוס' פסולת מתוך אוכל לאחר זמן בין ביד בין בקנון ותמחוי וכ"ש בנפה וכברה חייב חטאת. פסולת מתוך אוכל לאלתר ביד מותר בקנון ותמחוי פטור בנפה וכברה חייב חטאת. אוכל מתוך פסולת אין חילוק בין לאלתר בין לאחר זמן ולעולם בנפה וכברה חייב חטאת. בקנון ותמחוי פטור אבל אסור. ביד מותר. ומ"מ אוכל מתוך פסולת ביד לאחר זמן אינו ברור התירו ביד ופטורו בקנון ותמחוי דלא איפשיט בהדיא וי"ל שנשאר בספק:</w:t>
      </w:r>
    </w:p>
    <w:p w14:paraId="6AA0D453" w14:textId="77777777" w:rsidR="008925FD" w:rsidRDefault="008925FD" w:rsidP="008925FD">
      <w:pPr>
        <w:pStyle w:val="afffff7"/>
        <w:rPr>
          <w:rtl/>
        </w:rPr>
      </w:pPr>
      <w:bookmarkStart w:id="2559" w:name="_Toc139277161"/>
      <w:bookmarkStart w:id="2560" w:name="_Toc163505864"/>
      <w:r>
        <w:rPr>
          <w:rtl/>
        </w:rPr>
        <w:t>אגלי טל בורר</w:t>
      </w:r>
      <w:r>
        <w:rPr>
          <w:rFonts w:hint="cs"/>
          <w:rtl/>
        </w:rPr>
        <w:t xml:space="preserve"> סק"א</w:t>
      </w:r>
      <w:r>
        <w:rPr>
          <w:rtl/>
        </w:rPr>
        <w:t xml:space="preserve"> אות </w:t>
      </w:r>
      <w:r>
        <w:rPr>
          <w:rFonts w:hint="cs"/>
          <w:rtl/>
        </w:rPr>
        <w:t>ט"ז</w:t>
      </w:r>
      <w:bookmarkEnd w:id="2559"/>
      <w:bookmarkEnd w:id="2560"/>
    </w:p>
    <w:p w14:paraId="36FE62E6" w14:textId="77777777" w:rsidR="008925FD" w:rsidRDefault="008925FD" w:rsidP="008925FD">
      <w:pPr>
        <w:pStyle w:val="a7"/>
        <w:rPr>
          <w:rtl/>
        </w:rPr>
      </w:pPr>
      <w:bookmarkStart w:id="2561" w:name="_Toc139277057"/>
      <w:r>
        <w:rPr>
          <w:rFonts w:hint="cs"/>
          <w:rtl/>
        </w:rPr>
        <w:t>בי' האגל"ט בתוס' דלאח"ז בנפה וכברה חייב אף באוכל מתוך פסולת דהוא דרך ברירה</w:t>
      </w:r>
      <w:bookmarkEnd w:id="2561"/>
    </w:p>
    <w:p w14:paraId="5824D6DD" w14:textId="64DB88A5" w:rsidR="008925FD" w:rsidRPr="007D2643" w:rsidRDefault="008925FD" w:rsidP="00BC7DC8">
      <w:pPr>
        <w:pStyle w:val="a3"/>
      </w:pPr>
      <w:bookmarkStart w:id="2562" w:name="_Ref139011818"/>
      <w:r>
        <w:rPr>
          <w:rFonts w:hint="cs"/>
          <w:rtl/>
        </w:rPr>
        <w:t xml:space="preserve">וכתב </w:t>
      </w:r>
      <w:r w:rsidRPr="003F71D3">
        <w:rPr>
          <w:rStyle w:val="aff4"/>
          <w:rFonts w:hint="cs"/>
          <w:vanish/>
          <w:rtl/>
        </w:rPr>
        <w:t>-</w:t>
      </w:r>
      <w:r w:rsidRPr="00194A43">
        <w:rPr>
          <w:rStyle w:val="aff4"/>
          <w:rFonts w:hint="cs"/>
          <w:rtl/>
        </w:rPr>
        <w:t>ה</w:t>
      </w:r>
      <w:r w:rsidRPr="002039D1">
        <w:rPr>
          <w:rStyle w:val="aff4"/>
          <w:rFonts w:hint="cs"/>
          <w:vanish/>
          <w:rtl/>
        </w:rPr>
        <w:t xml:space="preserve">&lt;. </w:t>
      </w:r>
      <w:r w:rsidRPr="002039D1">
        <w:rPr>
          <w:rStyle w:val="aff4"/>
          <w:vanish/>
          <w:rtl/>
        </w:rPr>
        <w:fldChar w:fldCharType="begin"/>
      </w:r>
      <w:r w:rsidRPr="002039D1">
        <w:rPr>
          <w:rStyle w:val="aff4"/>
          <w:vanish/>
          <w:rtl/>
        </w:rPr>
        <w:instrText xml:space="preserve"> </w:instrText>
      </w:r>
      <w:r w:rsidRPr="002039D1">
        <w:rPr>
          <w:rStyle w:val="aff4"/>
          <w:rFonts w:hint="cs"/>
          <w:vanish/>
        </w:rPr>
        <w:instrText>REF</w:instrText>
      </w:r>
      <w:r w:rsidRPr="002039D1">
        <w:rPr>
          <w:rStyle w:val="aff4"/>
          <w:rFonts w:hint="cs"/>
          <w:vanish/>
          <w:rtl/>
        </w:rPr>
        <w:instrText xml:space="preserve"> _</w:instrText>
      </w:r>
      <w:r w:rsidRPr="002039D1">
        <w:rPr>
          <w:rStyle w:val="aff4"/>
          <w:rFonts w:hint="cs"/>
          <w:vanish/>
        </w:rPr>
        <w:instrText>Ref139011818 \r \h</w:instrText>
      </w:r>
      <w:r w:rsidRPr="002039D1">
        <w:rPr>
          <w:rStyle w:val="aff4"/>
          <w:vanish/>
          <w:rtl/>
        </w:rPr>
        <w:instrText xml:space="preserve"> </w:instrText>
      </w:r>
      <w:r>
        <w:rPr>
          <w:rStyle w:val="aff4"/>
          <w:vanish/>
          <w:rtl/>
        </w:rPr>
        <w:instrText xml:space="preserve"> \* </w:instrText>
      </w:r>
      <w:r>
        <w:rPr>
          <w:rStyle w:val="aff4"/>
          <w:vanish/>
        </w:rPr>
        <w:instrText>MERGEFORMAT</w:instrText>
      </w:r>
      <w:r>
        <w:rPr>
          <w:rStyle w:val="aff4"/>
          <w:vanish/>
          <w:rtl/>
        </w:rPr>
        <w:instrText xml:space="preserve"> </w:instrText>
      </w:r>
      <w:r w:rsidRPr="002039D1">
        <w:rPr>
          <w:rStyle w:val="aff4"/>
          <w:vanish/>
          <w:rtl/>
        </w:rPr>
      </w:r>
      <w:r w:rsidRPr="002039D1">
        <w:rPr>
          <w:rStyle w:val="aff4"/>
          <w:vanish/>
          <w:rtl/>
        </w:rPr>
        <w:fldChar w:fldCharType="separate"/>
      </w:r>
      <w:r w:rsidR="00D82181">
        <w:rPr>
          <w:rStyle w:val="aff4"/>
          <w:vanish/>
          <w:cs/>
        </w:rPr>
        <w:t>‎</w:t>
      </w:r>
      <w:r w:rsidR="00D82181">
        <w:rPr>
          <w:rStyle w:val="aff4"/>
          <w:vanish/>
          <w:rtl/>
        </w:rPr>
        <w:t>יח)</w:t>
      </w:r>
      <w:r w:rsidRPr="002039D1">
        <w:rPr>
          <w:rStyle w:val="aff4"/>
          <w:vanish/>
          <w:rtl/>
        </w:rPr>
        <w:fldChar w:fldCharType="end"/>
      </w:r>
      <w:r w:rsidRPr="002039D1">
        <w:rPr>
          <w:rStyle w:val="aff4"/>
          <w:rFonts w:hint="cs"/>
          <w:vanish/>
          <w:rtl/>
        </w:rPr>
        <w:t xml:space="preserve"> &gt;</w:t>
      </w:r>
      <w:r w:rsidRPr="00194A43">
        <w:rPr>
          <w:rStyle w:val="aff4"/>
          <w:rFonts w:hint="cs"/>
          <w:rtl/>
        </w:rPr>
        <w:t>אגלי טל</w:t>
      </w:r>
      <w:r w:rsidRPr="003F71D3">
        <w:rPr>
          <w:rStyle w:val="aff4"/>
          <w:rFonts w:hint="cs"/>
          <w:vanish/>
          <w:rtl/>
        </w:rPr>
        <w:t>-</w:t>
      </w:r>
      <w:r>
        <w:rPr>
          <w:rFonts w:hint="cs"/>
          <w:rtl/>
        </w:rPr>
        <w:t xml:space="preserve"> </w:t>
      </w:r>
      <w:r w:rsidRPr="000D251D">
        <w:rPr>
          <w:rStyle w:val="af2"/>
          <w:rFonts w:eastAsia="Guttman Hodes" w:hint="cs"/>
          <w:rtl/>
        </w:rPr>
        <w:t>(בורר סק"א אות ט"ז סוד"ה שיטת)</w:t>
      </w:r>
      <w:r w:rsidRPr="003F71D3">
        <w:rPr>
          <w:rFonts w:hint="cs"/>
          <w:vanish/>
          <w:rtl/>
        </w:rPr>
        <w:t>=</w:t>
      </w:r>
      <w:r>
        <w:rPr>
          <w:rFonts w:hint="cs"/>
          <w:rtl/>
        </w:rPr>
        <w:t xml:space="preserve"> </w:t>
      </w:r>
      <w:bookmarkEnd w:id="2562"/>
      <w:r>
        <w:rPr>
          <w:rFonts w:hint="cs"/>
          <w:rtl/>
        </w:rPr>
        <w:t xml:space="preserve">דאף </w:t>
      </w:r>
      <w:r w:rsidRPr="003F71D3">
        <w:rPr>
          <w:rStyle w:val="aff4"/>
          <w:rFonts w:hint="cs"/>
          <w:vanish/>
          <w:rtl/>
        </w:rPr>
        <w:t>-</w:t>
      </w:r>
      <w:r>
        <w:rPr>
          <w:rStyle w:val="aff4"/>
          <w:rFonts w:hint="cs"/>
          <w:rtl/>
        </w:rPr>
        <w:t>ד</w:t>
      </w:r>
      <w:r w:rsidRPr="00194A43">
        <w:rPr>
          <w:rStyle w:val="aff4"/>
          <w:rFonts w:hint="cs"/>
          <w:rtl/>
        </w:rPr>
        <w:t>לתוס'</w:t>
      </w:r>
      <w:r w:rsidRPr="003F71D3">
        <w:rPr>
          <w:rStyle w:val="aff4"/>
          <w:rFonts w:hint="cs"/>
          <w:vanish/>
          <w:rtl/>
        </w:rPr>
        <w:t>-</w:t>
      </w:r>
      <w:r>
        <w:rPr>
          <w:rFonts w:hint="cs"/>
          <w:rtl/>
        </w:rPr>
        <w:t xml:space="preserve"> דאוכל מתוך פסולת מותר לאחר זמן, מ"מ ההיתר רק ביד, אבל בנפה וכברה חייב, דאי אמרינן </w:t>
      </w:r>
      <w:r w:rsidRPr="00666E77">
        <w:rPr>
          <w:rFonts w:hint="cs"/>
          <w:rtl/>
        </w:rPr>
        <w:t xml:space="preserve">דהדבר שמתברר הוא מה שלמטה, </w:t>
      </w:r>
      <w:r w:rsidRPr="000D251D">
        <w:rPr>
          <w:rStyle w:val="af"/>
          <w:rFonts w:hint="cs"/>
          <w:rtl/>
        </w:rPr>
        <w:t>[</w:t>
      </w:r>
      <w:r>
        <w:rPr>
          <w:rStyle w:val="af"/>
          <w:rFonts w:hint="cs"/>
          <w:rtl/>
        </w:rPr>
        <w:t xml:space="preserve">כדביאר </w:t>
      </w:r>
      <w:r w:rsidRPr="00991707">
        <w:rPr>
          <w:rStyle w:val="aff9"/>
          <w:rFonts w:hint="cs"/>
          <w:vanish/>
          <w:rtl/>
        </w:rPr>
        <w:t>-</w:t>
      </w:r>
      <w:r w:rsidRPr="00991707">
        <w:rPr>
          <w:rStyle w:val="aff9"/>
          <w:rFonts w:hint="cs"/>
          <w:rtl/>
        </w:rPr>
        <w:t>האגלי טל</w:t>
      </w:r>
      <w:r w:rsidRPr="00991707">
        <w:rPr>
          <w:rStyle w:val="aff9"/>
          <w:rFonts w:hint="cs"/>
          <w:vanish/>
          <w:rtl/>
        </w:rPr>
        <w:t>-</w:t>
      </w:r>
      <w:r>
        <w:rPr>
          <w:rStyle w:val="af"/>
          <w:rFonts w:hint="cs"/>
          <w:rtl/>
        </w:rPr>
        <w:t xml:space="preserve"> </w:t>
      </w:r>
      <w:r w:rsidRPr="00991707">
        <w:rPr>
          <w:rStyle w:val="aff0"/>
          <w:rFonts w:hint="cs"/>
          <w:rtl/>
        </w:rPr>
        <w:t xml:space="preserve">(בורר סק"ה אות </w:t>
      </w:r>
      <w:r>
        <w:rPr>
          <w:rStyle w:val="aff0"/>
          <w:rFonts w:hint="cs"/>
          <w:rtl/>
        </w:rPr>
        <w:t>ז</w:t>
      </w:r>
      <w:r w:rsidRPr="00991707">
        <w:rPr>
          <w:rStyle w:val="aff0"/>
          <w:rFonts w:hint="cs"/>
          <w:rtl/>
        </w:rPr>
        <w:t>')</w:t>
      </w:r>
      <w:r>
        <w:rPr>
          <w:rStyle w:val="af"/>
          <w:rFonts w:hint="cs"/>
          <w:rtl/>
        </w:rPr>
        <w:t xml:space="preserve"> ב</w:t>
      </w:r>
      <w:r w:rsidRPr="000D251D">
        <w:rPr>
          <w:rStyle w:val="af"/>
          <w:rFonts w:hint="cs"/>
          <w:rtl/>
        </w:rPr>
        <w:t xml:space="preserve">דעת </w:t>
      </w:r>
      <w:r w:rsidRPr="009B1F18">
        <w:rPr>
          <w:rStyle w:val="aff9"/>
          <w:rFonts w:hint="cs"/>
          <w:vanish/>
          <w:rtl/>
        </w:rPr>
        <w:t>-</w:t>
      </w:r>
      <w:r w:rsidRPr="009B1F18">
        <w:rPr>
          <w:rStyle w:val="aff9"/>
          <w:rFonts w:hint="cs"/>
          <w:rtl/>
        </w:rPr>
        <w:t>התוס' רי"</w:t>
      </w:r>
      <w:r>
        <w:rPr>
          <w:rStyle w:val="aff9"/>
          <w:rFonts w:hint="cs"/>
          <w:rtl/>
        </w:rPr>
        <w:t>ד</w:t>
      </w:r>
      <w:r w:rsidRPr="009B1F18">
        <w:rPr>
          <w:rStyle w:val="aff9"/>
          <w:rFonts w:hint="cs"/>
          <w:vanish/>
          <w:rtl/>
        </w:rPr>
        <w:t>-</w:t>
      </w:r>
      <w:r w:rsidRPr="00394BDA">
        <w:rPr>
          <w:rStyle w:val="af"/>
          <w:rFonts w:hint="cs"/>
          <w:rtl/>
        </w:rPr>
        <w:t>],</w:t>
      </w:r>
      <w:r w:rsidRPr="00666E77">
        <w:rPr>
          <w:rFonts w:hint="cs"/>
          <w:rtl/>
        </w:rPr>
        <w:t xml:space="preserve"> א"כ </w:t>
      </w:r>
      <w:r>
        <w:rPr>
          <w:rFonts w:hint="cs"/>
          <w:rtl/>
        </w:rPr>
        <w:t>הוא בכלל</w:t>
      </w:r>
      <w:r w:rsidRPr="00666E77">
        <w:rPr>
          <w:rFonts w:hint="cs"/>
          <w:rtl/>
        </w:rPr>
        <w:t xml:space="preserve"> מרקד </w:t>
      </w:r>
      <w:r>
        <w:rPr>
          <w:rFonts w:hint="cs"/>
          <w:rtl/>
        </w:rPr>
        <w:t xml:space="preserve">ואי </w:t>
      </w:r>
      <w:r w:rsidRPr="00666E77">
        <w:rPr>
          <w:rFonts w:hint="cs"/>
          <w:rtl/>
        </w:rPr>
        <w:t xml:space="preserve">הדבר שמתברר הוא מה שנשאר למעלה, </w:t>
      </w:r>
      <w:r w:rsidRPr="000D251D">
        <w:rPr>
          <w:rStyle w:val="af"/>
          <w:rFonts w:hint="cs"/>
          <w:rtl/>
        </w:rPr>
        <w:t>[</w:t>
      </w:r>
      <w:r>
        <w:rPr>
          <w:rStyle w:val="af"/>
          <w:rFonts w:hint="cs"/>
          <w:rtl/>
        </w:rPr>
        <w:t xml:space="preserve">כדביאר </w:t>
      </w:r>
      <w:r w:rsidRPr="00991707">
        <w:rPr>
          <w:rStyle w:val="aff9"/>
          <w:rFonts w:hint="cs"/>
          <w:vanish/>
          <w:rtl/>
        </w:rPr>
        <w:t>-</w:t>
      </w:r>
      <w:r w:rsidRPr="00991707">
        <w:rPr>
          <w:rStyle w:val="aff9"/>
          <w:rFonts w:hint="cs"/>
          <w:rtl/>
        </w:rPr>
        <w:t>האגלי טל</w:t>
      </w:r>
      <w:r w:rsidRPr="00991707">
        <w:rPr>
          <w:rStyle w:val="aff9"/>
          <w:rFonts w:hint="cs"/>
          <w:vanish/>
          <w:rtl/>
        </w:rPr>
        <w:t>-</w:t>
      </w:r>
      <w:r>
        <w:rPr>
          <w:rStyle w:val="af"/>
          <w:rFonts w:hint="cs"/>
          <w:rtl/>
        </w:rPr>
        <w:t xml:space="preserve"> </w:t>
      </w:r>
      <w:r w:rsidRPr="00991707">
        <w:rPr>
          <w:rStyle w:val="aff0"/>
          <w:rFonts w:hint="cs"/>
          <w:rtl/>
        </w:rPr>
        <w:t>(בורר סק"ה אות ב')</w:t>
      </w:r>
      <w:r>
        <w:rPr>
          <w:rStyle w:val="af"/>
          <w:rFonts w:hint="cs"/>
          <w:rtl/>
        </w:rPr>
        <w:t xml:space="preserve"> ב</w:t>
      </w:r>
      <w:r w:rsidRPr="000D251D">
        <w:rPr>
          <w:rStyle w:val="af"/>
          <w:rFonts w:hint="cs"/>
          <w:rtl/>
        </w:rPr>
        <w:t xml:space="preserve">דעת </w:t>
      </w:r>
      <w:r w:rsidRPr="009B1F18">
        <w:rPr>
          <w:rStyle w:val="aff9"/>
          <w:rFonts w:hint="cs"/>
          <w:vanish/>
          <w:rtl/>
        </w:rPr>
        <w:t>-</w:t>
      </w:r>
      <w:r w:rsidRPr="009B1F18">
        <w:rPr>
          <w:rStyle w:val="aff9"/>
          <w:rFonts w:hint="cs"/>
          <w:rtl/>
        </w:rPr>
        <w:t>רוב הפוסקים</w:t>
      </w:r>
      <w:r w:rsidRPr="009B1F18">
        <w:rPr>
          <w:rStyle w:val="aff9"/>
          <w:rFonts w:hint="cs"/>
          <w:vanish/>
          <w:rtl/>
        </w:rPr>
        <w:t>-</w:t>
      </w:r>
      <w:r w:rsidRPr="00394BDA">
        <w:rPr>
          <w:rStyle w:val="af"/>
          <w:rFonts w:hint="cs"/>
          <w:rtl/>
        </w:rPr>
        <w:t>],</w:t>
      </w:r>
      <w:r w:rsidRPr="00666E77">
        <w:rPr>
          <w:rFonts w:hint="cs"/>
          <w:rtl/>
        </w:rPr>
        <w:t xml:space="preserve"> </w:t>
      </w:r>
      <w:r>
        <w:rPr>
          <w:rFonts w:hint="cs"/>
          <w:rtl/>
        </w:rPr>
        <w:t xml:space="preserve">הא מפורש בגמ' לקמן </w:t>
      </w:r>
      <w:r w:rsidRPr="000D251D">
        <w:rPr>
          <w:rStyle w:val="af2"/>
          <w:rFonts w:eastAsia="Guttman Hodes" w:hint="cs"/>
          <w:rtl/>
        </w:rPr>
        <w:t>(קלח.)</w:t>
      </w:r>
      <w:r>
        <w:rPr>
          <w:rFonts w:hint="cs"/>
          <w:rtl/>
        </w:rPr>
        <w:t xml:space="preserve"> דבקיטנית דהאוכל למעלה הוא בורר בנפה וכברה דחייב.</w:t>
      </w:r>
    </w:p>
    <w:p w14:paraId="1853B6CD" w14:textId="77777777" w:rsidR="008925FD" w:rsidRPr="00747170" w:rsidRDefault="008925FD" w:rsidP="00747170">
      <w:pPr>
        <w:pStyle w:val="a2"/>
        <w:rPr>
          <w:rtl/>
        </w:rPr>
      </w:pPr>
      <w:r w:rsidRPr="00747170">
        <w:rPr>
          <w:rtl/>
        </w:rPr>
        <w:t>מיהו ה"מ ביד אבל בנפה וכברה ממ"נ אם היורד למטה הוא המתברר הרי מרקד אוכל מתוך פסולת. ואי הנשאר בכלי בידו הוא המתברר הרי בורר בנפה וכברה אוכל מתוך פסולת. כמפורש בפ' תולין דבורר קטניות הפסולת למטה עי"ש.</w:t>
      </w:r>
    </w:p>
    <w:p w14:paraId="5E989A22" w14:textId="77777777" w:rsidR="008925FD" w:rsidRDefault="008925FD" w:rsidP="008925FD">
      <w:pPr>
        <w:pStyle w:val="a7"/>
        <w:rPr>
          <w:rtl/>
        </w:rPr>
      </w:pPr>
      <w:bookmarkStart w:id="2563" w:name="_Toc139277058"/>
      <w:r>
        <w:rPr>
          <w:rFonts w:hint="cs"/>
          <w:rtl/>
        </w:rPr>
        <w:t>ספק האגל"ט בתוס' באוכל מתוך פסולת בנפה וכברה לאלתר ובי' האגל"ט דמוכח בתוס' דחייב</w:t>
      </w:r>
      <w:bookmarkEnd w:id="2563"/>
    </w:p>
    <w:p w14:paraId="1F5DE504" w14:textId="0F0BA104" w:rsidR="008925FD" w:rsidRDefault="008925FD" w:rsidP="00BC7DC8">
      <w:pPr>
        <w:pStyle w:val="a3"/>
      </w:pPr>
      <w:bookmarkStart w:id="2564" w:name="_Ref139187265"/>
      <w:r>
        <w:rPr>
          <w:rFonts w:hint="cs"/>
          <w:rtl/>
        </w:rPr>
        <w:t xml:space="preserve">וכתב </w:t>
      </w:r>
      <w:r w:rsidRPr="00194A43">
        <w:rPr>
          <w:rStyle w:val="aff4"/>
          <w:rFonts w:hint="cs"/>
          <w:vanish/>
          <w:rtl/>
        </w:rPr>
        <w:t>-</w:t>
      </w:r>
      <w:r w:rsidRPr="00194A43">
        <w:rPr>
          <w:rStyle w:val="aff4"/>
          <w:rFonts w:hint="cs"/>
          <w:rtl/>
        </w:rPr>
        <w:t>האגלי טל</w:t>
      </w:r>
      <w:r w:rsidRPr="00194A43">
        <w:rPr>
          <w:rStyle w:val="aff4"/>
          <w:rFonts w:hint="cs"/>
          <w:vanish/>
          <w:rtl/>
        </w:rPr>
        <w:t>-</w:t>
      </w:r>
      <w:r>
        <w:rPr>
          <w:rFonts w:hint="cs"/>
          <w:rtl/>
        </w:rPr>
        <w:t xml:space="preserve"> דמסברא יש להסתפק בדעת </w:t>
      </w:r>
      <w:r w:rsidRPr="00194A43">
        <w:rPr>
          <w:rStyle w:val="aff4"/>
          <w:rFonts w:hint="cs"/>
          <w:vanish/>
          <w:rtl/>
        </w:rPr>
        <w:t>-</w:t>
      </w:r>
      <w:r w:rsidRPr="00194A43">
        <w:rPr>
          <w:rStyle w:val="aff4"/>
          <w:rFonts w:hint="cs"/>
          <w:rtl/>
        </w:rPr>
        <w:t>התוס'</w:t>
      </w:r>
      <w:r w:rsidRPr="00194A43">
        <w:rPr>
          <w:rStyle w:val="aff4"/>
          <w:rFonts w:hint="cs"/>
          <w:vanish/>
          <w:rtl/>
        </w:rPr>
        <w:t>-</w:t>
      </w:r>
      <w:r>
        <w:rPr>
          <w:rFonts w:hint="cs"/>
          <w:rtl/>
        </w:rPr>
        <w:t xml:space="preserve"> באוכל מתוך פסולת בנפה וכברה לאלתר, דאפש"ל דהא דבנפה וכברה לאלתר חייב, הוא דוקא בפסולת מתוך אוכל דהוא תרתי לריעותא, אך כתב </w:t>
      </w:r>
      <w:r w:rsidRPr="00194A43">
        <w:rPr>
          <w:rStyle w:val="aff4"/>
          <w:rFonts w:hint="cs"/>
          <w:vanish/>
          <w:rtl/>
        </w:rPr>
        <w:t>-</w:t>
      </w:r>
      <w:r w:rsidRPr="00194A43">
        <w:rPr>
          <w:rStyle w:val="aff4"/>
          <w:rFonts w:hint="cs"/>
          <w:rtl/>
        </w:rPr>
        <w:t>האגלי טל</w:t>
      </w:r>
      <w:r w:rsidRPr="00194A43">
        <w:rPr>
          <w:rStyle w:val="aff4"/>
          <w:rFonts w:hint="cs"/>
          <w:vanish/>
          <w:rtl/>
        </w:rPr>
        <w:t>-</w:t>
      </w:r>
      <w:r>
        <w:rPr>
          <w:rFonts w:hint="cs"/>
          <w:rtl/>
        </w:rPr>
        <w:t xml:space="preserve"> דמוכח דאף לאלתר ס"ל </w:t>
      </w:r>
      <w:r w:rsidRPr="00194A43">
        <w:rPr>
          <w:rStyle w:val="aff4"/>
          <w:rFonts w:hint="cs"/>
          <w:vanish/>
          <w:rtl/>
        </w:rPr>
        <w:t>-</w:t>
      </w:r>
      <w:r w:rsidRPr="00194A43">
        <w:rPr>
          <w:rStyle w:val="aff4"/>
          <w:rFonts w:hint="cs"/>
          <w:rtl/>
        </w:rPr>
        <w:t>לתוס'</w:t>
      </w:r>
      <w:r w:rsidRPr="00194A43">
        <w:rPr>
          <w:rStyle w:val="aff4"/>
          <w:rFonts w:hint="cs"/>
          <w:vanish/>
          <w:rtl/>
        </w:rPr>
        <w:t>-</w:t>
      </w:r>
      <w:r>
        <w:rPr>
          <w:rFonts w:hint="cs"/>
          <w:rtl/>
        </w:rPr>
        <w:t xml:space="preserve"> דבנפה וכברה חייב, דהא הקשו </w:t>
      </w:r>
      <w:r w:rsidRPr="00194A43">
        <w:rPr>
          <w:rStyle w:val="aff4"/>
          <w:rFonts w:hint="cs"/>
          <w:vanish/>
          <w:rtl/>
        </w:rPr>
        <w:t>-</w:t>
      </w:r>
      <w:r w:rsidRPr="00194A43">
        <w:rPr>
          <w:rStyle w:val="aff4"/>
          <w:rFonts w:hint="cs"/>
          <w:rtl/>
        </w:rPr>
        <w:t>התוס'</w:t>
      </w:r>
      <w:r w:rsidRPr="00194A43">
        <w:rPr>
          <w:rStyle w:val="aff4"/>
          <w:rFonts w:hint="cs"/>
          <w:vanish/>
          <w:rtl/>
        </w:rPr>
        <w:t>-</w:t>
      </w:r>
      <w:r>
        <w:rPr>
          <w:rFonts w:hint="cs"/>
          <w:rtl/>
        </w:rPr>
        <w:t xml:space="preserve"> </w:t>
      </w:r>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Ref138664935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נא)</w:t>
      </w:r>
      <w:r>
        <w:rPr>
          <w:rStyle w:val="af2"/>
          <w:rFonts w:eastAsia="Guttman Hodes"/>
          <w:rtl/>
        </w:rPr>
        <w:fldChar w:fldCharType="end"/>
      </w:r>
      <w:r>
        <w:rPr>
          <w:rFonts w:hint="cs"/>
          <w:rtl/>
        </w:rPr>
        <w:t xml:space="preserve"> על </w:t>
      </w:r>
      <w:r w:rsidRPr="00194A43">
        <w:rPr>
          <w:rStyle w:val="aff4"/>
          <w:rFonts w:hint="cs"/>
          <w:vanish/>
          <w:rtl/>
        </w:rPr>
        <w:t>-</w:t>
      </w:r>
      <w:r w:rsidRPr="00194A43">
        <w:rPr>
          <w:rStyle w:val="aff4"/>
          <w:rFonts w:hint="cs"/>
          <w:rtl/>
        </w:rPr>
        <w:t>רש"י</w:t>
      </w:r>
      <w:r w:rsidRPr="00194A43">
        <w:rPr>
          <w:rStyle w:val="aff4"/>
          <w:rFonts w:hint="cs"/>
          <w:vanish/>
          <w:rtl/>
        </w:rPr>
        <w:t>-</w:t>
      </w:r>
      <w:r>
        <w:rPr>
          <w:rFonts w:hint="cs"/>
          <w:rtl/>
        </w:rPr>
        <w:t xml:space="preserve"> </w:t>
      </w:r>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Ref138664935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נא)</w:t>
      </w:r>
      <w:r>
        <w:rPr>
          <w:rStyle w:val="af2"/>
          <w:rFonts w:eastAsia="Guttman Hodes"/>
          <w:rtl/>
        </w:rPr>
        <w:fldChar w:fldCharType="end"/>
      </w:r>
      <w:r>
        <w:rPr>
          <w:rFonts w:hint="cs"/>
          <w:rtl/>
        </w:rPr>
        <w:t xml:space="preserve"> דמתיר בנפה וכברה לאלתר, מהמשנה בביצה דאוסרת בקיטנית בנפה וכברה ומשמע דאף לאלתר אסור, ואי ס"ל </w:t>
      </w:r>
      <w:r w:rsidRPr="00194A43">
        <w:rPr>
          <w:rStyle w:val="aff4"/>
          <w:rFonts w:hint="cs"/>
          <w:vanish/>
          <w:rtl/>
        </w:rPr>
        <w:t>-</w:t>
      </w:r>
      <w:r w:rsidRPr="00194A43">
        <w:rPr>
          <w:rStyle w:val="aff4"/>
          <w:rFonts w:hint="cs"/>
          <w:rtl/>
        </w:rPr>
        <w:t>לתוס'</w:t>
      </w:r>
      <w:r w:rsidRPr="00194A43">
        <w:rPr>
          <w:rStyle w:val="aff4"/>
          <w:rFonts w:hint="cs"/>
          <w:vanish/>
          <w:rtl/>
        </w:rPr>
        <w:t>-</w:t>
      </w:r>
      <w:r>
        <w:rPr>
          <w:rFonts w:hint="cs"/>
          <w:rtl/>
        </w:rPr>
        <w:t xml:space="preserve"> דהברירה היא במה שלמטה והוי פסולת מתוך אוכל, א"כ לא קשה </w:t>
      </w:r>
      <w:r w:rsidRPr="00194A43">
        <w:rPr>
          <w:rStyle w:val="aff4"/>
          <w:rFonts w:hint="cs"/>
          <w:vanish/>
          <w:rtl/>
        </w:rPr>
        <w:t>-</w:t>
      </w:r>
      <w:r w:rsidRPr="00194A43">
        <w:rPr>
          <w:rStyle w:val="aff4"/>
          <w:rFonts w:hint="cs"/>
          <w:rtl/>
        </w:rPr>
        <w:t>לרש"י</w:t>
      </w:r>
      <w:r w:rsidRPr="00194A43">
        <w:rPr>
          <w:rStyle w:val="aff4"/>
          <w:rFonts w:hint="cs"/>
          <w:vanish/>
          <w:rtl/>
        </w:rPr>
        <w:t>-</w:t>
      </w:r>
      <w:r>
        <w:rPr>
          <w:rFonts w:hint="cs"/>
          <w:rtl/>
        </w:rPr>
        <w:t xml:space="preserve"> דהא מודה בפסולת מתוך אוכל דאסור אף לאלתר</w:t>
      </w:r>
      <w:r>
        <w:rPr>
          <w:rStyle w:val="af"/>
          <w:rFonts w:hint="cs"/>
          <w:rtl/>
        </w:rPr>
        <w:t>,</w:t>
      </w:r>
      <w:r w:rsidRPr="00F07135">
        <w:rPr>
          <w:rStyle w:val="af"/>
          <w:rFonts w:hint="cs"/>
          <w:rtl/>
        </w:rPr>
        <w:t xml:space="preserve"> </w:t>
      </w:r>
      <w:r w:rsidRPr="000D251D">
        <w:rPr>
          <w:rStyle w:val="af"/>
          <w:rFonts w:hint="cs"/>
          <w:rtl/>
        </w:rPr>
        <w:t xml:space="preserve">[כדביאר </w:t>
      </w:r>
      <w:r w:rsidRPr="009B1F18">
        <w:rPr>
          <w:rStyle w:val="aff9"/>
          <w:rFonts w:hint="cs"/>
          <w:vanish/>
          <w:rtl/>
        </w:rPr>
        <w:t>-</w:t>
      </w:r>
      <w:r w:rsidRPr="009B1F18">
        <w:rPr>
          <w:rStyle w:val="aff9"/>
          <w:rFonts w:hint="cs"/>
          <w:rtl/>
        </w:rPr>
        <w:t>האגלי טל</w:t>
      </w:r>
      <w:r w:rsidRPr="009B1F18">
        <w:rPr>
          <w:rStyle w:val="aff9"/>
          <w:rFonts w:hint="cs"/>
          <w:vanish/>
          <w:rtl/>
        </w:rPr>
        <w:t>-</w:t>
      </w:r>
      <w:r w:rsidRPr="000D251D">
        <w:rPr>
          <w:rStyle w:val="af"/>
          <w:rFonts w:hint="cs"/>
          <w:rtl/>
        </w:rPr>
        <w:t xml:space="preserve"> </w:t>
      </w:r>
      <w:r w:rsidRPr="009B1F18">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Ref138969486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עה)</w:t>
      </w:r>
      <w:r>
        <w:rPr>
          <w:rStyle w:val="aff0"/>
          <w:rtl/>
        </w:rPr>
        <w:fldChar w:fldCharType="end"/>
      </w:r>
      <w:r w:rsidRPr="000D251D">
        <w:rPr>
          <w:rStyle w:val="af"/>
          <w:rFonts w:hint="cs"/>
          <w:rtl/>
        </w:rPr>
        <w:t xml:space="preserve"> </w:t>
      </w:r>
      <w:r w:rsidRPr="009B1F18">
        <w:rPr>
          <w:rStyle w:val="aff9"/>
          <w:rFonts w:hint="cs"/>
          <w:vanish/>
          <w:rtl/>
        </w:rPr>
        <w:t>-</w:t>
      </w:r>
      <w:r w:rsidRPr="009B1F18">
        <w:rPr>
          <w:rStyle w:val="aff9"/>
          <w:rFonts w:hint="cs"/>
          <w:rtl/>
        </w:rPr>
        <w:t>ברש"י</w:t>
      </w:r>
      <w:r w:rsidRPr="009B1F18">
        <w:rPr>
          <w:rStyle w:val="aff9"/>
          <w:rFonts w:hint="cs"/>
          <w:vanish/>
          <w:rtl/>
        </w:rPr>
        <w:t>-</w:t>
      </w:r>
      <w:r w:rsidRPr="000D251D">
        <w:rPr>
          <w:rStyle w:val="af"/>
          <w:rFonts w:hint="cs"/>
          <w:rtl/>
        </w:rPr>
        <w:t xml:space="preserve"> </w:t>
      </w:r>
      <w:r w:rsidRPr="009B1F18">
        <w:rPr>
          <w:rStyle w:val="aff0"/>
          <w:rFonts w:hint="cs"/>
          <w:rtl/>
        </w:rPr>
        <w:t>(</w:t>
      </w:r>
      <w:r w:rsidRPr="00CD32D9">
        <w:rPr>
          <w:rStyle w:val="aff0"/>
          <w:rtl/>
        </w:rPr>
        <w:t>ד"ה</w:t>
      </w:r>
      <w:r>
        <w:rPr>
          <w:rStyle w:val="aff0"/>
          <w:rFonts w:hint="cs"/>
          <w:rtl/>
        </w:rPr>
        <w:t xml:space="preserve"> </w:t>
      </w:r>
      <w:r w:rsidRPr="00CD32D9">
        <w:rPr>
          <w:rStyle w:val="aff0"/>
          <w:rtl/>
        </w:rPr>
        <w:t>שדא</w:t>
      </w:r>
      <w:r w:rsidRPr="009B1F18">
        <w:rPr>
          <w:rStyle w:val="aff0"/>
          <w:rFonts w:hint="cs"/>
          <w:rtl/>
        </w:rPr>
        <w:t>)</w:t>
      </w:r>
      <w:r w:rsidRPr="000D251D">
        <w:rPr>
          <w:rStyle w:val="af"/>
          <w:rFonts w:hint="cs"/>
          <w:rtl/>
        </w:rPr>
        <w:t xml:space="preserve">, וכן מוכח מהא דכתב </w:t>
      </w:r>
      <w:r w:rsidRPr="009B1F18">
        <w:rPr>
          <w:rStyle w:val="aff9"/>
          <w:rFonts w:hint="cs"/>
          <w:vanish/>
          <w:rtl/>
        </w:rPr>
        <w:t>-</w:t>
      </w:r>
      <w:r w:rsidRPr="009B1F18">
        <w:rPr>
          <w:rStyle w:val="aff9"/>
          <w:rFonts w:hint="cs"/>
          <w:rtl/>
        </w:rPr>
        <w:t>רש"י במתני'</w:t>
      </w:r>
      <w:r w:rsidRPr="009B1F18">
        <w:rPr>
          <w:rStyle w:val="aff9"/>
          <w:rFonts w:hint="cs"/>
          <w:vanish/>
          <w:rtl/>
        </w:rPr>
        <w:t>-</w:t>
      </w:r>
      <w:r w:rsidRPr="000D251D">
        <w:rPr>
          <w:rStyle w:val="af"/>
          <w:rFonts w:hint="cs"/>
          <w:rtl/>
        </w:rPr>
        <w:t xml:space="preserve"> </w:t>
      </w:r>
      <w:r w:rsidRPr="009B1F18">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Ref137984186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עג)</w:t>
      </w:r>
      <w:r>
        <w:rPr>
          <w:rStyle w:val="aff0"/>
          <w:rtl/>
        </w:rPr>
        <w:fldChar w:fldCharType="end"/>
      </w:r>
      <w:r w:rsidRPr="000D251D">
        <w:rPr>
          <w:rStyle w:val="af"/>
          <w:rFonts w:hint="cs"/>
          <w:rtl/>
        </w:rPr>
        <w:t xml:space="preserve"> דבורר ביד הוא בפסולת מתוך אוכל, ומבואר דבלאחר זמן </w:t>
      </w:r>
      <w:r w:rsidRPr="009B1F18">
        <w:rPr>
          <w:rStyle w:val="aff9"/>
          <w:rFonts w:hint="cs"/>
          <w:vanish/>
          <w:rtl/>
        </w:rPr>
        <w:t>-</w:t>
      </w:r>
      <w:r w:rsidRPr="009B1F18">
        <w:rPr>
          <w:rStyle w:val="aff9"/>
          <w:rFonts w:hint="cs"/>
          <w:rtl/>
        </w:rPr>
        <w:t>רש"י</w:t>
      </w:r>
      <w:r w:rsidRPr="009B1F18">
        <w:rPr>
          <w:rStyle w:val="aff9"/>
          <w:rFonts w:hint="cs"/>
          <w:vanish/>
          <w:rtl/>
        </w:rPr>
        <w:t>-</w:t>
      </w:r>
      <w:r w:rsidRPr="000D251D">
        <w:rPr>
          <w:rStyle w:val="af"/>
          <w:rFonts w:hint="cs"/>
          <w:rtl/>
        </w:rPr>
        <w:t xml:space="preserve"> מתיר באוכל מתוך פסולת, כדביאר </w:t>
      </w:r>
      <w:r w:rsidRPr="009B1F18">
        <w:rPr>
          <w:rStyle w:val="aff9"/>
          <w:rFonts w:hint="cs"/>
          <w:vanish/>
          <w:rtl/>
        </w:rPr>
        <w:t>-</w:t>
      </w:r>
      <w:r w:rsidRPr="009B1F18">
        <w:rPr>
          <w:rStyle w:val="aff9"/>
          <w:rFonts w:hint="cs"/>
          <w:rtl/>
        </w:rPr>
        <w:t>האגלי טל</w:t>
      </w:r>
      <w:r w:rsidRPr="009B1F18">
        <w:rPr>
          <w:rStyle w:val="aff9"/>
          <w:rFonts w:hint="cs"/>
          <w:vanish/>
          <w:rtl/>
        </w:rPr>
        <w:t>-</w:t>
      </w:r>
      <w:r w:rsidRPr="000D251D">
        <w:rPr>
          <w:rStyle w:val="af"/>
          <w:rFonts w:hint="cs"/>
          <w:rtl/>
        </w:rPr>
        <w:t xml:space="preserve"> </w:t>
      </w:r>
      <w:r w:rsidRPr="009B1F18">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Ref138928134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יד)</w:t>
      </w:r>
      <w:r>
        <w:rPr>
          <w:rStyle w:val="aff0"/>
          <w:rtl/>
        </w:rPr>
        <w:fldChar w:fldCharType="end"/>
      </w:r>
      <w:r w:rsidRPr="000D251D">
        <w:rPr>
          <w:rStyle w:val="af"/>
          <w:rFonts w:hint="cs"/>
          <w:rtl/>
        </w:rPr>
        <w:t xml:space="preserve">, וא"כ אף בנפה וכברה </w:t>
      </w:r>
      <w:r w:rsidRPr="009B1F18">
        <w:rPr>
          <w:rStyle w:val="aff9"/>
          <w:rFonts w:hint="cs"/>
          <w:vanish/>
          <w:rtl/>
        </w:rPr>
        <w:t>-</w:t>
      </w:r>
      <w:r w:rsidRPr="009B1F18">
        <w:rPr>
          <w:rStyle w:val="aff9"/>
          <w:rFonts w:hint="cs"/>
          <w:rtl/>
        </w:rPr>
        <w:t>רש"י</w:t>
      </w:r>
      <w:r w:rsidRPr="009B1F18">
        <w:rPr>
          <w:rStyle w:val="aff9"/>
          <w:rFonts w:hint="cs"/>
          <w:vanish/>
          <w:rtl/>
        </w:rPr>
        <w:t>-</w:t>
      </w:r>
      <w:r w:rsidRPr="000D251D">
        <w:rPr>
          <w:rStyle w:val="af"/>
          <w:rFonts w:hint="cs"/>
          <w:rtl/>
        </w:rPr>
        <w:t xml:space="preserve"> מתיר לאלתר רק באוכל מתוך פסולת ולא בפסולת מתוך אוכל</w:t>
      </w:r>
      <w:r w:rsidRPr="00394BDA">
        <w:rPr>
          <w:rStyle w:val="af"/>
          <w:rFonts w:hint="cs"/>
          <w:rtl/>
        </w:rPr>
        <w:t>],</w:t>
      </w:r>
      <w:r w:rsidRPr="0008094B">
        <w:rPr>
          <w:rFonts w:hint="cs"/>
          <w:rtl/>
        </w:rPr>
        <w:t xml:space="preserve"> </w:t>
      </w:r>
      <w:r>
        <w:rPr>
          <w:rFonts w:hint="cs"/>
          <w:rtl/>
        </w:rPr>
        <w:t xml:space="preserve">אלא כתב </w:t>
      </w:r>
      <w:r w:rsidRPr="00194A43">
        <w:rPr>
          <w:rStyle w:val="aff4"/>
          <w:rFonts w:hint="cs"/>
          <w:vanish/>
          <w:rtl/>
        </w:rPr>
        <w:t>-</w:t>
      </w:r>
      <w:r w:rsidRPr="00194A43">
        <w:rPr>
          <w:rStyle w:val="aff4"/>
          <w:rFonts w:hint="cs"/>
          <w:rtl/>
        </w:rPr>
        <w:t>האגלי טל</w:t>
      </w:r>
      <w:r w:rsidRPr="00194A43">
        <w:rPr>
          <w:rStyle w:val="aff4"/>
          <w:rFonts w:hint="cs"/>
          <w:vanish/>
          <w:rtl/>
        </w:rPr>
        <w:t>-</w:t>
      </w:r>
      <w:r>
        <w:rPr>
          <w:rFonts w:hint="cs"/>
          <w:rtl/>
        </w:rPr>
        <w:t xml:space="preserve"> דמוכח דס"ל </w:t>
      </w:r>
      <w:r w:rsidRPr="00194A43">
        <w:rPr>
          <w:rStyle w:val="aff4"/>
          <w:rFonts w:hint="cs"/>
          <w:vanish/>
          <w:rtl/>
        </w:rPr>
        <w:t>-</w:t>
      </w:r>
      <w:r w:rsidRPr="00194A43">
        <w:rPr>
          <w:rStyle w:val="aff4"/>
          <w:rFonts w:hint="cs"/>
          <w:rtl/>
        </w:rPr>
        <w:t>לתוס'</w:t>
      </w:r>
      <w:r w:rsidRPr="00194A43">
        <w:rPr>
          <w:rStyle w:val="aff4"/>
          <w:rFonts w:hint="cs"/>
          <w:vanish/>
          <w:rtl/>
        </w:rPr>
        <w:t>-</w:t>
      </w:r>
      <w:r>
        <w:rPr>
          <w:rFonts w:hint="cs"/>
          <w:rtl/>
        </w:rPr>
        <w:t xml:space="preserve"> דהברירה היא במה שנשאר למעלה, ולכן בקיטנית הוא פסולת מתוך אוכל, ומזה הקשו </w:t>
      </w:r>
      <w:r w:rsidRPr="00194A43">
        <w:rPr>
          <w:rStyle w:val="aff4"/>
          <w:rFonts w:hint="cs"/>
          <w:vanish/>
          <w:rtl/>
        </w:rPr>
        <w:t>-</w:t>
      </w:r>
      <w:r w:rsidRPr="00194A43">
        <w:rPr>
          <w:rStyle w:val="aff4"/>
          <w:rFonts w:hint="cs"/>
          <w:rtl/>
        </w:rPr>
        <w:t>התוס'</w:t>
      </w:r>
      <w:r w:rsidRPr="00194A43">
        <w:rPr>
          <w:rStyle w:val="aff4"/>
          <w:rFonts w:hint="cs"/>
          <w:vanish/>
          <w:rtl/>
        </w:rPr>
        <w:t>-</w:t>
      </w:r>
      <w:r>
        <w:rPr>
          <w:rFonts w:hint="cs"/>
          <w:rtl/>
        </w:rPr>
        <w:t xml:space="preserve"> </w:t>
      </w:r>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Ref138664935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נא)</w:t>
      </w:r>
      <w:r>
        <w:rPr>
          <w:rStyle w:val="af2"/>
          <w:rFonts w:eastAsia="Guttman Hodes"/>
          <w:rtl/>
        </w:rPr>
        <w:fldChar w:fldCharType="end"/>
      </w:r>
      <w:r>
        <w:rPr>
          <w:rFonts w:hint="cs"/>
          <w:rtl/>
        </w:rPr>
        <w:t xml:space="preserve"> ממתני' בביצה דמוכח דבנפה וכברה אסור, וכתב </w:t>
      </w:r>
      <w:r w:rsidRPr="00194A43">
        <w:rPr>
          <w:rStyle w:val="aff4"/>
          <w:rFonts w:hint="cs"/>
          <w:vanish/>
          <w:rtl/>
        </w:rPr>
        <w:t>-</w:t>
      </w:r>
      <w:r w:rsidRPr="00194A43">
        <w:rPr>
          <w:rStyle w:val="aff4"/>
          <w:rFonts w:hint="cs"/>
          <w:rtl/>
        </w:rPr>
        <w:t>האגלי טל</w:t>
      </w:r>
      <w:r w:rsidRPr="00194A43">
        <w:rPr>
          <w:rStyle w:val="aff4"/>
          <w:rFonts w:hint="cs"/>
          <w:vanish/>
          <w:rtl/>
        </w:rPr>
        <w:t>-</w:t>
      </w:r>
      <w:r>
        <w:rPr>
          <w:rFonts w:hint="cs"/>
          <w:rtl/>
        </w:rPr>
        <w:t xml:space="preserve"> דא"כ מוכח דס"ל דאף לאלתר אסור, ובנפה וכברה כל שהוא אסור מסתמא חייב חטאת, דלא מצינו פטור אבל אסור בנפה וכברה.</w:t>
      </w:r>
      <w:bookmarkEnd w:id="2564"/>
    </w:p>
    <w:p w14:paraId="70279C0C" w14:textId="77777777" w:rsidR="008925FD" w:rsidRPr="00747170" w:rsidRDefault="008925FD" w:rsidP="00747170">
      <w:pPr>
        <w:pStyle w:val="a2"/>
        <w:rPr>
          <w:rtl/>
        </w:rPr>
      </w:pPr>
      <w:r w:rsidRPr="00747170">
        <w:rPr>
          <w:rtl/>
        </w:rPr>
        <w:t>מיהו באוכל מתוך פסולת בנפה וכברה לאלתר צ"ע די"ל דהא דחייב בנפה וכברה לאלתר היינו דוקא בפסולת מתוך אוכל דהוי תרתי לריעותא. מ"מ נראה דחייב. וראי' מדהקשו לפירש"י דלאלתר בנפה וכברה שרי ממתני' דביצה דאסור לברור קטניות בנפה וכברה אפי' לאלתר עי"ש. וקשה דהא גם רש"י מודה פסולת מתוך אוכל אסור אפי' לאלתר כדמוכח מפירש"י בד"ה ושדא קמייהו כנ"ל בביאור שיטת רש"י. ועוד דהא דלרש"י ביד לאח"ז מותר באוכל מתוך פסולת דוקא שהרי פירש במשנה [עג א] הבורר פסולת בידיו א"כ בפשיטות י"ל דהא דמתיר בנפה וכברה לאלתר ג"כ באוכל מתוך פסולת דוקא ומה הקשה להם.</w:t>
      </w:r>
      <w:r w:rsidRPr="00747170">
        <w:rPr>
          <w:rFonts w:hint="cs"/>
          <w:rtl/>
        </w:rPr>
        <w:t xml:space="preserve"> </w:t>
      </w:r>
      <w:r w:rsidRPr="00747170">
        <w:rPr>
          <w:rtl/>
        </w:rPr>
        <w:t>וע"כ לומר דתוס' ס"ל הנשאר בכלי בידו הוא המתברר וחשוב ברירת קטניות שהפסולת למטה אוכל מתוך פסולת. והנה מבואר שהוכיחו מהא דביצה אוכל מתוך פסולת בנפה וכברה אפילו לאכול לאלתר אסור. ומסתמא חייב חטאת דלא מצינו פטור אבל אסור אלא בקנון ותמחוי:</w:t>
      </w:r>
    </w:p>
    <w:p w14:paraId="3A9A7125" w14:textId="45C8034F" w:rsidR="008925FD" w:rsidRPr="00224A5A" w:rsidRDefault="008925FD" w:rsidP="008925FD">
      <w:pPr>
        <w:pStyle w:val="1"/>
        <w:rPr>
          <w:rtl/>
        </w:rPr>
      </w:pPr>
      <w:bookmarkStart w:id="2565" w:name="_Toc139277059"/>
      <w:bookmarkEnd w:id="2553"/>
      <w:r w:rsidRPr="00224A5A">
        <w:rPr>
          <w:rFonts w:hint="cs"/>
          <w:rtl/>
        </w:rPr>
        <w:t xml:space="preserve">בי' </w:t>
      </w:r>
      <w:r>
        <w:rPr>
          <w:rFonts w:hint="cs"/>
          <w:rtl/>
        </w:rPr>
        <w:t>ר"ח והרמב"ם דאוכל מתוך פסולת מותר רק ביד ולאלתר</w:t>
      </w:r>
      <w:bookmarkEnd w:id="2565"/>
    </w:p>
    <w:p w14:paraId="51F36AC9" w14:textId="77777777" w:rsidR="008925FD" w:rsidRDefault="008925FD" w:rsidP="008925FD">
      <w:pPr>
        <w:pStyle w:val="afffff7"/>
        <w:rPr>
          <w:rtl/>
        </w:rPr>
      </w:pPr>
      <w:bookmarkStart w:id="2566" w:name="_Toc139277162"/>
      <w:bookmarkStart w:id="2567" w:name="_Toc163505865"/>
      <w:r>
        <w:rPr>
          <w:rtl/>
        </w:rPr>
        <w:t>רבינו חננאל שבת ע"ד ע"א</w:t>
      </w:r>
      <w:r>
        <w:rPr>
          <w:rFonts w:hint="cs"/>
          <w:rtl/>
        </w:rPr>
        <w:t xml:space="preserve"> ד"ה ת"ר</w:t>
      </w:r>
      <w:bookmarkEnd w:id="2566"/>
      <w:bookmarkEnd w:id="2567"/>
    </w:p>
    <w:p w14:paraId="025492C4" w14:textId="77777777" w:rsidR="008925FD" w:rsidRDefault="008925FD" w:rsidP="008925FD">
      <w:pPr>
        <w:pStyle w:val="a7"/>
        <w:rPr>
          <w:rtl/>
        </w:rPr>
      </w:pPr>
      <w:bookmarkStart w:id="2568" w:name="_Toc139277060"/>
      <w:r>
        <w:rPr>
          <w:rFonts w:hint="cs"/>
          <w:rtl/>
        </w:rPr>
        <w:t>בי' ר"ח דקיי"ל כאביי ורב אשי וחזקיה ורק בג' ההיתרים מותר לברור אוכל מפסולת</w:t>
      </w:r>
      <w:r w:rsidRPr="005422F4">
        <w:rPr>
          <w:rFonts w:hint="cs"/>
          <w:rtl/>
        </w:rPr>
        <w:t xml:space="preserve"> </w:t>
      </w:r>
      <w:r>
        <w:rPr>
          <w:rFonts w:hint="cs"/>
          <w:rtl/>
        </w:rPr>
        <w:t>ביד ולאלתר</w:t>
      </w:r>
      <w:bookmarkEnd w:id="2568"/>
    </w:p>
    <w:p w14:paraId="018F1258" w14:textId="0213E5A3" w:rsidR="008925FD" w:rsidRPr="009876BA" w:rsidRDefault="008925FD" w:rsidP="00BC7DC8">
      <w:pPr>
        <w:pStyle w:val="a3"/>
        <w:rPr>
          <w:rtl/>
        </w:rPr>
      </w:pPr>
      <w:bookmarkStart w:id="2569" w:name="_Ref139187404"/>
      <w:r>
        <w:rPr>
          <w:rFonts w:hint="cs"/>
          <w:rtl/>
        </w:rPr>
        <w:t xml:space="preserve">כתב </w:t>
      </w:r>
      <w:r>
        <w:rPr>
          <w:rFonts w:hint="cs"/>
          <w:vanish/>
          <w:rtl/>
        </w:rPr>
        <w:t xml:space="preserve">&lt;. </w:t>
      </w:r>
      <w:r>
        <w:rPr>
          <w:vanish/>
          <w:rtl/>
        </w:rPr>
        <w:fldChar w:fldCharType="begin"/>
      </w:r>
      <w:r>
        <w:rPr>
          <w:vanish/>
          <w:rtl/>
        </w:rPr>
        <w:instrText xml:space="preserve"> </w:instrText>
      </w:r>
      <w:r>
        <w:rPr>
          <w:rFonts w:hint="cs"/>
          <w:vanish/>
        </w:rPr>
        <w:instrText>REF</w:instrText>
      </w:r>
      <w:r>
        <w:rPr>
          <w:rFonts w:hint="cs"/>
          <w:vanish/>
          <w:rtl/>
        </w:rPr>
        <w:instrText xml:space="preserve"> _</w:instrText>
      </w:r>
      <w:r>
        <w:rPr>
          <w:rFonts w:hint="cs"/>
          <w:vanish/>
        </w:rPr>
        <w:instrText>Ref139187404 \r \h</w:instrText>
      </w:r>
      <w:r>
        <w:rPr>
          <w:vanish/>
          <w:rtl/>
        </w:rPr>
        <w:instrText xml:space="preserve"> </w:instrText>
      </w:r>
      <w:r>
        <w:rPr>
          <w:vanish/>
          <w:rtl/>
        </w:rPr>
      </w:r>
      <w:r>
        <w:rPr>
          <w:vanish/>
          <w:rtl/>
        </w:rPr>
        <w:fldChar w:fldCharType="separate"/>
      </w:r>
      <w:r w:rsidR="00D82181">
        <w:rPr>
          <w:vanish/>
          <w:cs/>
        </w:rPr>
        <w:t>‎</w:t>
      </w:r>
      <w:r w:rsidR="00D82181">
        <w:rPr>
          <w:vanish/>
          <w:rtl/>
        </w:rPr>
        <w:t>כ)</w:t>
      </w:r>
      <w:r>
        <w:rPr>
          <w:vanish/>
          <w:rtl/>
        </w:rPr>
        <w:fldChar w:fldCharType="end"/>
      </w:r>
      <w:r>
        <w:rPr>
          <w:rFonts w:hint="cs"/>
          <w:vanish/>
          <w:rtl/>
        </w:rPr>
        <w:t xml:space="preserve"> &gt;</w:t>
      </w:r>
      <w:r w:rsidRPr="005305D6">
        <w:rPr>
          <w:rStyle w:val="aff4"/>
          <w:rFonts w:hint="cs"/>
          <w:vanish/>
          <w:rtl/>
        </w:rPr>
        <w:t>-</w:t>
      </w:r>
      <w:r w:rsidRPr="00B8766B">
        <w:rPr>
          <w:rStyle w:val="aff4"/>
          <w:rFonts w:hint="cs"/>
          <w:rtl/>
        </w:rPr>
        <w:t>ר"ח</w:t>
      </w:r>
      <w:r w:rsidRPr="005305D6">
        <w:rPr>
          <w:rStyle w:val="aff4"/>
          <w:rFonts w:hint="cs"/>
          <w:vanish/>
          <w:rtl/>
        </w:rPr>
        <w:t>-</w:t>
      </w:r>
      <w:r>
        <w:rPr>
          <w:rFonts w:hint="cs"/>
          <w:rtl/>
        </w:rPr>
        <w:t xml:space="preserve"> </w:t>
      </w:r>
      <w:r w:rsidRPr="000D251D">
        <w:rPr>
          <w:rStyle w:val="af2"/>
          <w:rFonts w:eastAsia="Guttman Hodes" w:hint="cs"/>
          <w:rtl/>
        </w:rPr>
        <w:t>(ד"ה ת"ר, ד"ה היו, ד"ה דהא)</w:t>
      </w:r>
      <w:r w:rsidRPr="005305D6">
        <w:rPr>
          <w:rFonts w:hint="cs"/>
          <w:vanish/>
          <w:rtl/>
        </w:rPr>
        <w:t>=</w:t>
      </w:r>
      <w:r>
        <w:rPr>
          <w:rFonts w:hint="cs"/>
          <w:rtl/>
        </w:rPr>
        <w:t xml:space="preserve"> דקיי"ל כאביי דמתיר לאלתר, וקיי"ל כרב אשי דהוא בתראה, ובב' מיני אוכלין בקנון ובתמחוי פטור אבל אסור, ובנפה וכברה חייב, וקיי"ל כחזקיה דבתורמוסים הבורר אוכל מתוך פסולת חייב, וכדתירצה הגמ' דהוא כיון דשלקי להו שבעא זימנין, וכתב </w:t>
      </w:r>
      <w:r w:rsidRPr="00990EB8">
        <w:rPr>
          <w:rFonts w:hint="cs"/>
          <w:vanish/>
          <w:rtl/>
        </w:rPr>
        <w:t>&lt; &gt;</w:t>
      </w:r>
      <w:r w:rsidRPr="005305D6">
        <w:rPr>
          <w:rStyle w:val="aff4"/>
          <w:rFonts w:hint="cs"/>
          <w:vanish/>
          <w:rtl/>
        </w:rPr>
        <w:t>-</w:t>
      </w:r>
      <w:r w:rsidRPr="00B8766B">
        <w:rPr>
          <w:rStyle w:val="aff4"/>
          <w:rFonts w:hint="cs"/>
          <w:rtl/>
        </w:rPr>
        <w:t>ר"ח</w:t>
      </w:r>
      <w:r w:rsidRPr="005305D6">
        <w:rPr>
          <w:rStyle w:val="aff4"/>
          <w:rFonts w:hint="cs"/>
          <w:vanish/>
          <w:rtl/>
        </w:rPr>
        <w:t>-</w:t>
      </w:r>
      <w:r>
        <w:rPr>
          <w:rFonts w:hint="cs"/>
          <w:rtl/>
        </w:rPr>
        <w:t xml:space="preserve"> </w:t>
      </w:r>
      <w:r w:rsidRPr="000D251D">
        <w:rPr>
          <w:rStyle w:val="af2"/>
          <w:rFonts w:eastAsia="Guttman Hodes" w:hint="cs"/>
          <w:rtl/>
        </w:rPr>
        <w:t>(ד"ה שמעינן)</w:t>
      </w:r>
      <w:r w:rsidRPr="005305D6">
        <w:rPr>
          <w:rFonts w:hint="cs"/>
          <w:vanish/>
          <w:rtl/>
        </w:rPr>
        <w:t>=</w:t>
      </w:r>
      <w:r>
        <w:rPr>
          <w:rFonts w:hint="cs"/>
          <w:rtl/>
        </w:rPr>
        <w:t xml:space="preserve"> דמבואר מזה דבכל אוכל ופסולת הבורר אוכל מתוך פסולת מותר, וכדעת אביי דהתיר לאלתר, דאל"ה קשה מהא דקיי"ל כאביי על תירוץ הגמ' בתורמוסים, והוסיף </w:t>
      </w:r>
      <w:r w:rsidRPr="005305D6">
        <w:rPr>
          <w:rStyle w:val="aff4"/>
          <w:rFonts w:hint="cs"/>
          <w:vanish/>
          <w:rtl/>
        </w:rPr>
        <w:t>-</w:t>
      </w:r>
      <w:r w:rsidRPr="00B8766B">
        <w:rPr>
          <w:rStyle w:val="aff4"/>
          <w:rFonts w:hint="cs"/>
          <w:rtl/>
        </w:rPr>
        <w:t>ר"ח</w:t>
      </w:r>
      <w:r w:rsidRPr="005305D6">
        <w:rPr>
          <w:rStyle w:val="aff4"/>
          <w:rFonts w:hint="cs"/>
          <w:vanish/>
          <w:rtl/>
        </w:rPr>
        <w:t>-</w:t>
      </w:r>
      <w:r>
        <w:rPr>
          <w:rFonts w:hint="cs"/>
          <w:rtl/>
        </w:rPr>
        <w:t xml:space="preserve"> דמדברי אביי ורב אשי וחזקיה מבואר דההיתר בבורר הוא ביד, ואף ביד מותר רק באוכל מתוך פסולת, ואף בזה מותר רק לאלתר, ובקנון ותמחוי פטור אבל אסור, ובנפה וכברה חייב חטאת.</w:t>
      </w:r>
      <w:bookmarkEnd w:id="2569"/>
    </w:p>
    <w:p w14:paraId="68BF62BB" w14:textId="77777777" w:rsidR="008925FD" w:rsidRPr="00747170" w:rsidRDefault="008925FD" w:rsidP="00747170">
      <w:pPr>
        <w:pStyle w:val="a2"/>
      </w:pPr>
      <w:r w:rsidRPr="00747170">
        <w:rPr>
          <w:rtl/>
        </w:rPr>
        <w:t>ת"ר היו לפניו ב' מיני אוכלין בורר ואוכל בורר ומניח ולא יברר ואם בירר חייב חטאת. ומת' מאי קאמר [א'] עולא הכי קאמר בורר ואוכל בו ביום כו' ודחאה רב חסדא ואמר וכי מותר לאפות ולבשל בו ביום כו' ופרשה אביי בורר ואוכל לאלתר בורר ומניח לאלתר. שלא לאלתר לא יברור. ואם בירר נעשה כבירר לאוצר וחייב חטאת. וקיי"ל כוותיה דאמר רבה שפיר אמר נחמני ולאלתר. דאמר אביי כל זמן שיושב על השולחן ואוכל דגרסינן בתלמוד דא"י ברר אוכלין מתוך אוכלין חזקיה אמר חייב ר' יוחנן אמר פטור מתניתא פליגא על חזקיה דאמר בורר ואוכל בורר ומניח על השלחן רבין בר חייא אמר תפתר כשהיו אורחין אוכלין ראשונה ראשונה. היו לפניו ב' מיני אוכלין בורר ואוכל בורר ומניח. רב אשי [מתני פטור רי"מ] מתני חייב ואוקימנא להא דרב אשי בבורר בנפה או בכברה חייב חטאת בקנון ובתמחוי פטור וכל פטורי דשבת פטור אבל אסור נינהו. וקיי"ל כרב אשי דבתראה הוא והא דאמר חזקיה הבורר תורמוסין מתוך פסולת שלהן חייב. הלכתא היא דהא</w:t>
      </w:r>
      <w:r w:rsidRPr="00747170">
        <w:rPr>
          <w:rFonts w:hint="cs"/>
          <w:rtl/>
        </w:rPr>
        <w:t xml:space="preserve"> </w:t>
      </w:r>
      <w:r w:rsidRPr="00747170">
        <w:rPr>
          <w:rtl/>
        </w:rPr>
        <w:t>מקשינן ופרקינן לפרושי שמעתיה דאמרינן לימא קסבר חזקיה אוכל מתוך פסולת אסור. ושנינן שאני תורמסין דשלקי להו ז' זמני כו'.</w:t>
      </w:r>
    </w:p>
    <w:p w14:paraId="113B8994" w14:textId="77777777" w:rsidR="008925FD" w:rsidRPr="00EB6547" w:rsidRDefault="008925FD" w:rsidP="00747170">
      <w:pPr>
        <w:pStyle w:val="afffff5"/>
        <w:rPr>
          <w:rtl/>
        </w:rPr>
      </w:pPr>
      <w:r w:rsidRPr="00EB6547">
        <w:rPr>
          <w:rtl/>
        </w:rPr>
        <w:t>שמעינן מינה דאוכל מתוך הפסולת זולתי תורמסין שרי וכדאביי דשרי לאלתר כי היכי דלא תקשי חדא אחברתה וכבר פירשנוהו השמועה סלקא כאביי וכרב אשי וכחזקיה שמעינן מדברי שלשתן כי בורר ואוכל ביד בורר ומניח ביד שרי ולא כל היכא דבעי שרי אלא ברירת אוכל מתוך פסולת אבל פסולת מתוך אוכל לא. והאוכל מתוך פסול' דשרי [היינו] לברור ולאכול או לברור ולהניח כדי לאוכלו לאלתר על השולחן כמו שפירשנו אבל להניח שלא לאלתר לא וזה שאמרנו כי מותר לברור ולאכול ולברור ולהניח ולאוכלו לאלתר שרי ה"מ ביד אבל בקנון ובתמחוי לא ואם בירר פטור אבל אסור ובנפה ובכברה דברי הכל אסור ואם בירר נעשה כמי שבירר לאוצר בשוגג חייב חטאת</w:t>
      </w:r>
      <w:r w:rsidRPr="00EB6547">
        <w:rPr>
          <w:rFonts w:hint="cs"/>
          <w:rtl/>
        </w:rPr>
        <w:t>.</w:t>
      </w:r>
    </w:p>
    <w:p w14:paraId="3419BDD8" w14:textId="2CDDB08B" w:rsidR="008925FD" w:rsidRPr="00291EA6" w:rsidRDefault="008925FD" w:rsidP="008925FD">
      <w:pPr>
        <w:pStyle w:val="afffff7"/>
        <w:rPr>
          <w:rtl/>
        </w:rPr>
      </w:pPr>
      <w:bookmarkStart w:id="2570" w:name="_Toc139277163"/>
      <w:bookmarkStart w:id="2571" w:name="_Toc163505866"/>
      <w:r w:rsidRPr="00291EA6">
        <w:rPr>
          <w:rtl/>
        </w:rPr>
        <w:t>רמב"ם שבת פ"ח הי"ב</w:t>
      </w:r>
      <w:r>
        <w:rPr>
          <w:rFonts w:hint="cs"/>
          <w:rtl/>
        </w:rPr>
        <w:t>, י"ג</w:t>
      </w:r>
      <w:bookmarkEnd w:id="2570"/>
      <w:bookmarkEnd w:id="2571"/>
    </w:p>
    <w:p w14:paraId="5A94E175" w14:textId="77777777" w:rsidR="008925FD" w:rsidRPr="00C02FCD" w:rsidRDefault="008925FD" w:rsidP="008925FD">
      <w:pPr>
        <w:pStyle w:val="afffff7"/>
        <w:rPr>
          <w:rtl/>
        </w:rPr>
      </w:pPr>
      <w:bookmarkStart w:id="2572" w:name="_Toc139277164"/>
      <w:bookmarkStart w:id="2573" w:name="_Toc139277061"/>
      <w:bookmarkStart w:id="2574" w:name="_Toc163505867"/>
      <w:r w:rsidRPr="00C02FCD">
        <w:rPr>
          <w:rtl/>
        </w:rPr>
        <w:t>מגיד משנה שבת פ"ח הי"ב</w:t>
      </w:r>
      <w:r w:rsidRPr="00C02FCD">
        <w:rPr>
          <w:rFonts w:hint="cs"/>
          <w:rtl/>
        </w:rPr>
        <w:t>,</w:t>
      </w:r>
      <w:r w:rsidRPr="00C02FCD">
        <w:rPr>
          <w:rtl/>
        </w:rPr>
        <w:t xml:space="preserve"> הי"ג</w:t>
      </w:r>
      <w:bookmarkEnd w:id="2572"/>
      <w:bookmarkEnd w:id="2574"/>
    </w:p>
    <w:p w14:paraId="1C9A251D" w14:textId="77777777" w:rsidR="008925FD" w:rsidRPr="00291EA6" w:rsidRDefault="008925FD" w:rsidP="008925FD">
      <w:pPr>
        <w:pStyle w:val="a7"/>
        <w:rPr>
          <w:rtl/>
        </w:rPr>
      </w:pPr>
      <w:r>
        <w:rPr>
          <w:rFonts w:hint="cs"/>
          <w:rtl/>
        </w:rPr>
        <w:t>בי' הרמב"ם כר"ח דאוכל מתוך פסולת ביד מותר ובקנון אסור ובנפה חיב ולאח"ז אף ביד</w:t>
      </w:r>
      <w:r w:rsidRPr="005422F4">
        <w:rPr>
          <w:rFonts w:hint="cs"/>
          <w:rtl/>
        </w:rPr>
        <w:t xml:space="preserve"> </w:t>
      </w:r>
      <w:r>
        <w:rPr>
          <w:rFonts w:hint="cs"/>
          <w:rtl/>
        </w:rPr>
        <w:t>חייב</w:t>
      </w:r>
      <w:bookmarkEnd w:id="2573"/>
    </w:p>
    <w:p w14:paraId="608E9AAE" w14:textId="27CB5A96" w:rsidR="008925FD" w:rsidRPr="00291EA6" w:rsidRDefault="008925FD" w:rsidP="00BC7DC8">
      <w:pPr>
        <w:pStyle w:val="a3"/>
        <w:rPr>
          <w:rtl/>
        </w:rPr>
      </w:pPr>
      <w:bookmarkStart w:id="2575" w:name="_Ref139187813"/>
      <w:r w:rsidRPr="00291EA6">
        <w:rPr>
          <w:rFonts w:hint="cs"/>
          <w:rtl/>
        </w:rPr>
        <w:t xml:space="preserve">כתב </w:t>
      </w:r>
      <w:r w:rsidRPr="005305D6">
        <w:rPr>
          <w:rStyle w:val="aff4"/>
          <w:rFonts w:hint="cs"/>
          <w:vanish/>
          <w:rtl/>
        </w:rPr>
        <w:t>-</w:t>
      </w:r>
      <w:r w:rsidRPr="00B8766B">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Ref139187813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כא)</w:t>
      </w:r>
      <w:r>
        <w:rPr>
          <w:rStyle w:val="aff4"/>
          <w:vanish/>
          <w:rtl/>
        </w:rPr>
        <w:fldChar w:fldCharType="end"/>
      </w:r>
      <w:r>
        <w:rPr>
          <w:rStyle w:val="aff4"/>
          <w:rFonts w:hint="cs"/>
          <w:vanish/>
          <w:rtl/>
        </w:rPr>
        <w:t xml:space="preserve"> &gt;</w:t>
      </w:r>
      <w:r w:rsidRPr="00B8766B">
        <w:rPr>
          <w:rStyle w:val="aff4"/>
          <w:rFonts w:hint="cs"/>
          <w:rtl/>
        </w:rPr>
        <w:t>רמב"ם</w:t>
      </w:r>
      <w:r w:rsidRPr="005305D6">
        <w:rPr>
          <w:rStyle w:val="aff4"/>
          <w:rFonts w:hint="cs"/>
          <w:vanish/>
          <w:rtl/>
        </w:rPr>
        <w:t>-</w:t>
      </w:r>
      <w:r w:rsidRPr="00291EA6">
        <w:rPr>
          <w:rFonts w:hint="cs"/>
          <w:rtl/>
        </w:rPr>
        <w:t xml:space="preserve"> </w:t>
      </w:r>
      <w:r w:rsidRPr="000D251D">
        <w:rPr>
          <w:rStyle w:val="af2"/>
          <w:rFonts w:eastAsia="Guttman Hodes" w:hint="cs"/>
          <w:rtl/>
        </w:rPr>
        <w:t>(שבת פ"ח הי"ב)</w:t>
      </w:r>
      <w:r w:rsidRPr="005305D6">
        <w:rPr>
          <w:rFonts w:hint="cs"/>
          <w:vanish/>
          <w:rtl/>
        </w:rPr>
        <w:t>=</w:t>
      </w:r>
      <w:r w:rsidRPr="00291EA6">
        <w:rPr>
          <w:rFonts w:hint="cs"/>
          <w:rtl/>
        </w:rPr>
        <w:t xml:space="preserve"> דהבורר אוכל מתוך פסולת או מין אחד מב' מיני אוכלין, בנפה וכברה חייב, ובקנון ותמחוי פטור, וביד </w:t>
      </w:r>
      <w:r w:rsidRPr="00291EA6">
        <w:rPr>
          <w:rFonts w:hint="cs"/>
          <w:rtl/>
        </w:rPr>
        <w:t xml:space="preserve">לאלתר מותר, והוסיף </w:t>
      </w:r>
      <w:r w:rsidRPr="005305D6">
        <w:rPr>
          <w:rStyle w:val="aff4"/>
          <w:rFonts w:hint="cs"/>
          <w:vanish/>
          <w:rtl/>
        </w:rPr>
        <w:t>-</w:t>
      </w:r>
      <w:r w:rsidRPr="00B8766B">
        <w:rPr>
          <w:rStyle w:val="aff4"/>
          <w:rFonts w:hint="cs"/>
          <w:rtl/>
        </w:rPr>
        <w:t>ה</w:t>
      </w:r>
      <w:r w:rsidRPr="00990EB8">
        <w:rPr>
          <w:rStyle w:val="aff4"/>
          <w:rFonts w:hint="cs"/>
          <w:vanish/>
          <w:rtl/>
        </w:rPr>
        <w:t>&lt; &gt;</w:t>
      </w:r>
      <w:r w:rsidRPr="00B8766B">
        <w:rPr>
          <w:rStyle w:val="aff4"/>
          <w:rFonts w:hint="cs"/>
          <w:rtl/>
        </w:rPr>
        <w:t>רמב"ם</w:t>
      </w:r>
      <w:r w:rsidRPr="005305D6">
        <w:rPr>
          <w:rStyle w:val="aff4"/>
          <w:rFonts w:hint="cs"/>
          <w:vanish/>
          <w:rtl/>
        </w:rPr>
        <w:t>-</w:t>
      </w:r>
      <w:r w:rsidRPr="00291EA6">
        <w:rPr>
          <w:rFonts w:hint="cs"/>
          <w:rtl/>
        </w:rPr>
        <w:t xml:space="preserve"> </w:t>
      </w:r>
      <w:r w:rsidRPr="000D251D">
        <w:rPr>
          <w:rStyle w:val="af2"/>
          <w:rFonts w:eastAsia="Guttman Hodes" w:hint="cs"/>
          <w:rtl/>
        </w:rPr>
        <w:t>(שבת פ"ח הי"ג)</w:t>
      </w:r>
      <w:r w:rsidRPr="005305D6">
        <w:rPr>
          <w:rFonts w:hint="cs"/>
          <w:vanish/>
          <w:rtl/>
        </w:rPr>
        <w:t>=</w:t>
      </w:r>
      <w:r w:rsidRPr="00291EA6">
        <w:rPr>
          <w:rFonts w:hint="cs"/>
          <w:rtl/>
        </w:rPr>
        <w:t xml:space="preserve"> דבע"מ להניח אף לבו ביום הוא כבורר לאוצר, וחייב אף באוכל מתוך פסולת ביד</w:t>
      </w:r>
      <w:r>
        <w:rPr>
          <w:rFonts w:hint="cs"/>
          <w:rtl/>
        </w:rPr>
        <w:t xml:space="preserve">, וכ"כ </w:t>
      </w:r>
      <w:r w:rsidRPr="003D30D2">
        <w:rPr>
          <w:rStyle w:val="aff4"/>
          <w:rFonts w:hint="cs"/>
          <w:vanish/>
          <w:rtl/>
        </w:rPr>
        <w:t>-</w:t>
      </w:r>
      <w:r w:rsidRPr="00A30B60">
        <w:rPr>
          <w:rStyle w:val="aff4"/>
          <w:rFonts w:hint="cs"/>
          <w:rtl/>
        </w:rPr>
        <w:t>ה</w:t>
      </w:r>
      <w:r>
        <w:rPr>
          <w:rStyle w:val="aff4"/>
          <w:rFonts w:hint="cs"/>
          <w:vanish/>
          <w:rtl/>
        </w:rPr>
        <w:t>&lt; &gt;</w:t>
      </w:r>
      <w:r w:rsidRPr="00A30B60">
        <w:rPr>
          <w:rStyle w:val="aff4"/>
          <w:rFonts w:hint="cs"/>
          <w:rtl/>
        </w:rPr>
        <w:t>שו"ע</w:t>
      </w:r>
      <w:r w:rsidRPr="003D30D2">
        <w:rPr>
          <w:rStyle w:val="aff4"/>
          <w:rFonts w:hint="cs"/>
          <w:vanish/>
          <w:rtl/>
        </w:rPr>
        <w:t>-</w:t>
      </w:r>
      <w:r>
        <w:rPr>
          <w:rFonts w:hint="cs"/>
          <w:rtl/>
        </w:rPr>
        <w:t xml:space="preserve"> </w:t>
      </w:r>
      <w:r w:rsidRPr="000D251D">
        <w:rPr>
          <w:rStyle w:val="af2"/>
          <w:rFonts w:eastAsia="Guttman Hodes" w:hint="cs"/>
          <w:rtl/>
        </w:rPr>
        <w:t>(סי' שי"ט ב')</w:t>
      </w:r>
      <w:r w:rsidRPr="000D48AF">
        <w:rPr>
          <w:rFonts w:hint="cs"/>
          <w:vanish/>
          <w:rtl/>
        </w:rPr>
        <w:t>=</w:t>
      </w:r>
      <w:r>
        <w:rPr>
          <w:rFonts w:hint="cs"/>
          <w:rtl/>
        </w:rPr>
        <w:t xml:space="preserve"> </w:t>
      </w:r>
      <w:r w:rsidRPr="00291EA6">
        <w:rPr>
          <w:rFonts w:hint="cs"/>
          <w:rtl/>
        </w:rPr>
        <w:t xml:space="preserve">וביאר </w:t>
      </w:r>
      <w:r w:rsidRPr="000D48AF">
        <w:rPr>
          <w:rStyle w:val="aff4"/>
          <w:rFonts w:hint="cs"/>
          <w:vanish/>
          <w:rtl/>
        </w:rPr>
        <w:t>-</w:t>
      </w:r>
      <w:r w:rsidRPr="00B8766B">
        <w:rPr>
          <w:rStyle w:val="aff4"/>
          <w:rFonts w:hint="cs"/>
          <w:rtl/>
        </w:rPr>
        <w:t>ה</w:t>
      </w:r>
      <w:r>
        <w:rPr>
          <w:rStyle w:val="aff4"/>
          <w:rFonts w:hint="cs"/>
          <w:vanish/>
          <w:rtl/>
        </w:rPr>
        <w:t>&lt; &gt;</w:t>
      </w:r>
      <w:r w:rsidRPr="00B8766B">
        <w:rPr>
          <w:rStyle w:val="aff4"/>
          <w:rFonts w:hint="cs"/>
          <w:rtl/>
        </w:rPr>
        <w:t>מ"מ</w:t>
      </w:r>
      <w:r w:rsidRPr="000D48AF">
        <w:rPr>
          <w:rStyle w:val="aff4"/>
          <w:rFonts w:hint="cs"/>
          <w:vanish/>
          <w:rtl/>
        </w:rPr>
        <w:t>-</w:t>
      </w:r>
      <w:r w:rsidRPr="00291EA6">
        <w:rPr>
          <w:rFonts w:hint="cs"/>
          <w:rtl/>
        </w:rPr>
        <w:t xml:space="preserve"> </w:t>
      </w:r>
      <w:r w:rsidRPr="000D251D">
        <w:rPr>
          <w:rStyle w:val="af2"/>
          <w:rFonts w:eastAsia="Guttman Hodes" w:hint="cs"/>
          <w:rtl/>
        </w:rPr>
        <w:t>(שבת פ"ח הי"ב)</w:t>
      </w:r>
      <w:r w:rsidRPr="000D48AF">
        <w:rPr>
          <w:rFonts w:hint="cs"/>
          <w:vanish/>
          <w:rtl/>
        </w:rPr>
        <w:t>=</w:t>
      </w:r>
      <w:r w:rsidRPr="00291EA6">
        <w:rPr>
          <w:rFonts w:hint="cs"/>
          <w:rtl/>
        </w:rPr>
        <w:t xml:space="preserve"> </w:t>
      </w:r>
      <w:r w:rsidRPr="000D48AF">
        <w:rPr>
          <w:rStyle w:val="aff4"/>
          <w:rFonts w:hint="cs"/>
          <w:vanish/>
          <w:rtl/>
        </w:rPr>
        <w:t>-</w:t>
      </w:r>
      <w:r w:rsidRPr="00B8766B">
        <w:rPr>
          <w:rStyle w:val="aff4"/>
          <w:rFonts w:hint="cs"/>
          <w:rtl/>
        </w:rPr>
        <w:t>דהרמב"ם</w:t>
      </w:r>
      <w:r w:rsidRPr="000D48AF">
        <w:rPr>
          <w:rStyle w:val="aff4"/>
          <w:rFonts w:hint="cs"/>
          <w:vanish/>
          <w:rtl/>
        </w:rPr>
        <w:t>-</w:t>
      </w:r>
      <w:r w:rsidRPr="00291EA6">
        <w:rPr>
          <w:rFonts w:hint="cs"/>
          <w:rtl/>
        </w:rPr>
        <w:t xml:space="preserve"> ביאר בסוגיין </w:t>
      </w:r>
      <w:r w:rsidRPr="000D48AF">
        <w:rPr>
          <w:rStyle w:val="aff4"/>
          <w:rFonts w:hint="cs"/>
          <w:vanish/>
          <w:rtl/>
        </w:rPr>
        <w:t>-</w:t>
      </w:r>
      <w:r w:rsidRPr="00B8766B">
        <w:rPr>
          <w:rStyle w:val="aff4"/>
          <w:rFonts w:hint="cs"/>
          <w:rtl/>
        </w:rPr>
        <w:t>כר"ח</w:t>
      </w:r>
      <w:r w:rsidRPr="000D48AF">
        <w:rPr>
          <w:rStyle w:val="aff4"/>
          <w:rFonts w:hint="cs"/>
          <w:vanish/>
          <w:rtl/>
        </w:rPr>
        <w:t>-</w:t>
      </w:r>
      <w:r w:rsidRPr="00291EA6">
        <w:rPr>
          <w:rFonts w:hint="cs"/>
          <w:rtl/>
        </w:rPr>
        <w:t xml:space="preserve"> </w:t>
      </w:r>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Ref139187404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w:t>
      </w:r>
      <w:r>
        <w:rPr>
          <w:rStyle w:val="af2"/>
          <w:rFonts w:eastAsia="Guttman Hodes"/>
          <w:rtl/>
        </w:rPr>
        <w:fldChar w:fldCharType="end"/>
      </w:r>
      <w:r>
        <w:rPr>
          <w:rStyle w:val="af2"/>
          <w:rFonts w:eastAsia="Guttman Hodes" w:hint="cs"/>
          <w:rtl/>
        </w:rPr>
        <w:t xml:space="preserve"> </w:t>
      </w:r>
      <w:r w:rsidRPr="00291EA6">
        <w:rPr>
          <w:rFonts w:hint="cs"/>
          <w:rtl/>
        </w:rPr>
        <w:t xml:space="preserve">דההיתר הוא רק לאלתר וביד ובאוכל מתוך פסולת, אבל בקנון </w:t>
      </w:r>
      <w:r>
        <w:rPr>
          <w:rFonts w:hint="cs"/>
          <w:rtl/>
        </w:rPr>
        <w:t xml:space="preserve">ותמחוי </w:t>
      </w:r>
      <w:r w:rsidRPr="00291EA6">
        <w:rPr>
          <w:rFonts w:hint="cs"/>
          <w:rtl/>
        </w:rPr>
        <w:t xml:space="preserve">אסור ובנפה </w:t>
      </w:r>
      <w:r>
        <w:rPr>
          <w:rFonts w:hint="cs"/>
          <w:rtl/>
        </w:rPr>
        <w:t xml:space="preserve">וכברה </w:t>
      </w:r>
      <w:r w:rsidRPr="00291EA6">
        <w:rPr>
          <w:rFonts w:hint="cs"/>
          <w:rtl/>
        </w:rPr>
        <w:t xml:space="preserve">חייב, ובמניח לבו ביום אף ביד חייב חטאת, </w:t>
      </w:r>
      <w:r>
        <w:rPr>
          <w:rFonts w:hint="cs"/>
          <w:rtl/>
        </w:rPr>
        <w:t xml:space="preserve">והוסיף </w:t>
      </w:r>
      <w:r w:rsidRPr="000D48AF">
        <w:rPr>
          <w:rStyle w:val="aff4"/>
          <w:rFonts w:hint="cs"/>
          <w:vanish/>
          <w:rtl/>
        </w:rPr>
        <w:t>-</w:t>
      </w:r>
      <w:r w:rsidRPr="00B8766B">
        <w:rPr>
          <w:rStyle w:val="aff4"/>
          <w:rFonts w:hint="cs"/>
          <w:rtl/>
        </w:rPr>
        <w:t>ה</w:t>
      </w:r>
      <w:r w:rsidRPr="000D48AF">
        <w:rPr>
          <w:rStyle w:val="aff4"/>
          <w:rFonts w:hint="cs"/>
          <w:vanish/>
          <w:rtl/>
        </w:rPr>
        <w:t>&lt; &gt;</w:t>
      </w:r>
      <w:r w:rsidRPr="00B8766B">
        <w:rPr>
          <w:rStyle w:val="aff4"/>
          <w:rFonts w:hint="cs"/>
          <w:rtl/>
        </w:rPr>
        <w:t>מ"מ</w:t>
      </w:r>
      <w:r w:rsidRPr="000D48AF">
        <w:rPr>
          <w:rStyle w:val="aff4"/>
          <w:rFonts w:hint="cs"/>
          <w:vanish/>
          <w:rtl/>
        </w:rPr>
        <w:t>-</w:t>
      </w:r>
      <w:r>
        <w:rPr>
          <w:rFonts w:hint="cs"/>
          <w:rtl/>
        </w:rPr>
        <w:t xml:space="preserve"> </w:t>
      </w:r>
      <w:r w:rsidRPr="000D251D">
        <w:rPr>
          <w:rStyle w:val="af2"/>
          <w:rFonts w:eastAsia="Guttman Hodes" w:hint="cs"/>
          <w:rtl/>
        </w:rPr>
        <w:t>(שבת פ"ח הי"ג)</w:t>
      </w:r>
      <w:r w:rsidRPr="000D48AF">
        <w:rPr>
          <w:rFonts w:hint="cs"/>
          <w:vanish/>
          <w:rtl/>
        </w:rPr>
        <w:t>=</w:t>
      </w:r>
      <w:r>
        <w:rPr>
          <w:rFonts w:hint="cs"/>
          <w:rtl/>
        </w:rPr>
        <w:t xml:space="preserve"> </w:t>
      </w:r>
      <w:r w:rsidRPr="000D48AF">
        <w:rPr>
          <w:rStyle w:val="aff4"/>
          <w:rFonts w:hint="cs"/>
          <w:vanish/>
          <w:rtl/>
        </w:rPr>
        <w:t>-</w:t>
      </w:r>
      <w:r w:rsidRPr="00B8766B">
        <w:rPr>
          <w:rStyle w:val="aff4"/>
          <w:rFonts w:hint="cs"/>
          <w:rtl/>
        </w:rPr>
        <w:t>דהרמב"ם</w:t>
      </w:r>
      <w:r w:rsidRPr="000D48AF">
        <w:rPr>
          <w:rStyle w:val="aff4"/>
          <w:rFonts w:hint="cs"/>
          <w:vanish/>
          <w:rtl/>
        </w:rPr>
        <w:t>-</w:t>
      </w:r>
      <w:r>
        <w:rPr>
          <w:rFonts w:hint="cs"/>
          <w:rtl/>
        </w:rPr>
        <w:t xml:space="preserve"> פסק כחזקיה וכאביי, וכדביאר </w:t>
      </w:r>
      <w:r w:rsidRPr="000D48AF">
        <w:rPr>
          <w:rStyle w:val="aff4"/>
          <w:rFonts w:hint="cs"/>
          <w:vanish/>
          <w:rtl/>
        </w:rPr>
        <w:t>-</w:t>
      </w:r>
      <w:r w:rsidRPr="00B8766B">
        <w:rPr>
          <w:rStyle w:val="aff4"/>
          <w:rFonts w:hint="cs"/>
          <w:rtl/>
        </w:rPr>
        <w:t>ר"ח</w:t>
      </w:r>
      <w:r w:rsidRPr="000D48AF">
        <w:rPr>
          <w:rStyle w:val="aff4"/>
          <w:rFonts w:hint="cs"/>
          <w:vanish/>
          <w:rtl/>
        </w:rPr>
        <w:t>-</w:t>
      </w:r>
      <w:r>
        <w:rPr>
          <w:rFonts w:hint="cs"/>
          <w:rtl/>
        </w:rPr>
        <w:t xml:space="preserve"> דבתירוץ אביי ופלוגתת רב אשי ורב ירמיה מדיפתי, איירי בלאלתר</w:t>
      </w:r>
      <w:r w:rsidRPr="00291EA6">
        <w:rPr>
          <w:rFonts w:hint="cs"/>
          <w:rtl/>
        </w:rPr>
        <w:t>.</w:t>
      </w:r>
      <w:bookmarkEnd w:id="2575"/>
    </w:p>
    <w:p w14:paraId="59D0FA8C" w14:textId="77777777" w:rsidR="008925FD" w:rsidRPr="00747170" w:rsidRDefault="008925FD" w:rsidP="00747170">
      <w:pPr>
        <w:pStyle w:val="a2"/>
        <w:rPr>
          <w:rtl/>
        </w:rPr>
      </w:pPr>
      <w:r w:rsidRPr="00747170">
        <w:rPr>
          <w:rtl/>
        </w:rPr>
        <w:t>הבורר אוכל מתוך פסולת או שהיו לפניו שני מיני אוכלין ובירר מין ממין אחר בנפה ובכברה חייב, בקנון או בתמחוי פטור, ואם בירר בידו לאכול לאלתר מותר.</w:t>
      </w:r>
    </w:p>
    <w:p w14:paraId="4128B7EF" w14:textId="77777777" w:rsidR="008925FD" w:rsidRPr="00EB6547" w:rsidRDefault="008925FD" w:rsidP="00747170">
      <w:pPr>
        <w:pStyle w:val="afffff5"/>
        <w:rPr>
          <w:rtl/>
        </w:rPr>
      </w:pPr>
      <w:r w:rsidRPr="00EB6547">
        <w:rPr>
          <w:rtl/>
        </w:rPr>
        <w:t>והבורר פסולת מתוך האוכל אפילו בידו אחת חייב, והבורר תורמוסין מתוך פסולת שלהן חייב מפני שהפסולת שלהן ממתקת אותן כשישלקו אותן עמהם ונמצא כבורר פסולת מתוך אוכל וחייב. הבורר אוכל מתוך פסולת בידו להניחו אפילו לבו ביום נעשה כבורר לאוצר וחייב, היו לפניו שני מיני אוכלין מעורבין בורר אחד מאחד ומניח לאכול מיד, ואם בירר והניח לאחר זמן אפילו לבו ביום כגון שבירר בשחרית לאכול בין הערבים חייב.</w:t>
      </w:r>
      <w:r w:rsidRPr="00EB6547">
        <w:rPr>
          <w:rFonts w:hint="cs"/>
          <w:rtl/>
        </w:rPr>
        <w:t xml:space="preserve"> </w:t>
      </w:r>
    </w:p>
    <w:p w14:paraId="522514F4" w14:textId="77777777" w:rsidR="008925FD" w:rsidRPr="00EB6547" w:rsidRDefault="008925FD" w:rsidP="00747170">
      <w:pPr>
        <w:pStyle w:val="afffff5"/>
        <w:rPr>
          <w:rtl/>
        </w:rPr>
      </w:pPr>
      <w:r w:rsidRPr="00EB6547">
        <w:rPr>
          <w:rtl/>
        </w:rPr>
        <w:t xml:space="preserve">[יב] הבורר אוכל מתוך פסולת וכו'. דברי רבינו ז"ל בדינין אלו הם כפירוש ר"ח ז"ל שפי' הסוגיא והברייתא שבפרק כלל גדול </w:t>
      </w:r>
      <w:r w:rsidRPr="00EB6547">
        <w:rPr>
          <w:rStyle w:val="af2"/>
          <w:rFonts w:eastAsia="Guttman Hodes" w:cs="Guttman Hodes"/>
          <w:sz w:val="18"/>
          <w:szCs w:val="18"/>
          <w:rtl/>
        </w:rPr>
        <w:t>(שם ע"ד)</w:t>
      </w:r>
      <w:r w:rsidRPr="00EB6547">
        <w:rPr>
          <w:rtl/>
        </w:rPr>
        <w:t xml:space="preserve"> דבבורר לאכול לאלתר ביד מותר אוכל מתוך פסולת בדוקא ובקנון בתמחוי פטור אבל אסור בנפה ובכברה חייב חטאת ובורר לבו ביום אפילו ביד חייב חטאת ופסולת מתוך אוכל לעולם חייב וכן הסכים הרמב"ן ז"ל וכן נראה מן ההלכות שפסולת מתוך אוכל לעולם חייב ושני מיני אוכלין הרי הן כאוכל מתוך פסולת ולבאר זה מן הגמרא יאריכו הדברים:</w:t>
      </w:r>
    </w:p>
    <w:p w14:paraId="73A1B944" w14:textId="77777777" w:rsidR="008925FD" w:rsidRPr="00EB6547" w:rsidRDefault="008925FD" w:rsidP="00747170">
      <w:pPr>
        <w:pStyle w:val="afffff5"/>
        <w:rPr>
          <w:rtl/>
        </w:rPr>
      </w:pPr>
      <w:r w:rsidRPr="00EB6547">
        <w:rPr>
          <w:rtl/>
        </w:rPr>
        <w:t>[יג] והבורר תורמוסין וכו'. מימרא דחזקיה שם:</w:t>
      </w:r>
    </w:p>
    <w:p w14:paraId="1E4D63BC" w14:textId="77777777" w:rsidR="008925FD" w:rsidRPr="00EB6547" w:rsidRDefault="008925FD" w:rsidP="00747170">
      <w:pPr>
        <w:pStyle w:val="afffff5"/>
        <w:rPr>
          <w:rtl/>
        </w:rPr>
      </w:pPr>
      <w:r w:rsidRPr="00EB6547">
        <w:rPr>
          <w:rtl/>
        </w:rPr>
        <w:t>הבורר אוכל מתוך פסולת וכו'. אוקימתא דאביי שם. ופירוש לאלתר כתב ר"ח ז"ל שיעור מה שמיסב על השולחן באותה סעודה בלבד ע"כ. ודע שלדבריו ודברי רבינו אוקימתא דאביי ופלוגתא דרב אשי ורב ירמיה כולן לאלתר הן:</w:t>
      </w:r>
    </w:p>
    <w:p w14:paraId="19F7EADB" w14:textId="77777777" w:rsidR="008925FD" w:rsidRPr="00EB6547" w:rsidRDefault="008925FD" w:rsidP="00747170">
      <w:pPr>
        <w:pStyle w:val="afffff5"/>
        <w:rPr>
          <w:rtl/>
        </w:rPr>
      </w:pPr>
      <w:r w:rsidRPr="00EB6547">
        <w:rPr>
          <w:rtl/>
        </w:rPr>
        <w:t>היו לפניו שני מיני אוכלין וכו'. שם וכפי מה שנתבאר:</w:t>
      </w:r>
    </w:p>
    <w:p w14:paraId="56F998F1" w14:textId="5946BDB8" w:rsidR="008925FD" w:rsidRDefault="008925FD" w:rsidP="008925FD">
      <w:pPr>
        <w:pStyle w:val="afffff7"/>
        <w:rPr>
          <w:rtl/>
        </w:rPr>
      </w:pPr>
      <w:bookmarkStart w:id="2576" w:name="_Toc139277165"/>
      <w:bookmarkStart w:id="2577" w:name="_Toc163505868"/>
      <w:r>
        <w:rPr>
          <w:rtl/>
        </w:rPr>
        <w:t>חדושי הרמב"ן שבת ע"ד ע"א</w:t>
      </w:r>
      <w:r>
        <w:rPr>
          <w:rFonts w:hint="cs"/>
          <w:rtl/>
        </w:rPr>
        <w:t xml:space="preserve"> ד"ה והתניא</w:t>
      </w:r>
      <w:bookmarkEnd w:id="2576"/>
      <w:bookmarkEnd w:id="2577"/>
    </w:p>
    <w:p w14:paraId="406D3708" w14:textId="77777777" w:rsidR="008925FD" w:rsidRPr="00097C8B" w:rsidRDefault="008925FD" w:rsidP="008925FD">
      <w:pPr>
        <w:pStyle w:val="a7"/>
      </w:pPr>
      <w:bookmarkStart w:id="2578" w:name="_Toc139277062"/>
      <w:r>
        <w:rPr>
          <w:rFonts w:hint="cs"/>
          <w:rtl/>
        </w:rPr>
        <w:t>הוכחת הרמב"ן כר"ח דהיתר לאלתר הוא רק ביד ולא בקנון ותמחוי ובנפה חייב אף לאלתר</w:t>
      </w:r>
      <w:bookmarkEnd w:id="2578"/>
    </w:p>
    <w:p w14:paraId="38E513CF" w14:textId="2381F9A4" w:rsidR="008925FD" w:rsidRPr="00184268" w:rsidRDefault="008925FD" w:rsidP="00BC7DC8">
      <w:pPr>
        <w:pStyle w:val="a3"/>
      </w:pPr>
      <w:bookmarkStart w:id="2579" w:name="_Ref138956620"/>
      <w:r>
        <w:rPr>
          <w:rFonts w:hint="cs"/>
          <w:rtl/>
        </w:rPr>
        <w:t xml:space="preserve">כתב </w:t>
      </w:r>
      <w:r w:rsidRPr="003571D2">
        <w:rPr>
          <w:rStyle w:val="aff4"/>
          <w:rFonts w:hint="cs"/>
          <w:vanish/>
          <w:rtl/>
        </w:rPr>
        <w:t>-</w:t>
      </w:r>
      <w:r w:rsidRPr="00FE6CDD">
        <w:rPr>
          <w:rStyle w:val="aff4"/>
          <w:rFonts w:hint="cs"/>
          <w:rtl/>
        </w:rPr>
        <w:t>ה</w:t>
      </w:r>
      <w:r w:rsidRPr="00523BC7">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Ref138956620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כב)</w:t>
      </w:r>
      <w:r>
        <w:rPr>
          <w:rStyle w:val="aff4"/>
          <w:vanish/>
          <w:rtl/>
        </w:rPr>
        <w:fldChar w:fldCharType="end"/>
      </w:r>
      <w:r w:rsidRPr="00523BC7">
        <w:rPr>
          <w:rStyle w:val="aff4"/>
          <w:rFonts w:hint="cs"/>
          <w:vanish/>
          <w:rtl/>
        </w:rPr>
        <w:t xml:space="preserve"> &gt;</w:t>
      </w:r>
      <w:r w:rsidRPr="00FE6CDD">
        <w:rPr>
          <w:rStyle w:val="aff4"/>
          <w:rFonts w:hint="cs"/>
          <w:rtl/>
        </w:rPr>
        <w:t>רמב"ן</w:t>
      </w:r>
      <w:r w:rsidRPr="003571D2">
        <w:rPr>
          <w:rStyle w:val="aff4"/>
          <w:rFonts w:hint="cs"/>
          <w:vanish/>
          <w:rtl/>
        </w:rPr>
        <w:t>-</w:t>
      </w:r>
      <w:r>
        <w:rPr>
          <w:rFonts w:hint="cs"/>
          <w:rtl/>
        </w:rPr>
        <w:t xml:space="preserve"> </w:t>
      </w:r>
      <w:r w:rsidRPr="000D251D">
        <w:rPr>
          <w:rStyle w:val="af2"/>
          <w:rFonts w:eastAsia="Guttman Hodes" w:hint="cs"/>
          <w:rtl/>
        </w:rPr>
        <w:t>(ד"ה והתניא)</w:t>
      </w:r>
      <w:r w:rsidRPr="003571D2">
        <w:rPr>
          <w:rFonts w:hint="cs"/>
          <w:vanish/>
          <w:rtl/>
        </w:rPr>
        <w:t>=</w:t>
      </w:r>
      <w:r>
        <w:rPr>
          <w:rFonts w:hint="cs"/>
          <w:rtl/>
        </w:rPr>
        <w:t xml:space="preserve"> דהעיקר הוא כביאור </w:t>
      </w:r>
      <w:r w:rsidRPr="003571D2">
        <w:rPr>
          <w:rStyle w:val="aff4"/>
          <w:rFonts w:hint="cs"/>
          <w:vanish/>
          <w:rtl/>
        </w:rPr>
        <w:t>-</w:t>
      </w:r>
      <w:r w:rsidRPr="00FE6CDD">
        <w:rPr>
          <w:rStyle w:val="aff4"/>
          <w:rFonts w:hint="cs"/>
          <w:rtl/>
        </w:rPr>
        <w:t>ר"ח</w:t>
      </w:r>
      <w:r w:rsidRPr="003571D2">
        <w:rPr>
          <w:rStyle w:val="aff4"/>
          <w:rFonts w:hint="cs"/>
          <w:vanish/>
          <w:rtl/>
        </w:rPr>
        <w:t>-</w:t>
      </w:r>
      <w:r>
        <w:rPr>
          <w:rFonts w:hint="cs"/>
          <w:rtl/>
        </w:rPr>
        <w:t xml:space="preserve"> </w:t>
      </w:r>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Ref139187404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w:t>
      </w:r>
      <w:r>
        <w:rPr>
          <w:rStyle w:val="af2"/>
          <w:rFonts w:eastAsia="Guttman Hodes"/>
          <w:rtl/>
        </w:rPr>
        <w:fldChar w:fldCharType="end"/>
      </w:r>
      <w:r>
        <w:rPr>
          <w:rFonts w:hint="cs"/>
          <w:rtl/>
        </w:rPr>
        <w:t xml:space="preserve"> דבברייתא הראשונה איירי בבורר ביד, ואפ"ה בבורר ללאחר זמן חייב חטאת, ורב אשי ורב ירמיה מדיפתי נחלקו בקנון ותמחוי לאלתר, ובנפה וכברה לכו"ע חייב חטאת אף לאלתר דהוא כבורר לאוצר, </w:t>
      </w:r>
      <w:bookmarkStart w:id="2580" w:name="_Hlk138430113"/>
      <w:r>
        <w:rPr>
          <w:rFonts w:hint="cs"/>
          <w:rtl/>
        </w:rPr>
        <w:t xml:space="preserve">והביא </w:t>
      </w:r>
      <w:r w:rsidRPr="003571D2">
        <w:rPr>
          <w:rStyle w:val="aff4"/>
          <w:rFonts w:hint="cs"/>
          <w:vanish/>
          <w:rtl/>
        </w:rPr>
        <w:t>-</w:t>
      </w:r>
      <w:r w:rsidRPr="00FE6CDD">
        <w:rPr>
          <w:rStyle w:val="aff4"/>
          <w:rFonts w:hint="cs"/>
          <w:rtl/>
        </w:rPr>
        <w:t>הרמב"ן</w:t>
      </w:r>
      <w:r w:rsidRPr="003571D2">
        <w:rPr>
          <w:rStyle w:val="aff4"/>
          <w:rFonts w:hint="cs"/>
          <w:vanish/>
          <w:rtl/>
        </w:rPr>
        <w:t>-</w:t>
      </w:r>
      <w:r>
        <w:rPr>
          <w:rFonts w:hint="cs"/>
          <w:rtl/>
        </w:rPr>
        <w:t xml:space="preserve"> ראיה מהברייתא בביצה </w:t>
      </w:r>
      <w:r w:rsidRPr="000D251D">
        <w:rPr>
          <w:rStyle w:val="af2"/>
          <w:rFonts w:eastAsia="Guttman Hodes" w:hint="cs"/>
          <w:rtl/>
        </w:rPr>
        <w:t>(יב:)</w:t>
      </w:r>
      <w:r>
        <w:rPr>
          <w:rFonts w:hint="cs"/>
          <w:rtl/>
        </w:rPr>
        <w:t xml:space="preserve"> דהמולל מלילות מער"ש מותר לנפח בשבת על יד ולאכול, ואסור בקנון </w:t>
      </w:r>
      <w:r w:rsidRPr="00184268">
        <w:rPr>
          <w:rFonts w:hint="cs"/>
          <w:rtl/>
        </w:rPr>
        <w:t>ובתמחוי, ומבואר דאיירי באוכל לאלתר דהא לאחר זמן אסור אף לבו ביום, כדתנן במשנה בביצה דבמניח לתוך חיקו חייב</w:t>
      </w:r>
      <w:r>
        <w:rPr>
          <w:rFonts w:hint="cs"/>
          <w:rtl/>
        </w:rPr>
        <w:t>,</w:t>
      </w:r>
      <w:r w:rsidRPr="00184268">
        <w:rPr>
          <w:rFonts w:hint="cs"/>
          <w:rtl/>
        </w:rPr>
        <w:t xml:space="preserve"> ואמר ר"א דה"ה בשבת, וכתב </w:t>
      </w:r>
      <w:r w:rsidRPr="00656F23">
        <w:rPr>
          <w:rStyle w:val="aff4"/>
          <w:rFonts w:hint="cs"/>
          <w:vanish/>
          <w:rtl/>
        </w:rPr>
        <w:t>-</w:t>
      </w:r>
      <w:r w:rsidRPr="002D2941">
        <w:rPr>
          <w:rStyle w:val="aff4"/>
          <w:rFonts w:hint="cs"/>
          <w:rtl/>
        </w:rPr>
        <w:t>הרמב"ן</w:t>
      </w:r>
      <w:r w:rsidRPr="00656F23">
        <w:rPr>
          <w:rStyle w:val="aff4"/>
          <w:rFonts w:hint="cs"/>
          <w:vanish/>
          <w:rtl/>
        </w:rPr>
        <w:t>-</w:t>
      </w:r>
      <w:r w:rsidRPr="00184268">
        <w:rPr>
          <w:rFonts w:hint="cs"/>
          <w:rtl/>
        </w:rPr>
        <w:t xml:space="preserve"> דמוכח דאף לאלתר אסור בקנון, </w:t>
      </w:r>
      <w:bookmarkEnd w:id="2580"/>
      <w:r w:rsidRPr="00184268">
        <w:rPr>
          <w:rFonts w:hint="cs"/>
          <w:rtl/>
        </w:rPr>
        <w:t xml:space="preserve">והוסיף </w:t>
      </w:r>
      <w:r w:rsidRPr="00656F23">
        <w:rPr>
          <w:rStyle w:val="aff4"/>
          <w:rFonts w:hint="cs"/>
          <w:vanish/>
          <w:rtl/>
        </w:rPr>
        <w:t>-</w:t>
      </w:r>
      <w:r w:rsidRPr="002D2941">
        <w:rPr>
          <w:rStyle w:val="aff4"/>
          <w:rFonts w:hint="cs"/>
          <w:rtl/>
        </w:rPr>
        <w:t>הרמב"ן</w:t>
      </w:r>
      <w:r w:rsidRPr="00656F23">
        <w:rPr>
          <w:rStyle w:val="aff4"/>
          <w:rFonts w:hint="cs"/>
          <w:vanish/>
          <w:rtl/>
        </w:rPr>
        <w:t>-</w:t>
      </w:r>
      <w:r w:rsidRPr="00184268">
        <w:rPr>
          <w:rFonts w:hint="cs"/>
          <w:rtl/>
        </w:rPr>
        <w:t xml:space="preserve"> דכן משמע בברייתא השניה בסוגיין דאפשר להעמידה כתירוץ אביי דאיירי לאלתר, ודתירצה הגמ' לרווחא דמילתא דאיירי דנחלקו בה בקנון ותמחוי היינו לאלתר אבל בנפה אף לאלתר אסור, אך כתב </w:t>
      </w:r>
      <w:r w:rsidRPr="00656F23">
        <w:rPr>
          <w:rStyle w:val="aff4"/>
          <w:rFonts w:hint="cs"/>
          <w:vanish/>
          <w:rtl/>
        </w:rPr>
        <w:t>-</w:t>
      </w:r>
      <w:r w:rsidRPr="002D2941">
        <w:rPr>
          <w:rStyle w:val="aff4"/>
          <w:rFonts w:hint="cs"/>
          <w:rtl/>
        </w:rPr>
        <w:t>הרמב"ן</w:t>
      </w:r>
      <w:r w:rsidRPr="00656F23">
        <w:rPr>
          <w:rStyle w:val="aff4"/>
          <w:rFonts w:hint="cs"/>
          <w:vanish/>
          <w:rtl/>
        </w:rPr>
        <w:t>-</w:t>
      </w:r>
      <w:r w:rsidRPr="00184268">
        <w:rPr>
          <w:rFonts w:hint="cs"/>
          <w:rtl/>
        </w:rPr>
        <w:t xml:space="preserve"> דאף לפי תירוץ אביי הדין כן דבקנון אסור.</w:t>
      </w:r>
      <w:bookmarkEnd w:id="2579"/>
    </w:p>
    <w:p w14:paraId="4735C73D" w14:textId="77777777" w:rsidR="008925FD" w:rsidRPr="00747170" w:rsidRDefault="008925FD" w:rsidP="00747170">
      <w:pPr>
        <w:pStyle w:val="a2"/>
        <w:rPr>
          <w:rtl/>
        </w:rPr>
      </w:pPr>
      <w:r w:rsidRPr="00747170">
        <w:rPr>
          <w:rtl/>
        </w:rPr>
        <w:t xml:space="preserve">אבל מצינו לר"ח ז"ל שפירשה לברייתא דלעיל לאוקימתין דנחמני בבורר ביד ואפילו הכי לבו ביום חייב חטאת, ופלוגתא דרב אשי ורב ירמיה בקנון ובתמחוי ולאלתר, ובנפה וכברה לעולם חייב חטאת שנעשה כבורר לאוצר, וכן עיקר דליכא ברירה בכלי מותרת בשבת כלל בין בקנון בין בנפה, דתניא התם בביצה (י"ב ב') המולל מלילות מע"ש למחר מנפח על יד על יד ואוכל אבל לא בקנון ולא בתמחוי והיינו לאכול לאלתר דאלו להניח אפילו לבו ביום אסור כדתנן המולל מלילות של חטים מנפח על יד ואוכל ואם נפח ונתן לתוך חיקו חייב ואמר ר"א וכן לשבת, אלא ודאי בבורר ואוכל לאלתר היא ואפילו הכי בקנון אסור. </w:t>
      </w:r>
      <w:r w:rsidRPr="00747170">
        <w:rPr>
          <w:rFonts w:hint="cs"/>
          <w:rtl/>
        </w:rPr>
        <w:t>[</w:t>
      </w:r>
      <w:r w:rsidRPr="00747170">
        <w:rPr>
          <w:rtl/>
        </w:rPr>
        <w:t>וכן משמע דמהך ברייתא הוינן, ומתרץ לה כפי אוקימתא קמייתא לרווחא דמילתא לומר דאינון פליגי בקנון לאלתר אבל בנפה אפילו לאלתר מודה והיינו ברייתא, ומיהו אפי' לאוקימתא דאביי דינא הכי הוא</w:t>
      </w:r>
      <w:r w:rsidRPr="00747170">
        <w:rPr>
          <w:rFonts w:hint="cs"/>
          <w:rtl/>
        </w:rPr>
        <w:t>]</w:t>
      </w:r>
      <w:r w:rsidRPr="00747170">
        <w:rPr>
          <w:rtl/>
        </w:rPr>
        <w:t>.</w:t>
      </w:r>
    </w:p>
    <w:p w14:paraId="75293D3C" w14:textId="43C66BA4" w:rsidR="008925FD" w:rsidRPr="003A7CAC" w:rsidRDefault="008925FD" w:rsidP="008925FD">
      <w:pPr>
        <w:pStyle w:val="a7"/>
        <w:rPr>
          <w:rtl/>
        </w:rPr>
      </w:pPr>
      <w:bookmarkStart w:id="2581" w:name="_Toc139277063"/>
      <w:r>
        <w:rPr>
          <w:rFonts w:hint="cs"/>
          <w:rtl/>
        </w:rPr>
        <w:t>בי' הרמב"ן בר"ח דמוכח בחזקיה דפסולת מתוך אוכל בשינוי במנפח בפיו מותר ביד ולאלתר</w:t>
      </w:r>
      <w:bookmarkEnd w:id="2581"/>
    </w:p>
    <w:p w14:paraId="4A1F0AFA" w14:textId="77777777" w:rsidR="008925FD" w:rsidRPr="003A7CAC" w:rsidRDefault="008925FD" w:rsidP="00BC7DC8">
      <w:pPr>
        <w:pStyle w:val="a3"/>
      </w:pPr>
      <w:bookmarkStart w:id="2582" w:name="_Ref139274294"/>
      <w:r>
        <w:rPr>
          <w:rFonts w:hint="cs"/>
          <w:rtl/>
        </w:rPr>
        <w:t xml:space="preserve">והוסיף </w:t>
      </w:r>
      <w:r w:rsidRPr="003571D2">
        <w:rPr>
          <w:rStyle w:val="aff4"/>
          <w:rFonts w:hint="cs"/>
          <w:vanish/>
          <w:rtl/>
        </w:rPr>
        <w:t>-</w:t>
      </w:r>
      <w:r w:rsidRPr="00FE6CDD">
        <w:rPr>
          <w:rStyle w:val="aff4"/>
          <w:rFonts w:hint="cs"/>
          <w:rtl/>
        </w:rPr>
        <w:t>הרמב"ן</w:t>
      </w:r>
      <w:r w:rsidRPr="003571D2">
        <w:rPr>
          <w:rStyle w:val="aff4"/>
          <w:rFonts w:hint="cs"/>
          <w:vanish/>
          <w:rtl/>
        </w:rPr>
        <w:t>-</w:t>
      </w:r>
      <w:r>
        <w:rPr>
          <w:rFonts w:hint="cs"/>
          <w:rtl/>
        </w:rPr>
        <w:t xml:space="preserve"> בשם </w:t>
      </w:r>
      <w:r w:rsidRPr="003571D2">
        <w:rPr>
          <w:rStyle w:val="aff4"/>
          <w:rFonts w:hint="cs"/>
          <w:vanish/>
          <w:rtl/>
        </w:rPr>
        <w:t>-</w:t>
      </w:r>
      <w:r w:rsidRPr="00FE6CDD">
        <w:rPr>
          <w:rStyle w:val="aff4"/>
          <w:rFonts w:hint="cs"/>
          <w:rtl/>
        </w:rPr>
        <w:t>ר"ח</w:t>
      </w:r>
      <w:r w:rsidRPr="003571D2">
        <w:rPr>
          <w:rStyle w:val="aff4"/>
          <w:rFonts w:hint="cs"/>
          <w:vanish/>
          <w:rtl/>
        </w:rPr>
        <w:t>-</w:t>
      </w:r>
      <w:r>
        <w:rPr>
          <w:rFonts w:hint="cs"/>
          <w:rtl/>
        </w:rPr>
        <w:t xml:space="preserve"> דההיתר הוא רק באוכל מתוך פסולת אבל בפסולת מתוך אוכל חייב, כדמוכח מחזקיה, וכן פסק </w:t>
      </w:r>
      <w:r w:rsidRPr="00C25EAB">
        <w:rPr>
          <w:rStyle w:val="aff4"/>
          <w:rFonts w:hint="cs"/>
          <w:vanish/>
          <w:rtl/>
        </w:rPr>
        <w:t>-</w:t>
      </w:r>
      <w:r w:rsidRPr="00B8766B">
        <w:rPr>
          <w:rStyle w:val="aff4"/>
          <w:rFonts w:hint="cs"/>
          <w:rtl/>
        </w:rPr>
        <w:t>ה</w:t>
      </w:r>
      <w:r w:rsidRPr="001D2C54">
        <w:rPr>
          <w:rStyle w:val="aff4"/>
          <w:rFonts w:hint="cs"/>
          <w:vanish/>
          <w:rtl/>
        </w:rPr>
        <w:t>&lt; &gt;</w:t>
      </w:r>
      <w:r w:rsidRPr="00B8766B">
        <w:rPr>
          <w:rStyle w:val="aff4"/>
          <w:rFonts w:hint="cs"/>
          <w:rtl/>
        </w:rPr>
        <w:t>רי"ף</w:t>
      </w:r>
      <w:r w:rsidRPr="00C25EAB">
        <w:rPr>
          <w:rStyle w:val="aff4"/>
          <w:rFonts w:hint="cs"/>
          <w:vanish/>
          <w:rtl/>
        </w:rPr>
        <w:t>-</w:t>
      </w:r>
      <w:r w:rsidRPr="00291EA6">
        <w:rPr>
          <w:rFonts w:hint="cs"/>
          <w:rtl/>
        </w:rPr>
        <w:t xml:space="preserve"> </w:t>
      </w:r>
      <w:r w:rsidRPr="000D251D">
        <w:rPr>
          <w:rStyle w:val="af2"/>
          <w:rFonts w:eastAsia="Guttman Hodes" w:hint="cs"/>
          <w:rtl/>
        </w:rPr>
        <w:t>(לב. מדה"ר, מהדו' עוז והדר עמ' צ')</w:t>
      </w:r>
      <w:r w:rsidRPr="00C25EAB">
        <w:rPr>
          <w:rFonts w:hint="cs"/>
          <w:vanish/>
          <w:rtl/>
        </w:rPr>
        <w:t>=</w:t>
      </w:r>
      <w:r w:rsidRPr="00291EA6">
        <w:rPr>
          <w:rFonts w:hint="cs"/>
          <w:rtl/>
        </w:rPr>
        <w:t xml:space="preserve"> </w:t>
      </w:r>
      <w:r>
        <w:rPr>
          <w:rFonts w:hint="cs"/>
          <w:rtl/>
        </w:rPr>
        <w:t xml:space="preserve">וכתב </w:t>
      </w:r>
      <w:r w:rsidRPr="003571D2">
        <w:rPr>
          <w:rStyle w:val="aff4"/>
          <w:rFonts w:hint="cs"/>
          <w:vanish/>
          <w:rtl/>
        </w:rPr>
        <w:t>-</w:t>
      </w:r>
      <w:r w:rsidRPr="00FE6CDD">
        <w:rPr>
          <w:rStyle w:val="aff4"/>
          <w:rFonts w:hint="cs"/>
          <w:rtl/>
        </w:rPr>
        <w:t>הרמב"ן</w:t>
      </w:r>
      <w:r w:rsidRPr="003571D2">
        <w:rPr>
          <w:rStyle w:val="aff4"/>
          <w:rFonts w:hint="cs"/>
          <w:vanish/>
          <w:rtl/>
        </w:rPr>
        <w:t>-</w:t>
      </w:r>
      <w:r>
        <w:rPr>
          <w:rFonts w:hint="cs"/>
          <w:rtl/>
        </w:rPr>
        <w:t xml:space="preserve"> דהא דבברייתא בביצה מבואר דמותר לנפח על יד, הוא כיון דעושה שינוי דאין דרך לנפח כך, ולכן מותר אף בפסולת מתוך אוכל.</w:t>
      </w:r>
      <w:bookmarkEnd w:id="2582"/>
    </w:p>
    <w:p w14:paraId="23F4ED1E" w14:textId="77777777" w:rsidR="008925FD" w:rsidRPr="00747170" w:rsidRDefault="008925FD" w:rsidP="00747170">
      <w:pPr>
        <w:pStyle w:val="a2"/>
        <w:rPr>
          <w:rtl/>
        </w:rPr>
      </w:pPr>
      <w:r w:rsidRPr="00747170">
        <w:rPr>
          <w:rtl/>
        </w:rPr>
        <w:t>ופירש הרב ז"ל דהני מילי אוכל מתוך פסולת אבל פסולת מתוך אוכל לעולם אסור וחייב חטאת נמי הוא מדחזקיה וכן פסקה רבינו הגדול ז"ל בהלכות, וא"ת הרי התירו לנפח על יד, התם משום דמשני ואין דרך ניפוח בכך ואף על פי שהוא פסולת מתוך אוכל מותר</w:t>
      </w:r>
      <w:r w:rsidRPr="00747170">
        <w:rPr>
          <w:rFonts w:hint="cs"/>
          <w:rtl/>
        </w:rPr>
        <w:t>.</w:t>
      </w:r>
    </w:p>
    <w:p w14:paraId="063958A4" w14:textId="2BABA733" w:rsidR="008925FD" w:rsidRDefault="008925FD" w:rsidP="008925FD">
      <w:pPr>
        <w:pStyle w:val="afffff7"/>
        <w:rPr>
          <w:rtl/>
        </w:rPr>
      </w:pPr>
      <w:bookmarkStart w:id="2583" w:name="_Toc139277166"/>
      <w:bookmarkStart w:id="2584" w:name="_Toc163505869"/>
      <w:r>
        <w:rPr>
          <w:rtl/>
        </w:rPr>
        <w:t>חדושי הר"ן שבת ע"ד ע"א</w:t>
      </w:r>
      <w:r>
        <w:rPr>
          <w:rFonts w:hint="cs"/>
          <w:rtl/>
        </w:rPr>
        <w:t xml:space="preserve"> ד"ה היו</w:t>
      </w:r>
      <w:bookmarkEnd w:id="2583"/>
      <w:bookmarkEnd w:id="2584"/>
    </w:p>
    <w:p w14:paraId="610A3CA8" w14:textId="77777777" w:rsidR="008925FD" w:rsidRDefault="008925FD" w:rsidP="008925FD">
      <w:pPr>
        <w:pStyle w:val="a7"/>
        <w:rPr>
          <w:rtl/>
        </w:rPr>
      </w:pPr>
      <w:bookmarkStart w:id="2585" w:name="_Toc139277064"/>
      <w:r>
        <w:rPr>
          <w:rFonts w:hint="cs"/>
          <w:rtl/>
        </w:rPr>
        <w:t>בי' הר"ן בר"ח דמדאסר חזקיה בסתמא בפסולת מאוכל מבו' דהוא עיקר ברירה אף בלאלתר</w:t>
      </w:r>
      <w:bookmarkEnd w:id="2585"/>
      <w:r>
        <w:rPr>
          <w:rFonts w:hint="cs"/>
          <w:rtl/>
        </w:rPr>
        <w:t xml:space="preserve"> </w:t>
      </w:r>
    </w:p>
    <w:p w14:paraId="60C5D1E5" w14:textId="6CC724D4" w:rsidR="008925FD" w:rsidRPr="00FF45B3" w:rsidRDefault="008925FD" w:rsidP="00BC7DC8">
      <w:pPr>
        <w:pStyle w:val="a3"/>
        <w:rPr>
          <w:rtl/>
        </w:rPr>
      </w:pPr>
      <w:bookmarkStart w:id="2586" w:name="_Ref139231046"/>
      <w:r>
        <w:rPr>
          <w:rFonts w:hint="cs"/>
          <w:rtl/>
        </w:rPr>
        <w:t xml:space="preserve">במ"ש </w:t>
      </w:r>
      <w:r w:rsidRPr="00F61830">
        <w:rPr>
          <w:rStyle w:val="aff4"/>
          <w:rFonts w:hint="cs"/>
          <w:vanish/>
          <w:rtl/>
        </w:rPr>
        <w:t>-</w:t>
      </w:r>
      <w:r w:rsidRPr="002D2941">
        <w:rPr>
          <w:rStyle w:val="aff4"/>
          <w:rFonts w:hint="cs"/>
          <w:rtl/>
        </w:rPr>
        <w:t>ר"ח</w:t>
      </w:r>
      <w:r w:rsidRPr="00F61830">
        <w:rPr>
          <w:rStyle w:val="aff4"/>
          <w:rFonts w:hint="cs"/>
          <w:vanish/>
          <w:rtl/>
        </w:rPr>
        <w:t>-</w:t>
      </w:r>
      <w:r>
        <w:rPr>
          <w:rFonts w:hint="cs"/>
          <w:rtl/>
        </w:rPr>
        <w:t xml:space="preserve"> </w:t>
      </w:r>
      <w:r w:rsidRPr="00F61830">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Ref139187404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w:t>
      </w:r>
      <w:r>
        <w:rPr>
          <w:rStyle w:val="af2"/>
          <w:rFonts w:eastAsia="Guttman Hodes"/>
          <w:rtl/>
        </w:rPr>
        <w:fldChar w:fldCharType="end"/>
      </w:r>
      <w:r>
        <w:rPr>
          <w:rFonts w:hint="cs"/>
          <w:rtl/>
        </w:rPr>
        <w:t xml:space="preserve"> דההיתר דלאלתר הוא רק באוכל מתוך פסולת אבל בפסולת מתוך אוכל לעולם חייב אף לאלתר, כתב </w:t>
      </w:r>
      <w:r w:rsidRPr="00F61830">
        <w:rPr>
          <w:rStyle w:val="aff4"/>
          <w:rFonts w:hint="cs"/>
          <w:vanish/>
          <w:rtl/>
        </w:rPr>
        <w:t>-</w:t>
      </w:r>
      <w:r w:rsidRPr="002D2941">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Ref139231046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כד)</w:t>
      </w:r>
      <w:r>
        <w:rPr>
          <w:rStyle w:val="aff4"/>
          <w:vanish/>
          <w:rtl/>
        </w:rPr>
        <w:fldChar w:fldCharType="end"/>
      </w:r>
      <w:r>
        <w:rPr>
          <w:rStyle w:val="aff4"/>
          <w:rFonts w:hint="cs"/>
          <w:vanish/>
          <w:rtl/>
        </w:rPr>
        <w:t xml:space="preserve"> &gt;</w:t>
      </w:r>
      <w:r w:rsidRPr="002D2941">
        <w:rPr>
          <w:rStyle w:val="aff4"/>
          <w:rFonts w:hint="cs"/>
          <w:rtl/>
        </w:rPr>
        <w:t>ר"ן בחי'</w:t>
      </w:r>
      <w:r w:rsidRPr="00F61830">
        <w:rPr>
          <w:rStyle w:val="aff4"/>
          <w:rFonts w:hint="cs"/>
          <w:vanish/>
          <w:rtl/>
        </w:rPr>
        <w:t>-</w:t>
      </w:r>
      <w:r>
        <w:rPr>
          <w:rFonts w:hint="cs"/>
          <w:rtl/>
        </w:rPr>
        <w:t xml:space="preserve"> </w:t>
      </w:r>
      <w:r w:rsidRPr="00F61830">
        <w:rPr>
          <w:rStyle w:val="af2"/>
          <w:rFonts w:eastAsia="Guttman Hodes" w:hint="cs"/>
          <w:rtl/>
        </w:rPr>
        <w:t>(ד"ה היו, על הרי"ף לב. מדה"ר ד"ה היו)</w:t>
      </w:r>
      <w:r w:rsidRPr="00F61830">
        <w:rPr>
          <w:rFonts w:hint="cs"/>
          <w:vanish/>
          <w:rtl/>
        </w:rPr>
        <w:t>=</w:t>
      </w:r>
      <w:r>
        <w:rPr>
          <w:rFonts w:hint="cs"/>
          <w:rtl/>
        </w:rPr>
        <w:t xml:space="preserve"> דכן מוכח מחזקיה דפסולת מתוך אוכל אסור, מדאסר בסתמא משמע דאף בלאלתר אסור, וביאר </w:t>
      </w:r>
      <w:r w:rsidRPr="00F61830">
        <w:rPr>
          <w:rStyle w:val="aff4"/>
          <w:rFonts w:hint="cs"/>
          <w:vanish/>
          <w:rtl/>
        </w:rPr>
        <w:t>-</w:t>
      </w:r>
      <w:r w:rsidRPr="002D2941">
        <w:rPr>
          <w:rStyle w:val="aff4"/>
          <w:rFonts w:hint="cs"/>
          <w:rtl/>
        </w:rPr>
        <w:t>הר"ן</w:t>
      </w:r>
      <w:r w:rsidRPr="00F61830">
        <w:rPr>
          <w:rStyle w:val="aff4"/>
          <w:rFonts w:hint="cs"/>
          <w:vanish/>
          <w:rtl/>
        </w:rPr>
        <w:t>-</w:t>
      </w:r>
      <w:r>
        <w:rPr>
          <w:rFonts w:hint="cs"/>
          <w:rtl/>
        </w:rPr>
        <w:t xml:space="preserve"> דעיקר ברירה היא בפסולת מתוך אוכל.</w:t>
      </w:r>
      <w:bookmarkEnd w:id="2586"/>
    </w:p>
    <w:p w14:paraId="2012285E" w14:textId="77777777" w:rsidR="008925FD" w:rsidRPr="00747170" w:rsidRDefault="008925FD" w:rsidP="00747170">
      <w:pPr>
        <w:pStyle w:val="a2"/>
      </w:pPr>
      <w:r w:rsidRPr="00747170">
        <w:rPr>
          <w:rtl/>
        </w:rPr>
        <w:t>ועוד כתבו בשמו ז"ל דכי שרינן לאלתר היינו דוקא בבורר אוכל מתוך פסולת אבל פסולת מתוך אוכל אפי' לאלתר חייב חטאת ויליף מדחזקי' דאמר לקמן בסמוך הבורר תרמוסין מתוך פסולת שלהן חייב ומדקאמר סתמא משמע אפילו לאלתר וטעמא משום דעיקר בורר היינו פסולת מתוך אוכל</w:t>
      </w:r>
      <w:r w:rsidRPr="00747170">
        <w:rPr>
          <w:rFonts w:hint="cs"/>
          <w:rtl/>
        </w:rPr>
        <w:t>.</w:t>
      </w:r>
    </w:p>
    <w:p w14:paraId="73A36062" w14:textId="77777777" w:rsidR="008925FD" w:rsidRDefault="008925FD" w:rsidP="008925FD">
      <w:pPr>
        <w:pStyle w:val="afffff7"/>
        <w:rPr>
          <w:rtl/>
        </w:rPr>
      </w:pPr>
      <w:bookmarkStart w:id="2587" w:name="_Toc139277167"/>
      <w:bookmarkStart w:id="2588" w:name="_Hlk138414318"/>
      <w:bookmarkStart w:id="2589" w:name="_Toc163505870"/>
      <w:r>
        <w:rPr>
          <w:rtl/>
        </w:rPr>
        <w:t>חדושי הריטב"א שבת ע"ד ע"א</w:t>
      </w:r>
      <w:r>
        <w:rPr>
          <w:rFonts w:hint="cs"/>
          <w:rtl/>
        </w:rPr>
        <w:t xml:space="preserve"> ד"ה אלא, אמרוה</w:t>
      </w:r>
      <w:bookmarkEnd w:id="2587"/>
      <w:bookmarkEnd w:id="2589"/>
    </w:p>
    <w:p w14:paraId="5DB57F51" w14:textId="77777777" w:rsidR="008925FD" w:rsidRDefault="008925FD" w:rsidP="008925FD">
      <w:pPr>
        <w:pStyle w:val="a7"/>
        <w:rPr>
          <w:rtl/>
        </w:rPr>
      </w:pPr>
      <w:bookmarkStart w:id="2590" w:name="_Toc139277065"/>
      <w:r>
        <w:rPr>
          <w:rFonts w:hint="cs"/>
          <w:rtl/>
        </w:rPr>
        <w:t>בי' הריטב"א דנח' רב המנונא ואביי בחיוב חטאת באוכל מתוך פסולת לאח"ז וקיי"ל כאביי דחייב</w:t>
      </w:r>
      <w:bookmarkEnd w:id="2590"/>
    </w:p>
    <w:p w14:paraId="16E2400A" w14:textId="756984CC" w:rsidR="008925FD" w:rsidRPr="004E3397" w:rsidRDefault="008925FD" w:rsidP="00BC7DC8">
      <w:pPr>
        <w:pStyle w:val="a3"/>
        <w:rPr>
          <w:rtl/>
        </w:rPr>
      </w:pPr>
      <w:bookmarkStart w:id="2591" w:name="_Ref138415424"/>
      <w:r>
        <w:rPr>
          <w:rFonts w:hint="cs"/>
          <w:rtl/>
        </w:rPr>
        <w:t xml:space="preserve">בדברי אביי, ביאר </w:t>
      </w:r>
      <w:r w:rsidRPr="003571D2">
        <w:rPr>
          <w:rStyle w:val="aff4"/>
          <w:rFonts w:hint="cs"/>
          <w:vanish/>
          <w:rtl/>
        </w:rPr>
        <w:t>-</w:t>
      </w:r>
      <w:r w:rsidRPr="00FE6CDD">
        <w:rPr>
          <w:rStyle w:val="aff4"/>
          <w:rFonts w:hint="cs"/>
          <w:rtl/>
        </w:rPr>
        <w:t>ה</w:t>
      </w:r>
      <w:r w:rsidRPr="003571D2">
        <w:rPr>
          <w:rStyle w:val="aff4"/>
          <w:rFonts w:hint="cs"/>
          <w:vanish/>
          <w:rtl/>
        </w:rPr>
        <w:t xml:space="preserve">&lt;. </w:t>
      </w:r>
      <w:r w:rsidRPr="003571D2">
        <w:rPr>
          <w:rStyle w:val="aff4"/>
          <w:vanish/>
          <w:rtl/>
        </w:rPr>
        <w:fldChar w:fldCharType="begin"/>
      </w:r>
      <w:r w:rsidRPr="003571D2">
        <w:rPr>
          <w:rStyle w:val="aff4"/>
          <w:vanish/>
          <w:rtl/>
        </w:rPr>
        <w:instrText xml:space="preserve"> </w:instrText>
      </w:r>
      <w:r w:rsidRPr="003571D2">
        <w:rPr>
          <w:rStyle w:val="aff4"/>
          <w:rFonts w:hint="cs"/>
          <w:vanish/>
        </w:rPr>
        <w:instrText>REF</w:instrText>
      </w:r>
      <w:r w:rsidRPr="003571D2">
        <w:rPr>
          <w:rStyle w:val="aff4"/>
          <w:rFonts w:hint="cs"/>
          <w:vanish/>
          <w:rtl/>
        </w:rPr>
        <w:instrText xml:space="preserve"> _</w:instrText>
      </w:r>
      <w:r w:rsidRPr="003571D2">
        <w:rPr>
          <w:rStyle w:val="aff4"/>
          <w:rFonts w:hint="cs"/>
          <w:vanish/>
        </w:rPr>
        <w:instrText>Ref138415424 \r \h</w:instrText>
      </w:r>
      <w:r w:rsidRPr="003571D2">
        <w:rPr>
          <w:rStyle w:val="aff4"/>
          <w:vanish/>
          <w:rtl/>
        </w:rPr>
        <w:instrText xml:space="preserve"> </w:instrText>
      </w:r>
      <w:r w:rsidRPr="003571D2">
        <w:rPr>
          <w:rStyle w:val="aff4"/>
          <w:vanish/>
          <w:rtl/>
        </w:rPr>
      </w:r>
      <w:r w:rsidRPr="003571D2">
        <w:rPr>
          <w:rStyle w:val="aff4"/>
          <w:vanish/>
          <w:rtl/>
        </w:rPr>
        <w:fldChar w:fldCharType="separate"/>
      </w:r>
      <w:r w:rsidR="00D82181">
        <w:rPr>
          <w:rStyle w:val="aff4"/>
          <w:vanish/>
          <w:cs/>
        </w:rPr>
        <w:t>‎</w:t>
      </w:r>
      <w:r w:rsidR="00D82181">
        <w:rPr>
          <w:rStyle w:val="aff4"/>
          <w:vanish/>
          <w:rtl/>
        </w:rPr>
        <w:t>כה)</w:t>
      </w:r>
      <w:r w:rsidRPr="003571D2">
        <w:rPr>
          <w:rStyle w:val="aff4"/>
          <w:vanish/>
          <w:rtl/>
        </w:rPr>
        <w:fldChar w:fldCharType="end"/>
      </w:r>
      <w:r w:rsidRPr="003571D2">
        <w:rPr>
          <w:rStyle w:val="aff4"/>
          <w:rFonts w:hint="cs"/>
          <w:vanish/>
          <w:rtl/>
        </w:rPr>
        <w:t xml:space="preserve"> &gt;</w:t>
      </w:r>
      <w:r w:rsidRPr="00FE6CDD">
        <w:rPr>
          <w:rStyle w:val="aff4"/>
          <w:rFonts w:hint="cs"/>
          <w:rtl/>
        </w:rPr>
        <w:t>ריטב"א</w:t>
      </w:r>
      <w:r w:rsidRPr="003571D2">
        <w:rPr>
          <w:rStyle w:val="aff4"/>
          <w:rFonts w:hint="cs"/>
          <w:vanish/>
          <w:rtl/>
        </w:rPr>
        <w:t>-</w:t>
      </w:r>
      <w:r>
        <w:rPr>
          <w:rFonts w:hint="cs"/>
          <w:rtl/>
        </w:rPr>
        <w:t xml:space="preserve"> </w:t>
      </w:r>
      <w:r w:rsidRPr="000D251D">
        <w:rPr>
          <w:rStyle w:val="af2"/>
          <w:rFonts w:eastAsia="Guttman Hodes" w:hint="cs"/>
          <w:rtl/>
        </w:rPr>
        <w:t>(ד"ה אלא)</w:t>
      </w:r>
      <w:r w:rsidRPr="003571D2">
        <w:rPr>
          <w:rFonts w:hint="cs"/>
          <w:vanish/>
          <w:rtl/>
        </w:rPr>
        <w:t>=</w:t>
      </w:r>
      <w:r>
        <w:rPr>
          <w:rFonts w:hint="cs"/>
          <w:rtl/>
        </w:rPr>
        <w:t xml:space="preserve"> דלאלתר מותר אף בפסולת מתוך אוכל, ולאחר זמן אף אוכל מתוך פסולת וביד חייב, וכתב </w:t>
      </w:r>
      <w:r w:rsidRPr="003571D2">
        <w:rPr>
          <w:rStyle w:val="aff4"/>
          <w:rFonts w:hint="cs"/>
          <w:vanish/>
          <w:rtl/>
        </w:rPr>
        <w:t>-</w:t>
      </w:r>
      <w:r w:rsidRPr="00FE6CDD">
        <w:rPr>
          <w:rStyle w:val="aff4"/>
          <w:rFonts w:hint="cs"/>
          <w:rtl/>
        </w:rPr>
        <w:t>הריטב"א</w:t>
      </w:r>
      <w:r w:rsidRPr="003571D2">
        <w:rPr>
          <w:rStyle w:val="aff4"/>
          <w:rFonts w:hint="cs"/>
          <w:vanish/>
          <w:rtl/>
        </w:rPr>
        <w:t>-</w:t>
      </w:r>
      <w:r>
        <w:rPr>
          <w:rFonts w:hint="cs"/>
          <w:rtl/>
        </w:rPr>
        <w:t xml:space="preserve"> דא"כ בלאלתר אביי מיקל יותר מרב המנונא, ומחמיר יותר ממנו בלאחר זמן דאף באוכל מתוך פסולת חייב, והביא </w:t>
      </w:r>
      <w:r w:rsidRPr="003571D2">
        <w:rPr>
          <w:rStyle w:val="aff4"/>
          <w:rFonts w:hint="cs"/>
          <w:vanish/>
          <w:rtl/>
        </w:rPr>
        <w:t>-</w:t>
      </w:r>
      <w:r w:rsidRPr="00FE6CDD">
        <w:rPr>
          <w:rStyle w:val="aff4"/>
          <w:rFonts w:hint="cs"/>
          <w:rtl/>
        </w:rPr>
        <w:t>הריטב"א</w:t>
      </w:r>
      <w:r w:rsidRPr="003571D2">
        <w:rPr>
          <w:rStyle w:val="aff4"/>
          <w:rFonts w:hint="cs"/>
          <w:vanish/>
          <w:rtl/>
        </w:rPr>
        <w:t>-</w:t>
      </w:r>
      <w:r>
        <w:rPr>
          <w:rFonts w:hint="cs"/>
          <w:rtl/>
        </w:rPr>
        <w:t xml:space="preserve"> את דברי </w:t>
      </w:r>
      <w:r w:rsidRPr="003571D2">
        <w:rPr>
          <w:rStyle w:val="aff4"/>
          <w:rFonts w:hint="cs"/>
          <w:vanish/>
          <w:rtl/>
        </w:rPr>
        <w:t>-</w:t>
      </w:r>
      <w:r w:rsidRPr="00FE6CDD">
        <w:rPr>
          <w:rStyle w:val="aff4"/>
          <w:rFonts w:hint="cs"/>
          <w:rtl/>
        </w:rPr>
        <w:t>הרמב"ן</w:t>
      </w:r>
      <w:r w:rsidRPr="003571D2">
        <w:rPr>
          <w:rStyle w:val="aff4"/>
          <w:rFonts w:hint="cs"/>
          <w:vanish/>
          <w:rtl/>
        </w:rPr>
        <w:t>-</w:t>
      </w:r>
      <w:r>
        <w:rPr>
          <w:rFonts w:hint="cs"/>
          <w:rtl/>
        </w:rPr>
        <w:t xml:space="preserve"> </w:t>
      </w:r>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Ref139274294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כג)</w:t>
      </w:r>
      <w:r>
        <w:rPr>
          <w:rStyle w:val="af2"/>
          <w:rFonts w:eastAsia="Guttman Hodes"/>
          <w:rtl/>
        </w:rPr>
        <w:fldChar w:fldCharType="end"/>
      </w:r>
      <w:r>
        <w:rPr>
          <w:rFonts w:hint="cs"/>
          <w:rtl/>
        </w:rPr>
        <w:t xml:space="preserve"> בשם </w:t>
      </w:r>
      <w:r w:rsidRPr="003571D2">
        <w:rPr>
          <w:rStyle w:val="aff4"/>
          <w:rFonts w:hint="cs"/>
          <w:vanish/>
          <w:rtl/>
        </w:rPr>
        <w:t>-</w:t>
      </w:r>
      <w:r w:rsidRPr="00FE6CDD">
        <w:rPr>
          <w:rStyle w:val="aff4"/>
          <w:rFonts w:hint="cs"/>
          <w:rtl/>
        </w:rPr>
        <w:t>הרי"ף</w:t>
      </w:r>
      <w:r w:rsidRPr="003571D2">
        <w:rPr>
          <w:rStyle w:val="aff4"/>
          <w:rFonts w:hint="cs"/>
          <w:vanish/>
          <w:rtl/>
        </w:rPr>
        <w:t>-</w:t>
      </w:r>
      <w:r>
        <w:rPr>
          <w:rFonts w:hint="cs"/>
          <w:rtl/>
        </w:rPr>
        <w:t xml:space="preserve"> דאביי התיר רק באוכל מתוך פסולת, כיון דברישא לא תני אוכל מתוך פסולת יותר מבסיפא, וא"כ כל הברייתא איירי באותו אופן, דלאלתר אוכל מתוך פסולת מותר ובפסולת מתוך אוכל אף לאלתר חייב, כרב המנונא, דנחלקו רק באוקימתא בברייתא ולא להלכה, אך כתב </w:t>
      </w:r>
      <w:r w:rsidRPr="003571D2">
        <w:rPr>
          <w:rStyle w:val="aff4"/>
          <w:rFonts w:hint="cs"/>
          <w:vanish/>
          <w:rtl/>
        </w:rPr>
        <w:t>-</w:t>
      </w:r>
      <w:r w:rsidRPr="00FE6CDD">
        <w:rPr>
          <w:rStyle w:val="aff4"/>
          <w:rFonts w:hint="cs"/>
          <w:rtl/>
        </w:rPr>
        <w:t>הריטב"א</w:t>
      </w:r>
      <w:r w:rsidRPr="003571D2">
        <w:rPr>
          <w:rStyle w:val="aff4"/>
          <w:rFonts w:hint="cs"/>
          <w:vanish/>
          <w:rtl/>
        </w:rPr>
        <w:t>-</w:t>
      </w:r>
      <w:r>
        <w:rPr>
          <w:rFonts w:hint="cs"/>
          <w:rtl/>
        </w:rPr>
        <w:t xml:space="preserve"> דאף דבהיתר ברירה לא נחלקו, מ"מ נחלקו בדיעבד דבאוכל מתוך פסולת לרב המנונא פטור אף בלאחר זמן, ולאביי חייב, וכתב </w:t>
      </w:r>
      <w:r w:rsidRPr="003571D2">
        <w:rPr>
          <w:rStyle w:val="aff4"/>
          <w:rFonts w:hint="cs"/>
          <w:vanish/>
          <w:rtl/>
        </w:rPr>
        <w:t>-</w:t>
      </w:r>
      <w:r w:rsidRPr="00FE6CDD">
        <w:rPr>
          <w:rStyle w:val="aff4"/>
          <w:rFonts w:hint="cs"/>
          <w:rtl/>
        </w:rPr>
        <w:t>ה</w:t>
      </w:r>
      <w:r w:rsidRPr="003571D2">
        <w:rPr>
          <w:rStyle w:val="aff4"/>
          <w:rFonts w:hint="cs"/>
          <w:vanish/>
          <w:rtl/>
        </w:rPr>
        <w:t>&lt; &gt;</w:t>
      </w:r>
      <w:r w:rsidRPr="00FE6CDD">
        <w:rPr>
          <w:rStyle w:val="aff4"/>
          <w:rFonts w:hint="cs"/>
          <w:rtl/>
        </w:rPr>
        <w:t>ריטב"א</w:t>
      </w:r>
      <w:r w:rsidRPr="003571D2">
        <w:rPr>
          <w:rStyle w:val="aff4"/>
          <w:rFonts w:hint="cs"/>
          <w:vanish/>
          <w:rtl/>
        </w:rPr>
        <w:t>-</w:t>
      </w:r>
      <w:r>
        <w:rPr>
          <w:rFonts w:hint="cs"/>
          <w:rtl/>
        </w:rPr>
        <w:t xml:space="preserve"> </w:t>
      </w:r>
      <w:r w:rsidRPr="000D251D">
        <w:rPr>
          <w:rStyle w:val="af2"/>
          <w:rFonts w:eastAsia="Guttman Hodes" w:hint="cs"/>
          <w:rtl/>
        </w:rPr>
        <w:t>(ד"ה אמרוה)</w:t>
      </w:r>
      <w:r w:rsidRPr="003571D2">
        <w:rPr>
          <w:rFonts w:hint="cs"/>
          <w:vanish/>
          <w:rtl/>
        </w:rPr>
        <w:t>=</w:t>
      </w:r>
      <w:r>
        <w:rPr>
          <w:rFonts w:hint="cs"/>
          <w:rtl/>
        </w:rPr>
        <w:t xml:space="preserve"> </w:t>
      </w:r>
      <w:r>
        <w:rPr>
          <w:rFonts w:hint="cs"/>
          <w:rtl/>
        </w:rPr>
        <w:lastRenderedPageBreak/>
        <w:t xml:space="preserve">דא"כ להלכה לאחר זמן לעולם אסור, אף ביד ובאוכל מתוך פסולת, ולאביי חייב בזה חטאת, ובנפה וכברה אף לאלתר חייב, ובקנון ותמחוי פטור אבל אסור, וא"כ היתר ברירה הוא רק בלאלתר ביד ואוכל מתוך פסולת, וכתב </w:t>
      </w:r>
      <w:r w:rsidRPr="003571D2">
        <w:rPr>
          <w:rStyle w:val="aff4"/>
          <w:rFonts w:hint="cs"/>
          <w:vanish/>
          <w:rtl/>
        </w:rPr>
        <w:t>-</w:t>
      </w:r>
      <w:r w:rsidRPr="00FE6CDD">
        <w:rPr>
          <w:rStyle w:val="aff4"/>
          <w:rFonts w:hint="cs"/>
          <w:rtl/>
        </w:rPr>
        <w:t>הריטב"א דלתוס'</w:t>
      </w:r>
      <w:r w:rsidRPr="003571D2">
        <w:rPr>
          <w:rStyle w:val="aff4"/>
          <w:rFonts w:hint="cs"/>
          <w:vanish/>
          <w:rtl/>
        </w:rPr>
        <w:t>-</w:t>
      </w:r>
      <w:r>
        <w:rPr>
          <w:rFonts w:hint="cs"/>
          <w:rtl/>
        </w:rPr>
        <w:t xml:space="preserve"> אף פסולת מתוך אוכל ביד לאלתר מותר, ודחה </w:t>
      </w:r>
      <w:r w:rsidRPr="003571D2">
        <w:rPr>
          <w:rStyle w:val="aff4"/>
          <w:rFonts w:hint="cs"/>
          <w:vanish/>
          <w:rtl/>
        </w:rPr>
        <w:t>-</w:t>
      </w:r>
      <w:r w:rsidRPr="00FE6CDD">
        <w:rPr>
          <w:rStyle w:val="aff4"/>
          <w:rFonts w:hint="cs"/>
          <w:rtl/>
        </w:rPr>
        <w:t>הריטב"א</w:t>
      </w:r>
      <w:r w:rsidRPr="003571D2">
        <w:rPr>
          <w:rStyle w:val="aff4"/>
          <w:rFonts w:hint="cs"/>
          <w:vanish/>
          <w:rtl/>
        </w:rPr>
        <w:t>-</w:t>
      </w:r>
      <w:r>
        <w:rPr>
          <w:rFonts w:hint="cs"/>
          <w:rtl/>
        </w:rPr>
        <w:t xml:space="preserve"> את דבריהם.</w:t>
      </w:r>
      <w:bookmarkEnd w:id="2591"/>
    </w:p>
    <w:p w14:paraId="00BF6B8C" w14:textId="77777777" w:rsidR="008925FD" w:rsidRPr="00747170" w:rsidRDefault="008925FD" w:rsidP="00747170">
      <w:pPr>
        <w:pStyle w:val="a2"/>
        <w:rPr>
          <w:rtl/>
        </w:rPr>
      </w:pPr>
      <w:r w:rsidRPr="00747170">
        <w:rPr>
          <w:rtl/>
        </w:rPr>
        <w:t>אלא אמר אביי בורר ואוכל לשעתו בורר ומניח לשעתו. אפילו פסולת מתוך האוכל.</w:t>
      </w:r>
    </w:p>
    <w:p w14:paraId="4A8D77E8" w14:textId="77777777" w:rsidR="008925FD" w:rsidRPr="00EB6547" w:rsidRDefault="008925FD" w:rsidP="00747170">
      <w:pPr>
        <w:pStyle w:val="afffff5"/>
        <w:rPr>
          <w:rtl/>
        </w:rPr>
      </w:pPr>
      <w:r w:rsidRPr="00EB6547">
        <w:rPr>
          <w:rtl/>
        </w:rPr>
        <w:t>ולבו ביום לא יברור. פירוש ואפילו אוכל מתוך פסולת ואפילו בידו, ואם בירר חייב חטאת, נמצא אביי מיקל יותר מרב המנונא בבורר לאכול לשעתו, ומחמיר יותר ממנו בבורר לבו ביום שהוא חייב חטאת אפילו בבורר אוכל מתוך פסולת.</w:t>
      </w:r>
    </w:p>
    <w:p w14:paraId="303DD2E7" w14:textId="77777777" w:rsidR="008925FD" w:rsidRPr="00EB6547" w:rsidRDefault="008925FD" w:rsidP="00747170">
      <w:pPr>
        <w:pStyle w:val="afffff5"/>
        <w:rPr>
          <w:rtl/>
        </w:rPr>
      </w:pPr>
      <w:r w:rsidRPr="00EB6547">
        <w:rPr>
          <w:rtl/>
        </w:rPr>
        <w:t xml:space="preserve">אבל מורי הרב ז"ל פירש בשם רבינו הגדול ז"ל דאביי לא שרי אלא אוכל מתוך פסולת, והכי קאמר מידי אוכל מתוך פסולת קתני ברישא יותר מבסיפא, הא ודאי כולה בחדא גוונא היא, בורר ואוכל לאלתר אוכל מתוך פסולת כדקאמרת, ולא יברור לבו ביום אפילו אוכל מתוך פסולת ואם בירר חייב חטאת, והוא הדין לאביי שאם ברר פסולת מתוך האוכל אפי' לשעתו חייב כדרב המנונא, דאף בבורר אוכל מתוך פסולת לבו ביום שהוא חייב </w:t>
      </w:r>
      <w:r w:rsidRPr="00EB6547">
        <w:rPr>
          <w:rFonts w:hint="cs"/>
          <w:rtl/>
        </w:rPr>
        <w:t xml:space="preserve">. </w:t>
      </w:r>
      <w:r w:rsidRPr="00EB6547">
        <w:rPr>
          <w:rtl/>
        </w:rPr>
        <w:t>ובאוקימתא בלחוד פליגי, והנכון דלכתחילה לא פליגי ולא שרי אביי אלא לברור אוכל מתוך פסולת אבל בדיעבד פליגי דלא מחייב (כ)רב המנונא בזה אפילו לבו ביום.</w:t>
      </w:r>
    </w:p>
    <w:bookmarkEnd w:id="2588"/>
    <w:p w14:paraId="4ED0C222" w14:textId="77777777" w:rsidR="008925FD" w:rsidRPr="00EB6547" w:rsidRDefault="008925FD" w:rsidP="00747170">
      <w:pPr>
        <w:pStyle w:val="afffff5"/>
        <w:rPr>
          <w:rtl/>
        </w:rPr>
      </w:pPr>
      <w:r w:rsidRPr="00EB6547">
        <w:rPr>
          <w:rtl/>
        </w:rPr>
        <w:t>אמרוה קמיה דרבא ואמר להו שפיר אמר נחמני. ונמצינו למדין אליבא דהילכתא דכל לברור אפילו לבו ביום אסור ואפי' בידו ואפי' אוכל מתוך פסולת, וחיוב חטאת יש בו אליבא דאביי ורבא מיהת, ובנפה וכברה חייב אפי' לאכול לאלתר, ובקנון ותמחוי פטור אבל אסור, ואין לנו מותר אלא לברור לשעתו בידו אוכל מתוך פסולת כדברי אביי ורבא, ולדעת התוספות אפילו פסולת מתוך האוכל כשעושה בידו לשעתו, ואין היתר זה מחוור.</w:t>
      </w:r>
    </w:p>
    <w:p w14:paraId="39B46081" w14:textId="1670E109" w:rsidR="008925FD" w:rsidRDefault="008925FD" w:rsidP="008925FD">
      <w:pPr>
        <w:pStyle w:val="afffff7"/>
        <w:rPr>
          <w:rtl/>
        </w:rPr>
      </w:pPr>
      <w:bookmarkStart w:id="2592" w:name="_Toc139277168"/>
      <w:bookmarkStart w:id="2593" w:name="_Toc163505871"/>
      <w:r>
        <w:rPr>
          <w:rtl/>
        </w:rPr>
        <w:t>ספר המכריע סי</w:t>
      </w:r>
      <w:r>
        <w:rPr>
          <w:rFonts w:hint="cs"/>
          <w:rtl/>
        </w:rPr>
        <w:t xml:space="preserve">' </w:t>
      </w:r>
      <w:r>
        <w:rPr>
          <w:rtl/>
        </w:rPr>
        <w:t>כ</w:t>
      </w:r>
      <w:r>
        <w:rPr>
          <w:rFonts w:hint="cs"/>
          <w:rtl/>
        </w:rPr>
        <w:t>"</w:t>
      </w:r>
      <w:r>
        <w:rPr>
          <w:rtl/>
        </w:rPr>
        <w:t>ג</w:t>
      </w:r>
      <w:r w:rsidRPr="006B322E">
        <w:rPr>
          <w:rtl/>
        </w:rPr>
        <w:t xml:space="preserve"> ד"ה </w:t>
      </w:r>
      <w:r>
        <w:rPr>
          <w:rFonts w:hint="cs"/>
          <w:rtl/>
        </w:rPr>
        <w:t>וראיתי כתוב</w:t>
      </w:r>
      <w:bookmarkEnd w:id="2592"/>
      <w:bookmarkEnd w:id="2593"/>
    </w:p>
    <w:p w14:paraId="57E6F9A5" w14:textId="77777777" w:rsidR="008925FD" w:rsidRDefault="008925FD" w:rsidP="008925FD">
      <w:pPr>
        <w:pStyle w:val="a7"/>
        <w:rPr>
          <w:rtl/>
        </w:rPr>
      </w:pPr>
      <w:bookmarkStart w:id="2594" w:name="_Toc139277066"/>
      <w:r>
        <w:rPr>
          <w:rFonts w:hint="cs"/>
          <w:rtl/>
        </w:rPr>
        <w:t>קו' הרי"ד על ר"ח דאוכל מתוך פסולת הוא שינוי ולא שייך בזה חטאת אף בנפה וכ"ש בקנון וביד</w:t>
      </w:r>
      <w:bookmarkEnd w:id="2594"/>
    </w:p>
    <w:p w14:paraId="53042567" w14:textId="4F06BC3D" w:rsidR="008925FD" w:rsidRPr="00EE3255" w:rsidRDefault="008925FD" w:rsidP="00BC7DC8">
      <w:pPr>
        <w:pStyle w:val="a3"/>
      </w:pPr>
      <w:bookmarkStart w:id="2595" w:name="_Ref138092671"/>
      <w:r>
        <w:rPr>
          <w:rFonts w:hint="cs"/>
          <w:rtl/>
        </w:rPr>
        <w:t xml:space="preserve">במ"ש </w:t>
      </w:r>
      <w:r w:rsidRPr="00194A43">
        <w:rPr>
          <w:rStyle w:val="aff4"/>
          <w:rFonts w:hint="cs"/>
          <w:vanish/>
          <w:rtl/>
        </w:rPr>
        <w:t>-</w:t>
      </w:r>
      <w:r w:rsidRPr="00194A43">
        <w:rPr>
          <w:rStyle w:val="aff4"/>
          <w:rFonts w:hint="cs"/>
          <w:rtl/>
        </w:rPr>
        <w:t>ר"ח</w:t>
      </w:r>
      <w:r w:rsidRPr="00194A43">
        <w:rPr>
          <w:rStyle w:val="aff4"/>
          <w:rFonts w:hint="cs"/>
          <w:vanish/>
          <w:rtl/>
        </w:rPr>
        <w:t>-</w:t>
      </w:r>
      <w:r>
        <w:rPr>
          <w:rFonts w:hint="cs"/>
          <w:rtl/>
        </w:rPr>
        <w:t xml:space="preserve"> </w:t>
      </w:r>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Ref139187404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w:t>
      </w:r>
      <w:r>
        <w:rPr>
          <w:rStyle w:val="af2"/>
          <w:rFonts w:eastAsia="Guttman Hodes"/>
          <w:rtl/>
        </w:rPr>
        <w:fldChar w:fldCharType="end"/>
      </w:r>
      <w:r>
        <w:rPr>
          <w:rFonts w:hint="cs"/>
          <w:rtl/>
        </w:rPr>
        <w:t xml:space="preserve"> דלכו"ע מותר רק ביד ולאלתר ובאוכל מתוך פסולת, דחה </w:t>
      </w:r>
      <w:r w:rsidRPr="00194A43">
        <w:rPr>
          <w:rStyle w:val="aff4"/>
          <w:rFonts w:hint="cs"/>
          <w:vanish/>
          <w:rtl/>
        </w:rPr>
        <w:t>-</w:t>
      </w:r>
      <w:r w:rsidRPr="00194A43">
        <w:rPr>
          <w:rStyle w:val="aff4"/>
          <w:rFonts w:hint="cs"/>
          <w:rtl/>
        </w:rPr>
        <w:t>ה</w:t>
      </w:r>
      <w:r w:rsidRPr="00194A43">
        <w:rPr>
          <w:rStyle w:val="aff4"/>
          <w:rFonts w:hint="cs"/>
          <w:vanish/>
          <w:rtl/>
        </w:rPr>
        <w:t xml:space="preserve">&lt;. </w:t>
      </w:r>
      <w:r w:rsidRPr="00194A43">
        <w:rPr>
          <w:rStyle w:val="aff4"/>
          <w:vanish/>
          <w:rtl/>
        </w:rPr>
        <w:fldChar w:fldCharType="begin"/>
      </w:r>
      <w:r w:rsidRPr="00194A43">
        <w:rPr>
          <w:rStyle w:val="aff4"/>
          <w:vanish/>
          <w:rtl/>
        </w:rPr>
        <w:instrText xml:space="preserve"> </w:instrText>
      </w:r>
      <w:r w:rsidRPr="00194A43">
        <w:rPr>
          <w:rStyle w:val="aff4"/>
          <w:rFonts w:hint="cs"/>
          <w:vanish/>
        </w:rPr>
        <w:instrText>REF</w:instrText>
      </w:r>
      <w:r w:rsidRPr="00194A43">
        <w:rPr>
          <w:rStyle w:val="aff4"/>
          <w:rFonts w:hint="cs"/>
          <w:vanish/>
          <w:rtl/>
        </w:rPr>
        <w:instrText xml:space="preserve"> _</w:instrText>
      </w:r>
      <w:r w:rsidRPr="00194A43">
        <w:rPr>
          <w:rStyle w:val="aff4"/>
          <w:rFonts w:hint="cs"/>
          <w:vanish/>
        </w:rPr>
        <w:instrText>Ref138092671 \r \h</w:instrText>
      </w:r>
      <w:r w:rsidRPr="00194A43">
        <w:rPr>
          <w:rStyle w:val="aff4"/>
          <w:vanish/>
          <w:rtl/>
        </w:rPr>
        <w:instrText xml:space="preserve"> </w:instrText>
      </w:r>
      <w:r>
        <w:rPr>
          <w:rStyle w:val="aff4"/>
          <w:vanish/>
          <w:rtl/>
        </w:rPr>
        <w:instrText xml:space="preserve"> \* </w:instrText>
      </w:r>
      <w:r>
        <w:rPr>
          <w:rStyle w:val="aff4"/>
          <w:vanish/>
        </w:rPr>
        <w:instrText>MERGEFORMAT</w:instrText>
      </w:r>
      <w:r>
        <w:rPr>
          <w:rStyle w:val="aff4"/>
          <w:vanish/>
          <w:rtl/>
        </w:rPr>
        <w:instrText xml:space="preserve"> </w:instrText>
      </w:r>
      <w:r w:rsidRPr="00194A43">
        <w:rPr>
          <w:rStyle w:val="aff4"/>
          <w:vanish/>
          <w:rtl/>
        </w:rPr>
      </w:r>
      <w:r w:rsidRPr="00194A43">
        <w:rPr>
          <w:rStyle w:val="aff4"/>
          <w:vanish/>
          <w:rtl/>
        </w:rPr>
        <w:fldChar w:fldCharType="separate"/>
      </w:r>
      <w:r w:rsidR="00D82181">
        <w:rPr>
          <w:rStyle w:val="aff4"/>
          <w:vanish/>
          <w:cs/>
        </w:rPr>
        <w:t>‎</w:t>
      </w:r>
      <w:r w:rsidR="00D82181">
        <w:rPr>
          <w:rStyle w:val="aff4"/>
          <w:vanish/>
          <w:rtl/>
        </w:rPr>
        <w:t>כו)</w:t>
      </w:r>
      <w:r w:rsidRPr="00194A43">
        <w:rPr>
          <w:rStyle w:val="aff4"/>
          <w:vanish/>
          <w:rtl/>
        </w:rPr>
        <w:fldChar w:fldCharType="end"/>
      </w:r>
      <w:r w:rsidRPr="00194A43">
        <w:rPr>
          <w:rStyle w:val="aff4"/>
          <w:rFonts w:hint="cs"/>
          <w:vanish/>
          <w:rtl/>
        </w:rPr>
        <w:t xml:space="preserve"> &gt;</w:t>
      </w:r>
      <w:r w:rsidRPr="00194A43">
        <w:rPr>
          <w:rStyle w:val="aff4"/>
          <w:rFonts w:hint="cs"/>
          <w:rtl/>
        </w:rPr>
        <w:t>רי"ד בספר המכריע</w:t>
      </w:r>
      <w:r w:rsidRPr="00194A43">
        <w:rPr>
          <w:rStyle w:val="aff4"/>
          <w:rFonts w:hint="cs"/>
          <w:vanish/>
          <w:rtl/>
        </w:rPr>
        <w:t>-</w:t>
      </w:r>
      <w:r>
        <w:rPr>
          <w:rFonts w:hint="cs"/>
          <w:rtl/>
        </w:rPr>
        <w:t xml:space="preserve"> </w:t>
      </w:r>
      <w:r w:rsidRPr="000D251D">
        <w:rPr>
          <w:rStyle w:val="af2"/>
          <w:rFonts w:eastAsia="Guttman Hodes" w:hint="cs"/>
          <w:rtl/>
        </w:rPr>
        <w:t>(סי' כ"ג ד"ה וראיתי כתוב, הועתק בקובץ שיטות קמאי שבת ח"ב עמ' אלף פ"ז)</w:t>
      </w:r>
      <w:r w:rsidRPr="00194A43">
        <w:rPr>
          <w:rFonts w:hint="cs"/>
          <w:vanish/>
          <w:rtl/>
        </w:rPr>
        <w:t>=</w:t>
      </w:r>
      <w:r>
        <w:rPr>
          <w:rFonts w:hint="cs"/>
          <w:rtl/>
        </w:rPr>
        <w:t xml:space="preserve"> דאף בנפה וכברה לא שייך חיוב חטאת באוכל מתוך פסולת דהוא שינוי, </w:t>
      </w:r>
      <w:r w:rsidRPr="000D251D">
        <w:rPr>
          <w:rStyle w:val="af"/>
          <w:rFonts w:hint="cs"/>
          <w:rtl/>
        </w:rPr>
        <w:t xml:space="preserve">[כדביאר </w:t>
      </w:r>
      <w:r w:rsidRPr="009B1F18">
        <w:rPr>
          <w:rStyle w:val="aff9"/>
          <w:rFonts w:hint="cs"/>
          <w:vanish/>
          <w:rtl/>
        </w:rPr>
        <w:t>-</w:t>
      </w:r>
      <w:r w:rsidRPr="009B1F18">
        <w:rPr>
          <w:rStyle w:val="aff9"/>
          <w:rFonts w:hint="cs"/>
          <w:rtl/>
        </w:rPr>
        <w:t>הרי"ד</w:t>
      </w:r>
      <w:r w:rsidRPr="009B1F18">
        <w:rPr>
          <w:rStyle w:val="aff9"/>
          <w:rFonts w:hint="cs"/>
          <w:vanish/>
          <w:rtl/>
        </w:rPr>
        <w:t>-</w:t>
      </w:r>
      <w:r w:rsidRPr="000D251D">
        <w:rPr>
          <w:rStyle w:val="af"/>
          <w:rFonts w:hint="cs"/>
          <w:rtl/>
        </w:rPr>
        <w:t xml:space="preserve"> </w:t>
      </w:r>
      <w:r w:rsidRPr="009B1F18">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Ref139225896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ס)</w:t>
      </w:r>
      <w:r>
        <w:rPr>
          <w:rStyle w:val="aff0"/>
          <w:rtl/>
        </w:rPr>
        <w:fldChar w:fldCharType="end"/>
      </w:r>
      <w:r w:rsidRPr="000D251D">
        <w:rPr>
          <w:rStyle w:val="af"/>
          <w:rFonts w:hint="cs"/>
          <w:rtl/>
        </w:rPr>
        <w:t xml:space="preserve"> בדעת אביי, וכדהוכיח </w:t>
      </w:r>
      <w:r w:rsidRPr="009B1F18">
        <w:rPr>
          <w:rStyle w:val="aff9"/>
          <w:rFonts w:hint="cs"/>
          <w:vanish/>
          <w:rtl/>
        </w:rPr>
        <w:t>-</w:t>
      </w:r>
      <w:r w:rsidRPr="009B1F18">
        <w:rPr>
          <w:rStyle w:val="aff9"/>
          <w:rFonts w:hint="cs"/>
          <w:rtl/>
        </w:rPr>
        <w:t>הרי"ד</w:t>
      </w:r>
      <w:r w:rsidRPr="009B1F18">
        <w:rPr>
          <w:rStyle w:val="aff9"/>
          <w:rFonts w:hint="cs"/>
          <w:vanish/>
          <w:rtl/>
        </w:rPr>
        <w:t>-</w:t>
      </w:r>
      <w:r w:rsidRPr="000D251D">
        <w:rPr>
          <w:rStyle w:val="af"/>
          <w:rFonts w:hint="cs"/>
          <w:rtl/>
        </w:rPr>
        <w:t xml:space="preserve"> </w:t>
      </w:r>
      <w:r w:rsidRPr="009B1F18">
        <w:rPr>
          <w:rStyle w:val="aff0"/>
          <w:rFonts w:hint="cs"/>
          <w:rtl/>
        </w:rPr>
        <w:t xml:space="preserve">(עי' אות </w:t>
      </w:r>
      <w:r w:rsidRPr="009B1F18">
        <w:rPr>
          <w:rStyle w:val="aff0"/>
          <w:rtl/>
        </w:rPr>
        <w:fldChar w:fldCharType="begin"/>
      </w:r>
      <w:r w:rsidRPr="009B1F18">
        <w:rPr>
          <w:rStyle w:val="aff0"/>
          <w:rtl/>
        </w:rPr>
        <w:instrText xml:space="preserve"> </w:instrText>
      </w:r>
      <w:r w:rsidRPr="009B1F18">
        <w:rPr>
          <w:rStyle w:val="aff0"/>
          <w:rFonts w:hint="cs"/>
        </w:rPr>
        <w:instrText>REF</w:instrText>
      </w:r>
      <w:r w:rsidRPr="009B1F18">
        <w:rPr>
          <w:rStyle w:val="aff0"/>
          <w:rFonts w:hint="cs"/>
          <w:rtl/>
        </w:rPr>
        <w:instrText xml:space="preserve"> _</w:instrText>
      </w:r>
      <w:r w:rsidRPr="009B1F18">
        <w:rPr>
          <w:rStyle w:val="aff0"/>
          <w:rFonts w:hint="cs"/>
        </w:rPr>
        <w:instrText>Ref138967431 \r \h</w:instrText>
      </w:r>
      <w:r w:rsidRPr="009B1F18">
        <w:rPr>
          <w:rStyle w:val="aff0"/>
          <w:rtl/>
        </w:rPr>
        <w:instrText xml:space="preserve"> </w:instrText>
      </w:r>
      <w:r w:rsidRPr="009B1F18">
        <w:rPr>
          <w:rStyle w:val="aff0"/>
          <w:rtl/>
        </w:rPr>
      </w:r>
      <w:r w:rsidRPr="009B1F18">
        <w:rPr>
          <w:rStyle w:val="aff0"/>
          <w:rtl/>
        </w:rPr>
        <w:fldChar w:fldCharType="separate"/>
      </w:r>
      <w:r w:rsidR="00D82181">
        <w:rPr>
          <w:rStyle w:val="aff0"/>
          <w:cs/>
        </w:rPr>
        <w:t>‎</w:t>
      </w:r>
      <w:r w:rsidR="00D82181">
        <w:rPr>
          <w:rStyle w:val="aff0"/>
          <w:rtl/>
        </w:rPr>
        <w:t>לב)</w:t>
      </w:r>
      <w:r w:rsidRPr="009B1F18">
        <w:rPr>
          <w:rStyle w:val="aff0"/>
          <w:rtl/>
        </w:rPr>
        <w:fldChar w:fldCharType="end"/>
      </w:r>
      <w:r w:rsidRPr="000D251D">
        <w:rPr>
          <w:rStyle w:val="af"/>
          <w:rFonts w:hint="cs"/>
          <w:rtl/>
        </w:rPr>
        <w:t xml:space="preserve"> מהמשנה בביצה בדעת רב המנונא</w:t>
      </w:r>
      <w:r w:rsidRPr="00394BDA">
        <w:rPr>
          <w:rStyle w:val="af"/>
          <w:rFonts w:hint="cs"/>
          <w:rtl/>
        </w:rPr>
        <w:t>],</w:t>
      </w:r>
      <w:r>
        <w:rPr>
          <w:rFonts w:hint="cs"/>
          <w:rtl/>
        </w:rPr>
        <w:t xml:space="preserve"> וכ"ש בקנון ותמחוי וביד דאינו חייב חטאת, אלא כתב </w:t>
      </w:r>
      <w:r w:rsidRPr="00194A43">
        <w:rPr>
          <w:rStyle w:val="aff4"/>
          <w:rFonts w:hint="cs"/>
          <w:vanish/>
          <w:rtl/>
        </w:rPr>
        <w:t>-</w:t>
      </w:r>
      <w:r w:rsidRPr="00194A43">
        <w:rPr>
          <w:rStyle w:val="aff4"/>
          <w:rFonts w:hint="cs"/>
          <w:rtl/>
        </w:rPr>
        <w:t>הרי"ד</w:t>
      </w:r>
      <w:r w:rsidRPr="00194A43">
        <w:rPr>
          <w:rStyle w:val="aff4"/>
          <w:rFonts w:hint="cs"/>
          <w:vanish/>
          <w:rtl/>
        </w:rPr>
        <w:t>-</w:t>
      </w:r>
      <w:r>
        <w:rPr>
          <w:rFonts w:hint="cs"/>
          <w:rtl/>
        </w:rPr>
        <w:t xml:space="preserve"> דמוכח דאביי איירי בפסולת מתוך אוכל ואפ"ה מתיר ביד, ועי' במה שהוסיף </w:t>
      </w:r>
      <w:r w:rsidRPr="00194A43">
        <w:rPr>
          <w:rStyle w:val="aff4"/>
          <w:rFonts w:hint="cs"/>
          <w:vanish/>
          <w:rtl/>
        </w:rPr>
        <w:t>-</w:t>
      </w:r>
      <w:r w:rsidRPr="00194A43">
        <w:rPr>
          <w:rStyle w:val="aff4"/>
          <w:rFonts w:hint="cs"/>
          <w:rtl/>
        </w:rPr>
        <w:t>הרי"ד</w:t>
      </w:r>
      <w:r>
        <w:rPr>
          <w:rStyle w:val="aff4"/>
          <w:vanish/>
          <w:rtl/>
        </w:rPr>
        <w:t>–</w:t>
      </w:r>
      <w:r>
        <w:rPr>
          <w:rFonts w:hint="cs"/>
          <w:rtl/>
        </w:rPr>
        <w:t xml:space="preserve"> </w:t>
      </w:r>
      <w:r w:rsidRPr="002F06DB">
        <w:rPr>
          <w:rStyle w:val="af2"/>
          <w:rFonts w:eastAsia="Guttman Hodes" w:hint="cs"/>
          <w:rtl/>
        </w:rPr>
        <w:t>(עי' אות</w:t>
      </w:r>
      <w:r>
        <w:rPr>
          <w:rStyle w:val="af2"/>
          <w:rFonts w:eastAsia="Guttman Hodes" w:hint="cs"/>
          <w:rtl/>
        </w:rPr>
        <w:t xml:space="preserve">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Ref139226441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פה)</w:t>
      </w:r>
      <w:r>
        <w:rPr>
          <w:rStyle w:val="af2"/>
          <w:rFonts w:eastAsia="Guttman Hodes"/>
          <w:rtl/>
        </w:rPr>
        <w:fldChar w:fldCharType="end"/>
      </w:r>
      <w:r>
        <w:rPr>
          <w:rFonts w:hint="cs"/>
          <w:rtl/>
        </w:rPr>
        <w:t xml:space="preserve"> לבאר בזה.</w:t>
      </w:r>
      <w:bookmarkEnd w:id="2595"/>
    </w:p>
    <w:p w14:paraId="611BC0ED" w14:textId="77777777" w:rsidR="008925FD" w:rsidRPr="00747170" w:rsidRDefault="008925FD" w:rsidP="00747170">
      <w:pPr>
        <w:pStyle w:val="a2"/>
      </w:pPr>
      <w:r w:rsidRPr="00747170">
        <w:rPr>
          <w:rtl/>
        </w:rPr>
        <w:t>וראיתי כתוב משם רבינו חננאל זצוק"ל שמעינן מרבה ואביי ורב אשי כי בורר ואוכל ביד בורר ומניח ביד שפיר דמי ודוקא אוכל מתוך פסולת אבל פסולת מתוך אוכל לא ואוכל מתוך פסולת דשרי לברור ולאכול או לברור ולהניח כדי לאוכלן לאלתר אבל לברור להניח שלא לאלתר לא. וזה שאמרנו שמותר לברור ולאכול לברור ולהניח לאוכלו לאלתר הני מילי ביד אבל בקנון ובתמחוי לא ואם בירר פטור אבל אסור ובנפה ובכברה דברי הכל חייב חטאת. ואינו נראה לי לפרש דברי אביי באוכל מתוך פסולת דאילו כן לא הוה מחייב חטאת אפילו בקנון ובתמחוי כל שכן בנפה ובכברה מפני שהוא שינוי כדפרישית וכל שכן ביד אלא ודאי בפסולת מתוך אוכל קאמר ואפי' הכי לברור ולאכול ביד שרי.</w:t>
      </w:r>
    </w:p>
    <w:p w14:paraId="00C51C25" w14:textId="6CCA3CF1" w:rsidR="008925FD" w:rsidRDefault="008925FD" w:rsidP="008925FD">
      <w:pPr>
        <w:pStyle w:val="afffff7"/>
        <w:rPr>
          <w:rtl/>
        </w:rPr>
      </w:pPr>
      <w:bookmarkStart w:id="2596" w:name="_Toc139277169"/>
      <w:bookmarkStart w:id="2597" w:name="_Toc163505872"/>
      <w:r>
        <w:rPr>
          <w:rtl/>
        </w:rPr>
        <w:t>שו"ת מהריט"ץ סי</w:t>
      </w:r>
      <w:r>
        <w:rPr>
          <w:rFonts w:hint="cs"/>
          <w:rtl/>
        </w:rPr>
        <w:t xml:space="preserve">' </w:t>
      </w:r>
      <w:r>
        <w:rPr>
          <w:rtl/>
        </w:rPr>
        <w:t>ר</w:t>
      </w:r>
      <w:r>
        <w:rPr>
          <w:rFonts w:hint="cs"/>
          <w:rtl/>
        </w:rPr>
        <w:t>"</w:t>
      </w:r>
      <w:r>
        <w:rPr>
          <w:rtl/>
        </w:rPr>
        <w:t>ג</w:t>
      </w:r>
      <w:r>
        <w:rPr>
          <w:rFonts w:hint="cs"/>
          <w:rtl/>
        </w:rPr>
        <w:t xml:space="preserve"> ד"ה ראיתי</w:t>
      </w:r>
      <w:bookmarkEnd w:id="2596"/>
      <w:bookmarkEnd w:id="2597"/>
    </w:p>
    <w:p w14:paraId="24D554F7" w14:textId="77777777" w:rsidR="008925FD" w:rsidRDefault="008925FD" w:rsidP="008925FD">
      <w:pPr>
        <w:pStyle w:val="a7"/>
        <w:rPr>
          <w:rtl/>
        </w:rPr>
      </w:pPr>
      <w:bookmarkStart w:id="2598" w:name="_Toc139277067"/>
      <w:r>
        <w:rPr>
          <w:rFonts w:hint="cs"/>
          <w:rtl/>
        </w:rPr>
        <w:t>בי' המהריט"ץ ברמב"ם דתי' רב יוסף ורב המנונא נדחו וקיי"ל כחזקיה ואביי ורב אשי</w:t>
      </w:r>
      <w:bookmarkEnd w:id="2598"/>
    </w:p>
    <w:p w14:paraId="272950F0" w14:textId="5DF486A3" w:rsidR="008925FD" w:rsidRPr="009954B3" w:rsidRDefault="008925FD" w:rsidP="00BC7DC8">
      <w:pPr>
        <w:pStyle w:val="a3"/>
        <w:rPr>
          <w:rtl/>
        </w:rPr>
      </w:pPr>
      <w:bookmarkStart w:id="2599" w:name="_Ref138958206"/>
      <w:r>
        <w:rPr>
          <w:rFonts w:hint="cs"/>
          <w:rtl/>
        </w:rPr>
        <w:t xml:space="preserve">במ"ש </w:t>
      </w:r>
      <w:r w:rsidRPr="00F00B89">
        <w:rPr>
          <w:rStyle w:val="aff4"/>
          <w:rFonts w:hint="cs"/>
          <w:vanish/>
          <w:rtl/>
        </w:rPr>
        <w:t>-</w:t>
      </w:r>
      <w:r w:rsidRPr="007F312F">
        <w:rPr>
          <w:rStyle w:val="aff4"/>
          <w:rFonts w:hint="cs"/>
          <w:rtl/>
        </w:rPr>
        <w:t>הפוסקים</w:t>
      </w:r>
      <w:r w:rsidRPr="00F00B89">
        <w:rPr>
          <w:rStyle w:val="aff4"/>
          <w:rFonts w:hint="cs"/>
          <w:vanish/>
          <w:rtl/>
        </w:rPr>
        <w:t>-</w:t>
      </w:r>
      <w:r>
        <w:rPr>
          <w:rFonts w:hint="cs"/>
          <w:rtl/>
        </w:rPr>
        <w:t xml:space="preserve"> </w:t>
      </w:r>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Ref139187813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כא)</w:t>
      </w:r>
      <w:r>
        <w:rPr>
          <w:rStyle w:val="af2"/>
          <w:rFonts w:eastAsia="Guttman Hodes"/>
          <w:rtl/>
        </w:rPr>
        <w:fldChar w:fldCharType="end"/>
      </w:r>
      <w:r>
        <w:rPr>
          <w:rFonts w:hint="cs"/>
          <w:rtl/>
        </w:rPr>
        <w:t xml:space="preserve"> דאוכל מתוך פסולת חייב אף לאלתר, הקשה </w:t>
      </w:r>
      <w:r w:rsidRPr="00F00B89">
        <w:rPr>
          <w:rStyle w:val="aff4"/>
          <w:rFonts w:hint="cs"/>
          <w:vanish/>
          <w:rtl/>
        </w:rPr>
        <w:t>-</w:t>
      </w:r>
      <w:r w:rsidRPr="007F312F">
        <w:rPr>
          <w:rStyle w:val="aff4"/>
          <w:rFonts w:hint="cs"/>
          <w:rtl/>
        </w:rPr>
        <w:t>ב</w:t>
      </w:r>
      <w:r w:rsidRPr="00F00B89">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Ref138958206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כז)</w:t>
      </w:r>
      <w:r>
        <w:rPr>
          <w:rStyle w:val="aff4"/>
          <w:vanish/>
          <w:rtl/>
        </w:rPr>
        <w:fldChar w:fldCharType="end"/>
      </w:r>
      <w:r w:rsidRPr="00F00B89">
        <w:rPr>
          <w:rStyle w:val="aff4"/>
          <w:rFonts w:hint="cs"/>
          <w:vanish/>
          <w:rtl/>
        </w:rPr>
        <w:t xml:space="preserve"> &gt;</w:t>
      </w:r>
      <w:r w:rsidRPr="007F312F">
        <w:rPr>
          <w:rStyle w:val="aff4"/>
          <w:rFonts w:hint="cs"/>
          <w:rtl/>
        </w:rPr>
        <w:t>שו"ת מהריט"ץ</w:t>
      </w:r>
      <w:r w:rsidRPr="00F00B89">
        <w:rPr>
          <w:rStyle w:val="aff4"/>
          <w:rFonts w:hint="cs"/>
          <w:vanish/>
          <w:rtl/>
        </w:rPr>
        <w:t>-</w:t>
      </w:r>
      <w:r>
        <w:rPr>
          <w:rFonts w:hint="cs"/>
          <w:rtl/>
        </w:rPr>
        <w:t xml:space="preserve"> </w:t>
      </w:r>
      <w:r w:rsidRPr="000D251D">
        <w:rPr>
          <w:rStyle w:val="af2"/>
          <w:rFonts w:eastAsia="Guttman Hodes" w:hint="cs"/>
          <w:rtl/>
        </w:rPr>
        <w:t>(סי' ר"ג ד"ה ראיתי)</w:t>
      </w:r>
      <w:r w:rsidRPr="00F00B89">
        <w:rPr>
          <w:rFonts w:hint="cs"/>
          <w:vanish/>
          <w:rtl/>
        </w:rPr>
        <w:t>=</w:t>
      </w:r>
      <w:r>
        <w:rPr>
          <w:rFonts w:hint="cs"/>
          <w:rtl/>
        </w:rPr>
        <w:t xml:space="preserve"> דרב המנונא אוסר בפסולת מתוך אוכל, ולמסקנא קיי"ל כאביי דמתיר כל שהוא לאלתר, וכתב </w:t>
      </w:r>
      <w:r w:rsidRPr="00F00B89">
        <w:rPr>
          <w:rStyle w:val="aff4"/>
          <w:rFonts w:hint="cs"/>
          <w:vanish/>
          <w:rtl/>
        </w:rPr>
        <w:t>-</w:t>
      </w:r>
      <w:r w:rsidRPr="007F312F">
        <w:rPr>
          <w:rStyle w:val="aff4"/>
          <w:rFonts w:hint="cs"/>
          <w:rtl/>
        </w:rPr>
        <w:t>המהריט"ץ</w:t>
      </w:r>
      <w:r w:rsidRPr="00F00B89">
        <w:rPr>
          <w:rStyle w:val="aff4"/>
          <w:rFonts w:hint="cs"/>
          <w:vanish/>
          <w:rtl/>
        </w:rPr>
        <w:t>-</w:t>
      </w:r>
      <w:r>
        <w:rPr>
          <w:rFonts w:hint="cs"/>
          <w:rtl/>
        </w:rPr>
        <w:t xml:space="preserve"> דהיה אפשר לתרץ דמשמע בלשון קושיות הגמ' דרק </w:t>
      </w:r>
      <w:r w:rsidRPr="00BA1057">
        <w:rPr>
          <w:rFonts w:hint="cs"/>
          <w:rtl/>
        </w:rPr>
        <w:t>תירוצי עולא ורב</w:t>
      </w:r>
      <w:r>
        <w:rPr>
          <w:rFonts w:hint="cs"/>
          <w:rtl/>
        </w:rPr>
        <w:t xml:space="preserve"> חסדא נדחו, אבל תירוצי רב יוסף ורב המנונא לא נדחו מההלכה, וקושית הגמ' עליהם היא דלא משמע כן בברייתא, ולכן להלכה נשאר החילוק בין אוכל מתוך פסולת לפסולת מתוך אוכל, אך דחה </w:t>
      </w:r>
      <w:r w:rsidRPr="00F00B89">
        <w:rPr>
          <w:rStyle w:val="aff4"/>
          <w:rFonts w:hint="cs"/>
          <w:vanish/>
          <w:rtl/>
        </w:rPr>
        <w:t>-</w:t>
      </w:r>
      <w:r w:rsidRPr="007F312F">
        <w:rPr>
          <w:rStyle w:val="aff4"/>
          <w:rFonts w:hint="cs"/>
          <w:rtl/>
        </w:rPr>
        <w:t>המהריט"ץ</w:t>
      </w:r>
      <w:r w:rsidRPr="00F00B89">
        <w:rPr>
          <w:rStyle w:val="aff4"/>
          <w:rFonts w:hint="cs"/>
          <w:vanish/>
          <w:rtl/>
        </w:rPr>
        <w:t>-</w:t>
      </w:r>
      <w:r>
        <w:rPr>
          <w:rFonts w:hint="cs"/>
          <w:rtl/>
        </w:rPr>
        <w:t xml:space="preserve"> דהא רב יוסף מתיר ביד אף לאחר זמן, ורב המנונא מתיר באוכל מתוך פסולת לאחר זמן, ואילו למסקנא קיי"ל כאביי דההיתר רק לאלתר, ומוכח דרב יוסף ורב המנונא נדחו מההלכה, אלא ביאר </w:t>
      </w:r>
      <w:r w:rsidRPr="00F00B89">
        <w:rPr>
          <w:rStyle w:val="aff4"/>
          <w:rFonts w:hint="cs"/>
          <w:vanish/>
          <w:rtl/>
        </w:rPr>
        <w:t>-</w:t>
      </w:r>
      <w:r w:rsidRPr="007F312F">
        <w:rPr>
          <w:rStyle w:val="aff4"/>
          <w:rFonts w:hint="cs"/>
          <w:rtl/>
        </w:rPr>
        <w:t>המהריט"ץ</w:t>
      </w:r>
      <w:r w:rsidRPr="00F00B89">
        <w:rPr>
          <w:rStyle w:val="aff4"/>
          <w:rFonts w:hint="cs"/>
          <w:vanish/>
          <w:rtl/>
        </w:rPr>
        <w:t>-</w:t>
      </w:r>
      <w:r>
        <w:rPr>
          <w:rFonts w:hint="cs"/>
          <w:rtl/>
        </w:rPr>
        <w:t xml:space="preserve"> דמדברי חזקיה מבואר דההיתר הוא רק באוכל מתוך פסולת, ומדאמר כן בסתמא משמע דהיינו דוקא לאלתר, כדביאר </w:t>
      </w:r>
      <w:r w:rsidRPr="00F00B89">
        <w:rPr>
          <w:rStyle w:val="aff4"/>
          <w:rFonts w:hint="cs"/>
          <w:vanish/>
          <w:rtl/>
        </w:rPr>
        <w:t>-</w:t>
      </w:r>
      <w:r w:rsidRPr="007F312F">
        <w:rPr>
          <w:rStyle w:val="aff4"/>
          <w:rFonts w:hint="cs"/>
          <w:rtl/>
        </w:rPr>
        <w:t>הר"ן</w:t>
      </w:r>
      <w:r w:rsidRPr="00F00B89">
        <w:rPr>
          <w:rStyle w:val="aff4"/>
          <w:rFonts w:hint="cs"/>
          <w:vanish/>
          <w:rtl/>
        </w:rPr>
        <w:t>-</w:t>
      </w:r>
      <w:r>
        <w:rPr>
          <w:rFonts w:hint="cs"/>
          <w:rtl/>
        </w:rPr>
        <w:t xml:space="preserve"> </w:t>
      </w:r>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Ref139231046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כד)</w:t>
      </w:r>
      <w:r>
        <w:rPr>
          <w:rStyle w:val="af2"/>
          <w:rFonts w:eastAsia="Guttman Hodes"/>
          <w:rtl/>
        </w:rPr>
        <w:fldChar w:fldCharType="end"/>
      </w:r>
      <w:r>
        <w:rPr>
          <w:rFonts w:hint="cs"/>
          <w:rtl/>
        </w:rPr>
        <w:t xml:space="preserve"> בדעת </w:t>
      </w:r>
      <w:r w:rsidRPr="00F00B89">
        <w:rPr>
          <w:rStyle w:val="aff4"/>
          <w:rFonts w:hint="cs"/>
          <w:vanish/>
          <w:rtl/>
        </w:rPr>
        <w:t>-</w:t>
      </w:r>
      <w:r w:rsidRPr="007F312F">
        <w:rPr>
          <w:rStyle w:val="aff4"/>
          <w:rFonts w:hint="cs"/>
          <w:rtl/>
        </w:rPr>
        <w:t>ר"ח</w:t>
      </w:r>
      <w:r w:rsidRPr="00F00B89">
        <w:rPr>
          <w:rStyle w:val="aff4"/>
          <w:rFonts w:hint="cs"/>
          <w:vanish/>
          <w:rtl/>
        </w:rPr>
        <w:t>-</w:t>
      </w:r>
      <w:r>
        <w:rPr>
          <w:rFonts w:hint="cs"/>
          <w:rtl/>
        </w:rPr>
        <w:t xml:space="preserve">, והוסיף </w:t>
      </w:r>
      <w:r w:rsidRPr="00F00B89">
        <w:rPr>
          <w:rStyle w:val="aff4"/>
          <w:rFonts w:hint="cs"/>
          <w:vanish/>
          <w:rtl/>
        </w:rPr>
        <w:t>-</w:t>
      </w:r>
      <w:r w:rsidRPr="007F312F">
        <w:rPr>
          <w:rStyle w:val="aff4"/>
          <w:rFonts w:hint="cs"/>
          <w:rtl/>
        </w:rPr>
        <w:t>המהריט"ץ</w:t>
      </w:r>
      <w:r w:rsidRPr="00F00B89">
        <w:rPr>
          <w:rStyle w:val="aff4"/>
          <w:rFonts w:hint="cs"/>
          <w:vanish/>
          <w:rtl/>
        </w:rPr>
        <w:t>-</w:t>
      </w:r>
      <w:r>
        <w:rPr>
          <w:rFonts w:hint="cs"/>
          <w:rtl/>
        </w:rPr>
        <w:t xml:space="preserve"> דאעפ"י דלא קיי"ל כרב יוסף, מ"מ קיי"ל דבקנון ותמחוי פטור אבל אסור, ובנפה וכברה חייב, דכן מבואר מפלוגתת אביי ורב ירמיה מדיפתי.</w:t>
      </w:r>
      <w:bookmarkEnd w:id="2599"/>
    </w:p>
    <w:p w14:paraId="7712D7EB" w14:textId="77777777" w:rsidR="008925FD" w:rsidRPr="00747170" w:rsidRDefault="008925FD" w:rsidP="00747170">
      <w:pPr>
        <w:pStyle w:val="a2"/>
        <w:rPr>
          <w:rtl/>
        </w:rPr>
      </w:pPr>
      <w:r w:rsidRPr="00747170">
        <w:rPr>
          <w:rtl/>
        </w:rPr>
        <w:t xml:space="preserve">ראיתי ונתון אל לבי לדרוש ולתור מהיכן הרגלי' אשר הושוו כל הפוסקים רובן ככולן לומר דבורר פסולת מתוך אוכל חייב אפי' לאלתר דהא זו היא אוקמתא דאוקי רב המנונא בגמ' ורבא אידחייא לה דפריך אביי מידי אוכל מתוך פסולת קאמר ואסיקנא שפיר אמר נחמני כדאית' בגמ' וכיון דאידחייא לה משמע דלא שני לן בין אוכל מתוך פסולת לפסולת מתוך אוכל אם בירר לאלתר שרי אמנם לבו ביום נעשית כבורר לאוצר וחייב. </w:t>
      </w:r>
    </w:p>
    <w:p w14:paraId="28F25AEE" w14:textId="77777777" w:rsidR="008925FD" w:rsidRPr="00EB6547" w:rsidRDefault="008925FD" w:rsidP="00747170">
      <w:pPr>
        <w:pStyle w:val="afffff5"/>
        <w:rPr>
          <w:rtl/>
        </w:rPr>
      </w:pPr>
      <w:r w:rsidRPr="00EB6547">
        <w:rPr>
          <w:rtl/>
        </w:rPr>
        <w:t xml:space="preserve">ועלה בדעתי לתרץ ולו' דדייקינן לישנא דגמ' בדחיית ארבע אוקמתות בתרי קמייתא דחי ואמר מתקיף לה רב חסדא וכי מותר לאפות לבו ביום מותר לבשל לבו ביום. אלא אמר רב חסדא בורר ואוכל פחות מכשעור מתקיף לה רב יוסף וכי מותר לאפות פחות מכשיעור הרי שתי אוקמתות הללו נדחו בזה הלשון לומר שאין הדין כך. אמנם השתי אוקמתו' אחרות נדחו בלישנא אחרינ' מידי קנון ותמחוי קתני וכו' מידי אוכל מתוך פסולת קתני וכיון דלא אידחו בלישנא דאידחו הנך קמיית' משמע דלא אידחו והלכתא דהדין דין אמת אלא דלא קתני הכי בברייתא והכי דייקא לישנא דגמרא דקאמר מידי פסולת מתוך אוכל קתני כלומר אעפ"י שהדין כך הלשון אינו מורה כן אמנם לעיל בתרי אוקמתי קמייתא דחי בעיקר הדין שאינו כן. ולהכי דייק לישנא דקאמר וכי מותר לאפות לבו ביום או פחות מכשיעו' כלו' שהדין אינו כן. נמצא כפי מה שביארנו דמהכא פסקו רוב הפוסקים דאע"ג דאידחייא לה הך אוקמתא דפסולת מתוך אוכ' לא אידחייא לה מהלכתא אלא מפירושא דברייתא אבל הדין דין אמת וכן תמצא שפסקו הפוסקים באוקמתא דרב יוסף בקנון ותמחוי פטור אבל אסור בנפה וכברה חייב וכן פסק הרמב"ם ז"ל. </w:t>
      </w:r>
    </w:p>
    <w:p w14:paraId="749724C4" w14:textId="77777777" w:rsidR="008925FD" w:rsidRPr="00EB6547" w:rsidRDefault="008925FD" w:rsidP="00747170">
      <w:pPr>
        <w:pStyle w:val="afffff5"/>
        <w:rPr>
          <w:rtl/>
        </w:rPr>
      </w:pPr>
      <w:r w:rsidRPr="00EB6547">
        <w:rPr>
          <w:rtl/>
        </w:rPr>
        <w:t>אמנם כד עייני' שפיר לאו מילתא היא תדע דהא הך אוקמת' דרב יוסף דקאמר בורר ואוכל ביד אף ע"ג דלא הוי לאלתר אלא לבו ביום כיון דהוי ביד שרי וכן אוקמתא דרב המנונא דקאמר בורר ואוכל אוכל מתוך פסולת משמע לאו דוקא לאלתר אלא אפילו לבו ביום וכפי המסקנא דאביי דהיא העיקר אינו כן אלא הכל תלוי בלאלתר. נמצא כפי זה דגם הני אוקמתי בתרייתא הוו דלא כהלכתא לגבי הא מלתא אף על גב דפסקו הפוסקים הכי לא הוי מכח הני אוקמתות דהא אי אידחו לה באוקמתא דנחמני וכן הא דפסקו בקנון ותמחוי אסור בנפה וכברה חייב מנא להו הא אידחייא אוקמתא דרב יוסף. לכך הנכון לפרש כמו שכת' הר"ן זלה"ה כדברי רבינו חננאל דכתב הכי דפסולת מתוך אוכל אסור אפי' לאלתר וטעמא מדקאמ' חזקיה בורר תורמוסין וכו' דכיון דשלקי להו וכו' הוי להוו פסולת מתוך אוכל וכיון דקאמר סתמא משמע אפי' לאלתר וההיא דקנון ותמחוי ונפה וכברה לא פסקו כדברי רב יוסף אלא ממאי דאמרי' לקמן בגמרא היו לפניו שני מיני אוכלין בירר ואוכל בירר והניח רב אשי מתני פטור רב ירמיה מתני חייב ופריך לרב אש</w:t>
      </w:r>
      <w:r w:rsidRPr="00EB6547">
        <w:rPr>
          <w:rFonts w:hint="cs"/>
          <w:rtl/>
        </w:rPr>
        <w:t>י</w:t>
      </w:r>
      <w:r w:rsidRPr="00EB6547">
        <w:rPr>
          <w:rtl/>
        </w:rPr>
        <w:t xml:space="preserve"> ומשני הא בקנון ותמחוי הא בנפה וכברה וכו' ומתוך הך פסקו הפוסקים לא מההיא דרב יוסף והא אידחייא לה. </w:t>
      </w:r>
    </w:p>
    <w:p w14:paraId="656A57E8" w14:textId="74C46411" w:rsidR="008925FD" w:rsidRDefault="008925FD" w:rsidP="008925FD">
      <w:pPr>
        <w:pStyle w:val="afffff7"/>
        <w:rPr>
          <w:rtl/>
        </w:rPr>
      </w:pPr>
      <w:bookmarkStart w:id="2600" w:name="_Toc139277170"/>
      <w:bookmarkStart w:id="2601" w:name="_Toc163505873"/>
      <w:r>
        <w:rPr>
          <w:rtl/>
        </w:rPr>
        <w:t xml:space="preserve">אגלי טל בורר </w:t>
      </w:r>
      <w:r>
        <w:rPr>
          <w:rFonts w:hint="cs"/>
          <w:rtl/>
        </w:rPr>
        <w:t xml:space="preserve">סק"א </w:t>
      </w:r>
      <w:r>
        <w:rPr>
          <w:rtl/>
        </w:rPr>
        <w:t xml:space="preserve">אות </w:t>
      </w:r>
      <w:r>
        <w:rPr>
          <w:rFonts w:hint="cs"/>
          <w:rtl/>
        </w:rPr>
        <w:t>ב'</w:t>
      </w:r>
      <w:bookmarkEnd w:id="2600"/>
      <w:bookmarkEnd w:id="2601"/>
    </w:p>
    <w:p w14:paraId="3BBB3DEB" w14:textId="77777777" w:rsidR="008925FD" w:rsidRDefault="008925FD" w:rsidP="008925FD">
      <w:pPr>
        <w:pStyle w:val="afffff7"/>
        <w:rPr>
          <w:rtl/>
        </w:rPr>
      </w:pPr>
      <w:bookmarkStart w:id="2602" w:name="_Toc139277171"/>
      <w:bookmarkStart w:id="2603" w:name="_Toc139277068"/>
      <w:bookmarkStart w:id="2604" w:name="_Toc163505874"/>
      <w:r>
        <w:rPr>
          <w:rtl/>
        </w:rPr>
        <w:t xml:space="preserve">חדושי הר"ן </w:t>
      </w:r>
      <w:r>
        <w:rPr>
          <w:rFonts w:hint="cs"/>
          <w:rtl/>
        </w:rPr>
        <w:t xml:space="preserve">- </w:t>
      </w:r>
      <w:r>
        <w:rPr>
          <w:rtl/>
        </w:rPr>
        <w:t>מיוחס לו שבת ע"ד ע"א</w:t>
      </w:r>
      <w:r>
        <w:rPr>
          <w:rFonts w:hint="cs"/>
          <w:rtl/>
        </w:rPr>
        <w:t xml:space="preserve"> ד"ה אלא</w:t>
      </w:r>
      <w:bookmarkEnd w:id="2602"/>
      <w:bookmarkEnd w:id="2604"/>
    </w:p>
    <w:p w14:paraId="194323A9" w14:textId="77777777" w:rsidR="008925FD" w:rsidRDefault="008925FD" w:rsidP="008925FD">
      <w:pPr>
        <w:pStyle w:val="a7"/>
        <w:rPr>
          <w:rtl/>
        </w:rPr>
      </w:pPr>
      <w:r>
        <w:rPr>
          <w:rFonts w:hint="cs"/>
          <w:rtl/>
        </w:rPr>
        <w:t>בי' האגל"ט דר"ח ס"ל כרא"ה דנח' רק בבי' הברייתא ולא לדינא וכל הברייתא בנפה וכברה</w:t>
      </w:r>
      <w:bookmarkEnd w:id="2603"/>
    </w:p>
    <w:p w14:paraId="3FBBC237" w14:textId="43326D40" w:rsidR="008925FD" w:rsidRDefault="008925FD" w:rsidP="00BC7DC8">
      <w:pPr>
        <w:pStyle w:val="a3"/>
      </w:pPr>
      <w:bookmarkStart w:id="2605" w:name="_Ref138957890"/>
      <w:r>
        <w:rPr>
          <w:rFonts w:hint="cs"/>
          <w:rtl/>
        </w:rPr>
        <w:t xml:space="preserve">כתב </w:t>
      </w:r>
      <w:r w:rsidRPr="004738F9">
        <w:rPr>
          <w:rStyle w:val="aff4"/>
          <w:rFonts w:hint="cs"/>
          <w:vanish/>
          <w:rtl/>
        </w:rPr>
        <w:t>-</w:t>
      </w:r>
      <w:r w:rsidRPr="00B8766B">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Ref138957890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כח)</w:t>
      </w:r>
      <w:r>
        <w:rPr>
          <w:rStyle w:val="aff4"/>
          <w:vanish/>
          <w:rtl/>
        </w:rPr>
        <w:fldChar w:fldCharType="end"/>
      </w:r>
      <w:r>
        <w:rPr>
          <w:rStyle w:val="aff4"/>
          <w:rFonts w:hint="cs"/>
          <w:vanish/>
          <w:rtl/>
        </w:rPr>
        <w:t xml:space="preserve"> &gt;</w:t>
      </w:r>
      <w:r w:rsidRPr="00B8766B">
        <w:rPr>
          <w:rStyle w:val="aff4"/>
          <w:rFonts w:hint="cs"/>
          <w:rtl/>
        </w:rPr>
        <w:t>אגלי טל</w:t>
      </w:r>
      <w:r w:rsidRPr="004738F9">
        <w:rPr>
          <w:rStyle w:val="aff4"/>
          <w:rFonts w:hint="cs"/>
          <w:vanish/>
          <w:rtl/>
        </w:rPr>
        <w:t>-</w:t>
      </w:r>
      <w:r>
        <w:rPr>
          <w:rFonts w:hint="cs"/>
          <w:rtl/>
        </w:rPr>
        <w:t xml:space="preserve"> </w:t>
      </w:r>
      <w:r w:rsidRPr="000D251D">
        <w:rPr>
          <w:rStyle w:val="af2"/>
          <w:rFonts w:eastAsia="Guttman Hodes" w:hint="cs"/>
          <w:rtl/>
        </w:rPr>
        <w:t>(בורר סק"א אות ב')</w:t>
      </w:r>
      <w:r w:rsidRPr="004738F9">
        <w:rPr>
          <w:rFonts w:hint="cs"/>
          <w:vanish/>
          <w:rtl/>
        </w:rPr>
        <w:t>=</w:t>
      </w:r>
      <w:r>
        <w:rPr>
          <w:rFonts w:hint="cs"/>
          <w:rtl/>
        </w:rPr>
        <w:t xml:space="preserve"> דס"ל </w:t>
      </w:r>
      <w:r w:rsidRPr="004738F9">
        <w:rPr>
          <w:rStyle w:val="aff4"/>
          <w:rFonts w:hint="cs"/>
          <w:vanish/>
          <w:rtl/>
        </w:rPr>
        <w:t>-</w:t>
      </w:r>
      <w:r w:rsidRPr="00B8766B">
        <w:rPr>
          <w:rStyle w:val="aff4"/>
          <w:rFonts w:hint="cs"/>
          <w:rtl/>
        </w:rPr>
        <w:t>לר"ח</w:t>
      </w:r>
      <w:r w:rsidRPr="004738F9">
        <w:rPr>
          <w:rStyle w:val="aff4"/>
          <w:rFonts w:hint="cs"/>
          <w:vanish/>
          <w:rtl/>
        </w:rPr>
        <w:t>-</w:t>
      </w:r>
      <w:r>
        <w:rPr>
          <w:rFonts w:hint="cs"/>
          <w:rtl/>
        </w:rPr>
        <w:t xml:space="preserve"> </w:t>
      </w:r>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Ref139187404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w:t>
      </w:r>
      <w:r>
        <w:rPr>
          <w:rStyle w:val="af2"/>
          <w:rFonts w:eastAsia="Guttman Hodes"/>
          <w:rtl/>
        </w:rPr>
        <w:fldChar w:fldCharType="end"/>
      </w:r>
      <w:r>
        <w:rPr>
          <w:rFonts w:hint="cs"/>
          <w:rtl/>
        </w:rPr>
        <w:t xml:space="preserve"> כדביאר </w:t>
      </w:r>
      <w:r w:rsidRPr="004738F9">
        <w:rPr>
          <w:rStyle w:val="aff4"/>
          <w:rFonts w:hint="cs"/>
          <w:vanish/>
          <w:rtl/>
        </w:rPr>
        <w:t>-</w:t>
      </w:r>
      <w:r w:rsidRPr="00B8766B">
        <w:rPr>
          <w:rStyle w:val="aff4"/>
          <w:rFonts w:hint="cs"/>
          <w:rtl/>
        </w:rPr>
        <w:t>ב</w:t>
      </w:r>
      <w:r w:rsidRPr="004738F9">
        <w:rPr>
          <w:rStyle w:val="aff4"/>
          <w:rFonts w:hint="cs"/>
          <w:vanish/>
          <w:rtl/>
        </w:rPr>
        <w:t>&lt; &gt;</w:t>
      </w:r>
      <w:r w:rsidRPr="00B8766B">
        <w:rPr>
          <w:rStyle w:val="aff4"/>
          <w:rFonts w:hint="cs"/>
          <w:rtl/>
        </w:rPr>
        <w:t>חי' המיוחסים לר"ן</w:t>
      </w:r>
      <w:r w:rsidRPr="004738F9">
        <w:rPr>
          <w:rStyle w:val="aff4"/>
          <w:rFonts w:hint="cs"/>
          <w:vanish/>
          <w:rtl/>
        </w:rPr>
        <w:t>-</w:t>
      </w:r>
      <w:r>
        <w:rPr>
          <w:rFonts w:hint="cs"/>
          <w:rtl/>
        </w:rPr>
        <w:t xml:space="preserve"> </w:t>
      </w:r>
      <w:r w:rsidRPr="000D251D">
        <w:rPr>
          <w:rStyle w:val="af2"/>
          <w:rFonts w:eastAsia="Guttman Hodes" w:hint="cs"/>
          <w:rtl/>
        </w:rPr>
        <w:t>(ד"ה אלא)</w:t>
      </w:r>
      <w:r>
        <w:rPr>
          <w:rFonts w:hint="cs"/>
          <w:rtl/>
        </w:rPr>
        <w:t xml:space="preserve"> בשם </w:t>
      </w:r>
      <w:r w:rsidRPr="004738F9">
        <w:rPr>
          <w:rStyle w:val="aff4"/>
          <w:rFonts w:hint="cs"/>
          <w:vanish/>
          <w:rtl/>
        </w:rPr>
        <w:t>-</w:t>
      </w:r>
      <w:r w:rsidRPr="00B8766B">
        <w:rPr>
          <w:rStyle w:val="aff4"/>
          <w:rFonts w:hint="cs"/>
          <w:rtl/>
        </w:rPr>
        <w:t>הרא"ה</w:t>
      </w:r>
      <w:r w:rsidRPr="004738F9">
        <w:rPr>
          <w:rStyle w:val="aff4"/>
          <w:rFonts w:hint="cs"/>
          <w:vanish/>
          <w:rtl/>
        </w:rPr>
        <w:t>-</w:t>
      </w:r>
      <w:r w:rsidRPr="004738F9">
        <w:rPr>
          <w:rFonts w:hint="cs"/>
          <w:vanish/>
          <w:rtl/>
        </w:rPr>
        <w:t>=</w:t>
      </w:r>
      <w:r>
        <w:rPr>
          <w:rFonts w:hint="cs"/>
          <w:rtl/>
        </w:rPr>
        <w:t xml:space="preserve"> דהמחלוקת בגמ' אינה לדינא אלא בביאור הברייתא, דרב יוסף העמיד דאיירי באוכל מתוך פסולת לאלתר, ולרב המנונא אייר ביד לאלתר, ולאביי באוכל מתוך פסולת ביד, </w:t>
      </w:r>
      <w:r w:rsidRPr="000D251D">
        <w:rPr>
          <w:rStyle w:val="af"/>
          <w:rFonts w:hint="cs"/>
          <w:rtl/>
        </w:rPr>
        <w:t xml:space="preserve">[וביאר </w:t>
      </w:r>
      <w:r w:rsidRPr="009B1F18">
        <w:rPr>
          <w:rStyle w:val="aff9"/>
          <w:rFonts w:hint="cs"/>
          <w:vanish/>
          <w:rtl/>
        </w:rPr>
        <w:t>-</w:t>
      </w:r>
      <w:r w:rsidRPr="009B1F18">
        <w:rPr>
          <w:rStyle w:val="aff9"/>
          <w:rFonts w:hint="cs"/>
          <w:rtl/>
        </w:rPr>
        <w:t>הרא"ה</w:t>
      </w:r>
      <w:r w:rsidRPr="009B1F18">
        <w:rPr>
          <w:rStyle w:val="aff9"/>
          <w:rFonts w:hint="cs"/>
          <w:vanish/>
          <w:rtl/>
        </w:rPr>
        <w:t>-</w:t>
      </w:r>
      <w:r w:rsidRPr="000D251D">
        <w:rPr>
          <w:rStyle w:val="af"/>
          <w:rFonts w:hint="cs"/>
          <w:rtl/>
        </w:rPr>
        <w:t xml:space="preserve"> דכך משמע להו מלשון הברייתא, וכן משמע מלשונות קושיתם</w:t>
      </w:r>
      <w:r w:rsidRPr="00394BDA">
        <w:rPr>
          <w:rStyle w:val="af"/>
          <w:rFonts w:hint="cs"/>
          <w:rtl/>
        </w:rPr>
        <w:t>],</w:t>
      </w:r>
      <w:r>
        <w:rPr>
          <w:rFonts w:hint="cs"/>
          <w:rtl/>
        </w:rPr>
        <w:t xml:space="preserve"> וכתב </w:t>
      </w:r>
      <w:r w:rsidRPr="004738F9">
        <w:rPr>
          <w:rStyle w:val="aff4"/>
          <w:rFonts w:hint="cs"/>
          <w:vanish/>
          <w:rtl/>
        </w:rPr>
        <w:t>-</w:t>
      </w:r>
      <w:r w:rsidRPr="00194A43">
        <w:rPr>
          <w:rStyle w:val="aff4"/>
          <w:rFonts w:hint="cs"/>
          <w:rtl/>
        </w:rPr>
        <w:t>האגלי טל</w:t>
      </w:r>
      <w:r w:rsidRPr="004738F9">
        <w:rPr>
          <w:rStyle w:val="aff4"/>
          <w:rFonts w:hint="cs"/>
          <w:vanish/>
          <w:rtl/>
        </w:rPr>
        <w:t>-</w:t>
      </w:r>
      <w:r>
        <w:rPr>
          <w:rFonts w:hint="cs"/>
          <w:rtl/>
        </w:rPr>
        <w:t xml:space="preserve"> דלפי"ז לא קשה קושית אביי דמידי אוכל מתוך פסולת קתני, דקושיתו היא דא"א לחלק בין הרישא לסיפא, אך ודאי דאפש"ל דכל הברייתא היא באוכל מתוך פסולת, </w:t>
      </w:r>
      <w:r w:rsidRPr="000D251D">
        <w:rPr>
          <w:rStyle w:val="af"/>
          <w:rFonts w:hint="cs"/>
          <w:rtl/>
        </w:rPr>
        <w:t xml:space="preserve">[ולכן לדעת </w:t>
      </w:r>
      <w:r w:rsidRPr="009B1F18">
        <w:rPr>
          <w:rStyle w:val="aff9"/>
          <w:rFonts w:hint="cs"/>
          <w:vanish/>
          <w:rtl/>
        </w:rPr>
        <w:t>-</w:t>
      </w:r>
      <w:r w:rsidRPr="009B1F18">
        <w:rPr>
          <w:rStyle w:val="aff9"/>
          <w:rFonts w:hint="cs"/>
          <w:rtl/>
        </w:rPr>
        <w:t>ר"ח</w:t>
      </w:r>
      <w:r w:rsidRPr="009B1F18">
        <w:rPr>
          <w:rStyle w:val="aff9"/>
          <w:rFonts w:hint="cs"/>
          <w:vanish/>
          <w:rtl/>
        </w:rPr>
        <w:t>-</w:t>
      </w:r>
      <w:r w:rsidRPr="000D251D">
        <w:rPr>
          <w:rStyle w:val="af"/>
          <w:rFonts w:hint="cs"/>
          <w:rtl/>
        </w:rPr>
        <w:t xml:space="preserve"> למסקנא לכו"ע הברייתא היא גם באוכל מתוך פסולת</w:t>
      </w:r>
      <w:r w:rsidRPr="00394BDA">
        <w:rPr>
          <w:rStyle w:val="af"/>
          <w:rFonts w:hint="cs"/>
          <w:rtl/>
        </w:rPr>
        <w:t>],</w:t>
      </w:r>
      <w:r>
        <w:rPr>
          <w:rFonts w:hint="cs"/>
          <w:rtl/>
        </w:rPr>
        <w:t xml:space="preserve"> והביא </w:t>
      </w:r>
      <w:r w:rsidRPr="004738F9">
        <w:rPr>
          <w:rStyle w:val="aff4"/>
          <w:rFonts w:hint="cs"/>
          <w:vanish/>
          <w:rtl/>
        </w:rPr>
        <w:t>-</w:t>
      </w:r>
      <w:r w:rsidRPr="00194A43">
        <w:rPr>
          <w:rStyle w:val="aff4"/>
          <w:rFonts w:hint="cs"/>
          <w:rtl/>
        </w:rPr>
        <w:t>האגלי טל</w:t>
      </w:r>
      <w:r w:rsidRPr="004738F9">
        <w:rPr>
          <w:rStyle w:val="aff4"/>
          <w:rFonts w:hint="cs"/>
          <w:vanish/>
          <w:rtl/>
        </w:rPr>
        <w:t>-</w:t>
      </w:r>
      <w:r>
        <w:rPr>
          <w:rFonts w:hint="cs"/>
          <w:rtl/>
        </w:rPr>
        <w:t xml:space="preserve"> דכעי"ז כתב </w:t>
      </w:r>
      <w:r w:rsidRPr="004738F9">
        <w:rPr>
          <w:rStyle w:val="aff4"/>
          <w:rFonts w:hint="cs"/>
          <w:vanish/>
          <w:rtl/>
        </w:rPr>
        <w:t>-</w:t>
      </w:r>
      <w:r w:rsidRPr="00194A43">
        <w:rPr>
          <w:rStyle w:val="aff4"/>
          <w:rFonts w:hint="cs"/>
          <w:rtl/>
        </w:rPr>
        <w:t>הרמב"ן</w:t>
      </w:r>
      <w:r w:rsidRPr="004738F9">
        <w:rPr>
          <w:rStyle w:val="aff4"/>
          <w:rFonts w:hint="cs"/>
          <w:vanish/>
          <w:rtl/>
        </w:rPr>
        <w:t>-</w:t>
      </w:r>
      <w:r>
        <w:rPr>
          <w:rFonts w:hint="cs"/>
          <w:rtl/>
        </w:rPr>
        <w:t xml:space="preserve"> </w:t>
      </w:r>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Ref138966402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נד)</w:t>
      </w:r>
      <w:r>
        <w:rPr>
          <w:rStyle w:val="af2"/>
          <w:rFonts w:eastAsia="Guttman Hodes"/>
          <w:rtl/>
        </w:rPr>
        <w:fldChar w:fldCharType="end"/>
      </w:r>
      <w:r>
        <w:rPr>
          <w:rFonts w:hint="cs"/>
          <w:rtl/>
        </w:rPr>
        <w:t xml:space="preserve"> דאפש"ל כל הברייתא היא בנפה וכברה.</w:t>
      </w:r>
      <w:bookmarkEnd w:id="2605"/>
    </w:p>
    <w:p w14:paraId="21169E2F" w14:textId="77777777" w:rsidR="008925FD" w:rsidRPr="00747170" w:rsidRDefault="008925FD" w:rsidP="00747170">
      <w:pPr>
        <w:pStyle w:val="a2"/>
        <w:rPr>
          <w:rtl/>
        </w:rPr>
      </w:pPr>
      <w:r w:rsidRPr="00747170">
        <w:rPr>
          <w:rStyle w:val="af2"/>
          <w:rFonts w:eastAsia="Guttman Hodes" w:cs="Guttman Hodes"/>
          <w:sz w:val="18"/>
          <w:szCs w:val="18"/>
          <w:rtl/>
        </w:rPr>
        <w:t>(ב)</w:t>
      </w:r>
      <w:r w:rsidRPr="00747170">
        <w:rPr>
          <w:rtl/>
        </w:rPr>
        <w:t xml:space="preserve"> ושיטת ר"ח ורוב הפוסקים דאין היתר לברור אלא בתלתא לטיבותא. אוכל מתוך פסולת. וביד. ולאכול לאלתר. אבל פסולת מתוך אוכל או לאכול לאח"ז או בנפה וכברה חייב חטאת. ובקנון ותמחוי אוכל מתוך פסולת לאכול לאלתר פטור אבל אסור</w:t>
      </w:r>
      <w:r w:rsidRPr="00747170">
        <w:rPr>
          <w:rFonts w:hint="cs"/>
          <w:rtl/>
        </w:rPr>
        <w:t>, וכו',</w:t>
      </w:r>
      <w:r w:rsidRPr="00747170">
        <w:rPr>
          <w:rtl/>
        </w:rPr>
        <w:t xml:space="preserve"> ונראה דס"ל לר"ח דרב יוסף ורב המנונא ואביי לא פליגי לענין דינא רק בפרושא דברייתא וע"כ לא הקשו זה על זה רק מלישנא דברייתא ולא כקושיות ראשונים וכי מותר וכו'. וס"ל לר"ח דלר' יוסף ברייתא מיירי באוכל מתוך פסולת לאכול לאלתר ולרב המנונא מיירי ביד לאכול לאלתר ולאביי מיירי באוכל מתוך פסולת ביד. שוב מצאתי כן בשיטה המיוחסת להר"ן. </w:t>
      </w:r>
      <w:r w:rsidRPr="00747170">
        <w:rPr>
          <w:rStyle w:val="afff7"/>
          <w:sz w:val="18"/>
          <w:szCs w:val="18"/>
          <w:rtl/>
        </w:rPr>
        <w:t>ואף דברייתא מיירי באוכל מתוך פסולת לא תיקשי קושית אביי מידי אוכל מתוך פסולת קתני דקושייתו הוא מידי הוזכר בברייתא רמז דרישא באוכל מתוך פסולת וסיפא בפסולת מתוך אוכל אבל ודאי נוכל לומר דכולה ברייתא באוכל מתוך פסולת. וכה"ג כתב בחי' רמב"ן לענין נפה וכברה עי"ש:</w:t>
      </w:r>
    </w:p>
    <w:p w14:paraId="7BBF419E" w14:textId="77777777" w:rsidR="008925FD" w:rsidRPr="00EB6547" w:rsidRDefault="008925FD" w:rsidP="00747170">
      <w:pPr>
        <w:pStyle w:val="afffff5"/>
        <w:rPr>
          <w:rtl/>
        </w:rPr>
      </w:pPr>
      <w:r w:rsidRPr="00EB6547">
        <w:rPr>
          <w:rtl/>
        </w:rPr>
        <w:t>אלא אמר אביי בורר ואוכל לאלתר. בורר ומניח לאלתר. כתב הרא"ה ז"ל דהיינו לאכול לאלתר באותו מעמד ודוקא אוכל מתוך פסולת דרב יוסף ורב המנונא ואביי מסתברא ודאי דלא פליגי בעיקר דינא כלל אלא באוקמתא דמתניתא דמקשי חד לחבריה למימרא דלא אתיא ליה לישנא דמתניתא והכי דייק לישנא דפרכייהו:</w:t>
      </w:r>
    </w:p>
    <w:p w14:paraId="734554B7" w14:textId="7FAF23F0" w:rsidR="008925FD" w:rsidRDefault="008925FD" w:rsidP="008925FD">
      <w:pPr>
        <w:pStyle w:val="afffff7"/>
        <w:rPr>
          <w:rtl/>
        </w:rPr>
      </w:pPr>
      <w:bookmarkStart w:id="2606" w:name="_Toc139277172"/>
      <w:bookmarkStart w:id="2607" w:name="_Toc163505875"/>
      <w:r>
        <w:rPr>
          <w:rtl/>
        </w:rPr>
        <w:t xml:space="preserve">אגלי טל בורר </w:t>
      </w:r>
      <w:r>
        <w:rPr>
          <w:rFonts w:hint="cs"/>
          <w:rtl/>
        </w:rPr>
        <w:t xml:space="preserve">סק"א </w:t>
      </w:r>
      <w:r>
        <w:rPr>
          <w:rtl/>
        </w:rPr>
        <w:t xml:space="preserve">אות </w:t>
      </w:r>
      <w:r>
        <w:rPr>
          <w:rFonts w:hint="cs"/>
          <w:rtl/>
        </w:rPr>
        <w:t>ג'</w:t>
      </w:r>
      <w:bookmarkEnd w:id="2606"/>
      <w:bookmarkEnd w:id="2607"/>
    </w:p>
    <w:p w14:paraId="45CFD64F" w14:textId="77777777" w:rsidR="008925FD" w:rsidRDefault="008925FD" w:rsidP="008925FD">
      <w:pPr>
        <w:pStyle w:val="a7"/>
        <w:rPr>
          <w:rtl/>
        </w:rPr>
      </w:pPr>
      <w:bookmarkStart w:id="2608" w:name="_Toc139277069"/>
      <w:r>
        <w:rPr>
          <w:rFonts w:hint="cs"/>
          <w:rtl/>
        </w:rPr>
        <w:t>בי' האגל"ט בר"ח דהא דבכלי חייב אף באוכל מתוך פסולת דלעולם הוא דרך ברירה</w:t>
      </w:r>
      <w:bookmarkEnd w:id="2608"/>
    </w:p>
    <w:p w14:paraId="515D68D8" w14:textId="142E0723" w:rsidR="008925FD" w:rsidRPr="00C67CE4" w:rsidRDefault="008925FD" w:rsidP="00BC7DC8">
      <w:pPr>
        <w:pStyle w:val="a3"/>
        <w:rPr>
          <w:rtl/>
        </w:rPr>
      </w:pPr>
      <w:bookmarkStart w:id="2609" w:name="_Ref137805968"/>
      <w:r>
        <w:rPr>
          <w:rFonts w:hint="cs"/>
          <w:rtl/>
        </w:rPr>
        <w:t xml:space="preserve">וכתב </w:t>
      </w:r>
      <w:r w:rsidRPr="005C159C">
        <w:rPr>
          <w:rStyle w:val="aff4"/>
          <w:rFonts w:hint="cs"/>
          <w:vanish/>
          <w:rtl/>
        </w:rPr>
        <w:t>-</w:t>
      </w:r>
      <w:r w:rsidRPr="00194A43">
        <w:rPr>
          <w:rStyle w:val="aff4"/>
          <w:rFonts w:hint="cs"/>
          <w:rtl/>
        </w:rPr>
        <w:t>ה</w:t>
      </w:r>
      <w:r w:rsidRPr="00194A43">
        <w:rPr>
          <w:rStyle w:val="aff4"/>
          <w:rFonts w:hint="cs"/>
          <w:vanish/>
          <w:rtl/>
        </w:rPr>
        <w:t xml:space="preserve">&lt;. </w:t>
      </w:r>
      <w:r w:rsidRPr="00194A43">
        <w:rPr>
          <w:rStyle w:val="aff4"/>
          <w:vanish/>
          <w:rtl/>
        </w:rPr>
        <w:fldChar w:fldCharType="begin"/>
      </w:r>
      <w:r w:rsidRPr="00194A43">
        <w:rPr>
          <w:rStyle w:val="aff4"/>
          <w:vanish/>
          <w:rtl/>
        </w:rPr>
        <w:instrText xml:space="preserve"> </w:instrText>
      </w:r>
      <w:r w:rsidRPr="00194A43">
        <w:rPr>
          <w:rStyle w:val="aff4"/>
          <w:rFonts w:hint="cs"/>
          <w:vanish/>
        </w:rPr>
        <w:instrText>REF</w:instrText>
      </w:r>
      <w:r w:rsidRPr="00194A43">
        <w:rPr>
          <w:rStyle w:val="aff4"/>
          <w:rFonts w:hint="cs"/>
          <w:vanish/>
          <w:rtl/>
        </w:rPr>
        <w:instrText xml:space="preserve"> _</w:instrText>
      </w:r>
      <w:r w:rsidRPr="00194A43">
        <w:rPr>
          <w:rStyle w:val="aff4"/>
          <w:rFonts w:hint="cs"/>
          <w:vanish/>
        </w:rPr>
        <w:instrText>Ref137805968 \r \h</w:instrText>
      </w:r>
      <w:r w:rsidRPr="00194A43">
        <w:rPr>
          <w:rStyle w:val="aff4"/>
          <w:vanish/>
          <w:rtl/>
        </w:rPr>
        <w:instrText xml:space="preserve"> </w:instrText>
      </w:r>
      <w:r w:rsidRPr="00194A43">
        <w:rPr>
          <w:rStyle w:val="aff4"/>
          <w:vanish/>
          <w:rtl/>
        </w:rPr>
      </w:r>
      <w:r w:rsidRPr="00194A43">
        <w:rPr>
          <w:rStyle w:val="aff4"/>
          <w:vanish/>
          <w:rtl/>
        </w:rPr>
        <w:fldChar w:fldCharType="separate"/>
      </w:r>
      <w:r w:rsidR="00D82181">
        <w:rPr>
          <w:rStyle w:val="aff4"/>
          <w:vanish/>
          <w:cs/>
        </w:rPr>
        <w:t>‎</w:t>
      </w:r>
      <w:r w:rsidR="00D82181">
        <w:rPr>
          <w:rStyle w:val="aff4"/>
          <w:vanish/>
          <w:rtl/>
        </w:rPr>
        <w:t>כט)</w:t>
      </w:r>
      <w:r w:rsidRPr="00194A43">
        <w:rPr>
          <w:rStyle w:val="aff4"/>
          <w:vanish/>
          <w:rtl/>
        </w:rPr>
        <w:fldChar w:fldCharType="end"/>
      </w:r>
      <w:r w:rsidRPr="00194A43">
        <w:rPr>
          <w:rStyle w:val="aff4"/>
          <w:rFonts w:hint="cs"/>
          <w:vanish/>
          <w:rtl/>
        </w:rPr>
        <w:t xml:space="preserve"> &gt;</w:t>
      </w:r>
      <w:r w:rsidRPr="00194A43">
        <w:rPr>
          <w:rStyle w:val="aff4"/>
          <w:rFonts w:hint="cs"/>
          <w:rtl/>
        </w:rPr>
        <w:t>אגלי טל</w:t>
      </w:r>
      <w:r w:rsidRPr="00194A43">
        <w:rPr>
          <w:rStyle w:val="aff4"/>
          <w:rFonts w:hint="cs"/>
          <w:vanish/>
          <w:rtl/>
        </w:rPr>
        <w:t>-</w:t>
      </w:r>
      <w:r w:rsidRPr="00194A43">
        <w:rPr>
          <w:rStyle w:val="aff4"/>
          <w:rFonts w:hint="cs"/>
          <w:rtl/>
        </w:rPr>
        <w:t xml:space="preserve"> </w:t>
      </w:r>
      <w:r w:rsidRPr="000D251D">
        <w:rPr>
          <w:rStyle w:val="af2"/>
          <w:rFonts w:eastAsia="Guttman Hodes" w:hint="cs"/>
          <w:rtl/>
        </w:rPr>
        <w:t>(בורר סק"א אות ג')</w:t>
      </w:r>
      <w:r w:rsidRPr="005C159C">
        <w:rPr>
          <w:rFonts w:hint="cs"/>
          <w:vanish/>
          <w:rtl/>
        </w:rPr>
        <w:t>=</w:t>
      </w:r>
      <w:r w:rsidRPr="00043FFA">
        <w:rPr>
          <w:rFonts w:hint="cs"/>
          <w:rtl/>
        </w:rPr>
        <w:t xml:space="preserve"> דלפי"ז </w:t>
      </w:r>
      <w:r>
        <w:rPr>
          <w:rFonts w:hint="cs"/>
          <w:rtl/>
        </w:rPr>
        <w:t xml:space="preserve">לדעת </w:t>
      </w:r>
      <w:r w:rsidRPr="003D30D2">
        <w:rPr>
          <w:rStyle w:val="aff4"/>
          <w:rFonts w:hint="cs"/>
          <w:vanish/>
          <w:rtl/>
        </w:rPr>
        <w:t>-</w:t>
      </w:r>
      <w:r w:rsidRPr="00A30B60">
        <w:rPr>
          <w:rStyle w:val="aff4"/>
          <w:rFonts w:hint="cs"/>
          <w:rtl/>
        </w:rPr>
        <w:t>ר"ח</w:t>
      </w:r>
      <w:r w:rsidRPr="003D30D2">
        <w:rPr>
          <w:rStyle w:val="aff4"/>
          <w:rFonts w:hint="cs"/>
          <w:vanish/>
          <w:rtl/>
        </w:rPr>
        <w:t>-</w:t>
      </w:r>
      <w:r>
        <w:rPr>
          <w:rFonts w:hint="cs"/>
          <w:rtl/>
        </w:rPr>
        <w:t xml:space="preserve"> </w:t>
      </w:r>
      <w:r w:rsidRPr="00043FFA">
        <w:rPr>
          <w:rFonts w:hint="cs"/>
          <w:rtl/>
        </w:rPr>
        <w:t xml:space="preserve">ודאי דבבורר בכלי איירי בין באוכל מתוך פסולת ובין בפסולת מאוכל, דבכלי אין </w:t>
      </w:r>
      <w:r w:rsidRPr="00043FFA">
        <w:rPr>
          <w:rFonts w:hint="cs"/>
          <w:rtl/>
        </w:rPr>
        <w:t xml:space="preserve">כל חילוק בזה, דבמרקד כל מה שיורד למטה הוא הדבר שעושה בו ברירה, וא"כ האב דמרקד הוא באוכל מתוך פסולת, ועיי"ש במה שביאר </w:t>
      </w:r>
      <w:r w:rsidRPr="005C159C">
        <w:rPr>
          <w:rStyle w:val="aff4"/>
          <w:rFonts w:hint="cs"/>
          <w:vanish/>
          <w:rtl/>
        </w:rPr>
        <w:t>-</w:t>
      </w:r>
      <w:r w:rsidRPr="005C159C">
        <w:rPr>
          <w:rStyle w:val="aff4"/>
          <w:rFonts w:hint="cs"/>
          <w:rtl/>
        </w:rPr>
        <w:t>ה</w:t>
      </w:r>
      <w:r w:rsidRPr="005C159C">
        <w:rPr>
          <w:rStyle w:val="aff4"/>
          <w:rFonts w:hint="cs"/>
          <w:vanish/>
          <w:rtl/>
        </w:rPr>
        <w:t>&lt; &gt;</w:t>
      </w:r>
      <w:r w:rsidRPr="005C159C">
        <w:rPr>
          <w:rStyle w:val="aff4"/>
          <w:rFonts w:hint="cs"/>
          <w:rtl/>
        </w:rPr>
        <w:t>אגלי טל</w:t>
      </w:r>
      <w:r w:rsidRPr="005C159C">
        <w:rPr>
          <w:rStyle w:val="aff4"/>
          <w:rFonts w:hint="cs"/>
          <w:vanish/>
          <w:rtl/>
        </w:rPr>
        <w:t>-</w:t>
      </w:r>
      <w:r w:rsidRPr="00043FFA">
        <w:rPr>
          <w:rFonts w:hint="cs"/>
          <w:rtl/>
        </w:rPr>
        <w:t xml:space="preserve"> </w:t>
      </w:r>
      <w:r w:rsidRPr="000D251D">
        <w:rPr>
          <w:rStyle w:val="af2"/>
          <w:rFonts w:eastAsia="Guttman Hodes" w:hint="cs"/>
          <w:rtl/>
        </w:rPr>
        <w:t>(בורר סק"א אות ד', ה')</w:t>
      </w:r>
      <w:r w:rsidRPr="005C159C">
        <w:rPr>
          <w:rFonts w:hint="cs"/>
          <w:vanish/>
          <w:rtl/>
        </w:rPr>
        <w:t>=</w:t>
      </w:r>
      <w:r w:rsidRPr="00043FFA">
        <w:rPr>
          <w:rFonts w:hint="cs"/>
          <w:rtl/>
        </w:rPr>
        <w:t xml:space="preserve"> בגדרי בורר ומרקד דלדעת </w:t>
      </w:r>
      <w:r w:rsidRPr="005C159C">
        <w:rPr>
          <w:rStyle w:val="aff4"/>
          <w:rFonts w:hint="cs"/>
          <w:vanish/>
          <w:rtl/>
        </w:rPr>
        <w:t>-</w:t>
      </w:r>
      <w:r w:rsidRPr="005C159C">
        <w:rPr>
          <w:rStyle w:val="aff4"/>
          <w:rFonts w:hint="cs"/>
          <w:rtl/>
        </w:rPr>
        <w:t>רש"י</w:t>
      </w:r>
      <w:r w:rsidRPr="005C159C">
        <w:rPr>
          <w:rStyle w:val="aff4"/>
          <w:rFonts w:hint="cs"/>
          <w:vanish/>
          <w:rtl/>
        </w:rPr>
        <w:t>-</w:t>
      </w:r>
      <w:r w:rsidRPr="00043FFA">
        <w:rPr>
          <w:rFonts w:hint="cs"/>
          <w:rtl/>
        </w:rPr>
        <w:t xml:space="preserve"> במשכן היה בורר בכלי בין באוכל מתוך פסולת ובין בפסולת מאוכל, אבל לדעת </w:t>
      </w:r>
      <w:r w:rsidRPr="005C159C">
        <w:rPr>
          <w:rStyle w:val="aff4"/>
          <w:rFonts w:hint="cs"/>
          <w:vanish/>
          <w:rtl/>
        </w:rPr>
        <w:t>-</w:t>
      </w:r>
      <w:r w:rsidRPr="005C159C">
        <w:rPr>
          <w:rStyle w:val="aff4"/>
          <w:rFonts w:hint="cs"/>
          <w:rtl/>
        </w:rPr>
        <w:t>ר"ח</w:t>
      </w:r>
      <w:r w:rsidRPr="005C159C">
        <w:rPr>
          <w:rStyle w:val="aff4"/>
          <w:rFonts w:hint="cs"/>
          <w:vanish/>
          <w:rtl/>
        </w:rPr>
        <w:t>-</w:t>
      </w:r>
      <w:r w:rsidRPr="00043FFA">
        <w:rPr>
          <w:rFonts w:hint="cs"/>
          <w:rtl/>
        </w:rPr>
        <w:t xml:space="preserve"> לא היה במשכן בורר אוכל מתוך פסולת בין ביד ובין בכלי, אך  כתב </w:t>
      </w:r>
      <w:r w:rsidRPr="005C159C">
        <w:rPr>
          <w:rStyle w:val="aff4"/>
          <w:rFonts w:hint="cs"/>
          <w:vanish/>
          <w:rtl/>
        </w:rPr>
        <w:t>-</w:t>
      </w:r>
      <w:r w:rsidRPr="005C159C">
        <w:rPr>
          <w:rStyle w:val="aff4"/>
          <w:rFonts w:hint="cs"/>
          <w:rtl/>
        </w:rPr>
        <w:t>ה</w:t>
      </w:r>
      <w:r w:rsidRPr="00612B91">
        <w:rPr>
          <w:rStyle w:val="aff4"/>
          <w:rFonts w:hint="cs"/>
          <w:vanish/>
          <w:rtl/>
        </w:rPr>
        <w:t>&lt; &gt;</w:t>
      </w:r>
      <w:r w:rsidRPr="005C159C">
        <w:rPr>
          <w:rStyle w:val="aff4"/>
          <w:rFonts w:hint="cs"/>
          <w:rtl/>
        </w:rPr>
        <w:t>אגלי טל</w:t>
      </w:r>
      <w:r w:rsidRPr="005C159C">
        <w:rPr>
          <w:rStyle w:val="aff4"/>
          <w:rFonts w:hint="cs"/>
          <w:vanish/>
          <w:rtl/>
        </w:rPr>
        <w:t>-</w:t>
      </w:r>
      <w:r w:rsidRPr="00043FFA">
        <w:rPr>
          <w:rFonts w:hint="cs"/>
          <w:rtl/>
        </w:rPr>
        <w:t xml:space="preserve"> </w:t>
      </w:r>
      <w:r w:rsidRPr="000D251D">
        <w:rPr>
          <w:rStyle w:val="af2"/>
          <w:rFonts w:eastAsia="Guttman Hodes" w:hint="cs"/>
          <w:rtl/>
        </w:rPr>
        <w:t>(בורר סק"א אות ו')</w:t>
      </w:r>
      <w:r w:rsidRPr="005C159C">
        <w:rPr>
          <w:rFonts w:hint="cs"/>
          <w:vanish/>
          <w:rtl/>
        </w:rPr>
        <w:t>=</w:t>
      </w:r>
      <w:r w:rsidRPr="00043FFA">
        <w:rPr>
          <w:rFonts w:hint="cs"/>
          <w:rtl/>
        </w:rPr>
        <w:t xml:space="preserve"> דמ"מ בבורר בכלי בדבר שהאוכל גס והפסולת דקה, דדרך הברירה היא באוכל מתוך פסולת, ודאי דחשיב דרך ברירה, כדביארו </w:t>
      </w:r>
      <w:r w:rsidRPr="00194A43">
        <w:rPr>
          <w:rStyle w:val="aff4"/>
          <w:rFonts w:hint="cs"/>
          <w:vanish/>
          <w:rtl/>
        </w:rPr>
        <w:t>-</w:t>
      </w:r>
      <w:r w:rsidRPr="00B8766B">
        <w:rPr>
          <w:rStyle w:val="aff4"/>
          <w:rFonts w:hint="cs"/>
          <w:rtl/>
        </w:rPr>
        <w:t>התוס'</w:t>
      </w:r>
      <w:r w:rsidRPr="00194A43">
        <w:rPr>
          <w:rStyle w:val="aff4"/>
          <w:rFonts w:hint="cs"/>
          <w:vanish/>
          <w:rtl/>
        </w:rPr>
        <w:t>-</w:t>
      </w:r>
      <w:r>
        <w:rPr>
          <w:rFonts w:hint="cs"/>
          <w:rtl/>
        </w:rPr>
        <w:t xml:space="preserve"> </w:t>
      </w:r>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Ref139007899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ד)</w:t>
      </w:r>
      <w:r>
        <w:rPr>
          <w:rStyle w:val="af2"/>
          <w:rFonts w:eastAsia="Guttman Hodes"/>
          <w:rtl/>
        </w:rPr>
        <w:fldChar w:fldCharType="end"/>
      </w:r>
      <w:r>
        <w:rPr>
          <w:rFonts w:hint="cs"/>
          <w:rtl/>
        </w:rPr>
        <w:t xml:space="preserve"> דבפסולת מרובה אף אוכל מתוך פסולת הוא דרך ברירה, ואף שאפשר לברר פסולת מתוך אוכל מ"מ דרך הברירה היא באוכל מתוך פסולת.</w:t>
      </w:r>
      <w:bookmarkEnd w:id="2609"/>
    </w:p>
    <w:p w14:paraId="078BFFA3" w14:textId="77777777" w:rsidR="008925FD" w:rsidRPr="00747170" w:rsidRDefault="008925FD" w:rsidP="00747170">
      <w:pPr>
        <w:pStyle w:val="a2"/>
        <w:rPr>
          <w:rtl/>
        </w:rPr>
      </w:pPr>
      <w:r w:rsidRPr="00747170">
        <w:rPr>
          <w:rStyle w:val="ac"/>
          <w:rtl/>
        </w:rPr>
        <w:t>(ג)</w:t>
      </w:r>
      <w:r w:rsidRPr="00747170">
        <w:rPr>
          <w:rtl/>
        </w:rPr>
        <w:t xml:space="preserve"> ונראה דלפי הנחה זו דלא פליגי לענין דינא מוכרח לומר דמיירי בכה"ג. ואקדים הקדמה אחת דבכלי אין חילוק בין פסולת מתוך אוכל לאוכל מתוך פסולת. ולכאורה כן הוא פשוט דהיורד למטה הוא המתברר והרי מרקד שהאוכל יורד למטה הוה אוכל מתוך פסולת והרי אוכל מתוך פסולת אב מלאכה כמו פסולת מתוך אוכל ואם פסולת מתוך אוכל אב מלאכה משום דבמשכן הי' בורר פסולת בידיו והוא אב מלאכת בורר ה"נ אוכל מתוך פסולת בכלי אב מלאכת מרקד.</w:t>
      </w:r>
      <w:r w:rsidRPr="00747170">
        <w:rPr>
          <w:rFonts w:hint="cs"/>
          <w:rtl/>
        </w:rPr>
        <w:t xml:space="preserve"> </w:t>
      </w:r>
      <w:r w:rsidRPr="00747170">
        <w:rPr>
          <w:rtl/>
        </w:rPr>
        <w:t>אך זה אינו שהרי רש"י כתב בסוף הסוגיא ע"ה: דזורה בורר ומרקד נחשבין בתלת דזורה בקשין בורר בצרורות ומרקד בקמח [ועי' מה שכתבתי במלאכת זורה בס"ק ג' בביאור דברי רש"י אלו] וכיון דמרקד בקמח וזה בורר דברים גושיים אינו מרקד ממש רק תולדה למרקד. וכ"כ מהרש"ל בביאור סמ"ג [מלאכת בורר] דהבורר אוכל למטה פסולת למעלה הוא תולדה מרקד. וא"כ שפיר מחולק אוכל מתוך פסולת מפסולת מתוך אוכל דפסולת מתוך אוכל אב ואוכל מתוך פסולת תולדה:</w:t>
      </w:r>
    </w:p>
    <w:p w14:paraId="20DAC98A" w14:textId="77777777" w:rsidR="008925FD" w:rsidRPr="00EB6547" w:rsidRDefault="008925FD" w:rsidP="00747170">
      <w:pPr>
        <w:pStyle w:val="afffff5"/>
        <w:rPr>
          <w:rtl/>
        </w:rPr>
      </w:pPr>
      <w:r w:rsidRPr="00EB6547">
        <w:rPr>
          <w:rStyle w:val="af2"/>
          <w:rFonts w:eastAsia="Guttman Hodes" w:cs="Guttman Hodes"/>
          <w:sz w:val="18"/>
          <w:szCs w:val="18"/>
          <w:rtl/>
        </w:rPr>
        <w:t>(ד)</w:t>
      </w:r>
      <w:r w:rsidRPr="00EB6547">
        <w:rPr>
          <w:rtl/>
        </w:rPr>
        <w:t xml:space="preserve"> אך ביארנו לקמן בסק"ה דעת רוב הפוסקים דבנפה וכברה הנשאר למעלה בידו נחשב המתברר וע"כ מרקד שהסובין למעלה הוי פסולת מתוך אוכל. ובורר בכלי שהפסולת למטה כמ"ש רש"י ריש פרק תולין [קלח א] הוי אוכל מתוך פסולת. וא"כ הי' אוכל מתוך פסולת בכלי במשכן שהיו בוררים הסממנין בכלי. דא"ל דבמשכן לא הי' מבררין בכלי כי אם ביד מאין הרגלים לומר כן.</w:t>
      </w:r>
      <w:r w:rsidRPr="00EB6547">
        <w:rPr>
          <w:rFonts w:hint="cs"/>
          <w:rtl/>
        </w:rPr>
        <w:t xml:space="preserve"> </w:t>
      </w:r>
      <w:r w:rsidRPr="00EB6547">
        <w:rPr>
          <w:rtl/>
        </w:rPr>
        <w:t xml:space="preserve"> והתוס' רי"ד ר"פ תולין דעתו דבמשכן לא הי' מבררין ביד רק בכלי. ואף שדעת רש"י במשנה [עג א] הבורר פסולת בידיו אב מלאכה מבואר שהי' ביד ג"כ במשכן שאם לא היו בוררין ביד הי' רק תולדה כמו תולש תולדה דקוצר. אך מה"ת לומר שלא היו בוררין גם בכלי ומה שפירש"י הבורר פסולת "בידיו" היינו משום דבורר בכלי היינו פסולת למטה דהוי אוכל מתוך פסולת ולדעת רש"י מותר לאלתר ע"כ נקט מילתא דפסיקא הבורר פסולת בידיו דחייב אפי' לאלתר. וגם אין לומר כלל דברירת סממנין הי' פסולת למעלה דא"כ איך אמר ר' זירא ר"פ תולין דחייב משמר משום מרקד ולא משום בורר. משום דמשמר אוכל למטה ובורר הוא פסולת למטה. הא ברירת סממנין שבמשכן אוכל למטה. אלא ודאי גם ברירת סממנין שבמשכן הי' פסולת למטה]:</w:t>
      </w:r>
    </w:p>
    <w:p w14:paraId="047264E4" w14:textId="77777777" w:rsidR="008925FD" w:rsidRPr="00EB6547" w:rsidRDefault="008925FD" w:rsidP="00747170">
      <w:pPr>
        <w:pStyle w:val="afffff5"/>
        <w:rPr>
          <w:rtl/>
        </w:rPr>
      </w:pPr>
      <w:r w:rsidRPr="00EB6547">
        <w:rPr>
          <w:rStyle w:val="af2"/>
          <w:rFonts w:eastAsia="Guttman Hodes" w:cs="Guttman Hodes"/>
          <w:sz w:val="18"/>
          <w:szCs w:val="18"/>
          <w:rtl/>
        </w:rPr>
        <w:t>(ה)</w:t>
      </w:r>
      <w:r w:rsidRPr="00EB6547">
        <w:rPr>
          <w:rtl/>
        </w:rPr>
        <w:t xml:space="preserve"> אך לדעת ר"ח שהביאנו בביאור מלאכת זורה סעיף ג' וביארנו לקמן בסק"ה אות י' שגם התוס' סוברים כן דחילוק שבין בורר למרקד בורר ביד מרקד בכלי. מכלל דבורר בכלי לא הי' במשכן רק ביד [שאם הי' בורר בכלי במשכן למה נשנה מלאכת מרקד] וכיון שהנשאר בידו הוא המתברר ומרקד הוה פסולת מתוך אוכל [ומה"ט ס"ל לר"ח דרבה מחייב משמר רק משום בורר ולא משום מרקד. דמשמר שאינו אוחז הכלי בידו הוה אוכל מתוך פסולת. ומרקד פסולת מתוך אוכל] וא"כ לא הי' אוכל מתוך פסולת בכלי במשכן כמו שלא הי' אוכל מתוך פסולת ביד במשכן. וא"כ שפיר מחולק אוכל מתוך פסולת מפסולת מתוך אוכל בכלי כמו שהוא מחולק ביד:</w:t>
      </w:r>
    </w:p>
    <w:p w14:paraId="33952352" w14:textId="77777777" w:rsidR="008925FD" w:rsidRPr="00EB6547" w:rsidRDefault="008925FD" w:rsidP="00747170">
      <w:pPr>
        <w:pStyle w:val="afffff5"/>
        <w:rPr>
          <w:rtl/>
        </w:rPr>
      </w:pPr>
      <w:r w:rsidRPr="00EB6547">
        <w:rPr>
          <w:rStyle w:val="af2"/>
          <w:rFonts w:eastAsia="Guttman Hodes" w:cs="Guttman Hodes"/>
          <w:sz w:val="18"/>
          <w:szCs w:val="18"/>
          <w:rtl/>
        </w:rPr>
        <w:t>(ו)</w:t>
      </w:r>
      <w:r w:rsidRPr="00EB6547">
        <w:rPr>
          <w:rtl/>
        </w:rPr>
        <w:t xml:space="preserve"> מ"מ נראה ברור שגם לדעת ר"ח ותוס' אין לחלק בכלי בין פסולת מתוך אוכל לאוכל מתוך פסולת שהרי לשיטה זו דבורר בכלי לא הי' במשכן וחלוק שבין בורר למרקד בורר ביד מרקד בכלי קשה קושית התוס' אהא דאמר רבה מה דרכו של בורר נוטל אוכל ומניח פסולת דהיינו אוכל מתוך פסולת הא ביד דרכו ליטול פסולת ולהניח אוכל [ובורר קטניות בכלי הוא גופה מרקד או תולדת מרקד דאל"כ ובורר קטניות לא הוי תולדת מרקד דמרקד אוכל למטה ובורר קטניות פסולת למטה א"כ משמר אינו דומה לבורר רק למרקד מהאי טעמא כסברת ר' זירא] וע"כ כתירוץ התוס' דכשהפסולת מרובה הוי אוכל מתוך פסולת דרך ברירה. וה"ה בכלי דמחייבינן לדידהו משום מרקד נמי אוכל מתוך פסולת דהיינו כשהפסולת דק דאז האוכל נשאר למעלה בהכלי שבידיו הוי אוכל מתוך פסולת דרך ברירה. דכשבורר בכלי והפסולת דק לעולם הוא אוכל מתוך פסולת כיון שהפסולת דק ע"כ יורד למטה. ואף דאפשר לברר פסולת מתוך אוכל ביד הא ודאי דרך יותר לברר בכלי מביד:</w:t>
      </w:r>
    </w:p>
    <w:p w14:paraId="7B78C5DF" w14:textId="34D3602F" w:rsidR="008925FD" w:rsidRDefault="008925FD" w:rsidP="008925FD">
      <w:pPr>
        <w:pStyle w:val="afffff7"/>
        <w:rPr>
          <w:rtl/>
        </w:rPr>
      </w:pPr>
      <w:bookmarkStart w:id="2610" w:name="_Toc139277173"/>
      <w:bookmarkStart w:id="2611" w:name="_Toc163505876"/>
      <w:r>
        <w:rPr>
          <w:rtl/>
        </w:rPr>
        <w:t xml:space="preserve">אגלי טל בורר </w:t>
      </w:r>
      <w:r>
        <w:rPr>
          <w:rFonts w:hint="cs"/>
          <w:rtl/>
        </w:rPr>
        <w:t xml:space="preserve">סק"א </w:t>
      </w:r>
      <w:r>
        <w:rPr>
          <w:rtl/>
        </w:rPr>
        <w:t xml:space="preserve">אות </w:t>
      </w:r>
      <w:r>
        <w:rPr>
          <w:rFonts w:hint="cs"/>
          <w:rtl/>
        </w:rPr>
        <w:t>ז'</w:t>
      </w:r>
      <w:bookmarkEnd w:id="2610"/>
      <w:bookmarkEnd w:id="2611"/>
    </w:p>
    <w:p w14:paraId="634BE7FB" w14:textId="77777777" w:rsidR="008925FD" w:rsidRDefault="008925FD" w:rsidP="008925FD">
      <w:pPr>
        <w:pStyle w:val="a7"/>
        <w:rPr>
          <w:rtl/>
        </w:rPr>
      </w:pPr>
      <w:bookmarkStart w:id="2612" w:name="_Toc139277070"/>
      <w:r>
        <w:rPr>
          <w:rFonts w:hint="cs"/>
          <w:rtl/>
        </w:rPr>
        <w:t>בי' האגל"ט בר"ח דבכלי באוכל מתוך פסולת לאלתר כו"ע מודו דחייב דאין בזה חילוק בברייתא</w:t>
      </w:r>
      <w:bookmarkEnd w:id="2612"/>
    </w:p>
    <w:p w14:paraId="720F7EA4" w14:textId="7CFFFEC0" w:rsidR="008925FD" w:rsidRDefault="008925FD" w:rsidP="00BC7DC8">
      <w:pPr>
        <w:pStyle w:val="a3"/>
      </w:pPr>
      <w:bookmarkStart w:id="2613" w:name="_Ref137805934"/>
      <w:r>
        <w:rPr>
          <w:rFonts w:hint="cs"/>
          <w:rtl/>
        </w:rPr>
        <w:t xml:space="preserve">וכתב </w:t>
      </w:r>
      <w:r w:rsidRPr="005305D6">
        <w:rPr>
          <w:rStyle w:val="aff4"/>
          <w:rFonts w:hint="cs"/>
          <w:vanish/>
          <w:rtl/>
        </w:rPr>
        <w:t>-</w:t>
      </w:r>
      <w:r w:rsidRPr="00B8766B">
        <w:rPr>
          <w:rStyle w:val="aff4"/>
          <w:rFonts w:hint="cs"/>
          <w:rtl/>
        </w:rPr>
        <w:t>ה</w:t>
      </w:r>
      <w:r w:rsidRPr="00990EB8">
        <w:rPr>
          <w:rStyle w:val="aff4"/>
          <w:rFonts w:hint="cs"/>
          <w:vanish/>
          <w:rtl/>
        </w:rPr>
        <w:t xml:space="preserve">&lt;. </w:t>
      </w:r>
      <w:r w:rsidRPr="00990EB8">
        <w:rPr>
          <w:rStyle w:val="aff4"/>
          <w:vanish/>
          <w:rtl/>
        </w:rPr>
        <w:fldChar w:fldCharType="begin"/>
      </w:r>
      <w:r w:rsidRPr="00990EB8">
        <w:rPr>
          <w:rStyle w:val="aff4"/>
          <w:vanish/>
          <w:rtl/>
        </w:rPr>
        <w:instrText xml:space="preserve"> </w:instrText>
      </w:r>
      <w:r w:rsidRPr="00990EB8">
        <w:rPr>
          <w:rStyle w:val="aff4"/>
          <w:rFonts w:hint="cs"/>
          <w:vanish/>
        </w:rPr>
        <w:instrText>REF</w:instrText>
      </w:r>
      <w:r w:rsidRPr="00990EB8">
        <w:rPr>
          <w:rStyle w:val="aff4"/>
          <w:rFonts w:hint="cs"/>
          <w:vanish/>
          <w:rtl/>
        </w:rPr>
        <w:instrText xml:space="preserve"> _</w:instrText>
      </w:r>
      <w:r w:rsidRPr="00990EB8">
        <w:rPr>
          <w:rStyle w:val="aff4"/>
          <w:rFonts w:hint="cs"/>
          <w:vanish/>
        </w:rPr>
        <w:instrText>Ref137805934 \r \h</w:instrText>
      </w:r>
      <w:r w:rsidRPr="00990EB8">
        <w:rPr>
          <w:rStyle w:val="aff4"/>
          <w:vanish/>
          <w:rtl/>
        </w:rPr>
        <w:instrText xml:space="preserve"> </w:instrText>
      </w:r>
      <w:r w:rsidRPr="00990EB8">
        <w:rPr>
          <w:rStyle w:val="aff4"/>
          <w:vanish/>
          <w:rtl/>
        </w:rPr>
      </w:r>
      <w:r w:rsidRPr="00990EB8">
        <w:rPr>
          <w:rStyle w:val="aff4"/>
          <w:vanish/>
          <w:rtl/>
        </w:rPr>
        <w:fldChar w:fldCharType="separate"/>
      </w:r>
      <w:r w:rsidR="00D82181">
        <w:rPr>
          <w:rStyle w:val="aff4"/>
          <w:vanish/>
          <w:cs/>
        </w:rPr>
        <w:t>‎</w:t>
      </w:r>
      <w:r w:rsidR="00D82181">
        <w:rPr>
          <w:rStyle w:val="aff4"/>
          <w:vanish/>
          <w:rtl/>
        </w:rPr>
        <w:t>ל)</w:t>
      </w:r>
      <w:r w:rsidRPr="00990EB8">
        <w:rPr>
          <w:rStyle w:val="aff4"/>
          <w:vanish/>
          <w:rtl/>
        </w:rPr>
        <w:fldChar w:fldCharType="end"/>
      </w:r>
      <w:r w:rsidRPr="00990EB8">
        <w:rPr>
          <w:rStyle w:val="aff4"/>
          <w:rFonts w:hint="cs"/>
          <w:vanish/>
          <w:rtl/>
        </w:rPr>
        <w:t xml:space="preserve"> &gt;</w:t>
      </w:r>
      <w:r w:rsidRPr="00B8766B">
        <w:rPr>
          <w:rStyle w:val="aff4"/>
          <w:rFonts w:hint="cs"/>
          <w:rtl/>
        </w:rPr>
        <w:t>אגלי טל</w:t>
      </w:r>
      <w:r w:rsidRPr="005305D6">
        <w:rPr>
          <w:rStyle w:val="aff4"/>
          <w:rFonts w:hint="cs"/>
          <w:vanish/>
          <w:rtl/>
        </w:rPr>
        <w:t>-</w:t>
      </w:r>
      <w:r>
        <w:rPr>
          <w:rFonts w:hint="cs"/>
          <w:rtl/>
        </w:rPr>
        <w:t xml:space="preserve"> </w:t>
      </w:r>
      <w:r w:rsidRPr="000D251D">
        <w:rPr>
          <w:rStyle w:val="af2"/>
          <w:rFonts w:eastAsia="Guttman Hodes" w:hint="cs"/>
          <w:rtl/>
        </w:rPr>
        <w:t>(בורר סק"א אות ז')</w:t>
      </w:r>
      <w:r w:rsidRPr="005305D6">
        <w:rPr>
          <w:rFonts w:hint="cs"/>
          <w:vanish/>
          <w:rtl/>
        </w:rPr>
        <w:t>=</w:t>
      </w:r>
      <w:r>
        <w:rPr>
          <w:rFonts w:hint="cs"/>
          <w:rtl/>
        </w:rPr>
        <w:t xml:space="preserve"> דכיון מוכח דבכלי אף אוכל מתוך פסולת הוא בכלל האב דבורר, וכיון דלדעת </w:t>
      </w:r>
      <w:r w:rsidRPr="005305D6">
        <w:rPr>
          <w:rStyle w:val="aff4"/>
          <w:rFonts w:hint="cs"/>
          <w:vanish/>
          <w:rtl/>
        </w:rPr>
        <w:t>-</w:t>
      </w:r>
      <w:r w:rsidRPr="00B8766B">
        <w:rPr>
          <w:rStyle w:val="aff4"/>
          <w:rFonts w:hint="cs"/>
          <w:rtl/>
        </w:rPr>
        <w:t>ר"ח</w:t>
      </w:r>
      <w:r w:rsidRPr="005305D6">
        <w:rPr>
          <w:rStyle w:val="aff4"/>
          <w:rFonts w:hint="cs"/>
          <w:vanish/>
          <w:rtl/>
        </w:rPr>
        <w:t>-</w:t>
      </w:r>
      <w:r>
        <w:rPr>
          <w:rFonts w:hint="cs"/>
          <w:rtl/>
        </w:rPr>
        <w:t xml:space="preserve"> </w:t>
      </w:r>
      <w:r w:rsidRPr="000D251D">
        <w:rPr>
          <w:rStyle w:val="af2"/>
          <w:rFonts w:eastAsia="Guttman Hodes" w:hint="cs"/>
          <w:rtl/>
        </w:rPr>
        <w:t xml:space="preserve">(עי' אות </w:t>
      </w:r>
      <w:r w:rsidRPr="000D251D">
        <w:rPr>
          <w:rStyle w:val="af2"/>
          <w:rFonts w:eastAsia="Guttman Hodes"/>
          <w:rtl/>
        </w:rPr>
        <w:fldChar w:fldCharType="begin"/>
      </w:r>
      <w:r w:rsidRPr="000D251D">
        <w:rPr>
          <w:rStyle w:val="af2"/>
          <w:rFonts w:eastAsia="Guttman Hodes"/>
          <w:rtl/>
        </w:rPr>
        <w:instrText xml:space="preserve"> </w:instrText>
      </w:r>
      <w:r w:rsidRPr="000D251D">
        <w:rPr>
          <w:rStyle w:val="af2"/>
          <w:rFonts w:eastAsia="Guttman Hodes" w:hint="cs"/>
        </w:rPr>
        <w:instrText>REF</w:instrText>
      </w:r>
      <w:r w:rsidRPr="000D251D">
        <w:rPr>
          <w:rStyle w:val="af2"/>
          <w:rFonts w:eastAsia="Guttman Hodes" w:hint="cs"/>
          <w:rtl/>
        </w:rPr>
        <w:instrText xml:space="preserve"> _</w:instrText>
      </w:r>
      <w:r w:rsidRPr="000D251D">
        <w:rPr>
          <w:rStyle w:val="af2"/>
          <w:rFonts w:eastAsia="Guttman Hodes" w:hint="cs"/>
        </w:rPr>
        <w:instrText>Ref137805899 \r \h</w:instrText>
      </w:r>
      <w:r w:rsidRPr="000D251D">
        <w:rPr>
          <w:rStyle w:val="af2"/>
          <w:rFonts w:eastAsia="Guttman Hodes"/>
          <w:rtl/>
        </w:rPr>
        <w:instrText xml:space="preserve"> </w:instrText>
      </w:r>
      <w:r w:rsidRPr="000D251D">
        <w:rPr>
          <w:rStyle w:val="af2"/>
          <w:rFonts w:eastAsia="Guttman Hodes"/>
          <w:rtl/>
        </w:rPr>
      </w:r>
      <w:r w:rsidRPr="000D251D">
        <w:rPr>
          <w:rStyle w:val="af2"/>
          <w:rFonts w:eastAsia="Guttman Hodes"/>
          <w:rtl/>
        </w:rPr>
        <w:fldChar w:fldCharType="separate"/>
      </w:r>
      <w:r w:rsidR="00D82181">
        <w:rPr>
          <w:rStyle w:val="af2"/>
          <w:rFonts w:eastAsia="Guttman Hodes"/>
          <w:cs/>
        </w:rPr>
        <w:t>‎</w:t>
      </w:r>
      <w:r w:rsidR="00D82181">
        <w:rPr>
          <w:rStyle w:val="af2"/>
          <w:rFonts w:eastAsia="Guttman Hodes"/>
          <w:rtl/>
        </w:rPr>
        <w:t>מב)</w:t>
      </w:r>
      <w:r w:rsidRPr="000D251D">
        <w:rPr>
          <w:rStyle w:val="af2"/>
          <w:rFonts w:eastAsia="Guttman Hodes"/>
          <w:rtl/>
        </w:rPr>
        <w:fldChar w:fldCharType="end"/>
      </w:r>
      <w:bookmarkEnd w:id="2613"/>
      <w:r>
        <w:rPr>
          <w:rFonts w:hint="cs"/>
          <w:rtl/>
        </w:rPr>
        <w:t xml:space="preserve"> אין מחלוקת בגמ' לדינא, א"כ לרב יוסף שהעמיד את הברייתא ביד מודה דאיירי באוכל מתוך פסולת לאלתר, ולרב המנונא שהעמיד באוכל מתוך פסולת מודה דאיירי ביד לאלתר, ולאביי שהעמיד לאלתר מודה דאיירי באוכל מתוך פסולת ביד, א"כ בפסולת מתוך אוכל וכן בנפה וכברה אסור אף לאלתר, דכיון דבסיפא דתני דאסור בנפה וכברה לרב יוסף ובפסולת מתוך אוכל לרב המנונא, איירי ג"כ לאלתר דאין חילוק בזה בין הרישא לסיפא, וכתב </w:t>
      </w:r>
      <w:r w:rsidRPr="005305D6">
        <w:rPr>
          <w:rStyle w:val="aff4"/>
          <w:rFonts w:hint="cs"/>
          <w:vanish/>
          <w:rtl/>
        </w:rPr>
        <w:t>-</w:t>
      </w:r>
      <w:r w:rsidRPr="00B8766B">
        <w:rPr>
          <w:rStyle w:val="aff4"/>
          <w:rFonts w:hint="cs"/>
          <w:rtl/>
        </w:rPr>
        <w:t>האגלי טל</w:t>
      </w:r>
      <w:r w:rsidRPr="005305D6">
        <w:rPr>
          <w:rStyle w:val="aff4"/>
          <w:rFonts w:hint="cs"/>
          <w:vanish/>
          <w:rtl/>
        </w:rPr>
        <w:t>-</w:t>
      </w:r>
      <w:r>
        <w:rPr>
          <w:rFonts w:hint="cs"/>
          <w:rtl/>
        </w:rPr>
        <w:t xml:space="preserve"> דגם ההיתר דרב המנונא באוכל מתוך פסולת הוא רק ביד, דאילו בכלי אין חילוק בזה. </w:t>
      </w:r>
      <w:r w:rsidRPr="000D251D">
        <w:rPr>
          <w:rStyle w:val="af"/>
          <w:rFonts w:hint="cs"/>
          <w:rtl/>
        </w:rPr>
        <w:t xml:space="preserve">[כדביאר </w:t>
      </w:r>
      <w:r w:rsidRPr="009B1F18">
        <w:rPr>
          <w:rStyle w:val="aff9"/>
          <w:rFonts w:hint="cs"/>
          <w:vanish/>
          <w:rtl/>
        </w:rPr>
        <w:t>-</w:t>
      </w:r>
      <w:r w:rsidRPr="009B1F18">
        <w:rPr>
          <w:rStyle w:val="aff9"/>
          <w:rFonts w:hint="cs"/>
          <w:rtl/>
        </w:rPr>
        <w:t>האגלי טל</w:t>
      </w:r>
      <w:r w:rsidRPr="009B1F18">
        <w:rPr>
          <w:rStyle w:val="aff9"/>
          <w:rFonts w:hint="cs"/>
          <w:vanish/>
          <w:rtl/>
        </w:rPr>
        <w:t>-</w:t>
      </w:r>
      <w:r w:rsidRPr="000D251D">
        <w:rPr>
          <w:rStyle w:val="af"/>
          <w:rFonts w:hint="cs"/>
          <w:rtl/>
        </w:rPr>
        <w:t xml:space="preserve"> </w:t>
      </w:r>
      <w:r w:rsidRPr="009B1F18">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Ref137805968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כט)</w:t>
      </w:r>
      <w:r>
        <w:rPr>
          <w:rStyle w:val="aff0"/>
          <w:rtl/>
        </w:rPr>
        <w:fldChar w:fldCharType="end"/>
      </w:r>
      <w:r w:rsidRPr="00394BDA">
        <w:rPr>
          <w:rStyle w:val="af"/>
          <w:rFonts w:hint="cs"/>
          <w:rtl/>
        </w:rPr>
        <w:t>].</w:t>
      </w:r>
    </w:p>
    <w:p w14:paraId="577A6073" w14:textId="77777777" w:rsidR="008925FD" w:rsidRPr="00747170" w:rsidRDefault="008925FD" w:rsidP="00747170">
      <w:pPr>
        <w:pStyle w:val="a2"/>
        <w:rPr>
          <w:rtl/>
        </w:rPr>
      </w:pPr>
      <w:r w:rsidRPr="00747170">
        <w:rPr>
          <w:rStyle w:val="af2"/>
          <w:rFonts w:eastAsia="Guttman Hodes" w:cs="Guttman Hodes"/>
          <w:sz w:val="18"/>
          <w:szCs w:val="18"/>
          <w:rtl/>
        </w:rPr>
        <w:t>(ז)</w:t>
      </w:r>
      <w:r w:rsidRPr="00747170">
        <w:rPr>
          <w:rtl/>
        </w:rPr>
        <w:t xml:space="preserve"> הנה נתבררה הקדמה הזאת דבכלי אוכל מתוך פסולת הוא אב מלאכה כמו פסולת מתוך אוכל. מעתה לפי מ"ש דלא פליגי לענין דינא מוכרח לומר דלר' יוסף הברייתא מיירי באוכל מתוך פסולת לאכול לאלתר. ולרב המנונא מיירי ביד לאכול לאלתר. ולאביי מיירי אוכל מתוך פסולת ביד. דודאי רב יוסף ורב המנונא דאסרו למר בפסולת מתוך אוכל ולמר בנפה וכברה אסרו אפי' לאכול לאלתר דהא קתני בברייתא בורר ואוכל והיינו לאלתר. דאל"כ מה נ"מ במה שאוכל. ועלה קאי איסורא דנפה וכברה לר' יוסף ואיסורא דפסולת מתוך אוכל לרב המנונא דאין חילוק בין היתירא דרישא לאיסורא דסיפא אלא במה דמפרש רב יוסף ורב המנונא. וכיון דרישא בלאלתר ע"כ סיפא אפי' בלאלתר אסור. וגם התירא דאוכל מתוך פסולת אינו אלא ביד דכבר ביארנו דבכלי אין חילוק בין פסולת מתוך אוכל לאוכל מתוך פסולת. א"כ אין שום מעלה במה שמברר אוכל מתוך פסולת אם הוא בנפה וכברה. וע"כ הא דמתיר רב המנונא אוכל מתוך פסולת היינו ביד ופסולת מתוך אוכל אסור אפי' ביד דעלה קאי ואפי' לאלתר דעלה קאי רישא כנ"ל.</w:t>
      </w:r>
    </w:p>
    <w:p w14:paraId="0CD2F3D2" w14:textId="4A64C968" w:rsidR="008925FD" w:rsidRPr="00101ABC" w:rsidRDefault="008925FD" w:rsidP="008925FD">
      <w:pPr>
        <w:pStyle w:val="a7"/>
      </w:pPr>
      <w:bookmarkStart w:id="2614" w:name="_Toc139277071"/>
      <w:r>
        <w:rPr>
          <w:rFonts w:hint="cs"/>
          <w:rtl/>
        </w:rPr>
        <w:t>בי' האגל"ט בר"ח דמוכח דאביי בלאלתר רק באוכל מתוך פסולת וביד ומוכח דצריך ג' היתרים</w:t>
      </w:r>
      <w:bookmarkEnd w:id="2614"/>
    </w:p>
    <w:p w14:paraId="13E0832D" w14:textId="77777777" w:rsidR="008925FD" w:rsidRPr="00DA071A" w:rsidRDefault="008925FD" w:rsidP="00BC7DC8">
      <w:pPr>
        <w:pStyle w:val="a3"/>
        <w:rPr>
          <w:rtl/>
        </w:rPr>
      </w:pPr>
      <w:r>
        <w:rPr>
          <w:rFonts w:hint="cs"/>
          <w:rtl/>
        </w:rPr>
        <w:t xml:space="preserve">וכתב </w:t>
      </w:r>
      <w:r w:rsidRPr="005305D6">
        <w:rPr>
          <w:rStyle w:val="aff4"/>
          <w:rFonts w:hint="cs"/>
          <w:vanish/>
          <w:rtl/>
        </w:rPr>
        <w:t>-</w:t>
      </w:r>
      <w:r w:rsidRPr="00B8766B">
        <w:rPr>
          <w:rStyle w:val="aff4"/>
          <w:rFonts w:hint="cs"/>
          <w:rtl/>
        </w:rPr>
        <w:t>האגלי טל</w:t>
      </w:r>
      <w:r w:rsidRPr="005305D6">
        <w:rPr>
          <w:rStyle w:val="aff4"/>
          <w:rFonts w:hint="cs"/>
          <w:vanish/>
          <w:rtl/>
        </w:rPr>
        <w:t>-</w:t>
      </w:r>
      <w:r>
        <w:rPr>
          <w:rFonts w:hint="cs"/>
          <w:rtl/>
        </w:rPr>
        <w:t xml:space="preserve"> דא"כ בסיפא דפסולת מתוך אוכל אסור לרב המנונא, איירי אף ביד ולאלתר כמו ברישא, וא"כ כשהתיר אביי לאלתר ואסר לאחר זמן, היינו ג"כ באוכל מתוך פסולת ביד, דאי איירי בפסולת מתוך אוכל או בנפה אין בזה כל חילוק בין לאלתר ללאחר זמן, דבלא"ה אסור בכה"ג כדמוכח מדברי רב יוסף ורב המנונא, וכתב </w:t>
      </w:r>
      <w:r w:rsidRPr="005305D6">
        <w:rPr>
          <w:rStyle w:val="aff4"/>
          <w:rFonts w:hint="cs"/>
          <w:vanish/>
          <w:rtl/>
        </w:rPr>
        <w:t>-</w:t>
      </w:r>
      <w:r w:rsidRPr="00B8766B">
        <w:rPr>
          <w:rStyle w:val="aff4"/>
          <w:rFonts w:hint="cs"/>
          <w:rtl/>
        </w:rPr>
        <w:t>האגלי טל</w:t>
      </w:r>
      <w:r w:rsidRPr="005305D6">
        <w:rPr>
          <w:rStyle w:val="aff4"/>
          <w:rFonts w:hint="cs"/>
          <w:vanish/>
          <w:rtl/>
        </w:rPr>
        <w:t>-</w:t>
      </w:r>
      <w:r>
        <w:rPr>
          <w:rFonts w:hint="cs"/>
          <w:rtl/>
        </w:rPr>
        <w:t xml:space="preserve"> דמזה הוכיח </w:t>
      </w:r>
      <w:r w:rsidRPr="005305D6">
        <w:rPr>
          <w:rStyle w:val="aff4"/>
          <w:rFonts w:hint="cs"/>
          <w:vanish/>
          <w:rtl/>
        </w:rPr>
        <w:t>-</w:t>
      </w:r>
      <w:r w:rsidRPr="00B8766B">
        <w:rPr>
          <w:rStyle w:val="aff4"/>
          <w:rFonts w:hint="cs"/>
          <w:rtl/>
        </w:rPr>
        <w:t>ר"ח</w:t>
      </w:r>
      <w:r w:rsidRPr="005305D6">
        <w:rPr>
          <w:rStyle w:val="aff4"/>
          <w:rFonts w:hint="cs"/>
          <w:vanish/>
          <w:rtl/>
        </w:rPr>
        <w:t>-</w:t>
      </w:r>
      <w:r>
        <w:rPr>
          <w:rFonts w:hint="cs"/>
          <w:rtl/>
        </w:rPr>
        <w:t xml:space="preserve"> דהאיסור להניח לאח"ז הוא אף ביד ולאלתר, ולכו"ע צריך את ג' ההיתרים.</w:t>
      </w:r>
    </w:p>
    <w:p w14:paraId="27151E8E" w14:textId="77777777" w:rsidR="008925FD" w:rsidRPr="00747170" w:rsidRDefault="008925FD" w:rsidP="00747170">
      <w:pPr>
        <w:pStyle w:val="a2"/>
        <w:rPr>
          <w:rtl/>
        </w:rPr>
      </w:pPr>
      <w:r w:rsidRPr="00747170">
        <w:rPr>
          <w:rtl/>
        </w:rPr>
        <w:t>וכיון דאפי' לאלתר אסור פסולת מתוך אוכל אפי' ביד וכן בנפה וכברה אפי' אוכל מתוך פסולת. ע"כ הא דאסר אביי לאחר זמן היינו אפי' אוכל מתוך פסולת ביד דאל"כ לא הי' שום נ"מ בין לאלתר ללאחר זמן כנ"ל שיטת הר"ח איך דבריו נלמדים מהגמרא:</w:t>
      </w:r>
    </w:p>
    <w:p w14:paraId="7041F2D1" w14:textId="1910368E" w:rsidR="008925FD" w:rsidRDefault="008925FD" w:rsidP="008925FD">
      <w:pPr>
        <w:pStyle w:val="1"/>
        <w:rPr>
          <w:rtl/>
        </w:rPr>
      </w:pPr>
      <w:bookmarkStart w:id="2615" w:name="_Toc139277072"/>
      <w:r>
        <w:rPr>
          <w:rFonts w:hint="cs"/>
          <w:rtl/>
        </w:rPr>
        <w:t>בי' הרי"ד</w:t>
      </w:r>
      <w:r w:rsidRPr="00393098">
        <w:rPr>
          <w:rFonts w:hint="cs"/>
          <w:rtl/>
        </w:rPr>
        <w:t xml:space="preserve"> </w:t>
      </w:r>
      <w:r>
        <w:rPr>
          <w:rFonts w:hint="cs"/>
          <w:rtl/>
        </w:rPr>
        <w:t>דכל אוכל מתוך פסולת הוא שינוי ול"ש בו חטאת</w:t>
      </w:r>
      <w:bookmarkEnd w:id="2615"/>
    </w:p>
    <w:p w14:paraId="2D0D35D6" w14:textId="77777777" w:rsidR="008925FD" w:rsidRDefault="008925FD" w:rsidP="008925FD">
      <w:pPr>
        <w:pStyle w:val="afffff7"/>
        <w:rPr>
          <w:rtl/>
        </w:rPr>
      </w:pPr>
      <w:bookmarkStart w:id="2616" w:name="_Toc139277174"/>
      <w:bookmarkStart w:id="2617" w:name="_Toc163505877"/>
      <w:r>
        <w:rPr>
          <w:rtl/>
        </w:rPr>
        <w:t>ספר המכריע סי</w:t>
      </w:r>
      <w:r>
        <w:rPr>
          <w:rFonts w:hint="cs"/>
          <w:rtl/>
        </w:rPr>
        <w:t xml:space="preserve">' </w:t>
      </w:r>
      <w:r>
        <w:rPr>
          <w:rtl/>
        </w:rPr>
        <w:t>כ</w:t>
      </w:r>
      <w:r>
        <w:rPr>
          <w:rFonts w:hint="cs"/>
          <w:rtl/>
        </w:rPr>
        <w:t>"</w:t>
      </w:r>
      <w:r>
        <w:rPr>
          <w:rtl/>
        </w:rPr>
        <w:t>ג</w:t>
      </w:r>
      <w:r w:rsidRPr="006B322E">
        <w:rPr>
          <w:rtl/>
        </w:rPr>
        <w:t xml:space="preserve"> ד"ה גרסינן</w:t>
      </w:r>
      <w:bookmarkEnd w:id="2616"/>
      <w:bookmarkEnd w:id="2617"/>
    </w:p>
    <w:p w14:paraId="6ED71A99" w14:textId="77777777" w:rsidR="008925FD" w:rsidRDefault="008925FD" w:rsidP="008925FD">
      <w:pPr>
        <w:pStyle w:val="a7"/>
        <w:rPr>
          <w:rtl/>
        </w:rPr>
      </w:pPr>
      <w:bookmarkStart w:id="2618" w:name="_Toc139277073"/>
      <w:r>
        <w:rPr>
          <w:rFonts w:hint="cs"/>
          <w:rtl/>
        </w:rPr>
        <w:t>בי' הרי"ד דאוכל מתוך פסולת הוא שינוי גמור ולכו"ע</w:t>
      </w:r>
      <w:r w:rsidRPr="00166BDA">
        <w:rPr>
          <w:rFonts w:hint="cs"/>
          <w:rtl/>
        </w:rPr>
        <w:t xml:space="preserve"> </w:t>
      </w:r>
      <w:r>
        <w:rPr>
          <w:rFonts w:hint="cs"/>
          <w:rtl/>
        </w:rPr>
        <w:t>א"א לחייב חטאת אף בנפה וכברה</w:t>
      </w:r>
      <w:bookmarkEnd w:id="2618"/>
    </w:p>
    <w:p w14:paraId="4D2440D7" w14:textId="73EA5347" w:rsidR="008925FD" w:rsidRDefault="008925FD" w:rsidP="00BC7DC8">
      <w:pPr>
        <w:pStyle w:val="a3"/>
        <w:rPr>
          <w:rtl/>
        </w:rPr>
      </w:pPr>
      <w:bookmarkStart w:id="2619" w:name="_Ref138967431"/>
      <w:r>
        <w:rPr>
          <w:rFonts w:hint="cs"/>
          <w:rtl/>
        </w:rPr>
        <w:t xml:space="preserve">כתב </w:t>
      </w:r>
      <w:r w:rsidRPr="00736383">
        <w:rPr>
          <w:rStyle w:val="aff4"/>
          <w:rFonts w:hint="cs"/>
          <w:vanish/>
          <w:rtl/>
        </w:rPr>
        <w:t>-</w:t>
      </w:r>
      <w:r w:rsidRPr="00194A43">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Ref138967431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לב)</w:t>
      </w:r>
      <w:r>
        <w:rPr>
          <w:rStyle w:val="aff4"/>
          <w:vanish/>
          <w:rtl/>
        </w:rPr>
        <w:fldChar w:fldCharType="end"/>
      </w:r>
      <w:r>
        <w:rPr>
          <w:rStyle w:val="aff4"/>
          <w:rFonts w:hint="cs"/>
          <w:vanish/>
          <w:rtl/>
        </w:rPr>
        <w:t xml:space="preserve"> &gt;</w:t>
      </w:r>
      <w:r w:rsidRPr="00194A43">
        <w:rPr>
          <w:rStyle w:val="aff4"/>
          <w:rFonts w:hint="cs"/>
          <w:rtl/>
        </w:rPr>
        <w:t>רי"ד בספר המכריע</w:t>
      </w:r>
      <w:r w:rsidRPr="00736383">
        <w:rPr>
          <w:rStyle w:val="aff4"/>
          <w:rFonts w:hint="cs"/>
          <w:vanish/>
          <w:rtl/>
        </w:rPr>
        <w:t>-</w:t>
      </w:r>
      <w:r>
        <w:rPr>
          <w:rFonts w:hint="cs"/>
          <w:rtl/>
        </w:rPr>
        <w:t xml:space="preserve"> </w:t>
      </w:r>
      <w:r w:rsidRPr="000D251D">
        <w:rPr>
          <w:rStyle w:val="af2"/>
          <w:rFonts w:eastAsia="Guttman Hodes" w:hint="cs"/>
          <w:rtl/>
        </w:rPr>
        <w:t>(סי' כ"ג</w:t>
      </w:r>
      <w:r w:rsidRPr="000D251D">
        <w:rPr>
          <w:rStyle w:val="af2"/>
          <w:rFonts w:eastAsia="Guttman Hodes"/>
          <w:rtl/>
        </w:rPr>
        <w:t xml:space="preserve"> ד"ה גרסינן</w:t>
      </w:r>
      <w:r w:rsidRPr="000D251D">
        <w:rPr>
          <w:rStyle w:val="af2"/>
          <w:rFonts w:eastAsia="Guttman Hodes" w:hint="cs"/>
          <w:rtl/>
        </w:rPr>
        <w:t>, הועתק בקובץ שיטות קמאי שבת ח"ב עמ' אלף פ"ו)</w:t>
      </w:r>
      <w:r w:rsidRPr="00736383">
        <w:rPr>
          <w:rFonts w:hint="cs"/>
          <w:vanish/>
          <w:rtl/>
        </w:rPr>
        <w:t>=</w:t>
      </w:r>
      <w:r>
        <w:rPr>
          <w:rFonts w:hint="cs"/>
          <w:rtl/>
        </w:rPr>
        <w:t xml:space="preserve"> דרב יוסף ורב המנונא ואביי נחלקו רק בביאור הברייתא ולא להלכה, דרב יוסף העמיד את הברייתא ביד דהוא שינוי גמור, ולכן מותר, ובקנון הוא שינוי קצת ופטור אבל אסור, ובנפה וכברה דהוא מלאכה גמורה, חייב אף לאלתר כמו דאופה ומבשל חייב לאלתר, וכתב </w:t>
      </w:r>
      <w:r w:rsidRPr="00736383">
        <w:rPr>
          <w:rStyle w:val="aff4"/>
          <w:rFonts w:hint="cs"/>
          <w:vanish/>
          <w:rtl/>
        </w:rPr>
        <w:t>-</w:t>
      </w:r>
      <w:r w:rsidRPr="00194A43">
        <w:rPr>
          <w:rStyle w:val="aff4"/>
          <w:rFonts w:hint="cs"/>
          <w:rtl/>
        </w:rPr>
        <w:t>הרי"ד בספר המכריע</w:t>
      </w:r>
      <w:r w:rsidRPr="00736383">
        <w:rPr>
          <w:rStyle w:val="aff4"/>
          <w:rFonts w:hint="cs"/>
          <w:vanish/>
          <w:rtl/>
        </w:rPr>
        <w:t>-</w:t>
      </w:r>
      <w:r>
        <w:rPr>
          <w:rFonts w:hint="cs"/>
          <w:rtl/>
        </w:rPr>
        <w:t xml:space="preserve"> דרב המנונא דהעמיד באוכל מתוך פסולת איירי בנפה וכברה, ולכן אמר דבפסולת מתוך אוכל חייב, אעפ"י דבורר לאלתר, ואף רב יוסף דחייב בנפה וכברה איירי ג"כ בפסולת מתוך אוכל, דאילו באוכל מתוך פסולת א"א לחייב חטאת אף בנפה וכברה, דהוא שינוי ואין בזה חיוב חטאת כדמוכח במשנה בביצה </w:t>
      </w:r>
      <w:r w:rsidRPr="000D251D">
        <w:rPr>
          <w:rStyle w:val="af2"/>
          <w:rFonts w:eastAsia="Guttman Hodes" w:hint="cs"/>
          <w:rtl/>
        </w:rPr>
        <w:t>(יד:)</w:t>
      </w:r>
      <w:r>
        <w:rPr>
          <w:rFonts w:hint="cs"/>
          <w:rtl/>
        </w:rPr>
        <w:t xml:space="preserve"> דבורר קיטנית הוי שינוי דהוא אוכל מתוך פסולת.</w:t>
      </w:r>
      <w:bookmarkEnd w:id="2619"/>
    </w:p>
    <w:p w14:paraId="02D84942" w14:textId="77777777" w:rsidR="008925FD" w:rsidRPr="00747170" w:rsidRDefault="008925FD" w:rsidP="00747170">
      <w:pPr>
        <w:pStyle w:val="a2"/>
      </w:pPr>
      <w:r w:rsidRPr="00747170">
        <w:rPr>
          <w:rtl/>
        </w:rPr>
        <w:t>גרסינן בפרק כלל גדול (ל"ג ב') הזורה והבורר אלא אמר רב יוסף בורר ואוכל וכו' מאד נדחקתי לעמוד על דיני הברירה ומה שבידי לפרש אפרש. בורר ואוכל ביד בורר ומניח ביד פירוש האי מניח לאלתר הוא כדי לאכול באותה סעודה דומיא דלאכול ואף על פי שלאלתר הוא עושה דוקא ביד הוא מותר דהוא שינוי גמור אבל בקנון ובתמחוי דהוא שנוי קצת פטור אבל אסור ובנפה ובכברה דהוא מלאכה גמורה חייב חטאת דאע"ג דלאכול מיד קא עביד הוה ליה כאופה ומבשל מיד דחייב חטאת כדאקשינן לעולא</w:t>
      </w:r>
      <w:r w:rsidRPr="00747170">
        <w:rPr>
          <w:rFonts w:hint="cs"/>
          <w:rtl/>
        </w:rPr>
        <w:t xml:space="preserve">, </w:t>
      </w:r>
      <w:r w:rsidRPr="00747170">
        <w:rPr>
          <w:rtl/>
        </w:rPr>
        <w:t>מתקיף לה רב המנונא מידי קנון ותמחוי וכברה ונפה קתני וכו'. פירוש לא סבר רב המנונא את דברי רב יוסף לומר שאין הלכה כמותו. דודאי כן הלכה אלא מיהו פירוש דברי הברייתא אינו מיושב יפה דלא תני קנון ותמחוי נפה וכברה אלא אמר רב המנונא בורר ואוכל אוכל מתוך פסולת בורר ומניח אוכל מתוך פסולת אבל פסולת מתוך אוכל לא יברור ואם בירר חייב חטאת. נראה לי דרב המנונא בנפה ובכברה קאמר (ומשום) [ומש"ה] חייב חטאת בפסולת מתוך אוכל ואף על גב דהוא בורר לאכול וגם רב יוסף שחייב בנפה ובכברה בפסולת מתוך אוכל חייב דאלו אוכל מתוך פסולת שנוי הוי ולא מחייב עליה חטאת לעולם כדתנן בפרקא קמא דביצה הבורר קטנית בי"ט בית שמאי אומרים בורר אוכל אוכל וכו' דאלמא אוכל מתוך פסולת הוי שינוי ורב המנונא ורב יוסף לא פליגי אלא שסבר רב המנונא שרב יוסף לא יישב הברייתא יפה ובא הוא וישבה.</w:t>
      </w:r>
    </w:p>
    <w:p w14:paraId="3E7F1197" w14:textId="77777777" w:rsidR="008925FD" w:rsidRPr="0087665F" w:rsidRDefault="008925FD" w:rsidP="008925FD">
      <w:pPr>
        <w:pStyle w:val="a7"/>
        <w:rPr>
          <w:rFonts w:asciiTheme="minorHAnsi" w:hAnsiTheme="minorHAnsi"/>
        </w:rPr>
      </w:pPr>
      <w:bookmarkStart w:id="2620" w:name="_Toc139277175"/>
      <w:bookmarkStart w:id="2621" w:name="_Toc138969409"/>
    </w:p>
    <w:p w14:paraId="2BD29292" w14:textId="77777777" w:rsidR="008925FD" w:rsidRDefault="008925FD" w:rsidP="008925FD">
      <w:pPr>
        <w:pStyle w:val="a7"/>
        <w:rPr>
          <w:rtl/>
        </w:rPr>
      </w:pPr>
    </w:p>
    <w:p w14:paraId="484DA4CF" w14:textId="77777777" w:rsidR="008925FD" w:rsidRDefault="008925FD" w:rsidP="008925FD">
      <w:pPr>
        <w:pStyle w:val="afffff7"/>
        <w:rPr>
          <w:rtl/>
        </w:rPr>
      </w:pPr>
      <w:bookmarkStart w:id="2622" w:name="_Toc163505878"/>
      <w:r>
        <w:rPr>
          <w:rtl/>
        </w:rPr>
        <w:lastRenderedPageBreak/>
        <w:t>ספר המכריע סי</w:t>
      </w:r>
      <w:r>
        <w:rPr>
          <w:rFonts w:hint="cs"/>
          <w:rtl/>
        </w:rPr>
        <w:t xml:space="preserve">' </w:t>
      </w:r>
      <w:r>
        <w:rPr>
          <w:rtl/>
        </w:rPr>
        <w:t>כ</w:t>
      </w:r>
      <w:r>
        <w:rPr>
          <w:rFonts w:hint="cs"/>
          <w:rtl/>
        </w:rPr>
        <w:t>"</w:t>
      </w:r>
      <w:r>
        <w:rPr>
          <w:rtl/>
        </w:rPr>
        <w:t>ג</w:t>
      </w:r>
      <w:r w:rsidRPr="006B322E">
        <w:rPr>
          <w:rtl/>
        </w:rPr>
        <w:t xml:space="preserve"> ד"ה </w:t>
      </w:r>
      <w:r>
        <w:rPr>
          <w:rFonts w:hint="cs"/>
          <w:rtl/>
        </w:rPr>
        <w:t>ונראה</w:t>
      </w:r>
      <w:bookmarkEnd w:id="2620"/>
      <w:bookmarkEnd w:id="2622"/>
    </w:p>
    <w:p w14:paraId="65B874C2" w14:textId="77777777" w:rsidR="008925FD" w:rsidRPr="00232F99" w:rsidRDefault="008925FD" w:rsidP="008925FD">
      <w:pPr>
        <w:pStyle w:val="a7"/>
      </w:pPr>
      <w:bookmarkStart w:id="2623" w:name="_Toc139277074"/>
      <w:r>
        <w:rPr>
          <w:rFonts w:hint="cs"/>
          <w:rtl/>
        </w:rPr>
        <w:t>בי' הרי"ד דלמסקנא באוכל מפסולת פטור אף בנפה</w:t>
      </w:r>
      <w:r w:rsidRPr="00F64C0E">
        <w:rPr>
          <w:rFonts w:hint="cs"/>
          <w:rtl/>
        </w:rPr>
        <w:t xml:space="preserve"> </w:t>
      </w:r>
      <w:r>
        <w:rPr>
          <w:rFonts w:hint="cs"/>
          <w:rtl/>
        </w:rPr>
        <w:t>ולאח"ז בפסולת מתוך אוכל אף ביד</w:t>
      </w:r>
      <w:r w:rsidRPr="00E17D3D">
        <w:rPr>
          <w:rFonts w:hint="cs"/>
          <w:rtl/>
        </w:rPr>
        <w:t xml:space="preserve"> </w:t>
      </w:r>
      <w:r>
        <w:rPr>
          <w:rFonts w:hint="cs"/>
          <w:rtl/>
        </w:rPr>
        <w:t>חייב</w:t>
      </w:r>
      <w:bookmarkEnd w:id="2623"/>
    </w:p>
    <w:p w14:paraId="70643554" w14:textId="29D65305" w:rsidR="008925FD" w:rsidRDefault="008925FD" w:rsidP="00BC7DC8">
      <w:pPr>
        <w:pStyle w:val="a3"/>
        <w:rPr>
          <w:rtl/>
        </w:rPr>
      </w:pPr>
      <w:bookmarkStart w:id="2624" w:name="_Ref139227862"/>
      <w:r>
        <w:rPr>
          <w:rFonts w:hint="cs"/>
          <w:rtl/>
        </w:rPr>
        <w:t xml:space="preserve">וכתב </w:t>
      </w:r>
      <w:r w:rsidRPr="00194A43">
        <w:rPr>
          <w:rStyle w:val="aff4"/>
          <w:rFonts w:hint="cs"/>
          <w:vanish/>
          <w:rtl/>
        </w:rPr>
        <w:t>-</w:t>
      </w:r>
      <w:r w:rsidRPr="00194A43">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Ref139227862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לג)</w:t>
      </w:r>
      <w:r>
        <w:rPr>
          <w:rStyle w:val="aff4"/>
          <w:vanish/>
          <w:rtl/>
        </w:rPr>
        <w:fldChar w:fldCharType="end"/>
      </w:r>
      <w:r>
        <w:rPr>
          <w:rStyle w:val="aff4"/>
          <w:rFonts w:hint="cs"/>
          <w:vanish/>
          <w:rtl/>
        </w:rPr>
        <w:t xml:space="preserve"> &gt;</w:t>
      </w:r>
      <w:r w:rsidRPr="00194A43">
        <w:rPr>
          <w:rStyle w:val="aff4"/>
          <w:rFonts w:hint="cs"/>
          <w:rtl/>
        </w:rPr>
        <w:t>רי"ד בספר המכריע</w:t>
      </w:r>
      <w:r w:rsidRPr="00194A43">
        <w:rPr>
          <w:rStyle w:val="aff4"/>
          <w:rFonts w:hint="cs"/>
          <w:vanish/>
          <w:rtl/>
        </w:rPr>
        <w:t>-</w:t>
      </w:r>
      <w:r>
        <w:rPr>
          <w:rFonts w:hint="cs"/>
          <w:rtl/>
        </w:rPr>
        <w:t xml:space="preserve"> </w:t>
      </w:r>
      <w:r w:rsidRPr="000D251D">
        <w:rPr>
          <w:rStyle w:val="af2"/>
          <w:rFonts w:eastAsia="Guttman Hodes" w:hint="cs"/>
          <w:rtl/>
        </w:rPr>
        <w:t>(סי' כ"ג ד"ה ונראה, הועתק בקובץ שיטות קמאי שבת ח"ב עמ' אלף פ"ז)</w:t>
      </w:r>
      <w:r w:rsidRPr="00194A43">
        <w:rPr>
          <w:rFonts w:hint="cs"/>
          <w:vanish/>
          <w:rtl/>
        </w:rPr>
        <w:t>=</w:t>
      </w:r>
      <w:r>
        <w:rPr>
          <w:rFonts w:hint="cs"/>
          <w:rtl/>
        </w:rPr>
        <w:t xml:space="preserve"> דאביי דהעמיד את הברייתא ביד איירי דוקא בפסולת מתוך אוכל, ולכן לאחר זמן חייב חטאת ולאלתר מותר</w:t>
      </w:r>
      <w:r w:rsidRPr="00D824B0">
        <w:rPr>
          <w:rFonts w:hint="cs"/>
          <w:rtl/>
        </w:rPr>
        <w:t xml:space="preserve"> </w:t>
      </w:r>
      <w:r>
        <w:rPr>
          <w:rFonts w:hint="cs"/>
          <w:rtl/>
        </w:rPr>
        <w:t xml:space="preserve">וכן המסקנא דביד לאלתר מותר לכתחילה אף בפסולת מתוך אוכל, </w:t>
      </w:r>
      <w:r w:rsidRPr="000D251D">
        <w:rPr>
          <w:rStyle w:val="af"/>
          <w:rFonts w:hint="cs"/>
          <w:rtl/>
        </w:rPr>
        <w:t>[כאביי</w:t>
      </w:r>
      <w:r w:rsidRPr="00394BDA">
        <w:rPr>
          <w:rStyle w:val="af"/>
          <w:rFonts w:hint="cs"/>
          <w:rtl/>
        </w:rPr>
        <w:t>],</w:t>
      </w:r>
      <w:r>
        <w:rPr>
          <w:rFonts w:hint="cs"/>
          <w:rtl/>
        </w:rPr>
        <w:t xml:space="preserve"> ובקנון ותמחוי פטור אבל אסור, ובנפה וכברה חייב חטאת אעפ"י דהוא בורר לאכילה,</w:t>
      </w:r>
      <w:r w:rsidRPr="00D824B0">
        <w:rPr>
          <w:rFonts w:hint="cs"/>
          <w:rtl/>
        </w:rPr>
        <w:t xml:space="preserve"> </w:t>
      </w:r>
      <w:r>
        <w:rPr>
          <w:rFonts w:hint="cs"/>
          <w:rtl/>
        </w:rPr>
        <w:t>ובבורר לאחר זמן בפסולת מתוך אוכל חייב אף ביד</w:t>
      </w:r>
      <w:r w:rsidRPr="005E0E2F">
        <w:rPr>
          <w:rFonts w:hint="cs"/>
          <w:rtl/>
        </w:rPr>
        <w:t xml:space="preserve"> </w:t>
      </w:r>
      <w:r w:rsidRPr="000D251D">
        <w:rPr>
          <w:rStyle w:val="af"/>
          <w:rFonts w:hint="cs"/>
          <w:rtl/>
        </w:rPr>
        <w:t>[כאביי</w:t>
      </w:r>
      <w:r w:rsidRPr="00394BDA">
        <w:rPr>
          <w:rStyle w:val="af"/>
          <w:rFonts w:hint="cs"/>
          <w:rtl/>
        </w:rPr>
        <w:t>],</w:t>
      </w:r>
      <w:r>
        <w:rPr>
          <w:rFonts w:hint="cs"/>
          <w:rtl/>
        </w:rPr>
        <w:t xml:space="preserve"> אבל באוכל מתוך פסולת אף לאחר זמן פטור בנפה וכברה פטור אבל אסור, כיון דאוכל מתוך פסולת הוא שינוי ואין בו חיוב חטאת, </w:t>
      </w:r>
      <w:r w:rsidRPr="000D251D">
        <w:rPr>
          <w:rStyle w:val="af"/>
          <w:rFonts w:hint="cs"/>
          <w:rtl/>
        </w:rPr>
        <w:t xml:space="preserve">[כדביאר </w:t>
      </w:r>
      <w:r w:rsidRPr="00A54E14">
        <w:rPr>
          <w:rStyle w:val="aff9"/>
          <w:rFonts w:hint="cs"/>
          <w:vanish/>
          <w:rtl/>
        </w:rPr>
        <w:t>-</w:t>
      </w:r>
      <w:r w:rsidRPr="009B1F18">
        <w:rPr>
          <w:rStyle w:val="aff9"/>
          <w:rFonts w:hint="cs"/>
          <w:rtl/>
        </w:rPr>
        <w:t>הרי"ד</w:t>
      </w:r>
      <w:r w:rsidRPr="00A54E14">
        <w:rPr>
          <w:rStyle w:val="aff9"/>
          <w:rFonts w:hint="cs"/>
          <w:vanish/>
          <w:rtl/>
        </w:rPr>
        <w:t>-</w:t>
      </w:r>
      <w:r w:rsidRPr="000D251D">
        <w:rPr>
          <w:rStyle w:val="af"/>
          <w:rFonts w:hint="cs"/>
          <w:rtl/>
        </w:rPr>
        <w:t xml:space="preserve"> </w:t>
      </w:r>
      <w:r w:rsidRPr="009B1F18">
        <w:rPr>
          <w:rStyle w:val="aff0"/>
          <w:rFonts w:hint="cs"/>
          <w:rtl/>
        </w:rPr>
        <w:t xml:space="preserve">(עי' אות </w:t>
      </w:r>
      <w:r w:rsidRPr="009B1F18">
        <w:rPr>
          <w:rStyle w:val="aff0"/>
          <w:rtl/>
        </w:rPr>
        <w:fldChar w:fldCharType="begin"/>
      </w:r>
      <w:r w:rsidRPr="009B1F18">
        <w:rPr>
          <w:rStyle w:val="aff0"/>
          <w:rtl/>
        </w:rPr>
        <w:instrText xml:space="preserve"> </w:instrText>
      </w:r>
      <w:r w:rsidRPr="009B1F18">
        <w:rPr>
          <w:rStyle w:val="aff0"/>
          <w:rFonts w:hint="cs"/>
        </w:rPr>
        <w:instrText>REF</w:instrText>
      </w:r>
      <w:r w:rsidRPr="009B1F18">
        <w:rPr>
          <w:rStyle w:val="aff0"/>
          <w:rFonts w:hint="cs"/>
          <w:rtl/>
        </w:rPr>
        <w:instrText xml:space="preserve"> _</w:instrText>
      </w:r>
      <w:r w:rsidRPr="009B1F18">
        <w:rPr>
          <w:rStyle w:val="aff0"/>
          <w:rFonts w:hint="cs"/>
        </w:rPr>
        <w:instrText>Ref138967431 \r \h</w:instrText>
      </w:r>
      <w:r w:rsidRPr="009B1F18">
        <w:rPr>
          <w:rStyle w:val="aff0"/>
          <w:rtl/>
        </w:rPr>
        <w:instrText xml:space="preserve"> </w:instrText>
      </w:r>
      <w:r w:rsidRPr="009B1F18">
        <w:rPr>
          <w:rStyle w:val="aff0"/>
          <w:rtl/>
        </w:rPr>
      </w:r>
      <w:r w:rsidRPr="009B1F18">
        <w:rPr>
          <w:rStyle w:val="aff0"/>
          <w:rtl/>
        </w:rPr>
        <w:fldChar w:fldCharType="separate"/>
      </w:r>
      <w:r w:rsidR="00D82181">
        <w:rPr>
          <w:rStyle w:val="aff0"/>
          <w:cs/>
        </w:rPr>
        <w:t>‎</w:t>
      </w:r>
      <w:r w:rsidR="00D82181">
        <w:rPr>
          <w:rStyle w:val="aff0"/>
          <w:rtl/>
        </w:rPr>
        <w:t>לב)</w:t>
      </w:r>
      <w:r w:rsidRPr="009B1F18">
        <w:rPr>
          <w:rStyle w:val="aff0"/>
          <w:rtl/>
        </w:rPr>
        <w:fldChar w:fldCharType="end"/>
      </w:r>
      <w:r w:rsidRPr="000D251D">
        <w:rPr>
          <w:rStyle w:val="af"/>
          <w:rFonts w:hint="cs"/>
          <w:rtl/>
        </w:rPr>
        <w:t xml:space="preserve"> בדעת רב המנונא וכדמוכח במשנה בביצה</w:t>
      </w:r>
      <w:r w:rsidRPr="00394BDA">
        <w:rPr>
          <w:rStyle w:val="af"/>
          <w:rFonts w:hint="cs"/>
          <w:rtl/>
        </w:rPr>
        <w:t>]</w:t>
      </w:r>
      <w:bookmarkEnd w:id="2624"/>
      <w:r>
        <w:rPr>
          <w:rStyle w:val="af"/>
          <w:rFonts w:hint="cs"/>
          <w:rtl/>
        </w:rPr>
        <w:t>,</w:t>
      </w:r>
      <w:r w:rsidRPr="008C1B44">
        <w:rPr>
          <w:rFonts w:hint="cs"/>
          <w:rtl/>
        </w:rPr>
        <w:t xml:space="preserve"> </w:t>
      </w:r>
      <w:r>
        <w:rPr>
          <w:rFonts w:hint="cs"/>
          <w:rtl/>
        </w:rPr>
        <w:t xml:space="preserve">וע"ע במה שהביא </w:t>
      </w:r>
      <w:r w:rsidRPr="00194A43">
        <w:rPr>
          <w:rStyle w:val="aff4"/>
          <w:rFonts w:hint="cs"/>
          <w:vanish/>
          <w:rtl/>
        </w:rPr>
        <w:t>-</w:t>
      </w:r>
      <w:r w:rsidRPr="00194A43">
        <w:rPr>
          <w:rStyle w:val="aff4"/>
          <w:rFonts w:hint="cs"/>
          <w:rtl/>
        </w:rPr>
        <w:t>הרי"ד בספר המכריע</w:t>
      </w:r>
      <w:r w:rsidRPr="00194A43">
        <w:rPr>
          <w:rStyle w:val="aff4"/>
          <w:rFonts w:hint="cs"/>
          <w:vanish/>
          <w:rtl/>
        </w:rPr>
        <w:t>-</w:t>
      </w:r>
      <w:r>
        <w:rPr>
          <w:rFonts w:hint="cs"/>
          <w:rtl/>
        </w:rPr>
        <w:t xml:space="preserve"> </w:t>
      </w:r>
      <w:r w:rsidRPr="00457D9F">
        <w:rPr>
          <w:rStyle w:val="af2"/>
          <w:rFonts w:eastAsia="Guttman Hodes" w:hint="cs"/>
          <w:rtl/>
        </w:rPr>
        <w:t xml:space="preserve">(עי' אות </w:t>
      </w:r>
      <w:r w:rsidRPr="00457D9F">
        <w:rPr>
          <w:rStyle w:val="af2"/>
          <w:rFonts w:eastAsia="Guttman Hodes"/>
          <w:rtl/>
        </w:rPr>
        <w:fldChar w:fldCharType="begin"/>
      </w:r>
      <w:r w:rsidRPr="00457D9F">
        <w:rPr>
          <w:rStyle w:val="af2"/>
          <w:rFonts w:eastAsia="Guttman Hodes"/>
          <w:rtl/>
        </w:rPr>
        <w:instrText xml:space="preserve"> </w:instrText>
      </w:r>
      <w:r w:rsidRPr="00457D9F">
        <w:rPr>
          <w:rStyle w:val="af2"/>
          <w:rFonts w:eastAsia="Guttman Hodes" w:hint="cs"/>
        </w:rPr>
        <w:instrText>REF</w:instrText>
      </w:r>
      <w:r w:rsidRPr="00457D9F">
        <w:rPr>
          <w:rStyle w:val="af2"/>
          <w:rFonts w:eastAsia="Guttman Hodes" w:hint="cs"/>
          <w:rtl/>
        </w:rPr>
        <w:instrText xml:space="preserve"> _</w:instrText>
      </w:r>
      <w:r w:rsidRPr="00457D9F">
        <w:rPr>
          <w:rStyle w:val="af2"/>
          <w:rFonts w:eastAsia="Guttman Hodes" w:hint="cs"/>
        </w:rPr>
        <w:instrText>Ref138093435 \r \h</w:instrText>
      </w:r>
      <w:r w:rsidRPr="00457D9F">
        <w:rPr>
          <w:rStyle w:val="af2"/>
          <w:rFonts w:eastAsia="Guttman Hodes"/>
          <w:rtl/>
        </w:rPr>
        <w:instrText xml:space="preserve"> </w:instrText>
      </w:r>
      <w:r w:rsidRPr="00457D9F">
        <w:rPr>
          <w:rStyle w:val="af2"/>
          <w:rFonts w:eastAsia="Guttman Hodes"/>
          <w:rtl/>
        </w:rPr>
      </w:r>
      <w:r w:rsidRPr="00457D9F">
        <w:rPr>
          <w:rStyle w:val="af2"/>
          <w:rFonts w:eastAsia="Guttman Hodes"/>
          <w:rtl/>
        </w:rPr>
        <w:fldChar w:fldCharType="separate"/>
      </w:r>
      <w:r w:rsidR="00D82181">
        <w:rPr>
          <w:rStyle w:val="af2"/>
          <w:rFonts w:eastAsia="Guttman Hodes"/>
          <w:cs/>
        </w:rPr>
        <w:t>‎</w:t>
      </w:r>
      <w:r w:rsidR="00D82181">
        <w:rPr>
          <w:rStyle w:val="af2"/>
          <w:rFonts w:eastAsia="Guttman Hodes"/>
          <w:rtl/>
        </w:rPr>
        <w:t>פו)</w:t>
      </w:r>
      <w:r w:rsidRPr="00457D9F">
        <w:rPr>
          <w:rStyle w:val="af2"/>
          <w:rFonts w:eastAsia="Guttman Hodes"/>
          <w:rtl/>
        </w:rPr>
        <w:fldChar w:fldCharType="end"/>
      </w:r>
      <w:r>
        <w:rPr>
          <w:rFonts w:hint="cs"/>
          <w:rtl/>
        </w:rPr>
        <w:t xml:space="preserve"> ראיה לזה מהגמ' בביצה.</w:t>
      </w:r>
    </w:p>
    <w:p w14:paraId="4F5EC536" w14:textId="77777777" w:rsidR="008925FD" w:rsidRPr="00747170" w:rsidRDefault="008925FD" w:rsidP="00747170">
      <w:pPr>
        <w:pStyle w:val="a2"/>
      </w:pPr>
      <w:r w:rsidRPr="00747170">
        <w:rPr>
          <w:rtl/>
        </w:rPr>
        <w:t>ונראה לי דאביי לא מיירי אלא בפסולת מתוך אוכל ומשום הכי אם בירר להניח חייב חטאת ואפילו הכי לברור ולאכול שרי כיון דביד קעביד</w:t>
      </w:r>
      <w:r w:rsidRPr="00747170">
        <w:rPr>
          <w:rFonts w:hint="cs"/>
          <w:rtl/>
        </w:rPr>
        <w:t xml:space="preserve">, </w:t>
      </w:r>
      <w:r w:rsidRPr="00747170">
        <w:rPr>
          <w:rtl/>
        </w:rPr>
        <w:t>ומסקנא דשמעתא סלקא הכי כל זמן שהוא בורר ואוכל או בורר ומניח לאותה הסעודה שהוא יושב בה אם בירר ביד מותר לכתחילה ואפילו פסולת מתוך אוכל אבל בקנון ובתמחוי פטור אבל אסור ובנפ' ובכבר' חייב חטאת ואף על גב דלאכול הוא בורר ואם בורר ומניח לבו ביום אפי' ביד חייב חטאת ודוקא פסולת מתוך אוכל אבל אוכל מתוך פסול' כיון דשינוי קעבי' פטור אבל אסור</w:t>
      </w:r>
      <w:r w:rsidRPr="00747170">
        <w:rPr>
          <w:rFonts w:hint="cs"/>
          <w:rtl/>
        </w:rPr>
        <w:t>.</w:t>
      </w:r>
    </w:p>
    <w:p w14:paraId="01C07F77" w14:textId="77777777" w:rsidR="008925FD" w:rsidRDefault="008925FD" w:rsidP="008925FD">
      <w:pPr>
        <w:pStyle w:val="afffff7"/>
        <w:rPr>
          <w:rtl/>
        </w:rPr>
      </w:pPr>
      <w:bookmarkStart w:id="2625" w:name="_Toc138969408"/>
      <w:bookmarkStart w:id="2626" w:name="_Toc139277176"/>
      <w:bookmarkStart w:id="2627" w:name="_Toc163505879"/>
      <w:r>
        <w:rPr>
          <w:rtl/>
        </w:rPr>
        <w:t>אגלי טל בורר</w:t>
      </w:r>
      <w:r>
        <w:rPr>
          <w:rFonts w:hint="cs"/>
          <w:rtl/>
        </w:rPr>
        <w:t xml:space="preserve"> סק"א</w:t>
      </w:r>
      <w:r>
        <w:rPr>
          <w:rtl/>
        </w:rPr>
        <w:t xml:space="preserve"> אות </w:t>
      </w:r>
      <w:r>
        <w:rPr>
          <w:rFonts w:hint="cs"/>
          <w:rtl/>
        </w:rPr>
        <w:t>כ'</w:t>
      </w:r>
      <w:bookmarkEnd w:id="2625"/>
      <w:bookmarkEnd w:id="2626"/>
      <w:bookmarkEnd w:id="2627"/>
    </w:p>
    <w:p w14:paraId="50E69959" w14:textId="77777777" w:rsidR="008925FD" w:rsidRDefault="008925FD" w:rsidP="008925FD">
      <w:pPr>
        <w:pStyle w:val="a7"/>
        <w:rPr>
          <w:rtl/>
        </w:rPr>
      </w:pPr>
      <w:bookmarkStart w:id="2628" w:name="_Toc139277075"/>
      <w:r>
        <w:rPr>
          <w:rFonts w:hint="cs"/>
          <w:rtl/>
        </w:rPr>
        <w:t>בי' האגל"ט ברי"ד דאוכל מתוך פסולת אף בנפה לאלתר מותר ולאח"ז פטור אבל אסור</w:t>
      </w:r>
      <w:bookmarkEnd w:id="2628"/>
    </w:p>
    <w:p w14:paraId="3995D01D" w14:textId="139A1C07" w:rsidR="008925FD" w:rsidRPr="00750E9B" w:rsidRDefault="008925FD" w:rsidP="00BC7DC8">
      <w:pPr>
        <w:pStyle w:val="a3"/>
        <w:rPr>
          <w:rtl/>
        </w:rPr>
      </w:pPr>
      <w:bookmarkStart w:id="2629" w:name="_Ref138255441"/>
      <w:r>
        <w:rPr>
          <w:rFonts w:hint="cs"/>
          <w:rtl/>
        </w:rPr>
        <w:t xml:space="preserve">במ"ש </w:t>
      </w:r>
      <w:r w:rsidRPr="00C51A85">
        <w:rPr>
          <w:rStyle w:val="aff4"/>
          <w:rFonts w:hint="cs"/>
          <w:vanish/>
          <w:rtl/>
        </w:rPr>
        <w:t>-</w:t>
      </w:r>
      <w:r w:rsidRPr="00194A43">
        <w:rPr>
          <w:rStyle w:val="aff4"/>
          <w:rFonts w:hint="cs"/>
          <w:rtl/>
        </w:rPr>
        <w:t>הרי"ד בספר המכריע</w:t>
      </w:r>
      <w:r w:rsidRPr="00C51A85">
        <w:rPr>
          <w:rStyle w:val="aff4"/>
          <w:rFonts w:hint="cs"/>
          <w:vanish/>
          <w:rtl/>
        </w:rPr>
        <w:t>-</w:t>
      </w:r>
      <w:r>
        <w:rPr>
          <w:rFonts w:hint="cs"/>
          <w:rtl/>
        </w:rPr>
        <w:t xml:space="preserve"> </w:t>
      </w:r>
      <w:r w:rsidRPr="00C51A85">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Ref139227862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לג)</w:t>
      </w:r>
      <w:r>
        <w:rPr>
          <w:rStyle w:val="af2"/>
          <w:rFonts w:eastAsia="Guttman Hodes"/>
          <w:rtl/>
        </w:rPr>
        <w:fldChar w:fldCharType="end"/>
      </w:r>
      <w:r>
        <w:rPr>
          <w:rFonts w:hint="cs"/>
          <w:rtl/>
        </w:rPr>
        <w:t xml:space="preserve"> דקיי"ל במסקנא דלאביי באוכל מתוך פסולת פטור אבל אסור, הקשה </w:t>
      </w:r>
      <w:r w:rsidRPr="00C51A85">
        <w:rPr>
          <w:rStyle w:val="aff4"/>
          <w:rFonts w:hint="cs"/>
          <w:vanish/>
          <w:rtl/>
        </w:rPr>
        <w:t>-</w:t>
      </w:r>
      <w:r w:rsidRPr="00194A43">
        <w:rPr>
          <w:rStyle w:val="aff4"/>
          <w:rFonts w:hint="cs"/>
          <w:rtl/>
        </w:rPr>
        <w:t>ה</w:t>
      </w:r>
      <w:r w:rsidRPr="00C51A85">
        <w:rPr>
          <w:rStyle w:val="aff4"/>
          <w:rFonts w:hint="cs"/>
          <w:vanish/>
          <w:rtl/>
        </w:rPr>
        <w:t xml:space="preserve">&lt;. </w:t>
      </w:r>
      <w:r w:rsidRPr="00C51A85">
        <w:rPr>
          <w:rStyle w:val="aff4"/>
          <w:vanish/>
          <w:rtl/>
        </w:rPr>
        <w:fldChar w:fldCharType="begin"/>
      </w:r>
      <w:r w:rsidRPr="00C51A85">
        <w:rPr>
          <w:rStyle w:val="aff4"/>
          <w:vanish/>
          <w:rtl/>
        </w:rPr>
        <w:instrText xml:space="preserve"> </w:instrText>
      </w:r>
      <w:r w:rsidRPr="00C51A85">
        <w:rPr>
          <w:rStyle w:val="aff4"/>
          <w:rFonts w:hint="cs"/>
          <w:vanish/>
        </w:rPr>
        <w:instrText>REF</w:instrText>
      </w:r>
      <w:r w:rsidRPr="00C51A85">
        <w:rPr>
          <w:rStyle w:val="aff4"/>
          <w:rFonts w:hint="cs"/>
          <w:vanish/>
          <w:rtl/>
        </w:rPr>
        <w:instrText xml:space="preserve"> _</w:instrText>
      </w:r>
      <w:r w:rsidRPr="00C51A85">
        <w:rPr>
          <w:rStyle w:val="aff4"/>
          <w:rFonts w:hint="cs"/>
          <w:vanish/>
        </w:rPr>
        <w:instrText>Ref138255441 \r \h</w:instrText>
      </w:r>
      <w:r w:rsidRPr="00C51A85">
        <w:rPr>
          <w:rStyle w:val="aff4"/>
          <w:vanish/>
          <w:rtl/>
        </w:rPr>
        <w:instrText xml:space="preserve"> </w:instrText>
      </w:r>
      <w:r w:rsidRPr="00C51A85">
        <w:rPr>
          <w:rStyle w:val="aff4"/>
          <w:vanish/>
          <w:rtl/>
        </w:rPr>
      </w:r>
      <w:r w:rsidRPr="00C51A85">
        <w:rPr>
          <w:rStyle w:val="aff4"/>
          <w:vanish/>
          <w:rtl/>
        </w:rPr>
        <w:fldChar w:fldCharType="separate"/>
      </w:r>
      <w:r w:rsidR="00D82181">
        <w:rPr>
          <w:rStyle w:val="aff4"/>
          <w:vanish/>
          <w:cs/>
        </w:rPr>
        <w:t>‎</w:t>
      </w:r>
      <w:r w:rsidR="00D82181">
        <w:rPr>
          <w:rStyle w:val="aff4"/>
          <w:vanish/>
          <w:rtl/>
        </w:rPr>
        <w:t>לד)</w:t>
      </w:r>
      <w:r w:rsidRPr="00C51A85">
        <w:rPr>
          <w:rStyle w:val="aff4"/>
          <w:vanish/>
          <w:rtl/>
        </w:rPr>
        <w:fldChar w:fldCharType="end"/>
      </w:r>
      <w:r w:rsidRPr="00C51A85">
        <w:rPr>
          <w:rStyle w:val="aff4"/>
          <w:rFonts w:hint="cs"/>
          <w:vanish/>
          <w:rtl/>
        </w:rPr>
        <w:t xml:space="preserve"> &gt;</w:t>
      </w:r>
      <w:r w:rsidRPr="00194A43">
        <w:rPr>
          <w:rStyle w:val="aff4"/>
          <w:rFonts w:hint="cs"/>
          <w:rtl/>
        </w:rPr>
        <w:t>אגלי טל</w:t>
      </w:r>
      <w:r w:rsidRPr="00C51A85">
        <w:rPr>
          <w:rStyle w:val="aff4"/>
          <w:rFonts w:hint="cs"/>
          <w:vanish/>
          <w:rtl/>
        </w:rPr>
        <w:t>-</w:t>
      </w:r>
      <w:r>
        <w:rPr>
          <w:rFonts w:hint="cs"/>
          <w:rtl/>
        </w:rPr>
        <w:t xml:space="preserve"> </w:t>
      </w:r>
      <w:r w:rsidRPr="00C51A85">
        <w:rPr>
          <w:rStyle w:val="af2"/>
          <w:rFonts w:eastAsia="Guttman Hodes" w:hint="cs"/>
          <w:rtl/>
        </w:rPr>
        <w:t>(בורר סק"א אות כ')</w:t>
      </w:r>
      <w:r w:rsidRPr="00C51A85">
        <w:rPr>
          <w:rFonts w:hint="cs"/>
          <w:vanish/>
          <w:rtl/>
        </w:rPr>
        <w:t>=</w:t>
      </w:r>
      <w:r>
        <w:rPr>
          <w:rFonts w:hint="cs"/>
          <w:rtl/>
        </w:rPr>
        <w:t xml:space="preserve"> דהא בדעת רב המנונא כתב </w:t>
      </w:r>
      <w:r w:rsidRPr="00C51A85">
        <w:rPr>
          <w:rStyle w:val="aff4"/>
          <w:rFonts w:hint="cs"/>
          <w:vanish/>
          <w:rtl/>
        </w:rPr>
        <w:t>-</w:t>
      </w:r>
      <w:r w:rsidRPr="00194A43">
        <w:rPr>
          <w:rStyle w:val="aff4"/>
          <w:rFonts w:hint="cs"/>
          <w:rtl/>
        </w:rPr>
        <w:t>הרי"ד בספר המכריע</w:t>
      </w:r>
      <w:r w:rsidRPr="00C51A85">
        <w:rPr>
          <w:rStyle w:val="aff4"/>
          <w:rFonts w:hint="cs"/>
          <w:vanish/>
          <w:rtl/>
        </w:rPr>
        <w:t>-</w:t>
      </w:r>
      <w:r>
        <w:rPr>
          <w:rFonts w:hint="cs"/>
          <w:rtl/>
        </w:rPr>
        <w:t xml:space="preserve"> </w:t>
      </w:r>
      <w:r w:rsidRPr="00C51A85">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Ref138967431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לב)</w:t>
      </w:r>
      <w:r>
        <w:rPr>
          <w:rStyle w:val="af2"/>
          <w:rFonts w:eastAsia="Guttman Hodes"/>
          <w:rtl/>
        </w:rPr>
        <w:fldChar w:fldCharType="end"/>
      </w:r>
      <w:r>
        <w:rPr>
          <w:rFonts w:hint="cs"/>
          <w:rtl/>
        </w:rPr>
        <w:t xml:space="preserve"> דאוכל מתוך פסולת מותר אף לכתחילה, ותירץ </w:t>
      </w:r>
      <w:r w:rsidRPr="00C51A85">
        <w:rPr>
          <w:rStyle w:val="aff4"/>
          <w:rFonts w:hint="cs"/>
          <w:vanish/>
          <w:rtl/>
        </w:rPr>
        <w:t>-</w:t>
      </w:r>
      <w:r w:rsidRPr="00194A43">
        <w:rPr>
          <w:rStyle w:val="aff4"/>
          <w:rFonts w:hint="cs"/>
          <w:rtl/>
        </w:rPr>
        <w:t>האגלי טל</w:t>
      </w:r>
      <w:r w:rsidRPr="00C51A85">
        <w:rPr>
          <w:rStyle w:val="aff4"/>
          <w:rFonts w:hint="cs"/>
          <w:vanish/>
          <w:rtl/>
        </w:rPr>
        <w:t>-</w:t>
      </w:r>
      <w:r>
        <w:rPr>
          <w:rFonts w:hint="cs"/>
          <w:rtl/>
        </w:rPr>
        <w:t xml:space="preserve"> דהא דמותר לכתחילה אף בנפה וכברה היינו דוקא לאלתר, אבל לאחר זמן ביד הוא פטור אבל אסור.</w:t>
      </w:r>
      <w:bookmarkEnd w:id="2629"/>
    </w:p>
    <w:p w14:paraId="435DBEC7" w14:textId="77777777" w:rsidR="008925FD" w:rsidRPr="00747170" w:rsidRDefault="008925FD" w:rsidP="00747170">
      <w:pPr>
        <w:pStyle w:val="a2"/>
        <w:rPr>
          <w:rtl/>
        </w:rPr>
      </w:pPr>
      <w:r w:rsidRPr="00747170">
        <w:rPr>
          <w:rtl/>
        </w:rPr>
        <w:t>(כ) שיטת התוס' רי"ד בספר המכריע סי' כ"ג דר' יוסף ורב המנונא בלאכול לאלתר מוקמי מתניתא ור"י ס"ל דמתניתא מיירי בפמ"א. אבל אומ"פ שינוי הוא ולא מחייב עלה לעולם. ור"ה ס"ל דמתניתא מיירי בנפה וכברה. אבל ביד אפי' פסולת מתוך אוכל מותר לאלתר. ואביי מוקי מתניתא בפמ"א ביד וכולהו אמוראי לא פליגי. ומסקנא דמותר לברור לאלתר ביד ובנפה וכברה חייב חטאת. ואם בורר ומניח לבו ביום אפי' ביד חייב חטאת. וה"מ פמ"א אבל אמ"פ כיון דשינוי קעביד פטור אבל אסור עכ"ד. וצריך ביאור דהא לעיל כתב שאביי מודה שהלכה כר' המנונא ור' המנונא הא מתיר אמ"פ אפי' לכתחלה. וצ"ל דלאלתר מתיר לכתחלה אפי' בנפה וכברה אבל לאחר זמן ביד פטור אבל אסור:</w:t>
      </w:r>
    </w:p>
    <w:p w14:paraId="7E6CB4C0" w14:textId="513BA735" w:rsidR="008925FD" w:rsidRDefault="008925FD" w:rsidP="008925FD">
      <w:pPr>
        <w:pStyle w:val="afffff7"/>
        <w:rPr>
          <w:rtl/>
        </w:rPr>
      </w:pPr>
      <w:bookmarkStart w:id="2630" w:name="_Toc139277177"/>
      <w:bookmarkStart w:id="2631" w:name="_Toc163505880"/>
      <w:r w:rsidRPr="006125C2">
        <w:rPr>
          <w:rtl/>
        </w:rPr>
        <w:t>אגלי טל בורר</w:t>
      </w:r>
      <w:r w:rsidRPr="006125C2">
        <w:rPr>
          <w:rFonts w:hint="cs"/>
          <w:rtl/>
        </w:rPr>
        <w:t xml:space="preserve"> סק"א</w:t>
      </w:r>
      <w:r w:rsidRPr="006125C2">
        <w:rPr>
          <w:rtl/>
        </w:rPr>
        <w:t xml:space="preserve"> אות </w:t>
      </w:r>
      <w:r w:rsidRPr="006125C2">
        <w:rPr>
          <w:rFonts w:hint="cs"/>
          <w:rtl/>
        </w:rPr>
        <w:t>כ</w:t>
      </w:r>
      <w:r>
        <w:rPr>
          <w:rFonts w:hint="cs"/>
          <w:rtl/>
        </w:rPr>
        <w:t>"א, כ"ב</w:t>
      </w:r>
      <w:bookmarkEnd w:id="2621"/>
      <w:bookmarkEnd w:id="2630"/>
      <w:bookmarkEnd w:id="2631"/>
    </w:p>
    <w:p w14:paraId="2B5F2F80" w14:textId="77777777" w:rsidR="008925FD" w:rsidRDefault="008925FD" w:rsidP="008925FD">
      <w:pPr>
        <w:pStyle w:val="a7"/>
        <w:rPr>
          <w:rtl/>
        </w:rPr>
      </w:pPr>
      <w:bookmarkStart w:id="2632" w:name="_Toc139277076"/>
      <w:r>
        <w:rPr>
          <w:rFonts w:hint="cs"/>
          <w:rtl/>
        </w:rPr>
        <w:t>בי' האגל"ט דמשמע ברי"ד דבנפה לאח"ז פטור אך מהתורי"ד מוכח דלאח"ז בנפה חייב חטאת</w:t>
      </w:r>
      <w:bookmarkEnd w:id="2632"/>
    </w:p>
    <w:p w14:paraId="7DADFDD0" w14:textId="0C72A49B" w:rsidR="008925FD" w:rsidRPr="006B69C9" w:rsidRDefault="008925FD" w:rsidP="00BC7DC8">
      <w:pPr>
        <w:pStyle w:val="a3"/>
        <w:rPr>
          <w:rtl/>
        </w:rPr>
      </w:pPr>
      <w:bookmarkStart w:id="2633" w:name="_Ref138969529"/>
      <w:r>
        <w:rPr>
          <w:rFonts w:hint="cs"/>
          <w:rtl/>
        </w:rPr>
        <w:t xml:space="preserve">וכתב </w:t>
      </w:r>
      <w:r w:rsidRPr="00F00B89">
        <w:rPr>
          <w:rStyle w:val="aff4"/>
          <w:rFonts w:hint="cs"/>
          <w:vanish/>
          <w:rtl/>
        </w:rPr>
        <w:t>-</w:t>
      </w:r>
      <w:r w:rsidRPr="007F312F">
        <w:rPr>
          <w:rStyle w:val="aff4"/>
          <w:rFonts w:hint="cs"/>
          <w:rtl/>
        </w:rPr>
        <w:t>ה</w:t>
      </w:r>
      <w:r w:rsidRPr="00F00B89">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Ref138969529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לה)</w:t>
      </w:r>
      <w:r>
        <w:rPr>
          <w:rStyle w:val="aff4"/>
          <w:vanish/>
          <w:rtl/>
        </w:rPr>
        <w:fldChar w:fldCharType="end"/>
      </w:r>
      <w:r w:rsidRPr="00F00B89">
        <w:rPr>
          <w:rStyle w:val="aff4"/>
          <w:rFonts w:hint="cs"/>
          <w:vanish/>
          <w:rtl/>
        </w:rPr>
        <w:t xml:space="preserve"> &gt;</w:t>
      </w:r>
      <w:r w:rsidRPr="007F312F">
        <w:rPr>
          <w:rStyle w:val="aff4"/>
          <w:rFonts w:hint="cs"/>
          <w:rtl/>
        </w:rPr>
        <w:t>אגלי טל</w:t>
      </w:r>
      <w:r w:rsidRPr="00F00B89">
        <w:rPr>
          <w:rStyle w:val="aff4"/>
          <w:rFonts w:hint="cs"/>
          <w:vanish/>
          <w:rtl/>
        </w:rPr>
        <w:t>-</w:t>
      </w:r>
      <w:r>
        <w:rPr>
          <w:rFonts w:hint="cs"/>
          <w:rtl/>
        </w:rPr>
        <w:t xml:space="preserve"> </w:t>
      </w:r>
      <w:r w:rsidRPr="000D251D">
        <w:rPr>
          <w:rStyle w:val="af2"/>
          <w:rFonts w:eastAsia="Guttman Hodes" w:hint="cs"/>
          <w:rtl/>
        </w:rPr>
        <w:t>(בורר סק"א אות כ"א)</w:t>
      </w:r>
      <w:r w:rsidRPr="00F00B89">
        <w:rPr>
          <w:rFonts w:hint="cs"/>
          <w:vanish/>
          <w:rtl/>
        </w:rPr>
        <w:t>=</w:t>
      </w:r>
      <w:r>
        <w:rPr>
          <w:rFonts w:hint="cs"/>
          <w:rtl/>
        </w:rPr>
        <w:t xml:space="preserve"> דא"כ מבואר מדברי </w:t>
      </w:r>
      <w:r w:rsidRPr="00194A43">
        <w:rPr>
          <w:rStyle w:val="aff4"/>
          <w:rFonts w:hint="cs"/>
          <w:rtl/>
        </w:rPr>
        <w:t>הרי"ד בספר המכריע</w:t>
      </w:r>
      <w:r w:rsidRPr="00194A43">
        <w:rPr>
          <w:rStyle w:val="aff4"/>
          <w:rFonts w:hint="cs"/>
          <w:vanish/>
          <w:rtl/>
        </w:rPr>
        <w:t>-</w:t>
      </w:r>
      <w:r>
        <w:rPr>
          <w:rFonts w:hint="cs"/>
          <w:rtl/>
        </w:rPr>
        <w:t xml:space="preserve"> דאוכל מתוך פסולת הוא שינוי גמור ואין בזה חיוב לעולם, משמע דהפטור הוא אף בנפה וכברה ולאחר זמן, אך כיון דדעת </w:t>
      </w:r>
      <w:r w:rsidRPr="00F00B89">
        <w:rPr>
          <w:rStyle w:val="aff4"/>
          <w:rFonts w:hint="cs"/>
          <w:vanish/>
          <w:rtl/>
        </w:rPr>
        <w:t>-</w:t>
      </w:r>
      <w:r w:rsidRPr="007F312F">
        <w:rPr>
          <w:rStyle w:val="aff4"/>
          <w:rFonts w:hint="cs"/>
          <w:rtl/>
        </w:rPr>
        <w:t>ה</w:t>
      </w:r>
      <w:r w:rsidRPr="00D31026">
        <w:rPr>
          <w:rStyle w:val="aff4"/>
          <w:rFonts w:hint="cs"/>
          <w:vanish/>
          <w:rtl/>
        </w:rPr>
        <w:t>&lt; &gt;</w:t>
      </w:r>
      <w:r w:rsidRPr="007F312F">
        <w:rPr>
          <w:rStyle w:val="aff4"/>
          <w:rFonts w:hint="cs"/>
          <w:rtl/>
        </w:rPr>
        <w:t>תוס' רי"ד</w:t>
      </w:r>
      <w:r>
        <w:rPr>
          <w:rStyle w:val="aff4"/>
          <w:rFonts w:hint="cs"/>
          <w:vanish/>
          <w:rtl/>
        </w:rPr>
        <w:t xml:space="preserve"> לקמן</w:t>
      </w:r>
      <w:r w:rsidRPr="00F00B89">
        <w:rPr>
          <w:rStyle w:val="aff4"/>
          <w:rFonts w:hint="cs"/>
          <w:vanish/>
          <w:rtl/>
        </w:rPr>
        <w:t>-</w:t>
      </w:r>
      <w:r>
        <w:rPr>
          <w:rFonts w:hint="cs"/>
          <w:rtl/>
        </w:rPr>
        <w:t xml:space="preserve"> </w:t>
      </w:r>
      <w:r w:rsidRPr="000D251D">
        <w:rPr>
          <w:rStyle w:val="af2"/>
          <w:rFonts w:eastAsia="Guttman Hodes" w:hint="cs"/>
          <w:rtl/>
        </w:rPr>
        <w:t>(</w:t>
      </w:r>
      <w:r>
        <w:rPr>
          <w:rStyle w:val="af2"/>
          <w:rFonts w:eastAsia="Guttman Hodes" w:hint="cs"/>
          <w:rtl/>
        </w:rPr>
        <w:t>קמה. ד"ה וכן תנא</w:t>
      </w:r>
      <w:r w:rsidRPr="000D251D">
        <w:rPr>
          <w:rStyle w:val="af2"/>
          <w:rFonts w:eastAsia="Guttman Hodes" w:hint="cs"/>
          <w:rtl/>
        </w:rPr>
        <w:t>)</w:t>
      </w:r>
      <w:r w:rsidRPr="003830DC">
        <w:rPr>
          <w:rFonts w:hint="cs"/>
          <w:vanish/>
          <w:rtl/>
        </w:rPr>
        <w:t>=</w:t>
      </w:r>
      <w:r>
        <w:rPr>
          <w:rFonts w:hint="cs"/>
          <w:rtl/>
        </w:rPr>
        <w:t xml:space="preserve"> דהברירה היא בדבר שיורד למטה, א"כ אוכל מתוך פסולת בנפה וכברה הוא ממש מרקד, ואף בבורר דבר גוש שאינו קמח ג"כ צריך להיות תולדה דמרקד, ועיי"ש במה שהאריך </w:t>
      </w:r>
      <w:r w:rsidRPr="00F00B89">
        <w:rPr>
          <w:rStyle w:val="aff4"/>
          <w:rFonts w:hint="cs"/>
          <w:vanish/>
          <w:rtl/>
        </w:rPr>
        <w:t>-</w:t>
      </w:r>
      <w:r w:rsidRPr="007F312F">
        <w:rPr>
          <w:rStyle w:val="aff4"/>
          <w:rFonts w:hint="cs"/>
          <w:rtl/>
        </w:rPr>
        <w:t>ה</w:t>
      </w:r>
      <w:r w:rsidRPr="00F00B89">
        <w:rPr>
          <w:rStyle w:val="aff4"/>
          <w:rFonts w:hint="cs"/>
          <w:vanish/>
          <w:rtl/>
        </w:rPr>
        <w:t>&lt; &gt;</w:t>
      </w:r>
      <w:r w:rsidRPr="007F312F">
        <w:rPr>
          <w:rStyle w:val="aff4"/>
          <w:rFonts w:hint="cs"/>
          <w:rtl/>
        </w:rPr>
        <w:t>אגלי טל</w:t>
      </w:r>
      <w:r w:rsidRPr="00F00B89">
        <w:rPr>
          <w:rStyle w:val="aff4"/>
          <w:rFonts w:hint="cs"/>
          <w:vanish/>
          <w:rtl/>
        </w:rPr>
        <w:t>-</w:t>
      </w:r>
      <w:r>
        <w:rPr>
          <w:rFonts w:hint="cs"/>
          <w:rtl/>
        </w:rPr>
        <w:t xml:space="preserve"> </w:t>
      </w:r>
      <w:r w:rsidRPr="000D251D">
        <w:rPr>
          <w:rStyle w:val="af2"/>
          <w:rFonts w:eastAsia="Guttman Hodes" w:hint="cs"/>
          <w:rtl/>
        </w:rPr>
        <w:t>(בורר סק"א אות כ"ב)</w:t>
      </w:r>
      <w:r w:rsidRPr="00F00B89">
        <w:rPr>
          <w:rFonts w:hint="cs"/>
          <w:vanish/>
          <w:rtl/>
        </w:rPr>
        <w:t>=</w:t>
      </w:r>
      <w:r>
        <w:rPr>
          <w:rFonts w:hint="cs"/>
          <w:rtl/>
        </w:rPr>
        <w:t xml:space="preserve"> לבאר דלדעת </w:t>
      </w:r>
      <w:r w:rsidRPr="00F00B89">
        <w:rPr>
          <w:rStyle w:val="aff4"/>
          <w:rFonts w:hint="cs"/>
          <w:vanish/>
          <w:rtl/>
        </w:rPr>
        <w:t>-</w:t>
      </w:r>
      <w:r w:rsidRPr="007F312F">
        <w:rPr>
          <w:rStyle w:val="aff4"/>
          <w:rFonts w:hint="cs"/>
          <w:rtl/>
        </w:rPr>
        <w:t>הרי"ד</w:t>
      </w:r>
      <w:r w:rsidRPr="00F00B89">
        <w:rPr>
          <w:rStyle w:val="aff4"/>
          <w:rFonts w:hint="cs"/>
          <w:vanish/>
          <w:rtl/>
        </w:rPr>
        <w:t>-</w:t>
      </w:r>
      <w:r>
        <w:rPr>
          <w:rFonts w:hint="cs"/>
          <w:rtl/>
        </w:rPr>
        <w:t xml:space="preserve"> חייב בזה ואין כוונתו דלעולם לא שייך לחייב בכה"ג.</w:t>
      </w:r>
      <w:bookmarkEnd w:id="2633"/>
    </w:p>
    <w:p w14:paraId="16EF1D3C" w14:textId="77777777" w:rsidR="008925FD" w:rsidRPr="00747170" w:rsidRDefault="008925FD" w:rsidP="00747170">
      <w:pPr>
        <w:pStyle w:val="a2"/>
        <w:rPr>
          <w:rtl/>
        </w:rPr>
      </w:pPr>
      <w:r w:rsidRPr="00747170">
        <w:rPr>
          <w:rtl/>
        </w:rPr>
        <w:t>(כא) ויש לעיין לדעתו אוכל מתוך פסולת בנפה וכברה לאחר זמן אם חייב ומלשונו שהעתקנו לעיל ור"י ס"ל דמתניתא בפסולת מתוך אוכל אבל אוכל מתוך פסולת שנוי הוא ולא מחייב עלה לעולם. ור"י הא מוקי חיובא דברייתא בנפה וכברה וקאמר דאוכל מתוך פסולת לא מחייב עלה לעולם. ולשון לעולם משמע אפי' לאחר זמן. ויש לדחות האי לעולם פי' אפי' בנפה וכברה. ומצד הסברא קשה לומר לדעת תוס' רי"ד דאפי' לאחר זמן בנפה וכברה פטור. הא מרקד האוכל יורד למטה ובורר בנפה וכברה הפסולת למטה וממ"נ אם היורד למטה המתברר א"כ בורר אמ"פ בנפה וכברה היינו מרקד ואם מה שנשאר בידו המתברר היינו בורר. ולשיטת תוס' רי"ד שיתבאר לפנינו אות כ"ה דהיוצא לחוץ הוא המתברר ממילא בנפה וכברה היורד למטה הוא המתברר היינו מרקד ואף דמרקד בקמח והוא בורר דברים גושיים מ"מ יהיה תולדת מרקד עכ"פ כמ"ש מהרש"ל בביאור הסמ"ג. וא"ל כסברת הרמב"ן משום דהבורר פסולת מתוך אוכל לאכול לאלתר אינו אוכל מה שבורר דא"כ גם הפסולת אוכל ביד אסור אפי' לאלתר והא התוס' רי"ד מתיר בזה וכתב דאביי מוקי מתניתא בפסולת מתוך אוכל ביד בנפה וכברה פטור. ולכאורה י"ל עפ"י מ"ש רש"י ר"פ חבית בכבשים דאין דש אלא במה שגדל מגופו ולא במשקין דאתי מעלמא עי"ש ולפי"ז י"ל דה"נ אין מרקד אלא לברר מסובין פסולת דמגופו וכמו דש שהוא ג"כ מפרק מן הפסולת שעליו ולא מחייב אלא בגדל בתוכו שנברא עם הפסולת ההוא ולא במשקין דמעלמא שלא נבראו המשקין עם הכבשים אלו וה"נ י"ל כן במרקד כיון דמרקד שבמשכן הפסולת שבתוכו מתולדה ע"כ אין חיוב מרקד בפסולת שנפל בתוכו. ואף דבבורר מפורש בתוספתא פי"ז נתערבו לו פירות בפירות בוררן אלו בפ"ע ואלו בפ"ע חייב הרי דאף שלא הי' עירוב בתולדה חייב שאני בורר דעיקרו בורר צרורות ואין הצרורות גדילין עם התבואה רק שנתערבין אח"כ. אבל מרקד שעיקרו לבוררו מפסולת שמגופו והכא דפסולת שאינו מגופו ע"כ אין לחייבו משום מרקד:</w:t>
      </w:r>
    </w:p>
    <w:p w14:paraId="6E414642" w14:textId="77777777" w:rsidR="008925FD" w:rsidRPr="00EB6547" w:rsidRDefault="008925FD" w:rsidP="00747170">
      <w:pPr>
        <w:pStyle w:val="afffff5"/>
        <w:rPr>
          <w:rtl/>
        </w:rPr>
      </w:pPr>
      <w:r w:rsidRPr="00EB6547">
        <w:rPr>
          <w:rtl/>
        </w:rPr>
        <w:t>(כב) אך ז"א דתוס' רי"ד בחידושיו פ' חבית [קמה א] כתב להדיא דלא כפירש"י הנ"ל אלא דאף באתי מעלמא חייב משום דש. אשר ע"כ נראה בתוס' רי"ד. דתוס' רי"ד אוכל מתוך פסולת בנפה וכברה לאח"ז חיובי מחייב. ומ"ש אוכל מתוך פסולת שנוי הוא ולא מחייב עלה לעולם היינו בלאלתר ומלת לעולם היינו אפי' בנפה וכברה ובזה הטעם ברור. דתוספות רי"ד לטעמי' דהיוצא לחוץ הוא המתברר וה"ה בנפה וכברה היורד למטה הוא המתברר. וא"כ אוכל מתוך פסולת בנפה וכברה הוא כמרקד שהאוכל למטה והסובין למעלה ולא כבורר דבורר בנפה וכברה הפסולת למטה כדמוכח ר"פ תולין. וא"כ שבורר אמ"פ דברים גושיין כיון דמרקד בקמח והוא בורר דבר גוש הוי רק תולדת מרקד כמ"ש מהרש"ל בביאור הסמ"ג וכיון דאינו עיקר המלאכה מותר לאלתר וכמ"ש הר"ן בטעם היתר אמ"פ ביד לאלתר ופמ"א לאלתר אסור וכתב הר"ן משום דפמ"א הוא עיקר המלאכה אסור אפי' לאלתר ואוכל מתוך פסולת אינו עיקר המלאכה ע"ש. ובנו"כ אסור משום דלפי שיטת הר"ן דהנשאר בכלי שבידו הוא המתברר הרי בורר בנפה וכברה אוכל מתוך פסולת וא"כ אוכל מתוך פסולת בנפה וכברה עיקר המלאכה. אך לפי שיטת תוס' רי"ד דאמ"פ בנפה וכברה הוא כמרקד שבקמח והוא בורר דברים גושיים ואינו עיקר מלאכת מרקד מותר לאלתר אבל לאח"ז חייב משום מרקד או אפילו משום בורר דומה למשמר דאף דהוא אוכל מתוך פסולת חייב לרבה משום בורר משום דא"א לבררו באופן אחר. הכי נמי בבורר בכלי אוכל מתוך פסולת הואיל בכלי אי אפשר לבררו פסולת מתוך אוכל דלעולם הדק נופל למטה אף שאפשר לבררו פסולת מתוך אוכל ביד הא דרך ברירה בכלי טפי מביד בפרט לפמ"ש תוס' רי"ד פ' תולין דברירה שבמשכן רק בכלי:</w:t>
      </w:r>
    </w:p>
    <w:p w14:paraId="59314C68" w14:textId="05345004" w:rsidR="008925FD" w:rsidRDefault="008925FD" w:rsidP="008925FD">
      <w:pPr>
        <w:pStyle w:val="1"/>
        <w:rPr>
          <w:rtl/>
        </w:rPr>
      </w:pPr>
      <w:bookmarkStart w:id="2634" w:name="_Toc139277077"/>
      <w:r>
        <w:rPr>
          <w:rFonts w:hint="cs"/>
          <w:rtl/>
        </w:rPr>
        <w:t>בי' התורי"ד בגדר אוכל מתוך פסולת ופסולת מתוך אוכל</w:t>
      </w:r>
      <w:bookmarkEnd w:id="2634"/>
    </w:p>
    <w:p w14:paraId="534D2A7D" w14:textId="77777777" w:rsidR="008925FD" w:rsidRDefault="008925FD" w:rsidP="008925FD">
      <w:pPr>
        <w:pStyle w:val="afffff7"/>
        <w:rPr>
          <w:rtl/>
        </w:rPr>
      </w:pPr>
      <w:bookmarkStart w:id="2635" w:name="_Toc138966396"/>
      <w:bookmarkStart w:id="2636" w:name="_Toc139277178"/>
      <w:bookmarkStart w:id="2637" w:name="_Toc138966399"/>
      <w:bookmarkStart w:id="2638" w:name="_Toc163505881"/>
      <w:r>
        <w:rPr>
          <w:rtl/>
        </w:rPr>
        <w:t>תוספות רי"ד שבת קל"ח ע"א</w:t>
      </w:r>
      <w:r w:rsidRPr="00F02A03">
        <w:rPr>
          <w:rFonts w:hint="cs"/>
          <w:rtl/>
        </w:rPr>
        <w:t xml:space="preserve"> </w:t>
      </w:r>
      <w:r>
        <w:rPr>
          <w:rFonts w:hint="cs"/>
          <w:rtl/>
        </w:rPr>
        <w:t>ד"ה מה</w:t>
      </w:r>
      <w:bookmarkEnd w:id="2635"/>
      <w:bookmarkEnd w:id="2636"/>
      <w:bookmarkEnd w:id="2638"/>
    </w:p>
    <w:p w14:paraId="5263EF27" w14:textId="77777777" w:rsidR="008925FD" w:rsidRDefault="008925FD" w:rsidP="008925FD">
      <w:pPr>
        <w:pStyle w:val="a7"/>
        <w:rPr>
          <w:rtl/>
        </w:rPr>
      </w:pPr>
      <w:bookmarkStart w:id="2639" w:name="_Toc139277078"/>
      <w:r>
        <w:rPr>
          <w:rFonts w:hint="cs"/>
          <w:rtl/>
        </w:rPr>
        <w:t>בי' הרי"ד דבין בורר חיטין דהפסולת למטה ובין מרקד דהפסולת למעלה הוי פסולת מתוך אוכל</w:t>
      </w:r>
      <w:bookmarkEnd w:id="2639"/>
    </w:p>
    <w:p w14:paraId="5EDA7AAA" w14:textId="0932623E" w:rsidR="008925FD" w:rsidRDefault="008925FD" w:rsidP="00BC7DC8">
      <w:pPr>
        <w:pStyle w:val="a3"/>
      </w:pPr>
      <w:bookmarkStart w:id="2640" w:name="_Hlk138257182"/>
      <w:bookmarkStart w:id="2641" w:name="_Ref138257159"/>
      <w:r>
        <w:rPr>
          <w:rFonts w:hint="cs"/>
          <w:rtl/>
        </w:rPr>
        <w:t xml:space="preserve">ועוד הביא </w:t>
      </w:r>
      <w:r w:rsidRPr="003830DC">
        <w:rPr>
          <w:rStyle w:val="aff4"/>
          <w:rFonts w:hint="cs"/>
          <w:vanish/>
          <w:rtl/>
        </w:rPr>
        <w:t>-</w:t>
      </w:r>
      <w:r w:rsidRPr="007F312F">
        <w:rPr>
          <w:rStyle w:val="aff4"/>
          <w:rFonts w:hint="cs"/>
          <w:rtl/>
        </w:rPr>
        <w:t>ה</w:t>
      </w:r>
      <w:r w:rsidRPr="003830DC">
        <w:rPr>
          <w:rStyle w:val="aff4"/>
          <w:rFonts w:hint="cs"/>
          <w:vanish/>
          <w:rtl/>
        </w:rPr>
        <w:t xml:space="preserve">&lt;. </w:t>
      </w:r>
      <w:r w:rsidRPr="003830DC">
        <w:rPr>
          <w:rStyle w:val="aff4"/>
          <w:vanish/>
          <w:rtl/>
        </w:rPr>
        <w:fldChar w:fldCharType="begin"/>
      </w:r>
      <w:r w:rsidRPr="003830DC">
        <w:rPr>
          <w:rStyle w:val="aff4"/>
          <w:vanish/>
          <w:rtl/>
        </w:rPr>
        <w:instrText xml:space="preserve"> </w:instrText>
      </w:r>
      <w:r w:rsidRPr="003830DC">
        <w:rPr>
          <w:rStyle w:val="aff4"/>
          <w:rFonts w:hint="cs"/>
          <w:vanish/>
        </w:rPr>
        <w:instrText>REF</w:instrText>
      </w:r>
      <w:r w:rsidRPr="003830DC">
        <w:rPr>
          <w:rStyle w:val="aff4"/>
          <w:rFonts w:hint="cs"/>
          <w:vanish/>
          <w:rtl/>
        </w:rPr>
        <w:instrText xml:space="preserve"> _</w:instrText>
      </w:r>
      <w:r w:rsidRPr="003830DC">
        <w:rPr>
          <w:rStyle w:val="aff4"/>
          <w:rFonts w:hint="cs"/>
          <w:vanish/>
        </w:rPr>
        <w:instrText>Ref138257159 \r \h</w:instrText>
      </w:r>
      <w:r w:rsidRPr="003830DC">
        <w:rPr>
          <w:rStyle w:val="aff4"/>
          <w:vanish/>
          <w:rtl/>
        </w:rPr>
        <w:instrText xml:space="preserve"> </w:instrText>
      </w:r>
      <w:r w:rsidRPr="003830DC">
        <w:rPr>
          <w:rStyle w:val="aff4"/>
          <w:vanish/>
          <w:rtl/>
        </w:rPr>
      </w:r>
      <w:r w:rsidRPr="003830DC">
        <w:rPr>
          <w:rStyle w:val="aff4"/>
          <w:vanish/>
          <w:rtl/>
        </w:rPr>
        <w:fldChar w:fldCharType="separate"/>
      </w:r>
      <w:r w:rsidR="00D82181">
        <w:rPr>
          <w:rStyle w:val="aff4"/>
          <w:vanish/>
          <w:cs/>
        </w:rPr>
        <w:t>‎</w:t>
      </w:r>
      <w:r w:rsidR="00D82181">
        <w:rPr>
          <w:rStyle w:val="aff4"/>
          <w:vanish/>
          <w:rtl/>
        </w:rPr>
        <w:t>לו)</w:t>
      </w:r>
      <w:r w:rsidRPr="003830DC">
        <w:rPr>
          <w:rStyle w:val="aff4"/>
          <w:vanish/>
          <w:rtl/>
        </w:rPr>
        <w:fldChar w:fldCharType="end"/>
      </w:r>
      <w:r w:rsidRPr="003830DC">
        <w:rPr>
          <w:rStyle w:val="aff4"/>
          <w:rFonts w:hint="cs"/>
          <w:vanish/>
          <w:rtl/>
        </w:rPr>
        <w:t xml:space="preserve"> &gt;</w:t>
      </w:r>
      <w:r w:rsidRPr="007F312F">
        <w:rPr>
          <w:rStyle w:val="aff4"/>
          <w:rFonts w:hint="cs"/>
          <w:rtl/>
        </w:rPr>
        <w:t>אגלי טל</w:t>
      </w:r>
      <w:r w:rsidRPr="00F00B89">
        <w:rPr>
          <w:rStyle w:val="aff4"/>
          <w:rFonts w:hint="cs"/>
          <w:vanish/>
          <w:rtl/>
        </w:rPr>
        <w:t>-</w:t>
      </w:r>
      <w:r w:rsidRPr="00907712">
        <w:rPr>
          <w:rFonts w:hint="cs"/>
          <w:rtl/>
        </w:rPr>
        <w:t xml:space="preserve"> </w:t>
      </w:r>
      <w:r w:rsidRPr="000D251D">
        <w:rPr>
          <w:rStyle w:val="af2"/>
          <w:rFonts w:eastAsia="Guttman Hodes" w:hint="cs"/>
          <w:rtl/>
        </w:rPr>
        <w:t>(בורר סק"א אות כ"ג)</w:t>
      </w:r>
      <w:r w:rsidRPr="00F00B89">
        <w:rPr>
          <w:rFonts w:hint="cs"/>
          <w:vanish/>
          <w:rtl/>
        </w:rPr>
        <w:t>=</w:t>
      </w:r>
      <w:r>
        <w:rPr>
          <w:rStyle w:val="aff4"/>
          <w:rFonts w:hint="cs"/>
          <w:rtl/>
        </w:rPr>
        <w:t xml:space="preserve"> </w:t>
      </w:r>
      <w:r>
        <w:rPr>
          <w:rFonts w:hint="cs"/>
          <w:rtl/>
        </w:rPr>
        <w:t xml:space="preserve">את דברי </w:t>
      </w:r>
      <w:r w:rsidRPr="003830DC">
        <w:rPr>
          <w:rStyle w:val="aff4"/>
          <w:rFonts w:hint="cs"/>
          <w:vanish/>
          <w:rtl/>
        </w:rPr>
        <w:t>-</w:t>
      </w:r>
      <w:r>
        <w:rPr>
          <w:rStyle w:val="aff4"/>
          <w:rFonts w:hint="cs"/>
          <w:rtl/>
        </w:rPr>
        <w:t>ה</w:t>
      </w:r>
      <w:r w:rsidRPr="007A5283">
        <w:rPr>
          <w:rStyle w:val="aff4"/>
          <w:rFonts w:hint="cs"/>
          <w:vanish/>
          <w:rtl/>
        </w:rPr>
        <w:t>&lt; &gt;</w:t>
      </w:r>
      <w:r w:rsidRPr="007F312F">
        <w:rPr>
          <w:rStyle w:val="aff4"/>
          <w:rFonts w:hint="cs"/>
          <w:rtl/>
        </w:rPr>
        <w:t>תוס' רי"ד לקמן</w:t>
      </w:r>
      <w:r w:rsidRPr="003830DC">
        <w:rPr>
          <w:rStyle w:val="aff4"/>
          <w:rFonts w:hint="cs"/>
          <w:vanish/>
          <w:rtl/>
        </w:rPr>
        <w:t>-</w:t>
      </w:r>
      <w:r>
        <w:rPr>
          <w:rFonts w:hint="cs"/>
          <w:rtl/>
        </w:rPr>
        <w:t xml:space="preserve"> </w:t>
      </w:r>
      <w:r w:rsidRPr="000D251D">
        <w:rPr>
          <w:rStyle w:val="af2"/>
          <w:rFonts w:eastAsia="Guttman Hodes" w:hint="cs"/>
          <w:rtl/>
        </w:rPr>
        <w:t>(קלח. ד"ה מה)</w:t>
      </w:r>
      <w:r w:rsidRPr="003830DC">
        <w:rPr>
          <w:rFonts w:hint="cs"/>
          <w:vanish/>
          <w:rtl/>
        </w:rPr>
        <w:t>=</w:t>
      </w:r>
      <w:r>
        <w:rPr>
          <w:rFonts w:hint="cs"/>
          <w:rtl/>
        </w:rPr>
        <w:t xml:space="preserve"> דכתב דבין בורר חיטין בנפה וכברה דהפסולת למטה והאוכל למעלה, ובין מרקד דהפסולת למעלה והאוכל למטה, דשניהם הם כפסולת מתוך אוכל.</w:t>
      </w:r>
    </w:p>
    <w:p w14:paraId="7EA0C13E" w14:textId="77777777" w:rsidR="008925FD" w:rsidRPr="00747170" w:rsidRDefault="008925FD" w:rsidP="00747170">
      <w:pPr>
        <w:pStyle w:val="a2"/>
        <w:rPr>
          <w:rtl/>
        </w:rPr>
      </w:pPr>
      <w:r w:rsidRPr="00747170">
        <w:rPr>
          <w:rtl/>
        </w:rPr>
        <w:t>בין בורר חטים שהפסולת למטה ואוכל למעלה ובין המרקד שהפסולת למעלה ואוכל למטה שניהן הן נקראין פסולת מתוך אוכל</w:t>
      </w:r>
      <w:r w:rsidRPr="00747170">
        <w:rPr>
          <w:rFonts w:hint="cs"/>
          <w:rtl/>
        </w:rPr>
        <w:t>.</w:t>
      </w:r>
    </w:p>
    <w:p w14:paraId="78226088" w14:textId="77777777" w:rsidR="008925FD" w:rsidRPr="00582F36" w:rsidRDefault="008925FD" w:rsidP="008925FD">
      <w:pPr>
        <w:pStyle w:val="a7"/>
      </w:pPr>
      <w:bookmarkStart w:id="2642" w:name="_Toc139277079"/>
      <w:r>
        <w:rPr>
          <w:rFonts w:hint="cs"/>
          <w:rtl/>
        </w:rPr>
        <w:t>בי' התורי"ד דבמקבץ את הפסולת וזורק הוא פסולת מאוכל ואוכל מפסולת רק במשנה מהדרך</w:t>
      </w:r>
      <w:bookmarkEnd w:id="2642"/>
    </w:p>
    <w:p w14:paraId="59DE28BB" w14:textId="77777777" w:rsidR="008925FD" w:rsidRPr="00F02A03" w:rsidRDefault="008925FD" w:rsidP="00BC7DC8">
      <w:pPr>
        <w:pStyle w:val="a3"/>
        <w:rPr>
          <w:rtl/>
        </w:rPr>
      </w:pPr>
      <w:r>
        <w:rPr>
          <w:rFonts w:hint="cs"/>
          <w:rtl/>
        </w:rPr>
        <w:t xml:space="preserve">וביאר </w:t>
      </w:r>
      <w:r w:rsidRPr="003830DC">
        <w:rPr>
          <w:rStyle w:val="aff4"/>
          <w:rFonts w:hint="cs"/>
          <w:vanish/>
          <w:rtl/>
        </w:rPr>
        <w:t>-</w:t>
      </w:r>
      <w:r w:rsidRPr="007F312F">
        <w:rPr>
          <w:rStyle w:val="aff4"/>
          <w:rFonts w:hint="cs"/>
          <w:rtl/>
        </w:rPr>
        <w:t>התוס' רי"ד לקמן</w:t>
      </w:r>
      <w:r w:rsidRPr="003830DC">
        <w:rPr>
          <w:rStyle w:val="aff4"/>
          <w:rFonts w:hint="cs"/>
          <w:vanish/>
          <w:rtl/>
        </w:rPr>
        <w:t>-</w:t>
      </w:r>
      <w:r>
        <w:rPr>
          <w:rFonts w:hint="cs"/>
          <w:rtl/>
        </w:rPr>
        <w:t xml:space="preserve"> דבכל אופן שהוא מקבץ את כל הפסולת יחד ומשליך אותה, חשיב פסולת מתוך אוכל, ואוכל מתוך פסולת הוא רק כשעושה שינוי מהדרך, דבורר אוכל אוכל ומניח את הפסולת</w:t>
      </w:r>
      <w:bookmarkEnd w:id="2640"/>
      <w:r>
        <w:rPr>
          <w:rFonts w:hint="cs"/>
          <w:rtl/>
        </w:rPr>
        <w:t>.</w:t>
      </w:r>
      <w:bookmarkEnd w:id="2641"/>
    </w:p>
    <w:p w14:paraId="3ACD7A5B" w14:textId="77777777" w:rsidR="008925FD" w:rsidRPr="00747170" w:rsidRDefault="008925FD" w:rsidP="00747170">
      <w:pPr>
        <w:pStyle w:val="a2"/>
      </w:pPr>
      <w:r w:rsidRPr="00747170">
        <w:rPr>
          <w:rtl/>
        </w:rPr>
        <w:t>שהרי מקבץ הפסולת למקום אחד ומשליכה והאוכל מניח ואוכל מתוך פסולת דאמרי' דהוי שינוי כגון שבורר האוכלין אוכל אוכל ומניח הפסולת שם שאין דרך עולם בכך ובורר דתנן בפ' כלל גדול בנפה ובכברא הוה דומיא דמרקד אלא שהמרקד בקמח והבורר בחטים</w:t>
      </w:r>
      <w:r w:rsidRPr="00747170">
        <w:rPr>
          <w:rFonts w:hint="cs"/>
          <w:rtl/>
        </w:rPr>
        <w:t>.</w:t>
      </w:r>
    </w:p>
    <w:p w14:paraId="77DBC887" w14:textId="379DEFEB" w:rsidR="008925FD" w:rsidRPr="00907712" w:rsidRDefault="008925FD" w:rsidP="008925FD">
      <w:pPr>
        <w:pStyle w:val="afffff7"/>
        <w:rPr>
          <w:rtl/>
        </w:rPr>
      </w:pPr>
      <w:bookmarkStart w:id="2643" w:name="_Toc139277179"/>
      <w:bookmarkStart w:id="2644" w:name="_Toc163505882"/>
      <w:r w:rsidRPr="00907712">
        <w:rPr>
          <w:rtl/>
        </w:rPr>
        <w:t>אגלי טל בורר</w:t>
      </w:r>
      <w:r w:rsidRPr="00907712">
        <w:rPr>
          <w:rFonts w:hint="cs"/>
          <w:rtl/>
        </w:rPr>
        <w:t xml:space="preserve"> סק"א</w:t>
      </w:r>
      <w:r w:rsidRPr="00907712">
        <w:rPr>
          <w:rtl/>
        </w:rPr>
        <w:t xml:space="preserve"> אות </w:t>
      </w:r>
      <w:r w:rsidRPr="00907712">
        <w:rPr>
          <w:rFonts w:hint="cs"/>
          <w:rtl/>
        </w:rPr>
        <w:t>כ"ג</w:t>
      </w:r>
      <w:bookmarkEnd w:id="2637"/>
      <w:bookmarkEnd w:id="2643"/>
      <w:bookmarkEnd w:id="2644"/>
    </w:p>
    <w:p w14:paraId="45A8CA38" w14:textId="77777777" w:rsidR="008925FD" w:rsidRPr="00907712" w:rsidRDefault="008925FD" w:rsidP="008925FD">
      <w:pPr>
        <w:pStyle w:val="a7"/>
        <w:rPr>
          <w:rtl/>
        </w:rPr>
      </w:pPr>
      <w:bookmarkStart w:id="2645" w:name="_Toc139277080"/>
      <w:r>
        <w:rPr>
          <w:rFonts w:hint="cs"/>
          <w:rtl/>
        </w:rPr>
        <w:t>הוכחת האגל"ט דבפסקיו חזר בו ממ"ש בתורי"ד וס"ל דהברירה במה שנשאר למטה</w:t>
      </w:r>
      <w:bookmarkEnd w:id="2645"/>
    </w:p>
    <w:p w14:paraId="7762A4D3" w14:textId="1210BE5E" w:rsidR="008925FD" w:rsidRPr="001C059C" w:rsidRDefault="008925FD" w:rsidP="00BC7DC8">
      <w:pPr>
        <w:pStyle w:val="a3"/>
        <w:rPr>
          <w:rStyle w:val="af"/>
          <w:sz w:val="18"/>
          <w:szCs w:val="18"/>
        </w:rPr>
      </w:pPr>
      <w:bookmarkStart w:id="2646" w:name="_Ref138257488"/>
      <w:bookmarkStart w:id="2647" w:name="_Ref139229875"/>
      <w:r>
        <w:rPr>
          <w:rFonts w:hint="cs"/>
          <w:rtl/>
        </w:rPr>
        <w:t>ו</w:t>
      </w:r>
      <w:r w:rsidRPr="00907712">
        <w:rPr>
          <w:rFonts w:hint="cs"/>
          <w:rtl/>
        </w:rPr>
        <w:t xml:space="preserve">הקשה </w:t>
      </w:r>
      <w:r w:rsidRPr="00F00B89">
        <w:rPr>
          <w:rStyle w:val="aff4"/>
          <w:rFonts w:hint="cs"/>
          <w:vanish/>
          <w:rtl/>
        </w:rPr>
        <w:t>-</w:t>
      </w:r>
      <w:r w:rsidRPr="007F312F">
        <w:rPr>
          <w:rStyle w:val="aff4"/>
          <w:rFonts w:hint="cs"/>
          <w:rtl/>
        </w:rPr>
        <w:t>האגלי טל</w:t>
      </w:r>
      <w:r w:rsidRPr="00F00B89">
        <w:rPr>
          <w:rStyle w:val="aff4"/>
          <w:rFonts w:hint="cs"/>
          <w:vanish/>
          <w:rtl/>
        </w:rPr>
        <w:t>-</w:t>
      </w:r>
      <w:r w:rsidRPr="00907712">
        <w:rPr>
          <w:rFonts w:hint="cs"/>
          <w:rtl/>
        </w:rPr>
        <w:t xml:space="preserve"> </w:t>
      </w:r>
      <w:r>
        <w:rPr>
          <w:rFonts w:hint="cs"/>
          <w:rtl/>
        </w:rPr>
        <w:t>ד</w:t>
      </w:r>
      <w:r w:rsidRPr="00907712">
        <w:rPr>
          <w:rFonts w:hint="cs"/>
          <w:rtl/>
        </w:rPr>
        <w:t xml:space="preserve">מ"ש </w:t>
      </w:r>
      <w:r w:rsidRPr="00F00B89">
        <w:rPr>
          <w:rStyle w:val="aff4"/>
          <w:rFonts w:hint="cs"/>
          <w:vanish/>
          <w:rtl/>
        </w:rPr>
        <w:t>-</w:t>
      </w:r>
      <w:r w:rsidRPr="007F312F">
        <w:rPr>
          <w:rStyle w:val="aff4"/>
          <w:rFonts w:hint="cs"/>
          <w:rtl/>
        </w:rPr>
        <w:t>התוס' רי"ד לקמן</w:t>
      </w:r>
      <w:r w:rsidRPr="00F00B89">
        <w:rPr>
          <w:rStyle w:val="aff4"/>
          <w:rFonts w:hint="cs"/>
          <w:vanish/>
          <w:rtl/>
        </w:rPr>
        <w:t>-</w:t>
      </w:r>
      <w:r w:rsidRPr="00907712">
        <w:rPr>
          <w:rFonts w:hint="cs"/>
          <w:rtl/>
        </w:rPr>
        <w:t xml:space="preserve"> </w:t>
      </w:r>
      <w:r w:rsidRPr="000D251D">
        <w:rPr>
          <w:rStyle w:val="af2"/>
          <w:rFonts w:eastAsia="Guttman Hodes" w:hint="cs"/>
          <w:rtl/>
        </w:rPr>
        <w:t xml:space="preserve">(עי' אות </w:t>
      </w:r>
      <w:r w:rsidRPr="000D251D">
        <w:rPr>
          <w:rStyle w:val="af2"/>
          <w:rFonts w:eastAsia="Guttman Hodes"/>
          <w:rtl/>
        </w:rPr>
        <w:fldChar w:fldCharType="begin"/>
      </w:r>
      <w:r w:rsidRPr="000D251D">
        <w:rPr>
          <w:rStyle w:val="af2"/>
          <w:rFonts w:eastAsia="Guttman Hodes"/>
          <w:rtl/>
        </w:rPr>
        <w:instrText xml:space="preserve"> </w:instrText>
      </w:r>
      <w:r w:rsidRPr="000D251D">
        <w:rPr>
          <w:rStyle w:val="af2"/>
          <w:rFonts w:eastAsia="Guttman Hodes" w:hint="cs"/>
        </w:rPr>
        <w:instrText>REF</w:instrText>
      </w:r>
      <w:r w:rsidRPr="000D251D">
        <w:rPr>
          <w:rStyle w:val="af2"/>
          <w:rFonts w:eastAsia="Guttman Hodes" w:hint="cs"/>
          <w:rtl/>
        </w:rPr>
        <w:instrText xml:space="preserve"> _</w:instrText>
      </w:r>
      <w:r w:rsidRPr="000D251D">
        <w:rPr>
          <w:rStyle w:val="af2"/>
          <w:rFonts w:eastAsia="Guttman Hodes" w:hint="cs"/>
        </w:rPr>
        <w:instrText>Ref138257159 \r \h</w:instrText>
      </w:r>
      <w:r w:rsidRPr="000D251D">
        <w:rPr>
          <w:rStyle w:val="af2"/>
          <w:rFonts w:eastAsia="Guttman Hodes"/>
          <w:rtl/>
        </w:rPr>
        <w:instrText xml:space="preserve">  \* </w:instrText>
      </w:r>
      <w:r w:rsidRPr="000D251D">
        <w:rPr>
          <w:rStyle w:val="af2"/>
          <w:rFonts w:eastAsia="Guttman Hodes"/>
        </w:rPr>
        <w:instrText>MERGEFORMAT</w:instrText>
      </w:r>
      <w:r w:rsidRPr="000D251D">
        <w:rPr>
          <w:rStyle w:val="af2"/>
          <w:rFonts w:eastAsia="Guttman Hodes"/>
          <w:rtl/>
        </w:rPr>
        <w:instrText xml:space="preserve"> </w:instrText>
      </w:r>
      <w:r w:rsidRPr="000D251D">
        <w:rPr>
          <w:rStyle w:val="af2"/>
          <w:rFonts w:eastAsia="Guttman Hodes"/>
          <w:rtl/>
        </w:rPr>
      </w:r>
      <w:r w:rsidRPr="000D251D">
        <w:rPr>
          <w:rStyle w:val="af2"/>
          <w:rFonts w:eastAsia="Guttman Hodes"/>
          <w:rtl/>
        </w:rPr>
        <w:fldChar w:fldCharType="separate"/>
      </w:r>
      <w:r w:rsidR="00D82181">
        <w:rPr>
          <w:rStyle w:val="af2"/>
          <w:rFonts w:eastAsia="Guttman Hodes"/>
          <w:cs/>
        </w:rPr>
        <w:t>‎</w:t>
      </w:r>
      <w:r w:rsidR="00D82181">
        <w:rPr>
          <w:rStyle w:val="af2"/>
          <w:rFonts w:eastAsia="Guttman Hodes"/>
          <w:rtl/>
        </w:rPr>
        <w:t>לו)</w:t>
      </w:r>
      <w:r w:rsidRPr="000D251D">
        <w:rPr>
          <w:rStyle w:val="af2"/>
          <w:rFonts w:eastAsia="Guttman Hodes"/>
          <w:rtl/>
        </w:rPr>
        <w:fldChar w:fldCharType="end"/>
      </w:r>
      <w:r w:rsidRPr="00907712">
        <w:rPr>
          <w:rFonts w:hint="cs"/>
          <w:rtl/>
        </w:rPr>
        <w:t xml:space="preserve"> דבין </w:t>
      </w:r>
      <w:r>
        <w:rPr>
          <w:rFonts w:hint="cs"/>
          <w:rtl/>
        </w:rPr>
        <w:t>ב</w:t>
      </w:r>
      <w:r w:rsidRPr="00907712">
        <w:rPr>
          <w:rFonts w:hint="cs"/>
          <w:rtl/>
        </w:rPr>
        <w:t xml:space="preserve">פסולת למטה ובין </w:t>
      </w:r>
      <w:r>
        <w:rPr>
          <w:rFonts w:hint="cs"/>
          <w:rtl/>
        </w:rPr>
        <w:t>ב</w:t>
      </w:r>
      <w:r w:rsidRPr="00907712">
        <w:rPr>
          <w:rFonts w:hint="cs"/>
          <w:rtl/>
        </w:rPr>
        <w:t xml:space="preserve">פסולת למעלה </w:t>
      </w:r>
      <w:r>
        <w:rPr>
          <w:rFonts w:hint="cs"/>
          <w:rtl/>
        </w:rPr>
        <w:t>הוי</w:t>
      </w:r>
      <w:r w:rsidRPr="00907712">
        <w:rPr>
          <w:rFonts w:hint="cs"/>
          <w:rtl/>
        </w:rPr>
        <w:t xml:space="preserve"> כפסולת מתוך אוכל, </w:t>
      </w:r>
      <w:r>
        <w:rPr>
          <w:rFonts w:hint="cs"/>
          <w:rtl/>
        </w:rPr>
        <w:t>כיון ד</w:t>
      </w:r>
      <w:r w:rsidRPr="00907712">
        <w:rPr>
          <w:rFonts w:hint="cs"/>
          <w:rtl/>
        </w:rPr>
        <w:t xml:space="preserve">מקבץ </w:t>
      </w:r>
      <w:r w:rsidRPr="00907712">
        <w:rPr>
          <w:rFonts w:hint="cs"/>
          <w:rtl/>
        </w:rPr>
        <w:t>את הפסולת ומשלי</w:t>
      </w:r>
      <w:r>
        <w:rPr>
          <w:rFonts w:hint="cs"/>
          <w:rtl/>
        </w:rPr>
        <w:t>כה</w:t>
      </w:r>
      <w:r w:rsidRPr="00907712">
        <w:rPr>
          <w:rFonts w:hint="cs"/>
          <w:rtl/>
        </w:rPr>
        <w:t xml:space="preserve">, </w:t>
      </w:r>
      <w:bookmarkEnd w:id="2646"/>
      <w:r w:rsidRPr="00907712">
        <w:rPr>
          <w:rFonts w:hint="cs"/>
          <w:rtl/>
        </w:rPr>
        <w:t xml:space="preserve">דהוא סותר למ"ש </w:t>
      </w:r>
      <w:r w:rsidRPr="00F00B89">
        <w:rPr>
          <w:rStyle w:val="aff4"/>
          <w:rFonts w:hint="cs"/>
          <w:vanish/>
          <w:rtl/>
        </w:rPr>
        <w:t>-</w:t>
      </w:r>
      <w:r w:rsidRPr="007F312F">
        <w:rPr>
          <w:rStyle w:val="aff4"/>
          <w:rFonts w:hint="cs"/>
          <w:rtl/>
        </w:rPr>
        <w:t>הרי"ד בספר המכריע</w:t>
      </w:r>
      <w:r w:rsidRPr="00F00B89">
        <w:rPr>
          <w:rStyle w:val="aff4"/>
          <w:rFonts w:hint="cs"/>
          <w:vanish/>
          <w:rtl/>
        </w:rPr>
        <w:t>-</w:t>
      </w:r>
      <w:r w:rsidRPr="00907712">
        <w:rPr>
          <w:rFonts w:hint="cs"/>
          <w:rtl/>
        </w:rPr>
        <w:t xml:space="preserve"> </w:t>
      </w:r>
      <w:r w:rsidRPr="00C51A85">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Ref139227862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לג)</w:t>
      </w:r>
      <w:r>
        <w:rPr>
          <w:rStyle w:val="af2"/>
          <w:rFonts w:eastAsia="Guttman Hodes"/>
          <w:rtl/>
        </w:rPr>
        <w:fldChar w:fldCharType="end"/>
      </w:r>
      <w:r>
        <w:rPr>
          <w:rFonts w:hint="cs"/>
          <w:rtl/>
        </w:rPr>
        <w:t xml:space="preserve"> </w:t>
      </w:r>
      <w:r w:rsidRPr="00907712">
        <w:rPr>
          <w:rFonts w:hint="cs"/>
          <w:rtl/>
        </w:rPr>
        <w:t xml:space="preserve">דאוכל מתוך פסולת בנפה וכברה פטור, והוא תימה דהא בסוף דברי </w:t>
      </w:r>
      <w:r w:rsidRPr="00F00B89">
        <w:rPr>
          <w:rStyle w:val="aff4"/>
          <w:rFonts w:hint="cs"/>
          <w:vanish/>
          <w:rtl/>
        </w:rPr>
        <w:t>-</w:t>
      </w:r>
      <w:r w:rsidRPr="007F312F">
        <w:rPr>
          <w:rStyle w:val="aff4"/>
          <w:rFonts w:hint="cs"/>
          <w:rtl/>
        </w:rPr>
        <w:t>הרי"ד בספר המכריע</w:t>
      </w:r>
      <w:r w:rsidRPr="00F00B89">
        <w:rPr>
          <w:rStyle w:val="aff4"/>
          <w:rFonts w:hint="cs"/>
          <w:vanish/>
          <w:rtl/>
        </w:rPr>
        <w:t>-</w:t>
      </w:r>
      <w:r w:rsidRPr="00907712">
        <w:rPr>
          <w:rFonts w:hint="cs"/>
          <w:rtl/>
        </w:rPr>
        <w:t xml:space="preserve"> ציין למ"ש </w:t>
      </w:r>
      <w:r w:rsidRPr="00F00B89">
        <w:rPr>
          <w:rStyle w:val="aff4"/>
          <w:rFonts w:hint="cs"/>
          <w:vanish/>
          <w:rtl/>
        </w:rPr>
        <w:t>-</w:t>
      </w:r>
      <w:r w:rsidRPr="007F312F">
        <w:rPr>
          <w:rStyle w:val="aff4"/>
          <w:rFonts w:hint="cs"/>
          <w:rtl/>
        </w:rPr>
        <w:t>בתוס' רי"ד לקמן</w:t>
      </w:r>
      <w:r w:rsidRPr="00F00B89">
        <w:rPr>
          <w:rStyle w:val="aff4"/>
          <w:rFonts w:hint="cs"/>
          <w:vanish/>
          <w:rtl/>
        </w:rPr>
        <w:t>-</w:t>
      </w:r>
      <w:r w:rsidRPr="00907712">
        <w:rPr>
          <w:rFonts w:hint="cs"/>
          <w:rtl/>
        </w:rPr>
        <w:t xml:space="preserve">, וכתב </w:t>
      </w:r>
      <w:r w:rsidRPr="00F00B89">
        <w:rPr>
          <w:rStyle w:val="aff4"/>
          <w:rFonts w:hint="cs"/>
          <w:vanish/>
          <w:rtl/>
        </w:rPr>
        <w:t>-</w:t>
      </w:r>
      <w:r w:rsidRPr="007F312F">
        <w:rPr>
          <w:rStyle w:val="aff4"/>
          <w:rFonts w:hint="cs"/>
          <w:rtl/>
        </w:rPr>
        <w:t>האגלי טל</w:t>
      </w:r>
      <w:r w:rsidRPr="00F00B89">
        <w:rPr>
          <w:rStyle w:val="aff4"/>
          <w:rFonts w:hint="cs"/>
          <w:vanish/>
          <w:rtl/>
        </w:rPr>
        <w:t>-</w:t>
      </w:r>
      <w:r w:rsidRPr="00907712">
        <w:rPr>
          <w:rFonts w:hint="cs"/>
          <w:rtl/>
        </w:rPr>
        <w:t xml:space="preserve"> דמוכח דחזר בו </w:t>
      </w:r>
      <w:r w:rsidRPr="003830DC">
        <w:rPr>
          <w:rStyle w:val="aff4"/>
          <w:rFonts w:hint="cs"/>
          <w:vanish/>
          <w:rtl/>
        </w:rPr>
        <w:t>-</w:t>
      </w:r>
      <w:r w:rsidRPr="007F312F">
        <w:rPr>
          <w:rStyle w:val="aff4"/>
          <w:rFonts w:hint="cs"/>
          <w:rtl/>
        </w:rPr>
        <w:t>התוס' רי"ד לקמן</w:t>
      </w:r>
      <w:r w:rsidRPr="003830DC">
        <w:rPr>
          <w:rStyle w:val="aff4"/>
          <w:rFonts w:hint="cs"/>
          <w:vanish/>
          <w:rtl/>
        </w:rPr>
        <w:t>-</w:t>
      </w:r>
      <w:r w:rsidRPr="00907712">
        <w:rPr>
          <w:rFonts w:hint="cs"/>
          <w:rtl/>
        </w:rPr>
        <w:t xml:space="preserve"> ממ"ש </w:t>
      </w:r>
      <w:r w:rsidRPr="00F00B89">
        <w:rPr>
          <w:rStyle w:val="aff4"/>
          <w:rFonts w:hint="cs"/>
          <w:vanish/>
          <w:rtl/>
        </w:rPr>
        <w:t>-</w:t>
      </w:r>
      <w:r w:rsidRPr="007F312F">
        <w:rPr>
          <w:rStyle w:val="aff4"/>
          <w:rFonts w:hint="cs"/>
          <w:rtl/>
        </w:rPr>
        <w:t>הרי"ד בספר המכריע</w:t>
      </w:r>
      <w:r w:rsidRPr="00F00B89">
        <w:rPr>
          <w:rStyle w:val="aff4"/>
          <w:rFonts w:hint="cs"/>
          <w:vanish/>
          <w:rtl/>
        </w:rPr>
        <w:t>-</w:t>
      </w:r>
      <w:r w:rsidRPr="00907712">
        <w:rPr>
          <w:rFonts w:hint="cs"/>
          <w:rtl/>
        </w:rPr>
        <w:t xml:space="preserve"> ומסקנתו </w:t>
      </w:r>
      <w:r w:rsidRPr="00F00B89">
        <w:rPr>
          <w:rStyle w:val="aff4"/>
          <w:rFonts w:hint="cs"/>
          <w:vanish/>
          <w:rtl/>
        </w:rPr>
        <w:t>-</w:t>
      </w:r>
      <w:r w:rsidRPr="007F312F">
        <w:rPr>
          <w:rStyle w:val="aff4"/>
          <w:rFonts w:hint="cs"/>
          <w:rtl/>
        </w:rPr>
        <w:t>כתוס' רי"ד לקמן</w:t>
      </w:r>
      <w:r w:rsidRPr="00F00B89">
        <w:rPr>
          <w:rStyle w:val="aff4"/>
          <w:rFonts w:hint="cs"/>
          <w:vanish/>
          <w:rtl/>
        </w:rPr>
        <w:t>-</w:t>
      </w:r>
      <w:r w:rsidRPr="00907712">
        <w:rPr>
          <w:rFonts w:hint="cs"/>
          <w:rtl/>
        </w:rPr>
        <w:t xml:space="preserve"> כיון דס"ל </w:t>
      </w:r>
      <w:r w:rsidRPr="00F00B89">
        <w:rPr>
          <w:rStyle w:val="aff4"/>
          <w:rFonts w:hint="cs"/>
          <w:vanish/>
          <w:rtl/>
        </w:rPr>
        <w:t>-</w:t>
      </w:r>
      <w:r w:rsidRPr="007F312F">
        <w:rPr>
          <w:rStyle w:val="aff4"/>
          <w:rFonts w:hint="cs"/>
          <w:rtl/>
        </w:rPr>
        <w:t>להרי"ד</w:t>
      </w:r>
      <w:r w:rsidRPr="00F00B89">
        <w:rPr>
          <w:rStyle w:val="aff4"/>
          <w:rFonts w:hint="cs"/>
          <w:vanish/>
          <w:rtl/>
        </w:rPr>
        <w:t>-</w:t>
      </w:r>
      <w:r w:rsidRPr="00907712">
        <w:rPr>
          <w:rFonts w:hint="cs"/>
          <w:rtl/>
        </w:rPr>
        <w:t xml:space="preserve"> דהברירה היא בדבר שיורד למטה</w:t>
      </w:r>
      <w:r>
        <w:rPr>
          <w:rFonts w:hint="cs"/>
          <w:rtl/>
        </w:rPr>
        <w:t>.</w:t>
      </w:r>
      <w:r w:rsidRPr="00907712">
        <w:rPr>
          <w:rFonts w:hint="cs"/>
          <w:rtl/>
        </w:rPr>
        <w:t xml:space="preserve"> </w:t>
      </w:r>
      <w:r w:rsidRPr="000D251D">
        <w:rPr>
          <w:rStyle w:val="af"/>
          <w:rFonts w:hint="cs"/>
          <w:rtl/>
        </w:rPr>
        <w:t>[</w:t>
      </w:r>
      <w:r>
        <w:rPr>
          <w:rStyle w:val="af"/>
          <w:rFonts w:hint="cs"/>
          <w:rtl/>
        </w:rPr>
        <w:t xml:space="preserve">כדביאר </w:t>
      </w:r>
      <w:r w:rsidRPr="00991707">
        <w:rPr>
          <w:rStyle w:val="aff9"/>
          <w:rFonts w:hint="cs"/>
          <w:vanish/>
          <w:rtl/>
        </w:rPr>
        <w:t>-</w:t>
      </w:r>
      <w:r w:rsidRPr="00991707">
        <w:rPr>
          <w:rStyle w:val="aff9"/>
          <w:rFonts w:hint="cs"/>
          <w:rtl/>
        </w:rPr>
        <w:t>האגלי טל</w:t>
      </w:r>
      <w:r w:rsidRPr="00991707">
        <w:rPr>
          <w:rStyle w:val="aff9"/>
          <w:rFonts w:hint="cs"/>
          <w:vanish/>
          <w:rtl/>
        </w:rPr>
        <w:t>-</w:t>
      </w:r>
      <w:r>
        <w:rPr>
          <w:rStyle w:val="af"/>
          <w:rFonts w:hint="cs"/>
          <w:rtl/>
        </w:rPr>
        <w:t xml:space="preserve"> </w:t>
      </w:r>
      <w:r w:rsidRPr="00991707">
        <w:rPr>
          <w:rStyle w:val="aff0"/>
          <w:rFonts w:hint="cs"/>
          <w:rtl/>
        </w:rPr>
        <w:t xml:space="preserve">(בורר סק"ה אות </w:t>
      </w:r>
      <w:r>
        <w:rPr>
          <w:rStyle w:val="aff0"/>
          <w:rFonts w:hint="cs"/>
          <w:rtl/>
        </w:rPr>
        <w:t>ז</w:t>
      </w:r>
      <w:r w:rsidRPr="00991707">
        <w:rPr>
          <w:rStyle w:val="aff0"/>
          <w:rFonts w:hint="cs"/>
          <w:rtl/>
        </w:rPr>
        <w:t>')</w:t>
      </w:r>
      <w:r>
        <w:rPr>
          <w:rStyle w:val="af"/>
          <w:rFonts w:hint="cs"/>
          <w:rtl/>
        </w:rPr>
        <w:t xml:space="preserve"> ב</w:t>
      </w:r>
      <w:r w:rsidRPr="000D251D">
        <w:rPr>
          <w:rStyle w:val="af"/>
          <w:rFonts w:hint="cs"/>
          <w:rtl/>
        </w:rPr>
        <w:t xml:space="preserve">דעת </w:t>
      </w:r>
      <w:r w:rsidRPr="009B1F18">
        <w:rPr>
          <w:rStyle w:val="aff9"/>
          <w:rFonts w:hint="cs"/>
          <w:vanish/>
          <w:rtl/>
        </w:rPr>
        <w:t>-</w:t>
      </w:r>
      <w:r w:rsidRPr="009B1F18">
        <w:rPr>
          <w:rStyle w:val="aff9"/>
          <w:rFonts w:hint="cs"/>
          <w:rtl/>
        </w:rPr>
        <w:t>התוס' רי"</w:t>
      </w:r>
      <w:r>
        <w:rPr>
          <w:rStyle w:val="aff9"/>
          <w:rFonts w:hint="cs"/>
          <w:rtl/>
        </w:rPr>
        <w:t>ד</w:t>
      </w:r>
      <w:r w:rsidRPr="009B1F18">
        <w:rPr>
          <w:rStyle w:val="aff9"/>
          <w:rFonts w:hint="cs"/>
          <w:vanish/>
          <w:rtl/>
        </w:rPr>
        <w:t>-</w:t>
      </w:r>
      <w:r w:rsidRPr="00394BDA">
        <w:rPr>
          <w:rStyle w:val="af"/>
          <w:rFonts w:hint="cs"/>
          <w:rtl/>
        </w:rPr>
        <w:t>]</w:t>
      </w:r>
      <w:r>
        <w:rPr>
          <w:rStyle w:val="af"/>
          <w:rFonts w:hint="cs"/>
          <w:rtl/>
        </w:rPr>
        <w:t>.</w:t>
      </w:r>
      <w:bookmarkEnd w:id="2647"/>
    </w:p>
    <w:p w14:paraId="1E5A34BB" w14:textId="77777777" w:rsidR="008925FD" w:rsidRPr="00747170" w:rsidRDefault="008925FD" w:rsidP="00747170">
      <w:pPr>
        <w:pStyle w:val="a2"/>
        <w:rPr>
          <w:rtl/>
        </w:rPr>
      </w:pPr>
      <w:r w:rsidRPr="00747170">
        <w:rPr>
          <w:rtl/>
        </w:rPr>
        <w:t>(כג) ודע דתוס' רי"ד בחידושיו במהדורא תליתאה [קלח א] וז"ל בין בורר חיטין שהפסולת למטה בין מרקד שהאוכל למטה שניהם נקראים פסולת מתוך אוכל שהרי מקבץ הפסולת למקום אחד ומשליכה והאוכל מניח ואוכל מתוך פסולת דהוי שינוי כגון שבורר האוכלין אוכל אוכל ומניח הפסולת עכ"ל. וזה היפך מ"ש בספר המכריע דאוכל מתוך פסולת בנפה וכברה פטור. ויותר חידוש שבס' המכריע בסי' הנ"ל כתב בסוף דבריו עיין במהדורא תליתאה פ' תולין. וכפי הנראה חזר בו לאחר זמן מ"ש בס' המכריע וכתב דברים אלו פ' תולין ומשנה שבס' המכריע לא זזה ממקומה. וטעם החזרה לפי שיטתו דהיורד למטה הוא המתברר דק"ל למה אמר ר"ז במשמר דחייב משום מרקד ולא משום בורר משום דמשמר אוכל למטה ובורר פסולת למטה תיפוק לי' דמשמר אמ"פ ולא נוכל ללמדו מבורר פסולת מתוך אוכל אלא ודאי בנפה וכברה לעולם חשוב פסולת מתוך אוכל.</w:t>
      </w:r>
    </w:p>
    <w:p w14:paraId="05A5AA00" w14:textId="3EAA2F2C" w:rsidR="008925FD" w:rsidRPr="009305B0" w:rsidRDefault="008925FD" w:rsidP="008925FD">
      <w:pPr>
        <w:pStyle w:val="a7"/>
      </w:pPr>
      <w:bookmarkStart w:id="2648" w:name="_Toc139277081"/>
      <w:r>
        <w:rPr>
          <w:rFonts w:hint="cs"/>
          <w:rtl/>
        </w:rPr>
        <w:t>בי' האגל"ט דלמסקנתו אף דפסולת למטה הוי פסולת מאוכל אי"ז עיקר בורר ובלאלתר פטור</w:t>
      </w:r>
      <w:bookmarkEnd w:id="2648"/>
    </w:p>
    <w:p w14:paraId="3F778117" w14:textId="77777777" w:rsidR="008925FD" w:rsidRPr="00907712" w:rsidRDefault="008925FD" w:rsidP="00BC7DC8">
      <w:pPr>
        <w:pStyle w:val="a3"/>
      </w:pPr>
      <w:r w:rsidRPr="00907712">
        <w:rPr>
          <w:rFonts w:hint="cs"/>
          <w:rtl/>
        </w:rPr>
        <w:t xml:space="preserve">אך כתב </w:t>
      </w:r>
      <w:r w:rsidRPr="00F00B89">
        <w:rPr>
          <w:rStyle w:val="aff4"/>
          <w:rFonts w:hint="cs"/>
          <w:vanish/>
          <w:rtl/>
        </w:rPr>
        <w:t>-</w:t>
      </w:r>
      <w:r w:rsidRPr="007F312F">
        <w:rPr>
          <w:rStyle w:val="aff4"/>
          <w:rFonts w:hint="cs"/>
          <w:rtl/>
        </w:rPr>
        <w:t>האגלי טל</w:t>
      </w:r>
      <w:r w:rsidRPr="00F00B89">
        <w:rPr>
          <w:rStyle w:val="aff4"/>
          <w:rFonts w:hint="cs"/>
          <w:vanish/>
          <w:rtl/>
        </w:rPr>
        <w:t>-</w:t>
      </w:r>
      <w:r w:rsidRPr="00907712">
        <w:rPr>
          <w:rFonts w:hint="cs"/>
          <w:rtl/>
        </w:rPr>
        <w:t xml:space="preserve"> דמדלא כתב </w:t>
      </w:r>
      <w:r w:rsidRPr="00F00B89">
        <w:rPr>
          <w:rStyle w:val="aff4"/>
          <w:rFonts w:hint="cs"/>
          <w:vanish/>
          <w:rtl/>
        </w:rPr>
        <w:t>-</w:t>
      </w:r>
      <w:r w:rsidRPr="007F312F">
        <w:rPr>
          <w:rStyle w:val="aff4"/>
          <w:rFonts w:hint="cs"/>
          <w:rtl/>
        </w:rPr>
        <w:t>הרי"ד</w:t>
      </w:r>
      <w:r w:rsidRPr="00F00B89">
        <w:rPr>
          <w:rStyle w:val="aff4"/>
          <w:rFonts w:hint="cs"/>
          <w:vanish/>
          <w:rtl/>
        </w:rPr>
        <w:t>-</w:t>
      </w:r>
      <w:r w:rsidRPr="00907712">
        <w:rPr>
          <w:rFonts w:hint="cs"/>
          <w:rtl/>
        </w:rPr>
        <w:t xml:space="preserve"> להדיא דחוזר בו ומחייב אוכל מתוך פסולת בנפה וכברה, נראה דבזה לא חזר בו ואף למסקנתו פטור, דאעפ"י דחשיב פסולת מתוך אוכל, מ"מ כיון דלא דמי לגמרי לעיקר בורר דהפסולת היא למטה ולכן אינו בכלל האב דבורר וכל שעושה כן לאלתר פטור.</w:t>
      </w:r>
    </w:p>
    <w:p w14:paraId="66A026F2" w14:textId="77777777" w:rsidR="008925FD" w:rsidRPr="00747170" w:rsidRDefault="008925FD" w:rsidP="00747170">
      <w:pPr>
        <w:pStyle w:val="a2"/>
        <w:rPr>
          <w:rtl/>
        </w:rPr>
      </w:pPr>
      <w:r w:rsidRPr="00747170">
        <w:rPr>
          <w:rtl/>
        </w:rPr>
        <w:t>ומ"מ קצת קשה מאחר שנ"מ בחזרה לענין הלכה שלדעת ס' המכריע מותר אוכל מתוך פסולת בנפה וכברה לאלתר עכ"פ ולמה שחזר בפ' תולין דבנפה וכברה לעולם חשוב פסולת מתוך אוכל חייב אפי' לאלתר. איך לא חזר בפירוש מדבריו שבס' המכריע. אשר ע"כ נראה שגם למה שחזר בפרק תולין מ"מ פטור אוכל מתוך פסולת בנפה וכברה לאלתר דאף שחשוב פסולת מתוך אוכל. מ"מ הואיל ואוכל מתוך פסולת לשיטת תוס' רי"ד היינו אוכל למטה שאינו דומה לבורר שהפסולת למטה. והרי ר' זירא אמר דמשמר אינו חייב משום בורר מהאי טעמא. ואפי' לרבה דמשמר חייב משום בורר היינו שהוא תולדת בורר. מ"מ מועיל מה שמחולק בלמטה ולמעלה שלא יהי' אב מלאכה עיקר מלאכת בורר ופטור לאלתר. ואין נ"מ להלכה בחזרה שבפ' תולין רק בפרושא דברייתא לר' המנונא מחולק דלפמ"ש בפ' תולין דבנפה וכברה לעולם הוי פסולת מתוך אוכל ע"כ ר' המנונא דמפרש רישא אוכל מתוך פסולת מפרש הברייתא ביד לאח"ז:</w:t>
      </w:r>
    </w:p>
    <w:p w14:paraId="2902F8B8" w14:textId="03C66278" w:rsidR="008925FD" w:rsidRDefault="008925FD" w:rsidP="008925FD">
      <w:pPr>
        <w:pStyle w:val="afffff7"/>
        <w:rPr>
          <w:rtl/>
        </w:rPr>
      </w:pPr>
      <w:bookmarkStart w:id="2649" w:name="_Toc138969337"/>
      <w:bookmarkStart w:id="2650" w:name="_Toc139277180"/>
      <w:bookmarkStart w:id="2651" w:name="_Toc163505883"/>
      <w:r w:rsidRPr="00907712">
        <w:rPr>
          <w:rtl/>
        </w:rPr>
        <w:t>אגלי טל בורר</w:t>
      </w:r>
      <w:r w:rsidRPr="00907712">
        <w:rPr>
          <w:rFonts w:hint="cs"/>
          <w:rtl/>
        </w:rPr>
        <w:t xml:space="preserve"> סק"א</w:t>
      </w:r>
      <w:r w:rsidRPr="00907712">
        <w:rPr>
          <w:rtl/>
        </w:rPr>
        <w:t xml:space="preserve"> אות </w:t>
      </w:r>
      <w:r w:rsidRPr="00907712">
        <w:rPr>
          <w:rFonts w:hint="cs"/>
          <w:rtl/>
        </w:rPr>
        <w:t>כ"ד</w:t>
      </w:r>
      <w:bookmarkEnd w:id="2649"/>
      <w:bookmarkEnd w:id="2650"/>
      <w:bookmarkEnd w:id="2651"/>
    </w:p>
    <w:p w14:paraId="720C6669" w14:textId="77777777" w:rsidR="008925FD" w:rsidRPr="00805465" w:rsidRDefault="008925FD" w:rsidP="008925FD">
      <w:pPr>
        <w:pStyle w:val="a7"/>
        <w:rPr>
          <w:rtl/>
        </w:rPr>
      </w:pPr>
      <w:bookmarkStart w:id="2652" w:name="_Toc139277082"/>
      <w:r>
        <w:rPr>
          <w:rFonts w:hint="cs"/>
          <w:rtl/>
        </w:rPr>
        <w:t>בי' האגל"ט ברי"ד דאוכל מפסולת לאח"ז פטור ופסולת למטה לאלתר חייב ולמעלה מותר</w:t>
      </w:r>
      <w:bookmarkEnd w:id="2652"/>
      <w:r>
        <w:rPr>
          <w:rFonts w:hint="cs"/>
          <w:rtl/>
        </w:rPr>
        <w:t xml:space="preserve"> </w:t>
      </w:r>
    </w:p>
    <w:p w14:paraId="60C1B37E" w14:textId="199F6825" w:rsidR="008925FD" w:rsidRPr="00907712" w:rsidRDefault="008925FD" w:rsidP="00BC7DC8">
      <w:pPr>
        <w:pStyle w:val="a3"/>
        <w:rPr>
          <w:rtl/>
        </w:rPr>
      </w:pPr>
      <w:bookmarkStart w:id="2653" w:name="_Ref138969530"/>
      <w:r w:rsidRPr="00907712">
        <w:rPr>
          <w:rFonts w:hint="cs"/>
          <w:rtl/>
        </w:rPr>
        <w:t xml:space="preserve">וכתב </w:t>
      </w:r>
      <w:r w:rsidRPr="009601A4">
        <w:rPr>
          <w:rStyle w:val="aff4"/>
          <w:rFonts w:hint="cs"/>
          <w:vanish/>
          <w:rtl/>
        </w:rPr>
        <w:t>-</w:t>
      </w:r>
      <w:r w:rsidRPr="007F312F">
        <w:rPr>
          <w:rStyle w:val="aff4"/>
          <w:rFonts w:hint="cs"/>
          <w:rtl/>
        </w:rPr>
        <w:t>ה</w:t>
      </w:r>
      <w:r w:rsidRPr="009601A4">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Ref138969530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מ)</w:t>
      </w:r>
      <w:r>
        <w:rPr>
          <w:rStyle w:val="aff4"/>
          <w:vanish/>
          <w:rtl/>
        </w:rPr>
        <w:fldChar w:fldCharType="end"/>
      </w:r>
      <w:r w:rsidRPr="009601A4">
        <w:rPr>
          <w:rStyle w:val="aff4"/>
          <w:rFonts w:hint="cs"/>
          <w:vanish/>
          <w:rtl/>
        </w:rPr>
        <w:t xml:space="preserve"> &gt;</w:t>
      </w:r>
      <w:r w:rsidRPr="007F312F">
        <w:rPr>
          <w:rStyle w:val="aff4"/>
          <w:rFonts w:hint="cs"/>
          <w:rtl/>
        </w:rPr>
        <w:t>אגלי טל</w:t>
      </w:r>
      <w:r w:rsidRPr="009601A4">
        <w:rPr>
          <w:rStyle w:val="aff4"/>
          <w:rFonts w:hint="cs"/>
          <w:vanish/>
          <w:rtl/>
        </w:rPr>
        <w:t>-</w:t>
      </w:r>
      <w:r w:rsidRPr="00907712">
        <w:rPr>
          <w:rFonts w:hint="cs"/>
          <w:rtl/>
        </w:rPr>
        <w:t xml:space="preserve"> </w:t>
      </w:r>
      <w:r w:rsidRPr="000D251D">
        <w:rPr>
          <w:rStyle w:val="af2"/>
          <w:rFonts w:eastAsia="Guttman Hodes" w:hint="cs"/>
          <w:rtl/>
        </w:rPr>
        <w:t>(בורר סק"א אות כ"ד)</w:t>
      </w:r>
      <w:r w:rsidRPr="009601A4">
        <w:rPr>
          <w:rFonts w:hint="cs"/>
          <w:vanish/>
          <w:rtl/>
        </w:rPr>
        <w:t>=</w:t>
      </w:r>
      <w:r w:rsidRPr="00907712">
        <w:rPr>
          <w:rFonts w:hint="cs"/>
          <w:rtl/>
        </w:rPr>
        <w:t xml:space="preserve"> דא"כ מבואר דלדינא </w:t>
      </w:r>
      <w:r w:rsidRPr="009601A4">
        <w:rPr>
          <w:rStyle w:val="aff4"/>
          <w:rFonts w:hint="cs"/>
          <w:vanish/>
          <w:rtl/>
        </w:rPr>
        <w:t>-</w:t>
      </w:r>
      <w:r w:rsidRPr="007F312F">
        <w:rPr>
          <w:rStyle w:val="aff4"/>
          <w:rFonts w:hint="cs"/>
          <w:rtl/>
        </w:rPr>
        <w:t>להתוס' רי"ד</w:t>
      </w:r>
      <w:r w:rsidRPr="009601A4">
        <w:rPr>
          <w:rStyle w:val="aff4"/>
          <w:rFonts w:hint="cs"/>
          <w:vanish/>
          <w:rtl/>
        </w:rPr>
        <w:t>-</w:t>
      </w:r>
      <w:r w:rsidRPr="00907712">
        <w:rPr>
          <w:rFonts w:hint="cs"/>
          <w:rtl/>
        </w:rPr>
        <w:t xml:space="preserve"> דביד בפסולת מתוך אוכל לאלתר מותר, ולאחר זמן חייב, ובאוכל מתוך פסולת לאחר זמן פטור אבל אסור, ובנפה וכברה בפסולת מתוך אוכל באופן שהפסולת למטה חייב חטאת אף בלאתר, ובפסולת למעלה לאלתר מותר ולאחר זמן חייב חטאת, ובקנון ותמחוי אין חילוק אי הפסולת למעלה או למטה, ולאלתר פטור אבל אסור, ולאחר זמן חייב</w:t>
      </w:r>
      <w:r>
        <w:rPr>
          <w:rFonts w:hint="cs"/>
          <w:rtl/>
        </w:rPr>
        <w:t>, ועי' במ"ש</w:t>
      </w:r>
      <w:r w:rsidRPr="00907712">
        <w:rPr>
          <w:rFonts w:hint="cs"/>
          <w:rtl/>
        </w:rPr>
        <w:t xml:space="preserve"> </w:t>
      </w:r>
      <w:r w:rsidRPr="00F00B89">
        <w:rPr>
          <w:rStyle w:val="aff4"/>
          <w:rFonts w:hint="cs"/>
          <w:vanish/>
          <w:rtl/>
        </w:rPr>
        <w:t>-</w:t>
      </w:r>
      <w:r w:rsidRPr="007F312F">
        <w:rPr>
          <w:rStyle w:val="aff4"/>
          <w:rFonts w:hint="cs"/>
          <w:rtl/>
        </w:rPr>
        <w:t>האגלי טל</w:t>
      </w:r>
      <w:r w:rsidRPr="00F00B89">
        <w:rPr>
          <w:rStyle w:val="aff4"/>
          <w:rFonts w:hint="cs"/>
          <w:vanish/>
          <w:rtl/>
        </w:rPr>
        <w:t>-</w:t>
      </w:r>
      <w:r>
        <w:rPr>
          <w:rFonts w:hint="cs"/>
          <w:rtl/>
        </w:rPr>
        <w:t xml:space="preserve"> </w:t>
      </w:r>
      <w:r w:rsidRPr="00486C92">
        <w:rPr>
          <w:rStyle w:val="af2"/>
          <w:rFonts w:eastAsia="Guttman Hodes" w:hint="cs"/>
          <w:rtl/>
        </w:rPr>
        <w:t xml:space="preserve">(עי' אות </w:t>
      </w:r>
      <w:r w:rsidRPr="00486C92">
        <w:rPr>
          <w:rStyle w:val="af2"/>
          <w:rFonts w:eastAsia="Guttman Hodes"/>
          <w:rtl/>
        </w:rPr>
        <w:fldChar w:fldCharType="begin"/>
      </w:r>
      <w:r w:rsidRPr="00486C92">
        <w:rPr>
          <w:rStyle w:val="af2"/>
          <w:rFonts w:eastAsia="Guttman Hodes"/>
          <w:rtl/>
        </w:rPr>
        <w:instrText xml:space="preserve"> </w:instrText>
      </w:r>
      <w:r w:rsidRPr="00486C92">
        <w:rPr>
          <w:rStyle w:val="af2"/>
          <w:rFonts w:eastAsia="Guttman Hodes" w:hint="cs"/>
        </w:rPr>
        <w:instrText>REF</w:instrText>
      </w:r>
      <w:r w:rsidRPr="00486C92">
        <w:rPr>
          <w:rStyle w:val="af2"/>
          <w:rFonts w:eastAsia="Guttman Hodes" w:hint="cs"/>
          <w:rtl/>
        </w:rPr>
        <w:instrText xml:space="preserve"> _</w:instrText>
      </w:r>
      <w:r w:rsidRPr="00486C92">
        <w:rPr>
          <w:rStyle w:val="af2"/>
          <w:rFonts w:eastAsia="Guttman Hodes" w:hint="cs"/>
        </w:rPr>
        <w:instrText>Ref139274485 \r \h</w:instrText>
      </w:r>
      <w:r w:rsidRPr="00486C92">
        <w:rPr>
          <w:rStyle w:val="af2"/>
          <w:rFonts w:eastAsia="Guttman Hodes"/>
          <w:rtl/>
        </w:rPr>
        <w:instrText xml:space="preserve"> </w:instrText>
      </w:r>
      <w:r w:rsidRPr="00486C92">
        <w:rPr>
          <w:rStyle w:val="af2"/>
          <w:rFonts w:eastAsia="Guttman Hodes"/>
          <w:rtl/>
        </w:rPr>
      </w:r>
      <w:r w:rsidRPr="00486C92">
        <w:rPr>
          <w:rStyle w:val="af2"/>
          <w:rFonts w:eastAsia="Guttman Hodes"/>
          <w:rtl/>
        </w:rPr>
        <w:fldChar w:fldCharType="separate"/>
      </w:r>
      <w:r w:rsidR="00D82181">
        <w:rPr>
          <w:rStyle w:val="af2"/>
          <w:rFonts w:eastAsia="Guttman Hodes"/>
          <w:cs/>
        </w:rPr>
        <w:t>‎</w:t>
      </w:r>
      <w:r w:rsidR="00D82181">
        <w:rPr>
          <w:rStyle w:val="af2"/>
          <w:rFonts w:eastAsia="Guttman Hodes"/>
          <w:rtl/>
        </w:rPr>
        <w:t>ע)</w:t>
      </w:r>
      <w:r w:rsidRPr="00486C92">
        <w:rPr>
          <w:rStyle w:val="af2"/>
          <w:rFonts w:eastAsia="Guttman Hodes"/>
          <w:rtl/>
        </w:rPr>
        <w:fldChar w:fldCharType="end"/>
      </w:r>
      <w:r>
        <w:rPr>
          <w:rFonts w:hint="cs"/>
          <w:rtl/>
        </w:rPr>
        <w:t xml:space="preserve"> דכן דעת </w:t>
      </w:r>
      <w:r w:rsidRPr="003571D2">
        <w:rPr>
          <w:rStyle w:val="aff4"/>
          <w:rFonts w:hint="cs"/>
          <w:vanish/>
          <w:rtl/>
        </w:rPr>
        <w:t>-</w:t>
      </w:r>
      <w:r w:rsidRPr="00FE6CDD">
        <w:rPr>
          <w:rStyle w:val="aff4"/>
          <w:rFonts w:hint="cs"/>
          <w:rtl/>
        </w:rPr>
        <w:t>התוס'</w:t>
      </w:r>
      <w:r w:rsidRPr="003571D2">
        <w:rPr>
          <w:rStyle w:val="aff4"/>
          <w:rFonts w:hint="cs"/>
          <w:vanish/>
          <w:rtl/>
        </w:rPr>
        <w:t>-</w:t>
      </w:r>
      <w:r>
        <w:rPr>
          <w:rFonts w:hint="cs"/>
          <w:rtl/>
        </w:rPr>
        <w:t xml:space="preserve"> </w:t>
      </w:r>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Ref138969513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עו)</w:t>
      </w:r>
      <w:r>
        <w:rPr>
          <w:rStyle w:val="af2"/>
          <w:rFonts w:eastAsia="Guttman Hodes"/>
          <w:rtl/>
        </w:rPr>
        <w:fldChar w:fldCharType="end"/>
      </w:r>
      <w:r>
        <w:rPr>
          <w:rFonts w:hint="cs"/>
          <w:rtl/>
        </w:rPr>
        <w:t xml:space="preserve"> </w:t>
      </w:r>
      <w:r w:rsidRPr="003571D2">
        <w:rPr>
          <w:rStyle w:val="aff4"/>
          <w:rFonts w:hint="cs"/>
          <w:vanish/>
          <w:rtl/>
        </w:rPr>
        <w:t>-</w:t>
      </w:r>
      <w:r>
        <w:rPr>
          <w:rStyle w:val="aff4"/>
          <w:rFonts w:hint="cs"/>
          <w:rtl/>
        </w:rPr>
        <w:t>ו</w:t>
      </w:r>
      <w:r w:rsidRPr="00FE6CDD">
        <w:rPr>
          <w:rStyle w:val="aff4"/>
          <w:rFonts w:hint="cs"/>
          <w:rtl/>
        </w:rPr>
        <w:t>הרשב"א בעבודת הקודש</w:t>
      </w:r>
      <w:r w:rsidRPr="003571D2">
        <w:rPr>
          <w:rStyle w:val="aff4"/>
          <w:rFonts w:hint="cs"/>
          <w:vanish/>
          <w:rtl/>
        </w:rPr>
        <w:t>-</w:t>
      </w:r>
      <w:r>
        <w:rPr>
          <w:rFonts w:hint="cs"/>
          <w:rtl/>
        </w:rPr>
        <w:t xml:space="preserve"> </w:t>
      </w:r>
      <w:r w:rsidRPr="000D251D">
        <w:rPr>
          <w:rStyle w:val="af2"/>
          <w:rFonts w:eastAsia="Guttman Hodes" w:hint="cs"/>
          <w:rtl/>
        </w:rPr>
        <w:t xml:space="preserve">(עי' אות </w:t>
      </w:r>
      <w:r w:rsidRPr="000D251D">
        <w:rPr>
          <w:rStyle w:val="af2"/>
          <w:rFonts w:eastAsia="Guttman Hodes"/>
          <w:rtl/>
        </w:rPr>
        <w:fldChar w:fldCharType="begin"/>
      </w:r>
      <w:r w:rsidRPr="000D251D">
        <w:rPr>
          <w:rStyle w:val="af2"/>
          <w:rFonts w:eastAsia="Guttman Hodes"/>
          <w:rtl/>
        </w:rPr>
        <w:instrText xml:space="preserve"> </w:instrText>
      </w:r>
      <w:r w:rsidRPr="000D251D">
        <w:rPr>
          <w:rStyle w:val="af2"/>
          <w:rFonts w:eastAsia="Guttman Hodes" w:hint="cs"/>
        </w:rPr>
        <w:instrText>REF</w:instrText>
      </w:r>
      <w:r w:rsidRPr="000D251D">
        <w:rPr>
          <w:rStyle w:val="af2"/>
          <w:rFonts w:eastAsia="Guttman Hodes" w:hint="cs"/>
          <w:rtl/>
        </w:rPr>
        <w:instrText xml:space="preserve"> _</w:instrText>
      </w:r>
      <w:r w:rsidRPr="000D251D">
        <w:rPr>
          <w:rStyle w:val="af2"/>
          <w:rFonts w:eastAsia="Guttman Hodes" w:hint="cs"/>
        </w:rPr>
        <w:instrText>Ref138279889 \r \h</w:instrText>
      </w:r>
      <w:r w:rsidRPr="000D251D">
        <w:rPr>
          <w:rStyle w:val="af2"/>
          <w:rFonts w:eastAsia="Guttman Hodes"/>
          <w:rtl/>
        </w:rPr>
        <w:instrText xml:space="preserve"> </w:instrText>
      </w:r>
      <w:r w:rsidRPr="000D251D">
        <w:rPr>
          <w:rStyle w:val="af2"/>
          <w:rFonts w:eastAsia="Guttman Hodes"/>
          <w:rtl/>
        </w:rPr>
      </w:r>
      <w:r w:rsidRPr="000D251D">
        <w:rPr>
          <w:rStyle w:val="af2"/>
          <w:rFonts w:eastAsia="Guttman Hodes"/>
          <w:rtl/>
        </w:rPr>
        <w:fldChar w:fldCharType="separate"/>
      </w:r>
      <w:r w:rsidR="00D82181">
        <w:rPr>
          <w:rStyle w:val="af2"/>
          <w:rFonts w:eastAsia="Guttman Hodes"/>
          <w:cs/>
        </w:rPr>
        <w:t>‎</w:t>
      </w:r>
      <w:r w:rsidR="00D82181">
        <w:rPr>
          <w:rStyle w:val="af2"/>
          <w:rFonts w:eastAsia="Guttman Hodes"/>
          <w:rtl/>
        </w:rPr>
        <w:t>סג)</w:t>
      </w:r>
      <w:r w:rsidRPr="000D251D">
        <w:rPr>
          <w:rStyle w:val="af2"/>
          <w:rFonts w:eastAsia="Guttman Hodes"/>
          <w:rtl/>
        </w:rPr>
        <w:fldChar w:fldCharType="end"/>
      </w:r>
      <w:r>
        <w:rPr>
          <w:rFonts w:hint="cs"/>
          <w:rtl/>
        </w:rPr>
        <w:t xml:space="preserve"> </w:t>
      </w:r>
      <w:r w:rsidRPr="003571D2">
        <w:rPr>
          <w:rStyle w:val="aff4"/>
          <w:rFonts w:hint="cs"/>
          <w:vanish/>
          <w:rtl/>
        </w:rPr>
        <w:t>-</w:t>
      </w:r>
      <w:r w:rsidRPr="00FE6CDD">
        <w:rPr>
          <w:rStyle w:val="aff4"/>
          <w:rFonts w:hint="cs"/>
          <w:rtl/>
        </w:rPr>
        <w:t>והרמ"ך</w:t>
      </w:r>
      <w:r w:rsidRPr="003571D2">
        <w:rPr>
          <w:rStyle w:val="aff4"/>
          <w:rFonts w:hint="cs"/>
          <w:vanish/>
          <w:rtl/>
        </w:rPr>
        <w:t>-</w:t>
      </w:r>
      <w:r>
        <w:rPr>
          <w:rFonts w:hint="cs"/>
          <w:rtl/>
        </w:rPr>
        <w:t xml:space="preserve"> </w:t>
      </w:r>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Ref138881758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פג)</w:t>
      </w:r>
      <w:r>
        <w:rPr>
          <w:rStyle w:val="af2"/>
          <w:rFonts w:eastAsia="Guttman Hodes"/>
          <w:rtl/>
        </w:rPr>
        <w:fldChar w:fldCharType="end"/>
      </w:r>
      <w:r w:rsidRPr="00907712">
        <w:rPr>
          <w:rFonts w:hint="cs"/>
          <w:rtl/>
        </w:rPr>
        <w:t>.</w:t>
      </w:r>
      <w:bookmarkEnd w:id="2653"/>
    </w:p>
    <w:p w14:paraId="020FD19A" w14:textId="77777777" w:rsidR="008925FD" w:rsidRPr="00747170" w:rsidRDefault="008925FD" w:rsidP="00747170">
      <w:pPr>
        <w:pStyle w:val="a2"/>
        <w:rPr>
          <w:rtl/>
        </w:rPr>
      </w:pPr>
      <w:r w:rsidRPr="00747170">
        <w:rPr>
          <w:rtl/>
        </w:rPr>
        <w:t>(כד) העולה מזה לדעת התוספות רי"ד לדינא ביד לאלתר. אפי' פסולת מתוך אוכל מותר לכתחלה. ביד לאחר זמן. פסולת מתוך אוכל חייב. ביד אוכל מתוך פסולת. לאחר זמן פטור אבל אסור. בנפה וכברה פסולת למטה אפי' לאלתר חייב חטאת. פסולת למעלה לאלתר מותר. לאחר זמן חייב חטאת. בקנון ותמחוי בין פסולת למטה בין פסולת למעלה לאלתר פטור אבל אסור לאחר זמן חייב חטאת:</w:t>
      </w:r>
    </w:p>
    <w:p w14:paraId="33E8B8D8" w14:textId="4A7611DF" w:rsidR="008925FD" w:rsidRDefault="008925FD" w:rsidP="008925FD">
      <w:pPr>
        <w:pStyle w:val="affff5"/>
        <w:rPr>
          <w:rtl/>
        </w:rPr>
      </w:pPr>
      <w:bookmarkStart w:id="2654" w:name="_Toc139277083"/>
      <w:r w:rsidRPr="0031102F">
        <w:rPr>
          <w:rFonts w:hint="cs"/>
          <w:rtl/>
        </w:rPr>
        <w:t>בדין קנון לא</w:t>
      </w:r>
      <w:r>
        <w:rPr>
          <w:rFonts w:hint="cs"/>
          <w:rtl/>
        </w:rPr>
        <w:t>ח"ז</w:t>
      </w:r>
      <w:r w:rsidRPr="0031102F">
        <w:rPr>
          <w:rFonts w:hint="cs"/>
          <w:rtl/>
        </w:rPr>
        <w:t xml:space="preserve"> </w:t>
      </w:r>
      <w:r>
        <w:rPr>
          <w:rFonts w:hint="cs"/>
          <w:rtl/>
        </w:rPr>
        <w:t>אי דינו כיד וחייב</w:t>
      </w:r>
      <w:bookmarkEnd w:id="2654"/>
    </w:p>
    <w:p w14:paraId="0207FD48" w14:textId="77777777" w:rsidR="008925FD" w:rsidRPr="00C332DB" w:rsidRDefault="008925FD" w:rsidP="008925FD">
      <w:pPr>
        <w:pStyle w:val="1"/>
        <w:rPr>
          <w:rtl/>
        </w:rPr>
      </w:pPr>
      <w:bookmarkStart w:id="2655" w:name="_Toc139277084"/>
      <w:r>
        <w:rPr>
          <w:rFonts w:hint="cs"/>
          <w:rtl/>
        </w:rPr>
        <w:t>בי' רש"י דקנון ותמחוי הוא ברירה כלאח"י ולכן פטור מחטאת</w:t>
      </w:r>
      <w:bookmarkEnd w:id="2655"/>
    </w:p>
    <w:p w14:paraId="078C703A" w14:textId="77777777" w:rsidR="008925FD" w:rsidRDefault="008925FD" w:rsidP="008925FD">
      <w:pPr>
        <w:pStyle w:val="afffff7"/>
        <w:rPr>
          <w:rtl/>
        </w:rPr>
      </w:pPr>
      <w:bookmarkStart w:id="2656" w:name="_Toc139277181"/>
      <w:bookmarkStart w:id="2657" w:name="_Toc163505884"/>
      <w:r>
        <w:rPr>
          <w:rtl/>
        </w:rPr>
        <w:t>רש"י שבת ע"ד ע"א</w:t>
      </w:r>
      <w:r>
        <w:rPr>
          <w:rFonts w:hint="cs"/>
          <w:rtl/>
        </w:rPr>
        <w:t xml:space="preserve"> ד"ה פטור</w:t>
      </w:r>
      <w:bookmarkEnd w:id="2656"/>
      <w:bookmarkEnd w:id="2657"/>
    </w:p>
    <w:p w14:paraId="31BA15F9" w14:textId="77777777" w:rsidR="008925FD" w:rsidRDefault="008925FD" w:rsidP="008925FD">
      <w:pPr>
        <w:pStyle w:val="a7"/>
        <w:rPr>
          <w:rtl/>
        </w:rPr>
      </w:pPr>
      <w:bookmarkStart w:id="2658" w:name="_Toc139277085"/>
      <w:r>
        <w:rPr>
          <w:rFonts w:hint="cs"/>
          <w:rtl/>
        </w:rPr>
        <w:t>בי' רש"י דעיקר ברירה בנפה ובקנון הוא כלאח"י וביד ל"ד לבורר כלל ולכן מותר</w:t>
      </w:r>
      <w:bookmarkEnd w:id="2658"/>
    </w:p>
    <w:p w14:paraId="4AE9C511" w14:textId="42D7687F" w:rsidR="008925FD" w:rsidRPr="009A4C56" w:rsidRDefault="008925FD" w:rsidP="00BC7DC8">
      <w:pPr>
        <w:pStyle w:val="a3"/>
        <w:rPr>
          <w:rtl/>
        </w:rPr>
      </w:pPr>
      <w:bookmarkStart w:id="2659" w:name="_Ref137984282"/>
      <w:r>
        <w:rPr>
          <w:rFonts w:hint="cs"/>
          <w:rtl/>
        </w:rPr>
        <w:t xml:space="preserve">בהא דאמרינן דביד מותר לכתחילה ובקנון ותמחוי פטור אבל אסור, ביאר </w:t>
      </w:r>
      <w:r w:rsidRPr="00194A43">
        <w:rPr>
          <w:rFonts w:hint="cs"/>
          <w:vanish/>
          <w:rtl/>
        </w:rPr>
        <w:t xml:space="preserve">&lt;. </w:t>
      </w:r>
      <w:r w:rsidRPr="00194A43">
        <w:rPr>
          <w:vanish/>
          <w:rtl/>
        </w:rPr>
        <w:fldChar w:fldCharType="begin"/>
      </w:r>
      <w:r w:rsidRPr="00194A43">
        <w:rPr>
          <w:vanish/>
          <w:rtl/>
        </w:rPr>
        <w:instrText xml:space="preserve"> </w:instrText>
      </w:r>
      <w:r w:rsidRPr="00194A43">
        <w:rPr>
          <w:rFonts w:hint="cs"/>
          <w:vanish/>
        </w:rPr>
        <w:instrText>REF</w:instrText>
      </w:r>
      <w:r w:rsidRPr="00194A43">
        <w:rPr>
          <w:rFonts w:hint="cs"/>
          <w:vanish/>
          <w:rtl/>
        </w:rPr>
        <w:instrText xml:space="preserve"> _</w:instrText>
      </w:r>
      <w:r w:rsidRPr="00194A43">
        <w:rPr>
          <w:rFonts w:hint="cs"/>
          <w:vanish/>
        </w:rPr>
        <w:instrText>Ref137984282 \r \h</w:instrText>
      </w:r>
      <w:r w:rsidRPr="00194A43">
        <w:rPr>
          <w:vanish/>
          <w:rtl/>
        </w:rPr>
        <w:instrText xml:space="preserve"> </w:instrText>
      </w:r>
      <w:r w:rsidRPr="00194A43">
        <w:rPr>
          <w:vanish/>
          <w:rtl/>
        </w:rPr>
      </w:r>
      <w:r w:rsidRPr="00194A43">
        <w:rPr>
          <w:vanish/>
          <w:rtl/>
        </w:rPr>
        <w:fldChar w:fldCharType="separate"/>
      </w:r>
      <w:r w:rsidR="00D82181">
        <w:rPr>
          <w:vanish/>
          <w:cs/>
        </w:rPr>
        <w:t>‎</w:t>
      </w:r>
      <w:r w:rsidR="00D82181">
        <w:rPr>
          <w:vanish/>
          <w:rtl/>
        </w:rPr>
        <w:t>מא)</w:t>
      </w:r>
      <w:r w:rsidRPr="00194A43">
        <w:rPr>
          <w:vanish/>
          <w:rtl/>
        </w:rPr>
        <w:fldChar w:fldCharType="end"/>
      </w:r>
      <w:r w:rsidRPr="00194A43">
        <w:rPr>
          <w:rFonts w:hint="cs"/>
          <w:vanish/>
          <w:rtl/>
        </w:rPr>
        <w:t xml:space="preserve"> &gt;</w:t>
      </w:r>
      <w:r w:rsidRPr="00194A43">
        <w:rPr>
          <w:rStyle w:val="aff4"/>
          <w:rFonts w:hint="cs"/>
          <w:vanish/>
          <w:rtl/>
        </w:rPr>
        <w:t>-</w:t>
      </w:r>
      <w:r w:rsidRPr="00194A43">
        <w:rPr>
          <w:rStyle w:val="aff4"/>
          <w:rFonts w:hint="cs"/>
          <w:rtl/>
        </w:rPr>
        <w:t>רש"י</w:t>
      </w:r>
      <w:r w:rsidRPr="00194A43">
        <w:rPr>
          <w:rStyle w:val="aff4"/>
          <w:rFonts w:hint="cs"/>
          <w:vanish/>
          <w:rtl/>
        </w:rPr>
        <w:t>-</w:t>
      </w:r>
      <w:r>
        <w:rPr>
          <w:rFonts w:hint="cs"/>
          <w:rtl/>
        </w:rPr>
        <w:t xml:space="preserve"> </w:t>
      </w:r>
      <w:r w:rsidRPr="000D251D">
        <w:rPr>
          <w:rStyle w:val="af2"/>
          <w:rFonts w:eastAsia="Guttman Hodes" w:hint="cs"/>
          <w:rtl/>
        </w:rPr>
        <w:t>(ד"ה פטור)</w:t>
      </w:r>
      <w:r w:rsidRPr="00194A43">
        <w:rPr>
          <w:rFonts w:hint="cs"/>
          <w:vanish/>
          <w:rtl/>
        </w:rPr>
        <w:t>=</w:t>
      </w:r>
      <w:r>
        <w:rPr>
          <w:rFonts w:hint="cs"/>
          <w:rtl/>
        </w:rPr>
        <w:t xml:space="preserve"> דכיון דדמי לבורר א"א להתיר לכתחילה, אך כיון דעיקר ברירה היא בנפה וכברה, א"כ בקנון ותמחוי הוא ברירה כלאחר יד וא"א לחייבו חטאת, אבל ביד ביאר </w:t>
      </w:r>
      <w:r w:rsidRPr="00194A43">
        <w:rPr>
          <w:rStyle w:val="aff4"/>
          <w:rFonts w:hint="cs"/>
          <w:vanish/>
          <w:rtl/>
        </w:rPr>
        <w:t>-</w:t>
      </w:r>
      <w:r w:rsidRPr="00194A43">
        <w:rPr>
          <w:rStyle w:val="aff4"/>
          <w:rFonts w:hint="cs"/>
          <w:rtl/>
        </w:rPr>
        <w:t>רש"י</w:t>
      </w:r>
      <w:r w:rsidRPr="00194A43">
        <w:rPr>
          <w:rStyle w:val="aff4"/>
          <w:rFonts w:hint="cs"/>
          <w:vanish/>
          <w:rtl/>
        </w:rPr>
        <w:t>-</w:t>
      </w:r>
      <w:r>
        <w:rPr>
          <w:rFonts w:hint="cs"/>
          <w:rtl/>
        </w:rPr>
        <w:t xml:space="preserve"> דלא דמי לבורר כלל ולכן מותר. </w:t>
      </w:r>
      <w:r w:rsidRPr="0040599E">
        <w:rPr>
          <w:rStyle w:val="af"/>
          <w:rFonts w:hint="cs"/>
          <w:rtl/>
        </w:rPr>
        <w:t xml:space="preserve">[ועי' במה שביאר </w:t>
      </w:r>
      <w:r w:rsidRPr="000904D8">
        <w:rPr>
          <w:rStyle w:val="aff9"/>
          <w:rFonts w:hint="cs"/>
          <w:vanish/>
          <w:rtl/>
        </w:rPr>
        <w:t>-</w:t>
      </w:r>
      <w:r w:rsidRPr="0040599E">
        <w:rPr>
          <w:rStyle w:val="aff9"/>
          <w:rFonts w:hint="cs"/>
          <w:rtl/>
        </w:rPr>
        <w:t>האגלי טל</w:t>
      </w:r>
      <w:r w:rsidRPr="000904D8">
        <w:rPr>
          <w:rStyle w:val="aff9"/>
          <w:rFonts w:hint="cs"/>
          <w:vanish/>
          <w:rtl/>
        </w:rPr>
        <w:t>-</w:t>
      </w:r>
      <w:r w:rsidRPr="0040599E">
        <w:rPr>
          <w:rStyle w:val="af"/>
          <w:rFonts w:hint="cs"/>
          <w:rtl/>
        </w:rPr>
        <w:t xml:space="preserve"> </w:t>
      </w:r>
      <w:r w:rsidRPr="0040599E">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Ref139276659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נה)</w:t>
      </w:r>
      <w:r>
        <w:rPr>
          <w:rStyle w:val="aff0"/>
          <w:rtl/>
        </w:rPr>
        <w:fldChar w:fldCharType="end"/>
      </w:r>
      <w:r w:rsidRPr="0040599E">
        <w:rPr>
          <w:rStyle w:val="af"/>
          <w:rFonts w:hint="cs"/>
          <w:rtl/>
        </w:rPr>
        <w:t xml:space="preserve"> דבברייתא איירי באוכל מתוך פסולת, וביאר </w:t>
      </w:r>
      <w:r w:rsidRPr="000904D8">
        <w:rPr>
          <w:rStyle w:val="af"/>
          <w:rFonts w:hint="cs"/>
          <w:vanish/>
          <w:rtl/>
        </w:rPr>
        <w:t>-</w:t>
      </w:r>
      <w:r w:rsidRPr="0040599E">
        <w:rPr>
          <w:rStyle w:val="aff9"/>
          <w:rFonts w:hint="cs"/>
          <w:rtl/>
        </w:rPr>
        <w:t>האגלי טל</w:t>
      </w:r>
      <w:r w:rsidRPr="000904D8">
        <w:rPr>
          <w:rStyle w:val="aff9"/>
          <w:rFonts w:hint="cs"/>
          <w:vanish/>
          <w:rtl/>
        </w:rPr>
        <w:t>-</w:t>
      </w:r>
      <w:r w:rsidRPr="0040599E">
        <w:rPr>
          <w:rStyle w:val="af"/>
          <w:rFonts w:hint="cs"/>
          <w:rtl/>
        </w:rPr>
        <w:t xml:space="preserve"> </w:t>
      </w:r>
      <w:r w:rsidRPr="000904D8">
        <w:rPr>
          <w:rStyle w:val="aff0"/>
          <w:rFonts w:hint="cs"/>
          <w:rtl/>
        </w:rPr>
        <w:t xml:space="preserve">(עי' אות </w:t>
      </w:r>
      <w:r w:rsidRPr="000904D8">
        <w:rPr>
          <w:rStyle w:val="aff0"/>
          <w:rtl/>
        </w:rPr>
        <w:fldChar w:fldCharType="begin"/>
      </w:r>
      <w:r w:rsidRPr="000904D8">
        <w:rPr>
          <w:rStyle w:val="aff0"/>
          <w:rtl/>
        </w:rPr>
        <w:instrText xml:space="preserve"> </w:instrText>
      </w:r>
      <w:r w:rsidRPr="000904D8">
        <w:rPr>
          <w:rStyle w:val="aff0"/>
          <w:rFonts w:hint="cs"/>
        </w:rPr>
        <w:instrText>REF</w:instrText>
      </w:r>
      <w:r w:rsidRPr="000904D8">
        <w:rPr>
          <w:rStyle w:val="aff0"/>
          <w:rFonts w:hint="cs"/>
          <w:rtl/>
        </w:rPr>
        <w:instrText xml:space="preserve"> _</w:instrText>
      </w:r>
      <w:r w:rsidRPr="000904D8">
        <w:rPr>
          <w:rStyle w:val="aff0"/>
          <w:rFonts w:hint="cs"/>
        </w:rPr>
        <w:instrText>Ref137984650 \r \h</w:instrText>
      </w:r>
      <w:r w:rsidRPr="000904D8">
        <w:rPr>
          <w:rStyle w:val="aff0"/>
          <w:rtl/>
        </w:rPr>
        <w:instrText xml:space="preserve"> </w:instrText>
      </w:r>
      <w:r w:rsidRPr="000904D8">
        <w:rPr>
          <w:rStyle w:val="aff0"/>
          <w:rtl/>
        </w:rPr>
      </w:r>
      <w:r w:rsidRPr="000904D8">
        <w:rPr>
          <w:rStyle w:val="aff0"/>
          <w:rtl/>
        </w:rPr>
        <w:fldChar w:fldCharType="separate"/>
      </w:r>
      <w:r w:rsidR="00D82181">
        <w:rPr>
          <w:rStyle w:val="aff0"/>
          <w:cs/>
        </w:rPr>
        <w:t>‎</w:t>
      </w:r>
      <w:r w:rsidR="00D82181">
        <w:rPr>
          <w:rStyle w:val="aff0"/>
          <w:rtl/>
        </w:rPr>
        <w:t>ב)</w:t>
      </w:r>
      <w:r w:rsidRPr="000904D8">
        <w:rPr>
          <w:rStyle w:val="aff0"/>
          <w:rtl/>
        </w:rPr>
        <w:fldChar w:fldCharType="end"/>
      </w:r>
      <w:r w:rsidRPr="0040599E">
        <w:rPr>
          <w:rStyle w:val="af"/>
          <w:rFonts w:hint="cs"/>
          <w:rtl/>
        </w:rPr>
        <w:t xml:space="preserve"> דכיון דדרך ברירה ביד היא בפסולת מתוך אוכל, לכן באוכל מתוך פסולת אי"ז ברירה כלל ומותר לכתחילה].</w:t>
      </w:r>
      <w:bookmarkEnd w:id="2659"/>
      <w:r w:rsidRPr="0040599E">
        <w:rPr>
          <w:rStyle w:val="af"/>
          <w:rFonts w:hint="cs"/>
          <w:rtl/>
        </w:rPr>
        <w:t xml:space="preserve"> </w:t>
      </w:r>
    </w:p>
    <w:p w14:paraId="053A030B" w14:textId="77777777" w:rsidR="008925FD" w:rsidRPr="00747170" w:rsidRDefault="008925FD" w:rsidP="00747170">
      <w:pPr>
        <w:pStyle w:val="a2"/>
        <w:rPr>
          <w:rtl/>
        </w:rPr>
      </w:pPr>
      <w:r w:rsidRPr="00747170">
        <w:rPr>
          <w:rtl/>
        </w:rPr>
        <w:t>פטור אבל אסור - מותר לכתחלה לא הוי - דדמי לברירה, וחייב חטאת לא הוי - דכלאחר יד הוא, דעיקר ברירה בנפה וכברה, אבל ביד לא דמי לבורר כלל.</w:t>
      </w:r>
    </w:p>
    <w:p w14:paraId="1D938155" w14:textId="6E0C7FA2" w:rsidR="008925FD" w:rsidRPr="00A84026" w:rsidRDefault="008925FD" w:rsidP="008925FD">
      <w:pPr>
        <w:pStyle w:val="1"/>
        <w:rPr>
          <w:rtl/>
        </w:rPr>
      </w:pPr>
      <w:bookmarkStart w:id="2660" w:name="_Toc139277086"/>
      <w:r>
        <w:rPr>
          <w:rFonts w:hint="cs"/>
          <w:rtl/>
        </w:rPr>
        <w:t>ביאורי האחרונים אי נח' הראשונים בחיוב חטאת קנון לאח"ז</w:t>
      </w:r>
      <w:bookmarkEnd w:id="2660"/>
      <w:r>
        <w:rPr>
          <w:rFonts w:hint="cs"/>
          <w:rtl/>
        </w:rPr>
        <w:t xml:space="preserve"> </w:t>
      </w:r>
    </w:p>
    <w:p w14:paraId="3ED56688" w14:textId="77777777" w:rsidR="008925FD" w:rsidRDefault="008925FD" w:rsidP="008925FD">
      <w:pPr>
        <w:pStyle w:val="afffff7"/>
        <w:rPr>
          <w:rtl/>
        </w:rPr>
      </w:pPr>
      <w:bookmarkStart w:id="2661" w:name="_Toc139277182"/>
      <w:bookmarkStart w:id="2662" w:name="_Toc163505885"/>
      <w:r>
        <w:rPr>
          <w:rtl/>
        </w:rPr>
        <w:t xml:space="preserve">אגלי טל בורר </w:t>
      </w:r>
      <w:r>
        <w:rPr>
          <w:rFonts w:hint="cs"/>
          <w:rtl/>
        </w:rPr>
        <w:t xml:space="preserve">סק"א </w:t>
      </w:r>
      <w:r>
        <w:rPr>
          <w:rtl/>
        </w:rPr>
        <w:t xml:space="preserve">אות </w:t>
      </w:r>
      <w:r>
        <w:rPr>
          <w:rFonts w:hint="cs"/>
          <w:rtl/>
        </w:rPr>
        <w:t>ב'</w:t>
      </w:r>
      <w:bookmarkEnd w:id="2661"/>
      <w:bookmarkEnd w:id="2662"/>
    </w:p>
    <w:p w14:paraId="1BCB4248" w14:textId="77777777" w:rsidR="008925FD" w:rsidRDefault="008925FD" w:rsidP="008925FD">
      <w:pPr>
        <w:pStyle w:val="a7"/>
        <w:rPr>
          <w:rtl/>
        </w:rPr>
      </w:pPr>
      <w:bookmarkStart w:id="2663" w:name="_Toc139277087"/>
      <w:r>
        <w:rPr>
          <w:rFonts w:hint="cs"/>
          <w:rtl/>
        </w:rPr>
        <w:t>בי' האגל"ט דלר"ח והרמב"ם בקנון ותמחוי לאח"ז פטור אבל לרמב"ן ומ"מ ור"ן חייב חטאת</w:t>
      </w:r>
      <w:bookmarkEnd w:id="2663"/>
    </w:p>
    <w:p w14:paraId="5FBA7396" w14:textId="762C412A" w:rsidR="008925FD" w:rsidRDefault="008925FD" w:rsidP="00BC7DC8">
      <w:pPr>
        <w:pStyle w:val="a3"/>
        <w:rPr>
          <w:rtl/>
        </w:rPr>
      </w:pPr>
      <w:bookmarkStart w:id="2664" w:name="_Ref137805899"/>
      <w:r>
        <w:rPr>
          <w:rFonts w:hint="cs"/>
          <w:rtl/>
        </w:rPr>
        <w:t xml:space="preserve">כתב </w:t>
      </w:r>
      <w:r w:rsidRPr="005305D6">
        <w:rPr>
          <w:rStyle w:val="aff4"/>
          <w:rFonts w:hint="cs"/>
          <w:vanish/>
          <w:rtl/>
        </w:rPr>
        <w:t>-</w:t>
      </w:r>
      <w:r w:rsidRPr="00B8766B">
        <w:rPr>
          <w:rStyle w:val="aff4"/>
          <w:rFonts w:hint="cs"/>
          <w:rtl/>
        </w:rPr>
        <w:t>ה</w:t>
      </w:r>
      <w:r w:rsidRPr="00990EB8">
        <w:rPr>
          <w:rStyle w:val="aff4"/>
          <w:rFonts w:hint="cs"/>
          <w:vanish/>
          <w:rtl/>
        </w:rPr>
        <w:t xml:space="preserve">&lt;. </w:t>
      </w:r>
      <w:r w:rsidRPr="00990EB8">
        <w:rPr>
          <w:rStyle w:val="aff4"/>
          <w:vanish/>
          <w:rtl/>
        </w:rPr>
        <w:fldChar w:fldCharType="begin"/>
      </w:r>
      <w:r w:rsidRPr="00990EB8">
        <w:rPr>
          <w:rStyle w:val="aff4"/>
          <w:vanish/>
          <w:rtl/>
        </w:rPr>
        <w:instrText xml:space="preserve"> </w:instrText>
      </w:r>
      <w:r w:rsidRPr="00990EB8">
        <w:rPr>
          <w:rStyle w:val="aff4"/>
          <w:rFonts w:hint="cs"/>
          <w:vanish/>
        </w:rPr>
        <w:instrText>REF</w:instrText>
      </w:r>
      <w:r w:rsidRPr="00990EB8">
        <w:rPr>
          <w:rStyle w:val="aff4"/>
          <w:rFonts w:hint="cs"/>
          <w:vanish/>
          <w:rtl/>
        </w:rPr>
        <w:instrText xml:space="preserve"> _</w:instrText>
      </w:r>
      <w:r w:rsidRPr="00990EB8">
        <w:rPr>
          <w:rStyle w:val="aff4"/>
          <w:rFonts w:hint="cs"/>
          <w:vanish/>
        </w:rPr>
        <w:instrText>Ref137805899 \r \h</w:instrText>
      </w:r>
      <w:r w:rsidRPr="00990EB8">
        <w:rPr>
          <w:rStyle w:val="aff4"/>
          <w:vanish/>
          <w:rtl/>
        </w:rPr>
        <w:instrText xml:space="preserve"> </w:instrText>
      </w:r>
      <w:r w:rsidRPr="00990EB8">
        <w:rPr>
          <w:rStyle w:val="aff4"/>
          <w:vanish/>
          <w:rtl/>
        </w:rPr>
      </w:r>
      <w:r w:rsidRPr="00990EB8">
        <w:rPr>
          <w:rStyle w:val="aff4"/>
          <w:vanish/>
          <w:rtl/>
        </w:rPr>
        <w:fldChar w:fldCharType="separate"/>
      </w:r>
      <w:r w:rsidR="00D82181">
        <w:rPr>
          <w:rStyle w:val="aff4"/>
          <w:vanish/>
          <w:cs/>
        </w:rPr>
        <w:t>‎</w:t>
      </w:r>
      <w:r w:rsidR="00D82181">
        <w:rPr>
          <w:rStyle w:val="aff4"/>
          <w:vanish/>
          <w:rtl/>
        </w:rPr>
        <w:t>מב)</w:t>
      </w:r>
      <w:r w:rsidRPr="00990EB8">
        <w:rPr>
          <w:rStyle w:val="aff4"/>
          <w:vanish/>
          <w:rtl/>
        </w:rPr>
        <w:fldChar w:fldCharType="end"/>
      </w:r>
      <w:r w:rsidRPr="00990EB8">
        <w:rPr>
          <w:rStyle w:val="aff4"/>
          <w:rFonts w:hint="cs"/>
          <w:vanish/>
          <w:rtl/>
        </w:rPr>
        <w:t xml:space="preserve"> &gt;</w:t>
      </w:r>
      <w:r w:rsidRPr="00B8766B">
        <w:rPr>
          <w:rStyle w:val="aff4"/>
          <w:rFonts w:hint="cs"/>
          <w:rtl/>
        </w:rPr>
        <w:t>אגלי טל</w:t>
      </w:r>
      <w:r w:rsidRPr="005305D6">
        <w:rPr>
          <w:rStyle w:val="aff4"/>
          <w:rFonts w:hint="cs"/>
          <w:vanish/>
          <w:rtl/>
        </w:rPr>
        <w:t>-</w:t>
      </w:r>
      <w:r>
        <w:rPr>
          <w:rFonts w:hint="cs"/>
          <w:rtl/>
        </w:rPr>
        <w:t xml:space="preserve"> </w:t>
      </w:r>
      <w:r w:rsidRPr="000D251D">
        <w:rPr>
          <w:rStyle w:val="af2"/>
          <w:rFonts w:eastAsia="Guttman Hodes" w:hint="cs"/>
          <w:rtl/>
        </w:rPr>
        <w:t>(בורר סק"א אות ב')</w:t>
      </w:r>
      <w:r w:rsidRPr="005305D6">
        <w:rPr>
          <w:rFonts w:hint="cs"/>
          <w:vanish/>
          <w:rtl/>
        </w:rPr>
        <w:t>=</w:t>
      </w:r>
      <w:r>
        <w:rPr>
          <w:rFonts w:hint="cs"/>
          <w:rtl/>
        </w:rPr>
        <w:t xml:space="preserve"> דלדעת </w:t>
      </w:r>
      <w:r w:rsidRPr="005305D6">
        <w:rPr>
          <w:rStyle w:val="aff4"/>
          <w:rFonts w:hint="cs"/>
          <w:vanish/>
          <w:rtl/>
        </w:rPr>
        <w:t>-</w:t>
      </w:r>
      <w:r>
        <w:rPr>
          <w:rStyle w:val="aff4"/>
          <w:rFonts w:hint="cs"/>
          <w:rtl/>
        </w:rPr>
        <w:t>ה</w:t>
      </w:r>
      <w:r w:rsidRPr="00A30B60">
        <w:rPr>
          <w:rStyle w:val="aff4"/>
          <w:rFonts w:hint="cs"/>
          <w:rtl/>
        </w:rPr>
        <w:t>ר"ח</w:t>
      </w:r>
      <w:r w:rsidRPr="003D30D2">
        <w:rPr>
          <w:rStyle w:val="aff4"/>
          <w:rFonts w:hint="cs"/>
          <w:vanish/>
          <w:rtl/>
        </w:rPr>
        <w:t>-</w:t>
      </w:r>
      <w:r>
        <w:rPr>
          <w:rFonts w:hint="cs"/>
          <w:rtl/>
        </w:rPr>
        <w:t xml:space="preserve"> </w:t>
      </w:r>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Ref139187404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w:t>
      </w:r>
      <w:r>
        <w:rPr>
          <w:rStyle w:val="af2"/>
          <w:rFonts w:eastAsia="Guttman Hodes"/>
          <w:rtl/>
        </w:rPr>
        <w:fldChar w:fldCharType="end"/>
      </w:r>
      <w:r>
        <w:rPr>
          <w:rFonts w:hint="cs"/>
          <w:rtl/>
        </w:rPr>
        <w:t xml:space="preserve"> </w:t>
      </w:r>
      <w:r w:rsidRPr="009B1F18">
        <w:rPr>
          <w:rStyle w:val="aff4"/>
          <w:rFonts w:hint="cs"/>
          <w:vanish/>
          <w:rtl/>
        </w:rPr>
        <w:t>-</w:t>
      </w:r>
      <w:r w:rsidRPr="000D251D">
        <w:rPr>
          <w:rStyle w:val="aff4"/>
          <w:rFonts w:hint="cs"/>
          <w:rtl/>
        </w:rPr>
        <w:t>והרמב"ם</w:t>
      </w:r>
      <w:r w:rsidRPr="009B1F18">
        <w:rPr>
          <w:rStyle w:val="aff4"/>
          <w:rFonts w:hint="cs"/>
          <w:vanish/>
          <w:rtl/>
        </w:rPr>
        <w:t>-</w:t>
      </w:r>
      <w:r w:rsidRPr="00D16D78">
        <w:rPr>
          <w:rFonts w:hint="cs"/>
          <w:rtl/>
        </w:rPr>
        <w:t xml:space="preserve"> </w:t>
      </w:r>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Ref139187813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כא)</w:t>
      </w:r>
      <w:r>
        <w:rPr>
          <w:rStyle w:val="af2"/>
          <w:rFonts w:eastAsia="Guttman Hodes"/>
          <w:rtl/>
        </w:rPr>
        <w:fldChar w:fldCharType="end"/>
      </w:r>
      <w:r>
        <w:rPr>
          <w:rFonts w:hint="cs"/>
          <w:rtl/>
        </w:rPr>
        <w:t xml:space="preserve"> </w:t>
      </w:r>
      <w:r w:rsidRPr="005305D6">
        <w:rPr>
          <w:rStyle w:val="aff4"/>
          <w:rFonts w:hint="cs"/>
          <w:vanish/>
          <w:rtl/>
        </w:rPr>
        <w:t>-</w:t>
      </w:r>
      <w:r>
        <w:rPr>
          <w:rFonts w:hint="cs"/>
          <w:rtl/>
        </w:rPr>
        <w:t xml:space="preserve"> בבורר ומניח לאח"ז יש חיוב חטאת רק בבורר ביד, אבל בקנון ותמחוי אין חיוב חטאת, אעפ"י דלענין לאלתר ביד מותר ובקנון אסור, אבל לדעת </w:t>
      </w:r>
      <w:r w:rsidRPr="005305D6">
        <w:rPr>
          <w:rStyle w:val="aff4"/>
          <w:rFonts w:hint="cs"/>
          <w:vanish/>
          <w:rtl/>
        </w:rPr>
        <w:t>-</w:t>
      </w:r>
      <w:r w:rsidRPr="00B8766B">
        <w:rPr>
          <w:rStyle w:val="aff4"/>
          <w:rFonts w:hint="cs"/>
          <w:rtl/>
        </w:rPr>
        <w:t>הרמב"ן</w:t>
      </w:r>
      <w:r w:rsidRPr="005305D6">
        <w:rPr>
          <w:rStyle w:val="aff4"/>
          <w:rFonts w:hint="cs"/>
          <w:vanish/>
          <w:rtl/>
        </w:rPr>
        <w:t>-</w:t>
      </w:r>
      <w:r>
        <w:rPr>
          <w:rFonts w:hint="cs"/>
          <w:rtl/>
        </w:rPr>
        <w:t xml:space="preserve"> </w:t>
      </w:r>
      <w:r w:rsidRPr="000D251D">
        <w:rPr>
          <w:rStyle w:val="af2"/>
          <w:rFonts w:eastAsia="Guttman Hodes" w:hint="cs"/>
          <w:rtl/>
        </w:rPr>
        <w:t xml:space="preserve">(עי' אות </w:t>
      </w:r>
      <w:r w:rsidRPr="000D251D">
        <w:rPr>
          <w:rStyle w:val="af2"/>
          <w:rFonts w:eastAsia="Guttman Hodes"/>
          <w:rtl/>
        </w:rPr>
        <w:fldChar w:fldCharType="begin"/>
      </w:r>
      <w:r w:rsidRPr="000D251D">
        <w:rPr>
          <w:rStyle w:val="af2"/>
          <w:rFonts w:eastAsia="Guttman Hodes"/>
          <w:rtl/>
        </w:rPr>
        <w:instrText xml:space="preserve"> </w:instrText>
      </w:r>
      <w:r w:rsidRPr="000D251D">
        <w:rPr>
          <w:rStyle w:val="af2"/>
          <w:rFonts w:eastAsia="Guttman Hodes" w:hint="cs"/>
        </w:rPr>
        <w:instrText>REF</w:instrText>
      </w:r>
      <w:r w:rsidRPr="000D251D">
        <w:rPr>
          <w:rStyle w:val="af2"/>
          <w:rFonts w:eastAsia="Guttman Hodes" w:hint="cs"/>
          <w:rtl/>
        </w:rPr>
        <w:instrText xml:space="preserve"> _</w:instrText>
      </w:r>
      <w:r w:rsidRPr="000D251D">
        <w:rPr>
          <w:rStyle w:val="af2"/>
          <w:rFonts w:eastAsia="Guttman Hodes" w:hint="cs"/>
        </w:rPr>
        <w:instrText>Ref138966402 \r \h</w:instrText>
      </w:r>
      <w:r w:rsidRPr="000D251D">
        <w:rPr>
          <w:rStyle w:val="af2"/>
          <w:rFonts w:eastAsia="Guttman Hodes"/>
          <w:rtl/>
        </w:rPr>
        <w:instrText xml:space="preserve"> </w:instrText>
      </w:r>
      <w:r w:rsidRPr="000D251D">
        <w:rPr>
          <w:rStyle w:val="af2"/>
          <w:rFonts w:eastAsia="Guttman Hodes"/>
          <w:rtl/>
        </w:rPr>
      </w:r>
      <w:r w:rsidRPr="000D251D">
        <w:rPr>
          <w:rStyle w:val="af2"/>
          <w:rFonts w:eastAsia="Guttman Hodes"/>
          <w:rtl/>
        </w:rPr>
        <w:fldChar w:fldCharType="separate"/>
      </w:r>
      <w:r w:rsidR="00D82181">
        <w:rPr>
          <w:rStyle w:val="af2"/>
          <w:rFonts w:eastAsia="Guttman Hodes"/>
          <w:cs/>
        </w:rPr>
        <w:t>‎</w:t>
      </w:r>
      <w:r w:rsidR="00D82181">
        <w:rPr>
          <w:rStyle w:val="af2"/>
          <w:rFonts w:eastAsia="Guttman Hodes"/>
          <w:rtl/>
        </w:rPr>
        <w:t>נד)</w:t>
      </w:r>
      <w:r w:rsidRPr="000D251D">
        <w:rPr>
          <w:rStyle w:val="af2"/>
          <w:rFonts w:eastAsia="Guttman Hodes"/>
          <w:rtl/>
        </w:rPr>
        <w:fldChar w:fldCharType="end"/>
      </w:r>
      <w:r>
        <w:rPr>
          <w:rFonts w:hint="cs"/>
          <w:rtl/>
        </w:rPr>
        <w:t xml:space="preserve"> </w:t>
      </w:r>
      <w:r w:rsidRPr="005305D6">
        <w:rPr>
          <w:rStyle w:val="aff4"/>
          <w:rFonts w:hint="cs"/>
          <w:vanish/>
          <w:rtl/>
        </w:rPr>
        <w:t>-</w:t>
      </w:r>
      <w:r w:rsidRPr="00B8766B">
        <w:rPr>
          <w:rStyle w:val="aff4"/>
          <w:rFonts w:hint="cs"/>
          <w:rtl/>
        </w:rPr>
        <w:t>והמ"מ</w:t>
      </w:r>
      <w:r w:rsidRPr="005305D6">
        <w:rPr>
          <w:rStyle w:val="aff4"/>
          <w:rFonts w:hint="cs"/>
          <w:vanish/>
          <w:rtl/>
        </w:rPr>
        <w:t>-</w:t>
      </w:r>
      <w:r>
        <w:rPr>
          <w:rFonts w:hint="cs"/>
          <w:rtl/>
        </w:rPr>
        <w:t xml:space="preserve"> </w:t>
      </w:r>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Ref139274617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פב)</w:t>
      </w:r>
      <w:r>
        <w:rPr>
          <w:rStyle w:val="af2"/>
          <w:rFonts w:eastAsia="Guttman Hodes"/>
          <w:rtl/>
        </w:rPr>
        <w:fldChar w:fldCharType="end"/>
      </w:r>
      <w:r>
        <w:rPr>
          <w:rFonts w:hint="cs"/>
          <w:rtl/>
        </w:rPr>
        <w:t xml:space="preserve"> </w:t>
      </w:r>
      <w:r w:rsidRPr="005305D6">
        <w:rPr>
          <w:rStyle w:val="aff4"/>
          <w:rFonts w:hint="cs"/>
          <w:vanish/>
          <w:rtl/>
        </w:rPr>
        <w:t>-</w:t>
      </w:r>
      <w:r w:rsidRPr="00B8766B">
        <w:rPr>
          <w:rStyle w:val="aff4"/>
          <w:rFonts w:hint="cs"/>
          <w:rtl/>
        </w:rPr>
        <w:t>והר"ן</w:t>
      </w:r>
      <w:r w:rsidRPr="005305D6">
        <w:rPr>
          <w:rStyle w:val="aff4"/>
          <w:rFonts w:hint="cs"/>
          <w:vanish/>
          <w:rtl/>
        </w:rPr>
        <w:t>-</w:t>
      </w:r>
      <w:r>
        <w:rPr>
          <w:rFonts w:hint="cs"/>
          <w:rtl/>
        </w:rPr>
        <w:t xml:space="preserve"> </w:t>
      </w:r>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Ref138430503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נג)</w:t>
      </w:r>
      <w:r>
        <w:rPr>
          <w:rStyle w:val="af2"/>
          <w:rFonts w:eastAsia="Guttman Hodes"/>
          <w:rtl/>
        </w:rPr>
        <w:fldChar w:fldCharType="end"/>
      </w:r>
      <w:r>
        <w:rPr>
          <w:rFonts w:hint="cs"/>
          <w:rtl/>
        </w:rPr>
        <w:t xml:space="preserve"> במניח לאח"ז אף בקנון חייב חטאת.</w:t>
      </w:r>
    </w:p>
    <w:p w14:paraId="0EF11A83" w14:textId="77777777" w:rsidR="008925FD" w:rsidRPr="00747170" w:rsidRDefault="008925FD" w:rsidP="00747170">
      <w:pPr>
        <w:pStyle w:val="a2"/>
        <w:rPr>
          <w:rtl/>
        </w:rPr>
      </w:pPr>
      <w:r w:rsidRPr="00747170">
        <w:rPr>
          <w:rtl/>
        </w:rPr>
        <w:t>[ומדברי רמב"ם [פ"ח הי"ב] שהולך ג"כ בשיטת ר"ח משמע מדבריו דבקנון ותמחוי אוכל מתוך פסולת אפי' לאכול לאח"ז אין בו חיוב חטאת. וגרוע לענין חיוב מביד אם בורר לאכול לאחר זמן אף דלענין איסור בלאכול לאלתר חמור מיני'. ועי' לקמן בביאור מלאכת מרקד ס"ק ה' אות ואו בהגהה שכתבנו טעם הרמב"ם בזה ומאין למד כן. ואין כן דעת הרמב"ן והרב המגיד והר"ן וס"ל דבקנון ותמחוי לאכול לאחר זמן חייב חטאת דלא קיל מביד]</w:t>
      </w:r>
      <w:r w:rsidRPr="00747170">
        <w:rPr>
          <w:rFonts w:hint="cs"/>
          <w:rtl/>
        </w:rPr>
        <w:t>.</w:t>
      </w:r>
    </w:p>
    <w:p w14:paraId="5292BEF9" w14:textId="77777777" w:rsidR="008925FD" w:rsidRDefault="008925FD" w:rsidP="008925FD">
      <w:pPr>
        <w:pStyle w:val="a7"/>
        <w:rPr>
          <w:rtl/>
        </w:rPr>
      </w:pPr>
      <w:bookmarkStart w:id="2665" w:name="_Toc139277183"/>
    </w:p>
    <w:p w14:paraId="62B536D0" w14:textId="77777777" w:rsidR="008925FD" w:rsidRDefault="008925FD" w:rsidP="008925FD">
      <w:pPr>
        <w:pStyle w:val="afffff7"/>
        <w:rPr>
          <w:rtl/>
        </w:rPr>
      </w:pPr>
      <w:bookmarkStart w:id="2666" w:name="_Toc163505886"/>
      <w:r>
        <w:rPr>
          <w:rtl/>
        </w:rPr>
        <w:lastRenderedPageBreak/>
        <w:t>משנה ברורה סי</w:t>
      </w:r>
      <w:r>
        <w:rPr>
          <w:rFonts w:hint="cs"/>
          <w:rtl/>
        </w:rPr>
        <w:t>'</w:t>
      </w:r>
      <w:r>
        <w:rPr>
          <w:rtl/>
        </w:rPr>
        <w:t xml:space="preserve"> שי</w:t>
      </w:r>
      <w:r>
        <w:rPr>
          <w:rFonts w:hint="cs"/>
          <w:rtl/>
        </w:rPr>
        <w:t>"</w:t>
      </w:r>
      <w:r>
        <w:rPr>
          <w:rtl/>
        </w:rPr>
        <w:t>ט</w:t>
      </w:r>
      <w:r>
        <w:rPr>
          <w:rFonts w:hint="cs"/>
          <w:rtl/>
        </w:rPr>
        <w:t xml:space="preserve"> סק"ט, י'</w:t>
      </w:r>
      <w:bookmarkEnd w:id="2665"/>
      <w:bookmarkEnd w:id="2666"/>
    </w:p>
    <w:p w14:paraId="5D04BA07" w14:textId="77777777" w:rsidR="008925FD" w:rsidRDefault="008925FD" w:rsidP="008925FD">
      <w:pPr>
        <w:pStyle w:val="a7"/>
        <w:rPr>
          <w:rtl/>
        </w:rPr>
      </w:pPr>
      <w:bookmarkStart w:id="2667" w:name="_Toc139277088"/>
      <w:r>
        <w:rPr>
          <w:rFonts w:hint="cs"/>
          <w:rtl/>
        </w:rPr>
        <w:t>בי' המשנ"ב ברמב"ם ובשו"ע דבכל כלי ואף בקנון חייב חטאת לאח"ז דדרך ברירה ולא אכילה</w:t>
      </w:r>
      <w:bookmarkEnd w:id="2667"/>
    </w:p>
    <w:p w14:paraId="19619109" w14:textId="6C4C797B" w:rsidR="008925FD" w:rsidRPr="007044B9" w:rsidRDefault="008925FD" w:rsidP="00BC7DC8">
      <w:pPr>
        <w:pStyle w:val="a3"/>
        <w:rPr>
          <w:rtl/>
        </w:rPr>
      </w:pPr>
      <w:bookmarkStart w:id="2668" w:name="_Ref138967445"/>
      <w:r>
        <w:rPr>
          <w:rFonts w:hint="cs"/>
          <w:rtl/>
        </w:rPr>
        <w:t xml:space="preserve">אבל </w:t>
      </w:r>
      <w:r w:rsidRPr="003D30D2">
        <w:rPr>
          <w:rStyle w:val="aff4"/>
          <w:rFonts w:hint="cs"/>
          <w:vanish/>
          <w:rtl/>
        </w:rPr>
        <w:t>-</w:t>
      </w:r>
      <w:r w:rsidRPr="00A30B60">
        <w:rPr>
          <w:rStyle w:val="aff4"/>
          <w:rFonts w:hint="cs"/>
          <w:rtl/>
        </w:rPr>
        <w:t>ה</w:t>
      </w:r>
      <w:r w:rsidRPr="003D30D2">
        <w:rPr>
          <w:rStyle w:val="aff4"/>
          <w:rFonts w:hint="cs"/>
          <w:vanish/>
          <w:rtl/>
        </w:rPr>
        <w:t xml:space="preserve">&lt;. </w:t>
      </w:r>
      <w:r w:rsidRPr="003D30D2">
        <w:rPr>
          <w:rStyle w:val="aff4"/>
          <w:vanish/>
          <w:rtl/>
        </w:rPr>
        <w:fldChar w:fldCharType="begin"/>
      </w:r>
      <w:r w:rsidRPr="003D30D2">
        <w:rPr>
          <w:rStyle w:val="aff4"/>
          <w:vanish/>
          <w:rtl/>
        </w:rPr>
        <w:instrText xml:space="preserve"> </w:instrText>
      </w:r>
      <w:r w:rsidRPr="003D30D2">
        <w:rPr>
          <w:rStyle w:val="aff4"/>
          <w:rFonts w:hint="cs"/>
          <w:vanish/>
        </w:rPr>
        <w:instrText>REF</w:instrText>
      </w:r>
      <w:r w:rsidRPr="003D30D2">
        <w:rPr>
          <w:rStyle w:val="aff4"/>
          <w:rFonts w:hint="cs"/>
          <w:vanish/>
          <w:rtl/>
        </w:rPr>
        <w:instrText xml:space="preserve"> _</w:instrText>
      </w:r>
      <w:r w:rsidRPr="003D30D2">
        <w:rPr>
          <w:rStyle w:val="aff4"/>
          <w:rFonts w:hint="cs"/>
          <w:vanish/>
        </w:rPr>
        <w:instrText>Ref138967445 \r \h</w:instrText>
      </w:r>
      <w:r w:rsidRPr="003D30D2">
        <w:rPr>
          <w:rStyle w:val="aff4"/>
          <w:vanish/>
          <w:rtl/>
        </w:rPr>
        <w:instrText xml:space="preserve"> </w:instrText>
      </w:r>
      <w:r w:rsidRPr="003D30D2">
        <w:rPr>
          <w:rStyle w:val="aff4"/>
          <w:vanish/>
          <w:rtl/>
        </w:rPr>
      </w:r>
      <w:r w:rsidRPr="003D30D2">
        <w:rPr>
          <w:rStyle w:val="aff4"/>
          <w:vanish/>
          <w:rtl/>
        </w:rPr>
        <w:fldChar w:fldCharType="separate"/>
      </w:r>
      <w:r w:rsidR="00D82181">
        <w:rPr>
          <w:rStyle w:val="aff4"/>
          <w:vanish/>
          <w:cs/>
        </w:rPr>
        <w:t>‎</w:t>
      </w:r>
      <w:r w:rsidR="00D82181">
        <w:rPr>
          <w:rStyle w:val="aff4"/>
          <w:vanish/>
          <w:rtl/>
        </w:rPr>
        <w:t>מג)</w:t>
      </w:r>
      <w:r w:rsidRPr="003D30D2">
        <w:rPr>
          <w:rStyle w:val="aff4"/>
          <w:vanish/>
          <w:rtl/>
        </w:rPr>
        <w:fldChar w:fldCharType="end"/>
      </w:r>
      <w:r w:rsidRPr="003D30D2">
        <w:rPr>
          <w:rStyle w:val="aff4"/>
          <w:rFonts w:hint="cs"/>
          <w:vanish/>
          <w:rtl/>
        </w:rPr>
        <w:t xml:space="preserve"> &gt;</w:t>
      </w:r>
      <w:r w:rsidRPr="00A30B60">
        <w:rPr>
          <w:rStyle w:val="aff4"/>
          <w:rFonts w:hint="cs"/>
          <w:rtl/>
        </w:rPr>
        <w:t>משנה ברורה</w:t>
      </w:r>
      <w:r w:rsidRPr="003D30D2">
        <w:rPr>
          <w:rStyle w:val="aff4"/>
          <w:rFonts w:hint="cs"/>
          <w:vanish/>
          <w:rtl/>
        </w:rPr>
        <w:t>-</w:t>
      </w:r>
      <w:r>
        <w:rPr>
          <w:rFonts w:hint="cs"/>
          <w:rtl/>
        </w:rPr>
        <w:t xml:space="preserve"> </w:t>
      </w:r>
      <w:r w:rsidRPr="000D251D">
        <w:rPr>
          <w:rStyle w:val="af2"/>
          <w:rFonts w:eastAsia="Guttman Hodes" w:hint="cs"/>
          <w:rtl/>
        </w:rPr>
        <w:t>(סי' שי"ט סק"ט, י')</w:t>
      </w:r>
      <w:r w:rsidRPr="003D30D2">
        <w:rPr>
          <w:rFonts w:hint="cs"/>
          <w:vanish/>
          <w:rtl/>
        </w:rPr>
        <w:t>=</w:t>
      </w:r>
      <w:r>
        <w:rPr>
          <w:rFonts w:hint="cs"/>
          <w:rtl/>
        </w:rPr>
        <w:t xml:space="preserve"> כתב על דברי </w:t>
      </w:r>
      <w:r w:rsidRPr="003D30D2">
        <w:rPr>
          <w:rStyle w:val="aff4"/>
          <w:rFonts w:hint="cs"/>
          <w:vanish/>
          <w:rtl/>
        </w:rPr>
        <w:t>-</w:t>
      </w:r>
      <w:r w:rsidRPr="00A30B60">
        <w:rPr>
          <w:rStyle w:val="aff4"/>
          <w:rFonts w:hint="cs"/>
          <w:rtl/>
        </w:rPr>
        <w:t>הרמב"ם</w:t>
      </w:r>
      <w:r w:rsidRPr="00D81F9E">
        <w:rPr>
          <w:rStyle w:val="aff4"/>
          <w:rFonts w:hint="cs"/>
          <w:rtl/>
        </w:rPr>
        <w:t xml:space="preserve"> </w:t>
      </w:r>
      <w:r w:rsidRPr="00A30B60">
        <w:rPr>
          <w:rStyle w:val="aff4"/>
          <w:rFonts w:hint="cs"/>
          <w:rtl/>
        </w:rPr>
        <w:t>והשו"ע</w:t>
      </w:r>
      <w:r w:rsidRPr="003D30D2">
        <w:rPr>
          <w:rStyle w:val="aff4"/>
          <w:rFonts w:hint="cs"/>
          <w:vanish/>
          <w:rtl/>
        </w:rPr>
        <w:t>-</w:t>
      </w:r>
      <w:r>
        <w:rPr>
          <w:rFonts w:hint="cs"/>
          <w:rtl/>
        </w:rPr>
        <w:t xml:space="preserve"> </w:t>
      </w:r>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Ref139187813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כא)</w:t>
      </w:r>
      <w:r>
        <w:rPr>
          <w:rStyle w:val="af2"/>
          <w:rFonts w:eastAsia="Guttman Hodes"/>
          <w:rtl/>
        </w:rPr>
        <w:fldChar w:fldCharType="end"/>
      </w:r>
      <w:r>
        <w:rPr>
          <w:rFonts w:hint="cs"/>
          <w:rtl/>
        </w:rPr>
        <w:t xml:space="preserve"> דלאחר זמן חייב בבורר ביד, דה"ה בבורר בקנון ותמחוי, וביאר </w:t>
      </w:r>
      <w:r w:rsidRPr="003D30D2">
        <w:rPr>
          <w:rStyle w:val="aff4"/>
          <w:rFonts w:hint="cs"/>
          <w:vanish/>
          <w:rtl/>
        </w:rPr>
        <w:t>-</w:t>
      </w:r>
      <w:r w:rsidRPr="00A30B60">
        <w:rPr>
          <w:rStyle w:val="aff4"/>
          <w:rFonts w:hint="cs"/>
          <w:rtl/>
        </w:rPr>
        <w:t>המשנה ברורה</w:t>
      </w:r>
      <w:r w:rsidRPr="003D30D2">
        <w:rPr>
          <w:rStyle w:val="aff4"/>
          <w:rFonts w:hint="cs"/>
          <w:vanish/>
          <w:rtl/>
        </w:rPr>
        <w:t>-</w:t>
      </w:r>
      <w:r>
        <w:rPr>
          <w:rFonts w:hint="cs"/>
          <w:rtl/>
        </w:rPr>
        <w:t xml:space="preserve"> דלאלתר הוא דרך אכילה ולא דרך ברירה, ורוב האופנים בברירה הם לאחר זמן, ובזה דרך ברירה היא אף בידו, וכ"ש בכלי כל שהוא, אף שאינו נפה וכברה, וכתב </w:t>
      </w:r>
      <w:r w:rsidRPr="003D30D2">
        <w:rPr>
          <w:rStyle w:val="aff4"/>
          <w:rFonts w:hint="cs"/>
          <w:vanish/>
          <w:rtl/>
        </w:rPr>
        <w:t>-</w:t>
      </w:r>
      <w:r w:rsidRPr="00A30B60">
        <w:rPr>
          <w:rStyle w:val="aff4"/>
          <w:rFonts w:hint="cs"/>
          <w:rtl/>
        </w:rPr>
        <w:t>המשנה ברורה</w:t>
      </w:r>
      <w:r w:rsidRPr="003D30D2">
        <w:rPr>
          <w:rStyle w:val="aff4"/>
          <w:rFonts w:hint="cs"/>
          <w:vanish/>
          <w:rtl/>
        </w:rPr>
        <w:t>-</w:t>
      </w:r>
      <w:r>
        <w:rPr>
          <w:rFonts w:hint="cs"/>
          <w:rtl/>
        </w:rPr>
        <w:t xml:space="preserve"> דרק בלאלתר יש חילוק בין קנון ותמחוי לנפה וכברה, דבהם ניכר דעושה לשם ברירה ולכן חייב אף לאלתר.</w:t>
      </w:r>
      <w:bookmarkEnd w:id="2668"/>
    </w:p>
    <w:p w14:paraId="4F05CEB9" w14:textId="77777777" w:rsidR="008925FD" w:rsidRPr="00747170" w:rsidRDefault="008925FD" w:rsidP="00747170">
      <w:pPr>
        <w:pStyle w:val="a2"/>
        <w:rPr>
          <w:rtl/>
        </w:rPr>
      </w:pPr>
      <w:r w:rsidRPr="00747170">
        <w:rPr>
          <w:rtl/>
        </w:rPr>
        <w:t>(ט) אוכל מתוך הפסולת - דפסולת מתוך האוכל אפי' לאלתר חייב וכדלקמיה ומש"כ בידו ה"ה בקנון ותמחוי:</w:t>
      </w:r>
    </w:p>
    <w:p w14:paraId="2CD881D9" w14:textId="77777777" w:rsidR="008925FD" w:rsidRPr="00EB6547" w:rsidRDefault="008925FD" w:rsidP="00747170">
      <w:pPr>
        <w:pStyle w:val="afffff5"/>
      </w:pPr>
      <w:r w:rsidRPr="00EB6547">
        <w:rPr>
          <w:rtl/>
        </w:rPr>
        <w:t>(י) נעשה וכו' - דרוב עניני ברירה הוא אלאחר זמן [דלאלתר דרך מאכל הוא לברור האוכל מן הפסולת בעת האכילה] ואז הדרך לברור בכל דבר אפילו בידו וכ"ש באיזה כלי אלא דאם הוא בורר בנפה וכברה או שהוא בורר הפסולת מן האוכל דמינכר מלתא דלשם ברירה הוא אפי' לאלתר חייב:</w:t>
      </w:r>
    </w:p>
    <w:p w14:paraId="08FA383A" w14:textId="77777777" w:rsidR="008925FD" w:rsidRDefault="008925FD" w:rsidP="008925FD">
      <w:pPr>
        <w:pStyle w:val="afffff7"/>
        <w:rPr>
          <w:rtl/>
        </w:rPr>
      </w:pPr>
      <w:bookmarkStart w:id="2669" w:name="_Toc139277184"/>
      <w:bookmarkStart w:id="2670" w:name="_Hlk138961464"/>
      <w:bookmarkStart w:id="2671" w:name="_Toc163505887"/>
      <w:bookmarkEnd w:id="2664"/>
      <w:r>
        <w:rPr>
          <w:rFonts w:hint="cs"/>
          <w:rtl/>
        </w:rPr>
        <w:t>תהלה לדוד סי' שי"ט י"ז</w:t>
      </w:r>
      <w:bookmarkEnd w:id="2669"/>
      <w:bookmarkEnd w:id="2671"/>
    </w:p>
    <w:p w14:paraId="024BCD1C" w14:textId="77777777" w:rsidR="008925FD" w:rsidRPr="00976A87" w:rsidRDefault="008925FD" w:rsidP="008925FD">
      <w:pPr>
        <w:pStyle w:val="a7"/>
        <w:rPr>
          <w:rtl/>
        </w:rPr>
      </w:pPr>
      <w:bookmarkStart w:id="2672" w:name="_Toc139277089"/>
      <w:r>
        <w:rPr>
          <w:rFonts w:hint="cs"/>
          <w:rtl/>
        </w:rPr>
        <w:t>בי' התהל"ד דאפש"ל דקנון לאח"ז גרע מיד כיון דיד הוא דרך ברירה וקנון לא ולכן לאח"ז פטור</w:t>
      </w:r>
      <w:bookmarkEnd w:id="2672"/>
    </w:p>
    <w:p w14:paraId="31085BF4" w14:textId="65A8FFB0" w:rsidR="008925FD" w:rsidRDefault="008925FD" w:rsidP="00BC7DC8">
      <w:pPr>
        <w:pStyle w:val="a3"/>
        <w:rPr>
          <w:rtl/>
        </w:rPr>
      </w:pPr>
      <w:bookmarkStart w:id="2673" w:name="_Ref138960643"/>
      <w:r>
        <w:rPr>
          <w:rFonts w:hint="cs"/>
          <w:rtl/>
        </w:rPr>
        <w:t xml:space="preserve">ועי' במה שכתב </w:t>
      </w:r>
      <w:r w:rsidRPr="003D30D2">
        <w:rPr>
          <w:rStyle w:val="aff4"/>
          <w:rFonts w:hint="cs"/>
          <w:vanish/>
          <w:rtl/>
        </w:rPr>
        <w:t>-</w:t>
      </w:r>
      <w:r w:rsidRPr="00A30B60">
        <w:rPr>
          <w:rStyle w:val="aff4"/>
          <w:rFonts w:hint="cs"/>
          <w:rtl/>
        </w:rPr>
        <w:t>ה</w:t>
      </w:r>
      <w:r w:rsidRPr="003D30D2">
        <w:rPr>
          <w:rStyle w:val="aff4"/>
          <w:rFonts w:hint="cs"/>
          <w:vanish/>
          <w:rtl/>
        </w:rPr>
        <w:t xml:space="preserve">&lt;. </w:t>
      </w:r>
      <w:r w:rsidRPr="003D30D2">
        <w:rPr>
          <w:rStyle w:val="aff4"/>
          <w:vanish/>
          <w:rtl/>
        </w:rPr>
        <w:fldChar w:fldCharType="begin"/>
      </w:r>
      <w:r w:rsidRPr="003D30D2">
        <w:rPr>
          <w:rStyle w:val="aff4"/>
          <w:vanish/>
          <w:rtl/>
        </w:rPr>
        <w:instrText xml:space="preserve"> </w:instrText>
      </w:r>
      <w:r w:rsidRPr="003D30D2">
        <w:rPr>
          <w:rStyle w:val="aff4"/>
          <w:rFonts w:hint="cs"/>
          <w:vanish/>
        </w:rPr>
        <w:instrText>REF</w:instrText>
      </w:r>
      <w:r w:rsidRPr="003D30D2">
        <w:rPr>
          <w:rStyle w:val="aff4"/>
          <w:rFonts w:hint="cs"/>
          <w:vanish/>
          <w:rtl/>
        </w:rPr>
        <w:instrText xml:space="preserve"> _</w:instrText>
      </w:r>
      <w:r w:rsidRPr="003D30D2">
        <w:rPr>
          <w:rStyle w:val="aff4"/>
          <w:rFonts w:hint="cs"/>
          <w:vanish/>
        </w:rPr>
        <w:instrText>Ref138960643 \r \h</w:instrText>
      </w:r>
      <w:r w:rsidRPr="003D30D2">
        <w:rPr>
          <w:rStyle w:val="aff4"/>
          <w:vanish/>
          <w:rtl/>
        </w:rPr>
        <w:instrText xml:space="preserve"> </w:instrText>
      </w:r>
      <w:r w:rsidRPr="003D30D2">
        <w:rPr>
          <w:rStyle w:val="aff4"/>
          <w:vanish/>
          <w:rtl/>
        </w:rPr>
      </w:r>
      <w:r w:rsidRPr="003D30D2">
        <w:rPr>
          <w:rStyle w:val="aff4"/>
          <w:vanish/>
          <w:rtl/>
        </w:rPr>
        <w:fldChar w:fldCharType="separate"/>
      </w:r>
      <w:r w:rsidR="00D82181">
        <w:rPr>
          <w:rStyle w:val="aff4"/>
          <w:vanish/>
          <w:cs/>
        </w:rPr>
        <w:t>‎</w:t>
      </w:r>
      <w:r w:rsidR="00D82181">
        <w:rPr>
          <w:rStyle w:val="aff4"/>
          <w:vanish/>
          <w:rtl/>
        </w:rPr>
        <w:t>מד)</w:t>
      </w:r>
      <w:r w:rsidRPr="003D30D2">
        <w:rPr>
          <w:rStyle w:val="aff4"/>
          <w:vanish/>
          <w:rtl/>
        </w:rPr>
        <w:fldChar w:fldCharType="end"/>
      </w:r>
      <w:r w:rsidRPr="003D30D2">
        <w:rPr>
          <w:rStyle w:val="aff4"/>
          <w:rFonts w:hint="cs"/>
          <w:vanish/>
          <w:rtl/>
        </w:rPr>
        <w:t xml:space="preserve"> &gt;</w:t>
      </w:r>
      <w:r w:rsidRPr="00A30B60">
        <w:rPr>
          <w:rStyle w:val="aff4"/>
          <w:rFonts w:hint="cs"/>
          <w:rtl/>
        </w:rPr>
        <w:t>תהלה לדוד</w:t>
      </w:r>
      <w:r w:rsidRPr="003D30D2">
        <w:rPr>
          <w:rStyle w:val="aff4"/>
          <w:rFonts w:hint="cs"/>
          <w:vanish/>
          <w:rtl/>
        </w:rPr>
        <w:t>-</w:t>
      </w:r>
      <w:r>
        <w:rPr>
          <w:rFonts w:hint="cs"/>
          <w:rtl/>
        </w:rPr>
        <w:t xml:space="preserve"> </w:t>
      </w:r>
      <w:r w:rsidRPr="000D251D">
        <w:rPr>
          <w:rStyle w:val="af2"/>
          <w:rFonts w:eastAsia="Guttman Hodes" w:hint="cs"/>
          <w:rtl/>
        </w:rPr>
        <w:t>(סי' שי"ט י"ז)</w:t>
      </w:r>
      <w:r w:rsidRPr="003D30D2">
        <w:rPr>
          <w:rFonts w:hint="cs"/>
          <w:vanish/>
          <w:rtl/>
        </w:rPr>
        <w:t>=</w:t>
      </w:r>
      <w:r>
        <w:rPr>
          <w:rFonts w:hint="cs"/>
          <w:rtl/>
        </w:rPr>
        <w:t xml:space="preserve"> דבפשטות כיון דביד לאחר זמן חייב חטאת, א"כ ה"ה בקנון ותמחוי, אך כתב </w:t>
      </w:r>
      <w:r w:rsidRPr="003D30D2">
        <w:rPr>
          <w:rStyle w:val="aff4"/>
          <w:rFonts w:hint="cs"/>
          <w:vanish/>
          <w:rtl/>
        </w:rPr>
        <w:t>-</w:t>
      </w:r>
      <w:r w:rsidRPr="00A30B60">
        <w:rPr>
          <w:rStyle w:val="aff4"/>
          <w:rFonts w:hint="cs"/>
          <w:rtl/>
        </w:rPr>
        <w:t>התהלה לדוד</w:t>
      </w:r>
      <w:r w:rsidRPr="003D30D2">
        <w:rPr>
          <w:rStyle w:val="aff4"/>
          <w:rFonts w:hint="cs"/>
          <w:vanish/>
          <w:rtl/>
        </w:rPr>
        <w:t>-</w:t>
      </w:r>
      <w:r>
        <w:rPr>
          <w:rFonts w:hint="cs"/>
          <w:rtl/>
        </w:rPr>
        <w:t xml:space="preserve"> דאפש"ל דאף דלענין לאלתר ביד קל יותר מקנון ותמחוי דמותר לגמרי, היינו כיון דאי"ז ברירה כלל, כדכתב </w:t>
      </w:r>
      <w:r w:rsidRPr="003D30D2">
        <w:rPr>
          <w:rStyle w:val="aff4"/>
          <w:rFonts w:hint="cs"/>
          <w:vanish/>
          <w:rtl/>
        </w:rPr>
        <w:t>-</w:t>
      </w:r>
      <w:r w:rsidRPr="00A30B60">
        <w:rPr>
          <w:rStyle w:val="aff4"/>
          <w:rFonts w:hint="cs"/>
          <w:rtl/>
        </w:rPr>
        <w:t>רש"י</w:t>
      </w:r>
      <w:r w:rsidRPr="003D30D2">
        <w:rPr>
          <w:rStyle w:val="aff4"/>
          <w:rFonts w:hint="cs"/>
          <w:vanish/>
          <w:rtl/>
        </w:rPr>
        <w:t>-</w:t>
      </w:r>
      <w:r>
        <w:rPr>
          <w:rFonts w:hint="cs"/>
          <w:rtl/>
        </w:rPr>
        <w:t xml:space="preserve"> </w:t>
      </w:r>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Ref138754152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מו)</w:t>
      </w:r>
      <w:r>
        <w:rPr>
          <w:rStyle w:val="af2"/>
          <w:rFonts w:eastAsia="Guttman Hodes"/>
          <w:rtl/>
        </w:rPr>
        <w:fldChar w:fldCharType="end"/>
      </w:r>
      <w:r>
        <w:rPr>
          <w:rFonts w:hint="cs"/>
          <w:rtl/>
        </w:rPr>
        <w:t>, אבל לענין לאחר זמן אפש"ל דקנון גרע מביד, כיון דדרך ברירה ביד והיא בכלל האב דבורר או דהוי תולדה, כמו דמפרק ביד הוא תולדה דדש, משא"כ בקנון ותמחוי דהוא בורר כלאחר יד ואין בו חיוב חטאת, דהא עיקר ברירה היא בנפה וכברה.</w:t>
      </w:r>
      <w:bookmarkEnd w:id="2673"/>
    </w:p>
    <w:p w14:paraId="28BC5CA3" w14:textId="77777777" w:rsidR="008925FD" w:rsidRPr="00747170" w:rsidRDefault="008925FD" w:rsidP="00747170">
      <w:pPr>
        <w:pStyle w:val="a2"/>
        <w:rPr>
          <w:rtl/>
        </w:rPr>
      </w:pPr>
      <w:r w:rsidRPr="00747170">
        <w:rPr>
          <w:rFonts w:hint="cs"/>
          <w:rtl/>
        </w:rPr>
        <w:t>ולבו ביום לכאורה פשיטא דבקנון ותמחוי חייב חטאת דהא אפילו ביד חייב חטאת כמ"ש בס"ב. ואפש"ל דאף דלענין לאלתר ביד עדיף מקו"ת וכמ"ש רש"י ז"ל בדע"ד ע"א שאינו ברירה כלל והיינו כמ"ש הט"ז סק"א דאל"כ איך אפשר לאכול ולכן לאלתר ביד מותר ובקו"ת אסור. אבל מ"מ לענין לבו ביום ביד גרע מקו"ת שדרך ברירה ביד או דהוי תולדה דבוררר בכלי כמו שהמפרק ביד הוא תולדות דש בכלי עק"א סי' תק"ו סק"א. אבל בקו"ת אף לבו ביום אינו חייב חטאת דכלא"י הוא דעיקר ברירה בנפה וכברה כמ"ש רש"י ז"ל שם.</w:t>
      </w:r>
    </w:p>
    <w:p w14:paraId="5D3A9E26" w14:textId="77777777" w:rsidR="008925FD" w:rsidRDefault="008925FD" w:rsidP="008925FD">
      <w:pPr>
        <w:pStyle w:val="afffff7"/>
        <w:rPr>
          <w:rtl/>
        </w:rPr>
      </w:pPr>
      <w:bookmarkStart w:id="2674" w:name="_Toc139277185"/>
      <w:bookmarkStart w:id="2675" w:name="_Toc163505888"/>
      <w:r>
        <w:rPr>
          <w:rtl/>
        </w:rPr>
        <w:t>צל"ח ביצה י"ד ע"ב</w:t>
      </w:r>
      <w:r>
        <w:rPr>
          <w:rFonts w:hint="cs"/>
          <w:rtl/>
        </w:rPr>
        <w:t xml:space="preserve"> ד"ה ואני אומר</w:t>
      </w:r>
      <w:bookmarkEnd w:id="2674"/>
      <w:bookmarkEnd w:id="2675"/>
    </w:p>
    <w:p w14:paraId="2CD1F5D7" w14:textId="1FC84B78" w:rsidR="008925FD" w:rsidRDefault="008925FD" w:rsidP="008925FD">
      <w:pPr>
        <w:pStyle w:val="a7"/>
        <w:rPr>
          <w:rtl/>
        </w:rPr>
      </w:pPr>
      <w:bookmarkStart w:id="2676" w:name="_Toc139277090"/>
      <w:bookmarkEnd w:id="2670"/>
      <w:r>
        <w:rPr>
          <w:rFonts w:hint="cs"/>
          <w:rtl/>
        </w:rPr>
        <w:t>בי' הצל"ח ברשב"א דאין כל חומרא בקנון יותר מביד ובפסולת מתוך אוכל לאח"ז חייב אף בקנון</w:t>
      </w:r>
      <w:bookmarkEnd w:id="2676"/>
    </w:p>
    <w:p w14:paraId="0DD11160" w14:textId="4C46F282" w:rsidR="008925FD" w:rsidRPr="00A572CA" w:rsidRDefault="008925FD" w:rsidP="00BC7DC8">
      <w:pPr>
        <w:pStyle w:val="a3"/>
        <w:rPr>
          <w:rtl/>
        </w:rPr>
      </w:pPr>
      <w:bookmarkStart w:id="2677" w:name="_Ref138966403"/>
      <w:r>
        <w:rPr>
          <w:rFonts w:hint="cs"/>
          <w:rtl/>
        </w:rPr>
        <w:t xml:space="preserve">וע"ע בדברי </w:t>
      </w:r>
      <w:r w:rsidRPr="003D30D2">
        <w:rPr>
          <w:rStyle w:val="aff4"/>
          <w:rFonts w:hint="cs"/>
          <w:vanish/>
          <w:rtl/>
        </w:rPr>
        <w:t>-</w:t>
      </w:r>
      <w:r w:rsidRPr="00A30B60">
        <w:rPr>
          <w:rStyle w:val="aff4"/>
          <w:rFonts w:hint="cs"/>
          <w:rtl/>
        </w:rPr>
        <w:t>ה</w:t>
      </w:r>
      <w:r w:rsidRPr="003D30D2">
        <w:rPr>
          <w:rStyle w:val="aff4"/>
          <w:rFonts w:hint="cs"/>
          <w:vanish/>
          <w:rtl/>
        </w:rPr>
        <w:t xml:space="preserve">&lt;. </w:t>
      </w:r>
      <w:r w:rsidRPr="003D30D2">
        <w:rPr>
          <w:rStyle w:val="aff4"/>
          <w:vanish/>
          <w:rtl/>
        </w:rPr>
        <w:fldChar w:fldCharType="begin"/>
      </w:r>
      <w:r w:rsidRPr="003D30D2">
        <w:rPr>
          <w:rStyle w:val="aff4"/>
          <w:vanish/>
          <w:rtl/>
        </w:rPr>
        <w:instrText xml:space="preserve"> </w:instrText>
      </w:r>
      <w:r w:rsidRPr="003D30D2">
        <w:rPr>
          <w:rStyle w:val="aff4"/>
          <w:rFonts w:hint="cs"/>
          <w:vanish/>
        </w:rPr>
        <w:instrText>REF</w:instrText>
      </w:r>
      <w:r w:rsidRPr="003D30D2">
        <w:rPr>
          <w:rStyle w:val="aff4"/>
          <w:rFonts w:hint="cs"/>
          <w:vanish/>
          <w:rtl/>
        </w:rPr>
        <w:instrText xml:space="preserve"> _</w:instrText>
      </w:r>
      <w:r w:rsidRPr="003D30D2">
        <w:rPr>
          <w:rStyle w:val="aff4"/>
          <w:rFonts w:hint="cs"/>
          <w:vanish/>
        </w:rPr>
        <w:instrText>Ref138966403 \r \h</w:instrText>
      </w:r>
      <w:r w:rsidRPr="003D30D2">
        <w:rPr>
          <w:rStyle w:val="aff4"/>
          <w:vanish/>
          <w:rtl/>
        </w:rPr>
        <w:instrText xml:space="preserve"> </w:instrText>
      </w:r>
      <w:r w:rsidRPr="003D30D2">
        <w:rPr>
          <w:rStyle w:val="aff4"/>
          <w:vanish/>
          <w:rtl/>
        </w:rPr>
      </w:r>
      <w:r w:rsidRPr="003D30D2">
        <w:rPr>
          <w:rStyle w:val="aff4"/>
          <w:vanish/>
          <w:rtl/>
        </w:rPr>
        <w:fldChar w:fldCharType="separate"/>
      </w:r>
      <w:r w:rsidR="00D82181">
        <w:rPr>
          <w:rStyle w:val="aff4"/>
          <w:vanish/>
          <w:cs/>
        </w:rPr>
        <w:t>‎</w:t>
      </w:r>
      <w:r w:rsidR="00D82181">
        <w:rPr>
          <w:rStyle w:val="aff4"/>
          <w:vanish/>
          <w:rtl/>
        </w:rPr>
        <w:t>מה)</w:t>
      </w:r>
      <w:r w:rsidRPr="003D30D2">
        <w:rPr>
          <w:rStyle w:val="aff4"/>
          <w:vanish/>
          <w:rtl/>
        </w:rPr>
        <w:fldChar w:fldCharType="end"/>
      </w:r>
      <w:r w:rsidRPr="003D30D2">
        <w:rPr>
          <w:rStyle w:val="aff4"/>
          <w:rFonts w:hint="cs"/>
          <w:vanish/>
          <w:rtl/>
        </w:rPr>
        <w:t xml:space="preserve"> &gt;</w:t>
      </w:r>
      <w:r w:rsidRPr="00A30B60">
        <w:rPr>
          <w:rStyle w:val="aff4"/>
          <w:rtl/>
        </w:rPr>
        <w:t xml:space="preserve">צל"ח </w:t>
      </w:r>
      <w:r w:rsidRPr="00A30B60">
        <w:rPr>
          <w:rStyle w:val="aff4"/>
          <w:rFonts w:hint="cs"/>
          <w:rtl/>
        </w:rPr>
        <w:t>ב</w:t>
      </w:r>
      <w:r w:rsidRPr="00A30B60">
        <w:rPr>
          <w:rStyle w:val="aff4"/>
          <w:rtl/>
        </w:rPr>
        <w:t>ביצה</w:t>
      </w:r>
      <w:r w:rsidRPr="003D30D2">
        <w:rPr>
          <w:rStyle w:val="aff4"/>
          <w:rFonts w:hint="cs"/>
          <w:vanish/>
          <w:rtl/>
        </w:rPr>
        <w:t>-</w:t>
      </w:r>
      <w:r w:rsidRPr="0005096B">
        <w:rPr>
          <w:rtl/>
        </w:rPr>
        <w:t xml:space="preserve"> </w:t>
      </w:r>
      <w:r w:rsidRPr="000D251D">
        <w:rPr>
          <w:rStyle w:val="af2"/>
          <w:rFonts w:eastAsia="Guttman Hodes" w:hint="cs"/>
          <w:rtl/>
        </w:rPr>
        <w:t>(</w:t>
      </w:r>
      <w:r w:rsidRPr="000D251D">
        <w:rPr>
          <w:rStyle w:val="af2"/>
          <w:rFonts w:eastAsia="Guttman Hodes"/>
          <w:rtl/>
        </w:rPr>
        <w:t>יד</w:t>
      </w:r>
      <w:r w:rsidRPr="000D251D">
        <w:rPr>
          <w:rStyle w:val="af2"/>
          <w:rFonts w:eastAsia="Guttman Hodes" w:hint="cs"/>
          <w:rtl/>
        </w:rPr>
        <w:t>:</w:t>
      </w:r>
      <w:r w:rsidRPr="000D251D">
        <w:rPr>
          <w:rStyle w:val="af2"/>
          <w:rFonts w:eastAsia="Guttman Hodes"/>
          <w:rtl/>
        </w:rPr>
        <w:t xml:space="preserve"> ד"ה ואני אומר</w:t>
      </w:r>
      <w:r w:rsidRPr="000D251D">
        <w:rPr>
          <w:rStyle w:val="af2"/>
          <w:rFonts w:eastAsia="Guttman Hodes" w:hint="cs"/>
          <w:rtl/>
        </w:rPr>
        <w:t>)</w:t>
      </w:r>
      <w:r w:rsidRPr="003D30D2">
        <w:rPr>
          <w:rFonts w:hint="cs"/>
          <w:vanish/>
          <w:rtl/>
        </w:rPr>
        <w:t>=</w:t>
      </w:r>
      <w:r>
        <w:rPr>
          <w:rFonts w:hint="cs"/>
          <w:rtl/>
        </w:rPr>
        <w:t xml:space="preserve"> דביאר בדעת </w:t>
      </w:r>
      <w:r w:rsidRPr="003D30D2">
        <w:rPr>
          <w:rStyle w:val="aff4"/>
          <w:rFonts w:hint="cs"/>
          <w:vanish/>
          <w:rtl/>
        </w:rPr>
        <w:t>-</w:t>
      </w:r>
      <w:r w:rsidRPr="00A30B60">
        <w:rPr>
          <w:rStyle w:val="aff4"/>
          <w:rFonts w:hint="cs"/>
          <w:rtl/>
        </w:rPr>
        <w:t>הרשב"א בעבודת הקודש</w:t>
      </w:r>
      <w:r w:rsidRPr="003D30D2">
        <w:rPr>
          <w:rStyle w:val="aff4"/>
          <w:rFonts w:hint="cs"/>
          <w:vanish/>
          <w:rtl/>
        </w:rPr>
        <w:t>-</w:t>
      </w:r>
      <w:r>
        <w:rPr>
          <w:rFonts w:hint="cs"/>
          <w:rtl/>
        </w:rPr>
        <w:t xml:space="preserve"> </w:t>
      </w:r>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Ref139275424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סג)</w:t>
      </w:r>
      <w:r>
        <w:rPr>
          <w:rStyle w:val="af2"/>
          <w:rFonts w:eastAsia="Guttman Hodes"/>
          <w:rtl/>
        </w:rPr>
        <w:fldChar w:fldCharType="end"/>
      </w:r>
      <w:r>
        <w:rPr>
          <w:rFonts w:hint="cs"/>
          <w:rtl/>
        </w:rPr>
        <w:t xml:space="preserve"> </w:t>
      </w:r>
      <w:r w:rsidRPr="000D251D">
        <w:rPr>
          <w:rStyle w:val="af"/>
          <w:rFonts w:hint="cs"/>
          <w:rtl/>
        </w:rPr>
        <w:t>[דאסר בקנון ותמחוי בכל האופנים, ולא חייב בזה חטאת</w:t>
      </w:r>
      <w:r w:rsidRPr="00394BDA">
        <w:rPr>
          <w:rStyle w:val="af"/>
          <w:rFonts w:hint="cs"/>
          <w:rtl/>
        </w:rPr>
        <w:t>],</w:t>
      </w:r>
      <w:r>
        <w:rPr>
          <w:rFonts w:hint="cs"/>
          <w:rtl/>
        </w:rPr>
        <w:t xml:space="preserve"> דלענין חיוב חטאת בשבת אין שום חומרא בקנון ותמחוי יותר מבורר ביד, כיון דבפסולת מתוך אוכל אף ביד לאלתר חייב חטאת, ובאוכל מתוך פסולת לאחר זמן לעולם חייב חטאת אף בבורר ביד, ולאחר זמן אין חילוק בין בורר ביד לבין קנון ותמחוי, ורק לאלתר ביד קל יותר דמותר לכתחילה, ובקנון ותמחוי פטור אבל אסור.</w:t>
      </w:r>
      <w:bookmarkEnd w:id="2677"/>
    </w:p>
    <w:p w14:paraId="2894424E" w14:textId="77777777" w:rsidR="008925FD" w:rsidRPr="00747170" w:rsidRDefault="008925FD" w:rsidP="00747170">
      <w:pPr>
        <w:pStyle w:val="a2"/>
        <w:rPr>
          <w:rtl/>
        </w:rPr>
      </w:pPr>
      <w:r w:rsidRPr="00747170">
        <w:rPr>
          <w:rtl/>
        </w:rPr>
        <w:t>ואמנם מה שהתירו ב"ה אפילו בקנון ותמחוי אף שיכול לברור בידיו מצינו לענין שבת שקנון ותמחוי חמירי, מ"מ כיון שלא מצינו שום חומר בשבת בקנון ותמחוי שיהיה חמירי יותר מידו חומר שיש בו חיוב חטאת, דממ"נ אם ברירת פסולת מתוך אוכל אפילו בורר בידו לאכול לאלתר חייב חטאת ואם ברירת אוכל מתוך פסולת אם לבו ביום תמיד יש חיוב חטאת אפילו בורר בידו, ואין הפרש ביניהם אלא בבורר לאכול לאלתר שאז בבורר ביד מותר אף לכתחלה, ובורר בקנון ותמחוי פטור אבל אסור כיון שגם בקנון אין בו חיוב של תורה לא החמירו בי"ט, זהו כוונת הרשב"א לענ"ד ומסולק ממנו תמיהת המגיד משנה.</w:t>
      </w:r>
    </w:p>
    <w:p w14:paraId="5AC0672D" w14:textId="7ADD77E3" w:rsidR="008925FD" w:rsidRDefault="008925FD" w:rsidP="008925FD">
      <w:pPr>
        <w:pStyle w:val="affff5"/>
        <w:rPr>
          <w:rtl/>
        </w:rPr>
      </w:pPr>
      <w:bookmarkStart w:id="2678" w:name="_Toc139277091"/>
      <w:r>
        <w:rPr>
          <w:rFonts w:hint="cs"/>
          <w:rtl/>
        </w:rPr>
        <w:t>בביאור ההיתר בבורר לאלתר</w:t>
      </w:r>
      <w:bookmarkEnd w:id="2678"/>
      <w:r>
        <w:rPr>
          <w:rFonts w:hint="cs"/>
          <w:rtl/>
        </w:rPr>
        <w:t xml:space="preserve"> </w:t>
      </w:r>
    </w:p>
    <w:p w14:paraId="22431612" w14:textId="77777777" w:rsidR="008925FD" w:rsidRPr="00176091" w:rsidRDefault="008925FD" w:rsidP="008925FD">
      <w:pPr>
        <w:pStyle w:val="1"/>
        <w:rPr>
          <w:rtl/>
        </w:rPr>
      </w:pPr>
      <w:bookmarkStart w:id="2679" w:name="_Toc139277092"/>
      <w:r>
        <w:rPr>
          <w:rFonts w:hint="cs"/>
          <w:rtl/>
        </w:rPr>
        <w:t>בביאור ההיתר דלאלתר אי אינו דרך מלאכה או דהוי שינוי</w:t>
      </w:r>
      <w:bookmarkEnd w:id="2679"/>
    </w:p>
    <w:p w14:paraId="02B27986" w14:textId="77777777" w:rsidR="008925FD" w:rsidRDefault="008925FD" w:rsidP="008925FD">
      <w:pPr>
        <w:pStyle w:val="afffff7"/>
        <w:rPr>
          <w:rtl/>
        </w:rPr>
      </w:pPr>
      <w:bookmarkStart w:id="2680" w:name="_Toc139277186"/>
      <w:bookmarkStart w:id="2681" w:name="_Ref138255480"/>
      <w:bookmarkStart w:id="2682" w:name="_Toc163505889"/>
      <w:r w:rsidRPr="00AE62B4">
        <w:rPr>
          <w:rFonts w:hint="cs"/>
          <w:rtl/>
        </w:rPr>
        <w:t>רש"י שבת ע"ד ע"א ד"</w:t>
      </w:r>
      <w:r>
        <w:rPr>
          <w:rFonts w:hint="cs"/>
          <w:rtl/>
        </w:rPr>
        <w:t>ה פטור, להצניע</w:t>
      </w:r>
      <w:bookmarkEnd w:id="2680"/>
      <w:bookmarkEnd w:id="2682"/>
    </w:p>
    <w:p w14:paraId="13ECBA03" w14:textId="77777777" w:rsidR="008925FD" w:rsidRPr="002C475A" w:rsidRDefault="008925FD" w:rsidP="008925FD">
      <w:pPr>
        <w:pStyle w:val="a7"/>
      </w:pPr>
      <w:bookmarkStart w:id="2683" w:name="_Toc139277093"/>
      <w:r w:rsidRPr="002C475A">
        <w:rPr>
          <w:rtl/>
        </w:rPr>
        <w:t xml:space="preserve">בי' רש"י דהיתר </w:t>
      </w:r>
      <w:r>
        <w:rPr>
          <w:rFonts w:hint="cs"/>
          <w:rtl/>
        </w:rPr>
        <w:t>לאלתר כיון ד</w:t>
      </w:r>
      <w:r w:rsidRPr="002C475A">
        <w:rPr>
          <w:rtl/>
        </w:rPr>
        <w:t>הדרך להצניע לאוצר ולא לברור לאלתר</w:t>
      </w:r>
      <w:bookmarkEnd w:id="2683"/>
    </w:p>
    <w:p w14:paraId="7BA8BEA2" w14:textId="06283692" w:rsidR="008925FD" w:rsidRDefault="008925FD" w:rsidP="00BC7DC8">
      <w:pPr>
        <w:pStyle w:val="a3"/>
      </w:pPr>
      <w:bookmarkStart w:id="2684" w:name="_Ref138754152"/>
      <w:r w:rsidRPr="006C3A4D">
        <w:rPr>
          <w:rFonts w:hint="cs"/>
          <w:rtl/>
        </w:rPr>
        <w:t>בהיתר ברירה לאלתר, כתב</w:t>
      </w:r>
      <w:r w:rsidRPr="006C3A4D">
        <w:rPr>
          <w:rFonts w:hint="cs"/>
          <w:b/>
          <w:bCs/>
          <w:rtl/>
        </w:rPr>
        <w:t xml:space="preserve"> </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Ref138754152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מו)</w:t>
      </w:r>
      <w:r>
        <w:rPr>
          <w:rStyle w:val="aff4"/>
          <w:vanish/>
          <w:rtl/>
        </w:rPr>
        <w:fldChar w:fldCharType="end"/>
      </w:r>
      <w:r>
        <w:rPr>
          <w:rStyle w:val="aff4"/>
          <w:rFonts w:hint="cs"/>
          <w:vanish/>
          <w:rtl/>
        </w:rPr>
        <w:t xml:space="preserve"> &gt;</w:t>
      </w:r>
      <w:r w:rsidRPr="00554A8B">
        <w:rPr>
          <w:rStyle w:val="aff4"/>
          <w:rFonts w:hint="cs"/>
          <w:vanish/>
          <w:rtl/>
        </w:rPr>
        <w:t>-</w:t>
      </w:r>
      <w:r w:rsidRPr="00554A8B">
        <w:rPr>
          <w:rStyle w:val="aff4"/>
          <w:rFonts w:hint="cs"/>
          <w:rtl/>
        </w:rPr>
        <w:t>רש"י</w:t>
      </w:r>
      <w:r w:rsidRPr="00554A8B">
        <w:rPr>
          <w:rStyle w:val="aff4"/>
          <w:rFonts w:hint="cs"/>
          <w:vanish/>
          <w:rtl/>
        </w:rPr>
        <w:t>-</w:t>
      </w:r>
      <w:r w:rsidRPr="00194A43">
        <w:rPr>
          <w:rStyle w:val="aff4"/>
          <w:rFonts w:hint="cs"/>
          <w:rtl/>
        </w:rPr>
        <w:t xml:space="preserve"> </w:t>
      </w:r>
      <w:r w:rsidRPr="000D251D">
        <w:rPr>
          <w:rStyle w:val="af2"/>
          <w:rFonts w:eastAsia="Guttman Hodes" w:hint="cs"/>
          <w:rtl/>
        </w:rPr>
        <w:t>(ד"ה ובורר, ד"ה לאוצר)</w:t>
      </w:r>
      <w:r w:rsidRPr="00194A43">
        <w:rPr>
          <w:rStyle w:val="aff4"/>
          <w:rFonts w:hint="cs"/>
          <w:vanish/>
          <w:rtl/>
        </w:rPr>
        <w:t>=</w:t>
      </w:r>
      <w:r w:rsidRPr="00194A43">
        <w:rPr>
          <w:rStyle w:val="aff4"/>
          <w:rFonts w:hint="cs"/>
          <w:rtl/>
        </w:rPr>
        <w:t xml:space="preserve"> </w:t>
      </w:r>
      <w:r w:rsidRPr="006C3A4D">
        <w:rPr>
          <w:rFonts w:hint="cs"/>
          <w:rtl/>
        </w:rPr>
        <w:t>דדרך הבוררין היא להצניע לאוצר ולא לאכול לאלתר</w:t>
      </w:r>
      <w:bookmarkEnd w:id="2681"/>
      <w:r>
        <w:rPr>
          <w:rFonts w:hint="cs"/>
          <w:rtl/>
        </w:rPr>
        <w:t>.</w:t>
      </w:r>
      <w:bookmarkEnd w:id="2684"/>
    </w:p>
    <w:p w14:paraId="13A650E1" w14:textId="77777777" w:rsidR="008925FD" w:rsidRPr="00747170" w:rsidRDefault="008925FD" w:rsidP="00747170">
      <w:pPr>
        <w:pStyle w:val="a2"/>
        <w:rPr>
          <w:rtl/>
        </w:rPr>
      </w:pPr>
      <w:r w:rsidRPr="00747170">
        <w:rPr>
          <w:rtl/>
        </w:rPr>
        <w:t>ובורר ומניח לאלתר - לאכול לאלתר, שאין זה דרך בוררין.</w:t>
      </w:r>
    </w:p>
    <w:p w14:paraId="6E797D4F" w14:textId="77777777" w:rsidR="008925FD" w:rsidRPr="00EB6547" w:rsidRDefault="008925FD" w:rsidP="00747170">
      <w:pPr>
        <w:pStyle w:val="afffff5"/>
        <w:rPr>
          <w:rtl/>
        </w:rPr>
      </w:pPr>
      <w:r w:rsidRPr="00EB6547">
        <w:rPr>
          <w:rtl/>
        </w:rPr>
        <w:t>לאוצר - להצניע.</w:t>
      </w:r>
    </w:p>
    <w:p w14:paraId="45C93B08" w14:textId="3CD64DF9" w:rsidR="008925FD" w:rsidRDefault="008925FD" w:rsidP="008925FD">
      <w:pPr>
        <w:pStyle w:val="afffff7"/>
        <w:rPr>
          <w:rtl/>
        </w:rPr>
      </w:pPr>
      <w:bookmarkStart w:id="2685" w:name="_Toc139277187"/>
      <w:bookmarkStart w:id="2686" w:name="_Toc163505890"/>
      <w:r>
        <w:rPr>
          <w:rtl/>
        </w:rPr>
        <w:t>אגלי טל סק"א אות י"ב, י"ג</w:t>
      </w:r>
      <w:bookmarkEnd w:id="2685"/>
      <w:bookmarkEnd w:id="2686"/>
    </w:p>
    <w:p w14:paraId="53EA7B25" w14:textId="77777777" w:rsidR="008925FD" w:rsidRPr="00B6652C" w:rsidRDefault="008925FD" w:rsidP="008925FD">
      <w:pPr>
        <w:pStyle w:val="a7"/>
        <w:rPr>
          <w:rtl/>
        </w:rPr>
      </w:pPr>
      <w:bookmarkStart w:id="2687" w:name="_Toc139277094"/>
      <w:r>
        <w:rPr>
          <w:rFonts w:hint="cs"/>
          <w:rtl/>
        </w:rPr>
        <w:t>בי' האגל"ט ברש"י דלאלתר ל"ה מלאכה כלל וכל שלא מוכח ממעשיו דבורר לאח"ז פטור</w:t>
      </w:r>
      <w:bookmarkEnd w:id="2687"/>
    </w:p>
    <w:p w14:paraId="65832117" w14:textId="182B79EC" w:rsidR="008925FD" w:rsidRDefault="008925FD" w:rsidP="00BC7DC8">
      <w:pPr>
        <w:pStyle w:val="a3"/>
        <w:rPr>
          <w:rtl/>
        </w:rPr>
      </w:pPr>
      <w:bookmarkStart w:id="2688" w:name="_Ref138966421"/>
      <w:r>
        <w:rPr>
          <w:rFonts w:hint="cs"/>
          <w:rtl/>
        </w:rPr>
        <w:t>כתב</w:t>
      </w:r>
      <w:r w:rsidRPr="00B6652C">
        <w:rPr>
          <w:rtl/>
        </w:rPr>
        <w:t xml:space="preserve"> </w:t>
      </w:r>
      <w:r w:rsidRPr="003D30D2">
        <w:rPr>
          <w:rStyle w:val="aff4"/>
          <w:vanish/>
          <w:rtl/>
        </w:rPr>
        <w:t>-</w:t>
      </w:r>
      <w:r w:rsidRPr="00A30B60">
        <w:rPr>
          <w:rStyle w:val="aff4"/>
          <w:rtl/>
        </w:rPr>
        <w:t>ה</w:t>
      </w:r>
      <w:r w:rsidRPr="003D30D2">
        <w:rPr>
          <w:rStyle w:val="aff4"/>
          <w:rFonts w:hint="cs"/>
          <w:vanish/>
          <w:rtl/>
        </w:rPr>
        <w:t xml:space="preserve">&lt;. </w:t>
      </w:r>
      <w:r w:rsidRPr="003D30D2">
        <w:rPr>
          <w:rStyle w:val="aff4"/>
          <w:vanish/>
          <w:rtl/>
        </w:rPr>
        <w:fldChar w:fldCharType="begin"/>
      </w:r>
      <w:r w:rsidRPr="003D30D2">
        <w:rPr>
          <w:rStyle w:val="aff4"/>
          <w:vanish/>
          <w:rtl/>
        </w:rPr>
        <w:instrText xml:space="preserve"> </w:instrText>
      </w:r>
      <w:r w:rsidRPr="003D30D2">
        <w:rPr>
          <w:rStyle w:val="aff4"/>
          <w:rFonts w:hint="cs"/>
          <w:vanish/>
        </w:rPr>
        <w:instrText>REF</w:instrText>
      </w:r>
      <w:r w:rsidRPr="003D30D2">
        <w:rPr>
          <w:rStyle w:val="aff4"/>
          <w:rFonts w:hint="cs"/>
          <w:vanish/>
          <w:rtl/>
        </w:rPr>
        <w:instrText xml:space="preserve"> _</w:instrText>
      </w:r>
      <w:r w:rsidRPr="003D30D2">
        <w:rPr>
          <w:rStyle w:val="aff4"/>
          <w:rFonts w:hint="cs"/>
          <w:vanish/>
        </w:rPr>
        <w:instrText>Ref138966421 \r \h</w:instrText>
      </w:r>
      <w:r w:rsidRPr="003D30D2">
        <w:rPr>
          <w:rStyle w:val="aff4"/>
          <w:vanish/>
          <w:rtl/>
        </w:rPr>
        <w:instrText xml:space="preserve"> </w:instrText>
      </w:r>
      <w:r>
        <w:rPr>
          <w:rStyle w:val="aff4"/>
          <w:vanish/>
          <w:rtl/>
        </w:rPr>
        <w:instrText xml:space="preserve"> \* </w:instrText>
      </w:r>
      <w:r>
        <w:rPr>
          <w:rStyle w:val="aff4"/>
          <w:vanish/>
        </w:rPr>
        <w:instrText>MERGEFORMAT</w:instrText>
      </w:r>
      <w:r>
        <w:rPr>
          <w:rStyle w:val="aff4"/>
          <w:vanish/>
          <w:rtl/>
        </w:rPr>
        <w:instrText xml:space="preserve"> </w:instrText>
      </w:r>
      <w:r w:rsidRPr="003D30D2">
        <w:rPr>
          <w:rStyle w:val="aff4"/>
          <w:vanish/>
          <w:rtl/>
        </w:rPr>
      </w:r>
      <w:r w:rsidRPr="003D30D2">
        <w:rPr>
          <w:rStyle w:val="aff4"/>
          <w:vanish/>
          <w:rtl/>
        </w:rPr>
        <w:fldChar w:fldCharType="separate"/>
      </w:r>
      <w:r w:rsidR="00D82181">
        <w:rPr>
          <w:rStyle w:val="aff4"/>
          <w:vanish/>
          <w:cs/>
        </w:rPr>
        <w:t>‎</w:t>
      </w:r>
      <w:r w:rsidR="00D82181">
        <w:rPr>
          <w:rStyle w:val="aff4"/>
          <w:vanish/>
          <w:rtl/>
        </w:rPr>
        <w:t>מז)</w:t>
      </w:r>
      <w:r w:rsidRPr="003D30D2">
        <w:rPr>
          <w:rStyle w:val="aff4"/>
          <w:vanish/>
          <w:rtl/>
        </w:rPr>
        <w:fldChar w:fldCharType="end"/>
      </w:r>
      <w:r w:rsidRPr="003D30D2">
        <w:rPr>
          <w:rStyle w:val="aff4"/>
          <w:rFonts w:hint="cs"/>
          <w:vanish/>
          <w:rtl/>
        </w:rPr>
        <w:t xml:space="preserve"> &gt;</w:t>
      </w:r>
      <w:r w:rsidRPr="00A30B60">
        <w:rPr>
          <w:rStyle w:val="aff4"/>
          <w:rtl/>
        </w:rPr>
        <w:t>אגלי טל</w:t>
      </w:r>
      <w:r w:rsidRPr="003D30D2">
        <w:rPr>
          <w:rStyle w:val="aff4"/>
          <w:vanish/>
          <w:rtl/>
        </w:rPr>
        <w:t>-</w:t>
      </w:r>
      <w:r w:rsidRPr="00B6652C">
        <w:rPr>
          <w:rtl/>
        </w:rPr>
        <w:t xml:space="preserve"> </w:t>
      </w:r>
      <w:r w:rsidRPr="000D251D">
        <w:rPr>
          <w:rStyle w:val="af2"/>
          <w:rFonts w:eastAsia="Guttman Rashi"/>
          <w:rtl/>
        </w:rPr>
        <w:t>(בורר סק"א י"ב, י"ג)</w:t>
      </w:r>
      <w:r w:rsidRPr="003D30D2">
        <w:rPr>
          <w:rFonts w:hint="cs"/>
          <w:vanish/>
          <w:rtl/>
        </w:rPr>
        <w:t>=</w:t>
      </w:r>
      <w:r w:rsidRPr="00131571">
        <w:rPr>
          <w:rtl/>
        </w:rPr>
        <w:t xml:space="preserve"> דמדברי </w:t>
      </w:r>
      <w:r w:rsidRPr="003D30D2">
        <w:rPr>
          <w:rStyle w:val="aff4"/>
          <w:rFonts w:hint="cs"/>
          <w:vanish/>
          <w:rtl/>
        </w:rPr>
        <w:t>&lt; &gt;</w:t>
      </w:r>
      <w:r w:rsidRPr="003D30D2">
        <w:rPr>
          <w:rStyle w:val="aff4"/>
          <w:vanish/>
          <w:rtl/>
        </w:rPr>
        <w:t>-</w:t>
      </w:r>
      <w:r w:rsidRPr="00A30B60">
        <w:rPr>
          <w:rStyle w:val="aff4"/>
          <w:rtl/>
        </w:rPr>
        <w:t>רש"י לקמן</w:t>
      </w:r>
      <w:r w:rsidRPr="003D30D2">
        <w:rPr>
          <w:rStyle w:val="aff4"/>
          <w:vanish/>
          <w:rtl/>
        </w:rPr>
        <w:t>-</w:t>
      </w:r>
      <w:r w:rsidRPr="00B6652C">
        <w:rPr>
          <w:rtl/>
        </w:rPr>
        <w:t xml:space="preserve"> </w:t>
      </w:r>
      <w:r w:rsidRPr="000D251D">
        <w:rPr>
          <w:rStyle w:val="af2"/>
          <w:rFonts w:eastAsia="Guttman Rashi"/>
          <w:rtl/>
        </w:rPr>
        <w:t>(עד: ד"ה שבע, ד"ה חייב)</w:t>
      </w:r>
      <w:r w:rsidRPr="003D30D2">
        <w:rPr>
          <w:rFonts w:hint="cs"/>
          <w:vanish/>
          <w:rtl/>
        </w:rPr>
        <w:t>=</w:t>
      </w:r>
      <w:r w:rsidRPr="00131571">
        <w:rPr>
          <w:rtl/>
        </w:rPr>
        <w:t xml:space="preserve"> מוכח</w:t>
      </w:r>
      <w:r w:rsidRPr="00B6652C">
        <w:rPr>
          <w:rtl/>
        </w:rPr>
        <w:t xml:space="preserve"> דכיון דבבורר לאלתר אינו מלאכה כלל, לכן בבורר בסתמא ולא מוכח מתוך המעשה שלו אם כוונתו לאלתר או לאחר זמן, אף בפסולת מתוך אוכל פטור, דהחיוב הוא רק במעשה ברירה משחרית לבין הערביים, והוסיף </w:t>
      </w:r>
      <w:r w:rsidRPr="003D30D2">
        <w:rPr>
          <w:rStyle w:val="aff4"/>
          <w:vanish/>
          <w:rtl/>
        </w:rPr>
        <w:t>-</w:t>
      </w:r>
      <w:r w:rsidRPr="00A30B60">
        <w:rPr>
          <w:rStyle w:val="aff4"/>
          <w:rtl/>
        </w:rPr>
        <w:t>האגלי טל</w:t>
      </w:r>
      <w:r w:rsidRPr="003D30D2">
        <w:rPr>
          <w:rStyle w:val="aff4"/>
          <w:vanish/>
          <w:rtl/>
        </w:rPr>
        <w:t>-</w:t>
      </w:r>
      <w:r w:rsidRPr="00B6652C">
        <w:rPr>
          <w:rtl/>
        </w:rPr>
        <w:t xml:space="preserve"> דאף בבורר </w:t>
      </w:r>
      <w:r>
        <w:rPr>
          <w:rtl/>
        </w:rPr>
        <w:t>בסתמא ומחשבתו לברור לאחר זמן פטור, דא"א לחייבו על מחשבה כשאין הוכחה מהמעשה.</w:t>
      </w:r>
      <w:bookmarkEnd w:id="2688"/>
    </w:p>
    <w:p w14:paraId="729969B6" w14:textId="77777777" w:rsidR="008925FD" w:rsidRPr="00747170" w:rsidRDefault="008925FD" w:rsidP="00747170">
      <w:pPr>
        <w:pStyle w:val="a2"/>
        <w:rPr>
          <w:rtl/>
        </w:rPr>
      </w:pPr>
      <w:r w:rsidRPr="00747170">
        <w:rPr>
          <w:rtl/>
        </w:rPr>
        <w:t>(יב) אך קשה לפי"ז דאוכל מתוך פסולת ביד מותר אפי' לאחר זמן משום דאין דרך ברירה בכך. א"כ יקשה הא דפירש"י [עד ב] גבי עבד חלתא בורר יפות הוי בורר. והא אוכל מתוך פסולת פטור. ומדלא כתב בורר הרעות מתוכן רק בורר יפות משמע שבורר היפות מתוך הרעות והוי אוכל מתוך פסולת ליפטור. ומצאתי בס' מגן אבות הקשה על רש"י מעבד חביתא וחלתא. ותי' משום שאין דרך בכלי הוי ביד כמו בכלי. והנה מה שהקשה מחביתא במחילת כת"ה אינו כלום שגבי חביתא פירש"י בורר צרורות הגסות מתוכן הוי בורר וכיון שבורר הגסות שאינם ראוין הוי פסולת מתוך אוכל וזה אב מלאכה לרש"י כמו שפירש במשנה הבורר פסולת בידיו רק בחלתא קשה כנ"ל. והנה תירוצו אינו עולה רק למה דהוי ס"ל דכל ביד פטור אפי' פסולת מתוך אוכל וכיון שפטורו משום שביד ולא בכלי ע"כ מין שאין דרך לברר בכלי חייב ביד וזה ודאי אמת כדמוכח בחולין קל"ז. וכבר ביארנו זה במלאכת קוצר [ס"ק י"ג] בס"ד. אך לפי מה שביארנו שבפסולת מתוך אוכל גם רש"י מודה דחייב רק באוכל מתוך פסולת מתיר והטעם משום דדרך לברר פסולת מתוך אוכל זה הטעם שייך ג"כ גבי חלתא:</w:t>
      </w:r>
    </w:p>
    <w:p w14:paraId="02795CB6" w14:textId="77777777" w:rsidR="008925FD" w:rsidRPr="00EB6547" w:rsidRDefault="008925FD" w:rsidP="00747170">
      <w:pPr>
        <w:pStyle w:val="afffff5"/>
        <w:rPr>
          <w:rtl/>
        </w:rPr>
      </w:pPr>
      <w:r w:rsidRPr="00EB6547">
        <w:rPr>
          <w:rtl/>
        </w:rPr>
        <w:t>(יג) אשר ע"כ נראה לי לרש"י דבר חדש דכיון דמתוך המעשה אינו מוכח אם רצונו לאוכלו לאלתר או לאחר זמן ואם דעתו לאוכלו לאלתר אינו מלאכה כלל ע"כ אפי' בירר סתם י"ל שפטור. ומה שאמר בגמ' הניח לבו ביום חייב אין הפירוש שבורר סתם לבו ביום ולא נתכוין אם לאלתר אם לאחר כך רק כמו שפירש הרמב"ם [פ"ח הי"ג] כגון שבירר שחרית לבין הערבים אבל אם בירר סתם יש לומר שאינו מלאכה. וא"כ אף דחישב לאחר זמן כיון דמצד עצמו אינו מלאכה רק משום מחשבתו להניחו לאח"ז ועל המחשבה אין לחייבו דהוי גרמא כמ"ש רש"י גיטין נ"ג. שוב אין לחייבו על המעשה לבד. ועי' במה שכתבנו במלאכת קוצר ס"ק כ"ה אות ח' ובמלאכת דש ס"ק ל"ו אות כ"ב:</w:t>
      </w:r>
    </w:p>
    <w:p w14:paraId="04E673AF" w14:textId="0FD83A9E" w:rsidR="008925FD" w:rsidRDefault="008925FD" w:rsidP="008925FD">
      <w:pPr>
        <w:pStyle w:val="afffff7"/>
        <w:rPr>
          <w:rtl/>
        </w:rPr>
      </w:pPr>
      <w:bookmarkStart w:id="2689" w:name="_Toc139277188"/>
      <w:bookmarkStart w:id="2690" w:name="_Toc163505891"/>
      <w:r>
        <w:rPr>
          <w:rtl/>
        </w:rPr>
        <w:t>שו"ת הרשב"א ח</w:t>
      </w:r>
      <w:r>
        <w:rPr>
          <w:rFonts w:hint="cs"/>
          <w:rtl/>
        </w:rPr>
        <w:t>"</w:t>
      </w:r>
      <w:r>
        <w:rPr>
          <w:rtl/>
        </w:rPr>
        <w:t>ד סי</w:t>
      </w:r>
      <w:r>
        <w:rPr>
          <w:rFonts w:hint="cs"/>
          <w:rtl/>
        </w:rPr>
        <w:t>'</w:t>
      </w:r>
      <w:r>
        <w:rPr>
          <w:rtl/>
        </w:rPr>
        <w:t xml:space="preserve"> ע</w:t>
      </w:r>
      <w:r>
        <w:rPr>
          <w:rFonts w:hint="cs"/>
          <w:rtl/>
        </w:rPr>
        <w:t>"</w:t>
      </w:r>
      <w:r>
        <w:rPr>
          <w:rtl/>
        </w:rPr>
        <w:t>ה</w:t>
      </w:r>
      <w:r>
        <w:rPr>
          <w:rFonts w:hint="cs"/>
          <w:rtl/>
        </w:rPr>
        <w:t xml:space="preserve"> ד"ה תשובה</w:t>
      </w:r>
      <w:bookmarkEnd w:id="2689"/>
      <w:bookmarkEnd w:id="2690"/>
    </w:p>
    <w:p w14:paraId="17F0B195" w14:textId="77777777" w:rsidR="008925FD" w:rsidRDefault="008925FD" w:rsidP="008925FD">
      <w:pPr>
        <w:pStyle w:val="a7"/>
        <w:rPr>
          <w:rtl/>
        </w:rPr>
      </w:pPr>
      <w:bookmarkStart w:id="2691" w:name="_Toc139277095"/>
      <w:r>
        <w:rPr>
          <w:rFonts w:hint="cs"/>
          <w:rtl/>
        </w:rPr>
        <w:t>בי' הרשב"א בתשו' דבורר לאלתר הוא דרך אכילה ומותר אף דבאותו מעשה שייך חיוב חטאת</w:t>
      </w:r>
      <w:bookmarkEnd w:id="2691"/>
    </w:p>
    <w:p w14:paraId="07D963A9" w14:textId="7B4B0BF6" w:rsidR="008925FD" w:rsidRPr="00AA13A9" w:rsidRDefault="008925FD" w:rsidP="00BC7DC8">
      <w:pPr>
        <w:pStyle w:val="a3"/>
        <w:rPr>
          <w:rtl/>
        </w:rPr>
      </w:pPr>
      <w:bookmarkStart w:id="2692" w:name="_Ref138778987"/>
      <w:r>
        <w:rPr>
          <w:rFonts w:hint="cs"/>
          <w:rtl/>
        </w:rPr>
        <w:t xml:space="preserve">כתב </w:t>
      </w:r>
      <w:r w:rsidRPr="003D30D2">
        <w:rPr>
          <w:rStyle w:val="aff4"/>
          <w:rFonts w:hint="cs"/>
          <w:vanish/>
          <w:rtl/>
        </w:rPr>
        <w:t>-</w:t>
      </w:r>
      <w:r w:rsidRPr="00A30B60">
        <w:rPr>
          <w:rStyle w:val="aff4"/>
          <w:rFonts w:hint="cs"/>
          <w:rtl/>
        </w:rPr>
        <w:t>ה</w:t>
      </w:r>
      <w:r w:rsidRPr="003D30D2">
        <w:rPr>
          <w:rStyle w:val="aff4"/>
          <w:rFonts w:hint="cs"/>
          <w:vanish/>
          <w:rtl/>
        </w:rPr>
        <w:t xml:space="preserve">&lt;. </w:t>
      </w:r>
      <w:r w:rsidRPr="003D30D2">
        <w:rPr>
          <w:rStyle w:val="aff4"/>
          <w:vanish/>
          <w:rtl/>
        </w:rPr>
        <w:fldChar w:fldCharType="begin"/>
      </w:r>
      <w:r w:rsidRPr="003D30D2">
        <w:rPr>
          <w:rStyle w:val="aff4"/>
          <w:vanish/>
          <w:rtl/>
        </w:rPr>
        <w:instrText xml:space="preserve"> </w:instrText>
      </w:r>
      <w:r w:rsidRPr="003D30D2">
        <w:rPr>
          <w:rStyle w:val="aff4"/>
          <w:rFonts w:hint="cs"/>
          <w:vanish/>
        </w:rPr>
        <w:instrText>REF</w:instrText>
      </w:r>
      <w:r w:rsidRPr="003D30D2">
        <w:rPr>
          <w:rStyle w:val="aff4"/>
          <w:rFonts w:hint="cs"/>
          <w:vanish/>
          <w:rtl/>
        </w:rPr>
        <w:instrText xml:space="preserve"> _</w:instrText>
      </w:r>
      <w:r w:rsidRPr="003D30D2">
        <w:rPr>
          <w:rStyle w:val="aff4"/>
          <w:rFonts w:hint="cs"/>
          <w:vanish/>
        </w:rPr>
        <w:instrText>Ref138778987 \r \h</w:instrText>
      </w:r>
      <w:r w:rsidRPr="003D30D2">
        <w:rPr>
          <w:rStyle w:val="aff4"/>
          <w:vanish/>
          <w:rtl/>
        </w:rPr>
        <w:instrText xml:space="preserve"> </w:instrText>
      </w:r>
      <w:r w:rsidRPr="003D30D2">
        <w:rPr>
          <w:rStyle w:val="aff4"/>
          <w:vanish/>
          <w:rtl/>
        </w:rPr>
      </w:r>
      <w:r w:rsidRPr="003D30D2">
        <w:rPr>
          <w:rStyle w:val="aff4"/>
          <w:vanish/>
          <w:rtl/>
        </w:rPr>
        <w:fldChar w:fldCharType="separate"/>
      </w:r>
      <w:r w:rsidR="00D82181">
        <w:rPr>
          <w:rStyle w:val="aff4"/>
          <w:vanish/>
          <w:cs/>
        </w:rPr>
        <w:t>‎</w:t>
      </w:r>
      <w:r w:rsidR="00D82181">
        <w:rPr>
          <w:rStyle w:val="aff4"/>
          <w:vanish/>
          <w:rtl/>
        </w:rPr>
        <w:t>מח)</w:t>
      </w:r>
      <w:r w:rsidRPr="003D30D2">
        <w:rPr>
          <w:rStyle w:val="aff4"/>
          <w:vanish/>
          <w:rtl/>
        </w:rPr>
        <w:fldChar w:fldCharType="end"/>
      </w:r>
      <w:r w:rsidRPr="003D30D2">
        <w:rPr>
          <w:rStyle w:val="aff4"/>
          <w:rFonts w:hint="cs"/>
          <w:vanish/>
          <w:rtl/>
        </w:rPr>
        <w:t xml:space="preserve"> &gt;</w:t>
      </w:r>
      <w:r w:rsidRPr="00A30B60">
        <w:rPr>
          <w:rStyle w:val="aff4"/>
          <w:rFonts w:hint="cs"/>
          <w:rtl/>
        </w:rPr>
        <w:t>רשב"א בתשו'</w:t>
      </w:r>
      <w:r w:rsidRPr="003D30D2">
        <w:rPr>
          <w:rStyle w:val="aff4"/>
          <w:rFonts w:hint="cs"/>
          <w:vanish/>
          <w:rtl/>
        </w:rPr>
        <w:t>-</w:t>
      </w:r>
      <w:r>
        <w:rPr>
          <w:rFonts w:hint="cs"/>
          <w:rtl/>
        </w:rPr>
        <w:t xml:space="preserve"> </w:t>
      </w:r>
      <w:r w:rsidRPr="000D251D">
        <w:rPr>
          <w:rStyle w:val="af2"/>
          <w:rFonts w:eastAsia="Guttman Hodes" w:hint="cs"/>
          <w:rtl/>
        </w:rPr>
        <w:t>(ח"ד סי' ע"ה ד"ה תשובה)</w:t>
      </w:r>
      <w:r w:rsidRPr="003D30D2">
        <w:rPr>
          <w:rFonts w:hint="cs"/>
          <w:vanish/>
          <w:rtl/>
        </w:rPr>
        <w:t>=</w:t>
      </w:r>
      <w:r>
        <w:rPr>
          <w:rFonts w:hint="cs"/>
          <w:rtl/>
        </w:rPr>
        <w:t xml:space="preserve"> דהא דהתיר אביי בורר לאלתר, הוא כיון דכל שאוכל לאלתר הוא כדרך אכילה, ואף שיש באותו מעשה בעצמו חיוב חטאת אם מניח לאחר זמן, מ"מ לאלתר מותר דהוא דרך אכילה.</w:t>
      </w:r>
      <w:bookmarkEnd w:id="2692"/>
    </w:p>
    <w:p w14:paraId="39D0FA03" w14:textId="77777777" w:rsidR="008925FD" w:rsidRPr="00747170" w:rsidRDefault="008925FD" w:rsidP="00747170">
      <w:pPr>
        <w:pStyle w:val="a2"/>
      </w:pPr>
      <w:r w:rsidRPr="00747170">
        <w:rPr>
          <w:rStyle w:val="afff7"/>
          <w:rtl/>
        </w:rPr>
        <w:t>תשובה מסתברא דהא דפריס סילקא דוקא במחתך דק דק כדי לאוכלו למחר או אפי' לבו ביום ולאחר שעה. לפי שדרכו של סילקא לחתכו דק דק בשערב /אולי צ"ל בערב/ בשולו. וכל שדרכו בכך ומניחו לאחר שעה חייב. אבל לאוכלו מיד מותר. שלא אסרו על אדם לאכלו /אולי צ"ל לאכול/ מאכלו חתיכו' גדולות או קטנות.</w:t>
      </w:r>
      <w:r w:rsidRPr="00747170">
        <w:rPr>
          <w:rtl/>
        </w:rPr>
        <w:t xml:space="preserve"> דכענין שאמרו (שבת ע"ד ע"א) לענין בורר היו לפניו שני מיני אוכלין בורר ואוכל. בורר ומניח לא יברור. ואם בורר חייב חטאת. ופירשה אביי דה"ק בורר ואוכ' לאלתר. בורר ומניח לאלתר ולבו ביום לא יברור. ואם בירר נעשה כבורר לאוצר וחייב חטאת. דאלמא כל שאוכל לאלתר כדרך שדרכן של בני אדם לאכול אף על פי שיש באותו צד בעצמו חיוב חטאת בשמניח לאחר זמן ואפי' לבו ביום</w:t>
      </w:r>
      <w:r w:rsidRPr="00747170">
        <w:rPr>
          <w:rFonts w:hint="cs"/>
          <w:rtl/>
        </w:rPr>
        <w:t>.</w:t>
      </w:r>
    </w:p>
    <w:p w14:paraId="21141C59" w14:textId="4D8F78BD" w:rsidR="008925FD" w:rsidRDefault="008925FD" w:rsidP="008925FD">
      <w:pPr>
        <w:pStyle w:val="afffff7"/>
        <w:rPr>
          <w:rtl/>
        </w:rPr>
      </w:pPr>
      <w:bookmarkStart w:id="2693" w:name="_Toc139277189"/>
      <w:bookmarkStart w:id="2694" w:name="_Toc163505892"/>
      <w:r>
        <w:rPr>
          <w:rtl/>
        </w:rPr>
        <w:t xml:space="preserve">שולחן ערוך הרב </w:t>
      </w:r>
      <w:r>
        <w:rPr>
          <w:rFonts w:hint="cs"/>
          <w:rtl/>
        </w:rPr>
        <w:t>סי'</w:t>
      </w:r>
      <w:r>
        <w:rPr>
          <w:rtl/>
        </w:rPr>
        <w:t xml:space="preserve"> שי</w:t>
      </w:r>
      <w:r>
        <w:rPr>
          <w:rFonts w:hint="cs"/>
          <w:rtl/>
        </w:rPr>
        <w:t>"</w:t>
      </w:r>
      <w:r>
        <w:rPr>
          <w:rtl/>
        </w:rPr>
        <w:t>ט א</w:t>
      </w:r>
      <w:r>
        <w:rPr>
          <w:rFonts w:hint="cs"/>
          <w:rtl/>
        </w:rPr>
        <w:t>'</w:t>
      </w:r>
      <w:bookmarkEnd w:id="2693"/>
      <w:bookmarkEnd w:id="2694"/>
    </w:p>
    <w:p w14:paraId="1B9036A2" w14:textId="77777777" w:rsidR="008925FD" w:rsidRDefault="008925FD" w:rsidP="008925FD">
      <w:pPr>
        <w:pStyle w:val="a7"/>
        <w:rPr>
          <w:rtl/>
        </w:rPr>
      </w:pPr>
      <w:bookmarkStart w:id="2695" w:name="_Toc139277096"/>
      <w:r>
        <w:rPr>
          <w:rFonts w:hint="cs"/>
          <w:rtl/>
        </w:rPr>
        <w:t>בי' הגר"ז דלאלתר אינו דרך מלאכה כלל דא"א לאכול בלא"ה ורק בפסולת מאוכל הוי מלאכה</w:t>
      </w:r>
      <w:bookmarkEnd w:id="2695"/>
    </w:p>
    <w:p w14:paraId="068CB674" w14:textId="654587FA" w:rsidR="008925FD" w:rsidRPr="00F023BF" w:rsidRDefault="008925FD" w:rsidP="00BC7DC8">
      <w:pPr>
        <w:pStyle w:val="a3"/>
        <w:rPr>
          <w:rtl/>
        </w:rPr>
      </w:pPr>
      <w:bookmarkStart w:id="2696" w:name="_Ref138784106"/>
      <w:r>
        <w:rPr>
          <w:rFonts w:hint="cs"/>
          <w:rtl/>
        </w:rPr>
        <w:t xml:space="preserve">כתב </w:t>
      </w:r>
      <w:r w:rsidRPr="003D30D2">
        <w:rPr>
          <w:rStyle w:val="aff4"/>
          <w:rFonts w:hint="cs"/>
          <w:vanish/>
          <w:rtl/>
        </w:rPr>
        <w:t>-</w:t>
      </w:r>
      <w:r w:rsidRPr="00A30B60">
        <w:rPr>
          <w:rStyle w:val="aff4"/>
          <w:rFonts w:hint="cs"/>
          <w:rtl/>
        </w:rPr>
        <w:t>ה</w:t>
      </w:r>
      <w:r w:rsidRPr="003D30D2">
        <w:rPr>
          <w:rStyle w:val="aff4"/>
          <w:rFonts w:hint="cs"/>
          <w:vanish/>
          <w:rtl/>
        </w:rPr>
        <w:t xml:space="preserve">&lt;. </w:t>
      </w:r>
      <w:r w:rsidRPr="003D30D2">
        <w:rPr>
          <w:rStyle w:val="aff4"/>
          <w:vanish/>
          <w:rtl/>
        </w:rPr>
        <w:fldChar w:fldCharType="begin"/>
      </w:r>
      <w:r w:rsidRPr="003D30D2">
        <w:rPr>
          <w:rStyle w:val="aff4"/>
          <w:vanish/>
          <w:rtl/>
        </w:rPr>
        <w:instrText xml:space="preserve"> </w:instrText>
      </w:r>
      <w:r w:rsidRPr="003D30D2">
        <w:rPr>
          <w:rStyle w:val="aff4"/>
          <w:rFonts w:hint="cs"/>
          <w:vanish/>
        </w:rPr>
        <w:instrText>REF</w:instrText>
      </w:r>
      <w:r w:rsidRPr="003D30D2">
        <w:rPr>
          <w:rStyle w:val="aff4"/>
          <w:rFonts w:hint="cs"/>
          <w:vanish/>
          <w:rtl/>
        </w:rPr>
        <w:instrText xml:space="preserve"> _</w:instrText>
      </w:r>
      <w:r w:rsidRPr="003D30D2">
        <w:rPr>
          <w:rStyle w:val="aff4"/>
          <w:rFonts w:hint="cs"/>
          <w:vanish/>
        </w:rPr>
        <w:instrText>Ref138784106 \r \h</w:instrText>
      </w:r>
      <w:r w:rsidRPr="003D30D2">
        <w:rPr>
          <w:rStyle w:val="aff4"/>
          <w:vanish/>
          <w:rtl/>
        </w:rPr>
        <w:instrText xml:space="preserve"> </w:instrText>
      </w:r>
      <w:r w:rsidRPr="003D30D2">
        <w:rPr>
          <w:rStyle w:val="aff4"/>
          <w:vanish/>
          <w:rtl/>
        </w:rPr>
      </w:r>
      <w:r w:rsidRPr="003D30D2">
        <w:rPr>
          <w:rStyle w:val="aff4"/>
          <w:vanish/>
          <w:rtl/>
        </w:rPr>
        <w:fldChar w:fldCharType="separate"/>
      </w:r>
      <w:r w:rsidR="00D82181">
        <w:rPr>
          <w:rStyle w:val="aff4"/>
          <w:vanish/>
          <w:cs/>
        </w:rPr>
        <w:t>‎</w:t>
      </w:r>
      <w:r w:rsidR="00D82181">
        <w:rPr>
          <w:rStyle w:val="aff4"/>
          <w:vanish/>
          <w:rtl/>
        </w:rPr>
        <w:t>מט)</w:t>
      </w:r>
      <w:r w:rsidRPr="003D30D2">
        <w:rPr>
          <w:rStyle w:val="aff4"/>
          <w:vanish/>
          <w:rtl/>
        </w:rPr>
        <w:fldChar w:fldCharType="end"/>
      </w:r>
      <w:r w:rsidRPr="003D30D2">
        <w:rPr>
          <w:rStyle w:val="aff4"/>
          <w:rFonts w:hint="cs"/>
          <w:vanish/>
          <w:rtl/>
        </w:rPr>
        <w:t xml:space="preserve"> &gt;</w:t>
      </w:r>
      <w:r w:rsidRPr="00A30B60">
        <w:rPr>
          <w:rStyle w:val="aff4"/>
          <w:rFonts w:hint="cs"/>
          <w:rtl/>
        </w:rPr>
        <w:t>גר"ז</w:t>
      </w:r>
      <w:r w:rsidRPr="003D30D2">
        <w:rPr>
          <w:rStyle w:val="aff4"/>
          <w:rFonts w:hint="cs"/>
          <w:vanish/>
          <w:rtl/>
        </w:rPr>
        <w:t>-</w:t>
      </w:r>
      <w:r>
        <w:rPr>
          <w:rFonts w:hint="cs"/>
          <w:rtl/>
        </w:rPr>
        <w:t xml:space="preserve"> </w:t>
      </w:r>
      <w:r w:rsidRPr="000D251D">
        <w:rPr>
          <w:rStyle w:val="af2"/>
          <w:rFonts w:eastAsia="Guttman Hodes" w:hint="cs"/>
          <w:rtl/>
        </w:rPr>
        <w:t>(סי' שי"ט א')</w:t>
      </w:r>
      <w:r w:rsidRPr="003D30D2">
        <w:rPr>
          <w:rFonts w:hint="cs"/>
          <w:vanish/>
          <w:rtl/>
        </w:rPr>
        <w:t>=</w:t>
      </w:r>
      <w:r>
        <w:rPr>
          <w:rFonts w:hint="cs"/>
          <w:rtl/>
        </w:rPr>
        <w:t xml:space="preserve"> דהיתר אוכל מתוך פסולת לאלתר הוא כיון דאינו מעין מלאכה כלל, והוא דרך אכילה, דהא א"א לאכול את האוכל יחד עם הפסולת, וכל האיסור בבורר הוא בכלי המיוחד לו כנפה וכברה, משא"כ בפסולת מתוך אוכל דאינו דרך אכילה אלא הוא תיקון האוכל שיהיה ראוי לאכילה, והוא מלאכה גמורה.</w:t>
      </w:r>
      <w:bookmarkEnd w:id="2696"/>
    </w:p>
    <w:p w14:paraId="5F402C32" w14:textId="77777777" w:rsidR="008925FD" w:rsidRPr="00747170" w:rsidRDefault="008925FD" w:rsidP="00747170">
      <w:pPr>
        <w:pStyle w:val="a2"/>
        <w:rPr>
          <w:rtl/>
        </w:rPr>
      </w:pPr>
      <w:r w:rsidRPr="00747170">
        <w:rPr>
          <w:rtl/>
        </w:rPr>
        <w:t>אבל הבורר אוכל מתוך הפסולת כדי לאכול לאלתר אינו חייב אלא אם כן בורר בנפה או כברה שזהו דרך ברירתו אבל אם בירר בקנון או תמחוי פטור מן התורה אבל אסור מדברי סופרים גזרה משום נפה וכברה ואם בורר האוכל בידו כדי לאכול לאלתר מותר מפני שנטילת האוכל מתוך הפסולת כדי לאכלו מיד אין זה מעין מלאכה כלל שדרך אכילה כך הוא שהרי אי אפשר לאכול הכל האוכל עם הפסולת ולא אסרתו תורה אלא לעשותו בכלי המיוחד לכך דהיינו נפה וכברה אבל נטילת הפסולת אין זו דרך אכילה אלא דרך תיקון האוכל שיהא ראוי לאכילה הרי זו מלאכה גמורה ולפיכך אפילו אם האוכל מרובה על הפסולת ויש טורח יותר בברירת האוכל אעפ"כ לא יברור הפסולת אפילו כדי לאכול לאלתר:</w:t>
      </w:r>
    </w:p>
    <w:p w14:paraId="3BEC72E0" w14:textId="1D8E2A6C" w:rsidR="008925FD" w:rsidRDefault="008925FD" w:rsidP="008925FD">
      <w:pPr>
        <w:pStyle w:val="afffff7"/>
        <w:rPr>
          <w:rtl/>
        </w:rPr>
      </w:pPr>
      <w:bookmarkStart w:id="2697" w:name="_Toc139277190"/>
      <w:bookmarkStart w:id="2698" w:name="_Toc163505893"/>
      <w:r>
        <w:rPr>
          <w:rtl/>
        </w:rPr>
        <w:t xml:space="preserve">ספר שבלי הלקט </w:t>
      </w:r>
      <w:r>
        <w:rPr>
          <w:rFonts w:hint="cs"/>
          <w:rtl/>
        </w:rPr>
        <w:t xml:space="preserve">שבת סי' </w:t>
      </w:r>
      <w:r>
        <w:rPr>
          <w:rtl/>
        </w:rPr>
        <w:t>צ</w:t>
      </w:r>
      <w:r>
        <w:rPr>
          <w:rFonts w:hint="cs"/>
          <w:rtl/>
        </w:rPr>
        <w:t>"</w:t>
      </w:r>
      <w:r>
        <w:rPr>
          <w:rtl/>
        </w:rPr>
        <w:t>ב</w:t>
      </w:r>
      <w:bookmarkEnd w:id="2697"/>
      <w:bookmarkEnd w:id="2698"/>
    </w:p>
    <w:p w14:paraId="78FFC6C0" w14:textId="77777777" w:rsidR="008925FD" w:rsidRDefault="008925FD" w:rsidP="008925FD">
      <w:pPr>
        <w:pStyle w:val="a7"/>
        <w:rPr>
          <w:rtl/>
        </w:rPr>
      </w:pPr>
      <w:bookmarkStart w:id="2699" w:name="_Toc139277097"/>
      <w:r>
        <w:rPr>
          <w:rFonts w:hint="cs"/>
          <w:rtl/>
        </w:rPr>
        <w:t>בי' השבולי הלקט והרי"ד דלאלתר ביד הוא שינוי גמור ובקנון ותמחוי הוא שינוי קצת</w:t>
      </w:r>
      <w:bookmarkEnd w:id="2699"/>
    </w:p>
    <w:p w14:paraId="0778A99E" w14:textId="0793EAA9" w:rsidR="008925FD" w:rsidRPr="00C60B50" w:rsidRDefault="008925FD" w:rsidP="00BC7DC8">
      <w:pPr>
        <w:pStyle w:val="a3"/>
        <w:rPr>
          <w:rtl/>
        </w:rPr>
      </w:pPr>
      <w:bookmarkStart w:id="2700" w:name="_Ref138966413"/>
      <w:r>
        <w:rPr>
          <w:rFonts w:hint="cs"/>
          <w:rtl/>
        </w:rPr>
        <w:t xml:space="preserve">כתב </w:t>
      </w:r>
      <w:r w:rsidRPr="003D30D2">
        <w:rPr>
          <w:rStyle w:val="aff4"/>
          <w:rFonts w:hint="cs"/>
          <w:vanish/>
          <w:rtl/>
        </w:rPr>
        <w:t>-</w:t>
      </w:r>
      <w:r w:rsidRPr="00A30B60">
        <w:rPr>
          <w:rStyle w:val="aff4"/>
          <w:rFonts w:hint="cs"/>
          <w:rtl/>
        </w:rPr>
        <w:t>ה</w:t>
      </w:r>
      <w:r w:rsidRPr="003D30D2">
        <w:rPr>
          <w:rStyle w:val="aff4"/>
          <w:rFonts w:hint="cs"/>
          <w:vanish/>
          <w:rtl/>
        </w:rPr>
        <w:t xml:space="preserve">&lt;. </w:t>
      </w:r>
      <w:r w:rsidRPr="003D30D2">
        <w:rPr>
          <w:rStyle w:val="aff4"/>
          <w:vanish/>
          <w:rtl/>
        </w:rPr>
        <w:fldChar w:fldCharType="begin"/>
      </w:r>
      <w:r w:rsidRPr="003D30D2">
        <w:rPr>
          <w:rStyle w:val="aff4"/>
          <w:vanish/>
          <w:rtl/>
        </w:rPr>
        <w:instrText xml:space="preserve"> </w:instrText>
      </w:r>
      <w:r w:rsidRPr="003D30D2">
        <w:rPr>
          <w:rStyle w:val="aff4"/>
          <w:rFonts w:hint="cs"/>
          <w:vanish/>
        </w:rPr>
        <w:instrText>REF</w:instrText>
      </w:r>
      <w:r w:rsidRPr="003D30D2">
        <w:rPr>
          <w:rStyle w:val="aff4"/>
          <w:rFonts w:hint="cs"/>
          <w:vanish/>
          <w:rtl/>
        </w:rPr>
        <w:instrText xml:space="preserve"> _</w:instrText>
      </w:r>
      <w:r w:rsidRPr="003D30D2">
        <w:rPr>
          <w:rStyle w:val="aff4"/>
          <w:rFonts w:hint="cs"/>
          <w:vanish/>
        </w:rPr>
        <w:instrText>Ref138966413 \r \h</w:instrText>
      </w:r>
      <w:r w:rsidRPr="003D30D2">
        <w:rPr>
          <w:rStyle w:val="aff4"/>
          <w:vanish/>
          <w:rtl/>
        </w:rPr>
        <w:instrText xml:space="preserve"> </w:instrText>
      </w:r>
      <w:r w:rsidRPr="003D30D2">
        <w:rPr>
          <w:rStyle w:val="aff4"/>
          <w:vanish/>
          <w:rtl/>
        </w:rPr>
      </w:r>
      <w:r w:rsidRPr="003D30D2">
        <w:rPr>
          <w:rStyle w:val="aff4"/>
          <w:vanish/>
          <w:rtl/>
        </w:rPr>
        <w:fldChar w:fldCharType="separate"/>
      </w:r>
      <w:r w:rsidR="00D82181">
        <w:rPr>
          <w:rStyle w:val="aff4"/>
          <w:vanish/>
          <w:cs/>
        </w:rPr>
        <w:t>‎</w:t>
      </w:r>
      <w:r w:rsidR="00D82181">
        <w:rPr>
          <w:rStyle w:val="aff4"/>
          <w:vanish/>
          <w:rtl/>
        </w:rPr>
        <w:t>נ)</w:t>
      </w:r>
      <w:r w:rsidRPr="003D30D2">
        <w:rPr>
          <w:rStyle w:val="aff4"/>
          <w:vanish/>
          <w:rtl/>
        </w:rPr>
        <w:fldChar w:fldCharType="end"/>
      </w:r>
      <w:r w:rsidRPr="003D30D2">
        <w:rPr>
          <w:rStyle w:val="aff4"/>
          <w:rFonts w:hint="cs"/>
          <w:vanish/>
          <w:rtl/>
        </w:rPr>
        <w:t xml:space="preserve"> &gt;</w:t>
      </w:r>
      <w:r w:rsidRPr="00A30B60">
        <w:rPr>
          <w:rStyle w:val="aff4"/>
          <w:rFonts w:hint="cs"/>
          <w:rtl/>
        </w:rPr>
        <w:t>שבולי הלקט</w:t>
      </w:r>
      <w:r w:rsidRPr="003D30D2">
        <w:rPr>
          <w:rStyle w:val="aff4"/>
          <w:rFonts w:hint="cs"/>
          <w:vanish/>
          <w:rtl/>
        </w:rPr>
        <w:t>-</w:t>
      </w:r>
      <w:r>
        <w:rPr>
          <w:rFonts w:hint="cs"/>
          <w:rtl/>
        </w:rPr>
        <w:t xml:space="preserve"> </w:t>
      </w:r>
      <w:r w:rsidRPr="000D251D">
        <w:rPr>
          <w:rStyle w:val="af2"/>
          <w:rFonts w:eastAsia="Guttman Hodes" w:hint="cs"/>
          <w:rtl/>
        </w:rPr>
        <w:t>(שבת סי' צ"ב)</w:t>
      </w:r>
      <w:r w:rsidRPr="003D30D2">
        <w:rPr>
          <w:rFonts w:hint="cs"/>
          <w:vanish/>
          <w:rtl/>
        </w:rPr>
        <w:t>=</w:t>
      </w:r>
      <w:r>
        <w:rPr>
          <w:rFonts w:hint="cs"/>
          <w:rtl/>
        </w:rPr>
        <w:t xml:space="preserve"> דההיתר בבורר לאלתר ביד, הוא כיון דהוא שינוי גמור, ולכן מותר לכתחילה, אבל בקנון ובתמחוי הוא שינוי קצת ולכן פטור אבל אסור, ועי' במ"ש </w:t>
      </w:r>
      <w:r w:rsidRPr="00B57CCC">
        <w:rPr>
          <w:rStyle w:val="aff4"/>
          <w:rFonts w:hint="cs"/>
          <w:vanish/>
          <w:rtl/>
        </w:rPr>
        <w:t>-</w:t>
      </w:r>
      <w:r w:rsidRPr="00194A43">
        <w:rPr>
          <w:rStyle w:val="aff4"/>
          <w:rFonts w:hint="cs"/>
          <w:rtl/>
        </w:rPr>
        <w:t>הרי"ד בספר המכריע</w:t>
      </w:r>
      <w:r w:rsidRPr="00B57CCC">
        <w:rPr>
          <w:rStyle w:val="aff4"/>
          <w:rFonts w:hint="cs"/>
          <w:vanish/>
          <w:rtl/>
        </w:rPr>
        <w:t>-</w:t>
      </w:r>
      <w:r w:rsidRPr="00307578">
        <w:rPr>
          <w:rFonts w:hint="cs"/>
          <w:rtl/>
        </w:rPr>
        <w:t xml:space="preserve"> </w:t>
      </w:r>
      <w:r>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Ref139211914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סא)</w:t>
      </w:r>
      <w:r>
        <w:rPr>
          <w:rStyle w:val="af2"/>
          <w:rFonts w:eastAsia="Guttman Hodes"/>
          <w:rtl/>
        </w:rPr>
        <w:fldChar w:fldCharType="end"/>
      </w:r>
      <w:r>
        <w:rPr>
          <w:rStyle w:val="af2"/>
          <w:rFonts w:eastAsia="Guttman Hodes" w:hint="cs"/>
          <w:rtl/>
        </w:rPr>
        <w:t xml:space="preserve"> </w:t>
      </w:r>
      <w:r>
        <w:rPr>
          <w:rFonts w:hint="cs"/>
          <w:rtl/>
        </w:rPr>
        <w:t>דביד הוא שינוי גמור, היינו דוקא לאכול או לאלתר לאותה סעודה, אבל להניח הוא דרך ברירה אף ביד, דמי שיש לו דבר מועט בוררו ביד לאוצר.</w:t>
      </w:r>
      <w:bookmarkEnd w:id="2700"/>
    </w:p>
    <w:p w14:paraId="3B0FBB3C" w14:textId="77777777" w:rsidR="008925FD" w:rsidRPr="00747170" w:rsidRDefault="008925FD" w:rsidP="00747170">
      <w:pPr>
        <w:pStyle w:val="a2"/>
        <w:rPr>
          <w:rtl/>
        </w:rPr>
      </w:pPr>
      <w:r w:rsidRPr="00747170">
        <w:rPr>
          <w:rtl/>
        </w:rPr>
        <w:t>כדאמרינן גבי בורר בנפה ובכברה חייב בקנין ובתמחוי דהוי שינוי פטור אבל אסור ביד דהוי שינוי גמור מותר לכתחל</w:t>
      </w:r>
      <w:r w:rsidRPr="00747170">
        <w:rPr>
          <w:rFonts w:hint="cs"/>
          <w:rtl/>
        </w:rPr>
        <w:t>ה.</w:t>
      </w:r>
    </w:p>
    <w:p w14:paraId="658EC669" w14:textId="55037BE4" w:rsidR="008925FD" w:rsidRDefault="008925FD" w:rsidP="008925FD">
      <w:pPr>
        <w:pStyle w:val="affff5"/>
        <w:rPr>
          <w:rtl/>
        </w:rPr>
      </w:pPr>
      <w:bookmarkStart w:id="2701" w:name="_Toc139277098"/>
      <w:r>
        <w:rPr>
          <w:rFonts w:hint="cs"/>
          <w:rtl/>
        </w:rPr>
        <w:t>בדין נפה לאלתר אי מותר או חייב</w:t>
      </w:r>
      <w:bookmarkEnd w:id="2701"/>
    </w:p>
    <w:p w14:paraId="315E8D47" w14:textId="77777777" w:rsidR="008925FD" w:rsidRPr="00680823" w:rsidRDefault="008925FD" w:rsidP="008925FD">
      <w:pPr>
        <w:pStyle w:val="1"/>
        <w:rPr>
          <w:rtl/>
        </w:rPr>
      </w:pPr>
      <w:bookmarkStart w:id="2702" w:name="_Toc139277099"/>
      <w:r>
        <w:rPr>
          <w:rFonts w:hint="cs"/>
          <w:rtl/>
        </w:rPr>
        <w:t>בי' התוס' ברש"י דבנפה לאלתר מותר ובי' הראשונים דחייב</w:t>
      </w:r>
      <w:bookmarkEnd w:id="2702"/>
    </w:p>
    <w:p w14:paraId="135E9C2F" w14:textId="77777777" w:rsidR="008925FD" w:rsidRDefault="008925FD" w:rsidP="008925FD">
      <w:pPr>
        <w:pStyle w:val="afffff7"/>
        <w:rPr>
          <w:rtl/>
        </w:rPr>
      </w:pPr>
      <w:bookmarkStart w:id="2703" w:name="_Toc139277191"/>
      <w:bookmarkStart w:id="2704" w:name="_Toc163505894"/>
      <w:r>
        <w:rPr>
          <w:rtl/>
        </w:rPr>
        <w:t>רש"י שבת ע"ד ע"א</w:t>
      </w:r>
      <w:r>
        <w:rPr>
          <w:rFonts w:hint="cs"/>
          <w:rtl/>
        </w:rPr>
        <w:t xml:space="preserve"> ד"ה והתניא</w:t>
      </w:r>
      <w:bookmarkEnd w:id="2703"/>
      <w:bookmarkEnd w:id="2704"/>
    </w:p>
    <w:p w14:paraId="2F9A842D" w14:textId="77777777" w:rsidR="008925FD" w:rsidRDefault="008925FD" w:rsidP="008925FD">
      <w:pPr>
        <w:pStyle w:val="afffff7"/>
        <w:rPr>
          <w:rtl/>
        </w:rPr>
      </w:pPr>
      <w:bookmarkStart w:id="2705" w:name="_Toc139277192"/>
      <w:bookmarkStart w:id="2706" w:name="_Toc139277100"/>
      <w:bookmarkStart w:id="2707" w:name="_Toc163505895"/>
      <w:r>
        <w:rPr>
          <w:rtl/>
        </w:rPr>
        <w:t>תוספות שבת ע"ד ע"א</w:t>
      </w:r>
      <w:r>
        <w:rPr>
          <w:rFonts w:hint="cs"/>
          <w:rtl/>
        </w:rPr>
        <w:t xml:space="preserve"> ד"ה והתניא</w:t>
      </w:r>
      <w:bookmarkEnd w:id="2705"/>
      <w:bookmarkEnd w:id="2707"/>
    </w:p>
    <w:p w14:paraId="55CD88AA" w14:textId="77777777" w:rsidR="008925FD" w:rsidRDefault="008925FD" w:rsidP="008925FD">
      <w:pPr>
        <w:pStyle w:val="a7"/>
        <w:rPr>
          <w:rtl/>
        </w:rPr>
      </w:pPr>
      <w:r>
        <w:rPr>
          <w:rFonts w:hint="cs"/>
          <w:rtl/>
        </w:rPr>
        <w:t>בי' התוס' והרמב"ן ברש"י דנפה וכברה לאלתר מותר וקו' תוס' והרמב"ן דמוכח בביצה דאסור</w:t>
      </w:r>
      <w:bookmarkEnd w:id="2706"/>
      <w:r>
        <w:rPr>
          <w:rFonts w:hint="cs"/>
          <w:rtl/>
        </w:rPr>
        <w:t xml:space="preserve"> </w:t>
      </w:r>
    </w:p>
    <w:p w14:paraId="4900C530" w14:textId="07AC3394" w:rsidR="008925FD" w:rsidRPr="00F8269E" w:rsidRDefault="008925FD" w:rsidP="00BC7DC8">
      <w:pPr>
        <w:pStyle w:val="a3"/>
        <w:rPr>
          <w:rtl/>
        </w:rPr>
      </w:pPr>
      <w:bookmarkStart w:id="2708" w:name="_Ref138664935"/>
      <w:r>
        <w:rPr>
          <w:rFonts w:hint="cs"/>
          <w:rtl/>
        </w:rPr>
        <w:t xml:space="preserve">בפלוגתת רב אשי ורב ירמיה מדפתי בבורר ב' מיני אוכלין, דמקשה הגמ' על רב אשי דפוטר דהא תניא דחייב, כתב </w:t>
      </w:r>
      <w:r w:rsidRPr="00D07E77">
        <w:rPr>
          <w:rFonts w:hint="cs"/>
          <w:vanish/>
          <w:rtl/>
        </w:rPr>
        <w:t xml:space="preserve">&lt;. </w:t>
      </w:r>
      <w:r w:rsidRPr="00D07E77">
        <w:rPr>
          <w:vanish/>
          <w:rtl/>
        </w:rPr>
        <w:fldChar w:fldCharType="begin"/>
      </w:r>
      <w:r w:rsidRPr="00D07E77">
        <w:rPr>
          <w:vanish/>
          <w:rtl/>
        </w:rPr>
        <w:instrText xml:space="preserve"> </w:instrText>
      </w:r>
      <w:r w:rsidRPr="00D07E77">
        <w:rPr>
          <w:rFonts w:hint="cs"/>
          <w:vanish/>
        </w:rPr>
        <w:instrText>REF</w:instrText>
      </w:r>
      <w:r w:rsidRPr="00D07E77">
        <w:rPr>
          <w:rFonts w:hint="cs"/>
          <w:vanish/>
          <w:rtl/>
        </w:rPr>
        <w:instrText xml:space="preserve"> _</w:instrText>
      </w:r>
      <w:r w:rsidRPr="00D07E77">
        <w:rPr>
          <w:rFonts w:hint="cs"/>
          <w:vanish/>
        </w:rPr>
        <w:instrText>Ref136812066 \r \h</w:instrText>
      </w:r>
      <w:r w:rsidRPr="00D07E77">
        <w:rPr>
          <w:vanish/>
          <w:rtl/>
        </w:rPr>
        <w:instrText xml:space="preserve"> </w:instrText>
      </w:r>
      <w:r w:rsidRPr="00D07E77">
        <w:rPr>
          <w:vanish/>
          <w:rtl/>
        </w:rPr>
      </w:r>
      <w:r w:rsidRPr="00D07E77">
        <w:rPr>
          <w:vanish/>
          <w:rtl/>
        </w:rPr>
        <w:fldChar w:fldCharType="separate"/>
      </w:r>
      <w:r w:rsidR="00D82181">
        <w:rPr>
          <w:vanish/>
          <w:cs/>
        </w:rPr>
        <w:t>‎</w:t>
      </w:r>
      <w:r w:rsidR="00D82181">
        <w:rPr>
          <w:vanish/>
          <w:rtl/>
        </w:rPr>
        <w:t>ב)</w:t>
      </w:r>
      <w:r w:rsidRPr="00D07E77">
        <w:rPr>
          <w:vanish/>
          <w:rtl/>
        </w:rPr>
        <w:fldChar w:fldCharType="end"/>
      </w:r>
      <w:r w:rsidRPr="00D07E77">
        <w:rPr>
          <w:rFonts w:hint="cs"/>
          <w:vanish/>
          <w:rtl/>
        </w:rPr>
        <w:t xml:space="preserve"> &gt;</w:t>
      </w:r>
      <w:r w:rsidRPr="00D07E77">
        <w:rPr>
          <w:rStyle w:val="aff4"/>
          <w:rFonts w:hint="cs"/>
          <w:vanish/>
          <w:rtl/>
        </w:rPr>
        <w:t>-</w:t>
      </w:r>
      <w:r w:rsidRPr="00A34B78">
        <w:rPr>
          <w:rStyle w:val="aff4"/>
          <w:rFonts w:hint="cs"/>
          <w:rtl/>
        </w:rPr>
        <w:t>רש"י</w:t>
      </w:r>
      <w:r w:rsidRPr="00D07E77">
        <w:rPr>
          <w:rStyle w:val="aff4"/>
          <w:rFonts w:hint="cs"/>
          <w:vanish/>
          <w:rtl/>
        </w:rPr>
        <w:t>-</w:t>
      </w:r>
      <w:r>
        <w:rPr>
          <w:rFonts w:hint="cs"/>
          <w:rtl/>
        </w:rPr>
        <w:t xml:space="preserve"> </w:t>
      </w:r>
      <w:r w:rsidRPr="000D251D">
        <w:rPr>
          <w:rStyle w:val="af2"/>
          <w:rFonts w:eastAsia="Guttman Hodes" w:hint="cs"/>
          <w:rtl/>
        </w:rPr>
        <w:t>(ד"ה והתניא)</w:t>
      </w:r>
      <w:r w:rsidRPr="00D07E77">
        <w:rPr>
          <w:rFonts w:hint="cs"/>
          <w:vanish/>
          <w:rtl/>
        </w:rPr>
        <w:t>=</w:t>
      </w:r>
      <w:r>
        <w:rPr>
          <w:rFonts w:hint="cs"/>
          <w:rtl/>
        </w:rPr>
        <w:t xml:space="preserve"> דתניא לעיל דחייב</w:t>
      </w:r>
      <w:bookmarkStart w:id="2709" w:name="_Ref138615490"/>
      <w:r>
        <w:rPr>
          <w:rFonts w:hint="cs"/>
          <w:rtl/>
        </w:rPr>
        <w:t xml:space="preserve">, וכתבו </w:t>
      </w:r>
      <w:r w:rsidRPr="00D07E77">
        <w:rPr>
          <w:rStyle w:val="aff4"/>
          <w:rFonts w:hint="cs"/>
          <w:vanish/>
          <w:rtl/>
        </w:rPr>
        <w:t>-</w:t>
      </w:r>
      <w:r w:rsidRPr="00194A43">
        <w:rPr>
          <w:rStyle w:val="aff4"/>
          <w:rFonts w:hint="cs"/>
          <w:rtl/>
        </w:rPr>
        <w:t>ר"י ב</w:t>
      </w:r>
      <w:r>
        <w:rPr>
          <w:rStyle w:val="aff4"/>
          <w:rFonts w:hint="cs"/>
          <w:vanish/>
          <w:rtl/>
        </w:rPr>
        <w:t>&lt; &gt;</w:t>
      </w:r>
      <w:r w:rsidRPr="00194A43">
        <w:rPr>
          <w:rStyle w:val="aff4"/>
          <w:rFonts w:hint="cs"/>
          <w:rtl/>
        </w:rPr>
        <w:t>תוס'</w:t>
      </w:r>
      <w:r w:rsidRPr="00D07E77">
        <w:rPr>
          <w:rStyle w:val="aff4"/>
          <w:rFonts w:hint="cs"/>
          <w:vanish/>
          <w:rtl/>
        </w:rPr>
        <w:t>-</w:t>
      </w:r>
      <w:r>
        <w:rPr>
          <w:rFonts w:hint="cs"/>
          <w:rtl/>
        </w:rPr>
        <w:t xml:space="preserve"> </w:t>
      </w:r>
      <w:r w:rsidRPr="000D251D">
        <w:rPr>
          <w:rStyle w:val="af2"/>
          <w:rFonts w:eastAsia="Guttman Hodes" w:hint="cs"/>
          <w:rtl/>
        </w:rPr>
        <w:t>(ד"ה והתניא)</w:t>
      </w:r>
      <w:r w:rsidRPr="00D07E77">
        <w:rPr>
          <w:rFonts w:hint="cs"/>
          <w:vanish/>
          <w:rtl/>
        </w:rPr>
        <w:t>=</w:t>
      </w:r>
      <w:r>
        <w:rPr>
          <w:rFonts w:hint="cs"/>
          <w:rtl/>
        </w:rPr>
        <w:t xml:space="preserve"> </w:t>
      </w:r>
      <w:r w:rsidRPr="00D07E77">
        <w:rPr>
          <w:rStyle w:val="aff4"/>
          <w:rFonts w:hint="cs"/>
          <w:vanish/>
          <w:rtl/>
        </w:rPr>
        <w:t>-</w:t>
      </w:r>
      <w:r w:rsidRPr="00FE6CDD">
        <w:rPr>
          <w:rStyle w:val="aff4"/>
          <w:rFonts w:hint="cs"/>
          <w:rtl/>
        </w:rPr>
        <w:t>וה</w:t>
      </w:r>
      <w:r w:rsidRPr="00D07E77">
        <w:rPr>
          <w:rStyle w:val="aff4"/>
          <w:rFonts w:hint="cs"/>
          <w:vanish/>
          <w:rtl/>
        </w:rPr>
        <w:t>&lt; &gt;</w:t>
      </w:r>
      <w:r w:rsidRPr="00FE6CDD">
        <w:rPr>
          <w:rStyle w:val="aff4"/>
          <w:rFonts w:hint="cs"/>
          <w:rtl/>
        </w:rPr>
        <w:t>רמב"ן</w:t>
      </w:r>
      <w:r w:rsidRPr="00D07E77">
        <w:rPr>
          <w:rStyle w:val="aff4"/>
          <w:rFonts w:hint="cs"/>
          <w:vanish/>
          <w:rtl/>
        </w:rPr>
        <w:t>-</w:t>
      </w:r>
      <w:r>
        <w:rPr>
          <w:rFonts w:hint="cs"/>
          <w:rtl/>
        </w:rPr>
        <w:t xml:space="preserve"> </w:t>
      </w:r>
      <w:r w:rsidRPr="000D251D">
        <w:rPr>
          <w:rStyle w:val="af2"/>
          <w:rFonts w:eastAsia="Guttman Hodes" w:hint="cs"/>
          <w:rtl/>
        </w:rPr>
        <w:t>(ד"ה והתניא)</w:t>
      </w:r>
      <w:r w:rsidRPr="00D07E77">
        <w:rPr>
          <w:rFonts w:hint="cs"/>
          <w:vanish/>
          <w:rtl/>
        </w:rPr>
        <w:t>=</w:t>
      </w:r>
      <w:r>
        <w:rPr>
          <w:rFonts w:hint="cs"/>
          <w:rtl/>
        </w:rPr>
        <w:t xml:space="preserve"> דכיון דהעמידה הגמ' את הברייתא הראשונה בנפה וכברה, א"כ משמע דלדעת </w:t>
      </w:r>
      <w:r w:rsidRPr="00D07E77">
        <w:rPr>
          <w:rStyle w:val="aff4"/>
          <w:rFonts w:hint="cs"/>
          <w:vanish/>
          <w:rtl/>
        </w:rPr>
        <w:t>-</w:t>
      </w:r>
      <w:r w:rsidRPr="00194A43">
        <w:rPr>
          <w:rStyle w:val="aff4"/>
          <w:rFonts w:hint="cs"/>
          <w:rtl/>
        </w:rPr>
        <w:t>רש"י</w:t>
      </w:r>
      <w:r w:rsidRPr="00D07E77">
        <w:rPr>
          <w:rStyle w:val="aff4"/>
          <w:rFonts w:hint="cs"/>
          <w:vanish/>
          <w:rtl/>
        </w:rPr>
        <w:t>-</w:t>
      </w:r>
      <w:r>
        <w:rPr>
          <w:rFonts w:hint="cs"/>
          <w:rtl/>
        </w:rPr>
        <w:t xml:space="preserve"> רק לבו ביום אסור בנפה וכברה, אבל לאלתר מותר, והקשו </w:t>
      </w:r>
      <w:r w:rsidRPr="00D07E77">
        <w:rPr>
          <w:rStyle w:val="aff4"/>
          <w:rFonts w:hint="cs"/>
          <w:vanish/>
          <w:rtl/>
        </w:rPr>
        <w:t>-</w:t>
      </w:r>
      <w:r w:rsidRPr="00194A43">
        <w:rPr>
          <w:rStyle w:val="aff4"/>
          <w:rFonts w:hint="cs"/>
          <w:rtl/>
        </w:rPr>
        <w:t xml:space="preserve">ר"י </w:t>
      </w:r>
      <w:r w:rsidRPr="00FB24C1">
        <w:rPr>
          <w:rStyle w:val="aff4"/>
          <w:rFonts w:hint="cs"/>
          <w:rtl/>
        </w:rPr>
        <w:t>בתוס' והרמב"ן</w:t>
      </w:r>
      <w:r w:rsidRPr="00D07E77">
        <w:rPr>
          <w:rStyle w:val="aff4"/>
          <w:rFonts w:hint="cs"/>
          <w:vanish/>
          <w:rtl/>
        </w:rPr>
        <w:t>-</w:t>
      </w:r>
      <w:r>
        <w:rPr>
          <w:rFonts w:hint="cs"/>
          <w:rtl/>
        </w:rPr>
        <w:t xml:space="preserve"> דהא במשנה בביצה </w:t>
      </w:r>
      <w:r w:rsidRPr="000D251D">
        <w:rPr>
          <w:rStyle w:val="af2"/>
          <w:rFonts w:eastAsia="Guttman Hodes" w:hint="cs"/>
          <w:rtl/>
        </w:rPr>
        <w:t>(יד:)</w:t>
      </w:r>
      <w:r>
        <w:rPr>
          <w:rFonts w:hint="cs"/>
          <w:rtl/>
        </w:rPr>
        <w:t xml:space="preserve"> משמע דבנפה וכברה אסור לגמרי, מהא דאסרו ב"ה בנפה וכברה ולא חילקו בין לאלתר לבו ביום, וכ"ש דאסור בשבת, והוסיפו </w:t>
      </w:r>
      <w:r w:rsidRPr="00D07E77">
        <w:rPr>
          <w:rStyle w:val="aff4"/>
          <w:rFonts w:hint="cs"/>
          <w:vanish/>
          <w:rtl/>
        </w:rPr>
        <w:t>-</w:t>
      </w:r>
      <w:r w:rsidRPr="00194A43">
        <w:rPr>
          <w:rStyle w:val="aff4"/>
          <w:rFonts w:hint="cs"/>
          <w:rtl/>
        </w:rPr>
        <w:t>התוס'</w:t>
      </w:r>
      <w:r w:rsidRPr="00D07E77">
        <w:rPr>
          <w:rStyle w:val="aff4"/>
          <w:rFonts w:hint="cs"/>
          <w:vanish/>
          <w:rtl/>
        </w:rPr>
        <w:t>-</w:t>
      </w:r>
      <w:r>
        <w:rPr>
          <w:rFonts w:hint="cs"/>
          <w:rtl/>
        </w:rPr>
        <w:t xml:space="preserve"> דמשמע דכל החילוק בין עולא לבין אביי, דכל דבר שעולא מתיר אף לבו ביום אביי מתיר רק לאלתר, ואי לאביי מותר בנפה וכברה לאלתר א"כ לעולא מותר אף לבו ביום, ובמשנה בביצה ודאי דאסור לבו ביום.</w:t>
      </w:r>
      <w:bookmarkEnd w:id="2708"/>
      <w:bookmarkEnd w:id="2709"/>
      <w:r>
        <w:rPr>
          <w:rFonts w:hint="cs"/>
          <w:rtl/>
        </w:rPr>
        <w:t xml:space="preserve"> </w:t>
      </w:r>
    </w:p>
    <w:p w14:paraId="3D999DB3" w14:textId="77777777" w:rsidR="008925FD" w:rsidRPr="00747170" w:rsidRDefault="008925FD" w:rsidP="00747170">
      <w:pPr>
        <w:pStyle w:val="a2"/>
      </w:pPr>
      <w:r w:rsidRPr="00747170">
        <w:rPr>
          <w:rtl/>
        </w:rPr>
        <w:t>והתניא - לעיל חייב, ואי בבורר ומניח לאלתר - מותר לכתחלה הויא, ופטור אבל אסור ליכא.</w:t>
      </w:r>
    </w:p>
    <w:p w14:paraId="4943BF02" w14:textId="77777777" w:rsidR="008925FD" w:rsidRPr="00EB6547" w:rsidRDefault="008925FD" w:rsidP="00747170">
      <w:pPr>
        <w:pStyle w:val="afffff5"/>
        <w:rPr>
          <w:rtl/>
        </w:rPr>
      </w:pPr>
      <w:r w:rsidRPr="00EB6547">
        <w:rPr>
          <w:rtl/>
        </w:rPr>
        <w:t>והתניא חייב - פי' בקונטרס דהיינו ברייתא דלעיל וקשה לר"י דלמאי דמוקמינן לה בנפה וכברה משמע דוקא לבו ביום אסור אבל לאלתר אפי' בנפה וכברה שרי ובפ"ק דביצה (גם זה שם.) משמע דבנפה וכברה אסור בכל ענין דתנן ב"ה אומרים בורר כדרכו בקנון ובתמחוי אבל לא בנפה וכברה ולא מפליג בין לאלתר לבו ביום ועוד לכאורה לעולא דלעיל הוי בורר לבו ביום כמו לאלתר לאביי וא"כ שרי לעולא בנפה וכברה אפי' לבו ביום ובמתני' דביצה אסר לכל הפחות לבו ביום</w:t>
      </w:r>
      <w:r w:rsidRPr="00EB6547">
        <w:rPr>
          <w:rFonts w:hint="cs"/>
          <w:rtl/>
        </w:rPr>
        <w:t>.</w:t>
      </w:r>
    </w:p>
    <w:p w14:paraId="4703878B" w14:textId="20489156" w:rsidR="008925FD" w:rsidRDefault="008925FD" w:rsidP="008925FD">
      <w:pPr>
        <w:pStyle w:val="afffff7"/>
        <w:rPr>
          <w:rtl/>
        </w:rPr>
      </w:pPr>
      <w:bookmarkStart w:id="2710" w:name="_Toc139277193"/>
      <w:bookmarkStart w:id="2711" w:name="_Toc163505896"/>
      <w:r>
        <w:rPr>
          <w:rtl/>
        </w:rPr>
        <w:t>חדושי הרמב"ן שבת ע"ד ע"א</w:t>
      </w:r>
      <w:r>
        <w:rPr>
          <w:rFonts w:hint="cs"/>
          <w:rtl/>
        </w:rPr>
        <w:t xml:space="preserve"> ד"ה והתניא</w:t>
      </w:r>
      <w:bookmarkEnd w:id="2710"/>
      <w:bookmarkEnd w:id="2711"/>
    </w:p>
    <w:p w14:paraId="6D73B4D6" w14:textId="77777777" w:rsidR="008925FD" w:rsidRPr="00EB6547" w:rsidRDefault="008925FD" w:rsidP="00747170">
      <w:pPr>
        <w:pStyle w:val="afffff5"/>
      </w:pPr>
      <w:r w:rsidRPr="00EB6547">
        <w:rPr>
          <w:rtl/>
        </w:rPr>
        <w:t>והתניא חייב. פרש"י ז"ל היינו הא דתניא לעיל בתירוציה דאביי ולבו ביום לא יברור ואם בירר נעשה כבורר לאוצר וחייב חטאת ואי הא דרב אשי בבורר ואוכל לאלתר מותר לכתחלה הוא וליכא פטור אבל אסור, ואין הפירוש הזה נכון, משום דמוקמינן לה בנפה וכברה ואם כן היכי קתני רישא לאלתר מותר והא אמרינן במס' ביצה ובנפה ובכברה לא יברור כ"ש בשבת שאסור</w:t>
      </w:r>
      <w:r w:rsidRPr="00EB6547">
        <w:rPr>
          <w:rFonts w:hint="cs"/>
          <w:rtl/>
        </w:rPr>
        <w:t>.</w:t>
      </w:r>
    </w:p>
    <w:p w14:paraId="0AED71AD" w14:textId="73623101" w:rsidR="008925FD" w:rsidRPr="00BB3911" w:rsidRDefault="008925FD" w:rsidP="008925FD">
      <w:pPr>
        <w:pStyle w:val="a7"/>
        <w:rPr>
          <w:rtl/>
        </w:rPr>
      </w:pPr>
      <w:bookmarkStart w:id="2712" w:name="_Toc139277101"/>
      <w:r>
        <w:rPr>
          <w:rFonts w:hint="cs"/>
          <w:rtl/>
        </w:rPr>
        <w:t>בי' התוס' דבברייתא הראשונה איירי ביד ובשניה בנפה ואף לאלתר חייב בנפה חטאת</w:t>
      </w:r>
      <w:bookmarkEnd w:id="2712"/>
    </w:p>
    <w:p w14:paraId="522EBE1B" w14:textId="25F451E9" w:rsidR="008925FD" w:rsidRPr="003F3375" w:rsidRDefault="008925FD" w:rsidP="00BC7DC8">
      <w:pPr>
        <w:pStyle w:val="a3"/>
      </w:pPr>
      <w:bookmarkStart w:id="2713" w:name="_Ref139273599"/>
      <w:r>
        <w:rPr>
          <w:rFonts w:hint="cs"/>
          <w:rtl/>
        </w:rPr>
        <w:t xml:space="preserve">אלא ביאר </w:t>
      </w:r>
      <w:r w:rsidRPr="00194A43">
        <w:rPr>
          <w:rStyle w:val="aff4"/>
          <w:rFonts w:hint="cs"/>
          <w:vanish/>
          <w:rtl/>
        </w:rPr>
        <w:t>-</w:t>
      </w:r>
      <w:r w:rsidRPr="00194A43">
        <w:rPr>
          <w:rStyle w:val="aff4"/>
          <w:rFonts w:hint="cs"/>
          <w:rtl/>
        </w:rPr>
        <w:t>ר"י בתוס'</w:t>
      </w:r>
      <w:r w:rsidRPr="00194A43">
        <w:rPr>
          <w:rStyle w:val="aff4"/>
          <w:rFonts w:hint="cs"/>
          <w:vanish/>
          <w:rtl/>
        </w:rPr>
        <w:t>-</w:t>
      </w:r>
      <w:r>
        <w:rPr>
          <w:rFonts w:hint="cs"/>
          <w:rtl/>
        </w:rPr>
        <w:t xml:space="preserve"> דבברייתא הראשונה איירי בבורר ביד, והא דהגמ' העמידה בנפה וכברה הוא בברייתא השניה, ובזה אף לאלתר חייב חטאת, וכתבו </w:t>
      </w:r>
      <w:r w:rsidRPr="00194A43">
        <w:rPr>
          <w:rStyle w:val="aff4"/>
          <w:rFonts w:hint="cs"/>
          <w:vanish/>
          <w:rtl/>
        </w:rPr>
        <w:t>-</w:t>
      </w:r>
      <w:r w:rsidRPr="00194A43">
        <w:rPr>
          <w:rStyle w:val="aff4"/>
          <w:rFonts w:hint="cs"/>
          <w:rtl/>
        </w:rPr>
        <w:t>התוס'</w:t>
      </w:r>
      <w:r w:rsidRPr="00194A43">
        <w:rPr>
          <w:rStyle w:val="aff4"/>
          <w:rFonts w:hint="cs"/>
          <w:vanish/>
          <w:rtl/>
        </w:rPr>
        <w:t>-</w:t>
      </w:r>
      <w:r>
        <w:rPr>
          <w:rFonts w:hint="cs"/>
          <w:rtl/>
        </w:rPr>
        <w:t xml:space="preserve"> דכן משמע </w:t>
      </w:r>
      <w:r w:rsidRPr="00194A43">
        <w:rPr>
          <w:rStyle w:val="aff4"/>
          <w:rFonts w:hint="cs"/>
          <w:vanish/>
          <w:rtl/>
        </w:rPr>
        <w:t>-</w:t>
      </w:r>
      <w:r w:rsidRPr="00194A43">
        <w:rPr>
          <w:rStyle w:val="aff4"/>
          <w:rFonts w:hint="cs"/>
          <w:rtl/>
        </w:rPr>
        <w:t>בר"ח</w:t>
      </w:r>
      <w:r w:rsidRPr="00194A43">
        <w:rPr>
          <w:rStyle w:val="aff4"/>
          <w:rFonts w:hint="cs"/>
          <w:vanish/>
          <w:rtl/>
        </w:rPr>
        <w:t>-</w:t>
      </w:r>
      <w:r>
        <w:rPr>
          <w:rFonts w:hint="cs"/>
          <w:rtl/>
        </w:rPr>
        <w:t xml:space="preserve"> </w:t>
      </w:r>
      <w:bookmarkStart w:id="2714" w:name="_Hlk138062924"/>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Ref139187404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w:t>
      </w:r>
      <w:r>
        <w:rPr>
          <w:rStyle w:val="af2"/>
          <w:rFonts w:eastAsia="Guttman Hodes"/>
          <w:rtl/>
        </w:rPr>
        <w:fldChar w:fldCharType="end"/>
      </w:r>
      <w:r>
        <w:rPr>
          <w:rFonts w:hint="cs"/>
          <w:rtl/>
        </w:rPr>
        <w:t xml:space="preserve"> דכתב דהיתר בורר לאלתר ביד הוא לכתחילה, ובקנון פטור אבל אסור ובנפה חייב חטאת</w:t>
      </w:r>
      <w:bookmarkEnd w:id="2714"/>
      <w:r>
        <w:rPr>
          <w:rFonts w:hint="cs"/>
          <w:rtl/>
        </w:rPr>
        <w:t>.</w:t>
      </w:r>
      <w:bookmarkEnd w:id="2713"/>
    </w:p>
    <w:p w14:paraId="663FFDDA" w14:textId="77777777" w:rsidR="008925FD" w:rsidRPr="00747170" w:rsidRDefault="008925FD" w:rsidP="00747170">
      <w:pPr>
        <w:pStyle w:val="a2"/>
        <w:rPr>
          <w:rtl/>
        </w:rPr>
      </w:pPr>
      <w:r w:rsidRPr="00747170">
        <w:rPr>
          <w:rtl/>
        </w:rPr>
        <w:lastRenderedPageBreak/>
        <w:t>ונראה לר"י דברייתא דלעיל איירי בבורר ביד והכא דמוקמי לה בנפה וכברה ברייתא אחריתי היא ואפי' לאלתר חייב חטאת וכן משמע מתוך פירוש ר"ח דפירש שיש ג' דינין בבורר לאלתר דביד מותר לכתחלה בקנון ובתמחוי פטור אבל אסור בנפה וכברה חייב חטאת.</w:t>
      </w:r>
    </w:p>
    <w:p w14:paraId="3FFA918D" w14:textId="589ADEC9" w:rsidR="008925FD" w:rsidRDefault="008925FD" w:rsidP="008925FD">
      <w:pPr>
        <w:pStyle w:val="afffff7"/>
        <w:rPr>
          <w:rtl/>
        </w:rPr>
      </w:pPr>
      <w:bookmarkStart w:id="2715" w:name="_Toc139277194"/>
      <w:bookmarkStart w:id="2716" w:name="_Toc163505897"/>
      <w:r>
        <w:rPr>
          <w:rtl/>
        </w:rPr>
        <w:t>חדושי הר"ן שבת ע"ד ע"א</w:t>
      </w:r>
      <w:r>
        <w:rPr>
          <w:rFonts w:hint="cs"/>
          <w:rtl/>
        </w:rPr>
        <w:t xml:space="preserve"> ד"ה היו</w:t>
      </w:r>
      <w:bookmarkEnd w:id="2715"/>
      <w:bookmarkEnd w:id="2716"/>
    </w:p>
    <w:p w14:paraId="0AAEA3A5" w14:textId="77777777" w:rsidR="008925FD" w:rsidRDefault="008925FD" w:rsidP="008925FD">
      <w:pPr>
        <w:pStyle w:val="a7"/>
        <w:rPr>
          <w:rtl/>
        </w:rPr>
      </w:pPr>
      <w:bookmarkStart w:id="2717" w:name="_Toc139277102"/>
      <w:r>
        <w:rPr>
          <w:rFonts w:hint="cs"/>
          <w:rtl/>
        </w:rPr>
        <w:t>הוכחת הר"ן דהברייתא הראשונה איירי ביד ולא בנפה דמוכח בביצה דביד לאח"ז חייב חטאת</w:t>
      </w:r>
      <w:bookmarkEnd w:id="2717"/>
    </w:p>
    <w:p w14:paraId="68C8A71D" w14:textId="1CF1004F" w:rsidR="008925FD" w:rsidRPr="00F8269E" w:rsidRDefault="008925FD" w:rsidP="00BC7DC8">
      <w:pPr>
        <w:pStyle w:val="a3"/>
        <w:rPr>
          <w:rtl/>
        </w:rPr>
      </w:pPr>
      <w:bookmarkStart w:id="2718" w:name="_Ref138430503"/>
      <w:r w:rsidRPr="00C51764">
        <w:rPr>
          <w:rFonts w:hint="cs"/>
          <w:rtl/>
        </w:rPr>
        <w:t>וכ</w:t>
      </w:r>
      <w:r w:rsidRPr="002E5429">
        <w:rPr>
          <w:rFonts w:hint="cs"/>
          <w:rtl/>
        </w:rPr>
        <w:t xml:space="preserve">"כ </w:t>
      </w:r>
      <w:r w:rsidRPr="002E5429">
        <w:rPr>
          <w:rStyle w:val="aff4"/>
          <w:rFonts w:hint="cs"/>
          <w:vanish/>
          <w:rtl/>
        </w:rPr>
        <w:t>-</w:t>
      </w:r>
      <w:r w:rsidRPr="002E5429">
        <w:rPr>
          <w:rStyle w:val="aff4"/>
          <w:rFonts w:hint="cs"/>
          <w:rtl/>
        </w:rPr>
        <w:t>ה</w:t>
      </w:r>
      <w:r w:rsidRPr="002E5429">
        <w:rPr>
          <w:rStyle w:val="aff4"/>
          <w:rFonts w:hint="cs"/>
          <w:vanish/>
          <w:rtl/>
        </w:rPr>
        <w:t xml:space="preserve">&lt;. </w:t>
      </w:r>
      <w:r w:rsidRPr="002E5429">
        <w:rPr>
          <w:rStyle w:val="aff4"/>
          <w:vanish/>
          <w:rtl/>
        </w:rPr>
        <w:fldChar w:fldCharType="begin"/>
      </w:r>
      <w:r w:rsidRPr="002E5429">
        <w:rPr>
          <w:rStyle w:val="aff4"/>
          <w:vanish/>
          <w:rtl/>
        </w:rPr>
        <w:instrText xml:space="preserve"> </w:instrText>
      </w:r>
      <w:r w:rsidRPr="002E5429">
        <w:rPr>
          <w:rStyle w:val="aff4"/>
          <w:rFonts w:hint="cs"/>
          <w:vanish/>
        </w:rPr>
        <w:instrText>REF</w:instrText>
      </w:r>
      <w:r w:rsidRPr="002E5429">
        <w:rPr>
          <w:rStyle w:val="aff4"/>
          <w:rFonts w:hint="cs"/>
          <w:vanish/>
          <w:rtl/>
        </w:rPr>
        <w:instrText xml:space="preserve"> _</w:instrText>
      </w:r>
      <w:r w:rsidRPr="002E5429">
        <w:rPr>
          <w:rStyle w:val="aff4"/>
          <w:rFonts w:hint="cs"/>
          <w:vanish/>
        </w:rPr>
        <w:instrText>Ref138430503 \r \h</w:instrText>
      </w:r>
      <w:r w:rsidRPr="002E5429">
        <w:rPr>
          <w:rStyle w:val="aff4"/>
          <w:vanish/>
          <w:rtl/>
        </w:rPr>
        <w:instrText xml:space="preserve"> </w:instrText>
      </w:r>
      <w:r w:rsidRPr="002E5429">
        <w:rPr>
          <w:rStyle w:val="aff4"/>
          <w:vanish/>
          <w:rtl/>
        </w:rPr>
      </w:r>
      <w:r w:rsidRPr="002E5429">
        <w:rPr>
          <w:rStyle w:val="aff4"/>
          <w:vanish/>
          <w:rtl/>
        </w:rPr>
        <w:fldChar w:fldCharType="separate"/>
      </w:r>
      <w:r w:rsidR="00D82181">
        <w:rPr>
          <w:rStyle w:val="aff4"/>
          <w:vanish/>
          <w:cs/>
        </w:rPr>
        <w:t>‎</w:t>
      </w:r>
      <w:r w:rsidR="00D82181">
        <w:rPr>
          <w:rStyle w:val="aff4"/>
          <w:vanish/>
          <w:rtl/>
        </w:rPr>
        <w:t>נג)</w:t>
      </w:r>
      <w:r w:rsidRPr="002E5429">
        <w:rPr>
          <w:rStyle w:val="aff4"/>
          <w:vanish/>
          <w:rtl/>
        </w:rPr>
        <w:fldChar w:fldCharType="end"/>
      </w:r>
      <w:r w:rsidRPr="002E5429">
        <w:rPr>
          <w:rStyle w:val="aff4"/>
          <w:rFonts w:hint="cs"/>
          <w:vanish/>
          <w:rtl/>
        </w:rPr>
        <w:t xml:space="preserve"> &gt;</w:t>
      </w:r>
      <w:r w:rsidRPr="002E5429">
        <w:rPr>
          <w:rStyle w:val="aff4"/>
          <w:rFonts w:hint="cs"/>
          <w:rtl/>
        </w:rPr>
        <w:t>ר"ן בחי'</w:t>
      </w:r>
      <w:r w:rsidRPr="002E5429">
        <w:rPr>
          <w:rStyle w:val="aff4"/>
          <w:rFonts w:hint="cs"/>
          <w:vanish/>
          <w:rtl/>
        </w:rPr>
        <w:t>-</w:t>
      </w:r>
      <w:r w:rsidRPr="002E5429">
        <w:rPr>
          <w:rFonts w:hint="cs"/>
          <w:rtl/>
        </w:rPr>
        <w:t xml:space="preserve"> </w:t>
      </w:r>
      <w:r w:rsidRPr="002E5429">
        <w:rPr>
          <w:rStyle w:val="af2"/>
          <w:rFonts w:eastAsia="Guttman Hodes" w:hint="cs"/>
          <w:rtl/>
        </w:rPr>
        <w:t>(ד"ה היו, על הרי"ף לב. מדה"ר ד"ה היו)</w:t>
      </w:r>
      <w:r w:rsidRPr="002E5429">
        <w:rPr>
          <w:rFonts w:hint="cs"/>
          <w:vanish/>
          <w:rtl/>
        </w:rPr>
        <w:t>=</w:t>
      </w:r>
      <w:r w:rsidRPr="002E5429">
        <w:rPr>
          <w:rFonts w:hint="cs"/>
          <w:rtl/>
        </w:rPr>
        <w:t xml:space="preserve"> דאף לאלתר אסור בקנון ותמחוי, והברייתא הראשונה איירי ביד דמותר, וכתב </w:t>
      </w:r>
      <w:r w:rsidRPr="002E5429">
        <w:rPr>
          <w:rStyle w:val="aff4"/>
          <w:rFonts w:hint="cs"/>
          <w:vanish/>
          <w:rtl/>
        </w:rPr>
        <w:t>-</w:t>
      </w:r>
      <w:r w:rsidRPr="002E5429">
        <w:rPr>
          <w:rStyle w:val="aff4"/>
          <w:rFonts w:hint="cs"/>
          <w:rtl/>
        </w:rPr>
        <w:t>הר"ן</w:t>
      </w:r>
      <w:r w:rsidRPr="002E5429">
        <w:rPr>
          <w:rStyle w:val="aff4"/>
          <w:rFonts w:hint="cs"/>
          <w:vanish/>
          <w:rtl/>
        </w:rPr>
        <w:t>-</w:t>
      </w:r>
      <w:r w:rsidRPr="002E5429">
        <w:rPr>
          <w:rFonts w:hint="cs"/>
          <w:rtl/>
        </w:rPr>
        <w:t xml:space="preserve"> דא"כ מבואר דלאחר זמן אף ביד חייב, ולאלתר ביד מותר ובקנון ותמחוי פטור אבל אסור, והביא </w:t>
      </w:r>
      <w:r w:rsidRPr="002E5429">
        <w:rPr>
          <w:rStyle w:val="aff4"/>
          <w:rFonts w:hint="cs"/>
          <w:vanish/>
          <w:rtl/>
        </w:rPr>
        <w:t>-</w:t>
      </w:r>
      <w:r w:rsidRPr="002E5429">
        <w:rPr>
          <w:rStyle w:val="aff4"/>
          <w:rFonts w:hint="cs"/>
          <w:rtl/>
        </w:rPr>
        <w:t>הר"ן</w:t>
      </w:r>
      <w:r w:rsidRPr="002E5429">
        <w:rPr>
          <w:rStyle w:val="aff4"/>
          <w:rFonts w:hint="cs"/>
          <w:vanish/>
          <w:rtl/>
        </w:rPr>
        <w:t>-</w:t>
      </w:r>
      <w:r w:rsidRPr="002E5429">
        <w:rPr>
          <w:rFonts w:hint="cs"/>
          <w:rtl/>
        </w:rPr>
        <w:t xml:space="preserve"> ראיה מהברייתא בביצה </w:t>
      </w:r>
      <w:r w:rsidRPr="002E5429">
        <w:rPr>
          <w:rStyle w:val="af2"/>
          <w:rFonts w:eastAsia="Guttman Hodes" w:hint="cs"/>
          <w:rtl/>
        </w:rPr>
        <w:t>(יב:)</w:t>
      </w:r>
      <w:r w:rsidRPr="002E5429">
        <w:rPr>
          <w:rFonts w:hint="cs"/>
          <w:rtl/>
        </w:rPr>
        <w:t xml:space="preserve"> דהמולל מלילות מער"ש מותר לנפח בשבת על יד ולאכול, ואסור בקנון ובתמחוי, ומבואר דאיירי באוכל לאלתר דהא לאחר זמן אסור אף לבו ביום, כדתנן במשנה בביצה דבמניח לתוך חיקו חייב ואמר ר"א דה"ה בשבת, וכתב </w:t>
      </w:r>
      <w:r w:rsidRPr="002E5429">
        <w:rPr>
          <w:rStyle w:val="aff4"/>
          <w:rFonts w:hint="cs"/>
          <w:vanish/>
          <w:rtl/>
        </w:rPr>
        <w:t>-</w:t>
      </w:r>
      <w:r w:rsidRPr="002E5429">
        <w:rPr>
          <w:rStyle w:val="aff4"/>
          <w:rFonts w:hint="cs"/>
          <w:rtl/>
        </w:rPr>
        <w:t>הר"ן</w:t>
      </w:r>
      <w:r w:rsidRPr="002E5429">
        <w:rPr>
          <w:rStyle w:val="aff4"/>
          <w:rFonts w:hint="cs"/>
          <w:vanish/>
          <w:rtl/>
        </w:rPr>
        <w:t>-</w:t>
      </w:r>
      <w:r w:rsidRPr="002E5429">
        <w:rPr>
          <w:rFonts w:hint="cs"/>
          <w:rtl/>
        </w:rPr>
        <w:t xml:space="preserve"> דמוכח דהברייתא שמקשה ממנה הגמ' על רב אשי היא ברייתא אחרת, והברייתא הראשונה איירי ביד ולא בנפה וכברה, ודלא </w:t>
      </w:r>
      <w:r w:rsidRPr="002E5429">
        <w:rPr>
          <w:rStyle w:val="aff4"/>
          <w:rFonts w:hint="cs"/>
          <w:vanish/>
          <w:rtl/>
        </w:rPr>
        <w:t>-</w:t>
      </w:r>
      <w:r w:rsidRPr="002E5429">
        <w:rPr>
          <w:rStyle w:val="aff4"/>
          <w:rFonts w:hint="cs"/>
          <w:rtl/>
        </w:rPr>
        <w:t>כרש"י</w:t>
      </w:r>
      <w:r w:rsidRPr="002E5429">
        <w:rPr>
          <w:rStyle w:val="aff4"/>
          <w:rFonts w:hint="cs"/>
          <w:vanish/>
          <w:rtl/>
        </w:rPr>
        <w:t>-</w:t>
      </w:r>
      <w:r w:rsidRPr="002E5429">
        <w:rPr>
          <w:rFonts w:hint="cs"/>
          <w:rtl/>
        </w:rPr>
        <w:t xml:space="preserve"> </w:t>
      </w:r>
      <w:r w:rsidRPr="002E5429">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Ref138664935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נא)</w:t>
      </w:r>
      <w:r>
        <w:rPr>
          <w:rStyle w:val="af2"/>
          <w:rFonts w:eastAsia="Guttman Hodes"/>
          <w:rtl/>
        </w:rPr>
        <w:fldChar w:fldCharType="end"/>
      </w:r>
      <w:r w:rsidRPr="002E5429">
        <w:rPr>
          <w:rFonts w:hint="cs"/>
          <w:rtl/>
        </w:rPr>
        <w:t xml:space="preserve">, וכתב </w:t>
      </w:r>
      <w:r w:rsidRPr="002E5429">
        <w:rPr>
          <w:rStyle w:val="aff4"/>
          <w:rFonts w:hint="cs"/>
          <w:vanish/>
          <w:rtl/>
        </w:rPr>
        <w:t>-</w:t>
      </w:r>
      <w:r w:rsidRPr="002E5429">
        <w:rPr>
          <w:rStyle w:val="aff4"/>
          <w:rFonts w:hint="cs"/>
          <w:rtl/>
        </w:rPr>
        <w:t>הר"ן</w:t>
      </w:r>
      <w:r w:rsidRPr="002E5429">
        <w:rPr>
          <w:rStyle w:val="aff4"/>
          <w:rFonts w:hint="cs"/>
          <w:vanish/>
          <w:rtl/>
        </w:rPr>
        <w:t>-</w:t>
      </w:r>
      <w:r w:rsidRPr="002E5429">
        <w:rPr>
          <w:rFonts w:hint="cs"/>
          <w:rtl/>
        </w:rPr>
        <w:t xml:space="preserve"> דא"כ מבואר דכל לאחר זמן אף ביד חייב חטאת ולאלתר ביד מותר כברייתא הראשונה ובקנון ולמחוי פטור אבל אסור כדעת רב אשי, ובנפה וכברה חייב כברייתא השניה, וכעי"ז הביא </w:t>
      </w:r>
      <w:r w:rsidRPr="002E5429">
        <w:rPr>
          <w:rStyle w:val="aff4"/>
          <w:rFonts w:hint="cs"/>
          <w:vanish/>
          <w:rtl/>
        </w:rPr>
        <w:t>-</w:t>
      </w:r>
      <w:r w:rsidRPr="002E5429">
        <w:rPr>
          <w:rStyle w:val="aff4"/>
          <w:rFonts w:hint="cs"/>
          <w:rtl/>
        </w:rPr>
        <w:t>הרמב"ן</w:t>
      </w:r>
      <w:r w:rsidRPr="002E5429">
        <w:rPr>
          <w:rStyle w:val="aff4"/>
          <w:rFonts w:hint="cs"/>
          <w:vanish/>
          <w:rtl/>
        </w:rPr>
        <w:t>-</w:t>
      </w:r>
      <w:r w:rsidRPr="002E5429">
        <w:rPr>
          <w:rFonts w:hint="cs"/>
          <w:rtl/>
        </w:rPr>
        <w:t xml:space="preserve"> </w:t>
      </w:r>
      <w:r w:rsidRPr="002E5429">
        <w:rPr>
          <w:rStyle w:val="af2"/>
          <w:rFonts w:eastAsia="Guttman Hodes" w:hint="cs"/>
          <w:rtl/>
        </w:rPr>
        <w:t xml:space="preserve">(עי' אות </w:t>
      </w:r>
      <w:r w:rsidRPr="002E5429">
        <w:rPr>
          <w:rStyle w:val="af2"/>
          <w:rFonts w:eastAsia="Guttman Hodes"/>
          <w:rtl/>
        </w:rPr>
        <w:fldChar w:fldCharType="begin"/>
      </w:r>
      <w:r w:rsidRPr="002E5429">
        <w:rPr>
          <w:rStyle w:val="af2"/>
          <w:rFonts w:eastAsia="Guttman Hodes"/>
          <w:rtl/>
        </w:rPr>
        <w:instrText xml:space="preserve"> </w:instrText>
      </w:r>
      <w:r w:rsidRPr="002E5429">
        <w:rPr>
          <w:rStyle w:val="af2"/>
          <w:rFonts w:eastAsia="Guttman Hodes" w:hint="cs"/>
        </w:rPr>
        <w:instrText>REF</w:instrText>
      </w:r>
      <w:r w:rsidRPr="002E5429">
        <w:rPr>
          <w:rStyle w:val="af2"/>
          <w:rFonts w:eastAsia="Guttman Hodes" w:hint="cs"/>
          <w:rtl/>
        </w:rPr>
        <w:instrText xml:space="preserve"> _</w:instrText>
      </w:r>
      <w:r w:rsidRPr="002E5429">
        <w:rPr>
          <w:rStyle w:val="af2"/>
          <w:rFonts w:eastAsia="Guttman Hodes" w:hint="cs"/>
        </w:rPr>
        <w:instrText>Ref138956620 \r \h</w:instrText>
      </w:r>
      <w:r w:rsidRPr="002E5429">
        <w:rPr>
          <w:rStyle w:val="af2"/>
          <w:rFonts w:eastAsia="Guttman Hodes"/>
          <w:rtl/>
        </w:rPr>
        <w:instrText xml:space="preserve"> </w:instrText>
      </w:r>
      <w:r w:rsidRPr="002E5429">
        <w:rPr>
          <w:rStyle w:val="af2"/>
          <w:rFonts w:eastAsia="Guttman Hodes"/>
          <w:rtl/>
        </w:rPr>
      </w:r>
      <w:r w:rsidRPr="002E5429">
        <w:rPr>
          <w:rStyle w:val="af2"/>
          <w:rFonts w:eastAsia="Guttman Hodes"/>
          <w:rtl/>
        </w:rPr>
        <w:fldChar w:fldCharType="separate"/>
      </w:r>
      <w:r w:rsidR="00D82181">
        <w:rPr>
          <w:rStyle w:val="af2"/>
          <w:rFonts w:eastAsia="Guttman Hodes"/>
          <w:cs/>
        </w:rPr>
        <w:t>‎</w:t>
      </w:r>
      <w:r w:rsidR="00D82181">
        <w:rPr>
          <w:rStyle w:val="af2"/>
          <w:rFonts w:eastAsia="Guttman Hodes"/>
          <w:rtl/>
        </w:rPr>
        <w:t>כב)</w:t>
      </w:r>
      <w:r w:rsidRPr="002E5429">
        <w:rPr>
          <w:rStyle w:val="af2"/>
          <w:rFonts w:eastAsia="Guttman Hodes"/>
          <w:rtl/>
        </w:rPr>
        <w:fldChar w:fldCharType="end"/>
      </w:r>
      <w:r w:rsidRPr="002E5429">
        <w:rPr>
          <w:rFonts w:hint="cs"/>
          <w:rtl/>
        </w:rPr>
        <w:t xml:space="preserve"> ראיה לביאור</w:t>
      </w:r>
      <w:r>
        <w:rPr>
          <w:rFonts w:hint="cs"/>
          <w:rtl/>
        </w:rPr>
        <w:t xml:space="preserve"> </w:t>
      </w:r>
      <w:r w:rsidRPr="006D53D5">
        <w:rPr>
          <w:rStyle w:val="aff4"/>
          <w:rFonts w:hint="cs"/>
          <w:vanish/>
          <w:rtl/>
        </w:rPr>
        <w:t>-</w:t>
      </w:r>
      <w:r w:rsidRPr="006D53D5">
        <w:rPr>
          <w:rStyle w:val="aff4"/>
          <w:rFonts w:hint="cs"/>
          <w:rtl/>
        </w:rPr>
        <w:t>ר"ח</w:t>
      </w:r>
      <w:r w:rsidRPr="006D53D5">
        <w:rPr>
          <w:rStyle w:val="aff4"/>
          <w:rFonts w:hint="cs"/>
          <w:vanish/>
          <w:rtl/>
        </w:rPr>
        <w:t>-</w:t>
      </w:r>
      <w:r w:rsidRPr="006D53D5">
        <w:rPr>
          <w:rFonts w:hint="cs"/>
          <w:rtl/>
        </w:rPr>
        <w:t>.</w:t>
      </w:r>
      <w:bookmarkEnd w:id="2718"/>
    </w:p>
    <w:p w14:paraId="74BFE9E2" w14:textId="77777777" w:rsidR="008925FD" w:rsidRPr="00747170" w:rsidRDefault="008925FD" w:rsidP="00747170">
      <w:pPr>
        <w:pStyle w:val="a2"/>
        <w:rPr>
          <w:rtl/>
        </w:rPr>
      </w:pPr>
      <w:r w:rsidRPr="00747170">
        <w:rPr>
          <w:rtl/>
        </w:rPr>
        <w:t>היו לפניו מיני אוכלין כו' והתניא חייב. פירוש רש"י ז"ל דמברייתא דלעיל פרכינן ולא מחוור דאם איתא כיון דמוקמינן לה בנפה וכברה משמע דרישא דההיא ברייתא דקא שריא לאלתר בנפה וכברה נמי היא דהא אביי לא מפליג בין רישא וסיפא אלא בין לאלתר ולבו ביום וליתא דלא מיבעיא בנפה וכברה אלא אפילו בקנון ותמחוי לאלתר נמי אסור</w:t>
      </w:r>
      <w:r w:rsidRPr="00747170">
        <w:rPr>
          <w:rFonts w:hint="cs"/>
          <w:rtl/>
        </w:rPr>
        <w:t xml:space="preserve">. </w:t>
      </w:r>
      <w:r w:rsidRPr="00747170">
        <w:rPr>
          <w:rtl/>
        </w:rPr>
        <w:t>וראיה לדבר מדתניא בפ"ק דביצה המולל מלילות מערב שבת למחר מנפח על יד על יד ואוכל אבל לא בקנון ולא בתמחוי וההיא ודאי לאלתר היא דאי לבו ביום הא אמרינן התם לענין מעשר המולל מלילות של חטים מנפח על יד על יד ואוכל ואם ניפח ונתן לתוך חיקו חייב ואמר ר' אליעזר וכן לשבת אלא ודאי הא דאמרינן והתניא חייב היינו ברייתא אחריתי (דמתני') [דמתניא] הכי היו לפניו מיני אוכל ובירר (ואוכל) [ואכל] ובירר והניח חייב מדקאמר בירר (ואוכל) [ואכל] משמע אפילו לאלתר ומשנינן דההיא בנפה וכברה וכי קאמר רב אשי פטור אבל אסור היינו בקנון ותמחוי ולאלתר וברייתא דקתני לעיל מותר מיירי ביד. ונמצא פסקן של דברים דכל לבו ביום אפי' ביד חייב חטאת לאלתר ביד מותר והיינו ברייתא דלעיל בקנון ובתמחוי פטור אבל אסור והיינו דרב אשי בנפה וכברה (חיוב) [חייב] חטאת והיינו הך בתרייתא דקתני חייב</w:t>
      </w:r>
      <w:r w:rsidRPr="00747170">
        <w:rPr>
          <w:rFonts w:hint="cs"/>
          <w:rtl/>
        </w:rPr>
        <w:t>.</w:t>
      </w:r>
      <w:r w:rsidRPr="00747170">
        <w:rPr>
          <w:rtl/>
        </w:rPr>
        <w:t xml:space="preserve"> </w:t>
      </w:r>
      <w:r w:rsidRPr="00747170">
        <w:rPr>
          <w:rStyle w:val="afff7"/>
          <w:rtl/>
        </w:rPr>
        <w:t>ושיעורא דלאלתר כתבו בשם ר"ח ז"ל (דכי) דהיינו שיעור מה שמסב על השלחן באותה סעודה בלבד.</w:t>
      </w:r>
    </w:p>
    <w:p w14:paraId="017C87F4" w14:textId="458CD68A" w:rsidR="008925FD" w:rsidRDefault="008925FD" w:rsidP="008925FD">
      <w:pPr>
        <w:pStyle w:val="afffff7"/>
        <w:rPr>
          <w:rtl/>
        </w:rPr>
      </w:pPr>
      <w:bookmarkStart w:id="2719" w:name="_Toc139277195"/>
      <w:bookmarkStart w:id="2720" w:name="_Toc163505898"/>
      <w:r>
        <w:rPr>
          <w:rtl/>
        </w:rPr>
        <w:t>חדושי הרמב"ן שבת ע"ד ע"א</w:t>
      </w:r>
      <w:r>
        <w:rPr>
          <w:rFonts w:hint="cs"/>
          <w:rtl/>
        </w:rPr>
        <w:t xml:space="preserve"> ד"ה והתניא</w:t>
      </w:r>
      <w:bookmarkEnd w:id="2719"/>
      <w:bookmarkEnd w:id="2720"/>
    </w:p>
    <w:p w14:paraId="21785111" w14:textId="77777777" w:rsidR="008925FD" w:rsidRDefault="008925FD" w:rsidP="008925FD">
      <w:pPr>
        <w:pStyle w:val="a7"/>
        <w:rPr>
          <w:rtl/>
        </w:rPr>
      </w:pPr>
      <w:bookmarkStart w:id="2721" w:name="_Toc139277103"/>
      <w:r>
        <w:rPr>
          <w:rFonts w:hint="cs"/>
          <w:rtl/>
        </w:rPr>
        <w:t>הבי' הא' ברמב"ן דבאוכל ופסולת נפה לאלתר מותר אך בב' מיני אוכלין נח' אף בקנון ותמחוי</w:t>
      </w:r>
      <w:bookmarkEnd w:id="2721"/>
    </w:p>
    <w:p w14:paraId="1FCAC036" w14:textId="7C01E6B6" w:rsidR="008925FD" w:rsidRPr="00BA7BCC" w:rsidRDefault="008925FD" w:rsidP="00BC7DC8">
      <w:pPr>
        <w:pStyle w:val="a3"/>
      </w:pPr>
      <w:bookmarkStart w:id="2722" w:name="_Ref138411125"/>
      <w:r w:rsidRPr="003571D2">
        <w:rPr>
          <w:rStyle w:val="aff4"/>
          <w:rFonts w:hint="cs"/>
          <w:vanish/>
          <w:rtl/>
        </w:rPr>
        <w:t>-</w:t>
      </w:r>
      <w:bookmarkStart w:id="2723" w:name="_Ref138966402"/>
      <w:r w:rsidRPr="00FE6CDD">
        <w:rPr>
          <w:rStyle w:val="aff4"/>
          <w:rFonts w:hint="cs"/>
          <w:rtl/>
        </w:rPr>
        <w:t>ו</w:t>
      </w:r>
      <w:r w:rsidRPr="003571D2">
        <w:rPr>
          <w:rStyle w:val="aff4"/>
          <w:rFonts w:hint="cs"/>
          <w:vanish/>
          <w:rtl/>
        </w:rPr>
        <w:t xml:space="preserve">&lt;. </w:t>
      </w:r>
      <w:r w:rsidRPr="003571D2">
        <w:rPr>
          <w:rStyle w:val="aff4"/>
          <w:vanish/>
          <w:rtl/>
        </w:rPr>
        <w:fldChar w:fldCharType="begin"/>
      </w:r>
      <w:r w:rsidRPr="003571D2">
        <w:rPr>
          <w:rStyle w:val="aff4"/>
          <w:vanish/>
          <w:rtl/>
        </w:rPr>
        <w:instrText xml:space="preserve"> </w:instrText>
      </w:r>
      <w:r w:rsidRPr="003571D2">
        <w:rPr>
          <w:rStyle w:val="aff4"/>
          <w:rFonts w:hint="cs"/>
          <w:vanish/>
        </w:rPr>
        <w:instrText>REF</w:instrText>
      </w:r>
      <w:r w:rsidRPr="003571D2">
        <w:rPr>
          <w:rStyle w:val="aff4"/>
          <w:rFonts w:hint="cs"/>
          <w:vanish/>
          <w:rtl/>
        </w:rPr>
        <w:instrText xml:space="preserve"> _</w:instrText>
      </w:r>
      <w:r w:rsidRPr="003571D2">
        <w:rPr>
          <w:rStyle w:val="aff4"/>
          <w:rFonts w:hint="cs"/>
          <w:vanish/>
        </w:rPr>
        <w:instrText>Ref138411125 \r \h</w:instrText>
      </w:r>
      <w:r w:rsidRPr="003571D2">
        <w:rPr>
          <w:rStyle w:val="aff4"/>
          <w:vanish/>
          <w:rtl/>
        </w:rPr>
        <w:instrText xml:space="preserve"> </w:instrText>
      </w:r>
      <w:r w:rsidRPr="003571D2">
        <w:rPr>
          <w:rStyle w:val="aff4"/>
          <w:vanish/>
          <w:rtl/>
        </w:rPr>
      </w:r>
      <w:r w:rsidRPr="003571D2">
        <w:rPr>
          <w:rStyle w:val="aff4"/>
          <w:vanish/>
          <w:rtl/>
        </w:rPr>
        <w:fldChar w:fldCharType="separate"/>
      </w:r>
      <w:r w:rsidR="00D82181">
        <w:rPr>
          <w:rStyle w:val="aff4"/>
          <w:vanish/>
          <w:cs/>
        </w:rPr>
        <w:t>‎</w:t>
      </w:r>
      <w:r w:rsidR="00D82181">
        <w:rPr>
          <w:rStyle w:val="aff4"/>
          <w:vanish/>
          <w:rtl/>
        </w:rPr>
        <w:t>נד)</w:t>
      </w:r>
      <w:r w:rsidRPr="003571D2">
        <w:rPr>
          <w:rStyle w:val="aff4"/>
          <w:vanish/>
          <w:rtl/>
        </w:rPr>
        <w:fldChar w:fldCharType="end"/>
      </w:r>
      <w:r w:rsidRPr="003571D2">
        <w:rPr>
          <w:rStyle w:val="aff4"/>
          <w:rFonts w:hint="cs"/>
          <w:vanish/>
          <w:rtl/>
        </w:rPr>
        <w:t xml:space="preserve"> &gt;</w:t>
      </w:r>
      <w:r w:rsidRPr="00FE6CDD">
        <w:rPr>
          <w:rStyle w:val="aff4"/>
          <w:rFonts w:hint="cs"/>
          <w:rtl/>
        </w:rPr>
        <w:t>הרמב"ן</w:t>
      </w:r>
      <w:r w:rsidRPr="003571D2">
        <w:rPr>
          <w:rStyle w:val="aff4"/>
          <w:rFonts w:hint="cs"/>
          <w:vanish/>
          <w:rtl/>
        </w:rPr>
        <w:t>-</w:t>
      </w:r>
      <w:r>
        <w:rPr>
          <w:rFonts w:hint="cs"/>
          <w:rtl/>
        </w:rPr>
        <w:t xml:space="preserve"> </w:t>
      </w:r>
      <w:r w:rsidRPr="000D251D">
        <w:rPr>
          <w:rStyle w:val="af2"/>
          <w:rFonts w:eastAsia="Guttman Hodes" w:hint="cs"/>
          <w:rtl/>
        </w:rPr>
        <w:t>(ד"ה והתניא)</w:t>
      </w:r>
      <w:r w:rsidRPr="003571D2">
        <w:rPr>
          <w:rFonts w:hint="cs"/>
          <w:vanish/>
          <w:rtl/>
        </w:rPr>
        <w:t>=</w:t>
      </w:r>
      <w:r>
        <w:rPr>
          <w:rFonts w:hint="cs"/>
          <w:rtl/>
        </w:rPr>
        <w:t xml:space="preserve"> ביאר </w:t>
      </w:r>
      <w:r w:rsidRPr="000D251D">
        <w:rPr>
          <w:rStyle w:val="af"/>
          <w:rFonts w:hint="cs"/>
          <w:rtl/>
        </w:rPr>
        <w:t xml:space="preserve">[לפי ביאור </w:t>
      </w:r>
      <w:r w:rsidRPr="009B1F18">
        <w:rPr>
          <w:rStyle w:val="aff9"/>
          <w:rFonts w:hint="cs"/>
          <w:vanish/>
          <w:rtl/>
        </w:rPr>
        <w:t>-</w:t>
      </w:r>
      <w:r w:rsidRPr="009B1F18">
        <w:rPr>
          <w:rStyle w:val="aff9"/>
          <w:rFonts w:hint="cs"/>
          <w:rtl/>
        </w:rPr>
        <w:t>רש"י</w:t>
      </w:r>
      <w:r w:rsidRPr="009B1F18">
        <w:rPr>
          <w:rStyle w:val="aff9"/>
          <w:rFonts w:hint="cs"/>
          <w:vanish/>
          <w:rtl/>
        </w:rPr>
        <w:t>-</w:t>
      </w:r>
      <w:r w:rsidRPr="000D251D">
        <w:rPr>
          <w:rStyle w:val="af"/>
          <w:rFonts w:hint="cs"/>
          <w:rtl/>
        </w:rPr>
        <w:t xml:space="preserve"> דהעמיד את הברייתא הראשונה בנפה וכברה]</w:t>
      </w:r>
      <w:r>
        <w:rPr>
          <w:rStyle w:val="af"/>
          <w:rFonts w:hint="cs"/>
          <w:rtl/>
        </w:rPr>
        <w:t>,</w:t>
      </w:r>
      <w:r>
        <w:rPr>
          <w:rFonts w:hint="cs"/>
          <w:rtl/>
        </w:rPr>
        <w:t xml:space="preserve"> דהברייתא הראשונה איירי באוכל ופסולת מעורבין ולכן לאחר זמן בקנון ותמחוי פטור אבל אסור, ובנפה וכברה חייב חטאת, אבל לאלתר מותר, ובברייתא השניה איירי בשני מיני אוכלין דכיון שאין בזה פסולת כלל, נחלקו בזה רב אשי ורב ירמיה מדיפתי אף בקנון ותמחוי לבו ביום אי חייב או פטור, אבל לאלתר מותר, אך כתב </w:t>
      </w:r>
      <w:r w:rsidRPr="003571D2">
        <w:rPr>
          <w:rStyle w:val="aff4"/>
          <w:rFonts w:hint="cs"/>
          <w:vanish/>
          <w:rtl/>
        </w:rPr>
        <w:t>-</w:t>
      </w:r>
      <w:r w:rsidRPr="00FE6CDD">
        <w:rPr>
          <w:rStyle w:val="aff4"/>
          <w:rFonts w:hint="cs"/>
          <w:rtl/>
        </w:rPr>
        <w:t>הרמב"ן</w:t>
      </w:r>
      <w:r w:rsidRPr="003571D2">
        <w:rPr>
          <w:rStyle w:val="aff4"/>
          <w:rFonts w:hint="cs"/>
          <w:vanish/>
          <w:rtl/>
        </w:rPr>
        <w:t>-</w:t>
      </w:r>
      <w:r>
        <w:rPr>
          <w:rFonts w:hint="cs"/>
          <w:rtl/>
        </w:rPr>
        <w:t xml:space="preserve"> </w:t>
      </w:r>
      <w:r>
        <w:rPr>
          <w:rStyle w:val="af2"/>
          <w:rFonts w:eastAsia="Guttman Hodes" w:hint="cs"/>
          <w:rtl/>
        </w:rPr>
        <w:t>(</w:t>
      </w:r>
      <w:r w:rsidRPr="00A3769A">
        <w:rPr>
          <w:rStyle w:val="af2"/>
          <w:rFonts w:eastAsia="Guttman Hodes" w:hint="cs"/>
          <w:rtl/>
        </w:rPr>
        <w:t xml:space="preserve">עי' אות </w:t>
      </w:r>
      <w:r w:rsidRPr="00A3769A">
        <w:rPr>
          <w:rStyle w:val="af2"/>
          <w:rFonts w:eastAsia="Guttman Hodes"/>
          <w:rtl/>
        </w:rPr>
        <w:fldChar w:fldCharType="begin"/>
      </w:r>
      <w:r w:rsidRPr="00A3769A">
        <w:rPr>
          <w:rStyle w:val="af2"/>
          <w:rFonts w:eastAsia="Guttman Hodes"/>
          <w:rtl/>
        </w:rPr>
        <w:instrText xml:space="preserve"> </w:instrText>
      </w:r>
      <w:r w:rsidRPr="00A3769A">
        <w:rPr>
          <w:rStyle w:val="af2"/>
          <w:rFonts w:eastAsia="Guttman Hodes" w:hint="cs"/>
        </w:rPr>
        <w:instrText>REF</w:instrText>
      </w:r>
      <w:r w:rsidRPr="00A3769A">
        <w:rPr>
          <w:rStyle w:val="af2"/>
          <w:rFonts w:eastAsia="Guttman Hodes" w:hint="cs"/>
          <w:rtl/>
        </w:rPr>
        <w:instrText xml:space="preserve"> _</w:instrText>
      </w:r>
      <w:r w:rsidRPr="00A3769A">
        <w:rPr>
          <w:rStyle w:val="af2"/>
          <w:rFonts w:eastAsia="Guttman Hodes" w:hint="cs"/>
        </w:rPr>
        <w:instrText>Ref138956620 \r \h</w:instrText>
      </w:r>
      <w:r w:rsidRPr="00A3769A">
        <w:rPr>
          <w:rStyle w:val="af2"/>
          <w:rFonts w:eastAsia="Guttman Hodes"/>
          <w:rtl/>
        </w:rPr>
        <w:instrText xml:space="preserve"> </w:instrText>
      </w:r>
      <w:r w:rsidRPr="00A3769A">
        <w:rPr>
          <w:rStyle w:val="af2"/>
          <w:rFonts w:eastAsia="Guttman Hodes"/>
          <w:rtl/>
        </w:rPr>
      </w:r>
      <w:r w:rsidRPr="00A3769A">
        <w:rPr>
          <w:rStyle w:val="af2"/>
          <w:rFonts w:eastAsia="Guttman Hodes"/>
          <w:rtl/>
        </w:rPr>
        <w:fldChar w:fldCharType="separate"/>
      </w:r>
      <w:r w:rsidR="00D82181">
        <w:rPr>
          <w:rStyle w:val="af2"/>
          <w:rFonts w:eastAsia="Guttman Hodes"/>
          <w:cs/>
        </w:rPr>
        <w:t>‎</w:t>
      </w:r>
      <w:r w:rsidR="00D82181">
        <w:rPr>
          <w:rStyle w:val="af2"/>
          <w:rFonts w:eastAsia="Guttman Hodes"/>
          <w:rtl/>
        </w:rPr>
        <w:t>כב)</w:t>
      </w:r>
      <w:r w:rsidRPr="00A3769A">
        <w:rPr>
          <w:rStyle w:val="af2"/>
          <w:rFonts w:eastAsia="Guttman Hodes"/>
          <w:rtl/>
        </w:rPr>
        <w:fldChar w:fldCharType="end"/>
      </w:r>
      <w:r>
        <w:rPr>
          <w:rFonts w:hint="cs"/>
          <w:rtl/>
        </w:rPr>
        <w:t xml:space="preserve"> דהעיקר הוא כביאור </w:t>
      </w:r>
      <w:r w:rsidRPr="003571D2">
        <w:rPr>
          <w:rStyle w:val="aff4"/>
          <w:rFonts w:hint="cs"/>
          <w:vanish/>
          <w:rtl/>
        </w:rPr>
        <w:t>-</w:t>
      </w:r>
      <w:r w:rsidRPr="00FE6CDD">
        <w:rPr>
          <w:rStyle w:val="aff4"/>
          <w:rFonts w:hint="cs"/>
          <w:rtl/>
        </w:rPr>
        <w:t>ר"ח</w:t>
      </w:r>
      <w:r w:rsidRPr="003571D2">
        <w:rPr>
          <w:rStyle w:val="aff4"/>
          <w:rFonts w:hint="cs"/>
          <w:vanish/>
          <w:rtl/>
        </w:rPr>
        <w:t>-</w:t>
      </w:r>
      <w:r>
        <w:rPr>
          <w:rFonts w:hint="cs"/>
          <w:rtl/>
        </w:rPr>
        <w:t xml:space="preserve"> </w:t>
      </w:r>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Ref139187404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w:t>
      </w:r>
      <w:r>
        <w:rPr>
          <w:rStyle w:val="af2"/>
          <w:rFonts w:eastAsia="Guttman Hodes"/>
          <w:rtl/>
        </w:rPr>
        <w:fldChar w:fldCharType="end"/>
      </w:r>
      <w:r>
        <w:rPr>
          <w:rFonts w:hint="cs"/>
          <w:rtl/>
        </w:rPr>
        <w:t>.</w:t>
      </w:r>
      <w:bookmarkEnd w:id="2722"/>
      <w:bookmarkEnd w:id="2723"/>
    </w:p>
    <w:p w14:paraId="403C9E16" w14:textId="77777777" w:rsidR="008925FD" w:rsidRPr="00747170" w:rsidRDefault="008925FD" w:rsidP="00747170">
      <w:pPr>
        <w:pStyle w:val="a2"/>
      </w:pPr>
      <w:r w:rsidRPr="00747170">
        <w:rPr>
          <w:rtl/>
        </w:rPr>
        <w:t>ויש לפרש דברייתא אחרת היא ופלוגתא דרב אשי ורב ירמיה מדיפתי בשני מיני אוכלין שאין בהן פסולת כלל לפיכך נחלקו בה בקנון ובתמחוי ואפילו לבו ביום דמר פטר ומר מחייב אבל לאלתר מותר, וברייתא דלעיל באוכל ופסולת מעורבין ובקנון ובתמחוי ומשום הכי לבו ביום חייב חטאת ומיהו לאלתר מותר</w:t>
      </w:r>
      <w:r w:rsidRPr="00747170">
        <w:rPr>
          <w:rFonts w:hint="cs"/>
          <w:rtl/>
        </w:rPr>
        <w:t>.</w:t>
      </w:r>
    </w:p>
    <w:p w14:paraId="7089989B" w14:textId="77777777" w:rsidR="008925FD" w:rsidRDefault="008925FD" w:rsidP="008925FD">
      <w:pPr>
        <w:pStyle w:val="afffff7"/>
        <w:rPr>
          <w:rtl/>
        </w:rPr>
      </w:pPr>
      <w:bookmarkStart w:id="2724" w:name="_Toc138757455"/>
      <w:bookmarkStart w:id="2725" w:name="_Toc139277196"/>
      <w:bookmarkStart w:id="2726" w:name="_Hlk138090793"/>
      <w:bookmarkStart w:id="2727" w:name="_Toc163505899"/>
      <w:r w:rsidRPr="007D5064">
        <w:rPr>
          <w:rtl/>
        </w:rPr>
        <w:t xml:space="preserve">אגלי טל בורר </w:t>
      </w:r>
      <w:r w:rsidRPr="007D5064">
        <w:rPr>
          <w:rFonts w:hint="cs"/>
          <w:rtl/>
        </w:rPr>
        <w:t xml:space="preserve">סק"א </w:t>
      </w:r>
      <w:r w:rsidRPr="007D5064">
        <w:rPr>
          <w:rtl/>
        </w:rPr>
        <w:t xml:space="preserve">אות </w:t>
      </w:r>
      <w:r>
        <w:rPr>
          <w:rFonts w:hint="cs"/>
          <w:rtl/>
        </w:rPr>
        <w:t>ט</w:t>
      </w:r>
      <w:r w:rsidRPr="007D5064">
        <w:rPr>
          <w:rFonts w:hint="cs"/>
          <w:rtl/>
        </w:rPr>
        <w:t>'</w:t>
      </w:r>
      <w:bookmarkEnd w:id="2724"/>
      <w:bookmarkEnd w:id="2725"/>
      <w:bookmarkEnd w:id="2727"/>
    </w:p>
    <w:p w14:paraId="69B055F6" w14:textId="77777777" w:rsidR="008925FD" w:rsidRDefault="008925FD" w:rsidP="008925FD">
      <w:pPr>
        <w:pStyle w:val="a7"/>
        <w:rPr>
          <w:rtl/>
        </w:rPr>
      </w:pPr>
      <w:bookmarkStart w:id="2728" w:name="_Toc138757415"/>
      <w:bookmarkStart w:id="2729" w:name="_Toc139277104"/>
      <w:r>
        <w:rPr>
          <w:rFonts w:hint="cs"/>
          <w:rtl/>
        </w:rPr>
        <w:t>בי' האגל"ט ברש"י דנפה לאלתר מותר</w:t>
      </w:r>
      <w:bookmarkEnd w:id="2728"/>
      <w:r>
        <w:rPr>
          <w:rFonts w:hint="cs"/>
          <w:rtl/>
        </w:rPr>
        <w:t xml:space="preserve"> דכל הברייתא בנפה ולאביי לאלתר מותר ולאח"ז חייב</w:t>
      </w:r>
      <w:bookmarkEnd w:id="2729"/>
    </w:p>
    <w:p w14:paraId="2CDEAEB0" w14:textId="6581D3B6" w:rsidR="008925FD" w:rsidRDefault="008925FD" w:rsidP="00BC7DC8">
      <w:pPr>
        <w:pStyle w:val="a3"/>
        <w:rPr>
          <w:rtl/>
        </w:rPr>
      </w:pPr>
      <w:bookmarkStart w:id="2730" w:name="_Ref137819457"/>
      <w:bookmarkStart w:id="2731" w:name="_Ref139276659"/>
      <w:bookmarkStart w:id="2732" w:name="_Ref137984512"/>
      <w:r>
        <w:rPr>
          <w:rFonts w:hint="cs"/>
          <w:rtl/>
        </w:rPr>
        <w:t xml:space="preserve">וכתב </w:t>
      </w:r>
      <w:r w:rsidRPr="005305D6">
        <w:rPr>
          <w:rStyle w:val="aff4"/>
          <w:rFonts w:hint="cs"/>
          <w:vanish/>
          <w:rtl/>
        </w:rPr>
        <w:t>-</w:t>
      </w:r>
      <w:r w:rsidRPr="00B8766B">
        <w:rPr>
          <w:rStyle w:val="aff4"/>
          <w:rFonts w:hint="cs"/>
          <w:rtl/>
        </w:rPr>
        <w:t>ה</w:t>
      </w:r>
      <w:r w:rsidRPr="00990EB8">
        <w:rPr>
          <w:rStyle w:val="aff4"/>
          <w:rFonts w:hint="cs"/>
          <w:vanish/>
          <w:rtl/>
        </w:rPr>
        <w:t xml:space="preserve">&lt;. </w:t>
      </w:r>
      <w:r w:rsidRPr="00990EB8">
        <w:rPr>
          <w:rStyle w:val="aff4"/>
          <w:vanish/>
          <w:rtl/>
        </w:rPr>
        <w:fldChar w:fldCharType="begin"/>
      </w:r>
      <w:r w:rsidRPr="00990EB8">
        <w:rPr>
          <w:rStyle w:val="aff4"/>
          <w:vanish/>
          <w:rtl/>
        </w:rPr>
        <w:instrText xml:space="preserve"> </w:instrText>
      </w:r>
      <w:r w:rsidRPr="00990EB8">
        <w:rPr>
          <w:rStyle w:val="aff4"/>
          <w:rFonts w:hint="cs"/>
          <w:vanish/>
        </w:rPr>
        <w:instrText>REF</w:instrText>
      </w:r>
      <w:r w:rsidRPr="00990EB8">
        <w:rPr>
          <w:rStyle w:val="aff4"/>
          <w:rFonts w:hint="cs"/>
          <w:vanish/>
          <w:rtl/>
        </w:rPr>
        <w:instrText xml:space="preserve"> _</w:instrText>
      </w:r>
      <w:r w:rsidRPr="00990EB8">
        <w:rPr>
          <w:rStyle w:val="aff4"/>
          <w:rFonts w:hint="cs"/>
          <w:vanish/>
        </w:rPr>
        <w:instrText>Ref137819457 \r \h</w:instrText>
      </w:r>
      <w:r w:rsidRPr="00990EB8">
        <w:rPr>
          <w:rStyle w:val="aff4"/>
          <w:vanish/>
          <w:rtl/>
        </w:rPr>
        <w:instrText xml:space="preserve"> </w:instrText>
      </w:r>
      <w:r w:rsidRPr="00990EB8">
        <w:rPr>
          <w:rStyle w:val="aff4"/>
          <w:vanish/>
          <w:rtl/>
        </w:rPr>
      </w:r>
      <w:r w:rsidRPr="00990EB8">
        <w:rPr>
          <w:rStyle w:val="aff4"/>
          <w:vanish/>
          <w:rtl/>
        </w:rPr>
        <w:fldChar w:fldCharType="separate"/>
      </w:r>
      <w:r w:rsidR="00D82181">
        <w:rPr>
          <w:rStyle w:val="aff4"/>
          <w:vanish/>
          <w:cs/>
        </w:rPr>
        <w:t>‎</w:t>
      </w:r>
      <w:r w:rsidR="00D82181">
        <w:rPr>
          <w:rStyle w:val="aff4"/>
          <w:vanish/>
          <w:rtl/>
        </w:rPr>
        <w:t>נה)</w:t>
      </w:r>
      <w:r w:rsidRPr="00990EB8">
        <w:rPr>
          <w:rStyle w:val="aff4"/>
          <w:vanish/>
          <w:rtl/>
        </w:rPr>
        <w:fldChar w:fldCharType="end"/>
      </w:r>
      <w:r w:rsidRPr="00990EB8">
        <w:rPr>
          <w:rStyle w:val="aff4"/>
          <w:rFonts w:hint="cs"/>
          <w:vanish/>
          <w:rtl/>
        </w:rPr>
        <w:t xml:space="preserve"> &gt;</w:t>
      </w:r>
      <w:r w:rsidRPr="00B8766B">
        <w:rPr>
          <w:rStyle w:val="aff4"/>
          <w:rFonts w:hint="cs"/>
          <w:rtl/>
        </w:rPr>
        <w:t>אגלי טל</w:t>
      </w:r>
      <w:r w:rsidRPr="005305D6">
        <w:rPr>
          <w:rStyle w:val="aff4"/>
          <w:rFonts w:hint="cs"/>
          <w:vanish/>
          <w:rtl/>
        </w:rPr>
        <w:t>-</w:t>
      </w:r>
      <w:r>
        <w:rPr>
          <w:rFonts w:hint="cs"/>
          <w:rtl/>
        </w:rPr>
        <w:t xml:space="preserve"> </w:t>
      </w:r>
      <w:r w:rsidRPr="00E9416F">
        <w:rPr>
          <w:rStyle w:val="af2"/>
          <w:rFonts w:eastAsia="Guttman Hodes" w:hint="cs"/>
          <w:rtl/>
        </w:rPr>
        <w:t>(בורר סק"א אות ט')</w:t>
      </w:r>
      <w:r w:rsidRPr="005305D6">
        <w:rPr>
          <w:rFonts w:hint="cs"/>
          <w:vanish/>
          <w:rtl/>
        </w:rPr>
        <w:t>=</w:t>
      </w:r>
      <w:r>
        <w:rPr>
          <w:rFonts w:hint="cs"/>
          <w:rtl/>
        </w:rPr>
        <w:t xml:space="preserve"> דא"כ מדברי </w:t>
      </w:r>
      <w:r w:rsidRPr="005305D6">
        <w:rPr>
          <w:rStyle w:val="aff4"/>
          <w:rFonts w:hint="cs"/>
          <w:vanish/>
          <w:rtl/>
        </w:rPr>
        <w:t>-</w:t>
      </w:r>
      <w:r w:rsidRPr="00B8766B">
        <w:rPr>
          <w:rStyle w:val="aff4"/>
          <w:rFonts w:hint="cs"/>
          <w:rtl/>
        </w:rPr>
        <w:t>רש"י</w:t>
      </w:r>
      <w:r w:rsidRPr="005305D6">
        <w:rPr>
          <w:rStyle w:val="aff4"/>
          <w:rFonts w:hint="cs"/>
          <w:vanish/>
          <w:rtl/>
        </w:rPr>
        <w:t>-</w:t>
      </w:r>
      <w:r>
        <w:rPr>
          <w:rFonts w:hint="cs"/>
          <w:rtl/>
        </w:rPr>
        <w:t xml:space="preserve"> </w:t>
      </w:r>
      <w:r w:rsidRPr="00754359">
        <w:rPr>
          <w:rStyle w:val="af2"/>
          <w:rFonts w:eastAsia="Guttman Rashi" w:hint="cs"/>
          <w:rtl/>
        </w:rPr>
        <w:t xml:space="preserve">(עי' אות </w:t>
      </w:r>
      <w:r w:rsidRPr="00754359">
        <w:rPr>
          <w:rStyle w:val="af2"/>
          <w:rFonts w:eastAsia="Guttman Rashi"/>
          <w:rtl/>
        </w:rPr>
        <w:fldChar w:fldCharType="begin"/>
      </w:r>
      <w:r w:rsidRPr="00754359">
        <w:rPr>
          <w:rStyle w:val="af2"/>
          <w:rFonts w:eastAsia="Guttman Rashi"/>
          <w:rtl/>
        </w:rPr>
        <w:instrText xml:space="preserve"> </w:instrText>
      </w:r>
      <w:r w:rsidRPr="00754359">
        <w:rPr>
          <w:rStyle w:val="af2"/>
          <w:rFonts w:eastAsia="Guttman Rashi" w:hint="cs"/>
        </w:rPr>
        <w:instrText>REF</w:instrText>
      </w:r>
      <w:r w:rsidRPr="00754359">
        <w:rPr>
          <w:rStyle w:val="af2"/>
          <w:rFonts w:eastAsia="Guttman Rashi" w:hint="cs"/>
          <w:rtl/>
        </w:rPr>
        <w:instrText xml:space="preserve"> _</w:instrText>
      </w:r>
      <w:r w:rsidRPr="00754359">
        <w:rPr>
          <w:rStyle w:val="af2"/>
          <w:rFonts w:eastAsia="Guttman Rashi" w:hint="cs"/>
        </w:rPr>
        <w:instrText>Ref138664935 \r \h</w:instrText>
      </w:r>
      <w:r w:rsidRPr="00754359">
        <w:rPr>
          <w:rStyle w:val="af2"/>
          <w:rFonts w:eastAsia="Guttman Rashi"/>
          <w:rtl/>
        </w:rPr>
        <w:instrText xml:space="preserve"> </w:instrText>
      </w:r>
      <w:r w:rsidRPr="00754359">
        <w:rPr>
          <w:rStyle w:val="af2"/>
          <w:rFonts w:eastAsia="Guttman Rashi"/>
          <w:rtl/>
        </w:rPr>
      </w:r>
      <w:r w:rsidRPr="00754359">
        <w:rPr>
          <w:rStyle w:val="af2"/>
          <w:rFonts w:eastAsia="Guttman Rashi"/>
          <w:rtl/>
        </w:rPr>
        <w:fldChar w:fldCharType="separate"/>
      </w:r>
      <w:r w:rsidR="00D82181">
        <w:rPr>
          <w:rStyle w:val="af2"/>
          <w:rFonts w:eastAsia="Guttman Rashi"/>
          <w:cs/>
        </w:rPr>
        <w:t>‎</w:t>
      </w:r>
      <w:r w:rsidR="00D82181">
        <w:rPr>
          <w:rStyle w:val="af2"/>
          <w:rFonts w:eastAsia="Guttman Rashi"/>
          <w:rtl/>
        </w:rPr>
        <w:t>נא)</w:t>
      </w:r>
      <w:r w:rsidRPr="00754359">
        <w:rPr>
          <w:rStyle w:val="af2"/>
          <w:rFonts w:eastAsia="Guttman Rashi"/>
          <w:rtl/>
        </w:rPr>
        <w:fldChar w:fldCharType="end"/>
      </w:r>
      <w:r>
        <w:rPr>
          <w:rFonts w:hint="cs"/>
          <w:rtl/>
        </w:rPr>
        <w:t xml:space="preserve"> מבואר</w:t>
      </w:r>
      <w:bookmarkStart w:id="2733" w:name="_Hlk137979431"/>
      <w:r>
        <w:rPr>
          <w:rFonts w:hint="cs"/>
          <w:rtl/>
        </w:rPr>
        <w:t xml:space="preserve"> דכל הברייתא איירי בנפה וכברה, וס"ל דנפה וכברה באוכל מתוך פסולת לאלתר מותר, </w:t>
      </w:r>
      <w:r w:rsidRPr="00E9416F">
        <w:rPr>
          <w:rStyle w:val="af"/>
          <w:rFonts w:hint="cs"/>
          <w:rtl/>
        </w:rPr>
        <w:t xml:space="preserve">[כדביארו </w:t>
      </w:r>
      <w:r w:rsidRPr="00E9416F">
        <w:rPr>
          <w:rStyle w:val="aff9"/>
          <w:rFonts w:hint="cs"/>
          <w:vanish/>
          <w:rtl/>
        </w:rPr>
        <w:t>-</w:t>
      </w:r>
      <w:r w:rsidRPr="00E9416F">
        <w:rPr>
          <w:rStyle w:val="aff9"/>
          <w:rFonts w:hint="cs"/>
          <w:rtl/>
        </w:rPr>
        <w:t>התוס'</w:t>
      </w:r>
      <w:r w:rsidRPr="00E9416F">
        <w:rPr>
          <w:rStyle w:val="aff9"/>
          <w:rFonts w:hint="cs"/>
          <w:vanish/>
          <w:rtl/>
        </w:rPr>
        <w:t>-</w:t>
      </w:r>
      <w:r w:rsidRPr="00E9416F">
        <w:rPr>
          <w:rStyle w:val="af"/>
          <w:rFonts w:hint="cs"/>
          <w:rtl/>
        </w:rPr>
        <w:t xml:space="preserve"> </w:t>
      </w:r>
      <w:r w:rsidRPr="00E9416F">
        <w:rPr>
          <w:rStyle w:val="aff0"/>
          <w:rFonts w:hint="cs"/>
          <w:rtl/>
        </w:rPr>
        <w:t xml:space="preserve">(עי' אות </w:t>
      </w:r>
      <w:r w:rsidRPr="00E9416F">
        <w:rPr>
          <w:rStyle w:val="aff0"/>
          <w:rtl/>
        </w:rPr>
        <w:fldChar w:fldCharType="begin"/>
      </w:r>
      <w:r w:rsidRPr="00E9416F">
        <w:rPr>
          <w:rStyle w:val="aff0"/>
          <w:rtl/>
        </w:rPr>
        <w:instrText xml:space="preserve"> </w:instrText>
      </w:r>
      <w:r w:rsidRPr="00E9416F">
        <w:rPr>
          <w:rStyle w:val="aff0"/>
          <w:rFonts w:hint="cs"/>
        </w:rPr>
        <w:instrText>REF</w:instrText>
      </w:r>
      <w:r w:rsidRPr="00E9416F">
        <w:rPr>
          <w:rStyle w:val="aff0"/>
          <w:rFonts w:hint="cs"/>
          <w:rtl/>
        </w:rPr>
        <w:instrText xml:space="preserve"> _</w:instrText>
      </w:r>
      <w:r w:rsidRPr="00E9416F">
        <w:rPr>
          <w:rStyle w:val="aff0"/>
          <w:rFonts w:hint="cs"/>
        </w:rPr>
        <w:instrText>Ref138664935 \r \h</w:instrText>
      </w:r>
      <w:r w:rsidRPr="00E9416F">
        <w:rPr>
          <w:rStyle w:val="aff0"/>
          <w:rtl/>
        </w:rPr>
        <w:instrText xml:space="preserve"> </w:instrText>
      </w:r>
      <w:r w:rsidRPr="00E9416F">
        <w:rPr>
          <w:rStyle w:val="aff0"/>
          <w:rtl/>
        </w:rPr>
      </w:r>
      <w:r w:rsidRPr="00E9416F">
        <w:rPr>
          <w:rStyle w:val="aff0"/>
          <w:rtl/>
        </w:rPr>
        <w:fldChar w:fldCharType="separate"/>
      </w:r>
      <w:r w:rsidR="00D82181">
        <w:rPr>
          <w:rStyle w:val="aff0"/>
          <w:cs/>
        </w:rPr>
        <w:t>‎</w:t>
      </w:r>
      <w:r w:rsidR="00D82181">
        <w:rPr>
          <w:rStyle w:val="aff0"/>
          <w:rtl/>
        </w:rPr>
        <w:t>נא)</w:t>
      </w:r>
      <w:r w:rsidRPr="00E9416F">
        <w:rPr>
          <w:rStyle w:val="aff0"/>
          <w:rtl/>
        </w:rPr>
        <w:fldChar w:fldCharType="end"/>
      </w:r>
      <w:r w:rsidRPr="00E9416F">
        <w:rPr>
          <w:rStyle w:val="af"/>
          <w:rFonts w:hint="cs"/>
          <w:rtl/>
        </w:rPr>
        <w:t xml:space="preserve"> בדעת </w:t>
      </w:r>
      <w:r w:rsidRPr="00E9416F">
        <w:rPr>
          <w:rStyle w:val="aff9"/>
          <w:rFonts w:hint="cs"/>
          <w:vanish/>
          <w:rtl/>
        </w:rPr>
        <w:t>-</w:t>
      </w:r>
      <w:r w:rsidRPr="00E9416F">
        <w:rPr>
          <w:rStyle w:val="aff9"/>
          <w:rFonts w:hint="cs"/>
          <w:rtl/>
        </w:rPr>
        <w:t>רש"י</w:t>
      </w:r>
      <w:r w:rsidRPr="00E9416F">
        <w:rPr>
          <w:rStyle w:val="aff9"/>
          <w:rFonts w:hint="cs"/>
          <w:vanish/>
          <w:rtl/>
        </w:rPr>
        <w:t>-</w:t>
      </w:r>
      <w:r w:rsidRPr="00E9416F">
        <w:rPr>
          <w:rStyle w:val="af"/>
          <w:rFonts w:hint="cs"/>
          <w:rtl/>
        </w:rPr>
        <w:t>]</w:t>
      </w:r>
      <w:r>
        <w:rPr>
          <w:rFonts w:hint="cs"/>
          <w:rtl/>
        </w:rPr>
        <w:t xml:space="preserve">, ולאחר זמן חייב, כמבואר ממ"ש </w:t>
      </w:r>
      <w:bookmarkEnd w:id="2733"/>
      <w:r w:rsidRPr="005305D6">
        <w:rPr>
          <w:rStyle w:val="aff4"/>
          <w:rFonts w:hint="cs"/>
          <w:vanish/>
          <w:rtl/>
        </w:rPr>
        <w:t>-</w:t>
      </w:r>
      <w:r w:rsidRPr="00B8766B">
        <w:rPr>
          <w:rStyle w:val="aff4"/>
          <w:rFonts w:hint="cs"/>
          <w:rtl/>
        </w:rPr>
        <w:t>רש"י</w:t>
      </w:r>
      <w:r w:rsidRPr="005305D6">
        <w:rPr>
          <w:rStyle w:val="aff4"/>
          <w:rFonts w:hint="cs"/>
          <w:vanish/>
          <w:rtl/>
        </w:rPr>
        <w:t>-</w:t>
      </w:r>
      <w:r>
        <w:rPr>
          <w:rFonts w:hint="cs"/>
          <w:rtl/>
        </w:rPr>
        <w:t xml:space="preserve"> דקושית הגמ' על רב אשי היא מהברייתא הראשונה, וע"ז תירצה הגמ' דאיירי בנפה וכברה, וא"כ ס"ל </w:t>
      </w:r>
      <w:r w:rsidRPr="005305D6">
        <w:rPr>
          <w:rStyle w:val="aff4"/>
          <w:rFonts w:hint="cs"/>
          <w:vanish/>
          <w:rtl/>
        </w:rPr>
        <w:t>-</w:t>
      </w:r>
      <w:r w:rsidRPr="00B8766B">
        <w:rPr>
          <w:rStyle w:val="aff4"/>
          <w:rFonts w:hint="cs"/>
          <w:rtl/>
        </w:rPr>
        <w:t>לרש"י</w:t>
      </w:r>
      <w:r w:rsidRPr="005305D6">
        <w:rPr>
          <w:rStyle w:val="aff4"/>
          <w:rFonts w:hint="cs"/>
          <w:vanish/>
          <w:rtl/>
        </w:rPr>
        <w:t>-</w:t>
      </w:r>
      <w:r>
        <w:rPr>
          <w:rFonts w:hint="cs"/>
          <w:rtl/>
        </w:rPr>
        <w:t xml:space="preserve"> </w:t>
      </w:r>
      <w:bookmarkEnd w:id="2730"/>
      <w:r>
        <w:rPr>
          <w:rFonts w:hint="cs"/>
          <w:rtl/>
        </w:rPr>
        <w:t>דחילוק אביי בין לאלתר ללאחר זמן הוא בברייתא דנפה וכברה וא"כ מבואר מדבריו דבנפה וכברה באוכל מתוך פסולת לאלתר מותר ולאחר זמן חייב.</w:t>
      </w:r>
      <w:bookmarkEnd w:id="2731"/>
    </w:p>
    <w:p w14:paraId="75E05420" w14:textId="77777777" w:rsidR="008925FD" w:rsidRPr="00747170" w:rsidRDefault="008925FD" w:rsidP="00747170">
      <w:pPr>
        <w:pStyle w:val="a2"/>
      </w:pPr>
      <w:r w:rsidRPr="00747170">
        <w:rPr>
          <w:rStyle w:val="af2"/>
          <w:rFonts w:eastAsia="Guttman Hodes" w:cs="Guttman Hodes"/>
          <w:sz w:val="18"/>
          <w:szCs w:val="18"/>
          <w:rtl/>
        </w:rPr>
        <w:t>(ט)</w:t>
      </w:r>
      <w:r w:rsidRPr="00747170">
        <w:rPr>
          <w:rtl/>
        </w:rPr>
        <w:t xml:space="preserve"> ושיטת רש"י דברייתא איירי בנפה וכברה ובהא מחלק אביי </w:t>
      </w:r>
      <w:r w:rsidRPr="00747170">
        <w:rPr>
          <w:rStyle w:val="afff7"/>
          <w:rtl/>
        </w:rPr>
        <w:t>ונמצינו למידין חמשה דינים לפירש"י</w:t>
      </w:r>
      <w:r w:rsidRPr="00747170">
        <w:rPr>
          <w:rtl/>
        </w:rPr>
        <w:t>. דין א'. דבנפה וכברה אוכל מתוך פסולת יש חילוק בין לאלתר דמותר ללאחר זמן דחייב</w:t>
      </w:r>
      <w:r w:rsidRPr="00747170">
        <w:rPr>
          <w:rFonts w:hint="cs"/>
          <w:rtl/>
        </w:rPr>
        <w:t>,</w:t>
      </w:r>
      <w:r w:rsidRPr="00747170">
        <w:rPr>
          <w:rtl/>
        </w:rPr>
        <w:t xml:space="preserve"> </w:t>
      </w:r>
      <w:r w:rsidRPr="00747170">
        <w:rPr>
          <w:rFonts w:hint="cs"/>
          <w:rtl/>
        </w:rPr>
        <w:t xml:space="preserve">וכו', </w:t>
      </w:r>
      <w:r w:rsidRPr="00747170">
        <w:rPr>
          <w:rtl/>
        </w:rPr>
        <w:t>כן מוכח ברש"י דפירש קושית הש"ס והתניא חייב דהיינו ברייתא דלעיל. ומשני דבנפה וכברה איירי. ועיין בתוס' ובהר"ן. הנה מפורש דבנפה וכברה מתיר אביי כשדעתו לאכול לאלתר. הרי הדין הראשון</w:t>
      </w:r>
      <w:r w:rsidRPr="00747170">
        <w:rPr>
          <w:rFonts w:hint="cs"/>
          <w:rtl/>
        </w:rPr>
        <w:t>.</w:t>
      </w:r>
    </w:p>
    <w:p w14:paraId="3A0846B0" w14:textId="77777777" w:rsidR="008925FD" w:rsidRDefault="008925FD" w:rsidP="008925FD">
      <w:pPr>
        <w:pStyle w:val="afffff7"/>
        <w:rPr>
          <w:rtl/>
        </w:rPr>
      </w:pPr>
      <w:bookmarkStart w:id="2734" w:name="_Toc139277197"/>
      <w:bookmarkStart w:id="2735" w:name="_Toc163505900"/>
      <w:bookmarkEnd w:id="2732"/>
      <w:r w:rsidRPr="007D5064">
        <w:rPr>
          <w:rtl/>
        </w:rPr>
        <w:t xml:space="preserve">אגלי טל בורר </w:t>
      </w:r>
      <w:r w:rsidRPr="007D5064">
        <w:rPr>
          <w:rFonts w:hint="cs"/>
          <w:rtl/>
        </w:rPr>
        <w:t xml:space="preserve">סק"א </w:t>
      </w:r>
      <w:r w:rsidRPr="007D5064">
        <w:rPr>
          <w:rtl/>
        </w:rPr>
        <w:t xml:space="preserve">אות </w:t>
      </w:r>
      <w:r>
        <w:rPr>
          <w:rFonts w:hint="cs"/>
          <w:rtl/>
        </w:rPr>
        <w:t>י</w:t>
      </w:r>
      <w:r w:rsidRPr="007D5064">
        <w:rPr>
          <w:rFonts w:hint="cs"/>
          <w:rtl/>
        </w:rPr>
        <w:t>'</w:t>
      </w:r>
      <w:bookmarkEnd w:id="2734"/>
      <w:bookmarkEnd w:id="2735"/>
    </w:p>
    <w:p w14:paraId="6A8C998A" w14:textId="77777777" w:rsidR="008925FD" w:rsidRDefault="008925FD" w:rsidP="008925FD">
      <w:pPr>
        <w:pStyle w:val="a7"/>
        <w:rPr>
          <w:rtl/>
        </w:rPr>
      </w:pPr>
      <w:bookmarkStart w:id="2736" w:name="_Toc139277105"/>
      <w:r>
        <w:rPr>
          <w:rFonts w:hint="cs"/>
          <w:rtl/>
        </w:rPr>
        <w:t>בי' האגל"ט ברש"י דאוכל מפסולת מותר בנפה כתורי"ד דהוא תולדת מרקד ורק בקמח ולא גוש</w:t>
      </w:r>
      <w:bookmarkEnd w:id="2736"/>
    </w:p>
    <w:p w14:paraId="2EEB278A" w14:textId="259D5DD8" w:rsidR="008925FD" w:rsidRDefault="008925FD" w:rsidP="00BC7DC8">
      <w:pPr>
        <w:pStyle w:val="a3"/>
      </w:pPr>
      <w:bookmarkStart w:id="2737" w:name="_Ref138969501"/>
      <w:r>
        <w:rPr>
          <w:rFonts w:hint="cs"/>
          <w:rtl/>
        </w:rPr>
        <w:t xml:space="preserve">הקשה </w:t>
      </w:r>
      <w:r w:rsidRPr="00194A43">
        <w:rPr>
          <w:rStyle w:val="aff4"/>
          <w:rFonts w:hint="cs"/>
          <w:vanish/>
          <w:rtl/>
        </w:rPr>
        <w:t>-</w:t>
      </w:r>
      <w:r w:rsidRPr="00194A43">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Ref138969501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נו)</w:t>
      </w:r>
      <w:r>
        <w:rPr>
          <w:rStyle w:val="aff4"/>
          <w:vanish/>
          <w:rtl/>
        </w:rPr>
        <w:fldChar w:fldCharType="end"/>
      </w:r>
      <w:r>
        <w:rPr>
          <w:rStyle w:val="aff4"/>
          <w:rFonts w:hint="cs"/>
          <w:vanish/>
          <w:rtl/>
        </w:rPr>
        <w:t xml:space="preserve"> &gt;</w:t>
      </w:r>
      <w:r w:rsidRPr="00194A43">
        <w:rPr>
          <w:rStyle w:val="aff4"/>
          <w:rFonts w:hint="cs"/>
          <w:rtl/>
        </w:rPr>
        <w:t>אגלי טל</w:t>
      </w:r>
      <w:r w:rsidRPr="00194A43">
        <w:rPr>
          <w:rStyle w:val="aff4"/>
          <w:rFonts w:hint="cs"/>
          <w:vanish/>
          <w:rtl/>
        </w:rPr>
        <w:t>-</w:t>
      </w:r>
      <w:r>
        <w:rPr>
          <w:rFonts w:hint="cs"/>
          <w:rtl/>
        </w:rPr>
        <w:t xml:space="preserve"> </w:t>
      </w:r>
      <w:r w:rsidRPr="000D251D">
        <w:rPr>
          <w:rStyle w:val="af2"/>
          <w:rFonts w:eastAsia="Guttman Hodes" w:hint="cs"/>
          <w:rtl/>
        </w:rPr>
        <w:t>(בורר סק"א אות י')</w:t>
      </w:r>
      <w:r w:rsidRPr="00194A43">
        <w:rPr>
          <w:rFonts w:hint="cs"/>
          <w:vanish/>
          <w:rtl/>
        </w:rPr>
        <w:t>=</w:t>
      </w:r>
      <w:r>
        <w:rPr>
          <w:rFonts w:hint="cs"/>
          <w:rtl/>
        </w:rPr>
        <w:t xml:space="preserve"> דכיון דס"ל </w:t>
      </w:r>
      <w:r w:rsidRPr="00194A43">
        <w:rPr>
          <w:rStyle w:val="aff4"/>
          <w:rFonts w:hint="cs"/>
          <w:vanish/>
          <w:rtl/>
        </w:rPr>
        <w:t>-</w:t>
      </w:r>
      <w:r w:rsidRPr="00194A43">
        <w:rPr>
          <w:rStyle w:val="aff4"/>
          <w:rFonts w:hint="cs"/>
          <w:rtl/>
        </w:rPr>
        <w:t>לרש"י</w:t>
      </w:r>
      <w:r w:rsidRPr="00194A43">
        <w:rPr>
          <w:rStyle w:val="aff4"/>
          <w:rFonts w:hint="cs"/>
          <w:vanish/>
          <w:rtl/>
        </w:rPr>
        <w:t>-</w:t>
      </w:r>
      <w:r>
        <w:rPr>
          <w:rFonts w:hint="cs"/>
          <w:rtl/>
        </w:rPr>
        <w:t xml:space="preserve"> דפסולת מתוך אוכל אף לאלתר חייב, </w:t>
      </w:r>
      <w:r w:rsidRPr="000D251D">
        <w:rPr>
          <w:rStyle w:val="af"/>
          <w:rtl/>
        </w:rPr>
        <w:t xml:space="preserve">[כדביאר </w:t>
      </w:r>
      <w:r w:rsidRPr="009B1F18">
        <w:rPr>
          <w:rStyle w:val="aff9"/>
          <w:vanish/>
          <w:rtl/>
        </w:rPr>
        <w:t>-</w:t>
      </w:r>
      <w:r w:rsidRPr="009B1F18">
        <w:rPr>
          <w:rStyle w:val="aff9"/>
          <w:rtl/>
        </w:rPr>
        <w:t>האגלי טל</w:t>
      </w:r>
      <w:r w:rsidRPr="009B1F18">
        <w:rPr>
          <w:rStyle w:val="aff9"/>
          <w:vanish/>
          <w:rtl/>
        </w:rPr>
        <w:t>-</w:t>
      </w:r>
      <w:r w:rsidRPr="000D251D">
        <w:rPr>
          <w:rStyle w:val="af"/>
          <w:rtl/>
        </w:rPr>
        <w:t xml:space="preserve"> </w:t>
      </w:r>
      <w:r w:rsidRPr="009B1F18">
        <w:rPr>
          <w:rStyle w:val="aff0"/>
          <w:rtl/>
        </w:rPr>
        <w:t xml:space="preserve">(עי' אות </w:t>
      </w:r>
      <w:r>
        <w:rPr>
          <w:rStyle w:val="aff0"/>
          <w:rtl/>
        </w:rPr>
        <w:fldChar w:fldCharType="begin"/>
      </w:r>
      <w:r>
        <w:rPr>
          <w:rStyle w:val="aff0"/>
          <w:rtl/>
        </w:rPr>
        <w:instrText xml:space="preserve"> </w:instrText>
      </w:r>
      <w:r>
        <w:rPr>
          <w:rStyle w:val="aff0"/>
        </w:rPr>
        <w:instrText>REF</w:instrText>
      </w:r>
      <w:r>
        <w:rPr>
          <w:rStyle w:val="aff0"/>
          <w:rtl/>
        </w:rPr>
        <w:instrText xml:space="preserve"> _</w:instrText>
      </w:r>
      <w:r>
        <w:rPr>
          <w:rStyle w:val="aff0"/>
        </w:rPr>
        <w:instrText>Ref138969486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עה)</w:t>
      </w:r>
      <w:r>
        <w:rPr>
          <w:rStyle w:val="aff0"/>
          <w:rtl/>
        </w:rPr>
        <w:fldChar w:fldCharType="end"/>
      </w:r>
      <w:r w:rsidRPr="000D251D">
        <w:rPr>
          <w:rStyle w:val="af"/>
          <w:rtl/>
        </w:rPr>
        <w:t xml:space="preserve"> בדעת </w:t>
      </w:r>
      <w:r w:rsidRPr="009B1F18">
        <w:rPr>
          <w:rStyle w:val="aff9"/>
          <w:vanish/>
          <w:rtl/>
        </w:rPr>
        <w:t>-</w:t>
      </w:r>
      <w:r w:rsidRPr="009B1F18">
        <w:rPr>
          <w:rStyle w:val="aff9"/>
          <w:rtl/>
        </w:rPr>
        <w:t>רש"י</w:t>
      </w:r>
      <w:r w:rsidRPr="009B1F18">
        <w:rPr>
          <w:rStyle w:val="aff9"/>
          <w:vanish/>
          <w:rtl/>
        </w:rPr>
        <w:t>-</w:t>
      </w:r>
      <w:r w:rsidRPr="00394BDA">
        <w:rPr>
          <w:rStyle w:val="af"/>
          <w:rtl/>
        </w:rPr>
        <w:t>],</w:t>
      </w:r>
      <w:r>
        <w:rPr>
          <w:rStyle w:val="af"/>
          <w:rtl/>
        </w:rPr>
        <w:t xml:space="preserve"> </w:t>
      </w:r>
      <w:r>
        <w:rPr>
          <w:rFonts w:hint="cs"/>
          <w:rtl/>
        </w:rPr>
        <w:t>א"כ אמאי אוכל מתוך פסולת מותר אפילו בנפה וכברה, הא ס"ל</w:t>
      </w:r>
      <w:r w:rsidRPr="00194A43">
        <w:rPr>
          <w:rStyle w:val="aff4"/>
          <w:rFonts w:hint="cs"/>
          <w:vanish/>
          <w:rtl/>
        </w:rPr>
        <w:t>-</w:t>
      </w:r>
      <w:r>
        <w:rPr>
          <w:rStyle w:val="aff4"/>
          <w:rFonts w:hint="cs"/>
          <w:rtl/>
        </w:rPr>
        <w:t xml:space="preserve"> </w:t>
      </w:r>
      <w:r w:rsidRPr="00194A43">
        <w:rPr>
          <w:rStyle w:val="aff4"/>
          <w:rFonts w:hint="cs"/>
          <w:rtl/>
        </w:rPr>
        <w:t>לרש"י</w:t>
      </w:r>
      <w:r w:rsidRPr="00194A43">
        <w:rPr>
          <w:rStyle w:val="aff4"/>
          <w:rFonts w:hint="cs"/>
          <w:vanish/>
          <w:rtl/>
        </w:rPr>
        <w:t>-</w:t>
      </w:r>
      <w:r>
        <w:rPr>
          <w:rFonts w:hint="cs"/>
          <w:rtl/>
        </w:rPr>
        <w:t xml:space="preserve"> דאף אוכל מתוך פסולת הוא דרך ברירה בכלי, </w:t>
      </w:r>
      <w:r w:rsidRPr="000D251D">
        <w:rPr>
          <w:rStyle w:val="af"/>
          <w:rtl/>
        </w:rPr>
        <w:t xml:space="preserve">[כדביאר </w:t>
      </w:r>
      <w:r w:rsidRPr="009B1F18">
        <w:rPr>
          <w:rStyle w:val="aff9"/>
          <w:vanish/>
          <w:rtl/>
        </w:rPr>
        <w:t>-</w:t>
      </w:r>
      <w:r w:rsidRPr="009B1F18">
        <w:rPr>
          <w:rStyle w:val="aff9"/>
          <w:rtl/>
        </w:rPr>
        <w:t>האגלי טל</w:t>
      </w:r>
      <w:r w:rsidRPr="009B1F18">
        <w:rPr>
          <w:rStyle w:val="aff9"/>
          <w:vanish/>
          <w:rtl/>
        </w:rPr>
        <w:t>-</w:t>
      </w:r>
      <w:r w:rsidRPr="000D251D">
        <w:rPr>
          <w:rStyle w:val="af"/>
          <w:rtl/>
        </w:rPr>
        <w:t xml:space="preserve"> </w:t>
      </w:r>
      <w:r w:rsidRPr="009B1F18">
        <w:rPr>
          <w:rStyle w:val="aff0"/>
          <w:rtl/>
        </w:rPr>
        <w:t xml:space="preserve">(עי' אות </w:t>
      </w:r>
      <w:r>
        <w:rPr>
          <w:rStyle w:val="aff0"/>
          <w:rtl/>
        </w:rPr>
        <w:fldChar w:fldCharType="begin"/>
      </w:r>
      <w:r>
        <w:rPr>
          <w:rStyle w:val="aff0"/>
          <w:rtl/>
        </w:rPr>
        <w:instrText xml:space="preserve"> </w:instrText>
      </w:r>
      <w:r>
        <w:rPr>
          <w:rStyle w:val="aff0"/>
        </w:rPr>
        <w:instrText>REF</w:instrText>
      </w:r>
      <w:r>
        <w:rPr>
          <w:rStyle w:val="aff0"/>
          <w:rtl/>
        </w:rPr>
        <w:instrText xml:space="preserve"> _</w:instrText>
      </w:r>
      <w:r>
        <w:rPr>
          <w:rStyle w:val="aff0"/>
        </w:rPr>
        <w:instrText>Ref137984650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ב)</w:t>
      </w:r>
      <w:r>
        <w:rPr>
          <w:rStyle w:val="aff0"/>
          <w:rtl/>
        </w:rPr>
        <w:fldChar w:fldCharType="end"/>
      </w:r>
      <w:r w:rsidRPr="000D251D">
        <w:rPr>
          <w:rStyle w:val="af"/>
          <w:rtl/>
        </w:rPr>
        <w:t xml:space="preserve"> בדעת </w:t>
      </w:r>
      <w:r w:rsidRPr="009B1F18">
        <w:rPr>
          <w:rStyle w:val="aff9"/>
          <w:vanish/>
          <w:rtl/>
        </w:rPr>
        <w:t>-</w:t>
      </w:r>
      <w:r w:rsidRPr="009B1F18">
        <w:rPr>
          <w:rStyle w:val="aff9"/>
          <w:rtl/>
        </w:rPr>
        <w:t>רש"י</w:t>
      </w:r>
      <w:r w:rsidRPr="009B1F18">
        <w:rPr>
          <w:rStyle w:val="aff9"/>
          <w:vanish/>
          <w:rtl/>
        </w:rPr>
        <w:t>-</w:t>
      </w:r>
      <w:r w:rsidRPr="00394BDA">
        <w:rPr>
          <w:rStyle w:val="af"/>
          <w:rtl/>
        </w:rPr>
        <w:t>],</w:t>
      </w:r>
      <w:r>
        <w:rPr>
          <w:rFonts w:hint="cs"/>
          <w:rtl/>
        </w:rPr>
        <w:t xml:space="preserve"> ותירץ </w:t>
      </w:r>
      <w:r w:rsidRPr="00194A43">
        <w:rPr>
          <w:rStyle w:val="aff4"/>
          <w:rFonts w:hint="cs"/>
          <w:vanish/>
          <w:rtl/>
        </w:rPr>
        <w:t>-</w:t>
      </w:r>
      <w:r w:rsidRPr="00194A43">
        <w:rPr>
          <w:rStyle w:val="aff4"/>
          <w:rFonts w:hint="cs"/>
          <w:rtl/>
        </w:rPr>
        <w:t>האגלי טל</w:t>
      </w:r>
      <w:r w:rsidRPr="00194A43">
        <w:rPr>
          <w:rStyle w:val="aff4"/>
          <w:rFonts w:hint="cs"/>
          <w:vanish/>
          <w:rtl/>
        </w:rPr>
        <w:t>-</w:t>
      </w:r>
      <w:r>
        <w:rPr>
          <w:rFonts w:hint="cs"/>
          <w:rtl/>
        </w:rPr>
        <w:t xml:space="preserve"> דלדעת </w:t>
      </w:r>
      <w:r w:rsidRPr="00194A43">
        <w:rPr>
          <w:rStyle w:val="aff4"/>
          <w:rFonts w:hint="cs"/>
          <w:vanish/>
          <w:rtl/>
        </w:rPr>
        <w:t>-</w:t>
      </w:r>
      <w:r w:rsidRPr="00194A43">
        <w:rPr>
          <w:rStyle w:val="aff4"/>
          <w:rFonts w:hint="cs"/>
          <w:rtl/>
        </w:rPr>
        <w:t>התוס' רי"ד</w:t>
      </w:r>
      <w:r w:rsidRPr="00194A43">
        <w:rPr>
          <w:rStyle w:val="aff4"/>
          <w:rFonts w:hint="cs"/>
          <w:vanish/>
          <w:rtl/>
        </w:rPr>
        <w:t>-</w:t>
      </w:r>
      <w:r>
        <w:rPr>
          <w:rFonts w:hint="cs"/>
          <w:rtl/>
        </w:rPr>
        <w:t xml:space="preserve"> דהדבר שמתברר הוא מה שלמטה, </w:t>
      </w:r>
      <w:r w:rsidRPr="000D251D">
        <w:rPr>
          <w:rStyle w:val="af"/>
          <w:rFonts w:hint="cs"/>
          <w:rtl/>
        </w:rPr>
        <w:t>[</w:t>
      </w:r>
      <w:r>
        <w:rPr>
          <w:rStyle w:val="af"/>
          <w:rFonts w:hint="cs"/>
          <w:rtl/>
        </w:rPr>
        <w:t xml:space="preserve">כדביאר </w:t>
      </w:r>
      <w:r w:rsidRPr="00991707">
        <w:rPr>
          <w:rStyle w:val="aff9"/>
          <w:rFonts w:hint="cs"/>
          <w:vanish/>
          <w:rtl/>
        </w:rPr>
        <w:t>-</w:t>
      </w:r>
      <w:r w:rsidRPr="00991707">
        <w:rPr>
          <w:rStyle w:val="aff9"/>
          <w:rFonts w:hint="cs"/>
          <w:rtl/>
        </w:rPr>
        <w:t>האגלי טל</w:t>
      </w:r>
      <w:r w:rsidRPr="00991707">
        <w:rPr>
          <w:rStyle w:val="aff9"/>
          <w:rFonts w:hint="cs"/>
          <w:vanish/>
          <w:rtl/>
        </w:rPr>
        <w:t>-</w:t>
      </w:r>
      <w:r>
        <w:rPr>
          <w:rStyle w:val="af"/>
          <w:rFonts w:hint="cs"/>
          <w:rtl/>
        </w:rPr>
        <w:t xml:space="preserve"> </w:t>
      </w:r>
      <w:r w:rsidRPr="00991707">
        <w:rPr>
          <w:rStyle w:val="aff0"/>
          <w:rFonts w:hint="cs"/>
          <w:rtl/>
        </w:rPr>
        <w:t xml:space="preserve">(בורר סק"ה אות </w:t>
      </w:r>
      <w:r>
        <w:rPr>
          <w:rStyle w:val="aff0"/>
          <w:rFonts w:hint="cs"/>
          <w:rtl/>
        </w:rPr>
        <w:t>ז</w:t>
      </w:r>
      <w:r w:rsidRPr="00991707">
        <w:rPr>
          <w:rStyle w:val="aff0"/>
          <w:rFonts w:hint="cs"/>
          <w:rtl/>
        </w:rPr>
        <w:t>')</w:t>
      </w:r>
      <w:r>
        <w:rPr>
          <w:rStyle w:val="af"/>
          <w:rFonts w:hint="cs"/>
          <w:rtl/>
        </w:rPr>
        <w:t xml:space="preserve"> ב</w:t>
      </w:r>
      <w:r w:rsidRPr="000D251D">
        <w:rPr>
          <w:rStyle w:val="af"/>
          <w:rFonts w:hint="cs"/>
          <w:rtl/>
        </w:rPr>
        <w:t xml:space="preserve">דעת </w:t>
      </w:r>
      <w:r w:rsidRPr="009B1F18">
        <w:rPr>
          <w:rStyle w:val="aff9"/>
          <w:rFonts w:hint="cs"/>
          <w:vanish/>
          <w:rtl/>
        </w:rPr>
        <w:t>-</w:t>
      </w:r>
      <w:r w:rsidRPr="009B1F18">
        <w:rPr>
          <w:rStyle w:val="aff9"/>
          <w:rFonts w:hint="cs"/>
          <w:rtl/>
        </w:rPr>
        <w:t>התוס' רי"</w:t>
      </w:r>
      <w:r>
        <w:rPr>
          <w:rStyle w:val="aff9"/>
          <w:rFonts w:hint="cs"/>
          <w:rtl/>
        </w:rPr>
        <w:t>ד</w:t>
      </w:r>
      <w:r w:rsidRPr="009B1F18">
        <w:rPr>
          <w:rStyle w:val="aff9"/>
          <w:rFonts w:hint="cs"/>
          <w:vanish/>
          <w:rtl/>
        </w:rPr>
        <w:t>-</w:t>
      </w:r>
      <w:r w:rsidRPr="00394BDA">
        <w:rPr>
          <w:rStyle w:val="af"/>
          <w:rFonts w:hint="cs"/>
          <w:rtl/>
        </w:rPr>
        <w:t>],</w:t>
      </w:r>
      <w:r w:rsidRPr="00666E77">
        <w:rPr>
          <w:rFonts w:hint="cs"/>
          <w:rtl/>
        </w:rPr>
        <w:t xml:space="preserve"> </w:t>
      </w:r>
      <w:r>
        <w:rPr>
          <w:rFonts w:hint="cs"/>
          <w:rtl/>
        </w:rPr>
        <w:t>א"כ פסולת מתוך אוכל בכלי היא רק בקיטנית, והיא תולדת מרקד דהא ס"ל דנפה וכברה חייב באוכל מתוך פסולת רק משום מרקד, א"כ מרקד הוא רק בקמח ולא בדבר גוש, ולכן אין חיוב באוכל מתוך פסולת בכלי.</w:t>
      </w:r>
      <w:bookmarkEnd w:id="2737"/>
    </w:p>
    <w:p w14:paraId="0E589BE6" w14:textId="77777777" w:rsidR="008925FD" w:rsidRPr="00747170" w:rsidRDefault="008925FD" w:rsidP="00747170">
      <w:pPr>
        <w:pStyle w:val="a2"/>
        <w:rPr>
          <w:rtl/>
        </w:rPr>
      </w:pPr>
      <w:r w:rsidRPr="00747170">
        <w:rPr>
          <w:rtl/>
        </w:rPr>
        <w:t>אך מה שפסולת מתוך אוכל חייב אפי' לאכול לאלתר ואוכל מתוך פסולת מותר אפי' בנפה וכברה. לכאורה אינו מובן דבזה א"א לומר משום דאוכל מתוך פסולת לאו אורחי' דהא אורחי' כנזכר לעיל. ולדעת התוס' רי"ד דהיורד למטה הוא המתברר. ובורר קטניות וכן ברירה שהי' במשכן הי' פסולת מתוך אוכל. אין אוכל מתוך פסולת בנפה וכברה חייב רק משום מרקד. והוא רק תולדה דמרקד. כיון דמרקד הוא בקמח והוא בורר דברים גושיים. ע"כ מותר בו לאלתר.</w:t>
      </w:r>
    </w:p>
    <w:p w14:paraId="786173F5" w14:textId="77777777" w:rsidR="008925FD" w:rsidRDefault="008925FD" w:rsidP="008925FD">
      <w:pPr>
        <w:pStyle w:val="a7"/>
        <w:rPr>
          <w:rtl/>
        </w:rPr>
      </w:pPr>
      <w:bookmarkStart w:id="2738" w:name="_Toc139277106"/>
    </w:p>
    <w:p w14:paraId="4DAA810E" w14:textId="77777777" w:rsidR="008925FD" w:rsidRPr="000B5156" w:rsidRDefault="008925FD" w:rsidP="008925FD">
      <w:pPr>
        <w:pStyle w:val="a7"/>
      </w:pPr>
      <w:r>
        <w:rPr>
          <w:rFonts w:hint="cs"/>
          <w:rtl/>
        </w:rPr>
        <w:t>בי' האגל"ט דאי המתברר הנותר למעלה אוכל מפסולת מותר בנפה כרמב"ן דאוכל מה שבורר</w:t>
      </w:r>
      <w:bookmarkEnd w:id="2738"/>
    </w:p>
    <w:p w14:paraId="2125C417" w14:textId="64A2A587" w:rsidR="008925FD" w:rsidRPr="00BC4580" w:rsidRDefault="008925FD" w:rsidP="00BC7DC8">
      <w:pPr>
        <w:pStyle w:val="a3"/>
      </w:pPr>
      <w:bookmarkStart w:id="2739" w:name="_Ref139215203"/>
      <w:r>
        <w:rPr>
          <w:rFonts w:hint="cs"/>
          <w:rtl/>
        </w:rPr>
        <w:t xml:space="preserve">אך כתב </w:t>
      </w:r>
      <w:r w:rsidRPr="00194A43">
        <w:rPr>
          <w:rStyle w:val="aff4"/>
          <w:rFonts w:hint="cs"/>
          <w:vanish/>
          <w:rtl/>
        </w:rPr>
        <w:t>-</w:t>
      </w:r>
      <w:r w:rsidRPr="00194A43">
        <w:rPr>
          <w:rStyle w:val="aff4"/>
          <w:rFonts w:hint="cs"/>
          <w:rtl/>
        </w:rPr>
        <w:t>האגלי טל</w:t>
      </w:r>
      <w:r w:rsidRPr="00194A43">
        <w:rPr>
          <w:rStyle w:val="aff4"/>
          <w:rFonts w:hint="cs"/>
          <w:vanish/>
          <w:rtl/>
        </w:rPr>
        <w:t>-</w:t>
      </w:r>
      <w:r>
        <w:rPr>
          <w:rFonts w:hint="cs"/>
          <w:rtl/>
        </w:rPr>
        <w:t xml:space="preserve"> דעדיין קשה לדעת </w:t>
      </w:r>
      <w:r w:rsidRPr="00194A43">
        <w:rPr>
          <w:rStyle w:val="aff4"/>
          <w:rFonts w:hint="cs"/>
          <w:vanish/>
          <w:rtl/>
        </w:rPr>
        <w:t>-</w:t>
      </w:r>
      <w:r w:rsidRPr="00194A43">
        <w:rPr>
          <w:rStyle w:val="aff4"/>
          <w:rFonts w:hint="cs"/>
          <w:rtl/>
        </w:rPr>
        <w:t>רוב הפוסקים</w:t>
      </w:r>
      <w:r w:rsidRPr="00194A43">
        <w:rPr>
          <w:rStyle w:val="aff4"/>
          <w:rFonts w:hint="cs"/>
          <w:vanish/>
          <w:rtl/>
        </w:rPr>
        <w:t>-</w:t>
      </w:r>
      <w:r>
        <w:rPr>
          <w:rFonts w:hint="cs"/>
          <w:rtl/>
        </w:rPr>
        <w:t xml:space="preserve"> דהדבר שמתברר הוא מה שנשאר למעלה, </w:t>
      </w:r>
      <w:r w:rsidRPr="000D251D">
        <w:rPr>
          <w:rStyle w:val="af"/>
          <w:rFonts w:hint="cs"/>
          <w:rtl/>
        </w:rPr>
        <w:t>[</w:t>
      </w:r>
      <w:r>
        <w:rPr>
          <w:rStyle w:val="af"/>
          <w:rFonts w:hint="cs"/>
          <w:rtl/>
        </w:rPr>
        <w:t xml:space="preserve">כדביאר </w:t>
      </w:r>
      <w:r w:rsidRPr="00991707">
        <w:rPr>
          <w:rStyle w:val="aff9"/>
          <w:rFonts w:hint="cs"/>
          <w:vanish/>
          <w:rtl/>
        </w:rPr>
        <w:t>-</w:t>
      </w:r>
      <w:r w:rsidRPr="00991707">
        <w:rPr>
          <w:rStyle w:val="aff9"/>
          <w:rFonts w:hint="cs"/>
          <w:rtl/>
        </w:rPr>
        <w:t>האגלי טל</w:t>
      </w:r>
      <w:r w:rsidRPr="00991707">
        <w:rPr>
          <w:rStyle w:val="aff9"/>
          <w:rFonts w:hint="cs"/>
          <w:vanish/>
          <w:rtl/>
        </w:rPr>
        <w:t>-</w:t>
      </w:r>
      <w:r>
        <w:rPr>
          <w:rStyle w:val="af"/>
          <w:rFonts w:hint="cs"/>
          <w:rtl/>
        </w:rPr>
        <w:t xml:space="preserve"> </w:t>
      </w:r>
      <w:r w:rsidRPr="00991707">
        <w:rPr>
          <w:rStyle w:val="aff0"/>
          <w:rFonts w:hint="cs"/>
          <w:rtl/>
        </w:rPr>
        <w:t>(בורר סק"ה אות ב')</w:t>
      </w:r>
      <w:r w:rsidRPr="00394BDA">
        <w:rPr>
          <w:rStyle w:val="af"/>
          <w:rFonts w:hint="cs"/>
          <w:rtl/>
        </w:rPr>
        <w:t>],</w:t>
      </w:r>
      <w:r w:rsidRPr="00666E77">
        <w:rPr>
          <w:rFonts w:hint="cs"/>
          <w:rtl/>
        </w:rPr>
        <w:t xml:space="preserve"> </w:t>
      </w:r>
      <w:r>
        <w:rPr>
          <w:rFonts w:hint="cs"/>
          <w:rtl/>
        </w:rPr>
        <w:t xml:space="preserve">דלפי"ז בורר קיטנית היא באוכל מתוך פסולת והיא אב, ותירץ </w:t>
      </w:r>
      <w:r w:rsidRPr="00194A43">
        <w:rPr>
          <w:rStyle w:val="aff4"/>
          <w:rFonts w:hint="cs"/>
          <w:vanish/>
          <w:rtl/>
        </w:rPr>
        <w:t>-</w:t>
      </w:r>
      <w:r w:rsidRPr="00194A43">
        <w:rPr>
          <w:rStyle w:val="aff4"/>
          <w:rFonts w:hint="cs"/>
          <w:rtl/>
        </w:rPr>
        <w:t>האגלי טל</w:t>
      </w:r>
      <w:r w:rsidRPr="00194A43">
        <w:rPr>
          <w:rStyle w:val="aff4"/>
          <w:rFonts w:hint="cs"/>
          <w:vanish/>
          <w:rtl/>
        </w:rPr>
        <w:t>-</w:t>
      </w:r>
      <w:r>
        <w:rPr>
          <w:rFonts w:hint="cs"/>
          <w:rtl/>
        </w:rPr>
        <w:t xml:space="preserve"> דצ"ל דס"ל </w:t>
      </w:r>
      <w:r w:rsidRPr="00194A43">
        <w:rPr>
          <w:rStyle w:val="aff4"/>
          <w:rFonts w:hint="cs"/>
          <w:vanish/>
          <w:rtl/>
        </w:rPr>
        <w:t>-</w:t>
      </w:r>
      <w:r w:rsidRPr="00194A43">
        <w:rPr>
          <w:rStyle w:val="aff4"/>
          <w:rFonts w:hint="cs"/>
          <w:rtl/>
        </w:rPr>
        <w:t>לרש"י</w:t>
      </w:r>
      <w:r w:rsidRPr="00194A43">
        <w:rPr>
          <w:rStyle w:val="aff4"/>
          <w:rFonts w:hint="cs"/>
          <w:vanish/>
          <w:rtl/>
        </w:rPr>
        <w:t>-</w:t>
      </w:r>
      <w:r>
        <w:rPr>
          <w:rFonts w:hint="cs"/>
          <w:rtl/>
        </w:rPr>
        <w:t xml:space="preserve"> כסברת </w:t>
      </w:r>
      <w:r w:rsidRPr="00194A43">
        <w:rPr>
          <w:rStyle w:val="aff4"/>
          <w:rFonts w:hint="cs"/>
          <w:vanish/>
          <w:rtl/>
        </w:rPr>
        <w:t>-</w:t>
      </w:r>
      <w:r w:rsidRPr="00194A43">
        <w:rPr>
          <w:rStyle w:val="aff4"/>
          <w:rFonts w:hint="cs"/>
          <w:rtl/>
        </w:rPr>
        <w:t>הרמב"ן</w:t>
      </w:r>
      <w:r w:rsidRPr="00194A43">
        <w:rPr>
          <w:rStyle w:val="aff4"/>
          <w:rFonts w:hint="cs"/>
          <w:vanish/>
          <w:rtl/>
        </w:rPr>
        <w:t>-</w:t>
      </w:r>
      <w:r>
        <w:rPr>
          <w:rFonts w:hint="cs"/>
          <w:rtl/>
        </w:rPr>
        <w:t xml:space="preserve"> </w:t>
      </w:r>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Ref139009224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ט)</w:t>
      </w:r>
      <w:r>
        <w:rPr>
          <w:rStyle w:val="af2"/>
          <w:rFonts w:eastAsia="Guttman Hodes"/>
          <w:rtl/>
        </w:rPr>
        <w:fldChar w:fldCharType="end"/>
      </w:r>
      <w:r>
        <w:rPr>
          <w:rFonts w:hint="cs"/>
          <w:rtl/>
        </w:rPr>
        <w:t xml:space="preserve"> דהחיוב בפסולת מתוך אוכל כיון שאינו אוכל את הדבר שמבררו, וא"כ באוכל מתוך פסולת אין בזה חיוב כלל, וכתב </w:t>
      </w:r>
      <w:r w:rsidRPr="00194A43">
        <w:rPr>
          <w:rStyle w:val="aff4"/>
          <w:rFonts w:hint="cs"/>
          <w:vanish/>
          <w:rtl/>
        </w:rPr>
        <w:t>-</w:t>
      </w:r>
      <w:r w:rsidRPr="00194A43">
        <w:rPr>
          <w:rStyle w:val="aff4"/>
          <w:rFonts w:hint="cs"/>
          <w:rtl/>
        </w:rPr>
        <w:t>האגלי טל</w:t>
      </w:r>
      <w:r w:rsidRPr="00194A43">
        <w:rPr>
          <w:rStyle w:val="aff4"/>
          <w:rFonts w:hint="cs"/>
          <w:vanish/>
          <w:rtl/>
        </w:rPr>
        <w:t>-</w:t>
      </w:r>
      <w:r>
        <w:rPr>
          <w:rFonts w:hint="cs"/>
          <w:rtl/>
        </w:rPr>
        <w:t xml:space="preserve"> דלפי"ז ההיתר באוכל מתוך פסולת ביד הוא כיון דאינו דרך ברירה, וההיתר לאכול לאלתר אף בנפה וכברה, הוא אעפ"י דדרך ברירה בכך מ"מ כיון שהוא אוכל את מה שבורר, ולכן בפסולת מתוך אוכל חייב בכה"ג דהוא דרך ברירה.</w:t>
      </w:r>
      <w:bookmarkEnd w:id="2739"/>
    </w:p>
    <w:p w14:paraId="40E05D34" w14:textId="77777777" w:rsidR="008925FD" w:rsidRPr="00747170" w:rsidRDefault="008925FD" w:rsidP="00747170">
      <w:pPr>
        <w:pStyle w:val="a2"/>
        <w:rPr>
          <w:rtl/>
        </w:rPr>
      </w:pPr>
      <w:r w:rsidRPr="00747170">
        <w:rPr>
          <w:rtl/>
        </w:rPr>
        <w:t>אך לדעת רוב הפוסקים דהנשאר בידו הוא המתברר. א"כ בורר קטניות וה"ה ברירה שהי' במשכן הוא אוכל מתוך פסולת והוא אב. וצריכין אנו בזה לדברי הרמב"ן בחידושיו משום דפסולת מתוך אוכל אין דעתו לאכול מה שבורר ולפיכך חייב. ולפי"ז לפירש"י שני טעמים יש בחילוק שבין אוכל מתוך פסולת לבין פסולת מתוך אוכל. דבמה שמותר אוכל מתוך פסולת ביד אפי' כדי לאכול לאחר זמן הטעם משום דאין דרך ברירה בכך. ומה שהוא מותר לאכול לאלתר אפי' בנפה וכברה הטעם משום שאוכל מה שבורר מה שאין כן בפסולת מתוך אוכל שאינו אוכל מה שבורר:</w:t>
      </w:r>
    </w:p>
    <w:p w14:paraId="7A646C3A" w14:textId="77777777" w:rsidR="008925FD" w:rsidRPr="00E40698" w:rsidRDefault="008925FD" w:rsidP="008925FD">
      <w:pPr>
        <w:pStyle w:val="1"/>
        <w:rPr>
          <w:rtl/>
        </w:rPr>
      </w:pPr>
      <w:bookmarkStart w:id="2740" w:name="_Toc139277107"/>
      <w:r>
        <w:rPr>
          <w:rFonts w:hint="cs"/>
          <w:rtl/>
        </w:rPr>
        <w:t>בי' האחרונים דרש"י מודה לתוס' דבנפה חייב אף בלאלתר</w:t>
      </w:r>
      <w:bookmarkEnd w:id="2740"/>
    </w:p>
    <w:p w14:paraId="7998F330" w14:textId="77777777" w:rsidR="008925FD" w:rsidRDefault="008925FD" w:rsidP="008925FD">
      <w:pPr>
        <w:pStyle w:val="afffff7"/>
        <w:rPr>
          <w:rtl/>
        </w:rPr>
      </w:pPr>
      <w:bookmarkStart w:id="2741" w:name="_Toc139277198"/>
      <w:bookmarkStart w:id="2742" w:name="_Toc163505901"/>
      <w:r>
        <w:rPr>
          <w:rtl/>
        </w:rPr>
        <w:t>פני יהושע שבת ע"ד ע"א</w:t>
      </w:r>
      <w:r>
        <w:rPr>
          <w:rFonts w:hint="cs"/>
          <w:rtl/>
        </w:rPr>
        <w:t xml:space="preserve"> ד</w:t>
      </w:r>
      <w:r>
        <w:rPr>
          <w:rFonts w:cs="Guttman Hodes" w:hint="cs"/>
          <w:rtl/>
        </w:rPr>
        <w:t>"</w:t>
      </w:r>
      <w:r>
        <w:rPr>
          <w:rFonts w:hint="cs"/>
          <w:rtl/>
        </w:rPr>
        <w:t>ה ומה</w:t>
      </w:r>
      <w:bookmarkEnd w:id="2741"/>
      <w:bookmarkEnd w:id="2742"/>
    </w:p>
    <w:p w14:paraId="7BB67E08" w14:textId="77777777" w:rsidR="008925FD" w:rsidRDefault="008925FD" w:rsidP="008925FD">
      <w:pPr>
        <w:pStyle w:val="afffff7"/>
      </w:pPr>
      <w:bookmarkStart w:id="2743" w:name="_Toc139277199"/>
      <w:bookmarkStart w:id="2744" w:name="_Toc139277108"/>
      <w:bookmarkStart w:id="2745" w:name="_Toc163505902"/>
      <w:r>
        <w:rPr>
          <w:rtl/>
        </w:rPr>
        <w:t>ראש יוסף שבת ע</w:t>
      </w:r>
      <w:r w:rsidRPr="00761639">
        <w:rPr>
          <w:rtl/>
        </w:rPr>
        <w:t>"ד ע"א</w:t>
      </w:r>
      <w:r w:rsidRPr="00761639">
        <w:rPr>
          <w:rFonts w:hint="cs"/>
          <w:rtl/>
        </w:rPr>
        <w:t xml:space="preserve"> ד"ה </w:t>
      </w:r>
      <w:r w:rsidRPr="00761639">
        <w:rPr>
          <w:rtl/>
        </w:rPr>
        <w:t>אבל רש"י</w:t>
      </w:r>
      <w:r>
        <w:rPr>
          <w:rFonts w:hint="cs"/>
          <w:rtl/>
        </w:rPr>
        <w:t>, ומשמע</w:t>
      </w:r>
      <w:bookmarkEnd w:id="2743"/>
      <w:bookmarkEnd w:id="2745"/>
    </w:p>
    <w:p w14:paraId="230DF404" w14:textId="77777777" w:rsidR="008925FD" w:rsidRPr="00773DB0" w:rsidRDefault="008925FD" w:rsidP="008925FD">
      <w:pPr>
        <w:pStyle w:val="afffff7"/>
        <w:rPr>
          <w:rtl/>
        </w:rPr>
      </w:pPr>
      <w:bookmarkStart w:id="2746" w:name="_Toc139277200"/>
      <w:bookmarkStart w:id="2747" w:name="_Toc163505903"/>
      <w:r>
        <w:rPr>
          <w:rFonts w:hint="cs"/>
          <w:rtl/>
        </w:rPr>
        <w:t>מגן אבות סוגיא דבורר ד"ה ולולא דברי</w:t>
      </w:r>
      <w:bookmarkEnd w:id="2746"/>
      <w:bookmarkEnd w:id="2747"/>
    </w:p>
    <w:p w14:paraId="695701B6" w14:textId="77777777" w:rsidR="008925FD" w:rsidRDefault="008925FD" w:rsidP="008925FD">
      <w:pPr>
        <w:pStyle w:val="a7"/>
        <w:rPr>
          <w:rtl/>
        </w:rPr>
      </w:pPr>
      <w:r>
        <w:rPr>
          <w:rFonts w:hint="cs"/>
          <w:rtl/>
        </w:rPr>
        <w:t>בי' הפנ"י והמגן אבות ברש"י דנפה וכברה לאלתר אסור וכן הוכיח הראש יוסף מהטור והב"ח</w:t>
      </w:r>
      <w:bookmarkEnd w:id="2744"/>
    </w:p>
    <w:p w14:paraId="49E98F2A" w14:textId="1430ED2C" w:rsidR="008925FD" w:rsidRPr="005422C4" w:rsidRDefault="008925FD" w:rsidP="00BC7DC8">
      <w:pPr>
        <w:pStyle w:val="a3"/>
        <w:rPr>
          <w:rtl/>
        </w:rPr>
      </w:pPr>
      <w:bookmarkStart w:id="2748" w:name="_Hlk138592195"/>
      <w:bookmarkStart w:id="2749" w:name="_Ref138967934"/>
      <w:r>
        <w:rPr>
          <w:rFonts w:hint="cs"/>
          <w:rtl/>
        </w:rPr>
        <w:t xml:space="preserve">במה שהקשו </w:t>
      </w:r>
      <w:r w:rsidRPr="00656F23">
        <w:rPr>
          <w:rStyle w:val="aff4"/>
          <w:rFonts w:hint="cs"/>
          <w:vanish/>
          <w:rtl/>
        </w:rPr>
        <w:t>-</w:t>
      </w:r>
      <w:r w:rsidRPr="002D2941">
        <w:rPr>
          <w:rStyle w:val="aff4"/>
          <w:rFonts w:hint="cs"/>
          <w:rtl/>
        </w:rPr>
        <w:t>התוס'</w:t>
      </w:r>
      <w:r w:rsidRPr="00656F23">
        <w:rPr>
          <w:rStyle w:val="aff4"/>
          <w:rFonts w:hint="cs"/>
          <w:vanish/>
          <w:rtl/>
        </w:rPr>
        <w:t>-</w:t>
      </w:r>
      <w:r>
        <w:rPr>
          <w:rFonts w:hint="cs"/>
          <w:rtl/>
        </w:rPr>
        <w:t xml:space="preserve"> </w:t>
      </w:r>
      <w:r w:rsidRPr="000D251D">
        <w:rPr>
          <w:rStyle w:val="af2"/>
          <w:rFonts w:eastAsia="Guttman Hodes" w:hint="cs"/>
          <w:rtl/>
        </w:rPr>
        <w:t xml:space="preserve">(עי' אות </w:t>
      </w:r>
      <w:r w:rsidRPr="000D251D">
        <w:rPr>
          <w:rStyle w:val="af2"/>
          <w:rFonts w:eastAsia="Guttman Hodes"/>
          <w:rtl/>
        </w:rPr>
        <w:fldChar w:fldCharType="begin"/>
      </w:r>
      <w:r w:rsidRPr="000D251D">
        <w:rPr>
          <w:rStyle w:val="af2"/>
          <w:rFonts w:eastAsia="Guttman Hodes"/>
          <w:rtl/>
        </w:rPr>
        <w:instrText xml:space="preserve"> </w:instrText>
      </w:r>
      <w:r w:rsidRPr="000D251D">
        <w:rPr>
          <w:rStyle w:val="af2"/>
          <w:rFonts w:eastAsia="Guttman Hodes" w:hint="cs"/>
        </w:rPr>
        <w:instrText>REF</w:instrText>
      </w:r>
      <w:r w:rsidRPr="000D251D">
        <w:rPr>
          <w:rStyle w:val="af2"/>
          <w:rFonts w:eastAsia="Guttman Hodes" w:hint="cs"/>
          <w:rtl/>
        </w:rPr>
        <w:instrText xml:space="preserve"> _</w:instrText>
      </w:r>
      <w:r w:rsidRPr="000D251D">
        <w:rPr>
          <w:rStyle w:val="af2"/>
          <w:rFonts w:eastAsia="Guttman Hodes" w:hint="cs"/>
        </w:rPr>
        <w:instrText>Ref138664935 \r \h</w:instrText>
      </w:r>
      <w:r w:rsidRPr="000D251D">
        <w:rPr>
          <w:rStyle w:val="af2"/>
          <w:rFonts w:eastAsia="Guttman Hodes"/>
          <w:rtl/>
        </w:rPr>
        <w:instrText xml:space="preserve"> </w:instrText>
      </w:r>
      <w:r w:rsidRPr="000D251D">
        <w:rPr>
          <w:rStyle w:val="af2"/>
          <w:rFonts w:eastAsia="Guttman Hodes"/>
          <w:rtl/>
        </w:rPr>
      </w:r>
      <w:r w:rsidRPr="000D251D">
        <w:rPr>
          <w:rStyle w:val="af2"/>
          <w:rFonts w:eastAsia="Guttman Hodes"/>
          <w:rtl/>
        </w:rPr>
        <w:fldChar w:fldCharType="separate"/>
      </w:r>
      <w:r w:rsidR="00D82181">
        <w:rPr>
          <w:rStyle w:val="af2"/>
          <w:rFonts w:eastAsia="Guttman Hodes"/>
          <w:cs/>
        </w:rPr>
        <w:t>‎</w:t>
      </w:r>
      <w:r w:rsidR="00D82181">
        <w:rPr>
          <w:rStyle w:val="af2"/>
          <w:rFonts w:eastAsia="Guttman Hodes"/>
          <w:rtl/>
        </w:rPr>
        <w:t>נא)</w:t>
      </w:r>
      <w:r w:rsidRPr="000D251D">
        <w:rPr>
          <w:rStyle w:val="af2"/>
          <w:rFonts w:eastAsia="Guttman Hodes"/>
          <w:rtl/>
        </w:rPr>
        <w:fldChar w:fldCharType="end"/>
      </w:r>
      <w:r>
        <w:rPr>
          <w:rFonts w:hint="cs"/>
          <w:rtl/>
        </w:rPr>
        <w:t xml:space="preserve"> על </w:t>
      </w:r>
      <w:r w:rsidRPr="00656F23">
        <w:rPr>
          <w:rStyle w:val="aff4"/>
          <w:rFonts w:hint="cs"/>
          <w:vanish/>
          <w:rtl/>
        </w:rPr>
        <w:t>-</w:t>
      </w:r>
      <w:r w:rsidRPr="002D2941">
        <w:rPr>
          <w:rStyle w:val="aff4"/>
          <w:rFonts w:hint="cs"/>
          <w:rtl/>
        </w:rPr>
        <w:t>רש"י</w:t>
      </w:r>
      <w:r w:rsidRPr="00656F23">
        <w:rPr>
          <w:rStyle w:val="aff4"/>
          <w:rFonts w:hint="cs"/>
          <w:vanish/>
          <w:rtl/>
        </w:rPr>
        <w:t>-</w:t>
      </w:r>
      <w:r>
        <w:rPr>
          <w:rFonts w:hint="cs"/>
          <w:rtl/>
        </w:rPr>
        <w:t xml:space="preserve"> </w:t>
      </w:r>
      <w:r w:rsidRPr="000D251D">
        <w:rPr>
          <w:rStyle w:val="af2"/>
          <w:rFonts w:eastAsia="Guttman Hodes" w:hint="cs"/>
          <w:rtl/>
        </w:rPr>
        <w:t xml:space="preserve">(עי' אות </w:t>
      </w:r>
      <w:r w:rsidRPr="000D251D">
        <w:rPr>
          <w:rStyle w:val="af2"/>
          <w:rFonts w:eastAsia="Guttman Hodes"/>
          <w:rtl/>
        </w:rPr>
        <w:fldChar w:fldCharType="begin"/>
      </w:r>
      <w:r w:rsidRPr="000D251D">
        <w:rPr>
          <w:rStyle w:val="af2"/>
          <w:rFonts w:eastAsia="Guttman Hodes"/>
          <w:rtl/>
        </w:rPr>
        <w:instrText xml:space="preserve"> </w:instrText>
      </w:r>
      <w:r w:rsidRPr="000D251D">
        <w:rPr>
          <w:rStyle w:val="af2"/>
          <w:rFonts w:eastAsia="Guttman Hodes" w:hint="cs"/>
        </w:rPr>
        <w:instrText>REF</w:instrText>
      </w:r>
      <w:r w:rsidRPr="000D251D">
        <w:rPr>
          <w:rStyle w:val="af2"/>
          <w:rFonts w:eastAsia="Guttman Hodes" w:hint="cs"/>
          <w:rtl/>
        </w:rPr>
        <w:instrText xml:space="preserve"> _</w:instrText>
      </w:r>
      <w:r w:rsidRPr="000D251D">
        <w:rPr>
          <w:rStyle w:val="af2"/>
          <w:rFonts w:eastAsia="Guttman Hodes" w:hint="cs"/>
        </w:rPr>
        <w:instrText>Ref138664935 \r \h</w:instrText>
      </w:r>
      <w:r w:rsidRPr="000D251D">
        <w:rPr>
          <w:rStyle w:val="af2"/>
          <w:rFonts w:eastAsia="Guttman Hodes"/>
          <w:rtl/>
        </w:rPr>
        <w:instrText xml:space="preserve"> </w:instrText>
      </w:r>
      <w:r w:rsidRPr="000D251D">
        <w:rPr>
          <w:rStyle w:val="af2"/>
          <w:rFonts w:eastAsia="Guttman Hodes"/>
          <w:rtl/>
        </w:rPr>
      </w:r>
      <w:r w:rsidRPr="000D251D">
        <w:rPr>
          <w:rStyle w:val="af2"/>
          <w:rFonts w:eastAsia="Guttman Hodes"/>
          <w:rtl/>
        </w:rPr>
        <w:fldChar w:fldCharType="separate"/>
      </w:r>
      <w:r w:rsidR="00D82181">
        <w:rPr>
          <w:rStyle w:val="af2"/>
          <w:rFonts w:eastAsia="Guttman Hodes"/>
          <w:cs/>
        </w:rPr>
        <w:t>‎</w:t>
      </w:r>
      <w:r w:rsidR="00D82181">
        <w:rPr>
          <w:rStyle w:val="af2"/>
          <w:rFonts w:eastAsia="Guttman Hodes"/>
          <w:rtl/>
        </w:rPr>
        <w:t>נא)</w:t>
      </w:r>
      <w:r w:rsidRPr="000D251D">
        <w:rPr>
          <w:rStyle w:val="af2"/>
          <w:rFonts w:eastAsia="Guttman Hodes"/>
          <w:rtl/>
        </w:rPr>
        <w:fldChar w:fldCharType="end"/>
      </w:r>
      <w:r>
        <w:rPr>
          <w:rFonts w:hint="cs"/>
          <w:rtl/>
        </w:rPr>
        <w:t xml:space="preserve"> דמשמע דלרב אשי נפה וכברה לאלתר מותר, </w:t>
      </w:r>
      <w:bookmarkEnd w:id="2748"/>
      <w:r>
        <w:rPr>
          <w:rFonts w:hint="cs"/>
          <w:rtl/>
        </w:rPr>
        <w:t xml:space="preserve">תירץ </w:t>
      </w:r>
      <w:r w:rsidRPr="00656F23">
        <w:rPr>
          <w:rStyle w:val="aff4"/>
          <w:rFonts w:hint="cs"/>
          <w:vanish/>
          <w:rtl/>
        </w:rPr>
        <w:t>-</w:t>
      </w:r>
      <w:r w:rsidRPr="002D2941">
        <w:rPr>
          <w:rStyle w:val="aff4"/>
          <w:rFonts w:hint="cs"/>
          <w:rtl/>
        </w:rPr>
        <w:t>ה</w:t>
      </w:r>
      <w:r w:rsidRPr="00656F23">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Ref138967934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נח)</w:t>
      </w:r>
      <w:r>
        <w:rPr>
          <w:rStyle w:val="aff4"/>
          <w:vanish/>
          <w:rtl/>
        </w:rPr>
        <w:fldChar w:fldCharType="end"/>
      </w:r>
      <w:r w:rsidRPr="00656F23">
        <w:rPr>
          <w:rStyle w:val="aff4"/>
          <w:rFonts w:hint="cs"/>
          <w:vanish/>
          <w:rtl/>
        </w:rPr>
        <w:t xml:space="preserve"> &gt;</w:t>
      </w:r>
      <w:r w:rsidRPr="002D2941">
        <w:rPr>
          <w:rStyle w:val="aff4"/>
          <w:rFonts w:hint="cs"/>
          <w:rtl/>
        </w:rPr>
        <w:t>פנ"י</w:t>
      </w:r>
      <w:r w:rsidRPr="00656F23">
        <w:rPr>
          <w:rStyle w:val="aff4"/>
          <w:rFonts w:hint="cs"/>
          <w:vanish/>
          <w:rtl/>
        </w:rPr>
        <w:t>-</w:t>
      </w:r>
      <w:r>
        <w:rPr>
          <w:rFonts w:hint="cs"/>
          <w:rtl/>
        </w:rPr>
        <w:t xml:space="preserve"> </w:t>
      </w:r>
      <w:r w:rsidRPr="000D251D">
        <w:rPr>
          <w:rStyle w:val="af2"/>
          <w:rFonts w:eastAsia="Guttman Hodes" w:hint="cs"/>
          <w:rtl/>
        </w:rPr>
        <w:t>(ד"ה ומה)</w:t>
      </w:r>
      <w:r w:rsidRPr="00656F23">
        <w:rPr>
          <w:rFonts w:hint="cs"/>
          <w:vanish/>
          <w:rtl/>
        </w:rPr>
        <w:t>=</w:t>
      </w:r>
      <w:r>
        <w:rPr>
          <w:rFonts w:hint="cs"/>
          <w:rtl/>
        </w:rPr>
        <w:t xml:space="preserve"> דלדינא מודה רב אשי לאביי ורבא ופליג עליהם רק בביאור הברייתא, דבזה ס"ל כרב יוסף דכל הברייתא איירי לאלתר, ולפי"ז בנפה וכברה אף לאלתר חייב, עיי"ש בדבריו, ובמה שהוסיף לבאר ביאר </w:t>
      </w:r>
      <w:r w:rsidRPr="00656F23">
        <w:rPr>
          <w:rStyle w:val="aff4"/>
          <w:rFonts w:hint="cs"/>
          <w:vanish/>
          <w:rtl/>
        </w:rPr>
        <w:t>-</w:t>
      </w:r>
      <w:r w:rsidRPr="002D2941">
        <w:rPr>
          <w:rStyle w:val="aff4"/>
          <w:rFonts w:hint="cs"/>
          <w:rtl/>
        </w:rPr>
        <w:t>ה</w:t>
      </w:r>
      <w:r w:rsidRPr="00656F23">
        <w:rPr>
          <w:rStyle w:val="aff4"/>
          <w:rFonts w:hint="cs"/>
          <w:vanish/>
          <w:rtl/>
        </w:rPr>
        <w:t>&lt; &gt;</w:t>
      </w:r>
      <w:r w:rsidRPr="002D2941">
        <w:rPr>
          <w:rStyle w:val="aff4"/>
          <w:rFonts w:hint="cs"/>
          <w:rtl/>
        </w:rPr>
        <w:t>ראש יוסף</w:t>
      </w:r>
      <w:r w:rsidRPr="00656F23">
        <w:rPr>
          <w:rStyle w:val="aff4"/>
          <w:rFonts w:hint="cs"/>
          <w:vanish/>
          <w:rtl/>
        </w:rPr>
        <w:t>-</w:t>
      </w:r>
      <w:r>
        <w:rPr>
          <w:rFonts w:hint="cs"/>
          <w:rtl/>
        </w:rPr>
        <w:t xml:space="preserve"> </w:t>
      </w:r>
      <w:r w:rsidRPr="000D251D">
        <w:rPr>
          <w:rStyle w:val="af2"/>
          <w:rFonts w:eastAsia="Guttman Hodes" w:hint="cs"/>
          <w:rtl/>
        </w:rPr>
        <w:t>(ד"ה אבל)</w:t>
      </w:r>
      <w:r w:rsidRPr="00656F23">
        <w:rPr>
          <w:rFonts w:hint="cs"/>
          <w:vanish/>
          <w:rtl/>
        </w:rPr>
        <w:t>=</w:t>
      </w:r>
      <w:r>
        <w:rPr>
          <w:rFonts w:hint="cs"/>
          <w:rtl/>
        </w:rPr>
        <w:t xml:space="preserve"> בזה, וכתב </w:t>
      </w:r>
      <w:r w:rsidRPr="00656F23">
        <w:rPr>
          <w:rStyle w:val="aff4"/>
          <w:rFonts w:hint="cs"/>
          <w:vanish/>
          <w:rtl/>
        </w:rPr>
        <w:t>-</w:t>
      </w:r>
      <w:r w:rsidRPr="002D2941">
        <w:rPr>
          <w:rStyle w:val="aff4"/>
          <w:rFonts w:hint="cs"/>
          <w:rtl/>
        </w:rPr>
        <w:t>ה</w:t>
      </w:r>
      <w:r w:rsidRPr="00656F23">
        <w:rPr>
          <w:rStyle w:val="aff4"/>
          <w:rFonts w:hint="cs"/>
          <w:vanish/>
          <w:rtl/>
        </w:rPr>
        <w:t>&lt; &gt;</w:t>
      </w:r>
      <w:r w:rsidRPr="002D2941">
        <w:rPr>
          <w:rStyle w:val="aff4"/>
          <w:rFonts w:hint="cs"/>
          <w:rtl/>
        </w:rPr>
        <w:t>ראש יוסף</w:t>
      </w:r>
      <w:r w:rsidRPr="00656F23">
        <w:rPr>
          <w:rStyle w:val="aff4"/>
          <w:rFonts w:hint="cs"/>
          <w:vanish/>
          <w:rtl/>
        </w:rPr>
        <w:t>-</w:t>
      </w:r>
      <w:r>
        <w:rPr>
          <w:rFonts w:hint="cs"/>
          <w:rtl/>
        </w:rPr>
        <w:t xml:space="preserve"> </w:t>
      </w:r>
      <w:r w:rsidRPr="000D251D">
        <w:rPr>
          <w:rStyle w:val="af2"/>
          <w:rFonts w:eastAsia="Guttman Hodes" w:hint="cs"/>
          <w:rtl/>
        </w:rPr>
        <w:t>(ד"ה ומשמע)</w:t>
      </w:r>
      <w:r w:rsidRPr="00E13402">
        <w:rPr>
          <w:rFonts w:hint="cs"/>
          <w:vanish/>
          <w:rtl/>
        </w:rPr>
        <w:t xml:space="preserve"> </w:t>
      </w:r>
      <w:r w:rsidRPr="00656F23">
        <w:rPr>
          <w:rFonts w:hint="cs"/>
          <w:vanish/>
          <w:rtl/>
        </w:rPr>
        <w:t>=</w:t>
      </w:r>
      <w:r>
        <w:rPr>
          <w:rFonts w:hint="cs"/>
          <w:rtl/>
        </w:rPr>
        <w:t xml:space="preserve"> דכן מבואר בדברי </w:t>
      </w:r>
      <w:r w:rsidRPr="00656F23">
        <w:rPr>
          <w:rStyle w:val="aff4"/>
          <w:rFonts w:hint="cs"/>
          <w:vanish/>
          <w:rtl/>
        </w:rPr>
        <w:t>-</w:t>
      </w:r>
      <w:r w:rsidRPr="002D2941">
        <w:rPr>
          <w:rStyle w:val="aff4"/>
          <w:rFonts w:hint="cs"/>
          <w:rtl/>
        </w:rPr>
        <w:t>ה</w:t>
      </w:r>
      <w:r w:rsidRPr="00656F23">
        <w:rPr>
          <w:rStyle w:val="aff4"/>
          <w:rFonts w:hint="cs"/>
          <w:vanish/>
          <w:rtl/>
        </w:rPr>
        <w:t>&lt; &gt;</w:t>
      </w:r>
      <w:r w:rsidRPr="002D2941">
        <w:rPr>
          <w:rStyle w:val="aff4"/>
          <w:rFonts w:hint="cs"/>
          <w:rtl/>
        </w:rPr>
        <w:t>טור</w:t>
      </w:r>
      <w:r w:rsidRPr="00656F23">
        <w:rPr>
          <w:rStyle w:val="aff4"/>
          <w:rFonts w:hint="cs"/>
          <w:vanish/>
          <w:rtl/>
        </w:rPr>
        <w:t>-</w:t>
      </w:r>
      <w:r>
        <w:rPr>
          <w:rFonts w:hint="cs"/>
          <w:rtl/>
        </w:rPr>
        <w:t xml:space="preserve"> </w:t>
      </w:r>
      <w:r w:rsidRPr="000D251D">
        <w:rPr>
          <w:rStyle w:val="af2"/>
          <w:rFonts w:eastAsia="Guttman Hodes" w:hint="cs"/>
          <w:rtl/>
        </w:rPr>
        <w:t>(סי' שי"ט א')</w:t>
      </w:r>
      <w:r w:rsidRPr="00656F23">
        <w:rPr>
          <w:rFonts w:hint="cs"/>
          <w:vanish/>
          <w:rtl/>
        </w:rPr>
        <w:t>=</w:t>
      </w:r>
      <w:r>
        <w:rPr>
          <w:rFonts w:hint="cs"/>
          <w:rtl/>
        </w:rPr>
        <w:t xml:space="preserve"> </w:t>
      </w:r>
      <w:r w:rsidRPr="00656F23">
        <w:rPr>
          <w:rStyle w:val="aff4"/>
          <w:rFonts w:hint="cs"/>
          <w:vanish/>
          <w:rtl/>
        </w:rPr>
        <w:t>-</w:t>
      </w:r>
      <w:r w:rsidRPr="002D2941">
        <w:rPr>
          <w:rStyle w:val="aff4"/>
          <w:rFonts w:hint="cs"/>
          <w:rtl/>
        </w:rPr>
        <w:t>וה</w:t>
      </w:r>
      <w:r w:rsidRPr="00656F23">
        <w:rPr>
          <w:rStyle w:val="aff4"/>
          <w:rFonts w:hint="cs"/>
          <w:vanish/>
          <w:rtl/>
        </w:rPr>
        <w:t>&lt; &gt;</w:t>
      </w:r>
      <w:r w:rsidRPr="002D2941">
        <w:rPr>
          <w:rStyle w:val="aff4"/>
          <w:rFonts w:hint="cs"/>
          <w:rtl/>
        </w:rPr>
        <w:t>ב"ח</w:t>
      </w:r>
      <w:r w:rsidRPr="00656F23">
        <w:rPr>
          <w:rStyle w:val="aff4"/>
          <w:rFonts w:hint="cs"/>
          <w:vanish/>
          <w:rtl/>
        </w:rPr>
        <w:t>-</w:t>
      </w:r>
      <w:r>
        <w:rPr>
          <w:rFonts w:hint="cs"/>
          <w:rtl/>
        </w:rPr>
        <w:t xml:space="preserve"> </w:t>
      </w:r>
      <w:r w:rsidRPr="000D251D">
        <w:rPr>
          <w:rStyle w:val="af2"/>
          <w:rFonts w:eastAsia="Guttman Hodes" w:hint="cs"/>
          <w:rtl/>
        </w:rPr>
        <w:t>(סי' שי"ט א' ד"ה ומ"ש והני מילי)</w:t>
      </w:r>
      <w:r w:rsidRPr="00656F23">
        <w:rPr>
          <w:rFonts w:hint="cs"/>
          <w:vanish/>
          <w:rtl/>
        </w:rPr>
        <w:t>=</w:t>
      </w:r>
      <w:r>
        <w:rPr>
          <w:rFonts w:hint="cs"/>
          <w:rtl/>
        </w:rPr>
        <w:t xml:space="preserve"> </w:t>
      </w:r>
      <w:r w:rsidRPr="00656F23">
        <w:rPr>
          <w:rStyle w:val="aff4"/>
          <w:rFonts w:hint="cs"/>
          <w:vanish/>
          <w:rtl/>
        </w:rPr>
        <w:t>-</w:t>
      </w:r>
      <w:r w:rsidRPr="002D2941">
        <w:rPr>
          <w:rStyle w:val="aff4"/>
          <w:rFonts w:hint="cs"/>
          <w:rtl/>
        </w:rPr>
        <w:t>דרש"י ותוס'</w:t>
      </w:r>
      <w:r w:rsidRPr="00656F23">
        <w:rPr>
          <w:rStyle w:val="aff4"/>
          <w:rFonts w:hint="cs"/>
          <w:vanish/>
          <w:rtl/>
        </w:rPr>
        <w:t>-</w:t>
      </w:r>
      <w:r>
        <w:rPr>
          <w:rFonts w:hint="cs"/>
          <w:rtl/>
        </w:rPr>
        <w:t xml:space="preserve"> לא נחלקו לדינא, וכ"כ </w:t>
      </w:r>
      <w:r w:rsidRPr="00656F23">
        <w:rPr>
          <w:rStyle w:val="aff4"/>
          <w:rFonts w:hint="cs"/>
          <w:vanish/>
          <w:rtl/>
        </w:rPr>
        <w:t>-</w:t>
      </w:r>
      <w:r w:rsidRPr="002D2941">
        <w:rPr>
          <w:rStyle w:val="aff4"/>
          <w:rFonts w:hint="cs"/>
          <w:rtl/>
        </w:rPr>
        <w:t>ה</w:t>
      </w:r>
      <w:r w:rsidRPr="00656F23">
        <w:rPr>
          <w:rStyle w:val="aff4"/>
          <w:rFonts w:hint="cs"/>
          <w:vanish/>
          <w:rtl/>
        </w:rPr>
        <w:t>&lt; &gt;</w:t>
      </w:r>
      <w:r w:rsidRPr="002D2941">
        <w:rPr>
          <w:rStyle w:val="aff4"/>
          <w:rFonts w:hint="cs"/>
          <w:rtl/>
        </w:rPr>
        <w:t>מגן אבות</w:t>
      </w:r>
      <w:r w:rsidRPr="00656F23">
        <w:rPr>
          <w:rStyle w:val="aff4"/>
          <w:rFonts w:hint="cs"/>
          <w:vanish/>
          <w:rtl/>
        </w:rPr>
        <w:t>-</w:t>
      </w:r>
      <w:r>
        <w:rPr>
          <w:rFonts w:hint="cs"/>
          <w:rtl/>
        </w:rPr>
        <w:t xml:space="preserve"> </w:t>
      </w:r>
      <w:r w:rsidRPr="000D251D">
        <w:rPr>
          <w:rStyle w:val="af2"/>
          <w:rFonts w:eastAsia="Guttman Hodes" w:hint="cs"/>
          <w:rtl/>
        </w:rPr>
        <w:t>(</w:t>
      </w:r>
      <w:r w:rsidRPr="000D251D">
        <w:rPr>
          <w:rStyle w:val="af2"/>
          <w:rFonts w:eastAsia="Guttman Hodes"/>
          <w:rtl/>
        </w:rPr>
        <w:t>סוגיא דבורר</w:t>
      </w:r>
      <w:r w:rsidRPr="000D251D">
        <w:rPr>
          <w:rStyle w:val="af2"/>
          <w:rFonts w:eastAsia="Guttman Hodes" w:hint="cs"/>
          <w:rtl/>
        </w:rPr>
        <w:t xml:space="preserve"> ד"ה ולולא דברי)</w:t>
      </w:r>
      <w:r w:rsidRPr="00656F23">
        <w:rPr>
          <w:rFonts w:hint="cs"/>
          <w:vanish/>
          <w:rtl/>
        </w:rPr>
        <w:t>=</w:t>
      </w:r>
      <w:r>
        <w:rPr>
          <w:rFonts w:hint="cs"/>
          <w:rtl/>
        </w:rPr>
        <w:t xml:space="preserve"> דלולא דברי </w:t>
      </w:r>
      <w:r w:rsidRPr="00656F23">
        <w:rPr>
          <w:rStyle w:val="aff4"/>
          <w:rFonts w:hint="cs"/>
          <w:vanish/>
          <w:rtl/>
        </w:rPr>
        <w:t>-</w:t>
      </w:r>
      <w:r w:rsidRPr="002D2941">
        <w:rPr>
          <w:rStyle w:val="aff4"/>
          <w:rFonts w:hint="cs"/>
          <w:rtl/>
        </w:rPr>
        <w:t>התוס'</w:t>
      </w:r>
      <w:r w:rsidRPr="00656F23">
        <w:rPr>
          <w:rStyle w:val="aff4"/>
          <w:rFonts w:hint="cs"/>
          <w:vanish/>
          <w:rtl/>
        </w:rPr>
        <w:t>-</w:t>
      </w:r>
      <w:r>
        <w:rPr>
          <w:rFonts w:hint="cs"/>
          <w:rtl/>
        </w:rPr>
        <w:t xml:space="preserve"> אפש"ל דאף </w:t>
      </w:r>
      <w:r w:rsidRPr="00656F23">
        <w:rPr>
          <w:rStyle w:val="aff4"/>
          <w:rFonts w:hint="cs"/>
          <w:vanish/>
          <w:rtl/>
        </w:rPr>
        <w:t>-</w:t>
      </w:r>
      <w:r w:rsidRPr="002D2941">
        <w:rPr>
          <w:rStyle w:val="aff4"/>
          <w:rFonts w:hint="cs"/>
          <w:rtl/>
        </w:rPr>
        <w:t>לרש"י</w:t>
      </w:r>
      <w:r w:rsidRPr="00656F23">
        <w:rPr>
          <w:rStyle w:val="aff4"/>
          <w:rFonts w:hint="cs"/>
          <w:vanish/>
          <w:rtl/>
        </w:rPr>
        <w:t>-</w:t>
      </w:r>
      <w:r>
        <w:rPr>
          <w:rFonts w:hint="cs"/>
          <w:rtl/>
        </w:rPr>
        <w:t xml:space="preserve"> בנפה וכברה חייב, וביאר דהרישא דברייתא איירי גם בלאלתר וגם ביד דכך משמעות לשון הברייתא, ולפי"ז הא דתני בסיפא דחייב היינו או לאחר זמן, או בכלי לאלתר, עיי"ש במה שביאר בזה.</w:t>
      </w:r>
      <w:bookmarkEnd w:id="2749"/>
      <w:r>
        <w:rPr>
          <w:rFonts w:hint="cs"/>
          <w:rtl/>
        </w:rPr>
        <w:t xml:space="preserve"> </w:t>
      </w:r>
    </w:p>
    <w:p w14:paraId="20261540" w14:textId="77777777" w:rsidR="008925FD" w:rsidRPr="00747170" w:rsidRDefault="008925FD" w:rsidP="00747170">
      <w:pPr>
        <w:pStyle w:val="a2"/>
        <w:rPr>
          <w:rtl/>
        </w:rPr>
      </w:pPr>
      <w:r w:rsidRPr="00747170">
        <w:rPr>
          <w:rtl/>
        </w:rPr>
        <w:t>ומה דקשיא להו להתוס' על פירש"י בהא דמשמע דלרב אשי שרי בנפה וכברה לאלתר אפילו לכתחלה וא"כ פליג אדאביי ורבא נראה לי ליישב דלא קשיא מידי דודאי לענין דינא לא פליג רב אשי כלל אדאביי ורבא אלא דלדידיה נמי בבורר לאלתר יש שלשה דינים דביד מותר לאלתר בקנון ותמחוי פטור אבל אסור ובנפה וכברה חייב חטאת אלא דבמאי דמפרשי אביי ורבא בבא דסיפא דלא יברור ואם בירר דהיינו דלבו ביום לא יברור ואם בירר נעשה כבורר לאוצר ולרב אשי לא ניחא לפרש הכי מש"ה מפרש לכולה ברייתא בחד גוונא דלאלתר איירי דהכי משמע ליה לישנא דבורר ואוכל בורר ומניח אלא דרישא בבורר ביד איירי כדרך אוכלי לאלתר ועלה קתני ולא יברור היינו שלא יברור כדרך ברירה בקנון ותמחוי ועלה קתני ואם בירר בברירה גמורה היינו בנפה וכברה חייב חטאת אפילו לאלתר. נמצא דלפי"ז לדינא סבר רב אשי כאביי ורבא אלא דבפי' הברייתא מפרש כאוקימתא דרב יוסף אלא דרב יוסף לא נחית לפרש הברייתא בבורר לאכול לאלתר מטעמא דפרישית דבורר ומניח לא משמע להו הכי אלא במניח לבו ביום או למחר מש"ה מקשינן עליה שפיר מידי קנון ותמחוי קתני וכפירש"י דהו"מ למיפרך נמי מידי נפה וכברה קתני והיינו דכיון דרישא בבורר ואוכל ובורר ומניח איירי בתרי גווני לאלתר ולבו ביום שהחילוקים בזמן הברירה א"כ אי ס"ד דסיפא איירי בגוונא אחרינא לענין איכות הברירה בקנון ותמחוי או נפה וכברה הו"ל למיתני בהדיא כי היכי דלא נטעי לפרש סיפא כגוונא דרישא דאיירי נמי בזמן הברירה למחר וליום אוחרא או בורר לאוצר ואפילו ביד. משא"כ לרב אשי לא שייך לאקשויי הכי כיון דהברייתא כולה בחד גוונא איירי באיכות הברירה ובשלשה דינים חילוקים ביד ובקנון ותמחוי ובנפה וכברה, כן נראה לי נכון ליישב שיטת רש"י:</w:t>
      </w:r>
    </w:p>
    <w:p w14:paraId="700A0DAA" w14:textId="77777777" w:rsidR="008925FD" w:rsidRPr="00EB6547" w:rsidRDefault="008925FD" w:rsidP="00747170">
      <w:pPr>
        <w:pStyle w:val="afffff5"/>
      </w:pPr>
      <w:r w:rsidRPr="00EB6547">
        <w:rPr>
          <w:rtl/>
        </w:rPr>
        <w:t>אבל רש"י ז"ל ד"ה והתניא פירש דהיינו ברייתא דלעיל כו' וכפי מה שהבינו התוס' מדבריו ד"ה והתניא דרב אשי לא פליג אאקומתא דאביי וא"כ ברייתא לעיל בנפה וכברה כולה ברייתא מתוקמא ולפ"ז נפה וכברה לאלתר מותר ולבו ביום חייב חטאת וקנון ותמחוי פטור אבל אסור (היינו לבו ביום דלאלתר שרי מכ"ש דנפה וכברה) וביד לבו ביום נמי שרי וקשה טובא תינח בורר והניח היינו לבו ביום רב אשי מתני בברייתא פטור בקנון ותמחוי ורבי ירמי' מדיפתי מתני חייב בנפה וכברה אבל בירר ואכל משמע לאלתר אמאי לר"י מדפתי חייב ב"ו ולרב אשי בקנון ותמחוי פטור אבל אסור הא לאלתר בנפה וכברה נמי מותר הוא ולפמ"ש פני יהושע לרש"י דרב אשי סובר לדינא כאביי אבל בפירושא דברייתא דלעיל סובר כרב יוסף דג' חלוקת תנא בברייתא וכולא לאלתר (לא לבו ביום) וג' דינין יש לאלתר והכין הוא האמת דביד לאלתר מותר בקנון לאלתר פטור אבל אסור ב"ו חייב והשתא ברייתא דרב אשי פטור בקנון ותמחוי וכולא לאלתר בירר ואכל בירר והניח על השולחן באותה סעודה הוה מיד א"כ אכתי קשה למה לי' למימר דרב אשי חולק בפירושא דברייתא דלעיל מאביי ולסיים כי תניא חייב ב"ו לימא כי תניא פטור בקנון ותמחוי לאלתר פטור אבל אסור ולעיל חייב לבו ביום וכדאוקמי' אביי וצ"ע כעת:</w:t>
      </w:r>
    </w:p>
    <w:p w14:paraId="4CBB35A8" w14:textId="77777777" w:rsidR="008925FD" w:rsidRPr="00EB6547" w:rsidRDefault="008925FD" w:rsidP="00747170">
      <w:pPr>
        <w:pStyle w:val="afffff5"/>
        <w:rPr>
          <w:rtl/>
        </w:rPr>
      </w:pPr>
      <w:r w:rsidRPr="00EB6547">
        <w:rPr>
          <w:rtl/>
        </w:rPr>
        <w:t>ומשמע דכאן לא גרס רש"י שני מיני הא לקמן גרס שפיר ונראה כמ"ש לעיל כי סברת רש"י ז"ל הוא דב' מיני אוכלין נהפוך הוא בבורר לאכול מיד אותו שאין רוצה עתה הוה פסולת (ובקנון אסור ובנפה חייב חטאת) הא לבו ביום שרי בב' מיני אוכלין אפילו בנפה וכברה דהי מינייהו אוכל והי מינייהו פסולת וכיון דתרוייהו אוכלא ליכא ברירה כלל משא"כ לקמן גרס שפיר שני מיני אוכלין ובירר ואוכל ובירר ומניח הכל לאלתר ובקנון אסור ובנפה וכברה חייב כמ"ש פני יהושע הביאותיו לעיל אבל לבו ביום ב' מיני אוכלין שרי כמש"ל והבן ולפמ"ש פני יהושע וכדכתיבנא אין חילוק בין רש"י לתוספת לענין דינא דגם לרש"י דינא דאביי אמת דלאלתר ביד שרי ובקנון אסור ובנפה וכברה חייב אלא דרב אשי מוקי ברייתא דלעיל הכל לאלתר וביד מותר ובקנון לא יברור ובנפה חייב ומש"ה לא הביא הטור כלל דעת רש"י וז"ש הב"ח ז"ל בשי"ז דעת רש"י וכ"כ התוספת יע"ש והיינו כדכתיבנא דלדינא גם רש"י מודה להתוס' דלא כמ"ש התוס' ד"ה והתניא דרש"י סובר בנפה וכברה לאלתר שרי:</w:t>
      </w:r>
    </w:p>
    <w:p w14:paraId="45065475" w14:textId="77777777" w:rsidR="008925FD" w:rsidRPr="00EB6547" w:rsidRDefault="008925FD" w:rsidP="00747170">
      <w:pPr>
        <w:pStyle w:val="afffff5"/>
        <w:rPr>
          <w:rtl/>
        </w:rPr>
      </w:pPr>
      <w:r w:rsidRPr="00EB6547">
        <w:rPr>
          <w:rtl/>
        </w:rPr>
        <w:t>ולולא דברי התוס' נלענ"ד דרש"י מפרש הברייתא דלעיל ודאי הרישא דמתיר בורר ואוכל ר"ל תרתי למעליותא בורר ביד ואוכל לאלתר דהכי משמע לישנא דבורר ואוכל ותדע מדלא פריך הגמרא על זה מידי ביד קתני או מידי לאלתר קתני על כרחך דזהו במשמעות לישני דבורר ואוכל דר"ל בורר ביד ואוכל לאלתר והדר קאמר אבל לא יברור בדרך אחר מהשינוי ברישא וזהו בתרתי גווני אם ביד לבו ביום או בכלי לאלתר חייב ולא תקשה השתא כיון דהסיפא ר"ל גם חיובי דלאלתר כגון בכלי ה"ל למיתני גם דין קנון ותמחוי כדמקשה רב המנונא לעיל די"ל דבשלמא לעיל דעיקר הברייתא לחלק בין יד לכלי אתא ה"ל לחלק ג"כ בין קינון ותמחוי אבל השתא הברייתא תרתי קמ"ל לחיובי ביד לבו ביום ובכלי לאלתר תו לא קשה מידי ולפי זה מקשה התוס' לעיל דתקשה לרש"י למסקנא וכי נפה וכברה קתני ואתי שפיר קושיית מהרש"א שם ותדע שכן הוא דאם לא כן קשה הא דפריך הגמרא לרב אשי והתניא חייב ופירש רש"י ואי מיירי רב אשי בלאלתר לשחרי לגמרי דקשה ה"ל להש"ס לשנויי לעולם ר"א בלאלתר ולעיל דשרי דזהו ביד וכאן בכלי ונ"ל דהמקשה בסלקא דעתך הוי מוקים לר"א ביד ולהתירוץ דמוקים בכלי פשיטא ליה מבחוץ דאי אפשר לפטור כי אם בקנון ולא בנפה ודוחק אבל להא</w:t>
      </w:r>
      <w:r w:rsidRPr="00EB6547">
        <w:rPr>
          <w:rFonts w:hint="cs"/>
          <w:rtl/>
        </w:rPr>
        <w:t xml:space="preserve"> </w:t>
      </w:r>
      <w:r w:rsidRPr="00EB6547">
        <w:rPr>
          <w:rtl/>
        </w:rPr>
        <w:t>דאמרן אתי שפיר דאי בכלי חייב לאלתר דסיפא דברייתא לעיל כולל שני דינים ומשני הש"ס כאן בקנון כו' א"כ אין חילוק דין בין רש"י להתוס' לפום הנ"ל ודוק</w:t>
      </w:r>
      <w:r w:rsidRPr="00EB6547">
        <w:rPr>
          <w:rFonts w:hint="cs"/>
          <w:rtl/>
        </w:rPr>
        <w:t>.</w:t>
      </w:r>
    </w:p>
    <w:p w14:paraId="1EE2F1F6" w14:textId="77777777" w:rsidR="008925FD" w:rsidRDefault="008925FD" w:rsidP="008925FD">
      <w:pPr>
        <w:pStyle w:val="afffff7"/>
        <w:rPr>
          <w:rtl/>
        </w:rPr>
      </w:pPr>
      <w:bookmarkStart w:id="2750" w:name="_Toc139277201"/>
      <w:bookmarkStart w:id="2751" w:name="_Toc163505904"/>
      <w:r>
        <w:rPr>
          <w:rFonts w:hint="cs"/>
          <w:rtl/>
        </w:rPr>
        <w:t xml:space="preserve">מגן אבות </w:t>
      </w:r>
      <w:bookmarkStart w:id="2752" w:name="_Hlk138592259"/>
      <w:r>
        <w:rPr>
          <w:rFonts w:hint="cs"/>
          <w:rtl/>
        </w:rPr>
        <w:t>סוגיא דבורר על תוד</w:t>
      </w:r>
      <w:r>
        <w:rPr>
          <w:rFonts w:cs="Guttman Hodes" w:hint="cs"/>
          <w:rtl/>
        </w:rPr>
        <w:t>"</w:t>
      </w:r>
      <w:r>
        <w:rPr>
          <w:rFonts w:hint="cs"/>
          <w:rtl/>
        </w:rPr>
        <w:t>ה והתניא</w:t>
      </w:r>
      <w:bookmarkEnd w:id="2750"/>
      <w:bookmarkEnd w:id="2751"/>
      <w:bookmarkEnd w:id="2752"/>
    </w:p>
    <w:p w14:paraId="03691B99" w14:textId="77777777" w:rsidR="008925FD" w:rsidRDefault="008925FD" w:rsidP="008925FD">
      <w:pPr>
        <w:pStyle w:val="a7"/>
        <w:rPr>
          <w:rtl/>
        </w:rPr>
      </w:pPr>
      <w:bookmarkStart w:id="2753" w:name="_Toc139277109"/>
      <w:r>
        <w:rPr>
          <w:rFonts w:hint="cs"/>
          <w:rtl/>
        </w:rPr>
        <w:t>בי' המגן אבות ברש"י דכל שהוא דרך ברירה אסור אף לאלתר בין ביד ובין בנפה וכברה</w:t>
      </w:r>
      <w:bookmarkEnd w:id="2753"/>
    </w:p>
    <w:p w14:paraId="72547D05" w14:textId="5C61919A" w:rsidR="008925FD" w:rsidRDefault="008925FD" w:rsidP="00BC7DC8">
      <w:pPr>
        <w:pStyle w:val="a3"/>
      </w:pPr>
      <w:bookmarkStart w:id="2754" w:name="_Ref139273597"/>
      <w:bookmarkStart w:id="2755" w:name="_Ref138668141"/>
      <w:r>
        <w:rPr>
          <w:rFonts w:hint="cs"/>
          <w:rtl/>
        </w:rPr>
        <w:t xml:space="preserve">במ"ש </w:t>
      </w:r>
      <w:r w:rsidRPr="00FD54E8">
        <w:rPr>
          <w:rStyle w:val="aff4"/>
          <w:rFonts w:hint="cs"/>
          <w:vanish/>
          <w:rtl/>
        </w:rPr>
        <w:t>-</w:t>
      </w:r>
      <w:r w:rsidRPr="002D2941">
        <w:rPr>
          <w:rStyle w:val="aff4"/>
          <w:rFonts w:hint="cs"/>
          <w:rtl/>
        </w:rPr>
        <w:t>התוס'</w:t>
      </w:r>
      <w:r w:rsidRPr="00FD54E8">
        <w:rPr>
          <w:rStyle w:val="aff4"/>
          <w:rFonts w:hint="cs"/>
          <w:vanish/>
          <w:rtl/>
        </w:rPr>
        <w:t>-</w:t>
      </w:r>
      <w:r>
        <w:rPr>
          <w:rFonts w:hint="cs"/>
          <w:rtl/>
        </w:rPr>
        <w:t xml:space="preserve"> </w:t>
      </w:r>
      <w:r w:rsidRPr="000D251D">
        <w:rPr>
          <w:rStyle w:val="af2"/>
          <w:rFonts w:eastAsia="Guttman Hodes" w:hint="cs"/>
          <w:rtl/>
        </w:rPr>
        <w:t xml:space="preserve">(עי' אות </w:t>
      </w:r>
      <w:r w:rsidRPr="000D251D">
        <w:rPr>
          <w:rStyle w:val="af2"/>
          <w:rFonts w:eastAsia="Guttman Hodes"/>
          <w:rtl/>
        </w:rPr>
        <w:fldChar w:fldCharType="begin"/>
      </w:r>
      <w:r w:rsidRPr="000D251D">
        <w:rPr>
          <w:rStyle w:val="af2"/>
          <w:rFonts w:eastAsia="Guttman Hodes"/>
          <w:rtl/>
        </w:rPr>
        <w:instrText xml:space="preserve"> </w:instrText>
      </w:r>
      <w:r w:rsidRPr="000D251D">
        <w:rPr>
          <w:rStyle w:val="af2"/>
          <w:rFonts w:eastAsia="Guttman Hodes" w:hint="cs"/>
        </w:rPr>
        <w:instrText>REF</w:instrText>
      </w:r>
      <w:r w:rsidRPr="000D251D">
        <w:rPr>
          <w:rStyle w:val="af2"/>
          <w:rFonts w:eastAsia="Guttman Hodes" w:hint="cs"/>
          <w:rtl/>
        </w:rPr>
        <w:instrText xml:space="preserve"> _</w:instrText>
      </w:r>
      <w:r w:rsidRPr="000D251D">
        <w:rPr>
          <w:rStyle w:val="af2"/>
          <w:rFonts w:eastAsia="Guttman Hodes" w:hint="cs"/>
        </w:rPr>
        <w:instrText>Ref138664935 \r \h</w:instrText>
      </w:r>
      <w:r w:rsidRPr="000D251D">
        <w:rPr>
          <w:rStyle w:val="af2"/>
          <w:rFonts w:eastAsia="Guttman Hodes"/>
          <w:rtl/>
        </w:rPr>
        <w:instrText xml:space="preserve"> </w:instrText>
      </w:r>
      <w:r w:rsidRPr="000D251D">
        <w:rPr>
          <w:rStyle w:val="af2"/>
          <w:rFonts w:eastAsia="Guttman Hodes"/>
          <w:rtl/>
        </w:rPr>
      </w:r>
      <w:r w:rsidRPr="000D251D">
        <w:rPr>
          <w:rStyle w:val="af2"/>
          <w:rFonts w:eastAsia="Guttman Hodes"/>
          <w:rtl/>
        </w:rPr>
        <w:fldChar w:fldCharType="separate"/>
      </w:r>
      <w:r w:rsidR="00D82181">
        <w:rPr>
          <w:rStyle w:val="af2"/>
          <w:rFonts w:eastAsia="Guttman Hodes"/>
          <w:cs/>
        </w:rPr>
        <w:t>‎</w:t>
      </w:r>
      <w:r w:rsidR="00D82181">
        <w:rPr>
          <w:rStyle w:val="af2"/>
          <w:rFonts w:eastAsia="Guttman Hodes"/>
          <w:rtl/>
        </w:rPr>
        <w:t>נא)</w:t>
      </w:r>
      <w:r w:rsidRPr="000D251D">
        <w:rPr>
          <w:rStyle w:val="af2"/>
          <w:rFonts w:eastAsia="Guttman Hodes"/>
          <w:rtl/>
        </w:rPr>
        <w:fldChar w:fldCharType="end"/>
      </w:r>
      <w:r>
        <w:rPr>
          <w:rFonts w:hint="cs"/>
          <w:rtl/>
        </w:rPr>
        <w:t xml:space="preserve"> דלדעת </w:t>
      </w:r>
      <w:r w:rsidRPr="00FD54E8">
        <w:rPr>
          <w:rStyle w:val="aff4"/>
          <w:rFonts w:hint="cs"/>
          <w:vanish/>
          <w:rtl/>
        </w:rPr>
        <w:t>-</w:t>
      </w:r>
      <w:r w:rsidRPr="002D2941">
        <w:rPr>
          <w:rStyle w:val="aff4"/>
          <w:rFonts w:hint="cs"/>
          <w:rtl/>
        </w:rPr>
        <w:t>רש"י</w:t>
      </w:r>
      <w:r w:rsidRPr="00FD54E8">
        <w:rPr>
          <w:rStyle w:val="aff4"/>
          <w:rFonts w:hint="cs"/>
          <w:vanish/>
          <w:rtl/>
        </w:rPr>
        <w:t>-</w:t>
      </w:r>
      <w:r>
        <w:rPr>
          <w:rFonts w:hint="cs"/>
          <w:rtl/>
        </w:rPr>
        <w:t xml:space="preserve"> משמע דלרב אשי נפה וכברה לאלתר מותר, הקשה </w:t>
      </w:r>
      <w:r w:rsidRPr="00FD54E8">
        <w:rPr>
          <w:rStyle w:val="aff4"/>
          <w:rFonts w:hint="cs"/>
          <w:vanish/>
          <w:rtl/>
        </w:rPr>
        <w:t>-</w:t>
      </w:r>
      <w:r w:rsidRPr="002D2941">
        <w:rPr>
          <w:rStyle w:val="aff4"/>
          <w:rFonts w:hint="cs"/>
          <w:rtl/>
        </w:rPr>
        <w:t>ה</w:t>
      </w:r>
      <w:r w:rsidRPr="00FD54E8">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Ref138668141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נט)</w:t>
      </w:r>
      <w:r>
        <w:rPr>
          <w:rStyle w:val="aff4"/>
          <w:vanish/>
          <w:rtl/>
        </w:rPr>
        <w:fldChar w:fldCharType="end"/>
      </w:r>
      <w:r w:rsidRPr="00FD54E8">
        <w:rPr>
          <w:rStyle w:val="aff4"/>
          <w:rFonts w:hint="cs"/>
          <w:vanish/>
          <w:rtl/>
        </w:rPr>
        <w:t xml:space="preserve"> &gt;</w:t>
      </w:r>
      <w:r w:rsidRPr="002D2941">
        <w:rPr>
          <w:rStyle w:val="aff4"/>
          <w:rFonts w:hint="cs"/>
          <w:rtl/>
        </w:rPr>
        <w:t>מגן אבות</w:t>
      </w:r>
      <w:r w:rsidRPr="00FD54E8">
        <w:rPr>
          <w:rStyle w:val="aff4"/>
          <w:rFonts w:hint="cs"/>
          <w:vanish/>
          <w:rtl/>
        </w:rPr>
        <w:t>-</w:t>
      </w:r>
      <w:r>
        <w:rPr>
          <w:rFonts w:hint="cs"/>
          <w:rtl/>
        </w:rPr>
        <w:t xml:space="preserve"> </w:t>
      </w:r>
      <w:r w:rsidRPr="000D251D">
        <w:rPr>
          <w:rStyle w:val="af2"/>
          <w:rFonts w:eastAsia="Guttman Hodes" w:hint="cs"/>
          <w:rtl/>
        </w:rPr>
        <w:t>(</w:t>
      </w:r>
      <w:r w:rsidRPr="000D251D">
        <w:rPr>
          <w:rStyle w:val="af2"/>
          <w:rFonts w:eastAsia="Guttman Hodes"/>
          <w:rtl/>
        </w:rPr>
        <w:t>סוגיא דבורר על תוד"ה והתניא</w:t>
      </w:r>
      <w:r w:rsidRPr="000D251D">
        <w:rPr>
          <w:rStyle w:val="af2"/>
          <w:rFonts w:eastAsia="Guttman Hodes" w:hint="cs"/>
          <w:rtl/>
        </w:rPr>
        <w:t>)</w:t>
      </w:r>
      <w:r w:rsidRPr="00FD54E8">
        <w:rPr>
          <w:rFonts w:hint="cs"/>
          <w:vanish/>
          <w:rtl/>
        </w:rPr>
        <w:t>=</w:t>
      </w:r>
      <w:r>
        <w:rPr>
          <w:rFonts w:hint="cs"/>
          <w:rtl/>
        </w:rPr>
        <w:t xml:space="preserve"> דהא מבואר בדברי </w:t>
      </w:r>
      <w:r>
        <w:rPr>
          <w:rStyle w:val="aff4"/>
          <w:rFonts w:hint="cs"/>
          <w:vanish/>
          <w:rtl/>
        </w:rPr>
        <w:t>&lt; &gt;</w:t>
      </w:r>
      <w:r w:rsidRPr="00FD54E8">
        <w:rPr>
          <w:rStyle w:val="aff4"/>
          <w:rFonts w:hint="cs"/>
          <w:vanish/>
          <w:rtl/>
        </w:rPr>
        <w:t>-</w:t>
      </w:r>
      <w:r w:rsidRPr="002D2941">
        <w:rPr>
          <w:rStyle w:val="aff4"/>
          <w:rFonts w:hint="cs"/>
          <w:rtl/>
        </w:rPr>
        <w:t>רש"י לקמן</w:t>
      </w:r>
      <w:r w:rsidRPr="00FD54E8">
        <w:rPr>
          <w:rStyle w:val="aff4"/>
          <w:rFonts w:hint="cs"/>
          <w:vanish/>
          <w:rtl/>
        </w:rPr>
        <w:t>-</w:t>
      </w:r>
      <w:r>
        <w:rPr>
          <w:rFonts w:hint="cs"/>
          <w:rtl/>
        </w:rPr>
        <w:t xml:space="preserve"> </w:t>
      </w:r>
      <w:r w:rsidRPr="000D251D">
        <w:rPr>
          <w:rStyle w:val="af2"/>
          <w:rFonts w:eastAsia="Guttman Hodes" w:hint="cs"/>
          <w:rtl/>
        </w:rPr>
        <w:t>(קמ. ד"ה אבל נוטל)</w:t>
      </w:r>
      <w:r w:rsidRPr="00FD54E8">
        <w:rPr>
          <w:rFonts w:hint="cs"/>
          <w:vanish/>
          <w:rtl/>
        </w:rPr>
        <w:t>=</w:t>
      </w:r>
      <w:r>
        <w:rPr>
          <w:rFonts w:hint="cs"/>
          <w:rtl/>
        </w:rPr>
        <w:t xml:space="preserve"> דמותר לברור בכברה לאבוס רק באופן שאינו מתכוין דקיי"ל כר"ש, ולא כתב </w:t>
      </w:r>
      <w:r w:rsidRPr="00FD54E8">
        <w:rPr>
          <w:rStyle w:val="aff4"/>
          <w:rFonts w:hint="cs"/>
          <w:vanish/>
          <w:rtl/>
        </w:rPr>
        <w:t>-</w:t>
      </w:r>
      <w:r w:rsidRPr="002D2941">
        <w:rPr>
          <w:rStyle w:val="aff4"/>
          <w:rFonts w:hint="cs"/>
          <w:rtl/>
        </w:rPr>
        <w:t>רש"י</w:t>
      </w:r>
      <w:r w:rsidRPr="00FD54E8">
        <w:rPr>
          <w:rStyle w:val="aff4"/>
          <w:rFonts w:hint="cs"/>
          <w:vanish/>
          <w:rtl/>
        </w:rPr>
        <w:t>-</w:t>
      </w:r>
      <w:r>
        <w:rPr>
          <w:rFonts w:hint="cs"/>
          <w:rtl/>
        </w:rPr>
        <w:t xml:space="preserve"> דכיון דהוא לאלתר מותר, אף דאין חילוק בזה בין אדם לבהמה, ומוכח דאין היתר בנפה וכברה לאלתר, ועוד הקשה </w:t>
      </w:r>
      <w:r w:rsidRPr="00FD54E8">
        <w:rPr>
          <w:rStyle w:val="aff4"/>
          <w:rFonts w:hint="cs"/>
          <w:vanish/>
          <w:rtl/>
        </w:rPr>
        <w:t>-</w:t>
      </w:r>
      <w:r w:rsidRPr="002D2941">
        <w:rPr>
          <w:rStyle w:val="aff4"/>
          <w:rFonts w:hint="cs"/>
          <w:rtl/>
        </w:rPr>
        <w:t>המגן אבות</w:t>
      </w:r>
      <w:r w:rsidRPr="00FD54E8">
        <w:rPr>
          <w:rStyle w:val="aff4"/>
          <w:rFonts w:hint="cs"/>
          <w:vanish/>
          <w:rtl/>
        </w:rPr>
        <w:t>-</w:t>
      </w:r>
      <w:r>
        <w:rPr>
          <w:rFonts w:hint="cs"/>
          <w:rtl/>
        </w:rPr>
        <w:t xml:space="preserve"> דממ"ש </w:t>
      </w:r>
      <w:r w:rsidRPr="00FD54E8">
        <w:rPr>
          <w:rStyle w:val="aff4"/>
          <w:rFonts w:hint="cs"/>
          <w:vanish/>
          <w:rtl/>
        </w:rPr>
        <w:t>-</w:t>
      </w:r>
      <w:r w:rsidRPr="002D2941">
        <w:rPr>
          <w:rStyle w:val="aff4"/>
          <w:rFonts w:hint="cs"/>
          <w:rtl/>
        </w:rPr>
        <w:t>התוס'</w:t>
      </w:r>
      <w:r w:rsidRPr="00FD54E8">
        <w:rPr>
          <w:rStyle w:val="aff4"/>
          <w:rFonts w:hint="cs"/>
          <w:vanish/>
          <w:rtl/>
        </w:rPr>
        <w:t>-</w:t>
      </w:r>
      <w:r>
        <w:rPr>
          <w:rFonts w:hint="cs"/>
          <w:rtl/>
        </w:rPr>
        <w:t xml:space="preserve"> דלדעת </w:t>
      </w:r>
      <w:r w:rsidRPr="00FD54E8">
        <w:rPr>
          <w:rStyle w:val="aff4"/>
          <w:rFonts w:hint="cs"/>
          <w:vanish/>
          <w:rtl/>
        </w:rPr>
        <w:t>-</w:t>
      </w:r>
      <w:r w:rsidRPr="002D2941">
        <w:rPr>
          <w:rStyle w:val="aff4"/>
          <w:rFonts w:hint="cs"/>
          <w:rtl/>
        </w:rPr>
        <w:t>רש"י</w:t>
      </w:r>
      <w:r w:rsidRPr="00FD54E8">
        <w:rPr>
          <w:rStyle w:val="aff4"/>
          <w:rFonts w:hint="cs"/>
          <w:vanish/>
          <w:rtl/>
        </w:rPr>
        <w:t>-</w:t>
      </w:r>
      <w:r>
        <w:rPr>
          <w:rFonts w:hint="cs"/>
          <w:rtl/>
        </w:rPr>
        <w:t xml:space="preserve"> משמע נפה וכברה לאלתר מותר, משמע דביד מותר אף לאחר זמן, והא פסק </w:t>
      </w:r>
      <w:r w:rsidRPr="003D30D2">
        <w:rPr>
          <w:rStyle w:val="aff4"/>
          <w:rFonts w:hint="cs"/>
          <w:vanish/>
          <w:rtl/>
        </w:rPr>
        <w:t>-</w:t>
      </w:r>
      <w:r w:rsidRPr="00A30B60">
        <w:rPr>
          <w:rStyle w:val="aff4"/>
          <w:rFonts w:hint="cs"/>
          <w:rtl/>
        </w:rPr>
        <w:t>השו"ע</w:t>
      </w:r>
      <w:r w:rsidRPr="003D30D2">
        <w:rPr>
          <w:rStyle w:val="aff4"/>
          <w:rFonts w:hint="cs"/>
          <w:vanish/>
          <w:rtl/>
        </w:rPr>
        <w:t>-</w:t>
      </w:r>
      <w:r>
        <w:rPr>
          <w:rFonts w:hint="cs"/>
          <w:rtl/>
        </w:rPr>
        <w:t xml:space="preserve"> </w:t>
      </w:r>
      <w:r w:rsidRPr="000D251D">
        <w:rPr>
          <w:rStyle w:val="af2"/>
          <w:rFonts w:eastAsia="Guttman Hodes" w:hint="cs"/>
          <w:rtl/>
        </w:rPr>
        <w:t>(סי' שי"ט י"ד)</w:t>
      </w:r>
      <w:r>
        <w:rPr>
          <w:rFonts w:hint="cs"/>
          <w:rtl/>
        </w:rPr>
        <w:t xml:space="preserve"> דאסור לשפוך שכר מכלי לכלי אם כוונתו לברור שלא יפלו הניצוצות שנשארות בסוף כיון דהם פסולת, כמבואר בגמ' לקמן </w:t>
      </w:r>
      <w:r w:rsidRPr="000D251D">
        <w:rPr>
          <w:rStyle w:val="af2"/>
          <w:rFonts w:eastAsia="Guttman Hodes" w:hint="cs"/>
          <w:rtl/>
        </w:rPr>
        <w:t>(קלט:)</w:t>
      </w:r>
      <w:r>
        <w:rPr>
          <w:rFonts w:hint="cs"/>
          <w:rtl/>
        </w:rPr>
        <w:t xml:space="preserve">, ומוכח דאעפ"י דהוא בורר ביד הוי דרך ברירה, וכן מוכח בגמ' לקמן </w:t>
      </w:r>
      <w:r w:rsidRPr="000D251D">
        <w:rPr>
          <w:rStyle w:val="af2"/>
          <w:rFonts w:eastAsia="Guttman Hodes" w:hint="cs"/>
          <w:rtl/>
        </w:rPr>
        <w:t>(עד:)</w:t>
      </w:r>
      <w:r>
        <w:rPr>
          <w:rFonts w:hint="cs"/>
          <w:rtl/>
        </w:rPr>
        <w:t xml:space="preserve"> דבחביתא וחלתא הוי בורר אעפ"י דהוא ברירה ביד, וכתב </w:t>
      </w:r>
      <w:r w:rsidRPr="00FD54E8">
        <w:rPr>
          <w:rStyle w:val="aff4"/>
          <w:rFonts w:hint="cs"/>
          <w:vanish/>
          <w:rtl/>
        </w:rPr>
        <w:t>-</w:t>
      </w:r>
      <w:r w:rsidRPr="002D2941">
        <w:rPr>
          <w:rStyle w:val="aff4"/>
          <w:rFonts w:hint="cs"/>
          <w:rtl/>
        </w:rPr>
        <w:t>המגן אבות</w:t>
      </w:r>
      <w:r w:rsidRPr="00FD54E8">
        <w:rPr>
          <w:rStyle w:val="aff4"/>
          <w:rFonts w:hint="cs"/>
          <w:vanish/>
          <w:rtl/>
        </w:rPr>
        <w:t>-</w:t>
      </w:r>
      <w:r>
        <w:rPr>
          <w:rFonts w:hint="cs"/>
          <w:rtl/>
        </w:rPr>
        <w:t xml:space="preserve"> שאפש"ל דבדבר שדרך ברירתו ביד, דין ברירה ביד כברירה בכלי.</w:t>
      </w:r>
      <w:bookmarkEnd w:id="2754"/>
    </w:p>
    <w:bookmarkEnd w:id="2755"/>
    <w:p w14:paraId="2E4D0AC0" w14:textId="77777777" w:rsidR="008925FD" w:rsidRPr="00747170" w:rsidRDefault="008925FD" w:rsidP="00747170">
      <w:pPr>
        <w:pStyle w:val="a2"/>
        <w:rPr>
          <w:rtl/>
        </w:rPr>
      </w:pPr>
      <w:r w:rsidRPr="00747170">
        <w:rPr>
          <w:rtl/>
        </w:rPr>
        <w:t>תוס' ד"ה והתניא חייב כו' וקשה לר"י כו' אבל לאלתר אפילו בנפה וכברה שרי וקשה לי איך אפשר לפרש כך ברש"י דהא לקמן בדף ק"מ ע"א איתא במתני' נוטל בכברה ומניח לתוך אבוס ופירש רש"י בשביל דהוי דבר שאינו מ</w:t>
      </w:r>
      <w:r w:rsidRPr="00747170">
        <w:rPr>
          <w:rFonts w:hint="cs"/>
          <w:rtl/>
        </w:rPr>
        <w:t>ת</w:t>
      </w:r>
      <w:r w:rsidRPr="00747170">
        <w:rPr>
          <w:rtl/>
        </w:rPr>
        <w:t xml:space="preserve">כוין ותיפוק ליה בלאו הכי הא הוה ליה להאכיל לבהמה לאלתר ואין חילוק בזה בין אדם לבהמה כדמוכח מדברי הרשב"א תשובות ח"ד סימן ע"ה דשרי לחתוך דק דק לצורך עופות ועוד קשה הא שם דף קל"ט ע"ב אסרינן לשפות סוכרא ממנא למנא וזה הוה ליה כבורר ביד כמו שכתב במגן אברהם סימן שי"ט ס"ק ט"ו ואי ביד שרי בית הלל לבו ביום א"כ אמאי אסור לקמן גם בהך דעפר וקנים גבי חביתא ותלתא דפירש רש"י דהוי בורר מסתמא הוי ביד וי"ל </w:t>
      </w:r>
      <w:r w:rsidRPr="00747170">
        <w:rPr>
          <w:rFonts w:hint="cs"/>
          <w:rtl/>
        </w:rPr>
        <w:t>ד</w:t>
      </w:r>
      <w:r w:rsidRPr="00747170">
        <w:rPr>
          <w:rtl/>
        </w:rPr>
        <w:t xml:space="preserve">כל אלו דרך ברירתן ביד ה"ל ביד כמו באוכלין על ידי כלי ואפשר דייק הברייתא ונקט אוכלין דבאוכלין דוקא מחלקינן בין </w:t>
      </w:r>
      <w:r w:rsidRPr="00747170">
        <w:rPr>
          <w:rFonts w:hint="cs"/>
          <w:rtl/>
        </w:rPr>
        <w:t>ב</w:t>
      </w:r>
      <w:r w:rsidRPr="00747170">
        <w:rPr>
          <w:rtl/>
        </w:rPr>
        <w:t xml:space="preserve">ידים לכלי ולפי זה במשקין דרך ברירתן מכלי לכלי ולא בעינן ברירה במשמרת דוקא א"נ במשקין </w:t>
      </w:r>
      <w:r w:rsidRPr="00747170">
        <w:rPr>
          <w:rFonts w:hint="cs"/>
          <w:rtl/>
        </w:rPr>
        <w:t>ד</w:t>
      </w:r>
      <w:r w:rsidRPr="00747170">
        <w:rPr>
          <w:rtl/>
        </w:rPr>
        <w:t>יכול לשתות ממנו בלי לשפות מכלי לכלי אסור אפילו ביד אבל קדמייתא קשה</w:t>
      </w:r>
      <w:r w:rsidRPr="00747170">
        <w:rPr>
          <w:rFonts w:hint="cs"/>
          <w:rtl/>
        </w:rPr>
        <w:t>.</w:t>
      </w:r>
    </w:p>
    <w:p w14:paraId="5CA22ACF" w14:textId="77777777" w:rsidR="008925FD" w:rsidRDefault="008925FD" w:rsidP="008925FD">
      <w:pPr>
        <w:pStyle w:val="1"/>
        <w:rPr>
          <w:rtl/>
        </w:rPr>
      </w:pPr>
      <w:bookmarkStart w:id="2756" w:name="_Toc139277110"/>
      <w:r>
        <w:rPr>
          <w:rFonts w:hint="cs"/>
          <w:rtl/>
        </w:rPr>
        <w:t>בי' הרי"ד</w:t>
      </w:r>
      <w:r w:rsidRPr="00393098">
        <w:rPr>
          <w:rFonts w:hint="cs"/>
          <w:rtl/>
        </w:rPr>
        <w:t xml:space="preserve"> </w:t>
      </w:r>
      <w:r>
        <w:rPr>
          <w:rFonts w:hint="cs"/>
          <w:rtl/>
        </w:rPr>
        <w:t>דנפה לאלתר חייב דהוי מלאכה ולאח"ז אף ביד חייב</w:t>
      </w:r>
      <w:bookmarkEnd w:id="2756"/>
    </w:p>
    <w:p w14:paraId="545136D7" w14:textId="77777777" w:rsidR="008925FD" w:rsidRDefault="008925FD" w:rsidP="008925FD">
      <w:pPr>
        <w:pStyle w:val="afffff7"/>
        <w:rPr>
          <w:rtl/>
        </w:rPr>
      </w:pPr>
      <w:bookmarkStart w:id="2757" w:name="_Toc139277202"/>
      <w:bookmarkStart w:id="2758" w:name="_Toc163505905"/>
      <w:r>
        <w:rPr>
          <w:rtl/>
        </w:rPr>
        <w:t>ספר המכריע סי</w:t>
      </w:r>
      <w:r>
        <w:rPr>
          <w:rFonts w:hint="cs"/>
          <w:rtl/>
        </w:rPr>
        <w:t xml:space="preserve">' </w:t>
      </w:r>
      <w:r>
        <w:rPr>
          <w:rtl/>
        </w:rPr>
        <w:t>כ</w:t>
      </w:r>
      <w:r>
        <w:rPr>
          <w:rFonts w:hint="cs"/>
          <w:rtl/>
        </w:rPr>
        <w:t>"</w:t>
      </w:r>
      <w:r>
        <w:rPr>
          <w:rtl/>
        </w:rPr>
        <w:t>ג</w:t>
      </w:r>
      <w:r w:rsidRPr="006B322E">
        <w:rPr>
          <w:rtl/>
        </w:rPr>
        <w:t xml:space="preserve"> ד"ה גרסינן</w:t>
      </w:r>
      <w:bookmarkEnd w:id="2757"/>
      <w:bookmarkEnd w:id="2758"/>
    </w:p>
    <w:p w14:paraId="4AB1C8AC" w14:textId="595D57CE" w:rsidR="008925FD" w:rsidRDefault="008925FD" w:rsidP="008925FD">
      <w:pPr>
        <w:pStyle w:val="a7"/>
        <w:rPr>
          <w:rtl/>
        </w:rPr>
      </w:pPr>
      <w:bookmarkStart w:id="2759" w:name="_Toc139277111"/>
      <w:bookmarkEnd w:id="2726"/>
      <w:r>
        <w:rPr>
          <w:rFonts w:hint="cs"/>
          <w:rtl/>
        </w:rPr>
        <w:t>בי' הרי"ד דאביי העמיד את הברייתא ביד ולא בנפה דהא בנפה לאלתר חייב כאופה דל"ה שינוי</w:t>
      </w:r>
      <w:bookmarkEnd w:id="2759"/>
    </w:p>
    <w:p w14:paraId="216C3DE9" w14:textId="2A2CC026" w:rsidR="008925FD" w:rsidRDefault="008925FD" w:rsidP="00BC7DC8">
      <w:pPr>
        <w:pStyle w:val="a3"/>
        <w:rPr>
          <w:rtl/>
        </w:rPr>
      </w:pPr>
      <w:bookmarkStart w:id="2760" w:name="_Ref138087843"/>
      <w:bookmarkStart w:id="2761" w:name="_Ref139225896"/>
      <w:bookmarkStart w:id="2762" w:name="_Ref138967896"/>
      <w:r>
        <w:rPr>
          <w:rFonts w:hint="cs"/>
          <w:rtl/>
        </w:rPr>
        <w:t xml:space="preserve">כתב </w:t>
      </w:r>
      <w:r w:rsidRPr="00B57CCC">
        <w:rPr>
          <w:rStyle w:val="aff4"/>
          <w:rFonts w:hint="cs"/>
          <w:vanish/>
          <w:rtl/>
        </w:rPr>
        <w:t>-</w:t>
      </w:r>
      <w:r w:rsidRPr="00194A43">
        <w:rPr>
          <w:rStyle w:val="aff4"/>
          <w:rFonts w:hint="cs"/>
          <w:rtl/>
        </w:rPr>
        <w:t>ה</w:t>
      </w:r>
      <w:r w:rsidRPr="00B57CCC">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Ref138967896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ס)</w:t>
      </w:r>
      <w:r>
        <w:rPr>
          <w:rStyle w:val="aff4"/>
          <w:vanish/>
          <w:rtl/>
        </w:rPr>
        <w:fldChar w:fldCharType="end"/>
      </w:r>
      <w:r w:rsidRPr="00B57CCC">
        <w:rPr>
          <w:rStyle w:val="aff4"/>
          <w:rFonts w:hint="cs"/>
          <w:vanish/>
          <w:rtl/>
        </w:rPr>
        <w:t xml:space="preserve"> &gt;</w:t>
      </w:r>
      <w:r w:rsidRPr="00194A43">
        <w:rPr>
          <w:rStyle w:val="aff4"/>
          <w:rFonts w:hint="cs"/>
          <w:rtl/>
        </w:rPr>
        <w:t>רי"ד בספר המכריע</w:t>
      </w:r>
      <w:r w:rsidRPr="00B57CCC">
        <w:rPr>
          <w:rStyle w:val="aff4"/>
          <w:rFonts w:hint="cs"/>
          <w:vanish/>
          <w:rtl/>
        </w:rPr>
        <w:t>-</w:t>
      </w:r>
      <w:r>
        <w:rPr>
          <w:rFonts w:hint="cs"/>
          <w:rtl/>
        </w:rPr>
        <w:t xml:space="preserve"> </w:t>
      </w:r>
      <w:r w:rsidRPr="000D251D">
        <w:rPr>
          <w:rStyle w:val="af2"/>
          <w:rFonts w:eastAsia="Guttman Hodes" w:hint="cs"/>
          <w:rtl/>
        </w:rPr>
        <w:t>(סי' כ"ג</w:t>
      </w:r>
      <w:r w:rsidRPr="000D251D">
        <w:rPr>
          <w:rStyle w:val="af2"/>
          <w:rFonts w:eastAsia="Guttman Hodes"/>
          <w:rtl/>
        </w:rPr>
        <w:t xml:space="preserve"> ד"ה גרסינן</w:t>
      </w:r>
      <w:r w:rsidRPr="000D251D">
        <w:rPr>
          <w:rStyle w:val="af2"/>
          <w:rFonts w:eastAsia="Guttman Hodes" w:hint="cs"/>
          <w:rtl/>
        </w:rPr>
        <w:t>, הועתק בקובץ שיטות קמאי שבת ח"ב עמ' אלף פ"ו)</w:t>
      </w:r>
      <w:r w:rsidRPr="00B57CCC">
        <w:rPr>
          <w:rFonts w:hint="cs"/>
          <w:vanish/>
          <w:rtl/>
        </w:rPr>
        <w:t>=</w:t>
      </w:r>
      <w:bookmarkEnd w:id="2760"/>
      <w:r>
        <w:rPr>
          <w:rFonts w:hint="cs"/>
          <w:rtl/>
        </w:rPr>
        <w:t xml:space="preserve"> דאביי דהעמיד את הברייתא דאיירי לאלתר אבל לאחר זמן </w:t>
      </w:r>
      <w:r>
        <w:rPr>
          <w:rFonts w:hint="cs"/>
          <w:rtl/>
        </w:rPr>
        <w:lastRenderedPageBreak/>
        <w:t>חייב, אין כוונתו להעמיד בנפה וכברה, דא"כ א"א לומר דלאלתר מותר, דהא רב יוסף מחייב בזה חטאת דהוא מלאכה גמורה ואינו שינוי, והיה לגמ' להקשות לאביי דמ"ש מאופה ומבשל, אלא דהעמיד אביי את הברייתא בבורר ביד, ואפ"ה ס"ל דלאחר זמן חייב חטאת.</w:t>
      </w:r>
      <w:bookmarkEnd w:id="2761"/>
    </w:p>
    <w:p w14:paraId="508FDBCD" w14:textId="77777777" w:rsidR="008925FD" w:rsidRPr="00747170" w:rsidRDefault="008925FD" w:rsidP="00747170">
      <w:pPr>
        <w:pStyle w:val="a2"/>
      </w:pPr>
      <w:r w:rsidRPr="00747170">
        <w:rPr>
          <w:rtl/>
        </w:rPr>
        <w:t>מתקיף לה אביי מידי אוכל מתוך פסולת ופסולת מתוך אוכל קתני פירוש גם אביי סותר תירוצו של רב המנונא שגם הוא לא ישב הברייתא יפה דלא תני אוכל מתוך פסולת ואף על פי שהלכה כדברי רב המנונא לשון הברייתא אינו משמע שידבר בזה אלא אמר אביי בורר ואוכל לאלתר בורר ומניח לאלתר ולבו ביום לא יברור ואם בירר נעשה כמי שבורר לאוצר וחייב. ופירוש אין לדקדק ולומר דמדקאמר אביי לבו ביום לא יברור ואם בירר חייב חטאת שמע מינה דבנפה וכברה קאמר דאילו ביד ליכא חיוב חטאת דאי בנפה וכברה קאמר היכי הוה שרי לברור ולאכול והא רב יוסף הוה מחייב עליה חטאת ואביי הוה שרי ליה לגמרי ותו כיון דנפה וכברה קא עביד אמאי לא אקשינן עליה וכי מותר לאפות ולבשל כדי לאכול כדאקשינן לעיל לעולא אלא לאו שמע מינה ביד קאמר</w:t>
      </w:r>
      <w:r w:rsidRPr="00747170">
        <w:rPr>
          <w:rFonts w:hint="cs"/>
          <w:rtl/>
        </w:rPr>
        <w:t>.</w:t>
      </w:r>
    </w:p>
    <w:p w14:paraId="39F01E3E" w14:textId="77777777" w:rsidR="008925FD" w:rsidRPr="0001526E" w:rsidRDefault="008925FD" w:rsidP="008925FD">
      <w:pPr>
        <w:pStyle w:val="a7"/>
      </w:pPr>
      <w:bookmarkStart w:id="2763" w:name="_Toc139277112"/>
      <w:r>
        <w:rPr>
          <w:rFonts w:hint="cs"/>
          <w:rtl/>
        </w:rPr>
        <w:t>בי' הרי"ד דביד הוי שינוי רק לאלתר אבל לאח"ז הוא דרך ברירה דבדבר מועט כך הדרך להצניע</w:t>
      </w:r>
      <w:bookmarkEnd w:id="2763"/>
    </w:p>
    <w:p w14:paraId="4BC4F109" w14:textId="3C5F5DE3" w:rsidR="008925FD" w:rsidRPr="00CF3F15" w:rsidRDefault="008925FD" w:rsidP="00BC7DC8">
      <w:pPr>
        <w:pStyle w:val="a3"/>
        <w:rPr>
          <w:rtl/>
        </w:rPr>
      </w:pPr>
      <w:bookmarkStart w:id="2764" w:name="_Ref139211914"/>
      <w:r>
        <w:rPr>
          <w:rFonts w:hint="cs"/>
          <w:rtl/>
        </w:rPr>
        <w:t xml:space="preserve">וביאר </w:t>
      </w:r>
      <w:r w:rsidRPr="00B57CCC">
        <w:rPr>
          <w:rStyle w:val="aff4"/>
          <w:rFonts w:hint="cs"/>
          <w:vanish/>
          <w:rtl/>
        </w:rPr>
        <w:t>-</w:t>
      </w:r>
      <w:r w:rsidRPr="00194A43">
        <w:rPr>
          <w:rStyle w:val="aff4"/>
          <w:rFonts w:hint="cs"/>
          <w:rtl/>
        </w:rPr>
        <w:t>הרי"ד בספר המכריע</w:t>
      </w:r>
      <w:r w:rsidRPr="00B57CCC">
        <w:rPr>
          <w:rStyle w:val="aff4"/>
          <w:rFonts w:hint="cs"/>
          <w:vanish/>
          <w:rtl/>
        </w:rPr>
        <w:t>-</w:t>
      </w:r>
      <w:r>
        <w:rPr>
          <w:rFonts w:hint="cs"/>
          <w:rtl/>
        </w:rPr>
        <w:t xml:space="preserve"> דס"ל לאביי דאעפ"י דביד הוא שינוי גמור, ולאלתר מותר לכתחילה, היינו דוקא כיון דבורר לאכול לאלתר או לאותה סעודה, אבל להניח הוא דרך ברירה אף ביד, דמי שיש לו דבר מועט בוררו ביד לאוצר, ולכן חייב חטאת.</w:t>
      </w:r>
      <w:bookmarkEnd w:id="2762"/>
      <w:bookmarkEnd w:id="2764"/>
      <w:r>
        <w:rPr>
          <w:rFonts w:hint="cs"/>
          <w:rtl/>
        </w:rPr>
        <w:t xml:space="preserve"> </w:t>
      </w:r>
    </w:p>
    <w:p w14:paraId="5D5FCF2B" w14:textId="77777777" w:rsidR="008925FD" w:rsidRPr="00747170" w:rsidRDefault="008925FD" w:rsidP="00747170">
      <w:pPr>
        <w:pStyle w:val="a2"/>
      </w:pPr>
      <w:r w:rsidRPr="00747170">
        <w:rPr>
          <w:rtl/>
        </w:rPr>
        <w:t>וסבירא ליה אף על גב דביד הוי שינוי גמור ומותר לכתחילה הני מילי לברור ולאכול או לברור ולהניח לאלתר לצורך אותה הסעודה אבל אם דעתו להניח לו אפילו לבו ביום נעשה כבורר לאוצר שגם ביד דרך העולם הוא לברור ולהניח לאוצר שכן אדם שיש לו דבר מועט בוררו יד על יד והילכך חייב חטאת ולא הותר ביד אלא לצורך סעודתו.</w:t>
      </w:r>
    </w:p>
    <w:p w14:paraId="3F9B89D9" w14:textId="087C0283" w:rsidR="008925FD" w:rsidRDefault="008925FD" w:rsidP="008925FD">
      <w:pPr>
        <w:pStyle w:val="afffff7"/>
        <w:rPr>
          <w:rtl/>
        </w:rPr>
      </w:pPr>
      <w:bookmarkStart w:id="2765" w:name="_Toc139277203"/>
      <w:bookmarkStart w:id="2766" w:name="_Toc163505906"/>
      <w:r>
        <w:rPr>
          <w:rtl/>
        </w:rPr>
        <w:t>ספר המכריע סי</w:t>
      </w:r>
      <w:r>
        <w:rPr>
          <w:rFonts w:hint="cs"/>
          <w:rtl/>
        </w:rPr>
        <w:t xml:space="preserve">' </w:t>
      </w:r>
      <w:r>
        <w:rPr>
          <w:rtl/>
        </w:rPr>
        <w:t>כ</w:t>
      </w:r>
      <w:r>
        <w:rPr>
          <w:rFonts w:hint="cs"/>
          <w:rtl/>
        </w:rPr>
        <w:t>"</w:t>
      </w:r>
      <w:r>
        <w:rPr>
          <w:rtl/>
        </w:rPr>
        <w:t>ג</w:t>
      </w:r>
      <w:r w:rsidRPr="006B322E">
        <w:rPr>
          <w:rtl/>
        </w:rPr>
        <w:t xml:space="preserve"> ד"ה </w:t>
      </w:r>
      <w:r w:rsidRPr="004304DE">
        <w:rPr>
          <w:rtl/>
        </w:rPr>
        <w:t>והכי גריס</w:t>
      </w:r>
      <w:bookmarkEnd w:id="2765"/>
      <w:bookmarkEnd w:id="2766"/>
    </w:p>
    <w:p w14:paraId="4D0432E2" w14:textId="77777777" w:rsidR="008925FD" w:rsidRDefault="008925FD" w:rsidP="008925FD">
      <w:pPr>
        <w:pStyle w:val="a7"/>
        <w:rPr>
          <w:rtl/>
        </w:rPr>
      </w:pPr>
      <w:bookmarkStart w:id="2767" w:name="_Toc139277113"/>
      <w:r>
        <w:rPr>
          <w:rFonts w:hint="cs"/>
          <w:rtl/>
        </w:rPr>
        <w:t>בי' הרי"ד דמוכח בירושלמי דלאח"ז הוי דרך ברירה אף ביד וכן מוכח בגמ' בביצה</w:t>
      </w:r>
      <w:bookmarkEnd w:id="2767"/>
    </w:p>
    <w:p w14:paraId="3520D4E7" w14:textId="1A583809" w:rsidR="008925FD" w:rsidRDefault="008925FD" w:rsidP="00BC7DC8">
      <w:pPr>
        <w:pStyle w:val="a3"/>
      </w:pPr>
      <w:bookmarkStart w:id="2768" w:name="_Ref139231047"/>
      <w:r>
        <w:rPr>
          <w:rFonts w:hint="cs"/>
          <w:rtl/>
        </w:rPr>
        <w:t xml:space="preserve">והביא </w:t>
      </w:r>
      <w:r w:rsidRPr="00295109">
        <w:rPr>
          <w:rStyle w:val="aff4"/>
          <w:rFonts w:hint="cs"/>
          <w:vanish/>
          <w:rtl/>
        </w:rPr>
        <w:t>-</w:t>
      </w:r>
      <w:r w:rsidRPr="00194A43">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Ref139231047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סב)</w:t>
      </w:r>
      <w:r>
        <w:rPr>
          <w:rStyle w:val="aff4"/>
          <w:vanish/>
          <w:rtl/>
        </w:rPr>
        <w:fldChar w:fldCharType="end"/>
      </w:r>
      <w:r>
        <w:rPr>
          <w:rStyle w:val="aff4"/>
          <w:rFonts w:hint="cs"/>
          <w:vanish/>
          <w:rtl/>
        </w:rPr>
        <w:t xml:space="preserve"> &gt;</w:t>
      </w:r>
      <w:r w:rsidRPr="00194A43">
        <w:rPr>
          <w:rStyle w:val="aff4"/>
          <w:rFonts w:hint="cs"/>
          <w:rtl/>
        </w:rPr>
        <w:t>רי"ד בספר המכריע</w:t>
      </w:r>
      <w:r w:rsidRPr="00295109">
        <w:rPr>
          <w:rStyle w:val="aff4"/>
          <w:rFonts w:hint="cs"/>
          <w:vanish/>
          <w:rtl/>
        </w:rPr>
        <w:t>-</w:t>
      </w:r>
      <w:r>
        <w:rPr>
          <w:rFonts w:hint="cs"/>
          <w:rtl/>
        </w:rPr>
        <w:t xml:space="preserve"> </w:t>
      </w:r>
      <w:r w:rsidRPr="000D251D">
        <w:rPr>
          <w:rStyle w:val="af2"/>
          <w:rFonts w:eastAsia="Guttman Hodes" w:hint="cs"/>
          <w:rtl/>
        </w:rPr>
        <w:t xml:space="preserve">(סי' כ"ג ד"ה </w:t>
      </w:r>
      <w:r w:rsidRPr="000D251D">
        <w:rPr>
          <w:rStyle w:val="af2"/>
          <w:rFonts w:eastAsia="Guttman Hodes"/>
          <w:rtl/>
        </w:rPr>
        <w:t>והכי גריס</w:t>
      </w:r>
      <w:r w:rsidRPr="000D251D">
        <w:rPr>
          <w:rStyle w:val="af2"/>
          <w:rFonts w:eastAsia="Guttman Hodes" w:hint="cs"/>
          <w:rtl/>
        </w:rPr>
        <w:t>, הועתק בקובץ שיטות קמאי שבת ח"ב עמ' אלף פ"ו)</w:t>
      </w:r>
      <w:r w:rsidRPr="00295109">
        <w:rPr>
          <w:rFonts w:hint="cs"/>
          <w:vanish/>
          <w:rtl/>
        </w:rPr>
        <w:t>=</w:t>
      </w:r>
      <w:r>
        <w:rPr>
          <w:rFonts w:hint="cs"/>
          <w:rtl/>
        </w:rPr>
        <w:t xml:space="preserve"> </w:t>
      </w:r>
      <w:bookmarkStart w:id="2769" w:name="_Hlk138252895"/>
      <w:r>
        <w:rPr>
          <w:rFonts w:hint="cs"/>
          <w:rtl/>
        </w:rPr>
        <w:t xml:space="preserve">את דברי רבי יודן בירושלמי </w:t>
      </w:r>
      <w:r w:rsidRPr="000D251D">
        <w:rPr>
          <w:rStyle w:val="af2"/>
          <w:rFonts w:eastAsia="Guttman Hodes" w:hint="cs"/>
          <w:rtl/>
        </w:rPr>
        <w:t>(פ"ז ה"ב, מט:)</w:t>
      </w:r>
      <w:r>
        <w:rPr>
          <w:rFonts w:hint="cs"/>
          <w:rtl/>
        </w:rPr>
        <w:t xml:space="preserve"> דאם בירר צרורות כל היום מתוך כרי פטור, </w:t>
      </w:r>
      <w:r w:rsidRPr="000D251D">
        <w:rPr>
          <w:rStyle w:val="af"/>
          <w:rFonts w:hint="cs"/>
          <w:rtl/>
        </w:rPr>
        <w:t>[דעדיין נשארו בו צרורות ולא תיקן את הכרי</w:t>
      </w:r>
      <w:r w:rsidRPr="00394BDA">
        <w:rPr>
          <w:rStyle w:val="af"/>
          <w:rFonts w:hint="cs"/>
          <w:rtl/>
        </w:rPr>
        <w:t>],</w:t>
      </w:r>
      <w:r>
        <w:rPr>
          <w:rFonts w:hint="cs"/>
          <w:rtl/>
        </w:rPr>
        <w:t xml:space="preserve"> ואם נטל בידו כגרוגרת וברר חייב, וכתב </w:t>
      </w:r>
      <w:r w:rsidRPr="00F00B89">
        <w:rPr>
          <w:rStyle w:val="aff4"/>
          <w:rFonts w:hint="cs"/>
          <w:vanish/>
          <w:rtl/>
        </w:rPr>
        <w:t>-</w:t>
      </w:r>
      <w:r w:rsidRPr="007F312F">
        <w:rPr>
          <w:rStyle w:val="aff4"/>
          <w:rFonts w:hint="cs"/>
          <w:rtl/>
        </w:rPr>
        <w:t>הרי"ד</w:t>
      </w:r>
      <w:r w:rsidRPr="00F00B89">
        <w:rPr>
          <w:rStyle w:val="aff4"/>
          <w:rFonts w:hint="cs"/>
          <w:vanish/>
          <w:rtl/>
        </w:rPr>
        <w:t>-</w:t>
      </w:r>
      <w:r>
        <w:rPr>
          <w:rFonts w:hint="cs"/>
          <w:rtl/>
        </w:rPr>
        <w:t xml:space="preserve"> דמבואר מהירושלמי דאף ביד הוי דרך ברירה בדעתו ללאחר זמן, ועוד הוכיח </w:t>
      </w:r>
      <w:r w:rsidRPr="00F00B89">
        <w:rPr>
          <w:rStyle w:val="aff4"/>
          <w:rFonts w:hint="cs"/>
          <w:vanish/>
          <w:rtl/>
        </w:rPr>
        <w:t>-</w:t>
      </w:r>
      <w:r w:rsidRPr="007F312F">
        <w:rPr>
          <w:rStyle w:val="aff4"/>
          <w:rFonts w:hint="cs"/>
          <w:rtl/>
        </w:rPr>
        <w:t>הרי"ד</w:t>
      </w:r>
      <w:r w:rsidRPr="00F00B89">
        <w:rPr>
          <w:rStyle w:val="aff4"/>
          <w:rFonts w:hint="cs"/>
          <w:vanish/>
          <w:rtl/>
        </w:rPr>
        <w:t>-</w:t>
      </w:r>
      <w:r>
        <w:rPr>
          <w:rFonts w:hint="cs"/>
          <w:rtl/>
        </w:rPr>
        <w:t xml:space="preserve"> מהא דאיתא בגמ' בביצה </w:t>
      </w:r>
      <w:r w:rsidRPr="000D251D">
        <w:rPr>
          <w:rStyle w:val="af2"/>
          <w:rFonts w:eastAsia="Guttman Hodes" w:hint="cs"/>
          <w:rtl/>
        </w:rPr>
        <w:t>(יג.)</w:t>
      </w:r>
      <w:r>
        <w:rPr>
          <w:rFonts w:hint="cs"/>
          <w:rtl/>
        </w:rPr>
        <w:t xml:space="preserve"> דלר"א המולל מלילות של חיטין בשבת מותר לנפח על יד ולאכול, ואם נתנם לתוך חיקו חייב, ומבואר דאף שבורר ביד כיון דמניחם ללאחר זמן חייב, וכתב </w:t>
      </w:r>
      <w:r w:rsidRPr="00F00B89">
        <w:rPr>
          <w:rStyle w:val="aff4"/>
          <w:rFonts w:hint="cs"/>
          <w:vanish/>
          <w:rtl/>
        </w:rPr>
        <w:t>-</w:t>
      </w:r>
      <w:r w:rsidRPr="007F312F">
        <w:rPr>
          <w:rStyle w:val="aff4"/>
          <w:rFonts w:hint="cs"/>
          <w:rtl/>
        </w:rPr>
        <w:t>הרי"ד</w:t>
      </w:r>
      <w:r w:rsidRPr="00F00B89">
        <w:rPr>
          <w:rStyle w:val="aff4"/>
          <w:rFonts w:hint="cs"/>
          <w:vanish/>
          <w:rtl/>
        </w:rPr>
        <w:t>-</w:t>
      </w:r>
      <w:r>
        <w:rPr>
          <w:rFonts w:hint="cs"/>
          <w:rtl/>
        </w:rPr>
        <w:t xml:space="preserve"> דמ"מ צ"ל דכוונת ר"א דהניחם בחיקו לסעודה אחרת, בכדי שר"א לא יחלוק על אביי, ועי' במה שביאר </w:t>
      </w:r>
      <w:r w:rsidRPr="00F00B89">
        <w:rPr>
          <w:rStyle w:val="aff4"/>
          <w:rFonts w:hint="cs"/>
          <w:vanish/>
          <w:rtl/>
        </w:rPr>
        <w:t>-</w:t>
      </w:r>
      <w:r w:rsidRPr="007F312F">
        <w:rPr>
          <w:rStyle w:val="aff4"/>
          <w:rFonts w:hint="cs"/>
          <w:rtl/>
        </w:rPr>
        <w:t>ה</w:t>
      </w:r>
      <w:r w:rsidRPr="00F00B89">
        <w:rPr>
          <w:rStyle w:val="aff4"/>
          <w:rFonts w:hint="cs"/>
          <w:vanish/>
          <w:rtl/>
        </w:rPr>
        <w:t>&lt; &gt;</w:t>
      </w:r>
      <w:r w:rsidRPr="007F312F">
        <w:rPr>
          <w:rStyle w:val="aff4"/>
          <w:rFonts w:hint="cs"/>
          <w:rtl/>
        </w:rPr>
        <w:t>אגלי טל</w:t>
      </w:r>
      <w:r w:rsidRPr="00F00B89">
        <w:rPr>
          <w:rStyle w:val="aff4"/>
          <w:rFonts w:hint="cs"/>
          <w:vanish/>
          <w:rtl/>
        </w:rPr>
        <w:t>-</w:t>
      </w:r>
      <w:r>
        <w:rPr>
          <w:rFonts w:hint="cs"/>
          <w:rtl/>
        </w:rPr>
        <w:t xml:space="preserve"> </w:t>
      </w:r>
      <w:r w:rsidRPr="000D251D">
        <w:rPr>
          <w:rStyle w:val="af2"/>
          <w:rFonts w:eastAsia="Guttman Hodes" w:hint="cs"/>
          <w:rtl/>
        </w:rPr>
        <w:t>(בורר סק"א אות כ"ה)</w:t>
      </w:r>
      <w:r w:rsidRPr="00F00B89">
        <w:rPr>
          <w:rFonts w:hint="cs"/>
          <w:vanish/>
          <w:rtl/>
        </w:rPr>
        <w:t>=</w:t>
      </w:r>
      <w:r>
        <w:rPr>
          <w:rFonts w:hint="cs"/>
          <w:rtl/>
        </w:rPr>
        <w:t xml:space="preserve"> בדברי </w:t>
      </w:r>
      <w:r w:rsidRPr="00F00B89">
        <w:rPr>
          <w:rStyle w:val="aff4"/>
          <w:rFonts w:hint="cs"/>
          <w:vanish/>
          <w:rtl/>
        </w:rPr>
        <w:t>-</w:t>
      </w:r>
      <w:r w:rsidRPr="007F312F">
        <w:rPr>
          <w:rStyle w:val="aff4"/>
          <w:rFonts w:hint="cs"/>
          <w:rtl/>
        </w:rPr>
        <w:t>הרי"ד</w:t>
      </w:r>
      <w:r w:rsidRPr="00F00B89">
        <w:rPr>
          <w:rStyle w:val="aff4"/>
          <w:rFonts w:hint="cs"/>
          <w:vanish/>
          <w:rtl/>
        </w:rPr>
        <w:t>-</w:t>
      </w:r>
      <w:r>
        <w:rPr>
          <w:rFonts w:hint="cs"/>
          <w:rtl/>
        </w:rPr>
        <w:t>.</w:t>
      </w:r>
      <w:bookmarkEnd w:id="2768"/>
    </w:p>
    <w:p w14:paraId="479482BA" w14:textId="77777777" w:rsidR="008925FD" w:rsidRPr="00747170" w:rsidRDefault="008925FD" w:rsidP="00747170">
      <w:pPr>
        <w:pStyle w:val="a2"/>
        <w:rPr>
          <w:rtl/>
        </w:rPr>
      </w:pPr>
      <w:r w:rsidRPr="00747170">
        <w:rPr>
          <w:rtl/>
        </w:rPr>
        <w:t xml:space="preserve">והכי גריס </w:t>
      </w:r>
      <w:bookmarkEnd w:id="2769"/>
      <w:r w:rsidRPr="00747170">
        <w:rPr>
          <w:rtl/>
        </w:rPr>
        <w:t>בירושלמי אמר רבי יודן יש שהוא בורר צרורות כל היום ואינו מתחייב ויש שהוא נוטל כגרוגרת ומיד מתחייב. היך עבידה. היה יושב על גבי כרי ובורר צרורות כל היום אינו מתחייב נטל לתוך ידו כגרוגרת ובורר מתחייב אלמא גם ביד הוי דרך העולם ומתחייב עליו אם דעתו כדי לשמור. ובפרקא קמא דביצה מייתינן מאי דתנן בפרק רביעי דמעשרות המולל מלילות של חטין מנפח יד על יד ואוכל ואם ניפח ונתן לחיקו חייב ואמרינן עלה אמר רבי אלעזר וכן לשבת דאלמא אף על פי שלא בירר אלא ביד כיון שהניח בתוך חיקו חייב חטאת. ונראה לי שצריכין אנו לפרש דברי רבי אלעזר כגון שהניח בחיקו שלא לצורך אותה הסעודה אבל אם הניח לצורך אותה הסעודה מותר כי היכי דלא תיפליג דרבי אלעזר אדאביי.</w:t>
      </w:r>
    </w:p>
    <w:p w14:paraId="2767E71F" w14:textId="2F6EB27A" w:rsidR="008925FD" w:rsidRDefault="008925FD" w:rsidP="008925FD">
      <w:pPr>
        <w:pStyle w:val="affff5"/>
        <w:rPr>
          <w:rtl/>
        </w:rPr>
      </w:pPr>
      <w:bookmarkStart w:id="2770" w:name="_Toc138972209"/>
      <w:bookmarkStart w:id="2771" w:name="_Toc139277114"/>
      <w:r>
        <w:rPr>
          <w:rFonts w:hint="cs"/>
          <w:rtl/>
        </w:rPr>
        <w:t xml:space="preserve">ד' הרשב"א </w:t>
      </w:r>
      <w:bookmarkEnd w:id="2770"/>
      <w:r>
        <w:rPr>
          <w:rFonts w:hint="cs"/>
          <w:rtl/>
        </w:rPr>
        <w:t>דיד ולאלתר אף בפסולת</w:t>
      </w:r>
      <w:bookmarkEnd w:id="2771"/>
    </w:p>
    <w:p w14:paraId="581A6A06" w14:textId="77777777" w:rsidR="008925FD" w:rsidRPr="00361F65" w:rsidRDefault="008925FD" w:rsidP="008925FD">
      <w:pPr>
        <w:pStyle w:val="1"/>
        <w:rPr>
          <w:rtl/>
        </w:rPr>
      </w:pPr>
      <w:bookmarkStart w:id="2772" w:name="_Toc138972210"/>
      <w:bookmarkStart w:id="2773" w:name="_Toc139277115"/>
      <w:r>
        <w:rPr>
          <w:rFonts w:hint="cs"/>
          <w:rtl/>
        </w:rPr>
        <w:t>בד' הרשב"א</w:t>
      </w:r>
      <w:bookmarkEnd w:id="2772"/>
      <w:r>
        <w:rPr>
          <w:rFonts w:hint="cs"/>
          <w:rtl/>
        </w:rPr>
        <w:t xml:space="preserve"> דאין חילוק בין אוכל מתוך פסולת לפסולת מאוכל</w:t>
      </w:r>
      <w:bookmarkEnd w:id="2773"/>
    </w:p>
    <w:p w14:paraId="08625940" w14:textId="4FD181F9" w:rsidR="008925FD" w:rsidRDefault="008925FD" w:rsidP="008925FD">
      <w:pPr>
        <w:pStyle w:val="afffff7"/>
        <w:rPr>
          <w:rtl/>
        </w:rPr>
      </w:pPr>
      <w:bookmarkStart w:id="2774" w:name="_Toc139277204"/>
      <w:bookmarkStart w:id="2775" w:name="_Toc163505907"/>
      <w:r>
        <w:rPr>
          <w:rtl/>
        </w:rPr>
        <w:t>עבודת הקודש בית מועד שער א</w:t>
      </w:r>
      <w:r>
        <w:rPr>
          <w:rFonts w:hint="cs"/>
          <w:rtl/>
        </w:rPr>
        <w:t>'</w:t>
      </w:r>
      <w:r>
        <w:rPr>
          <w:rtl/>
        </w:rPr>
        <w:t xml:space="preserve"> סי</w:t>
      </w:r>
      <w:r>
        <w:rPr>
          <w:rFonts w:hint="cs"/>
          <w:rtl/>
        </w:rPr>
        <w:t>'</w:t>
      </w:r>
      <w:r>
        <w:rPr>
          <w:rtl/>
        </w:rPr>
        <w:t xml:space="preserve"> ה</w:t>
      </w:r>
      <w:r>
        <w:rPr>
          <w:rFonts w:hint="cs"/>
          <w:rtl/>
        </w:rPr>
        <w:t>'</w:t>
      </w:r>
      <w:bookmarkEnd w:id="2774"/>
      <w:bookmarkEnd w:id="2775"/>
    </w:p>
    <w:p w14:paraId="4006A366" w14:textId="77777777" w:rsidR="008925FD" w:rsidRDefault="008925FD" w:rsidP="008925FD">
      <w:pPr>
        <w:pStyle w:val="a7"/>
        <w:rPr>
          <w:rtl/>
        </w:rPr>
      </w:pPr>
      <w:bookmarkStart w:id="2776" w:name="_Toc138972211"/>
      <w:bookmarkStart w:id="2777" w:name="_Toc139277116"/>
      <w:r>
        <w:rPr>
          <w:rFonts w:hint="cs"/>
          <w:rtl/>
        </w:rPr>
        <w:t>בי' הרשב"א דבנפה בורר גמור ובקנון ותמחוי שבות בין באוכל מתוך פסולת ובין בפסולת מאוכל</w:t>
      </w:r>
      <w:bookmarkEnd w:id="2776"/>
      <w:bookmarkEnd w:id="2777"/>
    </w:p>
    <w:p w14:paraId="59B74DE7" w14:textId="283D1478" w:rsidR="008925FD" w:rsidRDefault="008925FD" w:rsidP="00BC7DC8">
      <w:pPr>
        <w:pStyle w:val="a3"/>
      </w:pPr>
      <w:bookmarkStart w:id="2778" w:name="_Ref139275424"/>
      <w:bookmarkStart w:id="2779" w:name="_Ref138279889"/>
      <w:bookmarkStart w:id="2780" w:name="_Ref138103455"/>
      <w:r>
        <w:rPr>
          <w:rFonts w:hint="cs"/>
          <w:rtl/>
        </w:rPr>
        <w:t xml:space="preserve">בדיני בורר ביו"ט, כתב </w:t>
      </w:r>
      <w:r w:rsidRPr="00F00B89">
        <w:rPr>
          <w:rStyle w:val="aff4"/>
          <w:rFonts w:hint="cs"/>
          <w:vanish/>
          <w:rtl/>
        </w:rPr>
        <w:t>-</w:t>
      </w:r>
      <w:r w:rsidRPr="007F312F">
        <w:rPr>
          <w:rStyle w:val="aff4"/>
          <w:rFonts w:hint="cs"/>
          <w:rtl/>
        </w:rPr>
        <w:t>ה</w:t>
      </w:r>
      <w:r w:rsidRPr="00F00B89">
        <w:rPr>
          <w:rStyle w:val="aff4"/>
          <w:rFonts w:hint="cs"/>
          <w:vanish/>
          <w:rtl/>
        </w:rPr>
        <w:t xml:space="preserve">&lt;. </w:t>
      </w:r>
      <w:r w:rsidRPr="00F00B89">
        <w:rPr>
          <w:rStyle w:val="aff4"/>
          <w:vanish/>
          <w:rtl/>
        </w:rPr>
        <w:fldChar w:fldCharType="begin"/>
      </w:r>
      <w:r w:rsidRPr="00F00B89">
        <w:rPr>
          <w:rStyle w:val="aff4"/>
          <w:vanish/>
          <w:rtl/>
        </w:rPr>
        <w:instrText xml:space="preserve"> </w:instrText>
      </w:r>
      <w:r w:rsidRPr="00F00B89">
        <w:rPr>
          <w:rStyle w:val="aff4"/>
          <w:rFonts w:hint="cs"/>
          <w:vanish/>
        </w:rPr>
        <w:instrText>REF</w:instrText>
      </w:r>
      <w:r w:rsidRPr="00F00B89">
        <w:rPr>
          <w:rStyle w:val="aff4"/>
          <w:rFonts w:hint="cs"/>
          <w:vanish/>
          <w:rtl/>
        </w:rPr>
        <w:instrText xml:space="preserve"> _</w:instrText>
      </w:r>
      <w:r w:rsidRPr="00F00B89">
        <w:rPr>
          <w:rStyle w:val="aff4"/>
          <w:rFonts w:hint="cs"/>
          <w:vanish/>
        </w:rPr>
        <w:instrText>Ref138103455 \r \h</w:instrText>
      </w:r>
      <w:r w:rsidRPr="00F00B89">
        <w:rPr>
          <w:rStyle w:val="aff4"/>
          <w:vanish/>
          <w:rtl/>
        </w:rPr>
        <w:instrText xml:space="preserve"> </w:instrText>
      </w:r>
      <w:r w:rsidRPr="00F00B89">
        <w:rPr>
          <w:rStyle w:val="aff4"/>
          <w:vanish/>
          <w:rtl/>
        </w:rPr>
      </w:r>
      <w:r w:rsidRPr="00F00B89">
        <w:rPr>
          <w:rStyle w:val="aff4"/>
          <w:vanish/>
          <w:rtl/>
        </w:rPr>
        <w:fldChar w:fldCharType="separate"/>
      </w:r>
      <w:r w:rsidR="00D82181">
        <w:rPr>
          <w:rStyle w:val="aff4"/>
          <w:vanish/>
          <w:cs/>
        </w:rPr>
        <w:t>‎</w:t>
      </w:r>
      <w:r w:rsidR="00D82181">
        <w:rPr>
          <w:rStyle w:val="aff4"/>
          <w:vanish/>
          <w:rtl/>
        </w:rPr>
        <w:t>סג)</w:t>
      </w:r>
      <w:r w:rsidRPr="00F00B89">
        <w:rPr>
          <w:rStyle w:val="aff4"/>
          <w:vanish/>
          <w:rtl/>
        </w:rPr>
        <w:fldChar w:fldCharType="end"/>
      </w:r>
      <w:r w:rsidRPr="00F00B89">
        <w:rPr>
          <w:rStyle w:val="aff4"/>
          <w:rFonts w:hint="cs"/>
          <w:vanish/>
          <w:rtl/>
        </w:rPr>
        <w:t xml:space="preserve"> &gt;</w:t>
      </w:r>
      <w:r w:rsidRPr="007F312F">
        <w:rPr>
          <w:rStyle w:val="aff4"/>
          <w:rFonts w:hint="cs"/>
          <w:rtl/>
        </w:rPr>
        <w:t>רשב"א בעבודת הקודש</w:t>
      </w:r>
      <w:r w:rsidRPr="00F00B89">
        <w:rPr>
          <w:rStyle w:val="aff4"/>
          <w:rFonts w:hint="cs"/>
          <w:vanish/>
          <w:rtl/>
        </w:rPr>
        <w:t>-</w:t>
      </w:r>
      <w:r>
        <w:rPr>
          <w:rFonts w:hint="cs"/>
          <w:rtl/>
        </w:rPr>
        <w:t xml:space="preserve"> </w:t>
      </w:r>
      <w:r w:rsidRPr="000D251D">
        <w:rPr>
          <w:rStyle w:val="af2"/>
          <w:rFonts w:eastAsia="Guttman Hodes" w:hint="cs"/>
          <w:rtl/>
        </w:rPr>
        <w:t>(בית מועד שער א' סי' ה')</w:t>
      </w:r>
      <w:r w:rsidRPr="00F00B89">
        <w:rPr>
          <w:rFonts w:hint="cs"/>
          <w:vanish/>
          <w:rtl/>
        </w:rPr>
        <w:t>=</w:t>
      </w:r>
      <w:r>
        <w:rPr>
          <w:rFonts w:hint="cs"/>
          <w:rtl/>
        </w:rPr>
        <w:t xml:space="preserve"> דברירה בנפה וכברה היא ברירה גמורה, ואסורה אפי' ביו"ט, ובקנון ותמחוי אף בשבת האיסור הוא משום שבות, וביו"ט</w:t>
      </w:r>
      <w:r w:rsidRPr="00816F29">
        <w:rPr>
          <w:rFonts w:hint="cs"/>
          <w:rtl/>
        </w:rPr>
        <w:t xml:space="preserve"> </w:t>
      </w:r>
      <w:r>
        <w:rPr>
          <w:rFonts w:hint="cs"/>
          <w:rtl/>
        </w:rPr>
        <w:t>לא גזרו באוכל נפש</w:t>
      </w:r>
      <w:r w:rsidRPr="00DB4A8C">
        <w:rPr>
          <w:rFonts w:hint="cs"/>
          <w:rtl/>
        </w:rPr>
        <w:t>, והיתר ברירה ביו"ט הוא או באוכל מתוך פסולת או אוכל מתוך פסולת</w:t>
      </w:r>
      <w:r>
        <w:rPr>
          <w:rFonts w:hint="cs"/>
          <w:rtl/>
        </w:rPr>
        <w:t>.</w:t>
      </w:r>
      <w:r w:rsidRPr="007F312F">
        <w:rPr>
          <w:rStyle w:val="aff4"/>
          <w:rFonts w:hint="cs"/>
          <w:rtl/>
        </w:rPr>
        <w:t xml:space="preserve"> </w:t>
      </w:r>
      <w:r w:rsidRPr="000D251D">
        <w:rPr>
          <w:rStyle w:val="af"/>
          <w:rFonts w:hint="cs"/>
          <w:rtl/>
        </w:rPr>
        <w:t xml:space="preserve">[אך כתב </w:t>
      </w:r>
      <w:r w:rsidRPr="009B1F18">
        <w:rPr>
          <w:rStyle w:val="aff9"/>
          <w:rFonts w:hint="cs"/>
          <w:vanish/>
          <w:rtl/>
        </w:rPr>
        <w:t>-</w:t>
      </w:r>
      <w:r w:rsidRPr="009B1F18">
        <w:rPr>
          <w:rStyle w:val="aff9"/>
          <w:rFonts w:hint="cs"/>
          <w:rtl/>
        </w:rPr>
        <w:t>הרשב"א</w:t>
      </w:r>
      <w:r w:rsidRPr="009B1F18">
        <w:rPr>
          <w:rStyle w:val="aff9"/>
          <w:rFonts w:hint="cs"/>
          <w:vanish/>
          <w:rtl/>
        </w:rPr>
        <w:t>-</w:t>
      </w:r>
      <w:r w:rsidRPr="000D251D">
        <w:rPr>
          <w:rStyle w:val="af"/>
          <w:rFonts w:hint="cs"/>
          <w:rtl/>
        </w:rPr>
        <w:t xml:space="preserve"> </w:t>
      </w:r>
      <w:r>
        <w:rPr>
          <w:rStyle w:val="af"/>
          <w:rFonts w:hint="cs"/>
          <w:rtl/>
        </w:rPr>
        <w:t>דביו"ט ההיתר הוא</w:t>
      </w:r>
      <w:r w:rsidRPr="000D251D">
        <w:rPr>
          <w:rStyle w:val="af"/>
          <w:rFonts w:hint="cs"/>
          <w:rtl/>
        </w:rPr>
        <w:t xml:space="preserve"> דוקא כשהאוכל והפסולת שוין או כשהאוכל מרובה, אבל כשהפסולת מרובה או שיש טורח לברור אותה, צריך לברור אוכל מתוך פסולת</w:t>
      </w:r>
      <w:r w:rsidRPr="00394BDA">
        <w:rPr>
          <w:rStyle w:val="af"/>
          <w:rFonts w:hint="cs"/>
          <w:rtl/>
        </w:rPr>
        <w:t>].</w:t>
      </w:r>
      <w:bookmarkEnd w:id="2778"/>
    </w:p>
    <w:bookmarkEnd w:id="2779"/>
    <w:bookmarkEnd w:id="2780"/>
    <w:p w14:paraId="68348C8E" w14:textId="7A91DABF" w:rsidR="008925FD" w:rsidRPr="00747170" w:rsidRDefault="008925FD" w:rsidP="00747170">
      <w:pPr>
        <w:pStyle w:val="a2"/>
        <w:rPr>
          <w:rtl/>
        </w:rPr>
      </w:pPr>
      <w:r w:rsidRPr="00747170">
        <w:rPr>
          <w:rtl/>
        </w:rPr>
        <w:t>כא) הבורר אוכלין ביום טוב לא יברור בנפה ובכברה לפי שזו ברירה גמורה ואסורה אפילו ביום טוב. אבל בורר הוא כדרכו בחיקו בקנון ובתמחוי שאין כאן אפילו בשבת אלא משום שבות, ביום טוב לא גזרו משום צורך אוכל נפש.</w:t>
      </w:r>
      <w:r w:rsidRPr="00747170">
        <w:rPr>
          <w:rFonts w:hint="cs"/>
          <w:rtl/>
        </w:rPr>
        <w:t xml:space="preserve"> </w:t>
      </w:r>
      <w:r w:rsidRPr="00747170">
        <w:rPr>
          <w:rtl/>
        </w:rPr>
        <w:t>כב) כשהוא בורר נוטל אוכל ומניח את הפסולת או פסולת ומניח את האוכל. במד"א בששניהם שוין בטורח ואפילו היה האוכל מרובה בשיעורו, אבל בזמן שהפסולת מרובה בשיעורו או מועט בשיעורו ומרובה בטורחו נוטל את האוכל ומניח את הפסולת</w:t>
      </w:r>
      <w:r w:rsidRPr="00747170">
        <w:rPr>
          <w:rFonts w:hint="cs"/>
          <w:rtl/>
        </w:rPr>
        <w:t>.</w:t>
      </w:r>
    </w:p>
    <w:p w14:paraId="4301042B" w14:textId="4F5E8E1D" w:rsidR="008925FD" w:rsidRPr="00F26306" w:rsidRDefault="008925FD" w:rsidP="008925FD">
      <w:pPr>
        <w:pStyle w:val="a7"/>
        <w:rPr>
          <w:rtl/>
        </w:rPr>
      </w:pPr>
      <w:bookmarkStart w:id="2781" w:name="_Toc138972212"/>
      <w:bookmarkStart w:id="2782" w:name="_Toc139277117"/>
      <w:r>
        <w:rPr>
          <w:rFonts w:hint="cs"/>
          <w:rtl/>
        </w:rPr>
        <w:t>בי' הרשב"א דכל ברירה אסורה בשבת אף בקנון ותמחוי לאלתר ובב' מיני פירות מותר רק ביד</w:t>
      </w:r>
      <w:bookmarkEnd w:id="2781"/>
      <w:bookmarkEnd w:id="2782"/>
    </w:p>
    <w:p w14:paraId="1909C4A2" w14:textId="77777777" w:rsidR="008925FD" w:rsidRDefault="008925FD" w:rsidP="00BC7DC8">
      <w:pPr>
        <w:pStyle w:val="a3"/>
      </w:pPr>
      <w:bookmarkStart w:id="2783" w:name="_Ref139212324"/>
      <w:r>
        <w:rPr>
          <w:rFonts w:hint="cs"/>
          <w:rtl/>
        </w:rPr>
        <w:t xml:space="preserve">וכתב </w:t>
      </w:r>
      <w:r w:rsidRPr="00F00B89">
        <w:rPr>
          <w:rStyle w:val="aff4"/>
          <w:rFonts w:hint="cs"/>
          <w:vanish/>
          <w:rtl/>
        </w:rPr>
        <w:t>-</w:t>
      </w:r>
      <w:r w:rsidRPr="007F312F">
        <w:rPr>
          <w:rStyle w:val="aff4"/>
          <w:rFonts w:hint="cs"/>
          <w:rtl/>
        </w:rPr>
        <w:t>הרשב"א</w:t>
      </w:r>
      <w:r>
        <w:rPr>
          <w:rStyle w:val="aff4"/>
          <w:rFonts w:hint="cs"/>
          <w:rtl/>
        </w:rPr>
        <w:t xml:space="preserve"> בעבודת הקודש</w:t>
      </w:r>
      <w:r w:rsidRPr="00F00B89">
        <w:rPr>
          <w:rStyle w:val="aff4"/>
          <w:rFonts w:hint="cs"/>
          <w:vanish/>
          <w:rtl/>
        </w:rPr>
        <w:t>-</w:t>
      </w:r>
      <w:r>
        <w:rPr>
          <w:rFonts w:hint="cs"/>
          <w:rtl/>
        </w:rPr>
        <w:t xml:space="preserve"> דבשבת כל ברירה בכלי אסורה אף בקנון ותמחוי ואף לאכול לאלתר, ובב' מיני פירות מעורבין, ביו"ט אסור לבוררם בנפה וכברה ובקנון ותמחוי מותר, ובשבת מותר רק ביד ואסור בקנון ותמחוי.</w:t>
      </w:r>
      <w:bookmarkEnd w:id="2783"/>
    </w:p>
    <w:p w14:paraId="26C93A9E" w14:textId="77777777" w:rsidR="008925FD" w:rsidRPr="00747170" w:rsidRDefault="008925FD" w:rsidP="00747170">
      <w:pPr>
        <w:pStyle w:val="a2"/>
        <w:rPr>
          <w:rtl/>
        </w:rPr>
      </w:pPr>
      <w:r w:rsidRPr="00747170">
        <w:rPr>
          <w:rtl/>
        </w:rPr>
        <w:t>כד) איזהו לאלתר כשיעור מה שמסב לאותה סעודה בלבד, ובשבת כל שבורר בכלי אפילו בקנון ובתמחוי ואפילו לאכול לאלתר אסור</w:t>
      </w:r>
      <w:r w:rsidRPr="00747170">
        <w:rPr>
          <w:rFonts w:hint="cs"/>
          <w:rtl/>
        </w:rPr>
        <w:t xml:space="preserve">, </w:t>
      </w:r>
      <w:r w:rsidRPr="00747170">
        <w:rPr>
          <w:rtl/>
        </w:rPr>
        <w:t>כה) היו לפניו שני מיני פירות מעורבין זה עם זה אינו בורר זה מתוך זה ביום טוב בנפה וכברה, אבל ביד ובקנון ובתמחוי מותר. ובשבת מותר ביד, בקנון ובתמחוי אסור.</w:t>
      </w:r>
    </w:p>
    <w:p w14:paraId="10DA88FB" w14:textId="334A59BA" w:rsidR="008925FD" w:rsidRDefault="008925FD" w:rsidP="008925FD">
      <w:pPr>
        <w:pStyle w:val="a7"/>
        <w:rPr>
          <w:rtl/>
        </w:rPr>
      </w:pPr>
      <w:bookmarkStart w:id="2784" w:name="_Toc138972213"/>
      <w:bookmarkStart w:id="2785" w:name="_Toc139277118"/>
      <w:r>
        <w:rPr>
          <w:rFonts w:hint="cs"/>
          <w:rtl/>
        </w:rPr>
        <w:t>בי' הרשב"א דבשבת לאחר זמן דכבורר לאוצר חייב חטאת בשבת ולכן אסור אף ביו"ט</w:t>
      </w:r>
      <w:bookmarkEnd w:id="2784"/>
      <w:bookmarkEnd w:id="2785"/>
      <w:r>
        <w:rPr>
          <w:rFonts w:hint="cs"/>
          <w:rtl/>
        </w:rPr>
        <w:t xml:space="preserve"> </w:t>
      </w:r>
    </w:p>
    <w:p w14:paraId="2AC5C6E6" w14:textId="77777777" w:rsidR="008925FD" w:rsidRDefault="008925FD" w:rsidP="00BC7DC8">
      <w:pPr>
        <w:pStyle w:val="a3"/>
      </w:pPr>
      <w:r>
        <w:rPr>
          <w:rFonts w:hint="cs"/>
          <w:rtl/>
        </w:rPr>
        <w:t xml:space="preserve">והוסיף </w:t>
      </w:r>
      <w:r w:rsidRPr="00F00B89">
        <w:rPr>
          <w:rStyle w:val="aff4"/>
          <w:rFonts w:hint="cs"/>
          <w:vanish/>
          <w:rtl/>
        </w:rPr>
        <w:t>-</w:t>
      </w:r>
      <w:r w:rsidRPr="007F312F">
        <w:rPr>
          <w:rStyle w:val="aff4"/>
          <w:rFonts w:hint="cs"/>
          <w:rtl/>
        </w:rPr>
        <w:t>הרשב"א</w:t>
      </w:r>
      <w:r>
        <w:rPr>
          <w:rStyle w:val="aff4"/>
          <w:rFonts w:hint="cs"/>
          <w:rtl/>
        </w:rPr>
        <w:t xml:space="preserve"> בעבודת הקודש</w:t>
      </w:r>
      <w:r w:rsidRPr="00F00B89">
        <w:rPr>
          <w:rStyle w:val="aff4"/>
          <w:rFonts w:hint="cs"/>
          <w:vanish/>
          <w:rtl/>
        </w:rPr>
        <w:t>-</w:t>
      </w:r>
      <w:r>
        <w:rPr>
          <w:rFonts w:hint="cs"/>
          <w:rtl/>
        </w:rPr>
        <w:t xml:space="preserve"> דההיתר ביו"ט הוא רק לאכול או להניח לאלתר, אבל לבו ביום הוא כבורר לאוצר דבשבת חייב חטאת, ולכן אסרו אף ביו"ט, ושיעור לאלתר הוא לאותה סעודה.</w:t>
      </w:r>
    </w:p>
    <w:p w14:paraId="006C2480" w14:textId="77777777" w:rsidR="008925FD" w:rsidRPr="00747170" w:rsidRDefault="008925FD" w:rsidP="00747170">
      <w:pPr>
        <w:pStyle w:val="a2"/>
        <w:rPr>
          <w:rtl/>
        </w:rPr>
      </w:pPr>
      <w:r w:rsidRPr="00747170">
        <w:rPr>
          <w:rtl/>
        </w:rPr>
        <w:t>כג) אימתי התירו לברור, כשבורר ואוכל או שבורר ומניח לאכול לאלתר, אבל אם בירר והניח לבו ביום הרי זה כבורר לאוצר ובשבת חייב חטאת ולפיכך אפילו ביום טוב אסור.</w:t>
      </w:r>
    </w:p>
    <w:p w14:paraId="4FC0E5CA" w14:textId="77777777" w:rsidR="008925FD" w:rsidRDefault="008925FD" w:rsidP="008925FD">
      <w:pPr>
        <w:pStyle w:val="a7"/>
        <w:rPr>
          <w:rtl/>
        </w:rPr>
      </w:pPr>
      <w:bookmarkStart w:id="2786" w:name="_Toc139277205"/>
    </w:p>
    <w:p w14:paraId="363C656E" w14:textId="34C33F20" w:rsidR="008925FD" w:rsidRDefault="008925FD" w:rsidP="008925FD">
      <w:pPr>
        <w:pStyle w:val="afffff7"/>
        <w:rPr>
          <w:rtl/>
        </w:rPr>
      </w:pPr>
      <w:bookmarkStart w:id="2787" w:name="_Toc163505908"/>
      <w:r>
        <w:rPr>
          <w:rtl/>
        </w:rPr>
        <w:t>עבודת הקודש בית מועד שער א</w:t>
      </w:r>
      <w:r>
        <w:rPr>
          <w:rFonts w:hint="cs"/>
          <w:rtl/>
        </w:rPr>
        <w:t>'</w:t>
      </w:r>
      <w:r>
        <w:rPr>
          <w:rtl/>
        </w:rPr>
        <w:t xml:space="preserve"> סי</w:t>
      </w:r>
      <w:r>
        <w:rPr>
          <w:rFonts w:hint="cs"/>
          <w:rtl/>
        </w:rPr>
        <w:t xml:space="preserve">' </w:t>
      </w:r>
      <w:r>
        <w:rPr>
          <w:rtl/>
        </w:rPr>
        <w:t>ח</w:t>
      </w:r>
      <w:r>
        <w:rPr>
          <w:rFonts w:hint="cs"/>
          <w:rtl/>
        </w:rPr>
        <w:t>'</w:t>
      </w:r>
      <w:bookmarkEnd w:id="2786"/>
      <w:bookmarkEnd w:id="2787"/>
    </w:p>
    <w:p w14:paraId="460BF33E" w14:textId="77777777" w:rsidR="008925FD" w:rsidRDefault="008925FD" w:rsidP="008925FD">
      <w:pPr>
        <w:pStyle w:val="a7"/>
        <w:rPr>
          <w:rtl/>
        </w:rPr>
      </w:pPr>
      <w:bookmarkStart w:id="2788" w:name="_Toc138972214"/>
      <w:bookmarkStart w:id="2789" w:name="_Toc139277119"/>
      <w:r>
        <w:rPr>
          <w:rFonts w:hint="cs"/>
          <w:rtl/>
        </w:rPr>
        <w:t>בי' הרשב"א בשם י"א דצרור שנפל לקמח אסור ליטלו ובי' הרשב"א דביד הוא כלאח"י ומותר</w:t>
      </w:r>
      <w:bookmarkEnd w:id="2788"/>
      <w:bookmarkEnd w:id="2789"/>
      <w:r>
        <w:rPr>
          <w:rFonts w:hint="cs"/>
          <w:rtl/>
        </w:rPr>
        <w:t xml:space="preserve"> </w:t>
      </w:r>
    </w:p>
    <w:p w14:paraId="537F79E6" w14:textId="1D03EC6F" w:rsidR="008925FD" w:rsidRDefault="008925FD" w:rsidP="00BC7DC8">
      <w:pPr>
        <w:pStyle w:val="a3"/>
        <w:rPr>
          <w:rtl/>
        </w:rPr>
      </w:pPr>
      <w:bookmarkStart w:id="2790" w:name="_Ref138277802"/>
      <w:bookmarkStart w:id="2791" w:name="_Ref139212325"/>
      <w:r>
        <w:rPr>
          <w:rFonts w:hint="cs"/>
          <w:rtl/>
        </w:rPr>
        <w:t xml:space="preserve">ועוד כתב כתב </w:t>
      </w:r>
      <w:r w:rsidRPr="00F00B89">
        <w:rPr>
          <w:rStyle w:val="aff4"/>
          <w:rFonts w:hint="cs"/>
          <w:vanish/>
          <w:rtl/>
        </w:rPr>
        <w:t>-</w:t>
      </w:r>
      <w:r w:rsidRPr="007F312F">
        <w:rPr>
          <w:rStyle w:val="aff4"/>
          <w:rFonts w:hint="cs"/>
          <w:rtl/>
        </w:rPr>
        <w:t>ה</w:t>
      </w:r>
      <w:r w:rsidRPr="00F00B89">
        <w:rPr>
          <w:rStyle w:val="aff4"/>
          <w:rFonts w:hint="cs"/>
          <w:vanish/>
          <w:rtl/>
        </w:rPr>
        <w:t xml:space="preserve">&lt;. </w:t>
      </w:r>
      <w:r w:rsidRPr="00F00B89">
        <w:rPr>
          <w:rStyle w:val="aff4"/>
          <w:vanish/>
          <w:rtl/>
        </w:rPr>
        <w:fldChar w:fldCharType="begin"/>
      </w:r>
      <w:r w:rsidRPr="00F00B89">
        <w:rPr>
          <w:rStyle w:val="aff4"/>
          <w:vanish/>
          <w:rtl/>
        </w:rPr>
        <w:instrText xml:space="preserve"> </w:instrText>
      </w:r>
      <w:r w:rsidRPr="00F00B89">
        <w:rPr>
          <w:rStyle w:val="aff4"/>
          <w:rFonts w:hint="cs"/>
          <w:vanish/>
        </w:rPr>
        <w:instrText>REF</w:instrText>
      </w:r>
      <w:r w:rsidRPr="00F00B89">
        <w:rPr>
          <w:rStyle w:val="aff4"/>
          <w:rFonts w:hint="cs"/>
          <w:vanish/>
          <w:rtl/>
        </w:rPr>
        <w:instrText xml:space="preserve"> _</w:instrText>
      </w:r>
      <w:r w:rsidRPr="00F00B89">
        <w:rPr>
          <w:rStyle w:val="aff4"/>
          <w:rFonts w:hint="cs"/>
          <w:vanish/>
        </w:rPr>
        <w:instrText>Ref138277802 \r \h</w:instrText>
      </w:r>
      <w:r w:rsidRPr="00F00B89">
        <w:rPr>
          <w:rStyle w:val="aff4"/>
          <w:vanish/>
          <w:rtl/>
        </w:rPr>
        <w:instrText xml:space="preserve"> </w:instrText>
      </w:r>
      <w:r w:rsidRPr="00F00B89">
        <w:rPr>
          <w:rStyle w:val="aff4"/>
          <w:vanish/>
          <w:rtl/>
        </w:rPr>
      </w:r>
      <w:r w:rsidRPr="00F00B89">
        <w:rPr>
          <w:rStyle w:val="aff4"/>
          <w:vanish/>
          <w:rtl/>
        </w:rPr>
        <w:fldChar w:fldCharType="separate"/>
      </w:r>
      <w:r w:rsidR="00D82181">
        <w:rPr>
          <w:rStyle w:val="aff4"/>
          <w:vanish/>
          <w:cs/>
        </w:rPr>
        <w:t>‎</w:t>
      </w:r>
      <w:r w:rsidR="00D82181">
        <w:rPr>
          <w:rStyle w:val="aff4"/>
          <w:vanish/>
          <w:rtl/>
        </w:rPr>
        <w:t>סו)</w:t>
      </w:r>
      <w:r w:rsidRPr="00F00B89">
        <w:rPr>
          <w:rStyle w:val="aff4"/>
          <w:vanish/>
          <w:rtl/>
        </w:rPr>
        <w:fldChar w:fldCharType="end"/>
      </w:r>
      <w:r w:rsidRPr="00F00B89">
        <w:rPr>
          <w:rStyle w:val="aff4"/>
          <w:rFonts w:hint="cs"/>
          <w:vanish/>
          <w:rtl/>
        </w:rPr>
        <w:t xml:space="preserve"> &gt;</w:t>
      </w:r>
      <w:r w:rsidRPr="007F312F">
        <w:rPr>
          <w:rStyle w:val="aff4"/>
          <w:rFonts w:hint="cs"/>
          <w:rtl/>
        </w:rPr>
        <w:t>רשב"א בעבודת הקודש</w:t>
      </w:r>
      <w:r w:rsidRPr="00F00B89">
        <w:rPr>
          <w:rStyle w:val="aff4"/>
          <w:rFonts w:hint="cs"/>
          <w:vanish/>
          <w:rtl/>
        </w:rPr>
        <w:t>-</w:t>
      </w:r>
      <w:r>
        <w:rPr>
          <w:rFonts w:hint="cs"/>
          <w:rtl/>
        </w:rPr>
        <w:t xml:space="preserve"> </w:t>
      </w:r>
      <w:r w:rsidRPr="000D251D">
        <w:rPr>
          <w:rStyle w:val="af2"/>
          <w:rFonts w:eastAsia="Guttman Hodes" w:hint="cs"/>
          <w:rtl/>
        </w:rPr>
        <w:t>(בית מועד שער א' סי' ח')</w:t>
      </w:r>
      <w:r w:rsidRPr="00F00B89">
        <w:rPr>
          <w:rFonts w:hint="cs"/>
          <w:vanish/>
          <w:rtl/>
        </w:rPr>
        <w:t>=</w:t>
      </w:r>
      <w:r w:rsidRPr="00292E3D">
        <w:rPr>
          <w:rFonts w:hint="cs"/>
          <w:rtl/>
        </w:rPr>
        <w:t xml:space="preserve"> </w:t>
      </w:r>
      <w:r>
        <w:rPr>
          <w:rFonts w:hint="cs"/>
          <w:rtl/>
        </w:rPr>
        <w:t>בדיני בורר ביו"ט,</w:t>
      </w:r>
      <w:bookmarkEnd w:id="2790"/>
      <w:r>
        <w:rPr>
          <w:rFonts w:hint="cs"/>
          <w:rtl/>
        </w:rPr>
        <w:t xml:space="preserve"> </w:t>
      </w:r>
      <w:r w:rsidRPr="00F00B89">
        <w:rPr>
          <w:rStyle w:val="aff4"/>
          <w:rFonts w:hint="cs"/>
          <w:vanish/>
          <w:rtl/>
        </w:rPr>
        <w:t>-</w:t>
      </w:r>
      <w:r w:rsidRPr="007F312F">
        <w:rPr>
          <w:rStyle w:val="aff4"/>
          <w:rFonts w:hint="cs"/>
          <w:rtl/>
        </w:rPr>
        <w:t>די"א</w:t>
      </w:r>
      <w:r w:rsidRPr="00F00B89">
        <w:rPr>
          <w:rStyle w:val="aff4"/>
          <w:rFonts w:hint="cs"/>
          <w:vanish/>
          <w:rtl/>
        </w:rPr>
        <w:t>-</w:t>
      </w:r>
      <w:r>
        <w:rPr>
          <w:rFonts w:hint="cs"/>
          <w:rtl/>
        </w:rPr>
        <w:t xml:space="preserve"> שאם נפל צרור לקמח אסור ליטלו דהוא כבורר, ודחה </w:t>
      </w:r>
      <w:r w:rsidRPr="00F00B89">
        <w:rPr>
          <w:rStyle w:val="aff4"/>
          <w:rFonts w:hint="cs"/>
          <w:vanish/>
          <w:rtl/>
        </w:rPr>
        <w:t>-</w:t>
      </w:r>
      <w:r w:rsidRPr="007F312F">
        <w:rPr>
          <w:rStyle w:val="aff4"/>
          <w:rFonts w:hint="cs"/>
          <w:rtl/>
        </w:rPr>
        <w:t>הרשב"א</w:t>
      </w:r>
      <w:r w:rsidRPr="00F00B89">
        <w:rPr>
          <w:rStyle w:val="aff4"/>
          <w:rFonts w:hint="cs"/>
          <w:vanish/>
          <w:rtl/>
        </w:rPr>
        <w:t>-</w:t>
      </w:r>
      <w:r>
        <w:rPr>
          <w:rFonts w:hint="cs"/>
          <w:rtl/>
        </w:rPr>
        <w:t xml:space="preserve"> דמותר ליטלו ביד כיון דביד הוא בורר כלאחר יד, וביו"ט אסרו בורר רק בנפה וכברה.</w:t>
      </w:r>
      <w:bookmarkEnd w:id="2791"/>
    </w:p>
    <w:p w14:paraId="5C74475E" w14:textId="77777777" w:rsidR="008925FD" w:rsidRPr="00747170" w:rsidRDefault="008925FD" w:rsidP="00747170">
      <w:pPr>
        <w:pStyle w:val="a2"/>
        <w:rPr>
          <w:rtl/>
        </w:rPr>
      </w:pPr>
      <w:r w:rsidRPr="00747170">
        <w:rPr>
          <w:rtl/>
        </w:rPr>
        <w:t>מה) נפל צרור או קיסם בתוך הקמח, יש מי שהורה שאסור ליטלן ביד לפי שזה כבורר. ולא יראה לי כן אלא מותר ליטול ביד, שכל שעושה ביד אינו אלא בורר כלאחר יד, ולא אסרו אלא בנפה ובכברה כמו שביארנו.</w:t>
      </w:r>
    </w:p>
    <w:p w14:paraId="73E2C0AE" w14:textId="6BEDC46C" w:rsidR="008925FD" w:rsidRDefault="008925FD" w:rsidP="008925FD">
      <w:pPr>
        <w:pStyle w:val="afffff7"/>
        <w:rPr>
          <w:rtl/>
        </w:rPr>
      </w:pPr>
      <w:bookmarkStart w:id="2792" w:name="_Toc139277206"/>
      <w:bookmarkStart w:id="2793" w:name="_Toc163505909"/>
      <w:r>
        <w:rPr>
          <w:rtl/>
        </w:rPr>
        <w:t>מגיד משנה יום טוב פ"ג הט"ו</w:t>
      </w:r>
      <w:bookmarkEnd w:id="2792"/>
      <w:bookmarkEnd w:id="2793"/>
    </w:p>
    <w:p w14:paraId="5D06C3C0" w14:textId="77777777" w:rsidR="008925FD" w:rsidRPr="00310BA9" w:rsidRDefault="008925FD" w:rsidP="008925FD">
      <w:pPr>
        <w:pStyle w:val="a7"/>
        <w:rPr>
          <w:rtl/>
        </w:rPr>
      </w:pPr>
      <w:bookmarkStart w:id="2794" w:name="_Toc139277120"/>
      <w:r>
        <w:rPr>
          <w:rFonts w:hint="cs"/>
          <w:rtl/>
        </w:rPr>
        <w:t>בי' המ"מ ברשב"א דבחיוב חטאת בשבת אסור ביו"ט וקו' המ"מ דבפסולת מאוכל אף ביד חייב</w:t>
      </w:r>
      <w:bookmarkEnd w:id="2794"/>
    </w:p>
    <w:p w14:paraId="6790965B" w14:textId="20C3EFD8" w:rsidR="008925FD" w:rsidRPr="009341C0" w:rsidRDefault="008925FD" w:rsidP="00BC7DC8">
      <w:pPr>
        <w:pStyle w:val="a3"/>
        <w:rPr>
          <w:rtl/>
        </w:rPr>
      </w:pPr>
      <w:bookmarkStart w:id="2795" w:name="_Ref138279005"/>
      <w:bookmarkStart w:id="2796" w:name="_Ref138961364"/>
      <w:bookmarkStart w:id="2797" w:name="_Ref139213118"/>
      <w:r>
        <w:rPr>
          <w:rFonts w:hint="cs"/>
          <w:rtl/>
        </w:rPr>
        <w:t xml:space="preserve">וביאר </w:t>
      </w:r>
      <w:r w:rsidRPr="00F00B89">
        <w:rPr>
          <w:rStyle w:val="aff4"/>
          <w:rFonts w:hint="cs"/>
          <w:vanish/>
          <w:rtl/>
        </w:rPr>
        <w:t>-</w:t>
      </w:r>
      <w:r w:rsidRPr="007F312F">
        <w:rPr>
          <w:rStyle w:val="aff4"/>
          <w:rFonts w:hint="cs"/>
          <w:rtl/>
        </w:rPr>
        <w:t>ה</w:t>
      </w:r>
      <w:r w:rsidRPr="00F00B89">
        <w:rPr>
          <w:rStyle w:val="aff4"/>
          <w:rFonts w:hint="cs"/>
          <w:vanish/>
          <w:rtl/>
        </w:rPr>
        <w:t xml:space="preserve">&lt;. </w:t>
      </w:r>
      <w:r w:rsidRPr="00F00B89">
        <w:rPr>
          <w:rStyle w:val="aff4"/>
          <w:vanish/>
          <w:rtl/>
        </w:rPr>
        <w:fldChar w:fldCharType="begin"/>
      </w:r>
      <w:r w:rsidRPr="00F00B89">
        <w:rPr>
          <w:rStyle w:val="aff4"/>
          <w:vanish/>
          <w:rtl/>
        </w:rPr>
        <w:instrText xml:space="preserve"> </w:instrText>
      </w:r>
      <w:r w:rsidRPr="00F00B89">
        <w:rPr>
          <w:rStyle w:val="aff4"/>
          <w:rFonts w:hint="cs"/>
          <w:vanish/>
        </w:rPr>
        <w:instrText>REF</w:instrText>
      </w:r>
      <w:r w:rsidRPr="00F00B89">
        <w:rPr>
          <w:rStyle w:val="aff4"/>
          <w:rFonts w:hint="cs"/>
          <w:vanish/>
          <w:rtl/>
        </w:rPr>
        <w:instrText xml:space="preserve"> _</w:instrText>
      </w:r>
      <w:r w:rsidRPr="00F00B89">
        <w:rPr>
          <w:rStyle w:val="aff4"/>
          <w:rFonts w:hint="cs"/>
          <w:vanish/>
        </w:rPr>
        <w:instrText>Ref138279005 \r \h</w:instrText>
      </w:r>
      <w:r w:rsidRPr="00F00B89">
        <w:rPr>
          <w:rStyle w:val="aff4"/>
          <w:vanish/>
          <w:rtl/>
        </w:rPr>
        <w:instrText xml:space="preserve"> </w:instrText>
      </w:r>
      <w:r w:rsidRPr="00F00B89">
        <w:rPr>
          <w:rStyle w:val="aff4"/>
          <w:vanish/>
          <w:rtl/>
        </w:rPr>
      </w:r>
      <w:r w:rsidRPr="00F00B89">
        <w:rPr>
          <w:rStyle w:val="aff4"/>
          <w:vanish/>
          <w:rtl/>
        </w:rPr>
        <w:fldChar w:fldCharType="separate"/>
      </w:r>
      <w:r w:rsidR="00D82181">
        <w:rPr>
          <w:rStyle w:val="aff4"/>
          <w:vanish/>
          <w:cs/>
        </w:rPr>
        <w:t>‎</w:t>
      </w:r>
      <w:r w:rsidR="00D82181">
        <w:rPr>
          <w:rStyle w:val="aff4"/>
          <w:vanish/>
          <w:rtl/>
        </w:rPr>
        <w:t>סז)</w:t>
      </w:r>
      <w:r w:rsidRPr="00F00B89">
        <w:rPr>
          <w:rStyle w:val="aff4"/>
          <w:vanish/>
          <w:rtl/>
        </w:rPr>
        <w:fldChar w:fldCharType="end"/>
      </w:r>
      <w:r w:rsidRPr="00F00B89">
        <w:rPr>
          <w:rStyle w:val="aff4"/>
          <w:rFonts w:hint="cs"/>
          <w:vanish/>
          <w:rtl/>
        </w:rPr>
        <w:t xml:space="preserve"> &gt;</w:t>
      </w:r>
      <w:r w:rsidRPr="007F312F">
        <w:rPr>
          <w:rStyle w:val="aff4"/>
          <w:rFonts w:hint="cs"/>
          <w:rtl/>
        </w:rPr>
        <w:t>מ"מ</w:t>
      </w:r>
      <w:r w:rsidRPr="00F00B89">
        <w:rPr>
          <w:rStyle w:val="aff4"/>
          <w:rFonts w:hint="cs"/>
          <w:vanish/>
          <w:rtl/>
        </w:rPr>
        <w:t>-</w:t>
      </w:r>
      <w:r>
        <w:rPr>
          <w:rFonts w:hint="cs"/>
          <w:rtl/>
        </w:rPr>
        <w:t xml:space="preserve"> </w:t>
      </w:r>
      <w:r w:rsidRPr="000D251D">
        <w:rPr>
          <w:rStyle w:val="af2"/>
          <w:rFonts w:eastAsia="Guttman Hodes" w:hint="cs"/>
          <w:rtl/>
        </w:rPr>
        <w:t>(יו"ט פ"ג הט"ו ד"ה וכן הבורר)</w:t>
      </w:r>
      <w:r w:rsidRPr="00F00B89">
        <w:rPr>
          <w:rFonts w:hint="cs"/>
          <w:vanish/>
          <w:rtl/>
        </w:rPr>
        <w:t>=</w:t>
      </w:r>
      <w:bookmarkEnd w:id="2795"/>
      <w:r>
        <w:rPr>
          <w:rFonts w:hint="cs"/>
          <w:rtl/>
        </w:rPr>
        <w:t xml:space="preserve"> </w:t>
      </w:r>
      <w:bookmarkStart w:id="2798" w:name="_Hlk138280271"/>
      <w:r w:rsidRPr="00F00B89">
        <w:rPr>
          <w:rStyle w:val="aff4"/>
          <w:rFonts w:hint="cs"/>
          <w:vanish/>
          <w:rtl/>
        </w:rPr>
        <w:t>-</w:t>
      </w:r>
      <w:r w:rsidRPr="007F312F">
        <w:rPr>
          <w:rStyle w:val="aff4"/>
          <w:rFonts w:hint="cs"/>
          <w:rtl/>
        </w:rPr>
        <w:t>דהרשב"א בעבודת הקודש</w:t>
      </w:r>
      <w:r w:rsidRPr="00F00B89">
        <w:rPr>
          <w:rStyle w:val="aff4"/>
          <w:rFonts w:hint="cs"/>
          <w:vanish/>
          <w:rtl/>
        </w:rPr>
        <w:t>-</w:t>
      </w:r>
      <w:r>
        <w:rPr>
          <w:rFonts w:hint="cs"/>
          <w:rtl/>
        </w:rPr>
        <w:t xml:space="preserve"> </w:t>
      </w:r>
      <w:r w:rsidRPr="000D251D">
        <w:rPr>
          <w:rStyle w:val="af2"/>
          <w:rFonts w:eastAsia="Guttman Hodes" w:hint="cs"/>
          <w:rtl/>
        </w:rPr>
        <w:t xml:space="preserve">(עי' אות </w:t>
      </w:r>
      <w:r w:rsidRPr="000D251D">
        <w:rPr>
          <w:rStyle w:val="af2"/>
          <w:rFonts w:eastAsia="Guttman Hodes"/>
          <w:rtl/>
        </w:rPr>
        <w:fldChar w:fldCharType="begin"/>
      </w:r>
      <w:r w:rsidRPr="000D251D">
        <w:rPr>
          <w:rStyle w:val="af2"/>
          <w:rFonts w:eastAsia="Guttman Hodes"/>
          <w:rtl/>
        </w:rPr>
        <w:instrText xml:space="preserve"> </w:instrText>
      </w:r>
      <w:r w:rsidRPr="000D251D">
        <w:rPr>
          <w:rStyle w:val="af2"/>
          <w:rFonts w:eastAsia="Guttman Hodes" w:hint="cs"/>
        </w:rPr>
        <w:instrText>REF</w:instrText>
      </w:r>
      <w:r w:rsidRPr="000D251D">
        <w:rPr>
          <w:rStyle w:val="af2"/>
          <w:rFonts w:eastAsia="Guttman Hodes" w:hint="cs"/>
          <w:rtl/>
        </w:rPr>
        <w:instrText xml:space="preserve"> _</w:instrText>
      </w:r>
      <w:r w:rsidRPr="000D251D">
        <w:rPr>
          <w:rStyle w:val="af2"/>
          <w:rFonts w:eastAsia="Guttman Hodes" w:hint="cs"/>
        </w:rPr>
        <w:instrText>Ref138279889 \r \h</w:instrText>
      </w:r>
      <w:r w:rsidRPr="000D251D">
        <w:rPr>
          <w:rStyle w:val="af2"/>
          <w:rFonts w:eastAsia="Guttman Hodes"/>
          <w:rtl/>
        </w:rPr>
        <w:instrText xml:space="preserve"> </w:instrText>
      </w:r>
      <w:r w:rsidRPr="000D251D">
        <w:rPr>
          <w:rStyle w:val="af2"/>
          <w:rFonts w:eastAsia="Guttman Hodes"/>
          <w:rtl/>
        </w:rPr>
      </w:r>
      <w:r w:rsidRPr="000D251D">
        <w:rPr>
          <w:rStyle w:val="af2"/>
          <w:rFonts w:eastAsia="Guttman Hodes"/>
          <w:rtl/>
        </w:rPr>
        <w:fldChar w:fldCharType="separate"/>
      </w:r>
      <w:r w:rsidR="00D82181">
        <w:rPr>
          <w:rStyle w:val="af2"/>
          <w:rFonts w:eastAsia="Guttman Hodes"/>
          <w:cs/>
        </w:rPr>
        <w:t>‎</w:t>
      </w:r>
      <w:r w:rsidR="00D82181">
        <w:rPr>
          <w:rStyle w:val="af2"/>
          <w:rFonts w:eastAsia="Guttman Hodes"/>
          <w:rtl/>
        </w:rPr>
        <w:t>סג)</w:t>
      </w:r>
      <w:r w:rsidRPr="000D251D">
        <w:rPr>
          <w:rStyle w:val="af2"/>
          <w:rFonts w:eastAsia="Guttman Hodes"/>
          <w:rtl/>
        </w:rPr>
        <w:fldChar w:fldCharType="end"/>
      </w:r>
      <w:r>
        <w:rPr>
          <w:rFonts w:hint="cs"/>
          <w:rtl/>
        </w:rPr>
        <w:t xml:space="preserve"> ס"ל דכל </w:t>
      </w:r>
      <w:bookmarkEnd w:id="2798"/>
      <w:r>
        <w:rPr>
          <w:rFonts w:hint="cs"/>
          <w:rtl/>
        </w:rPr>
        <w:t xml:space="preserve">דבר שחייב עליו בשבת חטאת אסרו ביו"ט, כגון בורר לאחר זמן, ודחה </w:t>
      </w:r>
      <w:r w:rsidRPr="00F00B89">
        <w:rPr>
          <w:rStyle w:val="aff4"/>
          <w:rFonts w:hint="cs"/>
          <w:vanish/>
          <w:rtl/>
        </w:rPr>
        <w:t>-</w:t>
      </w:r>
      <w:r w:rsidRPr="007F312F">
        <w:rPr>
          <w:rStyle w:val="aff4"/>
          <w:rFonts w:hint="cs"/>
          <w:rtl/>
        </w:rPr>
        <w:t>המ"מ</w:t>
      </w:r>
      <w:r w:rsidRPr="00F00B89">
        <w:rPr>
          <w:rStyle w:val="aff4"/>
          <w:rFonts w:hint="cs"/>
          <w:vanish/>
          <w:rtl/>
        </w:rPr>
        <w:t>-</w:t>
      </w:r>
      <w:r>
        <w:rPr>
          <w:rFonts w:hint="cs"/>
          <w:rtl/>
        </w:rPr>
        <w:t xml:space="preserve"> את דבריו דמבואר </w:t>
      </w:r>
      <w:r w:rsidRPr="00F00B89">
        <w:rPr>
          <w:rStyle w:val="aff4"/>
          <w:rFonts w:hint="cs"/>
          <w:vanish/>
          <w:rtl/>
        </w:rPr>
        <w:t>-</w:t>
      </w:r>
      <w:r>
        <w:rPr>
          <w:rStyle w:val="aff4"/>
          <w:rFonts w:hint="cs"/>
          <w:rtl/>
        </w:rPr>
        <w:t>ב</w:t>
      </w:r>
      <w:r w:rsidRPr="007F312F">
        <w:rPr>
          <w:rStyle w:val="aff4"/>
          <w:rFonts w:hint="cs"/>
          <w:rtl/>
        </w:rPr>
        <w:t>רמב"ם</w:t>
      </w:r>
      <w:r w:rsidRPr="00F00B89">
        <w:rPr>
          <w:rStyle w:val="aff4"/>
          <w:rFonts w:hint="cs"/>
          <w:vanish/>
          <w:rtl/>
        </w:rPr>
        <w:t>-</w:t>
      </w:r>
      <w:r>
        <w:rPr>
          <w:rFonts w:hint="cs"/>
          <w:rtl/>
        </w:rPr>
        <w:t xml:space="preserve"> </w:t>
      </w:r>
      <w:r w:rsidRPr="000D251D">
        <w:rPr>
          <w:rStyle w:val="af2"/>
          <w:rFonts w:eastAsia="Guttman Hodes" w:hint="cs"/>
          <w:rtl/>
        </w:rPr>
        <w:t xml:space="preserve">(עי' אות </w:t>
      </w:r>
      <w:r w:rsidRPr="000D251D">
        <w:rPr>
          <w:rStyle w:val="af2"/>
          <w:rFonts w:eastAsia="Guttman Hodes"/>
          <w:rtl/>
        </w:rPr>
        <w:fldChar w:fldCharType="begin"/>
      </w:r>
      <w:r w:rsidRPr="000D251D">
        <w:rPr>
          <w:rStyle w:val="af2"/>
          <w:rFonts w:eastAsia="Guttman Hodes"/>
          <w:rtl/>
        </w:rPr>
        <w:instrText xml:space="preserve"> </w:instrText>
      </w:r>
      <w:r w:rsidRPr="000D251D">
        <w:rPr>
          <w:rStyle w:val="af2"/>
          <w:rFonts w:eastAsia="Guttman Hodes" w:hint="cs"/>
        </w:rPr>
        <w:instrText>REF</w:instrText>
      </w:r>
      <w:r w:rsidRPr="000D251D">
        <w:rPr>
          <w:rStyle w:val="af2"/>
          <w:rFonts w:eastAsia="Guttman Hodes" w:hint="cs"/>
          <w:rtl/>
        </w:rPr>
        <w:instrText xml:space="preserve"> _</w:instrText>
      </w:r>
      <w:r w:rsidRPr="000D251D">
        <w:rPr>
          <w:rStyle w:val="af2"/>
          <w:rFonts w:eastAsia="Guttman Hodes" w:hint="cs"/>
        </w:rPr>
        <w:instrText>Ref137758321 \r \h</w:instrText>
      </w:r>
      <w:r w:rsidRPr="000D251D">
        <w:rPr>
          <w:rStyle w:val="af2"/>
          <w:rFonts w:eastAsia="Guttman Hodes"/>
          <w:rtl/>
        </w:rPr>
        <w:instrText xml:space="preserve"> </w:instrText>
      </w:r>
      <w:r w:rsidRPr="000D251D">
        <w:rPr>
          <w:rStyle w:val="af2"/>
          <w:rFonts w:eastAsia="Guttman Hodes"/>
          <w:rtl/>
        </w:rPr>
      </w:r>
      <w:r w:rsidRPr="000D251D">
        <w:rPr>
          <w:rStyle w:val="af2"/>
          <w:rFonts w:eastAsia="Guttman Hodes"/>
          <w:rtl/>
        </w:rPr>
        <w:fldChar w:fldCharType="separate"/>
      </w:r>
      <w:r w:rsidR="00D82181">
        <w:rPr>
          <w:rStyle w:val="af2"/>
          <w:rFonts w:eastAsia="Guttman Hodes"/>
          <w:cs/>
        </w:rPr>
        <w:t>‎</w:t>
      </w:r>
      <w:r w:rsidR="00D82181">
        <w:rPr>
          <w:rStyle w:val="af2"/>
          <w:rFonts w:eastAsia="Guttman Hodes"/>
          <w:rtl/>
        </w:rPr>
        <w:t>פא)</w:t>
      </w:r>
      <w:r w:rsidRPr="000D251D">
        <w:rPr>
          <w:rStyle w:val="af2"/>
          <w:rFonts w:eastAsia="Guttman Hodes"/>
          <w:rtl/>
        </w:rPr>
        <w:fldChar w:fldCharType="end"/>
      </w:r>
      <w:r>
        <w:rPr>
          <w:rFonts w:hint="cs"/>
          <w:rtl/>
        </w:rPr>
        <w:t xml:space="preserve"> דבשבת יש חיוב חטאת אף בפסולת מתוך אוכל ביד, ואילו ביו"ט מותר לברור ביד אף פסולת מתוך אוכל, כיון דכל איסור בורר ביו"ט הוא רק בנפה וכברה דהוא נראה כבורר שלא לצורך יו"ט, אבל בבורר לאלתר או לבו ביום דינו כאופה ומבשל דמותר, וכן משמע מדלא חילקה הגמ' בביצה בדיני בורר לאלתר, וכן </w:t>
      </w:r>
      <w:r w:rsidRPr="00F00B89">
        <w:rPr>
          <w:rStyle w:val="aff4"/>
          <w:rFonts w:hint="cs"/>
          <w:vanish/>
          <w:rtl/>
        </w:rPr>
        <w:t>-</w:t>
      </w:r>
      <w:r w:rsidRPr="007F312F">
        <w:rPr>
          <w:rStyle w:val="aff4"/>
          <w:rFonts w:hint="cs"/>
          <w:rtl/>
        </w:rPr>
        <w:t>הרמב"ם</w:t>
      </w:r>
      <w:r w:rsidRPr="00F00B89">
        <w:rPr>
          <w:rStyle w:val="aff4"/>
          <w:rFonts w:hint="cs"/>
          <w:vanish/>
          <w:rtl/>
        </w:rPr>
        <w:t>-</w:t>
      </w:r>
      <w:r>
        <w:rPr>
          <w:rFonts w:hint="cs"/>
          <w:rtl/>
        </w:rPr>
        <w:t xml:space="preserve"> </w:t>
      </w:r>
      <w:r w:rsidRPr="000D251D">
        <w:rPr>
          <w:rStyle w:val="af2"/>
          <w:rFonts w:eastAsia="Guttman Hodes" w:hint="cs"/>
          <w:rtl/>
        </w:rPr>
        <w:t>(יו"ט פ"ג הט"ו)</w:t>
      </w:r>
      <w:r>
        <w:rPr>
          <w:rFonts w:hint="cs"/>
          <w:rtl/>
        </w:rPr>
        <w:t xml:space="preserve"> לא חילק בזה.</w:t>
      </w:r>
      <w:bookmarkEnd w:id="2796"/>
      <w:r>
        <w:rPr>
          <w:rFonts w:hint="cs"/>
          <w:rtl/>
        </w:rPr>
        <w:t xml:space="preserve"> </w:t>
      </w:r>
      <w:r w:rsidRPr="000D251D">
        <w:rPr>
          <w:rStyle w:val="af"/>
          <w:rFonts w:hint="cs"/>
          <w:rtl/>
        </w:rPr>
        <w:t xml:space="preserve">[ועי' במה שתירץ </w:t>
      </w:r>
      <w:bookmarkStart w:id="2799" w:name="_Hlk138961524"/>
      <w:r w:rsidRPr="009B1F18">
        <w:rPr>
          <w:rStyle w:val="aff9"/>
          <w:rFonts w:hint="cs"/>
          <w:vanish/>
          <w:rtl/>
        </w:rPr>
        <w:t>-</w:t>
      </w:r>
      <w:r w:rsidRPr="009B1F18">
        <w:rPr>
          <w:rStyle w:val="aff9"/>
          <w:rFonts w:hint="cs"/>
          <w:rtl/>
        </w:rPr>
        <w:t>ה</w:t>
      </w:r>
      <w:r w:rsidRPr="009B1F18">
        <w:rPr>
          <w:rStyle w:val="aff9"/>
          <w:rFonts w:hint="cs"/>
          <w:vanish/>
          <w:rtl/>
        </w:rPr>
        <w:t>&lt; &gt;</w:t>
      </w:r>
      <w:r w:rsidRPr="009B1F18">
        <w:rPr>
          <w:rStyle w:val="aff9"/>
          <w:rtl/>
        </w:rPr>
        <w:t xml:space="preserve">צל"ח </w:t>
      </w:r>
      <w:r w:rsidRPr="009B1F18">
        <w:rPr>
          <w:rStyle w:val="aff9"/>
          <w:rFonts w:hint="cs"/>
          <w:rtl/>
        </w:rPr>
        <w:t>ב</w:t>
      </w:r>
      <w:r w:rsidRPr="009B1F18">
        <w:rPr>
          <w:rStyle w:val="aff9"/>
          <w:rtl/>
        </w:rPr>
        <w:t>ביצה</w:t>
      </w:r>
      <w:r w:rsidRPr="009B1F18">
        <w:rPr>
          <w:rStyle w:val="aff9"/>
          <w:rFonts w:hint="cs"/>
          <w:vanish/>
          <w:rtl/>
        </w:rPr>
        <w:t>-</w:t>
      </w:r>
      <w:r w:rsidRPr="000D251D">
        <w:rPr>
          <w:rStyle w:val="af"/>
          <w:rtl/>
        </w:rPr>
        <w:t xml:space="preserve"> </w:t>
      </w:r>
      <w:r w:rsidRPr="009B1F18">
        <w:rPr>
          <w:rStyle w:val="aff0"/>
          <w:rFonts w:hint="cs"/>
          <w:rtl/>
        </w:rPr>
        <w:t>(</w:t>
      </w:r>
      <w:r w:rsidRPr="009B1F18">
        <w:rPr>
          <w:rStyle w:val="aff0"/>
          <w:rtl/>
        </w:rPr>
        <w:t>יד</w:t>
      </w:r>
      <w:r w:rsidRPr="009B1F18">
        <w:rPr>
          <w:rStyle w:val="aff0"/>
          <w:rFonts w:hint="cs"/>
          <w:rtl/>
        </w:rPr>
        <w:t>:</w:t>
      </w:r>
      <w:r w:rsidRPr="009B1F18">
        <w:rPr>
          <w:rStyle w:val="aff0"/>
          <w:rtl/>
        </w:rPr>
        <w:t xml:space="preserve"> ד"ה ואני אומר</w:t>
      </w:r>
      <w:r w:rsidRPr="009B1F18">
        <w:rPr>
          <w:rStyle w:val="aff0"/>
          <w:rFonts w:hint="cs"/>
          <w:rtl/>
        </w:rPr>
        <w:t>)</w:t>
      </w:r>
      <w:r w:rsidRPr="009B1F18">
        <w:rPr>
          <w:rStyle w:val="af"/>
          <w:rFonts w:hint="cs"/>
          <w:vanish/>
          <w:rtl/>
        </w:rPr>
        <w:t>=</w:t>
      </w:r>
      <w:bookmarkEnd w:id="2799"/>
      <w:r w:rsidRPr="000D251D">
        <w:rPr>
          <w:rStyle w:val="af"/>
          <w:rFonts w:hint="cs"/>
          <w:rtl/>
        </w:rPr>
        <w:t xml:space="preserve"> את דעת </w:t>
      </w:r>
      <w:r w:rsidRPr="009B1F18">
        <w:rPr>
          <w:rStyle w:val="aff9"/>
          <w:rFonts w:hint="cs"/>
          <w:vanish/>
          <w:rtl/>
        </w:rPr>
        <w:t>-</w:t>
      </w:r>
      <w:r w:rsidRPr="009B1F18">
        <w:rPr>
          <w:rStyle w:val="aff9"/>
          <w:rFonts w:hint="cs"/>
          <w:rtl/>
        </w:rPr>
        <w:t>הרשב"א</w:t>
      </w:r>
      <w:r w:rsidRPr="009B1F18">
        <w:rPr>
          <w:rStyle w:val="aff9"/>
          <w:rFonts w:hint="cs"/>
          <w:vanish/>
          <w:rtl/>
        </w:rPr>
        <w:t>-</w:t>
      </w:r>
      <w:r w:rsidRPr="00394BDA">
        <w:rPr>
          <w:rStyle w:val="af"/>
          <w:rFonts w:hint="cs"/>
          <w:rtl/>
        </w:rPr>
        <w:t>].</w:t>
      </w:r>
      <w:bookmarkEnd w:id="2797"/>
    </w:p>
    <w:p w14:paraId="30E519B2" w14:textId="77777777" w:rsidR="008925FD" w:rsidRPr="00747170" w:rsidRDefault="008925FD" w:rsidP="00747170">
      <w:pPr>
        <w:pStyle w:val="a2"/>
        <w:rPr>
          <w:rtl/>
        </w:rPr>
      </w:pPr>
      <w:r w:rsidRPr="00747170">
        <w:rPr>
          <w:rtl/>
        </w:rPr>
        <w:t xml:space="preserve">וכתב הרשב"א ז"ל שמה שאמרו אבל לא בנפה הוא מפני שיש בה בשבת חיוב חטאת ולא רצו להתירה ביום טוב. ומתוך הטעם הזה יצא לו שכל מה שיש בו בשבת חיוב חטאת כגון בורר שלא לאכול לאלתר אלא להניח לבו ביום אפילו ביום טוב אסור וכן הדין בשני מיני אוכלין וכבר נתבאר פרק שמיני מהל' שבת במה יש חיוב חטאת בשבת. ואני אומר כבוד הרב במקומו מונח שאין כל מה שיש בו בשבת חיוב חטאת אסור ביום טוב שהרי ברירת פסולת מתוך האוכל אפילו ביד יש בזה חיוב חטאת בשבת כנזכר פ"ח מהל' שבת וביו"ט מותרת על הדרך שנתבאר ולא אסרו נפה וכברה אלא משום דמחזי כבורר לימים מרובים וכן פירש"י ז"ל וזהו שלא הזכירו כלל ביום טוב בורר לאלתר או לבו ביום אלא הרי דינו כאופה ומבשל שמותר לאכול בו ביום ולשון דברי ב"ה מורה כן שאמרו בורר כדרכו ולא חלקו וזהו שבהלכות ובדברי רבינו לא נזכר חלוק זה כלל כנ"ל ועיקר: </w:t>
      </w:r>
    </w:p>
    <w:p w14:paraId="60178612" w14:textId="572507F5" w:rsidR="008925FD" w:rsidRDefault="008925FD" w:rsidP="008925FD">
      <w:pPr>
        <w:pStyle w:val="afffff7"/>
        <w:rPr>
          <w:rtl/>
        </w:rPr>
      </w:pPr>
      <w:bookmarkStart w:id="2800" w:name="_Toc139277207"/>
      <w:bookmarkStart w:id="2801" w:name="_Toc163505910"/>
      <w:r>
        <w:rPr>
          <w:rtl/>
        </w:rPr>
        <w:t>נשמת אדם שבת כלל ט</w:t>
      </w:r>
      <w:r>
        <w:rPr>
          <w:rFonts w:hint="cs"/>
          <w:rtl/>
        </w:rPr>
        <w:t>"</w:t>
      </w:r>
      <w:r>
        <w:rPr>
          <w:rtl/>
        </w:rPr>
        <w:t>ז א</w:t>
      </w:r>
      <w:r>
        <w:rPr>
          <w:rFonts w:hint="cs"/>
          <w:rtl/>
        </w:rPr>
        <w:t>' ד"ה וכתב עליו</w:t>
      </w:r>
      <w:bookmarkEnd w:id="2800"/>
      <w:bookmarkEnd w:id="2801"/>
    </w:p>
    <w:p w14:paraId="017F5A87" w14:textId="77777777" w:rsidR="008925FD" w:rsidRPr="00C02FCD" w:rsidRDefault="008925FD" w:rsidP="008925FD">
      <w:pPr>
        <w:pStyle w:val="a7"/>
        <w:rPr>
          <w:rtl/>
        </w:rPr>
      </w:pPr>
      <w:bookmarkStart w:id="2802" w:name="_Toc139277121"/>
      <w:r>
        <w:rPr>
          <w:rFonts w:hint="cs"/>
          <w:rtl/>
        </w:rPr>
        <w:t>בי' הנשמ"א דמוכח ברשב"א דס"ל דאף בפסולת מתוך אוכל חיוב חטאת הוא רק בכלי ולא ביד</w:t>
      </w:r>
      <w:bookmarkEnd w:id="2802"/>
    </w:p>
    <w:p w14:paraId="0DC0956F" w14:textId="4E5B52A6" w:rsidR="008925FD" w:rsidRPr="004547A0" w:rsidRDefault="008925FD" w:rsidP="00BC7DC8">
      <w:pPr>
        <w:pStyle w:val="a3"/>
        <w:rPr>
          <w:rtl/>
        </w:rPr>
      </w:pPr>
      <w:bookmarkStart w:id="2803" w:name="_Hlk138961379"/>
      <w:bookmarkStart w:id="2804" w:name="_Ref138969531"/>
      <w:r>
        <w:rPr>
          <w:rFonts w:hint="cs"/>
          <w:rtl/>
        </w:rPr>
        <w:t xml:space="preserve">במה שהקשה </w:t>
      </w:r>
      <w:r w:rsidRPr="00656F23">
        <w:rPr>
          <w:rStyle w:val="aff4"/>
          <w:rFonts w:hint="cs"/>
          <w:vanish/>
          <w:rtl/>
        </w:rPr>
        <w:t>-</w:t>
      </w:r>
      <w:r w:rsidRPr="002D2941">
        <w:rPr>
          <w:rStyle w:val="aff4"/>
          <w:rFonts w:hint="cs"/>
          <w:rtl/>
        </w:rPr>
        <w:t>המ"מ</w:t>
      </w:r>
      <w:r w:rsidRPr="00656F23">
        <w:rPr>
          <w:rStyle w:val="aff4"/>
          <w:rFonts w:hint="cs"/>
          <w:vanish/>
          <w:rtl/>
        </w:rPr>
        <w:t>-</w:t>
      </w:r>
      <w:r>
        <w:rPr>
          <w:rFonts w:hint="cs"/>
          <w:rtl/>
        </w:rPr>
        <w:t xml:space="preserve"> </w:t>
      </w:r>
      <w:r w:rsidRPr="000D251D">
        <w:rPr>
          <w:rStyle w:val="af2"/>
          <w:rFonts w:eastAsia="Guttman Hodes" w:hint="cs"/>
          <w:rtl/>
        </w:rPr>
        <w:t xml:space="preserve">(עי' אות </w:t>
      </w:r>
      <w:r w:rsidRPr="000D251D">
        <w:rPr>
          <w:rStyle w:val="af2"/>
          <w:rFonts w:eastAsia="Guttman Hodes"/>
          <w:rtl/>
        </w:rPr>
        <w:fldChar w:fldCharType="begin"/>
      </w:r>
      <w:r w:rsidRPr="000D251D">
        <w:rPr>
          <w:rStyle w:val="af2"/>
          <w:rFonts w:eastAsia="Guttman Hodes"/>
          <w:rtl/>
        </w:rPr>
        <w:instrText xml:space="preserve"> </w:instrText>
      </w:r>
      <w:r w:rsidRPr="000D251D">
        <w:rPr>
          <w:rStyle w:val="af2"/>
          <w:rFonts w:eastAsia="Guttman Hodes" w:hint="cs"/>
        </w:rPr>
        <w:instrText>REF</w:instrText>
      </w:r>
      <w:r w:rsidRPr="000D251D">
        <w:rPr>
          <w:rStyle w:val="af2"/>
          <w:rFonts w:eastAsia="Guttman Hodes" w:hint="cs"/>
          <w:rtl/>
        </w:rPr>
        <w:instrText xml:space="preserve"> _</w:instrText>
      </w:r>
      <w:r w:rsidRPr="000D251D">
        <w:rPr>
          <w:rStyle w:val="af2"/>
          <w:rFonts w:eastAsia="Guttman Hodes" w:hint="cs"/>
        </w:rPr>
        <w:instrText>Ref138961364 \r \h</w:instrText>
      </w:r>
      <w:r w:rsidRPr="000D251D">
        <w:rPr>
          <w:rStyle w:val="af2"/>
          <w:rFonts w:eastAsia="Guttman Hodes"/>
          <w:rtl/>
        </w:rPr>
        <w:instrText xml:space="preserve"> </w:instrText>
      </w:r>
      <w:r w:rsidRPr="000D251D">
        <w:rPr>
          <w:rStyle w:val="af2"/>
          <w:rFonts w:eastAsia="Guttman Hodes"/>
          <w:rtl/>
        </w:rPr>
      </w:r>
      <w:r w:rsidRPr="000D251D">
        <w:rPr>
          <w:rStyle w:val="af2"/>
          <w:rFonts w:eastAsia="Guttman Hodes"/>
          <w:rtl/>
        </w:rPr>
        <w:fldChar w:fldCharType="separate"/>
      </w:r>
      <w:r w:rsidR="00D82181">
        <w:rPr>
          <w:rStyle w:val="af2"/>
          <w:rFonts w:eastAsia="Guttman Hodes"/>
          <w:cs/>
        </w:rPr>
        <w:t>‎</w:t>
      </w:r>
      <w:r w:rsidR="00D82181">
        <w:rPr>
          <w:rStyle w:val="af2"/>
          <w:rFonts w:eastAsia="Guttman Hodes"/>
          <w:rtl/>
        </w:rPr>
        <w:t>סז)</w:t>
      </w:r>
      <w:r w:rsidRPr="000D251D">
        <w:rPr>
          <w:rStyle w:val="af2"/>
          <w:rFonts w:eastAsia="Guttman Hodes"/>
          <w:rtl/>
        </w:rPr>
        <w:fldChar w:fldCharType="end"/>
      </w:r>
      <w:r>
        <w:rPr>
          <w:rFonts w:hint="cs"/>
          <w:rtl/>
        </w:rPr>
        <w:t xml:space="preserve"> על </w:t>
      </w:r>
      <w:r w:rsidRPr="00656F23">
        <w:rPr>
          <w:rStyle w:val="aff4"/>
          <w:rFonts w:hint="cs"/>
          <w:vanish/>
          <w:rtl/>
        </w:rPr>
        <w:t>-</w:t>
      </w:r>
      <w:r w:rsidRPr="002D2941">
        <w:rPr>
          <w:rStyle w:val="aff4"/>
          <w:rFonts w:hint="cs"/>
          <w:rtl/>
        </w:rPr>
        <w:t>הרשב"א בעבודת הקודש</w:t>
      </w:r>
      <w:r w:rsidRPr="00656F23">
        <w:rPr>
          <w:rStyle w:val="aff4"/>
          <w:rFonts w:hint="cs"/>
          <w:vanish/>
          <w:rtl/>
        </w:rPr>
        <w:t>-</w:t>
      </w:r>
      <w:r>
        <w:rPr>
          <w:rFonts w:hint="cs"/>
          <w:rtl/>
        </w:rPr>
        <w:t xml:space="preserve"> </w:t>
      </w:r>
      <w:r w:rsidRPr="000D251D">
        <w:rPr>
          <w:rStyle w:val="af2"/>
          <w:rFonts w:eastAsia="Guttman Hodes" w:hint="cs"/>
          <w:rtl/>
        </w:rPr>
        <w:t xml:space="preserve">(עי' אות </w:t>
      </w:r>
      <w:r w:rsidRPr="000D251D">
        <w:rPr>
          <w:rStyle w:val="af2"/>
          <w:rFonts w:eastAsia="Guttman Hodes"/>
          <w:rtl/>
        </w:rPr>
        <w:fldChar w:fldCharType="begin"/>
      </w:r>
      <w:r w:rsidRPr="000D251D">
        <w:rPr>
          <w:rStyle w:val="af2"/>
          <w:rFonts w:eastAsia="Guttman Hodes"/>
          <w:rtl/>
        </w:rPr>
        <w:instrText xml:space="preserve"> </w:instrText>
      </w:r>
      <w:r w:rsidRPr="000D251D">
        <w:rPr>
          <w:rStyle w:val="af2"/>
          <w:rFonts w:eastAsia="Guttman Hodes" w:hint="cs"/>
        </w:rPr>
        <w:instrText>REF</w:instrText>
      </w:r>
      <w:r w:rsidRPr="000D251D">
        <w:rPr>
          <w:rStyle w:val="af2"/>
          <w:rFonts w:eastAsia="Guttman Hodes" w:hint="cs"/>
          <w:rtl/>
        </w:rPr>
        <w:instrText xml:space="preserve"> _</w:instrText>
      </w:r>
      <w:r w:rsidRPr="000D251D">
        <w:rPr>
          <w:rStyle w:val="af2"/>
          <w:rFonts w:eastAsia="Guttman Hodes" w:hint="cs"/>
        </w:rPr>
        <w:instrText>Ref138279889 \r \h</w:instrText>
      </w:r>
      <w:r w:rsidRPr="000D251D">
        <w:rPr>
          <w:rStyle w:val="af2"/>
          <w:rFonts w:eastAsia="Guttman Hodes"/>
          <w:rtl/>
        </w:rPr>
        <w:instrText xml:space="preserve"> </w:instrText>
      </w:r>
      <w:r w:rsidRPr="000D251D">
        <w:rPr>
          <w:rStyle w:val="af2"/>
          <w:rFonts w:eastAsia="Guttman Hodes"/>
          <w:rtl/>
        </w:rPr>
      </w:r>
      <w:r w:rsidRPr="000D251D">
        <w:rPr>
          <w:rStyle w:val="af2"/>
          <w:rFonts w:eastAsia="Guttman Hodes"/>
          <w:rtl/>
        </w:rPr>
        <w:fldChar w:fldCharType="separate"/>
      </w:r>
      <w:r w:rsidR="00D82181">
        <w:rPr>
          <w:rStyle w:val="af2"/>
          <w:rFonts w:eastAsia="Guttman Hodes"/>
          <w:cs/>
        </w:rPr>
        <w:t>‎</w:t>
      </w:r>
      <w:r w:rsidR="00D82181">
        <w:rPr>
          <w:rStyle w:val="af2"/>
          <w:rFonts w:eastAsia="Guttman Hodes"/>
          <w:rtl/>
        </w:rPr>
        <w:t>סג)</w:t>
      </w:r>
      <w:r w:rsidRPr="000D251D">
        <w:rPr>
          <w:rStyle w:val="af2"/>
          <w:rFonts w:eastAsia="Guttman Hodes"/>
          <w:rtl/>
        </w:rPr>
        <w:fldChar w:fldCharType="end"/>
      </w:r>
      <w:r>
        <w:rPr>
          <w:rFonts w:hint="cs"/>
          <w:rtl/>
        </w:rPr>
        <w:t xml:space="preserve"> דבפסולת מתוך אוכל אף ביד חייב, </w:t>
      </w:r>
      <w:bookmarkEnd w:id="2803"/>
      <w:r>
        <w:rPr>
          <w:rFonts w:hint="cs"/>
          <w:rtl/>
        </w:rPr>
        <w:t xml:space="preserve">תירץ </w:t>
      </w:r>
      <w:r w:rsidRPr="00656F23">
        <w:rPr>
          <w:rStyle w:val="aff4"/>
          <w:rFonts w:hint="cs"/>
          <w:vanish/>
          <w:rtl/>
        </w:rPr>
        <w:t>-</w:t>
      </w:r>
      <w:r w:rsidRPr="002D2941">
        <w:rPr>
          <w:rStyle w:val="aff4"/>
          <w:rFonts w:hint="cs"/>
          <w:rtl/>
        </w:rPr>
        <w:t>ה</w:t>
      </w:r>
      <w:r w:rsidRPr="00656F23">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Ref138969531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סח)</w:t>
      </w:r>
      <w:r>
        <w:rPr>
          <w:rStyle w:val="aff4"/>
          <w:vanish/>
          <w:rtl/>
        </w:rPr>
        <w:fldChar w:fldCharType="end"/>
      </w:r>
      <w:r w:rsidRPr="00656F23">
        <w:rPr>
          <w:rStyle w:val="aff4"/>
          <w:rFonts w:hint="cs"/>
          <w:vanish/>
          <w:rtl/>
        </w:rPr>
        <w:t xml:space="preserve"> &gt;</w:t>
      </w:r>
      <w:r w:rsidRPr="002D2941">
        <w:rPr>
          <w:rStyle w:val="aff4"/>
          <w:rFonts w:hint="cs"/>
          <w:rtl/>
        </w:rPr>
        <w:t>נשמת אדם</w:t>
      </w:r>
      <w:r w:rsidRPr="00656F23">
        <w:rPr>
          <w:rStyle w:val="aff4"/>
          <w:rFonts w:hint="cs"/>
          <w:vanish/>
          <w:rtl/>
        </w:rPr>
        <w:t>-</w:t>
      </w:r>
      <w:r>
        <w:rPr>
          <w:rFonts w:hint="cs"/>
          <w:rtl/>
        </w:rPr>
        <w:t xml:space="preserve"> </w:t>
      </w:r>
      <w:r w:rsidRPr="000D251D">
        <w:rPr>
          <w:rStyle w:val="af2"/>
          <w:rFonts w:eastAsia="Guttman Hodes" w:hint="cs"/>
          <w:rtl/>
        </w:rPr>
        <w:t>(שבת כלל ט"ז א' ד"ה וכתב עליו)</w:t>
      </w:r>
      <w:r w:rsidRPr="00656F23">
        <w:rPr>
          <w:rFonts w:hint="cs"/>
          <w:vanish/>
          <w:rtl/>
        </w:rPr>
        <w:t>=</w:t>
      </w:r>
      <w:r>
        <w:rPr>
          <w:rFonts w:hint="cs"/>
          <w:rtl/>
        </w:rPr>
        <w:t xml:space="preserve"> דמהמשך דברי </w:t>
      </w:r>
      <w:r w:rsidRPr="00656F23">
        <w:rPr>
          <w:rStyle w:val="aff4"/>
          <w:rFonts w:hint="cs"/>
          <w:vanish/>
          <w:rtl/>
        </w:rPr>
        <w:t>-</w:t>
      </w:r>
      <w:r w:rsidRPr="002D2941">
        <w:rPr>
          <w:rStyle w:val="aff4"/>
          <w:rFonts w:hint="cs"/>
          <w:rtl/>
        </w:rPr>
        <w:t>הרשב"א בעבודת הקודש</w:t>
      </w:r>
      <w:r w:rsidRPr="00656F23">
        <w:rPr>
          <w:rStyle w:val="aff4"/>
          <w:rFonts w:hint="cs"/>
          <w:vanish/>
          <w:rtl/>
        </w:rPr>
        <w:t>-</w:t>
      </w:r>
      <w:r>
        <w:rPr>
          <w:rFonts w:hint="cs"/>
          <w:rtl/>
        </w:rPr>
        <w:t xml:space="preserve"> </w:t>
      </w:r>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Ref139212325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סו)</w:t>
      </w:r>
      <w:r>
        <w:rPr>
          <w:rStyle w:val="af2"/>
          <w:rFonts w:eastAsia="Guttman Hodes"/>
          <w:rtl/>
        </w:rPr>
        <w:fldChar w:fldCharType="end"/>
      </w:r>
      <w:r>
        <w:rPr>
          <w:rFonts w:hint="cs"/>
          <w:rtl/>
        </w:rPr>
        <w:t xml:space="preserve"> דכתב דצרור שנפל לקמח מותר ליטלו ביד, מבואר דאין חיוב חטאת אף בפסולת מתוך אוכל ביד בשבת כיון דלא בורר בנפה וכברה, וגם מתחילת דברי </w:t>
      </w:r>
      <w:r w:rsidRPr="00656F23">
        <w:rPr>
          <w:rStyle w:val="aff4"/>
          <w:rFonts w:hint="cs"/>
          <w:vanish/>
          <w:rtl/>
        </w:rPr>
        <w:t>-</w:t>
      </w:r>
      <w:r w:rsidRPr="002D2941">
        <w:rPr>
          <w:rStyle w:val="aff4"/>
          <w:rFonts w:hint="cs"/>
          <w:rtl/>
        </w:rPr>
        <w:t>הרשב"א בעבודת הקודש</w:t>
      </w:r>
      <w:r w:rsidRPr="00656F23">
        <w:rPr>
          <w:rStyle w:val="aff4"/>
          <w:rFonts w:hint="cs"/>
          <w:vanish/>
          <w:rtl/>
        </w:rPr>
        <w:t>-</w:t>
      </w:r>
      <w:r>
        <w:rPr>
          <w:rFonts w:hint="cs"/>
          <w:rtl/>
        </w:rPr>
        <w:t xml:space="preserve"> </w:t>
      </w:r>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Ref139212324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סד)</w:t>
      </w:r>
      <w:r>
        <w:rPr>
          <w:rStyle w:val="af2"/>
          <w:rFonts w:eastAsia="Guttman Hodes"/>
          <w:rtl/>
        </w:rPr>
        <w:fldChar w:fldCharType="end"/>
      </w:r>
      <w:r>
        <w:rPr>
          <w:rFonts w:hint="cs"/>
          <w:rtl/>
        </w:rPr>
        <w:t xml:space="preserve"> מוכח כן דכתב דבשבת בקנון ותמחוי אף לאלתר אסור, והוא המשך לדבריו דאיירי בפסולת מתוך אוכל, ומבואר דאף בפסולת מתוך אוכל החיוב הוא רק בנפה וכברה, כיון דלאלתר בלא נפה וכברה לא חשיב בורר כלל. </w:t>
      </w:r>
      <w:r w:rsidRPr="000D251D">
        <w:rPr>
          <w:rStyle w:val="af"/>
          <w:rFonts w:hint="cs"/>
          <w:rtl/>
        </w:rPr>
        <w:t xml:space="preserve">[ועיי"ש במה שביאר </w:t>
      </w:r>
      <w:r w:rsidRPr="009B1F18">
        <w:rPr>
          <w:rStyle w:val="aff9"/>
          <w:rFonts w:hint="cs"/>
          <w:vanish/>
          <w:rtl/>
        </w:rPr>
        <w:t>-</w:t>
      </w:r>
      <w:r w:rsidRPr="009B1F18">
        <w:rPr>
          <w:rStyle w:val="aff9"/>
          <w:rFonts w:hint="cs"/>
          <w:rtl/>
        </w:rPr>
        <w:t>הנשמת אדם</w:t>
      </w:r>
      <w:r w:rsidRPr="009B1F18">
        <w:rPr>
          <w:rStyle w:val="aff9"/>
          <w:rFonts w:hint="cs"/>
          <w:vanish/>
          <w:rtl/>
        </w:rPr>
        <w:t>-</w:t>
      </w:r>
      <w:r w:rsidRPr="000D251D">
        <w:rPr>
          <w:rStyle w:val="af"/>
          <w:rFonts w:hint="cs"/>
          <w:rtl/>
        </w:rPr>
        <w:t xml:space="preserve"> בדעת </w:t>
      </w:r>
      <w:r w:rsidRPr="009B1F18">
        <w:rPr>
          <w:rStyle w:val="aff9"/>
          <w:rFonts w:hint="cs"/>
          <w:vanish/>
          <w:rtl/>
        </w:rPr>
        <w:t>-</w:t>
      </w:r>
      <w:r w:rsidRPr="009B1F18">
        <w:rPr>
          <w:rStyle w:val="aff9"/>
          <w:rFonts w:hint="cs"/>
          <w:rtl/>
        </w:rPr>
        <w:t>הרשב"א</w:t>
      </w:r>
      <w:r w:rsidRPr="009B1F18">
        <w:rPr>
          <w:rStyle w:val="aff9"/>
          <w:rFonts w:hint="cs"/>
          <w:vanish/>
          <w:rtl/>
        </w:rPr>
        <w:t>-</w:t>
      </w:r>
      <w:r w:rsidRPr="000D251D">
        <w:rPr>
          <w:rStyle w:val="af"/>
          <w:rFonts w:hint="cs"/>
          <w:rtl/>
        </w:rPr>
        <w:t xml:space="preserve"> בחיוב המלאכות ביו"ט</w:t>
      </w:r>
      <w:r w:rsidRPr="00394BDA">
        <w:rPr>
          <w:rStyle w:val="af"/>
          <w:rFonts w:hint="cs"/>
          <w:rtl/>
        </w:rPr>
        <w:t>].</w:t>
      </w:r>
      <w:bookmarkEnd w:id="2804"/>
      <w:r>
        <w:rPr>
          <w:rFonts w:hint="cs"/>
          <w:rtl/>
        </w:rPr>
        <w:t xml:space="preserve"> </w:t>
      </w:r>
    </w:p>
    <w:p w14:paraId="30317322" w14:textId="77777777" w:rsidR="008925FD" w:rsidRPr="00747170" w:rsidRDefault="008925FD" w:rsidP="00747170">
      <w:pPr>
        <w:pStyle w:val="a2"/>
        <w:rPr>
          <w:rStyle w:val="afff7"/>
          <w:rtl/>
        </w:rPr>
      </w:pPr>
      <w:r w:rsidRPr="00747170">
        <w:rPr>
          <w:rtl/>
        </w:rPr>
        <w:t>וכתב עליו המ"מ הביאו הט"ז בסי' תק"י "כבודו במקומו מונח שהרי ברירת פסולת מאוכל אפילו בירר ביד חייב חטאת ובי"ט מותר" עכ"ל, ומה שתירץ הט"ז שם הוא תמוה שהרי אפילו לאלתר חייב. אבל באמת תמה אני על המ"מ אשר תמיד תורתו של רשב"א שגור בפיו ואיך אישתמטיה דברי הרשב"א בעבודת הקודש סי' ח' שכתב וז"ל נפל צרור או קיסם בקמח י"א שאסור ליטלו ביד לפי שזה כבורר, ולא יראה לי אלא מותר ליטול ביד שכל העושה ביד אינו אלא כבורר כלאחר יד ולא אסרו אלא בנפה וכברה וכמו שביארנו עכ"ל, הרי מבואר מדבריו דס"ל דבין פסולת מאוכל כמו צרור מקמח לעולם אינו חיב בשבת כיון שאינו עושה בנפה וכברה, וכן מוכח עוד מדבריו שכתב בסי' ה' ובשבת שבורר בכלי אפילו בקנון ותמחוי ואפילו לאלתר אסור עכ"ל, וזה קאי על מה שכתב שם דבי"ט מותר אפילו פסולת מאוכל, עכ"פ מוכח מדבריו דאינו חייב אפילו בפסולת מאוכל אא"כ בורר בנפה וכברה דכל לאלתר לא מקרי ברירה כלל אם לא בנפה וכברה, ומסולק תמיהת המ"מ</w:t>
      </w:r>
      <w:r w:rsidRPr="00747170">
        <w:rPr>
          <w:rStyle w:val="afff7"/>
          <w:rtl/>
        </w:rPr>
        <w:t>. ובאמת הרשב"א אזיל לשיטתו דס"ל דמלאכות דקודם לישה אסור ביום טוב מדאורייתא ע"ש בעה"ק, וא"כ ה"ה בורר אסור מדאורייתא, וכן כתב כל שחייבין בשבת אסור בי"ט. ולפ"ז אתי שפיר גם דברי הטור דס"ל נמי דאפילו ברירת פסולת מאוכל לאלתר ביד אינו אלא מדרבנן ולכן כתב דלעולם אזלינן בתר היותר קל לברור. ומה שכתב הר"ן ראיה מבורר תורמסין, נראה לי דס"ל לרשב"א דחזקיה דתורמסין ס"ל כרב המנונא אבל אביי דפריך ליה ואינו מחלק בין פסולת מאוכל או אוכל מפסולת ורבא אמר שפיר אמר נחמני קיי"ל כאביי ורבא דאין חילוק בזה.</w:t>
      </w:r>
    </w:p>
    <w:p w14:paraId="741A99FB" w14:textId="3584D534" w:rsidR="008925FD" w:rsidRDefault="008925FD" w:rsidP="008925FD">
      <w:pPr>
        <w:pStyle w:val="a7"/>
      </w:pPr>
      <w:bookmarkStart w:id="2805" w:name="_Toc139277122"/>
      <w:r>
        <w:rPr>
          <w:rFonts w:hint="cs"/>
          <w:rtl/>
        </w:rPr>
        <w:t>בי' הנשמ"א ברשב"א דמוכח בביצה דפסולת מאוכל חייב מדאו' רק בכלי ולאח"ז וכ"כ הרמ"ך</w:t>
      </w:r>
      <w:bookmarkEnd w:id="2805"/>
    </w:p>
    <w:p w14:paraId="3B922456" w14:textId="1A08F2A6" w:rsidR="008925FD" w:rsidRPr="002E001B" w:rsidRDefault="008925FD" w:rsidP="00BC7DC8">
      <w:pPr>
        <w:pStyle w:val="a3"/>
      </w:pPr>
      <w:bookmarkStart w:id="2806" w:name="_Ref139275074"/>
      <w:r>
        <w:rPr>
          <w:rFonts w:hint="cs"/>
          <w:rtl/>
        </w:rPr>
        <w:t xml:space="preserve">וביאר </w:t>
      </w:r>
      <w:r w:rsidRPr="00656F23">
        <w:rPr>
          <w:rStyle w:val="aff4"/>
          <w:rFonts w:hint="cs"/>
          <w:vanish/>
          <w:rtl/>
        </w:rPr>
        <w:t>-</w:t>
      </w:r>
      <w:r w:rsidRPr="002D2941">
        <w:rPr>
          <w:rStyle w:val="aff4"/>
          <w:rFonts w:hint="cs"/>
          <w:rtl/>
        </w:rPr>
        <w:t>הנשמת אדם</w:t>
      </w:r>
      <w:r w:rsidRPr="00656F23">
        <w:rPr>
          <w:rStyle w:val="aff4"/>
          <w:rFonts w:hint="cs"/>
          <w:vanish/>
          <w:rtl/>
        </w:rPr>
        <w:t>-</w:t>
      </w:r>
      <w:r>
        <w:rPr>
          <w:rFonts w:hint="cs"/>
          <w:rtl/>
        </w:rPr>
        <w:t xml:space="preserve"> דס"ל דכיון דבמשנה בביצה אסרו ב"ה רק בנפה וכברה ביו"ט, מוכח דבלא"ה אף בפסולת מתוך אוכל לאלתר אין חיוב דאו', והיינו כאביי ודלא כרב המנונא, וכן דעת </w:t>
      </w:r>
      <w:r w:rsidRPr="00656F23">
        <w:rPr>
          <w:rStyle w:val="aff4"/>
          <w:rFonts w:hint="cs"/>
          <w:vanish/>
          <w:rtl/>
        </w:rPr>
        <w:t>-</w:t>
      </w:r>
      <w:r w:rsidRPr="002D2941">
        <w:rPr>
          <w:rStyle w:val="aff4"/>
          <w:rFonts w:hint="cs"/>
          <w:rtl/>
        </w:rPr>
        <w:t>הרמ"ך</w:t>
      </w:r>
      <w:r w:rsidRPr="00656F23">
        <w:rPr>
          <w:rStyle w:val="aff4"/>
          <w:rFonts w:hint="cs"/>
          <w:vanish/>
          <w:rtl/>
        </w:rPr>
        <w:t>-</w:t>
      </w:r>
      <w:r>
        <w:rPr>
          <w:rFonts w:hint="cs"/>
          <w:rtl/>
        </w:rPr>
        <w:t xml:space="preserve"> </w:t>
      </w:r>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Ref138881758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פג)</w:t>
      </w:r>
      <w:r>
        <w:rPr>
          <w:rStyle w:val="af2"/>
          <w:rFonts w:eastAsia="Guttman Hodes"/>
          <w:rtl/>
        </w:rPr>
        <w:fldChar w:fldCharType="end"/>
      </w:r>
      <w:r>
        <w:rPr>
          <w:rFonts w:hint="cs"/>
          <w:rtl/>
        </w:rPr>
        <w:t xml:space="preserve"> שהקשה על </w:t>
      </w:r>
      <w:r w:rsidRPr="00656F23">
        <w:rPr>
          <w:rStyle w:val="aff4"/>
          <w:rFonts w:hint="cs"/>
          <w:vanish/>
          <w:rtl/>
        </w:rPr>
        <w:t>-</w:t>
      </w:r>
      <w:r w:rsidRPr="002D2941">
        <w:rPr>
          <w:rStyle w:val="aff4"/>
          <w:rFonts w:hint="cs"/>
          <w:rtl/>
        </w:rPr>
        <w:t>הרמב"ם</w:t>
      </w:r>
      <w:r w:rsidRPr="00656F23">
        <w:rPr>
          <w:rStyle w:val="aff4"/>
          <w:rFonts w:hint="cs"/>
          <w:vanish/>
          <w:rtl/>
        </w:rPr>
        <w:t>-</w:t>
      </w:r>
      <w:r>
        <w:rPr>
          <w:rFonts w:hint="cs"/>
          <w:rtl/>
        </w:rPr>
        <w:t xml:space="preserve"> דמנלן להחמיר בשבת יותר מיו"ט.</w:t>
      </w:r>
      <w:bookmarkEnd w:id="2806"/>
    </w:p>
    <w:p w14:paraId="7088D9EC" w14:textId="77777777" w:rsidR="008925FD" w:rsidRPr="00747170" w:rsidRDefault="008925FD" w:rsidP="00747170">
      <w:pPr>
        <w:pStyle w:val="a2"/>
        <w:rPr>
          <w:rtl/>
        </w:rPr>
      </w:pPr>
      <w:r w:rsidRPr="00747170">
        <w:rPr>
          <w:rtl/>
        </w:rPr>
        <w:t>ונ"ל דהרשב"א הוכיח דין זה דגם בפסולת מאוכל אינו חייב לאלתר אלא בנפה וכברה כקושית המ"מ, דכיון דחזינן דגם בית הלל אוסר בי"ט בנפה וכברה ש"מ משום דהוי בורר דאורייתא, וא"כ קשה דלמה יהיה מותר פסולת מאוכל, אלא על כרחך דאפילו הכי אינו חייב אלא ע"י נפה וכברה והיינו כאוקימתא דאביי, וס"ל לרשב"א דפליג על רב המנונא, וזהו ג"כ דעת הרמ"ך בפ"ח הביאו הכ"מ שהקשה על הרמב"ם מנ"ל להחמיר בשבת יותר מי"ט ע"ש:</w:t>
      </w:r>
    </w:p>
    <w:p w14:paraId="4D1D150A" w14:textId="2CED6E6C" w:rsidR="008925FD" w:rsidRDefault="008925FD" w:rsidP="008925FD">
      <w:pPr>
        <w:pStyle w:val="afffff7"/>
        <w:rPr>
          <w:rtl/>
        </w:rPr>
      </w:pPr>
      <w:bookmarkStart w:id="2807" w:name="_Toc139277208"/>
      <w:bookmarkStart w:id="2808" w:name="_Toc163505911"/>
      <w:r w:rsidRPr="00894ED3">
        <w:rPr>
          <w:rtl/>
        </w:rPr>
        <w:t>אגלי טל בורר</w:t>
      </w:r>
      <w:r w:rsidRPr="00894ED3">
        <w:rPr>
          <w:rFonts w:hint="cs"/>
          <w:rtl/>
        </w:rPr>
        <w:t xml:space="preserve"> סק"א</w:t>
      </w:r>
      <w:r w:rsidRPr="00894ED3">
        <w:rPr>
          <w:rtl/>
        </w:rPr>
        <w:t xml:space="preserve"> אות </w:t>
      </w:r>
      <w:r w:rsidRPr="00894ED3">
        <w:rPr>
          <w:rFonts w:hint="cs"/>
          <w:rtl/>
        </w:rPr>
        <w:t>כ"</w:t>
      </w:r>
      <w:r>
        <w:rPr>
          <w:rFonts w:hint="cs"/>
          <w:rtl/>
        </w:rPr>
        <w:t>ו</w:t>
      </w:r>
      <w:bookmarkEnd w:id="2807"/>
      <w:bookmarkEnd w:id="2808"/>
    </w:p>
    <w:p w14:paraId="6FBD0675" w14:textId="77777777" w:rsidR="008925FD" w:rsidRDefault="008925FD" w:rsidP="008925FD">
      <w:pPr>
        <w:pStyle w:val="a7"/>
        <w:rPr>
          <w:rtl/>
        </w:rPr>
      </w:pPr>
      <w:bookmarkStart w:id="2809" w:name="_Toc139277123"/>
      <w:r>
        <w:rPr>
          <w:rFonts w:hint="cs"/>
          <w:rtl/>
        </w:rPr>
        <w:t>בי' האגל"ט ברשב"א דאין חילוק בין אוכל מתוך פסולת לפסולת מתוך אוכל דמותר ביד לאלתר</w:t>
      </w:r>
      <w:bookmarkEnd w:id="2809"/>
    </w:p>
    <w:p w14:paraId="41ADB0F0" w14:textId="037506CE" w:rsidR="008925FD" w:rsidRDefault="008925FD" w:rsidP="00BC7DC8">
      <w:pPr>
        <w:pStyle w:val="a3"/>
      </w:pPr>
      <w:bookmarkStart w:id="2810" w:name="_Ref139274485"/>
      <w:bookmarkStart w:id="2811" w:name="_Ref138321386"/>
      <w:r>
        <w:rPr>
          <w:rFonts w:hint="cs"/>
          <w:rtl/>
        </w:rPr>
        <w:t xml:space="preserve">כתב </w:t>
      </w:r>
      <w:r w:rsidRPr="003571D2">
        <w:rPr>
          <w:rStyle w:val="aff4"/>
          <w:rFonts w:hint="cs"/>
          <w:vanish/>
          <w:rtl/>
        </w:rPr>
        <w:t>-</w:t>
      </w:r>
      <w:r w:rsidRPr="00FE6CDD">
        <w:rPr>
          <w:rStyle w:val="aff4"/>
          <w:rFonts w:hint="cs"/>
          <w:rtl/>
        </w:rPr>
        <w:t>ה</w:t>
      </w:r>
      <w:r w:rsidRPr="003571D2">
        <w:rPr>
          <w:rStyle w:val="aff4"/>
          <w:rFonts w:hint="cs"/>
          <w:vanish/>
          <w:rtl/>
        </w:rPr>
        <w:t xml:space="preserve">&lt;. </w:t>
      </w:r>
      <w:r w:rsidRPr="003571D2">
        <w:rPr>
          <w:rStyle w:val="aff4"/>
          <w:vanish/>
          <w:rtl/>
        </w:rPr>
        <w:fldChar w:fldCharType="begin"/>
      </w:r>
      <w:r w:rsidRPr="003571D2">
        <w:rPr>
          <w:rStyle w:val="aff4"/>
          <w:vanish/>
          <w:rtl/>
        </w:rPr>
        <w:instrText xml:space="preserve"> </w:instrText>
      </w:r>
      <w:r w:rsidRPr="003571D2">
        <w:rPr>
          <w:rStyle w:val="aff4"/>
          <w:rFonts w:hint="cs"/>
          <w:vanish/>
        </w:rPr>
        <w:instrText>REF</w:instrText>
      </w:r>
      <w:r w:rsidRPr="003571D2">
        <w:rPr>
          <w:rStyle w:val="aff4"/>
          <w:rFonts w:hint="cs"/>
          <w:vanish/>
          <w:rtl/>
        </w:rPr>
        <w:instrText xml:space="preserve"> _</w:instrText>
      </w:r>
      <w:r w:rsidRPr="003571D2">
        <w:rPr>
          <w:rStyle w:val="aff4"/>
          <w:rFonts w:hint="cs"/>
          <w:vanish/>
        </w:rPr>
        <w:instrText>Ref138321386 \r \h</w:instrText>
      </w:r>
      <w:r w:rsidRPr="003571D2">
        <w:rPr>
          <w:rStyle w:val="aff4"/>
          <w:vanish/>
          <w:rtl/>
        </w:rPr>
        <w:instrText xml:space="preserve"> </w:instrText>
      </w:r>
      <w:r w:rsidRPr="003571D2">
        <w:rPr>
          <w:rStyle w:val="aff4"/>
          <w:vanish/>
          <w:rtl/>
        </w:rPr>
      </w:r>
      <w:r w:rsidRPr="003571D2">
        <w:rPr>
          <w:rStyle w:val="aff4"/>
          <w:vanish/>
          <w:rtl/>
        </w:rPr>
        <w:fldChar w:fldCharType="separate"/>
      </w:r>
      <w:r w:rsidR="00D82181">
        <w:rPr>
          <w:rStyle w:val="aff4"/>
          <w:vanish/>
          <w:cs/>
        </w:rPr>
        <w:t>‎</w:t>
      </w:r>
      <w:r w:rsidR="00D82181">
        <w:rPr>
          <w:rStyle w:val="aff4"/>
          <w:vanish/>
          <w:rtl/>
        </w:rPr>
        <w:t>ע)</w:t>
      </w:r>
      <w:r w:rsidRPr="003571D2">
        <w:rPr>
          <w:rStyle w:val="aff4"/>
          <w:vanish/>
          <w:rtl/>
        </w:rPr>
        <w:fldChar w:fldCharType="end"/>
      </w:r>
      <w:r w:rsidRPr="003571D2">
        <w:rPr>
          <w:rStyle w:val="aff4"/>
          <w:rFonts w:hint="cs"/>
          <w:vanish/>
          <w:rtl/>
        </w:rPr>
        <w:t xml:space="preserve"> &gt;</w:t>
      </w:r>
      <w:r w:rsidRPr="00FE6CDD">
        <w:rPr>
          <w:rStyle w:val="aff4"/>
          <w:rFonts w:hint="cs"/>
          <w:rtl/>
        </w:rPr>
        <w:t>אגלי טל</w:t>
      </w:r>
      <w:r w:rsidRPr="003571D2">
        <w:rPr>
          <w:rStyle w:val="aff4"/>
          <w:rFonts w:hint="cs"/>
          <w:vanish/>
          <w:rtl/>
        </w:rPr>
        <w:t>-</w:t>
      </w:r>
      <w:r>
        <w:rPr>
          <w:rFonts w:hint="cs"/>
          <w:rtl/>
        </w:rPr>
        <w:t xml:space="preserve"> </w:t>
      </w:r>
      <w:r w:rsidRPr="000D251D">
        <w:rPr>
          <w:rStyle w:val="af2"/>
          <w:rFonts w:eastAsia="Guttman Hodes" w:hint="cs"/>
          <w:rtl/>
        </w:rPr>
        <w:t>(בורר סק"א אות כ"ו)</w:t>
      </w:r>
      <w:r w:rsidRPr="003571D2">
        <w:rPr>
          <w:rFonts w:hint="cs"/>
          <w:vanish/>
          <w:rtl/>
        </w:rPr>
        <w:t>=</w:t>
      </w:r>
      <w:r>
        <w:rPr>
          <w:rFonts w:hint="cs"/>
          <w:rtl/>
        </w:rPr>
        <w:t xml:space="preserve"> דמבואר מדברי </w:t>
      </w:r>
      <w:r w:rsidRPr="003571D2">
        <w:rPr>
          <w:rStyle w:val="aff4"/>
          <w:rFonts w:hint="cs"/>
          <w:vanish/>
          <w:rtl/>
        </w:rPr>
        <w:t>-</w:t>
      </w:r>
      <w:r w:rsidRPr="00FE6CDD">
        <w:rPr>
          <w:rStyle w:val="aff4"/>
          <w:rFonts w:hint="cs"/>
          <w:rtl/>
        </w:rPr>
        <w:t>דהרשב"א בעבודת הקודש</w:t>
      </w:r>
      <w:r w:rsidRPr="003571D2">
        <w:rPr>
          <w:rStyle w:val="aff4"/>
          <w:rFonts w:hint="cs"/>
          <w:vanish/>
          <w:rtl/>
        </w:rPr>
        <w:t>-</w:t>
      </w:r>
      <w:r>
        <w:rPr>
          <w:rFonts w:hint="cs"/>
          <w:rtl/>
        </w:rPr>
        <w:t xml:space="preserve"> </w:t>
      </w:r>
      <w:r w:rsidRPr="000D251D">
        <w:rPr>
          <w:rStyle w:val="af2"/>
          <w:rFonts w:eastAsia="Guttman Hodes" w:hint="cs"/>
          <w:rtl/>
        </w:rPr>
        <w:t xml:space="preserve">(עי' אות </w:t>
      </w:r>
      <w:r w:rsidRPr="000D251D">
        <w:rPr>
          <w:rStyle w:val="af2"/>
          <w:rFonts w:eastAsia="Guttman Hodes"/>
          <w:rtl/>
        </w:rPr>
        <w:fldChar w:fldCharType="begin"/>
      </w:r>
      <w:r w:rsidRPr="000D251D">
        <w:rPr>
          <w:rStyle w:val="af2"/>
          <w:rFonts w:eastAsia="Guttman Hodes"/>
          <w:rtl/>
        </w:rPr>
        <w:instrText xml:space="preserve"> </w:instrText>
      </w:r>
      <w:r w:rsidRPr="000D251D">
        <w:rPr>
          <w:rStyle w:val="af2"/>
          <w:rFonts w:eastAsia="Guttman Hodes" w:hint="cs"/>
        </w:rPr>
        <w:instrText>REF</w:instrText>
      </w:r>
      <w:r w:rsidRPr="000D251D">
        <w:rPr>
          <w:rStyle w:val="af2"/>
          <w:rFonts w:eastAsia="Guttman Hodes" w:hint="cs"/>
          <w:rtl/>
        </w:rPr>
        <w:instrText xml:space="preserve"> _</w:instrText>
      </w:r>
      <w:r w:rsidRPr="000D251D">
        <w:rPr>
          <w:rStyle w:val="af2"/>
          <w:rFonts w:eastAsia="Guttman Hodes" w:hint="cs"/>
        </w:rPr>
        <w:instrText>Ref138279889 \r \h</w:instrText>
      </w:r>
      <w:r w:rsidRPr="000D251D">
        <w:rPr>
          <w:rStyle w:val="af2"/>
          <w:rFonts w:eastAsia="Guttman Hodes"/>
          <w:rtl/>
        </w:rPr>
        <w:instrText xml:space="preserve"> </w:instrText>
      </w:r>
      <w:r w:rsidRPr="000D251D">
        <w:rPr>
          <w:rStyle w:val="af2"/>
          <w:rFonts w:eastAsia="Guttman Hodes"/>
          <w:rtl/>
        </w:rPr>
      </w:r>
      <w:r w:rsidRPr="000D251D">
        <w:rPr>
          <w:rStyle w:val="af2"/>
          <w:rFonts w:eastAsia="Guttman Hodes"/>
          <w:rtl/>
        </w:rPr>
        <w:fldChar w:fldCharType="separate"/>
      </w:r>
      <w:r w:rsidR="00D82181">
        <w:rPr>
          <w:rStyle w:val="af2"/>
          <w:rFonts w:eastAsia="Guttman Hodes"/>
          <w:cs/>
        </w:rPr>
        <w:t>‎</w:t>
      </w:r>
      <w:r w:rsidR="00D82181">
        <w:rPr>
          <w:rStyle w:val="af2"/>
          <w:rFonts w:eastAsia="Guttman Hodes"/>
          <w:rtl/>
        </w:rPr>
        <w:t>סג)</w:t>
      </w:r>
      <w:r w:rsidRPr="000D251D">
        <w:rPr>
          <w:rStyle w:val="af2"/>
          <w:rFonts w:eastAsia="Guttman Hodes"/>
          <w:rtl/>
        </w:rPr>
        <w:fldChar w:fldCharType="end"/>
      </w:r>
      <w:r>
        <w:rPr>
          <w:rFonts w:hint="cs"/>
          <w:rtl/>
        </w:rPr>
        <w:t xml:space="preserve"> דלענין בורר בשבת ס"ל דאין חילוק בין אוכל מתוך פסולת לפסולת מתוך אוכל, אלא דביד לאלתר לעולם מותר, ובקנון ותמחוי פטור אבל אסור, ובנפה וכברה חייב חטאת, ובבורר לאחר זמן אף ביד חייב חטאת, כמבואר מהא דאסר </w:t>
      </w:r>
      <w:r w:rsidRPr="003571D2">
        <w:rPr>
          <w:rStyle w:val="aff4"/>
          <w:rFonts w:hint="cs"/>
          <w:vanish/>
          <w:rtl/>
        </w:rPr>
        <w:t>-</w:t>
      </w:r>
      <w:r w:rsidRPr="00FE6CDD">
        <w:rPr>
          <w:rStyle w:val="aff4"/>
          <w:rFonts w:hint="cs"/>
          <w:rtl/>
        </w:rPr>
        <w:t>הרשב"א</w:t>
      </w:r>
      <w:r w:rsidRPr="003571D2">
        <w:rPr>
          <w:rStyle w:val="aff4"/>
          <w:rFonts w:hint="cs"/>
          <w:vanish/>
          <w:rtl/>
        </w:rPr>
        <w:t>-</w:t>
      </w:r>
      <w:r>
        <w:rPr>
          <w:rFonts w:hint="cs"/>
          <w:rtl/>
        </w:rPr>
        <w:t xml:space="preserve"> בורר לאחר זמן ביו"ט,</w:t>
      </w:r>
      <w:r w:rsidRPr="0011458C">
        <w:rPr>
          <w:rFonts w:hint="cs"/>
          <w:rtl/>
        </w:rPr>
        <w:t xml:space="preserve"> </w:t>
      </w:r>
      <w:r>
        <w:rPr>
          <w:rFonts w:hint="cs"/>
          <w:rtl/>
        </w:rPr>
        <w:t xml:space="preserve">וביאר </w:t>
      </w:r>
      <w:r w:rsidRPr="003571D2">
        <w:rPr>
          <w:rStyle w:val="aff4"/>
          <w:rFonts w:hint="cs"/>
          <w:vanish/>
          <w:rtl/>
        </w:rPr>
        <w:t>-</w:t>
      </w:r>
      <w:r w:rsidRPr="00FE6CDD">
        <w:rPr>
          <w:rStyle w:val="aff4"/>
          <w:rFonts w:hint="cs"/>
          <w:rtl/>
        </w:rPr>
        <w:t>האגלי טל</w:t>
      </w:r>
      <w:r w:rsidRPr="003571D2">
        <w:rPr>
          <w:rStyle w:val="aff4"/>
          <w:rFonts w:hint="cs"/>
          <w:vanish/>
          <w:rtl/>
        </w:rPr>
        <w:t>-</w:t>
      </w:r>
      <w:r>
        <w:rPr>
          <w:rFonts w:hint="cs"/>
          <w:rtl/>
        </w:rPr>
        <w:t xml:space="preserve"> דהא דהתיר </w:t>
      </w:r>
      <w:r w:rsidRPr="003571D2">
        <w:rPr>
          <w:rStyle w:val="aff4"/>
          <w:rFonts w:hint="cs"/>
          <w:vanish/>
          <w:rtl/>
        </w:rPr>
        <w:t>-</w:t>
      </w:r>
      <w:r w:rsidRPr="00FE6CDD">
        <w:rPr>
          <w:rStyle w:val="aff4"/>
          <w:rFonts w:hint="cs"/>
          <w:rtl/>
        </w:rPr>
        <w:t>הרשב"א</w:t>
      </w:r>
      <w:r w:rsidRPr="003571D2">
        <w:rPr>
          <w:rStyle w:val="aff4"/>
          <w:rFonts w:hint="cs"/>
          <w:vanish/>
          <w:rtl/>
        </w:rPr>
        <w:t>-</w:t>
      </w:r>
      <w:r>
        <w:rPr>
          <w:rFonts w:hint="cs"/>
          <w:rtl/>
        </w:rPr>
        <w:t xml:space="preserve"> פסולת מתוך אוכל לאלתר, היינו כדעת </w:t>
      </w:r>
      <w:r w:rsidRPr="003571D2">
        <w:rPr>
          <w:rStyle w:val="aff4"/>
          <w:rFonts w:hint="cs"/>
          <w:vanish/>
          <w:rtl/>
        </w:rPr>
        <w:t>-</w:t>
      </w:r>
      <w:r w:rsidRPr="00FE6CDD">
        <w:rPr>
          <w:rStyle w:val="aff4"/>
          <w:rFonts w:hint="cs"/>
          <w:rtl/>
        </w:rPr>
        <w:t>התוס'</w:t>
      </w:r>
      <w:r w:rsidRPr="003571D2">
        <w:rPr>
          <w:rStyle w:val="aff4"/>
          <w:rFonts w:hint="cs"/>
          <w:vanish/>
          <w:rtl/>
        </w:rPr>
        <w:t>-</w:t>
      </w:r>
      <w:r>
        <w:rPr>
          <w:rFonts w:hint="cs"/>
          <w:rtl/>
        </w:rPr>
        <w:t xml:space="preserve"> </w:t>
      </w:r>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Ref138969513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עו)</w:t>
      </w:r>
      <w:r>
        <w:rPr>
          <w:rStyle w:val="af2"/>
          <w:rFonts w:eastAsia="Guttman Hodes"/>
          <w:rtl/>
        </w:rPr>
        <w:fldChar w:fldCharType="end"/>
      </w:r>
      <w:r>
        <w:rPr>
          <w:rFonts w:hint="cs"/>
          <w:rtl/>
        </w:rPr>
        <w:t xml:space="preserve"> </w:t>
      </w:r>
      <w:r w:rsidRPr="003571D2">
        <w:rPr>
          <w:rStyle w:val="aff4"/>
          <w:rFonts w:hint="cs"/>
          <w:vanish/>
          <w:rtl/>
        </w:rPr>
        <w:t>-</w:t>
      </w:r>
      <w:r w:rsidRPr="00FE6CDD">
        <w:rPr>
          <w:rStyle w:val="aff4"/>
          <w:rFonts w:hint="cs"/>
          <w:rtl/>
        </w:rPr>
        <w:t>והתוס' רי"ד</w:t>
      </w:r>
      <w:r w:rsidRPr="003571D2">
        <w:rPr>
          <w:rStyle w:val="aff4"/>
          <w:rFonts w:hint="cs"/>
          <w:vanish/>
          <w:rtl/>
        </w:rPr>
        <w:t>-</w:t>
      </w:r>
      <w:r>
        <w:rPr>
          <w:rFonts w:hint="cs"/>
          <w:rtl/>
        </w:rPr>
        <w:t xml:space="preserve"> </w:t>
      </w:r>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Ref138969530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מ)</w:t>
      </w:r>
      <w:r>
        <w:rPr>
          <w:rStyle w:val="af2"/>
          <w:rFonts w:eastAsia="Guttman Hodes"/>
          <w:rtl/>
        </w:rPr>
        <w:fldChar w:fldCharType="end"/>
      </w:r>
      <w:r>
        <w:rPr>
          <w:rFonts w:hint="cs"/>
          <w:rtl/>
        </w:rPr>
        <w:t xml:space="preserve"> </w:t>
      </w:r>
      <w:r w:rsidRPr="003571D2">
        <w:rPr>
          <w:rStyle w:val="aff4"/>
          <w:rFonts w:hint="cs"/>
          <w:vanish/>
          <w:rtl/>
        </w:rPr>
        <w:t>-</w:t>
      </w:r>
      <w:r w:rsidRPr="00FE6CDD">
        <w:rPr>
          <w:rStyle w:val="aff4"/>
          <w:rFonts w:hint="cs"/>
          <w:rtl/>
        </w:rPr>
        <w:t>והרמ"ך</w:t>
      </w:r>
      <w:r w:rsidRPr="003571D2">
        <w:rPr>
          <w:rStyle w:val="aff4"/>
          <w:rFonts w:hint="cs"/>
          <w:vanish/>
          <w:rtl/>
        </w:rPr>
        <w:t>-</w:t>
      </w:r>
      <w:r>
        <w:rPr>
          <w:rFonts w:hint="cs"/>
          <w:rtl/>
        </w:rPr>
        <w:t xml:space="preserve"> </w:t>
      </w:r>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Ref138881758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פג)</w:t>
      </w:r>
      <w:r>
        <w:rPr>
          <w:rStyle w:val="af2"/>
          <w:rFonts w:eastAsia="Guttman Hodes"/>
          <w:rtl/>
        </w:rPr>
        <w:fldChar w:fldCharType="end"/>
      </w:r>
      <w:r>
        <w:rPr>
          <w:rFonts w:hint="cs"/>
          <w:rtl/>
        </w:rPr>
        <w:t xml:space="preserve"> דפסולת מתוך אוכל לאלתר מותר.</w:t>
      </w:r>
      <w:bookmarkEnd w:id="2810"/>
    </w:p>
    <w:p w14:paraId="3F69B989" w14:textId="77777777" w:rsidR="008925FD" w:rsidRPr="00747170" w:rsidRDefault="008925FD" w:rsidP="00747170">
      <w:pPr>
        <w:pStyle w:val="a2"/>
        <w:rPr>
          <w:rtl/>
        </w:rPr>
      </w:pPr>
      <w:r w:rsidRPr="00747170">
        <w:rPr>
          <w:rtl/>
        </w:rPr>
        <w:t>(כו) שיטת הרשב"א. הנה מדברי הרשב"א בעבודת הקודש [ב"מ ש"א פ"ה] נראה דכל ביד בין אוכל מתוך פסולת בין פסולת מתוך אוכל לאכול לאלתר מותר. בקנון ותמחוי פטור אבל אסור בנפה וכברה חייב חטאת. שהוא כתב גבי ברירת קטניות ביום טוב דבורר כדרכו בחיקו בקנון ותמחוי אבל לא בנפה וכברה וכתב עלה הרשב"א דה"מ לאכול לאלתר אבל לבו ביום [בין אוכל מתוך פסולת בין פסולת מתוך אוכל] הרי זה כבורר לאוצר ובשבת חייב חטאת ולפיכך ביום טוב אסור. ובהא דבורר בקנון ותמחוי ולא בנפה וכברה כתב משום דבנפה וכברה ברירה גמורה היא ולא התירו אלא בקנון ותמחוי שאפי' בשבת אינו אלא שבות.</w:t>
      </w:r>
      <w:r w:rsidRPr="00747170">
        <w:rPr>
          <w:rFonts w:hint="cs"/>
          <w:rtl/>
        </w:rPr>
        <w:t xml:space="preserve"> </w:t>
      </w:r>
      <w:bookmarkEnd w:id="2811"/>
      <w:r w:rsidRPr="00747170">
        <w:rPr>
          <w:rtl/>
        </w:rPr>
        <w:t>והרב המגיד פ"ג [הט"ז] מה' יום טוב הביא דבריו וכתב כבודו במקומו מונח שהרי פסולת מתוך אוכל אפי' לאלתר בשבת חייב וביו"ט מותר. ומה שאסרו בנפה וכברה משום שבנפה וכברה דרך לעשות לימים הרבה. והנה מה שהגדיל התימא על הרשב"א מפסולת מתוך אוכל הדבר ברור שהרשב"א בפסולת מתוך אוכל ס"ל כתוס' ותוס' רי"ד ורמ"כ שהביא הכ"מ [פ"ח הי"ב] דפסולת מתוך אוכל לאלתר מותר ואין שיטת הר"ח [ורש"י] בזה מוסכמת כל כך שיקשה מכחה על הרשב"א.</w:t>
      </w:r>
    </w:p>
    <w:p w14:paraId="55FF8825" w14:textId="6BE099F4" w:rsidR="008925FD" w:rsidRDefault="008925FD" w:rsidP="008925FD">
      <w:pPr>
        <w:pStyle w:val="a7"/>
        <w:rPr>
          <w:rtl/>
        </w:rPr>
      </w:pPr>
      <w:bookmarkStart w:id="2812" w:name="_Toc139277124"/>
      <w:r>
        <w:rPr>
          <w:rFonts w:hint="cs"/>
          <w:rtl/>
        </w:rPr>
        <w:t>בי' האגל"ט בקו' המ"מ מוכח דברב המנונא דחייב בפסולת מתוך אוכל ביד ולאתר דלא כרשב"א</w:t>
      </w:r>
      <w:bookmarkEnd w:id="2812"/>
    </w:p>
    <w:p w14:paraId="4716E94E" w14:textId="4522A56F" w:rsidR="008925FD" w:rsidRDefault="008925FD" w:rsidP="00BC7DC8">
      <w:pPr>
        <w:pStyle w:val="a3"/>
      </w:pPr>
      <w:r>
        <w:rPr>
          <w:rFonts w:hint="cs"/>
          <w:rtl/>
        </w:rPr>
        <w:t xml:space="preserve">ובקושית </w:t>
      </w:r>
      <w:r w:rsidRPr="003571D2">
        <w:rPr>
          <w:rStyle w:val="aff4"/>
          <w:rFonts w:hint="cs"/>
          <w:vanish/>
          <w:rtl/>
        </w:rPr>
        <w:t>-</w:t>
      </w:r>
      <w:r w:rsidRPr="00FE6CDD">
        <w:rPr>
          <w:rStyle w:val="aff4"/>
          <w:rFonts w:hint="cs"/>
          <w:rtl/>
        </w:rPr>
        <w:t>המ"מ</w:t>
      </w:r>
      <w:r w:rsidRPr="003571D2">
        <w:rPr>
          <w:rStyle w:val="aff4"/>
          <w:rFonts w:hint="cs"/>
          <w:vanish/>
          <w:rtl/>
        </w:rPr>
        <w:t>-</w:t>
      </w:r>
      <w:r>
        <w:rPr>
          <w:rFonts w:hint="cs"/>
          <w:rtl/>
        </w:rPr>
        <w:t xml:space="preserve"> </w:t>
      </w:r>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Ref139213118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סז)</w:t>
      </w:r>
      <w:r>
        <w:rPr>
          <w:rStyle w:val="af2"/>
          <w:rFonts w:eastAsia="Guttman Hodes"/>
          <w:rtl/>
        </w:rPr>
        <w:fldChar w:fldCharType="end"/>
      </w:r>
      <w:r>
        <w:rPr>
          <w:rFonts w:hint="cs"/>
          <w:rtl/>
        </w:rPr>
        <w:t xml:space="preserve"> ביאר </w:t>
      </w:r>
      <w:r w:rsidRPr="003571D2">
        <w:rPr>
          <w:rStyle w:val="aff4"/>
          <w:rFonts w:hint="cs"/>
          <w:vanish/>
          <w:rtl/>
        </w:rPr>
        <w:t>-</w:t>
      </w:r>
      <w:r w:rsidRPr="00FE6CDD">
        <w:rPr>
          <w:rStyle w:val="aff4"/>
          <w:rFonts w:hint="cs"/>
          <w:rtl/>
        </w:rPr>
        <w:t>האגלי טל</w:t>
      </w:r>
      <w:r w:rsidRPr="003571D2">
        <w:rPr>
          <w:rStyle w:val="aff4"/>
          <w:rFonts w:hint="cs"/>
          <w:vanish/>
          <w:rtl/>
        </w:rPr>
        <w:t>-</w:t>
      </w:r>
      <w:r>
        <w:rPr>
          <w:rFonts w:hint="cs"/>
          <w:rtl/>
        </w:rPr>
        <w:t xml:space="preserve"> דכוונתו להקשות דמדחילק רב המנונא בין אוכל מתוך פסולת לפסולת מתוך אוכל, מוכח דלא </w:t>
      </w:r>
      <w:r w:rsidRPr="003571D2">
        <w:rPr>
          <w:rStyle w:val="aff4"/>
          <w:rFonts w:hint="cs"/>
          <w:vanish/>
          <w:rtl/>
        </w:rPr>
        <w:t>-</w:t>
      </w:r>
      <w:r w:rsidRPr="00FE6CDD">
        <w:rPr>
          <w:rStyle w:val="aff4"/>
          <w:rFonts w:hint="cs"/>
          <w:rtl/>
        </w:rPr>
        <w:t>כהרשב"א</w:t>
      </w:r>
      <w:r w:rsidRPr="003571D2">
        <w:rPr>
          <w:rStyle w:val="aff4"/>
          <w:rFonts w:hint="cs"/>
          <w:vanish/>
          <w:rtl/>
        </w:rPr>
        <w:t>-</w:t>
      </w:r>
      <w:r>
        <w:rPr>
          <w:rFonts w:hint="cs"/>
          <w:rtl/>
        </w:rPr>
        <w:t xml:space="preserve">, דהא כיון </w:t>
      </w:r>
      <w:r w:rsidRPr="003571D2">
        <w:rPr>
          <w:rStyle w:val="aff4"/>
          <w:rFonts w:hint="cs"/>
          <w:vanish/>
          <w:rtl/>
        </w:rPr>
        <w:t>-</w:t>
      </w:r>
      <w:r w:rsidRPr="00FE6CDD">
        <w:rPr>
          <w:rStyle w:val="aff4"/>
          <w:rFonts w:hint="cs"/>
          <w:rtl/>
        </w:rPr>
        <w:t>דהרשב"א</w:t>
      </w:r>
      <w:r w:rsidRPr="003571D2">
        <w:rPr>
          <w:rStyle w:val="aff4"/>
          <w:rFonts w:hint="cs"/>
          <w:vanish/>
          <w:rtl/>
        </w:rPr>
        <w:t>-</w:t>
      </w:r>
      <w:r>
        <w:rPr>
          <w:rFonts w:hint="cs"/>
          <w:rtl/>
        </w:rPr>
        <w:t xml:space="preserve"> אוסר ביו"ט אוכל מתוך </w:t>
      </w:r>
      <w:r>
        <w:rPr>
          <w:rFonts w:hint="cs"/>
          <w:rtl/>
        </w:rPr>
        <w:lastRenderedPageBreak/>
        <w:t xml:space="preserve">פסולת  לאחר זמן, א"כ בשבת מוכח דס"ל דאין חילוק בין אוכל מתוך פסולת לפסולת מתוך אוכל ובשניהם חייב חטאת, ובלאלתר בנפה וכברה ג"כ חייב, דהא </w:t>
      </w:r>
      <w:r w:rsidRPr="003571D2">
        <w:rPr>
          <w:rStyle w:val="aff4"/>
          <w:rFonts w:hint="cs"/>
          <w:vanish/>
          <w:rtl/>
        </w:rPr>
        <w:t>-</w:t>
      </w:r>
      <w:r w:rsidRPr="00FE6CDD">
        <w:rPr>
          <w:rStyle w:val="aff4"/>
          <w:rFonts w:hint="cs"/>
          <w:rtl/>
        </w:rPr>
        <w:t>הרשב"א</w:t>
      </w:r>
      <w:r w:rsidRPr="003571D2">
        <w:rPr>
          <w:rStyle w:val="aff4"/>
          <w:rFonts w:hint="cs"/>
          <w:vanish/>
          <w:rtl/>
        </w:rPr>
        <w:t>-</w:t>
      </w:r>
      <w:r>
        <w:rPr>
          <w:rFonts w:hint="cs"/>
          <w:rtl/>
        </w:rPr>
        <w:t xml:space="preserve"> ביאר דהמשנה בביצה לענין ברירת קיטנית, היא בנפה וכברה דאסור ביו"ט וא"כ חייב בשבת, ולדעת </w:t>
      </w:r>
      <w:r w:rsidRPr="003571D2">
        <w:rPr>
          <w:rStyle w:val="aff4"/>
          <w:rFonts w:hint="cs"/>
          <w:vanish/>
          <w:rtl/>
        </w:rPr>
        <w:t>-</w:t>
      </w:r>
      <w:r w:rsidRPr="00FE6CDD">
        <w:rPr>
          <w:rStyle w:val="aff4"/>
          <w:rFonts w:hint="cs"/>
          <w:rtl/>
        </w:rPr>
        <w:t>רוב הפוסקים</w:t>
      </w:r>
      <w:r w:rsidRPr="003571D2">
        <w:rPr>
          <w:rStyle w:val="aff4"/>
          <w:rFonts w:hint="cs"/>
          <w:vanish/>
          <w:rtl/>
        </w:rPr>
        <w:t>-</w:t>
      </w:r>
      <w:r>
        <w:rPr>
          <w:rFonts w:hint="cs"/>
          <w:rtl/>
        </w:rPr>
        <w:t xml:space="preserve"> ברירת קיטנית היא אוכל מתוך פסולת, </w:t>
      </w:r>
      <w:r w:rsidRPr="000D251D">
        <w:rPr>
          <w:rStyle w:val="af"/>
          <w:rFonts w:hint="cs"/>
          <w:rtl/>
        </w:rPr>
        <w:t>[</w:t>
      </w:r>
      <w:r>
        <w:rPr>
          <w:rStyle w:val="af"/>
          <w:rFonts w:hint="cs"/>
          <w:rtl/>
        </w:rPr>
        <w:t xml:space="preserve">כדביאר </w:t>
      </w:r>
      <w:r w:rsidRPr="00991707">
        <w:rPr>
          <w:rStyle w:val="aff9"/>
          <w:rFonts w:hint="cs"/>
          <w:vanish/>
          <w:rtl/>
        </w:rPr>
        <w:t>-</w:t>
      </w:r>
      <w:r w:rsidRPr="00991707">
        <w:rPr>
          <w:rStyle w:val="aff9"/>
          <w:rFonts w:hint="cs"/>
          <w:rtl/>
        </w:rPr>
        <w:t>האגלי טל</w:t>
      </w:r>
      <w:r w:rsidRPr="00991707">
        <w:rPr>
          <w:rStyle w:val="aff9"/>
          <w:rFonts w:hint="cs"/>
          <w:vanish/>
          <w:rtl/>
        </w:rPr>
        <w:t>-</w:t>
      </w:r>
      <w:r>
        <w:rPr>
          <w:rStyle w:val="af"/>
          <w:rFonts w:hint="cs"/>
          <w:rtl/>
        </w:rPr>
        <w:t xml:space="preserve"> </w:t>
      </w:r>
      <w:r w:rsidRPr="00991707">
        <w:rPr>
          <w:rStyle w:val="aff0"/>
          <w:rFonts w:hint="cs"/>
          <w:rtl/>
        </w:rPr>
        <w:t>(בורר סק"ה אות ב')</w:t>
      </w:r>
      <w:r>
        <w:rPr>
          <w:rStyle w:val="af"/>
          <w:rFonts w:hint="cs"/>
          <w:rtl/>
        </w:rPr>
        <w:t xml:space="preserve">, </w:t>
      </w:r>
      <w:r w:rsidRPr="000D251D">
        <w:rPr>
          <w:rStyle w:val="af"/>
          <w:rFonts w:hint="cs"/>
          <w:rtl/>
        </w:rPr>
        <w:t>ודלא</w:t>
      </w:r>
      <w:r w:rsidRPr="004F45EB">
        <w:rPr>
          <w:rStyle w:val="af"/>
          <w:rFonts w:hint="cs"/>
          <w:rtl/>
        </w:rPr>
        <w:t xml:space="preserve"> </w:t>
      </w:r>
      <w:r>
        <w:rPr>
          <w:rStyle w:val="af"/>
          <w:rFonts w:hint="cs"/>
          <w:rtl/>
        </w:rPr>
        <w:t xml:space="preserve">כדביאר </w:t>
      </w:r>
      <w:r w:rsidRPr="00991707">
        <w:rPr>
          <w:rStyle w:val="aff9"/>
          <w:rFonts w:hint="cs"/>
          <w:vanish/>
          <w:rtl/>
        </w:rPr>
        <w:t>-</w:t>
      </w:r>
      <w:r w:rsidRPr="00991707">
        <w:rPr>
          <w:rStyle w:val="aff9"/>
          <w:rFonts w:hint="cs"/>
          <w:rtl/>
        </w:rPr>
        <w:t>האגלי טל</w:t>
      </w:r>
      <w:r w:rsidRPr="00991707">
        <w:rPr>
          <w:rStyle w:val="aff9"/>
          <w:rFonts w:hint="cs"/>
          <w:vanish/>
          <w:rtl/>
        </w:rPr>
        <w:t>-</w:t>
      </w:r>
      <w:r>
        <w:rPr>
          <w:rStyle w:val="af"/>
          <w:rFonts w:hint="cs"/>
          <w:rtl/>
        </w:rPr>
        <w:t xml:space="preserve"> </w:t>
      </w:r>
      <w:r w:rsidRPr="00991707">
        <w:rPr>
          <w:rStyle w:val="aff0"/>
          <w:rFonts w:hint="cs"/>
          <w:rtl/>
        </w:rPr>
        <w:t xml:space="preserve">(בורר סק"ה אות </w:t>
      </w:r>
      <w:r>
        <w:rPr>
          <w:rStyle w:val="aff0"/>
          <w:rFonts w:hint="cs"/>
          <w:rtl/>
        </w:rPr>
        <w:t>ז</w:t>
      </w:r>
      <w:r w:rsidRPr="00991707">
        <w:rPr>
          <w:rStyle w:val="aff0"/>
          <w:rFonts w:hint="cs"/>
          <w:rtl/>
        </w:rPr>
        <w:t>')</w:t>
      </w:r>
      <w:r w:rsidRPr="000D251D">
        <w:rPr>
          <w:rStyle w:val="af"/>
          <w:rFonts w:hint="cs"/>
          <w:rtl/>
        </w:rPr>
        <w:t xml:space="preserve"> </w:t>
      </w:r>
      <w:r w:rsidRPr="004F45EB">
        <w:rPr>
          <w:rStyle w:val="af"/>
          <w:rFonts w:hint="cs"/>
          <w:rtl/>
        </w:rPr>
        <w:t>בדעת</w:t>
      </w:r>
      <w:r>
        <w:rPr>
          <w:rStyle w:val="aff9"/>
          <w:rFonts w:hint="cs"/>
          <w:rtl/>
        </w:rPr>
        <w:t xml:space="preserve"> </w:t>
      </w:r>
      <w:r w:rsidRPr="009B1F18">
        <w:rPr>
          <w:rStyle w:val="aff9"/>
          <w:rFonts w:hint="cs"/>
          <w:vanish/>
          <w:rtl/>
        </w:rPr>
        <w:t>-</w:t>
      </w:r>
      <w:r>
        <w:rPr>
          <w:rStyle w:val="aff9"/>
          <w:rFonts w:hint="cs"/>
          <w:rtl/>
        </w:rPr>
        <w:t>ה</w:t>
      </w:r>
      <w:r w:rsidRPr="009B1F18">
        <w:rPr>
          <w:rStyle w:val="aff9"/>
          <w:rFonts w:hint="cs"/>
          <w:rtl/>
        </w:rPr>
        <w:t>תוס' רי"ד</w:t>
      </w:r>
      <w:r w:rsidRPr="009B1F18">
        <w:rPr>
          <w:rStyle w:val="aff9"/>
          <w:rFonts w:hint="cs"/>
          <w:vanish/>
          <w:rtl/>
        </w:rPr>
        <w:t>-</w:t>
      </w:r>
      <w:r w:rsidRPr="000D251D">
        <w:rPr>
          <w:rStyle w:val="af"/>
          <w:rFonts w:hint="cs"/>
          <w:rtl/>
        </w:rPr>
        <w:t xml:space="preserve"> דס"ל דהברירה היא במה שיורד למטה</w:t>
      </w:r>
      <w:r w:rsidRPr="00394BDA">
        <w:rPr>
          <w:rStyle w:val="af"/>
          <w:rFonts w:hint="cs"/>
          <w:rtl/>
        </w:rPr>
        <w:t>],</w:t>
      </w:r>
      <w:r>
        <w:rPr>
          <w:rFonts w:hint="cs"/>
          <w:rtl/>
        </w:rPr>
        <w:t xml:space="preserve"> וא"כ מוכח דרב המנונא איירי ביד ולאלתר, ואפ"ה הוא מחייב בפסולת מתוך אוכל. </w:t>
      </w:r>
      <w:r w:rsidRPr="000D251D">
        <w:rPr>
          <w:rStyle w:val="af"/>
          <w:rFonts w:hint="cs"/>
          <w:rtl/>
        </w:rPr>
        <w:t xml:space="preserve">[וכתב </w:t>
      </w:r>
      <w:r w:rsidRPr="009B1F18">
        <w:rPr>
          <w:rStyle w:val="aff9"/>
          <w:rFonts w:hint="cs"/>
          <w:vanish/>
          <w:rtl/>
        </w:rPr>
        <w:t>-</w:t>
      </w:r>
      <w:r w:rsidRPr="009B1F18">
        <w:rPr>
          <w:rStyle w:val="aff9"/>
          <w:rFonts w:hint="cs"/>
          <w:rtl/>
        </w:rPr>
        <w:t>האגלי טל</w:t>
      </w:r>
      <w:r w:rsidRPr="009B1F18">
        <w:rPr>
          <w:rStyle w:val="aff9"/>
          <w:rFonts w:hint="cs"/>
          <w:vanish/>
          <w:rtl/>
        </w:rPr>
        <w:t>-</w:t>
      </w:r>
      <w:r w:rsidRPr="000D251D">
        <w:rPr>
          <w:rStyle w:val="af"/>
          <w:rFonts w:hint="cs"/>
          <w:rtl/>
        </w:rPr>
        <w:t xml:space="preserve"> דלדעת </w:t>
      </w:r>
      <w:r w:rsidRPr="009B1F18">
        <w:rPr>
          <w:rStyle w:val="aff9"/>
          <w:rFonts w:hint="cs"/>
          <w:vanish/>
          <w:rtl/>
        </w:rPr>
        <w:t>-</w:t>
      </w:r>
      <w:r w:rsidRPr="009B1F18">
        <w:rPr>
          <w:rStyle w:val="aff9"/>
          <w:rFonts w:hint="cs"/>
          <w:rtl/>
        </w:rPr>
        <w:t>התוס'</w:t>
      </w:r>
      <w:r w:rsidRPr="009B1F18">
        <w:rPr>
          <w:rStyle w:val="aff9"/>
          <w:rFonts w:hint="cs"/>
          <w:vanish/>
          <w:rtl/>
        </w:rPr>
        <w:t>-</w:t>
      </w:r>
      <w:r w:rsidRPr="000D251D">
        <w:rPr>
          <w:rStyle w:val="af"/>
          <w:rFonts w:hint="cs"/>
          <w:rtl/>
        </w:rPr>
        <w:t xml:space="preserve"> </w:t>
      </w:r>
      <w:r w:rsidRPr="009B1F18">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Ref138969513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עו)</w:t>
      </w:r>
      <w:r>
        <w:rPr>
          <w:rStyle w:val="aff0"/>
          <w:rtl/>
        </w:rPr>
        <w:fldChar w:fldCharType="end"/>
      </w:r>
      <w:r w:rsidRPr="000D251D">
        <w:rPr>
          <w:rStyle w:val="af"/>
          <w:rFonts w:hint="cs"/>
          <w:rtl/>
        </w:rPr>
        <w:t xml:space="preserve"> אפשר לתרץ דרב המנונא מחייב רק לאחר זמן, ולדעת </w:t>
      </w:r>
      <w:r w:rsidRPr="009B1F18">
        <w:rPr>
          <w:rStyle w:val="aff9"/>
          <w:rFonts w:hint="cs"/>
          <w:vanish/>
          <w:rtl/>
        </w:rPr>
        <w:t>-</w:t>
      </w:r>
      <w:r w:rsidRPr="009B1F18">
        <w:rPr>
          <w:rStyle w:val="aff9"/>
          <w:rFonts w:hint="cs"/>
          <w:rtl/>
        </w:rPr>
        <w:t>הרי"ד</w:t>
      </w:r>
      <w:r>
        <w:rPr>
          <w:rStyle w:val="aff9"/>
          <w:rFonts w:hint="cs"/>
          <w:rtl/>
        </w:rPr>
        <w:t xml:space="preserve"> בספר המכריע</w:t>
      </w:r>
      <w:r w:rsidRPr="009B1F18">
        <w:rPr>
          <w:rStyle w:val="aff9"/>
          <w:rFonts w:hint="cs"/>
          <w:vanish/>
          <w:rtl/>
        </w:rPr>
        <w:t>-</w:t>
      </w:r>
      <w:r w:rsidRPr="000D251D">
        <w:rPr>
          <w:rStyle w:val="af"/>
          <w:rFonts w:hint="cs"/>
          <w:rtl/>
        </w:rPr>
        <w:t xml:space="preserve"> </w:t>
      </w:r>
      <w:r w:rsidRPr="009B1F18">
        <w:rPr>
          <w:rStyle w:val="aff0"/>
          <w:rFonts w:hint="cs"/>
          <w:rtl/>
        </w:rPr>
        <w:t xml:space="preserve">(עי' </w:t>
      </w:r>
      <w:r w:rsidRPr="000172D1">
        <w:rPr>
          <w:rStyle w:val="aff0"/>
          <w:rFonts w:hint="cs"/>
          <w:rtl/>
        </w:rPr>
        <w:t xml:space="preserve">אות </w:t>
      </w:r>
      <w:r w:rsidRPr="000172D1">
        <w:rPr>
          <w:rStyle w:val="aff0"/>
          <w:rtl/>
        </w:rPr>
        <w:fldChar w:fldCharType="begin"/>
      </w:r>
      <w:r w:rsidRPr="000172D1">
        <w:rPr>
          <w:rStyle w:val="aff0"/>
          <w:rtl/>
        </w:rPr>
        <w:instrText xml:space="preserve"> </w:instrText>
      </w:r>
      <w:r w:rsidRPr="000172D1">
        <w:rPr>
          <w:rStyle w:val="aff0"/>
          <w:rFonts w:hint="cs"/>
        </w:rPr>
        <w:instrText>REF</w:instrText>
      </w:r>
      <w:r w:rsidRPr="000172D1">
        <w:rPr>
          <w:rStyle w:val="aff0"/>
          <w:rFonts w:hint="cs"/>
          <w:rtl/>
        </w:rPr>
        <w:instrText xml:space="preserve"> _</w:instrText>
      </w:r>
      <w:r w:rsidRPr="000172D1">
        <w:rPr>
          <w:rStyle w:val="aff0"/>
          <w:rFonts w:hint="cs"/>
        </w:rPr>
        <w:instrText>Ref138967431 \r \h</w:instrText>
      </w:r>
      <w:r w:rsidRPr="000172D1">
        <w:rPr>
          <w:rStyle w:val="aff0"/>
          <w:rtl/>
        </w:rPr>
        <w:instrText xml:space="preserve"> </w:instrText>
      </w:r>
      <w:r w:rsidRPr="000172D1">
        <w:rPr>
          <w:rStyle w:val="aff0"/>
          <w:rtl/>
        </w:rPr>
      </w:r>
      <w:r w:rsidRPr="000172D1">
        <w:rPr>
          <w:rStyle w:val="aff0"/>
          <w:rtl/>
        </w:rPr>
        <w:fldChar w:fldCharType="separate"/>
      </w:r>
      <w:r w:rsidR="00D82181">
        <w:rPr>
          <w:rStyle w:val="aff0"/>
          <w:cs/>
        </w:rPr>
        <w:t>‎</w:t>
      </w:r>
      <w:r w:rsidR="00D82181">
        <w:rPr>
          <w:rStyle w:val="aff0"/>
          <w:rtl/>
        </w:rPr>
        <w:t>לב)</w:t>
      </w:r>
      <w:r w:rsidRPr="000172D1">
        <w:rPr>
          <w:rStyle w:val="aff0"/>
          <w:rtl/>
        </w:rPr>
        <w:fldChar w:fldCharType="end"/>
      </w:r>
      <w:r w:rsidRPr="000D251D">
        <w:rPr>
          <w:rStyle w:val="af"/>
          <w:rFonts w:hint="cs"/>
          <w:rtl/>
        </w:rPr>
        <w:t xml:space="preserve"> אפשר לתרץ דאיירי בנפה וכברה</w:t>
      </w:r>
      <w:r w:rsidRPr="00394BDA">
        <w:rPr>
          <w:rStyle w:val="af"/>
          <w:rFonts w:hint="cs"/>
          <w:rtl/>
        </w:rPr>
        <w:t>].</w:t>
      </w:r>
    </w:p>
    <w:p w14:paraId="55012476" w14:textId="77777777" w:rsidR="008925FD" w:rsidRPr="00747170" w:rsidRDefault="008925FD" w:rsidP="00747170">
      <w:pPr>
        <w:pStyle w:val="a2"/>
        <w:rPr>
          <w:rtl/>
        </w:rPr>
      </w:pPr>
      <w:r w:rsidRPr="00747170">
        <w:rPr>
          <w:rtl/>
        </w:rPr>
        <w:t>ונראה שתמיהת הרב המגיד על הרשב"א הוא מדר' המנונא דמחלק בין אוכל מתוך פסולת בין פסולת מתוך אוכל. ובמאי מיירי אי בלאכול לאחר זמן אפי' אוכל מתוך פסולת חייב להרשב"א כנ"ל דאוסר ביום טוב אוכל מתוך פסולת לאחר זמן. ואי בנפה וכברה אפי' לאכול לאלתר חייב להרשב"א שהרי מוקי מתני' בלאלתר. ואעפי"כ אסור ביום טוב משום שיש בשבת חיוב חטאת וברירת קטניות הא חשוב אוכל מתוך פסולת לדעת הפוסקים [לבד התוס' רי"ד שסובר דחשוב פסולת מתוך אוכל הואיל והאוכל נשאר בידו]. וע"כ ביד לאלתר ואעפי"כ פסולת מתוך אוכל חייב. בשלמא להתוס' ותוס' רי"ד פ' תולין מוקי הא דר' המנונא ביד לאח"ז. ולתוס' רי"ד בס' המכריע מוקי הא דר' המנונא בנפה וכברה לאלתר כמו שכתב בהדיא שם. אך להרשב"א מוכח מדר' המנונא דפסולת מתוך אוכל אפילו לאלתר ביד חייב:</w:t>
      </w:r>
    </w:p>
    <w:p w14:paraId="27E09584" w14:textId="525D3FC6" w:rsidR="008925FD" w:rsidRPr="00DD6D1F" w:rsidRDefault="008925FD" w:rsidP="008925FD">
      <w:pPr>
        <w:pStyle w:val="afffff7"/>
        <w:rPr>
          <w:rtl/>
        </w:rPr>
      </w:pPr>
      <w:bookmarkStart w:id="2813" w:name="_Toc139277209"/>
      <w:bookmarkStart w:id="2814" w:name="_Toc163505912"/>
      <w:r>
        <w:rPr>
          <w:rFonts w:hint="cs"/>
          <w:rtl/>
        </w:rPr>
        <w:t>אגלי טל בורר סק"א אות כ"ז</w:t>
      </w:r>
      <w:bookmarkEnd w:id="2813"/>
      <w:bookmarkEnd w:id="2814"/>
    </w:p>
    <w:p w14:paraId="6DD4A9D7" w14:textId="77777777" w:rsidR="008925FD" w:rsidRDefault="008925FD" w:rsidP="008925FD">
      <w:pPr>
        <w:pStyle w:val="a7"/>
        <w:rPr>
          <w:rtl/>
        </w:rPr>
      </w:pPr>
      <w:bookmarkStart w:id="2815" w:name="_Toc139277125"/>
      <w:r>
        <w:rPr>
          <w:rFonts w:hint="cs"/>
          <w:rtl/>
        </w:rPr>
        <w:t>תי' האגל"ט דרב המנונא איירי בדרך ברירה ביד והרשב"א מתיר באין דרך בפסולת מאוכל</w:t>
      </w:r>
      <w:bookmarkEnd w:id="2815"/>
      <w:r>
        <w:rPr>
          <w:rFonts w:hint="cs"/>
          <w:rtl/>
        </w:rPr>
        <w:t xml:space="preserve">  </w:t>
      </w:r>
    </w:p>
    <w:p w14:paraId="1284827D" w14:textId="54690E3D" w:rsidR="008925FD" w:rsidRDefault="008925FD" w:rsidP="00BC7DC8">
      <w:pPr>
        <w:pStyle w:val="a3"/>
        <w:rPr>
          <w:rtl/>
        </w:rPr>
      </w:pPr>
      <w:bookmarkStart w:id="2816" w:name="_Ref138352872"/>
      <w:r>
        <w:rPr>
          <w:rFonts w:hint="cs"/>
          <w:rtl/>
        </w:rPr>
        <w:t xml:space="preserve">ותירץ </w:t>
      </w:r>
      <w:r w:rsidRPr="003571D2">
        <w:rPr>
          <w:rStyle w:val="aff4"/>
          <w:rFonts w:hint="cs"/>
          <w:vanish/>
          <w:rtl/>
        </w:rPr>
        <w:t>-</w:t>
      </w:r>
      <w:r w:rsidRPr="00FE6CDD">
        <w:rPr>
          <w:rStyle w:val="aff4"/>
          <w:rFonts w:hint="cs"/>
          <w:rtl/>
        </w:rPr>
        <w:t>ה</w:t>
      </w:r>
      <w:r w:rsidRPr="003571D2">
        <w:rPr>
          <w:rStyle w:val="aff4"/>
          <w:rFonts w:hint="cs"/>
          <w:vanish/>
          <w:rtl/>
        </w:rPr>
        <w:t xml:space="preserve">&lt;. </w:t>
      </w:r>
      <w:r w:rsidRPr="003571D2">
        <w:rPr>
          <w:rStyle w:val="aff4"/>
          <w:vanish/>
          <w:rtl/>
        </w:rPr>
        <w:fldChar w:fldCharType="begin"/>
      </w:r>
      <w:r w:rsidRPr="003571D2">
        <w:rPr>
          <w:rStyle w:val="aff4"/>
          <w:vanish/>
          <w:rtl/>
        </w:rPr>
        <w:instrText xml:space="preserve"> </w:instrText>
      </w:r>
      <w:r w:rsidRPr="003571D2">
        <w:rPr>
          <w:rStyle w:val="aff4"/>
          <w:rFonts w:hint="cs"/>
          <w:vanish/>
        </w:rPr>
        <w:instrText>REF</w:instrText>
      </w:r>
      <w:r w:rsidRPr="003571D2">
        <w:rPr>
          <w:rStyle w:val="aff4"/>
          <w:rFonts w:hint="cs"/>
          <w:vanish/>
          <w:rtl/>
        </w:rPr>
        <w:instrText xml:space="preserve"> _</w:instrText>
      </w:r>
      <w:r w:rsidRPr="003571D2">
        <w:rPr>
          <w:rStyle w:val="aff4"/>
          <w:rFonts w:hint="cs"/>
          <w:vanish/>
        </w:rPr>
        <w:instrText>Ref138352872 \r \h</w:instrText>
      </w:r>
      <w:r w:rsidRPr="003571D2">
        <w:rPr>
          <w:rStyle w:val="aff4"/>
          <w:vanish/>
          <w:rtl/>
        </w:rPr>
        <w:instrText xml:space="preserve"> </w:instrText>
      </w:r>
      <w:r w:rsidRPr="003571D2">
        <w:rPr>
          <w:rStyle w:val="aff4"/>
          <w:vanish/>
          <w:rtl/>
        </w:rPr>
      </w:r>
      <w:r w:rsidRPr="003571D2">
        <w:rPr>
          <w:rStyle w:val="aff4"/>
          <w:vanish/>
          <w:rtl/>
        </w:rPr>
        <w:fldChar w:fldCharType="separate"/>
      </w:r>
      <w:r w:rsidR="00D82181">
        <w:rPr>
          <w:rStyle w:val="aff4"/>
          <w:vanish/>
          <w:cs/>
        </w:rPr>
        <w:t>‎</w:t>
      </w:r>
      <w:r w:rsidR="00D82181">
        <w:rPr>
          <w:rStyle w:val="aff4"/>
          <w:vanish/>
          <w:rtl/>
        </w:rPr>
        <w:t>עב)</w:t>
      </w:r>
      <w:r w:rsidRPr="003571D2">
        <w:rPr>
          <w:rStyle w:val="aff4"/>
          <w:vanish/>
          <w:rtl/>
        </w:rPr>
        <w:fldChar w:fldCharType="end"/>
      </w:r>
      <w:r w:rsidRPr="003571D2">
        <w:rPr>
          <w:rStyle w:val="aff4"/>
          <w:rFonts w:hint="cs"/>
          <w:vanish/>
          <w:rtl/>
        </w:rPr>
        <w:t xml:space="preserve"> &gt;</w:t>
      </w:r>
      <w:r w:rsidRPr="00FE6CDD">
        <w:rPr>
          <w:rStyle w:val="aff4"/>
          <w:rFonts w:hint="cs"/>
          <w:rtl/>
        </w:rPr>
        <w:t>אגלי טל</w:t>
      </w:r>
      <w:r w:rsidRPr="003571D2">
        <w:rPr>
          <w:rStyle w:val="aff4"/>
          <w:rFonts w:hint="cs"/>
          <w:vanish/>
          <w:rtl/>
        </w:rPr>
        <w:t>-</w:t>
      </w:r>
      <w:r>
        <w:rPr>
          <w:rFonts w:hint="cs"/>
          <w:rtl/>
        </w:rPr>
        <w:t xml:space="preserve"> </w:t>
      </w:r>
      <w:r w:rsidRPr="000D251D">
        <w:rPr>
          <w:rStyle w:val="af2"/>
          <w:rFonts w:eastAsia="Guttman Hodes" w:hint="cs"/>
          <w:rtl/>
        </w:rPr>
        <w:t>(בורר סק"א אות כ"ז)</w:t>
      </w:r>
      <w:bookmarkEnd w:id="2816"/>
      <w:r w:rsidRPr="003571D2">
        <w:rPr>
          <w:rFonts w:hint="cs"/>
          <w:vanish/>
          <w:rtl/>
        </w:rPr>
        <w:t>=</w:t>
      </w:r>
      <w:r>
        <w:rPr>
          <w:rFonts w:hint="cs"/>
          <w:rtl/>
        </w:rPr>
        <w:t xml:space="preserve"> דס"ל </w:t>
      </w:r>
      <w:r w:rsidRPr="003571D2">
        <w:rPr>
          <w:rStyle w:val="aff4"/>
          <w:rFonts w:hint="cs"/>
          <w:vanish/>
          <w:rtl/>
        </w:rPr>
        <w:t>-</w:t>
      </w:r>
      <w:r w:rsidRPr="00FE6CDD">
        <w:rPr>
          <w:rStyle w:val="aff4"/>
          <w:rFonts w:hint="cs"/>
          <w:rtl/>
        </w:rPr>
        <w:t>להרשב"א כתוס' רי"ד לקמן</w:t>
      </w:r>
      <w:r w:rsidRPr="003571D2">
        <w:rPr>
          <w:rStyle w:val="aff4"/>
          <w:rFonts w:hint="cs"/>
          <w:vanish/>
          <w:rtl/>
        </w:rPr>
        <w:t>-</w:t>
      </w:r>
      <w:r>
        <w:rPr>
          <w:rFonts w:hint="cs"/>
          <w:rtl/>
        </w:rPr>
        <w:t xml:space="preserve"> </w:t>
      </w:r>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Ref138967431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לב)</w:t>
      </w:r>
      <w:r>
        <w:rPr>
          <w:rStyle w:val="af2"/>
          <w:rFonts w:eastAsia="Guttman Hodes"/>
          <w:rtl/>
        </w:rPr>
        <w:fldChar w:fldCharType="end"/>
      </w:r>
      <w:r>
        <w:rPr>
          <w:rFonts w:hint="cs"/>
          <w:rtl/>
        </w:rPr>
        <w:t xml:space="preserve"> דאב מלאכה דבורר הוא רק בכלי, אבל בכל בורר ביד הוא שינוי קצת ולכן מותר לאלתר, ובקנון ותמחוי פטור אבל אסור, וחיוב חטאת שייך רק בנפה וכברה, והקשה </w:t>
      </w:r>
      <w:r w:rsidRPr="003571D2">
        <w:rPr>
          <w:rStyle w:val="aff4"/>
          <w:rFonts w:hint="cs"/>
          <w:vanish/>
          <w:rtl/>
        </w:rPr>
        <w:t>-</w:t>
      </w:r>
      <w:r w:rsidRPr="00FE6CDD">
        <w:rPr>
          <w:rStyle w:val="aff4"/>
          <w:rFonts w:hint="cs"/>
          <w:rtl/>
        </w:rPr>
        <w:t>האגלי טל</w:t>
      </w:r>
      <w:r w:rsidRPr="003571D2">
        <w:rPr>
          <w:rStyle w:val="aff4"/>
          <w:rFonts w:hint="cs"/>
          <w:vanish/>
          <w:rtl/>
        </w:rPr>
        <w:t>-</w:t>
      </w:r>
      <w:r>
        <w:rPr>
          <w:rFonts w:hint="cs"/>
          <w:rtl/>
        </w:rPr>
        <w:t xml:space="preserve"> דמוכח מרב יוסף דאף לאלתר</w:t>
      </w:r>
      <w:r w:rsidRPr="0076540E">
        <w:rPr>
          <w:rFonts w:hint="cs"/>
          <w:rtl/>
        </w:rPr>
        <w:t xml:space="preserve"> </w:t>
      </w:r>
      <w:r>
        <w:rPr>
          <w:rFonts w:hint="cs"/>
          <w:rtl/>
        </w:rPr>
        <w:t xml:space="preserve">חייב, וכן מוכח בירושלמי דבפסולת מתוך אוכל  ביד לאחר זמן חייב חטאת, וכ"כ להדיא </w:t>
      </w:r>
      <w:r w:rsidRPr="003571D2">
        <w:rPr>
          <w:rStyle w:val="aff4"/>
          <w:rFonts w:hint="cs"/>
          <w:vanish/>
          <w:rtl/>
        </w:rPr>
        <w:t>-</w:t>
      </w:r>
      <w:r w:rsidRPr="00FE6CDD">
        <w:rPr>
          <w:rStyle w:val="aff4"/>
          <w:rFonts w:hint="cs"/>
          <w:rtl/>
        </w:rPr>
        <w:t>הרי"ד בספר המכריע</w:t>
      </w:r>
      <w:r w:rsidRPr="003571D2">
        <w:rPr>
          <w:rStyle w:val="aff4"/>
          <w:rFonts w:hint="cs"/>
          <w:vanish/>
          <w:rtl/>
        </w:rPr>
        <w:t>-</w:t>
      </w:r>
      <w:r>
        <w:rPr>
          <w:rFonts w:hint="cs"/>
          <w:rtl/>
        </w:rPr>
        <w:t xml:space="preserve"> </w:t>
      </w:r>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Ref138967431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לב)</w:t>
      </w:r>
      <w:r>
        <w:rPr>
          <w:rStyle w:val="af2"/>
          <w:rFonts w:eastAsia="Guttman Hodes"/>
          <w:rtl/>
        </w:rPr>
        <w:fldChar w:fldCharType="end"/>
      </w:r>
      <w:r>
        <w:rPr>
          <w:rFonts w:hint="cs"/>
          <w:rtl/>
        </w:rPr>
        <w:t xml:space="preserve"> דרב יוסף מחייב לאלתר בנפה וכברה, וכתב </w:t>
      </w:r>
      <w:r w:rsidRPr="003571D2">
        <w:rPr>
          <w:rStyle w:val="aff4"/>
          <w:rFonts w:hint="cs"/>
          <w:vanish/>
          <w:rtl/>
        </w:rPr>
        <w:t>-</w:t>
      </w:r>
      <w:r w:rsidRPr="00FE6CDD">
        <w:rPr>
          <w:rStyle w:val="aff4"/>
          <w:rFonts w:hint="cs"/>
          <w:rtl/>
        </w:rPr>
        <w:t>האגלי טל</w:t>
      </w:r>
      <w:r w:rsidRPr="003571D2">
        <w:rPr>
          <w:rStyle w:val="aff4"/>
          <w:rFonts w:hint="cs"/>
          <w:vanish/>
          <w:rtl/>
        </w:rPr>
        <w:t>-</w:t>
      </w:r>
      <w:r>
        <w:rPr>
          <w:rFonts w:hint="cs"/>
          <w:rtl/>
        </w:rPr>
        <w:t xml:space="preserve"> דצ"ל דאב דבורר דבכלי היינו רק בתבואה וקיטנית, אבל בדבר דדרך ברירתו היא ביד, אף ביד הוא אב דבורר, כגון שני מיני אוכלין ששווין, דא"א לברור אותם בכלי, ולפי"ז תירץ </w:t>
      </w:r>
      <w:r w:rsidRPr="003571D2">
        <w:rPr>
          <w:rStyle w:val="aff4"/>
          <w:rFonts w:hint="cs"/>
          <w:vanish/>
          <w:rtl/>
        </w:rPr>
        <w:t>-</w:t>
      </w:r>
      <w:r w:rsidRPr="00FE6CDD">
        <w:rPr>
          <w:rStyle w:val="aff4"/>
          <w:rFonts w:hint="cs"/>
          <w:rtl/>
        </w:rPr>
        <w:t>האגלי טל</w:t>
      </w:r>
      <w:r w:rsidRPr="003571D2">
        <w:rPr>
          <w:rStyle w:val="aff4"/>
          <w:rFonts w:hint="cs"/>
          <w:vanish/>
          <w:rtl/>
        </w:rPr>
        <w:t>-</w:t>
      </w:r>
      <w:r>
        <w:rPr>
          <w:rFonts w:hint="cs"/>
          <w:rtl/>
        </w:rPr>
        <w:t xml:space="preserve"> את דעת </w:t>
      </w:r>
      <w:r w:rsidRPr="003571D2">
        <w:rPr>
          <w:rStyle w:val="aff4"/>
          <w:rFonts w:hint="cs"/>
          <w:vanish/>
          <w:rtl/>
        </w:rPr>
        <w:t>-</w:t>
      </w:r>
      <w:r w:rsidRPr="00FE6CDD">
        <w:rPr>
          <w:rStyle w:val="aff4"/>
          <w:rFonts w:hint="cs"/>
          <w:rtl/>
        </w:rPr>
        <w:t>הרשב"א</w:t>
      </w:r>
      <w:r w:rsidRPr="003571D2">
        <w:rPr>
          <w:rStyle w:val="aff4"/>
          <w:rFonts w:hint="cs"/>
          <w:vanish/>
          <w:rtl/>
        </w:rPr>
        <w:t>-</w:t>
      </w:r>
      <w:r>
        <w:rPr>
          <w:rFonts w:hint="cs"/>
          <w:rtl/>
        </w:rPr>
        <w:t xml:space="preserve"> דרב המנונא איירי בדבר שדרך ברירתו ביד, ולכן רק אוכל מתוך פסולת מותר דהוא שינוי, ופסולת מתוך אוכל חייב, אבל המשנה בביצה דאיירי בקיטנית דדרך ברירתם היא בנפה וכברה, ולכן כל שבורר ביד הוא שינוי ומותר אף בפסולת מתוך אוכל , ובקנון ותמחוי פטור אבל אסור.</w:t>
      </w:r>
    </w:p>
    <w:p w14:paraId="008E9FC0" w14:textId="77777777" w:rsidR="008925FD" w:rsidRPr="00747170" w:rsidRDefault="008925FD" w:rsidP="00747170">
      <w:pPr>
        <w:pStyle w:val="a2"/>
        <w:rPr>
          <w:rtl/>
        </w:rPr>
      </w:pPr>
      <w:r w:rsidRPr="00747170">
        <w:rPr>
          <w:rtl/>
        </w:rPr>
        <w:t>(כז) ואפשר ליישב לדעת הרשב"א דס"ל דבורר הנמנה באבות מלאכות הוא בורר בכלי דוקא. וכן דעת התוס' רי"ד בפ' תולין וע"כ כל ביד הוי שינוי קצת ומותר לאלתר. וזה פי' תוס' רי"ד פ' תולין שהוכיח דבורר דמתני' היינו בכלי מדר' יוסף דאמר ביד מותר. בקנון ותמחוי פטור. בנפה וכברה חייב. ש"מ שאין חיוב חטאת נוהג אלא בנפה וכברה. ותמוה דהא ר' יוסף בלאלתר מיירי. אבל פסולת מתוך אוכל ביד לאחר זמן ודאי חייב חטאת כמבואר בירושלמי להדיא ובכל הפוסקים. וכ"כ בעצמו בס' המכריע דהא דר' יוסף בלאלתר אך דס"ל דהא דאין חיוב חטאת בלאלתר רק בנפה וכברה היינו משום דאינו אב מלאכה רק בנפה וכברה ע"כ מותר בלאלתר דהוי שינוי קצת. אך זה בתבואה וקטניות וכה"ג שדרך ברירתו בכלי. אבל מה שדרך ברירתו ביד דוקא כגון שני מיני אוכלין השוין בכמותן שלא יתבררו בכלי וברירתו רק ביד. וכן שאר דברים שדרך ברירתו ביד. חשוב ביד אב מלאכה כמו שהוכחנו בראיות בס"ד בביאורנו למלאכת קוצר ס"ק ג'. וי"ל דבהא מיירי ר' המנונא. ע"כ דוקא באוכל מתוך פסולת דהוי שינוי מותר לאלתר אבל פסולת מתוך אוכל חייב. אבל בביצה דבקטניות קאי דאוסר בנפה וכברה הרי שדרך ברירתו בנפה וכברה ע"כ ביד הוי שינוי ואפי' פסולת מתוך אוכל מותר ביד ופטור בקנון ותמחוי:</w:t>
      </w:r>
    </w:p>
    <w:p w14:paraId="7A932DE9" w14:textId="57C8864E" w:rsidR="008925FD" w:rsidRDefault="008925FD" w:rsidP="008925FD">
      <w:pPr>
        <w:pStyle w:val="affff5"/>
        <w:rPr>
          <w:rtl/>
        </w:rPr>
      </w:pPr>
      <w:bookmarkStart w:id="2817" w:name="_Toc139277126"/>
      <w:r>
        <w:rPr>
          <w:rFonts w:hint="cs"/>
          <w:rtl/>
        </w:rPr>
        <w:t>בחיוב פסולת מאוכל ביד ובקנון ובנפה</w:t>
      </w:r>
      <w:bookmarkEnd w:id="2817"/>
    </w:p>
    <w:p w14:paraId="7B554771" w14:textId="77777777" w:rsidR="008925FD" w:rsidRDefault="008925FD" w:rsidP="008925FD">
      <w:pPr>
        <w:pStyle w:val="1"/>
        <w:rPr>
          <w:rtl/>
        </w:rPr>
      </w:pPr>
      <w:bookmarkStart w:id="2818" w:name="_Toc139277127"/>
      <w:r>
        <w:rPr>
          <w:rFonts w:hint="cs"/>
          <w:rtl/>
        </w:rPr>
        <w:t>בי' האגל"ט ברש"י דפסולת מאוכל אף ביד ולאלתר</w:t>
      </w:r>
      <w:r w:rsidRPr="00A7787F">
        <w:rPr>
          <w:rFonts w:hint="cs"/>
          <w:rtl/>
        </w:rPr>
        <w:t xml:space="preserve"> </w:t>
      </w:r>
      <w:r>
        <w:rPr>
          <w:rFonts w:hint="cs"/>
          <w:rtl/>
        </w:rPr>
        <w:t>חייב</w:t>
      </w:r>
      <w:bookmarkEnd w:id="2818"/>
    </w:p>
    <w:p w14:paraId="11A2B2EA" w14:textId="77777777" w:rsidR="008925FD" w:rsidRDefault="008925FD" w:rsidP="008925FD">
      <w:pPr>
        <w:pStyle w:val="afffff7"/>
        <w:rPr>
          <w:rtl/>
        </w:rPr>
      </w:pPr>
      <w:bookmarkStart w:id="2819" w:name="_Toc139277210"/>
      <w:bookmarkStart w:id="2820" w:name="_Toc163505913"/>
      <w:r>
        <w:rPr>
          <w:rtl/>
        </w:rPr>
        <w:t>רש"י שבת ע"ג ע"א</w:t>
      </w:r>
      <w:r>
        <w:rPr>
          <w:rFonts w:hint="cs"/>
          <w:rtl/>
        </w:rPr>
        <w:t xml:space="preserve"> ד"ה הבורר</w:t>
      </w:r>
      <w:bookmarkEnd w:id="2819"/>
      <w:bookmarkEnd w:id="2820"/>
    </w:p>
    <w:p w14:paraId="29B66E09" w14:textId="77777777" w:rsidR="008925FD" w:rsidRDefault="008925FD" w:rsidP="008925FD">
      <w:pPr>
        <w:pStyle w:val="a7"/>
        <w:rPr>
          <w:rtl/>
        </w:rPr>
      </w:pPr>
      <w:bookmarkStart w:id="2821" w:name="_Toc139277128"/>
      <w:r>
        <w:rPr>
          <w:rFonts w:hint="cs"/>
          <w:rtl/>
        </w:rPr>
        <w:t>בי' רש"י במתני' דמלאכת בורר כשבורר את הפסולת בידיו ובי' האגל"ט דהוא בפסולת מאוכל</w:t>
      </w:r>
      <w:bookmarkEnd w:id="2821"/>
    </w:p>
    <w:p w14:paraId="56A81D7E" w14:textId="11578CE2" w:rsidR="008925FD" w:rsidRDefault="008925FD" w:rsidP="00BC7DC8">
      <w:pPr>
        <w:pStyle w:val="a3"/>
      </w:pPr>
      <w:bookmarkStart w:id="2822" w:name="_Ref137984186"/>
      <w:r>
        <w:rPr>
          <w:rFonts w:hint="cs"/>
          <w:rtl/>
        </w:rPr>
        <w:t xml:space="preserve">כתב </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Ref137984186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עג)</w:t>
      </w:r>
      <w:r>
        <w:rPr>
          <w:rStyle w:val="aff4"/>
          <w:vanish/>
          <w:rtl/>
        </w:rPr>
        <w:fldChar w:fldCharType="end"/>
      </w:r>
      <w:r>
        <w:rPr>
          <w:rStyle w:val="aff4"/>
          <w:rFonts w:hint="cs"/>
          <w:vanish/>
          <w:rtl/>
        </w:rPr>
        <w:t xml:space="preserve"> &gt;-</w:t>
      </w:r>
      <w:r w:rsidRPr="00B8766B">
        <w:rPr>
          <w:rStyle w:val="aff4"/>
          <w:rFonts w:hint="cs"/>
          <w:rtl/>
        </w:rPr>
        <w:t>רש"י במתני'</w:t>
      </w:r>
      <w:r w:rsidRPr="005305D6">
        <w:rPr>
          <w:rStyle w:val="aff4"/>
          <w:rFonts w:hint="cs"/>
          <w:vanish/>
          <w:rtl/>
        </w:rPr>
        <w:t>-</w:t>
      </w:r>
      <w:r>
        <w:rPr>
          <w:rFonts w:hint="cs"/>
          <w:rtl/>
        </w:rPr>
        <w:t xml:space="preserve"> </w:t>
      </w:r>
      <w:r w:rsidRPr="000D251D">
        <w:rPr>
          <w:rStyle w:val="af2"/>
          <w:rFonts w:eastAsia="Guttman Hodes" w:hint="cs"/>
          <w:rtl/>
        </w:rPr>
        <w:t>(עג. ד"ה הבורר)</w:t>
      </w:r>
      <w:r>
        <w:rPr>
          <w:vanish/>
          <w:rtl/>
        </w:rPr>
        <w:t>=</w:t>
      </w:r>
      <w:r>
        <w:rPr>
          <w:rFonts w:hint="cs"/>
          <w:rtl/>
        </w:rPr>
        <w:t xml:space="preserve"> דמלאכת בורר הוא בבורר פסולת בידיו, וכתב </w:t>
      </w:r>
      <w:r w:rsidRPr="00194A43">
        <w:rPr>
          <w:rStyle w:val="aff4"/>
          <w:rFonts w:hint="cs"/>
          <w:vanish/>
          <w:rtl/>
        </w:rPr>
        <w:t>-</w:t>
      </w:r>
      <w:r w:rsidRPr="00194A43">
        <w:rPr>
          <w:rStyle w:val="aff4"/>
          <w:rFonts w:hint="cs"/>
          <w:rtl/>
        </w:rPr>
        <w:t>ה</w:t>
      </w:r>
      <w:r w:rsidRPr="00C362AA">
        <w:rPr>
          <w:rStyle w:val="aff4"/>
          <w:rFonts w:hint="cs"/>
          <w:vanish/>
          <w:rtl/>
        </w:rPr>
        <w:t>&lt; &gt;</w:t>
      </w:r>
      <w:r w:rsidRPr="00194A43">
        <w:rPr>
          <w:rStyle w:val="aff4"/>
          <w:rFonts w:hint="cs"/>
          <w:rtl/>
        </w:rPr>
        <w:t>אגלי טל</w:t>
      </w:r>
      <w:r w:rsidRPr="00194A43">
        <w:rPr>
          <w:rStyle w:val="aff4"/>
          <w:rFonts w:hint="cs"/>
          <w:vanish/>
          <w:rtl/>
        </w:rPr>
        <w:t>-</w:t>
      </w:r>
      <w:r>
        <w:rPr>
          <w:rFonts w:hint="cs"/>
          <w:rtl/>
        </w:rPr>
        <w:t xml:space="preserve"> </w:t>
      </w:r>
      <w:r w:rsidRPr="000D251D">
        <w:rPr>
          <w:rStyle w:val="af2"/>
          <w:rFonts w:eastAsia="Guttman Hodes" w:hint="cs"/>
          <w:rtl/>
        </w:rPr>
        <w:t>(בורר סק"א אות ט')</w:t>
      </w:r>
      <w:r>
        <w:rPr>
          <w:vanish/>
          <w:rtl/>
        </w:rPr>
        <w:t>=</w:t>
      </w:r>
      <w:r>
        <w:rPr>
          <w:rtl/>
        </w:rPr>
        <w:t xml:space="preserve"> </w:t>
      </w:r>
      <w:r>
        <w:rPr>
          <w:rFonts w:hint="cs"/>
          <w:rtl/>
        </w:rPr>
        <w:t xml:space="preserve">דכוונת </w:t>
      </w:r>
      <w:r w:rsidRPr="00194A43">
        <w:rPr>
          <w:rStyle w:val="aff4"/>
          <w:rFonts w:hint="cs"/>
          <w:vanish/>
          <w:rtl/>
        </w:rPr>
        <w:t>-</w:t>
      </w:r>
      <w:r w:rsidRPr="00194A43">
        <w:rPr>
          <w:rStyle w:val="aff4"/>
          <w:rFonts w:hint="cs"/>
          <w:rtl/>
        </w:rPr>
        <w:t>רש"י במתני'</w:t>
      </w:r>
      <w:r w:rsidRPr="00194A43">
        <w:rPr>
          <w:rStyle w:val="aff4"/>
          <w:rFonts w:hint="cs"/>
          <w:vanish/>
          <w:rtl/>
        </w:rPr>
        <w:t>-</w:t>
      </w:r>
      <w:r>
        <w:rPr>
          <w:rFonts w:hint="cs"/>
          <w:rtl/>
        </w:rPr>
        <w:t xml:space="preserve"> לפסולת מתוך אוכל דבזה דרך ברירה היא ביד.</w:t>
      </w:r>
      <w:bookmarkEnd w:id="2822"/>
      <w:r w:rsidRPr="00BB1D7F">
        <w:rPr>
          <w:rtl/>
        </w:rPr>
        <w:t xml:space="preserve"> </w:t>
      </w:r>
    </w:p>
    <w:p w14:paraId="0A805CE5" w14:textId="77777777" w:rsidR="008925FD" w:rsidRPr="00747170" w:rsidRDefault="008925FD" w:rsidP="00747170">
      <w:pPr>
        <w:pStyle w:val="a2"/>
        <w:rPr>
          <w:rtl/>
        </w:rPr>
      </w:pPr>
      <w:r w:rsidRPr="00747170">
        <w:rPr>
          <w:rtl/>
        </w:rPr>
        <w:t>הבורר - פסולת בידיו.</w:t>
      </w:r>
    </w:p>
    <w:p w14:paraId="797862CD" w14:textId="01B17422" w:rsidR="008925FD" w:rsidRDefault="008925FD" w:rsidP="008925FD">
      <w:pPr>
        <w:pStyle w:val="afffff7"/>
        <w:rPr>
          <w:rtl/>
        </w:rPr>
      </w:pPr>
      <w:bookmarkStart w:id="2823" w:name="_Toc139277211"/>
      <w:bookmarkStart w:id="2824" w:name="_Toc163505914"/>
      <w:r w:rsidRPr="007D5064">
        <w:rPr>
          <w:rtl/>
        </w:rPr>
        <w:t xml:space="preserve">אגלי טל בורר </w:t>
      </w:r>
      <w:r w:rsidRPr="007D5064">
        <w:rPr>
          <w:rFonts w:hint="cs"/>
          <w:rtl/>
        </w:rPr>
        <w:t xml:space="preserve">סק"א </w:t>
      </w:r>
      <w:r w:rsidRPr="007D5064">
        <w:rPr>
          <w:rtl/>
        </w:rPr>
        <w:t xml:space="preserve">אות </w:t>
      </w:r>
      <w:r>
        <w:rPr>
          <w:rFonts w:hint="cs"/>
          <w:rtl/>
        </w:rPr>
        <w:t>ט</w:t>
      </w:r>
      <w:r w:rsidRPr="007D5064">
        <w:rPr>
          <w:rFonts w:hint="cs"/>
          <w:rtl/>
        </w:rPr>
        <w:t>'</w:t>
      </w:r>
      <w:bookmarkEnd w:id="2823"/>
      <w:bookmarkEnd w:id="2824"/>
    </w:p>
    <w:p w14:paraId="1A7359B9" w14:textId="77777777" w:rsidR="008925FD" w:rsidRPr="00C362AA" w:rsidRDefault="008925FD" w:rsidP="00747170">
      <w:pPr>
        <w:pStyle w:val="afffff5"/>
        <w:rPr>
          <w:rtl/>
        </w:rPr>
      </w:pPr>
      <w:r w:rsidRPr="00725347">
        <w:rPr>
          <w:rtl/>
        </w:rPr>
        <w:t>ומהא דפירש רש"י במתניתין הבורר פסולת בידיו. הרי דבורר פסולת מתוך אוכל אפי' ביד חייב הרי דין הרביעי.</w:t>
      </w:r>
    </w:p>
    <w:p w14:paraId="5645BC70" w14:textId="7A8F017D" w:rsidR="008925FD" w:rsidRPr="00FD7EF7" w:rsidRDefault="008925FD" w:rsidP="008925FD">
      <w:pPr>
        <w:pStyle w:val="a7"/>
      </w:pPr>
      <w:bookmarkStart w:id="2825" w:name="_Toc139277129"/>
      <w:r w:rsidRPr="00FD7EF7">
        <w:rPr>
          <w:rtl/>
        </w:rPr>
        <w:t>בי' האגל"ט ברש"י דבפסולת מאוכל לעולם חייב אף ביד</w:t>
      </w:r>
      <w:r>
        <w:rPr>
          <w:rFonts w:hint="cs"/>
          <w:rtl/>
        </w:rPr>
        <w:t xml:space="preserve"> דכן הוא דרך ברירה</w:t>
      </w:r>
      <w:bookmarkEnd w:id="2825"/>
    </w:p>
    <w:p w14:paraId="4C5AF14C" w14:textId="7E116FD9" w:rsidR="008925FD" w:rsidRPr="002110B3" w:rsidRDefault="008925FD" w:rsidP="00BC7DC8">
      <w:pPr>
        <w:pStyle w:val="a3"/>
        <w:rPr>
          <w:rStyle w:val="af"/>
        </w:rPr>
      </w:pPr>
      <w:bookmarkStart w:id="2826" w:name="_Ref138969478"/>
      <w:r>
        <w:rPr>
          <w:rFonts w:hint="cs"/>
          <w:rtl/>
        </w:rPr>
        <w:t xml:space="preserve">וביאר </w:t>
      </w:r>
      <w:r>
        <w:rPr>
          <w:rStyle w:val="aff4"/>
          <w:vanish/>
          <w:rtl/>
        </w:rPr>
        <w:t>-</w:t>
      </w:r>
      <w:r>
        <w:rPr>
          <w:rStyle w:val="aff4"/>
          <w:rtl/>
        </w:rPr>
        <w:t>האגלי טל</w:t>
      </w:r>
      <w:r>
        <w:rPr>
          <w:rStyle w:val="aff4"/>
          <w:vanish/>
          <w:rtl/>
        </w:rPr>
        <w:t>-</w:t>
      </w:r>
      <w:r>
        <w:rPr>
          <w:rtl/>
        </w:rPr>
        <w:t xml:space="preserve"> </w:t>
      </w:r>
      <w:r>
        <w:rPr>
          <w:rFonts w:hint="cs"/>
          <w:rtl/>
        </w:rPr>
        <w:t xml:space="preserve">בדעת </w:t>
      </w:r>
      <w:r w:rsidRPr="00FA06F4">
        <w:rPr>
          <w:rStyle w:val="aff4"/>
          <w:rFonts w:hint="cs"/>
          <w:vanish/>
          <w:rtl/>
        </w:rPr>
        <w:t>-</w:t>
      </w:r>
      <w:r w:rsidRPr="00FA06F4">
        <w:rPr>
          <w:rStyle w:val="aff4"/>
          <w:rFonts w:hint="cs"/>
          <w:rtl/>
        </w:rPr>
        <w:t>רש"י</w:t>
      </w:r>
      <w:r w:rsidRPr="00FA06F4">
        <w:rPr>
          <w:rStyle w:val="aff4"/>
          <w:rFonts w:hint="cs"/>
          <w:vanish/>
          <w:rtl/>
        </w:rPr>
        <w:t>-</w:t>
      </w:r>
      <w:r>
        <w:rPr>
          <w:rFonts w:hint="cs"/>
          <w:rtl/>
        </w:rPr>
        <w:t xml:space="preserve"> דפסולת מתוך אוכל לאחר זמן לעולם חייב אף ביד, כמבואר ממ"ש </w:t>
      </w:r>
      <w:r w:rsidRPr="005305D6">
        <w:rPr>
          <w:rStyle w:val="aff4"/>
          <w:rFonts w:hint="cs"/>
          <w:vanish/>
          <w:rtl/>
        </w:rPr>
        <w:t>-</w:t>
      </w:r>
      <w:r w:rsidRPr="00B8766B">
        <w:rPr>
          <w:rStyle w:val="aff4"/>
          <w:rFonts w:hint="cs"/>
          <w:rtl/>
        </w:rPr>
        <w:t>רש"י במתני'</w:t>
      </w:r>
      <w:r w:rsidRPr="005305D6">
        <w:rPr>
          <w:rStyle w:val="aff4"/>
          <w:rFonts w:hint="cs"/>
          <w:vanish/>
          <w:rtl/>
        </w:rPr>
        <w:t>-</w:t>
      </w:r>
      <w:r>
        <w:rPr>
          <w:rFonts w:hint="cs"/>
          <w:rtl/>
        </w:rPr>
        <w:t xml:space="preserve"> </w:t>
      </w:r>
      <w:r w:rsidRPr="000D251D">
        <w:rPr>
          <w:rStyle w:val="af2"/>
          <w:rFonts w:eastAsia="Guttman Hodes" w:hint="cs"/>
          <w:rtl/>
        </w:rPr>
        <w:t xml:space="preserve">(עי' אות </w:t>
      </w:r>
      <w:r w:rsidRPr="000D251D">
        <w:rPr>
          <w:rStyle w:val="af2"/>
          <w:rFonts w:eastAsia="Guttman Hodes"/>
          <w:rtl/>
        </w:rPr>
        <w:fldChar w:fldCharType="begin"/>
      </w:r>
      <w:r w:rsidRPr="000D251D">
        <w:rPr>
          <w:rStyle w:val="af2"/>
          <w:rFonts w:eastAsia="Guttman Hodes"/>
          <w:rtl/>
        </w:rPr>
        <w:instrText xml:space="preserve"> </w:instrText>
      </w:r>
      <w:r w:rsidRPr="000D251D">
        <w:rPr>
          <w:rStyle w:val="af2"/>
          <w:rFonts w:eastAsia="Guttman Hodes" w:hint="cs"/>
        </w:rPr>
        <w:instrText>REF</w:instrText>
      </w:r>
      <w:r w:rsidRPr="000D251D">
        <w:rPr>
          <w:rStyle w:val="af2"/>
          <w:rFonts w:eastAsia="Guttman Hodes" w:hint="cs"/>
          <w:rtl/>
        </w:rPr>
        <w:instrText xml:space="preserve"> _</w:instrText>
      </w:r>
      <w:r w:rsidRPr="000D251D">
        <w:rPr>
          <w:rStyle w:val="af2"/>
          <w:rFonts w:eastAsia="Guttman Hodes" w:hint="cs"/>
        </w:rPr>
        <w:instrText>Ref137984186 \r \h</w:instrText>
      </w:r>
      <w:r w:rsidRPr="000D251D">
        <w:rPr>
          <w:rStyle w:val="af2"/>
          <w:rFonts w:eastAsia="Guttman Hodes"/>
          <w:rtl/>
        </w:rPr>
        <w:instrText xml:space="preserve"> </w:instrText>
      </w:r>
      <w:r w:rsidRPr="000D251D">
        <w:rPr>
          <w:rStyle w:val="af2"/>
          <w:rFonts w:eastAsia="Guttman Hodes"/>
          <w:rtl/>
        </w:rPr>
      </w:r>
      <w:r w:rsidRPr="000D251D">
        <w:rPr>
          <w:rStyle w:val="af2"/>
          <w:rFonts w:eastAsia="Guttman Hodes"/>
          <w:rtl/>
        </w:rPr>
        <w:fldChar w:fldCharType="separate"/>
      </w:r>
      <w:r w:rsidR="00D82181">
        <w:rPr>
          <w:rStyle w:val="af2"/>
          <w:rFonts w:eastAsia="Guttman Hodes"/>
          <w:cs/>
        </w:rPr>
        <w:t>‎</w:t>
      </w:r>
      <w:r w:rsidR="00D82181">
        <w:rPr>
          <w:rStyle w:val="af2"/>
          <w:rFonts w:eastAsia="Guttman Hodes"/>
          <w:rtl/>
        </w:rPr>
        <w:t>עג)</w:t>
      </w:r>
      <w:r w:rsidRPr="000D251D">
        <w:rPr>
          <w:rStyle w:val="af2"/>
          <w:rFonts w:eastAsia="Guttman Hodes"/>
          <w:rtl/>
        </w:rPr>
        <w:fldChar w:fldCharType="end"/>
      </w:r>
      <w:r>
        <w:rPr>
          <w:rFonts w:hint="cs"/>
          <w:rtl/>
        </w:rPr>
        <w:t xml:space="preserve"> דכל בורר הוא ביד, א"כ מבואר דפסולת מתוך אוכל </w:t>
      </w:r>
      <w:r w:rsidRPr="00C94E21">
        <w:rPr>
          <w:rFonts w:hint="cs"/>
          <w:rtl/>
        </w:rPr>
        <w:t>חייב</w:t>
      </w:r>
      <w:r>
        <w:rPr>
          <w:rFonts w:hint="cs"/>
          <w:rtl/>
        </w:rPr>
        <w:t xml:space="preserve"> אף ביד.</w:t>
      </w:r>
      <w:bookmarkEnd w:id="2826"/>
      <w:r>
        <w:rPr>
          <w:rFonts w:hint="cs"/>
          <w:rtl/>
        </w:rPr>
        <w:t xml:space="preserve"> </w:t>
      </w:r>
    </w:p>
    <w:p w14:paraId="57E7DDEE" w14:textId="77777777" w:rsidR="008925FD" w:rsidRPr="00747170" w:rsidRDefault="008925FD" w:rsidP="00747170">
      <w:pPr>
        <w:pStyle w:val="a2"/>
        <w:rPr>
          <w:rtl/>
        </w:rPr>
      </w:pPr>
      <w:r w:rsidRPr="00747170">
        <w:rPr>
          <w:rtl/>
        </w:rPr>
        <w:t>דין ד'. פסולת מתוך אוכל אפי' ביד</w:t>
      </w:r>
      <w:r w:rsidRPr="00747170">
        <w:rPr>
          <w:rFonts w:hint="cs"/>
          <w:rtl/>
        </w:rPr>
        <w:t xml:space="preserve">, וכו', </w:t>
      </w:r>
      <w:r w:rsidRPr="00747170">
        <w:rPr>
          <w:rtl/>
        </w:rPr>
        <w:t>ומהא דפירש רש"י במתניתין הבורר פסולת בידיו. הרי דבורר פסולת מתוך אוכל אפי' ביד חייב הרי דין הרביעי.</w:t>
      </w:r>
    </w:p>
    <w:p w14:paraId="7539CDD2" w14:textId="39FAA9AE" w:rsidR="008925FD" w:rsidRPr="00B8766B" w:rsidRDefault="008925FD" w:rsidP="008925FD">
      <w:pPr>
        <w:pStyle w:val="a7"/>
      </w:pPr>
      <w:bookmarkStart w:id="2827" w:name="_Toc139277130"/>
      <w:r>
        <w:rPr>
          <w:rFonts w:hint="cs"/>
          <w:rtl/>
        </w:rPr>
        <w:t>בי' האגל"ט ברש"י דפסולת מתוך אוכל חייב אף ביד ואף לאלתר כדמוכח מרב ביבי</w:t>
      </w:r>
      <w:bookmarkEnd w:id="2827"/>
    </w:p>
    <w:p w14:paraId="4599F3BD" w14:textId="067BD01B" w:rsidR="008925FD" w:rsidRPr="00025EC6" w:rsidRDefault="008925FD" w:rsidP="00BC7DC8">
      <w:pPr>
        <w:pStyle w:val="a3"/>
        <w:rPr>
          <w:rtl/>
        </w:rPr>
      </w:pPr>
      <w:bookmarkStart w:id="2828" w:name="_Ref138666096"/>
      <w:bookmarkStart w:id="2829" w:name="_Ref138666255"/>
      <w:bookmarkStart w:id="2830" w:name="_Ref138969486"/>
      <w:r>
        <w:rPr>
          <w:rFonts w:hint="cs"/>
          <w:rtl/>
        </w:rPr>
        <w:t xml:space="preserve">ועוד כתב </w:t>
      </w:r>
      <w:r>
        <w:rPr>
          <w:rStyle w:val="aff4"/>
          <w:vanish/>
          <w:rtl/>
        </w:rPr>
        <w:t>-</w:t>
      </w:r>
      <w:r>
        <w:rPr>
          <w:rStyle w:val="aff4"/>
          <w:rtl/>
        </w:rPr>
        <w:t>ה</w:t>
      </w:r>
      <w:r>
        <w:rPr>
          <w:rStyle w:val="aff4"/>
          <w:vanish/>
          <w:rtl/>
        </w:rPr>
        <w:t xml:space="preserve">&lt;. </w:t>
      </w:r>
      <w:r>
        <w:rPr>
          <w:rStyle w:val="aff4"/>
          <w:vanish/>
          <w:rtl/>
        </w:rPr>
        <w:fldChar w:fldCharType="begin"/>
      </w:r>
      <w:r>
        <w:rPr>
          <w:rStyle w:val="aff4"/>
          <w:vanish/>
          <w:rtl/>
        </w:rPr>
        <w:instrText xml:space="preserve"> </w:instrText>
      </w:r>
      <w:r>
        <w:rPr>
          <w:rStyle w:val="aff4"/>
          <w:vanish/>
        </w:rPr>
        <w:instrText>REF</w:instrText>
      </w:r>
      <w:r>
        <w:rPr>
          <w:rStyle w:val="aff4"/>
          <w:vanish/>
          <w:rtl/>
        </w:rPr>
        <w:instrText xml:space="preserve"> _</w:instrText>
      </w:r>
      <w:r>
        <w:rPr>
          <w:rStyle w:val="aff4"/>
          <w:vanish/>
        </w:rPr>
        <w:instrText>Ref138969486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עה)</w:t>
      </w:r>
      <w:r>
        <w:rPr>
          <w:rStyle w:val="aff4"/>
          <w:vanish/>
          <w:rtl/>
        </w:rPr>
        <w:fldChar w:fldCharType="end"/>
      </w:r>
      <w:r>
        <w:rPr>
          <w:rStyle w:val="aff4"/>
          <w:vanish/>
          <w:rtl/>
        </w:rPr>
        <w:t xml:space="preserve"> &gt;</w:t>
      </w:r>
      <w:r>
        <w:rPr>
          <w:rStyle w:val="aff4"/>
          <w:rtl/>
        </w:rPr>
        <w:t>אגלי טל</w:t>
      </w:r>
      <w:r>
        <w:rPr>
          <w:rStyle w:val="aff4"/>
          <w:vanish/>
          <w:rtl/>
        </w:rPr>
        <w:t>-</w:t>
      </w:r>
      <w:r>
        <w:rPr>
          <w:rtl/>
        </w:rPr>
        <w:t xml:space="preserve"> </w:t>
      </w:r>
      <w:r w:rsidRPr="000D251D">
        <w:rPr>
          <w:rStyle w:val="af2"/>
          <w:rFonts w:eastAsia="Guttman Hodes" w:hint="cs"/>
          <w:rtl/>
        </w:rPr>
        <w:t>(בורר סק"א אות ט')</w:t>
      </w:r>
      <w:r>
        <w:rPr>
          <w:vanish/>
          <w:rtl/>
        </w:rPr>
        <w:t>=</w:t>
      </w:r>
      <w:r>
        <w:rPr>
          <w:rtl/>
        </w:rPr>
        <w:t xml:space="preserve"> </w:t>
      </w:r>
      <w:r>
        <w:rPr>
          <w:rFonts w:hint="cs"/>
          <w:rtl/>
        </w:rPr>
        <w:t xml:space="preserve">בדעת </w:t>
      </w:r>
      <w:r w:rsidRPr="00FA06F4">
        <w:rPr>
          <w:rStyle w:val="aff4"/>
          <w:rFonts w:hint="cs"/>
          <w:vanish/>
          <w:rtl/>
        </w:rPr>
        <w:t>-</w:t>
      </w:r>
      <w:r w:rsidRPr="00FA06F4">
        <w:rPr>
          <w:rStyle w:val="aff4"/>
          <w:rFonts w:hint="cs"/>
          <w:rtl/>
        </w:rPr>
        <w:t>רש"י</w:t>
      </w:r>
      <w:r w:rsidRPr="00FA06F4">
        <w:rPr>
          <w:rStyle w:val="aff4"/>
          <w:rFonts w:hint="cs"/>
          <w:vanish/>
          <w:rtl/>
        </w:rPr>
        <w:t>-</w:t>
      </w:r>
      <w:r>
        <w:rPr>
          <w:rFonts w:hint="cs"/>
          <w:rtl/>
        </w:rPr>
        <w:t xml:space="preserve"> דפסולת מתוך אוכל ביד אף לאכול לאלתר חייב, כמבואר מהא דכתב </w:t>
      </w:r>
      <w:r>
        <w:rPr>
          <w:rStyle w:val="aff4"/>
          <w:rFonts w:hint="cs"/>
          <w:vanish/>
          <w:rtl/>
        </w:rPr>
        <w:t>&lt; &gt;</w:t>
      </w:r>
      <w:r w:rsidRPr="005305D6">
        <w:rPr>
          <w:rStyle w:val="aff4"/>
          <w:rFonts w:hint="cs"/>
          <w:vanish/>
          <w:rtl/>
        </w:rPr>
        <w:t>-</w:t>
      </w:r>
      <w:r w:rsidRPr="00B8766B">
        <w:rPr>
          <w:rStyle w:val="aff4"/>
          <w:rFonts w:hint="cs"/>
          <w:rtl/>
        </w:rPr>
        <w:t>רש"י</w:t>
      </w:r>
      <w:r w:rsidRPr="005305D6">
        <w:rPr>
          <w:rStyle w:val="aff4"/>
          <w:rFonts w:hint="cs"/>
          <w:vanish/>
          <w:rtl/>
        </w:rPr>
        <w:t>-</w:t>
      </w:r>
      <w:r>
        <w:rPr>
          <w:rFonts w:hint="cs"/>
          <w:rtl/>
        </w:rPr>
        <w:t xml:space="preserve"> </w:t>
      </w:r>
      <w:r w:rsidRPr="000D251D">
        <w:rPr>
          <w:rStyle w:val="af2"/>
          <w:rFonts w:eastAsia="Guttman Hodes" w:hint="cs"/>
          <w:rtl/>
        </w:rPr>
        <w:t>(ד"ה ושדא)</w:t>
      </w:r>
      <w:r w:rsidRPr="00297D09">
        <w:rPr>
          <w:rFonts w:hint="cs"/>
          <w:vanish/>
          <w:rtl/>
        </w:rPr>
        <w:t>=</w:t>
      </w:r>
      <w:r>
        <w:rPr>
          <w:rFonts w:hint="cs"/>
          <w:rtl/>
        </w:rPr>
        <w:t xml:space="preserve"> במעשה</w:t>
      </w:r>
      <w:bookmarkEnd w:id="2828"/>
      <w:r>
        <w:rPr>
          <w:rFonts w:hint="cs"/>
          <w:rtl/>
        </w:rPr>
        <w:t xml:space="preserve"> דרב ביבי דהוא לא רצה לברור את האוכל מתוך העלים, אלא שטח את הפירות לפניהם דעי"ז האוכל נפרש מאיליו,</w:t>
      </w:r>
      <w:bookmarkEnd w:id="2829"/>
      <w:r>
        <w:rPr>
          <w:rFonts w:hint="cs"/>
          <w:rtl/>
        </w:rPr>
        <w:t xml:space="preserve"> וכתב </w:t>
      </w:r>
      <w:r w:rsidRPr="00E9416F">
        <w:rPr>
          <w:rStyle w:val="aff4"/>
          <w:rFonts w:hint="cs"/>
          <w:vanish/>
          <w:rtl/>
        </w:rPr>
        <w:t>-</w:t>
      </w:r>
      <w:r w:rsidRPr="00E9416F">
        <w:rPr>
          <w:rStyle w:val="aff4"/>
          <w:rFonts w:hint="cs"/>
          <w:rtl/>
        </w:rPr>
        <w:t>האגלי טל</w:t>
      </w:r>
      <w:r w:rsidRPr="00E9416F">
        <w:rPr>
          <w:rStyle w:val="aff4"/>
          <w:rFonts w:hint="cs"/>
          <w:vanish/>
          <w:rtl/>
        </w:rPr>
        <w:t>-</w:t>
      </w:r>
      <w:r>
        <w:rPr>
          <w:rFonts w:hint="cs"/>
          <w:rtl/>
        </w:rPr>
        <w:t xml:space="preserve"> דלפי הצד דס"ל לרב ביבי דאוכל מתוך פסולת אסור, כמו </w:t>
      </w:r>
      <w:r>
        <w:rPr>
          <w:rFonts w:hint="cs"/>
          <w:rtl/>
        </w:rPr>
        <w:t xml:space="preserve">פסולת מתוך אוכל, א"כ מוכח דאעפ"י דהוא לאלתר מ"מ אסור, וממילא לדידן דפסולת מתוך אוכל אסור היינו אף לאלתר </w:t>
      </w:r>
      <w:r w:rsidRPr="00EA06D7">
        <w:rPr>
          <w:rFonts w:hint="cs"/>
          <w:rtl/>
        </w:rPr>
        <w:t>וביד, דאי מותר אמאי לא ברר ביד כיון דאכלו לאלתר, וא"א לומר דלדידן פסולת מתוך אוכל מותר לאלתר, דא"כ צריך לומר דרב</w:t>
      </w:r>
      <w:r>
        <w:rPr>
          <w:rFonts w:hint="cs"/>
          <w:rtl/>
        </w:rPr>
        <w:t xml:space="preserve"> ביבי דלא כהלכתא בב' דינים, גם דס"ל דאוכל מתוך פסולת אסור וגם דס"ל דלאלתר אסור, והיה לגמ' להסתפק אי רב ביבי אסר כיון דס"ל דאוכל מתוך פסולת ולאלתר אסורים.</w:t>
      </w:r>
      <w:bookmarkEnd w:id="2830"/>
    </w:p>
    <w:p w14:paraId="3E287CA4" w14:textId="77777777" w:rsidR="008925FD" w:rsidRPr="00747170" w:rsidRDefault="008925FD" w:rsidP="00747170">
      <w:pPr>
        <w:pStyle w:val="a2"/>
        <w:rPr>
          <w:rtl/>
        </w:rPr>
      </w:pPr>
      <w:r w:rsidRPr="00747170">
        <w:rPr>
          <w:rtl/>
        </w:rPr>
        <w:t>דין ה'. ואפי' לאכול לאלתר חייב</w:t>
      </w:r>
      <w:r w:rsidRPr="00747170">
        <w:rPr>
          <w:rFonts w:hint="cs"/>
          <w:rtl/>
        </w:rPr>
        <w:t xml:space="preserve">, וכו', </w:t>
      </w:r>
      <w:r w:rsidRPr="00747170">
        <w:rPr>
          <w:rtl/>
        </w:rPr>
        <w:t>ובהא דשדי ר' ביבי קמייהו דר' אמי ורב אסי כלכלה דפירי עם העלין ולא רצה לברור ומסופק ר' דימי אי סבר אוכל מתוך פסולת אסור. והיינו דאסור אוכל מתוך פסולת כמו פסולת מתוך אוכל. מוכח ג"כ דעכ"פ פסולת מתוך אוכל אסור ביד דאל"כ אכתי הו"ל לר' ביבי לברור ביד. והנה רש"י פירש וז"ל ולא רצה לברור האוכל מתוך העלין ולתת לפני כל אחד ואחד אלא שוטחן והם נוטלין ואוכלין ובשטוח הזה נפרש האוכל מאליו והיינו דקשה לי' לרש"י איך הי' יכולין לאכול כיון דאפי' אוכל מתוך פסולת אסור ואי מותר לאכול לאלתר אפי' פסולת מתוך אוכל כ"ש בשעת אכילה מה קשה לי'. ואין לומר דמה שלא רצה ר' ביבי לברור ע"כ ס"ל אפי' לאלתר אסור דאל"כ הי' לו לברור סמוך לסעודה וע"כ ק"ל לרש"י אבל לפי אמת מותר לאלתר אפי' פסולת מתוך אוכל. ליתא דא"כ שני דינים חדשים הי' רב ביבי סובר דלא כהלכתא אוכל מתוך פסולת אסור ולאלתר אסור מאחר שלפי אמת לאלתר מותר אפי' פסולת מתוך אוכל והי' לו לר' דימי לומר ולא ידענא אי משום דסבר אוכל מתוך פסולת לאלתר אסור. אלא ודאי פסולת מתוך אוכל לפי האמת אפי' לאלתר אסור וקאמר דאפשר ס"ל אוכל מתוך פסולת אסור והיינו כמו פסולת מתוך אוכל הרי דין הה':</w:t>
      </w:r>
    </w:p>
    <w:p w14:paraId="32427765" w14:textId="7CAE4499" w:rsidR="008925FD" w:rsidRDefault="008925FD" w:rsidP="008925FD">
      <w:pPr>
        <w:pStyle w:val="afffff7"/>
        <w:rPr>
          <w:rtl/>
        </w:rPr>
      </w:pPr>
      <w:bookmarkStart w:id="2831" w:name="_Toc139277212"/>
      <w:bookmarkStart w:id="2832" w:name="_Toc163505915"/>
      <w:r>
        <w:rPr>
          <w:rtl/>
        </w:rPr>
        <w:t>רש"י שבת ע"ד ע"א</w:t>
      </w:r>
      <w:r>
        <w:rPr>
          <w:rFonts w:hint="cs"/>
          <w:rtl/>
        </w:rPr>
        <w:t xml:space="preserve"> ד"ה ושדא</w:t>
      </w:r>
      <w:bookmarkEnd w:id="2831"/>
      <w:bookmarkEnd w:id="2832"/>
    </w:p>
    <w:p w14:paraId="3AEB3309" w14:textId="77777777" w:rsidR="008925FD" w:rsidRPr="00EB6547" w:rsidRDefault="008925FD" w:rsidP="00747170">
      <w:pPr>
        <w:pStyle w:val="afffff5"/>
      </w:pPr>
      <w:r w:rsidRPr="00EB6547">
        <w:rPr>
          <w:rtl/>
        </w:rPr>
        <w:t>ושדא קמייהו - ולא רצה לברור האוכל מתוך העלין ולתת לפני כל אחד ואחד, אלא שטחן והם נוטלים ואוכלים, ובשטוח זה נפרש האוכל מאליו.</w:t>
      </w:r>
    </w:p>
    <w:p w14:paraId="6C11B5D6" w14:textId="4A05924A" w:rsidR="008925FD" w:rsidRPr="007E653E" w:rsidRDefault="008925FD" w:rsidP="008925FD">
      <w:pPr>
        <w:pStyle w:val="1"/>
        <w:rPr>
          <w:rtl/>
        </w:rPr>
      </w:pPr>
      <w:bookmarkStart w:id="2833" w:name="_Toc139277131"/>
      <w:r>
        <w:rPr>
          <w:rFonts w:hint="cs"/>
          <w:rtl/>
        </w:rPr>
        <w:t>בי' האגל"ט דמוכח בתוס' דפסולת מאוכל ביד ולאלתר מותר</w:t>
      </w:r>
      <w:bookmarkEnd w:id="2833"/>
      <w:r>
        <w:rPr>
          <w:rFonts w:hint="cs"/>
          <w:rtl/>
        </w:rPr>
        <w:t xml:space="preserve"> </w:t>
      </w:r>
    </w:p>
    <w:p w14:paraId="7E79BD36" w14:textId="77777777" w:rsidR="008925FD" w:rsidRDefault="008925FD" w:rsidP="008925FD">
      <w:pPr>
        <w:pStyle w:val="afffff7"/>
        <w:rPr>
          <w:rtl/>
        </w:rPr>
      </w:pPr>
      <w:bookmarkStart w:id="2834" w:name="_Toc139277213"/>
      <w:bookmarkStart w:id="2835" w:name="_Toc163505916"/>
      <w:r>
        <w:rPr>
          <w:rtl/>
        </w:rPr>
        <w:t>אגלי טל בורר</w:t>
      </w:r>
      <w:r>
        <w:rPr>
          <w:rFonts w:hint="cs"/>
          <w:rtl/>
        </w:rPr>
        <w:t xml:space="preserve"> סק"א</w:t>
      </w:r>
      <w:r>
        <w:rPr>
          <w:rtl/>
        </w:rPr>
        <w:t xml:space="preserve"> אות </w:t>
      </w:r>
      <w:r>
        <w:rPr>
          <w:rFonts w:hint="cs"/>
          <w:rtl/>
        </w:rPr>
        <w:t>י"ז</w:t>
      </w:r>
      <w:bookmarkEnd w:id="2834"/>
      <w:bookmarkEnd w:id="2835"/>
    </w:p>
    <w:p w14:paraId="1F5CC52B" w14:textId="77777777" w:rsidR="008925FD" w:rsidRDefault="008925FD" w:rsidP="008925FD">
      <w:pPr>
        <w:pStyle w:val="a7"/>
        <w:rPr>
          <w:rtl/>
        </w:rPr>
      </w:pPr>
      <w:bookmarkStart w:id="2836" w:name="_Toc139277132"/>
      <w:r>
        <w:rPr>
          <w:rFonts w:hint="cs"/>
          <w:rtl/>
        </w:rPr>
        <w:t>בי' האגל"ט בתוס' דפסולת מתוך אוכל לאלתר וביד מותר דלא כר"ח ובקנון אסור ובנפה חייב</w:t>
      </w:r>
      <w:bookmarkEnd w:id="2836"/>
    </w:p>
    <w:p w14:paraId="4504C289" w14:textId="2A6A1BCE" w:rsidR="008925FD" w:rsidRDefault="008925FD" w:rsidP="00BC7DC8">
      <w:pPr>
        <w:pStyle w:val="a3"/>
      </w:pPr>
      <w:bookmarkStart w:id="2837" w:name="_Ref138969513"/>
      <w:r>
        <w:rPr>
          <w:rFonts w:hint="cs"/>
          <w:rtl/>
        </w:rPr>
        <w:t xml:space="preserve">בדעת </w:t>
      </w:r>
      <w:r w:rsidRPr="007E653E">
        <w:rPr>
          <w:rStyle w:val="aff4"/>
          <w:rFonts w:hint="cs"/>
          <w:vanish/>
          <w:rtl/>
        </w:rPr>
        <w:t>-</w:t>
      </w:r>
      <w:r w:rsidRPr="00194A43">
        <w:rPr>
          <w:rStyle w:val="aff4"/>
          <w:rFonts w:hint="cs"/>
          <w:rtl/>
        </w:rPr>
        <w:t>התוס'</w:t>
      </w:r>
      <w:r w:rsidRPr="007E653E">
        <w:rPr>
          <w:rStyle w:val="aff4"/>
          <w:rFonts w:hint="cs"/>
          <w:vanish/>
          <w:rtl/>
        </w:rPr>
        <w:t>-</w:t>
      </w:r>
      <w:r>
        <w:rPr>
          <w:rFonts w:hint="cs"/>
          <w:rtl/>
        </w:rPr>
        <w:t xml:space="preserve"> </w:t>
      </w:r>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Ref138664935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נא)</w:t>
      </w:r>
      <w:r>
        <w:rPr>
          <w:rStyle w:val="af2"/>
          <w:rFonts w:eastAsia="Guttman Hodes"/>
          <w:rtl/>
        </w:rPr>
        <w:fldChar w:fldCharType="end"/>
      </w:r>
      <w:r>
        <w:rPr>
          <w:rFonts w:hint="cs"/>
          <w:rtl/>
        </w:rPr>
        <w:t xml:space="preserve"> ביאר </w:t>
      </w:r>
      <w:r w:rsidRPr="007E653E">
        <w:rPr>
          <w:rStyle w:val="aff4"/>
          <w:rFonts w:hint="cs"/>
          <w:vanish/>
          <w:rtl/>
        </w:rPr>
        <w:t>-</w:t>
      </w:r>
      <w:r w:rsidRPr="00194A43">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Ref138969513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עו)</w:t>
      </w:r>
      <w:r>
        <w:rPr>
          <w:rStyle w:val="aff4"/>
          <w:vanish/>
          <w:rtl/>
        </w:rPr>
        <w:fldChar w:fldCharType="end"/>
      </w:r>
      <w:r>
        <w:rPr>
          <w:rStyle w:val="aff4"/>
          <w:rFonts w:hint="cs"/>
          <w:vanish/>
          <w:rtl/>
        </w:rPr>
        <w:t xml:space="preserve"> &gt;</w:t>
      </w:r>
      <w:r w:rsidRPr="00194A43">
        <w:rPr>
          <w:rStyle w:val="aff4"/>
          <w:rFonts w:hint="cs"/>
          <w:rtl/>
        </w:rPr>
        <w:t>אגלי טל</w:t>
      </w:r>
      <w:r w:rsidRPr="007E653E">
        <w:rPr>
          <w:rStyle w:val="aff4"/>
          <w:rFonts w:hint="cs"/>
          <w:vanish/>
          <w:rtl/>
        </w:rPr>
        <w:t>-</w:t>
      </w:r>
      <w:r>
        <w:rPr>
          <w:rFonts w:hint="cs"/>
          <w:rtl/>
        </w:rPr>
        <w:t xml:space="preserve"> </w:t>
      </w:r>
      <w:r w:rsidRPr="000D251D">
        <w:rPr>
          <w:rStyle w:val="af2"/>
          <w:rFonts w:eastAsia="Guttman Hodes" w:hint="cs"/>
          <w:rtl/>
        </w:rPr>
        <w:t>(בורר סק"א אות י"ז)</w:t>
      </w:r>
      <w:r w:rsidRPr="007E653E">
        <w:rPr>
          <w:rFonts w:hint="cs"/>
          <w:vanish/>
          <w:rtl/>
        </w:rPr>
        <w:t>=</w:t>
      </w:r>
      <w:r>
        <w:rPr>
          <w:rFonts w:hint="cs"/>
          <w:rtl/>
        </w:rPr>
        <w:t xml:space="preserve"> דבפסולת מתוך אוכל לאחר זמן אסור בין ביד ובין בתמחוי, וחייב בנפה וכברה, ובפסולת מתוך אוכל לאלתר ביד מותר ובקנון ותמחוי פטור אבל אסור, ובנפה וכברה חייב.</w:t>
      </w:r>
      <w:bookmarkEnd w:id="2837"/>
    </w:p>
    <w:p w14:paraId="62A7D949" w14:textId="77777777" w:rsidR="008925FD" w:rsidRPr="00747170" w:rsidRDefault="008925FD" w:rsidP="00747170">
      <w:pPr>
        <w:pStyle w:val="a2"/>
      </w:pPr>
      <w:r w:rsidRPr="00747170">
        <w:rPr>
          <w:rtl/>
        </w:rPr>
        <w:t>(יז) העולה מזה לשיטת התוס' פסולת מתוך אוכל לאחר זמן בין ביד בין בקנון ותמחוי וכ"ש בנפה וכברה חייב חטאת.</w:t>
      </w:r>
    </w:p>
    <w:p w14:paraId="5C47A55A" w14:textId="44996C6F" w:rsidR="008925FD" w:rsidRDefault="008925FD" w:rsidP="008925FD">
      <w:pPr>
        <w:pStyle w:val="afffff7"/>
        <w:rPr>
          <w:rtl/>
        </w:rPr>
      </w:pPr>
      <w:bookmarkStart w:id="2838" w:name="_Toc138755809"/>
      <w:bookmarkStart w:id="2839" w:name="_Toc139277214"/>
      <w:bookmarkStart w:id="2840" w:name="_Toc163505917"/>
      <w:r>
        <w:rPr>
          <w:rtl/>
        </w:rPr>
        <w:t>אגלי טל בורר</w:t>
      </w:r>
      <w:r>
        <w:rPr>
          <w:rFonts w:hint="cs"/>
          <w:rtl/>
        </w:rPr>
        <w:t xml:space="preserve"> סק"א</w:t>
      </w:r>
      <w:r>
        <w:rPr>
          <w:rtl/>
        </w:rPr>
        <w:t xml:space="preserve"> אות </w:t>
      </w:r>
      <w:r>
        <w:rPr>
          <w:rFonts w:hint="cs"/>
          <w:rtl/>
        </w:rPr>
        <w:t>ט"ז</w:t>
      </w:r>
      <w:bookmarkEnd w:id="2838"/>
      <w:bookmarkEnd w:id="2839"/>
      <w:bookmarkEnd w:id="2840"/>
    </w:p>
    <w:p w14:paraId="439F53BF" w14:textId="77777777" w:rsidR="008925FD" w:rsidRDefault="008925FD" w:rsidP="008925FD">
      <w:pPr>
        <w:pStyle w:val="a7"/>
        <w:rPr>
          <w:rtl/>
        </w:rPr>
      </w:pPr>
      <w:bookmarkStart w:id="2841" w:name="_Toc139277133"/>
      <w:r>
        <w:rPr>
          <w:rFonts w:hint="cs"/>
          <w:rtl/>
        </w:rPr>
        <w:t>בי' האגל"ט דתוס' לא ס"ל כר"ח דהברייתא רק באוכל מפסולת אלא אף פסולת מאוכל מותר</w:t>
      </w:r>
      <w:bookmarkEnd w:id="2841"/>
      <w:r>
        <w:rPr>
          <w:rFonts w:hint="cs"/>
          <w:rtl/>
        </w:rPr>
        <w:t xml:space="preserve"> </w:t>
      </w:r>
    </w:p>
    <w:p w14:paraId="525CAF5C" w14:textId="143ECD4A" w:rsidR="008925FD" w:rsidRPr="00C224E3" w:rsidRDefault="008925FD" w:rsidP="00BC7DC8">
      <w:pPr>
        <w:pStyle w:val="a3"/>
        <w:rPr>
          <w:rtl/>
        </w:rPr>
      </w:pPr>
      <w:bookmarkStart w:id="2842" w:name="_Ref138062935"/>
      <w:bookmarkStart w:id="2843" w:name="_Ref138073988"/>
      <w:r>
        <w:rPr>
          <w:rFonts w:hint="cs"/>
          <w:rtl/>
        </w:rPr>
        <w:t xml:space="preserve">וביאר </w:t>
      </w:r>
      <w:r w:rsidRPr="00194A43">
        <w:rPr>
          <w:rStyle w:val="aff4"/>
          <w:rFonts w:hint="cs"/>
          <w:vanish/>
          <w:rtl/>
        </w:rPr>
        <w:t>-</w:t>
      </w:r>
      <w:r w:rsidRPr="00194A43">
        <w:rPr>
          <w:rStyle w:val="aff4"/>
          <w:rFonts w:hint="cs"/>
          <w:rtl/>
        </w:rPr>
        <w:t>ה</w:t>
      </w:r>
      <w:r w:rsidRPr="00194A43">
        <w:rPr>
          <w:rStyle w:val="aff4"/>
          <w:rFonts w:hint="cs"/>
          <w:vanish/>
          <w:rtl/>
        </w:rPr>
        <w:t xml:space="preserve">&lt;. </w:t>
      </w:r>
      <w:r w:rsidRPr="00194A43">
        <w:rPr>
          <w:rStyle w:val="aff4"/>
          <w:vanish/>
          <w:rtl/>
        </w:rPr>
        <w:fldChar w:fldCharType="begin"/>
      </w:r>
      <w:r w:rsidRPr="00194A43">
        <w:rPr>
          <w:rStyle w:val="aff4"/>
          <w:vanish/>
          <w:rtl/>
        </w:rPr>
        <w:instrText xml:space="preserve"> </w:instrText>
      </w:r>
      <w:r w:rsidRPr="00194A43">
        <w:rPr>
          <w:rStyle w:val="aff4"/>
          <w:rFonts w:hint="cs"/>
          <w:vanish/>
        </w:rPr>
        <w:instrText>REF</w:instrText>
      </w:r>
      <w:r w:rsidRPr="00194A43">
        <w:rPr>
          <w:rStyle w:val="aff4"/>
          <w:rFonts w:hint="cs"/>
          <w:vanish/>
          <w:rtl/>
        </w:rPr>
        <w:instrText xml:space="preserve"> _</w:instrText>
      </w:r>
      <w:r w:rsidRPr="00194A43">
        <w:rPr>
          <w:rStyle w:val="aff4"/>
          <w:rFonts w:hint="cs"/>
          <w:vanish/>
        </w:rPr>
        <w:instrText>Ref138062935 \r \h</w:instrText>
      </w:r>
      <w:r w:rsidRPr="00194A43">
        <w:rPr>
          <w:rStyle w:val="aff4"/>
          <w:vanish/>
          <w:rtl/>
        </w:rPr>
        <w:instrText xml:space="preserve"> </w:instrText>
      </w:r>
      <w:r w:rsidRPr="00194A43">
        <w:rPr>
          <w:rStyle w:val="aff4"/>
          <w:vanish/>
          <w:rtl/>
        </w:rPr>
      </w:r>
      <w:r w:rsidRPr="00194A43">
        <w:rPr>
          <w:rStyle w:val="aff4"/>
          <w:vanish/>
          <w:rtl/>
        </w:rPr>
        <w:fldChar w:fldCharType="separate"/>
      </w:r>
      <w:r w:rsidR="00D82181">
        <w:rPr>
          <w:rStyle w:val="aff4"/>
          <w:vanish/>
          <w:cs/>
        </w:rPr>
        <w:t>‎</w:t>
      </w:r>
      <w:r w:rsidR="00D82181">
        <w:rPr>
          <w:rStyle w:val="aff4"/>
          <w:vanish/>
          <w:rtl/>
        </w:rPr>
        <w:t>עז)</w:t>
      </w:r>
      <w:r w:rsidRPr="00194A43">
        <w:rPr>
          <w:rStyle w:val="aff4"/>
          <w:vanish/>
          <w:rtl/>
        </w:rPr>
        <w:fldChar w:fldCharType="end"/>
      </w:r>
      <w:r w:rsidRPr="00194A43">
        <w:rPr>
          <w:rStyle w:val="aff4"/>
          <w:rFonts w:hint="cs"/>
          <w:vanish/>
          <w:rtl/>
        </w:rPr>
        <w:t xml:space="preserve"> &gt;</w:t>
      </w:r>
      <w:r w:rsidRPr="00194A43">
        <w:rPr>
          <w:rStyle w:val="aff4"/>
          <w:rFonts w:hint="cs"/>
          <w:rtl/>
        </w:rPr>
        <w:t>אגלי טל</w:t>
      </w:r>
      <w:r w:rsidRPr="00194A43">
        <w:rPr>
          <w:rStyle w:val="aff4"/>
          <w:rFonts w:hint="cs"/>
          <w:vanish/>
          <w:rtl/>
        </w:rPr>
        <w:t>-</w:t>
      </w:r>
      <w:r>
        <w:rPr>
          <w:rFonts w:hint="cs"/>
          <w:rtl/>
        </w:rPr>
        <w:t xml:space="preserve"> </w:t>
      </w:r>
      <w:r w:rsidRPr="000D251D">
        <w:rPr>
          <w:rStyle w:val="af2"/>
          <w:rFonts w:eastAsia="Guttman Hodes" w:hint="cs"/>
          <w:rtl/>
        </w:rPr>
        <w:t>(בורר סק"א אות ט"ז)</w:t>
      </w:r>
      <w:r w:rsidRPr="00194A43">
        <w:rPr>
          <w:rFonts w:hint="cs"/>
          <w:vanish/>
          <w:rtl/>
        </w:rPr>
        <w:t>=</w:t>
      </w:r>
      <w:r>
        <w:rPr>
          <w:rFonts w:hint="cs"/>
          <w:rtl/>
        </w:rPr>
        <w:t xml:space="preserve"> דמהא דהביאו </w:t>
      </w:r>
      <w:r w:rsidRPr="00194A43">
        <w:rPr>
          <w:rStyle w:val="aff4"/>
          <w:rFonts w:hint="cs"/>
          <w:vanish/>
          <w:rtl/>
        </w:rPr>
        <w:t>-</w:t>
      </w:r>
      <w:r w:rsidRPr="00194A43">
        <w:rPr>
          <w:rStyle w:val="aff4"/>
          <w:rFonts w:hint="cs"/>
          <w:rtl/>
        </w:rPr>
        <w:t>התוס'</w:t>
      </w:r>
      <w:r w:rsidRPr="00194A43">
        <w:rPr>
          <w:rStyle w:val="aff4"/>
          <w:rFonts w:hint="cs"/>
          <w:vanish/>
          <w:rtl/>
        </w:rPr>
        <w:t>-</w:t>
      </w:r>
      <w:r>
        <w:rPr>
          <w:rFonts w:hint="cs"/>
          <w:rtl/>
        </w:rPr>
        <w:t xml:space="preserve"> </w:t>
      </w:r>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Ref138664935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נא)</w:t>
      </w:r>
      <w:r>
        <w:rPr>
          <w:rStyle w:val="af2"/>
          <w:rFonts w:eastAsia="Guttman Hodes"/>
          <w:rtl/>
        </w:rPr>
        <w:fldChar w:fldCharType="end"/>
      </w:r>
      <w:r>
        <w:t xml:space="preserve"> </w:t>
      </w:r>
      <w:r>
        <w:rPr>
          <w:rFonts w:hint="cs"/>
          <w:rtl/>
        </w:rPr>
        <w:t xml:space="preserve">את דברי </w:t>
      </w:r>
      <w:r w:rsidRPr="00194A43">
        <w:rPr>
          <w:rStyle w:val="aff4"/>
          <w:rFonts w:hint="cs"/>
          <w:vanish/>
          <w:rtl/>
        </w:rPr>
        <w:t>-</w:t>
      </w:r>
      <w:r w:rsidRPr="00194A43">
        <w:rPr>
          <w:rStyle w:val="aff4"/>
          <w:rFonts w:hint="cs"/>
          <w:rtl/>
        </w:rPr>
        <w:t>ר"ח</w:t>
      </w:r>
      <w:r w:rsidRPr="00194A43">
        <w:rPr>
          <w:rStyle w:val="aff4"/>
          <w:rFonts w:hint="cs"/>
          <w:vanish/>
          <w:rtl/>
        </w:rPr>
        <w:t>-</w:t>
      </w:r>
      <w:r>
        <w:rPr>
          <w:rFonts w:hint="cs"/>
          <w:rtl/>
        </w:rPr>
        <w:t xml:space="preserve"> </w:t>
      </w:r>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Ref139187404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w:t>
      </w:r>
      <w:r>
        <w:rPr>
          <w:rStyle w:val="af2"/>
          <w:rFonts w:eastAsia="Guttman Hodes"/>
          <w:rtl/>
        </w:rPr>
        <w:fldChar w:fldCharType="end"/>
      </w:r>
      <w:r>
        <w:rPr>
          <w:rFonts w:hint="cs"/>
          <w:rtl/>
        </w:rPr>
        <w:t xml:space="preserve"> דכתב דהיתר בורר לאלתר ביד הוא לכתחילה, ובקנון פטור אבל אסור ובנפה חייב חטאת, </w:t>
      </w:r>
      <w:bookmarkEnd w:id="2842"/>
      <w:r>
        <w:rPr>
          <w:rFonts w:hint="cs"/>
          <w:rtl/>
        </w:rPr>
        <w:t xml:space="preserve">לכאורה היה משמע דס"ל </w:t>
      </w:r>
      <w:r w:rsidRPr="00194A43">
        <w:rPr>
          <w:rStyle w:val="aff4"/>
          <w:rFonts w:hint="cs"/>
          <w:vanish/>
          <w:rtl/>
        </w:rPr>
        <w:t>-</w:t>
      </w:r>
      <w:r w:rsidRPr="00194A43">
        <w:rPr>
          <w:rStyle w:val="aff4"/>
          <w:rFonts w:hint="cs"/>
          <w:rtl/>
        </w:rPr>
        <w:t>לתוס' כר"ח</w:t>
      </w:r>
      <w:r w:rsidRPr="00194A43">
        <w:rPr>
          <w:rStyle w:val="aff4"/>
          <w:rFonts w:hint="cs"/>
          <w:vanish/>
          <w:rtl/>
        </w:rPr>
        <w:t>-</w:t>
      </w:r>
      <w:r>
        <w:rPr>
          <w:rFonts w:hint="cs"/>
          <w:rtl/>
        </w:rPr>
        <w:t xml:space="preserve"> דהיתר ברירה הוא רק ביד לאלתר ובאוכל מתוך פסולת, אך מהא דהקשו </w:t>
      </w:r>
      <w:r w:rsidRPr="00194A43">
        <w:rPr>
          <w:rStyle w:val="aff4"/>
          <w:rFonts w:hint="cs"/>
          <w:vanish/>
          <w:rtl/>
        </w:rPr>
        <w:t>-</w:t>
      </w:r>
      <w:r w:rsidRPr="00194A43">
        <w:rPr>
          <w:rStyle w:val="aff4"/>
          <w:rFonts w:hint="cs"/>
          <w:rtl/>
        </w:rPr>
        <w:t>ה</w:t>
      </w:r>
      <w:r w:rsidRPr="006E698D">
        <w:rPr>
          <w:rStyle w:val="aff4"/>
          <w:rFonts w:hint="cs"/>
          <w:vanish/>
          <w:rtl/>
        </w:rPr>
        <w:t>&lt; &gt;</w:t>
      </w:r>
      <w:r w:rsidRPr="00194A43">
        <w:rPr>
          <w:rStyle w:val="aff4"/>
          <w:rFonts w:hint="cs"/>
          <w:rtl/>
        </w:rPr>
        <w:t>תוס'</w:t>
      </w:r>
      <w:r w:rsidRPr="00194A43">
        <w:rPr>
          <w:rStyle w:val="aff4"/>
          <w:rFonts w:hint="cs"/>
          <w:vanish/>
          <w:rtl/>
        </w:rPr>
        <w:t>-</w:t>
      </w:r>
      <w:r>
        <w:rPr>
          <w:rFonts w:hint="cs"/>
          <w:rtl/>
        </w:rPr>
        <w:t xml:space="preserve"> </w:t>
      </w:r>
      <w:r w:rsidRPr="000D251D">
        <w:rPr>
          <w:rStyle w:val="af2"/>
          <w:rFonts w:eastAsia="Guttman Hodes" w:hint="cs"/>
          <w:rtl/>
        </w:rPr>
        <w:t>(</w:t>
      </w:r>
      <w:r w:rsidRPr="000D251D">
        <w:rPr>
          <w:rStyle w:val="af2"/>
          <w:rFonts w:eastAsia="Guttman Hodes"/>
          <w:rtl/>
        </w:rPr>
        <w:t>ד"ה</w:t>
      </w:r>
      <w:r w:rsidRPr="000D251D">
        <w:rPr>
          <w:rStyle w:val="af2"/>
          <w:rFonts w:eastAsia="Guttman Hodes" w:hint="cs"/>
          <w:rtl/>
        </w:rPr>
        <w:t xml:space="preserve"> </w:t>
      </w:r>
      <w:r w:rsidRPr="000D251D">
        <w:rPr>
          <w:rStyle w:val="af2"/>
          <w:rFonts w:eastAsia="Guttman Hodes"/>
          <w:rtl/>
        </w:rPr>
        <w:t>מתקיף</w:t>
      </w:r>
      <w:r w:rsidRPr="000D251D">
        <w:rPr>
          <w:rStyle w:val="af2"/>
          <w:rFonts w:eastAsia="Guttman Hodes" w:hint="cs"/>
          <w:rtl/>
        </w:rPr>
        <w:t>)</w:t>
      </w:r>
      <w:r w:rsidRPr="006E698D">
        <w:rPr>
          <w:rFonts w:hint="cs"/>
          <w:vanish/>
          <w:rtl/>
        </w:rPr>
        <w:t xml:space="preserve"> </w:t>
      </w:r>
      <w:r w:rsidRPr="00194A43">
        <w:rPr>
          <w:rFonts w:hint="cs"/>
          <w:vanish/>
          <w:rtl/>
        </w:rPr>
        <w:t>=</w:t>
      </w:r>
      <w:r>
        <w:rPr>
          <w:rFonts w:hint="cs"/>
          <w:rtl/>
        </w:rPr>
        <w:t xml:space="preserve"> על </w:t>
      </w:r>
      <w:r w:rsidRPr="006E698D">
        <w:rPr>
          <w:rStyle w:val="aff4"/>
          <w:rFonts w:hint="cs"/>
          <w:vanish/>
          <w:rtl/>
        </w:rPr>
        <w:t>&lt; &gt;</w:t>
      </w:r>
      <w:r w:rsidRPr="00194A43">
        <w:rPr>
          <w:rStyle w:val="aff4"/>
          <w:rFonts w:hint="cs"/>
          <w:vanish/>
          <w:rtl/>
        </w:rPr>
        <w:t>-</w:t>
      </w:r>
      <w:r w:rsidRPr="00194A43">
        <w:rPr>
          <w:rStyle w:val="aff4"/>
          <w:rFonts w:hint="cs"/>
          <w:rtl/>
        </w:rPr>
        <w:t>רש"י</w:t>
      </w:r>
      <w:r w:rsidRPr="00194A43">
        <w:rPr>
          <w:rStyle w:val="aff4"/>
          <w:rFonts w:hint="cs"/>
          <w:vanish/>
          <w:rtl/>
        </w:rPr>
        <w:t>-</w:t>
      </w:r>
      <w:r>
        <w:rPr>
          <w:rFonts w:hint="cs"/>
          <w:rtl/>
        </w:rPr>
        <w:t xml:space="preserve"> </w:t>
      </w:r>
      <w:r w:rsidRPr="000D251D">
        <w:rPr>
          <w:rStyle w:val="af2"/>
          <w:rFonts w:eastAsia="Guttman Hodes" w:hint="cs"/>
          <w:rtl/>
        </w:rPr>
        <w:t>(</w:t>
      </w:r>
      <w:r>
        <w:rPr>
          <w:rStyle w:val="af2"/>
          <w:rFonts w:eastAsia="Guttman Hodes" w:hint="cs"/>
          <w:rtl/>
        </w:rPr>
        <w:t>ד"ה מידי</w:t>
      </w:r>
      <w:r w:rsidRPr="000D251D">
        <w:rPr>
          <w:rStyle w:val="af2"/>
          <w:rFonts w:eastAsia="Guttman Hodes" w:hint="cs"/>
          <w:rtl/>
        </w:rPr>
        <w:t>)</w:t>
      </w:r>
      <w:r w:rsidRPr="006E698D">
        <w:rPr>
          <w:rFonts w:hint="cs"/>
          <w:vanish/>
          <w:rtl/>
        </w:rPr>
        <w:t xml:space="preserve"> </w:t>
      </w:r>
      <w:r w:rsidRPr="00194A43">
        <w:rPr>
          <w:rFonts w:hint="cs"/>
          <w:vanish/>
          <w:rtl/>
        </w:rPr>
        <w:t>=</w:t>
      </w:r>
      <w:r>
        <w:rPr>
          <w:rFonts w:hint="cs"/>
          <w:rtl/>
        </w:rPr>
        <w:t xml:space="preserve"> דכתב דהיה אפשר להקשות "מידי נפה וכברה קתני", דא"כ גם לרב המנונא קשה "מידי אוכל מתוך פסולת קתני", ואי ס"ל כדעת </w:t>
      </w:r>
      <w:r w:rsidRPr="005305D6">
        <w:rPr>
          <w:rStyle w:val="aff4"/>
          <w:rFonts w:hint="cs"/>
          <w:vanish/>
          <w:rtl/>
        </w:rPr>
        <w:t>-</w:t>
      </w:r>
      <w:r w:rsidRPr="00B8766B">
        <w:rPr>
          <w:rStyle w:val="aff4"/>
          <w:rFonts w:hint="cs"/>
          <w:rtl/>
        </w:rPr>
        <w:t>ר"ח</w:t>
      </w:r>
      <w:r w:rsidRPr="005305D6">
        <w:rPr>
          <w:rStyle w:val="aff4"/>
          <w:rFonts w:hint="cs"/>
          <w:vanish/>
          <w:rtl/>
        </w:rPr>
        <w:t>-</w:t>
      </w:r>
      <w:r>
        <w:rPr>
          <w:rFonts w:hint="cs"/>
          <w:rtl/>
        </w:rPr>
        <w:t xml:space="preserve"> א"כ הרי למסקנא לכו"ע כל כל הברייתא היא באוכל מתוך פסולת, כדביאר </w:t>
      </w:r>
      <w:r w:rsidRPr="005305D6">
        <w:rPr>
          <w:rStyle w:val="aff4"/>
          <w:rFonts w:hint="cs"/>
          <w:vanish/>
          <w:rtl/>
        </w:rPr>
        <w:t>-</w:t>
      </w:r>
      <w:r w:rsidRPr="00B8766B">
        <w:rPr>
          <w:rStyle w:val="aff4"/>
          <w:rFonts w:hint="cs"/>
          <w:rtl/>
        </w:rPr>
        <w:t>האגלי טל</w:t>
      </w:r>
      <w:r w:rsidRPr="005305D6">
        <w:rPr>
          <w:rStyle w:val="aff4"/>
          <w:rFonts w:hint="cs"/>
          <w:vanish/>
          <w:rtl/>
        </w:rPr>
        <w:t>-</w:t>
      </w:r>
      <w:r>
        <w:rPr>
          <w:rFonts w:hint="cs"/>
          <w:rtl/>
        </w:rPr>
        <w:t xml:space="preserve"> </w:t>
      </w:r>
      <w:r w:rsidRPr="000D251D">
        <w:rPr>
          <w:rStyle w:val="af2"/>
          <w:rFonts w:eastAsia="Guttman Hodes" w:hint="cs"/>
          <w:rtl/>
        </w:rPr>
        <w:t xml:space="preserve">(עי' אות </w:t>
      </w:r>
      <w:r w:rsidRPr="000D251D">
        <w:rPr>
          <w:rStyle w:val="af2"/>
          <w:rFonts w:eastAsia="Guttman Hodes"/>
          <w:rtl/>
        </w:rPr>
        <w:fldChar w:fldCharType="begin"/>
      </w:r>
      <w:r w:rsidRPr="000D251D">
        <w:rPr>
          <w:rStyle w:val="af2"/>
          <w:rFonts w:eastAsia="Guttman Hodes"/>
          <w:rtl/>
        </w:rPr>
        <w:instrText xml:space="preserve"> </w:instrText>
      </w:r>
      <w:r w:rsidRPr="000D251D">
        <w:rPr>
          <w:rStyle w:val="af2"/>
          <w:rFonts w:eastAsia="Guttman Hodes" w:hint="cs"/>
        </w:rPr>
        <w:instrText>REF</w:instrText>
      </w:r>
      <w:r w:rsidRPr="000D251D">
        <w:rPr>
          <w:rStyle w:val="af2"/>
          <w:rFonts w:eastAsia="Guttman Hodes" w:hint="cs"/>
          <w:rtl/>
        </w:rPr>
        <w:instrText xml:space="preserve"> _</w:instrText>
      </w:r>
      <w:r w:rsidRPr="000D251D">
        <w:rPr>
          <w:rStyle w:val="af2"/>
          <w:rFonts w:eastAsia="Guttman Hodes" w:hint="cs"/>
        </w:rPr>
        <w:instrText>Ref137805899 \r \h</w:instrText>
      </w:r>
      <w:r w:rsidRPr="000D251D">
        <w:rPr>
          <w:rStyle w:val="af2"/>
          <w:rFonts w:eastAsia="Guttman Hodes"/>
          <w:rtl/>
        </w:rPr>
        <w:instrText xml:space="preserve"> </w:instrText>
      </w:r>
      <w:r w:rsidRPr="000D251D">
        <w:rPr>
          <w:rStyle w:val="af2"/>
          <w:rFonts w:eastAsia="Guttman Hodes"/>
          <w:rtl/>
        </w:rPr>
      </w:r>
      <w:r w:rsidRPr="000D251D">
        <w:rPr>
          <w:rStyle w:val="af2"/>
          <w:rFonts w:eastAsia="Guttman Hodes"/>
          <w:rtl/>
        </w:rPr>
        <w:fldChar w:fldCharType="separate"/>
      </w:r>
      <w:r w:rsidR="00D82181">
        <w:rPr>
          <w:rStyle w:val="af2"/>
          <w:rFonts w:eastAsia="Guttman Hodes"/>
          <w:cs/>
        </w:rPr>
        <w:t>‎</w:t>
      </w:r>
      <w:r w:rsidR="00D82181">
        <w:rPr>
          <w:rStyle w:val="af2"/>
          <w:rFonts w:eastAsia="Guttman Hodes"/>
          <w:rtl/>
        </w:rPr>
        <w:t>מב)</w:t>
      </w:r>
      <w:r w:rsidRPr="000D251D">
        <w:rPr>
          <w:rStyle w:val="af2"/>
          <w:rFonts w:eastAsia="Guttman Hodes"/>
          <w:rtl/>
        </w:rPr>
        <w:fldChar w:fldCharType="end"/>
      </w:r>
      <w:r>
        <w:rPr>
          <w:rStyle w:val="af2"/>
          <w:rFonts w:ascii="Guttman Hodes" w:eastAsia="Guttman Hodes" w:hAnsi="Guttman Hodes" w:cs="Guttman Hodes" w:hint="cs"/>
          <w:sz w:val="18"/>
          <w:szCs w:val="18"/>
          <w:rtl/>
        </w:rPr>
        <w:t xml:space="preserve"> </w:t>
      </w:r>
      <w:r>
        <w:rPr>
          <w:rFonts w:hint="cs"/>
          <w:rtl/>
        </w:rPr>
        <w:t xml:space="preserve">בדעת </w:t>
      </w:r>
      <w:r w:rsidRPr="00C46167">
        <w:rPr>
          <w:rStyle w:val="aff4"/>
          <w:rFonts w:hint="cs"/>
          <w:vanish/>
          <w:rtl/>
        </w:rPr>
        <w:t>-</w:t>
      </w:r>
      <w:r w:rsidRPr="00B8766B">
        <w:rPr>
          <w:rStyle w:val="aff4"/>
          <w:rFonts w:hint="cs"/>
          <w:rtl/>
        </w:rPr>
        <w:t>ר"ח</w:t>
      </w:r>
      <w:r w:rsidRPr="00C46167">
        <w:rPr>
          <w:rStyle w:val="aff4"/>
          <w:rFonts w:hint="cs"/>
          <w:vanish/>
          <w:rtl/>
        </w:rPr>
        <w:t>-</w:t>
      </w:r>
      <w:r>
        <w:rPr>
          <w:rFonts w:hint="cs"/>
          <w:rtl/>
        </w:rPr>
        <w:t xml:space="preserve">, </w:t>
      </w:r>
      <w:r w:rsidRPr="00C223C8">
        <w:rPr>
          <w:rStyle w:val="af"/>
          <w:rFonts w:hint="cs"/>
          <w:rtl/>
        </w:rPr>
        <w:t xml:space="preserve">[ולכן לכו"ע מותר רק באוכל מתוך פסולת, </w:t>
      </w:r>
      <w:r>
        <w:rPr>
          <w:rStyle w:val="af"/>
          <w:rFonts w:hint="cs"/>
          <w:rtl/>
        </w:rPr>
        <w:t xml:space="preserve">דלפי"ז </w:t>
      </w:r>
      <w:r w:rsidRPr="00C223C8">
        <w:rPr>
          <w:rStyle w:val="af"/>
          <w:rFonts w:hint="cs"/>
          <w:rtl/>
        </w:rPr>
        <w:t xml:space="preserve">קושית הגמ' אינה דא"א להעמיד כך את הברייתא, אלא </w:t>
      </w:r>
      <w:r>
        <w:rPr>
          <w:rStyle w:val="af"/>
          <w:rFonts w:hint="cs"/>
          <w:rtl/>
        </w:rPr>
        <w:t xml:space="preserve">דכוונת הגמ' להקשות </w:t>
      </w:r>
      <w:r w:rsidRPr="00C223C8">
        <w:rPr>
          <w:rStyle w:val="af"/>
          <w:rFonts w:hint="cs"/>
          <w:rtl/>
        </w:rPr>
        <w:t xml:space="preserve">רק דא"א לחלק בזה בין הרישא לסיפא, כדביאר </w:t>
      </w:r>
      <w:r w:rsidRPr="00AA4A25">
        <w:rPr>
          <w:rStyle w:val="aff9"/>
          <w:rFonts w:hint="cs"/>
          <w:vanish/>
          <w:rtl/>
        </w:rPr>
        <w:t>-</w:t>
      </w:r>
      <w:r w:rsidRPr="00AA4A25">
        <w:rPr>
          <w:rStyle w:val="aff9"/>
          <w:rFonts w:hint="cs"/>
          <w:rtl/>
        </w:rPr>
        <w:t>האגלי טל</w:t>
      </w:r>
      <w:r w:rsidRPr="00AA4A25">
        <w:rPr>
          <w:rStyle w:val="aff9"/>
          <w:rFonts w:hint="cs"/>
          <w:vanish/>
          <w:rtl/>
        </w:rPr>
        <w:t>-</w:t>
      </w:r>
      <w:r w:rsidRPr="00AA4A25">
        <w:rPr>
          <w:rStyle w:val="aff9"/>
          <w:rFonts w:hint="cs"/>
          <w:rtl/>
        </w:rPr>
        <w:t xml:space="preserve"> </w:t>
      </w:r>
      <w:r w:rsidRPr="00AA4A25">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Ref139276659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נה)</w:t>
      </w:r>
      <w:r>
        <w:rPr>
          <w:rStyle w:val="aff0"/>
          <w:rtl/>
        </w:rPr>
        <w:fldChar w:fldCharType="end"/>
      </w:r>
      <w:r w:rsidRPr="00C223C8">
        <w:rPr>
          <w:rStyle w:val="af"/>
          <w:rFonts w:hint="cs"/>
          <w:rtl/>
        </w:rPr>
        <w:t xml:space="preserve"> בדעת </w:t>
      </w:r>
      <w:r w:rsidRPr="00AA4A25">
        <w:rPr>
          <w:rStyle w:val="aff9"/>
          <w:rFonts w:hint="cs"/>
          <w:vanish/>
          <w:rtl/>
        </w:rPr>
        <w:t>-</w:t>
      </w:r>
      <w:r w:rsidRPr="00AA4A25">
        <w:rPr>
          <w:rStyle w:val="aff9"/>
          <w:rFonts w:hint="cs"/>
          <w:rtl/>
        </w:rPr>
        <w:t>רש"י</w:t>
      </w:r>
      <w:r w:rsidRPr="00AA4A25">
        <w:rPr>
          <w:rStyle w:val="aff9"/>
          <w:rFonts w:hint="cs"/>
          <w:vanish/>
          <w:rtl/>
        </w:rPr>
        <w:t>-</w:t>
      </w:r>
      <w:r>
        <w:rPr>
          <w:rStyle w:val="af"/>
          <w:rFonts w:hint="cs"/>
          <w:rtl/>
        </w:rPr>
        <w:t xml:space="preserve"> דכל הברייתא בנפה וכברה והחילוק הוא בין לאלתר ללאח"ז, </w:t>
      </w:r>
      <w:r w:rsidRPr="00C223C8">
        <w:rPr>
          <w:rStyle w:val="af"/>
          <w:rFonts w:hint="cs"/>
          <w:rtl/>
        </w:rPr>
        <w:t>וא"כ ה"ה דאפשר להקשות "מידי נפה וכברה קתני", דהיינו רק על החילוק בין הרישא לסיפא, אך כל הברייתא איירי בנפה וכברה ואוכל מתוך פסולת, וברישא איירי לאלתר ולכן מותר לכתחילה אף בנפה וכברה, ובסיפא לאחר זמן דחייב],</w:t>
      </w:r>
      <w:r>
        <w:rPr>
          <w:rFonts w:hint="cs"/>
          <w:rtl/>
        </w:rPr>
        <w:t xml:space="preserve"> וכתב </w:t>
      </w:r>
      <w:r w:rsidRPr="00194A43">
        <w:rPr>
          <w:rStyle w:val="aff4"/>
          <w:rFonts w:hint="cs"/>
          <w:vanish/>
          <w:rtl/>
        </w:rPr>
        <w:t>-</w:t>
      </w:r>
      <w:r w:rsidRPr="00194A43">
        <w:rPr>
          <w:rStyle w:val="aff4"/>
          <w:rFonts w:hint="cs"/>
          <w:rtl/>
        </w:rPr>
        <w:t>האגלי טל</w:t>
      </w:r>
      <w:r w:rsidRPr="00194A43">
        <w:rPr>
          <w:rStyle w:val="aff4"/>
          <w:rFonts w:hint="cs"/>
          <w:vanish/>
          <w:rtl/>
        </w:rPr>
        <w:t>-</w:t>
      </w:r>
      <w:r>
        <w:rPr>
          <w:rFonts w:hint="cs"/>
          <w:rtl/>
        </w:rPr>
        <w:t xml:space="preserve"> דמקושית </w:t>
      </w:r>
      <w:r w:rsidRPr="00194A43">
        <w:rPr>
          <w:rStyle w:val="aff4"/>
          <w:rFonts w:hint="cs"/>
          <w:vanish/>
          <w:rtl/>
        </w:rPr>
        <w:t>-</w:t>
      </w:r>
      <w:r w:rsidRPr="00194A43">
        <w:rPr>
          <w:rStyle w:val="aff4"/>
          <w:rFonts w:hint="cs"/>
          <w:rtl/>
        </w:rPr>
        <w:t>התוס'</w:t>
      </w:r>
      <w:r w:rsidRPr="00194A43">
        <w:rPr>
          <w:rStyle w:val="aff4"/>
          <w:rFonts w:hint="cs"/>
          <w:vanish/>
          <w:rtl/>
        </w:rPr>
        <w:t>-</w:t>
      </w:r>
      <w:r>
        <w:rPr>
          <w:rFonts w:hint="cs"/>
          <w:rtl/>
        </w:rPr>
        <w:t xml:space="preserve"> מוכח דביארו דכוונת הגמ' להקשות דסתם ברירה אינה בנפה וכברה, ולא על החילוק בין הרישא לסיפא, וא"כ ה"ה בקושיה מאוכל מתוך פסולת דסתם ברירה אינה באוכל מתוך פסולת, והרי קושיה זו נשארה אף למסקנא, דלכן תירץ אביי תירוץ אחר ואמר רבה דשפיר אמר, ומוכח דס"ל </w:t>
      </w:r>
      <w:r w:rsidRPr="00194A43">
        <w:rPr>
          <w:rStyle w:val="aff4"/>
          <w:rFonts w:hint="cs"/>
          <w:vanish/>
          <w:rtl/>
        </w:rPr>
        <w:t>-</w:t>
      </w:r>
      <w:r w:rsidRPr="00194A43">
        <w:rPr>
          <w:rStyle w:val="aff4"/>
          <w:rFonts w:hint="cs"/>
          <w:rtl/>
        </w:rPr>
        <w:t>לתוס'</w:t>
      </w:r>
      <w:r w:rsidRPr="00194A43">
        <w:rPr>
          <w:rStyle w:val="aff4"/>
          <w:rFonts w:hint="cs"/>
          <w:vanish/>
          <w:rtl/>
        </w:rPr>
        <w:t>-</w:t>
      </w:r>
      <w:r>
        <w:rPr>
          <w:rFonts w:hint="cs"/>
          <w:rtl/>
        </w:rPr>
        <w:t xml:space="preserve"> דלמסקנא הברייתא לא איירי באוכל מתוך פסולת, אלא איירי בפסולת מתוך אוכל ודלא </w:t>
      </w:r>
      <w:r w:rsidRPr="00194A43">
        <w:rPr>
          <w:rStyle w:val="aff4"/>
          <w:rFonts w:hint="cs"/>
          <w:vanish/>
          <w:rtl/>
        </w:rPr>
        <w:t>-</w:t>
      </w:r>
      <w:r w:rsidRPr="00194A43">
        <w:rPr>
          <w:rStyle w:val="aff4"/>
          <w:rFonts w:hint="cs"/>
          <w:rtl/>
        </w:rPr>
        <w:t>כר"ח</w:t>
      </w:r>
      <w:r w:rsidRPr="00194A43">
        <w:rPr>
          <w:rStyle w:val="aff4"/>
          <w:rFonts w:hint="cs"/>
          <w:vanish/>
          <w:rtl/>
        </w:rPr>
        <w:t>-</w:t>
      </w:r>
      <w:r>
        <w:rPr>
          <w:rFonts w:hint="cs"/>
          <w:rtl/>
        </w:rPr>
        <w:t xml:space="preserve"> דלכו"ע צריך גם את ההיתר דאוכל מתוך פסולת.</w:t>
      </w:r>
      <w:bookmarkEnd w:id="2843"/>
    </w:p>
    <w:p w14:paraId="48C0489E" w14:textId="77777777" w:rsidR="008925FD" w:rsidRPr="00747170" w:rsidRDefault="008925FD" w:rsidP="00747170">
      <w:pPr>
        <w:pStyle w:val="a2"/>
        <w:rPr>
          <w:rtl/>
        </w:rPr>
      </w:pPr>
      <w:r w:rsidRPr="00747170">
        <w:rPr>
          <w:rtl/>
        </w:rPr>
        <w:t>(טז) שיטת התוס' לכאורה נראה כשיטת ר"ח שהרי הביאו פיר"ח בסד"ה והתניא ונראה לר"י כו' וכן משמע מתוך פיר"ח דפי' שיש ג' דינין בבורר לאלתר. דביד מותר לכתחלה בקנון ותמחוי פטור בנפה וכברה חייב חטאת עכ"ל. אך א"א לומר כן שהרי בד"ה מתקיף הקשו לפירש"י דה"ה הוי מצי למיפרך מידי נפה וכברה ואי ס"ל כפי' הנ"ל דקושיא דמידי אוכל מתוך פסולת קתני היינו שלא נרמז רישא אוכל מתוך פסולת וסיפא פסולת מתוך אוכל אבל מ"מ מצי מיירי כולה מתניתא באוכל מתוך פסולת. א"כ לא קשה מידי לפירש"י דהי' יכול להקשות מידי נפה וכברה קתני היינו ג"כ דהיכי נרמז ברישא ביד וסיפא נפה וכברה אבל לעולם כולה מצי איירי בנפה וכברה אוכל מתוך פסולת רק רישא דלאלתר מותר לכתחלה לשיטת רש"י שביארנו שיטתו לעיל וסיפא לאח"ז ע"כ חייב. ומה הוקשה להתוס'. וע"כ דמפרשים קושית הש"ס כפשטא מידי נפה וכברה קתני דסתם ברירה אינה בנפה וכברה וע"כ שפיר הקשה להם כנ"ל וכן קושית הש"ס מידי אוכל מתוך פסולת קתני היינו ג"כ דפשטא דברירה אינה אוכל מתוך פסולת רק פסולת מתוך אוכל והרי קושיא זו נשאר להלכה דמחמת קושיא זו פירש אביי פי' אחר ושבחי' רבא. והנה המסקנא דברייתא מיירי בבורר פסולת מתוך אוכל.</w:t>
      </w:r>
    </w:p>
    <w:p w14:paraId="13AEBA54" w14:textId="7EFB69F2" w:rsidR="008925FD" w:rsidRDefault="008925FD" w:rsidP="008925FD">
      <w:pPr>
        <w:pStyle w:val="a7"/>
        <w:rPr>
          <w:rtl/>
        </w:rPr>
      </w:pPr>
      <w:bookmarkStart w:id="2844" w:name="_Toc139277134"/>
      <w:r>
        <w:rPr>
          <w:rFonts w:hint="cs"/>
          <w:rtl/>
        </w:rPr>
        <w:t>בי' האגל"ט דמוכח בתוס' דהברייתא התירה אף בפסולת מתוך אוכל וכן ביארו בדעת רב ביבי</w:t>
      </w:r>
      <w:bookmarkEnd w:id="2844"/>
    </w:p>
    <w:p w14:paraId="312EF5B1" w14:textId="2F99BB26" w:rsidR="008925FD" w:rsidRPr="00F33750" w:rsidRDefault="008925FD" w:rsidP="00BC7DC8">
      <w:pPr>
        <w:pStyle w:val="a3"/>
      </w:pPr>
      <w:bookmarkStart w:id="2845" w:name="_Ref138073994"/>
      <w:r>
        <w:rPr>
          <w:rFonts w:hint="cs"/>
          <w:rtl/>
        </w:rPr>
        <w:t xml:space="preserve">וכתב </w:t>
      </w:r>
      <w:r w:rsidRPr="00194A43">
        <w:rPr>
          <w:rStyle w:val="aff4"/>
          <w:rFonts w:hint="cs"/>
          <w:vanish/>
          <w:rtl/>
        </w:rPr>
        <w:t>-</w:t>
      </w:r>
      <w:r w:rsidRPr="00194A43">
        <w:rPr>
          <w:rStyle w:val="aff4"/>
          <w:rFonts w:hint="cs"/>
          <w:rtl/>
        </w:rPr>
        <w:t>האגלי טל</w:t>
      </w:r>
      <w:r w:rsidRPr="00194A43">
        <w:rPr>
          <w:rStyle w:val="aff4"/>
          <w:rFonts w:hint="cs"/>
          <w:vanish/>
          <w:rtl/>
        </w:rPr>
        <w:t>-</w:t>
      </w:r>
      <w:r>
        <w:rPr>
          <w:rFonts w:hint="cs"/>
          <w:rtl/>
        </w:rPr>
        <w:t xml:space="preserve"> דכן מוכח במ"ש </w:t>
      </w:r>
      <w:r w:rsidRPr="00FA5B69">
        <w:rPr>
          <w:rStyle w:val="aff4"/>
          <w:rFonts w:hint="cs"/>
          <w:vanish/>
          <w:rtl/>
        </w:rPr>
        <w:t>-</w:t>
      </w:r>
      <w:r w:rsidRPr="00A34B78">
        <w:rPr>
          <w:rStyle w:val="aff4"/>
          <w:rFonts w:hint="cs"/>
          <w:rtl/>
        </w:rPr>
        <w:t>התוס'</w:t>
      </w:r>
      <w:r w:rsidRPr="00FA5B69">
        <w:rPr>
          <w:rStyle w:val="aff4"/>
          <w:rFonts w:hint="cs"/>
          <w:vanish/>
          <w:rtl/>
        </w:rPr>
        <w:t>-</w:t>
      </w:r>
      <w:r>
        <w:rPr>
          <w:rFonts w:hint="cs"/>
          <w:rtl/>
        </w:rPr>
        <w:t xml:space="preserve"> </w:t>
      </w:r>
      <w:r w:rsidRPr="000D251D">
        <w:rPr>
          <w:rStyle w:val="af2"/>
          <w:rFonts w:eastAsia="Guttman Hodes" w:hint="cs"/>
          <w:rtl/>
        </w:rPr>
        <w:t>(ד"ה היו, הובא בסימן ו' אות כ')</w:t>
      </w:r>
      <w:r>
        <w:rPr>
          <w:rStyle w:val="af2"/>
          <w:rFonts w:ascii="Guttman Hodes" w:eastAsia="Guttman Hodes" w:hAnsi="Guttman Hodes" w:cs="Guttman Hodes" w:hint="cs"/>
          <w:sz w:val="18"/>
          <w:szCs w:val="18"/>
          <w:rtl/>
        </w:rPr>
        <w:t xml:space="preserve"> </w:t>
      </w:r>
      <w:r>
        <w:rPr>
          <w:rFonts w:hint="cs"/>
          <w:rtl/>
        </w:rPr>
        <w:t xml:space="preserve">דאף באוכל שייכא ברירה כשבורר את המין שאינו רוצה בו מתוך המין שרוצה לאוכלו, דחשיב כפסולת מתוך אוכל, ומבואר דביארו דההיתר בברייתא הוא אף בפסולת מתוך אוכל, ודלא </w:t>
      </w:r>
      <w:r w:rsidRPr="00194A43">
        <w:rPr>
          <w:rStyle w:val="aff4"/>
          <w:rFonts w:hint="cs"/>
          <w:vanish/>
          <w:rtl/>
        </w:rPr>
        <w:t>-</w:t>
      </w:r>
      <w:r w:rsidRPr="00194A43">
        <w:rPr>
          <w:rStyle w:val="aff4"/>
          <w:rFonts w:hint="cs"/>
          <w:rtl/>
        </w:rPr>
        <w:t>כר"ח</w:t>
      </w:r>
      <w:r w:rsidRPr="00194A43">
        <w:rPr>
          <w:rStyle w:val="aff4"/>
          <w:rFonts w:hint="cs"/>
          <w:vanish/>
          <w:rtl/>
        </w:rPr>
        <w:t>-</w:t>
      </w:r>
      <w:r>
        <w:rPr>
          <w:rFonts w:hint="cs"/>
          <w:rtl/>
        </w:rPr>
        <w:t xml:space="preserve"> דלמסקנא כל הסוגיא היא באוכל מתוך פסולת, וכן מוכח ממ"ש </w:t>
      </w:r>
      <w:r w:rsidRPr="00194A43">
        <w:rPr>
          <w:rStyle w:val="aff4"/>
          <w:rFonts w:hint="cs"/>
          <w:vanish/>
          <w:rtl/>
        </w:rPr>
        <w:t>-</w:t>
      </w:r>
      <w:r w:rsidRPr="00194A43">
        <w:rPr>
          <w:rStyle w:val="aff4"/>
          <w:rFonts w:hint="cs"/>
          <w:rtl/>
        </w:rPr>
        <w:t>התוס'</w:t>
      </w:r>
      <w:r w:rsidRPr="00194A43">
        <w:rPr>
          <w:rStyle w:val="aff4"/>
          <w:rFonts w:hint="cs"/>
          <w:vanish/>
          <w:rtl/>
        </w:rPr>
        <w:t>-</w:t>
      </w:r>
      <w:r>
        <w:rPr>
          <w:rFonts w:hint="cs"/>
          <w:rtl/>
        </w:rPr>
        <w:t xml:space="preserve"> </w:t>
      </w:r>
      <w:r w:rsidRPr="000D251D">
        <w:rPr>
          <w:rStyle w:val="af2"/>
          <w:rFonts w:eastAsia="Guttman Hodes" w:hint="cs"/>
          <w:rtl/>
        </w:rPr>
        <w:t>(</w:t>
      </w:r>
      <w:r w:rsidRPr="000D251D">
        <w:rPr>
          <w:rStyle w:val="af2"/>
          <w:rFonts w:eastAsia="Guttman Rashi" w:hint="cs"/>
          <w:rtl/>
        </w:rPr>
        <w:t xml:space="preserve">עי' אות </w:t>
      </w:r>
      <w:r w:rsidRPr="000D251D">
        <w:rPr>
          <w:rStyle w:val="af2"/>
          <w:rFonts w:eastAsia="Guttman Hodes"/>
          <w:rtl/>
        </w:rPr>
        <w:fldChar w:fldCharType="begin"/>
      </w:r>
      <w:r w:rsidRPr="000D251D">
        <w:rPr>
          <w:rStyle w:val="af2"/>
          <w:rFonts w:eastAsia="Guttman Hodes"/>
          <w:rtl/>
        </w:rPr>
        <w:instrText xml:space="preserve"> </w:instrText>
      </w:r>
      <w:r w:rsidRPr="000D251D">
        <w:rPr>
          <w:rStyle w:val="af2"/>
          <w:rFonts w:eastAsia="Guttman Hodes" w:hint="cs"/>
        </w:rPr>
        <w:instrText>REF</w:instrText>
      </w:r>
      <w:r w:rsidRPr="000D251D">
        <w:rPr>
          <w:rStyle w:val="af2"/>
          <w:rFonts w:eastAsia="Guttman Hodes" w:hint="cs"/>
          <w:rtl/>
        </w:rPr>
        <w:instrText xml:space="preserve"> _</w:instrText>
      </w:r>
      <w:r w:rsidRPr="000D251D">
        <w:rPr>
          <w:rStyle w:val="af2"/>
          <w:rFonts w:eastAsia="Guttman Hodes" w:hint="cs"/>
        </w:rPr>
        <w:instrText>Ref138671355 \r \h</w:instrText>
      </w:r>
      <w:r w:rsidRPr="000D251D">
        <w:rPr>
          <w:rStyle w:val="af2"/>
          <w:rFonts w:eastAsia="Guttman Hodes"/>
          <w:rtl/>
        </w:rPr>
        <w:instrText xml:space="preserve"> </w:instrText>
      </w:r>
      <w:r w:rsidRPr="000D251D">
        <w:rPr>
          <w:rStyle w:val="af2"/>
          <w:rFonts w:eastAsia="Guttman Hodes"/>
          <w:rtl/>
        </w:rPr>
      </w:r>
      <w:r w:rsidRPr="000D251D">
        <w:rPr>
          <w:rStyle w:val="af2"/>
          <w:rFonts w:eastAsia="Guttman Hodes"/>
          <w:rtl/>
        </w:rPr>
        <w:fldChar w:fldCharType="separate"/>
      </w:r>
      <w:r w:rsidR="00D82181">
        <w:rPr>
          <w:rStyle w:val="af2"/>
          <w:rFonts w:eastAsia="Guttman Hodes"/>
          <w:cs/>
        </w:rPr>
        <w:t>‎</w:t>
      </w:r>
      <w:r w:rsidR="00D82181">
        <w:rPr>
          <w:rStyle w:val="af2"/>
          <w:rFonts w:eastAsia="Guttman Hodes"/>
          <w:rtl/>
        </w:rPr>
        <w:t>טז)</w:t>
      </w:r>
      <w:r w:rsidRPr="000D251D">
        <w:rPr>
          <w:rStyle w:val="af2"/>
          <w:rFonts w:eastAsia="Guttman Hodes"/>
          <w:rtl/>
        </w:rPr>
        <w:fldChar w:fldCharType="end"/>
      </w:r>
      <w:r>
        <w:rPr>
          <w:rFonts w:hint="cs"/>
          <w:rtl/>
        </w:rPr>
        <w:t xml:space="preserve"> דא"א לומר דרב ביבי אסר באוכל מתוך פסולת לאלתר, דהא לכו"ע מותר בכה"ג, והקשה </w:t>
      </w:r>
      <w:r w:rsidRPr="00194A43">
        <w:rPr>
          <w:rStyle w:val="aff4"/>
          <w:rFonts w:hint="cs"/>
          <w:vanish/>
          <w:rtl/>
        </w:rPr>
        <w:t>-</w:t>
      </w:r>
      <w:r w:rsidRPr="00194A43">
        <w:rPr>
          <w:rStyle w:val="aff4"/>
          <w:rFonts w:hint="cs"/>
          <w:rtl/>
        </w:rPr>
        <w:t>האגלי טל</w:t>
      </w:r>
      <w:r w:rsidRPr="00194A43">
        <w:rPr>
          <w:rStyle w:val="aff4"/>
          <w:rFonts w:hint="cs"/>
          <w:vanish/>
          <w:rtl/>
        </w:rPr>
        <w:t>-</w:t>
      </w:r>
      <w:r>
        <w:rPr>
          <w:rFonts w:hint="cs"/>
          <w:rtl/>
        </w:rPr>
        <w:t xml:space="preserve"> דא"כ אפשר להקשות להיפך דאי איירי לאחר זמן לכו"ע אסור אף באוכל מתוך </w:t>
      </w:r>
      <w:r>
        <w:rPr>
          <w:rFonts w:hint="cs"/>
          <w:rtl/>
        </w:rPr>
        <w:lastRenderedPageBreak/>
        <w:t xml:space="preserve">פסולת, אלא כתב </w:t>
      </w:r>
      <w:r w:rsidRPr="00194A43">
        <w:rPr>
          <w:rStyle w:val="aff4"/>
          <w:rFonts w:hint="cs"/>
          <w:vanish/>
          <w:rtl/>
        </w:rPr>
        <w:t>-</w:t>
      </w:r>
      <w:r w:rsidRPr="00194A43">
        <w:rPr>
          <w:rStyle w:val="aff4"/>
          <w:rFonts w:hint="cs"/>
          <w:rtl/>
        </w:rPr>
        <w:t>האגלי טל</w:t>
      </w:r>
      <w:r w:rsidRPr="00194A43">
        <w:rPr>
          <w:rStyle w:val="aff4"/>
          <w:rFonts w:hint="cs"/>
          <w:vanish/>
          <w:rtl/>
        </w:rPr>
        <w:t>-</w:t>
      </w:r>
      <w:r>
        <w:rPr>
          <w:rFonts w:hint="cs"/>
          <w:rtl/>
        </w:rPr>
        <w:t xml:space="preserve"> דמוכח </w:t>
      </w:r>
      <w:r w:rsidRPr="00194A43">
        <w:rPr>
          <w:rStyle w:val="aff4"/>
          <w:rFonts w:hint="cs"/>
          <w:vanish/>
          <w:rtl/>
        </w:rPr>
        <w:t>-</w:t>
      </w:r>
      <w:r w:rsidRPr="00194A43">
        <w:rPr>
          <w:rStyle w:val="aff4"/>
          <w:rFonts w:hint="cs"/>
          <w:rtl/>
        </w:rPr>
        <w:t>דהתוס'</w:t>
      </w:r>
      <w:r w:rsidRPr="00194A43">
        <w:rPr>
          <w:rStyle w:val="aff4"/>
          <w:rFonts w:hint="cs"/>
          <w:vanish/>
          <w:rtl/>
        </w:rPr>
        <w:t>-</w:t>
      </w:r>
      <w:r>
        <w:rPr>
          <w:rFonts w:hint="cs"/>
          <w:rtl/>
        </w:rPr>
        <w:t xml:space="preserve"> ס"ל דאיירי בפסולת מתוך אוכל ובזה יש חילוק בין לאלתר ללאחר זמן, ודלא </w:t>
      </w:r>
      <w:r w:rsidRPr="00194A43">
        <w:rPr>
          <w:rStyle w:val="aff4"/>
          <w:rFonts w:hint="cs"/>
          <w:vanish/>
          <w:rtl/>
        </w:rPr>
        <w:t>-</w:t>
      </w:r>
      <w:r w:rsidRPr="00194A43">
        <w:rPr>
          <w:rStyle w:val="aff4"/>
          <w:rFonts w:hint="cs"/>
          <w:rtl/>
        </w:rPr>
        <w:t>כר"ח</w:t>
      </w:r>
      <w:r w:rsidRPr="00194A43">
        <w:rPr>
          <w:rStyle w:val="aff4"/>
          <w:rFonts w:hint="cs"/>
          <w:vanish/>
          <w:rtl/>
        </w:rPr>
        <w:t>-</w:t>
      </w:r>
      <w:r>
        <w:rPr>
          <w:rFonts w:hint="cs"/>
          <w:rtl/>
        </w:rPr>
        <w:t xml:space="preserve"> דביאר דכל הסוגיא איירי באוכל מתוך פסולת, ולא בפסולת מתוך אוכל.</w:t>
      </w:r>
      <w:bookmarkEnd w:id="2845"/>
    </w:p>
    <w:p w14:paraId="71946495" w14:textId="77777777" w:rsidR="008925FD" w:rsidRPr="00747170" w:rsidRDefault="008925FD" w:rsidP="00747170">
      <w:pPr>
        <w:pStyle w:val="a2"/>
      </w:pPr>
      <w:r w:rsidRPr="00747170">
        <w:rPr>
          <w:rtl/>
        </w:rPr>
        <w:t>וכן מוכח בדבריהם בד"ה הי' לפניו שני מיני אוכלין שכתבו וז"ל וכן פיר"ח דבאוכל מתוך אוכל שייך ברירה שבורר אותו שאינו חפץ לאכול מתוך אותו שרוצה לאכול דאותו שאינו חפץ בו חשוב פסולת עכ"ל. ומדכתבו שבורר אותו שאינו חפץ מתוך אותו שחפץ מוכח שמפרשים הסוגיא שבורר פסולת. וכן מוכח עוד בדבריהם בד"ה ולא ידענא וז"ל אבל אין לפרש מה שלא בוררם בשעה שהניח לפניהם דא"כ מאי קאמר אי משום דקסבר אוכל מתוך פסולת אסור דהא לכ"ע שרינן אוכל מתוך פסולת לאלתר. וקשה דה"נ יקשה להיפוך אי לאחר זמן הא לכולי עלמא לא שרינן אוכל מתוך פסולת לאחר זמן אלא ודאי ס"ל בזה דלא כר"ח שפי' הסוגיא באוכל מתוך פסולת אלא בפסולת מתוך אוכל.</w:t>
      </w:r>
    </w:p>
    <w:p w14:paraId="64E3ADCD" w14:textId="2D4689AC" w:rsidR="008925FD" w:rsidRDefault="008925FD" w:rsidP="008925FD">
      <w:pPr>
        <w:pStyle w:val="a7"/>
        <w:rPr>
          <w:rtl/>
        </w:rPr>
      </w:pPr>
      <w:bookmarkStart w:id="2846" w:name="_Toc139277135"/>
      <w:r>
        <w:rPr>
          <w:rFonts w:hint="cs"/>
          <w:rtl/>
        </w:rPr>
        <w:t>בי' האגל"ט בתוס' דלמסקנא נפשט הספק ברב ביבי בפסולת מתוך אוכל ביד ולאלתר דמותר</w:t>
      </w:r>
      <w:bookmarkEnd w:id="2846"/>
    </w:p>
    <w:p w14:paraId="0D8F6D1D" w14:textId="76793A64" w:rsidR="008925FD" w:rsidRDefault="008925FD" w:rsidP="00BC7DC8">
      <w:pPr>
        <w:pStyle w:val="a3"/>
        <w:rPr>
          <w:rtl/>
        </w:rPr>
      </w:pPr>
      <w:bookmarkStart w:id="2847" w:name="_Ref138074008"/>
      <w:r>
        <w:rPr>
          <w:rFonts w:hint="cs"/>
          <w:rtl/>
        </w:rPr>
        <w:t xml:space="preserve">וביאר </w:t>
      </w:r>
      <w:r w:rsidRPr="00194A43">
        <w:rPr>
          <w:rStyle w:val="aff4"/>
          <w:rFonts w:hint="cs"/>
          <w:vanish/>
          <w:rtl/>
        </w:rPr>
        <w:t>-</w:t>
      </w:r>
      <w:r w:rsidRPr="00194A43">
        <w:rPr>
          <w:rStyle w:val="aff4"/>
          <w:rFonts w:hint="cs"/>
          <w:rtl/>
        </w:rPr>
        <w:t>האגלי טל</w:t>
      </w:r>
      <w:r w:rsidRPr="00194A43">
        <w:rPr>
          <w:rStyle w:val="aff4"/>
          <w:rFonts w:hint="cs"/>
          <w:vanish/>
          <w:rtl/>
        </w:rPr>
        <w:t>-</w:t>
      </w:r>
      <w:r>
        <w:rPr>
          <w:rFonts w:hint="cs"/>
          <w:rtl/>
        </w:rPr>
        <w:t xml:space="preserve"> דס"ל </w:t>
      </w:r>
      <w:r w:rsidRPr="00194A43">
        <w:rPr>
          <w:rStyle w:val="aff4"/>
          <w:rFonts w:hint="cs"/>
          <w:vanish/>
          <w:rtl/>
        </w:rPr>
        <w:t>-</w:t>
      </w:r>
      <w:r w:rsidRPr="00194A43">
        <w:rPr>
          <w:rStyle w:val="aff4"/>
          <w:rFonts w:hint="cs"/>
          <w:rtl/>
        </w:rPr>
        <w:t>לתוס'</w:t>
      </w:r>
      <w:r w:rsidRPr="00194A43">
        <w:rPr>
          <w:rStyle w:val="aff4"/>
          <w:rFonts w:hint="cs"/>
          <w:vanish/>
          <w:rtl/>
        </w:rPr>
        <w:t>-</w:t>
      </w:r>
      <w:r>
        <w:rPr>
          <w:rFonts w:hint="cs"/>
          <w:rtl/>
        </w:rPr>
        <w:t xml:space="preserve"> דאיירי בפסולת מתוך אוכל, ובזה הדין בלאלתר דביד מותר ובקנון ותמחוי פטור ובנפה וכברה חייב חטאת, ולאחר זמן הוא תלוי בספק של רב אמי במעשה דרב ביבי, וכתב </w:t>
      </w:r>
      <w:r w:rsidRPr="00194A43">
        <w:rPr>
          <w:rStyle w:val="aff4"/>
          <w:rFonts w:hint="cs"/>
          <w:vanish/>
          <w:rtl/>
        </w:rPr>
        <w:t>-</w:t>
      </w:r>
      <w:r w:rsidRPr="00194A43">
        <w:rPr>
          <w:rStyle w:val="aff4"/>
          <w:rFonts w:hint="cs"/>
          <w:rtl/>
        </w:rPr>
        <w:t>האגלי טל דלתוס'</w:t>
      </w:r>
      <w:r w:rsidRPr="00194A43">
        <w:rPr>
          <w:rStyle w:val="aff4"/>
          <w:rFonts w:hint="cs"/>
          <w:vanish/>
          <w:rtl/>
        </w:rPr>
        <w:t>-</w:t>
      </w:r>
      <w:r>
        <w:rPr>
          <w:rFonts w:hint="cs"/>
          <w:rtl/>
        </w:rPr>
        <w:t xml:space="preserve"> מוכח דלמסקנא דהספק נפשט לקולא, דהא בדברי חזקיה דחייב בתורמוסין מקשה הגמ' דמשמע דס"ל דאוכל מתוך פסולת אסור, </w:t>
      </w:r>
      <w:r w:rsidRPr="00194A43">
        <w:rPr>
          <w:rStyle w:val="aff4"/>
          <w:rFonts w:hint="cs"/>
          <w:vanish/>
          <w:rtl/>
        </w:rPr>
        <w:t>-</w:t>
      </w:r>
      <w:r w:rsidRPr="00194A43">
        <w:rPr>
          <w:rStyle w:val="aff4"/>
          <w:rFonts w:hint="cs"/>
          <w:rtl/>
        </w:rPr>
        <w:t>ולתוס'</w:t>
      </w:r>
      <w:r w:rsidRPr="00194A43">
        <w:rPr>
          <w:rStyle w:val="aff4"/>
          <w:rFonts w:hint="cs"/>
          <w:vanish/>
          <w:rtl/>
        </w:rPr>
        <w:t>-</w:t>
      </w:r>
      <w:r>
        <w:rPr>
          <w:rFonts w:hint="cs"/>
          <w:rtl/>
        </w:rPr>
        <w:t xml:space="preserve"> א"א לומר דאיירי לאלתר דהא כתבו </w:t>
      </w:r>
      <w:r w:rsidRPr="00194A43">
        <w:rPr>
          <w:rStyle w:val="aff4"/>
          <w:rFonts w:hint="cs"/>
          <w:vanish/>
          <w:rtl/>
        </w:rPr>
        <w:t>-</w:t>
      </w:r>
      <w:r w:rsidRPr="00194A43">
        <w:rPr>
          <w:rStyle w:val="aff4"/>
          <w:rFonts w:hint="cs"/>
          <w:rtl/>
        </w:rPr>
        <w:t>התוס'</w:t>
      </w:r>
      <w:r w:rsidRPr="00194A43">
        <w:rPr>
          <w:rStyle w:val="aff4"/>
          <w:rFonts w:hint="cs"/>
          <w:vanish/>
          <w:rtl/>
        </w:rPr>
        <w:t>-</w:t>
      </w:r>
      <w:r>
        <w:rPr>
          <w:rFonts w:hint="cs"/>
          <w:rtl/>
        </w:rPr>
        <w:t xml:space="preserve"> </w:t>
      </w:r>
      <w:r w:rsidRPr="000D251D">
        <w:rPr>
          <w:rStyle w:val="af2"/>
          <w:rFonts w:eastAsia="Guttman Rashi" w:hint="cs"/>
          <w:rtl/>
        </w:rPr>
        <w:t xml:space="preserve">(עי' אות </w:t>
      </w:r>
      <w:r w:rsidRPr="000D251D">
        <w:rPr>
          <w:rStyle w:val="af2"/>
          <w:rFonts w:eastAsia="Guttman Hodes"/>
          <w:rtl/>
        </w:rPr>
        <w:fldChar w:fldCharType="begin"/>
      </w:r>
      <w:r w:rsidRPr="000D251D">
        <w:rPr>
          <w:rStyle w:val="af2"/>
          <w:rFonts w:eastAsia="Guttman Hodes"/>
          <w:rtl/>
        </w:rPr>
        <w:instrText xml:space="preserve"> </w:instrText>
      </w:r>
      <w:r w:rsidRPr="000D251D">
        <w:rPr>
          <w:rStyle w:val="af2"/>
          <w:rFonts w:eastAsia="Guttman Hodes" w:hint="cs"/>
        </w:rPr>
        <w:instrText>REF</w:instrText>
      </w:r>
      <w:r w:rsidRPr="000D251D">
        <w:rPr>
          <w:rStyle w:val="af2"/>
          <w:rFonts w:eastAsia="Guttman Hodes" w:hint="cs"/>
          <w:rtl/>
        </w:rPr>
        <w:instrText xml:space="preserve"> _</w:instrText>
      </w:r>
      <w:r w:rsidRPr="000D251D">
        <w:rPr>
          <w:rStyle w:val="af2"/>
          <w:rFonts w:eastAsia="Guttman Hodes" w:hint="cs"/>
        </w:rPr>
        <w:instrText>Ref138671355 \r \h</w:instrText>
      </w:r>
      <w:r w:rsidRPr="000D251D">
        <w:rPr>
          <w:rStyle w:val="af2"/>
          <w:rFonts w:eastAsia="Guttman Hodes"/>
          <w:rtl/>
        </w:rPr>
        <w:instrText xml:space="preserve"> </w:instrText>
      </w:r>
      <w:r w:rsidRPr="000D251D">
        <w:rPr>
          <w:rStyle w:val="af2"/>
          <w:rFonts w:eastAsia="Guttman Hodes"/>
          <w:rtl/>
        </w:rPr>
      </w:r>
      <w:r w:rsidRPr="000D251D">
        <w:rPr>
          <w:rStyle w:val="af2"/>
          <w:rFonts w:eastAsia="Guttman Hodes"/>
          <w:rtl/>
        </w:rPr>
        <w:fldChar w:fldCharType="separate"/>
      </w:r>
      <w:r w:rsidR="00D82181">
        <w:rPr>
          <w:rStyle w:val="af2"/>
          <w:rFonts w:eastAsia="Guttman Hodes"/>
          <w:cs/>
        </w:rPr>
        <w:t>‎</w:t>
      </w:r>
      <w:r w:rsidR="00D82181">
        <w:rPr>
          <w:rStyle w:val="af2"/>
          <w:rFonts w:eastAsia="Guttman Hodes"/>
          <w:rtl/>
        </w:rPr>
        <w:t>טז)</w:t>
      </w:r>
      <w:r w:rsidRPr="000D251D">
        <w:rPr>
          <w:rStyle w:val="af2"/>
          <w:rFonts w:eastAsia="Guttman Hodes"/>
          <w:rtl/>
        </w:rPr>
        <w:fldChar w:fldCharType="end"/>
      </w:r>
      <w:r w:rsidRPr="00CB68E8">
        <w:rPr>
          <w:rFonts w:hint="cs"/>
          <w:rtl/>
        </w:rPr>
        <w:t xml:space="preserve"> </w:t>
      </w:r>
      <w:r>
        <w:rPr>
          <w:rFonts w:hint="cs"/>
          <w:rtl/>
        </w:rPr>
        <w:t xml:space="preserve">דלכו"ע אין איסור באוכל מתוך פסולת, ומוכח דאיירי בלאחר זמן, וא"כ מתירוץ הגמ' דתורמוסין הוא כפסולת מתוך אוכל, משמע דבאוכל מתוך פסולת מותר אף לאחר זמן, אך כתב </w:t>
      </w:r>
      <w:r w:rsidRPr="00194A43">
        <w:rPr>
          <w:rStyle w:val="aff4"/>
          <w:rFonts w:hint="cs"/>
          <w:vanish/>
          <w:rtl/>
        </w:rPr>
        <w:t>-</w:t>
      </w:r>
      <w:r w:rsidRPr="00194A43">
        <w:rPr>
          <w:rStyle w:val="aff4"/>
          <w:rFonts w:hint="cs"/>
          <w:rtl/>
        </w:rPr>
        <w:t>האגלי טל</w:t>
      </w:r>
      <w:r w:rsidRPr="00194A43">
        <w:rPr>
          <w:rStyle w:val="aff4"/>
          <w:rFonts w:hint="cs"/>
          <w:vanish/>
          <w:rtl/>
        </w:rPr>
        <w:t>-</w:t>
      </w:r>
      <w:r>
        <w:rPr>
          <w:rFonts w:hint="cs"/>
          <w:rtl/>
        </w:rPr>
        <w:t xml:space="preserve"> דאי"ז מוכרח. </w:t>
      </w:r>
      <w:r w:rsidRPr="000D251D">
        <w:rPr>
          <w:rStyle w:val="af"/>
          <w:rFonts w:hint="cs"/>
          <w:rtl/>
        </w:rPr>
        <w:t xml:space="preserve">[וכתב </w:t>
      </w:r>
      <w:r w:rsidRPr="009B1F18">
        <w:rPr>
          <w:rStyle w:val="aff9"/>
          <w:rFonts w:hint="cs"/>
          <w:vanish/>
          <w:rtl/>
        </w:rPr>
        <w:t>-</w:t>
      </w:r>
      <w:r w:rsidRPr="009B1F18">
        <w:rPr>
          <w:rStyle w:val="aff9"/>
          <w:rFonts w:hint="cs"/>
          <w:rtl/>
        </w:rPr>
        <w:t>האגלי טל</w:t>
      </w:r>
      <w:r w:rsidRPr="009B1F18">
        <w:rPr>
          <w:rStyle w:val="aff9"/>
          <w:rFonts w:hint="cs"/>
          <w:vanish/>
          <w:rtl/>
        </w:rPr>
        <w:t>-</w:t>
      </w:r>
      <w:r w:rsidRPr="000D251D">
        <w:rPr>
          <w:rStyle w:val="af"/>
          <w:rFonts w:hint="cs"/>
          <w:rtl/>
        </w:rPr>
        <w:t xml:space="preserve"> דכן מבואר בדברי </w:t>
      </w:r>
      <w:r w:rsidRPr="009B1F18">
        <w:rPr>
          <w:rStyle w:val="aff9"/>
          <w:rFonts w:hint="cs"/>
          <w:vanish/>
          <w:rtl/>
        </w:rPr>
        <w:t>-</w:t>
      </w:r>
      <w:r w:rsidRPr="009B1F18">
        <w:rPr>
          <w:rStyle w:val="aff9"/>
          <w:rFonts w:hint="cs"/>
          <w:rtl/>
        </w:rPr>
        <w:t>ר"ח</w:t>
      </w:r>
      <w:r w:rsidRPr="009B1F18">
        <w:rPr>
          <w:rStyle w:val="aff9"/>
          <w:rFonts w:hint="cs"/>
          <w:vanish/>
          <w:rtl/>
        </w:rPr>
        <w:t>-</w:t>
      </w:r>
      <w:r w:rsidRPr="000D251D">
        <w:rPr>
          <w:rStyle w:val="af"/>
          <w:rFonts w:hint="cs"/>
          <w:rtl/>
        </w:rPr>
        <w:t xml:space="preserve"> </w:t>
      </w:r>
      <w:r w:rsidRPr="009B1F18">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Ref139187404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כ)</w:t>
      </w:r>
      <w:r>
        <w:rPr>
          <w:rStyle w:val="aff0"/>
          <w:rtl/>
        </w:rPr>
        <w:fldChar w:fldCharType="end"/>
      </w:r>
      <w:r w:rsidRPr="000D251D">
        <w:rPr>
          <w:rStyle w:val="af"/>
          <w:rFonts w:hint="cs"/>
          <w:rtl/>
        </w:rPr>
        <w:t xml:space="preserve"> דביאר דחזקיה איירי בלאלתר, וכתב דלמסקנא מוכח דאוכל מתוך פסולת מותר, וא"כ </w:t>
      </w:r>
      <w:r w:rsidRPr="009B1F18">
        <w:rPr>
          <w:rStyle w:val="aff9"/>
          <w:rFonts w:hint="cs"/>
          <w:vanish/>
          <w:rtl/>
        </w:rPr>
        <w:t>-</w:t>
      </w:r>
      <w:r w:rsidRPr="009B1F18">
        <w:rPr>
          <w:rStyle w:val="aff9"/>
          <w:rFonts w:hint="cs"/>
          <w:rtl/>
        </w:rPr>
        <w:t>לתוס'</w:t>
      </w:r>
      <w:r w:rsidRPr="009B1F18">
        <w:rPr>
          <w:rStyle w:val="aff9"/>
          <w:rFonts w:hint="cs"/>
          <w:vanish/>
          <w:rtl/>
        </w:rPr>
        <w:t>-</w:t>
      </w:r>
      <w:r w:rsidRPr="000D251D">
        <w:rPr>
          <w:rStyle w:val="af"/>
          <w:rFonts w:hint="cs"/>
          <w:rtl/>
        </w:rPr>
        <w:t xml:space="preserve"> דמוכח דחזקיה איירי בלאחר זמן, למסקנא מוכח דאוכל מתוך פסולת לאחר זמן מותר</w:t>
      </w:r>
      <w:r w:rsidRPr="00394BDA">
        <w:rPr>
          <w:rStyle w:val="af"/>
          <w:rFonts w:hint="cs"/>
          <w:rtl/>
        </w:rPr>
        <w:t>].</w:t>
      </w:r>
      <w:bookmarkEnd w:id="2847"/>
    </w:p>
    <w:p w14:paraId="5259AAA1" w14:textId="77777777" w:rsidR="008925FD" w:rsidRPr="00747170" w:rsidRDefault="008925FD" w:rsidP="00747170">
      <w:pPr>
        <w:pStyle w:val="a2"/>
      </w:pPr>
      <w:r w:rsidRPr="00747170">
        <w:rPr>
          <w:rtl/>
        </w:rPr>
        <w:t>ובפסולת מתוך אוכל יש ג' חילוקים בלאלתר ביד מותר. בקנון ותמחוי פטור. בנפה וכברה חייב חטאת. ואוכל מתוך פסולת לאחר זמן תלוי בספיקא דר' אמי ומסתברא לקולא שהרי בהא דחזקי' מחייב הבורר תורמסין קאמר הש"ס לימא קסבר חזקי' אוכל מתוך פסולת אסור ולתוס' צ"ל דמיירי בלאחר זמן דבלאלתר הא ליכא מאן דאסר אוכל מתוך פסולת כמו שכתבו התוס' בדר' דימי וע"כ בלאחר זמן ומשני שאני תורמסין כו' כפסולת מתוך אוכל דמי. נראה למסקנא אוכל מתוך פסולת מותר. וכן הוא בפר"ח שלפנינו לפי שיטתו שפירש לימא קסבר חזקי' אוכל מתוך פסולת אסור היינו לאלתר מוכיח מדמשני הש"ס שאני תורמוסין דכפסולת מתוך אוכל דמיא. משמע דלמסקנא אוכל מתוך פסולת מותר לאלתר. וה"ה לשיטת התוס' לפי מה שמפרשים הלימא קסבר חזקי' אוכל מתוך פסולת אסור היינו בלאחר זמן מוכח מהתירוץ דלמסקנא אוכל מתוך פסולת לאחר זמן מותר. ואינו מוכרח.</w:t>
      </w:r>
    </w:p>
    <w:p w14:paraId="54F3CC10" w14:textId="5A3439A4" w:rsidR="008925FD" w:rsidRPr="00224A5A" w:rsidRDefault="008925FD" w:rsidP="008925FD">
      <w:pPr>
        <w:pStyle w:val="1"/>
        <w:rPr>
          <w:rtl/>
        </w:rPr>
      </w:pPr>
      <w:bookmarkStart w:id="2848" w:name="_Toc139277136"/>
      <w:r w:rsidRPr="00224A5A">
        <w:rPr>
          <w:rFonts w:hint="cs"/>
          <w:rtl/>
        </w:rPr>
        <w:t xml:space="preserve">בי' </w:t>
      </w:r>
      <w:r>
        <w:rPr>
          <w:rFonts w:hint="cs"/>
          <w:rtl/>
        </w:rPr>
        <w:t>ר"ח והרמב"ם דבפסולת מתוך אוכל חייב אף ביד ולאלתר</w:t>
      </w:r>
      <w:bookmarkEnd w:id="2848"/>
    </w:p>
    <w:p w14:paraId="27E85908" w14:textId="77777777" w:rsidR="008925FD" w:rsidRDefault="008925FD" w:rsidP="008925FD">
      <w:pPr>
        <w:pStyle w:val="afffff7"/>
        <w:rPr>
          <w:rtl/>
        </w:rPr>
      </w:pPr>
      <w:bookmarkStart w:id="2849" w:name="_Toc139277215"/>
      <w:bookmarkStart w:id="2850" w:name="_Toc163505918"/>
      <w:r>
        <w:rPr>
          <w:rtl/>
        </w:rPr>
        <w:t>רבינו חננאל שבת ע"ד ע"א</w:t>
      </w:r>
      <w:r>
        <w:rPr>
          <w:rFonts w:hint="cs"/>
          <w:rtl/>
        </w:rPr>
        <w:t xml:space="preserve"> ד"ה ת"ר</w:t>
      </w:r>
      <w:bookmarkEnd w:id="2849"/>
      <w:bookmarkEnd w:id="2850"/>
    </w:p>
    <w:p w14:paraId="17AC4BDE" w14:textId="77777777" w:rsidR="008925FD" w:rsidRDefault="008925FD" w:rsidP="008925FD">
      <w:pPr>
        <w:pStyle w:val="a7"/>
        <w:rPr>
          <w:rtl/>
        </w:rPr>
      </w:pPr>
      <w:bookmarkStart w:id="2851" w:name="_Toc139277137"/>
      <w:r>
        <w:rPr>
          <w:rFonts w:hint="cs"/>
          <w:rtl/>
        </w:rPr>
        <w:t>בי' ר"ח דכל ההיתר ביד ולאלתר הוא באוכל מתוך פסולת אבל פסולת מתוך אוכל לעולם אסור</w:t>
      </w:r>
      <w:bookmarkEnd w:id="2851"/>
    </w:p>
    <w:p w14:paraId="47E753D2" w14:textId="074195BB" w:rsidR="008925FD" w:rsidRDefault="008925FD" w:rsidP="00BC7DC8">
      <w:pPr>
        <w:pStyle w:val="a3"/>
      </w:pPr>
      <w:bookmarkStart w:id="2852" w:name="_Ref137757993"/>
      <w:r>
        <w:rPr>
          <w:rFonts w:hint="cs"/>
          <w:rtl/>
        </w:rPr>
        <w:t xml:space="preserve">עי' במ"ש </w:t>
      </w:r>
      <w:r w:rsidRPr="005305D6">
        <w:rPr>
          <w:rStyle w:val="aff4"/>
          <w:rFonts w:hint="cs"/>
          <w:vanish/>
          <w:rtl/>
        </w:rPr>
        <w:t>-</w:t>
      </w:r>
      <w:r w:rsidRPr="00B8766B">
        <w:rPr>
          <w:rStyle w:val="aff4"/>
          <w:rFonts w:hint="cs"/>
          <w:rtl/>
        </w:rPr>
        <w:t>ר"ח</w:t>
      </w:r>
      <w:r w:rsidRPr="005305D6">
        <w:rPr>
          <w:rStyle w:val="aff4"/>
          <w:rFonts w:hint="cs"/>
          <w:vanish/>
          <w:rtl/>
        </w:rPr>
        <w:t>-</w:t>
      </w:r>
      <w:r>
        <w:rPr>
          <w:rFonts w:hint="cs"/>
          <w:rtl/>
        </w:rPr>
        <w:t xml:space="preserve"> </w:t>
      </w:r>
      <w:r>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Ref139187404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w:t>
      </w:r>
      <w:r>
        <w:rPr>
          <w:rStyle w:val="af2"/>
          <w:rFonts w:eastAsia="Guttman Hodes"/>
          <w:rtl/>
        </w:rPr>
        <w:fldChar w:fldCharType="end"/>
      </w:r>
      <w:r w:rsidRPr="005305D6">
        <w:rPr>
          <w:rFonts w:hint="cs"/>
          <w:vanish/>
          <w:rtl/>
        </w:rPr>
        <w:t>=</w:t>
      </w:r>
      <w:r>
        <w:rPr>
          <w:rFonts w:hint="cs"/>
          <w:rtl/>
        </w:rPr>
        <w:t xml:space="preserve"> דקיי"ל כאביי וכרב אשי וכחזקיה, וכתב </w:t>
      </w:r>
      <w:r w:rsidRPr="00990EB8">
        <w:rPr>
          <w:rFonts w:hint="cs"/>
          <w:vanish/>
          <w:rtl/>
        </w:rPr>
        <w:t xml:space="preserve">&lt;. </w:t>
      </w:r>
      <w:r w:rsidRPr="00990EB8">
        <w:rPr>
          <w:vanish/>
          <w:rtl/>
        </w:rPr>
        <w:fldChar w:fldCharType="begin"/>
      </w:r>
      <w:r w:rsidRPr="00990EB8">
        <w:rPr>
          <w:vanish/>
          <w:rtl/>
        </w:rPr>
        <w:instrText xml:space="preserve"> </w:instrText>
      </w:r>
      <w:r w:rsidRPr="00990EB8">
        <w:rPr>
          <w:rFonts w:hint="cs"/>
          <w:vanish/>
        </w:rPr>
        <w:instrText>REF</w:instrText>
      </w:r>
      <w:r w:rsidRPr="00990EB8">
        <w:rPr>
          <w:rFonts w:hint="cs"/>
          <w:vanish/>
          <w:rtl/>
        </w:rPr>
        <w:instrText xml:space="preserve"> _</w:instrText>
      </w:r>
      <w:r w:rsidRPr="00990EB8">
        <w:rPr>
          <w:rFonts w:hint="cs"/>
          <w:vanish/>
        </w:rPr>
        <w:instrText>Ref137757993 \r \h</w:instrText>
      </w:r>
      <w:r w:rsidRPr="00990EB8">
        <w:rPr>
          <w:vanish/>
          <w:rtl/>
        </w:rPr>
        <w:instrText xml:space="preserve"> </w:instrText>
      </w:r>
      <w:r>
        <w:rPr>
          <w:vanish/>
          <w:rtl/>
        </w:rPr>
        <w:instrText xml:space="preserve"> \* </w:instrText>
      </w:r>
      <w:r>
        <w:rPr>
          <w:vanish/>
        </w:rPr>
        <w:instrText>MERGEFORMAT</w:instrText>
      </w:r>
      <w:r>
        <w:rPr>
          <w:vanish/>
          <w:rtl/>
        </w:rPr>
        <w:instrText xml:space="preserve"> </w:instrText>
      </w:r>
      <w:r w:rsidRPr="00990EB8">
        <w:rPr>
          <w:vanish/>
          <w:rtl/>
        </w:rPr>
      </w:r>
      <w:r w:rsidRPr="00990EB8">
        <w:rPr>
          <w:vanish/>
          <w:rtl/>
        </w:rPr>
        <w:fldChar w:fldCharType="separate"/>
      </w:r>
      <w:r w:rsidR="00D82181">
        <w:rPr>
          <w:vanish/>
          <w:cs/>
        </w:rPr>
        <w:t>‎</w:t>
      </w:r>
      <w:r w:rsidR="00D82181">
        <w:rPr>
          <w:vanish/>
          <w:rtl/>
        </w:rPr>
        <w:t>פ)</w:t>
      </w:r>
      <w:r w:rsidRPr="00990EB8">
        <w:rPr>
          <w:vanish/>
          <w:rtl/>
        </w:rPr>
        <w:fldChar w:fldCharType="end"/>
      </w:r>
      <w:r w:rsidRPr="00990EB8">
        <w:rPr>
          <w:rFonts w:hint="cs"/>
          <w:vanish/>
          <w:rtl/>
        </w:rPr>
        <w:t xml:space="preserve"> &gt;</w:t>
      </w:r>
      <w:r w:rsidRPr="005305D6">
        <w:rPr>
          <w:rStyle w:val="aff4"/>
          <w:rFonts w:hint="cs"/>
          <w:vanish/>
          <w:rtl/>
        </w:rPr>
        <w:t>-</w:t>
      </w:r>
      <w:r w:rsidRPr="00B8766B">
        <w:rPr>
          <w:rStyle w:val="aff4"/>
          <w:rFonts w:hint="cs"/>
          <w:rtl/>
        </w:rPr>
        <w:t>ר"ח</w:t>
      </w:r>
      <w:r w:rsidRPr="005305D6">
        <w:rPr>
          <w:rStyle w:val="aff4"/>
          <w:rFonts w:hint="cs"/>
          <w:vanish/>
          <w:rtl/>
        </w:rPr>
        <w:t>-</w:t>
      </w:r>
      <w:r>
        <w:rPr>
          <w:rFonts w:hint="cs"/>
          <w:rtl/>
        </w:rPr>
        <w:t xml:space="preserve"> </w:t>
      </w:r>
      <w:r w:rsidRPr="000D251D">
        <w:rPr>
          <w:rStyle w:val="af2"/>
          <w:rFonts w:eastAsia="Guttman Hodes" w:hint="cs"/>
          <w:rtl/>
        </w:rPr>
        <w:t>(ד"ה שמעינן)</w:t>
      </w:r>
      <w:r w:rsidRPr="005305D6">
        <w:rPr>
          <w:rFonts w:hint="cs"/>
          <w:vanish/>
          <w:rtl/>
        </w:rPr>
        <w:t>=</w:t>
      </w:r>
      <w:r>
        <w:rPr>
          <w:rFonts w:hint="cs"/>
          <w:rtl/>
        </w:rPr>
        <w:t xml:space="preserve"> דמבואר מזה דההיתר בבורר הוא ביד, ואף ביד מותר רק לאלתר ובאוכל מתוך פסולת, ולא בפסולת מתוך אוכל.</w:t>
      </w:r>
    </w:p>
    <w:bookmarkEnd w:id="2852"/>
    <w:p w14:paraId="108786C5" w14:textId="77777777" w:rsidR="008925FD" w:rsidRPr="00747170" w:rsidRDefault="008925FD" w:rsidP="00747170">
      <w:pPr>
        <w:pStyle w:val="a2"/>
      </w:pPr>
      <w:r w:rsidRPr="00747170">
        <w:rPr>
          <w:rtl/>
        </w:rPr>
        <w:t>ת"ר היו לפניו ב' מיני אוכלין בורר ואוכל בורר ומניח ולא יברר ואם בירר חייב חטאת. ומת' מאי קאמר [א'] עולא הכי קאמר בורר ואוכל בו ביום כו' ודחאה רב חסדא ואמר וכי מותר לאפות ולבשל בו ביום כו' ופרשה אביי בורר ואוכל לאלתר בורר ומניח לאלתר. שלא לאלתר לא יברור. ואם בירר נעשה כבירר לאוצר וחייב חטאת. וקיי"ל כוותיה דאמר רבה שפיר אמר נחמני ולאלתר. דאמר אביי כל זמן שיושב על השולחן ואוכל דגרסינן בתלמוד דא"י ברר אוכלין מתוך אוכלין חזקיה אמר חייב ר' יוחנן אמר פטור מתניתא פליגא על חזקיה דאמר בורר ואוכל בורר ומניח על השלחן רבין בר חייא אמר תפתר כשהיו אורחין אוכלין ראשונה ראשונה. היו לפניו ב' מיני אוכלין בורר ואוכל בורר ומניח. רב אשי [מתני פטור רי"מ] מתני חייב ואוקימנא להא דרב אשי בבורר בנפה או בכברה חייב חטאת בקנון ובתמחוי פטור וכל פטורי דשבת פטור אבל אסור נינהו. וקיי"ל כרב אשי דבתראה הוא והא דאמר חזקיה הבורר תורמוסין מתוך פסולת שלהן חייב. הלכתא היא דהא</w:t>
      </w:r>
      <w:r w:rsidRPr="00747170">
        <w:rPr>
          <w:rFonts w:hint="cs"/>
          <w:rtl/>
        </w:rPr>
        <w:t xml:space="preserve"> </w:t>
      </w:r>
      <w:r w:rsidRPr="00747170">
        <w:rPr>
          <w:rtl/>
        </w:rPr>
        <w:t>מקשינן ופרקינן לפרושי שמעתיה דאמרינן לימא קסבר חזקיה אוכל מתוך פסולת אסור. ושנינן שאני תורמסין דשלקי להו ז' זמני כו'.</w:t>
      </w:r>
    </w:p>
    <w:p w14:paraId="3A49E120" w14:textId="77777777" w:rsidR="008925FD" w:rsidRPr="00EB6547" w:rsidRDefault="008925FD" w:rsidP="00747170">
      <w:pPr>
        <w:pStyle w:val="afffff5"/>
        <w:rPr>
          <w:rtl/>
        </w:rPr>
      </w:pPr>
      <w:r w:rsidRPr="00EB6547">
        <w:rPr>
          <w:rtl/>
        </w:rPr>
        <w:t>שמעינן מינה דאוכל מתוך הפסולת זולתי תורמסין שרי וכדאביי דשרי לאלתר כי היכי דלא תקשי חדא אחברתה וכבר פירשנוהו השמועה סלקא כאביי וכרב אשי וכחזקיה שמעינן מדברי שלשתן כי בורר ואוכל ביד בורר ומניח ביד שרי ולא כל היכא דבעי שרי אלא ברירת אוכל מתוך פסולת אבל פסולת מתוך אוכל לא. והאוכל מתוך פסול' דשרי [היינו] לברור ולאכול או לברור ולהניח כדי לאוכלו לאלתר על השולחן כמו שפירשנו אבל להניח שלא לאלתר לא וזה שאמרנו כי מותר לברור ולאכול ולברור ולהניח ולאוכלו לאלתר שרי ה"מ ביד אבל בקנון ובתמחוי לא ואם בירר פטור אבל אסור ובנפה ובכברה דברי הכל אסור ואם בירר נעשה כמי שבירר לאוצר בשוגג חייב חטאת</w:t>
      </w:r>
      <w:r w:rsidRPr="00EB6547">
        <w:rPr>
          <w:rFonts w:hint="cs"/>
          <w:rtl/>
        </w:rPr>
        <w:t>.</w:t>
      </w:r>
    </w:p>
    <w:p w14:paraId="3F4E4CE3" w14:textId="64CA2536" w:rsidR="008925FD" w:rsidRPr="00291EA6" w:rsidRDefault="008925FD" w:rsidP="008925FD">
      <w:pPr>
        <w:pStyle w:val="afffff7"/>
        <w:rPr>
          <w:rtl/>
        </w:rPr>
      </w:pPr>
      <w:bookmarkStart w:id="2853" w:name="_Toc139277216"/>
      <w:bookmarkStart w:id="2854" w:name="_Toc163505919"/>
      <w:r w:rsidRPr="00291EA6">
        <w:rPr>
          <w:rtl/>
        </w:rPr>
        <w:t>רמב"ם שבת פ"ח הי</w:t>
      </w:r>
      <w:r>
        <w:rPr>
          <w:rFonts w:hint="cs"/>
          <w:rtl/>
        </w:rPr>
        <w:t>"ג</w:t>
      </w:r>
      <w:bookmarkEnd w:id="2853"/>
      <w:bookmarkEnd w:id="2854"/>
    </w:p>
    <w:p w14:paraId="39E86626" w14:textId="77777777" w:rsidR="008925FD" w:rsidRPr="00291EA6" w:rsidRDefault="008925FD" w:rsidP="008925FD">
      <w:pPr>
        <w:pStyle w:val="a7"/>
        <w:rPr>
          <w:rtl/>
        </w:rPr>
      </w:pPr>
      <w:bookmarkStart w:id="2855" w:name="_Toc139277138"/>
      <w:r>
        <w:rPr>
          <w:rFonts w:hint="cs"/>
          <w:rtl/>
        </w:rPr>
        <w:t>בי' הרמב"ם דפסולת מתוך אוכל חייב אף ביד ובבורר לאח"ז חייב אף באוכל מתוך פסולת ביד</w:t>
      </w:r>
      <w:bookmarkEnd w:id="2855"/>
    </w:p>
    <w:p w14:paraId="23A396CC" w14:textId="4B83CF56" w:rsidR="008925FD" w:rsidRPr="00291EA6" w:rsidRDefault="008925FD" w:rsidP="00BC7DC8">
      <w:pPr>
        <w:pStyle w:val="a3"/>
        <w:rPr>
          <w:rtl/>
        </w:rPr>
      </w:pPr>
      <w:bookmarkStart w:id="2856" w:name="_Ref137758321"/>
      <w:bookmarkStart w:id="2857" w:name="_Ref137759990"/>
      <w:r w:rsidRPr="00291EA6">
        <w:rPr>
          <w:rFonts w:hint="cs"/>
          <w:rtl/>
        </w:rPr>
        <w:t xml:space="preserve">כתב </w:t>
      </w:r>
      <w:r w:rsidRPr="005305D6">
        <w:rPr>
          <w:rStyle w:val="aff4"/>
          <w:rFonts w:hint="cs"/>
          <w:vanish/>
          <w:rtl/>
        </w:rPr>
        <w:t>-</w:t>
      </w:r>
      <w:r w:rsidRPr="00B8766B">
        <w:rPr>
          <w:rStyle w:val="aff4"/>
          <w:rFonts w:hint="cs"/>
          <w:rtl/>
        </w:rPr>
        <w:t>ה</w:t>
      </w:r>
      <w:r w:rsidRPr="00990EB8">
        <w:rPr>
          <w:rStyle w:val="aff4"/>
          <w:rFonts w:hint="cs"/>
          <w:vanish/>
          <w:rtl/>
        </w:rPr>
        <w:t xml:space="preserve">&lt;. </w:t>
      </w:r>
      <w:r w:rsidRPr="00990EB8">
        <w:rPr>
          <w:rStyle w:val="aff4"/>
          <w:vanish/>
          <w:rtl/>
        </w:rPr>
        <w:fldChar w:fldCharType="begin"/>
      </w:r>
      <w:r w:rsidRPr="00990EB8">
        <w:rPr>
          <w:rStyle w:val="aff4"/>
          <w:vanish/>
          <w:rtl/>
        </w:rPr>
        <w:instrText xml:space="preserve"> </w:instrText>
      </w:r>
      <w:r w:rsidRPr="00990EB8">
        <w:rPr>
          <w:rStyle w:val="aff4"/>
          <w:rFonts w:hint="cs"/>
          <w:vanish/>
        </w:rPr>
        <w:instrText>REF</w:instrText>
      </w:r>
      <w:r w:rsidRPr="00990EB8">
        <w:rPr>
          <w:rStyle w:val="aff4"/>
          <w:rFonts w:hint="cs"/>
          <w:vanish/>
          <w:rtl/>
        </w:rPr>
        <w:instrText xml:space="preserve"> _</w:instrText>
      </w:r>
      <w:r w:rsidRPr="00990EB8">
        <w:rPr>
          <w:rStyle w:val="aff4"/>
          <w:rFonts w:hint="cs"/>
          <w:vanish/>
        </w:rPr>
        <w:instrText>Ref137758321 \r \h</w:instrText>
      </w:r>
      <w:r w:rsidRPr="00990EB8">
        <w:rPr>
          <w:rStyle w:val="aff4"/>
          <w:vanish/>
          <w:rtl/>
        </w:rPr>
        <w:instrText xml:space="preserve"> </w:instrText>
      </w:r>
      <w:r w:rsidRPr="00990EB8">
        <w:rPr>
          <w:rStyle w:val="aff4"/>
          <w:vanish/>
          <w:rtl/>
        </w:rPr>
      </w:r>
      <w:r w:rsidRPr="00990EB8">
        <w:rPr>
          <w:rStyle w:val="aff4"/>
          <w:vanish/>
          <w:rtl/>
        </w:rPr>
        <w:fldChar w:fldCharType="separate"/>
      </w:r>
      <w:r w:rsidR="00D82181">
        <w:rPr>
          <w:rStyle w:val="aff4"/>
          <w:vanish/>
          <w:cs/>
        </w:rPr>
        <w:t>‎</w:t>
      </w:r>
      <w:r w:rsidR="00D82181">
        <w:rPr>
          <w:rStyle w:val="aff4"/>
          <w:vanish/>
          <w:rtl/>
        </w:rPr>
        <w:t>פא)</w:t>
      </w:r>
      <w:r w:rsidRPr="00990EB8">
        <w:rPr>
          <w:rStyle w:val="aff4"/>
          <w:vanish/>
          <w:rtl/>
        </w:rPr>
        <w:fldChar w:fldCharType="end"/>
      </w:r>
      <w:r w:rsidRPr="00990EB8">
        <w:rPr>
          <w:rStyle w:val="aff4"/>
          <w:rFonts w:hint="cs"/>
          <w:vanish/>
          <w:rtl/>
        </w:rPr>
        <w:t xml:space="preserve"> &gt;</w:t>
      </w:r>
      <w:r w:rsidRPr="00B8766B">
        <w:rPr>
          <w:rStyle w:val="aff4"/>
          <w:rFonts w:hint="cs"/>
          <w:rtl/>
        </w:rPr>
        <w:t>רמב"ם</w:t>
      </w:r>
      <w:r w:rsidRPr="005305D6">
        <w:rPr>
          <w:rStyle w:val="aff4"/>
          <w:rFonts w:hint="cs"/>
          <w:vanish/>
          <w:rtl/>
        </w:rPr>
        <w:t>-</w:t>
      </w:r>
      <w:r w:rsidRPr="00291EA6">
        <w:rPr>
          <w:rFonts w:hint="cs"/>
          <w:rtl/>
        </w:rPr>
        <w:t xml:space="preserve"> </w:t>
      </w:r>
      <w:r w:rsidRPr="000D251D">
        <w:rPr>
          <w:rStyle w:val="af2"/>
          <w:rFonts w:eastAsia="Guttman Hodes" w:hint="cs"/>
          <w:rtl/>
        </w:rPr>
        <w:t>(שבת פ"ח</w:t>
      </w:r>
      <w:bookmarkEnd w:id="2856"/>
      <w:r w:rsidRPr="000D251D">
        <w:rPr>
          <w:rStyle w:val="af2"/>
          <w:rFonts w:eastAsia="Guttman Hodes" w:hint="cs"/>
          <w:rtl/>
        </w:rPr>
        <w:t xml:space="preserve"> הי"ג)</w:t>
      </w:r>
      <w:r w:rsidRPr="005305D6">
        <w:rPr>
          <w:rFonts w:hint="cs"/>
          <w:vanish/>
          <w:rtl/>
        </w:rPr>
        <w:t>=</w:t>
      </w:r>
      <w:r w:rsidRPr="00291EA6">
        <w:rPr>
          <w:rFonts w:hint="cs"/>
          <w:rtl/>
        </w:rPr>
        <w:t xml:space="preserve"> ד</w:t>
      </w:r>
      <w:r>
        <w:rPr>
          <w:rFonts w:hint="cs"/>
          <w:rtl/>
        </w:rPr>
        <w:t>בתורמוסין החיוב באוכל מתוך פסולת, כיון דהפסולת ממתקת כששולקים אותם עמה, והוא כפסולת מאוכל, ו</w:t>
      </w:r>
      <w:r w:rsidRPr="00291EA6">
        <w:rPr>
          <w:rFonts w:hint="cs"/>
          <w:rtl/>
        </w:rPr>
        <w:t>בפסולת מתוך אוכל חייב אף בבורר ביד אחת, ובע"מ להניח אף לבו ביום הוא כבורר לאוצר, וחייב אף באוכל מתוך פסולת ביד</w:t>
      </w:r>
      <w:r>
        <w:rPr>
          <w:rFonts w:hint="cs"/>
          <w:rtl/>
        </w:rPr>
        <w:t xml:space="preserve">, ועי' במה שביאר </w:t>
      </w:r>
      <w:r w:rsidRPr="003D30D2">
        <w:rPr>
          <w:rStyle w:val="aff4"/>
          <w:rFonts w:hint="cs"/>
          <w:vanish/>
          <w:rtl/>
        </w:rPr>
        <w:t>-</w:t>
      </w:r>
      <w:r w:rsidRPr="00A30B60">
        <w:rPr>
          <w:rStyle w:val="aff4"/>
          <w:rFonts w:hint="cs"/>
          <w:rtl/>
        </w:rPr>
        <w:t>האגלי טל</w:t>
      </w:r>
      <w:r w:rsidRPr="003D30D2">
        <w:rPr>
          <w:rStyle w:val="aff4"/>
          <w:rFonts w:hint="cs"/>
          <w:vanish/>
          <w:rtl/>
        </w:rPr>
        <w:t>-</w:t>
      </w:r>
      <w:r>
        <w:rPr>
          <w:rFonts w:hint="cs"/>
          <w:rtl/>
        </w:rPr>
        <w:t xml:space="preserve"> </w:t>
      </w:r>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Ref138957890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כח)</w:t>
      </w:r>
      <w:r>
        <w:rPr>
          <w:rStyle w:val="af2"/>
          <w:rFonts w:eastAsia="Guttman Hodes"/>
          <w:rtl/>
        </w:rPr>
        <w:fldChar w:fldCharType="end"/>
      </w:r>
      <w:r>
        <w:rPr>
          <w:rFonts w:hint="cs"/>
          <w:rtl/>
        </w:rPr>
        <w:t xml:space="preserve"> בדעת </w:t>
      </w:r>
      <w:r w:rsidRPr="003D30D2">
        <w:rPr>
          <w:rStyle w:val="aff4"/>
          <w:rFonts w:hint="cs"/>
          <w:vanish/>
          <w:rtl/>
        </w:rPr>
        <w:t>-</w:t>
      </w:r>
      <w:r w:rsidRPr="00A30B60">
        <w:rPr>
          <w:rStyle w:val="aff4"/>
          <w:rFonts w:hint="cs"/>
          <w:rtl/>
        </w:rPr>
        <w:t>ר"ח והרמב"ם</w:t>
      </w:r>
      <w:r w:rsidRPr="003D30D2">
        <w:rPr>
          <w:rStyle w:val="aff4"/>
          <w:rFonts w:hint="cs"/>
          <w:vanish/>
          <w:rtl/>
        </w:rPr>
        <w:t>-</w:t>
      </w:r>
      <w:r w:rsidRPr="00291EA6">
        <w:rPr>
          <w:rFonts w:hint="cs"/>
          <w:rtl/>
        </w:rPr>
        <w:t>.</w:t>
      </w:r>
      <w:bookmarkEnd w:id="2857"/>
    </w:p>
    <w:p w14:paraId="55DCE587" w14:textId="77777777" w:rsidR="008925FD" w:rsidRPr="00747170" w:rsidRDefault="008925FD" w:rsidP="00747170">
      <w:pPr>
        <w:pStyle w:val="a2"/>
        <w:rPr>
          <w:rtl/>
        </w:rPr>
      </w:pPr>
      <w:r w:rsidRPr="00747170">
        <w:rPr>
          <w:rtl/>
        </w:rPr>
        <w:t>והבורר פסולת מתוך האוכל אפילו בידו אחת חייב, והבורר תורמוסין מתוך פסולת שלהן חייב מפני שהפסולת שלהן ממתקת אותן כשישלקו אותן עמהם ונמצא כבורר פסולת מתוך אוכל וחייב. הבורר אוכל מתוך פסולת בידו להניחו אפילו לבו ביום נעשה כבורר לאוצר וחייב</w:t>
      </w:r>
      <w:r w:rsidRPr="00747170">
        <w:rPr>
          <w:rStyle w:val="afff7"/>
          <w:color w:val="auto"/>
          <w:sz w:val="18"/>
          <w:szCs w:val="18"/>
          <w:rtl/>
        </w:rPr>
        <w:t>, היו לפניו שני מיני אוכלין מעורבין בורר אחד מאחד ומניח לאכול מיד, ואם בירר והניח לאחר זמן אפילו לבו ביום כגון שבירר בשחרית לאכול בין הערבים חייב.</w:t>
      </w:r>
    </w:p>
    <w:p w14:paraId="165E4895" w14:textId="77777777" w:rsidR="008925FD" w:rsidRPr="0031102F" w:rsidRDefault="008925FD" w:rsidP="008925FD">
      <w:pPr>
        <w:pStyle w:val="afffff7"/>
        <w:rPr>
          <w:rtl/>
        </w:rPr>
      </w:pPr>
      <w:bookmarkStart w:id="2858" w:name="_Hlk137759282"/>
      <w:r w:rsidRPr="00C02FCD">
        <w:rPr>
          <w:vanish/>
          <w:rtl/>
        </w:rPr>
        <w:t xml:space="preserve">מגיד </w:t>
      </w:r>
      <w:bookmarkStart w:id="2859" w:name="_Toc139277217"/>
      <w:bookmarkStart w:id="2860" w:name="_Toc163505920"/>
      <w:r w:rsidRPr="0031102F">
        <w:rPr>
          <w:rtl/>
        </w:rPr>
        <w:t>משנה שבת פ"ח הי"ב</w:t>
      </w:r>
      <w:r>
        <w:rPr>
          <w:rFonts w:hint="cs"/>
          <w:rtl/>
        </w:rPr>
        <w:t xml:space="preserve">, </w:t>
      </w:r>
      <w:r>
        <w:rPr>
          <w:rtl/>
        </w:rPr>
        <w:t>הי"ג</w:t>
      </w:r>
      <w:bookmarkEnd w:id="2859"/>
      <w:bookmarkEnd w:id="2860"/>
    </w:p>
    <w:p w14:paraId="3A133C1E" w14:textId="77777777" w:rsidR="008925FD" w:rsidRDefault="008925FD" w:rsidP="008925FD">
      <w:pPr>
        <w:pStyle w:val="afffff7"/>
        <w:rPr>
          <w:rtl/>
        </w:rPr>
      </w:pPr>
      <w:bookmarkStart w:id="2861" w:name="_Toc139277218"/>
      <w:bookmarkStart w:id="2862" w:name="_Toc139277139"/>
      <w:bookmarkStart w:id="2863" w:name="_Toc163505921"/>
      <w:r>
        <w:rPr>
          <w:rtl/>
        </w:rPr>
        <w:t>באור הלכה סימן שיט</w:t>
      </w:r>
      <w:r>
        <w:rPr>
          <w:rFonts w:hint="cs"/>
          <w:rtl/>
        </w:rPr>
        <w:t xml:space="preserve"> ד' ד</w:t>
      </w:r>
      <w:r>
        <w:rPr>
          <w:rFonts w:cs="Guttman Hodes" w:hint="cs"/>
          <w:rtl/>
        </w:rPr>
        <w:t>"</w:t>
      </w:r>
      <w:r>
        <w:rPr>
          <w:rFonts w:hint="cs"/>
          <w:rtl/>
        </w:rPr>
        <w:t>ה מתוך</w:t>
      </w:r>
      <w:bookmarkEnd w:id="2861"/>
      <w:bookmarkEnd w:id="2863"/>
    </w:p>
    <w:p w14:paraId="0EF62963" w14:textId="77777777" w:rsidR="008925FD" w:rsidRPr="00291EA6" w:rsidRDefault="008925FD" w:rsidP="008925FD">
      <w:pPr>
        <w:pStyle w:val="a7"/>
        <w:rPr>
          <w:rtl/>
        </w:rPr>
      </w:pPr>
      <w:r>
        <w:rPr>
          <w:rFonts w:hint="cs"/>
          <w:rtl/>
        </w:rPr>
        <w:t>בי' המ"מ ברמב"ם דס"ל כר"ח דפסולת מתוך אוכל אסור וכ"כ הרי"ף וקו' הביה"ל דל"מ כן ברי"ף</w:t>
      </w:r>
      <w:bookmarkEnd w:id="2862"/>
    </w:p>
    <w:p w14:paraId="149E7051" w14:textId="16B787D9" w:rsidR="008925FD" w:rsidRPr="00291EA6" w:rsidRDefault="008925FD" w:rsidP="00BC7DC8">
      <w:pPr>
        <w:pStyle w:val="a3"/>
        <w:rPr>
          <w:rtl/>
        </w:rPr>
      </w:pPr>
      <w:bookmarkStart w:id="2864" w:name="_Ref139274617"/>
      <w:r w:rsidRPr="00291EA6">
        <w:rPr>
          <w:rFonts w:hint="cs"/>
          <w:rtl/>
        </w:rPr>
        <w:t xml:space="preserve">וביאר </w:t>
      </w:r>
      <w:r w:rsidRPr="00C25EAB">
        <w:rPr>
          <w:rStyle w:val="aff4"/>
          <w:rFonts w:hint="cs"/>
          <w:vanish/>
          <w:rtl/>
        </w:rPr>
        <w:t>-</w:t>
      </w:r>
      <w:r w:rsidRPr="00B8766B">
        <w:rPr>
          <w:rStyle w:val="aff4"/>
          <w:rFonts w:hint="cs"/>
          <w:rtl/>
        </w:rPr>
        <w:t>ה</w:t>
      </w:r>
      <w:r w:rsidRPr="00C25EAB">
        <w:rPr>
          <w:rStyle w:val="aff4"/>
          <w:rFonts w:hint="cs"/>
          <w:vanish/>
          <w:rtl/>
        </w:rPr>
        <w:t xml:space="preserve">&lt;. </w:t>
      </w:r>
      <w:r w:rsidRPr="00C25EAB">
        <w:rPr>
          <w:rStyle w:val="aff4"/>
          <w:vanish/>
          <w:rtl/>
        </w:rPr>
        <w:fldChar w:fldCharType="begin"/>
      </w:r>
      <w:r w:rsidRPr="00C25EAB">
        <w:rPr>
          <w:rStyle w:val="aff4"/>
          <w:vanish/>
          <w:rtl/>
        </w:rPr>
        <w:instrText xml:space="preserve"> </w:instrText>
      </w:r>
      <w:r w:rsidRPr="00C25EAB">
        <w:rPr>
          <w:rStyle w:val="aff4"/>
          <w:rFonts w:hint="cs"/>
          <w:vanish/>
        </w:rPr>
        <w:instrText>REF</w:instrText>
      </w:r>
      <w:r w:rsidRPr="00C25EAB">
        <w:rPr>
          <w:rStyle w:val="aff4"/>
          <w:rFonts w:hint="cs"/>
          <w:vanish/>
          <w:rtl/>
        </w:rPr>
        <w:instrText xml:space="preserve"> _</w:instrText>
      </w:r>
      <w:r w:rsidRPr="00C25EAB">
        <w:rPr>
          <w:rStyle w:val="aff4"/>
          <w:rFonts w:hint="cs"/>
          <w:vanish/>
        </w:rPr>
        <w:instrText>Ref137759143 \r \h</w:instrText>
      </w:r>
      <w:r w:rsidRPr="00C25EAB">
        <w:rPr>
          <w:rStyle w:val="aff4"/>
          <w:vanish/>
          <w:rtl/>
        </w:rPr>
        <w:instrText xml:space="preserve"> </w:instrText>
      </w:r>
      <w:r w:rsidRPr="00C25EAB">
        <w:rPr>
          <w:rStyle w:val="aff4"/>
          <w:vanish/>
          <w:rtl/>
        </w:rPr>
      </w:r>
      <w:r w:rsidRPr="00C25EAB">
        <w:rPr>
          <w:rStyle w:val="aff4"/>
          <w:vanish/>
          <w:rtl/>
        </w:rPr>
        <w:fldChar w:fldCharType="separate"/>
      </w:r>
      <w:r w:rsidR="00D82181">
        <w:rPr>
          <w:rStyle w:val="aff4"/>
          <w:vanish/>
          <w:cs/>
        </w:rPr>
        <w:t>‎</w:t>
      </w:r>
      <w:r w:rsidR="00D82181">
        <w:rPr>
          <w:rStyle w:val="aff4"/>
          <w:vanish/>
          <w:rtl/>
        </w:rPr>
        <w:t>לו)</w:t>
      </w:r>
      <w:r w:rsidRPr="00C25EAB">
        <w:rPr>
          <w:rStyle w:val="aff4"/>
          <w:vanish/>
          <w:rtl/>
        </w:rPr>
        <w:fldChar w:fldCharType="end"/>
      </w:r>
      <w:r w:rsidRPr="00C25EAB">
        <w:rPr>
          <w:rStyle w:val="aff4"/>
          <w:rFonts w:hint="cs"/>
          <w:vanish/>
          <w:rtl/>
        </w:rPr>
        <w:t xml:space="preserve"> &gt;</w:t>
      </w:r>
      <w:r w:rsidRPr="00B8766B">
        <w:rPr>
          <w:rStyle w:val="aff4"/>
          <w:rFonts w:hint="cs"/>
          <w:rtl/>
        </w:rPr>
        <w:t>מ"מ</w:t>
      </w:r>
      <w:r w:rsidRPr="00C25EAB">
        <w:rPr>
          <w:rStyle w:val="aff4"/>
          <w:rFonts w:hint="cs"/>
          <w:vanish/>
          <w:rtl/>
        </w:rPr>
        <w:t>-</w:t>
      </w:r>
      <w:r w:rsidRPr="00291EA6">
        <w:rPr>
          <w:rFonts w:hint="cs"/>
          <w:rtl/>
        </w:rPr>
        <w:t xml:space="preserve"> </w:t>
      </w:r>
      <w:r w:rsidRPr="000D251D">
        <w:rPr>
          <w:rStyle w:val="af2"/>
          <w:rFonts w:eastAsia="Guttman Hodes" w:hint="cs"/>
          <w:rtl/>
        </w:rPr>
        <w:t>(שבת פ"ח הי"ב)</w:t>
      </w:r>
      <w:r w:rsidRPr="00C25EAB">
        <w:rPr>
          <w:rFonts w:hint="cs"/>
          <w:vanish/>
          <w:rtl/>
        </w:rPr>
        <w:t>=</w:t>
      </w:r>
      <w:r w:rsidRPr="00291EA6">
        <w:rPr>
          <w:rFonts w:hint="cs"/>
          <w:rtl/>
        </w:rPr>
        <w:t xml:space="preserve"> </w:t>
      </w:r>
      <w:r w:rsidRPr="00C25EAB">
        <w:rPr>
          <w:rStyle w:val="aff4"/>
          <w:rFonts w:hint="cs"/>
          <w:vanish/>
          <w:rtl/>
        </w:rPr>
        <w:t>-</w:t>
      </w:r>
      <w:r w:rsidRPr="00B8766B">
        <w:rPr>
          <w:rStyle w:val="aff4"/>
          <w:rFonts w:hint="cs"/>
          <w:rtl/>
        </w:rPr>
        <w:t>דהרמב"ם</w:t>
      </w:r>
      <w:r w:rsidRPr="00C25EAB">
        <w:rPr>
          <w:rStyle w:val="aff4"/>
          <w:rFonts w:hint="cs"/>
          <w:vanish/>
          <w:rtl/>
        </w:rPr>
        <w:t>-</w:t>
      </w:r>
      <w:r w:rsidRPr="00291EA6">
        <w:rPr>
          <w:rFonts w:hint="cs"/>
          <w:rtl/>
        </w:rPr>
        <w:t xml:space="preserve"> </w:t>
      </w:r>
      <w:r w:rsidRPr="000D251D">
        <w:rPr>
          <w:rStyle w:val="af2"/>
          <w:rFonts w:eastAsia="Guttman Hodes" w:hint="cs"/>
          <w:rtl/>
        </w:rPr>
        <w:t xml:space="preserve">(עי' אות </w:t>
      </w:r>
      <w:r w:rsidRPr="000D251D">
        <w:rPr>
          <w:rStyle w:val="af2"/>
          <w:rFonts w:eastAsia="Guttman Hodes"/>
          <w:rtl/>
        </w:rPr>
        <w:fldChar w:fldCharType="begin"/>
      </w:r>
      <w:r w:rsidRPr="000D251D">
        <w:rPr>
          <w:rStyle w:val="af2"/>
          <w:rFonts w:eastAsia="Guttman Hodes"/>
          <w:rtl/>
        </w:rPr>
        <w:instrText xml:space="preserve"> </w:instrText>
      </w:r>
      <w:r w:rsidRPr="000D251D">
        <w:rPr>
          <w:rStyle w:val="af2"/>
          <w:rFonts w:eastAsia="Guttman Hodes" w:hint="cs"/>
        </w:rPr>
        <w:instrText>REF</w:instrText>
      </w:r>
      <w:r w:rsidRPr="000D251D">
        <w:rPr>
          <w:rStyle w:val="af2"/>
          <w:rFonts w:eastAsia="Guttman Hodes" w:hint="cs"/>
          <w:rtl/>
        </w:rPr>
        <w:instrText xml:space="preserve"> _</w:instrText>
      </w:r>
      <w:r w:rsidRPr="000D251D">
        <w:rPr>
          <w:rStyle w:val="af2"/>
          <w:rFonts w:eastAsia="Guttman Hodes" w:hint="cs"/>
        </w:rPr>
        <w:instrText>Ref137759990 \r \h</w:instrText>
      </w:r>
      <w:r w:rsidRPr="000D251D">
        <w:rPr>
          <w:rStyle w:val="af2"/>
          <w:rFonts w:eastAsia="Guttman Hodes"/>
          <w:rtl/>
        </w:rPr>
        <w:instrText xml:space="preserve"> </w:instrText>
      </w:r>
      <w:r w:rsidRPr="000D251D">
        <w:rPr>
          <w:rStyle w:val="af2"/>
          <w:rFonts w:eastAsia="Guttman Hodes"/>
          <w:rtl/>
        </w:rPr>
      </w:r>
      <w:r w:rsidRPr="000D251D">
        <w:rPr>
          <w:rStyle w:val="af2"/>
          <w:rFonts w:eastAsia="Guttman Hodes"/>
          <w:rtl/>
        </w:rPr>
        <w:fldChar w:fldCharType="separate"/>
      </w:r>
      <w:r w:rsidR="00D82181">
        <w:rPr>
          <w:rStyle w:val="af2"/>
          <w:rFonts w:eastAsia="Guttman Hodes"/>
          <w:cs/>
        </w:rPr>
        <w:t>‎</w:t>
      </w:r>
      <w:r w:rsidR="00D82181">
        <w:rPr>
          <w:rStyle w:val="af2"/>
          <w:rFonts w:eastAsia="Guttman Hodes"/>
          <w:rtl/>
        </w:rPr>
        <w:t>פא)</w:t>
      </w:r>
      <w:r w:rsidRPr="000D251D">
        <w:rPr>
          <w:rStyle w:val="af2"/>
          <w:rFonts w:eastAsia="Guttman Hodes"/>
          <w:rtl/>
        </w:rPr>
        <w:fldChar w:fldCharType="end"/>
      </w:r>
      <w:r w:rsidRPr="00291EA6">
        <w:rPr>
          <w:rFonts w:hint="cs"/>
          <w:rtl/>
        </w:rPr>
        <w:t xml:space="preserve"> ביאר בסוגיין </w:t>
      </w:r>
      <w:r w:rsidRPr="00C25EAB">
        <w:rPr>
          <w:rStyle w:val="aff4"/>
          <w:rFonts w:hint="cs"/>
          <w:vanish/>
          <w:rtl/>
        </w:rPr>
        <w:t>-</w:t>
      </w:r>
      <w:r w:rsidRPr="00B8766B">
        <w:rPr>
          <w:rStyle w:val="aff4"/>
          <w:rFonts w:hint="cs"/>
          <w:rtl/>
        </w:rPr>
        <w:t>כר"ח</w:t>
      </w:r>
      <w:r w:rsidRPr="00C25EAB">
        <w:rPr>
          <w:rStyle w:val="aff4"/>
          <w:rFonts w:hint="cs"/>
          <w:vanish/>
          <w:rtl/>
        </w:rPr>
        <w:t>-</w:t>
      </w:r>
      <w:r w:rsidRPr="00291EA6">
        <w:rPr>
          <w:rFonts w:hint="cs"/>
          <w:rtl/>
        </w:rPr>
        <w:t xml:space="preserve"> </w:t>
      </w:r>
      <w:r w:rsidRPr="000D251D">
        <w:rPr>
          <w:rStyle w:val="af2"/>
          <w:rFonts w:eastAsia="Guttman Hodes" w:hint="cs"/>
          <w:rtl/>
        </w:rPr>
        <w:t xml:space="preserve">(עי' אות </w:t>
      </w:r>
      <w:r w:rsidRPr="000D251D">
        <w:rPr>
          <w:rStyle w:val="af2"/>
          <w:rFonts w:eastAsia="Guttman Hodes"/>
          <w:rtl/>
        </w:rPr>
        <w:fldChar w:fldCharType="begin"/>
      </w:r>
      <w:r w:rsidRPr="000D251D">
        <w:rPr>
          <w:rStyle w:val="af2"/>
          <w:rFonts w:eastAsia="Guttman Hodes"/>
          <w:rtl/>
        </w:rPr>
        <w:instrText xml:space="preserve"> </w:instrText>
      </w:r>
      <w:r w:rsidRPr="000D251D">
        <w:rPr>
          <w:rStyle w:val="af2"/>
          <w:rFonts w:eastAsia="Guttman Hodes" w:hint="cs"/>
        </w:rPr>
        <w:instrText>REF</w:instrText>
      </w:r>
      <w:r w:rsidRPr="000D251D">
        <w:rPr>
          <w:rStyle w:val="af2"/>
          <w:rFonts w:eastAsia="Guttman Hodes" w:hint="cs"/>
          <w:rtl/>
        </w:rPr>
        <w:instrText xml:space="preserve"> _</w:instrText>
      </w:r>
      <w:r w:rsidRPr="000D251D">
        <w:rPr>
          <w:rStyle w:val="af2"/>
          <w:rFonts w:eastAsia="Guttman Hodes" w:hint="cs"/>
        </w:rPr>
        <w:instrText>Ref137757993 \r \h</w:instrText>
      </w:r>
      <w:r w:rsidRPr="000D251D">
        <w:rPr>
          <w:rStyle w:val="af2"/>
          <w:rFonts w:eastAsia="Guttman Hodes"/>
          <w:rtl/>
        </w:rPr>
        <w:instrText xml:space="preserve"> </w:instrText>
      </w:r>
      <w:r w:rsidRPr="000D251D">
        <w:rPr>
          <w:rStyle w:val="af2"/>
          <w:rFonts w:eastAsia="Guttman Hodes"/>
          <w:rtl/>
        </w:rPr>
      </w:r>
      <w:r w:rsidRPr="000D251D">
        <w:rPr>
          <w:rStyle w:val="af2"/>
          <w:rFonts w:eastAsia="Guttman Hodes"/>
          <w:rtl/>
        </w:rPr>
        <w:fldChar w:fldCharType="separate"/>
      </w:r>
      <w:r w:rsidR="00D82181">
        <w:rPr>
          <w:rStyle w:val="af2"/>
          <w:rFonts w:eastAsia="Guttman Hodes"/>
          <w:cs/>
        </w:rPr>
        <w:t>‎</w:t>
      </w:r>
      <w:r w:rsidR="00D82181">
        <w:rPr>
          <w:rStyle w:val="af2"/>
          <w:rFonts w:eastAsia="Guttman Hodes"/>
          <w:rtl/>
        </w:rPr>
        <w:t>פ)</w:t>
      </w:r>
      <w:r w:rsidRPr="000D251D">
        <w:rPr>
          <w:rStyle w:val="af2"/>
          <w:rFonts w:eastAsia="Guttman Hodes"/>
          <w:rtl/>
        </w:rPr>
        <w:fldChar w:fldCharType="end"/>
      </w:r>
      <w:r>
        <w:rPr>
          <w:rFonts w:hint="cs"/>
          <w:rtl/>
        </w:rPr>
        <w:t xml:space="preserve"> </w:t>
      </w:r>
      <w:r w:rsidRPr="00291EA6">
        <w:rPr>
          <w:rFonts w:hint="cs"/>
          <w:rtl/>
        </w:rPr>
        <w:t xml:space="preserve">דההיתר הוא רק לאלתר וביד ובאוכל מתוך פסולת, אבל </w:t>
      </w:r>
      <w:r>
        <w:rPr>
          <w:rFonts w:hint="cs"/>
          <w:rtl/>
        </w:rPr>
        <w:t xml:space="preserve">בפסולת מתוך אוכל </w:t>
      </w:r>
      <w:r w:rsidRPr="00291EA6">
        <w:rPr>
          <w:rFonts w:hint="cs"/>
          <w:rtl/>
        </w:rPr>
        <w:t xml:space="preserve">לעולם הוא חייב, וכן דעת </w:t>
      </w:r>
      <w:r w:rsidRPr="00C25EAB">
        <w:rPr>
          <w:rStyle w:val="aff4"/>
          <w:rFonts w:hint="cs"/>
          <w:vanish/>
          <w:rtl/>
        </w:rPr>
        <w:t>-</w:t>
      </w:r>
      <w:r w:rsidRPr="00B8766B">
        <w:rPr>
          <w:rStyle w:val="aff4"/>
          <w:rFonts w:hint="cs"/>
          <w:rtl/>
        </w:rPr>
        <w:t>הרמב"ן</w:t>
      </w:r>
      <w:r w:rsidRPr="00C25EAB">
        <w:rPr>
          <w:rStyle w:val="aff4"/>
          <w:rFonts w:hint="cs"/>
          <w:vanish/>
          <w:rtl/>
        </w:rPr>
        <w:t>-</w:t>
      </w:r>
      <w:r w:rsidRPr="00291EA6">
        <w:rPr>
          <w:rFonts w:hint="cs"/>
          <w:rtl/>
        </w:rPr>
        <w:t xml:space="preserve"> </w:t>
      </w:r>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Ref138956620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כב)</w:t>
      </w:r>
      <w:r>
        <w:rPr>
          <w:rStyle w:val="af2"/>
          <w:rFonts w:eastAsia="Guttman Hodes"/>
          <w:rtl/>
        </w:rPr>
        <w:fldChar w:fldCharType="end"/>
      </w:r>
      <w:r w:rsidRPr="00291EA6">
        <w:rPr>
          <w:rFonts w:hint="cs"/>
          <w:rtl/>
        </w:rPr>
        <w:t xml:space="preserve">, וכתב </w:t>
      </w:r>
      <w:r w:rsidRPr="00C25EAB">
        <w:rPr>
          <w:rStyle w:val="aff4"/>
          <w:rFonts w:hint="cs"/>
          <w:vanish/>
          <w:rtl/>
        </w:rPr>
        <w:t>-</w:t>
      </w:r>
      <w:r w:rsidRPr="00B8766B">
        <w:rPr>
          <w:rStyle w:val="aff4"/>
          <w:rFonts w:hint="cs"/>
          <w:rtl/>
        </w:rPr>
        <w:t>המ"מ</w:t>
      </w:r>
      <w:r w:rsidRPr="00C25EAB">
        <w:rPr>
          <w:rStyle w:val="aff4"/>
          <w:rFonts w:hint="cs"/>
          <w:vanish/>
          <w:rtl/>
        </w:rPr>
        <w:t>-</w:t>
      </w:r>
      <w:r w:rsidRPr="00291EA6">
        <w:rPr>
          <w:rFonts w:hint="cs"/>
          <w:rtl/>
        </w:rPr>
        <w:t xml:space="preserve"> דכן משמע מדברי </w:t>
      </w:r>
      <w:r w:rsidRPr="00C25EAB">
        <w:rPr>
          <w:rStyle w:val="aff4"/>
          <w:rFonts w:hint="cs"/>
          <w:vanish/>
          <w:rtl/>
        </w:rPr>
        <w:t>-</w:t>
      </w:r>
      <w:r w:rsidRPr="00B8766B">
        <w:rPr>
          <w:rStyle w:val="aff4"/>
          <w:rFonts w:hint="cs"/>
          <w:rtl/>
        </w:rPr>
        <w:t>ה</w:t>
      </w:r>
      <w:r w:rsidRPr="001D2C54">
        <w:rPr>
          <w:rStyle w:val="aff4"/>
          <w:rFonts w:hint="cs"/>
          <w:vanish/>
          <w:rtl/>
        </w:rPr>
        <w:t>&lt; &gt;</w:t>
      </w:r>
      <w:r w:rsidRPr="00B8766B">
        <w:rPr>
          <w:rStyle w:val="aff4"/>
          <w:rFonts w:hint="cs"/>
          <w:rtl/>
        </w:rPr>
        <w:t>רי"ף</w:t>
      </w:r>
      <w:r w:rsidRPr="00C25EAB">
        <w:rPr>
          <w:rStyle w:val="aff4"/>
          <w:rFonts w:hint="cs"/>
          <w:vanish/>
          <w:rtl/>
        </w:rPr>
        <w:t>-</w:t>
      </w:r>
      <w:r w:rsidRPr="00291EA6">
        <w:rPr>
          <w:rFonts w:hint="cs"/>
          <w:rtl/>
        </w:rPr>
        <w:t xml:space="preserve"> </w:t>
      </w:r>
      <w:r w:rsidRPr="000D251D">
        <w:rPr>
          <w:rStyle w:val="af2"/>
          <w:rFonts w:eastAsia="Guttman Hodes" w:hint="cs"/>
          <w:rtl/>
        </w:rPr>
        <w:t>(לב. מדה"ר, מהדו' עוז והדר עמ' צ')</w:t>
      </w:r>
      <w:r w:rsidRPr="00C25EAB">
        <w:rPr>
          <w:rFonts w:hint="cs"/>
          <w:vanish/>
          <w:rtl/>
        </w:rPr>
        <w:t>=</w:t>
      </w:r>
      <w:r w:rsidRPr="00291EA6">
        <w:rPr>
          <w:rFonts w:hint="cs"/>
          <w:rtl/>
        </w:rPr>
        <w:t xml:space="preserve"> ד</w:t>
      </w:r>
      <w:r>
        <w:rPr>
          <w:rFonts w:hint="cs"/>
          <w:rtl/>
        </w:rPr>
        <w:t xml:space="preserve">פסולת מתוך אוכל </w:t>
      </w:r>
      <w:r w:rsidRPr="00291EA6">
        <w:rPr>
          <w:rFonts w:hint="cs"/>
          <w:rtl/>
        </w:rPr>
        <w:t>לעולם חייב</w:t>
      </w:r>
      <w:r>
        <w:rPr>
          <w:rFonts w:hint="cs"/>
          <w:rtl/>
        </w:rPr>
        <w:t xml:space="preserve">, והוסיף </w:t>
      </w:r>
      <w:r w:rsidRPr="00C25EAB">
        <w:rPr>
          <w:rStyle w:val="aff4"/>
          <w:rFonts w:hint="cs"/>
          <w:vanish/>
          <w:rtl/>
        </w:rPr>
        <w:t>-</w:t>
      </w:r>
      <w:r w:rsidRPr="00B8766B">
        <w:rPr>
          <w:rStyle w:val="aff4"/>
          <w:rFonts w:hint="cs"/>
          <w:rtl/>
        </w:rPr>
        <w:t>ה</w:t>
      </w:r>
      <w:r w:rsidRPr="00C25EAB">
        <w:rPr>
          <w:rStyle w:val="aff4"/>
          <w:rFonts w:hint="cs"/>
          <w:vanish/>
          <w:rtl/>
        </w:rPr>
        <w:t>&lt; &gt;</w:t>
      </w:r>
      <w:r w:rsidRPr="00B8766B">
        <w:rPr>
          <w:rStyle w:val="aff4"/>
          <w:rFonts w:hint="cs"/>
          <w:rtl/>
        </w:rPr>
        <w:t>מ"מ</w:t>
      </w:r>
      <w:r w:rsidRPr="00C25EAB">
        <w:rPr>
          <w:rStyle w:val="aff4"/>
          <w:rFonts w:hint="cs"/>
          <w:vanish/>
          <w:rtl/>
        </w:rPr>
        <w:t>-</w:t>
      </w:r>
      <w:r>
        <w:rPr>
          <w:rFonts w:hint="cs"/>
          <w:rtl/>
        </w:rPr>
        <w:t xml:space="preserve"> </w:t>
      </w:r>
      <w:r w:rsidRPr="000D251D">
        <w:rPr>
          <w:rStyle w:val="af2"/>
          <w:rFonts w:eastAsia="Guttman Hodes" w:hint="cs"/>
          <w:rtl/>
        </w:rPr>
        <w:t>(שבת פ"ח הי"ג)</w:t>
      </w:r>
      <w:r w:rsidRPr="00C25EAB">
        <w:rPr>
          <w:rFonts w:hint="cs"/>
          <w:vanish/>
          <w:rtl/>
        </w:rPr>
        <w:t>=</w:t>
      </w:r>
      <w:r>
        <w:rPr>
          <w:rFonts w:hint="cs"/>
          <w:rtl/>
        </w:rPr>
        <w:t xml:space="preserve"> </w:t>
      </w:r>
      <w:r w:rsidRPr="00C25EAB">
        <w:rPr>
          <w:rStyle w:val="aff4"/>
          <w:rFonts w:hint="cs"/>
          <w:vanish/>
          <w:rtl/>
        </w:rPr>
        <w:t>-</w:t>
      </w:r>
      <w:r w:rsidRPr="00B8766B">
        <w:rPr>
          <w:rStyle w:val="aff4"/>
          <w:rFonts w:hint="cs"/>
          <w:rtl/>
        </w:rPr>
        <w:t>דהרמב"ם</w:t>
      </w:r>
      <w:r w:rsidRPr="00C25EAB">
        <w:rPr>
          <w:rStyle w:val="aff4"/>
          <w:rFonts w:hint="cs"/>
          <w:vanish/>
          <w:rtl/>
        </w:rPr>
        <w:t>-</w:t>
      </w:r>
      <w:r>
        <w:rPr>
          <w:rFonts w:hint="cs"/>
          <w:rtl/>
        </w:rPr>
        <w:t xml:space="preserve"> פסק כחזקיה וכאביי, וכדביאר </w:t>
      </w:r>
      <w:r w:rsidRPr="00C25EAB">
        <w:rPr>
          <w:rStyle w:val="aff4"/>
          <w:rFonts w:hint="cs"/>
          <w:vanish/>
          <w:rtl/>
        </w:rPr>
        <w:t>-</w:t>
      </w:r>
      <w:r w:rsidRPr="00B8766B">
        <w:rPr>
          <w:rStyle w:val="aff4"/>
          <w:rFonts w:hint="cs"/>
          <w:rtl/>
        </w:rPr>
        <w:t>ר"ח</w:t>
      </w:r>
      <w:r w:rsidRPr="00C25EAB">
        <w:rPr>
          <w:rStyle w:val="aff4"/>
          <w:rFonts w:hint="cs"/>
          <w:vanish/>
          <w:rtl/>
        </w:rPr>
        <w:t>-</w:t>
      </w:r>
      <w:r>
        <w:rPr>
          <w:rFonts w:hint="cs"/>
          <w:rtl/>
        </w:rPr>
        <w:t xml:space="preserve"> דבתירוץ אביי ופלוגתת רב אשי ורב ירמיה מדיפתי, איירי בלאלתר. </w:t>
      </w:r>
      <w:r w:rsidRPr="000D251D">
        <w:rPr>
          <w:rStyle w:val="af"/>
          <w:rFonts w:hint="cs"/>
          <w:rtl/>
        </w:rPr>
        <w:t xml:space="preserve">[ועי' במה שהקשה </w:t>
      </w:r>
      <w:r w:rsidRPr="009B1F18">
        <w:rPr>
          <w:rStyle w:val="aff9"/>
          <w:rFonts w:hint="cs"/>
          <w:vanish/>
          <w:rtl/>
        </w:rPr>
        <w:t>-</w:t>
      </w:r>
      <w:r w:rsidRPr="009B1F18">
        <w:rPr>
          <w:rStyle w:val="aff9"/>
          <w:rFonts w:hint="cs"/>
          <w:rtl/>
        </w:rPr>
        <w:t>ה</w:t>
      </w:r>
      <w:r w:rsidRPr="009B1F18">
        <w:rPr>
          <w:rStyle w:val="aff9"/>
          <w:rFonts w:hint="cs"/>
          <w:vanish/>
          <w:rtl/>
        </w:rPr>
        <w:t>&lt; &gt;</w:t>
      </w:r>
      <w:r w:rsidRPr="009B1F18">
        <w:rPr>
          <w:rStyle w:val="aff9"/>
          <w:rFonts w:hint="cs"/>
          <w:rtl/>
        </w:rPr>
        <w:t>ביה"ל</w:t>
      </w:r>
      <w:r w:rsidRPr="009B1F18">
        <w:rPr>
          <w:rStyle w:val="aff9"/>
          <w:rFonts w:hint="cs"/>
          <w:vanish/>
          <w:rtl/>
        </w:rPr>
        <w:t>-</w:t>
      </w:r>
      <w:r w:rsidRPr="000D251D">
        <w:rPr>
          <w:rStyle w:val="af"/>
          <w:rFonts w:hint="cs"/>
          <w:rtl/>
        </w:rPr>
        <w:t xml:space="preserve"> </w:t>
      </w:r>
      <w:r w:rsidRPr="009B1F18">
        <w:rPr>
          <w:rStyle w:val="aff0"/>
          <w:rFonts w:hint="cs"/>
          <w:rtl/>
        </w:rPr>
        <w:t>(סי' שי"ט ד' ד"ה מתוך)</w:t>
      </w:r>
      <w:r w:rsidRPr="009B1F18">
        <w:rPr>
          <w:rStyle w:val="af"/>
          <w:rFonts w:hint="cs"/>
          <w:vanish/>
          <w:rtl/>
        </w:rPr>
        <w:t>=</w:t>
      </w:r>
      <w:r w:rsidRPr="000D251D">
        <w:rPr>
          <w:rStyle w:val="af"/>
          <w:rFonts w:hint="cs"/>
          <w:rtl/>
        </w:rPr>
        <w:t xml:space="preserve"> דלא מוכח כן </w:t>
      </w:r>
      <w:r w:rsidRPr="009B1F18">
        <w:rPr>
          <w:rStyle w:val="aff9"/>
          <w:rFonts w:hint="cs"/>
          <w:vanish/>
          <w:rtl/>
        </w:rPr>
        <w:t>-</w:t>
      </w:r>
      <w:r w:rsidRPr="009B1F18">
        <w:rPr>
          <w:rStyle w:val="aff9"/>
          <w:rFonts w:hint="cs"/>
          <w:rtl/>
        </w:rPr>
        <w:t>ברי"ף</w:t>
      </w:r>
      <w:r w:rsidRPr="009B1F18">
        <w:rPr>
          <w:rStyle w:val="aff9"/>
          <w:rFonts w:hint="cs"/>
          <w:vanish/>
          <w:rtl/>
        </w:rPr>
        <w:t>-</w:t>
      </w:r>
      <w:r w:rsidRPr="000D251D">
        <w:rPr>
          <w:rStyle w:val="af"/>
          <w:rFonts w:hint="cs"/>
          <w:rtl/>
        </w:rPr>
        <w:t xml:space="preserve"> דאף שהביא את הדין דתורמוסין, אפש"ל דאין כוונתו לומר דפסולת מתוך אוכל לעולם אסור, אלא דאיירי בלאחר זמן, ובזה אוכל מתוך פסולת מותר ופסולת מתוך אוכל אסור, וכתב </w:t>
      </w:r>
      <w:r w:rsidRPr="009B1F18">
        <w:rPr>
          <w:rStyle w:val="aff9"/>
          <w:rFonts w:hint="cs"/>
          <w:vanish/>
          <w:rtl/>
        </w:rPr>
        <w:t>-</w:t>
      </w:r>
      <w:r w:rsidRPr="009B1F18">
        <w:rPr>
          <w:rStyle w:val="aff9"/>
          <w:rFonts w:hint="cs"/>
          <w:rtl/>
        </w:rPr>
        <w:t>הביה"ל</w:t>
      </w:r>
      <w:r w:rsidRPr="009B1F18">
        <w:rPr>
          <w:rStyle w:val="aff9"/>
          <w:rFonts w:hint="cs"/>
          <w:vanish/>
          <w:rtl/>
        </w:rPr>
        <w:t>-</w:t>
      </w:r>
      <w:r w:rsidRPr="000D251D">
        <w:rPr>
          <w:rStyle w:val="af"/>
          <w:rFonts w:hint="cs"/>
          <w:rtl/>
        </w:rPr>
        <w:t xml:space="preserve"> דאפש"ל דכיון דכתב </w:t>
      </w:r>
      <w:r w:rsidRPr="009B1F18">
        <w:rPr>
          <w:rStyle w:val="aff9"/>
          <w:rFonts w:hint="cs"/>
          <w:vanish/>
          <w:rtl/>
        </w:rPr>
        <w:t>-</w:t>
      </w:r>
      <w:r w:rsidRPr="009B1F18">
        <w:rPr>
          <w:rStyle w:val="aff9"/>
          <w:rFonts w:hint="cs"/>
          <w:rtl/>
        </w:rPr>
        <w:t>הרי"ף</w:t>
      </w:r>
      <w:r w:rsidRPr="009B1F18">
        <w:rPr>
          <w:rStyle w:val="aff9"/>
          <w:rFonts w:hint="cs"/>
          <w:vanish/>
          <w:rtl/>
        </w:rPr>
        <w:t>-</w:t>
      </w:r>
      <w:r w:rsidRPr="000D251D">
        <w:rPr>
          <w:rStyle w:val="af"/>
          <w:rFonts w:hint="cs"/>
          <w:rtl/>
        </w:rPr>
        <w:t xml:space="preserve"> את דין תורמוסין בסתמא משמע דבכל אופן ס"ל דחייב אף לאלתר</w:t>
      </w:r>
      <w:r w:rsidRPr="00394BDA">
        <w:rPr>
          <w:rStyle w:val="af"/>
          <w:rFonts w:hint="cs"/>
          <w:rtl/>
        </w:rPr>
        <w:t>].</w:t>
      </w:r>
      <w:bookmarkEnd w:id="2864"/>
    </w:p>
    <w:p w14:paraId="1D47937E" w14:textId="77777777" w:rsidR="008925FD" w:rsidRPr="00747170" w:rsidRDefault="008925FD" w:rsidP="00747170">
      <w:pPr>
        <w:pStyle w:val="a2"/>
        <w:rPr>
          <w:rtl/>
        </w:rPr>
      </w:pPr>
      <w:r w:rsidRPr="00747170">
        <w:rPr>
          <w:rtl/>
        </w:rPr>
        <w:t xml:space="preserve">[יב] הבורר אוכל מתוך פסולת וכו'. דברי רבינו ז"ל בדינין אלו הם כפירוש ר"ח ז"ל שפי' הסוגיא והברייתא שבפרק כלל גדול </w:t>
      </w:r>
      <w:r w:rsidRPr="00747170">
        <w:rPr>
          <w:rStyle w:val="af2"/>
          <w:rFonts w:eastAsia="Guttman Hodes" w:cs="Guttman Hodes"/>
          <w:sz w:val="18"/>
          <w:szCs w:val="18"/>
          <w:rtl/>
        </w:rPr>
        <w:t>(שם ע"ד)</w:t>
      </w:r>
      <w:r w:rsidRPr="00747170">
        <w:rPr>
          <w:rtl/>
        </w:rPr>
        <w:t xml:space="preserve"> דבבורר לאכול לאלתר ביד מותר אוכל מתוך פסולת בדוקא ובקנון בתמחוי פטור אבל אסור בנפה ובכברה חייב חטאת ובורר לבו ביום אפילו ביד חייב חטאת ופסולת מתוך אוכל לעולם חייב וכן הסכים הרמב"ן ז"ל וכן נראה מן ההלכות שפסולת מתוך אוכל לעולם חייב ושני מיני אוכלין הרי הן כאוכל מתוך פסולת ולבאר זה מן הגמרא יאריכו הדברים:</w:t>
      </w:r>
    </w:p>
    <w:bookmarkEnd w:id="2858"/>
    <w:p w14:paraId="20EDB848" w14:textId="79D15C4E" w:rsidR="008925FD" w:rsidRDefault="008925FD" w:rsidP="00747170">
      <w:pPr>
        <w:pStyle w:val="afffff5"/>
        <w:rPr>
          <w:rtl/>
        </w:rPr>
      </w:pPr>
      <w:r w:rsidRPr="00EB6547">
        <w:rPr>
          <w:rtl/>
        </w:rPr>
        <w:t>[יג] והבורר תורמוסין וכו'. מימרא דחזקיה שם:</w:t>
      </w:r>
      <w:bookmarkStart w:id="2865" w:name="_Toc139277219"/>
    </w:p>
    <w:p w14:paraId="5AC36537" w14:textId="63076C8D" w:rsidR="008925FD" w:rsidRDefault="008925FD" w:rsidP="008925FD">
      <w:pPr>
        <w:pStyle w:val="afffff7"/>
        <w:rPr>
          <w:rtl/>
        </w:rPr>
      </w:pPr>
      <w:bookmarkStart w:id="2866" w:name="_Toc163505922"/>
      <w:r>
        <w:rPr>
          <w:rtl/>
        </w:rPr>
        <w:t>כסף משנה שבת פ"ח הי"ב</w:t>
      </w:r>
      <w:bookmarkEnd w:id="2865"/>
      <w:bookmarkEnd w:id="2866"/>
    </w:p>
    <w:p w14:paraId="150EDEA0" w14:textId="77777777" w:rsidR="008925FD" w:rsidRDefault="008925FD" w:rsidP="008925FD">
      <w:pPr>
        <w:pStyle w:val="a7"/>
        <w:rPr>
          <w:rtl/>
        </w:rPr>
      </w:pPr>
      <w:bookmarkStart w:id="2867" w:name="_Toc139277140"/>
      <w:r>
        <w:rPr>
          <w:rFonts w:hint="cs"/>
          <w:rtl/>
        </w:rPr>
        <w:t>קו' הרמ"ך על הרמב"ם דמנלן להחמיר בשבת יותר מיו"ט ולחייב בפסולת מתוך אוכל בקנון</w:t>
      </w:r>
      <w:bookmarkEnd w:id="2867"/>
    </w:p>
    <w:p w14:paraId="767F6C53" w14:textId="7489203D" w:rsidR="008925FD" w:rsidRDefault="008925FD" w:rsidP="00BC7DC8">
      <w:pPr>
        <w:pStyle w:val="a3"/>
        <w:rPr>
          <w:rtl/>
        </w:rPr>
      </w:pPr>
      <w:bookmarkStart w:id="2868" w:name="_Ref138881758"/>
      <w:r>
        <w:rPr>
          <w:rFonts w:hint="cs"/>
          <w:rtl/>
        </w:rPr>
        <w:t xml:space="preserve">הביא </w:t>
      </w:r>
      <w:r w:rsidRPr="00F00B89">
        <w:rPr>
          <w:rStyle w:val="aff4"/>
          <w:rFonts w:hint="cs"/>
          <w:vanish/>
          <w:rtl/>
        </w:rPr>
        <w:t>-</w:t>
      </w:r>
      <w:r w:rsidRPr="007F312F">
        <w:rPr>
          <w:rStyle w:val="aff4"/>
          <w:rFonts w:hint="cs"/>
          <w:rtl/>
        </w:rPr>
        <w:t>ה</w:t>
      </w:r>
      <w:r w:rsidRPr="00F00B89">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Ref138881758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פג)</w:t>
      </w:r>
      <w:r>
        <w:rPr>
          <w:rStyle w:val="aff4"/>
          <w:vanish/>
          <w:rtl/>
        </w:rPr>
        <w:fldChar w:fldCharType="end"/>
      </w:r>
      <w:r w:rsidRPr="00F00B89">
        <w:rPr>
          <w:rStyle w:val="aff4"/>
          <w:rFonts w:hint="cs"/>
          <w:vanish/>
          <w:rtl/>
        </w:rPr>
        <w:t xml:space="preserve"> &gt;</w:t>
      </w:r>
      <w:r w:rsidRPr="007F312F">
        <w:rPr>
          <w:rStyle w:val="aff4"/>
          <w:rFonts w:hint="cs"/>
          <w:rtl/>
        </w:rPr>
        <w:t>כס"מ</w:t>
      </w:r>
      <w:r w:rsidRPr="00F00B89">
        <w:rPr>
          <w:rStyle w:val="aff4"/>
          <w:rFonts w:hint="cs"/>
          <w:vanish/>
          <w:rtl/>
        </w:rPr>
        <w:t>-</w:t>
      </w:r>
      <w:r>
        <w:rPr>
          <w:rFonts w:hint="cs"/>
          <w:rtl/>
        </w:rPr>
        <w:t xml:space="preserve"> </w:t>
      </w:r>
      <w:r w:rsidRPr="000D251D">
        <w:rPr>
          <w:rStyle w:val="af2"/>
          <w:rFonts w:eastAsia="Guttman Hodes" w:hint="cs"/>
          <w:rtl/>
        </w:rPr>
        <w:t>(שבת פ"ח הי"ב)</w:t>
      </w:r>
      <w:r w:rsidRPr="00F00B89">
        <w:rPr>
          <w:rFonts w:hint="cs"/>
          <w:vanish/>
          <w:rtl/>
        </w:rPr>
        <w:t>=</w:t>
      </w:r>
      <w:r>
        <w:rPr>
          <w:rFonts w:hint="cs"/>
          <w:rtl/>
        </w:rPr>
        <w:t xml:space="preserve"> את דברי </w:t>
      </w:r>
      <w:r w:rsidRPr="00F00B89">
        <w:rPr>
          <w:rStyle w:val="aff4"/>
          <w:rFonts w:hint="cs"/>
          <w:vanish/>
          <w:rtl/>
        </w:rPr>
        <w:t>-</w:t>
      </w:r>
      <w:r w:rsidRPr="007F312F">
        <w:rPr>
          <w:rStyle w:val="aff4"/>
          <w:rFonts w:hint="cs"/>
          <w:rtl/>
        </w:rPr>
        <w:t>הרמ"ך</w:t>
      </w:r>
      <w:r w:rsidRPr="00F00B89">
        <w:rPr>
          <w:rStyle w:val="aff4"/>
          <w:rFonts w:hint="cs"/>
          <w:vanish/>
          <w:rtl/>
        </w:rPr>
        <w:t>-</w:t>
      </w:r>
      <w:r>
        <w:rPr>
          <w:rFonts w:hint="cs"/>
          <w:rtl/>
        </w:rPr>
        <w:t xml:space="preserve"> דהקשה על </w:t>
      </w:r>
      <w:r w:rsidRPr="003571D2">
        <w:rPr>
          <w:rStyle w:val="aff4"/>
          <w:rFonts w:hint="cs"/>
          <w:vanish/>
          <w:rtl/>
        </w:rPr>
        <w:t>-</w:t>
      </w:r>
      <w:r w:rsidRPr="00FE6CDD">
        <w:rPr>
          <w:rStyle w:val="aff4"/>
          <w:rFonts w:hint="cs"/>
          <w:rtl/>
        </w:rPr>
        <w:t>הרמב"ם</w:t>
      </w:r>
      <w:r w:rsidRPr="003571D2">
        <w:rPr>
          <w:rStyle w:val="aff4"/>
          <w:rFonts w:hint="cs"/>
          <w:vanish/>
          <w:rtl/>
        </w:rPr>
        <w:t>-</w:t>
      </w:r>
      <w:r>
        <w:rPr>
          <w:rFonts w:hint="cs"/>
          <w:rtl/>
        </w:rPr>
        <w:t xml:space="preserve"> </w:t>
      </w:r>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Ref139187813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כא)</w:t>
      </w:r>
      <w:r>
        <w:rPr>
          <w:rStyle w:val="af2"/>
          <w:rFonts w:eastAsia="Guttman Hodes"/>
          <w:rtl/>
        </w:rPr>
        <w:fldChar w:fldCharType="end"/>
      </w:r>
      <w:r>
        <w:rPr>
          <w:rFonts w:hint="cs"/>
          <w:rtl/>
        </w:rPr>
        <w:t xml:space="preserve"> דהא ביו"ט מותר בפסולת מתוך אוכל, כדמוכח בדברי ב"ה במשנה ביצה </w:t>
      </w:r>
      <w:r w:rsidRPr="000D251D">
        <w:rPr>
          <w:rStyle w:val="af2"/>
          <w:rFonts w:eastAsia="Guttman Hodes" w:hint="cs"/>
          <w:rtl/>
        </w:rPr>
        <w:t>(יד:)</w:t>
      </w:r>
      <w:r>
        <w:rPr>
          <w:rFonts w:hint="cs"/>
          <w:rtl/>
        </w:rPr>
        <w:t xml:space="preserve"> בפסולת מתוך אוכל בקנון ותמחוי, ומנלן להחמיר כ"כ בשבת יותר מיו"ט</w:t>
      </w:r>
      <w:r w:rsidRPr="00FE38A9">
        <w:rPr>
          <w:rFonts w:hint="cs"/>
          <w:rtl/>
        </w:rPr>
        <w:t xml:space="preserve"> </w:t>
      </w:r>
      <w:r>
        <w:rPr>
          <w:rFonts w:hint="cs"/>
          <w:rtl/>
        </w:rPr>
        <w:t xml:space="preserve">ולחייב בפסולת מתוך אוכל , והא בגמ' בסוגיין מבואר דבקנון ותמחוי פטור אבל אסור, ועי' במ"ש </w:t>
      </w:r>
      <w:r w:rsidRPr="00D35053">
        <w:rPr>
          <w:rStyle w:val="aff4"/>
          <w:rFonts w:hint="cs"/>
          <w:vanish/>
          <w:rtl/>
        </w:rPr>
        <w:t>-</w:t>
      </w:r>
      <w:r w:rsidRPr="00D35053">
        <w:rPr>
          <w:rStyle w:val="aff4"/>
          <w:rFonts w:hint="cs"/>
          <w:rtl/>
        </w:rPr>
        <w:t>הנשמת אדם</w:t>
      </w:r>
      <w:r w:rsidRPr="00D35053">
        <w:rPr>
          <w:rStyle w:val="aff4"/>
          <w:rFonts w:hint="cs"/>
          <w:vanish/>
          <w:rtl/>
        </w:rPr>
        <w:t>-</w:t>
      </w:r>
      <w:r>
        <w:rPr>
          <w:rFonts w:hint="cs"/>
          <w:rtl/>
        </w:rPr>
        <w:t xml:space="preserve"> </w:t>
      </w:r>
      <w:r w:rsidRPr="00D35053">
        <w:rPr>
          <w:rStyle w:val="af2"/>
          <w:rFonts w:eastAsia="Guttman Hodes" w:hint="cs"/>
          <w:rtl/>
        </w:rPr>
        <w:t>(עי'</w:t>
      </w:r>
      <w:r>
        <w:rPr>
          <w:rFonts w:hint="cs"/>
          <w:rtl/>
        </w:rPr>
        <w:t xml:space="preserve"> </w:t>
      </w:r>
      <w:r w:rsidRPr="00D35053">
        <w:rPr>
          <w:rStyle w:val="af2"/>
          <w:rFonts w:eastAsia="Guttman Hodes" w:hint="cs"/>
          <w:rtl/>
        </w:rPr>
        <w:t xml:space="preserve">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Ref139275074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סט)</w:t>
      </w:r>
      <w:r>
        <w:rPr>
          <w:rStyle w:val="af2"/>
          <w:rFonts w:eastAsia="Guttman Hodes"/>
          <w:rtl/>
        </w:rPr>
        <w:fldChar w:fldCharType="end"/>
      </w:r>
      <w:r>
        <w:rPr>
          <w:rFonts w:hint="cs"/>
          <w:rtl/>
        </w:rPr>
        <w:t xml:space="preserve"> </w:t>
      </w:r>
      <w:r w:rsidRPr="00D35053">
        <w:rPr>
          <w:rStyle w:val="aff4"/>
          <w:rFonts w:hint="cs"/>
          <w:vanish/>
          <w:rtl/>
        </w:rPr>
        <w:t>-</w:t>
      </w:r>
      <w:r w:rsidRPr="00D35053">
        <w:rPr>
          <w:rStyle w:val="aff4"/>
          <w:rFonts w:hint="cs"/>
          <w:rtl/>
        </w:rPr>
        <w:t>והאגלי טל</w:t>
      </w:r>
      <w:r w:rsidRPr="00D35053">
        <w:rPr>
          <w:rStyle w:val="aff4"/>
          <w:rFonts w:hint="cs"/>
          <w:vanish/>
          <w:rtl/>
        </w:rPr>
        <w:t>-</w:t>
      </w:r>
      <w:r>
        <w:rPr>
          <w:rFonts w:hint="cs"/>
          <w:rtl/>
        </w:rPr>
        <w:t xml:space="preserve"> </w:t>
      </w:r>
      <w:r w:rsidRPr="00D35053">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Ref139274485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ע)</w:t>
      </w:r>
      <w:r>
        <w:rPr>
          <w:rStyle w:val="af2"/>
          <w:rFonts w:eastAsia="Guttman Hodes"/>
          <w:rtl/>
        </w:rPr>
        <w:fldChar w:fldCharType="end"/>
      </w:r>
      <w:r>
        <w:rPr>
          <w:rFonts w:hint="cs"/>
          <w:rtl/>
        </w:rPr>
        <w:t xml:space="preserve"> דכן דעת </w:t>
      </w:r>
      <w:r w:rsidRPr="00D35053">
        <w:rPr>
          <w:rStyle w:val="aff4"/>
          <w:rFonts w:hint="cs"/>
          <w:vanish/>
          <w:rtl/>
        </w:rPr>
        <w:t>-</w:t>
      </w:r>
      <w:r w:rsidRPr="00FE6CDD">
        <w:rPr>
          <w:rStyle w:val="aff4"/>
          <w:rFonts w:hint="cs"/>
          <w:rtl/>
        </w:rPr>
        <w:t>התוס'</w:t>
      </w:r>
      <w:r w:rsidRPr="003571D2">
        <w:rPr>
          <w:rStyle w:val="aff4"/>
          <w:rFonts w:hint="cs"/>
          <w:vanish/>
          <w:rtl/>
        </w:rPr>
        <w:t>-</w:t>
      </w:r>
      <w:r>
        <w:rPr>
          <w:rFonts w:hint="cs"/>
          <w:rtl/>
        </w:rPr>
        <w:t xml:space="preserve"> </w:t>
      </w:r>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Ref138969513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עו)</w:t>
      </w:r>
      <w:r>
        <w:rPr>
          <w:rStyle w:val="af2"/>
          <w:rFonts w:eastAsia="Guttman Hodes"/>
          <w:rtl/>
        </w:rPr>
        <w:fldChar w:fldCharType="end"/>
      </w:r>
      <w:r>
        <w:rPr>
          <w:rFonts w:hint="cs"/>
          <w:rtl/>
        </w:rPr>
        <w:t xml:space="preserve"> </w:t>
      </w:r>
      <w:r w:rsidRPr="003571D2">
        <w:rPr>
          <w:rStyle w:val="aff4"/>
          <w:rFonts w:hint="cs"/>
          <w:vanish/>
          <w:rtl/>
        </w:rPr>
        <w:t>-</w:t>
      </w:r>
      <w:r>
        <w:rPr>
          <w:rStyle w:val="aff4"/>
          <w:rFonts w:hint="cs"/>
          <w:rtl/>
        </w:rPr>
        <w:t>ו</w:t>
      </w:r>
      <w:r w:rsidRPr="00FE6CDD">
        <w:rPr>
          <w:rStyle w:val="aff4"/>
          <w:rFonts w:hint="cs"/>
          <w:rtl/>
        </w:rPr>
        <w:t>הרשב"א בעבודת הקודש</w:t>
      </w:r>
      <w:r w:rsidRPr="003571D2">
        <w:rPr>
          <w:rStyle w:val="aff4"/>
          <w:rFonts w:hint="cs"/>
          <w:vanish/>
          <w:rtl/>
        </w:rPr>
        <w:t>-</w:t>
      </w:r>
      <w:r>
        <w:rPr>
          <w:rFonts w:hint="cs"/>
          <w:rtl/>
        </w:rPr>
        <w:t xml:space="preserve"> </w:t>
      </w:r>
      <w:r w:rsidRPr="000D251D">
        <w:rPr>
          <w:rStyle w:val="af2"/>
          <w:rFonts w:eastAsia="Guttman Hodes" w:hint="cs"/>
          <w:rtl/>
        </w:rPr>
        <w:t xml:space="preserve">(עי' אות </w:t>
      </w:r>
      <w:r w:rsidRPr="000D251D">
        <w:rPr>
          <w:rStyle w:val="af2"/>
          <w:rFonts w:eastAsia="Guttman Hodes"/>
          <w:rtl/>
        </w:rPr>
        <w:fldChar w:fldCharType="begin"/>
      </w:r>
      <w:r w:rsidRPr="000D251D">
        <w:rPr>
          <w:rStyle w:val="af2"/>
          <w:rFonts w:eastAsia="Guttman Hodes"/>
          <w:rtl/>
        </w:rPr>
        <w:instrText xml:space="preserve"> </w:instrText>
      </w:r>
      <w:r w:rsidRPr="000D251D">
        <w:rPr>
          <w:rStyle w:val="af2"/>
          <w:rFonts w:eastAsia="Guttman Hodes" w:hint="cs"/>
        </w:rPr>
        <w:instrText>REF</w:instrText>
      </w:r>
      <w:r w:rsidRPr="000D251D">
        <w:rPr>
          <w:rStyle w:val="af2"/>
          <w:rFonts w:eastAsia="Guttman Hodes" w:hint="cs"/>
          <w:rtl/>
        </w:rPr>
        <w:instrText xml:space="preserve"> _</w:instrText>
      </w:r>
      <w:r w:rsidRPr="000D251D">
        <w:rPr>
          <w:rStyle w:val="af2"/>
          <w:rFonts w:eastAsia="Guttman Hodes" w:hint="cs"/>
        </w:rPr>
        <w:instrText>Ref138279889 \r \h</w:instrText>
      </w:r>
      <w:r w:rsidRPr="000D251D">
        <w:rPr>
          <w:rStyle w:val="af2"/>
          <w:rFonts w:eastAsia="Guttman Hodes"/>
          <w:rtl/>
        </w:rPr>
        <w:instrText xml:space="preserve"> </w:instrText>
      </w:r>
      <w:r w:rsidRPr="000D251D">
        <w:rPr>
          <w:rStyle w:val="af2"/>
          <w:rFonts w:eastAsia="Guttman Hodes"/>
          <w:rtl/>
        </w:rPr>
      </w:r>
      <w:r w:rsidRPr="000D251D">
        <w:rPr>
          <w:rStyle w:val="af2"/>
          <w:rFonts w:eastAsia="Guttman Hodes"/>
          <w:rtl/>
        </w:rPr>
        <w:fldChar w:fldCharType="separate"/>
      </w:r>
      <w:r w:rsidR="00D82181">
        <w:rPr>
          <w:rStyle w:val="af2"/>
          <w:rFonts w:eastAsia="Guttman Hodes"/>
          <w:cs/>
        </w:rPr>
        <w:t>‎</w:t>
      </w:r>
      <w:r w:rsidR="00D82181">
        <w:rPr>
          <w:rStyle w:val="af2"/>
          <w:rFonts w:eastAsia="Guttman Hodes"/>
          <w:rtl/>
        </w:rPr>
        <w:t>סג)</w:t>
      </w:r>
      <w:r w:rsidRPr="000D251D">
        <w:rPr>
          <w:rStyle w:val="af2"/>
          <w:rFonts w:eastAsia="Guttman Hodes"/>
          <w:rtl/>
        </w:rPr>
        <w:fldChar w:fldCharType="end"/>
      </w:r>
      <w:r>
        <w:rPr>
          <w:rFonts w:hint="cs"/>
          <w:rtl/>
        </w:rPr>
        <w:t xml:space="preserve"> </w:t>
      </w:r>
      <w:r w:rsidRPr="003571D2">
        <w:rPr>
          <w:rStyle w:val="aff4"/>
          <w:rFonts w:hint="cs"/>
          <w:vanish/>
          <w:rtl/>
        </w:rPr>
        <w:t>-</w:t>
      </w:r>
      <w:r w:rsidRPr="00FE6CDD">
        <w:rPr>
          <w:rStyle w:val="aff4"/>
          <w:rFonts w:hint="cs"/>
          <w:rtl/>
        </w:rPr>
        <w:t>והתוס' רי"ד</w:t>
      </w:r>
      <w:r w:rsidRPr="003571D2">
        <w:rPr>
          <w:rStyle w:val="aff4"/>
          <w:rFonts w:hint="cs"/>
          <w:vanish/>
          <w:rtl/>
        </w:rPr>
        <w:t>-</w:t>
      </w:r>
      <w:r>
        <w:rPr>
          <w:rFonts w:hint="cs"/>
          <w:rtl/>
        </w:rPr>
        <w:t xml:space="preserve"> </w:t>
      </w:r>
      <w:r w:rsidRPr="000D251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Ref138969530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מ)</w:t>
      </w:r>
      <w:r>
        <w:rPr>
          <w:rStyle w:val="af2"/>
          <w:rFonts w:eastAsia="Guttman Hodes"/>
          <w:rtl/>
        </w:rPr>
        <w:fldChar w:fldCharType="end"/>
      </w:r>
      <w:r>
        <w:rPr>
          <w:rFonts w:hint="cs"/>
          <w:rtl/>
        </w:rPr>
        <w:t>.</w:t>
      </w:r>
      <w:bookmarkEnd w:id="2868"/>
    </w:p>
    <w:p w14:paraId="116BA1F1" w14:textId="77777777" w:rsidR="008925FD" w:rsidRPr="00747170" w:rsidRDefault="008925FD" w:rsidP="00747170">
      <w:pPr>
        <w:pStyle w:val="a2"/>
        <w:rPr>
          <w:rtl/>
        </w:rPr>
      </w:pPr>
      <w:r w:rsidRPr="00747170">
        <w:rPr>
          <w:rtl/>
        </w:rPr>
        <w:t>[יב] הבורר אוכל וכו' עד לאכול בין הערבים חייב. כתב הרמ"ך לדבריו איכא חילוק בין שבת ליו"ט דביו"ט מותר אפילו פסולת מתוך אוכל ובקנון ותמחוי כב"ה וצ"ע מי דחקו להחמיר כ"כ בשבת יותר מיו"ט בפרק כלל גדול (שבת ע"ד) פריך קשיא דרב אשי אדרב אשי ומתרץ כאן בקנון ותמחוי כאן בנפה וכברה ואפילו בקנון פטור אבל אסור, עכ"ל:</w:t>
      </w:r>
    </w:p>
    <w:p w14:paraId="693062B4" w14:textId="1894EF21" w:rsidR="008925FD" w:rsidRDefault="008925FD" w:rsidP="008925FD">
      <w:pPr>
        <w:pStyle w:val="1"/>
        <w:rPr>
          <w:rtl/>
        </w:rPr>
      </w:pPr>
      <w:bookmarkStart w:id="2869" w:name="_Toc139277141"/>
      <w:r>
        <w:rPr>
          <w:rFonts w:hint="cs"/>
          <w:rtl/>
        </w:rPr>
        <w:t>ד' הרי"ד</w:t>
      </w:r>
      <w:r w:rsidRPr="00393098">
        <w:rPr>
          <w:rFonts w:hint="cs"/>
          <w:rtl/>
        </w:rPr>
        <w:t xml:space="preserve"> </w:t>
      </w:r>
      <w:r>
        <w:rPr>
          <w:rFonts w:hint="cs"/>
          <w:rtl/>
        </w:rPr>
        <w:t>וריב"ם ור"א מלוניל ד</w:t>
      </w:r>
      <w:r w:rsidRPr="00DF5EB4">
        <w:rPr>
          <w:rtl/>
        </w:rPr>
        <w:t>פסולת מאוכל לאלתר</w:t>
      </w:r>
      <w:r>
        <w:rPr>
          <w:rFonts w:hint="cs"/>
          <w:rtl/>
        </w:rPr>
        <w:t xml:space="preserve"> ביד מותר</w:t>
      </w:r>
      <w:bookmarkEnd w:id="2869"/>
    </w:p>
    <w:p w14:paraId="00479086" w14:textId="77777777" w:rsidR="008925FD" w:rsidRDefault="008925FD" w:rsidP="008925FD">
      <w:pPr>
        <w:pStyle w:val="afffff7"/>
        <w:rPr>
          <w:rtl/>
        </w:rPr>
      </w:pPr>
      <w:bookmarkStart w:id="2870" w:name="_Toc139277220"/>
      <w:bookmarkStart w:id="2871" w:name="_Toc163505923"/>
      <w:r>
        <w:rPr>
          <w:rtl/>
        </w:rPr>
        <w:t>ספר המכריע סי</w:t>
      </w:r>
      <w:r>
        <w:rPr>
          <w:rFonts w:hint="cs"/>
          <w:rtl/>
        </w:rPr>
        <w:t xml:space="preserve">' </w:t>
      </w:r>
      <w:r>
        <w:rPr>
          <w:rtl/>
        </w:rPr>
        <w:t>כ</w:t>
      </w:r>
      <w:r>
        <w:rPr>
          <w:rFonts w:hint="cs"/>
          <w:rtl/>
        </w:rPr>
        <w:t>"</w:t>
      </w:r>
      <w:r>
        <w:rPr>
          <w:rtl/>
        </w:rPr>
        <w:t>ג</w:t>
      </w:r>
      <w:r w:rsidRPr="006B322E">
        <w:rPr>
          <w:rtl/>
        </w:rPr>
        <w:t xml:space="preserve"> ד"ה גרסינן</w:t>
      </w:r>
      <w:r>
        <w:rPr>
          <w:rFonts w:hint="cs"/>
          <w:rtl/>
        </w:rPr>
        <w:t>,</w:t>
      </w:r>
      <w:r w:rsidRPr="00D44E6B">
        <w:rPr>
          <w:rFonts w:hint="cs"/>
          <w:rtl/>
        </w:rPr>
        <w:t xml:space="preserve"> </w:t>
      </w:r>
      <w:r>
        <w:rPr>
          <w:rFonts w:hint="cs"/>
          <w:rtl/>
        </w:rPr>
        <w:t>ונראה</w:t>
      </w:r>
      <w:bookmarkEnd w:id="2870"/>
      <w:bookmarkEnd w:id="2871"/>
    </w:p>
    <w:p w14:paraId="54802531" w14:textId="77777777" w:rsidR="008925FD" w:rsidRDefault="008925FD" w:rsidP="008925FD">
      <w:pPr>
        <w:pStyle w:val="a7"/>
        <w:rPr>
          <w:rtl/>
        </w:rPr>
      </w:pPr>
      <w:bookmarkStart w:id="2872" w:name="_Toc139277142"/>
      <w:r>
        <w:rPr>
          <w:rFonts w:hint="cs"/>
          <w:rtl/>
        </w:rPr>
        <w:t>בי' הרי"ד דנח' רק בברייתא דלרב המנונא באוכל מפסולת ולרב יוסף אף להיפך ולאביי לאלתר</w:t>
      </w:r>
      <w:bookmarkEnd w:id="2872"/>
    </w:p>
    <w:p w14:paraId="531FB1B3" w14:textId="477119C4" w:rsidR="008925FD" w:rsidRDefault="008925FD" w:rsidP="00BC7DC8">
      <w:pPr>
        <w:pStyle w:val="a3"/>
        <w:rPr>
          <w:rtl/>
        </w:rPr>
      </w:pPr>
      <w:bookmarkStart w:id="2873" w:name="_Ref139231048"/>
      <w:r>
        <w:rPr>
          <w:rFonts w:hint="cs"/>
          <w:rtl/>
        </w:rPr>
        <w:t xml:space="preserve">עי' במה שביאר </w:t>
      </w:r>
      <w:r w:rsidRPr="00166BDA">
        <w:rPr>
          <w:rStyle w:val="aff4"/>
          <w:rFonts w:hint="cs"/>
          <w:vanish/>
          <w:rtl/>
        </w:rPr>
        <w:t>-</w:t>
      </w:r>
      <w:r w:rsidRPr="00194A43">
        <w:rPr>
          <w:rStyle w:val="aff4"/>
          <w:rFonts w:hint="cs"/>
          <w:rtl/>
        </w:rPr>
        <w:t>הרי"ד בספר המכריע</w:t>
      </w:r>
      <w:r w:rsidRPr="00166BDA">
        <w:rPr>
          <w:rStyle w:val="aff4"/>
          <w:rFonts w:hint="cs"/>
          <w:vanish/>
          <w:rtl/>
        </w:rPr>
        <w:t>-</w:t>
      </w:r>
      <w:r>
        <w:rPr>
          <w:rFonts w:hint="cs"/>
          <w:rtl/>
        </w:rPr>
        <w:t xml:space="preserve"> </w:t>
      </w:r>
      <w:r w:rsidRPr="000D251D">
        <w:rPr>
          <w:rStyle w:val="af2"/>
          <w:rFonts w:eastAsia="Guttman Hodes" w:hint="cs"/>
          <w:rtl/>
        </w:rPr>
        <w:t xml:space="preserve">(עי' אות </w:t>
      </w:r>
      <w:r w:rsidRPr="000D251D">
        <w:rPr>
          <w:rStyle w:val="af2"/>
          <w:rFonts w:eastAsia="Guttman Hodes"/>
          <w:rtl/>
        </w:rPr>
        <w:fldChar w:fldCharType="begin"/>
      </w:r>
      <w:r w:rsidRPr="000D251D">
        <w:rPr>
          <w:rStyle w:val="af2"/>
          <w:rFonts w:eastAsia="Guttman Hodes"/>
          <w:rtl/>
        </w:rPr>
        <w:instrText xml:space="preserve"> </w:instrText>
      </w:r>
      <w:r w:rsidRPr="000D251D">
        <w:rPr>
          <w:rStyle w:val="af2"/>
          <w:rFonts w:eastAsia="Guttman Hodes" w:hint="cs"/>
        </w:rPr>
        <w:instrText>REF</w:instrText>
      </w:r>
      <w:r w:rsidRPr="000D251D">
        <w:rPr>
          <w:rStyle w:val="af2"/>
          <w:rFonts w:eastAsia="Guttman Hodes" w:hint="cs"/>
          <w:rtl/>
        </w:rPr>
        <w:instrText xml:space="preserve"> _</w:instrText>
      </w:r>
      <w:r w:rsidRPr="000D251D">
        <w:rPr>
          <w:rStyle w:val="af2"/>
          <w:rFonts w:eastAsia="Guttman Hodes" w:hint="cs"/>
        </w:rPr>
        <w:instrText>Ref138967431 \r \h</w:instrText>
      </w:r>
      <w:r w:rsidRPr="000D251D">
        <w:rPr>
          <w:rStyle w:val="af2"/>
          <w:rFonts w:eastAsia="Guttman Hodes"/>
          <w:rtl/>
        </w:rPr>
        <w:instrText xml:space="preserve"> </w:instrText>
      </w:r>
      <w:r w:rsidRPr="000D251D">
        <w:rPr>
          <w:rStyle w:val="af2"/>
          <w:rFonts w:eastAsia="Guttman Hodes"/>
          <w:rtl/>
        </w:rPr>
      </w:r>
      <w:r w:rsidRPr="000D251D">
        <w:rPr>
          <w:rStyle w:val="af2"/>
          <w:rFonts w:eastAsia="Guttman Hodes"/>
          <w:rtl/>
        </w:rPr>
        <w:fldChar w:fldCharType="separate"/>
      </w:r>
      <w:r w:rsidR="00D82181">
        <w:rPr>
          <w:rStyle w:val="af2"/>
          <w:rFonts w:eastAsia="Guttman Hodes"/>
          <w:cs/>
        </w:rPr>
        <w:t>‎</w:t>
      </w:r>
      <w:r w:rsidR="00D82181">
        <w:rPr>
          <w:rStyle w:val="af2"/>
          <w:rFonts w:eastAsia="Guttman Hodes"/>
          <w:rtl/>
        </w:rPr>
        <w:t>לב)</w:t>
      </w:r>
      <w:r w:rsidRPr="000D251D">
        <w:rPr>
          <w:rStyle w:val="af2"/>
          <w:rFonts w:eastAsia="Guttman Hodes"/>
          <w:rtl/>
        </w:rPr>
        <w:fldChar w:fldCharType="end"/>
      </w:r>
      <w:r>
        <w:rPr>
          <w:rFonts w:hint="cs"/>
          <w:rtl/>
        </w:rPr>
        <w:t xml:space="preserve"> דרב יוסף ורב המנונא ואביי נחלקו רק בביאור הברייתא ולא להלכה, וכתב </w:t>
      </w:r>
      <w:r w:rsidRPr="00166BDA">
        <w:rPr>
          <w:rStyle w:val="aff4"/>
          <w:rFonts w:hint="cs"/>
          <w:vanish/>
          <w:rtl/>
        </w:rPr>
        <w:t>-</w:t>
      </w:r>
      <w:r w:rsidRPr="00194A43">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Ref139231048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פד)</w:t>
      </w:r>
      <w:r>
        <w:rPr>
          <w:rStyle w:val="aff4"/>
          <w:vanish/>
          <w:rtl/>
        </w:rPr>
        <w:fldChar w:fldCharType="end"/>
      </w:r>
      <w:r>
        <w:rPr>
          <w:rStyle w:val="aff4"/>
          <w:rFonts w:hint="cs"/>
          <w:vanish/>
          <w:rtl/>
        </w:rPr>
        <w:t xml:space="preserve"> &gt;</w:t>
      </w:r>
      <w:r w:rsidRPr="00194A43">
        <w:rPr>
          <w:rStyle w:val="aff4"/>
          <w:rFonts w:hint="cs"/>
          <w:rtl/>
        </w:rPr>
        <w:t>רי"ד בספר המכריע</w:t>
      </w:r>
      <w:r w:rsidRPr="00166BDA">
        <w:rPr>
          <w:rStyle w:val="aff4"/>
          <w:rFonts w:hint="cs"/>
          <w:vanish/>
          <w:rtl/>
        </w:rPr>
        <w:t>-</w:t>
      </w:r>
      <w:r>
        <w:rPr>
          <w:rFonts w:hint="cs"/>
          <w:rtl/>
        </w:rPr>
        <w:t xml:space="preserve"> </w:t>
      </w:r>
      <w:r w:rsidRPr="000D251D">
        <w:rPr>
          <w:rStyle w:val="af2"/>
          <w:rFonts w:eastAsia="Guttman Hodes" w:hint="cs"/>
          <w:rtl/>
        </w:rPr>
        <w:t>(סי' כ"ג</w:t>
      </w:r>
      <w:r w:rsidRPr="000D251D">
        <w:rPr>
          <w:rStyle w:val="af2"/>
          <w:rFonts w:eastAsia="Guttman Hodes"/>
          <w:rtl/>
        </w:rPr>
        <w:t xml:space="preserve"> ד"ה גרסינן</w:t>
      </w:r>
      <w:r w:rsidRPr="000D251D">
        <w:rPr>
          <w:rStyle w:val="af2"/>
          <w:rFonts w:eastAsia="Guttman Hodes" w:hint="cs"/>
          <w:rtl/>
        </w:rPr>
        <w:t>, הועתק בקובץ שיטות קמאי שבת ח"ב עמ' אלף פ"ו)</w:t>
      </w:r>
      <w:r w:rsidRPr="00166BDA">
        <w:rPr>
          <w:rFonts w:hint="cs"/>
          <w:vanish/>
          <w:rtl/>
        </w:rPr>
        <w:t>=</w:t>
      </w:r>
      <w:r>
        <w:rPr>
          <w:rFonts w:hint="cs"/>
          <w:rtl/>
        </w:rPr>
        <w:t xml:space="preserve"> דרב המנונא דהעמיד באוכל מתוך פסולת איירי בנפה וכברה ולכן חייב אף בלאלתר, ורב יוסף דחייב בנפה וכברה איירי ג"כ בפסולת מתוך אוכל</w:t>
      </w:r>
      <w:bookmarkStart w:id="2874" w:name="_Ref138090819"/>
      <w:r>
        <w:rPr>
          <w:rFonts w:hint="cs"/>
          <w:rtl/>
        </w:rPr>
        <w:t xml:space="preserve">, והוסיף </w:t>
      </w:r>
      <w:r w:rsidRPr="00194A43">
        <w:rPr>
          <w:rStyle w:val="aff4"/>
          <w:rFonts w:hint="cs"/>
          <w:vanish/>
          <w:rtl/>
        </w:rPr>
        <w:t>-</w:t>
      </w:r>
      <w:r w:rsidRPr="00194A43">
        <w:rPr>
          <w:rStyle w:val="aff4"/>
          <w:rFonts w:hint="cs"/>
          <w:rtl/>
        </w:rPr>
        <w:t>ה</w:t>
      </w:r>
      <w:r>
        <w:rPr>
          <w:rStyle w:val="aff4"/>
          <w:rFonts w:hint="cs"/>
          <w:vanish/>
          <w:rtl/>
        </w:rPr>
        <w:t>&lt; &gt;</w:t>
      </w:r>
      <w:r w:rsidRPr="00194A43">
        <w:rPr>
          <w:rStyle w:val="aff4"/>
          <w:rFonts w:hint="cs"/>
          <w:rtl/>
        </w:rPr>
        <w:t>רי"ד בספר המכריע</w:t>
      </w:r>
      <w:r w:rsidRPr="00194A43">
        <w:rPr>
          <w:rStyle w:val="aff4"/>
          <w:rFonts w:hint="cs"/>
          <w:vanish/>
          <w:rtl/>
        </w:rPr>
        <w:t>-</w:t>
      </w:r>
      <w:r>
        <w:rPr>
          <w:rFonts w:hint="cs"/>
          <w:rtl/>
        </w:rPr>
        <w:t xml:space="preserve"> </w:t>
      </w:r>
      <w:r w:rsidRPr="000D251D">
        <w:rPr>
          <w:rStyle w:val="af2"/>
          <w:rFonts w:eastAsia="Guttman Hodes" w:hint="cs"/>
          <w:rtl/>
        </w:rPr>
        <w:t>(סי' כ"ג ד"ה ונראה, הועתק בקובץ שיטות קמאי שבת ח"ב עמ' אלף פ"ז)</w:t>
      </w:r>
      <w:r w:rsidRPr="00194A43">
        <w:rPr>
          <w:rFonts w:hint="cs"/>
          <w:vanish/>
          <w:rtl/>
        </w:rPr>
        <w:t>=</w:t>
      </w:r>
      <w:bookmarkEnd w:id="2874"/>
      <w:r>
        <w:rPr>
          <w:rFonts w:hint="cs"/>
          <w:rtl/>
        </w:rPr>
        <w:t xml:space="preserve"> דאביי דהעמיד את הברייתא ביד איירי דוקא בפסולת מתוך אוכל, ולכן לאחר זמן חייב חטאת ולאלתר מותר.</w:t>
      </w:r>
      <w:bookmarkEnd w:id="2873"/>
    </w:p>
    <w:p w14:paraId="01F113A5" w14:textId="77777777" w:rsidR="008925FD" w:rsidRPr="00747170" w:rsidRDefault="008925FD" w:rsidP="00747170">
      <w:pPr>
        <w:pStyle w:val="a2"/>
      </w:pPr>
      <w:r w:rsidRPr="00747170">
        <w:rPr>
          <w:rtl/>
        </w:rPr>
        <w:t>גרסינן בפרק כלל גדול (ל"ג ב') הזורה והבורר אלא אמר רב יוסף בורר ואוכל וכו' מאד נדחקתי לעמוד על דיני הברירה ומה שבידי לפרש אפרש. בורר ואוכל ביד בורר ומניח ביד פירוש האי מניח לאלתר הוא כדי לאכול באותה סעודה דומיא דלאכול ואף על פי שלאלתר הוא עושה דוקא ביד הוא מותר דהוא שינוי גמור אבל בקנון ובתמחוי דהוא שנוי קצת פטור אבל אסור ובנפה ובכברה דהוא מלאכה גמורה חייב חטאת דאע"ג דלאכול מיד קא עביד הוה ליה כאופה ומבשל מיד דחייב חטאת כדאקשינן לעולא</w:t>
      </w:r>
      <w:r w:rsidRPr="00747170">
        <w:rPr>
          <w:rFonts w:hint="cs"/>
          <w:rtl/>
        </w:rPr>
        <w:t xml:space="preserve">, </w:t>
      </w:r>
      <w:r w:rsidRPr="00747170">
        <w:rPr>
          <w:rtl/>
        </w:rPr>
        <w:t>מתקיף לה רב המנונא מידי קנון ותמחוי וכברה ונפה קתני וכו'. פירוש לא סבר רב המנונא את דברי רב יוסף לומר שאין הלכה כמותו. דודאי כן הלכה אלא מיהו פירוש דברי הברייתא אינו מיושב יפה דלא תני קנון ותמחוי נפה וכברה אלא אמר רב המנונא בורר ואוכל אוכל מתוך פסולת בורר ומניח אוכל מתוך פסולת אבל פסולת מתוך אוכל לא יברור ואם בירר חייב חטאת. נראה לי דרב המנונא בנפה ובכברה קאמר (ומשום) [ומש"ה] חייב חטאת בפסולת מתוך אוכל ואף על גב דהוא בורר לאכול וגם רב יוסף שחייב בנפה ובכברה בפסולת מתוך אוכל חייב דאלו אוכל מתוך פסולת שנוי הוי ולא מחייב עליה חטאת לעולם כדתנן בפרקא קמא דביצה הבורר קטנית בי"ט בית שמאי אומרים בורר אוכל אוכל וכו' דאלמא אוכל מתוך פסולת הוי שינוי ורב המנונא ורב יוסף לא פליגי אלא שסבר רב המנונא שרב יוסף לא יישב הברייתא יפה ובא הוא וישבה.</w:t>
      </w:r>
    </w:p>
    <w:p w14:paraId="188B5ED6" w14:textId="77777777" w:rsidR="008925FD" w:rsidRPr="00EB6547" w:rsidRDefault="008925FD" w:rsidP="00747170">
      <w:pPr>
        <w:pStyle w:val="afffff5"/>
      </w:pPr>
      <w:r w:rsidRPr="00EB6547">
        <w:rPr>
          <w:rtl/>
        </w:rPr>
        <w:t>ונראה לי דאביי לא מיירי אלא בפסולת מתוך אוכל ומשום הכי אם בירר להניח חייב חטאת ואפילו הכי לברור ולאכול שרי כיון דביד קעביד</w:t>
      </w:r>
    </w:p>
    <w:p w14:paraId="35C1EC92" w14:textId="4F6F0886" w:rsidR="008925FD" w:rsidRDefault="008925FD" w:rsidP="008925FD">
      <w:pPr>
        <w:pStyle w:val="a7"/>
        <w:rPr>
          <w:rtl/>
        </w:rPr>
      </w:pPr>
      <w:bookmarkStart w:id="2875" w:name="_Toc139277143"/>
      <w:r>
        <w:rPr>
          <w:rFonts w:hint="cs"/>
          <w:rtl/>
        </w:rPr>
        <w:t>בי' הרי"ד באביי דפסולת מאוכל לאלתר ביד מותר ובקנון אסור ולאח"ז רק בפסולת מאוכל חייב</w:t>
      </w:r>
      <w:bookmarkEnd w:id="2875"/>
    </w:p>
    <w:p w14:paraId="6B9D69B0" w14:textId="349F8F62" w:rsidR="008925FD" w:rsidRDefault="008925FD" w:rsidP="00BC7DC8">
      <w:pPr>
        <w:pStyle w:val="a3"/>
        <w:rPr>
          <w:rtl/>
        </w:rPr>
      </w:pPr>
      <w:bookmarkStart w:id="2876" w:name="_Ref139226441"/>
      <w:r>
        <w:rPr>
          <w:rFonts w:hint="cs"/>
          <w:rtl/>
        </w:rPr>
        <w:t xml:space="preserve">וכתב </w:t>
      </w:r>
      <w:r w:rsidRPr="00194A43">
        <w:rPr>
          <w:rStyle w:val="aff4"/>
          <w:rFonts w:hint="cs"/>
          <w:vanish/>
          <w:rtl/>
        </w:rPr>
        <w:t>-</w:t>
      </w:r>
      <w:r w:rsidRPr="00194A43">
        <w:rPr>
          <w:rStyle w:val="aff4"/>
          <w:rFonts w:hint="cs"/>
          <w:rtl/>
        </w:rPr>
        <w:t>הרי"ד בספר המכריע</w:t>
      </w:r>
      <w:r w:rsidRPr="00194A43">
        <w:rPr>
          <w:rStyle w:val="aff4"/>
          <w:rFonts w:hint="cs"/>
          <w:vanish/>
          <w:rtl/>
        </w:rPr>
        <w:t>-</w:t>
      </w:r>
      <w:r>
        <w:rPr>
          <w:rFonts w:hint="cs"/>
          <w:rtl/>
        </w:rPr>
        <w:t xml:space="preserve"> דזוהי המסקנא דביד לאלתר מותר לכתחילה אף בפסולת מתוך אוכל, </w:t>
      </w:r>
      <w:r w:rsidRPr="000D251D">
        <w:rPr>
          <w:rStyle w:val="af"/>
          <w:rFonts w:hint="cs"/>
          <w:rtl/>
        </w:rPr>
        <w:t>[כאביי</w:t>
      </w:r>
      <w:r w:rsidRPr="00394BDA">
        <w:rPr>
          <w:rStyle w:val="af"/>
          <w:rFonts w:hint="cs"/>
          <w:rtl/>
        </w:rPr>
        <w:t>],</w:t>
      </w:r>
      <w:r>
        <w:rPr>
          <w:rFonts w:hint="cs"/>
          <w:rtl/>
        </w:rPr>
        <w:t xml:space="preserve"> ובקנון ותמחוי פטור אבל אסור, ובנפה וכברה חייב חטאת אעפ"י דהוא בורר לאכילה</w:t>
      </w:r>
      <w:r w:rsidRPr="001566D4">
        <w:rPr>
          <w:rFonts w:hint="cs"/>
          <w:rtl/>
        </w:rPr>
        <w:t xml:space="preserve"> </w:t>
      </w:r>
      <w:r>
        <w:rPr>
          <w:rFonts w:hint="cs"/>
          <w:rtl/>
        </w:rPr>
        <w:t>ובבורר לאחר זמן בפסולת מתוך אוכל חייב אף ביד</w:t>
      </w:r>
      <w:r w:rsidRPr="005E0E2F">
        <w:rPr>
          <w:rFonts w:hint="cs"/>
          <w:rtl/>
        </w:rPr>
        <w:t xml:space="preserve"> </w:t>
      </w:r>
      <w:r w:rsidRPr="000D251D">
        <w:rPr>
          <w:rStyle w:val="af"/>
          <w:rFonts w:hint="cs"/>
          <w:rtl/>
        </w:rPr>
        <w:t>[כאביי</w:t>
      </w:r>
      <w:r w:rsidRPr="00394BDA">
        <w:rPr>
          <w:rStyle w:val="af"/>
          <w:rFonts w:hint="cs"/>
          <w:rtl/>
        </w:rPr>
        <w:t>],</w:t>
      </w:r>
      <w:r>
        <w:rPr>
          <w:rFonts w:hint="cs"/>
          <w:rtl/>
        </w:rPr>
        <w:t xml:space="preserve"> אבל באוכל מתוך פסולת אף לאחר זמן פטור בנפה וכברה פטור אבל אסור, כיון דאוכל מתוך פסולת הוא שינוי ואין בו חיוב חטאת. </w:t>
      </w:r>
      <w:r w:rsidRPr="000D251D">
        <w:rPr>
          <w:rStyle w:val="af"/>
          <w:rFonts w:hint="cs"/>
          <w:rtl/>
        </w:rPr>
        <w:t xml:space="preserve">[כדביאר </w:t>
      </w:r>
      <w:r w:rsidRPr="00A54E14">
        <w:rPr>
          <w:rStyle w:val="aff9"/>
          <w:rFonts w:hint="cs"/>
          <w:vanish/>
          <w:rtl/>
        </w:rPr>
        <w:t>-</w:t>
      </w:r>
      <w:r w:rsidRPr="009B1F18">
        <w:rPr>
          <w:rStyle w:val="aff9"/>
          <w:rFonts w:hint="cs"/>
          <w:rtl/>
        </w:rPr>
        <w:t>הרי"ד</w:t>
      </w:r>
      <w:r w:rsidRPr="00A54E14">
        <w:rPr>
          <w:rStyle w:val="aff9"/>
          <w:rFonts w:hint="cs"/>
          <w:vanish/>
          <w:rtl/>
        </w:rPr>
        <w:t>-</w:t>
      </w:r>
      <w:r w:rsidRPr="000D251D">
        <w:rPr>
          <w:rStyle w:val="af"/>
          <w:rFonts w:hint="cs"/>
          <w:rtl/>
        </w:rPr>
        <w:t xml:space="preserve"> </w:t>
      </w:r>
      <w:r w:rsidRPr="009B1F18">
        <w:rPr>
          <w:rStyle w:val="aff0"/>
          <w:rFonts w:hint="cs"/>
          <w:rtl/>
        </w:rPr>
        <w:t xml:space="preserve">(עי' אות </w:t>
      </w:r>
      <w:r w:rsidRPr="009B1F18">
        <w:rPr>
          <w:rStyle w:val="aff0"/>
          <w:rtl/>
        </w:rPr>
        <w:fldChar w:fldCharType="begin"/>
      </w:r>
      <w:r w:rsidRPr="009B1F18">
        <w:rPr>
          <w:rStyle w:val="aff0"/>
          <w:rtl/>
        </w:rPr>
        <w:instrText xml:space="preserve"> </w:instrText>
      </w:r>
      <w:r w:rsidRPr="009B1F18">
        <w:rPr>
          <w:rStyle w:val="aff0"/>
          <w:rFonts w:hint="cs"/>
        </w:rPr>
        <w:instrText>REF</w:instrText>
      </w:r>
      <w:r w:rsidRPr="009B1F18">
        <w:rPr>
          <w:rStyle w:val="aff0"/>
          <w:rFonts w:hint="cs"/>
          <w:rtl/>
        </w:rPr>
        <w:instrText xml:space="preserve"> _</w:instrText>
      </w:r>
      <w:r w:rsidRPr="009B1F18">
        <w:rPr>
          <w:rStyle w:val="aff0"/>
          <w:rFonts w:hint="cs"/>
        </w:rPr>
        <w:instrText>Ref138967431 \r \h</w:instrText>
      </w:r>
      <w:r w:rsidRPr="009B1F18">
        <w:rPr>
          <w:rStyle w:val="aff0"/>
          <w:rtl/>
        </w:rPr>
        <w:instrText xml:space="preserve"> </w:instrText>
      </w:r>
      <w:r w:rsidRPr="009B1F18">
        <w:rPr>
          <w:rStyle w:val="aff0"/>
          <w:rtl/>
        </w:rPr>
      </w:r>
      <w:r w:rsidRPr="009B1F18">
        <w:rPr>
          <w:rStyle w:val="aff0"/>
          <w:rtl/>
        </w:rPr>
        <w:fldChar w:fldCharType="separate"/>
      </w:r>
      <w:r w:rsidR="00D82181">
        <w:rPr>
          <w:rStyle w:val="aff0"/>
          <w:cs/>
        </w:rPr>
        <w:t>‎</w:t>
      </w:r>
      <w:r w:rsidR="00D82181">
        <w:rPr>
          <w:rStyle w:val="aff0"/>
          <w:rtl/>
        </w:rPr>
        <w:t>לב)</w:t>
      </w:r>
      <w:r w:rsidRPr="009B1F18">
        <w:rPr>
          <w:rStyle w:val="aff0"/>
          <w:rtl/>
        </w:rPr>
        <w:fldChar w:fldCharType="end"/>
      </w:r>
      <w:r w:rsidRPr="000D251D">
        <w:rPr>
          <w:rStyle w:val="af"/>
          <w:rFonts w:hint="cs"/>
          <w:rtl/>
        </w:rPr>
        <w:t xml:space="preserve"> בדעת רב המנונא וכדמוכח במשנה בביצה</w:t>
      </w:r>
      <w:r w:rsidRPr="00394BDA">
        <w:rPr>
          <w:rStyle w:val="af"/>
          <w:rFonts w:hint="cs"/>
          <w:rtl/>
        </w:rPr>
        <w:t>]</w:t>
      </w:r>
      <w:r>
        <w:rPr>
          <w:rStyle w:val="af"/>
          <w:rFonts w:hint="cs"/>
          <w:rtl/>
        </w:rPr>
        <w:t>,</w:t>
      </w:r>
      <w:r>
        <w:rPr>
          <w:rFonts w:hint="cs"/>
          <w:rtl/>
        </w:rPr>
        <w:t xml:space="preserve"> ועי' במה שביאר </w:t>
      </w:r>
      <w:r w:rsidRPr="00C51A85">
        <w:rPr>
          <w:rStyle w:val="aff4"/>
          <w:rFonts w:hint="cs"/>
          <w:vanish/>
          <w:rtl/>
        </w:rPr>
        <w:t>-</w:t>
      </w:r>
      <w:r>
        <w:rPr>
          <w:rStyle w:val="aff4"/>
          <w:rFonts w:hint="cs"/>
          <w:vanish/>
          <w:rtl/>
        </w:rPr>
        <w:t>ה</w:t>
      </w:r>
      <w:r w:rsidRPr="00194A43">
        <w:rPr>
          <w:rStyle w:val="aff4"/>
          <w:rFonts w:hint="cs"/>
          <w:rtl/>
        </w:rPr>
        <w:t>אגלי טל</w:t>
      </w:r>
      <w:r w:rsidRPr="00C51A85">
        <w:rPr>
          <w:rStyle w:val="aff4"/>
          <w:rFonts w:hint="cs"/>
          <w:vanish/>
          <w:rtl/>
        </w:rPr>
        <w:t>-</w:t>
      </w:r>
      <w:r>
        <w:rPr>
          <w:rFonts w:hint="cs"/>
          <w:rtl/>
        </w:rPr>
        <w:t xml:space="preserve"> </w:t>
      </w:r>
      <w:r>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Ref138255441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לד)</w:t>
      </w:r>
      <w:r>
        <w:rPr>
          <w:rStyle w:val="af2"/>
          <w:rFonts w:eastAsia="Guttman Hodes"/>
          <w:rtl/>
        </w:rPr>
        <w:fldChar w:fldCharType="end"/>
      </w:r>
      <w:r>
        <w:rPr>
          <w:rStyle w:val="af2"/>
          <w:rFonts w:eastAsia="Guttman Hodes" w:hint="cs"/>
          <w:rtl/>
        </w:rPr>
        <w:t xml:space="preserve"> </w:t>
      </w:r>
      <w:r>
        <w:rPr>
          <w:rFonts w:hint="cs"/>
          <w:rtl/>
        </w:rPr>
        <w:t xml:space="preserve">בדברי </w:t>
      </w:r>
      <w:r w:rsidRPr="00C51A85">
        <w:rPr>
          <w:rStyle w:val="aff4"/>
          <w:rFonts w:hint="cs"/>
          <w:vanish/>
          <w:rtl/>
        </w:rPr>
        <w:t>-</w:t>
      </w:r>
      <w:r w:rsidRPr="00194A43">
        <w:rPr>
          <w:rStyle w:val="aff4"/>
          <w:rFonts w:hint="cs"/>
          <w:rtl/>
        </w:rPr>
        <w:t>הרי"ד</w:t>
      </w:r>
      <w:r w:rsidRPr="00C51A85">
        <w:rPr>
          <w:rStyle w:val="aff4"/>
          <w:rFonts w:hint="cs"/>
          <w:vanish/>
          <w:rtl/>
        </w:rPr>
        <w:t>-</w:t>
      </w:r>
      <w:r>
        <w:rPr>
          <w:rFonts w:hint="cs"/>
          <w:rtl/>
        </w:rPr>
        <w:t xml:space="preserve"> ובמה שביאר </w:t>
      </w:r>
      <w:r w:rsidRPr="00C51A85">
        <w:rPr>
          <w:rStyle w:val="aff4"/>
          <w:rFonts w:hint="cs"/>
          <w:vanish/>
          <w:rtl/>
        </w:rPr>
        <w:t>-</w:t>
      </w:r>
      <w:r>
        <w:rPr>
          <w:rStyle w:val="aff4"/>
          <w:rFonts w:hint="cs"/>
          <w:vanish/>
          <w:rtl/>
        </w:rPr>
        <w:t>ה</w:t>
      </w:r>
      <w:r w:rsidRPr="00194A43">
        <w:rPr>
          <w:rStyle w:val="aff4"/>
          <w:rFonts w:hint="cs"/>
          <w:rtl/>
        </w:rPr>
        <w:t>אגלי טל</w:t>
      </w:r>
      <w:r w:rsidRPr="00C51A85">
        <w:rPr>
          <w:rStyle w:val="aff4"/>
          <w:rFonts w:hint="cs"/>
          <w:vanish/>
          <w:rtl/>
        </w:rPr>
        <w:t>-</w:t>
      </w:r>
      <w:r>
        <w:rPr>
          <w:rFonts w:hint="cs"/>
          <w:rtl/>
        </w:rPr>
        <w:t xml:space="preserve"> </w:t>
      </w:r>
      <w:r w:rsidRPr="00DA557F">
        <w:rPr>
          <w:rStyle w:val="af2"/>
          <w:rFonts w:eastAsia="Guttman Hodes" w:hint="cs"/>
          <w:rtl/>
        </w:rPr>
        <w:t xml:space="preserve">(עי' אות </w:t>
      </w:r>
      <w:r w:rsidRPr="00DA557F">
        <w:rPr>
          <w:rStyle w:val="af2"/>
          <w:rFonts w:eastAsia="Guttman Hodes"/>
          <w:rtl/>
        </w:rPr>
        <w:fldChar w:fldCharType="begin"/>
      </w:r>
      <w:r w:rsidRPr="00DA557F">
        <w:rPr>
          <w:rStyle w:val="af2"/>
          <w:rFonts w:eastAsia="Guttman Hodes"/>
          <w:rtl/>
        </w:rPr>
        <w:instrText xml:space="preserve"> </w:instrText>
      </w:r>
      <w:r w:rsidRPr="00DA557F">
        <w:rPr>
          <w:rStyle w:val="af2"/>
          <w:rFonts w:eastAsia="Guttman Hodes" w:hint="cs"/>
        </w:rPr>
        <w:instrText>REF</w:instrText>
      </w:r>
      <w:r w:rsidRPr="00DA557F">
        <w:rPr>
          <w:rStyle w:val="af2"/>
          <w:rFonts w:eastAsia="Guttman Hodes" w:hint="cs"/>
          <w:rtl/>
        </w:rPr>
        <w:instrText xml:space="preserve"> _</w:instrText>
      </w:r>
      <w:r w:rsidRPr="00DA557F">
        <w:rPr>
          <w:rStyle w:val="af2"/>
          <w:rFonts w:eastAsia="Guttman Hodes" w:hint="cs"/>
        </w:rPr>
        <w:instrText>Ref139229875 \r \h</w:instrText>
      </w:r>
      <w:r w:rsidRPr="00DA557F">
        <w:rPr>
          <w:rStyle w:val="af2"/>
          <w:rFonts w:eastAsia="Guttman Hodes"/>
          <w:rtl/>
        </w:rPr>
        <w:instrText xml:space="preserve"> </w:instrText>
      </w:r>
      <w:r w:rsidRPr="00DA557F">
        <w:rPr>
          <w:rStyle w:val="af2"/>
          <w:rFonts w:eastAsia="Guttman Hodes"/>
          <w:rtl/>
        </w:rPr>
      </w:r>
      <w:r w:rsidRPr="00DA557F">
        <w:rPr>
          <w:rStyle w:val="af2"/>
          <w:rFonts w:eastAsia="Guttman Hodes"/>
          <w:rtl/>
        </w:rPr>
        <w:fldChar w:fldCharType="separate"/>
      </w:r>
      <w:r w:rsidR="00D82181">
        <w:rPr>
          <w:rStyle w:val="af2"/>
          <w:rFonts w:eastAsia="Guttman Hodes"/>
          <w:cs/>
        </w:rPr>
        <w:t>‎</w:t>
      </w:r>
      <w:r w:rsidR="00D82181">
        <w:rPr>
          <w:rStyle w:val="af2"/>
          <w:rFonts w:eastAsia="Guttman Hodes"/>
          <w:rtl/>
        </w:rPr>
        <w:t>לח)</w:t>
      </w:r>
      <w:r w:rsidRPr="00DA557F">
        <w:rPr>
          <w:rStyle w:val="af2"/>
          <w:rFonts w:eastAsia="Guttman Hodes"/>
          <w:rtl/>
        </w:rPr>
        <w:fldChar w:fldCharType="end"/>
      </w:r>
      <w:r>
        <w:rPr>
          <w:rFonts w:hint="cs"/>
          <w:rtl/>
        </w:rPr>
        <w:t xml:space="preserve"> במסקנתו לפי דברי </w:t>
      </w:r>
      <w:r w:rsidRPr="00F00B89">
        <w:rPr>
          <w:rStyle w:val="aff4"/>
          <w:rFonts w:hint="cs"/>
          <w:vanish/>
          <w:rtl/>
        </w:rPr>
        <w:t>-</w:t>
      </w:r>
      <w:r w:rsidRPr="007F312F">
        <w:rPr>
          <w:rStyle w:val="aff4"/>
          <w:rFonts w:hint="cs"/>
          <w:rtl/>
        </w:rPr>
        <w:t>התוס' רי"ד לקמן</w:t>
      </w:r>
      <w:r w:rsidRPr="00F00B89">
        <w:rPr>
          <w:rStyle w:val="aff4"/>
          <w:rFonts w:hint="cs"/>
          <w:vanish/>
          <w:rtl/>
        </w:rPr>
        <w:t>-</w:t>
      </w:r>
      <w:r w:rsidRPr="00907712">
        <w:rPr>
          <w:rFonts w:hint="cs"/>
          <w:rtl/>
        </w:rPr>
        <w:t xml:space="preserve"> </w:t>
      </w:r>
      <w:r w:rsidRPr="000D251D">
        <w:rPr>
          <w:rStyle w:val="af2"/>
          <w:rFonts w:eastAsia="Guttman Hodes" w:hint="cs"/>
          <w:rtl/>
        </w:rPr>
        <w:t xml:space="preserve">(עי' אות </w:t>
      </w:r>
      <w:r w:rsidRPr="000D251D">
        <w:rPr>
          <w:rStyle w:val="af2"/>
          <w:rFonts w:eastAsia="Guttman Hodes"/>
          <w:rtl/>
        </w:rPr>
        <w:fldChar w:fldCharType="begin"/>
      </w:r>
      <w:r w:rsidRPr="000D251D">
        <w:rPr>
          <w:rStyle w:val="af2"/>
          <w:rFonts w:eastAsia="Guttman Hodes"/>
          <w:rtl/>
        </w:rPr>
        <w:instrText xml:space="preserve"> </w:instrText>
      </w:r>
      <w:r w:rsidRPr="000D251D">
        <w:rPr>
          <w:rStyle w:val="af2"/>
          <w:rFonts w:eastAsia="Guttman Hodes" w:hint="cs"/>
        </w:rPr>
        <w:instrText>REF</w:instrText>
      </w:r>
      <w:r w:rsidRPr="000D251D">
        <w:rPr>
          <w:rStyle w:val="af2"/>
          <w:rFonts w:eastAsia="Guttman Hodes" w:hint="cs"/>
          <w:rtl/>
        </w:rPr>
        <w:instrText xml:space="preserve"> _</w:instrText>
      </w:r>
      <w:r w:rsidRPr="000D251D">
        <w:rPr>
          <w:rStyle w:val="af2"/>
          <w:rFonts w:eastAsia="Guttman Hodes" w:hint="cs"/>
        </w:rPr>
        <w:instrText>Ref138257159 \r \h</w:instrText>
      </w:r>
      <w:r w:rsidRPr="000D251D">
        <w:rPr>
          <w:rStyle w:val="af2"/>
          <w:rFonts w:eastAsia="Guttman Hodes"/>
          <w:rtl/>
        </w:rPr>
        <w:instrText xml:space="preserve">  \* </w:instrText>
      </w:r>
      <w:r w:rsidRPr="000D251D">
        <w:rPr>
          <w:rStyle w:val="af2"/>
          <w:rFonts w:eastAsia="Guttman Hodes"/>
        </w:rPr>
        <w:instrText>MERGEFORMAT</w:instrText>
      </w:r>
      <w:r w:rsidRPr="000D251D">
        <w:rPr>
          <w:rStyle w:val="af2"/>
          <w:rFonts w:eastAsia="Guttman Hodes"/>
          <w:rtl/>
        </w:rPr>
        <w:instrText xml:space="preserve"> </w:instrText>
      </w:r>
      <w:r w:rsidRPr="000D251D">
        <w:rPr>
          <w:rStyle w:val="af2"/>
          <w:rFonts w:eastAsia="Guttman Hodes"/>
          <w:rtl/>
        </w:rPr>
      </w:r>
      <w:r w:rsidRPr="000D251D">
        <w:rPr>
          <w:rStyle w:val="af2"/>
          <w:rFonts w:eastAsia="Guttman Hodes"/>
          <w:rtl/>
        </w:rPr>
        <w:fldChar w:fldCharType="separate"/>
      </w:r>
      <w:r w:rsidR="00D82181">
        <w:rPr>
          <w:rStyle w:val="af2"/>
          <w:rFonts w:eastAsia="Guttman Hodes"/>
          <w:cs/>
        </w:rPr>
        <w:t>‎</w:t>
      </w:r>
      <w:r w:rsidR="00D82181">
        <w:rPr>
          <w:rStyle w:val="af2"/>
          <w:rFonts w:eastAsia="Guttman Hodes"/>
          <w:rtl/>
        </w:rPr>
        <w:t>לו)</w:t>
      </w:r>
      <w:r w:rsidRPr="000D251D">
        <w:rPr>
          <w:rStyle w:val="af2"/>
          <w:rFonts w:eastAsia="Guttman Hodes"/>
          <w:rtl/>
        </w:rPr>
        <w:fldChar w:fldCharType="end"/>
      </w:r>
      <w:r>
        <w:rPr>
          <w:rFonts w:hint="cs"/>
          <w:rtl/>
        </w:rPr>
        <w:t>.</w:t>
      </w:r>
    </w:p>
    <w:p w14:paraId="10EC7E2D" w14:textId="77777777" w:rsidR="008925FD" w:rsidRPr="00747170" w:rsidRDefault="008925FD" w:rsidP="00747170">
      <w:pPr>
        <w:pStyle w:val="a2"/>
      </w:pPr>
      <w:r w:rsidRPr="00747170">
        <w:rPr>
          <w:rtl/>
        </w:rPr>
        <w:t>ומסקנא דשמעתא סלקא הכי כל זמן שהוא בורר ואוכל או בורר ומניח לאותה הסעודה שהוא יושב בה אם בירר ביד מותר לכתחילה ואפילו פסולת מתוך אוכל אבל בקנון ובתמחוי פטור אבל אסור ובנפ' ובכבר' חייב חטאת ואף על גב דלאכול הוא בורר ואם בורר ומניח לבו ביום אפי' ביד חייב חטאת ודוקא פסולת מתוך אוכל אבל אוכל מתוך פסול' כיון דשינוי קעבי' פטור אבל אסור</w:t>
      </w:r>
      <w:r w:rsidRPr="00747170">
        <w:rPr>
          <w:rFonts w:hint="cs"/>
          <w:rtl/>
        </w:rPr>
        <w:t>.</w:t>
      </w:r>
    </w:p>
    <w:p w14:paraId="5BB133ED" w14:textId="74A0EE48" w:rsidR="008925FD" w:rsidRDefault="008925FD" w:rsidP="008925FD">
      <w:pPr>
        <w:pStyle w:val="afffff7"/>
        <w:rPr>
          <w:rtl/>
        </w:rPr>
      </w:pPr>
      <w:bookmarkStart w:id="2877" w:name="_Toc139277221"/>
      <w:bookmarkStart w:id="2878" w:name="_Toc163505924"/>
      <w:bookmarkEnd w:id="2876"/>
      <w:r>
        <w:rPr>
          <w:rtl/>
        </w:rPr>
        <w:t>ספר המכריע סי</w:t>
      </w:r>
      <w:r>
        <w:rPr>
          <w:rFonts w:hint="cs"/>
          <w:rtl/>
        </w:rPr>
        <w:t xml:space="preserve">' </w:t>
      </w:r>
      <w:r>
        <w:rPr>
          <w:rtl/>
        </w:rPr>
        <w:t>כ</w:t>
      </w:r>
      <w:r>
        <w:rPr>
          <w:rFonts w:hint="cs"/>
          <w:rtl/>
        </w:rPr>
        <w:t>"</w:t>
      </w:r>
      <w:r>
        <w:rPr>
          <w:rtl/>
        </w:rPr>
        <w:t>ג</w:t>
      </w:r>
      <w:r w:rsidRPr="006B322E">
        <w:rPr>
          <w:rtl/>
        </w:rPr>
        <w:t xml:space="preserve"> ד"ה </w:t>
      </w:r>
      <w:r>
        <w:rPr>
          <w:rFonts w:hint="cs"/>
          <w:rtl/>
        </w:rPr>
        <w:t>וראיתי כתוב</w:t>
      </w:r>
      <w:bookmarkEnd w:id="2877"/>
      <w:bookmarkEnd w:id="2878"/>
    </w:p>
    <w:p w14:paraId="3821F20D" w14:textId="77777777" w:rsidR="008925FD" w:rsidRDefault="008925FD" w:rsidP="008925FD">
      <w:pPr>
        <w:pStyle w:val="a7"/>
        <w:rPr>
          <w:rtl/>
        </w:rPr>
      </w:pPr>
      <w:bookmarkStart w:id="2879" w:name="_Toc139277144"/>
      <w:r>
        <w:rPr>
          <w:rFonts w:hint="cs"/>
          <w:rtl/>
        </w:rPr>
        <w:t>הוכחת הרי"ד מהגמ' בביצה דאביי מתיר אף בפסולת מתוך אוכל ובי' הריב"ם דכן קיי"ל כאביי</w:t>
      </w:r>
      <w:bookmarkEnd w:id="2879"/>
    </w:p>
    <w:p w14:paraId="094FA63B" w14:textId="225F0620" w:rsidR="008925FD" w:rsidRPr="00EE3255" w:rsidRDefault="008925FD" w:rsidP="00BC7DC8">
      <w:pPr>
        <w:pStyle w:val="a3"/>
      </w:pPr>
      <w:bookmarkStart w:id="2880" w:name="_Ref138093435"/>
      <w:r>
        <w:rPr>
          <w:rFonts w:hint="cs"/>
          <w:rtl/>
        </w:rPr>
        <w:t xml:space="preserve">והוסיף </w:t>
      </w:r>
      <w:r w:rsidRPr="00F534DA">
        <w:rPr>
          <w:rStyle w:val="aff4"/>
          <w:rFonts w:hint="cs"/>
          <w:vanish/>
          <w:rtl/>
        </w:rPr>
        <w:t>-</w:t>
      </w:r>
      <w:r w:rsidRPr="00194A43">
        <w:rPr>
          <w:rStyle w:val="aff4"/>
          <w:rFonts w:hint="cs"/>
          <w:rtl/>
        </w:rPr>
        <w:t>ה</w:t>
      </w:r>
      <w:r w:rsidRPr="00F534DA">
        <w:rPr>
          <w:rStyle w:val="aff4"/>
          <w:rFonts w:hint="cs"/>
          <w:vanish/>
          <w:rtl/>
        </w:rPr>
        <w:t xml:space="preserve">&lt;. </w:t>
      </w:r>
      <w:r w:rsidRPr="00F534DA">
        <w:rPr>
          <w:rStyle w:val="aff4"/>
          <w:vanish/>
          <w:rtl/>
        </w:rPr>
        <w:fldChar w:fldCharType="begin"/>
      </w:r>
      <w:r w:rsidRPr="00F534DA">
        <w:rPr>
          <w:rStyle w:val="aff4"/>
          <w:vanish/>
          <w:rtl/>
        </w:rPr>
        <w:instrText xml:space="preserve"> </w:instrText>
      </w:r>
      <w:r w:rsidRPr="00F534DA">
        <w:rPr>
          <w:rStyle w:val="aff4"/>
          <w:rFonts w:hint="cs"/>
          <w:vanish/>
        </w:rPr>
        <w:instrText>REF</w:instrText>
      </w:r>
      <w:r w:rsidRPr="00F534DA">
        <w:rPr>
          <w:rStyle w:val="aff4"/>
          <w:rFonts w:hint="cs"/>
          <w:vanish/>
          <w:rtl/>
        </w:rPr>
        <w:instrText xml:space="preserve"> _</w:instrText>
      </w:r>
      <w:r w:rsidRPr="00F534DA">
        <w:rPr>
          <w:rStyle w:val="aff4"/>
          <w:rFonts w:hint="cs"/>
          <w:vanish/>
        </w:rPr>
        <w:instrText>Ref138093435 \r \h</w:instrText>
      </w:r>
      <w:r w:rsidRPr="00F534DA">
        <w:rPr>
          <w:rStyle w:val="aff4"/>
          <w:vanish/>
          <w:rtl/>
        </w:rPr>
        <w:instrText xml:space="preserve"> </w:instrText>
      </w:r>
      <w:r w:rsidRPr="00F534DA">
        <w:rPr>
          <w:rStyle w:val="aff4"/>
          <w:vanish/>
          <w:rtl/>
        </w:rPr>
      </w:r>
      <w:r w:rsidRPr="00F534DA">
        <w:rPr>
          <w:rStyle w:val="aff4"/>
          <w:vanish/>
          <w:rtl/>
        </w:rPr>
        <w:fldChar w:fldCharType="separate"/>
      </w:r>
      <w:r w:rsidR="00D82181">
        <w:rPr>
          <w:rStyle w:val="aff4"/>
          <w:vanish/>
          <w:cs/>
        </w:rPr>
        <w:t>‎</w:t>
      </w:r>
      <w:r w:rsidR="00D82181">
        <w:rPr>
          <w:rStyle w:val="aff4"/>
          <w:vanish/>
          <w:rtl/>
        </w:rPr>
        <w:t>פו)</w:t>
      </w:r>
      <w:r w:rsidRPr="00F534DA">
        <w:rPr>
          <w:rStyle w:val="aff4"/>
          <w:vanish/>
          <w:rtl/>
        </w:rPr>
        <w:fldChar w:fldCharType="end"/>
      </w:r>
      <w:r w:rsidRPr="00F534DA">
        <w:rPr>
          <w:rStyle w:val="aff4"/>
          <w:rFonts w:hint="cs"/>
          <w:vanish/>
          <w:rtl/>
        </w:rPr>
        <w:t xml:space="preserve"> &gt;</w:t>
      </w:r>
      <w:r w:rsidRPr="00194A43">
        <w:rPr>
          <w:rStyle w:val="aff4"/>
          <w:rFonts w:hint="cs"/>
          <w:rtl/>
        </w:rPr>
        <w:t>רי"ד בספר המכריע</w:t>
      </w:r>
      <w:r w:rsidRPr="00F534DA">
        <w:rPr>
          <w:rStyle w:val="aff4"/>
          <w:rFonts w:hint="cs"/>
          <w:vanish/>
          <w:rtl/>
        </w:rPr>
        <w:t>-</w:t>
      </w:r>
      <w:r>
        <w:rPr>
          <w:rFonts w:hint="cs"/>
          <w:rtl/>
        </w:rPr>
        <w:t xml:space="preserve"> </w:t>
      </w:r>
      <w:r w:rsidRPr="000D251D">
        <w:rPr>
          <w:rStyle w:val="af2"/>
          <w:rFonts w:eastAsia="Guttman Hodes" w:hint="cs"/>
          <w:rtl/>
        </w:rPr>
        <w:t>(סו"ס כ"ג ד"ה וראיתי כתוב, הועתק בקובץ שיטות קמאי שבת ח"ב עמ' אלף פ"ז)</w:t>
      </w:r>
      <w:r w:rsidRPr="00F534DA">
        <w:rPr>
          <w:rFonts w:hint="cs"/>
          <w:vanish/>
          <w:rtl/>
        </w:rPr>
        <w:t>=</w:t>
      </w:r>
      <w:r>
        <w:rPr>
          <w:rFonts w:hint="cs"/>
          <w:rtl/>
        </w:rPr>
        <w:t xml:space="preserve"> דמוכח דאביי מתיר אף בפסולת מתוך אוכל, מהא דאיתא בביצה </w:t>
      </w:r>
      <w:r w:rsidRPr="000D251D">
        <w:rPr>
          <w:rStyle w:val="af2"/>
          <w:rFonts w:eastAsia="Guttman Hodes" w:hint="cs"/>
          <w:rtl/>
        </w:rPr>
        <w:t>(יב:)</w:t>
      </w:r>
      <w:r>
        <w:rPr>
          <w:rFonts w:hint="cs"/>
          <w:rtl/>
        </w:rPr>
        <w:t xml:space="preserve"> דהמולל מלילות מותר לנפח על יד, ומבואר דכיון דעושה כן ביד מותר אעפ"י דהוא פסולת מתוך אוכל, וה"ה באביי דאיירי בפסולת מתוך אוכל, והביא </w:t>
      </w:r>
      <w:r w:rsidRPr="00F534DA">
        <w:rPr>
          <w:rStyle w:val="aff4"/>
          <w:rFonts w:hint="cs"/>
          <w:vanish/>
          <w:rtl/>
        </w:rPr>
        <w:t>-</w:t>
      </w:r>
      <w:r w:rsidRPr="00194A43">
        <w:rPr>
          <w:rStyle w:val="aff4"/>
          <w:rFonts w:hint="cs"/>
          <w:rtl/>
        </w:rPr>
        <w:t>הרי"ד בספר המכריע</w:t>
      </w:r>
      <w:r w:rsidRPr="00F534DA">
        <w:rPr>
          <w:rStyle w:val="aff4"/>
          <w:rFonts w:hint="cs"/>
          <w:vanish/>
          <w:rtl/>
        </w:rPr>
        <w:t>-</w:t>
      </w:r>
      <w:r>
        <w:rPr>
          <w:rFonts w:hint="cs"/>
          <w:rtl/>
        </w:rPr>
        <w:t xml:space="preserve"> </w:t>
      </w:r>
      <w:r w:rsidRPr="00DF5EB4">
        <w:rPr>
          <w:rStyle w:val="aff4"/>
          <w:rFonts w:hint="cs"/>
          <w:vanish/>
          <w:rtl/>
        </w:rPr>
        <w:t>&lt; &gt;</w:t>
      </w:r>
      <w:r>
        <w:rPr>
          <w:rFonts w:hint="cs"/>
          <w:rtl/>
        </w:rPr>
        <w:t xml:space="preserve">בשם </w:t>
      </w:r>
      <w:r w:rsidRPr="00F534DA">
        <w:rPr>
          <w:rStyle w:val="aff4"/>
          <w:rFonts w:hint="cs"/>
          <w:vanish/>
          <w:rtl/>
        </w:rPr>
        <w:t>-</w:t>
      </w:r>
      <w:r w:rsidRPr="00194A43">
        <w:rPr>
          <w:rStyle w:val="aff4"/>
          <w:rFonts w:hint="cs"/>
          <w:rtl/>
        </w:rPr>
        <w:t>הריב"ם</w:t>
      </w:r>
      <w:r w:rsidRPr="00F534DA">
        <w:rPr>
          <w:rStyle w:val="aff4"/>
          <w:rFonts w:hint="cs"/>
          <w:vanish/>
          <w:rtl/>
        </w:rPr>
        <w:t>-</w:t>
      </w:r>
      <w:r w:rsidRPr="00F534DA">
        <w:rPr>
          <w:rFonts w:hint="cs"/>
          <w:vanish/>
          <w:rtl/>
        </w:rPr>
        <w:t>=</w:t>
      </w:r>
      <w:r>
        <w:rPr>
          <w:rFonts w:hint="cs"/>
          <w:rtl/>
        </w:rPr>
        <w:t xml:space="preserve"> דכ"כ דקיי"ל כאביי דהתיר בורר לאלתר בין באוכל מתוך פסולת ובין בפסולת מתוך אוכל, כמבואר מדלא חילק אביי בזה.</w:t>
      </w:r>
      <w:bookmarkEnd w:id="2880"/>
    </w:p>
    <w:p w14:paraId="4FA8E02D" w14:textId="77777777" w:rsidR="008925FD" w:rsidRPr="00747170" w:rsidRDefault="008925FD" w:rsidP="00747170">
      <w:pPr>
        <w:pStyle w:val="a2"/>
        <w:rPr>
          <w:rtl/>
        </w:rPr>
      </w:pPr>
      <w:r w:rsidRPr="00747170">
        <w:rPr>
          <w:rtl/>
        </w:rPr>
        <w:t>ויש עוד ראיה ברורה על זה מן המולל מלילות דאמרי' מנפח על יד ואוכל והרי המנפח בורר פסולת מתוך אוכל הוא שמפריך את הקשין ומניח את גרעיני החיטין ואפילו הכי משום דהוי מנפח בידו ואוכל שרי שמע מינה דאביי נמי בפסולת מתוך אוכל קא מיירי וכך כתב רבינו יוסף בר' מאיר זצוק"ל אמר לן ר' שיש לסמוך על דברי אביי הואיל ושבחיה רבה הילכך לברור כל דבר בין אוכל מתוך פסולת בין פסולת מתוך אוכל כדי לאכול לאלתר לאחר ברירה דאביי לא חילק בדבריו אלא סתם מתיר לברור כדי לאכול מיד. עיין במהדורא תליתאה בפרק ר' אליעזר דתולין.</w:t>
      </w:r>
    </w:p>
    <w:p w14:paraId="1CAD07C6" w14:textId="2BA62CA0" w:rsidR="008925FD" w:rsidRDefault="008925FD" w:rsidP="008925FD">
      <w:pPr>
        <w:pStyle w:val="afffff7"/>
        <w:rPr>
          <w:rtl/>
        </w:rPr>
      </w:pPr>
      <w:bookmarkStart w:id="2881" w:name="_Toc139277222"/>
      <w:bookmarkStart w:id="2882" w:name="_Toc163505925"/>
      <w:r w:rsidRPr="000A194E">
        <w:rPr>
          <w:rtl/>
        </w:rPr>
        <w:t>ההשלמה שבת ע"ד ע"א</w:t>
      </w:r>
      <w:r w:rsidRPr="000A194E">
        <w:rPr>
          <w:rFonts w:hint="cs"/>
          <w:rtl/>
        </w:rPr>
        <w:t xml:space="preserve"> אות ו' ד"ה </w:t>
      </w:r>
      <w:r>
        <w:rPr>
          <w:rFonts w:hint="cs"/>
          <w:rtl/>
        </w:rPr>
        <w:t>והרב דודי</w:t>
      </w:r>
      <w:bookmarkEnd w:id="2881"/>
      <w:bookmarkEnd w:id="2882"/>
    </w:p>
    <w:p w14:paraId="35100036" w14:textId="77777777" w:rsidR="008925FD" w:rsidRPr="00773DB0" w:rsidRDefault="008925FD" w:rsidP="008925FD">
      <w:pPr>
        <w:pStyle w:val="afffff7"/>
        <w:rPr>
          <w:rtl/>
        </w:rPr>
      </w:pPr>
      <w:bookmarkStart w:id="2883" w:name="_Toc139277223"/>
      <w:bookmarkStart w:id="2884" w:name="_Toc139277145"/>
      <w:bookmarkStart w:id="2885" w:name="_Toc163505926"/>
      <w:r w:rsidRPr="004D59B9">
        <w:rPr>
          <w:rtl/>
        </w:rPr>
        <w:t xml:space="preserve">הבתים </w:t>
      </w:r>
      <w:r w:rsidRPr="00380EB8">
        <w:rPr>
          <w:rtl/>
        </w:rPr>
        <w:t xml:space="preserve">שערי המלאכות האסורות ביום השבת שער </w:t>
      </w:r>
      <w:r>
        <w:rPr>
          <w:rFonts w:hint="cs"/>
          <w:rtl/>
        </w:rPr>
        <w:t>י'</w:t>
      </w:r>
      <w:bookmarkEnd w:id="2883"/>
      <w:bookmarkEnd w:id="2885"/>
    </w:p>
    <w:p w14:paraId="41E4E3D2" w14:textId="77777777" w:rsidR="008925FD" w:rsidRDefault="008925FD" w:rsidP="008925FD">
      <w:pPr>
        <w:pStyle w:val="a7"/>
        <w:rPr>
          <w:rtl/>
        </w:rPr>
      </w:pPr>
      <w:r>
        <w:rPr>
          <w:rFonts w:hint="cs"/>
          <w:rtl/>
        </w:rPr>
        <w:t>בי' ההשלמה והבתים בשם הר"א מלוניל דפסולת מאוכל לאלתר מותר ורב אשי איירי בתבואה</w:t>
      </w:r>
      <w:bookmarkEnd w:id="2884"/>
    </w:p>
    <w:p w14:paraId="0504BEB8" w14:textId="59CA6729" w:rsidR="008925FD" w:rsidRPr="00680948" w:rsidRDefault="008925FD" w:rsidP="00BC7DC8">
      <w:pPr>
        <w:pStyle w:val="a3"/>
        <w:rPr>
          <w:rtl/>
        </w:rPr>
      </w:pPr>
      <w:bookmarkStart w:id="2886" w:name="_Ref138968593"/>
      <w:r>
        <w:rPr>
          <w:rFonts w:hint="cs"/>
          <w:rtl/>
        </w:rPr>
        <w:t xml:space="preserve">וכ"כ </w:t>
      </w:r>
      <w:r w:rsidRPr="00656F23">
        <w:rPr>
          <w:rStyle w:val="aff4"/>
          <w:rFonts w:hint="cs"/>
          <w:vanish/>
          <w:rtl/>
        </w:rPr>
        <w:t>-</w:t>
      </w:r>
      <w:r w:rsidRPr="002D2941">
        <w:rPr>
          <w:rStyle w:val="aff4"/>
          <w:rFonts w:hint="cs"/>
          <w:rtl/>
        </w:rPr>
        <w:t>ה</w:t>
      </w:r>
      <w:r w:rsidRPr="00656F23">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Ref138968593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פז)</w:t>
      </w:r>
      <w:r>
        <w:rPr>
          <w:rStyle w:val="aff4"/>
          <w:vanish/>
          <w:rtl/>
        </w:rPr>
        <w:fldChar w:fldCharType="end"/>
      </w:r>
      <w:r w:rsidRPr="00656F23">
        <w:rPr>
          <w:rStyle w:val="aff4"/>
          <w:rFonts w:hint="cs"/>
          <w:vanish/>
          <w:rtl/>
        </w:rPr>
        <w:t xml:space="preserve"> &gt;</w:t>
      </w:r>
      <w:r w:rsidRPr="002D2941">
        <w:rPr>
          <w:rStyle w:val="aff4"/>
          <w:rFonts w:hint="cs"/>
          <w:rtl/>
        </w:rPr>
        <w:t>השלמה</w:t>
      </w:r>
      <w:r w:rsidRPr="00656F23">
        <w:rPr>
          <w:rStyle w:val="aff4"/>
          <w:rFonts w:hint="cs"/>
          <w:vanish/>
          <w:rtl/>
        </w:rPr>
        <w:t>-</w:t>
      </w:r>
      <w:r>
        <w:rPr>
          <w:rFonts w:hint="cs"/>
          <w:rtl/>
        </w:rPr>
        <w:t xml:space="preserve"> </w:t>
      </w:r>
      <w:r w:rsidRPr="000D251D">
        <w:rPr>
          <w:rStyle w:val="af2"/>
          <w:rFonts w:eastAsia="Guttman Hodes" w:hint="cs"/>
          <w:rtl/>
        </w:rPr>
        <w:t>(אות ו' ד"ה והרב דודי, הועתק בקובץ שיטות קמאי שבת ח"ב עמ' אלף פ"ה)</w:t>
      </w:r>
      <w:r>
        <w:rPr>
          <w:rFonts w:hint="cs"/>
          <w:rtl/>
        </w:rPr>
        <w:t xml:space="preserve"> </w:t>
      </w:r>
      <w:r w:rsidRPr="00656F23">
        <w:rPr>
          <w:rStyle w:val="aff4"/>
          <w:rFonts w:hint="cs"/>
          <w:vanish/>
          <w:rtl/>
        </w:rPr>
        <w:t>-</w:t>
      </w:r>
      <w:r w:rsidRPr="002D2941">
        <w:rPr>
          <w:rStyle w:val="aff4"/>
          <w:rFonts w:hint="cs"/>
          <w:rtl/>
        </w:rPr>
        <w:t>וה</w:t>
      </w:r>
      <w:r w:rsidRPr="00656F23">
        <w:rPr>
          <w:rStyle w:val="aff4"/>
          <w:rFonts w:hint="cs"/>
          <w:vanish/>
          <w:rtl/>
        </w:rPr>
        <w:t>&lt; &gt;</w:t>
      </w:r>
      <w:r w:rsidRPr="002D2941">
        <w:rPr>
          <w:rStyle w:val="aff4"/>
          <w:rFonts w:hint="cs"/>
          <w:rtl/>
        </w:rPr>
        <w:t>בתים</w:t>
      </w:r>
      <w:r w:rsidRPr="00656F23">
        <w:rPr>
          <w:rStyle w:val="aff4"/>
          <w:rFonts w:hint="cs"/>
          <w:vanish/>
          <w:rtl/>
        </w:rPr>
        <w:t>-</w:t>
      </w:r>
      <w:r>
        <w:rPr>
          <w:rFonts w:hint="cs"/>
          <w:rtl/>
        </w:rPr>
        <w:t xml:space="preserve"> </w:t>
      </w:r>
      <w:r w:rsidRPr="000D251D">
        <w:rPr>
          <w:rStyle w:val="af2"/>
          <w:rFonts w:eastAsia="Guttman Hodes" w:hint="cs"/>
          <w:rtl/>
        </w:rPr>
        <w:t>(</w:t>
      </w:r>
      <w:r w:rsidRPr="000D251D">
        <w:rPr>
          <w:rStyle w:val="af2"/>
          <w:rFonts w:eastAsia="Guttman Hodes"/>
          <w:rtl/>
        </w:rPr>
        <w:t xml:space="preserve">שערי המלאכות האסורות ביום השבת שער </w:t>
      </w:r>
      <w:r w:rsidRPr="000D251D">
        <w:rPr>
          <w:rStyle w:val="af2"/>
          <w:rFonts w:eastAsia="Guttman Hodes" w:hint="cs"/>
          <w:rtl/>
        </w:rPr>
        <w:t>י', הועתק בקובץ שיטות קמאי שבת ח"ב עמ' אלף פ"ח)</w:t>
      </w:r>
      <w:r>
        <w:rPr>
          <w:rFonts w:hint="cs"/>
          <w:rtl/>
        </w:rPr>
        <w:t xml:space="preserve"> בשם </w:t>
      </w:r>
      <w:r w:rsidRPr="00656F23">
        <w:rPr>
          <w:rStyle w:val="aff4"/>
          <w:rFonts w:hint="cs"/>
          <w:vanish/>
          <w:rtl/>
        </w:rPr>
        <w:t>-</w:t>
      </w:r>
      <w:r w:rsidRPr="002D2941">
        <w:rPr>
          <w:rStyle w:val="aff4"/>
          <w:rFonts w:hint="cs"/>
          <w:rtl/>
        </w:rPr>
        <w:t>רבינו אשר מלוניל</w:t>
      </w:r>
      <w:r w:rsidRPr="00656F23">
        <w:rPr>
          <w:rStyle w:val="aff4"/>
          <w:rFonts w:hint="cs"/>
          <w:vanish/>
          <w:rtl/>
        </w:rPr>
        <w:t>-</w:t>
      </w:r>
      <w:r>
        <w:rPr>
          <w:rFonts w:hint="cs"/>
          <w:rtl/>
        </w:rPr>
        <w:t xml:space="preserve"> </w:t>
      </w:r>
      <w:r w:rsidRPr="00297C42">
        <w:rPr>
          <w:rStyle w:val="aff9"/>
          <w:rFonts w:hint="cs"/>
          <w:rtl/>
        </w:rPr>
        <w:t>[</w:t>
      </w:r>
      <w:r w:rsidRPr="00297C42">
        <w:rPr>
          <w:rStyle w:val="aff9"/>
          <w:rFonts w:hint="cs"/>
          <w:vanish/>
          <w:rtl/>
        </w:rPr>
        <w:t>-</w:t>
      </w:r>
      <w:r w:rsidRPr="00297C42">
        <w:rPr>
          <w:rStyle w:val="aff9"/>
          <w:rFonts w:hint="cs"/>
          <w:rtl/>
        </w:rPr>
        <w:t>דודו של ההשלמה</w:t>
      </w:r>
      <w:r w:rsidRPr="00297C42">
        <w:rPr>
          <w:rStyle w:val="aff9"/>
          <w:rFonts w:hint="cs"/>
          <w:vanish/>
          <w:rtl/>
        </w:rPr>
        <w:t>-</w:t>
      </w:r>
      <w:r w:rsidRPr="00297C42">
        <w:rPr>
          <w:rStyle w:val="aff9"/>
          <w:rFonts w:hint="cs"/>
          <w:rtl/>
        </w:rPr>
        <w:t>]</w:t>
      </w:r>
      <w:r w:rsidRPr="00656F23">
        <w:rPr>
          <w:rFonts w:hint="cs"/>
          <w:vanish/>
          <w:rtl/>
        </w:rPr>
        <w:t>=</w:t>
      </w:r>
      <w:r>
        <w:rPr>
          <w:rFonts w:hint="cs"/>
          <w:rtl/>
        </w:rPr>
        <w:t xml:space="preserve"> דלאלתר מותר אף פסולת מתוך אוכל בקנון ותמחוי, והא דתירצה הגמ' ברב אשי דבקנון ותמחוי אסור, היינו בברירת תבואה שאינה לאלתר, אבל בברירת קיטנית לבישול אף בקנון ותמחוי מותר, והא דאמרינן דהבורר פסולת מתוך אוכל לאחר זמן חייב, היינו בדרך ברירה בנפה וכברה.</w:t>
      </w:r>
      <w:bookmarkEnd w:id="2886"/>
      <w:r>
        <w:rPr>
          <w:rFonts w:hint="cs"/>
          <w:rtl/>
        </w:rPr>
        <w:t xml:space="preserve"> </w:t>
      </w:r>
    </w:p>
    <w:p w14:paraId="22153AA3" w14:textId="77777777" w:rsidR="008925FD" w:rsidRPr="00747170" w:rsidRDefault="008925FD" w:rsidP="00747170">
      <w:pPr>
        <w:pStyle w:val="a2"/>
      </w:pPr>
      <w:r w:rsidRPr="00747170">
        <w:rPr>
          <w:rtl/>
        </w:rPr>
        <w:t>והרב דודי ז"ל פירש דלאלתר שרי אפילו פסולת מתוך אוכל בקנון ובתמחוי. והא דאמרינן לקמן כאן בקנון ותמחוי כאן בנפה וכברה, התם לאו בברירות בחיקו איירי אלא בברירה ממש כמו שבוררין התבואה, אבל הכא בברירות בחיקו מיירי, (כגון) [כעין] שבוררין מיני קטנית כשרוצין לבשלם. ומה [שאמר] כי ברר פסולת מתוך אוכל לבו ביום חייב חטאת, דרך ברירה הוא ככברה למילתיה.</w:t>
      </w:r>
    </w:p>
    <w:p w14:paraId="237755FC" w14:textId="77777777" w:rsidR="008925FD" w:rsidRPr="00EB6547" w:rsidRDefault="008925FD" w:rsidP="00747170">
      <w:pPr>
        <w:pStyle w:val="afffff5"/>
      </w:pPr>
      <w:r w:rsidRPr="00EB6547">
        <w:rPr>
          <w:rtl/>
        </w:rPr>
        <w:t>כתב הר"ש מותר לברור אוכל אפילו בנפה וכברה כדי לאכול אותה לאלתר והרב אשר מלוניל כתב מותר לברור בקנון ובתמחוי אפילו פסולת מתוך אוכל והוא שיברור לאכול לאלתר ואם בירר להניח אפילו לבו ביום חייב</w:t>
      </w:r>
      <w:r w:rsidRPr="00EB6547">
        <w:rPr>
          <w:rFonts w:hint="cs"/>
          <w:rtl/>
        </w:rPr>
        <w:t>.</w:t>
      </w:r>
    </w:p>
    <w:p w14:paraId="342A6510" w14:textId="77777777" w:rsidR="008925FD" w:rsidRPr="002039D1" w:rsidRDefault="008925FD" w:rsidP="008925FD">
      <w:pPr>
        <w:pStyle w:val="a7"/>
        <w:rPr>
          <w:vanish/>
          <w:rtl/>
        </w:rPr>
      </w:pPr>
    </w:p>
    <w:p w14:paraId="5973D959" w14:textId="77777777" w:rsidR="008925FD" w:rsidRPr="003C112C" w:rsidRDefault="008925FD" w:rsidP="00BC7DC8">
      <w:pPr>
        <w:pStyle w:val="a3"/>
        <w:rPr>
          <w:rtl/>
        </w:rPr>
        <w:sectPr w:rsidR="008925FD" w:rsidRPr="003C112C" w:rsidSect="00CA28B3">
          <w:footerReference w:type="default" r:id="rId116"/>
          <w:type w:val="continuous"/>
          <w:pgSz w:w="11906" w:h="16838"/>
          <w:pgMar w:top="720" w:right="720" w:bottom="720" w:left="720" w:header="283" w:footer="283" w:gutter="0"/>
          <w:cols w:num="2" w:space="567"/>
          <w:bidi/>
          <w:rtlGutter/>
        </w:sectPr>
      </w:pPr>
    </w:p>
    <w:p w14:paraId="0FB7C00E" w14:textId="4851B054" w:rsidR="008925FD" w:rsidRPr="00224A5A" w:rsidRDefault="008925FD" w:rsidP="008925FD">
      <w:pPr>
        <w:pStyle w:val="TOC7"/>
        <w:rPr>
          <w:rFonts w:ascii="Guttman Adii-Light" w:eastAsia="Guttman Adii-Light" w:hAnsi="Guttman Adii-Light"/>
          <w:b/>
          <w:bCs/>
          <w:sz w:val="18"/>
          <w:szCs w:val="28"/>
          <w:rtl/>
        </w:rPr>
        <w:sectPr w:rsidR="008925FD" w:rsidRPr="00224A5A" w:rsidSect="00CA28B3">
          <w:footerReference w:type="default" r:id="rId117"/>
          <w:type w:val="continuous"/>
          <w:pgSz w:w="11906" w:h="16838"/>
          <w:pgMar w:top="720" w:right="720" w:bottom="720" w:left="720" w:header="283" w:footer="283" w:gutter="0"/>
          <w:cols w:num="3" w:space="113"/>
          <w:bidi/>
          <w:rtlGutter/>
        </w:sectPr>
      </w:pPr>
    </w:p>
    <w:p w14:paraId="174F8C91" w14:textId="77777777" w:rsidR="008925FD" w:rsidRDefault="008925FD" w:rsidP="008925FD">
      <w:pPr>
        <w:keepNext/>
        <w:keepLines/>
        <w:spacing w:after="0" w:line="240" w:lineRule="auto"/>
        <w:jc w:val="center"/>
        <w:outlineLvl w:val="1"/>
        <w:rPr>
          <w:rFonts w:ascii="FrankRuehl" w:eastAsia="Guttman Adii-Light" w:hAnsi="FrankRuehl" w:cs="Guttman Hodes"/>
          <w:b/>
          <w:bCs/>
          <w:noProof/>
          <w:sz w:val="24"/>
          <w:szCs w:val="24"/>
          <w:rtl/>
        </w:rPr>
        <w:sectPr w:rsidR="008925FD" w:rsidSect="00CA28B3">
          <w:type w:val="continuous"/>
          <w:pgSz w:w="11906" w:h="16838"/>
          <w:pgMar w:top="720" w:right="720" w:bottom="720" w:left="720" w:header="283" w:footer="283" w:gutter="0"/>
          <w:cols w:space="567"/>
          <w:bidi/>
          <w:rtlGutter/>
          <w:docGrid w:linePitch="299"/>
        </w:sectPr>
      </w:pPr>
    </w:p>
    <w:p w14:paraId="61D041FC" w14:textId="77777777" w:rsidR="008925FD" w:rsidRPr="00224A5A" w:rsidRDefault="008925FD" w:rsidP="008925FD">
      <w:pPr>
        <w:spacing w:before="240" w:after="0" w:line="360" w:lineRule="auto"/>
        <w:outlineLvl w:val="1"/>
        <w:rPr>
          <w:rFonts w:ascii="Guttman Adii-Light" w:eastAsia="Guttman Adii-Light" w:hAnsi="Guttman Adii-Light" w:cs="Guttman Hodes"/>
          <w:b/>
          <w:bCs/>
          <w:sz w:val="18"/>
          <w:szCs w:val="28"/>
          <w:rtl/>
        </w:rPr>
        <w:sectPr w:rsidR="008925FD" w:rsidRPr="00224A5A" w:rsidSect="00CA28B3">
          <w:footerReference w:type="default" r:id="rId118"/>
          <w:type w:val="continuous"/>
          <w:pgSz w:w="11906" w:h="16838"/>
          <w:pgMar w:top="720" w:right="720" w:bottom="720" w:left="720" w:header="283" w:footer="283" w:gutter="0"/>
          <w:cols w:num="3" w:space="709"/>
          <w:bidi/>
          <w:rtlGutter/>
        </w:sectPr>
      </w:pPr>
    </w:p>
    <w:p w14:paraId="63E58758" w14:textId="77777777" w:rsidR="000426DE" w:rsidRPr="00224A5A" w:rsidRDefault="000426DE" w:rsidP="000426DE">
      <w:pPr>
        <w:spacing w:after="0" w:line="240" w:lineRule="auto"/>
        <w:rPr>
          <w:rtl/>
        </w:rPr>
      </w:pPr>
    </w:p>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70"/>
    <w:p w14:paraId="748655A5" w14:textId="77777777" w:rsidR="002748A5" w:rsidRPr="003B63CB" w:rsidRDefault="002748A5" w:rsidP="0083330C">
      <w:pPr>
        <w:pStyle w:val="af9"/>
        <w:rPr>
          <w:rtl/>
        </w:rPr>
      </w:pPr>
      <w:r w:rsidRPr="003B63CB">
        <w:rPr>
          <w:rFonts w:hint="cs"/>
          <w:rtl/>
        </w:rPr>
        <w:t>סימן ח'</w:t>
      </w:r>
    </w:p>
    <w:p w14:paraId="60907DEC" w14:textId="77777777" w:rsidR="002748A5" w:rsidRPr="003B63CB" w:rsidRDefault="002748A5" w:rsidP="0083330C">
      <w:pPr>
        <w:pStyle w:val="af9"/>
        <w:rPr>
          <w:rtl/>
        </w:rPr>
      </w:pPr>
      <w:r w:rsidRPr="003B63CB">
        <w:rPr>
          <w:rFonts w:hint="cs"/>
          <w:rtl/>
        </w:rPr>
        <w:t>בסוגיא דמלאכה שאינה צריכה לגופה (א')</w:t>
      </w:r>
    </w:p>
    <w:p w14:paraId="223B9EA1" w14:textId="77777777" w:rsidR="002748A5" w:rsidRPr="003B63CB" w:rsidRDefault="002748A5" w:rsidP="0083330C">
      <w:pPr>
        <w:pStyle w:val="af9"/>
        <w:rPr>
          <w:rtl/>
        </w:rPr>
      </w:pPr>
      <w:r w:rsidRPr="003B63CB">
        <w:rPr>
          <w:rFonts w:hint="cs"/>
          <w:rtl/>
        </w:rPr>
        <w:t>בביאור</w:t>
      </w:r>
      <w:r>
        <w:rPr>
          <w:rFonts w:hint="cs"/>
          <w:rtl/>
        </w:rPr>
        <w:t xml:space="preserve"> ד' רש"י אי אינו רוצה במלאכה או דא"צ שתשאר ההנאה ממנה</w:t>
      </w:r>
    </w:p>
    <w:p w14:paraId="64413C6F" w14:textId="77777777" w:rsidR="002748A5" w:rsidRPr="00224A5A" w:rsidRDefault="002748A5" w:rsidP="002748A5">
      <w:pPr>
        <w:keepNext/>
        <w:keepLines/>
        <w:spacing w:after="0" w:line="240" w:lineRule="auto"/>
        <w:jc w:val="center"/>
        <w:outlineLvl w:val="1"/>
        <w:rPr>
          <w:rFonts w:ascii="FrankRuehl" w:eastAsia="Guttman Adii-Light" w:hAnsi="FrankRuehl" w:cs="Guttman Hodes"/>
          <w:b/>
          <w:bCs/>
          <w:noProof/>
          <w:sz w:val="24"/>
          <w:szCs w:val="24"/>
          <w:rtl/>
        </w:rPr>
        <w:sectPr w:rsidR="002748A5" w:rsidRPr="00224A5A" w:rsidSect="00E625A4">
          <w:headerReference w:type="default" r:id="rId119"/>
          <w:footerReference w:type="default" r:id="rId120"/>
          <w:headerReference w:type="first" r:id="rId121"/>
          <w:footerReference w:type="first" r:id="rId122"/>
          <w:type w:val="oddPage"/>
          <w:pgSz w:w="11906" w:h="16838"/>
          <w:pgMar w:top="720" w:right="720" w:bottom="720" w:left="720" w:header="283" w:footer="283" w:gutter="0"/>
          <w:cols w:space="113"/>
          <w:bidi/>
          <w:rtlGutter/>
          <w:docGrid w:linePitch="299"/>
        </w:sectPr>
      </w:pPr>
      <w:r w:rsidRPr="00224A5A">
        <w:rPr>
          <w:rFonts w:ascii="FrankRuehl" w:eastAsia="Guttman Adii-Light" w:hAnsi="FrankRuehl" w:cs="Guttman Hodes"/>
          <w:b/>
          <w:bCs/>
          <w:noProof/>
          <w:sz w:val="24"/>
          <w:szCs w:val="24"/>
          <w:rtl/>
        </w:rPr>
        <w:t>~~~~~~~</w:t>
      </w:r>
      <w:r w:rsidRPr="00224A5A">
        <w:rPr>
          <w:rFonts w:ascii="FrankRuehl" w:eastAsia="Guttman Adii-Light" w:hAnsi="FrankRuehl" w:cs="Guttman Hodes" w:hint="cs"/>
          <w:b/>
          <w:bCs/>
          <w:noProof/>
          <w:sz w:val="24"/>
          <w:szCs w:val="24"/>
          <w:rtl/>
        </w:rPr>
        <w:t xml:space="preserve"> תוכן הענייני</w:t>
      </w:r>
      <w:r w:rsidRPr="00224A5A">
        <w:rPr>
          <w:rFonts w:ascii="FrankRuehl" w:eastAsia="Guttman Adii-Light" w:hAnsi="FrankRuehl" w:cs="Guttman Hodes" w:hint="eastAsia"/>
          <w:b/>
          <w:bCs/>
          <w:noProof/>
          <w:sz w:val="24"/>
          <w:szCs w:val="24"/>
          <w:rtl/>
        </w:rPr>
        <w:t>ם</w:t>
      </w:r>
      <w:r w:rsidRPr="00224A5A">
        <w:rPr>
          <w:rFonts w:ascii="FrankRuehl" w:eastAsia="Guttman Adii-Light" w:hAnsi="FrankRuehl" w:cs="Guttman Hodes" w:hint="cs"/>
          <w:b/>
          <w:bCs/>
          <w:noProof/>
          <w:sz w:val="24"/>
          <w:szCs w:val="24"/>
          <w:rtl/>
        </w:rPr>
        <w:t xml:space="preserve"> </w:t>
      </w:r>
      <w:r w:rsidRPr="00224A5A">
        <w:rPr>
          <w:rFonts w:ascii="FrankRuehl" w:eastAsia="Guttman Adii-Light" w:hAnsi="FrankRuehl" w:cs="Guttman Hodes"/>
          <w:b/>
          <w:bCs/>
          <w:noProof/>
          <w:sz w:val="24"/>
          <w:szCs w:val="24"/>
          <w:rtl/>
        </w:rPr>
        <w:t>~~~~~~~</w:t>
      </w:r>
    </w:p>
    <w:p w14:paraId="35B86623" w14:textId="77777777" w:rsidR="002748A5" w:rsidRDefault="002748A5" w:rsidP="002748A5">
      <w:pPr>
        <w:pStyle w:val="TOC1"/>
        <w:rPr>
          <w:rFonts w:asciiTheme="minorHAnsi" w:hAnsiTheme="minorHAnsi" w:cstheme="minorBidi"/>
          <w:b w:val="0"/>
          <w:bCs w:val="0"/>
          <w:caps w:val="0"/>
          <w:sz w:val="22"/>
          <w:szCs w:val="22"/>
          <w:rtl/>
        </w:rPr>
      </w:pPr>
      <w:r w:rsidRPr="00224A5A">
        <w:rPr>
          <w:rtl/>
        </w:rPr>
        <w:fldChar w:fldCharType="begin"/>
      </w:r>
      <w:r w:rsidRPr="00224A5A">
        <w:rPr>
          <w:rtl/>
        </w:rPr>
        <w:instrText xml:space="preserve"> </w:instrText>
      </w:r>
      <w:r w:rsidRPr="00224A5A">
        <w:rPr>
          <w:rFonts w:hint="cs"/>
        </w:rPr>
        <w:instrText>TOC</w:instrText>
      </w:r>
      <w:r w:rsidRPr="00224A5A">
        <w:rPr>
          <w:rFonts w:hint="cs"/>
          <w:rtl/>
        </w:rPr>
        <w:instrText xml:space="preserve"> \</w:instrText>
      </w:r>
      <w:r w:rsidRPr="00224A5A">
        <w:rPr>
          <w:rFonts w:hint="cs"/>
        </w:rPr>
        <w:instrText>n \p " " \h \z \t</w:instrText>
      </w:r>
      <w:r w:rsidRPr="00224A5A">
        <w:rPr>
          <w:rFonts w:hint="cs"/>
          <w:rtl/>
        </w:rPr>
        <w:instrText xml:space="preserve"> "כותרת 1,2,כות קט,3,כות מק פנ,1"</w:instrText>
      </w:r>
      <w:r w:rsidRPr="00224A5A">
        <w:rPr>
          <w:rtl/>
        </w:rPr>
        <w:instrText xml:space="preserve"> </w:instrText>
      </w:r>
      <w:r w:rsidRPr="00224A5A">
        <w:rPr>
          <w:rtl/>
        </w:rPr>
        <w:fldChar w:fldCharType="separate"/>
      </w:r>
      <w:hyperlink w:anchor="_Toc140144187" w:history="1">
        <w:r w:rsidRPr="00330175">
          <w:rPr>
            <w:rStyle w:val="Hyperlink"/>
            <w:rtl/>
          </w:rPr>
          <w:t>בד' רש"י דמשאצל"ג בלא רוצה בה</w:t>
        </w:r>
      </w:hyperlink>
    </w:p>
    <w:p w14:paraId="7E331132" w14:textId="77777777" w:rsidR="002748A5" w:rsidRDefault="00AD16A0" w:rsidP="002748A5">
      <w:pPr>
        <w:pStyle w:val="TOC2"/>
        <w:rPr>
          <w:rFonts w:cstheme="minorBidi"/>
          <w:b w:val="0"/>
          <w:bCs w:val="0"/>
          <w:sz w:val="22"/>
          <w:szCs w:val="22"/>
          <w:rtl/>
        </w:rPr>
      </w:pPr>
      <w:hyperlink w:anchor="_Toc140144188" w:history="1">
        <w:r w:rsidR="002748A5" w:rsidRPr="00330175">
          <w:rPr>
            <w:rStyle w:val="Hyperlink"/>
            <w:rtl/>
          </w:rPr>
          <w:t>בי' רש"י דמשאצל"ג אינו מכוון למלאכה ול"ה מלאכת מחשבת</w:t>
        </w:r>
      </w:hyperlink>
    </w:p>
    <w:p w14:paraId="0827AC1F" w14:textId="77777777" w:rsidR="002748A5" w:rsidRPr="00E625A4" w:rsidRDefault="00AD16A0" w:rsidP="00ED704E">
      <w:pPr>
        <w:pStyle w:val="TOC3"/>
        <w:rPr>
          <w:rFonts w:asciiTheme="minorHAnsi" w:eastAsiaTheme="minorEastAsia" w:hAnsiTheme="minorHAnsi" w:cstheme="minorBidi"/>
          <w:sz w:val="22"/>
          <w:szCs w:val="22"/>
          <w:rtl/>
        </w:rPr>
      </w:pPr>
      <w:hyperlink w:anchor="_Toc140144189" w:history="1">
        <w:r w:rsidR="002748A5" w:rsidRPr="00330175">
          <w:rPr>
            <w:rStyle w:val="Hyperlink"/>
            <w:rtl/>
          </w:rPr>
          <w:t>בי' רש"י בחגיגה דמשאצל"ג פטור דל"ה מלאכת מחשבת דאין כוונתו לבנות גומא כלל</w:t>
        </w:r>
      </w:hyperlink>
    </w:p>
    <w:p w14:paraId="7502C599" w14:textId="77777777" w:rsidR="002748A5" w:rsidRDefault="00AD16A0" w:rsidP="002748A5">
      <w:pPr>
        <w:pStyle w:val="TOC2"/>
        <w:rPr>
          <w:rFonts w:cstheme="minorBidi"/>
          <w:b w:val="0"/>
          <w:bCs w:val="0"/>
          <w:sz w:val="22"/>
          <w:szCs w:val="22"/>
          <w:rtl/>
        </w:rPr>
      </w:pPr>
      <w:hyperlink w:anchor="_Toc140144190" w:history="1">
        <w:r w:rsidR="002748A5" w:rsidRPr="00330175">
          <w:rPr>
            <w:rStyle w:val="Hyperlink"/>
            <w:rtl/>
          </w:rPr>
          <w:t>בי' רש"י דטעם משאצל"ג דברצונו המלאכה לא הייתה באה</w:t>
        </w:r>
      </w:hyperlink>
    </w:p>
    <w:p w14:paraId="06638276" w14:textId="77777777" w:rsidR="002748A5" w:rsidRDefault="00AD16A0" w:rsidP="00ED704E">
      <w:pPr>
        <w:pStyle w:val="TOC3"/>
        <w:rPr>
          <w:rFonts w:asciiTheme="minorHAnsi" w:eastAsiaTheme="minorEastAsia" w:hAnsiTheme="minorHAnsi" w:cstheme="minorBidi"/>
          <w:sz w:val="22"/>
          <w:szCs w:val="22"/>
          <w:rtl/>
        </w:rPr>
      </w:pPr>
      <w:hyperlink w:anchor="_Toc140144191" w:history="1">
        <w:r w:rsidR="002748A5" w:rsidRPr="00330175">
          <w:rPr>
            <w:rStyle w:val="Hyperlink"/>
            <w:rtl/>
          </w:rPr>
          <w:t>בי' רש"י דהוצאת מת היא סילוק וא"צ את המלאכה דברצונו לא באה לו וכ"כ הר"ן דמונע נזק</w:t>
        </w:r>
      </w:hyperlink>
    </w:p>
    <w:p w14:paraId="3290905B" w14:textId="77777777" w:rsidR="002748A5" w:rsidRDefault="00AD16A0" w:rsidP="00ED704E">
      <w:pPr>
        <w:pStyle w:val="TOC3"/>
        <w:rPr>
          <w:rFonts w:asciiTheme="minorHAnsi" w:eastAsiaTheme="minorEastAsia" w:hAnsiTheme="minorHAnsi" w:cstheme="minorBidi"/>
          <w:sz w:val="22"/>
          <w:szCs w:val="22"/>
          <w:rtl/>
        </w:rPr>
      </w:pPr>
      <w:hyperlink w:anchor="_Toc140144192" w:history="1">
        <w:r w:rsidR="002748A5" w:rsidRPr="00330175">
          <w:rPr>
            <w:rStyle w:val="Hyperlink"/>
            <w:rtl/>
          </w:rPr>
          <w:t>בי' רש"י דכיבוי בחס על פתילה שהובהבה הוא מלאכה שניחא לו שלא הובערה מעולם</w:t>
        </w:r>
      </w:hyperlink>
    </w:p>
    <w:p w14:paraId="6EFEC255" w14:textId="77777777" w:rsidR="002748A5" w:rsidRDefault="00AD16A0" w:rsidP="00ED704E">
      <w:pPr>
        <w:pStyle w:val="TOC3"/>
        <w:rPr>
          <w:rFonts w:asciiTheme="minorHAnsi" w:eastAsiaTheme="minorEastAsia" w:hAnsiTheme="minorHAnsi" w:cstheme="minorBidi"/>
          <w:sz w:val="22"/>
          <w:szCs w:val="22"/>
          <w:rtl/>
        </w:rPr>
      </w:pPr>
      <w:hyperlink w:anchor="_Toc140144193" w:history="1">
        <w:r w:rsidR="002748A5" w:rsidRPr="00330175">
          <w:rPr>
            <w:rStyle w:val="Hyperlink"/>
            <w:rtl/>
          </w:rPr>
          <w:t>בי' רש"י בזבחים דמכבה גחלת וא"צ לפחם דהלואי שלא בא לו הכיבוי וכמוציא מת דמסלקו</w:t>
        </w:r>
      </w:hyperlink>
    </w:p>
    <w:p w14:paraId="3E721776" w14:textId="77777777" w:rsidR="002748A5" w:rsidRDefault="00AD16A0" w:rsidP="00ED704E">
      <w:pPr>
        <w:pStyle w:val="TOC3"/>
        <w:rPr>
          <w:rFonts w:asciiTheme="minorHAnsi" w:eastAsiaTheme="minorEastAsia" w:hAnsiTheme="minorHAnsi" w:cstheme="minorBidi"/>
          <w:sz w:val="22"/>
          <w:szCs w:val="22"/>
          <w:rtl/>
        </w:rPr>
      </w:pPr>
      <w:hyperlink w:anchor="_Toc140144194" w:history="1">
        <w:r w:rsidR="002748A5" w:rsidRPr="00330175">
          <w:rPr>
            <w:rStyle w:val="Hyperlink"/>
            <w:rtl/>
          </w:rPr>
          <w:t>בי' רש"י דזב שיוצא בכיס דא"צ את הזיבה ואינו רוצה בעיקר תכלית המלאכה וכהוצאת מת</w:t>
        </w:r>
      </w:hyperlink>
    </w:p>
    <w:p w14:paraId="39FAE8F4" w14:textId="77777777" w:rsidR="002748A5" w:rsidRDefault="00AD16A0" w:rsidP="002748A5">
      <w:pPr>
        <w:pStyle w:val="TOC2"/>
        <w:rPr>
          <w:rFonts w:cstheme="minorBidi"/>
          <w:b w:val="0"/>
          <w:bCs w:val="0"/>
          <w:sz w:val="22"/>
          <w:szCs w:val="22"/>
          <w:rtl/>
        </w:rPr>
      </w:pPr>
      <w:hyperlink w:anchor="_Toc140144195" w:history="1">
        <w:r w:rsidR="002748A5" w:rsidRPr="00330175">
          <w:rPr>
            <w:rStyle w:val="Hyperlink"/>
            <w:rtl/>
          </w:rPr>
          <w:t>בי' רש"י דבצידת נחש המלאכה לסלק נזק ובלא"ה לא היה צד</w:t>
        </w:r>
      </w:hyperlink>
    </w:p>
    <w:p w14:paraId="69C79F5F" w14:textId="77777777" w:rsidR="002748A5" w:rsidRDefault="00AD16A0" w:rsidP="00ED704E">
      <w:pPr>
        <w:pStyle w:val="TOC3"/>
        <w:rPr>
          <w:rFonts w:asciiTheme="minorHAnsi" w:eastAsiaTheme="minorEastAsia" w:hAnsiTheme="minorHAnsi" w:cstheme="minorBidi"/>
          <w:sz w:val="22"/>
          <w:szCs w:val="22"/>
          <w:rtl/>
        </w:rPr>
      </w:pPr>
      <w:hyperlink w:anchor="_Toc140144196" w:history="1">
        <w:r w:rsidR="002748A5" w:rsidRPr="00330175">
          <w:rPr>
            <w:rStyle w:val="Hyperlink"/>
            <w:rtl/>
          </w:rPr>
          <w:t>בי' רש"י דצד נחש המלאכה היא הצידה עצמה דא"צ לה דאי ידע שלא  יכישו לא היה צדו כלל</w:t>
        </w:r>
      </w:hyperlink>
    </w:p>
    <w:p w14:paraId="2A39EB56" w14:textId="77777777" w:rsidR="002748A5" w:rsidRDefault="00AD16A0" w:rsidP="002748A5">
      <w:pPr>
        <w:pStyle w:val="TOC2"/>
        <w:rPr>
          <w:rFonts w:cstheme="minorBidi"/>
          <w:b w:val="0"/>
          <w:bCs w:val="0"/>
          <w:sz w:val="22"/>
          <w:szCs w:val="22"/>
          <w:rtl/>
        </w:rPr>
      </w:pPr>
      <w:hyperlink w:anchor="_Toc140144197" w:history="1">
        <w:r w:rsidR="002748A5" w:rsidRPr="00330175">
          <w:rPr>
            <w:rStyle w:val="Hyperlink"/>
            <w:rtl/>
          </w:rPr>
          <w:t>בי' רש"י במורסא וגומא דא"צ שהפתח והבנין ישארו אח"כ</w:t>
        </w:r>
      </w:hyperlink>
    </w:p>
    <w:p w14:paraId="0B060455" w14:textId="77777777" w:rsidR="002748A5" w:rsidRDefault="00AD16A0" w:rsidP="00ED704E">
      <w:pPr>
        <w:pStyle w:val="TOC3"/>
        <w:rPr>
          <w:rFonts w:asciiTheme="minorHAnsi" w:eastAsiaTheme="minorEastAsia" w:hAnsiTheme="minorHAnsi" w:cstheme="minorBidi"/>
          <w:sz w:val="22"/>
          <w:szCs w:val="22"/>
          <w:rtl/>
        </w:rPr>
      </w:pPr>
      <w:hyperlink w:anchor="_Toc140144198" w:history="1">
        <w:r w:rsidR="002748A5" w:rsidRPr="00330175">
          <w:rPr>
            <w:rStyle w:val="Hyperlink"/>
            <w:rtl/>
          </w:rPr>
          <w:t>בי' רש"י דמפיס מורסא להוציא ליחה הוי משאצל"ג דהמלאכה בפתח ואח"כ א"צ שהפתח ישאר</w:t>
        </w:r>
      </w:hyperlink>
    </w:p>
    <w:p w14:paraId="00E0EC4D" w14:textId="77777777" w:rsidR="002748A5" w:rsidRDefault="00AD16A0" w:rsidP="00ED704E">
      <w:pPr>
        <w:pStyle w:val="TOC3"/>
        <w:rPr>
          <w:rFonts w:asciiTheme="minorHAnsi" w:eastAsiaTheme="minorEastAsia" w:hAnsiTheme="minorHAnsi" w:cstheme="minorBidi"/>
          <w:sz w:val="22"/>
          <w:szCs w:val="22"/>
          <w:rtl/>
        </w:rPr>
      </w:pPr>
      <w:hyperlink w:anchor="_Toc140144199" w:history="1">
        <w:r w:rsidR="002748A5" w:rsidRPr="00330175">
          <w:rPr>
            <w:rStyle w:val="Hyperlink"/>
            <w:rtl/>
          </w:rPr>
          <w:t>בי' רש"י בחגיגה דחופר גומא לעפרה שא"צ לבנין שבונה אינו חייב משום בונה אעפ"י דבנה</w:t>
        </w:r>
      </w:hyperlink>
    </w:p>
    <w:p w14:paraId="4FD5FB05" w14:textId="77777777" w:rsidR="002748A5" w:rsidRDefault="00AD16A0" w:rsidP="00ED704E">
      <w:pPr>
        <w:pStyle w:val="TOC3"/>
        <w:rPr>
          <w:rFonts w:asciiTheme="minorHAnsi" w:eastAsiaTheme="minorEastAsia" w:hAnsiTheme="minorHAnsi" w:cstheme="minorBidi"/>
          <w:sz w:val="22"/>
          <w:szCs w:val="22"/>
          <w:rtl/>
        </w:rPr>
      </w:pPr>
      <w:hyperlink w:anchor="_Toc140144200" w:history="1">
        <w:r w:rsidR="002748A5" w:rsidRPr="00330175">
          <w:rPr>
            <w:rStyle w:val="Hyperlink"/>
            <w:rtl/>
          </w:rPr>
          <w:t>בי' רש"י דר"י מחייב במשאצל"ג כמוציא מת דהוא מתקן אך מודה ר"י בחופר גומא דמלקלקל</w:t>
        </w:r>
      </w:hyperlink>
    </w:p>
    <w:p w14:paraId="5F0BDFBC" w14:textId="77777777" w:rsidR="002748A5" w:rsidRDefault="00AD16A0" w:rsidP="002748A5">
      <w:pPr>
        <w:pStyle w:val="TOC2"/>
        <w:rPr>
          <w:rFonts w:cstheme="minorBidi"/>
          <w:b w:val="0"/>
          <w:bCs w:val="0"/>
          <w:sz w:val="22"/>
          <w:szCs w:val="22"/>
          <w:rtl/>
        </w:rPr>
      </w:pPr>
      <w:hyperlink w:anchor="_Toc140144201" w:history="1">
        <w:r w:rsidR="002748A5" w:rsidRPr="00330175">
          <w:rPr>
            <w:rStyle w:val="Hyperlink"/>
            <w:rtl/>
          </w:rPr>
          <w:t>ב' ביאורי התוס' ברש"י וקו' התוס' מסותר וקורע ומפיס מורסא</w:t>
        </w:r>
      </w:hyperlink>
    </w:p>
    <w:p w14:paraId="65930A55" w14:textId="77777777" w:rsidR="002748A5" w:rsidRDefault="00AD16A0" w:rsidP="00ED704E">
      <w:pPr>
        <w:pStyle w:val="TOC3"/>
        <w:rPr>
          <w:rFonts w:asciiTheme="minorHAnsi" w:eastAsiaTheme="minorEastAsia" w:hAnsiTheme="minorHAnsi" w:cstheme="minorBidi"/>
          <w:sz w:val="22"/>
          <w:szCs w:val="22"/>
          <w:rtl/>
        </w:rPr>
      </w:pPr>
      <w:hyperlink w:anchor="_Toc140144202" w:history="1">
        <w:r w:rsidR="002748A5" w:rsidRPr="00330175">
          <w:rPr>
            <w:rStyle w:val="Hyperlink"/>
            <w:rtl/>
          </w:rPr>
          <w:t>הבי' הא' בתוס' דכוונת רש"י דאינו רוצה את מעשה המלאכה ועושה אותה לסלק הנזק מעליו</w:t>
        </w:r>
      </w:hyperlink>
    </w:p>
    <w:p w14:paraId="55005351" w14:textId="77777777" w:rsidR="002748A5" w:rsidRDefault="00AD16A0" w:rsidP="00ED704E">
      <w:pPr>
        <w:pStyle w:val="TOC3"/>
        <w:rPr>
          <w:rFonts w:asciiTheme="minorHAnsi" w:eastAsiaTheme="minorEastAsia" w:hAnsiTheme="minorHAnsi" w:cstheme="minorBidi"/>
          <w:sz w:val="22"/>
          <w:szCs w:val="22"/>
          <w:rtl/>
        </w:rPr>
      </w:pPr>
      <w:hyperlink w:anchor="_Toc140144203" w:history="1">
        <w:r w:rsidR="002748A5" w:rsidRPr="00330175">
          <w:rPr>
            <w:rStyle w:val="Hyperlink"/>
            <w:rtl/>
          </w:rPr>
          <w:t>קו' תוס' דאי משאצל"ג הוא סילוק נזק אמאי חייב בסותר ע"מ לבנות דא"צ את המלאכה עצמה</w:t>
        </w:r>
      </w:hyperlink>
    </w:p>
    <w:p w14:paraId="08892E9C" w14:textId="77777777" w:rsidR="002748A5" w:rsidRDefault="00AD16A0" w:rsidP="00ED704E">
      <w:pPr>
        <w:pStyle w:val="TOC3"/>
        <w:rPr>
          <w:rFonts w:asciiTheme="minorHAnsi" w:eastAsiaTheme="minorEastAsia" w:hAnsiTheme="minorHAnsi" w:cstheme="minorBidi"/>
          <w:sz w:val="22"/>
          <w:szCs w:val="22"/>
          <w:rtl/>
        </w:rPr>
      </w:pPr>
      <w:hyperlink w:anchor="_Toc140144204" w:history="1">
        <w:r w:rsidR="002748A5" w:rsidRPr="00330175">
          <w:rPr>
            <w:rStyle w:val="Hyperlink"/>
            <w:rtl/>
          </w:rPr>
          <w:t>הבי' הב' בתוס' דכוונת רש"י דאין רצונו במציאות שצריך להטיל אימה ולא במעשה המלאכה</w:t>
        </w:r>
      </w:hyperlink>
    </w:p>
    <w:p w14:paraId="11CDC488" w14:textId="77777777" w:rsidR="002748A5" w:rsidRDefault="00AD16A0" w:rsidP="00ED704E">
      <w:pPr>
        <w:pStyle w:val="TOC3"/>
        <w:rPr>
          <w:rFonts w:asciiTheme="minorHAnsi" w:eastAsiaTheme="minorEastAsia" w:hAnsiTheme="minorHAnsi" w:cstheme="minorBidi"/>
          <w:sz w:val="22"/>
          <w:szCs w:val="22"/>
          <w:rtl/>
        </w:rPr>
      </w:pPr>
      <w:hyperlink w:anchor="_Toc140144205" w:history="1">
        <w:r w:rsidR="002748A5" w:rsidRPr="00330175">
          <w:rPr>
            <w:rStyle w:val="Hyperlink"/>
            <w:rtl/>
          </w:rPr>
          <w:t>דחיית התוס' דבעושה פה למורסא וקורע יריעה שנפלה בה דרנא לא היה רוצה שיהיה כן וחי</w:t>
        </w:r>
      </w:hyperlink>
    </w:p>
    <w:p w14:paraId="1DF94F2E" w14:textId="77777777" w:rsidR="002748A5" w:rsidRDefault="00AD16A0" w:rsidP="00ED704E">
      <w:pPr>
        <w:pStyle w:val="TOC3"/>
        <w:rPr>
          <w:rFonts w:asciiTheme="minorHAnsi" w:eastAsiaTheme="minorEastAsia" w:hAnsiTheme="minorHAnsi" w:cstheme="minorBidi"/>
          <w:sz w:val="22"/>
          <w:szCs w:val="22"/>
          <w:rtl/>
        </w:rPr>
      </w:pPr>
      <w:hyperlink w:anchor="_Toc140144206" w:history="1">
        <w:r w:rsidR="002748A5" w:rsidRPr="00330175">
          <w:rPr>
            <w:rStyle w:val="Hyperlink"/>
            <w:rtl/>
          </w:rPr>
          <w:t>קו' התוס' בחגיגה דבסותר ע"מ לבנות וקורע ע"מ לתפור לא ניחא ליה שהיה הבנין או הקריעה</w:t>
        </w:r>
      </w:hyperlink>
    </w:p>
    <w:p w14:paraId="005F4CEA" w14:textId="77777777" w:rsidR="002748A5" w:rsidRDefault="00AD16A0" w:rsidP="002748A5">
      <w:pPr>
        <w:pStyle w:val="TOC2"/>
        <w:rPr>
          <w:rFonts w:cstheme="minorBidi"/>
          <w:b w:val="0"/>
          <w:bCs w:val="0"/>
          <w:sz w:val="22"/>
          <w:szCs w:val="22"/>
          <w:rtl/>
        </w:rPr>
      </w:pPr>
      <w:hyperlink w:anchor="_Toc140144207" w:history="1">
        <w:r w:rsidR="002748A5" w:rsidRPr="00330175">
          <w:rPr>
            <w:rStyle w:val="Hyperlink"/>
            <w:rtl/>
          </w:rPr>
          <w:t>בי' הכפו"ת ברש"י דסילוק נזק באינו רוצה בגוף מעשה המלאכה</w:t>
        </w:r>
      </w:hyperlink>
    </w:p>
    <w:p w14:paraId="63165F22" w14:textId="77777777" w:rsidR="002748A5" w:rsidRDefault="00AD16A0" w:rsidP="00ED704E">
      <w:pPr>
        <w:pStyle w:val="TOC3"/>
        <w:rPr>
          <w:rFonts w:asciiTheme="minorHAnsi" w:eastAsiaTheme="minorEastAsia" w:hAnsiTheme="minorHAnsi" w:cstheme="minorBidi"/>
          <w:sz w:val="22"/>
          <w:szCs w:val="22"/>
          <w:rtl/>
        </w:rPr>
      </w:pPr>
      <w:hyperlink w:anchor="_Toc140144208" w:history="1">
        <w:r w:rsidR="002748A5" w:rsidRPr="00330175">
          <w:rPr>
            <w:rStyle w:val="Hyperlink"/>
            <w:rtl/>
          </w:rPr>
          <w:t>בי' הכפו"ת ברש"י דבסותר ע"מ לבנות אינו רוצה בסתירה דהיא סילוק הנזק ולא בבנין שסותרו</w:t>
        </w:r>
      </w:hyperlink>
    </w:p>
    <w:p w14:paraId="6C4C890C" w14:textId="77777777" w:rsidR="002748A5" w:rsidRDefault="00AD16A0" w:rsidP="00ED704E">
      <w:pPr>
        <w:pStyle w:val="TOC3"/>
        <w:rPr>
          <w:rFonts w:asciiTheme="minorHAnsi" w:eastAsiaTheme="minorEastAsia" w:hAnsiTheme="minorHAnsi" w:cstheme="minorBidi"/>
          <w:sz w:val="22"/>
          <w:szCs w:val="22"/>
          <w:rtl/>
        </w:rPr>
      </w:pPr>
      <w:hyperlink w:anchor="_Toc140144209" w:history="1">
        <w:r w:rsidR="002748A5" w:rsidRPr="00330175">
          <w:rPr>
            <w:rStyle w:val="Hyperlink"/>
            <w:rtl/>
          </w:rPr>
          <w:t>בי' הכפו"ת בתוס' דאי דלא ניחא ליה שצריך להטיל אימה א"כ אופה פטור דלא ניחא ליה שרעב</w:t>
        </w:r>
      </w:hyperlink>
    </w:p>
    <w:p w14:paraId="4F327696" w14:textId="77777777" w:rsidR="002748A5" w:rsidRDefault="00AD16A0" w:rsidP="00ED704E">
      <w:pPr>
        <w:pStyle w:val="TOC3"/>
        <w:rPr>
          <w:rFonts w:asciiTheme="minorHAnsi" w:eastAsiaTheme="minorEastAsia" w:hAnsiTheme="minorHAnsi" w:cstheme="minorBidi"/>
          <w:sz w:val="22"/>
          <w:szCs w:val="22"/>
          <w:rtl/>
        </w:rPr>
      </w:pPr>
      <w:hyperlink w:anchor="_Toc140144210" w:history="1">
        <w:r w:rsidR="002748A5" w:rsidRPr="00330175">
          <w:rPr>
            <w:rStyle w:val="Hyperlink"/>
            <w:rtl/>
          </w:rPr>
          <w:t>בי' הכפו"ת ברש"י דלא ניחא ליה שהוצרך להשחית בגד וברצונו היה שיטיל אימה באופ"א</w:t>
        </w:r>
      </w:hyperlink>
    </w:p>
    <w:p w14:paraId="5DFC419D" w14:textId="77777777" w:rsidR="002748A5" w:rsidRDefault="00AD16A0" w:rsidP="00ED704E">
      <w:pPr>
        <w:pStyle w:val="TOC3"/>
        <w:rPr>
          <w:rFonts w:asciiTheme="minorHAnsi" w:eastAsiaTheme="minorEastAsia" w:hAnsiTheme="minorHAnsi" w:cstheme="minorBidi"/>
          <w:sz w:val="22"/>
          <w:szCs w:val="22"/>
          <w:rtl/>
        </w:rPr>
      </w:pPr>
      <w:hyperlink w:anchor="_Toc140144211" w:history="1">
        <w:r w:rsidR="002748A5" w:rsidRPr="00330175">
          <w:rPr>
            <w:rStyle w:val="Hyperlink"/>
            <w:rtl/>
          </w:rPr>
          <w:t>בי' הכפו"ת ברש"י דקורע להטיל אימה כצד נחש ומוציא מת אבל במפיס ניחא ליה עכשיו בפה</w:t>
        </w:r>
      </w:hyperlink>
    </w:p>
    <w:p w14:paraId="316E1E2B" w14:textId="77777777" w:rsidR="002748A5" w:rsidRDefault="00AD16A0" w:rsidP="00ED704E">
      <w:pPr>
        <w:pStyle w:val="TOC3"/>
        <w:rPr>
          <w:rFonts w:asciiTheme="minorHAnsi" w:eastAsiaTheme="minorEastAsia" w:hAnsiTheme="minorHAnsi" w:cstheme="minorBidi"/>
          <w:sz w:val="22"/>
          <w:szCs w:val="22"/>
          <w:rtl/>
        </w:rPr>
      </w:pPr>
      <w:hyperlink w:anchor="_Toc140144212" w:history="1">
        <w:r w:rsidR="002748A5" w:rsidRPr="00330175">
          <w:rPr>
            <w:rStyle w:val="Hyperlink"/>
            <w:rtl/>
          </w:rPr>
          <w:t>בי' הכפו"ת דבנפלה דרנא עכשיו רוצה במלאכה ול"ד לנחש ומת דהוא כאנוס במעשה המלאכה</w:t>
        </w:r>
      </w:hyperlink>
    </w:p>
    <w:p w14:paraId="6888344E" w14:textId="77777777" w:rsidR="002748A5" w:rsidRDefault="00AD16A0" w:rsidP="002748A5">
      <w:pPr>
        <w:pStyle w:val="TOC2"/>
        <w:rPr>
          <w:rFonts w:cstheme="minorBidi"/>
          <w:b w:val="0"/>
          <w:bCs w:val="0"/>
          <w:sz w:val="22"/>
          <w:szCs w:val="22"/>
          <w:rtl/>
        </w:rPr>
      </w:pPr>
      <w:hyperlink w:anchor="_Toc140144213" w:history="1">
        <w:r w:rsidR="002748A5" w:rsidRPr="00330175">
          <w:rPr>
            <w:rStyle w:val="Hyperlink"/>
            <w:rtl/>
          </w:rPr>
          <w:t>בי' הכפו"ת דנ"מ בין רש"י לתוס' אי צד נחש לשחק משאצל"ג</w:t>
        </w:r>
      </w:hyperlink>
    </w:p>
    <w:p w14:paraId="4C4B88A0" w14:textId="77777777" w:rsidR="002748A5" w:rsidRDefault="00AD16A0" w:rsidP="00ED704E">
      <w:pPr>
        <w:pStyle w:val="TOC3"/>
        <w:rPr>
          <w:rFonts w:asciiTheme="minorHAnsi" w:eastAsiaTheme="minorEastAsia" w:hAnsiTheme="minorHAnsi" w:cstheme="minorBidi"/>
          <w:sz w:val="22"/>
          <w:szCs w:val="22"/>
          <w:rtl/>
        </w:rPr>
      </w:pPr>
      <w:hyperlink w:anchor="_Toc140144214" w:history="1">
        <w:r w:rsidR="002748A5" w:rsidRPr="00330175">
          <w:rPr>
            <w:rStyle w:val="Hyperlink"/>
            <w:rtl/>
          </w:rPr>
          <w:t>בי' הכפו"ת דצד נחש לשחק חייב לרש"י דל"ה סילוק ופטור לתוס' דל"ד למשכן ודחיית האמר"ב</w:t>
        </w:r>
      </w:hyperlink>
    </w:p>
    <w:p w14:paraId="08C5385F" w14:textId="77777777" w:rsidR="002748A5" w:rsidRDefault="00AD16A0" w:rsidP="00ED704E">
      <w:pPr>
        <w:pStyle w:val="TOC3"/>
        <w:rPr>
          <w:rFonts w:asciiTheme="minorHAnsi" w:eastAsiaTheme="minorEastAsia" w:hAnsiTheme="minorHAnsi" w:cstheme="minorBidi"/>
          <w:sz w:val="22"/>
          <w:szCs w:val="22"/>
          <w:rtl/>
        </w:rPr>
      </w:pPr>
      <w:hyperlink w:anchor="_Toc140144215" w:history="1">
        <w:r w:rsidR="002748A5" w:rsidRPr="00330175">
          <w:rPr>
            <w:rStyle w:val="Hyperlink"/>
            <w:rtl/>
          </w:rPr>
          <w:t>בי' הכפו"ת דפסיק רישיה דחותך ראש לשחק חייב לרש"י ורמב"ם ולתוס' הוא דוגמא בעלמא</w:t>
        </w:r>
      </w:hyperlink>
    </w:p>
    <w:p w14:paraId="11104A9D" w14:textId="77777777" w:rsidR="002748A5" w:rsidRDefault="00AD16A0" w:rsidP="002748A5">
      <w:pPr>
        <w:pStyle w:val="TOC2"/>
        <w:rPr>
          <w:rFonts w:cstheme="minorBidi"/>
          <w:b w:val="0"/>
          <w:bCs w:val="0"/>
          <w:sz w:val="22"/>
          <w:szCs w:val="22"/>
          <w:rtl/>
        </w:rPr>
      </w:pPr>
      <w:hyperlink w:anchor="_Toc140144216" w:history="1">
        <w:r w:rsidR="002748A5" w:rsidRPr="00330175">
          <w:rPr>
            <w:rStyle w:val="Hyperlink"/>
            <w:rtl/>
          </w:rPr>
          <w:t>בי' המגנ"ש דלא רוצה תחילה או לא ניחא שישאר תיקון כאנוס</w:t>
        </w:r>
      </w:hyperlink>
    </w:p>
    <w:p w14:paraId="390B220E" w14:textId="77777777" w:rsidR="002748A5" w:rsidRDefault="00AD16A0" w:rsidP="00ED704E">
      <w:pPr>
        <w:pStyle w:val="TOC3"/>
        <w:rPr>
          <w:rFonts w:asciiTheme="minorHAnsi" w:eastAsiaTheme="minorEastAsia" w:hAnsiTheme="minorHAnsi" w:cstheme="minorBidi"/>
          <w:sz w:val="22"/>
          <w:szCs w:val="22"/>
          <w:rtl/>
        </w:rPr>
      </w:pPr>
      <w:hyperlink w:anchor="_Toc140144217" w:history="1">
        <w:r w:rsidR="002748A5" w:rsidRPr="00330175">
          <w:rPr>
            <w:rStyle w:val="Hyperlink"/>
            <w:rtl/>
          </w:rPr>
          <w:t>בי' המגיני שלמה ברש"י דבסילוק נזק ולא איכפ"ת ליה אי יחזור לקדמותו הוא כאנוס במלאכה</w:t>
        </w:r>
      </w:hyperlink>
    </w:p>
    <w:p w14:paraId="7B2655B0" w14:textId="77777777" w:rsidR="002748A5" w:rsidRDefault="00AD16A0" w:rsidP="00ED704E">
      <w:pPr>
        <w:pStyle w:val="TOC3"/>
        <w:rPr>
          <w:rFonts w:asciiTheme="minorHAnsi" w:eastAsiaTheme="minorEastAsia" w:hAnsiTheme="minorHAnsi" w:cstheme="minorBidi"/>
          <w:sz w:val="22"/>
          <w:szCs w:val="22"/>
          <w:rtl/>
        </w:rPr>
      </w:pPr>
      <w:hyperlink w:anchor="_Toc140144218" w:history="1">
        <w:r w:rsidR="002748A5" w:rsidRPr="00330175">
          <w:rPr>
            <w:rStyle w:val="Hyperlink"/>
            <w:rtl/>
          </w:rPr>
          <w:t>בי' המגנ"ש דבמורסא רוצה שתשאר המלאכה אחר סילוק הנזק והוי מתקן אף דתחילתו באונס</w:t>
        </w:r>
      </w:hyperlink>
    </w:p>
    <w:p w14:paraId="08B242A4" w14:textId="77777777" w:rsidR="002748A5" w:rsidRDefault="00AD16A0" w:rsidP="00ED704E">
      <w:pPr>
        <w:pStyle w:val="TOC3"/>
        <w:rPr>
          <w:rFonts w:asciiTheme="minorHAnsi" w:eastAsiaTheme="minorEastAsia" w:hAnsiTheme="minorHAnsi" w:cstheme="minorBidi"/>
          <w:sz w:val="22"/>
          <w:szCs w:val="22"/>
          <w:rtl/>
        </w:rPr>
      </w:pPr>
      <w:hyperlink w:anchor="_Toc140144219" w:history="1">
        <w:r w:rsidR="002748A5" w:rsidRPr="00330175">
          <w:rPr>
            <w:rStyle w:val="Hyperlink"/>
            <w:rtl/>
          </w:rPr>
          <w:t>בי' המגיני שלמה דבקורע אינו רוצה שישאר הקרע ובכיבוי אף דניחא ליה אם ידלק יחזור הנזק</w:t>
        </w:r>
      </w:hyperlink>
    </w:p>
    <w:p w14:paraId="39B3513D" w14:textId="77777777" w:rsidR="002748A5" w:rsidRDefault="00AD16A0" w:rsidP="00ED704E">
      <w:pPr>
        <w:pStyle w:val="TOC3"/>
        <w:rPr>
          <w:rFonts w:asciiTheme="minorHAnsi" w:eastAsiaTheme="minorEastAsia" w:hAnsiTheme="minorHAnsi" w:cstheme="minorBidi"/>
          <w:sz w:val="22"/>
          <w:szCs w:val="22"/>
          <w:rtl/>
        </w:rPr>
      </w:pPr>
      <w:hyperlink w:anchor="_Toc140144220" w:history="1">
        <w:r w:rsidR="002748A5" w:rsidRPr="00330175">
          <w:rPr>
            <w:rStyle w:val="Hyperlink"/>
            <w:rtl/>
          </w:rPr>
          <w:t>בי' המגנ"ש דבקורע ע"מ לתפור ל"ה סילוק אלא תיקון לתפירה ובדרנא תופר יפה ולא סותם נקב</w:t>
        </w:r>
      </w:hyperlink>
    </w:p>
    <w:p w14:paraId="2F406BD3" w14:textId="77777777" w:rsidR="002748A5" w:rsidRDefault="00AD16A0" w:rsidP="002748A5">
      <w:pPr>
        <w:pStyle w:val="TOC2"/>
        <w:rPr>
          <w:rFonts w:cstheme="minorBidi"/>
          <w:b w:val="0"/>
          <w:bCs w:val="0"/>
          <w:sz w:val="22"/>
          <w:szCs w:val="22"/>
          <w:rtl/>
        </w:rPr>
      </w:pPr>
      <w:hyperlink w:anchor="_Toc140144221" w:history="1">
        <w:r w:rsidR="002748A5" w:rsidRPr="00330175">
          <w:rPr>
            <w:rStyle w:val="Hyperlink"/>
            <w:rtl/>
          </w:rPr>
          <w:t>בי' המרכה"מ דיש ב' אופנים סילוק נזק או לא ניחא שתשאר</w:t>
        </w:r>
      </w:hyperlink>
    </w:p>
    <w:p w14:paraId="55754F40" w14:textId="77777777" w:rsidR="002748A5" w:rsidRDefault="00AD16A0" w:rsidP="00ED704E">
      <w:pPr>
        <w:pStyle w:val="TOC3"/>
        <w:rPr>
          <w:rFonts w:asciiTheme="minorHAnsi" w:eastAsiaTheme="minorEastAsia" w:hAnsiTheme="minorHAnsi" w:cstheme="minorBidi"/>
          <w:sz w:val="22"/>
          <w:szCs w:val="22"/>
          <w:rtl/>
        </w:rPr>
      </w:pPr>
      <w:hyperlink w:anchor="_Toc140144222" w:history="1">
        <w:r w:rsidR="002748A5" w:rsidRPr="00330175">
          <w:rPr>
            <w:rStyle w:val="Hyperlink"/>
            <w:rtl/>
          </w:rPr>
          <w:t>קו' המרכה"מ ברש"י דבמת ונחש כ' דלא רוצה בה ובגומא ופה למורסא כ' דלא רוצה שישארו</w:t>
        </w:r>
      </w:hyperlink>
    </w:p>
    <w:p w14:paraId="106E1CAD" w14:textId="77777777" w:rsidR="002748A5" w:rsidRDefault="00AD16A0" w:rsidP="00ED704E">
      <w:pPr>
        <w:pStyle w:val="TOC3"/>
        <w:rPr>
          <w:rFonts w:asciiTheme="minorHAnsi" w:eastAsiaTheme="minorEastAsia" w:hAnsiTheme="minorHAnsi" w:cstheme="minorBidi"/>
          <w:sz w:val="22"/>
          <w:szCs w:val="22"/>
          <w:rtl/>
        </w:rPr>
      </w:pPr>
      <w:hyperlink w:anchor="_Toc140144223" w:history="1">
        <w:r w:rsidR="002748A5" w:rsidRPr="00330175">
          <w:rPr>
            <w:rStyle w:val="Hyperlink"/>
            <w:rtl/>
          </w:rPr>
          <w:t>בי' המרכה"מ דבגומא ומורסא רוצה בה ול"ה סילוק נזק ופטור דאין הנאה שתשאר המלאכה</w:t>
        </w:r>
      </w:hyperlink>
    </w:p>
    <w:p w14:paraId="6B4EC4D4" w14:textId="77777777" w:rsidR="002748A5" w:rsidRDefault="00AD16A0" w:rsidP="002748A5">
      <w:pPr>
        <w:pStyle w:val="TOC1"/>
        <w:rPr>
          <w:rFonts w:asciiTheme="minorHAnsi" w:hAnsiTheme="minorHAnsi" w:cstheme="minorBidi"/>
          <w:b w:val="0"/>
          <w:bCs w:val="0"/>
          <w:caps w:val="0"/>
          <w:sz w:val="22"/>
          <w:szCs w:val="22"/>
          <w:rtl/>
        </w:rPr>
      </w:pPr>
      <w:hyperlink w:anchor="_Toc140144224" w:history="1">
        <w:r w:rsidR="002748A5" w:rsidRPr="00330175">
          <w:rPr>
            <w:rStyle w:val="Hyperlink"/>
            <w:rtl/>
          </w:rPr>
          <w:t>בד' רש"י במשאצל"ג בחובל ומבעיר</w:t>
        </w:r>
      </w:hyperlink>
    </w:p>
    <w:p w14:paraId="47E1EAC2" w14:textId="77777777" w:rsidR="002748A5" w:rsidRDefault="00AD16A0" w:rsidP="002748A5">
      <w:pPr>
        <w:pStyle w:val="TOC2"/>
        <w:rPr>
          <w:rFonts w:cstheme="minorBidi"/>
          <w:b w:val="0"/>
          <w:bCs w:val="0"/>
          <w:sz w:val="22"/>
          <w:szCs w:val="22"/>
          <w:rtl/>
        </w:rPr>
      </w:pPr>
      <w:hyperlink w:anchor="_Toc140144225" w:history="1">
        <w:r w:rsidR="002748A5" w:rsidRPr="00330175">
          <w:rPr>
            <w:rStyle w:val="Hyperlink"/>
            <w:rtl/>
          </w:rPr>
          <w:t>בי' רש"י דמקור המח' במקלקל בחבורה היא דהוי משאצל"ג</w:t>
        </w:r>
      </w:hyperlink>
    </w:p>
    <w:p w14:paraId="40F7E420" w14:textId="77777777" w:rsidR="002748A5" w:rsidRDefault="00AD16A0" w:rsidP="00ED704E">
      <w:pPr>
        <w:pStyle w:val="TOC3"/>
        <w:rPr>
          <w:rFonts w:asciiTheme="minorHAnsi" w:eastAsiaTheme="minorEastAsia" w:hAnsiTheme="minorHAnsi" w:cstheme="minorBidi"/>
          <w:sz w:val="22"/>
          <w:szCs w:val="22"/>
          <w:rtl/>
        </w:rPr>
      </w:pPr>
      <w:hyperlink w:anchor="_Toc140144226" w:history="1">
        <w:r w:rsidR="002748A5" w:rsidRPr="00330175">
          <w:rPr>
            <w:rStyle w:val="Hyperlink"/>
            <w:rtl/>
          </w:rPr>
          <w:t>בי' רש"י דמקור המח' במשאצל"ג מדר"י מחייב בחובל וצריך לכלבו דמתקן במק"א אף דאצל"ג</w:t>
        </w:r>
      </w:hyperlink>
    </w:p>
    <w:p w14:paraId="00F77CB1" w14:textId="77777777" w:rsidR="002748A5" w:rsidRDefault="00AD16A0" w:rsidP="00ED704E">
      <w:pPr>
        <w:pStyle w:val="TOC3"/>
        <w:rPr>
          <w:rFonts w:asciiTheme="minorHAnsi" w:eastAsiaTheme="minorEastAsia" w:hAnsiTheme="minorHAnsi" w:cstheme="minorBidi"/>
          <w:sz w:val="22"/>
          <w:szCs w:val="22"/>
          <w:rtl/>
        </w:rPr>
      </w:pPr>
      <w:hyperlink w:anchor="_Toc140144227" w:history="1">
        <w:r w:rsidR="002748A5" w:rsidRPr="00330175">
          <w:rPr>
            <w:rStyle w:val="Hyperlink"/>
            <w:rtl/>
          </w:rPr>
          <w:t>בי' רש"י דלר"ש חובל וצריך לכלבו ל"ה תיקון דהוא בדבר אחר ולכן משאצל"ג פטור</w:t>
        </w:r>
      </w:hyperlink>
    </w:p>
    <w:p w14:paraId="31773658" w14:textId="77777777" w:rsidR="002748A5" w:rsidRDefault="00AD16A0" w:rsidP="00ED704E">
      <w:pPr>
        <w:pStyle w:val="TOC3"/>
        <w:rPr>
          <w:rFonts w:asciiTheme="minorHAnsi" w:eastAsiaTheme="minorEastAsia" w:hAnsiTheme="minorHAnsi" w:cstheme="minorBidi"/>
          <w:sz w:val="22"/>
          <w:szCs w:val="22"/>
          <w:rtl/>
        </w:rPr>
      </w:pPr>
      <w:hyperlink w:anchor="_Toc140144228" w:history="1">
        <w:r w:rsidR="002748A5" w:rsidRPr="00330175">
          <w:rPr>
            <w:rStyle w:val="Hyperlink"/>
            <w:rtl/>
          </w:rPr>
          <w:t>בי' רש"י דחובל וצריך לכלבו אף דהוא מקלקל לגבי האדם שחבל בו חשיב תיקון לגבי הכלב</w:t>
        </w:r>
      </w:hyperlink>
    </w:p>
    <w:p w14:paraId="456C8F9B" w14:textId="77777777" w:rsidR="002748A5" w:rsidRDefault="00AD16A0" w:rsidP="00ED704E">
      <w:pPr>
        <w:pStyle w:val="TOC3"/>
        <w:rPr>
          <w:rFonts w:asciiTheme="minorHAnsi" w:eastAsiaTheme="minorEastAsia" w:hAnsiTheme="minorHAnsi" w:cstheme="minorBidi"/>
          <w:sz w:val="22"/>
          <w:szCs w:val="22"/>
          <w:rtl/>
        </w:rPr>
      </w:pPr>
      <w:hyperlink w:anchor="_Toc140144229" w:history="1">
        <w:r w:rsidR="002748A5" w:rsidRPr="00330175">
          <w:rPr>
            <w:rStyle w:val="Hyperlink"/>
            <w:rtl/>
          </w:rPr>
          <w:t>בי' הרמב"ן ברש"י דבמילה מוכח בגמ' דהוי מלאכה אף דמקלקל ובי' הר"ן דל"ה תיקון בגופו</w:t>
        </w:r>
      </w:hyperlink>
    </w:p>
    <w:p w14:paraId="70CE1724" w14:textId="77777777" w:rsidR="002748A5" w:rsidRDefault="00AD16A0" w:rsidP="00ED704E">
      <w:pPr>
        <w:pStyle w:val="TOC3"/>
        <w:rPr>
          <w:rFonts w:asciiTheme="minorHAnsi" w:eastAsiaTheme="minorEastAsia" w:hAnsiTheme="minorHAnsi" w:cstheme="minorBidi"/>
          <w:sz w:val="22"/>
          <w:szCs w:val="22"/>
          <w:rtl/>
        </w:rPr>
      </w:pPr>
      <w:hyperlink w:anchor="_Toc140144230" w:history="1">
        <w:r w:rsidR="002748A5" w:rsidRPr="00330175">
          <w:rPr>
            <w:rStyle w:val="Hyperlink"/>
            <w:rtl/>
          </w:rPr>
          <w:t>קו' הרמב"ן על רש"י דמבעיר ל"ה מקלקל דצריך את האש ואף חורש נהנה מד"א וכן דרך העולם</w:t>
        </w:r>
      </w:hyperlink>
    </w:p>
    <w:p w14:paraId="2D5AC2E8" w14:textId="77777777" w:rsidR="002748A5" w:rsidRDefault="00AD16A0" w:rsidP="002748A5">
      <w:pPr>
        <w:pStyle w:val="TOC2"/>
        <w:rPr>
          <w:rFonts w:cstheme="minorBidi"/>
          <w:b w:val="0"/>
          <w:bCs w:val="0"/>
          <w:sz w:val="22"/>
          <w:szCs w:val="22"/>
          <w:rtl/>
        </w:rPr>
      </w:pPr>
      <w:hyperlink w:anchor="_Toc140144231" w:history="1">
        <w:r w:rsidR="002748A5" w:rsidRPr="00330175">
          <w:rPr>
            <w:rStyle w:val="Hyperlink"/>
            <w:rtl/>
          </w:rPr>
          <w:t>בי' החת"ס דמבעיר מקלקל ולמלאכת מחשבת כאינו רוצה בה</w:t>
        </w:r>
      </w:hyperlink>
    </w:p>
    <w:p w14:paraId="0DF3F774" w14:textId="77777777" w:rsidR="002748A5" w:rsidRDefault="00AD16A0" w:rsidP="00ED704E">
      <w:pPr>
        <w:pStyle w:val="TOC3"/>
        <w:rPr>
          <w:rFonts w:asciiTheme="minorHAnsi" w:eastAsiaTheme="minorEastAsia" w:hAnsiTheme="minorHAnsi" w:cstheme="minorBidi"/>
          <w:sz w:val="22"/>
          <w:szCs w:val="22"/>
          <w:rtl/>
        </w:rPr>
      </w:pPr>
      <w:hyperlink w:anchor="_Toc140144232" w:history="1">
        <w:r w:rsidR="002748A5" w:rsidRPr="00330175">
          <w:rPr>
            <w:rStyle w:val="Hyperlink"/>
            <w:rtl/>
          </w:rPr>
          <w:t>קו' החת"ס ברש"י דחובל לכלבו ומבעיר לאפרו רוצה במלאכה ואמאי חשיב משאצל"ג</w:t>
        </w:r>
      </w:hyperlink>
    </w:p>
    <w:p w14:paraId="6368E751" w14:textId="77777777" w:rsidR="002748A5" w:rsidRDefault="00AD16A0" w:rsidP="00ED704E">
      <w:pPr>
        <w:pStyle w:val="TOC3"/>
        <w:rPr>
          <w:rFonts w:asciiTheme="minorHAnsi" w:eastAsiaTheme="minorEastAsia" w:hAnsiTheme="minorHAnsi" w:cstheme="minorBidi"/>
          <w:sz w:val="22"/>
          <w:szCs w:val="22"/>
          <w:rtl/>
        </w:rPr>
      </w:pPr>
      <w:hyperlink w:anchor="_Toc140144233" w:history="1">
        <w:r w:rsidR="002748A5" w:rsidRPr="00330175">
          <w:rPr>
            <w:rStyle w:val="Hyperlink"/>
            <w:rtl/>
          </w:rPr>
          <w:t>בי' החת"ס דמבעיר הוא מקלקל בעצים ולענין מלאכת מחשבת חשיב שאינו רוצה במלאכה</w:t>
        </w:r>
      </w:hyperlink>
    </w:p>
    <w:p w14:paraId="4A7F07E2" w14:textId="77777777" w:rsidR="002748A5" w:rsidRDefault="00AD16A0" w:rsidP="00ED704E">
      <w:pPr>
        <w:pStyle w:val="TOC3"/>
        <w:rPr>
          <w:rFonts w:asciiTheme="minorHAnsi" w:eastAsiaTheme="minorEastAsia" w:hAnsiTheme="minorHAnsi" w:cstheme="minorBidi"/>
          <w:sz w:val="22"/>
          <w:szCs w:val="22"/>
          <w:rtl/>
        </w:rPr>
      </w:pPr>
      <w:hyperlink w:anchor="_Toc140144234" w:history="1">
        <w:r w:rsidR="002748A5" w:rsidRPr="00330175">
          <w:rPr>
            <w:rStyle w:val="Hyperlink"/>
            <w:rtl/>
          </w:rPr>
          <w:t>בי' החת"ס דלמסקנא דמקלקל בחבורה חייב וא"צ מלאכת מחשבת חשיב ברצונו וצריך לגופה</w:t>
        </w:r>
      </w:hyperlink>
    </w:p>
    <w:p w14:paraId="065E53CE" w14:textId="77777777" w:rsidR="002748A5" w:rsidRDefault="00AD16A0" w:rsidP="002748A5">
      <w:pPr>
        <w:pStyle w:val="TOC2"/>
        <w:rPr>
          <w:rFonts w:cstheme="minorBidi"/>
          <w:b w:val="0"/>
          <w:bCs w:val="0"/>
          <w:sz w:val="22"/>
          <w:szCs w:val="22"/>
          <w:rtl/>
        </w:rPr>
      </w:pPr>
      <w:hyperlink w:anchor="_Toc140144235" w:history="1">
        <w:r w:rsidR="002748A5" w:rsidRPr="00330175">
          <w:rPr>
            <w:rStyle w:val="Hyperlink"/>
            <w:rtl/>
          </w:rPr>
          <w:t>בי' המהרמ"ש דלא רוצה במעשה החבלה אף דרוצה במלאכה</w:t>
        </w:r>
      </w:hyperlink>
    </w:p>
    <w:p w14:paraId="6BC1AC1F" w14:textId="77777777" w:rsidR="002748A5" w:rsidRDefault="00AD16A0" w:rsidP="00ED704E">
      <w:pPr>
        <w:pStyle w:val="TOC3"/>
        <w:rPr>
          <w:rFonts w:asciiTheme="minorHAnsi" w:eastAsiaTheme="minorEastAsia" w:hAnsiTheme="minorHAnsi" w:cstheme="minorBidi"/>
          <w:sz w:val="22"/>
          <w:szCs w:val="22"/>
          <w:rtl/>
        </w:rPr>
      </w:pPr>
      <w:hyperlink w:anchor="_Toc140144236" w:history="1">
        <w:r w:rsidR="002748A5" w:rsidRPr="00330175">
          <w:rPr>
            <w:rStyle w:val="Hyperlink"/>
            <w:rtl/>
          </w:rPr>
          <w:t>בי' המהר"ם שיף דחובל לכלבו ומבעיר לאפרו משאלצ"ג אף דרוצה במלאכה לא רוצה בקלקול</w:t>
        </w:r>
      </w:hyperlink>
    </w:p>
    <w:p w14:paraId="7FF51A7E" w14:textId="77777777" w:rsidR="002748A5" w:rsidRDefault="00AD16A0" w:rsidP="002748A5">
      <w:pPr>
        <w:pStyle w:val="TOC2"/>
        <w:rPr>
          <w:rFonts w:cstheme="minorBidi"/>
          <w:b w:val="0"/>
          <w:bCs w:val="0"/>
          <w:sz w:val="22"/>
          <w:szCs w:val="22"/>
          <w:rtl/>
        </w:rPr>
      </w:pPr>
      <w:hyperlink w:anchor="_Toc140144237" w:history="1">
        <w:r w:rsidR="002748A5" w:rsidRPr="00330175">
          <w:rPr>
            <w:rStyle w:val="Hyperlink"/>
            <w:rtl/>
          </w:rPr>
          <w:t>בי' המרכה"מ דבחובל לכלבו ל"ה משאלצ"ג אך עי"ז כמקלקל</w:t>
        </w:r>
      </w:hyperlink>
    </w:p>
    <w:p w14:paraId="79065014" w14:textId="77777777" w:rsidR="002748A5" w:rsidRDefault="00AD16A0" w:rsidP="00ED704E">
      <w:pPr>
        <w:pStyle w:val="TOC3"/>
        <w:rPr>
          <w:rFonts w:asciiTheme="minorHAnsi" w:eastAsiaTheme="minorEastAsia" w:hAnsiTheme="minorHAnsi" w:cstheme="minorBidi"/>
          <w:sz w:val="22"/>
          <w:szCs w:val="22"/>
          <w:rtl/>
        </w:rPr>
      </w:pPr>
      <w:hyperlink w:anchor="_Toc140144238" w:history="1">
        <w:r w:rsidR="002748A5" w:rsidRPr="00330175">
          <w:rPr>
            <w:rStyle w:val="Hyperlink"/>
            <w:rtl/>
          </w:rPr>
          <w:t>קו' המרכה"מ דחובל לכלבו מתקן וצריך את המלאכה ול"ה סילוק נזק ואמאי הוי משאצל"ג</w:t>
        </w:r>
      </w:hyperlink>
    </w:p>
    <w:p w14:paraId="023AF64C" w14:textId="77777777" w:rsidR="002748A5" w:rsidRDefault="00AD16A0" w:rsidP="00ED704E">
      <w:pPr>
        <w:pStyle w:val="TOC3"/>
        <w:rPr>
          <w:rFonts w:asciiTheme="minorHAnsi" w:eastAsiaTheme="minorEastAsia" w:hAnsiTheme="minorHAnsi" w:cstheme="minorBidi"/>
          <w:sz w:val="22"/>
          <w:szCs w:val="22"/>
          <w:rtl/>
        </w:rPr>
      </w:pPr>
      <w:hyperlink w:anchor="_Toc140144239" w:history="1">
        <w:r w:rsidR="002748A5" w:rsidRPr="00330175">
          <w:rPr>
            <w:rStyle w:val="Hyperlink"/>
            <w:rtl/>
          </w:rPr>
          <w:t>בי' המגנ"ש דבקלקול צריך לגופו ולגופה ובחובל לכלבו רק לגופה ומקלקל בגופו והוי משאצל"ג</w:t>
        </w:r>
      </w:hyperlink>
    </w:p>
    <w:p w14:paraId="2B076BCC" w14:textId="77777777" w:rsidR="002748A5" w:rsidRDefault="00AD16A0" w:rsidP="00ED704E">
      <w:pPr>
        <w:pStyle w:val="TOC3"/>
        <w:rPr>
          <w:rFonts w:asciiTheme="minorHAnsi" w:eastAsiaTheme="minorEastAsia" w:hAnsiTheme="minorHAnsi" w:cstheme="minorBidi"/>
          <w:sz w:val="22"/>
          <w:szCs w:val="22"/>
          <w:rtl/>
        </w:rPr>
      </w:pPr>
      <w:hyperlink w:anchor="_Toc140144240" w:history="1">
        <w:r w:rsidR="002748A5" w:rsidRPr="00330175">
          <w:rPr>
            <w:rStyle w:val="Hyperlink"/>
            <w:rtl/>
          </w:rPr>
          <w:t>בי' המרכה"מ דבכל מקלקל משאצל"ג ובפטור דמקלקל מבו' דצריך לגופו ולגופה ול"ש בחובל</w:t>
        </w:r>
      </w:hyperlink>
    </w:p>
    <w:p w14:paraId="56BF2EB4" w14:textId="77777777" w:rsidR="002748A5" w:rsidRDefault="00AD16A0" w:rsidP="00ED704E">
      <w:pPr>
        <w:pStyle w:val="TOC3"/>
        <w:rPr>
          <w:rFonts w:asciiTheme="minorHAnsi" w:eastAsiaTheme="minorEastAsia" w:hAnsiTheme="minorHAnsi" w:cstheme="minorBidi"/>
          <w:sz w:val="22"/>
          <w:szCs w:val="22"/>
          <w:rtl/>
        </w:rPr>
      </w:pPr>
      <w:hyperlink w:anchor="_Toc140144241" w:history="1">
        <w:r w:rsidR="002748A5" w:rsidRPr="00330175">
          <w:rPr>
            <w:rStyle w:val="Hyperlink"/>
            <w:rtl/>
          </w:rPr>
          <w:t>בי' המרכה"מ דעיקר המלאכה בחובל היא בדם ובו יש תיקון ובגומא המלאכה בה ומקלקלה</w:t>
        </w:r>
      </w:hyperlink>
    </w:p>
    <w:p w14:paraId="7F6F85B4" w14:textId="77777777" w:rsidR="002748A5" w:rsidRDefault="00AD16A0" w:rsidP="00ED704E">
      <w:pPr>
        <w:pStyle w:val="TOC3"/>
        <w:rPr>
          <w:rFonts w:asciiTheme="minorHAnsi" w:eastAsiaTheme="minorEastAsia" w:hAnsiTheme="minorHAnsi" w:cstheme="minorBidi"/>
          <w:sz w:val="22"/>
          <w:szCs w:val="22"/>
          <w:rtl/>
        </w:rPr>
      </w:pPr>
      <w:hyperlink w:anchor="_Toc140144242" w:history="1">
        <w:r w:rsidR="002748A5" w:rsidRPr="00330175">
          <w:rPr>
            <w:rStyle w:val="Hyperlink"/>
            <w:rtl/>
          </w:rPr>
          <w:t>בי' המרכה"מ דלר"ש דפוטר גם מדין משאצל"ג וגם מדין מקלקל מבו' דאף בצריך לקלקול פוטר</w:t>
        </w:r>
      </w:hyperlink>
    </w:p>
    <w:p w14:paraId="7469542E" w14:textId="77777777" w:rsidR="002748A5" w:rsidRDefault="00AD16A0" w:rsidP="00ED704E">
      <w:pPr>
        <w:pStyle w:val="TOC3"/>
        <w:rPr>
          <w:rFonts w:asciiTheme="minorHAnsi" w:eastAsiaTheme="minorEastAsia" w:hAnsiTheme="minorHAnsi" w:cstheme="minorBidi"/>
          <w:sz w:val="22"/>
          <w:szCs w:val="22"/>
          <w:rtl/>
        </w:rPr>
      </w:pPr>
      <w:hyperlink w:anchor="_Toc140144243" w:history="1">
        <w:r w:rsidR="002748A5" w:rsidRPr="00330175">
          <w:rPr>
            <w:rStyle w:val="Hyperlink"/>
            <w:rtl/>
          </w:rPr>
          <w:t>בי' המרכה"מ ברש"י דחובל לכלבו אינו משאלצ"ג אך משו"ה תיקון בכלב ל"מ ופטור דמקלקל</w:t>
        </w:r>
      </w:hyperlink>
    </w:p>
    <w:p w14:paraId="07CF6A6A" w14:textId="77777777" w:rsidR="002748A5" w:rsidRDefault="00AD16A0" w:rsidP="00ED704E">
      <w:pPr>
        <w:pStyle w:val="TOC3"/>
        <w:rPr>
          <w:rFonts w:asciiTheme="minorHAnsi" w:eastAsiaTheme="minorEastAsia" w:hAnsiTheme="minorHAnsi" w:cstheme="minorBidi"/>
          <w:sz w:val="22"/>
          <w:szCs w:val="22"/>
          <w:rtl/>
        </w:rPr>
      </w:pPr>
      <w:hyperlink w:anchor="_Toc140144244" w:history="1">
        <w:r w:rsidR="002748A5" w:rsidRPr="00330175">
          <w:rPr>
            <w:rStyle w:val="Hyperlink"/>
            <w:rtl/>
          </w:rPr>
          <w:t>בי' המרכה"מ ברש"י דקורע למירמי אימתא ע"י משאצל"ג הוי מקלקל דל"מ תיקון בדבר אחר</w:t>
        </w:r>
      </w:hyperlink>
    </w:p>
    <w:p w14:paraId="3B32282B" w14:textId="77777777" w:rsidR="002748A5" w:rsidRDefault="00AD16A0" w:rsidP="002748A5">
      <w:pPr>
        <w:pStyle w:val="TOC2"/>
        <w:rPr>
          <w:rFonts w:cstheme="minorBidi"/>
          <w:b w:val="0"/>
          <w:bCs w:val="0"/>
          <w:sz w:val="22"/>
          <w:szCs w:val="22"/>
          <w:rtl/>
        </w:rPr>
      </w:pPr>
      <w:hyperlink w:anchor="_Toc140144245" w:history="1">
        <w:r w:rsidR="002748A5" w:rsidRPr="00330175">
          <w:rPr>
            <w:rStyle w:val="Hyperlink"/>
            <w:rtl/>
          </w:rPr>
          <w:t>בי' המרכה"מ דיסוד רש"י במשאצל"ג דא"צ שתשאר המלאכה</w:t>
        </w:r>
      </w:hyperlink>
    </w:p>
    <w:p w14:paraId="0E3BD44A" w14:textId="77777777" w:rsidR="002748A5" w:rsidRDefault="00AD16A0" w:rsidP="00ED704E">
      <w:pPr>
        <w:pStyle w:val="TOC3"/>
        <w:rPr>
          <w:rFonts w:asciiTheme="minorHAnsi" w:eastAsiaTheme="minorEastAsia" w:hAnsiTheme="minorHAnsi" w:cstheme="minorBidi"/>
          <w:sz w:val="22"/>
          <w:szCs w:val="22"/>
          <w:rtl/>
        </w:rPr>
      </w:pPr>
      <w:hyperlink w:anchor="_Toc140144246" w:history="1">
        <w:r w:rsidR="002748A5" w:rsidRPr="00330175">
          <w:rPr>
            <w:rStyle w:val="Hyperlink"/>
            <w:rtl/>
          </w:rPr>
          <w:t>בי' המרכה"מ דעיקר משאצל"ג לרש"י כדכ' בגומא ומורסא ולא כדכ' בהוצאת מת וכיבוי פתילה</w:t>
        </w:r>
      </w:hyperlink>
    </w:p>
    <w:p w14:paraId="284BC61E" w14:textId="77777777" w:rsidR="002748A5" w:rsidRDefault="00AD16A0" w:rsidP="00ED704E">
      <w:pPr>
        <w:pStyle w:val="TOC3"/>
        <w:rPr>
          <w:rFonts w:asciiTheme="minorHAnsi" w:eastAsiaTheme="minorEastAsia" w:hAnsiTheme="minorHAnsi" w:cstheme="minorBidi"/>
          <w:sz w:val="22"/>
          <w:szCs w:val="22"/>
          <w:rtl/>
        </w:rPr>
      </w:pPr>
      <w:hyperlink w:anchor="_Toc140144247" w:history="1">
        <w:r w:rsidR="002748A5" w:rsidRPr="00330175">
          <w:rPr>
            <w:rStyle w:val="Hyperlink"/>
            <w:rtl/>
          </w:rPr>
          <w:t>בי' המרכה"מ דבמת ופתילה הוק' לרש"י דצריך לגוף המלאכה ולכן הוסיף דאינו רוצה במלאכה</w:t>
        </w:r>
      </w:hyperlink>
    </w:p>
    <w:p w14:paraId="7DFC3F51" w14:textId="77777777" w:rsidR="002748A5" w:rsidRDefault="00AD16A0" w:rsidP="002748A5">
      <w:pPr>
        <w:pStyle w:val="TOC1"/>
        <w:rPr>
          <w:rFonts w:asciiTheme="minorHAnsi" w:hAnsiTheme="minorHAnsi" w:cstheme="minorBidi"/>
          <w:b w:val="0"/>
          <w:bCs w:val="0"/>
          <w:caps w:val="0"/>
          <w:sz w:val="22"/>
          <w:szCs w:val="22"/>
          <w:rtl/>
        </w:rPr>
      </w:pPr>
      <w:hyperlink w:anchor="_Toc140144248" w:history="1">
        <w:r w:rsidR="002748A5" w:rsidRPr="00330175">
          <w:rPr>
            <w:rStyle w:val="Hyperlink"/>
            <w:rtl/>
          </w:rPr>
          <w:t>במשאצל"ג במקלקל דמתקן לענין מצוה</w:t>
        </w:r>
      </w:hyperlink>
    </w:p>
    <w:p w14:paraId="5115FF22" w14:textId="77777777" w:rsidR="002748A5" w:rsidRDefault="00AD16A0" w:rsidP="002748A5">
      <w:pPr>
        <w:pStyle w:val="TOC2"/>
        <w:rPr>
          <w:rFonts w:cstheme="minorBidi"/>
          <w:b w:val="0"/>
          <w:bCs w:val="0"/>
          <w:sz w:val="22"/>
          <w:szCs w:val="22"/>
          <w:rtl/>
        </w:rPr>
      </w:pPr>
      <w:hyperlink w:anchor="_Toc140144249" w:history="1">
        <w:r w:rsidR="002748A5" w:rsidRPr="00330175">
          <w:rPr>
            <w:rStyle w:val="Hyperlink"/>
            <w:rtl/>
          </w:rPr>
          <w:t>פלו' רש"י ותוס' במקלקל במצוה אי הוי תיקון או משאלצ"ג</w:t>
        </w:r>
      </w:hyperlink>
    </w:p>
    <w:p w14:paraId="53E9AD2B" w14:textId="77777777" w:rsidR="002748A5" w:rsidRDefault="00AD16A0" w:rsidP="00ED704E">
      <w:pPr>
        <w:pStyle w:val="TOC3"/>
        <w:rPr>
          <w:rFonts w:asciiTheme="minorHAnsi" w:eastAsiaTheme="minorEastAsia" w:hAnsiTheme="minorHAnsi" w:cstheme="minorBidi"/>
          <w:sz w:val="22"/>
          <w:szCs w:val="22"/>
          <w:rtl/>
        </w:rPr>
      </w:pPr>
      <w:hyperlink w:anchor="_Toc140144250" w:history="1">
        <w:r w:rsidR="002748A5" w:rsidRPr="00330175">
          <w:rPr>
            <w:rStyle w:val="Hyperlink"/>
            <w:rtl/>
          </w:rPr>
          <w:t>בי' רש"י דקורע על מתו משאצל"ג ובי' תוס' דהוי מצוה וצריך לגופה ול"ד למילה ולבת כהן</w:t>
        </w:r>
      </w:hyperlink>
    </w:p>
    <w:p w14:paraId="46A52117" w14:textId="77777777" w:rsidR="002748A5" w:rsidRDefault="00AD16A0" w:rsidP="00ED704E">
      <w:pPr>
        <w:pStyle w:val="TOC3"/>
        <w:rPr>
          <w:rFonts w:asciiTheme="minorHAnsi" w:eastAsiaTheme="minorEastAsia" w:hAnsiTheme="minorHAnsi" w:cstheme="minorBidi"/>
          <w:sz w:val="22"/>
          <w:szCs w:val="22"/>
          <w:rtl/>
        </w:rPr>
      </w:pPr>
      <w:hyperlink w:anchor="_Toc140144251" w:history="1">
        <w:r w:rsidR="002748A5" w:rsidRPr="00330175">
          <w:rPr>
            <w:rStyle w:val="Hyperlink"/>
            <w:rtl/>
          </w:rPr>
          <w:t>בי' האחיעזר ברש"י דתיקון למצוה לא חשיב צריך לגופה כיון דאי"ז התכלית שהייתה במשכן</w:t>
        </w:r>
      </w:hyperlink>
    </w:p>
    <w:p w14:paraId="47F33A5C" w14:textId="77777777" w:rsidR="002748A5" w:rsidRDefault="00AD16A0" w:rsidP="00ED704E">
      <w:pPr>
        <w:pStyle w:val="TOC3"/>
        <w:rPr>
          <w:rFonts w:asciiTheme="minorHAnsi" w:eastAsiaTheme="minorEastAsia" w:hAnsiTheme="minorHAnsi" w:cstheme="minorBidi"/>
          <w:sz w:val="22"/>
          <w:szCs w:val="22"/>
          <w:rtl/>
        </w:rPr>
      </w:pPr>
      <w:hyperlink w:anchor="_Toc140144252" w:history="1">
        <w:r w:rsidR="002748A5" w:rsidRPr="00330175">
          <w:rPr>
            <w:rStyle w:val="Hyperlink"/>
            <w:rtl/>
          </w:rPr>
          <w:t>בי' האחיעזר ברש"י דפוצע חלזון ל"ה תכלית המלאכה במשכן וא"א לפטור מדין משאצל"ג</w:t>
        </w:r>
      </w:hyperlink>
    </w:p>
    <w:p w14:paraId="5912AE71" w14:textId="77777777" w:rsidR="002748A5" w:rsidRDefault="00AD16A0" w:rsidP="002748A5">
      <w:pPr>
        <w:pStyle w:val="TOC1"/>
        <w:rPr>
          <w:rFonts w:asciiTheme="minorHAnsi" w:hAnsiTheme="minorHAnsi" w:cstheme="minorBidi"/>
          <w:b w:val="0"/>
          <w:bCs w:val="0"/>
          <w:caps w:val="0"/>
          <w:sz w:val="22"/>
          <w:szCs w:val="22"/>
          <w:rtl/>
        </w:rPr>
      </w:pPr>
      <w:hyperlink w:anchor="_Toc140144253" w:history="1">
        <w:r w:rsidR="002748A5" w:rsidRPr="00330175">
          <w:rPr>
            <w:rStyle w:val="Hyperlink"/>
            <w:rtl/>
          </w:rPr>
          <w:t>~~~~~~~~~~~~~~~~~~~~~~~~~~~~</w:t>
        </w:r>
      </w:hyperlink>
    </w:p>
    <w:p w14:paraId="3CBB08C8" w14:textId="77777777" w:rsidR="002748A5" w:rsidRDefault="00AD16A0" w:rsidP="002748A5">
      <w:pPr>
        <w:pStyle w:val="TOC1"/>
        <w:rPr>
          <w:rFonts w:asciiTheme="minorHAnsi" w:hAnsiTheme="minorHAnsi" w:cstheme="minorBidi"/>
          <w:b w:val="0"/>
          <w:bCs w:val="0"/>
          <w:caps w:val="0"/>
          <w:sz w:val="22"/>
          <w:szCs w:val="22"/>
          <w:rtl/>
        </w:rPr>
      </w:pPr>
      <w:hyperlink w:anchor="_Toc140144254" w:history="1">
        <w:r w:rsidR="002748A5" w:rsidRPr="00330175">
          <w:rPr>
            <w:rStyle w:val="Hyperlink"/>
            <w:rtl/>
          </w:rPr>
          <w:t>בד' הרמב"ם אי ס"ל כרש"י דסילוק נזק</w:t>
        </w:r>
      </w:hyperlink>
    </w:p>
    <w:p w14:paraId="6E4CB16D" w14:textId="77777777" w:rsidR="002748A5" w:rsidRDefault="00AD16A0" w:rsidP="002748A5">
      <w:pPr>
        <w:pStyle w:val="TOC2"/>
        <w:rPr>
          <w:rFonts w:cstheme="minorBidi"/>
          <w:b w:val="0"/>
          <w:bCs w:val="0"/>
          <w:sz w:val="22"/>
          <w:szCs w:val="22"/>
          <w:rtl/>
        </w:rPr>
      </w:pPr>
      <w:hyperlink w:anchor="_Toc140144255" w:history="1">
        <w:r w:rsidR="002748A5" w:rsidRPr="00330175">
          <w:rPr>
            <w:rStyle w:val="Hyperlink"/>
            <w:rtl/>
          </w:rPr>
          <w:t>בי' הכפו"ת בד' הרמב"ם במלאכה שאינה צריכה לגופה</w:t>
        </w:r>
      </w:hyperlink>
    </w:p>
    <w:p w14:paraId="0F3F9B76" w14:textId="77777777" w:rsidR="002748A5" w:rsidRDefault="00AD16A0" w:rsidP="00ED704E">
      <w:pPr>
        <w:pStyle w:val="TOC3"/>
        <w:rPr>
          <w:rFonts w:asciiTheme="minorHAnsi" w:eastAsiaTheme="minorEastAsia" w:hAnsiTheme="minorHAnsi" w:cstheme="minorBidi"/>
          <w:sz w:val="22"/>
          <w:szCs w:val="22"/>
          <w:rtl/>
        </w:rPr>
      </w:pPr>
      <w:hyperlink w:anchor="_Toc140144256" w:history="1">
        <w:r w:rsidR="002748A5" w:rsidRPr="00330175">
          <w:rPr>
            <w:rStyle w:val="Hyperlink"/>
            <w:rtl/>
          </w:rPr>
          <w:t>בי' הרמב"ם דקיי"ל כר"י דמחייב במשאצל"ג אף באופן שהמלאכה היא רק לסלק את הנזק</w:t>
        </w:r>
      </w:hyperlink>
    </w:p>
    <w:p w14:paraId="163BB0E5" w14:textId="77777777" w:rsidR="002748A5" w:rsidRDefault="00AD16A0" w:rsidP="00ED704E">
      <w:pPr>
        <w:pStyle w:val="TOC3"/>
        <w:rPr>
          <w:rFonts w:asciiTheme="minorHAnsi" w:eastAsiaTheme="minorEastAsia" w:hAnsiTheme="minorHAnsi" w:cstheme="minorBidi"/>
          <w:sz w:val="22"/>
          <w:szCs w:val="22"/>
          <w:rtl/>
        </w:rPr>
      </w:pPr>
      <w:hyperlink w:anchor="_Toc140144257" w:history="1">
        <w:r w:rsidR="002748A5" w:rsidRPr="00330175">
          <w:rPr>
            <w:rStyle w:val="Hyperlink"/>
            <w:rtl/>
          </w:rPr>
          <w:t>בי' הרמב"ם דהצד שרץ לצורך או שלא לצורך או לשחק חייב דהתכוון לצוד וצד וקיי"ל כר"י</w:t>
        </w:r>
      </w:hyperlink>
    </w:p>
    <w:p w14:paraId="0AFE0F6C" w14:textId="77777777" w:rsidR="002748A5" w:rsidRDefault="00AD16A0" w:rsidP="00ED704E">
      <w:pPr>
        <w:pStyle w:val="TOC3"/>
        <w:rPr>
          <w:rFonts w:asciiTheme="minorHAnsi" w:eastAsiaTheme="minorEastAsia" w:hAnsiTheme="minorHAnsi" w:cstheme="minorBidi"/>
          <w:sz w:val="22"/>
          <w:szCs w:val="22"/>
          <w:rtl/>
        </w:rPr>
      </w:pPr>
      <w:hyperlink w:anchor="_Toc140144258" w:history="1">
        <w:r w:rsidR="002748A5" w:rsidRPr="00330175">
          <w:rPr>
            <w:rStyle w:val="Hyperlink"/>
            <w:rtl/>
          </w:rPr>
          <w:t>בי' הכפו"ת ברמב"ם דמשאצל"ג בסילוק נזק כרש"י ופטור אף בפס"ר וצד לשחק הוי צריך לגופו</w:t>
        </w:r>
      </w:hyperlink>
    </w:p>
    <w:p w14:paraId="4FA2479F" w14:textId="77777777" w:rsidR="002748A5" w:rsidRDefault="00AD16A0" w:rsidP="00ED704E">
      <w:pPr>
        <w:pStyle w:val="TOC3"/>
        <w:rPr>
          <w:rFonts w:asciiTheme="minorHAnsi" w:eastAsiaTheme="minorEastAsia" w:hAnsiTheme="minorHAnsi" w:cstheme="minorBidi"/>
          <w:sz w:val="22"/>
          <w:szCs w:val="22"/>
          <w:rtl/>
        </w:rPr>
      </w:pPr>
      <w:hyperlink w:anchor="_Toc140144259" w:history="1">
        <w:r w:rsidR="002748A5" w:rsidRPr="00330175">
          <w:rPr>
            <w:rStyle w:val="Hyperlink"/>
            <w:rtl/>
          </w:rPr>
          <w:t>בי' החזו"א ברמב"ם דצד לשחק היינו שצדו ומשחררו אך בצדו ע"מ לשחק בו חייב</w:t>
        </w:r>
      </w:hyperlink>
    </w:p>
    <w:p w14:paraId="1FA2911B" w14:textId="77777777" w:rsidR="002748A5" w:rsidRDefault="00AD16A0" w:rsidP="002748A5">
      <w:pPr>
        <w:pStyle w:val="TOC1"/>
        <w:rPr>
          <w:rFonts w:asciiTheme="minorHAnsi" w:hAnsiTheme="minorHAnsi" w:cstheme="minorBidi"/>
          <w:b w:val="0"/>
          <w:bCs w:val="0"/>
          <w:caps w:val="0"/>
          <w:sz w:val="22"/>
          <w:szCs w:val="22"/>
          <w:rtl/>
        </w:rPr>
      </w:pPr>
      <w:hyperlink w:anchor="_Toc140144260" w:history="1">
        <w:r w:rsidR="002748A5" w:rsidRPr="00330175">
          <w:rPr>
            <w:rStyle w:val="Hyperlink"/>
            <w:rtl/>
          </w:rPr>
          <w:t>~~~~~~~~~~~~~~~~~~~~~~~~~~~~</w:t>
        </w:r>
      </w:hyperlink>
    </w:p>
    <w:p w14:paraId="3AA57354" w14:textId="77777777" w:rsidR="002748A5" w:rsidRDefault="00AD16A0" w:rsidP="002748A5">
      <w:pPr>
        <w:pStyle w:val="TOC1"/>
        <w:rPr>
          <w:rFonts w:asciiTheme="minorHAnsi" w:hAnsiTheme="minorHAnsi" w:cstheme="minorBidi"/>
          <w:b w:val="0"/>
          <w:bCs w:val="0"/>
          <w:caps w:val="0"/>
          <w:sz w:val="22"/>
          <w:szCs w:val="22"/>
          <w:rtl/>
        </w:rPr>
      </w:pPr>
      <w:hyperlink w:anchor="_Toc140144261" w:history="1">
        <w:r w:rsidR="002748A5" w:rsidRPr="00330175">
          <w:rPr>
            <w:rStyle w:val="Hyperlink"/>
            <w:rtl/>
          </w:rPr>
          <w:t>בי' הרמב"ם בתשו' דל"ד לפס"ר</w:t>
        </w:r>
      </w:hyperlink>
    </w:p>
    <w:p w14:paraId="78463208" w14:textId="77777777" w:rsidR="002748A5" w:rsidRDefault="00AD16A0" w:rsidP="002748A5">
      <w:pPr>
        <w:pStyle w:val="TOC2"/>
        <w:rPr>
          <w:rFonts w:cstheme="minorBidi"/>
          <w:b w:val="0"/>
          <w:bCs w:val="0"/>
          <w:sz w:val="22"/>
          <w:szCs w:val="22"/>
          <w:rtl/>
        </w:rPr>
      </w:pPr>
      <w:hyperlink w:anchor="_Toc140144262" w:history="1">
        <w:r w:rsidR="002748A5" w:rsidRPr="00330175">
          <w:rPr>
            <w:rStyle w:val="Hyperlink"/>
            <w:rtl/>
          </w:rPr>
          <w:t>בי' הרמב"ם והאחרונים בחילוק בין משאצל"ג לפס"ר</w:t>
        </w:r>
      </w:hyperlink>
    </w:p>
    <w:p w14:paraId="37FA58EA" w14:textId="77777777" w:rsidR="002748A5" w:rsidRDefault="00AD16A0" w:rsidP="00ED704E">
      <w:pPr>
        <w:pStyle w:val="TOC3"/>
        <w:rPr>
          <w:rFonts w:asciiTheme="minorHAnsi" w:eastAsiaTheme="minorEastAsia" w:hAnsiTheme="minorHAnsi" w:cstheme="minorBidi"/>
          <w:sz w:val="22"/>
          <w:szCs w:val="22"/>
          <w:rtl/>
        </w:rPr>
      </w:pPr>
      <w:hyperlink w:anchor="_Toc140144263" w:history="1">
        <w:r w:rsidR="002748A5" w:rsidRPr="00330175">
          <w:rPr>
            <w:rStyle w:val="Hyperlink"/>
            <w:rtl/>
          </w:rPr>
          <w:t>ק"ו הר"א בן הרמב"ם דמ"ש משאצל"ג דפטור לר"ש מפס"ר דחייב אף דא"צ לגוף המלאכה</w:t>
        </w:r>
      </w:hyperlink>
    </w:p>
    <w:p w14:paraId="1A31D42A" w14:textId="77777777" w:rsidR="002748A5" w:rsidRDefault="00AD16A0" w:rsidP="00ED704E">
      <w:pPr>
        <w:pStyle w:val="TOC3"/>
        <w:rPr>
          <w:rFonts w:asciiTheme="minorHAnsi" w:eastAsiaTheme="minorEastAsia" w:hAnsiTheme="minorHAnsi" w:cstheme="minorBidi"/>
          <w:sz w:val="22"/>
          <w:szCs w:val="22"/>
          <w:rtl/>
        </w:rPr>
      </w:pPr>
      <w:hyperlink w:anchor="_Toc140144264" w:history="1">
        <w:r w:rsidR="002748A5" w:rsidRPr="00330175">
          <w:rPr>
            <w:rStyle w:val="Hyperlink"/>
            <w:rtl/>
          </w:rPr>
          <w:t>תי' הרמב"ם בתשו' דבפס"ר לא מכוון למלאכה אף דתעשה ובמשצל"ג כוונתו לה ולא לתכליתה</w:t>
        </w:r>
      </w:hyperlink>
    </w:p>
    <w:p w14:paraId="04A509DB" w14:textId="77777777" w:rsidR="002748A5" w:rsidRDefault="00AD16A0" w:rsidP="00ED704E">
      <w:pPr>
        <w:pStyle w:val="TOC3"/>
        <w:rPr>
          <w:rFonts w:asciiTheme="minorHAnsi" w:eastAsiaTheme="minorEastAsia" w:hAnsiTheme="minorHAnsi" w:cstheme="minorBidi"/>
          <w:sz w:val="22"/>
          <w:szCs w:val="22"/>
          <w:rtl/>
        </w:rPr>
      </w:pPr>
      <w:hyperlink w:anchor="_Toc140144265" w:history="1">
        <w:r w:rsidR="002748A5" w:rsidRPr="00330175">
          <w:rPr>
            <w:rStyle w:val="Hyperlink"/>
            <w:rtl/>
          </w:rPr>
          <w:t>קו' המרכה"מ ברמב"ם בתשו' דא"כ משאצל"ג דמכוון למלאכה חמור מפס"ר ול"מ כן בר"ש</w:t>
        </w:r>
      </w:hyperlink>
    </w:p>
    <w:p w14:paraId="4A77CBAF" w14:textId="77777777" w:rsidR="002748A5" w:rsidRDefault="00AD16A0" w:rsidP="00ED704E">
      <w:pPr>
        <w:pStyle w:val="TOC3"/>
        <w:rPr>
          <w:rFonts w:asciiTheme="minorHAnsi" w:eastAsiaTheme="minorEastAsia" w:hAnsiTheme="minorHAnsi" w:cstheme="minorBidi"/>
          <w:sz w:val="22"/>
          <w:szCs w:val="22"/>
          <w:rtl/>
        </w:rPr>
      </w:pPr>
      <w:hyperlink w:anchor="_Toc140144266" w:history="1">
        <w:r w:rsidR="002748A5" w:rsidRPr="00330175">
          <w:rPr>
            <w:rStyle w:val="Hyperlink"/>
            <w:rtl/>
          </w:rPr>
          <w:t>בי' המרכה"מ דלערוך דפס"ר דלא ניחא ליה פטור אפש"ל דה"ה במשאצל"ג דבניחא ליה חייב</w:t>
        </w:r>
      </w:hyperlink>
    </w:p>
    <w:p w14:paraId="70CDCA18" w14:textId="77777777" w:rsidR="002748A5" w:rsidRDefault="00AD16A0" w:rsidP="00ED704E">
      <w:pPr>
        <w:pStyle w:val="TOC3"/>
        <w:rPr>
          <w:rFonts w:asciiTheme="minorHAnsi" w:eastAsiaTheme="minorEastAsia" w:hAnsiTheme="minorHAnsi" w:cstheme="minorBidi"/>
          <w:sz w:val="22"/>
          <w:szCs w:val="22"/>
          <w:rtl/>
        </w:rPr>
      </w:pPr>
      <w:hyperlink w:anchor="_Toc140144267" w:history="1">
        <w:r w:rsidR="002748A5" w:rsidRPr="00330175">
          <w:rPr>
            <w:rStyle w:val="Hyperlink"/>
            <w:rtl/>
          </w:rPr>
          <w:t>קו' הכפו"ת דלרש"י והר"ן והרמב"ם דמשאצל"ג הוא מניעת נזק דהוא כפס"ר דחייב לר"ש</w:t>
        </w:r>
      </w:hyperlink>
    </w:p>
    <w:p w14:paraId="1A551A50" w14:textId="7E47F13A" w:rsidR="002748A5" w:rsidRPr="00E625A4" w:rsidRDefault="00AD16A0" w:rsidP="00ED704E">
      <w:pPr>
        <w:pStyle w:val="TOC3"/>
        <w:rPr>
          <w:rFonts w:asciiTheme="minorHAnsi" w:eastAsiaTheme="minorEastAsia" w:hAnsiTheme="minorHAnsi" w:cstheme="minorBidi"/>
          <w:sz w:val="22"/>
          <w:szCs w:val="22"/>
          <w:rtl/>
        </w:rPr>
        <w:sectPr w:rsidR="002748A5" w:rsidRPr="00E625A4" w:rsidSect="00CA28B3">
          <w:headerReference w:type="even" r:id="rId123"/>
          <w:headerReference w:type="default" r:id="rId124"/>
          <w:footerReference w:type="even" r:id="rId125"/>
          <w:footerReference w:type="default" r:id="rId126"/>
          <w:headerReference w:type="first" r:id="rId127"/>
          <w:footerReference w:type="first" r:id="rId128"/>
          <w:type w:val="continuous"/>
          <w:pgSz w:w="11906" w:h="16838"/>
          <w:pgMar w:top="720" w:right="720" w:bottom="720" w:left="720" w:header="283" w:footer="283" w:gutter="0"/>
          <w:cols w:num="2" w:space="113"/>
          <w:titlePg/>
          <w:bidi/>
          <w:rtlGutter/>
          <w:docGrid w:linePitch="299"/>
        </w:sectPr>
      </w:pPr>
      <w:hyperlink w:anchor="_Toc140144268" w:history="1">
        <w:r w:rsidR="002748A5" w:rsidRPr="00330175">
          <w:rPr>
            <w:rStyle w:val="Hyperlink"/>
            <w:rtl/>
          </w:rPr>
          <w:t>תי' הכפו"ת דמלאכה לאיזה צורך ולא למניעת נזק היא צריכה לגופה ופס"ר אינה למניעת נזק</w:t>
        </w:r>
      </w:hyperlink>
      <w:r w:rsidR="002748A5" w:rsidRPr="00224A5A">
        <w:rPr>
          <w:rtl/>
        </w:rPr>
        <w:fldChar w:fldCharType="end"/>
      </w:r>
    </w:p>
    <w:p w14:paraId="4DDF4109" w14:textId="77777777" w:rsidR="002748A5" w:rsidRPr="00224A5A" w:rsidRDefault="002748A5" w:rsidP="002748A5">
      <w:pPr>
        <w:keepNext/>
        <w:keepLines/>
        <w:spacing w:after="0" w:line="240" w:lineRule="auto"/>
        <w:jc w:val="center"/>
        <w:outlineLvl w:val="1"/>
        <w:rPr>
          <w:rFonts w:ascii="FrankRuehl" w:eastAsia="Guttman Adii-Light" w:hAnsi="FrankRuehl" w:cs="Guttman Hodes"/>
          <w:b/>
          <w:bCs/>
          <w:noProof/>
          <w:sz w:val="24"/>
          <w:szCs w:val="24"/>
          <w:rtl/>
        </w:rPr>
        <w:sectPr w:rsidR="002748A5" w:rsidRPr="00224A5A" w:rsidSect="00CA28B3">
          <w:type w:val="continuous"/>
          <w:pgSz w:w="11906" w:h="16838"/>
          <w:pgMar w:top="720" w:right="720" w:bottom="720" w:left="720" w:header="283" w:footer="283" w:gutter="0"/>
          <w:cols w:num="2" w:space="113"/>
          <w:titlePg/>
          <w:bidi/>
          <w:rtlGutter/>
          <w:docGrid w:linePitch="299"/>
        </w:sectPr>
      </w:pPr>
    </w:p>
    <w:p w14:paraId="08CEC52C" w14:textId="77777777" w:rsidR="002748A5" w:rsidRPr="00224A5A" w:rsidRDefault="002748A5" w:rsidP="002748A5">
      <w:pPr>
        <w:spacing w:before="240" w:after="0" w:line="360" w:lineRule="auto"/>
        <w:jc w:val="center"/>
        <w:outlineLvl w:val="1"/>
        <w:rPr>
          <w:rFonts w:ascii="Guttman Adii-Light" w:eastAsia="Guttman Adii-Light" w:hAnsi="Guttman Adii-Light" w:cs="Guttman Hodes"/>
          <w:b/>
          <w:bCs/>
          <w:sz w:val="18"/>
          <w:szCs w:val="28"/>
          <w:rtl/>
        </w:rPr>
        <w:sectPr w:rsidR="002748A5" w:rsidRPr="00224A5A" w:rsidSect="00CA28B3">
          <w:headerReference w:type="default" r:id="rId129"/>
          <w:pgSz w:w="11906" w:h="16838"/>
          <w:pgMar w:top="720" w:right="720" w:bottom="720" w:left="720" w:header="283" w:footer="283" w:gutter="0"/>
          <w:cols w:space="720"/>
          <w:bidi/>
          <w:rtlGutter/>
          <w:docGrid w:linePitch="299"/>
        </w:sectPr>
      </w:pPr>
      <w:bookmarkStart w:id="2889" w:name="_Toc65142869"/>
      <w:bookmarkStart w:id="2890" w:name="_Toc65529998"/>
      <w:bookmarkStart w:id="2891" w:name="_Toc65748228"/>
      <w:bookmarkStart w:id="2892" w:name="_Toc65788166"/>
      <w:bookmarkStart w:id="2893" w:name="_Toc65839197"/>
      <w:bookmarkStart w:id="2894" w:name="_Toc66048827"/>
      <w:bookmarkStart w:id="2895" w:name="_Toc66055767"/>
      <w:bookmarkStart w:id="2896" w:name="_Toc66085873"/>
      <w:bookmarkStart w:id="2897" w:name="_Toc66110435"/>
      <w:bookmarkStart w:id="2898" w:name="_Toc66123295"/>
      <w:bookmarkStart w:id="2899" w:name="_Toc66143743"/>
      <w:bookmarkStart w:id="2900" w:name="_Toc66171906"/>
      <w:bookmarkStart w:id="2901" w:name="_Toc66183146"/>
      <w:bookmarkStart w:id="2902" w:name="_Toc66185926"/>
      <w:bookmarkStart w:id="2903" w:name="_Toc66193386"/>
      <w:bookmarkStart w:id="2904" w:name="_Toc66355230"/>
      <w:bookmarkStart w:id="2905" w:name="_Toc66355920"/>
      <w:bookmarkStart w:id="2906" w:name="_Toc49780868"/>
      <w:bookmarkStart w:id="2907" w:name="_Toc49977850"/>
      <w:bookmarkStart w:id="2908" w:name="_Toc50120215"/>
      <w:bookmarkStart w:id="2909" w:name="_Toc50282707"/>
      <w:bookmarkStart w:id="2910" w:name="_Toc17889836"/>
      <w:bookmarkStart w:id="2911" w:name="_Toc17975458"/>
      <w:bookmarkStart w:id="2912" w:name="_Toc17984146"/>
      <w:bookmarkStart w:id="2913" w:name="_Toc18228271"/>
      <w:bookmarkStart w:id="2914" w:name="_Toc18250815"/>
      <w:bookmarkStart w:id="2915" w:name="_Toc18266272"/>
      <w:bookmarkStart w:id="2916" w:name="_Toc18269183"/>
      <w:bookmarkStart w:id="2917" w:name="_Toc18323883"/>
      <w:bookmarkStart w:id="2918" w:name="_Toc18513279"/>
      <w:bookmarkStart w:id="2919" w:name="_Toc18874382"/>
      <w:bookmarkStart w:id="2920" w:name="_Toc52907765"/>
      <w:bookmarkStart w:id="2921" w:name="_Ref99381362"/>
      <w:r w:rsidRPr="00224A5A">
        <w:rPr>
          <w:rFonts w:ascii="Guttman Adii-Light" w:eastAsia="Guttman Adii-Light" w:hAnsi="Guttman Adii-Light" w:cs="Guttman Hodes" w:hint="cs"/>
          <w:b/>
          <w:bCs/>
          <w:sz w:val="18"/>
          <w:szCs w:val="28"/>
          <w:rtl/>
        </w:rPr>
        <w:lastRenderedPageBreak/>
        <w:t>~~~</w:t>
      </w:r>
      <w:r w:rsidRPr="00224A5A">
        <w:rPr>
          <w:rFonts w:ascii="Guttman Adii-Light" w:eastAsia="Guttman Adii-Light" w:hAnsi="Guttman Adii-Light" w:cs="Guttman Hodes"/>
          <w:b/>
          <w:bCs/>
          <w:noProof/>
          <w:sz w:val="18"/>
          <w:szCs w:val="28"/>
          <w:rtl/>
        </w:rPr>
        <w:t>~~</w:t>
      </w:r>
      <w:r w:rsidRPr="00224A5A">
        <w:rPr>
          <w:rFonts w:ascii="Guttman Adii-Light" w:eastAsia="Guttman Adii-Light" w:hAnsi="Guttman Adii-Light" w:cs="Guttman Hodes" w:hint="cs"/>
          <w:b/>
          <w:bCs/>
          <w:sz w:val="18"/>
          <w:szCs w:val="28"/>
          <w:rtl/>
        </w:rPr>
        <w:t>~~ מראי מקומות וביאורים</w:t>
      </w:r>
      <w:bookmarkEnd w:id="2889"/>
      <w:bookmarkEnd w:id="2890"/>
      <w:bookmarkEnd w:id="2891"/>
      <w:r w:rsidRPr="00224A5A">
        <w:rPr>
          <w:rFonts w:ascii="Guttman Adii-Light" w:eastAsia="Guttman Adii-Light" w:hAnsi="Guttman Adii-Light" w:cs="Guttman Hodes" w:hint="cs"/>
          <w:b/>
          <w:bCs/>
          <w:sz w:val="18"/>
          <w:szCs w:val="28"/>
          <w:rtl/>
        </w:rPr>
        <w:t xml:space="preserve"> ~~~</w:t>
      </w:r>
      <w:r w:rsidRPr="00224A5A">
        <w:rPr>
          <w:rFonts w:ascii="Guttman Adii-Light" w:eastAsia="Guttman Adii-Light" w:hAnsi="Guttman Adii-Light" w:cs="Guttman Hodes"/>
          <w:b/>
          <w:bCs/>
          <w:noProof/>
          <w:sz w:val="18"/>
          <w:szCs w:val="28"/>
          <w:rtl/>
        </w:rPr>
        <w:t>~~</w:t>
      </w:r>
      <w:r w:rsidRPr="00224A5A">
        <w:rPr>
          <w:rFonts w:ascii="Guttman Adii-Light" w:eastAsia="Guttman Adii-Light" w:hAnsi="Guttman Adii-Light" w:cs="Guttman Hodes" w:hint="cs"/>
          <w:b/>
          <w:bCs/>
          <w:sz w:val="18"/>
          <w:szCs w:val="28"/>
          <w:rtl/>
        </w:rPr>
        <w:t>~~</w:t>
      </w:r>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p>
    <w:p w14:paraId="7F6EE6B9" w14:textId="77777777" w:rsidR="002748A5" w:rsidRPr="003B63CB" w:rsidRDefault="002748A5" w:rsidP="002748A5">
      <w:pPr>
        <w:pStyle w:val="affff5"/>
        <w:rPr>
          <w:rtl/>
        </w:rPr>
      </w:pPr>
      <w:bookmarkStart w:id="2922" w:name="_Toc140074138"/>
      <w:bookmarkStart w:id="2923" w:name="_Toc140091987"/>
      <w:bookmarkStart w:id="2924" w:name="_Toc140144187"/>
      <w:bookmarkStart w:id="2925" w:name="_Toc140144418"/>
      <w:bookmarkStart w:id="2926" w:name="_Hlk140008933"/>
      <w:bookmarkStart w:id="2927" w:name="_Hlk121949876"/>
      <w:bookmarkStart w:id="2928" w:name="_Toc54000906"/>
      <w:bookmarkEnd w:id="2906"/>
      <w:bookmarkEnd w:id="2907"/>
      <w:bookmarkEnd w:id="2908"/>
      <w:bookmarkEnd w:id="2909"/>
      <w:r w:rsidRPr="003B63CB">
        <w:rPr>
          <w:rFonts w:hint="cs"/>
          <w:rtl/>
        </w:rPr>
        <w:t>בד' רש"י דמשאצל"ג בלא רוצה בה</w:t>
      </w:r>
      <w:bookmarkEnd w:id="2922"/>
      <w:bookmarkEnd w:id="2923"/>
      <w:bookmarkEnd w:id="2924"/>
      <w:bookmarkEnd w:id="2925"/>
    </w:p>
    <w:p w14:paraId="5C963AD2" w14:textId="77777777" w:rsidR="002748A5" w:rsidRPr="003B63CB" w:rsidRDefault="002748A5" w:rsidP="002748A5">
      <w:pPr>
        <w:pStyle w:val="1"/>
        <w:rPr>
          <w:rtl/>
        </w:rPr>
      </w:pPr>
      <w:bookmarkStart w:id="2929" w:name="_Toc140074139"/>
      <w:bookmarkStart w:id="2930" w:name="_Toc140091988"/>
      <w:bookmarkStart w:id="2931" w:name="_Toc140144188"/>
      <w:bookmarkStart w:id="2932" w:name="_Toc140144419"/>
      <w:bookmarkEnd w:id="2926"/>
      <w:r w:rsidRPr="003B63CB">
        <w:rPr>
          <w:rFonts w:hint="cs"/>
          <w:rtl/>
        </w:rPr>
        <w:t>בי' רש"י דמשאצל"ג אינו מכוון למלאכה ול"ה מלאכת מחשבת</w:t>
      </w:r>
      <w:bookmarkEnd w:id="2929"/>
      <w:bookmarkEnd w:id="2930"/>
      <w:bookmarkEnd w:id="2931"/>
      <w:bookmarkEnd w:id="2932"/>
    </w:p>
    <w:p w14:paraId="0A5B6E9F" w14:textId="77777777" w:rsidR="002748A5" w:rsidRPr="00C12F78" w:rsidRDefault="002748A5" w:rsidP="002748A5">
      <w:pPr>
        <w:pStyle w:val="afffff7"/>
        <w:rPr>
          <w:rtl/>
        </w:rPr>
      </w:pPr>
      <w:bookmarkStart w:id="2933" w:name="_Toc140074241"/>
      <w:bookmarkStart w:id="2934" w:name="_Toc140144336"/>
      <w:bookmarkStart w:id="2935" w:name="_Toc140144812"/>
      <w:bookmarkStart w:id="2936" w:name="_Toc163505927"/>
      <w:r w:rsidRPr="00C12F78">
        <w:rPr>
          <w:rtl/>
        </w:rPr>
        <w:t>רש"י חגיגה י' ע"ב</w:t>
      </w:r>
      <w:r w:rsidRPr="00C12F78">
        <w:rPr>
          <w:rFonts w:hint="cs"/>
          <w:rtl/>
        </w:rPr>
        <w:t xml:space="preserve"> ד"ה מלאכת</w:t>
      </w:r>
      <w:bookmarkEnd w:id="2933"/>
      <w:bookmarkEnd w:id="2934"/>
      <w:r w:rsidRPr="00C12F78">
        <w:rPr>
          <w:rtl/>
        </w:rPr>
        <w:t xml:space="preserve"> (ח)</w:t>
      </w:r>
      <w:bookmarkEnd w:id="2935"/>
      <w:bookmarkEnd w:id="2936"/>
    </w:p>
    <w:p w14:paraId="70AF858D" w14:textId="77777777" w:rsidR="002748A5" w:rsidRPr="003B63CB" w:rsidRDefault="002748A5" w:rsidP="002748A5">
      <w:pPr>
        <w:pStyle w:val="a7"/>
        <w:rPr>
          <w:rtl/>
        </w:rPr>
      </w:pPr>
      <w:bookmarkStart w:id="2937" w:name="_Toc140074140"/>
      <w:bookmarkStart w:id="2938" w:name="_Toc140091989"/>
      <w:bookmarkStart w:id="2939" w:name="_Toc140144189"/>
      <w:bookmarkStart w:id="2940" w:name="_Toc140144420"/>
      <w:r w:rsidRPr="003B63CB">
        <w:rPr>
          <w:rFonts w:hint="cs"/>
          <w:rtl/>
        </w:rPr>
        <w:t>בי' רש"י בחגיגה דמשאצל</w:t>
      </w:r>
      <w:r w:rsidRPr="003B63CB">
        <w:rPr>
          <w:rtl/>
        </w:rPr>
        <w:t>"</w:t>
      </w:r>
      <w:r w:rsidRPr="003B63CB">
        <w:rPr>
          <w:rFonts w:hint="cs"/>
          <w:rtl/>
        </w:rPr>
        <w:t>ג פטור דל"ה מלאכת מחשבת דאין כוונתו לבנות גומא כלל</w:t>
      </w:r>
      <w:bookmarkEnd w:id="2937"/>
      <w:bookmarkEnd w:id="2938"/>
      <w:bookmarkEnd w:id="2939"/>
      <w:bookmarkEnd w:id="2940"/>
    </w:p>
    <w:p w14:paraId="18A3707B" w14:textId="0BD86A88" w:rsidR="002748A5" w:rsidRPr="003B63CB" w:rsidRDefault="002748A5" w:rsidP="00BC7DC8">
      <w:pPr>
        <w:pStyle w:val="a3"/>
        <w:numPr>
          <w:ilvl w:val="0"/>
          <w:numId w:val="25"/>
        </w:numPr>
        <w:rPr>
          <w:rtl/>
        </w:rPr>
      </w:pPr>
      <w:bookmarkStart w:id="2941" w:name="_Ref139360058"/>
      <w:r w:rsidRPr="003B63CB">
        <w:rPr>
          <w:rFonts w:hint="cs"/>
          <w:rtl/>
        </w:rPr>
        <w:t xml:space="preserve">בהא דאיתא בגמ' בחגיגה </w:t>
      </w:r>
      <w:r w:rsidRPr="00BC7DC8">
        <w:rPr>
          <w:rStyle w:val="af2"/>
          <w:rFonts w:eastAsia="Guttman Hodes" w:hint="cs"/>
          <w:rtl/>
        </w:rPr>
        <w:t>(י:)</w:t>
      </w:r>
      <w:r w:rsidRPr="003B63CB">
        <w:rPr>
          <w:rFonts w:hint="cs"/>
          <w:rtl/>
        </w:rPr>
        <w:t xml:space="preserve"> </w:t>
      </w:r>
      <w:bookmarkStart w:id="2942" w:name="_Hlk139748840"/>
      <w:r w:rsidRPr="003B63CB">
        <w:rPr>
          <w:rFonts w:hint="cs"/>
          <w:rtl/>
        </w:rPr>
        <w:t xml:space="preserve">דחופר גומא וא"צ אלא לעפרה פטור לר"ש דאינה מלאכת מחשבת, </w:t>
      </w:r>
      <w:bookmarkStart w:id="2943" w:name="_Hlk139453266"/>
      <w:r w:rsidRPr="003B63CB">
        <w:rPr>
          <w:rFonts w:hint="cs"/>
          <w:rtl/>
        </w:rPr>
        <w:t xml:space="preserve">ביאר </w:t>
      </w:r>
      <w:r w:rsidRPr="00BC7DC8">
        <w:rPr>
          <w:rFonts w:hint="cs"/>
          <w:vanish/>
          <w:rtl/>
        </w:rPr>
        <w:t xml:space="preserve">&lt;, </w:t>
      </w:r>
      <w:r w:rsidRPr="00BC7DC8">
        <w:rPr>
          <w:vanish/>
          <w:rtl/>
        </w:rPr>
        <w:fldChar w:fldCharType="begin"/>
      </w:r>
      <w:r w:rsidRPr="00BC7DC8">
        <w:rPr>
          <w:vanish/>
          <w:rtl/>
        </w:rPr>
        <w:instrText xml:space="preserve"> </w:instrText>
      </w:r>
      <w:r w:rsidRPr="00BC7DC8">
        <w:rPr>
          <w:rFonts w:hint="cs"/>
          <w:vanish/>
        </w:rPr>
        <w:instrText>REF</w:instrText>
      </w:r>
      <w:r w:rsidRPr="00BC7DC8">
        <w:rPr>
          <w:rFonts w:hint="cs"/>
          <w:vanish/>
          <w:rtl/>
        </w:rPr>
        <w:instrText xml:space="preserve"> _</w:instrText>
      </w:r>
      <w:r w:rsidRPr="00BC7DC8">
        <w:rPr>
          <w:rFonts w:hint="cs"/>
          <w:vanish/>
        </w:rPr>
        <w:instrText>Ref139360058 \r \h</w:instrText>
      </w:r>
      <w:r w:rsidRPr="00BC7DC8">
        <w:rPr>
          <w:vanish/>
          <w:rtl/>
        </w:rPr>
        <w:instrText xml:space="preserve">  \* </w:instrText>
      </w:r>
      <w:r w:rsidRPr="00BC7DC8">
        <w:rPr>
          <w:vanish/>
        </w:rPr>
        <w:instrText>MERGEFORMAT</w:instrText>
      </w:r>
      <w:r w:rsidRPr="00BC7DC8">
        <w:rPr>
          <w:vanish/>
          <w:rtl/>
        </w:rPr>
        <w:instrText xml:space="preserve"> </w:instrText>
      </w:r>
      <w:r w:rsidRPr="00112C74">
        <w:rPr>
          <w:vanish/>
          <w:rtl/>
        </w:rPr>
      </w:r>
      <w:r w:rsidRPr="00BC7DC8">
        <w:rPr>
          <w:vanish/>
          <w:rtl/>
        </w:rPr>
        <w:fldChar w:fldCharType="separate"/>
      </w:r>
      <w:r w:rsidR="00D82181">
        <w:rPr>
          <w:vanish/>
          <w:cs/>
        </w:rPr>
        <w:t>‎</w:t>
      </w:r>
      <w:r w:rsidR="00D82181">
        <w:rPr>
          <w:vanish/>
          <w:rtl/>
        </w:rPr>
        <w:t>א)</w:t>
      </w:r>
      <w:r w:rsidRPr="00BC7DC8">
        <w:rPr>
          <w:vanish/>
          <w:rtl/>
        </w:rPr>
        <w:fldChar w:fldCharType="end"/>
      </w:r>
      <w:r w:rsidRPr="00BC7DC8">
        <w:rPr>
          <w:rFonts w:hint="cs"/>
          <w:vanish/>
          <w:rtl/>
        </w:rPr>
        <w:t xml:space="preserve"> &gt;</w:t>
      </w:r>
      <w:r w:rsidRPr="00BC7DC8">
        <w:rPr>
          <w:rStyle w:val="aff4"/>
          <w:rFonts w:hint="cs"/>
          <w:vanish/>
          <w:rtl/>
        </w:rPr>
        <w:t>-</w:t>
      </w:r>
      <w:r w:rsidRPr="003B63CB">
        <w:rPr>
          <w:rStyle w:val="aff4"/>
          <w:rFonts w:hint="cs"/>
          <w:rtl/>
        </w:rPr>
        <w:t>רש"י בחגיגה</w:t>
      </w:r>
      <w:r w:rsidRPr="00BC7DC8">
        <w:rPr>
          <w:rStyle w:val="aff4"/>
          <w:rFonts w:hint="cs"/>
          <w:vanish/>
          <w:rtl/>
        </w:rPr>
        <w:t>-</w:t>
      </w:r>
      <w:r w:rsidRPr="003B63CB">
        <w:rPr>
          <w:rFonts w:hint="cs"/>
          <w:rtl/>
        </w:rPr>
        <w:t xml:space="preserve"> </w:t>
      </w:r>
      <w:r w:rsidRPr="00BC7DC8">
        <w:rPr>
          <w:rStyle w:val="af2"/>
          <w:rFonts w:eastAsia="Guttman Hodes" w:hint="cs"/>
          <w:rtl/>
        </w:rPr>
        <w:t>(י: ד"ה מלאכת)</w:t>
      </w:r>
      <w:r w:rsidRPr="00BC7DC8">
        <w:rPr>
          <w:rFonts w:hint="cs"/>
          <w:vanish/>
          <w:rtl/>
        </w:rPr>
        <w:t>=</w:t>
      </w:r>
      <w:r w:rsidRPr="003B63CB">
        <w:rPr>
          <w:rFonts w:hint="cs"/>
          <w:rtl/>
        </w:rPr>
        <w:t xml:space="preserve"> דמלאכת מחשבת היינו שחשב בדעתו והתכוון למלאכה, ואילו החופר גומא אין לו כל כוונה לבניין של הגומא, ולכן פטור</w:t>
      </w:r>
      <w:bookmarkEnd w:id="2942"/>
      <w:bookmarkEnd w:id="2943"/>
      <w:r w:rsidRPr="003B63CB">
        <w:rPr>
          <w:rFonts w:hint="cs"/>
          <w:rtl/>
        </w:rPr>
        <w:t>.</w:t>
      </w:r>
      <w:bookmarkEnd w:id="2941"/>
    </w:p>
    <w:p w14:paraId="511ED4B5" w14:textId="77777777" w:rsidR="002748A5" w:rsidRPr="00747170" w:rsidRDefault="002748A5" w:rsidP="00747170">
      <w:pPr>
        <w:pStyle w:val="a2"/>
        <w:rPr>
          <w:rtl/>
        </w:rPr>
      </w:pPr>
      <w:r w:rsidRPr="00747170">
        <w:rPr>
          <w:rtl/>
        </w:rPr>
        <w:t>מלאכת מחשבת - שהמחשבה חשבה בדעתו ונתכוון לה, וזה לא נתכוון לה לבנין זה - לפיכך פטור</w:t>
      </w:r>
      <w:r w:rsidRPr="00747170">
        <w:rPr>
          <w:rFonts w:hint="cs"/>
          <w:rtl/>
        </w:rPr>
        <w:t>.</w:t>
      </w:r>
    </w:p>
    <w:p w14:paraId="26D2FC2C" w14:textId="77777777" w:rsidR="002748A5" w:rsidRPr="003B63CB" w:rsidRDefault="002748A5" w:rsidP="002748A5">
      <w:pPr>
        <w:pStyle w:val="1"/>
      </w:pPr>
      <w:bookmarkStart w:id="2944" w:name="_Toc140074141"/>
      <w:bookmarkStart w:id="2945" w:name="_Toc140091990"/>
      <w:bookmarkStart w:id="2946" w:name="_Toc140144190"/>
      <w:bookmarkStart w:id="2947" w:name="_Toc140144421"/>
      <w:r w:rsidRPr="003B63CB">
        <w:rPr>
          <w:rFonts w:hint="cs"/>
          <w:rtl/>
        </w:rPr>
        <w:t>בי' רש"י דטעם משאצל</w:t>
      </w:r>
      <w:r w:rsidRPr="003B63CB">
        <w:rPr>
          <w:rtl/>
        </w:rPr>
        <w:t>"</w:t>
      </w:r>
      <w:r w:rsidRPr="003B63CB">
        <w:rPr>
          <w:rFonts w:hint="cs"/>
          <w:rtl/>
        </w:rPr>
        <w:t>ג דברצונו המלאכה לא הייתה באה</w:t>
      </w:r>
      <w:bookmarkEnd w:id="2944"/>
      <w:bookmarkEnd w:id="2945"/>
      <w:bookmarkEnd w:id="2946"/>
      <w:bookmarkEnd w:id="2947"/>
      <w:r w:rsidRPr="003B63CB">
        <w:rPr>
          <w:rFonts w:hint="cs"/>
          <w:rtl/>
        </w:rPr>
        <w:t xml:space="preserve"> </w:t>
      </w:r>
    </w:p>
    <w:p w14:paraId="0720E45A" w14:textId="77777777" w:rsidR="002748A5" w:rsidRPr="00C12F78" w:rsidRDefault="002748A5" w:rsidP="002748A5">
      <w:pPr>
        <w:pStyle w:val="afffff7"/>
        <w:rPr>
          <w:rtl/>
        </w:rPr>
      </w:pPr>
      <w:bookmarkStart w:id="2948" w:name="_Toc140074242"/>
      <w:bookmarkStart w:id="2949" w:name="_Toc140144337"/>
      <w:bookmarkStart w:id="2950" w:name="_Toc140144813"/>
      <w:bookmarkStart w:id="2951" w:name="_Toc163505928"/>
      <w:r w:rsidRPr="00C12F78">
        <w:rPr>
          <w:rtl/>
        </w:rPr>
        <w:t>רש"י שבת צ"ג ע"ב</w:t>
      </w:r>
      <w:r w:rsidRPr="00C12F78">
        <w:rPr>
          <w:rFonts w:hint="cs"/>
          <w:rtl/>
        </w:rPr>
        <w:t xml:space="preserve"> ד"ה ור"ש</w:t>
      </w:r>
      <w:bookmarkEnd w:id="2948"/>
      <w:bookmarkEnd w:id="2949"/>
      <w:r w:rsidRPr="00C12F78">
        <w:rPr>
          <w:rtl/>
        </w:rPr>
        <w:t xml:space="preserve"> (ח)</w:t>
      </w:r>
      <w:bookmarkEnd w:id="2950"/>
      <w:bookmarkEnd w:id="2951"/>
    </w:p>
    <w:p w14:paraId="13E5054C" w14:textId="77777777" w:rsidR="002748A5" w:rsidRPr="00C12F78" w:rsidRDefault="002748A5" w:rsidP="002748A5">
      <w:pPr>
        <w:pStyle w:val="afffff7"/>
        <w:rPr>
          <w:rtl/>
        </w:rPr>
      </w:pPr>
      <w:bookmarkStart w:id="2952" w:name="_Toc140074243"/>
      <w:bookmarkStart w:id="2953" w:name="_Toc140144338"/>
      <w:bookmarkStart w:id="2954" w:name="_Toc140144814"/>
      <w:bookmarkStart w:id="2955" w:name="_Toc140074142"/>
      <w:bookmarkStart w:id="2956" w:name="_Toc163505929"/>
      <w:r w:rsidRPr="00C12F78">
        <w:rPr>
          <w:rtl/>
        </w:rPr>
        <w:t>רש"י חגיגה י' ע"א</w:t>
      </w:r>
      <w:r w:rsidRPr="00C12F78">
        <w:rPr>
          <w:rFonts w:hint="cs"/>
          <w:rtl/>
        </w:rPr>
        <w:t xml:space="preserve"> ד"ה שאינה</w:t>
      </w:r>
      <w:bookmarkEnd w:id="2952"/>
      <w:bookmarkEnd w:id="2953"/>
      <w:r w:rsidRPr="00C12F78">
        <w:rPr>
          <w:rtl/>
        </w:rPr>
        <w:t xml:space="preserve"> (ח)</w:t>
      </w:r>
      <w:bookmarkEnd w:id="2954"/>
      <w:bookmarkEnd w:id="2956"/>
    </w:p>
    <w:p w14:paraId="5408FBB7" w14:textId="77777777" w:rsidR="002748A5" w:rsidRPr="00C12F78" w:rsidRDefault="002748A5" w:rsidP="002748A5">
      <w:pPr>
        <w:pStyle w:val="afffff7"/>
        <w:rPr>
          <w:rtl/>
        </w:rPr>
      </w:pPr>
      <w:bookmarkStart w:id="2957" w:name="_Toc140074244"/>
      <w:bookmarkStart w:id="2958" w:name="_Toc140144339"/>
      <w:bookmarkStart w:id="2959" w:name="_Toc140144815"/>
      <w:bookmarkStart w:id="2960" w:name="_Toc163505930"/>
      <w:r w:rsidRPr="00C12F78">
        <w:rPr>
          <w:rtl/>
        </w:rPr>
        <w:t>ר"ן</w:t>
      </w:r>
      <w:r w:rsidRPr="00C12F78">
        <w:rPr>
          <w:rFonts w:hint="cs"/>
          <w:rtl/>
        </w:rPr>
        <w:t xml:space="preserve"> </w:t>
      </w:r>
      <w:r w:rsidRPr="00C12F78">
        <w:rPr>
          <w:rtl/>
        </w:rPr>
        <w:t>על הרי"ף</w:t>
      </w:r>
      <w:r w:rsidRPr="00C12F78">
        <w:rPr>
          <w:rFonts w:hint="cs"/>
          <w:rtl/>
        </w:rPr>
        <w:t xml:space="preserve"> </w:t>
      </w:r>
      <w:r w:rsidRPr="00C12F78">
        <w:rPr>
          <w:rtl/>
        </w:rPr>
        <w:t>שבת ל"ה ע"ב</w:t>
      </w:r>
      <w:r w:rsidRPr="00C12F78">
        <w:rPr>
          <w:rFonts w:hint="cs"/>
          <w:rtl/>
        </w:rPr>
        <w:t xml:space="preserve"> מדה"ר ד"ה ר"ש</w:t>
      </w:r>
      <w:bookmarkEnd w:id="2957"/>
      <w:bookmarkEnd w:id="2958"/>
      <w:r w:rsidRPr="00C12F78">
        <w:rPr>
          <w:rtl/>
        </w:rPr>
        <w:t xml:space="preserve"> (ח)</w:t>
      </w:r>
      <w:bookmarkEnd w:id="2959"/>
      <w:bookmarkEnd w:id="2960"/>
    </w:p>
    <w:p w14:paraId="77AD83C7" w14:textId="77777777" w:rsidR="002748A5" w:rsidRPr="003B63CB" w:rsidRDefault="002748A5" w:rsidP="002748A5">
      <w:pPr>
        <w:pStyle w:val="a7"/>
        <w:rPr>
          <w:rtl/>
        </w:rPr>
      </w:pPr>
      <w:bookmarkStart w:id="2961" w:name="_Toc140091991"/>
      <w:bookmarkStart w:id="2962" w:name="_Toc140144191"/>
      <w:bookmarkStart w:id="2963" w:name="_Toc140144422"/>
      <w:r w:rsidRPr="003B63CB">
        <w:rPr>
          <w:rFonts w:hint="cs"/>
          <w:rtl/>
        </w:rPr>
        <w:t>בי' רש"י דהוצאת מת היא סילוק וא"צ את המלאכה דברצונו לא באה לו וכ"כ הר"ן דמונע נזק</w:t>
      </w:r>
      <w:bookmarkEnd w:id="2955"/>
      <w:bookmarkEnd w:id="2961"/>
      <w:bookmarkEnd w:id="2962"/>
      <w:bookmarkEnd w:id="2963"/>
    </w:p>
    <w:p w14:paraId="56A56380" w14:textId="06896299" w:rsidR="002748A5" w:rsidRPr="003B63CB" w:rsidRDefault="002748A5" w:rsidP="00BC7DC8">
      <w:pPr>
        <w:pStyle w:val="a3"/>
        <w:rPr>
          <w:rtl/>
        </w:rPr>
      </w:pPr>
      <w:bookmarkStart w:id="2964" w:name="_Ref139359821"/>
      <w:r w:rsidRPr="003B63CB">
        <w:rPr>
          <w:rFonts w:hint="cs"/>
          <w:rtl/>
        </w:rPr>
        <w:t xml:space="preserve">בהא דפוטר ר"ש במוציא את המת, כתב </w:t>
      </w:r>
      <w:r w:rsidRPr="003B63CB">
        <w:rPr>
          <w:rFonts w:hint="cs"/>
          <w:vanish/>
          <w:rtl/>
        </w:rPr>
        <w:t xml:space="preserve">&lt;, </w:t>
      </w:r>
      <w:r w:rsidRPr="003B63CB">
        <w:rPr>
          <w:vanish/>
          <w:rtl/>
        </w:rPr>
        <w:fldChar w:fldCharType="begin"/>
      </w:r>
      <w:r w:rsidRPr="003B63CB">
        <w:rPr>
          <w:vanish/>
          <w:rtl/>
        </w:rPr>
        <w:instrText xml:space="preserve"> </w:instrText>
      </w:r>
      <w:r w:rsidRPr="003B63CB">
        <w:rPr>
          <w:rFonts w:hint="cs"/>
          <w:vanish/>
        </w:rPr>
        <w:instrText>REF</w:instrText>
      </w:r>
      <w:r w:rsidRPr="003B63CB">
        <w:rPr>
          <w:rFonts w:hint="cs"/>
          <w:vanish/>
          <w:rtl/>
        </w:rPr>
        <w:instrText xml:space="preserve"> _</w:instrText>
      </w:r>
      <w:r w:rsidRPr="003B63CB">
        <w:rPr>
          <w:rFonts w:hint="cs"/>
          <w:vanish/>
        </w:rPr>
        <w:instrText>Ref139359821 \r \h</w:instrText>
      </w:r>
      <w:r w:rsidRPr="003B63CB">
        <w:rPr>
          <w:vanish/>
          <w:rtl/>
        </w:rPr>
        <w:instrText xml:space="preserve">  \* </w:instrText>
      </w:r>
      <w:r w:rsidRPr="003B63CB">
        <w:rPr>
          <w:vanish/>
        </w:rPr>
        <w:instrText>MERGEFORMAT</w:instrText>
      </w:r>
      <w:r w:rsidRPr="003B63CB">
        <w:rPr>
          <w:vanish/>
          <w:rtl/>
        </w:rPr>
        <w:instrText xml:space="preserve"> </w:instrText>
      </w:r>
      <w:r w:rsidRPr="003B63CB">
        <w:rPr>
          <w:vanish/>
          <w:rtl/>
        </w:rPr>
      </w:r>
      <w:r w:rsidRPr="003B63CB">
        <w:rPr>
          <w:vanish/>
          <w:rtl/>
        </w:rPr>
        <w:fldChar w:fldCharType="separate"/>
      </w:r>
      <w:r w:rsidR="00D82181">
        <w:rPr>
          <w:vanish/>
          <w:cs/>
        </w:rPr>
        <w:t>‎</w:t>
      </w:r>
      <w:r w:rsidR="00D82181">
        <w:rPr>
          <w:vanish/>
          <w:rtl/>
        </w:rPr>
        <w:t>ב)</w:t>
      </w:r>
      <w:r w:rsidRPr="003B63CB">
        <w:rPr>
          <w:vanish/>
          <w:rtl/>
        </w:rPr>
        <w:fldChar w:fldCharType="end"/>
      </w:r>
      <w:r w:rsidRPr="003B63CB">
        <w:rPr>
          <w:rFonts w:hint="cs"/>
          <w:vanish/>
          <w:rtl/>
        </w:rPr>
        <w:t xml:space="preserve"> &gt;</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w:t>
      </w:r>
      <w:r w:rsidRPr="003B63CB">
        <w:rPr>
          <w:rStyle w:val="af2"/>
          <w:rFonts w:eastAsia="Guttman Hodes" w:hint="cs"/>
          <w:rtl/>
        </w:rPr>
        <w:t>(צג: ד"ה ור"ש)</w:t>
      </w:r>
      <w:r w:rsidRPr="003B63CB">
        <w:rPr>
          <w:rFonts w:hint="cs"/>
          <w:rtl/>
        </w:rPr>
        <w:t xml:space="preserve"> </w:t>
      </w:r>
      <w:r w:rsidRPr="003B63CB">
        <w:rPr>
          <w:rFonts w:hint="cs"/>
          <w:vanish/>
          <w:rtl/>
        </w:rPr>
        <w:t>&lt; &gt;</w:t>
      </w:r>
      <w:r w:rsidRPr="003B63CB">
        <w:rPr>
          <w:rStyle w:val="aff4"/>
          <w:rFonts w:hint="cs"/>
          <w:vanish/>
          <w:rtl/>
        </w:rPr>
        <w:t>-</w:t>
      </w:r>
      <w:r w:rsidRPr="003B63CB">
        <w:rPr>
          <w:rStyle w:val="aff4"/>
          <w:rFonts w:hint="cs"/>
          <w:rtl/>
        </w:rPr>
        <w:t>ובחגיגה</w:t>
      </w:r>
      <w:r w:rsidRPr="003B63CB">
        <w:rPr>
          <w:rStyle w:val="aff4"/>
          <w:rFonts w:hint="cs"/>
          <w:vanish/>
          <w:rtl/>
        </w:rPr>
        <w:t>-</w:t>
      </w:r>
      <w:r w:rsidRPr="003B63CB">
        <w:rPr>
          <w:rFonts w:hint="cs"/>
          <w:rtl/>
        </w:rPr>
        <w:t xml:space="preserve"> </w:t>
      </w:r>
      <w:r w:rsidRPr="003B63CB">
        <w:rPr>
          <w:rStyle w:val="af2"/>
          <w:rFonts w:eastAsia="Guttman Hodes" w:hint="cs"/>
          <w:rtl/>
        </w:rPr>
        <w:t>(י. ד"ה שאינה)</w:t>
      </w:r>
      <w:r w:rsidRPr="003B63CB">
        <w:rPr>
          <w:rFonts w:hint="cs"/>
          <w:vanish/>
          <w:rtl/>
        </w:rPr>
        <w:t>=</w:t>
      </w:r>
      <w:r w:rsidRPr="003B63CB">
        <w:rPr>
          <w:rFonts w:hint="cs"/>
          <w:rtl/>
        </w:rPr>
        <w:t xml:space="preserve"> דכל שא"צ את גוף המלאכה אלא לסלקה מעליו, הוי מלאכה שאינה צריכה לגופה, דברצונו לא הייתה באה המלאכה כלל וא"צ את המלאכה עצמה, וכתב </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דס"ל לר"ש דמלאכה שאינה צריכה לגופה אינה בכלל מלאכת מחשבת, וכ"כ </w:t>
      </w:r>
      <w:r w:rsidRPr="003B63CB">
        <w:rPr>
          <w:rStyle w:val="aff4"/>
          <w:rFonts w:hint="cs"/>
          <w:vanish/>
          <w:rtl/>
        </w:rPr>
        <w:t>-</w:t>
      </w:r>
      <w:r w:rsidRPr="003B63CB">
        <w:rPr>
          <w:rStyle w:val="aff4"/>
          <w:rFonts w:hint="cs"/>
          <w:rtl/>
        </w:rPr>
        <w:t>ה</w:t>
      </w:r>
      <w:r w:rsidRPr="003B63CB">
        <w:rPr>
          <w:rStyle w:val="aff4"/>
          <w:rFonts w:hint="cs"/>
          <w:vanish/>
          <w:rtl/>
        </w:rPr>
        <w:t>&lt; &gt;</w:t>
      </w:r>
      <w:r w:rsidRPr="003B63CB">
        <w:rPr>
          <w:rStyle w:val="aff4"/>
          <w:rFonts w:hint="cs"/>
          <w:rtl/>
        </w:rPr>
        <w:t>ר"ן על הרי"ף</w:t>
      </w:r>
      <w:r w:rsidRPr="003B63CB">
        <w:rPr>
          <w:rStyle w:val="aff4"/>
          <w:rFonts w:hint="cs"/>
          <w:vanish/>
          <w:rtl/>
        </w:rPr>
        <w:t>-</w:t>
      </w:r>
      <w:r w:rsidRPr="003B63CB">
        <w:rPr>
          <w:rFonts w:hint="cs"/>
          <w:rtl/>
        </w:rPr>
        <w:t xml:space="preserve"> </w:t>
      </w:r>
      <w:r w:rsidRPr="003B63CB">
        <w:rPr>
          <w:rStyle w:val="af2"/>
          <w:rFonts w:eastAsia="Guttman Hodes" w:hint="cs"/>
          <w:rtl/>
        </w:rPr>
        <w:t>(לה: מדה"ר ד"ה ר"ש)</w:t>
      </w:r>
      <w:r w:rsidRPr="003B63CB">
        <w:rPr>
          <w:rFonts w:hint="cs"/>
          <w:vanish/>
          <w:rtl/>
        </w:rPr>
        <w:t>=</w:t>
      </w:r>
      <w:r w:rsidRPr="003B63CB">
        <w:rPr>
          <w:rFonts w:hint="cs"/>
          <w:rtl/>
        </w:rPr>
        <w:t xml:space="preserve"> דהוצאת מת היא מניעת ההיזק של הטומאה, ולכן אינה בכלל מלאכת מחשבת לר"ש, ועי' במ"ש </w:t>
      </w:r>
      <w:r w:rsidRPr="003B63CB">
        <w:rPr>
          <w:rStyle w:val="aff4"/>
          <w:rFonts w:hint="cs"/>
          <w:vanish/>
          <w:rtl/>
        </w:rPr>
        <w:t>-</w:t>
      </w:r>
      <w:r w:rsidRPr="003B63CB">
        <w:rPr>
          <w:rStyle w:val="aff4"/>
          <w:rFonts w:hint="cs"/>
          <w:rtl/>
        </w:rPr>
        <w:t>ה</w:t>
      </w:r>
      <w:r w:rsidRPr="003B63CB">
        <w:rPr>
          <w:rStyle w:val="aff4"/>
          <w:rFonts w:hint="cs"/>
          <w:vanish/>
          <w:rtl/>
        </w:rPr>
        <w:t>&lt; &gt;</w:t>
      </w:r>
      <w:r w:rsidRPr="003B63CB">
        <w:rPr>
          <w:rStyle w:val="aff4"/>
          <w:rFonts w:hint="cs"/>
          <w:rtl/>
        </w:rPr>
        <w:t>ט"ז</w:t>
      </w:r>
      <w:r w:rsidRPr="003B63CB">
        <w:rPr>
          <w:rStyle w:val="aff4"/>
          <w:rFonts w:hint="cs"/>
          <w:vanish/>
          <w:rtl/>
        </w:rPr>
        <w:t>-</w:t>
      </w:r>
      <w:r w:rsidRPr="003B63CB">
        <w:rPr>
          <w:rFonts w:hint="cs"/>
          <w:rtl/>
        </w:rPr>
        <w:t xml:space="preserve"> </w:t>
      </w:r>
      <w:r w:rsidRPr="003B63CB">
        <w:rPr>
          <w:rStyle w:val="af2"/>
          <w:rFonts w:eastAsia="Guttman Hodes" w:hint="cs"/>
          <w:rtl/>
        </w:rPr>
        <w:t>(סי' רע"ח סק"א)</w:t>
      </w:r>
      <w:r w:rsidRPr="003B63CB">
        <w:rPr>
          <w:rFonts w:hint="cs"/>
          <w:vanish/>
          <w:rtl/>
        </w:rPr>
        <w:t>=</w:t>
      </w:r>
      <w:r w:rsidRPr="003B63CB">
        <w:rPr>
          <w:rFonts w:hint="cs"/>
          <w:rtl/>
        </w:rPr>
        <w:t xml:space="preserve">  נ"מ להלכה לפי ביאור </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וע"ע </w:t>
      </w:r>
      <w:r w:rsidRPr="003B63CB">
        <w:rPr>
          <w:rStyle w:val="aff4"/>
          <w:rFonts w:hint="cs"/>
          <w:vanish/>
          <w:rtl/>
        </w:rPr>
        <w:t>-</w:t>
      </w:r>
      <w:r w:rsidRPr="003B63CB">
        <w:rPr>
          <w:rStyle w:val="aff4"/>
          <w:rFonts w:hint="cs"/>
          <w:rtl/>
        </w:rPr>
        <w:t>ב</w:t>
      </w:r>
      <w:r w:rsidRPr="003B63CB">
        <w:rPr>
          <w:rStyle w:val="aff4"/>
          <w:rFonts w:hint="cs"/>
          <w:vanish/>
          <w:rtl/>
        </w:rPr>
        <w:t>&lt; &gt;</w:t>
      </w:r>
      <w:r w:rsidRPr="003B63CB">
        <w:rPr>
          <w:rStyle w:val="aff4"/>
          <w:rFonts w:hint="cs"/>
          <w:rtl/>
        </w:rPr>
        <w:t>פרמ"ג</w:t>
      </w:r>
      <w:r w:rsidRPr="003B63CB">
        <w:rPr>
          <w:rStyle w:val="aff4"/>
          <w:rFonts w:hint="cs"/>
          <w:vanish/>
          <w:rtl/>
        </w:rPr>
        <w:t>-</w:t>
      </w:r>
      <w:r w:rsidRPr="003B63CB">
        <w:rPr>
          <w:rFonts w:hint="cs"/>
          <w:rtl/>
        </w:rPr>
        <w:t xml:space="preserve"> </w:t>
      </w:r>
      <w:r w:rsidRPr="003B63CB">
        <w:rPr>
          <w:rStyle w:val="af2"/>
          <w:rFonts w:eastAsia="Guttman Hodes" w:hint="cs"/>
          <w:rtl/>
        </w:rPr>
        <w:t>(סי' שי"א משב"ז סק"א)</w:t>
      </w:r>
      <w:r w:rsidRPr="003B63CB">
        <w:rPr>
          <w:rFonts w:hint="cs"/>
          <w:vanish/>
          <w:rtl/>
        </w:rPr>
        <w:t>=</w:t>
      </w:r>
      <w:r w:rsidRPr="003B63CB">
        <w:rPr>
          <w:rFonts w:hint="cs"/>
          <w:rtl/>
        </w:rPr>
        <w:t xml:space="preserve"> דכתב להלכה כביאור </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w:t>
      </w:r>
      <w:bookmarkEnd w:id="2964"/>
    </w:p>
    <w:p w14:paraId="21E7093B" w14:textId="77777777" w:rsidR="002748A5" w:rsidRPr="00747170" w:rsidRDefault="002748A5" w:rsidP="00747170">
      <w:pPr>
        <w:pStyle w:val="a2"/>
        <w:rPr>
          <w:rtl/>
        </w:rPr>
      </w:pPr>
      <w:r w:rsidRPr="00747170">
        <w:rPr>
          <w:rtl/>
        </w:rPr>
        <w:t>ור' שמעון פוטר - אפילו במת שלם, דהוי מלאכה שאינה צריכה לגופה, וכל מלאכה שאינה צריכה (לגופה) אלא לסלקה מעליו - הוי מלאכה שאינה צריכה לגופה, דברצונו לא באה לו, ולא היה צריך לה, הלכך לאו מלאכת מחשבת היא לר' שמעון.</w:t>
      </w:r>
    </w:p>
    <w:p w14:paraId="3759ED35" w14:textId="77777777" w:rsidR="002748A5" w:rsidRPr="00695703" w:rsidRDefault="002748A5" w:rsidP="00747170">
      <w:pPr>
        <w:pStyle w:val="afffff5"/>
        <w:rPr>
          <w:rtl/>
        </w:rPr>
      </w:pPr>
      <w:r w:rsidRPr="00695703">
        <w:rPr>
          <w:rtl/>
        </w:rPr>
        <w:t>שאינה צריכה לגופה - כגון זה שאינו צריך לבנין זה, ורבי שמעון אמר מילתיה גבי מוציא את המת במטה לקוברו בשבת (שבת צג, ב) וקאמר רבי שמעון: פטור על הוצאה זו, שברצונו לא היתה באה אליו, ולא היה צריך לה.</w:t>
      </w:r>
    </w:p>
    <w:p w14:paraId="0FEDDCC1" w14:textId="77777777" w:rsidR="002748A5" w:rsidRPr="00695703" w:rsidRDefault="002748A5" w:rsidP="00747170">
      <w:pPr>
        <w:pStyle w:val="afffff5"/>
      </w:pPr>
      <w:r w:rsidRPr="00695703">
        <w:rPr>
          <w:rtl/>
        </w:rPr>
        <w:t>ר"ש פוטר. אפי' במת שלם דהוי מלאכה שאינה צריכה לגופה שאינה אלא מניעת היזק דהיינו הטומאה הלכך לאו מלאכת מחשבת היא לר' שמעון:</w:t>
      </w:r>
    </w:p>
    <w:p w14:paraId="333A8B11" w14:textId="77777777" w:rsidR="002748A5" w:rsidRPr="00C12F78" w:rsidRDefault="002748A5" w:rsidP="002748A5">
      <w:pPr>
        <w:pStyle w:val="afffff7"/>
        <w:rPr>
          <w:rtl/>
        </w:rPr>
      </w:pPr>
      <w:bookmarkStart w:id="2965" w:name="_Toc140074245"/>
      <w:bookmarkStart w:id="2966" w:name="_Toc140144340"/>
      <w:bookmarkStart w:id="2967" w:name="_Toc140144816"/>
      <w:bookmarkStart w:id="2968" w:name="_Toc163505931"/>
      <w:r w:rsidRPr="00C12F78">
        <w:rPr>
          <w:rtl/>
        </w:rPr>
        <w:t>רש"י שבת ל"א ע"ב</w:t>
      </w:r>
      <w:r w:rsidRPr="00C12F78">
        <w:rPr>
          <w:rFonts w:hint="cs"/>
          <w:rtl/>
        </w:rPr>
        <w:t xml:space="preserve"> ד"ה אפילו</w:t>
      </w:r>
      <w:bookmarkEnd w:id="2965"/>
      <w:bookmarkEnd w:id="2966"/>
      <w:r w:rsidRPr="00C12F78">
        <w:rPr>
          <w:rtl/>
        </w:rPr>
        <w:t xml:space="preserve"> (ח)</w:t>
      </w:r>
      <w:bookmarkEnd w:id="2967"/>
      <w:bookmarkEnd w:id="2968"/>
    </w:p>
    <w:p w14:paraId="67F5D26E" w14:textId="77777777" w:rsidR="002748A5" w:rsidRPr="003B63CB" w:rsidRDefault="002748A5" w:rsidP="002748A5">
      <w:pPr>
        <w:pStyle w:val="a7"/>
        <w:rPr>
          <w:rtl/>
        </w:rPr>
      </w:pPr>
      <w:bookmarkStart w:id="2969" w:name="_Toc140074143"/>
      <w:bookmarkStart w:id="2970" w:name="_Toc140091992"/>
      <w:bookmarkStart w:id="2971" w:name="_Toc140144192"/>
      <w:bookmarkStart w:id="2972" w:name="_Toc140144423"/>
      <w:r w:rsidRPr="003B63CB">
        <w:rPr>
          <w:rFonts w:hint="cs"/>
          <w:rtl/>
        </w:rPr>
        <w:t>בי' רש"י דכיבוי בחס על פתילה שהובהבה הוא מלאכה שניחא לו שלא הובערה מעולם</w:t>
      </w:r>
      <w:bookmarkEnd w:id="2969"/>
      <w:bookmarkEnd w:id="2970"/>
      <w:bookmarkEnd w:id="2971"/>
      <w:bookmarkEnd w:id="2972"/>
    </w:p>
    <w:p w14:paraId="5C96BC32" w14:textId="6FBF4D5E" w:rsidR="002748A5" w:rsidRPr="003B63CB" w:rsidRDefault="002748A5" w:rsidP="00BC7DC8">
      <w:pPr>
        <w:pStyle w:val="a3"/>
        <w:rPr>
          <w:rtl/>
        </w:rPr>
      </w:pPr>
      <w:bookmarkStart w:id="2973" w:name="_Ref139311983"/>
      <w:r w:rsidRPr="003B63CB">
        <w:rPr>
          <w:rFonts w:hint="cs"/>
          <w:rtl/>
        </w:rPr>
        <w:t xml:space="preserve">בהא דאיתא בגמ' לעיל </w:t>
      </w:r>
      <w:r w:rsidRPr="003B63CB">
        <w:rPr>
          <w:rStyle w:val="af2"/>
          <w:rFonts w:eastAsia="Guttman Hodes" w:hint="cs"/>
          <w:rtl/>
        </w:rPr>
        <w:t>(לא:)</w:t>
      </w:r>
      <w:r w:rsidRPr="003B63CB">
        <w:rPr>
          <w:rFonts w:hint="cs"/>
          <w:rtl/>
        </w:rPr>
        <w:t xml:space="preserve"> דלר"ש המכבה וחס על הפתילה פטור, כתב </w:t>
      </w:r>
      <w:r w:rsidRPr="003B63CB">
        <w:rPr>
          <w:rFonts w:hint="cs"/>
          <w:vanish/>
          <w:rtl/>
        </w:rPr>
        <w:t xml:space="preserve">&lt;, </w:t>
      </w:r>
      <w:r w:rsidRPr="003B63CB">
        <w:rPr>
          <w:vanish/>
          <w:rtl/>
        </w:rPr>
        <w:fldChar w:fldCharType="begin"/>
      </w:r>
      <w:r w:rsidRPr="003B63CB">
        <w:rPr>
          <w:vanish/>
          <w:rtl/>
        </w:rPr>
        <w:instrText xml:space="preserve"> </w:instrText>
      </w:r>
      <w:r w:rsidRPr="003B63CB">
        <w:rPr>
          <w:rFonts w:hint="cs"/>
          <w:vanish/>
        </w:rPr>
        <w:instrText>REF</w:instrText>
      </w:r>
      <w:r w:rsidRPr="003B63CB">
        <w:rPr>
          <w:rFonts w:hint="cs"/>
          <w:vanish/>
          <w:rtl/>
        </w:rPr>
        <w:instrText xml:space="preserve"> _</w:instrText>
      </w:r>
      <w:r w:rsidRPr="003B63CB">
        <w:rPr>
          <w:rFonts w:hint="cs"/>
          <w:vanish/>
        </w:rPr>
        <w:instrText>Ref139311983 \r \h</w:instrText>
      </w:r>
      <w:r w:rsidRPr="003B63CB">
        <w:rPr>
          <w:vanish/>
          <w:rtl/>
        </w:rPr>
        <w:instrText xml:space="preserve">  \* </w:instrText>
      </w:r>
      <w:r w:rsidRPr="003B63CB">
        <w:rPr>
          <w:vanish/>
        </w:rPr>
        <w:instrText>MERGEFORMAT</w:instrText>
      </w:r>
      <w:r w:rsidRPr="003B63CB">
        <w:rPr>
          <w:vanish/>
          <w:rtl/>
        </w:rPr>
        <w:instrText xml:space="preserve"> </w:instrText>
      </w:r>
      <w:r w:rsidRPr="003B63CB">
        <w:rPr>
          <w:vanish/>
          <w:rtl/>
        </w:rPr>
      </w:r>
      <w:r w:rsidRPr="003B63CB">
        <w:rPr>
          <w:vanish/>
          <w:rtl/>
        </w:rPr>
        <w:fldChar w:fldCharType="separate"/>
      </w:r>
      <w:r w:rsidR="00D82181">
        <w:rPr>
          <w:vanish/>
          <w:cs/>
        </w:rPr>
        <w:t>‎</w:t>
      </w:r>
      <w:r w:rsidR="00D82181">
        <w:rPr>
          <w:vanish/>
          <w:rtl/>
        </w:rPr>
        <w:t>ג)</w:t>
      </w:r>
      <w:r w:rsidRPr="003B63CB">
        <w:rPr>
          <w:vanish/>
          <w:rtl/>
        </w:rPr>
        <w:fldChar w:fldCharType="end"/>
      </w:r>
      <w:r w:rsidRPr="003B63CB">
        <w:rPr>
          <w:rFonts w:hint="cs"/>
          <w:vanish/>
          <w:rtl/>
        </w:rPr>
        <w:t xml:space="preserve"> &gt;</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w:t>
      </w:r>
      <w:r w:rsidRPr="003B63CB">
        <w:rPr>
          <w:rStyle w:val="af2"/>
          <w:rFonts w:eastAsia="Guttman Hodes" w:hint="cs"/>
          <w:rtl/>
        </w:rPr>
        <w:t>(לא: ד"ה אפילו)</w:t>
      </w:r>
      <w:r w:rsidRPr="003B63CB">
        <w:rPr>
          <w:rFonts w:hint="cs"/>
          <w:vanish/>
          <w:rtl/>
        </w:rPr>
        <w:t>=</w:t>
      </w:r>
      <w:r w:rsidRPr="003B63CB">
        <w:rPr>
          <w:rFonts w:hint="cs"/>
          <w:rtl/>
        </w:rPr>
        <w:t xml:space="preserve"> דאף בחס על הפתילה הוי מלאכה שאינה צריכה לגופה, כיון דהמלאכה היא הכיבוי, והוא א"צ את הכיבוי עצמו, וביאר </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דבאופן שהובהבה הפתילה בתחילה, היה ניחא לו אם לא הובערה הפתילה מעולם, דהא איירי בחס על הפתילה, וא"כ כל שהפתילה גדולה יותר יותר ניחא לו.</w:t>
      </w:r>
      <w:bookmarkEnd w:id="2973"/>
    </w:p>
    <w:p w14:paraId="1DBEBC22" w14:textId="77777777" w:rsidR="002748A5" w:rsidRPr="00747170" w:rsidRDefault="002748A5" w:rsidP="00747170">
      <w:pPr>
        <w:pStyle w:val="a2"/>
        <w:rPr>
          <w:rtl/>
        </w:rPr>
      </w:pPr>
      <w:r w:rsidRPr="00747170">
        <w:rPr>
          <w:rtl/>
        </w:rPr>
        <w:t>אפילו בפתילה נמי ליפטר - דחס על הפתילה נמי אינה צריכה המלאכה לגופה, דמלאכה היינו כיבוי, וכיבוי עצמו אינו צריך לו, דאם לא הובערה מעולם הוה ניחא ליה אם מתחלה הובהבה, הואיל וחס עליה, כי אית בה טפי הוה ניחא ליה בה.</w:t>
      </w:r>
    </w:p>
    <w:p w14:paraId="39442265" w14:textId="77777777" w:rsidR="002748A5" w:rsidRPr="00C12F78" w:rsidRDefault="002748A5" w:rsidP="002748A5">
      <w:pPr>
        <w:pStyle w:val="afffff7"/>
        <w:rPr>
          <w:rtl/>
        </w:rPr>
      </w:pPr>
      <w:bookmarkStart w:id="2974" w:name="_Toc140074246"/>
      <w:bookmarkStart w:id="2975" w:name="_Toc140144341"/>
      <w:bookmarkStart w:id="2976" w:name="_Toc140144817"/>
      <w:bookmarkStart w:id="2977" w:name="_Toc163505932"/>
      <w:r w:rsidRPr="00C12F78">
        <w:rPr>
          <w:rtl/>
        </w:rPr>
        <w:t>רש"י זבחים צ"ב ע"א</w:t>
      </w:r>
      <w:r w:rsidRPr="00C12F78">
        <w:rPr>
          <w:rFonts w:hint="cs"/>
          <w:rtl/>
        </w:rPr>
        <w:t xml:space="preserve"> ד"ה אבל</w:t>
      </w:r>
      <w:bookmarkEnd w:id="2974"/>
      <w:bookmarkEnd w:id="2975"/>
      <w:r w:rsidRPr="00C12F78">
        <w:rPr>
          <w:rtl/>
        </w:rPr>
        <w:t xml:space="preserve"> (ח)</w:t>
      </w:r>
      <w:bookmarkEnd w:id="2976"/>
      <w:bookmarkEnd w:id="2977"/>
    </w:p>
    <w:p w14:paraId="05E83F75" w14:textId="77777777" w:rsidR="002748A5" w:rsidRPr="003B63CB" w:rsidRDefault="002748A5" w:rsidP="002748A5">
      <w:pPr>
        <w:pStyle w:val="a7"/>
        <w:rPr>
          <w:rtl/>
        </w:rPr>
      </w:pPr>
      <w:bookmarkStart w:id="2978" w:name="_Toc140074144"/>
      <w:bookmarkStart w:id="2979" w:name="_Toc140091993"/>
      <w:bookmarkStart w:id="2980" w:name="_Toc140144193"/>
      <w:bookmarkStart w:id="2981" w:name="_Toc140144424"/>
      <w:r w:rsidRPr="003B63CB">
        <w:rPr>
          <w:rFonts w:hint="cs"/>
          <w:rtl/>
        </w:rPr>
        <w:t>בי' רש"י בזבחים דמכבה גחלת וא"צ לפחם דהלואי שלא בא לו הכיבוי וכמוציא מת דמסלקו</w:t>
      </w:r>
      <w:bookmarkEnd w:id="2978"/>
      <w:bookmarkEnd w:id="2979"/>
      <w:bookmarkEnd w:id="2980"/>
      <w:bookmarkEnd w:id="2981"/>
    </w:p>
    <w:p w14:paraId="39D718E9" w14:textId="61E08871" w:rsidR="002748A5" w:rsidRPr="003B63CB" w:rsidRDefault="002748A5" w:rsidP="00BC7DC8">
      <w:pPr>
        <w:pStyle w:val="a3"/>
        <w:rPr>
          <w:rtl/>
        </w:rPr>
      </w:pPr>
      <w:bookmarkStart w:id="2982" w:name="_Ref139447796"/>
      <w:r w:rsidRPr="003B63CB">
        <w:rPr>
          <w:rFonts w:hint="cs"/>
          <w:rtl/>
        </w:rPr>
        <w:t xml:space="preserve">וכ"כ </w:t>
      </w:r>
      <w:r w:rsidRPr="003B63CB">
        <w:rPr>
          <w:rFonts w:hint="cs"/>
          <w:vanish/>
          <w:rtl/>
        </w:rPr>
        <w:t xml:space="preserve">&lt;, </w:t>
      </w:r>
      <w:r w:rsidRPr="003B63CB">
        <w:rPr>
          <w:vanish/>
          <w:rtl/>
        </w:rPr>
        <w:fldChar w:fldCharType="begin"/>
      </w:r>
      <w:r w:rsidRPr="003B63CB">
        <w:rPr>
          <w:vanish/>
          <w:rtl/>
        </w:rPr>
        <w:instrText xml:space="preserve"> </w:instrText>
      </w:r>
      <w:r w:rsidRPr="003B63CB">
        <w:rPr>
          <w:rFonts w:hint="cs"/>
          <w:vanish/>
        </w:rPr>
        <w:instrText>REF</w:instrText>
      </w:r>
      <w:r w:rsidRPr="003B63CB">
        <w:rPr>
          <w:rFonts w:hint="cs"/>
          <w:vanish/>
          <w:rtl/>
        </w:rPr>
        <w:instrText xml:space="preserve"> _</w:instrText>
      </w:r>
      <w:r w:rsidRPr="003B63CB">
        <w:rPr>
          <w:rFonts w:hint="cs"/>
          <w:vanish/>
        </w:rPr>
        <w:instrText>Ref139447796 \r \h</w:instrText>
      </w:r>
      <w:r w:rsidRPr="003B63CB">
        <w:rPr>
          <w:vanish/>
          <w:rtl/>
        </w:rPr>
        <w:instrText xml:space="preserve">  \* </w:instrText>
      </w:r>
      <w:r w:rsidRPr="003B63CB">
        <w:rPr>
          <w:vanish/>
        </w:rPr>
        <w:instrText>MERGEFORMAT</w:instrText>
      </w:r>
      <w:r w:rsidRPr="003B63CB">
        <w:rPr>
          <w:vanish/>
          <w:rtl/>
        </w:rPr>
        <w:instrText xml:space="preserve"> </w:instrText>
      </w:r>
      <w:r w:rsidRPr="003B63CB">
        <w:rPr>
          <w:vanish/>
          <w:rtl/>
        </w:rPr>
      </w:r>
      <w:r w:rsidRPr="003B63CB">
        <w:rPr>
          <w:vanish/>
          <w:rtl/>
        </w:rPr>
        <w:fldChar w:fldCharType="separate"/>
      </w:r>
      <w:r w:rsidR="00D82181">
        <w:rPr>
          <w:vanish/>
          <w:cs/>
        </w:rPr>
        <w:t>‎</w:t>
      </w:r>
      <w:r w:rsidR="00D82181">
        <w:rPr>
          <w:vanish/>
          <w:rtl/>
        </w:rPr>
        <w:t>ד)</w:t>
      </w:r>
      <w:r w:rsidRPr="003B63CB">
        <w:rPr>
          <w:vanish/>
          <w:rtl/>
        </w:rPr>
        <w:fldChar w:fldCharType="end"/>
      </w:r>
      <w:r w:rsidRPr="003B63CB">
        <w:rPr>
          <w:rFonts w:hint="cs"/>
          <w:vanish/>
          <w:rtl/>
        </w:rPr>
        <w:t xml:space="preserve"> &gt;</w:t>
      </w:r>
      <w:r w:rsidRPr="003B63CB">
        <w:rPr>
          <w:rStyle w:val="aff4"/>
          <w:rFonts w:hint="cs"/>
          <w:vanish/>
          <w:rtl/>
        </w:rPr>
        <w:t>-</w:t>
      </w:r>
      <w:r w:rsidRPr="003B63CB">
        <w:rPr>
          <w:rStyle w:val="aff4"/>
          <w:rFonts w:hint="cs"/>
          <w:rtl/>
        </w:rPr>
        <w:t>רש"י בזבחים</w:t>
      </w:r>
      <w:r w:rsidRPr="003B63CB">
        <w:rPr>
          <w:rStyle w:val="aff4"/>
          <w:rFonts w:hint="cs"/>
          <w:vanish/>
          <w:rtl/>
        </w:rPr>
        <w:t>-</w:t>
      </w:r>
      <w:r w:rsidRPr="003B63CB">
        <w:rPr>
          <w:rFonts w:hint="cs"/>
          <w:rtl/>
        </w:rPr>
        <w:t xml:space="preserve"> </w:t>
      </w:r>
      <w:r w:rsidRPr="003B63CB">
        <w:rPr>
          <w:rStyle w:val="af2"/>
          <w:rFonts w:eastAsia="Guttman Hodes" w:hint="cs"/>
          <w:rtl/>
        </w:rPr>
        <w:t>(צב. ד"ה אבל)</w:t>
      </w:r>
      <w:r w:rsidRPr="003B63CB">
        <w:rPr>
          <w:rFonts w:hint="cs"/>
          <w:vanish/>
          <w:rtl/>
        </w:rPr>
        <w:t>=</w:t>
      </w:r>
      <w:r w:rsidRPr="003B63CB">
        <w:rPr>
          <w:rFonts w:hint="cs"/>
          <w:rtl/>
        </w:rPr>
        <w:t xml:space="preserve"> דמכבה גחלת וא"צ לעשות פחמים הוי מלאכה שאינה צריכה לגופה ופוטר ר"ש, כיון דא"צ את גוף הכיבוי דהלואי שלא בא עליו, ודמי למוציא מת דרוצה לסלקו מעל פניו.</w:t>
      </w:r>
      <w:bookmarkEnd w:id="2982"/>
    </w:p>
    <w:p w14:paraId="0BE37F56" w14:textId="77777777" w:rsidR="002748A5" w:rsidRPr="00747170" w:rsidRDefault="002748A5" w:rsidP="00747170">
      <w:pPr>
        <w:pStyle w:val="a2"/>
      </w:pPr>
      <w:r w:rsidRPr="00747170">
        <w:rPr>
          <w:rtl/>
        </w:rPr>
        <w:t>אבל לא של עץ - דבת כיבוי הוא ואיסורא דאורייתא הוא ואי כר"ש לא משכחת כיבוי אלא במתכוין לעשות פחמין בכיבויו וצריך להם דאר"ש מלאכה שאינה צריכה לגופה פטור עליה וכיבוי לאו צורך גופו הוא שיהא צריך לו דהלואי שלא בא עליו ודמי למוציא את המת לסלקו מעל פניו דפטר עליה ר"ש במסכת שבת בפרק המצניע (דף צד).</w:t>
      </w:r>
    </w:p>
    <w:p w14:paraId="3198ADCE" w14:textId="77777777" w:rsidR="002748A5" w:rsidRPr="00C12F78" w:rsidRDefault="002748A5" w:rsidP="002748A5">
      <w:pPr>
        <w:pStyle w:val="afffff7"/>
        <w:rPr>
          <w:rtl/>
        </w:rPr>
      </w:pPr>
      <w:bookmarkStart w:id="2983" w:name="_Toc140074247"/>
      <w:bookmarkStart w:id="2984" w:name="_Toc140144342"/>
      <w:bookmarkStart w:id="2985" w:name="_Toc140144818"/>
      <w:bookmarkStart w:id="2986" w:name="_Toc163505933"/>
      <w:r w:rsidRPr="00C12F78">
        <w:rPr>
          <w:rtl/>
        </w:rPr>
        <w:t>רש"י שבת י"ב ע"א</w:t>
      </w:r>
      <w:r w:rsidRPr="00C12F78">
        <w:rPr>
          <w:rFonts w:hint="cs"/>
          <w:rtl/>
        </w:rPr>
        <w:t xml:space="preserve"> ד</w:t>
      </w:r>
      <w:r w:rsidRPr="00C12F78">
        <w:rPr>
          <w:rFonts w:cs="Guttman Hodes" w:hint="cs"/>
          <w:rtl/>
        </w:rPr>
        <w:t>"</w:t>
      </w:r>
      <w:r w:rsidRPr="00C12F78">
        <w:rPr>
          <w:rFonts w:hint="cs"/>
          <w:rtl/>
        </w:rPr>
        <w:t>ה הא ר</w:t>
      </w:r>
      <w:r w:rsidRPr="00C12F78">
        <w:rPr>
          <w:rFonts w:cs="Guttman Hodes" w:hint="cs"/>
          <w:rtl/>
        </w:rPr>
        <w:t>"</w:t>
      </w:r>
      <w:r w:rsidRPr="00C12F78">
        <w:rPr>
          <w:rFonts w:hint="cs"/>
          <w:rtl/>
        </w:rPr>
        <w:t>י</w:t>
      </w:r>
      <w:bookmarkEnd w:id="2983"/>
      <w:bookmarkEnd w:id="2984"/>
      <w:r w:rsidRPr="00C12F78">
        <w:rPr>
          <w:rtl/>
        </w:rPr>
        <w:t xml:space="preserve"> (ח)</w:t>
      </w:r>
      <w:bookmarkEnd w:id="2985"/>
      <w:bookmarkEnd w:id="2986"/>
    </w:p>
    <w:p w14:paraId="49508E14" w14:textId="77777777" w:rsidR="002748A5" w:rsidRPr="003B63CB" w:rsidRDefault="002748A5" w:rsidP="002748A5">
      <w:pPr>
        <w:pStyle w:val="a7"/>
        <w:rPr>
          <w:rtl/>
        </w:rPr>
      </w:pPr>
      <w:bookmarkStart w:id="2987" w:name="_Toc140074145"/>
      <w:bookmarkStart w:id="2988" w:name="_Toc140091994"/>
      <w:bookmarkStart w:id="2989" w:name="_Toc140144194"/>
      <w:bookmarkStart w:id="2990" w:name="_Toc140144425"/>
      <w:r w:rsidRPr="003B63CB">
        <w:rPr>
          <w:rFonts w:hint="cs"/>
          <w:rtl/>
        </w:rPr>
        <w:t>בי' רש"י דזב שיוצא בכיס דא"צ את הזיבה ואינו רוצה בעיקר תכלית המלאכה וכהוצאת מת</w:t>
      </w:r>
      <w:bookmarkEnd w:id="2987"/>
      <w:bookmarkEnd w:id="2988"/>
      <w:bookmarkEnd w:id="2989"/>
      <w:bookmarkEnd w:id="2990"/>
    </w:p>
    <w:p w14:paraId="326771BA" w14:textId="7A545F1A" w:rsidR="002748A5" w:rsidRPr="003B63CB" w:rsidRDefault="002748A5" w:rsidP="00BC7DC8">
      <w:pPr>
        <w:pStyle w:val="a3"/>
        <w:rPr>
          <w:rtl/>
        </w:rPr>
      </w:pPr>
      <w:bookmarkStart w:id="2991" w:name="_Ref139447601"/>
      <w:r w:rsidRPr="003B63CB">
        <w:rPr>
          <w:rFonts w:hint="cs"/>
          <w:rtl/>
        </w:rPr>
        <w:t xml:space="preserve">וכ"כ </w:t>
      </w:r>
      <w:r w:rsidRPr="003B63CB">
        <w:rPr>
          <w:rFonts w:hint="cs"/>
          <w:vanish/>
          <w:rtl/>
        </w:rPr>
        <w:t xml:space="preserve">&lt;, </w:t>
      </w:r>
      <w:r w:rsidRPr="003B63CB">
        <w:rPr>
          <w:vanish/>
          <w:rtl/>
        </w:rPr>
        <w:fldChar w:fldCharType="begin"/>
      </w:r>
      <w:r w:rsidRPr="003B63CB">
        <w:rPr>
          <w:vanish/>
          <w:rtl/>
        </w:rPr>
        <w:instrText xml:space="preserve"> </w:instrText>
      </w:r>
      <w:r w:rsidRPr="003B63CB">
        <w:rPr>
          <w:rFonts w:hint="cs"/>
          <w:vanish/>
        </w:rPr>
        <w:instrText>REF</w:instrText>
      </w:r>
      <w:r w:rsidRPr="003B63CB">
        <w:rPr>
          <w:rFonts w:hint="cs"/>
          <w:vanish/>
          <w:rtl/>
        </w:rPr>
        <w:instrText xml:space="preserve"> _</w:instrText>
      </w:r>
      <w:r w:rsidRPr="003B63CB">
        <w:rPr>
          <w:rFonts w:hint="cs"/>
          <w:vanish/>
        </w:rPr>
        <w:instrText>Ref139447601 \r \h</w:instrText>
      </w:r>
      <w:r w:rsidRPr="003B63CB">
        <w:rPr>
          <w:vanish/>
          <w:rtl/>
        </w:rPr>
        <w:instrText xml:space="preserve">  \* </w:instrText>
      </w:r>
      <w:r w:rsidRPr="003B63CB">
        <w:rPr>
          <w:vanish/>
        </w:rPr>
        <w:instrText>MERGEFORMAT</w:instrText>
      </w:r>
      <w:r w:rsidRPr="003B63CB">
        <w:rPr>
          <w:vanish/>
          <w:rtl/>
        </w:rPr>
        <w:instrText xml:space="preserve"> </w:instrText>
      </w:r>
      <w:r w:rsidRPr="003B63CB">
        <w:rPr>
          <w:vanish/>
          <w:rtl/>
        </w:rPr>
      </w:r>
      <w:r w:rsidRPr="003B63CB">
        <w:rPr>
          <w:vanish/>
          <w:rtl/>
        </w:rPr>
        <w:fldChar w:fldCharType="separate"/>
      </w:r>
      <w:r w:rsidR="00D82181">
        <w:rPr>
          <w:vanish/>
          <w:cs/>
        </w:rPr>
        <w:t>‎</w:t>
      </w:r>
      <w:r w:rsidR="00D82181">
        <w:rPr>
          <w:vanish/>
          <w:rtl/>
        </w:rPr>
        <w:t>ה)</w:t>
      </w:r>
      <w:r w:rsidRPr="003B63CB">
        <w:rPr>
          <w:vanish/>
          <w:rtl/>
        </w:rPr>
        <w:fldChar w:fldCharType="end"/>
      </w:r>
      <w:r w:rsidRPr="003B63CB">
        <w:rPr>
          <w:rFonts w:hint="cs"/>
          <w:vanish/>
          <w:rtl/>
        </w:rPr>
        <w:t xml:space="preserve"> &gt;</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w:t>
      </w:r>
      <w:r w:rsidRPr="003B63CB">
        <w:rPr>
          <w:rStyle w:val="af2"/>
          <w:rFonts w:eastAsia="Guttman Hodes" w:hint="cs"/>
          <w:rtl/>
        </w:rPr>
        <w:t>(יב. ד"ה הא ר"י)</w:t>
      </w:r>
      <w:r w:rsidRPr="003B63CB">
        <w:rPr>
          <w:rFonts w:hint="cs"/>
          <w:vanish/>
          <w:rtl/>
        </w:rPr>
        <w:t>=</w:t>
      </w:r>
      <w:r w:rsidRPr="003B63CB">
        <w:rPr>
          <w:rFonts w:hint="cs"/>
          <w:rtl/>
        </w:rPr>
        <w:t xml:space="preserve"> לענין זב שיוצא בכיס שלו, דמלאכה שברצונו לא תעשה המלאכה, והוא א"צ את עיקר התכלית של המלאכה, הוי מלאכה שאינה צריכה לגופה, כזב שיוצא בכיס דאין הזב צריך את הזיבה כלל, והכיס בא מחמת הזיבה, ולר"י חייב ולר"ש  </w:t>
      </w:r>
      <w:r w:rsidRPr="003B63CB">
        <w:rPr>
          <w:rFonts w:hint="cs"/>
          <w:rtl/>
        </w:rPr>
        <w:t xml:space="preserve">פטור, כדנחלקו בגמ' לקמן </w:t>
      </w:r>
      <w:r w:rsidRPr="003B63CB">
        <w:rPr>
          <w:rStyle w:val="af2"/>
          <w:rFonts w:eastAsia="Guttman Hodes" w:hint="cs"/>
          <w:rtl/>
        </w:rPr>
        <w:t>(צג:)</w:t>
      </w:r>
      <w:r w:rsidRPr="003B63CB">
        <w:rPr>
          <w:rFonts w:hint="cs"/>
          <w:rtl/>
        </w:rPr>
        <w:t xml:space="preserve"> במוציא את המת במטה, דלא ניחא ליה בהוצאת המת.</w:t>
      </w:r>
      <w:bookmarkEnd w:id="2991"/>
      <w:r w:rsidRPr="003B63CB">
        <w:rPr>
          <w:rFonts w:hint="cs"/>
          <w:rtl/>
        </w:rPr>
        <w:t xml:space="preserve"> </w:t>
      </w:r>
    </w:p>
    <w:p w14:paraId="4582CBF4" w14:textId="77777777" w:rsidR="002748A5" w:rsidRPr="00747170" w:rsidRDefault="002748A5" w:rsidP="00747170">
      <w:pPr>
        <w:pStyle w:val="a2"/>
        <w:rPr>
          <w:rtl/>
        </w:rPr>
      </w:pPr>
      <w:r w:rsidRPr="00747170">
        <w:rPr>
          <w:rtl/>
        </w:rPr>
        <w:t>הא ר' יהודה - דאמר מלאכה שאינה צריכה לגופה שברצונו לא תעשה, ואינו צריך לעיקר (תחלתה) [תכליתה] - כי הכא, שאינו צריך לזיבה זו, שעל ידה בא הכיס הזה - ואף על פי כן חייב עליה, ופלוגתייהו בהמצניע (שבת צג, ב) גבי מוציא המת במטה חייב, ואף על גב דהוצאת המת לא ניחא ליה ביה, ור' שמעון פוטר.</w:t>
      </w:r>
    </w:p>
    <w:p w14:paraId="45D7323F" w14:textId="77777777" w:rsidR="002748A5" w:rsidRPr="003B63CB" w:rsidRDefault="002748A5" w:rsidP="002748A5">
      <w:pPr>
        <w:pStyle w:val="1"/>
      </w:pPr>
      <w:bookmarkStart w:id="2992" w:name="_Toc140074146"/>
      <w:bookmarkStart w:id="2993" w:name="_Toc140091995"/>
      <w:bookmarkStart w:id="2994" w:name="_Toc140144195"/>
      <w:bookmarkStart w:id="2995" w:name="_Toc140144426"/>
      <w:r w:rsidRPr="003B63CB">
        <w:rPr>
          <w:rFonts w:hint="cs"/>
          <w:rtl/>
        </w:rPr>
        <w:t>בי' רש"י דבצידת נחש המלאכה לסלק נזק ובלא"ה לא היה צד</w:t>
      </w:r>
      <w:bookmarkEnd w:id="2992"/>
      <w:bookmarkEnd w:id="2993"/>
      <w:bookmarkEnd w:id="2994"/>
      <w:bookmarkEnd w:id="2995"/>
    </w:p>
    <w:p w14:paraId="6BAF7639" w14:textId="77777777" w:rsidR="002748A5" w:rsidRPr="00C12F78" w:rsidRDefault="002748A5" w:rsidP="002748A5">
      <w:pPr>
        <w:pStyle w:val="afffff7"/>
        <w:rPr>
          <w:rtl/>
        </w:rPr>
      </w:pPr>
      <w:bookmarkStart w:id="2996" w:name="_Toc140074248"/>
      <w:bookmarkStart w:id="2997" w:name="_Toc140144343"/>
      <w:bookmarkStart w:id="2998" w:name="_Toc140144819"/>
      <w:bookmarkStart w:id="2999" w:name="_Ref139793152"/>
      <w:bookmarkStart w:id="3000" w:name="_Toc163505934"/>
      <w:r w:rsidRPr="00C12F78">
        <w:rPr>
          <w:rtl/>
        </w:rPr>
        <w:t>רש"י שבת ק"ז ע"ב</w:t>
      </w:r>
      <w:r w:rsidRPr="00C12F78">
        <w:rPr>
          <w:rFonts w:hint="cs"/>
          <w:rtl/>
        </w:rPr>
        <w:t xml:space="preserve"> ד"ה הצד</w:t>
      </w:r>
      <w:bookmarkEnd w:id="2996"/>
      <w:bookmarkEnd w:id="2997"/>
      <w:r w:rsidRPr="00C12F78">
        <w:rPr>
          <w:rtl/>
        </w:rPr>
        <w:t xml:space="preserve"> (ח)</w:t>
      </w:r>
      <w:bookmarkEnd w:id="2998"/>
      <w:bookmarkEnd w:id="3000"/>
    </w:p>
    <w:p w14:paraId="455752A8" w14:textId="77777777" w:rsidR="002748A5" w:rsidRPr="003B63CB" w:rsidRDefault="002748A5" w:rsidP="002748A5">
      <w:pPr>
        <w:pStyle w:val="a7"/>
        <w:rPr>
          <w:rtl/>
        </w:rPr>
      </w:pPr>
      <w:bookmarkStart w:id="3001" w:name="_Toc140074147"/>
      <w:bookmarkStart w:id="3002" w:name="_Toc140091996"/>
      <w:bookmarkStart w:id="3003" w:name="_Toc140144196"/>
      <w:bookmarkStart w:id="3004" w:name="_Toc140144427"/>
      <w:r w:rsidRPr="003B63CB">
        <w:rPr>
          <w:rFonts w:hint="cs"/>
          <w:rtl/>
        </w:rPr>
        <w:t>בי' רש"י דצד נחש המלאכה היא הצידה עצמה דא"צ לה דאי ידע שלא  יכישו לא היה צדו כלל</w:t>
      </w:r>
      <w:bookmarkEnd w:id="3001"/>
      <w:bookmarkEnd w:id="3002"/>
      <w:bookmarkEnd w:id="3003"/>
      <w:bookmarkEnd w:id="3004"/>
    </w:p>
    <w:p w14:paraId="420ACAE0" w14:textId="2B4C272C" w:rsidR="002748A5" w:rsidRPr="003B63CB" w:rsidRDefault="002748A5" w:rsidP="00BC7DC8">
      <w:pPr>
        <w:pStyle w:val="a3"/>
        <w:rPr>
          <w:rtl/>
        </w:rPr>
      </w:pPr>
      <w:bookmarkStart w:id="3005" w:name="_Ref140074128"/>
      <w:r w:rsidRPr="003B63CB">
        <w:rPr>
          <w:rFonts w:hint="cs"/>
          <w:rtl/>
        </w:rPr>
        <w:t xml:space="preserve">ובצד נחש, ביאר </w:t>
      </w:r>
      <w:r>
        <w:rPr>
          <w:rFonts w:hint="cs"/>
          <w:vanish/>
          <w:rtl/>
        </w:rPr>
        <w:t xml:space="preserve">&lt;, </w:t>
      </w:r>
      <w:r>
        <w:rPr>
          <w:vanish/>
          <w:rtl/>
        </w:rPr>
        <w:fldChar w:fldCharType="begin"/>
      </w:r>
      <w:r>
        <w:rPr>
          <w:vanish/>
          <w:rtl/>
        </w:rPr>
        <w:instrText xml:space="preserve"> </w:instrText>
      </w:r>
      <w:r>
        <w:rPr>
          <w:rFonts w:hint="cs"/>
          <w:vanish/>
        </w:rPr>
        <w:instrText>REF</w:instrText>
      </w:r>
      <w:r>
        <w:rPr>
          <w:rFonts w:hint="cs"/>
          <w:vanish/>
          <w:rtl/>
        </w:rPr>
        <w:instrText xml:space="preserve"> _</w:instrText>
      </w:r>
      <w:r>
        <w:rPr>
          <w:rFonts w:hint="cs"/>
          <w:vanish/>
        </w:rPr>
        <w:instrText>Ref140074128 \r \h</w:instrText>
      </w:r>
      <w:r>
        <w:rPr>
          <w:vanish/>
          <w:rtl/>
        </w:rPr>
        <w:instrText xml:space="preserve"> </w:instrText>
      </w:r>
      <w:r>
        <w:rPr>
          <w:vanish/>
          <w:rtl/>
        </w:rPr>
      </w:r>
      <w:r>
        <w:rPr>
          <w:vanish/>
          <w:rtl/>
        </w:rPr>
        <w:fldChar w:fldCharType="separate"/>
      </w:r>
      <w:r w:rsidR="00D82181">
        <w:rPr>
          <w:vanish/>
          <w:cs/>
        </w:rPr>
        <w:t>‎</w:t>
      </w:r>
      <w:r w:rsidR="00D82181">
        <w:rPr>
          <w:vanish/>
          <w:rtl/>
        </w:rPr>
        <w:t>ו)</w:t>
      </w:r>
      <w:r>
        <w:rPr>
          <w:vanish/>
          <w:rtl/>
        </w:rPr>
        <w:fldChar w:fldCharType="end"/>
      </w:r>
      <w:r>
        <w:rPr>
          <w:rFonts w:hint="cs"/>
          <w:vanish/>
          <w:rtl/>
        </w:rPr>
        <w:t xml:space="preserve"> &gt;</w:t>
      </w:r>
      <w:r w:rsidRPr="003B63CB">
        <w:rPr>
          <w:rFonts w:hint="cs"/>
          <w:vanish/>
          <w:rtl/>
        </w:rPr>
        <w:t>-</w:t>
      </w:r>
      <w:r w:rsidRPr="003B63CB">
        <w:rPr>
          <w:rStyle w:val="aff4"/>
          <w:rFonts w:hint="cs"/>
          <w:rtl/>
        </w:rPr>
        <w:t>רש"י</w:t>
      </w:r>
      <w:r w:rsidRPr="003B63CB">
        <w:rPr>
          <w:rFonts w:hint="cs"/>
          <w:vanish/>
          <w:rtl/>
        </w:rPr>
        <w:t>-</w:t>
      </w:r>
      <w:r w:rsidRPr="003B63CB">
        <w:rPr>
          <w:rFonts w:hint="cs"/>
          <w:rtl/>
        </w:rPr>
        <w:t xml:space="preserve"> </w:t>
      </w:r>
      <w:r w:rsidRPr="003B63CB">
        <w:rPr>
          <w:rStyle w:val="af2"/>
          <w:rFonts w:eastAsia="Guttman Hodes" w:hint="cs"/>
          <w:rtl/>
        </w:rPr>
        <w:t>(קז: ד"ה הצד)</w:t>
      </w:r>
      <w:r w:rsidRPr="003B63CB">
        <w:rPr>
          <w:rFonts w:hint="cs"/>
          <w:vanish/>
          <w:rtl/>
        </w:rPr>
        <w:t>=</w:t>
      </w:r>
      <w:r w:rsidRPr="003B63CB">
        <w:rPr>
          <w:rFonts w:hint="cs"/>
          <w:rtl/>
        </w:rPr>
        <w:t xml:space="preserve"> דהמלאכה היא הצידה, והוא א"צ את הצידה עצמה, אלא שהנחש לא יכישו, ואם היה יודע שהנחש יעמוד ולא יזיק אותו לא היה צד כלל.</w:t>
      </w:r>
      <w:bookmarkEnd w:id="2999"/>
      <w:bookmarkEnd w:id="3005"/>
    </w:p>
    <w:p w14:paraId="3315D708" w14:textId="77777777" w:rsidR="002748A5" w:rsidRPr="00747170" w:rsidRDefault="002748A5" w:rsidP="00747170">
      <w:pPr>
        <w:pStyle w:val="a2"/>
        <w:rPr>
          <w:rtl/>
        </w:rPr>
      </w:pPr>
      <w:r w:rsidRPr="00747170">
        <w:rPr>
          <w:rtl/>
        </w:rPr>
        <w:t>הצד נחש - נמי הצידה היא המלאכה, וזה אינו צריך לצידה אלא שלא תשכנו, ואם יודע שתעמוד ולא תזיקנו - לא היה צד.</w:t>
      </w:r>
    </w:p>
    <w:p w14:paraId="67E717B5" w14:textId="77777777" w:rsidR="002748A5" w:rsidRPr="003B63CB" w:rsidRDefault="002748A5" w:rsidP="002748A5">
      <w:pPr>
        <w:pStyle w:val="1"/>
        <w:rPr>
          <w:rtl/>
        </w:rPr>
      </w:pPr>
      <w:bookmarkStart w:id="3006" w:name="_Toc140074148"/>
      <w:bookmarkStart w:id="3007" w:name="_Toc140091997"/>
      <w:bookmarkStart w:id="3008" w:name="_Toc140144197"/>
      <w:bookmarkStart w:id="3009" w:name="_Toc140144428"/>
      <w:r w:rsidRPr="003B63CB">
        <w:rPr>
          <w:rFonts w:hint="cs"/>
          <w:rtl/>
        </w:rPr>
        <w:t>בי' רש"י במורסא וגומא דא"צ שהפתח והבנין ישארו אח"כ</w:t>
      </w:r>
      <w:bookmarkEnd w:id="3006"/>
      <w:bookmarkEnd w:id="3007"/>
      <w:bookmarkEnd w:id="3008"/>
      <w:bookmarkEnd w:id="3009"/>
    </w:p>
    <w:p w14:paraId="278577BC" w14:textId="77777777" w:rsidR="002748A5" w:rsidRPr="00C12F78" w:rsidRDefault="002748A5" w:rsidP="002748A5">
      <w:pPr>
        <w:pStyle w:val="afffff7"/>
        <w:rPr>
          <w:rtl/>
        </w:rPr>
      </w:pPr>
      <w:bookmarkStart w:id="3010" w:name="_Toc140074249"/>
      <w:bookmarkStart w:id="3011" w:name="_Toc140144344"/>
      <w:bookmarkStart w:id="3012" w:name="_Toc140144820"/>
      <w:bookmarkStart w:id="3013" w:name="_Toc163505935"/>
      <w:r w:rsidRPr="00C12F78">
        <w:rPr>
          <w:rtl/>
        </w:rPr>
        <w:t>רש"י שבת ק"ז ע"ב</w:t>
      </w:r>
      <w:r w:rsidRPr="00C12F78">
        <w:rPr>
          <w:rFonts w:hint="cs"/>
          <w:rtl/>
        </w:rPr>
        <w:t xml:space="preserve"> ד"ה להוציא</w:t>
      </w:r>
      <w:bookmarkEnd w:id="3010"/>
      <w:bookmarkEnd w:id="3011"/>
      <w:r w:rsidRPr="00C12F78">
        <w:rPr>
          <w:rtl/>
        </w:rPr>
        <w:t xml:space="preserve"> (ח)</w:t>
      </w:r>
      <w:bookmarkEnd w:id="3012"/>
      <w:bookmarkEnd w:id="3013"/>
    </w:p>
    <w:p w14:paraId="464F403D" w14:textId="77777777" w:rsidR="002748A5" w:rsidRPr="003B63CB" w:rsidRDefault="002748A5" w:rsidP="002748A5">
      <w:pPr>
        <w:pStyle w:val="a7"/>
        <w:rPr>
          <w:rtl/>
        </w:rPr>
      </w:pPr>
      <w:bookmarkStart w:id="3014" w:name="_Toc140074149"/>
      <w:bookmarkStart w:id="3015" w:name="_Toc140091998"/>
      <w:bookmarkStart w:id="3016" w:name="_Toc140144198"/>
      <w:bookmarkStart w:id="3017" w:name="_Toc140144429"/>
      <w:r w:rsidRPr="003B63CB">
        <w:rPr>
          <w:rFonts w:hint="cs"/>
          <w:rtl/>
        </w:rPr>
        <w:t>בי' רש"י דמפיס מורסא להוציא ליחה הוי משאצל"ג דהמלאכה בפתח ואח"כ א"צ שהפתח ישאר</w:t>
      </w:r>
      <w:bookmarkEnd w:id="3014"/>
      <w:bookmarkEnd w:id="3015"/>
      <w:bookmarkEnd w:id="3016"/>
      <w:bookmarkEnd w:id="3017"/>
    </w:p>
    <w:p w14:paraId="69602EF0" w14:textId="226E5BF4" w:rsidR="002748A5" w:rsidRPr="003B63CB" w:rsidRDefault="002748A5" w:rsidP="00BC7DC8">
      <w:pPr>
        <w:pStyle w:val="a3"/>
      </w:pPr>
      <w:bookmarkStart w:id="3018" w:name="_Ref140077126"/>
      <w:bookmarkStart w:id="3019" w:name="_Ref139635163"/>
      <w:r w:rsidRPr="003B63CB">
        <w:rPr>
          <w:rFonts w:hint="cs"/>
          <w:rtl/>
        </w:rPr>
        <w:t xml:space="preserve">ובהא דאמרינן בגמ' </w:t>
      </w:r>
      <w:r w:rsidRPr="003B63CB">
        <w:rPr>
          <w:rStyle w:val="af2"/>
          <w:rFonts w:eastAsia="Guttman Hodes" w:hint="cs"/>
          <w:rtl/>
        </w:rPr>
        <w:t>(קז:)</w:t>
      </w:r>
      <w:r w:rsidRPr="003B63CB">
        <w:rPr>
          <w:rFonts w:hint="cs"/>
          <w:rtl/>
        </w:rPr>
        <w:t xml:space="preserve"> </w:t>
      </w:r>
      <w:bookmarkStart w:id="3020" w:name="_Hlk139748783"/>
      <w:r w:rsidRPr="003B63CB">
        <w:rPr>
          <w:rFonts w:hint="cs"/>
          <w:rtl/>
        </w:rPr>
        <w:t xml:space="preserve">דהמפיס מורסא להוציא לחה הוי מלאכה שאינה צריכה לגופה, ביאר </w:t>
      </w:r>
      <w:r w:rsidRPr="003B63CB">
        <w:rPr>
          <w:rFonts w:hint="cs"/>
          <w:vanish/>
          <w:rtl/>
        </w:rPr>
        <w:t xml:space="preserve">&lt;, </w:t>
      </w:r>
      <w:r w:rsidRPr="003B63CB">
        <w:rPr>
          <w:vanish/>
          <w:rtl/>
        </w:rPr>
        <w:fldChar w:fldCharType="begin"/>
      </w:r>
      <w:r w:rsidRPr="003B63CB">
        <w:rPr>
          <w:vanish/>
          <w:rtl/>
        </w:rPr>
        <w:instrText xml:space="preserve"> </w:instrText>
      </w:r>
      <w:r w:rsidRPr="003B63CB">
        <w:rPr>
          <w:rFonts w:hint="cs"/>
          <w:vanish/>
        </w:rPr>
        <w:instrText>REF</w:instrText>
      </w:r>
      <w:r w:rsidRPr="003B63CB">
        <w:rPr>
          <w:rFonts w:hint="cs"/>
          <w:vanish/>
          <w:rtl/>
        </w:rPr>
        <w:instrText xml:space="preserve"> _</w:instrText>
      </w:r>
      <w:r w:rsidRPr="003B63CB">
        <w:rPr>
          <w:rFonts w:hint="cs"/>
          <w:vanish/>
        </w:rPr>
        <w:instrText>Ref139635163 \r \h</w:instrText>
      </w:r>
      <w:r w:rsidRPr="003B63CB">
        <w:rPr>
          <w:vanish/>
          <w:rtl/>
        </w:rPr>
        <w:instrText xml:space="preserve">  \* </w:instrText>
      </w:r>
      <w:r w:rsidRPr="003B63CB">
        <w:rPr>
          <w:vanish/>
        </w:rPr>
        <w:instrText>MERGEFORMAT</w:instrText>
      </w:r>
      <w:r w:rsidRPr="003B63CB">
        <w:rPr>
          <w:vanish/>
          <w:rtl/>
        </w:rPr>
        <w:instrText xml:space="preserve"> </w:instrText>
      </w:r>
      <w:r w:rsidRPr="003B63CB">
        <w:rPr>
          <w:vanish/>
          <w:rtl/>
        </w:rPr>
      </w:r>
      <w:r w:rsidRPr="003B63CB">
        <w:rPr>
          <w:vanish/>
          <w:rtl/>
        </w:rPr>
        <w:fldChar w:fldCharType="separate"/>
      </w:r>
      <w:r w:rsidR="00D82181">
        <w:rPr>
          <w:vanish/>
          <w:cs/>
        </w:rPr>
        <w:t>‎</w:t>
      </w:r>
      <w:r w:rsidR="00D82181">
        <w:rPr>
          <w:vanish/>
          <w:rtl/>
        </w:rPr>
        <w:t>ז)</w:t>
      </w:r>
      <w:r w:rsidRPr="003B63CB">
        <w:rPr>
          <w:vanish/>
          <w:rtl/>
        </w:rPr>
        <w:fldChar w:fldCharType="end"/>
      </w:r>
      <w:r w:rsidRPr="003B63CB">
        <w:rPr>
          <w:rFonts w:hint="cs"/>
          <w:vanish/>
          <w:rtl/>
        </w:rPr>
        <w:t xml:space="preserve"> &gt;</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w:t>
      </w:r>
      <w:r w:rsidRPr="003B63CB">
        <w:rPr>
          <w:rStyle w:val="af2"/>
          <w:rFonts w:eastAsia="Guttman Hodes" w:hint="cs"/>
          <w:rtl/>
        </w:rPr>
        <w:t>(קז: ד"ה להוציא)</w:t>
      </w:r>
      <w:r w:rsidRPr="003B63CB">
        <w:rPr>
          <w:rFonts w:hint="cs"/>
          <w:vanish/>
          <w:rtl/>
        </w:rPr>
        <w:t>=</w:t>
      </w:r>
      <w:r w:rsidRPr="003B63CB">
        <w:rPr>
          <w:rFonts w:hint="cs"/>
          <w:rtl/>
        </w:rPr>
        <w:t xml:space="preserve"> דהמלאכה היא עשיית הפתח, וכיון שהוציא את הלחה א"צ שהפתח ישאר פתוח מעכשיו</w:t>
      </w:r>
      <w:bookmarkEnd w:id="3020"/>
      <w:r w:rsidRPr="003B63CB">
        <w:rPr>
          <w:rFonts w:hint="cs"/>
          <w:rtl/>
        </w:rPr>
        <w:t xml:space="preserve">, ועי' במ"ש </w:t>
      </w:r>
      <w:r w:rsidRPr="003B63CB">
        <w:rPr>
          <w:rStyle w:val="aff4"/>
          <w:rFonts w:hint="cs"/>
          <w:vanish/>
          <w:rtl/>
        </w:rPr>
        <w:t>-</w:t>
      </w:r>
      <w:r w:rsidRPr="003B63CB">
        <w:rPr>
          <w:rStyle w:val="aff4"/>
          <w:rFonts w:hint="cs"/>
          <w:rtl/>
        </w:rPr>
        <w:t>המרכבת המשנה</w:t>
      </w:r>
      <w:r w:rsidRPr="003B63CB">
        <w:rPr>
          <w:rStyle w:val="aff4"/>
          <w:rFonts w:hint="cs"/>
          <w:vanish/>
          <w:rtl/>
        </w:rPr>
        <w:t>-</w:t>
      </w:r>
      <w:r w:rsidRPr="003B63CB">
        <w:rPr>
          <w:rFonts w:hint="cs"/>
          <w:rtl/>
        </w:rPr>
        <w:t xml:space="preserve"> </w:t>
      </w:r>
      <w:r w:rsidRPr="003B63CB">
        <w:rPr>
          <w:rStyle w:val="af2"/>
          <w:rFonts w:eastAsia="Guttman Hodes" w:hint="cs"/>
          <w:rtl/>
        </w:rPr>
        <w:t>(עי' אות</w:t>
      </w:r>
      <w:r w:rsidRPr="003B63CB">
        <w:rPr>
          <w:rStyle w:val="af2"/>
          <w:rFonts w:eastAsia="Guttman Hodes"/>
          <w:rtl/>
        </w:rPr>
        <w:t xml:space="preserve"> </w:t>
      </w:r>
      <w:r w:rsidRPr="003B63CB">
        <w:rPr>
          <w:rStyle w:val="af2"/>
          <w:rFonts w:eastAsia="Guttman Hodes"/>
          <w:rtl/>
        </w:rPr>
        <w:fldChar w:fldCharType="begin"/>
      </w:r>
      <w:r w:rsidRPr="003B63CB">
        <w:rPr>
          <w:rStyle w:val="af2"/>
          <w:rFonts w:eastAsia="Guttman Hodes"/>
          <w:rtl/>
        </w:rPr>
        <w:instrText xml:space="preserve"> </w:instrText>
      </w:r>
      <w:r w:rsidRPr="003B63CB">
        <w:rPr>
          <w:rStyle w:val="af2"/>
          <w:rFonts w:eastAsia="Guttman Hodes" w:hint="cs"/>
        </w:rPr>
        <w:instrText>REF</w:instrText>
      </w:r>
      <w:r w:rsidRPr="003B63CB">
        <w:rPr>
          <w:rStyle w:val="af2"/>
          <w:rFonts w:eastAsia="Guttman Hodes" w:hint="cs"/>
          <w:rtl/>
        </w:rPr>
        <w:instrText xml:space="preserve"> _</w:instrText>
      </w:r>
      <w:r w:rsidRPr="003B63CB">
        <w:rPr>
          <w:rStyle w:val="af2"/>
          <w:rFonts w:eastAsia="Guttman Hodes" w:hint="cs"/>
        </w:rPr>
        <w:instrText>Ref140053335 \r \h</w:instrText>
      </w:r>
      <w:r w:rsidRPr="003B63CB">
        <w:rPr>
          <w:rStyle w:val="af2"/>
          <w:rFonts w:eastAsia="Guttman Hodes"/>
          <w:rtl/>
        </w:rPr>
        <w:instrText xml:space="preserve">  \* </w:instrText>
      </w:r>
      <w:r w:rsidRPr="003B63CB">
        <w:rPr>
          <w:rStyle w:val="af2"/>
          <w:rFonts w:eastAsia="Guttman Hodes"/>
        </w:rPr>
        <w:instrText>MERGEFORMAT</w:instrText>
      </w:r>
      <w:r w:rsidRPr="003B63CB">
        <w:rPr>
          <w:rStyle w:val="af2"/>
          <w:rFonts w:eastAsia="Guttman Hodes"/>
          <w:rtl/>
        </w:rPr>
        <w:instrText xml:space="preserve"> </w:instrText>
      </w:r>
      <w:r w:rsidRPr="003B63CB">
        <w:rPr>
          <w:rStyle w:val="af2"/>
          <w:rFonts w:eastAsia="Guttman Hodes"/>
          <w:rtl/>
        </w:rPr>
      </w:r>
      <w:r w:rsidRPr="003B63CB">
        <w:rPr>
          <w:rStyle w:val="af2"/>
          <w:rFonts w:eastAsia="Guttman Hodes"/>
          <w:rtl/>
        </w:rPr>
        <w:fldChar w:fldCharType="separate"/>
      </w:r>
      <w:r w:rsidR="00D82181">
        <w:rPr>
          <w:rStyle w:val="af2"/>
          <w:rFonts w:eastAsia="Guttman Hodes"/>
          <w:cs/>
        </w:rPr>
        <w:t>‎</w:t>
      </w:r>
      <w:r w:rsidR="00D82181">
        <w:rPr>
          <w:rStyle w:val="af2"/>
          <w:rFonts w:eastAsia="Guttman Hodes"/>
          <w:rtl/>
        </w:rPr>
        <w:t>מד)</w:t>
      </w:r>
      <w:r w:rsidRPr="003B63CB">
        <w:rPr>
          <w:rStyle w:val="af2"/>
          <w:rFonts w:eastAsia="Guttman Hodes"/>
          <w:rtl/>
        </w:rPr>
        <w:fldChar w:fldCharType="end"/>
      </w:r>
      <w:r w:rsidRPr="003B63CB">
        <w:rPr>
          <w:rFonts w:hint="cs"/>
          <w:rtl/>
        </w:rPr>
        <w:t xml:space="preserve"> דכוונת </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לומר דזהו עיקר הטעם במלאכה שאינה צריכה לגופה, ולא מחמת דאינו רוצה במלאכה.</w:t>
      </w:r>
      <w:bookmarkEnd w:id="3018"/>
    </w:p>
    <w:p w14:paraId="29F591AB" w14:textId="77777777" w:rsidR="002748A5" w:rsidRPr="00747170" w:rsidRDefault="002748A5" w:rsidP="00747170">
      <w:pPr>
        <w:pStyle w:val="a2"/>
        <w:rPr>
          <w:rtl/>
        </w:rPr>
      </w:pPr>
      <w:r w:rsidRPr="00747170">
        <w:rPr>
          <w:rtl/>
        </w:rPr>
        <w:t>להוציא ממנה לחה - מלאכה שאינה צריכה לגופה היא, שהפתח היא המלאכה, וזה אין צריך להיות כאן פתח מעכשיו.</w:t>
      </w:r>
    </w:p>
    <w:p w14:paraId="4CE216DA" w14:textId="77777777" w:rsidR="002748A5" w:rsidRPr="00C12F78" w:rsidRDefault="002748A5" w:rsidP="002748A5">
      <w:pPr>
        <w:pStyle w:val="afffff7"/>
        <w:rPr>
          <w:rtl/>
        </w:rPr>
      </w:pPr>
      <w:bookmarkStart w:id="3021" w:name="_Toc140074250"/>
      <w:bookmarkStart w:id="3022" w:name="_Toc140144345"/>
      <w:bookmarkStart w:id="3023" w:name="_Toc140144821"/>
      <w:bookmarkStart w:id="3024" w:name="_Toc163505936"/>
      <w:bookmarkEnd w:id="3019"/>
      <w:r w:rsidRPr="00C12F78">
        <w:rPr>
          <w:rtl/>
        </w:rPr>
        <w:t>רש"י חגיגה י' ע"א</w:t>
      </w:r>
      <w:r w:rsidRPr="00C12F78">
        <w:rPr>
          <w:rFonts w:hint="cs"/>
          <w:rtl/>
        </w:rPr>
        <w:t xml:space="preserve"> ד"ה חופר, שאינה</w:t>
      </w:r>
      <w:bookmarkEnd w:id="3021"/>
      <w:bookmarkEnd w:id="3022"/>
      <w:r w:rsidRPr="00C12F78">
        <w:rPr>
          <w:rtl/>
        </w:rPr>
        <w:t xml:space="preserve"> (ח)</w:t>
      </w:r>
      <w:bookmarkEnd w:id="3023"/>
      <w:bookmarkEnd w:id="3024"/>
    </w:p>
    <w:p w14:paraId="189378D9" w14:textId="77777777" w:rsidR="002748A5" w:rsidRPr="003B63CB" w:rsidRDefault="002748A5" w:rsidP="002748A5">
      <w:pPr>
        <w:pStyle w:val="a7"/>
        <w:rPr>
          <w:rtl/>
        </w:rPr>
      </w:pPr>
      <w:bookmarkStart w:id="3025" w:name="_Toc140074150"/>
      <w:bookmarkStart w:id="3026" w:name="_Toc140091999"/>
      <w:bookmarkStart w:id="3027" w:name="_Toc140144199"/>
      <w:bookmarkStart w:id="3028" w:name="_Toc140144430"/>
      <w:r w:rsidRPr="003B63CB">
        <w:rPr>
          <w:rFonts w:hint="cs"/>
          <w:rtl/>
        </w:rPr>
        <w:t>בי' רש"י בחגיגה דחופר גומא לעפרה שא"צ לבנין שבונה אינו חייב משום בונה אעפ"י דבנה</w:t>
      </w:r>
      <w:bookmarkEnd w:id="3025"/>
      <w:bookmarkEnd w:id="3026"/>
      <w:bookmarkEnd w:id="3027"/>
      <w:bookmarkEnd w:id="3028"/>
    </w:p>
    <w:p w14:paraId="6C8FD387" w14:textId="34DA80F0" w:rsidR="002748A5" w:rsidRPr="003B63CB" w:rsidRDefault="002748A5" w:rsidP="00BC7DC8">
      <w:pPr>
        <w:pStyle w:val="a3"/>
        <w:rPr>
          <w:rtl/>
        </w:rPr>
      </w:pPr>
      <w:bookmarkStart w:id="3029" w:name="_Ref139748980"/>
      <w:bookmarkStart w:id="3030" w:name="_Hlk139748866"/>
      <w:r w:rsidRPr="003B63CB">
        <w:rPr>
          <w:rFonts w:hint="cs"/>
          <w:rtl/>
        </w:rPr>
        <w:t xml:space="preserve">כתב </w:t>
      </w:r>
      <w:r w:rsidRPr="003B63CB">
        <w:rPr>
          <w:rFonts w:hint="cs"/>
          <w:vanish/>
          <w:rtl/>
        </w:rPr>
        <w:t xml:space="preserve">&lt;, </w:t>
      </w:r>
      <w:r w:rsidRPr="003B63CB">
        <w:rPr>
          <w:vanish/>
          <w:rtl/>
        </w:rPr>
        <w:fldChar w:fldCharType="begin"/>
      </w:r>
      <w:r w:rsidRPr="003B63CB">
        <w:rPr>
          <w:vanish/>
          <w:rtl/>
        </w:rPr>
        <w:instrText xml:space="preserve"> </w:instrText>
      </w:r>
      <w:r w:rsidRPr="003B63CB">
        <w:rPr>
          <w:rFonts w:hint="cs"/>
          <w:vanish/>
        </w:rPr>
        <w:instrText>REF</w:instrText>
      </w:r>
      <w:r w:rsidRPr="003B63CB">
        <w:rPr>
          <w:rFonts w:hint="cs"/>
          <w:vanish/>
          <w:rtl/>
        </w:rPr>
        <w:instrText xml:space="preserve"> _</w:instrText>
      </w:r>
      <w:r w:rsidRPr="003B63CB">
        <w:rPr>
          <w:rFonts w:hint="cs"/>
          <w:vanish/>
        </w:rPr>
        <w:instrText>Ref139748980 \r \h</w:instrText>
      </w:r>
      <w:r w:rsidRPr="003B63CB">
        <w:rPr>
          <w:vanish/>
          <w:rtl/>
        </w:rPr>
        <w:instrText xml:space="preserve">  \* </w:instrText>
      </w:r>
      <w:r w:rsidRPr="003B63CB">
        <w:rPr>
          <w:vanish/>
        </w:rPr>
        <w:instrText>MERGEFORMAT</w:instrText>
      </w:r>
      <w:r w:rsidRPr="003B63CB">
        <w:rPr>
          <w:vanish/>
          <w:rtl/>
        </w:rPr>
        <w:instrText xml:space="preserve"> </w:instrText>
      </w:r>
      <w:r w:rsidRPr="003B63CB">
        <w:rPr>
          <w:vanish/>
          <w:rtl/>
        </w:rPr>
      </w:r>
      <w:r w:rsidRPr="003B63CB">
        <w:rPr>
          <w:vanish/>
          <w:rtl/>
        </w:rPr>
        <w:fldChar w:fldCharType="separate"/>
      </w:r>
      <w:r w:rsidR="00D82181">
        <w:rPr>
          <w:vanish/>
          <w:cs/>
        </w:rPr>
        <w:t>‎</w:t>
      </w:r>
      <w:r w:rsidR="00D82181">
        <w:rPr>
          <w:vanish/>
          <w:rtl/>
        </w:rPr>
        <w:t>ח)</w:t>
      </w:r>
      <w:r w:rsidRPr="003B63CB">
        <w:rPr>
          <w:vanish/>
          <w:rtl/>
        </w:rPr>
        <w:fldChar w:fldCharType="end"/>
      </w:r>
      <w:r w:rsidRPr="003B63CB">
        <w:rPr>
          <w:rFonts w:hint="cs"/>
          <w:vanish/>
          <w:rtl/>
        </w:rPr>
        <w:t xml:space="preserve"> &gt;</w:t>
      </w:r>
      <w:r w:rsidRPr="003B63CB">
        <w:rPr>
          <w:rStyle w:val="aff4"/>
          <w:rFonts w:hint="cs"/>
          <w:vanish/>
          <w:rtl/>
        </w:rPr>
        <w:t>-</w:t>
      </w:r>
      <w:r w:rsidRPr="003B63CB">
        <w:rPr>
          <w:rStyle w:val="aff4"/>
          <w:rFonts w:hint="cs"/>
          <w:rtl/>
        </w:rPr>
        <w:t>רש"י בחגיגה</w:t>
      </w:r>
      <w:r w:rsidRPr="003B63CB">
        <w:rPr>
          <w:rStyle w:val="aff4"/>
          <w:rFonts w:hint="cs"/>
          <w:vanish/>
          <w:rtl/>
        </w:rPr>
        <w:t>-</w:t>
      </w:r>
      <w:r w:rsidRPr="003B63CB">
        <w:rPr>
          <w:rFonts w:hint="cs"/>
          <w:rtl/>
        </w:rPr>
        <w:t xml:space="preserve"> </w:t>
      </w:r>
      <w:r w:rsidRPr="003B63CB">
        <w:rPr>
          <w:rStyle w:val="af2"/>
          <w:rFonts w:eastAsia="Guttman Hodes" w:hint="cs"/>
          <w:rtl/>
        </w:rPr>
        <w:t>(י. ד"ה חופר, ד"ה שאינה)</w:t>
      </w:r>
      <w:r w:rsidRPr="003B63CB">
        <w:rPr>
          <w:rFonts w:hint="cs"/>
          <w:vanish/>
          <w:rtl/>
        </w:rPr>
        <w:t>=</w:t>
      </w:r>
      <w:r w:rsidRPr="003B63CB">
        <w:rPr>
          <w:rFonts w:hint="cs"/>
          <w:rtl/>
        </w:rPr>
        <w:t xml:space="preserve"> דחופר גומא הוא בונה בנין, וכל שא"צ לגומא אלא ליטול את העפר, אף שהבנין בנוי אינו חייב משום בונה, וביאר </w:t>
      </w:r>
      <w:r w:rsidRPr="003B63CB">
        <w:rPr>
          <w:rStyle w:val="aff4"/>
          <w:rFonts w:hint="cs"/>
          <w:vanish/>
          <w:rtl/>
        </w:rPr>
        <w:t>-</w:t>
      </w:r>
      <w:r w:rsidRPr="003B63CB">
        <w:rPr>
          <w:rStyle w:val="aff4"/>
          <w:rFonts w:hint="cs"/>
          <w:rtl/>
        </w:rPr>
        <w:t>רש"י בחגיגה</w:t>
      </w:r>
      <w:r w:rsidRPr="003B63CB">
        <w:rPr>
          <w:rStyle w:val="aff4"/>
          <w:rFonts w:hint="cs"/>
          <w:vanish/>
          <w:rtl/>
        </w:rPr>
        <w:t>-</w:t>
      </w:r>
      <w:r w:rsidRPr="003B63CB">
        <w:rPr>
          <w:rFonts w:hint="cs"/>
          <w:rtl/>
        </w:rPr>
        <w:t xml:space="preserve"> דהיא מלאכה שאינה צריכה לגופה כיון שאינו צריך לבנין הזה.</w:t>
      </w:r>
      <w:bookmarkEnd w:id="3029"/>
    </w:p>
    <w:bookmarkEnd w:id="3030"/>
    <w:p w14:paraId="64B2D2CF" w14:textId="77777777" w:rsidR="002748A5" w:rsidRPr="00747170" w:rsidRDefault="002748A5" w:rsidP="00747170">
      <w:pPr>
        <w:pStyle w:val="a2"/>
      </w:pPr>
      <w:r w:rsidRPr="00747170">
        <w:rPr>
          <w:rtl/>
        </w:rPr>
        <w:t>חופר גומא - בונה בנין הוא, ואם אינו צריך לה אלא ליטול את העפר, אף על פי שהבנין בנוי - אינו חייב משום בונה.</w:t>
      </w:r>
    </w:p>
    <w:p w14:paraId="3B4E3746" w14:textId="77777777" w:rsidR="002748A5" w:rsidRPr="00695703" w:rsidRDefault="002748A5" w:rsidP="00747170">
      <w:pPr>
        <w:pStyle w:val="afffff5"/>
        <w:rPr>
          <w:rtl/>
        </w:rPr>
      </w:pPr>
      <w:r w:rsidRPr="00695703">
        <w:rPr>
          <w:rtl/>
        </w:rPr>
        <w:t>שאינה צריכה לגופה - כגון זה שאינו צריך לבנין זה</w:t>
      </w:r>
      <w:r w:rsidRPr="00695703">
        <w:rPr>
          <w:rFonts w:hint="cs"/>
          <w:rtl/>
        </w:rPr>
        <w:t>.</w:t>
      </w:r>
    </w:p>
    <w:p w14:paraId="42AB5DBC" w14:textId="77777777" w:rsidR="002748A5" w:rsidRPr="00C12F78" w:rsidRDefault="002748A5" w:rsidP="002748A5">
      <w:pPr>
        <w:pStyle w:val="afffff7"/>
        <w:rPr>
          <w:rtl/>
        </w:rPr>
      </w:pPr>
      <w:bookmarkStart w:id="3031" w:name="_Toc140074251"/>
      <w:bookmarkStart w:id="3032" w:name="_Toc140144346"/>
      <w:bookmarkStart w:id="3033" w:name="_Toc140144822"/>
      <w:bookmarkStart w:id="3034" w:name="_Toc163505937"/>
      <w:r w:rsidRPr="00C12F78">
        <w:rPr>
          <w:rtl/>
        </w:rPr>
        <w:t>רש"י שבת ע"ג ע"ב</w:t>
      </w:r>
      <w:r w:rsidRPr="00C12F78">
        <w:rPr>
          <w:rFonts w:hint="cs"/>
          <w:rtl/>
        </w:rPr>
        <w:t xml:space="preserve"> ד</w:t>
      </w:r>
      <w:r w:rsidRPr="00C12F78">
        <w:rPr>
          <w:rFonts w:cs="Guttman Hodes" w:hint="cs"/>
          <w:rtl/>
        </w:rPr>
        <w:t>"</w:t>
      </w:r>
      <w:r w:rsidRPr="00C12F78">
        <w:rPr>
          <w:rFonts w:hint="cs"/>
          <w:rtl/>
        </w:rPr>
        <w:t>ה פטור, מתקן, מקלקל</w:t>
      </w:r>
      <w:bookmarkEnd w:id="3031"/>
      <w:bookmarkEnd w:id="3032"/>
      <w:r w:rsidRPr="00C12F78">
        <w:rPr>
          <w:rtl/>
        </w:rPr>
        <w:t xml:space="preserve"> (ח)</w:t>
      </w:r>
      <w:bookmarkEnd w:id="3033"/>
      <w:bookmarkEnd w:id="3034"/>
    </w:p>
    <w:p w14:paraId="4337BEF4" w14:textId="77777777" w:rsidR="002748A5" w:rsidRPr="00C12F78" w:rsidRDefault="002748A5" w:rsidP="002748A5">
      <w:pPr>
        <w:pStyle w:val="afffff7"/>
        <w:rPr>
          <w:rtl/>
        </w:rPr>
      </w:pPr>
      <w:bookmarkStart w:id="3035" w:name="_Toc140074252"/>
      <w:bookmarkStart w:id="3036" w:name="_Toc140144347"/>
      <w:bookmarkStart w:id="3037" w:name="_Toc140144823"/>
      <w:bookmarkStart w:id="3038" w:name="_Toc140074151"/>
      <w:bookmarkStart w:id="3039" w:name="_Toc163505938"/>
      <w:r w:rsidRPr="00C12F78">
        <w:rPr>
          <w:rtl/>
        </w:rPr>
        <w:t>רש"י חגיגה י' ע"א</w:t>
      </w:r>
      <w:r w:rsidRPr="00C12F78">
        <w:rPr>
          <w:rFonts w:hint="cs"/>
          <w:rtl/>
        </w:rPr>
        <w:t xml:space="preserve"> ד"ה אפילו</w:t>
      </w:r>
      <w:bookmarkEnd w:id="3035"/>
      <w:bookmarkEnd w:id="3036"/>
      <w:r w:rsidRPr="00C12F78">
        <w:rPr>
          <w:rtl/>
        </w:rPr>
        <w:t xml:space="preserve"> (ח)</w:t>
      </w:r>
      <w:bookmarkEnd w:id="3037"/>
      <w:bookmarkEnd w:id="3039"/>
    </w:p>
    <w:p w14:paraId="4CA55F52" w14:textId="77777777" w:rsidR="002748A5" w:rsidRPr="003B63CB" w:rsidRDefault="002748A5" w:rsidP="002748A5">
      <w:pPr>
        <w:pStyle w:val="a7"/>
        <w:rPr>
          <w:rtl/>
        </w:rPr>
      </w:pPr>
      <w:bookmarkStart w:id="3040" w:name="_Toc140092000"/>
      <w:bookmarkStart w:id="3041" w:name="_Toc140144200"/>
      <w:bookmarkStart w:id="3042" w:name="_Toc140144431"/>
      <w:r w:rsidRPr="003B63CB">
        <w:rPr>
          <w:rFonts w:hint="cs"/>
          <w:rtl/>
        </w:rPr>
        <w:t>בי' רש"י דר"י מחייב במשאצל</w:t>
      </w:r>
      <w:r w:rsidRPr="003B63CB">
        <w:rPr>
          <w:rtl/>
        </w:rPr>
        <w:t>"</w:t>
      </w:r>
      <w:r w:rsidRPr="003B63CB">
        <w:rPr>
          <w:rFonts w:hint="cs"/>
          <w:rtl/>
        </w:rPr>
        <w:t>ג כמוציא מת דהוא מתקן אך מודה ר"י בחופר גומא דמלקלקל</w:t>
      </w:r>
      <w:bookmarkEnd w:id="3038"/>
      <w:bookmarkEnd w:id="3040"/>
      <w:bookmarkEnd w:id="3041"/>
      <w:bookmarkEnd w:id="3042"/>
    </w:p>
    <w:p w14:paraId="7F46ADF8" w14:textId="714CFC9B" w:rsidR="002748A5" w:rsidRPr="003B63CB" w:rsidRDefault="002748A5" w:rsidP="00BC7DC8">
      <w:pPr>
        <w:pStyle w:val="a3"/>
        <w:rPr>
          <w:rtl/>
        </w:rPr>
      </w:pPr>
      <w:bookmarkStart w:id="3043" w:name="_Ref139831891"/>
      <w:bookmarkStart w:id="3044" w:name="_Ref139447610"/>
      <w:r w:rsidRPr="003B63CB">
        <w:rPr>
          <w:rFonts w:hint="cs"/>
          <w:rtl/>
        </w:rPr>
        <w:t xml:space="preserve">בהא דאיתא בגמ' לעיל </w:t>
      </w:r>
      <w:r w:rsidRPr="003B63CB">
        <w:rPr>
          <w:rStyle w:val="af2"/>
          <w:rFonts w:eastAsia="Guttman Hodes" w:hint="cs"/>
          <w:rtl/>
        </w:rPr>
        <w:t>(עג:)</w:t>
      </w:r>
      <w:r w:rsidRPr="003B63CB">
        <w:rPr>
          <w:rFonts w:hint="cs"/>
          <w:rtl/>
        </w:rPr>
        <w:t xml:space="preserve"> דהחופר גומא וא"צ לעפרה פטור, ואף ר"י דמחייב במלאכה שאינה צריכה לגופה, היינו דוקא במתקן, אבל חופר גומא הוא מקלקל, ביאר </w:t>
      </w:r>
      <w:r w:rsidRPr="003B63CB">
        <w:rPr>
          <w:rFonts w:hint="cs"/>
          <w:vanish/>
          <w:rtl/>
        </w:rPr>
        <w:t xml:space="preserve">&lt;, </w:t>
      </w:r>
      <w:r w:rsidRPr="003B63CB">
        <w:rPr>
          <w:vanish/>
          <w:rtl/>
        </w:rPr>
        <w:fldChar w:fldCharType="begin"/>
      </w:r>
      <w:r w:rsidRPr="003B63CB">
        <w:rPr>
          <w:vanish/>
          <w:rtl/>
        </w:rPr>
        <w:instrText xml:space="preserve"> </w:instrText>
      </w:r>
      <w:r w:rsidRPr="003B63CB">
        <w:rPr>
          <w:rFonts w:hint="cs"/>
          <w:vanish/>
        </w:rPr>
        <w:instrText>REF</w:instrText>
      </w:r>
      <w:r w:rsidRPr="003B63CB">
        <w:rPr>
          <w:rFonts w:hint="cs"/>
          <w:vanish/>
          <w:rtl/>
        </w:rPr>
        <w:instrText xml:space="preserve"> _</w:instrText>
      </w:r>
      <w:r w:rsidRPr="003B63CB">
        <w:rPr>
          <w:rFonts w:hint="cs"/>
          <w:vanish/>
        </w:rPr>
        <w:instrText>Ref139831891 \r \h</w:instrText>
      </w:r>
      <w:r w:rsidRPr="003B63CB">
        <w:rPr>
          <w:vanish/>
          <w:rtl/>
        </w:rPr>
        <w:instrText xml:space="preserve">  \* </w:instrText>
      </w:r>
      <w:r w:rsidRPr="003B63CB">
        <w:rPr>
          <w:vanish/>
        </w:rPr>
        <w:instrText>MERGEFORMAT</w:instrText>
      </w:r>
      <w:r w:rsidRPr="003B63CB">
        <w:rPr>
          <w:vanish/>
          <w:rtl/>
        </w:rPr>
        <w:instrText xml:space="preserve"> </w:instrText>
      </w:r>
      <w:r w:rsidRPr="003B63CB">
        <w:rPr>
          <w:vanish/>
          <w:rtl/>
        </w:rPr>
      </w:r>
      <w:r w:rsidRPr="003B63CB">
        <w:rPr>
          <w:vanish/>
          <w:rtl/>
        </w:rPr>
        <w:fldChar w:fldCharType="separate"/>
      </w:r>
      <w:r w:rsidR="00D82181">
        <w:rPr>
          <w:vanish/>
          <w:cs/>
        </w:rPr>
        <w:t>‎</w:t>
      </w:r>
      <w:r w:rsidR="00D82181">
        <w:rPr>
          <w:vanish/>
          <w:rtl/>
        </w:rPr>
        <w:t>ט)</w:t>
      </w:r>
      <w:r w:rsidRPr="003B63CB">
        <w:rPr>
          <w:vanish/>
          <w:rtl/>
        </w:rPr>
        <w:fldChar w:fldCharType="end"/>
      </w:r>
      <w:r w:rsidRPr="003B63CB">
        <w:rPr>
          <w:rFonts w:hint="cs"/>
          <w:vanish/>
          <w:rtl/>
        </w:rPr>
        <w:t xml:space="preserve"> &gt;</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w:t>
      </w:r>
      <w:r w:rsidRPr="003B63CB">
        <w:rPr>
          <w:rStyle w:val="af2"/>
          <w:rFonts w:eastAsia="Guttman Hodes" w:hint="cs"/>
          <w:rtl/>
        </w:rPr>
        <w:t>(עג: ד"ה פטור)</w:t>
      </w:r>
      <w:r w:rsidRPr="003B63CB">
        <w:rPr>
          <w:rFonts w:hint="cs"/>
          <w:vanish/>
          <w:rtl/>
        </w:rPr>
        <w:t>=</w:t>
      </w:r>
      <w:r w:rsidRPr="003B63CB">
        <w:rPr>
          <w:rFonts w:hint="cs"/>
          <w:rtl/>
        </w:rPr>
        <w:t xml:space="preserve"> דבבית אין בזה חיוב משום בונה כיון דהוא מקלקל, ולזריעה ג"כ אינו ראוי, ובאופן דצריך את הגומא הוא חייב משום בונה,</w:t>
      </w:r>
      <w:bookmarkEnd w:id="3043"/>
      <w:r w:rsidRPr="003B63CB">
        <w:rPr>
          <w:rFonts w:hint="cs"/>
          <w:rtl/>
        </w:rPr>
        <w:t xml:space="preserve"> וכתב</w:t>
      </w:r>
      <w:r>
        <w:rPr>
          <w:rFonts w:hint="cs"/>
          <w:rtl/>
        </w:rPr>
        <w:t xml:space="preserve"> </w:t>
      </w:r>
      <w:r w:rsidRPr="003B63CB">
        <w:rPr>
          <w:rFonts w:hint="cs"/>
          <w:vanish/>
          <w:rtl/>
        </w:rPr>
        <w:t>&lt; &gt;</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w:t>
      </w:r>
      <w:r w:rsidRPr="003B63CB">
        <w:rPr>
          <w:rStyle w:val="af2"/>
          <w:rFonts w:eastAsia="Guttman Hodes" w:hint="cs"/>
          <w:rtl/>
        </w:rPr>
        <w:t>(עג: ד"ה מתקן)</w:t>
      </w:r>
      <w:r w:rsidRPr="003B63CB">
        <w:rPr>
          <w:rFonts w:hint="cs"/>
          <w:vanish/>
          <w:rtl/>
        </w:rPr>
        <w:t>=</w:t>
      </w:r>
      <w:r w:rsidRPr="003B63CB">
        <w:rPr>
          <w:rFonts w:hint="cs"/>
          <w:rtl/>
        </w:rPr>
        <w:t xml:space="preserve"> דהא דר"י מחייב במוציא את המת לקוברו דא"צ את גוף מלאכת ההוצאה וא"צ את המת, וכל המלאכה היא בכדי לפנות את ביתו, וביאר </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דמלאכת הוצאה שהיא מלאכה שצריכה לגופה, היינו כשצריך את החפץ שמוציא שיהיה במקום אחר, אבל בחופר גומא, ביאר </w:t>
      </w:r>
      <w:r w:rsidRPr="003B63CB">
        <w:rPr>
          <w:rFonts w:hint="cs"/>
          <w:vanish/>
          <w:rtl/>
        </w:rPr>
        <w:t>&lt; &gt;</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w:t>
      </w:r>
      <w:r w:rsidRPr="003B63CB">
        <w:rPr>
          <w:rStyle w:val="af2"/>
          <w:rFonts w:eastAsia="Guttman Hodes" w:hint="cs"/>
          <w:rtl/>
        </w:rPr>
        <w:t>(עג: ד"ה מקלקל)</w:t>
      </w:r>
      <w:r w:rsidRPr="003B63CB">
        <w:rPr>
          <w:rFonts w:hint="cs"/>
          <w:vanish/>
          <w:rtl/>
        </w:rPr>
        <w:t>=</w:t>
      </w:r>
      <w:r w:rsidRPr="003B63CB">
        <w:rPr>
          <w:rFonts w:hint="cs"/>
          <w:rtl/>
        </w:rPr>
        <w:t xml:space="preserve"> דהוא מקלקל בזה את ביתו, וכן ביאר </w:t>
      </w:r>
      <w:r w:rsidRPr="003B63CB">
        <w:rPr>
          <w:rFonts w:hint="cs"/>
          <w:vanish/>
          <w:rtl/>
        </w:rPr>
        <w:t xml:space="preserve">&lt;, </w:t>
      </w:r>
      <w:r w:rsidRPr="003B63CB">
        <w:rPr>
          <w:vanish/>
          <w:rtl/>
        </w:rPr>
        <w:fldChar w:fldCharType="begin"/>
      </w:r>
      <w:r w:rsidRPr="003B63CB">
        <w:rPr>
          <w:vanish/>
          <w:rtl/>
        </w:rPr>
        <w:instrText xml:space="preserve"> </w:instrText>
      </w:r>
      <w:r w:rsidRPr="003B63CB">
        <w:rPr>
          <w:rFonts w:hint="cs"/>
          <w:vanish/>
        </w:rPr>
        <w:instrText>REF</w:instrText>
      </w:r>
      <w:r w:rsidRPr="003B63CB">
        <w:rPr>
          <w:rFonts w:hint="cs"/>
          <w:vanish/>
          <w:rtl/>
        </w:rPr>
        <w:instrText xml:space="preserve"> _</w:instrText>
      </w:r>
      <w:r w:rsidRPr="003B63CB">
        <w:rPr>
          <w:rFonts w:hint="cs"/>
          <w:vanish/>
        </w:rPr>
        <w:instrText>Ref139447610 \r \h</w:instrText>
      </w:r>
      <w:r w:rsidRPr="003B63CB">
        <w:rPr>
          <w:vanish/>
          <w:rtl/>
        </w:rPr>
        <w:instrText xml:space="preserve">  \* </w:instrText>
      </w:r>
      <w:r w:rsidRPr="003B63CB">
        <w:rPr>
          <w:vanish/>
        </w:rPr>
        <w:instrText>MERGEFORMAT</w:instrText>
      </w:r>
      <w:r w:rsidRPr="003B63CB">
        <w:rPr>
          <w:vanish/>
          <w:rtl/>
        </w:rPr>
        <w:instrText xml:space="preserve"> </w:instrText>
      </w:r>
      <w:r w:rsidRPr="003B63CB">
        <w:rPr>
          <w:vanish/>
          <w:rtl/>
        </w:rPr>
      </w:r>
      <w:r w:rsidRPr="003B63CB">
        <w:rPr>
          <w:vanish/>
          <w:rtl/>
        </w:rPr>
        <w:fldChar w:fldCharType="separate"/>
      </w:r>
      <w:r w:rsidR="00D82181">
        <w:rPr>
          <w:vanish/>
          <w:cs/>
        </w:rPr>
        <w:t>‎</w:t>
      </w:r>
      <w:r w:rsidR="00D82181">
        <w:rPr>
          <w:vanish/>
          <w:rtl/>
        </w:rPr>
        <w:t>ט)</w:t>
      </w:r>
      <w:r w:rsidRPr="003B63CB">
        <w:rPr>
          <w:vanish/>
          <w:rtl/>
        </w:rPr>
        <w:fldChar w:fldCharType="end"/>
      </w:r>
      <w:r w:rsidRPr="003B63CB">
        <w:rPr>
          <w:rFonts w:hint="cs"/>
          <w:vanish/>
          <w:rtl/>
        </w:rPr>
        <w:t xml:space="preserve"> &gt;</w:t>
      </w:r>
      <w:r w:rsidRPr="003B63CB">
        <w:rPr>
          <w:rStyle w:val="aff4"/>
          <w:rFonts w:hint="cs"/>
          <w:vanish/>
          <w:rtl/>
        </w:rPr>
        <w:t>-</w:t>
      </w:r>
      <w:r w:rsidRPr="003B63CB">
        <w:rPr>
          <w:rStyle w:val="aff4"/>
          <w:rFonts w:hint="cs"/>
          <w:rtl/>
        </w:rPr>
        <w:t>רש"י בחגיגה</w:t>
      </w:r>
      <w:r w:rsidRPr="003B63CB">
        <w:rPr>
          <w:rStyle w:val="aff4"/>
          <w:rFonts w:hint="cs"/>
          <w:vanish/>
          <w:rtl/>
        </w:rPr>
        <w:t>-</w:t>
      </w:r>
      <w:r w:rsidRPr="003B63CB">
        <w:rPr>
          <w:rFonts w:hint="cs"/>
          <w:rtl/>
        </w:rPr>
        <w:t xml:space="preserve"> </w:t>
      </w:r>
      <w:r w:rsidRPr="003B63CB">
        <w:rPr>
          <w:rStyle w:val="af2"/>
          <w:rFonts w:eastAsia="Guttman Hodes" w:hint="cs"/>
          <w:rtl/>
        </w:rPr>
        <w:t>(י. ד"ה אפילו)</w:t>
      </w:r>
      <w:r w:rsidRPr="003B63CB">
        <w:rPr>
          <w:rFonts w:hint="cs"/>
          <w:vanish/>
          <w:rtl/>
        </w:rPr>
        <w:t>=</w:t>
      </w:r>
      <w:r w:rsidRPr="003B63CB">
        <w:rPr>
          <w:rFonts w:hint="cs"/>
          <w:rtl/>
        </w:rPr>
        <w:t xml:space="preserve"> דהא דפליג ר"י בקובר מת, הוא כיון הוא מתקן, אבל חופר גומא הוא מקלקל את חצרו.</w:t>
      </w:r>
      <w:bookmarkEnd w:id="3044"/>
      <w:r w:rsidRPr="003B63CB">
        <w:rPr>
          <w:rFonts w:hint="cs"/>
          <w:rtl/>
        </w:rPr>
        <w:t xml:space="preserve"> </w:t>
      </w:r>
    </w:p>
    <w:p w14:paraId="558CF37C" w14:textId="77777777" w:rsidR="002748A5" w:rsidRPr="00747170" w:rsidRDefault="002748A5" w:rsidP="00747170">
      <w:pPr>
        <w:pStyle w:val="a2"/>
        <w:rPr>
          <w:rtl/>
        </w:rPr>
      </w:pPr>
      <w:r w:rsidRPr="00747170">
        <w:rPr>
          <w:rtl/>
        </w:rPr>
        <w:t>פטור עליה - ואין כאן משום בנין בבית דקלקול הוא ולזריעה נמי לא חזיא אבל אם היה צריך לה חייב משום בונה.</w:t>
      </w:r>
    </w:p>
    <w:p w14:paraId="1B65C792" w14:textId="77777777" w:rsidR="002748A5" w:rsidRPr="00695703" w:rsidRDefault="002748A5" w:rsidP="00747170">
      <w:pPr>
        <w:pStyle w:val="afffff5"/>
        <w:rPr>
          <w:rtl/>
        </w:rPr>
      </w:pPr>
      <w:r w:rsidRPr="00695703">
        <w:rPr>
          <w:rtl/>
        </w:rPr>
        <w:t>לר' יהודה - בפרק המצניע (שבת צג, ב) גבי מוציא את המת במטה.</w:t>
      </w:r>
    </w:p>
    <w:p w14:paraId="2AA5F89E" w14:textId="77777777" w:rsidR="002748A5" w:rsidRPr="00695703" w:rsidRDefault="002748A5" w:rsidP="00747170">
      <w:pPr>
        <w:pStyle w:val="afffff5"/>
        <w:rPr>
          <w:rtl/>
        </w:rPr>
      </w:pPr>
      <w:r w:rsidRPr="00695703">
        <w:rPr>
          <w:rtl/>
        </w:rPr>
        <w:t>מתקן - כמו מוציא את המת לקוברו אינו צריך לגופה דהוצאה ולא למת אלא לפנות ביתו והוצאה הצריכה לגופה כגון שהוא צריך לחפץ זה במקום אחר.</w:t>
      </w:r>
    </w:p>
    <w:p w14:paraId="3C3F914D" w14:textId="77777777" w:rsidR="002748A5" w:rsidRPr="00695703" w:rsidRDefault="002748A5" w:rsidP="00747170">
      <w:pPr>
        <w:pStyle w:val="afffff5"/>
        <w:rPr>
          <w:rtl/>
        </w:rPr>
      </w:pPr>
      <w:r w:rsidRPr="00695703">
        <w:rPr>
          <w:rtl/>
        </w:rPr>
        <w:t>מקלקל הוא - את ביתו.</w:t>
      </w:r>
    </w:p>
    <w:p w14:paraId="6DB610E2" w14:textId="77777777" w:rsidR="002748A5" w:rsidRPr="00695703" w:rsidRDefault="002748A5" w:rsidP="00747170">
      <w:pPr>
        <w:pStyle w:val="afffff5"/>
        <w:rPr>
          <w:rtl/>
        </w:rPr>
      </w:pPr>
      <w:r w:rsidRPr="00695703">
        <w:rPr>
          <w:rtl/>
        </w:rPr>
        <w:t>אפילו תימא לרבי יהודה - דפליג עליה, מודה בהך גומא, דאלו התם הקובר את המת - מתקן הוא, והאי חופר גומא - מקלקל הוא את חצרו.</w:t>
      </w:r>
    </w:p>
    <w:p w14:paraId="7CB2AD1A" w14:textId="77777777" w:rsidR="002748A5" w:rsidRDefault="002748A5" w:rsidP="002748A5">
      <w:pPr>
        <w:pStyle w:val="a7"/>
        <w:rPr>
          <w:rtl/>
        </w:rPr>
      </w:pPr>
      <w:bookmarkStart w:id="3045" w:name="_Toc140074152"/>
    </w:p>
    <w:p w14:paraId="6DA7BA26" w14:textId="77777777" w:rsidR="002748A5" w:rsidRPr="003B63CB" w:rsidRDefault="002748A5" w:rsidP="002748A5">
      <w:pPr>
        <w:pStyle w:val="1"/>
        <w:rPr>
          <w:rtl/>
        </w:rPr>
      </w:pPr>
      <w:bookmarkStart w:id="3046" w:name="_Toc140092001"/>
      <w:bookmarkStart w:id="3047" w:name="_Toc140144201"/>
      <w:bookmarkStart w:id="3048" w:name="_Toc140144432"/>
      <w:r w:rsidRPr="003B63CB">
        <w:rPr>
          <w:rFonts w:hint="cs"/>
          <w:rtl/>
        </w:rPr>
        <w:lastRenderedPageBreak/>
        <w:t>ב' ביאורי התוס' ברש"י וקו' התוס' מסותר וקורע ומפיס מורסא</w:t>
      </w:r>
      <w:bookmarkEnd w:id="3045"/>
      <w:bookmarkEnd w:id="3046"/>
      <w:bookmarkEnd w:id="3047"/>
      <w:bookmarkEnd w:id="3048"/>
    </w:p>
    <w:p w14:paraId="569D3FCF" w14:textId="77777777" w:rsidR="002748A5" w:rsidRPr="00C12F78" w:rsidRDefault="002748A5" w:rsidP="002748A5">
      <w:pPr>
        <w:pStyle w:val="afffff7"/>
        <w:rPr>
          <w:rtl/>
        </w:rPr>
      </w:pPr>
      <w:bookmarkStart w:id="3049" w:name="_Toc140074253"/>
      <w:bookmarkStart w:id="3050" w:name="_Toc140144348"/>
      <w:bookmarkStart w:id="3051" w:name="_Toc140144824"/>
      <w:bookmarkStart w:id="3052" w:name="_Toc163505939"/>
      <w:r w:rsidRPr="00C12F78">
        <w:rPr>
          <w:rtl/>
        </w:rPr>
        <w:t>תוספות שבת צ"ד ע"א</w:t>
      </w:r>
      <w:r w:rsidRPr="00C12F78">
        <w:rPr>
          <w:rFonts w:hint="cs"/>
          <w:rtl/>
        </w:rPr>
        <w:t xml:space="preserve"> ד"ה ר"ש</w:t>
      </w:r>
      <w:bookmarkEnd w:id="3049"/>
      <w:bookmarkEnd w:id="3050"/>
      <w:r w:rsidRPr="00C12F78">
        <w:rPr>
          <w:rtl/>
        </w:rPr>
        <w:t xml:space="preserve"> (ח)</w:t>
      </w:r>
      <w:bookmarkEnd w:id="3051"/>
      <w:bookmarkEnd w:id="3052"/>
    </w:p>
    <w:p w14:paraId="69A5D9B7" w14:textId="77777777" w:rsidR="002748A5" w:rsidRPr="003B63CB" w:rsidRDefault="002748A5" w:rsidP="002748A5">
      <w:pPr>
        <w:pStyle w:val="a7"/>
        <w:rPr>
          <w:rtl/>
        </w:rPr>
      </w:pPr>
      <w:bookmarkStart w:id="3053" w:name="_Toc140074153"/>
      <w:bookmarkStart w:id="3054" w:name="_Toc140092002"/>
      <w:bookmarkStart w:id="3055" w:name="_Toc140144202"/>
      <w:bookmarkStart w:id="3056" w:name="_Toc140144433"/>
      <w:r w:rsidRPr="003B63CB">
        <w:rPr>
          <w:rFonts w:hint="cs"/>
          <w:rtl/>
        </w:rPr>
        <w:t>הבי' הא' בתוס' דכוונת רש"י דאינו רוצה את מעשה המלאכה ועושה אותה לסלק הנזק מעליו</w:t>
      </w:r>
      <w:bookmarkEnd w:id="3053"/>
      <w:bookmarkEnd w:id="3054"/>
      <w:bookmarkEnd w:id="3055"/>
      <w:bookmarkEnd w:id="3056"/>
    </w:p>
    <w:p w14:paraId="1A9E2271" w14:textId="1D74217C" w:rsidR="002748A5" w:rsidRPr="003B63CB" w:rsidRDefault="002748A5" w:rsidP="00BC7DC8">
      <w:pPr>
        <w:pStyle w:val="a3"/>
      </w:pPr>
      <w:bookmarkStart w:id="3057" w:name="_Ref140054318"/>
      <w:r w:rsidRPr="003B63CB">
        <w:rPr>
          <w:rFonts w:hint="cs"/>
          <w:rtl/>
        </w:rPr>
        <w:t xml:space="preserve">במ"ש </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w:t>
      </w:r>
      <w:r w:rsidRPr="003B63C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Ref139359821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ב)</w:t>
      </w:r>
      <w:r>
        <w:rPr>
          <w:rStyle w:val="af2"/>
          <w:rFonts w:eastAsia="Guttman Hodes"/>
          <w:rtl/>
        </w:rPr>
        <w:fldChar w:fldCharType="end"/>
      </w:r>
      <w:r w:rsidRPr="003B63CB">
        <w:rPr>
          <w:rFonts w:hint="cs"/>
          <w:rtl/>
        </w:rPr>
        <w:t xml:space="preserve"> דכל שא"צ את גוף המלאכה אלא לסלקה מעליו, הוי מלאכה שאינה צריכה לגופה, דברצונו לא הייתה באה המלאכה כלל וא"צ את המלאכה עצמה, ביארו </w:t>
      </w:r>
      <w:r w:rsidRPr="003B63CB">
        <w:rPr>
          <w:rStyle w:val="aff4"/>
          <w:rFonts w:hint="cs"/>
          <w:vanish/>
          <w:rtl/>
        </w:rPr>
        <w:t>-</w:t>
      </w:r>
      <w:r w:rsidRPr="003B63CB">
        <w:rPr>
          <w:rStyle w:val="aff4"/>
          <w:rFonts w:hint="cs"/>
          <w:rtl/>
        </w:rPr>
        <w:t>ה</w:t>
      </w:r>
      <w:r w:rsidRPr="003B63CB">
        <w:rPr>
          <w:rStyle w:val="aff4"/>
          <w:rFonts w:hint="cs"/>
          <w:vanish/>
          <w:rtl/>
        </w:rPr>
        <w:t xml:space="preserve">&lt;, </w:t>
      </w:r>
      <w:r w:rsidRPr="003B63CB">
        <w:rPr>
          <w:rStyle w:val="aff4"/>
          <w:vanish/>
          <w:rtl/>
        </w:rPr>
        <w:fldChar w:fldCharType="begin"/>
      </w:r>
      <w:r w:rsidRPr="003B63CB">
        <w:rPr>
          <w:rStyle w:val="aff4"/>
          <w:vanish/>
          <w:rtl/>
        </w:rPr>
        <w:instrText xml:space="preserve"> </w:instrText>
      </w:r>
      <w:r w:rsidRPr="003B63CB">
        <w:rPr>
          <w:rStyle w:val="aff4"/>
          <w:rFonts w:hint="cs"/>
          <w:vanish/>
        </w:rPr>
        <w:instrText>REF</w:instrText>
      </w:r>
      <w:r w:rsidRPr="003B63CB">
        <w:rPr>
          <w:rStyle w:val="aff4"/>
          <w:rFonts w:hint="cs"/>
          <w:vanish/>
          <w:rtl/>
        </w:rPr>
        <w:instrText xml:space="preserve"> _</w:instrText>
      </w:r>
      <w:r w:rsidRPr="003B63CB">
        <w:rPr>
          <w:rStyle w:val="aff4"/>
          <w:rFonts w:hint="cs"/>
          <w:vanish/>
        </w:rPr>
        <w:instrText>Ref139359352 \r \h</w:instrText>
      </w:r>
      <w:r w:rsidRPr="003B63CB">
        <w:rPr>
          <w:rStyle w:val="aff4"/>
          <w:vanish/>
          <w:rtl/>
        </w:rPr>
        <w:instrText xml:space="preserve">  \* </w:instrText>
      </w:r>
      <w:r w:rsidRPr="003B63CB">
        <w:rPr>
          <w:rStyle w:val="aff4"/>
          <w:vanish/>
        </w:rPr>
        <w:instrText>MERGEFORMAT</w:instrText>
      </w:r>
      <w:r w:rsidRPr="003B63CB">
        <w:rPr>
          <w:rStyle w:val="aff4"/>
          <w:vanish/>
          <w:rtl/>
        </w:rPr>
        <w:instrText xml:space="preserve"> </w:instrText>
      </w:r>
      <w:r w:rsidRPr="003B63CB">
        <w:rPr>
          <w:rStyle w:val="aff4"/>
          <w:vanish/>
          <w:rtl/>
        </w:rPr>
      </w:r>
      <w:r w:rsidRPr="003B63CB">
        <w:rPr>
          <w:rStyle w:val="aff4"/>
          <w:vanish/>
          <w:rtl/>
        </w:rPr>
        <w:fldChar w:fldCharType="separate"/>
      </w:r>
      <w:r w:rsidR="00D82181">
        <w:rPr>
          <w:rStyle w:val="aff4"/>
          <w:vanish/>
          <w:cs/>
        </w:rPr>
        <w:t>‎</w:t>
      </w:r>
      <w:r w:rsidR="00D82181">
        <w:rPr>
          <w:rStyle w:val="aff4"/>
          <w:vanish/>
          <w:rtl/>
        </w:rPr>
        <w:t>יג)</w:t>
      </w:r>
      <w:r w:rsidRPr="003B63CB">
        <w:rPr>
          <w:rStyle w:val="aff4"/>
          <w:vanish/>
          <w:rtl/>
        </w:rPr>
        <w:fldChar w:fldCharType="end"/>
      </w:r>
      <w:r w:rsidRPr="003B63CB">
        <w:rPr>
          <w:rStyle w:val="aff4"/>
          <w:rFonts w:hint="cs"/>
          <w:vanish/>
          <w:rtl/>
        </w:rPr>
        <w:t xml:space="preserve"> &gt;</w:t>
      </w:r>
      <w:r w:rsidRPr="003B63CB">
        <w:rPr>
          <w:rStyle w:val="aff4"/>
          <w:rFonts w:hint="cs"/>
          <w:rtl/>
        </w:rPr>
        <w:t>תוס'</w:t>
      </w:r>
      <w:r w:rsidRPr="003B63CB">
        <w:rPr>
          <w:rStyle w:val="aff4"/>
          <w:rFonts w:hint="cs"/>
          <w:vanish/>
          <w:rtl/>
        </w:rPr>
        <w:t>-</w:t>
      </w:r>
      <w:r w:rsidRPr="003B63CB">
        <w:rPr>
          <w:rFonts w:hint="cs"/>
          <w:rtl/>
        </w:rPr>
        <w:t xml:space="preserve"> </w:t>
      </w:r>
      <w:r w:rsidRPr="003B63CB">
        <w:rPr>
          <w:rStyle w:val="af2"/>
          <w:rFonts w:eastAsia="Guttman Hodes" w:hint="cs"/>
          <w:rtl/>
        </w:rPr>
        <w:t>(צד. סוד"ה ר"ש)</w:t>
      </w:r>
      <w:r w:rsidRPr="003B63CB">
        <w:rPr>
          <w:rFonts w:hint="cs"/>
          <w:vanish/>
          <w:rtl/>
        </w:rPr>
        <w:t>=</w:t>
      </w:r>
      <w:r w:rsidRPr="003B63CB">
        <w:rPr>
          <w:rFonts w:hint="cs"/>
          <w:rtl/>
        </w:rPr>
        <w:t xml:space="preserve">  דכוונת </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לומר דאינו צריך את מעשה המלאכה עצמו, והוא עושה את המלאכה בשביל לסלקה מעליו, כצידת נחש שלא ינשוך ומכבה גחלת שלא תזיק רבים, וכן כתב </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w:t>
      </w:r>
      <w:r w:rsidRPr="003B63CB">
        <w:rPr>
          <w:rStyle w:val="af2"/>
          <w:rFonts w:eastAsia="Guttman Hodes" w:hint="cs"/>
          <w:rtl/>
        </w:rPr>
        <w:t xml:space="preserve">(עי' אות </w:t>
      </w:r>
      <w:r w:rsidRPr="003B63CB">
        <w:rPr>
          <w:rStyle w:val="af2"/>
          <w:rFonts w:eastAsia="Guttman Hodes"/>
          <w:rtl/>
        </w:rPr>
        <w:fldChar w:fldCharType="begin"/>
      </w:r>
      <w:r w:rsidRPr="003B63CB">
        <w:rPr>
          <w:rStyle w:val="af2"/>
          <w:rFonts w:eastAsia="Guttman Hodes"/>
          <w:rtl/>
        </w:rPr>
        <w:instrText xml:space="preserve"> </w:instrText>
      </w:r>
      <w:r w:rsidRPr="003B63CB">
        <w:rPr>
          <w:rStyle w:val="af2"/>
          <w:rFonts w:eastAsia="Guttman Hodes" w:hint="cs"/>
        </w:rPr>
        <w:instrText>REF</w:instrText>
      </w:r>
      <w:r w:rsidRPr="003B63CB">
        <w:rPr>
          <w:rStyle w:val="af2"/>
          <w:rFonts w:eastAsia="Guttman Hodes" w:hint="cs"/>
          <w:rtl/>
        </w:rPr>
        <w:instrText xml:space="preserve"> _</w:instrText>
      </w:r>
      <w:r w:rsidRPr="003B63CB">
        <w:rPr>
          <w:rStyle w:val="af2"/>
          <w:rFonts w:eastAsia="Guttman Hodes" w:hint="cs"/>
        </w:rPr>
        <w:instrText>Ref139311983 \r \h</w:instrText>
      </w:r>
      <w:r w:rsidRPr="003B63CB">
        <w:rPr>
          <w:rStyle w:val="af2"/>
          <w:rFonts w:eastAsia="Guttman Hodes"/>
          <w:rtl/>
        </w:rPr>
        <w:instrText xml:space="preserve">  \* </w:instrText>
      </w:r>
      <w:r w:rsidRPr="003B63CB">
        <w:rPr>
          <w:rStyle w:val="af2"/>
          <w:rFonts w:eastAsia="Guttman Hodes"/>
        </w:rPr>
        <w:instrText>MERGEFORMAT</w:instrText>
      </w:r>
      <w:r w:rsidRPr="003B63CB">
        <w:rPr>
          <w:rStyle w:val="af2"/>
          <w:rFonts w:eastAsia="Guttman Hodes"/>
          <w:rtl/>
        </w:rPr>
        <w:instrText xml:space="preserve"> </w:instrText>
      </w:r>
      <w:r w:rsidRPr="003B63CB">
        <w:rPr>
          <w:rStyle w:val="af2"/>
          <w:rFonts w:eastAsia="Guttman Hodes"/>
          <w:rtl/>
        </w:rPr>
      </w:r>
      <w:r w:rsidRPr="003B63CB">
        <w:rPr>
          <w:rStyle w:val="af2"/>
          <w:rFonts w:eastAsia="Guttman Hodes"/>
          <w:rtl/>
        </w:rPr>
        <w:fldChar w:fldCharType="separate"/>
      </w:r>
      <w:r w:rsidR="00D82181">
        <w:rPr>
          <w:rStyle w:val="af2"/>
          <w:rFonts w:eastAsia="Guttman Hodes"/>
          <w:cs/>
        </w:rPr>
        <w:t>‎</w:t>
      </w:r>
      <w:r w:rsidR="00D82181">
        <w:rPr>
          <w:rStyle w:val="af2"/>
          <w:rFonts w:eastAsia="Guttman Hodes"/>
          <w:rtl/>
        </w:rPr>
        <w:t>ג)</w:t>
      </w:r>
      <w:r w:rsidRPr="003B63CB">
        <w:rPr>
          <w:rStyle w:val="af2"/>
          <w:rFonts w:eastAsia="Guttman Hodes"/>
          <w:rtl/>
        </w:rPr>
        <w:fldChar w:fldCharType="end"/>
      </w:r>
      <w:r w:rsidRPr="003B63CB">
        <w:rPr>
          <w:rFonts w:hint="cs"/>
          <w:rtl/>
        </w:rPr>
        <w:t xml:space="preserve"> בחס על הפתילה שהובהבה, א"צ את הכיבוי דהיה ניחא לו אם לא הובערה הפתילה מעולם, כיון דחס עליה, ועי' במ"ש </w:t>
      </w:r>
      <w:r w:rsidRPr="003B63CB">
        <w:rPr>
          <w:rStyle w:val="aff4"/>
          <w:rFonts w:hint="cs"/>
          <w:vanish/>
          <w:rtl/>
        </w:rPr>
        <w:t>-</w:t>
      </w:r>
      <w:r w:rsidRPr="003B63CB">
        <w:rPr>
          <w:rStyle w:val="aff4"/>
          <w:rFonts w:hint="cs"/>
          <w:rtl/>
        </w:rPr>
        <w:t>המרכבת המשנה</w:t>
      </w:r>
      <w:r w:rsidRPr="003B63CB">
        <w:rPr>
          <w:rStyle w:val="aff4"/>
          <w:rFonts w:hint="cs"/>
          <w:vanish/>
          <w:rtl/>
        </w:rPr>
        <w:t>-</w:t>
      </w:r>
      <w:r w:rsidRPr="003B63CB">
        <w:rPr>
          <w:rFonts w:hint="cs"/>
          <w:rtl/>
        </w:rPr>
        <w:t xml:space="preserve"> </w:t>
      </w:r>
      <w:r w:rsidRPr="003B63CB">
        <w:rPr>
          <w:rStyle w:val="af2"/>
          <w:rFonts w:eastAsia="Guttman Hodes" w:hint="cs"/>
          <w:rtl/>
        </w:rPr>
        <w:t>(עי' אות</w:t>
      </w:r>
      <w:r w:rsidRPr="003B63CB">
        <w:rPr>
          <w:rStyle w:val="af2"/>
          <w:rFonts w:eastAsia="Guttman Hodes"/>
          <w:rtl/>
        </w:rPr>
        <w:t xml:space="preserve"> </w:t>
      </w:r>
      <w:r w:rsidRPr="003B63CB">
        <w:rPr>
          <w:rStyle w:val="af2"/>
          <w:rFonts w:eastAsia="Guttman Hodes"/>
          <w:rtl/>
        </w:rPr>
        <w:fldChar w:fldCharType="begin"/>
      </w:r>
      <w:r w:rsidRPr="003B63CB">
        <w:rPr>
          <w:rStyle w:val="af2"/>
          <w:rFonts w:eastAsia="Guttman Hodes"/>
          <w:rtl/>
        </w:rPr>
        <w:instrText xml:space="preserve"> </w:instrText>
      </w:r>
      <w:r w:rsidRPr="003B63CB">
        <w:rPr>
          <w:rStyle w:val="af2"/>
          <w:rFonts w:eastAsia="Guttman Hodes" w:hint="cs"/>
        </w:rPr>
        <w:instrText>REF</w:instrText>
      </w:r>
      <w:r w:rsidRPr="003B63CB">
        <w:rPr>
          <w:rStyle w:val="af2"/>
          <w:rFonts w:eastAsia="Guttman Hodes" w:hint="cs"/>
          <w:rtl/>
        </w:rPr>
        <w:instrText xml:space="preserve"> _</w:instrText>
      </w:r>
      <w:r w:rsidRPr="003B63CB">
        <w:rPr>
          <w:rStyle w:val="af2"/>
          <w:rFonts w:eastAsia="Guttman Hodes" w:hint="cs"/>
        </w:rPr>
        <w:instrText>Ref140053335 \r \h</w:instrText>
      </w:r>
      <w:r w:rsidRPr="003B63CB">
        <w:rPr>
          <w:rStyle w:val="af2"/>
          <w:rFonts w:eastAsia="Guttman Hodes"/>
          <w:rtl/>
        </w:rPr>
        <w:instrText xml:space="preserve">  \* </w:instrText>
      </w:r>
      <w:r w:rsidRPr="003B63CB">
        <w:rPr>
          <w:rStyle w:val="af2"/>
          <w:rFonts w:eastAsia="Guttman Hodes"/>
        </w:rPr>
        <w:instrText>MERGEFORMAT</w:instrText>
      </w:r>
      <w:r w:rsidRPr="003B63CB">
        <w:rPr>
          <w:rStyle w:val="af2"/>
          <w:rFonts w:eastAsia="Guttman Hodes"/>
          <w:rtl/>
        </w:rPr>
        <w:instrText xml:space="preserve"> </w:instrText>
      </w:r>
      <w:r w:rsidRPr="003B63CB">
        <w:rPr>
          <w:rStyle w:val="af2"/>
          <w:rFonts w:eastAsia="Guttman Hodes"/>
          <w:rtl/>
        </w:rPr>
      </w:r>
      <w:r w:rsidRPr="003B63CB">
        <w:rPr>
          <w:rStyle w:val="af2"/>
          <w:rFonts w:eastAsia="Guttman Hodes"/>
          <w:rtl/>
        </w:rPr>
        <w:fldChar w:fldCharType="separate"/>
      </w:r>
      <w:r w:rsidR="00D82181">
        <w:rPr>
          <w:rStyle w:val="af2"/>
          <w:rFonts w:eastAsia="Guttman Hodes"/>
          <w:cs/>
        </w:rPr>
        <w:t>‎</w:t>
      </w:r>
      <w:r w:rsidR="00D82181">
        <w:rPr>
          <w:rStyle w:val="af2"/>
          <w:rFonts w:eastAsia="Guttman Hodes"/>
          <w:rtl/>
        </w:rPr>
        <w:t>מד)</w:t>
      </w:r>
      <w:r w:rsidRPr="003B63CB">
        <w:rPr>
          <w:rStyle w:val="af2"/>
          <w:rFonts w:eastAsia="Guttman Hodes"/>
          <w:rtl/>
        </w:rPr>
        <w:fldChar w:fldCharType="end"/>
      </w:r>
      <w:r w:rsidRPr="003B63CB">
        <w:rPr>
          <w:rFonts w:hint="cs"/>
          <w:rtl/>
        </w:rPr>
        <w:t xml:space="preserve"> דאין כוונת </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לומר דעיקר הטעם במלאכה שאינה צריכה לגופה הוא מחמת דאינו רוצה במלאכה.</w:t>
      </w:r>
      <w:bookmarkEnd w:id="3057"/>
    </w:p>
    <w:p w14:paraId="3F9BFE2D" w14:textId="77777777" w:rsidR="002748A5" w:rsidRPr="00747170" w:rsidRDefault="002748A5" w:rsidP="00747170">
      <w:pPr>
        <w:pStyle w:val="a2"/>
        <w:rPr>
          <w:rtl/>
        </w:rPr>
      </w:pPr>
      <w:r w:rsidRPr="00747170">
        <w:rPr>
          <w:rtl/>
        </w:rPr>
        <w:t>ורש"י דפירש דברצונו לא היתה באה לו ולא היה צריך לה שאינה אלא לסלקה מעליו כמו צד נחש שלא ישכנו או מכבה גחלת שלא יזוקו בו רבים דברצונו שלא היה בעולם וכן בפרק במה מדליקין (לעיל דף לא:) פירש כחס על הפתילה המהובהבת כבר דאינה צריכה לגופה משום דאין צריך לכיבוי זה ואם לא הובערה מעולם הוה ניחא ליה דהואיל וחס עליה כי אית בה טפי הוה ניחא ליה בה</w:t>
      </w:r>
      <w:r w:rsidRPr="00747170">
        <w:rPr>
          <w:rFonts w:hint="cs"/>
          <w:rtl/>
        </w:rPr>
        <w:t>.</w:t>
      </w:r>
    </w:p>
    <w:p w14:paraId="5E72D5DE" w14:textId="77777777" w:rsidR="002748A5" w:rsidRPr="003B63CB" w:rsidRDefault="002748A5" w:rsidP="002748A5">
      <w:pPr>
        <w:pStyle w:val="a7"/>
      </w:pPr>
      <w:bookmarkStart w:id="3058" w:name="_Toc140074154"/>
      <w:bookmarkStart w:id="3059" w:name="_Toc140092003"/>
      <w:bookmarkStart w:id="3060" w:name="_Toc140144203"/>
      <w:bookmarkStart w:id="3061" w:name="_Toc140144434"/>
      <w:r w:rsidRPr="003B63CB">
        <w:rPr>
          <w:rtl/>
        </w:rPr>
        <w:t>קו' תוס' דאי משאצל"ג הוא סילוק נזק אמאי חייב בסותר ע"מ לבנות דא"צ את המלאכה עצמה</w:t>
      </w:r>
      <w:bookmarkEnd w:id="3058"/>
      <w:bookmarkEnd w:id="3059"/>
      <w:bookmarkEnd w:id="3060"/>
      <w:bookmarkEnd w:id="3061"/>
    </w:p>
    <w:p w14:paraId="76839776" w14:textId="38D90AD3" w:rsidR="002748A5" w:rsidRPr="003B63CB" w:rsidRDefault="002748A5" w:rsidP="00BC7DC8">
      <w:pPr>
        <w:pStyle w:val="a3"/>
        <w:rPr>
          <w:rStyle w:val="af"/>
        </w:rPr>
      </w:pPr>
      <w:bookmarkStart w:id="3062" w:name="_Ref140076819"/>
      <w:r w:rsidRPr="003B63CB">
        <w:rPr>
          <w:rFonts w:hint="cs"/>
          <w:rtl/>
        </w:rPr>
        <w:t xml:space="preserve">הקשו </w:t>
      </w:r>
      <w:r w:rsidRPr="003B63CB">
        <w:rPr>
          <w:rStyle w:val="aff4"/>
          <w:rFonts w:hint="cs"/>
          <w:vanish/>
          <w:rtl/>
        </w:rPr>
        <w:t>-</w:t>
      </w:r>
      <w:r w:rsidRPr="003B63CB">
        <w:rPr>
          <w:rStyle w:val="aff4"/>
          <w:rFonts w:hint="cs"/>
          <w:rtl/>
        </w:rPr>
        <w:t>התוס'</w:t>
      </w:r>
      <w:r w:rsidRPr="003B63CB">
        <w:rPr>
          <w:rStyle w:val="aff4"/>
          <w:rFonts w:hint="cs"/>
          <w:vanish/>
          <w:rtl/>
        </w:rPr>
        <w:t>-</w:t>
      </w:r>
      <w:r w:rsidRPr="003B63CB">
        <w:rPr>
          <w:rFonts w:hint="cs"/>
          <w:rtl/>
        </w:rPr>
        <w:t xml:space="preserve"> דא"כ אמאי סותר ע"מ לבנות כמו שהיה בנוי בתחילה, וכן קורע בחמתו ולמירמי אימתא אאנשי דביתיה, חשיב מלאכה שאינה צריכה לגופה, </w:t>
      </w:r>
      <w:bookmarkStart w:id="3063" w:name="_Hlk139818188"/>
      <w:r w:rsidRPr="003B63CB">
        <w:rPr>
          <w:rFonts w:hint="cs"/>
          <w:rtl/>
        </w:rPr>
        <w:t>הא צריך את המלאכה עצמה, ורוצה שהיא תהיה</w:t>
      </w:r>
      <w:bookmarkEnd w:id="3063"/>
      <w:r w:rsidRPr="003B63CB">
        <w:rPr>
          <w:rFonts w:hint="cs"/>
          <w:rtl/>
        </w:rPr>
        <w:t xml:space="preserve">. </w:t>
      </w:r>
      <w:r w:rsidRPr="003B63CB">
        <w:rPr>
          <w:rStyle w:val="af"/>
          <w:rFonts w:hint="cs"/>
          <w:rtl/>
        </w:rPr>
        <w:t xml:space="preserve">[ועי' במ"ש </w:t>
      </w:r>
      <w:r w:rsidRPr="003B63CB">
        <w:rPr>
          <w:rStyle w:val="aff9"/>
          <w:rFonts w:hint="cs"/>
          <w:vanish/>
          <w:rtl/>
        </w:rPr>
        <w:t>-</w:t>
      </w:r>
      <w:r w:rsidRPr="003B63CB">
        <w:rPr>
          <w:rStyle w:val="aff9"/>
          <w:rFonts w:hint="cs"/>
          <w:rtl/>
        </w:rPr>
        <w:t>ה</w:t>
      </w:r>
      <w:r w:rsidRPr="003B63CB">
        <w:rPr>
          <w:rStyle w:val="aff9"/>
          <w:rFonts w:hint="cs"/>
          <w:vanish/>
          <w:rtl/>
        </w:rPr>
        <w:t>&lt; &gt;</w:t>
      </w:r>
      <w:r w:rsidRPr="003B63CB">
        <w:rPr>
          <w:rStyle w:val="aff9"/>
          <w:rFonts w:hint="cs"/>
          <w:rtl/>
        </w:rPr>
        <w:t>מהרש"ל</w:t>
      </w:r>
      <w:r w:rsidRPr="003B63CB">
        <w:rPr>
          <w:rStyle w:val="aff9"/>
          <w:rFonts w:hint="cs"/>
          <w:vanish/>
          <w:rtl/>
        </w:rPr>
        <w:t>-</w:t>
      </w:r>
      <w:r w:rsidRPr="003B63CB">
        <w:rPr>
          <w:rStyle w:val="af"/>
          <w:rFonts w:hint="cs"/>
          <w:rtl/>
        </w:rPr>
        <w:t xml:space="preserve"> </w:t>
      </w:r>
      <w:r w:rsidRPr="003B63CB">
        <w:rPr>
          <w:rStyle w:val="aff0"/>
          <w:rFonts w:hint="cs"/>
          <w:rtl/>
        </w:rPr>
        <w:t>(ד"ה בא"ד קשה)</w:t>
      </w:r>
      <w:r w:rsidRPr="003B63CB">
        <w:rPr>
          <w:rStyle w:val="af"/>
          <w:rFonts w:hint="cs"/>
          <w:vanish/>
          <w:rtl/>
        </w:rPr>
        <w:t>=</w:t>
      </w:r>
      <w:r w:rsidRPr="003B63CB">
        <w:rPr>
          <w:rStyle w:val="af"/>
          <w:rFonts w:hint="cs"/>
          <w:rtl/>
        </w:rPr>
        <w:t xml:space="preserve"> </w:t>
      </w:r>
      <w:r w:rsidRPr="003B63CB">
        <w:rPr>
          <w:rStyle w:val="aff9"/>
          <w:rFonts w:hint="cs"/>
          <w:vanish/>
          <w:rtl/>
        </w:rPr>
        <w:t>-</w:t>
      </w:r>
      <w:r w:rsidRPr="003B63CB">
        <w:rPr>
          <w:rStyle w:val="aff9"/>
          <w:rFonts w:hint="cs"/>
          <w:rtl/>
        </w:rPr>
        <w:t>וה</w:t>
      </w:r>
      <w:r w:rsidRPr="003B63CB">
        <w:rPr>
          <w:rStyle w:val="aff9"/>
          <w:rFonts w:hint="cs"/>
          <w:vanish/>
          <w:rtl/>
        </w:rPr>
        <w:t>&lt; &gt;</w:t>
      </w:r>
      <w:r w:rsidRPr="003B63CB">
        <w:rPr>
          <w:rStyle w:val="aff9"/>
          <w:rFonts w:hint="cs"/>
          <w:rtl/>
        </w:rPr>
        <w:t>מהרש"א</w:t>
      </w:r>
      <w:r w:rsidRPr="003B63CB">
        <w:rPr>
          <w:rStyle w:val="aff9"/>
          <w:rFonts w:hint="cs"/>
          <w:vanish/>
          <w:rtl/>
        </w:rPr>
        <w:t>-</w:t>
      </w:r>
      <w:r w:rsidRPr="003B63CB">
        <w:rPr>
          <w:rStyle w:val="af"/>
          <w:rFonts w:hint="cs"/>
          <w:rtl/>
        </w:rPr>
        <w:t xml:space="preserve"> </w:t>
      </w:r>
      <w:r w:rsidRPr="003B63CB">
        <w:rPr>
          <w:rStyle w:val="aff0"/>
          <w:rFonts w:hint="cs"/>
          <w:rtl/>
        </w:rPr>
        <w:t>(על תוד"ה ר"ש)</w:t>
      </w:r>
      <w:r w:rsidRPr="003B63CB">
        <w:rPr>
          <w:rStyle w:val="af"/>
          <w:rFonts w:hint="cs"/>
          <w:vanish/>
          <w:rtl/>
        </w:rPr>
        <w:t>=</w:t>
      </w:r>
      <w:r w:rsidRPr="003B63CB">
        <w:rPr>
          <w:rStyle w:val="af"/>
          <w:rFonts w:hint="cs"/>
          <w:rtl/>
        </w:rPr>
        <w:t xml:space="preserve"> </w:t>
      </w:r>
      <w:r w:rsidRPr="003B63CB">
        <w:rPr>
          <w:rStyle w:val="aff9"/>
          <w:rFonts w:hint="cs"/>
          <w:vanish/>
          <w:rtl/>
        </w:rPr>
        <w:t>-</w:t>
      </w:r>
      <w:r w:rsidRPr="003B63CB">
        <w:rPr>
          <w:rStyle w:val="aff9"/>
          <w:rFonts w:hint="cs"/>
          <w:rtl/>
        </w:rPr>
        <w:t>וה</w:t>
      </w:r>
      <w:r w:rsidRPr="003B63CB">
        <w:rPr>
          <w:rStyle w:val="aff9"/>
          <w:rFonts w:hint="cs"/>
          <w:vanish/>
          <w:rtl/>
        </w:rPr>
        <w:t>&lt; &gt;</w:t>
      </w:r>
      <w:r w:rsidRPr="003B63CB">
        <w:rPr>
          <w:rStyle w:val="aff9"/>
          <w:rFonts w:hint="cs"/>
          <w:rtl/>
        </w:rPr>
        <w:t>כפות תמרים</w:t>
      </w:r>
      <w:r w:rsidRPr="003B63CB">
        <w:rPr>
          <w:rStyle w:val="aff9"/>
          <w:rFonts w:hint="cs"/>
          <w:vanish/>
          <w:rtl/>
        </w:rPr>
        <w:t>-</w:t>
      </w:r>
      <w:r w:rsidRPr="003B63CB">
        <w:rPr>
          <w:rStyle w:val="af"/>
          <w:rFonts w:hint="cs"/>
          <w:rtl/>
        </w:rPr>
        <w:t xml:space="preserve"> </w:t>
      </w:r>
      <w:r w:rsidRPr="003B63CB">
        <w:rPr>
          <w:rStyle w:val="aff0"/>
          <w:rFonts w:hint="cs"/>
          <w:rtl/>
        </w:rPr>
        <w:t xml:space="preserve">(עי' אות </w:t>
      </w:r>
      <w:r w:rsidRPr="003B63CB">
        <w:rPr>
          <w:rStyle w:val="aff0"/>
          <w:rtl/>
        </w:rPr>
        <w:fldChar w:fldCharType="begin"/>
      </w:r>
      <w:r w:rsidRPr="003B63CB">
        <w:rPr>
          <w:rStyle w:val="aff0"/>
          <w:rtl/>
        </w:rPr>
        <w:instrText xml:space="preserve"> </w:instrText>
      </w:r>
      <w:r w:rsidRPr="003B63CB">
        <w:rPr>
          <w:rStyle w:val="aff0"/>
          <w:rFonts w:hint="cs"/>
        </w:rPr>
        <w:instrText>REF</w:instrText>
      </w:r>
      <w:r w:rsidRPr="003B63CB">
        <w:rPr>
          <w:rStyle w:val="aff0"/>
          <w:rFonts w:hint="cs"/>
          <w:rtl/>
        </w:rPr>
        <w:instrText xml:space="preserve"> _</w:instrText>
      </w:r>
      <w:r w:rsidRPr="003B63CB">
        <w:rPr>
          <w:rStyle w:val="aff0"/>
          <w:rFonts w:hint="cs"/>
        </w:rPr>
        <w:instrText>Ref139750874 \r \h</w:instrText>
      </w:r>
      <w:r w:rsidRPr="003B63CB">
        <w:rPr>
          <w:rStyle w:val="aff0"/>
          <w:rtl/>
        </w:rPr>
        <w:instrText xml:space="preserve">  \* </w:instrText>
      </w:r>
      <w:r w:rsidRPr="003B63CB">
        <w:rPr>
          <w:rStyle w:val="aff0"/>
        </w:rPr>
        <w:instrText>MERGEFORMAT</w:instrText>
      </w:r>
      <w:r w:rsidRPr="003B63CB">
        <w:rPr>
          <w:rStyle w:val="aff0"/>
          <w:rtl/>
        </w:rPr>
        <w:instrText xml:space="preserve"> </w:instrText>
      </w:r>
      <w:r w:rsidRPr="003B63CB">
        <w:rPr>
          <w:rStyle w:val="aff0"/>
          <w:rtl/>
        </w:rPr>
      </w:r>
      <w:r w:rsidRPr="003B63CB">
        <w:rPr>
          <w:rStyle w:val="aff0"/>
          <w:rtl/>
        </w:rPr>
        <w:fldChar w:fldCharType="separate"/>
      </w:r>
      <w:r w:rsidR="00D82181">
        <w:rPr>
          <w:rStyle w:val="aff0"/>
          <w:cs/>
        </w:rPr>
        <w:t>‎</w:t>
      </w:r>
      <w:r w:rsidR="00D82181">
        <w:rPr>
          <w:rStyle w:val="aff0"/>
          <w:rtl/>
        </w:rPr>
        <w:t>טו)</w:t>
      </w:r>
      <w:r w:rsidRPr="003B63CB">
        <w:rPr>
          <w:rStyle w:val="aff0"/>
          <w:rtl/>
        </w:rPr>
        <w:fldChar w:fldCharType="end"/>
      </w:r>
      <w:r w:rsidRPr="003B63CB">
        <w:rPr>
          <w:rStyle w:val="af"/>
          <w:rFonts w:hint="cs"/>
          <w:vanish/>
          <w:rtl/>
        </w:rPr>
        <w:t>=</w:t>
      </w:r>
      <w:r w:rsidRPr="003B63CB">
        <w:rPr>
          <w:rStyle w:val="af"/>
          <w:rFonts w:hint="cs"/>
          <w:rtl/>
        </w:rPr>
        <w:t xml:space="preserve"> דדברי </w:t>
      </w:r>
      <w:r w:rsidRPr="003B63CB">
        <w:rPr>
          <w:rStyle w:val="aff9"/>
          <w:rFonts w:hint="cs"/>
          <w:vanish/>
          <w:rtl/>
        </w:rPr>
        <w:t>-</w:t>
      </w:r>
      <w:r w:rsidRPr="003B63CB">
        <w:rPr>
          <w:rStyle w:val="aff9"/>
          <w:rFonts w:hint="cs"/>
          <w:rtl/>
        </w:rPr>
        <w:t>התוס'</w:t>
      </w:r>
      <w:r w:rsidRPr="003B63CB">
        <w:rPr>
          <w:rStyle w:val="aff9"/>
          <w:rFonts w:hint="cs"/>
          <w:vanish/>
          <w:rtl/>
        </w:rPr>
        <w:t>-</w:t>
      </w:r>
      <w:r w:rsidRPr="003B63CB">
        <w:rPr>
          <w:rStyle w:val="af"/>
          <w:rFonts w:hint="cs"/>
          <w:rtl/>
        </w:rPr>
        <w:t xml:space="preserve"> [</w:t>
      </w:r>
      <w:r w:rsidRPr="003B63CB">
        <w:rPr>
          <w:rStyle w:val="aff9"/>
          <w:rFonts w:hint="cs"/>
          <w:vanish/>
          <w:rtl/>
        </w:rPr>
        <w:t>-</w:t>
      </w:r>
      <w:r w:rsidRPr="003B63CB">
        <w:rPr>
          <w:rStyle w:val="aff9"/>
          <w:rFonts w:hint="cs"/>
          <w:rtl/>
        </w:rPr>
        <w:t>צד.</w:t>
      </w:r>
      <w:r w:rsidRPr="003B63CB">
        <w:rPr>
          <w:rStyle w:val="aff9"/>
          <w:rFonts w:hint="cs"/>
          <w:vanish/>
          <w:rtl/>
        </w:rPr>
        <w:t>-</w:t>
      </w:r>
      <w:r w:rsidRPr="003B63CB">
        <w:rPr>
          <w:rStyle w:val="af"/>
          <w:rFonts w:hint="cs"/>
          <w:rtl/>
        </w:rPr>
        <w:t xml:space="preserve">] הם דלא כדברי </w:t>
      </w:r>
      <w:r w:rsidRPr="003B63CB">
        <w:rPr>
          <w:rStyle w:val="aff9"/>
          <w:rFonts w:hint="cs"/>
          <w:vanish/>
          <w:rtl/>
        </w:rPr>
        <w:t>-</w:t>
      </w:r>
      <w:r w:rsidRPr="003B63CB">
        <w:rPr>
          <w:rStyle w:val="aff9"/>
          <w:rFonts w:hint="cs"/>
          <w:rtl/>
        </w:rPr>
        <w:t>התוס'</w:t>
      </w:r>
      <w:r w:rsidRPr="0006582C">
        <w:rPr>
          <w:rtl/>
        </w:rPr>
        <w:t xml:space="preserve"> </w:t>
      </w:r>
      <w:r w:rsidRPr="0006582C">
        <w:rPr>
          <w:rStyle w:val="aff9"/>
          <w:rtl/>
        </w:rPr>
        <w:t>לעיל</w:t>
      </w:r>
      <w:r w:rsidRPr="0006582C">
        <w:rPr>
          <w:rStyle w:val="aff9"/>
          <w:rFonts w:hint="cs"/>
          <w:vanish/>
          <w:rtl/>
        </w:rPr>
        <w:t xml:space="preserve"> </w:t>
      </w:r>
      <w:r w:rsidRPr="003B63CB">
        <w:rPr>
          <w:rStyle w:val="aff9"/>
          <w:rFonts w:hint="cs"/>
          <w:vanish/>
          <w:rtl/>
        </w:rPr>
        <w:t>-</w:t>
      </w:r>
      <w:r w:rsidRPr="003B63CB">
        <w:rPr>
          <w:rStyle w:val="af"/>
          <w:rFonts w:hint="cs"/>
          <w:rtl/>
        </w:rPr>
        <w:t xml:space="preserve"> [</w:t>
      </w:r>
      <w:r w:rsidRPr="003B63CB">
        <w:rPr>
          <w:rStyle w:val="aff9"/>
          <w:rFonts w:hint="cs"/>
          <w:vanish/>
          <w:rtl/>
        </w:rPr>
        <w:t>-</w:t>
      </w:r>
      <w:r w:rsidRPr="003B63CB">
        <w:rPr>
          <w:rStyle w:val="aff9"/>
          <w:rFonts w:hint="cs"/>
          <w:rtl/>
        </w:rPr>
        <w:t>לא:</w:t>
      </w:r>
      <w:r w:rsidRPr="003B63CB">
        <w:rPr>
          <w:rStyle w:val="aff9"/>
          <w:rFonts w:hint="cs"/>
          <w:vanish/>
          <w:rtl/>
        </w:rPr>
        <w:t>-</w:t>
      </w:r>
      <w:r w:rsidRPr="003B63CB">
        <w:rPr>
          <w:rStyle w:val="af"/>
          <w:rFonts w:hint="cs"/>
          <w:rtl/>
        </w:rPr>
        <w:t xml:space="preserve">] </w:t>
      </w:r>
      <w:r w:rsidRPr="003B63CB">
        <w:rPr>
          <w:rStyle w:val="aff0"/>
          <w:rFonts w:hint="cs"/>
          <w:rtl/>
        </w:rPr>
        <w:t>(</w:t>
      </w:r>
      <w:r>
        <w:rPr>
          <w:rStyle w:val="aff0"/>
          <w:rFonts w:hint="cs"/>
          <w:rtl/>
        </w:rPr>
        <w:t>הובאו בסימן ט</w:t>
      </w:r>
      <w:r w:rsidRPr="003B63CB">
        <w:rPr>
          <w:rStyle w:val="aff0"/>
          <w:rFonts w:hint="cs"/>
          <w:rtl/>
        </w:rPr>
        <w:t xml:space="preserve">' אות </w:t>
      </w:r>
      <w:r w:rsidRPr="003B63CB">
        <w:rPr>
          <w:rStyle w:val="aff0"/>
          <w:rtl/>
        </w:rPr>
        <w:fldChar w:fldCharType="begin"/>
      </w:r>
      <w:r w:rsidRPr="003B63CB">
        <w:rPr>
          <w:rStyle w:val="aff0"/>
          <w:rtl/>
        </w:rPr>
        <w:instrText xml:space="preserve"> </w:instrText>
      </w:r>
      <w:r w:rsidRPr="003B63CB">
        <w:rPr>
          <w:rStyle w:val="aff0"/>
          <w:rFonts w:hint="cs"/>
        </w:rPr>
        <w:instrText>REF</w:instrText>
      </w:r>
      <w:r w:rsidRPr="003B63CB">
        <w:rPr>
          <w:rStyle w:val="aff0"/>
          <w:rFonts w:hint="cs"/>
          <w:rtl/>
        </w:rPr>
        <w:instrText xml:space="preserve"> _</w:instrText>
      </w:r>
      <w:r w:rsidRPr="003B63CB">
        <w:rPr>
          <w:rStyle w:val="aff0"/>
          <w:rFonts w:hint="cs"/>
        </w:rPr>
        <w:instrText>Ref139486135 \r \h</w:instrText>
      </w:r>
      <w:r w:rsidRPr="003B63CB">
        <w:rPr>
          <w:rStyle w:val="aff0"/>
          <w:rtl/>
        </w:rPr>
        <w:instrText xml:space="preserve">  \* </w:instrText>
      </w:r>
      <w:r w:rsidRPr="003B63CB">
        <w:rPr>
          <w:rStyle w:val="aff0"/>
        </w:rPr>
        <w:instrText>MERGEFORMAT</w:instrText>
      </w:r>
      <w:r w:rsidRPr="003B63CB">
        <w:rPr>
          <w:rStyle w:val="aff0"/>
          <w:rtl/>
        </w:rPr>
        <w:instrText xml:space="preserve"> </w:instrText>
      </w:r>
      <w:r w:rsidRPr="003B63CB">
        <w:rPr>
          <w:rStyle w:val="aff0"/>
          <w:rtl/>
        </w:rPr>
      </w:r>
      <w:r w:rsidRPr="003B63CB">
        <w:rPr>
          <w:rStyle w:val="aff0"/>
          <w:rtl/>
        </w:rPr>
        <w:fldChar w:fldCharType="separate"/>
      </w:r>
      <w:r w:rsidR="00D82181" w:rsidRPr="00D82181">
        <w:rPr>
          <w:rStyle w:val="aff0"/>
          <w:b/>
          <w:bCs/>
          <w:cs/>
        </w:rPr>
        <w:t>‎</w:t>
      </w:r>
      <w:r w:rsidR="00D82181" w:rsidRPr="00D82181">
        <w:rPr>
          <w:rStyle w:val="aff0"/>
          <w:b/>
          <w:bCs/>
          <w:rtl/>
        </w:rPr>
        <w:t>יד)</w:t>
      </w:r>
      <w:r w:rsidRPr="003B63CB">
        <w:rPr>
          <w:rStyle w:val="aff0"/>
          <w:rtl/>
        </w:rPr>
        <w:fldChar w:fldCharType="end"/>
      </w:r>
      <w:r w:rsidRPr="003B63CB">
        <w:rPr>
          <w:rStyle w:val="af"/>
          <w:rFonts w:hint="cs"/>
          <w:rtl/>
        </w:rPr>
        <w:t>, עיי"ש בדבריהם במה שביארו בזה].</w:t>
      </w:r>
      <w:bookmarkEnd w:id="3062"/>
    </w:p>
    <w:p w14:paraId="315686B3" w14:textId="77777777" w:rsidR="002748A5" w:rsidRPr="00747170" w:rsidRDefault="002748A5" w:rsidP="00747170">
      <w:pPr>
        <w:pStyle w:val="a2"/>
        <w:rPr>
          <w:rtl/>
        </w:rPr>
      </w:pPr>
      <w:r w:rsidRPr="00747170">
        <w:rPr>
          <w:rtl/>
        </w:rPr>
        <w:t>קשה מסותר על מנת לבנות כמו בתחלה וקורע בחמתו למירמי אימתא אאינשי דביתיה דהתם צריך למלאכה ורוצה הוא שיהא בעולם</w:t>
      </w:r>
      <w:r w:rsidRPr="00747170">
        <w:rPr>
          <w:rFonts w:hint="cs"/>
          <w:rtl/>
        </w:rPr>
        <w:t>.</w:t>
      </w:r>
    </w:p>
    <w:p w14:paraId="5F7A4C2E" w14:textId="77777777" w:rsidR="002748A5" w:rsidRPr="003B63CB" w:rsidRDefault="002748A5" w:rsidP="002748A5">
      <w:pPr>
        <w:pStyle w:val="a7"/>
      </w:pPr>
      <w:bookmarkStart w:id="3064" w:name="_Toc140074155"/>
      <w:bookmarkStart w:id="3065" w:name="_Toc140092004"/>
      <w:bookmarkStart w:id="3066" w:name="_Toc140144204"/>
      <w:bookmarkStart w:id="3067" w:name="_Toc140144435"/>
      <w:r w:rsidRPr="003B63CB">
        <w:rPr>
          <w:rFonts w:hint="cs"/>
          <w:rtl/>
        </w:rPr>
        <w:t>הבי' הב' בתוס' דכוונת רש"י דאין רצונו במציאות שצריך להטיל אימה ולא במעשה המלאכה</w:t>
      </w:r>
      <w:bookmarkEnd w:id="3064"/>
      <w:bookmarkEnd w:id="3065"/>
      <w:bookmarkEnd w:id="3066"/>
      <w:bookmarkEnd w:id="3067"/>
    </w:p>
    <w:p w14:paraId="71C961AA" w14:textId="77777777" w:rsidR="002748A5" w:rsidRPr="003B63CB" w:rsidRDefault="002748A5" w:rsidP="00BC7DC8">
      <w:pPr>
        <w:pStyle w:val="a3"/>
      </w:pPr>
      <w:bookmarkStart w:id="3068" w:name="_Hlk139747814"/>
      <w:r w:rsidRPr="003B63CB">
        <w:rPr>
          <w:rFonts w:hint="cs"/>
          <w:rtl/>
        </w:rPr>
        <w:t xml:space="preserve">וכתבו </w:t>
      </w:r>
      <w:r w:rsidRPr="003B63CB">
        <w:rPr>
          <w:rStyle w:val="aff4"/>
          <w:rFonts w:hint="cs"/>
          <w:vanish/>
          <w:rtl/>
        </w:rPr>
        <w:t>-</w:t>
      </w:r>
      <w:r w:rsidRPr="003B63CB">
        <w:rPr>
          <w:rStyle w:val="aff4"/>
          <w:rFonts w:hint="cs"/>
          <w:rtl/>
        </w:rPr>
        <w:t>התוס'</w:t>
      </w:r>
      <w:r w:rsidRPr="003B63CB">
        <w:rPr>
          <w:rStyle w:val="aff4"/>
          <w:rFonts w:hint="cs"/>
          <w:vanish/>
          <w:rtl/>
        </w:rPr>
        <w:t>-</w:t>
      </w:r>
      <w:r w:rsidRPr="003B63CB">
        <w:rPr>
          <w:rFonts w:hint="cs"/>
          <w:rtl/>
        </w:rPr>
        <w:t xml:space="preserve"> דהיה אפשר לתרץ דכוונת </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לומר דלא ניחא לו עצם הדבר שיהיה צריך להטיל אימה.</w:t>
      </w:r>
    </w:p>
    <w:p w14:paraId="55B4B89C" w14:textId="77777777" w:rsidR="002748A5" w:rsidRPr="00747170" w:rsidRDefault="002748A5" w:rsidP="00747170">
      <w:pPr>
        <w:pStyle w:val="a2"/>
        <w:rPr>
          <w:rtl/>
        </w:rPr>
      </w:pPr>
      <w:r w:rsidRPr="00747170">
        <w:rPr>
          <w:rtl/>
        </w:rPr>
        <w:t>ואין לומר דלא ניחא ליה שיצטרך למירמי אימתא</w:t>
      </w:r>
      <w:r w:rsidRPr="00747170">
        <w:rPr>
          <w:rFonts w:hint="cs"/>
          <w:rtl/>
        </w:rPr>
        <w:t xml:space="preserve"> על אנשי ביתו.</w:t>
      </w:r>
    </w:p>
    <w:p w14:paraId="111B0A46" w14:textId="77777777" w:rsidR="002748A5" w:rsidRPr="003B63CB" w:rsidRDefault="002748A5" w:rsidP="002748A5">
      <w:pPr>
        <w:pStyle w:val="a7"/>
      </w:pPr>
      <w:bookmarkStart w:id="3069" w:name="_Toc140074156"/>
      <w:bookmarkStart w:id="3070" w:name="_Toc140092005"/>
      <w:bookmarkStart w:id="3071" w:name="_Toc140144205"/>
      <w:bookmarkStart w:id="3072" w:name="_Toc140144436"/>
      <w:r w:rsidRPr="003B63CB">
        <w:rPr>
          <w:rFonts w:hint="cs"/>
          <w:rtl/>
        </w:rPr>
        <w:t>דחיית התוס' דבעושה פה למורסא וקורע יריעה שנפלה בה דרנא לא היה רוצה שיהיה כן וחי</w:t>
      </w:r>
      <w:bookmarkEnd w:id="3069"/>
      <w:bookmarkEnd w:id="3070"/>
      <w:bookmarkEnd w:id="3071"/>
      <w:bookmarkEnd w:id="3072"/>
    </w:p>
    <w:p w14:paraId="5565CB7D" w14:textId="77777777" w:rsidR="002748A5" w:rsidRPr="003B63CB" w:rsidRDefault="002748A5" w:rsidP="00BC7DC8">
      <w:pPr>
        <w:pStyle w:val="a3"/>
        <w:rPr>
          <w:rtl/>
        </w:rPr>
      </w:pPr>
      <w:bookmarkStart w:id="3073" w:name="_Ref140076837"/>
      <w:r w:rsidRPr="003B63CB">
        <w:rPr>
          <w:rFonts w:hint="cs"/>
          <w:rtl/>
        </w:rPr>
        <w:t xml:space="preserve">אך דחו </w:t>
      </w:r>
      <w:r w:rsidRPr="003B63CB">
        <w:rPr>
          <w:rStyle w:val="aff4"/>
          <w:rFonts w:hint="cs"/>
          <w:vanish/>
          <w:rtl/>
        </w:rPr>
        <w:t>-</w:t>
      </w:r>
      <w:r w:rsidRPr="003B63CB">
        <w:rPr>
          <w:rStyle w:val="aff4"/>
          <w:rFonts w:hint="cs"/>
          <w:rtl/>
        </w:rPr>
        <w:t>התוס'</w:t>
      </w:r>
      <w:r w:rsidRPr="003B63CB">
        <w:rPr>
          <w:rStyle w:val="aff4"/>
          <w:rFonts w:hint="cs"/>
          <w:vanish/>
          <w:rtl/>
        </w:rPr>
        <w:t>-</w:t>
      </w:r>
      <w:r w:rsidRPr="003B63CB">
        <w:rPr>
          <w:rFonts w:hint="cs"/>
          <w:rtl/>
        </w:rPr>
        <w:t xml:space="preserve"> דא"כ קשה במפיס מורסא כשרוצה לעושת לה פה קבוע, דיהיה פטור כיון דלא היה רוצה שתהיה מורסא מעיקרא, וכן בקורע יריעה שנפלה בה דרנא, דחשיב קורע ע"מ לתפור, דהוא לא היה רוצה שתפול דרנא כלל, וכן תופר בגד קרוע, דלא היה רוצה שיקרע</w:t>
      </w:r>
      <w:bookmarkStart w:id="3074" w:name="_Ref139359352"/>
      <w:bookmarkEnd w:id="3068"/>
      <w:r w:rsidRPr="003B63CB">
        <w:rPr>
          <w:rFonts w:hint="cs"/>
          <w:rtl/>
        </w:rPr>
        <w:t>.</w:t>
      </w:r>
      <w:bookmarkEnd w:id="3074"/>
      <w:r w:rsidRPr="003B63CB">
        <w:rPr>
          <w:rFonts w:hint="cs"/>
          <w:rtl/>
        </w:rPr>
        <w:t xml:space="preserve"> </w:t>
      </w:r>
      <w:r w:rsidRPr="003B63CB">
        <w:rPr>
          <w:rStyle w:val="af"/>
          <w:rFonts w:hint="cs"/>
          <w:rtl/>
        </w:rPr>
        <w:t xml:space="preserve">[ועי' במה שביאר </w:t>
      </w:r>
      <w:r w:rsidRPr="003B63CB">
        <w:rPr>
          <w:rStyle w:val="aff9"/>
          <w:rFonts w:hint="cs"/>
          <w:vanish/>
          <w:rtl/>
        </w:rPr>
        <w:t>-</w:t>
      </w:r>
      <w:r w:rsidRPr="003B63CB">
        <w:rPr>
          <w:rStyle w:val="aff9"/>
          <w:rFonts w:hint="cs"/>
          <w:rtl/>
        </w:rPr>
        <w:t>ה</w:t>
      </w:r>
      <w:r w:rsidRPr="003B63CB">
        <w:rPr>
          <w:rStyle w:val="aff9"/>
          <w:rFonts w:hint="cs"/>
          <w:vanish/>
          <w:rtl/>
        </w:rPr>
        <w:t>&lt; &gt;</w:t>
      </w:r>
      <w:r w:rsidRPr="003B63CB">
        <w:rPr>
          <w:rStyle w:val="aff9"/>
          <w:rFonts w:hint="cs"/>
          <w:rtl/>
        </w:rPr>
        <w:t>מרכבת המשנה</w:t>
      </w:r>
      <w:r w:rsidRPr="003B63CB">
        <w:rPr>
          <w:rStyle w:val="aff9"/>
          <w:rFonts w:hint="cs"/>
          <w:vanish/>
          <w:rtl/>
        </w:rPr>
        <w:t>-</w:t>
      </w:r>
      <w:r w:rsidRPr="003B63CB">
        <w:rPr>
          <w:rStyle w:val="af"/>
          <w:rFonts w:hint="cs"/>
          <w:rtl/>
        </w:rPr>
        <w:t xml:space="preserve"> </w:t>
      </w:r>
      <w:r w:rsidRPr="003B63CB">
        <w:rPr>
          <w:rStyle w:val="aff0"/>
          <w:rFonts w:hint="cs"/>
          <w:rtl/>
        </w:rPr>
        <w:t xml:space="preserve">(שבת פ"א ה"א ד"ה עוד הקשו התוס',סוד"ה וי"ל לפי מ"ש, ד"ה </w:t>
      </w:r>
      <w:r w:rsidRPr="003B63CB">
        <w:rPr>
          <w:rStyle w:val="aff0"/>
          <w:rtl/>
        </w:rPr>
        <w:t>ויותר נוח</w:t>
      </w:r>
      <w:r w:rsidRPr="003B63CB">
        <w:rPr>
          <w:rStyle w:val="aff0"/>
          <w:rFonts w:hint="cs"/>
          <w:rtl/>
        </w:rPr>
        <w:t>)</w:t>
      </w:r>
      <w:r w:rsidRPr="003B63CB">
        <w:rPr>
          <w:rStyle w:val="af"/>
          <w:rFonts w:hint="cs"/>
          <w:vanish/>
          <w:rtl/>
        </w:rPr>
        <w:t>=</w:t>
      </w:r>
      <w:r w:rsidRPr="003B63CB">
        <w:rPr>
          <w:rStyle w:val="af"/>
          <w:rFonts w:hint="cs"/>
          <w:rtl/>
        </w:rPr>
        <w:t xml:space="preserve"> אמאי לא הוקשה </w:t>
      </w:r>
      <w:r w:rsidRPr="003B63CB">
        <w:rPr>
          <w:rStyle w:val="aff9"/>
          <w:rFonts w:hint="cs"/>
          <w:vanish/>
          <w:rtl/>
        </w:rPr>
        <w:t>-</w:t>
      </w:r>
      <w:r w:rsidRPr="003B63CB">
        <w:rPr>
          <w:rStyle w:val="aff9"/>
          <w:rFonts w:hint="cs"/>
          <w:rtl/>
        </w:rPr>
        <w:t>לתוס'</w:t>
      </w:r>
      <w:r w:rsidRPr="003B63CB">
        <w:rPr>
          <w:rStyle w:val="aff9"/>
          <w:rFonts w:hint="cs"/>
          <w:vanish/>
          <w:rtl/>
        </w:rPr>
        <w:t>-</w:t>
      </w:r>
      <w:r w:rsidRPr="003B63CB">
        <w:rPr>
          <w:rStyle w:val="af"/>
          <w:rFonts w:hint="cs"/>
          <w:rtl/>
        </w:rPr>
        <w:t xml:space="preserve"> בתחילה ממפיס מורסא].</w:t>
      </w:r>
      <w:bookmarkEnd w:id="3073"/>
    </w:p>
    <w:p w14:paraId="3D3C4CC2" w14:textId="77777777" w:rsidR="002748A5" w:rsidRPr="00747170" w:rsidRDefault="002748A5" w:rsidP="00747170">
      <w:pPr>
        <w:pStyle w:val="a2"/>
        <w:rPr>
          <w:rtl/>
        </w:rPr>
      </w:pPr>
      <w:r w:rsidRPr="00747170">
        <w:rPr>
          <w:rtl/>
        </w:rPr>
        <w:t>אם כן מפיס מורסא לעשות לה פה יהא פטור דברצונו היה שלא היה מורסא מעולם וכן קורע יריעה שנפל בה דרנא על מנת לתפור דברצונו לא היה נופל בה וכן תופר בגד קרוע ברצונו שלא היה קרוע אלא צריך לפרש כדפירשתי.</w:t>
      </w:r>
    </w:p>
    <w:p w14:paraId="4D5979DB" w14:textId="77777777" w:rsidR="002748A5" w:rsidRPr="00C12F78" w:rsidRDefault="002748A5" w:rsidP="002748A5">
      <w:pPr>
        <w:pStyle w:val="afffff7"/>
        <w:rPr>
          <w:rtl/>
        </w:rPr>
      </w:pPr>
      <w:bookmarkStart w:id="3075" w:name="_Toc140074254"/>
      <w:bookmarkStart w:id="3076" w:name="_Toc140144349"/>
      <w:bookmarkStart w:id="3077" w:name="_Toc140144825"/>
      <w:bookmarkStart w:id="3078" w:name="_Hlk139453435"/>
      <w:bookmarkStart w:id="3079" w:name="_Toc163505940"/>
      <w:r w:rsidRPr="00C12F78">
        <w:rPr>
          <w:rtl/>
        </w:rPr>
        <w:t>תוספות חגיגה י' ע"ב</w:t>
      </w:r>
      <w:r w:rsidRPr="00C12F78">
        <w:rPr>
          <w:rFonts w:hint="cs"/>
          <w:rtl/>
        </w:rPr>
        <w:t xml:space="preserve"> ד"ה מלאכת</w:t>
      </w:r>
      <w:bookmarkEnd w:id="3075"/>
      <w:bookmarkEnd w:id="3076"/>
      <w:r w:rsidRPr="00C12F78">
        <w:rPr>
          <w:rtl/>
        </w:rPr>
        <w:t xml:space="preserve"> (ח)</w:t>
      </w:r>
      <w:bookmarkEnd w:id="3077"/>
      <w:bookmarkEnd w:id="3079"/>
    </w:p>
    <w:p w14:paraId="7CA4960E" w14:textId="77777777" w:rsidR="002748A5" w:rsidRPr="003B63CB" w:rsidRDefault="002748A5" w:rsidP="002748A5">
      <w:pPr>
        <w:pStyle w:val="a7"/>
        <w:rPr>
          <w:rtl/>
        </w:rPr>
      </w:pPr>
      <w:bookmarkStart w:id="3080" w:name="_Toc140074157"/>
      <w:bookmarkStart w:id="3081" w:name="_Toc140092006"/>
      <w:bookmarkStart w:id="3082" w:name="_Toc140144206"/>
      <w:bookmarkStart w:id="3083" w:name="_Toc140144437"/>
      <w:r w:rsidRPr="003B63CB">
        <w:rPr>
          <w:rFonts w:hint="cs"/>
          <w:rtl/>
        </w:rPr>
        <w:t>קו' התוס' בחגיגה דבסותר ע"מ לבנות וקורע ע"מ לתפור לא ניחא ליה שהיה הבנין או הקריעה</w:t>
      </w:r>
      <w:bookmarkEnd w:id="3080"/>
      <w:bookmarkEnd w:id="3081"/>
      <w:bookmarkEnd w:id="3082"/>
      <w:bookmarkEnd w:id="3083"/>
    </w:p>
    <w:p w14:paraId="511D8C93" w14:textId="64CDFF6D" w:rsidR="002748A5" w:rsidRPr="003B63CB" w:rsidRDefault="002748A5" w:rsidP="00BC7DC8">
      <w:pPr>
        <w:pStyle w:val="a3"/>
        <w:rPr>
          <w:rtl/>
        </w:rPr>
      </w:pPr>
      <w:bookmarkStart w:id="3084" w:name="_Ref139487518"/>
      <w:bookmarkStart w:id="3085" w:name="_Hlk139559974"/>
      <w:r w:rsidRPr="003B63CB">
        <w:rPr>
          <w:rFonts w:hint="cs"/>
          <w:rtl/>
        </w:rPr>
        <w:t xml:space="preserve">וכן הקשו </w:t>
      </w:r>
      <w:r w:rsidRPr="003B63CB">
        <w:rPr>
          <w:rStyle w:val="aff4"/>
          <w:rFonts w:hint="cs"/>
          <w:vanish/>
          <w:rtl/>
        </w:rPr>
        <w:t>-</w:t>
      </w:r>
      <w:r w:rsidRPr="003B63CB">
        <w:rPr>
          <w:rStyle w:val="aff4"/>
          <w:rFonts w:hint="cs"/>
          <w:rtl/>
        </w:rPr>
        <w:t>ה</w:t>
      </w:r>
      <w:r w:rsidRPr="003B63CB">
        <w:rPr>
          <w:rStyle w:val="aff4"/>
          <w:rFonts w:hint="cs"/>
          <w:vanish/>
          <w:rtl/>
        </w:rPr>
        <w:t xml:space="preserve">&lt;, </w:t>
      </w:r>
      <w:r w:rsidRPr="003B63CB">
        <w:rPr>
          <w:rStyle w:val="aff4"/>
          <w:vanish/>
          <w:rtl/>
        </w:rPr>
        <w:fldChar w:fldCharType="begin"/>
      </w:r>
      <w:r w:rsidRPr="003B63CB">
        <w:rPr>
          <w:rStyle w:val="aff4"/>
          <w:vanish/>
          <w:rtl/>
        </w:rPr>
        <w:instrText xml:space="preserve"> </w:instrText>
      </w:r>
      <w:r w:rsidRPr="003B63CB">
        <w:rPr>
          <w:rStyle w:val="aff4"/>
          <w:rFonts w:hint="cs"/>
          <w:vanish/>
        </w:rPr>
        <w:instrText>REF</w:instrText>
      </w:r>
      <w:r w:rsidRPr="003B63CB">
        <w:rPr>
          <w:rStyle w:val="aff4"/>
          <w:rFonts w:hint="cs"/>
          <w:vanish/>
          <w:rtl/>
        </w:rPr>
        <w:instrText xml:space="preserve"> _</w:instrText>
      </w:r>
      <w:r w:rsidRPr="003B63CB">
        <w:rPr>
          <w:rStyle w:val="aff4"/>
          <w:rFonts w:hint="cs"/>
          <w:vanish/>
        </w:rPr>
        <w:instrText>Ref139487518 \r \h</w:instrText>
      </w:r>
      <w:r w:rsidRPr="003B63CB">
        <w:rPr>
          <w:rStyle w:val="aff4"/>
          <w:vanish/>
          <w:rtl/>
        </w:rPr>
        <w:instrText xml:space="preserve">  \* </w:instrText>
      </w:r>
      <w:r w:rsidRPr="003B63CB">
        <w:rPr>
          <w:rStyle w:val="aff4"/>
          <w:vanish/>
        </w:rPr>
        <w:instrText>MERGEFORMAT</w:instrText>
      </w:r>
      <w:r w:rsidRPr="003B63CB">
        <w:rPr>
          <w:rStyle w:val="aff4"/>
          <w:vanish/>
          <w:rtl/>
        </w:rPr>
        <w:instrText xml:space="preserve"> </w:instrText>
      </w:r>
      <w:r w:rsidRPr="003B63CB">
        <w:rPr>
          <w:rStyle w:val="aff4"/>
          <w:vanish/>
          <w:rtl/>
        </w:rPr>
      </w:r>
      <w:r w:rsidRPr="003B63CB">
        <w:rPr>
          <w:rStyle w:val="aff4"/>
          <w:vanish/>
          <w:rtl/>
        </w:rPr>
        <w:fldChar w:fldCharType="separate"/>
      </w:r>
      <w:r w:rsidR="00D82181">
        <w:rPr>
          <w:rStyle w:val="aff4"/>
          <w:vanish/>
          <w:cs/>
        </w:rPr>
        <w:t>‎</w:t>
      </w:r>
      <w:r w:rsidR="00D82181">
        <w:rPr>
          <w:rStyle w:val="aff4"/>
          <w:vanish/>
          <w:rtl/>
        </w:rPr>
        <w:t>יד)</w:t>
      </w:r>
      <w:r w:rsidRPr="003B63CB">
        <w:rPr>
          <w:rStyle w:val="aff4"/>
          <w:vanish/>
          <w:rtl/>
        </w:rPr>
        <w:fldChar w:fldCharType="end"/>
      </w:r>
      <w:r w:rsidRPr="003B63CB">
        <w:rPr>
          <w:rStyle w:val="aff4"/>
          <w:rFonts w:hint="cs"/>
          <w:vanish/>
          <w:rtl/>
        </w:rPr>
        <w:t xml:space="preserve"> &gt;</w:t>
      </w:r>
      <w:r w:rsidRPr="003B63CB">
        <w:rPr>
          <w:rStyle w:val="aff4"/>
          <w:rFonts w:hint="cs"/>
          <w:rtl/>
        </w:rPr>
        <w:t>תוס' בחגיגה</w:t>
      </w:r>
      <w:r w:rsidRPr="003B63CB">
        <w:rPr>
          <w:rStyle w:val="aff4"/>
          <w:rFonts w:hint="cs"/>
          <w:vanish/>
          <w:rtl/>
        </w:rPr>
        <w:t>-</w:t>
      </w:r>
      <w:r w:rsidRPr="003B63CB">
        <w:rPr>
          <w:rFonts w:hint="cs"/>
          <w:rtl/>
        </w:rPr>
        <w:t xml:space="preserve"> </w:t>
      </w:r>
      <w:r w:rsidRPr="003B63CB">
        <w:rPr>
          <w:rStyle w:val="af2"/>
          <w:rFonts w:eastAsia="Guttman Hodes" w:hint="cs"/>
          <w:rtl/>
        </w:rPr>
        <w:t>(י: ד"ה מלאכת)</w:t>
      </w:r>
      <w:r w:rsidRPr="003B63CB">
        <w:rPr>
          <w:rFonts w:hint="cs"/>
          <w:vanish/>
          <w:rtl/>
        </w:rPr>
        <w:t>=</w:t>
      </w:r>
      <w:r w:rsidRPr="003B63CB">
        <w:rPr>
          <w:rFonts w:hint="cs"/>
          <w:rtl/>
        </w:rPr>
        <w:t xml:space="preserve"> על מ"ש </w:t>
      </w:r>
      <w:r w:rsidRPr="003B63CB">
        <w:rPr>
          <w:rStyle w:val="aff4"/>
          <w:rFonts w:hint="cs"/>
          <w:vanish/>
          <w:rtl/>
        </w:rPr>
        <w:t>-</w:t>
      </w:r>
      <w:r w:rsidRPr="003B63CB">
        <w:rPr>
          <w:rStyle w:val="aff4"/>
          <w:rFonts w:hint="cs"/>
          <w:rtl/>
        </w:rPr>
        <w:t>רש"י בחגיגה</w:t>
      </w:r>
      <w:r w:rsidRPr="003B63CB">
        <w:rPr>
          <w:rStyle w:val="aff4"/>
          <w:rFonts w:hint="cs"/>
          <w:vanish/>
          <w:rtl/>
        </w:rPr>
        <w:t>-</w:t>
      </w:r>
      <w:r w:rsidRPr="003B63CB">
        <w:rPr>
          <w:rFonts w:hint="cs"/>
          <w:rtl/>
        </w:rPr>
        <w:t xml:space="preserve"> </w:t>
      </w:r>
      <w:r w:rsidRPr="003B63C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Ref139447610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ט)</w:t>
      </w:r>
      <w:r>
        <w:rPr>
          <w:rStyle w:val="af2"/>
          <w:rFonts w:eastAsia="Guttman Hodes"/>
          <w:rtl/>
        </w:rPr>
        <w:fldChar w:fldCharType="end"/>
      </w:r>
      <w:r w:rsidRPr="003B63CB">
        <w:rPr>
          <w:rFonts w:hint="cs"/>
          <w:rtl/>
        </w:rPr>
        <w:t xml:space="preserve"> דהחופר גומא אין לו כל כוונה לבניין של הגומא, דברצונו לא היה הבנין בהעולם, דא"כ אף בסותר ע"מ לבנות יפטר, דלא ניחא ליה שהיה הבנין בעולם, וכן בקורע ע"מ לתפור, לא ניחא ליה בקריעה הזו מעולם, וה"ה בקורע על מתו או בטרדא או בחמתו למירמי אימתא אאנשי דביתיה, ועי' במה שתירץ </w:t>
      </w:r>
      <w:r w:rsidRPr="003B63CB">
        <w:rPr>
          <w:rStyle w:val="aff4"/>
          <w:vanish/>
          <w:rtl/>
        </w:rPr>
        <w:t>-</w:t>
      </w:r>
      <w:r w:rsidRPr="003B63CB">
        <w:rPr>
          <w:rStyle w:val="aff4"/>
          <w:rtl/>
        </w:rPr>
        <w:t>ה</w:t>
      </w:r>
      <w:r w:rsidRPr="003B63CB">
        <w:rPr>
          <w:rStyle w:val="aff4"/>
          <w:rFonts w:hint="cs"/>
          <w:vanish/>
          <w:rtl/>
        </w:rPr>
        <w:t>&lt; &gt;</w:t>
      </w:r>
      <w:r w:rsidRPr="003B63CB">
        <w:rPr>
          <w:rStyle w:val="aff4"/>
          <w:rtl/>
        </w:rPr>
        <w:t>כפות תמרים</w:t>
      </w:r>
      <w:r w:rsidRPr="003B63CB">
        <w:rPr>
          <w:rStyle w:val="aff4"/>
          <w:vanish/>
          <w:rtl/>
        </w:rPr>
        <w:t>-</w:t>
      </w:r>
      <w:r w:rsidRPr="003B63CB">
        <w:rPr>
          <w:rtl/>
        </w:rPr>
        <w:t xml:space="preserve"> </w:t>
      </w:r>
      <w:r w:rsidRPr="003B63CB">
        <w:rPr>
          <w:rStyle w:val="af2"/>
          <w:rFonts w:eastAsia="Guttman Hodes"/>
          <w:rtl/>
        </w:rPr>
        <w:t xml:space="preserve">(סוכה לג: </w:t>
      </w:r>
      <w:r w:rsidRPr="003B63CB">
        <w:rPr>
          <w:rStyle w:val="af2"/>
          <w:rFonts w:eastAsia="Guttman Hodes" w:hint="cs"/>
          <w:rtl/>
        </w:rPr>
        <w:t>סו</w:t>
      </w:r>
      <w:r w:rsidRPr="003B63CB">
        <w:rPr>
          <w:rStyle w:val="af2"/>
          <w:rFonts w:eastAsia="Guttman Hodes"/>
          <w:rtl/>
        </w:rPr>
        <w:t>ד"ה עוד</w:t>
      </w:r>
      <w:r w:rsidRPr="003B63CB">
        <w:rPr>
          <w:rStyle w:val="af2"/>
          <w:rFonts w:eastAsia="Guttman Hodes" w:hint="cs"/>
          <w:rtl/>
        </w:rPr>
        <w:t xml:space="preserve"> הקשו</w:t>
      </w:r>
      <w:r w:rsidRPr="003B63CB">
        <w:rPr>
          <w:rStyle w:val="af2"/>
          <w:rFonts w:eastAsia="Guttman Hodes"/>
          <w:rtl/>
        </w:rPr>
        <w:t>)</w:t>
      </w:r>
      <w:r w:rsidRPr="003B63CB">
        <w:rPr>
          <w:vanish/>
          <w:rtl/>
        </w:rPr>
        <w:t>=</w:t>
      </w:r>
      <w:r w:rsidRPr="003B63CB">
        <w:rPr>
          <w:rFonts w:hint="cs"/>
          <w:rtl/>
        </w:rPr>
        <w:t xml:space="preserve"> את קושית </w:t>
      </w:r>
      <w:r w:rsidRPr="003B63CB">
        <w:rPr>
          <w:rStyle w:val="aff4"/>
          <w:rFonts w:hint="cs"/>
          <w:vanish/>
          <w:rtl/>
        </w:rPr>
        <w:t>-</w:t>
      </w:r>
      <w:r w:rsidRPr="003B63CB">
        <w:rPr>
          <w:rStyle w:val="aff4"/>
          <w:rFonts w:hint="cs"/>
          <w:rtl/>
        </w:rPr>
        <w:t>התוס' בחגיגה</w:t>
      </w:r>
      <w:r w:rsidRPr="003B63CB">
        <w:rPr>
          <w:rStyle w:val="aff4"/>
          <w:rFonts w:hint="cs"/>
          <w:vanish/>
          <w:rtl/>
        </w:rPr>
        <w:t>-</w:t>
      </w:r>
      <w:r w:rsidRPr="003B63CB">
        <w:rPr>
          <w:rStyle w:val="aff4"/>
          <w:rFonts w:hint="cs"/>
          <w:rtl/>
        </w:rPr>
        <w:t xml:space="preserve"> </w:t>
      </w:r>
      <w:r w:rsidRPr="003B63CB">
        <w:rPr>
          <w:rFonts w:hint="cs"/>
          <w:rtl/>
        </w:rPr>
        <w:t xml:space="preserve">לפי מה שביאר </w:t>
      </w:r>
      <w:r w:rsidRPr="003B63CB">
        <w:rPr>
          <w:rStyle w:val="aff4"/>
          <w:vanish/>
          <w:rtl/>
        </w:rPr>
        <w:t>-</w:t>
      </w:r>
      <w:r w:rsidRPr="003B63CB">
        <w:rPr>
          <w:rStyle w:val="aff4"/>
          <w:rtl/>
        </w:rPr>
        <w:t>ה</w:t>
      </w:r>
      <w:r w:rsidRPr="003B63CB">
        <w:rPr>
          <w:rStyle w:val="aff4"/>
          <w:vanish/>
          <w:rtl/>
        </w:rPr>
        <w:t>&lt;, &gt;</w:t>
      </w:r>
      <w:r w:rsidRPr="003B63CB">
        <w:rPr>
          <w:rStyle w:val="aff4"/>
          <w:rtl/>
        </w:rPr>
        <w:t>כפות תמרים</w:t>
      </w:r>
      <w:r w:rsidRPr="003B63CB">
        <w:rPr>
          <w:rStyle w:val="aff4"/>
          <w:vanish/>
          <w:rtl/>
        </w:rPr>
        <w:t>-</w:t>
      </w:r>
      <w:r w:rsidRPr="003B63CB">
        <w:rPr>
          <w:rtl/>
        </w:rPr>
        <w:t xml:space="preserve"> </w:t>
      </w:r>
      <w:bookmarkEnd w:id="3084"/>
      <w:r w:rsidRPr="003B63CB">
        <w:rPr>
          <w:rStyle w:val="af2"/>
          <w:rFonts w:eastAsia="Guttman Hodes" w:hint="cs"/>
          <w:rtl/>
        </w:rPr>
        <w:t xml:space="preserve">(עי' אות </w:t>
      </w:r>
      <w:bookmarkEnd w:id="3085"/>
      <w:r w:rsidRPr="003B63CB">
        <w:rPr>
          <w:rStyle w:val="af2"/>
          <w:rFonts w:eastAsia="Guttman Hodes"/>
          <w:rtl/>
        </w:rPr>
        <w:fldChar w:fldCharType="begin"/>
      </w:r>
      <w:r w:rsidRPr="003B63CB">
        <w:rPr>
          <w:rStyle w:val="af2"/>
          <w:rFonts w:eastAsia="Guttman Hodes"/>
          <w:rtl/>
        </w:rPr>
        <w:instrText xml:space="preserve"> </w:instrText>
      </w:r>
      <w:r w:rsidRPr="003B63CB">
        <w:rPr>
          <w:rStyle w:val="af2"/>
          <w:rFonts w:eastAsia="Guttman Hodes"/>
        </w:rPr>
        <w:instrText>REF</w:instrText>
      </w:r>
      <w:r w:rsidRPr="003B63CB">
        <w:rPr>
          <w:rStyle w:val="af2"/>
          <w:rFonts w:eastAsia="Guttman Hodes"/>
          <w:rtl/>
        </w:rPr>
        <w:instrText xml:space="preserve"> _</w:instrText>
      </w:r>
      <w:r w:rsidRPr="003B63CB">
        <w:rPr>
          <w:rStyle w:val="af2"/>
          <w:rFonts w:eastAsia="Guttman Hodes"/>
        </w:rPr>
        <w:instrText>Ref139489597 \r \h</w:instrText>
      </w:r>
      <w:r w:rsidRPr="003B63CB">
        <w:rPr>
          <w:rStyle w:val="af2"/>
          <w:rFonts w:eastAsia="Guttman Hodes"/>
          <w:rtl/>
        </w:rPr>
        <w:instrText xml:space="preserve">  \* </w:instrText>
      </w:r>
      <w:r w:rsidRPr="003B63CB">
        <w:rPr>
          <w:rStyle w:val="af2"/>
          <w:rFonts w:eastAsia="Guttman Hodes"/>
        </w:rPr>
        <w:instrText>MERGEFORMAT</w:instrText>
      </w:r>
      <w:r w:rsidRPr="003B63CB">
        <w:rPr>
          <w:rStyle w:val="af2"/>
          <w:rFonts w:eastAsia="Guttman Hodes"/>
          <w:rtl/>
        </w:rPr>
        <w:instrText xml:space="preserve"> </w:instrText>
      </w:r>
      <w:r w:rsidRPr="003B63CB">
        <w:rPr>
          <w:rStyle w:val="af2"/>
          <w:rFonts w:eastAsia="Guttman Hodes"/>
          <w:rtl/>
        </w:rPr>
      </w:r>
      <w:r w:rsidRPr="003B63CB">
        <w:rPr>
          <w:rStyle w:val="af2"/>
          <w:rFonts w:eastAsia="Guttman Hodes"/>
          <w:rtl/>
        </w:rPr>
        <w:fldChar w:fldCharType="separate"/>
      </w:r>
      <w:r w:rsidR="00D82181">
        <w:rPr>
          <w:rStyle w:val="af2"/>
          <w:rFonts w:eastAsia="Guttman Hodes"/>
          <w:cs/>
        </w:rPr>
        <w:t>‎</w:t>
      </w:r>
      <w:r w:rsidR="00D82181">
        <w:rPr>
          <w:rStyle w:val="af2"/>
          <w:rFonts w:eastAsia="Guttman Hodes"/>
          <w:rtl/>
        </w:rPr>
        <w:t>טו)</w:t>
      </w:r>
      <w:r w:rsidRPr="003B63CB">
        <w:rPr>
          <w:rStyle w:val="af2"/>
          <w:rFonts w:eastAsia="Guttman Hodes"/>
          <w:rtl/>
        </w:rPr>
        <w:fldChar w:fldCharType="end"/>
      </w:r>
      <w:r w:rsidRPr="003B63CB">
        <w:rPr>
          <w:rFonts w:hint="cs"/>
          <w:rtl/>
        </w:rPr>
        <w:t xml:space="preserve"> בדברי </w:t>
      </w:r>
      <w:bookmarkStart w:id="3086" w:name="_Hlk139988372"/>
      <w:r w:rsidRPr="003B63CB">
        <w:rPr>
          <w:rStyle w:val="aff4"/>
          <w:rFonts w:hint="cs"/>
          <w:vanish/>
          <w:rtl/>
        </w:rPr>
        <w:t>-</w:t>
      </w:r>
      <w:r w:rsidRPr="003B63CB">
        <w:rPr>
          <w:rStyle w:val="aff4"/>
          <w:rFonts w:hint="cs"/>
          <w:rtl/>
        </w:rPr>
        <w:t>התוס'</w:t>
      </w:r>
      <w:bookmarkEnd w:id="3086"/>
      <w:r w:rsidRPr="0006582C">
        <w:rPr>
          <w:rtl/>
        </w:rPr>
        <w:t xml:space="preserve"> </w:t>
      </w:r>
      <w:r w:rsidRPr="0006582C">
        <w:rPr>
          <w:rStyle w:val="aff4"/>
          <w:rtl/>
        </w:rPr>
        <w:t>לעיל</w:t>
      </w:r>
      <w:r w:rsidRPr="003B63CB">
        <w:rPr>
          <w:rStyle w:val="aff4"/>
          <w:rFonts w:hint="cs"/>
          <w:vanish/>
          <w:rtl/>
        </w:rPr>
        <w:t>-</w:t>
      </w:r>
      <w:r w:rsidRPr="003B63CB">
        <w:rPr>
          <w:rFonts w:hint="cs"/>
          <w:rtl/>
        </w:rPr>
        <w:t xml:space="preserve"> </w:t>
      </w:r>
      <w:r w:rsidRPr="003B63CB">
        <w:rPr>
          <w:rStyle w:val="af"/>
          <w:rFonts w:hint="cs"/>
          <w:rtl/>
        </w:rPr>
        <w:t>[</w:t>
      </w:r>
      <w:r w:rsidRPr="003B63CB">
        <w:rPr>
          <w:rStyle w:val="aff9"/>
          <w:rFonts w:hint="cs"/>
          <w:vanish/>
          <w:rtl/>
        </w:rPr>
        <w:t>-</w:t>
      </w:r>
      <w:r w:rsidRPr="003B63CB">
        <w:rPr>
          <w:rStyle w:val="aff9"/>
          <w:rFonts w:hint="cs"/>
          <w:rtl/>
        </w:rPr>
        <w:t>לא:</w:t>
      </w:r>
      <w:r w:rsidRPr="003B63CB">
        <w:rPr>
          <w:rStyle w:val="aff9"/>
          <w:rFonts w:hint="cs"/>
          <w:vanish/>
          <w:rtl/>
        </w:rPr>
        <w:t>-</w:t>
      </w:r>
      <w:r w:rsidRPr="003B63CB">
        <w:rPr>
          <w:rStyle w:val="af"/>
          <w:rFonts w:hint="cs"/>
          <w:rtl/>
        </w:rPr>
        <w:t>]</w:t>
      </w:r>
      <w:r w:rsidRPr="003B63CB">
        <w:rPr>
          <w:rFonts w:hint="cs"/>
          <w:rtl/>
        </w:rPr>
        <w:t xml:space="preserve"> </w:t>
      </w:r>
      <w:r w:rsidRPr="003B63CB">
        <w:rPr>
          <w:rStyle w:val="af2"/>
          <w:rFonts w:eastAsia="Guttman Hodes" w:hint="cs"/>
          <w:rtl/>
        </w:rPr>
        <w:t>(</w:t>
      </w:r>
      <w:r w:rsidRPr="00D712FD">
        <w:rPr>
          <w:rStyle w:val="af2"/>
          <w:rFonts w:eastAsia="Guttman Rashi" w:hint="cs"/>
          <w:rtl/>
        </w:rPr>
        <w:t>הובאו בסימן ט'</w:t>
      </w:r>
      <w:r w:rsidRPr="003B63CB">
        <w:rPr>
          <w:rStyle w:val="af2"/>
          <w:rFonts w:eastAsia="Guttman Hodes" w:hint="cs"/>
          <w:rtl/>
        </w:rPr>
        <w:t xml:space="preserve"> אות </w:t>
      </w:r>
      <w:r w:rsidRPr="003B63CB">
        <w:rPr>
          <w:rStyle w:val="af2"/>
          <w:rFonts w:eastAsia="Guttman Hodes"/>
          <w:rtl/>
        </w:rPr>
        <w:fldChar w:fldCharType="begin"/>
      </w:r>
      <w:r w:rsidRPr="003B63CB">
        <w:rPr>
          <w:rStyle w:val="af2"/>
          <w:rFonts w:eastAsia="Guttman Hodes"/>
          <w:rtl/>
        </w:rPr>
        <w:instrText xml:space="preserve"> </w:instrText>
      </w:r>
      <w:r w:rsidRPr="003B63CB">
        <w:rPr>
          <w:rStyle w:val="af2"/>
          <w:rFonts w:eastAsia="Guttman Hodes" w:hint="cs"/>
        </w:rPr>
        <w:instrText>REF</w:instrText>
      </w:r>
      <w:r w:rsidRPr="003B63CB">
        <w:rPr>
          <w:rStyle w:val="af2"/>
          <w:rFonts w:eastAsia="Guttman Hodes" w:hint="cs"/>
          <w:rtl/>
        </w:rPr>
        <w:instrText xml:space="preserve"> _</w:instrText>
      </w:r>
      <w:r w:rsidRPr="003B63CB">
        <w:rPr>
          <w:rStyle w:val="af2"/>
          <w:rFonts w:eastAsia="Guttman Hodes" w:hint="cs"/>
        </w:rPr>
        <w:instrText>Ref139486135 \r \h</w:instrText>
      </w:r>
      <w:r w:rsidRPr="003B63CB">
        <w:rPr>
          <w:rStyle w:val="af2"/>
          <w:rFonts w:eastAsia="Guttman Hodes"/>
          <w:rtl/>
        </w:rPr>
        <w:instrText xml:space="preserve">  \* </w:instrText>
      </w:r>
      <w:r w:rsidRPr="003B63CB">
        <w:rPr>
          <w:rStyle w:val="af2"/>
          <w:rFonts w:eastAsia="Guttman Hodes"/>
        </w:rPr>
        <w:instrText>MERGEFORMAT</w:instrText>
      </w:r>
      <w:r w:rsidRPr="003B63CB">
        <w:rPr>
          <w:rStyle w:val="af2"/>
          <w:rFonts w:eastAsia="Guttman Hodes"/>
          <w:rtl/>
        </w:rPr>
        <w:instrText xml:space="preserve"> </w:instrText>
      </w:r>
      <w:r w:rsidRPr="003B63CB">
        <w:rPr>
          <w:rStyle w:val="af2"/>
          <w:rFonts w:eastAsia="Guttman Hodes"/>
          <w:rtl/>
        </w:rPr>
      </w:r>
      <w:r w:rsidRPr="003B63CB">
        <w:rPr>
          <w:rStyle w:val="af2"/>
          <w:rFonts w:eastAsia="Guttman Hodes"/>
          <w:rtl/>
        </w:rPr>
        <w:fldChar w:fldCharType="separate"/>
      </w:r>
      <w:r w:rsidR="00D82181" w:rsidRPr="00D82181">
        <w:rPr>
          <w:rStyle w:val="af2"/>
          <w:rFonts w:eastAsia="Guttman Hodes"/>
          <w:b/>
          <w:bCs/>
          <w:cs/>
        </w:rPr>
        <w:t>‎</w:t>
      </w:r>
      <w:r w:rsidR="00D82181" w:rsidRPr="00D82181">
        <w:rPr>
          <w:rStyle w:val="af2"/>
          <w:rFonts w:eastAsia="Guttman Hodes"/>
          <w:b/>
          <w:bCs/>
          <w:rtl/>
        </w:rPr>
        <w:t>יד)</w:t>
      </w:r>
      <w:r w:rsidRPr="003B63CB">
        <w:rPr>
          <w:rStyle w:val="af2"/>
          <w:rFonts w:eastAsia="Guttman Hodes"/>
          <w:rtl/>
        </w:rPr>
        <w:fldChar w:fldCharType="end"/>
      </w:r>
      <w:r w:rsidRPr="003B63CB">
        <w:rPr>
          <w:rFonts w:hint="cs"/>
          <w:rtl/>
        </w:rPr>
        <w:t xml:space="preserve">. </w:t>
      </w:r>
    </w:p>
    <w:p w14:paraId="75A6B60C" w14:textId="77777777" w:rsidR="002748A5" w:rsidRPr="00747170" w:rsidRDefault="002748A5" w:rsidP="00747170">
      <w:pPr>
        <w:pStyle w:val="a2"/>
        <w:rPr>
          <w:rtl/>
        </w:rPr>
      </w:pPr>
      <w:r w:rsidRPr="00747170">
        <w:rPr>
          <w:rtl/>
        </w:rPr>
        <w:t>מלאכת מחשבת אסרה תורה - פרש"י שאינה צריכה לגופה במין מלאכה זאת שברצונו לא היה בנין זה בעולם ולא יתכן דאם כן בכל מלאכות נמי כגון סותר ע"מ לבנות במקומו למה מיחייב דהא לא ניחא ליה שהיה הבנין בעולם וכן בקורע ע"מ לתפור ג"</w:t>
      </w:r>
      <w:bookmarkEnd w:id="3078"/>
      <w:r w:rsidRPr="00747170">
        <w:rPr>
          <w:rtl/>
        </w:rPr>
        <w:t>כ לא ניחא ליה בקרע זה מעולם וקורע הבא באבלו או מחמת טרדא וקורע בחמתו למרמי אימתיה</w:t>
      </w:r>
      <w:r w:rsidRPr="00747170">
        <w:rPr>
          <w:rFonts w:hint="cs"/>
          <w:rtl/>
        </w:rPr>
        <w:t>.</w:t>
      </w:r>
    </w:p>
    <w:p w14:paraId="17A2D19D" w14:textId="77777777" w:rsidR="002748A5" w:rsidRPr="003B63CB" w:rsidRDefault="002748A5" w:rsidP="002748A5">
      <w:pPr>
        <w:pStyle w:val="1"/>
        <w:rPr>
          <w:rtl/>
        </w:rPr>
      </w:pPr>
      <w:bookmarkStart w:id="3087" w:name="_Toc140074158"/>
      <w:bookmarkStart w:id="3088" w:name="_Toc140092007"/>
      <w:bookmarkStart w:id="3089" w:name="_Toc140144207"/>
      <w:bookmarkStart w:id="3090" w:name="_Toc140144438"/>
      <w:r w:rsidRPr="003B63CB">
        <w:rPr>
          <w:rFonts w:hint="cs"/>
          <w:rtl/>
        </w:rPr>
        <w:t>בי' הכפו"ת ברש"י דסילוק נזק באינו רוצה בגוף מעשה המלאכה</w:t>
      </w:r>
      <w:bookmarkEnd w:id="3087"/>
      <w:bookmarkEnd w:id="3088"/>
      <w:bookmarkEnd w:id="3089"/>
      <w:bookmarkEnd w:id="3090"/>
    </w:p>
    <w:p w14:paraId="5C503333" w14:textId="77777777" w:rsidR="002748A5" w:rsidRPr="00C12F78" w:rsidRDefault="002748A5" w:rsidP="002748A5">
      <w:pPr>
        <w:pStyle w:val="afffff7"/>
        <w:rPr>
          <w:rtl/>
        </w:rPr>
      </w:pPr>
      <w:bookmarkStart w:id="3091" w:name="_Toc140074255"/>
      <w:bookmarkStart w:id="3092" w:name="_Toc140144350"/>
      <w:bookmarkStart w:id="3093" w:name="_Toc140144826"/>
      <w:bookmarkStart w:id="3094" w:name="_Toc163505941"/>
      <w:r w:rsidRPr="00C12F78">
        <w:rPr>
          <w:rtl/>
        </w:rPr>
        <w:t>כפות תמרים סוכה ל"ג ע"ב</w:t>
      </w:r>
      <w:r w:rsidRPr="00C12F78">
        <w:rPr>
          <w:rFonts w:hint="cs"/>
          <w:rtl/>
        </w:rPr>
        <w:t xml:space="preserve"> ד"ה כתבו עוד</w:t>
      </w:r>
      <w:bookmarkEnd w:id="3091"/>
      <w:bookmarkEnd w:id="3092"/>
      <w:r w:rsidRPr="00C12F78">
        <w:rPr>
          <w:rtl/>
        </w:rPr>
        <w:t xml:space="preserve"> (ח)</w:t>
      </w:r>
      <w:bookmarkEnd w:id="3093"/>
      <w:bookmarkEnd w:id="3094"/>
    </w:p>
    <w:p w14:paraId="0BC90A17" w14:textId="77777777" w:rsidR="002748A5" w:rsidRPr="003B63CB" w:rsidRDefault="002748A5" w:rsidP="002748A5">
      <w:pPr>
        <w:pStyle w:val="a7"/>
        <w:rPr>
          <w:rtl/>
        </w:rPr>
      </w:pPr>
      <w:bookmarkStart w:id="3095" w:name="_Toc140074159"/>
      <w:bookmarkStart w:id="3096" w:name="_Toc140092008"/>
      <w:bookmarkStart w:id="3097" w:name="_Toc140144208"/>
      <w:bookmarkStart w:id="3098" w:name="_Toc140144439"/>
      <w:r w:rsidRPr="003B63CB">
        <w:rPr>
          <w:rFonts w:hint="cs"/>
          <w:rtl/>
        </w:rPr>
        <w:t>בי' הכפו"ת ברש"י דבסותר ע"מ לבנות אינו רוצה בסתירה דהיא סילוק הנזק ולא בבנין שסותרו</w:t>
      </w:r>
      <w:bookmarkEnd w:id="3095"/>
      <w:bookmarkEnd w:id="3096"/>
      <w:bookmarkEnd w:id="3097"/>
      <w:bookmarkEnd w:id="3098"/>
    </w:p>
    <w:p w14:paraId="3A94D0AC" w14:textId="153558BB" w:rsidR="002748A5" w:rsidRPr="003B63CB" w:rsidRDefault="002748A5" w:rsidP="00BC7DC8">
      <w:pPr>
        <w:pStyle w:val="a3"/>
      </w:pPr>
      <w:bookmarkStart w:id="3099" w:name="_Ref139489597"/>
      <w:bookmarkStart w:id="3100" w:name="_Ref139750874"/>
      <w:r w:rsidRPr="003B63CB">
        <w:rPr>
          <w:rFonts w:hint="cs"/>
          <w:rtl/>
        </w:rPr>
        <w:t xml:space="preserve">במה שהקשו </w:t>
      </w:r>
      <w:r w:rsidRPr="003B63CB">
        <w:rPr>
          <w:rStyle w:val="aff4"/>
          <w:rFonts w:hint="cs"/>
          <w:vanish/>
          <w:rtl/>
        </w:rPr>
        <w:t>-</w:t>
      </w:r>
      <w:r w:rsidRPr="003B63CB">
        <w:rPr>
          <w:rStyle w:val="aff4"/>
          <w:rFonts w:hint="cs"/>
          <w:rtl/>
        </w:rPr>
        <w:t>התוס'</w:t>
      </w:r>
      <w:r w:rsidRPr="003B63CB">
        <w:rPr>
          <w:rStyle w:val="aff4"/>
          <w:rFonts w:hint="cs"/>
          <w:vanish/>
          <w:rtl/>
        </w:rPr>
        <w:t>-</w:t>
      </w:r>
      <w:r w:rsidRPr="003B63CB">
        <w:rPr>
          <w:rFonts w:hint="cs"/>
          <w:rtl/>
        </w:rPr>
        <w:t xml:space="preserve"> </w:t>
      </w:r>
      <w:r w:rsidRPr="003B63CB">
        <w:rPr>
          <w:rStyle w:val="af2"/>
          <w:rFonts w:eastAsia="Guttman Hodes" w:hint="cs"/>
          <w:rtl/>
        </w:rPr>
        <w:t>(עי' אות</w:t>
      </w:r>
      <w:r w:rsidRPr="003B63CB">
        <w:rPr>
          <w:rStyle w:val="af2"/>
          <w:rFonts w:eastAsia="Guttman Hodes"/>
          <w:rtl/>
        </w:rPr>
        <w:t xml:space="preserve"> </w:t>
      </w:r>
      <w:r w:rsidRPr="003B63CB">
        <w:rPr>
          <w:rStyle w:val="af2"/>
          <w:rFonts w:eastAsia="Guttman Hodes"/>
          <w:rtl/>
        </w:rPr>
        <w:fldChar w:fldCharType="begin"/>
      </w:r>
      <w:r w:rsidRPr="003B63CB">
        <w:rPr>
          <w:rStyle w:val="af2"/>
          <w:rFonts w:eastAsia="Guttman Hodes"/>
          <w:rtl/>
        </w:rPr>
        <w:instrText xml:space="preserve"> </w:instrText>
      </w:r>
      <w:r w:rsidRPr="003B63CB">
        <w:rPr>
          <w:rStyle w:val="af2"/>
          <w:rFonts w:eastAsia="Guttman Hodes" w:hint="cs"/>
        </w:rPr>
        <w:instrText>REF</w:instrText>
      </w:r>
      <w:r w:rsidRPr="003B63CB">
        <w:rPr>
          <w:rStyle w:val="af2"/>
          <w:rFonts w:eastAsia="Guttman Hodes" w:hint="cs"/>
          <w:rtl/>
        </w:rPr>
        <w:instrText xml:space="preserve"> _</w:instrText>
      </w:r>
      <w:r w:rsidRPr="003B63CB">
        <w:rPr>
          <w:rStyle w:val="af2"/>
          <w:rFonts w:eastAsia="Guttman Hodes" w:hint="cs"/>
        </w:rPr>
        <w:instrText>Ref139359352 \r \h</w:instrText>
      </w:r>
      <w:r w:rsidRPr="003B63CB">
        <w:rPr>
          <w:rStyle w:val="af2"/>
          <w:rFonts w:eastAsia="Guttman Hodes"/>
          <w:rtl/>
        </w:rPr>
        <w:instrText xml:space="preserve">  \* </w:instrText>
      </w:r>
      <w:r w:rsidRPr="003B63CB">
        <w:rPr>
          <w:rStyle w:val="af2"/>
          <w:rFonts w:eastAsia="Guttman Hodes"/>
        </w:rPr>
        <w:instrText>MERGEFORMAT</w:instrText>
      </w:r>
      <w:r w:rsidRPr="003B63CB">
        <w:rPr>
          <w:rStyle w:val="af2"/>
          <w:rFonts w:eastAsia="Guttman Hodes"/>
          <w:rtl/>
        </w:rPr>
        <w:instrText xml:space="preserve"> </w:instrText>
      </w:r>
      <w:r w:rsidRPr="003B63CB">
        <w:rPr>
          <w:rStyle w:val="af2"/>
          <w:rFonts w:eastAsia="Guttman Hodes"/>
          <w:rtl/>
        </w:rPr>
      </w:r>
      <w:r w:rsidRPr="003B63CB">
        <w:rPr>
          <w:rStyle w:val="af2"/>
          <w:rFonts w:eastAsia="Guttman Hodes"/>
          <w:rtl/>
        </w:rPr>
        <w:fldChar w:fldCharType="separate"/>
      </w:r>
      <w:r w:rsidR="00D82181">
        <w:rPr>
          <w:rStyle w:val="af2"/>
          <w:rFonts w:eastAsia="Guttman Hodes"/>
          <w:cs/>
        </w:rPr>
        <w:t>‎</w:t>
      </w:r>
      <w:r w:rsidR="00D82181">
        <w:rPr>
          <w:rStyle w:val="af2"/>
          <w:rFonts w:eastAsia="Guttman Hodes"/>
          <w:rtl/>
        </w:rPr>
        <w:t>יג)</w:t>
      </w:r>
      <w:r w:rsidRPr="003B63CB">
        <w:rPr>
          <w:rStyle w:val="af2"/>
          <w:rFonts w:eastAsia="Guttman Hodes"/>
          <w:rtl/>
        </w:rPr>
        <w:fldChar w:fldCharType="end"/>
      </w:r>
      <w:r w:rsidRPr="003B63CB">
        <w:rPr>
          <w:rFonts w:hint="cs"/>
          <w:rtl/>
        </w:rPr>
        <w:t xml:space="preserve"> על </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w:t>
      </w:r>
      <w:r w:rsidRPr="003B63C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Ref139359821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ב)</w:t>
      </w:r>
      <w:r>
        <w:rPr>
          <w:rStyle w:val="af2"/>
          <w:rFonts w:eastAsia="Guttman Hodes"/>
          <w:rtl/>
        </w:rPr>
        <w:fldChar w:fldCharType="end"/>
      </w:r>
      <w:r w:rsidRPr="003B63CB">
        <w:rPr>
          <w:rFonts w:hint="cs"/>
          <w:rtl/>
        </w:rPr>
        <w:t xml:space="preserve"> דכתב מלאכה שאינה צריכה לגופה היינו שלא היה רוצה שתהיה המלאכה, דבסותר ע"מ לבנות כמו שהיה בנוי בתחילה, צריך את המלאכה עצמה ורוצה שתהיה,</w:t>
      </w:r>
      <w:r w:rsidRPr="003B63CB">
        <w:rPr>
          <w:rtl/>
        </w:rPr>
        <w:t xml:space="preserve"> </w:t>
      </w:r>
      <w:r w:rsidRPr="003B63CB">
        <w:rPr>
          <w:rFonts w:hint="cs"/>
          <w:rtl/>
        </w:rPr>
        <w:t>כתב</w:t>
      </w:r>
      <w:r w:rsidRPr="003B63CB">
        <w:rPr>
          <w:rtl/>
        </w:rPr>
        <w:t xml:space="preserve"> </w:t>
      </w:r>
      <w:r w:rsidRPr="003B63CB">
        <w:rPr>
          <w:rStyle w:val="aff4"/>
          <w:vanish/>
          <w:rtl/>
        </w:rPr>
        <w:t>-</w:t>
      </w:r>
      <w:r w:rsidRPr="003B63CB">
        <w:rPr>
          <w:rStyle w:val="aff4"/>
          <w:rtl/>
        </w:rPr>
        <w:t>ה</w:t>
      </w:r>
      <w:r w:rsidRPr="003B63CB">
        <w:rPr>
          <w:rStyle w:val="aff4"/>
          <w:vanish/>
          <w:rtl/>
        </w:rPr>
        <w:t xml:space="preserve">&lt;, </w:t>
      </w:r>
      <w:r w:rsidRPr="003B63CB">
        <w:rPr>
          <w:rStyle w:val="aff4"/>
          <w:vanish/>
          <w:rtl/>
        </w:rPr>
        <w:fldChar w:fldCharType="begin"/>
      </w:r>
      <w:r w:rsidRPr="003B63CB">
        <w:rPr>
          <w:rStyle w:val="aff4"/>
          <w:vanish/>
          <w:rtl/>
        </w:rPr>
        <w:instrText xml:space="preserve"> </w:instrText>
      </w:r>
      <w:r w:rsidRPr="003B63CB">
        <w:rPr>
          <w:rStyle w:val="aff4"/>
          <w:vanish/>
        </w:rPr>
        <w:instrText>REF</w:instrText>
      </w:r>
      <w:r w:rsidRPr="003B63CB">
        <w:rPr>
          <w:rStyle w:val="aff4"/>
          <w:vanish/>
          <w:rtl/>
        </w:rPr>
        <w:instrText xml:space="preserve"> _</w:instrText>
      </w:r>
      <w:r w:rsidRPr="003B63CB">
        <w:rPr>
          <w:rStyle w:val="aff4"/>
          <w:vanish/>
        </w:rPr>
        <w:instrText>Ref139489597 \r \h</w:instrText>
      </w:r>
      <w:r w:rsidRPr="003B63CB">
        <w:rPr>
          <w:rStyle w:val="aff4"/>
          <w:vanish/>
          <w:rtl/>
        </w:rPr>
        <w:instrText xml:space="preserve">  \* </w:instrText>
      </w:r>
      <w:r w:rsidRPr="003B63CB">
        <w:rPr>
          <w:rStyle w:val="aff4"/>
          <w:vanish/>
        </w:rPr>
        <w:instrText>MERGEFORMAT</w:instrText>
      </w:r>
      <w:r w:rsidRPr="003B63CB">
        <w:rPr>
          <w:rStyle w:val="aff4"/>
          <w:vanish/>
          <w:rtl/>
        </w:rPr>
        <w:instrText xml:space="preserve"> </w:instrText>
      </w:r>
      <w:r w:rsidRPr="003B63CB">
        <w:rPr>
          <w:rStyle w:val="aff4"/>
          <w:vanish/>
          <w:rtl/>
        </w:rPr>
      </w:r>
      <w:r w:rsidRPr="003B63CB">
        <w:rPr>
          <w:rStyle w:val="aff4"/>
          <w:vanish/>
          <w:rtl/>
        </w:rPr>
        <w:fldChar w:fldCharType="separate"/>
      </w:r>
      <w:r w:rsidR="00D82181">
        <w:rPr>
          <w:rStyle w:val="aff4"/>
          <w:vanish/>
          <w:cs/>
        </w:rPr>
        <w:t>‎</w:t>
      </w:r>
      <w:r w:rsidR="00D82181">
        <w:rPr>
          <w:rStyle w:val="aff4"/>
          <w:vanish/>
          <w:rtl/>
        </w:rPr>
        <w:t>טו)</w:t>
      </w:r>
      <w:r w:rsidRPr="003B63CB">
        <w:rPr>
          <w:rStyle w:val="aff4"/>
          <w:vanish/>
          <w:rtl/>
        </w:rPr>
        <w:fldChar w:fldCharType="end"/>
      </w:r>
      <w:r w:rsidRPr="003B63CB">
        <w:rPr>
          <w:rStyle w:val="aff4"/>
          <w:vanish/>
          <w:rtl/>
        </w:rPr>
        <w:t xml:space="preserve"> &gt;</w:t>
      </w:r>
      <w:r w:rsidRPr="003B63CB">
        <w:rPr>
          <w:rStyle w:val="aff4"/>
          <w:rtl/>
        </w:rPr>
        <w:t>כפות תמרים</w:t>
      </w:r>
      <w:r w:rsidRPr="003B63CB">
        <w:rPr>
          <w:rStyle w:val="aff4"/>
          <w:vanish/>
          <w:rtl/>
        </w:rPr>
        <w:t>-</w:t>
      </w:r>
      <w:r w:rsidRPr="003B63CB">
        <w:rPr>
          <w:rtl/>
        </w:rPr>
        <w:t xml:space="preserve"> </w:t>
      </w:r>
      <w:r w:rsidRPr="003B63CB">
        <w:rPr>
          <w:rStyle w:val="af2"/>
          <w:rFonts w:eastAsia="Guttman Hodes"/>
          <w:rtl/>
        </w:rPr>
        <w:t xml:space="preserve">(סוכה לג: ד"ה </w:t>
      </w:r>
      <w:r w:rsidRPr="003B63CB">
        <w:rPr>
          <w:rStyle w:val="af2"/>
          <w:rFonts w:eastAsia="Guttman Hodes" w:hint="cs"/>
          <w:rtl/>
        </w:rPr>
        <w:t>כתבו עוד</w:t>
      </w:r>
      <w:r w:rsidRPr="003B63CB">
        <w:rPr>
          <w:rStyle w:val="af2"/>
          <w:rFonts w:eastAsia="Guttman Hodes"/>
          <w:rtl/>
        </w:rPr>
        <w:t>)</w:t>
      </w:r>
      <w:r w:rsidRPr="003B63CB">
        <w:rPr>
          <w:vanish/>
          <w:rtl/>
        </w:rPr>
        <w:t>=</w:t>
      </w:r>
      <w:bookmarkEnd w:id="3099"/>
      <w:r w:rsidRPr="003B63CB">
        <w:rPr>
          <w:rFonts w:hint="cs"/>
          <w:rtl/>
        </w:rPr>
        <w:t xml:space="preserve"> דמשמע </w:t>
      </w:r>
      <w:r w:rsidRPr="003B63CB">
        <w:rPr>
          <w:rFonts w:hint="cs"/>
          <w:rtl/>
        </w:rPr>
        <w:t xml:space="preserve">דכוונתם להקשות דאי כל מלאכה שאינה צריכה לגופה הוא סילוק נזק, א"כ בסותר ע"מ לבנות כמו שהיה אינו סילוק נזק, וכתב </w:t>
      </w:r>
      <w:r w:rsidRPr="003B63CB">
        <w:rPr>
          <w:rStyle w:val="aff4"/>
          <w:rFonts w:hint="cs"/>
          <w:vanish/>
          <w:rtl/>
        </w:rPr>
        <w:t>-</w:t>
      </w:r>
      <w:r w:rsidRPr="003B63CB">
        <w:rPr>
          <w:rStyle w:val="aff4"/>
          <w:rFonts w:hint="cs"/>
          <w:rtl/>
        </w:rPr>
        <w:t>הכפות תמרים</w:t>
      </w:r>
      <w:r w:rsidRPr="003B63CB">
        <w:rPr>
          <w:rStyle w:val="aff4"/>
          <w:rFonts w:hint="cs"/>
          <w:vanish/>
          <w:rtl/>
        </w:rPr>
        <w:t>-</w:t>
      </w:r>
      <w:r w:rsidRPr="003B63CB">
        <w:rPr>
          <w:rFonts w:hint="cs"/>
          <w:rtl/>
        </w:rPr>
        <w:t xml:space="preserve"> דאפשר לתרץ דהסתירה עצמה היא סילוק נזק, אעפ"י דכוונתו ע"מ לבנות.</w:t>
      </w:r>
      <w:r w:rsidRPr="003B63CB">
        <w:rPr>
          <w:rStyle w:val="af"/>
          <w:rFonts w:hint="cs"/>
          <w:rtl/>
        </w:rPr>
        <w:t xml:space="preserve"> אך כתב </w:t>
      </w:r>
      <w:r w:rsidRPr="003B63CB">
        <w:rPr>
          <w:rStyle w:val="af"/>
          <w:rFonts w:hint="cs"/>
          <w:vanish/>
          <w:rtl/>
        </w:rPr>
        <w:t>-</w:t>
      </w:r>
      <w:r w:rsidRPr="003B63CB">
        <w:rPr>
          <w:rStyle w:val="aff9"/>
          <w:rFonts w:hint="cs"/>
          <w:rtl/>
        </w:rPr>
        <w:t>הכפות</w:t>
      </w:r>
      <w:r w:rsidRPr="003B63CB">
        <w:rPr>
          <w:rStyle w:val="af"/>
          <w:rFonts w:hint="cs"/>
          <w:rtl/>
        </w:rPr>
        <w:t xml:space="preserve"> </w:t>
      </w:r>
      <w:r w:rsidRPr="003B63CB">
        <w:rPr>
          <w:rStyle w:val="aff9"/>
          <w:rFonts w:hint="cs"/>
          <w:rtl/>
        </w:rPr>
        <w:t>תמרים</w:t>
      </w:r>
      <w:r w:rsidRPr="003B63CB">
        <w:rPr>
          <w:rStyle w:val="af"/>
          <w:rFonts w:hint="cs"/>
          <w:vanish/>
          <w:rtl/>
        </w:rPr>
        <w:t>-</w:t>
      </w:r>
      <w:r w:rsidRPr="003B63CB">
        <w:rPr>
          <w:rStyle w:val="af"/>
          <w:rFonts w:hint="cs"/>
          <w:rtl/>
        </w:rPr>
        <w:t xml:space="preserve"> דרק לפי דברי </w:t>
      </w:r>
      <w:r w:rsidRPr="003B63CB">
        <w:rPr>
          <w:rStyle w:val="af"/>
          <w:rFonts w:hint="cs"/>
          <w:vanish/>
          <w:rtl/>
        </w:rPr>
        <w:t>-</w:t>
      </w:r>
      <w:r w:rsidRPr="003B63CB">
        <w:rPr>
          <w:rStyle w:val="aff9"/>
          <w:rFonts w:hint="cs"/>
          <w:rtl/>
        </w:rPr>
        <w:t>התוס'</w:t>
      </w:r>
      <w:r w:rsidRPr="003B63CB">
        <w:rPr>
          <w:rStyle w:val="af"/>
          <w:rFonts w:hint="cs"/>
          <w:vanish/>
          <w:rtl/>
        </w:rPr>
        <w:t>-</w:t>
      </w:r>
      <w:r w:rsidRPr="003B63CB">
        <w:rPr>
          <w:rStyle w:val="af"/>
          <w:rFonts w:hint="cs"/>
          <w:rtl/>
        </w:rPr>
        <w:t xml:space="preserve"> [</w:t>
      </w:r>
      <w:r w:rsidRPr="003B63CB">
        <w:rPr>
          <w:rStyle w:val="af"/>
          <w:rFonts w:hint="cs"/>
          <w:vanish/>
          <w:rtl/>
        </w:rPr>
        <w:t>-</w:t>
      </w:r>
      <w:r w:rsidRPr="003B63CB">
        <w:rPr>
          <w:rStyle w:val="aff9"/>
          <w:rFonts w:hint="cs"/>
          <w:rtl/>
        </w:rPr>
        <w:t>צד:</w:t>
      </w:r>
      <w:r w:rsidRPr="003B63CB">
        <w:rPr>
          <w:rStyle w:val="af"/>
          <w:rFonts w:hint="cs"/>
          <w:vanish/>
          <w:rtl/>
        </w:rPr>
        <w:t>-</w:t>
      </w:r>
      <w:r w:rsidRPr="003B63CB">
        <w:rPr>
          <w:rStyle w:val="af"/>
          <w:rFonts w:hint="cs"/>
          <w:rtl/>
        </w:rPr>
        <w:t xml:space="preserve">] </w:t>
      </w:r>
      <w:r w:rsidRPr="003B63CB">
        <w:rPr>
          <w:rStyle w:val="af2"/>
          <w:rFonts w:eastAsia="Guttman Hodes" w:hint="cs"/>
          <w:rtl/>
        </w:rPr>
        <w:t xml:space="preserve">(עי' אות </w:t>
      </w:r>
      <w:r w:rsidRPr="003B63CB">
        <w:rPr>
          <w:rStyle w:val="af2"/>
          <w:rFonts w:eastAsia="Guttman Hodes"/>
          <w:rtl/>
        </w:rPr>
        <w:fldChar w:fldCharType="begin"/>
      </w:r>
      <w:r w:rsidRPr="003B63CB">
        <w:rPr>
          <w:rStyle w:val="af2"/>
          <w:rFonts w:eastAsia="Guttman Hodes"/>
          <w:rtl/>
        </w:rPr>
        <w:instrText xml:space="preserve"> </w:instrText>
      </w:r>
      <w:r w:rsidRPr="003B63CB">
        <w:rPr>
          <w:rStyle w:val="af2"/>
          <w:rFonts w:eastAsia="Guttman Hodes" w:hint="cs"/>
        </w:rPr>
        <w:instrText>REF</w:instrText>
      </w:r>
      <w:r w:rsidRPr="003B63CB">
        <w:rPr>
          <w:rStyle w:val="af2"/>
          <w:rFonts w:eastAsia="Guttman Hodes" w:hint="cs"/>
          <w:rtl/>
        </w:rPr>
        <w:instrText xml:space="preserve"> _</w:instrText>
      </w:r>
      <w:r w:rsidRPr="003B63CB">
        <w:rPr>
          <w:rStyle w:val="af2"/>
          <w:rFonts w:eastAsia="Guttman Hodes" w:hint="cs"/>
        </w:rPr>
        <w:instrText>Ref139487740 \r \h</w:instrText>
      </w:r>
      <w:r w:rsidRPr="003B63CB">
        <w:rPr>
          <w:rStyle w:val="af2"/>
          <w:rFonts w:eastAsia="Guttman Hodes"/>
          <w:rtl/>
        </w:rPr>
        <w:instrText xml:space="preserve">  \* </w:instrText>
      </w:r>
      <w:r w:rsidRPr="003B63CB">
        <w:rPr>
          <w:rStyle w:val="af2"/>
          <w:rFonts w:eastAsia="Guttman Hodes"/>
        </w:rPr>
        <w:instrText>MERGEFORMAT</w:instrText>
      </w:r>
      <w:r w:rsidRPr="003B63CB">
        <w:rPr>
          <w:rStyle w:val="af2"/>
          <w:rFonts w:eastAsia="Guttman Hodes"/>
          <w:rtl/>
        </w:rPr>
        <w:instrText xml:space="preserve"> </w:instrText>
      </w:r>
      <w:r w:rsidRPr="003B63CB">
        <w:rPr>
          <w:rStyle w:val="af2"/>
          <w:rFonts w:eastAsia="Guttman Hodes"/>
          <w:rtl/>
        </w:rPr>
      </w:r>
      <w:r w:rsidRPr="003B63CB">
        <w:rPr>
          <w:rStyle w:val="af2"/>
          <w:rFonts w:eastAsia="Guttman Hodes"/>
          <w:rtl/>
        </w:rPr>
        <w:fldChar w:fldCharType="separate"/>
      </w:r>
      <w:r w:rsidR="00D82181" w:rsidRPr="00D82181">
        <w:rPr>
          <w:rStyle w:val="af2"/>
          <w:rFonts w:eastAsia="Guttman Hodes"/>
          <w:b/>
          <w:bCs/>
          <w:cs/>
        </w:rPr>
        <w:t>‎</w:t>
      </w:r>
      <w:r w:rsidR="00D82181" w:rsidRPr="00D82181">
        <w:rPr>
          <w:rStyle w:val="af2"/>
          <w:rFonts w:eastAsia="Guttman Hodes"/>
          <w:b/>
          <w:bCs/>
          <w:rtl/>
        </w:rPr>
        <w:t>יז)</w:t>
      </w:r>
      <w:r w:rsidRPr="003B63CB">
        <w:rPr>
          <w:rStyle w:val="af2"/>
          <w:rFonts w:eastAsia="Guttman Hodes"/>
          <w:rtl/>
        </w:rPr>
        <w:fldChar w:fldCharType="end"/>
      </w:r>
      <w:r w:rsidRPr="003B63CB">
        <w:rPr>
          <w:rStyle w:val="af"/>
          <w:rFonts w:hint="cs"/>
          <w:rtl/>
        </w:rPr>
        <w:t xml:space="preserve"> דאף בסתירת כותל החיוב לר"ש רק כשסותר לתקן יותר ממה שהיה, אבל לפי דברי </w:t>
      </w:r>
      <w:r w:rsidRPr="003B63CB">
        <w:rPr>
          <w:rStyle w:val="af"/>
          <w:rFonts w:hint="cs"/>
          <w:vanish/>
          <w:rtl/>
        </w:rPr>
        <w:t>-</w:t>
      </w:r>
      <w:r w:rsidRPr="003B63CB">
        <w:rPr>
          <w:rStyle w:val="aff9"/>
          <w:rFonts w:hint="cs"/>
          <w:rtl/>
        </w:rPr>
        <w:t>התוס</w:t>
      </w:r>
      <w:r>
        <w:rPr>
          <w:rStyle w:val="aff9"/>
          <w:rFonts w:hint="cs"/>
          <w:rtl/>
        </w:rPr>
        <w:t>'</w:t>
      </w:r>
      <w:r w:rsidRPr="0006582C">
        <w:rPr>
          <w:rtl/>
        </w:rPr>
        <w:t xml:space="preserve"> </w:t>
      </w:r>
      <w:r w:rsidRPr="0006582C">
        <w:rPr>
          <w:rStyle w:val="aff9"/>
          <w:rtl/>
        </w:rPr>
        <w:t>לעיל</w:t>
      </w:r>
      <w:r w:rsidRPr="003B63CB">
        <w:rPr>
          <w:rStyle w:val="af"/>
          <w:rFonts w:hint="cs"/>
          <w:vanish/>
          <w:rtl/>
        </w:rPr>
        <w:t>-</w:t>
      </w:r>
      <w:r w:rsidRPr="003B63CB">
        <w:rPr>
          <w:rFonts w:hint="cs"/>
          <w:rtl/>
        </w:rPr>
        <w:t xml:space="preserve"> </w:t>
      </w:r>
      <w:r w:rsidRPr="003B63CB">
        <w:rPr>
          <w:rStyle w:val="af"/>
          <w:rFonts w:hint="cs"/>
          <w:rtl/>
        </w:rPr>
        <w:t>[</w:t>
      </w:r>
      <w:r w:rsidRPr="003B63CB">
        <w:rPr>
          <w:rStyle w:val="aff9"/>
          <w:rFonts w:hint="cs"/>
          <w:b w:val="0"/>
          <w:bCs w:val="0"/>
          <w:vanish/>
          <w:rtl/>
        </w:rPr>
        <w:t>-</w:t>
      </w:r>
      <w:r w:rsidRPr="003B63CB">
        <w:rPr>
          <w:rStyle w:val="aff9"/>
          <w:rFonts w:hint="cs"/>
          <w:rtl/>
        </w:rPr>
        <w:t>לא:</w:t>
      </w:r>
      <w:r w:rsidRPr="003B63CB">
        <w:rPr>
          <w:rStyle w:val="aff9"/>
          <w:rFonts w:hint="cs"/>
          <w:vanish/>
          <w:rtl/>
        </w:rPr>
        <w:t>-</w:t>
      </w:r>
      <w:r w:rsidRPr="003B63CB">
        <w:rPr>
          <w:rStyle w:val="af"/>
          <w:rFonts w:hint="cs"/>
          <w:rtl/>
        </w:rPr>
        <w:t>]</w:t>
      </w:r>
      <w:r w:rsidRPr="003B63CB">
        <w:rPr>
          <w:rFonts w:hint="cs"/>
          <w:rtl/>
        </w:rPr>
        <w:t xml:space="preserve"> </w:t>
      </w:r>
      <w:r w:rsidRPr="003B63CB">
        <w:rPr>
          <w:rStyle w:val="af2"/>
          <w:rFonts w:eastAsia="Guttman Hodes" w:hint="cs"/>
          <w:rtl/>
        </w:rPr>
        <w:t>(</w:t>
      </w:r>
      <w:r w:rsidRPr="00D712FD">
        <w:rPr>
          <w:rStyle w:val="af2"/>
          <w:rFonts w:eastAsia="Guttman Rashi" w:hint="cs"/>
          <w:rtl/>
        </w:rPr>
        <w:t>הובאו בסימן ט'</w:t>
      </w:r>
      <w:r w:rsidRPr="003B63CB">
        <w:rPr>
          <w:rStyle w:val="af2"/>
          <w:rFonts w:eastAsia="Guttman Hodes" w:hint="cs"/>
          <w:rtl/>
        </w:rPr>
        <w:t xml:space="preserve"> אות </w:t>
      </w:r>
      <w:r w:rsidRPr="003B63CB">
        <w:rPr>
          <w:rStyle w:val="af2"/>
          <w:rFonts w:eastAsia="Guttman Hodes"/>
          <w:rtl/>
        </w:rPr>
        <w:fldChar w:fldCharType="begin"/>
      </w:r>
      <w:r w:rsidRPr="003B63CB">
        <w:rPr>
          <w:rStyle w:val="af2"/>
          <w:rFonts w:eastAsia="Guttman Hodes"/>
          <w:rtl/>
        </w:rPr>
        <w:instrText xml:space="preserve"> </w:instrText>
      </w:r>
      <w:r w:rsidRPr="003B63CB">
        <w:rPr>
          <w:rStyle w:val="af2"/>
          <w:rFonts w:eastAsia="Guttman Hodes" w:hint="cs"/>
        </w:rPr>
        <w:instrText>REF</w:instrText>
      </w:r>
      <w:r w:rsidRPr="003B63CB">
        <w:rPr>
          <w:rStyle w:val="af2"/>
          <w:rFonts w:eastAsia="Guttman Hodes" w:hint="cs"/>
          <w:rtl/>
        </w:rPr>
        <w:instrText xml:space="preserve"> _</w:instrText>
      </w:r>
      <w:r w:rsidRPr="003B63CB">
        <w:rPr>
          <w:rStyle w:val="af2"/>
          <w:rFonts w:eastAsia="Guttman Hodes" w:hint="cs"/>
        </w:rPr>
        <w:instrText>Ref139486135 \r \h</w:instrText>
      </w:r>
      <w:r w:rsidRPr="003B63CB">
        <w:rPr>
          <w:rStyle w:val="af2"/>
          <w:rFonts w:eastAsia="Guttman Hodes"/>
          <w:rtl/>
        </w:rPr>
        <w:instrText xml:space="preserve">  \* </w:instrText>
      </w:r>
      <w:r w:rsidRPr="003B63CB">
        <w:rPr>
          <w:rStyle w:val="af2"/>
          <w:rFonts w:eastAsia="Guttman Hodes"/>
        </w:rPr>
        <w:instrText>MERGEFORMAT</w:instrText>
      </w:r>
      <w:r w:rsidRPr="003B63CB">
        <w:rPr>
          <w:rStyle w:val="af2"/>
          <w:rFonts w:eastAsia="Guttman Hodes"/>
          <w:rtl/>
        </w:rPr>
        <w:instrText xml:space="preserve"> </w:instrText>
      </w:r>
      <w:r w:rsidRPr="003B63CB">
        <w:rPr>
          <w:rStyle w:val="af2"/>
          <w:rFonts w:eastAsia="Guttman Hodes"/>
          <w:rtl/>
        </w:rPr>
      </w:r>
      <w:r w:rsidRPr="003B63CB">
        <w:rPr>
          <w:rStyle w:val="af2"/>
          <w:rFonts w:eastAsia="Guttman Hodes"/>
          <w:rtl/>
        </w:rPr>
        <w:fldChar w:fldCharType="separate"/>
      </w:r>
      <w:r w:rsidR="00D82181" w:rsidRPr="00D82181">
        <w:rPr>
          <w:rStyle w:val="af2"/>
          <w:rFonts w:eastAsia="Guttman Hodes"/>
          <w:b/>
          <w:bCs/>
          <w:cs/>
        </w:rPr>
        <w:t>‎</w:t>
      </w:r>
      <w:r w:rsidR="00D82181" w:rsidRPr="00D82181">
        <w:rPr>
          <w:rStyle w:val="af2"/>
          <w:rFonts w:eastAsia="Guttman Hodes"/>
          <w:b/>
          <w:bCs/>
          <w:rtl/>
        </w:rPr>
        <w:t>יד)</w:t>
      </w:r>
      <w:r w:rsidRPr="003B63CB">
        <w:rPr>
          <w:rStyle w:val="af2"/>
          <w:rFonts w:eastAsia="Guttman Hodes"/>
          <w:rtl/>
        </w:rPr>
        <w:fldChar w:fldCharType="end"/>
      </w:r>
      <w:r w:rsidRPr="003B63CB">
        <w:rPr>
          <w:rFonts w:hint="cs"/>
          <w:rtl/>
        </w:rPr>
        <w:t xml:space="preserve"> </w:t>
      </w:r>
      <w:r w:rsidRPr="003B63CB">
        <w:rPr>
          <w:rStyle w:val="af"/>
          <w:rFonts w:hint="cs"/>
          <w:rtl/>
        </w:rPr>
        <w:t xml:space="preserve">אמר כן ר"ש רק לענין כיבוי פתילה ולא בסתירת כותל. כדביאר </w:t>
      </w:r>
      <w:r w:rsidRPr="003B63CB">
        <w:rPr>
          <w:rStyle w:val="aff9"/>
          <w:rFonts w:hint="cs"/>
          <w:vanish/>
          <w:rtl/>
        </w:rPr>
        <w:t>-</w:t>
      </w:r>
      <w:r w:rsidRPr="003B63CB">
        <w:rPr>
          <w:rStyle w:val="aff9"/>
          <w:rFonts w:hint="cs"/>
          <w:rtl/>
        </w:rPr>
        <w:t>הכפות תמרים</w:t>
      </w:r>
      <w:r w:rsidRPr="003B63CB">
        <w:rPr>
          <w:rStyle w:val="aff9"/>
          <w:rFonts w:hint="cs"/>
          <w:vanish/>
          <w:rtl/>
        </w:rPr>
        <w:t>-</w:t>
      </w:r>
      <w:r w:rsidRPr="003B63CB">
        <w:rPr>
          <w:rStyle w:val="af"/>
          <w:rFonts w:hint="cs"/>
          <w:rtl/>
        </w:rPr>
        <w:t xml:space="preserve"> </w:t>
      </w:r>
      <w:r w:rsidRPr="003B63CB">
        <w:rPr>
          <w:rStyle w:val="af2"/>
          <w:rFonts w:eastAsia="Guttman Rashi" w:hint="cs"/>
          <w:rtl/>
        </w:rPr>
        <w:t>(</w:t>
      </w:r>
      <w:r w:rsidRPr="00D712FD">
        <w:rPr>
          <w:rStyle w:val="af2"/>
          <w:rFonts w:eastAsia="Guttman Rashi" w:hint="cs"/>
          <w:rtl/>
        </w:rPr>
        <w:t>הובאו בסימן ט'</w:t>
      </w:r>
      <w:r w:rsidRPr="003B63CB">
        <w:rPr>
          <w:rStyle w:val="af2"/>
          <w:rFonts w:eastAsia="Guttman Rashi" w:hint="cs"/>
          <w:rtl/>
        </w:rPr>
        <w:t xml:space="preserve"> אות </w:t>
      </w:r>
      <w:r w:rsidRPr="003B63CB">
        <w:rPr>
          <w:rStyle w:val="af2"/>
          <w:rFonts w:eastAsia="Guttman Rashi"/>
          <w:rtl/>
        </w:rPr>
        <w:fldChar w:fldCharType="begin"/>
      </w:r>
      <w:r w:rsidRPr="003B63CB">
        <w:rPr>
          <w:rStyle w:val="af2"/>
          <w:rFonts w:eastAsia="Guttman Rashi"/>
          <w:rtl/>
        </w:rPr>
        <w:instrText xml:space="preserve"> </w:instrText>
      </w:r>
      <w:r w:rsidRPr="003B63CB">
        <w:rPr>
          <w:rStyle w:val="af2"/>
          <w:rFonts w:eastAsia="Guttman Rashi" w:hint="cs"/>
        </w:rPr>
        <w:instrText>REF</w:instrText>
      </w:r>
      <w:r w:rsidRPr="003B63CB">
        <w:rPr>
          <w:rStyle w:val="af2"/>
          <w:rFonts w:eastAsia="Guttman Rashi" w:hint="cs"/>
          <w:rtl/>
        </w:rPr>
        <w:instrText xml:space="preserve"> _</w:instrText>
      </w:r>
      <w:r w:rsidRPr="003B63CB">
        <w:rPr>
          <w:rStyle w:val="af2"/>
          <w:rFonts w:eastAsia="Guttman Rashi" w:hint="cs"/>
        </w:rPr>
        <w:instrText>Ref139488379 \r \h</w:instrText>
      </w:r>
      <w:r w:rsidRPr="003B63CB">
        <w:rPr>
          <w:rStyle w:val="af2"/>
          <w:rFonts w:eastAsia="Guttman Rashi"/>
          <w:rtl/>
        </w:rPr>
        <w:instrText xml:space="preserve">  \* </w:instrText>
      </w:r>
      <w:r w:rsidRPr="003B63CB">
        <w:rPr>
          <w:rStyle w:val="af2"/>
          <w:rFonts w:eastAsia="Guttman Rashi"/>
        </w:rPr>
        <w:instrText>MERGEFORMAT</w:instrText>
      </w:r>
      <w:r w:rsidRPr="003B63CB">
        <w:rPr>
          <w:rStyle w:val="af2"/>
          <w:rFonts w:eastAsia="Guttman Rashi"/>
          <w:rtl/>
        </w:rPr>
        <w:instrText xml:space="preserve"> </w:instrText>
      </w:r>
      <w:r w:rsidRPr="003B63CB">
        <w:rPr>
          <w:rStyle w:val="af2"/>
          <w:rFonts w:eastAsia="Guttman Rashi"/>
          <w:rtl/>
        </w:rPr>
      </w:r>
      <w:r w:rsidRPr="003B63CB">
        <w:rPr>
          <w:rStyle w:val="af2"/>
          <w:rFonts w:eastAsia="Guttman Rashi"/>
          <w:rtl/>
        </w:rPr>
        <w:fldChar w:fldCharType="separate"/>
      </w:r>
      <w:r w:rsidR="00D82181" w:rsidRPr="00D82181">
        <w:rPr>
          <w:rStyle w:val="af2"/>
          <w:rFonts w:eastAsia="Guttman Rashi"/>
          <w:b/>
          <w:bCs/>
          <w:cs/>
        </w:rPr>
        <w:t>‎</w:t>
      </w:r>
      <w:r w:rsidR="00D82181" w:rsidRPr="00D82181">
        <w:rPr>
          <w:rStyle w:val="af2"/>
          <w:rFonts w:eastAsia="Guttman Rashi"/>
          <w:b/>
          <w:bCs/>
          <w:rtl/>
        </w:rPr>
        <w:t>יז)</w:t>
      </w:r>
      <w:r w:rsidRPr="003B63CB">
        <w:rPr>
          <w:rStyle w:val="af2"/>
          <w:rFonts w:eastAsia="Guttman Rashi"/>
          <w:rtl/>
        </w:rPr>
        <w:fldChar w:fldCharType="end"/>
      </w:r>
      <w:r w:rsidRPr="003B63CB">
        <w:rPr>
          <w:rStyle w:val="af"/>
          <w:rFonts w:hint="cs"/>
          <w:vanish/>
          <w:rtl/>
        </w:rPr>
        <w:t xml:space="preserve"> =</w:t>
      </w:r>
      <w:r w:rsidRPr="003B63CB">
        <w:rPr>
          <w:rStyle w:val="af"/>
          <w:rFonts w:hint="cs"/>
          <w:rtl/>
        </w:rPr>
        <w:t>].</w:t>
      </w:r>
    </w:p>
    <w:p w14:paraId="7A1638C9" w14:textId="77777777" w:rsidR="002748A5" w:rsidRPr="00747170" w:rsidRDefault="002748A5" w:rsidP="00747170">
      <w:pPr>
        <w:pStyle w:val="a2"/>
      </w:pPr>
      <w:r w:rsidRPr="00747170">
        <w:rPr>
          <w:rtl/>
        </w:rPr>
        <w:t>כתבו עוד בסוף דבריהם ורש"י דפי' דברצונו לא היתה באה לו כו'. קשה מסותר כו' יראה דכונת התוס' להקשות על רש"י דאם איתא דטעמא דר"ש דפוטר במלאכה שא"צ משום דאינו עושה אלא לסלקה מעליו למנוע ההיזק המת שלא יטמאנו והנחש שלא ישכנו א"כ אמאי בסותר ע"מ לבנות כמו בתחלה פטר ר' שמעון והרי התם צריך לעשות מלאכת הסתירה כדי לבנות במקומו ואם זו היא כונת קושיתם יש להליץ בעד רש"י דסתירת הכותל הוא כמניעת היזק דהוא היה רוצה שלא היה אותו כותל שסותרו שם ואף על גב דסותרו על מנת לבנות במקומו ורוצה הוא באותו בנין שרוצה לבנות מכל מקום הסתירה לא היה רוצה בה וברצונו לא בא לו דאלו לא היה שם אותו כותל ישן טפי הוה ניחא ליה דהיה בונה בלי סתירה</w:t>
      </w:r>
      <w:r w:rsidRPr="00747170">
        <w:rPr>
          <w:rFonts w:hint="cs"/>
          <w:rtl/>
        </w:rPr>
        <w:t xml:space="preserve">. </w:t>
      </w:r>
      <w:bookmarkEnd w:id="3100"/>
      <w:r w:rsidRPr="00747170">
        <w:rPr>
          <w:rtl/>
        </w:rPr>
        <w:t xml:space="preserve">וכל זה אני כותב לשיטת התוס' דפרק המצניע דס"ל דסותר על מנת לבנות במקומו פוטר ר"ש משום דהוי מלאכה שאינה צריכה. </w:t>
      </w:r>
    </w:p>
    <w:p w14:paraId="418D8336" w14:textId="77777777" w:rsidR="002748A5" w:rsidRPr="00C12F78" w:rsidRDefault="002748A5" w:rsidP="002748A5">
      <w:pPr>
        <w:pStyle w:val="afffff7"/>
        <w:rPr>
          <w:rtl/>
        </w:rPr>
      </w:pPr>
      <w:bookmarkStart w:id="3101" w:name="_Toc140074256"/>
      <w:bookmarkStart w:id="3102" w:name="_Toc140144351"/>
      <w:bookmarkStart w:id="3103" w:name="_Toc140144827"/>
      <w:bookmarkStart w:id="3104" w:name="_Toc163505942"/>
      <w:r w:rsidRPr="00C12F78">
        <w:rPr>
          <w:rtl/>
        </w:rPr>
        <w:t>כפות תמרים סוכה ל"ג ע"ב ד"ה עוד</w:t>
      </w:r>
      <w:r w:rsidRPr="00C12F78">
        <w:rPr>
          <w:rFonts w:hint="cs"/>
          <w:rtl/>
        </w:rPr>
        <w:t xml:space="preserve"> הקשו</w:t>
      </w:r>
      <w:bookmarkEnd w:id="3101"/>
      <w:bookmarkEnd w:id="3102"/>
      <w:r w:rsidRPr="00C12F78">
        <w:rPr>
          <w:rtl/>
        </w:rPr>
        <w:t xml:space="preserve"> (ח)</w:t>
      </w:r>
      <w:bookmarkEnd w:id="3103"/>
      <w:bookmarkEnd w:id="3104"/>
    </w:p>
    <w:p w14:paraId="6CEF82C2" w14:textId="77777777" w:rsidR="002748A5" w:rsidRPr="003B63CB" w:rsidRDefault="002748A5" w:rsidP="002748A5">
      <w:pPr>
        <w:pStyle w:val="a7"/>
        <w:rPr>
          <w:rtl/>
        </w:rPr>
      </w:pPr>
      <w:bookmarkStart w:id="3105" w:name="_Toc140074160"/>
      <w:bookmarkStart w:id="3106" w:name="_Toc140092009"/>
      <w:bookmarkStart w:id="3107" w:name="_Toc140144209"/>
      <w:bookmarkStart w:id="3108" w:name="_Toc140144440"/>
      <w:r w:rsidRPr="003B63CB">
        <w:rPr>
          <w:rFonts w:hint="cs"/>
          <w:rtl/>
        </w:rPr>
        <w:t>בי' הכפו"ת בתוס' דאי דלא ניחא ליה שצריך להטיל אימה א"כ אופה פטור דלא ניחא ליה שרעב</w:t>
      </w:r>
      <w:bookmarkEnd w:id="3105"/>
      <w:bookmarkEnd w:id="3106"/>
      <w:bookmarkEnd w:id="3107"/>
      <w:bookmarkEnd w:id="3108"/>
    </w:p>
    <w:p w14:paraId="3B784C01" w14:textId="09958A4F" w:rsidR="002748A5" w:rsidRPr="003B63CB" w:rsidRDefault="002748A5" w:rsidP="00BC7DC8">
      <w:pPr>
        <w:pStyle w:val="a3"/>
      </w:pPr>
      <w:bookmarkStart w:id="3109" w:name="_Ref140074098"/>
      <w:r w:rsidRPr="003B63CB">
        <w:rPr>
          <w:rFonts w:hint="cs"/>
          <w:rtl/>
        </w:rPr>
        <w:t xml:space="preserve">ובמה שהקשו </w:t>
      </w:r>
      <w:r w:rsidRPr="003B63CB">
        <w:rPr>
          <w:rStyle w:val="aff4"/>
          <w:rFonts w:hint="cs"/>
          <w:vanish/>
          <w:rtl/>
        </w:rPr>
        <w:t>-</w:t>
      </w:r>
      <w:r w:rsidRPr="003B63CB">
        <w:rPr>
          <w:rStyle w:val="aff4"/>
          <w:rFonts w:hint="cs"/>
          <w:rtl/>
        </w:rPr>
        <w:t>התוס'</w:t>
      </w:r>
      <w:r w:rsidRPr="003B63CB">
        <w:rPr>
          <w:rStyle w:val="aff4"/>
          <w:rFonts w:hint="cs"/>
          <w:vanish/>
          <w:rtl/>
        </w:rPr>
        <w:t>-</w:t>
      </w:r>
      <w:r w:rsidRPr="003B63CB">
        <w:rPr>
          <w:rFonts w:hint="cs"/>
          <w:rtl/>
        </w:rPr>
        <w:t xml:space="preserve"> </w:t>
      </w:r>
      <w:r w:rsidRPr="003B63C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Ref140076819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יא)</w:t>
      </w:r>
      <w:r>
        <w:rPr>
          <w:rStyle w:val="af2"/>
          <w:rFonts w:eastAsia="Guttman Hodes"/>
          <w:rtl/>
        </w:rPr>
        <w:fldChar w:fldCharType="end"/>
      </w:r>
      <w:r w:rsidRPr="003B63CB">
        <w:rPr>
          <w:rStyle w:val="af2"/>
          <w:rFonts w:eastAsia="Guttman Hodes" w:hint="cs"/>
          <w:rtl/>
        </w:rPr>
        <w:t xml:space="preserve"> </w:t>
      </w:r>
      <w:r w:rsidRPr="003B63CB">
        <w:rPr>
          <w:rFonts w:hint="cs"/>
          <w:rtl/>
        </w:rPr>
        <w:t xml:space="preserve">על </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w:t>
      </w:r>
      <w:r w:rsidRPr="003B63C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Ref139359821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ב)</w:t>
      </w:r>
      <w:r>
        <w:rPr>
          <w:rStyle w:val="af2"/>
          <w:rFonts w:eastAsia="Guttman Hodes"/>
          <w:rtl/>
        </w:rPr>
        <w:fldChar w:fldCharType="end"/>
      </w:r>
      <w:r w:rsidRPr="003B63CB">
        <w:rPr>
          <w:rFonts w:hint="cs"/>
          <w:rtl/>
        </w:rPr>
        <w:t xml:space="preserve"> דבקורע בחמתו ולמירמי אימתא אאנשי דביתיה צריך את המלאכה עצמה, ורוצה שהיא תהיה, דא"א לתרץ דלא ניחא ליה בעצם הדבר שהוא צריך למירמי אימתא אאנשי דביתיה, וכתבו </w:t>
      </w:r>
      <w:r w:rsidRPr="003B63CB">
        <w:rPr>
          <w:rStyle w:val="aff4"/>
          <w:rFonts w:hint="cs"/>
          <w:vanish/>
          <w:rtl/>
        </w:rPr>
        <w:t>-</w:t>
      </w:r>
      <w:r w:rsidRPr="003B63CB">
        <w:rPr>
          <w:rStyle w:val="aff4"/>
          <w:rFonts w:hint="cs"/>
          <w:rtl/>
        </w:rPr>
        <w:t>התוס'</w:t>
      </w:r>
      <w:r w:rsidRPr="003B63CB">
        <w:rPr>
          <w:rStyle w:val="aff4"/>
          <w:rFonts w:hint="cs"/>
          <w:vanish/>
          <w:rtl/>
        </w:rPr>
        <w:t>-</w:t>
      </w:r>
      <w:r w:rsidRPr="003B63CB">
        <w:rPr>
          <w:rFonts w:hint="cs"/>
          <w:rtl/>
        </w:rPr>
        <w:t xml:space="preserve"> </w:t>
      </w:r>
      <w:r w:rsidRPr="003B63C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Ref140076837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יג)</w:t>
      </w:r>
      <w:r>
        <w:rPr>
          <w:rStyle w:val="af2"/>
          <w:rFonts w:eastAsia="Guttman Hodes"/>
          <w:rtl/>
        </w:rPr>
        <w:fldChar w:fldCharType="end"/>
      </w:r>
      <w:r w:rsidRPr="003B63CB">
        <w:rPr>
          <w:rFonts w:hint="cs"/>
          <w:rtl/>
        </w:rPr>
        <w:t xml:space="preserve"> דאי נימא דלא ניחא ליה בעצם הדבר שצריך להטיל אימה, קשה אמאי מפיס מורסא בכדי לעשות לה פה חייב, ביאר</w:t>
      </w:r>
      <w:r w:rsidRPr="003B63CB">
        <w:rPr>
          <w:rtl/>
        </w:rPr>
        <w:t xml:space="preserve"> </w:t>
      </w:r>
      <w:r w:rsidRPr="003B63CB">
        <w:rPr>
          <w:rStyle w:val="aff4"/>
          <w:vanish/>
          <w:rtl/>
        </w:rPr>
        <w:t>-</w:t>
      </w:r>
      <w:r w:rsidRPr="003B63CB">
        <w:rPr>
          <w:rStyle w:val="aff4"/>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Ref140074098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טז)</w:t>
      </w:r>
      <w:r>
        <w:rPr>
          <w:rStyle w:val="aff4"/>
          <w:vanish/>
          <w:rtl/>
        </w:rPr>
        <w:fldChar w:fldCharType="end"/>
      </w:r>
      <w:r>
        <w:rPr>
          <w:rStyle w:val="aff4"/>
          <w:rFonts w:hint="cs"/>
          <w:vanish/>
          <w:rtl/>
        </w:rPr>
        <w:t xml:space="preserve"> &gt;</w:t>
      </w:r>
      <w:r w:rsidRPr="003B63CB">
        <w:rPr>
          <w:rStyle w:val="aff4"/>
          <w:rtl/>
        </w:rPr>
        <w:t>כפות תמרים</w:t>
      </w:r>
      <w:r w:rsidRPr="003B63CB">
        <w:rPr>
          <w:rStyle w:val="aff4"/>
          <w:vanish/>
          <w:rtl/>
        </w:rPr>
        <w:t>-</w:t>
      </w:r>
      <w:r w:rsidRPr="003B63CB">
        <w:rPr>
          <w:rtl/>
        </w:rPr>
        <w:t xml:space="preserve"> </w:t>
      </w:r>
      <w:r w:rsidRPr="003B63CB">
        <w:rPr>
          <w:rStyle w:val="af2"/>
          <w:rFonts w:eastAsia="Guttman Hodes"/>
          <w:rtl/>
        </w:rPr>
        <w:t>(סוכה לג: ד"ה עוד</w:t>
      </w:r>
      <w:r w:rsidRPr="003B63CB">
        <w:rPr>
          <w:rStyle w:val="af2"/>
          <w:rFonts w:eastAsia="Guttman Hodes" w:hint="cs"/>
          <w:rtl/>
        </w:rPr>
        <w:t xml:space="preserve"> הקשו</w:t>
      </w:r>
      <w:r w:rsidRPr="003B63CB">
        <w:rPr>
          <w:rStyle w:val="af2"/>
          <w:rFonts w:eastAsia="Guttman Hodes"/>
          <w:rtl/>
        </w:rPr>
        <w:t>)</w:t>
      </w:r>
      <w:r w:rsidRPr="003B63CB">
        <w:rPr>
          <w:vanish/>
          <w:rtl/>
        </w:rPr>
        <w:t>=</w:t>
      </w:r>
      <w:r w:rsidRPr="003B63CB">
        <w:rPr>
          <w:rtl/>
        </w:rPr>
        <w:t xml:space="preserve"> </w:t>
      </w:r>
      <w:r w:rsidRPr="003B63CB">
        <w:rPr>
          <w:rFonts w:hint="cs"/>
          <w:rtl/>
        </w:rPr>
        <w:t xml:space="preserve">דחייב בכה"ג כדתנן בעדויות </w:t>
      </w:r>
      <w:r w:rsidRPr="003B63CB">
        <w:rPr>
          <w:rStyle w:val="af2"/>
          <w:rFonts w:eastAsia="Guttman Rashi" w:hint="cs"/>
          <w:rtl/>
        </w:rPr>
        <w:t>(פ"ב מ"ה)</w:t>
      </w:r>
      <w:r w:rsidRPr="003B63CB">
        <w:rPr>
          <w:rFonts w:hint="cs"/>
          <w:rtl/>
        </w:rPr>
        <w:t xml:space="preserve">, ואיתא בגמ' לקמן </w:t>
      </w:r>
      <w:r w:rsidRPr="003B63CB">
        <w:rPr>
          <w:rStyle w:val="af2"/>
          <w:rFonts w:eastAsia="Guttman Rashi" w:hint="cs"/>
          <w:rtl/>
        </w:rPr>
        <w:t>(קז.)</w:t>
      </w:r>
      <w:r w:rsidRPr="003B63CB">
        <w:rPr>
          <w:rFonts w:hint="cs"/>
          <w:rtl/>
        </w:rPr>
        <w:t xml:space="preserve"> דהיא אליבא דר"ש, ואי נימא דפטור כיון דלא ניחא ליה שתהיה לו מורסא מעולם, א"כ כל מלאכות שבת הם מלאכה שאינה צריכה לגופה כגון אופה לא ניחא ליה שיהיה רעב ויצטרך לאפות.</w:t>
      </w:r>
      <w:bookmarkEnd w:id="3109"/>
    </w:p>
    <w:p w14:paraId="1108A233" w14:textId="77777777" w:rsidR="002748A5" w:rsidRPr="00747170" w:rsidRDefault="002748A5" w:rsidP="00747170">
      <w:pPr>
        <w:pStyle w:val="a2"/>
        <w:rPr>
          <w:rtl/>
        </w:rPr>
      </w:pPr>
      <w:r w:rsidRPr="00747170">
        <w:rPr>
          <w:rtl/>
        </w:rPr>
        <w:t>עוד הקשו על רש"י מקורע בחמתו למירמא אימתא אאינשי ביתיה דאמרי' פ' האורג (דף קה ע"ב) דלר"ש פטור משום מלאכה שאצ"ל ולפירש"י הי"ל לר"ש לחייב דהרי רוצה הוא באותה מלאכה דקריעה למירמא אימתא אאינשי ביתיה ואין לומר דלא ניחא ליה שיצטרך למירמי אימתא דא"כ מפיס מורסא לעשות פה יהא פטור דברצונו היה שלא היה לו מורסא מעולם ע"כ הנה דין מפיס מורסא היא משנה פ"ב דעדיות ואמרינן בר"פ שמנה שרצים (דף קז) דהך מתני' הויא אליבא דר"ש ולפי' שנינו להוציא ממנה לחה פטור והשתא מקשים התוס' לפירש"י אמאי בקורע בחמתו למירמא אימתא אאינשי ביתיה פטור לר"ש משום דחשיב לי' מלאכ</w:t>
      </w:r>
      <w:r w:rsidRPr="00747170">
        <w:rPr>
          <w:rFonts w:hint="cs"/>
          <w:rtl/>
        </w:rPr>
        <w:t>ה</w:t>
      </w:r>
      <w:r w:rsidRPr="00747170">
        <w:rPr>
          <w:rtl/>
        </w:rPr>
        <w:t xml:space="preserve"> שאצ"ל ובמפיס מורסא לעשות לה פה חייב לר"ש.</w:t>
      </w:r>
    </w:p>
    <w:p w14:paraId="13433E38" w14:textId="77777777" w:rsidR="002748A5" w:rsidRPr="003B63CB" w:rsidRDefault="002748A5" w:rsidP="002748A5">
      <w:pPr>
        <w:pStyle w:val="a7"/>
      </w:pPr>
      <w:bookmarkStart w:id="3110" w:name="_Toc140074161"/>
      <w:bookmarkStart w:id="3111" w:name="_Toc140092010"/>
      <w:bookmarkStart w:id="3112" w:name="_Toc140144210"/>
      <w:bookmarkStart w:id="3113" w:name="_Toc140144441"/>
      <w:r w:rsidRPr="003B63CB">
        <w:rPr>
          <w:rFonts w:hint="cs"/>
          <w:rtl/>
        </w:rPr>
        <w:t>בי' הכפו"ת ברש"י דלא ניחא ליה שהוצרך להשחית בגד וברצונו היה שיטיל אימה באופ"א</w:t>
      </w:r>
      <w:bookmarkEnd w:id="3110"/>
      <w:bookmarkEnd w:id="3111"/>
      <w:bookmarkEnd w:id="3112"/>
      <w:bookmarkEnd w:id="3113"/>
    </w:p>
    <w:p w14:paraId="15B6ACF5" w14:textId="77777777" w:rsidR="002748A5" w:rsidRPr="003B63CB" w:rsidRDefault="002748A5" w:rsidP="00BC7DC8">
      <w:pPr>
        <w:pStyle w:val="a3"/>
      </w:pPr>
      <w:r w:rsidRPr="003B63CB">
        <w:rPr>
          <w:rFonts w:hint="cs"/>
          <w:rtl/>
        </w:rPr>
        <w:t xml:space="preserve">אלא תירץ </w:t>
      </w:r>
      <w:r w:rsidRPr="003B63CB">
        <w:rPr>
          <w:rStyle w:val="aff4"/>
          <w:vanish/>
          <w:rtl/>
        </w:rPr>
        <w:t>-</w:t>
      </w:r>
      <w:r w:rsidRPr="003B63CB">
        <w:rPr>
          <w:rStyle w:val="aff4"/>
          <w:rtl/>
        </w:rPr>
        <w:t>הכפות תמרים</w:t>
      </w:r>
      <w:r w:rsidRPr="003B63CB">
        <w:rPr>
          <w:rStyle w:val="aff4"/>
          <w:vanish/>
          <w:rtl/>
        </w:rPr>
        <w:t>-</w:t>
      </w:r>
      <w:r w:rsidRPr="003B63CB">
        <w:rPr>
          <w:rtl/>
        </w:rPr>
        <w:t xml:space="preserve"> </w:t>
      </w:r>
      <w:r w:rsidRPr="003B63CB">
        <w:rPr>
          <w:rFonts w:hint="cs"/>
          <w:rtl/>
        </w:rPr>
        <w:t xml:space="preserve">דס"ל </w:t>
      </w:r>
      <w:r w:rsidRPr="003B63CB">
        <w:rPr>
          <w:rStyle w:val="aff4"/>
          <w:rFonts w:hint="cs"/>
          <w:vanish/>
          <w:rtl/>
        </w:rPr>
        <w:t>-</w:t>
      </w:r>
      <w:r w:rsidRPr="003B63CB">
        <w:rPr>
          <w:rStyle w:val="aff4"/>
          <w:rFonts w:hint="cs"/>
          <w:rtl/>
        </w:rPr>
        <w:t>לרש"י</w:t>
      </w:r>
      <w:r w:rsidRPr="003B63CB">
        <w:rPr>
          <w:rStyle w:val="aff4"/>
          <w:rFonts w:hint="cs"/>
          <w:vanish/>
          <w:rtl/>
        </w:rPr>
        <w:t>-</w:t>
      </w:r>
      <w:r w:rsidRPr="003B63CB">
        <w:rPr>
          <w:rFonts w:hint="cs"/>
          <w:rtl/>
        </w:rPr>
        <w:t xml:space="preserve"> דהא דלא ניחא ליה במטיל אימה, היינו במה שהוצרך לקרוע בגד בשביל זה, דע"י כעסו לא שלט ברוחו, דברצונו היה שישלוט ברוחו ויטיל אימה באופן אחר.</w:t>
      </w:r>
    </w:p>
    <w:p w14:paraId="1C15F8D7" w14:textId="77777777" w:rsidR="002748A5" w:rsidRPr="00747170" w:rsidRDefault="002748A5" w:rsidP="00747170">
      <w:pPr>
        <w:pStyle w:val="a2"/>
        <w:rPr>
          <w:rtl/>
        </w:rPr>
      </w:pPr>
      <w:r w:rsidRPr="00747170">
        <w:rPr>
          <w:rtl/>
        </w:rPr>
        <w:t>ולעד"נ להליץ בעד רש"י דודאי קורע בחמתו אין טעם הפיטור משום דלא ניחא ליה שיצטרך למירמי אימתא דא"כ בכל המלאכות יהיה פטור מטעם זה כגון אופה פת לאכול יהי' פטור משום דלא היה רוצה שיהיה לו רעב לאפות פת ולאכול וכן לא היה רוצה שיהיה לו מורסא לעשות לה פה אלא טעם הפיטור הוא משום למירמא אימתא אינו מוכרח לקרוע דהרי יכול למירמא אימתא ע"י שיכעוס על אנשי ביתו לחרפם ולקללם ומה שקרע בחמתו לא היה ברצונו דמתוך הכעס אינו שליט ברוחו וקורע בגדיו בחמתו וזה הוי מלאכה שאינה צ"ל דברצונו לא באה לו דהרי היה רוצה למירמא אימתא בלי קריעת בגדים אלא דלא יוכל לשלוט ביצרו שלא לקרוע בגדיו וחשיב מלאכה שאינה צריכה לגופה דברצונו לא בא' לו מלאכת קריעה</w:t>
      </w:r>
      <w:r w:rsidRPr="00747170">
        <w:rPr>
          <w:rFonts w:hint="cs"/>
          <w:rtl/>
        </w:rPr>
        <w:t>.</w:t>
      </w:r>
    </w:p>
    <w:p w14:paraId="11F80EAC" w14:textId="77777777" w:rsidR="002748A5" w:rsidRPr="003B63CB" w:rsidRDefault="002748A5" w:rsidP="002748A5">
      <w:pPr>
        <w:pStyle w:val="a7"/>
      </w:pPr>
      <w:bookmarkStart w:id="3114" w:name="_Toc140074162"/>
      <w:bookmarkStart w:id="3115" w:name="_Toc140092011"/>
      <w:bookmarkStart w:id="3116" w:name="_Toc140144211"/>
      <w:bookmarkStart w:id="3117" w:name="_Toc140144442"/>
      <w:r w:rsidRPr="003B63CB">
        <w:rPr>
          <w:rFonts w:hint="cs"/>
          <w:rtl/>
        </w:rPr>
        <w:t>בי' הכפו"ת ברש"י דקורע להטיל אימה כצד נחש ומוציא מת אבל במפיס ניחא ליה עכשיו בפה</w:t>
      </w:r>
      <w:bookmarkEnd w:id="3114"/>
      <w:bookmarkEnd w:id="3115"/>
      <w:bookmarkEnd w:id="3116"/>
      <w:bookmarkEnd w:id="3117"/>
      <w:r w:rsidRPr="003B63CB">
        <w:rPr>
          <w:rFonts w:hint="cs"/>
          <w:rtl/>
        </w:rPr>
        <w:t xml:space="preserve"> </w:t>
      </w:r>
    </w:p>
    <w:p w14:paraId="7457A9A8" w14:textId="77777777" w:rsidR="002748A5" w:rsidRPr="003B63CB" w:rsidRDefault="002748A5" w:rsidP="00BC7DC8">
      <w:pPr>
        <w:pStyle w:val="a3"/>
      </w:pPr>
      <w:r w:rsidRPr="003B63CB">
        <w:rPr>
          <w:rFonts w:hint="cs"/>
          <w:rtl/>
        </w:rPr>
        <w:t xml:space="preserve">וכתב </w:t>
      </w:r>
      <w:r w:rsidRPr="003B63CB">
        <w:rPr>
          <w:rStyle w:val="aff4"/>
          <w:vanish/>
          <w:rtl/>
        </w:rPr>
        <w:t>-</w:t>
      </w:r>
      <w:r w:rsidRPr="003B63CB">
        <w:rPr>
          <w:rStyle w:val="aff4"/>
          <w:rtl/>
        </w:rPr>
        <w:t>הכפות תמרים</w:t>
      </w:r>
      <w:r w:rsidRPr="003B63CB">
        <w:rPr>
          <w:rStyle w:val="aff4"/>
          <w:vanish/>
          <w:rtl/>
        </w:rPr>
        <w:t>-</w:t>
      </w:r>
      <w:r w:rsidRPr="003B63CB">
        <w:rPr>
          <w:rtl/>
        </w:rPr>
        <w:t xml:space="preserve"> </w:t>
      </w:r>
      <w:r w:rsidRPr="003B63CB">
        <w:rPr>
          <w:rFonts w:hint="cs"/>
          <w:rtl/>
        </w:rPr>
        <w:t xml:space="preserve">דס"ל </w:t>
      </w:r>
      <w:r w:rsidRPr="003B63CB">
        <w:rPr>
          <w:rStyle w:val="aff4"/>
          <w:rFonts w:hint="cs"/>
          <w:vanish/>
          <w:rtl/>
        </w:rPr>
        <w:t>-</w:t>
      </w:r>
      <w:r w:rsidRPr="003B63CB">
        <w:rPr>
          <w:rStyle w:val="aff4"/>
          <w:rFonts w:hint="cs"/>
          <w:rtl/>
        </w:rPr>
        <w:t>לרש"י</w:t>
      </w:r>
      <w:r w:rsidRPr="003B63CB">
        <w:rPr>
          <w:rStyle w:val="aff4"/>
          <w:rFonts w:hint="cs"/>
          <w:vanish/>
          <w:rtl/>
        </w:rPr>
        <w:t>-</w:t>
      </w:r>
      <w:r w:rsidRPr="003B63CB">
        <w:rPr>
          <w:rFonts w:hint="cs"/>
          <w:rtl/>
        </w:rPr>
        <w:t xml:space="preserve"> דבזה דמי הקורע למירמי אימתא להוצאת מת ולצידת נחש, דגוף המלאכה אינה ברצונו, משא"כ במפיס מורסא לעשות לה פה, דאף שהיה רוצה שלא תהיה מורסא מעיקרא, מ"מ עכשיו הוא רוצה שיהיה לה פה.</w:t>
      </w:r>
    </w:p>
    <w:p w14:paraId="621495AE" w14:textId="77777777" w:rsidR="002748A5" w:rsidRPr="00747170" w:rsidRDefault="002748A5" w:rsidP="00747170">
      <w:pPr>
        <w:pStyle w:val="a2"/>
        <w:rPr>
          <w:rtl/>
        </w:rPr>
      </w:pPr>
      <w:r w:rsidRPr="00747170">
        <w:rPr>
          <w:rtl/>
        </w:rPr>
        <w:t>והוי כהוצאת המת שלא יטמאנו וצד נחש שלא ישכנו דברצונו לא באה לו גוף המלאכה ולא הוי מלאכת מחשבת אבל מפיס מורסא לעשות לה פה נהי דרצונו לא היה שיהיה לו מרסא מעיקרא מכל מקום עתה שיש לו מורסא מכוין ורוצה לעשות לה פה להכניס אויר ולהוציא ליחה ונמצא דהמלאכה דהיא עשיית הפה הוא עושה אותו ברצונו</w:t>
      </w:r>
      <w:r w:rsidRPr="00747170">
        <w:rPr>
          <w:rFonts w:hint="cs"/>
          <w:rtl/>
        </w:rPr>
        <w:t>.</w:t>
      </w:r>
    </w:p>
    <w:p w14:paraId="4ABF1398" w14:textId="77777777" w:rsidR="002748A5" w:rsidRPr="003B63CB" w:rsidRDefault="002748A5" w:rsidP="002748A5">
      <w:pPr>
        <w:pStyle w:val="a7"/>
      </w:pPr>
      <w:bookmarkStart w:id="3118" w:name="_Toc140074163"/>
      <w:bookmarkStart w:id="3119" w:name="_Toc140092012"/>
      <w:bookmarkStart w:id="3120" w:name="_Toc140144212"/>
      <w:bookmarkStart w:id="3121" w:name="_Toc140144443"/>
      <w:r w:rsidRPr="003B63CB">
        <w:rPr>
          <w:rFonts w:hint="cs"/>
          <w:rtl/>
        </w:rPr>
        <w:t>בי' הכפו"ת דבנפלה דרנא עכשיו רוצה במלאכה ול"ד לנחש ומת דהוא כאנוס במעשה המלאכה</w:t>
      </w:r>
      <w:bookmarkEnd w:id="3118"/>
      <w:bookmarkEnd w:id="3119"/>
      <w:bookmarkEnd w:id="3120"/>
      <w:bookmarkEnd w:id="3121"/>
    </w:p>
    <w:p w14:paraId="1F5F90D4" w14:textId="7CCD549C" w:rsidR="002748A5" w:rsidRPr="003B63CB" w:rsidRDefault="002748A5" w:rsidP="00BC7DC8">
      <w:pPr>
        <w:pStyle w:val="a3"/>
      </w:pPr>
      <w:r w:rsidRPr="003B63CB">
        <w:rPr>
          <w:rFonts w:hint="cs"/>
          <w:rtl/>
        </w:rPr>
        <w:t xml:space="preserve">ולפי"ז תירץ </w:t>
      </w:r>
      <w:r w:rsidRPr="003B63CB">
        <w:rPr>
          <w:rStyle w:val="aff4"/>
          <w:rFonts w:hint="cs"/>
          <w:vanish/>
          <w:rtl/>
        </w:rPr>
        <w:t>-</w:t>
      </w:r>
      <w:r w:rsidRPr="003B63CB">
        <w:rPr>
          <w:rStyle w:val="aff4"/>
          <w:rFonts w:hint="cs"/>
          <w:rtl/>
        </w:rPr>
        <w:t>הכפות תמרים</w:t>
      </w:r>
      <w:r w:rsidRPr="003B63CB">
        <w:rPr>
          <w:rStyle w:val="aff4"/>
          <w:rFonts w:hint="cs"/>
          <w:vanish/>
          <w:rtl/>
        </w:rPr>
        <w:t>-</w:t>
      </w:r>
      <w:r w:rsidRPr="003B63CB">
        <w:rPr>
          <w:rFonts w:hint="cs"/>
          <w:rtl/>
        </w:rPr>
        <w:t xml:space="preserve"> גם את קושית </w:t>
      </w:r>
      <w:r w:rsidRPr="003B63CB">
        <w:rPr>
          <w:rStyle w:val="aff4"/>
          <w:rFonts w:hint="cs"/>
          <w:vanish/>
          <w:rtl/>
        </w:rPr>
        <w:t>-</w:t>
      </w:r>
      <w:r w:rsidRPr="003B63CB">
        <w:rPr>
          <w:rStyle w:val="aff4"/>
          <w:rFonts w:hint="cs"/>
          <w:rtl/>
        </w:rPr>
        <w:t>התוס'</w:t>
      </w:r>
      <w:r w:rsidRPr="003B63CB">
        <w:rPr>
          <w:rStyle w:val="aff4"/>
          <w:rFonts w:hint="cs"/>
          <w:vanish/>
          <w:rtl/>
        </w:rPr>
        <w:t>-</w:t>
      </w:r>
      <w:r w:rsidRPr="003B63CB">
        <w:rPr>
          <w:rFonts w:hint="cs"/>
          <w:rtl/>
        </w:rPr>
        <w:t xml:space="preserve"> </w:t>
      </w:r>
      <w:r w:rsidRPr="00D30675">
        <w:rPr>
          <w:rStyle w:val="af2"/>
          <w:rFonts w:eastAsia="Guttman Hodes" w:hint="cs"/>
          <w:rtl/>
        </w:rPr>
        <w:t>(עי'</w:t>
      </w:r>
      <w:r>
        <w:rPr>
          <w:rFonts w:hint="cs"/>
          <w:rtl/>
        </w:rPr>
        <w:t xml:space="preserve"> </w:t>
      </w:r>
      <w:r w:rsidRPr="003B63CB">
        <w:rPr>
          <w:rStyle w:val="af2"/>
          <w:rFonts w:eastAsia="Guttman Hodes" w:hint="cs"/>
          <w:rtl/>
        </w:rPr>
        <w:t xml:space="preserve">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Ref140076837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יג)</w:t>
      </w:r>
      <w:r>
        <w:rPr>
          <w:rStyle w:val="af2"/>
          <w:rFonts w:eastAsia="Guttman Hodes"/>
          <w:rtl/>
        </w:rPr>
        <w:fldChar w:fldCharType="end"/>
      </w:r>
      <w:r w:rsidRPr="003B63CB">
        <w:rPr>
          <w:rFonts w:hint="cs"/>
          <w:rtl/>
        </w:rPr>
        <w:t xml:space="preserve"> על </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מיריעה שנפל בה דרנא, דאף דלא ניחא ליה בעיקר נפילת הדרנא, מ"מ אחר שנפלה ניחא ליה בקריעה, ויש לו כוונה למלאכה, ולא דמי להוצאת מת וצידת נחש דלא ניחא ליה בעצם המלאכה דהיא באה לדחות את הנזק מעליו, והוא כאנוס במלאכה עצמה.</w:t>
      </w:r>
    </w:p>
    <w:p w14:paraId="3043C9FE" w14:textId="77777777" w:rsidR="002748A5" w:rsidRPr="00747170" w:rsidRDefault="002748A5" w:rsidP="00747170">
      <w:pPr>
        <w:pStyle w:val="a2"/>
        <w:rPr>
          <w:rtl/>
        </w:rPr>
      </w:pPr>
      <w:r w:rsidRPr="00747170">
        <w:rPr>
          <w:rtl/>
        </w:rPr>
        <w:t>וכן קורע יריעות שנפל בה דרנא על מנת לתפור אף על גב דרצונו היה שלא יפול דרנא מ"מ השתא דנפל דרנא מכוין ורוצה לקרוע על מנת לתפור ונמצא דהמלאכה דהיא הקריעה הוא עושה אותו ברצונו לתקן בגדו הצריך לו וכל זה הוי מצ"ל מה שאין כן הוצאת מת וצידת נחש דהמלאכה דהיא הוצאת מת וצידת הנחש לא באה ברצונו ועושה אותו לדחות הנזק מעליו והו"ל כאלו עושה מלאכה לאונסו ומטעם זה קורע בחמתו למירמא אימתא פטור משום דאינו עושה ברצונו כמ"ש זה נ"ל להליץ בעד רש"י</w:t>
      </w:r>
      <w:r w:rsidRPr="00747170">
        <w:rPr>
          <w:rFonts w:hint="cs"/>
          <w:rtl/>
        </w:rPr>
        <w:t>.</w:t>
      </w:r>
    </w:p>
    <w:p w14:paraId="33A8D8DC" w14:textId="77777777" w:rsidR="002748A5" w:rsidRPr="003B63CB" w:rsidRDefault="002748A5" w:rsidP="002748A5">
      <w:pPr>
        <w:pStyle w:val="1"/>
        <w:rPr>
          <w:rtl/>
        </w:rPr>
      </w:pPr>
      <w:bookmarkStart w:id="3122" w:name="_Toc140074164"/>
      <w:bookmarkStart w:id="3123" w:name="_Toc140092013"/>
      <w:bookmarkStart w:id="3124" w:name="_Toc140144213"/>
      <w:bookmarkStart w:id="3125" w:name="_Toc140144444"/>
      <w:r w:rsidRPr="003B63CB">
        <w:rPr>
          <w:rFonts w:hint="cs"/>
          <w:rtl/>
        </w:rPr>
        <w:t>בי' הכפו"ת דנ"מ בין רש"י לתוס' אי צד נחש לשחק משאצל"ג</w:t>
      </w:r>
      <w:bookmarkEnd w:id="3122"/>
      <w:bookmarkEnd w:id="3123"/>
      <w:bookmarkEnd w:id="3124"/>
      <w:bookmarkEnd w:id="3125"/>
      <w:r w:rsidRPr="003B63CB">
        <w:rPr>
          <w:rFonts w:hint="cs"/>
          <w:rtl/>
        </w:rPr>
        <w:t xml:space="preserve"> </w:t>
      </w:r>
    </w:p>
    <w:p w14:paraId="6F94439D" w14:textId="77777777" w:rsidR="002748A5" w:rsidRPr="00C12F78" w:rsidRDefault="002748A5" w:rsidP="002748A5">
      <w:pPr>
        <w:pStyle w:val="afffff7"/>
        <w:rPr>
          <w:rtl/>
        </w:rPr>
      </w:pPr>
      <w:bookmarkStart w:id="3126" w:name="_Toc140074257"/>
      <w:bookmarkStart w:id="3127" w:name="_Toc140144352"/>
      <w:bookmarkStart w:id="3128" w:name="_Toc140144828"/>
      <w:bookmarkStart w:id="3129" w:name="_Toc163505943"/>
      <w:r w:rsidRPr="00C12F78">
        <w:rPr>
          <w:rtl/>
        </w:rPr>
        <w:t>כפות תמרים סוכה ל"ג ע"ב ד"ה והמשל בזה</w:t>
      </w:r>
      <w:bookmarkEnd w:id="3126"/>
      <w:bookmarkEnd w:id="3127"/>
      <w:r w:rsidRPr="00C12F78">
        <w:rPr>
          <w:rtl/>
        </w:rPr>
        <w:t xml:space="preserve"> (ח)</w:t>
      </w:r>
      <w:bookmarkEnd w:id="3128"/>
      <w:bookmarkEnd w:id="3129"/>
    </w:p>
    <w:p w14:paraId="25F2DA1E" w14:textId="77777777" w:rsidR="002748A5" w:rsidRPr="003B63CB" w:rsidRDefault="002748A5" w:rsidP="002748A5">
      <w:pPr>
        <w:pStyle w:val="a7"/>
      </w:pPr>
      <w:bookmarkStart w:id="3130" w:name="_Toc140074165"/>
      <w:bookmarkStart w:id="3131" w:name="_Toc140092014"/>
      <w:bookmarkStart w:id="3132" w:name="_Toc140144214"/>
      <w:bookmarkStart w:id="3133" w:name="_Toc140144445"/>
      <w:r w:rsidRPr="003B63CB">
        <w:rPr>
          <w:rFonts w:hint="cs"/>
          <w:rtl/>
        </w:rPr>
        <w:t>בי' הכפו"ת דצד נחש לשחק חייב לרש"י דל"ה סילוק ופטור לתוס' דל"ד למשכן ודחיית האמר"ב</w:t>
      </w:r>
      <w:bookmarkEnd w:id="3130"/>
      <w:bookmarkEnd w:id="3131"/>
      <w:bookmarkEnd w:id="3132"/>
      <w:bookmarkEnd w:id="3133"/>
    </w:p>
    <w:p w14:paraId="70A682F1" w14:textId="6964DDCD" w:rsidR="002748A5" w:rsidRPr="003B63CB" w:rsidRDefault="002748A5" w:rsidP="00BC7DC8">
      <w:pPr>
        <w:pStyle w:val="a3"/>
      </w:pPr>
      <w:bookmarkStart w:id="3134" w:name="_Ref139563119"/>
      <w:bookmarkStart w:id="3135" w:name="_Ref140077384"/>
      <w:r w:rsidRPr="003B63CB">
        <w:rPr>
          <w:rtl/>
        </w:rPr>
        <w:t xml:space="preserve">כתב </w:t>
      </w:r>
      <w:r w:rsidRPr="003B63CB">
        <w:rPr>
          <w:rStyle w:val="aff4"/>
          <w:vanish/>
          <w:rtl/>
        </w:rPr>
        <w:t>-</w:t>
      </w:r>
      <w:r w:rsidRPr="003B63CB">
        <w:rPr>
          <w:rStyle w:val="aff4"/>
          <w:rtl/>
        </w:rPr>
        <w:t>ה</w:t>
      </w:r>
      <w:r w:rsidRPr="003B63CB">
        <w:rPr>
          <w:rStyle w:val="aff4"/>
          <w:rFonts w:hint="cs"/>
          <w:vanish/>
          <w:rtl/>
        </w:rPr>
        <w:t xml:space="preserve">&lt;, </w:t>
      </w:r>
      <w:r w:rsidRPr="003B63CB">
        <w:rPr>
          <w:rStyle w:val="aff4"/>
          <w:vanish/>
          <w:rtl/>
        </w:rPr>
        <w:fldChar w:fldCharType="begin"/>
      </w:r>
      <w:r w:rsidRPr="003B63CB">
        <w:rPr>
          <w:rStyle w:val="aff4"/>
          <w:vanish/>
          <w:rtl/>
        </w:rPr>
        <w:instrText xml:space="preserve"> </w:instrText>
      </w:r>
      <w:r w:rsidRPr="003B63CB">
        <w:rPr>
          <w:rStyle w:val="aff4"/>
          <w:rFonts w:hint="cs"/>
          <w:vanish/>
        </w:rPr>
        <w:instrText>REF</w:instrText>
      </w:r>
      <w:r w:rsidRPr="003B63CB">
        <w:rPr>
          <w:rStyle w:val="aff4"/>
          <w:rFonts w:hint="cs"/>
          <w:vanish/>
          <w:rtl/>
        </w:rPr>
        <w:instrText xml:space="preserve"> _</w:instrText>
      </w:r>
      <w:r w:rsidRPr="003B63CB">
        <w:rPr>
          <w:rStyle w:val="aff4"/>
          <w:rFonts w:hint="cs"/>
          <w:vanish/>
        </w:rPr>
        <w:instrText>Ref139563119 \r \h</w:instrText>
      </w:r>
      <w:r w:rsidRPr="003B63CB">
        <w:rPr>
          <w:rStyle w:val="aff4"/>
          <w:vanish/>
          <w:rtl/>
        </w:rPr>
        <w:instrText xml:space="preserve">  \* </w:instrText>
      </w:r>
      <w:r w:rsidRPr="003B63CB">
        <w:rPr>
          <w:rStyle w:val="aff4"/>
          <w:vanish/>
        </w:rPr>
        <w:instrText>MERGEFORMAT</w:instrText>
      </w:r>
      <w:r w:rsidRPr="003B63CB">
        <w:rPr>
          <w:rStyle w:val="aff4"/>
          <w:vanish/>
          <w:rtl/>
        </w:rPr>
        <w:instrText xml:space="preserve"> </w:instrText>
      </w:r>
      <w:r w:rsidRPr="003B63CB">
        <w:rPr>
          <w:rStyle w:val="aff4"/>
          <w:vanish/>
          <w:rtl/>
        </w:rPr>
      </w:r>
      <w:r w:rsidRPr="003B63CB">
        <w:rPr>
          <w:rStyle w:val="aff4"/>
          <w:vanish/>
          <w:rtl/>
        </w:rPr>
        <w:fldChar w:fldCharType="separate"/>
      </w:r>
      <w:r w:rsidR="00D82181">
        <w:rPr>
          <w:rStyle w:val="aff4"/>
          <w:vanish/>
          <w:cs/>
        </w:rPr>
        <w:t>‎</w:t>
      </w:r>
      <w:r w:rsidR="00D82181">
        <w:rPr>
          <w:rStyle w:val="aff4"/>
          <w:vanish/>
          <w:rtl/>
        </w:rPr>
        <w:t>כ)</w:t>
      </w:r>
      <w:r w:rsidRPr="003B63CB">
        <w:rPr>
          <w:rStyle w:val="aff4"/>
          <w:vanish/>
          <w:rtl/>
        </w:rPr>
        <w:fldChar w:fldCharType="end"/>
      </w:r>
      <w:r w:rsidRPr="003B63CB">
        <w:rPr>
          <w:rStyle w:val="aff4"/>
          <w:rFonts w:hint="cs"/>
          <w:vanish/>
          <w:rtl/>
        </w:rPr>
        <w:t xml:space="preserve"> &gt;</w:t>
      </w:r>
      <w:r w:rsidRPr="003B63CB">
        <w:rPr>
          <w:rStyle w:val="aff4"/>
          <w:rtl/>
        </w:rPr>
        <w:t>כפות תמרים</w:t>
      </w:r>
      <w:r w:rsidRPr="003B63CB">
        <w:rPr>
          <w:rStyle w:val="aff4"/>
          <w:vanish/>
          <w:rtl/>
        </w:rPr>
        <w:t>-</w:t>
      </w:r>
      <w:r w:rsidRPr="003B63CB">
        <w:rPr>
          <w:rtl/>
        </w:rPr>
        <w:t xml:space="preserve"> </w:t>
      </w:r>
      <w:r w:rsidRPr="003B63CB">
        <w:rPr>
          <w:rStyle w:val="af2"/>
          <w:rFonts w:eastAsia="Guttman Hodes"/>
          <w:rtl/>
        </w:rPr>
        <w:t>(סוכה לג: ד"ה והמשל בזה)</w:t>
      </w:r>
      <w:r w:rsidRPr="003B63CB">
        <w:rPr>
          <w:vanish/>
          <w:rtl/>
        </w:rPr>
        <w:t>=</w:t>
      </w:r>
      <w:r w:rsidRPr="003B63CB">
        <w:rPr>
          <w:rtl/>
        </w:rPr>
        <w:t xml:space="preserve"> </w:t>
      </w:r>
      <w:r w:rsidRPr="003B63CB">
        <w:rPr>
          <w:rFonts w:hint="cs"/>
          <w:rtl/>
        </w:rPr>
        <w:t xml:space="preserve">דהנ"מ בין </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w:t>
      </w:r>
      <w:r w:rsidRPr="003B63C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Ref139359821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ב)</w:t>
      </w:r>
      <w:r>
        <w:rPr>
          <w:rStyle w:val="af2"/>
          <w:rFonts w:eastAsia="Guttman Hodes"/>
          <w:rtl/>
        </w:rPr>
        <w:fldChar w:fldCharType="end"/>
      </w:r>
      <w:r w:rsidRPr="003B63CB">
        <w:rPr>
          <w:rStyle w:val="af2"/>
          <w:rFonts w:eastAsia="Guttman Hodes" w:hint="cs"/>
          <w:rtl/>
        </w:rPr>
        <w:t>)</w:t>
      </w:r>
      <w:r w:rsidRPr="003B63CB">
        <w:rPr>
          <w:rFonts w:hint="cs"/>
          <w:rtl/>
        </w:rPr>
        <w:t xml:space="preserve"> דס"ל דמלאכה שאינה צריכה לגופה הוא סילוק הנזק, לבין </w:t>
      </w:r>
      <w:r w:rsidRPr="003B63CB">
        <w:rPr>
          <w:rStyle w:val="aff4"/>
          <w:rFonts w:hint="cs"/>
          <w:vanish/>
          <w:rtl/>
        </w:rPr>
        <w:t>-</w:t>
      </w:r>
      <w:r w:rsidRPr="003B63CB">
        <w:rPr>
          <w:rStyle w:val="aff4"/>
          <w:rFonts w:hint="cs"/>
          <w:rtl/>
        </w:rPr>
        <w:t>ר"י בתוס'</w:t>
      </w:r>
      <w:r w:rsidRPr="003B63CB">
        <w:rPr>
          <w:rStyle w:val="aff4"/>
          <w:rFonts w:hint="cs"/>
          <w:vanish/>
          <w:rtl/>
        </w:rPr>
        <w:t>-</w:t>
      </w:r>
      <w:r w:rsidRPr="003B63CB">
        <w:rPr>
          <w:rFonts w:hint="cs"/>
          <w:rtl/>
        </w:rPr>
        <w:t xml:space="preserve"> </w:t>
      </w:r>
      <w:r w:rsidRPr="003B63CB">
        <w:rPr>
          <w:rStyle w:val="af2"/>
          <w:rFonts w:eastAsia="Guttman Hodes" w:hint="cs"/>
          <w:rtl/>
        </w:rPr>
        <w:t>(</w:t>
      </w:r>
      <w:r w:rsidRPr="00D712FD">
        <w:rPr>
          <w:rStyle w:val="af2"/>
          <w:rFonts w:eastAsia="Guttman Rashi" w:hint="cs"/>
          <w:rtl/>
        </w:rPr>
        <w:t>הובאו בסימן ט'</w:t>
      </w:r>
      <w:r w:rsidRPr="003B63CB">
        <w:rPr>
          <w:rStyle w:val="af2"/>
          <w:rFonts w:eastAsia="Guttman Hodes" w:hint="cs"/>
          <w:rtl/>
        </w:rPr>
        <w:t xml:space="preserve">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Ref140072938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ב)</w:t>
      </w:r>
      <w:r>
        <w:rPr>
          <w:rStyle w:val="af2"/>
          <w:rFonts w:eastAsia="Guttman Hodes"/>
          <w:rtl/>
        </w:rPr>
        <w:fldChar w:fldCharType="end"/>
      </w:r>
      <w:r w:rsidRPr="003B63CB">
        <w:rPr>
          <w:rFonts w:hint="cs"/>
          <w:rtl/>
        </w:rPr>
        <w:t xml:space="preserve"> דס"ל דהוא כל מלאכה שאינה כמו הצורך שהיה במשכן, בצד נחש ע"מ לשחק בו, דלדעת </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כיון דהמלאכה אינה לסילוק נזק, הוי מלאכה שצריכה לגופה, אבל </w:t>
      </w:r>
      <w:r w:rsidRPr="003B63CB">
        <w:rPr>
          <w:rStyle w:val="aff4"/>
          <w:rFonts w:hint="cs"/>
          <w:vanish/>
          <w:rtl/>
        </w:rPr>
        <w:t>-</w:t>
      </w:r>
      <w:r w:rsidRPr="003B63CB">
        <w:rPr>
          <w:rStyle w:val="aff4"/>
          <w:rFonts w:hint="cs"/>
          <w:rtl/>
        </w:rPr>
        <w:t>לתוס'</w:t>
      </w:r>
      <w:r w:rsidRPr="003B63CB">
        <w:rPr>
          <w:rStyle w:val="aff4"/>
          <w:rFonts w:hint="cs"/>
          <w:vanish/>
          <w:rtl/>
        </w:rPr>
        <w:t>-</w:t>
      </w:r>
      <w:r w:rsidRPr="003B63CB">
        <w:rPr>
          <w:rFonts w:hint="cs"/>
          <w:rtl/>
        </w:rPr>
        <w:t xml:space="preserve"> הוי מלאכה שאינה צריכה לגופה, כיון דאינה כמו הצורך שהיה במשכן, דצדו חלזון לצבוע בדמו, ובצד נחש לרפואה חייב אף </w:t>
      </w:r>
      <w:r w:rsidRPr="003B63CB">
        <w:rPr>
          <w:rStyle w:val="aff4"/>
          <w:rFonts w:hint="cs"/>
          <w:vanish/>
          <w:rtl/>
        </w:rPr>
        <w:t>-</w:t>
      </w:r>
      <w:r w:rsidRPr="003B63CB">
        <w:rPr>
          <w:rStyle w:val="aff4"/>
          <w:rFonts w:hint="cs"/>
          <w:rtl/>
        </w:rPr>
        <w:t>לתוס'</w:t>
      </w:r>
      <w:r w:rsidRPr="003B63CB">
        <w:rPr>
          <w:rStyle w:val="aff4"/>
          <w:rFonts w:hint="cs"/>
          <w:vanish/>
          <w:rtl/>
        </w:rPr>
        <w:t>-</w:t>
      </w:r>
      <w:r w:rsidRPr="003B63CB">
        <w:rPr>
          <w:rFonts w:hint="cs"/>
          <w:rtl/>
        </w:rPr>
        <w:t xml:space="preserve"> דהוא כצד חלזון, ועיי"ש במה שביאר </w:t>
      </w:r>
      <w:r w:rsidRPr="003B63CB">
        <w:rPr>
          <w:rStyle w:val="aff4"/>
          <w:rFonts w:hint="cs"/>
          <w:vanish/>
          <w:rtl/>
        </w:rPr>
        <w:t>-</w:t>
      </w:r>
      <w:r w:rsidRPr="003B63CB">
        <w:rPr>
          <w:rStyle w:val="aff4"/>
          <w:rFonts w:hint="cs"/>
          <w:rtl/>
        </w:rPr>
        <w:t>הכפות תמרים</w:t>
      </w:r>
      <w:r w:rsidRPr="003B63CB">
        <w:rPr>
          <w:rStyle w:val="aff4"/>
          <w:rFonts w:hint="cs"/>
          <w:vanish/>
          <w:rtl/>
        </w:rPr>
        <w:t>-</w:t>
      </w:r>
      <w:r w:rsidRPr="003B63CB">
        <w:rPr>
          <w:rFonts w:hint="cs"/>
          <w:rtl/>
        </w:rPr>
        <w:t xml:space="preserve"> לפי"ז את המשנה בעדויות </w:t>
      </w:r>
      <w:r w:rsidRPr="003B63CB">
        <w:rPr>
          <w:rStyle w:val="af2"/>
          <w:rFonts w:eastAsia="Guttman Hodes" w:hint="cs"/>
          <w:rtl/>
        </w:rPr>
        <w:t>(פ"ב מ"ה)</w:t>
      </w:r>
      <w:r w:rsidRPr="003B63CB">
        <w:rPr>
          <w:rFonts w:hint="cs"/>
          <w:rtl/>
        </w:rPr>
        <w:t>.</w:t>
      </w:r>
      <w:bookmarkEnd w:id="3134"/>
      <w:r w:rsidRPr="003B63CB">
        <w:rPr>
          <w:rFonts w:hint="cs"/>
          <w:rtl/>
        </w:rPr>
        <w:t xml:space="preserve"> </w:t>
      </w:r>
      <w:r w:rsidRPr="003B63CB">
        <w:rPr>
          <w:rStyle w:val="af"/>
          <w:rFonts w:hint="cs"/>
          <w:rtl/>
        </w:rPr>
        <w:t xml:space="preserve">[ועי' </w:t>
      </w:r>
      <w:r w:rsidRPr="003B63CB">
        <w:rPr>
          <w:rStyle w:val="aff9"/>
          <w:rFonts w:hint="cs"/>
          <w:vanish/>
          <w:rtl/>
        </w:rPr>
        <w:t>-</w:t>
      </w:r>
      <w:r w:rsidRPr="003B63CB">
        <w:rPr>
          <w:rStyle w:val="aff9"/>
          <w:rFonts w:hint="cs"/>
          <w:rtl/>
        </w:rPr>
        <w:t>ב</w:t>
      </w:r>
      <w:r w:rsidRPr="003B63CB">
        <w:rPr>
          <w:rStyle w:val="aff9"/>
          <w:rFonts w:hint="cs"/>
          <w:vanish/>
          <w:rtl/>
        </w:rPr>
        <w:t>&lt; &gt;</w:t>
      </w:r>
      <w:r w:rsidRPr="003B63CB">
        <w:rPr>
          <w:rStyle w:val="aff9"/>
          <w:rFonts w:hint="cs"/>
          <w:rtl/>
        </w:rPr>
        <w:t>אמרי בינה</w:t>
      </w:r>
      <w:r w:rsidRPr="003B63CB">
        <w:rPr>
          <w:rStyle w:val="aff9"/>
          <w:rFonts w:hint="cs"/>
          <w:vanish/>
          <w:rtl/>
        </w:rPr>
        <w:t>-</w:t>
      </w:r>
      <w:r w:rsidRPr="003B63CB">
        <w:rPr>
          <w:rStyle w:val="af"/>
          <w:rFonts w:hint="cs"/>
          <w:rtl/>
        </w:rPr>
        <w:t xml:space="preserve"> </w:t>
      </w:r>
      <w:r w:rsidRPr="003B63CB">
        <w:rPr>
          <w:rStyle w:val="aff0"/>
          <w:rFonts w:hint="cs"/>
          <w:rtl/>
        </w:rPr>
        <w:t>(שבת סי' ל' ד"ה ותמהני)</w:t>
      </w:r>
      <w:r w:rsidRPr="003B63CB">
        <w:rPr>
          <w:rStyle w:val="af"/>
          <w:rFonts w:hint="cs"/>
          <w:vanish/>
          <w:rtl/>
        </w:rPr>
        <w:t>=</w:t>
      </w:r>
      <w:r w:rsidRPr="003B63CB">
        <w:rPr>
          <w:rStyle w:val="af"/>
          <w:rFonts w:hint="cs"/>
          <w:rtl/>
        </w:rPr>
        <w:t xml:space="preserve"> דדחה את דברי </w:t>
      </w:r>
      <w:r w:rsidRPr="003B63CB">
        <w:rPr>
          <w:rStyle w:val="aff9"/>
          <w:rFonts w:hint="cs"/>
          <w:vanish/>
          <w:rtl/>
        </w:rPr>
        <w:t>-</w:t>
      </w:r>
      <w:r w:rsidRPr="003B63CB">
        <w:rPr>
          <w:rStyle w:val="aff9"/>
          <w:rFonts w:hint="cs"/>
          <w:rtl/>
        </w:rPr>
        <w:t>הכפות תמרים</w:t>
      </w:r>
      <w:r w:rsidRPr="003B63CB">
        <w:rPr>
          <w:rStyle w:val="aff9"/>
          <w:rFonts w:hint="cs"/>
          <w:vanish/>
          <w:rtl/>
        </w:rPr>
        <w:t>-</w:t>
      </w:r>
      <w:r w:rsidRPr="003B63CB">
        <w:rPr>
          <w:rStyle w:val="af"/>
          <w:rFonts w:hint="cs"/>
          <w:rtl/>
        </w:rPr>
        <w:t xml:space="preserve"> וכתב </w:t>
      </w:r>
      <w:r w:rsidRPr="003B63CB">
        <w:rPr>
          <w:rStyle w:val="aff9"/>
          <w:rFonts w:hint="cs"/>
          <w:vanish/>
          <w:rtl/>
        </w:rPr>
        <w:t>-</w:t>
      </w:r>
      <w:r w:rsidRPr="003B63CB">
        <w:rPr>
          <w:rStyle w:val="aff9"/>
          <w:rFonts w:hint="cs"/>
          <w:rtl/>
        </w:rPr>
        <w:t>דלתוס'</w:t>
      </w:r>
      <w:r w:rsidRPr="003B63CB">
        <w:rPr>
          <w:rStyle w:val="aff9"/>
          <w:rFonts w:hint="cs"/>
          <w:vanish/>
          <w:rtl/>
        </w:rPr>
        <w:t>-</w:t>
      </w:r>
      <w:r w:rsidRPr="003B63CB">
        <w:rPr>
          <w:rStyle w:val="af"/>
          <w:rFonts w:hint="cs"/>
          <w:rtl/>
        </w:rPr>
        <w:t xml:space="preserve"> </w:t>
      </w:r>
      <w:r w:rsidRPr="003B63CB">
        <w:rPr>
          <w:rStyle w:val="af"/>
          <w:rFonts w:hint="cs"/>
          <w:rtl/>
        </w:rPr>
        <w:lastRenderedPageBreak/>
        <w:t>כל שיש לו צורך בדבר עצמו חשיב מלאכה שצריכה לגופה, אף כשהצורך אינו ממש כצורך שהיה במשכן].</w:t>
      </w:r>
      <w:bookmarkEnd w:id="3135"/>
    </w:p>
    <w:p w14:paraId="3EFA53C8" w14:textId="77777777" w:rsidR="002748A5" w:rsidRPr="00747170" w:rsidRDefault="002748A5" w:rsidP="00747170">
      <w:pPr>
        <w:pStyle w:val="a2"/>
        <w:rPr>
          <w:rtl/>
        </w:rPr>
      </w:pPr>
      <w:r w:rsidRPr="00747170">
        <w:rPr>
          <w:rtl/>
        </w:rPr>
        <w:t>והמשל בזה במשכן היו צדין החלזון כדי לצבוע בדמו ואם כן הצד נחש לרפואה חייב דמה לי חלזון לצבוע בדמו מה לי צד נחש לרפואה לעשות מבשרו טרייאק"ה אבל צד נחש כדי לשחק בו אינו דומה לצורך שהיה במשכן ולפי ר"י בעל התוס' פטור דהוי מלאכה שאצ"ל אבל לפירש"י חייב דאע"ג דאינו עושה המלאכה מעין הצורך שהיה במשכן הרי עושה המלאכה של הצידה ברצונו כדי לשחק בנחש וחשיבא מצ"ל ומלאכה שאצ"ל הוי לרש"י ז"ל כגון צד נחש שלא ישכנו דאינו עושה המלאכה לשום צורך אלא לדחות ההיזק מעליו והנה בפ"ב דעדיות תנן הצד נחש בשבת אם מתעסק שלא ישכנו פטור ואם לרפואה חייב והך מתני' קשיא דיוקא דרישא אדיוקא דסיפא דמרישא משמע שלא ישכנו פטור הא כדי לשחוק בו וכ"ש לרפואה חייב ומסיפא משמע לצורך רפואה חייב הא כדי לשחוק בו וכ"ש כדי שלא ישכנו פטור וצריך לומר דרישא דוקא או סיפא דוקא וזה תלוי לדעתי בפלוגתא דרש"י והתוספות דלרש"י רישא דוקא צד נחש שלא ישכנו פטור הא כדי לשחוק בו חייב ולפי' ר"י סיפא דוקא צד נחש לרפואה חייב דהוי המלאכה מעין צורך שהיה במשכן אבל צד נחש כדי לשחוק בו פטור דאינו מעין צורך מלאכת המשכן כנ"ל ודוק:</w:t>
      </w:r>
    </w:p>
    <w:p w14:paraId="246CFFCB" w14:textId="77777777" w:rsidR="002748A5" w:rsidRPr="00C12F78" w:rsidRDefault="002748A5" w:rsidP="002748A5">
      <w:pPr>
        <w:pStyle w:val="afffff7"/>
        <w:rPr>
          <w:rtl/>
        </w:rPr>
      </w:pPr>
      <w:bookmarkStart w:id="3136" w:name="_Toc140074258"/>
      <w:bookmarkStart w:id="3137" w:name="_Toc140144353"/>
      <w:bookmarkStart w:id="3138" w:name="_Toc140144829"/>
      <w:bookmarkStart w:id="3139" w:name="_Toc163505944"/>
      <w:r w:rsidRPr="00C12F78">
        <w:rPr>
          <w:rtl/>
        </w:rPr>
        <w:t xml:space="preserve">כפות תמרים סוכה ל"ג ע"ב ד"ה </w:t>
      </w:r>
      <w:r w:rsidRPr="00C12F78">
        <w:rPr>
          <w:rFonts w:hint="cs"/>
          <w:rtl/>
        </w:rPr>
        <w:t>והשתא</w:t>
      </w:r>
      <w:bookmarkEnd w:id="3136"/>
      <w:bookmarkEnd w:id="3137"/>
      <w:r w:rsidRPr="00C12F78">
        <w:rPr>
          <w:rtl/>
        </w:rPr>
        <w:t xml:space="preserve"> (ח)</w:t>
      </w:r>
      <w:bookmarkEnd w:id="3138"/>
      <w:bookmarkEnd w:id="3139"/>
    </w:p>
    <w:p w14:paraId="049DC3F3" w14:textId="77777777" w:rsidR="002748A5" w:rsidRPr="003B63CB" w:rsidRDefault="002748A5" w:rsidP="002748A5">
      <w:pPr>
        <w:pStyle w:val="a7"/>
        <w:rPr>
          <w:rtl/>
        </w:rPr>
      </w:pPr>
      <w:bookmarkStart w:id="3140" w:name="_Toc140074166"/>
      <w:bookmarkStart w:id="3141" w:name="_Toc140092015"/>
      <w:bookmarkStart w:id="3142" w:name="_Toc140144215"/>
      <w:bookmarkStart w:id="3143" w:name="_Toc140144446"/>
      <w:r w:rsidRPr="003B63CB">
        <w:rPr>
          <w:rFonts w:hint="cs"/>
          <w:rtl/>
        </w:rPr>
        <w:t>בי' הכפו"ת דפסיק רישיה דחותך ראש לשחק חייב לרש"י ורמב"ם ולתוס' הוא דוגמא בעלמא</w:t>
      </w:r>
      <w:bookmarkEnd w:id="3140"/>
      <w:bookmarkEnd w:id="3141"/>
      <w:bookmarkEnd w:id="3142"/>
      <w:bookmarkEnd w:id="3143"/>
    </w:p>
    <w:p w14:paraId="3372F368" w14:textId="5FF615E3" w:rsidR="002748A5" w:rsidRPr="003B63CB" w:rsidRDefault="002748A5" w:rsidP="00BC7DC8">
      <w:pPr>
        <w:pStyle w:val="a3"/>
        <w:rPr>
          <w:rtl/>
        </w:rPr>
      </w:pPr>
      <w:bookmarkStart w:id="3144" w:name="_Ref139618176"/>
      <w:r w:rsidRPr="003B63CB">
        <w:rPr>
          <w:rFonts w:hint="cs"/>
          <w:rtl/>
        </w:rPr>
        <w:t>ו</w:t>
      </w:r>
      <w:r w:rsidRPr="003B63CB">
        <w:rPr>
          <w:rtl/>
        </w:rPr>
        <w:t xml:space="preserve">כתב </w:t>
      </w:r>
      <w:r w:rsidRPr="003B63CB">
        <w:rPr>
          <w:rStyle w:val="aff4"/>
          <w:vanish/>
          <w:rtl/>
        </w:rPr>
        <w:t>-</w:t>
      </w:r>
      <w:r w:rsidRPr="003B63CB">
        <w:rPr>
          <w:rStyle w:val="aff4"/>
          <w:rtl/>
        </w:rPr>
        <w:t>ה</w:t>
      </w:r>
      <w:r w:rsidRPr="003B63CB">
        <w:rPr>
          <w:rStyle w:val="aff4"/>
          <w:vanish/>
          <w:rtl/>
        </w:rPr>
        <w:t xml:space="preserve">&lt;, </w:t>
      </w:r>
      <w:r w:rsidRPr="003B63CB">
        <w:rPr>
          <w:rStyle w:val="aff4"/>
          <w:vanish/>
          <w:rtl/>
        </w:rPr>
        <w:fldChar w:fldCharType="begin"/>
      </w:r>
      <w:r w:rsidRPr="003B63CB">
        <w:rPr>
          <w:rStyle w:val="aff4"/>
          <w:vanish/>
          <w:rtl/>
        </w:rPr>
        <w:instrText xml:space="preserve"> </w:instrText>
      </w:r>
      <w:r w:rsidRPr="003B63CB">
        <w:rPr>
          <w:rStyle w:val="aff4"/>
          <w:vanish/>
        </w:rPr>
        <w:instrText>REF</w:instrText>
      </w:r>
      <w:r w:rsidRPr="003B63CB">
        <w:rPr>
          <w:rStyle w:val="aff4"/>
          <w:vanish/>
          <w:rtl/>
        </w:rPr>
        <w:instrText xml:space="preserve"> _</w:instrText>
      </w:r>
      <w:r w:rsidRPr="003B63CB">
        <w:rPr>
          <w:rStyle w:val="aff4"/>
          <w:vanish/>
        </w:rPr>
        <w:instrText>Ref139618176 \r \h</w:instrText>
      </w:r>
      <w:r w:rsidRPr="003B63CB">
        <w:rPr>
          <w:rStyle w:val="aff4"/>
          <w:vanish/>
          <w:rtl/>
        </w:rPr>
        <w:instrText xml:space="preserve">  \* </w:instrText>
      </w:r>
      <w:r w:rsidRPr="003B63CB">
        <w:rPr>
          <w:rStyle w:val="aff4"/>
          <w:vanish/>
        </w:rPr>
        <w:instrText>MERGEFORMAT</w:instrText>
      </w:r>
      <w:r w:rsidRPr="003B63CB">
        <w:rPr>
          <w:rStyle w:val="aff4"/>
          <w:vanish/>
          <w:rtl/>
        </w:rPr>
        <w:instrText xml:space="preserve"> </w:instrText>
      </w:r>
      <w:r w:rsidRPr="003B63CB">
        <w:rPr>
          <w:rStyle w:val="aff4"/>
          <w:vanish/>
          <w:rtl/>
        </w:rPr>
      </w:r>
      <w:r w:rsidRPr="003B63CB">
        <w:rPr>
          <w:rStyle w:val="aff4"/>
          <w:vanish/>
          <w:rtl/>
        </w:rPr>
        <w:fldChar w:fldCharType="separate"/>
      </w:r>
      <w:r w:rsidR="00D82181">
        <w:rPr>
          <w:rStyle w:val="aff4"/>
          <w:vanish/>
          <w:cs/>
        </w:rPr>
        <w:t>‎</w:t>
      </w:r>
      <w:r w:rsidR="00D82181">
        <w:rPr>
          <w:rStyle w:val="aff4"/>
          <w:vanish/>
          <w:rtl/>
        </w:rPr>
        <w:t>כא)</w:t>
      </w:r>
      <w:r w:rsidRPr="003B63CB">
        <w:rPr>
          <w:rStyle w:val="aff4"/>
          <w:vanish/>
          <w:rtl/>
        </w:rPr>
        <w:fldChar w:fldCharType="end"/>
      </w:r>
      <w:r w:rsidRPr="003B63CB">
        <w:rPr>
          <w:rStyle w:val="aff4"/>
          <w:vanish/>
          <w:rtl/>
        </w:rPr>
        <w:t xml:space="preserve"> &gt;</w:t>
      </w:r>
      <w:r w:rsidRPr="003B63CB">
        <w:rPr>
          <w:rStyle w:val="aff4"/>
          <w:rtl/>
        </w:rPr>
        <w:t>כפות תמרים</w:t>
      </w:r>
      <w:r w:rsidRPr="003B63CB">
        <w:rPr>
          <w:rStyle w:val="aff4"/>
          <w:vanish/>
          <w:rtl/>
        </w:rPr>
        <w:t>-</w:t>
      </w:r>
      <w:r w:rsidRPr="003B63CB">
        <w:rPr>
          <w:rtl/>
        </w:rPr>
        <w:t xml:space="preserve"> </w:t>
      </w:r>
      <w:r w:rsidRPr="003B63CB">
        <w:rPr>
          <w:rStyle w:val="af2"/>
          <w:rFonts w:eastAsia="Guttman Hodes"/>
          <w:rtl/>
        </w:rPr>
        <w:t>(סוכה לג: ד"ה וה</w:t>
      </w:r>
      <w:r w:rsidRPr="003B63CB">
        <w:rPr>
          <w:rStyle w:val="af2"/>
          <w:rFonts w:eastAsia="Guttman Hodes" w:hint="cs"/>
          <w:rtl/>
        </w:rPr>
        <w:t>שתא</w:t>
      </w:r>
      <w:r w:rsidRPr="003B63CB">
        <w:rPr>
          <w:rStyle w:val="af2"/>
          <w:rFonts w:eastAsia="Guttman Hodes"/>
          <w:rtl/>
        </w:rPr>
        <w:t>)</w:t>
      </w:r>
      <w:r w:rsidRPr="003B63CB">
        <w:rPr>
          <w:vanish/>
          <w:rtl/>
        </w:rPr>
        <w:t>=</w:t>
      </w:r>
      <w:r w:rsidRPr="003B63CB">
        <w:rPr>
          <w:rFonts w:hint="cs"/>
          <w:rtl/>
        </w:rPr>
        <w:t xml:space="preserve"> דלפי"ז הא דכתב </w:t>
      </w:r>
      <w:r w:rsidRPr="003B63CB">
        <w:rPr>
          <w:rStyle w:val="aff4"/>
          <w:rFonts w:hint="cs"/>
          <w:vanish/>
          <w:rtl/>
        </w:rPr>
        <w:t>-</w:t>
      </w:r>
      <w:r w:rsidRPr="003B63CB">
        <w:rPr>
          <w:rStyle w:val="aff4"/>
          <w:rFonts w:hint="cs"/>
          <w:rtl/>
        </w:rPr>
        <w:t>הרמב"ם</w:t>
      </w:r>
      <w:r w:rsidRPr="003B63CB">
        <w:rPr>
          <w:rStyle w:val="aff4"/>
          <w:rFonts w:hint="cs"/>
          <w:vanish/>
          <w:rtl/>
        </w:rPr>
        <w:t>-</w:t>
      </w:r>
      <w:r w:rsidRPr="003B63CB">
        <w:rPr>
          <w:rFonts w:hint="cs"/>
          <w:rtl/>
        </w:rPr>
        <w:t xml:space="preserve"> </w:t>
      </w:r>
      <w:r w:rsidRPr="003B63CB">
        <w:rPr>
          <w:rStyle w:val="af2"/>
          <w:rFonts w:eastAsia="Guttman Hodes" w:hint="cs"/>
          <w:rtl/>
        </w:rPr>
        <w:t>(שבת פ"א ה"ו)</w:t>
      </w:r>
      <w:r w:rsidRPr="003B63CB">
        <w:rPr>
          <w:rFonts w:hint="cs"/>
          <w:rtl/>
        </w:rPr>
        <w:t xml:space="preserve"> דפסיק רישיה היינו שחותך ראש עוף לשחק בו תינוק, הוי מלאכה שאינה צריכה לגופה לדעת </w:t>
      </w:r>
      <w:r w:rsidRPr="003B63CB">
        <w:rPr>
          <w:rStyle w:val="aff4"/>
          <w:rFonts w:hint="cs"/>
          <w:vanish/>
          <w:rtl/>
        </w:rPr>
        <w:t>-</w:t>
      </w:r>
      <w:r w:rsidRPr="003B63CB">
        <w:rPr>
          <w:rStyle w:val="aff4"/>
          <w:rFonts w:hint="cs"/>
          <w:rtl/>
        </w:rPr>
        <w:t>ר"י בתוס'</w:t>
      </w:r>
      <w:r w:rsidRPr="003B63CB">
        <w:rPr>
          <w:rStyle w:val="aff4"/>
          <w:rFonts w:hint="cs"/>
          <w:vanish/>
          <w:rtl/>
        </w:rPr>
        <w:t>-</w:t>
      </w:r>
      <w:r w:rsidRPr="003B63CB">
        <w:rPr>
          <w:rFonts w:hint="cs"/>
          <w:rtl/>
        </w:rPr>
        <w:t xml:space="preserve"> </w:t>
      </w:r>
      <w:r w:rsidRPr="003B63CB">
        <w:rPr>
          <w:rStyle w:val="af2"/>
          <w:rFonts w:eastAsia="Guttman Hodes" w:hint="cs"/>
          <w:rtl/>
        </w:rPr>
        <w:t>(</w:t>
      </w:r>
      <w:r w:rsidRPr="00D712FD">
        <w:rPr>
          <w:rStyle w:val="af2"/>
          <w:rFonts w:eastAsia="Guttman Rashi" w:hint="cs"/>
          <w:rtl/>
        </w:rPr>
        <w:t>הובאו בסימן ט'</w:t>
      </w:r>
      <w:r w:rsidRPr="003B63CB">
        <w:rPr>
          <w:rStyle w:val="af2"/>
          <w:rFonts w:eastAsia="Guttman Hodes" w:hint="cs"/>
          <w:rtl/>
        </w:rPr>
        <w:t xml:space="preserve">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Ref140072938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ב)</w:t>
      </w:r>
      <w:r>
        <w:rPr>
          <w:rStyle w:val="af2"/>
          <w:rFonts w:eastAsia="Guttman Hodes"/>
          <w:rtl/>
        </w:rPr>
        <w:fldChar w:fldCharType="end"/>
      </w:r>
      <w:r w:rsidRPr="003B63CB">
        <w:rPr>
          <w:rFonts w:hint="cs"/>
          <w:rtl/>
        </w:rPr>
        <w:t xml:space="preserve">, כיון שאינו לצורך שהיה בשחיטה במשכן, והא דאמרינן בגמ' דחייב בפסיק רישיה הוא למשל ודוגמא אך באמת באופן דחותכו לשחק בו פטור לר"ש, ורק לדעת </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w:t>
      </w:r>
      <w:r w:rsidRPr="003B63C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Ref139359821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ב)</w:t>
      </w:r>
      <w:r>
        <w:rPr>
          <w:rStyle w:val="af2"/>
          <w:rFonts w:eastAsia="Guttman Hodes"/>
          <w:rtl/>
        </w:rPr>
        <w:fldChar w:fldCharType="end"/>
      </w:r>
      <w:r w:rsidRPr="003B63CB">
        <w:rPr>
          <w:rFonts w:hint="cs"/>
          <w:rtl/>
        </w:rPr>
        <w:t xml:space="preserve"> </w:t>
      </w:r>
      <w:r w:rsidRPr="003B63CB">
        <w:rPr>
          <w:rStyle w:val="aff4"/>
          <w:rFonts w:hint="cs"/>
          <w:vanish/>
          <w:rtl/>
        </w:rPr>
        <w:t>-</w:t>
      </w:r>
      <w:r w:rsidRPr="003B63CB">
        <w:rPr>
          <w:rStyle w:val="aff4"/>
          <w:rFonts w:hint="cs"/>
          <w:rtl/>
        </w:rPr>
        <w:t>והרמב"ם</w:t>
      </w:r>
      <w:r w:rsidRPr="003B63CB">
        <w:rPr>
          <w:rStyle w:val="aff4"/>
          <w:rFonts w:hint="cs"/>
          <w:vanish/>
          <w:rtl/>
        </w:rPr>
        <w:t>-</w:t>
      </w:r>
      <w:r w:rsidRPr="003B63CB">
        <w:rPr>
          <w:rFonts w:hint="cs"/>
          <w:rtl/>
        </w:rPr>
        <w:t xml:space="preserve"> </w:t>
      </w:r>
      <w:r w:rsidRPr="003B63C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Ref140076206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נא)</w:t>
      </w:r>
      <w:r>
        <w:rPr>
          <w:rStyle w:val="af2"/>
          <w:rFonts w:eastAsia="Guttman Hodes"/>
          <w:rtl/>
        </w:rPr>
        <w:fldChar w:fldCharType="end"/>
      </w:r>
      <w:r w:rsidRPr="003B63CB">
        <w:rPr>
          <w:rFonts w:hint="cs"/>
          <w:rtl/>
        </w:rPr>
        <w:t xml:space="preserve"> דמלאכה שאינה צריכה לגופה הוא מלאכה שעושה לסלק נזק, הוי מלאכה כיון דעושה אותה לצורך לשחק בו, אעפ"י שאינו הצורך שהיה במשכן.</w:t>
      </w:r>
      <w:bookmarkEnd w:id="3144"/>
    </w:p>
    <w:p w14:paraId="5BF0A41D" w14:textId="77777777" w:rsidR="002748A5" w:rsidRPr="00747170" w:rsidRDefault="002748A5" w:rsidP="00747170">
      <w:pPr>
        <w:pStyle w:val="a2"/>
        <w:rPr>
          <w:rtl/>
        </w:rPr>
      </w:pPr>
      <w:r w:rsidRPr="00747170">
        <w:rPr>
          <w:rtl/>
        </w:rPr>
        <w:t>והשתא הא דאמרינן בתלמודא בכמה דוכתי מודה ר' שמעון בפסיק רישיה ולא ימות אם פירוש הוי כגון חותך ראש עוף לקטן לשחוק בו ק' אמאי חייב והלא הוי משאצ"ל דמלאכת הריגה היתה במלאכת המשכן לצורך עורות אלים מאדמים ובשלמא לפרש"י דכל מלאכה שעושה אותה לשום צורך חייב לר"ש ולא פטר אלא מלאכה שבאה לו שלא ברצונו כגון צד נחש שלא ישכנו אבל צד נחש לשחוק בו חייב ניחא הא דאמרינן מודה ר"ש בפסיק רישיה דאע"ג דחותך ראש עוף לשחוק בו אפ"ה חייב משום דהרי עושה המלאכה ברצונו לצורך שחוק, אבל לדעת ר"י דלא חשיב מלאכה צ"ל אלא כשעושה אותה לצורך מעין מלאכה שהיה במשכן אם כן אמאי חותך ראש עוף לשחוק בו חייב. ויראה לי לדעת ר"י הכי הוא קושטא דמלתא דחותך ראש עוף לשחוק בו הוי משאצ"ל ופטור לר"ש כיון דלא הוי מלאכת השחיטה וההריגה מעין הצורך שהיה במשכן כגון לצורך העורות ודכותיה בשוחט לאכול הבשר אבל חותך ראש עוף לצורך שחוק לא מצ"ל היא דהרי אם היה מוצא ראש חתוך או חתיכת עץ לתת לקטן לשחק בו לא היה חותך ראש עוף זה וצורך שחוק לאו צורך הוא מעין מלאכות שהיו צריכות במשכן הלכך לדעת ר"י יראה לי דחותך ראש עוף לשחוק בו הוא פטור לר"ש משום מלאכה שאינה צריכה ומ"ש בגמרא מודה ר"ש בפסיק רישיה הוא משל ודוגמא דלפי דאמרינן דר"ש מתיר דבר שאינו מתכוין כגון גורר אדם מטה ובלבד שלא יתכוין לעשות חריץ והיינו דוקא במידי דאפשר דיעשה מלאכה או לא אבל במידי דהוי מלאכה מוכרחת מודה ר"ש בפ"ר כלומר מודה ר"ש בדבר שא"א שלא תעשה מלאכה כמו שא"א למי שפסקו ראשו שלא ימות וכן נראה מדברי הסמ"ג ריש ה' שבת לאוין ס"ה שכתב וז"ל צריך ליזהר כשאוכלים בשבת בפרדס ורוחצים ידיהם שלא יפלו מים על העשבים דחייב משום זורע ואף על גב דקי"ל כר"ש דדבר שאין מתכוין מותר הא אמרינן מודה</w:t>
      </w:r>
      <w:r w:rsidRPr="00747170">
        <w:rPr>
          <w:rFonts w:hint="cs"/>
          <w:rtl/>
        </w:rPr>
        <w:t xml:space="preserve"> </w:t>
      </w:r>
      <w:r w:rsidRPr="00747170">
        <w:rPr>
          <w:rtl/>
        </w:rPr>
        <w:t>ר"ש בפסיק רישיה פירו' הא מודה בדבר שא"א שלא תעשה מלאכה כמו שא"א למי שפסקו ראשו שלא ימות כו' עכ"ל הרי דמ"ש פסיק רישיה הוא משל ודוגמא ולעולם חותך ראש עוף לקטן לשחוק בו פטור לדעת ר"י בעל התוספות דהוי משאצ"ל ולא הוי לר"י מצ"ל אלא כשעושה אותה מעין הצורך שהיה במשכן כנ"ל.</w:t>
      </w:r>
    </w:p>
    <w:p w14:paraId="39D4C361" w14:textId="77777777" w:rsidR="002748A5" w:rsidRPr="003B63CB" w:rsidRDefault="002748A5" w:rsidP="002748A5">
      <w:pPr>
        <w:pStyle w:val="1"/>
      </w:pPr>
      <w:bookmarkStart w:id="3145" w:name="_Toc140074167"/>
      <w:bookmarkStart w:id="3146" w:name="_Toc140092016"/>
      <w:bookmarkStart w:id="3147" w:name="_Toc140144216"/>
      <w:bookmarkStart w:id="3148" w:name="_Toc140144447"/>
      <w:r w:rsidRPr="003B63CB">
        <w:rPr>
          <w:rFonts w:hint="cs"/>
          <w:rtl/>
        </w:rPr>
        <w:t>בי' המגנ"ש דלא רוצה תחילה או לא ניחא שישאר תיקון כאנוס</w:t>
      </w:r>
      <w:bookmarkEnd w:id="3145"/>
      <w:bookmarkEnd w:id="3146"/>
      <w:bookmarkEnd w:id="3147"/>
      <w:bookmarkEnd w:id="3148"/>
    </w:p>
    <w:p w14:paraId="325827B9" w14:textId="77777777" w:rsidR="002748A5" w:rsidRPr="00C12F78" w:rsidRDefault="002748A5" w:rsidP="002748A5">
      <w:pPr>
        <w:pStyle w:val="afffff7"/>
        <w:rPr>
          <w:rtl/>
        </w:rPr>
      </w:pPr>
      <w:bookmarkStart w:id="3149" w:name="_Toc140074259"/>
      <w:bookmarkStart w:id="3150" w:name="_Toc140144354"/>
      <w:bookmarkStart w:id="3151" w:name="_Toc140144830"/>
      <w:bookmarkStart w:id="3152" w:name="_Toc163505945"/>
      <w:r w:rsidRPr="00C12F78">
        <w:rPr>
          <w:rtl/>
        </w:rPr>
        <w:t>מגיני שלמה שבת צ"ד ע"א</w:t>
      </w:r>
      <w:r w:rsidRPr="00C12F78">
        <w:rPr>
          <w:rFonts w:hint="cs"/>
          <w:rtl/>
        </w:rPr>
        <w:t xml:space="preserve"> על רש"י ד"ה ר"ש</w:t>
      </w:r>
      <w:bookmarkEnd w:id="3149"/>
      <w:bookmarkEnd w:id="3150"/>
      <w:r w:rsidRPr="00C12F78">
        <w:rPr>
          <w:rtl/>
        </w:rPr>
        <w:t xml:space="preserve"> (ח)</w:t>
      </w:r>
      <w:bookmarkEnd w:id="3151"/>
      <w:bookmarkEnd w:id="3152"/>
    </w:p>
    <w:p w14:paraId="7AF8A29E" w14:textId="77777777" w:rsidR="002748A5" w:rsidRPr="003B63CB" w:rsidRDefault="002748A5" w:rsidP="002748A5">
      <w:pPr>
        <w:pStyle w:val="a7"/>
        <w:rPr>
          <w:rtl/>
        </w:rPr>
      </w:pPr>
      <w:bookmarkStart w:id="3153" w:name="_Toc140074168"/>
      <w:bookmarkStart w:id="3154" w:name="_Toc140092017"/>
      <w:bookmarkStart w:id="3155" w:name="_Toc140144217"/>
      <w:bookmarkStart w:id="3156" w:name="_Toc140144448"/>
      <w:r w:rsidRPr="003B63CB">
        <w:rPr>
          <w:rFonts w:hint="cs"/>
          <w:rtl/>
        </w:rPr>
        <w:t>בי' המגיני שלמה ברש"י דבסילוק נזק ולא איכפ"ת ליה אי יחזור לקדמותו הוא כאנוס במלאכה</w:t>
      </w:r>
      <w:bookmarkEnd w:id="3153"/>
      <w:bookmarkEnd w:id="3154"/>
      <w:bookmarkEnd w:id="3155"/>
      <w:bookmarkEnd w:id="3156"/>
    </w:p>
    <w:p w14:paraId="2F83935E" w14:textId="0800F24A" w:rsidR="002748A5" w:rsidRPr="003B63CB" w:rsidRDefault="002748A5" w:rsidP="00BC7DC8">
      <w:pPr>
        <w:pStyle w:val="a3"/>
      </w:pPr>
      <w:bookmarkStart w:id="3157" w:name="_Ref139749017"/>
      <w:r w:rsidRPr="003B63CB">
        <w:rPr>
          <w:rFonts w:hint="cs"/>
          <w:rtl/>
        </w:rPr>
        <w:t xml:space="preserve">במ"ש </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w:t>
      </w:r>
      <w:r w:rsidRPr="003B63C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Ref139359821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ב)</w:t>
      </w:r>
      <w:r>
        <w:rPr>
          <w:rStyle w:val="af2"/>
          <w:rFonts w:eastAsia="Guttman Hodes"/>
          <w:rtl/>
        </w:rPr>
        <w:fldChar w:fldCharType="end"/>
      </w:r>
      <w:r w:rsidRPr="003B63CB">
        <w:rPr>
          <w:rFonts w:hint="cs"/>
          <w:rtl/>
        </w:rPr>
        <w:t xml:space="preserve"> דמוציא מת הוי מלאכה שאינה צריכה לגופה, דברצונו לא הייתה באה לו ורצה שלא הייתה בעולם, וכן במ"ש </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w:t>
      </w:r>
      <w:r w:rsidRPr="003B63C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Ref140077126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ז)</w:t>
      </w:r>
      <w:r>
        <w:rPr>
          <w:rStyle w:val="af2"/>
          <w:rFonts w:eastAsia="Guttman Hodes"/>
          <w:rtl/>
        </w:rPr>
        <w:fldChar w:fldCharType="end"/>
      </w:r>
      <w:r w:rsidRPr="003B63CB">
        <w:rPr>
          <w:rFonts w:hint="cs"/>
          <w:rtl/>
        </w:rPr>
        <w:t xml:space="preserve"> דמפיס מורסא להוציא ליחה א"צ שישאר הפתח, כתב </w:t>
      </w:r>
      <w:r w:rsidRPr="003B63CB">
        <w:rPr>
          <w:rStyle w:val="aff4"/>
          <w:rFonts w:hint="cs"/>
          <w:vanish/>
          <w:rtl/>
        </w:rPr>
        <w:t>-</w:t>
      </w:r>
      <w:r w:rsidRPr="003B63CB">
        <w:rPr>
          <w:rStyle w:val="aff4"/>
          <w:rFonts w:hint="cs"/>
          <w:rtl/>
        </w:rPr>
        <w:t>ה</w:t>
      </w:r>
      <w:r w:rsidRPr="003B63CB">
        <w:rPr>
          <w:rStyle w:val="aff4"/>
          <w:rFonts w:hint="cs"/>
          <w:vanish/>
          <w:rtl/>
        </w:rPr>
        <w:t xml:space="preserve">&lt;, </w:t>
      </w:r>
      <w:r w:rsidRPr="003B63CB">
        <w:rPr>
          <w:rStyle w:val="aff4"/>
          <w:vanish/>
          <w:rtl/>
        </w:rPr>
        <w:fldChar w:fldCharType="begin"/>
      </w:r>
      <w:r w:rsidRPr="003B63CB">
        <w:rPr>
          <w:rStyle w:val="aff4"/>
          <w:vanish/>
          <w:rtl/>
        </w:rPr>
        <w:instrText xml:space="preserve"> </w:instrText>
      </w:r>
      <w:r w:rsidRPr="003B63CB">
        <w:rPr>
          <w:rStyle w:val="aff4"/>
          <w:rFonts w:hint="cs"/>
          <w:vanish/>
        </w:rPr>
        <w:instrText>REF</w:instrText>
      </w:r>
      <w:r w:rsidRPr="003B63CB">
        <w:rPr>
          <w:rStyle w:val="aff4"/>
          <w:rFonts w:hint="cs"/>
          <w:vanish/>
          <w:rtl/>
        </w:rPr>
        <w:instrText xml:space="preserve"> _</w:instrText>
      </w:r>
      <w:r w:rsidRPr="003B63CB">
        <w:rPr>
          <w:rStyle w:val="aff4"/>
          <w:rFonts w:hint="cs"/>
          <w:vanish/>
        </w:rPr>
        <w:instrText>Ref139749017 \r \h</w:instrText>
      </w:r>
      <w:r w:rsidRPr="003B63CB">
        <w:rPr>
          <w:rStyle w:val="aff4"/>
          <w:vanish/>
          <w:rtl/>
        </w:rPr>
        <w:instrText xml:space="preserve">  \* </w:instrText>
      </w:r>
      <w:r w:rsidRPr="003B63CB">
        <w:rPr>
          <w:rStyle w:val="aff4"/>
          <w:vanish/>
        </w:rPr>
        <w:instrText>MERGEFORMAT</w:instrText>
      </w:r>
      <w:r w:rsidRPr="003B63CB">
        <w:rPr>
          <w:rStyle w:val="aff4"/>
          <w:vanish/>
          <w:rtl/>
        </w:rPr>
        <w:instrText xml:space="preserve"> </w:instrText>
      </w:r>
      <w:r w:rsidRPr="003B63CB">
        <w:rPr>
          <w:rStyle w:val="aff4"/>
          <w:vanish/>
          <w:rtl/>
        </w:rPr>
      </w:r>
      <w:r w:rsidRPr="003B63CB">
        <w:rPr>
          <w:rStyle w:val="aff4"/>
          <w:vanish/>
          <w:rtl/>
        </w:rPr>
        <w:fldChar w:fldCharType="separate"/>
      </w:r>
      <w:r w:rsidR="00D82181">
        <w:rPr>
          <w:rStyle w:val="aff4"/>
          <w:vanish/>
          <w:cs/>
        </w:rPr>
        <w:t>‎</w:t>
      </w:r>
      <w:r w:rsidR="00D82181">
        <w:rPr>
          <w:rStyle w:val="aff4"/>
          <w:vanish/>
          <w:rtl/>
        </w:rPr>
        <w:t>כב)</w:t>
      </w:r>
      <w:r w:rsidRPr="003B63CB">
        <w:rPr>
          <w:rStyle w:val="aff4"/>
          <w:vanish/>
          <w:rtl/>
        </w:rPr>
        <w:fldChar w:fldCharType="end"/>
      </w:r>
      <w:r w:rsidRPr="003B63CB">
        <w:rPr>
          <w:rStyle w:val="aff4"/>
          <w:rFonts w:hint="cs"/>
          <w:vanish/>
          <w:rtl/>
        </w:rPr>
        <w:t xml:space="preserve"> &gt;</w:t>
      </w:r>
      <w:r w:rsidRPr="003B63CB">
        <w:rPr>
          <w:rStyle w:val="aff4"/>
          <w:rFonts w:hint="cs"/>
          <w:rtl/>
        </w:rPr>
        <w:t>מגיני שלמה</w:t>
      </w:r>
      <w:r w:rsidRPr="003B63CB">
        <w:rPr>
          <w:rStyle w:val="aff4"/>
          <w:rFonts w:hint="cs"/>
          <w:vanish/>
          <w:rtl/>
        </w:rPr>
        <w:t>-</w:t>
      </w:r>
      <w:r w:rsidRPr="003B63CB">
        <w:rPr>
          <w:rFonts w:hint="cs"/>
          <w:rtl/>
        </w:rPr>
        <w:t xml:space="preserve"> </w:t>
      </w:r>
      <w:r w:rsidRPr="003B63CB">
        <w:rPr>
          <w:rStyle w:val="af2"/>
          <w:rFonts w:eastAsia="Guttman Hodes" w:hint="cs"/>
          <w:rtl/>
        </w:rPr>
        <w:t>(צד. על רש"י ד"ה ר"ש)</w:t>
      </w:r>
      <w:r w:rsidRPr="003B63CB">
        <w:rPr>
          <w:rFonts w:hint="cs"/>
          <w:vanish/>
          <w:rtl/>
        </w:rPr>
        <w:t>=</w:t>
      </w:r>
      <w:r w:rsidRPr="003B63CB">
        <w:rPr>
          <w:rFonts w:hint="cs"/>
          <w:rtl/>
        </w:rPr>
        <w:t xml:space="preserve"> דמבואר </w:t>
      </w:r>
      <w:r w:rsidRPr="003B63CB">
        <w:rPr>
          <w:rStyle w:val="aff4"/>
          <w:rFonts w:hint="cs"/>
          <w:vanish/>
          <w:rtl/>
        </w:rPr>
        <w:t>-</w:t>
      </w:r>
      <w:r w:rsidRPr="003B63CB">
        <w:rPr>
          <w:rStyle w:val="aff4"/>
          <w:rFonts w:hint="cs"/>
          <w:rtl/>
        </w:rPr>
        <w:t>מרש"י</w:t>
      </w:r>
      <w:r w:rsidRPr="003B63CB">
        <w:rPr>
          <w:rStyle w:val="aff4"/>
          <w:rFonts w:hint="cs"/>
          <w:vanish/>
          <w:rtl/>
        </w:rPr>
        <w:t>-</w:t>
      </w:r>
      <w:r w:rsidRPr="003B63CB">
        <w:rPr>
          <w:rFonts w:hint="cs"/>
          <w:rtl/>
        </w:rPr>
        <w:t xml:space="preserve"> דמלאכה שאינה צריכה לגופה היינו כשעושה מלאכה לסלק מזיק, ואחר שהמזיק הסתלק לא איכפת ליה כלל אם הדבר יחזור למה שהיה לפני עשיית המלאכה, דבכה"ג הוא כעין אנוס בעשיית המאלכה.</w:t>
      </w:r>
    </w:p>
    <w:p w14:paraId="65B93C50" w14:textId="77777777" w:rsidR="002748A5" w:rsidRPr="00747170" w:rsidRDefault="002748A5" w:rsidP="00747170">
      <w:pPr>
        <w:pStyle w:val="a2"/>
        <w:rPr>
          <w:rtl/>
        </w:rPr>
      </w:pPr>
      <w:r w:rsidRPr="00747170">
        <w:rPr>
          <w:rtl/>
        </w:rPr>
        <w:t>שם ד"ה ר"ש פוטר נראה לר"י כו' עד ורש"י דפי' דברצונו לא היה בא לו כו' וק' מסותר ע"מ לבנות כו' לעד"נ לפי מה שראיתי לקמן פ' ח' שרצים דף ק"ו שפי' רש"י ז"ל גבי מפיס מורסא דלהוציא ממנה לחה היינו טעמא דפטור דמלאכה שאינה צריכה לגופה היא שהפתח היא המלאכה וזה אין צריך להיות פתח מעכשיו עכ"ל וכ"כ סוף האורג ואם להוציא לחה של עכשיו ואינו חושש אם תחזור ותסתום מיד ע"כ נראה מדבריו דס"ל דכל דבר שהוא עושה כדי לסלק הדבר המזיקו ומיד שנסתלק המזיק לא איכפת ליה אם יחזור לקדמותו מקרי אין צ"ל</w:t>
      </w:r>
      <w:r w:rsidRPr="00747170">
        <w:rPr>
          <w:rFonts w:hint="cs"/>
          <w:rtl/>
        </w:rPr>
        <w:t>.</w:t>
      </w:r>
    </w:p>
    <w:p w14:paraId="0E4BA7A0" w14:textId="77777777" w:rsidR="002748A5" w:rsidRPr="003B63CB" w:rsidRDefault="002748A5" w:rsidP="002748A5">
      <w:pPr>
        <w:pStyle w:val="a7"/>
      </w:pPr>
      <w:bookmarkStart w:id="3158" w:name="_Toc140074169"/>
      <w:bookmarkStart w:id="3159" w:name="_Toc140092018"/>
      <w:bookmarkStart w:id="3160" w:name="_Toc140144218"/>
      <w:bookmarkStart w:id="3161" w:name="_Toc140144449"/>
      <w:r w:rsidRPr="003B63CB">
        <w:rPr>
          <w:rFonts w:hint="cs"/>
          <w:rtl/>
        </w:rPr>
        <w:t>בי' המגנ"ש דבמורסא רוצה שתשאר המלאכה אחר סילוק הנזק והוי מתקן אף דתחילתו באונס</w:t>
      </w:r>
      <w:bookmarkEnd w:id="3158"/>
      <w:bookmarkEnd w:id="3159"/>
      <w:bookmarkEnd w:id="3160"/>
      <w:bookmarkEnd w:id="3161"/>
    </w:p>
    <w:p w14:paraId="076A6172" w14:textId="77777777" w:rsidR="002748A5" w:rsidRPr="003B63CB" w:rsidRDefault="002748A5" w:rsidP="00BC7DC8">
      <w:pPr>
        <w:pStyle w:val="a3"/>
        <w:rPr>
          <w:rtl/>
        </w:rPr>
      </w:pPr>
      <w:r w:rsidRPr="003B63CB">
        <w:rPr>
          <w:rFonts w:hint="cs"/>
          <w:rtl/>
        </w:rPr>
        <w:t xml:space="preserve">אבל בדבר דניחא ליה שתשאר המלאכה אף לאחר שהסיר את המזיק, כתב </w:t>
      </w:r>
      <w:r w:rsidRPr="003B63CB">
        <w:rPr>
          <w:rStyle w:val="aff4"/>
          <w:rFonts w:hint="cs"/>
          <w:vanish/>
          <w:rtl/>
        </w:rPr>
        <w:t>-</w:t>
      </w:r>
      <w:r w:rsidRPr="003B63CB">
        <w:rPr>
          <w:rStyle w:val="aff4"/>
          <w:rFonts w:hint="cs"/>
          <w:rtl/>
        </w:rPr>
        <w:t>המגיני שלמה</w:t>
      </w:r>
      <w:r w:rsidRPr="003B63CB">
        <w:rPr>
          <w:rStyle w:val="aff4"/>
          <w:rFonts w:hint="cs"/>
          <w:vanish/>
          <w:rtl/>
        </w:rPr>
        <w:t>-</w:t>
      </w:r>
      <w:r w:rsidRPr="003B63CB">
        <w:rPr>
          <w:rFonts w:hint="cs"/>
          <w:rtl/>
        </w:rPr>
        <w:t xml:space="preserve"> דהוי מלאכה שצריכה לגופה, כיון דחשיב שמתקן את הקלקול שנעשה ע"י הדבר שמזיקו, ואף שתחילת המלאכה היא באונס, מ"מ כיון דבסופה מתקן מרצונו לכן חייב אף לר"ש, וכתב </w:t>
      </w:r>
      <w:r w:rsidRPr="003B63CB">
        <w:rPr>
          <w:rStyle w:val="aff4"/>
          <w:rFonts w:hint="cs"/>
          <w:vanish/>
          <w:rtl/>
        </w:rPr>
        <w:t>-</w:t>
      </w:r>
      <w:r w:rsidRPr="003B63CB">
        <w:rPr>
          <w:rStyle w:val="aff4"/>
          <w:rFonts w:hint="cs"/>
          <w:rtl/>
        </w:rPr>
        <w:t>המגיני שלמה</w:t>
      </w:r>
      <w:r w:rsidRPr="003B63CB">
        <w:rPr>
          <w:rStyle w:val="aff4"/>
          <w:rFonts w:hint="cs"/>
          <w:vanish/>
          <w:rtl/>
        </w:rPr>
        <w:t>-</w:t>
      </w:r>
      <w:r w:rsidRPr="003B63CB">
        <w:rPr>
          <w:rFonts w:hint="cs"/>
          <w:rtl/>
        </w:rPr>
        <w:t xml:space="preserve"> דלכן במפיס מורסא דאף דלא היה רוצה שתהיה המורסא מעולם, ואף אחר שיצאה הליחה אינו רוצה שישאר הפתח, מ"מ כשרוצה לעשות לה פה חייב אף שלא היה רוצה שתהיה מורסא מעולם, דאחר שסילק את הליחה, הוא רוצה שישאר הפתח כדי שיכנס אויר, ואף שכבר שהסתלקה הליחה שהכאיבה לו מ"מ רוצה שלא יהיה לו אח"כ שוב נזק מהמורסא, וחשיב שעושה את המלאכה מרצונו אעפ"י שתחילתה היא מאונס.</w:t>
      </w:r>
      <w:bookmarkEnd w:id="3157"/>
    </w:p>
    <w:p w14:paraId="17290E5C" w14:textId="77777777" w:rsidR="002748A5" w:rsidRPr="00747170" w:rsidRDefault="002748A5" w:rsidP="00747170">
      <w:pPr>
        <w:pStyle w:val="a2"/>
        <w:rPr>
          <w:rtl/>
        </w:rPr>
      </w:pPr>
      <w:r w:rsidRPr="00747170">
        <w:rPr>
          <w:rtl/>
        </w:rPr>
        <w:t>אבל אם נסתלק המזיק והמלאכה ניחא ליה עדיין אף על גב דברצונו לא באה לו מתחילה מ"מ כיון דעתה אין כאן דבר המזיקו ואפ"ה ניחא ליה מלאכה זו מקרי צ"ל</w:t>
      </w:r>
      <w:r w:rsidRPr="00747170">
        <w:rPr>
          <w:rFonts w:hint="cs"/>
          <w:rtl/>
        </w:rPr>
        <w:t>, וכו',</w:t>
      </w:r>
      <w:r w:rsidRPr="00747170">
        <w:rPr>
          <w:rtl/>
        </w:rPr>
        <w:t xml:space="preserve"> קצרו של דבר כל שהוא עושה כדי להציל עצמו פטור דבצד זה הוא מוכרח ועושה ע"כ ולא הוי מלאכת מחשבת אבל אם הוא ניצול מן ההיזק ועושה כדי לתקן מה שנתקלקל אף על גב דתחלתו באונס היה מ"מ השתא דאיתא דניחא ליה מלאכה ותופר בגד קרוע:</w:t>
      </w:r>
    </w:p>
    <w:p w14:paraId="1D189EE3" w14:textId="77777777" w:rsidR="002748A5" w:rsidRPr="003B63CB" w:rsidRDefault="002748A5" w:rsidP="002748A5">
      <w:pPr>
        <w:pStyle w:val="a7"/>
        <w:rPr>
          <w:rtl/>
        </w:rPr>
      </w:pPr>
      <w:bookmarkStart w:id="3162" w:name="_Toc140074170"/>
      <w:bookmarkStart w:id="3163" w:name="_Toc140092019"/>
      <w:bookmarkStart w:id="3164" w:name="_Toc140144219"/>
      <w:bookmarkStart w:id="3165" w:name="_Toc140144450"/>
      <w:r w:rsidRPr="003B63CB">
        <w:rPr>
          <w:rFonts w:hint="cs"/>
          <w:rtl/>
        </w:rPr>
        <w:t>בי' המגיני שלמה דבקורע אינו רוצה שישאר הקרע ובכיבוי אף דניחא ליה אם ידלק יחזור הנזק</w:t>
      </w:r>
      <w:bookmarkEnd w:id="3162"/>
      <w:bookmarkEnd w:id="3163"/>
      <w:bookmarkEnd w:id="3164"/>
      <w:bookmarkEnd w:id="3165"/>
      <w:r w:rsidRPr="003B63CB">
        <w:rPr>
          <w:rFonts w:hint="cs"/>
          <w:rtl/>
        </w:rPr>
        <w:t xml:space="preserve"> </w:t>
      </w:r>
    </w:p>
    <w:p w14:paraId="54943E89" w14:textId="77777777" w:rsidR="002748A5" w:rsidRPr="003B63CB" w:rsidRDefault="002748A5" w:rsidP="00BC7DC8">
      <w:pPr>
        <w:pStyle w:val="a3"/>
        <w:rPr>
          <w:rtl/>
        </w:rPr>
      </w:pPr>
      <w:r w:rsidRPr="003B63CB">
        <w:rPr>
          <w:rFonts w:hint="cs"/>
          <w:rtl/>
        </w:rPr>
        <w:t xml:space="preserve">אבל בקורע בחמתו או למירמי אימתא אאנשי דביתיה, כתב </w:t>
      </w:r>
      <w:r w:rsidRPr="003B63CB">
        <w:rPr>
          <w:rStyle w:val="aff4"/>
          <w:rFonts w:hint="cs"/>
          <w:vanish/>
          <w:rtl/>
        </w:rPr>
        <w:t>-</w:t>
      </w:r>
      <w:r w:rsidRPr="003B63CB">
        <w:rPr>
          <w:rStyle w:val="aff4"/>
          <w:rFonts w:hint="cs"/>
          <w:rtl/>
        </w:rPr>
        <w:t>המגיני שלמה</w:t>
      </w:r>
      <w:r w:rsidRPr="003B63CB">
        <w:rPr>
          <w:rFonts w:hint="cs"/>
          <w:rtl/>
        </w:rPr>
        <w:t xml:space="preserve"> דאעפ"י דניחא ליה שגם אח"כ ישמעו בקולו, מ"מ כיון שהטיל אימתו בקריעה לא איכפת ליה אם ישאר הקרע או לא, וכתב </w:t>
      </w:r>
      <w:r w:rsidRPr="003B63CB">
        <w:rPr>
          <w:rStyle w:val="aff4"/>
          <w:rFonts w:hint="cs"/>
          <w:vanish/>
          <w:rtl/>
        </w:rPr>
        <w:t>-</w:t>
      </w:r>
      <w:r w:rsidRPr="003B63CB">
        <w:rPr>
          <w:rStyle w:val="aff4"/>
          <w:rFonts w:hint="cs"/>
          <w:rtl/>
        </w:rPr>
        <w:t>המגיני שלמה</w:t>
      </w:r>
      <w:r w:rsidRPr="003B63CB">
        <w:rPr>
          <w:rStyle w:val="aff4"/>
          <w:rFonts w:hint="cs"/>
          <w:vanish/>
          <w:rtl/>
        </w:rPr>
        <w:t>-</w:t>
      </w:r>
      <w:r w:rsidRPr="003B63CB">
        <w:rPr>
          <w:rFonts w:hint="cs"/>
          <w:rtl/>
        </w:rPr>
        <w:t xml:space="preserve"> דבכיבוי אף דניחא ליה שיהיה כבוי מכאן ואילך, מ"מ אי"ז חשיב מלאכת תיקון, דהא אם יחזור וידלק חשיב שחזר הנזק, ולכן כל המלאכה היא סילוק הנזק, וה"ה בהוצאת המת, דאם יחזור לבית יחזור הנזק, משא"כ במפיס מורסא דאם יסתם הפתח אין חוזר הנזק, ומה שמניח פתח הוא בכדי שלא יתחדש נזק חדש.</w:t>
      </w:r>
    </w:p>
    <w:p w14:paraId="562FDFF7" w14:textId="77777777" w:rsidR="002748A5" w:rsidRPr="00747170" w:rsidRDefault="002748A5" w:rsidP="00747170">
      <w:pPr>
        <w:pStyle w:val="a2"/>
        <w:rPr>
          <w:rtl/>
        </w:rPr>
      </w:pPr>
      <w:r w:rsidRPr="00747170">
        <w:rPr>
          <w:rtl/>
        </w:rPr>
        <w:t>הלכך מפיס מורסא אף על גב דברצונו לא היה מורסא מעולם מ"מ לעשות לה פה חייב כיון שנסתלקה הלח' ואין כאן עתה דבר המכאיבו ואפ"ה ניחא ליה בפתח כדי שלא יתאסף אחר כך או כדי לרפאות שיכנס בה אויר מקרי צ"ל כיון שאינו עושה לסלק שום דבר המזיקו עתה שהרי אין כאן מזיק עתה אלא שהוא עושה מדאגה מדבר שלא יבא אח"כ הוי כעושה מלאכה מתחילה לצרכו אף על פי שתחלתו באונס אבל קורע בחמתו למרמי אימת' שאינו עושה אלא בשביל דבר המזיקו שאין שומעין לקולו אף על פי שכוונתו שישמעו לקולו אח"כ ולא ישובו וימרדו בו מכל מקום כיון שמיד שקרע הוי ניחא ליה אפי' אם נסתם שלא היה עושה אלא משום אימה וכבר נפלה עליהם אימתה הוי אין צ"ל וגבי כיבוי אף על גב דניחא ליה שיהא כבוי מכאן ולהלאה התם שאני דאם לא יהיה כבוי מעתה יחזיר המזיק לקדמותו וכן גבי הוצאת המת אף על גב דניחא ליה שיהא החוצה מ"מ הוי הכל לסלק המזיק שאם יחזור לבית הרי המזיק כבראשונה ומה הועיל אבל מפיס מורסא אף אם יחזור ויסתום לא יזיקנו אלא דניחא ליה שלא יתחדש מזיק אח"כ הוי צ"ל</w:t>
      </w:r>
      <w:r w:rsidRPr="00747170">
        <w:rPr>
          <w:rFonts w:hint="cs"/>
          <w:rtl/>
        </w:rPr>
        <w:t>.</w:t>
      </w:r>
    </w:p>
    <w:p w14:paraId="05AFEA8A" w14:textId="77777777" w:rsidR="002748A5" w:rsidRPr="003B63CB" w:rsidRDefault="002748A5" w:rsidP="002748A5">
      <w:pPr>
        <w:pStyle w:val="a7"/>
        <w:rPr>
          <w:rtl/>
        </w:rPr>
      </w:pPr>
      <w:bookmarkStart w:id="3166" w:name="_Toc140074171"/>
      <w:bookmarkStart w:id="3167" w:name="_Toc140092020"/>
      <w:bookmarkStart w:id="3168" w:name="_Toc140144220"/>
      <w:bookmarkStart w:id="3169" w:name="_Toc140144451"/>
      <w:r w:rsidRPr="003B63CB">
        <w:rPr>
          <w:rFonts w:hint="cs"/>
          <w:rtl/>
        </w:rPr>
        <w:t>בי' המגנ"ש דבקורע ע"מ לתפור ל"ה סילוק אלא תיקון לתפירה ובדרנא תופר יפה ולא סותם נקב</w:t>
      </w:r>
      <w:bookmarkEnd w:id="3166"/>
      <w:bookmarkEnd w:id="3167"/>
      <w:bookmarkEnd w:id="3168"/>
      <w:bookmarkEnd w:id="3169"/>
    </w:p>
    <w:p w14:paraId="48C56183" w14:textId="77777777" w:rsidR="002748A5" w:rsidRPr="003B63CB" w:rsidRDefault="002748A5" w:rsidP="00BC7DC8">
      <w:pPr>
        <w:pStyle w:val="a3"/>
      </w:pPr>
      <w:r w:rsidRPr="003B63CB">
        <w:rPr>
          <w:rFonts w:hint="cs"/>
          <w:rtl/>
        </w:rPr>
        <w:t xml:space="preserve">ובקורע ע"מ לתפור, ביאר </w:t>
      </w:r>
      <w:r w:rsidRPr="003B63CB">
        <w:rPr>
          <w:rStyle w:val="aff4"/>
          <w:rFonts w:hint="cs"/>
          <w:vanish/>
          <w:rtl/>
        </w:rPr>
        <w:t>-</w:t>
      </w:r>
      <w:r w:rsidRPr="003B63CB">
        <w:rPr>
          <w:rStyle w:val="aff4"/>
          <w:rFonts w:hint="cs"/>
          <w:rtl/>
        </w:rPr>
        <w:t>המגיני שלמה</w:t>
      </w:r>
      <w:r w:rsidRPr="003B63CB">
        <w:rPr>
          <w:rStyle w:val="aff4"/>
          <w:rFonts w:hint="cs"/>
          <w:vanish/>
          <w:rtl/>
        </w:rPr>
        <w:t>-</w:t>
      </w:r>
      <w:r w:rsidRPr="003B63CB">
        <w:rPr>
          <w:rFonts w:hint="cs"/>
          <w:rtl/>
        </w:rPr>
        <w:t xml:space="preserve"> דהקריעה אינה בכדי לסלק את המזיק, אלא לצורך התיקון של התפירה, ואף בנפל בה </w:t>
      </w:r>
      <w:r w:rsidRPr="003B63CB">
        <w:rPr>
          <w:rFonts w:hint="cs"/>
          <w:rtl/>
        </w:rPr>
        <w:t xml:space="preserve">דרנא דהוא מזיק, בכדי לסלק את הנזק סגי במה שתופר את הנקב של הדרנא, אלא דכיון דבסתימת הנקב לבדו אינו מתקן, דהבגד לא יהיה יפה, לכן הוא קורע את הבגד ע"מ לתופרו שיהיה יפה, וא"כ התיקון הוא יותר ממה שהיה עושה בכדי להציל את עצמו מהנזק, ולכן חייב, ועיי"ש במה שהוסיף </w:t>
      </w:r>
      <w:r w:rsidRPr="003B63CB">
        <w:rPr>
          <w:rStyle w:val="aff4"/>
          <w:rFonts w:hint="cs"/>
          <w:vanish/>
          <w:rtl/>
        </w:rPr>
        <w:t>-</w:t>
      </w:r>
      <w:r w:rsidRPr="003B63CB">
        <w:rPr>
          <w:rStyle w:val="aff4"/>
          <w:rFonts w:hint="cs"/>
          <w:rtl/>
        </w:rPr>
        <w:t>המגיני שלמה</w:t>
      </w:r>
      <w:r w:rsidRPr="003B63CB">
        <w:rPr>
          <w:rStyle w:val="aff4"/>
          <w:rFonts w:hint="cs"/>
          <w:vanish/>
          <w:rtl/>
        </w:rPr>
        <w:t>-</w:t>
      </w:r>
      <w:r w:rsidRPr="003B63CB">
        <w:rPr>
          <w:rFonts w:hint="cs"/>
          <w:rtl/>
        </w:rPr>
        <w:t xml:space="preserve"> לבאר בזה. </w:t>
      </w:r>
    </w:p>
    <w:p w14:paraId="573AACF7" w14:textId="77777777" w:rsidR="002748A5" w:rsidRPr="00747170" w:rsidRDefault="002748A5" w:rsidP="00747170">
      <w:pPr>
        <w:pStyle w:val="a2"/>
        <w:rPr>
          <w:rtl/>
        </w:rPr>
      </w:pPr>
      <w:r w:rsidRPr="00747170">
        <w:rPr>
          <w:rtl/>
        </w:rPr>
        <w:t>וכן קורע ע"מ לתפור ג"כ לא הוי לסלק המזיק שלא יזיקנו אלא הוא מתקן הבגד שאפי' תאמר דנקב הדרנא הוי כמזיק מ"מ המזיק הוי מסתלק בתפירת הנקב לחוד אלא שלא היה הבגד יפה דהוי עביד כי כיסתא וא"כ הוא מתקן יותר ממה שצריך להציל עצמו וחייב,</w:t>
      </w:r>
      <w:r w:rsidRPr="00747170">
        <w:rPr>
          <w:rFonts w:hint="cs"/>
          <w:rtl/>
        </w:rPr>
        <w:t xml:space="preserve"> וכו.</w:t>
      </w:r>
    </w:p>
    <w:p w14:paraId="010A596C" w14:textId="77777777" w:rsidR="002748A5" w:rsidRPr="003B63CB" w:rsidRDefault="002748A5" w:rsidP="002748A5">
      <w:pPr>
        <w:pStyle w:val="1"/>
        <w:rPr>
          <w:rtl/>
        </w:rPr>
      </w:pPr>
      <w:bookmarkStart w:id="3170" w:name="_Toc140074172"/>
      <w:bookmarkStart w:id="3171" w:name="_Toc140092021"/>
      <w:bookmarkStart w:id="3172" w:name="_Toc140144221"/>
      <w:bookmarkStart w:id="3173" w:name="_Toc140144452"/>
      <w:r w:rsidRPr="003B63CB">
        <w:rPr>
          <w:rFonts w:hint="cs"/>
          <w:rtl/>
        </w:rPr>
        <w:t>בי' המרכה"מ דיש ב' אופנים סילוק נזק או לא ניחא שתשאר</w:t>
      </w:r>
      <w:bookmarkEnd w:id="3170"/>
      <w:bookmarkEnd w:id="3171"/>
      <w:bookmarkEnd w:id="3172"/>
      <w:bookmarkEnd w:id="3173"/>
    </w:p>
    <w:p w14:paraId="051547F9" w14:textId="77777777" w:rsidR="002748A5" w:rsidRPr="00C12F78" w:rsidRDefault="002748A5" w:rsidP="002748A5">
      <w:pPr>
        <w:pStyle w:val="afffff7"/>
        <w:rPr>
          <w:rtl/>
        </w:rPr>
      </w:pPr>
      <w:bookmarkStart w:id="3174" w:name="_Toc140074260"/>
      <w:bookmarkStart w:id="3175" w:name="_Toc140144355"/>
      <w:bookmarkStart w:id="3176" w:name="_Toc140144831"/>
      <w:bookmarkStart w:id="3177" w:name="_Toc163505946"/>
      <w:r w:rsidRPr="00C12F78">
        <w:rPr>
          <w:rtl/>
        </w:rPr>
        <w:t>מרכבת המשנה שבת פ"א ה"א</w:t>
      </w:r>
      <w:r w:rsidRPr="00C12F78">
        <w:rPr>
          <w:rFonts w:hint="cs"/>
          <w:rtl/>
        </w:rPr>
        <w:t xml:space="preserve"> ד"ה ועתה נבאר</w:t>
      </w:r>
      <w:bookmarkEnd w:id="3174"/>
      <w:bookmarkEnd w:id="3175"/>
      <w:r w:rsidRPr="00C12F78">
        <w:rPr>
          <w:rtl/>
        </w:rPr>
        <w:t xml:space="preserve"> (ח)</w:t>
      </w:r>
      <w:bookmarkEnd w:id="3176"/>
      <w:bookmarkEnd w:id="3177"/>
    </w:p>
    <w:p w14:paraId="1C76D6BB" w14:textId="77777777" w:rsidR="002748A5" w:rsidRPr="003B63CB" w:rsidRDefault="002748A5" w:rsidP="002748A5">
      <w:pPr>
        <w:pStyle w:val="a7"/>
      </w:pPr>
      <w:bookmarkStart w:id="3178" w:name="_Toc140074173"/>
      <w:bookmarkStart w:id="3179" w:name="_Toc140092022"/>
      <w:bookmarkStart w:id="3180" w:name="_Toc140144222"/>
      <w:bookmarkStart w:id="3181" w:name="_Toc140144453"/>
      <w:r w:rsidRPr="003B63CB">
        <w:rPr>
          <w:rFonts w:hint="cs"/>
          <w:rtl/>
        </w:rPr>
        <w:t>קו' המרכה"מ ברש"י דבמת ונחש כ' דלא רוצה בה ובגומא ופה למורסא כ' דלא רוצה שישארו</w:t>
      </w:r>
      <w:bookmarkEnd w:id="3178"/>
      <w:bookmarkEnd w:id="3179"/>
      <w:bookmarkEnd w:id="3180"/>
      <w:bookmarkEnd w:id="3181"/>
    </w:p>
    <w:p w14:paraId="1618768C" w14:textId="4465FE63" w:rsidR="002748A5" w:rsidRPr="003B63CB" w:rsidRDefault="002748A5" w:rsidP="00BC7DC8">
      <w:pPr>
        <w:pStyle w:val="a3"/>
      </w:pPr>
      <w:bookmarkStart w:id="3182" w:name="_Ref140006121"/>
      <w:bookmarkStart w:id="3183" w:name="_Ref139749599"/>
      <w:r w:rsidRPr="003B63CB">
        <w:rPr>
          <w:rFonts w:hint="cs"/>
          <w:rtl/>
        </w:rPr>
        <w:t xml:space="preserve">במ"ש </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w:t>
      </w:r>
      <w:r w:rsidRPr="003B63CB">
        <w:rPr>
          <w:rStyle w:val="af2"/>
          <w:rFonts w:eastAsia="Guttman Hodes" w:hint="cs"/>
          <w:rtl/>
        </w:rPr>
        <w:t xml:space="preserve">(עי' אות </w:t>
      </w:r>
      <w:r w:rsidRPr="003B63CB">
        <w:rPr>
          <w:rStyle w:val="af2"/>
          <w:rFonts w:eastAsia="Guttman Hodes"/>
          <w:rtl/>
        </w:rPr>
        <w:fldChar w:fldCharType="begin"/>
      </w:r>
      <w:r w:rsidRPr="003B63CB">
        <w:rPr>
          <w:rStyle w:val="af2"/>
          <w:rFonts w:eastAsia="Guttman Hodes"/>
          <w:rtl/>
        </w:rPr>
        <w:instrText xml:space="preserve"> </w:instrText>
      </w:r>
      <w:r w:rsidRPr="003B63CB">
        <w:rPr>
          <w:rStyle w:val="af2"/>
          <w:rFonts w:eastAsia="Guttman Hodes" w:hint="cs"/>
        </w:rPr>
        <w:instrText>REF</w:instrText>
      </w:r>
      <w:r w:rsidRPr="003B63CB">
        <w:rPr>
          <w:rStyle w:val="af2"/>
          <w:rFonts w:eastAsia="Guttman Hodes" w:hint="cs"/>
          <w:rtl/>
        </w:rPr>
        <w:instrText xml:space="preserve"> _</w:instrText>
      </w:r>
      <w:r w:rsidRPr="003B63CB">
        <w:rPr>
          <w:rStyle w:val="af2"/>
          <w:rFonts w:eastAsia="Guttman Hodes" w:hint="cs"/>
        </w:rPr>
        <w:instrText>Ref139359821 \r \h</w:instrText>
      </w:r>
      <w:r w:rsidRPr="003B63CB">
        <w:rPr>
          <w:rStyle w:val="af2"/>
          <w:rFonts w:eastAsia="Guttman Hodes"/>
          <w:rtl/>
        </w:rPr>
        <w:instrText xml:space="preserve">  \* </w:instrText>
      </w:r>
      <w:r w:rsidRPr="003B63CB">
        <w:rPr>
          <w:rStyle w:val="af2"/>
          <w:rFonts w:eastAsia="Guttman Hodes"/>
        </w:rPr>
        <w:instrText>MERGEFORMAT</w:instrText>
      </w:r>
      <w:r w:rsidRPr="003B63CB">
        <w:rPr>
          <w:rStyle w:val="af2"/>
          <w:rFonts w:eastAsia="Guttman Hodes"/>
          <w:rtl/>
        </w:rPr>
        <w:instrText xml:space="preserve"> </w:instrText>
      </w:r>
      <w:r w:rsidRPr="003B63CB">
        <w:rPr>
          <w:rStyle w:val="af2"/>
          <w:rFonts w:eastAsia="Guttman Hodes"/>
          <w:rtl/>
        </w:rPr>
      </w:r>
      <w:r w:rsidRPr="003B63CB">
        <w:rPr>
          <w:rStyle w:val="af2"/>
          <w:rFonts w:eastAsia="Guttman Hodes"/>
          <w:rtl/>
        </w:rPr>
        <w:fldChar w:fldCharType="separate"/>
      </w:r>
      <w:r w:rsidR="00D82181">
        <w:rPr>
          <w:rStyle w:val="af2"/>
          <w:rFonts w:eastAsia="Guttman Hodes"/>
          <w:cs/>
        </w:rPr>
        <w:t>‎</w:t>
      </w:r>
      <w:r w:rsidR="00D82181">
        <w:rPr>
          <w:rStyle w:val="af2"/>
          <w:rFonts w:eastAsia="Guttman Hodes"/>
          <w:rtl/>
        </w:rPr>
        <w:t>ב)</w:t>
      </w:r>
      <w:r w:rsidRPr="003B63CB">
        <w:rPr>
          <w:rStyle w:val="af2"/>
          <w:rFonts w:eastAsia="Guttman Hodes"/>
          <w:rtl/>
        </w:rPr>
        <w:fldChar w:fldCharType="end"/>
      </w:r>
      <w:r w:rsidRPr="003B63CB">
        <w:rPr>
          <w:rFonts w:hint="cs"/>
          <w:rtl/>
        </w:rPr>
        <w:t xml:space="preserve"> דמוציא מת הוי מלאכה שאינה צריכה לגופה, דברצונו לא הייתה באה לו ורצה שלא הייתה בעולם, כתב </w:t>
      </w:r>
      <w:r w:rsidRPr="003B63CB">
        <w:rPr>
          <w:rStyle w:val="aff4"/>
          <w:rFonts w:hint="cs"/>
          <w:vanish/>
          <w:rtl/>
        </w:rPr>
        <w:t>-</w:t>
      </w:r>
      <w:r w:rsidRPr="003B63CB">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Ref140006121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כו)</w:t>
      </w:r>
      <w:r>
        <w:rPr>
          <w:rStyle w:val="aff4"/>
          <w:vanish/>
          <w:rtl/>
        </w:rPr>
        <w:fldChar w:fldCharType="end"/>
      </w:r>
      <w:r>
        <w:rPr>
          <w:rStyle w:val="aff4"/>
          <w:rFonts w:hint="cs"/>
          <w:vanish/>
          <w:rtl/>
        </w:rPr>
        <w:t xml:space="preserve"> &gt;</w:t>
      </w:r>
      <w:r w:rsidRPr="003B63CB">
        <w:rPr>
          <w:rStyle w:val="aff4"/>
          <w:rFonts w:hint="cs"/>
          <w:rtl/>
        </w:rPr>
        <w:t>מרכבת המשנה</w:t>
      </w:r>
      <w:r w:rsidRPr="003B63CB">
        <w:rPr>
          <w:rStyle w:val="aff4"/>
          <w:rFonts w:hint="cs"/>
          <w:vanish/>
          <w:rtl/>
        </w:rPr>
        <w:t>-</w:t>
      </w:r>
      <w:r w:rsidRPr="003B63CB">
        <w:rPr>
          <w:rFonts w:hint="cs"/>
          <w:rtl/>
        </w:rPr>
        <w:t xml:space="preserve"> </w:t>
      </w:r>
      <w:r w:rsidRPr="003B63CB">
        <w:rPr>
          <w:rStyle w:val="af2"/>
          <w:rFonts w:eastAsia="Guttman Hodes" w:hint="cs"/>
          <w:rtl/>
        </w:rPr>
        <w:t>(שבת פ"א ה"א ד"ה ועתה נבאר)</w:t>
      </w:r>
      <w:r w:rsidRPr="003B63CB">
        <w:rPr>
          <w:rFonts w:hint="cs"/>
          <w:vanish/>
          <w:rtl/>
        </w:rPr>
        <w:t>=</w:t>
      </w:r>
      <w:r w:rsidRPr="003B63CB">
        <w:rPr>
          <w:rFonts w:hint="cs"/>
          <w:rtl/>
        </w:rPr>
        <w:t xml:space="preserve"> דמשמע דס"ל </w:t>
      </w:r>
      <w:r w:rsidRPr="003B63CB">
        <w:rPr>
          <w:rStyle w:val="aff4"/>
          <w:rFonts w:hint="cs"/>
          <w:vanish/>
          <w:rtl/>
        </w:rPr>
        <w:t>-</w:t>
      </w:r>
      <w:r w:rsidRPr="003B63CB">
        <w:rPr>
          <w:rStyle w:val="aff4"/>
          <w:rFonts w:hint="cs"/>
          <w:rtl/>
        </w:rPr>
        <w:t>לרש"י</w:t>
      </w:r>
      <w:r w:rsidRPr="003B63CB">
        <w:rPr>
          <w:rStyle w:val="aff4"/>
          <w:rFonts w:hint="cs"/>
          <w:vanish/>
          <w:rtl/>
        </w:rPr>
        <w:t>-</w:t>
      </w:r>
      <w:r w:rsidRPr="003B63CB">
        <w:rPr>
          <w:rFonts w:hint="cs"/>
          <w:rtl/>
        </w:rPr>
        <w:t xml:space="preserve"> דזהו הטעם בכל מלאכה שאינה צריכה לגופה, דמלאכה שהיא מניעת נזק א"צ את גוף המלאכה, אך הביא </w:t>
      </w:r>
      <w:r w:rsidRPr="003B63CB">
        <w:rPr>
          <w:rStyle w:val="aff4"/>
          <w:rFonts w:hint="cs"/>
          <w:vanish/>
          <w:rtl/>
        </w:rPr>
        <w:t>-</w:t>
      </w:r>
      <w:r w:rsidRPr="003B63CB">
        <w:rPr>
          <w:rStyle w:val="aff4"/>
          <w:rFonts w:hint="cs"/>
          <w:rtl/>
        </w:rPr>
        <w:t>ה</w:t>
      </w:r>
      <w:r w:rsidRPr="003B63CB">
        <w:rPr>
          <w:rStyle w:val="aff4"/>
          <w:rFonts w:hint="cs"/>
          <w:vanish/>
          <w:rtl/>
        </w:rPr>
        <w:t>&lt; &gt;</w:t>
      </w:r>
      <w:r w:rsidRPr="003B63CB">
        <w:rPr>
          <w:rStyle w:val="aff4"/>
          <w:rFonts w:hint="cs"/>
          <w:rtl/>
        </w:rPr>
        <w:t>מרכבת המשנה</w:t>
      </w:r>
      <w:r w:rsidRPr="003B63CB">
        <w:rPr>
          <w:rStyle w:val="aff4"/>
          <w:rFonts w:hint="cs"/>
          <w:vanish/>
          <w:rtl/>
        </w:rPr>
        <w:t>-</w:t>
      </w:r>
      <w:r w:rsidRPr="003B63CB">
        <w:rPr>
          <w:rFonts w:hint="cs"/>
          <w:rtl/>
        </w:rPr>
        <w:t xml:space="preserve"> </w:t>
      </w:r>
      <w:r w:rsidRPr="003B63CB">
        <w:rPr>
          <w:rStyle w:val="af2"/>
          <w:rFonts w:eastAsia="Guttman Hodes" w:hint="cs"/>
          <w:rtl/>
        </w:rPr>
        <w:t>(שבת פ"א ה"א ד"ה ודע דגבי)</w:t>
      </w:r>
      <w:r w:rsidRPr="003B63CB">
        <w:rPr>
          <w:rFonts w:hint="cs"/>
          <w:vanish/>
          <w:rtl/>
        </w:rPr>
        <w:t>=</w:t>
      </w:r>
      <w:r w:rsidRPr="003B63CB">
        <w:rPr>
          <w:rFonts w:hint="cs"/>
          <w:rtl/>
        </w:rPr>
        <w:t xml:space="preserve"> דלענין מפיס מורסא וחופר גומא לא ביאר </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דהוא מניעת נזק, כדביאר לענין הוצאת המת וצידת נחש, דבמפיס מורסא כתב</w:t>
      </w:r>
      <w:r w:rsidRPr="003B63CB">
        <w:rPr>
          <w:rStyle w:val="aff4"/>
          <w:rFonts w:hint="cs"/>
          <w:vanish/>
          <w:rtl/>
        </w:rPr>
        <w:t>-</w:t>
      </w:r>
      <w:r w:rsidRPr="003B63CB">
        <w:rPr>
          <w:rStyle w:val="aff4"/>
          <w:rFonts w:hint="cs"/>
          <w:rtl/>
        </w:rPr>
        <w:t xml:space="preserve"> רש"י</w:t>
      </w:r>
      <w:r w:rsidRPr="003B63CB">
        <w:rPr>
          <w:rStyle w:val="aff4"/>
          <w:rFonts w:hint="cs"/>
          <w:vanish/>
          <w:rtl/>
        </w:rPr>
        <w:t>-</w:t>
      </w:r>
      <w:r w:rsidRPr="003B63CB">
        <w:rPr>
          <w:rFonts w:hint="cs"/>
          <w:rtl/>
        </w:rPr>
        <w:t xml:space="preserve"> </w:t>
      </w:r>
      <w:r w:rsidRPr="003B63CB">
        <w:rPr>
          <w:rStyle w:val="af2"/>
          <w:rFonts w:eastAsia="Guttman Hodes" w:hint="cs"/>
          <w:rtl/>
        </w:rPr>
        <w:t>(עי' אות</w:t>
      </w:r>
      <w:r w:rsidRPr="003B63CB">
        <w:rPr>
          <w:rStyle w:val="af2"/>
          <w:rFonts w:eastAsia="Guttman Hodes"/>
          <w:rtl/>
        </w:rPr>
        <w:t xml:space="preserve"> </w:t>
      </w:r>
      <w:r w:rsidRPr="003B63CB">
        <w:rPr>
          <w:rStyle w:val="af2"/>
          <w:rFonts w:eastAsia="Guttman Hodes"/>
          <w:rtl/>
        </w:rPr>
        <w:fldChar w:fldCharType="begin"/>
      </w:r>
      <w:r w:rsidRPr="003B63CB">
        <w:rPr>
          <w:rStyle w:val="af2"/>
          <w:rFonts w:eastAsia="Guttman Hodes"/>
          <w:rtl/>
        </w:rPr>
        <w:instrText xml:space="preserve"> </w:instrText>
      </w:r>
      <w:r w:rsidRPr="003B63CB">
        <w:rPr>
          <w:rStyle w:val="af2"/>
          <w:rFonts w:eastAsia="Guttman Hodes" w:hint="cs"/>
        </w:rPr>
        <w:instrText>REF</w:instrText>
      </w:r>
      <w:r w:rsidRPr="003B63CB">
        <w:rPr>
          <w:rStyle w:val="af2"/>
          <w:rFonts w:eastAsia="Guttman Hodes" w:hint="cs"/>
          <w:rtl/>
        </w:rPr>
        <w:instrText xml:space="preserve"> _</w:instrText>
      </w:r>
      <w:r w:rsidRPr="003B63CB">
        <w:rPr>
          <w:rStyle w:val="af2"/>
          <w:rFonts w:eastAsia="Guttman Hodes" w:hint="cs"/>
        </w:rPr>
        <w:instrText>Ref139635163 \r \h</w:instrText>
      </w:r>
      <w:r w:rsidRPr="003B63CB">
        <w:rPr>
          <w:rStyle w:val="af2"/>
          <w:rFonts w:eastAsia="Guttman Hodes"/>
          <w:rtl/>
        </w:rPr>
        <w:instrText xml:space="preserve">  \* </w:instrText>
      </w:r>
      <w:r w:rsidRPr="003B63CB">
        <w:rPr>
          <w:rStyle w:val="af2"/>
          <w:rFonts w:eastAsia="Guttman Hodes"/>
        </w:rPr>
        <w:instrText>MERGEFORMAT</w:instrText>
      </w:r>
      <w:r w:rsidRPr="003B63CB">
        <w:rPr>
          <w:rStyle w:val="af2"/>
          <w:rFonts w:eastAsia="Guttman Hodes"/>
          <w:rtl/>
        </w:rPr>
        <w:instrText xml:space="preserve"> </w:instrText>
      </w:r>
      <w:r w:rsidRPr="003B63CB">
        <w:rPr>
          <w:rStyle w:val="af2"/>
          <w:rFonts w:eastAsia="Guttman Hodes"/>
          <w:rtl/>
        </w:rPr>
      </w:r>
      <w:r w:rsidRPr="003B63CB">
        <w:rPr>
          <w:rStyle w:val="af2"/>
          <w:rFonts w:eastAsia="Guttman Hodes"/>
          <w:rtl/>
        </w:rPr>
        <w:fldChar w:fldCharType="separate"/>
      </w:r>
      <w:r w:rsidR="00D82181">
        <w:rPr>
          <w:rStyle w:val="af2"/>
          <w:rFonts w:eastAsia="Guttman Hodes"/>
          <w:cs/>
        </w:rPr>
        <w:t>‎</w:t>
      </w:r>
      <w:r w:rsidR="00D82181">
        <w:rPr>
          <w:rStyle w:val="af2"/>
          <w:rFonts w:eastAsia="Guttman Hodes"/>
          <w:rtl/>
        </w:rPr>
        <w:t>ז)</w:t>
      </w:r>
      <w:r w:rsidRPr="003B63CB">
        <w:rPr>
          <w:rStyle w:val="af2"/>
          <w:rFonts w:eastAsia="Guttman Hodes"/>
          <w:rtl/>
        </w:rPr>
        <w:fldChar w:fldCharType="end"/>
      </w:r>
      <w:r w:rsidRPr="003B63CB">
        <w:rPr>
          <w:rFonts w:hint="cs"/>
          <w:rtl/>
        </w:rPr>
        <w:t xml:space="preserve"> דכל שא"צ שהפתח ישאר פתוח מעכשיו, הוי מלאכה שאינה צריכה לגופה, ובחופר גומא כתב </w:t>
      </w:r>
      <w:r w:rsidRPr="003B63CB">
        <w:rPr>
          <w:rStyle w:val="aff4"/>
          <w:rFonts w:hint="cs"/>
          <w:vanish/>
          <w:rtl/>
        </w:rPr>
        <w:t>-</w:t>
      </w:r>
      <w:r w:rsidRPr="003B63CB">
        <w:rPr>
          <w:rStyle w:val="aff4"/>
          <w:rFonts w:hint="cs"/>
          <w:rtl/>
        </w:rPr>
        <w:t>רש"י בחגיגה</w:t>
      </w:r>
      <w:r w:rsidRPr="003B63CB">
        <w:rPr>
          <w:rStyle w:val="aff4"/>
          <w:rFonts w:hint="cs"/>
          <w:vanish/>
          <w:rtl/>
        </w:rPr>
        <w:t>-</w:t>
      </w:r>
      <w:r w:rsidRPr="003B63CB">
        <w:rPr>
          <w:rFonts w:hint="cs"/>
          <w:rtl/>
        </w:rPr>
        <w:t xml:space="preserve"> </w:t>
      </w:r>
      <w:r w:rsidRPr="003B63CB">
        <w:rPr>
          <w:rStyle w:val="af2"/>
          <w:rFonts w:eastAsia="Guttman Hodes" w:hint="cs"/>
          <w:rtl/>
        </w:rPr>
        <w:t xml:space="preserve">(עי' אות </w:t>
      </w:r>
      <w:r w:rsidRPr="003B63CB">
        <w:rPr>
          <w:rStyle w:val="af2"/>
          <w:rFonts w:eastAsia="Guttman Hodes"/>
          <w:rtl/>
        </w:rPr>
        <w:fldChar w:fldCharType="begin"/>
      </w:r>
      <w:r w:rsidRPr="003B63CB">
        <w:rPr>
          <w:rStyle w:val="af2"/>
          <w:rFonts w:eastAsia="Guttman Hodes"/>
          <w:rtl/>
        </w:rPr>
        <w:instrText xml:space="preserve"> </w:instrText>
      </w:r>
      <w:r w:rsidRPr="003B63CB">
        <w:rPr>
          <w:rStyle w:val="af2"/>
          <w:rFonts w:eastAsia="Guttman Hodes" w:hint="cs"/>
        </w:rPr>
        <w:instrText>REF</w:instrText>
      </w:r>
      <w:r w:rsidRPr="003B63CB">
        <w:rPr>
          <w:rStyle w:val="af2"/>
          <w:rFonts w:eastAsia="Guttman Hodes" w:hint="cs"/>
          <w:rtl/>
        </w:rPr>
        <w:instrText xml:space="preserve"> _</w:instrText>
      </w:r>
      <w:r w:rsidRPr="003B63CB">
        <w:rPr>
          <w:rStyle w:val="af2"/>
          <w:rFonts w:eastAsia="Guttman Hodes" w:hint="cs"/>
        </w:rPr>
        <w:instrText>Ref139748980 \r \h</w:instrText>
      </w:r>
      <w:r w:rsidRPr="003B63CB">
        <w:rPr>
          <w:rStyle w:val="af2"/>
          <w:rFonts w:eastAsia="Guttman Hodes"/>
          <w:rtl/>
        </w:rPr>
        <w:instrText xml:space="preserve">  \* </w:instrText>
      </w:r>
      <w:r w:rsidRPr="003B63CB">
        <w:rPr>
          <w:rStyle w:val="af2"/>
          <w:rFonts w:eastAsia="Guttman Hodes"/>
        </w:rPr>
        <w:instrText>MERGEFORMAT</w:instrText>
      </w:r>
      <w:r w:rsidRPr="003B63CB">
        <w:rPr>
          <w:rStyle w:val="af2"/>
          <w:rFonts w:eastAsia="Guttman Hodes"/>
          <w:rtl/>
        </w:rPr>
        <w:instrText xml:space="preserve"> </w:instrText>
      </w:r>
      <w:r w:rsidRPr="003B63CB">
        <w:rPr>
          <w:rStyle w:val="af2"/>
          <w:rFonts w:eastAsia="Guttman Hodes"/>
          <w:rtl/>
        </w:rPr>
      </w:r>
      <w:r w:rsidRPr="003B63CB">
        <w:rPr>
          <w:rStyle w:val="af2"/>
          <w:rFonts w:eastAsia="Guttman Hodes"/>
          <w:rtl/>
        </w:rPr>
        <w:fldChar w:fldCharType="separate"/>
      </w:r>
      <w:r w:rsidR="00D82181">
        <w:rPr>
          <w:rStyle w:val="af2"/>
          <w:rFonts w:eastAsia="Guttman Hodes"/>
          <w:cs/>
        </w:rPr>
        <w:t>‎</w:t>
      </w:r>
      <w:r w:rsidR="00D82181">
        <w:rPr>
          <w:rStyle w:val="af2"/>
          <w:rFonts w:eastAsia="Guttman Hodes"/>
          <w:rtl/>
        </w:rPr>
        <w:t>ח)</w:t>
      </w:r>
      <w:r w:rsidRPr="003B63CB">
        <w:rPr>
          <w:rStyle w:val="af2"/>
          <w:rFonts w:eastAsia="Guttman Hodes"/>
          <w:rtl/>
        </w:rPr>
        <w:fldChar w:fldCharType="end"/>
      </w:r>
      <w:r w:rsidRPr="003B63CB">
        <w:rPr>
          <w:rFonts w:hint="cs"/>
          <w:rtl/>
        </w:rPr>
        <w:t xml:space="preserve"> דהיא מלאכה שאינה צריכה לגופה כיון שאינו צריך לבנין הזה.</w:t>
      </w:r>
      <w:bookmarkEnd w:id="3182"/>
    </w:p>
    <w:bookmarkEnd w:id="3183"/>
    <w:p w14:paraId="43888C4C" w14:textId="77777777" w:rsidR="002748A5" w:rsidRPr="00747170" w:rsidRDefault="002748A5" w:rsidP="00747170">
      <w:pPr>
        <w:pStyle w:val="a2"/>
      </w:pPr>
      <w:r w:rsidRPr="00747170">
        <w:rPr>
          <w:rtl/>
        </w:rPr>
        <w:t>ועתה נבאר ענין מלאכה שא"צ לגופה. וראיתי לקדמונינו ז"ל בזה ארבע שיטות. השיטה הראשונה לרש"י דמפרש בפ' המצניע דהמוציא את המת מקרי משאצל"ג לפי שברצונו לא באה לו ורוצה היה שלא היה בעולם עיין שם.</w:t>
      </w:r>
      <w:r w:rsidRPr="00747170">
        <w:rPr>
          <w:rFonts w:hint="cs"/>
          <w:rtl/>
        </w:rPr>
        <w:t xml:space="preserve"> וכו'. </w:t>
      </w:r>
    </w:p>
    <w:p w14:paraId="687B20FA" w14:textId="77777777" w:rsidR="002748A5" w:rsidRPr="00C12F78" w:rsidRDefault="002748A5" w:rsidP="002748A5">
      <w:pPr>
        <w:pStyle w:val="afffff7"/>
        <w:rPr>
          <w:rtl/>
        </w:rPr>
      </w:pPr>
      <w:bookmarkStart w:id="3184" w:name="_Toc140074261"/>
      <w:bookmarkStart w:id="3185" w:name="_Toc140144356"/>
      <w:bookmarkStart w:id="3186" w:name="_Toc140144832"/>
      <w:bookmarkStart w:id="3187" w:name="_Toc163505947"/>
      <w:r w:rsidRPr="00C12F78">
        <w:rPr>
          <w:rtl/>
        </w:rPr>
        <w:t>מרכבת המשנה שבת פ"א ה"א</w:t>
      </w:r>
      <w:r w:rsidRPr="00C12F78">
        <w:rPr>
          <w:rFonts w:hint="cs"/>
          <w:rtl/>
        </w:rPr>
        <w:t xml:space="preserve"> ד"ה ודע דגבי</w:t>
      </w:r>
      <w:bookmarkEnd w:id="3184"/>
      <w:bookmarkEnd w:id="3185"/>
      <w:r w:rsidRPr="00C12F78">
        <w:rPr>
          <w:rtl/>
        </w:rPr>
        <w:t xml:space="preserve"> (ח)</w:t>
      </w:r>
      <w:bookmarkEnd w:id="3186"/>
      <w:bookmarkEnd w:id="3187"/>
    </w:p>
    <w:p w14:paraId="56AD056A" w14:textId="77777777" w:rsidR="002748A5" w:rsidRPr="00695703" w:rsidRDefault="002748A5" w:rsidP="00747170">
      <w:pPr>
        <w:pStyle w:val="afffff5"/>
        <w:rPr>
          <w:rtl/>
        </w:rPr>
      </w:pPr>
      <w:r w:rsidRPr="00695703">
        <w:rPr>
          <w:rtl/>
        </w:rPr>
        <w:t>ודע דגבי מפיס מורסא ודכוותיה החופר גומא וא"צ אלא לעפרה פרש"י דמקרי מלאכה שא"צ לגופה שאין הוא צריך להיות לו פתח מעכשיו לפי שהחופר גומא לא דמי להנך הנ"ל שהם מניעת היזק כנזכר בשם הרשב"א</w:t>
      </w:r>
      <w:r w:rsidRPr="00695703">
        <w:rPr>
          <w:rFonts w:hint="cs"/>
          <w:rtl/>
        </w:rPr>
        <w:t>.</w:t>
      </w:r>
    </w:p>
    <w:p w14:paraId="46B5913E" w14:textId="77777777" w:rsidR="002748A5" w:rsidRPr="003B63CB" w:rsidRDefault="002748A5" w:rsidP="002748A5">
      <w:pPr>
        <w:pStyle w:val="a7"/>
        <w:rPr>
          <w:rtl/>
        </w:rPr>
      </w:pPr>
      <w:bookmarkStart w:id="3188" w:name="_Toc140074174"/>
      <w:bookmarkStart w:id="3189" w:name="_Toc140092023"/>
      <w:bookmarkStart w:id="3190" w:name="_Toc140144223"/>
      <w:bookmarkStart w:id="3191" w:name="_Toc140144454"/>
      <w:r w:rsidRPr="003B63CB">
        <w:rPr>
          <w:rFonts w:hint="cs"/>
          <w:rtl/>
        </w:rPr>
        <w:t>בי' המרכה"מ דבגומא ומורסא רוצה בה ול"ה סילוק נזק ופטור דאין הנאה שתשאר המלאכה</w:t>
      </w:r>
      <w:bookmarkEnd w:id="3188"/>
      <w:bookmarkEnd w:id="3189"/>
      <w:bookmarkEnd w:id="3190"/>
      <w:bookmarkEnd w:id="3191"/>
    </w:p>
    <w:p w14:paraId="3E91DA48" w14:textId="23F708C6" w:rsidR="002748A5" w:rsidRPr="003B63CB" w:rsidRDefault="002748A5" w:rsidP="00BC7DC8">
      <w:pPr>
        <w:pStyle w:val="a3"/>
        <w:rPr>
          <w:rtl/>
        </w:rPr>
      </w:pPr>
      <w:r w:rsidRPr="003B63CB">
        <w:rPr>
          <w:rFonts w:hint="cs"/>
          <w:rtl/>
        </w:rPr>
        <w:t xml:space="preserve">וביאר </w:t>
      </w:r>
      <w:r w:rsidRPr="003B63CB">
        <w:rPr>
          <w:rStyle w:val="aff4"/>
          <w:rFonts w:hint="cs"/>
          <w:vanish/>
          <w:rtl/>
        </w:rPr>
        <w:t>-</w:t>
      </w:r>
      <w:r w:rsidRPr="003B63CB">
        <w:rPr>
          <w:rStyle w:val="aff4"/>
          <w:rFonts w:hint="cs"/>
          <w:rtl/>
        </w:rPr>
        <w:t>המרכבת המשנה</w:t>
      </w:r>
      <w:r w:rsidRPr="003B63CB">
        <w:rPr>
          <w:rStyle w:val="aff4"/>
          <w:rFonts w:hint="cs"/>
          <w:vanish/>
          <w:rtl/>
        </w:rPr>
        <w:t>-</w:t>
      </w:r>
      <w:r w:rsidRPr="003B63CB">
        <w:rPr>
          <w:rFonts w:hint="cs"/>
          <w:rtl/>
        </w:rPr>
        <w:t xml:space="preserve"> דבחופר גומא אף שבשביל העפר הוא חייב לחפור את הגומא, וא"א לומר דהמלאכה היא רק מניעת נזק, מ"מ הוי מלאכה שאינה צריכה לגופה כיון דאחר שחפר אין לו שום הנאה מהגומא, וכן במפיס מורסא אחר שהוציא את הליחה אין לו שום הנאה מהפתח. </w:t>
      </w:r>
      <w:r w:rsidRPr="003B63CB">
        <w:rPr>
          <w:rStyle w:val="af"/>
          <w:rFonts w:hint="cs"/>
          <w:rtl/>
        </w:rPr>
        <w:t>[כשלא עשה פתח קבוע].</w:t>
      </w:r>
      <w:r w:rsidRPr="003B63CB">
        <w:rPr>
          <w:rFonts w:hint="cs"/>
          <w:rtl/>
        </w:rPr>
        <w:t xml:space="preserve"> </w:t>
      </w:r>
      <w:r w:rsidRPr="003B63CB">
        <w:rPr>
          <w:rStyle w:val="af"/>
          <w:rFonts w:hint="cs"/>
          <w:rtl/>
        </w:rPr>
        <w:t xml:space="preserve">[ובקורע על מתו, ביאר </w:t>
      </w:r>
      <w:r w:rsidRPr="003B63CB">
        <w:rPr>
          <w:rStyle w:val="aff9"/>
          <w:rFonts w:hint="cs"/>
          <w:vanish/>
          <w:rtl/>
        </w:rPr>
        <w:t>-</w:t>
      </w:r>
      <w:r w:rsidRPr="003B63CB">
        <w:rPr>
          <w:rStyle w:val="aff9"/>
          <w:rFonts w:hint="cs"/>
          <w:rtl/>
        </w:rPr>
        <w:t>המרכבת המשנה</w:t>
      </w:r>
      <w:r w:rsidRPr="003B63CB">
        <w:rPr>
          <w:rStyle w:val="aff9"/>
          <w:rFonts w:hint="cs"/>
          <w:vanish/>
          <w:rtl/>
        </w:rPr>
        <w:t>-</w:t>
      </w:r>
      <w:r w:rsidRPr="003B63CB">
        <w:rPr>
          <w:rStyle w:val="af"/>
          <w:rFonts w:hint="cs"/>
          <w:rtl/>
        </w:rPr>
        <w:t xml:space="preserve"> דס"ל </w:t>
      </w:r>
      <w:r w:rsidRPr="003B63CB">
        <w:rPr>
          <w:rStyle w:val="aff9"/>
          <w:rFonts w:hint="cs"/>
          <w:vanish/>
          <w:rtl/>
        </w:rPr>
        <w:t>-</w:t>
      </w:r>
      <w:r w:rsidRPr="003B63CB">
        <w:rPr>
          <w:rStyle w:val="aff9"/>
          <w:rFonts w:hint="cs"/>
          <w:rtl/>
        </w:rPr>
        <w:t>לרש"י</w:t>
      </w:r>
      <w:r w:rsidRPr="003B63CB">
        <w:rPr>
          <w:rStyle w:val="aff9"/>
          <w:rFonts w:hint="cs"/>
          <w:vanish/>
          <w:rtl/>
        </w:rPr>
        <w:t>-</w:t>
      </w:r>
      <w:r w:rsidRPr="003B63CB">
        <w:rPr>
          <w:rStyle w:val="af"/>
          <w:rFonts w:hint="cs"/>
          <w:rtl/>
        </w:rPr>
        <w:t xml:space="preserve"> </w:t>
      </w:r>
      <w:r w:rsidRPr="003B63CB">
        <w:rPr>
          <w:rStyle w:val="aff0"/>
          <w:rFonts w:hint="cs"/>
          <w:rtl/>
        </w:rPr>
        <w:t xml:space="preserve">(עי' אות </w:t>
      </w:r>
      <w:r w:rsidRPr="003B63CB">
        <w:rPr>
          <w:rStyle w:val="aff0"/>
          <w:rtl/>
        </w:rPr>
        <w:fldChar w:fldCharType="begin"/>
      </w:r>
      <w:r w:rsidRPr="003B63CB">
        <w:rPr>
          <w:rStyle w:val="aff0"/>
          <w:rtl/>
        </w:rPr>
        <w:instrText xml:space="preserve"> </w:instrText>
      </w:r>
      <w:r w:rsidRPr="003B63CB">
        <w:rPr>
          <w:rStyle w:val="aff0"/>
          <w:rFonts w:hint="cs"/>
        </w:rPr>
        <w:instrText>REF</w:instrText>
      </w:r>
      <w:r w:rsidRPr="003B63CB">
        <w:rPr>
          <w:rStyle w:val="aff0"/>
          <w:rFonts w:hint="cs"/>
          <w:rtl/>
        </w:rPr>
        <w:instrText xml:space="preserve"> _</w:instrText>
      </w:r>
      <w:r w:rsidRPr="003B63CB">
        <w:rPr>
          <w:rStyle w:val="aff0"/>
          <w:rFonts w:hint="cs"/>
        </w:rPr>
        <w:instrText>Ref139866961 \r \h</w:instrText>
      </w:r>
      <w:r w:rsidRPr="003B63CB">
        <w:rPr>
          <w:rStyle w:val="aff0"/>
          <w:rtl/>
        </w:rPr>
        <w:instrText xml:space="preserve">  \* </w:instrText>
      </w:r>
      <w:r w:rsidRPr="003B63CB">
        <w:rPr>
          <w:rStyle w:val="aff0"/>
        </w:rPr>
        <w:instrText>MERGEFORMAT</w:instrText>
      </w:r>
      <w:r w:rsidRPr="003B63CB">
        <w:rPr>
          <w:rStyle w:val="aff0"/>
          <w:rtl/>
        </w:rPr>
        <w:instrText xml:space="preserve"> </w:instrText>
      </w:r>
      <w:r w:rsidRPr="003B63CB">
        <w:rPr>
          <w:rStyle w:val="aff0"/>
          <w:rtl/>
        </w:rPr>
      </w:r>
      <w:r w:rsidRPr="003B63CB">
        <w:rPr>
          <w:rStyle w:val="aff0"/>
          <w:rtl/>
        </w:rPr>
        <w:fldChar w:fldCharType="separate"/>
      </w:r>
      <w:r w:rsidR="00D82181">
        <w:rPr>
          <w:rStyle w:val="aff0"/>
          <w:cs/>
        </w:rPr>
        <w:t>‎</w:t>
      </w:r>
      <w:r w:rsidR="00D82181">
        <w:rPr>
          <w:rStyle w:val="aff0"/>
          <w:rtl/>
        </w:rPr>
        <w:t>מו)</w:t>
      </w:r>
      <w:r w:rsidRPr="003B63CB">
        <w:rPr>
          <w:rStyle w:val="aff0"/>
          <w:rtl/>
        </w:rPr>
        <w:fldChar w:fldCharType="end"/>
      </w:r>
      <w:r w:rsidRPr="003B63CB">
        <w:rPr>
          <w:rStyle w:val="af"/>
          <w:rFonts w:hint="cs"/>
          <w:rtl/>
        </w:rPr>
        <w:t xml:space="preserve"> דאף דבשעת הקריעה ניחא ליה מהמעשה דמקיים מצוה, מ"מ אחר שקיים את המצוה צ"ל דאין לו בזה ניחותא].</w:t>
      </w:r>
    </w:p>
    <w:p w14:paraId="7C6FBF10" w14:textId="77777777" w:rsidR="002748A5" w:rsidRPr="00747170" w:rsidRDefault="002748A5" w:rsidP="00747170">
      <w:pPr>
        <w:pStyle w:val="a2"/>
      </w:pPr>
      <w:r w:rsidRPr="00747170">
        <w:rPr>
          <w:rtl/>
        </w:rPr>
        <w:t>אלא היינו טעמא דאע"ג שמחמת שצריך לעפר מוכרח לחפור גומא מיהו לאחר מעשה אין לו הנאה מהגומא וגבי קורע למתו מדמה רש"י להמוציא את המת לקברו ר"ל דסובר רש"י דלצורך מצוה לא מקרי צריכה לגופו והטעם משום דאע"ג דניחא ליה בשעת מעשה לצורך מצוה מיהו לאחר מעשה אין לו הנאה מהקריעה</w:t>
      </w:r>
      <w:r w:rsidRPr="00747170">
        <w:rPr>
          <w:rFonts w:hint="cs"/>
          <w:rtl/>
        </w:rPr>
        <w:t>.</w:t>
      </w:r>
    </w:p>
    <w:p w14:paraId="6601D0E1" w14:textId="77777777" w:rsidR="002748A5" w:rsidRPr="003B63CB" w:rsidRDefault="002748A5" w:rsidP="002748A5">
      <w:pPr>
        <w:pStyle w:val="affff5"/>
        <w:rPr>
          <w:rtl/>
        </w:rPr>
      </w:pPr>
      <w:bookmarkStart w:id="3192" w:name="_Toc140074175"/>
      <w:bookmarkStart w:id="3193" w:name="_Toc140092024"/>
      <w:bookmarkStart w:id="3194" w:name="_Toc140144224"/>
      <w:bookmarkStart w:id="3195" w:name="_Toc140144455"/>
      <w:r w:rsidRPr="003B63CB">
        <w:rPr>
          <w:rFonts w:hint="cs"/>
          <w:rtl/>
        </w:rPr>
        <w:t>בד' רש"י במשאצל</w:t>
      </w:r>
      <w:r w:rsidRPr="003B63CB">
        <w:rPr>
          <w:rtl/>
        </w:rPr>
        <w:t>"</w:t>
      </w:r>
      <w:r w:rsidRPr="003B63CB">
        <w:rPr>
          <w:rFonts w:hint="cs"/>
          <w:rtl/>
        </w:rPr>
        <w:t>ג בחובל ומבעיר</w:t>
      </w:r>
      <w:bookmarkEnd w:id="3192"/>
      <w:bookmarkEnd w:id="3193"/>
      <w:bookmarkEnd w:id="3194"/>
      <w:bookmarkEnd w:id="3195"/>
    </w:p>
    <w:p w14:paraId="6EB7428B" w14:textId="77777777" w:rsidR="002748A5" w:rsidRPr="003B63CB" w:rsidRDefault="002748A5" w:rsidP="002748A5">
      <w:pPr>
        <w:pStyle w:val="1"/>
        <w:rPr>
          <w:rtl/>
        </w:rPr>
      </w:pPr>
      <w:bookmarkStart w:id="3196" w:name="_Toc140074176"/>
      <w:bookmarkStart w:id="3197" w:name="_Toc140092025"/>
      <w:bookmarkStart w:id="3198" w:name="_Toc140144225"/>
      <w:bookmarkStart w:id="3199" w:name="_Toc140144456"/>
      <w:r w:rsidRPr="003B63CB">
        <w:rPr>
          <w:rFonts w:hint="cs"/>
          <w:rtl/>
        </w:rPr>
        <w:t>בי' רש"י דמקור המח' במקלקל בחבורה היא דהוי משאצל"ג</w:t>
      </w:r>
      <w:bookmarkEnd w:id="3196"/>
      <w:bookmarkEnd w:id="3197"/>
      <w:bookmarkEnd w:id="3198"/>
      <w:bookmarkEnd w:id="3199"/>
    </w:p>
    <w:p w14:paraId="0780C38A" w14:textId="77777777" w:rsidR="002748A5" w:rsidRPr="00C12F78" w:rsidRDefault="002748A5" w:rsidP="002748A5">
      <w:pPr>
        <w:pStyle w:val="afffff7"/>
        <w:rPr>
          <w:rtl/>
        </w:rPr>
      </w:pPr>
      <w:bookmarkStart w:id="3200" w:name="_Toc140074262"/>
      <w:bookmarkStart w:id="3201" w:name="_Toc140144357"/>
      <w:bookmarkStart w:id="3202" w:name="_Toc140144833"/>
      <w:bookmarkStart w:id="3203" w:name="_Toc163505948"/>
      <w:r w:rsidRPr="00C12F78">
        <w:rPr>
          <w:rtl/>
        </w:rPr>
        <w:t>רש"י שבת ק"ו ע"א</w:t>
      </w:r>
      <w:r w:rsidRPr="00C12F78">
        <w:rPr>
          <w:rFonts w:hint="cs"/>
          <w:rtl/>
        </w:rPr>
        <w:t xml:space="preserve"> ד"ה מתני'</w:t>
      </w:r>
      <w:bookmarkEnd w:id="3200"/>
      <w:bookmarkEnd w:id="3201"/>
      <w:r w:rsidRPr="00C12F78">
        <w:rPr>
          <w:rtl/>
        </w:rPr>
        <w:t xml:space="preserve"> (ח)</w:t>
      </w:r>
      <w:bookmarkEnd w:id="3202"/>
      <w:bookmarkEnd w:id="3203"/>
    </w:p>
    <w:p w14:paraId="71DA2E1E" w14:textId="77777777" w:rsidR="002748A5" w:rsidRPr="003B63CB" w:rsidRDefault="002748A5" w:rsidP="002748A5">
      <w:pPr>
        <w:pStyle w:val="a7"/>
        <w:rPr>
          <w:rtl/>
        </w:rPr>
      </w:pPr>
      <w:bookmarkStart w:id="3204" w:name="_Toc140074177"/>
      <w:bookmarkStart w:id="3205" w:name="_Toc140092026"/>
      <w:bookmarkStart w:id="3206" w:name="_Toc140144226"/>
      <w:bookmarkStart w:id="3207" w:name="_Toc140144457"/>
      <w:r w:rsidRPr="003B63CB">
        <w:rPr>
          <w:rFonts w:hint="cs"/>
          <w:rtl/>
        </w:rPr>
        <w:t>בי' רש"י דמקור המח' במשאצל</w:t>
      </w:r>
      <w:r w:rsidRPr="003B63CB">
        <w:rPr>
          <w:rtl/>
        </w:rPr>
        <w:t>"</w:t>
      </w:r>
      <w:r w:rsidRPr="003B63CB">
        <w:rPr>
          <w:rFonts w:hint="cs"/>
          <w:rtl/>
        </w:rPr>
        <w:t>ג מדר"י מחייב בחובל וצריך לכלבו דמתקן במק"א אף דאצל"ג</w:t>
      </w:r>
      <w:bookmarkEnd w:id="3204"/>
      <w:bookmarkEnd w:id="3205"/>
      <w:bookmarkEnd w:id="3206"/>
      <w:bookmarkEnd w:id="3207"/>
    </w:p>
    <w:p w14:paraId="5A281C73" w14:textId="5B2D1ECB" w:rsidR="002748A5" w:rsidRPr="003B63CB" w:rsidRDefault="002748A5" w:rsidP="00BC7DC8">
      <w:pPr>
        <w:pStyle w:val="a3"/>
        <w:rPr>
          <w:rtl/>
        </w:rPr>
      </w:pPr>
      <w:bookmarkStart w:id="3208" w:name="_Hlk139367516"/>
      <w:bookmarkStart w:id="3209" w:name="_Ref139367325"/>
      <w:r w:rsidRPr="003B63CB">
        <w:rPr>
          <w:rFonts w:hint="cs"/>
          <w:rtl/>
        </w:rPr>
        <w:t xml:space="preserve">כתב </w:t>
      </w:r>
      <w:r w:rsidRPr="003B63CB">
        <w:rPr>
          <w:rFonts w:hint="cs"/>
          <w:vanish/>
          <w:rtl/>
        </w:rPr>
        <w:t xml:space="preserve">&lt;, </w:t>
      </w:r>
      <w:r w:rsidRPr="003B63CB">
        <w:rPr>
          <w:vanish/>
          <w:rtl/>
        </w:rPr>
        <w:fldChar w:fldCharType="begin"/>
      </w:r>
      <w:r w:rsidRPr="003B63CB">
        <w:rPr>
          <w:vanish/>
          <w:rtl/>
        </w:rPr>
        <w:instrText xml:space="preserve"> </w:instrText>
      </w:r>
      <w:r w:rsidRPr="003B63CB">
        <w:rPr>
          <w:rFonts w:hint="cs"/>
          <w:vanish/>
        </w:rPr>
        <w:instrText>REF</w:instrText>
      </w:r>
      <w:r w:rsidRPr="003B63CB">
        <w:rPr>
          <w:rFonts w:hint="cs"/>
          <w:vanish/>
          <w:rtl/>
        </w:rPr>
        <w:instrText xml:space="preserve"> _</w:instrText>
      </w:r>
      <w:r w:rsidRPr="003B63CB">
        <w:rPr>
          <w:rFonts w:hint="cs"/>
          <w:vanish/>
        </w:rPr>
        <w:instrText>Ref139367325 \r \h</w:instrText>
      </w:r>
      <w:r w:rsidRPr="003B63CB">
        <w:rPr>
          <w:vanish/>
          <w:rtl/>
        </w:rPr>
        <w:instrText xml:space="preserve">  \* </w:instrText>
      </w:r>
      <w:r w:rsidRPr="003B63CB">
        <w:rPr>
          <w:vanish/>
        </w:rPr>
        <w:instrText>MERGEFORMAT</w:instrText>
      </w:r>
      <w:r w:rsidRPr="003B63CB">
        <w:rPr>
          <w:vanish/>
          <w:rtl/>
        </w:rPr>
        <w:instrText xml:space="preserve"> </w:instrText>
      </w:r>
      <w:r w:rsidRPr="003B63CB">
        <w:rPr>
          <w:vanish/>
          <w:rtl/>
        </w:rPr>
      </w:r>
      <w:r w:rsidRPr="003B63CB">
        <w:rPr>
          <w:vanish/>
          <w:rtl/>
        </w:rPr>
        <w:fldChar w:fldCharType="separate"/>
      </w:r>
      <w:r w:rsidR="00D82181">
        <w:rPr>
          <w:vanish/>
          <w:cs/>
        </w:rPr>
        <w:t>‎</w:t>
      </w:r>
      <w:r w:rsidR="00D82181">
        <w:rPr>
          <w:vanish/>
          <w:rtl/>
        </w:rPr>
        <w:t>כח)</w:t>
      </w:r>
      <w:r w:rsidRPr="003B63CB">
        <w:rPr>
          <w:vanish/>
          <w:rtl/>
        </w:rPr>
        <w:fldChar w:fldCharType="end"/>
      </w:r>
      <w:r w:rsidRPr="003B63CB">
        <w:rPr>
          <w:rFonts w:hint="cs"/>
          <w:vanish/>
          <w:rtl/>
        </w:rPr>
        <w:t xml:space="preserve"> &gt;</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w:t>
      </w:r>
      <w:r w:rsidRPr="003B63CB">
        <w:rPr>
          <w:rStyle w:val="af2"/>
          <w:rFonts w:eastAsia="Guttman Hodes" w:hint="cs"/>
          <w:rtl/>
        </w:rPr>
        <w:t>(קו. ד"ה מתני')</w:t>
      </w:r>
      <w:r w:rsidRPr="003B63CB">
        <w:rPr>
          <w:rFonts w:hint="cs"/>
          <w:vanish/>
          <w:rtl/>
        </w:rPr>
        <w:t>=</w:t>
      </w:r>
      <w:r w:rsidRPr="003B63CB">
        <w:rPr>
          <w:rFonts w:hint="cs"/>
          <w:rtl/>
        </w:rPr>
        <w:t xml:space="preserve"> דלא איתפרש היכא ס"ל לר"י דמקלקל בחבורה פטור, וכתב </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דנראה דכיון דס"ל לר"י דמלאכה שאינה צריכה לגופה חייב, א"כ שייך חיוב בחובל וצריך לכלבו ומבעיר בצריך לאפרו, דאף דבדבר עצמו הוא מקלקל, מ"מ הוא מתקן בדבר אחר, ובזה ס"ל לר"י דהוי מלאכה כיון דמתקן במק"א, אבל בקלקול שאין בו תיקון פטור</w:t>
      </w:r>
      <w:bookmarkEnd w:id="3208"/>
      <w:r w:rsidRPr="003B63CB">
        <w:rPr>
          <w:rFonts w:hint="cs"/>
          <w:rtl/>
        </w:rPr>
        <w:t>.</w:t>
      </w:r>
      <w:bookmarkEnd w:id="3209"/>
    </w:p>
    <w:p w14:paraId="4FD842D1" w14:textId="77777777" w:rsidR="002748A5" w:rsidRPr="00747170" w:rsidRDefault="002748A5" w:rsidP="00747170">
      <w:pPr>
        <w:pStyle w:val="a2"/>
        <w:rPr>
          <w:rStyle w:val="afff7"/>
          <w:rtl/>
        </w:rPr>
      </w:pPr>
      <w:r w:rsidRPr="00747170">
        <w:rPr>
          <w:rtl/>
        </w:rPr>
        <w:t>מתניתין ר' יהודה - דאית ליה מקלקל בחבורה פטור, ולא איתפרש היכא, ולי נראה: מתניתין ר' יהודה היא, דאמר מלאכה שאינה צריכה לגופה חייב עליה, הלכך חיובא דחובל בצריך לכלבו, ומבעיר בצריך לאפרו משכחת לה, דאף על פי דמקלקל הוא אצל מלאכה עצמה - מתקן הוא אצל אחרים, ולר' יהודה כי האי גוונא מלאכה הוא, משום תקון אחרים, אבל מקלקל ואינו מתקן - פטור</w:t>
      </w:r>
      <w:r w:rsidRPr="00747170">
        <w:rPr>
          <w:rStyle w:val="afff7"/>
          <w:rtl/>
        </w:rPr>
        <w:t>, ואף על גב דרישא דמתניתין אוקימנא כר' שמעון, דקתני קורע על מתו פטור - סיפא ר' יהודה.</w:t>
      </w:r>
    </w:p>
    <w:p w14:paraId="36881A01" w14:textId="77777777" w:rsidR="002748A5" w:rsidRPr="00C12F78" w:rsidRDefault="002748A5" w:rsidP="002748A5">
      <w:pPr>
        <w:pStyle w:val="afffff7"/>
        <w:rPr>
          <w:rtl/>
        </w:rPr>
      </w:pPr>
      <w:bookmarkStart w:id="3210" w:name="_Toc140074263"/>
      <w:bookmarkStart w:id="3211" w:name="_Toc140144358"/>
      <w:bookmarkStart w:id="3212" w:name="_Toc140144834"/>
      <w:bookmarkStart w:id="3213" w:name="_Toc163505949"/>
      <w:r w:rsidRPr="00C12F78">
        <w:rPr>
          <w:rtl/>
        </w:rPr>
        <w:t>רש"י שבת ק"ו ע"א</w:t>
      </w:r>
      <w:r w:rsidRPr="00C12F78">
        <w:rPr>
          <w:rFonts w:hint="cs"/>
          <w:rtl/>
        </w:rPr>
        <w:t xml:space="preserve"> ד"ה ברייתא</w:t>
      </w:r>
      <w:bookmarkEnd w:id="3210"/>
      <w:bookmarkEnd w:id="3211"/>
      <w:r w:rsidRPr="00C12F78">
        <w:rPr>
          <w:rtl/>
        </w:rPr>
        <w:t xml:space="preserve"> (ח)</w:t>
      </w:r>
      <w:bookmarkEnd w:id="3212"/>
      <w:bookmarkEnd w:id="3213"/>
    </w:p>
    <w:p w14:paraId="1E5A562E" w14:textId="77777777" w:rsidR="002748A5" w:rsidRPr="003B63CB" w:rsidRDefault="002748A5" w:rsidP="002748A5">
      <w:pPr>
        <w:pStyle w:val="a7"/>
        <w:rPr>
          <w:rtl/>
        </w:rPr>
      </w:pPr>
      <w:bookmarkStart w:id="3214" w:name="_Toc140074178"/>
      <w:bookmarkStart w:id="3215" w:name="_Toc140092027"/>
      <w:bookmarkStart w:id="3216" w:name="_Toc140144227"/>
      <w:bookmarkStart w:id="3217" w:name="_Toc140144458"/>
      <w:r w:rsidRPr="003B63CB">
        <w:rPr>
          <w:rFonts w:hint="cs"/>
          <w:rtl/>
        </w:rPr>
        <w:t>בי' רש"י דלר"ש חובל וצריך לכלבו ל"ה תיקון דהוא בדבר אחר ולכן משאצל</w:t>
      </w:r>
      <w:r w:rsidRPr="003B63CB">
        <w:rPr>
          <w:rtl/>
        </w:rPr>
        <w:t>"</w:t>
      </w:r>
      <w:r w:rsidRPr="003B63CB">
        <w:rPr>
          <w:rFonts w:hint="cs"/>
          <w:rtl/>
        </w:rPr>
        <w:t>ג פטור</w:t>
      </w:r>
      <w:bookmarkEnd w:id="3214"/>
      <w:bookmarkEnd w:id="3215"/>
      <w:bookmarkEnd w:id="3216"/>
      <w:bookmarkEnd w:id="3217"/>
    </w:p>
    <w:p w14:paraId="0AA8F6EF" w14:textId="39245C18" w:rsidR="002748A5" w:rsidRPr="003B63CB" w:rsidRDefault="002748A5" w:rsidP="00BC7DC8">
      <w:pPr>
        <w:pStyle w:val="a3"/>
      </w:pPr>
      <w:bookmarkStart w:id="3218" w:name="_Ref139367336"/>
      <w:r w:rsidRPr="003B63CB">
        <w:rPr>
          <w:rFonts w:hint="cs"/>
          <w:rtl/>
        </w:rPr>
        <w:t xml:space="preserve">ובהא דאמרינן דהברייתא דמחייבת מקלקל בחובל ומבעיר, היא כר"ש, ביאר </w:t>
      </w:r>
      <w:bookmarkStart w:id="3219" w:name="_Hlk139367630"/>
      <w:r w:rsidRPr="003B63CB">
        <w:rPr>
          <w:rFonts w:hint="cs"/>
          <w:vanish/>
          <w:rtl/>
        </w:rPr>
        <w:t xml:space="preserve">&lt;, </w:t>
      </w:r>
      <w:r w:rsidRPr="003B63CB">
        <w:rPr>
          <w:vanish/>
          <w:rtl/>
        </w:rPr>
        <w:fldChar w:fldCharType="begin"/>
      </w:r>
      <w:r w:rsidRPr="003B63CB">
        <w:rPr>
          <w:vanish/>
          <w:rtl/>
        </w:rPr>
        <w:instrText xml:space="preserve"> </w:instrText>
      </w:r>
      <w:r w:rsidRPr="003B63CB">
        <w:rPr>
          <w:rFonts w:hint="cs"/>
          <w:vanish/>
        </w:rPr>
        <w:instrText>REF</w:instrText>
      </w:r>
      <w:r w:rsidRPr="003B63CB">
        <w:rPr>
          <w:rFonts w:hint="cs"/>
          <w:vanish/>
          <w:rtl/>
        </w:rPr>
        <w:instrText xml:space="preserve"> _</w:instrText>
      </w:r>
      <w:r w:rsidRPr="003B63CB">
        <w:rPr>
          <w:rFonts w:hint="cs"/>
          <w:vanish/>
        </w:rPr>
        <w:instrText>Ref139367336 \r \h</w:instrText>
      </w:r>
      <w:r w:rsidRPr="003B63CB">
        <w:rPr>
          <w:vanish/>
          <w:rtl/>
        </w:rPr>
        <w:instrText xml:space="preserve">  \* </w:instrText>
      </w:r>
      <w:r w:rsidRPr="003B63CB">
        <w:rPr>
          <w:vanish/>
        </w:rPr>
        <w:instrText>MERGEFORMAT</w:instrText>
      </w:r>
      <w:r w:rsidRPr="003B63CB">
        <w:rPr>
          <w:vanish/>
          <w:rtl/>
        </w:rPr>
        <w:instrText xml:space="preserve"> </w:instrText>
      </w:r>
      <w:r w:rsidRPr="003B63CB">
        <w:rPr>
          <w:vanish/>
          <w:rtl/>
        </w:rPr>
      </w:r>
      <w:r w:rsidRPr="003B63CB">
        <w:rPr>
          <w:vanish/>
          <w:rtl/>
        </w:rPr>
        <w:fldChar w:fldCharType="separate"/>
      </w:r>
      <w:r w:rsidR="00D82181">
        <w:rPr>
          <w:vanish/>
          <w:cs/>
        </w:rPr>
        <w:t>‎</w:t>
      </w:r>
      <w:r w:rsidR="00D82181">
        <w:rPr>
          <w:vanish/>
          <w:rtl/>
        </w:rPr>
        <w:t>כט)</w:t>
      </w:r>
      <w:r w:rsidRPr="003B63CB">
        <w:rPr>
          <w:vanish/>
          <w:rtl/>
        </w:rPr>
        <w:fldChar w:fldCharType="end"/>
      </w:r>
      <w:r w:rsidRPr="003B63CB">
        <w:rPr>
          <w:rFonts w:hint="cs"/>
          <w:vanish/>
          <w:rtl/>
        </w:rPr>
        <w:t xml:space="preserve"> &gt;</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w:t>
      </w:r>
      <w:r w:rsidRPr="003B63CB">
        <w:rPr>
          <w:rStyle w:val="af2"/>
          <w:rFonts w:eastAsia="Guttman Hodes" w:hint="cs"/>
          <w:rtl/>
        </w:rPr>
        <w:t>(קו. ד"ה וברייתא)</w:t>
      </w:r>
      <w:r w:rsidRPr="003B63CB">
        <w:rPr>
          <w:rFonts w:hint="cs"/>
          <w:vanish/>
          <w:rtl/>
        </w:rPr>
        <w:t>=</w:t>
      </w:r>
      <w:r w:rsidRPr="003B63CB">
        <w:rPr>
          <w:rFonts w:hint="cs"/>
          <w:rtl/>
        </w:rPr>
        <w:t xml:space="preserve"> דס"ל דמלאכה שאינה צריכה לגופה פטור ולכן כל חובל ומבעיר הוא מקלקל, ואף כשמבעיר עצים לבשל הוא מקלקל לגבי העצים, והתיקון בדבר אחר לא חשיב תיקון לר"ש, כיון שהוא מלאכה שאינה צריכה לגופה, ומהא דחייבה תורה בחובל </w:t>
      </w:r>
      <w:r w:rsidRPr="003B63CB">
        <w:rPr>
          <w:rFonts w:hint="cs"/>
          <w:rtl/>
        </w:rPr>
        <w:lastRenderedPageBreak/>
        <w:t>ומבעיר, מוכח דמקלקל בחובל ומבעיר חייב</w:t>
      </w:r>
      <w:bookmarkEnd w:id="3219"/>
      <w:r w:rsidRPr="003B63CB">
        <w:rPr>
          <w:rFonts w:hint="cs"/>
          <w:rtl/>
        </w:rPr>
        <w:t xml:space="preserve">, כדילפינן בהמשך הגמ' לקמן </w:t>
      </w:r>
      <w:r w:rsidRPr="003B63CB">
        <w:rPr>
          <w:rStyle w:val="af2"/>
          <w:rFonts w:eastAsia="Guttman Hodes" w:hint="cs"/>
          <w:rtl/>
        </w:rPr>
        <w:t>(קו.)</w:t>
      </w:r>
      <w:r w:rsidRPr="003B63CB">
        <w:rPr>
          <w:rFonts w:hint="cs"/>
          <w:rtl/>
        </w:rPr>
        <w:t>.</w:t>
      </w:r>
      <w:bookmarkEnd w:id="3218"/>
    </w:p>
    <w:p w14:paraId="0F15E899" w14:textId="77777777" w:rsidR="002748A5" w:rsidRPr="00747170" w:rsidRDefault="002748A5" w:rsidP="00747170">
      <w:pPr>
        <w:pStyle w:val="a2"/>
        <w:rPr>
          <w:rtl/>
        </w:rPr>
      </w:pPr>
      <w:r w:rsidRPr="00747170">
        <w:rPr>
          <w:rtl/>
        </w:rPr>
        <w:t>וברייתא ר' שמעון היא - דאמר מלאכה שאינה צריכה לגופה פטור עליה, הלכך אין לך חובל ומבעיר שאין מקלקל, ואפילו מבעיר עצים לקדרתו מקלקל הוא אצל עצים, ומה שהוא מתקן אצל אחרים - לר' שמעון לא חשיב, דהא מלאכה שאינה צריכה לגופה היא, אלא משום דמקלקל בחבלה ובהבערה חייב, כדיליף לקמיה.</w:t>
      </w:r>
    </w:p>
    <w:p w14:paraId="5688EAC8" w14:textId="77777777" w:rsidR="002748A5" w:rsidRPr="00C12F78" w:rsidRDefault="002748A5" w:rsidP="002748A5">
      <w:pPr>
        <w:pStyle w:val="afffff7"/>
        <w:rPr>
          <w:rtl/>
        </w:rPr>
      </w:pPr>
      <w:bookmarkStart w:id="3220" w:name="_Toc139881743"/>
      <w:bookmarkStart w:id="3221" w:name="_Toc140074264"/>
      <w:bookmarkStart w:id="3222" w:name="_Toc140144359"/>
      <w:bookmarkStart w:id="3223" w:name="_Toc140144835"/>
      <w:bookmarkStart w:id="3224" w:name="_Toc163505950"/>
      <w:r w:rsidRPr="00C12F78">
        <w:rPr>
          <w:rtl/>
        </w:rPr>
        <w:t>רש"י שבת ק"ו ע"א</w:t>
      </w:r>
      <w:r w:rsidRPr="00C12F78">
        <w:rPr>
          <w:rFonts w:hint="cs"/>
          <w:rtl/>
        </w:rPr>
        <w:t xml:space="preserve"> ד"ה בצריך</w:t>
      </w:r>
      <w:bookmarkEnd w:id="3220"/>
      <w:bookmarkEnd w:id="3221"/>
      <w:bookmarkEnd w:id="3222"/>
      <w:r w:rsidRPr="00C12F78">
        <w:rPr>
          <w:rtl/>
        </w:rPr>
        <w:t xml:space="preserve"> (ח)</w:t>
      </w:r>
      <w:bookmarkEnd w:id="3223"/>
      <w:bookmarkEnd w:id="3224"/>
    </w:p>
    <w:p w14:paraId="5DA3D325" w14:textId="77777777" w:rsidR="002748A5" w:rsidRPr="003B63CB" w:rsidRDefault="002748A5" w:rsidP="002748A5">
      <w:pPr>
        <w:pStyle w:val="a7"/>
        <w:rPr>
          <w:rtl/>
        </w:rPr>
      </w:pPr>
      <w:bookmarkStart w:id="3225" w:name="_Toc140074179"/>
      <w:bookmarkStart w:id="3226" w:name="_Toc140092028"/>
      <w:bookmarkStart w:id="3227" w:name="_Toc140144228"/>
      <w:bookmarkStart w:id="3228" w:name="_Toc140144459"/>
      <w:r w:rsidRPr="003B63CB">
        <w:rPr>
          <w:rFonts w:hint="cs"/>
          <w:rtl/>
        </w:rPr>
        <w:t>בי' רש"י דחובל וצריך לכלבו אף דהוא מקלקל לגבי האדם שחבל בו חשיב תיקון לגבי הכלב</w:t>
      </w:r>
      <w:bookmarkEnd w:id="3225"/>
      <w:bookmarkEnd w:id="3226"/>
      <w:bookmarkEnd w:id="3227"/>
      <w:bookmarkEnd w:id="3228"/>
    </w:p>
    <w:p w14:paraId="70E82022" w14:textId="31777F74" w:rsidR="002748A5" w:rsidRPr="003B63CB" w:rsidRDefault="002748A5" w:rsidP="00BC7DC8">
      <w:pPr>
        <w:pStyle w:val="a3"/>
        <w:rPr>
          <w:rtl/>
        </w:rPr>
      </w:pPr>
      <w:bookmarkStart w:id="3229" w:name="_Ref139384700"/>
      <w:r w:rsidRPr="003B63CB">
        <w:rPr>
          <w:rFonts w:hint="cs"/>
          <w:rtl/>
        </w:rPr>
        <w:t xml:space="preserve">וכתב </w:t>
      </w:r>
      <w:r w:rsidRPr="003B63CB">
        <w:rPr>
          <w:rFonts w:hint="cs"/>
          <w:vanish/>
          <w:rtl/>
        </w:rPr>
        <w:t xml:space="preserve">&lt;, </w:t>
      </w:r>
      <w:bookmarkStart w:id="3230" w:name="_Hlk139384875"/>
      <w:r w:rsidRPr="003B63CB">
        <w:rPr>
          <w:vanish/>
          <w:rtl/>
        </w:rPr>
        <w:fldChar w:fldCharType="begin"/>
      </w:r>
      <w:r w:rsidRPr="003B63CB">
        <w:rPr>
          <w:vanish/>
          <w:rtl/>
        </w:rPr>
        <w:instrText xml:space="preserve"> </w:instrText>
      </w:r>
      <w:r w:rsidRPr="003B63CB">
        <w:rPr>
          <w:rFonts w:hint="cs"/>
          <w:vanish/>
        </w:rPr>
        <w:instrText>REF</w:instrText>
      </w:r>
      <w:r w:rsidRPr="003B63CB">
        <w:rPr>
          <w:rFonts w:hint="cs"/>
          <w:vanish/>
          <w:rtl/>
        </w:rPr>
        <w:instrText xml:space="preserve"> _</w:instrText>
      </w:r>
      <w:r w:rsidRPr="003B63CB">
        <w:rPr>
          <w:rFonts w:hint="cs"/>
          <w:vanish/>
        </w:rPr>
        <w:instrText>Ref139384700 \r \h</w:instrText>
      </w:r>
      <w:r w:rsidRPr="003B63CB">
        <w:rPr>
          <w:vanish/>
          <w:rtl/>
        </w:rPr>
        <w:instrText xml:space="preserve">  \* </w:instrText>
      </w:r>
      <w:r w:rsidRPr="003B63CB">
        <w:rPr>
          <w:vanish/>
        </w:rPr>
        <w:instrText>MERGEFORMAT</w:instrText>
      </w:r>
      <w:r w:rsidRPr="003B63CB">
        <w:rPr>
          <w:vanish/>
          <w:rtl/>
        </w:rPr>
        <w:instrText xml:space="preserve"> </w:instrText>
      </w:r>
      <w:r w:rsidRPr="003B63CB">
        <w:rPr>
          <w:vanish/>
          <w:rtl/>
        </w:rPr>
      </w:r>
      <w:r w:rsidRPr="003B63CB">
        <w:rPr>
          <w:vanish/>
          <w:rtl/>
        </w:rPr>
        <w:fldChar w:fldCharType="separate"/>
      </w:r>
      <w:r w:rsidR="00D82181">
        <w:rPr>
          <w:vanish/>
          <w:cs/>
        </w:rPr>
        <w:t>‎</w:t>
      </w:r>
      <w:r w:rsidR="00D82181">
        <w:rPr>
          <w:vanish/>
          <w:rtl/>
        </w:rPr>
        <w:t>ל)</w:t>
      </w:r>
      <w:r w:rsidRPr="003B63CB">
        <w:rPr>
          <w:vanish/>
          <w:rtl/>
        </w:rPr>
        <w:fldChar w:fldCharType="end"/>
      </w:r>
      <w:r w:rsidRPr="003B63CB">
        <w:rPr>
          <w:rFonts w:hint="cs"/>
          <w:vanish/>
          <w:rtl/>
        </w:rPr>
        <w:t xml:space="preserve"> &gt;</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w:t>
      </w:r>
      <w:r w:rsidRPr="003B63CB">
        <w:rPr>
          <w:rStyle w:val="af2"/>
          <w:rFonts w:eastAsia="Guttman Hodes" w:hint="cs"/>
          <w:rtl/>
        </w:rPr>
        <w:t>(קו. ד"ה  בצריך)</w:t>
      </w:r>
      <w:bookmarkEnd w:id="3230"/>
      <w:r w:rsidRPr="003B63CB">
        <w:rPr>
          <w:rFonts w:hint="cs"/>
          <w:vanish/>
          <w:rtl/>
        </w:rPr>
        <w:t>=</w:t>
      </w:r>
      <w:r w:rsidRPr="003B63CB">
        <w:rPr>
          <w:rFonts w:hint="cs"/>
          <w:rtl/>
        </w:rPr>
        <w:t xml:space="preserve"> דחובל וצריך את הדם שיוצא מהחבלה לכלבו, אף שהוא מקלקל לגבי האדם שחובל בו, הוא מתקן לגבי הכלב ולכן חייב.</w:t>
      </w:r>
      <w:bookmarkEnd w:id="3229"/>
    </w:p>
    <w:p w14:paraId="1425B58F" w14:textId="77777777" w:rsidR="002748A5" w:rsidRPr="00747170" w:rsidRDefault="002748A5" w:rsidP="00747170">
      <w:pPr>
        <w:pStyle w:val="a2"/>
        <w:rPr>
          <w:rtl/>
        </w:rPr>
      </w:pPr>
      <w:r w:rsidRPr="00747170">
        <w:rPr>
          <w:rtl/>
        </w:rPr>
        <w:t>בצריך - לדם היוצא מן החבלה לכלבו, ואם מקלקל הוא אצל נחבל - מתקן הוא אצל הכלב.</w:t>
      </w:r>
    </w:p>
    <w:p w14:paraId="05B2F682" w14:textId="77777777" w:rsidR="002748A5" w:rsidRPr="00C12F78" w:rsidRDefault="002748A5" w:rsidP="002748A5">
      <w:pPr>
        <w:pStyle w:val="afffff7"/>
        <w:rPr>
          <w:rStyle w:val="aff4"/>
          <w:rtl/>
        </w:rPr>
      </w:pPr>
      <w:bookmarkStart w:id="3231" w:name="_Toc140074265"/>
      <w:bookmarkStart w:id="3232" w:name="_Toc140144360"/>
      <w:bookmarkStart w:id="3233" w:name="_Toc140144836"/>
      <w:bookmarkStart w:id="3234" w:name="_Toc163505951"/>
      <w:r w:rsidRPr="00C12F78">
        <w:rPr>
          <w:rtl/>
        </w:rPr>
        <w:t>חדושי הרמב"ן שבת ק"ו ע"א</w:t>
      </w:r>
      <w:r w:rsidRPr="00C12F78">
        <w:rPr>
          <w:rFonts w:hint="cs"/>
          <w:rtl/>
        </w:rPr>
        <w:t xml:space="preserve"> ד"ה כל</w:t>
      </w:r>
      <w:bookmarkEnd w:id="3231"/>
      <w:bookmarkEnd w:id="3232"/>
      <w:r w:rsidRPr="00C12F78">
        <w:rPr>
          <w:rStyle w:val="aff4"/>
          <w:rFonts w:hint="cs"/>
          <w:rtl/>
        </w:rPr>
        <w:t xml:space="preserve"> </w:t>
      </w:r>
      <w:r w:rsidRPr="00C12F78">
        <w:rPr>
          <w:rStyle w:val="aff4"/>
          <w:rtl/>
        </w:rPr>
        <w:t xml:space="preserve"> (ח)</w:t>
      </w:r>
      <w:bookmarkEnd w:id="3233"/>
      <w:bookmarkEnd w:id="3234"/>
    </w:p>
    <w:p w14:paraId="3DA79E9C" w14:textId="77777777" w:rsidR="002748A5" w:rsidRPr="003B63CB" w:rsidRDefault="002748A5" w:rsidP="002748A5">
      <w:pPr>
        <w:pStyle w:val="a7"/>
        <w:rPr>
          <w:rtl/>
        </w:rPr>
      </w:pPr>
      <w:bookmarkStart w:id="3235" w:name="_Toc140074180"/>
      <w:bookmarkStart w:id="3236" w:name="_Toc140092029"/>
      <w:bookmarkStart w:id="3237" w:name="_Toc140144229"/>
      <w:bookmarkStart w:id="3238" w:name="_Toc140144460"/>
      <w:r w:rsidRPr="003B63CB">
        <w:rPr>
          <w:rFonts w:hint="cs"/>
          <w:rtl/>
        </w:rPr>
        <w:t>בי' הרמב"ן ברש"י דבמילה מוכח בגמ' דהוי מלאכה אף דמקלקל ובי' הר"ן דל"ה תיקון בגופו</w:t>
      </w:r>
      <w:bookmarkEnd w:id="3235"/>
      <w:bookmarkEnd w:id="3236"/>
      <w:bookmarkEnd w:id="3237"/>
      <w:bookmarkEnd w:id="3238"/>
    </w:p>
    <w:p w14:paraId="627CA827" w14:textId="40AE2A11" w:rsidR="002748A5" w:rsidRPr="003B63CB" w:rsidRDefault="002748A5" w:rsidP="00BC7DC8">
      <w:pPr>
        <w:pStyle w:val="a3"/>
        <w:rPr>
          <w:rtl/>
        </w:rPr>
      </w:pPr>
      <w:bookmarkStart w:id="3239" w:name="_Hlk139382770"/>
      <w:bookmarkStart w:id="3240" w:name="_Ref139489021"/>
      <w:r w:rsidRPr="003B63CB">
        <w:rPr>
          <w:rFonts w:hint="cs"/>
          <w:rtl/>
        </w:rPr>
        <w:t xml:space="preserve">במ"ש </w:t>
      </w:r>
      <w:r w:rsidRPr="003B63CB">
        <w:rPr>
          <w:rStyle w:val="aff4"/>
          <w:rFonts w:hint="cs"/>
          <w:vanish/>
          <w:rtl/>
        </w:rPr>
        <w:t>-</w:t>
      </w:r>
      <w:r w:rsidRPr="003B63CB">
        <w:rPr>
          <w:rFonts w:hint="cs"/>
          <w:rtl/>
        </w:rPr>
        <w:t xml:space="preserve"> </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w:t>
      </w:r>
      <w:r w:rsidRPr="003B63CB">
        <w:rPr>
          <w:rStyle w:val="af2"/>
          <w:rFonts w:eastAsia="Guttman Hodes" w:hint="cs"/>
          <w:rtl/>
        </w:rPr>
        <w:t xml:space="preserve">(עי' אות </w:t>
      </w:r>
      <w:r w:rsidRPr="003B63CB">
        <w:rPr>
          <w:rStyle w:val="af2"/>
          <w:rFonts w:eastAsia="Guttman Hodes"/>
          <w:rtl/>
        </w:rPr>
        <w:fldChar w:fldCharType="begin"/>
      </w:r>
      <w:r w:rsidRPr="003B63CB">
        <w:rPr>
          <w:rStyle w:val="af2"/>
          <w:rFonts w:eastAsia="Guttman Hodes"/>
          <w:rtl/>
        </w:rPr>
        <w:instrText xml:space="preserve"> </w:instrText>
      </w:r>
      <w:r w:rsidRPr="003B63CB">
        <w:rPr>
          <w:rStyle w:val="af2"/>
          <w:rFonts w:eastAsia="Guttman Hodes" w:hint="cs"/>
        </w:rPr>
        <w:instrText>REF</w:instrText>
      </w:r>
      <w:r w:rsidRPr="003B63CB">
        <w:rPr>
          <w:rStyle w:val="af2"/>
          <w:rFonts w:eastAsia="Guttman Hodes" w:hint="cs"/>
          <w:rtl/>
        </w:rPr>
        <w:instrText xml:space="preserve"> _</w:instrText>
      </w:r>
      <w:r w:rsidRPr="003B63CB">
        <w:rPr>
          <w:rStyle w:val="af2"/>
          <w:rFonts w:eastAsia="Guttman Hodes" w:hint="cs"/>
        </w:rPr>
        <w:instrText>Ref139367336 \r \h</w:instrText>
      </w:r>
      <w:r w:rsidRPr="003B63CB">
        <w:rPr>
          <w:rStyle w:val="af2"/>
          <w:rFonts w:eastAsia="Guttman Hodes"/>
          <w:rtl/>
        </w:rPr>
        <w:instrText xml:space="preserve">  \* </w:instrText>
      </w:r>
      <w:r w:rsidRPr="003B63CB">
        <w:rPr>
          <w:rStyle w:val="af2"/>
          <w:rFonts w:eastAsia="Guttman Hodes"/>
        </w:rPr>
        <w:instrText>MERGEFORMAT</w:instrText>
      </w:r>
      <w:r w:rsidRPr="003B63CB">
        <w:rPr>
          <w:rStyle w:val="af2"/>
          <w:rFonts w:eastAsia="Guttman Hodes"/>
          <w:rtl/>
        </w:rPr>
        <w:instrText xml:space="preserve"> </w:instrText>
      </w:r>
      <w:r w:rsidRPr="003B63CB">
        <w:rPr>
          <w:rStyle w:val="af2"/>
          <w:rFonts w:eastAsia="Guttman Hodes"/>
          <w:rtl/>
        </w:rPr>
      </w:r>
      <w:r w:rsidRPr="003B63CB">
        <w:rPr>
          <w:rStyle w:val="af2"/>
          <w:rFonts w:eastAsia="Guttman Hodes"/>
          <w:rtl/>
        </w:rPr>
        <w:fldChar w:fldCharType="separate"/>
      </w:r>
      <w:r w:rsidR="00D82181">
        <w:rPr>
          <w:rStyle w:val="af2"/>
          <w:rFonts w:eastAsia="Guttman Hodes"/>
          <w:cs/>
        </w:rPr>
        <w:t>‎</w:t>
      </w:r>
      <w:r w:rsidR="00D82181">
        <w:rPr>
          <w:rStyle w:val="af2"/>
          <w:rFonts w:eastAsia="Guttman Hodes"/>
          <w:rtl/>
        </w:rPr>
        <w:t>כט)</w:t>
      </w:r>
      <w:r w:rsidRPr="003B63CB">
        <w:rPr>
          <w:rStyle w:val="af2"/>
          <w:rFonts w:eastAsia="Guttman Hodes"/>
          <w:rtl/>
        </w:rPr>
        <w:fldChar w:fldCharType="end"/>
      </w:r>
      <w:r w:rsidRPr="003B63CB">
        <w:rPr>
          <w:rFonts w:hint="cs"/>
          <w:rtl/>
        </w:rPr>
        <w:t xml:space="preserve"> דלר"ש כיון דפוטר במלאכה שאינה צריכה לגופה, א"כ כל חובל ומבעיר הוא מקלקל, דתיקון בדבר אחר לא מחייב, ומהא דחייבה תורה בחובל ומבעיר, מוכח דחידשה תורה במקלקל בחובל ומבעיר דחייב, </w:t>
      </w:r>
      <w:bookmarkEnd w:id="3239"/>
      <w:r w:rsidRPr="003B63CB">
        <w:rPr>
          <w:rFonts w:hint="cs"/>
          <w:rtl/>
        </w:rPr>
        <w:t xml:space="preserve">כתב </w:t>
      </w:r>
      <w:r w:rsidRPr="003B63CB">
        <w:rPr>
          <w:rStyle w:val="aff4"/>
          <w:rFonts w:hint="cs"/>
          <w:vanish/>
          <w:rtl/>
        </w:rPr>
        <w:t>-</w:t>
      </w:r>
      <w:r w:rsidRPr="003B63CB">
        <w:rPr>
          <w:rStyle w:val="aff4"/>
          <w:rFonts w:hint="cs"/>
          <w:rtl/>
        </w:rPr>
        <w:t>ה</w:t>
      </w:r>
      <w:r w:rsidRPr="003B63CB">
        <w:rPr>
          <w:rStyle w:val="aff4"/>
          <w:rFonts w:hint="cs"/>
          <w:vanish/>
          <w:rtl/>
        </w:rPr>
        <w:t xml:space="preserve">&lt;, </w:t>
      </w:r>
      <w:r w:rsidRPr="003B63CB">
        <w:rPr>
          <w:rStyle w:val="aff4"/>
          <w:vanish/>
          <w:rtl/>
        </w:rPr>
        <w:fldChar w:fldCharType="begin"/>
      </w:r>
      <w:r w:rsidRPr="003B63CB">
        <w:rPr>
          <w:rStyle w:val="aff4"/>
          <w:vanish/>
          <w:rtl/>
        </w:rPr>
        <w:instrText xml:space="preserve"> </w:instrText>
      </w:r>
      <w:r w:rsidRPr="003B63CB">
        <w:rPr>
          <w:rStyle w:val="aff4"/>
          <w:rFonts w:hint="cs"/>
          <w:vanish/>
        </w:rPr>
        <w:instrText>REF</w:instrText>
      </w:r>
      <w:r w:rsidRPr="003B63CB">
        <w:rPr>
          <w:rStyle w:val="aff4"/>
          <w:rFonts w:hint="cs"/>
          <w:vanish/>
          <w:rtl/>
        </w:rPr>
        <w:instrText xml:space="preserve"> _</w:instrText>
      </w:r>
      <w:r w:rsidRPr="003B63CB">
        <w:rPr>
          <w:rStyle w:val="aff4"/>
          <w:rFonts w:hint="cs"/>
          <w:vanish/>
        </w:rPr>
        <w:instrText>Ref139489021 \r \h</w:instrText>
      </w:r>
      <w:r w:rsidRPr="003B63CB">
        <w:rPr>
          <w:rStyle w:val="aff4"/>
          <w:vanish/>
          <w:rtl/>
        </w:rPr>
        <w:instrText xml:space="preserve">  \* </w:instrText>
      </w:r>
      <w:r w:rsidRPr="003B63CB">
        <w:rPr>
          <w:rStyle w:val="aff4"/>
          <w:vanish/>
        </w:rPr>
        <w:instrText>MERGEFORMAT</w:instrText>
      </w:r>
      <w:r w:rsidRPr="003B63CB">
        <w:rPr>
          <w:rStyle w:val="aff4"/>
          <w:vanish/>
          <w:rtl/>
        </w:rPr>
        <w:instrText xml:space="preserve"> </w:instrText>
      </w:r>
      <w:r w:rsidRPr="003B63CB">
        <w:rPr>
          <w:rStyle w:val="aff4"/>
          <w:vanish/>
          <w:rtl/>
        </w:rPr>
      </w:r>
      <w:r w:rsidRPr="003B63CB">
        <w:rPr>
          <w:rStyle w:val="aff4"/>
          <w:vanish/>
          <w:rtl/>
        </w:rPr>
        <w:fldChar w:fldCharType="separate"/>
      </w:r>
      <w:r w:rsidR="00D82181">
        <w:rPr>
          <w:rStyle w:val="aff4"/>
          <w:vanish/>
          <w:cs/>
        </w:rPr>
        <w:t>‎</w:t>
      </w:r>
      <w:r w:rsidR="00D82181">
        <w:rPr>
          <w:rStyle w:val="aff4"/>
          <w:vanish/>
          <w:rtl/>
        </w:rPr>
        <w:t>לא)</w:t>
      </w:r>
      <w:r w:rsidRPr="003B63CB">
        <w:rPr>
          <w:rStyle w:val="aff4"/>
          <w:vanish/>
          <w:rtl/>
        </w:rPr>
        <w:fldChar w:fldCharType="end"/>
      </w:r>
      <w:r w:rsidRPr="003B63CB">
        <w:rPr>
          <w:rStyle w:val="aff4"/>
          <w:rFonts w:hint="cs"/>
          <w:vanish/>
          <w:rtl/>
        </w:rPr>
        <w:t xml:space="preserve"> &gt;</w:t>
      </w:r>
      <w:r w:rsidRPr="003B63CB">
        <w:rPr>
          <w:rStyle w:val="aff4"/>
          <w:rFonts w:hint="cs"/>
          <w:rtl/>
        </w:rPr>
        <w:t>רמב"ן</w:t>
      </w:r>
      <w:r w:rsidRPr="003B63CB">
        <w:rPr>
          <w:rStyle w:val="aff4"/>
          <w:rFonts w:hint="cs"/>
          <w:vanish/>
          <w:rtl/>
        </w:rPr>
        <w:t>-</w:t>
      </w:r>
      <w:r w:rsidRPr="003B63CB">
        <w:rPr>
          <w:rFonts w:hint="cs"/>
          <w:rtl/>
        </w:rPr>
        <w:t xml:space="preserve"> </w:t>
      </w:r>
      <w:r w:rsidRPr="003B63CB">
        <w:rPr>
          <w:rStyle w:val="af2"/>
          <w:rFonts w:eastAsia="Guttman Hodes" w:hint="cs"/>
          <w:rtl/>
        </w:rPr>
        <w:t>(קו. ד"ה כל)</w:t>
      </w:r>
      <w:r w:rsidRPr="003B63CB">
        <w:rPr>
          <w:rFonts w:hint="cs"/>
          <w:vanish/>
          <w:rtl/>
        </w:rPr>
        <w:t>=</w:t>
      </w:r>
      <w:r w:rsidRPr="003B63CB">
        <w:rPr>
          <w:rFonts w:hint="cs"/>
          <w:rtl/>
        </w:rPr>
        <w:t xml:space="preserve"> דה"ה בחובל דמדהתירה תורה מילה מוכח דהוי מלאכה אעפ"י דהוא מקלקל, וזהו הביאור בהמשך הגמ' לקמן </w:t>
      </w:r>
      <w:r w:rsidRPr="003B63CB">
        <w:rPr>
          <w:rStyle w:val="af2"/>
          <w:rFonts w:eastAsia="Guttman Hodes" w:hint="cs"/>
          <w:rtl/>
        </w:rPr>
        <w:t>(קו.)</w:t>
      </w:r>
      <w:r w:rsidRPr="003B63CB">
        <w:rPr>
          <w:rFonts w:hint="cs"/>
          <w:rtl/>
        </w:rPr>
        <w:t xml:space="preserve"> דר"ש מחייב מהיתר מילה ושריפת בת כהן, והיינו דמזה ילפינן דנחלקו במקלקל בחובל ומבעיר, והוסיף </w:t>
      </w:r>
      <w:r w:rsidRPr="003B63CB">
        <w:rPr>
          <w:rStyle w:val="aff4"/>
          <w:rFonts w:hint="cs"/>
          <w:vanish/>
          <w:rtl/>
        </w:rPr>
        <w:t>-</w:t>
      </w:r>
      <w:r w:rsidRPr="003B63CB">
        <w:rPr>
          <w:rStyle w:val="aff4"/>
          <w:rFonts w:hint="cs"/>
          <w:rtl/>
        </w:rPr>
        <w:t>ה</w:t>
      </w:r>
      <w:r w:rsidRPr="003B63CB">
        <w:rPr>
          <w:rStyle w:val="aff4"/>
          <w:rFonts w:hint="cs"/>
          <w:vanish/>
          <w:rtl/>
        </w:rPr>
        <w:t>&lt; &gt;</w:t>
      </w:r>
      <w:r w:rsidRPr="003B63CB">
        <w:rPr>
          <w:rStyle w:val="aff4"/>
          <w:rFonts w:hint="cs"/>
          <w:rtl/>
        </w:rPr>
        <w:t>ר"ן</w:t>
      </w:r>
      <w:r w:rsidRPr="003B63CB">
        <w:rPr>
          <w:rStyle w:val="aff4"/>
          <w:rFonts w:hint="cs"/>
          <w:vanish/>
          <w:rtl/>
        </w:rPr>
        <w:t>-</w:t>
      </w:r>
      <w:r w:rsidRPr="003B63CB">
        <w:rPr>
          <w:rFonts w:hint="cs"/>
          <w:rtl/>
        </w:rPr>
        <w:t xml:space="preserve"> </w:t>
      </w:r>
      <w:r w:rsidRPr="003B63CB">
        <w:rPr>
          <w:rStyle w:val="af2"/>
          <w:rFonts w:eastAsia="Guttman Hodes" w:hint="cs"/>
          <w:rtl/>
        </w:rPr>
        <w:t>(קו. ד"ה מתני')</w:t>
      </w:r>
      <w:r w:rsidRPr="003B63CB">
        <w:rPr>
          <w:rFonts w:hint="cs"/>
          <w:vanish/>
          <w:rtl/>
        </w:rPr>
        <w:t>=</w:t>
      </w:r>
      <w:r w:rsidRPr="003B63CB">
        <w:rPr>
          <w:rFonts w:hint="cs"/>
          <w:rtl/>
        </w:rPr>
        <w:t xml:space="preserve"> דבמילה התיקון אינו בגוף המלאכה, ולכן מהא דהתירה תורה מילה מוכח דמקלקל בחבורה חייב, דא"א לומר דהוצרכה תורה להתיר מילה ולאסור בשריפת בת כהן, מחמת התיקון שיש בה, דהא אינו תיקון בגוף המלאכה.</w:t>
      </w:r>
      <w:bookmarkEnd w:id="3240"/>
      <w:r w:rsidRPr="003B63CB">
        <w:rPr>
          <w:rFonts w:hint="cs"/>
          <w:rtl/>
        </w:rPr>
        <w:t xml:space="preserve"> </w:t>
      </w:r>
    </w:p>
    <w:p w14:paraId="634BC612" w14:textId="77777777" w:rsidR="002748A5" w:rsidRPr="00747170" w:rsidRDefault="002748A5" w:rsidP="00747170">
      <w:pPr>
        <w:pStyle w:val="a2"/>
      </w:pPr>
      <w:r w:rsidRPr="00747170">
        <w:rPr>
          <w:rtl/>
        </w:rPr>
        <w:t>כל המקלקלין פטורין חוץ מחובל ומבעיר. אוקימנא לר"ש דאמר מקלקל בחבורה חייב, ולזה המחלוקת לא מצינו עיקר בתלמוד, ורש"י ז"ל הביאו בקשר ענין ואמר דנפקא לן מפלוגתייהו במלאכה שא"צ לגופה דשמעי' ליה לר"ש דאמר מלאכה שאינה צריכה לגופה פטור עליה וחובל ומבעיר חידוש הוא שחדשה בהן תורה שאין לך מבעיר ואפי' מדליק עצים לבשל קדרתו שיתחייב מן הדין שכולן מקלקלין הן, ומה שהוא מתקן אצל אחרים כגון הבישול, מלאכה שא"צ לגופה היא ומן הדין פטור עליה, ומדחייבה אותן תורה ש"מ מקלקל בהבערה חייב, וכן בחבלה מדאיצטריך רחמנא למישרי מילה</w:t>
      </w:r>
      <w:r w:rsidRPr="00747170">
        <w:rPr>
          <w:rFonts w:hint="cs"/>
          <w:rtl/>
        </w:rPr>
        <w:t>.</w:t>
      </w:r>
    </w:p>
    <w:p w14:paraId="6CFA7B93" w14:textId="77777777" w:rsidR="002748A5" w:rsidRPr="00C12F78" w:rsidRDefault="002748A5" w:rsidP="002748A5">
      <w:pPr>
        <w:pStyle w:val="afffff7"/>
        <w:rPr>
          <w:rtl/>
        </w:rPr>
      </w:pPr>
      <w:bookmarkStart w:id="3241" w:name="_Toc140074266"/>
      <w:bookmarkStart w:id="3242" w:name="_Toc140144361"/>
      <w:bookmarkStart w:id="3243" w:name="_Toc140144837"/>
      <w:bookmarkStart w:id="3244" w:name="_Toc163505952"/>
      <w:r w:rsidRPr="00C12F78">
        <w:rPr>
          <w:rtl/>
        </w:rPr>
        <w:t>חדושי הר"ן שבת ק"ו ע"א</w:t>
      </w:r>
      <w:r w:rsidRPr="00C12F78">
        <w:rPr>
          <w:rFonts w:hint="cs"/>
          <w:rtl/>
        </w:rPr>
        <w:t xml:space="preserve"> ד"ה מתני'</w:t>
      </w:r>
      <w:bookmarkEnd w:id="3241"/>
      <w:bookmarkEnd w:id="3242"/>
      <w:r w:rsidRPr="00C12F78">
        <w:rPr>
          <w:rtl/>
        </w:rPr>
        <w:t xml:space="preserve"> (ח)</w:t>
      </w:r>
      <w:bookmarkEnd w:id="3243"/>
      <w:bookmarkEnd w:id="3244"/>
    </w:p>
    <w:p w14:paraId="6063AAD7" w14:textId="77777777" w:rsidR="002748A5" w:rsidRPr="00695703" w:rsidRDefault="002748A5" w:rsidP="00747170">
      <w:pPr>
        <w:pStyle w:val="afffff5"/>
        <w:rPr>
          <w:rtl/>
        </w:rPr>
      </w:pPr>
      <w:r w:rsidRPr="00695703">
        <w:rPr>
          <w:rtl/>
        </w:rPr>
        <w:t>מתניתין רבי יהודה היא דאמר מקלקל בחבורה חייב. לא מצינו עיקר זה המחלוקת בתלמוד אבל רש"י ז"ל הביאו בקשר ענין ואמר דמסקינן ליה מפלוגתיה דמלאכה שאינה צריכה לגופה דכיון דס"ל לרבי שמעון דמלאכה שאינה צריכה לגופה פטור עליה ומילה תקון שבה אינה בגופה של מלאכה ואפי' הכי אצטריך קרא למשרייה ש"מ דמקלקל בחבורה חייב ומשום הכי איצטריך קרא למשרייה שאלו משו' [תקון] שב' לא הי' צריך כיון שאינו מגופה של מלאכה תיקון של מלאכה וכן נמי מדאסר רחמנא הבערה דבת כהן ותיקון של מלאכה זו אינו מגופה של מלאכה ואפי' הכי אסרה רחמנא ש"מ דמקלקל בחבורה חייב שאלו היה מקלקל בחבורה פטור לא היתה אוסרת אותה תורה משום תקון הנמשך ממנה כיון שאין אותו תקון מגופה של מלאכה</w:t>
      </w:r>
      <w:r w:rsidRPr="00695703">
        <w:rPr>
          <w:rFonts w:hint="cs"/>
          <w:rtl/>
        </w:rPr>
        <w:t>.</w:t>
      </w:r>
    </w:p>
    <w:p w14:paraId="6A9DDE6F" w14:textId="77777777" w:rsidR="002748A5" w:rsidRPr="00C12F78" w:rsidRDefault="002748A5" w:rsidP="002748A5">
      <w:pPr>
        <w:pStyle w:val="afffff7"/>
        <w:rPr>
          <w:rtl/>
        </w:rPr>
      </w:pPr>
      <w:bookmarkStart w:id="3245" w:name="_Toc140144362"/>
      <w:bookmarkStart w:id="3246" w:name="_Toc140144838"/>
      <w:bookmarkStart w:id="3247" w:name="_Toc140074181"/>
      <w:bookmarkStart w:id="3248" w:name="_Toc163505953"/>
      <w:r w:rsidRPr="00C12F78">
        <w:rPr>
          <w:rtl/>
        </w:rPr>
        <w:t>חדושי הרמב"ן שבת ק"ו ע"א</w:t>
      </w:r>
      <w:r w:rsidRPr="00C12F78">
        <w:rPr>
          <w:rFonts w:hint="cs"/>
          <w:rtl/>
        </w:rPr>
        <w:t xml:space="preserve"> ד"ה ורש"י</w:t>
      </w:r>
      <w:bookmarkEnd w:id="3245"/>
      <w:r w:rsidRPr="00C12F78">
        <w:rPr>
          <w:rtl/>
        </w:rPr>
        <w:t xml:space="preserve"> (ח)</w:t>
      </w:r>
      <w:bookmarkEnd w:id="3246"/>
      <w:bookmarkEnd w:id="3248"/>
    </w:p>
    <w:p w14:paraId="456B2A7B" w14:textId="77777777" w:rsidR="002748A5" w:rsidRPr="00907A3B" w:rsidRDefault="002748A5" w:rsidP="002748A5">
      <w:pPr>
        <w:pStyle w:val="a7"/>
        <w:rPr>
          <w:rtl/>
        </w:rPr>
      </w:pPr>
      <w:bookmarkStart w:id="3249" w:name="_Toc140092030"/>
      <w:bookmarkStart w:id="3250" w:name="_Toc140144230"/>
      <w:bookmarkStart w:id="3251" w:name="_Toc140144461"/>
      <w:r w:rsidRPr="00907A3B">
        <w:rPr>
          <w:rFonts w:hint="cs"/>
          <w:rtl/>
        </w:rPr>
        <w:t>קו' הרמב"ן על רש"י ד</w:t>
      </w:r>
      <w:r>
        <w:rPr>
          <w:rFonts w:hint="cs"/>
          <w:rtl/>
        </w:rPr>
        <w:t>מבעיר ל"ה מקלקל דצריך את האש ואף חורש נהנה מד"א וכן דרך העולם</w:t>
      </w:r>
      <w:bookmarkEnd w:id="3249"/>
      <w:bookmarkEnd w:id="3250"/>
      <w:bookmarkEnd w:id="3251"/>
    </w:p>
    <w:p w14:paraId="3B498893" w14:textId="18B1A59C" w:rsidR="002748A5" w:rsidRPr="003B63CB" w:rsidRDefault="002748A5" w:rsidP="00BC7DC8">
      <w:pPr>
        <w:pStyle w:val="a3"/>
      </w:pPr>
      <w:r w:rsidRPr="003B63CB">
        <w:rPr>
          <w:rFonts w:hint="cs"/>
          <w:rtl/>
        </w:rPr>
        <w:t xml:space="preserve">ובמ"ש </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w:t>
      </w:r>
      <w:r w:rsidRPr="003B63CB">
        <w:rPr>
          <w:rStyle w:val="af2"/>
          <w:rFonts w:eastAsia="Guttman Hodes" w:hint="cs"/>
          <w:rtl/>
        </w:rPr>
        <w:t xml:space="preserve">(עי' אות </w:t>
      </w:r>
      <w:r w:rsidRPr="003B63CB">
        <w:rPr>
          <w:rStyle w:val="af2"/>
          <w:rFonts w:eastAsia="Guttman Hodes"/>
          <w:rtl/>
        </w:rPr>
        <w:fldChar w:fldCharType="begin"/>
      </w:r>
      <w:r w:rsidRPr="003B63CB">
        <w:rPr>
          <w:rStyle w:val="af2"/>
          <w:rFonts w:eastAsia="Guttman Hodes"/>
          <w:rtl/>
        </w:rPr>
        <w:instrText xml:space="preserve"> </w:instrText>
      </w:r>
      <w:r w:rsidRPr="003B63CB">
        <w:rPr>
          <w:rStyle w:val="af2"/>
          <w:rFonts w:eastAsia="Guttman Hodes" w:hint="cs"/>
        </w:rPr>
        <w:instrText>REF</w:instrText>
      </w:r>
      <w:r w:rsidRPr="003B63CB">
        <w:rPr>
          <w:rStyle w:val="af2"/>
          <w:rFonts w:eastAsia="Guttman Hodes" w:hint="cs"/>
          <w:rtl/>
        </w:rPr>
        <w:instrText xml:space="preserve"> _</w:instrText>
      </w:r>
      <w:r w:rsidRPr="003B63CB">
        <w:rPr>
          <w:rStyle w:val="af2"/>
          <w:rFonts w:eastAsia="Guttman Hodes" w:hint="cs"/>
        </w:rPr>
        <w:instrText>Ref139367336 \r \h</w:instrText>
      </w:r>
      <w:r w:rsidRPr="003B63CB">
        <w:rPr>
          <w:rStyle w:val="af2"/>
          <w:rFonts w:eastAsia="Guttman Hodes"/>
          <w:rtl/>
        </w:rPr>
        <w:instrText xml:space="preserve">  \* </w:instrText>
      </w:r>
      <w:r w:rsidRPr="003B63CB">
        <w:rPr>
          <w:rStyle w:val="af2"/>
          <w:rFonts w:eastAsia="Guttman Hodes"/>
        </w:rPr>
        <w:instrText>MERGEFORMAT</w:instrText>
      </w:r>
      <w:r w:rsidRPr="003B63CB">
        <w:rPr>
          <w:rStyle w:val="af2"/>
          <w:rFonts w:eastAsia="Guttman Hodes"/>
          <w:rtl/>
        </w:rPr>
        <w:instrText xml:space="preserve"> </w:instrText>
      </w:r>
      <w:r w:rsidRPr="003B63CB">
        <w:rPr>
          <w:rStyle w:val="af2"/>
          <w:rFonts w:eastAsia="Guttman Hodes"/>
          <w:rtl/>
        </w:rPr>
      </w:r>
      <w:r w:rsidRPr="003B63CB">
        <w:rPr>
          <w:rStyle w:val="af2"/>
          <w:rFonts w:eastAsia="Guttman Hodes"/>
          <w:rtl/>
        </w:rPr>
        <w:fldChar w:fldCharType="separate"/>
      </w:r>
      <w:r w:rsidR="00D82181" w:rsidRPr="00D82181">
        <w:rPr>
          <w:rStyle w:val="af2"/>
          <w:rFonts w:eastAsia="Guttman Hodes"/>
          <w:b/>
          <w:bCs/>
          <w:cs/>
        </w:rPr>
        <w:t>‎</w:t>
      </w:r>
      <w:r w:rsidR="00D82181" w:rsidRPr="00D82181">
        <w:rPr>
          <w:rStyle w:val="af2"/>
          <w:rFonts w:eastAsia="Guttman Hodes"/>
          <w:b/>
          <w:bCs/>
          <w:rtl/>
        </w:rPr>
        <w:t>כט)</w:t>
      </w:r>
      <w:r w:rsidRPr="003B63CB">
        <w:rPr>
          <w:rStyle w:val="af2"/>
          <w:rFonts w:eastAsia="Guttman Hodes"/>
          <w:rtl/>
        </w:rPr>
        <w:fldChar w:fldCharType="end"/>
      </w:r>
      <w:r w:rsidRPr="003B63CB">
        <w:rPr>
          <w:rFonts w:hint="cs"/>
          <w:rtl/>
        </w:rPr>
        <w:t xml:space="preserve"> דכל מבעיר הוא מקלקל, ואף מבעיר לבישול מקלקל בעצים, דחה</w:t>
      </w:r>
      <w:r>
        <w:rPr>
          <w:rFonts w:hint="cs"/>
          <w:rtl/>
        </w:rPr>
        <w:t xml:space="preserve"> </w:t>
      </w:r>
      <w:r>
        <w:rPr>
          <w:rStyle w:val="aff4"/>
          <w:vanish/>
          <w:rtl/>
        </w:rPr>
        <w:t>–</w:t>
      </w:r>
      <w:r w:rsidRPr="003B63CB">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Ref140090058 \r \h</w:instrText>
      </w:r>
      <w:r>
        <w:rPr>
          <w:rStyle w:val="aff4"/>
          <w:vanish/>
          <w:rtl/>
        </w:rPr>
        <w:instrText xml:space="preserve"> </w:instrText>
      </w:r>
      <w:r>
        <w:rPr>
          <w:rStyle w:val="aff4"/>
          <w:vanish/>
          <w:rtl/>
        </w:rPr>
        <w:fldChar w:fldCharType="separate"/>
      </w:r>
      <w:r w:rsidR="00D82181">
        <w:rPr>
          <w:rStyle w:val="aff4"/>
          <w:rFonts w:hint="cs"/>
          <w:b w:val="0"/>
          <w:bCs w:val="0"/>
          <w:vanish/>
          <w:rtl/>
        </w:rPr>
        <w:t>שגיאה! מקור ההפניה לא נמצא.</w:t>
      </w:r>
      <w:r>
        <w:rPr>
          <w:rStyle w:val="aff4"/>
          <w:vanish/>
          <w:rtl/>
        </w:rPr>
        <w:fldChar w:fldCharType="end"/>
      </w:r>
      <w:r>
        <w:rPr>
          <w:rStyle w:val="aff4"/>
          <w:rFonts w:hint="cs"/>
          <w:vanish/>
          <w:rtl/>
        </w:rPr>
        <w:t xml:space="preserve"> &gt;</w:t>
      </w:r>
      <w:r w:rsidRPr="003B63CB">
        <w:rPr>
          <w:rStyle w:val="aff4"/>
          <w:rFonts w:hint="cs"/>
          <w:rtl/>
        </w:rPr>
        <w:t>רמב"ן</w:t>
      </w:r>
      <w:r w:rsidRPr="003B63CB">
        <w:rPr>
          <w:rStyle w:val="aff4"/>
          <w:rFonts w:hint="cs"/>
          <w:vanish/>
          <w:rtl/>
        </w:rPr>
        <w:t>-</w:t>
      </w:r>
      <w:r w:rsidRPr="003B63CB">
        <w:rPr>
          <w:rFonts w:hint="cs"/>
          <w:rtl/>
        </w:rPr>
        <w:t xml:space="preserve"> </w:t>
      </w:r>
      <w:r w:rsidRPr="003B63CB">
        <w:rPr>
          <w:rStyle w:val="af2"/>
          <w:rFonts w:eastAsia="Guttman Hodes" w:hint="cs"/>
          <w:rtl/>
        </w:rPr>
        <w:t>(קו. ד"ה ורש"י)</w:t>
      </w:r>
      <w:r w:rsidRPr="003B63CB">
        <w:rPr>
          <w:rFonts w:hint="cs"/>
          <w:vanish/>
          <w:rtl/>
        </w:rPr>
        <w:t>=</w:t>
      </w:r>
      <w:r w:rsidRPr="003B63CB">
        <w:rPr>
          <w:rFonts w:hint="cs"/>
          <w:rtl/>
        </w:rPr>
        <w:t xml:space="preserve"> דהוא צריך את גוף האש עצמה, וכן כשמבעיר בכדי להתחמם דההנאה והביעור של העצים הם שוין, וכן הוא במלאכת חורש דההנאה אינה מהמלאכה עצמה, דדרך תשמיש העולם הוא להנאה בדברים אחרים וחשיב מלאכה שצריכה לגופה, ועוד דמוכח בגמ' דר"ש יליף רק מהבערה דבת כהן ומילה, ולא יליף מכל מבעיר ושוחט.</w:t>
      </w:r>
    </w:p>
    <w:p w14:paraId="0F094BB8" w14:textId="77777777" w:rsidR="002748A5" w:rsidRPr="00747170" w:rsidRDefault="002748A5" w:rsidP="00747170">
      <w:pPr>
        <w:pStyle w:val="a2"/>
        <w:rPr>
          <w:rtl/>
        </w:rPr>
      </w:pPr>
      <w:r w:rsidRPr="00747170">
        <w:rPr>
          <w:rtl/>
        </w:rPr>
        <w:t>וכן זו שאמר רש"י ז"ל עצמו דאין לך מבעיר שאינו מקלקל ואפי' מבעיר עצים לבשל קדירה, אינו נכון שהרי גופה של אש צריך לו וכן במבעיר להתחמם שהנאתו וביעורו שוין, והחורש ותולדותיה אין הנאתו בעצמן ממש אלא שהן תשמישו של עולם להנאת דברים אחרים וכה"ג מלאכה הצריכה לגופה מיקרי, והרי בגמרא מפורש שאין טעמו של ר"ש מהבערה סתם אלא מהבערה דבת כהן ולא מחבלה דשוחט אלא ממילה.</w:t>
      </w:r>
    </w:p>
    <w:p w14:paraId="72AA7CED" w14:textId="77777777" w:rsidR="002748A5" w:rsidRPr="003B63CB" w:rsidRDefault="002748A5" w:rsidP="002748A5">
      <w:pPr>
        <w:pStyle w:val="1"/>
        <w:rPr>
          <w:rtl/>
        </w:rPr>
      </w:pPr>
      <w:bookmarkStart w:id="3252" w:name="_Toc140092031"/>
      <w:bookmarkStart w:id="3253" w:name="_Toc140144231"/>
      <w:bookmarkStart w:id="3254" w:name="_Toc140144462"/>
      <w:r w:rsidRPr="003B63CB">
        <w:rPr>
          <w:rFonts w:hint="cs"/>
          <w:rtl/>
        </w:rPr>
        <w:t>בי' החת"ס דמבעיר מקלקל ולמלאכת מחשבת כאינו רוצה בה</w:t>
      </w:r>
      <w:bookmarkEnd w:id="3247"/>
      <w:bookmarkEnd w:id="3252"/>
      <w:bookmarkEnd w:id="3253"/>
      <w:bookmarkEnd w:id="3254"/>
    </w:p>
    <w:p w14:paraId="11877AF3" w14:textId="77777777" w:rsidR="002748A5" w:rsidRPr="00C12F78" w:rsidRDefault="002748A5" w:rsidP="002748A5">
      <w:pPr>
        <w:pStyle w:val="afffff7"/>
        <w:rPr>
          <w:rtl/>
        </w:rPr>
      </w:pPr>
      <w:bookmarkStart w:id="3255" w:name="_Toc140074267"/>
      <w:bookmarkStart w:id="3256" w:name="_Toc140144363"/>
      <w:bookmarkStart w:id="3257" w:name="_Toc140144839"/>
      <w:bookmarkStart w:id="3258" w:name="_Toc163505954"/>
      <w:r w:rsidRPr="00C12F78">
        <w:rPr>
          <w:rFonts w:hint="cs"/>
          <w:rtl/>
        </w:rPr>
        <w:t>חתם סופר שבת ק</w:t>
      </w:r>
      <w:r w:rsidRPr="00C12F78">
        <w:rPr>
          <w:rFonts w:cs="Guttman Hodes" w:hint="cs"/>
          <w:rtl/>
        </w:rPr>
        <w:t>"</w:t>
      </w:r>
      <w:r w:rsidRPr="00C12F78">
        <w:rPr>
          <w:rFonts w:hint="cs"/>
          <w:rtl/>
        </w:rPr>
        <w:t>ו ע</w:t>
      </w:r>
      <w:r w:rsidRPr="00C12F78">
        <w:rPr>
          <w:rFonts w:cs="Guttman Hodes" w:hint="cs"/>
          <w:rtl/>
        </w:rPr>
        <w:t>"</w:t>
      </w:r>
      <w:r w:rsidRPr="00C12F78">
        <w:rPr>
          <w:rFonts w:hint="cs"/>
          <w:rtl/>
        </w:rPr>
        <w:t>א</w:t>
      </w:r>
      <w:r w:rsidRPr="00C12F78">
        <w:t xml:space="preserve"> </w:t>
      </w:r>
      <w:r w:rsidRPr="00C12F78">
        <w:rPr>
          <w:rFonts w:hint="cs"/>
          <w:rtl/>
        </w:rPr>
        <w:t>ד</w:t>
      </w:r>
      <w:r w:rsidRPr="00C12F78">
        <w:rPr>
          <w:rFonts w:cs="Guttman Hodes" w:hint="cs"/>
          <w:rtl/>
        </w:rPr>
        <w:t>"</w:t>
      </w:r>
      <w:r w:rsidRPr="00C12F78">
        <w:rPr>
          <w:rFonts w:hint="cs"/>
          <w:rtl/>
        </w:rPr>
        <w:t>ה בא</w:t>
      </w:r>
      <w:r w:rsidRPr="00C12F78">
        <w:rPr>
          <w:rFonts w:cs="Guttman Hodes" w:hint="cs"/>
          <w:rtl/>
        </w:rPr>
        <w:t>"</w:t>
      </w:r>
      <w:r w:rsidRPr="00C12F78">
        <w:rPr>
          <w:rFonts w:hint="cs"/>
          <w:rtl/>
        </w:rPr>
        <w:t>ד ול</w:t>
      </w:r>
      <w:r w:rsidRPr="00C12F78">
        <w:rPr>
          <w:rFonts w:cs="Guttman Hodes" w:hint="cs"/>
          <w:rtl/>
        </w:rPr>
        <w:t>"</w:t>
      </w:r>
      <w:r w:rsidRPr="00C12F78">
        <w:rPr>
          <w:rFonts w:hint="cs"/>
          <w:rtl/>
        </w:rPr>
        <w:t>נ</w:t>
      </w:r>
      <w:bookmarkEnd w:id="3255"/>
      <w:bookmarkEnd w:id="3256"/>
      <w:r w:rsidRPr="00C12F78">
        <w:rPr>
          <w:rtl/>
        </w:rPr>
        <w:t xml:space="preserve"> (ח)</w:t>
      </w:r>
      <w:bookmarkEnd w:id="3257"/>
      <w:bookmarkEnd w:id="3258"/>
    </w:p>
    <w:p w14:paraId="158470A8" w14:textId="77777777" w:rsidR="002748A5" w:rsidRPr="003B63CB" w:rsidRDefault="002748A5" w:rsidP="002748A5">
      <w:pPr>
        <w:pStyle w:val="a7"/>
        <w:rPr>
          <w:rtl/>
        </w:rPr>
      </w:pPr>
      <w:bookmarkStart w:id="3259" w:name="_Toc140074182"/>
      <w:bookmarkStart w:id="3260" w:name="_Toc140092032"/>
      <w:bookmarkStart w:id="3261" w:name="_Toc140144232"/>
      <w:bookmarkStart w:id="3262" w:name="_Toc140144463"/>
      <w:r w:rsidRPr="003B63CB">
        <w:rPr>
          <w:rFonts w:hint="cs"/>
          <w:rtl/>
        </w:rPr>
        <w:t>קו' החת"ס ברש"י דחובל לכלבו ומבעיר לאפרו רוצה במלאכה ואמאי חשיב משאצל"ג</w:t>
      </w:r>
      <w:bookmarkEnd w:id="3259"/>
      <w:bookmarkEnd w:id="3260"/>
      <w:bookmarkEnd w:id="3261"/>
      <w:bookmarkEnd w:id="3262"/>
    </w:p>
    <w:p w14:paraId="14E28F3C" w14:textId="5E985934" w:rsidR="002748A5" w:rsidRPr="003B63CB" w:rsidRDefault="002748A5" w:rsidP="00BC7DC8">
      <w:pPr>
        <w:pStyle w:val="a3"/>
      </w:pPr>
      <w:bookmarkStart w:id="3263" w:name="_Ref139917872"/>
      <w:r w:rsidRPr="003B63CB">
        <w:rPr>
          <w:rFonts w:hint="cs"/>
          <w:rtl/>
        </w:rPr>
        <w:t xml:space="preserve">במ"ש </w:t>
      </w:r>
      <w:r w:rsidRPr="003B63CB">
        <w:rPr>
          <w:rFonts w:hint="cs"/>
          <w:vanish/>
          <w:rtl/>
        </w:rPr>
        <w:t>-</w:t>
      </w:r>
      <w:r w:rsidRPr="003B63CB">
        <w:rPr>
          <w:rStyle w:val="aff4"/>
          <w:rFonts w:hint="cs"/>
          <w:rtl/>
        </w:rPr>
        <w:t>רש"י</w:t>
      </w:r>
      <w:r w:rsidRPr="003B63CB">
        <w:rPr>
          <w:rFonts w:hint="cs"/>
          <w:vanish/>
          <w:rtl/>
        </w:rPr>
        <w:t>-</w:t>
      </w:r>
      <w:r w:rsidRPr="003B63CB">
        <w:rPr>
          <w:rFonts w:hint="cs"/>
          <w:rtl/>
        </w:rPr>
        <w:t xml:space="preserve"> </w:t>
      </w:r>
      <w:r w:rsidRPr="003B63CB">
        <w:rPr>
          <w:rStyle w:val="af2"/>
          <w:rFonts w:eastAsia="Guttman Hodes" w:hint="cs"/>
          <w:rtl/>
        </w:rPr>
        <w:t xml:space="preserve">(עי' אות </w:t>
      </w:r>
      <w:r w:rsidRPr="003B63CB">
        <w:rPr>
          <w:rStyle w:val="af2"/>
          <w:rFonts w:eastAsia="Guttman Hodes"/>
          <w:rtl/>
        </w:rPr>
        <w:fldChar w:fldCharType="begin"/>
      </w:r>
      <w:r w:rsidRPr="003B63CB">
        <w:rPr>
          <w:rStyle w:val="af2"/>
          <w:rFonts w:eastAsia="Guttman Hodes"/>
          <w:rtl/>
        </w:rPr>
        <w:instrText xml:space="preserve"> </w:instrText>
      </w:r>
      <w:r w:rsidRPr="003B63CB">
        <w:rPr>
          <w:rStyle w:val="af2"/>
          <w:rFonts w:eastAsia="Guttman Hodes" w:hint="cs"/>
        </w:rPr>
        <w:instrText>REF</w:instrText>
      </w:r>
      <w:r w:rsidRPr="003B63CB">
        <w:rPr>
          <w:rStyle w:val="af2"/>
          <w:rFonts w:eastAsia="Guttman Hodes" w:hint="cs"/>
          <w:rtl/>
        </w:rPr>
        <w:instrText xml:space="preserve"> _</w:instrText>
      </w:r>
      <w:r w:rsidRPr="003B63CB">
        <w:rPr>
          <w:rStyle w:val="af2"/>
          <w:rFonts w:eastAsia="Guttman Hodes" w:hint="cs"/>
        </w:rPr>
        <w:instrText>Ref139367325 \r \h</w:instrText>
      </w:r>
      <w:r w:rsidRPr="003B63CB">
        <w:rPr>
          <w:rStyle w:val="af2"/>
          <w:rFonts w:eastAsia="Guttman Hodes"/>
          <w:rtl/>
        </w:rPr>
        <w:instrText xml:space="preserve">  \* </w:instrText>
      </w:r>
      <w:r w:rsidRPr="003B63CB">
        <w:rPr>
          <w:rStyle w:val="af2"/>
          <w:rFonts w:eastAsia="Guttman Hodes"/>
        </w:rPr>
        <w:instrText>MERGEFORMAT</w:instrText>
      </w:r>
      <w:r w:rsidRPr="003B63CB">
        <w:rPr>
          <w:rStyle w:val="af2"/>
          <w:rFonts w:eastAsia="Guttman Hodes"/>
          <w:rtl/>
        </w:rPr>
        <w:instrText xml:space="preserve"> </w:instrText>
      </w:r>
      <w:r w:rsidRPr="003B63CB">
        <w:rPr>
          <w:rStyle w:val="af2"/>
          <w:rFonts w:eastAsia="Guttman Hodes"/>
          <w:rtl/>
        </w:rPr>
      </w:r>
      <w:r w:rsidRPr="003B63CB">
        <w:rPr>
          <w:rStyle w:val="af2"/>
          <w:rFonts w:eastAsia="Guttman Hodes"/>
          <w:rtl/>
        </w:rPr>
        <w:fldChar w:fldCharType="separate"/>
      </w:r>
      <w:r w:rsidR="00D82181">
        <w:rPr>
          <w:rStyle w:val="af2"/>
          <w:rFonts w:eastAsia="Guttman Hodes"/>
          <w:cs/>
        </w:rPr>
        <w:t>‎</w:t>
      </w:r>
      <w:r w:rsidR="00D82181">
        <w:rPr>
          <w:rStyle w:val="af2"/>
          <w:rFonts w:eastAsia="Guttman Hodes"/>
          <w:rtl/>
        </w:rPr>
        <w:t>כח)</w:t>
      </w:r>
      <w:r w:rsidRPr="003B63CB">
        <w:rPr>
          <w:rStyle w:val="af2"/>
          <w:rFonts w:eastAsia="Guttman Hodes"/>
          <w:rtl/>
        </w:rPr>
        <w:fldChar w:fldCharType="end"/>
      </w:r>
      <w:r w:rsidRPr="003B63CB">
        <w:rPr>
          <w:rFonts w:hint="cs"/>
          <w:rtl/>
        </w:rPr>
        <w:t xml:space="preserve"> דלר"י דמלאכה שאינה צריכה לגופה חייב, חובל וצריך לכלבו ומבעיר בצריך לאפרו חייב, דאף דמקלקל הוא מתקן בדבר אחר, הקשה </w:t>
      </w:r>
      <w:r w:rsidRPr="003B63CB">
        <w:rPr>
          <w:rFonts w:hint="cs"/>
          <w:vanish/>
          <w:rtl/>
        </w:rPr>
        <w:t>-</w:t>
      </w:r>
      <w:r w:rsidRPr="003B63CB">
        <w:rPr>
          <w:rStyle w:val="aff4"/>
          <w:rFonts w:hint="cs"/>
          <w:rtl/>
        </w:rPr>
        <w:t>ה</w:t>
      </w:r>
      <w:r w:rsidRPr="003B63CB">
        <w:rPr>
          <w:rFonts w:hint="cs"/>
          <w:vanish/>
          <w:rtl/>
        </w:rPr>
        <w:t xml:space="preserve">&lt;, </w:t>
      </w:r>
      <w:r w:rsidRPr="003B63CB">
        <w:rPr>
          <w:vanish/>
          <w:rtl/>
        </w:rPr>
        <w:fldChar w:fldCharType="begin"/>
      </w:r>
      <w:r w:rsidRPr="003B63CB">
        <w:rPr>
          <w:vanish/>
          <w:rtl/>
        </w:rPr>
        <w:instrText xml:space="preserve"> </w:instrText>
      </w:r>
      <w:r w:rsidRPr="003B63CB">
        <w:rPr>
          <w:rFonts w:hint="cs"/>
          <w:vanish/>
        </w:rPr>
        <w:instrText>REF</w:instrText>
      </w:r>
      <w:r w:rsidRPr="003B63CB">
        <w:rPr>
          <w:rFonts w:hint="cs"/>
          <w:vanish/>
          <w:rtl/>
        </w:rPr>
        <w:instrText xml:space="preserve"> _</w:instrText>
      </w:r>
      <w:r w:rsidRPr="003B63CB">
        <w:rPr>
          <w:rFonts w:hint="cs"/>
          <w:vanish/>
        </w:rPr>
        <w:instrText>Ref139917872 \r \h</w:instrText>
      </w:r>
      <w:r w:rsidRPr="003B63CB">
        <w:rPr>
          <w:vanish/>
          <w:rtl/>
        </w:rPr>
        <w:instrText xml:space="preserve">  \* </w:instrText>
      </w:r>
      <w:r w:rsidRPr="003B63CB">
        <w:rPr>
          <w:vanish/>
        </w:rPr>
        <w:instrText>MERGEFORMAT</w:instrText>
      </w:r>
      <w:r w:rsidRPr="003B63CB">
        <w:rPr>
          <w:vanish/>
          <w:rtl/>
        </w:rPr>
        <w:instrText xml:space="preserve"> </w:instrText>
      </w:r>
      <w:r w:rsidRPr="003B63CB">
        <w:rPr>
          <w:vanish/>
          <w:rtl/>
        </w:rPr>
      </w:r>
      <w:r w:rsidRPr="003B63CB">
        <w:rPr>
          <w:vanish/>
          <w:rtl/>
        </w:rPr>
        <w:fldChar w:fldCharType="separate"/>
      </w:r>
      <w:r w:rsidR="00D82181">
        <w:rPr>
          <w:vanish/>
          <w:cs/>
        </w:rPr>
        <w:t>‎</w:t>
      </w:r>
      <w:r w:rsidR="00D82181">
        <w:rPr>
          <w:vanish/>
          <w:rtl/>
        </w:rPr>
        <w:t>לג)</w:t>
      </w:r>
      <w:r w:rsidRPr="003B63CB">
        <w:rPr>
          <w:vanish/>
          <w:rtl/>
        </w:rPr>
        <w:fldChar w:fldCharType="end"/>
      </w:r>
      <w:r w:rsidRPr="003B63CB">
        <w:rPr>
          <w:rFonts w:hint="cs"/>
          <w:vanish/>
          <w:rtl/>
        </w:rPr>
        <w:t xml:space="preserve"> &gt;</w:t>
      </w:r>
      <w:r w:rsidRPr="003B63CB">
        <w:rPr>
          <w:rStyle w:val="aff4"/>
          <w:rFonts w:hint="cs"/>
          <w:rtl/>
        </w:rPr>
        <w:t>חת"ס</w:t>
      </w:r>
      <w:r w:rsidRPr="003B63CB">
        <w:rPr>
          <w:rFonts w:hint="cs"/>
          <w:vanish/>
          <w:rtl/>
        </w:rPr>
        <w:t>-</w:t>
      </w:r>
      <w:r w:rsidRPr="003B63CB">
        <w:rPr>
          <w:rFonts w:hint="cs"/>
          <w:rtl/>
        </w:rPr>
        <w:t xml:space="preserve"> </w:t>
      </w:r>
      <w:r w:rsidRPr="003B63CB">
        <w:rPr>
          <w:rStyle w:val="af2"/>
          <w:rFonts w:eastAsia="Guttman Hodes" w:hint="cs"/>
          <w:rtl/>
        </w:rPr>
        <w:t>(קו. ד"ה בא"ד ול"נ, נד' רק במהדו' מכון חת"ס)</w:t>
      </w:r>
      <w:r w:rsidRPr="003B63CB">
        <w:rPr>
          <w:rFonts w:hint="cs"/>
          <w:vanish/>
          <w:rtl/>
        </w:rPr>
        <w:t>=</w:t>
      </w:r>
      <w:r w:rsidRPr="003B63CB">
        <w:rPr>
          <w:rFonts w:hint="cs"/>
          <w:rtl/>
        </w:rPr>
        <w:t xml:space="preserve"> דהא כיון דס"ל </w:t>
      </w:r>
      <w:r w:rsidRPr="003B63CB">
        <w:rPr>
          <w:rFonts w:hint="cs"/>
          <w:vanish/>
          <w:rtl/>
        </w:rPr>
        <w:t>-</w:t>
      </w:r>
      <w:r w:rsidRPr="003B63CB">
        <w:rPr>
          <w:rStyle w:val="aff4"/>
          <w:rFonts w:hint="cs"/>
          <w:rtl/>
        </w:rPr>
        <w:t>לרש"י</w:t>
      </w:r>
      <w:r w:rsidRPr="003B63CB">
        <w:rPr>
          <w:rFonts w:hint="cs"/>
          <w:vanish/>
          <w:rtl/>
        </w:rPr>
        <w:t>-</w:t>
      </w:r>
      <w:r w:rsidRPr="003B63CB">
        <w:rPr>
          <w:rFonts w:hint="cs"/>
          <w:rtl/>
        </w:rPr>
        <w:t xml:space="preserve"> דמלאכה שאינה צריכה לגופה הוא בדבר שברצונו לא באה לו המלאכה כמוציא מת, היאך</w:t>
      </w:r>
      <w:bookmarkEnd w:id="3263"/>
      <w:r w:rsidRPr="003B63CB">
        <w:rPr>
          <w:rFonts w:hint="cs"/>
          <w:rtl/>
        </w:rPr>
        <w:t xml:space="preserve"> כתב </w:t>
      </w:r>
      <w:r w:rsidRPr="003B63CB">
        <w:rPr>
          <w:rFonts w:hint="cs"/>
          <w:vanish/>
          <w:rtl/>
        </w:rPr>
        <w:t>-</w:t>
      </w:r>
      <w:r w:rsidRPr="003B63CB">
        <w:rPr>
          <w:rStyle w:val="aff4"/>
          <w:rFonts w:hint="cs"/>
          <w:rtl/>
        </w:rPr>
        <w:t>רש"י</w:t>
      </w:r>
      <w:r w:rsidRPr="003B63CB">
        <w:rPr>
          <w:rFonts w:hint="cs"/>
          <w:vanish/>
          <w:rtl/>
        </w:rPr>
        <w:t>-</w:t>
      </w:r>
      <w:r w:rsidRPr="003B63CB">
        <w:rPr>
          <w:rFonts w:hint="cs"/>
          <w:rtl/>
        </w:rPr>
        <w:t xml:space="preserve"> </w:t>
      </w:r>
      <w:r w:rsidRPr="003B63CB">
        <w:rPr>
          <w:rStyle w:val="af2"/>
          <w:rFonts w:eastAsia="Guttman Hodes" w:hint="cs"/>
          <w:rtl/>
        </w:rPr>
        <w:t xml:space="preserve">(עי' אות </w:t>
      </w:r>
      <w:r w:rsidRPr="003B63CB">
        <w:rPr>
          <w:rStyle w:val="af2"/>
          <w:rFonts w:eastAsia="Guttman Hodes"/>
          <w:rtl/>
        </w:rPr>
        <w:fldChar w:fldCharType="begin"/>
      </w:r>
      <w:r w:rsidRPr="003B63CB">
        <w:rPr>
          <w:rStyle w:val="af2"/>
          <w:rFonts w:eastAsia="Guttman Hodes"/>
          <w:rtl/>
        </w:rPr>
        <w:instrText xml:space="preserve"> </w:instrText>
      </w:r>
      <w:r w:rsidRPr="003B63CB">
        <w:rPr>
          <w:rStyle w:val="af2"/>
          <w:rFonts w:eastAsia="Guttman Hodes" w:hint="cs"/>
        </w:rPr>
        <w:instrText>REF</w:instrText>
      </w:r>
      <w:r w:rsidRPr="003B63CB">
        <w:rPr>
          <w:rStyle w:val="af2"/>
          <w:rFonts w:eastAsia="Guttman Hodes" w:hint="cs"/>
          <w:rtl/>
        </w:rPr>
        <w:instrText xml:space="preserve"> _</w:instrText>
      </w:r>
      <w:r w:rsidRPr="003B63CB">
        <w:rPr>
          <w:rStyle w:val="af2"/>
          <w:rFonts w:eastAsia="Guttman Hodes" w:hint="cs"/>
        </w:rPr>
        <w:instrText>Ref139367336 \r \h</w:instrText>
      </w:r>
      <w:r w:rsidRPr="003B63CB">
        <w:rPr>
          <w:rStyle w:val="af2"/>
          <w:rFonts w:eastAsia="Guttman Hodes"/>
          <w:rtl/>
        </w:rPr>
        <w:instrText xml:space="preserve">  \* </w:instrText>
      </w:r>
      <w:r w:rsidRPr="003B63CB">
        <w:rPr>
          <w:rStyle w:val="af2"/>
          <w:rFonts w:eastAsia="Guttman Hodes"/>
        </w:rPr>
        <w:instrText>MERGEFORMAT</w:instrText>
      </w:r>
      <w:r w:rsidRPr="003B63CB">
        <w:rPr>
          <w:rStyle w:val="af2"/>
          <w:rFonts w:eastAsia="Guttman Hodes"/>
          <w:rtl/>
        </w:rPr>
        <w:instrText xml:space="preserve"> </w:instrText>
      </w:r>
      <w:r w:rsidRPr="003B63CB">
        <w:rPr>
          <w:rStyle w:val="af2"/>
          <w:rFonts w:eastAsia="Guttman Hodes"/>
          <w:rtl/>
        </w:rPr>
      </w:r>
      <w:r w:rsidRPr="003B63CB">
        <w:rPr>
          <w:rStyle w:val="af2"/>
          <w:rFonts w:eastAsia="Guttman Hodes"/>
          <w:rtl/>
        </w:rPr>
        <w:fldChar w:fldCharType="separate"/>
      </w:r>
      <w:r w:rsidR="00D82181">
        <w:rPr>
          <w:rStyle w:val="af2"/>
          <w:rFonts w:eastAsia="Guttman Hodes"/>
          <w:cs/>
        </w:rPr>
        <w:t>‎</w:t>
      </w:r>
      <w:r w:rsidR="00D82181">
        <w:rPr>
          <w:rStyle w:val="af2"/>
          <w:rFonts w:eastAsia="Guttman Hodes"/>
          <w:rtl/>
        </w:rPr>
        <w:t>כט)</w:t>
      </w:r>
      <w:r w:rsidRPr="003B63CB">
        <w:rPr>
          <w:rStyle w:val="af2"/>
          <w:rFonts w:eastAsia="Guttman Hodes"/>
          <w:rtl/>
        </w:rPr>
        <w:fldChar w:fldCharType="end"/>
      </w:r>
      <w:r w:rsidRPr="003B63CB">
        <w:rPr>
          <w:rFonts w:hint="cs"/>
          <w:rtl/>
        </w:rPr>
        <w:t xml:space="preserve"> דכשמבעיר עצים לבשל דמקלקל לגבי העצים, והתיקון בדבר אחר לא חשיב דהוא מלאכה שאינה צריכה לגופה, והא ברצונו באה לו המלאכה, וכעי"ז הקשה </w:t>
      </w:r>
      <w:r w:rsidRPr="003B63CB">
        <w:rPr>
          <w:rStyle w:val="aff4"/>
          <w:rFonts w:hint="cs"/>
          <w:vanish/>
          <w:rtl/>
        </w:rPr>
        <w:t>-</w:t>
      </w:r>
      <w:r w:rsidRPr="003B63CB">
        <w:rPr>
          <w:rStyle w:val="aff4"/>
          <w:rFonts w:hint="cs"/>
          <w:rtl/>
        </w:rPr>
        <w:t>המרכבת המשנה</w:t>
      </w:r>
      <w:r w:rsidRPr="003B63CB">
        <w:rPr>
          <w:rStyle w:val="aff4"/>
          <w:rFonts w:hint="cs"/>
          <w:vanish/>
          <w:rtl/>
        </w:rPr>
        <w:t>-</w:t>
      </w:r>
      <w:r w:rsidRPr="003B63CB">
        <w:rPr>
          <w:rFonts w:hint="cs"/>
          <w:rtl/>
        </w:rPr>
        <w:t xml:space="preserve"> </w:t>
      </w:r>
      <w:r w:rsidRPr="003B63CB">
        <w:rPr>
          <w:rStyle w:val="af2"/>
          <w:rFonts w:eastAsia="Guttman Hodes" w:hint="cs"/>
          <w:rtl/>
        </w:rPr>
        <w:t>(עי' אות</w:t>
      </w:r>
      <w:r w:rsidRPr="003B63CB">
        <w:rPr>
          <w:rStyle w:val="af2"/>
          <w:rFonts w:eastAsia="Guttman Hodes"/>
          <w:rtl/>
        </w:rPr>
        <w:t xml:space="preserve"> </w:t>
      </w:r>
      <w:r w:rsidRPr="003B63CB">
        <w:rPr>
          <w:rStyle w:val="af2"/>
          <w:rFonts w:eastAsia="Guttman Hodes"/>
          <w:rtl/>
        </w:rPr>
        <w:fldChar w:fldCharType="begin"/>
      </w:r>
      <w:r w:rsidRPr="003B63CB">
        <w:rPr>
          <w:rStyle w:val="af2"/>
          <w:rFonts w:eastAsia="Guttman Hodes"/>
          <w:rtl/>
        </w:rPr>
        <w:instrText xml:space="preserve"> </w:instrText>
      </w:r>
      <w:r w:rsidRPr="003B63CB">
        <w:rPr>
          <w:rStyle w:val="af2"/>
          <w:rFonts w:eastAsia="Guttman Hodes"/>
        </w:rPr>
        <w:instrText>REF</w:instrText>
      </w:r>
      <w:r w:rsidRPr="003B63CB">
        <w:rPr>
          <w:rStyle w:val="af2"/>
          <w:rFonts w:eastAsia="Guttman Hodes"/>
          <w:rtl/>
        </w:rPr>
        <w:instrText xml:space="preserve"> _</w:instrText>
      </w:r>
      <w:r w:rsidRPr="003B63CB">
        <w:rPr>
          <w:rStyle w:val="af2"/>
          <w:rFonts w:eastAsia="Guttman Hodes"/>
        </w:rPr>
        <w:instrText>Ref139794380 \r \h</w:instrText>
      </w:r>
      <w:r w:rsidRPr="003B63CB">
        <w:rPr>
          <w:rStyle w:val="af2"/>
          <w:rFonts w:eastAsia="Guttman Hodes"/>
          <w:rtl/>
        </w:rPr>
        <w:instrText xml:space="preserve">  \* </w:instrText>
      </w:r>
      <w:r w:rsidRPr="003B63CB">
        <w:rPr>
          <w:rStyle w:val="af2"/>
          <w:rFonts w:eastAsia="Guttman Hodes"/>
        </w:rPr>
        <w:instrText>MERGEFORMAT</w:instrText>
      </w:r>
      <w:r w:rsidRPr="003B63CB">
        <w:rPr>
          <w:rStyle w:val="af2"/>
          <w:rFonts w:eastAsia="Guttman Hodes"/>
          <w:rtl/>
        </w:rPr>
        <w:instrText xml:space="preserve"> </w:instrText>
      </w:r>
      <w:r w:rsidRPr="003B63CB">
        <w:rPr>
          <w:rStyle w:val="af2"/>
          <w:rFonts w:eastAsia="Guttman Hodes"/>
          <w:rtl/>
        </w:rPr>
      </w:r>
      <w:r w:rsidRPr="003B63CB">
        <w:rPr>
          <w:rStyle w:val="af2"/>
          <w:rFonts w:eastAsia="Guttman Hodes"/>
          <w:rtl/>
        </w:rPr>
        <w:fldChar w:fldCharType="separate"/>
      </w:r>
      <w:r w:rsidR="00D82181">
        <w:rPr>
          <w:rStyle w:val="af2"/>
          <w:rFonts w:eastAsia="Guttman Hodes"/>
          <w:cs/>
        </w:rPr>
        <w:t>‎</w:t>
      </w:r>
      <w:r w:rsidR="00D82181">
        <w:rPr>
          <w:rStyle w:val="af2"/>
          <w:rFonts w:eastAsia="Guttman Hodes"/>
          <w:rtl/>
        </w:rPr>
        <w:t>לז)</w:t>
      </w:r>
      <w:r w:rsidRPr="003B63CB">
        <w:rPr>
          <w:rStyle w:val="af2"/>
          <w:rFonts w:eastAsia="Guttman Hodes"/>
          <w:rtl/>
        </w:rPr>
        <w:fldChar w:fldCharType="end"/>
      </w:r>
      <w:r w:rsidRPr="003B63CB">
        <w:rPr>
          <w:rFonts w:hint="cs"/>
          <w:rtl/>
        </w:rPr>
        <w:t>.</w:t>
      </w:r>
    </w:p>
    <w:p w14:paraId="529DBF19" w14:textId="77777777" w:rsidR="002748A5" w:rsidRPr="00747170" w:rsidRDefault="002748A5" w:rsidP="00747170">
      <w:pPr>
        <w:pStyle w:val="a2"/>
        <w:rPr>
          <w:rtl/>
        </w:rPr>
      </w:pPr>
      <w:r w:rsidRPr="00747170">
        <w:rPr>
          <w:rFonts w:hint="cs"/>
          <w:rtl/>
        </w:rPr>
        <w:t>בא"ד</w:t>
      </w:r>
      <w:r w:rsidRPr="00747170">
        <w:rPr>
          <w:rtl/>
        </w:rPr>
        <w:t xml:space="preserve"> ול"נ מתני' רבי יהודה היא דאמר מלאכה שאינה צריכה לגופה וכו' הנה התוס' הקשו בד"ה בחובל וכו' שהרי לרבי שמעון בעינן צריכה לגופה אף במקלקל בחבורה כדמוכח</w:t>
      </w:r>
      <w:r w:rsidRPr="00747170">
        <w:rPr>
          <w:rFonts w:hint="cs"/>
          <w:rtl/>
        </w:rPr>
        <w:t xml:space="preserve"> </w:t>
      </w:r>
      <w:r w:rsidRPr="00747170">
        <w:rPr>
          <w:rtl/>
        </w:rPr>
        <w:t>בריש הנחנקין ע"ש ועיין מ"ש המהרש"א על זה ונראה דהנה רש"י ס"ל לעיל דף צ"ג ע"ב במתני' דמלאכה שאינה צריכה לגופה היינו שברצונו לא באה לו אותו המלאכה כמוציא המת לקוברו ע"ש וצריכים להבין איך כתב רש"י בד"ה וברייתא שמבעיר עצים לקדרתו הוה אינה צריכה לגופה הלא ברצונו באה לו</w:t>
      </w:r>
      <w:r w:rsidRPr="00747170">
        <w:rPr>
          <w:rFonts w:hint="cs"/>
          <w:rtl/>
        </w:rPr>
        <w:t>.</w:t>
      </w:r>
    </w:p>
    <w:p w14:paraId="08B8F4CE" w14:textId="77777777" w:rsidR="002748A5" w:rsidRPr="003B63CB" w:rsidRDefault="002748A5" w:rsidP="002748A5">
      <w:pPr>
        <w:pStyle w:val="a7"/>
        <w:rPr>
          <w:rtl/>
        </w:rPr>
      </w:pPr>
      <w:bookmarkStart w:id="3264" w:name="_Toc140074183"/>
      <w:bookmarkStart w:id="3265" w:name="_Toc140092033"/>
      <w:bookmarkStart w:id="3266" w:name="_Toc140144233"/>
      <w:bookmarkStart w:id="3267" w:name="_Toc140144464"/>
      <w:r w:rsidRPr="003B63CB">
        <w:rPr>
          <w:rFonts w:hint="cs"/>
          <w:rtl/>
        </w:rPr>
        <w:t>בי' החת"ס דמבעיר הוא מקלקל בעצים ולענין מלאכת מחשבת חשיב שאינו רוצה במלאכה</w:t>
      </w:r>
      <w:bookmarkEnd w:id="3264"/>
      <w:bookmarkEnd w:id="3265"/>
      <w:bookmarkEnd w:id="3266"/>
      <w:bookmarkEnd w:id="3267"/>
    </w:p>
    <w:p w14:paraId="3A944AB1" w14:textId="77777777" w:rsidR="002748A5" w:rsidRPr="003B63CB" w:rsidRDefault="002748A5" w:rsidP="00BC7DC8">
      <w:pPr>
        <w:pStyle w:val="a3"/>
      </w:pPr>
      <w:r w:rsidRPr="003B63CB">
        <w:rPr>
          <w:rFonts w:hint="cs"/>
          <w:rtl/>
        </w:rPr>
        <w:t xml:space="preserve">ותירץ </w:t>
      </w:r>
      <w:r w:rsidRPr="003B63CB">
        <w:rPr>
          <w:rFonts w:hint="cs"/>
          <w:vanish/>
          <w:rtl/>
        </w:rPr>
        <w:t>-</w:t>
      </w:r>
      <w:r w:rsidRPr="003B63CB">
        <w:rPr>
          <w:rStyle w:val="aff4"/>
          <w:rFonts w:hint="cs"/>
          <w:rtl/>
        </w:rPr>
        <w:t>החת"ס</w:t>
      </w:r>
      <w:r w:rsidRPr="003B63CB">
        <w:rPr>
          <w:rFonts w:hint="cs"/>
          <w:vanish/>
          <w:rtl/>
        </w:rPr>
        <w:t>-</w:t>
      </w:r>
      <w:r w:rsidRPr="003B63CB">
        <w:rPr>
          <w:rFonts w:hint="cs"/>
          <w:rtl/>
        </w:rPr>
        <w:t xml:space="preserve"> דכיון דהבערת העצים חשיבא קלקול, אי"ז נקרא רצון, כיון דבשבת החיוב הוא רק במלאכת מחשבת, והפטור דמקלקל הוא כיון דאינו בכלל מלאכת מחשבת, וכיון דאינו נקרא ברצונו, חשיבא מלאכה שאינה צריכה לגופה.</w:t>
      </w:r>
    </w:p>
    <w:p w14:paraId="6602498E" w14:textId="77777777" w:rsidR="002748A5" w:rsidRPr="00747170" w:rsidRDefault="002748A5" w:rsidP="00747170">
      <w:pPr>
        <w:pStyle w:val="a2"/>
      </w:pPr>
      <w:r w:rsidRPr="00747170">
        <w:rPr>
          <w:rtl/>
        </w:rPr>
        <w:t>וצריכים ע"כ לתרץ דכיון דהוה מקלקל לא מיקרי רצון שהרי מקפידין אמלאכת מחשבת ומשום הכי פטרינן מקלקל דלא הוה מחשבת א"כ לא מיקרי רצון ושפיר פירש"י דהוה מלאכה שאינה צריכה לגופה</w:t>
      </w:r>
      <w:r w:rsidRPr="00747170">
        <w:rPr>
          <w:rFonts w:hint="cs"/>
          <w:rtl/>
        </w:rPr>
        <w:t>.</w:t>
      </w:r>
    </w:p>
    <w:p w14:paraId="00CCC3F3" w14:textId="77777777" w:rsidR="002748A5" w:rsidRDefault="002748A5" w:rsidP="002748A5">
      <w:pPr>
        <w:pStyle w:val="a7"/>
        <w:rPr>
          <w:rtl/>
        </w:rPr>
      </w:pPr>
      <w:bookmarkStart w:id="3268" w:name="_Toc140074184"/>
      <w:bookmarkStart w:id="3269" w:name="_Toc140092034"/>
    </w:p>
    <w:p w14:paraId="4A860251" w14:textId="77777777" w:rsidR="002748A5" w:rsidRPr="003B63CB" w:rsidRDefault="002748A5" w:rsidP="002748A5">
      <w:pPr>
        <w:pStyle w:val="a7"/>
        <w:rPr>
          <w:rtl/>
        </w:rPr>
      </w:pPr>
      <w:bookmarkStart w:id="3270" w:name="_Toc140144234"/>
      <w:bookmarkStart w:id="3271" w:name="_Toc140144465"/>
      <w:r w:rsidRPr="003B63CB">
        <w:rPr>
          <w:rFonts w:hint="cs"/>
          <w:rtl/>
        </w:rPr>
        <w:t>בי' החת"ס דלמסקנא דמקלקל בחבורה חייב וא"צ מלאכת מחשבת חשיב ברצונו וצריך לגופה</w:t>
      </w:r>
      <w:bookmarkEnd w:id="3268"/>
      <w:bookmarkEnd w:id="3269"/>
      <w:bookmarkEnd w:id="3270"/>
      <w:bookmarkEnd w:id="3271"/>
    </w:p>
    <w:p w14:paraId="1213AA62" w14:textId="2AC8D049" w:rsidR="002748A5" w:rsidRPr="003B63CB" w:rsidRDefault="002748A5" w:rsidP="00BC7DC8">
      <w:pPr>
        <w:pStyle w:val="a3"/>
      </w:pPr>
      <w:r w:rsidRPr="003B63CB">
        <w:rPr>
          <w:rFonts w:hint="cs"/>
          <w:rtl/>
        </w:rPr>
        <w:t xml:space="preserve">ולפי"ז תירץ </w:t>
      </w:r>
      <w:r w:rsidRPr="003B63CB">
        <w:rPr>
          <w:rFonts w:hint="cs"/>
          <w:vanish/>
          <w:rtl/>
        </w:rPr>
        <w:t>-</w:t>
      </w:r>
      <w:r w:rsidRPr="003B63CB">
        <w:rPr>
          <w:rStyle w:val="aff4"/>
          <w:rFonts w:hint="cs"/>
          <w:rtl/>
        </w:rPr>
        <w:t>החת"ס</w:t>
      </w:r>
      <w:r w:rsidRPr="003B63CB">
        <w:rPr>
          <w:rFonts w:hint="cs"/>
          <w:vanish/>
          <w:rtl/>
        </w:rPr>
        <w:t>-</w:t>
      </w:r>
      <w:r w:rsidRPr="003B63CB">
        <w:rPr>
          <w:rFonts w:hint="cs"/>
          <w:rtl/>
        </w:rPr>
        <w:t xml:space="preserve"> את קושית </w:t>
      </w:r>
      <w:r w:rsidRPr="003B63CB">
        <w:rPr>
          <w:rStyle w:val="aff4"/>
          <w:rFonts w:hint="cs"/>
          <w:vanish/>
          <w:rtl/>
        </w:rPr>
        <w:t>-</w:t>
      </w:r>
      <w:r w:rsidRPr="003B63CB">
        <w:rPr>
          <w:rStyle w:val="aff4"/>
          <w:rFonts w:hint="cs"/>
          <w:rtl/>
        </w:rPr>
        <w:t>התוס'</w:t>
      </w:r>
      <w:r w:rsidRPr="003B63CB">
        <w:rPr>
          <w:rStyle w:val="aff4"/>
          <w:rFonts w:hint="cs"/>
          <w:vanish/>
          <w:rtl/>
        </w:rPr>
        <w:t>-</w:t>
      </w:r>
      <w:r w:rsidRPr="003B63CB">
        <w:rPr>
          <w:rFonts w:hint="cs"/>
          <w:rtl/>
        </w:rPr>
        <w:t xml:space="preserve"> </w:t>
      </w:r>
      <w:r w:rsidRPr="003B63CB">
        <w:rPr>
          <w:rStyle w:val="af2"/>
          <w:rFonts w:eastAsia="Guttman Hodes" w:hint="cs"/>
          <w:rtl/>
        </w:rPr>
        <w:t>(</w:t>
      </w:r>
      <w:r w:rsidRPr="00D712FD">
        <w:rPr>
          <w:rStyle w:val="af2"/>
          <w:rFonts w:eastAsia="Guttman Rashi" w:hint="cs"/>
          <w:rtl/>
        </w:rPr>
        <w:t>הובא בסימן ט'</w:t>
      </w:r>
      <w:r w:rsidRPr="003B63CB">
        <w:rPr>
          <w:rStyle w:val="af2"/>
          <w:rFonts w:eastAsia="Guttman Hodes" w:hint="cs"/>
          <w:rtl/>
        </w:rPr>
        <w:t xml:space="preserve"> אות </w:t>
      </w:r>
      <w:r w:rsidRPr="003B63CB">
        <w:rPr>
          <w:rStyle w:val="af2"/>
          <w:rFonts w:eastAsia="Guttman Hodes"/>
          <w:rtl/>
        </w:rPr>
        <w:fldChar w:fldCharType="begin"/>
      </w:r>
      <w:r w:rsidRPr="003B63CB">
        <w:rPr>
          <w:rStyle w:val="af2"/>
          <w:rFonts w:eastAsia="Guttman Hodes"/>
          <w:rtl/>
        </w:rPr>
        <w:instrText xml:space="preserve"> </w:instrText>
      </w:r>
      <w:r w:rsidRPr="003B63CB">
        <w:rPr>
          <w:rStyle w:val="af2"/>
          <w:rFonts w:eastAsia="Guttman Hodes" w:hint="cs"/>
        </w:rPr>
        <w:instrText>REF</w:instrText>
      </w:r>
      <w:r w:rsidRPr="003B63CB">
        <w:rPr>
          <w:rStyle w:val="af2"/>
          <w:rFonts w:eastAsia="Guttman Hodes" w:hint="cs"/>
          <w:rtl/>
        </w:rPr>
        <w:instrText xml:space="preserve"> _</w:instrText>
      </w:r>
      <w:r w:rsidRPr="003B63CB">
        <w:rPr>
          <w:rStyle w:val="af2"/>
          <w:rFonts w:eastAsia="Guttman Hodes" w:hint="cs"/>
        </w:rPr>
        <w:instrText>Ref139918137 \r \h</w:instrText>
      </w:r>
      <w:r w:rsidRPr="003B63CB">
        <w:rPr>
          <w:rStyle w:val="af2"/>
          <w:rFonts w:eastAsia="Guttman Hodes"/>
          <w:rtl/>
        </w:rPr>
        <w:instrText xml:space="preserve">  \* </w:instrText>
      </w:r>
      <w:r w:rsidRPr="003B63CB">
        <w:rPr>
          <w:rStyle w:val="af2"/>
          <w:rFonts w:eastAsia="Guttman Hodes"/>
        </w:rPr>
        <w:instrText>MERGEFORMAT</w:instrText>
      </w:r>
      <w:r w:rsidRPr="003B63CB">
        <w:rPr>
          <w:rStyle w:val="af2"/>
          <w:rFonts w:eastAsia="Guttman Hodes"/>
          <w:rtl/>
        </w:rPr>
        <w:instrText xml:space="preserve"> </w:instrText>
      </w:r>
      <w:r w:rsidRPr="003B63CB">
        <w:rPr>
          <w:rStyle w:val="af2"/>
          <w:rFonts w:eastAsia="Guttman Hodes"/>
          <w:rtl/>
        </w:rPr>
      </w:r>
      <w:r w:rsidRPr="003B63CB">
        <w:rPr>
          <w:rStyle w:val="af2"/>
          <w:rFonts w:eastAsia="Guttman Hodes"/>
          <w:rtl/>
        </w:rPr>
        <w:fldChar w:fldCharType="separate"/>
      </w:r>
      <w:r w:rsidR="00D82181" w:rsidRPr="00D82181">
        <w:rPr>
          <w:rStyle w:val="af2"/>
          <w:rFonts w:eastAsia="Guttman Hodes"/>
          <w:b/>
          <w:bCs/>
          <w:cs/>
        </w:rPr>
        <w:t>‎</w:t>
      </w:r>
      <w:r w:rsidR="00D82181" w:rsidRPr="00D82181">
        <w:rPr>
          <w:rStyle w:val="af2"/>
          <w:rFonts w:eastAsia="Guttman Hodes"/>
          <w:b/>
          <w:bCs/>
          <w:rtl/>
        </w:rPr>
        <w:t>ל)</w:t>
      </w:r>
      <w:r w:rsidRPr="003B63CB">
        <w:rPr>
          <w:rStyle w:val="af2"/>
          <w:rFonts w:eastAsia="Guttman Hodes"/>
          <w:rtl/>
        </w:rPr>
        <w:fldChar w:fldCharType="end"/>
      </w:r>
      <w:r w:rsidRPr="003B63CB">
        <w:rPr>
          <w:rFonts w:hint="cs"/>
          <w:rtl/>
        </w:rPr>
        <w:t xml:space="preserve"> דמוכח בגמ' בסנהדרין </w:t>
      </w:r>
      <w:r w:rsidRPr="003B63CB">
        <w:rPr>
          <w:rStyle w:val="af2"/>
          <w:rFonts w:eastAsia="Guttman Hodes" w:hint="cs"/>
          <w:rtl/>
        </w:rPr>
        <w:t>(פד:)</w:t>
      </w:r>
      <w:r w:rsidRPr="003B63CB">
        <w:rPr>
          <w:rFonts w:hint="cs"/>
          <w:rtl/>
        </w:rPr>
        <w:t xml:space="preserve"> ובכתובות </w:t>
      </w:r>
      <w:r w:rsidRPr="003B63CB">
        <w:rPr>
          <w:rStyle w:val="af2"/>
          <w:rFonts w:eastAsia="Guttman Hodes" w:hint="cs"/>
          <w:rtl/>
        </w:rPr>
        <w:t>(כ:)</w:t>
      </w:r>
      <w:r w:rsidRPr="003B63CB">
        <w:rPr>
          <w:rFonts w:hint="cs"/>
          <w:rtl/>
        </w:rPr>
        <w:t xml:space="preserve"> דאף בחובל ומבעיר ס"ל לר"ש דחייב רק במלאכה שצריכה לגופה, דלמסקנא דמקלקל בחבורה ובהעברה חייב, א"כ אין בזה פטור דמלאכת מחשבת לענין מקלקל, ולכן חשיב דהמלאכה ברצונו באה לו, והוי מלאכה שצריכה לגופה, וכמבואר בגמ' בסנהדרין דרק במלאכה שצריכה לגופה מחייב ר"ש במקלקל בחבורה.</w:t>
      </w:r>
    </w:p>
    <w:p w14:paraId="177C1F16" w14:textId="77777777" w:rsidR="002748A5" w:rsidRPr="00747170" w:rsidRDefault="002748A5" w:rsidP="00747170">
      <w:pPr>
        <w:pStyle w:val="a2"/>
        <w:rPr>
          <w:rtl/>
        </w:rPr>
      </w:pPr>
      <w:r w:rsidRPr="00747170">
        <w:rPr>
          <w:rtl/>
        </w:rPr>
        <w:t>אבל לבתר דידעינן שמקלקל בחבורה והבערה חייב א"כ ממילא הוה צריכה לגופה שהרי ברצונו באה לו ואי דהוה מקלקל זה אינו גריעותא בחבורה והבערה ומסול</w:t>
      </w:r>
      <w:r w:rsidRPr="00747170">
        <w:rPr>
          <w:rFonts w:hint="cs"/>
          <w:rtl/>
        </w:rPr>
        <w:t>ק</w:t>
      </w:r>
      <w:r w:rsidRPr="00747170">
        <w:rPr>
          <w:rtl/>
        </w:rPr>
        <w:t>ת קושית תוס' מרש"י ודוק</w:t>
      </w:r>
      <w:r w:rsidRPr="00747170">
        <w:rPr>
          <w:rFonts w:hint="cs"/>
          <w:rtl/>
        </w:rPr>
        <w:t>.</w:t>
      </w:r>
    </w:p>
    <w:p w14:paraId="0FC14C49" w14:textId="77777777" w:rsidR="002748A5" w:rsidRPr="003B63CB" w:rsidRDefault="002748A5" w:rsidP="002748A5">
      <w:pPr>
        <w:pStyle w:val="1"/>
      </w:pPr>
      <w:bookmarkStart w:id="3272" w:name="_Toc140074185"/>
      <w:bookmarkStart w:id="3273" w:name="_Toc140092035"/>
      <w:bookmarkStart w:id="3274" w:name="_Toc140144235"/>
      <w:bookmarkStart w:id="3275" w:name="_Toc140144466"/>
      <w:r w:rsidRPr="003B63CB">
        <w:rPr>
          <w:rFonts w:hint="cs"/>
          <w:rtl/>
        </w:rPr>
        <w:t>בי' המהרמ"ש דלא רוצה במעשה החבלה אף דרוצה במלאכה</w:t>
      </w:r>
      <w:bookmarkEnd w:id="3272"/>
      <w:bookmarkEnd w:id="3273"/>
      <w:bookmarkEnd w:id="3274"/>
      <w:bookmarkEnd w:id="3275"/>
    </w:p>
    <w:p w14:paraId="05985654" w14:textId="77777777" w:rsidR="002748A5" w:rsidRPr="00C12F78" w:rsidRDefault="002748A5" w:rsidP="002748A5">
      <w:pPr>
        <w:pStyle w:val="afffff7"/>
        <w:rPr>
          <w:rtl/>
        </w:rPr>
      </w:pPr>
      <w:bookmarkStart w:id="3276" w:name="_Toc140074268"/>
      <w:bookmarkStart w:id="3277" w:name="_Toc140144364"/>
      <w:bookmarkStart w:id="3278" w:name="_Toc140144840"/>
      <w:bookmarkStart w:id="3279" w:name="_Toc163505955"/>
      <w:r w:rsidRPr="00C12F78">
        <w:rPr>
          <w:rtl/>
        </w:rPr>
        <w:t>מהר"ם שיף סנהדרין פ"ד ע"ב</w:t>
      </w:r>
      <w:r w:rsidRPr="00C12F78">
        <w:rPr>
          <w:rFonts w:hint="cs"/>
          <w:rtl/>
        </w:rPr>
        <w:t xml:space="preserve"> ד"ה ונשוב</w:t>
      </w:r>
      <w:bookmarkEnd w:id="3276"/>
      <w:bookmarkEnd w:id="3277"/>
      <w:r w:rsidRPr="00C12F78">
        <w:rPr>
          <w:rtl/>
        </w:rPr>
        <w:t xml:space="preserve"> (ח)</w:t>
      </w:r>
      <w:bookmarkEnd w:id="3278"/>
      <w:bookmarkEnd w:id="3279"/>
    </w:p>
    <w:p w14:paraId="403484C5" w14:textId="77777777" w:rsidR="002748A5" w:rsidRPr="003B63CB" w:rsidRDefault="002748A5" w:rsidP="002748A5">
      <w:pPr>
        <w:pStyle w:val="a7"/>
        <w:rPr>
          <w:rtl/>
        </w:rPr>
      </w:pPr>
      <w:bookmarkStart w:id="3280" w:name="_Toc140074186"/>
      <w:bookmarkStart w:id="3281" w:name="_Toc140092036"/>
      <w:bookmarkStart w:id="3282" w:name="_Toc140144236"/>
      <w:bookmarkStart w:id="3283" w:name="_Toc140144467"/>
      <w:r w:rsidRPr="003B63CB">
        <w:rPr>
          <w:rFonts w:hint="cs"/>
          <w:rtl/>
        </w:rPr>
        <w:t>בי' המהר"ם שיף דחובל לכלבו ומבעיר לאפרו משאלצ"ג אף דרוצה במלאכה לא רוצה בקלקול</w:t>
      </w:r>
      <w:bookmarkEnd w:id="3280"/>
      <w:bookmarkEnd w:id="3281"/>
      <w:bookmarkEnd w:id="3282"/>
      <w:bookmarkEnd w:id="3283"/>
      <w:r w:rsidRPr="003B63CB">
        <w:rPr>
          <w:rFonts w:hint="cs"/>
          <w:rtl/>
        </w:rPr>
        <w:t xml:space="preserve"> </w:t>
      </w:r>
    </w:p>
    <w:p w14:paraId="39D65282" w14:textId="1415C827" w:rsidR="002748A5" w:rsidRPr="003B63CB" w:rsidRDefault="002748A5" w:rsidP="00BC7DC8">
      <w:pPr>
        <w:pStyle w:val="a3"/>
        <w:rPr>
          <w:rtl/>
        </w:rPr>
      </w:pPr>
      <w:bookmarkStart w:id="3284" w:name="_Ref139817870"/>
      <w:r w:rsidRPr="003B63CB">
        <w:rPr>
          <w:rFonts w:hint="cs"/>
          <w:rtl/>
        </w:rPr>
        <w:t xml:space="preserve">ועי' </w:t>
      </w:r>
      <w:r w:rsidRPr="003B63CB">
        <w:rPr>
          <w:rStyle w:val="aff4"/>
          <w:rFonts w:hint="cs"/>
          <w:vanish/>
          <w:rtl/>
        </w:rPr>
        <w:t>-</w:t>
      </w:r>
      <w:r w:rsidRPr="003B63CB">
        <w:rPr>
          <w:rStyle w:val="aff4"/>
          <w:rFonts w:hint="cs"/>
          <w:rtl/>
        </w:rPr>
        <w:t>ב</w:t>
      </w:r>
      <w:r w:rsidRPr="003B63CB">
        <w:rPr>
          <w:rStyle w:val="aff4"/>
          <w:rFonts w:hint="cs"/>
          <w:vanish/>
          <w:rtl/>
        </w:rPr>
        <w:t xml:space="preserve">&lt;, </w:t>
      </w:r>
      <w:r w:rsidRPr="003B63CB">
        <w:rPr>
          <w:rStyle w:val="aff4"/>
          <w:vanish/>
          <w:rtl/>
        </w:rPr>
        <w:fldChar w:fldCharType="begin"/>
      </w:r>
      <w:r w:rsidRPr="003B63CB">
        <w:rPr>
          <w:rStyle w:val="aff4"/>
          <w:vanish/>
          <w:rtl/>
        </w:rPr>
        <w:instrText xml:space="preserve"> </w:instrText>
      </w:r>
      <w:r w:rsidRPr="003B63CB">
        <w:rPr>
          <w:rStyle w:val="aff4"/>
          <w:rFonts w:hint="cs"/>
          <w:vanish/>
        </w:rPr>
        <w:instrText>REF</w:instrText>
      </w:r>
      <w:r w:rsidRPr="003B63CB">
        <w:rPr>
          <w:rStyle w:val="aff4"/>
          <w:rFonts w:hint="cs"/>
          <w:vanish/>
          <w:rtl/>
        </w:rPr>
        <w:instrText xml:space="preserve"> _</w:instrText>
      </w:r>
      <w:r w:rsidRPr="003B63CB">
        <w:rPr>
          <w:rStyle w:val="aff4"/>
          <w:rFonts w:hint="cs"/>
          <w:vanish/>
        </w:rPr>
        <w:instrText>Ref139817870 \r \h</w:instrText>
      </w:r>
      <w:r w:rsidRPr="003B63CB">
        <w:rPr>
          <w:rStyle w:val="aff4"/>
          <w:vanish/>
          <w:rtl/>
        </w:rPr>
        <w:instrText xml:space="preserve">  \* </w:instrText>
      </w:r>
      <w:r w:rsidRPr="003B63CB">
        <w:rPr>
          <w:rStyle w:val="aff4"/>
          <w:vanish/>
        </w:rPr>
        <w:instrText>MERGEFORMAT</w:instrText>
      </w:r>
      <w:r w:rsidRPr="003B63CB">
        <w:rPr>
          <w:rStyle w:val="aff4"/>
          <w:vanish/>
          <w:rtl/>
        </w:rPr>
        <w:instrText xml:space="preserve"> </w:instrText>
      </w:r>
      <w:r w:rsidRPr="003B63CB">
        <w:rPr>
          <w:rStyle w:val="aff4"/>
          <w:vanish/>
          <w:rtl/>
        </w:rPr>
      </w:r>
      <w:r w:rsidRPr="003B63CB">
        <w:rPr>
          <w:rStyle w:val="aff4"/>
          <w:vanish/>
          <w:rtl/>
        </w:rPr>
        <w:fldChar w:fldCharType="separate"/>
      </w:r>
      <w:r w:rsidR="00D82181">
        <w:rPr>
          <w:rStyle w:val="aff4"/>
          <w:vanish/>
          <w:cs/>
        </w:rPr>
        <w:t>‎</w:t>
      </w:r>
      <w:r w:rsidR="00D82181">
        <w:rPr>
          <w:rStyle w:val="aff4"/>
          <w:vanish/>
          <w:rtl/>
        </w:rPr>
        <w:t>לו)</w:t>
      </w:r>
      <w:r w:rsidRPr="003B63CB">
        <w:rPr>
          <w:rStyle w:val="aff4"/>
          <w:vanish/>
          <w:rtl/>
        </w:rPr>
        <w:fldChar w:fldCharType="end"/>
      </w:r>
      <w:r w:rsidRPr="003B63CB">
        <w:rPr>
          <w:rStyle w:val="aff4"/>
          <w:rFonts w:hint="cs"/>
          <w:vanish/>
          <w:rtl/>
        </w:rPr>
        <w:t xml:space="preserve"> &gt;</w:t>
      </w:r>
      <w:r w:rsidRPr="003B63CB">
        <w:rPr>
          <w:rStyle w:val="aff4"/>
          <w:rFonts w:hint="cs"/>
          <w:rtl/>
        </w:rPr>
        <w:t>מהר"ם שיף בסנהדרין</w:t>
      </w:r>
      <w:r w:rsidRPr="003B63CB">
        <w:rPr>
          <w:rStyle w:val="aff4"/>
          <w:rFonts w:hint="cs"/>
          <w:vanish/>
          <w:rtl/>
        </w:rPr>
        <w:t>-</w:t>
      </w:r>
      <w:r w:rsidRPr="003B63CB">
        <w:rPr>
          <w:rFonts w:hint="cs"/>
          <w:rtl/>
        </w:rPr>
        <w:t xml:space="preserve"> </w:t>
      </w:r>
      <w:r w:rsidRPr="003B63CB">
        <w:rPr>
          <w:rStyle w:val="af2"/>
          <w:rFonts w:eastAsia="Guttman Hodes" w:hint="cs"/>
          <w:rtl/>
        </w:rPr>
        <w:t>(פד: ד"ה ונשוב)</w:t>
      </w:r>
      <w:r w:rsidRPr="003B63CB">
        <w:rPr>
          <w:rFonts w:hint="cs"/>
          <w:vanish/>
          <w:rtl/>
        </w:rPr>
        <w:t>=</w:t>
      </w:r>
      <w:r w:rsidRPr="003B63CB">
        <w:rPr>
          <w:rFonts w:hint="cs"/>
          <w:rtl/>
        </w:rPr>
        <w:t xml:space="preserve"> דהאריך לבאר את דברי </w:t>
      </w:r>
      <w:r w:rsidRPr="003B63CB">
        <w:rPr>
          <w:rStyle w:val="aff4"/>
          <w:rFonts w:hint="cs"/>
          <w:vanish/>
          <w:rtl/>
        </w:rPr>
        <w:t>-</w:t>
      </w:r>
      <w:r w:rsidRPr="003B63CB">
        <w:rPr>
          <w:rStyle w:val="aff4"/>
          <w:rFonts w:hint="cs"/>
          <w:rtl/>
        </w:rPr>
        <w:t>התוס' בסנהדרין</w:t>
      </w:r>
      <w:r w:rsidRPr="003B63CB">
        <w:rPr>
          <w:rStyle w:val="aff4"/>
          <w:rFonts w:hint="cs"/>
          <w:vanish/>
          <w:rtl/>
        </w:rPr>
        <w:t>-</w:t>
      </w:r>
      <w:r w:rsidRPr="003B63CB">
        <w:rPr>
          <w:rFonts w:hint="cs"/>
          <w:rtl/>
        </w:rPr>
        <w:t xml:space="preserve"> </w:t>
      </w:r>
      <w:r w:rsidRPr="003B63CB">
        <w:rPr>
          <w:rStyle w:val="af2"/>
          <w:rFonts w:eastAsia="Guttman Hodes" w:hint="cs"/>
          <w:rtl/>
        </w:rPr>
        <w:t>(</w:t>
      </w:r>
      <w:r w:rsidRPr="00D712FD">
        <w:rPr>
          <w:rStyle w:val="af2"/>
          <w:rFonts w:eastAsia="Guttman Rashi" w:hint="cs"/>
          <w:rtl/>
        </w:rPr>
        <w:t>הובאו בסימן ט'</w:t>
      </w:r>
      <w:r w:rsidRPr="003B63CB">
        <w:rPr>
          <w:rStyle w:val="af2"/>
          <w:rFonts w:eastAsia="Guttman Hodes" w:hint="cs"/>
          <w:rtl/>
        </w:rPr>
        <w:t xml:space="preserve"> אות </w:t>
      </w:r>
      <w:r w:rsidRPr="003B63CB">
        <w:rPr>
          <w:rStyle w:val="af2"/>
          <w:rFonts w:eastAsia="Guttman Hodes"/>
          <w:rtl/>
        </w:rPr>
        <w:fldChar w:fldCharType="begin"/>
      </w:r>
      <w:r w:rsidRPr="003B63CB">
        <w:rPr>
          <w:rStyle w:val="af2"/>
          <w:rFonts w:eastAsia="Guttman Hodes"/>
          <w:rtl/>
        </w:rPr>
        <w:instrText xml:space="preserve"> </w:instrText>
      </w:r>
      <w:r w:rsidRPr="003B63CB">
        <w:rPr>
          <w:rStyle w:val="af2"/>
          <w:rFonts w:eastAsia="Guttman Hodes" w:hint="cs"/>
        </w:rPr>
        <w:instrText>REF</w:instrText>
      </w:r>
      <w:r w:rsidRPr="003B63CB">
        <w:rPr>
          <w:rStyle w:val="af2"/>
          <w:rFonts w:eastAsia="Guttman Hodes" w:hint="cs"/>
          <w:rtl/>
        </w:rPr>
        <w:instrText xml:space="preserve"> _</w:instrText>
      </w:r>
      <w:r w:rsidRPr="003B63CB">
        <w:rPr>
          <w:rStyle w:val="af2"/>
          <w:rFonts w:eastAsia="Guttman Hodes" w:hint="cs"/>
        </w:rPr>
        <w:instrText>Ref139453662 \r \h</w:instrText>
      </w:r>
      <w:r w:rsidRPr="003B63CB">
        <w:rPr>
          <w:rStyle w:val="af2"/>
          <w:rFonts w:eastAsia="Guttman Hodes"/>
          <w:rtl/>
        </w:rPr>
        <w:instrText xml:space="preserve">  \* </w:instrText>
      </w:r>
      <w:r w:rsidRPr="003B63CB">
        <w:rPr>
          <w:rStyle w:val="af2"/>
          <w:rFonts w:eastAsia="Guttman Hodes"/>
        </w:rPr>
        <w:instrText>MERGEFORMAT</w:instrText>
      </w:r>
      <w:r w:rsidRPr="003B63CB">
        <w:rPr>
          <w:rStyle w:val="af2"/>
          <w:rFonts w:eastAsia="Guttman Hodes"/>
          <w:rtl/>
        </w:rPr>
        <w:instrText xml:space="preserve"> </w:instrText>
      </w:r>
      <w:r w:rsidRPr="003B63CB">
        <w:rPr>
          <w:rStyle w:val="af2"/>
          <w:rFonts w:eastAsia="Guttman Hodes"/>
          <w:rtl/>
        </w:rPr>
      </w:r>
      <w:r w:rsidRPr="003B63CB">
        <w:rPr>
          <w:rStyle w:val="af2"/>
          <w:rFonts w:eastAsia="Guttman Hodes"/>
          <w:rtl/>
        </w:rPr>
        <w:fldChar w:fldCharType="separate"/>
      </w:r>
      <w:r w:rsidR="00D82181" w:rsidRPr="00D82181">
        <w:rPr>
          <w:rStyle w:val="af2"/>
          <w:rFonts w:eastAsia="Guttman Hodes"/>
          <w:b/>
          <w:bCs/>
          <w:cs/>
        </w:rPr>
        <w:t>‎</w:t>
      </w:r>
      <w:r w:rsidR="00D82181" w:rsidRPr="00D82181">
        <w:rPr>
          <w:rStyle w:val="af2"/>
          <w:rFonts w:eastAsia="Guttman Hodes"/>
          <w:b/>
          <w:bCs/>
          <w:rtl/>
        </w:rPr>
        <w:t>כז)</w:t>
      </w:r>
      <w:r w:rsidRPr="003B63CB">
        <w:rPr>
          <w:rStyle w:val="af2"/>
          <w:rFonts w:eastAsia="Guttman Hodes"/>
          <w:rtl/>
        </w:rPr>
        <w:fldChar w:fldCharType="end"/>
      </w:r>
      <w:r w:rsidRPr="003B63CB">
        <w:rPr>
          <w:rFonts w:hint="cs"/>
          <w:rtl/>
        </w:rPr>
        <w:t xml:space="preserve">, וכתב דלדעת </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w:t>
      </w:r>
      <w:r w:rsidRPr="003B63C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Ref139359821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ב)</w:t>
      </w:r>
      <w:r>
        <w:rPr>
          <w:rStyle w:val="af2"/>
          <w:rFonts w:eastAsia="Guttman Hodes"/>
          <w:rtl/>
        </w:rPr>
        <w:fldChar w:fldCharType="end"/>
      </w:r>
      <w:r w:rsidRPr="003B63CB">
        <w:rPr>
          <w:rFonts w:hint="cs"/>
          <w:rtl/>
        </w:rPr>
        <w:t xml:space="preserve"> דמלאכה שאינה צריכה לגופה היינו מלאכה שברצונו לא הייתה באה לו, צ"ל דחובל וצריך לכלבו ומבעיר וצריך לאפרו, חשיבי מלאכה שאינה צריכה לגופה, אעפ"י דהוא צריך את המלאכה עצמה, מ"מ כיון דהמעשה שלו הוא מעשה קלקול בחבלה באדם ובשריפת העצים, וברצונו לא היה רוצה לקלקל את האדם והעצים, והוא צריך לעשות כן רק בשביל לתקן דבר אחר, ולכן חשיב מלאכה שאינה צריכה לגופה.</w:t>
      </w:r>
      <w:bookmarkEnd w:id="3284"/>
      <w:r w:rsidRPr="003B63CB">
        <w:rPr>
          <w:rFonts w:hint="cs"/>
          <w:rtl/>
        </w:rPr>
        <w:t xml:space="preserve">  </w:t>
      </w:r>
    </w:p>
    <w:p w14:paraId="6E281001" w14:textId="77777777" w:rsidR="002748A5" w:rsidRPr="00747170" w:rsidRDefault="002748A5" w:rsidP="00747170">
      <w:pPr>
        <w:pStyle w:val="a2"/>
      </w:pPr>
      <w:r w:rsidRPr="00747170">
        <w:rPr>
          <w:rtl/>
        </w:rPr>
        <w:t>ונשוב לפרש דרך פרט מ"ש בשם רש"י ואפילו מבעיר עצים לתבשילו דהוי מתקן גמור ועדיף מלצורך אפרו דהוי תיקון גרוע כמ"ש אח"כ. מיהו לענין צריך לגופיה נראה בצריך לאפרו מיקרי טפי צריך לגופיה. אבל בהאורג דף ק"ו בד"ה בחובל משמע ליתן לכלבו ולבשל בו קדירה מיקרי טפי לצורך גופיה. והא דקרי זה מלאכה שאינה צריכה לגופה משום דרש"י לשיטתיה במלאכה שאינה צריכה לגופה (כאן נמחק קצת בגוף כתב המחבר ולפי הנראה היה כתוב שם [תיבות הללו] כמ"ש רש"י במסכת שבת דף צ"ג ע"ב) וצ"ל כיון דהפעולה בעצם הוא קלקול שמקלקל העצים וחובל האדם וברצונו לא היה צריך לה רק כדי לתקן דבר אחר מיקרי מלאכה שאינה צריכה לגופה:</w:t>
      </w:r>
    </w:p>
    <w:p w14:paraId="11FADAD8" w14:textId="77777777" w:rsidR="002748A5" w:rsidRPr="003B63CB" w:rsidRDefault="002748A5" w:rsidP="002748A5">
      <w:pPr>
        <w:pStyle w:val="1"/>
        <w:rPr>
          <w:rtl/>
        </w:rPr>
      </w:pPr>
      <w:bookmarkStart w:id="3285" w:name="_Toc140074187"/>
      <w:bookmarkStart w:id="3286" w:name="_Toc140092037"/>
      <w:bookmarkStart w:id="3287" w:name="_Toc140144237"/>
      <w:bookmarkStart w:id="3288" w:name="_Toc140144468"/>
      <w:r w:rsidRPr="003B63CB">
        <w:rPr>
          <w:rFonts w:hint="cs"/>
          <w:rtl/>
        </w:rPr>
        <w:t>בי' המרכה"מ דבחובל לכלבו ל"ה משאלצ"ג אך עי"ז כמקלקל</w:t>
      </w:r>
      <w:bookmarkEnd w:id="3285"/>
      <w:bookmarkEnd w:id="3286"/>
      <w:bookmarkEnd w:id="3287"/>
      <w:bookmarkEnd w:id="3288"/>
    </w:p>
    <w:p w14:paraId="5FAA5A46" w14:textId="77777777" w:rsidR="002748A5" w:rsidRPr="00C12F78" w:rsidRDefault="002748A5" w:rsidP="002748A5">
      <w:pPr>
        <w:pStyle w:val="afffff7"/>
        <w:rPr>
          <w:rtl/>
        </w:rPr>
      </w:pPr>
      <w:bookmarkStart w:id="3289" w:name="_Toc140074269"/>
      <w:bookmarkStart w:id="3290" w:name="_Toc140144365"/>
      <w:bookmarkStart w:id="3291" w:name="_Toc140144841"/>
      <w:bookmarkStart w:id="3292" w:name="_Toc163505956"/>
      <w:r w:rsidRPr="00C12F78">
        <w:rPr>
          <w:rtl/>
        </w:rPr>
        <w:t>מרכבת המשנה שבת פ"א ה"א</w:t>
      </w:r>
      <w:r w:rsidRPr="00C12F78">
        <w:rPr>
          <w:rFonts w:hint="cs"/>
          <w:rtl/>
        </w:rPr>
        <w:t xml:space="preserve"> ד"ה אמנם ראיתי</w:t>
      </w:r>
      <w:bookmarkEnd w:id="3289"/>
      <w:bookmarkEnd w:id="3290"/>
      <w:r w:rsidRPr="00C12F78">
        <w:rPr>
          <w:rtl/>
        </w:rPr>
        <w:t xml:space="preserve"> (ח)</w:t>
      </w:r>
      <w:bookmarkEnd w:id="3291"/>
      <w:bookmarkEnd w:id="3292"/>
    </w:p>
    <w:p w14:paraId="2556060C" w14:textId="77777777" w:rsidR="002748A5" w:rsidRPr="003B63CB" w:rsidRDefault="002748A5" w:rsidP="002748A5">
      <w:pPr>
        <w:pStyle w:val="a7"/>
        <w:rPr>
          <w:rtl/>
        </w:rPr>
      </w:pPr>
      <w:bookmarkStart w:id="3293" w:name="_Toc140074188"/>
      <w:bookmarkStart w:id="3294" w:name="_Toc140092038"/>
      <w:bookmarkStart w:id="3295" w:name="_Toc140144238"/>
      <w:bookmarkStart w:id="3296" w:name="_Toc140144469"/>
      <w:r w:rsidRPr="003B63CB">
        <w:rPr>
          <w:rFonts w:hint="cs"/>
          <w:rtl/>
        </w:rPr>
        <w:t>קו' המרכה"מ דחובל לכלבו מתקן וצריך את המלאכה ול"ה סילוק נזק ואמאי הוי משאצל"ג</w:t>
      </w:r>
      <w:bookmarkEnd w:id="3293"/>
      <w:bookmarkEnd w:id="3294"/>
      <w:bookmarkEnd w:id="3295"/>
      <w:bookmarkEnd w:id="3296"/>
    </w:p>
    <w:p w14:paraId="7032D34C" w14:textId="52E1AE70" w:rsidR="002748A5" w:rsidRPr="003B63CB" w:rsidRDefault="002748A5" w:rsidP="00BC7DC8">
      <w:pPr>
        <w:pStyle w:val="a3"/>
      </w:pPr>
      <w:bookmarkStart w:id="3297" w:name="_Ref139794380"/>
      <w:r w:rsidRPr="003B63CB">
        <w:rPr>
          <w:rFonts w:hint="cs"/>
          <w:rtl/>
        </w:rPr>
        <w:t xml:space="preserve">הקשה </w:t>
      </w:r>
      <w:r w:rsidRPr="003B63CB">
        <w:rPr>
          <w:rStyle w:val="aff4"/>
          <w:rFonts w:hint="cs"/>
          <w:vanish/>
          <w:rtl/>
        </w:rPr>
        <w:t>-</w:t>
      </w:r>
      <w:r w:rsidRPr="003B63CB">
        <w:rPr>
          <w:rStyle w:val="aff4"/>
          <w:rFonts w:hint="cs"/>
          <w:rtl/>
        </w:rPr>
        <w:t>ה</w:t>
      </w:r>
      <w:r w:rsidRPr="003B63CB">
        <w:rPr>
          <w:rStyle w:val="aff4"/>
          <w:rFonts w:hint="cs"/>
          <w:vanish/>
          <w:rtl/>
        </w:rPr>
        <w:t xml:space="preserve">&lt;, </w:t>
      </w:r>
      <w:r w:rsidRPr="003B63CB">
        <w:rPr>
          <w:rStyle w:val="aff4"/>
          <w:vanish/>
          <w:rtl/>
        </w:rPr>
        <w:fldChar w:fldCharType="begin"/>
      </w:r>
      <w:r w:rsidRPr="003B63CB">
        <w:rPr>
          <w:rStyle w:val="aff4"/>
          <w:vanish/>
          <w:rtl/>
        </w:rPr>
        <w:instrText xml:space="preserve"> </w:instrText>
      </w:r>
      <w:r w:rsidRPr="003B63CB">
        <w:rPr>
          <w:rStyle w:val="aff4"/>
          <w:rFonts w:hint="cs"/>
          <w:vanish/>
        </w:rPr>
        <w:instrText>REF</w:instrText>
      </w:r>
      <w:r w:rsidRPr="003B63CB">
        <w:rPr>
          <w:rStyle w:val="aff4"/>
          <w:rFonts w:hint="cs"/>
          <w:vanish/>
          <w:rtl/>
        </w:rPr>
        <w:instrText xml:space="preserve"> _</w:instrText>
      </w:r>
      <w:r w:rsidRPr="003B63CB">
        <w:rPr>
          <w:rStyle w:val="aff4"/>
          <w:rFonts w:hint="cs"/>
          <w:vanish/>
        </w:rPr>
        <w:instrText>Ref139794380 \r \h</w:instrText>
      </w:r>
      <w:r w:rsidRPr="003B63CB">
        <w:rPr>
          <w:rStyle w:val="aff4"/>
          <w:vanish/>
          <w:rtl/>
        </w:rPr>
        <w:instrText xml:space="preserve">  \* </w:instrText>
      </w:r>
      <w:r w:rsidRPr="003B63CB">
        <w:rPr>
          <w:rStyle w:val="aff4"/>
          <w:vanish/>
        </w:rPr>
        <w:instrText>MERGEFORMAT</w:instrText>
      </w:r>
      <w:r w:rsidRPr="003B63CB">
        <w:rPr>
          <w:rStyle w:val="aff4"/>
          <w:vanish/>
          <w:rtl/>
        </w:rPr>
        <w:instrText xml:space="preserve"> </w:instrText>
      </w:r>
      <w:r w:rsidRPr="003B63CB">
        <w:rPr>
          <w:rStyle w:val="aff4"/>
          <w:vanish/>
          <w:rtl/>
        </w:rPr>
      </w:r>
      <w:r w:rsidRPr="003B63CB">
        <w:rPr>
          <w:rStyle w:val="aff4"/>
          <w:vanish/>
          <w:rtl/>
        </w:rPr>
        <w:fldChar w:fldCharType="separate"/>
      </w:r>
      <w:r w:rsidR="00D82181">
        <w:rPr>
          <w:rStyle w:val="aff4"/>
          <w:vanish/>
          <w:cs/>
        </w:rPr>
        <w:t>‎</w:t>
      </w:r>
      <w:r w:rsidR="00D82181">
        <w:rPr>
          <w:rStyle w:val="aff4"/>
          <w:vanish/>
          <w:rtl/>
        </w:rPr>
        <w:t>לז)</w:t>
      </w:r>
      <w:r w:rsidRPr="003B63CB">
        <w:rPr>
          <w:rStyle w:val="aff4"/>
          <w:vanish/>
          <w:rtl/>
        </w:rPr>
        <w:fldChar w:fldCharType="end"/>
      </w:r>
      <w:r w:rsidRPr="003B63CB">
        <w:rPr>
          <w:rStyle w:val="aff4"/>
          <w:rFonts w:hint="cs"/>
          <w:vanish/>
          <w:rtl/>
        </w:rPr>
        <w:t xml:space="preserve"> &gt;</w:t>
      </w:r>
      <w:r w:rsidRPr="003B63CB">
        <w:rPr>
          <w:rStyle w:val="aff4"/>
          <w:rFonts w:hint="cs"/>
          <w:rtl/>
        </w:rPr>
        <w:t>מרכבת המשנה</w:t>
      </w:r>
      <w:r w:rsidRPr="003B63CB">
        <w:rPr>
          <w:rStyle w:val="aff4"/>
          <w:rFonts w:hint="cs"/>
          <w:vanish/>
          <w:rtl/>
        </w:rPr>
        <w:t>-</w:t>
      </w:r>
      <w:r w:rsidRPr="003B63CB">
        <w:rPr>
          <w:rFonts w:hint="cs"/>
          <w:rtl/>
        </w:rPr>
        <w:t xml:space="preserve"> </w:t>
      </w:r>
      <w:r w:rsidRPr="003B63CB">
        <w:rPr>
          <w:rStyle w:val="af2"/>
          <w:rFonts w:eastAsia="Guttman Hodes" w:hint="cs"/>
          <w:rtl/>
        </w:rPr>
        <w:t>(שבת פ"א ה"א ד"ה אמנם ראיתי)</w:t>
      </w:r>
      <w:r w:rsidRPr="003B63CB">
        <w:rPr>
          <w:rFonts w:hint="cs"/>
          <w:vanish/>
          <w:rtl/>
        </w:rPr>
        <w:t>=</w:t>
      </w:r>
      <w:r w:rsidRPr="003B63CB">
        <w:rPr>
          <w:rFonts w:hint="cs"/>
          <w:rtl/>
        </w:rPr>
        <w:t xml:space="preserve"> דבחובל וצריך לכלבו ומבעיר וצריך לאפרו צ"ב אמאי הוי מלאכה שאינה צריכה לגופה, דהא כתב </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w:t>
      </w:r>
      <w:r w:rsidRPr="003B63CB">
        <w:rPr>
          <w:rStyle w:val="af2"/>
          <w:rFonts w:eastAsia="Guttman Hodes" w:hint="cs"/>
          <w:rtl/>
        </w:rPr>
        <w:t xml:space="preserve">(עי' אות </w:t>
      </w:r>
      <w:r w:rsidRPr="003B63CB">
        <w:rPr>
          <w:rStyle w:val="af2"/>
          <w:rFonts w:eastAsia="Guttman Hodes"/>
          <w:rtl/>
        </w:rPr>
        <w:fldChar w:fldCharType="begin"/>
      </w:r>
      <w:r w:rsidRPr="003B63CB">
        <w:rPr>
          <w:rStyle w:val="af2"/>
          <w:rFonts w:eastAsia="Guttman Hodes"/>
          <w:rtl/>
        </w:rPr>
        <w:instrText xml:space="preserve"> </w:instrText>
      </w:r>
      <w:r w:rsidRPr="003B63CB">
        <w:rPr>
          <w:rStyle w:val="af2"/>
          <w:rFonts w:eastAsia="Guttman Hodes" w:hint="cs"/>
        </w:rPr>
        <w:instrText>REF</w:instrText>
      </w:r>
      <w:r w:rsidRPr="003B63CB">
        <w:rPr>
          <w:rStyle w:val="af2"/>
          <w:rFonts w:eastAsia="Guttman Hodes" w:hint="cs"/>
          <w:rtl/>
        </w:rPr>
        <w:instrText xml:space="preserve"> _</w:instrText>
      </w:r>
      <w:r w:rsidRPr="003B63CB">
        <w:rPr>
          <w:rStyle w:val="af2"/>
          <w:rFonts w:eastAsia="Guttman Hodes" w:hint="cs"/>
        </w:rPr>
        <w:instrText>Ref139367325 \r \h</w:instrText>
      </w:r>
      <w:r w:rsidRPr="003B63CB">
        <w:rPr>
          <w:rStyle w:val="af2"/>
          <w:rFonts w:eastAsia="Guttman Hodes"/>
          <w:rtl/>
        </w:rPr>
        <w:instrText xml:space="preserve">  \* </w:instrText>
      </w:r>
      <w:r w:rsidRPr="003B63CB">
        <w:rPr>
          <w:rStyle w:val="af2"/>
          <w:rFonts w:eastAsia="Guttman Hodes"/>
        </w:rPr>
        <w:instrText>MERGEFORMAT</w:instrText>
      </w:r>
      <w:r w:rsidRPr="003B63CB">
        <w:rPr>
          <w:rStyle w:val="af2"/>
          <w:rFonts w:eastAsia="Guttman Hodes"/>
          <w:rtl/>
        </w:rPr>
        <w:instrText xml:space="preserve"> </w:instrText>
      </w:r>
      <w:r w:rsidRPr="003B63CB">
        <w:rPr>
          <w:rStyle w:val="af2"/>
          <w:rFonts w:eastAsia="Guttman Hodes"/>
          <w:rtl/>
        </w:rPr>
      </w:r>
      <w:r w:rsidRPr="003B63CB">
        <w:rPr>
          <w:rStyle w:val="af2"/>
          <w:rFonts w:eastAsia="Guttman Hodes"/>
          <w:rtl/>
        </w:rPr>
        <w:fldChar w:fldCharType="separate"/>
      </w:r>
      <w:r w:rsidR="00D82181">
        <w:rPr>
          <w:rStyle w:val="af2"/>
          <w:rFonts w:eastAsia="Guttman Hodes"/>
          <w:cs/>
        </w:rPr>
        <w:t>‎</w:t>
      </w:r>
      <w:r w:rsidR="00D82181">
        <w:rPr>
          <w:rStyle w:val="af2"/>
          <w:rFonts w:eastAsia="Guttman Hodes"/>
          <w:rtl/>
        </w:rPr>
        <w:t>כח)</w:t>
      </w:r>
      <w:r w:rsidRPr="003B63CB">
        <w:rPr>
          <w:rStyle w:val="af2"/>
          <w:rFonts w:eastAsia="Guttman Hodes"/>
          <w:rtl/>
        </w:rPr>
        <w:fldChar w:fldCharType="end"/>
      </w:r>
      <w:r w:rsidRPr="003B63CB">
        <w:rPr>
          <w:rFonts w:hint="cs"/>
          <w:vanish/>
          <w:rtl/>
        </w:rPr>
        <w:t xml:space="preserve"> </w:t>
      </w:r>
      <w:r w:rsidRPr="003B63CB">
        <w:rPr>
          <w:rFonts w:hint="cs"/>
          <w:rtl/>
        </w:rPr>
        <w:t xml:space="preserve"> דחובל וצריך לכלבו ומבעיר בצריך לאפרו, דאף דבדבר עצמו הוא מקלקל, מ"מ הוא מתקן בדבר אחר, וביאר </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w:t>
      </w:r>
      <w:r w:rsidRPr="003B63CB">
        <w:rPr>
          <w:rStyle w:val="af2"/>
          <w:rFonts w:eastAsia="Guttman Hodes" w:hint="cs"/>
          <w:rtl/>
        </w:rPr>
        <w:t xml:space="preserve">(עי' אות </w:t>
      </w:r>
      <w:r w:rsidRPr="003B63CB">
        <w:rPr>
          <w:rStyle w:val="af2"/>
          <w:rFonts w:eastAsia="Guttman Hodes"/>
          <w:rtl/>
        </w:rPr>
        <w:fldChar w:fldCharType="begin"/>
      </w:r>
      <w:r w:rsidRPr="003B63CB">
        <w:rPr>
          <w:rStyle w:val="af2"/>
          <w:rFonts w:eastAsia="Guttman Hodes"/>
          <w:rtl/>
        </w:rPr>
        <w:instrText xml:space="preserve"> </w:instrText>
      </w:r>
      <w:r w:rsidRPr="003B63CB">
        <w:rPr>
          <w:rStyle w:val="af2"/>
          <w:rFonts w:eastAsia="Guttman Hodes" w:hint="cs"/>
        </w:rPr>
        <w:instrText>REF</w:instrText>
      </w:r>
      <w:r w:rsidRPr="003B63CB">
        <w:rPr>
          <w:rStyle w:val="af2"/>
          <w:rFonts w:eastAsia="Guttman Hodes" w:hint="cs"/>
          <w:rtl/>
        </w:rPr>
        <w:instrText xml:space="preserve"> _</w:instrText>
      </w:r>
      <w:r w:rsidRPr="003B63CB">
        <w:rPr>
          <w:rStyle w:val="af2"/>
          <w:rFonts w:eastAsia="Guttman Hodes" w:hint="cs"/>
        </w:rPr>
        <w:instrText>Ref139367336 \r \h</w:instrText>
      </w:r>
      <w:r w:rsidRPr="003B63CB">
        <w:rPr>
          <w:rStyle w:val="af2"/>
          <w:rFonts w:eastAsia="Guttman Hodes"/>
          <w:rtl/>
        </w:rPr>
        <w:instrText xml:space="preserve">  \* </w:instrText>
      </w:r>
      <w:r w:rsidRPr="003B63CB">
        <w:rPr>
          <w:rStyle w:val="af2"/>
          <w:rFonts w:eastAsia="Guttman Hodes"/>
        </w:rPr>
        <w:instrText>MERGEFORMAT</w:instrText>
      </w:r>
      <w:r w:rsidRPr="003B63CB">
        <w:rPr>
          <w:rStyle w:val="af2"/>
          <w:rFonts w:eastAsia="Guttman Hodes"/>
          <w:rtl/>
        </w:rPr>
        <w:instrText xml:space="preserve"> </w:instrText>
      </w:r>
      <w:r w:rsidRPr="003B63CB">
        <w:rPr>
          <w:rStyle w:val="af2"/>
          <w:rFonts w:eastAsia="Guttman Hodes"/>
          <w:rtl/>
        </w:rPr>
      </w:r>
      <w:r w:rsidRPr="003B63CB">
        <w:rPr>
          <w:rStyle w:val="af2"/>
          <w:rFonts w:eastAsia="Guttman Hodes"/>
          <w:rtl/>
        </w:rPr>
        <w:fldChar w:fldCharType="separate"/>
      </w:r>
      <w:r w:rsidR="00D82181">
        <w:rPr>
          <w:rStyle w:val="af2"/>
          <w:rFonts w:eastAsia="Guttman Hodes"/>
          <w:cs/>
        </w:rPr>
        <w:t>‎</w:t>
      </w:r>
      <w:r w:rsidR="00D82181">
        <w:rPr>
          <w:rStyle w:val="af2"/>
          <w:rFonts w:eastAsia="Guttman Hodes"/>
          <w:rtl/>
        </w:rPr>
        <w:t>כט)</w:t>
      </w:r>
      <w:r w:rsidRPr="003B63CB">
        <w:rPr>
          <w:rStyle w:val="af2"/>
          <w:rFonts w:eastAsia="Guttman Hodes"/>
          <w:rtl/>
        </w:rPr>
        <w:fldChar w:fldCharType="end"/>
      </w:r>
      <w:r w:rsidRPr="003B63CB">
        <w:rPr>
          <w:rFonts w:hint="cs"/>
          <w:rtl/>
        </w:rPr>
        <w:t xml:space="preserve"> דאף כשמבעיר עצים לבשל הוא מקלקל לגבי העצים, והתיקון בדבר אחר לא חשיב תיקון לר"ש, כיון שהוא מלאכה שאינה צריכה לגופה, והקשה </w:t>
      </w:r>
      <w:r w:rsidRPr="003B63CB">
        <w:rPr>
          <w:rStyle w:val="aff4"/>
          <w:rFonts w:hint="cs"/>
          <w:vanish/>
          <w:rtl/>
        </w:rPr>
        <w:t>-</w:t>
      </w:r>
      <w:r w:rsidRPr="003B63CB">
        <w:rPr>
          <w:rStyle w:val="aff4"/>
          <w:rFonts w:hint="cs"/>
          <w:rtl/>
        </w:rPr>
        <w:t>המרכבת המשנה</w:t>
      </w:r>
      <w:r w:rsidRPr="003B63CB">
        <w:rPr>
          <w:rStyle w:val="aff4"/>
          <w:rFonts w:hint="cs"/>
          <w:vanish/>
          <w:rtl/>
        </w:rPr>
        <w:t>-</w:t>
      </w:r>
      <w:r w:rsidRPr="003B63CB">
        <w:rPr>
          <w:rFonts w:hint="cs"/>
          <w:rtl/>
        </w:rPr>
        <w:t xml:space="preserve"> דאמאי הוי מלאכה שאינה צריכה לגופה הא ל"ד לחופר גומא שא"צ את הבנין שהוא גוף המלאכה, אבל בחובל שהמלאכה היא נטילת נשמה, הוא צריך את גוף המלאכה להוציא את הדם ולתת אותו לכלב, וכן בעצים צריך את עצם המלאכה שהיא ההבערה בכדי לעשות את העצים לאפר, והוסיף </w:t>
      </w:r>
      <w:r w:rsidRPr="003B63CB">
        <w:rPr>
          <w:rStyle w:val="aff4"/>
          <w:rFonts w:hint="cs"/>
          <w:vanish/>
          <w:rtl/>
        </w:rPr>
        <w:t>-</w:t>
      </w:r>
      <w:r w:rsidRPr="003B63CB">
        <w:rPr>
          <w:rStyle w:val="aff4"/>
          <w:rFonts w:hint="cs"/>
          <w:rtl/>
        </w:rPr>
        <w:t>המרכבת המשנה</w:t>
      </w:r>
      <w:r w:rsidRPr="003B63CB">
        <w:rPr>
          <w:rStyle w:val="aff4"/>
          <w:rFonts w:hint="cs"/>
          <w:vanish/>
          <w:rtl/>
        </w:rPr>
        <w:t>-</w:t>
      </w:r>
      <w:r w:rsidRPr="003B63CB">
        <w:rPr>
          <w:rFonts w:hint="cs"/>
          <w:rtl/>
        </w:rPr>
        <w:t xml:space="preserve"> דלא דמי להוצאת המת וצידת נחש דהמלאכה היא סילוק הנזק, דבחובל וצריך לכלבו דמי למציא מר לחפור בו דהוי מלאכה שצריכה לגופה, כיון שהוא מוציא את הדם לצורך כלבו, וכעי"ז הקשה </w:t>
      </w:r>
      <w:r w:rsidRPr="003B63CB">
        <w:rPr>
          <w:rFonts w:hint="cs"/>
          <w:vanish/>
          <w:rtl/>
        </w:rPr>
        <w:t>-</w:t>
      </w:r>
      <w:r w:rsidRPr="003B63CB">
        <w:rPr>
          <w:rStyle w:val="aff4"/>
          <w:rFonts w:hint="cs"/>
          <w:rtl/>
        </w:rPr>
        <w:t>החת"ס</w:t>
      </w:r>
      <w:r w:rsidRPr="003B63CB">
        <w:rPr>
          <w:rFonts w:hint="cs"/>
          <w:vanish/>
          <w:rtl/>
        </w:rPr>
        <w:t>-</w:t>
      </w:r>
      <w:r w:rsidRPr="003B63CB">
        <w:rPr>
          <w:rFonts w:hint="cs"/>
          <w:rtl/>
        </w:rPr>
        <w:t xml:space="preserve"> </w:t>
      </w:r>
      <w:r w:rsidRPr="003B63CB">
        <w:rPr>
          <w:rStyle w:val="af2"/>
          <w:rFonts w:eastAsia="Guttman Hodes" w:hint="cs"/>
          <w:rtl/>
        </w:rPr>
        <w:t xml:space="preserve">(עי' אות </w:t>
      </w:r>
      <w:r w:rsidRPr="003B63CB">
        <w:rPr>
          <w:rStyle w:val="af2"/>
          <w:rFonts w:eastAsia="Guttman Hodes"/>
          <w:rtl/>
        </w:rPr>
        <w:fldChar w:fldCharType="begin"/>
      </w:r>
      <w:r w:rsidRPr="003B63CB">
        <w:rPr>
          <w:rStyle w:val="af2"/>
          <w:rFonts w:eastAsia="Guttman Hodes"/>
          <w:rtl/>
        </w:rPr>
        <w:instrText xml:space="preserve"> </w:instrText>
      </w:r>
      <w:r w:rsidRPr="003B63CB">
        <w:rPr>
          <w:rStyle w:val="af2"/>
          <w:rFonts w:eastAsia="Guttman Hodes" w:hint="cs"/>
        </w:rPr>
        <w:instrText>REF</w:instrText>
      </w:r>
      <w:r w:rsidRPr="003B63CB">
        <w:rPr>
          <w:rStyle w:val="af2"/>
          <w:rFonts w:eastAsia="Guttman Hodes" w:hint="cs"/>
          <w:rtl/>
        </w:rPr>
        <w:instrText xml:space="preserve"> _</w:instrText>
      </w:r>
      <w:r w:rsidRPr="003B63CB">
        <w:rPr>
          <w:rStyle w:val="af2"/>
          <w:rFonts w:eastAsia="Guttman Hodes" w:hint="cs"/>
        </w:rPr>
        <w:instrText>Ref139917872 \r \h</w:instrText>
      </w:r>
      <w:r w:rsidRPr="003B63CB">
        <w:rPr>
          <w:rStyle w:val="af2"/>
          <w:rFonts w:eastAsia="Guttman Hodes"/>
          <w:rtl/>
        </w:rPr>
        <w:instrText xml:space="preserve">  \* </w:instrText>
      </w:r>
      <w:r w:rsidRPr="003B63CB">
        <w:rPr>
          <w:rStyle w:val="af2"/>
          <w:rFonts w:eastAsia="Guttman Hodes"/>
        </w:rPr>
        <w:instrText>MERGEFORMAT</w:instrText>
      </w:r>
      <w:r w:rsidRPr="003B63CB">
        <w:rPr>
          <w:rStyle w:val="af2"/>
          <w:rFonts w:eastAsia="Guttman Hodes"/>
          <w:rtl/>
        </w:rPr>
        <w:instrText xml:space="preserve"> </w:instrText>
      </w:r>
      <w:r w:rsidRPr="003B63CB">
        <w:rPr>
          <w:rStyle w:val="af2"/>
          <w:rFonts w:eastAsia="Guttman Hodes"/>
          <w:rtl/>
        </w:rPr>
      </w:r>
      <w:r w:rsidRPr="003B63CB">
        <w:rPr>
          <w:rStyle w:val="af2"/>
          <w:rFonts w:eastAsia="Guttman Hodes"/>
          <w:rtl/>
        </w:rPr>
        <w:fldChar w:fldCharType="separate"/>
      </w:r>
      <w:r w:rsidR="00D82181">
        <w:rPr>
          <w:rStyle w:val="af2"/>
          <w:rFonts w:eastAsia="Guttman Hodes"/>
          <w:cs/>
        </w:rPr>
        <w:t>‎</w:t>
      </w:r>
      <w:r w:rsidR="00D82181">
        <w:rPr>
          <w:rStyle w:val="af2"/>
          <w:rFonts w:eastAsia="Guttman Hodes"/>
          <w:rtl/>
        </w:rPr>
        <w:t>לג)</w:t>
      </w:r>
      <w:r w:rsidRPr="003B63CB">
        <w:rPr>
          <w:rStyle w:val="af2"/>
          <w:rFonts w:eastAsia="Guttman Hodes"/>
          <w:rtl/>
        </w:rPr>
        <w:fldChar w:fldCharType="end"/>
      </w:r>
      <w:r w:rsidRPr="003B63CB">
        <w:rPr>
          <w:rFonts w:hint="cs"/>
          <w:rtl/>
        </w:rPr>
        <w:t xml:space="preserve">, ועי' במה שתירץ </w:t>
      </w:r>
      <w:r w:rsidRPr="003B63CB">
        <w:rPr>
          <w:rStyle w:val="aff4"/>
          <w:rFonts w:hint="cs"/>
          <w:vanish/>
          <w:rtl/>
        </w:rPr>
        <w:t>-</w:t>
      </w:r>
      <w:r w:rsidRPr="003B63CB">
        <w:rPr>
          <w:rStyle w:val="aff4"/>
          <w:rFonts w:hint="cs"/>
          <w:rtl/>
        </w:rPr>
        <w:t>המרכבת המשנה</w:t>
      </w:r>
      <w:r w:rsidRPr="003B63CB">
        <w:rPr>
          <w:rStyle w:val="aff4"/>
          <w:rFonts w:hint="cs"/>
          <w:vanish/>
          <w:rtl/>
        </w:rPr>
        <w:t>-</w:t>
      </w:r>
      <w:r w:rsidRPr="003B63CB">
        <w:rPr>
          <w:rFonts w:hint="cs"/>
          <w:rtl/>
        </w:rPr>
        <w:t xml:space="preserve"> </w:t>
      </w:r>
      <w:r w:rsidRPr="003B63CB">
        <w:rPr>
          <w:rStyle w:val="af2"/>
          <w:rFonts w:eastAsia="Guttman Hodes" w:hint="cs"/>
          <w:rtl/>
        </w:rPr>
        <w:t>(עי' אות</w:t>
      </w:r>
      <w:r w:rsidRPr="003B63CB">
        <w:rPr>
          <w:rStyle w:val="af2"/>
          <w:rFonts w:eastAsia="Guttman Hodes"/>
          <w:rtl/>
        </w:rPr>
        <w:t xml:space="preserve"> </w:t>
      </w:r>
      <w:r w:rsidRPr="003B63CB">
        <w:rPr>
          <w:rStyle w:val="af2"/>
          <w:rFonts w:eastAsia="Guttman Hodes"/>
          <w:rtl/>
        </w:rPr>
        <w:fldChar w:fldCharType="begin"/>
      </w:r>
      <w:r w:rsidRPr="003B63CB">
        <w:rPr>
          <w:rStyle w:val="af2"/>
          <w:rFonts w:eastAsia="Guttman Hodes"/>
          <w:rtl/>
        </w:rPr>
        <w:instrText xml:space="preserve"> </w:instrText>
      </w:r>
      <w:r w:rsidRPr="003B63CB">
        <w:rPr>
          <w:rStyle w:val="af2"/>
          <w:rFonts w:eastAsia="Guttman Hodes" w:hint="cs"/>
        </w:rPr>
        <w:instrText>REF</w:instrText>
      </w:r>
      <w:r w:rsidRPr="003B63CB">
        <w:rPr>
          <w:rStyle w:val="af2"/>
          <w:rFonts w:eastAsia="Guttman Hodes" w:hint="cs"/>
          <w:rtl/>
        </w:rPr>
        <w:instrText xml:space="preserve"> _</w:instrText>
      </w:r>
      <w:r w:rsidRPr="003B63CB">
        <w:rPr>
          <w:rStyle w:val="af2"/>
          <w:rFonts w:eastAsia="Guttman Hodes" w:hint="cs"/>
        </w:rPr>
        <w:instrText>Ref140053335 \r \h</w:instrText>
      </w:r>
      <w:r w:rsidRPr="003B63CB">
        <w:rPr>
          <w:rStyle w:val="af2"/>
          <w:rFonts w:eastAsia="Guttman Hodes"/>
          <w:rtl/>
        </w:rPr>
        <w:instrText xml:space="preserve">  \* </w:instrText>
      </w:r>
      <w:r w:rsidRPr="003B63CB">
        <w:rPr>
          <w:rStyle w:val="af2"/>
          <w:rFonts w:eastAsia="Guttman Hodes"/>
        </w:rPr>
        <w:instrText>MERGEFORMAT</w:instrText>
      </w:r>
      <w:r w:rsidRPr="003B63CB">
        <w:rPr>
          <w:rStyle w:val="af2"/>
          <w:rFonts w:eastAsia="Guttman Hodes"/>
          <w:rtl/>
        </w:rPr>
        <w:instrText xml:space="preserve"> </w:instrText>
      </w:r>
      <w:r w:rsidRPr="003B63CB">
        <w:rPr>
          <w:rStyle w:val="af2"/>
          <w:rFonts w:eastAsia="Guttman Hodes"/>
          <w:rtl/>
        </w:rPr>
      </w:r>
      <w:r w:rsidRPr="003B63CB">
        <w:rPr>
          <w:rStyle w:val="af2"/>
          <w:rFonts w:eastAsia="Guttman Hodes"/>
          <w:rtl/>
        </w:rPr>
        <w:fldChar w:fldCharType="separate"/>
      </w:r>
      <w:r w:rsidR="00D82181">
        <w:rPr>
          <w:rStyle w:val="af2"/>
          <w:rFonts w:eastAsia="Guttman Hodes"/>
          <w:cs/>
        </w:rPr>
        <w:t>‎</w:t>
      </w:r>
      <w:r w:rsidR="00D82181">
        <w:rPr>
          <w:rStyle w:val="af2"/>
          <w:rFonts w:eastAsia="Guttman Hodes"/>
          <w:rtl/>
        </w:rPr>
        <w:t>מד)</w:t>
      </w:r>
      <w:r w:rsidRPr="003B63CB">
        <w:rPr>
          <w:rStyle w:val="af2"/>
          <w:rFonts w:eastAsia="Guttman Hodes"/>
          <w:rtl/>
        </w:rPr>
        <w:fldChar w:fldCharType="end"/>
      </w:r>
      <w:r w:rsidRPr="003B63CB">
        <w:rPr>
          <w:rFonts w:hint="cs"/>
          <w:rtl/>
        </w:rPr>
        <w:t>.</w:t>
      </w:r>
      <w:bookmarkEnd w:id="3297"/>
    </w:p>
    <w:p w14:paraId="68E0FBC0" w14:textId="77777777" w:rsidR="002748A5" w:rsidRPr="00747170" w:rsidRDefault="002748A5" w:rsidP="00747170">
      <w:pPr>
        <w:pStyle w:val="a2"/>
      </w:pPr>
      <w:r w:rsidRPr="00747170">
        <w:rPr>
          <w:rtl/>
        </w:rPr>
        <w:t>אמנם ראיתי בשבת דף ק"ו שפרש"י מבעיר עצים לקדרתו הואיל שמקלקל לגבי עצים ומה שמתקן לגבי אחרים חשיב מלאכה שא"צ לגופה עיין שם וזה קשה להבין דלא דמי לחופר גומא דהתם אינו צריך לגוף המלאכה שהוא הבנין משא"כ הכא צריך לגוף המלאכה שהיא נטילת נשמה להוציא דם וליתן לכלב והרי הוא צריך להבעיר עצים לעשותן אפר וגם לא דמי להוצאת המת ודומיהן שהם מניעת ההיזק כנזכר אבל כאן הו"ל דומיא דמוציא מר לחפור בו ה"נ מוציא הדם לכלבו.</w:t>
      </w:r>
    </w:p>
    <w:p w14:paraId="1A26D962" w14:textId="77777777" w:rsidR="002748A5" w:rsidRPr="00C12F78" w:rsidRDefault="002748A5" w:rsidP="002748A5">
      <w:pPr>
        <w:pStyle w:val="afffff7"/>
        <w:rPr>
          <w:rtl/>
        </w:rPr>
      </w:pPr>
      <w:bookmarkStart w:id="3298" w:name="_Toc140074270"/>
      <w:bookmarkStart w:id="3299" w:name="_Toc140144366"/>
      <w:bookmarkStart w:id="3300" w:name="_Toc140144842"/>
      <w:bookmarkStart w:id="3301" w:name="_Toc163505957"/>
      <w:r w:rsidRPr="00C12F78">
        <w:rPr>
          <w:rtl/>
        </w:rPr>
        <w:t>מרכבת המשנה שבת פ"א ה"א</w:t>
      </w:r>
      <w:r w:rsidRPr="00C12F78">
        <w:rPr>
          <w:rFonts w:hint="cs"/>
          <w:rtl/>
        </w:rPr>
        <w:t xml:space="preserve"> ד"ה ובמגיני שלמה</w:t>
      </w:r>
      <w:bookmarkEnd w:id="3298"/>
      <w:bookmarkEnd w:id="3299"/>
      <w:r w:rsidRPr="00C12F78">
        <w:rPr>
          <w:rtl/>
        </w:rPr>
        <w:t xml:space="preserve"> (ח)</w:t>
      </w:r>
      <w:bookmarkEnd w:id="3300"/>
      <w:bookmarkEnd w:id="3301"/>
    </w:p>
    <w:p w14:paraId="5F6E35E7" w14:textId="77777777" w:rsidR="002748A5" w:rsidRPr="003B63CB" w:rsidRDefault="002748A5" w:rsidP="002748A5">
      <w:pPr>
        <w:pStyle w:val="a7"/>
        <w:rPr>
          <w:rtl/>
        </w:rPr>
      </w:pPr>
      <w:bookmarkStart w:id="3302" w:name="_Toc140074189"/>
      <w:bookmarkStart w:id="3303" w:name="_Toc140092039"/>
      <w:bookmarkStart w:id="3304" w:name="_Toc140144239"/>
      <w:bookmarkStart w:id="3305" w:name="_Toc140144470"/>
      <w:r w:rsidRPr="003B63CB">
        <w:rPr>
          <w:rFonts w:hint="cs"/>
          <w:rtl/>
        </w:rPr>
        <w:t>בי' המגנ"ש דבקלקול צריך לגופו ולגופה ובחובל לכלבו רק לגופה ומקלקל בגופו והוי משאצל"ג</w:t>
      </w:r>
      <w:bookmarkEnd w:id="3302"/>
      <w:bookmarkEnd w:id="3303"/>
      <w:bookmarkEnd w:id="3304"/>
      <w:bookmarkEnd w:id="3305"/>
    </w:p>
    <w:p w14:paraId="2216CCB1" w14:textId="467F1900" w:rsidR="002748A5" w:rsidRPr="003B63CB" w:rsidRDefault="002748A5" w:rsidP="00BC7DC8">
      <w:pPr>
        <w:pStyle w:val="a3"/>
      </w:pPr>
      <w:bookmarkStart w:id="3306" w:name="_Ref139798067"/>
      <w:r w:rsidRPr="003B63CB">
        <w:rPr>
          <w:rFonts w:hint="cs"/>
          <w:rtl/>
        </w:rPr>
        <w:t xml:space="preserve">והביא </w:t>
      </w:r>
      <w:r w:rsidRPr="003B63CB">
        <w:rPr>
          <w:rStyle w:val="aff4"/>
          <w:rFonts w:hint="cs"/>
          <w:vanish/>
          <w:rtl/>
        </w:rPr>
        <w:t>-</w:t>
      </w:r>
      <w:r w:rsidRPr="003B63CB">
        <w:rPr>
          <w:rStyle w:val="aff4"/>
          <w:rFonts w:hint="cs"/>
          <w:rtl/>
        </w:rPr>
        <w:t>ה</w:t>
      </w:r>
      <w:r w:rsidRPr="003B63CB">
        <w:rPr>
          <w:rStyle w:val="aff4"/>
          <w:rFonts w:hint="cs"/>
          <w:vanish/>
          <w:rtl/>
        </w:rPr>
        <w:t xml:space="preserve">&lt;, </w:t>
      </w:r>
      <w:r w:rsidRPr="003B63CB">
        <w:rPr>
          <w:rStyle w:val="aff4"/>
          <w:vanish/>
          <w:rtl/>
        </w:rPr>
        <w:fldChar w:fldCharType="begin"/>
      </w:r>
      <w:r w:rsidRPr="003B63CB">
        <w:rPr>
          <w:rStyle w:val="aff4"/>
          <w:vanish/>
          <w:rtl/>
        </w:rPr>
        <w:instrText xml:space="preserve"> </w:instrText>
      </w:r>
      <w:r w:rsidRPr="003B63CB">
        <w:rPr>
          <w:rStyle w:val="aff4"/>
          <w:rFonts w:hint="cs"/>
          <w:vanish/>
        </w:rPr>
        <w:instrText>REF</w:instrText>
      </w:r>
      <w:r w:rsidRPr="003B63CB">
        <w:rPr>
          <w:rStyle w:val="aff4"/>
          <w:rFonts w:hint="cs"/>
          <w:vanish/>
          <w:rtl/>
        </w:rPr>
        <w:instrText xml:space="preserve"> _</w:instrText>
      </w:r>
      <w:r w:rsidRPr="003B63CB">
        <w:rPr>
          <w:rStyle w:val="aff4"/>
          <w:rFonts w:hint="cs"/>
          <w:vanish/>
        </w:rPr>
        <w:instrText>Ref139798067 \r \h</w:instrText>
      </w:r>
      <w:r w:rsidRPr="003B63CB">
        <w:rPr>
          <w:rStyle w:val="aff4"/>
          <w:vanish/>
          <w:rtl/>
        </w:rPr>
        <w:instrText xml:space="preserve">  \* </w:instrText>
      </w:r>
      <w:r w:rsidRPr="003B63CB">
        <w:rPr>
          <w:rStyle w:val="aff4"/>
          <w:vanish/>
        </w:rPr>
        <w:instrText>MERGEFORMAT</w:instrText>
      </w:r>
      <w:r w:rsidRPr="003B63CB">
        <w:rPr>
          <w:rStyle w:val="aff4"/>
          <w:vanish/>
          <w:rtl/>
        </w:rPr>
        <w:instrText xml:space="preserve"> </w:instrText>
      </w:r>
      <w:r w:rsidRPr="003B63CB">
        <w:rPr>
          <w:rStyle w:val="aff4"/>
          <w:vanish/>
          <w:rtl/>
        </w:rPr>
      </w:r>
      <w:r w:rsidRPr="003B63CB">
        <w:rPr>
          <w:rStyle w:val="aff4"/>
          <w:vanish/>
          <w:rtl/>
        </w:rPr>
        <w:fldChar w:fldCharType="separate"/>
      </w:r>
      <w:r w:rsidR="00D82181">
        <w:rPr>
          <w:rStyle w:val="aff4"/>
          <w:vanish/>
          <w:cs/>
        </w:rPr>
        <w:t>‎</w:t>
      </w:r>
      <w:r w:rsidR="00D82181">
        <w:rPr>
          <w:rStyle w:val="aff4"/>
          <w:vanish/>
          <w:rtl/>
        </w:rPr>
        <w:t>לח)</w:t>
      </w:r>
      <w:r w:rsidRPr="003B63CB">
        <w:rPr>
          <w:rStyle w:val="aff4"/>
          <w:vanish/>
          <w:rtl/>
        </w:rPr>
        <w:fldChar w:fldCharType="end"/>
      </w:r>
      <w:r w:rsidRPr="003B63CB">
        <w:rPr>
          <w:rStyle w:val="aff4"/>
          <w:rFonts w:hint="cs"/>
          <w:vanish/>
          <w:rtl/>
        </w:rPr>
        <w:t xml:space="preserve"> &gt;</w:t>
      </w:r>
      <w:r w:rsidRPr="003B63CB">
        <w:rPr>
          <w:rStyle w:val="aff4"/>
          <w:rFonts w:hint="cs"/>
          <w:rtl/>
        </w:rPr>
        <w:t>מרכבת המשנה</w:t>
      </w:r>
      <w:r w:rsidRPr="003B63CB">
        <w:rPr>
          <w:rStyle w:val="aff4"/>
          <w:rFonts w:hint="cs"/>
          <w:vanish/>
          <w:rtl/>
        </w:rPr>
        <w:t>-</w:t>
      </w:r>
      <w:r w:rsidRPr="003B63CB">
        <w:rPr>
          <w:rFonts w:hint="cs"/>
          <w:rtl/>
        </w:rPr>
        <w:t xml:space="preserve"> </w:t>
      </w:r>
      <w:r w:rsidRPr="003B63CB">
        <w:rPr>
          <w:rStyle w:val="af2"/>
          <w:rFonts w:eastAsia="Guttman Hodes" w:hint="cs"/>
          <w:rtl/>
        </w:rPr>
        <w:t>(שבת פ"א ה"א ד"ה ובמגיני שלמה)</w:t>
      </w:r>
      <w:r w:rsidRPr="003B63CB">
        <w:rPr>
          <w:rFonts w:hint="cs"/>
          <w:vanish/>
          <w:rtl/>
        </w:rPr>
        <w:t>=</w:t>
      </w:r>
      <w:r w:rsidRPr="003B63CB">
        <w:rPr>
          <w:rFonts w:hint="cs"/>
          <w:rtl/>
        </w:rPr>
        <w:t xml:space="preserve"> את דברי </w:t>
      </w:r>
      <w:r w:rsidRPr="003B63CB">
        <w:rPr>
          <w:rStyle w:val="aff4"/>
          <w:rFonts w:hint="cs"/>
          <w:vanish/>
          <w:rtl/>
        </w:rPr>
        <w:t>-</w:t>
      </w:r>
      <w:r w:rsidRPr="003B63CB">
        <w:rPr>
          <w:rStyle w:val="aff4"/>
          <w:rFonts w:hint="cs"/>
          <w:rtl/>
        </w:rPr>
        <w:t>ה</w:t>
      </w:r>
      <w:r w:rsidRPr="003B63CB">
        <w:rPr>
          <w:rStyle w:val="aff4"/>
          <w:rFonts w:hint="cs"/>
          <w:vanish/>
          <w:rtl/>
        </w:rPr>
        <w:t>&lt; &gt;</w:t>
      </w:r>
      <w:r w:rsidRPr="003B63CB">
        <w:rPr>
          <w:rStyle w:val="aff4"/>
          <w:rFonts w:hint="cs"/>
          <w:rtl/>
        </w:rPr>
        <w:t>מגיני שלמה בתי' הב'</w:t>
      </w:r>
      <w:r w:rsidRPr="003B63CB">
        <w:rPr>
          <w:rStyle w:val="aff4"/>
          <w:rFonts w:hint="cs"/>
          <w:vanish/>
          <w:rtl/>
        </w:rPr>
        <w:t>-</w:t>
      </w:r>
      <w:r w:rsidRPr="003B63CB">
        <w:rPr>
          <w:rFonts w:hint="cs"/>
          <w:rtl/>
        </w:rPr>
        <w:t xml:space="preserve"> </w:t>
      </w:r>
      <w:r w:rsidRPr="003B63CB">
        <w:rPr>
          <w:rStyle w:val="af2"/>
          <w:rFonts w:eastAsia="Guttman Hodes" w:hint="cs"/>
          <w:rtl/>
        </w:rPr>
        <w:t>(קו. ד"ה ואני אומר וכו' ועוי"ל)</w:t>
      </w:r>
      <w:r w:rsidRPr="003B63CB">
        <w:rPr>
          <w:rFonts w:hint="cs"/>
          <w:vanish/>
          <w:rtl/>
        </w:rPr>
        <w:t>=</w:t>
      </w:r>
      <w:r w:rsidRPr="003B63CB">
        <w:rPr>
          <w:rFonts w:hint="cs"/>
          <w:rtl/>
        </w:rPr>
        <w:t xml:space="preserve"> דביאר בדעת </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דבמלאכת קלקול לא שייך להחשיבה כתיקון, אלא באופן דהוא לגופו ולגופה,</w:t>
      </w:r>
      <w:r w:rsidRPr="003B63CB">
        <w:rPr>
          <w:rtl/>
        </w:rPr>
        <w:t xml:space="preserve"> </w:t>
      </w:r>
      <w:r w:rsidRPr="003B63CB">
        <w:rPr>
          <w:rFonts w:hint="cs"/>
          <w:rtl/>
        </w:rPr>
        <w:t>כ</w:t>
      </w:r>
      <w:r w:rsidRPr="003B63CB">
        <w:rPr>
          <w:rtl/>
        </w:rPr>
        <w:t xml:space="preserve">ס"ת להגיה </w:t>
      </w:r>
      <w:r w:rsidRPr="003B63CB">
        <w:rPr>
          <w:rFonts w:hint="cs"/>
          <w:rtl/>
        </w:rPr>
        <w:t xml:space="preserve">ולקרות בו </w:t>
      </w:r>
      <w:r w:rsidRPr="003B63CB">
        <w:rPr>
          <w:rtl/>
        </w:rPr>
        <w:t>ומר לעשות לו טס</w:t>
      </w:r>
      <w:r w:rsidRPr="003B63CB">
        <w:rPr>
          <w:rFonts w:hint="cs"/>
          <w:rtl/>
        </w:rPr>
        <w:t xml:space="preserve"> ולחפור, ולכן אף אי אמרינן דחובל וצריך לכלבו ומבעיר וצריך לאפרו הוי מלאכה שצריכה לגופה, מ"מ פטור מדין מקלקל, דלגבי העצים ודאי הוי קלקול, וא"כ הוא צריך לגוף המלאכה אך א"צ את גוף הדבר דהוא </w:t>
      </w:r>
      <w:r w:rsidRPr="003B63CB">
        <w:rPr>
          <w:rFonts w:hint="cs"/>
          <w:rtl/>
        </w:rPr>
        <w:lastRenderedPageBreak/>
        <w:t xml:space="preserve">מקלקלו ולא מתקנו, וכתב </w:t>
      </w:r>
      <w:r w:rsidRPr="003B63CB">
        <w:rPr>
          <w:rStyle w:val="aff4"/>
          <w:rFonts w:hint="cs"/>
          <w:vanish/>
          <w:rtl/>
        </w:rPr>
        <w:t>-</w:t>
      </w:r>
      <w:r w:rsidRPr="003B63CB">
        <w:rPr>
          <w:rStyle w:val="aff4"/>
          <w:rFonts w:hint="cs"/>
          <w:rtl/>
        </w:rPr>
        <w:t>המגיני שלמה</w:t>
      </w:r>
      <w:r w:rsidRPr="003B63CB">
        <w:rPr>
          <w:rStyle w:val="aff4"/>
          <w:rFonts w:hint="cs"/>
          <w:vanish/>
          <w:rtl/>
        </w:rPr>
        <w:t>-</w:t>
      </w:r>
      <w:r w:rsidRPr="003B63CB">
        <w:rPr>
          <w:rFonts w:hint="cs"/>
          <w:rtl/>
        </w:rPr>
        <w:t xml:space="preserve"> דכיון דבמלאכת תיקון מצריך ר"ש דהמלאכה תהיה לגופה, לכן בקלקול צריך שתהיה לגופו ולגופה, דכיון דלגבי גופו הוא מקלקל, א"כ מה שמתקן בדבר אחר הוי מלאכה שאינה צריכה לגופה, ומדחייבה תורה בחובל ומבעיר מוכח דמחייב ר"ש אף במקלקל בחבורה</w:t>
      </w:r>
      <w:bookmarkEnd w:id="3306"/>
      <w:r w:rsidRPr="003B63CB">
        <w:rPr>
          <w:rFonts w:hint="cs"/>
          <w:rtl/>
        </w:rPr>
        <w:t xml:space="preserve">. </w:t>
      </w:r>
    </w:p>
    <w:p w14:paraId="5FB759BF" w14:textId="77777777" w:rsidR="002748A5" w:rsidRPr="00747170" w:rsidRDefault="002748A5" w:rsidP="00747170">
      <w:pPr>
        <w:pStyle w:val="a2"/>
      </w:pPr>
      <w:r w:rsidRPr="00747170">
        <w:rPr>
          <w:rtl/>
        </w:rPr>
        <w:t>עוד כתב דיש לומר דרש"י סובר דבכל המקלקלין בעינן לגופו ולגופה דומיא דס"ת להגיה ומר לעשות לו טס ולהכי אי ס"ד דמקלקל בחבורה והבערה דינו כשאר המקלקלין א"כ החובל לכלבו דהו"ל דומיא דמר לחפור בו דצריך לגופו גרידא היה פטור אלא ודאי דמחייב ר' שמעון במקלקל בחבורה ולזה סגי בלגופו גרידא וחשיב חובל לכלבו משצל"ג ולר' אבהו משכחת לר"ש דמחייב לכלבו באיסורי הנאה עיין שם באריכות.</w:t>
      </w:r>
    </w:p>
    <w:p w14:paraId="17FADE1D" w14:textId="77777777" w:rsidR="002748A5" w:rsidRPr="00C12F78" w:rsidRDefault="002748A5" w:rsidP="002748A5">
      <w:pPr>
        <w:pStyle w:val="afffff7"/>
        <w:rPr>
          <w:rtl/>
        </w:rPr>
      </w:pPr>
      <w:bookmarkStart w:id="3307" w:name="_Toc140074271"/>
      <w:bookmarkStart w:id="3308" w:name="_Toc140144367"/>
      <w:bookmarkStart w:id="3309" w:name="_Toc140144843"/>
      <w:bookmarkStart w:id="3310" w:name="_Toc163505958"/>
      <w:r w:rsidRPr="00C12F78">
        <w:rPr>
          <w:rtl/>
        </w:rPr>
        <w:t>מגיני שלמה שבת ק"ו ע"א</w:t>
      </w:r>
      <w:r w:rsidRPr="00C12F78">
        <w:rPr>
          <w:rFonts w:hint="cs"/>
          <w:rtl/>
        </w:rPr>
        <w:t xml:space="preserve"> ד"ה </w:t>
      </w:r>
      <w:r w:rsidRPr="00C12F78">
        <w:rPr>
          <w:rtl/>
        </w:rPr>
        <w:t>ואני אומר</w:t>
      </w:r>
      <w:bookmarkEnd w:id="3307"/>
      <w:bookmarkEnd w:id="3308"/>
      <w:r w:rsidRPr="00C12F78">
        <w:rPr>
          <w:rtl/>
        </w:rPr>
        <w:t xml:space="preserve"> (ח)</w:t>
      </w:r>
      <w:bookmarkEnd w:id="3309"/>
      <w:bookmarkEnd w:id="3310"/>
    </w:p>
    <w:p w14:paraId="0E27BD54" w14:textId="77777777" w:rsidR="002748A5" w:rsidRPr="00695703" w:rsidRDefault="002748A5" w:rsidP="00747170">
      <w:pPr>
        <w:pStyle w:val="afffff5"/>
        <w:rPr>
          <w:rtl/>
        </w:rPr>
      </w:pPr>
      <w:r w:rsidRPr="00695703">
        <w:rPr>
          <w:rtl/>
        </w:rPr>
        <w:t>ועי"ל דגם לשיטת רש"י במקלקלים לא מקרי תיקון אלא עד דהוי לגופו ולגופה כגון מכבה לעשות פחמין והפחמין צריך לו למלאכתו ובכלל צריך לגופה הוא כמ"ש ה</w:t>
      </w:r>
      <w:r w:rsidRPr="00695703">
        <w:rPr>
          <w:rFonts w:hint="cs"/>
          <w:rtl/>
        </w:rPr>
        <w:t>ד</w:t>
      </w:r>
      <w:r w:rsidRPr="00695703">
        <w:rPr>
          <w:rtl/>
        </w:rPr>
        <w:t>תוס' לשיטתם וא"כ נוכל לומר דודאי צריך לכלבו מקרי צ"ל לר"א ואפ"ה לא הוי תיקון כיון דלגבי עצים הוי קלקול אין כאן כ"א לגופה ולא לגופו והוי שאינה צריך לגופה דהכל בכלל לגופה הוא כמ"ש ולכן לא צריך רש"י למנקט רק לגופה כיון דבעי תרוייהו בכלל לגופה הוא כמ"ש התוס' ומ"מ צריך לגופה הוי לחייב על הקלקול לר"ש אלא דצורך קלקול זה לא מקרי תיקון לר"ש אלא קלקול גבי דידיה וצריך לגופה לצורך אחרים וסבירא לי' לתלמודא לסברא כיון דבעי ר"ש במלאכת תיקון בעלמא צריך לגופה סברא הוא דגבי קלקול אי לא ס"ל לר"ש מקלקל חייב אלא מתקן א"כ ראוי היה דבעינן לגופו ולגופה כיון דהוא מקלקל לגבי גופו וא"כ הוי מלאכה שאינה צ"ל אלא ודאי מקלקל חייב וסגי בלגופה לחוד כמו מתקן כיון דמקלקל לדידיה הוי כמתקן וא"כ גם לשיטת רש"י מיושב בתירוצא דא לר"א דמקלקל מיירי בחובל באיסורי הנאה וכו' דהוי צ"ל כמ"ש כיון דמקלקל וראיתי בדברי החכם מהרש"א סג"ל ז"ל שכתב דלא הקשו קושיא דהנחנקים גם בכאן ותירץ שם שלא יכולתי להבין דעתו כלל שכתב דצריך לכלבו פוטר ר"ש דאינו צ"ל אבל במקלקל גמור בהבערה דאיסורי הנאה מחייב ומשכחת לה צ"ל שהיה סבור לבשל בו קדירה והוא תימה גדולה דרש"י כתב אפי' מבעיר ממש בלא איסורא השוה לבשל קדירה הוי מקלקל גבי עצים דאינו צ"ל וכ"ש מבעיר באיסורי הנאה שהיה סבור כו' ועוד דהרי לרש"י הא בהא תליא דלא הוי מתקן כיון שאינו צ"ל הא אי הוי צ"ל הוי מתקן וא"כ אי מבעיר באיסורי הנאה הוי צ"ל א"כ אין כאן מקלקל וזה יש לישב דמ"מ מקלקל הוא כיון דלבסוף אינו נהנה ממנו כלום דע"כ צ"ל כן לפי' התוס' וכמ"ש החכם ז"ל עצמו ודוק:</w:t>
      </w:r>
    </w:p>
    <w:p w14:paraId="2596FB3C" w14:textId="77777777" w:rsidR="002748A5" w:rsidRPr="003B63CB" w:rsidRDefault="002748A5" w:rsidP="002748A5">
      <w:pPr>
        <w:pStyle w:val="a7"/>
      </w:pPr>
      <w:bookmarkStart w:id="3311" w:name="_Toc140074190"/>
      <w:bookmarkStart w:id="3312" w:name="_Toc140092040"/>
      <w:bookmarkStart w:id="3313" w:name="_Toc140144240"/>
      <w:bookmarkStart w:id="3314" w:name="_Toc140144471"/>
      <w:r w:rsidRPr="003B63CB">
        <w:rPr>
          <w:rFonts w:hint="cs"/>
          <w:rtl/>
        </w:rPr>
        <w:t>בי' המרכה"מ דבכל מקלקל משאצל"ג ובפטור דמקלקל מבו' דצריך לגופו ולגופה ול"ש בחובל</w:t>
      </w:r>
      <w:bookmarkEnd w:id="3311"/>
      <w:bookmarkEnd w:id="3312"/>
      <w:bookmarkEnd w:id="3313"/>
      <w:bookmarkEnd w:id="3314"/>
    </w:p>
    <w:p w14:paraId="2C30FDB9" w14:textId="58CDE11A" w:rsidR="002748A5" w:rsidRPr="003B63CB" w:rsidRDefault="002748A5" w:rsidP="00BC7DC8">
      <w:pPr>
        <w:pStyle w:val="a3"/>
      </w:pPr>
      <w:r w:rsidRPr="003B63CB">
        <w:rPr>
          <w:rFonts w:hint="cs"/>
          <w:rtl/>
        </w:rPr>
        <w:t xml:space="preserve">וביאר </w:t>
      </w:r>
      <w:r w:rsidRPr="003B63CB">
        <w:rPr>
          <w:rStyle w:val="aff4"/>
          <w:rFonts w:hint="cs"/>
          <w:vanish/>
          <w:rtl/>
        </w:rPr>
        <w:t>-</w:t>
      </w:r>
      <w:r w:rsidRPr="003B63CB">
        <w:rPr>
          <w:rStyle w:val="aff4"/>
          <w:rFonts w:hint="cs"/>
          <w:rtl/>
        </w:rPr>
        <w:t>המרכבת המשנה</w:t>
      </w:r>
      <w:r w:rsidRPr="003B63CB">
        <w:rPr>
          <w:rStyle w:val="aff4"/>
          <w:rFonts w:hint="cs"/>
          <w:vanish/>
          <w:rtl/>
        </w:rPr>
        <w:t>-</w:t>
      </w:r>
      <w:r w:rsidRPr="003B63CB">
        <w:rPr>
          <w:rFonts w:hint="cs"/>
          <w:rtl/>
        </w:rPr>
        <w:t xml:space="preserve"> את דברי </w:t>
      </w:r>
      <w:r w:rsidRPr="003B63CB">
        <w:rPr>
          <w:rStyle w:val="aff4"/>
          <w:rFonts w:hint="cs"/>
          <w:vanish/>
          <w:rtl/>
        </w:rPr>
        <w:t>-</w:t>
      </w:r>
      <w:r w:rsidRPr="003B63CB">
        <w:rPr>
          <w:rStyle w:val="aff4"/>
          <w:rFonts w:hint="cs"/>
          <w:rtl/>
        </w:rPr>
        <w:t>המגיני שלמה בתי' הב'</w:t>
      </w:r>
      <w:r w:rsidRPr="003B63CB">
        <w:rPr>
          <w:rStyle w:val="aff4"/>
          <w:rFonts w:hint="cs"/>
          <w:vanish/>
          <w:rtl/>
        </w:rPr>
        <w:t>-</w:t>
      </w:r>
      <w:r w:rsidRPr="003B63CB">
        <w:rPr>
          <w:rFonts w:hint="cs"/>
          <w:rtl/>
        </w:rPr>
        <w:t xml:space="preserve"> דבעיקר דעת ר"ש דפוטר במלאכה שאינה צריכה לגופה יש להקשות, דאמאי הוצרכה תורה לפטור מקלקל, הא כל קלקול הוא מלאכה שאינה צריכה לגופה, דהא אינו נהנה מהקלקול, וכתב  </w:t>
      </w:r>
      <w:r w:rsidRPr="003B63CB">
        <w:rPr>
          <w:rStyle w:val="aff4"/>
          <w:rFonts w:hint="cs"/>
          <w:vanish/>
          <w:rtl/>
        </w:rPr>
        <w:t>-</w:t>
      </w:r>
      <w:r w:rsidRPr="003B63CB">
        <w:rPr>
          <w:rStyle w:val="aff4"/>
          <w:rFonts w:hint="cs"/>
          <w:rtl/>
        </w:rPr>
        <w:t>המרכבת המשנה</w:t>
      </w:r>
      <w:r w:rsidRPr="003B63CB">
        <w:rPr>
          <w:rStyle w:val="aff4"/>
          <w:rFonts w:hint="cs"/>
          <w:vanish/>
          <w:rtl/>
        </w:rPr>
        <w:t>-</w:t>
      </w:r>
      <w:r w:rsidRPr="003B63CB">
        <w:rPr>
          <w:rFonts w:hint="cs"/>
          <w:rtl/>
        </w:rPr>
        <w:t xml:space="preserve"> דמוכח מזה דהא דאמרינן דכל המקלקלין פטורים, בא לחדש דאף כשמקלקל בכדי שיהנה בדבר אחר ג"כ פטור, ובכדי לחייב צריך שיהיה לגופו ולגופה, כגון בסותר ע"מ לבנות בנין יותר טוב ממה שהיה בתחילה, וכתב  </w:t>
      </w:r>
      <w:r w:rsidRPr="003B63CB">
        <w:rPr>
          <w:rStyle w:val="aff4"/>
          <w:rFonts w:hint="cs"/>
          <w:vanish/>
          <w:rtl/>
        </w:rPr>
        <w:t>-</w:t>
      </w:r>
      <w:r w:rsidRPr="003B63CB">
        <w:rPr>
          <w:rStyle w:val="aff4"/>
          <w:rFonts w:hint="cs"/>
          <w:rtl/>
        </w:rPr>
        <w:t>המרכבת המשנה</w:t>
      </w:r>
      <w:r w:rsidRPr="003B63CB">
        <w:rPr>
          <w:rStyle w:val="aff4"/>
          <w:rFonts w:hint="cs"/>
          <w:vanish/>
          <w:rtl/>
        </w:rPr>
        <w:t>-</w:t>
      </w:r>
      <w:r w:rsidRPr="003B63CB">
        <w:rPr>
          <w:rFonts w:hint="cs"/>
          <w:rtl/>
        </w:rPr>
        <w:t xml:space="preserve"> דבחובל ומבעיר לא שייך שיעשה אותם ע"מ לתקן לגופו ולגופה, ומהא דחייבה תורה בחובל ומבעיר מוכח דלר"ש חייב בהם לגופו גרידא, דמקלקל בחבורה חייב. </w:t>
      </w:r>
      <w:r w:rsidRPr="003B63CB">
        <w:rPr>
          <w:rStyle w:val="af"/>
          <w:rFonts w:hint="cs"/>
          <w:rtl/>
        </w:rPr>
        <w:t xml:space="preserve">[אך כתב </w:t>
      </w:r>
      <w:r w:rsidRPr="003B63CB">
        <w:rPr>
          <w:rStyle w:val="aff9"/>
          <w:rFonts w:hint="cs"/>
          <w:vanish/>
          <w:rtl/>
        </w:rPr>
        <w:t>-</w:t>
      </w:r>
      <w:r w:rsidRPr="003B63CB">
        <w:rPr>
          <w:rStyle w:val="aff9"/>
          <w:rFonts w:hint="cs"/>
          <w:rtl/>
        </w:rPr>
        <w:t>המרכבת המשנה</w:t>
      </w:r>
      <w:r w:rsidRPr="003B63CB">
        <w:rPr>
          <w:rStyle w:val="aff9"/>
          <w:rFonts w:hint="cs"/>
          <w:vanish/>
          <w:rtl/>
        </w:rPr>
        <w:t>-</w:t>
      </w:r>
      <w:r w:rsidRPr="003B63CB">
        <w:rPr>
          <w:rStyle w:val="af"/>
          <w:rFonts w:hint="cs"/>
          <w:rtl/>
        </w:rPr>
        <w:t xml:space="preserve"> דלפי"ז האופן היחיד דמקלקל חייב הוא רק באיסורי הנאה, כדכתבו </w:t>
      </w:r>
      <w:r w:rsidRPr="003B63CB">
        <w:rPr>
          <w:rStyle w:val="aff9"/>
          <w:rFonts w:hint="cs"/>
          <w:vanish/>
          <w:rtl/>
        </w:rPr>
        <w:t>-</w:t>
      </w:r>
      <w:r w:rsidRPr="003B63CB">
        <w:rPr>
          <w:rStyle w:val="aff9"/>
          <w:rFonts w:hint="cs"/>
          <w:rtl/>
        </w:rPr>
        <w:t>התוס'</w:t>
      </w:r>
      <w:r w:rsidRPr="003B63CB">
        <w:rPr>
          <w:rStyle w:val="aff9"/>
          <w:rFonts w:hint="cs"/>
          <w:vanish/>
          <w:rtl/>
        </w:rPr>
        <w:t>-</w:t>
      </w:r>
      <w:r w:rsidRPr="003B63CB">
        <w:rPr>
          <w:rStyle w:val="af"/>
          <w:rFonts w:hint="cs"/>
          <w:rtl/>
        </w:rPr>
        <w:t xml:space="preserve"> [</w:t>
      </w:r>
      <w:r w:rsidRPr="003B63CB">
        <w:rPr>
          <w:rStyle w:val="aff9"/>
          <w:rFonts w:hint="cs"/>
          <w:vanish/>
          <w:rtl/>
        </w:rPr>
        <w:t>-</w:t>
      </w:r>
      <w:r w:rsidRPr="003B63CB">
        <w:rPr>
          <w:rStyle w:val="aff9"/>
          <w:rFonts w:hint="cs"/>
          <w:rtl/>
        </w:rPr>
        <w:t>קו.</w:t>
      </w:r>
      <w:r w:rsidRPr="003B63CB">
        <w:rPr>
          <w:rStyle w:val="aff9"/>
          <w:rFonts w:hint="cs"/>
          <w:vanish/>
          <w:rtl/>
        </w:rPr>
        <w:t>-</w:t>
      </w:r>
      <w:r w:rsidRPr="003B63CB">
        <w:rPr>
          <w:rStyle w:val="af"/>
          <w:rFonts w:hint="cs"/>
          <w:rtl/>
        </w:rPr>
        <w:t>]</w:t>
      </w:r>
      <w:r w:rsidRPr="003B63CB">
        <w:rPr>
          <w:rFonts w:hint="cs"/>
          <w:rtl/>
        </w:rPr>
        <w:t xml:space="preserve"> </w:t>
      </w:r>
      <w:r w:rsidRPr="003B63CB">
        <w:rPr>
          <w:rStyle w:val="af2"/>
          <w:rFonts w:eastAsia="Guttman Hodes" w:hint="cs"/>
          <w:rtl/>
        </w:rPr>
        <w:t>(</w:t>
      </w:r>
      <w:r w:rsidRPr="009C3C5D">
        <w:rPr>
          <w:rStyle w:val="aff0"/>
          <w:rFonts w:hint="cs"/>
          <w:rtl/>
        </w:rPr>
        <w:t>הובאו בסימן ט'</w:t>
      </w:r>
      <w:r>
        <w:rPr>
          <w:rStyle w:val="aff0"/>
          <w:rFonts w:hint="cs"/>
          <w:rtl/>
        </w:rPr>
        <w:t xml:space="preserve"> </w:t>
      </w:r>
      <w:r w:rsidRPr="009C3C5D">
        <w:rPr>
          <w:rStyle w:val="aff0"/>
          <w:rFonts w:hint="cs"/>
          <w:rtl/>
        </w:rPr>
        <w:t xml:space="preserve">אות </w:t>
      </w:r>
      <w:r w:rsidRPr="009C3C5D">
        <w:rPr>
          <w:rStyle w:val="aff0"/>
          <w:rtl/>
        </w:rPr>
        <w:fldChar w:fldCharType="begin"/>
      </w:r>
      <w:r w:rsidRPr="009C3C5D">
        <w:rPr>
          <w:rStyle w:val="aff0"/>
          <w:rtl/>
        </w:rPr>
        <w:instrText xml:space="preserve"> </w:instrText>
      </w:r>
      <w:r w:rsidRPr="009C3C5D">
        <w:rPr>
          <w:rStyle w:val="aff0"/>
          <w:rFonts w:hint="cs"/>
        </w:rPr>
        <w:instrText>REF</w:instrText>
      </w:r>
      <w:r w:rsidRPr="009C3C5D">
        <w:rPr>
          <w:rStyle w:val="aff0"/>
          <w:rFonts w:hint="cs"/>
          <w:rtl/>
        </w:rPr>
        <w:instrText xml:space="preserve"> _</w:instrText>
      </w:r>
      <w:r w:rsidRPr="009C3C5D">
        <w:rPr>
          <w:rStyle w:val="aff0"/>
          <w:rFonts w:hint="cs"/>
        </w:rPr>
        <w:instrText>Ref139814462 \r \h</w:instrText>
      </w:r>
      <w:r w:rsidRPr="009C3C5D">
        <w:rPr>
          <w:rStyle w:val="aff0"/>
          <w:rtl/>
        </w:rPr>
        <w:instrText xml:space="preserve">  \* </w:instrText>
      </w:r>
      <w:r w:rsidRPr="009C3C5D">
        <w:rPr>
          <w:rStyle w:val="aff0"/>
        </w:rPr>
        <w:instrText>MERGEFORMAT</w:instrText>
      </w:r>
      <w:r w:rsidRPr="009C3C5D">
        <w:rPr>
          <w:rStyle w:val="aff0"/>
          <w:rtl/>
        </w:rPr>
        <w:instrText xml:space="preserve"> </w:instrText>
      </w:r>
      <w:r w:rsidRPr="009C3C5D">
        <w:rPr>
          <w:rStyle w:val="aff0"/>
          <w:rtl/>
        </w:rPr>
      </w:r>
      <w:r w:rsidRPr="009C3C5D">
        <w:rPr>
          <w:rStyle w:val="aff0"/>
          <w:rtl/>
        </w:rPr>
        <w:fldChar w:fldCharType="separate"/>
      </w:r>
      <w:r w:rsidR="00D82181">
        <w:rPr>
          <w:rStyle w:val="aff0"/>
          <w:cs/>
        </w:rPr>
        <w:t>‎</w:t>
      </w:r>
      <w:r w:rsidR="00D82181">
        <w:rPr>
          <w:rStyle w:val="aff0"/>
          <w:rtl/>
        </w:rPr>
        <w:t>כג)</w:t>
      </w:r>
      <w:r w:rsidRPr="009C3C5D">
        <w:rPr>
          <w:rStyle w:val="aff0"/>
          <w:rtl/>
        </w:rPr>
        <w:fldChar w:fldCharType="end"/>
      </w:r>
      <w:r w:rsidRPr="003B63CB">
        <w:rPr>
          <w:rFonts w:hint="cs"/>
          <w:rtl/>
        </w:rPr>
        <w:t xml:space="preserve"> </w:t>
      </w:r>
      <w:r w:rsidRPr="003B63CB">
        <w:rPr>
          <w:rStyle w:val="af"/>
          <w:rFonts w:hint="cs"/>
          <w:rtl/>
        </w:rPr>
        <w:t xml:space="preserve">דהוא גם מקלקל וגם מלאכה שאינה צריכה לגופה, וכתב </w:t>
      </w:r>
      <w:r w:rsidRPr="003B63CB">
        <w:rPr>
          <w:rStyle w:val="aff9"/>
          <w:rFonts w:hint="cs"/>
          <w:vanish/>
          <w:rtl/>
        </w:rPr>
        <w:t>-</w:t>
      </w:r>
      <w:r w:rsidRPr="003B63CB">
        <w:rPr>
          <w:rStyle w:val="aff9"/>
          <w:rFonts w:hint="cs"/>
          <w:rtl/>
        </w:rPr>
        <w:t>המרכבת המשנה</w:t>
      </w:r>
      <w:r w:rsidRPr="003B63CB">
        <w:rPr>
          <w:rStyle w:val="aff9"/>
          <w:rFonts w:hint="cs"/>
          <w:vanish/>
          <w:rtl/>
        </w:rPr>
        <w:t>-</w:t>
      </w:r>
      <w:r w:rsidRPr="003B63CB">
        <w:rPr>
          <w:rStyle w:val="af"/>
          <w:rFonts w:hint="cs"/>
          <w:rtl/>
        </w:rPr>
        <w:t xml:space="preserve"> דהוא דוחק, וציין למה שביאר בזה </w:t>
      </w:r>
      <w:r w:rsidRPr="003B63CB">
        <w:rPr>
          <w:rStyle w:val="aff9"/>
          <w:rFonts w:hint="cs"/>
          <w:vanish/>
          <w:rtl/>
        </w:rPr>
        <w:t>-</w:t>
      </w:r>
      <w:r w:rsidRPr="003B63CB">
        <w:rPr>
          <w:rStyle w:val="aff9"/>
          <w:rFonts w:hint="cs"/>
          <w:rtl/>
        </w:rPr>
        <w:t>המהר"ם שיף בסנהדרין</w:t>
      </w:r>
      <w:r w:rsidRPr="003B63CB">
        <w:rPr>
          <w:rStyle w:val="aff9"/>
          <w:rFonts w:hint="cs"/>
          <w:vanish/>
          <w:rtl/>
        </w:rPr>
        <w:t>-</w:t>
      </w:r>
      <w:r w:rsidRPr="003B63CB">
        <w:rPr>
          <w:rStyle w:val="af"/>
          <w:rFonts w:hint="cs"/>
          <w:rtl/>
        </w:rPr>
        <w:t xml:space="preserve"> </w:t>
      </w:r>
      <w:r w:rsidRPr="003B63CB">
        <w:rPr>
          <w:rStyle w:val="af2"/>
          <w:rFonts w:eastAsia="Guttman Rashi" w:hint="cs"/>
          <w:rtl/>
        </w:rPr>
        <w:t>(פד: על תוד"ה מאן)</w:t>
      </w:r>
      <w:r w:rsidRPr="003B63CB">
        <w:rPr>
          <w:rStyle w:val="af"/>
          <w:rFonts w:hint="cs"/>
          <w:vanish/>
          <w:rtl/>
        </w:rPr>
        <w:t>=</w:t>
      </w:r>
      <w:r w:rsidRPr="003B63CB">
        <w:rPr>
          <w:rStyle w:val="af"/>
          <w:rFonts w:hint="cs"/>
          <w:rtl/>
        </w:rPr>
        <w:t xml:space="preserve"> באריכות].</w:t>
      </w:r>
    </w:p>
    <w:p w14:paraId="6E825C46" w14:textId="77777777" w:rsidR="002748A5" w:rsidRPr="00747170" w:rsidRDefault="002748A5" w:rsidP="00747170">
      <w:pPr>
        <w:pStyle w:val="a2"/>
        <w:rPr>
          <w:rtl/>
        </w:rPr>
      </w:pPr>
      <w:r w:rsidRPr="00747170">
        <w:rPr>
          <w:rtl/>
        </w:rPr>
        <w:t>ואף על פי שיש בדברים אלו קצת יישוב לקושיית התוס' וגם לקושייתנו הנזכרת ויש בזה נותן טעם לשבח דכיון דס"ל לר"ש משאצל"ג פטור א"כ למאי הלכתא גלי קרא דכל המקלקלין פטורים תיפוק ליה דכל קלקול הוא משאצל"ג דמה הנאה יש לו בקלקול אלא ודאי לענין זה אהני כללא דכל המקלקלין פטורים לומר לך דאפילו עושה הקלקול כדי שימשך לו הנאה בדבר אחר דומיא דמר לחפור בו נמי פטור עד שיהיה לגופו ולגופה דהיינו שסותר ע"מ לבנות יותר טוב וכה"ג לא משכחת בחובל ומבעיר שיהיה חובל ומבעיר ע"מ לתקן אלא ודאי דבחובל ומבעיר חייב על לגופו גרידא ואיננו בכלל כל המקלקלים דמקלקל בחבורה והבערה חייב. וא"כ לפ"ז לא משכחת מקלקל דחייב לר"ש ופטור לר' יהודה אלא בחובל ומבעיר באיסורי הנאה דחשיב משצל"ג וחשוב קלקול וזה דוחק ועיין במהר"מ שיף באריכות.</w:t>
      </w:r>
    </w:p>
    <w:p w14:paraId="1A1AE0DE" w14:textId="77777777" w:rsidR="002748A5" w:rsidRPr="00C12F78" w:rsidRDefault="002748A5" w:rsidP="002748A5">
      <w:pPr>
        <w:pStyle w:val="afffff7"/>
        <w:rPr>
          <w:rtl/>
        </w:rPr>
      </w:pPr>
      <w:bookmarkStart w:id="3315" w:name="_Toc140074272"/>
      <w:bookmarkStart w:id="3316" w:name="_Toc140144368"/>
      <w:bookmarkStart w:id="3317" w:name="_Toc140144844"/>
      <w:bookmarkStart w:id="3318" w:name="_Toc163505959"/>
      <w:r w:rsidRPr="00C12F78">
        <w:rPr>
          <w:rtl/>
        </w:rPr>
        <w:t>מרכבת המשנה שבת פ"א ה"א</w:t>
      </w:r>
      <w:r w:rsidRPr="00C12F78">
        <w:rPr>
          <w:rFonts w:hint="cs"/>
          <w:rtl/>
        </w:rPr>
        <w:t xml:space="preserve"> ד"ה ומה שנראה</w:t>
      </w:r>
      <w:bookmarkEnd w:id="3315"/>
      <w:bookmarkEnd w:id="3316"/>
      <w:r w:rsidRPr="00C12F78">
        <w:rPr>
          <w:rtl/>
        </w:rPr>
        <w:t xml:space="preserve"> (ח)</w:t>
      </w:r>
      <w:bookmarkEnd w:id="3317"/>
      <w:bookmarkEnd w:id="3318"/>
    </w:p>
    <w:p w14:paraId="14316CCF" w14:textId="77777777" w:rsidR="002748A5" w:rsidRPr="003B63CB" w:rsidRDefault="002748A5" w:rsidP="002748A5">
      <w:pPr>
        <w:pStyle w:val="a7"/>
        <w:rPr>
          <w:rtl/>
        </w:rPr>
      </w:pPr>
      <w:bookmarkStart w:id="3319" w:name="_Toc140074191"/>
      <w:bookmarkStart w:id="3320" w:name="_Toc140092041"/>
      <w:bookmarkStart w:id="3321" w:name="_Toc140144241"/>
      <w:bookmarkStart w:id="3322" w:name="_Toc140144472"/>
      <w:r w:rsidRPr="003B63CB">
        <w:rPr>
          <w:rFonts w:hint="cs"/>
          <w:rtl/>
        </w:rPr>
        <w:t>בי' המרכה"מ דעיקר המלאכה בחובל היא בדם ובו יש תיקון ובגומא המלאכה בה ומקלקלה</w:t>
      </w:r>
      <w:bookmarkEnd w:id="3319"/>
      <w:bookmarkEnd w:id="3320"/>
      <w:bookmarkEnd w:id="3321"/>
      <w:bookmarkEnd w:id="3322"/>
    </w:p>
    <w:p w14:paraId="4727F19A" w14:textId="1D482A94" w:rsidR="002748A5" w:rsidRPr="003B63CB" w:rsidRDefault="002748A5" w:rsidP="00BC7DC8">
      <w:pPr>
        <w:pStyle w:val="a3"/>
        <w:rPr>
          <w:rtl/>
        </w:rPr>
      </w:pPr>
      <w:bookmarkStart w:id="3323" w:name="_Ref139814850"/>
      <w:r w:rsidRPr="003B63CB">
        <w:rPr>
          <w:rFonts w:hint="cs"/>
          <w:rtl/>
        </w:rPr>
        <w:t xml:space="preserve">וכתב </w:t>
      </w:r>
      <w:r w:rsidRPr="003B63CB">
        <w:rPr>
          <w:rStyle w:val="aff4"/>
          <w:rFonts w:hint="cs"/>
          <w:vanish/>
          <w:rtl/>
        </w:rPr>
        <w:t>-</w:t>
      </w:r>
      <w:r w:rsidRPr="003B63CB">
        <w:rPr>
          <w:rStyle w:val="aff4"/>
          <w:rFonts w:hint="cs"/>
          <w:rtl/>
        </w:rPr>
        <w:t>ה</w:t>
      </w:r>
      <w:r w:rsidRPr="003B63CB">
        <w:rPr>
          <w:rStyle w:val="aff4"/>
          <w:rFonts w:hint="cs"/>
          <w:vanish/>
          <w:rtl/>
        </w:rPr>
        <w:t xml:space="preserve">&lt;, </w:t>
      </w:r>
      <w:r w:rsidRPr="003B63CB">
        <w:rPr>
          <w:rStyle w:val="aff4"/>
          <w:vanish/>
          <w:rtl/>
        </w:rPr>
        <w:fldChar w:fldCharType="begin"/>
      </w:r>
      <w:r w:rsidRPr="003B63CB">
        <w:rPr>
          <w:rStyle w:val="aff4"/>
          <w:vanish/>
          <w:rtl/>
        </w:rPr>
        <w:instrText xml:space="preserve"> </w:instrText>
      </w:r>
      <w:r w:rsidRPr="003B63CB">
        <w:rPr>
          <w:rStyle w:val="aff4"/>
          <w:rFonts w:hint="cs"/>
          <w:vanish/>
        </w:rPr>
        <w:instrText>REF</w:instrText>
      </w:r>
      <w:r w:rsidRPr="003B63CB">
        <w:rPr>
          <w:rStyle w:val="aff4"/>
          <w:rFonts w:hint="cs"/>
          <w:vanish/>
          <w:rtl/>
        </w:rPr>
        <w:instrText xml:space="preserve"> _</w:instrText>
      </w:r>
      <w:r w:rsidRPr="003B63CB">
        <w:rPr>
          <w:rStyle w:val="aff4"/>
          <w:rFonts w:hint="cs"/>
          <w:vanish/>
        </w:rPr>
        <w:instrText>Ref139814850 \r \h</w:instrText>
      </w:r>
      <w:r w:rsidRPr="003B63CB">
        <w:rPr>
          <w:rStyle w:val="aff4"/>
          <w:vanish/>
          <w:rtl/>
        </w:rPr>
        <w:instrText xml:space="preserve">  \* </w:instrText>
      </w:r>
      <w:r w:rsidRPr="003B63CB">
        <w:rPr>
          <w:rStyle w:val="aff4"/>
          <w:vanish/>
        </w:rPr>
        <w:instrText>MERGEFORMAT</w:instrText>
      </w:r>
      <w:r w:rsidRPr="003B63CB">
        <w:rPr>
          <w:rStyle w:val="aff4"/>
          <w:vanish/>
          <w:rtl/>
        </w:rPr>
        <w:instrText xml:space="preserve"> </w:instrText>
      </w:r>
      <w:r w:rsidRPr="003B63CB">
        <w:rPr>
          <w:rStyle w:val="aff4"/>
          <w:vanish/>
          <w:rtl/>
        </w:rPr>
      </w:r>
      <w:r w:rsidRPr="003B63CB">
        <w:rPr>
          <w:rStyle w:val="aff4"/>
          <w:vanish/>
          <w:rtl/>
        </w:rPr>
        <w:fldChar w:fldCharType="separate"/>
      </w:r>
      <w:r w:rsidR="00D82181">
        <w:rPr>
          <w:rStyle w:val="aff4"/>
          <w:vanish/>
          <w:cs/>
        </w:rPr>
        <w:t>‎</w:t>
      </w:r>
      <w:r w:rsidR="00D82181">
        <w:rPr>
          <w:rStyle w:val="aff4"/>
          <w:vanish/>
          <w:rtl/>
        </w:rPr>
        <w:t>מ)</w:t>
      </w:r>
      <w:r w:rsidRPr="003B63CB">
        <w:rPr>
          <w:rStyle w:val="aff4"/>
          <w:vanish/>
          <w:rtl/>
        </w:rPr>
        <w:fldChar w:fldCharType="end"/>
      </w:r>
      <w:r w:rsidRPr="003B63CB">
        <w:rPr>
          <w:rStyle w:val="aff4"/>
          <w:rFonts w:hint="cs"/>
          <w:vanish/>
          <w:rtl/>
        </w:rPr>
        <w:t xml:space="preserve"> &gt;</w:t>
      </w:r>
      <w:r w:rsidRPr="003B63CB">
        <w:rPr>
          <w:rStyle w:val="aff4"/>
          <w:rFonts w:hint="cs"/>
          <w:rtl/>
        </w:rPr>
        <w:t>מרכבת המשנה</w:t>
      </w:r>
      <w:r w:rsidRPr="003B63CB">
        <w:rPr>
          <w:rStyle w:val="aff4"/>
          <w:rFonts w:hint="cs"/>
          <w:vanish/>
          <w:rtl/>
        </w:rPr>
        <w:t>-</w:t>
      </w:r>
      <w:r w:rsidRPr="003B63CB">
        <w:rPr>
          <w:rFonts w:hint="cs"/>
          <w:rtl/>
        </w:rPr>
        <w:t xml:space="preserve"> </w:t>
      </w:r>
      <w:r w:rsidRPr="003B63CB">
        <w:rPr>
          <w:rStyle w:val="af2"/>
          <w:rFonts w:eastAsia="Guttman Hodes" w:hint="cs"/>
          <w:rtl/>
        </w:rPr>
        <w:t>(שבת פ"א ה"א ד"ה ומה שנראה)</w:t>
      </w:r>
      <w:r w:rsidRPr="003B63CB">
        <w:rPr>
          <w:rFonts w:hint="cs"/>
          <w:vanish/>
          <w:rtl/>
        </w:rPr>
        <w:t>=</w:t>
      </w:r>
      <w:r w:rsidRPr="003B63CB">
        <w:rPr>
          <w:rFonts w:hint="cs"/>
          <w:rtl/>
        </w:rPr>
        <w:t xml:space="preserve"> דיותר נראה לבאר דאף דכל חובל ומבעיר הוא מקלקל, מ"מ לענין חופר גומא פוטר ר"י דהוי קלקול, ואילו בחובל וצריך לכלבו ס"ל דהוי תיקון בדבר אחר, והיינו כדביארו </w:t>
      </w:r>
      <w:bookmarkStart w:id="3324" w:name="_Hlk139815061"/>
      <w:r w:rsidRPr="003B63CB">
        <w:rPr>
          <w:rStyle w:val="aff4"/>
          <w:rFonts w:hint="cs"/>
          <w:vanish/>
          <w:rtl/>
        </w:rPr>
        <w:t>-</w:t>
      </w:r>
      <w:r w:rsidRPr="003B63CB">
        <w:rPr>
          <w:rStyle w:val="aff4"/>
          <w:rFonts w:hint="cs"/>
          <w:rtl/>
        </w:rPr>
        <w:t>התוס'</w:t>
      </w:r>
      <w:r w:rsidRPr="003B63CB">
        <w:rPr>
          <w:rStyle w:val="aff4"/>
          <w:rFonts w:hint="cs"/>
          <w:vanish/>
          <w:rtl/>
        </w:rPr>
        <w:t>-</w:t>
      </w:r>
      <w:r w:rsidRPr="003B63CB">
        <w:rPr>
          <w:rFonts w:hint="cs"/>
          <w:rtl/>
        </w:rPr>
        <w:t xml:space="preserve"> </w:t>
      </w:r>
      <w:r w:rsidRPr="003B63CB">
        <w:rPr>
          <w:rStyle w:val="af"/>
          <w:rFonts w:hint="cs"/>
          <w:rtl/>
        </w:rPr>
        <w:t>[</w:t>
      </w:r>
      <w:r w:rsidRPr="003B63CB">
        <w:rPr>
          <w:rStyle w:val="aff9"/>
          <w:rFonts w:hint="cs"/>
          <w:vanish/>
          <w:rtl/>
        </w:rPr>
        <w:t>-</w:t>
      </w:r>
      <w:r w:rsidRPr="003B63CB">
        <w:rPr>
          <w:rStyle w:val="aff9"/>
          <w:rFonts w:hint="cs"/>
          <w:rtl/>
        </w:rPr>
        <w:t>קו.</w:t>
      </w:r>
      <w:r w:rsidRPr="003B63CB">
        <w:rPr>
          <w:rStyle w:val="aff9"/>
          <w:rFonts w:hint="cs"/>
          <w:vanish/>
          <w:rtl/>
        </w:rPr>
        <w:t>-</w:t>
      </w:r>
      <w:r w:rsidRPr="003B63CB">
        <w:rPr>
          <w:rStyle w:val="af"/>
          <w:rFonts w:hint="cs"/>
          <w:rtl/>
        </w:rPr>
        <w:t>]</w:t>
      </w:r>
      <w:r w:rsidRPr="003B63CB">
        <w:rPr>
          <w:rFonts w:hint="cs"/>
          <w:rtl/>
        </w:rPr>
        <w:t xml:space="preserve"> </w:t>
      </w:r>
      <w:r w:rsidRPr="003B63CB">
        <w:rPr>
          <w:rStyle w:val="af2"/>
          <w:rFonts w:eastAsia="Guttman Hodes" w:hint="cs"/>
          <w:rtl/>
        </w:rPr>
        <w:t>(</w:t>
      </w:r>
      <w:r w:rsidRPr="00D712FD">
        <w:rPr>
          <w:rStyle w:val="af2"/>
          <w:rFonts w:eastAsia="Guttman Rashi" w:hint="cs"/>
          <w:rtl/>
        </w:rPr>
        <w:t>הובאו בסימן ט'</w:t>
      </w:r>
      <w:r w:rsidRPr="003B63CB">
        <w:rPr>
          <w:rStyle w:val="af2"/>
          <w:rFonts w:eastAsia="Guttman Hodes" w:hint="cs"/>
          <w:rtl/>
        </w:rPr>
        <w:t xml:space="preserve"> אות </w:t>
      </w:r>
      <w:r w:rsidRPr="003B63CB">
        <w:rPr>
          <w:rStyle w:val="af2"/>
          <w:rFonts w:eastAsia="Guttman Hodes"/>
          <w:rtl/>
        </w:rPr>
        <w:fldChar w:fldCharType="begin"/>
      </w:r>
      <w:r w:rsidRPr="003B63CB">
        <w:rPr>
          <w:rStyle w:val="af2"/>
          <w:rFonts w:eastAsia="Guttman Hodes"/>
          <w:rtl/>
        </w:rPr>
        <w:instrText xml:space="preserve"> </w:instrText>
      </w:r>
      <w:r w:rsidRPr="003B63CB">
        <w:rPr>
          <w:rStyle w:val="af2"/>
          <w:rFonts w:eastAsia="Guttman Hodes" w:hint="cs"/>
        </w:rPr>
        <w:instrText>REF</w:instrText>
      </w:r>
      <w:r w:rsidRPr="003B63CB">
        <w:rPr>
          <w:rStyle w:val="af2"/>
          <w:rFonts w:eastAsia="Guttman Hodes" w:hint="cs"/>
          <w:rtl/>
        </w:rPr>
        <w:instrText xml:space="preserve"> _</w:instrText>
      </w:r>
      <w:r w:rsidRPr="003B63CB">
        <w:rPr>
          <w:rStyle w:val="af2"/>
          <w:rFonts w:eastAsia="Guttman Hodes" w:hint="cs"/>
        </w:rPr>
        <w:instrText>Ref139814583 \r \h</w:instrText>
      </w:r>
      <w:r w:rsidRPr="003B63CB">
        <w:rPr>
          <w:rStyle w:val="af2"/>
          <w:rFonts w:eastAsia="Guttman Hodes"/>
          <w:rtl/>
        </w:rPr>
        <w:instrText xml:space="preserve">  \* </w:instrText>
      </w:r>
      <w:r w:rsidRPr="003B63CB">
        <w:rPr>
          <w:rStyle w:val="af2"/>
          <w:rFonts w:eastAsia="Guttman Hodes"/>
        </w:rPr>
        <w:instrText>MERGEFORMAT</w:instrText>
      </w:r>
      <w:r w:rsidRPr="003B63CB">
        <w:rPr>
          <w:rStyle w:val="af2"/>
          <w:rFonts w:eastAsia="Guttman Hodes"/>
          <w:rtl/>
        </w:rPr>
        <w:instrText xml:space="preserve"> </w:instrText>
      </w:r>
      <w:r w:rsidRPr="003B63CB">
        <w:rPr>
          <w:rStyle w:val="af2"/>
          <w:rFonts w:eastAsia="Guttman Hodes"/>
          <w:rtl/>
        </w:rPr>
      </w:r>
      <w:r w:rsidRPr="003B63CB">
        <w:rPr>
          <w:rStyle w:val="af2"/>
          <w:rFonts w:eastAsia="Guttman Hodes"/>
          <w:rtl/>
        </w:rPr>
        <w:fldChar w:fldCharType="separate"/>
      </w:r>
      <w:r w:rsidR="00D82181" w:rsidRPr="00D82181">
        <w:rPr>
          <w:rStyle w:val="af2"/>
          <w:rFonts w:eastAsia="Guttman Hodes"/>
          <w:b/>
          <w:bCs/>
          <w:cs/>
        </w:rPr>
        <w:t>‎</w:t>
      </w:r>
      <w:r w:rsidR="00D82181" w:rsidRPr="00D82181">
        <w:rPr>
          <w:rStyle w:val="af2"/>
          <w:rFonts w:eastAsia="Guttman Hodes"/>
          <w:b/>
          <w:bCs/>
          <w:rtl/>
        </w:rPr>
        <w:t>כד)</w:t>
      </w:r>
      <w:r w:rsidRPr="003B63CB">
        <w:rPr>
          <w:rStyle w:val="af2"/>
          <w:rFonts w:eastAsia="Guttman Hodes"/>
          <w:rtl/>
        </w:rPr>
        <w:fldChar w:fldCharType="end"/>
      </w:r>
      <w:bookmarkEnd w:id="3324"/>
      <w:r w:rsidRPr="003B63CB">
        <w:rPr>
          <w:rFonts w:hint="cs"/>
          <w:rtl/>
        </w:rPr>
        <w:t xml:space="preserve"> דבחובל וצריך לכלבו דהמלאכה היא נטילת נשמה, א"כ המלאכה היא בדם שנוטלו וממיתו, ואין המלאכה בגוף האדם שחובל בו, ולכן אעפ"י דבגוף האדם הוא מקלקל, מ"מ כיון דעיקר המלאכה היא בדם, ובדם עצמו הוא מתקן דמוציאו ועי"ז נעשה ראוי לכלב, לכן הקלקול שבאדם לא חשיב קלקול, אבל בחופר גומא המלאכה עצמה היא הבנין וא"א לומר דהמלאכה היא בעפר, </w:t>
      </w:r>
      <w:r w:rsidRPr="003B63CB">
        <w:rPr>
          <w:rStyle w:val="af"/>
          <w:rFonts w:hint="cs"/>
          <w:rtl/>
        </w:rPr>
        <w:t>[כמו דאמרינן בחובל דהמלאכה היא בדם],</w:t>
      </w:r>
      <w:r w:rsidRPr="003B63CB">
        <w:rPr>
          <w:rFonts w:hint="cs"/>
          <w:rtl/>
        </w:rPr>
        <w:t xml:space="preserve"> כיון דא"צ את הבנין הוא מקלקל בגוף המלאכה ופטור מדין מקלקל, וחייב לר"י רק מדין מלאכה שאינה צריכה לגופה ולר"ש פטור.</w:t>
      </w:r>
      <w:bookmarkEnd w:id="3323"/>
      <w:r w:rsidRPr="003B63CB">
        <w:rPr>
          <w:rStyle w:val="af"/>
          <w:rFonts w:hint="cs"/>
          <w:rtl/>
        </w:rPr>
        <w:t xml:space="preserve"> [כתב </w:t>
      </w:r>
      <w:r w:rsidRPr="003B63CB">
        <w:rPr>
          <w:rStyle w:val="aff9"/>
          <w:rFonts w:hint="cs"/>
          <w:vanish/>
          <w:rtl/>
        </w:rPr>
        <w:t>-</w:t>
      </w:r>
      <w:r w:rsidRPr="003B63CB">
        <w:rPr>
          <w:rStyle w:val="aff9"/>
          <w:rFonts w:hint="cs"/>
          <w:rtl/>
        </w:rPr>
        <w:t>המרכבת המשנה</w:t>
      </w:r>
      <w:r w:rsidRPr="003B63CB">
        <w:rPr>
          <w:rStyle w:val="aff9"/>
          <w:rFonts w:hint="cs"/>
          <w:vanish/>
          <w:rtl/>
        </w:rPr>
        <w:t>-</w:t>
      </w:r>
      <w:r w:rsidRPr="003B63CB">
        <w:rPr>
          <w:rStyle w:val="af"/>
          <w:rFonts w:hint="cs"/>
          <w:rtl/>
        </w:rPr>
        <w:t xml:space="preserve"> דמודה ר"י בחותך אצבע יתירה מאדם, דפטור, כיון דהנטילת נשמה אינה מהאדם אלא באצבע, ובה הוא מקלקל, והתיקון שעושב בגוף האדם אינו תיקון במלאכה, כיון דהמלאכה היא באצבע ולא באדם, ורק אם צריך את האצבע לכלבו חשיב תיקון כמו חובל וצריך את הדם לכלבו, וה"ה במוציא דם רע מגופון לרפואה].</w:t>
      </w:r>
    </w:p>
    <w:p w14:paraId="626C87D2" w14:textId="77777777" w:rsidR="002748A5" w:rsidRPr="00747170" w:rsidRDefault="002748A5" w:rsidP="00747170">
      <w:pPr>
        <w:pStyle w:val="a2"/>
        <w:rPr>
          <w:rStyle w:val="afff7"/>
          <w:rtl/>
        </w:rPr>
      </w:pPr>
      <w:bookmarkStart w:id="3325" w:name="_Hlk139815085"/>
      <w:r w:rsidRPr="00747170">
        <w:rPr>
          <w:rtl/>
        </w:rPr>
        <w:t xml:space="preserve">ומה שנראה לענ"ד יותר ברור בכוונת רש"י דודאי צריך להשים על לב דאע"ג דלר' יהודה דין חובל ומבעיר שוה לדין כל המקלקלין אפ"ה גבי חופר גומא פוטר ר"י מתורת מקלקל ובצריך לכלבו ולאפרו חשיב תיקון וצ"ל החילוק לדרך רש"י כמ"ש התוס' דבחובל וצריך לכלבו המלאכה היא בדם שהוא נוטל ואין המלאכה בגוף האדם הילכך מה שמקלקל גוף האדם ועושה בו חבורה לא חשיב קלקול אלא דחשיב קלקול לגבי דם שמוציא ומקלקלו שעד עתה היה בו נשמה והוא ממיתו. אמנם אין זה קלקול דאע"ג דמקלקל לגבי דם מתקן הוא את הדם לגבי כלב שקודם הוצאה לא היה ראוי לכלב ועתה ראוי וכיון דניחא ליה להמית הדם כדי שיהיה ראוי לכלב חשוב תיקון לר"י והיינו מ"ש רש"י דאע"פ דמקלקל הוא אצל מלאכה (ר"ל שממית הדם) מתקן הוא אצל אחרים ר"ל לגבי כלב. משא"כ בחופר גומא דאין המלאכה נטילת העפר ובעפר אלא המלאכה היא בגומא הנשארת וכיון שהגומא עצמה לא ניחא ליה לשום דבר ואין בה תיקון אלא קלקול פטור. </w:t>
      </w:r>
      <w:r w:rsidRPr="00747170">
        <w:rPr>
          <w:rStyle w:val="afff7"/>
          <w:rtl/>
        </w:rPr>
        <w:t>משא"כ למשל החותך אצבע יתירה מגוף האדם פטור לר"י דכיון דאין המלאכה בגוף האדם אלא בנטילת נשמה מן האצבע הילכך מה שמתקן גוף האדם לא חשיב תיקון במלאכה והוא מקלקל האצבע יתירה שאינו צריך לה כלום וחשיב קלקול בגוף המלאכה אלא שאם צריך האצבע יתירה לכלבו חשיב תיקון דומיא דדם לכלבו.</w:t>
      </w:r>
    </w:p>
    <w:p w14:paraId="78A36C2F" w14:textId="77777777" w:rsidR="002748A5" w:rsidRPr="003B63CB" w:rsidRDefault="002748A5" w:rsidP="002748A5">
      <w:pPr>
        <w:pStyle w:val="a7"/>
        <w:rPr>
          <w:rtl/>
        </w:rPr>
      </w:pPr>
      <w:bookmarkStart w:id="3326" w:name="_Toc140074192"/>
      <w:bookmarkStart w:id="3327" w:name="_Toc140092042"/>
      <w:bookmarkStart w:id="3328" w:name="_Toc140144242"/>
      <w:bookmarkStart w:id="3329" w:name="_Toc140144473"/>
      <w:bookmarkEnd w:id="3325"/>
      <w:r w:rsidRPr="003B63CB">
        <w:rPr>
          <w:rFonts w:hint="cs"/>
          <w:rtl/>
        </w:rPr>
        <w:t>בי' המרכה"מ דלר"ש דפוטר גם מדין משאצל"ג וגם מדין מקלקל מבו' דאף בצריך לקלקול פוטר</w:t>
      </w:r>
      <w:bookmarkEnd w:id="3326"/>
      <w:bookmarkEnd w:id="3327"/>
      <w:bookmarkEnd w:id="3328"/>
      <w:bookmarkEnd w:id="3329"/>
      <w:r w:rsidRPr="003B63CB">
        <w:rPr>
          <w:rFonts w:hint="cs"/>
          <w:rtl/>
        </w:rPr>
        <w:t xml:space="preserve"> </w:t>
      </w:r>
    </w:p>
    <w:p w14:paraId="307A52AB" w14:textId="3F348ECC" w:rsidR="002748A5" w:rsidRPr="003B63CB" w:rsidRDefault="002748A5" w:rsidP="00BC7DC8">
      <w:pPr>
        <w:pStyle w:val="a3"/>
      </w:pPr>
      <w:bookmarkStart w:id="3330" w:name="_Ref139814864"/>
      <w:r w:rsidRPr="003B63CB">
        <w:rPr>
          <w:rFonts w:hint="cs"/>
          <w:rtl/>
        </w:rPr>
        <w:t xml:space="preserve">וכתב </w:t>
      </w:r>
      <w:r w:rsidRPr="003B63CB">
        <w:rPr>
          <w:rStyle w:val="aff4"/>
          <w:rFonts w:hint="cs"/>
          <w:vanish/>
          <w:rtl/>
        </w:rPr>
        <w:t>-</w:t>
      </w:r>
      <w:r w:rsidRPr="003B63CB">
        <w:rPr>
          <w:rStyle w:val="aff4"/>
          <w:rFonts w:hint="cs"/>
          <w:rtl/>
        </w:rPr>
        <w:t>ה</w:t>
      </w:r>
      <w:r w:rsidRPr="003B63CB">
        <w:rPr>
          <w:rStyle w:val="aff4"/>
          <w:rFonts w:hint="cs"/>
          <w:vanish/>
          <w:rtl/>
        </w:rPr>
        <w:t xml:space="preserve">&lt;, </w:t>
      </w:r>
      <w:r w:rsidRPr="003B63CB">
        <w:rPr>
          <w:rStyle w:val="aff4"/>
          <w:vanish/>
          <w:rtl/>
        </w:rPr>
        <w:fldChar w:fldCharType="begin"/>
      </w:r>
      <w:r w:rsidRPr="003B63CB">
        <w:rPr>
          <w:rStyle w:val="aff4"/>
          <w:vanish/>
          <w:rtl/>
        </w:rPr>
        <w:instrText xml:space="preserve"> </w:instrText>
      </w:r>
      <w:r w:rsidRPr="003B63CB">
        <w:rPr>
          <w:rStyle w:val="aff4"/>
          <w:rFonts w:hint="cs"/>
          <w:vanish/>
        </w:rPr>
        <w:instrText>REF</w:instrText>
      </w:r>
      <w:r w:rsidRPr="003B63CB">
        <w:rPr>
          <w:rStyle w:val="aff4"/>
          <w:rFonts w:hint="cs"/>
          <w:vanish/>
          <w:rtl/>
        </w:rPr>
        <w:instrText xml:space="preserve"> _</w:instrText>
      </w:r>
      <w:r w:rsidRPr="003B63CB">
        <w:rPr>
          <w:rStyle w:val="aff4"/>
          <w:rFonts w:hint="cs"/>
          <w:vanish/>
        </w:rPr>
        <w:instrText>Ref139814864 \r \h</w:instrText>
      </w:r>
      <w:r w:rsidRPr="003B63CB">
        <w:rPr>
          <w:rStyle w:val="aff4"/>
          <w:vanish/>
          <w:rtl/>
        </w:rPr>
        <w:instrText xml:space="preserve">  \* </w:instrText>
      </w:r>
      <w:r w:rsidRPr="003B63CB">
        <w:rPr>
          <w:rStyle w:val="aff4"/>
          <w:vanish/>
        </w:rPr>
        <w:instrText>MERGEFORMAT</w:instrText>
      </w:r>
      <w:r w:rsidRPr="003B63CB">
        <w:rPr>
          <w:rStyle w:val="aff4"/>
          <w:vanish/>
          <w:rtl/>
        </w:rPr>
        <w:instrText xml:space="preserve"> </w:instrText>
      </w:r>
      <w:r w:rsidRPr="003B63CB">
        <w:rPr>
          <w:rStyle w:val="aff4"/>
          <w:vanish/>
          <w:rtl/>
        </w:rPr>
      </w:r>
      <w:r w:rsidRPr="003B63CB">
        <w:rPr>
          <w:rStyle w:val="aff4"/>
          <w:vanish/>
          <w:rtl/>
        </w:rPr>
        <w:fldChar w:fldCharType="separate"/>
      </w:r>
      <w:r w:rsidR="00D82181">
        <w:rPr>
          <w:rStyle w:val="aff4"/>
          <w:vanish/>
          <w:cs/>
        </w:rPr>
        <w:t>‎</w:t>
      </w:r>
      <w:r w:rsidR="00D82181">
        <w:rPr>
          <w:rStyle w:val="aff4"/>
          <w:vanish/>
          <w:rtl/>
        </w:rPr>
        <w:t>מא)</w:t>
      </w:r>
      <w:r w:rsidRPr="003B63CB">
        <w:rPr>
          <w:rStyle w:val="aff4"/>
          <w:vanish/>
          <w:rtl/>
        </w:rPr>
        <w:fldChar w:fldCharType="end"/>
      </w:r>
      <w:r w:rsidRPr="003B63CB">
        <w:rPr>
          <w:rStyle w:val="aff4"/>
          <w:rFonts w:hint="cs"/>
          <w:vanish/>
          <w:rtl/>
        </w:rPr>
        <w:t xml:space="preserve"> &gt;</w:t>
      </w:r>
      <w:r w:rsidRPr="003B63CB">
        <w:rPr>
          <w:rStyle w:val="aff4"/>
          <w:rFonts w:hint="cs"/>
          <w:rtl/>
        </w:rPr>
        <w:t>מרכבת המשנה</w:t>
      </w:r>
      <w:r w:rsidRPr="003B63CB">
        <w:rPr>
          <w:rStyle w:val="aff4"/>
          <w:rFonts w:hint="cs"/>
          <w:vanish/>
          <w:rtl/>
        </w:rPr>
        <w:t>-</w:t>
      </w:r>
      <w:r w:rsidRPr="003B63CB">
        <w:rPr>
          <w:rFonts w:hint="cs"/>
          <w:rtl/>
        </w:rPr>
        <w:t xml:space="preserve"> </w:t>
      </w:r>
      <w:r w:rsidRPr="003B63CB">
        <w:rPr>
          <w:rStyle w:val="af2"/>
          <w:rFonts w:eastAsia="Guttman Hodes" w:hint="cs"/>
          <w:rtl/>
        </w:rPr>
        <w:t>(שבת פ"א ה"א ד"ה סוד"ה וכה"ג נמי)</w:t>
      </w:r>
      <w:r w:rsidRPr="003B63CB">
        <w:rPr>
          <w:rFonts w:hint="cs"/>
          <w:vanish/>
          <w:rtl/>
        </w:rPr>
        <w:t>=</w:t>
      </w:r>
      <w:r w:rsidRPr="003B63CB">
        <w:rPr>
          <w:rFonts w:hint="cs"/>
          <w:rtl/>
        </w:rPr>
        <w:t xml:space="preserve"> דלר"ש דפוטר בכל מלאכה שאינה צריכה לגופה אף במלאכת תיקון, מוכח מפטור מקלקל דבמלאכת קלקול פוטר ר"ש אף כשהוא צריך את הקלקול עצמו, דהא באופן שא"צ את הקלקול פטור מדין מלאכה שאינה צריכה לגופה, ומבואר דהפטור במקלקל הוא אף כשצריך לו.</w:t>
      </w:r>
    </w:p>
    <w:p w14:paraId="5FC22CE1" w14:textId="77777777" w:rsidR="002748A5" w:rsidRPr="00747170" w:rsidRDefault="002748A5" w:rsidP="00747170">
      <w:pPr>
        <w:pStyle w:val="a2"/>
        <w:rPr>
          <w:rtl/>
        </w:rPr>
      </w:pPr>
      <w:r w:rsidRPr="00747170">
        <w:rPr>
          <w:rtl/>
        </w:rPr>
        <w:t>אבל לר' שמעון דס"ל בכל המלאכות דלאו מקלקלין משאצל"ג פטור א"כ על כרחך במקלקלין אפילו צריך לקלקל כמו הסותר וצריך לפרצה נמי פטור דאי באינו צריך לפרצה בלא"ה פטור משום משאצל"ג ועל כרחך אהני לן כללא דכל המקלקלין פטורים לפטור אפילו בצריך לפרצה והיינו מ"ש רש"י אין לך חובל ומבעיר שאינו מקלקל וכו' ולא כתב שאין לך חובל ומבעיר שאינו משאצל"ג אלא ודאי דצריך לכלבו ולאפרו חשיב משצל"ג אלא דיש לפוטרו מתורת מקלקל.</w:t>
      </w:r>
    </w:p>
    <w:p w14:paraId="3740ADDF" w14:textId="77777777" w:rsidR="002748A5" w:rsidRPr="00C12F78" w:rsidRDefault="002748A5" w:rsidP="002748A5">
      <w:pPr>
        <w:pStyle w:val="afffff7"/>
        <w:rPr>
          <w:rtl/>
        </w:rPr>
      </w:pPr>
      <w:bookmarkStart w:id="3331" w:name="_Toc140074273"/>
      <w:bookmarkStart w:id="3332" w:name="_Toc140144369"/>
      <w:bookmarkStart w:id="3333" w:name="_Toc140144845"/>
      <w:bookmarkStart w:id="3334" w:name="_Toc163505960"/>
      <w:r w:rsidRPr="00C12F78">
        <w:rPr>
          <w:rtl/>
        </w:rPr>
        <w:t>מרכבת המשנה שבת פ"א ה"א</w:t>
      </w:r>
      <w:r w:rsidRPr="00C12F78">
        <w:rPr>
          <w:rFonts w:hint="cs"/>
          <w:rtl/>
        </w:rPr>
        <w:t xml:space="preserve"> ד"ה ומ"ש רש"י</w:t>
      </w:r>
      <w:bookmarkEnd w:id="3331"/>
      <w:bookmarkEnd w:id="3332"/>
      <w:r w:rsidRPr="00C12F78">
        <w:rPr>
          <w:rtl/>
        </w:rPr>
        <w:t xml:space="preserve"> (ח)</w:t>
      </w:r>
      <w:bookmarkEnd w:id="3333"/>
      <w:bookmarkEnd w:id="3334"/>
    </w:p>
    <w:p w14:paraId="475B20B3" w14:textId="77777777" w:rsidR="002748A5" w:rsidRPr="003B63CB" w:rsidRDefault="002748A5" w:rsidP="002748A5">
      <w:pPr>
        <w:pStyle w:val="a7"/>
      </w:pPr>
      <w:bookmarkStart w:id="3335" w:name="_Toc140074193"/>
      <w:bookmarkStart w:id="3336" w:name="_Toc140092043"/>
      <w:bookmarkStart w:id="3337" w:name="_Toc140144243"/>
      <w:bookmarkStart w:id="3338" w:name="_Toc140144474"/>
      <w:r w:rsidRPr="003B63CB">
        <w:rPr>
          <w:rFonts w:hint="cs"/>
          <w:rtl/>
        </w:rPr>
        <w:t>בי' המרכה"מ ברש"י דחובל לכלבו אינו משאלצ"ג אך משו"ה תיקון בכלב ל"מ ופטור דמקלקל</w:t>
      </w:r>
      <w:bookmarkEnd w:id="3335"/>
      <w:bookmarkEnd w:id="3336"/>
      <w:bookmarkEnd w:id="3337"/>
      <w:bookmarkEnd w:id="3338"/>
    </w:p>
    <w:p w14:paraId="0E0240F5" w14:textId="43B5821D" w:rsidR="002748A5" w:rsidRPr="003B63CB" w:rsidRDefault="002748A5" w:rsidP="00BC7DC8">
      <w:pPr>
        <w:pStyle w:val="a3"/>
      </w:pPr>
      <w:bookmarkStart w:id="3339" w:name="_Ref140053299"/>
      <w:r w:rsidRPr="003B63CB">
        <w:rPr>
          <w:rFonts w:hint="cs"/>
          <w:rtl/>
        </w:rPr>
        <w:t xml:space="preserve">ולפי"ז ביאר </w:t>
      </w:r>
      <w:r w:rsidRPr="003B63CB">
        <w:rPr>
          <w:rStyle w:val="aff4"/>
          <w:rFonts w:hint="cs"/>
          <w:vanish/>
          <w:rtl/>
        </w:rPr>
        <w:t>-</w:t>
      </w:r>
      <w:r w:rsidRPr="003B63CB">
        <w:rPr>
          <w:rStyle w:val="aff4"/>
          <w:rFonts w:hint="cs"/>
          <w:rtl/>
        </w:rPr>
        <w:t>ה</w:t>
      </w:r>
      <w:r w:rsidRPr="003B63CB">
        <w:rPr>
          <w:rStyle w:val="aff4"/>
          <w:rFonts w:hint="cs"/>
          <w:vanish/>
          <w:rtl/>
        </w:rPr>
        <w:t xml:space="preserve">&lt;, </w:t>
      </w:r>
      <w:r w:rsidRPr="003B63CB">
        <w:rPr>
          <w:rStyle w:val="aff4"/>
          <w:vanish/>
          <w:rtl/>
        </w:rPr>
        <w:fldChar w:fldCharType="begin"/>
      </w:r>
      <w:r w:rsidRPr="003B63CB">
        <w:rPr>
          <w:rStyle w:val="aff4"/>
          <w:vanish/>
          <w:rtl/>
        </w:rPr>
        <w:instrText xml:space="preserve"> </w:instrText>
      </w:r>
      <w:r w:rsidRPr="003B63CB">
        <w:rPr>
          <w:rStyle w:val="aff4"/>
          <w:rFonts w:hint="cs"/>
          <w:vanish/>
        </w:rPr>
        <w:instrText>REF</w:instrText>
      </w:r>
      <w:r w:rsidRPr="003B63CB">
        <w:rPr>
          <w:rStyle w:val="aff4"/>
          <w:rFonts w:hint="cs"/>
          <w:vanish/>
          <w:rtl/>
        </w:rPr>
        <w:instrText xml:space="preserve"> _</w:instrText>
      </w:r>
      <w:r w:rsidRPr="003B63CB">
        <w:rPr>
          <w:rStyle w:val="aff4"/>
          <w:rFonts w:hint="cs"/>
          <w:vanish/>
        </w:rPr>
        <w:instrText>Ref140053299 \r \h</w:instrText>
      </w:r>
      <w:r w:rsidRPr="003B63CB">
        <w:rPr>
          <w:rStyle w:val="aff4"/>
          <w:vanish/>
          <w:rtl/>
        </w:rPr>
        <w:instrText xml:space="preserve">  \* </w:instrText>
      </w:r>
      <w:r w:rsidRPr="003B63CB">
        <w:rPr>
          <w:rStyle w:val="aff4"/>
          <w:vanish/>
        </w:rPr>
        <w:instrText>MERGEFORMAT</w:instrText>
      </w:r>
      <w:r w:rsidRPr="003B63CB">
        <w:rPr>
          <w:rStyle w:val="aff4"/>
          <w:vanish/>
          <w:rtl/>
        </w:rPr>
        <w:instrText xml:space="preserve"> </w:instrText>
      </w:r>
      <w:r w:rsidRPr="003B63CB">
        <w:rPr>
          <w:rStyle w:val="aff4"/>
          <w:vanish/>
          <w:rtl/>
        </w:rPr>
      </w:r>
      <w:r w:rsidRPr="003B63CB">
        <w:rPr>
          <w:rStyle w:val="aff4"/>
          <w:vanish/>
          <w:rtl/>
        </w:rPr>
        <w:fldChar w:fldCharType="separate"/>
      </w:r>
      <w:r w:rsidR="00D82181">
        <w:rPr>
          <w:rStyle w:val="aff4"/>
          <w:vanish/>
          <w:cs/>
        </w:rPr>
        <w:t>‎</w:t>
      </w:r>
      <w:r w:rsidR="00D82181">
        <w:rPr>
          <w:rStyle w:val="aff4"/>
          <w:vanish/>
          <w:rtl/>
        </w:rPr>
        <w:t>מב)</w:t>
      </w:r>
      <w:r w:rsidRPr="003B63CB">
        <w:rPr>
          <w:rStyle w:val="aff4"/>
          <w:vanish/>
          <w:rtl/>
        </w:rPr>
        <w:fldChar w:fldCharType="end"/>
      </w:r>
      <w:r w:rsidRPr="003B63CB">
        <w:rPr>
          <w:rStyle w:val="aff4"/>
          <w:rFonts w:hint="cs"/>
          <w:vanish/>
          <w:rtl/>
        </w:rPr>
        <w:t xml:space="preserve"> &gt;</w:t>
      </w:r>
      <w:r w:rsidRPr="003B63CB">
        <w:rPr>
          <w:rStyle w:val="aff4"/>
          <w:rFonts w:hint="cs"/>
          <w:rtl/>
        </w:rPr>
        <w:t>מרכבת המשנה</w:t>
      </w:r>
      <w:r w:rsidRPr="003B63CB">
        <w:rPr>
          <w:rStyle w:val="aff4"/>
          <w:rFonts w:hint="cs"/>
          <w:vanish/>
          <w:rtl/>
        </w:rPr>
        <w:t>-</w:t>
      </w:r>
      <w:r w:rsidRPr="003B63CB">
        <w:rPr>
          <w:rFonts w:hint="cs"/>
          <w:rtl/>
        </w:rPr>
        <w:t xml:space="preserve"> </w:t>
      </w:r>
      <w:r w:rsidRPr="003B63CB">
        <w:rPr>
          <w:rStyle w:val="af2"/>
          <w:rFonts w:eastAsia="Guttman Hodes" w:hint="cs"/>
          <w:rtl/>
        </w:rPr>
        <w:t>(שבת פ"א ה"א ד"ה ומ"ש רש"י)</w:t>
      </w:r>
      <w:r w:rsidRPr="003B63CB">
        <w:rPr>
          <w:rStyle w:val="afff9"/>
          <w:rFonts w:hint="cs"/>
          <w:bCs w:val="0"/>
          <w:vanish/>
          <w:color w:val="auto"/>
          <w:u w:val="none"/>
          <w:rtl/>
        </w:rPr>
        <w:t>=</w:t>
      </w:r>
      <w:r w:rsidRPr="003B63CB">
        <w:rPr>
          <w:rStyle w:val="afff9"/>
          <w:rFonts w:hint="cs"/>
          <w:bCs w:val="0"/>
          <w:color w:val="auto"/>
          <w:u w:val="none"/>
          <w:rtl/>
        </w:rPr>
        <w:t xml:space="preserve"> </w:t>
      </w:r>
      <w:r w:rsidRPr="003B63CB">
        <w:rPr>
          <w:rFonts w:hint="cs"/>
          <w:rtl/>
        </w:rPr>
        <w:t>דמ"ש</w:t>
      </w:r>
      <w:r w:rsidRPr="003B63CB">
        <w:rPr>
          <w:rStyle w:val="af2"/>
          <w:rFonts w:eastAsia="Guttman Hodes" w:hint="cs"/>
          <w:rtl/>
        </w:rPr>
        <w:t xml:space="preserve"> </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w:t>
      </w:r>
      <w:r w:rsidRPr="003B63C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Ref139367325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כח)</w:t>
      </w:r>
      <w:r>
        <w:rPr>
          <w:rStyle w:val="af2"/>
          <w:rFonts w:eastAsia="Guttman Hodes"/>
          <w:rtl/>
        </w:rPr>
        <w:fldChar w:fldCharType="end"/>
      </w:r>
      <w:r w:rsidRPr="003B63CB">
        <w:rPr>
          <w:rFonts w:hint="cs"/>
          <w:rtl/>
        </w:rPr>
        <w:t xml:space="preserve"> דבחובל וצריך לכלבו הוי מלאכה שאינה צריכה לגופה, אין כוונת</w:t>
      </w:r>
      <w:r w:rsidRPr="003B63CB">
        <w:rPr>
          <w:rStyle w:val="af2"/>
          <w:rFonts w:eastAsia="Guttman Hodes" w:hint="cs"/>
          <w:rtl/>
        </w:rPr>
        <w:t xml:space="preserve"> </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לומר דהמלאכה עצמה היא מלאכה שאינה צריכה </w:t>
      </w:r>
      <w:r w:rsidRPr="003B63CB">
        <w:rPr>
          <w:rFonts w:hint="cs"/>
          <w:rtl/>
        </w:rPr>
        <w:t xml:space="preserve">לגופה, </w:t>
      </w:r>
      <w:r w:rsidRPr="003B63CB">
        <w:rPr>
          <w:rStyle w:val="af"/>
          <w:rFonts w:hint="cs"/>
          <w:rtl/>
        </w:rPr>
        <w:t xml:space="preserve">[דהא לדעת </w:t>
      </w:r>
      <w:r w:rsidRPr="003B63CB">
        <w:rPr>
          <w:rStyle w:val="aff9"/>
          <w:rFonts w:hint="cs"/>
          <w:vanish/>
          <w:rtl/>
        </w:rPr>
        <w:t>-</w:t>
      </w:r>
      <w:r w:rsidRPr="003B63CB">
        <w:rPr>
          <w:rStyle w:val="aff9"/>
          <w:rFonts w:hint="cs"/>
          <w:rtl/>
        </w:rPr>
        <w:t>רש"י</w:t>
      </w:r>
      <w:r w:rsidRPr="003B63CB">
        <w:rPr>
          <w:rStyle w:val="aff9"/>
          <w:rFonts w:hint="cs"/>
          <w:vanish/>
          <w:rtl/>
        </w:rPr>
        <w:t>-</w:t>
      </w:r>
      <w:r w:rsidRPr="003B63CB">
        <w:rPr>
          <w:rStyle w:val="af"/>
          <w:rFonts w:hint="cs"/>
          <w:rtl/>
        </w:rPr>
        <w:t xml:space="preserve"> ביאר </w:t>
      </w:r>
      <w:r w:rsidRPr="003B63CB">
        <w:rPr>
          <w:rStyle w:val="aff9"/>
          <w:rFonts w:hint="cs"/>
          <w:vanish/>
          <w:rtl/>
        </w:rPr>
        <w:t>-</w:t>
      </w:r>
      <w:r w:rsidRPr="003B63CB">
        <w:rPr>
          <w:rStyle w:val="aff9"/>
          <w:rFonts w:hint="cs"/>
          <w:rtl/>
        </w:rPr>
        <w:t>המרכבת המשנה</w:t>
      </w:r>
      <w:r w:rsidRPr="003B63CB">
        <w:rPr>
          <w:rStyle w:val="aff9"/>
          <w:rFonts w:hint="cs"/>
          <w:vanish/>
          <w:rtl/>
        </w:rPr>
        <w:t>-</w:t>
      </w:r>
      <w:r w:rsidRPr="003B63CB">
        <w:rPr>
          <w:rStyle w:val="af"/>
          <w:rFonts w:hint="cs"/>
          <w:rtl/>
        </w:rPr>
        <w:t xml:space="preserve"> </w:t>
      </w:r>
      <w:r w:rsidRPr="003B63CB">
        <w:rPr>
          <w:rStyle w:val="aff0"/>
          <w:rFonts w:hint="cs"/>
          <w:rtl/>
        </w:rPr>
        <w:t xml:space="preserve">(עי' אות </w:t>
      </w:r>
      <w:r w:rsidRPr="003B63CB">
        <w:rPr>
          <w:rStyle w:val="aff0"/>
          <w:rtl/>
        </w:rPr>
        <w:fldChar w:fldCharType="begin"/>
      </w:r>
      <w:r w:rsidRPr="003B63CB">
        <w:rPr>
          <w:rStyle w:val="aff0"/>
          <w:rtl/>
        </w:rPr>
        <w:instrText xml:space="preserve"> </w:instrText>
      </w:r>
      <w:r w:rsidRPr="003B63CB">
        <w:rPr>
          <w:rStyle w:val="aff0"/>
          <w:rFonts w:hint="cs"/>
        </w:rPr>
        <w:instrText>REF</w:instrText>
      </w:r>
      <w:r w:rsidRPr="003B63CB">
        <w:rPr>
          <w:rStyle w:val="aff0"/>
          <w:rFonts w:hint="cs"/>
          <w:rtl/>
        </w:rPr>
        <w:instrText xml:space="preserve"> _</w:instrText>
      </w:r>
      <w:r w:rsidRPr="003B63CB">
        <w:rPr>
          <w:rStyle w:val="aff0"/>
          <w:rFonts w:hint="cs"/>
        </w:rPr>
        <w:instrText>Ref140006121 \r \h</w:instrText>
      </w:r>
      <w:r w:rsidRPr="003B63CB">
        <w:rPr>
          <w:rStyle w:val="aff0"/>
          <w:rtl/>
        </w:rPr>
        <w:instrText xml:space="preserve">  \* </w:instrText>
      </w:r>
      <w:r w:rsidRPr="003B63CB">
        <w:rPr>
          <w:rStyle w:val="aff0"/>
        </w:rPr>
        <w:instrText>MERGEFORMAT</w:instrText>
      </w:r>
      <w:r w:rsidRPr="003B63CB">
        <w:rPr>
          <w:rStyle w:val="aff0"/>
          <w:rtl/>
        </w:rPr>
        <w:instrText xml:space="preserve"> </w:instrText>
      </w:r>
      <w:r w:rsidRPr="003B63CB">
        <w:rPr>
          <w:rStyle w:val="aff0"/>
          <w:rtl/>
        </w:rPr>
      </w:r>
      <w:r w:rsidRPr="003B63CB">
        <w:rPr>
          <w:rStyle w:val="aff0"/>
          <w:rtl/>
        </w:rPr>
        <w:fldChar w:fldCharType="separate"/>
      </w:r>
      <w:r w:rsidR="00D82181">
        <w:rPr>
          <w:rStyle w:val="aff0"/>
          <w:cs/>
        </w:rPr>
        <w:t>‎</w:t>
      </w:r>
      <w:r w:rsidR="00D82181">
        <w:rPr>
          <w:rStyle w:val="aff0"/>
          <w:rtl/>
        </w:rPr>
        <w:t>כו)</w:t>
      </w:r>
      <w:r w:rsidRPr="003B63CB">
        <w:rPr>
          <w:rStyle w:val="aff0"/>
          <w:rtl/>
        </w:rPr>
        <w:fldChar w:fldCharType="end"/>
      </w:r>
      <w:r w:rsidRPr="003B63CB">
        <w:rPr>
          <w:rStyle w:val="af"/>
          <w:rFonts w:hint="cs"/>
          <w:rtl/>
        </w:rPr>
        <w:t xml:space="preserve"> דמלאכה שאינה צריכה לגופה הוא רק באינו רוצה במלאכה, או כשאין לו הנאה שתשאר המלאכה, ובחובל לכלבו הוא רוצה את המלאכה ונהנה ממנה, כדהקשה </w:t>
      </w:r>
      <w:r w:rsidRPr="003B63CB">
        <w:rPr>
          <w:rStyle w:val="aff9"/>
          <w:rFonts w:hint="cs"/>
          <w:vanish/>
          <w:rtl/>
        </w:rPr>
        <w:t>-</w:t>
      </w:r>
      <w:r w:rsidRPr="003B63CB">
        <w:rPr>
          <w:rStyle w:val="aff9"/>
          <w:rFonts w:hint="cs"/>
          <w:rtl/>
        </w:rPr>
        <w:t>המרכבת המשנה</w:t>
      </w:r>
      <w:r w:rsidRPr="003B63CB">
        <w:rPr>
          <w:rStyle w:val="aff9"/>
          <w:rFonts w:hint="cs"/>
          <w:vanish/>
          <w:rtl/>
        </w:rPr>
        <w:t>-</w:t>
      </w:r>
      <w:r w:rsidRPr="003B63CB">
        <w:rPr>
          <w:rStyle w:val="af"/>
          <w:rFonts w:hint="cs"/>
          <w:rtl/>
        </w:rPr>
        <w:t xml:space="preserve"> </w:t>
      </w:r>
      <w:r w:rsidRPr="003B63CB">
        <w:rPr>
          <w:rStyle w:val="aff0"/>
          <w:rFonts w:hint="cs"/>
          <w:rtl/>
        </w:rPr>
        <w:t xml:space="preserve">(עי' אות </w:t>
      </w:r>
      <w:r w:rsidRPr="003B63CB">
        <w:rPr>
          <w:rStyle w:val="aff0"/>
          <w:rtl/>
        </w:rPr>
        <w:fldChar w:fldCharType="begin"/>
      </w:r>
      <w:r w:rsidRPr="003B63CB">
        <w:rPr>
          <w:rStyle w:val="aff0"/>
          <w:rtl/>
        </w:rPr>
        <w:instrText xml:space="preserve"> </w:instrText>
      </w:r>
      <w:r w:rsidRPr="003B63CB">
        <w:rPr>
          <w:rStyle w:val="aff0"/>
          <w:rFonts w:hint="cs"/>
        </w:rPr>
        <w:instrText>REF</w:instrText>
      </w:r>
      <w:r w:rsidRPr="003B63CB">
        <w:rPr>
          <w:rStyle w:val="aff0"/>
          <w:rFonts w:hint="cs"/>
          <w:rtl/>
        </w:rPr>
        <w:instrText xml:space="preserve"> _</w:instrText>
      </w:r>
      <w:r w:rsidRPr="003B63CB">
        <w:rPr>
          <w:rStyle w:val="aff0"/>
          <w:rFonts w:hint="cs"/>
        </w:rPr>
        <w:instrText>Ref139794380 \r \h</w:instrText>
      </w:r>
      <w:r w:rsidRPr="003B63CB">
        <w:rPr>
          <w:rStyle w:val="aff0"/>
          <w:rtl/>
        </w:rPr>
        <w:instrText xml:space="preserve">  \* </w:instrText>
      </w:r>
      <w:r w:rsidRPr="003B63CB">
        <w:rPr>
          <w:rStyle w:val="aff0"/>
        </w:rPr>
        <w:instrText>MERGEFORMAT</w:instrText>
      </w:r>
      <w:r w:rsidRPr="003B63CB">
        <w:rPr>
          <w:rStyle w:val="aff0"/>
          <w:rtl/>
        </w:rPr>
        <w:instrText xml:space="preserve"> </w:instrText>
      </w:r>
      <w:r w:rsidRPr="003B63CB">
        <w:rPr>
          <w:rStyle w:val="aff0"/>
          <w:rtl/>
        </w:rPr>
      </w:r>
      <w:r w:rsidRPr="003B63CB">
        <w:rPr>
          <w:rStyle w:val="aff0"/>
          <w:rtl/>
        </w:rPr>
        <w:fldChar w:fldCharType="separate"/>
      </w:r>
      <w:r w:rsidR="00D82181">
        <w:rPr>
          <w:rStyle w:val="aff0"/>
          <w:cs/>
        </w:rPr>
        <w:t>‎</w:t>
      </w:r>
      <w:r w:rsidR="00D82181">
        <w:rPr>
          <w:rStyle w:val="aff0"/>
          <w:rtl/>
        </w:rPr>
        <w:t>לז)</w:t>
      </w:r>
      <w:r w:rsidRPr="003B63CB">
        <w:rPr>
          <w:rStyle w:val="aff0"/>
          <w:rtl/>
        </w:rPr>
        <w:fldChar w:fldCharType="end"/>
      </w:r>
      <w:r w:rsidRPr="003B63CB">
        <w:rPr>
          <w:rStyle w:val="af"/>
          <w:rFonts w:hint="cs"/>
          <w:rtl/>
        </w:rPr>
        <w:t>],</w:t>
      </w:r>
      <w:r w:rsidRPr="003B63CB">
        <w:rPr>
          <w:rFonts w:hint="cs"/>
          <w:rtl/>
        </w:rPr>
        <w:t xml:space="preserve"> אלא כוונת</w:t>
      </w:r>
      <w:r w:rsidRPr="003B63CB">
        <w:rPr>
          <w:rStyle w:val="af2"/>
          <w:rFonts w:eastAsia="Guttman Hodes" w:hint="cs"/>
          <w:rtl/>
        </w:rPr>
        <w:t xml:space="preserve"> </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לומר דבחובל וצריך לכלבו התיקון בדבר אחר לא חשיב תיקון לר"ש, כיון דהתיקון אינו בגוף המלאכה, וכיון דמלאכת התיקון א"צ לגופה, ממילא פטור על המלאכה עצמה מדין מקלקל, וא"כ בכל מקלקל אפשר לחייב באופן בסותר ע"מ לתקן, אבל בחובל ומבעיר דל"ש לומר דעושה כן ע"מ לתקן דהא התיקון הוא בדבר אחר, וא"כ מדחייבה תורה בחובל ומבעיר, מוכח דמקלקל בחבורה  חייב, אך היינו דוקא במלאכה שאינה צריכה לגופה כחובל לכלבו ומבעיר לאפרו.</w:t>
      </w:r>
      <w:bookmarkEnd w:id="3330"/>
      <w:bookmarkEnd w:id="3339"/>
    </w:p>
    <w:p w14:paraId="0782A6E3" w14:textId="77777777" w:rsidR="002748A5" w:rsidRPr="00747170" w:rsidRDefault="002748A5" w:rsidP="00747170">
      <w:pPr>
        <w:pStyle w:val="a2"/>
      </w:pPr>
      <w:r w:rsidRPr="00747170">
        <w:rPr>
          <w:rtl/>
        </w:rPr>
        <w:t>ומ"ש רש"י ומה שהוא מתקן אצל אחרים לר' שמעון לא חשיב דהא מלאכה שא"צ לגופה היא וכו' לאו למימרא דחשיב משאצל"ג אלא ה"ק דמה שמתקן אצל אחרים לר"ש לא חשיב תיקון וחשיב מלאכת תיקון שא"צ לגופו דכיון דכל מלאכת קלקול משאצל"ג על כרחך אהני לן כללא דכל המקלקלין פטורים דאפילו צריך לגופו בשביל אחרים פטור ובשלמא בשאר מקלקלין משכחת ליה סותר ע"מ לתקן משא"כ בחובל ומבעיר דלא משכחת כה"ג אי ס"ד דמקלקל בהו פטור אין לך חובל ומבעיר לחיוב.</w:t>
      </w:r>
      <w:r w:rsidRPr="00747170">
        <w:rPr>
          <w:rFonts w:hint="cs"/>
          <w:rtl/>
        </w:rPr>
        <w:t xml:space="preserve"> וכו' </w:t>
      </w:r>
      <w:r w:rsidRPr="00747170">
        <w:rPr>
          <w:rtl/>
        </w:rPr>
        <w:t>אלא ודאי לר"ש חייב מקלקל בחבורה והבערה ודמי לשאר מלאכות דלאו מקלקלין ומיהו בעינן שיהיה משלצ"ג כמו בצריך לכלבו ואפרו</w:t>
      </w:r>
      <w:r w:rsidRPr="00747170">
        <w:rPr>
          <w:rFonts w:hint="cs"/>
          <w:rtl/>
        </w:rPr>
        <w:t>.</w:t>
      </w:r>
      <w:r w:rsidRPr="00747170">
        <w:rPr>
          <w:rtl/>
        </w:rPr>
        <w:t xml:space="preserve"> </w:t>
      </w:r>
      <w:r w:rsidRPr="00747170">
        <w:rPr>
          <w:rStyle w:val="afff7"/>
          <w:rtl/>
        </w:rPr>
        <w:t>דאפילו באין צריך לכלבו ואפרו אלא שחובל להוציא דם רע או חותך אצבע יתירה נמי חייב דומיא דמילה וכה"ג במבעיר דבר קלקול כמו מפתח שנסתם ודמיונות הנזכרים נמי חייב והנך אף על גב דחשיב לר' יהודה מקלקל לא חשיב לר"ש משאצל"ג כיון שצריך לגופו בדבר שעושה בו מלאכה ומתקן הנשאר דומיא דזורה ובורר פסולת מתוך האוכל שעיקר המלאכה בנטילת הפסולת ואפ"ה חייב וחשיב משצל"ג מה שמתקן האוכל (ולר"י לא חשיב זורה ובורר מקלקל שהרי אינו מקלקל הפסולת)</w:t>
      </w:r>
      <w:r w:rsidRPr="00747170">
        <w:rPr>
          <w:rStyle w:val="afff7"/>
          <w:rFonts w:hint="cs"/>
          <w:rtl/>
        </w:rPr>
        <w:t>.</w:t>
      </w:r>
    </w:p>
    <w:p w14:paraId="3A490890" w14:textId="77777777" w:rsidR="002748A5" w:rsidRPr="003B63CB" w:rsidRDefault="002748A5" w:rsidP="002748A5">
      <w:pPr>
        <w:pStyle w:val="a7"/>
        <w:rPr>
          <w:rtl/>
        </w:rPr>
      </w:pPr>
      <w:bookmarkStart w:id="3340" w:name="_Toc140074194"/>
      <w:bookmarkStart w:id="3341" w:name="_Toc140092044"/>
      <w:bookmarkStart w:id="3342" w:name="_Toc140144244"/>
      <w:bookmarkStart w:id="3343" w:name="_Toc140144475"/>
      <w:r w:rsidRPr="003B63CB">
        <w:rPr>
          <w:rFonts w:hint="cs"/>
          <w:rtl/>
        </w:rPr>
        <w:t>בי' המרכה"מ ברש"י דקורע למירמי אימתא ע"י משאצל"ג הוי מקלקל דל"מ תיקון בדבר אחר</w:t>
      </w:r>
      <w:bookmarkEnd w:id="3340"/>
      <w:bookmarkEnd w:id="3341"/>
      <w:bookmarkEnd w:id="3342"/>
      <w:bookmarkEnd w:id="3343"/>
    </w:p>
    <w:p w14:paraId="1EDA5BB3" w14:textId="38E7970B" w:rsidR="002748A5" w:rsidRPr="003B63CB" w:rsidRDefault="002748A5" w:rsidP="00BC7DC8">
      <w:pPr>
        <w:pStyle w:val="a3"/>
      </w:pPr>
      <w:r w:rsidRPr="003B63CB">
        <w:rPr>
          <w:rFonts w:hint="cs"/>
          <w:rtl/>
        </w:rPr>
        <w:t xml:space="preserve">וכתב </w:t>
      </w:r>
      <w:r w:rsidRPr="003B63CB">
        <w:rPr>
          <w:rStyle w:val="aff4"/>
          <w:rFonts w:hint="cs"/>
          <w:vanish/>
          <w:rtl/>
        </w:rPr>
        <w:t>-</w:t>
      </w:r>
      <w:r w:rsidRPr="003B63CB">
        <w:rPr>
          <w:rStyle w:val="aff4"/>
          <w:rFonts w:hint="cs"/>
          <w:rtl/>
        </w:rPr>
        <w:t>המרכבת המשנה</w:t>
      </w:r>
      <w:r w:rsidRPr="003B63CB">
        <w:rPr>
          <w:rStyle w:val="aff4"/>
          <w:rFonts w:hint="cs"/>
          <w:vanish/>
          <w:rtl/>
        </w:rPr>
        <w:t>-</w:t>
      </w:r>
      <w:r w:rsidRPr="003B63CB">
        <w:rPr>
          <w:rFonts w:hint="cs"/>
          <w:rtl/>
        </w:rPr>
        <w:t xml:space="preserve"> דאחר שמצינו דע"י מלאכה שאינה צריכה לגופה פוטר ר"ש מדין מקלקל, א"כ אפש"ל דזהו הפטור בקורע למירמי אימתא, ומיושבת בזה קושית </w:t>
      </w:r>
      <w:r w:rsidRPr="003B63CB">
        <w:rPr>
          <w:rStyle w:val="aff4"/>
          <w:rFonts w:hint="cs"/>
          <w:vanish/>
          <w:rtl/>
        </w:rPr>
        <w:t>-</w:t>
      </w:r>
      <w:r w:rsidRPr="003B63CB">
        <w:rPr>
          <w:rStyle w:val="aff4"/>
          <w:rFonts w:hint="cs"/>
          <w:rtl/>
        </w:rPr>
        <w:t>התוס'</w:t>
      </w:r>
      <w:r w:rsidRPr="003B63CB">
        <w:rPr>
          <w:rStyle w:val="aff4"/>
          <w:rFonts w:hint="cs"/>
          <w:vanish/>
          <w:rtl/>
        </w:rPr>
        <w:t>-</w:t>
      </w:r>
      <w:r w:rsidRPr="003B63CB">
        <w:rPr>
          <w:rFonts w:hint="cs"/>
          <w:rtl/>
        </w:rPr>
        <w:t xml:space="preserve"> </w:t>
      </w:r>
      <w:r w:rsidRPr="003B63C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Ref140076819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יא)</w:t>
      </w:r>
      <w:r>
        <w:rPr>
          <w:rStyle w:val="af2"/>
          <w:rFonts w:eastAsia="Guttman Hodes"/>
          <w:rtl/>
        </w:rPr>
        <w:fldChar w:fldCharType="end"/>
      </w:r>
      <w:r w:rsidRPr="003B63CB">
        <w:rPr>
          <w:rFonts w:hint="cs"/>
          <w:rtl/>
        </w:rPr>
        <w:t xml:space="preserve"> על </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w:t>
      </w:r>
      <w:r w:rsidRPr="003B63C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Ref139359821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ב)</w:t>
      </w:r>
      <w:r>
        <w:rPr>
          <w:rStyle w:val="af2"/>
          <w:rFonts w:eastAsia="Guttman Hodes"/>
          <w:rtl/>
        </w:rPr>
        <w:fldChar w:fldCharType="end"/>
      </w:r>
      <w:r w:rsidRPr="003B63CB">
        <w:rPr>
          <w:rFonts w:hint="cs"/>
          <w:rtl/>
        </w:rPr>
        <w:t xml:space="preserve"> דביאר דמלאכה שאינה צריכה לגופה הוא כשאינו רוצה את המלאכה, דהא בקורע למירמי אימתא הוא צריך את המלאכה עצמה, ורוצה שהיא תהיה, אלא דמ"מ ס"ל </w:t>
      </w:r>
      <w:r w:rsidRPr="003B63CB">
        <w:rPr>
          <w:rStyle w:val="aff4"/>
          <w:rFonts w:hint="cs"/>
          <w:vanish/>
          <w:rtl/>
        </w:rPr>
        <w:t>-</w:t>
      </w:r>
      <w:r w:rsidRPr="003B63CB">
        <w:rPr>
          <w:rStyle w:val="aff4"/>
          <w:rFonts w:hint="cs"/>
          <w:rtl/>
        </w:rPr>
        <w:t>לרש"י</w:t>
      </w:r>
      <w:r w:rsidRPr="003B63CB">
        <w:rPr>
          <w:rStyle w:val="aff4"/>
          <w:rFonts w:hint="cs"/>
          <w:vanish/>
          <w:rtl/>
        </w:rPr>
        <w:t>-</w:t>
      </w:r>
      <w:r w:rsidRPr="003B63CB">
        <w:rPr>
          <w:rFonts w:hint="cs"/>
          <w:rtl/>
        </w:rPr>
        <w:t xml:space="preserve"> דכיון דהתיקון הוא בדבר אחר, ס"ל לר"ש דהתיקון הוא מלאכה שאינה צריכה לגופה, וממילא פטור על המלאכה עצמה מדין מקלקל.</w:t>
      </w:r>
    </w:p>
    <w:p w14:paraId="39FC9E45" w14:textId="77777777" w:rsidR="002748A5" w:rsidRPr="00747170" w:rsidRDefault="002748A5" w:rsidP="00747170">
      <w:pPr>
        <w:pStyle w:val="a2"/>
        <w:rPr>
          <w:rtl/>
        </w:rPr>
      </w:pPr>
      <w:r w:rsidRPr="00747170">
        <w:rPr>
          <w:rtl/>
        </w:rPr>
        <w:t>(ובהכי ניחא לדרך רש"י קושיית התוס' הנ"ל מקורע למרמי אימתא דאע"ג דכה"ג בשאר מלאכות חשיב מלאכה שצריכה לגופה דלא שייך ברצונו לא באה לו אפ"ה פטור מתורת מקלקל)</w:t>
      </w:r>
      <w:r w:rsidRPr="00747170">
        <w:rPr>
          <w:rFonts w:hint="cs"/>
          <w:rtl/>
        </w:rPr>
        <w:t>.</w:t>
      </w:r>
    </w:p>
    <w:p w14:paraId="2B509868" w14:textId="77777777" w:rsidR="002748A5" w:rsidRPr="003B63CB" w:rsidRDefault="002748A5" w:rsidP="002748A5">
      <w:pPr>
        <w:pStyle w:val="1"/>
        <w:rPr>
          <w:rtl/>
        </w:rPr>
      </w:pPr>
      <w:bookmarkStart w:id="3344" w:name="_Toc140074195"/>
      <w:bookmarkStart w:id="3345" w:name="_Toc140092045"/>
      <w:bookmarkStart w:id="3346" w:name="_Toc140144245"/>
      <w:bookmarkStart w:id="3347" w:name="_Toc140144476"/>
      <w:r w:rsidRPr="003B63CB">
        <w:rPr>
          <w:rFonts w:hint="cs"/>
          <w:rtl/>
        </w:rPr>
        <w:t>בי' המרכה"מ דיסוד רש"י במשאצל"ג דא"צ שתשאר המלאכה</w:t>
      </w:r>
      <w:bookmarkEnd w:id="3344"/>
      <w:bookmarkEnd w:id="3345"/>
      <w:bookmarkEnd w:id="3346"/>
      <w:bookmarkEnd w:id="3347"/>
    </w:p>
    <w:p w14:paraId="4DF3915E" w14:textId="77777777" w:rsidR="002748A5" w:rsidRPr="003B63CB" w:rsidRDefault="002748A5" w:rsidP="002748A5">
      <w:pPr>
        <w:pStyle w:val="a7"/>
        <w:rPr>
          <w:rtl/>
        </w:rPr>
      </w:pPr>
      <w:bookmarkStart w:id="3348" w:name="_Toc140074196"/>
      <w:bookmarkStart w:id="3349" w:name="_Toc140092046"/>
      <w:bookmarkStart w:id="3350" w:name="_Toc140144246"/>
      <w:bookmarkStart w:id="3351" w:name="_Toc140144477"/>
      <w:r w:rsidRPr="003B63CB">
        <w:rPr>
          <w:rFonts w:hint="cs"/>
          <w:rtl/>
        </w:rPr>
        <w:t>בי' המרכה"מ דעיקר משאצל"ג לרש"י כדכ' בגומא ומורסא ולא כדכ' בהוצאת מת וכיבוי פתילה</w:t>
      </w:r>
      <w:bookmarkEnd w:id="3348"/>
      <w:bookmarkEnd w:id="3349"/>
      <w:bookmarkEnd w:id="3350"/>
      <w:bookmarkEnd w:id="3351"/>
    </w:p>
    <w:p w14:paraId="141C96D9" w14:textId="4DA871C1" w:rsidR="002748A5" w:rsidRPr="003B63CB" w:rsidRDefault="002748A5" w:rsidP="00BC7DC8">
      <w:pPr>
        <w:pStyle w:val="a3"/>
        <w:rPr>
          <w:rtl/>
        </w:rPr>
      </w:pPr>
      <w:bookmarkStart w:id="3352" w:name="_Ref140053335"/>
      <w:r w:rsidRPr="003B63CB">
        <w:rPr>
          <w:rFonts w:hint="cs"/>
          <w:rtl/>
        </w:rPr>
        <w:t xml:space="preserve">ולפי"ז </w:t>
      </w:r>
      <w:bookmarkStart w:id="3353" w:name="_Hlk140141694"/>
      <w:r w:rsidRPr="003B63CB">
        <w:rPr>
          <w:rFonts w:hint="cs"/>
          <w:rtl/>
        </w:rPr>
        <w:t xml:space="preserve">תירץ </w:t>
      </w:r>
      <w:r w:rsidRPr="003B63CB">
        <w:rPr>
          <w:rStyle w:val="aff4"/>
          <w:rFonts w:hint="cs"/>
          <w:vanish/>
          <w:rtl/>
        </w:rPr>
        <w:t>-</w:t>
      </w:r>
      <w:r w:rsidRPr="003B63CB">
        <w:rPr>
          <w:rStyle w:val="aff4"/>
          <w:rFonts w:hint="cs"/>
          <w:rtl/>
        </w:rPr>
        <w:t>ה</w:t>
      </w:r>
      <w:r w:rsidRPr="003B63CB">
        <w:rPr>
          <w:rStyle w:val="aff4"/>
          <w:rFonts w:hint="cs"/>
          <w:vanish/>
          <w:rtl/>
        </w:rPr>
        <w:t xml:space="preserve">&lt;, </w:t>
      </w:r>
      <w:r w:rsidRPr="003B63CB">
        <w:rPr>
          <w:rStyle w:val="aff4"/>
          <w:vanish/>
          <w:rtl/>
        </w:rPr>
        <w:fldChar w:fldCharType="begin"/>
      </w:r>
      <w:r w:rsidRPr="003B63CB">
        <w:rPr>
          <w:rStyle w:val="aff4"/>
          <w:vanish/>
          <w:rtl/>
        </w:rPr>
        <w:instrText xml:space="preserve"> </w:instrText>
      </w:r>
      <w:r w:rsidRPr="003B63CB">
        <w:rPr>
          <w:rStyle w:val="aff4"/>
          <w:rFonts w:hint="cs"/>
          <w:vanish/>
        </w:rPr>
        <w:instrText>REF</w:instrText>
      </w:r>
      <w:r w:rsidRPr="003B63CB">
        <w:rPr>
          <w:rStyle w:val="aff4"/>
          <w:rFonts w:hint="cs"/>
          <w:vanish/>
          <w:rtl/>
        </w:rPr>
        <w:instrText xml:space="preserve"> _</w:instrText>
      </w:r>
      <w:r w:rsidRPr="003B63CB">
        <w:rPr>
          <w:rStyle w:val="aff4"/>
          <w:rFonts w:hint="cs"/>
          <w:vanish/>
        </w:rPr>
        <w:instrText>Ref140053335 \r \h</w:instrText>
      </w:r>
      <w:r w:rsidRPr="003B63CB">
        <w:rPr>
          <w:rStyle w:val="aff4"/>
          <w:vanish/>
          <w:rtl/>
        </w:rPr>
        <w:instrText xml:space="preserve">  \* </w:instrText>
      </w:r>
      <w:r w:rsidRPr="003B63CB">
        <w:rPr>
          <w:rStyle w:val="aff4"/>
          <w:vanish/>
        </w:rPr>
        <w:instrText>MERGEFORMAT</w:instrText>
      </w:r>
      <w:r w:rsidRPr="003B63CB">
        <w:rPr>
          <w:rStyle w:val="aff4"/>
          <w:vanish/>
          <w:rtl/>
        </w:rPr>
        <w:instrText xml:space="preserve"> </w:instrText>
      </w:r>
      <w:r w:rsidRPr="003B63CB">
        <w:rPr>
          <w:rStyle w:val="aff4"/>
          <w:vanish/>
          <w:rtl/>
        </w:rPr>
      </w:r>
      <w:r w:rsidRPr="003B63CB">
        <w:rPr>
          <w:rStyle w:val="aff4"/>
          <w:vanish/>
          <w:rtl/>
        </w:rPr>
        <w:fldChar w:fldCharType="separate"/>
      </w:r>
      <w:r w:rsidR="00D82181">
        <w:rPr>
          <w:rStyle w:val="aff4"/>
          <w:vanish/>
          <w:cs/>
        </w:rPr>
        <w:t>‎</w:t>
      </w:r>
      <w:r w:rsidR="00D82181">
        <w:rPr>
          <w:rStyle w:val="aff4"/>
          <w:vanish/>
          <w:rtl/>
        </w:rPr>
        <w:t>מד)</w:t>
      </w:r>
      <w:r w:rsidRPr="003B63CB">
        <w:rPr>
          <w:rStyle w:val="aff4"/>
          <w:vanish/>
          <w:rtl/>
        </w:rPr>
        <w:fldChar w:fldCharType="end"/>
      </w:r>
      <w:r w:rsidRPr="003B63CB">
        <w:rPr>
          <w:rStyle w:val="aff4"/>
          <w:rFonts w:hint="cs"/>
          <w:vanish/>
          <w:rtl/>
        </w:rPr>
        <w:t xml:space="preserve"> &gt;</w:t>
      </w:r>
      <w:r w:rsidRPr="003B63CB">
        <w:rPr>
          <w:rStyle w:val="aff4"/>
          <w:rFonts w:hint="cs"/>
          <w:rtl/>
        </w:rPr>
        <w:t>מרכבת המשנה</w:t>
      </w:r>
      <w:r w:rsidRPr="003B63CB">
        <w:rPr>
          <w:rStyle w:val="aff4"/>
          <w:rFonts w:hint="cs"/>
          <w:vanish/>
          <w:rtl/>
        </w:rPr>
        <w:t>-</w:t>
      </w:r>
      <w:r w:rsidRPr="003B63CB">
        <w:rPr>
          <w:rFonts w:hint="cs"/>
          <w:rtl/>
        </w:rPr>
        <w:t xml:space="preserve"> </w:t>
      </w:r>
      <w:r w:rsidRPr="003B63CB">
        <w:rPr>
          <w:rStyle w:val="af2"/>
          <w:rFonts w:eastAsia="Guttman Hodes" w:hint="cs"/>
          <w:rtl/>
        </w:rPr>
        <w:t>(שבת פ"א ה</w:t>
      </w:r>
      <w:bookmarkEnd w:id="3353"/>
      <w:r w:rsidRPr="003B63CB">
        <w:rPr>
          <w:rStyle w:val="af2"/>
          <w:rFonts w:eastAsia="Guttman Hodes" w:hint="cs"/>
          <w:rtl/>
        </w:rPr>
        <w:t>"א סוד"ה ומ"ש רש"י)</w:t>
      </w:r>
      <w:r w:rsidRPr="003B63CB">
        <w:rPr>
          <w:rStyle w:val="aff4"/>
          <w:rFonts w:hint="cs"/>
          <w:bCs w:val="0"/>
          <w:vanish/>
          <w:rtl/>
        </w:rPr>
        <w:t xml:space="preserve"> </w:t>
      </w:r>
      <w:r w:rsidRPr="003B63CB">
        <w:rPr>
          <w:rStyle w:val="afff9"/>
          <w:rFonts w:hint="cs"/>
          <w:bCs w:val="0"/>
          <w:vanish/>
          <w:color w:val="auto"/>
          <w:u w:val="none"/>
          <w:rtl/>
        </w:rPr>
        <w:t>=</w:t>
      </w:r>
      <w:r w:rsidRPr="003B63CB">
        <w:rPr>
          <w:rStyle w:val="afff9"/>
          <w:rFonts w:hint="cs"/>
          <w:bCs w:val="0"/>
          <w:color w:val="auto"/>
          <w:u w:val="none"/>
          <w:rtl/>
        </w:rPr>
        <w:t xml:space="preserve"> את קושיתו </w:t>
      </w:r>
      <w:r w:rsidRPr="003B63CB">
        <w:rPr>
          <w:rStyle w:val="af2"/>
          <w:rFonts w:eastAsia="Guttman Hodes" w:hint="cs"/>
          <w:rtl/>
        </w:rPr>
        <w:t xml:space="preserve">(עי' אות </w:t>
      </w:r>
      <w:r w:rsidRPr="003B63CB">
        <w:rPr>
          <w:rStyle w:val="af2"/>
          <w:rFonts w:eastAsia="Guttman Hodes"/>
          <w:rtl/>
        </w:rPr>
        <w:fldChar w:fldCharType="begin"/>
      </w:r>
      <w:r w:rsidRPr="003B63CB">
        <w:rPr>
          <w:rStyle w:val="af2"/>
          <w:rFonts w:eastAsia="Guttman Hodes"/>
          <w:rtl/>
        </w:rPr>
        <w:instrText xml:space="preserve"> </w:instrText>
      </w:r>
      <w:r w:rsidRPr="003B63CB">
        <w:rPr>
          <w:rStyle w:val="af2"/>
          <w:rFonts w:eastAsia="Guttman Hodes" w:hint="cs"/>
        </w:rPr>
        <w:instrText>REF</w:instrText>
      </w:r>
      <w:r w:rsidRPr="003B63CB">
        <w:rPr>
          <w:rStyle w:val="af2"/>
          <w:rFonts w:eastAsia="Guttman Hodes" w:hint="cs"/>
          <w:rtl/>
        </w:rPr>
        <w:instrText xml:space="preserve"> _</w:instrText>
      </w:r>
      <w:r w:rsidRPr="003B63CB">
        <w:rPr>
          <w:rStyle w:val="af2"/>
          <w:rFonts w:eastAsia="Guttman Hodes" w:hint="cs"/>
        </w:rPr>
        <w:instrText>Ref139794380 \r \h</w:instrText>
      </w:r>
      <w:r w:rsidRPr="003B63CB">
        <w:rPr>
          <w:rStyle w:val="af2"/>
          <w:rFonts w:eastAsia="Guttman Hodes"/>
          <w:rtl/>
        </w:rPr>
        <w:instrText xml:space="preserve">  \* </w:instrText>
      </w:r>
      <w:r w:rsidRPr="003B63CB">
        <w:rPr>
          <w:rStyle w:val="af2"/>
          <w:rFonts w:eastAsia="Guttman Hodes"/>
        </w:rPr>
        <w:instrText>MERGEFORMAT</w:instrText>
      </w:r>
      <w:r w:rsidRPr="003B63CB">
        <w:rPr>
          <w:rStyle w:val="af2"/>
          <w:rFonts w:eastAsia="Guttman Hodes"/>
          <w:rtl/>
        </w:rPr>
        <w:instrText xml:space="preserve"> </w:instrText>
      </w:r>
      <w:r w:rsidRPr="003B63CB">
        <w:rPr>
          <w:rStyle w:val="af2"/>
          <w:rFonts w:eastAsia="Guttman Hodes"/>
          <w:rtl/>
        </w:rPr>
      </w:r>
      <w:r w:rsidRPr="003B63CB">
        <w:rPr>
          <w:rStyle w:val="af2"/>
          <w:rFonts w:eastAsia="Guttman Hodes"/>
          <w:rtl/>
        </w:rPr>
        <w:fldChar w:fldCharType="separate"/>
      </w:r>
      <w:r w:rsidR="00D82181">
        <w:rPr>
          <w:rStyle w:val="af2"/>
          <w:rFonts w:eastAsia="Guttman Hodes"/>
          <w:cs/>
        </w:rPr>
        <w:t>‎</w:t>
      </w:r>
      <w:r w:rsidR="00D82181">
        <w:rPr>
          <w:rStyle w:val="af2"/>
          <w:rFonts w:eastAsia="Guttman Hodes"/>
          <w:rtl/>
        </w:rPr>
        <w:t>לז)</w:t>
      </w:r>
      <w:r w:rsidRPr="003B63CB">
        <w:rPr>
          <w:rStyle w:val="af2"/>
          <w:rFonts w:eastAsia="Guttman Hodes"/>
          <w:rtl/>
        </w:rPr>
        <w:fldChar w:fldCharType="end"/>
      </w:r>
      <w:r w:rsidRPr="003B63CB">
        <w:rPr>
          <w:rFonts w:hint="cs"/>
          <w:rtl/>
        </w:rPr>
        <w:t xml:space="preserve"> </w:t>
      </w:r>
      <w:r w:rsidRPr="003B63CB">
        <w:rPr>
          <w:rStyle w:val="afff9"/>
          <w:rFonts w:hint="cs"/>
          <w:bCs w:val="0"/>
          <w:color w:val="auto"/>
          <w:u w:val="none"/>
          <w:rtl/>
        </w:rPr>
        <w:t xml:space="preserve">דהיאך כתב </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w:t>
      </w:r>
      <w:r w:rsidRPr="003B63CB">
        <w:rPr>
          <w:rStyle w:val="af2"/>
          <w:rFonts w:eastAsia="Guttman Hodes" w:hint="cs"/>
          <w:rtl/>
        </w:rPr>
        <w:t xml:space="preserve">(עי' אות </w:t>
      </w:r>
      <w:r w:rsidRPr="003B63CB">
        <w:rPr>
          <w:rStyle w:val="af2"/>
          <w:rFonts w:eastAsia="Guttman Hodes"/>
          <w:rtl/>
        </w:rPr>
        <w:fldChar w:fldCharType="begin"/>
      </w:r>
      <w:r w:rsidRPr="003B63CB">
        <w:rPr>
          <w:rStyle w:val="af2"/>
          <w:rFonts w:eastAsia="Guttman Hodes"/>
          <w:rtl/>
        </w:rPr>
        <w:instrText xml:space="preserve"> </w:instrText>
      </w:r>
      <w:r w:rsidRPr="003B63CB">
        <w:rPr>
          <w:rStyle w:val="af2"/>
          <w:rFonts w:eastAsia="Guttman Hodes" w:hint="cs"/>
        </w:rPr>
        <w:instrText>REF</w:instrText>
      </w:r>
      <w:r w:rsidRPr="003B63CB">
        <w:rPr>
          <w:rStyle w:val="af2"/>
          <w:rFonts w:eastAsia="Guttman Hodes" w:hint="cs"/>
          <w:rtl/>
        </w:rPr>
        <w:instrText xml:space="preserve"> _</w:instrText>
      </w:r>
      <w:r w:rsidRPr="003B63CB">
        <w:rPr>
          <w:rStyle w:val="af2"/>
          <w:rFonts w:eastAsia="Guttman Hodes" w:hint="cs"/>
        </w:rPr>
        <w:instrText>Ref139367336 \r \h</w:instrText>
      </w:r>
      <w:r w:rsidRPr="003B63CB">
        <w:rPr>
          <w:rStyle w:val="af2"/>
          <w:rFonts w:eastAsia="Guttman Hodes"/>
          <w:rtl/>
        </w:rPr>
        <w:instrText xml:space="preserve">  \* </w:instrText>
      </w:r>
      <w:r w:rsidRPr="003B63CB">
        <w:rPr>
          <w:rStyle w:val="af2"/>
          <w:rFonts w:eastAsia="Guttman Hodes"/>
        </w:rPr>
        <w:instrText>MERGEFORMAT</w:instrText>
      </w:r>
      <w:r w:rsidRPr="003B63CB">
        <w:rPr>
          <w:rStyle w:val="af2"/>
          <w:rFonts w:eastAsia="Guttman Hodes"/>
          <w:rtl/>
        </w:rPr>
        <w:instrText xml:space="preserve"> </w:instrText>
      </w:r>
      <w:r w:rsidRPr="003B63CB">
        <w:rPr>
          <w:rStyle w:val="af2"/>
          <w:rFonts w:eastAsia="Guttman Hodes"/>
          <w:rtl/>
        </w:rPr>
      </w:r>
      <w:r w:rsidRPr="003B63CB">
        <w:rPr>
          <w:rStyle w:val="af2"/>
          <w:rFonts w:eastAsia="Guttman Hodes"/>
          <w:rtl/>
        </w:rPr>
        <w:fldChar w:fldCharType="separate"/>
      </w:r>
      <w:r w:rsidR="00D82181">
        <w:rPr>
          <w:rStyle w:val="af2"/>
          <w:rFonts w:eastAsia="Guttman Hodes"/>
          <w:cs/>
        </w:rPr>
        <w:t>‎</w:t>
      </w:r>
      <w:r w:rsidR="00D82181">
        <w:rPr>
          <w:rStyle w:val="af2"/>
          <w:rFonts w:eastAsia="Guttman Hodes"/>
          <w:rtl/>
        </w:rPr>
        <w:t>כט)</w:t>
      </w:r>
      <w:r w:rsidRPr="003B63CB">
        <w:rPr>
          <w:rStyle w:val="af2"/>
          <w:rFonts w:eastAsia="Guttman Hodes"/>
          <w:rtl/>
        </w:rPr>
        <w:fldChar w:fldCharType="end"/>
      </w:r>
      <w:r w:rsidRPr="003B63CB">
        <w:rPr>
          <w:rFonts w:hint="cs"/>
          <w:rtl/>
        </w:rPr>
        <w:t xml:space="preserve"> דחובל וצריך לכלבו ומבעיר ומבעיר וצריך לאפרו הוא מלאכה שאינה צריכה לגופה, </w:t>
      </w:r>
      <w:r w:rsidRPr="003B63CB">
        <w:rPr>
          <w:rStyle w:val="afff9"/>
          <w:rFonts w:hint="cs"/>
          <w:bCs w:val="0"/>
          <w:color w:val="auto"/>
          <w:u w:val="none"/>
          <w:rtl/>
        </w:rPr>
        <w:t xml:space="preserve">והא בחובל ומבעיר </w:t>
      </w:r>
      <w:r w:rsidRPr="003B63CB">
        <w:rPr>
          <w:rFonts w:hint="cs"/>
          <w:rtl/>
        </w:rPr>
        <w:t xml:space="preserve">לא שייך הטעם דאינו רוצה במלאכה, </w:t>
      </w:r>
      <w:r w:rsidRPr="003B63CB">
        <w:rPr>
          <w:rStyle w:val="af"/>
          <w:rFonts w:hint="cs"/>
          <w:rtl/>
        </w:rPr>
        <w:t>[דהוא צריך את גוף המלאכה להוציא את הדם ולתת אותו לכלב, וכן בעצים צריך את עצם המלאכה שהיא ההבערה בכדי לעשות את העצים לאפר],</w:t>
      </w:r>
      <w:r w:rsidRPr="003B63CB">
        <w:rPr>
          <w:rFonts w:hint="cs"/>
          <w:rtl/>
        </w:rPr>
        <w:t xml:space="preserve"> וכתב </w:t>
      </w:r>
      <w:r w:rsidRPr="003B63CB">
        <w:rPr>
          <w:rStyle w:val="aff4"/>
          <w:rFonts w:hint="cs"/>
          <w:vanish/>
          <w:rtl/>
        </w:rPr>
        <w:t>-</w:t>
      </w:r>
      <w:r w:rsidRPr="003B63CB">
        <w:rPr>
          <w:rStyle w:val="aff4"/>
          <w:rFonts w:hint="cs"/>
          <w:rtl/>
        </w:rPr>
        <w:t>המרכבת המשנה</w:t>
      </w:r>
      <w:r w:rsidRPr="003B63CB">
        <w:rPr>
          <w:rStyle w:val="aff4"/>
          <w:rFonts w:hint="cs"/>
          <w:vanish/>
          <w:rtl/>
        </w:rPr>
        <w:t>-</w:t>
      </w:r>
      <w:r w:rsidRPr="003B63CB">
        <w:rPr>
          <w:rFonts w:hint="cs"/>
          <w:rtl/>
        </w:rPr>
        <w:t xml:space="preserve"> דבאמת לדעת </w:t>
      </w:r>
      <w:r w:rsidRPr="003B63CB">
        <w:rPr>
          <w:rStyle w:val="aff4"/>
          <w:rFonts w:hint="cs"/>
          <w:rtl/>
        </w:rPr>
        <w:t>רש"י</w:t>
      </w:r>
      <w:r w:rsidRPr="003B63CB">
        <w:rPr>
          <w:rStyle w:val="aff4"/>
          <w:rFonts w:hint="cs"/>
          <w:vanish/>
          <w:rtl/>
        </w:rPr>
        <w:t>-</w:t>
      </w:r>
      <w:r w:rsidRPr="003B63CB">
        <w:rPr>
          <w:rFonts w:hint="cs"/>
          <w:rtl/>
        </w:rPr>
        <w:t xml:space="preserve"> עיקר הביאור במלאכה שאינה צריכה לגופה, אינו כמ"ש </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w:t>
      </w:r>
      <w:r w:rsidRPr="003B63CB">
        <w:rPr>
          <w:rStyle w:val="af2"/>
          <w:rFonts w:eastAsia="Guttman Hodes" w:hint="cs"/>
          <w:rtl/>
        </w:rPr>
        <w:t xml:space="preserve">(עי' אות </w:t>
      </w:r>
      <w:r w:rsidRPr="003B63CB">
        <w:rPr>
          <w:rStyle w:val="af2"/>
          <w:rFonts w:eastAsia="Guttman Hodes"/>
          <w:rtl/>
        </w:rPr>
        <w:fldChar w:fldCharType="begin"/>
      </w:r>
      <w:r w:rsidRPr="003B63CB">
        <w:rPr>
          <w:rStyle w:val="af2"/>
          <w:rFonts w:eastAsia="Guttman Hodes"/>
          <w:rtl/>
        </w:rPr>
        <w:instrText xml:space="preserve"> </w:instrText>
      </w:r>
      <w:r w:rsidRPr="003B63CB">
        <w:rPr>
          <w:rStyle w:val="af2"/>
          <w:rFonts w:eastAsia="Guttman Hodes" w:hint="cs"/>
        </w:rPr>
        <w:instrText>REF</w:instrText>
      </w:r>
      <w:r w:rsidRPr="003B63CB">
        <w:rPr>
          <w:rStyle w:val="af2"/>
          <w:rFonts w:eastAsia="Guttman Hodes" w:hint="cs"/>
          <w:rtl/>
        </w:rPr>
        <w:instrText xml:space="preserve"> _</w:instrText>
      </w:r>
      <w:r w:rsidRPr="003B63CB">
        <w:rPr>
          <w:rStyle w:val="af2"/>
          <w:rFonts w:eastAsia="Guttman Hodes" w:hint="cs"/>
        </w:rPr>
        <w:instrText>Ref139359821 \r \h</w:instrText>
      </w:r>
      <w:r w:rsidRPr="003B63CB">
        <w:rPr>
          <w:rStyle w:val="af2"/>
          <w:rFonts w:eastAsia="Guttman Hodes"/>
          <w:rtl/>
        </w:rPr>
        <w:instrText xml:space="preserve">  \* </w:instrText>
      </w:r>
      <w:r w:rsidRPr="003B63CB">
        <w:rPr>
          <w:rStyle w:val="af2"/>
          <w:rFonts w:eastAsia="Guttman Hodes"/>
        </w:rPr>
        <w:instrText>MERGEFORMAT</w:instrText>
      </w:r>
      <w:r w:rsidRPr="003B63CB">
        <w:rPr>
          <w:rStyle w:val="af2"/>
          <w:rFonts w:eastAsia="Guttman Hodes"/>
          <w:rtl/>
        </w:rPr>
        <w:instrText xml:space="preserve"> </w:instrText>
      </w:r>
      <w:r w:rsidRPr="003B63CB">
        <w:rPr>
          <w:rStyle w:val="af2"/>
          <w:rFonts w:eastAsia="Guttman Hodes"/>
          <w:rtl/>
        </w:rPr>
      </w:r>
      <w:r w:rsidRPr="003B63CB">
        <w:rPr>
          <w:rStyle w:val="af2"/>
          <w:rFonts w:eastAsia="Guttman Hodes"/>
          <w:rtl/>
        </w:rPr>
        <w:fldChar w:fldCharType="separate"/>
      </w:r>
      <w:r w:rsidR="00D82181">
        <w:rPr>
          <w:rStyle w:val="af2"/>
          <w:rFonts w:eastAsia="Guttman Hodes"/>
          <w:cs/>
        </w:rPr>
        <w:t>‎</w:t>
      </w:r>
      <w:r w:rsidR="00D82181">
        <w:rPr>
          <w:rStyle w:val="af2"/>
          <w:rFonts w:eastAsia="Guttman Hodes"/>
          <w:rtl/>
        </w:rPr>
        <w:t>ב)</w:t>
      </w:r>
      <w:r w:rsidRPr="003B63CB">
        <w:rPr>
          <w:rStyle w:val="af2"/>
          <w:rFonts w:eastAsia="Guttman Hodes"/>
          <w:rtl/>
        </w:rPr>
        <w:fldChar w:fldCharType="end"/>
      </w:r>
      <w:r w:rsidRPr="003B63CB">
        <w:rPr>
          <w:rFonts w:hint="cs"/>
          <w:rtl/>
        </w:rPr>
        <w:t xml:space="preserve"> במוציא מת דאינו רוצה במלאכה, </w:t>
      </w:r>
      <w:r w:rsidRPr="003B63CB">
        <w:rPr>
          <w:rStyle w:val="af"/>
          <w:rFonts w:hint="cs"/>
          <w:rtl/>
        </w:rPr>
        <w:t xml:space="preserve">[וכדביארו </w:t>
      </w:r>
      <w:r w:rsidRPr="003B63CB">
        <w:rPr>
          <w:rStyle w:val="aff9"/>
          <w:rFonts w:hint="cs"/>
          <w:vanish/>
          <w:rtl/>
        </w:rPr>
        <w:t>-</w:t>
      </w:r>
      <w:r w:rsidRPr="003B63CB">
        <w:rPr>
          <w:rStyle w:val="aff9"/>
          <w:rFonts w:hint="cs"/>
          <w:rtl/>
        </w:rPr>
        <w:t>התוס'</w:t>
      </w:r>
      <w:r w:rsidRPr="003B63CB">
        <w:rPr>
          <w:rStyle w:val="aff9"/>
          <w:rFonts w:hint="cs"/>
          <w:vanish/>
          <w:rtl/>
        </w:rPr>
        <w:t>-</w:t>
      </w:r>
      <w:r w:rsidRPr="003B63CB">
        <w:rPr>
          <w:rStyle w:val="af"/>
          <w:rFonts w:hint="cs"/>
          <w:rtl/>
        </w:rPr>
        <w:t xml:space="preserve"> </w:t>
      </w:r>
      <w:r w:rsidRPr="003B63CB">
        <w:rPr>
          <w:rStyle w:val="aff0"/>
          <w:rFonts w:hint="cs"/>
          <w:rtl/>
        </w:rPr>
        <w:t xml:space="preserve">(עי' אות </w:t>
      </w:r>
      <w:r w:rsidRPr="003B63CB">
        <w:rPr>
          <w:rStyle w:val="aff0"/>
          <w:rtl/>
        </w:rPr>
        <w:fldChar w:fldCharType="begin"/>
      </w:r>
      <w:r w:rsidRPr="003B63CB">
        <w:rPr>
          <w:rStyle w:val="aff0"/>
          <w:rtl/>
        </w:rPr>
        <w:instrText xml:space="preserve"> </w:instrText>
      </w:r>
      <w:r w:rsidRPr="003B63CB">
        <w:rPr>
          <w:rStyle w:val="aff0"/>
          <w:rFonts w:hint="cs"/>
        </w:rPr>
        <w:instrText>REF</w:instrText>
      </w:r>
      <w:r w:rsidRPr="003B63CB">
        <w:rPr>
          <w:rStyle w:val="aff0"/>
          <w:rFonts w:hint="cs"/>
          <w:rtl/>
        </w:rPr>
        <w:instrText xml:space="preserve"> _</w:instrText>
      </w:r>
      <w:r w:rsidRPr="003B63CB">
        <w:rPr>
          <w:rStyle w:val="aff0"/>
          <w:rFonts w:hint="cs"/>
        </w:rPr>
        <w:instrText>Ref140054318 \r \h</w:instrText>
      </w:r>
      <w:r w:rsidRPr="003B63CB">
        <w:rPr>
          <w:rStyle w:val="aff0"/>
          <w:rtl/>
        </w:rPr>
        <w:instrText xml:space="preserve">  \* </w:instrText>
      </w:r>
      <w:r w:rsidRPr="003B63CB">
        <w:rPr>
          <w:rStyle w:val="aff0"/>
        </w:rPr>
        <w:instrText>MERGEFORMAT</w:instrText>
      </w:r>
      <w:r w:rsidRPr="003B63CB">
        <w:rPr>
          <w:rStyle w:val="aff0"/>
          <w:rtl/>
        </w:rPr>
        <w:instrText xml:space="preserve"> </w:instrText>
      </w:r>
      <w:r w:rsidRPr="003B63CB">
        <w:rPr>
          <w:rStyle w:val="aff0"/>
          <w:rtl/>
        </w:rPr>
      </w:r>
      <w:r w:rsidRPr="003B63CB">
        <w:rPr>
          <w:rStyle w:val="aff0"/>
          <w:rtl/>
        </w:rPr>
        <w:fldChar w:fldCharType="separate"/>
      </w:r>
      <w:r w:rsidR="00D82181">
        <w:rPr>
          <w:rStyle w:val="aff0"/>
          <w:cs/>
        </w:rPr>
        <w:t>‎</w:t>
      </w:r>
      <w:r w:rsidR="00D82181">
        <w:rPr>
          <w:rStyle w:val="aff0"/>
          <w:rtl/>
        </w:rPr>
        <w:t>י)</w:t>
      </w:r>
      <w:r w:rsidRPr="003B63CB">
        <w:rPr>
          <w:rStyle w:val="aff0"/>
          <w:rtl/>
        </w:rPr>
        <w:fldChar w:fldCharType="end"/>
      </w:r>
      <w:r w:rsidRPr="003B63CB">
        <w:rPr>
          <w:rStyle w:val="af"/>
          <w:rFonts w:hint="cs"/>
          <w:rtl/>
        </w:rPr>
        <w:t xml:space="preserve"> בדעת </w:t>
      </w:r>
      <w:r w:rsidRPr="003B63CB">
        <w:rPr>
          <w:rStyle w:val="aff9"/>
          <w:rFonts w:hint="cs"/>
          <w:vanish/>
          <w:rtl/>
        </w:rPr>
        <w:t>-</w:t>
      </w:r>
      <w:r w:rsidRPr="003B63CB">
        <w:rPr>
          <w:rStyle w:val="aff9"/>
          <w:rFonts w:hint="cs"/>
          <w:rtl/>
        </w:rPr>
        <w:t>רש"י</w:t>
      </w:r>
      <w:r w:rsidRPr="003B63CB">
        <w:rPr>
          <w:rStyle w:val="aff9"/>
          <w:rFonts w:hint="cs"/>
          <w:vanish/>
          <w:rtl/>
        </w:rPr>
        <w:t>-</w:t>
      </w:r>
      <w:r w:rsidRPr="003B63CB">
        <w:rPr>
          <w:rStyle w:val="af"/>
          <w:rFonts w:hint="cs"/>
          <w:rtl/>
        </w:rPr>
        <w:t xml:space="preserve">], </w:t>
      </w:r>
      <w:r w:rsidRPr="003B63CB">
        <w:rPr>
          <w:rFonts w:hint="cs"/>
          <w:rtl/>
        </w:rPr>
        <w:t xml:space="preserve">אלא כדביאר </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w:t>
      </w:r>
      <w:r w:rsidRPr="003B63CB">
        <w:rPr>
          <w:rStyle w:val="af2"/>
          <w:rFonts w:eastAsia="Guttman Hodes" w:hint="cs"/>
          <w:rtl/>
        </w:rPr>
        <w:t>(עי' אות</w:t>
      </w:r>
      <w:r w:rsidRPr="003B63CB">
        <w:rPr>
          <w:rStyle w:val="af2"/>
          <w:rFonts w:eastAsia="Guttman Hodes"/>
          <w:rtl/>
        </w:rPr>
        <w:t xml:space="preserve"> </w:t>
      </w:r>
      <w:r w:rsidRPr="003B63CB">
        <w:rPr>
          <w:rStyle w:val="af2"/>
          <w:rFonts w:eastAsia="Guttman Hodes"/>
          <w:rtl/>
        </w:rPr>
        <w:fldChar w:fldCharType="begin"/>
      </w:r>
      <w:r w:rsidRPr="003B63CB">
        <w:rPr>
          <w:rStyle w:val="af2"/>
          <w:rFonts w:eastAsia="Guttman Hodes"/>
          <w:rtl/>
        </w:rPr>
        <w:instrText xml:space="preserve"> </w:instrText>
      </w:r>
      <w:r w:rsidRPr="003B63CB">
        <w:rPr>
          <w:rStyle w:val="af2"/>
          <w:rFonts w:eastAsia="Guttman Hodes" w:hint="cs"/>
        </w:rPr>
        <w:instrText>REF</w:instrText>
      </w:r>
      <w:r w:rsidRPr="003B63CB">
        <w:rPr>
          <w:rStyle w:val="af2"/>
          <w:rFonts w:eastAsia="Guttman Hodes" w:hint="cs"/>
          <w:rtl/>
        </w:rPr>
        <w:instrText xml:space="preserve"> _</w:instrText>
      </w:r>
      <w:r w:rsidRPr="003B63CB">
        <w:rPr>
          <w:rStyle w:val="af2"/>
          <w:rFonts w:eastAsia="Guttman Hodes" w:hint="cs"/>
        </w:rPr>
        <w:instrText>Ref139635163 \r \h</w:instrText>
      </w:r>
      <w:r w:rsidRPr="003B63CB">
        <w:rPr>
          <w:rStyle w:val="af2"/>
          <w:rFonts w:eastAsia="Guttman Hodes"/>
          <w:rtl/>
        </w:rPr>
        <w:instrText xml:space="preserve">  \* </w:instrText>
      </w:r>
      <w:r w:rsidRPr="003B63CB">
        <w:rPr>
          <w:rStyle w:val="af2"/>
          <w:rFonts w:eastAsia="Guttman Hodes"/>
        </w:rPr>
        <w:instrText>MERGEFORMAT</w:instrText>
      </w:r>
      <w:r w:rsidRPr="003B63CB">
        <w:rPr>
          <w:rStyle w:val="af2"/>
          <w:rFonts w:eastAsia="Guttman Hodes"/>
          <w:rtl/>
        </w:rPr>
        <w:instrText xml:space="preserve"> </w:instrText>
      </w:r>
      <w:r w:rsidRPr="003B63CB">
        <w:rPr>
          <w:rStyle w:val="af2"/>
          <w:rFonts w:eastAsia="Guttman Hodes"/>
          <w:rtl/>
        </w:rPr>
      </w:r>
      <w:r w:rsidRPr="003B63CB">
        <w:rPr>
          <w:rStyle w:val="af2"/>
          <w:rFonts w:eastAsia="Guttman Hodes"/>
          <w:rtl/>
        </w:rPr>
        <w:fldChar w:fldCharType="separate"/>
      </w:r>
      <w:r w:rsidR="00D82181">
        <w:rPr>
          <w:rStyle w:val="af2"/>
          <w:rFonts w:eastAsia="Guttman Hodes"/>
          <w:cs/>
        </w:rPr>
        <w:t>‎</w:t>
      </w:r>
      <w:r w:rsidR="00D82181">
        <w:rPr>
          <w:rStyle w:val="af2"/>
          <w:rFonts w:eastAsia="Guttman Hodes"/>
          <w:rtl/>
        </w:rPr>
        <w:t>ז)</w:t>
      </w:r>
      <w:r w:rsidRPr="003B63CB">
        <w:rPr>
          <w:rStyle w:val="af2"/>
          <w:rFonts w:eastAsia="Guttman Hodes"/>
          <w:rtl/>
        </w:rPr>
        <w:fldChar w:fldCharType="end"/>
      </w:r>
      <w:r w:rsidRPr="003B63CB">
        <w:rPr>
          <w:rFonts w:hint="cs"/>
          <w:rtl/>
        </w:rPr>
        <w:t xml:space="preserve"> במפיס מורסא דא"צ שהפתח ישאר פתוח, וכדביאר </w:t>
      </w:r>
      <w:r w:rsidRPr="003B63CB">
        <w:rPr>
          <w:rStyle w:val="aff4"/>
          <w:rFonts w:hint="cs"/>
          <w:vanish/>
          <w:rtl/>
        </w:rPr>
        <w:t>-</w:t>
      </w:r>
      <w:r w:rsidRPr="003B63CB">
        <w:rPr>
          <w:rStyle w:val="aff4"/>
          <w:rFonts w:hint="cs"/>
          <w:rtl/>
        </w:rPr>
        <w:t>רש"י בחגיגה</w:t>
      </w:r>
      <w:r w:rsidRPr="003B63CB">
        <w:rPr>
          <w:rStyle w:val="aff4"/>
          <w:rFonts w:hint="cs"/>
          <w:vanish/>
          <w:rtl/>
        </w:rPr>
        <w:t>-</w:t>
      </w:r>
      <w:r w:rsidRPr="003B63CB">
        <w:rPr>
          <w:rFonts w:hint="cs"/>
          <w:rtl/>
        </w:rPr>
        <w:t xml:space="preserve"> </w:t>
      </w:r>
      <w:r w:rsidRPr="003B63CB">
        <w:rPr>
          <w:rStyle w:val="af2"/>
          <w:rFonts w:eastAsia="Guttman Hodes" w:hint="cs"/>
          <w:rtl/>
        </w:rPr>
        <w:t xml:space="preserve">(עי' אות </w:t>
      </w:r>
      <w:r w:rsidRPr="003B63CB">
        <w:rPr>
          <w:rStyle w:val="af2"/>
          <w:rFonts w:eastAsia="Guttman Hodes"/>
          <w:rtl/>
        </w:rPr>
        <w:fldChar w:fldCharType="begin"/>
      </w:r>
      <w:r w:rsidRPr="003B63CB">
        <w:rPr>
          <w:rStyle w:val="af2"/>
          <w:rFonts w:eastAsia="Guttman Hodes"/>
          <w:rtl/>
        </w:rPr>
        <w:instrText xml:space="preserve"> </w:instrText>
      </w:r>
      <w:r w:rsidRPr="003B63CB">
        <w:rPr>
          <w:rStyle w:val="af2"/>
          <w:rFonts w:eastAsia="Guttman Hodes" w:hint="cs"/>
        </w:rPr>
        <w:instrText>REF</w:instrText>
      </w:r>
      <w:r w:rsidRPr="003B63CB">
        <w:rPr>
          <w:rStyle w:val="af2"/>
          <w:rFonts w:eastAsia="Guttman Hodes" w:hint="cs"/>
          <w:rtl/>
        </w:rPr>
        <w:instrText xml:space="preserve"> _</w:instrText>
      </w:r>
      <w:r w:rsidRPr="003B63CB">
        <w:rPr>
          <w:rStyle w:val="af2"/>
          <w:rFonts w:eastAsia="Guttman Hodes" w:hint="cs"/>
        </w:rPr>
        <w:instrText>Ref139748980 \r \h</w:instrText>
      </w:r>
      <w:r w:rsidRPr="003B63CB">
        <w:rPr>
          <w:rStyle w:val="af2"/>
          <w:rFonts w:eastAsia="Guttman Hodes"/>
          <w:rtl/>
        </w:rPr>
        <w:instrText xml:space="preserve">  \* </w:instrText>
      </w:r>
      <w:r w:rsidRPr="003B63CB">
        <w:rPr>
          <w:rStyle w:val="af2"/>
          <w:rFonts w:eastAsia="Guttman Hodes"/>
        </w:rPr>
        <w:instrText>MERGEFORMAT</w:instrText>
      </w:r>
      <w:r w:rsidRPr="003B63CB">
        <w:rPr>
          <w:rStyle w:val="af2"/>
          <w:rFonts w:eastAsia="Guttman Hodes"/>
          <w:rtl/>
        </w:rPr>
        <w:instrText xml:space="preserve"> </w:instrText>
      </w:r>
      <w:r w:rsidRPr="003B63CB">
        <w:rPr>
          <w:rStyle w:val="af2"/>
          <w:rFonts w:eastAsia="Guttman Hodes"/>
          <w:rtl/>
        </w:rPr>
      </w:r>
      <w:r w:rsidRPr="003B63CB">
        <w:rPr>
          <w:rStyle w:val="af2"/>
          <w:rFonts w:eastAsia="Guttman Hodes"/>
          <w:rtl/>
        </w:rPr>
        <w:fldChar w:fldCharType="separate"/>
      </w:r>
      <w:r w:rsidR="00D82181">
        <w:rPr>
          <w:rStyle w:val="af2"/>
          <w:rFonts w:eastAsia="Guttman Hodes"/>
          <w:cs/>
        </w:rPr>
        <w:t>‎</w:t>
      </w:r>
      <w:r w:rsidR="00D82181">
        <w:rPr>
          <w:rStyle w:val="af2"/>
          <w:rFonts w:eastAsia="Guttman Hodes"/>
          <w:rtl/>
        </w:rPr>
        <w:t>ח)</w:t>
      </w:r>
      <w:r w:rsidRPr="003B63CB">
        <w:rPr>
          <w:rStyle w:val="af2"/>
          <w:rFonts w:eastAsia="Guttman Hodes"/>
          <w:rtl/>
        </w:rPr>
        <w:fldChar w:fldCharType="end"/>
      </w:r>
      <w:r w:rsidRPr="003B63CB">
        <w:rPr>
          <w:rFonts w:hint="cs"/>
          <w:rtl/>
        </w:rPr>
        <w:t xml:space="preserve"> בחופר גומא דא"צ לבנין הזה, וא"כ בחובל ומבעיר שייכא סברא זו, אף באופן שאינו חובל לכלבו ומבעיר לאפרו, כגון באופן שחובל לרפואה להוציא דם רע, דהוא תיקון בדבר אחר ולכן הוי מלאכה שאינה צריכה לגופה.</w:t>
      </w:r>
      <w:bookmarkEnd w:id="3352"/>
    </w:p>
    <w:p w14:paraId="27D3B230" w14:textId="77777777" w:rsidR="002748A5" w:rsidRPr="00747170" w:rsidRDefault="002748A5" w:rsidP="00747170">
      <w:pPr>
        <w:pStyle w:val="a2"/>
      </w:pPr>
      <w:r w:rsidRPr="00747170">
        <w:rPr>
          <w:rtl/>
        </w:rPr>
        <w:t>תדע דרש"י מפרש דכבוי והוצאת המת חשיב משאצל"ג הואיל שרוצה היה שלא היה בעולם ולא קמפרש משום דהחלק שמכבה מן הפתילה אינו צריך לו שכבר נעשה אפר</w:t>
      </w:r>
      <w:r w:rsidRPr="00747170">
        <w:rPr>
          <w:rStyle w:val="afff7"/>
          <w:rtl/>
        </w:rPr>
        <w:t xml:space="preserve"> וגם אינו צריך למת ברה"ר ואין לו הנאה אלא מחלק הפתילה שעדיין לא נבער ולא כיבה אותו ונהנה רק מן הבית שהיה בו המת אלא ודאי דמשום הא חשיב משצל"ג אי לאו דברצונו היה שלא באה לעולם ואין כאן אלא סילוק ההיזק לגבי פתילה הנותרת והבית ומשו"ה חשיב משאצל"ג.</w:t>
      </w:r>
      <w:r w:rsidRPr="00747170">
        <w:rPr>
          <w:rtl/>
        </w:rPr>
        <w:t xml:space="preserve"> ולפי מ"ש שפיר משכחת ליה פלוגתא דר' יהודה ור' שמעון במקלקל בחבורה והבערה ואין צריך לכלבו ולאפרו כגון שחובל לרפואה ודמיונות הנזכרים דמקרי משצל"ג ומתורצים כל הקושיות הנזכרים.</w:t>
      </w:r>
    </w:p>
    <w:p w14:paraId="7F67AD7B" w14:textId="77777777" w:rsidR="002748A5" w:rsidRPr="003B63CB" w:rsidRDefault="002748A5" w:rsidP="002748A5">
      <w:pPr>
        <w:pStyle w:val="a7"/>
        <w:rPr>
          <w:rtl/>
        </w:rPr>
      </w:pPr>
      <w:bookmarkStart w:id="3354" w:name="_Toc140074197"/>
      <w:bookmarkStart w:id="3355" w:name="_Toc140092047"/>
      <w:bookmarkStart w:id="3356" w:name="_Toc140144247"/>
      <w:bookmarkStart w:id="3357" w:name="_Toc140144478"/>
      <w:r w:rsidRPr="003B63CB">
        <w:rPr>
          <w:rFonts w:hint="cs"/>
          <w:rtl/>
        </w:rPr>
        <w:t>בי' המרכה"מ דבמת ופתילה הוק' לרש"י דצריך לגוף המלאכה ולכן הוסיף דאינו רוצה במלאכה</w:t>
      </w:r>
      <w:bookmarkEnd w:id="3354"/>
      <w:bookmarkEnd w:id="3355"/>
      <w:bookmarkEnd w:id="3356"/>
      <w:bookmarkEnd w:id="3357"/>
    </w:p>
    <w:p w14:paraId="477743EA" w14:textId="77777777" w:rsidR="002748A5" w:rsidRPr="003B63CB" w:rsidRDefault="002748A5" w:rsidP="00BC7DC8">
      <w:pPr>
        <w:pStyle w:val="a3"/>
        <w:rPr>
          <w:rtl/>
        </w:rPr>
      </w:pPr>
      <w:r w:rsidRPr="003B63CB">
        <w:rPr>
          <w:rFonts w:hint="cs"/>
          <w:rtl/>
        </w:rPr>
        <w:t xml:space="preserve">אך הקשה </w:t>
      </w:r>
      <w:r w:rsidRPr="003B63CB">
        <w:rPr>
          <w:rStyle w:val="aff4"/>
          <w:rFonts w:hint="cs"/>
          <w:vanish/>
          <w:rtl/>
        </w:rPr>
        <w:t>-</w:t>
      </w:r>
      <w:r w:rsidRPr="003B63CB">
        <w:rPr>
          <w:rStyle w:val="aff4"/>
          <w:rFonts w:hint="cs"/>
          <w:rtl/>
        </w:rPr>
        <w:t>המרכבת המשנה</w:t>
      </w:r>
      <w:r w:rsidRPr="003B63CB">
        <w:rPr>
          <w:rStyle w:val="aff4"/>
          <w:rFonts w:hint="cs"/>
          <w:vanish/>
          <w:rtl/>
        </w:rPr>
        <w:t>-</w:t>
      </w:r>
      <w:r w:rsidRPr="003B63CB">
        <w:rPr>
          <w:rFonts w:hint="cs"/>
          <w:rtl/>
        </w:rPr>
        <w:t xml:space="preserve"> דאי עיקר הביאור במלאכה שאינה צריכה לגופה הוא דא"צ שתשאר המלאכה ולא יהנה ממנה, א"כ אמאי לא ביאר </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כן לענין הוצאת המת דאינו צריך את המת ברה"ר ואינו נהנה מזה, וכן בכיבוי פתילה לא ביאר </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דא"צ את החלק שמכבה אותו כיון דהוא נעשה אפר, ותירץ </w:t>
      </w:r>
      <w:r w:rsidRPr="003B63CB">
        <w:rPr>
          <w:rStyle w:val="aff4"/>
          <w:rFonts w:hint="cs"/>
          <w:rtl/>
        </w:rPr>
        <w:t>המרכבת המשנה</w:t>
      </w:r>
      <w:r w:rsidRPr="003B63CB">
        <w:rPr>
          <w:rStyle w:val="aff4"/>
          <w:rFonts w:hint="cs"/>
          <w:vanish/>
          <w:rtl/>
        </w:rPr>
        <w:t>-</w:t>
      </w:r>
      <w:r w:rsidRPr="003B63CB">
        <w:rPr>
          <w:rFonts w:hint="cs"/>
          <w:rtl/>
        </w:rPr>
        <w:t xml:space="preserve"> דבמת וכיבוי פתילה אף אי אמרינן כן עדיין חשיב מלאכה שצריכה לגופה, דהא הוא נהנה מהחלק של הפתילה שלא נשרף, וכן במת נהנה מהבית שאין בו מת, ולכן הוצרך </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להוסיף ביאור בהוצאת מת וכיבוי פתילה, דהוי מלאכה שאינה צריכה לגופה כיון דאינו רוצה במלאכה, וכל המלאכה היא רק סילוק הנזק ואינו תיקון בפתילה שנשארת ובבית שאין בו מת, ולכן בכה"ג הוי מלאכה </w:t>
      </w:r>
      <w:r w:rsidRPr="003B63CB">
        <w:rPr>
          <w:rFonts w:hint="cs"/>
          <w:rtl/>
        </w:rPr>
        <w:lastRenderedPageBreak/>
        <w:t xml:space="preserve">שאינה צריכה לגופה, אך מ"מ עיקר הביאור </w:t>
      </w:r>
      <w:r w:rsidRPr="003B63CB">
        <w:rPr>
          <w:rStyle w:val="aff4"/>
          <w:rFonts w:hint="cs"/>
          <w:vanish/>
          <w:rtl/>
        </w:rPr>
        <w:t>-</w:t>
      </w:r>
      <w:r w:rsidRPr="003B63CB">
        <w:rPr>
          <w:rStyle w:val="aff4"/>
          <w:rFonts w:hint="cs"/>
          <w:rtl/>
        </w:rPr>
        <w:t>לרש"י</w:t>
      </w:r>
      <w:r w:rsidRPr="003B63CB">
        <w:rPr>
          <w:rStyle w:val="aff4"/>
          <w:rFonts w:hint="cs"/>
          <w:vanish/>
          <w:rtl/>
        </w:rPr>
        <w:t>-</w:t>
      </w:r>
      <w:r w:rsidRPr="003B63CB">
        <w:rPr>
          <w:rFonts w:hint="cs"/>
          <w:rtl/>
        </w:rPr>
        <w:t xml:space="preserve"> במלאכה שאינה צריכה לגופה הוא דאינו צריך שתשאר המלאכה ולא נהנה ממנה.</w:t>
      </w:r>
    </w:p>
    <w:p w14:paraId="45754824" w14:textId="77777777" w:rsidR="002748A5" w:rsidRPr="00747170" w:rsidRDefault="002748A5" w:rsidP="00747170">
      <w:pPr>
        <w:pStyle w:val="a2"/>
      </w:pPr>
      <w:r w:rsidRPr="00747170">
        <w:rPr>
          <w:rtl/>
        </w:rPr>
        <w:t>תדע דרש"י מפרש דכבוי והוצאת המת חשיב משאצל"ג הואיל שרוצה היה שלא היה בעולם ולא קמפרש משום דהחלק שמכבה מן הפתילה אינו צריך לו שכבר נעשה אפר וגם אינו צריך למת ברה"ר ואין לו הנאה אלא מחלק הפתילה שעדיין לא נבער ולא כיבה אותו ונהנה רק מן הבית שהיה בו המת אלא ודאי דמשום הא חשיב משצל"ג אי לאו דברצונו היה שלא באה לעולם ואין כאן אלא סילוק ההיזק לגבי פתילה הנותרת והבית ומשו"ה חשיב משאצל"ג.</w:t>
      </w:r>
    </w:p>
    <w:p w14:paraId="3F5D68A4" w14:textId="77777777" w:rsidR="002748A5" w:rsidRPr="003B63CB" w:rsidRDefault="002748A5" w:rsidP="002748A5">
      <w:pPr>
        <w:pStyle w:val="affff5"/>
        <w:rPr>
          <w:rtl/>
        </w:rPr>
      </w:pPr>
      <w:bookmarkStart w:id="3358" w:name="_Toc140074198"/>
      <w:bookmarkStart w:id="3359" w:name="_Toc140092048"/>
      <w:bookmarkStart w:id="3360" w:name="_Toc140144248"/>
      <w:bookmarkStart w:id="3361" w:name="_Toc140144479"/>
      <w:r w:rsidRPr="003B63CB">
        <w:rPr>
          <w:rFonts w:hint="cs"/>
          <w:rtl/>
        </w:rPr>
        <w:t>במשאצל"ג במקלקל דמתקן לענין מצוה</w:t>
      </w:r>
      <w:bookmarkEnd w:id="3358"/>
      <w:bookmarkEnd w:id="3359"/>
      <w:bookmarkEnd w:id="3360"/>
      <w:bookmarkEnd w:id="3361"/>
    </w:p>
    <w:p w14:paraId="7D843411" w14:textId="77777777" w:rsidR="002748A5" w:rsidRPr="003B63CB" w:rsidRDefault="002748A5" w:rsidP="002748A5">
      <w:pPr>
        <w:pStyle w:val="1"/>
        <w:rPr>
          <w:rtl/>
        </w:rPr>
      </w:pPr>
      <w:bookmarkStart w:id="3362" w:name="_Toc140074199"/>
      <w:bookmarkStart w:id="3363" w:name="_Toc140092049"/>
      <w:bookmarkStart w:id="3364" w:name="_Toc140144249"/>
      <w:bookmarkStart w:id="3365" w:name="_Toc140144480"/>
      <w:r w:rsidRPr="003B63CB">
        <w:rPr>
          <w:rFonts w:hint="cs"/>
          <w:rtl/>
        </w:rPr>
        <w:t>פלו' רש"י ותוס' במקלקל במצוה אי הוי תיקון או משאלצ"ג</w:t>
      </w:r>
      <w:bookmarkEnd w:id="3362"/>
      <w:bookmarkEnd w:id="3363"/>
      <w:bookmarkEnd w:id="3364"/>
      <w:bookmarkEnd w:id="3365"/>
      <w:r w:rsidRPr="003B63CB">
        <w:rPr>
          <w:rFonts w:hint="cs"/>
          <w:rtl/>
        </w:rPr>
        <w:t xml:space="preserve"> </w:t>
      </w:r>
    </w:p>
    <w:p w14:paraId="53CE5DDF" w14:textId="77777777" w:rsidR="002748A5" w:rsidRPr="00C12F78" w:rsidRDefault="002748A5" w:rsidP="002748A5">
      <w:pPr>
        <w:pStyle w:val="afffff7"/>
        <w:rPr>
          <w:rtl/>
        </w:rPr>
      </w:pPr>
      <w:bookmarkStart w:id="3366" w:name="_Toc140074274"/>
      <w:bookmarkStart w:id="3367" w:name="_Toc140144370"/>
      <w:bookmarkStart w:id="3368" w:name="_Toc140144846"/>
      <w:bookmarkStart w:id="3369" w:name="_Toc163505961"/>
      <w:r w:rsidRPr="00C12F78">
        <w:rPr>
          <w:rtl/>
        </w:rPr>
        <w:t>רש"י שבת ק"ה ע"ב</w:t>
      </w:r>
      <w:r w:rsidRPr="00C12F78">
        <w:rPr>
          <w:rFonts w:hint="cs"/>
          <w:rtl/>
        </w:rPr>
        <w:t xml:space="preserve"> ד"ה הא</w:t>
      </w:r>
      <w:bookmarkEnd w:id="3366"/>
      <w:bookmarkEnd w:id="3367"/>
      <w:r w:rsidRPr="00C12F78">
        <w:rPr>
          <w:rtl/>
        </w:rPr>
        <w:t xml:space="preserve"> (ח)</w:t>
      </w:r>
      <w:bookmarkEnd w:id="3368"/>
      <w:bookmarkEnd w:id="3369"/>
    </w:p>
    <w:p w14:paraId="2EF40ADB" w14:textId="77777777" w:rsidR="002748A5" w:rsidRPr="00C12F78" w:rsidRDefault="002748A5" w:rsidP="002748A5">
      <w:pPr>
        <w:pStyle w:val="afffff7"/>
        <w:rPr>
          <w:rtl/>
        </w:rPr>
      </w:pPr>
      <w:bookmarkStart w:id="3370" w:name="_Toc140074275"/>
      <w:bookmarkStart w:id="3371" w:name="_Toc140144371"/>
      <w:bookmarkStart w:id="3372" w:name="_Toc140144847"/>
      <w:bookmarkStart w:id="3373" w:name="_Toc140074200"/>
      <w:bookmarkStart w:id="3374" w:name="_Toc163505962"/>
      <w:r w:rsidRPr="00C12F78">
        <w:rPr>
          <w:rtl/>
        </w:rPr>
        <w:t>תוספות שבת ק"ה ע"ב</w:t>
      </w:r>
      <w:r w:rsidRPr="00C12F78">
        <w:rPr>
          <w:rFonts w:hint="cs"/>
          <w:rtl/>
        </w:rPr>
        <w:t xml:space="preserve"> ד"ה הא</w:t>
      </w:r>
      <w:bookmarkEnd w:id="3370"/>
      <w:bookmarkEnd w:id="3371"/>
      <w:r w:rsidRPr="00C12F78">
        <w:rPr>
          <w:rtl/>
        </w:rPr>
        <w:t xml:space="preserve"> (ח)</w:t>
      </w:r>
      <w:bookmarkEnd w:id="3372"/>
      <w:bookmarkEnd w:id="3374"/>
    </w:p>
    <w:p w14:paraId="63513B0A" w14:textId="77777777" w:rsidR="002748A5" w:rsidRPr="00C12F78" w:rsidRDefault="002748A5" w:rsidP="002748A5">
      <w:pPr>
        <w:pStyle w:val="afffff7"/>
        <w:rPr>
          <w:rtl/>
        </w:rPr>
      </w:pPr>
      <w:bookmarkStart w:id="3375" w:name="_Toc140074276"/>
      <w:bookmarkStart w:id="3376" w:name="_Toc140144372"/>
      <w:bookmarkStart w:id="3377" w:name="_Toc140144848"/>
      <w:bookmarkStart w:id="3378" w:name="_Toc163505963"/>
      <w:r w:rsidRPr="00C12F78">
        <w:rPr>
          <w:rtl/>
        </w:rPr>
        <w:t>חדושי הרשב"א שבת ק"ה ע"ב</w:t>
      </w:r>
      <w:r w:rsidRPr="00C12F78">
        <w:rPr>
          <w:rFonts w:hint="cs"/>
          <w:rtl/>
        </w:rPr>
        <w:t xml:space="preserve"> ד</w:t>
      </w:r>
      <w:r w:rsidRPr="00C12F78">
        <w:rPr>
          <w:rFonts w:cs="Guttman Hodes" w:hint="cs"/>
          <w:rtl/>
        </w:rPr>
        <w:t>"</w:t>
      </w:r>
      <w:r w:rsidRPr="00C12F78">
        <w:rPr>
          <w:rFonts w:hint="cs"/>
          <w:rtl/>
        </w:rPr>
        <w:t>ה ובתוספות</w:t>
      </w:r>
      <w:bookmarkEnd w:id="3375"/>
      <w:bookmarkEnd w:id="3376"/>
      <w:r w:rsidRPr="00C12F78">
        <w:rPr>
          <w:rtl/>
        </w:rPr>
        <w:t xml:space="preserve"> (ח)</w:t>
      </w:r>
      <w:bookmarkEnd w:id="3377"/>
      <w:bookmarkEnd w:id="3378"/>
    </w:p>
    <w:p w14:paraId="3E52D369" w14:textId="77777777" w:rsidR="002748A5" w:rsidRPr="003B63CB" w:rsidRDefault="002748A5" w:rsidP="002748A5">
      <w:pPr>
        <w:pStyle w:val="a7"/>
        <w:rPr>
          <w:rtl/>
        </w:rPr>
      </w:pPr>
      <w:bookmarkStart w:id="3379" w:name="_Toc140092050"/>
      <w:bookmarkStart w:id="3380" w:name="_Toc140144250"/>
      <w:bookmarkStart w:id="3381" w:name="_Toc140144481"/>
      <w:r w:rsidRPr="003B63CB">
        <w:rPr>
          <w:rFonts w:hint="cs"/>
          <w:rtl/>
        </w:rPr>
        <w:t>בי' רש"י דקורע על מתו משאצל"ג ובי' תוס' דהוי מצוה וצריך לגופה ול"ד למילה ולבת כהן</w:t>
      </w:r>
      <w:bookmarkEnd w:id="3373"/>
      <w:bookmarkEnd w:id="3379"/>
      <w:bookmarkEnd w:id="3380"/>
      <w:bookmarkEnd w:id="3381"/>
    </w:p>
    <w:p w14:paraId="0A8548C0" w14:textId="10285008" w:rsidR="002748A5" w:rsidRPr="003B63CB" w:rsidRDefault="002748A5" w:rsidP="00BC7DC8">
      <w:pPr>
        <w:pStyle w:val="a3"/>
        <w:rPr>
          <w:rStyle w:val="afff9"/>
          <w:bCs w:val="0"/>
          <w:color w:val="auto"/>
          <w:u w:val="none"/>
        </w:rPr>
      </w:pPr>
      <w:bookmarkStart w:id="3382" w:name="_Ref139866961"/>
      <w:r w:rsidRPr="003B63CB">
        <w:rPr>
          <w:rFonts w:hint="cs"/>
          <w:rtl/>
        </w:rPr>
        <w:t xml:space="preserve">כתב </w:t>
      </w:r>
      <w:r w:rsidRPr="003B63CB">
        <w:rPr>
          <w:rFonts w:hint="cs"/>
          <w:vanish/>
          <w:rtl/>
        </w:rPr>
        <w:t xml:space="preserve">&lt;, </w:t>
      </w:r>
      <w:bookmarkStart w:id="3383" w:name="_Hlk140098061"/>
      <w:r w:rsidRPr="003B63CB">
        <w:rPr>
          <w:vanish/>
          <w:rtl/>
        </w:rPr>
        <w:fldChar w:fldCharType="begin"/>
      </w:r>
      <w:r w:rsidRPr="003B63CB">
        <w:rPr>
          <w:vanish/>
          <w:rtl/>
        </w:rPr>
        <w:instrText xml:space="preserve"> </w:instrText>
      </w:r>
      <w:r w:rsidRPr="003B63CB">
        <w:rPr>
          <w:rFonts w:hint="cs"/>
          <w:vanish/>
        </w:rPr>
        <w:instrText>REF</w:instrText>
      </w:r>
      <w:r w:rsidRPr="003B63CB">
        <w:rPr>
          <w:rFonts w:hint="cs"/>
          <w:vanish/>
          <w:rtl/>
        </w:rPr>
        <w:instrText xml:space="preserve"> _</w:instrText>
      </w:r>
      <w:r w:rsidRPr="003B63CB">
        <w:rPr>
          <w:rFonts w:hint="cs"/>
          <w:vanish/>
        </w:rPr>
        <w:instrText>Ref139866961 \r \h</w:instrText>
      </w:r>
      <w:r w:rsidRPr="003B63CB">
        <w:rPr>
          <w:vanish/>
          <w:rtl/>
        </w:rPr>
        <w:instrText xml:space="preserve">  \* </w:instrText>
      </w:r>
      <w:r w:rsidRPr="003B63CB">
        <w:rPr>
          <w:vanish/>
        </w:rPr>
        <w:instrText>MERGEFORMAT</w:instrText>
      </w:r>
      <w:r w:rsidRPr="003B63CB">
        <w:rPr>
          <w:vanish/>
          <w:rtl/>
        </w:rPr>
        <w:instrText xml:space="preserve"> </w:instrText>
      </w:r>
      <w:r w:rsidRPr="003B63CB">
        <w:rPr>
          <w:vanish/>
          <w:rtl/>
        </w:rPr>
      </w:r>
      <w:r w:rsidRPr="003B63CB">
        <w:rPr>
          <w:vanish/>
          <w:rtl/>
        </w:rPr>
        <w:fldChar w:fldCharType="separate"/>
      </w:r>
      <w:r w:rsidR="00D82181">
        <w:rPr>
          <w:vanish/>
          <w:cs/>
        </w:rPr>
        <w:t>‎</w:t>
      </w:r>
      <w:r w:rsidR="00D82181">
        <w:rPr>
          <w:vanish/>
          <w:rtl/>
        </w:rPr>
        <w:t>מו)</w:t>
      </w:r>
      <w:r w:rsidRPr="003B63CB">
        <w:rPr>
          <w:vanish/>
          <w:rtl/>
        </w:rPr>
        <w:fldChar w:fldCharType="end"/>
      </w:r>
      <w:r w:rsidRPr="003B63CB">
        <w:rPr>
          <w:rFonts w:hint="cs"/>
          <w:vanish/>
          <w:rtl/>
        </w:rPr>
        <w:t xml:space="preserve"> </w:t>
      </w:r>
      <w:bookmarkEnd w:id="3383"/>
      <w:r w:rsidRPr="003B63CB">
        <w:rPr>
          <w:rFonts w:hint="cs"/>
          <w:vanish/>
          <w:rtl/>
        </w:rPr>
        <w:t>&gt;</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w:t>
      </w:r>
      <w:r w:rsidRPr="003B63CB">
        <w:rPr>
          <w:rStyle w:val="af2"/>
          <w:rFonts w:eastAsia="Guttman Hodes" w:hint="cs"/>
          <w:rtl/>
        </w:rPr>
        <w:t>(קה: ד"ה הא)</w:t>
      </w:r>
      <w:r w:rsidRPr="003B63CB">
        <w:rPr>
          <w:rFonts w:hint="cs"/>
          <w:vanish/>
          <w:rtl/>
        </w:rPr>
        <w:t>=</w:t>
      </w:r>
      <w:r w:rsidRPr="003B63CB">
        <w:rPr>
          <w:rFonts w:hint="cs"/>
          <w:rtl/>
        </w:rPr>
        <w:t xml:space="preserve"> דהקורע על מתו חייב רק לר"י דמחייב במלאכה שאינה צריכה לגופה דהקריעה היא כהו</w:t>
      </w:r>
      <w:r w:rsidRPr="003B63CB">
        <w:rPr>
          <w:rStyle w:val="afff9"/>
          <w:rFonts w:hint="cs"/>
          <w:bCs w:val="0"/>
          <w:color w:val="auto"/>
          <w:u w:val="none"/>
          <w:rtl/>
        </w:rPr>
        <w:t xml:space="preserve">צאת מת לקבורה, והקשו </w:t>
      </w:r>
      <w:r w:rsidRPr="003B63CB">
        <w:rPr>
          <w:rStyle w:val="aff4"/>
          <w:rFonts w:hint="cs"/>
          <w:vanish/>
          <w:rtl/>
        </w:rPr>
        <w:t>-</w:t>
      </w:r>
      <w:r w:rsidRPr="003B63CB">
        <w:rPr>
          <w:rStyle w:val="aff4"/>
          <w:rFonts w:hint="cs"/>
          <w:rtl/>
        </w:rPr>
        <w:t>ה</w:t>
      </w:r>
      <w:r w:rsidRPr="003B63CB">
        <w:rPr>
          <w:rStyle w:val="aff4"/>
          <w:rFonts w:hint="cs"/>
          <w:vanish/>
          <w:rtl/>
        </w:rPr>
        <w:t>&lt; &gt;</w:t>
      </w:r>
      <w:r w:rsidRPr="003B63CB">
        <w:rPr>
          <w:rStyle w:val="aff4"/>
          <w:rFonts w:hint="cs"/>
          <w:rtl/>
        </w:rPr>
        <w:t>תוס'</w:t>
      </w:r>
      <w:r w:rsidRPr="003B63CB">
        <w:rPr>
          <w:rStyle w:val="aff4"/>
          <w:rFonts w:hint="cs"/>
          <w:vanish/>
          <w:rtl/>
        </w:rPr>
        <w:t>-</w:t>
      </w:r>
      <w:r w:rsidRPr="003B63CB">
        <w:rPr>
          <w:rStyle w:val="afff9"/>
          <w:rFonts w:hint="cs"/>
          <w:bCs w:val="0"/>
          <w:color w:val="auto"/>
          <w:u w:val="none"/>
          <w:rtl/>
        </w:rPr>
        <w:t xml:space="preserve"> </w:t>
      </w:r>
      <w:r w:rsidRPr="003B63CB">
        <w:rPr>
          <w:rStyle w:val="af2"/>
          <w:rFonts w:eastAsia="Guttman Hodes" w:hint="cs"/>
          <w:rtl/>
        </w:rPr>
        <w:t>(קה: ד"ה הא)</w:t>
      </w:r>
      <w:r w:rsidRPr="003B63CB">
        <w:rPr>
          <w:rStyle w:val="afff9"/>
          <w:rFonts w:hint="cs"/>
          <w:bCs w:val="0"/>
          <w:vanish/>
          <w:color w:val="auto"/>
          <w:u w:val="none"/>
          <w:rtl/>
        </w:rPr>
        <w:t>=</w:t>
      </w:r>
      <w:r w:rsidRPr="003B63CB">
        <w:rPr>
          <w:rStyle w:val="afff9"/>
          <w:rFonts w:hint="cs"/>
          <w:bCs w:val="0"/>
          <w:color w:val="auto"/>
          <w:u w:val="none"/>
          <w:rtl/>
        </w:rPr>
        <w:t xml:space="preserve"> דלפי </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Style w:val="afff9"/>
          <w:rFonts w:hint="cs"/>
          <w:bCs w:val="0"/>
          <w:color w:val="auto"/>
          <w:u w:val="none"/>
          <w:rtl/>
        </w:rPr>
        <w:t xml:space="preserve"> אף במת דידיה הוי מלאכה שאינה צריכה לגופה, והא כיון דהקריעה היא מצוה, א"כ הוי מלאכה שצריכה לגופה, אלא ביאר </w:t>
      </w:r>
      <w:r w:rsidRPr="003B63CB">
        <w:rPr>
          <w:rStyle w:val="aff4"/>
          <w:rFonts w:hint="cs"/>
          <w:vanish/>
          <w:rtl/>
        </w:rPr>
        <w:t>-</w:t>
      </w:r>
      <w:r w:rsidRPr="003B63CB">
        <w:rPr>
          <w:rStyle w:val="aff4"/>
          <w:rFonts w:hint="cs"/>
          <w:rtl/>
        </w:rPr>
        <w:t>ר"י בתוס'</w:t>
      </w:r>
      <w:r w:rsidRPr="003B63CB">
        <w:rPr>
          <w:rStyle w:val="aff4"/>
          <w:rFonts w:hint="cs"/>
          <w:vanish/>
          <w:rtl/>
        </w:rPr>
        <w:t>-</w:t>
      </w:r>
      <w:r w:rsidRPr="003B63CB">
        <w:rPr>
          <w:rStyle w:val="afff9"/>
          <w:rFonts w:hint="cs"/>
          <w:bCs w:val="0"/>
          <w:color w:val="auto"/>
          <w:u w:val="none"/>
          <w:rtl/>
        </w:rPr>
        <w:t xml:space="preserve"> דבמת דעלמא לכו"ע הוי מקלקל ופטור, ובמת דידיה לכו"ע חייב דכיון שיש מצות קריעה הוא מתקן ואינו תלוי בפלוגתת ר"י ור"ש, וכתבו </w:t>
      </w:r>
      <w:r w:rsidRPr="003B63CB">
        <w:rPr>
          <w:rStyle w:val="aff4"/>
          <w:rFonts w:hint="cs"/>
          <w:vanish/>
          <w:rtl/>
        </w:rPr>
        <w:t>-</w:t>
      </w:r>
      <w:r w:rsidRPr="003B63CB">
        <w:rPr>
          <w:rStyle w:val="aff4"/>
          <w:rFonts w:hint="cs"/>
          <w:rtl/>
        </w:rPr>
        <w:t>התוס'</w:t>
      </w:r>
      <w:r w:rsidRPr="003B63CB">
        <w:rPr>
          <w:rStyle w:val="aff4"/>
          <w:rFonts w:hint="cs"/>
          <w:vanish/>
          <w:rtl/>
        </w:rPr>
        <w:t>-</w:t>
      </w:r>
      <w:r w:rsidRPr="003B63CB">
        <w:rPr>
          <w:rStyle w:val="afff9"/>
          <w:rFonts w:hint="cs"/>
          <w:bCs w:val="0"/>
          <w:color w:val="auto"/>
          <w:u w:val="none"/>
          <w:rtl/>
        </w:rPr>
        <w:t xml:space="preserve"> דאעפ"י דבמילה ושריפת בת כהן מבואר דמצוה לא חשיבא תיקון לר"ש, הוא כיון דהוא קלקול גמור, דאין כל צורך בחבלה ובהבערה חוץ מהמצוה, אבל בקורע על מתו יש בזה תיקון שיכול ללבוש את הבגד כשהוא אבל, ועוד דבמילה ושריפת בת כהן התיקון אינו בתחילת החבלה והבערה, ובקורע בשעת הקלקול נעשית המצוה, </w:t>
      </w:r>
      <w:r w:rsidRPr="003B63CB">
        <w:rPr>
          <w:rFonts w:hint="cs"/>
          <w:rtl/>
        </w:rPr>
        <w:t xml:space="preserve">ודחה </w:t>
      </w:r>
      <w:r w:rsidRPr="003B63CB">
        <w:rPr>
          <w:rStyle w:val="aff4"/>
          <w:rFonts w:hint="cs"/>
          <w:vanish/>
          <w:rtl/>
        </w:rPr>
        <w:t>-</w:t>
      </w:r>
      <w:r w:rsidRPr="003B63CB">
        <w:rPr>
          <w:rStyle w:val="aff4"/>
          <w:rFonts w:hint="cs"/>
          <w:rtl/>
        </w:rPr>
        <w:t>ה</w:t>
      </w:r>
      <w:r w:rsidRPr="003B63CB">
        <w:rPr>
          <w:rStyle w:val="aff4"/>
          <w:rFonts w:hint="cs"/>
          <w:vanish/>
          <w:rtl/>
        </w:rPr>
        <w:t>&lt; &gt;</w:t>
      </w:r>
      <w:r w:rsidRPr="003B63CB">
        <w:rPr>
          <w:rStyle w:val="aff4"/>
          <w:rFonts w:hint="cs"/>
          <w:rtl/>
        </w:rPr>
        <w:t>רשב"א</w:t>
      </w:r>
      <w:r w:rsidRPr="003B63CB">
        <w:rPr>
          <w:rStyle w:val="aff4"/>
          <w:rFonts w:hint="cs"/>
          <w:vanish/>
          <w:rtl/>
        </w:rPr>
        <w:t>-</w:t>
      </w:r>
      <w:r w:rsidRPr="003B63CB">
        <w:rPr>
          <w:rFonts w:hint="cs"/>
          <w:rtl/>
        </w:rPr>
        <w:t xml:space="preserve"> </w:t>
      </w:r>
      <w:r w:rsidRPr="003B63CB">
        <w:rPr>
          <w:rStyle w:val="af2"/>
          <w:rFonts w:eastAsia="Guttman Hodes" w:hint="cs"/>
          <w:rtl/>
        </w:rPr>
        <w:t>(קה: ד"ה ובתוספות)</w:t>
      </w:r>
      <w:r w:rsidRPr="003B63CB">
        <w:rPr>
          <w:rFonts w:hint="cs"/>
          <w:vanish/>
          <w:rtl/>
        </w:rPr>
        <w:t>=</w:t>
      </w:r>
      <w:r w:rsidRPr="003B63CB">
        <w:rPr>
          <w:rFonts w:hint="cs"/>
          <w:rtl/>
        </w:rPr>
        <w:t xml:space="preserve"> דאי במצוה חשיב מלאכה שצריכה לגופה, א"כ אף מוציא מת לקוברו הוי מלאכה שצריכה לגופה, דהוא מצוה</w:t>
      </w:r>
      <w:r w:rsidRPr="003B63CB">
        <w:rPr>
          <w:rStyle w:val="afff9"/>
          <w:rFonts w:hint="cs"/>
          <w:bCs w:val="0"/>
          <w:color w:val="auto"/>
          <w:u w:val="none"/>
          <w:rtl/>
        </w:rPr>
        <w:t>.</w:t>
      </w:r>
      <w:bookmarkEnd w:id="3382"/>
      <w:r w:rsidRPr="003B63CB">
        <w:rPr>
          <w:rStyle w:val="afff9"/>
          <w:rFonts w:hint="cs"/>
          <w:bCs w:val="0"/>
          <w:color w:val="auto"/>
          <w:u w:val="none"/>
          <w:rtl/>
        </w:rPr>
        <w:t xml:space="preserve"> </w:t>
      </w:r>
    </w:p>
    <w:p w14:paraId="3644ACEA" w14:textId="77777777" w:rsidR="002748A5" w:rsidRPr="00747170" w:rsidRDefault="002748A5" w:rsidP="00747170">
      <w:pPr>
        <w:pStyle w:val="a2"/>
        <w:rPr>
          <w:rtl/>
        </w:rPr>
      </w:pPr>
      <w:r w:rsidRPr="00747170">
        <w:rPr>
          <w:rtl/>
        </w:rPr>
        <w:t>הא ר' יהודה כו' - ומתו אמתו הכי נמי הוה מצי לתרוצי, אלא מעיקרא אהדר לאוקמינהו כחד תנא, ולא מתוקמא אלא כר' יהודה, דהא מלאכה שאינה צריכה לגופה היא, כמוציא את המת לקוברו.</w:t>
      </w:r>
    </w:p>
    <w:p w14:paraId="03AA6B92" w14:textId="77777777" w:rsidR="002748A5" w:rsidRPr="00695703" w:rsidRDefault="002748A5" w:rsidP="00747170">
      <w:pPr>
        <w:pStyle w:val="afffff5"/>
      </w:pPr>
      <w:r w:rsidRPr="00695703">
        <w:rPr>
          <w:rtl/>
        </w:rPr>
        <w:t>הא ר' יהודה והא ר"ש - פי' בקונט' דבהאי שינויא נמי משני דלא קשה מתו אמתו והא דלא קאמר אלא משום דלא הוזכר אמורא לעיל וקשה לר"י דע"כ תרוייהו במת דידיה איירי ולא במת דעלמא כדקתני בברייתא דלעיל דיצא ידי קריעה וא"כ הויא מלאכה שצריכה לגופה כיון שהיא צורך מצוה כדמוכח לקמן ונראה לר"י דלא מתרץ אלא חמתו אחמתו אבל בעל מתו לא פליגי דבמת דעלמא פטור דמקלקל הוא ובמת דידיה דאיכא מצוה חשיב מתקן אף על גב דלקמן משמע דלצורך מצוה לא חשיב ר"ש תיקון דהא יליף ממילה והבערת בת כהן דמקלקל בחבורה ובהבערה חייב התם מקלקל הוא לגמרי שאינו צורך אחר אלא מה שהוא צורך מצוה אבל גבי קריעת אבל הוי תיקון הבגד על ידי קריעה שיוכל ללובשו בכל שעה ואית בו חימום ועוד כמו שמחלק לקמן ר"ת דהתם התיקון בא לבסוף שבשעת חבורה והבערה אינה באה הכשר מצוה עד הגמר אבל הכא בשעת קריעה בא התיקון ולא חשיב קלקול.</w:t>
      </w:r>
    </w:p>
    <w:p w14:paraId="3BED7C5B" w14:textId="77777777" w:rsidR="002748A5" w:rsidRPr="00695703" w:rsidRDefault="002748A5" w:rsidP="00747170">
      <w:pPr>
        <w:pStyle w:val="afffff5"/>
        <w:rPr>
          <w:rtl/>
        </w:rPr>
      </w:pPr>
      <w:r w:rsidRPr="00695703">
        <w:rPr>
          <w:rtl/>
        </w:rPr>
        <w:t>ובתוספות מפרשים דלעולם מתו אמתו צריכינן לתרוצי כדתרצינן, דאי במתו ממש שראוי להתאבל עליו אפילו רבי שמעון מודה דחייב דמלאכה הצריכה לו מיקריא הואיל ומצוה קא עביד, ואינו מחוור דאם כן אף המוציא את המת לקוברו יהא חייב דמצוה קא עביד, ודוחק הוא לומר דהתם לא רמי עליה ממש להוציאו דאפשר על ידי אחרים אבל קריעה הוא חייב בכך, דמת מצוה מאי איכא למימר ואנן המוציא את המת סתמא תנן.</w:t>
      </w:r>
    </w:p>
    <w:p w14:paraId="20C8915E" w14:textId="77777777" w:rsidR="002748A5" w:rsidRPr="00C12F78" w:rsidRDefault="002748A5" w:rsidP="002748A5">
      <w:pPr>
        <w:pStyle w:val="afffff7"/>
        <w:rPr>
          <w:rtl/>
        </w:rPr>
      </w:pPr>
      <w:bookmarkStart w:id="3384" w:name="_Toc140074277"/>
      <w:bookmarkStart w:id="3385" w:name="_Toc140144373"/>
      <w:bookmarkStart w:id="3386" w:name="_Toc140144849"/>
      <w:bookmarkStart w:id="3387" w:name="_Toc163505964"/>
      <w:r w:rsidRPr="00C12F78">
        <w:rPr>
          <w:rtl/>
        </w:rPr>
        <w:t xml:space="preserve">שו"ת אחיעזר </w:t>
      </w:r>
      <w:r w:rsidRPr="00C12F78">
        <w:rPr>
          <w:rFonts w:hint="cs"/>
          <w:rtl/>
        </w:rPr>
        <w:t>ח</w:t>
      </w:r>
      <w:r w:rsidRPr="00C12F78">
        <w:rPr>
          <w:rFonts w:cs="Guttman Hodes" w:hint="cs"/>
          <w:rtl/>
        </w:rPr>
        <w:t>"</w:t>
      </w:r>
      <w:r w:rsidRPr="00C12F78">
        <w:rPr>
          <w:rFonts w:hint="cs"/>
          <w:rtl/>
        </w:rPr>
        <w:t>ב יו</w:t>
      </w:r>
      <w:r w:rsidRPr="00C12F78">
        <w:rPr>
          <w:rFonts w:cs="Guttman Hodes" w:hint="cs"/>
          <w:rtl/>
        </w:rPr>
        <w:t>"</w:t>
      </w:r>
      <w:r w:rsidRPr="00C12F78">
        <w:rPr>
          <w:rFonts w:hint="cs"/>
          <w:rtl/>
        </w:rPr>
        <w:t>ד סי' ה' סק</w:t>
      </w:r>
      <w:r w:rsidRPr="00C12F78">
        <w:rPr>
          <w:rFonts w:cs="Guttman Hodes" w:hint="cs"/>
          <w:rtl/>
        </w:rPr>
        <w:t>"</w:t>
      </w:r>
      <w:r w:rsidRPr="00C12F78">
        <w:rPr>
          <w:rFonts w:hint="cs"/>
          <w:rtl/>
        </w:rPr>
        <w:t>ז</w:t>
      </w:r>
      <w:bookmarkEnd w:id="3384"/>
      <w:bookmarkEnd w:id="3385"/>
      <w:r w:rsidRPr="00C12F78">
        <w:rPr>
          <w:rFonts w:hint="cs"/>
          <w:rtl/>
        </w:rPr>
        <w:t xml:space="preserve"> </w:t>
      </w:r>
      <w:r w:rsidRPr="00C12F78">
        <w:rPr>
          <w:rtl/>
        </w:rPr>
        <w:t xml:space="preserve"> (ח)</w:t>
      </w:r>
      <w:bookmarkEnd w:id="3386"/>
      <w:bookmarkEnd w:id="3387"/>
    </w:p>
    <w:p w14:paraId="497D829D" w14:textId="77777777" w:rsidR="002748A5" w:rsidRPr="003B63CB" w:rsidRDefault="002748A5" w:rsidP="002748A5">
      <w:pPr>
        <w:pStyle w:val="a7"/>
        <w:rPr>
          <w:rtl/>
        </w:rPr>
      </w:pPr>
      <w:bookmarkStart w:id="3388" w:name="_Toc140074201"/>
      <w:bookmarkStart w:id="3389" w:name="_Toc140092051"/>
      <w:bookmarkStart w:id="3390" w:name="_Toc140144251"/>
      <w:bookmarkStart w:id="3391" w:name="_Toc140144482"/>
      <w:r w:rsidRPr="003B63CB">
        <w:rPr>
          <w:rFonts w:hint="cs"/>
          <w:rtl/>
        </w:rPr>
        <w:t>בי' האחיעזר ברש"י דתיקון למצוה לא חשיב צריך לגופה כיון דאי"ז התכלית שהייתה במשכן</w:t>
      </w:r>
      <w:bookmarkEnd w:id="3388"/>
      <w:bookmarkEnd w:id="3389"/>
      <w:bookmarkEnd w:id="3390"/>
      <w:bookmarkEnd w:id="3391"/>
    </w:p>
    <w:p w14:paraId="6F08951A" w14:textId="7F17A9D8" w:rsidR="002748A5" w:rsidRPr="003B63CB" w:rsidRDefault="002748A5" w:rsidP="00BC7DC8">
      <w:pPr>
        <w:pStyle w:val="a3"/>
      </w:pPr>
      <w:bookmarkStart w:id="3392" w:name="_Ref139876459"/>
      <w:r w:rsidRPr="003B63CB">
        <w:rPr>
          <w:rFonts w:hint="cs"/>
          <w:rtl/>
        </w:rPr>
        <w:t xml:space="preserve">וביאר </w:t>
      </w:r>
      <w:r w:rsidRPr="003B63CB">
        <w:rPr>
          <w:rStyle w:val="aff4"/>
          <w:rFonts w:hint="cs"/>
          <w:vanish/>
          <w:rtl/>
        </w:rPr>
        <w:t>-</w:t>
      </w:r>
      <w:r w:rsidRPr="003B63CB">
        <w:rPr>
          <w:rStyle w:val="aff4"/>
          <w:rFonts w:hint="cs"/>
          <w:rtl/>
        </w:rPr>
        <w:t>ה</w:t>
      </w:r>
      <w:r w:rsidRPr="003B63CB">
        <w:rPr>
          <w:rStyle w:val="aff4"/>
          <w:rFonts w:hint="cs"/>
          <w:vanish/>
          <w:rtl/>
        </w:rPr>
        <w:t xml:space="preserve">&lt;, </w:t>
      </w:r>
      <w:r w:rsidRPr="003B63CB">
        <w:rPr>
          <w:rStyle w:val="aff4"/>
          <w:vanish/>
          <w:rtl/>
        </w:rPr>
        <w:fldChar w:fldCharType="begin"/>
      </w:r>
      <w:r w:rsidRPr="003B63CB">
        <w:rPr>
          <w:rStyle w:val="aff4"/>
          <w:vanish/>
          <w:rtl/>
        </w:rPr>
        <w:instrText xml:space="preserve"> </w:instrText>
      </w:r>
      <w:r w:rsidRPr="003B63CB">
        <w:rPr>
          <w:rStyle w:val="aff4"/>
          <w:rFonts w:hint="cs"/>
          <w:vanish/>
        </w:rPr>
        <w:instrText>REF</w:instrText>
      </w:r>
      <w:r w:rsidRPr="003B63CB">
        <w:rPr>
          <w:rStyle w:val="aff4"/>
          <w:rFonts w:hint="cs"/>
          <w:vanish/>
          <w:rtl/>
        </w:rPr>
        <w:instrText xml:space="preserve"> _</w:instrText>
      </w:r>
      <w:r w:rsidRPr="003B63CB">
        <w:rPr>
          <w:rStyle w:val="aff4"/>
          <w:rFonts w:hint="cs"/>
          <w:vanish/>
        </w:rPr>
        <w:instrText>Ref139876459 \r \h</w:instrText>
      </w:r>
      <w:r w:rsidRPr="003B63CB">
        <w:rPr>
          <w:rStyle w:val="aff4"/>
          <w:vanish/>
          <w:rtl/>
        </w:rPr>
        <w:instrText xml:space="preserve">  \* </w:instrText>
      </w:r>
      <w:r w:rsidRPr="003B63CB">
        <w:rPr>
          <w:rStyle w:val="aff4"/>
          <w:vanish/>
        </w:rPr>
        <w:instrText>MERGEFORMAT</w:instrText>
      </w:r>
      <w:r w:rsidRPr="003B63CB">
        <w:rPr>
          <w:rStyle w:val="aff4"/>
          <w:vanish/>
          <w:rtl/>
        </w:rPr>
        <w:instrText xml:space="preserve"> </w:instrText>
      </w:r>
      <w:r w:rsidRPr="003B63CB">
        <w:rPr>
          <w:rStyle w:val="aff4"/>
          <w:vanish/>
          <w:rtl/>
        </w:rPr>
      </w:r>
      <w:r w:rsidRPr="003B63CB">
        <w:rPr>
          <w:rStyle w:val="aff4"/>
          <w:vanish/>
          <w:rtl/>
        </w:rPr>
        <w:fldChar w:fldCharType="separate"/>
      </w:r>
      <w:r w:rsidR="00D82181">
        <w:rPr>
          <w:rStyle w:val="aff4"/>
          <w:vanish/>
          <w:cs/>
        </w:rPr>
        <w:t>‎</w:t>
      </w:r>
      <w:r w:rsidR="00D82181">
        <w:rPr>
          <w:rStyle w:val="aff4"/>
          <w:vanish/>
          <w:rtl/>
        </w:rPr>
        <w:t>מז)</w:t>
      </w:r>
      <w:r w:rsidRPr="003B63CB">
        <w:rPr>
          <w:rStyle w:val="aff4"/>
          <w:vanish/>
          <w:rtl/>
        </w:rPr>
        <w:fldChar w:fldCharType="end"/>
      </w:r>
      <w:r w:rsidRPr="003B63CB">
        <w:rPr>
          <w:rStyle w:val="aff4"/>
          <w:rFonts w:hint="cs"/>
          <w:vanish/>
          <w:rtl/>
        </w:rPr>
        <w:t xml:space="preserve"> &gt;</w:t>
      </w:r>
      <w:r w:rsidRPr="003B63CB">
        <w:rPr>
          <w:rStyle w:val="aff4"/>
          <w:rFonts w:hint="cs"/>
          <w:rtl/>
        </w:rPr>
        <w:t>אחיעזר</w:t>
      </w:r>
      <w:r w:rsidRPr="003B63CB">
        <w:rPr>
          <w:rStyle w:val="aff4"/>
          <w:rFonts w:hint="cs"/>
          <w:vanish/>
          <w:rtl/>
        </w:rPr>
        <w:t>-</w:t>
      </w:r>
      <w:r w:rsidRPr="003B63CB">
        <w:rPr>
          <w:rFonts w:hint="cs"/>
          <w:rtl/>
        </w:rPr>
        <w:t xml:space="preserve"> </w:t>
      </w:r>
      <w:r w:rsidRPr="003B63CB">
        <w:rPr>
          <w:rStyle w:val="af2"/>
          <w:rFonts w:eastAsia="Guttman Hodes" w:hint="cs"/>
          <w:rtl/>
        </w:rPr>
        <w:t>(ח"ב יו"ד סי' ה' סק"ז)</w:t>
      </w:r>
      <w:r w:rsidRPr="003B63CB">
        <w:rPr>
          <w:rFonts w:hint="cs"/>
          <w:vanish/>
          <w:rtl/>
        </w:rPr>
        <w:t>=</w:t>
      </w:r>
      <w:r w:rsidRPr="003B63CB">
        <w:rPr>
          <w:rFonts w:hint="cs"/>
          <w:rtl/>
        </w:rPr>
        <w:t xml:space="preserve"> דס"ל </w:t>
      </w:r>
      <w:r w:rsidRPr="003B63CB">
        <w:rPr>
          <w:rStyle w:val="aff4"/>
          <w:rFonts w:hint="cs"/>
          <w:vanish/>
          <w:rtl/>
        </w:rPr>
        <w:t>-</w:t>
      </w:r>
      <w:r w:rsidRPr="003B63CB">
        <w:rPr>
          <w:rStyle w:val="aff4"/>
          <w:rFonts w:hint="cs"/>
          <w:rtl/>
        </w:rPr>
        <w:t>לרש"י</w:t>
      </w:r>
      <w:r w:rsidRPr="003B63CB">
        <w:rPr>
          <w:rStyle w:val="aff4"/>
          <w:rFonts w:hint="cs"/>
          <w:vanish/>
          <w:rtl/>
        </w:rPr>
        <w:t>-</w:t>
      </w:r>
      <w:r w:rsidRPr="003B63CB">
        <w:rPr>
          <w:rFonts w:hint="cs"/>
          <w:rtl/>
        </w:rPr>
        <w:t xml:space="preserve"> </w:t>
      </w:r>
      <w:r w:rsidRPr="003B63CB">
        <w:rPr>
          <w:rStyle w:val="af2"/>
          <w:rFonts w:eastAsia="Guttman Hodes" w:hint="cs"/>
          <w:rtl/>
        </w:rPr>
        <w:t xml:space="preserve">(עי' אות </w:t>
      </w:r>
      <w:r w:rsidRPr="003B63CB">
        <w:rPr>
          <w:rStyle w:val="af2"/>
          <w:rFonts w:eastAsia="Guttman Hodes"/>
          <w:rtl/>
        </w:rPr>
        <w:fldChar w:fldCharType="begin"/>
      </w:r>
      <w:r w:rsidRPr="003B63CB">
        <w:rPr>
          <w:rStyle w:val="af2"/>
          <w:rFonts w:eastAsia="Guttman Hodes"/>
          <w:rtl/>
        </w:rPr>
        <w:instrText xml:space="preserve"> </w:instrText>
      </w:r>
      <w:r w:rsidRPr="003B63CB">
        <w:rPr>
          <w:rStyle w:val="af2"/>
          <w:rFonts w:eastAsia="Guttman Hodes" w:hint="cs"/>
        </w:rPr>
        <w:instrText>REF</w:instrText>
      </w:r>
      <w:r w:rsidRPr="003B63CB">
        <w:rPr>
          <w:rStyle w:val="af2"/>
          <w:rFonts w:eastAsia="Guttman Hodes" w:hint="cs"/>
          <w:rtl/>
        </w:rPr>
        <w:instrText xml:space="preserve"> _</w:instrText>
      </w:r>
      <w:r w:rsidRPr="003B63CB">
        <w:rPr>
          <w:rStyle w:val="af2"/>
          <w:rFonts w:eastAsia="Guttman Hodes" w:hint="cs"/>
        </w:rPr>
        <w:instrText>Ref139866961 \r \h</w:instrText>
      </w:r>
      <w:r w:rsidRPr="003B63CB">
        <w:rPr>
          <w:rStyle w:val="af2"/>
          <w:rFonts w:eastAsia="Guttman Hodes"/>
          <w:rtl/>
        </w:rPr>
        <w:instrText xml:space="preserve">  \* </w:instrText>
      </w:r>
      <w:r w:rsidRPr="003B63CB">
        <w:rPr>
          <w:rStyle w:val="af2"/>
          <w:rFonts w:eastAsia="Guttman Hodes"/>
        </w:rPr>
        <w:instrText>MERGEFORMAT</w:instrText>
      </w:r>
      <w:r w:rsidRPr="003B63CB">
        <w:rPr>
          <w:rStyle w:val="af2"/>
          <w:rFonts w:eastAsia="Guttman Hodes"/>
          <w:rtl/>
        </w:rPr>
        <w:instrText xml:space="preserve"> </w:instrText>
      </w:r>
      <w:r w:rsidRPr="003B63CB">
        <w:rPr>
          <w:rStyle w:val="af2"/>
          <w:rFonts w:eastAsia="Guttman Hodes"/>
          <w:rtl/>
        </w:rPr>
      </w:r>
      <w:r w:rsidRPr="003B63CB">
        <w:rPr>
          <w:rStyle w:val="af2"/>
          <w:rFonts w:eastAsia="Guttman Hodes"/>
          <w:rtl/>
        </w:rPr>
        <w:fldChar w:fldCharType="separate"/>
      </w:r>
      <w:r w:rsidR="00D82181">
        <w:rPr>
          <w:rStyle w:val="af2"/>
          <w:rFonts w:eastAsia="Guttman Hodes"/>
          <w:cs/>
        </w:rPr>
        <w:t>‎</w:t>
      </w:r>
      <w:r w:rsidR="00D82181">
        <w:rPr>
          <w:rStyle w:val="af2"/>
          <w:rFonts w:eastAsia="Guttman Hodes"/>
          <w:rtl/>
        </w:rPr>
        <w:t>מו)</w:t>
      </w:r>
      <w:r w:rsidRPr="003B63CB">
        <w:rPr>
          <w:rStyle w:val="af2"/>
          <w:rFonts w:eastAsia="Guttman Hodes"/>
          <w:rtl/>
        </w:rPr>
        <w:fldChar w:fldCharType="end"/>
      </w:r>
      <w:r w:rsidRPr="003B63CB">
        <w:rPr>
          <w:rFonts w:hint="cs"/>
          <w:rtl/>
        </w:rPr>
        <w:t xml:space="preserve"> דר"ש דפוטר במלאכה שאינה צריכה לגופה, ס"ל דחיוב מלאכה הוא רק באופן שעושה את המלאכה לתכלית שהייתה במשכן, אבל בקורע על מתו אף שיש בקריעה מצוה וא"כ הוא מתקן בזה, מ"מ כיון דבמשכן מלאכת קורע הייתה רק ע"מ לתקן, לכן בקורע על מתו שהוא מלאכה לתכלית של מצוה פטור, דכיון שעיקר המלאכה היא בקריעה ע"מ לתפור כמו במשכן, כל שקורע לתכלית אחרת לא חשיב צורך המלאכה, ולכן הוי מלאכה שאינה צריכה לגופה, </w:t>
      </w:r>
      <w:r w:rsidRPr="003B63CB">
        <w:rPr>
          <w:rStyle w:val="af"/>
          <w:rFonts w:hint="cs"/>
          <w:rtl/>
        </w:rPr>
        <w:t xml:space="preserve">[ועיי"ש במה שהוכיח כן </w:t>
      </w:r>
      <w:r w:rsidRPr="003B63CB">
        <w:rPr>
          <w:rStyle w:val="aff9"/>
          <w:rFonts w:hint="cs"/>
          <w:vanish/>
          <w:rtl/>
        </w:rPr>
        <w:t>-</w:t>
      </w:r>
      <w:r w:rsidRPr="003B63CB">
        <w:rPr>
          <w:rStyle w:val="aff9"/>
          <w:rFonts w:hint="cs"/>
          <w:rtl/>
        </w:rPr>
        <w:t>האחיעזר</w:t>
      </w:r>
      <w:r w:rsidRPr="003B63CB">
        <w:rPr>
          <w:rStyle w:val="aff9"/>
          <w:rFonts w:hint="cs"/>
          <w:vanish/>
          <w:rtl/>
        </w:rPr>
        <w:t>-</w:t>
      </w:r>
      <w:r w:rsidRPr="003B63CB">
        <w:rPr>
          <w:rStyle w:val="af"/>
          <w:rFonts w:hint="cs"/>
          <w:rtl/>
        </w:rPr>
        <w:t xml:space="preserve"> מסתירת דברי </w:t>
      </w:r>
      <w:r w:rsidRPr="003B63CB">
        <w:rPr>
          <w:rStyle w:val="aff9"/>
          <w:rFonts w:hint="cs"/>
          <w:vanish/>
          <w:rtl/>
        </w:rPr>
        <w:t>-</w:t>
      </w:r>
      <w:r w:rsidRPr="003B63CB">
        <w:rPr>
          <w:rStyle w:val="aff9"/>
          <w:rFonts w:hint="cs"/>
          <w:rtl/>
        </w:rPr>
        <w:t>רש"י</w:t>
      </w:r>
      <w:r w:rsidRPr="003B63CB">
        <w:rPr>
          <w:rStyle w:val="aff9"/>
          <w:rFonts w:hint="cs"/>
          <w:vanish/>
          <w:rtl/>
        </w:rPr>
        <w:t>-</w:t>
      </w:r>
      <w:r w:rsidRPr="003B63CB">
        <w:rPr>
          <w:rStyle w:val="af"/>
          <w:rFonts w:hint="cs"/>
          <w:rtl/>
        </w:rPr>
        <w:t xml:space="preserve"> בחיוב קורע שלא ע"מ לתפור אי הוי מלאכת מחשבת],</w:t>
      </w:r>
      <w:r w:rsidRPr="003B63CB">
        <w:rPr>
          <w:rFonts w:hint="cs"/>
          <w:rtl/>
        </w:rPr>
        <w:t xml:space="preserve"> וכתב </w:t>
      </w:r>
      <w:r w:rsidRPr="003B63CB">
        <w:rPr>
          <w:rStyle w:val="aff4"/>
          <w:rFonts w:hint="cs"/>
          <w:vanish/>
          <w:rtl/>
        </w:rPr>
        <w:t>-</w:t>
      </w:r>
      <w:r w:rsidRPr="003B63CB">
        <w:rPr>
          <w:rStyle w:val="aff4"/>
          <w:rFonts w:hint="cs"/>
          <w:rtl/>
        </w:rPr>
        <w:t>האחיעזר</w:t>
      </w:r>
      <w:r w:rsidRPr="003B63CB">
        <w:rPr>
          <w:rStyle w:val="aff4"/>
          <w:rFonts w:hint="cs"/>
          <w:vanish/>
          <w:rtl/>
        </w:rPr>
        <w:t>-</w:t>
      </w:r>
      <w:r w:rsidRPr="003B63CB">
        <w:rPr>
          <w:rFonts w:hint="cs"/>
          <w:rtl/>
        </w:rPr>
        <w:t xml:space="preserve"> דכן משמע מדברי </w:t>
      </w:r>
      <w:r w:rsidRPr="003B63CB">
        <w:rPr>
          <w:rStyle w:val="aff4"/>
          <w:rFonts w:hint="cs"/>
          <w:vanish/>
          <w:rtl/>
        </w:rPr>
        <w:t>-</w:t>
      </w:r>
      <w:r w:rsidRPr="003B63CB">
        <w:rPr>
          <w:rStyle w:val="aff4"/>
          <w:rFonts w:hint="cs"/>
          <w:rtl/>
        </w:rPr>
        <w:t>הריב"ש</w:t>
      </w:r>
      <w:r w:rsidRPr="003B63CB">
        <w:rPr>
          <w:rStyle w:val="aff4"/>
          <w:rFonts w:hint="cs"/>
          <w:vanish/>
          <w:rtl/>
        </w:rPr>
        <w:t>-</w:t>
      </w:r>
      <w:r w:rsidRPr="003B63CB">
        <w:rPr>
          <w:rFonts w:hint="cs"/>
          <w:rtl/>
        </w:rPr>
        <w:t xml:space="preserve"> </w:t>
      </w:r>
      <w:r w:rsidRPr="003B63CB">
        <w:rPr>
          <w:rStyle w:val="af2"/>
          <w:rFonts w:eastAsia="Guttman Hodes" w:hint="cs"/>
          <w:rtl/>
        </w:rPr>
        <w:t>(</w:t>
      </w:r>
      <w:r w:rsidRPr="00D4778B">
        <w:rPr>
          <w:rStyle w:val="af2"/>
          <w:rFonts w:eastAsia="Guttman Hodes" w:hint="cs"/>
          <w:rtl/>
        </w:rPr>
        <w:t>סי' שצ"ד סוד"ה לו יהי</w:t>
      </w:r>
      <w:r>
        <w:rPr>
          <w:rStyle w:val="af2"/>
          <w:rFonts w:eastAsia="Guttman Hodes" w:hint="cs"/>
          <w:rtl/>
        </w:rPr>
        <w:t>, הובא בסימן ה' אות י"א</w:t>
      </w:r>
      <w:r w:rsidRPr="003B63CB">
        <w:rPr>
          <w:rStyle w:val="af2"/>
          <w:rFonts w:eastAsia="Guttman Hodes" w:hint="cs"/>
          <w:rtl/>
        </w:rPr>
        <w:t>)</w:t>
      </w:r>
      <w:r w:rsidRPr="003B63CB">
        <w:rPr>
          <w:rFonts w:hint="cs"/>
          <w:rtl/>
        </w:rPr>
        <w:t xml:space="preserve"> דכתב לענין גוזז דחייב אף במלאכה שאינה צריכה לגופה, כיון דבמשכן גזזו את התחשים שלא לצורך הצמר, והייתה במשכן מלאכת גוזז שלא לצורך המלאכה עצמה.</w:t>
      </w:r>
      <w:bookmarkEnd w:id="3392"/>
      <w:r w:rsidRPr="003B63CB">
        <w:rPr>
          <w:rFonts w:hint="cs"/>
          <w:rtl/>
        </w:rPr>
        <w:t xml:space="preserve"> </w:t>
      </w:r>
      <w:r w:rsidRPr="003B63CB">
        <w:rPr>
          <w:rStyle w:val="af"/>
          <w:rFonts w:hint="cs"/>
          <w:rtl/>
        </w:rPr>
        <w:t xml:space="preserve">[ולכאו' צ"ב טובא, דהא </w:t>
      </w:r>
      <w:r w:rsidRPr="003B63CB">
        <w:rPr>
          <w:rStyle w:val="aff9"/>
          <w:rFonts w:hint="cs"/>
          <w:vanish/>
          <w:rtl/>
        </w:rPr>
        <w:t>-</w:t>
      </w:r>
      <w:r w:rsidRPr="003B63CB">
        <w:rPr>
          <w:rStyle w:val="aff9"/>
          <w:rFonts w:hint="cs"/>
          <w:rtl/>
        </w:rPr>
        <w:t>בתוס'</w:t>
      </w:r>
      <w:r w:rsidRPr="003B63CB">
        <w:rPr>
          <w:rStyle w:val="aff9"/>
          <w:rFonts w:hint="cs"/>
          <w:vanish/>
          <w:rtl/>
        </w:rPr>
        <w:t>-</w:t>
      </w:r>
      <w:r w:rsidRPr="003B63CB">
        <w:rPr>
          <w:rStyle w:val="af"/>
          <w:rFonts w:hint="cs"/>
          <w:rtl/>
        </w:rPr>
        <w:t xml:space="preserve"> </w:t>
      </w:r>
      <w:r w:rsidRPr="003B63CB">
        <w:rPr>
          <w:rStyle w:val="aff0"/>
          <w:rFonts w:hint="cs"/>
          <w:rtl/>
        </w:rPr>
        <w:t>(</w:t>
      </w:r>
      <w:r w:rsidRPr="008C3112">
        <w:rPr>
          <w:rStyle w:val="aff0"/>
          <w:rtl/>
        </w:rPr>
        <w:t>הובאו בסימן ט'</w:t>
      </w:r>
      <w:r w:rsidRPr="003B63CB">
        <w:rPr>
          <w:rStyle w:val="aff0"/>
          <w:rFonts w:hint="cs"/>
          <w:rtl/>
        </w:rPr>
        <w:t xml:space="preserve">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Ref140072938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ב)</w:t>
      </w:r>
      <w:r>
        <w:rPr>
          <w:rStyle w:val="aff0"/>
          <w:rtl/>
        </w:rPr>
        <w:fldChar w:fldCharType="end"/>
      </w:r>
      <w:r w:rsidRPr="003B63CB">
        <w:rPr>
          <w:rStyle w:val="af"/>
          <w:rFonts w:hint="cs"/>
          <w:rtl/>
        </w:rPr>
        <w:t xml:space="preserve"> מבואר להיפך, דלדעת </w:t>
      </w:r>
      <w:r w:rsidRPr="003B63CB">
        <w:rPr>
          <w:rStyle w:val="aff9"/>
          <w:rFonts w:hint="cs"/>
          <w:vanish/>
          <w:rtl/>
        </w:rPr>
        <w:t>-</w:t>
      </w:r>
      <w:r w:rsidRPr="003B63CB">
        <w:rPr>
          <w:rStyle w:val="aff9"/>
          <w:rFonts w:hint="cs"/>
          <w:rtl/>
        </w:rPr>
        <w:t>התוס'</w:t>
      </w:r>
      <w:r w:rsidRPr="003B63CB">
        <w:rPr>
          <w:rStyle w:val="aff9"/>
          <w:rFonts w:hint="cs"/>
          <w:vanish/>
          <w:rtl/>
        </w:rPr>
        <w:t>-</w:t>
      </w:r>
      <w:r w:rsidRPr="003B63CB">
        <w:rPr>
          <w:rStyle w:val="af"/>
          <w:rFonts w:hint="cs"/>
          <w:rtl/>
        </w:rPr>
        <w:t xml:space="preserve"> מלאכה שאינה צריכה לגופה הוא לא כצורך שהיה במשכן, ובזה פליגי על </w:t>
      </w:r>
      <w:r w:rsidRPr="003B63CB">
        <w:rPr>
          <w:rStyle w:val="aff9"/>
          <w:rFonts w:hint="cs"/>
          <w:vanish/>
          <w:rtl/>
        </w:rPr>
        <w:t>-</w:t>
      </w:r>
      <w:r w:rsidRPr="003B63CB">
        <w:rPr>
          <w:rStyle w:val="aff9"/>
          <w:rFonts w:hint="cs"/>
          <w:rtl/>
        </w:rPr>
        <w:t>רש"י</w:t>
      </w:r>
      <w:r w:rsidRPr="003B63CB">
        <w:rPr>
          <w:rStyle w:val="aff9"/>
          <w:rFonts w:hint="cs"/>
          <w:vanish/>
          <w:rtl/>
        </w:rPr>
        <w:t>-</w:t>
      </w:r>
      <w:r w:rsidRPr="003B63CB">
        <w:rPr>
          <w:rStyle w:val="af"/>
          <w:rFonts w:hint="cs"/>
          <w:rtl/>
        </w:rPr>
        <w:t>].</w:t>
      </w:r>
    </w:p>
    <w:p w14:paraId="374CFF01" w14:textId="77777777" w:rsidR="002748A5" w:rsidRPr="00747170" w:rsidRDefault="002748A5" w:rsidP="00747170">
      <w:pPr>
        <w:pStyle w:val="a2"/>
        <w:rPr>
          <w:rtl/>
        </w:rPr>
      </w:pPr>
      <w:r w:rsidRPr="00747170">
        <w:rPr>
          <w:rtl/>
        </w:rPr>
        <w:t>(ז) ע"ד קושיית איזה מחברים לשי' רש"י בב"ק ל"ה דגם מקלקל פטור מטעם קלבד"מ וכתובות ל' בזרק חץ וקרע שיראין בהליכתו דפטור דלפטור מצד קורע וחידש כת"ה בחבורו שם לפי דבקורע בעינן שיהי' ע"מ לתפור ושלא ע"מ לתפור לא הוי מלאכה כלל דלא הי' במשכן כמו שפירש"י בשבת ע"ג במשנה וחכם אחד תמה עליו מדרש"י בשבת ל"א דמבואר דסותר שלא ע"מ לבנות וקורע שלא ע"מ לתפור פטור משום מקלקל ולא הוי מלאכת מחשבת עכ"ד הנה מכבר ראיתי שפלפלו בקושי' זו ויעוין בשאלות ותשובות מוהר"צ חיות ובספר ראשי בשמים ובעיקר הדבר בקורע שלא ע"מ לתפור ש"ס ערוך הוא בשבת ק"ה דקורע על מתו ובחמתו חייב הרי מפורש דכל היכא שמתקן בקורע חייב אף שלא ע"מ לתפור וכ"פ הרמב"ם וכבר תמה הגרע"א בגה"ש בדהתו"ס שבת ע"ג בד"ה וצריך שכ' דאפילו לר"י דמחייב במלאכה שאצל"ג =שאינה צריכה לגופה= בעינן שיהי' צריך לעצים דלא מיקרי בעצים קוצר אלא בענין זה מידי דהוי אקורע ע"מ לתפור יעוי"ש דהרי בקורע על מתו או בחמתו חייב יעוי"ש, ובישוב סתירת דרש"י שפירש בדע"ג דקורע שלא ע"מ לתפור לא הי' במשכן ובשבת ל"א פי' דלא הוי מלאכת מחשבת משום דהוי מקלקל נ"ל דבאמת הא דילפינן דגם תכלית המלאכה יהי' כמו במשכן זה אינו אלא למ"ד דמלאכה שאצל"ג פטור וס"ל דכל מלאכה שלא נעשית לתכליתה כמו שהי' במשכן לא הוי מלאכה כלל וזה נראה שי' רש"י בשבת ק"ה בקורע על מתו דלר"ש דס"ל מלאכה שאצל"ג פטור אינו חייב על הקריעה והתוס' שם בד"ה הא תמהו על זה דהא הוי מלאכה הצריכה לגופה כיון שהוא צורך מצוה (ויעוי' בחידושי הרשב"א ובירושלמי) ולמש"כ סברת רש"י דכיון דקורע במשכן הי' רק לתכלית ע"מ לתפור א"כ עיקר מלאכה הצריכה לגופה בקריעה הוא ע"מ לתפור וכל שהוא לתכלית אחר מה שצריך לקרוע חשיב מלאכה שאצל"ג ולא הוי מלאכה כלל וזה נראה שי' הריב"ש הובא במג"א דבגוזז חייב אפילו מלאכה שאצל"ג שכן הי' מלאכת גוזז במשכן שלא לגופה ומשגחינן לפי התכלית שהי' במשכן</w:t>
      </w:r>
      <w:r w:rsidRPr="00747170">
        <w:rPr>
          <w:rFonts w:hint="cs"/>
          <w:rtl/>
        </w:rPr>
        <w:t xml:space="preserve">. </w:t>
      </w:r>
    </w:p>
    <w:p w14:paraId="1FDFAD3F" w14:textId="77777777" w:rsidR="002748A5" w:rsidRPr="003B63CB" w:rsidRDefault="002748A5" w:rsidP="002748A5">
      <w:pPr>
        <w:pStyle w:val="a7"/>
      </w:pPr>
      <w:bookmarkStart w:id="3393" w:name="_Toc140074202"/>
      <w:bookmarkStart w:id="3394" w:name="_Toc140092052"/>
      <w:bookmarkStart w:id="3395" w:name="_Toc140144252"/>
      <w:bookmarkStart w:id="3396" w:name="_Toc140144483"/>
      <w:r w:rsidRPr="003B63CB">
        <w:rPr>
          <w:rFonts w:hint="cs"/>
          <w:rtl/>
        </w:rPr>
        <w:t>בי' האחיעזר ברש"י דפוצע חלזון ל"ה תכלית המלאכה במשכן וא"א לפטור מדין משאצל"ג</w:t>
      </w:r>
      <w:bookmarkEnd w:id="3393"/>
      <w:bookmarkEnd w:id="3394"/>
      <w:bookmarkEnd w:id="3395"/>
      <w:bookmarkEnd w:id="3396"/>
    </w:p>
    <w:p w14:paraId="6306023B" w14:textId="399F8867" w:rsidR="002748A5" w:rsidRPr="003B63CB" w:rsidRDefault="002748A5" w:rsidP="00BC7DC8">
      <w:pPr>
        <w:pStyle w:val="a3"/>
        <w:rPr>
          <w:rtl/>
        </w:rPr>
      </w:pPr>
      <w:bookmarkStart w:id="3397" w:name="_Ref139869644"/>
      <w:r w:rsidRPr="003B63CB">
        <w:rPr>
          <w:rFonts w:hint="cs"/>
          <w:rtl/>
        </w:rPr>
        <w:t xml:space="preserve">וכתב </w:t>
      </w:r>
      <w:r w:rsidRPr="003B63CB">
        <w:rPr>
          <w:rStyle w:val="aff4"/>
          <w:rFonts w:hint="cs"/>
          <w:vanish/>
          <w:rtl/>
        </w:rPr>
        <w:t>-</w:t>
      </w:r>
      <w:r w:rsidRPr="003B63CB">
        <w:rPr>
          <w:rStyle w:val="aff4"/>
          <w:rFonts w:hint="cs"/>
          <w:rtl/>
        </w:rPr>
        <w:t>האחיעזר</w:t>
      </w:r>
      <w:r w:rsidRPr="003B63CB">
        <w:rPr>
          <w:rStyle w:val="aff4"/>
          <w:rFonts w:hint="cs"/>
          <w:vanish/>
          <w:rtl/>
        </w:rPr>
        <w:t>-</w:t>
      </w:r>
      <w:r w:rsidRPr="003B63CB">
        <w:rPr>
          <w:rFonts w:hint="cs"/>
          <w:rtl/>
        </w:rPr>
        <w:t xml:space="preserve"> דלפי"ז לדעת </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מתורצת קושית </w:t>
      </w:r>
      <w:r w:rsidRPr="003B63CB">
        <w:rPr>
          <w:rStyle w:val="aff4"/>
          <w:rFonts w:hint="cs"/>
          <w:vanish/>
          <w:rtl/>
        </w:rPr>
        <w:t>-</w:t>
      </w:r>
      <w:r w:rsidRPr="003B63CB">
        <w:rPr>
          <w:rStyle w:val="aff4"/>
          <w:rFonts w:hint="cs"/>
          <w:rtl/>
        </w:rPr>
        <w:t>התוס'</w:t>
      </w:r>
      <w:r w:rsidRPr="003B63CB">
        <w:rPr>
          <w:rStyle w:val="aff4"/>
          <w:rFonts w:hint="cs"/>
          <w:vanish/>
          <w:rtl/>
        </w:rPr>
        <w:t>-</w:t>
      </w:r>
      <w:r w:rsidRPr="003B63CB">
        <w:rPr>
          <w:rFonts w:hint="cs"/>
          <w:rtl/>
        </w:rPr>
        <w:t xml:space="preserve"> </w:t>
      </w:r>
      <w:r w:rsidRPr="003B63CB">
        <w:rPr>
          <w:rStyle w:val="af2"/>
          <w:rFonts w:eastAsia="Guttman Hodes" w:hint="cs"/>
          <w:rtl/>
        </w:rPr>
        <w:t>(</w:t>
      </w:r>
      <w:r w:rsidRPr="00D712FD">
        <w:rPr>
          <w:rStyle w:val="af2"/>
          <w:rFonts w:eastAsia="Guttman Rashi" w:hint="cs"/>
          <w:rtl/>
        </w:rPr>
        <w:t>הובאו בסימן ט'</w:t>
      </w:r>
      <w:r w:rsidRPr="003B63CB">
        <w:rPr>
          <w:rStyle w:val="af2"/>
          <w:rFonts w:eastAsia="Guttman Hodes" w:hint="cs"/>
          <w:rtl/>
        </w:rPr>
        <w:t xml:space="preserve"> אות </w:t>
      </w:r>
      <w:r w:rsidRPr="003B63CB">
        <w:rPr>
          <w:rStyle w:val="af2"/>
          <w:rFonts w:eastAsia="Guttman Hodes"/>
          <w:rtl/>
        </w:rPr>
        <w:fldChar w:fldCharType="begin"/>
      </w:r>
      <w:r w:rsidRPr="003B63CB">
        <w:rPr>
          <w:rStyle w:val="af2"/>
          <w:rFonts w:eastAsia="Guttman Hodes"/>
          <w:rtl/>
        </w:rPr>
        <w:instrText xml:space="preserve"> </w:instrText>
      </w:r>
      <w:r w:rsidRPr="003B63CB">
        <w:rPr>
          <w:rStyle w:val="af2"/>
          <w:rFonts w:eastAsia="Guttman Hodes" w:hint="cs"/>
        </w:rPr>
        <w:instrText>REF</w:instrText>
      </w:r>
      <w:r w:rsidRPr="003B63CB">
        <w:rPr>
          <w:rStyle w:val="af2"/>
          <w:rFonts w:eastAsia="Guttman Hodes" w:hint="cs"/>
          <w:rtl/>
        </w:rPr>
        <w:instrText xml:space="preserve"> _</w:instrText>
      </w:r>
      <w:r w:rsidRPr="003B63CB">
        <w:rPr>
          <w:rStyle w:val="af2"/>
          <w:rFonts w:eastAsia="Guttman Hodes" w:hint="cs"/>
        </w:rPr>
        <w:instrText>Ref139487075 \r \h</w:instrText>
      </w:r>
      <w:r w:rsidRPr="003B63CB">
        <w:rPr>
          <w:rStyle w:val="af2"/>
          <w:rFonts w:eastAsia="Guttman Hodes"/>
          <w:rtl/>
        </w:rPr>
        <w:instrText xml:space="preserve">  \* </w:instrText>
      </w:r>
      <w:r w:rsidRPr="003B63CB">
        <w:rPr>
          <w:rStyle w:val="af2"/>
          <w:rFonts w:eastAsia="Guttman Hodes"/>
        </w:rPr>
        <w:instrText>MERGEFORMAT</w:instrText>
      </w:r>
      <w:r w:rsidRPr="003B63CB">
        <w:rPr>
          <w:rStyle w:val="af2"/>
          <w:rFonts w:eastAsia="Guttman Hodes"/>
          <w:rtl/>
        </w:rPr>
        <w:instrText xml:space="preserve"> </w:instrText>
      </w:r>
      <w:r w:rsidRPr="003B63CB">
        <w:rPr>
          <w:rStyle w:val="af2"/>
          <w:rFonts w:eastAsia="Guttman Hodes"/>
          <w:rtl/>
        </w:rPr>
      </w:r>
      <w:r w:rsidRPr="003B63CB">
        <w:rPr>
          <w:rStyle w:val="af2"/>
          <w:rFonts w:eastAsia="Guttman Hodes"/>
          <w:rtl/>
        </w:rPr>
        <w:fldChar w:fldCharType="separate"/>
      </w:r>
      <w:r w:rsidR="00D82181" w:rsidRPr="00D82181">
        <w:rPr>
          <w:rStyle w:val="af2"/>
          <w:rFonts w:eastAsia="Guttman Hodes"/>
          <w:b/>
          <w:bCs/>
          <w:cs/>
        </w:rPr>
        <w:t>‎</w:t>
      </w:r>
      <w:r w:rsidR="00D82181" w:rsidRPr="00D82181">
        <w:rPr>
          <w:rStyle w:val="af2"/>
          <w:rFonts w:eastAsia="Guttman Hodes"/>
          <w:b/>
          <w:bCs/>
          <w:rtl/>
        </w:rPr>
        <w:t>א)</w:t>
      </w:r>
      <w:r w:rsidRPr="003B63CB">
        <w:rPr>
          <w:rStyle w:val="af2"/>
          <w:rFonts w:eastAsia="Guttman Hodes"/>
          <w:rtl/>
        </w:rPr>
        <w:fldChar w:fldCharType="end"/>
      </w:r>
      <w:r w:rsidRPr="003B63CB">
        <w:rPr>
          <w:rFonts w:hint="cs"/>
          <w:rtl/>
        </w:rPr>
        <w:t xml:space="preserve"> בפוצע חלזון דניחא ליה שלא ימות, דכתבו במקלקל בחבורה דא"צ מלאכת מחשבת וא"כ יתחייב לר"ש אף במלאכה שאינה צריכה לגופה, </w:t>
      </w:r>
      <w:r w:rsidRPr="003B63CB">
        <w:rPr>
          <w:rStyle w:val="af"/>
          <w:rFonts w:hint="cs"/>
          <w:rtl/>
        </w:rPr>
        <w:t xml:space="preserve">[דבגמ' בחגיגה </w:t>
      </w:r>
      <w:r w:rsidRPr="003B63CB">
        <w:rPr>
          <w:rStyle w:val="aff0"/>
          <w:rFonts w:hint="cs"/>
          <w:rtl/>
        </w:rPr>
        <w:t>(י:)</w:t>
      </w:r>
      <w:r w:rsidRPr="003B63CB">
        <w:rPr>
          <w:rStyle w:val="af"/>
          <w:rFonts w:hint="cs"/>
          <w:rtl/>
        </w:rPr>
        <w:t xml:space="preserve"> משמע דר"ש פוטר במלאכה שאינה צריכה לגופה כיון דצריך מלאכת מחשבת],</w:t>
      </w:r>
      <w:r w:rsidRPr="003B63CB">
        <w:rPr>
          <w:rFonts w:hint="cs"/>
          <w:rtl/>
        </w:rPr>
        <w:t xml:space="preserve"> וכתב </w:t>
      </w:r>
      <w:r w:rsidRPr="003B63CB">
        <w:rPr>
          <w:rStyle w:val="aff4"/>
          <w:rFonts w:hint="cs"/>
          <w:vanish/>
          <w:rtl/>
        </w:rPr>
        <w:t>-</w:t>
      </w:r>
      <w:r w:rsidRPr="003B63CB">
        <w:rPr>
          <w:rStyle w:val="aff4"/>
          <w:rFonts w:hint="cs"/>
          <w:rtl/>
        </w:rPr>
        <w:t>האחיעזר</w:t>
      </w:r>
      <w:r w:rsidRPr="003B63CB">
        <w:rPr>
          <w:rStyle w:val="aff4"/>
          <w:rFonts w:hint="cs"/>
          <w:vanish/>
          <w:rtl/>
        </w:rPr>
        <w:t>-</w:t>
      </w:r>
      <w:r w:rsidRPr="003B63CB">
        <w:rPr>
          <w:rFonts w:hint="cs"/>
          <w:rtl/>
        </w:rPr>
        <w:t xml:space="preserve"> דלפי דברי </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מבואר דלר"ש כיון דמלאכה שאינה צריכה לגופה לא הייתה במשכן, לתכלית הזו שהוא צריך את המלאכה, לכן אי"ז בכלל מלאכה כלל, ולא דמי למקלקל דהוא מלאכה עם פטור דאינו בכלל </w:t>
      </w:r>
      <w:r w:rsidRPr="003B63CB">
        <w:rPr>
          <w:rFonts w:hint="cs"/>
          <w:rtl/>
        </w:rPr>
        <w:t xml:space="preserve">מלאכת מחשבת, ולר"י דמחייב במלאכה שאינה צריכה לגופה, כתב </w:t>
      </w:r>
      <w:r w:rsidRPr="003B63CB">
        <w:rPr>
          <w:rStyle w:val="aff4"/>
          <w:rFonts w:hint="cs"/>
          <w:vanish/>
          <w:rtl/>
        </w:rPr>
        <w:t>-</w:t>
      </w:r>
      <w:r w:rsidRPr="003B63CB">
        <w:rPr>
          <w:rStyle w:val="aff4"/>
          <w:rFonts w:hint="cs"/>
          <w:rtl/>
        </w:rPr>
        <w:t>האחיעזר</w:t>
      </w:r>
      <w:r w:rsidRPr="003B63CB">
        <w:rPr>
          <w:rStyle w:val="aff4"/>
          <w:rFonts w:hint="cs"/>
          <w:vanish/>
          <w:rtl/>
        </w:rPr>
        <w:t>-</w:t>
      </w:r>
      <w:r w:rsidRPr="003B63CB">
        <w:rPr>
          <w:rFonts w:hint="cs"/>
          <w:rtl/>
        </w:rPr>
        <w:t xml:space="preserve"> דס"ל דאין נ"מ לאיזה תכלית הייתה המלאכה במשכן.</w:t>
      </w:r>
      <w:bookmarkEnd w:id="3397"/>
    </w:p>
    <w:p w14:paraId="7890820C" w14:textId="77777777" w:rsidR="002748A5" w:rsidRPr="00747170" w:rsidRDefault="002748A5" w:rsidP="00747170">
      <w:pPr>
        <w:pStyle w:val="a2"/>
        <w:rPr>
          <w:rtl/>
        </w:rPr>
      </w:pPr>
      <w:r w:rsidRPr="00747170">
        <w:rPr>
          <w:rtl/>
        </w:rPr>
        <w:t>ומה"ט נראה הא דפטור במלאכה שאצל"ג לר"ש גם בחבורה והתוס' בשבת ע"ה בד"ה טפי בסוף הדבור תמהו בזה דבחבורה דלא בעי מלאכת מחשבת ליחייב בי' מלאכה שאצל"ג ולמש"כ בשי' רש"י י"ל דשאני מלאכה שאצל"ג שלא הי' במשכן לתכלית זה לא הוי מלאכה כלל ולא דמי למקלקל דהפטור משום מלאכת מחשבת דהחסרון הוא במחשבה אבל מלאכה שאצל"ג שלא הי' במשכן לתכלית זה לא הוי מלאכה בעצם כלל ואין בחבורה חיוב וכל זה למאן דס"ל דמלאכה שאצל"ג פטור אבל למאן דס"ל דמלאכה שאצל"ג חייב לא משגחינן כלל על התכלית שהי' במשכן.</w:t>
      </w:r>
    </w:p>
    <w:p w14:paraId="5ADA06C9" w14:textId="77777777" w:rsidR="002748A5" w:rsidRDefault="002748A5" w:rsidP="002748A5">
      <w:pPr>
        <w:pStyle w:val="affff5"/>
        <w:rPr>
          <w:rtl/>
        </w:rPr>
      </w:pPr>
      <w:bookmarkStart w:id="3398" w:name="_Toc136440869"/>
      <w:bookmarkStart w:id="3399" w:name="_Toc136618693"/>
      <w:bookmarkStart w:id="3400" w:name="_Toc140092053"/>
      <w:bookmarkStart w:id="3401" w:name="_Toc140144253"/>
      <w:bookmarkStart w:id="3402" w:name="_Toc140144484"/>
      <w:bookmarkStart w:id="3403" w:name="_Toc140074203"/>
      <w:r w:rsidRPr="00716C93">
        <w:rPr>
          <w:rFonts w:hint="cs"/>
          <w:rtl/>
        </w:rPr>
        <w:t>~~~~~~~~~~~~~~~~~~~~~~~~~~~~</w:t>
      </w:r>
      <w:bookmarkEnd w:id="3398"/>
      <w:bookmarkEnd w:id="3399"/>
      <w:bookmarkEnd w:id="3400"/>
      <w:bookmarkEnd w:id="3401"/>
      <w:bookmarkEnd w:id="3402"/>
    </w:p>
    <w:p w14:paraId="794333BE" w14:textId="77777777" w:rsidR="002748A5" w:rsidRPr="003B63CB" w:rsidRDefault="002748A5" w:rsidP="002748A5">
      <w:pPr>
        <w:pStyle w:val="affff5"/>
        <w:rPr>
          <w:rtl/>
        </w:rPr>
      </w:pPr>
      <w:bookmarkStart w:id="3404" w:name="_Toc140092054"/>
      <w:bookmarkStart w:id="3405" w:name="_Toc140144254"/>
      <w:bookmarkStart w:id="3406" w:name="_Toc140144485"/>
      <w:r w:rsidRPr="003B63CB">
        <w:rPr>
          <w:rFonts w:hint="cs"/>
          <w:rtl/>
        </w:rPr>
        <w:t>בד' הרמב"ם אי ס"ל כרש"י דסילוק נזק</w:t>
      </w:r>
      <w:bookmarkEnd w:id="3403"/>
      <w:bookmarkEnd w:id="3404"/>
      <w:bookmarkEnd w:id="3405"/>
      <w:bookmarkEnd w:id="3406"/>
    </w:p>
    <w:p w14:paraId="2225015A" w14:textId="77777777" w:rsidR="002748A5" w:rsidRPr="003B63CB" w:rsidRDefault="002748A5" w:rsidP="002748A5">
      <w:pPr>
        <w:pStyle w:val="1"/>
        <w:rPr>
          <w:rtl/>
        </w:rPr>
      </w:pPr>
      <w:bookmarkStart w:id="3407" w:name="_Toc140074204"/>
      <w:bookmarkStart w:id="3408" w:name="_Toc140092055"/>
      <w:bookmarkStart w:id="3409" w:name="_Toc140144255"/>
      <w:bookmarkStart w:id="3410" w:name="_Toc140144486"/>
      <w:r w:rsidRPr="003B63CB">
        <w:rPr>
          <w:rFonts w:hint="cs"/>
          <w:rtl/>
        </w:rPr>
        <w:t>בי' הכפו"ת בד' הרמב"ם במלאכה שאינה צריכה לגופה</w:t>
      </w:r>
      <w:bookmarkEnd w:id="3407"/>
      <w:bookmarkEnd w:id="3408"/>
      <w:bookmarkEnd w:id="3409"/>
      <w:bookmarkEnd w:id="3410"/>
    </w:p>
    <w:p w14:paraId="00B1A0F5" w14:textId="77777777" w:rsidR="002748A5" w:rsidRPr="00C12F78" w:rsidRDefault="002748A5" w:rsidP="002748A5">
      <w:pPr>
        <w:pStyle w:val="afffff7"/>
        <w:rPr>
          <w:rtl/>
        </w:rPr>
      </w:pPr>
      <w:bookmarkStart w:id="3411" w:name="_Toc140074278"/>
      <w:bookmarkStart w:id="3412" w:name="_Toc140144374"/>
      <w:bookmarkStart w:id="3413" w:name="_Toc140144850"/>
      <w:bookmarkStart w:id="3414" w:name="_Toc163505965"/>
      <w:r w:rsidRPr="00C12F78">
        <w:rPr>
          <w:rtl/>
        </w:rPr>
        <w:t>רמב"ם שבת פ"א ה"ז</w:t>
      </w:r>
      <w:bookmarkEnd w:id="3411"/>
      <w:bookmarkEnd w:id="3412"/>
      <w:r w:rsidRPr="00C12F78">
        <w:rPr>
          <w:rtl/>
        </w:rPr>
        <w:t xml:space="preserve"> (ח)</w:t>
      </w:r>
      <w:bookmarkEnd w:id="3413"/>
      <w:bookmarkEnd w:id="3414"/>
    </w:p>
    <w:p w14:paraId="39788084" w14:textId="77777777" w:rsidR="002748A5" w:rsidRPr="003B63CB" w:rsidRDefault="002748A5" w:rsidP="002748A5">
      <w:pPr>
        <w:pStyle w:val="a7"/>
        <w:rPr>
          <w:rtl/>
        </w:rPr>
      </w:pPr>
      <w:bookmarkStart w:id="3415" w:name="_Toc140074205"/>
      <w:bookmarkStart w:id="3416" w:name="_Toc140092056"/>
      <w:bookmarkStart w:id="3417" w:name="_Toc140144256"/>
      <w:bookmarkStart w:id="3418" w:name="_Toc140144487"/>
      <w:r w:rsidRPr="003B63CB">
        <w:rPr>
          <w:rFonts w:hint="cs"/>
          <w:rtl/>
        </w:rPr>
        <w:t>בי' הרמב"ם דקיי"ל כר"י דמחייב במשאצל"ג אף באופן שהמלאכה היא רק לסלק את הנזק</w:t>
      </w:r>
      <w:bookmarkEnd w:id="3415"/>
      <w:bookmarkEnd w:id="3416"/>
      <w:bookmarkEnd w:id="3417"/>
      <w:bookmarkEnd w:id="3418"/>
    </w:p>
    <w:p w14:paraId="5EE7138E" w14:textId="5ECE481A" w:rsidR="002748A5" w:rsidRPr="003B63CB" w:rsidRDefault="002748A5" w:rsidP="00BC7DC8">
      <w:pPr>
        <w:pStyle w:val="a3"/>
        <w:rPr>
          <w:rtl/>
        </w:rPr>
      </w:pPr>
      <w:bookmarkStart w:id="3419" w:name="_Ref139623508"/>
      <w:r w:rsidRPr="003B63CB">
        <w:rPr>
          <w:rFonts w:hint="cs"/>
          <w:rtl/>
        </w:rPr>
        <w:t xml:space="preserve">כתב </w:t>
      </w:r>
      <w:r w:rsidRPr="003B63CB">
        <w:rPr>
          <w:rStyle w:val="aff4"/>
          <w:rFonts w:hint="cs"/>
          <w:vanish/>
          <w:rtl/>
        </w:rPr>
        <w:t>-</w:t>
      </w:r>
      <w:r w:rsidRPr="003B63CB">
        <w:rPr>
          <w:rStyle w:val="aff4"/>
          <w:rFonts w:hint="cs"/>
          <w:rtl/>
        </w:rPr>
        <w:t>ה</w:t>
      </w:r>
      <w:r w:rsidRPr="003B63CB">
        <w:rPr>
          <w:rStyle w:val="aff4"/>
          <w:rFonts w:hint="cs"/>
          <w:vanish/>
          <w:rtl/>
        </w:rPr>
        <w:t xml:space="preserve">&lt;, </w:t>
      </w:r>
      <w:r w:rsidRPr="003B63CB">
        <w:rPr>
          <w:rStyle w:val="aff4"/>
          <w:vanish/>
          <w:rtl/>
        </w:rPr>
        <w:fldChar w:fldCharType="begin"/>
      </w:r>
      <w:r w:rsidRPr="003B63CB">
        <w:rPr>
          <w:rStyle w:val="aff4"/>
          <w:vanish/>
          <w:rtl/>
        </w:rPr>
        <w:instrText xml:space="preserve"> </w:instrText>
      </w:r>
      <w:r w:rsidRPr="003B63CB">
        <w:rPr>
          <w:rStyle w:val="aff4"/>
          <w:rFonts w:hint="cs"/>
          <w:vanish/>
        </w:rPr>
        <w:instrText>REF</w:instrText>
      </w:r>
      <w:r w:rsidRPr="003B63CB">
        <w:rPr>
          <w:rStyle w:val="aff4"/>
          <w:rFonts w:hint="cs"/>
          <w:vanish/>
          <w:rtl/>
        </w:rPr>
        <w:instrText xml:space="preserve"> _</w:instrText>
      </w:r>
      <w:r w:rsidRPr="003B63CB">
        <w:rPr>
          <w:rStyle w:val="aff4"/>
          <w:rFonts w:hint="cs"/>
          <w:vanish/>
        </w:rPr>
        <w:instrText>Ref139623508 \r \h</w:instrText>
      </w:r>
      <w:r w:rsidRPr="003B63CB">
        <w:rPr>
          <w:rStyle w:val="aff4"/>
          <w:vanish/>
          <w:rtl/>
        </w:rPr>
        <w:instrText xml:space="preserve">  \* </w:instrText>
      </w:r>
      <w:r w:rsidRPr="003B63CB">
        <w:rPr>
          <w:rStyle w:val="aff4"/>
          <w:vanish/>
        </w:rPr>
        <w:instrText>MERGEFORMAT</w:instrText>
      </w:r>
      <w:r w:rsidRPr="003B63CB">
        <w:rPr>
          <w:rStyle w:val="aff4"/>
          <w:vanish/>
          <w:rtl/>
        </w:rPr>
        <w:instrText xml:space="preserve"> </w:instrText>
      </w:r>
      <w:r w:rsidRPr="003B63CB">
        <w:rPr>
          <w:rStyle w:val="aff4"/>
          <w:vanish/>
          <w:rtl/>
        </w:rPr>
      </w:r>
      <w:r w:rsidRPr="003B63CB">
        <w:rPr>
          <w:rStyle w:val="aff4"/>
          <w:vanish/>
          <w:rtl/>
        </w:rPr>
        <w:fldChar w:fldCharType="separate"/>
      </w:r>
      <w:r w:rsidR="00D82181">
        <w:rPr>
          <w:rStyle w:val="aff4"/>
          <w:vanish/>
          <w:cs/>
        </w:rPr>
        <w:t>‎</w:t>
      </w:r>
      <w:r w:rsidR="00D82181">
        <w:rPr>
          <w:rStyle w:val="aff4"/>
          <w:vanish/>
          <w:rtl/>
        </w:rPr>
        <w:t>מט)</w:t>
      </w:r>
      <w:r w:rsidRPr="003B63CB">
        <w:rPr>
          <w:rStyle w:val="aff4"/>
          <w:vanish/>
          <w:rtl/>
        </w:rPr>
        <w:fldChar w:fldCharType="end"/>
      </w:r>
      <w:r w:rsidRPr="003B63CB">
        <w:rPr>
          <w:rStyle w:val="aff4"/>
          <w:rFonts w:hint="cs"/>
          <w:vanish/>
          <w:rtl/>
        </w:rPr>
        <w:t xml:space="preserve"> &gt;</w:t>
      </w:r>
      <w:r w:rsidRPr="003B63CB">
        <w:rPr>
          <w:rStyle w:val="aff4"/>
          <w:rFonts w:hint="cs"/>
          <w:rtl/>
        </w:rPr>
        <w:t>רמב"ם</w:t>
      </w:r>
      <w:r w:rsidRPr="003B63CB">
        <w:rPr>
          <w:rStyle w:val="aff4"/>
          <w:rFonts w:hint="cs"/>
          <w:vanish/>
          <w:rtl/>
        </w:rPr>
        <w:t>-</w:t>
      </w:r>
      <w:r w:rsidRPr="003B63CB">
        <w:rPr>
          <w:rFonts w:hint="cs"/>
          <w:rtl/>
        </w:rPr>
        <w:t xml:space="preserve"> </w:t>
      </w:r>
      <w:r w:rsidRPr="003B63CB">
        <w:rPr>
          <w:rStyle w:val="af2"/>
          <w:rFonts w:eastAsia="Guttman Hodes" w:hint="cs"/>
          <w:rtl/>
        </w:rPr>
        <w:t>(שבת פ"א ה"ז)</w:t>
      </w:r>
      <w:r w:rsidRPr="003B63CB">
        <w:rPr>
          <w:rFonts w:hint="cs"/>
          <w:vanish/>
          <w:rtl/>
        </w:rPr>
        <w:t>=</w:t>
      </w:r>
      <w:r w:rsidRPr="003B63CB">
        <w:rPr>
          <w:rFonts w:hint="cs"/>
          <w:rtl/>
        </w:rPr>
        <w:t xml:space="preserve"> דמלאכה שאינה צריכה לגופה חייב כגון המכבה את הנר וצריך את השמן או הפתילה שלא יאבדו או ישרפו, או כדי שלא יבקע החרס של הנר, וביאר </w:t>
      </w:r>
      <w:r w:rsidRPr="003B63CB">
        <w:rPr>
          <w:rStyle w:val="aff4"/>
          <w:rFonts w:hint="cs"/>
          <w:vanish/>
          <w:rtl/>
        </w:rPr>
        <w:t>-</w:t>
      </w:r>
      <w:r w:rsidRPr="003B63CB">
        <w:rPr>
          <w:rStyle w:val="aff4"/>
          <w:rFonts w:hint="cs"/>
          <w:rtl/>
        </w:rPr>
        <w:t>הרמב"ם</w:t>
      </w:r>
      <w:r w:rsidRPr="003B63CB">
        <w:rPr>
          <w:rStyle w:val="aff4"/>
          <w:rFonts w:hint="cs"/>
          <w:vanish/>
          <w:rtl/>
        </w:rPr>
        <w:t>-</w:t>
      </w:r>
      <w:r w:rsidRPr="003B63CB">
        <w:rPr>
          <w:rFonts w:hint="cs"/>
          <w:rtl/>
        </w:rPr>
        <w:t xml:space="preserve"> דהכיבוי הוא מלאכה והוא התכוון לכבות, ואף שא"צ את גוף הכיבוי ועשה כן בשביל דבר אחר, מ"מ חייב, והוסיף </w:t>
      </w:r>
      <w:r w:rsidRPr="003B63CB">
        <w:rPr>
          <w:rStyle w:val="aff4"/>
          <w:rFonts w:hint="cs"/>
          <w:vanish/>
          <w:rtl/>
        </w:rPr>
        <w:t>-</w:t>
      </w:r>
      <w:r w:rsidRPr="003B63CB">
        <w:rPr>
          <w:rStyle w:val="aff4"/>
          <w:rFonts w:hint="cs"/>
          <w:rtl/>
        </w:rPr>
        <w:t>הרמב"ם</w:t>
      </w:r>
      <w:r w:rsidRPr="003B63CB">
        <w:rPr>
          <w:rStyle w:val="aff4"/>
          <w:rFonts w:hint="cs"/>
          <w:vanish/>
          <w:rtl/>
        </w:rPr>
        <w:t>-</w:t>
      </w:r>
      <w:r w:rsidRPr="003B63CB">
        <w:rPr>
          <w:rFonts w:hint="cs"/>
          <w:rtl/>
        </w:rPr>
        <w:t xml:space="preserve"> דכן המעביר קוץ ד"א ברה"ר ומכבה גחלת שלא יזוקו בה רבים חייב, אף שא"צ את גוף ההעברה והכיבוי, ועושה כן רק להרחיק את הנזק.</w:t>
      </w:r>
      <w:bookmarkEnd w:id="3419"/>
    </w:p>
    <w:p w14:paraId="61E61E74" w14:textId="77777777" w:rsidR="002748A5" w:rsidRPr="00747170" w:rsidRDefault="002748A5" w:rsidP="00747170">
      <w:pPr>
        <w:pStyle w:val="a2"/>
        <w:rPr>
          <w:rtl/>
        </w:rPr>
      </w:pPr>
      <w:r w:rsidRPr="00747170">
        <w:rPr>
          <w:rtl/>
        </w:rPr>
        <w:t xml:space="preserve">כל העושה מלאכה בשבת אף על פי שאינו צריך לגופה של מלאכה חייב עליה, כיצד הרי שכבה את הנר מפני שהוא צריך לשמן או לפתילה כדי שלא יאבד או כדי שלא ישרף או כדי שלא יבקע חרש של נר חייב, מפני שהכיבוי מלאכה והרי נתכוין לכבות ואף על פי שאינו צריך לגוף הכבוי ולא כבה אלא מפני השמן או מפני החרש או מפני הפתילה הרי זה חייב, וכן המעביר את הקוץ ארבע אמות ברשות הרבים או המכבה את הגחלת כדי שלא יזוקו בהן רבים חייב ואף על פי שאינו צריך לגוף הכבוי או לגוף ההעברה אלא להרחיק ההזק הרי זה חייב וכן כל כיוצא בזה. </w:t>
      </w:r>
    </w:p>
    <w:p w14:paraId="542B293F" w14:textId="77777777" w:rsidR="002748A5" w:rsidRPr="00C12F78" w:rsidRDefault="002748A5" w:rsidP="002748A5">
      <w:pPr>
        <w:pStyle w:val="afffff7"/>
        <w:rPr>
          <w:rtl/>
        </w:rPr>
      </w:pPr>
      <w:bookmarkStart w:id="3420" w:name="_Toc140074279"/>
      <w:bookmarkStart w:id="3421" w:name="_Toc140144375"/>
      <w:bookmarkStart w:id="3422" w:name="_Toc140144851"/>
      <w:bookmarkStart w:id="3423" w:name="_Toc163505966"/>
      <w:r w:rsidRPr="00C12F78">
        <w:rPr>
          <w:rtl/>
        </w:rPr>
        <w:t>רמב"ם שבת פ"י הכ"א</w:t>
      </w:r>
      <w:bookmarkEnd w:id="3420"/>
      <w:bookmarkEnd w:id="3421"/>
      <w:r w:rsidRPr="00C12F78">
        <w:rPr>
          <w:rtl/>
        </w:rPr>
        <w:t xml:space="preserve"> (ח)</w:t>
      </w:r>
      <w:bookmarkEnd w:id="3422"/>
      <w:bookmarkEnd w:id="3423"/>
    </w:p>
    <w:p w14:paraId="16DA3F50" w14:textId="77777777" w:rsidR="002748A5" w:rsidRPr="003B63CB" w:rsidRDefault="002748A5" w:rsidP="002748A5">
      <w:pPr>
        <w:pStyle w:val="a7"/>
        <w:rPr>
          <w:rtl/>
        </w:rPr>
      </w:pPr>
      <w:bookmarkStart w:id="3424" w:name="_Toc140074206"/>
      <w:bookmarkStart w:id="3425" w:name="_Toc140092057"/>
      <w:bookmarkStart w:id="3426" w:name="_Toc140144257"/>
      <w:bookmarkStart w:id="3427" w:name="_Toc140144488"/>
      <w:r w:rsidRPr="003B63CB">
        <w:rPr>
          <w:rFonts w:hint="cs"/>
          <w:rtl/>
        </w:rPr>
        <w:t>בי' הרמב"ם דהצד שרץ לצורך או שלא לצורך או לשחק חייב דהתכוון לצוד וצד וקיי"ל כר"י</w:t>
      </w:r>
      <w:bookmarkEnd w:id="3424"/>
      <w:bookmarkEnd w:id="3425"/>
      <w:bookmarkEnd w:id="3426"/>
      <w:bookmarkEnd w:id="3427"/>
    </w:p>
    <w:p w14:paraId="4DBBA958" w14:textId="25921A81" w:rsidR="002748A5" w:rsidRPr="003B63CB" w:rsidRDefault="002748A5" w:rsidP="00BC7DC8">
      <w:pPr>
        <w:pStyle w:val="a3"/>
        <w:rPr>
          <w:rtl/>
        </w:rPr>
      </w:pPr>
      <w:bookmarkStart w:id="3428" w:name="_Ref139844137"/>
      <w:r w:rsidRPr="003B63CB">
        <w:rPr>
          <w:rFonts w:hint="cs"/>
          <w:rtl/>
        </w:rPr>
        <w:t xml:space="preserve">ועוד כתב </w:t>
      </w:r>
      <w:r w:rsidRPr="003B63CB">
        <w:rPr>
          <w:rStyle w:val="aff4"/>
          <w:rFonts w:hint="cs"/>
          <w:vanish/>
          <w:rtl/>
        </w:rPr>
        <w:t>-</w:t>
      </w:r>
      <w:r w:rsidRPr="003B63CB">
        <w:rPr>
          <w:rStyle w:val="aff4"/>
          <w:rFonts w:hint="cs"/>
          <w:rtl/>
        </w:rPr>
        <w:t>ה</w:t>
      </w:r>
      <w:bookmarkStart w:id="3429" w:name="_Hlk139844162"/>
      <w:r w:rsidRPr="003B63CB">
        <w:rPr>
          <w:rStyle w:val="aff4"/>
          <w:rFonts w:hint="cs"/>
          <w:vanish/>
          <w:rtl/>
        </w:rPr>
        <w:t xml:space="preserve">&lt;, </w:t>
      </w:r>
      <w:r w:rsidRPr="003B63CB">
        <w:rPr>
          <w:rStyle w:val="aff4"/>
          <w:vanish/>
          <w:rtl/>
        </w:rPr>
        <w:fldChar w:fldCharType="begin"/>
      </w:r>
      <w:r w:rsidRPr="003B63CB">
        <w:rPr>
          <w:rStyle w:val="aff4"/>
          <w:vanish/>
          <w:rtl/>
        </w:rPr>
        <w:instrText xml:space="preserve"> </w:instrText>
      </w:r>
      <w:r w:rsidRPr="003B63CB">
        <w:rPr>
          <w:rStyle w:val="aff4"/>
          <w:rFonts w:hint="cs"/>
          <w:vanish/>
        </w:rPr>
        <w:instrText>REF</w:instrText>
      </w:r>
      <w:r w:rsidRPr="003B63CB">
        <w:rPr>
          <w:rStyle w:val="aff4"/>
          <w:rFonts w:hint="cs"/>
          <w:vanish/>
          <w:rtl/>
        </w:rPr>
        <w:instrText xml:space="preserve"> _</w:instrText>
      </w:r>
      <w:r w:rsidRPr="003B63CB">
        <w:rPr>
          <w:rStyle w:val="aff4"/>
          <w:rFonts w:hint="cs"/>
          <w:vanish/>
        </w:rPr>
        <w:instrText>Ref139844137 \r \h</w:instrText>
      </w:r>
      <w:r w:rsidRPr="003B63CB">
        <w:rPr>
          <w:rStyle w:val="aff4"/>
          <w:vanish/>
          <w:rtl/>
        </w:rPr>
        <w:instrText xml:space="preserve">  \* </w:instrText>
      </w:r>
      <w:r w:rsidRPr="003B63CB">
        <w:rPr>
          <w:rStyle w:val="aff4"/>
          <w:vanish/>
        </w:rPr>
        <w:instrText>MERGEFORMAT</w:instrText>
      </w:r>
      <w:r w:rsidRPr="003B63CB">
        <w:rPr>
          <w:rStyle w:val="aff4"/>
          <w:vanish/>
          <w:rtl/>
        </w:rPr>
        <w:instrText xml:space="preserve"> </w:instrText>
      </w:r>
      <w:r w:rsidRPr="003B63CB">
        <w:rPr>
          <w:rStyle w:val="aff4"/>
          <w:vanish/>
          <w:rtl/>
        </w:rPr>
      </w:r>
      <w:r w:rsidRPr="003B63CB">
        <w:rPr>
          <w:rStyle w:val="aff4"/>
          <w:vanish/>
          <w:rtl/>
        </w:rPr>
        <w:fldChar w:fldCharType="separate"/>
      </w:r>
      <w:r w:rsidR="00D82181">
        <w:rPr>
          <w:rStyle w:val="aff4"/>
          <w:vanish/>
          <w:cs/>
        </w:rPr>
        <w:t>‎</w:t>
      </w:r>
      <w:r w:rsidR="00D82181">
        <w:rPr>
          <w:rStyle w:val="aff4"/>
          <w:vanish/>
          <w:rtl/>
        </w:rPr>
        <w:t>נ)</w:t>
      </w:r>
      <w:r w:rsidRPr="003B63CB">
        <w:rPr>
          <w:rStyle w:val="aff4"/>
          <w:vanish/>
          <w:rtl/>
        </w:rPr>
        <w:fldChar w:fldCharType="end"/>
      </w:r>
      <w:r w:rsidRPr="003B63CB">
        <w:rPr>
          <w:rStyle w:val="aff4"/>
          <w:rFonts w:hint="cs"/>
          <w:vanish/>
          <w:rtl/>
        </w:rPr>
        <w:t xml:space="preserve"> &gt;</w:t>
      </w:r>
      <w:r w:rsidRPr="003B63CB">
        <w:rPr>
          <w:rStyle w:val="aff4"/>
          <w:rFonts w:hint="cs"/>
          <w:rtl/>
        </w:rPr>
        <w:t>רמב"ם</w:t>
      </w:r>
      <w:r w:rsidRPr="003B63CB">
        <w:rPr>
          <w:rStyle w:val="aff4"/>
          <w:rFonts w:hint="cs"/>
          <w:vanish/>
          <w:rtl/>
        </w:rPr>
        <w:t>-</w:t>
      </w:r>
      <w:r w:rsidRPr="003B63CB">
        <w:rPr>
          <w:rFonts w:hint="cs"/>
          <w:rtl/>
        </w:rPr>
        <w:t xml:space="preserve"> </w:t>
      </w:r>
      <w:r w:rsidRPr="003B63CB">
        <w:rPr>
          <w:rStyle w:val="af2"/>
          <w:rFonts w:eastAsia="Guttman Hodes" w:hint="cs"/>
          <w:rtl/>
        </w:rPr>
        <w:t>(שבת פ"י הכ"א)</w:t>
      </w:r>
      <w:r w:rsidRPr="003B63CB">
        <w:rPr>
          <w:rFonts w:hint="cs"/>
          <w:vanish/>
          <w:rtl/>
        </w:rPr>
        <w:t>=</w:t>
      </w:r>
      <w:r w:rsidRPr="003B63CB">
        <w:rPr>
          <w:rFonts w:hint="cs"/>
          <w:rtl/>
        </w:rPr>
        <w:t xml:space="preserve"> דהצד שרץ שיש במינו נצוד חייב, בין לצורך ובין שלא לצורך או לשחק בהם, </w:t>
      </w:r>
      <w:bookmarkEnd w:id="3429"/>
      <w:r w:rsidRPr="003B63CB">
        <w:rPr>
          <w:rFonts w:hint="cs"/>
          <w:rtl/>
        </w:rPr>
        <w:t>כיון דהתכוון לצוד וצד, וקיי"ל כר"י דמלאכה שאינה צריכה לגופה חייב.</w:t>
      </w:r>
      <w:bookmarkEnd w:id="3428"/>
    </w:p>
    <w:p w14:paraId="335C612C" w14:textId="77777777" w:rsidR="002748A5" w:rsidRPr="00747170" w:rsidRDefault="002748A5" w:rsidP="00747170">
      <w:pPr>
        <w:pStyle w:val="a2"/>
        <w:rPr>
          <w:rtl/>
        </w:rPr>
      </w:pPr>
      <w:r w:rsidRPr="00747170">
        <w:rPr>
          <w:rtl/>
        </w:rPr>
        <w:t>אחד שמנה שרצים האמורין בתורה ואחד שאר שקצים ורמשים שיש למינן צידה הצד אחד מכולן בין לצורך בין שלא לצורך או לשחק בהן חייב הואיל ונתכוון לצוד וצד, שמלאכה שאינה צריכה לגופה חייב עליה</w:t>
      </w:r>
      <w:r w:rsidRPr="00747170">
        <w:rPr>
          <w:rFonts w:hint="cs"/>
          <w:rtl/>
        </w:rPr>
        <w:t>.</w:t>
      </w:r>
      <w:r w:rsidRPr="00747170">
        <w:rPr>
          <w:rtl/>
        </w:rPr>
        <w:t xml:space="preserve"> </w:t>
      </w:r>
    </w:p>
    <w:p w14:paraId="7A08A468" w14:textId="77777777" w:rsidR="002748A5" w:rsidRPr="00C12F78" w:rsidRDefault="002748A5" w:rsidP="002748A5">
      <w:pPr>
        <w:pStyle w:val="afffff7"/>
        <w:rPr>
          <w:rtl/>
        </w:rPr>
      </w:pPr>
      <w:bookmarkStart w:id="3430" w:name="_Toc140074280"/>
      <w:bookmarkStart w:id="3431" w:name="_Toc140144376"/>
      <w:bookmarkStart w:id="3432" w:name="_Toc140144852"/>
      <w:bookmarkStart w:id="3433" w:name="_Toc163505967"/>
      <w:r w:rsidRPr="00C12F78">
        <w:rPr>
          <w:rtl/>
        </w:rPr>
        <w:t xml:space="preserve">כפות תמרים סוכה ל"ג ע"ב ד"ה </w:t>
      </w:r>
      <w:r w:rsidRPr="00C12F78">
        <w:rPr>
          <w:rFonts w:hint="cs"/>
          <w:rtl/>
        </w:rPr>
        <w:t>והרמב"ם</w:t>
      </w:r>
      <w:bookmarkEnd w:id="3430"/>
      <w:bookmarkEnd w:id="3431"/>
      <w:r w:rsidRPr="00C12F78">
        <w:rPr>
          <w:rtl/>
        </w:rPr>
        <w:t xml:space="preserve"> (ח)</w:t>
      </w:r>
      <w:bookmarkEnd w:id="3432"/>
      <w:bookmarkEnd w:id="3433"/>
    </w:p>
    <w:p w14:paraId="3898184D" w14:textId="77777777" w:rsidR="002748A5" w:rsidRPr="003B63CB" w:rsidRDefault="002748A5" w:rsidP="002748A5">
      <w:pPr>
        <w:pStyle w:val="a7"/>
        <w:rPr>
          <w:rtl/>
        </w:rPr>
      </w:pPr>
      <w:bookmarkStart w:id="3434" w:name="_Toc140074207"/>
      <w:bookmarkStart w:id="3435" w:name="_Toc140092058"/>
      <w:bookmarkStart w:id="3436" w:name="_Toc140144258"/>
      <w:bookmarkStart w:id="3437" w:name="_Toc140144489"/>
      <w:r w:rsidRPr="003B63CB">
        <w:rPr>
          <w:rFonts w:hint="cs"/>
          <w:rtl/>
        </w:rPr>
        <w:t>בי' הכפו"ת ברמב"ם דמשאצל"ג בסילוק נזק כרש"י ופטור אף בפס"ר וצד לשחק הוי צריך לגופו</w:t>
      </w:r>
      <w:bookmarkEnd w:id="3434"/>
      <w:bookmarkEnd w:id="3435"/>
      <w:bookmarkEnd w:id="3436"/>
      <w:bookmarkEnd w:id="3437"/>
    </w:p>
    <w:p w14:paraId="3DE918D1" w14:textId="0B605E13" w:rsidR="002748A5" w:rsidRPr="003B63CB" w:rsidRDefault="002748A5" w:rsidP="00BC7DC8">
      <w:pPr>
        <w:pStyle w:val="a3"/>
      </w:pPr>
      <w:bookmarkStart w:id="3438" w:name="_Ref139622446"/>
      <w:bookmarkStart w:id="3439" w:name="_Ref140076206"/>
      <w:r w:rsidRPr="003B63CB">
        <w:rPr>
          <w:rFonts w:hint="cs"/>
          <w:rtl/>
        </w:rPr>
        <w:t xml:space="preserve">במ"ש </w:t>
      </w:r>
      <w:r w:rsidRPr="003B63CB">
        <w:rPr>
          <w:rStyle w:val="aff4"/>
          <w:rFonts w:hint="cs"/>
          <w:vanish/>
          <w:rtl/>
        </w:rPr>
        <w:t>-</w:t>
      </w:r>
      <w:r w:rsidRPr="003B63CB">
        <w:rPr>
          <w:rStyle w:val="aff4"/>
          <w:rFonts w:hint="cs"/>
          <w:rtl/>
        </w:rPr>
        <w:t>הרמב"ם</w:t>
      </w:r>
      <w:r w:rsidRPr="003B63CB">
        <w:rPr>
          <w:rStyle w:val="aff4"/>
          <w:rFonts w:hint="cs"/>
          <w:vanish/>
          <w:rtl/>
        </w:rPr>
        <w:t>-</w:t>
      </w:r>
      <w:r w:rsidRPr="003B63CB">
        <w:rPr>
          <w:rFonts w:hint="cs"/>
          <w:rtl/>
        </w:rPr>
        <w:t xml:space="preserve"> </w:t>
      </w:r>
      <w:r w:rsidRPr="003B63CB">
        <w:rPr>
          <w:rStyle w:val="af2"/>
          <w:rFonts w:eastAsia="Guttman Hodes" w:hint="cs"/>
          <w:rtl/>
        </w:rPr>
        <w:t xml:space="preserve">(עי' אות </w:t>
      </w:r>
      <w:r w:rsidRPr="003B63CB">
        <w:rPr>
          <w:rStyle w:val="af2"/>
          <w:rFonts w:eastAsia="Guttman Hodes"/>
          <w:rtl/>
        </w:rPr>
        <w:fldChar w:fldCharType="begin"/>
      </w:r>
      <w:r w:rsidRPr="003B63CB">
        <w:rPr>
          <w:rStyle w:val="af2"/>
          <w:rFonts w:eastAsia="Guttman Hodes"/>
          <w:rtl/>
        </w:rPr>
        <w:instrText xml:space="preserve"> </w:instrText>
      </w:r>
      <w:r w:rsidRPr="003B63CB">
        <w:rPr>
          <w:rStyle w:val="af2"/>
          <w:rFonts w:eastAsia="Guttman Hodes" w:hint="cs"/>
        </w:rPr>
        <w:instrText>REF</w:instrText>
      </w:r>
      <w:r w:rsidRPr="003B63CB">
        <w:rPr>
          <w:rStyle w:val="af2"/>
          <w:rFonts w:eastAsia="Guttman Hodes" w:hint="cs"/>
          <w:rtl/>
        </w:rPr>
        <w:instrText xml:space="preserve"> _</w:instrText>
      </w:r>
      <w:r w:rsidRPr="003B63CB">
        <w:rPr>
          <w:rStyle w:val="af2"/>
          <w:rFonts w:eastAsia="Guttman Hodes" w:hint="cs"/>
        </w:rPr>
        <w:instrText>Ref139623508 \r \h</w:instrText>
      </w:r>
      <w:r w:rsidRPr="003B63CB">
        <w:rPr>
          <w:rStyle w:val="af2"/>
          <w:rFonts w:eastAsia="Guttman Hodes"/>
          <w:rtl/>
        </w:rPr>
        <w:instrText xml:space="preserve">  \* </w:instrText>
      </w:r>
      <w:r w:rsidRPr="003B63CB">
        <w:rPr>
          <w:rStyle w:val="af2"/>
          <w:rFonts w:eastAsia="Guttman Hodes"/>
        </w:rPr>
        <w:instrText>MERGEFORMAT</w:instrText>
      </w:r>
      <w:r w:rsidRPr="003B63CB">
        <w:rPr>
          <w:rStyle w:val="af2"/>
          <w:rFonts w:eastAsia="Guttman Hodes"/>
          <w:rtl/>
        </w:rPr>
        <w:instrText xml:space="preserve"> </w:instrText>
      </w:r>
      <w:r w:rsidRPr="003B63CB">
        <w:rPr>
          <w:rStyle w:val="af2"/>
          <w:rFonts w:eastAsia="Guttman Hodes"/>
          <w:rtl/>
        </w:rPr>
      </w:r>
      <w:r w:rsidRPr="003B63CB">
        <w:rPr>
          <w:rStyle w:val="af2"/>
          <w:rFonts w:eastAsia="Guttman Hodes"/>
          <w:rtl/>
        </w:rPr>
        <w:fldChar w:fldCharType="separate"/>
      </w:r>
      <w:r w:rsidR="00D82181">
        <w:rPr>
          <w:rStyle w:val="af2"/>
          <w:rFonts w:eastAsia="Guttman Hodes"/>
          <w:cs/>
        </w:rPr>
        <w:t>‎</w:t>
      </w:r>
      <w:r w:rsidR="00D82181">
        <w:rPr>
          <w:rStyle w:val="af2"/>
          <w:rFonts w:eastAsia="Guttman Hodes"/>
          <w:rtl/>
        </w:rPr>
        <w:t>מט)</w:t>
      </w:r>
      <w:r w:rsidRPr="003B63CB">
        <w:rPr>
          <w:rStyle w:val="af2"/>
          <w:rFonts w:eastAsia="Guttman Hodes"/>
          <w:rtl/>
        </w:rPr>
        <w:fldChar w:fldCharType="end"/>
      </w:r>
      <w:r w:rsidRPr="003B63CB">
        <w:rPr>
          <w:rFonts w:hint="cs"/>
          <w:rtl/>
        </w:rPr>
        <w:t xml:space="preserve"> דקיי"ל כר"י מלאכה שאינה צריכה לגופה חייב אף כשעושה כן להרחיק את הנזק, ביאר</w:t>
      </w:r>
      <w:r w:rsidRPr="003B63CB">
        <w:rPr>
          <w:rtl/>
        </w:rPr>
        <w:t xml:space="preserve"> </w:t>
      </w:r>
      <w:r w:rsidRPr="003B63CB">
        <w:rPr>
          <w:rStyle w:val="aff4"/>
          <w:vanish/>
          <w:rtl/>
        </w:rPr>
        <w:t>-</w:t>
      </w:r>
      <w:r w:rsidRPr="003B63CB">
        <w:rPr>
          <w:rStyle w:val="aff4"/>
          <w:rtl/>
        </w:rPr>
        <w:t>ה</w:t>
      </w:r>
      <w:r w:rsidRPr="003B63CB">
        <w:rPr>
          <w:rStyle w:val="aff4"/>
          <w:vanish/>
          <w:rtl/>
        </w:rPr>
        <w:t xml:space="preserve">&lt;, </w:t>
      </w:r>
      <w:r w:rsidRPr="003B63CB">
        <w:rPr>
          <w:rStyle w:val="aff4"/>
          <w:vanish/>
          <w:rtl/>
        </w:rPr>
        <w:fldChar w:fldCharType="begin"/>
      </w:r>
      <w:r w:rsidRPr="003B63CB">
        <w:rPr>
          <w:rStyle w:val="aff4"/>
          <w:vanish/>
          <w:rtl/>
        </w:rPr>
        <w:instrText xml:space="preserve"> </w:instrText>
      </w:r>
      <w:r w:rsidRPr="003B63CB">
        <w:rPr>
          <w:rStyle w:val="aff4"/>
          <w:vanish/>
        </w:rPr>
        <w:instrText>REF</w:instrText>
      </w:r>
      <w:r w:rsidRPr="003B63CB">
        <w:rPr>
          <w:rStyle w:val="aff4"/>
          <w:vanish/>
          <w:rtl/>
        </w:rPr>
        <w:instrText xml:space="preserve"> _</w:instrText>
      </w:r>
      <w:r w:rsidRPr="003B63CB">
        <w:rPr>
          <w:rStyle w:val="aff4"/>
          <w:vanish/>
        </w:rPr>
        <w:instrText>Ref139622446 \r \h</w:instrText>
      </w:r>
      <w:r w:rsidRPr="003B63CB">
        <w:rPr>
          <w:rStyle w:val="aff4"/>
          <w:vanish/>
          <w:rtl/>
        </w:rPr>
        <w:instrText xml:space="preserve">  \* </w:instrText>
      </w:r>
      <w:r w:rsidRPr="003B63CB">
        <w:rPr>
          <w:rStyle w:val="aff4"/>
          <w:vanish/>
        </w:rPr>
        <w:instrText>MERGEFORMAT</w:instrText>
      </w:r>
      <w:r w:rsidRPr="003B63CB">
        <w:rPr>
          <w:rStyle w:val="aff4"/>
          <w:vanish/>
          <w:rtl/>
        </w:rPr>
        <w:instrText xml:space="preserve"> </w:instrText>
      </w:r>
      <w:r w:rsidRPr="003B63CB">
        <w:rPr>
          <w:rStyle w:val="aff4"/>
          <w:vanish/>
          <w:rtl/>
        </w:rPr>
      </w:r>
      <w:r w:rsidRPr="003B63CB">
        <w:rPr>
          <w:rStyle w:val="aff4"/>
          <w:vanish/>
          <w:rtl/>
        </w:rPr>
        <w:fldChar w:fldCharType="separate"/>
      </w:r>
      <w:r w:rsidR="00D82181">
        <w:rPr>
          <w:rStyle w:val="aff4"/>
          <w:vanish/>
          <w:cs/>
        </w:rPr>
        <w:t>‎</w:t>
      </w:r>
      <w:r w:rsidR="00D82181">
        <w:rPr>
          <w:rStyle w:val="aff4"/>
          <w:vanish/>
          <w:rtl/>
        </w:rPr>
        <w:t>נא)</w:t>
      </w:r>
      <w:r w:rsidRPr="003B63CB">
        <w:rPr>
          <w:rStyle w:val="aff4"/>
          <w:vanish/>
          <w:rtl/>
        </w:rPr>
        <w:fldChar w:fldCharType="end"/>
      </w:r>
      <w:r w:rsidRPr="003B63CB">
        <w:rPr>
          <w:rStyle w:val="aff4"/>
          <w:vanish/>
          <w:rtl/>
        </w:rPr>
        <w:t xml:space="preserve"> &gt;</w:t>
      </w:r>
      <w:r w:rsidRPr="003B63CB">
        <w:rPr>
          <w:rStyle w:val="aff4"/>
          <w:rtl/>
        </w:rPr>
        <w:t>כפות תמרים</w:t>
      </w:r>
      <w:r w:rsidRPr="003B63CB">
        <w:rPr>
          <w:rStyle w:val="aff4"/>
          <w:vanish/>
          <w:rtl/>
        </w:rPr>
        <w:t>-</w:t>
      </w:r>
      <w:r w:rsidRPr="003B63CB">
        <w:rPr>
          <w:rtl/>
        </w:rPr>
        <w:t xml:space="preserve"> </w:t>
      </w:r>
      <w:r w:rsidRPr="003B63CB">
        <w:rPr>
          <w:rStyle w:val="af2"/>
          <w:rFonts w:eastAsia="Guttman Hodes"/>
          <w:rtl/>
        </w:rPr>
        <w:t xml:space="preserve">(סוכה ל"ג ע"ב ד"ה </w:t>
      </w:r>
      <w:r w:rsidRPr="003B63CB">
        <w:rPr>
          <w:rStyle w:val="af2"/>
          <w:rFonts w:eastAsia="Guttman Hodes" w:hint="cs"/>
          <w:rtl/>
        </w:rPr>
        <w:t>והרמב"ם</w:t>
      </w:r>
      <w:r w:rsidRPr="003B63CB">
        <w:rPr>
          <w:rStyle w:val="af2"/>
          <w:rFonts w:eastAsia="Guttman Hodes"/>
          <w:rtl/>
        </w:rPr>
        <w:t>)</w:t>
      </w:r>
      <w:r w:rsidRPr="003B63CB">
        <w:rPr>
          <w:vanish/>
          <w:rtl/>
        </w:rPr>
        <w:t>=</w:t>
      </w:r>
      <w:bookmarkEnd w:id="3438"/>
      <w:r w:rsidRPr="003B63CB">
        <w:rPr>
          <w:rtl/>
        </w:rPr>
        <w:t xml:space="preserve"> </w:t>
      </w:r>
      <w:r w:rsidRPr="003B63CB">
        <w:rPr>
          <w:rFonts w:hint="cs"/>
          <w:rtl/>
        </w:rPr>
        <w:t xml:space="preserve">דמשמע דס"ל </w:t>
      </w:r>
      <w:r w:rsidRPr="003B63CB">
        <w:rPr>
          <w:rStyle w:val="aff4"/>
          <w:rFonts w:hint="cs"/>
          <w:vanish/>
          <w:rtl/>
        </w:rPr>
        <w:t>-</w:t>
      </w:r>
      <w:r w:rsidRPr="003B63CB">
        <w:rPr>
          <w:rStyle w:val="aff4"/>
          <w:rFonts w:hint="cs"/>
          <w:rtl/>
        </w:rPr>
        <w:t>להרמב"ם</w:t>
      </w:r>
      <w:r w:rsidRPr="003B63CB">
        <w:rPr>
          <w:rStyle w:val="aff4"/>
          <w:rFonts w:hint="cs"/>
          <w:vanish/>
          <w:rtl/>
        </w:rPr>
        <w:t>-</w:t>
      </w:r>
      <w:r w:rsidRPr="003B63CB">
        <w:rPr>
          <w:rFonts w:hint="cs"/>
          <w:rtl/>
        </w:rPr>
        <w:t xml:space="preserve"> כדעת </w:t>
      </w:r>
      <w:r w:rsidRPr="003B63CB">
        <w:rPr>
          <w:rStyle w:val="aff4"/>
          <w:rFonts w:hint="cs"/>
          <w:vanish/>
          <w:rtl/>
        </w:rPr>
        <w:t>-</w:t>
      </w:r>
      <w:r w:rsidRPr="003B63CB">
        <w:rPr>
          <w:rStyle w:val="aff4"/>
          <w:rFonts w:hint="cs"/>
          <w:rtl/>
        </w:rPr>
        <w:t>רש"י</w:t>
      </w:r>
      <w:r w:rsidRPr="003B63CB">
        <w:rPr>
          <w:rFonts w:hint="cs"/>
          <w:rtl/>
        </w:rPr>
        <w:t xml:space="preserve"> </w:t>
      </w:r>
      <w:r w:rsidRPr="003B63CB">
        <w:rPr>
          <w:rStyle w:val="aff4"/>
          <w:rFonts w:hint="cs"/>
          <w:rtl/>
        </w:rPr>
        <w:t>והר"ן</w:t>
      </w:r>
      <w:r w:rsidRPr="003B63CB">
        <w:rPr>
          <w:rStyle w:val="aff4"/>
          <w:rFonts w:hint="cs"/>
          <w:vanish/>
          <w:rtl/>
        </w:rPr>
        <w:t>-</w:t>
      </w:r>
      <w:r w:rsidRPr="003B63CB">
        <w:rPr>
          <w:rFonts w:hint="cs"/>
          <w:rtl/>
        </w:rPr>
        <w:t xml:space="preserve"> </w:t>
      </w:r>
      <w:r w:rsidRPr="003B63CB">
        <w:rPr>
          <w:rStyle w:val="af2"/>
          <w:rFonts w:eastAsia="Guttman Hodes" w:hint="cs"/>
          <w:rtl/>
        </w:rPr>
        <w:t xml:space="preserve">(עי' אות </w:t>
      </w:r>
      <w:r w:rsidRPr="003B63CB">
        <w:rPr>
          <w:rStyle w:val="af2"/>
          <w:rFonts w:eastAsia="Guttman Hodes"/>
          <w:rtl/>
        </w:rPr>
        <w:fldChar w:fldCharType="begin"/>
      </w:r>
      <w:r w:rsidRPr="003B63CB">
        <w:rPr>
          <w:rStyle w:val="af2"/>
          <w:rFonts w:eastAsia="Guttman Hodes"/>
          <w:rtl/>
        </w:rPr>
        <w:instrText xml:space="preserve"> </w:instrText>
      </w:r>
      <w:r w:rsidRPr="003B63CB">
        <w:rPr>
          <w:rStyle w:val="af2"/>
          <w:rFonts w:eastAsia="Guttman Hodes" w:hint="cs"/>
        </w:rPr>
        <w:instrText>REF</w:instrText>
      </w:r>
      <w:r w:rsidRPr="003B63CB">
        <w:rPr>
          <w:rStyle w:val="af2"/>
          <w:rFonts w:eastAsia="Guttman Hodes" w:hint="cs"/>
          <w:rtl/>
        </w:rPr>
        <w:instrText xml:space="preserve"> _</w:instrText>
      </w:r>
      <w:r w:rsidRPr="003B63CB">
        <w:rPr>
          <w:rStyle w:val="af2"/>
          <w:rFonts w:eastAsia="Guttman Hodes" w:hint="cs"/>
        </w:rPr>
        <w:instrText>Ref139359821 \r \h</w:instrText>
      </w:r>
      <w:r w:rsidRPr="003B63CB">
        <w:rPr>
          <w:rStyle w:val="af2"/>
          <w:rFonts w:eastAsia="Guttman Hodes"/>
          <w:rtl/>
        </w:rPr>
        <w:instrText xml:space="preserve">  \* </w:instrText>
      </w:r>
      <w:r w:rsidRPr="003B63CB">
        <w:rPr>
          <w:rStyle w:val="af2"/>
          <w:rFonts w:eastAsia="Guttman Hodes"/>
        </w:rPr>
        <w:instrText>MERGEFORMAT</w:instrText>
      </w:r>
      <w:r w:rsidRPr="003B63CB">
        <w:rPr>
          <w:rStyle w:val="af2"/>
          <w:rFonts w:eastAsia="Guttman Hodes"/>
          <w:rtl/>
        </w:rPr>
        <w:instrText xml:space="preserve"> </w:instrText>
      </w:r>
      <w:r w:rsidRPr="003B63CB">
        <w:rPr>
          <w:rStyle w:val="af2"/>
          <w:rFonts w:eastAsia="Guttman Hodes"/>
          <w:rtl/>
        </w:rPr>
      </w:r>
      <w:r w:rsidRPr="003B63CB">
        <w:rPr>
          <w:rStyle w:val="af2"/>
          <w:rFonts w:eastAsia="Guttman Hodes"/>
          <w:rtl/>
        </w:rPr>
        <w:fldChar w:fldCharType="separate"/>
      </w:r>
      <w:r w:rsidR="00D82181">
        <w:rPr>
          <w:rStyle w:val="af2"/>
          <w:rFonts w:eastAsia="Guttman Hodes"/>
          <w:cs/>
        </w:rPr>
        <w:t>‎</w:t>
      </w:r>
      <w:r w:rsidR="00D82181">
        <w:rPr>
          <w:rStyle w:val="af2"/>
          <w:rFonts w:eastAsia="Guttman Hodes"/>
          <w:rtl/>
        </w:rPr>
        <w:t>ב)</w:t>
      </w:r>
      <w:r w:rsidRPr="003B63CB">
        <w:rPr>
          <w:rStyle w:val="af2"/>
          <w:rFonts w:eastAsia="Guttman Hodes"/>
          <w:rtl/>
        </w:rPr>
        <w:fldChar w:fldCharType="end"/>
      </w:r>
      <w:r w:rsidRPr="003B63CB">
        <w:rPr>
          <w:rFonts w:hint="cs"/>
          <w:rtl/>
        </w:rPr>
        <w:t xml:space="preserve"> דמלאכה שאינה צריכה לגופה הוא כשעושה מלאכה לסלק את הנזק, ולכן אעפ"י דהוא פסיק רישיה מ"מ פטור לר"ש, כיון דלא ניחא ליה במלאכה ועושה אותה רק לסלק את הנזק, </w:t>
      </w:r>
      <w:r w:rsidRPr="003B63CB">
        <w:rPr>
          <w:rStyle w:val="af"/>
          <w:rFonts w:hint="cs"/>
          <w:rtl/>
        </w:rPr>
        <w:t xml:space="preserve">[ועיי"ש במה שהקשה </w:t>
      </w:r>
      <w:r w:rsidRPr="003B63CB">
        <w:rPr>
          <w:rStyle w:val="aff9"/>
          <w:rFonts w:hint="cs"/>
          <w:vanish/>
          <w:rtl/>
        </w:rPr>
        <w:t>-</w:t>
      </w:r>
      <w:r w:rsidRPr="003B63CB">
        <w:rPr>
          <w:rStyle w:val="aff9"/>
          <w:rFonts w:hint="cs"/>
          <w:rtl/>
        </w:rPr>
        <w:t>הכפות תמרים</w:t>
      </w:r>
      <w:r w:rsidRPr="003B63CB">
        <w:rPr>
          <w:rStyle w:val="aff9"/>
          <w:rFonts w:hint="cs"/>
          <w:vanish/>
          <w:rtl/>
        </w:rPr>
        <w:t>-</w:t>
      </w:r>
      <w:r w:rsidRPr="003B63CB">
        <w:rPr>
          <w:rStyle w:val="af"/>
          <w:rFonts w:hint="cs"/>
          <w:rtl/>
        </w:rPr>
        <w:t xml:space="preserve"> על דברי </w:t>
      </w:r>
      <w:r w:rsidRPr="003B63CB">
        <w:rPr>
          <w:rStyle w:val="aff9"/>
          <w:rFonts w:hint="cs"/>
          <w:vanish/>
          <w:rtl/>
        </w:rPr>
        <w:t>-</w:t>
      </w:r>
      <w:r w:rsidRPr="003B63CB">
        <w:rPr>
          <w:rStyle w:val="aff9"/>
          <w:rFonts w:hint="cs"/>
          <w:rtl/>
        </w:rPr>
        <w:t>הרמב"ם</w:t>
      </w:r>
      <w:r w:rsidRPr="003B63CB">
        <w:rPr>
          <w:rStyle w:val="aff9"/>
          <w:rFonts w:hint="cs"/>
          <w:vanish/>
          <w:rtl/>
        </w:rPr>
        <w:t>-</w:t>
      </w:r>
      <w:r w:rsidRPr="003B63CB">
        <w:rPr>
          <w:rStyle w:val="af"/>
          <w:rFonts w:hint="cs"/>
          <w:rtl/>
        </w:rPr>
        <w:t xml:space="preserve"> בדין פסיק רישיה, ובמ"ש בדעת </w:t>
      </w:r>
      <w:r w:rsidRPr="003B63CB">
        <w:rPr>
          <w:rStyle w:val="aff9"/>
          <w:rFonts w:hint="cs"/>
          <w:vanish/>
          <w:rtl/>
        </w:rPr>
        <w:t>-</w:t>
      </w:r>
      <w:r w:rsidRPr="003B63CB">
        <w:rPr>
          <w:rStyle w:val="aff9"/>
          <w:rFonts w:hint="cs"/>
          <w:rtl/>
        </w:rPr>
        <w:t>רש"י</w:t>
      </w:r>
      <w:r w:rsidRPr="003B63CB">
        <w:rPr>
          <w:rStyle w:val="aff9"/>
          <w:rFonts w:hint="cs"/>
          <w:vanish/>
          <w:rtl/>
        </w:rPr>
        <w:t>-</w:t>
      </w:r>
      <w:r w:rsidRPr="003B63CB">
        <w:rPr>
          <w:rStyle w:val="af"/>
          <w:rFonts w:hint="cs"/>
          <w:rtl/>
        </w:rPr>
        <w:t xml:space="preserve"> בזה, ובדברי </w:t>
      </w:r>
      <w:r w:rsidRPr="003B63CB">
        <w:rPr>
          <w:rStyle w:val="aff9"/>
          <w:rFonts w:hint="cs"/>
          <w:vanish/>
          <w:rtl/>
        </w:rPr>
        <w:t>-</w:t>
      </w:r>
      <w:r w:rsidRPr="003B63CB">
        <w:rPr>
          <w:rStyle w:val="aff9"/>
          <w:rFonts w:hint="cs"/>
          <w:rtl/>
        </w:rPr>
        <w:t>הערוך</w:t>
      </w:r>
      <w:r w:rsidRPr="003B63CB">
        <w:rPr>
          <w:rStyle w:val="aff9"/>
          <w:rFonts w:hint="cs"/>
          <w:vanish/>
          <w:rtl/>
        </w:rPr>
        <w:t>-</w:t>
      </w:r>
      <w:r w:rsidRPr="003B63CB">
        <w:rPr>
          <w:rStyle w:val="af"/>
          <w:rFonts w:hint="cs"/>
          <w:rtl/>
        </w:rPr>
        <w:t xml:space="preserve"> בפסיק רישיה דלא ניחא ליה],</w:t>
      </w:r>
      <w:r w:rsidRPr="003B63CB">
        <w:rPr>
          <w:rFonts w:hint="cs"/>
          <w:rtl/>
        </w:rPr>
        <w:t xml:space="preserve"> ועי' במ"ש </w:t>
      </w:r>
      <w:r w:rsidRPr="003B63CB">
        <w:rPr>
          <w:rStyle w:val="aff4"/>
          <w:rFonts w:hint="cs"/>
          <w:vanish/>
          <w:rtl/>
        </w:rPr>
        <w:t>-</w:t>
      </w:r>
      <w:r w:rsidRPr="003B63CB">
        <w:rPr>
          <w:rStyle w:val="aff4"/>
          <w:rFonts w:hint="cs"/>
          <w:rtl/>
        </w:rPr>
        <w:t>הכפות תמרים</w:t>
      </w:r>
      <w:r w:rsidRPr="003B63CB">
        <w:rPr>
          <w:rStyle w:val="aff4"/>
          <w:rFonts w:hint="cs"/>
          <w:vanish/>
          <w:rtl/>
        </w:rPr>
        <w:t>-</w:t>
      </w:r>
      <w:r w:rsidRPr="003B63CB">
        <w:rPr>
          <w:rFonts w:hint="cs"/>
          <w:rtl/>
        </w:rPr>
        <w:t xml:space="preserve"> </w:t>
      </w:r>
      <w:r w:rsidRPr="003B63C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Ref140077384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w:t>
      </w:r>
      <w:r>
        <w:rPr>
          <w:rStyle w:val="af2"/>
          <w:rFonts w:eastAsia="Guttman Hodes"/>
          <w:rtl/>
        </w:rPr>
        <w:fldChar w:fldCharType="end"/>
      </w:r>
      <w:r w:rsidRPr="003B63CB">
        <w:rPr>
          <w:rFonts w:hint="cs"/>
          <w:rtl/>
        </w:rPr>
        <w:t xml:space="preserve"> דהנ"מ בין </w:t>
      </w:r>
      <w:r w:rsidRPr="003B63CB">
        <w:rPr>
          <w:rStyle w:val="aff4"/>
          <w:rFonts w:hint="cs"/>
          <w:vanish/>
          <w:rtl/>
        </w:rPr>
        <w:t>-</w:t>
      </w:r>
      <w:r w:rsidRPr="003B63CB">
        <w:rPr>
          <w:rStyle w:val="aff4"/>
          <w:rFonts w:hint="cs"/>
          <w:rtl/>
        </w:rPr>
        <w:t>רש"י לתוס'</w:t>
      </w:r>
      <w:r w:rsidRPr="003B63CB">
        <w:rPr>
          <w:rStyle w:val="aff4"/>
          <w:rFonts w:hint="cs"/>
          <w:vanish/>
          <w:rtl/>
        </w:rPr>
        <w:t>-</w:t>
      </w:r>
      <w:r w:rsidRPr="003B63CB">
        <w:rPr>
          <w:rFonts w:hint="cs"/>
          <w:rtl/>
        </w:rPr>
        <w:t xml:space="preserve"> היא בצד נחש לשחק בו, דלדעת </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כיון דאינו למנוע נזק הוי מלאכה שצריכה לגופה, </w:t>
      </w:r>
      <w:r w:rsidRPr="003B63CB">
        <w:rPr>
          <w:rStyle w:val="aff4"/>
          <w:rFonts w:hint="cs"/>
          <w:vanish/>
          <w:rtl/>
        </w:rPr>
        <w:t>-</w:t>
      </w:r>
      <w:r w:rsidRPr="003B63CB">
        <w:rPr>
          <w:rStyle w:val="aff4"/>
          <w:rFonts w:hint="cs"/>
          <w:rtl/>
        </w:rPr>
        <w:t>ולתוס'</w:t>
      </w:r>
      <w:r w:rsidRPr="003B63CB">
        <w:rPr>
          <w:rStyle w:val="aff4"/>
          <w:rFonts w:hint="cs"/>
          <w:vanish/>
          <w:rtl/>
        </w:rPr>
        <w:t>-</w:t>
      </w:r>
      <w:r w:rsidRPr="003B63CB">
        <w:rPr>
          <w:rFonts w:hint="cs"/>
          <w:rtl/>
        </w:rPr>
        <w:t xml:space="preserve"> לא דמי לצורך שהיה במשכן, והוי מלאכה שאינה צריכה לגופה, וכיון דביאר דדעת </w:t>
      </w:r>
      <w:r w:rsidRPr="003B63CB">
        <w:rPr>
          <w:rStyle w:val="aff4"/>
          <w:rFonts w:hint="cs"/>
          <w:vanish/>
          <w:rtl/>
        </w:rPr>
        <w:t>-</w:t>
      </w:r>
      <w:r w:rsidRPr="003B63CB">
        <w:rPr>
          <w:rStyle w:val="aff4"/>
          <w:rFonts w:hint="cs"/>
          <w:rtl/>
        </w:rPr>
        <w:t>הרמב"ם כרש"י</w:t>
      </w:r>
      <w:r w:rsidRPr="003B63CB">
        <w:rPr>
          <w:rStyle w:val="aff4"/>
          <w:rFonts w:hint="cs"/>
          <w:vanish/>
          <w:rtl/>
        </w:rPr>
        <w:t>-</w:t>
      </w:r>
      <w:r w:rsidRPr="003B63CB">
        <w:rPr>
          <w:rFonts w:hint="cs"/>
          <w:rtl/>
        </w:rPr>
        <w:t xml:space="preserve"> א"כ מבואר </w:t>
      </w:r>
      <w:r w:rsidRPr="003B63CB">
        <w:rPr>
          <w:rStyle w:val="aff4"/>
          <w:rFonts w:hint="cs"/>
          <w:vanish/>
          <w:rtl/>
        </w:rPr>
        <w:t>-</w:t>
      </w:r>
      <w:r w:rsidRPr="003B63CB">
        <w:rPr>
          <w:rStyle w:val="aff4"/>
          <w:rFonts w:hint="cs"/>
          <w:rtl/>
        </w:rPr>
        <w:t>דלהרמב"ם</w:t>
      </w:r>
      <w:r w:rsidRPr="003B63CB">
        <w:rPr>
          <w:rStyle w:val="aff4"/>
          <w:rFonts w:hint="cs"/>
          <w:vanish/>
          <w:rtl/>
        </w:rPr>
        <w:t>-</w:t>
      </w:r>
      <w:r w:rsidRPr="003B63CB">
        <w:rPr>
          <w:rFonts w:hint="cs"/>
          <w:rtl/>
        </w:rPr>
        <w:t xml:space="preserve"> צידה ע"מ לשחק הוי מלאכה שצריכה לגופה.</w:t>
      </w:r>
      <w:bookmarkEnd w:id="3439"/>
    </w:p>
    <w:p w14:paraId="3269D169" w14:textId="77777777" w:rsidR="002748A5" w:rsidRPr="00747170" w:rsidRDefault="002748A5" w:rsidP="00747170">
      <w:pPr>
        <w:pStyle w:val="a2"/>
        <w:rPr>
          <w:rtl/>
        </w:rPr>
      </w:pPr>
      <w:r w:rsidRPr="00747170">
        <w:rPr>
          <w:rtl/>
        </w:rPr>
        <w:t>והרמב"ם פ"א דשבת דין ז' יראה ברור מדבריו דמלאכה שא"צ ר"ל שעושה המלאכה לדחות ההיזק מעליו וזהו כדעת רש"י והר"ן פ' המצניע (דף צג) דפי' גבי מה ששנינו המוציא המת פטור לר"ש משום דהוי מלאכה שאין צריך לגופה כלומר דעושה מלאכת הוצאה לסלק היזק הטומאה מעליו ואף על גב דהוי פסיק רישיה דא"א שלא תעשה המלאכה של ההוצאה אפ"ה פטור לר"ש משום דלא ניחא במלאכת ההוצאה ואינו עושה אותה אלא לסליק ההיזק מעליו ומאי דאמרי' בעלמא מודה ר"ש בפסיק רישיה פירש הרמב"ם פ"א דין ו' הרי שצריך לראש עוף וכו' מתוך מ"ש שאין סוף מגמתו להריגת העוף בלבד משמע דמיירי דהוא מכוין בחתיכת ראש העוף לב' כונות שיצחוק הקטן בראש העוף ודבר זה קשה בעיני דל"ל טעמא דהוא מכוין גם להריגת העוף אפילו שלא יכוין כלל אלא לצחוק הקטן בראש העוף ואלו היו לו ראש עוף חתוך לא היה חותך ראש עוף זה ועתה דאין לו חותך ראש עוף זה כדי שיצחוק הקטן ונמצא דלא כיון להריגת העוף כלל אפ"ה כיון דהריגת העוף הוא מוכרחת לפי' מודה ר"ש דחייב ולא הוי מלאכה שא"צ דפטור לר"ש דפירוש מלאכה שא"צ הוא כשעושה המלאכה לסלק היזק מעליו כמו שהוכחתי מדברי הרמב"ם ורש"י והר"ן ולכן דברי רמב"ם צ"ע במה שהאריך שיכוין גם להריגת העוף:</w:t>
      </w:r>
    </w:p>
    <w:p w14:paraId="20936790" w14:textId="77777777" w:rsidR="002748A5" w:rsidRPr="00695703" w:rsidRDefault="002748A5" w:rsidP="00747170">
      <w:pPr>
        <w:pStyle w:val="afffff5"/>
        <w:rPr>
          <w:rtl/>
        </w:rPr>
      </w:pPr>
      <w:r w:rsidRPr="00695703">
        <w:rPr>
          <w:rtl/>
        </w:rPr>
        <w:t>אמנם רש"י ז"ל הכא בשמעתין כתב מודה ר"ש בפסיק רישיה באו' אחתוך ראש בהמה זו בשבת ואיני רוצה שתמות וכו' ודבריו הם תמוהים בעיני הרבה דאם אינו רוצה שתמות בכה"ג פטור לר"ש כדאיתא פרק כלל גדול (דף עא) גבי פוצע חלזון דפרכינן דנחייב משום נטילת נשמה דמודה ר"ש בפסיק רישיה ומשני שאני הכא דכמה דאית ביה נשמה טפי ניחא ליה הרי בהדיא דהיכא דלא ניחא ליה שתמות אף על גב דהוי פסיק רישיה פטור לר"ש וצ"ע. ואל יעלה בדעתך לומר דפסיק רישיה דלא ניחא אינו מותר רק לדעת הערוך בערך פסק וכל הפוסקים חולקין עליו ותרצה לתרץ דרש"י אזיל בשיטת כל הפוסקים דחולקים על הערוך דזה ודאי אינו דמה שחלקו על הערוך הוא משום דהערוך ס"ל דפסיק רישיה דלא ניחא ליה מותר ואהא חלקו עליו דאינו מותר רק אסור מדרבנן כמ"ש בא"ח ס"ס ש"ך אבל לענין חיוב דאורייתא לא אמרינן מודה ר"ש בפסיק רישיה אלא במידי דניחא ליה אי מתרמי לדעת התוס' או במידי דלא אכפת ליה אי מתרמי לדעת רש"י כדאיתא פרק כלל גדול (דף עה) אבל במידי דלא ניחא ליה אף על גב דהוא פסיק רישיה בזה לא ימצא שום סברא דחייב מן התורה וכשאמרו בשמעתין והא מודה ר"ש בפסיק רישיה היינו לענין חיוב מן התורה וא"כ לא הי"ל לרש"י לומר באומר אחתוך ראש בהמה זו בשבת וכו' דאם אינו רוצה שתמות אינו מודה ר"ש דחייב אף על גב דהוי פסיק רישיה דלא ניחא ליה ודוק:</w:t>
      </w:r>
    </w:p>
    <w:p w14:paraId="51F8BE8D" w14:textId="77777777" w:rsidR="002748A5" w:rsidRPr="00C12F78" w:rsidRDefault="002748A5" w:rsidP="002748A5">
      <w:pPr>
        <w:pStyle w:val="afffff7"/>
        <w:rPr>
          <w:rtl/>
        </w:rPr>
      </w:pPr>
      <w:bookmarkStart w:id="3440" w:name="_Toc140074281"/>
      <w:bookmarkStart w:id="3441" w:name="_Toc140144377"/>
      <w:bookmarkStart w:id="3442" w:name="_Toc140144853"/>
      <w:bookmarkStart w:id="3443" w:name="_Toc163505968"/>
      <w:r w:rsidRPr="00C12F78">
        <w:rPr>
          <w:rtl/>
        </w:rPr>
        <w:t>חזון איש או</w:t>
      </w:r>
      <w:r w:rsidRPr="00C12F78">
        <w:rPr>
          <w:rFonts w:cs="Guttman Hodes" w:hint="cs"/>
          <w:rtl/>
        </w:rPr>
        <w:t>"</w:t>
      </w:r>
      <w:r w:rsidRPr="00C12F78">
        <w:rPr>
          <w:rFonts w:hint="cs"/>
          <w:rtl/>
        </w:rPr>
        <w:t>ח סי'</w:t>
      </w:r>
      <w:r w:rsidRPr="00C12F78">
        <w:rPr>
          <w:rtl/>
        </w:rPr>
        <w:t xml:space="preserve"> נ</w:t>
      </w:r>
      <w:r w:rsidRPr="00C12F78">
        <w:rPr>
          <w:rFonts w:hint="cs"/>
          <w:rtl/>
        </w:rPr>
        <w:t>'</w:t>
      </w:r>
      <w:r w:rsidRPr="00C12F78">
        <w:rPr>
          <w:rtl/>
        </w:rPr>
        <w:t xml:space="preserve"> </w:t>
      </w:r>
      <w:r w:rsidRPr="00C12F78">
        <w:rPr>
          <w:rFonts w:hint="cs"/>
          <w:rtl/>
        </w:rPr>
        <w:t>סוס</w:t>
      </w:r>
      <w:r w:rsidRPr="00C12F78">
        <w:rPr>
          <w:rFonts w:cs="Guttman Hodes" w:hint="cs"/>
          <w:rtl/>
        </w:rPr>
        <w:t>"</w:t>
      </w:r>
      <w:r w:rsidRPr="00C12F78">
        <w:rPr>
          <w:rFonts w:hint="cs"/>
          <w:rtl/>
        </w:rPr>
        <w:t xml:space="preserve">ק </w:t>
      </w:r>
      <w:r w:rsidRPr="00C12F78">
        <w:rPr>
          <w:rtl/>
        </w:rPr>
        <w:t>ד</w:t>
      </w:r>
      <w:r w:rsidRPr="00C12F78">
        <w:rPr>
          <w:rFonts w:hint="cs"/>
          <w:rtl/>
        </w:rPr>
        <w:t>'</w:t>
      </w:r>
      <w:r w:rsidRPr="00C12F78">
        <w:rPr>
          <w:rtl/>
        </w:rPr>
        <w:t xml:space="preserve"> ד"ה ר"מ פ"י</w:t>
      </w:r>
      <w:bookmarkEnd w:id="3440"/>
      <w:bookmarkEnd w:id="3441"/>
      <w:r w:rsidRPr="00C12F78">
        <w:rPr>
          <w:rtl/>
        </w:rPr>
        <w:t xml:space="preserve"> (ח)</w:t>
      </w:r>
      <w:bookmarkEnd w:id="3442"/>
      <w:bookmarkEnd w:id="3443"/>
    </w:p>
    <w:p w14:paraId="4EB30CC0" w14:textId="77777777" w:rsidR="002748A5" w:rsidRPr="003B63CB" w:rsidRDefault="002748A5" w:rsidP="002748A5">
      <w:pPr>
        <w:pStyle w:val="a7"/>
        <w:rPr>
          <w:rtl/>
        </w:rPr>
      </w:pPr>
      <w:bookmarkStart w:id="3444" w:name="_Toc140074208"/>
      <w:bookmarkStart w:id="3445" w:name="_Toc140092059"/>
      <w:bookmarkStart w:id="3446" w:name="_Toc140144259"/>
      <w:bookmarkStart w:id="3447" w:name="_Toc140144490"/>
      <w:r w:rsidRPr="003B63CB">
        <w:rPr>
          <w:rFonts w:hint="cs"/>
          <w:rtl/>
        </w:rPr>
        <w:t>בי' החזו"א ברמב"ם דצד לשחק היינו שצדו ומשחררו אך בצדו ע"מ לשחק ב</w:t>
      </w:r>
      <w:bookmarkEnd w:id="3444"/>
      <w:bookmarkEnd w:id="3445"/>
      <w:r>
        <w:rPr>
          <w:rFonts w:hint="cs"/>
          <w:rtl/>
        </w:rPr>
        <w:t>ו חייב</w:t>
      </w:r>
      <w:bookmarkEnd w:id="3446"/>
      <w:bookmarkEnd w:id="3447"/>
    </w:p>
    <w:p w14:paraId="45FD004F" w14:textId="49B97F1E" w:rsidR="002748A5" w:rsidRPr="003B63CB" w:rsidRDefault="002748A5" w:rsidP="00BC7DC8">
      <w:pPr>
        <w:pStyle w:val="a3"/>
      </w:pPr>
      <w:bookmarkStart w:id="3448" w:name="_Ref139844626"/>
      <w:r w:rsidRPr="003B63CB">
        <w:rPr>
          <w:rFonts w:hint="cs"/>
          <w:rtl/>
        </w:rPr>
        <w:t xml:space="preserve">אמנם יעוי' בדברי </w:t>
      </w:r>
      <w:r w:rsidRPr="003B63CB">
        <w:rPr>
          <w:rStyle w:val="aff4"/>
          <w:rFonts w:hint="cs"/>
          <w:vanish/>
          <w:rtl/>
        </w:rPr>
        <w:t>-</w:t>
      </w:r>
      <w:r w:rsidRPr="003B63CB">
        <w:rPr>
          <w:rStyle w:val="aff4"/>
          <w:rFonts w:hint="cs"/>
          <w:rtl/>
        </w:rPr>
        <w:t>ה</w:t>
      </w:r>
      <w:r w:rsidRPr="003B63CB">
        <w:rPr>
          <w:rStyle w:val="aff4"/>
          <w:rFonts w:hint="cs"/>
          <w:vanish/>
          <w:rtl/>
        </w:rPr>
        <w:t xml:space="preserve">&lt;, </w:t>
      </w:r>
      <w:r w:rsidRPr="003B63CB">
        <w:rPr>
          <w:rStyle w:val="aff4"/>
          <w:vanish/>
          <w:rtl/>
        </w:rPr>
        <w:fldChar w:fldCharType="begin"/>
      </w:r>
      <w:r w:rsidRPr="003B63CB">
        <w:rPr>
          <w:rStyle w:val="aff4"/>
          <w:vanish/>
          <w:rtl/>
        </w:rPr>
        <w:instrText xml:space="preserve"> </w:instrText>
      </w:r>
      <w:r w:rsidRPr="003B63CB">
        <w:rPr>
          <w:rStyle w:val="aff4"/>
          <w:rFonts w:hint="cs"/>
          <w:vanish/>
        </w:rPr>
        <w:instrText>REF</w:instrText>
      </w:r>
      <w:r w:rsidRPr="003B63CB">
        <w:rPr>
          <w:rStyle w:val="aff4"/>
          <w:rFonts w:hint="cs"/>
          <w:vanish/>
          <w:rtl/>
        </w:rPr>
        <w:instrText xml:space="preserve"> _</w:instrText>
      </w:r>
      <w:r w:rsidRPr="003B63CB">
        <w:rPr>
          <w:rStyle w:val="aff4"/>
          <w:rFonts w:hint="cs"/>
          <w:vanish/>
        </w:rPr>
        <w:instrText>Ref139844626 \r \h</w:instrText>
      </w:r>
      <w:r w:rsidRPr="003B63CB">
        <w:rPr>
          <w:rStyle w:val="aff4"/>
          <w:vanish/>
          <w:rtl/>
        </w:rPr>
        <w:instrText xml:space="preserve">  \* </w:instrText>
      </w:r>
      <w:r w:rsidRPr="003B63CB">
        <w:rPr>
          <w:rStyle w:val="aff4"/>
          <w:vanish/>
        </w:rPr>
        <w:instrText>MERGEFORMAT</w:instrText>
      </w:r>
      <w:r w:rsidRPr="003B63CB">
        <w:rPr>
          <w:rStyle w:val="aff4"/>
          <w:vanish/>
          <w:rtl/>
        </w:rPr>
        <w:instrText xml:space="preserve"> </w:instrText>
      </w:r>
      <w:r w:rsidRPr="003B63CB">
        <w:rPr>
          <w:rStyle w:val="aff4"/>
          <w:vanish/>
          <w:rtl/>
        </w:rPr>
      </w:r>
      <w:r w:rsidRPr="003B63CB">
        <w:rPr>
          <w:rStyle w:val="aff4"/>
          <w:vanish/>
          <w:rtl/>
        </w:rPr>
        <w:fldChar w:fldCharType="separate"/>
      </w:r>
      <w:r w:rsidR="00D82181">
        <w:rPr>
          <w:rStyle w:val="aff4"/>
          <w:vanish/>
          <w:cs/>
        </w:rPr>
        <w:t>‎</w:t>
      </w:r>
      <w:r w:rsidR="00D82181">
        <w:rPr>
          <w:rStyle w:val="aff4"/>
          <w:vanish/>
          <w:rtl/>
        </w:rPr>
        <w:t>נב)</w:t>
      </w:r>
      <w:r w:rsidRPr="003B63CB">
        <w:rPr>
          <w:rStyle w:val="aff4"/>
          <w:vanish/>
          <w:rtl/>
        </w:rPr>
        <w:fldChar w:fldCharType="end"/>
      </w:r>
      <w:r w:rsidRPr="003B63CB">
        <w:rPr>
          <w:rStyle w:val="aff4"/>
          <w:rFonts w:hint="cs"/>
          <w:vanish/>
          <w:rtl/>
        </w:rPr>
        <w:t xml:space="preserve"> &gt;</w:t>
      </w:r>
      <w:r w:rsidRPr="003B63CB">
        <w:rPr>
          <w:rStyle w:val="aff4"/>
          <w:rFonts w:hint="cs"/>
          <w:rtl/>
        </w:rPr>
        <w:t>חזו"א</w:t>
      </w:r>
      <w:r w:rsidRPr="003B63CB">
        <w:rPr>
          <w:rStyle w:val="aff4"/>
          <w:rFonts w:hint="cs"/>
          <w:vanish/>
          <w:rtl/>
        </w:rPr>
        <w:t>-</w:t>
      </w:r>
      <w:r w:rsidRPr="003B63CB">
        <w:rPr>
          <w:rFonts w:hint="cs"/>
          <w:rtl/>
        </w:rPr>
        <w:t xml:space="preserve"> </w:t>
      </w:r>
      <w:r w:rsidRPr="003B63CB">
        <w:rPr>
          <w:rStyle w:val="af2"/>
          <w:rFonts w:eastAsia="Guttman Hodes" w:hint="cs"/>
          <w:rtl/>
        </w:rPr>
        <w:t>(סי' נ' סוס"ק ד' ד"ה ר"מ פ"י)</w:t>
      </w:r>
      <w:r w:rsidRPr="003B63CB">
        <w:rPr>
          <w:rFonts w:hint="cs"/>
          <w:vanish/>
          <w:rtl/>
        </w:rPr>
        <w:t>=</w:t>
      </w:r>
      <w:r w:rsidRPr="003B63CB">
        <w:rPr>
          <w:rFonts w:hint="cs"/>
          <w:rtl/>
        </w:rPr>
        <w:t xml:space="preserve"> דביאר דמ"ש </w:t>
      </w:r>
      <w:r w:rsidRPr="003B63CB">
        <w:rPr>
          <w:rStyle w:val="aff4"/>
          <w:rFonts w:hint="cs"/>
          <w:vanish/>
          <w:rtl/>
        </w:rPr>
        <w:t>-</w:t>
      </w:r>
      <w:r w:rsidRPr="003B63CB">
        <w:rPr>
          <w:rStyle w:val="aff4"/>
          <w:rFonts w:hint="cs"/>
          <w:rtl/>
        </w:rPr>
        <w:t>הרמב"ם</w:t>
      </w:r>
      <w:r w:rsidRPr="003B63CB">
        <w:rPr>
          <w:rStyle w:val="aff4"/>
          <w:rFonts w:hint="cs"/>
          <w:vanish/>
          <w:rtl/>
        </w:rPr>
        <w:t>-</w:t>
      </w:r>
      <w:r w:rsidRPr="003B63CB">
        <w:rPr>
          <w:rFonts w:hint="cs"/>
          <w:rtl/>
        </w:rPr>
        <w:t xml:space="preserve"> </w:t>
      </w:r>
      <w:r w:rsidRPr="003B63CB">
        <w:rPr>
          <w:rStyle w:val="af2"/>
          <w:rFonts w:eastAsia="Guttman Hodes" w:hint="cs"/>
          <w:rtl/>
        </w:rPr>
        <w:t xml:space="preserve">(עי' אות </w:t>
      </w:r>
      <w:r w:rsidRPr="003B63CB">
        <w:rPr>
          <w:rStyle w:val="af2"/>
          <w:rFonts w:eastAsia="Guttman Hodes"/>
          <w:rtl/>
        </w:rPr>
        <w:fldChar w:fldCharType="begin"/>
      </w:r>
      <w:r w:rsidRPr="003B63CB">
        <w:rPr>
          <w:rStyle w:val="af2"/>
          <w:rFonts w:eastAsia="Guttman Hodes"/>
          <w:rtl/>
        </w:rPr>
        <w:instrText xml:space="preserve"> </w:instrText>
      </w:r>
      <w:r w:rsidRPr="003B63CB">
        <w:rPr>
          <w:rStyle w:val="af2"/>
          <w:rFonts w:eastAsia="Guttman Hodes" w:hint="cs"/>
        </w:rPr>
        <w:instrText>REF</w:instrText>
      </w:r>
      <w:r w:rsidRPr="003B63CB">
        <w:rPr>
          <w:rStyle w:val="af2"/>
          <w:rFonts w:eastAsia="Guttman Hodes" w:hint="cs"/>
          <w:rtl/>
        </w:rPr>
        <w:instrText xml:space="preserve"> _</w:instrText>
      </w:r>
      <w:r w:rsidRPr="003B63CB">
        <w:rPr>
          <w:rStyle w:val="af2"/>
          <w:rFonts w:eastAsia="Guttman Hodes" w:hint="cs"/>
        </w:rPr>
        <w:instrText>Ref139844137 \r \h</w:instrText>
      </w:r>
      <w:r w:rsidRPr="003B63CB">
        <w:rPr>
          <w:rStyle w:val="af2"/>
          <w:rFonts w:eastAsia="Guttman Hodes"/>
          <w:rtl/>
        </w:rPr>
        <w:instrText xml:space="preserve">  \* </w:instrText>
      </w:r>
      <w:r w:rsidRPr="003B63CB">
        <w:rPr>
          <w:rStyle w:val="af2"/>
          <w:rFonts w:eastAsia="Guttman Hodes"/>
        </w:rPr>
        <w:instrText>MERGEFORMAT</w:instrText>
      </w:r>
      <w:r w:rsidRPr="003B63CB">
        <w:rPr>
          <w:rStyle w:val="af2"/>
          <w:rFonts w:eastAsia="Guttman Hodes"/>
          <w:rtl/>
        </w:rPr>
        <w:instrText xml:space="preserve"> </w:instrText>
      </w:r>
      <w:r w:rsidRPr="003B63CB">
        <w:rPr>
          <w:rStyle w:val="af2"/>
          <w:rFonts w:eastAsia="Guttman Hodes"/>
          <w:rtl/>
        </w:rPr>
      </w:r>
      <w:r w:rsidRPr="003B63CB">
        <w:rPr>
          <w:rStyle w:val="af2"/>
          <w:rFonts w:eastAsia="Guttman Hodes"/>
          <w:rtl/>
        </w:rPr>
        <w:fldChar w:fldCharType="separate"/>
      </w:r>
      <w:r w:rsidR="00D82181">
        <w:rPr>
          <w:rStyle w:val="af2"/>
          <w:rFonts w:eastAsia="Guttman Hodes"/>
          <w:cs/>
        </w:rPr>
        <w:t>‎</w:t>
      </w:r>
      <w:r w:rsidR="00D82181">
        <w:rPr>
          <w:rStyle w:val="af2"/>
          <w:rFonts w:eastAsia="Guttman Hodes"/>
          <w:rtl/>
        </w:rPr>
        <w:t>נ)</w:t>
      </w:r>
      <w:r w:rsidRPr="003B63CB">
        <w:rPr>
          <w:rStyle w:val="af2"/>
          <w:rFonts w:eastAsia="Guttman Hodes"/>
          <w:rtl/>
        </w:rPr>
        <w:fldChar w:fldCharType="end"/>
      </w:r>
      <w:r w:rsidRPr="003B63CB">
        <w:rPr>
          <w:rFonts w:hint="cs"/>
          <w:rtl/>
        </w:rPr>
        <w:t xml:space="preserve"> דהצד שרץ שיש במינו נצוד חייב, אף בצד שלא לצורך או לשחק בו, אין כוונת </w:t>
      </w:r>
      <w:r w:rsidRPr="003B63CB">
        <w:rPr>
          <w:rStyle w:val="aff4"/>
          <w:rFonts w:hint="cs"/>
          <w:vanish/>
          <w:rtl/>
        </w:rPr>
        <w:t>-</w:t>
      </w:r>
      <w:r w:rsidRPr="003B63CB">
        <w:rPr>
          <w:rStyle w:val="aff4"/>
          <w:rFonts w:hint="cs"/>
          <w:rtl/>
        </w:rPr>
        <w:t>הרמב"ם</w:t>
      </w:r>
      <w:r w:rsidRPr="003B63CB">
        <w:rPr>
          <w:rStyle w:val="aff4"/>
          <w:rFonts w:hint="cs"/>
          <w:vanish/>
          <w:rtl/>
        </w:rPr>
        <w:t>-</w:t>
      </w:r>
      <w:r w:rsidRPr="003B63CB">
        <w:rPr>
          <w:rFonts w:hint="cs"/>
          <w:rtl/>
        </w:rPr>
        <w:t xml:space="preserve"> לומר דהוא רוצה לשחק בהם אחר שיצוד, ולצורך זה צד, דא"כ הוא צידה לצורך, אלא כוונתו דכל הצידה היא בשביל לשחק, דהוא צדם ע"מ לשחררם ולחזור ולצודן, ומ"ש </w:t>
      </w:r>
      <w:r w:rsidRPr="003B63CB">
        <w:rPr>
          <w:rStyle w:val="aff4"/>
          <w:rFonts w:hint="cs"/>
          <w:vanish/>
          <w:rtl/>
        </w:rPr>
        <w:t>-</w:t>
      </w:r>
      <w:r w:rsidRPr="003B63CB">
        <w:rPr>
          <w:rStyle w:val="aff4"/>
          <w:rFonts w:hint="cs"/>
          <w:rtl/>
        </w:rPr>
        <w:t>הרמב"ם</w:t>
      </w:r>
      <w:r w:rsidRPr="003B63CB">
        <w:rPr>
          <w:rStyle w:val="aff4"/>
          <w:rFonts w:hint="cs"/>
          <w:vanish/>
          <w:rtl/>
        </w:rPr>
        <w:t>-</w:t>
      </w:r>
      <w:r w:rsidRPr="003B63CB">
        <w:rPr>
          <w:rFonts w:hint="cs"/>
          <w:rtl/>
        </w:rPr>
        <w:t xml:space="preserve"> שלא לצורך כוונתו דאינו צד אותם לצורך גופם, אלא כדי למנוע נזק שלא יזיקו בבית או בשדה.</w:t>
      </w:r>
      <w:bookmarkEnd w:id="3448"/>
    </w:p>
    <w:p w14:paraId="1601B962" w14:textId="77777777" w:rsidR="002748A5" w:rsidRPr="00747170" w:rsidRDefault="002748A5" w:rsidP="00747170">
      <w:pPr>
        <w:pStyle w:val="a2"/>
        <w:rPr>
          <w:rtl/>
        </w:rPr>
      </w:pPr>
      <w:r w:rsidRPr="00747170">
        <w:rPr>
          <w:rtl/>
        </w:rPr>
        <w:lastRenderedPageBreak/>
        <w:t xml:space="preserve">ר"מ פ"י הכ"א בין לצורך בין שלא לצורך או לשחק בהן, אין הכונה לשחק בהן אחר הצידה, דהרי זה לצורך אלא אוהב לשחק עמהן לצודן ולשחררם ולחזור לצודן, ושלא לצורך היינו שלא לצורך גופן אלא שלא יפסידו בבית או בשדה. </w:t>
      </w:r>
    </w:p>
    <w:p w14:paraId="5B31A08B" w14:textId="77777777" w:rsidR="002748A5" w:rsidRDefault="002748A5" w:rsidP="002748A5">
      <w:pPr>
        <w:pStyle w:val="affff5"/>
        <w:rPr>
          <w:rtl/>
        </w:rPr>
      </w:pPr>
      <w:bookmarkStart w:id="3449" w:name="_Toc140092060"/>
      <w:bookmarkStart w:id="3450" w:name="_Toc140144260"/>
      <w:bookmarkStart w:id="3451" w:name="_Toc140144491"/>
      <w:bookmarkStart w:id="3452" w:name="_Toc122199838"/>
      <w:bookmarkStart w:id="3453" w:name="_Toc121821539"/>
      <w:bookmarkStart w:id="3454" w:name="_Toc121822206"/>
      <w:bookmarkStart w:id="3455" w:name="_Toc121936345"/>
      <w:r w:rsidRPr="00716C93">
        <w:rPr>
          <w:rFonts w:hint="cs"/>
          <w:rtl/>
        </w:rPr>
        <w:t>~~~~~~~~~~~~~~~~~~~~~~~~~~~~</w:t>
      </w:r>
      <w:bookmarkEnd w:id="3449"/>
      <w:bookmarkEnd w:id="3450"/>
      <w:bookmarkEnd w:id="3451"/>
    </w:p>
    <w:p w14:paraId="19E8DA54" w14:textId="77777777" w:rsidR="002748A5" w:rsidRPr="003B63CB" w:rsidRDefault="002748A5" w:rsidP="002748A5">
      <w:pPr>
        <w:pStyle w:val="affff5"/>
        <w:rPr>
          <w:rtl/>
        </w:rPr>
      </w:pPr>
      <w:bookmarkStart w:id="3456" w:name="_Toc140092061"/>
      <w:bookmarkStart w:id="3457" w:name="_Toc140144261"/>
      <w:bookmarkStart w:id="3458" w:name="_Toc140144492"/>
      <w:r w:rsidRPr="003B63CB">
        <w:rPr>
          <w:rFonts w:hint="cs"/>
          <w:rtl/>
        </w:rPr>
        <w:t>בי'</w:t>
      </w:r>
      <w:bookmarkEnd w:id="3452"/>
      <w:r w:rsidRPr="003B63CB">
        <w:rPr>
          <w:rFonts w:hint="cs"/>
          <w:rtl/>
        </w:rPr>
        <w:t xml:space="preserve"> </w:t>
      </w:r>
      <w:bookmarkEnd w:id="3453"/>
      <w:bookmarkEnd w:id="3454"/>
      <w:bookmarkEnd w:id="3455"/>
      <w:r w:rsidRPr="003B63CB">
        <w:rPr>
          <w:rFonts w:hint="cs"/>
          <w:rtl/>
        </w:rPr>
        <w:t>הרמב"ם בתשו' דל"ד לפס"ר</w:t>
      </w:r>
      <w:bookmarkEnd w:id="3456"/>
      <w:bookmarkEnd w:id="3457"/>
      <w:bookmarkEnd w:id="3458"/>
    </w:p>
    <w:p w14:paraId="150C763A" w14:textId="77777777" w:rsidR="002748A5" w:rsidRPr="003B63CB" w:rsidRDefault="002748A5" w:rsidP="002748A5">
      <w:pPr>
        <w:pStyle w:val="1"/>
        <w:rPr>
          <w:rtl/>
        </w:rPr>
      </w:pPr>
      <w:bookmarkStart w:id="3459" w:name="_Toc122199839"/>
      <w:bookmarkStart w:id="3460" w:name="_Toc121936281"/>
      <w:bookmarkStart w:id="3461" w:name="_Toc121936398"/>
      <w:bookmarkStart w:id="3462" w:name="_Toc122024532"/>
      <w:bookmarkStart w:id="3463" w:name="_Toc140092062"/>
      <w:bookmarkStart w:id="3464" w:name="_Toc140144262"/>
      <w:bookmarkStart w:id="3465" w:name="_Toc140144493"/>
      <w:bookmarkStart w:id="3466" w:name="_Toc121778018"/>
      <w:bookmarkStart w:id="3467" w:name="_Toc121778261"/>
      <w:bookmarkStart w:id="3468" w:name="_Toc121778281"/>
      <w:bookmarkStart w:id="3469" w:name="_Toc121778301"/>
      <w:bookmarkStart w:id="3470" w:name="_Toc121821480"/>
      <w:bookmarkStart w:id="3471" w:name="_Toc121821500"/>
      <w:bookmarkStart w:id="3472" w:name="_Toc121821520"/>
      <w:bookmarkStart w:id="3473" w:name="_Toc121821540"/>
      <w:bookmarkStart w:id="3474" w:name="_Toc121822207"/>
      <w:bookmarkStart w:id="3475" w:name="_Toc121936346"/>
      <w:r w:rsidRPr="003B63CB">
        <w:rPr>
          <w:rFonts w:hint="cs"/>
          <w:rtl/>
        </w:rPr>
        <w:t>בי'</w:t>
      </w:r>
      <w:bookmarkEnd w:id="3459"/>
      <w:r w:rsidRPr="003B63CB">
        <w:rPr>
          <w:rFonts w:hint="cs"/>
          <w:rtl/>
        </w:rPr>
        <w:t xml:space="preserve"> </w:t>
      </w:r>
      <w:bookmarkEnd w:id="3460"/>
      <w:bookmarkEnd w:id="3461"/>
      <w:bookmarkEnd w:id="3462"/>
      <w:r>
        <w:rPr>
          <w:rFonts w:hint="cs"/>
          <w:rtl/>
        </w:rPr>
        <w:t>הרמב"ם והאחרונים בחילוק בין משאצל"ג לפס"ר</w:t>
      </w:r>
      <w:bookmarkEnd w:id="3463"/>
      <w:bookmarkEnd w:id="3464"/>
      <w:bookmarkEnd w:id="3465"/>
    </w:p>
    <w:p w14:paraId="1A203AE8" w14:textId="77777777" w:rsidR="002748A5" w:rsidRPr="00C12F78" w:rsidRDefault="002748A5" w:rsidP="002748A5">
      <w:pPr>
        <w:pStyle w:val="afffff7"/>
        <w:rPr>
          <w:rtl/>
        </w:rPr>
      </w:pPr>
      <w:bookmarkStart w:id="3476" w:name="_Toc140144378"/>
      <w:bookmarkStart w:id="3477" w:name="_Toc140144854"/>
      <w:bookmarkStart w:id="3478" w:name="_Toc163505969"/>
      <w:bookmarkEnd w:id="3466"/>
      <w:bookmarkEnd w:id="3467"/>
      <w:bookmarkEnd w:id="3468"/>
      <w:bookmarkEnd w:id="3469"/>
      <w:bookmarkEnd w:id="3470"/>
      <w:bookmarkEnd w:id="3471"/>
      <w:bookmarkEnd w:id="3472"/>
      <w:bookmarkEnd w:id="3473"/>
      <w:bookmarkEnd w:id="3474"/>
      <w:bookmarkEnd w:id="3475"/>
      <w:r w:rsidRPr="00C12F78">
        <w:rPr>
          <w:rtl/>
        </w:rPr>
        <w:t>שו"ת מהר"ם אלשקר ס</w:t>
      </w:r>
      <w:r w:rsidRPr="00C12F78">
        <w:rPr>
          <w:rFonts w:hint="cs"/>
          <w:rtl/>
        </w:rPr>
        <w:t>י'</w:t>
      </w:r>
      <w:r w:rsidRPr="00C12F78">
        <w:rPr>
          <w:rtl/>
        </w:rPr>
        <w:t xml:space="preserve"> ק</w:t>
      </w:r>
      <w:r w:rsidRPr="00C12F78">
        <w:rPr>
          <w:rFonts w:hint="cs"/>
          <w:rtl/>
        </w:rPr>
        <w:t>"</w:t>
      </w:r>
      <w:r w:rsidRPr="00C12F78">
        <w:rPr>
          <w:rtl/>
        </w:rPr>
        <w:t>ד</w:t>
      </w:r>
      <w:bookmarkEnd w:id="3476"/>
      <w:r w:rsidRPr="00C12F78">
        <w:rPr>
          <w:rtl/>
        </w:rPr>
        <w:t xml:space="preserve"> (ח)</w:t>
      </w:r>
      <w:bookmarkEnd w:id="3477"/>
      <w:bookmarkEnd w:id="3478"/>
    </w:p>
    <w:p w14:paraId="618093B9" w14:textId="77777777" w:rsidR="002748A5" w:rsidRPr="003B63CB" w:rsidRDefault="002748A5" w:rsidP="002748A5">
      <w:pPr>
        <w:pStyle w:val="a7"/>
        <w:rPr>
          <w:rtl/>
        </w:rPr>
      </w:pPr>
      <w:bookmarkStart w:id="3479" w:name="_Toc140092063"/>
      <w:bookmarkStart w:id="3480" w:name="_Toc140144263"/>
      <w:bookmarkStart w:id="3481" w:name="_Toc140144494"/>
      <w:r>
        <w:rPr>
          <w:rFonts w:hint="cs"/>
          <w:rtl/>
        </w:rPr>
        <w:t>ק"ו הר"א בן הרמב"ם דמ"ש משאצל"ג דפטור לר"ש מפס"ר דחייב אף דא"צ לגוף המלאכה</w:t>
      </w:r>
      <w:bookmarkEnd w:id="3479"/>
      <w:bookmarkEnd w:id="3480"/>
      <w:bookmarkEnd w:id="3481"/>
    </w:p>
    <w:p w14:paraId="1CAFF7F3" w14:textId="0A7038F8" w:rsidR="002748A5" w:rsidRPr="003B63CB" w:rsidRDefault="002748A5" w:rsidP="00BC7DC8">
      <w:pPr>
        <w:pStyle w:val="a3"/>
        <w:rPr>
          <w:rtl/>
        </w:rPr>
      </w:pPr>
      <w:bookmarkStart w:id="3482" w:name="_Ref139300971"/>
      <w:r w:rsidRPr="003B63CB">
        <w:rPr>
          <w:rFonts w:hint="cs"/>
          <w:rtl/>
        </w:rPr>
        <w:t xml:space="preserve">הקשה </w:t>
      </w:r>
      <w:r w:rsidRPr="003B63CB">
        <w:rPr>
          <w:rFonts w:hint="cs"/>
          <w:vanish/>
          <w:rtl/>
        </w:rPr>
        <w:t xml:space="preserve">&lt;, </w:t>
      </w:r>
      <w:r w:rsidRPr="003B63CB">
        <w:rPr>
          <w:vanish/>
          <w:rtl/>
        </w:rPr>
        <w:fldChar w:fldCharType="begin"/>
      </w:r>
      <w:r w:rsidRPr="003B63CB">
        <w:rPr>
          <w:vanish/>
          <w:rtl/>
        </w:rPr>
        <w:instrText xml:space="preserve"> </w:instrText>
      </w:r>
      <w:r w:rsidRPr="003B63CB">
        <w:rPr>
          <w:rFonts w:hint="cs"/>
          <w:vanish/>
        </w:rPr>
        <w:instrText>REF</w:instrText>
      </w:r>
      <w:r w:rsidRPr="003B63CB">
        <w:rPr>
          <w:rFonts w:hint="cs"/>
          <w:vanish/>
          <w:rtl/>
        </w:rPr>
        <w:instrText xml:space="preserve"> _</w:instrText>
      </w:r>
      <w:r w:rsidRPr="003B63CB">
        <w:rPr>
          <w:rFonts w:hint="cs"/>
          <w:vanish/>
        </w:rPr>
        <w:instrText>Ref139300971 \r \h</w:instrText>
      </w:r>
      <w:r w:rsidRPr="003B63CB">
        <w:rPr>
          <w:vanish/>
          <w:rtl/>
        </w:rPr>
        <w:instrText xml:space="preserve">  \* </w:instrText>
      </w:r>
      <w:r w:rsidRPr="003B63CB">
        <w:rPr>
          <w:vanish/>
        </w:rPr>
        <w:instrText>MERGEFORMAT</w:instrText>
      </w:r>
      <w:r w:rsidRPr="003B63CB">
        <w:rPr>
          <w:vanish/>
          <w:rtl/>
        </w:rPr>
        <w:instrText xml:space="preserve"> </w:instrText>
      </w:r>
      <w:r w:rsidRPr="003B63CB">
        <w:rPr>
          <w:vanish/>
          <w:rtl/>
        </w:rPr>
      </w:r>
      <w:r w:rsidRPr="003B63CB">
        <w:rPr>
          <w:vanish/>
          <w:rtl/>
        </w:rPr>
        <w:fldChar w:fldCharType="separate"/>
      </w:r>
      <w:r w:rsidR="00D82181">
        <w:rPr>
          <w:vanish/>
          <w:cs/>
        </w:rPr>
        <w:t>‎</w:t>
      </w:r>
      <w:r w:rsidR="00D82181">
        <w:rPr>
          <w:vanish/>
          <w:rtl/>
        </w:rPr>
        <w:t>נג)</w:t>
      </w:r>
      <w:r w:rsidRPr="003B63CB">
        <w:rPr>
          <w:vanish/>
          <w:rtl/>
        </w:rPr>
        <w:fldChar w:fldCharType="end"/>
      </w:r>
      <w:r w:rsidRPr="003B63CB">
        <w:rPr>
          <w:rFonts w:hint="cs"/>
          <w:vanish/>
          <w:rtl/>
        </w:rPr>
        <w:t xml:space="preserve"> &gt;</w:t>
      </w:r>
      <w:r w:rsidRPr="003B63CB">
        <w:rPr>
          <w:rStyle w:val="aff4"/>
          <w:rFonts w:hint="cs"/>
          <w:vanish/>
          <w:rtl/>
        </w:rPr>
        <w:t>-</w:t>
      </w:r>
      <w:r w:rsidRPr="003B63CB">
        <w:rPr>
          <w:rStyle w:val="aff4"/>
          <w:rFonts w:hint="cs"/>
          <w:rtl/>
        </w:rPr>
        <w:t>רבינו אברהם בן הרמב"ם</w:t>
      </w:r>
      <w:r w:rsidRPr="003B63CB">
        <w:rPr>
          <w:rStyle w:val="aff4"/>
          <w:rFonts w:hint="cs"/>
          <w:vanish/>
          <w:rtl/>
        </w:rPr>
        <w:t>-</w:t>
      </w:r>
      <w:r w:rsidRPr="003B63CB">
        <w:rPr>
          <w:rFonts w:hint="cs"/>
          <w:rtl/>
        </w:rPr>
        <w:t xml:space="preserve"> </w:t>
      </w:r>
      <w:r w:rsidRPr="003B63CB">
        <w:rPr>
          <w:rStyle w:val="af2"/>
          <w:rFonts w:eastAsia="Guttman Hodes" w:hint="cs"/>
          <w:rtl/>
        </w:rPr>
        <w:t>(שו"ת מהר"ם אלשקר סי' ק"ד)</w:t>
      </w:r>
      <w:r w:rsidRPr="003B63CB">
        <w:rPr>
          <w:rFonts w:hint="cs"/>
          <w:vanish/>
          <w:rtl/>
        </w:rPr>
        <w:t>=</w:t>
      </w:r>
      <w:r w:rsidRPr="003B63CB">
        <w:rPr>
          <w:rFonts w:hint="cs"/>
          <w:rtl/>
        </w:rPr>
        <w:t xml:space="preserve"> מה החילוק בין מלאכה שאינה צריכה לגופה דפטור לר"ש, לבין פסיק רישיה דחייב, הא אף בפסיק רישיה א"צ לגוף המלאכה.</w:t>
      </w:r>
      <w:bookmarkEnd w:id="3482"/>
      <w:r w:rsidRPr="003B63CB">
        <w:rPr>
          <w:rFonts w:hint="cs"/>
          <w:rtl/>
        </w:rPr>
        <w:t xml:space="preserve"> </w:t>
      </w:r>
      <w:r w:rsidRPr="003B63CB">
        <w:rPr>
          <w:rStyle w:val="af"/>
          <w:rFonts w:hint="cs"/>
          <w:rtl/>
        </w:rPr>
        <w:t xml:space="preserve">[ועי' במה שתירץ </w:t>
      </w:r>
      <w:r w:rsidRPr="003B63CB">
        <w:rPr>
          <w:rStyle w:val="aff9"/>
          <w:rFonts w:hint="cs"/>
          <w:vanish/>
          <w:rtl/>
        </w:rPr>
        <w:t>-</w:t>
      </w:r>
      <w:r w:rsidRPr="003B63CB">
        <w:rPr>
          <w:rStyle w:val="aff9"/>
          <w:rFonts w:hint="cs"/>
          <w:rtl/>
        </w:rPr>
        <w:t>הכפות תמרים</w:t>
      </w:r>
      <w:r w:rsidRPr="003B63CB">
        <w:rPr>
          <w:rStyle w:val="aff9"/>
          <w:rFonts w:hint="cs"/>
          <w:vanish/>
          <w:rtl/>
        </w:rPr>
        <w:t>-</w:t>
      </w:r>
      <w:r w:rsidRPr="003B63CB">
        <w:rPr>
          <w:rStyle w:val="af"/>
          <w:rFonts w:hint="cs"/>
          <w:rtl/>
        </w:rPr>
        <w:t xml:space="preserve"> </w:t>
      </w:r>
      <w:r w:rsidRPr="003B63CB">
        <w:rPr>
          <w:rStyle w:val="aff0"/>
          <w:rFonts w:hint="cs"/>
          <w:rtl/>
        </w:rPr>
        <w:t>(</w:t>
      </w:r>
      <w:r w:rsidRPr="00A2331A">
        <w:rPr>
          <w:rStyle w:val="aff0"/>
          <w:rtl/>
        </w:rPr>
        <w:t>הובאו בסימן ט'</w:t>
      </w:r>
      <w:r w:rsidRPr="003B63CB">
        <w:rPr>
          <w:rStyle w:val="aff0"/>
          <w:rFonts w:hint="cs"/>
          <w:rtl/>
        </w:rPr>
        <w:t xml:space="preserve">' אות </w:t>
      </w:r>
      <w:r w:rsidRPr="003B63CB">
        <w:rPr>
          <w:rStyle w:val="aff0"/>
          <w:rtl/>
        </w:rPr>
        <w:fldChar w:fldCharType="begin"/>
      </w:r>
      <w:r w:rsidRPr="003B63CB">
        <w:rPr>
          <w:rStyle w:val="aff0"/>
          <w:rtl/>
        </w:rPr>
        <w:instrText xml:space="preserve"> </w:instrText>
      </w:r>
      <w:r w:rsidRPr="003B63CB">
        <w:rPr>
          <w:rStyle w:val="aff0"/>
          <w:rFonts w:hint="cs"/>
        </w:rPr>
        <w:instrText>REF</w:instrText>
      </w:r>
      <w:r w:rsidRPr="003B63CB">
        <w:rPr>
          <w:rStyle w:val="aff0"/>
          <w:rFonts w:hint="cs"/>
          <w:rtl/>
        </w:rPr>
        <w:instrText xml:space="preserve"> _</w:instrText>
      </w:r>
      <w:r w:rsidRPr="003B63CB">
        <w:rPr>
          <w:rStyle w:val="aff0"/>
          <w:rFonts w:hint="cs"/>
        </w:rPr>
        <w:instrText>Ref139622307 \r \h</w:instrText>
      </w:r>
      <w:r w:rsidRPr="003B63CB">
        <w:rPr>
          <w:rStyle w:val="aff0"/>
          <w:rtl/>
        </w:rPr>
        <w:instrText xml:space="preserve">  \* </w:instrText>
      </w:r>
      <w:r w:rsidRPr="003B63CB">
        <w:rPr>
          <w:rStyle w:val="aff0"/>
        </w:rPr>
        <w:instrText>MERGEFORMAT</w:instrText>
      </w:r>
      <w:r w:rsidRPr="003B63CB">
        <w:rPr>
          <w:rStyle w:val="aff0"/>
          <w:rtl/>
        </w:rPr>
        <w:instrText xml:space="preserve"> </w:instrText>
      </w:r>
      <w:r w:rsidRPr="003B63CB">
        <w:rPr>
          <w:rStyle w:val="aff0"/>
          <w:rtl/>
        </w:rPr>
      </w:r>
      <w:r w:rsidRPr="003B63CB">
        <w:rPr>
          <w:rStyle w:val="aff0"/>
          <w:rtl/>
        </w:rPr>
        <w:fldChar w:fldCharType="separate"/>
      </w:r>
      <w:r w:rsidR="00D82181">
        <w:rPr>
          <w:rStyle w:val="aff0"/>
          <w:cs/>
        </w:rPr>
        <w:t>‎</w:t>
      </w:r>
      <w:r w:rsidR="00D82181">
        <w:rPr>
          <w:rStyle w:val="aff0"/>
          <w:rtl/>
        </w:rPr>
        <w:t>ז)</w:t>
      </w:r>
      <w:r w:rsidRPr="003B63CB">
        <w:rPr>
          <w:rStyle w:val="aff0"/>
          <w:rtl/>
        </w:rPr>
        <w:fldChar w:fldCharType="end"/>
      </w:r>
      <w:r w:rsidRPr="003B63CB">
        <w:rPr>
          <w:rStyle w:val="af"/>
          <w:rFonts w:hint="cs"/>
          <w:rtl/>
        </w:rPr>
        <w:t xml:space="preserve"> בדעת </w:t>
      </w:r>
      <w:r w:rsidRPr="003B63CB">
        <w:rPr>
          <w:rStyle w:val="aff9"/>
          <w:rFonts w:hint="cs"/>
          <w:vanish/>
          <w:rtl/>
        </w:rPr>
        <w:t>-</w:t>
      </w:r>
      <w:r w:rsidRPr="003B63CB">
        <w:rPr>
          <w:rStyle w:val="aff9"/>
          <w:rFonts w:hint="cs"/>
          <w:rtl/>
        </w:rPr>
        <w:t>התוס'</w:t>
      </w:r>
      <w:r w:rsidRPr="003B63CB">
        <w:rPr>
          <w:rStyle w:val="aff9"/>
          <w:rFonts w:hint="cs"/>
          <w:vanish/>
          <w:rtl/>
        </w:rPr>
        <w:t>-</w:t>
      </w:r>
      <w:r w:rsidRPr="003B63CB">
        <w:rPr>
          <w:rStyle w:val="af"/>
          <w:rFonts w:hint="cs"/>
          <w:rtl/>
        </w:rPr>
        <w:t xml:space="preserve"> </w:t>
      </w:r>
      <w:r w:rsidRPr="003B63CB">
        <w:rPr>
          <w:rStyle w:val="aff0"/>
          <w:rFonts w:hint="cs"/>
          <w:rtl/>
        </w:rPr>
        <w:t xml:space="preserve">(עי' אות </w:t>
      </w:r>
      <w:r w:rsidRPr="003B63CB">
        <w:rPr>
          <w:rStyle w:val="aff0"/>
          <w:rtl/>
        </w:rPr>
        <w:t>כ)</w:t>
      </w:r>
      <w:r w:rsidRPr="003B63CB">
        <w:rPr>
          <w:rStyle w:val="af"/>
          <w:rFonts w:hint="cs"/>
          <w:rtl/>
        </w:rPr>
        <w:t>].</w:t>
      </w:r>
    </w:p>
    <w:p w14:paraId="25C7F3A7" w14:textId="77777777" w:rsidR="002748A5" w:rsidRPr="00747170" w:rsidRDefault="002748A5" w:rsidP="00747170">
      <w:pPr>
        <w:pStyle w:val="a2"/>
        <w:rPr>
          <w:rtl/>
        </w:rPr>
      </w:pPr>
      <w:r w:rsidRPr="00747170">
        <w:rPr>
          <w:rtl/>
        </w:rPr>
        <w:t>שאלה גם יורני א"א מורי ורבי מה הפרש יש בין מלאכה שאינה צריכה לגופה ובין פסיק רישיה ולא ימות והלא הוא ג"כ אינו צריך לגוף המלאכה:</w:t>
      </w:r>
    </w:p>
    <w:p w14:paraId="02DB275C" w14:textId="77777777" w:rsidR="002748A5" w:rsidRPr="00C12F78" w:rsidRDefault="002748A5" w:rsidP="002748A5">
      <w:pPr>
        <w:pStyle w:val="afffff7"/>
        <w:rPr>
          <w:rtl/>
        </w:rPr>
      </w:pPr>
      <w:bookmarkStart w:id="3483" w:name="_Toc140144379"/>
      <w:bookmarkStart w:id="3484" w:name="_Toc140144855"/>
      <w:bookmarkStart w:id="3485" w:name="_Toc163505970"/>
      <w:r w:rsidRPr="00C12F78">
        <w:rPr>
          <w:rtl/>
        </w:rPr>
        <w:t>כסף משנה שבת פ"א ה"ז</w:t>
      </w:r>
      <w:bookmarkEnd w:id="3483"/>
      <w:r w:rsidRPr="00C12F78">
        <w:rPr>
          <w:rtl/>
        </w:rPr>
        <w:t xml:space="preserve"> (ח)</w:t>
      </w:r>
      <w:bookmarkEnd w:id="3484"/>
      <w:bookmarkEnd w:id="3485"/>
    </w:p>
    <w:p w14:paraId="2C81B829" w14:textId="77777777" w:rsidR="002748A5" w:rsidRPr="00494472" w:rsidRDefault="002748A5" w:rsidP="002748A5">
      <w:pPr>
        <w:pStyle w:val="a7"/>
        <w:rPr>
          <w:rtl/>
        </w:rPr>
      </w:pPr>
      <w:bookmarkStart w:id="3486" w:name="_Toc140092064"/>
      <w:bookmarkStart w:id="3487" w:name="_Toc140144264"/>
      <w:bookmarkStart w:id="3488" w:name="_Toc140144495"/>
      <w:r>
        <w:rPr>
          <w:rFonts w:hint="cs"/>
          <w:rtl/>
        </w:rPr>
        <w:t>תי' הרמב"ם בתשו' דבפס"ר לא מכוון למלאכה אף דתעשה ובמשצל"ג כוונתו לה ולא לתכליתה</w:t>
      </w:r>
      <w:bookmarkEnd w:id="3486"/>
      <w:bookmarkEnd w:id="3487"/>
      <w:bookmarkEnd w:id="3488"/>
    </w:p>
    <w:p w14:paraId="0782B82B" w14:textId="2E701097" w:rsidR="002748A5" w:rsidRPr="003B63CB" w:rsidRDefault="002748A5" w:rsidP="00BC7DC8">
      <w:pPr>
        <w:pStyle w:val="a3"/>
        <w:rPr>
          <w:rtl/>
        </w:rPr>
      </w:pPr>
      <w:bookmarkStart w:id="3489" w:name="_Ref139300976"/>
      <w:r w:rsidRPr="003B63CB">
        <w:rPr>
          <w:rFonts w:hint="cs"/>
          <w:rtl/>
        </w:rPr>
        <w:t xml:space="preserve">והביא </w:t>
      </w:r>
      <w:r w:rsidRPr="003B63CB">
        <w:rPr>
          <w:rStyle w:val="aff4"/>
          <w:rFonts w:hint="cs"/>
          <w:vanish/>
          <w:rtl/>
        </w:rPr>
        <w:t>-</w:t>
      </w:r>
      <w:r w:rsidRPr="003B63CB">
        <w:rPr>
          <w:rStyle w:val="aff4"/>
          <w:rFonts w:hint="cs"/>
          <w:rtl/>
        </w:rPr>
        <w:t>ה</w:t>
      </w:r>
      <w:r w:rsidRPr="003B63CB">
        <w:rPr>
          <w:rStyle w:val="aff4"/>
          <w:rFonts w:hint="cs"/>
          <w:vanish/>
          <w:rtl/>
        </w:rPr>
        <w:t xml:space="preserve">&lt;, </w:t>
      </w:r>
      <w:r w:rsidRPr="003B63CB">
        <w:rPr>
          <w:rStyle w:val="aff4"/>
          <w:vanish/>
          <w:rtl/>
        </w:rPr>
        <w:fldChar w:fldCharType="begin"/>
      </w:r>
      <w:r w:rsidRPr="003B63CB">
        <w:rPr>
          <w:rStyle w:val="aff4"/>
          <w:vanish/>
          <w:rtl/>
        </w:rPr>
        <w:instrText xml:space="preserve"> </w:instrText>
      </w:r>
      <w:r w:rsidRPr="003B63CB">
        <w:rPr>
          <w:rStyle w:val="aff4"/>
          <w:rFonts w:hint="cs"/>
          <w:vanish/>
        </w:rPr>
        <w:instrText>REF</w:instrText>
      </w:r>
      <w:r w:rsidRPr="003B63CB">
        <w:rPr>
          <w:rStyle w:val="aff4"/>
          <w:rFonts w:hint="cs"/>
          <w:vanish/>
          <w:rtl/>
        </w:rPr>
        <w:instrText xml:space="preserve"> _</w:instrText>
      </w:r>
      <w:r w:rsidRPr="003B63CB">
        <w:rPr>
          <w:rStyle w:val="aff4"/>
          <w:rFonts w:hint="cs"/>
          <w:vanish/>
        </w:rPr>
        <w:instrText>Ref139300976 \r \h</w:instrText>
      </w:r>
      <w:r w:rsidRPr="003B63CB">
        <w:rPr>
          <w:rStyle w:val="aff4"/>
          <w:vanish/>
          <w:rtl/>
        </w:rPr>
        <w:instrText xml:space="preserve">  \* </w:instrText>
      </w:r>
      <w:r w:rsidRPr="003B63CB">
        <w:rPr>
          <w:rStyle w:val="aff4"/>
          <w:vanish/>
        </w:rPr>
        <w:instrText>MERGEFORMAT</w:instrText>
      </w:r>
      <w:r w:rsidRPr="003B63CB">
        <w:rPr>
          <w:rStyle w:val="aff4"/>
          <w:vanish/>
          <w:rtl/>
        </w:rPr>
        <w:instrText xml:space="preserve"> </w:instrText>
      </w:r>
      <w:r w:rsidRPr="003B63CB">
        <w:rPr>
          <w:rStyle w:val="aff4"/>
          <w:vanish/>
          <w:rtl/>
        </w:rPr>
      </w:r>
      <w:r w:rsidRPr="003B63CB">
        <w:rPr>
          <w:rStyle w:val="aff4"/>
          <w:vanish/>
          <w:rtl/>
        </w:rPr>
        <w:fldChar w:fldCharType="separate"/>
      </w:r>
      <w:r w:rsidR="00D82181">
        <w:rPr>
          <w:rStyle w:val="aff4"/>
          <w:vanish/>
          <w:cs/>
        </w:rPr>
        <w:t>‎</w:t>
      </w:r>
      <w:r w:rsidR="00D82181">
        <w:rPr>
          <w:rStyle w:val="aff4"/>
          <w:vanish/>
          <w:rtl/>
        </w:rPr>
        <w:t>נד)</w:t>
      </w:r>
      <w:r w:rsidRPr="003B63CB">
        <w:rPr>
          <w:rStyle w:val="aff4"/>
          <w:vanish/>
          <w:rtl/>
        </w:rPr>
        <w:fldChar w:fldCharType="end"/>
      </w:r>
      <w:r w:rsidRPr="003B63CB">
        <w:rPr>
          <w:rStyle w:val="aff4"/>
          <w:rFonts w:hint="cs"/>
          <w:vanish/>
          <w:rtl/>
        </w:rPr>
        <w:t xml:space="preserve"> &gt;</w:t>
      </w:r>
      <w:r w:rsidRPr="003B63CB">
        <w:rPr>
          <w:rStyle w:val="aff4"/>
          <w:rFonts w:hint="cs"/>
          <w:rtl/>
        </w:rPr>
        <w:t>כס"מ</w:t>
      </w:r>
      <w:r w:rsidRPr="003B63CB">
        <w:rPr>
          <w:rStyle w:val="aff4"/>
          <w:rFonts w:hint="cs"/>
          <w:vanish/>
          <w:rtl/>
        </w:rPr>
        <w:t>-</w:t>
      </w:r>
      <w:r w:rsidRPr="003B63CB">
        <w:rPr>
          <w:rFonts w:hint="cs"/>
          <w:rtl/>
        </w:rPr>
        <w:t xml:space="preserve"> </w:t>
      </w:r>
      <w:r w:rsidRPr="003B63CB">
        <w:rPr>
          <w:rStyle w:val="af2"/>
          <w:rFonts w:eastAsia="Guttman Hodes" w:hint="cs"/>
          <w:rtl/>
        </w:rPr>
        <w:t>(שבת פ"א ה"ז)</w:t>
      </w:r>
      <w:r w:rsidRPr="003B63CB">
        <w:rPr>
          <w:rFonts w:hint="cs"/>
          <w:vanish/>
          <w:rtl/>
        </w:rPr>
        <w:t>=</w:t>
      </w:r>
      <w:r w:rsidRPr="003B63CB">
        <w:rPr>
          <w:rFonts w:hint="cs"/>
          <w:rtl/>
        </w:rPr>
        <w:t xml:space="preserve"> דהשיב לו </w:t>
      </w:r>
      <w:r w:rsidRPr="003B63CB">
        <w:rPr>
          <w:rStyle w:val="aff4"/>
          <w:rFonts w:hint="cs"/>
          <w:vanish/>
          <w:rtl/>
        </w:rPr>
        <w:t>-</w:t>
      </w:r>
      <w:r w:rsidRPr="003B63CB">
        <w:rPr>
          <w:rStyle w:val="aff4"/>
          <w:rFonts w:hint="cs"/>
          <w:rtl/>
        </w:rPr>
        <w:t>ה</w:t>
      </w:r>
      <w:r w:rsidRPr="003B63CB">
        <w:rPr>
          <w:rStyle w:val="aff4"/>
          <w:rFonts w:hint="cs"/>
          <w:vanish/>
          <w:rtl/>
        </w:rPr>
        <w:t>&lt; &gt;</w:t>
      </w:r>
      <w:r w:rsidRPr="003B63CB">
        <w:rPr>
          <w:rStyle w:val="aff4"/>
          <w:rFonts w:hint="cs"/>
          <w:rtl/>
        </w:rPr>
        <w:t>רמב"ם בתשו'</w:t>
      </w:r>
      <w:r w:rsidRPr="003B63CB">
        <w:rPr>
          <w:rStyle w:val="aff4"/>
          <w:rFonts w:hint="cs"/>
          <w:vanish/>
          <w:rtl/>
        </w:rPr>
        <w:t>-</w:t>
      </w:r>
      <w:r w:rsidRPr="003B63CB">
        <w:rPr>
          <w:rFonts w:hint="cs"/>
          <w:rtl/>
        </w:rPr>
        <w:t xml:space="preserve"> </w:t>
      </w:r>
      <w:r w:rsidRPr="003B63CB">
        <w:rPr>
          <w:rStyle w:val="af2"/>
          <w:rFonts w:eastAsia="Guttman Hodes" w:hint="cs"/>
          <w:rtl/>
        </w:rPr>
        <w:t>(שו"ת מהר"ם אלשקר סי' ק"ד ד"ה תשובה)</w:t>
      </w:r>
      <w:r w:rsidRPr="003B63CB">
        <w:rPr>
          <w:rFonts w:hint="cs"/>
          <w:vanish/>
          <w:rtl/>
        </w:rPr>
        <w:t>=</w:t>
      </w:r>
      <w:r w:rsidRPr="003B63CB">
        <w:rPr>
          <w:rFonts w:hint="cs"/>
          <w:rtl/>
        </w:rPr>
        <w:t xml:space="preserve"> דבפסיק רישיה אין לו כל כוונה למלאכה, אלא דע"י המעשה שלו ודאי שתעשה המלאכה, כגון הסוגר את פתח ביתו, כשיש צבי בתוך הבית דאין כוונתו כלל לצידת הצבי, אך ודאי שעי"ז הצבי נצוד, אבל במלאכה שאינה צריכה לגופה כוונתו למלאכה עצמה, ואין כוונתו לתכלית של המלאכה</w:t>
      </w:r>
      <w:bookmarkEnd w:id="3489"/>
      <w:r>
        <w:rPr>
          <w:rFonts w:hint="cs"/>
          <w:rtl/>
        </w:rPr>
        <w:t>.</w:t>
      </w:r>
    </w:p>
    <w:p w14:paraId="3CE007BD" w14:textId="77777777" w:rsidR="002748A5" w:rsidRPr="00747170" w:rsidRDefault="002748A5" w:rsidP="00747170">
      <w:pPr>
        <w:pStyle w:val="a2"/>
        <w:rPr>
          <w:rtl/>
        </w:rPr>
      </w:pPr>
      <w:r w:rsidRPr="00747170">
        <w:rPr>
          <w:rtl/>
        </w:rPr>
        <w:t>תשובה איכא למימר דהכא גבי פסיק רישיה אינו מתכוין למלאכה כל עיקר אלא שהיא תעשה בהכרח כגון מי שסגר פתח ביתו והיה שם צבי שהוא לא כיון לצידת הצבי אלא שהצידה נעשית בהכרח אבל מלאכה שאינה צריכה לגופה הוא מתכוין לגוף המלאכה אלא שאינו מתכוין לתכלית' מיסוד רבי' אברהם החסיד בשם אביו הרמב"ם ז"ל.</w:t>
      </w:r>
    </w:p>
    <w:p w14:paraId="7995A763" w14:textId="77777777" w:rsidR="002748A5" w:rsidRPr="00695703" w:rsidRDefault="002748A5" w:rsidP="00747170">
      <w:pPr>
        <w:pStyle w:val="afffff5"/>
        <w:rPr>
          <w:rtl/>
        </w:rPr>
      </w:pPr>
      <w:r w:rsidRPr="00695703">
        <w:rPr>
          <w:rtl/>
        </w:rPr>
        <w:t>מ"כ ההפרש שיש בין מלאכה שאינה צריכה לגופה ובין פסיק רישיה ולא ימות הוא דגבי פסיק רישיה אינו מכוון למלאכה כל עיקר אלא שהיא נעשית בהכרח. כגון שסגר פתח ביתו והיה שם צבי שהוא לא כיון לשמירת הצבי אלא שהמלאכה נעשית בהכרח. אבל מלאכה שאינה צריכה לגופה הוא מתכוין לגוף המלאכה אלא שאינו מכוין לתכליתה. מיסוד ה"ר אברהם החסיד בשם אביו ז"ל ע"כ:</w:t>
      </w:r>
    </w:p>
    <w:p w14:paraId="7D4376F9" w14:textId="77777777" w:rsidR="002748A5" w:rsidRPr="00C12F78" w:rsidRDefault="002748A5" w:rsidP="002748A5">
      <w:pPr>
        <w:pStyle w:val="afffff7"/>
        <w:rPr>
          <w:rtl/>
        </w:rPr>
      </w:pPr>
      <w:bookmarkStart w:id="3490" w:name="_Toc140144380"/>
      <w:bookmarkStart w:id="3491" w:name="_Toc140144856"/>
      <w:bookmarkStart w:id="3492" w:name="_Toc163505971"/>
      <w:r w:rsidRPr="00C12F78">
        <w:rPr>
          <w:rtl/>
        </w:rPr>
        <w:t>מרכבת המשנה שבת פ"א ה"א</w:t>
      </w:r>
      <w:r w:rsidRPr="00C12F78">
        <w:rPr>
          <w:rFonts w:hint="cs"/>
          <w:rtl/>
        </w:rPr>
        <w:t xml:space="preserve"> ד"ה וראיתי בכ"מ</w:t>
      </w:r>
      <w:bookmarkEnd w:id="3490"/>
      <w:r w:rsidRPr="00C12F78">
        <w:rPr>
          <w:rtl/>
        </w:rPr>
        <w:t xml:space="preserve"> (ח)</w:t>
      </w:r>
      <w:bookmarkEnd w:id="3491"/>
      <w:bookmarkEnd w:id="3492"/>
    </w:p>
    <w:p w14:paraId="203831F5" w14:textId="77777777" w:rsidR="002748A5" w:rsidRPr="003B63CB" w:rsidRDefault="002748A5" w:rsidP="002748A5">
      <w:pPr>
        <w:pStyle w:val="a7"/>
        <w:rPr>
          <w:rtl/>
        </w:rPr>
      </w:pPr>
      <w:bookmarkStart w:id="3493" w:name="_Toc140092065"/>
      <w:bookmarkStart w:id="3494" w:name="_Toc140144265"/>
      <w:bookmarkStart w:id="3495" w:name="_Toc140144496"/>
      <w:r>
        <w:rPr>
          <w:rFonts w:hint="cs"/>
          <w:rtl/>
        </w:rPr>
        <w:t>קו' המרכה"מ ברמב"ם בתשו' דא"כ משאצל"ג דמכוון למלאכה חמור מפס"ר ול"מ כן בר"ש</w:t>
      </w:r>
      <w:bookmarkEnd w:id="3493"/>
      <w:bookmarkEnd w:id="3494"/>
      <w:bookmarkEnd w:id="3495"/>
    </w:p>
    <w:p w14:paraId="26E15574" w14:textId="793D3715" w:rsidR="002748A5" w:rsidRDefault="002748A5" w:rsidP="00BC7DC8">
      <w:pPr>
        <w:pStyle w:val="a3"/>
      </w:pPr>
      <w:bookmarkStart w:id="3496" w:name="_Ref139749004"/>
      <w:r w:rsidRPr="003B63CB">
        <w:rPr>
          <w:rFonts w:hint="cs"/>
          <w:rtl/>
        </w:rPr>
        <w:t xml:space="preserve">במה שהביא </w:t>
      </w:r>
      <w:r w:rsidRPr="003B63CB">
        <w:rPr>
          <w:rStyle w:val="aff4"/>
          <w:rFonts w:hint="cs"/>
          <w:vanish/>
          <w:rtl/>
        </w:rPr>
        <w:t>-</w:t>
      </w:r>
      <w:r w:rsidRPr="003B63CB">
        <w:rPr>
          <w:rStyle w:val="aff4"/>
          <w:rFonts w:hint="cs"/>
          <w:rtl/>
        </w:rPr>
        <w:t>הכס"מ</w:t>
      </w:r>
      <w:r w:rsidRPr="003B63CB">
        <w:rPr>
          <w:rStyle w:val="aff4"/>
          <w:rFonts w:hint="cs"/>
          <w:vanish/>
          <w:rtl/>
        </w:rPr>
        <w:t>-</w:t>
      </w:r>
      <w:r w:rsidRPr="003B63CB">
        <w:rPr>
          <w:rFonts w:hint="cs"/>
          <w:rtl/>
        </w:rPr>
        <w:t xml:space="preserve"> </w:t>
      </w:r>
      <w:r w:rsidRPr="003B63CB">
        <w:rPr>
          <w:rStyle w:val="af2"/>
          <w:rFonts w:eastAsia="Guttman Hodes" w:hint="cs"/>
          <w:rtl/>
        </w:rPr>
        <w:t xml:space="preserve">(עי' אות </w:t>
      </w:r>
      <w:r w:rsidRPr="003B63CB">
        <w:rPr>
          <w:rStyle w:val="af2"/>
          <w:rFonts w:eastAsia="Guttman Hodes"/>
          <w:rtl/>
        </w:rPr>
        <w:fldChar w:fldCharType="begin"/>
      </w:r>
      <w:r w:rsidRPr="003B63CB">
        <w:rPr>
          <w:rStyle w:val="af2"/>
          <w:rFonts w:eastAsia="Guttman Hodes"/>
          <w:rtl/>
        </w:rPr>
        <w:instrText xml:space="preserve"> </w:instrText>
      </w:r>
      <w:r w:rsidRPr="003B63CB">
        <w:rPr>
          <w:rStyle w:val="af2"/>
          <w:rFonts w:eastAsia="Guttman Hodes" w:hint="cs"/>
        </w:rPr>
        <w:instrText>REF</w:instrText>
      </w:r>
      <w:r w:rsidRPr="003B63CB">
        <w:rPr>
          <w:rStyle w:val="af2"/>
          <w:rFonts w:eastAsia="Guttman Hodes" w:hint="cs"/>
          <w:rtl/>
        </w:rPr>
        <w:instrText xml:space="preserve"> _</w:instrText>
      </w:r>
      <w:r w:rsidRPr="003B63CB">
        <w:rPr>
          <w:rStyle w:val="af2"/>
          <w:rFonts w:eastAsia="Guttman Hodes" w:hint="cs"/>
        </w:rPr>
        <w:instrText>Ref139300976 \r \h</w:instrText>
      </w:r>
      <w:r w:rsidRPr="003B63CB">
        <w:rPr>
          <w:rStyle w:val="af2"/>
          <w:rFonts w:eastAsia="Guttman Hodes"/>
          <w:rtl/>
        </w:rPr>
        <w:instrText xml:space="preserve">  \* </w:instrText>
      </w:r>
      <w:r w:rsidRPr="003B63CB">
        <w:rPr>
          <w:rStyle w:val="af2"/>
          <w:rFonts w:eastAsia="Guttman Hodes"/>
        </w:rPr>
        <w:instrText>MERGEFORMAT</w:instrText>
      </w:r>
      <w:r w:rsidRPr="003B63CB">
        <w:rPr>
          <w:rStyle w:val="af2"/>
          <w:rFonts w:eastAsia="Guttman Hodes"/>
          <w:rtl/>
        </w:rPr>
        <w:instrText xml:space="preserve"> </w:instrText>
      </w:r>
      <w:r w:rsidRPr="003B63CB">
        <w:rPr>
          <w:rStyle w:val="af2"/>
          <w:rFonts w:eastAsia="Guttman Hodes"/>
          <w:rtl/>
        </w:rPr>
      </w:r>
      <w:r w:rsidRPr="003B63CB">
        <w:rPr>
          <w:rStyle w:val="af2"/>
          <w:rFonts w:eastAsia="Guttman Hodes"/>
          <w:rtl/>
        </w:rPr>
        <w:fldChar w:fldCharType="separate"/>
      </w:r>
      <w:r w:rsidR="00D82181">
        <w:rPr>
          <w:rStyle w:val="af2"/>
          <w:rFonts w:eastAsia="Guttman Hodes"/>
          <w:cs/>
        </w:rPr>
        <w:t>‎</w:t>
      </w:r>
      <w:r w:rsidR="00D82181">
        <w:rPr>
          <w:rStyle w:val="af2"/>
          <w:rFonts w:eastAsia="Guttman Hodes"/>
          <w:rtl/>
        </w:rPr>
        <w:t>נד)</w:t>
      </w:r>
      <w:r w:rsidRPr="003B63CB">
        <w:rPr>
          <w:rStyle w:val="af2"/>
          <w:rFonts w:eastAsia="Guttman Hodes"/>
          <w:rtl/>
        </w:rPr>
        <w:fldChar w:fldCharType="end"/>
      </w:r>
      <w:r w:rsidRPr="003B63CB">
        <w:rPr>
          <w:rFonts w:hint="cs"/>
          <w:vanish/>
          <w:rtl/>
        </w:rPr>
        <w:t>=</w:t>
      </w:r>
      <w:r w:rsidRPr="003B63CB">
        <w:rPr>
          <w:rFonts w:hint="cs"/>
          <w:rtl/>
        </w:rPr>
        <w:t xml:space="preserve"> בשם </w:t>
      </w:r>
      <w:r w:rsidRPr="003B63CB">
        <w:rPr>
          <w:rStyle w:val="aff4"/>
          <w:rFonts w:hint="cs"/>
          <w:vanish/>
          <w:rtl/>
        </w:rPr>
        <w:t>-</w:t>
      </w:r>
      <w:r w:rsidRPr="003B63CB">
        <w:rPr>
          <w:rStyle w:val="aff4"/>
          <w:rFonts w:hint="cs"/>
          <w:rtl/>
        </w:rPr>
        <w:t>הרמב"ם בתשו'</w:t>
      </w:r>
      <w:r w:rsidRPr="003B63CB">
        <w:rPr>
          <w:rStyle w:val="aff4"/>
          <w:rFonts w:hint="cs"/>
          <w:vanish/>
          <w:rtl/>
        </w:rPr>
        <w:t>-</w:t>
      </w:r>
      <w:r w:rsidRPr="003B63CB">
        <w:rPr>
          <w:rFonts w:hint="cs"/>
          <w:rtl/>
        </w:rPr>
        <w:t xml:space="preserve"> דבפסיק רישיה אין לו כל כוונה למלאכה, אבל במלאכה שאינה צריכה לגופה כוונתו למלאכה עצמה, ואין כוונתו לתכלית של המלאכה, הקשה </w:t>
      </w:r>
      <w:r w:rsidRPr="003B63CB">
        <w:rPr>
          <w:rStyle w:val="aff4"/>
          <w:rFonts w:hint="cs"/>
          <w:vanish/>
          <w:rtl/>
        </w:rPr>
        <w:t>-</w:t>
      </w:r>
      <w:r w:rsidRPr="003B63CB">
        <w:rPr>
          <w:rStyle w:val="aff4"/>
          <w:rFonts w:hint="cs"/>
          <w:rtl/>
        </w:rPr>
        <w:t>ה</w:t>
      </w:r>
      <w:r w:rsidRPr="003B63CB">
        <w:rPr>
          <w:rStyle w:val="aff4"/>
          <w:rFonts w:hint="cs"/>
          <w:vanish/>
          <w:rtl/>
        </w:rPr>
        <w:t xml:space="preserve">&lt;, </w:t>
      </w:r>
      <w:r w:rsidRPr="003B63CB">
        <w:rPr>
          <w:rStyle w:val="aff4"/>
          <w:vanish/>
          <w:rtl/>
        </w:rPr>
        <w:fldChar w:fldCharType="begin"/>
      </w:r>
      <w:r w:rsidRPr="003B63CB">
        <w:rPr>
          <w:rStyle w:val="aff4"/>
          <w:vanish/>
          <w:rtl/>
        </w:rPr>
        <w:instrText xml:space="preserve"> </w:instrText>
      </w:r>
      <w:r w:rsidRPr="003B63CB">
        <w:rPr>
          <w:rStyle w:val="aff4"/>
          <w:rFonts w:hint="cs"/>
          <w:vanish/>
        </w:rPr>
        <w:instrText>REF</w:instrText>
      </w:r>
      <w:r w:rsidRPr="003B63CB">
        <w:rPr>
          <w:rStyle w:val="aff4"/>
          <w:rFonts w:hint="cs"/>
          <w:vanish/>
          <w:rtl/>
        </w:rPr>
        <w:instrText xml:space="preserve"> _</w:instrText>
      </w:r>
      <w:r w:rsidRPr="003B63CB">
        <w:rPr>
          <w:rStyle w:val="aff4"/>
          <w:rFonts w:hint="cs"/>
          <w:vanish/>
        </w:rPr>
        <w:instrText>Ref139749004 \r \h</w:instrText>
      </w:r>
      <w:r w:rsidRPr="003B63CB">
        <w:rPr>
          <w:rStyle w:val="aff4"/>
          <w:vanish/>
          <w:rtl/>
        </w:rPr>
        <w:instrText xml:space="preserve">  \* </w:instrText>
      </w:r>
      <w:r w:rsidRPr="003B63CB">
        <w:rPr>
          <w:rStyle w:val="aff4"/>
          <w:vanish/>
        </w:rPr>
        <w:instrText>MERGEFORMAT</w:instrText>
      </w:r>
      <w:r w:rsidRPr="003B63CB">
        <w:rPr>
          <w:rStyle w:val="aff4"/>
          <w:vanish/>
          <w:rtl/>
        </w:rPr>
        <w:instrText xml:space="preserve"> </w:instrText>
      </w:r>
      <w:r w:rsidRPr="003B63CB">
        <w:rPr>
          <w:rStyle w:val="aff4"/>
          <w:vanish/>
          <w:rtl/>
        </w:rPr>
      </w:r>
      <w:r w:rsidRPr="003B63CB">
        <w:rPr>
          <w:rStyle w:val="aff4"/>
          <w:vanish/>
          <w:rtl/>
        </w:rPr>
        <w:fldChar w:fldCharType="separate"/>
      </w:r>
      <w:r w:rsidR="00D82181">
        <w:rPr>
          <w:rStyle w:val="aff4"/>
          <w:vanish/>
          <w:cs/>
        </w:rPr>
        <w:t>‎</w:t>
      </w:r>
      <w:r w:rsidR="00D82181">
        <w:rPr>
          <w:rStyle w:val="aff4"/>
          <w:vanish/>
          <w:rtl/>
        </w:rPr>
        <w:t>נה)</w:t>
      </w:r>
      <w:r w:rsidRPr="003B63CB">
        <w:rPr>
          <w:rStyle w:val="aff4"/>
          <w:vanish/>
          <w:rtl/>
        </w:rPr>
        <w:fldChar w:fldCharType="end"/>
      </w:r>
      <w:r w:rsidRPr="003B63CB">
        <w:rPr>
          <w:rStyle w:val="aff4"/>
          <w:rFonts w:hint="cs"/>
          <w:vanish/>
          <w:rtl/>
        </w:rPr>
        <w:t xml:space="preserve"> &gt;</w:t>
      </w:r>
      <w:r w:rsidRPr="003B63CB">
        <w:rPr>
          <w:rStyle w:val="aff4"/>
          <w:rFonts w:hint="cs"/>
          <w:rtl/>
        </w:rPr>
        <w:t>מרכבת המשנה</w:t>
      </w:r>
      <w:r w:rsidRPr="003B63CB">
        <w:rPr>
          <w:rStyle w:val="aff4"/>
          <w:rFonts w:hint="cs"/>
          <w:vanish/>
          <w:rtl/>
        </w:rPr>
        <w:t>-</w:t>
      </w:r>
      <w:r w:rsidRPr="003B63CB">
        <w:rPr>
          <w:rFonts w:hint="cs"/>
          <w:rtl/>
        </w:rPr>
        <w:t xml:space="preserve"> </w:t>
      </w:r>
      <w:r w:rsidRPr="003B63CB">
        <w:rPr>
          <w:rStyle w:val="af2"/>
          <w:rFonts w:eastAsia="Guttman Hodes" w:hint="cs"/>
          <w:rtl/>
        </w:rPr>
        <w:t>(שבת פ"א ה"א ד"ה וראיתי בכ"מ)</w:t>
      </w:r>
      <w:r w:rsidRPr="003B63CB">
        <w:rPr>
          <w:rFonts w:hint="cs"/>
          <w:vanish/>
          <w:rtl/>
        </w:rPr>
        <w:t>=</w:t>
      </w:r>
      <w:r w:rsidRPr="003B63CB">
        <w:rPr>
          <w:rFonts w:hint="cs"/>
          <w:rtl/>
        </w:rPr>
        <w:t xml:space="preserve"> דא"כ מלאכה שאינה צריכה לגופה חמורה יותר מפסיק רישיה, דהא במלאכה שאינה </w:t>
      </w:r>
      <w:r w:rsidRPr="003B63CB">
        <w:rPr>
          <w:rFonts w:hint="cs"/>
          <w:rtl/>
        </w:rPr>
        <w:t>צריכה לגופה הוא מתכוון לעשות מלאכה ובפסיק רישיה לא, וא"כ אמאי מחמיר ר"ש בפסיק רישיה ופוטר במלאכה שאינה צריכה לגופה</w:t>
      </w:r>
      <w:r>
        <w:rPr>
          <w:rFonts w:hint="cs"/>
          <w:rtl/>
        </w:rPr>
        <w:t>.</w:t>
      </w:r>
    </w:p>
    <w:p w14:paraId="2D9807A0" w14:textId="77777777" w:rsidR="002748A5" w:rsidRPr="00747170" w:rsidRDefault="002748A5" w:rsidP="00747170">
      <w:pPr>
        <w:pStyle w:val="a2"/>
        <w:rPr>
          <w:rStyle w:val="afff7"/>
          <w:rtl/>
        </w:rPr>
      </w:pPr>
      <w:r w:rsidRPr="00747170">
        <w:rPr>
          <w:rtl/>
        </w:rPr>
        <w:t xml:space="preserve">וראיתי בכ"מ לקמן ה"ז שכתב מצאתי כתוב ההפרש שבין מלאכה שא"צ לגופה ובין פסיק רישא דגבי פ"ר אינו מכוון למלאכה כל עיקר וכו' אבל משאצל"ג מתכוון למלאכה וכו'. ועם היות שבהשקפה ראשונה דבריו מחוורים אין בהם בנותן טעם דלפ"ז בדין הוא שיהיה משאצל"ג חמיר טפי מפ"ר שהרי מתכוון למלאכה ונהפוך הוא דהא במשאצל"ג פוטר ר' שמעון ובפ"ר מודה דחייב </w:t>
      </w:r>
      <w:r w:rsidRPr="00747170">
        <w:rPr>
          <w:rStyle w:val="afff7"/>
          <w:rtl/>
        </w:rPr>
        <w:t>(והמשל שהביא מצידת צבי הוא נכון לדרך רש"י וכמ"ש הר"ן באריכות סוף פ' האורג שהרי שהיה צבי בבית ונעלו וידוע לו מהצבי אף על פי שלא כוון לצידת הצבי רק לשמירת ביתו גרידא הוה פ"ר אלא כשלא ידע שיש שם צבי ונעלו מותר ואין צריך לפתוח ודלא כדעת הרשב"א דס"ל דמותר לנעול בעדו ובעד הצבי עיין שם. אמנם לדעת הרשב"א תמוה דלמה לא חשיב כה"ג פסיק רישא. ובשלטי גבורים כתב ליישב דברי הרשב"א וז"ל דמצינו למדים דאע"ג דקיי"ל פסיק רישא אסור היינו דוקא שבאותו מעשה דעביד הפ"ר אינו מתכוון ואינו עושה דבר היתר עמו אבל אם באותו פ"ר שעושה עושה ג"כ דבר היתר עמו ומתכוון גם לדבר ההיתר אז אף על גב דקעביד פ"ר ומכוין גם לו שרי וכו' עיין שם. ודבר תימה הוא דבהדיא אמרינן גורר אדם מטה כסא וספסל ובלבד שלא יתכוון לעשות חריץ אלמא דבמתכוון לעשות חריץ אף על פי שעושה ג"כ עמו דבר היתר דהיינו הגרירה אסור וכ"ש בפ"ר עם דבר היתר דאסור ודוחק לדחות דה"ק ובלבד שלא יתכוון לדבר האיסור גרידא דהיינו רק לעשות חריץ. והאיך יפרש לדרכו הא דקיי"ל במסוכרייתא דנזייתא דאסור להדוקי ביום טוב שהרי מתכוון בודאי אף להיתר דהיינו לפקוק. ואי אפשר ליישב דברי הרשב"א אם לא שנאמר דשאני פ"ר דנעילת בית הואיל שאינו עושה הצידה בידים לא דמי לשארי פ"ר והבן זה).</w:t>
      </w:r>
    </w:p>
    <w:p w14:paraId="3C695FB7" w14:textId="77777777" w:rsidR="002748A5" w:rsidRPr="008B711C" w:rsidRDefault="002748A5" w:rsidP="002748A5">
      <w:pPr>
        <w:pStyle w:val="a7"/>
        <w:rPr>
          <w:rtl/>
        </w:rPr>
      </w:pPr>
      <w:bookmarkStart w:id="3497" w:name="_Toc140092066"/>
      <w:bookmarkStart w:id="3498" w:name="_Toc140144266"/>
      <w:bookmarkStart w:id="3499" w:name="_Toc140144497"/>
      <w:r>
        <w:rPr>
          <w:rFonts w:hint="cs"/>
          <w:rtl/>
        </w:rPr>
        <w:t>בי' המרכה"מ דלערוך דפס"ר דלא ניחא ליה פטור אפש"ל דה"ה במשאצל"ג דבניחא ליה חייב</w:t>
      </w:r>
      <w:bookmarkEnd w:id="3497"/>
      <w:bookmarkEnd w:id="3498"/>
      <w:bookmarkEnd w:id="3499"/>
    </w:p>
    <w:p w14:paraId="3189BA1C" w14:textId="338C9E80" w:rsidR="002748A5" w:rsidRPr="003B63CB" w:rsidRDefault="002748A5" w:rsidP="00BC7DC8">
      <w:pPr>
        <w:pStyle w:val="a3"/>
        <w:rPr>
          <w:rtl/>
        </w:rPr>
      </w:pPr>
      <w:bookmarkStart w:id="3500" w:name="_Ref140076024"/>
      <w:r w:rsidRPr="003B63CB">
        <w:rPr>
          <w:rFonts w:hint="cs"/>
          <w:rtl/>
        </w:rPr>
        <w:t xml:space="preserve">אלא כתב </w:t>
      </w:r>
      <w:r w:rsidRPr="003B63CB">
        <w:rPr>
          <w:rStyle w:val="aff4"/>
          <w:rFonts w:hint="cs"/>
          <w:vanish/>
          <w:rtl/>
        </w:rPr>
        <w:t>-</w:t>
      </w:r>
      <w:r w:rsidRPr="003B63CB">
        <w:rPr>
          <w:rStyle w:val="aff4"/>
          <w:rFonts w:hint="cs"/>
          <w:rtl/>
        </w:rPr>
        <w:t>המרכבת המשנה</w:t>
      </w:r>
      <w:r w:rsidRPr="003B63CB">
        <w:rPr>
          <w:rStyle w:val="aff4"/>
          <w:rFonts w:hint="cs"/>
          <w:vanish/>
          <w:rtl/>
        </w:rPr>
        <w:t>-</w:t>
      </w:r>
      <w:r w:rsidRPr="003B63CB">
        <w:rPr>
          <w:rFonts w:hint="cs"/>
          <w:rtl/>
        </w:rPr>
        <w:t xml:space="preserve"> דאפשר לתרץ לפי מ"ש </w:t>
      </w:r>
      <w:r w:rsidRPr="003B63CB">
        <w:rPr>
          <w:rStyle w:val="aff4"/>
          <w:rFonts w:hint="cs"/>
          <w:vanish/>
          <w:rtl/>
        </w:rPr>
        <w:t>-</w:t>
      </w:r>
      <w:r w:rsidRPr="003B63CB">
        <w:rPr>
          <w:rStyle w:val="aff4"/>
          <w:rFonts w:hint="cs"/>
          <w:rtl/>
        </w:rPr>
        <w:t>התוס' לקמן</w:t>
      </w:r>
      <w:r w:rsidRPr="003B63CB">
        <w:rPr>
          <w:rStyle w:val="aff4"/>
          <w:rFonts w:hint="cs"/>
          <w:vanish/>
          <w:rtl/>
        </w:rPr>
        <w:t>-</w:t>
      </w:r>
      <w:r w:rsidRPr="003B63CB">
        <w:rPr>
          <w:rFonts w:hint="cs"/>
          <w:rtl/>
        </w:rPr>
        <w:t xml:space="preserve"> </w:t>
      </w:r>
      <w:r w:rsidRPr="003B63CB">
        <w:rPr>
          <w:rStyle w:val="af2"/>
          <w:rFonts w:eastAsia="Guttman Hodes" w:hint="cs"/>
          <w:rtl/>
        </w:rPr>
        <w:t>(קג. ד"ה לא צריכא)</w:t>
      </w:r>
      <w:r w:rsidRPr="003B63CB">
        <w:rPr>
          <w:rFonts w:hint="cs"/>
          <w:rtl/>
        </w:rPr>
        <w:t xml:space="preserve"> בשם </w:t>
      </w:r>
      <w:r w:rsidRPr="003B63CB">
        <w:rPr>
          <w:rStyle w:val="aff4"/>
          <w:rFonts w:hint="cs"/>
          <w:vanish/>
          <w:rtl/>
        </w:rPr>
        <w:t>-</w:t>
      </w:r>
      <w:r w:rsidRPr="003B63CB">
        <w:rPr>
          <w:rStyle w:val="aff4"/>
          <w:rFonts w:hint="cs"/>
          <w:rtl/>
        </w:rPr>
        <w:t>ה</w:t>
      </w:r>
      <w:r w:rsidRPr="00F86222">
        <w:rPr>
          <w:rStyle w:val="aff4"/>
          <w:rFonts w:hint="cs"/>
          <w:vanish/>
          <w:rtl/>
        </w:rPr>
        <w:t xml:space="preserve">&lt;, </w:t>
      </w:r>
      <w:r w:rsidRPr="00F86222">
        <w:rPr>
          <w:rStyle w:val="aff4"/>
          <w:vanish/>
          <w:rtl/>
        </w:rPr>
        <w:fldChar w:fldCharType="begin"/>
      </w:r>
      <w:r w:rsidRPr="00F86222">
        <w:rPr>
          <w:rStyle w:val="aff4"/>
          <w:vanish/>
          <w:rtl/>
        </w:rPr>
        <w:instrText xml:space="preserve"> </w:instrText>
      </w:r>
      <w:r w:rsidRPr="00F86222">
        <w:rPr>
          <w:rStyle w:val="aff4"/>
          <w:rFonts w:hint="cs"/>
          <w:vanish/>
        </w:rPr>
        <w:instrText>REF</w:instrText>
      </w:r>
      <w:r w:rsidRPr="00F86222">
        <w:rPr>
          <w:rStyle w:val="aff4"/>
          <w:rFonts w:hint="cs"/>
          <w:vanish/>
          <w:rtl/>
        </w:rPr>
        <w:instrText xml:space="preserve"> _</w:instrText>
      </w:r>
      <w:r w:rsidRPr="00F86222">
        <w:rPr>
          <w:rStyle w:val="aff4"/>
          <w:rFonts w:hint="cs"/>
          <w:vanish/>
        </w:rPr>
        <w:instrText>Ref140076024 \r \h</w:instrText>
      </w:r>
      <w:r w:rsidRPr="00F86222">
        <w:rPr>
          <w:rStyle w:val="aff4"/>
          <w:vanish/>
          <w:rtl/>
        </w:rPr>
        <w:instrText xml:space="preserve"> </w:instrText>
      </w:r>
      <w:r>
        <w:rPr>
          <w:rStyle w:val="aff4"/>
          <w:vanish/>
          <w:rtl/>
        </w:rPr>
        <w:instrText xml:space="preserve"> \* </w:instrText>
      </w:r>
      <w:r>
        <w:rPr>
          <w:rStyle w:val="aff4"/>
          <w:vanish/>
        </w:rPr>
        <w:instrText>MERGEFORMAT</w:instrText>
      </w:r>
      <w:r>
        <w:rPr>
          <w:rStyle w:val="aff4"/>
          <w:vanish/>
          <w:rtl/>
        </w:rPr>
        <w:instrText xml:space="preserve"> </w:instrText>
      </w:r>
      <w:r w:rsidRPr="00F86222">
        <w:rPr>
          <w:rStyle w:val="aff4"/>
          <w:vanish/>
          <w:rtl/>
        </w:rPr>
      </w:r>
      <w:r w:rsidRPr="00F86222">
        <w:rPr>
          <w:rStyle w:val="aff4"/>
          <w:vanish/>
          <w:rtl/>
        </w:rPr>
        <w:fldChar w:fldCharType="separate"/>
      </w:r>
      <w:r w:rsidR="00D82181">
        <w:rPr>
          <w:rStyle w:val="aff4"/>
          <w:vanish/>
          <w:cs/>
        </w:rPr>
        <w:t>‎</w:t>
      </w:r>
      <w:r w:rsidR="00D82181">
        <w:rPr>
          <w:rStyle w:val="aff4"/>
          <w:vanish/>
          <w:rtl/>
        </w:rPr>
        <w:t>נו)</w:t>
      </w:r>
      <w:r w:rsidRPr="00F86222">
        <w:rPr>
          <w:rStyle w:val="aff4"/>
          <w:vanish/>
          <w:rtl/>
        </w:rPr>
        <w:fldChar w:fldCharType="end"/>
      </w:r>
      <w:r w:rsidRPr="00F86222">
        <w:rPr>
          <w:rStyle w:val="aff4"/>
          <w:rFonts w:hint="cs"/>
          <w:vanish/>
          <w:rtl/>
        </w:rPr>
        <w:t xml:space="preserve"> &gt;</w:t>
      </w:r>
      <w:r w:rsidRPr="003B63CB">
        <w:rPr>
          <w:rStyle w:val="aff4"/>
          <w:rFonts w:hint="cs"/>
          <w:rtl/>
        </w:rPr>
        <w:t>ערוך</w:t>
      </w:r>
      <w:r w:rsidRPr="003B63CB">
        <w:rPr>
          <w:rStyle w:val="aff4"/>
          <w:rFonts w:hint="cs"/>
          <w:vanish/>
          <w:rtl/>
        </w:rPr>
        <w:t>-</w:t>
      </w:r>
      <w:r w:rsidRPr="003B63CB">
        <w:rPr>
          <w:rFonts w:hint="cs"/>
          <w:rtl/>
        </w:rPr>
        <w:t xml:space="preserve"> </w:t>
      </w:r>
      <w:r w:rsidRPr="00F86222">
        <w:rPr>
          <w:rStyle w:val="af2"/>
          <w:rFonts w:eastAsia="Guttman Hodes" w:hint="cs"/>
          <w:rtl/>
        </w:rPr>
        <w:t>(ערך פסק א', נד' במהדו' עוז והדר קלג. ד"ה מודה)</w:t>
      </w:r>
      <w:r w:rsidRPr="00F86222">
        <w:rPr>
          <w:rFonts w:hint="cs"/>
          <w:vanish/>
          <w:rtl/>
        </w:rPr>
        <w:t xml:space="preserve"> </w:t>
      </w:r>
      <w:r w:rsidRPr="003B63CB">
        <w:rPr>
          <w:rFonts w:hint="cs"/>
          <w:vanish/>
          <w:rtl/>
        </w:rPr>
        <w:t>=</w:t>
      </w:r>
      <w:r>
        <w:rPr>
          <w:rFonts w:hint="cs"/>
          <w:rtl/>
        </w:rPr>
        <w:t xml:space="preserve"> </w:t>
      </w:r>
      <w:r w:rsidRPr="003B63CB">
        <w:rPr>
          <w:rFonts w:hint="cs"/>
          <w:rtl/>
        </w:rPr>
        <w:t>דפסיק רישיה דלא ניחא לי פטור, ולפי"ז אפש"ל דהא דס"ל לר"ש דמלאכה שאינה צריכה לגופה פטור</w:t>
      </w:r>
      <w:r>
        <w:rPr>
          <w:rFonts w:hint="cs"/>
          <w:rtl/>
        </w:rPr>
        <w:t>,</w:t>
      </w:r>
      <w:r w:rsidRPr="003B63CB">
        <w:rPr>
          <w:rFonts w:hint="cs"/>
          <w:rtl/>
        </w:rPr>
        <w:t xml:space="preserve"> היינו דוקא באופן דלא ניחא ליה במלאכה, כחופר גומא דלא ניחא ליה כלל בגומא דהוא מקלקל בזה, והחיוב בפסיק רישיה הוא רק באופן דניחא ליה, אבל בלא ליה פטור דגרע אף ממלאכה שאינה צריכה לגופה, דהא אין לו כוונה למלאכה כלל, אך כתב </w:t>
      </w:r>
      <w:r w:rsidRPr="003B63CB">
        <w:rPr>
          <w:rStyle w:val="aff4"/>
          <w:rFonts w:hint="cs"/>
          <w:vanish/>
          <w:rtl/>
        </w:rPr>
        <w:t>-</w:t>
      </w:r>
      <w:r w:rsidRPr="003B63CB">
        <w:rPr>
          <w:rStyle w:val="aff4"/>
          <w:rFonts w:hint="cs"/>
          <w:rtl/>
        </w:rPr>
        <w:t>המרכבת המשנה</w:t>
      </w:r>
      <w:r w:rsidRPr="003B63CB">
        <w:rPr>
          <w:rStyle w:val="aff4"/>
          <w:rFonts w:hint="cs"/>
          <w:vanish/>
          <w:rtl/>
        </w:rPr>
        <w:t>-</w:t>
      </w:r>
      <w:r w:rsidRPr="003B63CB">
        <w:rPr>
          <w:rFonts w:hint="cs"/>
          <w:rtl/>
        </w:rPr>
        <w:t xml:space="preserve"> דלפי דברי </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w:t>
      </w:r>
      <w:r w:rsidRPr="003B63CB">
        <w:rPr>
          <w:rStyle w:val="af2"/>
          <w:rFonts w:eastAsia="Guttman Hodes" w:hint="cs"/>
          <w:rtl/>
        </w:rPr>
        <w:t>(</w:t>
      </w:r>
      <w:r>
        <w:rPr>
          <w:rStyle w:val="af2"/>
          <w:rFonts w:eastAsia="Guttman Hodes" w:hint="cs"/>
          <w:rtl/>
        </w:rPr>
        <w:t>הובאו בסימן ט',</w:t>
      </w:r>
      <w:r w:rsidRPr="003B63CB">
        <w:rPr>
          <w:rStyle w:val="af2"/>
          <w:rFonts w:eastAsia="Guttman Hodes" w:hint="cs"/>
          <w:rtl/>
        </w:rPr>
        <w:t xml:space="preserve"> אות </w:t>
      </w:r>
      <w:r>
        <w:rPr>
          <w:rStyle w:val="af2"/>
          <w:rFonts w:eastAsia="Guttman Hodes" w:hint="cs"/>
          <w:rtl/>
        </w:rPr>
        <w:t>א'</w:t>
      </w:r>
      <w:r w:rsidRPr="003B63CB">
        <w:rPr>
          <w:rStyle w:val="af2"/>
          <w:rFonts w:eastAsia="Guttman Hodes" w:hint="cs"/>
          <w:rtl/>
        </w:rPr>
        <w:t>)</w:t>
      </w:r>
      <w:r w:rsidRPr="003B63CB">
        <w:rPr>
          <w:rFonts w:hint="cs"/>
          <w:rtl/>
        </w:rPr>
        <w:t xml:space="preserve"> דמחייב בפסיק רישיה אף בדבר דלא איכפת ליה עדיין קשה, </w:t>
      </w:r>
      <w:r w:rsidRPr="003B63CB">
        <w:rPr>
          <w:rStyle w:val="af"/>
          <w:rFonts w:hint="cs"/>
          <w:rtl/>
        </w:rPr>
        <w:t xml:space="preserve">[ועיי"ש במה שהאריך </w:t>
      </w:r>
      <w:r w:rsidRPr="003B63CB">
        <w:rPr>
          <w:rStyle w:val="aff9"/>
          <w:rFonts w:hint="cs"/>
          <w:vanish/>
          <w:rtl/>
        </w:rPr>
        <w:t>-</w:t>
      </w:r>
      <w:r w:rsidRPr="003B63CB">
        <w:rPr>
          <w:rStyle w:val="aff9"/>
          <w:rFonts w:hint="cs"/>
          <w:rtl/>
        </w:rPr>
        <w:t>המרכבת המשנה</w:t>
      </w:r>
      <w:r w:rsidRPr="003B63CB">
        <w:rPr>
          <w:rStyle w:val="aff9"/>
          <w:rFonts w:hint="cs"/>
          <w:vanish/>
          <w:rtl/>
        </w:rPr>
        <w:t>-</w:t>
      </w:r>
      <w:r w:rsidRPr="003B63CB">
        <w:rPr>
          <w:rStyle w:val="af"/>
          <w:rFonts w:hint="cs"/>
          <w:rtl/>
        </w:rPr>
        <w:t xml:space="preserve"> בדעת </w:t>
      </w:r>
      <w:r w:rsidRPr="003B63CB">
        <w:rPr>
          <w:rStyle w:val="aff9"/>
          <w:rFonts w:hint="cs"/>
          <w:vanish/>
          <w:rtl/>
        </w:rPr>
        <w:t>-</w:t>
      </w:r>
      <w:r w:rsidRPr="003B63CB">
        <w:rPr>
          <w:rStyle w:val="aff9"/>
          <w:rFonts w:hint="cs"/>
          <w:rtl/>
        </w:rPr>
        <w:t>רש"י</w:t>
      </w:r>
      <w:r w:rsidRPr="003B63CB">
        <w:rPr>
          <w:rStyle w:val="aff9"/>
          <w:rFonts w:hint="cs"/>
          <w:vanish/>
          <w:rtl/>
        </w:rPr>
        <w:t>-</w:t>
      </w:r>
      <w:r w:rsidRPr="003B63CB">
        <w:rPr>
          <w:rStyle w:val="af"/>
          <w:rFonts w:hint="cs"/>
          <w:rtl/>
        </w:rPr>
        <w:t xml:space="preserve"> בפסיק רישיה],</w:t>
      </w:r>
      <w:r w:rsidRPr="003B63CB">
        <w:rPr>
          <w:rFonts w:hint="cs"/>
          <w:rtl/>
        </w:rPr>
        <w:t xml:space="preserve"> וכעי"ז כתב </w:t>
      </w:r>
      <w:r w:rsidRPr="003B63CB">
        <w:rPr>
          <w:rStyle w:val="aff4"/>
          <w:rFonts w:hint="cs"/>
          <w:vanish/>
          <w:rtl/>
        </w:rPr>
        <w:t>-</w:t>
      </w:r>
      <w:r w:rsidRPr="003B63CB">
        <w:rPr>
          <w:rStyle w:val="aff4"/>
          <w:rFonts w:hint="cs"/>
          <w:rtl/>
        </w:rPr>
        <w:t>הכפות תמרים</w:t>
      </w:r>
      <w:r w:rsidRPr="003B63CB">
        <w:rPr>
          <w:rStyle w:val="aff4"/>
          <w:rFonts w:hint="cs"/>
          <w:vanish/>
          <w:rtl/>
        </w:rPr>
        <w:t>-</w:t>
      </w:r>
      <w:r w:rsidRPr="003B63CB">
        <w:rPr>
          <w:rFonts w:hint="cs"/>
          <w:rtl/>
        </w:rPr>
        <w:t xml:space="preserve"> </w:t>
      </w:r>
      <w:r w:rsidRPr="003B63C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Ref140077450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נח)</w:t>
      </w:r>
      <w:r>
        <w:rPr>
          <w:rStyle w:val="af2"/>
          <w:rFonts w:eastAsia="Guttman Hodes"/>
          <w:rtl/>
        </w:rPr>
        <w:fldChar w:fldCharType="end"/>
      </w:r>
      <w:r w:rsidRPr="003B63CB">
        <w:rPr>
          <w:rFonts w:hint="cs"/>
          <w:rtl/>
        </w:rPr>
        <w:t>.</w:t>
      </w:r>
      <w:bookmarkEnd w:id="3496"/>
      <w:bookmarkEnd w:id="3500"/>
      <w:r w:rsidRPr="003B63CB">
        <w:rPr>
          <w:rFonts w:hint="cs"/>
          <w:rtl/>
        </w:rPr>
        <w:t xml:space="preserve"> </w:t>
      </w:r>
    </w:p>
    <w:p w14:paraId="0BB59AB8" w14:textId="77777777" w:rsidR="002748A5" w:rsidRPr="00747170" w:rsidRDefault="002748A5" w:rsidP="00747170">
      <w:pPr>
        <w:pStyle w:val="a2"/>
        <w:rPr>
          <w:rtl/>
        </w:rPr>
      </w:pPr>
      <w:r w:rsidRPr="00747170">
        <w:rPr>
          <w:rtl/>
        </w:rPr>
        <w:t xml:space="preserve">וראיתי יישוב לקושיא זו בדברי התוס' פ' הבונה ובתוס' יומא ד"ה ה"מ הנ"ל שכתבו בשם הערוך דכל פסיק רישא דלא ניחא ליה שאינו נהנה מותר וא"כ י"ל דלא קפטר ר' </w:t>
      </w:r>
      <w:r w:rsidRPr="00747170">
        <w:rPr>
          <w:rFonts w:hint="cs"/>
          <w:rtl/>
        </w:rPr>
        <w:t>מ</w:t>
      </w:r>
      <w:r w:rsidRPr="00747170">
        <w:rPr>
          <w:rtl/>
        </w:rPr>
        <w:t>שמעון במלאכה שא"צ לגופה כמו החופר גומא וא"צ לעפרה אלא משום דלא ניחא ליה הגומא (אפי' אלו לא היה מקלקל דמשום מקלקל אף ר' יהודה מודה דפטור) וכן כל משאצל"ג איירי דלא ניחא ליה דאי ניחא ליה הו"ל מלאכה שצריכה לגופה והילכך כיון דבמשאצל"ג מכוון למלאכה אסור והואיל דלא ניחא ליה פטור. ובפ"ר הואיל דניחא ליה אף על גב שאינו מתכוון למלאכה חייב אבל בפ"ר דלא ניחא ליה שג"כ אינו מתכוון למלאכה גרע ממשאצל"ג הילכך אפילו לכתחלה שרי. אבל לדעת רש"י בשבת דף ע"ה דבמידי דלא איכפת ליה חייב בפ"ר כנזכר הדרא הקושיא לדוכתא דמאי אולמיה דפ"ר ממשאצל"ג.</w:t>
      </w:r>
    </w:p>
    <w:p w14:paraId="50FD3074" w14:textId="77777777" w:rsidR="002748A5" w:rsidRPr="00C12F78" w:rsidRDefault="002748A5" w:rsidP="002748A5">
      <w:pPr>
        <w:pStyle w:val="afffff7"/>
        <w:rPr>
          <w:rtl/>
        </w:rPr>
      </w:pPr>
      <w:bookmarkStart w:id="3501" w:name="_Toc140144381"/>
      <w:bookmarkStart w:id="3502" w:name="_Toc140144857"/>
      <w:bookmarkStart w:id="3503" w:name="_Toc163505972"/>
      <w:r w:rsidRPr="00C12F78">
        <w:rPr>
          <w:rtl/>
        </w:rPr>
        <w:t>כפות תמרים סוכה ל"ג ע"ב</w:t>
      </w:r>
      <w:r w:rsidRPr="00C12F78">
        <w:rPr>
          <w:rFonts w:hint="cs"/>
          <w:rtl/>
        </w:rPr>
        <w:t xml:space="preserve"> ד</w:t>
      </w:r>
      <w:r w:rsidRPr="00C12F78">
        <w:rPr>
          <w:rFonts w:cs="Guttman Hodes" w:hint="cs"/>
          <w:rtl/>
        </w:rPr>
        <w:t>"</w:t>
      </w:r>
      <w:r w:rsidRPr="00C12F78">
        <w:rPr>
          <w:rFonts w:hint="cs"/>
          <w:rtl/>
        </w:rPr>
        <w:t>ה והא</w:t>
      </w:r>
      <w:bookmarkEnd w:id="3501"/>
      <w:r w:rsidRPr="00C12F78">
        <w:rPr>
          <w:rtl/>
        </w:rPr>
        <w:t xml:space="preserve"> (ח)</w:t>
      </w:r>
      <w:bookmarkEnd w:id="3502"/>
      <w:bookmarkEnd w:id="3503"/>
    </w:p>
    <w:p w14:paraId="1C38A10B" w14:textId="77777777" w:rsidR="002748A5" w:rsidRPr="003B63CB" w:rsidRDefault="002748A5" w:rsidP="002748A5">
      <w:pPr>
        <w:pStyle w:val="a7"/>
        <w:rPr>
          <w:rtl/>
        </w:rPr>
      </w:pPr>
      <w:bookmarkStart w:id="3504" w:name="_Toc140092067"/>
      <w:bookmarkStart w:id="3505" w:name="_Toc140144267"/>
      <w:bookmarkStart w:id="3506" w:name="_Toc140144498"/>
      <w:r>
        <w:rPr>
          <w:rFonts w:hint="cs"/>
          <w:rtl/>
        </w:rPr>
        <w:t>קו' הכפו"ת דלרש"י והר"ן והרמב"ם דמשאצל"ג הוא מניעת נזק דהוא כפס"ר דחייב לר"ש</w:t>
      </w:r>
      <w:bookmarkEnd w:id="3504"/>
      <w:bookmarkEnd w:id="3505"/>
      <w:bookmarkEnd w:id="3506"/>
    </w:p>
    <w:p w14:paraId="4386E0BD" w14:textId="4ABD7A55" w:rsidR="002748A5" w:rsidRPr="003B63CB" w:rsidRDefault="002748A5" w:rsidP="00BC7DC8">
      <w:pPr>
        <w:pStyle w:val="a3"/>
        <w:rPr>
          <w:rtl/>
        </w:rPr>
      </w:pPr>
      <w:bookmarkStart w:id="3507" w:name="_Ref139484122"/>
      <w:r w:rsidRPr="003B63CB">
        <w:rPr>
          <w:rFonts w:hint="cs"/>
          <w:rtl/>
        </w:rPr>
        <w:t xml:space="preserve">הקשה </w:t>
      </w:r>
      <w:r w:rsidRPr="003B63CB">
        <w:rPr>
          <w:rStyle w:val="aff4"/>
          <w:rFonts w:hint="cs"/>
          <w:vanish/>
          <w:rtl/>
        </w:rPr>
        <w:t>-</w:t>
      </w:r>
      <w:r w:rsidRPr="003B63CB">
        <w:rPr>
          <w:rStyle w:val="aff4"/>
          <w:rFonts w:hint="cs"/>
          <w:rtl/>
        </w:rPr>
        <w:t>ה</w:t>
      </w:r>
      <w:r w:rsidRPr="003B63CB">
        <w:rPr>
          <w:rStyle w:val="aff4"/>
          <w:rFonts w:hint="cs"/>
          <w:vanish/>
          <w:rtl/>
        </w:rPr>
        <w:t xml:space="preserve">&lt;, </w:t>
      </w:r>
      <w:r w:rsidRPr="003B63CB">
        <w:rPr>
          <w:rStyle w:val="aff4"/>
          <w:vanish/>
          <w:rtl/>
        </w:rPr>
        <w:fldChar w:fldCharType="begin"/>
      </w:r>
      <w:r w:rsidRPr="003B63CB">
        <w:rPr>
          <w:rStyle w:val="aff4"/>
          <w:vanish/>
          <w:rtl/>
        </w:rPr>
        <w:instrText xml:space="preserve"> </w:instrText>
      </w:r>
      <w:r w:rsidRPr="003B63CB">
        <w:rPr>
          <w:rStyle w:val="aff4"/>
          <w:rFonts w:hint="cs"/>
          <w:vanish/>
        </w:rPr>
        <w:instrText>REF</w:instrText>
      </w:r>
      <w:r w:rsidRPr="003B63CB">
        <w:rPr>
          <w:rStyle w:val="aff4"/>
          <w:rFonts w:hint="cs"/>
          <w:vanish/>
          <w:rtl/>
        </w:rPr>
        <w:instrText xml:space="preserve"> _</w:instrText>
      </w:r>
      <w:r w:rsidRPr="003B63CB">
        <w:rPr>
          <w:rStyle w:val="aff4"/>
          <w:rFonts w:hint="cs"/>
          <w:vanish/>
        </w:rPr>
        <w:instrText>Ref139484122 \r \h</w:instrText>
      </w:r>
      <w:r w:rsidRPr="003B63CB">
        <w:rPr>
          <w:rStyle w:val="aff4"/>
          <w:vanish/>
          <w:rtl/>
        </w:rPr>
        <w:instrText xml:space="preserve">  \* </w:instrText>
      </w:r>
      <w:r w:rsidRPr="003B63CB">
        <w:rPr>
          <w:rStyle w:val="aff4"/>
          <w:vanish/>
        </w:rPr>
        <w:instrText>MERGEFORMAT</w:instrText>
      </w:r>
      <w:r w:rsidRPr="003B63CB">
        <w:rPr>
          <w:rStyle w:val="aff4"/>
          <w:vanish/>
          <w:rtl/>
        </w:rPr>
        <w:instrText xml:space="preserve"> </w:instrText>
      </w:r>
      <w:r w:rsidRPr="003B63CB">
        <w:rPr>
          <w:rStyle w:val="aff4"/>
          <w:vanish/>
          <w:rtl/>
        </w:rPr>
      </w:r>
      <w:r w:rsidRPr="003B63CB">
        <w:rPr>
          <w:rStyle w:val="aff4"/>
          <w:vanish/>
          <w:rtl/>
        </w:rPr>
        <w:fldChar w:fldCharType="separate"/>
      </w:r>
      <w:r w:rsidR="00D82181">
        <w:rPr>
          <w:rStyle w:val="aff4"/>
          <w:vanish/>
          <w:cs/>
        </w:rPr>
        <w:t>‎</w:t>
      </w:r>
      <w:r w:rsidR="00D82181">
        <w:rPr>
          <w:rStyle w:val="aff4"/>
          <w:vanish/>
          <w:rtl/>
        </w:rPr>
        <w:t>נז)</w:t>
      </w:r>
      <w:r w:rsidRPr="003B63CB">
        <w:rPr>
          <w:rStyle w:val="aff4"/>
          <w:vanish/>
          <w:rtl/>
        </w:rPr>
        <w:fldChar w:fldCharType="end"/>
      </w:r>
      <w:r w:rsidRPr="003B63CB">
        <w:rPr>
          <w:rStyle w:val="aff4"/>
          <w:rFonts w:hint="cs"/>
          <w:vanish/>
          <w:rtl/>
        </w:rPr>
        <w:t xml:space="preserve"> &gt;</w:t>
      </w:r>
      <w:r w:rsidRPr="003B63CB">
        <w:rPr>
          <w:rStyle w:val="aff4"/>
          <w:rFonts w:hint="cs"/>
          <w:rtl/>
        </w:rPr>
        <w:t>כפות תמרים</w:t>
      </w:r>
      <w:r w:rsidRPr="003B63CB">
        <w:rPr>
          <w:rStyle w:val="aff4"/>
          <w:rFonts w:hint="cs"/>
          <w:vanish/>
          <w:rtl/>
        </w:rPr>
        <w:t>-</w:t>
      </w:r>
      <w:r w:rsidRPr="003B63CB">
        <w:rPr>
          <w:rFonts w:hint="cs"/>
          <w:rtl/>
        </w:rPr>
        <w:t xml:space="preserve"> </w:t>
      </w:r>
      <w:r w:rsidRPr="003B63CB">
        <w:rPr>
          <w:rStyle w:val="af2"/>
          <w:rFonts w:eastAsia="Guttman Hodes" w:hint="cs"/>
          <w:rtl/>
        </w:rPr>
        <w:t>(סוכה לג: ד"ה והא)</w:t>
      </w:r>
      <w:r w:rsidRPr="003B63CB">
        <w:rPr>
          <w:rFonts w:hint="cs"/>
          <w:vanish/>
          <w:rtl/>
        </w:rPr>
        <w:t>=</w:t>
      </w:r>
      <w:r w:rsidRPr="003B63CB">
        <w:rPr>
          <w:rFonts w:hint="cs"/>
          <w:rtl/>
        </w:rPr>
        <w:t xml:space="preserve"> דבכל פסיק רישיה הוא מלאכה שאינה צריכה לגופה, לדעת </w:t>
      </w:r>
      <w:r w:rsidRPr="003B63CB">
        <w:rPr>
          <w:rStyle w:val="aff4"/>
          <w:rFonts w:hint="cs"/>
          <w:vanish/>
          <w:rtl/>
        </w:rPr>
        <w:t>-</w:t>
      </w:r>
      <w:r w:rsidRPr="003B63CB">
        <w:rPr>
          <w:rStyle w:val="aff4"/>
          <w:rFonts w:hint="cs"/>
          <w:rtl/>
        </w:rPr>
        <w:t>רש"</w:t>
      </w:r>
      <w:r w:rsidRPr="00ED0025">
        <w:rPr>
          <w:rStyle w:val="aff4"/>
          <w:rFonts w:hint="cs"/>
          <w:rtl/>
        </w:rPr>
        <w:t>י ו</w:t>
      </w:r>
      <w:r w:rsidRPr="003B63CB">
        <w:rPr>
          <w:rStyle w:val="aff4"/>
          <w:rFonts w:hint="cs"/>
          <w:rtl/>
        </w:rPr>
        <w:t>הר"ן</w:t>
      </w:r>
      <w:r w:rsidRPr="003B63CB">
        <w:rPr>
          <w:rStyle w:val="aff4"/>
          <w:rFonts w:hint="cs"/>
          <w:vanish/>
          <w:rtl/>
        </w:rPr>
        <w:t>-</w:t>
      </w:r>
      <w:r w:rsidRPr="003B63CB">
        <w:rPr>
          <w:rStyle w:val="af2"/>
          <w:rFonts w:eastAsia="Guttman Hodes" w:hint="cs"/>
          <w:rtl/>
        </w:rPr>
        <w:t xml:space="preserve"> (עי'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Ref139359821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ב)</w:t>
      </w:r>
      <w:r>
        <w:rPr>
          <w:rStyle w:val="af2"/>
          <w:rFonts w:eastAsia="Guttman Hodes"/>
          <w:rtl/>
        </w:rPr>
        <w:fldChar w:fldCharType="end"/>
      </w:r>
      <w:bookmarkEnd w:id="3507"/>
      <w:r w:rsidRPr="003B63CB">
        <w:rPr>
          <w:rFonts w:hint="cs"/>
          <w:rtl/>
        </w:rPr>
        <w:t xml:space="preserve"> וכן משמע </w:t>
      </w:r>
      <w:r w:rsidRPr="003B63CB">
        <w:rPr>
          <w:rStyle w:val="aff4"/>
          <w:rFonts w:hint="cs"/>
          <w:vanish/>
          <w:rtl/>
        </w:rPr>
        <w:t>-</w:t>
      </w:r>
      <w:r w:rsidRPr="003B63CB">
        <w:rPr>
          <w:rStyle w:val="aff4"/>
          <w:rFonts w:hint="cs"/>
          <w:rtl/>
        </w:rPr>
        <w:t>מהרמב"ם</w:t>
      </w:r>
      <w:r w:rsidRPr="003B63CB">
        <w:rPr>
          <w:rStyle w:val="aff4"/>
          <w:rFonts w:hint="cs"/>
          <w:vanish/>
          <w:rtl/>
        </w:rPr>
        <w:t>-</w:t>
      </w:r>
      <w:r w:rsidRPr="003B63CB">
        <w:rPr>
          <w:rFonts w:hint="cs"/>
          <w:rtl/>
        </w:rPr>
        <w:t xml:space="preserve"> </w:t>
      </w:r>
      <w:r w:rsidRPr="003B63C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Ref140076206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נא)</w:t>
      </w:r>
      <w:r>
        <w:rPr>
          <w:rStyle w:val="af2"/>
          <w:rFonts w:eastAsia="Guttman Hodes"/>
          <w:rtl/>
        </w:rPr>
        <w:fldChar w:fldCharType="end"/>
      </w:r>
      <w:r w:rsidRPr="003B63CB">
        <w:rPr>
          <w:rFonts w:hint="cs"/>
          <w:rtl/>
        </w:rPr>
        <w:t xml:space="preserve"> דמלאכה שאינה צריכה לגופה הוא מניעת היזק. </w:t>
      </w:r>
    </w:p>
    <w:p w14:paraId="28687FEA" w14:textId="77777777" w:rsidR="002748A5" w:rsidRPr="00747170" w:rsidRDefault="002748A5" w:rsidP="00747170">
      <w:pPr>
        <w:pStyle w:val="a2"/>
      </w:pPr>
      <w:r w:rsidRPr="00747170">
        <w:rPr>
          <w:rtl/>
        </w:rPr>
        <w:t>והא אביי ורבא דאמרי תרווייהו מודה ר"ש בפסיק רישיה כו' פירש רש"י שאומר אחתוך ראש בהמה זו בשבת ואיני רוצה שתמות כו'. וכ"כ הרמב"ם רפ"א דשבת דפסיק רישיה חייב וז"ל הרי שצריך לראש עוף כו' יע"ש. ואיכא למידק היכי אמרינן דמודה ר"ש בפסיק רישיה כגון חותך ראש עוף לשחוק בו הלא כה"ג הוי מלאכה שאינה צריכה לגופה דפטור לר"ש ועיקר שורש מחלוקת זה דמלאכה שאינה צריכה מתנינן לה בפרק המצניע (דף צג) המוציא מת במטה חייב כו' ור"ש פוטר ופרש"י אפילו במת דהויא מלאכה שאינה צריכה כו' יע"ש וכ"כ הר"ן שם וכן נראה מדברי הרמב"ם פ"א דה' שבת דין ז' יעו"ש דמלאכה שאינה צריכה היא מניעת היזק יע"ש.</w:t>
      </w:r>
    </w:p>
    <w:p w14:paraId="4BFFF1E6" w14:textId="77777777" w:rsidR="002748A5" w:rsidRPr="00C12F78" w:rsidRDefault="002748A5" w:rsidP="002748A5">
      <w:pPr>
        <w:pStyle w:val="afffff7"/>
        <w:rPr>
          <w:rtl/>
        </w:rPr>
      </w:pPr>
      <w:bookmarkStart w:id="3508" w:name="_Toc140144382"/>
      <w:bookmarkStart w:id="3509" w:name="_Toc140144858"/>
      <w:bookmarkStart w:id="3510" w:name="_Toc163505973"/>
      <w:r w:rsidRPr="00C12F78">
        <w:rPr>
          <w:rtl/>
        </w:rPr>
        <w:t>כפות תמרים סוכה ל"ג ע"ב</w:t>
      </w:r>
      <w:r w:rsidRPr="00C12F78">
        <w:rPr>
          <w:rFonts w:hint="cs"/>
          <w:rtl/>
        </w:rPr>
        <w:t xml:space="preserve"> ד"ה </w:t>
      </w:r>
      <w:r w:rsidRPr="00C12F78">
        <w:rPr>
          <w:rtl/>
        </w:rPr>
        <w:t>וא"ת לדעת</w:t>
      </w:r>
      <w:bookmarkEnd w:id="3508"/>
      <w:r w:rsidRPr="00C12F78">
        <w:rPr>
          <w:rtl/>
        </w:rPr>
        <w:t xml:space="preserve"> (ח)</w:t>
      </w:r>
      <w:bookmarkEnd w:id="3509"/>
      <w:bookmarkEnd w:id="3510"/>
    </w:p>
    <w:p w14:paraId="34EFDFBE" w14:textId="77777777" w:rsidR="002748A5" w:rsidRPr="003B63CB" w:rsidRDefault="002748A5" w:rsidP="002748A5">
      <w:pPr>
        <w:pStyle w:val="a7"/>
        <w:rPr>
          <w:rtl/>
        </w:rPr>
      </w:pPr>
      <w:bookmarkStart w:id="3511" w:name="_Toc140092068"/>
      <w:bookmarkStart w:id="3512" w:name="_Toc140144268"/>
      <w:bookmarkStart w:id="3513" w:name="_Toc140144499"/>
      <w:r>
        <w:rPr>
          <w:rFonts w:hint="cs"/>
          <w:rtl/>
        </w:rPr>
        <w:t>תי' הכפו"ת דמלאכה לאיזה צורך ולא למניעת נזק היא צריכה לגופה ופס"ר אינה למניעת נזק</w:t>
      </w:r>
      <w:bookmarkEnd w:id="3511"/>
      <w:bookmarkEnd w:id="3512"/>
      <w:bookmarkEnd w:id="3513"/>
    </w:p>
    <w:p w14:paraId="71675808" w14:textId="070E6A48" w:rsidR="002748A5" w:rsidRPr="003B63CB" w:rsidRDefault="002748A5" w:rsidP="00BC7DC8">
      <w:pPr>
        <w:pStyle w:val="a3"/>
      </w:pPr>
      <w:bookmarkStart w:id="3514" w:name="_Ref139617489"/>
      <w:bookmarkStart w:id="3515" w:name="_Ref140077450"/>
      <w:r w:rsidRPr="003B63CB">
        <w:rPr>
          <w:rFonts w:hint="cs"/>
          <w:rtl/>
        </w:rPr>
        <w:t xml:space="preserve">ותירץ </w:t>
      </w:r>
      <w:r w:rsidRPr="003B63CB">
        <w:rPr>
          <w:rStyle w:val="aff4"/>
          <w:rFonts w:hint="cs"/>
          <w:vanish/>
          <w:rtl/>
        </w:rPr>
        <w:t>-</w:t>
      </w:r>
      <w:r w:rsidRPr="003B63CB">
        <w:rPr>
          <w:rStyle w:val="aff4"/>
          <w:rFonts w:hint="cs"/>
          <w:rtl/>
        </w:rPr>
        <w:t>ה</w:t>
      </w:r>
      <w:r w:rsidRPr="003B63CB">
        <w:rPr>
          <w:rStyle w:val="aff4"/>
          <w:rFonts w:hint="cs"/>
          <w:vanish/>
          <w:rtl/>
        </w:rPr>
        <w:t xml:space="preserve">&lt;, </w:t>
      </w:r>
      <w:r w:rsidRPr="003B63CB">
        <w:rPr>
          <w:rStyle w:val="aff4"/>
          <w:vanish/>
          <w:rtl/>
        </w:rPr>
        <w:fldChar w:fldCharType="begin"/>
      </w:r>
      <w:r w:rsidRPr="003B63CB">
        <w:rPr>
          <w:rStyle w:val="aff4"/>
          <w:vanish/>
          <w:rtl/>
        </w:rPr>
        <w:instrText xml:space="preserve"> </w:instrText>
      </w:r>
      <w:r w:rsidRPr="003B63CB">
        <w:rPr>
          <w:rStyle w:val="aff4"/>
          <w:rFonts w:hint="cs"/>
          <w:vanish/>
        </w:rPr>
        <w:instrText>REF</w:instrText>
      </w:r>
      <w:r w:rsidRPr="003B63CB">
        <w:rPr>
          <w:rStyle w:val="aff4"/>
          <w:rFonts w:hint="cs"/>
          <w:vanish/>
          <w:rtl/>
        </w:rPr>
        <w:instrText xml:space="preserve"> _</w:instrText>
      </w:r>
      <w:r w:rsidRPr="003B63CB">
        <w:rPr>
          <w:rStyle w:val="aff4"/>
          <w:rFonts w:hint="cs"/>
          <w:vanish/>
        </w:rPr>
        <w:instrText>Ref139617489 \r \h</w:instrText>
      </w:r>
      <w:r w:rsidRPr="003B63CB">
        <w:rPr>
          <w:rStyle w:val="aff4"/>
          <w:vanish/>
          <w:rtl/>
        </w:rPr>
        <w:instrText xml:space="preserve">  \* </w:instrText>
      </w:r>
      <w:r w:rsidRPr="003B63CB">
        <w:rPr>
          <w:rStyle w:val="aff4"/>
          <w:vanish/>
        </w:rPr>
        <w:instrText>MERGEFORMAT</w:instrText>
      </w:r>
      <w:r w:rsidRPr="003B63CB">
        <w:rPr>
          <w:rStyle w:val="aff4"/>
          <w:vanish/>
          <w:rtl/>
        </w:rPr>
        <w:instrText xml:space="preserve"> </w:instrText>
      </w:r>
      <w:r w:rsidRPr="003B63CB">
        <w:rPr>
          <w:rStyle w:val="aff4"/>
          <w:vanish/>
          <w:rtl/>
        </w:rPr>
      </w:r>
      <w:r w:rsidRPr="003B63CB">
        <w:rPr>
          <w:rStyle w:val="aff4"/>
          <w:vanish/>
          <w:rtl/>
        </w:rPr>
        <w:fldChar w:fldCharType="separate"/>
      </w:r>
      <w:r w:rsidR="00D82181">
        <w:rPr>
          <w:rStyle w:val="aff4"/>
          <w:vanish/>
          <w:cs/>
        </w:rPr>
        <w:t>‎</w:t>
      </w:r>
      <w:r w:rsidR="00D82181">
        <w:rPr>
          <w:rStyle w:val="aff4"/>
          <w:vanish/>
          <w:rtl/>
        </w:rPr>
        <w:t>נח)</w:t>
      </w:r>
      <w:r w:rsidRPr="003B63CB">
        <w:rPr>
          <w:rStyle w:val="aff4"/>
          <w:vanish/>
          <w:rtl/>
        </w:rPr>
        <w:fldChar w:fldCharType="end"/>
      </w:r>
      <w:r w:rsidRPr="003B63CB">
        <w:rPr>
          <w:rStyle w:val="aff4"/>
          <w:rFonts w:hint="cs"/>
          <w:vanish/>
          <w:rtl/>
        </w:rPr>
        <w:t xml:space="preserve"> &gt;</w:t>
      </w:r>
      <w:r w:rsidRPr="003B63CB">
        <w:rPr>
          <w:rStyle w:val="aff4"/>
          <w:rFonts w:hint="cs"/>
          <w:rtl/>
        </w:rPr>
        <w:t>כפות תמרים</w:t>
      </w:r>
      <w:r w:rsidRPr="003B63CB">
        <w:rPr>
          <w:rStyle w:val="aff4"/>
          <w:rFonts w:hint="cs"/>
          <w:vanish/>
          <w:rtl/>
        </w:rPr>
        <w:t>-</w:t>
      </w:r>
      <w:r w:rsidRPr="003B63CB">
        <w:rPr>
          <w:rFonts w:hint="cs"/>
          <w:rtl/>
        </w:rPr>
        <w:t xml:space="preserve"> </w:t>
      </w:r>
      <w:r w:rsidRPr="003B63CB">
        <w:rPr>
          <w:rStyle w:val="af2"/>
          <w:rFonts w:eastAsia="Guttman Hodes" w:hint="cs"/>
          <w:rtl/>
        </w:rPr>
        <w:t>(סוכה ל"ג ע"ב ד"ה וא"ת לדעת)</w:t>
      </w:r>
      <w:r w:rsidRPr="003B63CB">
        <w:rPr>
          <w:rFonts w:hint="cs"/>
          <w:vanish/>
          <w:rtl/>
        </w:rPr>
        <w:t>=</w:t>
      </w:r>
      <w:r w:rsidRPr="003B63CB">
        <w:rPr>
          <w:rFonts w:hint="cs"/>
          <w:rtl/>
        </w:rPr>
        <w:t xml:space="preserve"> דכל שעושה את המלאכה לצורך כל שהוא ולא רק למניעת נזק, לא חשיב מלאכה שאינה צריכה לגופה, ולכן בפסיק רישיה חייב אף לר"ש, אעפ"י דאינו מתכוין למלאכה, דהא</w:t>
      </w:r>
      <w:bookmarkEnd w:id="3514"/>
      <w:r w:rsidRPr="003B63CB">
        <w:rPr>
          <w:rFonts w:hint="cs"/>
          <w:rtl/>
        </w:rPr>
        <w:t xml:space="preserve"> מ"מ המלאכה עצמה נעשתה, ולא עשאה בשביל לדחות נזק.</w:t>
      </w:r>
      <w:bookmarkEnd w:id="3515"/>
    </w:p>
    <w:p w14:paraId="24A92D35" w14:textId="77777777" w:rsidR="002748A5" w:rsidRPr="00747170" w:rsidRDefault="002748A5" w:rsidP="00747170">
      <w:pPr>
        <w:pStyle w:val="a2"/>
        <w:rPr>
          <w:rtl/>
        </w:rPr>
      </w:pPr>
      <w:r w:rsidRPr="00747170">
        <w:rPr>
          <w:rtl/>
        </w:rPr>
        <w:t>ובשלמא לפרש"י והרמב"ם והר"ן דפי' מלאכה שאינה צריכה הוי כל מידי שעושה המלאכה שלא ברצונו לדחות ההיזק מעליו כגון מוציא מת שלא יטמאנו וצד נחש שלא ישכנו ניחא דכל מידי דעושה המלאכה לשום צורך אף על גב דאינה לצורך כעין צורך המשכן חייב הלכך בדבר שאינו מתכוין ונעשית המלאכה בהכרח מודה ר"ש דחייב דס"ס הרי נעשית המלאכה ולא עשה אותה לדחות היזק מעליו לפי' חייב</w:t>
      </w:r>
      <w:r w:rsidRPr="00747170">
        <w:rPr>
          <w:rFonts w:hint="cs"/>
          <w:rtl/>
        </w:rPr>
        <w:t>.</w:t>
      </w:r>
    </w:p>
    <w:p w14:paraId="09381F4D" w14:textId="77777777" w:rsidR="002748A5" w:rsidRDefault="002748A5" w:rsidP="002748A5">
      <w:pPr>
        <w:pStyle w:val="a7"/>
        <w:rPr>
          <w:rtl/>
        </w:rPr>
      </w:pPr>
    </w:p>
    <w:p w14:paraId="491586AB" w14:textId="77777777" w:rsidR="002748A5" w:rsidRPr="0096498F" w:rsidRDefault="002748A5" w:rsidP="002748A5">
      <w:pPr>
        <w:pStyle w:val="a7"/>
        <w:rPr>
          <w:rtl/>
        </w:rPr>
        <w:sectPr w:rsidR="002748A5" w:rsidRPr="0096498F" w:rsidSect="00CA28B3">
          <w:footerReference w:type="default" r:id="rId130"/>
          <w:type w:val="continuous"/>
          <w:pgSz w:w="11906" w:h="16838"/>
          <w:pgMar w:top="720" w:right="720" w:bottom="720" w:left="720" w:header="283" w:footer="283" w:gutter="0"/>
          <w:cols w:num="2" w:space="567"/>
          <w:bidi/>
          <w:rtlGutter/>
        </w:sectPr>
      </w:pPr>
    </w:p>
    <w:p w14:paraId="59DC22B7" w14:textId="77777777" w:rsidR="002748A5" w:rsidRPr="008E1B37" w:rsidRDefault="002748A5" w:rsidP="002748A5">
      <w:pPr>
        <w:pStyle w:val="a7"/>
        <w:rPr>
          <w:rtl/>
        </w:rPr>
      </w:pPr>
    </w:p>
    <w:p w14:paraId="4FB8BD39" w14:textId="35D37937" w:rsidR="002748A5" w:rsidRPr="00224A5A" w:rsidRDefault="002748A5" w:rsidP="002748A5">
      <w:pPr>
        <w:pStyle w:val="TOC7"/>
        <w:rPr>
          <w:rFonts w:ascii="Guttman Adii-Light" w:eastAsia="Guttman Adii-Light" w:hAnsi="Guttman Adii-Light"/>
          <w:b/>
          <w:bCs/>
          <w:sz w:val="18"/>
          <w:szCs w:val="28"/>
          <w:rtl/>
        </w:rPr>
        <w:sectPr w:rsidR="002748A5" w:rsidRPr="00224A5A" w:rsidSect="00CA28B3">
          <w:footerReference w:type="default" r:id="rId131"/>
          <w:type w:val="continuous"/>
          <w:pgSz w:w="11906" w:h="16838"/>
          <w:pgMar w:top="720" w:right="720" w:bottom="720" w:left="720" w:header="283" w:footer="283" w:gutter="0"/>
          <w:cols w:num="3" w:space="113"/>
          <w:bidi/>
          <w:rtlGutter/>
        </w:sectPr>
      </w:pPr>
    </w:p>
    <w:p w14:paraId="7D4012A3" w14:textId="77777777" w:rsidR="002748A5" w:rsidRDefault="002748A5" w:rsidP="002748A5">
      <w:pPr>
        <w:keepNext/>
        <w:keepLines/>
        <w:spacing w:after="0" w:line="240" w:lineRule="auto"/>
        <w:jc w:val="center"/>
        <w:outlineLvl w:val="1"/>
        <w:rPr>
          <w:rFonts w:ascii="FrankRuehl" w:eastAsia="Guttman Adii-Light" w:hAnsi="FrankRuehl" w:cs="Guttman Hodes"/>
          <w:b/>
          <w:bCs/>
          <w:noProof/>
          <w:sz w:val="24"/>
          <w:szCs w:val="24"/>
          <w:rtl/>
        </w:rPr>
        <w:sectPr w:rsidR="002748A5" w:rsidSect="00CA28B3">
          <w:type w:val="continuous"/>
          <w:pgSz w:w="11906" w:h="16838"/>
          <w:pgMar w:top="720" w:right="720" w:bottom="720" w:left="720" w:header="283" w:footer="283" w:gutter="0"/>
          <w:cols w:space="567"/>
          <w:bidi/>
          <w:rtlGutter/>
          <w:docGrid w:linePitch="299"/>
        </w:sectPr>
      </w:pPr>
    </w:p>
    <w:bookmarkEnd w:id="2927"/>
    <w:p w14:paraId="1E17FCBD" w14:textId="77777777" w:rsidR="002748A5" w:rsidRPr="00224A5A" w:rsidRDefault="002748A5" w:rsidP="002748A5">
      <w:pPr>
        <w:spacing w:before="240" w:after="0" w:line="360" w:lineRule="auto"/>
        <w:outlineLvl w:val="1"/>
        <w:rPr>
          <w:rFonts w:ascii="Guttman Adii-Light" w:eastAsia="Guttman Adii-Light" w:hAnsi="Guttman Adii-Light" w:cs="Guttman Hodes"/>
          <w:b/>
          <w:bCs/>
          <w:sz w:val="18"/>
          <w:szCs w:val="28"/>
          <w:rtl/>
        </w:rPr>
        <w:sectPr w:rsidR="002748A5" w:rsidRPr="00224A5A" w:rsidSect="00CA28B3">
          <w:footerReference w:type="default" r:id="rId132"/>
          <w:type w:val="continuous"/>
          <w:pgSz w:w="11906" w:h="16838"/>
          <w:pgMar w:top="720" w:right="720" w:bottom="720" w:left="720" w:header="283" w:footer="283" w:gutter="0"/>
          <w:cols w:num="3" w:space="709"/>
          <w:bidi/>
          <w:rtlGutter/>
        </w:sectPr>
      </w:pPr>
    </w:p>
    <w:bookmarkEnd w:id="2910"/>
    <w:bookmarkEnd w:id="2911"/>
    <w:bookmarkEnd w:id="2912"/>
    <w:bookmarkEnd w:id="2913"/>
    <w:bookmarkEnd w:id="2914"/>
    <w:bookmarkEnd w:id="2915"/>
    <w:bookmarkEnd w:id="2916"/>
    <w:bookmarkEnd w:id="2917"/>
    <w:bookmarkEnd w:id="2918"/>
    <w:bookmarkEnd w:id="2919"/>
    <w:bookmarkEnd w:id="2920"/>
    <w:bookmarkEnd w:id="2921"/>
    <w:bookmarkEnd w:id="2928"/>
    <w:p w14:paraId="1947AC83" w14:textId="77777777" w:rsidR="002748A5" w:rsidRDefault="002748A5" w:rsidP="002748A5">
      <w:pPr>
        <w:rPr>
          <w:rStyle w:val="Hyperlink"/>
          <w:color w:val="auto"/>
          <w:u w:val="none"/>
          <w:rtl/>
        </w:rPr>
        <w:sectPr w:rsidR="002748A5" w:rsidSect="005A5FBC">
          <w:footerReference w:type="default" r:id="rId133"/>
          <w:type w:val="continuous"/>
          <w:pgSz w:w="11906" w:h="16838"/>
          <w:pgMar w:top="720" w:right="720" w:bottom="720" w:left="720" w:header="283" w:footer="283" w:gutter="0"/>
          <w:cols w:num="3" w:space="170"/>
          <w:bidi/>
          <w:rtlGutter/>
        </w:sectPr>
      </w:pPr>
    </w:p>
    <w:p w14:paraId="6DB1ECDD" w14:textId="77777777" w:rsidR="002748A5" w:rsidRPr="003B63CB" w:rsidRDefault="002748A5" w:rsidP="0083330C">
      <w:pPr>
        <w:pStyle w:val="af9"/>
        <w:rPr>
          <w:rtl/>
        </w:rPr>
      </w:pPr>
      <w:r w:rsidRPr="003B63CB">
        <w:rPr>
          <w:rFonts w:hint="cs"/>
          <w:rtl/>
        </w:rPr>
        <w:lastRenderedPageBreak/>
        <w:t xml:space="preserve">סימן </w:t>
      </w:r>
      <w:r>
        <w:rPr>
          <w:rFonts w:hint="cs"/>
          <w:rtl/>
        </w:rPr>
        <w:t>ט</w:t>
      </w:r>
      <w:r w:rsidRPr="003B63CB">
        <w:rPr>
          <w:rFonts w:hint="cs"/>
          <w:rtl/>
        </w:rPr>
        <w:t>'</w:t>
      </w:r>
    </w:p>
    <w:p w14:paraId="5DD8BADE" w14:textId="77777777" w:rsidR="002748A5" w:rsidRPr="003B63CB" w:rsidRDefault="002748A5" w:rsidP="0083330C">
      <w:pPr>
        <w:pStyle w:val="af9"/>
        <w:rPr>
          <w:rtl/>
        </w:rPr>
      </w:pPr>
      <w:r w:rsidRPr="003B63CB">
        <w:rPr>
          <w:rFonts w:hint="cs"/>
          <w:rtl/>
        </w:rPr>
        <w:t>בסוגיא דמלאכה שאינה צריכה לגופה (</w:t>
      </w:r>
      <w:r>
        <w:rPr>
          <w:rFonts w:hint="cs"/>
          <w:rtl/>
        </w:rPr>
        <w:t>ב</w:t>
      </w:r>
      <w:r w:rsidRPr="003B63CB">
        <w:rPr>
          <w:rFonts w:hint="cs"/>
          <w:rtl/>
        </w:rPr>
        <w:t>')</w:t>
      </w:r>
    </w:p>
    <w:p w14:paraId="5E85B5BB" w14:textId="77777777" w:rsidR="002748A5" w:rsidRPr="003B63CB" w:rsidRDefault="002748A5" w:rsidP="0083330C">
      <w:pPr>
        <w:pStyle w:val="af9"/>
        <w:rPr>
          <w:rtl/>
        </w:rPr>
      </w:pPr>
      <w:r w:rsidRPr="003B63CB">
        <w:rPr>
          <w:rFonts w:hint="cs"/>
          <w:rtl/>
        </w:rPr>
        <w:t>בביאור</w:t>
      </w:r>
      <w:r>
        <w:rPr>
          <w:rFonts w:hint="cs"/>
          <w:rtl/>
        </w:rPr>
        <w:t xml:space="preserve"> דעת התוס' דמשאצל"ג הוא בלא דמי לצורך שהיה במשכן</w:t>
      </w:r>
    </w:p>
    <w:p w14:paraId="4A99B407" w14:textId="77777777" w:rsidR="002748A5" w:rsidRPr="003B63CB" w:rsidRDefault="002748A5" w:rsidP="002748A5">
      <w:pPr>
        <w:keepNext/>
        <w:keepLines/>
        <w:spacing w:after="0" w:line="240" w:lineRule="auto"/>
        <w:jc w:val="center"/>
        <w:outlineLvl w:val="1"/>
        <w:rPr>
          <w:rFonts w:ascii="FrankRuehl" w:eastAsia="Guttman Adii-Light" w:hAnsi="FrankRuehl" w:cs="Guttman Hodes"/>
          <w:b/>
          <w:bCs/>
          <w:noProof/>
          <w:sz w:val="24"/>
          <w:szCs w:val="24"/>
          <w:rtl/>
        </w:rPr>
        <w:sectPr w:rsidR="002748A5" w:rsidRPr="003B63CB" w:rsidSect="00274E65">
          <w:headerReference w:type="default" r:id="rId134"/>
          <w:footerReference w:type="default" r:id="rId135"/>
          <w:headerReference w:type="first" r:id="rId136"/>
          <w:footerReference w:type="first" r:id="rId137"/>
          <w:pgSz w:w="11906" w:h="16838"/>
          <w:pgMar w:top="720" w:right="720" w:bottom="720" w:left="720" w:header="283" w:footer="283" w:gutter="0"/>
          <w:cols w:space="113"/>
          <w:bidi/>
          <w:rtlGutter/>
          <w:docGrid w:linePitch="299"/>
        </w:sectPr>
      </w:pPr>
      <w:r w:rsidRPr="003B63CB">
        <w:rPr>
          <w:rFonts w:ascii="FrankRuehl" w:eastAsia="Guttman Adii-Light" w:hAnsi="FrankRuehl" w:cs="Guttman Hodes"/>
          <w:b/>
          <w:bCs/>
          <w:noProof/>
          <w:sz w:val="24"/>
          <w:szCs w:val="24"/>
          <w:rtl/>
        </w:rPr>
        <w:t>~~~~~~~</w:t>
      </w:r>
      <w:r w:rsidRPr="003B63CB">
        <w:rPr>
          <w:rFonts w:ascii="FrankRuehl" w:eastAsia="Guttman Adii-Light" w:hAnsi="FrankRuehl" w:cs="Guttman Hodes" w:hint="cs"/>
          <w:b/>
          <w:bCs/>
          <w:noProof/>
          <w:sz w:val="24"/>
          <w:szCs w:val="24"/>
          <w:rtl/>
        </w:rPr>
        <w:t xml:space="preserve"> תוכן הענייני</w:t>
      </w:r>
      <w:r w:rsidRPr="003B63CB">
        <w:rPr>
          <w:rFonts w:ascii="FrankRuehl" w:eastAsia="Guttman Adii-Light" w:hAnsi="FrankRuehl" w:cs="Guttman Hodes" w:hint="eastAsia"/>
          <w:b/>
          <w:bCs/>
          <w:noProof/>
          <w:sz w:val="24"/>
          <w:szCs w:val="24"/>
          <w:rtl/>
        </w:rPr>
        <w:t>ם</w:t>
      </w:r>
      <w:r w:rsidRPr="003B63CB">
        <w:rPr>
          <w:rFonts w:ascii="FrankRuehl" w:eastAsia="Guttman Adii-Light" w:hAnsi="FrankRuehl" w:cs="Guttman Hodes" w:hint="cs"/>
          <w:b/>
          <w:bCs/>
          <w:noProof/>
          <w:sz w:val="24"/>
          <w:szCs w:val="24"/>
          <w:rtl/>
        </w:rPr>
        <w:t xml:space="preserve"> </w:t>
      </w:r>
      <w:r w:rsidRPr="003B63CB">
        <w:rPr>
          <w:rFonts w:ascii="FrankRuehl" w:eastAsia="Guttman Adii-Light" w:hAnsi="FrankRuehl" w:cs="Guttman Hodes"/>
          <w:b/>
          <w:bCs/>
          <w:noProof/>
          <w:sz w:val="24"/>
          <w:szCs w:val="24"/>
          <w:rtl/>
        </w:rPr>
        <w:t>~~~~~~~</w:t>
      </w:r>
    </w:p>
    <w:p w14:paraId="059C5C5E" w14:textId="77777777" w:rsidR="002748A5" w:rsidRDefault="002748A5" w:rsidP="002748A5">
      <w:pPr>
        <w:pStyle w:val="TOC1"/>
        <w:rPr>
          <w:rFonts w:asciiTheme="minorHAnsi" w:hAnsiTheme="minorHAnsi" w:cstheme="minorBidi"/>
          <w:sz w:val="22"/>
          <w:szCs w:val="22"/>
          <w:rtl/>
        </w:rPr>
      </w:pPr>
      <w:r w:rsidRPr="003B63CB">
        <w:rPr>
          <w:caps w:val="0"/>
          <w:rtl/>
        </w:rPr>
        <w:fldChar w:fldCharType="begin"/>
      </w:r>
      <w:r w:rsidRPr="003B63CB">
        <w:rPr>
          <w:rtl/>
        </w:rPr>
        <w:instrText xml:space="preserve"> </w:instrText>
      </w:r>
      <w:r w:rsidRPr="003B63CB">
        <w:rPr>
          <w:rFonts w:hint="cs"/>
        </w:rPr>
        <w:instrText>TOC</w:instrText>
      </w:r>
      <w:r w:rsidRPr="003B63CB">
        <w:rPr>
          <w:rFonts w:hint="cs"/>
          <w:rtl/>
        </w:rPr>
        <w:instrText xml:space="preserve"> \</w:instrText>
      </w:r>
      <w:r w:rsidRPr="003B63CB">
        <w:rPr>
          <w:rFonts w:hint="cs"/>
        </w:rPr>
        <w:instrText>n \p " " \h \z \t</w:instrText>
      </w:r>
      <w:r w:rsidRPr="003B63CB">
        <w:rPr>
          <w:rFonts w:hint="cs"/>
          <w:rtl/>
        </w:rPr>
        <w:instrText xml:space="preserve"> "כותרת 1,2,כות קט,3,כות מק פנ,1"</w:instrText>
      </w:r>
      <w:r w:rsidRPr="003B63CB">
        <w:rPr>
          <w:rtl/>
        </w:rPr>
        <w:instrText xml:space="preserve"> </w:instrText>
      </w:r>
      <w:r w:rsidRPr="003B63CB">
        <w:rPr>
          <w:caps w:val="0"/>
          <w:rtl/>
        </w:rPr>
        <w:fldChar w:fldCharType="separate"/>
      </w:r>
    </w:p>
    <w:p w14:paraId="5A90443C" w14:textId="77777777" w:rsidR="002748A5" w:rsidRDefault="00AD16A0" w:rsidP="002748A5">
      <w:pPr>
        <w:pStyle w:val="TOC1"/>
        <w:rPr>
          <w:rFonts w:asciiTheme="minorHAnsi" w:hAnsiTheme="minorHAnsi" w:cstheme="minorBidi"/>
          <w:b w:val="0"/>
          <w:bCs w:val="0"/>
          <w:caps w:val="0"/>
          <w:sz w:val="22"/>
          <w:szCs w:val="22"/>
          <w:rtl/>
        </w:rPr>
      </w:pPr>
      <w:hyperlink w:anchor="_Toc140144500" w:history="1">
        <w:r w:rsidR="002748A5" w:rsidRPr="00E72DF5">
          <w:rPr>
            <w:rStyle w:val="Hyperlink"/>
            <w:rtl/>
          </w:rPr>
          <w:t>בד' תוס' דמשאצל"ג בל"ד לצורך במשכן</w:t>
        </w:r>
      </w:hyperlink>
    </w:p>
    <w:p w14:paraId="6B969393" w14:textId="77777777" w:rsidR="002748A5" w:rsidRDefault="00AD16A0" w:rsidP="002748A5">
      <w:pPr>
        <w:pStyle w:val="TOC2"/>
        <w:rPr>
          <w:rFonts w:cstheme="minorBidi"/>
          <w:b w:val="0"/>
          <w:bCs w:val="0"/>
          <w:sz w:val="22"/>
          <w:szCs w:val="22"/>
          <w:rtl/>
        </w:rPr>
      </w:pPr>
      <w:hyperlink w:anchor="_Toc140144501" w:history="1">
        <w:r w:rsidR="002748A5" w:rsidRPr="00E72DF5">
          <w:rPr>
            <w:rStyle w:val="Hyperlink"/>
            <w:rtl/>
          </w:rPr>
          <w:t>בי' התוס' דפוצע חלזון פטור מדין משאצל"ג דלא ניחא שימות</w:t>
        </w:r>
      </w:hyperlink>
    </w:p>
    <w:p w14:paraId="0AA8702F" w14:textId="77777777" w:rsidR="002748A5" w:rsidRPr="000A1BEA" w:rsidRDefault="00AD16A0" w:rsidP="00ED704E">
      <w:pPr>
        <w:pStyle w:val="TOC3"/>
        <w:numPr>
          <w:ilvl w:val="0"/>
          <w:numId w:val="17"/>
        </w:numPr>
        <w:rPr>
          <w:rFonts w:asciiTheme="minorHAnsi" w:eastAsiaTheme="minorEastAsia" w:hAnsiTheme="minorHAnsi" w:cstheme="minorBidi"/>
          <w:sz w:val="22"/>
          <w:szCs w:val="22"/>
          <w:rtl/>
        </w:rPr>
      </w:pPr>
      <w:hyperlink w:anchor="_Toc140144502" w:history="1">
        <w:r w:rsidR="002748A5" w:rsidRPr="00E72DF5">
          <w:rPr>
            <w:rStyle w:val="Hyperlink"/>
            <w:rtl/>
          </w:rPr>
          <w:t>בי' תוס' דפוצע חלזון הוי משאצל"ג דלא ניחא ליה אי מתרמי שימות ולא חשיב צריך לגופו</w:t>
        </w:r>
      </w:hyperlink>
    </w:p>
    <w:p w14:paraId="7AE45F43" w14:textId="77777777" w:rsidR="002748A5" w:rsidRDefault="00AD16A0" w:rsidP="002748A5">
      <w:pPr>
        <w:pStyle w:val="TOC2"/>
        <w:rPr>
          <w:rFonts w:cstheme="minorBidi"/>
          <w:b w:val="0"/>
          <w:bCs w:val="0"/>
          <w:sz w:val="22"/>
          <w:szCs w:val="22"/>
          <w:rtl/>
        </w:rPr>
      </w:pPr>
      <w:hyperlink w:anchor="_Toc140144503" w:history="1">
        <w:r w:rsidR="002748A5" w:rsidRPr="00E72DF5">
          <w:rPr>
            <w:rStyle w:val="Hyperlink"/>
            <w:rtl/>
          </w:rPr>
          <w:t>בי' תוס' דמשאצל"ג הוא כשאין לו צורך כמו שהיה במשכן</w:t>
        </w:r>
      </w:hyperlink>
    </w:p>
    <w:p w14:paraId="26278347" w14:textId="77777777" w:rsidR="002748A5" w:rsidRDefault="00AD16A0" w:rsidP="00ED704E">
      <w:pPr>
        <w:pStyle w:val="TOC3"/>
        <w:rPr>
          <w:rFonts w:asciiTheme="minorHAnsi" w:eastAsiaTheme="minorEastAsia" w:hAnsiTheme="minorHAnsi" w:cstheme="minorBidi"/>
          <w:sz w:val="22"/>
          <w:szCs w:val="22"/>
          <w:rtl/>
        </w:rPr>
      </w:pPr>
      <w:hyperlink w:anchor="_Toc140144504" w:history="1">
        <w:r w:rsidR="002748A5" w:rsidRPr="00E72DF5">
          <w:rPr>
            <w:rStyle w:val="Hyperlink"/>
            <w:rtl/>
          </w:rPr>
          <w:t>בי' התוס' דמשאצל"ג הוא כשהצורך שלו במלאכה אינו כצורך שהיה במשכן דזה גוף המלאכה</w:t>
        </w:r>
      </w:hyperlink>
    </w:p>
    <w:p w14:paraId="54E41109" w14:textId="77777777" w:rsidR="002748A5" w:rsidRDefault="00AD16A0" w:rsidP="00ED704E">
      <w:pPr>
        <w:pStyle w:val="TOC3"/>
        <w:rPr>
          <w:rFonts w:asciiTheme="minorHAnsi" w:eastAsiaTheme="minorEastAsia" w:hAnsiTheme="minorHAnsi" w:cstheme="minorBidi"/>
          <w:sz w:val="22"/>
          <w:szCs w:val="22"/>
          <w:rtl/>
        </w:rPr>
      </w:pPr>
      <w:hyperlink w:anchor="_Toc140144505" w:history="1">
        <w:r w:rsidR="002748A5" w:rsidRPr="00E72DF5">
          <w:rPr>
            <w:rStyle w:val="Hyperlink"/>
            <w:rtl/>
          </w:rPr>
          <w:t>בי' התוס' בחגיגה דמשאצל"ג כשא"צ את שורש המלאכה כיון דמשכן המלאכה הייתה לצורכה</w:t>
        </w:r>
      </w:hyperlink>
    </w:p>
    <w:p w14:paraId="4C6E62BB" w14:textId="77777777" w:rsidR="002748A5" w:rsidRDefault="00AD16A0" w:rsidP="00ED704E">
      <w:pPr>
        <w:pStyle w:val="TOC3"/>
        <w:rPr>
          <w:rFonts w:asciiTheme="minorHAnsi" w:eastAsiaTheme="minorEastAsia" w:hAnsiTheme="minorHAnsi" w:cstheme="minorBidi"/>
          <w:sz w:val="22"/>
          <w:szCs w:val="22"/>
          <w:rtl/>
        </w:rPr>
      </w:pPr>
      <w:hyperlink w:anchor="_Toc140144506" w:history="1">
        <w:r w:rsidR="002748A5" w:rsidRPr="00E72DF5">
          <w:rPr>
            <w:rStyle w:val="Hyperlink"/>
            <w:rtl/>
          </w:rPr>
          <w:t>בי' הפנ"י בתוס' דממלאכת מחשבת ילפי' דומיא דשכן וכל"ד לצורך דמשכן הוי משאצל"ג</w:t>
        </w:r>
      </w:hyperlink>
    </w:p>
    <w:p w14:paraId="41CE7F51" w14:textId="77777777" w:rsidR="002748A5" w:rsidRDefault="00AD16A0" w:rsidP="00ED704E">
      <w:pPr>
        <w:pStyle w:val="TOC3"/>
        <w:rPr>
          <w:rFonts w:asciiTheme="minorHAnsi" w:eastAsiaTheme="minorEastAsia" w:hAnsiTheme="minorHAnsi" w:cstheme="minorBidi"/>
          <w:sz w:val="22"/>
          <w:szCs w:val="22"/>
          <w:rtl/>
        </w:rPr>
      </w:pPr>
      <w:hyperlink w:anchor="_Toc140144507" w:history="1">
        <w:r w:rsidR="002748A5" w:rsidRPr="00E72DF5">
          <w:rPr>
            <w:rStyle w:val="Hyperlink"/>
            <w:rtl/>
          </w:rPr>
          <w:t>קו' הכפו"ת דלתוס' יחייב ר"ש במת ונחש מדין פס"ר אף דהוא משאצל"ג ומדפוטר כל פס"ר פטור</w:t>
        </w:r>
      </w:hyperlink>
    </w:p>
    <w:p w14:paraId="29F72908" w14:textId="77777777" w:rsidR="002748A5" w:rsidRDefault="00AD16A0" w:rsidP="00ED704E">
      <w:pPr>
        <w:pStyle w:val="TOC3"/>
        <w:rPr>
          <w:rFonts w:asciiTheme="minorHAnsi" w:eastAsiaTheme="minorEastAsia" w:hAnsiTheme="minorHAnsi" w:cstheme="minorBidi"/>
          <w:sz w:val="22"/>
          <w:szCs w:val="22"/>
          <w:rtl/>
        </w:rPr>
      </w:pPr>
      <w:hyperlink w:anchor="_Toc140144508" w:history="1">
        <w:r w:rsidR="002748A5" w:rsidRPr="00E72DF5">
          <w:rPr>
            <w:rStyle w:val="Hyperlink"/>
            <w:rtl/>
          </w:rPr>
          <w:t>תי' הכפו"ת דר"ש פוטר בפס"ר דלא ניחא ליה אי מתרמי ובמת ונחש לא ניחא ליה בצורך דמשכן</w:t>
        </w:r>
      </w:hyperlink>
    </w:p>
    <w:p w14:paraId="09EDF33F" w14:textId="77777777" w:rsidR="002748A5" w:rsidRDefault="00AD16A0" w:rsidP="00ED704E">
      <w:pPr>
        <w:pStyle w:val="TOC3"/>
        <w:rPr>
          <w:rFonts w:asciiTheme="minorHAnsi" w:eastAsiaTheme="minorEastAsia" w:hAnsiTheme="minorHAnsi" w:cstheme="minorBidi"/>
          <w:sz w:val="22"/>
          <w:szCs w:val="22"/>
          <w:rtl/>
        </w:rPr>
      </w:pPr>
      <w:hyperlink w:anchor="_Toc140144509" w:history="1">
        <w:r w:rsidR="002748A5" w:rsidRPr="00E72DF5">
          <w:rPr>
            <w:rStyle w:val="Hyperlink"/>
            <w:rtl/>
          </w:rPr>
          <w:t>בי' הכפו"ת בתוס' דפס"ר חייב רק בניחא לי אי מתירמי ובמשאצל"ג ולא ניחא ליה פטור לר"ש</w:t>
        </w:r>
      </w:hyperlink>
    </w:p>
    <w:p w14:paraId="08997B7A" w14:textId="77777777" w:rsidR="002748A5" w:rsidRDefault="00AD16A0" w:rsidP="002748A5">
      <w:pPr>
        <w:pStyle w:val="TOC2"/>
        <w:rPr>
          <w:rFonts w:cstheme="minorBidi"/>
          <w:b w:val="0"/>
          <w:bCs w:val="0"/>
          <w:sz w:val="22"/>
          <w:szCs w:val="22"/>
          <w:rtl/>
        </w:rPr>
      </w:pPr>
      <w:hyperlink w:anchor="_Toc140144510" w:history="1">
        <w:r w:rsidR="002748A5" w:rsidRPr="00E72DF5">
          <w:rPr>
            <w:rStyle w:val="Hyperlink"/>
            <w:rtl/>
          </w:rPr>
          <w:t>בי' התוס' בכל האופנים דמשאצל"ג דל"ד לצורך דמשכן</w:t>
        </w:r>
      </w:hyperlink>
    </w:p>
    <w:p w14:paraId="0322A4A8" w14:textId="77777777" w:rsidR="002748A5" w:rsidRDefault="00AD16A0" w:rsidP="00ED704E">
      <w:pPr>
        <w:pStyle w:val="TOC3"/>
        <w:rPr>
          <w:rFonts w:asciiTheme="minorHAnsi" w:eastAsiaTheme="minorEastAsia" w:hAnsiTheme="minorHAnsi" w:cstheme="minorBidi"/>
          <w:sz w:val="22"/>
          <w:szCs w:val="22"/>
          <w:rtl/>
        </w:rPr>
      </w:pPr>
      <w:hyperlink w:anchor="_Toc140144511" w:history="1">
        <w:r w:rsidR="002748A5" w:rsidRPr="00E72DF5">
          <w:rPr>
            <w:rStyle w:val="Hyperlink"/>
            <w:rtl/>
          </w:rPr>
          <w:t>בי' התוס' דבמת ונחש א"צ לו עצמו כבמשכן דההוצאה והצידה היא לצורך הדבר עצמו</w:t>
        </w:r>
      </w:hyperlink>
    </w:p>
    <w:p w14:paraId="63137062" w14:textId="77777777" w:rsidR="002748A5" w:rsidRDefault="00AD16A0" w:rsidP="00ED704E">
      <w:pPr>
        <w:pStyle w:val="TOC3"/>
        <w:rPr>
          <w:rFonts w:asciiTheme="minorHAnsi" w:eastAsiaTheme="minorEastAsia" w:hAnsiTheme="minorHAnsi" w:cstheme="minorBidi"/>
          <w:sz w:val="22"/>
          <w:szCs w:val="22"/>
          <w:rtl/>
        </w:rPr>
      </w:pPr>
      <w:hyperlink w:anchor="_Toc140144512" w:history="1">
        <w:r w:rsidR="002748A5" w:rsidRPr="00E72DF5">
          <w:rPr>
            <w:rStyle w:val="Hyperlink"/>
            <w:rtl/>
          </w:rPr>
          <w:t>בי' התוס' דבמורסא א"צ פתח להכניס ולהוציא כמשכן והורג מזיק וכן גומא א"צ להם עצמם</w:t>
        </w:r>
      </w:hyperlink>
    </w:p>
    <w:p w14:paraId="7BCB5803" w14:textId="77777777" w:rsidR="002748A5" w:rsidRDefault="00AD16A0" w:rsidP="00ED704E">
      <w:pPr>
        <w:pStyle w:val="TOC3"/>
        <w:rPr>
          <w:rFonts w:asciiTheme="minorHAnsi" w:eastAsiaTheme="minorEastAsia" w:hAnsiTheme="minorHAnsi" w:cstheme="minorBidi"/>
          <w:sz w:val="22"/>
          <w:szCs w:val="22"/>
          <w:rtl/>
        </w:rPr>
      </w:pPr>
      <w:hyperlink w:anchor="_Toc140144513" w:history="1">
        <w:r w:rsidR="002748A5" w:rsidRPr="00E72DF5">
          <w:rPr>
            <w:rStyle w:val="Hyperlink"/>
            <w:rtl/>
          </w:rPr>
          <w:t>בי' התוס' דזב שיוצא בכיס רוצה שלא יטנף ול"צ לכיס עצמו וברוצה לבדוק יכול לישב במק"א</w:t>
        </w:r>
      </w:hyperlink>
    </w:p>
    <w:p w14:paraId="42FC57F6" w14:textId="77777777" w:rsidR="002748A5" w:rsidRDefault="00AD16A0" w:rsidP="00ED704E">
      <w:pPr>
        <w:pStyle w:val="TOC3"/>
        <w:rPr>
          <w:rFonts w:asciiTheme="minorHAnsi" w:eastAsiaTheme="minorEastAsia" w:hAnsiTheme="minorHAnsi" w:cstheme="minorBidi"/>
          <w:sz w:val="22"/>
          <w:szCs w:val="22"/>
          <w:rtl/>
        </w:rPr>
      </w:pPr>
      <w:hyperlink w:anchor="_Toc140144514" w:history="1">
        <w:r w:rsidR="002748A5" w:rsidRPr="00E72DF5">
          <w:rPr>
            <w:rStyle w:val="Hyperlink"/>
            <w:rtl/>
          </w:rPr>
          <w:t>בי' האגל"ט בתוס' דזב מוציא כיס בעקירת גופו והעקירה אינה לצורך הכיס דלצורכו א"צ לצאת</w:t>
        </w:r>
      </w:hyperlink>
    </w:p>
    <w:p w14:paraId="65C74F5B" w14:textId="77777777" w:rsidR="002748A5" w:rsidRDefault="00AD16A0" w:rsidP="00ED704E">
      <w:pPr>
        <w:pStyle w:val="TOC3"/>
        <w:rPr>
          <w:rFonts w:asciiTheme="minorHAnsi" w:eastAsiaTheme="minorEastAsia" w:hAnsiTheme="minorHAnsi" w:cstheme="minorBidi"/>
          <w:sz w:val="22"/>
          <w:szCs w:val="22"/>
          <w:rtl/>
        </w:rPr>
      </w:pPr>
      <w:hyperlink w:anchor="_Toc140144515" w:history="1">
        <w:r w:rsidR="002748A5" w:rsidRPr="00E72DF5">
          <w:rPr>
            <w:rStyle w:val="Hyperlink"/>
            <w:rtl/>
          </w:rPr>
          <w:t>בי' התוס' דכיבוי הוי משאצל"ג דל"ד לכיבוי במשכן דלצורך פחמים ולא היה כיבוי שלא יקדיח</w:t>
        </w:r>
      </w:hyperlink>
    </w:p>
    <w:p w14:paraId="2A3C51D7" w14:textId="77777777" w:rsidR="002748A5" w:rsidRDefault="00AD16A0" w:rsidP="00ED704E">
      <w:pPr>
        <w:pStyle w:val="TOC3"/>
        <w:rPr>
          <w:rFonts w:asciiTheme="minorHAnsi" w:eastAsiaTheme="minorEastAsia" w:hAnsiTheme="minorHAnsi" w:cstheme="minorBidi"/>
          <w:sz w:val="22"/>
          <w:szCs w:val="22"/>
          <w:rtl/>
        </w:rPr>
      </w:pPr>
      <w:hyperlink w:anchor="_Toc140144516" w:history="1">
        <w:r w:rsidR="002748A5" w:rsidRPr="00E72DF5">
          <w:rPr>
            <w:rStyle w:val="Hyperlink"/>
            <w:rtl/>
          </w:rPr>
          <w:t>בי' התוס' דסותר ע"מ לבנות לר"ש חייב רק כשסותר בכדי לתקן יותר ממה שהיה בנוי בתחילה</w:t>
        </w:r>
      </w:hyperlink>
    </w:p>
    <w:p w14:paraId="671C81A4" w14:textId="77777777" w:rsidR="002748A5" w:rsidRDefault="00AD16A0" w:rsidP="00ED704E">
      <w:pPr>
        <w:pStyle w:val="TOC3"/>
        <w:rPr>
          <w:rFonts w:asciiTheme="minorHAnsi" w:eastAsiaTheme="minorEastAsia" w:hAnsiTheme="minorHAnsi" w:cstheme="minorBidi"/>
          <w:sz w:val="22"/>
          <w:szCs w:val="22"/>
          <w:rtl/>
        </w:rPr>
      </w:pPr>
      <w:hyperlink w:anchor="_Toc140144517" w:history="1">
        <w:r w:rsidR="002748A5" w:rsidRPr="00E72DF5">
          <w:rPr>
            <w:rStyle w:val="Hyperlink"/>
            <w:rtl/>
          </w:rPr>
          <w:t>בי' התוס' לעיל דבכיבוי בסותר ע"מ לבנות כשיש תיקון גדול יותר ממה שהיה כפחמין במשכן</w:t>
        </w:r>
      </w:hyperlink>
    </w:p>
    <w:p w14:paraId="4BA656EE" w14:textId="77777777" w:rsidR="002748A5" w:rsidRDefault="00AD16A0" w:rsidP="00ED704E">
      <w:pPr>
        <w:pStyle w:val="TOC3"/>
        <w:rPr>
          <w:rFonts w:asciiTheme="minorHAnsi" w:eastAsiaTheme="minorEastAsia" w:hAnsiTheme="minorHAnsi" w:cstheme="minorBidi"/>
          <w:sz w:val="22"/>
          <w:szCs w:val="22"/>
          <w:rtl/>
        </w:rPr>
      </w:pPr>
      <w:hyperlink w:anchor="_Toc140144518" w:history="1">
        <w:r w:rsidR="002748A5" w:rsidRPr="00E72DF5">
          <w:rPr>
            <w:rStyle w:val="Hyperlink"/>
            <w:rtl/>
          </w:rPr>
          <w:t>בי' התוס' דקורע למתו ולמירמי אימתא ל"ד לצורך שהיה במשכן דהקריעה היא לצורך עצמה</w:t>
        </w:r>
      </w:hyperlink>
    </w:p>
    <w:p w14:paraId="4761C6F2" w14:textId="77777777" w:rsidR="002748A5" w:rsidRDefault="00AD16A0" w:rsidP="00ED704E">
      <w:pPr>
        <w:pStyle w:val="TOC3"/>
        <w:rPr>
          <w:rFonts w:asciiTheme="minorHAnsi" w:eastAsiaTheme="minorEastAsia" w:hAnsiTheme="minorHAnsi" w:cstheme="minorBidi"/>
          <w:sz w:val="22"/>
          <w:szCs w:val="22"/>
          <w:rtl/>
        </w:rPr>
      </w:pPr>
      <w:hyperlink w:anchor="_Toc140144519" w:history="1">
        <w:r w:rsidR="002748A5" w:rsidRPr="00E72DF5">
          <w:rPr>
            <w:rStyle w:val="Hyperlink"/>
            <w:rtl/>
          </w:rPr>
          <w:t>בי' התוס' דבקלקול צריך לר"ש לגופו ולגופה דרק בצריך את שניהם הוי מלאכה שצריכה לגופה</w:t>
        </w:r>
      </w:hyperlink>
    </w:p>
    <w:p w14:paraId="0D1A0DA1" w14:textId="77777777" w:rsidR="002748A5" w:rsidRDefault="00AD16A0" w:rsidP="002748A5">
      <w:pPr>
        <w:pStyle w:val="TOC2"/>
        <w:rPr>
          <w:rFonts w:cstheme="minorBidi"/>
          <w:b w:val="0"/>
          <w:bCs w:val="0"/>
          <w:sz w:val="22"/>
          <w:szCs w:val="22"/>
          <w:rtl/>
        </w:rPr>
      </w:pPr>
      <w:hyperlink w:anchor="_Toc140144520" w:history="1">
        <w:r w:rsidR="002748A5" w:rsidRPr="00E72DF5">
          <w:rPr>
            <w:rStyle w:val="Hyperlink"/>
            <w:rtl/>
          </w:rPr>
          <w:t>בי' הכפות תמרים בפלו' התוס' אי סותר כותל ע"מ לבנות ככיבוי</w:t>
        </w:r>
      </w:hyperlink>
    </w:p>
    <w:p w14:paraId="3B89998D" w14:textId="77777777" w:rsidR="002748A5" w:rsidRDefault="00AD16A0" w:rsidP="00ED704E">
      <w:pPr>
        <w:pStyle w:val="TOC3"/>
        <w:rPr>
          <w:rFonts w:asciiTheme="minorHAnsi" w:eastAsiaTheme="minorEastAsia" w:hAnsiTheme="minorHAnsi" w:cstheme="minorBidi"/>
          <w:sz w:val="22"/>
          <w:szCs w:val="22"/>
          <w:rtl/>
        </w:rPr>
      </w:pPr>
      <w:hyperlink w:anchor="_Toc140144521" w:history="1">
        <w:r w:rsidR="002748A5" w:rsidRPr="00E72DF5">
          <w:rPr>
            <w:rStyle w:val="Hyperlink"/>
            <w:rtl/>
          </w:rPr>
          <w:t>בי' הכפו"ת דנח' התוס' אי סותר ע"מ לבנות יותר טוב ממה שהיה גם בסותר כותל או רק בכיבוי</w:t>
        </w:r>
      </w:hyperlink>
    </w:p>
    <w:p w14:paraId="28D49BAD" w14:textId="77777777" w:rsidR="002748A5" w:rsidRDefault="00AD16A0" w:rsidP="00ED704E">
      <w:pPr>
        <w:pStyle w:val="TOC3"/>
        <w:rPr>
          <w:rFonts w:asciiTheme="minorHAnsi" w:eastAsiaTheme="minorEastAsia" w:hAnsiTheme="minorHAnsi" w:cstheme="minorBidi"/>
          <w:sz w:val="22"/>
          <w:szCs w:val="22"/>
          <w:rtl/>
        </w:rPr>
      </w:pPr>
      <w:hyperlink w:anchor="_Toc140144522" w:history="1">
        <w:r w:rsidR="002748A5" w:rsidRPr="00E72DF5">
          <w:rPr>
            <w:rStyle w:val="Hyperlink"/>
            <w:rtl/>
          </w:rPr>
          <w:t>בי' הכפו"ת בתוס' לעיל דסתירת כותל ל"ה סילוק נזק אלא הכנה לגוף המלאכה ול"ד למת ונחש</w:t>
        </w:r>
      </w:hyperlink>
    </w:p>
    <w:p w14:paraId="7F65136F" w14:textId="77777777" w:rsidR="002748A5" w:rsidRDefault="00AD16A0" w:rsidP="002748A5">
      <w:pPr>
        <w:pStyle w:val="TOC2"/>
        <w:rPr>
          <w:rFonts w:cstheme="minorBidi"/>
          <w:b w:val="0"/>
          <w:bCs w:val="0"/>
          <w:sz w:val="22"/>
          <w:szCs w:val="22"/>
          <w:rtl/>
        </w:rPr>
      </w:pPr>
      <w:hyperlink w:anchor="_Toc140144523" w:history="1">
        <w:r w:rsidR="002748A5" w:rsidRPr="00E72DF5">
          <w:rPr>
            <w:rStyle w:val="Hyperlink"/>
            <w:rtl/>
          </w:rPr>
          <w:t>בדעת התוס' בגוזז שער דהוא משאצל"ג ובד' רש"י בזה</w:t>
        </w:r>
      </w:hyperlink>
    </w:p>
    <w:p w14:paraId="63A7967D" w14:textId="77777777" w:rsidR="002748A5" w:rsidRDefault="00AD16A0" w:rsidP="00ED704E">
      <w:pPr>
        <w:pStyle w:val="TOC3"/>
        <w:rPr>
          <w:rFonts w:asciiTheme="minorHAnsi" w:eastAsiaTheme="minorEastAsia" w:hAnsiTheme="minorHAnsi" w:cstheme="minorBidi"/>
          <w:sz w:val="22"/>
          <w:szCs w:val="22"/>
          <w:rtl/>
        </w:rPr>
      </w:pPr>
      <w:hyperlink w:anchor="_Toc140144524" w:history="1">
        <w:r w:rsidR="002748A5" w:rsidRPr="00E72DF5">
          <w:rPr>
            <w:rStyle w:val="Hyperlink"/>
            <w:rtl/>
          </w:rPr>
          <w:t>בי' החת"ס דלתוס' גזיזת שער הוי משאצל"ג דל"ד לצורך במשכן אך לרש"י רוצה בה והוי צל"ג</w:t>
        </w:r>
      </w:hyperlink>
    </w:p>
    <w:p w14:paraId="2F451B58" w14:textId="77777777" w:rsidR="002748A5" w:rsidRDefault="00AD16A0" w:rsidP="00ED704E">
      <w:pPr>
        <w:pStyle w:val="TOC3"/>
        <w:rPr>
          <w:rFonts w:asciiTheme="minorHAnsi" w:eastAsiaTheme="minorEastAsia" w:hAnsiTheme="minorHAnsi" w:cstheme="minorBidi"/>
          <w:sz w:val="22"/>
          <w:szCs w:val="22"/>
          <w:rtl/>
        </w:rPr>
      </w:pPr>
      <w:hyperlink w:anchor="_Toc140144525" w:history="1">
        <w:r w:rsidR="002748A5" w:rsidRPr="00E72DF5">
          <w:rPr>
            <w:rStyle w:val="Hyperlink"/>
            <w:rtl/>
          </w:rPr>
          <w:t>בי' המהר"י ענגיל דברש"י בביצה משמע דחיוב גוזז שער הוא רק בצריך את השער</w:t>
        </w:r>
      </w:hyperlink>
    </w:p>
    <w:p w14:paraId="0936C1F5" w14:textId="77777777" w:rsidR="002748A5" w:rsidRDefault="00AD16A0" w:rsidP="002748A5">
      <w:pPr>
        <w:pStyle w:val="TOC1"/>
        <w:rPr>
          <w:rFonts w:asciiTheme="minorHAnsi" w:hAnsiTheme="minorHAnsi" w:cstheme="minorBidi"/>
          <w:b w:val="0"/>
          <w:bCs w:val="0"/>
          <w:caps w:val="0"/>
          <w:sz w:val="22"/>
          <w:szCs w:val="22"/>
          <w:rtl/>
        </w:rPr>
      </w:pPr>
      <w:hyperlink w:anchor="_Toc140144526" w:history="1">
        <w:r w:rsidR="002748A5" w:rsidRPr="00E72DF5">
          <w:rPr>
            <w:rStyle w:val="Hyperlink"/>
            <w:rtl/>
          </w:rPr>
          <w:t>בד' תוס' במשאצל"ג בחובל ומבעיר</w:t>
        </w:r>
      </w:hyperlink>
    </w:p>
    <w:p w14:paraId="14BB9652" w14:textId="77777777" w:rsidR="002748A5" w:rsidRDefault="00AD16A0" w:rsidP="002748A5">
      <w:pPr>
        <w:pStyle w:val="TOC2"/>
        <w:rPr>
          <w:rFonts w:cstheme="minorBidi"/>
          <w:b w:val="0"/>
          <w:bCs w:val="0"/>
          <w:sz w:val="22"/>
          <w:szCs w:val="22"/>
          <w:rtl/>
        </w:rPr>
      </w:pPr>
      <w:hyperlink w:anchor="_Toc140144527" w:history="1">
        <w:r w:rsidR="002748A5" w:rsidRPr="00E72DF5">
          <w:rPr>
            <w:rStyle w:val="Hyperlink"/>
            <w:rtl/>
          </w:rPr>
          <w:t>ביאורי התוס' במקור פלוגתת ר"י ור"ש במשאצל"ג</w:t>
        </w:r>
      </w:hyperlink>
    </w:p>
    <w:p w14:paraId="7B8271BF" w14:textId="77777777" w:rsidR="002748A5" w:rsidRDefault="00AD16A0" w:rsidP="00ED704E">
      <w:pPr>
        <w:pStyle w:val="TOC3"/>
        <w:rPr>
          <w:rFonts w:asciiTheme="minorHAnsi" w:eastAsiaTheme="minorEastAsia" w:hAnsiTheme="minorHAnsi" w:cstheme="minorBidi"/>
          <w:sz w:val="22"/>
          <w:szCs w:val="22"/>
          <w:rtl/>
        </w:rPr>
      </w:pPr>
      <w:hyperlink w:anchor="_Toc140144528" w:history="1">
        <w:r w:rsidR="002748A5" w:rsidRPr="00E72DF5">
          <w:rPr>
            <w:rStyle w:val="Hyperlink"/>
            <w:rtl/>
          </w:rPr>
          <w:t>בי' התוס' דמחיוב ר"י במת מבו' דמחייב במשאצל"ג או מחיוב הוצאה בע"ז או מכלי על עקרב</w:t>
        </w:r>
      </w:hyperlink>
    </w:p>
    <w:p w14:paraId="5652A1CC" w14:textId="77777777" w:rsidR="002748A5" w:rsidRDefault="00AD16A0" w:rsidP="00ED704E">
      <w:pPr>
        <w:pStyle w:val="TOC3"/>
        <w:rPr>
          <w:rFonts w:asciiTheme="minorHAnsi" w:eastAsiaTheme="minorEastAsia" w:hAnsiTheme="minorHAnsi" w:cstheme="minorBidi"/>
          <w:sz w:val="22"/>
          <w:szCs w:val="22"/>
          <w:rtl/>
        </w:rPr>
      </w:pPr>
      <w:hyperlink w:anchor="_Toc140144529" w:history="1">
        <w:r w:rsidR="002748A5" w:rsidRPr="00E72DF5">
          <w:rPr>
            <w:rStyle w:val="Hyperlink"/>
            <w:rtl/>
          </w:rPr>
          <w:t>בי' התורא"ש דהמוציא איסורי הנאה ואינו יודע שאסורים הוי כמלאכה שצריכה לגופה</w:t>
        </w:r>
      </w:hyperlink>
    </w:p>
    <w:p w14:paraId="3B16013A" w14:textId="77777777" w:rsidR="002748A5" w:rsidRDefault="00AD16A0" w:rsidP="00ED704E">
      <w:pPr>
        <w:pStyle w:val="TOC3"/>
        <w:rPr>
          <w:rFonts w:asciiTheme="minorHAnsi" w:eastAsiaTheme="minorEastAsia" w:hAnsiTheme="minorHAnsi" w:cstheme="minorBidi"/>
          <w:sz w:val="22"/>
          <w:szCs w:val="22"/>
          <w:rtl/>
        </w:rPr>
      </w:pPr>
      <w:hyperlink w:anchor="_Toc140144530" w:history="1">
        <w:r w:rsidR="002748A5" w:rsidRPr="00E72DF5">
          <w:rPr>
            <w:rStyle w:val="Hyperlink"/>
            <w:rtl/>
          </w:rPr>
          <w:t>בי' התוס' דמקלקל בחבורה לא נפטר במשאצל"ג דשייך לגופה באיסורי הנאה דסבר דמותר</w:t>
        </w:r>
      </w:hyperlink>
    </w:p>
    <w:p w14:paraId="5639DA0C" w14:textId="77777777" w:rsidR="002748A5" w:rsidRDefault="00AD16A0" w:rsidP="00ED704E">
      <w:pPr>
        <w:pStyle w:val="TOC3"/>
        <w:rPr>
          <w:rFonts w:asciiTheme="minorHAnsi" w:eastAsiaTheme="minorEastAsia" w:hAnsiTheme="minorHAnsi" w:cstheme="minorBidi"/>
          <w:sz w:val="22"/>
          <w:szCs w:val="22"/>
          <w:rtl/>
        </w:rPr>
      </w:pPr>
      <w:hyperlink w:anchor="_Toc140144531" w:history="1">
        <w:r w:rsidR="002748A5" w:rsidRPr="00E72DF5">
          <w:rPr>
            <w:rStyle w:val="Hyperlink"/>
            <w:rtl/>
          </w:rPr>
          <w:t>בי' תוס' דחובל לכלבו ל"ד לחופר גומא דצריך את הדם עצמו ובו חובל ומבעיר צריך אפר עצמו</w:t>
        </w:r>
      </w:hyperlink>
    </w:p>
    <w:p w14:paraId="046EDF3F" w14:textId="77777777" w:rsidR="002748A5" w:rsidRDefault="00AD16A0" w:rsidP="00ED704E">
      <w:pPr>
        <w:pStyle w:val="TOC3"/>
        <w:rPr>
          <w:rFonts w:asciiTheme="minorHAnsi" w:eastAsiaTheme="minorEastAsia" w:hAnsiTheme="minorHAnsi" w:cstheme="minorBidi"/>
          <w:sz w:val="22"/>
          <w:szCs w:val="22"/>
          <w:rtl/>
        </w:rPr>
      </w:pPr>
      <w:hyperlink w:anchor="_Toc140144532" w:history="1">
        <w:r w:rsidR="002748A5" w:rsidRPr="00E72DF5">
          <w:rPr>
            <w:rStyle w:val="Hyperlink"/>
            <w:rtl/>
          </w:rPr>
          <w:t>בי' המרכה"מ בתוס' דהמלאכה בדם שממיתו ולא באדם שנחבל ובדם עצמו נעשה תיקון לכלבו</w:t>
        </w:r>
      </w:hyperlink>
    </w:p>
    <w:p w14:paraId="2C77220B" w14:textId="77777777" w:rsidR="002748A5" w:rsidRDefault="00AD16A0" w:rsidP="00ED704E">
      <w:pPr>
        <w:pStyle w:val="TOC3"/>
        <w:rPr>
          <w:rFonts w:asciiTheme="minorHAnsi" w:eastAsiaTheme="minorEastAsia" w:hAnsiTheme="minorHAnsi" w:cstheme="minorBidi"/>
          <w:sz w:val="22"/>
          <w:szCs w:val="22"/>
          <w:rtl/>
        </w:rPr>
      </w:pPr>
      <w:hyperlink w:anchor="_Toc140144533" w:history="1">
        <w:r w:rsidR="002748A5" w:rsidRPr="00E72DF5">
          <w:rPr>
            <w:rStyle w:val="Hyperlink"/>
            <w:rtl/>
          </w:rPr>
          <w:t>בי' המרכה"מ בתוס' דבגומא המלאכה היא רק בבנין וכשא"צ לו הוא מקלקל והוי משאצל"ג</w:t>
        </w:r>
      </w:hyperlink>
    </w:p>
    <w:p w14:paraId="7161D5A3" w14:textId="77777777" w:rsidR="002748A5" w:rsidRDefault="00AD16A0" w:rsidP="002748A5">
      <w:pPr>
        <w:pStyle w:val="TOC1"/>
        <w:rPr>
          <w:rFonts w:asciiTheme="minorHAnsi" w:hAnsiTheme="minorHAnsi" w:cstheme="minorBidi"/>
          <w:b w:val="0"/>
          <w:bCs w:val="0"/>
          <w:caps w:val="0"/>
          <w:sz w:val="22"/>
          <w:szCs w:val="22"/>
          <w:rtl/>
        </w:rPr>
      </w:pPr>
      <w:hyperlink w:anchor="_Toc140144534" w:history="1">
        <w:r w:rsidR="002748A5" w:rsidRPr="00E72DF5">
          <w:rPr>
            <w:rStyle w:val="Hyperlink"/>
            <w:rtl/>
          </w:rPr>
          <w:t>פלו' הרשב"ם ותוס' בסוגיא דחובל לכלבו</w:t>
        </w:r>
      </w:hyperlink>
    </w:p>
    <w:p w14:paraId="514DBFA8" w14:textId="77777777" w:rsidR="002748A5" w:rsidRDefault="00AD16A0" w:rsidP="002748A5">
      <w:pPr>
        <w:pStyle w:val="TOC2"/>
        <w:rPr>
          <w:rFonts w:cstheme="minorBidi"/>
          <w:b w:val="0"/>
          <w:bCs w:val="0"/>
          <w:sz w:val="22"/>
          <w:szCs w:val="22"/>
          <w:rtl/>
        </w:rPr>
      </w:pPr>
      <w:hyperlink w:anchor="_Toc140144535" w:history="1">
        <w:r w:rsidR="002748A5" w:rsidRPr="00E72DF5">
          <w:rPr>
            <w:rStyle w:val="Hyperlink"/>
            <w:rtl/>
          </w:rPr>
          <w:t>בי' הרשב"ם דר"י ור"ש נח' אי חובל חייב או רק בצריך לכלבו</w:t>
        </w:r>
      </w:hyperlink>
    </w:p>
    <w:p w14:paraId="2EBE6A2C" w14:textId="77777777" w:rsidR="002748A5" w:rsidRDefault="00AD16A0" w:rsidP="00ED704E">
      <w:pPr>
        <w:pStyle w:val="TOC3"/>
        <w:rPr>
          <w:rFonts w:asciiTheme="minorHAnsi" w:eastAsiaTheme="minorEastAsia" w:hAnsiTheme="minorHAnsi" w:cstheme="minorBidi"/>
          <w:sz w:val="22"/>
          <w:szCs w:val="22"/>
          <w:rtl/>
        </w:rPr>
      </w:pPr>
      <w:hyperlink w:anchor="_Toc140144536" w:history="1">
        <w:r w:rsidR="002748A5" w:rsidRPr="00E72DF5">
          <w:rPr>
            <w:rStyle w:val="Hyperlink"/>
            <w:rtl/>
          </w:rPr>
          <w:t>בי' התוס' בשם רשב"ם דלרש"י המח' אי חובל בחבורה חייב או רק בצריך לכלבו היא בד' ר"ש</w:t>
        </w:r>
      </w:hyperlink>
    </w:p>
    <w:p w14:paraId="59FBE12A" w14:textId="77777777" w:rsidR="002748A5" w:rsidRDefault="00AD16A0" w:rsidP="00ED704E">
      <w:pPr>
        <w:pStyle w:val="TOC3"/>
        <w:rPr>
          <w:rFonts w:asciiTheme="minorHAnsi" w:eastAsiaTheme="minorEastAsia" w:hAnsiTheme="minorHAnsi" w:cstheme="minorBidi"/>
          <w:sz w:val="22"/>
          <w:szCs w:val="22"/>
          <w:rtl/>
        </w:rPr>
      </w:pPr>
      <w:hyperlink w:anchor="_Toc140144537" w:history="1">
        <w:r w:rsidR="002748A5" w:rsidRPr="00E72DF5">
          <w:rPr>
            <w:rStyle w:val="Hyperlink"/>
            <w:rtl/>
          </w:rPr>
          <w:t>בי' הרמב"ן ברשב"ם דלריו"ח אין מקור לר"ש דצריך תיקון דבאינו בגוף המלאכה הוי משאצל"ג</w:t>
        </w:r>
      </w:hyperlink>
    </w:p>
    <w:p w14:paraId="2EF9F787" w14:textId="77777777" w:rsidR="002748A5" w:rsidRDefault="00AD16A0" w:rsidP="00ED704E">
      <w:pPr>
        <w:pStyle w:val="TOC3"/>
        <w:rPr>
          <w:rFonts w:asciiTheme="minorHAnsi" w:eastAsiaTheme="minorEastAsia" w:hAnsiTheme="minorHAnsi" w:cstheme="minorBidi"/>
          <w:sz w:val="22"/>
          <w:szCs w:val="22"/>
          <w:rtl/>
        </w:rPr>
      </w:pPr>
      <w:hyperlink w:anchor="_Toc140144538" w:history="1">
        <w:r w:rsidR="002748A5" w:rsidRPr="00E72DF5">
          <w:rPr>
            <w:rStyle w:val="Hyperlink"/>
            <w:rtl/>
          </w:rPr>
          <w:t>בי' הרמב"ן ברשב"ם דלריו"ח דחה קיי"ל כר"י וכל מקלקל פטור ואי חייב היינו בצריך לכלב</w:t>
        </w:r>
      </w:hyperlink>
    </w:p>
    <w:p w14:paraId="4699C5C4" w14:textId="77777777" w:rsidR="002748A5" w:rsidRDefault="00AD16A0" w:rsidP="002748A5">
      <w:pPr>
        <w:pStyle w:val="TOC2"/>
        <w:rPr>
          <w:rFonts w:cstheme="minorBidi"/>
          <w:b w:val="0"/>
          <w:bCs w:val="0"/>
          <w:sz w:val="22"/>
          <w:szCs w:val="22"/>
          <w:rtl/>
        </w:rPr>
      </w:pPr>
      <w:hyperlink w:anchor="_Toc140144539" w:history="1">
        <w:r w:rsidR="002748A5" w:rsidRPr="00E72DF5">
          <w:rPr>
            <w:rStyle w:val="Hyperlink"/>
            <w:rtl/>
          </w:rPr>
          <w:t>קו' התוס' ורמב"ן דר"ש מחייב מקלקל בחבורה רק בצריך לגופא</w:t>
        </w:r>
      </w:hyperlink>
    </w:p>
    <w:p w14:paraId="1444D43C" w14:textId="77777777" w:rsidR="002748A5" w:rsidRDefault="00AD16A0" w:rsidP="00ED704E">
      <w:pPr>
        <w:pStyle w:val="TOC3"/>
        <w:rPr>
          <w:rFonts w:asciiTheme="minorHAnsi" w:eastAsiaTheme="minorEastAsia" w:hAnsiTheme="minorHAnsi" w:cstheme="minorBidi"/>
          <w:sz w:val="22"/>
          <w:szCs w:val="22"/>
          <w:rtl/>
        </w:rPr>
      </w:pPr>
      <w:hyperlink w:anchor="_Toc140144540" w:history="1">
        <w:r w:rsidR="002748A5" w:rsidRPr="00E72DF5">
          <w:rPr>
            <w:rStyle w:val="Hyperlink"/>
            <w:rtl/>
          </w:rPr>
          <w:t>דחיית התוס' דחובל וצריך לכלבו ל"ה תיקון גמור ומוכח דמקלקל בחבורה חייב רק בצריך לגופה</w:t>
        </w:r>
      </w:hyperlink>
    </w:p>
    <w:p w14:paraId="2F8EC815" w14:textId="77777777" w:rsidR="002748A5" w:rsidRDefault="00AD16A0" w:rsidP="002748A5">
      <w:pPr>
        <w:pStyle w:val="TOC2"/>
        <w:rPr>
          <w:rFonts w:cstheme="minorBidi"/>
          <w:b w:val="0"/>
          <w:bCs w:val="0"/>
          <w:sz w:val="22"/>
          <w:szCs w:val="22"/>
          <w:rtl/>
        </w:rPr>
      </w:pPr>
      <w:hyperlink w:anchor="_Toc140144541" w:history="1">
        <w:r w:rsidR="002748A5" w:rsidRPr="00E72DF5">
          <w:rPr>
            <w:rStyle w:val="Hyperlink"/>
            <w:rtl/>
          </w:rPr>
          <w:t>בי' התוס' והרמ"ן דנח' בד' ר"ש אי מקלקל גמור בחבורה חייב</w:t>
        </w:r>
      </w:hyperlink>
    </w:p>
    <w:p w14:paraId="139E8FA5" w14:textId="77777777" w:rsidR="002748A5" w:rsidRDefault="00AD16A0" w:rsidP="00ED704E">
      <w:pPr>
        <w:pStyle w:val="TOC3"/>
        <w:rPr>
          <w:rFonts w:asciiTheme="minorHAnsi" w:eastAsiaTheme="minorEastAsia" w:hAnsiTheme="minorHAnsi" w:cstheme="minorBidi"/>
          <w:sz w:val="22"/>
          <w:szCs w:val="22"/>
          <w:rtl/>
        </w:rPr>
      </w:pPr>
      <w:hyperlink w:anchor="_Toc140144542" w:history="1">
        <w:r w:rsidR="002748A5" w:rsidRPr="00E72DF5">
          <w:rPr>
            <w:rStyle w:val="Hyperlink"/>
            <w:rtl/>
          </w:rPr>
          <w:t>בי' התוס' והרמב"ן דרבי אבהו וריו"ח נח' בר"ש אי מקלקל בחבורה חייב או דצריך תיקון קצת</w:t>
        </w:r>
      </w:hyperlink>
    </w:p>
    <w:p w14:paraId="44F96164" w14:textId="77777777" w:rsidR="002748A5" w:rsidRDefault="00AD16A0" w:rsidP="00ED704E">
      <w:pPr>
        <w:pStyle w:val="TOC3"/>
        <w:rPr>
          <w:rFonts w:asciiTheme="minorHAnsi" w:eastAsiaTheme="minorEastAsia" w:hAnsiTheme="minorHAnsi" w:cstheme="minorBidi"/>
          <w:sz w:val="22"/>
          <w:szCs w:val="22"/>
          <w:rtl/>
        </w:rPr>
      </w:pPr>
      <w:hyperlink w:anchor="_Toc140144543" w:history="1">
        <w:r w:rsidR="002748A5" w:rsidRPr="00E72DF5">
          <w:rPr>
            <w:rStyle w:val="Hyperlink"/>
            <w:rtl/>
          </w:rPr>
          <w:t>בי' ר"ת דלר"י חובל לכלבו מקלקל דאין התיקון באותה שעה ול"ד לשוחט וקורע למירמי אימה</w:t>
        </w:r>
      </w:hyperlink>
    </w:p>
    <w:p w14:paraId="2E1A18DD" w14:textId="77777777" w:rsidR="002748A5" w:rsidRDefault="00AD16A0" w:rsidP="00ED704E">
      <w:pPr>
        <w:pStyle w:val="TOC3"/>
        <w:rPr>
          <w:rFonts w:asciiTheme="minorHAnsi" w:eastAsiaTheme="minorEastAsia" w:hAnsiTheme="minorHAnsi" w:cstheme="minorBidi"/>
          <w:sz w:val="22"/>
          <w:szCs w:val="22"/>
          <w:rtl/>
        </w:rPr>
      </w:pPr>
      <w:hyperlink w:anchor="_Toc140144544" w:history="1">
        <w:r w:rsidR="002748A5" w:rsidRPr="00E72DF5">
          <w:rPr>
            <w:rStyle w:val="Hyperlink"/>
            <w:rtl/>
          </w:rPr>
          <w:t>בי' התוס' דפלו' ר"י ור"ש במקלקל בחבורה היא קבלה בידם או מברייתא או דכ"מ בגמ' בפסחים</w:t>
        </w:r>
      </w:hyperlink>
    </w:p>
    <w:p w14:paraId="3A38A077" w14:textId="77777777" w:rsidR="002748A5" w:rsidRDefault="00AD16A0" w:rsidP="002748A5">
      <w:pPr>
        <w:pStyle w:val="TOC1"/>
        <w:rPr>
          <w:rFonts w:asciiTheme="minorHAnsi" w:hAnsiTheme="minorHAnsi" w:cstheme="minorBidi"/>
          <w:b w:val="0"/>
          <w:bCs w:val="0"/>
          <w:caps w:val="0"/>
          <w:sz w:val="22"/>
          <w:szCs w:val="22"/>
          <w:rtl/>
        </w:rPr>
      </w:pPr>
      <w:hyperlink w:anchor="_Toc140144545" w:history="1">
        <w:r w:rsidR="002748A5" w:rsidRPr="00E72DF5">
          <w:rPr>
            <w:rStyle w:val="Hyperlink"/>
            <w:rtl/>
          </w:rPr>
          <w:t>~~~~~~~ ביאורי ראשי הישיבות ~~~~~~~</w:t>
        </w:r>
      </w:hyperlink>
    </w:p>
    <w:p w14:paraId="2970C854" w14:textId="77777777" w:rsidR="002748A5" w:rsidRDefault="00AD16A0" w:rsidP="002748A5">
      <w:pPr>
        <w:pStyle w:val="TOC1"/>
        <w:rPr>
          <w:rFonts w:asciiTheme="minorHAnsi" w:hAnsiTheme="minorHAnsi" w:cstheme="minorBidi"/>
          <w:b w:val="0"/>
          <w:bCs w:val="0"/>
          <w:caps w:val="0"/>
          <w:sz w:val="22"/>
          <w:szCs w:val="22"/>
          <w:rtl/>
        </w:rPr>
      </w:pPr>
      <w:hyperlink w:anchor="_Toc140144546" w:history="1">
        <w:r w:rsidR="002748A5" w:rsidRPr="00E72DF5">
          <w:rPr>
            <w:rStyle w:val="Hyperlink"/>
            <w:rtl/>
          </w:rPr>
          <w:t>בבי' התוס' בצורך המלאכות במשכן</w:t>
        </w:r>
      </w:hyperlink>
    </w:p>
    <w:p w14:paraId="66C202D9" w14:textId="77777777" w:rsidR="002748A5" w:rsidRDefault="00AD16A0" w:rsidP="002748A5">
      <w:pPr>
        <w:pStyle w:val="TOC2"/>
        <w:rPr>
          <w:rFonts w:cstheme="minorBidi"/>
          <w:b w:val="0"/>
          <w:bCs w:val="0"/>
          <w:sz w:val="22"/>
          <w:szCs w:val="22"/>
          <w:rtl/>
        </w:rPr>
      </w:pPr>
      <w:hyperlink w:anchor="_Toc140144547" w:history="1">
        <w:r w:rsidR="002748A5" w:rsidRPr="00E72DF5">
          <w:rPr>
            <w:rStyle w:val="Hyperlink"/>
            <w:rtl/>
          </w:rPr>
          <w:t>בי' הגרי"ג דשוחט צריך תיקון בא' מאברי הגוף כאילים מאדמים</w:t>
        </w:r>
      </w:hyperlink>
    </w:p>
    <w:p w14:paraId="3BF431D9" w14:textId="77777777" w:rsidR="002748A5" w:rsidRDefault="00AD16A0" w:rsidP="00ED704E">
      <w:pPr>
        <w:pStyle w:val="TOC3"/>
        <w:rPr>
          <w:rFonts w:asciiTheme="minorHAnsi" w:eastAsiaTheme="minorEastAsia" w:hAnsiTheme="minorHAnsi" w:cstheme="minorBidi"/>
          <w:sz w:val="22"/>
          <w:szCs w:val="22"/>
          <w:rtl/>
        </w:rPr>
      </w:pPr>
      <w:hyperlink w:anchor="_Toc140144548" w:history="1">
        <w:r w:rsidR="002748A5" w:rsidRPr="00E72DF5">
          <w:rPr>
            <w:rStyle w:val="Hyperlink"/>
            <w:rtl/>
          </w:rPr>
          <w:t>קו' שיעורי הגרי"ג דבשוחט הצורך במשכן בעורות האילים ובחובל המלאכה בדם ול"ד למשכן</w:t>
        </w:r>
      </w:hyperlink>
    </w:p>
    <w:p w14:paraId="222924B4" w14:textId="77777777" w:rsidR="002748A5" w:rsidRDefault="00AD16A0" w:rsidP="00ED704E">
      <w:pPr>
        <w:pStyle w:val="TOC3"/>
        <w:rPr>
          <w:rFonts w:asciiTheme="minorHAnsi" w:eastAsiaTheme="minorEastAsia" w:hAnsiTheme="minorHAnsi" w:cstheme="minorBidi"/>
          <w:sz w:val="22"/>
          <w:szCs w:val="22"/>
          <w:rtl/>
        </w:rPr>
      </w:pPr>
      <w:hyperlink w:anchor="_Toc140144549" w:history="1">
        <w:r w:rsidR="002748A5" w:rsidRPr="00E72DF5">
          <w:rPr>
            <w:rStyle w:val="Hyperlink"/>
            <w:rtl/>
          </w:rPr>
          <w:t>תי' שיעורי הגרי"ג דילפי' משוחט אילים דכל צורך שיש בא' מאברי הגוף חשיב צורך וה"ה בדם</w:t>
        </w:r>
      </w:hyperlink>
    </w:p>
    <w:p w14:paraId="1F71E330" w14:textId="77777777" w:rsidR="002748A5" w:rsidRDefault="00AD16A0" w:rsidP="002748A5">
      <w:pPr>
        <w:pStyle w:val="TOC2"/>
        <w:rPr>
          <w:rFonts w:cstheme="minorBidi"/>
          <w:b w:val="0"/>
          <w:bCs w:val="0"/>
          <w:sz w:val="22"/>
          <w:szCs w:val="22"/>
          <w:rtl/>
        </w:rPr>
      </w:pPr>
      <w:hyperlink w:anchor="_Toc140144550" w:history="1">
        <w:r w:rsidR="002748A5" w:rsidRPr="00E72DF5">
          <w:rPr>
            <w:rStyle w:val="Hyperlink"/>
            <w:rtl/>
          </w:rPr>
          <w:t>בי' החזו"י דיש מלאכות דהצורך בהם הוא רק תיקון בדבר עצמו</w:t>
        </w:r>
      </w:hyperlink>
    </w:p>
    <w:p w14:paraId="6F255B16" w14:textId="77777777" w:rsidR="002748A5" w:rsidRDefault="00AD16A0" w:rsidP="00ED704E">
      <w:pPr>
        <w:pStyle w:val="TOC3"/>
        <w:rPr>
          <w:rFonts w:asciiTheme="minorHAnsi" w:eastAsiaTheme="minorEastAsia" w:hAnsiTheme="minorHAnsi" w:cstheme="minorBidi"/>
          <w:sz w:val="22"/>
          <w:szCs w:val="22"/>
          <w:rtl/>
        </w:rPr>
      </w:pPr>
      <w:hyperlink w:anchor="_Toc140144551" w:history="1">
        <w:r w:rsidR="002748A5" w:rsidRPr="00E72DF5">
          <w:rPr>
            <w:rStyle w:val="Hyperlink"/>
            <w:rtl/>
          </w:rPr>
          <w:t>בי' החזו"י בתוס' דבמלאכות שהתיקון היה בגופן זהו צורך המלאכה שלהם ורק בזה הוי צל"ג</w:t>
        </w:r>
      </w:hyperlink>
    </w:p>
    <w:p w14:paraId="0724531B" w14:textId="77777777" w:rsidR="002748A5" w:rsidRDefault="00AD16A0" w:rsidP="00ED704E">
      <w:pPr>
        <w:pStyle w:val="TOC3"/>
        <w:rPr>
          <w:rFonts w:asciiTheme="minorHAnsi" w:eastAsiaTheme="minorEastAsia" w:hAnsiTheme="minorHAnsi" w:cstheme="minorBidi"/>
          <w:sz w:val="22"/>
          <w:szCs w:val="22"/>
          <w:rtl/>
        </w:rPr>
      </w:pPr>
      <w:hyperlink w:anchor="_Toc140144552" w:history="1">
        <w:r w:rsidR="002748A5" w:rsidRPr="00E72DF5">
          <w:rPr>
            <w:rStyle w:val="Hyperlink"/>
            <w:rtl/>
          </w:rPr>
          <w:t>בי' החזו"י דבכיבוי רק צורך בדבר עצמו כפחמים הוי צל"ג וכן בישול דמתקן את הסממנין עצמם</w:t>
        </w:r>
      </w:hyperlink>
    </w:p>
    <w:p w14:paraId="1794ECE1" w14:textId="77777777" w:rsidR="002748A5" w:rsidRDefault="00AD16A0" w:rsidP="002748A5">
      <w:pPr>
        <w:pStyle w:val="TOC2"/>
        <w:rPr>
          <w:rFonts w:cstheme="minorBidi"/>
          <w:b w:val="0"/>
          <w:bCs w:val="0"/>
          <w:sz w:val="22"/>
          <w:szCs w:val="22"/>
          <w:rtl/>
        </w:rPr>
      </w:pPr>
      <w:hyperlink w:anchor="_Toc140144553" w:history="1">
        <w:r w:rsidR="002748A5" w:rsidRPr="00E72DF5">
          <w:rPr>
            <w:rStyle w:val="Hyperlink"/>
            <w:rtl/>
          </w:rPr>
          <w:t>בי' החזו"י דיש מלאכות דהצורך הוא כשעי"ז מתקן דבר אחר</w:t>
        </w:r>
      </w:hyperlink>
    </w:p>
    <w:p w14:paraId="475044D0" w14:textId="77777777" w:rsidR="002748A5" w:rsidRDefault="00AD16A0" w:rsidP="00ED704E">
      <w:pPr>
        <w:pStyle w:val="TOC3"/>
        <w:rPr>
          <w:rFonts w:asciiTheme="minorHAnsi" w:eastAsiaTheme="minorEastAsia" w:hAnsiTheme="minorHAnsi" w:cstheme="minorBidi"/>
          <w:sz w:val="22"/>
          <w:szCs w:val="22"/>
          <w:rtl/>
        </w:rPr>
      </w:pPr>
      <w:hyperlink w:anchor="_Toc140144554" w:history="1">
        <w:r w:rsidR="002748A5" w:rsidRPr="00E72DF5">
          <w:rPr>
            <w:rStyle w:val="Hyperlink"/>
            <w:rtl/>
          </w:rPr>
          <w:t>בי' החזו"י דיש סוג  נוסף של מלאכות דהתיקון במשכן היה בדבר אחר ואף בכה"ג צריך לגופה</w:t>
        </w:r>
      </w:hyperlink>
    </w:p>
    <w:p w14:paraId="6D6CA791" w14:textId="77777777" w:rsidR="002748A5" w:rsidRDefault="00AD16A0" w:rsidP="00ED704E">
      <w:pPr>
        <w:pStyle w:val="TOC3"/>
        <w:rPr>
          <w:rFonts w:asciiTheme="minorHAnsi" w:eastAsiaTheme="minorEastAsia" w:hAnsiTheme="minorHAnsi" w:cstheme="minorBidi"/>
          <w:sz w:val="22"/>
          <w:szCs w:val="22"/>
          <w:rtl/>
        </w:rPr>
      </w:pPr>
      <w:hyperlink w:anchor="_Toc140144555" w:history="1">
        <w:r w:rsidR="002748A5" w:rsidRPr="00E72DF5">
          <w:rPr>
            <w:rStyle w:val="Hyperlink"/>
            <w:rtl/>
          </w:rPr>
          <w:t>בי' החזו"י דבהבערה המלאכה הייתה בעצים והתיקון בדבר אחר וכן בשחיטת אילים מאדמים</w:t>
        </w:r>
      </w:hyperlink>
    </w:p>
    <w:p w14:paraId="7C6554DE" w14:textId="77777777" w:rsidR="002748A5" w:rsidRDefault="00AD16A0" w:rsidP="002748A5">
      <w:pPr>
        <w:pStyle w:val="TOC2"/>
        <w:rPr>
          <w:rFonts w:cstheme="minorBidi"/>
          <w:b w:val="0"/>
          <w:bCs w:val="0"/>
          <w:sz w:val="22"/>
          <w:szCs w:val="22"/>
          <w:rtl/>
        </w:rPr>
      </w:pPr>
      <w:hyperlink w:anchor="_Toc140144556" w:history="1">
        <w:r w:rsidR="002748A5" w:rsidRPr="00E72DF5">
          <w:rPr>
            <w:rStyle w:val="Hyperlink"/>
            <w:rtl/>
          </w:rPr>
          <w:t>בי' החזו"י דבהוצאה התיקון הוא שצריך את הדבר לכל צורך</w:t>
        </w:r>
      </w:hyperlink>
    </w:p>
    <w:p w14:paraId="5675B7C4" w14:textId="77777777" w:rsidR="002748A5" w:rsidRDefault="00AD16A0" w:rsidP="00ED704E">
      <w:pPr>
        <w:pStyle w:val="TOC3"/>
        <w:rPr>
          <w:rFonts w:asciiTheme="minorHAnsi" w:eastAsiaTheme="minorEastAsia" w:hAnsiTheme="minorHAnsi" w:cstheme="minorBidi"/>
          <w:sz w:val="22"/>
          <w:szCs w:val="22"/>
          <w:rtl/>
        </w:rPr>
      </w:pPr>
      <w:hyperlink w:anchor="_Toc140144557" w:history="1">
        <w:r w:rsidR="002748A5" w:rsidRPr="00E72DF5">
          <w:rPr>
            <w:rStyle w:val="Hyperlink"/>
            <w:rtl/>
          </w:rPr>
          <w:t>בי' החזו"י דבהוצאה הצורך במשכן היה שצריך את הדבר דע"י ההוצאה מביאה למקום שמתקנה</w:t>
        </w:r>
      </w:hyperlink>
    </w:p>
    <w:p w14:paraId="7D17C26D" w14:textId="77777777" w:rsidR="002748A5" w:rsidRDefault="00AD16A0" w:rsidP="002748A5">
      <w:pPr>
        <w:pStyle w:val="TOC2"/>
        <w:rPr>
          <w:rFonts w:cstheme="minorBidi"/>
          <w:b w:val="0"/>
          <w:bCs w:val="0"/>
          <w:sz w:val="22"/>
          <w:szCs w:val="22"/>
          <w:rtl/>
        </w:rPr>
      </w:pPr>
      <w:hyperlink w:anchor="_Toc140144558" w:history="1">
        <w:r w:rsidR="002748A5" w:rsidRPr="00E72DF5">
          <w:rPr>
            <w:rStyle w:val="Hyperlink"/>
            <w:rtl/>
          </w:rPr>
          <w:t>בי' החזו"י בתוס' בחילוק הצורך בכיבוי וקורע ובחובל ובהוצאה</w:t>
        </w:r>
      </w:hyperlink>
    </w:p>
    <w:p w14:paraId="138AC2D7" w14:textId="77777777" w:rsidR="002748A5" w:rsidRDefault="00AD16A0" w:rsidP="00ED704E">
      <w:pPr>
        <w:pStyle w:val="TOC3"/>
        <w:rPr>
          <w:rFonts w:asciiTheme="minorHAnsi" w:eastAsiaTheme="minorEastAsia" w:hAnsiTheme="minorHAnsi" w:cstheme="minorBidi"/>
          <w:sz w:val="22"/>
          <w:szCs w:val="22"/>
          <w:rtl/>
        </w:rPr>
      </w:pPr>
      <w:hyperlink w:anchor="_Toc140144559" w:history="1">
        <w:r w:rsidR="002748A5" w:rsidRPr="00E72DF5">
          <w:rPr>
            <w:rStyle w:val="Hyperlink"/>
            <w:rtl/>
          </w:rPr>
          <w:t>בי' החזו"י בתוס' דהצורך שהיה במשכן הוא צורך האיסור ובמכבה וקורע צריך תיקון בדבר עצמו</w:t>
        </w:r>
      </w:hyperlink>
    </w:p>
    <w:p w14:paraId="4D6173AB" w14:textId="77777777" w:rsidR="002748A5" w:rsidRDefault="00AD16A0" w:rsidP="00ED704E">
      <w:pPr>
        <w:pStyle w:val="TOC3"/>
        <w:rPr>
          <w:rFonts w:asciiTheme="minorHAnsi" w:eastAsiaTheme="minorEastAsia" w:hAnsiTheme="minorHAnsi" w:cstheme="minorBidi"/>
          <w:sz w:val="22"/>
          <w:szCs w:val="22"/>
          <w:rtl/>
        </w:rPr>
      </w:pPr>
      <w:hyperlink w:anchor="_Toc140144560" w:history="1">
        <w:r w:rsidR="002748A5" w:rsidRPr="00E72DF5">
          <w:rPr>
            <w:rStyle w:val="Hyperlink"/>
            <w:rtl/>
          </w:rPr>
          <w:t>בי' החזו"י דקורע למירמי אימתא התיקון הוא בדב"א והוי משאצל"ג ובמתו מתקן הבגד לאבל</w:t>
        </w:r>
      </w:hyperlink>
    </w:p>
    <w:p w14:paraId="2E9F3E7D" w14:textId="77777777" w:rsidR="002748A5" w:rsidRDefault="00AD16A0" w:rsidP="00ED704E">
      <w:pPr>
        <w:pStyle w:val="TOC3"/>
        <w:rPr>
          <w:rFonts w:asciiTheme="minorHAnsi" w:eastAsiaTheme="minorEastAsia" w:hAnsiTheme="minorHAnsi" w:cstheme="minorBidi"/>
          <w:sz w:val="22"/>
          <w:szCs w:val="22"/>
          <w:rtl/>
        </w:rPr>
      </w:pPr>
      <w:hyperlink w:anchor="_Toc140144561" w:history="1">
        <w:r w:rsidR="002748A5" w:rsidRPr="00E72DF5">
          <w:rPr>
            <w:rStyle w:val="Hyperlink"/>
            <w:rtl/>
          </w:rPr>
          <w:t>בי' החזו"י דחובל באדם להנקם בו הוי צריך לגופה דילפי' מאילים מאדמים ומהני תיקון בדב"א</w:t>
        </w:r>
      </w:hyperlink>
    </w:p>
    <w:p w14:paraId="2E2D134F" w14:textId="77777777" w:rsidR="002748A5" w:rsidRDefault="00AD16A0" w:rsidP="00ED704E">
      <w:pPr>
        <w:pStyle w:val="TOC3"/>
        <w:rPr>
          <w:rFonts w:asciiTheme="minorHAnsi" w:eastAsiaTheme="minorEastAsia" w:hAnsiTheme="minorHAnsi" w:cstheme="minorBidi"/>
          <w:sz w:val="22"/>
          <w:szCs w:val="22"/>
          <w:rtl/>
        </w:rPr>
      </w:pPr>
      <w:hyperlink w:anchor="_Toc140144562" w:history="1">
        <w:r w:rsidR="002748A5" w:rsidRPr="00E72DF5">
          <w:rPr>
            <w:rStyle w:val="Hyperlink"/>
            <w:rtl/>
          </w:rPr>
          <w:t>קו' החזו"י דבהוצאה חייב אף דל"ד למשכן דא"צ לגופו ולגופה ובמשכן תיקנו את הנדבה עצמה</w:t>
        </w:r>
      </w:hyperlink>
    </w:p>
    <w:p w14:paraId="124A85A2" w14:textId="77777777" w:rsidR="002748A5" w:rsidRDefault="00AD16A0" w:rsidP="00ED704E">
      <w:pPr>
        <w:pStyle w:val="TOC3"/>
        <w:rPr>
          <w:rFonts w:asciiTheme="minorHAnsi" w:eastAsiaTheme="minorEastAsia" w:hAnsiTheme="minorHAnsi" w:cstheme="minorBidi"/>
          <w:sz w:val="22"/>
          <w:szCs w:val="22"/>
          <w:rtl/>
        </w:rPr>
      </w:pPr>
      <w:hyperlink w:anchor="_Toc140144563" w:history="1">
        <w:r w:rsidR="002748A5" w:rsidRPr="00E72DF5">
          <w:rPr>
            <w:rStyle w:val="Hyperlink"/>
            <w:rtl/>
          </w:rPr>
          <w:t>תי' החזו"י דהתיקון בנדבה במשכן היה ע"י מלאכות אחרות וצורך זה אינו כלול במלאכת הוצאה</w:t>
        </w:r>
      </w:hyperlink>
    </w:p>
    <w:p w14:paraId="4FF559B6" w14:textId="77777777" w:rsidR="002748A5" w:rsidRDefault="00AD16A0" w:rsidP="00ED704E">
      <w:pPr>
        <w:pStyle w:val="TOC3"/>
        <w:rPr>
          <w:rFonts w:asciiTheme="minorHAnsi" w:eastAsiaTheme="minorEastAsia" w:hAnsiTheme="minorHAnsi" w:cstheme="minorBidi"/>
          <w:sz w:val="22"/>
          <w:szCs w:val="22"/>
          <w:rtl/>
        </w:rPr>
      </w:pPr>
      <w:hyperlink w:anchor="_Toc140144564" w:history="1">
        <w:r w:rsidR="002748A5" w:rsidRPr="00E72DF5">
          <w:rPr>
            <w:rStyle w:val="Hyperlink"/>
            <w:rtl/>
          </w:rPr>
          <w:t>בי' החזו"י דילפי' מהוצאה במשכן דכל שצריך לחפץ עצמו אף שלא לתקנו כלול בצורך הוצאה</w:t>
        </w:r>
      </w:hyperlink>
    </w:p>
    <w:p w14:paraId="127F8E5C" w14:textId="77777777" w:rsidR="002748A5" w:rsidRDefault="00AD16A0" w:rsidP="00ED704E">
      <w:pPr>
        <w:pStyle w:val="TOC3"/>
        <w:rPr>
          <w:rFonts w:asciiTheme="minorHAnsi" w:eastAsiaTheme="minorEastAsia" w:hAnsiTheme="minorHAnsi" w:cstheme="minorBidi"/>
          <w:sz w:val="22"/>
          <w:szCs w:val="22"/>
          <w:rtl/>
        </w:rPr>
      </w:pPr>
      <w:hyperlink w:anchor="_Toc140144565" w:history="1">
        <w:r w:rsidR="002748A5" w:rsidRPr="00E72DF5">
          <w:rPr>
            <w:rStyle w:val="Hyperlink"/>
            <w:rtl/>
          </w:rPr>
          <w:t>בי' החזו"י דאף דהוצאה היא לכל צורך מ"מ היינו דוקא בצריך לדבר עצמו כנדבה דצריך לתקנה</w:t>
        </w:r>
      </w:hyperlink>
    </w:p>
    <w:p w14:paraId="428520D6" w14:textId="77777777" w:rsidR="002748A5" w:rsidRDefault="00AD16A0" w:rsidP="00ED704E">
      <w:pPr>
        <w:pStyle w:val="TOC3"/>
        <w:rPr>
          <w:rFonts w:asciiTheme="minorHAnsi" w:eastAsiaTheme="minorEastAsia" w:hAnsiTheme="minorHAnsi" w:cstheme="minorBidi"/>
          <w:sz w:val="22"/>
          <w:szCs w:val="22"/>
          <w:rtl/>
        </w:rPr>
      </w:pPr>
      <w:hyperlink w:anchor="_Toc140144566" w:history="1">
        <w:r w:rsidR="002748A5" w:rsidRPr="00E72DF5">
          <w:rPr>
            <w:rStyle w:val="Hyperlink"/>
            <w:rtl/>
          </w:rPr>
          <w:t>בי' החזו"י דמוציא מת פטור לר"ש אף ד</w:t>
        </w:r>
        <w:r w:rsidR="002748A5" w:rsidRPr="00E72DF5">
          <w:rPr>
            <w:rStyle w:val="Hyperlink"/>
            <w:rtl/>
          </w:rPr>
          <w:t>מ</w:t>
        </w:r>
        <w:r w:rsidR="002748A5" w:rsidRPr="00E72DF5">
          <w:rPr>
            <w:rStyle w:val="Hyperlink"/>
            <w:rtl/>
          </w:rPr>
          <w:t>צוה לקוברו מ"מ א"צ אותו עצמו ול"ד לצורך דמשכן</w:t>
        </w:r>
      </w:hyperlink>
    </w:p>
    <w:p w14:paraId="08497B2D" w14:textId="77777777" w:rsidR="002748A5" w:rsidRPr="003B63CB" w:rsidRDefault="002748A5" w:rsidP="002748A5">
      <w:pPr>
        <w:keepNext/>
        <w:keepLines/>
        <w:spacing w:after="0" w:line="240" w:lineRule="auto"/>
        <w:jc w:val="center"/>
        <w:outlineLvl w:val="1"/>
        <w:rPr>
          <w:rFonts w:eastAsiaTheme="minorHAnsi" w:cs="Guttman Hodes"/>
          <w:b/>
          <w:bCs/>
          <w:noProof/>
          <w:sz w:val="14"/>
          <w:szCs w:val="14"/>
          <w:rtl/>
        </w:rPr>
        <w:sectPr w:rsidR="002748A5" w:rsidRPr="003B63CB" w:rsidSect="00CA28B3">
          <w:headerReference w:type="even" r:id="rId138"/>
          <w:headerReference w:type="default" r:id="rId139"/>
          <w:footerReference w:type="even" r:id="rId140"/>
          <w:footerReference w:type="default" r:id="rId141"/>
          <w:headerReference w:type="first" r:id="rId142"/>
          <w:footerReference w:type="first" r:id="rId143"/>
          <w:type w:val="continuous"/>
          <w:pgSz w:w="11906" w:h="16838"/>
          <w:pgMar w:top="720" w:right="720" w:bottom="720" w:left="720" w:header="283" w:footer="283" w:gutter="0"/>
          <w:cols w:num="2" w:space="113"/>
          <w:titlePg/>
          <w:bidi/>
          <w:rtlGutter/>
          <w:docGrid w:linePitch="299"/>
        </w:sectPr>
      </w:pPr>
      <w:r w:rsidRPr="003B63CB">
        <w:rPr>
          <w:rFonts w:eastAsiaTheme="minorHAnsi" w:cs="Guttman Hodes"/>
          <w:b/>
          <w:bCs/>
          <w:noProof/>
          <w:sz w:val="14"/>
          <w:szCs w:val="14"/>
          <w:rtl/>
        </w:rPr>
        <w:fldChar w:fldCharType="end"/>
      </w:r>
    </w:p>
    <w:p w14:paraId="06072121" w14:textId="77777777" w:rsidR="002748A5" w:rsidRPr="003B63CB" w:rsidRDefault="002748A5" w:rsidP="002748A5">
      <w:pPr>
        <w:keepNext/>
        <w:keepLines/>
        <w:spacing w:after="0" w:line="240" w:lineRule="auto"/>
        <w:jc w:val="center"/>
        <w:outlineLvl w:val="1"/>
        <w:rPr>
          <w:rFonts w:ascii="FrankRuehl" w:eastAsia="Guttman Adii-Light" w:hAnsi="FrankRuehl" w:cs="Guttman Hodes"/>
          <w:b/>
          <w:bCs/>
          <w:noProof/>
          <w:sz w:val="24"/>
          <w:szCs w:val="24"/>
          <w:rtl/>
        </w:rPr>
        <w:sectPr w:rsidR="002748A5" w:rsidRPr="003B63CB" w:rsidSect="00CA28B3">
          <w:type w:val="continuous"/>
          <w:pgSz w:w="11906" w:h="16838"/>
          <w:pgMar w:top="720" w:right="720" w:bottom="720" w:left="720" w:header="283" w:footer="283" w:gutter="0"/>
          <w:cols w:num="2" w:space="113"/>
          <w:titlePg/>
          <w:bidi/>
          <w:rtlGutter/>
          <w:docGrid w:linePitch="299"/>
        </w:sectPr>
      </w:pPr>
    </w:p>
    <w:p w14:paraId="5A8E8FCE" w14:textId="77777777" w:rsidR="002748A5" w:rsidRPr="003B63CB" w:rsidRDefault="002748A5" w:rsidP="002748A5">
      <w:pPr>
        <w:spacing w:before="240" w:after="0" w:line="360" w:lineRule="auto"/>
        <w:jc w:val="center"/>
        <w:outlineLvl w:val="1"/>
        <w:rPr>
          <w:rFonts w:ascii="Guttman Adii-Light" w:eastAsia="Guttman Adii-Light" w:hAnsi="Guttman Adii-Light" w:cs="Guttman Hodes"/>
          <w:b/>
          <w:bCs/>
          <w:sz w:val="18"/>
          <w:szCs w:val="28"/>
          <w:rtl/>
        </w:rPr>
        <w:sectPr w:rsidR="002748A5" w:rsidRPr="003B63CB" w:rsidSect="00725DCB">
          <w:pgSz w:w="11906" w:h="16838"/>
          <w:pgMar w:top="720" w:right="720" w:bottom="720" w:left="720" w:header="283" w:footer="283" w:gutter="0"/>
          <w:cols w:space="720"/>
          <w:bidi/>
          <w:rtlGutter/>
          <w:docGrid w:linePitch="299"/>
        </w:sectPr>
      </w:pPr>
      <w:r w:rsidRPr="003B63CB">
        <w:rPr>
          <w:rFonts w:ascii="Guttman Adii-Light" w:eastAsia="Guttman Adii-Light" w:hAnsi="Guttman Adii-Light" w:cs="Guttman Hodes" w:hint="cs"/>
          <w:b/>
          <w:bCs/>
          <w:sz w:val="18"/>
          <w:szCs w:val="28"/>
          <w:rtl/>
        </w:rPr>
        <w:lastRenderedPageBreak/>
        <w:t>~~~</w:t>
      </w:r>
      <w:r w:rsidRPr="003B63CB">
        <w:rPr>
          <w:rFonts w:ascii="Guttman Adii-Light" w:eastAsia="Guttman Adii-Light" w:hAnsi="Guttman Adii-Light" w:cs="Guttman Hodes"/>
          <w:b/>
          <w:bCs/>
          <w:noProof/>
          <w:sz w:val="18"/>
          <w:szCs w:val="28"/>
          <w:rtl/>
        </w:rPr>
        <w:t>~~</w:t>
      </w:r>
      <w:r w:rsidRPr="003B63CB">
        <w:rPr>
          <w:rFonts w:ascii="Guttman Adii-Light" w:eastAsia="Guttman Adii-Light" w:hAnsi="Guttman Adii-Light" w:cs="Guttman Hodes" w:hint="cs"/>
          <w:b/>
          <w:bCs/>
          <w:sz w:val="18"/>
          <w:szCs w:val="28"/>
          <w:rtl/>
        </w:rPr>
        <w:t>~~ מראי מקומות וביאורים ~~~</w:t>
      </w:r>
      <w:r w:rsidRPr="003B63CB">
        <w:rPr>
          <w:rFonts w:ascii="Guttman Adii-Light" w:eastAsia="Guttman Adii-Light" w:hAnsi="Guttman Adii-Light" w:cs="Guttman Hodes"/>
          <w:b/>
          <w:bCs/>
          <w:noProof/>
          <w:sz w:val="18"/>
          <w:szCs w:val="28"/>
          <w:rtl/>
        </w:rPr>
        <w:t>~~</w:t>
      </w:r>
      <w:r w:rsidRPr="003B63CB">
        <w:rPr>
          <w:rFonts w:ascii="Guttman Adii-Light" w:eastAsia="Guttman Adii-Light" w:hAnsi="Guttman Adii-Light" w:cs="Guttman Hodes" w:hint="cs"/>
          <w:b/>
          <w:bCs/>
          <w:sz w:val="18"/>
          <w:szCs w:val="28"/>
          <w:rtl/>
        </w:rPr>
        <w:t>~~</w:t>
      </w:r>
    </w:p>
    <w:p w14:paraId="2A2FC11B" w14:textId="77777777" w:rsidR="002748A5" w:rsidRPr="003B63CB" w:rsidRDefault="002748A5" w:rsidP="002748A5">
      <w:pPr>
        <w:pStyle w:val="affff5"/>
        <w:rPr>
          <w:rtl/>
        </w:rPr>
      </w:pPr>
      <w:bookmarkStart w:id="3516" w:name="_Toc140075680"/>
      <w:bookmarkStart w:id="3517" w:name="_Toc140077769"/>
      <w:bookmarkStart w:id="3518" w:name="_Toc140092069"/>
      <w:bookmarkStart w:id="3519" w:name="_Toc140099730"/>
      <w:bookmarkStart w:id="3520" w:name="_Toc140144269"/>
      <w:bookmarkStart w:id="3521" w:name="_Toc140144500"/>
      <w:r w:rsidRPr="003B63CB">
        <w:rPr>
          <w:rFonts w:hint="cs"/>
          <w:rtl/>
        </w:rPr>
        <w:t>בד' תוס' דמשאצל"ג בל"ד לצורך במשכן</w:t>
      </w:r>
      <w:bookmarkEnd w:id="3516"/>
      <w:bookmarkEnd w:id="3517"/>
      <w:bookmarkEnd w:id="3518"/>
      <w:bookmarkEnd w:id="3519"/>
      <w:bookmarkEnd w:id="3520"/>
      <w:bookmarkEnd w:id="3521"/>
    </w:p>
    <w:p w14:paraId="050FF889" w14:textId="77777777" w:rsidR="002748A5" w:rsidRPr="003B63CB" w:rsidRDefault="002748A5" w:rsidP="002748A5">
      <w:pPr>
        <w:pStyle w:val="1"/>
        <w:rPr>
          <w:rtl/>
        </w:rPr>
      </w:pPr>
      <w:bookmarkStart w:id="3522" w:name="_Toc140075681"/>
      <w:bookmarkStart w:id="3523" w:name="_Toc140077770"/>
      <w:bookmarkStart w:id="3524" w:name="_Toc140092070"/>
      <w:bookmarkStart w:id="3525" w:name="_Toc140099731"/>
      <w:bookmarkStart w:id="3526" w:name="_Toc140144270"/>
      <w:bookmarkStart w:id="3527" w:name="_Toc140144501"/>
      <w:r w:rsidRPr="003B63CB">
        <w:rPr>
          <w:rFonts w:hint="cs"/>
          <w:rtl/>
        </w:rPr>
        <w:t>בי' התוס' דפוצע חלזון פטור מדין משאצל"ג דלא ניחא שימות</w:t>
      </w:r>
      <w:bookmarkEnd w:id="3522"/>
      <w:bookmarkEnd w:id="3523"/>
      <w:bookmarkEnd w:id="3524"/>
      <w:bookmarkEnd w:id="3525"/>
      <w:bookmarkEnd w:id="3526"/>
      <w:bookmarkEnd w:id="3527"/>
    </w:p>
    <w:p w14:paraId="50BE5D6F" w14:textId="77777777" w:rsidR="002748A5" w:rsidRPr="00C12F78" w:rsidRDefault="002748A5" w:rsidP="002748A5">
      <w:pPr>
        <w:pStyle w:val="afffff7"/>
        <w:rPr>
          <w:rtl/>
        </w:rPr>
      </w:pPr>
      <w:bookmarkStart w:id="3528" w:name="_Toc140144383"/>
      <w:bookmarkStart w:id="3529" w:name="_Toc140144859"/>
      <w:bookmarkStart w:id="3530" w:name="_Toc163505974"/>
      <w:r w:rsidRPr="00C12F78">
        <w:rPr>
          <w:rtl/>
        </w:rPr>
        <w:t>תוספות שבת ע"ה ע"א</w:t>
      </w:r>
      <w:r w:rsidRPr="00C12F78">
        <w:rPr>
          <w:rFonts w:hint="cs"/>
          <w:rtl/>
        </w:rPr>
        <w:t xml:space="preserve"> ד</w:t>
      </w:r>
      <w:r w:rsidRPr="00C12F78">
        <w:rPr>
          <w:rFonts w:cs="Guttman Hodes" w:hint="cs"/>
          <w:rtl/>
        </w:rPr>
        <w:t>"</w:t>
      </w:r>
      <w:r w:rsidRPr="00C12F78">
        <w:rPr>
          <w:rFonts w:hint="cs"/>
          <w:rtl/>
        </w:rPr>
        <w:t>ה טפי</w:t>
      </w:r>
      <w:bookmarkEnd w:id="3530"/>
      <w:r w:rsidRPr="00C12F78">
        <w:rPr>
          <w:vanish/>
          <w:rtl/>
        </w:rPr>
        <w:t xml:space="preserve"> (ט)</w:t>
      </w:r>
      <w:bookmarkEnd w:id="3528"/>
      <w:bookmarkEnd w:id="3529"/>
    </w:p>
    <w:p w14:paraId="321357F9" w14:textId="77777777" w:rsidR="002748A5" w:rsidRPr="00C12F78" w:rsidRDefault="002748A5" w:rsidP="002748A5">
      <w:pPr>
        <w:pStyle w:val="afffff7"/>
        <w:rPr>
          <w:rtl/>
        </w:rPr>
      </w:pPr>
      <w:bookmarkStart w:id="3531" w:name="_Toc140144384"/>
      <w:bookmarkStart w:id="3532" w:name="_Toc140144860"/>
      <w:bookmarkStart w:id="3533" w:name="_Toc140075682"/>
      <w:bookmarkStart w:id="3534" w:name="_Toc140077771"/>
      <w:bookmarkStart w:id="3535" w:name="_Toc140092071"/>
      <w:bookmarkStart w:id="3536" w:name="_Toc140099732"/>
      <w:bookmarkStart w:id="3537" w:name="_Toc140144271"/>
      <w:bookmarkStart w:id="3538" w:name="_Toc140144502"/>
      <w:bookmarkStart w:id="3539" w:name="_Toc163505975"/>
      <w:r w:rsidRPr="00C12F78">
        <w:rPr>
          <w:rFonts w:hint="cs"/>
          <w:rtl/>
        </w:rPr>
        <w:t>ר</w:t>
      </w:r>
      <w:r w:rsidRPr="00C12F78">
        <w:rPr>
          <w:rtl/>
        </w:rPr>
        <w:t>ש"י שבת ע"ה ע"א</w:t>
      </w:r>
      <w:r w:rsidRPr="00C12F78">
        <w:rPr>
          <w:rFonts w:hint="cs"/>
          <w:rtl/>
        </w:rPr>
        <w:t xml:space="preserve"> ד"ה טפי</w:t>
      </w:r>
      <w:bookmarkEnd w:id="3539"/>
      <w:r w:rsidRPr="00C12F78">
        <w:rPr>
          <w:vanish/>
          <w:rtl/>
        </w:rPr>
        <w:t xml:space="preserve"> (ט)</w:t>
      </w:r>
      <w:bookmarkEnd w:id="3531"/>
      <w:bookmarkEnd w:id="3532"/>
    </w:p>
    <w:p w14:paraId="2B22AD78" w14:textId="77777777" w:rsidR="002748A5" w:rsidRPr="003B63CB" w:rsidRDefault="002748A5" w:rsidP="002748A5">
      <w:pPr>
        <w:pStyle w:val="a7"/>
        <w:rPr>
          <w:rtl/>
        </w:rPr>
      </w:pPr>
      <w:r w:rsidRPr="003B63CB">
        <w:rPr>
          <w:rFonts w:hint="cs"/>
          <w:rtl/>
        </w:rPr>
        <w:t>בי' תוס' דפוצע חלזון הוי משאצל"ג דלא ניחא ליה אי מתרמי שימות ולא חשיב צריך לגופו</w:t>
      </w:r>
      <w:bookmarkEnd w:id="3533"/>
      <w:bookmarkEnd w:id="3534"/>
      <w:bookmarkEnd w:id="3535"/>
      <w:bookmarkEnd w:id="3536"/>
      <w:bookmarkEnd w:id="3537"/>
      <w:bookmarkEnd w:id="3538"/>
    </w:p>
    <w:p w14:paraId="6C65AF68" w14:textId="5AB9480B" w:rsidR="002748A5" w:rsidRPr="003B63CB" w:rsidRDefault="002748A5" w:rsidP="00BC7DC8">
      <w:pPr>
        <w:pStyle w:val="a3"/>
        <w:numPr>
          <w:ilvl w:val="0"/>
          <w:numId w:val="16"/>
        </w:numPr>
        <w:rPr>
          <w:rtl/>
        </w:rPr>
      </w:pPr>
      <w:bookmarkStart w:id="3540" w:name="_Ref139487075"/>
      <w:bookmarkStart w:id="3541" w:name="_Hlk139619109"/>
      <w:r w:rsidRPr="003B63CB">
        <w:rPr>
          <w:rFonts w:hint="cs"/>
          <w:rtl/>
        </w:rPr>
        <w:t xml:space="preserve">בפוצע חלזון דניחא ליה שלא ימות, כתבו </w:t>
      </w:r>
      <w:r w:rsidRPr="00BC7DC8">
        <w:rPr>
          <w:rStyle w:val="aff4"/>
          <w:rFonts w:hint="cs"/>
          <w:vanish/>
          <w:rtl/>
        </w:rPr>
        <w:t>-</w:t>
      </w:r>
      <w:r w:rsidRPr="003B63CB">
        <w:rPr>
          <w:rStyle w:val="aff4"/>
          <w:rFonts w:hint="cs"/>
          <w:rtl/>
        </w:rPr>
        <w:t>ה</w:t>
      </w:r>
      <w:r w:rsidRPr="00BC7DC8">
        <w:rPr>
          <w:rStyle w:val="aff4"/>
          <w:rFonts w:hint="cs"/>
          <w:vanish/>
          <w:rtl/>
        </w:rPr>
        <w:t xml:space="preserve">&lt;, </w:t>
      </w:r>
      <w:r w:rsidRPr="00BC7DC8">
        <w:rPr>
          <w:rStyle w:val="aff4"/>
          <w:vanish/>
          <w:rtl/>
        </w:rPr>
        <w:fldChar w:fldCharType="begin"/>
      </w:r>
      <w:r w:rsidRPr="00BC7DC8">
        <w:rPr>
          <w:rStyle w:val="aff4"/>
          <w:vanish/>
          <w:rtl/>
        </w:rPr>
        <w:instrText xml:space="preserve"> </w:instrText>
      </w:r>
      <w:r w:rsidRPr="00BC7DC8">
        <w:rPr>
          <w:rStyle w:val="aff4"/>
          <w:rFonts w:hint="cs"/>
          <w:vanish/>
        </w:rPr>
        <w:instrText>REF</w:instrText>
      </w:r>
      <w:r w:rsidRPr="00BC7DC8">
        <w:rPr>
          <w:rStyle w:val="aff4"/>
          <w:rFonts w:hint="cs"/>
          <w:vanish/>
          <w:rtl/>
        </w:rPr>
        <w:instrText xml:space="preserve"> _</w:instrText>
      </w:r>
      <w:r w:rsidRPr="00BC7DC8">
        <w:rPr>
          <w:rStyle w:val="aff4"/>
          <w:rFonts w:hint="cs"/>
          <w:vanish/>
        </w:rPr>
        <w:instrText>Ref139487075 \r \h</w:instrText>
      </w:r>
      <w:r w:rsidRPr="00BC7DC8">
        <w:rPr>
          <w:rStyle w:val="aff4"/>
          <w:vanish/>
          <w:rtl/>
        </w:rPr>
        <w:instrText xml:space="preserve">  \* </w:instrText>
      </w:r>
      <w:r w:rsidRPr="00BC7DC8">
        <w:rPr>
          <w:rStyle w:val="aff4"/>
          <w:vanish/>
        </w:rPr>
        <w:instrText>MERGEFORMAT</w:instrText>
      </w:r>
      <w:r w:rsidRPr="00BC7DC8">
        <w:rPr>
          <w:rStyle w:val="aff4"/>
          <w:vanish/>
          <w:rtl/>
        </w:rPr>
        <w:instrText xml:space="preserve"> </w:instrText>
      </w:r>
      <w:r w:rsidRPr="00112C74">
        <w:rPr>
          <w:rStyle w:val="aff4"/>
          <w:vanish/>
          <w:rtl/>
        </w:rPr>
      </w:r>
      <w:r w:rsidRPr="00BC7DC8">
        <w:rPr>
          <w:rStyle w:val="aff4"/>
          <w:vanish/>
          <w:rtl/>
        </w:rPr>
        <w:fldChar w:fldCharType="separate"/>
      </w:r>
      <w:r w:rsidR="00D82181">
        <w:rPr>
          <w:rStyle w:val="aff4"/>
          <w:vanish/>
          <w:cs/>
        </w:rPr>
        <w:t>‎</w:t>
      </w:r>
      <w:r w:rsidR="00D82181">
        <w:rPr>
          <w:rStyle w:val="aff4"/>
          <w:vanish/>
          <w:rtl/>
        </w:rPr>
        <w:t>א)</w:t>
      </w:r>
      <w:r w:rsidRPr="00BC7DC8">
        <w:rPr>
          <w:rStyle w:val="aff4"/>
          <w:vanish/>
          <w:rtl/>
        </w:rPr>
        <w:fldChar w:fldCharType="end"/>
      </w:r>
      <w:r w:rsidRPr="00BC7DC8">
        <w:rPr>
          <w:rStyle w:val="aff4"/>
          <w:rFonts w:hint="cs"/>
          <w:vanish/>
          <w:rtl/>
        </w:rPr>
        <w:t xml:space="preserve"> &gt;</w:t>
      </w:r>
      <w:r w:rsidRPr="003B63CB">
        <w:rPr>
          <w:rStyle w:val="aff4"/>
          <w:rFonts w:hint="cs"/>
          <w:rtl/>
        </w:rPr>
        <w:t>תוס'</w:t>
      </w:r>
      <w:r w:rsidRPr="00BC7DC8">
        <w:rPr>
          <w:rStyle w:val="aff4"/>
          <w:rFonts w:hint="cs"/>
          <w:vanish/>
          <w:rtl/>
        </w:rPr>
        <w:t>-</w:t>
      </w:r>
      <w:r w:rsidRPr="003B63CB">
        <w:rPr>
          <w:rFonts w:hint="cs"/>
          <w:rtl/>
        </w:rPr>
        <w:t xml:space="preserve"> </w:t>
      </w:r>
      <w:r w:rsidRPr="00BC7DC8">
        <w:rPr>
          <w:rStyle w:val="af2"/>
          <w:rFonts w:eastAsia="Guttman Hodes" w:hint="cs"/>
          <w:rtl/>
        </w:rPr>
        <w:t>(עה. ד"ה טפי)</w:t>
      </w:r>
      <w:r w:rsidRPr="00BC7DC8">
        <w:rPr>
          <w:rFonts w:hint="cs"/>
          <w:vanish/>
          <w:rtl/>
        </w:rPr>
        <w:t>=</w:t>
      </w:r>
      <w:r w:rsidRPr="003B63CB">
        <w:rPr>
          <w:rFonts w:hint="cs"/>
          <w:rtl/>
        </w:rPr>
        <w:t xml:space="preserve"> דפטור לר"ש אעפ"י דמודה בפסיק רישיה, מ"מ הוי מלאכה שאינה צריכה לגופה, דפוטר ר"ש בזה אף במקלקל כמבואר בגמ' בסנהדרין </w:t>
      </w:r>
      <w:r w:rsidRPr="00BC7DC8">
        <w:rPr>
          <w:rStyle w:val="af2"/>
          <w:rFonts w:eastAsia="Guttman Hodes" w:hint="cs"/>
          <w:rtl/>
        </w:rPr>
        <w:t>(פד:)</w:t>
      </w:r>
      <w:r w:rsidRPr="003B63CB">
        <w:rPr>
          <w:rFonts w:hint="cs"/>
          <w:rtl/>
        </w:rPr>
        <w:t xml:space="preserve"> דאף דמחייב ר"ש במקלקל בחבורה פוטר בזה במלאכה שאינה צריכה לגופה, ומחייב בפסיק רישיה רק בדבר שניחא לו אי מתרמי דיהיה מלאכה שצריכה לגופה, אבל בדבר שלא איכפת ליה פוטר ר"ש, ודלא </w:t>
      </w:r>
      <w:r w:rsidRPr="00BC7DC8">
        <w:rPr>
          <w:rStyle w:val="aff4"/>
          <w:rFonts w:hint="cs"/>
          <w:vanish/>
          <w:rtl/>
        </w:rPr>
        <w:t>-</w:t>
      </w:r>
      <w:r w:rsidRPr="003B63CB">
        <w:rPr>
          <w:rStyle w:val="aff4"/>
          <w:rFonts w:hint="cs"/>
          <w:rtl/>
        </w:rPr>
        <w:t>כ</w:t>
      </w:r>
      <w:r w:rsidRPr="00BC7DC8">
        <w:rPr>
          <w:rStyle w:val="aff4"/>
          <w:rFonts w:hint="cs"/>
          <w:vanish/>
          <w:rtl/>
        </w:rPr>
        <w:t>&lt; &gt;</w:t>
      </w:r>
      <w:r w:rsidRPr="003B63CB">
        <w:rPr>
          <w:rStyle w:val="aff4"/>
          <w:rFonts w:hint="cs"/>
          <w:rtl/>
        </w:rPr>
        <w:t>רש"י</w:t>
      </w:r>
      <w:r w:rsidRPr="00BC7DC8">
        <w:rPr>
          <w:rStyle w:val="aff4"/>
          <w:rFonts w:hint="cs"/>
          <w:vanish/>
          <w:rtl/>
        </w:rPr>
        <w:t>-</w:t>
      </w:r>
      <w:r w:rsidRPr="003B63CB">
        <w:rPr>
          <w:rFonts w:hint="cs"/>
          <w:rtl/>
        </w:rPr>
        <w:t xml:space="preserve"> </w:t>
      </w:r>
      <w:r w:rsidRPr="00BC7DC8">
        <w:rPr>
          <w:rStyle w:val="af2"/>
          <w:rFonts w:eastAsia="Guttman Hodes" w:hint="cs"/>
          <w:rtl/>
        </w:rPr>
        <w:t>(עה. ד"ה טפי)</w:t>
      </w:r>
      <w:r w:rsidRPr="00BC7DC8">
        <w:rPr>
          <w:rFonts w:hint="cs"/>
          <w:vanish/>
          <w:rtl/>
        </w:rPr>
        <w:t>=</w:t>
      </w:r>
      <w:r w:rsidRPr="003B63CB">
        <w:rPr>
          <w:rFonts w:hint="cs"/>
          <w:rtl/>
        </w:rPr>
        <w:t xml:space="preserve"> דכתב דמודה ר"ש בדבר שלא איכפת ליה אי מיתרמי, אף שאינו מכוון לכך, אך הקשו </w:t>
      </w:r>
      <w:r w:rsidRPr="00BC7DC8">
        <w:rPr>
          <w:rStyle w:val="aff4"/>
          <w:rFonts w:hint="cs"/>
          <w:vanish/>
          <w:rtl/>
        </w:rPr>
        <w:t>-</w:t>
      </w:r>
      <w:r w:rsidRPr="003B63CB">
        <w:rPr>
          <w:rStyle w:val="aff4"/>
          <w:rFonts w:hint="cs"/>
          <w:rtl/>
        </w:rPr>
        <w:t>התוס'</w:t>
      </w:r>
      <w:r w:rsidRPr="00BC7DC8">
        <w:rPr>
          <w:rStyle w:val="aff4"/>
          <w:rFonts w:hint="cs"/>
          <w:vanish/>
          <w:rtl/>
        </w:rPr>
        <w:t>-</w:t>
      </w:r>
      <w:r w:rsidRPr="003B63CB">
        <w:rPr>
          <w:rFonts w:hint="cs"/>
          <w:rtl/>
        </w:rPr>
        <w:t xml:space="preserve"> דהא בגמ' בחגיגה </w:t>
      </w:r>
      <w:r w:rsidRPr="00BC7DC8">
        <w:rPr>
          <w:rStyle w:val="af2"/>
          <w:rFonts w:eastAsia="Guttman Hodes" w:hint="cs"/>
          <w:rtl/>
        </w:rPr>
        <w:t>(י:)</w:t>
      </w:r>
      <w:r w:rsidRPr="003B63CB">
        <w:rPr>
          <w:rFonts w:hint="cs"/>
          <w:rtl/>
        </w:rPr>
        <w:t xml:space="preserve"> משמע דר"ש פוטר במלאכה שאינה צריכה לגופה כיון דצריך מלאכת מחשבת, וא"כ במקלקל בחבורה דא"צ מלאכת מחשבת יתחייב לר"ש אף במלאכה שאינה צריכה לגופה, ועי' במה שביאר </w:t>
      </w:r>
      <w:r w:rsidRPr="00BC7DC8">
        <w:rPr>
          <w:rStyle w:val="aff4"/>
          <w:rFonts w:hint="cs"/>
          <w:vanish/>
          <w:rtl/>
        </w:rPr>
        <w:t>-</w:t>
      </w:r>
      <w:r w:rsidRPr="003B63CB">
        <w:rPr>
          <w:rStyle w:val="aff4"/>
          <w:rFonts w:hint="cs"/>
          <w:rtl/>
        </w:rPr>
        <w:t>האחיעזר</w:t>
      </w:r>
      <w:r w:rsidRPr="00BC7DC8">
        <w:rPr>
          <w:rStyle w:val="aff4"/>
          <w:rFonts w:hint="cs"/>
          <w:vanish/>
          <w:rtl/>
        </w:rPr>
        <w:t>-</w:t>
      </w:r>
      <w:r w:rsidRPr="003B63CB">
        <w:rPr>
          <w:rFonts w:hint="cs"/>
          <w:rtl/>
        </w:rPr>
        <w:t xml:space="preserve"> </w:t>
      </w:r>
      <w:r w:rsidRPr="00BC7DC8">
        <w:rPr>
          <w:rStyle w:val="af2"/>
          <w:rFonts w:eastAsia="Guttman Hodes" w:hint="cs"/>
          <w:rtl/>
        </w:rPr>
        <w:t xml:space="preserve">(הובא בסימן ח' אות </w:t>
      </w:r>
      <w:r w:rsidRPr="00BC7DC8">
        <w:rPr>
          <w:rStyle w:val="af2"/>
          <w:rFonts w:eastAsia="Guttman Hodes"/>
          <w:rtl/>
        </w:rPr>
        <w:fldChar w:fldCharType="begin"/>
      </w:r>
      <w:r w:rsidRPr="00BC7DC8">
        <w:rPr>
          <w:rStyle w:val="af2"/>
          <w:rFonts w:eastAsia="Guttman Hodes"/>
          <w:rtl/>
        </w:rPr>
        <w:instrText xml:space="preserve"> </w:instrText>
      </w:r>
      <w:r w:rsidRPr="00BC7DC8">
        <w:rPr>
          <w:rStyle w:val="af2"/>
          <w:rFonts w:eastAsia="Guttman Hodes" w:hint="cs"/>
        </w:rPr>
        <w:instrText>REF</w:instrText>
      </w:r>
      <w:r w:rsidRPr="00BC7DC8">
        <w:rPr>
          <w:rStyle w:val="af2"/>
          <w:rFonts w:eastAsia="Guttman Hodes" w:hint="cs"/>
          <w:rtl/>
        </w:rPr>
        <w:instrText xml:space="preserve"> _</w:instrText>
      </w:r>
      <w:r w:rsidRPr="00BC7DC8">
        <w:rPr>
          <w:rStyle w:val="af2"/>
          <w:rFonts w:eastAsia="Guttman Hodes" w:hint="cs"/>
        </w:rPr>
        <w:instrText>Ref139869644 \r \h</w:instrText>
      </w:r>
      <w:r w:rsidRPr="00BC7DC8">
        <w:rPr>
          <w:rStyle w:val="af2"/>
          <w:rFonts w:eastAsia="Guttman Hodes"/>
          <w:rtl/>
        </w:rPr>
        <w:instrText xml:space="preserve">  \* </w:instrText>
      </w:r>
      <w:r w:rsidRPr="00BC7DC8">
        <w:rPr>
          <w:rStyle w:val="af2"/>
          <w:rFonts w:eastAsia="Guttman Hodes"/>
        </w:rPr>
        <w:instrText>MERGEFORMAT</w:instrText>
      </w:r>
      <w:r w:rsidRPr="00BC7DC8">
        <w:rPr>
          <w:rStyle w:val="af2"/>
          <w:rFonts w:eastAsia="Guttman Hodes"/>
          <w:rtl/>
        </w:rPr>
        <w:instrText xml:space="preserve"> </w:instrText>
      </w:r>
      <w:r w:rsidRPr="00112C74">
        <w:rPr>
          <w:rStyle w:val="af2"/>
          <w:rFonts w:eastAsia="Guttman Hodes"/>
          <w:rtl/>
        </w:rPr>
      </w:r>
      <w:r w:rsidRPr="00BC7DC8">
        <w:rPr>
          <w:rStyle w:val="af2"/>
          <w:rFonts w:eastAsia="Guttman Hodes"/>
          <w:rtl/>
        </w:rPr>
        <w:fldChar w:fldCharType="separate"/>
      </w:r>
      <w:r w:rsidR="00D82181" w:rsidRPr="00D82181">
        <w:rPr>
          <w:rStyle w:val="af2"/>
          <w:rFonts w:eastAsia="Guttman Hodes"/>
          <w:b/>
          <w:bCs/>
          <w:cs/>
        </w:rPr>
        <w:t>‎</w:t>
      </w:r>
      <w:r w:rsidR="00D82181" w:rsidRPr="00D82181">
        <w:rPr>
          <w:rStyle w:val="af2"/>
          <w:rFonts w:eastAsia="Guttman Hodes"/>
          <w:b/>
          <w:bCs/>
          <w:rtl/>
        </w:rPr>
        <w:t>מח)</w:t>
      </w:r>
      <w:r w:rsidRPr="00BC7DC8">
        <w:rPr>
          <w:rStyle w:val="af2"/>
          <w:rFonts w:eastAsia="Guttman Hodes"/>
          <w:rtl/>
        </w:rPr>
        <w:fldChar w:fldCharType="end"/>
      </w:r>
      <w:r w:rsidRPr="003B63CB">
        <w:rPr>
          <w:rFonts w:hint="cs"/>
          <w:rtl/>
        </w:rPr>
        <w:t xml:space="preserve"> בדעת </w:t>
      </w:r>
      <w:r w:rsidRPr="00BC7DC8">
        <w:rPr>
          <w:rStyle w:val="aff4"/>
          <w:rFonts w:hint="cs"/>
          <w:vanish/>
          <w:rtl/>
        </w:rPr>
        <w:t>-</w:t>
      </w:r>
      <w:r w:rsidRPr="003B63CB">
        <w:rPr>
          <w:rStyle w:val="aff4"/>
          <w:rFonts w:hint="cs"/>
          <w:rtl/>
        </w:rPr>
        <w:t>רש"י</w:t>
      </w:r>
      <w:r w:rsidRPr="00BC7DC8">
        <w:rPr>
          <w:rStyle w:val="aff4"/>
          <w:rFonts w:hint="cs"/>
          <w:vanish/>
          <w:rtl/>
        </w:rPr>
        <w:t>-</w:t>
      </w:r>
      <w:r w:rsidRPr="003B63CB">
        <w:rPr>
          <w:rFonts w:hint="cs"/>
          <w:rtl/>
        </w:rPr>
        <w:t>.</w:t>
      </w:r>
      <w:bookmarkEnd w:id="3540"/>
    </w:p>
    <w:bookmarkEnd w:id="3541"/>
    <w:p w14:paraId="14070851" w14:textId="77777777" w:rsidR="002748A5" w:rsidRPr="00747170" w:rsidRDefault="002748A5" w:rsidP="00747170">
      <w:pPr>
        <w:pStyle w:val="a2"/>
        <w:rPr>
          <w:rtl/>
        </w:rPr>
      </w:pPr>
      <w:r w:rsidRPr="00747170">
        <w:rPr>
          <w:rtl/>
        </w:rPr>
        <w:t>טפי ניחא ליה כי היכי דליציל ציבעי' - פי' אף על גב דהוי פסיק רישיה דמודה ר"ש הכא מיפטר משום דהוי מלאכה שאינה צריכה לגופה דאפי' במקלקל פטר ר"ש במלאכה שאינה צריכה לגופה כדאמר בפרק הנחנקין (סנהדרין פד:) מאן שמעת ליה דאמר מקלקל בחבורה חייב ר"ש הא אמר מלאכה שאינה צריכה לגופה פטור עליה וכי מודה ר"ש בפסיק רישיה ה"מ במידי דניחא ליה אי מתרמי דהוי צריכה לגופה אבל במידי דלא איכפת ליה לא מודה ורש"י פי' דהא דמודה ר"ש בפסיק רישיה היינו במאי דלא איכפת ליה אי מתרמי וליתא דהא מזרד זרדין בארעא דחבריה פטר ר"ש בפ' הבונה (לקמן קג.) והתם לא איכפת ליה אי מתרמי אלא כדפי' ותימה דבספ"ק דחגיגה (דף י:) משמע דהא דפטר ר"ש מלאכה שאינה צריכה לגופה היינו משום דבעי מלאכת מחשבת וא"כ בחבורה דלא בעי מלאכת מחשבת ליחייב בה מלאכה שאינה צריכה לגופה.</w:t>
      </w:r>
    </w:p>
    <w:p w14:paraId="6CD6D5AD" w14:textId="77777777" w:rsidR="002748A5" w:rsidRPr="00695703" w:rsidRDefault="002748A5" w:rsidP="00747170">
      <w:pPr>
        <w:pStyle w:val="afffff5"/>
        <w:rPr>
          <w:rtl/>
        </w:rPr>
      </w:pPr>
      <w:r w:rsidRPr="00695703">
        <w:rPr>
          <w:rtl/>
        </w:rPr>
        <w:t>טפי ניחא ליה - שדם החי טוב מדם המת, וכיון דכל עצמו מתכוין וטורח לשומרו שלא ימות בידו, אפילו מת אין כאן אלא מתעסק, וכי מודה ר' שמעון במידי דלא איכפת ליה אי מיתרמי, ומיהו איכווני לא מיכוין.</w:t>
      </w:r>
    </w:p>
    <w:p w14:paraId="08D04E47" w14:textId="2B102297" w:rsidR="002748A5" w:rsidRPr="003B63CB" w:rsidRDefault="002748A5" w:rsidP="002748A5">
      <w:pPr>
        <w:pStyle w:val="1"/>
        <w:rPr>
          <w:rtl/>
        </w:rPr>
      </w:pPr>
      <w:bookmarkStart w:id="3542" w:name="_Toc140075683"/>
      <w:bookmarkStart w:id="3543" w:name="_Toc140077772"/>
      <w:bookmarkStart w:id="3544" w:name="_Toc140092072"/>
      <w:bookmarkStart w:id="3545" w:name="_Toc140099733"/>
      <w:bookmarkStart w:id="3546" w:name="_Toc140144272"/>
      <w:bookmarkStart w:id="3547" w:name="_Toc140144503"/>
      <w:r w:rsidRPr="003B63CB">
        <w:rPr>
          <w:rFonts w:hint="cs"/>
          <w:rtl/>
        </w:rPr>
        <w:t>בי' תוס' דמשאצל"ג הוא כשאין לו צורך כמו שהיה במשכן</w:t>
      </w:r>
      <w:bookmarkEnd w:id="3542"/>
      <w:bookmarkEnd w:id="3543"/>
      <w:bookmarkEnd w:id="3544"/>
      <w:bookmarkEnd w:id="3545"/>
      <w:bookmarkEnd w:id="3546"/>
      <w:bookmarkEnd w:id="3547"/>
    </w:p>
    <w:p w14:paraId="3A57BA28" w14:textId="77777777" w:rsidR="002748A5" w:rsidRPr="00C12F78" w:rsidRDefault="002748A5" w:rsidP="002748A5">
      <w:pPr>
        <w:pStyle w:val="afffff7"/>
        <w:rPr>
          <w:rtl/>
        </w:rPr>
      </w:pPr>
      <w:bookmarkStart w:id="3548" w:name="_Toc140144385"/>
      <w:bookmarkStart w:id="3549" w:name="_Toc140144861"/>
      <w:bookmarkStart w:id="3550" w:name="_Toc163505976"/>
      <w:r w:rsidRPr="00C12F78">
        <w:rPr>
          <w:rtl/>
        </w:rPr>
        <w:t>תוספות שבת צ"ד ע"א</w:t>
      </w:r>
      <w:r w:rsidRPr="00C12F78">
        <w:rPr>
          <w:rFonts w:hint="cs"/>
          <w:rtl/>
        </w:rPr>
        <w:t xml:space="preserve"> ד"ה ר"ש</w:t>
      </w:r>
      <w:bookmarkEnd w:id="3550"/>
      <w:r w:rsidRPr="00C12F78">
        <w:rPr>
          <w:vanish/>
          <w:rtl/>
        </w:rPr>
        <w:t xml:space="preserve"> (ט)</w:t>
      </w:r>
      <w:bookmarkEnd w:id="3548"/>
      <w:bookmarkEnd w:id="3549"/>
    </w:p>
    <w:p w14:paraId="528D6B7E" w14:textId="77777777" w:rsidR="002748A5" w:rsidRPr="003B63CB" w:rsidRDefault="002748A5" w:rsidP="002748A5">
      <w:pPr>
        <w:pStyle w:val="a7"/>
        <w:rPr>
          <w:rtl/>
        </w:rPr>
      </w:pPr>
      <w:bookmarkStart w:id="3551" w:name="_Toc140075684"/>
      <w:bookmarkStart w:id="3552" w:name="_Toc140077773"/>
      <w:bookmarkStart w:id="3553" w:name="_Toc140092073"/>
      <w:bookmarkStart w:id="3554" w:name="_Toc140099734"/>
      <w:bookmarkStart w:id="3555" w:name="_Toc140144273"/>
      <w:bookmarkStart w:id="3556" w:name="_Toc140144504"/>
      <w:r w:rsidRPr="003B63CB">
        <w:rPr>
          <w:rFonts w:hint="cs"/>
          <w:rtl/>
        </w:rPr>
        <w:t>בי' התוס' דמשאצל"ג הוא כשהצורך שלו במלאכה אינו כצורך שהיה במשכן דזה גוף המלאכה</w:t>
      </w:r>
      <w:bookmarkEnd w:id="3551"/>
      <w:bookmarkEnd w:id="3552"/>
      <w:bookmarkEnd w:id="3553"/>
      <w:bookmarkEnd w:id="3554"/>
      <w:bookmarkEnd w:id="3555"/>
      <w:bookmarkEnd w:id="3556"/>
    </w:p>
    <w:p w14:paraId="1661AE3F" w14:textId="41367232" w:rsidR="002748A5" w:rsidRPr="003B63CB" w:rsidRDefault="002748A5" w:rsidP="00BC7DC8">
      <w:pPr>
        <w:pStyle w:val="a3"/>
      </w:pPr>
      <w:bookmarkStart w:id="3557" w:name="_Ref139314867"/>
      <w:bookmarkStart w:id="3558" w:name="_Ref140072938"/>
      <w:r w:rsidRPr="003B63CB">
        <w:rPr>
          <w:rFonts w:hint="cs"/>
          <w:rtl/>
        </w:rPr>
        <w:t xml:space="preserve">כתבו </w:t>
      </w:r>
      <w:r w:rsidRPr="003B63CB">
        <w:rPr>
          <w:rStyle w:val="aff4"/>
          <w:rFonts w:hint="cs"/>
          <w:vanish/>
          <w:rtl/>
        </w:rPr>
        <w:t>-</w:t>
      </w:r>
      <w:r w:rsidRPr="003B63CB">
        <w:rPr>
          <w:rStyle w:val="aff4"/>
          <w:rFonts w:hint="cs"/>
          <w:rtl/>
        </w:rPr>
        <w:t>ה</w:t>
      </w:r>
      <w:r w:rsidRPr="003B63CB">
        <w:rPr>
          <w:rStyle w:val="aff4"/>
          <w:rFonts w:hint="cs"/>
          <w:vanish/>
          <w:rtl/>
        </w:rPr>
        <w:t xml:space="preserve">&lt;, </w:t>
      </w:r>
      <w:r w:rsidRPr="003B63CB">
        <w:rPr>
          <w:rStyle w:val="aff4"/>
          <w:vanish/>
          <w:rtl/>
        </w:rPr>
        <w:fldChar w:fldCharType="begin"/>
      </w:r>
      <w:r w:rsidRPr="003B63CB">
        <w:rPr>
          <w:rStyle w:val="aff4"/>
          <w:vanish/>
          <w:rtl/>
        </w:rPr>
        <w:instrText xml:space="preserve"> </w:instrText>
      </w:r>
      <w:r w:rsidRPr="003B63CB">
        <w:rPr>
          <w:rStyle w:val="aff4"/>
          <w:rFonts w:hint="cs"/>
          <w:vanish/>
        </w:rPr>
        <w:instrText>REF</w:instrText>
      </w:r>
      <w:r w:rsidRPr="003B63CB">
        <w:rPr>
          <w:rStyle w:val="aff4"/>
          <w:rFonts w:hint="cs"/>
          <w:vanish/>
          <w:rtl/>
        </w:rPr>
        <w:instrText xml:space="preserve"> _</w:instrText>
      </w:r>
      <w:r w:rsidRPr="003B63CB">
        <w:rPr>
          <w:rStyle w:val="aff4"/>
          <w:rFonts w:hint="cs"/>
          <w:vanish/>
        </w:rPr>
        <w:instrText>Ref139314867 \r \h</w:instrText>
      </w:r>
      <w:r w:rsidRPr="003B63CB">
        <w:rPr>
          <w:rStyle w:val="aff4"/>
          <w:vanish/>
          <w:rtl/>
        </w:rPr>
        <w:instrText xml:space="preserve">  \* </w:instrText>
      </w:r>
      <w:r w:rsidRPr="003B63CB">
        <w:rPr>
          <w:rStyle w:val="aff4"/>
          <w:vanish/>
        </w:rPr>
        <w:instrText>MERGEFORMAT</w:instrText>
      </w:r>
      <w:r w:rsidRPr="003B63CB">
        <w:rPr>
          <w:rStyle w:val="aff4"/>
          <w:vanish/>
          <w:rtl/>
        </w:rPr>
        <w:instrText xml:space="preserve"> </w:instrText>
      </w:r>
      <w:r w:rsidRPr="003B63CB">
        <w:rPr>
          <w:rStyle w:val="aff4"/>
          <w:vanish/>
          <w:rtl/>
        </w:rPr>
      </w:r>
      <w:r w:rsidRPr="003B63CB">
        <w:rPr>
          <w:rStyle w:val="aff4"/>
          <w:vanish/>
          <w:rtl/>
        </w:rPr>
        <w:fldChar w:fldCharType="separate"/>
      </w:r>
      <w:r w:rsidR="00D82181">
        <w:rPr>
          <w:rStyle w:val="aff4"/>
          <w:vanish/>
          <w:cs/>
        </w:rPr>
        <w:t>‎</w:t>
      </w:r>
      <w:r w:rsidR="00D82181">
        <w:rPr>
          <w:rStyle w:val="aff4"/>
          <w:vanish/>
          <w:rtl/>
        </w:rPr>
        <w:t>ב)</w:t>
      </w:r>
      <w:r w:rsidRPr="003B63CB">
        <w:rPr>
          <w:rStyle w:val="aff4"/>
          <w:vanish/>
          <w:rtl/>
        </w:rPr>
        <w:fldChar w:fldCharType="end"/>
      </w:r>
      <w:r w:rsidRPr="003B63CB">
        <w:rPr>
          <w:rStyle w:val="aff4"/>
          <w:rFonts w:hint="cs"/>
          <w:vanish/>
          <w:rtl/>
        </w:rPr>
        <w:t xml:space="preserve"> &gt;</w:t>
      </w:r>
      <w:r w:rsidRPr="003B63CB">
        <w:rPr>
          <w:rStyle w:val="aff4"/>
          <w:rFonts w:hint="cs"/>
          <w:rtl/>
        </w:rPr>
        <w:t>תוס'</w:t>
      </w:r>
      <w:r w:rsidRPr="003B63CB">
        <w:rPr>
          <w:rStyle w:val="aff4"/>
          <w:rFonts w:hint="cs"/>
          <w:vanish/>
          <w:rtl/>
        </w:rPr>
        <w:t>-</w:t>
      </w:r>
      <w:r w:rsidRPr="003B63CB">
        <w:rPr>
          <w:rFonts w:hint="cs"/>
          <w:rtl/>
        </w:rPr>
        <w:t xml:space="preserve"> </w:t>
      </w:r>
      <w:r w:rsidRPr="003B63CB">
        <w:rPr>
          <w:rStyle w:val="af2"/>
          <w:rFonts w:eastAsia="Guttman Hodes" w:hint="cs"/>
          <w:rtl/>
        </w:rPr>
        <w:t>(צד. ד"ה ר"ש)</w:t>
      </w:r>
      <w:r w:rsidRPr="003B63CB">
        <w:rPr>
          <w:rFonts w:hint="cs"/>
          <w:vanish/>
          <w:rtl/>
        </w:rPr>
        <w:t>=</w:t>
      </w:r>
      <w:r w:rsidRPr="003B63CB">
        <w:rPr>
          <w:rFonts w:hint="cs"/>
          <w:rtl/>
        </w:rPr>
        <w:t xml:space="preserve"> דמלאכה שאינה צריכה לגופה, היינו כשאין לו צורך במה שהיה הצורך במלאכה במשכן, והוא עושה את המלאכה לצורך אחר, וביארו </w:t>
      </w:r>
      <w:r w:rsidRPr="003B63CB">
        <w:rPr>
          <w:rStyle w:val="aff4"/>
          <w:rFonts w:hint="cs"/>
          <w:vanish/>
          <w:rtl/>
        </w:rPr>
        <w:t>-</w:t>
      </w:r>
      <w:r w:rsidRPr="003B63CB">
        <w:rPr>
          <w:rStyle w:val="aff4"/>
          <w:rFonts w:hint="cs"/>
          <w:rtl/>
        </w:rPr>
        <w:t>התוס'</w:t>
      </w:r>
      <w:r w:rsidRPr="003B63CB">
        <w:rPr>
          <w:rStyle w:val="aff4"/>
          <w:rFonts w:hint="cs"/>
          <w:vanish/>
          <w:rtl/>
        </w:rPr>
        <w:t>-</w:t>
      </w:r>
      <w:r w:rsidRPr="003B63CB">
        <w:rPr>
          <w:rFonts w:hint="cs"/>
          <w:rtl/>
        </w:rPr>
        <w:t xml:space="preserve"> דגוף המלאכה ושורשה הוא הצורך שנעשית לה במשכן.</w:t>
      </w:r>
      <w:bookmarkEnd w:id="3557"/>
      <w:r w:rsidRPr="003B63CB">
        <w:rPr>
          <w:rFonts w:hint="cs"/>
          <w:rtl/>
        </w:rPr>
        <w:t xml:space="preserve"> </w:t>
      </w:r>
      <w:r w:rsidRPr="003B63CB">
        <w:rPr>
          <w:rStyle w:val="af"/>
          <w:rFonts w:hint="cs"/>
          <w:rtl/>
        </w:rPr>
        <w:t xml:space="preserve">[ועי' במה שביאר </w:t>
      </w:r>
      <w:r w:rsidRPr="003B63CB">
        <w:rPr>
          <w:rStyle w:val="aff9"/>
          <w:rFonts w:hint="cs"/>
          <w:vanish/>
          <w:rtl/>
        </w:rPr>
        <w:t>-</w:t>
      </w:r>
      <w:r w:rsidRPr="003B63CB">
        <w:rPr>
          <w:rStyle w:val="aff9"/>
          <w:rFonts w:hint="cs"/>
          <w:rtl/>
        </w:rPr>
        <w:t>ה</w:t>
      </w:r>
      <w:r w:rsidRPr="003B63CB">
        <w:rPr>
          <w:rStyle w:val="aff9"/>
          <w:rFonts w:hint="cs"/>
          <w:vanish/>
          <w:rtl/>
        </w:rPr>
        <w:t>&lt; &gt;</w:t>
      </w:r>
      <w:r w:rsidRPr="003B63CB">
        <w:rPr>
          <w:rStyle w:val="aff9"/>
          <w:rFonts w:hint="cs"/>
          <w:rtl/>
        </w:rPr>
        <w:t>מרכבת המשנה</w:t>
      </w:r>
      <w:r w:rsidRPr="003B63CB">
        <w:rPr>
          <w:rStyle w:val="aff9"/>
          <w:rFonts w:hint="cs"/>
          <w:vanish/>
          <w:rtl/>
        </w:rPr>
        <w:t>-</w:t>
      </w:r>
      <w:r w:rsidRPr="003B63CB">
        <w:rPr>
          <w:rStyle w:val="af"/>
          <w:rFonts w:hint="cs"/>
          <w:rtl/>
        </w:rPr>
        <w:t xml:space="preserve"> </w:t>
      </w:r>
      <w:r w:rsidRPr="003B63CB">
        <w:rPr>
          <w:rStyle w:val="aff0"/>
          <w:rFonts w:hint="cs"/>
          <w:rtl/>
        </w:rPr>
        <w:t>(שבת פ"א ה"א ד"ה השיטה שנייה)</w:t>
      </w:r>
      <w:r w:rsidRPr="003B63CB">
        <w:rPr>
          <w:rStyle w:val="af"/>
          <w:rFonts w:hint="cs"/>
          <w:vanish/>
          <w:rtl/>
        </w:rPr>
        <w:t>=</w:t>
      </w:r>
      <w:r w:rsidRPr="003B63CB">
        <w:rPr>
          <w:rStyle w:val="af"/>
          <w:rFonts w:hint="cs"/>
          <w:rtl/>
        </w:rPr>
        <w:t xml:space="preserve"> בדברי </w:t>
      </w:r>
      <w:r w:rsidRPr="003B63CB">
        <w:rPr>
          <w:rStyle w:val="aff9"/>
          <w:rFonts w:hint="cs"/>
          <w:vanish/>
          <w:rtl/>
        </w:rPr>
        <w:t>-</w:t>
      </w:r>
      <w:r w:rsidRPr="003B63CB">
        <w:rPr>
          <w:rStyle w:val="aff9"/>
          <w:rFonts w:hint="cs"/>
          <w:rtl/>
        </w:rPr>
        <w:t>התוס'</w:t>
      </w:r>
      <w:r w:rsidRPr="003B63CB">
        <w:rPr>
          <w:rStyle w:val="aff9"/>
          <w:rFonts w:hint="cs"/>
          <w:vanish/>
          <w:rtl/>
        </w:rPr>
        <w:t>-</w:t>
      </w:r>
      <w:r w:rsidRPr="003B63CB">
        <w:rPr>
          <w:rStyle w:val="af"/>
          <w:rFonts w:hint="cs"/>
          <w:rtl/>
        </w:rPr>
        <w:t>].</w:t>
      </w:r>
      <w:bookmarkEnd w:id="3558"/>
    </w:p>
    <w:p w14:paraId="3C6668D3" w14:textId="77777777" w:rsidR="002748A5" w:rsidRPr="00747170" w:rsidRDefault="002748A5" w:rsidP="00747170">
      <w:pPr>
        <w:pStyle w:val="a2"/>
        <w:rPr>
          <w:rtl/>
        </w:rPr>
      </w:pPr>
      <w:r w:rsidRPr="00747170">
        <w:rPr>
          <w:rtl/>
        </w:rPr>
        <w:t>רבי שמעון פוטר - נראה לר"י דמלאכה שאינה צריכה לגופה קרי כשעושה מלאכה ואין צריך לאותו צורך כעין שהיו צריכין לה במשכן אלא לענין אחר כי הצורך שהיתה מלאכה נעשית בשבילו במשכן הוא גוף (איסור) המלאכה ושורשו</w:t>
      </w:r>
      <w:r w:rsidRPr="00747170">
        <w:rPr>
          <w:rFonts w:hint="cs"/>
          <w:rtl/>
        </w:rPr>
        <w:t>.</w:t>
      </w:r>
    </w:p>
    <w:p w14:paraId="3FD03A7F" w14:textId="38F15CEC" w:rsidR="002748A5" w:rsidRPr="00C12F78" w:rsidRDefault="002748A5" w:rsidP="002748A5">
      <w:pPr>
        <w:pStyle w:val="afffff7"/>
        <w:rPr>
          <w:rtl/>
        </w:rPr>
      </w:pPr>
      <w:bookmarkStart w:id="3559" w:name="_Toc140144386"/>
      <w:bookmarkStart w:id="3560" w:name="_Toc140144862"/>
      <w:bookmarkStart w:id="3561" w:name="_Toc163505977"/>
      <w:r w:rsidRPr="00C12F78">
        <w:rPr>
          <w:rtl/>
        </w:rPr>
        <w:t>תוספות חגיגה י' ע"ב</w:t>
      </w:r>
      <w:r w:rsidRPr="00C12F78">
        <w:rPr>
          <w:rFonts w:hint="cs"/>
          <w:rtl/>
        </w:rPr>
        <w:t xml:space="preserve"> ד"ה מלאכת</w:t>
      </w:r>
      <w:bookmarkEnd w:id="3561"/>
      <w:r w:rsidRPr="00C12F78">
        <w:rPr>
          <w:vanish/>
          <w:rtl/>
        </w:rPr>
        <w:t xml:space="preserve"> (ט)</w:t>
      </w:r>
      <w:bookmarkEnd w:id="3559"/>
      <w:bookmarkEnd w:id="3560"/>
    </w:p>
    <w:p w14:paraId="3260FDCB" w14:textId="77777777" w:rsidR="002748A5" w:rsidRPr="003B63CB" w:rsidRDefault="002748A5" w:rsidP="002748A5">
      <w:pPr>
        <w:pStyle w:val="a7"/>
        <w:rPr>
          <w:rtl/>
        </w:rPr>
      </w:pPr>
      <w:bookmarkStart w:id="3562" w:name="_Toc140075685"/>
      <w:bookmarkStart w:id="3563" w:name="_Toc140077774"/>
      <w:bookmarkStart w:id="3564" w:name="_Toc140092074"/>
      <w:bookmarkStart w:id="3565" w:name="_Toc140099735"/>
      <w:bookmarkStart w:id="3566" w:name="_Toc140144274"/>
      <w:bookmarkStart w:id="3567" w:name="_Toc140144505"/>
      <w:r w:rsidRPr="003B63CB">
        <w:rPr>
          <w:rFonts w:hint="cs"/>
          <w:rtl/>
        </w:rPr>
        <w:t>בי' התוס' בחגיגה דמשאצל"ג כשא"צ את שורש המלאכה כיון דמשכן המלאכה הייתה לצורכה</w:t>
      </w:r>
      <w:bookmarkEnd w:id="3562"/>
      <w:bookmarkEnd w:id="3563"/>
      <w:bookmarkEnd w:id="3564"/>
      <w:bookmarkEnd w:id="3565"/>
      <w:bookmarkEnd w:id="3566"/>
      <w:bookmarkEnd w:id="3567"/>
    </w:p>
    <w:p w14:paraId="4DF51E8D" w14:textId="57EBE05F" w:rsidR="002748A5" w:rsidRPr="003B63CB" w:rsidRDefault="002748A5" w:rsidP="00BC7DC8">
      <w:pPr>
        <w:pStyle w:val="a3"/>
        <w:rPr>
          <w:rtl/>
        </w:rPr>
      </w:pPr>
      <w:bookmarkStart w:id="3568" w:name="_Ref139454566"/>
      <w:r w:rsidRPr="003B63CB">
        <w:rPr>
          <w:rFonts w:hint="cs"/>
          <w:rtl/>
        </w:rPr>
        <w:t xml:space="preserve">וכ"כ </w:t>
      </w:r>
      <w:r w:rsidRPr="003B63CB">
        <w:rPr>
          <w:rFonts w:hint="cs"/>
          <w:vanish/>
          <w:rtl/>
        </w:rPr>
        <w:t xml:space="preserve">&lt;, </w:t>
      </w:r>
      <w:r w:rsidRPr="003B63CB">
        <w:rPr>
          <w:vanish/>
          <w:rtl/>
        </w:rPr>
        <w:fldChar w:fldCharType="begin"/>
      </w:r>
      <w:r w:rsidRPr="003B63CB">
        <w:rPr>
          <w:vanish/>
          <w:rtl/>
        </w:rPr>
        <w:instrText xml:space="preserve"> </w:instrText>
      </w:r>
      <w:r w:rsidRPr="003B63CB">
        <w:rPr>
          <w:rFonts w:hint="cs"/>
          <w:vanish/>
        </w:rPr>
        <w:instrText>REF</w:instrText>
      </w:r>
      <w:r w:rsidRPr="003B63CB">
        <w:rPr>
          <w:rFonts w:hint="cs"/>
          <w:vanish/>
          <w:rtl/>
        </w:rPr>
        <w:instrText xml:space="preserve"> _</w:instrText>
      </w:r>
      <w:r w:rsidRPr="003B63CB">
        <w:rPr>
          <w:rFonts w:hint="cs"/>
          <w:vanish/>
        </w:rPr>
        <w:instrText>Ref139454566 \r \h</w:instrText>
      </w:r>
      <w:r w:rsidRPr="003B63CB">
        <w:rPr>
          <w:vanish/>
          <w:rtl/>
        </w:rPr>
        <w:instrText xml:space="preserve">  \* </w:instrText>
      </w:r>
      <w:r w:rsidRPr="003B63CB">
        <w:rPr>
          <w:vanish/>
        </w:rPr>
        <w:instrText>MERGEFORMAT</w:instrText>
      </w:r>
      <w:r w:rsidRPr="003B63CB">
        <w:rPr>
          <w:vanish/>
          <w:rtl/>
        </w:rPr>
        <w:instrText xml:space="preserve"> </w:instrText>
      </w:r>
      <w:r w:rsidRPr="003B63CB">
        <w:rPr>
          <w:vanish/>
          <w:rtl/>
        </w:rPr>
      </w:r>
      <w:r w:rsidRPr="003B63CB">
        <w:rPr>
          <w:vanish/>
          <w:rtl/>
        </w:rPr>
        <w:fldChar w:fldCharType="separate"/>
      </w:r>
      <w:r w:rsidR="00D82181">
        <w:rPr>
          <w:vanish/>
          <w:cs/>
        </w:rPr>
        <w:t>‎</w:t>
      </w:r>
      <w:r w:rsidR="00D82181">
        <w:rPr>
          <w:vanish/>
          <w:rtl/>
        </w:rPr>
        <w:t>ג)</w:t>
      </w:r>
      <w:r w:rsidRPr="003B63CB">
        <w:rPr>
          <w:vanish/>
          <w:rtl/>
        </w:rPr>
        <w:fldChar w:fldCharType="end"/>
      </w:r>
      <w:r w:rsidRPr="003B63CB">
        <w:rPr>
          <w:rFonts w:hint="cs"/>
          <w:vanish/>
          <w:rtl/>
        </w:rPr>
        <w:t xml:space="preserve"> &gt;</w:t>
      </w:r>
      <w:r w:rsidRPr="003B63CB">
        <w:rPr>
          <w:rStyle w:val="aff4"/>
          <w:rFonts w:hint="cs"/>
          <w:vanish/>
          <w:rtl/>
        </w:rPr>
        <w:t>-</w:t>
      </w:r>
      <w:r w:rsidRPr="003B63CB">
        <w:rPr>
          <w:rStyle w:val="aff4"/>
          <w:rFonts w:hint="cs"/>
          <w:rtl/>
        </w:rPr>
        <w:t xml:space="preserve"> ר"י בתוס' בחגיגה</w:t>
      </w:r>
      <w:r w:rsidRPr="003B63CB">
        <w:rPr>
          <w:rStyle w:val="aff4"/>
          <w:rFonts w:hint="cs"/>
          <w:vanish/>
          <w:rtl/>
        </w:rPr>
        <w:t>-</w:t>
      </w:r>
      <w:r w:rsidRPr="003B63CB">
        <w:rPr>
          <w:rFonts w:hint="cs"/>
          <w:rtl/>
        </w:rPr>
        <w:t xml:space="preserve"> </w:t>
      </w:r>
      <w:r w:rsidRPr="003B63CB">
        <w:rPr>
          <w:rStyle w:val="af2"/>
          <w:rFonts w:eastAsia="Guttman Hodes" w:hint="cs"/>
          <w:rtl/>
        </w:rPr>
        <w:t>(י: ד"ה מלאכת)</w:t>
      </w:r>
      <w:r w:rsidRPr="003B63CB">
        <w:rPr>
          <w:rFonts w:hint="cs"/>
          <w:vanish/>
          <w:rtl/>
        </w:rPr>
        <w:t>=</w:t>
      </w:r>
      <w:r w:rsidRPr="003B63CB">
        <w:rPr>
          <w:rFonts w:hint="cs"/>
          <w:rtl/>
        </w:rPr>
        <w:t xml:space="preserve"> דמלאכה שאינה צריכה לגופה היינו כשא"צ את עיקר </w:t>
      </w:r>
      <w:r w:rsidRPr="00FD1D60">
        <w:rPr>
          <w:rFonts w:hint="cs"/>
          <w:caps/>
          <w:rtl/>
        </w:rPr>
        <w:t>שורש</w:t>
      </w:r>
      <w:r w:rsidRPr="003B63CB">
        <w:rPr>
          <w:rFonts w:hint="cs"/>
          <w:rtl/>
        </w:rPr>
        <w:t xml:space="preserve"> האיסור, כחופר גומא שא"צ את הגומא עצמה שהיא המלאכה, וכן מוציא מת במטה, דא"צ את שורש ההוצאה, וכן בשאר האופנים שהביאה הגמ' לקמן </w:t>
      </w:r>
      <w:r w:rsidRPr="003B63CB">
        <w:rPr>
          <w:rStyle w:val="af2"/>
          <w:rFonts w:eastAsia="Guttman Hodes" w:hint="cs"/>
          <w:rtl/>
        </w:rPr>
        <w:t>(צג:)</w:t>
      </w:r>
      <w:r w:rsidRPr="003B63CB">
        <w:rPr>
          <w:rFonts w:hint="cs"/>
          <w:rtl/>
        </w:rPr>
        <w:t xml:space="preserve">, וביארו </w:t>
      </w:r>
      <w:r w:rsidRPr="003B63CB">
        <w:rPr>
          <w:rStyle w:val="aff4"/>
          <w:rFonts w:hint="cs"/>
          <w:vanish/>
          <w:rtl/>
        </w:rPr>
        <w:t>-</w:t>
      </w:r>
      <w:r w:rsidRPr="003B63CB">
        <w:rPr>
          <w:rStyle w:val="aff4"/>
          <w:rFonts w:hint="cs"/>
          <w:rtl/>
        </w:rPr>
        <w:t>התוס' בחגיגה</w:t>
      </w:r>
      <w:r w:rsidRPr="003B63CB">
        <w:rPr>
          <w:rStyle w:val="aff4"/>
          <w:rFonts w:hint="cs"/>
          <w:vanish/>
          <w:rtl/>
        </w:rPr>
        <w:t>-</w:t>
      </w:r>
      <w:r w:rsidRPr="003B63CB">
        <w:rPr>
          <w:rFonts w:hint="cs"/>
          <w:rtl/>
        </w:rPr>
        <w:t xml:space="preserve"> דלא דמי למלאכות שהיו במשכן, דהיו צריכים את עיקר המלאכה, דבמכבה היה צורך לפחמין, ובצידה היו צריכים את התחשים והחלזון, וכן בכל המלאכות.</w:t>
      </w:r>
      <w:bookmarkEnd w:id="3568"/>
    </w:p>
    <w:p w14:paraId="4FA1DDD7" w14:textId="77777777" w:rsidR="002748A5" w:rsidRPr="00747170" w:rsidRDefault="002748A5" w:rsidP="00747170">
      <w:pPr>
        <w:pStyle w:val="a2"/>
        <w:rPr>
          <w:rtl/>
        </w:rPr>
      </w:pPr>
      <w:r w:rsidRPr="00747170">
        <w:rPr>
          <w:rtl/>
        </w:rPr>
        <w:t>לכן נראה להר"י לפרש שאינו צריך לעיקר שורש האיסור כגון הכא שאינו צריך לגומא שהיא המלאכה וכן מוציא מת במטה והרבה דחשיב פ' המצניע (שבת דף צג:) ולא דמו למלאכת המשכן שהיו צריכים לעיקר המלאכה מכבה משום צורך הפחמין וצידת תחשים וחלזון וכן כולם כיוצא בהן.</w:t>
      </w:r>
    </w:p>
    <w:p w14:paraId="0FC85A0C" w14:textId="75D04364" w:rsidR="002748A5" w:rsidRPr="00C12F78" w:rsidRDefault="002748A5" w:rsidP="002748A5">
      <w:pPr>
        <w:pStyle w:val="afffff7"/>
        <w:rPr>
          <w:rtl/>
        </w:rPr>
      </w:pPr>
      <w:bookmarkStart w:id="3569" w:name="_Toc140144387"/>
      <w:bookmarkStart w:id="3570" w:name="_Toc140144863"/>
      <w:bookmarkStart w:id="3571" w:name="_Toc163505978"/>
      <w:r w:rsidRPr="00C12F78">
        <w:rPr>
          <w:rtl/>
        </w:rPr>
        <w:t>פני יהושע שבת צ"ד ע"א</w:t>
      </w:r>
      <w:r w:rsidRPr="00C12F78">
        <w:rPr>
          <w:rFonts w:hint="cs"/>
          <w:rtl/>
        </w:rPr>
        <w:t xml:space="preserve"> על תוד"ה ר"ש</w:t>
      </w:r>
      <w:bookmarkEnd w:id="3571"/>
      <w:r w:rsidRPr="00C12F78">
        <w:rPr>
          <w:vanish/>
          <w:rtl/>
        </w:rPr>
        <w:t xml:space="preserve"> (ט)</w:t>
      </w:r>
      <w:bookmarkEnd w:id="3569"/>
      <w:bookmarkEnd w:id="3570"/>
    </w:p>
    <w:p w14:paraId="14334924" w14:textId="77777777" w:rsidR="002748A5" w:rsidRPr="003B63CB" w:rsidRDefault="002748A5" w:rsidP="002748A5">
      <w:pPr>
        <w:pStyle w:val="a7"/>
        <w:rPr>
          <w:rtl/>
        </w:rPr>
      </w:pPr>
      <w:bookmarkStart w:id="3572" w:name="_Toc140075686"/>
      <w:bookmarkStart w:id="3573" w:name="_Toc140077775"/>
      <w:bookmarkStart w:id="3574" w:name="_Toc140092075"/>
      <w:bookmarkStart w:id="3575" w:name="_Toc140099736"/>
      <w:bookmarkStart w:id="3576" w:name="_Toc140144275"/>
      <w:bookmarkStart w:id="3577" w:name="_Toc140144506"/>
      <w:r>
        <w:rPr>
          <w:rFonts w:hint="cs"/>
          <w:rtl/>
        </w:rPr>
        <w:t>בי' הפנ"י בתוס' דממלאכת מחשבת ילפי' דומיא דשכן וכל"ד לצורך דמשכן הוי משאצל"ג</w:t>
      </w:r>
      <w:bookmarkEnd w:id="3572"/>
      <w:bookmarkEnd w:id="3573"/>
      <w:bookmarkEnd w:id="3574"/>
      <w:bookmarkEnd w:id="3575"/>
      <w:bookmarkEnd w:id="3576"/>
      <w:bookmarkEnd w:id="3577"/>
    </w:p>
    <w:p w14:paraId="0E89A832" w14:textId="45EA88D1" w:rsidR="002748A5" w:rsidRPr="003B63CB" w:rsidRDefault="002748A5" w:rsidP="00BC7DC8">
      <w:pPr>
        <w:pStyle w:val="a3"/>
        <w:rPr>
          <w:rtl/>
        </w:rPr>
      </w:pPr>
      <w:bookmarkStart w:id="3578" w:name="_Hlk140094043"/>
      <w:bookmarkStart w:id="3579" w:name="_Ref139842729"/>
      <w:r w:rsidRPr="003B63CB">
        <w:rPr>
          <w:rFonts w:hint="cs"/>
          <w:rtl/>
        </w:rPr>
        <w:t xml:space="preserve">במ"ש </w:t>
      </w:r>
      <w:r w:rsidRPr="003B63CB">
        <w:rPr>
          <w:rStyle w:val="aff4"/>
          <w:rFonts w:hint="cs"/>
          <w:vanish/>
          <w:rtl/>
        </w:rPr>
        <w:t>-</w:t>
      </w:r>
      <w:r w:rsidRPr="003B63CB">
        <w:rPr>
          <w:rStyle w:val="aff4"/>
          <w:rFonts w:hint="cs"/>
          <w:rtl/>
        </w:rPr>
        <w:t>התוס'</w:t>
      </w:r>
      <w:r w:rsidRPr="003B63CB">
        <w:rPr>
          <w:rStyle w:val="aff4"/>
          <w:rFonts w:hint="cs"/>
          <w:vanish/>
          <w:rtl/>
        </w:rPr>
        <w:t>-</w:t>
      </w:r>
      <w:r w:rsidRPr="003B63CB">
        <w:rPr>
          <w:rFonts w:hint="cs"/>
          <w:rtl/>
        </w:rPr>
        <w:t xml:space="preserve"> </w:t>
      </w:r>
      <w:r w:rsidRPr="003B63C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Ref140072938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ב)</w:t>
      </w:r>
      <w:r>
        <w:rPr>
          <w:rStyle w:val="af2"/>
          <w:rFonts w:eastAsia="Guttman Hodes"/>
          <w:rtl/>
        </w:rPr>
        <w:fldChar w:fldCharType="end"/>
      </w:r>
      <w:r w:rsidRPr="003B63CB">
        <w:rPr>
          <w:rFonts w:hint="cs"/>
          <w:rtl/>
        </w:rPr>
        <w:t xml:space="preserve"> דמלאכה שאינה צריכה לגופה היינו כשא"צ את הצורך שהיה במשכן, ביאר </w:t>
      </w:r>
      <w:r w:rsidRPr="003B63CB">
        <w:rPr>
          <w:rStyle w:val="aff4"/>
          <w:rFonts w:hint="cs"/>
          <w:vanish/>
          <w:rtl/>
        </w:rPr>
        <w:t>-</w:t>
      </w:r>
      <w:r w:rsidRPr="003B63CB">
        <w:rPr>
          <w:rStyle w:val="aff4"/>
          <w:rFonts w:hint="cs"/>
          <w:rtl/>
        </w:rPr>
        <w:t>ה</w:t>
      </w:r>
      <w:r w:rsidRPr="003B63CB">
        <w:rPr>
          <w:rStyle w:val="aff4"/>
          <w:rFonts w:hint="cs"/>
          <w:vanish/>
          <w:rtl/>
        </w:rPr>
        <w:t xml:space="preserve">&lt;, </w:t>
      </w:r>
      <w:r w:rsidRPr="003B63CB">
        <w:rPr>
          <w:rStyle w:val="aff4"/>
          <w:vanish/>
          <w:rtl/>
        </w:rPr>
        <w:fldChar w:fldCharType="begin"/>
      </w:r>
      <w:r w:rsidRPr="003B63CB">
        <w:rPr>
          <w:rStyle w:val="aff4"/>
          <w:vanish/>
          <w:rtl/>
        </w:rPr>
        <w:instrText xml:space="preserve"> </w:instrText>
      </w:r>
      <w:r w:rsidRPr="003B63CB">
        <w:rPr>
          <w:rStyle w:val="aff4"/>
          <w:rFonts w:hint="cs"/>
          <w:vanish/>
        </w:rPr>
        <w:instrText>REF</w:instrText>
      </w:r>
      <w:r w:rsidRPr="003B63CB">
        <w:rPr>
          <w:rStyle w:val="aff4"/>
          <w:rFonts w:hint="cs"/>
          <w:vanish/>
          <w:rtl/>
        </w:rPr>
        <w:instrText xml:space="preserve"> _</w:instrText>
      </w:r>
      <w:r w:rsidRPr="003B63CB">
        <w:rPr>
          <w:rStyle w:val="aff4"/>
          <w:rFonts w:hint="cs"/>
          <w:vanish/>
        </w:rPr>
        <w:instrText>Ref139842729 \r \h</w:instrText>
      </w:r>
      <w:r w:rsidRPr="003B63CB">
        <w:rPr>
          <w:rStyle w:val="aff4"/>
          <w:vanish/>
          <w:rtl/>
        </w:rPr>
        <w:instrText xml:space="preserve">  \* </w:instrText>
      </w:r>
      <w:r w:rsidRPr="003B63CB">
        <w:rPr>
          <w:rStyle w:val="aff4"/>
          <w:vanish/>
        </w:rPr>
        <w:instrText>MERGEFORMAT</w:instrText>
      </w:r>
      <w:r w:rsidRPr="003B63CB">
        <w:rPr>
          <w:rStyle w:val="aff4"/>
          <w:vanish/>
          <w:rtl/>
        </w:rPr>
        <w:instrText xml:space="preserve"> </w:instrText>
      </w:r>
      <w:r w:rsidRPr="003B63CB">
        <w:rPr>
          <w:rStyle w:val="aff4"/>
          <w:vanish/>
          <w:rtl/>
        </w:rPr>
      </w:r>
      <w:r w:rsidRPr="003B63CB">
        <w:rPr>
          <w:rStyle w:val="aff4"/>
          <w:vanish/>
          <w:rtl/>
        </w:rPr>
        <w:fldChar w:fldCharType="separate"/>
      </w:r>
      <w:r w:rsidR="00D82181">
        <w:rPr>
          <w:rStyle w:val="aff4"/>
          <w:vanish/>
          <w:cs/>
        </w:rPr>
        <w:t>‎</w:t>
      </w:r>
      <w:r w:rsidR="00D82181">
        <w:rPr>
          <w:rStyle w:val="aff4"/>
          <w:vanish/>
          <w:rtl/>
        </w:rPr>
        <w:t>ד)</w:t>
      </w:r>
      <w:r w:rsidRPr="003B63CB">
        <w:rPr>
          <w:rStyle w:val="aff4"/>
          <w:vanish/>
          <w:rtl/>
        </w:rPr>
        <w:fldChar w:fldCharType="end"/>
      </w:r>
      <w:r w:rsidRPr="003B63CB">
        <w:rPr>
          <w:rStyle w:val="aff4"/>
          <w:rFonts w:hint="cs"/>
          <w:vanish/>
          <w:rtl/>
        </w:rPr>
        <w:t xml:space="preserve"> &gt;</w:t>
      </w:r>
      <w:r w:rsidRPr="003B63CB">
        <w:rPr>
          <w:rStyle w:val="aff4"/>
          <w:rFonts w:hint="cs"/>
          <w:rtl/>
        </w:rPr>
        <w:t>פנ"י</w:t>
      </w:r>
      <w:r w:rsidRPr="003B63CB">
        <w:rPr>
          <w:rStyle w:val="aff4"/>
          <w:rFonts w:hint="cs"/>
          <w:vanish/>
          <w:rtl/>
        </w:rPr>
        <w:t>-</w:t>
      </w:r>
      <w:r w:rsidRPr="003B63CB">
        <w:rPr>
          <w:rFonts w:hint="cs"/>
          <w:rtl/>
        </w:rPr>
        <w:t xml:space="preserve"> </w:t>
      </w:r>
      <w:r w:rsidRPr="003B63CB">
        <w:rPr>
          <w:rStyle w:val="af2"/>
          <w:rFonts w:eastAsia="Guttman Hodes" w:hint="cs"/>
          <w:rtl/>
        </w:rPr>
        <w:t>(צד. על תוד"ה ר"ש)</w:t>
      </w:r>
      <w:r w:rsidRPr="003B63CB">
        <w:rPr>
          <w:rFonts w:hint="cs"/>
          <w:vanish/>
          <w:rtl/>
        </w:rPr>
        <w:t>=</w:t>
      </w:r>
      <w:r w:rsidRPr="003B63CB">
        <w:rPr>
          <w:rFonts w:hint="cs"/>
          <w:rtl/>
        </w:rPr>
        <w:t xml:space="preserve"> </w:t>
      </w:r>
      <w:bookmarkEnd w:id="3578"/>
      <w:r w:rsidRPr="003B63CB">
        <w:rPr>
          <w:rFonts w:hint="cs"/>
          <w:rtl/>
        </w:rPr>
        <w:t xml:space="preserve">דהא דבגמ' בחגיגה </w:t>
      </w:r>
      <w:r w:rsidRPr="003B63CB">
        <w:rPr>
          <w:rStyle w:val="af2"/>
          <w:rFonts w:eastAsia="Guttman Hodes" w:hint="cs"/>
          <w:rtl/>
        </w:rPr>
        <w:t>(י:)</w:t>
      </w:r>
      <w:r w:rsidRPr="003B63CB">
        <w:rPr>
          <w:rFonts w:hint="cs"/>
          <w:rtl/>
        </w:rPr>
        <w:t xml:space="preserve"> מבואר דפטור מלאכה שאינה צריכה לגופה הוא כיון דאינה בכלל מלאכת מחשבת, אי"ז סותר לדברי </w:t>
      </w:r>
      <w:r w:rsidRPr="003B63CB">
        <w:rPr>
          <w:rStyle w:val="aff4"/>
          <w:rFonts w:hint="cs"/>
          <w:vanish/>
          <w:rtl/>
        </w:rPr>
        <w:t>-</w:t>
      </w:r>
      <w:r w:rsidRPr="003B63CB">
        <w:rPr>
          <w:rStyle w:val="aff4"/>
          <w:rFonts w:hint="cs"/>
          <w:rtl/>
        </w:rPr>
        <w:t>התוס'</w:t>
      </w:r>
      <w:r w:rsidRPr="003B63CB">
        <w:rPr>
          <w:rStyle w:val="aff4"/>
          <w:rFonts w:hint="cs"/>
          <w:vanish/>
          <w:rtl/>
        </w:rPr>
        <w:t>-</w:t>
      </w:r>
      <w:r w:rsidRPr="003B63CB">
        <w:rPr>
          <w:rFonts w:hint="cs"/>
          <w:rtl/>
        </w:rPr>
        <w:t xml:space="preserve"> דאפש"ל דלולי הילפותא דמלאכת מחשבת דהמלאכות צריכות להיות דומיא </w:t>
      </w:r>
      <w:r w:rsidRPr="003B63CB">
        <w:rPr>
          <w:rFonts w:hint="cs"/>
          <w:rtl/>
        </w:rPr>
        <w:t>דמשכן, לא היה אפשר לפטור מלאכה שאינה צריכה לגופה אף דא"צ את הצורך שהיה במשכן.</w:t>
      </w:r>
      <w:bookmarkEnd w:id="3579"/>
      <w:r w:rsidRPr="003B63CB">
        <w:rPr>
          <w:rFonts w:hint="cs"/>
          <w:rtl/>
        </w:rPr>
        <w:t xml:space="preserve"> </w:t>
      </w:r>
    </w:p>
    <w:p w14:paraId="52064FE5" w14:textId="77777777" w:rsidR="002748A5" w:rsidRPr="00747170" w:rsidRDefault="002748A5" w:rsidP="00747170">
      <w:pPr>
        <w:pStyle w:val="a2"/>
        <w:rPr>
          <w:rtl/>
        </w:rPr>
      </w:pPr>
      <w:r w:rsidRPr="00747170">
        <w:rPr>
          <w:rtl/>
        </w:rPr>
        <w:t>מיהו במאי שכתבו התוספות דלענין מלאכה שאינה צריכה לגופה בעינן ממש דומיא דמשכן אף על גב דבשילהי פ"ק דחגיגה [דף י' ע"ב] משמע דילפינן לה מקרא דמלאכת מחשבת אסרה תורה אם כן משמע דהוי גזירת הכתוב מ"מ מלאכת מחשבת גופא לא כתיב אלא במלאכת המשכן ומש"ה ניחא להו לאוקמי מסברא דבדומיא דמשכן ממש תליא מלתא והא דאיצטריך למילף מקרא בשילהי חגיגה ולא יליף לה בפשיטות מהך סברא גופא דבעינן דומיא דמשכן כדאמרינן לענין עיקר דיני שבת בכמה גווני נראה לי דאי לאו ילפותא דקרא הו"א דחייב במלאכה שאינה צריכה לגופה אף על גב דלא הוי דומיא דמשכן היינו מדאיצטריך למיסר שריפת בת כהן בשבת כדאיתא לקמן בפרק (הזורק) [האורג] [דף ק"ו ע"א] ואין להאריך כאן יותר:</w:t>
      </w:r>
    </w:p>
    <w:p w14:paraId="5733D3D7" w14:textId="0D9221A5" w:rsidR="002748A5" w:rsidRPr="00C12F78" w:rsidRDefault="002748A5" w:rsidP="002748A5">
      <w:pPr>
        <w:pStyle w:val="afffff7"/>
        <w:rPr>
          <w:rtl/>
        </w:rPr>
      </w:pPr>
      <w:bookmarkStart w:id="3580" w:name="_Toc140144388"/>
      <w:bookmarkStart w:id="3581" w:name="_Toc140144864"/>
      <w:bookmarkStart w:id="3582" w:name="_Toc163505979"/>
      <w:r w:rsidRPr="00C12F78">
        <w:rPr>
          <w:rtl/>
        </w:rPr>
        <w:t>כפות תמרים סוכה ל"ג ע"ב</w:t>
      </w:r>
      <w:r w:rsidRPr="00C12F78">
        <w:rPr>
          <w:rFonts w:hint="cs"/>
          <w:rtl/>
        </w:rPr>
        <w:t xml:space="preserve"> ד"ה </w:t>
      </w:r>
      <w:r w:rsidRPr="00C12F78">
        <w:rPr>
          <w:rtl/>
        </w:rPr>
        <w:t>וא"ת לדעת</w:t>
      </w:r>
      <w:bookmarkEnd w:id="3582"/>
      <w:r w:rsidRPr="00C12F78">
        <w:rPr>
          <w:vanish/>
          <w:rtl/>
        </w:rPr>
        <w:t xml:space="preserve"> (ט)</w:t>
      </w:r>
      <w:bookmarkEnd w:id="3580"/>
      <w:bookmarkEnd w:id="3581"/>
    </w:p>
    <w:p w14:paraId="7A52BC2A" w14:textId="77777777" w:rsidR="002748A5" w:rsidRPr="003B63CB" w:rsidRDefault="002748A5" w:rsidP="002748A5">
      <w:pPr>
        <w:pStyle w:val="a7"/>
        <w:rPr>
          <w:rtl/>
        </w:rPr>
      </w:pPr>
      <w:bookmarkStart w:id="3583" w:name="_Toc140075687"/>
      <w:bookmarkStart w:id="3584" w:name="_Toc140077776"/>
      <w:bookmarkStart w:id="3585" w:name="_Toc140092076"/>
      <w:bookmarkStart w:id="3586" w:name="_Toc140099737"/>
      <w:bookmarkStart w:id="3587" w:name="_Toc140144276"/>
      <w:bookmarkStart w:id="3588" w:name="_Toc140144507"/>
      <w:r>
        <w:rPr>
          <w:rFonts w:hint="cs"/>
          <w:rtl/>
        </w:rPr>
        <w:t>קו' הכפו"ת דלתוס' יחייב ר"ש במת ונחש מדין פס"ר אף דהוא משאצל"ג ומדפוטר כל פס"ר פטור</w:t>
      </w:r>
      <w:bookmarkEnd w:id="3583"/>
      <w:bookmarkEnd w:id="3584"/>
      <w:bookmarkEnd w:id="3585"/>
      <w:bookmarkEnd w:id="3586"/>
      <w:bookmarkEnd w:id="3587"/>
      <w:bookmarkEnd w:id="3588"/>
    </w:p>
    <w:p w14:paraId="53098806" w14:textId="07B8D38F" w:rsidR="002748A5" w:rsidRPr="003B63CB" w:rsidRDefault="002748A5" w:rsidP="00BC7DC8">
      <w:pPr>
        <w:pStyle w:val="a3"/>
        <w:rPr>
          <w:rtl/>
        </w:rPr>
      </w:pPr>
      <w:bookmarkStart w:id="3589" w:name="_Ref139618458"/>
      <w:r w:rsidRPr="003B63CB">
        <w:rPr>
          <w:rFonts w:hint="cs"/>
          <w:rtl/>
        </w:rPr>
        <w:t xml:space="preserve">במ"ש </w:t>
      </w:r>
      <w:r w:rsidRPr="003B63CB">
        <w:rPr>
          <w:rStyle w:val="aff4"/>
          <w:rFonts w:hint="cs"/>
          <w:vanish/>
          <w:rtl/>
        </w:rPr>
        <w:t>-</w:t>
      </w:r>
      <w:r w:rsidRPr="003B63CB">
        <w:rPr>
          <w:rStyle w:val="aff4"/>
          <w:rFonts w:hint="cs"/>
          <w:rtl/>
        </w:rPr>
        <w:t>ר"י בתוס'</w:t>
      </w:r>
      <w:r w:rsidRPr="003B63CB">
        <w:rPr>
          <w:rStyle w:val="aff4"/>
          <w:rFonts w:hint="cs"/>
          <w:vanish/>
          <w:rtl/>
        </w:rPr>
        <w:t>-</w:t>
      </w:r>
      <w:r w:rsidRPr="003B63CB">
        <w:rPr>
          <w:rFonts w:hint="cs"/>
          <w:rtl/>
        </w:rPr>
        <w:t xml:space="preserve"> </w:t>
      </w:r>
      <w:r w:rsidRPr="003B63C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Ref140072938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ב)</w:t>
      </w:r>
      <w:r>
        <w:rPr>
          <w:rStyle w:val="af2"/>
          <w:rFonts w:eastAsia="Guttman Hodes"/>
          <w:rtl/>
        </w:rPr>
        <w:fldChar w:fldCharType="end"/>
      </w:r>
      <w:r w:rsidRPr="003B63CB">
        <w:rPr>
          <w:rFonts w:hint="cs"/>
          <w:rtl/>
        </w:rPr>
        <w:t xml:space="preserve"> דמלאכה שאינה צריכה לגופה הוא כשצורך המלאכה אינו אותו הצורך שהיה במשכן, הקשה </w:t>
      </w:r>
      <w:r w:rsidRPr="003B63CB">
        <w:rPr>
          <w:rStyle w:val="aff4"/>
          <w:rFonts w:hint="cs"/>
          <w:vanish/>
          <w:rtl/>
        </w:rPr>
        <w:t>-</w:t>
      </w:r>
      <w:r w:rsidRPr="003B63CB">
        <w:rPr>
          <w:rStyle w:val="aff4"/>
          <w:rFonts w:hint="cs"/>
          <w:rtl/>
        </w:rPr>
        <w:t>ה</w:t>
      </w:r>
      <w:r w:rsidRPr="003B63CB">
        <w:rPr>
          <w:rStyle w:val="aff4"/>
          <w:rFonts w:hint="cs"/>
          <w:vanish/>
          <w:rtl/>
        </w:rPr>
        <w:t xml:space="preserve">&lt;, </w:t>
      </w:r>
      <w:r w:rsidRPr="003B63CB">
        <w:rPr>
          <w:rStyle w:val="aff4"/>
          <w:vanish/>
          <w:rtl/>
        </w:rPr>
        <w:fldChar w:fldCharType="begin"/>
      </w:r>
      <w:r w:rsidRPr="003B63CB">
        <w:rPr>
          <w:rStyle w:val="aff4"/>
          <w:vanish/>
          <w:rtl/>
        </w:rPr>
        <w:instrText xml:space="preserve"> </w:instrText>
      </w:r>
      <w:r w:rsidRPr="003B63CB">
        <w:rPr>
          <w:rStyle w:val="aff4"/>
          <w:rFonts w:hint="cs"/>
          <w:vanish/>
        </w:rPr>
        <w:instrText>REF</w:instrText>
      </w:r>
      <w:r w:rsidRPr="003B63CB">
        <w:rPr>
          <w:rStyle w:val="aff4"/>
          <w:rFonts w:hint="cs"/>
          <w:vanish/>
          <w:rtl/>
        </w:rPr>
        <w:instrText xml:space="preserve"> _</w:instrText>
      </w:r>
      <w:r w:rsidRPr="003B63CB">
        <w:rPr>
          <w:rStyle w:val="aff4"/>
          <w:rFonts w:hint="cs"/>
          <w:vanish/>
        </w:rPr>
        <w:instrText>Ref139618458 \r \h</w:instrText>
      </w:r>
      <w:r w:rsidRPr="003B63CB">
        <w:rPr>
          <w:rStyle w:val="aff4"/>
          <w:vanish/>
          <w:rtl/>
        </w:rPr>
        <w:instrText xml:space="preserve">  \* </w:instrText>
      </w:r>
      <w:r w:rsidRPr="003B63CB">
        <w:rPr>
          <w:rStyle w:val="aff4"/>
          <w:vanish/>
        </w:rPr>
        <w:instrText>MERGEFORMAT</w:instrText>
      </w:r>
      <w:r w:rsidRPr="003B63CB">
        <w:rPr>
          <w:rStyle w:val="aff4"/>
          <w:vanish/>
          <w:rtl/>
        </w:rPr>
        <w:instrText xml:space="preserve"> </w:instrText>
      </w:r>
      <w:r w:rsidRPr="003B63CB">
        <w:rPr>
          <w:rStyle w:val="aff4"/>
          <w:vanish/>
          <w:rtl/>
        </w:rPr>
      </w:r>
      <w:r w:rsidRPr="003B63CB">
        <w:rPr>
          <w:rStyle w:val="aff4"/>
          <w:vanish/>
          <w:rtl/>
        </w:rPr>
        <w:fldChar w:fldCharType="separate"/>
      </w:r>
      <w:r w:rsidR="00D82181">
        <w:rPr>
          <w:rStyle w:val="aff4"/>
          <w:vanish/>
          <w:cs/>
        </w:rPr>
        <w:t>‎</w:t>
      </w:r>
      <w:r w:rsidR="00D82181">
        <w:rPr>
          <w:rStyle w:val="aff4"/>
          <w:vanish/>
          <w:rtl/>
        </w:rPr>
        <w:t>ה)</w:t>
      </w:r>
      <w:r w:rsidRPr="003B63CB">
        <w:rPr>
          <w:rStyle w:val="aff4"/>
          <w:vanish/>
          <w:rtl/>
        </w:rPr>
        <w:fldChar w:fldCharType="end"/>
      </w:r>
      <w:r w:rsidRPr="003B63CB">
        <w:rPr>
          <w:rStyle w:val="aff4"/>
          <w:rFonts w:hint="cs"/>
          <w:vanish/>
          <w:rtl/>
        </w:rPr>
        <w:t xml:space="preserve"> &gt;</w:t>
      </w:r>
      <w:r w:rsidRPr="003B63CB">
        <w:rPr>
          <w:rStyle w:val="aff4"/>
          <w:rFonts w:hint="cs"/>
          <w:rtl/>
        </w:rPr>
        <w:t>כפות תמרים</w:t>
      </w:r>
      <w:r w:rsidRPr="003B63CB">
        <w:rPr>
          <w:rStyle w:val="aff4"/>
          <w:rFonts w:hint="cs"/>
          <w:vanish/>
          <w:rtl/>
        </w:rPr>
        <w:t>-</w:t>
      </w:r>
      <w:r w:rsidRPr="003B63CB">
        <w:rPr>
          <w:rFonts w:hint="cs"/>
          <w:rtl/>
        </w:rPr>
        <w:t xml:space="preserve"> </w:t>
      </w:r>
      <w:r w:rsidRPr="003B63CB">
        <w:rPr>
          <w:rStyle w:val="af2"/>
          <w:rFonts w:eastAsia="Guttman Hodes" w:hint="cs"/>
          <w:rtl/>
        </w:rPr>
        <w:t>(סוכה ל"ג ע"ב ד"ה וא"ת לדעת)</w:t>
      </w:r>
      <w:r w:rsidRPr="003B63CB">
        <w:rPr>
          <w:rFonts w:hint="cs"/>
          <w:vanish/>
          <w:rtl/>
        </w:rPr>
        <w:t>=</w:t>
      </w:r>
      <w:r w:rsidRPr="003B63CB">
        <w:rPr>
          <w:rFonts w:hint="cs"/>
          <w:rtl/>
        </w:rPr>
        <w:t xml:space="preserve"> דא"כ כיון דמודה ר"ש בפסיק רישיה דחייב, דהיינו בדבר שאינו מתכוין כשהמלאכה ממילא נעשית, </w:t>
      </w:r>
      <w:bookmarkEnd w:id="3589"/>
      <w:r w:rsidRPr="003B63CB">
        <w:rPr>
          <w:rFonts w:hint="cs"/>
          <w:rtl/>
        </w:rPr>
        <w:t xml:space="preserve">אעפ"י שלא עשה את המלאכה לאותו הצורך שהיה במשכן, וא"כ מוציא מת וצד נחש צריך להתחייב מדין פסיק רישיה אעפ"י דהוא מלאכה שאינה צריכה לגופה, ומהא דפוטר ר"ש בזה מוכח דצריך להפטר בכל פסיק רישיה, ואי מודה ר"ש בכל אופן שהמלאכה נעשית בע"כ, א"כ צריך לבאר מ"ש ממלאכה שאינה צריכה לגופה. </w:t>
      </w:r>
      <w:r w:rsidRPr="003B63CB">
        <w:rPr>
          <w:rStyle w:val="af"/>
          <w:rFonts w:hint="cs"/>
          <w:rtl/>
        </w:rPr>
        <w:t xml:space="preserve">[עי' בקושית </w:t>
      </w:r>
      <w:r w:rsidRPr="003B63CB">
        <w:rPr>
          <w:rStyle w:val="aff9"/>
          <w:rFonts w:hint="cs"/>
          <w:vanish/>
          <w:rtl/>
        </w:rPr>
        <w:t>-</w:t>
      </w:r>
      <w:r w:rsidRPr="003B63CB">
        <w:rPr>
          <w:rStyle w:val="aff9"/>
          <w:rFonts w:hint="cs"/>
          <w:rtl/>
        </w:rPr>
        <w:t>רבינו אברהם בן הרמב"ם</w:t>
      </w:r>
      <w:r w:rsidRPr="003B63CB">
        <w:rPr>
          <w:rStyle w:val="aff9"/>
          <w:rFonts w:hint="cs"/>
          <w:vanish/>
          <w:rtl/>
        </w:rPr>
        <w:t>-</w:t>
      </w:r>
      <w:r w:rsidRPr="003B63CB">
        <w:rPr>
          <w:rStyle w:val="af"/>
          <w:rFonts w:hint="cs"/>
          <w:rtl/>
        </w:rPr>
        <w:t xml:space="preserve"> </w:t>
      </w:r>
      <w:r w:rsidRPr="003B63CB">
        <w:rPr>
          <w:rStyle w:val="aff0"/>
          <w:rFonts w:hint="cs"/>
          <w:rtl/>
        </w:rPr>
        <w:t>(ע</w:t>
      </w:r>
      <w:r w:rsidRPr="007E3E69">
        <w:rPr>
          <w:rtl/>
        </w:rPr>
        <w:t xml:space="preserve"> </w:t>
      </w:r>
      <w:r w:rsidRPr="007E3E69">
        <w:rPr>
          <w:rStyle w:val="aff0"/>
          <w:rtl/>
        </w:rPr>
        <w:t>הובא בסימן ח'</w:t>
      </w:r>
      <w:r w:rsidRPr="003B63CB">
        <w:rPr>
          <w:rStyle w:val="aff0"/>
          <w:rFonts w:hint="cs"/>
          <w:rtl/>
        </w:rPr>
        <w:t xml:space="preserve"> אות </w:t>
      </w:r>
      <w:r w:rsidRPr="003B63CB">
        <w:rPr>
          <w:rStyle w:val="aff0"/>
          <w:rtl/>
        </w:rPr>
        <w:fldChar w:fldCharType="begin"/>
      </w:r>
      <w:r w:rsidRPr="003B63CB">
        <w:rPr>
          <w:rStyle w:val="aff0"/>
          <w:rtl/>
        </w:rPr>
        <w:instrText xml:space="preserve"> </w:instrText>
      </w:r>
      <w:r w:rsidRPr="003B63CB">
        <w:rPr>
          <w:rStyle w:val="aff0"/>
          <w:rFonts w:hint="cs"/>
        </w:rPr>
        <w:instrText>REF</w:instrText>
      </w:r>
      <w:r w:rsidRPr="003B63CB">
        <w:rPr>
          <w:rStyle w:val="aff0"/>
          <w:rFonts w:hint="cs"/>
          <w:rtl/>
        </w:rPr>
        <w:instrText xml:space="preserve"> _</w:instrText>
      </w:r>
      <w:r w:rsidRPr="003B63CB">
        <w:rPr>
          <w:rStyle w:val="aff0"/>
          <w:rFonts w:hint="cs"/>
        </w:rPr>
        <w:instrText>Ref139300971 \r \h</w:instrText>
      </w:r>
      <w:r w:rsidRPr="003B63CB">
        <w:rPr>
          <w:rStyle w:val="aff0"/>
          <w:rtl/>
        </w:rPr>
        <w:instrText xml:space="preserve">  \* </w:instrText>
      </w:r>
      <w:r w:rsidRPr="003B63CB">
        <w:rPr>
          <w:rStyle w:val="aff0"/>
        </w:rPr>
        <w:instrText>MERGEFORMAT</w:instrText>
      </w:r>
      <w:r w:rsidRPr="003B63CB">
        <w:rPr>
          <w:rStyle w:val="aff0"/>
          <w:rtl/>
        </w:rPr>
        <w:instrText xml:space="preserve"> </w:instrText>
      </w:r>
      <w:r w:rsidRPr="003B63CB">
        <w:rPr>
          <w:rStyle w:val="aff0"/>
          <w:rtl/>
        </w:rPr>
      </w:r>
      <w:r w:rsidRPr="003B63CB">
        <w:rPr>
          <w:rStyle w:val="aff0"/>
          <w:rtl/>
        </w:rPr>
        <w:fldChar w:fldCharType="separate"/>
      </w:r>
      <w:r w:rsidR="00D82181">
        <w:rPr>
          <w:rStyle w:val="aff0"/>
          <w:cs/>
        </w:rPr>
        <w:t>‎</w:t>
      </w:r>
      <w:r w:rsidR="00D82181">
        <w:rPr>
          <w:rStyle w:val="aff0"/>
          <w:rtl/>
        </w:rPr>
        <w:t>נג)</w:t>
      </w:r>
      <w:r w:rsidRPr="003B63CB">
        <w:rPr>
          <w:rStyle w:val="aff0"/>
          <w:rtl/>
        </w:rPr>
        <w:fldChar w:fldCharType="end"/>
      </w:r>
      <w:r w:rsidRPr="003B63CB">
        <w:rPr>
          <w:rStyle w:val="af"/>
          <w:rFonts w:hint="cs"/>
          <w:rtl/>
        </w:rPr>
        <w:t xml:space="preserve"> ובמה שהביא </w:t>
      </w:r>
      <w:r w:rsidRPr="003B63CB">
        <w:rPr>
          <w:rStyle w:val="aff9"/>
          <w:rFonts w:hint="cs"/>
          <w:vanish/>
          <w:rtl/>
        </w:rPr>
        <w:t>-</w:t>
      </w:r>
      <w:r w:rsidRPr="003B63CB">
        <w:rPr>
          <w:rStyle w:val="aff9"/>
          <w:rFonts w:hint="cs"/>
          <w:rtl/>
        </w:rPr>
        <w:t>הכס"מ</w:t>
      </w:r>
      <w:r w:rsidRPr="003B63CB">
        <w:rPr>
          <w:rStyle w:val="aff9"/>
          <w:rFonts w:hint="cs"/>
          <w:vanish/>
          <w:rtl/>
        </w:rPr>
        <w:t>-</w:t>
      </w:r>
      <w:r w:rsidRPr="003B63CB">
        <w:rPr>
          <w:rStyle w:val="af"/>
          <w:rFonts w:hint="cs"/>
          <w:rtl/>
        </w:rPr>
        <w:t xml:space="preserve"> </w:t>
      </w:r>
      <w:r w:rsidRPr="003B63CB">
        <w:rPr>
          <w:rStyle w:val="aff0"/>
          <w:rFonts w:hint="cs"/>
          <w:rtl/>
        </w:rPr>
        <w:t>(</w:t>
      </w:r>
      <w:r w:rsidRPr="007E3E69">
        <w:rPr>
          <w:rStyle w:val="aff0"/>
          <w:rtl/>
        </w:rPr>
        <w:t xml:space="preserve">הובא בסימן ח' </w:t>
      </w:r>
      <w:r w:rsidRPr="003B63CB">
        <w:rPr>
          <w:rStyle w:val="aff0"/>
          <w:rFonts w:hint="cs"/>
          <w:rtl/>
        </w:rPr>
        <w:t xml:space="preserve">אות </w:t>
      </w:r>
      <w:r w:rsidRPr="003B63CB">
        <w:rPr>
          <w:rStyle w:val="aff0"/>
          <w:rtl/>
        </w:rPr>
        <w:fldChar w:fldCharType="begin"/>
      </w:r>
      <w:r w:rsidRPr="003B63CB">
        <w:rPr>
          <w:rStyle w:val="aff0"/>
          <w:rtl/>
        </w:rPr>
        <w:instrText xml:space="preserve"> </w:instrText>
      </w:r>
      <w:r w:rsidRPr="003B63CB">
        <w:rPr>
          <w:rStyle w:val="aff0"/>
          <w:rFonts w:hint="cs"/>
        </w:rPr>
        <w:instrText>REF</w:instrText>
      </w:r>
      <w:r w:rsidRPr="003B63CB">
        <w:rPr>
          <w:rStyle w:val="aff0"/>
          <w:rFonts w:hint="cs"/>
          <w:rtl/>
        </w:rPr>
        <w:instrText xml:space="preserve"> _</w:instrText>
      </w:r>
      <w:r w:rsidRPr="003B63CB">
        <w:rPr>
          <w:rStyle w:val="aff0"/>
          <w:rFonts w:hint="cs"/>
        </w:rPr>
        <w:instrText>Ref139300976 \r \h</w:instrText>
      </w:r>
      <w:r w:rsidRPr="003B63CB">
        <w:rPr>
          <w:rStyle w:val="aff0"/>
          <w:rtl/>
        </w:rPr>
        <w:instrText xml:space="preserve">  \* </w:instrText>
      </w:r>
      <w:r w:rsidRPr="003B63CB">
        <w:rPr>
          <w:rStyle w:val="aff0"/>
        </w:rPr>
        <w:instrText>MERGEFORMAT</w:instrText>
      </w:r>
      <w:r w:rsidRPr="003B63CB">
        <w:rPr>
          <w:rStyle w:val="aff0"/>
          <w:rtl/>
        </w:rPr>
        <w:instrText xml:space="preserve"> </w:instrText>
      </w:r>
      <w:r w:rsidRPr="003B63CB">
        <w:rPr>
          <w:rStyle w:val="aff0"/>
          <w:rtl/>
        </w:rPr>
      </w:r>
      <w:r w:rsidRPr="003B63CB">
        <w:rPr>
          <w:rStyle w:val="aff0"/>
          <w:rtl/>
        </w:rPr>
        <w:fldChar w:fldCharType="separate"/>
      </w:r>
      <w:r w:rsidR="00D82181">
        <w:rPr>
          <w:rStyle w:val="aff0"/>
          <w:cs/>
        </w:rPr>
        <w:t>‎</w:t>
      </w:r>
      <w:r w:rsidR="00D82181">
        <w:rPr>
          <w:rStyle w:val="aff0"/>
          <w:rtl/>
        </w:rPr>
        <w:t>נד)</w:t>
      </w:r>
      <w:r w:rsidRPr="003B63CB">
        <w:rPr>
          <w:rStyle w:val="aff0"/>
          <w:rtl/>
        </w:rPr>
        <w:fldChar w:fldCharType="end"/>
      </w:r>
      <w:r w:rsidRPr="003B63CB">
        <w:rPr>
          <w:rStyle w:val="af"/>
          <w:rFonts w:hint="cs"/>
          <w:rtl/>
        </w:rPr>
        <w:t xml:space="preserve"> שהשיב </w:t>
      </w:r>
      <w:r w:rsidRPr="003B63CB">
        <w:rPr>
          <w:rStyle w:val="aff9"/>
          <w:rFonts w:hint="cs"/>
          <w:vanish/>
          <w:rtl/>
        </w:rPr>
        <w:t>-</w:t>
      </w:r>
      <w:r w:rsidRPr="003B63CB">
        <w:rPr>
          <w:rStyle w:val="aff9"/>
          <w:rFonts w:hint="cs"/>
          <w:rtl/>
        </w:rPr>
        <w:t>הרמב"ם בתשו'</w:t>
      </w:r>
      <w:r w:rsidRPr="003B63CB">
        <w:rPr>
          <w:rStyle w:val="aff9"/>
          <w:rFonts w:hint="cs"/>
          <w:vanish/>
          <w:rtl/>
        </w:rPr>
        <w:t>-</w:t>
      </w:r>
      <w:r w:rsidRPr="003B63CB">
        <w:rPr>
          <w:rStyle w:val="af"/>
          <w:rFonts w:hint="cs"/>
          <w:rtl/>
        </w:rPr>
        <w:t>]</w:t>
      </w:r>
      <w:r>
        <w:rPr>
          <w:rStyle w:val="af"/>
          <w:rFonts w:hint="cs"/>
          <w:rtl/>
        </w:rPr>
        <w:t>.</w:t>
      </w:r>
    </w:p>
    <w:p w14:paraId="2FB43642" w14:textId="77777777" w:rsidR="002748A5" w:rsidRPr="00747170" w:rsidRDefault="002748A5" w:rsidP="00747170">
      <w:pPr>
        <w:pStyle w:val="a2"/>
        <w:rPr>
          <w:rtl/>
        </w:rPr>
      </w:pPr>
      <w:r w:rsidRPr="00747170">
        <w:rPr>
          <w:rtl/>
        </w:rPr>
        <w:t>וא"ת לדעת ר"י דמלאכה שא"צ קרי כשעושה המלאכה וא"צ לאותו צורך כעין שהיו צריכין לה במשכן אלא לענין אחר והיינו טעמא דהוציא המת פטור לר"ש משום דא"צ למת ובמשכן היו צריכים לחפצים שהוציאו צד נחש שלא ישכנו א"צ לנחש ובמשכן היו צריכים לתחש וחלזון וכו' מכל מקום תיקשי אמאי פטור הרי צד נחש ומוציא מת עושה גוף המלאכה בהכרח והרי אמרינן דמודה ר"ש בפסיק רישיה כלומר דמודה ר"ש בדבר שאינו מתכוין היכא דנעשית המלאכה בהכרח והרי בהוצאת המת וצידת הנחש הרי נעשית המלאכה של ההוצאה והצידה ומה הפרש יש בין מלאכה שאצ"ל לפסיק רישיה.</w:t>
      </w:r>
      <w:r w:rsidRPr="00747170">
        <w:rPr>
          <w:rFonts w:hint="cs"/>
          <w:rtl/>
        </w:rPr>
        <w:t xml:space="preserve"> וכו'. </w:t>
      </w:r>
      <w:r w:rsidRPr="00747170">
        <w:rPr>
          <w:rtl/>
        </w:rPr>
        <w:t>אבל לפי' ר"י בדבר שאינו מתכוין והוא פסיק רישיה אמאי חייב הרי לא עשה אותה לאותו צורך כגון שהיו צריכים לה במשכן ואם טעם החיוב הוא משום דנעשית המלאכה בהכרח א"כ מלאכה שאינה צריכה יהיה חייב דהרי נעשית המלאכה בהכרח ומודה ר"ש בפסיק רישיה באופן דלדעת ר"י ק' טובא מה הפרש יש בין מלאכה שאינה צריכה לפסיק רישיה.</w:t>
      </w:r>
    </w:p>
    <w:p w14:paraId="2F9240EB" w14:textId="0C13998F" w:rsidR="002748A5" w:rsidRPr="003B63CB" w:rsidRDefault="002748A5" w:rsidP="002748A5">
      <w:pPr>
        <w:pStyle w:val="a7"/>
        <w:rPr>
          <w:rtl/>
        </w:rPr>
      </w:pPr>
      <w:bookmarkStart w:id="3590" w:name="_Toc140075688"/>
      <w:bookmarkStart w:id="3591" w:name="_Toc140077777"/>
      <w:bookmarkStart w:id="3592" w:name="_Toc140092077"/>
      <w:bookmarkStart w:id="3593" w:name="_Toc140099738"/>
      <w:bookmarkStart w:id="3594" w:name="_Toc140144277"/>
      <w:bookmarkStart w:id="3595" w:name="_Toc140144508"/>
      <w:r>
        <w:rPr>
          <w:rFonts w:hint="cs"/>
          <w:rtl/>
        </w:rPr>
        <w:t>תי' הכפו"ת דר"ש פוטר בפס"ר דלא ניחא ליה אי מתרמי ובמת ונחש לא ניחא ליה בצורך דמשכן</w:t>
      </w:r>
      <w:bookmarkEnd w:id="3590"/>
      <w:bookmarkEnd w:id="3591"/>
      <w:bookmarkEnd w:id="3592"/>
      <w:bookmarkEnd w:id="3593"/>
      <w:bookmarkEnd w:id="3594"/>
      <w:bookmarkEnd w:id="3595"/>
    </w:p>
    <w:p w14:paraId="18D14107" w14:textId="77777777" w:rsidR="002748A5" w:rsidRPr="003B63CB" w:rsidRDefault="002748A5" w:rsidP="00BC7DC8">
      <w:pPr>
        <w:pStyle w:val="a3"/>
      </w:pPr>
      <w:r w:rsidRPr="003B63CB">
        <w:rPr>
          <w:rFonts w:hint="cs"/>
          <w:rtl/>
        </w:rPr>
        <w:t xml:space="preserve">ותירץ </w:t>
      </w:r>
      <w:r w:rsidRPr="003B63CB">
        <w:rPr>
          <w:rStyle w:val="aff4"/>
          <w:rFonts w:hint="cs"/>
          <w:vanish/>
          <w:rtl/>
        </w:rPr>
        <w:t>-</w:t>
      </w:r>
      <w:r w:rsidRPr="003B63CB">
        <w:rPr>
          <w:rStyle w:val="aff4"/>
          <w:rFonts w:hint="cs"/>
          <w:rtl/>
        </w:rPr>
        <w:t>הכפות תמרים</w:t>
      </w:r>
      <w:r w:rsidRPr="003B63CB">
        <w:rPr>
          <w:rStyle w:val="aff4"/>
          <w:rFonts w:hint="cs"/>
          <w:vanish/>
          <w:rtl/>
        </w:rPr>
        <w:t>-</w:t>
      </w:r>
      <w:r w:rsidRPr="003B63CB">
        <w:rPr>
          <w:rFonts w:hint="cs"/>
          <w:rtl/>
        </w:rPr>
        <w:t xml:space="preserve"> דכיון דכתבו </w:t>
      </w:r>
      <w:r w:rsidRPr="003B63CB">
        <w:rPr>
          <w:rStyle w:val="aff4"/>
          <w:rFonts w:hint="cs"/>
          <w:vanish/>
          <w:rtl/>
        </w:rPr>
        <w:t>-</w:t>
      </w:r>
      <w:r w:rsidRPr="003B63CB">
        <w:rPr>
          <w:rStyle w:val="aff4"/>
          <w:rFonts w:hint="cs"/>
          <w:rtl/>
        </w:rPr>
        <w:t>התוס'</w:t>
      </w:r>
      <w:r w:rsidRPr="003B63CB">
        <w:rPr>
          <w:rStyle w:val="aff4"/>
          <w:rFonts w:hint="cs"/>
          <w:vanish/>
          <w:rtl/>
        </w:rPr>
        <w:t>-</w:t>
      </w:r>
      <w:r w:rsidRPr="003B63CB">
        <w:rPr>
          <w:rFonts w:hint="cs"/>
          <w:rtl/>
        </w:rPr>
        <w:t xml:space="preserve"> </w:t>
      </w:r>
      <w:r w:rsidRPr="003B63CB">
        <w:rPr>
          <w:rStyle w:val="af"/>
          <w:rFonts w:hint="cs"/>
          <w:rtl/>
        </w:rPr>
        <w:t>[</w:t>
      </w:r>
      <w:r w:rsidRPr="003B63CB">
        <w:rPr>
          <w:rStyle w:val="aff9"/>
          <w:rFonts w:hint="cs"/>
          <w:vanish/>
          <w:rtl/>
        </w:rPr>
        <w:t>-</w:t>
      </w:r>
      <w:r w:rsidRPr="003B63CB">
        <w:rPr>
          <w:rStyle w:val="aff9"/>
          <w:rFonts w:hint="cs"/>
          <w:rtl/>
        </w:rPr>
        <w:t>עה.</w:t>
      </w:r>
      <w:r w:rsidRPr="003B63CB">
        <w:rPr>
          <w:rStyle w:val="aff9"/>
          <w:rFonts w:hint="cs"/>
          <w:vanish/>
          <w:rtl/>
        </w:rPr>
        <w:t>-</w:t>
      </w:r>
      <w:r w:rsidRPr="003B63CB">
        <w:rPr>
          <w:rStyle w:val="af"/>
          <w:rFonts w:hint="cs"/>
          <w:rtl/>
        </w:rPr>
        <w:t>]</w:t>
      </w:r>
      <w:r w:rsidRPr="003B63CB">
        <w:rPr>
          <w:rFonts w:hint="cs"/>
          <w:rtl/>
        </w:rPr>
        <w:t xml:space="preserve"> </w:t>
      </w:r>
      <w:r w:rsidRPr="003B63CB">
        <w:rPr>
          <w:rStyle w:val="af2"/>
          <w:rFonts w:eastAsia="Guttman Hodes" w:hint="cs"/>
          <w:rtl/>
        </w:rPr>
        <w:t xml:space="preserve">(עי' אות </w:t>
      </w:r>
      <w:r w:rsidRPr="003B63CB">
        <w:rPr>
          <w:rStyle w:val="af2"/>
          <w:rFonts w:eastAsia="Guttman Hodes"/>
          <w:rtl/>
        </w:rPr>
        <w:t>כ)</w:t>
      </w:r>
      <w:r w:rsidRPr="003B63CB">
        <w:rPr>
          <w:rFonts w:hint="cs"/>
          <w:rtl/>
        </w:rPr>
        <w:t xml:space="preserve"> דבפוצע חלזון דניחא ליה שלא ימות פטור לר"ש אעפ"י דמודה בפסיק רישיה, דמ"מ הוי מלאכה שאינה צריכה לגופה, והא דמחייב בפסיק רישיה הוא רק בדבר דניחא לו אי מתרמי, אבל בדבר שלא איכפת ליה פוטר ר"ש, וכתב </w:t>
      </w:r>
      <w:r w:rsidRPr="003B63CB">
        <w:rPr>
          <w:rStyle w:val="aff4"/>
          <w:rFonts w:hint="cs"/>
          <w:vanish/>
          <w:rtl/>
        </w:rPr>
        <w:t>-</w:t>
      </w:r>
      <w:r w:rsidRPr="003B63CB">
        <w:rPr>
          <w:rStyle w:val="aff4"/>
          <w:rFonts w:hint="cs"/>
          <w:rtl/>
        </w:rPr>
        <w:t>הכפות תמרים</w:t>
      </w:r>
      <w:r w:rsidRPr="003B63CB">
        <w:rPr>
          <w:rStyle w:val="aff4"/>
          <w:rFonts w:hint="cs"/>
          <w:vanish/>
          <w:rtl/>
        </w:rPr>
        <w:t>-</w:t>
      </w:r>
      <w:r w:rsidRPr="003B63CB">
        <w:rPr>
          <w:rFonts w:hint="cs"/>
          <w:rtl/>
        </w:rPr>
        <w:t xml:space="preserve"> דא"כ במוציא מת וצד נחש דפטור לר"ש דהוי מלאכה שאינה צריכה לגופה, ואף שבע"כ נעשית המלאכה, </w:t>
      </w:r>
      <w:r w:rsidRPr="003B63CB">
        <w:rPr>
          <w:rStyle w:val="af"/>
          <w:rFonts w:hint="cs"/>
          <w:rtl/>
        </w:rPr>
        <w:t>[דהיינו שבע"כ נעשית צידה כמו הצורך בצידה במשכן שהייתה במשכן],</w:t>
      </w:r>
      <w:r w:rsidRPr="003B63CB">
        <w:rPr>
          <w:rFonts w:hint="cs"/>
          <w:rtl/>
        </w:rPr>
        <w:t xml:space="preserve"> מ"מ א"א לחייבו מדין פסיק רישיה, דכל דלא ניחא ליה במלאכה שנעשית פוטר ר"ש, וכיון דלא ניחא ליה בצידה לפי הצורך שהיה במשכן, א"כ א"א לחייבו על מלאכת צידה, דהוי מלאכה שאינה צריכה לגופה.</w:t>
      </w:r>
    </w:p>
    <w:p w14:paraId="2EB8723A" w14:textId="77777777" w:rsidR="002748A5" w:rsidRPr="00747170" w:rsidRDefault="002748A5" w:rsidP="00747170">
      <w:pPr>
        <w:pStyle w:val="a2"/>
        <w:rPr>
          <w:rtl/>
        </w:rPr>
      </w:pPr>
      <w:r w:rsidRPr="00747170">
        <w:rPr>
          <w:rtl/>
        </w:rPr>
        <w:t>ויראה לע"ד דמאי דאמרינן מודה ר"ש בפסיק רישיה ולא ימות היינו דוקא במידי דניחא ליה אי מתרמי שתעשה מלאכה מעין שהיתה במשכן ובכה"ג אף על גב דלא נתכוין לעשות המלאכה כיון דניחא ליה אם מתרמי ליה המלאכה מעין שהיתה במשכן הוי מצ"ל אבל במידי דלא אכפת ליה אם מתרמי ליה המלאכה או לא אף על גב דהוי פסיק רישיה ונעשית המלאכה בהכרח פטור לר"ש משום דהוי מלאכה שאינה צריכה לגופה באופן דהא דאמרינן מודה רש"י בפסיק רישיה כלומר מודה ר"ש בדבר שאינו מתכוין היכא דנעשית המלאכה בהכרח לאו כלל גמור הוא דמודה ר"ש היכא דנעשית המלאכה בהכרח אלא יש תנאי בדבר דמודה ר"ש בדבר שנעשית המלאכה בהכרח בתנאי דניחא ליה דאתרמי ליה אותה מלאכה שלא במתכוין ובכה"ג חייב משום דאז הוי מלאכה שצ"ל אף על גב דעשאה שלא במתכוין אבל במידי דלא ניחא ליה אי מתרמי ליה אותה מלאכה אף על גב דנעשית המלאכה בהכרח פוטר ר"ש דהוי מלאכה שאצ"ל. ומנא אמינא ליה מהא דגרסינן פ' כלל גדול (דף עה) ת"ר הצד חלזון והפוצעו אינו חייב אלא א' ופרכינן ולחייב נמי משום נטילת נשמה וכו' ופרכינן והא אביי ורבא דאמרי מודה ר"ש בפסיק רישיה שאני הכא דכמה דאית ביה נשמה טפי ניחא ליה כי היכי דליציל צבעיה יע"ש בתוס' ד"ה טפי ניחא ליה באורך. הרי בהדיא דהא דאמרינן מודה ר"ש בפסיק רישיה פי' התוס' דהיינו דוקא במידי דניחא ליה אי מתרמי דאז הוי מצ"ל אבל במידי דלא אכפת ליה אי מתרמי אף על גב דהמלאכה נעשית בהכרח והוי פסיק רישיה פטר ר"ש משום דהוי מלאכה שא"צ ולפי' הפוצע חלזון אינו חייב משום נטילת נשמה אף על גב דהוי פסיק רישיה משום דכמה דאית ביה נשמה טפי ניחא ליה הו"ל מלאכה שאצ"ל וכי מודה ר"ש היינו במידי דניחא ליה אי מתרמי שימות הנצוד:</w:t>
      </w:r>
    </w:p>
    <w:p w14:paraId="7502D5E3" w14:textId="240899EA" w:rsidR="002748A5" w:rsidRPr="003B63CB" w:rsidRDefault="002748A5" w:rsidP="002748A5">
      <w:pPr>
        <w:pStyle w:val="a7"/>
        <w:rPr>
          <w:rtl/>
        </w:rPr>
      </w:pPr>
      <w:bookmarkStart w:id="3596" w:name="_Toc140075689"/>
      <w:bookmarkStart w:id="3597" w:name="_Toc140077778"/>
      <w:bookmarkStart w:id="3598" w:name="_Toc140092078"/>
      <w:bookmarkStart w:id="3599" w:name="_Toc140099739"/>
      <w:bookmarkStart w:id="3600" w:name="_Toc140144278"/>
      <w:bookmarkStart w:id="3601" w:name="_Toc140144509"/>
      <w:r>
        <w:rPr>
          <w:rFonts w:hint="cs"/>
          <w:rtl/>
        </w:rPr>
        <w:t>בי' הכפו"ת בתוס' דפס"ר חייב רק בניחא לי אי מתירמי ובמשאצל"ג ולא ניחא ליה פטור לר"ש</w:t>
      </w:r>
      <w:bookmarkEnd w:id="3596"/>
      <w:bookmarkEnd w:id="3597"/>
      <w:bookmarkEnd w:id="3598"/>
      <w:bookmarkEnd w:id="3599"/>
      <w:bookmarkEnd w:id="3600"/>
      <w:bookmarkEnd w:id="3601"/>
    </w:p>
    <w:p w14:paraId="08D455DC" w14:textId="78C689D6" w:rsidR="002748A5" w:rsidRPr="003B63CB" w:rsidRDefault="002748A5" w:rsidP="00BC7DC8">
      <w:pPr>
        <w:pStyle w:val="a3"/>
      </w:pPr>
      <w:bookmarkStart w:id="3602" w:name="_Ref139622307"/>
      <w:r w:rsidRPr="003B63CB">
        <w:rPr>
          <w:rFonts w:hint="cs"/>
          <w:rtl/>
        </w:rPr>
        <w:t xml:space="preserve">וכתב </w:t>
      </w:r>
      <w:r w:rsidRPr="003B63CB">
        <w:rPr>
          <w:rStyle w:val="aff4"/>
          <w:rFonts w:hint="cs"/>
          <w:vanish/>
          <w:rtl/>
        </w:rPr>
        <w:t>-</w:t>
      </w:r>
      <w:r w:rsidRPr="003B63CB">
        <w:rPr>
          <w:rStyle w:val="aff4"/>
          <w:rFonts w:hint="cs"/>
          <w:rtl/>
        </w:rPr>
        <w:t>הכפות תמרים</w:t>
      </w:r>
      <w:r w:rsidRPr="003B63CB">
        <w:rPr>
          <w:rStyle w:val="aff4"/>
          <w:rFonts w:hint="cs"/>
          <w:vanish/>
          <w:rtl/>
        </w:rPr>
        <w:t>-</w:t>
      </w:r>
      <w:r w:rsidRPr="003B63CB">
        <w:rPr>
          <w:rFonts w:hint="cs"/>
          <w:rtl/>
        </w:rPr>
        <w:t xml:space="preserve"> דלפי"ז מתורצת הקושיה שמקשין העולם </w:t>
      </w:r>
      <w:r w:rsidRPr="003B63CB">
        <w:rPr>
          <w:rStyle w:val="af"/>
          <w:rFonts w:hint="cs"/>
          <w:rtl/>
        </w:rPr>
        <w:t xml:space="preserve">[עי' בקושית </w:t>
      </w:r>
      <w:r w:rsidRPr="003B63CB">
        <w:rPr>
          <w:rStyle w:val="aff9"/>
          <w:rFonts w:hint="cs"/>
          <w:vanish/>
          <w:rtl/>
        </w:rPr>
        <w:t>-</w:t>
      </w:r>
      <w:r w:rsidRPr="003B63CB">
        <w:rPr>
          <w:rStyle w:val="aff9"/>
          <w:rFonts w:hint="cs"/>
          <w:rtl/>
        </w:rPr>
        <w:t>רבינו אברהם בן הרמב"ם</w:t>
      </w:r>
      <w:r w:rsidRPr="003B63CB">
        <w:rPr>
          <w:rStyle w:val="aff9"/>
          <w:rFonts w:hint="cs"/>
          <w:vanish/>
          <w:rtl/>
        </w:rPr>
        <w:t>-</w:t>
      </w:r>
      <w:r w:rsidRPr="003B63CB">
        <w:rPr>
          <w:rStyle w:val="af"/>
          <w:rFonts w:hint="cs"/>
          <w:rtl/>
        </w:rPr>
        <w:t xml:space="preserve"> </w:t>
      </w:r>
      <w:r w:rsidRPr="003B63CB">
        <w:rPr>
          <w:rStyle w:val="aff0"/>
          <w:rFonts w:hint="cs"/>
          <w:rtl/>
        </w:rPr>
        <w:t>(</w:t>
      </w:r>
      <w:r w:rsidRPr="00236D12">
        <w:rPr>
          <w:rStyle w:val="aff0"/>
          <w:rtl/>
        </w:rPr>
        <w:t>הובא בסימן ח'</w:t>
      </w:r>
      <w:r w:rsidRPr="003B63CB">
        <w:rPr>
          <w:rStyle w:val="aff0"/>
          <w:rFonts w:hint="cs"/>
          <w:rtl/>
        </w:rPr>
        <w:t xml:space="preserve"> אות </w:t>
      </w:r>
      <w:r w:rsidRPr="003B63CB">
        <w:rPr>
          <w:rStyle w:val="aff0"/>
          <w:rtl/>
        </w:rPr>
        <w:fldChar w:fldCharType="begin"/>
      </w:r>
      <w:r w:rsidRPr="003B63CB">
        <w:rPr>
          <w:rStyle w:val="aff0"/>
          <w:rtl/>
        </w:rPr>
        <w:instrText xml:space="preserve"> </w:instrText>
      </w:r>
      <w:r w:rsidRPr="003B63CB">
        <w:rPr>
          <w:rStyle w:val="aff0"/>
          <w:rFonts w:hint="cs"/>
        </w:rPr>
        <w:instrText>REF</w:instrText>
      </w:r>
      <w:r w:rsidRPr="003B63CB">
        <w:rPr>
          <w:rStyle w:val="aff0"/>
          <w:rFonts w:hint="cs"/>
          <w:rtl/>
        </w:rPr>
        <w:instrText xml:space="preserve"> _</w:instrText>
      </w:r>
      <w:r w:rsidRPr="003B63CB">
        <w:rPr>
          <w:rStyle w:val="aff0"/>
          <w:rFonts w:hint="cs"/>
        </w:rPr>
        <w:instrText>Ref139300971 \r \h</w:instrText>
      </w:r>
      <w:r w:rsidRPr="003B63CB">
        <w:rPr>
          <w:rStyle w:val="aff0"/>
          <w:rtl/>
        </w:rPr>
        <w:instrText xml:space="preserve">  \* </w:instrText>
      </w:r>
      <w:r w:rsidRPr="003B63CB">
        <w:rPr>
          <w:rStyle w:val="aff0"/>
        </w:rPr>
        <w:instrText>MERGEFORMAT</w:instrText>
      </w:r>
      <w:r w:rsidRPr="003B63CB">
        <w:rPr>
          <w:rStyle w:val="aff0"/>
          <w:rtl/>
        </w:rPr>
        <w:instrText xml:space="preserve"> </w:instrText>
      </w:r>
      <w:r w:rsidRPr="003B63CB">
        <w:rPr>
          <w:rStyle w:val="aff0"/>
          <w:rtl/>
        </w:rPr>
      </w:r>
      <w:r w:rsidRPr="003B63CB">
        <w:rPr>
          <w:rStyle w:val="aff0"/>
          <w:rtl/>
        </w:rPr>
        <w:fldChar w:fldCharType="separate"/>
      </w:r>
      <w:r w:rsidR="00D82181">
        <w:rPr>
          <w:rStyle w:val="aff0"/>
          <w:cs/>
        </w:rPr>
        <w:t>‎</w:t>
      </w:r>
      <w:r w:rsidR="00D82181">
        <w:rPr>
          <w:rStyle w:val="aff0"/>
          <w:rtl/>
        </w:rPr>
        <w:t>נג)</w:t>
      </w:r>
      <w:r w:rsidRPr="003B63CB">
        <w:rPr>
          <w:rStyle w:val="aff0"/>
          <w:rtl/>
        </w:rPr>
        <w:fldChar w:fldCharType="end"/>
      </w:r>
      <w:r w:rsidRPr="003B63CB">
        <w:rPr>
          <w:rStyle w:val="af"/>
          <w:rFonts w:hint="cs"/>
          <w:rtl/>
        </w:rPr>
        <w:t xml:space="preserve"> ובמה שהביא </w:t>
      </w:r>
      <w:r w:rsidRPr="003B63CB">
        <w:rPr>
          <w:rStyle w:val="aff9"/>
          <w:rFonts w:hint="cs"/>
          <w:vanish/>
          <w:rtl/>
        </w:rPr>
        <w:t>-</w:t>
      </w:r>
      <w:r w:rsidRPr="003B63CB">
        <w:rPr>
          <w:rStyle w:val="aff9"/>
          <w:rFonts w:hint="cs"/>
          <w:rtl/>
        </w:rPr>
        <w:t>הכס"מ</w:t>
      </w:r>
      <w:r w:rsidRPr="003B63CB">
        <w:rPr>
          <w:rStyle w:val="aff9"/>
          <w:rFonts w:hint="cs"/>
          <w:vanish/>
          <w:rtl/>
        </w:rPr>
        <w:t>-</w:t>
      </w:r>
      <w:r w:rsidRPr="003B63CB">
        <w:rPr>
          <w:rStyle w:val="af"/>
          <w:rFonts w:hint="cs"/>
          <w:rtl/>
        </w:rPr>
        <w:t xml:space="preserve"> </w:t>
      </w:r>
      <w:r w:rsidRPr="003B63CB">
        <w:rPr>
          <w:rStyle w:val="aff0"/>
          <w:rFonts w:hint="cs"/>
          <w:rtl/>
        </w:rPr>
        <w:t>(</w:t>
      </w:r>
      <w:r w:rsidRPr="007E3E69">
        <w:rPr>
          <w:rStyle w:val="aff0"/>
          <w:rtl/>
        </w:rPr>
        <w:t>הובא בסימן ח'</w:t>
      </w:r>
      <w:r w:rsidRPr="003B63CB">
        <w:rPr>
          <w:rStyle w:val="aff0"/>
          <w:rFonts w:hint="cs"/>
          <w:rtl/>
        </w:rPr>
        <w:t xml:space="preserve"> אות </w:t>
      </w:r>
      <w:r w:rsidRPr="003B63CB">
        <w:rPr>
          <w:rStyle w:val="aff0"/>
          <w:rtl/>
        </w:rPr>
        <w:fldChar w:fldCharType="begin"/>
      </w:r>
      <w:r w:rsidRPr="003B63CB">
        <w:rPr>
          <w:rStyle w:val="aff0"/>
          <w:rtl/>
        </w:rPr>
        <w:instrText xml:space="preserve"> </w:instrText>
      </w:r>
      <w:r w:rsidRPr="003B63CB">
        <w:rPr>
          <w:rStyle w:val="aff0"/>
          <w:rFonts w:hint="cs"/>
        </w:rPr>
        <w:instrText>REF</w:instrText>
      </w:r>
      <w:r w:rsidRPr="003B63CB">
        <w:rPr>
          <w:rStyle w:val="aff0"/>
          <w:rFonts w:hint="cs"/>
          <w:rtl/>
        </w:rPr>
        <w:instrText xml:space="preserve"> _</w:instrText>
      </w:r>
      <w:r w:rsidRPr="003B63CB">
        <w:rPr>
          <w:rStyle w:val="aff0"/>
          <w:rFonts w:hint="cs"/>
        </w:rPr>
        <w:instrText>Ref139300976 \r \h</w:instrText>
      </w:r>
      <w:r w:rsidRPr="003B63CB">
        <w:rPr>
          <w:rStyle w:val="aff0"/>
          <w:rtl/>
        </w:rPr>
        <w:instrText xml:space="preserve">  \* </w:instrText>
      </w:r>
      <w:r w:rsidRPr="003B63CB">
        <w:rPr>
          <w:rStyle w:val="aff0"/>
        </w:rPr>
        <w:instrText>MERGEFORMAT</w:instrText>
      </w:r>
      <w:r w:rsidRPr="003B63CB">
        <w:rPr>
          <w:rStyle w:val="aff0"/>
          <w:rtl/>
        </w:rPr>
        <w:instrText xml:space="preserve"> </w:instrText>
      </w:r>
      <w:r w:rsidRPr="003B63CB">
        <w:rPr>
          <w:rStyle w:val="aff0"/>
          <w:rtl/>
        </w:rPr>
      </w:r>
      <w:r w:rsidRPr="003B63CB">
        <w:rPr>
          <w:rStyle w:val="aff0"/>
          <w:rtl/>
        </w:rPr>
        <w:fldChar w:fldCharType="separate"/>
      </w:r>
      <w:r w:rsidR="00D82181">
        <w:rPr>
          <w:rStyle w:val="aff0"/>
          <w:cs/>
        </w:rPr>
        <w:t>‎</w:t>
      </w:r>
      <w:r w:rsidR="00D82181">
        <w:rPr>
          <w:rStyle w:val="aff0"/>
          <w:rtl/>
        </w:rPr>
        <w:t>נד)</w:t>
      </w:r>
      <w:r w:rsidRPr="003B63CB">
        <w:rPr>
          <w:rStyle w:val="aff0"/>
          <w:rtl/>
        </w:rPr>
        <w:fldChar w:fldCharType="end"/>
      </w:r>
      <w:r w:rsidRPr="003B63CB">
        <w:rPr>
          <w:rStyle w:val="af"/>
          <w:rFonts w:hint="cs"/>
          <w:rtl/>
        </w:rPr>
        <w:t xml:space="preserve"> שהשיב </w:t>
      </w:r>
      <w:r w:rsidRPr="003B63CB">
        <w:rPr>
          <w:rStyle w:val="aff9"/>
          <w:rFonts w:hint="cs"/>
          <w:vanish/>
          <w:rtl/>
        </w:rPr>
        <w:t>-</w:t>
      </w:r>
      <w:r w:rsidRPr="003B63CB">
        <w:rPr>
          <w:rStyle w:val="aff9"/>
          <w:rFonts w:hint="cs"/>
          <w:rtl/>
        </w:rPr>
        <w:t>הרמב"ם בתשו'</w:t>
      </w:r>
      <w:r w:rsidRPr="003B63CB">
        <w:rPr>
          <w:rStyle w:val="aff9"/>
          <w:rFonts w:hint="cs"/>
          <w:vanish/>
          <w:rtl/>
        </w:rPr>
        <w:t>-</w:t>
      </w:r>
      <w:r w:rsidRPr="003B63CB">
        <w:rPr>
          <w:rStyle w:val="af"/>
          <w:rFonts w:hint="cs"/>
          <w:rtl/>
        </w:rPr>
        <w:t>],</w:t>
      </w:r>
      <w:r w:rsidRPr="003B63CB">
        <w:rPr>
          <w:rFonts w:hint="cs"/>
          <w:rtl/>
        </w:rPr>
        <w:t xml:space="preserve"> דמה החילוק בין מלאכה שאינה צריכה לגופה דפטור לר"ש, לבין פסיק רישיה דחייב, הא אף בפסיק רישיה א"צ לגוף המלאכה, דלדעת </w:t>
      </w:r>
      <w:r w:rsidRPr="003B63CB">
        <w:rPr>
          <w:rStyle w:val="aff4"/>
          <w:rFonts w:hint="cs"/>
          <w:vanish/>
          <w:rtl/>
        </w:rPr>
        <w:t>-</w:t>
      </w:r>
      <w:r w:rsidRPr="003B63CB">
        <w:rPr>
          <w:rStyle w:val="aff4"/>
          <w:rFonts w:hint="cs"/>
          <w:rtl/>
        </w:rPr>
        <w:t>התוס'</w:t>
      </w:r>
      <w:r w:rsidRPr="003B63CB">
        <w:rPr>
          <w:rStyle w:val="aff4"/>
          <w:rFonts w:hint="cs"/>
          <w:vanish/>
          <w:rtl/>
        </w:rPr>
        <w:t>-</w:t>
      </w:r>
      <w:r w:rsidRPr="003B63CB">
        <w:rPr>
          <w:rFonts w:hint="cs"/>
          <w:rtl/>
        </w:rPr>
        <w:t xml:space="preserve"> כל החיוב בפסיק רישיה הוא רק בניחא ליה דמיתרמי, אבל במלאכה שאינה צריכה לגופה אי לא ניחא ליה דמיתרמי פטור אף לר"ש, דכן מוכח מתוך דברי </w:t>
      </w:r>
      <w:r w:rsidRPr="003B63CB">
        <w:rPr>
          <w:rStyle w:val="aff4"/>
          <w:rFonts w:hint="cs"/>
          <w:vanish/>
          <w:rtl/>
        </w:rPr>
        <w:t>-</w:t>
      </w:r>
      <w:r w:rsidRPr="003B63CB">
        <w:rPr>
          <w:rStyle w:val="aff4"/>
          <w:rFonts w:hint="cs"/>
          <w:rtl/>
        </w:rPr>
        <w:t>התוס'</w:t>
      </w:r>
      <w:r w:rsidRPr="003B63CB">
        <w:rPr>
          <w:rStyle w:val="aff4"/>
          <w:rFonts w:hint="cs"/>
          <w:vanish/>
          <w:rtl/>
        </w:rPr>
        <w:t>-</w:t>
      </w:r>
      <w:r w:rsidRPr="003B63CB">
        <w:rPr>
          <w:rFonts w:hint="cs"/>
          <w:rtl/>
        </w:rPr>
        <w:t xml:space="preserve"> </w:t>
      </w:r>
      <w:r w:rsidRPr="003B63CB">
        <w:rPr>
          <w:rStyle w:val="af"/>
          <w:rFonts w:hint="cs"/>
          <w:rtl/>
        </w:rPr>
        <w:t>[</w:t>
      </w:r>
      <w:r w:rsidRPr="003B63CB">
        <w:rPr>
          <w:rStyle w:val="aff9"/>
          <w:rFonts w:hint="cs"/>
          <w:vanish/>
          <w:rtl/>
        </w:rPr>
        <w:t>-</w:t>
      </w:r>
      <w:r w:rsidRPr="003B63CB">
        <w:rPr>
          <w:rStyle w:val="aff9"/>
          <w:rFonts w:hint="cs"/>
          <w:rtl/>
        </w:rPr>
        <w:t>עה.</w:t>
      </w:r>
      <w:r w:rsidRPr="003B63CB">
        <w:rPr>
          <w:rStyle w:val="aff9"/>
          <w:rFonts w:hint="cs"/>
          <w:vanish/>
          <w:rtl/>
        </w:rPr>
        <w:t>-</w:t>
      </w:r>
      <w:r w:rsidRPr="003B63CB">
        <w:rPr>
          <w:rStyle w:val="af"/>
          <w:rFonts w:hint="cs"/>
          <w:rtl/>
        </w:rPr>
        <w:t>]</w:t>
      </w:r>
      <w:r w:rsidRPr="003B63CB">
        <w:rPr>
          <w:rFonts w:hint="cs"/>
          <w:rtl/>
        </w:rPr>
        <w:t xml:space="preserve"> </w:t>
      </w:r>
      <w:r w:rsidRPr="003B63CB">
        <w:rPr>
          <w:rStyle w:val="af2"/>
          <w:rFonts w:eastAsia="Guttman Hodes" w:hint="cs"/>
          <w:rtl/>
        </w:rPr>
        <w:t xml:space="preserve">(עי' אות </w:t>
      </w:r>
      <w:r w:rsidRPr="003B63CB">
        <w:rPr>
          <w:rStyle w:val="af2"/>
          <w:rFonts w:eastAsia="Guttman Hodes"/>
          <w:rtl/>
        </w:rPr>
        <w:t>כ)</w:t>
      </w:r>
      <w:r w:rsidRPr="003B63CB">
        <w:rPr>
          <w:rFonts w:hint="cs"/>
          <w:rtl/>
        </w:rPr>
        <w:t xml:space="preserve"> לענין פוצע חלזון, ומתוך דברי </w:t>
      </w:r>
      <w:r w:rsidRPr="003B63CB">
        <w:rPr>
          <w:rStyle w:val="aff4"/>
          <w:rFonts w:hint="cs"/>
          <w:vanish/>
          <w:rtl/>
        </w:rPr>
        <w:t>-</w:t>
      </w:r>
      <w:r w:rsidRPr="003B63CB">
        <w:rPr>
          <w:rStyle w:val="aff4"/>
          <w:rFonts w:hint="cs"/>
          <w:rtl/>
        </w:rPr>
        <w:t>התוס'</w:t>
      </w:r>
      <w:r w:rsidRPr="003B63CB">
        <w:rPr>
          <w:rStyle w:val="aff4"/>
          <w:rFonts w:hint="cs"/>
          <w:vanish/>
          <w:rtl/>
        </w:rPr>
        <w:t>-</w:t>
      </w:r>
      <w:r w:rsidRPr="003B63CB">
        <w:rPr>
          <w:rFonts w:hint="cs"/>
          <w:rtl/>
        </w:rPr>
        <w:t xml:space="preserve"> </w:t>
      </w:r>
      <w:r w:rsidRPr="003B63CB">
        <w:rPr>
          <w:rStyle w:val="af"/>
          <w:rFonts w:hint="cs"/>
          <w:rtl/>
        </w:rPr>
        <w:t>[</w:t>
      </w:r>
      <w:r w:rsidRPr="003B63CB">
        <w:rPr>
          <w:rStyle w:val="aff9"/>
          <w:rFonts w:hint="cs"/>
          <w:vanish/>
          <w:rtl/>
        </w:rPr>
        <w:t>-</w:t>
      </w:r>
      <w:r w:rsidRPr="003B63CB">
        <w:rPr>
          <w:rStyle w:val="aff9"/>
          <w:rFonts w:hint="cs"/>
          <w:rtl/>
        </w:rPr>
        <w:t>צד:</w:t>
      </w:r>
      <w:r w:rsidRPr="003B63CB">
        <w:rPr>
          <w:rStyle w:val="aff9"/>
          <w:rFonts w:hint="cs"/>
          <w:vanish/>
          <w:rtl/>
        </w:rPr>
        <w:t>-</w:t>
      </w:r>
      <w:r w:rsidRPr="003B63CB">
        <w:rPr>
          <w:rStyle w:val="af"/>
          <w:rFonts w:hint="cs"/>
          <w:rtl/>
        </w:rPr>
        <w:t>]</w:t>
      </w:r>
      <w:r w:rsidRPr="003B63CB">
        <w:rPr>
          <w:rFonts w:hint="cs"/>
          <w:rtl/>
        </w:rPr>
        <w:t xml:space="preserve"> </w:t>
      </w:r>
      <w:r w:rsidRPr="003B63CB">
        <w:rPr>
          <w:rStyle w:val="af2"/>
          <w:rFonts w:eastAsia="Guttman Hodes" w:hint="cs"/>
          <w:rtl/>
        </w:rPr>
        <w:t xml:space="preserve">(עי' אות </w:t>
      </w:r>
      <w:r w:rsidRPr="003B63CB">
        <w:rPr>
          <w:rStyle w:val="af2"/>
          <w:rFonts w:eastAsia="Guttman Hodes"/>
          <w:rtl/>
        </w:rPr>
        <w:fldChar w:fldCharType="begin"/>
      </w:r>
      <w:r w:rsidRPr="003B63CB">
        <w:rPr>
          <w:rStyle w:val="af2"/>
          <w:rFonts w:eastAsia="Guttman Hodes"/>
          <w:rtl/>
        </w:rPr>
        <w:instrText xml:space="preserve"> </w:instrText>
      </w:r>
      <w:r w:rsidRPr="003B63CB">
        <w:rPr>
          <w:rStyle w:val="af2"/>
          <w:rFonts w:eastAsia="Guttman Hodes" w:hint="cs"/>
        </w:rPr>
        <w:instrText>REF</w:instrText>
      </w:r>
      <w:r w:rsidRPr="003B63CB">
        <w:rPr>
          <w:rStyle w:val="af2"/>
          <w:rFonts w:eastAsia="Guttman Hodes" w:hint="cs"/>
          <w:rtl/>
        </w:rPr>
        <w:instrText xml:space="preserve"> _</w:instrText>
      </w:r>
      <w:r w:rsidRPr="003B63CB">
        <w:rPr>
          <w:rStyle w:val="af2"/>
          <w:rFonts w:eastAsia="Guttman Hodes" w:hint="cs"/>
        </w:rPr>
        <w:instrText>Ref139314867 \r \h</w:instrText>
      </w:r>
      <w:r w:rsidRPr="003B63CB">
        <w:rPr>
          <w:rStyle w:val="af2"/>
          <w:rFonts w:eastAsia="Guttman Hodes"/>
          <w:rtl/>
        </w:rPr>
        <w:instrText xml:space="preserve">  \* </w:instrText>
      </w:r>
      <w:r w:rsidRPr="003B63CB">
        <w:rPr>
          <w:rStyle w:val="af2"/>
          <w:rFonts w:eastAsia="Guttman Hodes"/>
        </w:rPr>
        <w:instrText>MERGEFORMAT</w:instrText>
      </w:r>
      <w:r w:rsidRPr="003B63CB">
        <w:rPr>
          <w:rStyle w:val="af2"/>
          <w:rFonts w:eastAsia="Guttman Hodes"/>
          <w:rtl/>
        </w:rPr>
        <w:instrText xml:space="preserve"> </w:instrText>
      </w:r>
      <w:r w:rsidRPr="003B63CB">
        <w:rPr>
          <w:rStyle w:val="af2"/>
          <w:rFonts w:eastAsia="Guttman Hodes"/>
          <w:rtl/>
        </w:rPr>
      </w:r>
      <w:r w:rsidRPr="003B63CB">
        <w:rPr>
          <w:rStyle w:val="af2"/>
          <w:rFonts w:eastAsia="Guttman Hodes"/>
          <w:rtl/>
        </w:rPr>
        <w:fldChar w:fldCharType="separate"/>
      </w:r>
      <w:r w:rsidR="00D82181">
        <w:rPr>
          <w:rStyle w:val="af2"/>
          <w:rFonts w:eastAsia="Guttman Hodes"/>
          <w:cs/>
        </w:rPr>
        <w:t>‎</w:t>
      </w:r>
      <w:r w:rsidR="00D82181">
        <w:rPr>
          <w:rStyle w:val="af2"/>
          <w:rFonts w:eastAsia="Guttman Hodes"/>
          <w:rtl/>
        </w:rPr>
        <w:t>ב)</w:t>
      </w:r>
      <w:r w:rsidRPr="003B63CB">
        <w:rPr>
          <w:rStyle w:val="af2"/>
          <w:rFonts w:eastAsia="Guttman Hodes"/>
          <w:rtl/>
        </w:rPr>
        <w:fldChar w:fldCharType="end"/>
      </w:r>
      <w:r w:rsidRPr="003B63CB">
        <w:rPr>
          <w:rFonts w:hint="cs"/>
          <w:rtl/>
        </w:rPr>
        <w:t xml:space="preserve"> בגדר מלאכה שאינה צריכה לגופה.</w:t>
      </w:r>
      <w:bookmarkEnd w:id="3602"/>
    </w:p>
    <w:p w14:paraId="54EE9E14" w14:textId="77777777" w:rsidR="002748A5" w:rsidRPr="00747170" w:rsidRDefault="002748A5" w:rsidP="00747170">
      <w:pPr>
        <w:pStyle w:val="a2"/>
        <w:rPr>
          <w:rtl/>
        </w:rPr>
      </w:pPr>
      <w:r w:rsidRPr="00747170">
        <w:rPr>
          <w:rtl/>
        </w:rPr>
        <w:t>הכלל העולה מכל הנז' דהנה נתבאר יפה דהא דאמרינן מודה ר"ש בפסיק רישיה לאו כלל גמור הוא לדעת ר"י בעל התוס' אלא צריך תנאי אחר דמיירי במידי דניחא ליה אי מתרמי ליה אותה מלאכה אבל במידי דלא אכפת ליה אם מתרמי אותה מלאכה אף על גב דהיא נעשית בהכרח והוי פסיק רישיה פטר ר"ש משום דאז הוי מלאכה שא"צ לגופה ובכן נתיישב יפה מה שמקשים העולם מה הפרש יש בין מלאכה שא"צ לגופה דפטור לר"ש ובין פסיק רישיה דמודה ר"ש דחייב. דגבי פסיק רישיה מיירי במידי דניחא ליה אי מתרמי אותה מלאכה אבל מלאכה שא"צ לגופה אף על גב דהיא נעשית בהכרח מיירי במידי דלא אכפת ליה אי מתרמי ולכך פטר בה ר"ש זה עלה בידי מתוך דברי התוס' דפרק כלל גדול (דף עה) ד"ה טפי ניחא לי' ומתוך דברי התוספות פרק המצניע (דף צד) ד"ה ר"ש:</w:t>
      </w:r>
    </w:p>
    <w:p w14:paraId="61335834" w14:textId="7284A0F5" w:rsidR="002748A5" w:rsidRPr="003B63CB" w:rsidRDefault="002748A5" w:rsidP="002748A5">
      <w:pPr>
        <w:pStyle w:val="1"/>
      </w:pPr>
      <w:bookmarkStart w:id="3603" w:name="_Toc140075690"/>
      <w:bookmarkStart w:id="3604" w:name="_Toc140077779"/>
      <w:bookmarkStart w:id="3605" w:name="_Toc140092079"/>
      <w:bookmarkStart w:id="3606" w:name="_Toc140099740"/>
      <w:bookmarkStart w:id="3607" w:name="_Toc140144279"/>
      <w:bookmarkStart w:id="3608" w:name="_Toc140144510"/>
      <w:r w:rsidRPr="003B63CB">
        <w:rPr>
          <w:rFonts w:hint="cs"/>
          <w:rtl/>
        </w:rPr>
        <w:t>בי' התוס' בכל האופנים דמשאצל"ג דל"ד לצורך דמשכן</w:t>
      </w:r>
      <w:bookmarkEnd w:id="3603"/>
      <w:bookmarkEnd w:id="3604"/>
      <w:bookmarkEnd w:id="3605"/>
      <w:bookmarkEnd w:id="3606"/>
      <w:bookmarkEnd w:id="3607"/>
      <w:bookmarkEnd w:id="3608"/>
    </w:p>
    <w:p w14:paraId="09CBB529" w14:textId="77777777" w:rsidR="002748A5" w:rsidRPr="00C12F78" w:rsidRDefault="002748A5" w:rsidP="002748A5">
      <w:pPr>
        <w:pStyle w:val="afffff7"/>
        <w:rPr>
          <w:rtl/>
        </w:rPr>
      </w:pPr>
      <w:bookmarkStart w:id="3609" w:name="_Toc140144865"/>
      <w:bookmarkStart w:id="3610" w:name="_Toc140075691"/>
      <w:bookmarkStart w:id="3611" w:name="_Toc140077780"/>
      <w:bookmarkStart w:id="3612" w:name="_Toc140092080"/>
      <w:bookmarkStart w:id="3613" w:name="_Toc140099741"/>
      <w:bookmarkStart w:id="3614" w:name="_Toc140144280"/>
      <w:bookmarkStart w:id="3615" w:name="_Toc140144511"/>
      <w:bookmarkStart w:id="3616" w:name="_Toc163505980"/>
      <w:r w:rsidRPr="00C12F78">
        <w:rPr>
          <w:rtl/>
        </w:rPr>
        <w:t xml:space="preserve">תוספות שבת </w:t>
      </w:r>
      <w:r>
        <w:rPr>
          <w:rFonts w:hint="cs"/>
          <w:rtl/>
        </w:rPr>
        <w:t>צ"ד ע"ב</w:t>
      </w:r>
      <w:r w:rsidRPr="00C12F78">
        <w:rPr>
          <w:rFonts w:hint="cs"/>
          <w:rtl/>
        </w:rPr>
        <w:t xml:space="preserve"> ד</w:t>
      </w:r>
      <w:r w:rsidRPr="00C12F78">
        <w:rPr>
          <w:rFonts w:cs="Guttman Hodes" w:hint="cs"/>
          <w:rtl/>
        </w:rPr>
        <w:t>"</w:t>
      </w:r>
      <w:r w:rsidRPr="00C12F78">
        <w:rPr>
          <w:rFonts w:hint="cs"/>
          <w:rtl/>
        </w:rPr>
        <w:t xml:space="preserve">ה </w:t>
      </w:r>
      <w:r>
        <w:rPr>
          <w:rFonts w:hint="cs"/>
          <w:rtl/>
        </w:rPr>
        <w:t>ר"ש</w:t>
      </w:r>
      <w:bookmarkEnd w:id="3616"/>
      <w:r w:rsidRPr="00C12F78">
        <w:rPr>
          <w:vanish/>
          <w:rtl/>
        </w:rPr>
        <w:t xml:space="preserve"> (ט)</w:t>
      </w:r>
      <w:bookmarkEnd w:id="3609"/>
    </w:p>
    <w:p w14:paraId="66F19971" w14:textId="77777777" w:rsidR="002748A5" w:rsidRPr="003B63CB" w:rsidRDefault="002748A5" w:rsidP="002748A5">
      <w:pPr>
        <w:pStyle w:val="a7"/>
      </w:pPr>
      <w:r w:rsidRPr="003B63CB">
        <w:rPr>
          <w:rFonts w:hint="cs"/>
          <w:rtl/>
        </w:rPr>
        <w:t>בי' התוס' דבמת ונחש א"צ לו עצמו כבמשכן דההוצאה והצידה היא לצורך הדבר עצמו</w:t>
      </w:r>
      <w:bookmarkEnd w:id="3610"/>
      <w:bookmarkEnd w:id="3611"/>
      <w:bookmarkEnd w:id="3612"/>
      <w:bookmarkEnd w:id="3613"/>
      <w:bookmarkEnd w:id="3614"/>
      <w:bookmarkEnd w:id="3615"/>
    </w:p>
    <w:p w14:paraId="5D98830E" w14:textId="4C23D1BF" w:rsidR="002748A5" w:rsidRPr="003B63CB" w:rsidRDefault="002748A5" w:rsidP="00BC7DC8">
      <w:pPr>
        <w:pStyle w:val="a3"/>
      </w:pPr>
      <w:bookmarkStart w:id="3617" w:name="_Ref140072923"/>
      <w:r>
        <w:rPr>
          <w:rFonts w:hint="cs"/>
          <w:rtl/>
        </w:rPr>
        <w:t xml:space="preserve">עי' במ"ש </w:t>
      </w:r>
      <w:r w:rsidRPr="003B63CB">
        <w:rPr>
          <w:rStyle w:val="aff4"/>
          <w:rFonts w:hint="cs"/>
          <w:vanish/>
          <w:rtl/>
        </w:rPr>
        <w:t>-</w:t>
      </w:r>
      <w:r w:rsidRPr="003B63CB">
        <w:rPr>
          <w:rStyle w:val="aff4"/>
          <w:rFonts w:hint="cs"/>
          <w:rtl/>
        </w:rPr>
        <w:t>התוס'</w:t>
      </w:r>
      <w:r w:rsidRPr="003B63CB">
        <w:rPr>
          <w:rStyle w:val="aff4"/>
          <w:rFonts w:hint="cs"/>
          <w:vanish/>
          <w:rtl/>
        </w:rPr>
        <w:t>-</w:t>
      </w:r>
      <w:r w:rsidRPr="003B63CB">
        <w:rPr>
          <w:rFonts w:hint="cs"/>
          <w:rtl/>
        </w:rPr>
        <w:t xml:space="preserve"> </w:t>
      </w:r>
      <w:r>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Ref140072938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ב)</w:t>
      </w:r>
      <w:r>
        <w:rPr>
          <w:rStyle w:val="af2"/>
          <w:rFonts w:eastAsia="Guttman Hodes"/>
          <w:rtl/>
        </w:rPr>
        <w:fldChar w:fldCharType="end"/>
      </w:r>
      <w:r w:rsidRPr="003B63CB">
        <w:rPr>
          <w:rFonts w:hint="cs"/>
          <w:rtl/>
        </w:rPr>
        <w:t xml:space="preserve"> </w:t>
      </w:r>
      <w:r>
        <w:rPr>
          <w:rFonts w:hint="cs"/>
          <w:rtl/>
        </w:rPr>
        <w:t xml:space="preserve">דמלאכה שאינה צריכה לגופה הוא כשהצורך במלאכה אינו הצורך שהיה במשכן, </w:t>
      </w:r>
      <w:r w:rsidRPr="003B63CB">
        <w:rPr>
          <w:rFonts w:hint="cs"/>
          <w:rtl/>
        </w:rPr>
        <w:t xml:space="preserve">ולפי"ז ביארו </w:t>
      </w:r>
      <w:r w:rsidRPr="003B63CB">
        <w:rPr>
          <w:rStyle w:val="aff4"/>
          <w:rFonts w:hint="cs"/>
          <w:vanish/>
          <w:rtl/>
        </w:rPr>
        <w:t>-</w:t>
      </w:r>
      <w:r w:rsidRPr="003B63CB">
        <w:rPr>
          <w:rStyle w:val="aff4"/>
          <w:rFonts w:hint="cs"/>
          <w:rtl/>
        </w:rPr>
        <w:t>ה</w:t>
      </w:r>
      <w:r w:rsidRPr="00EC24B6">
        <w:rPr>
          <w:rStyle w:val="aff4"/>
          <w:rFonts w:hint="cs"/>
          <w:vanish/>
          <w:rtl/>
        </w:rPr>
        <w:t xml:space="preserve">&lt;, </w:t>
      </w:r>
      <w:r w:rsidRPr="00EC24B6">
        <w:rPr>
          <w:rStyle w:val="aff4"/>
          <w:vanish/>
          <w:rtl/>
        </w:rPr>
        <w:fldChar w:fldCharType="begin"/>
      </w:r>
      <w:r w:rsidRPr="00EC24B6">
        <w:rPr>
          <w:rStyle w:val="aff4"/>
          <w:vanish/>
          <w:rtl/>
        </w:rPr>
        <w:instrText xml:space="preserve"> </w:instrText>
      </w:r>
      <w:r w:rsidRPr="00EC24B6">
        <w:rPr>
          <w:rStyle w:val="aff4"/>
          <w:rFonts w:hint="cs"/>
          <w:vanish/>
        </w:rPr>
        <w:instrText>REF</w:instrText>
      </w:r>
      <w:r w:rsidRPr="00EC24B6">
        <w:rPr>
          <w:rStyle w:val="aff4"/>
          <w:rFonts w:hint="cs"/>
          <w:vanish/>
          <w:rtl/>
        </w:rPr>
        <w:instrText xml:space="preserve"> _</w:instrText>
      </w:r>
      <w:r w:rsidRPr="00EC24B6">
        <w:rPr>
          <w:rStyle w:val="aff4"/>
          <w:rFonts w:hint="cs"/>
          <w:vanish/>
        </w:rPr>
        <w:instrText>Ref140072923 \r \h</w:instrText>
      </w:r>
      <w:r w:rsidRPr="00EC24B6">
        <w:rPr>
          <w:rStyle w:val="aff4"/>
          <w:vanish/>
          <w:rtl/>
        </w:rPr>
        <w:instrText xml:space="preserve"> </w:instrText>
      </w:r>
      <w:r>
        <w:rPr>
          <w:rStyle w:val="aff4"/>
          <w:vanish/>
          <w:rtl/>
        </w:rPr>
        <w:instrText xml:space="preserve"> \* </w:instrText>
      </w:r>
      <w:r>
        <w:rPr>
          <w:rStyle w:val="aff4"/>
          <w:vanish/>
        </w:rPr>
        <w:instrText>MERGEFORMAT</w:instrText>
      </w:r>
      <w:r>
        <w:rPr>
          <w:rStyle w:val="aff4"/>
          <w:vanish/>
          <w:rtl/>
        </w:rPr>
        <w:instrText xml:space="preserve"> </w:instrText>
      </w:r>
      <w:r w:rsidRPr="00EC24B6">
        <w:rPr>
          <w:rStyle w:val="aff4"/>
          <w:vanish/>
          <w:rtl/>
        </w:rPr>
      </w:r>
      <w:r w:rsidRPr="00EC24B6">
        <w:rPr>
          <w:rStyle w:val="aff4"/>
          <w:vanish/>
          <w:rtl/>
        </w:rPr>
        <w:fldChar w:fldCharType="separate"/>
      </w:r>
      <w:r w:rsidR="00D82181">
        <w:rPr>
          <w:rStyle w:val="aff4"/>
          <w:vanish/>
          <w:cs/>
        </w:rPr>
        <w:t>‎</w:t>
      </w:r>
      <w:r w:rsidR="00D82181">
        <w:rPr>
          <w:rStyle w:val="aff4"/>
          <w:vanish/>
          <w:rtl/>
        </w:rPr>
        <w:t>ח)</w:t>
      </w:r>
      <w:r w:rsidRPr="00EC24B6">
        <w:rPr>
          <w:rStyle w:val="aff4"/>
          <w:vanish/>
          <w:rtl/>
        </w:rPr>
        <w:fldChar w:fldCharType="end"/>
      </w:r>
      <w:r w:rsidRPr="00EC24B6">
        <w:rPr>
          <w:rStyle w:val="aff4"/>
          <w:rFonts w:hint="cs"/>
          <w:vanish/>
          <w:rtl/>
        </w:rPr>
        <w:t xml:space="preserve"> &gt;</w:t>
      </w:r>
      <w:r w:rsidRPr="003B63CB">
        <w:rPr>
          <w:rStyle w:val="aff4"/>
          <w:rFonts w:hint="cs"/>
          <w:rtl/>
        </w:rPr>
        <w:t>תוס'</w:t>
      </w:r>
      <w:r w:rsidRPr="003B63CB">
        <w:rPr>
          <w:rStyle w:val="aff4"/>
          <w:rFonts w:hint="cs"/>
          <w:vanish/>
          <w:rtl/>
        </w:rPr>
        <w:t>-</w:t>
      </w:r>
      <w:r w:rsidRPr="003B63CB">
        <w:rPr>
          <w:rFonts w:hint="cs"/>
          <w:rtl/>
        </w:rPr>
        <w:t xml:space="preserve"> </w:t>
      </w:r>
      <w:r w:rsidRPr="003B63CB">
        <w:rPr>
          <w:rStyle w:val="af2"/>
          <w:rFonts w:eastAsia="Guttman Hodes" w:hint="cs"/>
          <w:rtl/>
        </w:rPr>
        <w:t>(צד. ד"ה ר"ש)</w:t>
      </w:r>
      <w:r w:rsidRPr="003B63CB">
        <w:rPr>
          <w:rFonts w:hint="cs"/>
          <w:vanish/>
          <w:rtl/>
        </w:rPr>
        <w:t>=</w:t>
      </w:r>
      <w:r w:rsidRPr="003B63CB">
        <w:rPr>
          <w:rFonts w:hint="cs"/>
          <w:rtl/>
        </w:rPr>
        <w:t xml:space="preserve"> את כל האופנים דפוטר ר"ש מדין מלאכה שאינה צריכה לגופה, דהא דפוטר ר"ש במתני' לקמן </w:t>
      </w:r>
      <w:r w:rsidRPr="003B63CB">
        <w:rPr>
          <w:rStyle w:val="af2"/>
          <w:rFonts w:eastAsia="Guttman Hodes" w:hint="cs"/>
          <w:rtl/>
        </w:rPr>
        <w:t>(צג:)</w:t>
      </w:r>
      <w:r w:rsidRPr="003B63CB">
        <w:rPr>
          <w:rFonts w:hint="cs"/>
          <w:rtl/>
        </w:rPr>
        <w:t xml:space="preserve"> במוציא את המת במטה, הוא כיון דהוצאה במשכן הייתה לצורך החפץ שהוציאו אותו, וכל </w:t>
      </w:r>
      <w:r w:rsidRPr="003B63CB">
        <w:rPr>
          <w:rFonts w:hint="cs"/>
          <w:rtl/>
        </w:rPr>
        <w:lastRenderedPageBreak/>
        <w:t xml:space="preserve">שאין לו צורך במת עצמו, אין לו צורך כמו במשכן, וכן בצידת נחש בגמ' לקמן </w:t>
      </w:r>
      <w:r w:rsidRPr="003B63CB">
        <w:rPr>
          <w:rStyle w:val="af2"/>
          <w:rFonts w:eastAsia="Guttman Hodes" w:hint="cs"/>
          <w:rtl/>
        </w:rPr>
        <w:t>(קז.)</w:t>
      </w:r>
      <w:r w:rsidRPr="003B63CB">
        <w:rPr>
          <w:rFonts w:hint="cs"/>
          <w:rtl/>
        </w:rPr>
        <w:t xml:space="preserve"> הצורך שלו הוא שהנחש לא ינשוך, ואילו הצורך במשכן בצידה היה בצידת תחש וחלזון שהיו צריכים אותם בעצמם.</w:t>
      </w:r>
      <w:bookmarkEnd w:id="3617"/>
    </w:p>
    <w:p w14:paraId="3EE8855B" w14:textId="77777777" w:rsidR="002748A5" w:rsidRPr="00747170" w:rsidRDefault="002748A5" w:rsidP="00747170">
      <w:pPr>
        <w:pStyle w:val="a2"/>
        <w:rPr>
          <w:rtl/>
        </w:rPr>
      </w:pPr>
      <w:r w:rsidRPr="00747170">
        <w:rPr>
          <w:rFonts w:hint="cs"/>
          <w:rtl/>
        </w:rPr>
        <w:t>ולפי זה אתי כולהו שפיר הוצאת המת אין צריך למת ובמשכן היו צריכין לחפצים שהוציאו צד נחש שלא ישכנו אינו צריך לנחש ובמשכן היו צריכין לתחש וחלזון.</w:t>
      </w:r>
    </w:p>
    <w:p w14:paraId="7950C2A8" w14:textId="15ACFBFA" w:rsidR="002748A5" w:rsidRPr="003B63CB" w:rsidRDefault="002748A5" w:rsidP="002748A5">
      <w:pPr>
        <w:pStyle w:val="a7"/>
      </w:pPr>
      <w:bookmarkStart w:id="3618" w:name="_Toc140075692"/>
      <w:bookmarkStart w:id="3619" w:name="_Toc140077781"/>
      <w:bookmarkStart w:id="3620" w:name="_Toc140092081"/>
      <w:bookmarkStart w:id="3621" w:name="_Toc140099742"/>
      <w:bookmarkStart w:id="3622" w:name="_Toc140144281"/>
      <w:bookmarkStart w:id="3623" w:name="_Toc140144512"/>
      <w:r w:rsidRPr="003B63CB">
        <w:rPr>
          <w:rFonts w:hint="cs"/>
          <w:rtl/>
        </w:rPr>
        <w:t>בי' התוס' דבמורסא א"צ פתח להכניס ולהוציא כמשכן והורג מזיק וכן גומא א"צ להם עצמם</w:t>
      </w:r>
      <w:bookmarkEnd w:id="3618"/>
      <w:bookmarkEnd w:id="3619"/>
      <w:bookmarkEnd w:id="3620"/>
      <w:bookmarkEnd w:id="3621"/>
      <w:bookmarkEnd w:id="3622"/>
      <w:bookmarkEnd w:id="3623"/>
    </w:p>
    <w:p w14:paraId="2A4895A1" w14:textId="77777777" w:rsidR="002748A5" w:rsidRPr="003B63CB" w:rsidRDefault="002748A5" w:rsidP="00BC7DC8">
      <w:pPr>
        <w:pStyle w:val="a3"/>
        <w:rPr>
          <w:rtl/>
        </w:rPr>
      </w:pPr>
      <w:r w:rsidRPr="003B63CB">
        <w:rPr>
          <w:rFonts w:hint="cs"/>
          <w:rtl/>
        </w:rPr>
        <w:t xml:space="preserve">וכן במפיס מורסא בגמ' לקמן </w:t>
      </w:r>
      <w:r w:rsidRPr="003B63CB">
        <w:rPr>
          <w:rStyle w:val="af2"/>
          <w:rFonts w:eastAsia="Guttman Hodes" w:hint="cs"/>
          <w:rtl/>
        </w:rPr>
        <w:t>(קז.)</w:t>
      </w:r>
      <w:r w:rsidRPr="003B63CB">
        <w:rPr>
          <w:rFonts w:hint="cs"/>
          <w:rtl/>
        </w:rPr>
        <w:t xml:space="preserve">, כתבו </w:t>
      </w:r>
      <w:r w:rsidRPr="003B63CB">
        <w:rPr>
          <w:rStyle w:val="aff4"/>
          <w:rFonts w:hint="cs"/>
          <w:vanish/>
          <w:rtl/>
        </w:rPr>
        <w:t>-</w:t>
      </w:r>
      <w:r w:rsidRPr="003B63CB">
        <w:rPr>
          <w:rStyle w:val="aff4"/>
          <w:rFonts w:hint="cs"/>
          <w:rtl/>
        </w:rPr>
        <w:t>התוס'</w:t>
      </w:r>
      <w:r w:rsidRPr="003B63CB">
        <w:rPr>
          <w:rStyle w:val="aff4"/>
          <w:rFonts w:hint="cs"/>
          <w:vanish/>
          <w:rtl/>
        </w:rPr>
        <w:t>-</w:t>
      </w:r>
      <w:r w:rsidRPr="003B63CB">
        <w:rPr>
          <w:rFonts w:hint="cs"/>
          <w:rtl/>
        </w:rPr>
        <w:t xml:space="preserve"> דהצורך שלו הוא להוציא את הליחה, ואין כוונתו לעשות פתח למורסא שבקביעות יכנס אויר לתוכה ותצא הליחה, ולכן אף שעשה פתח גמור שראוי להכניס ולהוציא, </w:t>
      </w:r>
      <w:r w:rsidRPr="003B63CB">
        <w:rPr>
          <w:rStyle w:val="af"/>
          <w:rFonts w:hint="cs"/>
          <w:rtl/>
        </w:rPr>
        <w:t xml:space="preserve">[כדביארו </w:t>
      </w:r>
      <w:r w:rsidRPr="003B63CB">
        <w:rPr>
          <w:rStyle w:val="aff9"/>
          <w:rFonts w:hint="cs"/>
          <w:vanish/>
          <w:rtl/>
        </w:rPr>
        <w:t>-</w:t>
      </w:r>
      <w:r w:rsidRPr="003B63CB">
        <w:rPr>
          <w:rStyle w:val="aff9"/>
          <w:rFonts w:hint="cs"/>
          <w:rtl/>
        </w:rPr>
        <w:t>התוס'</w:t>
      </w:r>
      <w:r w:rsidRPr="003B63CB">
        <w:rPr>
          <w:rStyle w:val="aff9"/>
          <w:rFonts w:hint="cs"/>
          <w:vanish/>
          <w:rtl/>
        </w:rPr>
        <w:t>-</w:t>
      </w:r>
      <w:r w:rsidRPr="003B63CB">
        <w:rPr>
          <w:rStyle w:val="af"/>
          <w:rFonts w:hint="cs"/>
          <w:rtl/>
        </w:rPr>
        <w:t xml:space="preserve"> </w:t>
      </w:r>
      <w:r w:rsidRPr="003B63CB">
        <w:rPr>
          <w:rStyle w:val="aff0"/>
          <w:rFonts w:hint="cs"/>
          <w:rtl/>
        </w:rPr>
        <w:t>(ג. ד"ה ומפיס)</w:t>
      </w:r>
      <w:r w:rsidRPr="003B63CB">
        <w:rPr>
          <w:rStyle w:val="af"/>
          <w:rFonts w:hint="cs"/>
          <w:rtl/>
        </w:rPr>
        <w:t xml:space="preserve"> דבכה"ג הוי פתח],</w:t>
      </w:r>
      <w:r w:rsidRPr="003B63CB">
        <w:rPr>
          <w:rFonts w:hint="cs"/>
          <w:rtl/>
        </w:rPr>
        <w:t xml:space="preserve"> מ"מ כיון שאין לו צורך בזה, לא דמי לעשיית פתח במשכן דהיה עומד להכניס ולהוציא, וכתבו </w:t>
      </w:r>
      <w:r w:rsidRPr="003B63CB">
        <w:rPr>
          <w:rStyle w:val="aff4"/>
          <w:rFonts w:hint="cs"/>
          <w:vanish/>
          <w:rtl/>
        </w:rPr>
        <w:t>-</w:t>
      </w:r>
      <w:r w:rsidRPr="003B63CB">
        <w:rPr>
          <w:rStyle w:val="aff4"/>
          <w:rFonts w:hint="cs"/>
          <w:rtl/>
        </w:rPr>
        <w:t>התוס'</w:t>
      </w:r>
      <w:r w:rsidRPr="003B63CB">
        <w:rPr>
          <w:rStyle w:val="aff4"/>
          <w:rFonts w:hint="cs"/>
          <w:vanish/>
          <w:rtl/>
        </w:rPr>
        <w:t>-</w:t>
      </w:r>
      <w:r w:rsidRPr="003B63CB">
        <w:rPr>
          <w:rFonts w:hint="cs"/>
          <w:rtl/>
        </w:rPr>
        <w:t xml:space="preserve"> דאם כוונתו לעשות פה קבוע למורסא חייב, וכן בהריגת מזיקין א"צ את המזיקים עצמם, ובמשכן שחטו אילים כיון שהיו צריכים את העורות שלהם, וכן בגמ' לעיל </w:t>
      </w:r>
      <w:r w:rsidRPr="003B63CB">
        <w:rPr>
          <w:rStyle w:val="af2"/>
          <w:rFonts w:eastAsia="Guttman Hodes" w:hint="cs"/>
          <w:rtl/>
        </w:rPr>
        <w:t>(עג:)</w:t>
      </w:r>
      <w:r w:rsidRPr="003B63CB">
        <w:rPr>
          <w:rFonts w:hint="cs"/>
          <w:rtl/>
        </w:rPr>
        <w:t xml:space="preserve"> בחופר גומא וא"צ אלא לעפרה, ל"ד לצורך במשכן דחפרו לצורך הגומא עצמה, בכדי לנעוץ בה דבר או לצורך אחר.</w:t>
      </w:r>
    </w:p>
    <w:p w14:paraId="3DA0F8DC" w14:textId="77777777" w:rsidR="002748A5" w:rsidRPr="00747170" w:rsidRDefault="002748A5" w:rsidP="00747170">
      <w:pPr>
        <w:pStyle w:val="a2"/>
      </w:pPr>
      <w:r w:rsidRPr="00747170">
        <w:rPr>
          <w:rtl/>
        </w:rPr>
        <w:t>ומפיס מורסא להוציא ליחה המזיקתו ואין עומד להכניס אויר ולהוציא ליחה תמיד אף על פי שנעשה פתח גמור שהרי ראוי (הוא) להכניס ולהוציא אם היה צריך מ"מ לא דמי לפתחים שבמשכן שהיו עומדין להכניס ולהוציא אבל לעשות לה פה דמיא למשכן וחייב והריגת המזיקין אין צריך להם ובמשכן היו צריכין לעורות אילים הנשחטים וחופר גומא ואינו צריך אלא לעפרה ובמשכן היו צריכין לגומא לנעוץ בה או לדבר אחר</w:t>
      </w:r>
      <w:r w:rsidRPr="00747170">
        <w:rPr>
          <w:rFonts w:hint="cs"/>
          <w:rtl/>
        </w:rPr>
        <w:t>.</w:t>
      </w:r>
    </w:p>
    <w:p w14:paraId="6377F2AD" w14:textId="5D13706D" w:rsidR="002748A5" w:rsidRPr="003B63CB" w:rsidRDefault="002748A5" w:rsidP="002748A5">
      <w:pPr>
        <w:pStyle w:val="a7"/>
      </w:pPr>
      <w:bookmarkStart w:id="3624" w:name="_Toc140075693"/>
      <w:bookmarkStart w:id="3625" w:name="_Toc140077782"/>
      <w:bookmarkStart w:id="3626" w:name="_Toc140092082"/>
      <w:bookmarkStart w:id="3627" w:name="_Toc140099743"/>
      <w:bookmarkStart w:id="3628" w:name="_Toc140144282"/>
      <w:bookmarkStart w:id="3629" w:name="_Toc140144513"/>
      <w:r w:rsidRPr="003B63CB">
        <w:rPr>
          <w:rFonts w:hint="cs"/>
          <w:rtl/>
        </w:rPr>
        <w:t>בי' התוס' דזב שיוצא בכיס רוצה שלא יטנף ול"צ לכיס עצמו וברוצה לבדוק יכול לישב במק"א</w:t>
      </w:r>
      <w:bookmarkEnd w:id="3624"/>
      <w:bookmarkEnd w:id="3625"/>
      <w:bookmarkEnd w:id="3626"/>
      <w:bookmarkEnd w:id="3627"/>
      <w:bookmarkEnd w:id="3628"/>
      <w:bookmarkEnd w:id="3629"/>
    </w:p>
    <w:p w14:paraId="0BA5C020" w14:textId="77777777" w:rsidR="002748A5" w:rsidRPr="003B63CB" w:rsidRDefault="002748A5" w:rsidP="00BC7DC8">
      <w:pPr>
        <w:pStyle w:val="a3"/>
        <w:rPr>
          <w:rtl/>
        </w:rPr>
      </w:pPr>
      <w:bookmarkStart w:id="3630" w:name="_Ref140056572"/>
      <w:r w:rsidRPr="003B63CB">
        <w:rPr>
          <w:rFonts w:hint="cs"/>
          <w:rtl/>
        </w:rPr>
        <w:t xml:space="preserve">וכתבו </w:t>
      </w:r>
      <w:r w:rsidRPr="003B63CB">
        <w:rPr>
          <w:rStyle w:val="aff4"/>
          <w:rFonts w:hint="cs"/>
          <w:vanish/>
          <w:rtl/>
        </w:rPr>
        <w:t>-</w:t>
      </w:r>
      <w:r w:rsidRPr="003B63CB">
        <w:rPr>
          <w:rStyle w:val="aff4"/>
          <w:rFonts w:hint="cs"/>
          <w:rtl/>
        </w:rPr>
        <w:t>התוס'</w:t>
      </w:r>
      <w:r w:rsidRPr="003B63CB">
        <w:rPr>
          <w:rStyle w:val="aff4"/>
          <w:rFonts w:hint="cs"/>
          <w:vanish/>
          <w:rtl/>
        </w:rPr>
        <w:t>-</w:t>
      </w:r>
      <w:r w:rsidRPr="003B63CB">
        <w:rPr>
          <w:rFonts w:hint="cs"/>
          <w:rtl/>
        </w:rPr>
        <w:t xml:space="preserve"> דהא דאיתא בגמ' לעיל </w:t>
      </w:r>
      <w:r w:rsidRPr="003B63CB">
        <w:rPr>
          <w:rStyle w:val="af2"/>
          <w:rFonts w:eastAsia="Guttman Hodes" w:hint="cs"/>
          <w:rtl/>
        </w:rPr>
        <w:t>(יא:)</w:t>
      </w:r>
      <w:r w:rsidRPr="003B63CB">
        <w:rPr>
          <w:rFonts w:hint="cs"/>
          <w:rtl/>
        </w:rPr>
        <w:t xml:space="preserve"> דזב שיוצא בכיס הוי מלאכה שאינה צריכה לגופה, הוא כיון דהצורך הוא שלא יטנפו כליו, וא"צ את הכיס עצמו, הוי מלאכה שאינה צריכה לגופה, אעפ"י שהוא צריך את הכיס למנות את הראיות או לז' נקיים, מ"מ א"צ את עצם ההוצאה של הכיס, דלצורך זה יכול לשבת במקום אחד</w:t>
      </w:r>
      <w:bookmarkEnd w:id="3630"/>
      <w:r>
        <w:rPr>
          <w:rFonts w:hint="cs"/>
          <w:rtl/>
        </w:rPr>
        <w:t>.</w:t>
      </w:r>
      <w:r w:rsidRPr="003B63CB">
        <w:rPr>
          <w:rFonts w:hint="cs"/>
          <w:rtl/>
        </w:rPr>
        <w:t xml:space="preserve"> </w:t>
      </w:r>
    </w:p>
    <w:p w14:paraId="70C846F7" w14:textId="77777777" w:rsidR="002748A5" w:rsidRPr="00747170" w:rsidRDefault="002748A5" w:rsidP="00747170">
      <w:pPr>
        <w:pStyle w:val="a2"/>
        <w:rPr>
          <w:rtl/>
        </w:rPr>
      </w:pPr>
      <w:r w:rsidRPr="00747170">
        <w:rPr>
          <w:rtl/>
        </w:rPr>
        <w:t>וזב בכיס שלא יטנפו כליו הוי אינה צריכה לגופה שאינו צריך לכיס עצמו ואפילו למנות ראיותיו או נקיים דצריך הכיס מ"מ אין צריך להוצאה זו דה"נ סגי ליה אי יתיב בחד דוכתא</w:t>
      </w:r>
      <w:r w:rsidRPr="00747170">
        <w:rPr>
          <w:rFonts w:hint="cs"/>
          <w:rtl/>
        </w:rPr>
        <w:t>.</w:t>
      </w:r>
    </w:p>
    <w:p w14:paraId="4E576C8A" w14:textId="77777777" w:rsidR="002748A5" w:rsidRPr="00C12F78" w:rsidRDefault="002748A5" w:rsidP="002748A5">
      <w:pPr>
        <w:pStyle w:val="afffff7"/>
        <w:rPr>
          <w:rtl/>
        </w:rPr>
      </w:pPr>
      <w:bookmarkStart w:id="3631" w:name="_Toc140144389"/>
      <w:bookmarkStart w:id="3632" w:name="_Toc140144866"/>
      <w:bookmarkStart w:id="3633" w:name="_Hlk139922430"/>
      <w:bookmarkStart w:id="3634" w:name="_Toc163505981"/>
      <w:r w:rsidRPr="00C12F78">
        <w:rPr>
          <w:rtl/>
        </w:rPr>
        <w:t xml:space="preserve">אגלי טל חורש </w:t>
      </w:r>
      <w:r w:rsidRPr="00C12F78">
        <w:rPr>
          <w:rFonts w:hint="cs"/>
          <w:rtl/>
        </w:rPr>
        <w:t>סקי"ב אות כ'</w:t>
      </w:r>
      <w:bookmarkEnd w:id="3634"/>
      <w:r w:rsidRPr="00C12F78">
        <w:rPr>
          <w:vanish/>
          <w:rtl/>
        </w:rPr>
        <w:t xml:space="preserve"> (ט)</w:t>
      </w:r>
      <w:bookmarkEnd w:id="3631"/>
      <w:bookmarkEnd w:id="3632"/>
    </w:p>
    <w:p w14:paraId="0AEBB8E3" w14:textId="77777777" w:rsidR="002748A5" w:rsidRPr="003B63CB" w:rsidRDefault="002748A5" w:rsidP="002748A5">
      <w:pPr>
        <w:pStyle w:val="a7"/>
        <w:rPr>
          <w:rtl/>
        </w:rPr>
      </w:pPr>
      <w:bookmarkStart w:id="3635" w:name="_Toc140075694"/>
      <w:bookmarkStart w:id="3636" w:name="_Toc140077783"/>
      <w:bookmarkStart w:id="3637" w:name="_Toc140092083"/>
      <w:bookmarkStart w:id="3638" w:name="_Toc140099744"/>
      <w:bookmarkStart w:id="3639" w:name="_Toc140144283"/>
      <w:bookmarkStart w:id="3640" w:name="_Toc140144514"/>
      <w:r w:rsidRPr="003B63CB">
        <w:rPr>
          <w:rFonts w:hint="cs"/>
          <w:rtl/>
        </w:rPr>
        <w:t>בי' האגל"ט בתוס' דזב מוציא כיס בעקירת גופו והעקירה אינה לצורך הכיס דלצורכו א"צ לצאת</w:t>
      </w:r>
      <w:bookmarkEnd w:id="3635"/>
      <w:bookmarkEnd w:id="3636"/>
      <w:bookmarkEnd w:id="3637"/>
      <w:bookmarkEnd w:id="3638"/>
      <w:bookmarkEnd w:id="3639"/>
      <w:bookmarkEnd w:id="3640"/>
    </w:p>
    <w:p w14:paraId="10208C46" w14:textId="3581E3EF" w:rsidR="002748A5" w:rsidRPr="003B63CB" w:rsidRDefault="002748A5" w:rsidP="00BC7DC8">
      <w:pPr>
        <w:pStyle w:val="a3"/>
        <w:rPr>
          <w:rtl/>
        </w:rPr>
      </w:pPr>
      <w:bookmarkStart w:id="3641" w:name="_Ref139928814"/>
      <w:r w:rsidRPr="003B63CB">
        <w:rPr>
          <w:rFonts w:hint="cs"/>
          <w:rtl/>
        </w:rPr>
        <w:t xml:space="preserve">וביאר </w:t>
      </w:r>
      <w:r w:rsidRPr="003B63CB">
        <w:rPr>
          <w:rStyle w:val="aff4"/>
          <w:rFonts w:hint="cs"/>
          <w:vanish/>
          <w:rtl/>
        </w:rPr>
        <w:t>-</w:t>
      </w:r>
      <w:r w:rsidRPr="003B63CB">
        <w:rPr>
          <w:rStyle w:val="aff4"/>
          <w:rFonts w:hint="cs"/>
          <w:rtl/>
        </w:rPr>
        <w:t>ה</w:t>
      </w:r>
      <w:r w:rsidRPr="003B63CB">
        <w:rPr>
          <w:rStyle w:val="aff4"/>
          <w:rFonts w:hint="cs"/>
          <w:vanish/>
          <w:rtl/>
        </w:rPr>
        <w:t xml:space="preserve">&lt;, </w:t>
      </w:r>
      <w:r w:rsidRPr="003B63CB">
        <w:rPr>
          <w:rStyle w:val="aff4"/>
          <w:vanish/>
          <w:rtl/>
        </w:rPr>
        <w:fldChar w:fldCharType="begin"/>
      </w:r>
      <w:r w:rsidRPr="003B63CB">
        <w:rPr>
          <w:rStyle w:val="aff4"/>
          <w:vanish/>
          <w:rtl/>
        </w:rPr>
        <w:instrText xml:space="preserve"> </w:instrText>
      </w:r>
      <w:r w:rsidRPr="003B63CB">
        <w:rPr>
          <w:rStyle w:val="aff4"/>
          <w:rFonts w:hint="cs"/>
          <w:vanish/>
        </w:rPr>
        <w:instrText>REF</w:instrText>
      </w:r>
      <w:r w:rsidRPr="003B63CB">
        <w:rPr>
          <w:rStyle w:val="aff4"/>
          <w:rFonts w:hint="cs"/>
          <w:vanish/>
          <w:rtl/>
        </w:rPr>
        <w:instrText xml:space="preserve"> _</w:instrText>
      </w:r>
      <w:r w:rsidRPr="003B63CB">
        <w:rPr>
          <w:rStyle w:val="aff4"/>
          <w:rFonts w:hint="cs"/>
          <w:vanish/>
        </w:rPr>
        <w:instrText>Ref139928814 \r \h</w:instrText>
      </w:r>
      <w:r w:rsidRPr="003B63CB">
        <w:rPr>
          <w:rStyle w:val="aff4"/>
          <w:vanish/>
          <w:rtl/>
        </w:rPr>
        <w:instrText xml:space="preserve">  \* </w:instrText>
      </w:r>
      <w:r w:rsidRPr="003B63CB">
        <w:rPr>
          <w:rStyle w:val="aff4"/>
          <w:vanish/>
        </w:rPr>
        <w:instrText>MERGEFORMAT</w:instrText>
      </w:r>
      <w:r w:rsidRPr="003B63CB">
        <w:rPr>
          <w:rStyle w:val="aff4"/>
          <w:vanish/>
          <w:rtl/>
        </w:rPr>
        <w:instrText xml:space="preserve"> </w:instrText>
      </w:r>
      <w:r w:rsidRPr="003B63CB">
        <w:rPr>
          <w:rStyle w:val="aff4"/>
          <w:vanish/>
          <w:rtl/>
        </w:rPr>
      </w:r>
      <w:r w:rsidRPr="003B63CB">
        <w:rPr>
          <w:rStyle w:val="aff4"/>
          <w:vanish/>
          <w:rtl/>
        </w:rPr>
        <w:fldChar w:fldCharType="separate"/>
      </w:r>
      <w:r w:rsidR="00D82181">
        <w:rPr>
          <w:rStyle w:val="aff4"/>
          <w:vanish/>
          <w:cs/>
        </w:rPr>
        <w:t>‎</w:t>
      </w:r>
      <w:r w:rsidR="00D82181">
        <w:rPr>
          <w:rStyle w:val="aff4"/>
          <w:vanish/>
          <w:rtl/>
        </w:rPr>
        <w:t>יא)</w:t>
      </w:r>
      <w:r w:rsidRPr="003B63CB">
        <w:rPr>
          <w:rStyle w:val="aff4"/>
          <w:vanish/>
          <w:rtl/>
        </w:rPr>
        <w:fldChar w:fldCharType="end"/>
      </w:r>
      <w:r w:rsidRPr="003B63CB">
        <w:rPr>
          <w:rStyle w:val="aff4"/>
          <w:rFonts w:hint="cs"/>
          <w:vanish/>
          <w:rtl/>
        </w:rPr>
        <w:t xml:space="preserve"> &gt;</w:t>
      </w:r>
      <w:r w:rsidRPr="003B63CB">
        <w:rPr>
          <w:rStyle w:val="aff4"/>
          <w:rFonts w:hint="cs"/>
          <w:rtl/>
        </w:rPr>
        <w:t>אגלי טל</w:t>
      </w:r>
      <w:r w:rsidRPr="003B63CB">
        <w:rPr>
          <w:rStyle w:val="aff4"/>
          <w:rFonts w:hint="cs"/>
          <w:vanish/>
          <w:rtl/>
        </w:rPr>
        <w:t>-</w:t>
      </w:r>
      <w:r w:rsidRPr="003B63CB">
        <w:rPr>
          <w:rFonts w:hint="cs"/>
          <w:rtl/>
        </w:rPr>
        <w:t xml:space="preserve"> </w:t>
      </w:r>
      <w:r w:rsidRPr="003B63CB">
        <w:rPr>
          <w:rStyle w:val="af2"/>
          <w:rFonts w:eastAsia="Guttman Hodes" w:hint="cs"/>
          <w:rtl/>
        </w:rPr>
        <w:t>(חורש סקי"ב אות כ')</w:t>
      </w:r>
      <w:r w:rsidRPr="003B63CB">
        <w:rPr>
          <w:rFonts w:hint="cs"/>
          <w:vanish/>
          <w:rtl/>
        </w:rPr>
        <w:t>=</w:t>
      </w:r>
      <w:r w:rsidRPr="003B63CB">
        <w:rPr>
          <w:rFonts w:hint="cs"/>
          <w:rtl/>
        </w:rPr>
        <w:t xml:space="preserve"> את דברי </w:t>
      </w:r>
      <w:r w:rsidRPr="003B63CB">
        <w:rPr>
          <w:rStyle w:val="aff4"/>
          <w:rFonts w:hint="cs"/>
          <w:vanish/>
          <w:rtl/>
        </w:rPr>
        <w:t>-</w:t>
      </w:r>
      <w:r w:rsidRPr="003B63CB">
        <w:rPr>
          <w:rStyle w:val="aff4"/>
          <w:rFonts w:hint="cs"/>
          <w:rtl/>
        </w:rPr>
        <w:t>התוס'</w:t>
      </w:r>
      <w:r w:rsidRPr="003B63CB">
        <w:rPr>
          <w:rStyle w:val="aff4"/>
          <w:rFonts w:hint="cs"/>
          <w:vanish/>
          <w:rtl/>
        </w:rPr>
        <w:t>-</w:t>
      </w:r>
      <w:r w:rsidRPr="003B63CB">
        <w:rPr>
          <w:rFonts w:hint="cs"/>
          <w:rtl/>
        </w:rPr>
        <w:t xml:space="preserve"> </w:t>
      </w:r>
      <w:r w:rsidRPr="003B63CB">
        <w:rPr>
          <w:rStyle w:val="af2"/>
          <w:rFonts w:eastAsia="Guttman Hodes" w:hint="cs"/>
          <w:rtl/>
        </w:rPr>
        <w:t xml:space="preserve">(עי' אות </w:t>
      </w:r>
      <w:r w:rsidRPr="003B63CB">
        <w:rPr>
          <w:rStyle w:val="af2"/>
          <w:rFonts w:eastAsia="Guttman Hodes"/>
          <w:rtl/>
        </w:rPr>
        <w:fldChar w:fldCharType="begin"/>
      </w:r>
      <w:r w:rsidRPr="003B63CB">
        <w:rPr>
          <w:rStyle w:val="af2"/>
          <w:rFonts w:eastAsia="Guttman Hodes"/>
          <w:rtl/>
        </w:rPr>
        <w:instrText xml:space="preserve"> </w:instrText>
      </w:r>
      <w:r w:rsidRPr="003B63CB">
        <w:rPr>
          <w:rStyle w:val="af2"/>
          <w:rFonts w:eastAsia="Guttman Hodes" w:hint="cs"/>
        </w:rPr>
        <w:instrText>REF</w:instrText>
      </w:r>
      <w:r w:rsidRPr="003B63CB">
        <w:rPr>
          <w:rStyle w:val="af2"/>
          <w:rFonts w:eastAsia="Guttman Hodes" w:hint="cs"/>
          <w:rtl/>
        </w:rPr>
        <w:instrText xml:space="preserve"> _</w:instrText>
      </w:r>
      <w:r w:rsidRPr="003B63CB">
        <w:rPr>
          <w:rStyle w:val="af2"/>
          <w:rFonts w:eastAsia="Guttman Hodes" w:hint="cs"/>
        </w:rPr>
        <w:instrText>Ref140056572 \r \h</w:instrText>
      </w:r>
      <w:r w:rsidRPr="003B63CB">
        <w:rPr>
          <w:rStyle w:val="af2"/>
          <w:rFonts w:eastAsia="Guttman Hodes"/>
          <w:rtl/>
        </w:rPr>
        <w:instrText xml:space="preserve">  \* </w:instrText>
      </w:r>
      <w:r w:rsidRPr="003B63CB">
        <w:rPr>
          <w:rStyle w:val="af2"/>
          <w:rFonts w:eastAsia="Guttman Hodes"/>
        </w:rPr>
        <w:instrText>MERGEFORMAT</w:instrText>
      </w:r>
      <w:r w:rsidRPr="003B63CB">
        <w:rPr>
          <w:rStyle w:val="af2"/>
          <w:rFonts w:eastAsia="Guttman Hodes"/>
          <w:rtl/>
        </w:rPr>
        <w:instrText xml:space="preserve"> </w:instrText>
      </w:r>
      <w:r w:rsidRPr="003B63CB">
        <w:rPr>
          <w:rStyle w:val="af2"/>
          <w:rFonts w:eastAsia="Guttman Hodes"/>
          <w:rtl/>
        </w:rPr>
      </w:r>
      <w:r w:rsidRPr="003B63CB">
        <w:rPr>
          <w:rStyle w:val="af2"/>
          <w:rFonts w:eastAsia="Guttman Hodes"/>
          <w:rtl/>
        </w:rPr>
        <w:fldChar w:fldCharType="separate"/>
      </w:r>
      <w:r w:rsidR="00D82181">
        <w:rPr>
          <w:rStyle w:val="af2"/>
          <w:rFonts w:eastAsia="Guttman Hodes"/>
          <w:cs/>
        </w:rPr>
        <w:t>‎</w:t>
      </w:r>
      <w:r w:rsidR="00D82181">
        <w:rPr>
          <w:rStyle w:val="af2"/>
          <w:rFonts w:eastAsia="Guttman Hodes"/>
          <w:rtl/>
        </w:rPr>
        <w:t>י)</w:t>
      </w:r>
      <w:r w:rsidRPr="003B63CB">
        <w:rPr>
          <w:rStyle w:val="af2"/>
          <w:rFonts w:eastAsia="Guttman Hodes"/>
          <w:rtl/>
        </w:rPr>
        <w:fldChar w:fldCharType="end"/>
      </w:r>
      <w:r w:rsidRPr="003B63CB">
        <w:rPr>
          <w:rFonts w:hint="cs"/>
          <w:rtl/>
        </w:rPr>
        <w:t xml:space="preserve"> דהוצאת הכיס אינה במעשה של עקירה והנחה, אלא בעקירת גופו כעקירת חפץ, וכיון דאינו עוקר את גופו לצורך הכיס כלל, דבשביל למנות את ראיותיו א"צ לעקור ממקומו, לכן העקירה שעוקר והליכתו שהלך ברה"ר לא חשיבא לצורך המלאכה, והוי מלאכה שאינה צריכה לגופה,</w:t>
      </w:r>
      <w:bookmarkEnd w:id="3641"/>
      <w:r w:rsidRPr="003B63CB">
        <w:rPr>
          <w:rFonts w:hint="cs"/>
          <w:rtl/>
        </w:rPr>
        <w:t xml:space="preserve"> </w:t>
      </w:r>
    </w:p>
    <w:bookmarkEnd w:id="3633"/>
    <w:p w14:paraId="4BB2088F" w14:textId="77777777" w:rsidR="002748A5" w:rsidRPr="00747170" w:rsidRDefault="002748A5" w:rsidP="00747170">
      <w:pPr>
        <w:pStyle w:val="a2"/>
      </w:pPr>
      <w:r w:rsidRPr="00747170">
        <w:rPr>
          <w:rtl/>
        </w:rPr>
        <w:t>(כ) ונראה דיש לפשוט ספק זה מהא דכתבו התוספות במכילתין צ"ד. בהא דזב היוצא בכיסו חשוב משאצל"ג. דאפילו יוצא בכיסו למנות ראיותיו או נקיים דצריך להכיס נמי חשוב מלאכה שא"צ לגופה. משום דמ"מ א"צ להוצאה זו דהכי נמי סגי לי' אי יתיב בחד דוכתא. וכן כתב בספר יראים במלאכת מכבה [סי' רעד, דף קמא ב] ע"ש היטב. ביאור הדברים דהוא לא עקר הכיס ולא הניח. רק תאמר דעקירת והנחת גופו כעקירת והנחת חפץ במקומו דמי. הרי לא עקר גופו בשביל החפץ כלל. דהא סגי ליה אי יתיב בחד דוכתא. וא"כ הרי היא מלאכה שאינה צריכה לגופה. הנה דאף דהוצאה היא המלאכה לצורך הכיס. מ"מ כיון שהלוכו לרה"ר שבזה נעשה ההוצאה אינו צריך לגופה. חשוב אינה צריכה לגופה.</w:t>
      </w:r>
    </w:p>
    <w:p w14:paraId="07FF3975" w14:textId="77777777" w:rsidR="002748A5" w:rsidRPr="003110A7" w:rsidRDefault="002748A5" w:rsidP="002748A5">
      <w:pPr>
        <w:pStyle w:val="afffffb"/>
        <w:rPr>
          <w:rtl/>
        </w:rPr>
      </w:pPr>
      <w:r w:rsidRPr="003110A7">
        <w:rPr>
          <w:rtl/>
        </w:rPr>
        <w:t>תוספות שבת צ"ד ע"א</w:t>
      </w:r>
      <w:r w:rsidRPr="003110A7">
        <w:rPr>
          <w:rFonts w:hint="cs"/>
          <w:rtl/>
        </w:rPr>
        <w:t xml:space="preserve"> ד"ה ר"ש</w:t>
      </w:r>
    </w:p>
    <w:p w14:paraId="654BF95F" w14:textId="77777777" w:rsidR="002748A5" w:rsidRPr="003B63CB" w:rsidRDefault="002748A5" w:rsidP="002748A5">
      <w:pPr>
        <w:pStyle w:val="a7"/>
        <w:rPr>
          <w:rtl/>
        </w:rPr>
      </w:pPr>
      <w:bookmarkStart w:id="3642" w:name="_Toc140075695"/>
      <w:bookmarkStart w:id="3643" w:name="_Toc140077784"/>
      <w:bookmarkStart w:id="3644" w:name="_Toc140092084"/>
      <w:bookmarkStart w:id="3645" w:name="_Toc140099745"/>
      <w:bookmarkStart w:id="3646" w:name="_Toc140144284"/>
      <w:bookmarkStart w:id="3647" w:name="_Toc140144515"/>
      <w:r w:rsidRPr="003B63CB">
        <w:rPr>
          <w:rFonts w:hint="cs"/>
          <w:rtl/>
        </w:rPr>
        <w:t>בי' התוס' דכיבוי הוי משאצל"ג דל"ד לכיבוי במשכן דלצורך פחמים ולא היה כיבוי שלא יקדיח</w:t>
      </w:r>
      <w:bookmarkEnd w:id="3642"/>
      <w:bookmarkEnd w:id="3643"/>
      <w:bookmarkEnd w:id="3644"/>
      <w:bookmarkEnd w:id="3645"/>
      <w:bookmarkEnd w:id="3646"/>
      <w:bookmarkEnd w:id="3647"/>
    </w:p>
    <w:p w14:paraId="2EAA905F" w14:textId="77777777" w:rsidR="002748A5" w:rsidRPr="003B63CB" w:rsidRDefault="002748A5" w:rsidP="00BC7DC8">
      <w:pPr>
        <w:pStyle w:val="a3"/>
      </w:pPr>
      <w:r w:rsidRPr="003B63CB">
        <w:rPr>
          <w:rFonts w:hint="cs"/>
          <w:rtl/>
        </w:rPr>
        <w:t xml:space="preserve">וכתבו </w:t>
      </w:r>
      <w:r w:rsidRPr="003B63CB">
        <w:rPr>
          <w:rStyle w:val="aff4"/>
          <w:rFonts w:hint="cs"/>
          <w:vanish/>
          <w:rtl/>
        </w:rPr>
        <w:t>-</w:t>
      </w:r>
      <w:r w:rsidRPr="003B63CB">
        <w:rPr>
          <w:rStyle w:val="aff4"/>
          <w:rFonts w:hint="cs"/>
          <w:rtl/>
        </w:rPr>
        <w:t>התוס'</w:t>
      </w:r>
      <w:r w:rsidRPr="003B63CB">
        <w:rPr>
          <w:rStyle w:val="aff4"/>
          <w:rFonts w:hint="cs"/>
          <w:vanish/>
          <w:rtl/>
        </w:rPr>
        <w:t>-</w:t>
      </w:r>
      <w:r w:rsidRPr="003B63CB">
        <w:rPr>
          <w:rFonts w:hint="cs"/>
          <w:rtl/>
        </w:rPr>
        <w:t xml:space="preserve"> דהא דאיתא בגמ' לעיל </w:t>
      </w:r>
      <w:r w:rsidRPr="003B63CB">
        <w:rPr>
          <w:rStyle w:val="af2"/>
          <w:rFonts w:eastAsia="Guttman Hodes" w:hint="cs"/>
          <w:rtl/>
        </w:rPr>
        <w:t>(מב.)</w:t>
      </w:r>
      <w:r w:rsidRPr="003B63CB">
        <w:rPr>
          <w:rFonts w:hint="cs"/>
          <w:rtl/>
        </w:rPr>
        <w:t xml:space="preserve"> דמכבה גחלת שלא יזוקו בה רבים פטור לר"ש, וכן הא דאיתא בגמ' לעיל </w:t>
      </w:r>
      <w:r w:rsidRPr="003B63CB">
        <w:rPr>
          <w:rStyle w:val="af2"/>
          <w:rFonts w:eastAsia="Guttman Hodes" w:hint="cs"/>
          <w:rtl/>
        </w:rPr>
        <w:t>(לא:)</w:t>
      </w:r>
      <w:r w:rsidRPr="003B63CB">
        <w:rPr>
          <w:rFonts w:hint="cs"/>
          <w:rtl/>
        </w:rPr>
        <w:t xml:space="preserve"> המכבה וחס על הנר או על השמן, או על הפתילה שהבהבה פטור לר"ש, הוא כיון דלא דמי לצורך שהיה במשכן שהיו צריכין את הכיבוי עצמו לעשיית פחמים, דע"י הכיבוי מתקנים את הפחמים למלאכת הצורפין, ובאלו הכיבוי הוא לצורך אחר, והוסיפו </w:t>
      </w:r>
      <w:r w:rsidRPr="003B63CB">
        <w:rPr>
          <w:rStyle w:val="aff4"/>
          <w:rFonts w:hint="cs"/>
          <w:vanish/>
          <w:rtl/>
        </w:rPr>
        <w:t>-</w:t>
      </w:r>
      <w:r w:rsidRPr="003B63CB">
        <w:rPr>
          <w:rStyle w:val="aff4"/>
          <w:rFonts w:hint="cs"/>
          <w:rtl/>
        </w:rPr>
        <w:t>התוס'</w:t>
      </w:r>
      <w:r w:rsidRPr="003B63CB">
        <w:rPr>
          <w:rStyle w:val="aff4"/>
          <w:rFonts w:hint="cs"/>
          <w:vanish/>
          <w:rtl/>
        </w:rPr>
        <w:t>-</w:t>
      </w:r>
      <w:r w:rsidRPr="003B63CB">
        <w:rPr>
          <w:rFonts w:hint="cs"/>
          <w:rtl/>
        </w:rPr>
        <w:t xml:space="preserve"> דלא היה כיבוי במשכן בכדי שלא יקדיחו התבשילים, כיון שהיו זהירים שלא להרבות אש יותר מידי, ועי' </w:t>
      </w:r>
      <w:r w:rsidRPr="003B63CB">
        <w:rPr>
          <w:rStyle w:val="aff4"/>
          <w:rFonts w:hint="cs"/>
          <w:vanish/>
          <w:rtl/>
        </w:rPr>
        <w:t>-</w:t>
      </w:r>
      <w:r w:rsidRPr="003B63CB">
        <w:rPr>
          <w:rStyle w:val="aff4"/>
          <w:rFonts w:hint="cs"/>
          <w:rtl/>
        </w:rPr>
        <w:t>ב</w:t>
      </w:r>
      <w:r w:rsidRPr="003B63CB">
        <w:rPr>
          <w:rStyle w:val="aff4"/>
          <w:rFonts w:hint="cs"/>
          <w:vanish/>
          <w:rtl/>
        </w:rPr>
        <w:t>&lt; &gt;</w:t>
      </w:r>
      <w:r w:rsidRPr="003B63CB">
        <w:rPr>
          <w:rStyle w:val="aff4"/>
          <w:rFonts w:hint="cs"/>
          <w:rtl/>
        </w:rPr>
        <w:t>גר"ז</w:t>
      </w:r>
      <w:r w:rsidRPr="003B63CB">
        <w:rPr>
          <w:rStyle w:val="aff4"/>
          <w:rFonts w:hint="cs"/>
          <w:vanish/>
          <w:rtl/>
        </w:rPr>
        <w:t>-</w:t>
      </w:r>
      <w:r w:rsidRPr="003B63CB">
        <w:rPr>
          <w:rFonts w:hint="cs"/>
          <w:rtl/>
        </w:rPr>
        <w:t xml:space="preserve"> </w:t>
      </w:r>
      <w:r w:rsidRPr="003B63CB">
        <w:rPr>
          <w:rStyle w:val="af2"/>
          <w:rFonts w:eastAsia="Guttman Hodes" w:hint="cs"/>
          <w:rtl/>
        </w:rPr>
        <w:t>(סי' רע"ח א' ב')</w:t>
      </w:r>
      <w:r w:rsidRPr="003B63CB">
        <w:rPr>
          <w:rFonts w:hint="cs"/>
          <w:vanish/>
          <w:rtl/>
        </w:rPr>
        <w:t>=</w:t>
      </w:r>
      <w:r w:rsidRPr="003B63CB">
        <w:rPr>
          <w:rFonts w:hint="cs"/>
          <w:rtl/>
        </w:rPr>
        <w:t xml:space="preserve"> דפסק כדברי </w:t>
      </w:r>
      <w:r w:rsidRPr="003B63CB">
        <w:rPr>
          <w:rStyle w:val="aff4"/>
          <w:rFonts w:hint="cs"/>
          <w:vanish/>
          <w:rtl/>
        </w:rPr>
        <w:t>-</w:t>
      </w:r>
      <w:r w:rsidRPr="003B63CB">
        <w:rPr>
          <w:rStyle w:val="aff4"/>
          <w:rFonts w:hint="cs"/>
          <w:rtl/>
        </w:rPr>
        <w:t>התוס'</w:t>
      </w:r>
      <w:r w:rsidRPr="003B63CB">
        <w:rPr>
          <w:rStyle w:val="aff4"/>
          <w:rFonts w:hint="cs"/>
          <w:vanish/>
          <w:rtl/>
        </w:rPr>
        <w:t>-</w:t>
      </w:r>
      <w:r w:rsidRPr="003B63CB">
        <w:rPr>
          <w:rFonts w:hint="cs"/>
          <w:rtl/>
        </w:rPr>
        <w:t>.</w:t>
      </w:r>
    </w:p>
    <w:p w14:paraId="607164B3" w14:textId="77777777" w:rsidR="002748A5" w:rsidRPr="00747170" w:rsidRDefault="002748A5" w:rsidP="00747170">
      <w:pPr>
        <w:pStyle w:val="a2"/>
        <w:rPr>
          <w:rtl/>
        </w:rPr>
      </w:pPr>
      <w:r w:rsidRPr="00747170">
        <w:rPr>
          <w:rtl/>
        </w:rPr>
        <w:t>ומכבה גחלת שלא יזוקו בה רבים וכחס על הנר ועל השמן או על הפתילה המהובהבת כבר אין צריכין לגופן שבמשכן לא היה כיבוי אלא לעשות פחמין בכיבוי זה ומתקנין על יד כיבוי זה שיהו ראויין למלאכת הצורפין וכיבוי כדי שלא יקדיחו הסממנין בבישולן לא היה במשכן כי זהירים היו שלא להרבות אש יותר מדאי</w:t>
      </w:r>
      <w:r w:rsidRPr="00747170">
        <w:rPr>
          <w:rFonts w:hint="cs"/>
          <w:rtl/>
        </w:rPr>
        <w:t>.</w:t>
      </w:r>
    </w:p>
    <w:p w14:paraId="79311F36" w14:textId="0D82B12A" w:rsidR="002748A5" w:rsidRPr="003B63CB" w:rsidRDefault="002748A5" w:rsidP="002748A5">
      <w:pPr>
        <w:pStyle w:val="a7"/>
        <w:rPr>
          <w:rtl/>
        </w:rPr>
      </w:pPr>
      <w:bookmarkStart w:id="3648" w:name="_Toc140075696"/>
      <w:bookmarkStart w:id="3649" w:name="_Toc140077785"/>
      <w:bookmarkStart w:id="3650" w:name="_Toc140092085"/>
      <w:bookmarkStart w:id="3651" w:name="_Toc140099746"/>
      <w:bookmarkStart w:id="3652" w:name="_Toc140144285"/>
      <w:bookmarkStart w:id="3653" w:name="_Toc140144516"/>
      <w:r w:rsidRPr="003B63CB">
        <w:rPr>
          <w:rFonts w:hint="cs"/>
          <w:rtl/>
        </w:rPr>
        <w:t>בי' התוס' דסותר ע"מ לבנות לר"ש חייב רק כשסותר בכדי לתקן יותר ממה שהיה בנוי בתחילה</w:t>
      </w:r>
      <w:bookmarkEnd w:id="3648"/>
      <w:bookmarkEnd w:id="3649"/>
      <w:bookmarkEnd w:id="3650"/>
      <w:bookmarkEnd w:id="3651"/>
      <w:bookmarkEnd w:id="3652"/>
      <w:bookmarkEnd w:id="3653"/>
    </w:p>
    <w:p w14:paraId="6C8741F1" w14:textId="77777777" w:rsidR="002748A5" w:rsidRPr="003B63CB" w:rsidRDefault="002748A5" w:rsidP="00BC7DC8">
      <w:pPr>
        <w:pStyle w:val="a3"/>
      </w:pPr>
      <w:bookmarkStart w:id="3654" w:name="_Ref140073826"/>
      <w:r w:rsidRPr="003B63CB">
        <w:rPr>
          <w:rFonts w:hint="cs"/>
          <w:rtl/>
        </w:rPr>
        <w:t xml:space="preserve">ובהא דאיתא בגמ' לעיל </w:t>
      </w:r>
      <w:r w:rsidRPr="003B63CB">
        <w:rPr>
          <w:rStyle w:val="af2"/>
          <w:rFonts w:eastAsia="Guttman Hodes" w:hint="cs"/>
          <w:rtl/>
        </w:rPr>
        <w:t>(לא:)</w:t>
      </w:r>
      <w:r w:rsidRPr="003B63CB">
        <w:rPr>
          <w:rFonts w:hint="cs"/>
          <w:rtl/>
        </w:rPr>
        <w:t xml:space="preserve"> דהסותר ע"מ לבנות פטור לר"ש, דהוי מלאכה שאינה צריכה לגופה, ביארו </w:t>
      </w:r>
      <w:r w:rsidRPr="003B63CB">
        <w:rPr>
          <w:rStyle w:val="aff4"/>
          <w:rFonts w:hint="cs"/>
          <w:vanish/>
          <w:rtl/>
        </w:rPr>
        <w:t>-</w:t>
      </w:r>
      <w:r w:rsidRPr="003B63CB">
        <w:rPr>
          <w:rStyle w:val="aff4"/>
          <w:rFonts w:hint="cs"/>
          <w:rtl/>
        </w:rPr>
        <w:t>התוס'</w:t>
      </w:r>
      <w:r w:rsidRPr="003B63CB">
        <w:rPr>
          <w:rStyle w:val="aff4"/>
          <w:rFonts w:hint="cs"/>
          <w:vanish/>
          <w:rtl/>
        </w:rPr>
        <w:t>-</w:t>
      </w:r>
      <w:r w:rsidRPr="003B63CB">
        <w:rPr>
          <w:rFonts w:hint="cs"/>
          <w:rtl/>
        </w:rPr>
        <w:t xml:space="preserve"> דמוכח בגמ' לעיל דס"ל לר"ש דחיוב סותר הוא דוקא במקום שהסתירה היא בשביל לתקן יותר מהבנין שהיה לפני הסתירה.</w:t>
      </w:r>
      <w:bookmarkEnd w:id="3654"/>
    </w:p>
    <w:p w14:paraId="1BF9A6F9" w14:textId="77777777" w:rsidR="002748A5" w:rsidRPr="00747170" w:rsidRDefault="002748A5" w:rsidP="00747170">
      <w:pPr>
        <w:pStyle w:val="a2"/>
        <w:rPr>
          <w:rtl/>
        </w:rPr>
      </w:pPr>
      <w:r w:rsidRPr="00747170">
        <w:rPr>
          <w:rtl/>
        </w:rPr>
        <w:t>וכן סותר ע"מ לבנות נמי לא מחייב ר' שמעון דבעי שתהא צריכה לגופה אלא כגון שסותר ע"מ לתקן יותר ממה שהיה בתחלה כגון שהבנין האחרון טוב מן הראשון כדמוכח בשמעתין דחס על הנר</w:t>
      </w:r>
      <w:r w:rsidRPr="00747170">
        <w:rPr>
          <w:rFonts w:hint="cs"/>
          <w:rtl/>
        </w:rPr>
        <w:t>.</w:t>
      </w:r>
    </w:p>
    <w:p w14:paraId="53877200" w14:textId="7060A2DC" w:rsidR="002748A5" w:rsidRPr="00C12F78" w:rsidRDefault="002748A5" w:rsidP="002748A5">
      <w:pPr>
        <w:pStyle w:val="afffff7"/>
        <w:rPr>
          <w:rtl/>
        </w:rPr>
      </w:pPr>
      <w:bookmarkStart w:id="3655" w:name="_Toc140144390"/>
      <w:bookmarkStart w:id="3656" w:name="_Toc140144867"/>
      <w:bookmarkStart w:id="3657" w:name="_Toc163505982"/>
      <w:r w:rsidRPr="00C12F78">
        <w:rPr>
          <w:rtl/>
        </w:rPr>
        <w:t>תוספות שבת ל"א ע"ב</w:t>
      </w:r>
      <w:r w:rsidRPr="00C12F78">
        <w:rPr>
          <w:rFonts w:hint="cs"/>
          <w:rtl/>
        </w:rPr>
        <w:t xml:space="preserve"> ד"ה וסותר</w:t>
      </w:r>
      <w:bookmarkEnd w:id="3657"/>
      <w:r w:rsidRPr="00C12F78">
        <w:rPr>
          <w:vanish/>
          <w:rtl/>
        </w:rPr>
        <w:t xml:space="preserve"> (ט)</w:t>
      </w:r>
      <w:bookmarkEnd w:id="3655"/>
      <w:bookmarkEnd w:id="3656"/>
    </w:p>
    <w:p w14:paraId="0E2D5826" w14:textId="77777777" w:rsidR="002748A5" w:rsidRPr="003B63CB" w:rsidRDefault="002748A5" w:rsidP="002748A5">
      <w:pPr>
        <w:pStyle w:val="a7"/>
        <w:rPr>
          <w:rtl/>
        </w:rPr>
      </w:pPr>
      <w:bookmarkStart w:id="3658" w:name="_Toc140075697"/>
      <w:bookmarkStart w:id="3659" w:name="_Toc140077786"/>
      <w:bookmarkStart w:id="3660" w:name="_Toc140092086"/>
      <w:bookmarkStart w:id="3661" w:name="_Toc140099747"/>
      <w:bookmarkStart w:id="3662" w:name="_Toc140144286"/>
      <w:bookmarkStart w:id="3663" w:name="_Toc140144517"/>
      <w:r>
        <w:rPr>
          <w:rFonts w:hint="cs"/>
          <w:rtl/>
        </w:rPr>
        <w:t>בי' התוס' לעיל דבכיבוי בסותר ע"מ לבנות כשיש תיקון גדול יותר ממה שהיה כפחמין במשכן</w:t>
      </w:r>
      <w:bookmarkEnd w:id="3658"/>
      <w:bookmarkEnd w:id="3659"/>
      <w:bookmarkEnd w:id="3660"/>
      <w:bookmarkEnd w:id="3661"/>
      <w:bookmarkEnd w:id="3662"/>
      <w:bookmarkEnd w:id="3663"/>
      <w:r>
        <w:rPr>
          <w:rFonts w:hint="cs"/>
          <w:rtl/>
        </w:rPr>
        <w:t xml:space="preserve"> </w:t>
      </w:r>
    </w:p>
    <w:p w14:paraId="7C9B5DBA" w14:textId="6177DC83" w:rsidR="002748A5" w:rsidRPr="003B63CB" w:rsidRDefault="002748A5" w:rsidP="00BC7DC8">
      <w:pPr>
        <w:pStyle w:val="a3"/>
        <w:rPr>
          <w:rStyle w:val="af"/>
        </w:rPr>
      </w:pPr>
      <w:bookmarkStart w:id="3664" w:name="_Ref139486135"/>
      <w:r w:rsidRPr="003B63CB">
        <w:rPr>
          <w:rFonts w:hint="cs"/>
          <w:rtl/>
        </w:rPr>
        <w:t xml:space="preserve">בדברי עולא לעיל </w:t>
      </w:r>
      <w:r w:rsidRPr="005F6D9E">
        <w:rPr>
          <w:rStyle w:val="af2"/>
          <w:rFonts w:eastAsia="Guttman Hodes" w:hint="cs"/>
          <w:rtl/>
        </w:rPr>
        <w:t>(לא:)</w:t>
      </w:r>
      <w:r w:rsidRPr="003B63CB">
        <w:rPr>
          <w:rFonts w:hint="cs"/>
          <w:rtl/>
        </w:rPr>
        <w:t xml:space="preserve"> דבכיבוי בחס על הפתילה מחייב רבי יוסי, דהוא סותר ע"מ לבנות במקומו, כתבו </w:t>
      </w:r>
      <w:r w:rsidRPr="005F6D9E">
        <w:rPr>
          <w:rStyle w:val="aff4"/>
          <w:rFonts w:hint="cs"/>
          <w:vanish/>
          <w:rtl/>
        </w:rPr>
        <w:t>-</w:t>
      </w:r>
      <w:r w:rsidRPr="003B63CB">
        <w:rPr>
          <w:rStyle w:val="aff4"/>
          <w:rFonts w:hint="cs"/>
          <w:rtl/>
        </w:rPr>
        <w:t>ה</w:t>
      </w:r>
      <w:r w:rsidRPr="005F6D9E">
        <w:rPr>
          <w:rStyle w:val="aff4"/>
          <w:rFonts w:hint="cs"/>
          <w:vanish/>
          <w:rtl/>
        </w:rPr>
        <w:t xml:space="preserve">&lt;, </w:t>
      </w:r>
      <w:r w:rsidRPr="005F6D9E">
        <w:rPr>
          <w:rStyle w:val="aff4"/>
          <w:vanish/>
          <w:rtl/>
        </w:rPr>
        <w:fldChar w:fldCharType="begin"/>
      </w:r>
      <w:r w:rsidRPr="005F6D9E">
        <w:rPr>
          <w:rStyle w:val="aff4"/>
          <w:vanish/>
          <w:rtl/>
        </w:rPr>
        <w:instrText xml:space="preserve"> </w:instrText>
      </w:r>
      <w:r w:rsidRPr="005F6D9E">
        <w:rPr>
          <w:rStyle w:val="aff4"/>
          <w:rFonts w:hint="cs"/>
          <w:vanish/>
        </w:rPr>
        <w:instrText>REF</w:instrText>
      </w:r>
      <w:r w:rsidRPr="005F6D9E">
        <w:rPr>
          <w:rStyle w:val="aff4"/>
          <w:rFonts w:hint="cs"/>
          <w:vanish/>
          <w:rtl/>
        </w:rPr>
        <w:instrText xml:space="preserve"> _</w:instrText>
      </w:r>
      <w:r w:rsidRPr="005F6D9E">
        <w:rPr>
          <w:rStyle w:val="aff4"/>
          <w:rFonts w:hint="cs"/>
          <w:vanish/>
        </w:rPr>
        <w:instrText>Ref139486135 \r \h</w:instrText>
      </w:r>
      <w:r w:rsidRPr="005F6D9E">
        <w:rPr>
          <w:rStyle w:val="aff4"/>
          <w:vanish/>
          <w:rtl/>
        </w:rPr>
        <w:instrText xml:space="preserve">  \* </w:instrText>
      </w:r>
      <w:r w:rsidRPr="005F6D9E">
        <w:rPr>
          <w:rStyle w:val="aff4"/>
          <w:vanish/>
        </w:rPr>
        <w:instrText>MERGEFORMAT</w:instrText>
      </w:r>
      <w:r w:rsidRPr="005F6D9E">
        <w:rPr>
          <w:rStyle w:val="aff4"/>
          <w:vanish/>
          <w:rtl/>
        </w:rPr>
        <w:instrText xml:space="preserve"> </w:instrText>
      </w:r>
      <w:r w:rsidRPr="005F6D9E">
        <w:rPr>
          <w:rStyle w:val="aff4"/>
          <w:vanish/>
          <w:rtl/>
        </w:rPr>
      </w:r>
      <w:r w:rsidRPr="005F6D9E">
        <w:rPr>
          <w:rStyle w:val="aff4"/>
          <w:vanish/>
          <w:rtl/>
        </w:rPr>
        <w:fldChar w:fldCharType="separate"/>
      </w:r>
      <w:r w:rsidR="00D82181">
        <w:rPr>
          <w:rStyle w:val="aff4"/>
          <w:vanish/>
          <w:cs/>
        </w:rPr>
        <w:t>‎</w:t>
      </w:r>
      <w:r w:rsidR="00D82181">
        <w:rPr>
          <w:rStyle w:val="aff4"/>
          <w:vanish/>
          <w:rtl/>
        </w:rPr>
        <w:t>יד)</w:t>
      </w:r>
      <w:r w:rsidRPr="005F6D9E">
        <w:rPr>
          <w:rStyle w:val="aff4"/>
          <w:vanish/>
          <w:rtl/>
        </w:rPr>
        <w:fldChar w:fldCharType="end"/>
      </w:r>
      <w:r w:rsidRPr="005F6D9E">
        <w:rPr>
          <w:rStyle w:val="aff4"/>
          <w:rFonts w:hint="cs"/>
          <w:vanish/>
          <w:rtl/>
        </w:rPr>
        <w:t xml:space="preserve"> &gt;</w:t>
      </w:r>
      <w:r w:rsidRPr="003B63CB">
        <w:rPr>
          <w:rStyle w:val="aff4"/>
          <w:rFonts w:hint="cs"/>
          <w:rtl/>
        </w:rPr>
        <w:t>תוס'</w:t>
      </w:r>
      <w:r w:rsidRPr="0006582C">
        <w:rPr>
          <w:rStyle w:val="aff4"/>
          <w:rFonts w:hint="cs"/>
          <w:rtl/>
        </w:rPr>
        <w:t xml:space="preserve"> </w:t>
      </w:r>
      <w:r>
        <w:rPr>
          <w:rStyle w:val="aff4"/>
          <w:rFonts w:hint="cs"/>
          <w:rtl/>
        </w:rPr>
        <w:t>לעיל</w:t>
      </w:r>
      <w:r w:rsidRPr="005F6D9E">
        <w:rPr>
          <w:rStyle w:val="aff4"/>
          <w:rFonts w:hint="cs"/>
          <w:vanish/>
          <w:rtl/>
        </w:rPr>
        <w:t xml:space="preserve"> -</w:t>
      </w:r>
      <w:r>
        <w:rPr>
          <w:rStyle w:val="aff4"/>
          <w:rFonts w:hint="cs"/>
          <w:rtl/>
        </w:rPr>
        <w:t xml:space="preserve"> </w:t>
      </w:r>
      <w:r w:rsidRPr="005F6D9E">
        <w:rPr>
          <w:rStyle w:val="af2"/>
          <w:rFonts w:eastAsia="Guttman Hodes" w:hint="cs"/>
          <w:rtl/>
        </w:rPr>
        <w:t>(לא: ד"ה וסותר)</w:t>
      </w:r>
      <w:r w:rsidRPr="005F6D9E">
        <w:rPr>
          <w:rFonts w:hint="cs"/>
          <w:vanish/>
          <w:rtl/>
        </w:rPr>
        <w:t>=</w:t>
      </w:r>
      <w:r w:rsidRPr="003B63CB">
        <w:rPr>
          <w:rFonts w:hint="cs"/>
          <w:rtl/>
        </w:rPr>
        <w:t xml:space="preserve"> דר"ש פוטר אף בסותר ע"מ לבנות במקומו, דהוי מלאכה שאינה צריכה לגופה, ומחייב רק כשע"י הסתירה יהיה תיקון במה שבונה אח"כ </w:t>
      </w:r>
      <w:r w:rsidRPr="003B63CB">
        <w:rPr>
          <w:rFonts w:hint="cs"/>
          <w:rtl/>
        </w:rPr>
        <w:t xml:space="preserve">יותר ממה שהיה בנוי בתחילה, כגון בפתילה שלא הבהבה דמחייב ר"ש, </w:t>
      </w:r>
      <w:r w:rsidRPr="003B63CB">
        <w:rPr>
          <w:rStyle w:val="af"/>
          <w:rFonts w:hint="cs"/>
          <w:rtl/>
        </w:rPr>
        <w:t>[דאחר שמהבהבה היא מתוקנת יותר ממה שהייתה],</w:t>
      </w:r>
      <w:r w:rsidRPr="003B63CB">
        <w:rPr>
          <w:rFonts w:hint="cs"/>
          <w:rtl/>
        </w:rPr>
        <w:t xml:space="preserve"> והקשו </w:t>
      </w:r>
      <w:r w:rsidRPr="005F6D9E">
        <w:rPr>
          <w:rStyle w:val="aff4"/>
          <w:rFonts w:hint="cs"/>
          <w:vanish/>
          <w:rtl/>
        </w:rPr>
        <w:t>-</w:t>
      </w:r>
      <w:r w:rsidRPr="003B63CB">
        <w:rPr>
          <w:rStyle w:val="aff4"/>
          <w:rFonts w:hint="cs"/>
          <w:rtl/>
        </w:rPr>
        <w:t>התוס'</w:t>
      </w:r>
      <w:r w:rsidRPr="005F6D9E">
        <w:rPr>
          <w:rStyle w:val="aff4"/>
          <w:rFonts w:hint="cs"/>
          <w:vanish/>
          <w:rtl/>
        </w:rPr>
        <w:t>-</w:t>
      </w:r>
      <w:r w:rsidRPr="003B63CB">
        <w:rPr>
          <w:rFonts w:hint="cs"/>
          <w:rtl/>
        </w:rPr>
        <w:t xml:space="preserve"> דא"כ היאך מחייב ר"ש בסותר, דבשלמא במכבה מחייב בפחמין, אבל בסותר לא שייך תיקון בסתירה יותר ממה שהלא היה בנוי כלל, ותירצו </w:t>
      </w:r>
      <w:r w:rsidRPr="005F6D9E">
        <w:rPr>
          <w:rStyle w:val="aff4"/>
          <w:rFonts w:hint="cs"/>
          <w:vanish/>
          <w:rtl/>
        </w:rPr>
        <w:t>-</w:t>
      </w:r>
      <w:r w:rsidRPr="003B63CB">
        <w:rPr>
          <w:rStyle w:val="aff4"/>
          <w:rFonts w:hint="cs"/>
          <w:rtl/>
        </w:rPr>
        <w:t>התוס'</w:t>
      </w:r>
      <w:r w:rsidRPr="005F6D9E">
        <w:rPr>
          <w:rStyle w:val="aff4"/>
          <w:rFonts w:hint="cs"/>
          <w:vanish/>
          <w:rtl/>
        </w:rPr>
        <w:t>-</w:t>
      </w:r>
      <w:r w:rsidRPr="003B63CB">
        <w:rPr>
          <w:rFonts w:hint="cs"/>
          <w:rtl/>
        </w:rPr>
        <w:t xml:space="preserve"> דכל המלאכות ילפינן ממשכן, ובמשכן היה סתירה אף כשלא היה בסתירה תיקון יותר ממה שהיה בתחילה, ולכן חייב אף לר"ש, משא"כ בכיבוי דהיה במשכן רק לפחמין.</w:t>
      </w:r>
      <w:bookmarkEnd w:id="3664"/>
      <w:r>
        <w:rPr>
          <w:rFonts w:hint="cs"/>
          <w:rtl/>
        </w:rPr>
        <w:t xml:space="preserve"> </w:t>
      </w:r>
      <w:r w:rsidRPr="003B63CB">
        <w:rPr>
          <w:rStyle w:val="af"/>
          <w:rFonts w:hint="cs"/>
          <w:rtl/>
        </w:rPr>
        <w:t xml:space="preserve">[ועי' במ"ש </w:t>
      </w:r>
      <w:r w:rsidRPr="003B63CB">
        <w:rPr>
          <w:rStyle w:val="aff9"/>
          <w:rFonts w:hint="cs"/>
          <w:vanish/>
          <w:rtl/>
        </w:rPr>
        <w:t>-</w:t>
      </w:r>
      <w:r w:rsidRPr="003B63CB">
        <w:rPr>
          <w:rStyle w:val="aff9"/>
          <w:rFonts w:hint="cs"/>
          <w:rtl/>
        </w:rPr>
        <w:t>ה</w:t>
      </w:r>
      <w:r w:rsidRPr="003B63CB">
        <w:rPr>
          <w:rStyle w:val="aff9"/>
          <w:rFonts w:hint="cs"/>
          <w:vanish/>
          <w:rtl/>
        </w:rPr>
        <w:t>&lt; &gt;</w:t>
      </w:r>
      <w:r w:rsidRPr="003B63CB">
        <w:rPr>
          <w:rStyle w:val="aff9"/>
          <w:rFonts w:hint="cs"/>
          <w:rtl/>
        </w:rPr>
        <w:t>מהרש"ל</w:t>
      </w:r>
      <w:r w:rsidRPr="003B63CB">
        <w:rPr>
          <w:rStyle w:val="aff9"/>
          <w:rFonts w:hint="cs"/>
          <w:vanish/>
          <w:rtl/>
        </w:rPr>
        <w:t>-</w:t>
      </w:r>
      <w:r w:rsidRPr="003B63CB">
        <w:rPr>
          <w:rStyle w:val="af"/>
          <w:rFonts w:hint="cs"/>
          <w:rtl/>
        </w:rPr>
        <w:t xml:space="preserve"> </w:t>
      </w:r>
      <w:r w:rsidRPr="003B63CB">
        <w:rPr>
          <w:rStyle w:val="aff0"/>
          <w:rFonts w:hint="cs"/>
          <w:rtl/>
        </w:rPr>
        <w:t>(ד"ה בא"ד קשה)</w:t>
      </w:r>
      <w:r w:rsidRPr="003B63CB">
        <w:rPr>
          <w:rStyle w:val="af"/>
          <w:rFonts w:hint="cs"/>
          <w:vanish/>
          <w:rtl/>
        </w:rPr>
        <w:t>=</w:t>
      </w:r>
      <w:r w:rsidRPr="003B63CB">
        <w:rPr>
          <w:rStyle w:val="af"/>
          <w:rFonts w:hint="cs"/>
          <w:rtl/>
        </w:rPr>
        <w:t xml:space="preserve"> </w:t>
      </w:r>
      <w:r w:rsidRPr="003B63CB">
        <w:rPr>
          <w:rStyle w:val="aff9"/>
          <w:rFonts w:hint="cs"/>
          <w:vanish/>
          <w:rtl/>
        </w:rPr>
        <w:t>-</w:t>
      </w:r>
      <w:r w:rsidRPr="003B63CB">
        <w:rPr>
          <w:rStyle w:val="aff9"/>
          <w:rFonts w:hint="cs"/>
          <w:rtl/>
        </w:rPr>
        <w:t>וה</w:t>
      </w:r>
      <w:r w:rsidRPr="003B63CB">
        <w:rPr>
          <w:rStyle w:val="aff9"/>
          <w:rFonts w:hint="cs"/>
          <w:vanish/>
          <w:rtl/>
        </w:rPr>
        <w:t>&lt; &gt;</w:t>
      </w:r>
      <w:r w:rsidRPr="003B63CB">
        <w:rPr>
          <w:rStyle w:val="aff9"/>
          <w:rFonts w:hint="cs"/>
          <w:rtl/>
        </w:rPr>
        <w:t>מהרש"א</w:t>
      </w:r>
      <w:r w:rsidRPr="003B63CB">
        <w:rPr>
          <w:rStyle w:val="aff9"/>
          <w:rFonts w:hint="cs"/>
          <w:vanish/>
          <w:rtl/>
        </w:rPr>
        <w:t>-</w:t>
      </w:r>
      <w:r w:rsidRPr="003B63CB">
        <w:rPr>
          <w:rStyle w:val="af"/>
          <w:rFonts w:hint="cs"/>
          <w:rtl/>
        </w:rPr>
        <w:t xml:space="preserve"> </w:t>
      </w:r>
      <w:r w:rsidRPr="003B63CB">
        <w:rPr>
          <w:rStyle w:val="aff0"/>
          <w:rFonts w:hint="cs"/>
          <w:rtl/>
        </w:rPr>
        <w:t>(על תוד"ה ר"ש)</w:t>
      </w:r>
      <w:r w:rsidRPr="003B63CB">
        <w:rPr>
          <w:rStyle w:val="af"/>
          <w:rFonts w:hint="cs"/>
          <w:vanish/>
          <w:rtl/>
        </w:rPr>
        <w:t>=</w:t>
      </w:r>
      <w:r w:rsidRPr="003B63CB">
        <w:rPr>
          <w:rStyle w:val="af"/>
          <w:rFonts w:hint="cs"/>
          <w:rtl/>
        </w:rPr>
        <w:t xml:space="preserve"> </w:t>
      </w:r>
      <w:r w:rsidRPr="003B63CB">
        <w:rPr>
          <w:rStyle w:val="aff9"/>
          <w:rFonts w:hint="cs"/>
          <w:vanish/>
          <w:rtl/>
        </w:rPr>
        <w:t>-</w:t>
      </w:r>
      <w:r w:rsidRPr="003B63CB">
        <w:rPr>
          <w:rStyle w:val="aff9"/>
          <w:rFonts w:hint="cs"/>
          <w:rtl/>
        </w:rPr>
        <w:t>וה</w:t>
      </w:r>
      <w:r w:rsidRPr="003B63CB">
        <w:rPr>
          <w:rStyle w:val="aff9"/>
          <w:rFonts w:hint="cs"/>
          <w:vanish/>
          <w:rtl/>
        </w:rPr>
        <w:t>&lt; &gt;</w:t>
      </w:r>
      <w:r w:rsidRPr="003B63CB">
        <w:rPr>
          <w:rStyle w:val="aff9"/>
          <w:rFonts w:hint="cs"/>
          <w:rtl/>
        </w:rPr>
        <w:t>כפות תמרים</w:t>
      </w:r>
      <w:r w:rsidRPr="003B63CB">
        <w:rPr>
          <w:rStyle w:val="aff9"/>
          <w:rFonts w:hint="cs"/>
          <w:vanish/>
          <w:rtl/>
        </w:rPr>
        <w:t>-</w:t>
      </w:r>
      <w:r w:rsidRPr="003B63CB">
        <w:rPr>
          <w:rStyle w:val="af"/>
          <w:rFonts w:hint="cs"/>
          <w:rtl/>
        </w:rPr>
        <w:t xml:space="preserve"> </w:t>
      </w:r>
      <w:r w:rsidRPr="003B63CB">
        <w:rPr>
          <w:rStyle w:val="aff0"/>
          <w:rFonts w:hint="cs"/>
          <w:rtl/>
        </w:rPr>
        <w:t xml:space="preserve">(עי' אות </w:t>
      </w:r>
      <w:r w:rsidRPr="003B63CB">
        <w:rPr>
          <w:rStyle w:val="aff0"/>
          <w:rtl/>
        </w:rPr>
        <w:fldChar w:fldCharType="begin"/>
      </w:r>
      <w:r w:rsidRPr="003B63CB">
        <w:rPr>
          <w:rStyle w:val="aff0"/>
          <w:rtl/>
        </w:rPr>
        <w:instrText xml:space="preserve"> </w:instrText>
      </w:r>
      <w:r w:rsidRPr="003B63CB">
        <w:rPr>
          <w:rStyle w:val="aff0"/>
          <w:rFonts w:hint="cs"/>
        </w:rPr>
        <w:instrText>REF</w:instrText>
      </w:r>
      <w:r w:rsidRPr="003B63CB">
        <w:rPr>
          <w:rStyle w:val="aff0"/>
          <w:rFonts w:hint="cs"/>
          <w:rtl/>
        </w:rPr>
        <w:instrText xml:space="preserve"> _</w:instrText>
      </w:r>
      <w:r w:rsidRPr="003B63CB">
        <w:rPr>
          <w:rStyle w:val="aff0"/>
          <w:rFonts w:hint="cs"/>
        </w:rPr>
        <w:instrText>Ref139750874 \r \h</w:instrText>
      </w:r>
      <w:r w:rsidRPr="003B63CB">
        <w:rPr>
          <w:rStyle w:val="aff0"/>
          <w:rtl/>
        </w:rPr>
        <w:instrText xml:space="preserve">  \* </w:instrText>
      </w:r>
      <w:r w:rsidRPr="003B63CB">
        <w:rPr>
          <w:rStyle w:val="aff0"/>
        </w:rPr>
        <w:instrText>MERGEFORMAT</w:instrText>
      </w:r>
      <w:r w:rsidRPr="003B63CB">
        <w:rPr>
          <w:rStyle w:val="aff0"/>
          <w:rtl/>
        </w:rPr>
        <w:instrText xml:space="preserve"> </w:instrText>
      </w:r>
      <w:r w:rsidRPr="003B63CB">
        <w:rPr>
          <w:rStyle w:val="aff0"/>
          <w:rtl/>
        </w:rPr>
      </w:r>
      <w:r w:rsidRPr="003B63CB">
        <w:rPr>
          <w:rStyle w:val="aff0"/>
          <w:rtl/>
        </w:rPr>
        <w:fldChar w:fldCharType="separate"/>
      </w:r>
      <w:r w:rsidR="00D82181" w:rsidRPr="00D82181">
        <w:rPr>
          <w:rStyle w:val="aff0"/>
          <w:b/>
          <w:bCs/>
          <w:cs/>
        </w:rPr>
        <w:t>‎</w:t>
      </w:r>
      <w:r w:rsidR="00D82181" w:rsidRPr="00D82181">
        <w:rPr>
          <w:rStyle w:val="aff0"/>
          <w:b/>
          <w:bCs/>
          <w:rtl/>
        </w:rPr>
        <w:t>טו)</w:t>
      </w:r>
      <w:r w:rsidRPr="003B63CB">
        <w:rPr>
          <w:rStyle w:val="aff0"/>
          <w:rtl/>
        </w:rPr>
        <w:fldChar w:fldCharType="end"/>
      </w:r>
      <w:r w:rsidRPr="003B63CB">
        <w:rPr>
          <w:rStyle w:val="af"/>
          <w:rFonts w:hint="cs"/>
          <w:vanish/>
          <w:rtl/>
        </w:rPr>
        <w:t>=</w:t>
      </w:r>
      <w:r w:rsidRPr="003B63CB">
        <w:rPr>
          <w:rStyle w:val="af"/>
          <w:rFonts w:hint="cs"/>
          <w:rtl/>
        </w:rPr>
        <w:t xml:space="preserve"> דדברי</w:t>
      </w:r>
      <w:r w:rsidRPr="00B02839">
        <w:rPr>
          <w:rStyle w:val="aff9"/>
          <w:rFonts w:hint="cs"/>
          <w:rtl/>
        </w:rPr>
        <w:t xml:space="preserve"> </w:t>
      </w:r>
      <w:r w:rsidRPr="003B63CB">
        <w:rPr>
          <w:rStyle w:val="aff9"/>
          <w:rFonts w:hint="cs"/>
          <w:rtl/>
        </w:rPr>
        <w:t>התוס'</w:t>
      </w:r>
      <w:r w:rsidRPr="0006582C">
        <w:rPr>
          <w:rtl/>
        </w:rPr>
        <w:t xml:space="preserve"> </w:t>
      </w:r>
      <w:r w:rsidRPr="0006582C">
        <w:rPr>
          <w:rStyle w:val="aff9"/>
          <w:rtl/>
        </w:rPr>
        <w:t>לעיל</w:t>
      </w:r>
      <w:r w:rsidRPr="0006582C">
        <w:rPr>
          <w:rStyle w:val="aff9"/>
          <w:rFonts w:hint="cs"/>
          <w:vanish/>
          <w:rtl/>
        </w:rPr>
        <w:t xml:space="preserve"> </w:t>
      </w:r>
      <w:r w:rsidRPr="003B63CB">
        <w:rPr>
          <w:rStyle w:val="aff9"/>
          <w:rFonts w:hint="cs"/>
          <w:vanish/>
          <w:rtl/>
        </w:rPr>
        <w:t>-</w:t>
      </w:r>
      <w:r w:rsidRPr="003B63CB">
        <w:rPr>
          <w:rStyle w:val="af"/>
          <w:rFonts w:hint="cs"/>
          <w:rtl/>
        </w:rPr>
        <w:t xml:space="preserve"> [</w:t>
      </w:r>
      <w:r w:rsidRPr="003B63CB">
        <w:rPr>
          <w:rStyle w:val="aff9"/>
          <w:rFonts w:hint="cs"/>
          <w:vanish/>
          <w:rtl/>
        </w:rPr>
        <w:t>-</w:t>
      </w:r>
      <w:r w:rsidRPr="003B63CB">
        <w:rPr>
          <w:rStyle w:val="aff9"/>
          <w:rFonts w:hint="cs"/>
          <w:rtl/>
        </w:rPr>
        <w:t>לא:</w:t>
      </w:r>
      <w:r w:rsidRPr="003B63CB">
        <w:rPr>
          <w:rStyle w:val="aff9"/>
          <w:rFonts w:hint="cs"/>
          <w:vanish/>
          <w:rtl/>
        </w:rPr>
        <w:t>-</w:t>
      </w:r>
      <w:r w:rsidRPr="003B63CB">
        <w:rPr>
          <w:rStyle w:val="af"/>
          <w:rFonts w:hint="cs"/>
          <w:rtl/>
        </w:rPr>
        <w:t xml:space="preserve">]  </w:t>
      </w:r>
      <w:r w:rsidRPr="003B63CB">
        <w:rPr>
          <w:rStyle w:val="aff9"/>
          <w:rFonts w:hint="cs"/>
          <w:vanish/>
          <w:rtl/>
        </w:rPr>
        <w:t>-</w:t>
      </w:r>
      <w:r w:rsidRPr="003B63CB">
        <w:rPr>
          <w:rStyle w:val="af"/>
          <w:rFonts w:hint="cs"/>
          <w:rtl/>
        </w:rPr>
        <w:t xml:space="preserve">הם דלא כדברי </w:t>
      </w:r>
      <w:r w:rsidRPr="003B63CB">
        <w:rPr>
          <w:rStyle w:val="aff9"/>
          <w:rFonts w:hint="cs"/>
          <w:vanish/>
          <w:rtl/>
        </w:rPr>
        <w:t>-</w:t>
      </w:r>
      <w:r w:rsidRPr="003B63CB">
        <w:rPr>
          <w:rStyle w:val="aff9"/>
          <w:rFonts w:hint="cs"/>
          <w:rtl/>
        </w:rPr>
        <w:t>התוס'</w:t>
      </w:r>
      <w:r w:rsidRPr="003B63CB">
        <w:rPr>
          <w:rStyle w:val="aff9"/>
          <w:rFonts w:hint="cs"/>
          <w:vanish/>
          <w:rtl/>
        </w:rPr>
        <w:t>-</w:t>
      </w:r>
      <w:r w:rsidRPr="003B63CB">
        <w:rPr>
          <w:rStyle w:val="af"/>
          <w:rFonts w:hint="cs"/>
          <w:rtl/>
        </w:rPr>
        <w:t xml:space="preserve"> [</w:t>
      </w:r>
      <w:r w:rsidRPr="003B63CB">
        <w:rPr>
          <w:rStyle w:val="aff9"/>
          <w:rFonts w:hint="cs"/>
          <w:vanish/>
          <w:rtl/>
        </w:rPr>
        <w:t>-</w:t>
      </w:r>
      <w:r w:rsidRPr="003B63CB">
        <w:rPr>
          <w:rStyle w:val="aff9"/>
          <w:rFonts w:hint="cs"/>
          <w:rtl/>
        </w:rPr>
        <w:t>צד.</w:t>
      </w:r>
      <w:r w:rsidRPr="003B63CB">
        <w:rPr>
          <w:rStyle w:val="aff9"/>
          <w:rFonts w:hint="cs"/>
          <w:vanish/>
          <w:rtl/>
        </w:rPr>
        <w:t>-</w:t>
      </w:r>
      <w:r w:rsidRPr="003B63CB">
        <w:rPr>
          <w:rStyle w:val="af"/>
          <w:rFonts w:hint="cs"/>
          <w:rtl/>
        </w:rPr>
        <w:t xml:space="preserve">]  </w:t>
      </w:r>
      <w:r w:rsidRPr="003B63CB">
        <w:rPr>
          <w:rStyle w:val="aff0"/>
          <w:rFonts w:hint="cs"/>
          <w:rtl/>
        </w:rPr>
        <w:t>(עי' אות</w:t>
      </w:r>
      <w:r>
        <w:rPr>
          <w:rStyle w:val="aff0"/>
          <w:rFonts w:hint="cs"/>
          <w:rtl/>
        </w:rPr>
        <w:t xml:space="preserve">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Ref140073826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יג)</w:t>
      </w:r>
      <w:r>
        <w:rPr>
          <w:rStyle w:val="aff0"/>
          <w:rtl/>
        </w:rPr>
        <w:fldChar w:fldCharType="end"/>
      </w:r>
      <w:r w:rsidRPr="003B63CB">
        <w:rPr>
          <w:rStyle w:val="af"/>
          <w:rFonts w:hint="cs"/>
          <w:rtl/>
        </w:rPr>
        <w:t>, עיי"ש בדבריהם במה שביארו בזה].</w:t>
      </w:r>
    </w:p>
    <w:p w14:paraId="6F67A40D" w14:textId="77777777" w:rsidR="002748A5" w:rsidRPr="00747170" w:rsidRDefault="002748A5" w:rsidP="00747170">
      <w:pPr>
        <w:pStyle w:val="a2"/>
      </w:pPr>
      <w:r w:rsidRPr="00747170">
        <w:rPr>
          <w:rtl/>
        </w:rPr>
        <w:t>וסותר על מנת לבנות במקומו - ור"ש פוטר אפי' בסותר על מנת לבנות במקומו אלא במקום שע"י סתירה יש תיקון (בבנין אחרון) יותר משלא היה בנין ראשון מעולם שם כגון בפתילה שצריך להבהבה דמחייב ר' שמעון כדאמר בסמוך ואם תאמר לר' שמעון הא דתנן בפרק כלל גדול (לקמן דף עג.) המכבה והסותר בשלמא מכבה משכחת לה דמתקן כדפירש כגון לעשות פחמין אלא סותר לא משכחת שיהא מתקן בסתירה זו יותר משלא היה בנוי שם מעולם ואמאי חייב לר' שמעון וי"ל דכולהו ממשכן ילפינן לה ולא היה כיבוי במשכן כ"א לעשות פחמין ולהכי לא מחייב ר"ש אלא בכה"ג אבל סותר אשכחן במשכן שאין מתקן בסתירה זו יותר משלא היה בנוי שם מעולם ולהכי מחייב שם אפי' ר"ש</w:t>
      </w:r>
      <w:r w:rsidRPr="00747170">
        <w:rPr>
          <w:rFonts w:hint="cs"/>
          <w:rtl/>
        </w:rPr>
        <w:t>.</w:t>
      </w:r>
    </w:p>
    <w:p w14:paraId="760D6DBF" w14:textId="77777777" w:rsidR="002748A5" w:rsidRPr="003110A7" w:rsidRDefault="002748A5" w:rsidP="002748A5">
      <w:pPr>
        <w:pStyle w:val="afffffb"/>
        <w:rPr>
          <w:rtl/>
        </w:rPr>
      </w:pPr>
      <w:r w:rsidRPr="003110A7">
        <w:rPr>
          <w:rtl/>
        </w:rPr>
        <w:t>תוספות שבת צ"ד ע"א</w:t>
      </w:r>
      <w:r w:rsidRPr="003110A7">
        <w:rPr>
          <w:rFonts w:hint="cs"/>
          <w:rtl/>
        </w:rPr>
        <w:t xml:space="preserve"> ד"ה ר"ש</w:t>
      </w:r>
    </w:p>
    <w:p w14:paraId="7C382F4B" w14:textId="77777777" w:rsidR="002748A5" w:rsidRPr="003B63CB" w:rsidRDefault="002748A5" w:rsidP="002748A5">
      <w:pPr>
        <w:pStyle w:val="a7"/>
        <w:rPr>
          <w:rtl/>
        </w:rPr>
      </w:pPr>
      <w:bookmarkStart w:id="3665" w:name="_Toc140075698"/>
      <w:bookmarkStart w:id="3666" w:name="_Toc140077787"/>
      <w:bookmarkStart w:id="3667" w:name="_Toc140092087"/>
      <w:bookmarkStart w:id="3668" w:name="_Toc140099748"/>
      <w:bookmarkStart w:id="3669" w:name="_Toc140144287"/>
      <w:bookmarkStart w:id="3670" w:name="_Toc140144518"/>
      <w:r w:rsidRPr="003B63CB">
        <w:rPr>
          <w:rFonts w:hint="cs"/>
          <w:rtl/>
        </w:rPr>
        <w:t>בי' התוס' דקורע למתו ולמירמי אימתא ל"ד לצורך שהיה במשכן דהקריעה היא לצורך עצמה</w:t>
      </w:r>
      <w:bookmarkEnd w:id="3665"/>
      <w:bookmarkEnd w:id="3666"/>
      <w:bookmarkEnd w:id="3667"/>
      <w:bookmarkEnd w:id="3668"/>
      <w:bookmarkEnd w:id="3669"/>
      <w:bookmarkEnd w:id="3670"/>
    </w:p>
    <w:p w14:paraId="127B5AA4" w14:textId="77777777" w:rsidR="002748A5" w:rsidRPr="003B63CB" w:rsidRDefault="002748A5" w:rsidP="00BC7DC8">
      <w:pPr>
        <w:pStyle w:val="a3"/>
      </w:pPr>
      <w:r w:rsidRPr="003B63CB">
        <w:rPr>
          <w:rFonts w:hint="cs"/>
          <w:rtl/>
        </w:rPr>
        <w:t xml:space="preserve">בהא דאיתא לקמן </w:t>
      </w:r>
      <w:r w:rsidRPr="003B63CB">
        <w:rPr>
          <w:rStyle w:val="af2"/>
          <w:rFonts w:eastAsia="Guttman Hodes" w:hint="cs"/>
          <w:rtl/>
        </w:rPr>
        <w:t>(קה:)</w:t>
      </w:r>
      <w:r w:rsidRPr="003B63CB">
        <w:rPr>
          <w:rFonts w:hint="cs"/>
          <w:rtl/>
        </w:rPr>
        <w:t xml:space="preserve"> דהקורע על מתו והשובר כלים למירמי אימתא אאנשי דביתיה, דהוא מלאכה שאינה צריכה לגופה, ביארו </w:t>
      </w:r>
      <w:r w:rsidRPr="003B63CB">
        <w:rPr>
          <w:rStyle w:val="aff4"/>
          <w:rFonts w:hint="cs"/>
          <w:vanish/>
          <w:rtl/>
        </w:rPr>
        <w:t>-</w:t>
      </w:r>
      <w:r w:rsidRPr="003B63CB">
        <w:rPr>
          <w:rStyle w:val="aff4"/>
          <w:rFonts w:hint="cs"/>
          <w:rtl/>
        </w:rPr>
        <w:t>התוס'</w:t>
      </w:r>
      <w:r w:rsidRPr="003B63CB">
        <w:rPr>
          <w:rStyle w:val="aff4"/>
          <w:rFonts w:hint="cs"/>
          <w:vanish/>
          <w:rtl/>
        </w:rPr>
        <w:t>-</w:t>
      </w:r>
      <w:r w:rsidRPr="003B63CB">
        <w:rPr>
          <w:rFonts w:hint="cs"/>
          <w:rtl/>
        </w:rPr>
        <w:t xml:space="preserve"> </w:t>
      </w:r>
      <w:r w:rsidRPr="003B63CB">
        <w:rPr>
          <w:rStyle w:val="af2"/>
          <w:rFonts w:eastAsia="Guttman Hodes" w:hint="cs"/>
          <w:rtl/>
        </w:rPr>
        <w:t>(צד. ד"ה ר"ש)</w:t>
      </w:r>
      <w:r w:rsidRPr="003B63CB">
        <w:rPr>
          <w:rFonts w:hint="cs"/>
          <w:vanish/>
          <w:rtl/>
        </w:rPr>
        <w:t>=</w:t>
      </w:r>
      <w:r w:rsidRPr="003B63CB">
        <w:rPr>
          <w:rFonts w:hint="cs"/>
          <w:rtl/>
        </w:rPr>
        <w:t xml:space="preserve"> דבמשכן היה צורך בקריעה בדבר עצמו לתקנו.</w:t>
      </w:r>
    </w:p>
    <w:p w14:paraId="21510BF0" w14:textId="77777777" w:rsidR="002748A5" w:rsidRPr="00747170" w:rsidRDefault="002748A5" w:rsidP="00747170">
      <w:pPr>
        <w:pStyle w:val="a2"/>
        <w:rPr>
          <w:rtl/>
        </w:rPr>
      </w:pPr>
      <w:r w:rsidRPr="00747170">
        <w:rPr>
          <w:rtl/>
        </w:rPr>
        <w:t>וכן קורע על מתו או שובר כלים למירמי אימתא אאינשי דביתיה אין צריכין לגופה דבמשכן היתה קריעה לצורך תיקון דבר הנקרע</w:t>
      </w:r>
      <w:r w:rsidRPr="00747170">
        <w:rPr>
          <w:rFonts w:hint="cs"/>
          <w:rtl/>
        </w:rPr>
        <w:t>.</w:t>
      </w:r>
    </w:p>
    <w:p w14:paraId="3D43BF2B" w14:textId="409FDA49" w:rsidR="002748A5" w:rsidRPr="003B63CB" w:rsidRDefault="002748A5" w:rsidP="002748A5">
      <w:pPr>
        <w:pStyle w:val="a7"/>
        <w:rPr>
          <w:rtl/>
        </w:rPr>
      </w:pPr>
      <w:bookmarkStart w:id="3671" w:name="_Toc140075699"/>
      <w:bookmarkStart w:id="3672" w:name="_Toc140077788"/>
      <w:bookmarkStart w:id="3673" w:name="_Toc140092088"/>
      <w:bookmarkStart w:id="3674" w:name="_Toc140099749"/>
      <w:bookmarkStart w:id="3675" w:name="_Toc140144288"/>
      <w:bookmarkStart w:id="3676" w:name="_Toc140144519"/>
      <w:r w:rsidRPr="003B63CB">
        <w:rPr>
          <w:rFonts w:hint="cs"/>
          <w:rtl/>
        </w:rPr>
        <w:t>בי' התוס' דבקלקול צריך לר"ש לגופו ולגופה דרק בצריך את שניהם הוי מלאכה שצריכה לגופה</w:t>
      </w:r>
      <w:bookmarkEnd w:id="3671"/>
      <w:bookmarkEnd w:id="3672"/>
      <w:bookmarkEnd w:id="3673"/>
      <w:bookmarkEnd w:id="3674"/>
      <w:bookmarkEnd w:id="3675"/>
      <w:bookmarkEnd w:id="3676"/>
    </w:p>
    <w:p w14:paraId="6B09AB50" w14:textId="77777777" w:rsidR="002748A5" w:rsidRPr="003B63CB" w:rsidRDefault="002748A5" w:rsidP="00BC7DC8">
      <w:pPr>
        <w:pStyle w:val="a3"/>
      </w:pPr>
      <w:bookmarkStart w:id="3677" w:name="_Ref140142529"/>
      <w:r w:rsidRPr="003B63CB">
        <w:rPr>
          <w:rFonts w:hint="cs"/>
          <w:rtl/>
        </w:rPr>
        <w:t xml:space="preserve">וכתבו </w:t>
      </w:r>
      <w:r w:rsidRPr="003B63CB">
        <w:rPr>
          <w:rStyle w:val="aff4"/>
          <w:rFonts w:hint="cs"/>
          <w:vanish/>
          <w:rtl/>
        </w:rPr>
        <w:t>-</w:t>
      </w:r>
      <w:r w:rsidRPr="003B63CB">
        <w:rPr>
          <w:rStyle w:val="aff4"/>
          <w:rFonts w:hint="cs"/>
          <w:rtl/>
        </w:rPr>
        <w:t>התוס'</w:t>
      </w:r>
      <w:r w:rsidRPr="003B63CB">
        <w:rPr>
          <w:rStyle w:val="aff4"/>
          <w:rFonts w:hint="cs"/>
          <w:vanish/>
          <w:rtl/>
        </w:rPr>
        <w:t>-</w:t>
      </w:r>
      <w:r w:rsidRPr="003B63CB">
        <w:rPr>
          <w:rFonts w:hint="cs"/>
          <w:rtl/>
        </w:rPr>
        <w:t xml:space="preserve"> דאף דבהוצאה איתא בגמ' לקמן </w:t>
      </w:r>
      <w:r w:rsidRPr="003B63CB">
        <w:rPr>
          <w:rStyle w:val="af2"/>
          <w:rFonts w:eastAsia="Guttman Hodes" w:hint="cs"/>
          <w:rtl/>
        </w:rPr>
        <w:t>(צד:)</w:t>
      </w:r>
      <w:r w:rsidRPr="003B63CB">
        <w:rPr>
          <w:rFonts w:hint="cs"/>
          <w:rtl/>
        </w:rPr>
        <w:t xml:space="preserve"> דמחייב ר"ש במר לחפור וס"ת לקרות, ולא מצריך מר לעשות לו טס וס"ת להגיה, אף דבמשכן ההוצאה הייתה לצורך הדבר עצמו, דהוציאו את הנדבה לתקנה ולעשות ממנה את המשכן והכלים, מ"מ לענין מלאכות של קלקול כמכבה וסותר וקורע, מסתבר לומר דצריך שהמלאכה תהיה ע"מ לתקן את הדבר עצמו כמו שהיה במשכן, דכיון שהם מלאכות של קלקול צריך שהמלאכה תהיה לגופה ולגוף הדבר, ואף דלא אמרינן בגמ' דהם לגופה ולגופו, הוא כיון דכשצריך את שניהם כלול במלאכה שצריכה לגופה, אבל במר לחפור וס"ת לקרות דאינם לגופה של מלאכה, אלא רק לגוף הדבר בזה הוצרך ר"ש לפרש דחייב אף שלא היה ממש כמו במשכן דא"צ במר לעשות טס וס"ת להגיה שהוא לגופה ולגופו.</w:t>
      </w:r>
      <w:bookmarkEnd w:id="3677"/>
    </w:p>
    <w:p w14:paraId="6CFDFBF8" w14:textId="77777777" w:rsidR="002748A5" w:rsidRPr="00747170" w:rsidRDefault="002748A5" w:rsidP="00747170">
      <w:pPr>
        <w:pStyle w:val="a2"/>
        <w:rPr>
          <w:rtl/>
        </w:rPr>
      </w:pPr>
      <w:r w:rsidRPr="00747170">
        <w:rPr>
          <w:rtl/>
        </w:rPr>
        <w:t>ואף על גב דבהוצאה לא בעי רבי שמעון שיהא לגמרי כמו שהיה במשכן דלא בעי מר לעשות לו טס או ס"ת להגיה אף על פי שבמשכן הוצאת הנדבה היתה כדי לתקנה לעשות ממנה משכן וכלים במקלקלים כגון מכבה וסותר וקורע מסתברא דצריך שיהא על מנת לתקן כמו במשכן ולא חשיבי המקלקלים צריכות לגופה עד דהוי לגופו ולגופה והא דלא קרי לה לגופו ולגופה כיון דבעו תרוייהו בכלל לגופה היא אבל לגבי מר וס"ת כיון דלא בעי אלא לגופו דהא לא בעי במר לעשות בו טס וס"ת כדי להגיה בו לא הוי בכלל לגופה ולפי שצריכות לגופה הוי כעין דהוי במשכן כמו שפיר' הוצרך להשמיענו במר דלא בעינן לעשות לו טס כמו שהיה במשכן</w:t>
      </w:r>
      <w:r w:rsidRPr="00747170">
        <w:rPr>
          <w:rFonts w:hint="cs"/>
          <w:rtl/>
        </w:rPr>
        <w:t>.</w:t>
      </w:r>
    </w:p>
    <w:p w14:paraId="66B8461D" w14:textId="34F3541F" w:rsidR="002748A5" w:rsidRPr="003B63CB" w:rsidRDefault="002748A5" w:rsidP="002748A5">
      <w:pPr>
        <w:pStyle w:val="1"/>
        <w:rPr>
          <w:rtl/>
        </w:rPr>
      </w:pPr>
      <w:bookmarkStart w:id="3678" w:name="_Toc140075700"/>
      <w:bookmarkStart w:id="3679" w:name="_Toc140077789"/>
      <w:bookmarkStart w:id="3680" w:name="_Toc140092089"/>
      <w:bookmarkStart w:id="3681" w:name="_Toc140099750"/>
      <w:bookmarkStart w:id="3682" w:name="_Toc140144289"/>
      <w:bookmarkStart w:id="3683" w:name="_Toc140144520"/>
      <w:r w:rsidRPr="003B63CB">
        <w:rPr>
          <w:rFonts w:hint="cs"/>
          <w:rtl/>
        </w:rPr>
        <w:t>בי' הכפות תמרים</w:t>
      </w:r>
      <w:r>
        <w:rPr>
          <w:rFonts w:hint="cs"/>
          <w:rtl/>
        </w:rPr>
        <w:t xml:space="preserve"> בפלו' התוס' אי סותר כותל ע"מ לבנות ככיבוי</w:t>
      </w:r>
      <w:bookmarkEnd w:id="3678"/>
      <w:bookmarkEnd w:id="3679"/>
      <w:bookmarkEnd w:id="3680"/>
      <w:bookmarkEnd w:id="3681"/>
      <w:bookmarkEnd w:id="3682"/>
      <w:bookmarkEnd w:id="3683"/>
    </w:p>
    <w:p w14:paraId="4666AB77" w14:textId="77777777" w:rsidR="002748A5" w:rsidRPr="00C12F78" w:rsidRDefault="002748A5" w:rsidP="002748A5">
      <w:pPr>
        <w:pStyle w:val="afffff7"/>
        <w:rPr>
          <w:rtl/>
        </w:rPr>
      </w:pPr>
      <w:bookmarkStart w:id="3684" w:name="_Toc140144391"/>
      <w:bookmarkStart w:id="3685" w:name="_Toc140144868"/>
      <w:bookmarkStart w:id="3686" w:name="_Toc163505983"/>
      <w:r w:rsidRPr="00C12F78">
        <w:rPr>
          <w:rtl/>
        </w:rPr>
        <w:t>כפות תמרים סוכה ל"ג ע"ב</w:t>
      </w:r>
      <w:r w:rsidRPr="00C12F78">
        <w:rPr>
          <w:rFonts w:hint="cs"/>
          <w:rtl/>
        </w:rPr>
        <w:t xml:space="preserve"> ד"ה אמנם התוס'</w:t>
      </w:r>
      <w:bookmarkEnd w:id="3686"/>
      <w:r w:rsidRPr="00C12F78">
        <w:rPr>
          <w:vanish/>
          <w:rtl/>
        </w:rPr>
        <w:t xml:space="preserve"> (ט)</w:t>
      </w:r>
      <w:bookmarkEnd w:id="3684"/>
      <w:bookmarkEnd w:id="3685"/>
    </w:p>
    <w:p w14:paraId="6BCCC167" w14:textId="77777777" w:rsidR="002748A5" w:rsidRPr="003B63CB" w:rsidRDefault="002748A5" w:rsidP="002748A5">
      <w:pPr>
        <w:pStyle w:val="a7"/>
        <w:rPr>
          <w:rtl/>
        </w:rPr>
      </w:pPr>
      <w:bookmarkStart w:id="3687" w:name="_Toc140075701"/>
      <w:bookmarkStart w:id="3688" w:name="_Toc140077790"/>
      <w:bookmarkStart w:id="3689" w:name="_Toc140092090"/>
      <w:bookmarkStart w:id="3690" w:name="_Toc140099751"/>
      <w:bookmarkStart w:id="3691" w:name="_Toc140144290"/>
      <w:bookmarkStart w:id="3692" w:name="_Toc140144521"/>
      <w:r>
        <w:rPr>
          <w:rFonts w:hint="cs"/>
          <w:rtl/>
        </w:rPr>
        <w:t>בי' הכפו"ת דנח' התוס' אי סותר ע"מ לבנות יותר טוב ממה שהיה גם בסותר כותל או רק בכיבוי</w:t>
      </w:r>
      <w:bookmarkEnd w:id="3687"/>
      <w:bookmarkEnd w:id="3688"/>
      <w:bookmarkEnd w:id="3689"/>
      <w:bookmarkEnd w:id="3690"/>
      <w:bookmarkEnd w:id="3691"/>
      <w:bookmarkEnd w:id="3692"/>
      <w:r>
        <w:rPr>
          <w:rFonts w:hint="cs"/>
          <w:rtl/>
        </w:rPr>
        <w:t xml:space="preserve"> </w:t>
      </w:r>
    </w:p>
    <w:p w14:paraId="29249012" w14:textId="6C6CFCCE" w:rsidR="002748A5" w:rsidRPr="003B63CB" w:rsidRDefault="002748A5" w:rsidP="00BC7DC8">
      <w:pPr>
        <w:pStyle w:val="a3"/>
      </w:pPr>
      <w:bookmarkStart w:id="3693" w:name="_Ref139488379"/>
      <w:r w:rsidRPr="003B63CB">
        <w:rPr>
          <w:rFonts w:hint="cs"/>
          <w:rtl/>
        </w:rPr>
        <w:t xml:space="preserve">במ"ש </w:t>
      </w:r>
      <w:r w:rsidRPr="003B63CB">
        <w:rPr>
          <w:rStyle w:val="aff4"/>
          <w:rFonts w:hint="cs"/>
          <w:vanish/>
          <w:rtl/>
        </w:rPr>
        <w:t>-</w:t>
      </w:r>
      <w:bookmarkStart w:id="3694" w:name="_Hlk139556366"/>
      <w:r w:rsidRPr="003B63CB">
        <w:rPr>
          <w:rStyle w:val="aff4"/>
          <w:rFonts w:hint="cs"/>
          <w:rtl/>
        </w:rPr>
        <w:t>התוס'</w:t>
      </w:r>
      <w:r w:rsidRPr="0006582C">
        <w:rPr>
          <w:rtl/>
        </w:rPr>
        <w:t xml:space="preserve"> </w:t>
      </w:r>
      <w:r w:rsidRPr="0006582C">
        <w:rPr>
          <w:rStyle w:val="aff4"/>
          <w:rtl/>
        </w:rPr>
        <w:t>לעי</w:t>
      </w:r>
      <w:r>
        <w:rPr>
          <w:rStyle w:val="aff4"/>
          <w:rFonts w:hint="cs"/>
          <w:rtl/>
        </w:rPr>
        <w:t>ל</w:t>
      </w:r>
      <w:r w:rsidRPr="003B63CB">
        <w:rPr>
          <w:rStyle w:val="aff4"/>
          <w:rFonts w:hint="cs"/>
          <w:vanish/>
          <w:rtl/>
        </w:rPr>
        <w:t>-</w:t>
      </w:r>
      <w:r w:rsidRPr="003B63CB">
        <w:rPr>
          <w:rFonts w:hint="cs"/>
          <w:rtl/>
        </w:rPr>
        <w:t xml:space="preserve"> </w:t>
      </w:r>
      <w:r w:rsidRPr="003B63CB">
        <w:rPr>
          <w:rStyle w:val="af"/>
          <w:rFonts w:hint="cs"/>
          <w:rtl/>
        </w:rPr>
        <w:t>[</w:t>
      </w:r>
      <w:r w:rsidRPr="003B63CB">
        <w:rPr>
          <w:rStyle w:val="aff9"/>
          <w:rFonts w:hint="cs"/>
          <w:vanish/>
          <w:rtl/>
        </w:rPr>
        <w:t>-</w:t>
      </w:r>
      <w:r w:rsidRPr="003B63CB">
        <w:rPr>
          <w:rStyle w:val="aff9"/>
          <w:rFonts w:hint="cs"/>
          <w:rtl/>
        </w:rPr>
        <w:t>לא:</w:t>
      </w:r>
      <w:r w:rsidRPr="003B63CB">
        <w:rPr>
          <w:rStyle w:val="aff9"/>
          <w:rFonts w:hint="cs"/>
          <w:vanish/>
          <w:rtl/>
        </w:rPr>
        <w:t>-</w:t>
      </w:r>
      <w:r w:rsidRPr="003B63CB">
        <w:rPr>
          <w:rStyle w:val="af"/>
          <w:rFonts w:hint="cs"/>
          <w:rtl/>
        </w:rPr>
        <w:t>]</w:t>
      </w:r>
      <w:r w:rsidRPr="003B63CB">
        <w:rPr>
          <w:rFonts w:hint="cs"/>
          <w:rtl/>
        </w:rPr>
        <w:t xml:space="preserve"> </w:t>
      </w:r>
      <w:r w:rsidRPr="003B63CB">
        <w:rPr>
          <w:rStyle w:val="af2"/>
          <w:rFonts w:eastAsia="Guttman Hodes" w:hint="cs"/>
          <w:rtl/>
        </w:rPr>
        <w:t xml:space="preserve">(עי' אות </w:t>
      </w:r>
      <w:r w:rsidRPr="003B63CB">
        <w:rPr>
          <w:rStyle w:val="af2"/>
          <w:rFonts w:eastAsia="Guttman Hodes"/>
          <w:rtl/>
        </w:rPr>
        <w:fldChar w:fldCharType="begin"/>
      </w:r>
      <w:r w:rsidRPr="003B63CB">
        <w:rPr>
          <w:rStyle w:val="af2"/>
          <w:rFonts w:eastAsia="Guttman Hodes"/>
          <w:rtl/>
        </w:rPr>
        <w:instrText xml:space="preserve"> </w:instrText>
      </w:r>
      <w:r w:rsidRPr="003B63CB">
        <w:rPr>
          <w:rStyle w:val="af2"/>
          <w:rFonts w:eastAsia="Guttman Hodes" w:hint="cs"/>
        </w:rPr>
        <w:instrText>REF</w:instrText>
      </w:r>
      <w:r w:rsidRPr="003B63CB">
        <w:rPr>
          <w:rStyle w:val="af2"/>
          <w:rFonts w:eastAsia="Guttman Hodes" w:hint="cs"/>
          <w:rtl/>
        </w:rPr>
        <w:instrText xml:space="preserve"> _</w:instrText>
      </w:r>
      <w:r w:rsidRPr="003B63CB">
        <w:rPr>
          <w:rStyle w:val="af2"/>
          <w:rFonts w:eastAsia="Guttman Hodes" w:hint="cs"/>
        </w:rPr>
        <w:instrText>Ref139486135 \r \h</w:instrText>
      </w:r>
      <w:r w:rsidRPr="003B63CB">
        <w:rPr>
          <w:rStyle w:val="af2"/>
          <w:rFonts w:eastAsia="Guttman Hodes"/>
          <w:rtl/>
        </w:rPr>
        <w:instrText xml:space="preserve">  \* </w:instrText>
      </w:r>
      <w:r w:rsidRPr="003B63CB">
        <w:rPr>
          <w:rStyle w:val="af2"/>
          <w:rFonts w:eastAsia="Guttman Hodes"/>
        </w:rPr>
        <w:instrText>MERGEFORMAT</w:instrText>
      </w:r>
      <w:r w:rsidRPr="003B63CB">
        <w:rPr>
          <w:rStyle w:val="af2"/>
          <w:rFonts w:eastAsia="Guttman Hodes"/>
          <w:rtl/>
        </w:rPr>
        <w:instrText xml:space="preserve"> </w:instrText>
      </w:r>
      <w:r w:rsidRPr="003B63CB">
        <w:rPr>
          <w:rStyle w:val="af2"/>
          <w:rFonts w:eastAsia="Guttman Hodes"/>
          <w:rtl/>
        </w:rPr>
      </w:r>
      <w:r w:rsidRPr="003B63CB">
        <w:rPr>
          <w:rStyle w:val="af2"/>
          <w:rFonts w:eastAsia="Guttman Hodes"/>
          <w:rtl/>
        </w:rPr>
        <w:fldChar w:fldCharType="separate"/>
      </w:r>
      <w:r w:rsidR="00D82181">
        <w:rPr>
          <w:rStyle w:val="af2"/>
          <w:rFonts w:eastAsia="Guttman Hodes"/>
          <w:cs/>
        </w:rPr>
        <w:t>‎</w:t>
      </w:r>
      <w:r w:rsidR="00D82181">
        <w:rPr>
          <w:rStyle w:val="af2"/>
          <w:rFonts w:eastAsia="Guttman Hodes"/>
          <w:rtl/>
        </w:rPr>
        <w:t>יד)</w:t>
      </w:r>
      <w:r w:rsidRPr="003B63CB">
        <w:rPr>
          <w:rStyle w:val="af2"/>
          <w:rFonts w:eastAsia="Guttman Hodes"/>
          <w:rtl/>
        </w:rPr>
        <w:fldChar w:fldCharType="end"/>
      </w:r>
      <w:r w:rsidRPr="003B63CB">
        <w:rPr>
          <w:rFonts w:hint="cs"/>
          <w:rtl/>
        </w:rPr>
        <w:t xml:space="preserve"> </w:t>
      </w:r>
      <w:bookmarkEnd w:id="3694"/>
      <w:r w:rsidRPr="003B63CB">
        <w:rPr>
          <w:rFonts w:hint="cs"/>
          <w:rtl/>
        </w:rPr>
        <w:t xml:space="preserve">דברי עולא לעיל </w:t>
      </w:r>
      <w:r w:rsidRPr="003B63CB">
        <w:rPr>
          <w:rStyle w:val="af2"/>
          <w:rFonts w:eastAsia="Guttman Hodes" w:hint="cs"/>
          <w:rtl/>
        </w:rPr>
        <w:t>(לא:)</w:t>
      </w:r>
      <w:r w:rsidRPr="003B63CB">
        <w:rPr>
          <w:rFonts w:hint="cs"/>
          <w:rtl/>
        </w:rPr>
        <w:t xml:space="preserve"> דבכיבוי פתילה ר"ש פוטר אף בסותר ע"מ לבנות במקומו, ומחייב רק כשע"י הסתירה יהיה תיקון יותר ממה שהיה, כתב </w:t>
      </w:r>
      <w:r w:rsidRPr="003B63CB">
        <w:rPr>
          <w:rStyle w:val="aff4"/>
          <w:rFonts w:hint="cs"/>
          <w:vanish/>
          <w:rtl/>
        </w:rPr>
        <w:t>-</w:t>
      </w:r>
      <w:r w:rsidRPr="003B63CB">
        <w:rPr>
          <w:rStyle w:val="aff4"/>
          <w:rFonts w:hint="cs"/>
          <w:rtl/>
        </w:rPr>
        <w:t>ה</w:t>
      </w:r>
      <w:r w:rsidRPr="003B63CB">
        <w:rPr>
          <w:rStyle w:val="aff4"/>
          <w:rFonts w:hint="cs"/>
          <w:vanish/>
          <w:rtl/>
        </w:rPr>
        <w:t xml:space="preserve">&lt;, </w:t>
      </w:r>
      <w:bookmarkStart w:id="3695" w:name="_Hlk139556425"/>
      <w:r w:rsidRPr="003B63CB">
        <w:rPr>
          <w:rStyle w:val="aff4"/>
          <w:vanish/>
          <w:rtl/>
        </w:rPr>
        <w:fldChar w:fldCharType="begin"/>
      </w:r>
      <w:r w:rsidRPr="003B63CB">
        <w:rPr>
          <w:rStyle w:val="aff4"/>
          <w:vanish/>
          <w:rtl/>
        </w:rPr>
        <w:instrText xml:space="preserve"> </w:instrText>
      </w:r>
      <w:r w:rsidRPr="003B63CB">
        <w:rPr>
          <w:rStyle w:val="aff4"/>
          <w:rFonts w:hint="cs"/>
          <w:vanish/>
        </w:rPr>
        <w:instrText>REF</w:instrText>
      </w:r>
      <w:r w:rsidRPr="003B63CB">
        <w:rPr>
          <w:rStyle w:val="aff4"/>
          <w:rFonts w:hint="cs"/>
          <w:vanish/>
          <w:rtl/>
        </w:rPr>
        <w:instrText xml:space="preserve"> _</w:instrText>
      </w:r>
      <w:r w:rsidRPr="003B63CB">
        <w:rPr>
          <w:rStyle w:val="aff4"/>
          <w:rFonts w:hint="cs"/>
          <w:vanish/>
        </w:rPr>
        <w:instrText>Ref139488379 \r \h</w:instrText>
      </w:r>
      <w:r w:rsidRPr="003B63CB">
        <w:rPr>
          <w:rStyle w:val="aff4"/>
          <w:vanish/>
          <w:rtl/>
        </w:rPr>
        <w:instrText xml:space="preserve">  \* </w:instrText>
      </w:r>
      <w:r w:rsidRPr="003B63CB">
        <w:rPr>
          <w:rStyle w:val="aff4"/>
          <w:vanish/>
        </w:rPr>
        <w:instrText>MERGEFORMAT</w:instrText>
      </w:r>
      <w:r w:rsidRPr="003B63CB">
        <w:rPr>
          <w:rStyle w:val="aff4"/>
          <w:vanish/>
          <w:rtl/>
        </w:rPr>
        <w:instrText xml:space="preserve"> </w:instrText>
      </w:r>
      <w:r w:rsidRPr="003B63CB">
        <w:rPr>
          <w:rStyle w:val="aff4"/>
          <w:vanish/>
          <w:rtl/>
        </w:rPr>
      </w:r>
      <w:r w:rsidRPr="003B63CB">
        <w:rPr>
          <w:rStyle w:val="aff4"/>
          <w:vanish/>
          <w:rtl/>
        </w:rPr>
        <w:fldChar w:fldCharType="separate"/>
      </w:r>
      <w:r w:rsidR="00D82181">
        <w:rPr>
          <w:rStyle w:val="aff4"/>
          <w:vanish/>
          <w:cs/>
        </w:rPr>
        <w:t>‎</w:t>
      </w:r>
      <w:r w:rsidR="00D82181">
        <w:rPr>
          <w:rStyle w:val="aff4"/>
          <w:vanish/>
          <w:rtl/>
        </w:rPr>
        <w:t>יז)</w:t>
      </w:r>
      <w:r w:rsidRPr="003B63CB">
        <w:rPr>
          <w:rStyle w:val="aff4"/>
          <w:vanish/>
          <w:rtl/>
        </w:rPr>
        <w:fldChar w:fldCharType="end"/>
      </w:r>
      <w:bookmarkEnd w:id="3695"/>
      <w:r w:rsidRPr="003B63CB">
        <w:rPr>
          <w:rStyle w:val="aff4"/>
          <w:rFonts w:hint="cs"/>
          <w:vanish/>
          <w:rtl/>
        </w:rPr>
        <w:t xml:space="preserve"> &gt;</w:t>
      </w:r>
      <w:r w:rsidRPr="003B63CB">
        <w:rPr>
          <w:rStyle w:val="aff4"/>
          <w:rFonts w:hint="cs"/>
          <w:rtl/>
        </w:rPr>
        <w:t>כפות תמרים</w:t>
      </w:r>
      <w:r w:rsidRPr="003B63CB">
        <w:rPr>
          <w:rStyle w:val="aff4"/>
          <w:rFonts w:hint="cs"/>
          <w:vanish/>
          <w:rtl/>
        </w:rPr>
        <w:t>-</w:t>
      </w:r>
      <w:r w:rsidRPr="003B63CB">
        <w:rPr>
          <w:rFonts w:hint="cs"/>
          <w:rtl/>
        </w:rPr>
        <w:t xml:space="preserve"> </w:t>
      </w:r>
      <w:r w:rsidRPr="003B63CB">
        <w:rPr>
          <w:rStyle w:val="af2"/>
          <w:rFonts w:eastAsia="Guttman Hodes" w:hint="cs"/>
          <w:rtl/>
        </w:rPr>
        <w:t>(סוכה לג: ד"ה אמנם התוס')</w:t>
      </w:r>
      <w:r w:rsidRPr="003B63CB">
        <w:rPr>
          <w:rFonts w:hint="cs"/>
          <w:vanish/>
          <w:rtl/>
        </w:rPr>
        <w:t>=</w:t>
      </w:r>
      <w:r w:rsidRPr="003B63CB">
        <w:rPr>
          <w:rFonts w:hint="cs"/>
          <w:rtl/>
        </w:rPr>
        <w:t xml:space="preserve"> דתיקון כזה שייך רק בפתילה, </w:t>
      </w:r>
      <w:bookmarkStart w:id="3696" w:name="_Ref139487740"/>
      <w:r w:rsidRPr="003B63CB">
        <w:rPr>
          <w:rFonts w:hint="cs"/>
          <w:rtl/>
        </w:rPr>
        <w:t xml:space="preserve">והוא מעין עשיית פחמין, ובהא דאיתא בגמ' לעיל </w:t>
      </w:r>
      <w:r w:rsidRPr="003B63CB">
        <w:rPr>
          <w:rStyle w:val="af2"/>
          <w:rFonts w:eastAsia="Guttman Hodes" w:hint="cs"/>
          <w:rtl/>
        </w:rPr>
        <w:t>(לא:)</w:t>
      </w:r>
      <w:r w:rsidRPr="003B63CB">
        <w:rPr>
          <w:rFonts w:hint="cs"/>
          <w:rtl/>
        </w:rPr>
        <w:t xml:space="preserve"> דהסותר ע"מ לבנות פטור לר"ש, דהוי מלאכה שאינה צריכה לגופה, ואילו </w:t>
      </w:r>
      <w:bookmarkStart w:id="3697" w:name="_Hlk139556291"/>
      <w:r w:rsidRPr="003B63CB">
        <w:rPr>
          <w:rFonts w:hint="cs"/>
          <w:rtl/>
        </w:rPr>
        <w:t xml:space="preserve">בדברי </w:t>
      </w:r>
      <w:r w:rsidRPr="003B63CB">
        <w:rPr>
          <w:rStyle w:val="aff4"/>
          <w:rFonts w:hint="cs"/>
          <w:vanish/>
          <w:rtl/>
        </w:rPr>
        <w:t>-</w:t>
      </w:r>
      <w:r w:rsidRPr="003B63CB">
        <w:rPr>
          <w:rStyle w:val="aff4"/>
          <w:rFonts w:hint="cs"/>
          <w:rtl/>
        </w:rPr>
        <w:t>התוס'</w:t>
      </w:r>
      <w:r w:rsidRPr="003B63CB">
        <w:rPr>
          <w:rStyle w:val="aff4"/>
          <w:rFonts w:hint="cs"/>
          <w:vanish/>
          <w:rtl/>
        </w:rPr>
        <w:t>-</w:t>
      </w:r>
      <w:r w:rsidRPr="003B63CB">
        <w:rPr>
          <w:rFonts w:hint="cs"/>
          <w:rtl/>
        </w:rPr>
        <w:t xml:space="preserve"> </w:t>
      </w:r>
      <w:r w:rsidRPr="003B63CB">
        <w:rPr>
          <w:rStyle w:val="af"/>
          <w:rFonts w:hint="cs"/>
          <w:rtl/>
        </w:rPr>
        <w:t>[</w:t>
      </w:r>
      <w:r w:rsidRPr="003B63CB">
        <w:rPr>
          <w:rStyle w:val="aff9"/>
          <w:rFonts w:hint="cs"/>
          <w:vanish/>
          <w:rtl/>
        </w:rPr>
        <w:t>-</w:t>
      </w:r>
      <w:r w:rsidRPr="003B63CB">
        <w:rPr>
          <w:rStyle w:val="aff9"/>
          <w:rFonts w:hint="cs"/>
          <w:rtl/>
        </w:rPr>
        <w:t>צד:</w:t>
      </w:r>
      <w:r w:rsidRPr="003B63CB">
        <w:rPr>
          <w:rStyle w:val="aff9"/>
          <w:rFonts w:hint="cs"/>
          <w:vanish/>
          <w:rtl/>
        </w:rPr>
        <w:t>-</w:t>
      </w:r>
      <w:r w:rsidRPr="003B63CB">
        <w:rPr>
          <w:rStyle w:val="af"/>
          <w:rFonts w:hint="cs"/>
          <w:rtl/>
        </w:rPr>
        <w:t>]</w:t>
      </w:r>
      <w:r w:rsidRPr="003B63CB">
        <w:rPr>
          <w:rFonts w:hint="cs"/>
          <w:rtl/>
        </w:rPr>
        <w:t xml:space="preserve"> </w:t>
      </w:r>
      <w:r w:rsidRPr="003B63CB">
        <w:rPr>
          <w:rStyle w:val="af2"/>
          <w:rFonts w:eastAsia="Guttman Hodes" w:hint="cs"/>
          <w:rtl/>
        </w:rPr>
        <w:t xml:space="preserve">(עי' אות </w:t>
      </w:r>
      <w:r w:rsidRPr="003B63CB">
        <w:rPr>
          <w:rStyle w:val="af2"/>
          <w:rFonts w:eastAsia="Guttman Hodes"/>
          <w:rtl/>
        </w:rPr>
        <w:fldChar w:fldCharType="begin"/>
      </w:r>
      <w:r w:rsidRPr="003B63CB">
        <w:rPr>
          <w:rStyle w:val="af2"/>
          <w:rFonts w:eastAsia="Guttman Hodes"/>
          <w:rtl/>
        </w:rPr>
        <w:instrText xml:space="preserve"> </w:instrText>
      </w:r>
      <w:r w:rsidRPr="003B63CB">
        <w:rPr>
          <w:rStyle w:val="af2"/>
          <w:rFonts w:eastAsia="Guttman Hodes" w:hint="cs"/>
        </w:rPr>
        <w:instrText>REF</w:instrText>
      </w:r>
      <w:r w:rsidRPr="003B63CB">
        <w:rPr>
          <w:rStyle w:val="af2"/>
          <w:rFonts w:eastAsia="Guttman Hodes" w:hint="cs"/>
          <w:rtl/>
        </w:rPr>
        <w:instrText xml:space="preserve"> _</w:instrText>
      </w:r>
      <w:r w:rsidRPr="003B63CB">
        <w:rPr>
          <w:rStyle w:val="af2"/>
          <w:rFonts w:eastAsia="Guttman Hodes" w:hint="cs"/>
        </w:rPr>
        <w:instrText>Ref139487740 \r \h</w:instrText>
      </w:r>
      <w:r w:rsidRPr="003B63CB">
        <w:rPr>
          <w:rStyle w:val="af2"/>
          <w:rFonts w:eastAsia="Guttman Hodes"/>
          <w:rtl/>
        </w:rPr>
        <w:instrText xml:space="preserve">  \* </w:instrText>
      </w:r>
      <w:r w:rsidRPr="003B63CB">
        <w:rPr>
          <w:rStyle w:val="af2"/>
          <w:rFonts w:eastAsia="Guttman Hodes"/>
        </w:rPr>
        <w:instrText>MERGEFORMAT</w:instrText>
      </w:r>
      <w:r w:rsidRPr="003B63CB">
        <w:rPr>
          <w:rStyle w:val="af2"/>
          <w:rFonts w:eastAsia="Guttman Hodes"/>
          <w:rtl/>
        </w:rPr>
        <w:instrText xml:space="preserve"> </w:instrText>
      </w:r>
      <w:r w:rsidRPr="003B63CB">
        <w:rPr>
          <w:rStyle w:val="af2"/>
          <w:rFonts w:eastAsia="Guttman Hodes"/>
          <w:rtl/>
        </w:rPr>
      </w:r>
      <w:r w:rsidRPr="003B63CB">
        <w:rPr>
          <w:rStyle w:val="af2"/>
          <w:rFonts w:eastAsia="Guttman Hodes"/>
          <w:rtl/>
        </w:rPr>
        <w:fldChar w:fldCharType="separate"/>
      </w:r>
      <w:r w:rsidR="00D82181">
        <w:rPr>
          <w:rStyle w:val="af2"/>
          <w:rFonts w:eastAsia="Guttman Hodes"/>
          <w:cs/>
        </w:rPr>
        <w:t>‎</w:t>
      </w:r>
      <w:r w:rsidR="00D82181">
        <w:rPr>
          <w:rStyle w:val="af2"/>
          <w:rFonts w:eastAsia="Guttman Hodes"/>
          <w:rtl/>
        </w:rPr>
        <w:t>יז)</w:t>
      </w:r>
      <w:r w:rsidRPr="003B63CB">
        <w:rPr>
          <w:rStyle w:val="af2"/>
          <w:rFonts w:eastAsia="Guttman Hodes"/>
          <w:rtl/>
        </w:rPr>
        <w:fldChar w:fldCharType="end"/>
      </w:r>
      <w:r w:rsidRPr="003B63CB">
        <w:rPr>
          <w:rFonts w:hint="cs"/>
          <w:rtl/>
        </w:rPr>
        <w:t xml:space="preserve"> מבואר דאף </w:t>
      </w:r>
      <w:bookmarkStart w:id="3698" w:name="_Hlk139556318"/>
      <w:r w:rsidRPr="003B63CB">
        <w:rPr>
          <w:rFonts w:hint="cs"/>
          <w:rtl/>
        </w:rPr>
        <w:t>בסתירת כותל ביארו דס"ל לר"ש דחיוב סותר הוא דוקא במקום שהסתירה היא בשביל לתקן יותר מהבנין שהיה לפני הסתירה</w:t>
      </w:r>
      <w:bookmarkEnd w:id="3696"/>
      <w:bookmarkEnd w:id="3697"/>
      <w:bookmarkEnd w:id="3698"/>
      <w:r w:rsidRPr="003B63CB">
        <w:rPr>
          <w:rFonts w:hint="cs"/>
          <w:rtl/>
        </w:rPr>
        <w:t>,</w:t>
      </w:r>
      <w:r w:rsidRPr="003B63CB">
        <w:rPr>
          <w:rStyle w:val="af"/>
          <w:rFonts w:hint="cs"/>
          <w:rtl/>
        </w:rPr>
        <w:t xml:space="preserve"> [וכבר כתבו כעי"ז </w:t>
      </w:r>
      <w:r w:rsidRPr="003B63CB">
        <w:rPr>
          <w:rStyle w:val="aff9"/>
          <w:rFonts w:hint="cs"/>
          <w:vanish/>
          <w:rtl/>
        </w:rPr>
        <w:t>-</w:t>
      </w:r>
      <w:r w:rsidRPr="003B63CB">
        <w:rPr>
          <w:rStyle w:val="aff9"/>
          <w:rFonts w:hint="cs"/>
          <w:rtl/>
        </w:rPr>
        <w:t>ה</w:t>
      </w:r>
      <w:r w:rsidRPr="003B63CB">
        <w:rPr>
          <w:rStyle w:val="aff9"/>
          <w:rFonts w:hint="cs"/>
          <w:vanish/>
          <w:rtl/>
        </w:rPr>
        <w:t>&lt; &gt;</w:t>
      </w:r>
      <w:r w:rsidRPr="003B63CB">
        <w:rPr>
          <w:rStyle w:val="aff9"/>
          <w:rFonts w:hint="cs"/>
          <w:rtl/>
        </w:rPr>
        <w:t>מהרש"ל</w:t>
      </w:r>
      <w:r w:rsidRPr="003B63CB">
        <w:rPr>
          <w:rStyle w:val="aff9"/>
          <w:rFonts w:hint="cs"/>
          <w:vanish/>
          <w:rtl/>
        </w:rPr>
        <w:t>-</w:t>
      </w:r>
      <w:r w:rsidRPr="003B63CB">
        <w:rPr>
          <w:rStyle w:val="af"/>
          <w:rFonts w:hint="cs"/>
          <w:rtl/>
        </w:rPr>
        <w:t xml:space="preserve"> </w:t>
      </w:r>
      <w:r w:rsidRPr="003B63CB">
        <w:rPr>
          <w:rStyle w:val="aff0"/>
          <w:rFonts w:hint="cs"/>
          <w:rtl/>
        </w:rPr>
        <w:t>(ד"ה בא"ד קשה)</w:t>
      </w:r>
      <w:r w:rsidRPr="003B63CB">
        <w:rPr>
          <w:rStyle w:val="af"/>
          <w:rFonts w:hint="cs"/>
          <w:vanish/>
          <w:rtl/>
        </w:rPr>
        <w:t>=</w:t>
      </w:r>
      <w:r w:rsidRPr="003B63CB">
        <w:rPr>
          <w:rStyle w:val="af"/>
          <w:rFonts w:hint="cs"/>
          <w:rtl/>
        </w:rPr>
        <w:t xml:space="preserve"> </w:t>
      </w:r>
      <w:r w:rsidRPr="003B63CB">
        <w:rPr>
          <w:rStyle w:val="aff9"/>
          <w:rFonts w:hint="cs"/>
          <w:vanish/>
          <w:rtl/>
        </w:rPr>
        <w:t>-</w:t>
      </w:r>
      <w:r w:rsidRPr="003B63CB">
        <w:rPr>
          <w:rStyle w:val="aff9"/>
          <w:rFonts w:hint="cs"/>
          <w:rtl/>
        </w:rPr>
        <w:t>וה</w:t>
      </w:r>
      <w:r w:rsidRPr="003B63CB">
        <w:rPr>
          <w:rStyle w:val="aff9"/>
          <w:rFonts w:hint="cs"/>
          <w:vanish/>
          <w:rtl/>
        </w:rPr>
        <w:t>&lt; &gt;</w:t>
      </w:r>
      <w:r w:rsidRPr="003B63CB">
        <w:rPr>
          <w:rStyle w:val="aff9"/>
          <w:rFonts w:hint="cs"/>
          <w:rtl/>
        </w:rPr>
        <w:t>מהרש"א</w:t>
      </w:r>
      <w:r w:rsidRPr="003B63CB">
        <w:rPr>
          <w:rStyle w:val="aff9"/>
          <w:rFonts w:hint="cs"/>
          <w:vanish/>
          <w:rtl/>
        </w:rPr>
        <w:t>-</w:t>
      </w:r>
      <w:r w:rsidRPr="003B63CB">
        <w:rPr>
          <w:rStyle w:val="af"/>
          <w:rFonts w:hint="cs"/>
          <w:rtl/>
        </w:rPr>
        <w:t xml:space="preserve"> </w:t>
      </w:r>
      <w:r w:rsidRPr="003B63CB">
        <w:rPr>
          <w:rStyle w:val="aff0"/>
          <w:rFonts w:hint="cs"/>
          <w:rtl/>
        </w:rPr>
        <w:t>(על תוד"ה ר"ש)</w:t>
      </w:r>
      <w:r w:rsidRPr="003B63CB">
        <w:rPr>
          <w:rStyle w:val="af"/>
          <w:rFonts w:hint="cs"/>
          <w:rtl/>
        </w:rPr>
        <w:t>],</w:t>
      </w:r>
      <w:r w:rsidRPr="003B63CB">
        <w:rPr>
          <w:rFonts w:hint="cs"/>
          <w:rtl/>
        </w:rPr>
        <w:t xml:space="preserve"> והקשה </w:t>
      </w:r>
      <w:r w:rsidRPr="003B63CB">
        <w:rPr>
          <w:rStyle w:val="aff4"/>
          <w:rFonts w:hint="cs"/>
          <w:vanish/>
          <w:rtl/>
        </w:rPr>
        <w:t>-</w:t>
      </w:r>
      <w:r w:rsidRPr="003B63CB">
        <w:rPr>
          <w:rStyle w:val="aff4"/>
          <w:rFonts w:hint="cs"/>
          <w:rtl/>
        </w:rPr>
        <w:t>הכפות תמרים</w:t>
      </w:r>
      <w:r w:rsidRPr="003B63CB">
        <w:rPr>
          <w:rStyle w:val="aff4"/>
          <w:rFonts w:hint="cs"/>
          <w:vanish/>
          <w:rtl/>
        </w:rPr>
        <w:t>-</w:t>
      </w:r>
      <w:r w:rsidRPr="003B63CB">
        <w:rPr>
          <w:rFonts w:hint="cs"/>
          <w:rtl/>
        </w:rPr>
        <w:t xml:space="preserve"> דאף באופן שהבנין השני יותר טוב מהראשון, מ"מ הסתירה עצמה לא גרמה לזה, דאף אם לא היה שם כותל מעולם היה יכול לבנות בנין יפה כזה, ולא דמי למכבה דלולי הכיבוי לא היה שייך לעשות הדלקה ראשונה יפה כמו ההדלקה השניה, וא"כ סותר לא דמי למכבה, והניח </w:t>
      </w:r>
      <w:r w:rsidRPr="003B63CB">
        <w:rPr>
          <w:rStyle w:val="aff4"/>
          <w:rFonts w:hint="cs"/>
          <w:vanish/>
          <w:rtl/>
        </w:rPr>
        <w:t>-</w:t>
      </w:r>
      <w:r w:rsidRPr="003B63CB">
        <w:rPr>
          <w:rStyle w:val="aff4"/>
          <w:rFonts w:hint="cs"/>
          <w:rtl/>
        </w:rPr>
        <w:t>הכפות תמרים</w:t>
      </w:r>
      <w:r w:rsidRPr="003B63CB">
        <w:rPr>
          <w:rStyle w:val="aff4"/>
          <w:rFonts w:hint="cs"/>
          <w:vanish/>
          <w:rtl/>
        </w:rPr>
        <w:t>-</w:t>
      </w:r>
      <w:r w:rsidRPr="003B63CB">
        <w:rPr>
          <w:rFonts w:hint="cs"/>
          <w:rtl/>
        </w:rPr>
        <w:t xml:space="preserve"> בצ"ע.</w:t>
      </w:r>
      <w:bookmarkEnd w:id="3693"/>
      <w:r w:rsidRPr="003B63CB">
        <w:rPr>
          <w:rFonts w:hint="cs"/>
          <w:rtl/>
        </w:rPr>
        <w:t xml:space="preserve"> </w:t>
      </w:r>
    </w:p>
    <w:p w14:paraId="7AB7BB8E" w14:textId="77777777" w:rsidR="002748A5" w:rsidRPr="00747170" w:rsidRDefault="002748A5" w:rsidP="00747170">
      <w:pPr>
        <w:pStyle w:val="a2"/>
        <w:rPr>
          <w:rtl/>
        </w:rPr>
      </w:pPr>
      <w:r w:rsidRPr="00747170">
        <w:rPr>
          <w:rtl/>
        </w:rPr>
        <w:t>אמנם התוס' שם כתבו נראה לר"י דמלאכה שאינה צריכה קרי כשעושה מלאכה וא"צ לאותו צורך וכו' וכן סותר ע"מ לבנות כו' עכ"ל המעיין פרק במה מדליקין (דף לא ע"ב) יראה ברור מתוך מ"ש התוס' דהא דפוטר ר"ש בסותר ע"מ לבנות במקומו ולא מחייב אלא כגון שעל ידי סתירה יש תיקון בבנין אחרון יותר משלא היה בבנין ראשון ולעולם זה לא משכחת לה אלא בפתילה דאם היתה מהובהבת כבר וכבה אותה פחם על הפתילה פטור לר"ש משום דהוי סותר ע"מ לבנות במקומו כלומר שמכבה אותה וחס עליה לחזור להדליקה וכיבוי זה אינו צריך לו והוי מלאכה שאינה צריכה אבל אם הפתילה לא היתה מהובהבת וכבה אותה להדליקה אח"כ מודה ר"ש דחייב משום דע"י סתירה זו דהיינו הכיבוי יש תיקון בבנין אחרון יותר משלא היה בבנין ראשון כלומר דעל ידי כיבוי זה דהובהבה הפתילה כשמדליקין אותה אח"כ תאיר יותר מבראשונה וזהו מעין כביית גחלים לעשות פחמים. אבל בסותר כותל ע"מ לבנות מודה ר"ש דחייב אף על גב דבסתירת כותל לא משכחת לה שהסתירה תהיה גורמת שבנין אחרון יהיה יפה מהראשון ושם כתבו התוספות טעם לדבר יע"ש ומ"ש התוס' כאן דלא מחייב ר"ש אלא כגון שסותר ע"מ לתקן יותר ממה שהיה בתחלה כגון שהבנין האחרון טוב מן הראשון הם דברים קשים בעיני דנהי ודאי דמשכחת לה דבנין אחרון טוב מן הראשון מכל מקום הסתירה לא גרמה לעשות הבנין השני טוב מן הראשון דהרי אפילו לא היה כותל שם מעולם ובא עתה מחדש לבנות ע"ג קרקע יכול לבנות בנין יפה כזה באופן דסותר לא דמי למכבה דמכבה גורם לעשות ההדלקה השניה יפה מן הא' מה שאין כן סותר והתוס' רוצים לפרש מלאכת סותר דומיא דמכבה ובעיני לא דמו אהדדי וצריך עיון:</w:t>
      </w:r>
    </w:p>
    <w:p w14:paraId="75A33F8D" w14:textId="77777777" w:rsidR="002748A5" w:rsidRPr="00C12F78" w:rsidRDefault="002748A5" w:rsidP="002748A5">
      <w:pPr>
        <w:pStyle w:val="afffff7"/>
        <w:rPr>
          <w:rtl/>
        </w:rPr>
      </w:pPr>
      <w:bookmarkStart w:id="3699" w:name="_Toc140144392"/>
      <w:bookmarkStart w:id="3700" w:name="_Toc140144869"/>
      <w:bookmarkStart w:id="3701" w:name="_Hlk139620944"/>
      <w:bookmarkStart w:id="3702" w:name="_Toc163505984"/>
      <w:r w:rsidRPr="00C12F78">
        <w:rPr>
          <w:rtl/>
        </w:rPr>
        <w:t>כפות תמרים סוכה ל"ג ע"ב</w:t>
      </w:r>
      <w:r w:rsidRPr="00C12F78">
        <w:rPr>
          <w:rFonts w:hint="cs"/>
          <w:rtl/>
        </w:rPr>
        <w:t xml:space="preserve"> ד"ה כתבו עוד</w:t>
      </w:r>
      <w:bookmarkEnd w:id="3702"/>
      <w:r w:rsidRPr="00C12F78">
        <w:rPr>
          <w:vanish/>
          <w:rtl/>
        </w:rPr>
        <w:t xml:space="preserve"> (ט)</w:t>
      </w:r>
      <w:bookmarkEnd w:id="3699"/>
      <w:bookmarkEnd w:id="3700"/>
    </w:p>
    <w:p w14:paraId="12CA05ED" w14:textId="34656A88" w:rsidR="002748A5" w:rsidRPr="003B63CB" w:rsidRDefault="002748A5" w:rsidP="002748A5">
      <w:pPr>
        <w:pStyle w:val="a7"/>
        <w:rPr>
          <w:rtl/>
        </w:rPr>
      </w:pPr>
      <w:bookmarkStart w:id="3703" w:name="_Toc140075702"/>
      <w:bookmarkStart w:id="3704" w:name="_Toc140077791"/>
      <w:bookmarkStart w:id="3705" w:name="_Toc140092091"/>
      <w:bookmarkStart w:id="3706" w:name="_Toc140099752"/>
      <w:bookmarkStart w:id="3707" w:name="_Toc140144291"/>
      <w:bookmarkStart w:id="3708" w:name="_Toc140144522"/>
      <w:bookmarkEnd w:id="3701"/>
      <w:r>
        <w:rPr>
          <w:rFonts w:hint="cs"/>
          <w:rtl/>
        </w:rPr>
        <w:t>בי' הכפו"ת בתוס' לעיל דסתירת כותל ל"ה סילוק נזק אלא הכנה לגוף המלאכה ול"ד למת ונחש</w:t>
      </w:r>
      <w:bookmarkEnd w:id="3703"/>
      <w:bookmarkEnd w:id="3704"/>
      <w:bookmarkEnd w:id="3705"/>
      <w:bookmarkEnd w:id="3706"/>
      <w:bookmarkEnd w:id="3707"/>
      <w:bookmarkEnd w:id="3708"/>
    </w:p>
    <w:p w14:paraId="6B5218C1" w14:textId="2C4FECC5" w:rsidR="002748A5" w:rsidRDefault="002748A5" w:rsidP="00BC7DC8">
      <w:pPr>
        <w:pStyle w:val="a3"/>
        <w:rPr>
          <w:rtl/>
        </w:rPr>
      </w:pPr>
      <w:bookmarkStart w:id="3709" w:name="_Ref139557232"/>
      <w:r w:rsidRPr="003B63CB">
        <w:rPr>
          <w:rFonts w:hint="cs"/>
          <w:rtl/>
        </w:rPr>
        <w:t>וביאר</w:t>
      </w:r>
      <w:r w:rsidRPr="003B63CB">
        <w:rPr>
          <w:rtl/>
        </w:rPr>
        <w:t xml:space="preserve"> </w:t>
      </w:r>
      <w:r w:rsidRPr="003B63CB">
        <w:rPr>
          <w:rStyle w:val="aff4"/>
          <w:vanish/>
          <w:rtl/>
        </w:rPr>
        <w:t>-</w:t>
      </w:r>
      <w:r w:rsidRPr="003B63CB">
        <w:rPr>
          <w:rStyle w:val="aff4"/>
          <w:rtl/>
        </w:rPr>
        <w:t>ה</w:t>
      </w:r>
      <w:r w:rsidRPr="003B63CB">
        <w:rPr>
          <w:rStyle w:val="aff4"/>
          <w:rFonts w:hint="cs"/>
          <w:vanish/>
          <w:rtl/>
        </w:rPr>
        <w:t xml:space="preserve">&lt;, </w:t>
      </w:r>
      <w:r w:rsidRPr="003B63CB">
        <w:rPr>
          <w:rStyle w:val="aff4"/>
          <w:vanish/>
          <w:rtl/>
        </w:rPr>
        <w:fldChar w:fldCharType="begin"/>
      </w:r>
      <w:r w:rsidRPr="003B63CB">
        <w:rPr>
          <w:rStyle w:val="aff4"/>
          <w:vanish/>
          <w:rtl/>
        </w:rPr>
        <w:instrText xml:space="preserve"> </w:instrText>
      </w:r>
      <w:r w:rsidRPr="003B63CB">
        <w:rPr>
          <w:rStyle w:val="aff4"/>
          <w:rFonts w:hint="cs"/>
          <w:vanish/>
        </w:rPr>
        <w:instrText>REF</w:instrText>
      </w:r>
      <w:r w:rsidRPr="003B63CB">
        <w:rPr>
          <w:rStyle w:val="aff4"/>
          <w:rFonts w:hint="cs"/>
          <w:vanish/>
          <w:rtl/>
        </w:rPr>
        <w:instrText xml:space="preserve"> _</w:instrText>
      </w:r>
      <w:r w:rsidRPr="003B63CB">
        <w:rPr>
          <w:rStyle w:val="aff4"/>
          <w:rFonts w:hint="cs"/>
          <w:vanish/>
        </w:rPr>
        <w:instrText>Ref139557232 \r \h</w:instrText>
      </w:r>
      <w:r w:rsidRPr="003B63CB">
        <w:rPr>
          <w:rStyle w:val="aff4"/>
          <w:vanish/>
          <w:rtl/>
        </w:rPr>
        <w:instrText xml:space="preserve">  \* </w:instrText>
      </w:r>
      <w:r w:rsidRPr="003B63CB">
        <w:rPr>
          <w:rStyle w:val="aff4"/>
          <w:vanish/>
        </w:rPr>
        <w:instrText>MERGEFORMAT</w:instrText>
      </w:r>
      <w:r w:rsidRPr="003B63CB">
        <w:rPr>
          <w:rStyle w:val="aff4"/>
          <w:vanish/>
          <w:rtl/>
        </w:rPr>
        <w:instrText xml:space="preserve"> </w:instrText>
      </w:r>
      <w:r w:rsidRPr="003B63CB">
        <w:rPr>
          <w:rStyle w:val="aff4"/>
          <w:vanish/>
          <w:rtl/>
        </w:rPr>
      </w:r>
      <w:r w:rsidRPr="003B63CB">
        <w:rPr>
          <w:rStyle w:val="aff4"/>
          <w:vanish/>
          <w:rtl/>
        </w:rPr>
        <w:fldChar w:fldCharType="separate"/>
      </w:r>
      <w:r w:rsidR="00D82181">
        <w:rPr>
          <w:rStyle w:val="aff4"/>
          <w:vanish/>
          <w:cs/>
        </w:rPr>
        <w:t>‎</w:t>
      </w:r>
      <w:r w:rsidR="00D82181">
        <w:rPr>
          <w:rStyle w:val="aff4"/>
          <w:vanish/>
          <w:rtl/>
        </w:rPr>
        <w:t>יח)</w:t>
      </w:r>
      <w:r w:rsidRPr="003B63CB">
        <w:rPr>
          <w:rStyle w:val="aff4"/>
          <w:vanish/>
          <w:rtl/>
        </w:rPr>
        <w:fldChar w:fldCharType="end"/>
      </w:r>
      <w:r w:rsidRPr="003B63CB">
        <w:rPr>
          <w:rStyle w:val="aff4"/>
          <w:rFonts w:hint="cs"/>
          <w:vanish/>
          <w:rtl/>
        </w:rPr>
        <w:t xml:space="preserve"> &gt;</w:t>
      </w:r>
      <w:r w:rsidRPr="003B63CB">
        <w:rPr>
          <w:rStyle w:val="aff4"/>
          <w:rtl/>
        </w:rPr>
        <w:t>כפות תמרים</w:t>
      </w:r>
      <w:r w:rsidRPr="003B63CB">
        <w:rPr>
          <w:rStyle w:val="aff4"/>
          <w:vanish/>
          <w:rtl/>
        </w:rPr>
        <w:t>-</w:t>
      </w:r>
      <w:r w:rsidRPr="003B63CB">
        <w:rPr>
          <w:rtl/>
        </w:rPr>
        <w:t xml:space="preserve"> </w:t>
      </w:r>
      <w:r w:rsidRPr="003B63CB">
        <w:rPr>
          <w:rStyle w:val="af2"/>
          <w:rFonts w:eastAsia="Guttman Hodes"/>
          <w:rtl/>
        </w:rPr>
        <w:t xml:space="preserve">(סוכה לג: ד"ה </w:t>
      </w:r>
      <w:r w:rsidRPr="003B63CB">
        <w:rPr>
          <w:rStyle w:val="af2"/>
          <w:rFonts w:eastAsia="Guttman Hodes" w:hint="cs"/>
          <w:rtl/>
        </w:rPr>
        <w:t>כתבו עוד</w:t>
      </w:r>
      <w:r w:rsidRPr="003B63CB">
        <w:rPr>
          <w:rStyle w:val="af2"/>
          <w:rFonts w:eastAsia="Guttman Hodes"/>
          <w:rtl/>
        </w:rPr>
        <w:t>)</w:t>
      </w:r>
      <w:r w:rsidRPr="003B63CB">
        <w:rPr>
          <w:vanish/>
          <w:rtl/>
        </w:rPr>
        <w:t>=</w:t>
      </w:r>
      <w:r w:rsidRPr="003B63CB">
        <w:rPr>
          <w:rFonts w:hint="cs"/>
          <w:rtl/>
        </w:rPr>
        <w:t xml:space="preserve"> </w:t>
      </w:r>
      <w:r w:rsidRPr="003B63CB">
        <w:rPr>
          <w:rFonts w:hint="cs"/>
          <w:vanish/>
          <w:rtl/>
        </w:rPr>
        <w:t>-</w:t>
      </w:r>
      <w:r w:rsidRPr="0042071B">
        <w:rPr>
          <w:rStyle w:val="aff4"/>
          <w:rFonts w:hint="cs"/>
          <w:rtl/>
        </w:rPr>
        <w:t>דהתוס'</w:t>
      </w:r>
      <w:r>
        <w:rPr>
          <w:rFonts w:hint="cs"/>
          <w:vanish/>
          <w:rtl/>
        </w:rPr>
        <w:t xml:space="preserve"> </w:t>
      </w:r>
      <w:r>
        <w:rPr>
          <w:rStyle w:val="aff4"/>
          <w:rFonts w:hint="cs"/>
          <w:rtl/>
        </w:rPr>
        <w:t xml:space="preserve"> </w:t>
      </w:r>
      <w:r w:rsidRPr="0006582C">
        <w:rPr>
          <w:rStyle w:val="aff4"/>
          <w:rFonts w:hint="cs"/>
          <w:rtl/>
        </w:rPr>
        <w:t>לעיל</w:t>
      </w:r>
      <w:r w:rsidRPr="003B63CB">
        <w:rPr>
          <w:rFonts w:hint="cs"/>
          <w:vanish/>
          <w:rtl/>
        </w:rPr>
        <w:t>-</w:t>
      </w:r>
      <w:r w:rsidRPr="003B63CB">
        <w:rPr>
          <w:rFonts w:hint="cs"/>
          <w:rtl/>
        </w:rPr>
        <w:t xml:space="preserve"> </w:t>
      </w:r>
      <w:r w:rsidRPr="003B63CB">
        <w:rPr>
          <w:rStyle w:val="af"/>
          <w:rFonts w:hint="cs"/>
          <w:rtl/>
        </w:rPr>
        <w:t>[</w:t>
      </w:r>
      <w:r w:rsidRPr="003B63CB">
        <w:rPr>
          <w:rStyle w:val="aff9"/>
          <w:rFonts w:hint="cs"/>
          <w:vanish/>
          <w:rtl/>
        </w:rPr>
        <w:t>-</w:t>
      </w:r>
      <w:r w:rsidRPr="003B63CB">
        <w:rPr>
          <w:rStyle w:val="aff9"/>
          <w:rFonts w:hint="cs"/>
          <w:rtl/>
        </w:rPr>
        <w:t>לא:</w:t>
      </w:r>
      <w:r w:rsidRPr="003B63CB">
        <w:rPr>
          <w:rStyle w:val="aff9"/>
          <w:rFonts w:hint="cs"/>
          <w:vanish/>
          <w:rtl/>
        </w:rPr>
        <w:t>-</w:t>
      </w:r>
      <w:r w:rsidRPr="003B63CB">
        <w:rPr>
          <w:rStyle w:val="af"/>
          <w:rFonts w:hint="cs"/>
          <w:rtl/>
        </w:rPr>
        <w:t>]</w:t>
      </w:r>
      <w:r w:rsidRPr="003B63CB">
        <w:rPr>
          <w:rFonts w:hint="cs"/>
          <w:rtl/>
        </w:rPr>
        <w:t xml:space="preserve"> </w:t>
      </w:r>
      <w:r w:rsidRPr="003B63CB">
        <w:rPr>
          <w:rStyle w:val="af2"/>
          <w:rFonts w:eastAsia="Guttman Hodes" w:hint="cs"/>
          <w:rtl/>
        </w:rPr>
        <w:t xml:space="preserve">(עי' אות </w:t>
      </w:r>
      <w:r w:rsidRPr="003B63CB">
        <w:rPr>
          <w:rStyle w:val="af2"/>
          <w:rFonts w:eastAsia="Guttman Hodes"/>
          <w:rtl/>
        </w:rPr>
        <w:fldChar w:fldCharType="begin"/>
      </w:r>
      <w:r w:rsidRPr="003B63CB">
        <w:rPr>
          <w:rStyle w:val="af2"/>
          <w:rFonts w:eastAsia="Guttman Hodes"/>
          <w:rtl/>
        </w:rPr>
        <w:instrText xml:space="preserve"> </w:instrText>
      </w:r>
      <w:r w:rsidRPr="003B63CB">
        <w:rPr>
          <w:rStyle w:val="af2"/>
          <w:rFonts w:eastAsia="Guttman Hodes" w:hint="cs"/>
        </w:rPr>
        <w:instrText>REF</w:instrText>
      </w:r>
      <w:r w:rsidRPr="003B63CB">
        <w:rPr>
          <w:rStyle w:val="af2"/>
          <w:rFonts w:eastAsia="Guttman Hodes" w:hint="cs"/>
          <w:rtl/>
        </w:rPr>
        <w:instrText xml:space="preserve"> _</w:instrText>
      </w:r>
      <w:r w:rsidRPr="003B63CB">
        <w:rPr>
          <w:rStyle w:val="af2"/>
          <w:rFonts w:eastAsia="Guttman Hodes" w:hint="cs"/>
        </w:rPr>
        <w:instrText>Ref139486135 \r \h</w:instrText>
      </w:r>
      <w:r w:rsidRPr="003B63CB">
        <w:rPr>
          <w:rStyle w:val="af2"/>
          <w:rFonts w:eastAsia="Guttman Hodes"/>
          <w:rtl/>
        </w:rPr>
        <w:instrText xml:space="preserve">  \* </w:instrText>
      </w:r>
      <w:r w:rsidRPr="003B63CB">
        <w:rPr>
          <w:rStyle w:val="af2"/>
          <w:rFonts w:eastAsia="Guttman Hodes"/>
        </w:rPr>
        <w:instrText>MERGEFORMAT</w:instrText>
      </w:r>
      <w:r w:rsidRPr="003B63CB">
        <w:rPr>
          <w:rStyle w:val="af2"/>
          <w:rFonts w:eastAsia="Guttman Hodes"/>
          <w:rtl/>
        </w:rPr>
        <w:instrText xml:space="preserve"> </w:instrText>
      </w:r>
      <w:r w:rsidRPr="003B63CB">
        <w:rPr>
          <w:rStyle w:val="af2"/>
          <w:rFonts w:eastAsia="Guttman Hodes"/>
          <w:rtl/>
        </w:rPr>
      </w:r>
      <w:r w:rsidRPr="003B63CB">
        <w:rPr>
          <w:rStyle w:val="af2"/>
          <w:rFonts w:eastAsia="Guttman Hodes"/>
          <w:rtl/>
        </w:rPr>
        <w:fldChar w:fldCharType="separate"/>
      </w:r>
      <w:r w:rsidR="00D82181">
        <w:rPr>
          <w:rStyle w:val="af2"/>
          <w:rFonts w:eastAsia="Guttman Hodes"/>
          <w:cs/>
        </w:rPr>
        <w:t>‎</w:t>
      </w:r>
      <w:r w:rsidR="00D82181">
        <w:rPr>
          <w:rStyle w:val="af2"/>
          <w:rFonts w:eastAsia="Guttman Hodes"/>
          <w:rtl/>
        </w:rPr>
        <w:t>יד)</w:t>
      </w:r>
      <w:r w:rsidRPr="003B63CB">
        <w:rPr>
          <w:rStyle w:val="af2"/>
          <w:rFonts w:eastAsia="Guttman Hodes"/>
          <w:rtl/>
        </w:rPr>
        <w:fldChar w:fldCharType="end"/>
      </w:r>
      <w:r w:rsidRPr="003B63CB">
        <w:rPr>
          <w:rFonts w:hint="cs"/>
          <w:rtl/>
        </w:rPr>
        <w:t xml:space="preserve"> דס"ל דהחיוב לר"ש רק כשסותר לתקן יותר ממה שהיה, רק לענין כיבוי פתילה ולא בסתירת כותל, הוא כיון דסתירת כותל ע"מ לבנות </w:t>
      </w:r>
      <w:r w:rsidRPr="003B63CB">
        <w:rPr>
          <w:rFonts w:hint="cs"/>
          <w:rtl/>
        </w:rPr>
        <w:lastRenderedPageBreak/>
        <w:t>באותו מקום, לא חשיב מעשה של מניעת נזק, כי הכנה למלאכה שצריכה לגופה, ולכן אף הסתירה היא מלאכה שצריכה לגופה, ולא דמי להוצאת מת וצידת נחש דאין בהם הכנה למלאכה אחרת, והמלאכה היא מניעת נזק ולכן הוי מלאכה שאינה צריכה לגופה.</w:t>
      </w:r>
      <w:bookmarkEnd w:id="3709"/>
    </w:p>
    <w:p w14:paraId="478CA524" w14:textId="77777777" w:rsidR="002748A5" w:rsidRPr="00747170" w:rsidRDefault="002748A5" w:rsidP="00747170">
      <w:pPr>
        <w:pStyle w:val="a2"/>
        <w:rPr>
          <w:rtl/>
        </w:rPr>
      </w:pPr>
      <w:r w:rsidRPr="00747170">
        <w:rPr>
          <w:rtl/>
        </w:rPr>
        <w:t>אמנם כבר כתבתי לעיל דבסותר על מנת לבנות במקומו מחייב ר"ש וכ"כ התוס' פ"ב דשבת (דף לא ע"ב) וטעמא יראה לי דכיון דהסתירה היא הכנה לבנות במקומה לא חשיבא מניעת היזק כהוצאת מת וצד נחש דפטור לר"ש משום דהוי מלאכה שאינה צריכה לגופה דשאני התם דאין הוצאת המת וצידת הנחש הכנה למלאכה אחרת אבל סותר ע"מ לבנות כיון דהסתירה היא לעשות הכנה לבנות במקומה חשיבא מלאכה צריכה לגופה ולא חשיבא מניעת היזק ודוק:</w:t>
      </w:r>
    </w:p>
    <w:p w14:paraId="79A827D2" w14:textId="423C345B" w:rsidR="002748A5" w:rsidRDefault="002748A5" w:rsidP="002748A5">
      <w:pPr>
        <w:pStyle w:val="1"/>
        <w:rPr>
          <w:rtl/>
        </w:rPr>
      </w:pPr>
      <w:bookmarkStart w:id="3710" w:name="_Toc140144292"/>
      <w:bookmarkStart w:id="3711" w:name="_Toc140144523"/>
      <w:r>
        <w:rPr>
          <w:rFonts w:hint="cs"/>
          <w:rtl/>
        </w:rPr>
        <w:t>בדעת התוס' בגוזז שער דהוא משאצל"ג ובד' רש"י בזה</w:t>
      </w:r>
      <w:bookmarkEnd w:id="3710"/>
      <w:bookmarkEnd w:id="3711"/>
    </w:p>
    <w:p w14:paraId="430CAA03" w14:textId="77777777" w:rsidR="002748A5" w:rsidRPr="00C12F78" w:rsidRDefault="002748A5" w:rsidP="002748A5">
      <w:pPr>
        <w:pStyle w:val="afffff7"/>
        <w:rPr>
          <w:rtl/>
        </w:rPr>
      </w:pPr>
      <w:bookmarkStart w:id="3712" w:name="_Toc140144393"/>
      <w:bookmarkStart w:id="3713" w:name="_Toc140144870"/>
      <w:bookmarkStart w:id="3714" w:name="_Ref140141947"/>
      <w:bookmarkStart w:id="3715" w:name="_Toc163505985"/>
      <w:r w:rsidRPr="00C12F78">
        <w:rPr>
          <w:rtl/>
        </w:rPr>
        <w:t>תוספות שבת צ"ד ע"ב</w:t>
      </w:r>
      <w:r w:rsidRPr="00C12F78">
        <w:rPr>
          <w:rFonts w:hint="cs"/>
          <w:rtl/>
        </w:rPr>
        <w:t xml:space="preserve"> ד"ה אבל</w:t>
      </w:r>
      <w:bookmarkEnd w:id="3712"/>
      <w:bookmarkEnd w:id="3715"/>
      <w:r w:rsidRPr="00C12F78">
        <w:rPr>
          <w:vanish/>
          <w:rtl/>
        </w:rPr>
        <w:t xml:space="preserve"> (ט)</w:t>
      </w:r>
      <w:bookmarkEnd w:id="3713"/>
    </w:p>
    <w:p w14:paraId="57E2FF58" w14:textId="77777777" w:rsidR="002748A5" w:rsidRPr="00C12F78" w:rsidRDefault="002748A5" w:rsidP="002748A5">
      <w:pPr>
        <w:pStyle w:val="afffff7"/>
      </w:pPr>
      <w:bookmarkStart w:id="3716" w:name="_Toc140144394"/>
      <w:bookmarkStart w:id="3717" w:name="_Toc140144871"/>
      <w:bookmarkStart w:id="3718" w:name="_Toc140144293"/>
      <w:bookmarkStart w:id="3719" w:name="_Toc140144524"/>
      <w:bookmarkStart w:id="3720" w:name="_Toc163505986"/>
      <w:r w:rsidRPr="00C12F78">
        <w:rPr>
          <w:rFonts w:hint="cs"/>
          <w:rtl/>
        </w:rPr>
        <w:t>חתם סופר שבת צ</w:t>
      </w:r>
      <w:r w:rsidRPr="00C12F78">
        <w:rPr>
          <w:rFonts w:cs="Guttman Hodes" w:hint="cs"/>
          <w:rtl/>
        </w:rPr>
        <w:t>"</w:t>
      </w:r>
      <w:r w:rsidRPr="00C12F78">
        <w:rPr>
          <w:rFonts w:hint="cs"/>
          <w:rtl/>
        </w:rPr>
        <w:t>ד ע</w:t>
      </w:r>
      <w:r w:rsidRPr="00C12F78">
        <w:rPr>
          <w:rFonts w:cs="Guttman Hodes" w:hint="cs"/>
          <w:rtl/>
        </w:rPr>
        <w:t>"</w:t>
      </w:r>
      <w:r w:rsidRPr="00C12F78">
        <w:rPr>
          <w:rFonts w:hint="cs"/>
          <w:rtl/>
        </w:rPr>
        <w:t>ב על תוד</w:t>
      </w:r>
      <w:r w:rsidRPr="00C12F78">
        <w:rPr>
          <w:rFonts w:cs="Guttman Hodes" w:hint="cs"/>
          <w:rtl/>
        </w:rPr>
        <w:t>"</w:t>
      </w:r>
      <w:r w:rsidRPr="00C12F78">
        <w:rPr>
          <w:rFonts w:hint="cs"/>
          <w:rtl/>
        </w:rPr>
        <w:t>ה אבל</w:t>
      </w:r>
      <w:bookmarkEnd w:id="3716"/>
      <w:bookmarkEnd w:id="3720"/>
      <w:r w:rsidRPr="00C12F78">
        <w:rPr>
          <w:vanish/>
          <w:rtl/>
        </w:rPr>
        <w:t xml:space="preserve"> (ט)</w:t>
      </w:r>
      <w:bookmarkEnd w:id="3717"/>
    </w:p>
    <w:p w14:paraId="3A6AAD09" w14:textId="77777777" w:rsidR="002748A5" w:rsidRPr="00C00D18" w:rsidRDefault="002748A5" w:rsidP="002748A5">
      <w:pPr>
        <w:pStyle w:val="a7"/>
        <w:rPr>
          <w:rtl/>
        </w:rPr>
      </w:pPr>
      <w:r>
        <w:rPr>
          <w:rFonts w:hint="cs"/>
          <w:rtl/>
        </w:rPr>
        <w:t>בי' החת"ס דלתוס' גזיזת שער הוי משאצל"ג דל"ד לצורך במשכן אך לרש"י רוצה בה והוי צל"ג</w:t>
      </w:r>
      <w:bookmarkEnd w:id="3718"/>
      <w:bookmarkEnd w:id="3719"/>
    </w:p>
    <w:p w14:paraId="297CF27C" w14:textId="64BB13FF" w:rsidR="002748A5" w:rsidRPr="00F74C5E" w:rsidRDefault="002748A5" w:rsidP="00BC7DC8">
      <w:pPr>
        <w:pStyle w:val="a3"/>
        <w:rPr>
          <w:rStyle w:val="af"/>
          <w:rtl/>
        </w:rPr>
      </w:pPr>
      <w:r>
        <w:rPr>
          <w:rFonts w:hint="cs"/>
          <w:rtl/>
        </w:rPr>
        <w:t xml:space="preserve">כתבו </w:t>
      </w:r>
      <w:r w:rsidRPr="00EB6FAF">
        <w:rPr>
          <w:rStyle w:val="aff4"/>
          <w:rFonts w:hint="cs"/>
          <w:vanish/>
          <w:rtl/>
        </w:rPr>
        <w:t>-</w:t>
      </w:r>
      <w:r w:rsidRPr="0085567C">
        <w:rPr>
          <w:rStyle w:val="aff4"/>
          <w:rFonts w:hint="cs"/>
          <w:rtl/>
        </w:rPr>
        <w:t>ה</w:t>
      </w:r>
      <w:r w:rsidRPr="00EB6FAF">
        <w:rPr>
          <w:rStyle w:val="aff4"/>
          <w:rFonts w:hint="cs"/>
          <w:vanish/>
          <w:rtl/>
        </w:rPr>
        <w:t xml:space="preserve">&lt;. </w:t>
      </w:r>
      <w:r w:rsidRPr="00EB6FAF">
        <w:rPr>
          <w:rStyle w:val="aff4"/>
          <w:vanish/>
          <w:rtl/>
        </w:rPr>
        <w:fldChar w:fldCharType="begin"/>
      </w:r>
      <w:r w:rsidRPr="00EB6FAF">
        <w:rPr>
          <w:rStyle w:val="aff4"/>
          <w:vanish/>
          <w:rtl/>
        </w:rPr>
        <w:instrText xml:space="preserve"> </w:instrText>
      </w:r>
      <w:r w:rsidRPr="00EB6FAF">
        <w:rPr>
          <w:rStyle w:val="aff4"/>
          <w:rFonts w:hint="cs"/>
          <w:vanish/>
        </w:rPr>
        <w:instrText>REF</w:instrText>
      </w:r>
      <w:r w:rsidRPr="00EB6FAF">
        <w:rPr>
          <w:rStyle w:val="aff4"/>
          <w:rFonts w:hint="cs"/>
          <w:vanish/>
          <w:rtl/>
        </w:rPr>
        <w:instrText xml:space="preserve"> _</w:instrText>
      </w:r>
      <w:r w:rsidRPr="00EB6FAF">
        <w:rPr>
          <w:rStyle w:val="aff4"/>
          <w:rFonts w:hint="cs"/>
          <w:vanish/>
        </w:rPr>
        <w:instrText>Ref135838873 \r \h</w:instrText>
      </w:r>
      <w:r w:rsidRPr="00EB6FAF">
        <w:rPr>
          <w:rStyle w:val="aff4"/>
          <w:vanish/>
          <w:rtl/>
        </w:rPr>
        <w:instrText xml:space="preserve"> </w:instrText>
      </w:r>
      <w:r w:rsidRPr="00EB6FAF">
        <w:rPr>
          <w:rStyle w:val="aff4"/>
          <w:vanish/>
          <w:rtl/>
        </w:rPr>
      </w:r>
      <w:r w:rsidRPr="00EB6FAF">
        <w:rPr>
          <w:rStyle w:val="aff4"/>
          <w:vanish/>
          <w:rtl/>
        </w:rPr>
        <w:fldChar w:fldCharType="separate"/>
      </w:r>
      <w:r w:rsidR="00D82181">
        <w:rPr>
          <w:rStyle w:val="aff4"/>
          <w:vanish/>
          <w:cs/>
        </w:rPr>
        <w:t>‎</w:t>
      </w:r>
      <w:r w:rsidR="00D82181">
        <w:rPr>
          <w:rStyle w:val="aff4"/>
          <w:vanish/>
          <w:rtl/>
        </w:rPr>
        <w:t>יט)</w:t>
      </w:r>
      <w:r w:rsidRPr="00EB6FAF">
        <w:rPr>
          <w:rStyle w:val="aff4"/>
          <w:vanish/>
          <w:rtl/>
        </w:rPr>
        <w:fldChar w:fldCharType="end"/>
      </w:r>
      <w:r w:rsidRPr="00EB6FAF">
        <w:rPr>
          <w:rStyle w:val="aff4"/>
          <w:rFonts w:hint="cs"/>
          <w:vanish/>
          <w:rtl/>
        </w:rPr>
        <w:t xml:space="preserve"> &gt;</w:t>
      </w:r>
      <w:r w:rsidRPr="0085567C">
        <w:rPr>
          <w:rStyle w:val="aff4"/>
          <w:rFonts w:hint="cs"/>
          <w:rtl/>
        </w:rPr>
        <w:t>תוס'</w:t>
      </w:r>
      <w:r w:rsidRPr="00EB6FAF">
        <w:rPr>
          <w:rStyle w:val="aff4"/>
          <w:rFonts w:hint="cs"/>
          <w:vanish/>
          <w:rtl/>
        </w:rPr>
        <w:t>-</w:t>
      </w:r>
      <w:r>
        <w:rPr>
          <w:rFonts w:hint="cs"/>
          <w:rtl/>
        </w:rPr>
        <w:t xml:space="preserve"> </w:t>
      </w:r>
      <w:r w:rsidRPr="00D4778B">
        <w:rPr>
          <w:rStyle w:val="af2"/>
          <w:rFonts w:eastAsia="Guttman Hodes" w:hint="cs"/>
          <w:rtl/>
        </w:rPr>
        <w:t>(צד: ד"ה אבל)</w:t>
      </w:r>
      <w:r w:rsidRPr="00EB6FAF">
        <w:rPr>
          <w:rFonts w:hint="cs"/>
          <w:vanish/>
          <w:rtl/>
        </w:rPr>
        <w:t>=</w:t>
      </w:r>
      <w:r>
        <w:rPr>
          <w:rFonts w:hint="cs"/>
          <w:rtl/>
        </w:rPr>
        <w:t xml:space="preserve"> דחיוב בנטילת שיער וצפורנים הוא לדעת ר"י דמחייב במלאכה שא"צ לגופה, וכתב </w:t>
      </w:r>
      <w:r w:rsidRPr="00EB6FAF">
        <w:rPr>
          <w:rStyle w:val="aff4"/>
          <w:rFonts w:hint="cs"/>
          <w:vanish/>
          <w:rtl/>
        </w:rPr>
        <w:t>-</w:t>
      </w:r>
      <w:r w:rsidRPr="0085567C">
        <w:rPr>
          <w:rStyle w:val="aff4"/>
          <w:rFonts w:hint="cs"/>
          <w:rtl/>
        </w:rPr>
        <w:t>ה</w:t>
      </w:r>
      <w:r w:rsidRPr="00527BD6">
        <w:rPr>
          <w:rStyle w:val="aff4"/>
          <w:rFonts w:hint="cs"/>
          <w:vanish/>
          <w:rtl/>
        </w:rPr>
        <w:t>&lt; &gt;</w:t>
      </w:r>
      <w:r>
        <w:rPr>
          <w:rStyle w:val="aff4"/>
          <w:rFonts w:hint="cs"/>
          <w:rtl/>
        </w:rPr>
        <w:t>חתם סופר</w:t>
      </w:r>
      <w:r w:rsidRPr="00EB6FAF">
        <w:rPr>
          <w:rStyle w:val="aff4"/>
          <w:rFonts w:hint="cs"/>
          <w:vanish/>
          <w:rtl/>
        </w:rPr>
        <w:t>-</w:t>
      </w:r>
      <w:r>
        <w:rPr>
          <w:rFonts w:hint="cs"/>
          <w:rtl/>
        </w:rPr>
        <w:t xml:space="preserve"> </w:t>
      </w:r>
      <w:r w:rsidRPr="00D4778B">
        <w:rPr>
          <w:rStyle w:val="af2"/>
          <w:rFonts w:eastAsia="Guttman Hodes" w:hint="cs"/>
          <w:rtl/>
        </w:rPr>
        <w:t>(</w:t>
      </w:r>
      <w:r>
        <w:rPr>
          <w:rStyle w:val="af2"/>
          <w:rFonts w:eastAsia="Guttman Hodes" w:hint="cs"/>
          <w:rtl/>
        </w:rPr>
        <w:t>צד: על תוד"ה אבל</w:t>
      </w:r>
      <w:r w:rsidRPr="00D4778B">
        <w:rPr>
          <w:rStyle w:val="af2"/>
          <w:rFonts w:eastAsia="Guttman Hodes" w:hint="cs"/>
          <w:rtl/>
        </w:rPr>
        <w:t>)</w:t>
      </w:r>
      <w:r w:rsidRPr="00EB6FAF">
        <w:rPr>
          <w:rFonts w:hint="cs"/>
          <w:vanish/>
          <w:rtl/>
        </w:rPr>
        <w:t>=</w:t>
      </w:r>
      <w:r>
        <w:rPr>
          <w:rFonts w:hint="cs"/>
          <w:rtl/>
        </w:rPr>
        <w:t xml:space="preserve"> דהיינו לפי דעת </w:t>
      </w:r>
      <w:r w:rsidRPr="00EB6FAF">
        <w:rPr>
          <w:rStyle w:val="aff4"/>
          <w:rFonts w:hint="cs"/>
          <w:vanish/>
          <w:rtl/>
        </w:rPr>
        <w:t>-</w:t>
      </w:r>
      <w:r w:rsidRPr="0085567C">
        <w:rPr>
          <w:rStyle w:val="aff4"/>
          <w:rFonts w:hint="cs"/>
          <w:rtl/>
        </w:rPr>
        <w:t>ה</w:t>
      </w:r>
      <w:r>
        <w:rPr>
          <w:rStyle w:val="aff4"/>
          <w:rFonts w:hint="cs"/>
          <w:rtl/>
        </w:rPr>
        <w:t>תוס'</w:t>
      </w:r>
      <w:r w:rsidRPr="00EB6FAF">
        <w:rPr>
          <w:rStyle w:val="aff4"/>
          <w:rFonts w:hint="cs"/>
          <w:vanish/>
          <w:rtl/>
        </w:rPr>
        <w:t>-</w:t>
      </w:r>
      <w:r>
        <w:rPr>
          <w:rFonts w:hint="cs"/>
          <w:rtl/>
        </w:rPr>
        <w:t xml:space="preserve"> </w:t>
      </w:r>
      <w:r>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Ref140072938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ב)</w:t>
      </w:r>
      <w:r>
        <w:rPr>
          <w:rStyle w:val="af2"/>
          <w:rFonts w:eastAsia="Guttman Hodes"/>
          <w:rtl/>
        </w:rPr>
        <w:fldChar w:fldCharType="end"/>
      </w:r>
      <w:r>
        <w:rPr>
          <w:rStyle w:val="af2"/>
          <w:rFonts w:eastAsia="Guttman Hodes" w:hint="cs"/>
          <w:rtl/>
        </w:rPr>
        <w:t xml:space="preserve"> </w:t>
      </w:r>
      <w:r>
        <w:rPr>
          <w:rFonts w:hint="cs"/>
          <w:rtl/>
        </w:rPr>
        <w:t xml:space="preserve">דס"ל דמלאכה שאינה צריכה לגופה הוא כשאינו דומה לצורך שהיה במשכן, ובמשכן גזזו לצורך השער, אבל לדעת </w:t>
      </w:r>
      <w:r w:rsidRPr="00EB6FAF">
        <w:rPr>
          <w:rStyle w:val="aff4"/>
          <w:rFonts w:hint="cs"/>
          <w:vanish/>
          <w:rtl/>
        </w:rPr>
        <w:t>-</w:t>
      </w:r>
      <w:r>
        <w:rPr>
          <w:rStyle w:val="aff4"/>
          <w:rFonts w:hint="cs"/>
          <w:rtl/>
        </w:rPr>
        <w:t>רש"י</w:t>
      </w:r>
      <w:r w:rsidRPr="00EB6FAF">
        <w:rPr>
          <w:rStyle w:val="aff4"/>
          <w:rFonts w:hint="cs"/>
          <w:vanish/>
          <w:rtl/>
        </w:rPr>
        <w:t>-</w:t>
      </w:r>
      <w:r>
        <w:rPr>
          <w:rFonts w:hint="cs"/>
          <w:rtl/>
        </w:rPr>
        <w:t xml:space="preserve"> </w:t>
      </w:r>
      <w:r>
        <w:rPr>
          <w:rStyle w:val="af2"/>
          <w:rFonts w:eastAsia="Guttman Hodes" w:hint="cs"/>
          <w:rtl/>
        </w:rPr>
        <w:t xml:space="preserve">(הובאו בסימן ח'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Ref139359821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ב)</w:t>
      </w:r>
      <w:r>
        <w:rPr>
          <w:rStyle w:val="af2"/>
          <w:rFonts w:eastAsia="Guttman Hodes"/>
          <w:rtl/>
        </w:rPr>
        <w:fldChar w:fldCharType="end"/>
      </w:r>
      <w:r>
        <w:rPr>
          <w:rStyle w:val="af2"/>
          <w:rFonts w:eastAsia="Guttman Hodes" w:hint="cs"/>
          <w:rtl/>
        </w:rPr>
        <w:t xml:space="preserve"> </w:t>
      </w:r>
      <w:r>
        <w:rPr>
          <w:rFonts w:hint="cs"/>
          <w:rtl/>
        </w:rPr>
        <w:t>דס"ל דמלאכה שאינה צריכה לגופה הוא כשאינו רוצה במלאכה, א"כ בגוזז שער הוי מלאכה שצריכה לגופה דהא הוא רוצה במלאכה.</w:t>
      </w:r>
      <w:bookmarkEnd w:id="3714"/>
      <w:r w:rsidRPr="001A7A96">
        <w:rPr>
          <w:rStyle w:val="af"/>
          <w:rFonts w:hint="cs"/>
          <w:rtl/>
        </w:rPr>
        <w:t xml:space="preserve"> </w:t>
      </w:r>
      <w:r w:rsidRPr="00F74C5E">
        <w:rPr>
          <w:rStyle w:val="af"/>
          <w:rFonts w:hint="cs"/>
          <w:rtl/>
        </w:rPr>
        <w:t>[</w:t>
      </w:r>
      <w:r w:rsidRPr="00A1090A">
        <w:rPr>
          <w:rStyle w:val="af"/>
          <w:rFonts w:hint="cs"/>
          <w:rtl/>
        </w:rPr>
        <w:t xml:space="preserve">ועי' </w:t>
      </w:r>
      <w:r>
        <w:rPr>
          <w:rStyle w:val="af"/>
          <w:rFonts w:hint="cs"/>
          <w:rtl/>
        </w:rPr>
        <w:t xml:space="preserve">שהביא </w:t>
      </w:r>
      <w:r w:rsidRPr="00695703">
        <w:rPr>
          <w:rStyle w:val="af"/>
          <w:rFonts w:hint="cs"/>
          <w:vanish/>
          <w:rtl/>
        </w:rPr>
        <w:t>-</w:t>
      </w:r>
      <w:r w:rsidRPr="00CC0DF6">
        <w:rPr>
          <w:rStyle w:val="aff9"/>
          <w:rFonts w:hint="cs"/>
          <w:rtl/>
        </w:rPr>
        <w:t>ה</w:t>
      </w:r>
      <w:r w:rsidRPr="00695703">
        <w:rPr>
          <w:rStyle w:val="af"/>
          <w:rFonts w:hint="cs"/>
          <w:vanish/>
          <w:rtl/>
        </w:rPr>
        <w:t>&lt; &gt;</w:t>
      </w:r>
      <w:r w:rsidRPr="00CC0DF6">
        <w:rPr>
          <w:rStyle w:val="aff9"/>
          <w:rFonts w:hint="cs"/>
          <w:rtl/>
        </w:rPr>
        <w:t>מג"א</w:t>
      </w:r>
      <w:r w:rsidRPr="00695703">
        <w:rPr>
          <w:rStyle w:val="af"/>
          <w:rFonts w:hint="cs"/>
          <w:vanish/>
          <w:rtl/>
        </w:rPr>
        <w:t>-</w:t>
      </w:r>
      <w:r w:rsidRPr="00A1090A">
        <w:rPr>
          <w:rStyle w:val="af"/>
          <w:rFonts w:hint="cs"/>
          <w:rtl/>
        </w:rPr>
        <w:t xml:space="preserve"> </w:t>
      </w:r>
      <w:r w:rsidRPr="00CC0DF6">
        <w:rPr>
          <w:rStyle w:val="aff0"/>
          <w:rFonts w:hint="cs"/>
          <w:rtl/>
        </w:rPr>
        <w:t>(סי' ש"ג סקכ"ב)</w:t>
      </w:r>
      <w:r w:rsidRPr="00695703">
        <w:rPr>
          <w:rStyle w:val="af"/>
          <w:rFonts w:hint="cs"/>
          <w:vanish/>
          <w:rtl/>
        </w:rPr>
        <w:t>=</w:t>
      </w:r>
      <w:r>
        <w:rPr>
          <w:rStyle w:val="af"/>
          <w:rFonts w:hint="cs"/>
          <w:rtl/>
        </w:rPr>
        <w:t xml:space="preserve"> את דברי</w:t>
      </w:r>
      <w:r w:rsidRPr="00A1090A">
        <w:rPr>
          <w:rStyle w:val="af"/>
          <w:rFonts w:hint="cs"/>
          <w:rtl/>
        </w:rPr>
        <w:t xml:space="preserve"> </w:t>
      </w:r>
      <w:bookmarkStart w:id="3721" w:name="_Hlk135837754"/>
      <w:r w:rsidRPr="00695703">
        <w:rPr>
          <w:rStyle w:val="af"/>
          <w:rFonts w:hint="cs"/>
          <w:vanish/>
          <w:rtl/>
        </w:rPr>
        <w:t>-</w:t>
      </w:r>
      <w:r w:rsidRPr="00CC0DF6">
        <w:rPr>
          <w:rStyle w:val="aff9"/>
          <w:rFonts w:hint="cs"/>
          <w:rtl/>
        </w:rPr>
        <w:t>ה</w:t>
      </w:r>
      <w:r w:rsidRPr="00695703">
        <w:rPr>
          <w:rStyle w:val="af"/>
          <w:rFonts w:hint="cs"/>
          <w:vanish/>
          <w:rtl/>
        </w:rPr>
        <w:t>&lt;, &gt;</w:t>
      </w:r>
      <w:r w:rsidRPr="00CC0DF6">
        <w:rPr>
          <w:rStyle w:val="aff9"/>
          <w:rFonts w:hint="cs"/>
          <w:rtl/>
        </w:rPr>
        <w:t>ריב"ש</w:t>
      </w:r>
      <w:r w:rsidRPr="00695703">
        <w:rPr>
          <w:rStyle w:val="af"/>
          <w:rFonts w:hint="cs"/>
          <w:vanish/>
          <w:rtl/>
        </w:rPr>
        <w:t>-</w:t>
      </w:r>
      <w:r w:rsidRPr="00A1090A">
        <w:rPr>
          <w:rStyle w:val="af"/>
          <w:rFonts w:hint="cs"/>
          <w:rtl/>
        </w:rPr>
        <w:t xml:space="preserve"> </w:t>
      </w:r>
      <w:r w:rsidRPr="00CC0DF6">
        <w:rPr>
          <w:rStyle w:val="aff0"/>
          <w:rFonts w:hint="cs"/>
          <w:rtl/>
        </w:rPr>
        <w:t xml:space="preserve">(סי' </w:t>
      </w:r>
      <w:bookmarkEnd w:id="3721"/>
      <w:r w:rsidRPr="00CC0DF6">
        <w:rPr>
          <w:rStyle w:val="aff0"/>
          <w:rFonts w:hint="cs"/>
          <w:rtl/>
        </w:rPr>
        <w:t>שצ"ד סוד"ה לו יהי, הובא בסימן ח' אות</w:t>
      </w:r>
      <w:r w:rsidRPr="00CC0DF6">
        <w:rPr>
          <w:rStyle w:val="aff0"/>
          <w:rtl/>
        </w:rPr>
        <w:t xml:space="preserve"> </w:t>
      </w:r>
      <w:r w:rsidRPr="00CC0DF6">
        <w:rPr>
          <w:rStyle w:val="aff0"/>
          <w:rtl/>
        </w:rPr>
        <w:fldChar w:fldCharType="begin"/>
      </w:r>
      <w:r w:rsidRPr="00CC0DF6">
        <w:rPr>
          <w:rStyle w:val="aff0"/>
          <w:rtl/>
        </w:rPr>
        <w:instrText xml:space="preserve"> </w:instrText>
      </w:r>
      <w:r w:rsidRPr="00CC0DF6">
        <w:rPr>
          <w:rStyle w:val="aff0"/>
          <w:rFonts w:hint="cs"/>
        </w:rPr>
        <w:instrText>REF</w:instrText>
      </w:r>
      <w:r w:rsidRPr="00CC0DF6">
        <w:rPr>
          <w:rStyle w:val="aff0"/>
          <w:rFonts w:hint="cs"/>
          <w:rtl/>
        </w:rPr>
        <w:instrText xml:space="preserve"> _</w:instrText>
      </w:r>
      <w:r w:rsidRPr="00CC0DF6">
        <w:rPr>
          <w:rStyle w:val="aff0"/>
          <w:rFonts w:hint="cs"/>
        </w:rPr>
        <w:instrText>Ref135818169 \r \h</w:instrText>
      </w:r>
      <w:r w:rsidRPr="00CC0DF6">
        <w:rPr>
          <w:rStyle w:val="aff0"/>
          <w:rtl/>
        </w:rPr>
        <w:instrText xml:space="preserve"> </w:instrText>
      </w:r>
      <w:r>
        <w:rPr>
          <w:rStyle w:val="aff0"/>
          <w:rtl/>
        </w:rPr>
        <w:instrText xml:space="preserve"> \* </w:instrText>
      </w:r>
      <w:r>
        <w:rPr>
          <w:rStyle w:val="aff0"/>
        </w:rPr>
        <w:instrText>MERGEFORMAT</w:instrText>
      </w:r>
      <w:r>
        <w:rPr>
          <w:rStyle w:val="aff0"/>
          <w:rtl/>
        </w:rPr>
        <w:instrText xml:space="preserve"> </w:instrText>
      </w:r>
      <w:r w:rsidRPr="00CC0DF6">
        <w:rPr>
          <w:rStyle w:val="aff0"/>
          <w:rtl/>
        </w:rPr>
      </w:r>
      <w:r w:rsidRPr="00CC0DF6">
        <w:rPr>
          <w:rStyle w:val="aff0"/>
          <w:rtl/>
        </w:rPr>
        <w:fldChar w:fldCharType="separate"/>
      </w:r>
      <w:r w:rsidR="00D82181">
        <w:rPr>
          <w:rStyle w:val="aff0"/>
          <w:cs/>
        </w:rPr>
        <w:t>‎</w:t>
      </w:r>
      <w:r w:rsidR="00D82181">
        <w:rPr>
          <w:rStyle w:val="aff0"/>
          <w:rtl/>
        </w:rPr>
        <w:t>יא)</w:t>
      </w:r>
      <w:r w:rsidRPr="00CC0DF6">
        <w:rPr>
          <w:rStyle w:val="aff0"/>
          <w:rtl/>
        </w:rPr>
        <w:fldChar w:fldCharType="end"/>
      </w:r>
      <w:r w:rsidRPr="00695703">
        <w:rPr>
          <w:rStyle w:val="af"/>
          <w:rFonts w:hint="cs"/>
          <w:vanish/>
          <w:rtl/>
        </w:rPr>
        <w:t>=</w:t>
      </w:r>
      <w:r w:rsidRPr="00A1090A">
        <w:rPr>
          <w:rStyle w:val="af"/>
          <w:rFonts w:hint="cs"/>
          <w:rtl/>
        </w:rPr>
        <w:t xml:space="preserve"> </w:t>
      </w:r>
      <w:r>
        <w:rPr>
          <w:rStyle w:val="af"/>
          <w:rFonts w:hint="cs"/>
          <w:rtl/>
        </w:rPr>
        <w:t>דכתב</w:t>
      </w:r>
      <w:r w:rsidRPr="00A1090A">
        <w:rPr>
          <w:rStyle w:val="af"/>
          <w:rFonts w:hint="cs"/>
          <w:rtl/>
        </w:rPr>
        <w:t xml:space="preserve"> דהייתה גזיזה במשכן בין לצורך הצמר והשיער</w:t>
      </w:r>
      <w:r>
        <w:rPr>
          <w:rStyle w:val="af"/>
          <w:rFonts w:hint="cs"/>
          <w:rtl/>
        </w:rPr>
        <w:t>,</w:t>
      </w:r>
      <w:r w:rsidRPr="00A1090A">
        <w:rPr>
          <w:rStyle w:val="af"/>
          <w:rFonts w:hint="cs"/>
          <w:rtl/>
        </w:rPr>
        <w:t xml:space="preserve"> ובין לצורך העור לנקותו מהשיער כגון בעורות תחשים</w:t>
      </w:r>
      <w:r w:rsidRPr="00F74C5E">
        <w:rPr>
          <w:rStyle w:val="af"/>
          <w:rFonts w:hint="cs"/>
          <w:rtl/>
        </w:rPr>
        <w:t>].</w:t>
      </w:r>
    </w:p>
    <w:p w14:paraId="396F4C13" w14:textId="77777777" w:rsidR="002748A5" w:rsidRPr="00747170" w:rsidRDefault="002748A5" w:rsidP="00747170">
      <w:pPr>
        <w:pStyle w:val="a2"/>
        <w:rPr>
          <w:rtl/>
        </w:rPr>
      </w:pPr>
      <w:r w:rsidRPr="00747170">
        <w:rPr>
          <w:rtl/>
        </w:rPr>
        <w:t>אבל בכלי ד"ה חייב - היינו כרבי יהודה דמחייב במלאכה שאינה צריכה לגופה</w:t>
      </w:r>
      <w:r w:rsidRPr="00747170">
        <w:rPr>
          <w:rFonts w:hint="cs"/>
          <w:rtl/>
        </w:rPr>
        <w:t>.</w:t>
      </w:r>
    </w:p>
    <w:p w14:paraId="7DC6443F" w14:textId="77777777" w:rsidR="002748A5" w:rsidRPr="00695703" w:rsidRDefault="002748A5" w:rsidP="00747170">
      <w:pPr>
        <w:pStyle w:val="afffff5"/>
      </w:pPr>
      <w:r w:rsidRPr="00695703">
        <w:rPr>
          <w:rtl/>
        </w:rPr>
        <w:t>תוס</w:t>
      </w:r>
      <w:r w:rsidRPr="00695703">
        <w:rPr>
          <w:rFonts w:hint="cs"/>
          <w:rtl/>
        </w:rPr>
        <w:t>'</w:t>
      </w:r>
      <w:r w:rsidRPr="00695703">
        <w:rPr>
          <w:rtl/>
        </w:rPr>
        <w:t xml:space="preserve"> ד"ה אבל בכלי דברי הכל חייב היינו כר' יהודה וכו' כל דבריהם בזה הדיבור אזלא לשיטתייהו במלאכה שאינה צריכה לגופא </w:t>
      </w:r>
      <w:r w:rsidRPr="00695703">
        <w:rPr>
          <w:rFonts w:hint="cs"/>
          <w:rtl/>
        </w:rPr>
        <w:t>[</w:t>
      </w:r>
      <w:r w:rsidRPr="00695703">
        <w:rPr>
          <w:rtl/>
        </w:rPr>
        <w:t>לעיל ע"א ד"ה ר"ש</w:t>
      </w:r>
      <w:r w:rsidRPr="00695703">
        <w:rPr>
          <w:rFonts w:hint="cs"/>
          <w:rtl/>
        </w:rPr>
        <w:t>]</w:t>
      </w:r>
      <w:r w:rsidRPr="00695703">
        <w:rPr>
          <w:rtl/>
        </w:rPr>
        <w:t xml:space="preserve"> משא"כ לרש"י לעיל </w:t>
      </w:r>
      <w:r w:rsidRPr="00695703">
        <w:rPr>
          <w:rFonts w:hint="cs"/>
          <w:rtl/>
        </w:rPr>
        <w:t>[</w:t>
      </w:r>
      <w:r w:rsidRPr="00695703">
        <w:rPr>
          <w:rtl/>
        </w:rPr>
        <w:t>צ"</w:t>
      </w:r>
      <w:r w:rsidRPr="00695703">
        <w:rPr>
          <w:rFonts w:hint="cs"/>
          <w:rtl/>
        </w:rPr>
        <w:t>ג</w:t>
      </w:r>
      <w:r w:rsidRPr="00695703">
        <w:rPr>
          <w:rtl/>
        </w:rPr>
        <w:t xml:space="preserve"> ע"ב ד"ה ור"ש</w:t>
      </w:r>
      <w:r w:rsidRPr="00695703">
        <w:rPr>
          <w:rFonts w:hint="cs"/>
          <w:rtl/>
        </w:rPr>
        <w:t>]</w:t>
      </w:r>
      <w:r w:rsidRPr="00695703">
        <w:rPr>
          <w:rtl/>
        </w:rPr>
        <w:t xml:space="preserve"> הוה אינה צריכה לגופא שלדעתו לא יהי' דבר זה בעולם וזה לא שייך הכי בשערו וצפרניו ודוק</w:t>
      </w:r>
      <w:r w:rsidRPr="00695703">
        <w:rPr>
          <w:rFonts w:hint="cs"/>
          <w:rtl/>
        </w:rPr>
        <w:t>.</w:t>
      </w:r>
    </w:p>
    <w:p w14:paraId="3A3532CD" w14:textId="0B17F510" w:rsidR="002748A5" w:rsidRPr="00C12F78" w:rsidRDefault="002748A5" w:rsidP="002748A5">
      <w:pPr>
        <w:pStyle w:val="afffff7"/>
        <w:rPr>
          <w:rtl/>
        </w:rPr>
      </w:pPr>
      <w:bookmarkStart w:id="3722" w:name="_Toc140144395"/>
      <w:bookmarkStart w:id="3723" w:name="_Toc140144872"/>
      <w:bookmarkStart w:id="3724" w:name="_Toc163505987"/>
      <w:r w:rsidRPr="00C12F78">
        <w:rPr>
          <w:rtl/>
        </w:rPr>
        <w:t>רש"י ביצה ל"ד ע"א</w:t>
      </w:r>
      <w:bookmarkEnd w:id="3722"/>
      <w:bookmarkEnd w:id="3724"/>
      <w:r w:rsidRPr="00C12F78">
        <w:rPr>
          <w:vanish/>
          <w:rtl/>
        </w:rPr>
        <w:t xml:space="preserve"> (ט)</w:t>
      </w:r>
      <w:bookmarkEnd w:id="3723"/>
    </w:p>
    <w:p w14:paraId="25EABD83" w14:textId="77777777" w:rsidR="002748A5" w:rsidRPr="00C12F78" w:rsidRDefault="002748A5" w:rsidP="002748A5">
      <w:pPr>
        <w:pStyle w:val="afffff7"/>
        <w:rPr>
          <w:rtl/>
        </w:rPr>
      </w:pPr>
      <w:bookmarkStart w:id="3725" w:name="_Toc140144396"/>
      <w:bookmarkStart w:id="3726" w:name="_Toc140144873"/>
      <w:bookmarkStart w:id="3727" w:name="_Toc140144294"/>
      <w:bookmarkStart w:id="3728" w:name="_Toc140144525"/>
      <w:bookmarkStart w:id="3729" w:name="_Toc163505988"/>
      <w:r w:rsidRPr="00C12F78">
        <w:rPr>
          <w:rtl/>
        </w:rPr>
        <w:t>גליוני הש"ס שבת צ"ד ע"ב</w:t>
      </w:r>
      <w:bookmarkEnd w:id="3725"/>
      <w:r w:rsidRPr="00C12F78">
        <w:rPr>
          <w:rFonts w:hint="cs"/>
          <w:rtl/>
        </w:rPr>
        <w:t xml:space="preserve"> על תוד"ה אבל</w:t>
      </w:r>
      <w:bookmarkEnd w:id="3729"/>
      <w:r w:rsidRPr="00C12F78">
        <w:rPr>
          <w:vanish/>
          <w:rtl/>
        </w:rPr>
        <w:t xml:space="preserve"> (ט)</w:t>
      </w:r>
      <w:bookmarkEnd w:id="3726"/>
    </w:p>
    <w:p w14:paraId="397518AA" w14:textId="77777777" w:rsidR="002748A5" w:rsidRPr="001A7A96" w:rsidRDefault="002748A5" w:rsidP="002748A5">
      <w:pPr>
        <w:pStyle w:val="a7"/>
      </w:pPr>
      <w:r>
        <w:rPr>
          <w:rFonts w:hint="cs"/>
          <w:rtl/>
        </w:rPr>
        <w:t>בי' המהר"י ענגיל דברש"י בביצה משמע דחיוב גוזז שער הוא רק בצריך את השער</w:t>
      </w:r>
      <w:bookmarkEnd w:id="3727"/>
      <w:bookmarkEnd w:id="3728"/>
    </w:p>
    <w:p w14:paraId="5C4015EF" w14:textId="106361B0" w:rsidR="002748A5" w:rsidRPr="00F74C5E" w:rsidRDefault="002748A5" w:rsidP="00BC7DC8">
      <w:pPr>
        <w:pStyle w:val="a3"/>
        <w:rPr>
          <w:rStyle w:val="af"/>
          <w:rtl/>
        </w:rPr>
      </w:pPr>
      <w:r>
        <w:rPr>
          <w:rFonts w:hint="cs"/>
          <w:rtl/>
        </w:rPr>
        <w:t>וע"ע במה שהביא</w:t>
      </w:r>
      <w:r w:rsidRPr="005C3000">
        <w:rPr>
          <w:rFonts w:hint="cs"/>
          <w:rtl/>
        </w:rPr>
        <w:t xml:space="preserve"> </w:t>
      </w:r>
      <w:r w:rsidRPr="00EB6FAF">
        <w:rPr>
          <w:rStyle w:val="aff4"/>
          <w:rFonts w:hint="cs"/>
          <w:vanish/>
          <w:rtl/>
        </w:rPr>
        <w:t>-</w:t>
      </w:r>
      <w:r w:rsidRPr="0085567C">
        <w:rPr>
          <w:rStyle w:val="aff4"/>
          <w:rFonts w:hint="cs"/>
          <w:rtl/>
        </w:rPr>
        <w:t>ה</w:t>
      </w:r>
      <w:r w:rsidRPr="00527BD6">
        <w:rPr>
          <w:rStyle w:val="aff4"/>
          <w:rFonts w:hint="cs"/>
          <w:vanish/>
          <w:rtl/>
        </w:rPr>
        <w:t>&lt; &gt;</w:t>
      </w:r>
      <w:r>
        <w:rPr>
          <w:rStyle w:val="aff4"/>
          <w:rFonts w:hint="cs"/>
          <w:rtl/>
        </w:rPr>
        <w:t>מהר"י ענגיל בגליוני הש"ס</w:t>
      </w:r>
      <w:r w:rsidRPr="00EB6FAF">
        <w:rPr>
          <w:rStyle w:val="aff4"/>
          <w:rFonts w:hint="cs"/>
          <w:vanish/>
          <w:rtl/>
        </w:rPr>
        <w:t>-</w:t>
      </w:r>
      <w:r>
        <w:rPr>
          <w:rFonts w:hint="cs"/>
          <w:rtl/>
        </w:rPr>
        <w:t xml:space="preserve"> </w:t>
      </w:r>
      <w:r w:rsidRPr="00D4778B">
        <w:rPr>
          <w:rStyle w:val="af2"/>
          <w:rFonts w:eastAsia="Guttman Hodes" w:hint="cs"/>
          <w:rtl/>
        </w:rPr>
        <w:t>(</w:t>
      </w:r>
      <w:r>
        <w:rPr>
          <w:rStyle w:val="af2"/>
          <w:rFonts w:eastAsia="Guttman Hodes" w:hint="cs"/>
          <w:rtl/>
        </w:rPr>
        <w:t>צד: על תוד"ה אבל</w:t>
      </w:r>
      <w:r w:rsidRPr="00D4778B">
        <w:rPr>
          <w:rStyle w:val="af2"/>
          <w:rFonts w:eastAsia="Guttman Hodes" w:hint="cs"/>
          <w:rtl/>
        </w:rPr>
        <w:t>)</w:t>
      </w:r>
      <w:r w:rsidRPr="00EB6FAF">
        <w:rPr>
          <w:rFonts w:hint="cs"/>
          <w:vanish/>
          <w:rtl/>
        </w:rPr>
        <w:t>=</w:t>
      </w:r>
      <w:r>
        <w:rPr>
          <w:rFonts w:hint="cs"/>
          <w:rtl/>
        </w:rPr>
        <w:t xml:space="preserve"> את דברי </w:t>
      </w:r>
      <w:r w:rsidRPr="00527BD6">
        <w:rPr>
          <w:rStyle w:val="aff4"/>
          <w:rFonts w:hint="cs"/>
          <w:vanish/>
          <w:rtl/>
        </w:rPr>
        <w:t>&lt; &gt;</w:t>
      </w:r>
      <w:r w:rsidRPr="00EB6FAF">
        <w:rPr>
          <w:rStyle w:val="aff4"/>
          <w:rFonts w:hint="cs"/>
          <w:vanish/>
          <w:rtl/>
        </w:rPr>
        <w:t>-</w:t>
      </w:r>
      <w:r>
        <w:rPr>
          <w:rStyle w:val="aff4"/>
          <w:rFonts w:hint="cs"/>
          <w:rtl/>
        </w:rPr>
        <w:t>רש"י בביצה</w:t>
      </w:r>
      <w:r w:rsidRPr="00EB6FAF">
        <w:rPr>
          <w:rStyle w:val="aff4"/>
          <w:rFonts w:hint="cs"/>
          <w:vanish/>
          <w:rtl/>
        </w:rPr>
        <w:t>-</w:t>
      </w:r>
      <w:r>
        <w:rPr>
          <w:rFonts w:hint="cs"/>
          <w:rtl/>
        </w:rPr>
        <w:t xml:space="preserve"> </w:t>
      </w:r>
      <w:r w:rsidRPr="00D4778B">
        <w:rPr>
          <w:rStyle w:val="af2"/>
          <w:rFonts w:eastAsia="Guttman Hodes" w:hint="cs"/>
          <w:rtl/>
        </w:rPr>
        <w:t>(</w:t>
      </w:r>
      <w:r>
        <w:rPr>
          <w:rStyle w:val="af2"/>
          <w:rFonts w:eastAsia="Guttman Hodes" w:hint="cs"/>
          <w:rtl/>
        </w:rPr>
        <w:t>לד. ד"ה ואין</w:t>
      </w:r>
      <w:r w:rsidRPr="00D4778B">
        <w:rPr>
          <w:rStyle w:val="af2"/>
          <w:rFonts w:eastAsia="Guttman Hodes" w:hint="cs"/>
          <w:rtl/>
        </w:rPr>
        <w:t>)</w:t>
      </w:r>
      <w:r w:rsidRPr="00EB6FAF">
        <w:rPr>
          <w:rFonts w:hint="cs"/>
          <w:vanish/>
          <w:rtl/>
        </w:rPr>
        <w:t>=</w:t>
      </w:r>
      <w:r>
        <w:rPr>
          <w:rFonts w:hint="cs"/>
          <w:rtl/>
        </w:rPr>
        <w:t xml:space="preserve"> דכתב דכבש שחוט אסור לגזוז ביו"ט את שערו במספרים, כיון דנראה שהוא צריך את השער. </w:t>
      </w:r>
      <w:r w:rsidRPr="00F74C5E">
        <w:rPr>
          <w:rStyle w:val="af"/>
          <w:rFonts w:hint="cs"/>
          <w:rtl/>
        </w:rPr>
        <w:t xml:space="preserve">[ומשמע דס"ל </w:t>
      </w:r>
      <w:r w:rsidRPr="00C16F6E">
        <w:rPr>
          <w:rStyle w:val="af"/>
          <w:rFonts w:hint="cs"/>
          <w:vanish/>
          <w:rtl/>
        </w:rPr>
        <w:t>-</w:t>
      </w:r>
      <w:r w:rsidRPr="00C6549D">
        <w:rPr>
          <w:rStyle w:val="aff9"/>
          <w:rFonts w:hint="cs"/>
          <w:rtl/>
        </w:rPr>
        <w:t>לרש"י בביצה</w:t>
      </w:r>
      <w:r w:rsidRPr="009703C9">
        <w:rPr>
          <w:rStyle w:val="aff9"/>
          <w:rFonts w:hint="cs"/>
          <w:vanish/>
          <w:rtl/>
        </w:rPr>
        <w:t>-</w:t>
      </w:r>
      <w:r w:rsidRPr="00C6549D">
        <w:rPr>
          <w:rStyle w:val="aff9"/>
          <w:rFonts w:hint="cs"/>
          <w:rtl/>
        </w:rPr>
        <w:t xml:space="preserve"> </w:t>
      </w:r>
      <w:r w:rsidRPr="00F74C5E">
        <w:rPr>
          <w:rStyle w:val="af"/>
          <w:rFonts w:hint="cs"/>
          <w:rtl/>
        </w:rPr>
        <w:t xml:space="preserve">דרק בכה"ג חשיב מלאכה שאינה צריכה לגופה, ודלא כביאור </w:t>
      </w:r>
      <w:r w:rsidRPr="009703C9">
        <w:rPr>
          <w:rStyle w:val="aff9"/>
          <w:rFonts w:hint="cs"/>
          <w:vanish/>
          <w:rtl/>
        </w:rPr>
        <w:t>-</w:t>
      </w:r>
      <w:r w:rsidRPr="00C6549D">
        <w:rPr>
          <w:rStyle w:val="aff9"/>
          <w:rFonts w:hint="cs"/>
          <w:rtl/>
        </w:rPr>
        <w:t>החת"ס</w:t>
      </w:r>
      <w:r w:rsidRPr="009703C9">
        <w:rPr>
          <w:rStyle w:val="aff9"/>
          <w:rFonts w:hint="cs"/>
          <w:vanish/>
          <w:rtl/>
        </w:rPr>
        <w:t>-</w:t>
      </w:r>
      <w:r>
        <w:rPr>
          <w:rStyle w:val="af"/>
          <w:rFonts w:hint="cs"/>
          <w:rtl/>
        </w:rPr>
        <w:t xml:space="preserve"> </w:t>
      </w:r>
      <w:r w:rsidRPr="001A7A96">
        <w:rPr>
          <w:rStyle w:val="aff0"/>
          <w:rFonts w:hint="cs"/>
          <w:rtl/>
        </w:rPr>
        <w:t xml:space="preserve">(עי' אות </w:t>
      </w:r>
      <w:r w:rsidRPr="001A7A96">
        <w:rPr>
          <w:rStyle w:val="aff0"/>
          <w:rtl/>
        </w:rPr>
        <w:fldChar w:fldCharType="begin"/>
      </w:r>
      <w:r w:rsidRPr="001A7A96">
        <w:rPr>
          <w:rStyle w:val="aff0"/>
          <w:rtl/>
        </w:rPr>
        <w:instrText xml:space="preserve"> </w:instrText>
      </w:r>
      <w:r w:rsidRPr="001A7A96">
        <w:rPr>
          <w:rStyle w:val="aff0"/>
          <w:rFonts w:hint="cs"/>
        </w:rPr>
        <w:instrText>REF</w:instrText>
      </w:r>
      <w:r w:rsidRPr="001A7A96">
        <w:rPr>
          <w:rStyle w:val="aff0"/>
          <w:rFonts w:hint="cs"/>
          <w:rtl/>
        </w:rPr>
        <w:instrText xml:space="preserve"> _</w:instrText>
      </w:r>
      <w:r w:rsidRPr="001A7A96">
        <w:rPr>
          <w:rStyle w:val="aff0"/>
          <w:rFonts w:hint="cs"/>
        </w:rPr>
        <w:instrText>Ref140141947 \r \h</w:instrText>
      </w:r>
      <w:r w:rsidRPr="001A7A96">
        <w:rPr>
          <w:rStyle w:val="aff0"/>
          <w:rtl/>
        </w:rPr>
        <w:instrText xml:space="preserve"> </w:instrText>
      </w:r>
      <w:r w:rsidRPr="001A7A96">
        <w:rPr>
          <w:rStyle w:val="aff0"/>
          <w:rtl/>
        </w:rPr>
      </w:r>
      <w:r w:rsidRPr="001A7A96">
        <w:rPr>
          <w:rStyle w:val="aff0"/>
          <w:rtl/>
        </w:rPr>
        <w:fldChar w:fldCharType="separate"/>
      </w:r>
      <w:r w:rsidR="00D82181">
        <w:rPr>
          <w:rStyle w:val="aff0"/>
          <w:cs/>
        </w:rPr>
        <w:t>‎</w:t>
      </w:r>
      <w:r w:rsidR="00D82181">
        <w:rPr>
          <w:rStyle w:val="aff0"/>
        </w:rPr>
        <w:t>0</w:t>
      </w:r>
      <w:r w:rsidRPr="001A7A96">
        <w:rPr>
          <w:rStyle w:val="aff0"/>
          <w:rtl/>
        </w:rPr>
        <w:fldChar w:fldCharType="end"/>
      </w:r>
      <w:r>
        <w:rPr>
          <w:rStyle w:val="af"/>
          <w:rFonts w:hint="cs"/>
          <w:rtl/>
        </w:rPr>
        <w:t xml:space="preserve"> בדעת </w:t>
      </w:r>
      <w:r w:rsidRPr="009703C9">
        <w:rPr>
          <w:rStyle w:val="aff9"/>
          <w:rFonts w:hint="cs"/>
          <w:vanish/>
          <w:rtl/>
        </w:rPr>
        <w:t>-</w:t>
      </w:r>
      <w:r w:rsidRPr="00C6549D">
        <w:rPr>
          <w:rStyle w:val="aff9"/>
          <w:rFonts w:hint="cs"/>
          <w:rtl/>
        </w:rPr>
        <w:t>רש"י</w:t>
      </w:r>
      <w:r w:rsidRPr="009703C9">
        <w:rPr>
          <w:rStyle w:val="aff9"/>
          <w:rFonts w:hint="cs"/>
          <w:vanish/>
          <w:rtl/>
        </w:rPr>
        <w:t>-</w:t>
      </w:r>
      <w:r>
        <w:rPr>
          <w:rStyle w:val="af"/>
          <w:rFonts w:hint="cs"/>
          <w:rtl/>
        </w:rPr>
        <w:t xml:space="preserve">, ועי' </w:t>
      </w:r>
      <w:r w:rsidRPr="00C6549D">
        <w:rPr>
          <w:rStyle w:val="af"/>
          <w:rFonts w:hint="cs"/>
          <w:rtl/>
        </w:rPr>
        <w:t xml:space="preserve">במה שביאר </w:t>
      </w:r>
      <w:r w:rsidRPr="009703C9">
        <w:rPr>
          <w:rStyle w:val="aff9"/>
          <w:rFonts w:hint="cs"/>
          <w:vanish/>
          <w:rtl/>
        </w:rPr>
        <w:t>-</w:t>
      </w:r>
      <w:r w:rsidRPr="00C6549D">
        <w:rPr>
          <w:rStyle w:val="aff9"/>
          <w:rFonts w:hint="cs"/>
          <w:rtl/>
        </w:rPr>
        <w:t>המרכבת המשנה</w:t>
      </w:r>
      <w:r w:rsidRPr="009703C9">
        <w:rPr>
          <w:rStyle w:val="aff9"/>
          <w:rFonts w:hint="cs"/>
          <w:vanish/>
          <w:rtl/>
        </w:rPr>
        <w:t>-</w:t>
      </w:r>
      <w:r w:rsidRPr="00C6549D">
        <w:rPr>
          <w:rStyle w:val="aff9"/>
          <w:rFonts w:hint="cs"/>
          <w:rtl/>
        </w:rPr>
        <w:t xml:space="preserve"> </w:t>
      </w:r>
      <w:r w:rsidRPr="009703C9">
        <w:rPr>
          <w:rStyle w:val="aff0"/>
          <w:rFonts w:hint="cs"/>
          <w:rtl/>
        </w:rPr>
        <w:t xml:space="preserve">(הובא בסימן ח' אות </w:t>
      </w:r>
      <w:r w:rsidRPr="009703C9">
        <w:rPr>
          <w:rStyle w:val="aff0"/>
          <w:rtl/>
        </w:rPr>
        <w:fldChar w:fldCharType="begin"/>
      </w:r>
      <w:r w:rsidRPr="009703C9">
        <w:rPr>
          <w:rStyle w:val="aff0"/>
          <w:rtl/>
        </w:rPr>
        <w:instrText xml:space="preserve"> </w:instrText>
      </w:r>
      <w:r w:rsidRPr="009703C9">
        <w:rPr>
          <w:rStyle w:val="aff0"/>
          <w:rFonts w:hint="cs"/>
        </w:rPr>
        <w:instrText>REF</w:instrText>
      </w:r>
      <w:r w:rsidRPr="009703C9">
        <w:rPr>
          <w:rStyle w:val="aff0"/>
          <w:rFonts w:hint="cs"/>
          <w:rtl/>
        </w:rPr>
        <w:instrText xml:space="preserve"> _</w:instrText>
      </w:r>
      <w:r w:rsidRPr="009703C9">
        <w:rPr>
          <w:rStyle w:val="aff0"/>
          <w:rFonts w:hint="cs"/>
        </w:rPr>
        <w:instrText>Ref140053335 \r \h</w:instrText>
      </w:r>
      <w:r w:rsidRPr="009703C9">
        <w:rPr>
          <w:rStyle w:val="aff0"/>
          <w:rtl/>
        </w:rPr>
        <w:instrText xml:space="preserve">  \* </w:instrText>
      </w:r>
      <w:r w:rsidRPr="009703C9">
        <w:rPr>
          <w:rStyle w:val="aff0"/>
        </w:rPr>
        <w:instrText>MERGEFORMAT</w:instrText>
      </w:r>
      <w:r w:rsidRPr="009703C9">
        <w:rPr>
          <w:rStyle w:val="aff0"/>
          <w:rtl/>
        </w:rPr>
        <w:instrText xml:space="preserve"> </w:instrText>
      </w:r>
      <w:r w:rsidRPr="009703C9">
        <w:rPr>
          <w:rStyle w:val="aff0"/>
          <w:rtl/>
        </w:rPr>
      </w:r>
      <w:r w:rsidRPr="009703C9">
        <w:rPr>
          <w:rStyle w:val="aff0"/>
          <w:rtl/>
        </w:rPr>
        <w:fldChar w:fldCharType="separate"/>
      </w:r>
      <w:r w:rsidR="00D82181">
        <w:rPr>
          <w:rStyle w:val="aff0"/>
          <w:cs/>
        </w:rPr>
        <w:t>‎</w:t>
      </w:r>
      <w:r w:rsidR="00D82181">
        <w:rPr>
          <w:rStyle w:val="aff0"/>
          <w:rtl/>
        </w:rPr>
        <w:t>מד)</w:t>
      </w:r>
      <w:r w:rsidRPr="009703C9">
        <w:rPr>
          <w:rStyle w:val="aff0"/>
          <w:rtl/>
        </w:rPr>
        <w:fldChar w:fldCharType="end"/>
      </w:r>
      <w:r w:rsidRPr="00C6549D">
        <w:rPr>
          <w:rStyle w:val="af"/>
          <w:rFonts w:hint="cs"/>
          <w:rtl/>
        </w:rPr>
        <w:t xml:space="preserve"> בדעת</w:t>
      </w:r>
      <w:r>
        <w:rPr>
          <w:rStyle w:val="af"/>
          <w:rFonts w:hint="cs"/>
          <w:rtl/>
        </w:rPr>
        <w:t xml:space="preserve"> </w:t>
      </w:r>
      <w:r w:rsidRPr="009703C9">
        <w:rPr>
          <w:rStyle w:val="aff9"/>
          <w:rFonts w:hint="cs"/>
          <w:vanish/>
          <w:rtl/>
        </w:rPr>
        <w:t>-</w:t>
      </w:r>
      <w:r w:rsidRPr="00C6549D">
        <w:rPr>
          <w:rStyle w:val="aff9"/>
          <w:rFonts w:hint="cs"/>
          <w:rtl/>
        </w:rPr>
        <w:t>רש"י</w:t>
      </w:r>
      <w:r w:rsidRPr="009703C9">
        <w:rPr>
          <w:rStyle w:val="aff9"/>
          <w:rFonts w:hint="cs"/>
          <w:vanish/>
          <w:rtl/>
        </w:rPr>
        <w:t>-</w:t>
      </w:r>
      <w:r w:rsidRPr="00C6549D">
        <w:rPr>
          <w:rStyle w:val="aff9"/>
          <w:rFonts w:hint="cs"/>
          <w:rtl/>
        </w:rPr>
        <w:t xml:space="preserve"> </w:t>
      </w:r>
      <w:r>
        <w:rPr>
          <w:rStyle w:val="af"/>
          <w:rFonts w:hint="cs"/>
          <w:rtl/>
        </w:rPr>
        <w:t>ולפי"ז אפשר ליישב</w:t>
      </w:r>
      <w:r w:rsidRPr="00F74C5E">
        <w:rPr>
          <w:rStyle w:val="af"/>
          <w:rFonts w:hint="cs"/>
          <w:rtl/>
        </w:rPr>
        <w:t>].</w:t>
      </w:r>
    </w:p>
    <w:p w14:paraId="21966C69" w14:textId="77777777" w:rsidR="002748A5" w:rsidRPr="00747170" w:rsidRDefault="002748A5" w:rsidP="00747170">
      <w:pPr>
        <w:pStyle w:val="a2"/>
        <w:rPr>
          <w:rtl/>
        </w:rPr>
      </w:pPr>
      <w:r w:rsidRPr="00747170">
        <w:rPr>
          <w:rtl/>
        </w:rPr>
        <w:t>ואין גוזזין אותן במספרים - דמחזי כצריך לשער.</w:t>
      </w:r>
    </w:p>
    <w:p w14:paraId="22C9B1EB" w14:textId="77777777" w:rsidR="002748A5" w:rsidRPr="00695703" w:rsidRDefault="002748A5" w:rsidP="00747170">
      <w:pPr>
        <w:pStyle w:val="afffff5"/>
        <w:rPr>
          <w:rtl/>
        </w:rPr>
      </w:pPr>
      <w:r w:rsidRPr="00695703">
        <w:rPr>
          <w:rtl/>
        </w:rPr>
        <w:t>שם תוד"ה אבל בכלי כ' היינו לר"י כו', נ"ב האריכו בזה הראשונים אי בעי' בגזיזה שיהי' צריך לדבר הנגזז וכן בעניין אי שייכא מלאכת גזיזה בתולש שער מבעל חי לאחר מיתתו וע' רש"י ביצה ל"ד א' ד"ה ואין גוזזין אותם במספרים עש"ה:</w:t>
      </w:r>
    </w:p>
    <w:p w14:paraId="2EBB3992" w14:textId="3FC66CA6" w:rsidR="002748A5" w:rsidRPr="003B63CB" w:rsidRDefault="002748A5" w:rsidP="002748A5">
      <w:pPr>
        <w:pStyle w:val="affff5"/>
        <w:rPr>
          <w:rtl/>
        </w:rPr>
      </w:pPr>
      <w:bookmarkStart w:id="3730" w:name="_Toc140075703"/>
      <w:bookmarkStart w:id="3731" w:name="_Toc140077792"/>
      <w:bookmarkStart w:id="3732" w:name="_Toc140099753"/>
      <w:bookmarkStart w:id="3733" w:name="_Toc140144295"/>
      <w:bookmarkStart w:id="3734" w:name="_Toc140144526"/>
      <w:r w:rsidRPr="003B63CB">
        <w:rPr>
          <w:rtl/>
        </w:rPr>
        <w:t xml:space="preserve">בד' </w:t>
      </w:r>
      <w:r w:rsidRPr="003B63CB">
        <w:rPr>
          <w:rFonts w:hint="cs"/>
          <w:rtl/>
        </w:rPr>
        <w:t>תוס'</w:t>
      </w:r>
      <w:r w:rsidRPr="003B63CB">
        <w:rPr>
          <w:rtl/>
        </w:rPr>
        <w:t xml:space="preserve"> במשאצל"ג בחובל ומבעיר</w:t>
      </w:r>
      <w:bookmarkEnd w:id="3730"/>
      <w:bookmarkEnd w:id="3731"/>
      <w:bookmarkEnd w:id="3732"/>
      <w:bookmarkEnd w:id="3733"/>
      <w:bookmarkEnd w:id="3734"/>
    </w:p>
    <w:p w14:paraId="5F9C6E87" w14:textId="77777777" w:rsidR="002748A5" w:rsidRPr="003B63CB" w:rsidRDefault="002748A5" w:rsidP="002748A5">
      <w:pPr>
        <w:pStyle w:val="1"/>
      </w:pPr>
      <w:bookmarkStart w:id="3735" w:name="_Toc140075704"/>
      <w:bookmarkStart w:id="3736" w:name="_Toc140077793"/>
      <w:bookmarkStart w:id="3737" w:name="_Toc140099754"/>
      <w:bookmarkStart w:id="3738" w:name="_Toc140144296"/>
      <w:bookmarkStart w:id="3739" w:name="_Toc140144527"/>
      <w:r>
        <w:rPr>
          <w:rFonts w:hint="cs"/>
          <w:rtl/>
        </w:rPr>
        <w:t>ביאורי התוס' במקור פלוגתת ר"י ור"ש במשאצל"ג</w:t>
      </w:r>
      <w:bookmarkEnd w:id="3735"/>
      <w:bookmarkEnd w:id="3736"/>
      <w:bookmarkEnd w:id="3737"/>
      <w:bookmarkEnd w:id="3738"/>
      <w:bookmarkEnd w:id="3739"/>
    </w:p>
    <w:p w14:paraId="0F491EBE" w14:textId="77777777" w:rsidR="002748A5" w:rsidRPr="00C12F78" w:rsidRDefault="002748A5" w:rsidP="002748A5">
      <w:pPr>
        <w:pStyle w:val="afffff7"/>
        <w:rPr>
          <w:rtl/>
        </w:rPr>
      </w:pPr>
      <w:bookmarkStart w:id="3740" w:name="_Toc140144397"/>
      <w:bookmarkStart w:id="3741" w:name="_Toc140144874"/>
      <w:bookmarkStart w:id="3742" w:name="_Toc163505989"/>
      <w:r w:rsidRPr="00C12F78">
        <w:rPr>
          <w:rtl/>
        </w:rPr>
        <w:t>תוספות שבת צ"ד ע"א</w:t>
      </w:r>
      <w:r w:rsidRPr="00C12F78">
        <w:rPr>
          <w:rFonts w:hint="cs"/>
          <w:rtl/>
        </w:rPr>
        <w:t xml:space="preserve"> ד"ה את</w:t>
      </w:r>
      <w:bookmarkEnd w:id="3742"/>
      <w:r w:rsidRPr="00C12F78">
        <w:rPr>
          <w:vanish/>
          <w:rtl/>
        </w:rPr>
        <w:t xml:space="preserve"> (ט)</w:t>
      </w:r>
      <w:bookmarkEnd w:id="3740"/>
      <w:bookmarkEnd w:id="3741"/>
    </w:p>
    <w:p w14:paraId="032D0F82" w14:textId="77777777" w:rsidR="002748A5" w:rsidRPr="003B63CB" w:rsidRDefault="002748A5" w:rsidP="002748A5">
      <w:pPr>
        <w:pStyle w:val="a7"/>
        <w:rPr>
          <w:rtl/>
        </w:rPr>
      </w:pPr>
      <w:bookmarkStart w:id="3743" w:name="_Toc140075705"/>
      <w:bookmarkStart w:id="3744" w:name="_Toc140077794"/>
      <w:bookmarkStart w:id="3745" w:name="_Toc140099755"/>
      <w:bookmarkStart w:id="3746" w:name="_Toc140144297"/>
      <w:bookmarkStart w:id="3747" w:name="_Toc140144528"/>
      <w:r>
        <w:rPr>
          <w:rFonts w:hint="cs"/>
          <w:rtl/>
        </w:rPr>
        <w:t>בי' התוס' דמחיוב ר"י במת מבו' דמחייב במשאצל"ג או מחיוב הוצאה בע"ז או מכלי על עקרב</w:t>
      </w:r>
      <w:bookmarkEnd w:id="3743"/>
      <w:bookmarkEnd w:id="3744"/>
      <w:bookmarkEnd w:id="3745"/>
      <w:bookmarkEnd w:id="3746"/>
      <w:bookmarkEnd w:id="3747"/>
    </w:p>
    <w:p w14:paraId="72B88F58" w14:textId="620F554E" w:rsidR="002748A5" w:rsidRPr="003B63CB" w:rsidRDefault="002748A5" w:rsidP="00BC7DC8">
      <w:pPr>
        <w:pStyle w:val="a3"/>
        <w:rPr>
          <w:rtl/>
        </w:rPr>
      </w:pPr>
      <w:bookmarkStart w:id="3748" w:name="_Ref139469434"/>
      <w:r w:rsidRPr="003B63CB">
        <w:rPr>
          <w:rFonts w:hint="cs"/>
          <w:rtl/>
        </w:rPr>
        <w:t xml:space="preserve">כתב </w:t>
      </w:r>
      <w:r w:rsidRPr="003B63CB">
        <w:rPr>
          <w:rFonts w:hint="cs"/>
          <w:vanish/>
          <w:rtl/>
        </w:rPr>
        <w:t xml:space="preserve">&lt;, </w:t>
      </w:r>
      <w:r w:rsidRPr="003B63CB">
        <w:rPr>
          <w:vanish/>
          <w:rtl/>
        </w:rPr>
        <w:fldChar w:fldCharType="begin"/>
      </w:r>
      <w:r w:rsidRPr="003B63CB">
        <w:rPr>
          <w:vanish/>
          <w:rtl/>
        </w:rPr>
        <w:instrText xml:space="preserve"> </w:instrText>
      </w:r>
      <w:r w:rsidRPr="003B63CB">
        <w:rPr>
          <w:rFonts w:hint="cs"/>
          <w:vanish/>
        </w:rPr>
        <w:instrText>REF</w:instrText>
      </w:r>
      <w:r w:rsidRPr="003B63CB">
        <w:rPr>
          <w:rFonts w:hint="cs"/>
          <w:vanish/>
          <w:rtl/>
        </w:rPr>
        <w:instrText xml:space="preserve"> _</w:instrText>
      </w:r>
      <w:r w:rsidRPr="003B63CB">
        <w:rPr>
          <w:rFonts w:hint="cs"/>
          <w:vanish/>
        </w:rPr>
        <w:instrText>Ref139469434 \r \h</w:instrText>
      </w:r>
      <w:r w:rsidRPr="003B63CB">
        <w:rPr>
          <w:vanish/>
          <w:rtl/>
        </w:rPr>
        <w:instrText xml:space="preserve">  \* </w:instrText>
      </w:r>
      <w:r w:rsidRPr="003B63CB">
        <w:rPr>
          <w:vanish/>
        </w:rPr>
        <w:instrText>MERGEFORMAT</w:instrText>
      </w:r>
      <w:r w:rsidRPr="003B63CB">
        <w:rPr>
          <w:vanish/>
          <w:rtl/>
        </w:rPr>
        <w:instrText xml:space="preserve"> </w:instrText>
      </w:r>
      <w:r w:rsidRPr="003B63CB">
        <w:rPr>
          <w:vanish/>
          <w:rtl/>
        </w:rPr>
      </w:r>
      <w:r w:rsidRPr="003B63CB">
        <w:rPr>
          <w:vanish/>
          <w:rtl/>
        </w:rPr>
        <w:fldChar w:fldCharType="separate"/>
      </w:r>
      <w:r w:rsidR="00D82181">
        <w:rPr>
          <w:vanish/>
          <w:cs/>
        </w:rPr>
        <w:t>‎</w:t>
      </w:r>
      <w:r w:rsidR="00D82181">
        <w:rPr>
          <w:vanish/>
          <w:rtl/>
        </w:rPr>
        <w:t>כא)</w:t>
      </w:r>
      <w:r w:rsidRPr="003B63CB">
        <w:rPr>
          <w:vanish/>
          <w:rtl/>
        </w:rPr>
        <w:fldChar w:fldCharType="end"/>
      </w:r>
      <w:r w:rsidRPr="003B63CB">
        <w:rPr>
          <w:rFonts w:hint="cs"/>
          <w:vanish/>
          <w:rtl/>
        </w:rPr>
        <w:t xml:space="preserve"> &gt;</w:t>
      </w:r>
      <w:r w:rsidRPr="003B63CB">
        <w:rPr>
          <w:rStyle w:val="aff4"/>
          <w:rFonts w:hint="cs"/>
          <w:vanish/>
          <w:rtl/>
        </w:rPr>
        <w:t>-</w:t>
      </w:r>
      <w:r w:rsidRPr="003B63CB">
        <w:rPr>
          <w:rStyle w:val="aff4"/>
          <w:rFonts w:hint="cs"/>
          <w:rtl/>
        </w:rPr>
        <w:t>ר"י בתוס'</w:t>
      </w:r>
      <w:r w:rsidRPr="003B63CB">
        <w:rPr>
          <w:rStyle w:val="aff4"/>
          <w:rFonts w:hint="cs"/>
          <w:vanish/>
          <w:rtl/>
        </w:rPr>
        <w:t>-</w:t>
      </w:r>
      <w:r w:rsidRPr="003B63CB">
        <w:rPr>
          <w:rFonts w:hint="cs"/>
          <w:rtl/>
        </w:rPr>
        <w:t xml:space="preserve"> </w:t>
      </w:r>
      <w:r w:rsidRPr="003B63CB">
        <w:rPr>
          <w:rStyle w:val="af2"/>
          <w:rFonts w:eastAsia="Guttman Hodes" w:hint="cs"/>
          <w:rtl/>
        </w:rPr>
        <w:t>(צד. ד"ה את)</w:t>
      </w:r>
      <w:r w:rsidRPr="003B63CB">
        <w:rPr>
          <w:rFonts w:hint="cs"/>
          <w:vanish/>
          <w:rtl/>
        </w:rPr>
        <w:t>=</w:t>
      </w:r>
      <w:r w:rsidRPr="003B63CB">
        <w:rPr>
          <w:rFonts w:hint="cs"/>
          <w:rtl/>
        </w:rPr>
        <w:t xml:space="preserve"> דהמקור דר"י ס"ל דמלאכה שאינה צריכה לגופה חייב, הוא מהא דפוטר ר"י בגמ' לקמן </w:t>
      </w:r>
      <w:r w:rsidRPr="003B63CB">
        <w:rPr>
          <w:rStyle w:val="af2"/>
          <w:rFonts w:eastAsia="Guttman Hodes" w:hint="cs"/>
          <w:rtl/>
        </w:rPr>
        <w:t>(צד.)</w:t>
      </w:r>
      <w:r w:rsidRPr="003B63CB">
        <w:rPr>
          <w:rFonts w:hint="cs"/>
          <w:rtl/>
        </w:rPr>
        <w:t xml:space="preserve"> במוציא את המת במטה, דמסתמא ת"ק דמחייב הוא ר"י, </w:t>
      </w:r>
      <w:r w:rsidRPr="003B63CB">
        <w:rPr>
          <w:rStyle w:val="af"/>
          <w:rFonts w:hint="cs"/>
          <w:rtl/>
        </w:rPr>
        <w:t xml:space="preserve">[עיי"ש במ"ש </w:t>
      </w:r>
      <w:r w:rsidRPr="003B63CB">
        <w:rPr>
          <w:rStyle w:val="aff9"/>
          <w:rFonts w:hint="cs"/>
          <w:vanish/>
          <w:rtl/>
        </w:rPr>
        <w:t>-</w:t>
      </w:r>
      <w:r w:rsidRPr="003B63CB">
        <w:rPr>
          <w:rStyle w:val="aff9"/>
          <w:rFonts w:hint="cs"/>
          <w:rtl/>
        </w:rPr>
        <w:t>התוס'</w:t>
      </w:r>
      <w:r w:rsidRPr="003B63CB">
        <w:rPr>
          <w:rStyle w:val="aff9"/>
          <w:rFonts w:hint="cs"/>
          <w:vanish/>
          <w:rtl/>
        </w:rPr>
        <w:t>-</w:t>
      </w:r>
      <w:r w:rsidRPr="003B63CB">
        <w:rPr>
          <w:rStyle w:val="af"/>
          <w:rFonts w:hint="cs"/>
          <w:rtl/>
        </w:rPr>
        <w:t xml:space="preserve"> בזה],</w:t>
      </w:r>
      <w:r w:rsidRPr="003B63CB">
        <w:rPr>
          <w:rFonts w:hint="cs"/>
          <w:rtl/>
        </w:rPr>
        <w:t xml:space="preserve"> </w:t>
      </w:r>
      <w:r w:rsidRPr="003B63CB">
        <w:rPr>
          <w:rStyle w:val="aff4"/>
          <w:rFonts w:hint="cs"/>
          <w:vanish/>
          <w:rtl/>
        </w:rPr>
        <w:t>-</w:t>
      </w:r>
      <w:r w:rsidRPr="003B63CB">
        <w:rPr>
          <w:rStyle w:val="aff4"/>
          <w:rFonts w:hint="cs"/>
          <w:rtl/>
        </w:rPr>
        <w:t>וה</w:t>
      </w:r>
      <w:r w:rsidRPr="003B63CB">
        <w:rPr>
          <w:rStyle w:val="aff4"/>
          <w:rFonts w:hint="cs"/>
          <w:vanish/>
          <w:rtl/>
        </w:rPr>
        <w:t>&lt; &gt;</w:t>
      </w:r>
      <w:r w:rsidRPr="003B63CB">
        <w:rPr>
          <w:rStyle w:val="aff4"/>
          <w:rFonts w:hint="cs"/>
          <w:rtl/>
        </w:rPr>
        <w:t>רשב"א בתוס'</w:t>
      </w:r>
      <w:r w:rsidRPr="003B63CB">
        <w:rPr>
          <w:rStyle w:val="aff4"/>
          <w:rFonts w:hint="cs"/>
          <w:vanish/>
          <w:rtl/>
        </w:rPr>
        <w:t>-</w:t>
      </w:r>
      <w:r w:rsidRPr="003B63CB">
        <w:rPr>
          <w:rFonts w:hint="cs"/>
          <w:vanish/>
          <w:rtl/>
        </w:rPr>
        <w:t>=</w:t>
      </w:r>
      <w:r w:rsidRPr="003B63CB">
        <w:rPr>
          <w:rFonts w:hint="cs"/>
          <w:rtl/>
        </w:rPr>
        <w:t xml:space="preserve"> הביא ראיה דר"י הוא המחייב מדתנן לקמן </w:t>
      </w:r>
      <w:r w:rsidRPr="003B63CB">
        <w:rPr>
          <w:rStyle w:val="af2"/>
          <w:rFonts w:eastAsia="Guttman Hodes" w:hint="cs"/>
          <w:rtl/>
        </w:rPr>
        <w:t>(צ.)</w:t>
      </w:r>
      <w:r w:rsidRPr="003B63CB">
        <w:rPr>
          <w:rFonts w:hint="cs"/>
          <w:rtl/>
        </w:rPr>
        <w:t xml:space="preserve"> דר"י מחייב במוציא משמשי ע"ז בכל שהוא, ומוכח דאעפ"י דהוא מלאכה שאינה צריכה לגופה מ"מ ר"י מחייב, ועוד הביא </w:t>
      </w:r>
      <w:r w:rsidRPr="003B63CB">
        <w:rPr>
          <w:rStyle w:val="aff4"/>
          <w:rFonts w:hint="cs"/>
          <w:vanish/>
          <w:rtl/>
        </w:rPr>
        <w:t>-</w:t>
      </w:r>
      <w:r w:rsidRPr="003B63CB">
        <w:rPr>
          <w:rStyle w:val="aff4"/>
          <w:rFonts w:hint="cs"/>
          <w:rtl/>
        </w:rPr>
        <w:t>ה</w:t>
      </w:r>
      <w:r w:rsidRPr="003B63CB">
        <w:rPr>
          <w:rStyle w:val="aff4"/>
          <w:rFonts w:hint="cs"/>
          <w:vanish/>
          <w:rtl/>
        </w:rPr>
        <w:t>&lt; &gt;</w:t>
      </w:r>
      <w:r w:rsidRPr="003B63CB">
        <w:rPr>
          <w:rStyle w:val="aff4"/>
          <w:rFonts w:hint="cs"/>
          <w:rtl/>
        </w:rPr>
        <w:t>תוס' הרא"ש</w:t>
      </w:r>
      <w:r w:rsidRPr="003B63CB">
        <w:rPr>
          <w:rStyle w:val="aff4"/>
          <w:rFonts w:hint="cs"/>
          <w:vanish/>
          <w:rtl/>
        </w:rPr>
        <w:t>-</w:t>
      </w:r>
      <w:r w:rsidRPr="003B63CB">
        <w:rPr>
          <w:rFonts w:hint="cs"/>
          <w:rtl/>
        </w:rPr>
        <w:t xml:space="preserve"> </w:t>
      </w:r>
      <w:r w:rsidRPr="003B63CB">
        <w:rPr>
          <w:rStyle w:val="af2"/>
          <w:rFonts w:eastAsia="Guttman Hodes" w:hint="cs"/>
          <w:rtl/>
        </w:rPr>
        <w:t>(צד. ד"ה את)</w:t>
      </w:r>
      <w:r w:rsidRPr="003B63CB">
        <w:rPr>
          <w:rFonts w:hint="cs"/>
          <w:vanish/>
          <w:rtl/>
        </w:rPr>
        <w:t>=</w:t>
      </w:r>
      <w:r w:rsidRPr="003B63CB">
        <w:rPr>
          <w:rFonts w:hint="cs"/>
          <w:rtl/>
        </w:rPr>
        <w:t xml:space="preserve"> ראיה דר"י מחייב במלאכה שאינה צריכה לגופה, מדתנן לקמן </w:t>
      </w:r>
      <w:r w:rsidRPr="003B63CB">
        <w:rPr>
          <w:rStyle w:val="af2"/>
          <w:rFonts w:eastAsia="Guttman Hodes" w:hint="cs"/>
          <w:rtl/>
        </w:rPr>
        <w:t>(קכא.)</w:t>
      </w:r>
      <w:r w:rsidRPr="003B63CB">
        <w:rPr>
          <w:rFonts w:hint="cs"/>
          <w:rtl/>
        </w:rPr>
        <w:t xml:space="preserve"> דבכפה קערה על עקרב אמר ר"י דריב"ז חשש מחטאת.</w:t>
      </w:r>
      <w:bookmarkEnd w:id="3748"/>
    </w:p>
    <w:p w14:paraId="2D6007C0" w14:textId="77777777" w:rsidR="002748A5" w:rsidRPr="00747170" w:rsidRDefault="002748A5" w:rsidP="00747170">
      <w:pPr>
        <w:pStyle w:val="a2"/>
      </w:pPr>
      <w:r w:rsidRPr="00747170">
        <w:rPr>
          <w:rtl/>
        </w:rPr>
        <w:t>את המת במטה חייב - נראה לר"י דמהכא קים לן בכל דוכתא דאית ליה לר' יהודה מלאכה שאינה צריכה לגופה חייב עליה דמסתמא ת"ק דר"ש היינו רבי יהודה כי ההיא דלעיל זה אינו יכול וזה אינו יכול דת"ק דר"ש היינו ר' יהודה כדמוכח בגמ' ורשב"א אומר דיש להביא מדתנן לעיל (דף צ.) ר' יהודה אומר אף המוציא משמשי ע"ז דהוי מלאכה שאינה צריכה לגופה.</w:t>
      </w:r>
    </w:p>
    <w:p w14:paraId="581626FE" w14:textId="649DB3C2" w:rsidR="002748A5" w:rsidRPr="00C12F78" w:rsidRDefault="002748A5" w:rsidP="002748A5">
      <w:pPr>
        <w:pStyle w:val="afffff7"/>
        <w:rPr>
          <w:rtl/>
        </w:rPr>
      </w:pPr>
      <w:bookmarkStart w:id="3749" w:name="_Toc140144398"/>
      <w:bookmarkStart w:id="3750" w:name="_Toc140144875"/>
      <w:bookmarkStart w:id="3751" w:name="_Toc163505990"/>
      <w:r w:rsidRPr="00C12F78">
        <w:rPr>
          <w:rtl/>
        </w:rPr>
        <w:t>תוספות הרא"ש שבת צ"ד ע"א</w:t>
      </w:r>
      <w:r w:rsidRPr="00C12F78">
        <w:rPr>
          <w:rFonts w:hint="cs"/>
          <w:rtl/>
        </w:rPr>
        <w:t xml:space="preserve"> ד"ה את</w:t>
      </w:r>
      <w:bookmarkEnd w:id="3751"/>
      <w:r w:rsidRPr="00C12F78">
        <w:rPr>
          <w:vanish/>
          <w:rtl/>
        </w:rPr>
        <w:t xml:space="preserve"> (ט)</w:t>
      </w:r>
      <w:bookmarkEnd w:id="3749"/>
      <w:bookmarkEnd w:id="3750"/>
    </w:p>
    <w:p w14:paraId="64E2BABC" w14:textId="77777777" w:rsidR="002748A5" w:rsidRPr="00695703" w:rsidRDefault="002748A5" w:rsidP="00747170">
      <w:pPr>
        <w:pStyle w:val="afffff5"/>
        <w:rPr>
          <w:rtl/>
        </w:rPr>
      </w:pPr>
      <w:r w:rsidRPr="00695703">
        <w:rPr>
          <w:rtl/>
        </w:rPr>
        <w:t>את המת במטה חייב, מהכא הוא דקיימא לן בכל דוכתא דר' יהודה סבר מלאכה שאינה צריכה לגופה חייב עליה, דמסתמא תנא קמא דר' שמעון היינו ר' יהודה כההיא דלעיל בזה אינו יכול דתנא קמא דר"ש היינו ר' יהודה כדמוכח בגמרא, ועוד יש להביא ראיה מההיא דתנן לקמן פרק כל כתבי כופין קערה לכותל ועל עקרב שלא תשוך א"ר יהודה מעשה בא לפני ר' יוחנן בן זכאי ואמר חוששני לזה מחטאת.</w:t>
      </w:r>
    </w:p>
    <w:p w14:paraId="69229DAE" w14:textId="20805C67" w:rsidR="002748A5" w:rsidRPr="003B63CB" w:rsidRDefault="002748A5" w:rsidP="002748A5">
      <w:pPr>
        <w:pStyle w:val="a7"/>
        <w:rPr>
          <w:rtl/>
        </w:rPr>
      </w:pPr>
      <w:bookmarkStart w:id="3752" w:name="_Toc140075706"/>
      <w:bookmarkStart w:id="3753" w:name="_Toc140077795"/>
      <w:bookmarkStart w:id="3754" w:name="_Toc140099756"/>
      <w:bookmarkStart w:id="3755" w:name="_Toc140144298"/>
      <w:bookmarkStart w:id="3756" w:name="_Toc140144529"/>
      <w:r w:rsidRPr="003B63CB">
        <w:rPr>
          <w:rFonts w:hint="cs"/>
          <w:rtl/>
        </w:rPr>
        <w:t>בי' התורא"ש דהמוציא איסורי הנאה ואינו יודע שאסורים הוי כמלאכה שצריכה לגופה</w:t>
      </w:r>
      <w:bookmarkEnd w:id="3752"/>
      <w:bookmarkEnd w:id="3753"/>
      <w:bookmarkEnd w:id="3754"/>
      <w:bookmarkEnd w:id="3755"/>
      <w:bookmarkEnd w:id="3756"/>
    </w:p>
    <w:p w14:paraId="7007FED0" w14:textId="77777777" w:rsidR="002748A5" w:rsidRPr="003B63CB" w:rsidRDefault="002748A5" w:rsidP="00BC7DC8">
      <w:pPr>
        <w:pStyle w:val="a3"/>
      </w:pPr>
      <w:r w:rsidRPr="003B63CB">
        <w:rPr>
          <w:rFonts w:hint="cs"/>
          <w:rtl/>
        </w:rPr>
        <w:t xml:space="preserve">ובמה שהביא </w:t>
      </w:r>
      <w:r w:rsidRPr="003B63CB">
        <w:rPr>
          <w:rStyle w:val="aff4"/>
          <w:rFonts w:hint="cs"/>
          <w:vanish/>
          <w:rtl/>
        </w:rPr>
        <w:t>-</w:t>
      </w:r>
      <w:r w:rsidRPr="003B63CB">
        <w:rPr>
          <w:rStyle w:val="aff4"/>
          <w:rFonts w:hint="cs"/>
          <w:rtl/>
        </w:rPr>
        <w:t>הרשב"א בתוס'</w:t>
      </w:r>
      <w:r w:rsidRPr="003B63CB">
        <w:rPr>
          <w:rStyle w:val="aff4"/>
          <w:rFonts w:hint="cs"/>
          <w:vanish/>
          <w:rtl/>
        </w:rPr>
        <w:t>-</w:t>
      </w:r>
      <w:r w:rsidRPr="003B63CB">
        <w:rPr>
          <w:rFonts w:hint="cs"/>
          <w:rtl/>
        </w:rPr>
        <w:t xml:space="preserve"> ראיה ממשמשי ע"ז דחה </w:t>
      </w:r>
      <w:r w:rsidRPr="003B63CB">
        <w:rPr>
          <w:rStyle w:val="aff4"/>
          <w:rFonts w:hint="cs"/>
          <w:vanish/>
          <w:rtl/>
        </w:rPr>
        <w:t>-</w:t>
      </w:r>
      <w:r w:rsidRPr="003B63CB">
        <w:rPr>
          <w:rStyle w:val="aff4"/>
          <w:rFonts w:hint="cs"/>
          <w:rtl/>
        </w:rPr>
        <w:t>התוס' הרא"ש</w:t>
      </w:r>
      <w:r w:rsidRPr="003B63CB">
        <w:rPr>
          <w:rStyle w:val="aff4"/>
          <w:rFonts w:hint="cs"/>
          <w:vanish/>
          <w:rtl/>
        </w:rPr>
        <w:t>-</w:t>
      </w:r>
      <w:r w:rsidRPr="003B63CB">
        <w:rPr>
          <w:rFonts w:hint="cs"/>
          <w:rtl/>
        </w:rPr>
        <w:t xml:space="preserve"> דלא איירי במוציאן לשורפן, אלא להשתמש בהם כשאינו יודע שהם איסורי הנאה, </w:t>
      </w:r>
      <w:r w:rsidRPr="003B63CB">
        <w:rPr>
          <w:rStyle w:val="af"/>
          <w:rFonts w:hint="cs"/>
          <w:rtl/>
        </w:rPr>
        <w:t>[והא מלאכה שצריכה לגופה],</w:t>
      </w:r>
      <w:r w:rsidRPr="003B63CB">
        <w:rPr>
          <w:rFonts w:hint="cs"/>
          <w:rtl/>
        </w:rPr>
        <w:t xml:space="preserve"> ובזה חייב ר"י אף במוציא כל שהוא, כיון שהם ראויין להצניע לקיום מצות ביעור. </w:t>
      </w:r>
    </w:p>
    <w:p w14:paraId="7DC77343" w14:textId="77777777" w:rsidR="002748A5" w:rsidRPr="00747170" w:rsidRDefault="002748A5" w:rsidP="00747170">
      <w:pPr>
        <w:pStyle w:val="a2"/>
      </w:pPr>
      <w:r w:rsidRPr="00747170">
        <w:rPr>
          <w:rtl/>
        </w:rPr>
        <w:t>ועוד הביא רבינו שמשון ראיה מההיא דתנן לעיל ר' יהודה אומר אף המוציא משמשי ע"ז כל שהן דאפי' מוציאן לשורפן הוי מלאכה שאינה צריכה לגופה, ונראה לי דלאו ראיה היא דלא מיירי שמוציאן בשבת לשורפן אלא מוציאן להשתמש בו ואינו יודע שהן איסורי הנאה וקאמר ר' יהודה דחייבים עליהם בכל שהן הואיל וראויין להצניע לקיים בהם מצות ביעור.</w:t>
      </w:r>
    </w:p>
    <w:p w14:paraId="679DBB5C" w14:textId="77777777" w:rsidR="002748A5" w:rsidRDefault="002748A5" w:rsidP="002748A5">
      <w:pPr>
        <w:pStyle w:val="a7"/>
        <w:rPr>
          <w:rtl/>
        </w:rPr>
      </w:pPr>
      <w:bookmarkStart w:id="3757" w:name="_Toc140144399"/>
    </w:p>
    <w:p w14:paraId="2929B986" w14:textId="77777777" w:rsidR="002748A5" w:rsidRPr="00C448E1" w:rsidRDefault="002748A5" w:rsidP="002748A5">
      <w:pPr>
        <w:pStyle w:val="a7"/>
        <w:rPr>
          <w:rtl/>
        </w:rPr>
      </w:pPr>
    </w:p>
    <w:p w14:paraId="40BF223F" w14:textId="15B73220" w:rsidR="002748A5" w:rsidRPr="00C12F78" w:rsidRDefault="002748A5" w:rsidP="002748A5">
      <w:pPr>
        <w:pStyle w:val="afffff7"/>
        <w:rPr>
          <w:rtl/>
        </w:rPr>
      </w:pPr>
      <w:bookmarkStart w:id="3758" w:name="_Toc140144876"/>
      <w:bookmarkStart w:id="3759" w:name="_Toc163505991"/>
      <w:r w:rsidRPr="00C12F78">
        <w:rPr>
          <w:rtl/>
        </w:rPr>
        <w:t>תוספות שבת ק"ו ע"א</w:t>
      </w:r>
      <w:r w:rsidRPr="00C12F78">
        <w:rPr>
          <w:rFonts w:hint="cs"/>
          <w:rtl/>
        </w:rPr>
        <w:t xml:space="preserve"> ד</w:t>
      </w:r>
      <w:r w:rsidRPr="00C12F78">
        <w:rPr>
          <w:rFonts w:cs="Guttman Hodes" w:hint="cs"/>
          <w:rtl/>
        </w:rPr>
        <w:t>"</w:t>
      </w:r>
      <w:r w:rsidRPr="00C12F78">
        <w:rPr>
          <w:rFonts w:hint="cs"/>
          <w:rtl/>
        </w:rPr>
        <w:t>ה בצריך</w:t>
      </w:r>
      <w:bookmarkEnd w:id="3759"/>
      <w:r w:rsidRPr="00C12F78">
        <w:rPr>
          <w:vanish/>
          <w:rtl/>
        </w:rPr>
        <w:t xml:space="preserve"> (ט)</w:t>
      </w:r>
      <w:bookmarkEnd w:id="3757"/>
      <w:bookmarkEnd w:id="3758"/>
    </w:p>
    <w:p w14:paraId="7F91992F" w14:textId="77777777" w:rsidR="002748A5" w:rsidRPr="00C12F78" w:rsidRDefault="002748A5" w:rsidP="002748A5">
      <w:pPr>
        <w:pStyle w:val="afffff7"/>
        <w:rPr>
          <w:rtl/>
        </w:rPr>
      </w:pPr>
      <w:bookmarkStart w:id="3760" w:name="_Toc140144400"/>
      <w:bookmarkStart w:id="3761" w:name="_Toc140144877"/>
      <w:bookmarkStart w:id="3762" w:name="_Toc140075707"/>
      <w:bookmarkStart w:id="3763" w:name="_Toc140077796"/>
      <w:bookmarkStart w:id="3764" w:name="_Toc140099757"/>
      <w:bookmarkStart w:id="3765" w:name="_Toc140144299"/>
      <w:bookmarkStart w:id="3766" w:name="_Toc140144530"/>
      <w:bookmarkStart w:id="3767" w:name="_Toc163505992"/>
      <w:r w:rsidRPr="00C12F78">
        <w:rPr>
          <w:rtl/>
        </w:rPr>
        <w:t>תוספות סנהדרין פ"ד ע"ב</w:t>
      </w:r>
      <w:r w:rsidRPr="00C12F78">
        <w:rPr>
          <w:rFonts w:hint="cs"/>
          <w:rtl/>
        </w:rPr>
        <w:t xml:space="preserve"> ד"ה מאן</w:t>
      </w:r>
      <w:bookmarkEnd w:id="3767"/>
      <w:r w:rsidRPr="00C12F78">
        <w:rPr>
          <w:vanish/>
          <w:rtl/>
        </w:rPr>
        <w:t xml:space="preserve"> (ט)</w:t>
      </w:r>
      <w:bookmarkEnd w:id="3760"/>
      <w:bookmarkEnd w:id="3761"/>
    </w:p>
    <w:p w14:paraId="0FAE9929" w14:textId="77777777" w:rsidR="002748A5" w:rsidRPr="00C12F78" w:rsidRDefault="002748A5" w:rsidP="002748A5">
      <w:pPr>
        <w:pStyle w:val="afffff7"/>
        <w:rPr>
          <w:rtl/>
        </w:rPr>
      </w:pPr>
      <w:bookmarkStart w:id="3768" w:name="_Toc140144401"/>
      <w:bookmarkStart w:id="3769" w:name="_Toc140144878"/>
      <w:bookmarkStart w:id="3770" w:name="_Toc163505993"/>
      <w:r w:rsidRPr="00C12F78">
        <w:rPr>
          <w:rtl/>
        </w:rPr>
        <w:t>תוספות ב"ק ל"ד ע"ב</w:t>
      </w:r>
      <w:r w:rsidRPr="00C12F78">
        <w:rPr>
          <w:rFonts w:hint="cs"/>
          <w:rtl/>
        </w:rPr>
        <w:t xml:space="preserve"> ד</w:t>
      </w:r>
      <w:r w:rsidRPr="00C12F78">
        <w:rPr>
          <w:rFonts w:cs="Guttman Hodes" w:hint="cs"/>
          <w:rtl/>
        </w:rPr>
        <w:t>"</w:t>
      </w:r>
      <w:r w:rsidRPr="00C12F78">
        <w:rPr>
          <w:rFonts w:hint="cs"/>
          <w:rtl/>
        </w:rPr>
        <w:t>ה חובל</w:t>
      </w:r>
      <w:bookmarkEnd w:id="3770"/>
      <w:r w:rsidRPr="00C12F78">
        <w:rPr>
          <w:vanish/>
          <w:rtl/>
        </w:rPr>
        <w:t xml:space="preserve"> (ט)</w:t>
      </w:r>
      <w:bookmarkEnd w:id="3768"/>
      <w:bookmarkEnd w:id="3769"/>
    </w:p>
    <w:p w14:paraId="383681C0" w14:textId="77777777" w:rsidR="002748A5" w:rsidRPr="003B63CB" w:rsidRDefault="002748A5" w:rsidP="002748A5">
      <w:pPr>
        <w:pStyle w:val="a7"/>
        <w:rPr>
          <w:rtl/>
        </w:rPr>
      </w:pPr>
      <w:r>
        <w:rPr>
          <w:rFonts w:hint="cs"/>
          <w:rtl/>
        </w:rPr>
        <w:t>בי' התוס' דמקלקל בחבורה לא נפטר במשאצל"ג דשייך לגופה באיסורי הנאה דסבר דמותר</w:t>
      </w:r>
      <w:bookmarkEnd w:id="3762"/>
      <w:bookmarkEnd w:id="3763"/>
      <w:bookmarkEnd w:id="3764"/>
      <w:bookmarkEnd w:id="3765"/>
      <w:bookmarkEnd w:id="3766"/>
    </w:p>
    <w:p w14:paraId="1E1C8402" w14:textId="2AA88E33" w:rsidR="002748A5" w:rsidRPr="003B63CB" w:rsidRDefault="002748A5" w:rsidP="00BC7DC8">
      <w:pPr>
        <w:pStyle w:val="a3"/>
        <w:rPr>
          <w:rtl/>
        </w:rPr>
      </w:pPr>
      <w:bookmarkStart w:id="3771" w:name="_Ref139814462"/>
      <w:r w:rsidRPr="003B63CB">
        <w:rPr>
          <w:rFonts w:hint="cs"/>
          <w:rtl/>
        </w:rPr>
        <w:t xml:space="preserve">הקשו </w:t>
      </w:r>
      <w:r w:rsidRPr="003B63CB">
        <w:rPr>
          <w:rStyle w:val="aff4"/>
          <w:rFonts w:hint="cs"/>
          <w:vanish/>
          <w:rtl/>
        </w:rPr>
        <w:t>-</w:t>
      </w:r>
      <w:r w:rsidRPr="003B63CB">
        <w:rPr>
          <w:rStyle w:val="aff4"/>
          <w:rFonts w:hint="cs"/>
          <w:rtl/>
        </w:rPr>
        <w:t>ה</w:t>
      </w:r>
      <w:r w:rsidRPr="003B63CB">
        <w:rPr>
          <w:rStyle w:val="aff4"/>
          <w:rFonts w:hint="cs"/>
          <w:vanish/>
          <w:rtl/>
        </w:rPr>
        <w:t>&lt;,</w:t>
      </w:r>
      <w:bookmarkStart w:id="3772" w:name="_Hlk139814499"/>
      <w:r w:rsidRPr="003B63CB">
        <w:rPr>
          <w:rStyle w:val="aff4"/>
          <w:rFonts w:hint="cs"/>
          <w:vanish/>
          <w:rtl/>
        </w:rPr>
        <w:t xml:space="preserve"> </w:t>
      </w:r>
      <w:r w:rsidRPr="003B63CB">
        <w:rPr>
          <w:rStyle w:val="aff4"/>
          <w:vanish/>
          <w:rtl/>
        </w:rPr>
        <w:fldChar w:fldCharType="begin"/>
      </w:r>
      <w:r w:rsidRPr="003B63CB">
        <w:rPr>
          <w:rStyle w:val="aff4"/>
          <w:vanish/>
          <w:rtl/>
        </w:rPr>
        <w:instrText xml:space="preserve"> </w:instrText>
      </w:r>
      <w:r w:rsidRPr="003B63CB">
        <w:rPr>
          <w:rStyle w:val="aff4"/>
          <w:rFonts w:hint="cs"/>
          <w:vanish/>
        </w:rPr>
        <w:instrText>REF</w:instrText>
      </w:r>
      <w:r w:rsidRPr="003B63CB">
        <w:rPr>
          <w:rStyle w:val="aff4"/>
          <w:rFonts w:hint="cs"/>
          <w:vanish/>
          <w:rtl/>
        </w:rPr>
        <w:instrText xml:space="preserve"> _</w:instrText>
      </w:r>
      <w:r w:rsidRPr="003B63CB">
        <w:rPr>
          <w:rStyle w:val="aff4"/>
          <w:rFonts w:hint="cs"/>
          <w:vanish/>
        </w:rPr>
        <w:instrText>Ref139814462 \r \h</w:instrText>
      </w:r>
      <w:r w:rsidRPr="003B63CB">
        <w:rPr>
          <w:rStyle w:val="aff4"/>
          <w:vanish/>
          <w:rtl/>
        </w:rPr>
        <w:instrText xml:space="preserve">  \* </w:instrText>
      </w:r>
      <w:r w:rsidRPr="003B63CB">
        <w:rPr>
          <w:rStyle w:val="aff4"/>
          <w:vanish/>
        </w:rPr>
        <w:instrText>MERGEFORMAT</w:instrText>
      </w:r>
      <w:r w:rsidRPr="003B63CB">
        <w:rPr>
          <w:rStyle w:val="aff4"/>
          <w:vanish/>
          <w:rtl/>
        </w:rPr>
        <w:instrText xml:space="preserve"> </w:instrText>
      </w:r>
      <w:r w:rsidRPr="003B63CB">
        <w:rPr>
          <w:rStyle w:val="aff4"/>
          <w:vanish/>
          <w:rtl/>
        </w:rPr>
      </w:r>
      <w:r w:rsidRPr="003B63CB">
        <w:rPr>
          <w:rStyle w:val="aff4"/>
          <w:vanish/>
          <w:rtl/>
        </w:rPr>
        <w:fldChar w:fldCharType="separate"/>
      </w:r>
      <w:r w:rsidR="00D82181">
        <w:rPr>
          <w:rStyle w:val="aff4"/>
          <w:vanish/>
          <w:cs/>
        </w:rPr>
        <w:t>‎</w:t>
      </w:r>
      <w:r w:rsidR="00D82181">
        <w:rPr>
          <w:rStyle w:val="aff4"/>
          <w:vanish/>
          <w:rtl/>
        </w:rPr>
        <w:t>כג)</w:t>
      </w:r>
      <w:r w:rsidRPr="003B63CB">
        <w:rPr>
          <w:rStyle w:val="aff4"/>
          <w:vanish/>
          <w:rtl/>
        </w:rPr>
        <w:fldChar w:fldCharType="end"/>
      </w:r>
      <w:bookmarkEnd w:id="3772"/>
      <w:r w:rsidRPr="003B63CB">
        <w:rPr>
          <w:rStyle w:val="aff4"/>
          <w:rFonts w:hint="cs"/>
          <w:vanish/>
          <w:rtl/>
        </w:rPr>
        <w:t xml:space="preserve"> &gt;</w:t>
      </w:r>
      <w:r w:rsidRPr="003B63CB">
        <w:rPr>
          <w:rStyle w:val="aff4"/>
          <w:rFonts w:hint="cs"/>
          <w:rtl/>
        </w:rPr>
        <w:t>תוס'</w:t>
      </w:r>
      <w:r w:rsidRPr="003B63CB">
        <w:rPr>
          <w:rStyle w:val="aff4"/>
          <w:rFonts w:hint="cs"/>
          <w:vanish/>
          <w:rtl/>
        </w:rPr>
        <w:t>-</w:t>
      </w:r>
      <w:r w:rsidRPr="003B63CB">
        <w:rPr>
          <w:rFonts w:hint="cs"/>
          <w:rtl/>
        </w:rPr>
        <w:t xml:space="preserve"> </w:t>
      </w:r>
      <w:r w:rsidRPr="003B63CB">
        <w:rPr>
          <w:rStyle w:val="af2"/>
          <w:rFonts w:eastAsia="Guttman Hodes" w:hint="cs"/>
          <w:rtl/>
        </w:rPr>
        <w:t>(קו. ד"ה בצריך)</w:t>
      </w:r>
      <w:r w:rsidRPr="003B63CB">
        <w:rPr>
          <w:rFonts w:hint="cs"/>
          <w:vanish/>
          <w:rtl/>
        </w:rPr>
        <w:t>=</w:t>
      </w:r>
      <w:r w:rsidRPr="003B63CB">
        <w:rPr>
          <w:rFonts w:hint="cs"/>
          <w:rtl/>
        </w:rPr>
        <w:t xml:space="preserve"> דלרבי אבהו דס"ל בגמ' לקמן </w:t>
      </w:r>
      <w:r w:rsidRPr="003B63CB">
        <w:rPr>
          <w:rStyle w:val="af2"/>
          <w:rFonts w:eastAsia="Guttman Hodes" w:hint="cs"/>
          <w:rtl/>
        </w:rPr>
        <w:t>(קו.)</w:t>
      </w:r>
      <w:r w:rsidRPr="003B63CB">
        <w:rPr>
          <w:rFonts w:hint="cs"/>
          <w:rtl/>
        </w:rPr>
        <w:t xml:space="preserve"> דר"ש מחייב בכל מקלקל בחבורה אף כשא"צ לכלבו, דאמאי לא יפטר מדין מלאכה שאינה צריכה לגופה, ותירצו </w:t>
      </w:r>
      <w:r w:rsidRPr="003B63CB">
        <w:rPr>
          <w:rStyle w:val="aff4"/>
          <w:rFonts w:hint="cs"/>
          <w:vanish/>
          <w:rtl/>
        </w:rPr>
        <w:t>-</w:t>
      </w:r>
      <w:r w:rsidRPr="003B63CB">
        <w:rPr>
          <w:rStyle w:val="aff4"/>
          <w:rFonts w:hint="cs"/>
          <w:rtl/>
        </w:rPr>
        <w:t>התוס'</w:t>
      </w:r>
      <w:r w:rsidRPr="003B63CB">
        <w:rPr>
          <w:rStyle w:val="aff4"/>
          <w:rFonts w:hint="cs"/>
          <w:vanish/>
          <w:rtl/>
        </w:rPr>
        <w:t>-</w:t>
      </w:r>
      <w:r w:rsidRPr="003B63CB">
        <w:rPr>
          <w:rFonts w:hint="cs"/>
          <w:rtl/>
        </w:rPr>
        <w:t xml:space="preserve"> דאף במקלקל גמור שייך שהמלאכה תהיה מלאכה שצריכה לגופה, כחובל ומבעיר באיסורי הנאה, דסבר שיכול לתת את הדם לכלבו ולבשל עם העצים, וס"ל לרבי אבהו דאף דהצורך מצוה בהבערתם לא חשיב תיקון, מ"מ חשיב עי"ז כמלאכה שצריכה לגופה, וכ"כ </w:t>
      </w:r>
      <w:r w:rsidRPr="003B63CB">
        <w:rPr>
          <w:rStyle w:val="aff4"/>
          <w:rFonts w:hint="cs"/>
          <w:vanish/>
          <w:rtl/>
        </w:rPr>
        <w:t>-</w:t>
      </w:r>
      <w:r w:rsidRPr="003B63CB">
        <w:rPr>
          <w:rStyle w:val="aff4"/>
          <w:rFonts w:hint="cs"/>
          <w:rtl/>
        </w:rPr>
        <w:t>ה</w:t>
      </w:r>
      <w:r w:rsidRPr="003B63CB">
        <w:rPr>
          <w:rStyle w:val="aff4"/>
          <w:rFonts w:hint="cs"/>
          <w:vanish/>
          <w:rtl/>
        </w:rPr>
        <w:t>&lt; &gt;</w:t>
      </w:r>
      <w:r w:rsidRPr="003B63CB">
        <w:rPr>
          <w:rStyle w:val="aff4"/>
          <w:rFonts w:hint="cs"/>
          <w:rtl/>
        </w:rPr>
        <w:t>תוס' בב"ק</w:t>
      </w:r>
      <w:r w:rsidRPr="003B63CB">
        <w:rPr>
          <w:rStyle w:val="aff4"/>
          <w:rFonts w:hint="cs"/>
          <w:vanish/>
          <w:rtl/>
        </w:rPr>
        <w:t>-</w:t>
      </w:r>
      <w:r w:rsidRPr="003B63CB">
        <w:rPr>
          <w:rFonts w:hint="cs"/>
          <w:rtl/>
        </w:rPr>
        <w:t xml:space="preserve"> </w:t>
      </w:r>
      <w:r w:rsidRPr="003B63CB">
        <w:rPr>
          <w:rStyle w:val="af2"/>
          <w:rFonts w:eastAsia="Guttman Hodes" w:hint="cs"/>
          <w:rtl/>
        </w:rPr>
        <w:t>(לד: ד"ה חובל)</w:t>
      </w:r>
      <w:r w:rsidRPr="003B63CB">
        <w:rPr>
          <w:rFonts w:hint="cs"/>
          <w:vanish/>
          <w:rtl/>
        </w:rPr>
        <w:t>=</w:t>
      </w:r>
      <w:r w:rsidRPr="003B63CB">
        <w:rPr>
          <w:rFonts w:hint="cs"/>
          <w:rtl/>
        </w:rPr>
        <w:t xml:space="preserve"> </w:t>
      </w:r>
      <w:r w:rsidRPr="003B63CB">
        <w:rPr>
          <w:rStyle w:val="aff4"/>
          <w:rFonts w:hint="cs"/>
          <w:vanish/>
          <w:rtl/>
        </w:rPr>
        <w:t>-</w:t>
      </w:r>
      <w:r w:rsidRPr="003B63CB">
        <w:rPr>
          <w:rStyle w:val="aff4"/>
          <w:rFonts w:hint="cs"/>
          <w:rtl/>
        </w:rPr>
        <w:t>וה</w:t>
      </w:r>
      <w:r w:rsidRPr="003B63CB">
        <w:rPr>
          <w:rStyle w:val="aff4"/>
          <w:rFonts w:hint="cs"/>
          <w:vanish/>
          <w:rtl/>
        </w:rPr>
        <w:t>&lt; &gt;</w:t>
      </w:r>
      <w:r w:rsidRPr="003B63CB">
        <w:rPr>
          <w:rStyle w:val="aff4"/>
          <w:rFonts w:hint="cs"/>
          <w:rtl/>
        </w:rPr>
        <w:t>תוס' בסנהדרין</w:t>
      </w:r>
      <w:r w:rsidRPr="003B63CB">
        <w:rPr>
          <w:rStyle w:val="aff4"/>
          <w:rFonts w:hint="cs"/>
          <w:vanish/>
          <w:rtl/>
        </w:rPr>
        <w:t>-</w:t>
      </w:r>
      <w:r w:rsidRPr="003B63CB">
        <w:rPr>
          <w:rFonts w:hint="cs"/>
          <w:rtl/>
        </w:rPr>
        <w:t xml:space="preserve"> </w:t>
      </w:r>
      <w:r w:rsidRPr="003B63CB">
        <w:rPr>
          <w:rStyle w:val="af2"/>
          <w:rFonts w:eastAsia="Guttman Hodes" w:hint="cs"/>
          <w:rtl/>
        </w:rPr>
        <w:t>(פד: ד"ה מאן)</w:t>
      </w:r>
      <w:r w:rsidRPr="003B63CB">
        <w:rPr>
          <w:rFonts w:hint="cs"/>
          <w:vanish/>
          <w:rtl/>
        </w:rPr>
        <w:t>=</w:t>
      </w:r>
      <w:r w:rsidRPr="003B63CB">
        <w:rPr>
          <w:rFonts w:hint="cs"/>
          <w:rtl/>
        </w:rPr>
        <w:t>.</w:t>
      </w:r>
      <w:bookmarkEnd w:id="3771"/>
    </w:p>
    <w:p w14:paraId="470111B9" w14:textId="77777777" w:rsidR="002748A5" w:rsidRPr="00747170" w:rsidRDefault="002748A5" w:rsidP="00747170">
      <w:pPr>
        <w:pStyle w:val="a2"/>
        <w:rPr>
          <w:rtl/>
        </w:rPr>
      </w:pPr>
      <w:r w:rsidRPr="00747170">
        <w:rPr>
          <w:rtl/>
        </w:rPr>
        <w:t>בחובל וצריך לכלבו כו' - וא"ת ור' אבהו דמחייב אפי' באין צריך לכלבו כיון דאין צריך כלל הויא מלאכה שאינה צריכה לגופה דאע"ג דמחייב ר"ש מקלקל בחבורה מ"מ בעי צריכה לגופה כדאמרי' בריש הנחנקין (סנהדרין פד:) מאן שמעת ליה דאמר מקלקל בחבורה חייב ר"ש האמר מלאכה שאינה צריכה לגופה פטור עליה וכן משמע בפרק כלל גדול (לעיל דף עה.) גבי חלזון ובפרק כל כתבי (לקמן דף קכא:) ובס"פ ספק אכל (כריתות דף כ:) וי"ל דאפי' במקלקל גמור משכחת לה דהויא צריכה לגופה כגון חובל ומבעיר באיסורי הנאה שסבר שיכול ליתן לכלבו ולבשל בו קדרה ור' אבהו אף על גב דלא חשיב צורך מצוה תיקון מ"מ צריכה לגופה חשיב</w:t>
      </w:r>
      <w:r w:rsidRPr="00747170">
        <w:rPr>
          <w:rFonts w:hint="cs"/>
          <w:rtl/>
        </w:rPr>
        <w:t>.</w:t>
      </w:r>
    </w:p>
    <w:p w14:paraId="0F11CD9D" w14:textId="77777777" w:rsidR="002748A5" w:rsidRPr="00695703" w:rsidRDefault="002748A5" w:rsidP="00747170">
      <w:pPr>
        <w:pStyle w:val="afffff5"/>
      </w:pPr>
      <w:r w:rsidRPr="00695703">
        <w:rPr>
          <w:rtl/>
        </w:rPr>
        <w:t>וכי תימא לרבי אבהו כיון דליכא תיקון א"כ צריכה לגופה היכי משכחת לה הא משכחת לה באיסורי הנאה שסבור שיכול ליהנות וליתן לכלבו וכן מבעיר באיסורי הנאה שסבור שיכול לבשל קדירה</w:t>
      </w:r>
      <w:r w:rsidRPr="00695703">
        <w:rPr>
          <w:rFonts w:hint="cs"/>
          <w:rtl/>
        </w:rPr>
        <w:t>.</w:t>
      </w:r>
    </w:p>
    <w:p w14:paraId="3909A6A0" w14:textId="77777777" w:rsidR="002748A5" w:rsidRPr="00695703" w:rsidRDefault="002748A5" w:rsidP="00747170">
      <w:pPr>
        <w:pStyle w:val="afffff5"/>
        <w:rPr>
          <w:rtl/>
        </w:rPr>
      </w:pPr>
      <w:r w:rsidRPr="00695703">
        <w:rPr>
          <w:rtl/>
        </w:rPr>
        <w:t>ועי"ל דאפי' במקלקל גמור משכחת לה דהיא צריכה לגופה כגון חובל באיסורי הנאה שסבור שיכול ליהנות ליתן לכלבו וכן מבעיר באיסורי הנאה שסובר שיכול לבשל בו קדירה</w:t>
      </w:r>
      <w:r w:rsidRPr="00695703">
        <w:rPr>
          <w:rFonts w:hint="cs"/>
          <w:rtl/>
        </w:rPr>
        <w:t>.</w:t>
      </w:r>
    </w:p>
    <w:p w14:paraId="424A1082" w14:textId="54F02FD2" w:rsidR="002748A5" w:rsidRPr="003B63CB" w:rsidRDefault="002748A5" w:rsidP="002748A5">
      <w:pPr>
        <w:pStyle w:val="a7"/>
        <w:rPr>
          <w:rtl/>
        </w:rPr>
      </w:pPr>
      <w:bookmarkStart w:id="3773" w:name="_Toc140075708"/>
      <w:bookmarkStart w:id="3774" w:name="_Toc140077797"/>
      <w:bookmarkStart w:id="3775" w:name="_Toc140099758"/>
      <w:bookmarkStart w:id="3776" w:name="_Toc140144300"/>
      <w:bookmarkStart w:id="3777" w:name="_Toc140144531"/>
      <w:r>
        <w:rPr>
          <w:rFonts w:hint="cs"/>
          <w:rtl/>
        </w:rPr>
        <w:t>בי' תוס' דחובל לכלבו ל"ד לחופר גומא דצריך את הדם עצמו ובו חובל ומבעיר צריך אפר עצמו</w:t>
      </w:r>
      <w:bookmarkEnd w:id="3773"/>
      <w:bookmarkEnd w:id="3774"/>
      <w:bookmarkEnd w:id="3775"/>
      <w:bookmarkEnd w:id="3776"/>
      <w:bookmarkEnd w:id="3777"/>
    </w:p>
    <w:p w14:paraId="2E681089" w14:textId="77777777" w:rsidR="002748A5" w:rsidRPr="003B63CB" w:rsidRDefault="002748A5" w:rsidP="00BC7DC8">
      <w:pPr>
        <w:pStyle w:val="a3"/>
      </w:pPr>
      <w:bookmarkStart w:id="3778" w:name="_Ref139814583"/>
      <w:r w:rsidRPr="003B63CB">
        <w:rPr>
          <w:rFonts w:hint="cs"/>
          <w:rtl/>
        </w:rPr>
        <w:t xml:space="preserve">אך הקשו </w:t>
      </w:r>
      <w:r w:rsidRPr="003B63CB">
        <w:rPr>
          <w:rStyle w:val="aff4"/>
          <w:rFonts w:hint="cs"/>
          <w:vanish/>
          <w:rtl/>
        </w:rPr>
        <w:t>-</w:t>
      </w:r>
      <w:r w:rsidRPr="003B63CB">
        <w:rPr>
          <w:rStyle w:val="aff4"/>
          <w:rFonts w:hint="cs"/>
          <w:rtl/>
        </w:rPr>
        <w:t>התוס'</w:t>
      </w:r>
      <w:r w:rsidRPr="003B63CB">
        <w:rPr>
          <w:rStyle w:val="aff4"/>
          <w:rFonts w:hint="cs"/>
          <w:vanish/>
          <w:rtl/>
        </w:rPr>
        <w:t>-</w:t>
      </w:r>
      <w:r w:rsidRPr="003B63CB">
        <w:rPr>
          <w:rFonts w:hint="cs"/>
          <w:rtl/>
        </w:rPr>
        <w:t xml:space="preserve"> </w:t>
      </w:r>
      <w:r w:rsidRPr="003B63CB">
        <w:rPr>
          <w:rStyle w:val="af2"/>
          <w:rFonts w:eastAsia="Guttman Hodes" w:hint="cs"/>
          <w:rtl/>
        </w:rPr>
        <w:t>(קו. ד"ה בצריך)</w:t>
      </w:r>
      <w:r w:rsidRPr="003B63CB">
        <w:rPr>
          <w:rFonts w:hint="cs"/>
          <w:rtl/>
        </w:rPr>
        <w:t xml:space="preserve"> </w:t>
      </w:r>
      <w:r w:rsidRPr="003B63CB">
        <w:rPr>
          <w:rStyle w:val="aff4"/>
          <w:rFonts w:hint="cs"/>
          <w:vanish/>
          <w:rtl/>
        </w:rPr>
        <w:t>-</w:t>
      </w:r>
      <w:r w:rsidRPr="003B63CB">
        <w:rPr>
          <w:rStyle w:val="aff4"/>
          <w:rFonts w:hint="cs"/>
          <w:rtl/>
        </w:rPr>
        <w:t>והתוס' בב"ק</w:t>
      </w:r>
      <w:r w:rsidRPr="003B63CB">
        <w:rPr>
          <w:rStyle w:val="aff4"/>
          <w:rFonts w:hint="cs"/>
          <w:vanish/>
          <w:rtl/>
        </w:rPr>
        <w:t>-</w:t>
      </w:r>
      <w:r w:rsidRPr="003B63CB">
        <w:rPr>
          <w:rFonts w:hint="cs"/>
          <w:rtl/>
        </w:rPr>
        <w:t xml:space="preserve"> </w:t>
      </w:r>
      <w:r w:rsidRPr="003B63CB">
        <w:rPr>
          <w:rStyle w:val="af2"/>
          <w:rFonts w:eastAsia="Guttman Hodes" w:hint="cs"/>
          <w:rtl/>
        </w:rPr>
        <w:t>(לד: ד"ה חובל)</w:t>
      </w:r>
      <w:r w:rsidRPr="003B63CB">
        <w:rPr>
          <w:rFonts w:hint="cs"/>
          <w:rtl/>
        </w:rPr>
        <w:t xml:space="preserve"> דמ"ש חובל וצריך לכלבו דחשיב מלאכה שצריכה לגופה, מחופר גומא וא"צ אלא לעפרה, ותירצו </w:t>
      </w:r>
      <w:r w:rsidRPr="003B63CB">
        <w:rPr>
          <w:rStyle w:val="aff4"/>
          <w:rFonts w:hint="cs"/>
          <w:vanish/>
          <w:rtl/>
        </w:rPr>
        <w:t>-</w:t>
      </w:r>
      <w:r w:rsidRPr="003B63CB">
        <w:rPr>
          <w:rStyle w:val="aff4"/>
          <w:rFonts w:hint="cs"/>
          <w:rtl/>
        </w:rPr>
        <w:t>התוס'</w:t>
      </w:r>
      <w:r w:rsidRPr="003B63CB">
        <w:rPr>
          <w:rStyle w:val="aff4"/>
          <w:rFonts w:hint="cs"/>
          <w:vanish/>
          <w:rtl/>
        </w:rPr>
        <w:t>-</w:t>
      </w:r>
      <w:r w:rsidRPr="003B63CB">
        <w:rPr>
          <w:rFonts w:hint="cs"/>
          <w:rtl/>
        </w:rPr>
        <w:t xml:space="preserve"> דבחובל הוא צריך את הדם עצמו בכדי לתת אותו לכלבו כיון שהדם הוא הנפש, וכן במבעיר הוא צריך את ההבערה עצמה לעשות את האפר, כמו דמבעיר לבשל קדירה צריך את ההבערה עצמה, משא"כ בחופר גומא, דאין לו כל הנאה מהמלאכה והיא נעשית מאליה.</w:t>
      </w:r>
      <w:bookmarkEnd w:id="3778"/>
    </w:p>
    <w:p w14:paraId="694F3248" w14:textId="77777777" w:rsidR="002748A5" w:rsidRPr="00747170" w:rsidRDefault="002748A5" w:rsidP="00747170">
      <w:pPr>
        <w:pStyle w:val="a2"/>
        <w:rPr>
          <w:rtl/>
        </w:rPr>
      </w:pPr>
      <w:r w:rsidRPr="00747170">
        <w:rPr>
          <w:rtl/>
        </w:rPr>
        <w:t>וא"ת צריך לכלבו ולאפרו היכי חשיב צריכה לגופה מ"ש מחופר גומא ואינו צריך אלא לעפרה וי"ל דלא דמי דהכא הוא צריך לנטילת נשמה כדי לתת לכלבו דהיינו הדם כי הדם הוא הנפש ומבעיר נמי צריך להבערה כדי לעשות אפר כמו מבעיר כדי לבשל קדרה אבל חופר הגומא נעשית מאליה ואינו נהנה ממנה כלום.</w:t>
      </w:r>
    </w:p>
    <w:p w14:paraId="1E48DE2F" w14:textId="37DF0130" w:rsidR="002748A5" w:rsidRPr="00C448E1" w:rsidRDefault="002748A5" w:rsidP="002748A5">
      <w:pPr>
        <w:pStyle w:val="afffffb"/>
        <w:rPr>
          <w:rtl/>
        </w:rPr>
      </w:pPr>
      <w:bookmarkStart w:id="3779" w:name="_Toc140144402"/>
      <w:r w:rsidRPr="00C448E1">
        <w:rPr>
          <w:rtl/>
        </w:rPr>
        <w:t>תוספות ב"ק ל"ד ע"ב</w:t>
      </w:r>
      <w:r w:rsidRPr="00C448E1">
        <w:rPr>
          <w:rFonts w:hint="cs"/>
          <w:rtl/>
        </w:rPr>
        <w:t xml:space="preserve"> ד</w:t>
      </w:r>
      <w:r w:rsidRPr="00C448E1">
        <w:rPr>
          <w:rFonts w:cs="Guttman Hodes" w:hint="cs"/>
          <w:rtl/>
        </w:rPr>
        <w:t>"</w:t>
      </w:r>
      <w:r w:rsidRPr="00C448E1">
        <w:rPr>
          <w:rFonts w:hint="cs"/>
          <w:rtl/>
        </w:rPr>
        <w:t>ה חובל</w:t>
      </w:r>
      <w:r w:rsidRPr="00C448E1">
        <w:rPr>
          <w:rtl/>
        </w:rPr>
        <w:t xml:space="preserve"> (ט)</w:t>
      </w:r>
      <w:bookmarkEnd w:id="3779"/>
    </w:p>
    <w:p w14:paraId="6C80655F" w14:textId="77777777" w:rsidR="002748A5" w:rsidRPr="00695703" w:rsidRDefault="002748A5" w:rsidP="00747170">
      <w:pPr>
        <w:pStyle w:val="afffff5"/>
        <w:rPr>
          <w:rtl/>
        </w:rPr>
      </w:pPr>
      <w:r w:rsidRPr="00695703">
        <w:rPr>
          <w:rtl/>
        </w:rPr>
        <w:t>וא"ת צריך לכלבו ולאפרו היכי חשיב צריכה לגופה מ"ש מחופר גומא ואין צריך אלא לאפרה וי"ל דלא דמי דהכא צריך הוא לנטילת נשמה דהיינו הדם כי הדם הוא הנפש כדי לתת לכלבו ומבעיר נמי להבערה כדי לעשות אפר כמו מבעיר לבשל קדירה ולא דמי לחופר גומא דממילא ואין נהנה כלל ממנו</w:t>
      </w:r>
    </w:p>
    <w:p w14:paraId="14BDE57A" w14:textId="77777777" w:rsidR="002748A5" w:rsidRPr="00C12F78" w:rsidRDefault="002748A5" w:rsidP="002748A5">
      <w:pPr>
        <w:pStyle w:val="afffff7"/>
        <w:rPr>
          <w:rtl/>
        </w:rPr>
      </w:pPr>
      <w:bookmarkStart w:id="3780" w:name="_Toc140144403"/>
      <w:bookmarkStart w:id="3781" w:name="_Toc140144879"/>
      <w:bookmarkStart w:id="3782" w:name="_Toc163505994"/>
      <w:r w:rsidRPr="00C12F78">
        <w:rPr>
          <w:rtl/>
        </w:rPr>
        <w:t>מרכבת המשנה שבת פ"א ה"א</w:t>
      </w:r>
      <w:r w:rsidRPr="00C12F78">
        <w:rPr>
          <w:rFonts w:hint="cs"/>
          <w:rtl/>
        </w:rPr>
        <w:t xml:space="preserve"> ד"ה ומה שנראה</w:t>
      </w:r>
      <w:bookmarkEnd w:id="3782"/>
      <w:r w:rsidRPr="00C12F78">
        <w:rPr>
          <w:vanish/>
          <w:rtl/>
        </w:rPr>
        <w:t xml:space="preserve"> (ט)</w:t>
      </w:r>
      <w:bookmarkStart w:id="3783" w:name="_Ref122097944"/>
      <w:bookmarkEnd w:id="3780"/>
      <w:bookmarkEnd w:id="3781"/>
    </w:p>
    <w:p w14:paraId="54192574" w14:textId="77777777" w:rsidR="002748A5" w:rsidRPr="003B63CB" w:rsidRDefault="002748A5" w:rsidP="002748A5">
      <w:pPr>
        <w:pStyle w:val="a7"/>
        <w:rPr>
          <w:rtl/>
        </w:rPr>
      </w:pPr>
      <w:bookmarkStart w:id="3784" w:name="_Toc140075709"/>
      <w:bookmarkStart w:id="3785" w:name="_Toc140077798"/>
      <w:bookmarkStart w:id="3786" w:name="_Toc140099759"/>
      <w:bookmarkStart w:id="3787" w:name="_Toc140144301"/>
      <w:bookmarkStart w:id="3788" w:name="_Toc140144532"/>
      <w:r>
        <w:rPr>
          <w:rFonts w:hint="cs"/>
          <w:rtl/>
        </w:rPr>
        <w:t>בי' המרכה"מ בתוס'</w:t>
      </w:r>
      <w:bookmarkEnd w:id="3784"/>
      <w:bookmarkEnd w:id="3785"/>
      <w:r>
        <w:rPr>
          <w:rFonts w:hint="cs"/>
          <w:rtl/>
        </w:rPr>
        <w:t xml:space="preserve"> דהמלאכה בדם שממיתו ולא באדם שנחבל ובדם עצמו נעשה תיקון לכלבו</w:t>
      </w:r>
      <w:bookmarkEnd w:id="3786"/>
      <w:bookmarkEnd w:id="3787"/>
      <w:bookmarkEnd w:id="3788"/>
    </w:p>
    <w:p w14:paraId="63BEAC74" w14:textId="124B58D8" w:rsidR="002748A5" w:rsidRDefault="002748A5" w:rsidP="00BC7DC8">
      <w:pPr>
        <w:pStyle w:val="a3"/>
      </w:pPr>
      <w:bookmarkStart w:id="3789" w:name="_Ref139815128"/>
      <w:r w:rsidRPr="003B63CB">
        <w:rPr>
          <w:rFonts w:hint="cs"/>
          <w:rtl/>
        </w:rPr>
        <w:t xml:space="preserve">וביאר </w:t>
      </w:r>
      <w:r w:rsidRPr="003B63CB">
        <w:rPr>
          <w:rStyle w:val="aff4"/>
          <w:rFonts w:hint="cs"/>
          <w:vanish/>
          <w:rtl/>
        </w:rPr>
        <w:t>-</w:t>
      </w:r>
      <w:r w:rsidRPr="003B63CB">
        <w:rPr>
          <w:rStyle w:val="aff4"/>
          <w:rFonts w:hint="cs"/>
          <w:rtl/>
        </w:rPr>
        <w:t>ה</w:t>
      </w:r>
      <w:r w:rsidRPr="003B63CB">
        <w:rPr>
          <w:rStyle w:val="aff4"/>
          <w:rFonts w:hint="cs"/>
          <w:vanish/>
          <w:rtl/>
        </w:rPr>
        <w:t xml:space="preserve">&lt;, </w:t>
      </w:r>
      <w:r w:rsidRPr="003B63CB">
        <w:rPr>
          <w:rStyle w:val="aff4"/>
          <w:vanish/>
          <w:rtl/>
        </w:rPr>
        <w:fldChar w:fldCharType="begin"/>
      </w:r>
      <w:r w:rsidRPr="003B63CB">
        <w:rPr>
          <w:rStyle w:val="aff4"/>
          <w:vanish/>
          <w:rtl/>
        </w:rPr>
        <w:instrText xml:space="preserve"> </w:instrText>
      </w:r>
      <w:r w:rsidRPr="003B63CB">
        <w:rPr>
          <w:rStyle w:val="aff4"/>
          <w:rFonts w:hint="cs"/>
          <w:vanish/>
        </w:rPr>
        <w:instrText>REF</w:instrText>
      </w:r>
      <w:r w:rsidRPr="003B63CB">
        <w:rPr>
          <w:rStyle w:val="aff4"/>
          <w:rFonts w:hint="cs"/>
          <w:vanish/>
          <w:rtl/>
        </w:rPr>
        <w:instrText xml:space="preserve"> _</w:instrText>
      </w:r>
      <w:r w:rsidRPr="003B63CB">
        <w:rPr>
          <w:rStyle w:val="aff4"/>
          <w:rFonts w:hint="cs"/>
          <w:vanish/>
        </w:rPr>
        <w:instrText>Ref139815128 \r \h</w:instrText>
      </w:r>
      <w:r w:rsidRPr="003B63CB">
        <w:rPr>
          <w:rStyle w:val="aff4"/>
          <w:vanish/>
          <w:rtl/>
        </w:rPr>
        <w:instrText xml:space="preserve">  \* </w:instrText>
      </w:r>
      <w:r w:rsidRPr="003B63CB">
        <w:rPr>
          <w:rStyle w:val="aff4"/>
          <w:vanish/>
        </w:rPr>
        <w:instrText>MERGEFORMAT</w:instrText>
      </w:r>
      <w:r w:rsidRPr="003B63CB">
        <w:rPr>
          <w:rStyle w:val="aff4"/>
          <w:vanish/>
          <w:rtl/>
        </w:rPr>
        <w:instrText xml:space="preserve"> </w:instrText>
      </w:r>
      <w:r w:rsidRPr="003B63CB">
        <w:rPr>
          <w:rStyle w:val="aff4"/>
          <w:vanish/>
          <w:rtl/>
        </w:rPr>
      </w:r>
      <w:r w:rsidRPr="003B63CB">
        <w:rPr>
          <w:rStyle w:val="aff4"/>
          <w:vanish/>
          <w:rtl/>
        </w:rPr>
        <w:fldChar w:fldCharType="separate"/>
      </w:r>
      <w:r w:rsidR="00D82181">
        <w:rPr>
          <w:rStyle w:val="aff4"/>
          <w:vanish/>
          <w:cs/>
        </w:rPr>
        <w:t>‎</w:t>
      </w:r>
      <w:r w:rsidR="00D82181">
        <w:rPr>
          <w:rStyle w:val="aff4"/>
          <w:vanish/>
          <w:rtl/>
        </w:rPr>
        <w:t>כה)</w:t>
      </w:r>
      <w:r w:rsidRPr="003B63CB">
        <w:rPr>
          <w:rStyle w:val="aff4"/>
          <w:vanish/>
          <w:rtl/>
        </w:rPr>
        <w:fldChar w:fldCharType="end"/>
      </w:r>
      <w:r w:rsidRPr="003B63CB">
        <w:rPr>
          <w:rStyle w:val="aff4"/>
          <w:rFonts w:hint="cs"/>
          <w:vanish/>
          <w:rtl/>
        </w:rPr>
        <w:t xml:space="preserve"> &gt;</w:t>
      </w:r>
      <w:r w:rsidRPr="003B63CB">
        <w:rPr>
          <w:rStyle w:val="aff4"/>
          <w:rFonts w:hint="cs"/>
          <w:rtl/>
        </w:rPr>
        <w:t>מרכבת המשנה</w:t>
      </w:r>
      <w:r w:rsidRPr="003B63CB">
        <w:rPr>
          <w:rStyle w:val="aff4"/>
          <w:rFonts w:hint="cs"/>
          <w:vanish/>
          <w:rtl/>
        </w:rPr>
        <w:t>-</w:t>
      </w:r>
      <w:r w:rsidRPr="003B63CB">
        <w:rPr>
          <w:rFonts w:hint="cs"/>
          <w:rtl/>
        </w:rPr>
        <w:t xml:space="preserve"> </w:t>
      </w:r>
      <w:r w:rsidRPr="003B63CB">
        <w:rPr>
          <w:rStyle w:val="af2"/>
          <w:rFonts w:eastAsia="Guttman Hodes" w:hint="cs"/>
          <w:rtl/>
        </w:rPr>
        <w:t>(שבת פ"א ה"א ד"ה ומה שנראה)</w:t>
      </w:r>
      <w:r w:rsidRPr="003B63CB">
        <w:rPr>
          <w:rFonts w:hint="cs"/>
          <w:vanish/>
          <w:rtl/>
        </w:rPr>
        <w:t>=</w:t>
      </w:r>
      <w:r w:rsidRPr="003B63CB">
        <w:rPr>
          <w:rFonts w:hint="cs"/>
          <w:rtl/>
        </w:rPr>
        <w:t xml:space="preserve"> דכוונת </w:t>
      </w:r>
      <w:r w:rsidRPr="003B63CB">
        <w:rPr>
          <w:rStyle w:val="aff4"/>
          <w:rFonts w:hint="cs"/>
          <w:vanish/>
          <w:rtl/>
        </w:rPr>
        <w:t>-</w:t>
      </w:r>
      <w:r w:rsidRPr="003B63CB">
        <w:rPr>
          <w:rStyle w:val="aff4"/>
          <w:rFonts w:hint="cs"/>
          <w:rtl/>
        </w:rPr>
        <w:t>התוס'</w:t>
      </w:r>
      <w:r w:rsidRPr="003B63CB">
        <w:rPr>
          <w:rStyle w:val="aff4"/>
          <w:rFonts w:hint="cs"/>
          <w:vanish/>
          <w:rtl/>
        </w:rPr>
        <w:t>-</w:t>
      </w:r>
      <w:r w:rsidRPr="003B63CB">
        <w:rPr>
          <w:rFonts w:hint="cs"/>
          <w:rtl/>
        </w:rPr>
        <w:t xml:space="preserve"> </w:t>
      </w:r>
      <w:r w:rsidRPr="003B63CB">
        <w:rPr>
          <w:rStyle w:val="af2"/>
          <w:rFonts w:eastAsia="Guttman Hodes" w:hint="cs"/>
          <w:rtl/>
        </w:rPr>
        <w:t xml:space="preserve">(עי' אות </w:t>
      </w:r>
      <w:r w:rsidRPr="003B63CB">
        <w:rPr>
          <w:rStyle w:val="af2"/>
          <w:rFonts w:eastAsia="Guttman Hodes"/>
          <w:rtl/>
        </w:rPr>
        <w:fldChar w:fldCharType="begin"/>
      </w:r>
      <w:r w:rsidRPr="003B63CB">
        <w:rPr>
          <w:rStyle w:val="af2"/>
          <w:rFonts w:eastAsia="Guttman Hodes"/>
          <w:rtl/>
        </w:rPr>
        <w:instrText xml:space="preserve"> </w:instrText>
      </w:r>
      <w:r w:rsidRPr="003B63CB">
        <w:rPr>
          <w:rStyle w:val="af2"/>
          <w:rFonts w:eastAsia="Guttman Hodes" w:hint="cs"/>
        </w:rPr>
        <w:instrText>REF</w:instrText>
      </w:r>
      <w:r w:rsidRPr="003B63CB">
        <w:rPr>
          <w:rStyle w:val="af2"/>
          <w:rFonts w:eastAsia="Guttman Hodes" w:hint="cs"/>
          <w:rtl/>
        </w:rPr>
        <w:instrText xml:space="preserve"> _</w:instrText>
      </w:r>
      <w:r w:rsidRPr="003B63CB">
        <w:rPr>
          <w:rStyle w:val="af2"/>
          <w:rFonts w:eastAsia="Guttman Hodes" w:hint="cs"/>
        </w:rPr>
        <w:instrText>Ref139814583 \r \h</w:instrText>
      </w:r>
      <w:r w:rsidRPr="003B63CB">
        <w:rPr>
          <w:rStyle w:val="af2"/>
          <w:rFonts w:eastAsia="Guttman Hodes"/>
          <w:rtl/>
        </w:rPr>
        <w:instrText xml:space="preserve">  \* </w:instrText>
      </w:r>
      <w:r w:rsidRPr="003B63CB">
        <w:rPr>
          <w:rStyle w:val="af2"/>
          <w:rFonts w:eastAsia="Guttman Hodes"/>
        </w:rPr>
        <w:instrText>MERGEFORMAT</w:instrText>
      </w:r>
      <w:r w:rsidRPr="003B63CB">
        <w:rPr>
          <w:rStyle w:val="af2"/>
          <w:rFonts w:eastAsia="Guttman Hodes"/>
          <w:rtl/>
        </w:rPr>
        <w:instrText xml:space="preserve"> </w:instrText>
      </w:r>
      <w:r w:rsidRPr="003B63CB">
        <w:rPr>
          <w:rStyle w:val="af2"/>
          <w:rFonts w:eastAsia="Guttman Hodes"/>
          <w:rtl/>
        </w:rPr>
      </w:r>
      <w:r w:rsidRPr="003B63CB">
        <w:rPr>
          <w:rStyle w:val="af2"/>
          <w:rFonts w:eastAsia="Guttman Hodes"/>
          <w:rtl/>
        </w:rPr>
        <w:fldChar w:fldCharType="separate"/>
      </w:r>
      <w:r w:rsidR="00D82181">
        <w:rPr>
          <w:rStyle w:val="af2"/>
          <w:rFonts w:eastAsia="Guttman Hodes"/>
          <w:cs/>
        </w:rPr>
        <w:t>‎</w:t>
      </w:r>
      <w:r w:rsidR="00D82181">
        <w:rPr>
          <w:rStyle w:val="af2"/>
          <w:rFonts w:eastAsia="Guttman Hodes"/>
          <w:rtl/>
        </w:rPr>
        <w:t>כד)</w:t>
      </w:r>
      <w:r w:rsidRPr="003B63CB">
        <w:rPr>
          <w:rStyle w:val="af2"/>
          <w:rFonts w:eastAsia="Guttman Hodes"/>
          <w:rtl/>
        </w:rPr>
        <w:fldChar w:fldCharType="end"/>
      </w:r>
      <w:r w:rsidRPr="003B63CB">
        <w:rPr>
          <w:rFonts w:hint="cs"/>
          <w:rtl/>
        </w:rPr>
        <w:t xml:space="preserve"> לומר דבחובל וצריך לכלבו </w:t>
      </w:r>
      <w:bookmarkStart w:id="3790" w:name="_Hlk139815026"/>
      <w:r w:rsidRPr="003B63CB">
        <w:rPr>
          <w:rFonts w:hint="cs"/>
          <w:rtl/>
        </w:rPr>
        <w:t>דהמלאכה היא נטילת נשמה, א"כ המלאכה היא</w:t>
      </w:r>
      <w:bookmarkEnd w:id="3790"/>
      <w:r w:rsidRPr="003B63CB">
        <w:rPr>
          <w:rFonts w:hint="cs"/>
          <w:rtl/>
        </w:rPr>
        <w:t xml:space="preserve"> בדם עצמו שנוטלו וממיתו ואין המלאכה בגוף האדם, ולכן אעפ"י דבגוף האדם הוא מקלקל, מ"מ כיון דעיקר המלאכה היא בדם, ובדם עצמו הוא מתקן דמוציאו ועי"ז נעשה ראוי לכלב, לכן הקלקול שבאדם לא חשיב קלקול</w:t>
      </w:r>
      <w:r>
        <w:rPr>
          <w:rFonts w:hint="cs"/>
          <w:rtl/>
        </w:rPr>
        <w:t>.</w:t>
      </w:r>
    </w:p>
    <w:p w14:paraId="24EACBC3" w14:textId="77777777" w:rsidR="002748A5" w:rsidRPr="00747170" w:rsidRDefault="002748A5" w:rsidP="00747170">
      <w:pPr>
        <w:pStyle w:val="a2"/>
        <w:rPr>
          <w:rtl/>
        </w:rPr>
      </w:pPr>
      <w:r w:rsidRPr="00747170">
        <w:rPr>
          <w:rStyle w:val="afff7"/>
          <w:rtl/>
        </w:rPr>
        <w:t>ומה שנראה לענ"ד יותר ברור בכוונת רש"י דודאי צריך להשים על לב דאע"ג דלר' יהודה דין חובל ומבעיר שוה לדין כל המקלקלין אפ"ה גבי חופר גומא פוטר ר"י מתורת מקלקל ובצריך לכלבו ולאפרו חשיב תיקון וצ"ל החילוק לדרך רש"י</w:t>
      </w:r>
      <w:r w:rsidRPr="00747170">
        <w:rPr>
          <w:rtl/>
        </w:rPr>
        <w:t xml:space="preserve"> כמ"ש התוס' דבחובל וצריך לכלבו המלאכה היא בדם שהוא נוטל ואין המלאכה בגוף האדם הילכך מה שמקלקל גוף האדם ועושה בו חבורה לא חשיב קלקול אלא דחשיב קלקול לגבי דם שמוציא ומקלקלו שעד עתה היה בו נשמה והוא ממיתו. אמנם אין זה קלקול דאע"ג דמקלקל לגבי דם מתקן הוא את הדם לגבי כלב שקודם הוצאה לא היה ראוי לכלב ועתה ראוי וכיון דניחא ליה להמית הדם כדי שיהיה ראוי לכלב חשוב תיקון לר"י והיינו מ"ש רש"י דאע"פ דמקלקל הוא אצל מלאכה (ר"ל שממית הדם) מתקן הוא אצל אחרים ר"ל לגבי כלב.</w:t>
      </w:r>
    </w:p>
    <w:p w14:paraId="5E97C7B6" w14:textId="77777777" w:rsidR="002748A5" w:rsidRPr="003C315D" w:rsidRDefault="002748A5" w:rsidP="002748A5">
      <w:pPr>
        <w:pStyle w:val="a7"/>
      </w:pPr>
      <w:bookmarkStart w:id="3791" w:name="_Toc140099760"/>
      <w:bookmarkStart w:id="3792" w:name="_Toc140144302"/>
      <w:bookmarkStart w:id="3793" w:name="_Toc140144533"/>
      <w:r w:rsidRPr="003C315D">
        <w:rPr>
          <w:rtl/>
        </w:rPr>
        <w:t>בי' המרכה"מ בתוס' דבגומא המלאכה היא רק בבנין וכשא"צ לו הוא מקלקל והוי משאצל"ג</w:t>
      </w:r>
      <w:bookmarkEnd w:id="3791"/>
      <w:bookmarkEnd w:id="3792"/>
      <w:bookmarkEnd w:id="3793"/>
    </w:p>
    <w:p w14:paraId="7FD58314" w14:textId="77777777" w:rsidR="002748A5" w:rsidRPr="003B63CB" w:rsidRDefault="002748A5" w:rsidP="00BC7DC8">
      <w:pPr>
        <w:pStyle w:val="a3"/>
        <w:rPr>
          <w:rtl/>
        </w:rPr>
      </w:pPr>
      <w:r w:rsidRPr="003B63CB">
        <w:rPr>
          <w:rFonts w:hint="cs"/>
          <w:rtl/>
        </w:rPr>
        <w:t>אבל בחופר גומא</w:t>
      </w:r>
      <w:r>
        <w:rPr>
          <w:rFonts w:hint="cs"/>
          <w:rtl/>
        </w:rPr>
        <w:t xml:space="preserve">, </w:t>
      </w:r>
      <w:r w:rsidRPr="003B63CB">
        <w:rPr>
          <w:rFonts w:hint="cs"/>
          <w:rtl/>
        </w:rPr>
        <w:t xml:space="preserve">ביאר </w:t>
      </w:r>
      <w:r w:rsidRPr="003B63CB">
        <w:rPr>
          <w:rStyle w:val="aff4"/>
          <w:rFonts w:hint="cs"/>
          <w:vanish/>
          <w:rtl/>
        </w:rPr>
        <w:t>-</w:t>
      </w:r>
      <w:r w:rsidRPr="003B63CB">
        <w:rPr>
          <w:rStyle w:val="aff4"/>
          <w:rFonts w:hint="cs"/>
          <w:rtl/>
        </w:rPr>
        <w:t>המרכבת המשנה</w:t>
      </w:r>
      <w:r w:rsidRPr="003B63CB">
        <w:rPr>
          <w:rStyle w:val="aff4"/>
          <w:rFonts w:hint="cs"/>
          <w:vanish/>
          <w:rtl/>
        </w:rPr>
        <w:t>-</w:t>
      </w:r>
      <w:r w:rsidRPr="003B63CB">
        <w:rPr>
          <w:rFonts w:hint="cs"/>
          <w:rtl/>
        </w:rPr>
        <w:t xml:space="preserve"> המלאכה עצמה היא הבנין וא"א לומר דהמלאכה היא בעפר, </w:t>
      </w:r>
      <w:r w:rsidRPr="003B63CB">
        <w:rPr>
          <w:rStyle w:val="af"/>
          <w:rFonts w:hint="cs"/>
          <w:rtl/>
        </w:rPr>
        <w:t>[כמו דאמרינן בחובל דהמלאכה היא בדם],</w:t>
      </w:r>
      <w:r w:rsidRPr="003B63CB">
        <w:rPr>
          <w:rFonts w:hint="cs"/>
          <w:rtl/>
        </w:rPr>
        <w:t xml:space="preserve"> כיון דא"צ את הבנין הוא מקלקל בגוף המלאכה ופטור מדין מקלקל, וחייב לר"י רק מדין מלאכה שאינה צריכה לגופה ולר"ש פטור.</w:t>
      </w:r>
      <w:bookmarkEnd w:id="3789"/>
    </w:p>
    <w:p w14:paraId="3D12A109" w14:textId="77777777" w:rsidR="002748A5" w:rsidRPr="00747170" w:rsidRDefault="002748A5" w:rsidP="00747170">
      <w:pPr>
        <w:pStyle w:val="a2"/>
        <w:rPr>
          <w:rStyle w:val="afff7"/>
          <w:rtl/>
        </w:rPr>
      </w:pPr>
      <w:r w:rsidRPr="00747170">
        <w:rPr>
          <w:rtl/>
        </w:rPr>
        <w:t xml:space="preserve">משא"כ בחופר גומא דאין המלאכה נטילת העפר ובעפר אלא המלאכה היא בגומא הנשארת וכיון שהגומא עצמה לא ניחא ליה לשום דבר ואין בה תיקון אלא קלקול פטור. </w:t>
      </w:r>
      <w:r w:rsidRPr="00747170">
        <w:rPr>
          <w:rStyle w:val="afff7"/>
          <w:rtl/>
        </w:rPr>
        <w:t>משא"כ למשל החותך אצבע יתירה מגוף האדם פטור לר"י דכיון דאין המלאכה בגוף האדם אלא בנטילת נשמה מן האצבע הילכך מה שמתקן גוף האדם לא חשיב תיקון במלאכה והוא מקלקל האצבע יתירה שאינו צריך לה כלום וחשיב קלקול בגוף המלאכה אלא שאם צריך האצבע יתירה לכלבו חשיב תיקון דומיא דדם לכלבו.</w:t>
      </w:r>
    </w:p>
    <w:p w14:paraId="0EB89909" w14:textId="77777777" w:rsidR="002748A5" w:rsidRDefault="002748A5" w:rsidP="002748A5">
      <w:pPr>
        <w:pStyle w:val="affff5"/>
        <w:rPr>
          <w:rtl/>
        </w:rPr>
      </w:pPr>
      <w:bookmarkStart w:id="3794" w:name="_Toc140075710"/>
      <w:bookmarkStart w:id="3795" w:name="_Toc140077799"/>
      <w:bookmarkStart w:id="3796" w:name="_Toc140099761"/>
      <w:bookmarkStart w:id="3797" w:name="_Toc140144303"/>
      <w:bookmarkStart w:id="3798" w:name="_Toc140144534"/>
      <w:bookmarkStart w:id="3799" w:name="_Toc140144404"/>
      <w:bookmarkEnd w:id="3783"/>
      <w:r>
        <w:rPr>
          <w:rFonts w:hint="cs"/>
          <w:rtl/>
        </w:rPr>
        <w:t>פלו' הרשב"ם ותוס' בסוגיא דחובל לכלבו</w:t>
      </w:r>
      <w:bookmarkEnd w:id="3794"/>
      <w:bookmarkEnd w:id="3795"/>
      <w:bookmarkEnd w:id="3796"/>
      <w:bookmarkEnd w:id="3797"/>
      <w:bookmarkEnd w:id="3798"/>
    </w:p>
    <w:p w14:paraId="5AD39BAD" w14:textId="77777777" w:rsidR="002748A5" w:rsidRPr="003B63CB" w:rsidRDefault="002748A5" w:rsidP="002748A5">
      <w:pPr>
        <w:pStyle w:val="1"/>
        <w:rPr>
          <w:rtl/>
        </w:rPr>
      </w:pPr>
      <w:bookmarkStart w:id="3800" w:name="_Toc140075711"/>
      <w:bookmarkStart w:id="3801" w:name="_Toc140077800"/>
      <w:bookmarkStart w:id="3802" w:name="_Toc140099762"/>
      <w:bookmarkStart w:id="3803" w:name="_Toc140144304"/>
      <w:bookmarkStart w:id="3804" w:name="_Toc140144535"/>
      <w:r w:rsidRPr="003B63CB">
        <w:rPr>
          <w:rFonts w:hint="cs"/>
          <w:rtl/>
        </w:rPr>
        <w:t xml:space="preserve">בי' </w:t>
      </w:r>
      <w:bookmarkEnd w:id="3800"/>
      <w:bookmarkEnd w:id="3801"/>
      <w:r>
        <w:rPr>
          <w:rFonts w:hint="cs"/>
          <w:rtl/>
        </w:rPr>
        <w:t>הרשב"ם דר"י ור"ש נח' אי חובל חייב או רק בצריך לכלבו</w:t>
      </w:r>
      <w:bookmarkEnd w:id="3802"/>
      <w:bookmarkEnd w:id="3803"/>
      <w:bookmarkEnd w:id="3804"/>
    </w:p>
    <w:p w14:paraId="0308188A" w14:textId="57E2FB84" w:rsidR="002748A5" w:rsidRPr="00C12F78" w:rsidRDefault="002748A5" w:rsidP="002748A5">
      <w:pPr>
        <w:pStyle w:val="afffff7"/>
        <w:rPr>
          <w:rtl/>
        </w:rPr>
      </w:pPr>
      <w:bookmarkStart w:id="3805" w:name="_Toc140144880"/>
      <w:bookmarkStart w:id="3806" w:name="_Toc163505995"/>
      <w:r w:rsidRPr="00C12F78">
        <w:rPr>
          <w:rtl/>
        </w:rPr>
        <w:t>תוספות שבת ק"ו ע"א</w:t>
      </w:r>
      <w:r w:rsidRPr="00C12F78">
        <w:rPr>
          <w:rFonts w:hint="cs"/>
          <w:rtl/>
        </w:rPr>
        <w:t xml:space="preserve"> ד"ה חוץ</w:t>
      </w:r>
      <w:bookmarkEnd w:id="3806"/>
      <w:r w:rsidRPr="00C12F78">
        <w:rPr>
          <w:vanish/>
          <w:rtl/>
        </w:rPr>
        <w:t xml:space="preserve"> (ט)</w:t>
      </w:r>
      <w:bookmarkEnd w:id="3799"/>
      <w:bookmarkEnd w:id="3805"/>
    </w:p>
    <w:p w14:paraId="68A20DB1" w14:textId="77777777" w:rsidR="002748A5" w:rsidRPr="00C12F78" w:rsidRDefault="002748A5" w:rsidP="002748A5">
      <w:pPr>
        <w:pStyle w:val="afffff7"/>
        <w:rPr>
          <w:rtl/>
        </w:rPr>
      </w:pPr>
      <w:bookmarkStart w:id="3807" w:name="_Toc140144405"/>
      <w:bookmarkStart w:id="3808" w:name="_Toc140144881"/>
      <w:bookmarkStart w:id="3809" w:name="_Toc140075712"/>
      <w:bookmarkStart w:id="3810" w:name="_Toc140077801"/>
      <w:bookmarkStart w:id="3811" w:name="_Toc140099763"/>
      <w:bookmarkStart w:id="3812" w:name="_Toc140144305"/>
      <w:bookmarkStart w:id="3813" w:name="_Toc140144536"/>
      <w:bookmarkStart w:id="3814" w:name="_Toc163505996"/>
      <w:r w:rsidRPr="00C12F78">
        <w:rPr>
          <w:rtl/>
        </w:rPr>
        <w:t>תוספות שבת ק"ו ע"א</w:t>
      </w:r>
      <w:r w:rsidRPr="00C12F78">
        <w:rPr>
          <w:rFonts w:hint="cs"/>
          <w:rtl/>
        </w:rPr>
        <w:t xml:space="preserve"> ד"ה מה לי</w:t>
      </w:r>
      <w:bookmarkEnd w:id="3814"/>
      <w:r w:rsidRPr="00C12F78">
        <w:rPr>
          <w:vanish/>
          <w:rtl/>
        </w:rPr>
        <w:t xml:space="preserve"> (ט)</w:t>
      </w:r>
      <w:bookmarkEnd w:id="3807"/>
      <w:bookmarkEnd w:id="3808"/>
    </w:p>
    <w:p w14:paraId="2BF43BE9" w14:textId="77777777" w:rsidR="002748A5" w:rsidRPr="00C12F78" w:rsidRDefault="002748A5" w:rsidP="002748A5">
      <w:pPr>
        <w:pStyle w:val="afffff7"/>
        <w:rPr>
          <w:rtl/>
        </w:rPr>
      </w:pPr>
      <w:bookmarkStart w:id="3815" w:name="_Toc140144406"/>
      <w:bookmarkStart w:id="3816" w:name="_Toc140144882"/>
      <w:bookmarkStart w:id="3817" w:name="_Toc163505997"/>
      <w:r w:rsidRPr="00C12F78">
        <w:rPr>
          <w:rtl/>
        </w:rPr>
        <w:t>תוספות סנהדרין פ"ד ע"ב</w:t>
      </w:r>
      <w:r w:rsidRPr="00C12F78">
        <w:rPr>
          <w:rFonts w:hint="cs"/>
          <w:rtl/>
        </w:rPr>
        <w:t xml:space="preserve"> ד"ה מאן</w:t>
      </w:r>
      <w:bookmarkEnd w:id="3817"/>
      <w:r w:rsidRPr="00C12F78">
        <w:rPr>
          <w:vanish/>
          <w:rtl/>
        </w:rPr>
        <w:t xml:space="preserve"> (ט)</w:t>
      </w:r>
      <w:bookmarkEnd w:id="3815"/>
      <w:bookmarkEnd w:id="3816"/>
    </w:p>
    <w:p w14:paraId="53AB26BF" w14:textId="77777777" w:rsidR="002748A5" w:rsidRPr="00C12F78" w:rsidRDefault="002748A5" w:rsidP="002748A5">
      <w:pPr>
        <w:pStyle w:val="afffff7"/>
        <w:rPr>
          <w:rtl/>
        </w:rPr>
      </w:pPr>
      <w:bookmarkStart w:id="3818" w:name="_Toc140144407"/>
      <w:bookmarkStart w:id="3819" w:name="_Toc140144883"/>
      <w:bookmarkStart w:id="3820" w:name="_Toc163505998"/>
      <w:r w:rsidRPr="00C12F78">
        <w:rPr>
          <w:rtl/>
        </w:rPr>
        <w:t>תוספות ב"ק ל"ד ע"ב</w:t>
      </w:r>
      <w:r w:rsidRPr="00C12F78">
        <w:rPr>
          <w:rFonts w:hint="cs"/>
          <w:rtl/>
        </w:rPr>
        <w:t xml:space="preserve"> ד</w:t>
      </w:r>
      <w:r w:rsidRPr="00C12F78">
        <w:rPr>
          <w:rFonts w:cs="Guttman Hodes" w:hint="cs"/>
          <w:rtl/>
        </w:rPr>
        <w:t>"</w:t>
      </w:r>
      <w:r w:rsidRPr="00C12F78">
        <w:rPr>
          <w:rFonts w:hint="cs"/>
          <w:rtl/>
        </w:rPr>
        <w:t>ה חובל</w:t>
      </w:r>
      <w:bookmarkEnd w:id="3820"/>
      <w:r w:rsidRPr="00C12F78">
        <w:rPr>
          <w:vanish/>
          <w:rtl/>
        </w:rPr>
        <w:t xml:space="preserve"> (ט)</w:t>
      </w:r>
      <w:bookmarkEnd w:id="3818"/>
      <w:bookmarkEnd w:id="3819"/>
    </w:p>
    <w:p w14:paraId="67FA43B4" w14:textId="77777777" w:rsidR="002748A5" w:rsidRPr="003B63CB" w:rsidRDefault="002748A5" w:rsidP="002748A5">
      <w:pPr>
        <w:pStyle w:val="a7"/>
        <w:rPr>
          <w:rtl/>
        </w:rPr>
      </w:pPr>
      <w:r w:rsidRPr="003B63CB">
        <w:rPr>
          <w:rFonts w:hint="cs"/>
          <w:rtl/>
        </w:rPr>
        <w:t>בי' התוס' בשם רשב"ם דלרש"י המח' אי חובל בחבורה חייב או רק בצריך לכלבו היא בד' ר"ש</w:t>
      </w:r>
      <w:bookmarkEnd w:id="3809"/>
      <w:bookmarkEnd w:id="3810"/>
      <w:bookmarkEnd w:id="3811"/>
      <w:bookmarkEnd w:id="3812"/>
      <w:bookmarkEnd w:id="3813"/>
    </w:p>
    <w:p w14:paraId="070433D3" w14:textId="539A7387" w:rsidR="002748A5" w:rsidRPr="003B63CB" w:rsidRDefault="002748A5" w:rsidP="00BC7DC8">
      <w:pPr>
        <w:pStyle w:val="a3"/>
        <w:rPr>
          <w:rtl/>
        </w:rPr>
      </w:pPr>
      <w:bookmarkStart w:id="3821" w:name="_Ref139453662"/>
      <w:r w:rsidRPr="003B63CB">
        <w:rPr>
          <w:rFonts w:hint="cs"/>
          <w:rtl/>
        </w:rPr>
        <w:t xml:space="preserve">כתבו </w:t>
      </w:r>
      <w:r w:rsidRPr="003B63CB">
        <w:rPr>
          <w:rStyle w:val="aff4"/>
          <w:rFonts w:hint="cs"/>
          <w:vanish/>
          <w:rtl/>
        </w:rPr>
        <w:t>-</w:t>
      </w:r>
      <w:r w:rsidRPr="003B63CB">
        <w:rPr>
          <w:rStyle w:val="aff4"/>
          <w:rFonts w:hint="cs"/>
          <w:rtl/>
        </w:rPr>
        <w:t>ה</w:t>
      </w:r>
      <w:r w:rsidRPr="003B63CB">
        <w:rPr>
          <w:rStyle w:val="aff4"/>
          <w:rFonts w:hint="cs"/>
          <w:vanish/>
          <w:rtl/>
        </w:rPr>
        <w:t xml:space="preserve">&lt;, </w:t>
      </w:r>
      <w:r w:rsidRPr="003B63CB">
        <w:rPr>
          <w:rStyle w:val="aff4"/>
          <w:vanish/>
          <w:rtl/>
        </w:rPr>
        <w:fldChar w:fldCharType="begin"/>
      </w:r>
      <w:r w:rsidRPr="003B63CB">
        <w:rPr>
          <w:rStyle w:val="aff4"/>
          <w:vanish/>
          <w:rtl/>
        </w:rPr>
        <w:instrText xml:space="preserve"> </w:instrText>
      </w:r>
      <w:r w:rsidRPr="003B63CB">
        <w:rPr>
          <w:rStyle w:val="aff4"/>
          <w:rFonts w:hint="cs"/>
          <w:vanish/>
        </w:rPr>
        <w:instrText>REF</w:instrText>
      </w:r>
      <w:r w:rsidRPr="003B63CB">
        <w:rPr>
          <w:rStyle w:val="aff4"/>
          <w:rFonts w:hint="cs"/>
          <w:vanish/>
          <w:rtl/>
        </w:rPr>
        <w:instrText xml:space="preserve"> _</w:instrText>
      </w:r>
      <w:r w:rsidRPr="003B63CB">
        <w:rPr>
          <w:rStyle w:val="aff4"/>
          <w:rFonts w:hint="cs"/>
          <w:vanish/>
        </w:rPr>
        <w:instrText>Ref139453662 \r \h</w:instrText>
      </w:r>
      <w:r w:rsidRPr="003B63CB">
        <w:rPr>
          <w:rStyle w:val="aff4"/>
          <w:vanish/>
          <w:rtl/>
        </w:rPr>
        <w:instrText xml:space="preserve">  \* </w:instrText>
      </w:r>
      <w:r w:rsidRPr="003B63CB">
        <w:rPr>
          <w:rStyle w:val="aff4"/>
          <w:vanish/>
        </w:rPr>
        <w:instrText>MERGEFORMAT</w:instrText>
      </w:r>
      <w:r w:rsidRPr="003B63CB">
        <w:rPr>
          <w:rStyle w:val="aff4"/>
          <w:vanish/>
          <w:rtl/>
        </w:rPr>
        <w:instrText xml:space="preserve"> </w:instrText>
      </w:r>
      <w:r w:rsidRPr="003B63CB">
        <w:rPr>
          <w:rStyle w:val="aff4"/>
          <w:vanish/>
          <w:rtl/>
        </w:rPr>
      </w:r>
      <w:r w:rsidRPr="003B63CB">
        <w:rPr>
          <w:rStyle w:val="aff4"/>
          <w:vanish/>
          <w:rtl/>
        </w:rPr>
        <w:fldChar w:fldCharType="separate"/>
      </w:r>
      <w:r w:rsidR="00D82181">
        <w:rPr>
          <w:rStyle w:val="aff4"/>
          <w:vanish/>
          <w:cs/>
        </w:rPr>
        <w:t>‎</w:t>
      </w:r>
      <w:r w:rsidR="00D82181">
        <w:rPr>
          <w:rStyle w:val="aff4"/>
          <w:vanish/>
          <w:rtl/>
        </w:rPr>
        <w:t>כז)</w:t>
      </w:r>
      <w:r w:rsidRPr="003B63CB">
        <w:rPr>
          <w:rStyle w:val="aff4"/>
          <w:vanish/>
          <w:rtl/>
        </w:rPr>
        <w:fldChar w:fldCharType="end"/>
      </w:r>
      <w:r w:rsidRPr="003B63CB">
        <w:rPr>
          <w:rStyle w:val="aff4"/>
          <w:rFonts w:hint="cs"/>
          <w:vanish/>
          <w:rtl/>
        </w:rPr>
        <w:t xml:space="preserve"> &gt;</w:t>
      </w:r>
      <w:r w:rsidRPr="003B63CB">
        <w:rPr>
          <w:rStyle w:val="aff4"/>
          <w:rFonts w:hint="cs"/>
          <w:rtl/>
        </w:rPr>
        <w:t>תוס'</w:t>
      </w:r>
      <w:r w:rsidRPr="003B63CB">
        <w:rPr>
          <w:rStyle w:val="aff4"/>
          <w:rFonts w:hint="cs"/>
          <w:vanish/>
          <w:rtl/>
        </w:rPr>
        <w:t>-</w:t>
      </w:r>
      <w:r w:rsidRPr="003B63CB">
        <w:rPr>
          <w:rFonts w:hint="cs"/>
          <w:rtl/>
        </w:rPr>
        <w:t xml:space="preserve"> </w:t>
      </w:r>
      <w:r w:rsidRPr="003B63CB">
        <w:rPr>
          <w:rStyle w:val="af2"/>
          <w:rFonts w:eastAsia="Guttman Hodes" w:hint="cs"/>
          <w:rtl/>
        </w:rPr>
        <w:t>(קו. ד"ה חוץ)</w:t>
      </w:r>
      <w:r w:rsidRPr="003B63CB">
        <w:rPr>
          <w:rFonts w:hint="cs"/>
          <w:rtl/>
        </w:rPr>
        <w:t xml:space="preserve"> בשם </w:t>
      </w:r>
      <w:r w:rsidRPr="003B63CB">
        <w:rPr>
          <w:rStyle w:val="aff4"/>
          <w:rFonts w:hint="cs"/>
          <w:vanish/>
          <w:rtl/>
        </w:rPr>
        <w:t>-</w:t>
      </w:r>
      <w:r w:rsidRPr="003B63CB">
        <w:rPr>
          <w:rStyle w:val="aff4"/>
          <w:rFonts w:hint="cs"/>
          <w:rtl/>
        </w:rPr>
        <w:t>הרשב"ם</w:t>
      </w:r>
      <w:r w:rsidRPr="003B63CB">
        <w:rPr>
          <w:rStyle w:val="aff4"/>
          <w:rFonts w:hint="cs"/>
          <w:vanish/>
          <w:rtl/>
        </w:rPr>
        <w:t>-</w:t>
      </w:r>
      <w:r w:rsidRPr="003B63CB">
        <w:rPr>
          <w:rFonts w:hint="cs"/>
          <w:vanish/>
          <w:rtl/>
        </w:rPr>
        <w:t>=</w:t>
      </w:r>
      <w:r w:rsidRPr="003B63CB">
        <w:rPr>
          <w:rFonts w:hint="cs"/>
          <w:rtl/>
        </w:rPr>
        <w:t xml:space="preserve"> דרבי אבהו דמחייב בחובל ומבעיר ס"ל כר"ש, דמחייב במקלקל בחבורה, וריו"ח דמחייב רק בחובל וצריך לכלבו, ס"ל כר"י דפוטר, וכן משמע מדברי </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וביארו </w:t>
      </w:r>
      <w:r w:rsidRPr="003B63CB">
        <w:rPr>
          <w:rStyle w:val="aff4"/>
          <w:rFonts w:hint="cs"/>
          <w:vanish/>
          <w:rtl/>
        </w:rPr>
        <w:t>-</w:t>
      </w:r>
      <w:r w:rsidRPr="003B63CB">
        <w:rPr>
          <w:rStyle w:val="aff4"/>
          <w:rFonts w:hint="cs"/>
          <w:rtl/>
        </w:rPr>
        <w:t>ה</w:t>
      </w:r>
      <w:r w:rsidRPr="003B63CB">
        <w:rPr>
          <w:rStyle w:val="aff4"/>
          <w:rFonts w:hint="cs"/>
          <w:vanish/>
          <w:rtl/>
        </w:rPr>
        <w:t>&lt; &gt;</w:t>
      </w:r>
      <w:r w:rsidRPr="003B63CB">
        <w:rPr>
          <w:rStyle w:val="aff4"/>
          <w:rFonts w:hint="cs"/>
          <w:rtl/>
        </w:rPr>
        <w:t>תוס'</w:t>
      </w:r>
      <w:r w:rsidRPr="003B63CB">
        <w:rPr>
          <w:rStyle w:val="aff4"/>
          <w:rFonts w:hint="cs"/>
          <w:vanish/>
          <w:rtl/>
        </w:rPr>
        <w:t>-</w:t>
      </w:r>
      <w:r w:rsidRPr="003B63CB">
        <w:rPr>
          <w:rFonts w:hint="cs"/>
          <w:rtl/>
        </w:rPr>
        <w:t xml:space="preserve"> </w:t>
      </w:r>
      <w:r w:rsidRPr="003B63CB">
        <w:rPr>
          <w:rStyle w:val="af2"/>
          <w:rFonts w:eastAsia="Guttman Hodes" w:hint="cs"/>
          <w:rtl/>
        </w:rPr>
        <w:t>(קו. סוד"ה מה לי)</w:t>
      </w:r>
      <w:r w:rsidRPr="003B63CB">
        <w:rPr>
          <w:rFonts w:hint="cs"/>
          <w:vanish/>
          <w:rtl/>
        </w:rPr>
        <w:t>=</w:t>
      </w:r>
      <w:r w:rsidRPr="003B63CB">
        <w:rPr>
          <w:rFonts w:hint="cs"/>
          <w:rtl/>
        </w:rPr>
        <w:t xml:space="preserve"> דממ"ש </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w:t>
      </w:r>
      <w:r w:rsidRPr="003B63CB">
        <w:rPr>
          <w:rStyle w:val="af2"/>
          <w:rFonts w:eastAsia="Guttman Hodes" w:hint="cs"/>
          <w:rtl/>
        </w:rPr>
        <w:t>(</w:t>
      </w:r>
      <w:r>
        <w:rPr>
          <w:rStyle w:val="af2"/>
          <w:rFonts w:eastAsia="Guttman Hodes" w:hint="cs"/>
          <w:rtl/>
        </w:rPr>
        <w:t>הובא בסימן ח'</w:t>
      </w:r>
      <w:r w:rsidRPr="007E2F7E">
        <w:rPr>
          <w:rStyle w:val="af2"/>
          <w:rFonts w:eastAsia="Guttman Hodes" w:hint="cs"/>
          <w:rtl/>
        </w:rPr>
        <w:t xml:space="preserve"> </w:t>
      </w:r>
      <w:r w:rsidRPr="003B63CB">
        <w:rPr>
          <w:rStyle w:val="af2"/>
          <w:rFonts w:eastAsia="Guttman Hodes" w:hint="cs"/>
          <w:rtl/>
        </w:rPr>
        <w:t xml:space="preserve">אות </w:t>
      </w:r>
      <w:r w:rsidRPr="003B63CB">
        <w:rPr>
          <w:rStyle w:val="af2"/>
          <w:rFonts w:eastAsia="Guttman Hodes"/>
          <w:rtl/>
        </w:rPr>
        <w:fldChar w:fldCharType="begin"/>
      </w:r>
      <w:r w:rsidRPr="003B63CB">
        <w:rPr>
          <w:rStyle w:val="af2"/>
          <w:rFonts w:eastAsia="Guttman Hodes"/>
          <w:rtl/>
        </w:rPr>
        <w:instrText xml:space="preserve"> </w:instrText>
      </w:r>
      <w:r w:rsidRPr="003B63CB">
        <w:rPr>
          <w:rStyle w:val="af2"/>
          <w:rFonts w:eastAsia="Guttman Hodes" w:hint="cs"/>
        </w:rPr>
        <w:instrText>REF</w:instrText>
      </w:r>
      <w:r w:rsidRPr="003B63CB">
        <w:rPr>
          <w:rStyle w:val="af2"/>
          <w:rFonts w:eastAsia="Guttman Hodes" w:hint="cs"/>
          <w:rtl/>
        </w:rPr>
        <w:instrText xml:space="preserve"> _</w:instrText>
      </w:r>
      <w:r w:rsidRPr="003B63CB">
        <w:rPr>
          <w:rStyle w:val="af2"/>
          <w:rFonts w:eastAsia="Guttman Hodes" w:hint="cs"/>
        </w:rPr>
        <w:instrText>Ref139367325 \r \h</w:instrText>
      </w:r>
      <w:r w:rsidRPr="003B63CB">
        <w:rPr>
          <w:rStyle w:val="af2"/>
          <w:rFonts w:eastAsia="Guttman Hodes"/>
          <w:rtl/>
        </w:rPr>
        <w:instrText xml:space="preserve">  \* </w:instrText>
      </w:r>
      <w:r w:rsidRPr="003B63CB">
        <w:rPr>
          <w:rStyle w:val="af2"/>
          <w:rFonts w:eastAsia="Guttman Hodes"/>
        </w:rPr>
        <w:instrText>MERGEFORMAT</w:instrText>
      </w:r>
      <w:r w:rsidRPr="003B63CB">
        <w:rPr>
          <w:rStyle w:val="af2"/>
          <w:rFonts w:eastAsia="Guttman Hodes"/>
          <w:rtl/>
        </w:rPr>
        <w:instrText xml:space="preserve"> </w:instrText>
      </w:r>
      <w:r w:rsidRPr="003B63CB">
        <w:rPr>
          <w:rStyle w:val="af2"/>
          <w:rFonts w:eastAsia="Guttman Hodes"/>
          <w:rtl/>
        </w:rPr>
      </w:r>
      <w:r w:rsidRPr="003B63CB">
        <w:rPr>
          <w:rStyle w:val="af2"/>
          <w:rFonts w:eastAsia="Guttman Hodes"/>
          <w:rtl/>
        </w:rPr>
        <w:fldChar w:fldCharType="separate"/>
      </w:r>
      <w:r w:rsidR="00D82181" w:rsidRPr="00D82181">
        <w:rPr>
          <w:rStyle w:val="af2"/>
          <w:rFonts w:eastAsia="Guttman Hodes"/>
          <w:b/>
          <w:bCs/>
          <w:cs/>
        </w:rPr>
        <w:t>‎</w:t>
      </w:r>
      <w:r w:rsidR="00D82181" w:rsidRPr="00D82181">
        <w:rPr>
          <w:rStyle w:val="af2"/>
          <w:rFonts w:eastAsia="Guttman Hodes"/>
          <w:b/>
          <w:bCs/>
          <w:rtl/>
        </w:rPr>
        <w:t>כח)</w:t>
      </w:r>
      <w:r w:rsidRPr="003B63CB">
        <w:rPr>
          <w:rStyle w:val="af2"/>
          <w:rFonts w:eastAsia="Guttman Hodes"/>
          <w:rtl/>
        </w:rPr>
        <w:fldChar w:fldCharType="end"/>
      </w:r>
      <w:r w:rsidRPr="003B63CB">
        <w:rPr>
          <w:rFonts w:hint="cs"/>
          <w:rtl/>
        </w:rPr>
        <w:t xml:space="preserve"> דלא איתפרש היכן נחלקו ר"י ור"ש במקלקל בחבורה, אך מוכח כן ממחלוקתם </w:t>
      </w:r>
      <w:r w:rsidRPr="003B63CB">
        <w:rPr>
          <w:rFonts w:hint="cs"/>
          <w:rtl/>
        </w:rPr>
        <w:lastRenderedPageBreak/>
        <w:t xml:space="preserve">במלאכה שאינה צריכה לגופה, דא"כ משמע </w:t>
      </w:r>
      <w:r w:rsidRPr="003B63CB">
        <w:rPr>
          <w:rStyle w:val="aff4"/>
          <w:rFonts w:hint="cs"/>
          <w:vanish/>
          <w:rtl/>
        </w:rPr>
        <w:t>-</w:t>
      </w:r>
      <w:r w:rsidRPr="003B63CB">
        <w:rPr>
          <w:rStyle w:val="aff4"/>
          <w:rFonts w:hint="cs"/>
          <w:rtl/>
        </w:rPr>
        <w:t>מרש"י</w:t>
      </w:r>
      <w:r w:rsidRPr="003B63CB">
        <w:rPr>
          <w:rStyle w:val="aff4"/>
          <w:rFonts w:hint="cs"/>
          <w:vanish/>
          <w:rtl/>
        </w:rPr>
        <w:t>-</w:t>
      </w:r>
      <w:r w:rsidRPr="003B63CB">
        <w:rPr>
          <w:rFonts w:hint="cs"/>
          <w:rtl/>
        </w:rPr>
        <w:t xml:space="preserve"> דלר"ש החיוב במקלקל בחבורה הוא אף כשא"צ לכלבו ולאפרו, וא"כ צ"ל דרבי אבהו ס"ל כר"ש וריו"ח כר"י, וכן ביארו </w:t>
      </w:r>
      <w:r w:rsidRPr="003B63CB">
        <w:rPr>
          <w:rStyle w:val="aff4"/>
          <w:rFonts w:hint="cs"/>
          <w:vanish/>
          <w:rtl/>
        </w:rPr>
        <w:t>-</w:t>
      </w:r>
      <w:r w:rsidRPr="003B63CB">
        <w:rPr>
          <w:rStyle w:val="aff4"/>
          <w:rFonts w:hint="cs"/>
          <w:rtl/>
        </w:rPr>
        <w:t>ה</w:t>
      </w:r>
      <w:r w:rsidRPr="003B63CB">
        <w:rPr>
          <w:rStyle w:val="aff4"/>
          <w:rFonts w:hint="cs"/>
          <w:vanish/>
          <w:rtl/>
        </w:rPr>
        <w:t>&lt; &gt;</w:t>
      </w:r>
      <w:r w:rsidRPr="003B63CB">
        <w:rPr>
          <w:rStyle w:val="aff4"/>
          <w:rFonts w:hint="cs"/>
          <w:rtl/>
        </w:rPr>
        <w:t>תוס' בב"ק</w:t>
      </w:r>
      <w:r w:rsidRPr="003B63CB">
        <w:rPr>
          <w:rStyle w:val="aff4"/>
          <w:rFonts w:hint="cs"/>
          <w:vanish/>
          <w:rtl/>
        </w:rPr>
        <w:t>-</w:t>
      </w:r>
      <w:r w:rsidRPr="003B63CB">
        <w:rPr>
          <w:rFonts w:hint="cs"/>
          <w:rtl/>
        </w:rPr>
        <w:t xml:space="preserve"> </w:t>
      </w:r>
      <w:r w:rsidRPr="003B63CB">
        <w:rPr>
          <w:rStyle w:val="af2"/>
          <w:rFonts w:eastAsia="Guttman Hodes" w:hint="cs"/>
          <w:rtl/>
        </w:rPr>
        <w:t>(לד: ד"ה חובל)</w:t>
      </w:r>
      <w:r w:rsidRPr="003B63CB">
        <w:rPr>
          <w:rFonts w:hint="cs"/>
          <w:vanish/>
          <w:rtl/>
        </w:rPr>
        <w:t>=</w:t>
      </w:r>
      <w:r w:rsidRPr="003B63CB">
        <w:rPr>
          <w:rFonts w:hint="cs"/>
          <w:rtl/>
        </w:rPr>
        <w:t xml:space="preserve"> </w:t>
      </w:r>
      <w:r w:rsidRPr="003B63CB">
        <w:rPr>
          <w:rStyle w:val="aff4"/>
          <w:rFonts w:hint="cs"/>
          <w:vanish/>
          <w:rtl/>
        </w:rPr>
        <w:t>-</w:t>
      </w:r>
      <w:r w:rsidRPr="003B63CB">
        <w:rPr>
          <w:rStyle w:val="aff4"/>
          <w:rFonts w:hint="cs"/>
          <w:rtl/>
        </w:rPr>
        <w:t>וה</w:t>
      </w:r>
      <w:r w:rsidRPr="003B63CB">
        <w:rPr>
          <w:rStyle w:val="aff4"/>
          <w:rFonts w:hint="cs"/>
          <w:vanish/>
          <w:rtl/>
        </w:rPr>
        <w:t>&lt; &gt;</w:t>
      </w:r>
      <w:r w:rsidRPr="003B63CB">
        <w:rPr>
          <w:rStyle w:val="aff4"/>
          <w:rFonts w:hint="cs"/>
          <w:rtl/>
        </w:rPr>
        <w:t>תוס' בסנהדרין</w:t>
      </w:r>
      <w:r w:rsidRPr="003B63CB">
        <w:rPr>
          <w:rStyle w:val="aff4"/>
          <w:rFonts w:hint="cs"/>
          <w:vanish/>
          <w:rtl/>
        </w:rPr>
        <w:t>-</w:t>
      </w:r>
      <w:r w:rsidRPr="003B63CB">
        <w:rPr>
          <w:rFonts w:hint="cs"/>
          <w:rtl/>
        </w:rPr>
        <w:t xml:space="preserve"> </w:t>
      </w:r>
      <w:r w:rsidRPr="003B63CB">
        <w:rPr>
          <w:rStyle w:val="af2"/>
          <w:rFonts w:eastAsia="Guttman Hodes" w:hint="cs"/>
          <w:rtl/>
        </w:rPr>
        <w:t>(פד: ד"ה מאן)</w:t>
      </w:r>
      <w:r w:rsidRPr="003B63CB">
        <w:rPr>
          <w:rFonts w:hint="cs"/>
          <w:vanish/>
          <w:rtl/>
        </w:rPr>
        <w:t>=</w:t>
      </w:r>
      <w:r w:rsidRPr="003B63CB">
        <w:rPr>
          <w:rFonts w:hint="cs"/>
          <w:rtl/>
        </w:rPr>
        <w:t xml:space="preserve"> בדברי </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w:t>
      </w:r>
      <w:r w:rsidRPr="003B63CB">
        <w:rPr>
          <w:rStyle w:val="af"/>
          <w:rFonts w:hint="cs"/>
          <w:rtl/>
        </w:rPr>
        <w:t xml:space="preserve">[ועי' </w:t>
      </w:r>
      <w:r w:rsidRPr="003B63CB">
        <w:rPr>
          <w:rStyle w:val="aff9"/>
          <w:rFonts w:hint="cs"/>
          <w:vanish/>
          <w:rtl/>
        </w:rPr>
        <w:t>-</w:t>
      </w:r>
      <w:r w:rsidRPr="003B63CB">
        <w:rPr>
          <w:rStyle w:val="aff9"/>
          <w:rFonts w:hint="cs"/>
          <w:rtl/>
        </w:rPr>
        <w:t>ב</w:t>
      </w:r>
      <w:r w:rsidRPr="003B63CB">
        <w:rPr>
          <w:rStyle w:val="aff9"/>
          <w:rFonts w:hint="cs"/>
          <w:vanish/>
          <w:rtl/>
        </w:rPr>
        <w:t>&lt; &gt;</w:t>
      </w:r>
      <w:r w:rsidRPr="003B63CB">
        <w:rPr>
          <w:rStyle w:val="aff9"/>
          <w:rFonts w:hint="cs"/>
          <w:rtl/>
        </w:rPr>
        <w:t>מהר"ם שיף בסנהדרין</w:t>
      </w:r>
      <w:r w:rsidRPr="003B63CB">
        <w:rPr>
          <w:rStyle w:val="aff9"/>
          <w:rFonts w:hint="cs"/>
          <w:vanish/>
          <w:rtl/>
        </w:rPr>
        <w:t>-</w:t>
      </w:r>
      <w:r w:rsidRPr="003B63CB">
        <w:rPr>
          <w:rStyle w:val="af"/>
          <w:rFonts w:hint="cs"/>
          <w:rtl/>
        </w:rPr>
        <w:t xml:space="preserve"> </w:t>
      </w:r>
      <w:r w:rsidRPr="003B63CB">
        <w:rPr>
          <w:rStyle w:val="aff0"/>
          <w:rFonts w:hint="cs"/>
          <w:rtl/>
        </w:rPr>
        <w:t>(פד: על תוד"ה מאן)</w:t>
      </w:r>
      <w:r w:rsidRPr="003B63CB">
        <w:rPr>
          <w:rStyle w:val="af"/>
          <w:rFonts w:hint="cs"/>
          <w:vanish/>
          <w:rtl/>
        </w:rPr>
        <w:t>=</w:t>
      </w:r>
      <w:r w:rsidRPr="003B63CB">
        <w:rPr>
          <w:rStyle w:val="af"/>
          <w:rFonts w:hint="cs"/>
          <w:rtl/>
        </w:rPr>
        <w:t xml:space="preserve"> דהאריך לבאר את דברי </w:t>
      </w:r>
      <w:r w:rsidRPr="003B63CB">
        <w:rPr>
          <w:rStyle w:val="aff9"/>
          <w:rFonts w:hint="cs"/>
          <w:vanish/>
          <w:rtl/>
        </w:rPr>
        <w:t>-</w:t>
      </w:r>
      <w:r w:rsidRPr="003B63CB">
        <w:rPr>
          <w:rStyle w:val="aff9"/>
          <w:rFonts w:hint="cs"/>
          <w:rtl/>
        </w:rPr>
        <w:t>התוס' בסנהדרין</w:t>
      </w:r>
      <w:r w:rsidRPr="003B63CB">
        <w:rPr>
          <w:rStyle w:val="aff9"/>
          <w:rFonts w:hint="cs"/>
          <w:vanish/>
          <w:rtl/>
        </w:rPr>
        <w:t>-</w:t>
      </w:r>
      <w:r w:rsidRPr="003B63CB">
        <w:rPr>
          <w:rStyle w:val="af"/>
          <w:rFonts w:hint="cs"/>
          <w:rtl/>
        </w:rPr>
        <w:t>],</w:t>
      </w:r>
      <w:r w:rsidRPr="003B63CB">
        <w:rPr>
          <w:rFonts w:hint="cs"/>
          <w:rtl/>
        </w:rPr>
        <w:t xml:space="preserve"> וכ"כ </w:t>
      </w:r>
      <w:r w:rsidRPr="003B63CB">
        <w:rPr>
          <w:rStyle w:val="aff4"/>
          <w:rFonts w:hint="cs"/>
          <w:vanish/>
          <w:rtl/>
        </w:rPr>
        <w:t>-</w:t>
      </w:r>
      <w:r w:rsidRPr="003B63CB">
        <w:rPr>
          <w:rStyle w:val="aff4"/>
          <w:rFonts w:hint="cs"/>
          <w:rtl/>
        </w:rPr>
        <w:t>ה</w:t>
      </w:r>
      <w:r w:rsidRPr="003B63CB">
        <w:rPr>
          <w:rStyle w:val="aff4"/>
          <w:rFonts w:hint="cs"/>
          <w:vanish/>
          <w:rtl/>
        </w:rPr>
        <w:t>&lt; &gt;</w:t>
      </w:r>
      <w:r w:rsidRPr="003B63CB">
        <w:rPr>
          <w:rStyle w:val="aff4"/>
          <w:rFonts w:hint="cs"/>
          <w:rtl/>
        </w:rPr>
        <w:t>רמב"ן</w:t>
      </w:r>
      <w:r w:rsidRPr="003B63CB">
        <w:rPr>
          <w:rStyle w:val="aff4"/>
          <w:rFonts w:hint="cs"/>
          <w:vanish/>
          <w:rtl/>
        </w:rPr>
        <w:t>-</w:t>
      </w:r>
      <w:r w:rsidRPr="003B63CB">
        <w:rPr>
          <w:rFonts w:hint="cs"/>
          <w:rtl/>
        </w:rPr>
        <w:t xml:space="preserve"> </w:t>
      </w:r>
      <w:r w:rsidRPr="003B63CB">
        <w:rPr>
          <w:rStyle w:val="af2"/>
          <w:rFonts w:eastAsia="Guttman Hodes" w:hint="cs"/>
          <w:rtl/>
        </w:rPr>
        <w:t>(קו. ד"ה כל)</w:t>
      </w:r>
      <w:r w:rsidRPr="003B63CB">
        <w:rPr>
          <w:rFonts w:hint="cs"/>
          <w:vanish/>
          <w:rtl/>
        </w:rPr>
        <w:t>=</w:t>
      </w:r>
      <w:r w:rsidRPr="003B63CB">
        <w:rPr>
          <w:rFonts w:hint="cs"/>
          <w:rtl/>
        </w:rPr>
        <w:t xml:space="preserve"> </w:t>
      </w:r>
      <w:r w:rsidRPr="003B63CB">
        <w:rPr>
          <w:rStyle w:val="aff4"/>
          <w:rFonts w:hint="cs"/>
          <w:vanish/>
          <w:rtl/>
        </w:rPr>
        <w:t>-</w:t>
      </w:r>
      <w:r w:rsidRPr="003B63CB">
        <w:rPr>
          <w:rStyle w:val="aff4"/>
          <w:rFonts w:hint="cs"/>
          <w:rtl/>
        </w:rPr>
        <w:t>דהרשב"ם</w:t>
      </w:r>
      <w:r w:rsidRPr="003B63CB">
        <w:rPr>
          <w:rStyle w:val="aff4"/>
          <w:rFonts w:hint="cs"/>
          <w:vanish/>
          <w:rtl/>
        </w:rPr>
        <w:t>-</w:t>
      </w:r>
      <w:r w:rsidRPr="003B63CB">
        <w:rPr>
          <w:rFonts w:hint="cs"/>
          <w:rtl/>
        </w:rPr>
        <w:t xml:space="preserve"> ס"ל </w:t>
      </w:r>
      <w:r w:rsidRPr="003B63CB">
        <w:rPr>
          <w:rStyle w:val="aff4"/>
          <w:rFonts w:hint="cs"/>
          <w:vanish/>
          <w:rtl/>
        </w:rPr>
        <w:t>-</w:t>
      </w:r>
      <w:r w:rsidRPr="003B63CB">
        <w:rPr>
          <w:rStyle w:val="aff4"/>
          <w:rFonts w:hint="cs"/>
          <w:rtl/>
        </w:rPr>
        <w:t>כרש"י</w:t>
      </w:r>
      <w:r w:rsidRPr="003B63CB">
        <w:rPr>
          <w:rStyle w:val="aff4"/>
          <w:rFonts w:hint="cs"/>
          <w:vanish/>
          <w:rtl/>
        </w:rPr>
        <w:t>-</w:t>
      </w:r>
      <w:r w:rsidRPr="003B63CB">
        <w:rPr>
          <w:rFonts w:hint="cs"/>
          <w:rtl/>
        </w:rPr>
        <w:t xml:space="preserve">, וכתב </w:t>
      </w:r>
      <w:r w:rsidRPr="003B63CB">
        <w:rPr>
          <w:rStyle w:val="aff4"/>
          <w:rFonts w:hint="cs"/>
          <w:vanish/>
          <w:rtl/>
        </w:rPr>
        <w:t>-</w:t>
      </w:r>
      <w:r w:rsidRPr="003B63CB">
        <w:rPr>
          <w:rStyle w:val="aff4"/>
          <w:rFonts w:hint="cs"/>
          <w:rtl/>
        </w:rPr>
        <w:t>הרמב"ן</w:t>
      </w:r>
      <w:r w:rsidRPr="003B63CB">
        <w:rPr>
          <w:rStyle w:val="aff4"/>
          <w:rFonts w:hint="cs"/>
          <w:vanish/>
          <w:rtl/>
        </w:rPr>
        <w:t>-</w:t>
      </w:r>
      <w:r w:rsidRPr="003B63CB">
        <w:rPr>
          <w:rFonts w:hint="cs"/>
          <w:rtl/>
        </w:rPr>
        <w:t xml:space="preserve"> דמדנחלקו ר"י ור"ש במלאכה שאינה צריכה לגופה, מבואר דלר"י חובל ומבעיר חייב דיש בו תיקון בדבר אחר, ולר"ש כל חובל ומבעיר הוא מקלקל, דתיקון בדבר אחר לא מחייב, ומהא דחייבה תורה בחובל ומבעיר, מוכח דחידשה תורה במקלקל בחובל ומבעיר דחייב.</w:t>
      </w:r>
      <w:bookmarkEnd w:id="3821"/>
    </w:p>
    <w:p w14:paraId="4744DA8D" w14:textId="77777777" w:rsidR="002748A5" w:rsidRPr="00747170" w:rsidRDefault="002748A5" w:rsidP="00747170">
      <w:pPr>
        <w:pStyle w:val="a2"/>
      </w:pPr>
      <w:r w:rsidRPr="00747170">
        <w:rPr>
          <w:rtl/>
        </w:rPr>
        <w:t>חוץ מחובל ומבעיר א"ל פוק תני לברא כו' - פי' רבינו שמואל דר' אבהו סבר כר"ש דאמר מקלקל בחבורה חייב ור' יוחנן סבר לה כר' יהודה דאמר מקלקל בחבורה ובהבערה פטור וצריך לכלבו ולאפרו לא חשיב מקלקל וחייב אפי' לר' יהודה וכן משמע בסמוך מתוך פי' רש"י</w:t>
      </w:r>
      <w:r w:rsidRPr="00747170">
        <w:rPr>
          <w:rFonts w:hint="cs"/>
          <w:rtl/>
        </w:rPr>
        <w:t>.</w:t>
      </w:r>
    </w:p>
    <w:p w14:paraId="37813634" w14:textId="77777777" w:rsidR="002748A5" w:rsidRPr="00695703" w:rsidRDefault="002748A5" w:rsidP="00747170">
      <w:pPr>
        <w:pStyle w:val="afffff5"/>
      </w:pPr>
      <w:r w:rsidRPr="00695703">
        <w:rPr>
          <w:rtl/>
        </w:rPr>
        <w:t>הך פלוגתא דמקלקל בחבורה מפרש רש"י דנפקא לן מפלוגתא שאינה צריכה לגופה משמע דלא בעי לר' שמעון צריך לכלבו ולאפרו ולפי זה צריך לומר דר' אבהו כר"ש ור' יוחנן כר' יהודה ואין נראה כדפי' לעיל וצ"ל דהך פלוגתא דמקלקל בחבורה קבלה היתה בידם.</w:t>
      </w:r>
    </w:p>
    <w:p w14:paraId="730940B4" w14:textId="77777777" w:rsidR="002748A5" w:rsidRPr="00695703" w:rsidRDefault="002748A5" w:rsidP="00747170">
      <w:pPr>
        <w:pStyle w:val="afffff5"/>
      </w:pPr>
      <w:r w:rsidRPr="00695703">
        <w:rPr>
          <w:rtl/>
        </w:rPr>
        <w:t>מאן שמעת ליה דאמר מקלקל בחבורה חייב ר"ש - פלוגתא דר' יהודה ור"ש במקלקל בחבורה ומקלקל בהבערה לא מצינו בפירוש לא במשנה ולא בברייתא ובפרק האורג (שבת דף קו. ושם) דחק רש"י לפרש דנפקא מפלוגתא דמלאכה שאינה צריכה לגופה פטור עליה הלכך אין לך חובל ומבעיר שאינו מקלקל ואפילו מבעיר עצים לתבשילו מקלקל הוא אצל העצים ומה שהוא מתקן אצל אחרים לרבי שמעון לא חשיב ליה דהא מלאכה שאינה צריכה לגופה היא אם כן כי חייב הכתוב חובל ומבעיר מדאצטריך למשרי מילה ומדאסר הבערה דבת כהן על כרחיך במקלקל נמי חייב אבל רבי יהודה סבירא ליה מלאכה שאינה צריכה לגופה חייב עליה הלכך חיוב דחובל בצריך לכלבו ומבעיר בצריך לאפרו משכחת לה ואף על פי שמקלקל הוא אצל מלאכה עצמה מתקן הוא אצל אחרים ולרבי יהודה בכי האי גוונא מלאכה היא משום תיקון דאחרים אבל מקלקל ואינו מתקן פטור לשון הקונט' כתבתי השתא הא דאמרי' התם בפרק האורג (שם) תני רבי אבהו קמיה דר' יוחנן כל המקלקלין פטורים חוץ מחובל ומבעיר אמר ליה פוק תני לברא חובל ומבעיר אינה משנה כו' משמע מתוך פי' הקונטרס דר' אבהו כר"ש ורבי יוחנן דבעי צריך לכלבו ולאפרו כר' יהודה</w:t>
      </w:r>
      <w:r w:rsidRPr="00695703">
        <w:rPr>
          <w:rFonts w:hint="cs"/>
          <w:rtl/>
        </w:rPr>
        <w:t>.</w:t>
      </w:r>
    </w:p>
    <w:p w14:paraId="45043519" w14:textId="77777777" w:rsidR="002748A5" w:rsidRPr="00695703" w:rsidRDefault="002748A5" w:rsidP="00747170">
      <w:pPr>
        <w:pStyle w:val="afffff5"/>
        <w:rPr>
          <w:rtl/>
        </w:rPr>
      </w:pPr>
      <w:bookmarkStart w:id="3822" w:name="_Hlk139878331"/>
      <w:r w:rsidRPr="00695703">
        <w:rPr>
          <w:rtl/>
        </w:rPr>
        <w:t>חובל וצריך לכלבו מבעיר וצריך לאפרו - רבינו שמואל פירש דר' אבהו סבר כר"ש דאמר מקלקל בחבורה חייב ורבי יוחנן ס"ל כר' יהודה דאמר מקלקל בחבורה ובהבערה פטור וצריך לכלבו או לאפרו לא חשיב מקלקל אלא מתקן דחייב אפי' לר"י</w:t>
      </w:r>
      <w:r w:rsidRPr="00695703">
        <w:rPr>
          <w:rFonts w:hint="cs"/>
          <w:rtl/>
        </w:rPr>
        <w:t>.</w:t>
      </w:r>
    </w:p>
    <w:bookmarkEnd w:id="3822"/>
    <w:p w14:paraId="4D75D5B9" w14:textId="77777777" w:rsidR="002748A5" w:rsidRPr="003110A7" w:rsidRDefault="002748A5" w:rsidP="002748A5">
      <w:pPr>
        <w:pStyle w:val="afffffb"/>
        <w:rPr>
          <w:rtl/>
        </w:rPr>
      </w:pPr>
      <w:r w:rsidRPr="003110A7">
        <w:rPr>
          <w:rtl/>
        </w:rPr>
        <w:t>חדושי הרמב"ן שבת ק"ו ע"א</w:t>
      </w:r>
      <w:r w:rsidRPr="003110A7">
        <w:rPr>
          <w:rFonts w:hint="cs"/>
          <w:rtl/>
        </w:rPr>
        <w:t xml:space="preserve"> ד"ה כל</w:t>
      </w:r>
    </w:p>
    <w:p w14:paraId="3C950BA6" w14:textId="77777777" w:rsidR="002748A5" w:rsidRPr="00695703" w:rsidRDefault="002748A5" w:rsidP="00747170">
      <w:pPr>
        <w:pStyle w:val="afffff5"/>
        <w:rPr>
          <w:rtl/>
        </w:rPr>
      </w:pPr>
      <w:r w:rsidRPr="00695703">
        <w:rPr>
          <w:rtl/>
        </w:rPr>
        <w:t>ומזה הפירוש נתחייב הר"ר שמואל רומרוגי ז"ל תלמידו לומר דהא דאמר ר' יוחנן ואת"ל משנה חובל בצריך לכלבו ומבעיר בצריך לאפרו, ה"ק ליה אין הלכה כר"ש אלא כר"י דאלו ר"ש לא בעי תיקון כלל דמנא תייתי ליה</w:t>
      </w:r>
      <w:r w:rsidRPr="00695703">
        <w:rPr>
          <w:rFonts w:hint="cs"/>
          <w:rtl/>
        </w:rPr>
        <w:t>.</w:t>
      </w:r>
    </w:p>
    <w:p w14:paraId="3CECB94B" w14:textId="4564AD63" w:rsidR="002748A5" w:rsidRPr="00C12F78" w:rsidRDefault="002748A5" w:rsidP="002748A5">
      <w:pPr>
        <w:pStyle w:val="afffff7"/>
        <w:rPr>
          <w:rtl/>
        </w:rPr>
      </w:pPr>
      <w:bookmarkStart w:id="3823" w:name="_Toc140144408"/>
      <w:bookmarkStart w:id="3824" w:name="_Toc140144884"/>
      <w:bookmarkStart w:id="3825" w:name="_Toc163505999"/>
      <w:r w:rsidRPr="00C12F78">
        <w:rPr>
          <w:rtl/>
        </w:rPr>
        <w:t>חדושי הרמב"ן שבת ק"ו ע"א</w:t>
      </w:r>
      <w:r w:rsidRPr="00C12F78">
        <w:rPr>
          <w:rFonts w:hint="cs"/>
          <w:rtl/>
        </w:rPr>
        <w:t xml:space="preserve"> ד"ה ומזה</w:t>
      </w:r>
      <w:bookmarkEnd w:id="3825"/>
      <w:r w:rsidRPr="00C12F78">
        <w:rPr>
          <w:vanish/>
          <w:rtl/>
        </w:rPr>
        <w:t xml:space="preserve"> (ט)</w:t>
      </w:r>
      <w:bookmarkEnd w:id="3823"/>
      <w:bookmarkEnd w:id="3824"/>
    </w:p>
    <w:p w14:paraId="608D51DA" w14:textId="77777777" w:rsidR="002748A5" w:rsidRPr="003B63CB" w:rsidRDefault="002748A5" w:rsidP="002748A5">
      <w:pPr>
        <w:pStyle w:val="a7"/>
      </w:pPr>
      <w:bookmarkStart w:id="3826" w:name="_Toc140099764"/>
      <w:bookmarkStart w:id="3827" w:name="_Toc140144306"/>
      <w:bookmarkStart w:id="3828" w:name="_Toc140144537"/>
      <w:r>
        <w:rPr>
          <w:rFonts w:hint="cs"/>
          <w:rtl/>
        </w:rPr>
        <w:t>בי' הרמב"ן ברשב"ם דלריו"ח אין מקור לר"ש דצריך תיקון דבאינו בגוף המלאכה הוי משאצל"ג</w:t>
      </w:r>
      <w:bookmarkEnd w:id="3826"/>
      <w:bookmarkEnd w:id="3827"/>
      <w:bookmarkEnd w:id="3828"/>
    </w:p>
    <w:p w14:paraId="288A0FB5" w14:textId="5A7B1A90" w:rsidR="002748A5" w:rsidRPr="003B63CB" w:rsidRDefault="002748A5" w:rsidP="00BC7DC8">
      <w:pPr>
        <w:pStyle w:val="a3"/>
        <w:rPr>
          <w:rtl/>
        </w:rPr>
      </w:pPr>
      <w:bookmarkStart w:id="3829" w:name="_Ref140090548"/>
      <w:r w:rsidRPr="003B63CB">
        <w:rPr>
          <w:rFonts w:hint="cs"/>
          <w:rtl/>
        </w:rPr>
        <w:t xml:space="preserve">ועי' </w:t>
      </w:r>
      <w:r w:rsidRPr="003B63CB">
        <w:rPr>
          <w:rStyle w:val="aff4"/>
          <w:rFonts w:hint="cs"/>
          <w:vanish/>
          <w:rtl/>
        </w:rPr>
        <w:t>-</w:t>
      </w:r>
      <w:r w:rsidRPr="003B63CB">
        <w:rPr>
          <w:rStyle w:val="aff4"/>
          <w:rFonts w:hint="cs"/>
          <w:rtl/>
        </w:rPr>
        <w:t>ב</w:t>
      </w:r>
      <w:r w:rsidRPr="009B68A6">
        <w:rPr>
          <w:rStyle w:val="aff4"/>
          <w:rFonts w:hint="cs"/>
          <w:vanish/>
          <w:rtl/>
        </w:rPr>
        <w:t xml:space="preserve">&lt;, </w:t>
      </w:r>
      <w:r w:rsidRPr="009B68A6">
        <w:rPr>
          <w:rStyle w:val="aff4"/>
          <w:vanish/>
          <w:rtl/>
        </w:rPr>
        <w:fldChar w:fldCharType="begin"/>
      </w:r>
      <w:r w:rsidRPr="009B68A6">
        <w:rPr>
          <w:rStyle w:val="aff4"/>
          <w:vanish/>
          <w:rtl/>
        </w:rPr>
        <w:instrText xml:space="preserve"> </w:instrText>
      </w:r>
      <w:r w:rsidRPr="009B68A6">
        <w:rPr>
          <w:rStyle w:val="aff4"/>
          <w:rFonts w:hint="cs"/>
          <w:vanish/>
        </w:rPr>
        <w:instrText>REF</w:instrText>
      </w:r>
      <w:r w:rsidRPr="009B68A6">
        <w:rPr>
          <w:rStyle w:val="aff4"/>
          <w:rFonts w:hint="cs"/>
          <w:vanish/>
          <w:rtl/>
        </w:rPr>
        <w:instrText xml:space="preserve"> _</w:instrText>
      </w:r>
      <w:r w:rsidRPr="009B68A6">
        <w:rPr>
          <w:rStyle w:val="aff4"/>
          <w:rFonts w:hint="cs"/>
          <w:vanish/>
        </w:rPr>
        <w:instrText>Ref140090548 \r \h</w:instrText>
      </w:r>
      <w:r w:rsidRPr="009B68A6">
        <w:rPr>
          <w:rStyle w:val="aff4"/>
          <w:vanish/>
          <w:rtl/>
        </w:rPr>
        <w:instrText xml:space="preserve"> </w:instrText>
      </w:r>
      <w:r>
        <w:rPr>
          <w:rStyle w:val="aff4"/>
          <w:vanish/>
          <w:rtl/>
        </w:rPr>
        <w:instrText xml:space="preserve"> \* </w:instrText>
      </w:r>
      <w:r>
        <w:rPr>
          <w:rStyle w:val="aff4"/>
          <w:vanish/>
        </w:rPr>
        <w:instrText>MERGEFORMAT</w:instrText>
      </w:r>
      <w:r>
        <w:rPr>
          <w:rStyle w:val="aff4"/>
          <w:vanish/>
          <w:rtl/>
        </w:rPr>
        <w:instrText xml:space="preserve"> </w:instrText>
      </w:r>
      <w:r w:rsidRPr="009B68A6">
        <w:rPr>
          <w:rStyle w:val="aff4"/>
          <w:vanish/>
          <w:rtl/>
        </w:rPr>
      </w:r>
      <w:r w:rsidRPr="009B68A6">
        <w:rPr>
          <w:rStyle w:val="aff4"/>
          <w:vanish/>
          <w:rtl/>
        </w:rPr>
        <w:fldChar w:fldCharType="separate"/>
      </w:r>
      <w:r w:rsidR="00D82181">
        <w:rPr>
          <w:rStyle w:val="aff4"/>
          <w:vanish/>
          <w:cs/>
        </w:rPr>
        <w:t>‎</w:t>
      </w:r>
      <w:r w:rsidR="00D82181">
        <w:rPr>
          <w:rStyle w:val="aff4"/>
          <w:vanish/>
          <w:rtl/>
        </w:rPr>
        <w:t>כח)</w:t>
      </w:r>
      <w:r w:rsidRPr="009B68A6">
        <w:rPr>
          <w:rStyle w:val="aff4"/>
          <w:vanish/>
          <w:rtl/>
        </w:rPr>
        <w:fldChar w:fldCharType="end"/>
      </w:r>
      <w:r w:rsidRPr="009B68A6">
        <w:rPr>
          <w:rStyle w:val="aff4"/>
          <w:rFonts w:hint="cs"/>
          <w:vanish/>
          <w:rtl/>
        </w:rPr>
        <w:t xml:space="preserve"> &gt;</w:t>
      </w:r>
      <w:r w:rsidRPr="003B63CB">
        <w:rPr>
          <w:rStyle w:val="aff4"/>
          <w:rFonts w:hint="cs"/>
          <w:rtl/>
        </w:rPr>
        <w:t>רמב"ן</w:t>
      </w:r>
      <w:r w:rsidRPr="003B63CB">
        <w:rPr>
          <w:rStyle w:val="aff4"/>
          <w:rFonts w:hint="cs"/>
          <w:vanish/>
          <w:rtl/>
        </w:rPr>
        <w:t>-</w:t>
      </w:r>
      <w:r w:rsidRPr="003B63CB">
        <w:rPr>
          <w:rFonts w:hint="cs"/>
          <w:rtl/>
        </w:rPr>
        <w:t xml:space="preserve"> </w:t>
      </w:r>
      <w:r w:rsidRPr="003B63CB">
        <w:rPr>
          <w:rStyle w:val="af2"/>
          <w:rFonts w:eastAsia="Guttman Hodes" w:hint="cs"/>
          <w:rtl/>
        </w:rPr>
        <w:t xml:space="preserve">(קו. ד"ה </w:t>
      </w:r>
      <w:r>
        <w:rPr>
          <w:rStyle w:val="af2"/>
          <w:rFonts w:eastAsia="Guttman Hodes" w:hint="cs"/>
          <w:rtl/>
        </w:rPr>
        <w:t>ומזה</w:t>
      </w:r>
      <w:r w:rsidRPr="003B63CB">
        <w:rPr>
          <w:rStyle w:val="af2"/>
          <w:rFonts w:eastAsia="Guttman Hodes" w:hint="cs"/>
          <w:rtl/>
        </w:rPr>
        <w:t>)</w:t>
      </w:r>
      <w:r w:rsidRPr="003B63CB">
        <w:rPr>
          <w:rFonts w:hint="cs"/>
          <w:vanish/>
          <w:rtl/>
        </w:rPr>
        <w:t>=</w:t>
      </w:r>
      <w:r w:rsidRPr="003B63CB">
        <w:rPr>
          <w:rFonts w:hint="cs"/>
          <w:rtl/>
        </w:rPr>
        <w:t xml:space="preserve"> דהוסיף בשם </w:t>
      </w:r>
      <w:r w:rsidRPr="003B63CB">
        <w:rPr>
          <w:rStyle w:val="aff4"/>
          <w:rFonts w:hint="cs"/>
          <w:vanish/>
          <w:rtl/>
        </w:rPr>
        <w:t>-</w:t>
      </w:r>
      <w:r w:rsidRPr="003B63CB">
        <w:rPr>
          <w:rStyle w:val="aff4"/>
          <w:rFonts w:hint="cs"/>
          <w:rtl/>
        </w:rPr>
        <w:t>הרשב"ם</w:t>
      </w:r>
      <w:r w:rsidRPr="003B63CB">
        <w:rPr>
          <w:rStyle w:val="aff4"/>
          <w:rFonts w:hint="cs"/>
          <w:vanish/>
          <w:rtl/>
        </w:rPr>
        <w:t>-</w:t>
      </w:r>
      <w:r w:rsidRPr="003B63CB">
        <w:rPr>
          <w:rFonts w:hint="cs"/>
          <w:rtl/>
        </w:rPr>
        <w:t xml:space="preserve"> דהא דדחה ריו"ח את דברי רבי אבהו כוונתו לומר דאין הלכה כר"ש אלא כר"י, דהא לר"ש א"צ תיקון כלל וחייב אף בא"צ לכלבו, דמהיכן למד ר"ש דצריך תיקון, וא"א לומר דלמד כן ממילה דאי ס"ל דהוי תיקון א"כ לא פליג על ר"י ואי אינו תיקון לא מהני כלל לר"ש כיון דמלאכה שאינה צריכה לגופה פטור, וכתב</w:t>
      </w:r>
      <w:r>
        <w:rPr>
          <w:rFonts w:hint="cs"/>
          <w:rtl/>
        </w:rPr>
        <w:t>ו</w:t>
      </w:r>
      <w:r w:rsidRPr="003B63CB">
        <w:rPr>
          <w:rFonts w:hint="cs"/>
          <w:rtl/>
        </w:rPr>
        <w:t xml:space="preserve"> </w:t>
      </w:r>
      <w:r w:rsidRPr="003B63CB">
        <w:rPr>
          <w:rStyle w:val="aff4"/>
          <w:rFonts w:hint="cs"/>
          <w:vanish/>
          <w:rtl/>
        </w:rPr>
        <w:t>-</w:t>
      </w:r>
      <w:r w:rsidRPr="003B63CB">
        <w:rPr>
          <w:rStyle w:val="aff4"/>
          <w:rFonts w:hint="cs"/>
          <w:rtl/>
        </w:rPr>
        <w:t>הרמב"</w:t>
      </w:r>
      <w:r>
        <w:rPr>
          <w:rStyle w:val="aff4"/>
          <w:rFonts w:hint="cs"/>
          <w:rtl/>
        </w:rPr>
        <w:t>ן ו</w:t>
      </w:r>
      <w:r w:rsidRPr="00F86A80">
        <w:rPr>
          <w:rStyle w:val="aff4"/>
          <w:rFonts w:hint="cs"/>
          <w:vanish/>
          <w:rtl/>
        </w:rPr>
        <w:t>&lt; &gt;</w:t>
      </w:r>
      <w:r>
        <w:rPr>
          <w:rStyle w:val="aff4"/>
          <w:rFonts w:hint="cs"/>
          <w:rtl/>
        </w:rPr>
        <w:t>הר"</w:t>
      </w:r>
      <w:r w:rsidRPr="003B63CB">
        <w:rPr>
          <w:rStyle w:val="aff4"/>
          <w:rFonts w:hint="cs"/>
          <w:rtl/>
        </w:rPr>
        <w:t>ן</w:t>
      </w:r>
      <w:r w:rsidRPr="003B63CB">
        <w:rPr>
          <w:rStyle w:val="aff4"/>
          <w:rFonts w:hint="cs"/>
          <w:vanish/>
          <w:rtl/>
        </w:rPr>
        <w:t>-</w:t>
      </w:r>
      <w:r w:rsidRPr="00F86A80">
        <w:rPr>
          <w:rFonts w:hint="cs"/>
          <w:rtl/>
        </w:rPr>
        <w:t xml:space="preserve"> </w:t>
      </w:r>
      <w:r w:rsidRPr="003B63CB">
        <w:rPr>
          <w:rStyle w:val="af2"/>
          <w:rFonts w:eastAsia="Guttman Hodes" w:hint="cs"/>
          <w:rtl/>
        </w:rPr>
        <w:t xml:space="preserve">(קו. ד"ה </w:t>
      </w:r>
      <w:r>
        <w:rPr>
          <w:rStyle w:val="af2"/>
          <w:rFonts w:eastAsia="Guttman Hodes" w:hint="cs"/>
          <w:rtl/>
        </w:rPr>
        <w:t>וכתב</w:t>
      </w:r>
      <w:r w:rsidRPr="003B63CB">
        <w:rPr>
          <w:rStyle w:val="af2"/>
          <w:rFonts w:eastAsia="Guttman Hodes" w:hint="cs"/>
          <w:rtl/>
        </w:rPr>
        <w:t>)</w:t>
      </w:r>
      <w:r w:rsidRPr="003B63CB">
        <w:rPr>
          <w:rFonts w:hint="cs"/>
          <w:vanish/>
          <w:rtl/>
        </w:rPr>
        <w:t>=</w:t>
      </w:r>
      <w:r w:rsidRPr="003B63CB">
        <w:rPr>
          <w:rFonts w:hint="cs"/>
          <w:rtl/>
        </w:rPr>
        <w:t xml:space="preserve"> דא"א לומר דמודה ר"ש בתיקון בחובל ומבעיר דאף שאינו מתקן בגוף המלאכה חייב, דס"ל לריו"ח דאין בחובל ומבעיר אלא חידושן וכיון דבמילה ובשריפת בת כהן יש תיקון בדבר אחר, ה"ה בכל מקלקל בחבורה דצריך תיקון בדבר אחר, דא"כ מודה לר"י דמלאכה שאינה צריכה לגופה חייב ומקלקל בחבורה פטור, ובכל הש"ס אמרינן דנחלקו בזה</w:t>
      </w:r>
      <w:r>
        <w:rPr>
          <w:rFonts w:hint="cs"/>
          <w:rtl/>
        </w:rPr>
        <w:t xml:space="preserve">, </w:t>
      </w:r>
      <w:r w:rsidRPr="003B63CB">
        <w:rPr>
          <w:rFonts w:hint="cs"/>
          <w:rtl/>
        </w:rPr>
        <w:t xml:space="preserve">וכתב </w:t>
      </w:r>
      <w:r w:rsidRPr="003B63CB">
        <w:rPr>
          <w:rStyle w:val="aff4"/>
          <w:rFonts w:hint="cs"/>
          <w:vanish/>
          <w:rtl/>
        </w:rPr>
        <w:t>-</w:t>
      </w:r>
      <w:r w:rsidRPr="003B63CB">
        <w:rPr>
          <w:rStyle w:val="aff4"/>
          <w:rFonts w:hint="cs"/>
          <w:rtl/>
        </w:rPr>
        <w:t>הר"ן</w:t>
      </w:r>
      <w:r w:rsidRPr="003B63CB">
        <w:rPr>
          <w:rStyle w:val="aff4"/>
          <w:rFonts w:hint="cs"/>
          <w:vanish/>
          <w:rtl/>
        </w:rPr>
        <w:t>-</w:t>
      </w:r>
      <w:r w:rsidRPr="003B63CB">
        <w:rPr>
          <w:rFonts w:hint="cs"/>
          <w:rtl/>
        </w:rPr>
        <w:t xml:space="preserve"> דמוכח דריו"ח אמר לרבי אבהו דלר"ש באמת מקלקל בחבורה חייב, אבל קיי"ל כר"י דפטור ואת"ל דחייב היינו בחובל וצריך לכלבו, דהוי תיקון גמור לר"י ולכן חייב.</w:t>
      </w:r>
      <w:bookmarkEnd w:id="3829"/>
    </w:p>
    <w:p w14:paraId="538961BA" w14:textId="77777777" w:rsidR="002748A5" w:rsidRPr="00747170" w:rsidRDefault="002748A5" w:rsidP="00747170">
      <w:pPr>
        <w:pStyle w:val="a2"/>
      </w:pPr>
      <w:r w:rsidRPr="00747170">
        <w:rPr>
          <w:rtl/>
        </w:rPr>
        <w:t>ומזה הפירוש נתחייב הר"ר שמואל רומרוגי ז"ל תלמידו לומר דהא דאמר ר' יוחנן ואת"ל משנה חובל בצריך לכלבו ומבעיר בצריך לאפרו, ה"ק ליה אין הלכה כר"ש אלא כר"י דאלו ר"ש לא בעי תיקון כלל דמנא תייתי ליה, וא"ת נפקא ליה ממילה, תיקון דמילה מאי היא אי חשבית ליה תיקון דגופא א"כ כל טעמו של ר"ש בטל מעתה והרי חזר לדעתו של ר' יהודה, ואי לאו תיקון דגופא אלא כמלאכה שא"צ לגופה היא א"כ לאו תיקון הוא כלל לדברי ר"ש, וא"ת דמודה ר' שמעון בתיקון דחובל ומבעיר שאף על פי שאינו תיקון דגופא חיובי מיחייב, א"כ היינו ר"י דס"ל דמקלקל בחבורה פטור ומלאכה שאינה צריכה לגופה בחבורה מיחייב ולמה אמרי' בכולי תלמודא במקלקל בחבורה פלוגתא דר' יהודה ור' שמעון</w:t>
      </w:r>
      <w:r w:rsidRPr="00747170">
        <w:rPr>
          <w:rFonts w:hint="cs"/>
          <w:rtl/>
        </w:rPr>
        <w:t>.</w:t>
      </w:r>
    </w:p>
    <w:p w14:paraId="587707A4" w14:textId="791A07B0" w:rsidR="002748A5" w:rsidRPr="00C12F78" w:rsidRDefault="002748A5" w:rsidP="002748A5">
      <w:pPr>
        <w:pStyle w:val="afffff7"/>
        <w:rPr>
          <w:rtl/>
        </w:rPr>
      </w:pPr>
      <w:bookmarkStart w:id="3830" w:name="_Toc140144409"/>
      <w:bookmarkStart w:id="3831" w:name="_Toc140144885"/>
      <w:bookmarkStart w:id="3832" w:name="_Toc163506000"/>
      <w:r w:rsidRPr="00C12F78">
        <w:rPr>
          <w:rtl/>
        </w:rPr>
        <w:t>חדושי הר"ן שבת ק"ו ע"א</w:t>
      </w:r>
      <w:r w:rsidRPr="00C12F78">
        <w:rPr>
          <w:rFonts w:hint="cs"/>
          <w:rtl/>
        </w:rPr>
        <w:t xml:space="preserve"> ד"ה וכתב</w:t>
      </w:r>
      <w:bookmarkEnd w:id="3832"/>
      <w:r w:rsidRPr="00C12F78">
        <w:rPr>
          <w:vanish/>
          <w:rtl/>
        </w:rPr>
        <w:t xml:space="preserve"> (ט)</w:t>
      </w:r>
      <w:bookmarkEnd w:id="3830"/>
      <w:bookmarkEnd w:id="3831"/>
    </w:p>
    <w:p w14:paraId="696D0E12" w14:textId="77777777" w:rsidR="002748A5" w:rsidRPr="00695703" w:rsidRDefault="002748A5" w:rsidP="00747170">
      <w:pPr>
        <w:pStyle w:val="afffff5"/>
      </w:pPr>
      <w:r w:rsidRPr="00695703">
        <w:rPr>
          <w:rtl/>
        </w:rPr>
        <w:t>וכתב</w:t>
      </w:r>
      <w:r w:rsidRPr="00695703">
        <w:rPr>
          <w:rFonts w:hint="cs"/>
          <w:rtl/>
        </w:rPr>
        <w:t xml:space="preserve"> </w:t>
      </w:r>
      <w:r w:rsidRPr="00695703">
        <w:rPr>
          <w:rtl/>
        </w:rPr>
        <w:t>רבי שמואל ז"ל שלפי זה הא דאמר רבי יוחנן ואם תמצא לומר משנה חובל בצריך לכלבו ומבעיר בצריך לאפרו לאו אליבא דרבי שמעון קאמר דאליבא דרבי שמעון לא בעינן בחובל ומבעיר תיקון כלל דמנא תייתי לי' (ור"ת) [וכי תימא] ס"ל לרבי יוחנן אליבא דר' שמעון שאין לך במלאכות הללו אלא חדושן בלבד דנהי דלא בעינן בהו שיהו צריכות לגופן מ"מ בעינן שיהו מלאכות של תיקון ולא של קלקול דומיא דמילה והבערה דבת כהן (אפי') [א"כ] במאי (דפליג) [פליג] רבי שמעון עליה דרבי יהודה במקלקל בחבורה שהרי אם אין שם תיקון כלל אפי' רבי שמעון פוטר ואם יש בהן תיקון אלא שאותו תיקון אינו מגופה של מלאכה בכי האי ודאי רבי יהודה נמי מחייב דהא ס"ל דמלאכה שאינה צריכה לגופה חייב עליה ואי הכי לא פליגי רבי יהודה ורבי שמעון במקלקל בחבורה כלל ואלו אנן אמרי' בכולי תלמודין דמקלקל בחבורה פלוגתא דרבי יהודה ורבי שמעון אלא ודאי הכי קאמר ליה רבי יוחנן לרבי אבהו אין ודאי לרבי שמעון קושטא קאמרת דמקלקל גמור בחובל ומבעיר חייב אלא מיהו לענין דינא אינה משנה שיתחייב יותר באלו משאר המקלקלין (כרבי) [דכרבי] יהודה קי"ל ואם תמצא לומר משנה חובל בצריך לכלבו ומבעיר בצריך לאפרו שהוא מתקן גמור ומחייב אפי' לר"י.</w:t>
      </w:r>
    </w:p>
    <w:p w14:paraId="17C1AD2C" w14:textId="17CC64B2" w:rsidR="002748A5" w:rsidRPr="003B63CB" w:rsidRDefault="002748A5" w:rsidP="002748A5">
      <w:pPr>
        <w:pStyle w:val="a7"/>
        <w:rPr>
          <w:rtl/>
        </w:rPr>
      </w:pPr>
      <w:bookmarkStart w:id="3833" w:name="_Toc140099765"/>
      <w:bookmarkStart w:id="3834" w:name="_Toc140144307"/>
      <w:bookmarkStart w:id="3835" w:name="_Toc140144538"/>
      <w:r>
        <w:rPr>
          <w:rFonts w:hint="cs"/>
          <w:rtl/>
        </w:rPr>
        <w:t>בי' הרמב"ן ברשב"ם דלריו"ח דחה קיי"ל כר"י וכל מקלקל פטור ואי חייב היינו בצריך לכלב</w:t>
      </w:r>
      <w:bookmarkEnd w:id="3833"/>
      <w:bookmarkEnd w:id="3834"/>
      <w:bookmarkEnd w:id="3835"/>
    </w:p>
    <w:p w14:paraId="7C1D2249" w14:textId="77777777" w:rsidR="002748A5" w:rsidRPr="003B63CB" w:rsidRDefault="002748A5" w:rsidP="00BC7DC8">
      <w:pPr>
        <w:pStyle w:val="a3"/>
      </w:pPr>
      <w:r w:rsidRPr="003B63CB">
        <w:rPr>
          <w:rFonts w:hint="cs"/>
          <w:rtl/>
        </w:rPr>
        <w:t xml:space="preserve">אלא ביאר </w:t>
      </w:r>
      <w:r w:rsidRPr="003B63CB">
        <w:rPr>
          <w:rStyle w:val="aff4"/>
          <w:rFonts w:hint="cs"/>
          <w:vanish/>
          <w:rtl/>
        </w:rPr>
        <w:t>-</w:t>
      </w:r>
      <w:r w:rsidRPr="003B63CB">
        <w:rPr>
          <w:rStyle w:val="aff4"/>
          <w:rFonts w:hint="cs"/>
          <w:rtl/>
        </w:rPr>
        <w:t>הרמב"ן</w:t>
      </w:r>
      <w:r w:rsidRPr="003B63CB">
        <w:rPr>
          <w:rStyle w:val="aff4"/>
          <w:rFonts w:hint="cs"/>
          <w:vanish/>
          <w:rtl/>
        </w:rPr>
        <w:t>-</w:t>
      </w:r>
      <w:r w:rsidRPr="003B63CB">
        <w:rPr>
          <w:rFonts w:hint="cs"/>
          <w:rtl/>
        </w:rPr>
        <w:t xml:space="preserve"> בשם </w:t>
      </w:r>
      <w:r w:rsidRPr="003B63CB">
        <w:rPr>
          <w:rStyle w:val="aff4"/>
          <w:rFonts w:hint="cs"/>
          <w:vanish/>
          <w:rtl/>
        </w:rPr>
        <w:t>-</w:t>
      </w:r>
      <w:r w:rsidRPr="003B63CB">
        <w:rPr>
          <w:rStyle w:val="aff4"/>
          <w:rFonts w:hint="cs"/>
          <w:rtl/>
        </w:rPr>
        <w:t>הרשב"ם</w:t>
      </w:r>
      <w:r w:rsidRPr="003B63CB">
        <w:rPr>
          <w:rStyle w:val="aff4"/>
          <w:rFonts w:hint="cs"/>
          <w:vanish/>
          <w:rtl/>
        </w:rPr>
        <w:t>-</w:t>
      </w:r>
      <w:r w:rsidRPr="003B63CB">
        <w:rPr>
          <w:rFonts w:hint="cs"/>
          <w:rtl/>
        </w:rPr>
        <w:t xml:space="preserve"> דכוונת ריו"ח לדחות את דברי רבי אבהו דחובל ומבעיר אינו משנה כיון דקיי"ל כר"י, ואת"ל דהוא משנה היינו בחובל וצריך לכלבו דהוא תיקון גמור.</w:t>
      </w:r>
    </w:p>
    <w:p w14:paraId="04B9384B" w14:textId="77777777" w:rsidR="002748A5" w:rsidRPr="00747170" w:rsidRDefault="002748A5" w:rsidP="00747170">
      <w:pPr>
        <w:pStyle w:val="a2"/>
        <w:rPr>
          <w:rtl/>
        </w:rPr>
      </w:pPr>
      <w:r w:rsidRPr="00747170">
        <w:rPr>
          <w:rtl/>
        </w:rPr>
        <w:t>אלא ה"פ חובל ומבעיר אינה משנה שיתחייב יותר משאר המקלקלין דכר' יהודה קי"ל, ואת"ל משנה חובל בצריך לכלבו מבעיר בצריך לאפרו והוא מתקן גמור.</w:t>
      </w:r>
    </w:p>
    <w:p w14:paraId="50B14CC4" w14:textId="0D3D3392" w:rsidR="002748A5" w:rsidRDefault="002748A5" w:rsidP="002748A5">
      <w:pPr>
        <w:pStyle w:val="1"/>
        <w:rPr>
          <w:rtl/>
        </w:rPr>
      </w:pPr>
      <w:bookmarkStart w:id="3836" w:name="_Toc140099766"/>
      <w:bookmarkStart w:id="3837" w:name="_Toc140144308"/>
      <w:bookmarkStart w:id="3838" w:name="_Toc140144539"/>
      <w:r>
        <w:rPr>
          <w:rFonts w:hint="cs"/>
          <w:rtl/>
        </w:rPr>
        <w:t>קו' התוס' ורמב"ן דר"ש מחייב מקלקל בחבורה רק בצריך לגופא</w:t>
      </w:r>
      <w:bookmarkEnd w:id="3836"/>
      <w:bookmarkEnd w:id="3837"/>
      <w:bookmarkEnd w:id="3838"/>
    </w:p>
    <w:p w14:paraId="3CDAEBE5" w14:textId="77777777" w:rsidR="002748A5" w:rsidRPr="00C12F78" w:rsidRDefault="002748A5" w:rsidP="002748A5">
      <w:pPr>
        <w:pStyle w:val="afffff7"/>
        <w:rPr>
          <w:rtl/>
        </w:rPr>
      </w:pPr>
      <w:bookmarkStart w:id="3839" w:name="_Toc140144410"/>
      <w:bookmarkStart w:id="3840" w:name="_Toc140144886"/>
      <w:bookmarkStart w:id="3841" w:name="_Toc163506001"/>
      <w:r w:rsidRPr="00C12F78">
        <w:rPr>
          <w:rtl/>
        </w:rPr>
        <w:t>חדושי הרמב"ן שבת ק"ו ע"א</w:t>
      </w:r>
      <w:r w:rsidRPr="00C12F78">
        <w:rPr>
          <w:rFonts w:hint="cs"/>
          <w:rtl/>
        </w:rPr>
        <w:t xml:space="preserve"> ד"ה ורש"י</w:t>
      </w:r>
      <w:bookmarkEnd w:id="3841"/>
      <w:r w:rsidRPr="00C12F78">
        <w:rPr>
          <w:vanish/>
          <w:rtl/>
        </w:rPr>
        <w:t xml:space="preserve"> (ט)</w:t>
      </w:r>
      <w:bookmarkEnd w:id="3839"/>
      <w:bookmarkEnd w:id="3840"/>
    </w:p>
    <w:p w14:paraId="35989139" w14:textId="77777777" w:rsidR="002748A5" w:rsidRPr="003110A7" w:rsidRDefault="002748A5" w:rsidP="002748A5">
      <w:pPr>
        <w:pStyle w:val="afffffb"/>
        <w:rPr>
          <w:rtl/>
        </w:rPr>
      </w:pPr>
      <w:r w:rsidRPr="003110A7">
        <w:rPr>
          <w:rtl/>
        </w:rPr>
        <w:t>תוספות שבת ק"ו ע"א</w:t>
      </w:r>
      <w:r w:rsidRPr="003110A7">
        <w:rPr>
          <w:rFonts w:hint="cs"/>
          <w:rtl/>
        </w:rPr>
        <w:t xml:space="preserve"> ד"ה חוץ</w:t>
      </w:r>
    </w:p>
    <w:p w14:paraId="39081A2A" w14:textId="77777777" w:rsidR="002748A5" w:rsidRPr="003B63CB" w:rsidRDefault="002748A5" w:rsidP="002748A5">
      <w:pPr>
        <w:pStyle w:val="a7"/>
        <w:rPr>
          <w:rtl/>
        </w:rPr>
      </w:pPr>
      <w:bookmarkStart w:id="3842" w:name="_Toc140075713"/>
      <w:bookmarkStart w:id="3843" w:name="_Toc140077802"/>
      <w:bookmarkStart w:id="3844" w:name="_Toc140099767"/>
      <w:bookmarkStart w:id="3845" w:name="_Toc140144309"/>
      <w:bookmarkStart w:id="3846" w:name="_Toc140144540"/>
      <w:r w:rsidRPr="003B63CB">
        <w:rPr>
          <w:rFonts w:hint="cs"/>
          <w:rtl/>
        </w:rPr>
        <w:t>דחיית התוס' דחובל וצריך לכלבו ל"ה תיקון גמור ומוכח דמקלקל בחבורה חייב רק בצריך לגופה</w:t>
      </w:r>
      <w:bookmarkEnd w:id="3842"/>
      <w:bookmarkEnd w:id="3843"/>
      <w:bookmarkEnd w:id="3844"/>
      <w:bookmarkEnd w:id="3845"/>
      <w:bookmarkEnd w:id="3846"/>
    </w:p>
    <w:p w14:paraId="06E08AAA" w14:textId="77777777" w:rsidR="002748A5" w:rsidRPr="003B63CB" w:rsidRDefault="002748A5" w:rsidP="00BC7DC8">
      <w:pPr>
        <w:pStyle w:val="a3"/>
        <w:rPr>
          <w:rtl/>
        </w:rPr>
      </w:pPr>
      <w:bookmarkStart w:id="3847" w:name="_Ref139918137"/>
      <w:r w:rsidRPr="003B63CB">
        <w:rPr>
          <w:rFonts w:hint="cs"/>
          <w:rtl/>
        </w:rPr>
        <w:t xml:space="preserve">אך </w:t>
      </w:r>
      <w:r w:rsidRPr="003B63CB">
        <w:rPr>
          <w:rStyle w:val="aff4"/>
          <w:rFonts w:hint="cs"/>
          <w:vanish/>
          <w:rtl/>
        </w:rPr>
        <w:t>-</w:t>
      </w:r>
      <w:r w:rsidRPr="003B63CB">
        <w:rPr>
          <w:rStyle w:val="aff4"/>
          <w:rFonts w:hint="cs"/>
          <w:rtl/>
        </w:rPr>
        <w:t>התוס'</w:t>
      </w:r>
      <w:r w:rsidRPr="003B63CB">
        <w:rPr>
          <w:rStyle w:val="aff4"/>
          <w:rFonts w:hint="cs"/>
          <w:vanish/>
          <w:rtl/>
        </w:rPr>
        <w:t>-</w:t>
      </w:r>
      <w:r w:rsidRPr="003B63CB">
        <w:rPr>
          <w:rFonts w:hint="cs"/>
          <w:rtl/>
        </w:rPr>
        <w:t xml:space="preserve"> </w:t>
      </w:r>
      <w:r w:rsidRPr="003B63CB">
        <w:rPr>
          <w:rStyle w:val="af2"/>
          <w:rFonts w:eastAsia="Guttman Hodes" w:hint="cs"/>
          <w:rtl/>
        </w:rPr>
        <w:t>(קו. ד"ה חוץ)</w:t>
      </w:r>
      <w:r w:rsidRPr="003B63CB">
        <w:rPr>
          <w:rFonts w:hint="cs"/>
          <w:rtl/>
        </w:rPr>
        <w:t xml:space="preserve"> דחו את ביאור </w:t>
      </w:r>
      <w:r w:rsidRPr="003B63CB">
        <w:rPr>
          <w:rStyle w:val="aff4"/>
          <w:rFonts w:hint="cs"/>
          <w:vanish/>
          <w:rtl/>
        </w:rPr>
        <w:t>-</w:t>
      </w:r>
      <w:r w:rsidRPr="003B63CB">
        <w:rPr>
          <w:rStyle w:val="aff4"/>
          <w:rFonts w:hint="cs"/>
          <w:rtl/>
        </w:rPr>
        <w:t>הרשב"ם</w:t>
      </w:r>
      <w:r w:rsidRPr="009B3913">
        <w:rPr>
          <w:rStyle w:val="af2"/>
          <w:rFonts w:eastAsia="Guttman Hodes" w:hint="cs"/>
          <w:rtl/>
        </w:rPr>
        <w:t xml:space="preserve">- (עי' אות </w:t>
      </w:r>
      <w:r w:rsidRPr="009B3913">
        <w:rPr>
          <w:rStyle w:val="af2"/>
          <w:rFonts w:eastAsia="Guttman Hodes"/>
          <w:rtl/>
        </w:rPr>
        <w:t>כד)</w:t>
      </w:r>
      <w:r>
        <w:rPr>
          <w:rStyle w:val="af2"/>
          <w:rFonts w:eastAsia="Guttman Hodes" w:hint="cs"/>
          <w:rtl/>
        </w:rPr>
        <w:t xml:space="preserve"> </w:t>
      </w:r>
      <w:r w:rsidRPr="003B63CB">
        <w:rPr>
          <w:rFonts w:hint="cs"/>
          <w:rtl/>
        </w:rPr>
        <w:t xml:space="preserve">דהיה לגמ' להקשות על ריו"ח דאטו מאן דס"ל כר"ש משתקין אותו, וכן הקשו </w:t>
      </w:r>
      <w:r w:rsidRPr="003B63CB">
        <w:rPr>
          <w:rStyle w:val="aff4"/>
          <w:rFonts w:hint="cs"/>
          <w:vanish/>
          <w:rtl/>
        </w:rPr>
        <w:t>-</w:t>
      </w:r>
      <w:r w:rsidRPr="003B63CB">
        <w:rPr>
          <w:rStyle w:val="aff4"/>
          <w:rFonts w:hint="cs"/>
          <w:rtl/>
        </w:rPr>
        <w:t>התוס' בב"ק</w:t>
      </w:r>
      <w:r w:rsidRPr="003B63CB">
        <w:rPr>
          <w:rStyle w:val="aff4"/>
          <w:rFonts w:hint="cs"/>
          <w:vanish/>
          <w:rtl/>
        </w:rPr>
        <w:t>-</w:t>
      </w:r>
      <w:r w:rsidRPr="003B63CB">
        <w:rPr>
          <w:rFonts w:hint="cs"/>
          <w:rtl/>
        </w:rPr>
        <w:t xml:space="preserve"> </w:t>
      </w:r>
      <w:r w:rsidRPr="003B63CB">
        <w:rPr>
          <w:rStyle w:val="af2"/>
          <w:rFonts w:eastAsia="Guttman Hodes" w:hint="cs"/>
          <w:rtl/>
        </w:rPr>
        <w:t>(לד: ד"ה חובל)</w:t>
      </w:r>
      <w:r w:rsidRPr="003B63CB">
        <w:rPr>
          <w:rFonts w:hint="cs"/>
          <w:rtl/>
        </w:rPr>
        <w:t xml:space="preserve"> </w:t>
      </w:r>
      <w:r w:rsidRPr="003B63CB">
        <w:rPr>
          <w:rStyle w:val="aff4"/>
          <w:rFonts w:hint="cs"/>
          <w:vanish/>
          <w:rtl/>
        </w:rPr>
        <w:t>-</w:t>
      </w:r>
      <w:r w:rsidRPr="003B63CB">
        <w:rPr>
          <w:rStyle w:val="aff4"/>
          <w:rFonts w:hint="cs"/>
          <w:rtl/>
        </w:rPr>
        <w:t>והתוס' בסנהדרין</w:t>
      </w:r>
      <w:r w:rsidRPr="003B63CB">
        <w:rPr>
          <w:rStyle w:val="aff4"/>
          <w:rFonts w:hint="cs"/>
          <w:vanish/>
          <w:rtl/>
        </w:rPr>
        <w:t>-</w:t>
      </w:r>
      <w:r w:rsidRPr="003B63CB">
        <w:rPr>
          <w:rFonts w:hint="cs"/>
          <w:rtl/>
        </w:rPr>
        <w:t xml:space="preserve"> </w:t>
      </w:r>
      <w:r w:rsidRPr="003B63CB">
        <w:rPr>
          <w:rStyle w:val="af2"/>
          <w:rFonts w:eastAsia="Guttman Hodes" w:hint="cs"/>
          <w:rtl/>
        </w:rPr>
        <w:t>(פד: ד"ה מאן)</w:t>
      </w:r>
      <w:r w:rsidRPr="003B63CB">
        <w:rPr>
          <w:rFonts w:hint="cs"/>
          <w:rtl/>
        </w:rPr>
        <w:t xml:space="preserve">, והוסיפו להקשות דאי חובל וצריך לכלבו ומבעיר וצריך לאפרו הוי תיקון גמור, א"כ אמאי נקטה הגמ' דוקא חובל ומבעיר דמודה ר"ש, ועוד דמוכח בגמ' בסנהדרין </w:t>
      </w:r>
      <w:r w:rsidRPr="003B63CB">
        <w:rPr>
          <w:rStyle w:val="af2"/>
          <w:rFonts w:eastAsia="Guttman Hodes" w:hint="cs"/>
          <w:rtl/>
        </w:rPr>
        <w:t>(פד:)</w:t>
      </w:r>
      <w:r w:rsidRPr="003B63CB">
        <w:rPr>
          <w:rFonts w:hint="cs"/>
          <w:rtl/>
        </w:rPr>
        <w:t xml:space="preserve"> ובכתובות </w:t>
      </w:r>
      <w:r w:rsidRPr="003B63CB">
        <w:rPr>
          <w:rStyle w:val="af2"/>
          <w:rFonts w:eastAsia="Guttman Hodes" w:hint="cs"/>
          <w:rtl/>
        </w:rPr>
        <w:t>(כ:)</w:t>
      </w:r>
      <w:r w:rsidRPr="003B63CB">
        <w:rPr>
          <w:rFonts w:hint="cs"/>
          <w:rtl/>
        </w:rPr>
        <w:t xml:space="preserve"> דאף בחובל ומבעיר ס"ל לר"ש דחייב רק במלאכה שצריכה לגופה</w:t>
      </w:r>
      <w:r>
        <w:rPr>
          <w:rFonts w:hint="cs"/>
          <w:rtl/>
        </w:rPr>
        <w:t xml:space="preserve">, </w:t>
      </w:r>
      <w:r>
        <w:rPr>
          <w:rStyle w:val="aff4"/>
          <w:vanish/>
          <w:rtl/>
        </w:rPr>
        <w:t>–</w:t>
      </w:r>
      <w:r>
        <w:rPr>
          <w:rStyle w:val="aff4"/>
          <w:rFonts w:hint="cs"/>
          <w:rtl/>
        </w:rPr>
        <w:t>ו</w:t>
      </w:r>
      <w:r w:rsidRPr="003B63CB">
        <w:rPr>
          <w:rStyle w:val="aff4"/>
          <w:rFonts w:hint="cs"/>
          <w:rtl/>
        </w:rPr>
        <w:t>ה</w:t>
      </w:r>
      <w:r>
        <w:rPr>
          <w:rStyle w:val="aff4"/>
          <w:rFonts w:hint="cs"/>
          <w:vanish/>
          <w:rtl/>
        </w:rPr>
        <w:t>&lt; &gt;</w:t>
      </w:r>
      <w:r w:rsidRPr="003B63CB">
        <w:rPr>
          <w:rStyle w:val="aff4"/>
          <w:rFonts w:hint="cs"/>
          <w:rtl/>
        </w:rPr>
        <w:t>רמב"ן</w:t>
      </w:r>
      <w:r w:rsidRPr="003B63CB">
        <w:rPr>
          <w:rStyle w:val="aff4"/>
          <w:rFonts w:hint="cs"/>
          <w:vanish/>
          <w:rtl/>
        </w:rPr>
        <w:t>-</w:t>
      </w:r>
      <w:r w:rsidRPr="00F86A80">
        <w:rPr>
          <w:rFonts w:hint="cs"/>
          <w:rtl/>
        </w:rPr>
        <w:t xml:space="preserve"> </w:t>
      </w:r>
      <w:r w:rsidRPr="003B63CB">
        <w:rPr>
          <w:rStyle w:val="af2"/>
          <w:rFonts w:eastAsia="Guttman Hodes" w:hint="cs"/>
          <w:rtl/>
        </w:rPr>
        <w:t>(קו. ד"ה ורש"י)</w:t>
      </w:r>
      <w:r w:rsidRPr="003B63CB">
        <w:rPr>
          <w:rFonts w:hint="cs"/>
          <w:vanish/>
          <w:rtl/>
        </w:rPr>
        <w:t>=</w:t>
      </w:r>
      <w:r w:rsidRPr="003B63CB">
        <w:rPr>
          <w:rFonts w:hint="cs"/>
          <w:rtl/>
        </w:rPr>
        <w:t xml:space="preserve"> הוסיף</w:t>
      </w:r>
      <w:r>
        <w:rPr>
          <w:rFonts w:hint="cs"/>
          <w:rtl/>
        </w:rPr>
        <w:t xml:space="preserve"> דכן </w:t>
      </w:r>
      <w:r w:rsidRPr="003B63CB">
        <w:rPr>
          <w:rFonts w:hint="cs"/>
          <w:rtl/>
        </w:rPr>
        <w:t xml:space="preserve">מבואר בגמ' </w:t>
      </w:r>
      <w:r w:rsidRPr="003B63CB">
        <w:rPr>
          <w:rStyle w:val="af2"/>
          <w:rFonts w:eastAsia="Guttman Hodes" w:hint="cs"/>
          <w:rtl/>
        </w:rPr>
        <w:t>(עה.)</w:t>
      </w:r>
      <w:r w:rsidRPr="003B63CB">
        <w:rPr>
          <w:rFonts w:hint="cs"/>
          <w:rtl/>
        </w:rPr>
        <w:t xml:space="preserve"> </w:t>
      </w:r>
      <w:r w:rsidRPr="003B63CB">
        <w:rPr>
          <w:rStyle w:val="af"/>
          <w:rFonts w:hint="cs"/>
          <w:rtl/>
        </w:rPr>
        <w:t>[בפוצע חלזון]</w:t>
      </w:r>
      <w:r>
        <w:rPr>
          <w:rStyle w:val="af"/>
          <w:rFonts w:hint="cs"/>
          <w:rtl/>
        </w:rPr>
        <w:t>,</w:t>
      </w:r>
      <w:r w:rsidRPr="003B63CB">
        <w:rPr>
          <w:rFonts w:hint="cs"/>
          <w:rtl/>
        </w:rPr>
        <w:t xml:space="preserve"> ובגמ' לקמן </w:t>
      </w:r>
      <w:r w:rsidRPr="003B63CB">
        <w:rPr>
          <w:rStyle w:val="af2"/>
          <w:rFonts w:eastAsia="Guttman Hodes" w:hint="cs"/>
          <w:rtl/>
        </w:rPr>
        <w:t>(קכא:)</w:t>
      </w:r>
      <w:r w:rsidRPr="003B63CB">
        <w:rPr>
          <w:rFonts w:hint="cs"/>
          <w:rtl/>
        </w:rPr>
        <w:t xml:space="preserve"> לענין הריגת ה' מזיקין, דלר"ש דפוטר במלאכה שאינה צריכה לגופה, החיוב במקלקל בחבורה רק במלאכה שצריכה לגופה. </w:t>
      </w:r>
      <w:r w:rsidRPr="003B63CB">
        <w:rPr>
          <w:rStyle w:val="af"/>
          <w:rFonts w:hint="cs"/>
          <w:rtl/>
        </w:rPr>
        <w:t>[</w:t>
      </w:r>
      <w:r w:rsidRPr="003B63CB">
        <w:rPr>
          <w:rStyle w:val="aff9"/>
          <w:rFonts w:hint="cs"/>
          <w:vanish/>
          <w:rtl/>
        </w:rPr>
        <w:t>-</w:t>
      </w:r>
      <w:r>
        <w:rPr>
          <w:rStyle w:val="aff9"/>
          <w:rFonts w:hint="cs"/>
          <w:rtl/>
        </w:rPr>
        <w:t>ו</w:t>
      </w:r>
      <w:r w:rsidRPr="003B63CB">
        <w:rPr>
          <w:rStyle w:val="aff9"/>
          <w:rFonts w:hint="cs"/>
          <w:rtl/>
        </w:rPr>
        <w:t>התוס' בב"ק</w:t>
      </w:r>
      <w:r w:rsidRPr="003B63CB">
        <w:rPr>
          <w:rStyle w:val="aff9"/>
          <w:rFonts w:hint="cs"/>
          <w:vanish/>
          <w:rtl/>
        </w:rPr>
        <w:t>-</w:t>
      </w:r>
      <w:r w:rsidRPr="003B63CB">
        <w:rPr>
          <w:rStyle w:val="af"/>
          <w:rFonts w:hint="cs"/>
          <w:rtl/>
        </w:rPr>
        <w:t xml:space="preserve"> </w:t>
      </w:r>
      <w:r>
        <w:rPr>
          <w:rStyle w:val="af"/>
          <w:rFonts w:hint="cs"/>
          <w:rtl/>
        </w:rPr>
        <w:t xml:space="preserve">תירצו </w:t>
      </w:r>
      <w:r w:rsidRPr="003B63CB">
        <w:rPr>
          <w:rStyle w:val="af"/>
          <w:rFonts w:hint="cs"/>
          <w:rtl/>
        </w:rPr>
        <w:t xml:space="preserve">דאפש"ל דהגמ' בסנהדרין ובכתובות הם לריו"ח, ואף דכן משמע בברייתא לקמן </w:t>
      </w:r>
      <w:r w:rsidRPr="003B63CB">
        <w:rPr>
          <w:rStyle w:val="aff0"/>
          <w:rFonts w:hint="cs"/>
          <w:rtl/>
        </w:rPr>
        <w:t>(קכא.)</w:t>
      </w:r>
      <w:r w:rsidRPr="003B63CB">
        <w:rPr>
          <w:rStyle w:val="af"/>
          <w:rFonts w:hint="cs"/>
          <w:rtl/>
        </w:rPr>
        <w:t xml:space="preserve"> צ"ל דתנא דברייתא ס"ל כר"י בחדא וכר"ש בחדא].</w:t>
      </w:r>
      <w:bookmarkEnd w:id="3847"/>
    </w:p>
    <w:p w14:paraId="6F344138" w14:textId="77777777" w:rsidR="002748A5" w:rsidRPr="00747170" w:rsidRDefault="002748A5" w:rsidP="00747170">
      <w:pPr>
        <w:pStyle w:val="a2"/>
        <w:rPr>
          <w:rtl/>
        </w:rPr>
      </w:pPr>
      <w:r w:rsidRPr="00747170">
        <w:rPr>
          <w:rtl/>
        </w:rPr>
        <w:t>וקשה דא"כ אמאי א"ל פוק תני לברא דאטו משום דס"ל כר' יהודה מאן דתנא כר"ש משתקינן ליה דכה"ג פריך בפ"ק דחולין (טו.)</w:t>
      </w:r>
      <w:r w:rsidRPr="00747170">
        <w:rPr>
          <w:rFonts w:hint="cs"/>
          <w:rtl/>
        </w:rPr>
        <w:t>.</w:t>
      </w:r>
    </w:p>
    <w:p w14:paraId="42B6FAA7" w14:textId="77777777" w:rsidR="002748A5" w:rsidRPr="003110A7" w:rsidRDefault="002748A5" w:rsidP="002748A5">
      <w:pPr>
        <w:pStyle w:val="afffffb"/>
        <w:rPr>
          <w:rtl/>
        </w:rPr>
      </w:pPr>
      <w:r w:rsidRPr="003110A7">
        <w:rPr>
          <w:rtl/>
        </w:rPr>
        <w:t>תוספות סנהדרין פ"ד ע"ב</w:t>
      </w:r>
      <w:r w:rsidRPr="003110A7">
        <w:rPr>
          <w:rFonts w:hint="cs"/>
          <w:rtl/>
        </w:rPr>
        <w:t xml:space="preserve"> ד"ה מאן</w:t>
      </w:r>
    </w:p>
    <w:p w14:paraId="00BAB582" w14:textId="77777777" w:rsidR="002748A5" w:rsidRPr="00695703" w:rsidRDefault="002748A5" w:rsidP="00747170">
      <w:pPr>
        <w:pStyle w:val="afffff5"/>
        <w:rPr>
          <w:rtl/>
        </w:rPr>
      </w:pPr>
      <w:r w:rsidRPr="00695703">
        <w:rPr>
          <w:rtl/>
        </w:rPr>
        <w:t>וזהו תימה א"כ אמאי א"ל פוק תני לברא אטו משום דס"ל כרבי יהודה מאן דתני כר"ש משתיק ליה דכי האי גוונא פריך פרק קמא דחולין (דף טו.) ועוד אי חשיב תיקון גמור צריך לכלבו ולאפרו אמאי נקט חובל ומבעיר ועוד דר"ש אפי' בחובל ומבעיר בעי שתהא צריכה לגופה כדמסיק בשמעתין גבי חובל ובשלהי ספק אכל (כריתות דף כ:) גבי הבערה</w:t>
      </w:r>
      <w:r w:rsidRPr="00695703">
        <w:rPr>
          <w:rFonts w:hint="cs"/>
          <w:rtl/>
        </w:rPr>
        <w:t>.</w:t>
      </w:r>
    </w:p>
    <w:p w14:paraId="15D1F1BA" w14:textId="77777777" w:rsidR="002748A5" w:rsidRPr="003110A7" w:rsidRDefault="002748A5" w:rsidP="002748A5">
      <w:pPr>
        <w:pStyle w:val="afffffb"/>
        <w:rPr>
          <w:rtl/>
        </w:rPr>
      </w:pPr>
      <w:r w:rsidRPr="003110A7">
        <w:rPr>
          <w:rtl/>
        </w:rPr>
        <w:t>תוספות ב"ק ל"ד ע"ב</w:t>
      </w:r>
      <w:r w:rsidRPr="003110A7">
        <w:rPr>
          <w:rFonts w:hint="cs"/>
          <w:rtl/>
        </w:rPr>
        <w:t xml:space="preserve"> ד</w:t>
      </w:r>
      <w:r w:rsidRPr="003110A7">
        <w:rPr>
          <w:rFonts w:cs="Guttman Hodes" w:hint="cs"/>
          <w:rtl/>
        </w:rPr>
        <w:t>"</w:t>
      </w:r>
      <w:r w:rsidRPr="003110A7">
        <w:rPr>
          <w:rFonts w:hint="cs"/>
          <w:rtl/>
        </w:rPr>
        <w:t>ה חובל</w:t>
      </w:r>
    </w:p>
    <w:p w14:paraId="32333A93" w14:textId="77777777" w:rsidR="002748A5" w:rsidRPr="00695703" w:rsidRDefault="002748A5" w:rsidP="00747170">
      <w:pPr>
        <w:pStyle w:val="afffff5"/>
        <w:rPr>
          <w:rtl/>
        </w:rPr>
      </w:pPr>
      <w:r w:rsidRPr="00695703">
        <w:rPr>
          <w:rtl/>
        </w:rPr>
        <w:t xml:space="preserve">וקשה דא"כ אמאי א"ל פוק תני לברא אטו משום דס"ל כר"י מאן דמתני כרבי שמעון משתיקין ליה דכה"ג פריך בפ"ק דחולין (דף טו.) </w:t>
      </w:r>
      <w:r w:rsidRPr="00695703">
        <w:rPr>
          <w:rFonts w:hint="cs"/>
          <w:rtl/>
        </w:rPr>
        <w:t>וכו',</w:t>
      </w:r>
      <w:r w:rsidRPr="00695703">
        <w:rPr>
          <w:rtl/>
        </w:rPr>
        <w:t xml:space="preserve"> וא"ת ואמאי מחייב רבי אבהו אף על פי שאין צריך לכלבו ולאפרו הא כיון דאין צריך כלל מלאכה שאינה צריכה לגופה היא דאע"ג דמחייב ר"ש מקלקל בחבורה מ"מ בעינן צריכה לגופה כדמוכח בריש הנחנקין (סנהדרין דף פד: ושם ד"ה מאן) ובשלהי כל כתבי (שבת דף קכא.) ובפרק כלל גדול (שם דף עה. ושם ד"ה טפי) ובשלהי ספק אכל (כריתות דף כ:) ואור"י דכל הנך סוגיות כרבי יוחנן וההיא דספק אכל ופרק כל כתבי דהוי ברייתא איכא למימר דההוא תנא סבר כר"י בחדא וכרבי שמעון בחדא</w:t>
      </w:r>
      <w:r w:rsidRPr="00695703">
        <w:rPr>
          <w:rFonts w:hint="cs"/>
          <w:rtl/>
        </w:rPr>
        <w:t>.</w:t>
      </w:r>
    </w:p>
    <w:p w14:paraId="725ADBC0" w14:textId="77777777" w:rsidR="002748A5" w:rsidRPr="00695703" w:rsidRDefault="002748A5" w:rsidP="00747170">
      <w:pPr>
        <w:pStyle w:val="afffff5"/>
        <w:rPr>
          <w:rtl/>
        </w:rPr>
      </w:pPr>
      <w:r w:rsidRPr="00695703">
        <w:rPr>
          <w:rtl/>
        </w:rPr>
        <w:t>ורש"י עצמו ז"ל כתב דחובל וצריך לכלבו לר"י כיון דמתקן הוא אצל הכלב כה"ג מלאכה היא, וזה הפירוש אינו נכון דאי ר' אבהו כר"ש היכי משתיק לי' ר' יוחנן, כדמקשי' בפ"ק דחולין ורב משום דס"ל כר"י מאן דתני כר' מאיר שתוקי משתיק ליה, ועוד דלר"ש אפילו בחובל ומבעיר בעי' שתהא המלאכה צריכה לגופה כדאמרי' בפ' כלל גדול, ובשלהי כל כתבי הקדש (קכ"א ב') גבי חמשה נהרגין בשבת אלא לאו ר"ש דאמר מלאכה שא"צ לגופה פטור עליה, אלמא אפי' במקלקל בחבורה בעי' מלאכה הצריכה לגופה, ובפ' ואלו הן הנחנקין (פ"ד ב') אמרי' והא דתנן מחט של יד ליטול בה את הקוץ ליחוש דילמא חביל ביה ומתרץ התם אי לר"י מקלקל בחבורה הוא אי לר"ש מלאכה שא"צ לגופה היא ופטור עלי', אלמא לר"ש מלאכה שא"צ לגופה בחבורה פטור</w:t>
      </w:r>
      <w:r w:rsidRPr="00695703">
        <w:rPr>
          <w:rFonts w:hint="cs"/>
          <w:rtl/>
        </w:rPr>
        <w:t>.</w:t>
      </w:r>
    </w:p>
    <w:p w14:paraId="22AD3BBE" w14:textId="0DE539D4" w:rsidR="002748A5" w:rsidRPr="005D040E" w:rsidRDefault="002748A5" w:rsidP="002748A5">
      <w:pPr>
        <w:pStyle w:val="1"/>
        <w:rPr>
          <w:rtl/>
        </w:rPr>
      </w:pPr>
      <w:bookmarkStart w:id="3848" w:name="_Toc140099768"/>
      <w:bookmarkStart w:id="3849" w:name="_Toc140144310"/>
      <w:bookmarkStart w:id="3850" w:name="_Toc140144541"/>
      <w:r>
        <w:rPr>
          <w:rFonts w:hint="cs"/>
          <w:rtl/>
        </w:rPr>
        <w:t>בי' התוס' והרמ"ן דנח' בד' ר"ש אי מקלקל גמור בחבורה חייב</w:t>
      </w:r>
      <w:bookmarkEnd w:id="3848"/>
      <w:bookmarkEnd w:id="3849"/>
      <w:bookmarkEnd w:id="3850"/>
    </w:p>
    <w:p w14:paraId="6AD9A1F1" w14:textId="77777777" w:rsidR="002748A5" w:rsidRPr="00C12F78" w:rsidRDefault="002748A5" w:rsidP="002748A5">
      <w:pPr>
        <w:pStyle w:val="afffff7"/>
        <w:rPr>
          <w:rtl/>
        </w:rPr>
      </w:pPr>
      <w:bookmarkStart w:id="3851" w:name="_Toc140144411"/>
      <w:bookmarkStart w:id="3852" w:name="_Toc140144887"/>
      <w:bookmarkStart w:id="3853" w:name="_Toc163506002"/>
      <w:r w:rsidRPr="00C12F78">
        <w:rPr>
          <w:rtl/>
        </w:rPr>
        <w:t>תוספות שבת ק"ו ע"א</w:t>
      </w:r>
      <w:r w:rsidRPr="00C12F78">
        <w:rPr>
          <w:rFonts w:hint="cs"/>
          <w:rtl/>
        </w:rPr>
        <w:t xml:space="preserve"> ד"ה חוץ</w:t>
      </w:r>
      <w:bookmarkEnd w:id="3853"/>
      <w:r w:rsidRPr="00C12F78">
        <w:rPr>
          <w:vanish/>
          <w:rtl/>
        </w:rPr>
        <w:t xml:space="preserve"> (ט)</w:t>
      </w:r>
      <w:bookmarkEnd w:id="3851"/>
      <w:bookmarkEnd w:id="3852"/>
    </w:p>
    <w:p w14:paraId="3A26840D" w14:textId="77777777" w:rsidR="002748A5" w:rsidRPr="003B63CB" w:rsidRDefault="002748A5" w:rsidP="002748A5">
      <w:pPr>
        <w:pStyle w:val="a7"/>
        <w:rPr>
          <w:rtl/>
        </w:rPr>
      </w:pPr>
      <w:bookmarkStart w:id="3854" w:name="_Toc140099769"/>
      <w:bookmarkStart w:id="3855" w:name="_Toc140144311"/>
      <w:bookmarkStart w:id="3856" w:name="_Toc140144542"/>
      <w:r>
        <w:rPr>
          <w:rFonts w:hint="cs"/>
          <w:rtl/>
        </w:rPr>
        <w:t>בי' התוס' והרמב"ן דרבי אבהו וריו"ח נח' בר"ש אי מקלקל בחבורה חייב או דצריך תיקון קצת</w:t>
      </w:r>
      <w:bookmarkEnd w:id="3854"/>
      <w:bookmarkEnd w:id="3855"/>
      <w:bookmarkEnd w:id="3856"/>
    </w:p>
    <w:p w14:paraId="72A4B6F8" w14:textId="653DCFC9" w:rsidR="002748A5" w:rsidRPr="00E06B13" w:rsidRDefault="002748A5" w:rsidP="00BC7DC8">
      <w:pPr>
        <w:pStyle w:val="a3"/>
        <w:rPr>
          <w:rtl/>
        </w:rPr>
      </w:pPr>
      <w:bookmarkStart w:id="3857" w:name="_Ref139749038"/>
      <w:r w:rsidRPr="003B63CB">
        <w:rPr>
          <w:rFonts w:hint="cs"/>
          <w:rtl/>
        </w:rPr>
        <w:t xml:space="preserve">אלא ביארו </w:t>
      </w:r>
      <w:r w:rsidRPr="003B63CB">
        <w:rPr>
          <w:rStyle w:val="aff4"/>
          <w:rFonts w:hint="cs"/>
          <w:vanish/>
          <w:rtl/>
        </w:rPr>
        <w:t>-</w:t>
      </w:r>
      <w:r w:rsidRPr="003B63CB">
        <w:rPr>
          <w:rStyle w:val="aff4"/>
          <w:rFonts w:hint="cs"/>
          <w:rtl/>
        </w:rPr>
        <w:t>ה</w:t>
      </w:r>
      <w:r w:rsidRPr="003B63CB">
        <w:rPr>
          <w:rStyle w:val="aff4"/>
          <w:rFonts w:hint="cs"/>
          <w:vanish/>
          <w:rtl/>
        </w:rPr>
        <w:t xml:space="preserve">&lt;, </w:t>
      </w:r>
      <w:r w:rsidRPr="003B63CB">
        <w:rPr>
          <w:rStyle w:val="aff4"/>
          <w:vanish/>
          <w:rtl/>
        </w:rPr>
        <w:fldChar w:fldCharType="begin"/>
      </w:r>
      <w:r w:rsidRPr="003B63CB">
        <w:rPr>
          <w:rStyle w:val="aff4"/>
          <w:vanish/>
          <w:rtl/>
        </w:rPr>
        <w:instrText xml:space="preserve"> </w:instrText>
      </w:r>
      <w:r w:rsidRPr="003B63CB">
        <w:rPr>
          <w:rStyle w:val="aff4"/>
          <w:rFonts w:hint="cs"/>
          <w:vanish/>
        </w:rPr>
        <w:instrText>REF</w:instrText>
      </w:r>
      <w:r w:rsidRPr="003B63CB">
        <w:rPr>
          <w:rStyle w:val="aff4"/>
          <w:rFonts w:hint="cs"/>
          <w:vanish/>
          <w:rtl/>
        </w:rPr>
        <w:instrText xml:space="preserve"> _</w:instrText>
      </w:r>
      <w:r w:rsidRPr="003B63CB">
        <w:rPr>
          <w:rStyle w:val="aff4"/>
          <w:rFonts w:hint="cs"/>
          <w:vanish/>
        </w:rPr>
        <w:instrText>Ref139749038 \r \h</w:instrText>
      </w:r>
      <w:r w:rsidRPr="003B63CB">
        <w:rPr>
          <w:rStyle w:val="aff4"/>
          <w:vanish/>
          <w:rtl/>
        </w:rPr>
        <w:instrText xml:space="preserve">  \* </w:instrText>
      </w:r>
      <w:r w:rsidRPr="003B63CB">
        <w:rPr>
          <w:rStyle w:val="aff4"/>
          <w:vanish/>
        </w:rPr>
        <w:instrText>MERGEFORMAT</w:instrText>
      </w:r>
      <w:r w:rsidRPr="003B63CB">
        <w:rPr>
          <w:rStyle w:val="aff4"/>
          <w:vanish/>
          <w:rtl/>
        </w:rPr>
        <w:instrText xml:space="preserve"> </w:instrText>
      </w:r>
      <w:r w:rsidRPr="003B63CB">
        <w:rPr>
          <w:rStyle w:val="aff4"/>
          <w:vanish/>
          <w:rtl/>
        </w:rPr>
      </w:r>
      <w:r w:rsidRPr="003B63CB">
        <w:rPr>
          <w:rStyle w:val="aff4"/>
          <w:vanish/>
          <w:rtl/>
        </w:rPr>
        <w:fldChar w:fldCharType="separate"/>
      </w:r>
      <w:r w:rsidR="00D82181">
        <w:rPr>
          <w:rStyle w:val="aff4"/>
          <w:vanish/>
          <w:cs/>
        </w:rPr>
        <w:t>‎</w:t>
      </w:r>
      <w:r w:rsidR="00D82181">
        <w:rPr>
          <w:rStyle w:val="aff4"/>
          <w:vanish/>
          <w:rtl/>
        </w:rPr>
        <w:t>לא)</w:t>
      </w:r>
      <w:r w:rsidRPr="003B63CB">
        <w:rPr>
          <w:rStyle w:val="aff4"/>
          <w:vanish/>
          <w:rtl/>
        </w:rPr>
        <w:fldChar w:fldCharType="end"/>
      </w:r>
      <w:r w:rsidRPr="003B63CB">
        <w:rPr>
          <w:rStyle w:val="aff4"/>
          <w:rFonts w:hint="cs"/>
          <w:vanish/>
          <w:rtl/>
        </w:rPr>
        <w:t xml:space="preserve"> &gt;</w:t>
      </w:r>
      <w:r w:rsidRPr="003B63CB">
        <w:rPr>
          <w:rStyle w:val="aff4"/>
          <w:rFonts w:hint="cs"/>
          <w:rtl/>
        </w:rPr>
        <w:t>תוס'</w:t>
      </w:r>
      <w:r w:rsidRPr="003B63CB">
        <w:rPr>
          <w:rStyle w:val="aff4"/>
          <w:rFonts w:hint="cs"/>
          <w:vanish/>
          <w:rtl/>
        </w:rPr>
        <w:t>-</w:t>
      </w:r>
      <w:r w:rsidRPr="003B63CB">
        <w:rPr>
          <w:rFonts w:hint="cs"/>
          <w:rtl/>
        </w:rPr>
        <w:t xml:space="preserve"> </w:t>
      </w:r>
      <w:r w:rsidRPr="003B63CB">
        <w:rPr>
          <w:rStyle w:val="af2"/>
          <w:rFonts w:eastAsia="Guttman Hodes" w:hint="cs"/>
          <w:rtl/>
        </w:rPr>
        <w:t>(קו. ד"ה חוץ)</w:t>
      </w:r>
      <w:r w:rsidRPr="003B63CB">
        <w:rPr>
          <w:rFonts w:hint="cs"/>
          <w:vanish/>
          <w:rtl/>
        </w:rPr>
        <w:t>=</w:t>
      </w:r>
      <w:r w:rsidRPr="003B63CB">
        <w:rPr>
          <w:rFonts w:hint="cs"/>
          <w:rtl/>
        </w:rPr>
        <w:t xml:space="preserve"> </w:t>
      </w:r>
      <w:r w:rsidRPr="003B63CB">
        <w:rPr>
          <w:rStyle w:val="aff4"/>
          <w:rFonts w:hint="cs"/>
          <w:vanish/>
          <w:rtl/>
        </w:rPr>
        <w:t>-</w:t>
      </w:r>
      <w:r w:rsidRPr="003B63CB">
        <w:rPr>
          <w:rStyle w:val="aff4"/>
          <w:rFonts w:hint="cs"/>
          <w:rtl/>
        </w:rPr>
        <w:t>והתוס' בסנהדרין</w:t>
      </w:r>
      <w:r w:rsidRPr="003B63CB">
        <w:rPr>
          <w:rStyle w:val="aff4"/>
          <w:rFonts w:hint="cs"/>
          <w:vanish/>
          <w:rtl/>
        </w:rPr>
        <w:t>-</w:t>
      </w:r>
      <w:r w:rsidRPr="003B63CB">
        <w:rPr>
          <w:rFonts w:hint="cs"/>
          <w:rtl/>
        </w:rPr>
        <w:t xml:space="preserve"> </w:t>
      </w:r>
      <w:r w:rsidRPr="003B63CB">
        <w:rPr>
          <w:rStyle w:val="af2"/>
          <w:rFonts w:eastAsia="Guttman Hodes" w:hint="cs"/>
          <w:rtl/>
        </w:rPr>
        <w:t>(פד: ד"ה מאן)</w:t>
      </w:r>
      <w:r w:rsidRPr="003B63CB">
        <w:rPr>
          <w:rFonts w:hint="cs"/>
          <w:rtl/>
        </w:rPr>
        <w:t xml:space="preserve"> דרבי אבהו וריו"ח נחלקו בדעת ר"ש, אי ילפינן ממילה והבערת בת כהן דאף מקלקל גמור חייב, או שצריך תיקון קצת, אבל לדעת ר"י חובל וצריך לכלבו לא חשיב תיקון כלל דאין דרך לעשות כן, ושוחט חשיב קלקול רק בשוחט לע"ז</w:t>
      </w:r>
      <w:bookmarkEnd w:id="3857"/>
      <w:r w:rsidRPr="003B63CB">
        <w:rPr>
          <w:rFonts w:hint="cs"/>
          <w:rtl/>
        </w:rPr>
        <w:t xml:space="preserve">, וכ"כ </w:t>
      </w:r>
      <w:r w:rsidRPr="003B63CB">
        <w:rPr>
          <w:rStyle w:val="aff4"/>
          <w:rFonts w:hint="cs"/>
          <w:vanish/>
          <w:rtl/>
        </w:rPr>
        <w:t>-</w:t>
      </w:r>
      <w:r w:rsidRPr="003B63CB">
        <w:rPr>
          <w:rStyle w:val="aff4"/>
          <w:rFonts w:hint="cs"/>
          <w:rtl/>
        </w:rPr>
        <w:t>ה</w:t>
      </w:r>
      <w:r w:rsidRPr="003B63CB">
        <w:rPr>
          <w:rStyle w:val="aff4"/>
          <w:rFonts w:hint="cs"/>
          <w:vanish/>
          <w:rtl/>
        </w:rPr>
        <w:t>&lt; &gt;</w:t>
      </w:r>
      <w:r w:rsidRPr="003B63CB">
        <w:rPr>
          <w:rStyle w:val="aff4"/>
          <w:rFonts w:hint="cs"/>
          <w:rtl/>
        </w:rPr>
        <w:t>רמב"ן</w:t>
      </w:r>
      <w:r w:rsidRPr="003B63CB">
        <w:rPr>
          <w:rStyle w:val="aff4"/>
          <w:rFonts w:hint="cs"/>
          <w:vanish/>
          <w:rtl/>
        </w:rPr>
        <w:t>-</w:t>
      </w:r>
      <w:r w:rsidRPr="003B63CB">
        <w:rPr>
          <w:rStyle w:val="aff4"/>
          <w:rFonts w:hint="cs"/>
          <w:rtl/>
        </w:rPr>
        <w:t xml:space="preserve"> </w:t>
      </w:r>
      <w:r w:rsidRPr="003B63CB">
        <w:rPr>
          <w:rStyle w:val="af2"/>
          <w:rFonts w:eastAsia="Guttman Hodes" w:hint="cs"/>
          <w:rtl/>
        </w:rPr>
        <w:t>(קו. ד"ה וכאן)</w:t>
      </w:r>
      <w:r w:rsidRPr="003B63CB">
        <w:rPr>
          <w:rStyle w:val="aff4"/>
          <w:rFonts w:hint="cs"/>
          <w:vanish/>
          <w:rtl/>
        </w:rPr>
        <w:t xml:space="preserve"> </w:t>
      </w:r>
      <w:r w:rsidRPr="003B63CB">
        <w:rPr>
          <w:rFonts w:hint="cs"/>
          <w:vanish/>
          <w:rtl/>
        </w:rPr>
        <w:t>=</w:t>
      </w:r>
      <w:r>
        <w:rPr>
          <w:rFonts w:hint="cs"/>
          <w:rtl/>
        </w:rPr>
        <w:t>.</w:t>
      </w:r>
    </w:p>
    <w:p w14:paraId="340C368A" w14:textId="77777777" w:rsidR="002748A5" w:rsidRPr="00747170" w:rsidRDefault="002748A5" w:rsidP="00747170">
      <w:pPr>
        <w:pStyle w:val="a2"/>
        <w:rPr>
          <w:rtl/>
        </w:rPr>
      </w:pPr>
      <w:r w:rsidRPr="00747170">
        <w:rPr>
          <w:rtl/>
        </w:rPr>
        <w:t xml:space="preserve">ע"כ נראה דר' אבהו ור' יוחנן אליבא דר"ש פליגי דר' אבהו סבר דחובל ומבעיר אף על פי שאינו צריך לכלבו ולאפרו חייב לר' שמעון דגמר ממילה והבערת בת כהן ור' יוחנן סבר דר"ש נמי לא מחייב אא"כ איכא קצת תיקון כגון דצריך לכלבו ולאפרו דמילה והבערה איכא קצת תיקון שהוא צורך מצוה אבל לר' יהודה אפי' צריך לאפרו ולכלבו פטור דאין זה תיקון חשוב דאין דרך לחבול בחבירו כדי ליתן לכלבו או לשרוף גדיש בשביל האפר </w:t>
      </w:r>
      <w:r w:rsidRPr="00747170">
        <w:rPr>
          <w:rStyle w:val="afff7"/>
          <w:rtl/>
        </w:rPr>
        <w:t>אף על גב דכל שוחט מקלקל הוא כדאמרי' בפ"ק דחולין (דף ח.) סכין של ע"ז מותר לשחוט בה מודה ר' יהודה לענין שבת דחייב דדוקא לענין ע"ז חשוב מקלקל דכתיב ולא ידבק בידך מאומה מן החרם ולא חשיב ליה נהנה כיון דקלקולו יתר על תקונו</w:t>
      </w:r>
      <w:r w:rsidRPr="00747170">
        <w:rPr>
          <w:rFonts w:hint="cs"/>
          <w:rtl/>
        </w:rPr>
        <w:t>.</w:t>
      </w:r>
    </w:p>
    <w:p w14:paraId="53951C15" w14:textId="77777777" w:rsidR="002748A5" w:rsidRPr="00E16D0E" w:rsidRDefault="002748A5" w:rsidP="002748A5">
      <w:pPr>
        <w:pStyle w:val="afffffb"/>
        <w:rPr>
          <w:rtl/>
        </w:rPr>
      </w:pPr>
      <w:r w:rsidRPr="00E16D0E">
        <w:rPr>
          <w:rtl/>
        </w:rPr>
        <w:t>תוספות סנהדרין פ"ד ע"ב</w:t>
      </w:r>
      <w:r w:rsidRPr="00E16D0E">
        <w:rPr>
          <w:rFonts w:hint="cs"/>
          <w:rtl/>
        </w:rPr>
        <w:t xml:space="preserve"> ד"ה מאן</w:t>
      </w:r>
    </w:p>
    <w:p w14:paraId="1A632434" w14:textId="77777777" w:rsidR="002748A5" w:rsidRPr="00E16D0E" w:rsidRDefault="002748A5" w:rsidP="00747170">
      <w:pPr>
        <w:pStyle w:val="afffff5"/>
      </w:pPr>
      <w:r w:rsidRPr="00E16D0E">
        <w:rPr>
          <w:rtl/>
        </w:rPr>
        <w:t>על כן נראה דר' אבהו ור' יוחנן אליבא דר"ש פליגי דר' אבהו כר"ש כדאיתא בפרק האורג (שבת דף קו.) ורבי יוחנן סבר דאפילו ר' שמעון בעי תיקון קצת ומיהו לא חשיב תיקון שיתחייב בכך לר' יהודה דאין דרך לחבול בחבירו ליתן לכלב ולשרוף גדיש בשביל אפר</w:t>
      </w:r>
      <w:r w:rsidRPr="00E16D0E">
        <w:rPr>
          <w:rFonts w:hint="cs"/>
          <w:rtl/>
        </w:rPr>
        <w:t>.</w:t>
      </w:r>
    </w:p>
    <w:p w14:paraId="687098CF" w14:textId="6C5BE2D7" w:rsidR="002748A5" w:rsidRPr="00C12F78" w:rsidRDefault="002748A5" w:rsidP="002748A5">
      <w:pPr>
        <w:pStyle w:val="afffff7"/>
        <w:rPr>
          <w:rtl/>
        </w:rPr>
      </w:pPr>
      <w:bookmarkStart w:id="3858" w:name="_Toc140144412"/>
      <w:bookmarkStart w:id="3859" w:name="_Toc140144888"/>
      <w:bookmarkStart w:id="3860" w:name="_Toc163506003"/>
      <w:r w:rsidRPr="00C12F78">
        <w:rPr>
          <w:rtl/>
        </w:rPr>
        <w:t>חדושי הרמב"ן שבת ק"ו ע"א</w:t>
      </w:r>
      <w:r w:rsidRPr="00C12F78">
        <w:rPr>
          <w:rFonts w:hint="cs"/>
          <w:rtl/>
        </w:rPr>
        <w:t xml:space="preserve"> ד"ה וכאן</w:t>
      </w:r>
      <w:bookmarkEnd w:id="3860"/>
      <w:r w:rsidRPr="00C12F78">
        <w:rPr>
          <w:vanish/>
          <w:rtl/>
        </w:rPr>
        <w:t xml:space="preserve"> (ט)</w:t>
      </w:r>
      <w:bookmarkEnd w:id="3858"/>
      <w:bookmarkEnd w:id="3859"/>
    </w:p>
    <w:p w14:paraId="42A326B3" w14:textId="77777777" w:rsidR="002748A5" w:rsidRPr="00695703" w:rsidRDefault="002748A5" w:rsidP="00747170">
      <w:pPr>
        <w:pStyle w:val="afffff5"/>
        <w:rPr>
          <w:rtl/>
        </w:rPr>
      </w:pPr>
      <w:r w:rsidRPr="00695703">
        <w:rPr>
          <w:rtl/>
        </w:rPr>
        <w:t>וכאן הבן שואל בין לדברינו בין לדברי רבותינו הצרפתים ז"ל צריך לכלבו וצריך לאפרו מתקן גמור הוא ואמאי לא מיחייב לכ"ע, והשיבו בזה שכל מה שאין דרכן של בני אדם לקלקל בשביל אותו התיקון אין זה מתקן אצל שבת, והטעם משום דמלאכת מחשבת בעינן ואין זו מלאכת מחשבת שיהא חובל באדם לצורך הכלב וידליק גדיש לצורך האפר, אבל שוחט ומדליק עצים לבשל בהן מתקן הוא אצל שבת לדברי הכל דהא תנן באבות מלאכות מבעיר ומדמוסיף ר' יהודה (ע"ה ב') שובט ומדקדק ש"מ דמודה בכולהו, ואף על גב דלענין ע"ז אמרי' בפ"ק דחולין (ח' א') סכין של ע"ז מותר לשחוט בה משום דמקלקל הוא, גבי שבת מיהא מחייב</w:t>
      </w:r>
      <w:r w:rsidRPr="00695703">
        <w:rPr>
          <w:rFonts w:hint="cs"/>
          <w:rtl/>
        </w:rPr>
        <w:t>.</w:t>
      </w:r>
    </w:p>
    <w:p w14:paraId="08107147" w14:textId="77777777" w:rsidR="002748A5" w:rsidRPr="003110A7" w:rsidRDefault="002748A5" w:rsidP="002748A5">
      <w:pPr>
        <w:pStyle w:val="afffffb"/>
        <w:rPr>
          <w:rtl/>
        </w:rPr>
      </w:pPr>
      <w:r w:rsidRPr="003110A7">
        <w:rPr>
          <w:rtl/>
        </w:rPr>
        <w:t>תוספות שבת ק"ו ע"א</w:t>
      </w:r>
      <w:r w:rsidRPr="003110A7">
        <w:rPr>
          <w:rFonts w:hint="cs"/>
          <w:rtl/>
        </w:rPr>
        <w:t xml:space="preserve"> ד"ה חוץ</w:t>
      </w:r>
    </w:p>
    <w:p w14:paraId="79D678DF" w14:textId="77777777" w:rsidR="002748A5" w:rsidRPr="00FE033D" w:rsidRDefault="002748A5" w:rsidP="002748A5">
      <w:pPr>
        <w:pStyle w:val="a7"/>
      </w:pPr>
      <w:bookmarkStart w:id="3861" w:name="_Toc140099770"/>
      <w:bookmarkStart w:id="3862" w:name="_Toc140144312"/>
      <w:bookmarkStart w:id="3863" w:name="_Toc140144543"/>
      <w:r>
        <w:rPr>
          <w:rFonts w:hint="cs"/>
          <w:rtl/>
        </w:rPr>
        <w:t>בי' ר"ת דלר"י חובל לכלבו מקלקל דאין התיקון באותה שעה ול"ד לשוחט וקורע למירמי אימה</w:t>
      </w:r>
      <w:bookmarkEnd w:id="3861"/>
      <w:bookmarkEnd w:id="3862"/>
      <w:bookmarkEnd w:id="3863"/>
    </w:p>
    <w:p w14:paraId="33E7F92D" w14:textId="77777777" w:rsidR="002748A5" w:rsidRPr="003B63CB" w:rsidRDefault="002748A5" w:rsidP="00BC7DC8">
      <w:pPr>
        <w:pStyle w:val="a3"/>
      </w:pPr>
      <w:r w:rsidRPr="003B63CB">
        <w:rPr>
          <w:rFonts w:hint="cs"/>
          <w:rtl/>
        </w:rPr>
        <w:t>ועוד ביאר</w:t>
      </w:r>
      <w:r w:rsidRPr="003B63CB">
        <w:rPr>
          <w:rStyle w:val="aff4"/>
          <w:rFonts w:hint="cs"/>
          <w:rtl/>
        </w:rPr>
        <w:t xml:space="preserve"> </w:t>
      </w:r>
      <w:r w:rsidRPr="003B63CB">
        <w:rPr>
          <w:rStyle w:val="aff4"/>
          <w:rFonts w:hint="cs"/>
          <w:vanish/>
          <w:rtl/>
        </w:rPr>
        <w:t>-</w:t>
      </w:r>
      <w:r w:rsidRPr="003B63CB">
        <w:rPr>
          <w:rStyle w:val="aff4"/>
          <w:rFonts w:hint="cs"/>
          <w:rtl/>
        </w:rPr>
        <w:t>ר"ת בתוס'</w:t>
      </w:r>
      <w:r w:rsidRPr="003B63CB">
        <w:rPr>
          <w:rStyle w:val="aff4"/>
          <w:rFonts w:hint="cs"/>
          <w:vanish/>
          <w:rtl/>
        </w:rPr>
        <w:t>-</w:t>
      </w:r>
      <w:r w:rsidRPr="003B63CB">
        <w:rPr>
          <w:rStyle w:val="aff4"/>
          <w:rFonts w:hint="cs"/>
          <w:rtl/>
        </w:rPr>
        <w:t xml:space="preserve"> </w:t>
      </w:r>
      <w:r w:rsidRPr="003B63CB">
        <w:rPr>
          <w:rFonts w:hint="cs"/>
          <w:rtl/>
        </w:rPr>
        <w:t xml:space="preserve">דלר"י </w:t>
      </w:r>
      <w:r>
        <w:rPr>
          <w:rFonts w:hint="cs"/>
          <w:rtl/>
        </w:rPr>
        <w:t xml:space="preserve">חובל וצריך לכלבו ומבעיר וצריך לאפרו </w:t>
      </w:r>
      <w:r w:rsidRPr="003B63CB">
        <w:rPr>
          <w:rFonts w:hint="cs"/>
          <w:rtl/>
        </w:rPr>
        <w:t xml:space="preserve">חשיב מקלקל כיון דהתיקון לא נעשה בשעת המלאכה, אבל בקלקול דנעשה התיקון מיד כשוחט וכן בקורע להטיל אימה, ובהריגת מזיקין, והחיוב בקורע ע"מ לתפור וכדומה, הוא כיון דהתיקון גדול יותר מהקלקול, ודחה </w:t>
      </w:r>
      <w:r w:rsidRPr="003B63CB">
        <w:rPr>
          <w:rStyle w:val="aff4"/>
          <w:rFonts w:hint="cs"/>
          <w:vanish/>
          <w:rtl/>
        </w:rPr>
        <w:t>-</w:t>
      </w:r>
      <w:r w:rsidRPr="003B63CB">
        <w:rPr>
          <w:rStyle w:val="aff4"/>
          <w:rFonts w:hint="cs"/>
          <w:rtl/>
        </w:rPr>
        <w:t>הרמב"ן</w:t>
      </w:r>
      <w:r w:rsidRPr="003B63CB">
        <w:rPr>
          <w:rStyle w:val="aff4"/>
          <w:rFonts w:hint="cs"/>
          <w:vanish/>
          <w:rtl/>
        </w:rPr>
        <w:t>-</w:t>
      </w:r>
      <w:r w:rsidRPr="003B63CB">
        <w:rPr>
          <w:rFonts w:hint="cs"/>
          <w:rtl/>
        </w:rPr>
        <w:t xml:space="preserve"> את דברי </w:t>
      </w:r>
      <w:r w:rsidRPr="003B63CB">
        <w:rPr>
          <w:rStyle w:val="aff4"/>
          <w:rFonts w:hint="cs"/>
          <w:vanish/>
          <w:rtl/>
        </w:rPr>
        <w:t>-</w:t>
      </w:r>
      <w:r w:rsidRPr="003B63CB">
        <w:rPr>
          <w:rStyle w:val="aff4"/>
          <w:rFonts w:hint="cs"/>
          <w:rtl/>
        </w:rPr>
        <w:t>ר"ת</w:t>
      </w:r>
      <w:r w:rsidRPr="003B63CB">
        <w:rPr>
          <w:rStyle w:val="aff4"/>
          <w:rFonts w:hint="cs"/>
          <w:vanish/>
          <w:rtl/>
        </w:rPr>
        <w:t>-</w:t>
      </w:r>
      <w:r w:rsidRPr="003B63CB">
        <w:rPr>
          <w:rFonts w:hint="cs"/>
          <w:rtl/>
        </w:rPr>
        <w:t>.</w:t>
      </w:r>
    </w:p>
    <w:p w14:paraId="654EF80E" w14:textId="77777777" w:rsidR="002748A5" w:rsidRPr="00747170" w:rsidRDefault="002748A5" w:rsidP="00747170">
      <w:pPr>
        <w:pStyle w:val="a2"/>
        <w:rPr>
          <w:rtl/>
        </w:rPr>
      </w:pPr>
      <w:r w:rsidRPr="00747170">
        <w:rPr>
          <w:rtl/>
        </w:rPr>
        <w:t>ור"ת מפרש דהא דחשיב לר' יהודה מקלקל בצריך לכלבו ואפרו לפי שאין התיקון בא באותה שעה אלא לאחר מכאן דלאחר שנעשית חבורה בא הדם ולאחר שכלתה ההבערה בא האפר אבל בשוחט בשעת הקלקול בא לו התיקון שמוציאה מידי אבר מן החי וקורע למירמא אימתא אאינשי דביתיה חשוב ליה לר"י נמי תיקון לפי שבשעת הקלקול בא לו התיקון וכן בהריגת המזיקין (לקמן קכא:) חייב לר' יהודה דבא התיקון בשעת הקלקול ולר"ש פטור משום דהויא מלאכה שאינה צריכה לגופה וקורע ע"מ לתפור ומוחק ע"מ לכתוב דמיחייב לכ"ע אף על גב שבשעת הקלקול אינו בא התיקון היינו משום שהקלקול גורם תיקון יותר טוב לבסוף ותיקון גמור הוא שהרי אינו יכול לעשות התיקון אלא ע"י הקלקול.</w:t>
      </w:r>
    </w:p>
    <w:p w14:paraId="218F2095" w14:textId="77777777" w:rsidR="002748A5" w:rsidRPr="003110A7" w:rsidRDefault="002748A5" w:rsidP="002748A5">
      <w:pPr>
        <w:pStyle w:val="afffffb"/>
        <w:rPr>
          <w:rtl/>
        </w:rPr>
      </w:pPr>
      <w:r w:rsidRPr="003110A7">
        <w:rPr>
          <w:rtl/>
        </w:rPr>
        <w:t>חדושי הרמב"ן שבת ק"ו ע"א</w:t>
      </w:r>
      <w:r w:rsidRPr="003110A7">
        <w:rPr>
          <w:rFonts w:hint="cs"/>
          <w:rtl/>
        </w:rPr>
        <w:t xml:space="preserve"> ד"ה וכאן</w:t>
      </w:r>
    </w:p>
    <w:p w14:paraId="0AE1B266" w14:textId="77777777" w:rsidR="002748A5" w:rsidRPr="00695703" w:rsidRDefault="002748A5" w:rsidP="00747170">
      <w:pPr>
        <w:pStyle w:val="afffff5"/>
        <w:rPr>
          <w:rtl/>
        </w:rPr>
      </w:pPr>
      <w:r w:rsidRPr="00695703">
        <w:rPr>
          <w:rtl/>
        </w:rPr>
        <w:t>ורבינו תם ז"ל מפרש דהא דחשיב מקלקל אפילו צריך לכלבו וצריך לאפרו לפי שאין התיקון בא בשעת הקלקול דלאחר שנעשית החבורה בא הדם ולאחר שנעשית ההבערה בא האפר, ואין טעם זה מחוור ולא מסכים לדעתינו.</w:t>
      </w:r>
    </w:p>
    <w:p w14:paraId="0F85A45C" w14:textId="34AA6CA4" w:rsidR="002748A5" w:rsidRPr="00C12F78" w:rsidRDefault="002748A5" w:rsidP="002748A5">
      <w:pPr>
        <w:pStyle w:val="afffff7"/>
        <w:rPr>
          <w:rtl/>
        </w:rPr>
      </w:pPr>
      <w:bookmarkStart w:id="3864" w:name="_Toc140144413"/>
      <w:bookmarkStart w:id="3865" w:name="_Toc140144889"/>
      <w:bookmarkStart w:id="3866" w:name="_Toc163506004"/>
      <w:r w:rsidRPr="00C12F78">
        <w:rPr>
          <w:rtl/>
        </w:rPr>
        <w:t>תוספות שבת ק"ו ע"א</w:t>
      </w:r>
      <w:r w:rsidRPr="00C12F78">
        <w:rPr>
          <w:rFonts w:hint="cs"/>
          <w:rtl/>
        </w:rPr>
        <w:t xml:space="preserve"> ד"ה מה לי</w:t>
      </w:r>
      <w:bookmarkEnd w:id="3866"/>
      <w:r w:rsidRPr="00C12F78">
        <w:rPr>
          <w:vanish/>
          <w:rtl/>
        </w:rPr>
        <w:t xml:space="preserve"> (ט)</w:t>
      </w:r>
      <w:bookmarkEnd w:id="3864"/>
      <w:bookmarkEnd w:id="3865"/>
    </w:p>
    <w:p w14:paraId="14FF24D5" w14:textId="77777777" w:rsidR="002748A5" w:rsidRPr="003B63CB" w:rsidRDefault="002748A5" w:rsidP="002748A5">
      <w:pPr>
        <w:pStyle w:val="a7"/>
        <w:rPr>
          <w:rtl/>
        </w:rPr>
      </w:pPr>
      <w:bookmarkStart w:id="3867" w:name="_Toc140099771"/>
      <w:bookmarkStart w:id="3868" w:name="_Toc140144313"/>
      <w:bookmarkStart w:id="3869" w:name="_Toc140144544"/>
      <w:r>
        <w:rPr>
          <w:rFonts w:hint="cs"/>
          <w:rtl/>
        </w:rPr>
        <w:t>בי' התוס' דפלו' ר"י ור"ש במקלקל בחבורה היא קבלה בידם או מברייתא או דכ"מ בגמ' בפסחים</w:t>
      </w:r>
      <w:bookmarkEnd w:id="3867"/>
      <w:bookmarkEnd w:id="3868"/>
      <w:bookmarkEnd w:id="3869"/>
    </w:p>
    <w:p w14:paraId="1B34B6D4" w14:textId="704CAB08" w:rsidR="002748A5" w:rsidRPr="003B63CB" w:rsidRDefault="002748A5" w:rsidP="00BC7DC8">
      <w:pPr>
        <w:pStyle w:val="a3"/>
        <w:rPr>
          <w:rtl/>
        </w:rPr>
      </w:pPr>
      <w:bookmarkStart w:id="3870" w:name="_Ref139749029"/>
      <w:bookmarkStart w:id="3871" w:name="_Ref140058131"/>
      <w:r>
        <w:rPr>
          <w:rFonts w:hint="cs"/>
          <w:rtl/>
        </w:rPr>
        <w:t>וכתבו</w:t>
      </w:r>
      <w:r w:rsidRPr="003B63CB">
        <w:rPr>
          <w:rFonts w:hint="cs"/>
          <w:rtl/>
        </w:rPr>
        <w:t xml:space="preserve"> </w:t>
      </w:r>
      <w:r w:rsidRPr="003B63CB">
        <w:rPr>
          <w:rStyle w:val="aff4"/>
          <w:rFonts w:hint="cs"/>
          <w:vanish/>
          <w:rtl/>
        </w:rPr>
        <w:t>-</w:t>
      </w:r>
      <w:r w:rsidRPr="003B63CB">
        <w:rPr>
          <w:rStyle w:val="aff4"/>
          <w:rFonts w:hint="cs"/>
          <w:rtl/>
        </w:rPr>
        <w:t>ה</w:t>
      </w:r>
      <w:r w:rsidRPr="003B63CB">
        <w:rPr>
          <w:rStyle w:val="aff4"/>
          <w:rFonts w:hint="cs"/>
          <w:vanish/>
          <w:rtl/>
        </w:rPr>
        <w:t xml:space="preserve">&lt;, </w:t>
      </w:r>
      <w:r w:rsidRPr="003B63CB">
        <w:rPr>
          <w:rStyle w:val="aff4"/>
          <w:vanish/>
          <w:rtl/>
        </w:rPr>
        <w:fldChar w:fldCharType="begin"/>
      </w:r>
      <w:r w:rsidRPr="003B63CB">
        <w:rPr>
          <w:rStyle w:val="aff4"/>
          <w:vanish/>
          <w:rtl/>
        </w:rPr>
        <w:instrText xml:space="preserve"> </w:instrText>
      </w:r>
      <w:r w:rsidRPr="003B63CB">
        <w:rPr>
          <w:rStyle w:val="aff4"/>
          <w:rFonts w:hint="cs"/>
          <w:vanish/>
        </w:rPr>
        <w:instrText>REF</w:instrText>
      </w:r>
      <w:r w:rsidRPr="003B63CB">
        <w:rPr>
          <w:rStyle w:val="aff4"/>
          <w:rFonts w:hint="cs"/>
          <w:vanish/>
          <w:rtl/>
        </w:rPr>
        <w:instrText xml:space="preserve"> _</w:instrText>
      </w:r>
      <w:r w:rsidRPr="003B63CB">
        <w:rPr>
          <w:rStyle w:val="aff4"/>
          <w:rFonts w:hint="cs"/>
          <w:vanish/>
        </w:rPr>
        <w:instrText>Ref140058131 \r \h</w:instrText>
      </w:r>
      <w:r w:rsidRPr="003B63CB">
        <w:rPr>
          <w:rStyle w:val="aff4"/>
          <w:vanish/>
          <w:rtl/>
        </w:rPr>
        <w:instrText xml:space="preserve">  \* </w:instrText>
      </w:r>
      <w:r w:rsidRPr="003B63CB">
        <w:rPr>
          <w:rStyle w:val="aff4"/>
          <w:vanish/>
        </w:rPr>
        <w:instrText>MERGEFORMAT</w:instrText>
      </w:r>
      <w:r w:rsidRPr="003B63CB">
        <w:rPr>
          <w:rStyle w:val="aff4"/>
          <w:vanish/>
          <w:rtl/>
        </w:rPr>
        <w:instrText xml:space="preserve"> </w:instrText>
      </w:r>
      <w:r w:rsidRPr="003B63CB">
        <w:rPr>
          <w:rStyle w:val="aff4"/>
          <w:vanish/>
          <w:rtl/>
        </w:rPr>
      </w:r>
      <w:r w:rsidRPr="003B63CB">
        <w:rPr>
          <w:rStyle w:val="aff4"/>
          <w:vanish/>
          <w:rtl/>
        </w:rPr>
        <w:fldChar w:fldCharType="separate"/>
      </w:r>
      <w:r w:rsidR="00D82181">
        <w:rPr>
          <w:rStyle w:val="aff4"/>
          <w:vanish/>
          <w:cs/>
        </w:rPr>
        <w:t>‎</w:t>
      </w:r>
      <w:r w:rsidR="00D82181">
        <w:rPr>
          <w:rStyle w:val="aff4"/>
          <w:vanish/>
          <w:rtl/>
        </w:rPr>
        <w:t>לג)</w:t>
      </w:r>
      <w:r w:rsidRPr="003B63CB">
        <w:rPr>
          <w:rStyle w:val="aff4"/>
          <w:vanish/>
          <w:rtl/>
        </w:rPr>
        <w:fldChar w:fldCharType="end"/>
      </w:r>
      <w:r w:rsidRPr="003B63CB">
        <w:rPr>
          <w:rStyle w:val="aff4"/>
          <w:rFonts w:hint="cs"/>
          <w:vanish/>
          <w:rtl/>
        </w:rPr>
        <w:t xml:space="preserve"> &gt;</w:t>
      </w:r>
      <w:r w:rsidRPr="003B63CB">
        <w:rPr>
          <w:rStyle w:val="aff4"/>
          <w:rFonts w:hint="cs"/>
          <w:rtl/>
        </w:rPr>
        <w:t>תוס'</w:t>
      </w:r>
      <w:r w:rsidRPr="003B63CB">
        <w:rPr>
          <w:rStyle w:val="aff4"/>
          <w:rFonts w:hint="cs"/>
          <w:vanish/>
          <w:rtl/>
        </w:rPr>
        <w:t>-</w:t>
      </w:r>
      <w:r w:rsidRPr="003B63CB">
        <w:rPr>
          <w:rFonts w:hint="cs"/>
          <w:rtl/>
        </w:rPr>
        <w:t xml:space="preserve"> </w:t>
      </w:r>
      <w:r w:rsidRPr="003B63CB">
        <w:rPr>
          <w:rStyle w:val="af2"/>
          <w:rFonts w:eastAsia="Guttman Hodes" w:hint="cs"/>
          <w:rtl/>
        </w:rPr>
        <w:t>(קו. סוד"ה מה לי)</w:t>
      </w:r>
      <w:r w:rsidRPr="003B63CB">
        <w:rPr>
          <w:rFonts w:hint="cs"/>
          <w:vanish/>
          <w:rtl/>
        </w:rPr>
        <w:t>=</w:t>
      </w:r>
      <w:r w:rsidRPr="003B63CB">
        <w:rPr>
          <w:rFonts w:hint="cs"/>
          <w:rtl/>
        </w:rPr>
        <w:t xml:space="preserve"> </w:t>
      </w:r>
      <w:r w:rsidRPr="003B63CB">
        <w:rPr>
          <w:rStyle w:val="aff4"/>
          <w:rFonts w:hint="cs"/>
          <w:vanish/>
          <w:rtl/>
        </w:rPr>
        <w:t>-</w:t>
      </w:r>
      <w:r w:rsidRPr="003B63CB">
        <w:rPr>
          <w:rStyle w:val="aff4"/>
          <w:rFonts w:hint="cs"/>
          <w:rtl/>
        </w:rPr>
        <w:t>ובסנהדרין</w:t>
      </w:r>
      <w:r w:rsidRPr="003B63CB">
        <w:rPr>
          <w:rStyle w:val="aff4"/>
          <w:rFonts w:hint="cs"/>
          <w:vanish/>
          <w:rtl/>
        </w:rPr>
        <w:t>-</w:t>
      </w:r>
      <w:r w:rsidRPr="003B63CB">
        <w:rPr>
          <w:rFonts w:hint="cs"/>
          <w:rtl/>
        </w:rPr>
        <w:t xml:space="preserve"> </w:t>
      </w:r>
      <w:r w:rsidRPr="003B63CB">
        <w:rPr>
          <w:rStyle w:val="af2"/>
          <w:rFonts w:eastAsia="Guttman Hodes" w:hint="cs"/>
          <w:rtl/>
        </w:rPr>
        <w:t>(פד: ד"ה מאן)</w:t>
      </w:r>
      <w:r w:rsidRPr="003B63CB">
        <w:rPr>
          <w:rFonts w:hint="cs"/>
          <w:rtl/>
        </w:rPr>
        <w:t xml:space="preserve"> דאף שאין מקור מפורש דנחלקו ר"י ור"ש במקלקל בחבורה, מ"מ קבלה היא בידם דנחלקו בזה, או שיש ברייתא כזו</w:t>
      </w:r>
      <w:bookmarkEnd w:id="3870"/>
      <w:r w:rsidRPr="003B63CB">
        <w:rPr>
          <w:rFonts w:hint="cs"/>
          <w:rtl/>
        </w:rPr>
        <w:t xml:space="preserve">, ועוד כתבו </w:t>
      </w:r>
      <w:r w:rsidRPr="003B63CB">
        <w:rPr>
          <w:rStyle w:val="aff4"/>
          <w:rFonts w:hint="cs"/>
          <w:vanish/>
          <w:rtl/>
        </w:rPr>
        <w:t>-</w:t>
      </w:r>
      <w:r w:rsidRPr="003B63CB">
        <w:rPr>
          <w:rStyle w:val="aff4"/>
          <w:rFonts w:hint="cs"/>
          <w:rtl/>
        </w:rPr>
        <w:t>התוס' בסנהדרין</w:t>
      </w:r>
      <w:r w:rsidRPr="003B63CB">
        <w:rPr>
          <w:rStyle w:val="aff4"/>
          <w:rFonts w:hint="cs"/>
          <w:vanish/>
          <w:rtl/>
        </w:rPr>
        <w:t>-</w:t>
      </w:r>
      <w:r w:rsidRPr="003B63CB">
        <w:rPr>
          <w:rFonts w:hint="cs"/>
          <w:rtl/>
        </w:rPr>
        <w:t xml:space="preserve"> דאפש"ל דהמקור למחלוקת במקלקל בחבורה, היא מהגמ' בפסחים, עיי"ש בדבריהם.</w:t>
      </w:r>
      <w:bookmarkEnd w:id="3871"/>
    </w:p>
    <w:p w14:paraId="5056A660" w14:textId="77777777" w:rsidR="002748A5" w:rsidRPr="00747170" w:rsidRDefault="002748A5" w:rsidP="00747170">
      <w:pPr>
        <w:pStyle w:val="a2"/>
      </w:pPr>
      <w:r w:rsidRPr="00747170">
        <w:rPr>
          <w:rtl/>
        </w:rPr>
        <w:t>וצ"ל דהך פלוגתא דמקלקל בחבורה קבלה היתה בידם.</w:t>
      </w:r>
    </w:p>
    <w:p w14:paraId="27399608" w14:textId="77777777" w:rsidR="002748A5" w:rsidRPr="003110A7" w:rsidRDefault="002748A5" w:rsidP="002748A5">
      <w:pPr>
        <w:pStyle w:val="afffffb"/>
        <w:rPr>
          <w:rtl/>
        </w:rPr>
      </w:pPr>
      <w:r w:rsidRPr="003110A7">
        <w:rPr>
          <w:rtl/>
        </w:rPr>
        <w:t>תוספות סנהדרין פ"ד ע"ב</w:t>
      </w:r>
      <w:r w:rsidRPr="003110A7">
        <w:rPr>
          <w:rFonts w:hint="cs"/>
          <w:rtl/>
        </w:rPr>
        <w:t xml:space="preserve"> ד"ה מאן</w:t>
      </w:r>
    </w:p>
    <w:p w14:paraId="673D6C9F" w14:textId="77777777" w:rsidR="002748A5" w:rsidRPr="00695703" w:rsidRDefault="002748A5" w:rsidP="00747170">
      <w:pPr>
        <w:pStyle w:val="afffff5"/>
        <w:rPr>
          <w:rtl/>
        </w:rPr>
      </w:pPr>
      <w:r w:rsidRPr="00695703">
        <w:rPr>
          <w:rtl/>
        </w:rPr>
        <w:t>ופלוגתא דמקלקל בחבורה דרבי יהודה ורבי שמעון קים ליה להש"ס או בקבלה או שמא ברייתא שנויה בשום מקום</w:t>
      </w:r>
      <w:r w:rsidRPr="00695703">
        <w:rPr>
          <w:rFonts w:hint="cs"/>
          <w:rtl/>
        </w:rPr>
        <w:t xml:space="preserve">. </w:t>
      </w:r>
      <w:r w:rsidRPr="00695703">
        <w:rPr>
          <w:rtl/>
        </w:rPr>
        <w:t>ועוד יש לדקדק פלוגתא דמקלקל בחבורה מדתנן בפסחים פר' אלו דברים (דף עב: ושם עג. ושם) ושאר כל הזבחים ששחטן לשם פסח אם אינן ראויין חייב ואמרי' בגמ' מאן תנא דשני ליה בין ראוין לשאינן ראוין ר"ש הוא ואמרינן התם לעיל מיניה דאיירי בטועה אלמא מחייבינן מתעסק ואמרינן בפ' ספק אכל (כריתות ד' יט:) הנח לתינוקות הואיל ומקלקל בחבורה חייב מתעסק נמי חייב ומדמחייב רבי שמעון מתעסק בחבורה שמע מינה</w:t>
      </w:r>
      <w:r w:rsidRPr="00695703">
        <w:rPr>
          <w:rFonts w:hint="cs"/>
          <w:rtl/>
        </w:rPr>
        <w:t xml:space="preserve"> </w:t>
      </w:r>
      <w:r w:rsidRPr="00695703">
        <w:rPr>
          <w:rtl/>
        </w:rPr>
        <w:t>מקלקל נמי מיחייב ור' יהודה יש לדקדק דפטר מדתנן בפ' כל הכלים (שבת ד' קכב:) ומייתי בסמוך דמחט של יד (מותר) ליטול בה את הקוץ דמשמע ליה להש"ס דאתיא ככולי עלמא כי ההיא דשלהי שבת (ד' קנז.) דאמרי' אבל מוקצה מחמת חסרון כיס אפילו ר' שמעון מודה דתנן כל הכלים ניטלין בשבת חוץ ממסר הגדול ויתד של מחרישה ומנא ליה דמודה ר' שמעון בה אלא משמע ליה דבסתמא דהתם מודו כ"ע היכא דלא משכח פלוגתא וכיון דר' יהודה מחייב במלאכה שאינה צריכה לגופה לא אפשר למישרי מחט של יד ליטול בה את הקוץ אי לאו משום דסבירא ליה מקלקל בחבורה פטור ואף על גב דאמרי' בפ' כירה (שם דף מב.) דשמואל במלאכה שאינה צריכה לגופה סבר לה כרבי יהודה ובפ' ספק אכל (כריתות דף יט:) מסיק ר"נ אליבא דשמואל הנח לתינוקות הואיל ומקלקל בחבורה חייב לאו משום דסבירא ליה הכי לשמואל אלא אליבא דמאן דמחייב קאמר ותדע דבשילהי האורג (שבת דף קז.) אמר שמואל כל פטורי דשבת פטור אבל אסור לבר מהני תלת דפטור ומותר המפיס מורסא ומנא לן דפטור ומותר דתנן מחט של יד (מותר) ליטול בה את הקוץ ומדשרי ליטול הקוץ ש"מ דקסבר מקלקל בחבורה פטור דמטעם מלאכה שאינה צריכה לגופה לא שרינא דהא סבירא ליה דחייב.</w:t>
      </w:r>
    </w:p>
    <w:p w14:paraId="3A7D070C" w14:textId="77777777" w:rsidR="002748A5" w:rsidRPr="003B63CB" w:rsidRDefault="002748A5" w:rsidP="002748A5">
      <w:pPr>
        <w:pStyle w:val="afff8"/>
        <w:rPr>
          <w:rtl/>
        </w:rPr>
        <w:sectPr w:rsidR="002748A5" w:rsidRPr="003B63CB" w:rsidSect="00CA28B3">
          <w:footerReference w:type="default" r:id="rId144"/>
          <w:type w:val="continuous"/>
          <w:pgSz w:w="11906" w:h="16838"/>
          <w:pgMar w:top="720" w:right="720" w:bottom="720" w:left="720" w:header="283" w:footer="283" w:gutter="0"/>
          <w:cols w:num="2" w:space="567"/>
          <w:bidi/>
          <w:rtlGutter/>
        </w:sectPr>
      </w:pPr>
    </w:p>
    <w:p w14:paraId="698437CA" w14:textId="77777777" w:rsidR="002748A5" w:rsidRPr="00126B3E" w:rsidRDefault="002748A5" w:rsidP="002748A5">
      <w:pPr>
        <w:pStyle w:val="a7"/>
        <w:rPr>
          <w:rtl/>
        </w:rPr>
        <w:sectPr w:rsidR="002748A5" w:rsidRPr="00126B3E" w:rsidSect="00773771">
          <w:footerReference w:type="default" r:id="rId145"/>
          <w:type w:val="continuous"/>
          <w:pgSz w:w="11906" w:h="16838"/>
          <w:pgMar w:top="720" w:right="720" w:bottom="720" w:left="720" w:header="283" w:footer="283" w:gutter="0"/>
          <w:cols w:num="2" w:space="567"/>
          <w:titlePg/>
          <w:bidi/>
          <w:rtlGutter/>
          <w:docGrid w:linePitch="299"/>
        </w:sectPr>
      </w:pPr>
    </w:p>
    <w:p w14:paraId="105D37D2" w14:textId="77777777" w:rsidR="002748A5" w:rsidRPr="00126B3E" w:rsidRDefault="008D6ECA" w:rsidP="002748A5">
      <w:pPr>
        <w:tabs>
          <w:tab w:val="left" w:pos="1163"/>
        </w:tabs>
        <w:spacing w:after="0" w:line="240" w:lineRule="auto"/>
        <w:jc w:val="center"/>
        <w:rPr>
          <w:rFonts w:eastAsiaTheme="minorHAnsi"/>
        </w:rPr>
      </w:pPr>
      <w:r>
        <w:rPr>
          <w:rFonts w:ascii="Guttman Hodes" w:eastAsia="Guttman Hodes" w:hAnsi="Guttman Hodes" w:cs="Guttman Hodes"/>
          <w:noProof/>
          <w:sz w:val="18"/>
          <w:szCs w:val="18"/>
        </w:rPr>
        <w:lastRenderedPageBreak/>
        <w:pict w14:anchorId="51D7920C">
          <v:shape id="_x0000_i7849" type="#_x0000_t75" style="width:404.55pt;height:6.8pt" o:hrpct="0" o:hralign="center" o:hr="t">
            <v:imagedata r:id="rId36" o:title="BD14845_"/>
          </v:shape>
        </w:pict>
      </w:r>
    </w:p>
    <w:p w14:paraId="63333B4B" w14:textId="77777777" w:rsidR="002748A5" w:rsidRPr="00126B3E" w:rsidRDefault="002748A5" w:rsidP="002748A5">
      <w:pPr>
        <w:pStyle w:val="affff5"/>
        <w:rPr>
          <w:rtl/>
        </w:rPr>
        <w:sectPr w:rsidR="002748A5" w:rsidRPr="00126B3E">
          <w:pgSz w:w="11906" w:h="16838"/>
          <w:pgMar w:top="720" w:right="720" w:bottom="720" w:left="720" w:header="283" w:footer="283" w:gutter="0"/>
          <w:cols w:space="720"/>
          <w:bidi/>
          <w:rtlGutter/>
        </w:sectPr>
      </w:pPr>
      <w:bookmarkStart w:id="3872" w:name="_Toc12615969"/>
      <w:bookmarkStart w:id="3873" w:name="_Toc12791846"/>
      <w:bookmarkStart w:id="3874" w:name="_Toc12826328"/>
      <w:bookmarkStart w:id="3875" w:name="_Toc12872117"/>
      <w:bookmarkStart w:id="3876" w:name="_Toc12895423"/>
      <w:bookmarkStart w:id="3877" w:name="_Toc12896308"/>
      <w:bookmarkStart w:id="3878" w:name="_Toc12896468"/>
      <w:bookmarkStart w:id="3879" w:name="_Toc13134851"/>
      <w:bookmarkStart w:id="3880" w:name="_Toc13244712"/>
      <w:bookmarkStart w:id="3881" w:name="_Toc13396689"/>
      <w:bookmarkStart w:id="3882" w:name="_Toc13418709"/>
      <w:bookmarkStart w:id="3883" w:name="_Toc13516545"/>
      <w:bookmarkStart w:id="3884" w:name="_Toc13773316"/>
      <w:bookmarkStart w:id="3885" w:name="_Toc13952623"/>
      <w:bookmarkStart w:id="3886" w:name="_Toc14089996"/>
      <w:bookmarkStart w:id="3887" w:name="_Toc14109796"/>
      <w:bookmarkStart w:id="3888" w:name="_Toc14120171"/>
      <w:bookmarkStart w:id="3889" w:name="_Toc14122349"/>
      <w:bookmarkStart w:id="3890" w:name="_Toc14196329"/>
      <w:bookmarkStart w:id="3891" w:name="_Toc14208879"/>
      <w:bookmarkStart w:id="3892" w:name="_Toc14248986"/>
      <w:bookmarkStart w:id="3893" w:name="_Toc14257527"/>
      <w:bookmarkStart w:id="3894" w:name="_Toc14973656"/>
      <w:bookmarkStart w:id="3895" w:name="_Toc14993508"/>
      <w:bookmarkStart w:id="3896" w:name="_Toc15035035"/>
      <w:bookmarkStart w:id="3897" w:name="_Toc15057778"/>
      <w:bookmarkStart w:id="3898" w:name="_Toc15163229"/>
      <w:bookmarkStart w:id="3899" w:name="_Toc15227692"/>
      <w:bookmarkStart w:id="3900" w:name="_Toc15227859"/>
      <w:bookmarkStart w:id="3901" w:name="_Toc16679289"/>
      <w:bookmarkStart w:id="3902" w:name="_Toc16850495"/>
      <w:bookmarkStart w:id="3903" w:name="_Toc17624877"/>
      <w:bookmarkStart w:id="3904" w:name="_Toc17889828"/>
      <w:bookmarkStart w:id="3905" w:name="_Toc17975450"/>
      <w:bookmarkStart w:id="3906" w:name="_Toc17984138"/>
      <w:bookmarkStart w:id="3907" w:name="_Toc18228263"/>
      <w:bookmarkStart w:id="3908" w:name="_Toc18250807"/>
      <w:bookmarkStart w:id="3909" w:name="_Toc18266264"/>
      <w:bookmarkStart w:id="3910" w:name="_Toc18269175"/>
      <w:bookmarkStart w:id="3911" w:name="_Toc18323875"/>
      <w:bookmarkStart w:id="3912" w:name="_Toc18397470"/>
      <w:bookmarkStart w:id="3913" w:name="_Toc18404193"/>
      <w:bookmarkStart w:id="3914" w:name="_Toc18481614"/>
      <w:bookmarkStart w:id="3915" w:name="_Toc18946799"/>
      <w:bookmarkStart w:id="3916" w:name="_Toc19026262"/>
      <w:bookmarkStart w:id="3917" w:name="_Toc19029739"/>
      <w:bookmarkStart w:id="3918" w:name="_Toc19030123"/>
      <w:bookmarkStart w:id="3919" w:name="_Toc19082184"/>
      <w:bookmarkStart w:id="3920" w:name="_Toc19092744"/>
      <w:bookmarkStart w:id="3921" w:name="_Toc31017244"/>
      <w:bookmarkStart w:id="3922" w:name="_Toc31092798"/>
      <w:bookmarkStart w:id="3923" w:name="_Toc31194784"/>
      <w:bookmarkStart w:id="3924" w:name="_Toc31194916"/>
      <w:bookmarkStart w:id="3925" w:name="_Toc31277963"/>
      <w:bookmarkStart w:id="3926" w:name="_Toc31298678"/>
      <w:bookmarkStart w:id="3927" w:name="_Toc31300855"/>
      <w:bookmarkStart w:id="3928" w:name="_Toc32919199"/>
      <w:bookmarkStart w:id="3929" w:name="_Toc49977868"/>
      <w:bookmarkStart w:id="3930" w:name="_Toc50120242"/>
      <w:bookmarkStart w:id="3931" w:name="_Toc50282708"/>
      <w:bookmarkStart w:id="3932" w:name="_Toc52907768"/>
      <w:bookmarkStart w:id="3933" w:name="_Toc53402197"/>
      <w:bookmarkStart w:id="3934" w:name="_Toc53941228"/>
      <w:bookmarkStart w:id="3935" w:name="_Toc54000514"/>
      <w:bookmarkStart w:id="3936" w:name="_Toc54000905"/>
      <w:bookmarkStart w:id="3937" w:name="_Toc530411086"/>
      <w:bookmarkStart w:id="3938" w:name="_Toc530476223"/>
      <w:bookmarkStart w:id="3939" w:name="_Toc530477171"/>
      <w:bookmarkStart w:id="3940" w:name="_Toc530503013"/>
      <w:bookmarkStart w:id="3941" w:name="_Toc530504519"/>
      <w:bookmarkStart w:id="3942" w:name="_Toc530514400"/>
      <w:bookmarkStart w:id="3943" w:name="_Toc530514503"/>
      <w:bookmarkStart w:id="3944" w:name="_Toc530521945"/>
      <w:bookmarkStart w:id="3945" w:name="_Toc530525001"/>
      <w:bookmarkStart w:id="3946" w:name="_Toc530551148"/>
      <w:bookmarkStart w:id="3947" w:name="_Toc531629720"/>
      <w:bookmarkStart w:id="3948" w:name="_Toc531638992"/>
      <w:bookmarkStart w:id="3949" w:name="_Toc531894164"/>
      <w:bookmarkStart w:id="3950" w:name="_Toc531894189"/>
      <w:bookmarkStart w:id="3951" w:name="_Toc532203009"/>
      <w:bookmarkStart w:id="3952" w:name="_Toc532302176"/>
      <w:bookmarkStart w:id="3953" w:name="_Toc532453978"/>
      <w:bookmarkStart w:id="3954" w:name="_Toc532454012"/>
      <w:bookmarkStart w:id="3955" w:name="_Toc532550671"/>
      <w:bookmarkStart w:id="3956" w:name="_Toc532550737"/>
      <w:bookmarkStart w:id="3957" w:name="_Toc532810066"/>
      <w:bookmarkStart w:id="3958" w:name="_Toc533413322"/>
      <w:bookmarkStart w:id="3959" w:name="_Toc533441216"/>
      <w:bookmarkStart w:id="3960" w:name="_Toc533441262"/>
      <w:bookmarkStart w:id="3961" w:name="_Toc533490184"/>
      <w:bookmarkStart w:id="3962" w:name="_Toc533506162"/>
      <w:bookmarkStart w:id="3963" w:name="_Toc533544409"/>
      <w:bookmarkStart w:id="3964" w:name="_Toc533544606"/>
      <w:bookmarkStart w:id="3965" w:name="_Toc536787003"/>
      <w:bookmarkStart w:id="3966" w:name="_Toc519050"/>
      <w:bookmarkStart w:id="3967" w:name="_Toc725029"/>
      <w:bookmarkStart w:id="3968" w:name="_Toc773238"/>
      <w:bookmarkStart w:id="3969" w:name="_Toc862084"/>
      <w:bookmarkStart w:id="3970" w:name="_Toc890757"/>
      <w:bookmarkStart w:id="3971" w:name="_Toc903166"/>
      <w:bookmarkStart w:id="3972" w:name="_Toc955103"/>
      <w:bookmarkStart w:id="3973" w:name="_Toc974546"/>
      <w:bookmarkStart w:id="3974" w:name="_Toc984462"/>
      <w:bookmarkStart w:id="3975" w:name="_Toc1056596"/>
      <w:bookmarkStart w:id="3976" w:name="_Toc1109754"/>
      <w:bookmarkStart w:id="3977" w:name="_Toc1128733"/>
      <w:bookmarkStart w:id="3978" w:name="_Toc1250119"/>
      <w:bookmarkStart w:id="3979" w:name="_Toc1258123"/>
      <w:bookmarkStart w:id="3980" w:name="_Toc65142877"/>
      <w:bookmarkStart w:id="3981" w:name="_Toc65530018"/>
      <w:bookmarkStart w:id="3982" w:name="_Toc65748253"/>
      <w:bookmarkStart w:id="3983" w:name="_Toc65788191"/>
      <w:bookmarkStart w:id="3984" w:name="_Toc65839239"/>
      <w:bookmarkStart w:id="3985" w:name="_Toc66048877"/>
      <w:bookmarkStart w:id="3986" w:name="_Toc66055830"/>
      <w:bookmarkStart w:id="3987" w:name="_Toc66085950"/>
      <w:bookmarkStart w:id="3988" w:name="_Toc66110523"/>
      <w:bookmarkStart w:id="3989" w:name="_Toc66123386"/>
      <w:bookmarkStart w:id="3990" w:name="_Toc66143834"/>
      <w:bookmarkStart w:id="3991" w:name="_Toc66171997"/>
      <w:bookmarkStart w:id="3992" w:name="_Toc66183237"/>
      <w:bookmarkStart w:id="3993" w:name="_Toc66186020"/>
      <w:bookmarkStart w:id="3994" w:name="_Toc66193480"/>
      <w:bookmarkStart w:id="3995" w:name="_Toc66355232"/>
      <w:bookmarkStart w:id="3996" w:name="_Toc66355940"/>
      <w:bookmarkStart w:id="3997" w:name="_Toc66356066"/>
      <w:bookmarkStart w:id="3998" w:name="_Toc66356314"/>
      <w:bookmarkStart w:id="3999" w:name="_Toc66356318"/>
      <w:bookmarkStart w:id="4000" w:name="_Toc66356328"/>
      <w:bookmarkStart w:id="4001" w:name="_Toc66356655"/>
      <w:bookmarkStart w:id="4002" w:name="_Toc66356691"/>
      <w:bookmarkStart w:id="4003" w:name="_Toc66356794"/>
      <w:bookmarkStart w:id="4004" w:name="_Toc66378017"/>
      <w:bookmarkStart w:id="4005" w:name="_Toc85571849"/>
      <w:bookmarkStart w:id="4006" w:name="_Toc121778034"/>
      <w:bookmarkStart w:id="4007" w:name="_Toc121778277"/>
      <w:bookmarkStart w:id="4008" w:name="_Toc121778297"/>
      <w:bookmarkStart w:id="4009" w:name="_Toc121778317"/>
      <w:bookmarkStart w:id="4010" w:name="_Toc121821496"/>
      <w:bookmarkStart w:id="4011" w:name="_Toc121821516"/>
      <w:bookmarkStart w:id="4012" w:name="_Toc121821536"/>
      <w:bookmarkStart w:id="4013" w:name="_Toc121821556"/>
      <w:bookmarkStart w:id="4014" w:name="_Toc121822222"/>
      <w:bookmarkStart w:id="4015" w:name="_Toc121936283"/>
      <w:bookmarkStart w:id="4016" w:name="_Toc121936400"/>
      <w:bookmarkStart w:id="4017" w:name="_Toc122090384"/>
      <w:bookmarkStart w:id="4018" w:name="_Toc134347714"/>
      <w:bookmarkStart w:id="4019" w:name="_Toc140099772"/>
      <w:bookmarkStart w:id="4020" w:name="_Toc140144314"/>
      <w:bookmarkStart w:id="4021" w:name="_Toc140144545"/>
      <w:r w:rsidRPr="00126B3E">
        <w:rPr>
          <w:rFonts w:hint="cs"/>
          <w:rtl/>
        </w:rPr>
        <w:t>~</w:t>
      </w:r>
      <w:r w:rsidRPr="00126B3E">
        <w:rPr>
          <w:rFonts w:hint="cs"/>
          <w:noProof/>
          <w:rtl/>
        </w:rPr>
        <w:t>~~~~~~</w:t>
      </w:r>
      <w:r w:rsidRPr="00126B3E">
        <w:rPr>
          <w:rFonts w:hint="cs"/>
          <w:rtl/>
        </w:rPr>
        <w:t xml:space="preserve"> ביאורי ראשי הישיבות</w:t>
      </w:r>
      <w:bookmarkEnd w:id="3872"/>
      <w:bookmarkEnd w:id="3873"/>
      <w:bookmarkEnd w:id="3874"/>
      <w:bookmarkEnd w:id="3875"/>
      <w:bookmarkEnd w:id="3876"/>
      <w:bookmarkEnd w:id="3877"/>
      <w:bookmarkEnd w:id="3878"/>
      <w:bookmarkEnd w:id="3879"/>
      <w:bookmarkEnd w:id="3880"/>
      <w:bookmarkEnd w:id="3881"/>
      <w:bookmarkEnd w:id="3882"/>
      <w:bookmarkEnd w:id="3883"/>
      <w:bookmarkEnd w:id="3884"/>
      <w:bookmarkEnd w:id="3885"/>
      <w:bookmarkEnd w:id="3886"/>
      <w:bookmarkEnd w:id="3887"/>
      <w:bookmarkEnd w:id="3888"/>
      <w:bookmarkEnd w:id="3889"/>
      <w:bookmarkEnd w:id="3890"/>
      <w:bookmarkEnd w:id="3891"/>
      <w:bookmarkEnd w:id="3892"/>
      <w:bookmarkEnd w:id="3893"/>
      <w:bookmarkEnd w:id="3894"/>
      <w:bookmarkEnd w:id="3895"/>
      <w:bookmarkEnd w:id="3896"/>
      <w:bookmarkEnd w:id="3897"/>
      <w:bookmarkEnd w:id="3898"/>
      <w:bookmarkEnd w:id="3899"/>
      <w:bookmarkEnd w:id="3900"/>
      <w:bookmarkEnd w:id="3901"/>
      <w:bookmarkEnd w:id="3902"/>
      <w:bookmarkEnd w:id="3903"/>
      <w:bookmarkEnd w:id="3904"/>
      <w:bookmarkEnd w:id="3905"/>
      <w:bookmarkEnd w:id="3906"/>
      <w:bookmarkEnd w:id="3907"/>
      <w:bookmarkEnd w:id="3908"/>
      <w:bookmarkEnd w:id="3909"/>
      <w:bookmarkEnd w:id="3910"/>
      <w:bookmarkEnd w:id="3911"/>
      <w:bookmarkEnd w:id="3912"/>
      <w:bookmarkEnd w:id="3913"/>
      <w:bookmarkEnd w:id="3914"/>
      <w:bookmarkEnd w:id="3915"/>
      <w:bookmarkEnd w:id="3916"/>
      <w:bookmarkEnd w:id="3917"/>
      <w:bookmarkEnd w:id="3918"/>
      <w:bookmarkEnd w:id="3919"/>
      <w:bookmarkEnd w:id="3920"/>
      <w:bookmarkEnd w:id="3921"/>
      <w:bookmarkEnd w:id="3922"/>
      <w:bookmarkEnd w:id="3923"/>
      <w:bookmarkEnd w:id="3924"/>
      <w:bookmarkEnd w:id="3925"/>
      <w:bookmarkEnd w:id="3926"/>
      <w:bookmarkEnd w:id="3927"/>
      <w:bookmarkEnd w:id="3928"/>
      <w:bookmarkEnd w:id="3929"/>
      <w:bookmarkEnd w:id="3930"/>
      <w:bookmarkEnd w:id="3931"/>
      <w:bookmarkEnd w:id="3932"/>
      <w:bookmarkEnd w:id="3933"/>
      <w:bookmarkEnd w:id="3934"/>
      <w:bookmarkEnd w:id="3935"/>
      <w:bookmarkEnd w:id="3936"/>
      <w:bookmarkEnd w:id="3937"/>
      <w:bookmarkEnd w:id="3938"/>
      <w:bookmarkEnd w:id="3939"/>
      <w:bookmarkEnd w:id="3940"/>
      <w:bookmarkEnd w:id="3941"/>
      <w:bookmarkEnd w:id="3942"/>
      <w:bookmarkEnd w:id="3943"/>
      <w:bookmarkEnd w:id="3944"/>
      <w:bookmarkEnd w:id="3945"/>
      <w:bookmarkEnd w:id="3946"/>
      <w:bookmarkEnd w:id="3947"/>
      <w:bookmarkEnd w:id="3948"/>
      <w:bookmarkEnd w:id="3949"/>
      <w:bookmarkEnd w:id="3950"/>
      <w:bookmarkEnd w:id="3951"/>
      <w:bookmarkEnd w:id="3952"/>
      <w:bookmarkEnd w:id="3953"/>
      <w:bookmarkEnd w:id="3954"/>
      <w:bookmarkEnd w:id="3955"/>
      <w:bookmarkEnd w:id="3956"/>
      <w:bookmarkEnd w:id="3957"/>
      <w:bookmarkEnd w:id="3958"/>
      <w:bookmarkEnd w:id="3959"/>
      <w:bookmarkEnd w:id="3960"/>
      <w:bookmarkEnd w:id="3961"/>
      <w:bookmarkEnd w:id="3962"/>
      <w:bookmarkEnd w:id="3963"/>
      <w:bookmarkEnd w:id="3964"/>
      <w:bookmarkEnd w:id="3965"/>
      <w:bookmarkEnd w:id="3966"/>
      <w:bookmarkEnd w:id="3967"/>
      <w:bookmarkEnd w:id="3968"/>
      <w:bookmarkEnd w:id="3969"/>
      <w:bookmarkEnd w:id="3970"/>
      <w:bookmarkEnd w:id="3971"/>
      <w:bookmarkEnd w:id="3972"/>
      <w:bookmarkEnd w:id="3973"/>
      <w:bookmarkEnd w:id="3974"/>
      <w:bookmarkEnd w:id="3975"/>
      <w:bookmarkEnd w:id="3976"/>
      <w:bookmarkEnd w:id="3977"/>
      <w:bookmarkEnd w:id="3978"/>
      <w:bookmarkEnd w:id="3979"/>
      <w:bookmarkEnd w:id="3980"/>
      <w:bookmarkEnd w:id="3981"/>
      <w:bookmarkEnd w:id="3982"/>
      <w:r w:rsidRPr="00126B3E">
        <w:rPr>
          <w:rFonts w:hint="cs"/>
          <w:rtl/>
        </w:rPr>
        <w:t xml:space="preserve"> ~</w:t>
      </w:r>
      <w:r w:rsidRPr="00126B3E">
        <w:rPr>
          <w:rFonts w:hint="cs"/>
          <w:noProof/>
          <w:rtl/>
        </w:rPr>
        <w:t>~~~~</w:t>
      </w:r>
      <w:r w:rsidRPr="00126B3E">
        <w:rPr>
          <w:rFonts w:hint="cs"/>
          <w:rtl/>
        </w:rPr>
        <w:t>~~</w:t>
      </w:r>
      <w:bookmarkEnd w:id="3983"/>
      <w:bookmarkEnd w:id="3984"/>
      <w:bookmarkEnd w:id="3985"/>
      <w:bookmarkEnd w:id="3986"/>
      <w:bookmarkEnd w:id="3987"/>
      <w:bookmarkEnd w:id="3988"/>
      <w:bookmarkEnd w:id="3989"/>
      <w:bookmarkEnd w:id="3990"/>
      <w:bookmarkEnd w:id="3991"/>
      <w:bookmarkEnd w:id="3992"/>
      <w:bookmarkEnd w:id="3993"/>
      <w:bookmarkEnd w:id="3994"/>
      <w:bookmarkEnd w:id="3995"/>
      <w:bookmarkEnd w:id="3996"/>
      <w:bookmarkEnd w:id="3997"/>
      <w:bookmarkEnd w:id="3998"/>
      <w:bookmarkEnd w:id="3999"/>
      <w:bookmarkEnd w:id="4000"/>
      <w:bookmarkEnd w:id="4001"/>
      <w:bookmarkEnd w:id="4002"/>
      <w:bookmarkEnd w:id="4003"/>
      <w:bookmarkEnd w:id="4004"/>
      <w:bookmarkEnd w:id="4005"/>
      <w:bookmarkEnd w:id="4006"/>
      <w:bookmarkEnd w:id="4007"/>
      <w:bookmarkEnd w:id="4008"/>
      <w:bookmarkEnd w:id="4009"/>
      <w:bookmarkEnd w:id="4010"/>
      <w:bookmarkEnd w:id="4011"/>
      <w:bookmarkEnd w:id="4012"/>
      <w:bookmarkEnd w:id="4013"/>
      <w:bookmarkEnd w:id="4014"/>
      <w:bookmarkEnd w:id="4015"/>
      <w:bookmarkEnd w:id="4016"/>
      <w:bookmarkEnd w:id="4017"/>
      <w:bookmarkEnd w:id="4018"/>
      <w:bookmarkEnd w:id="4019"/>
      <w:bookmarkEnd w:id="4020"/>
      <w:bookmarkEnd w:id="4021"/>
    </w:p>
    <w:p w14:paraId="3F769B71" w14:textId="77777777" w:rsidR="002748A5" w:rsidRDefault="002748A5" w:rsidP="002748A5">
      <w:pPr>
        <w:pStyle w:val="affff5"/>
        <w:rPr>
          <w:rtl/>
        </w:rPr>
      </w:pPr>
      <w:bookmarkStart w:id="4022" w:name="_Toc134347715"/>
      <w:bookmarkStart w:id="4023" w:name="_Toc140099773"/>
      <w:bookmarkStart w:id="4024" w:name="_Toc140144315"/>
      <w:bookmarkStart w:id="4025" w:name="_Toc140144546"/>
      <w:r>
        <w:rPr>
          <w:rFonts w:hint="cs"/>
          <w:rtl/>
        </w:rPr>
        <w:t>בבי</w:t>
      </w:r>
      <w:bookmarkEnd w:id="4022"/>
      <w:bookmarkEnd w:id="4023"/>
      <w:r>
        <w:rPr>
          <w:rFonts w:hint="cs"/>
          <w:rtl/>
        </w:rPr>
        <w:t>' התוס' בצורך המלאכות במשכן</w:t>
      </w:r>
      <w:bookmarkEnd w:id="4024"/>
      <w:bookmarkEnd w:id="4025"/>
    </w:p>
    <w:p w14:paraId="443606CE" w14:textId="77777777" w:rsidR="002748A5" w:rsidRDefault="002748A5" w:rsidP="002748A5">
      <w:pPr>
        <w:pStyle w:val="1"/>
        <w:rPr>
          <w:rtl/>
        </w:rPr>
      </w:pPr>
      <w:bookmarkStart w:id="4026" w:name="_Toc140144316"/>
      <w:bookmarkStart w:id="4027" w:name="_Toc140144547"/>
      <w:bookmarkStart w:id="4028" w:name="_Toc140099774"/>
      <w:r>
        <w:rPr>
          <w:rFonts w:hint="cs"/>
          <w:rtl/>
        </w:rPr>
        <w:t>בי' הגרי"ג דשוחט צריך תיקון בא' מאברי הגוף כאילים מאדמים</w:t>
      </w:r>
      <w:bookmarkEnd w:id="4026"/>
      <w:bookmarkEnd w:id="4027"/>
    </w:p>
    <w:p w14:paraId="67AFF4FC" w14:textId="77777777" w:rsidR="002748A5" w:rsidRPr="00C12F78" w:rsidRDefault="002748A5" w:rsidP="002748A5">
      <w:pPr>
        <w:pStyle w:val="afffff7"/>
        <w:rPr>
          <w:rtl/>
        </w:rPr>
      </w:pPr>
      <w:bookmarkStart w:id="4029" w:name="_Toc140144414"/>
      <w:bookmarkStart w:id="4030" w:name="_Toc140144890"/>
      <w:bookmarkStart w:id="4031" w:name="_Toc163506005"/>
      <w:r w:rsidRPr="00C12F78">
        <w:rPr>
          <w:rFonts w:hint="cs"/>
          <w:rtl/>
        </w:rPr>
        <w:t>שיעורי רבי גרשון כתובות ה' ע"ב אות נ"ז</w:t>
      </w:r>
      <w:bookmarkEnd w:id="4029"/>
      <w:bookmarkEnd w:id="4031"/>
      <w:r w:rsidRPr="00C12F78">
        <w:rPr>
          <w:rFonts w:hint="cs"/>
          <w:vanish/>
          <w:rtl/>
        </w:rPr>
        <w:t xml:space="preserve"> </w:t>
      </w:r>
      <w:r w:rsidRPr="00C12F78">
        <w:rPr>
          <w:vanish/>
          <w:rtl/>
        </w:rPr>
        <w:t>(ט)</w:t>
      </w:r>
      <w:bookmarkEnd w:id="4030"/>
    </w:p>
    <w:p w14:paraId="645653D1" w14:textId="77777777" w:rsidR="002748A5" w:rsidRDefault="002748A5" w:rsidP="002748A5">
      <w:pPr>
        <w:pStyle w:val="a7"/>
        <w:rPr>
          <w:rtl/>
        </w:rPr>
      </w:pPr>
      <w:bookmarkStart w:id="4032" w:name="_Toc140144317"/>
      <w:bookmarkStart w:id="4033" w:name="_Toc140144548"/>
      <w:r>
        <w:rPr>
          <w:rFonts w:hint="cs"/>
          <w:rtl/>
        </w:rPr>
        <w:t>קו' שיעורי הגרי"ג דבשוחט הצורך במשכן בעורות האילים ובחובל המלאכה בדם ול"ד למשכן</w:t>
      </w:r>
      <w:bookmarkEnd w:id="4032"/>
      <w:bookmarkEnd w:id="4033"/>
    </w:p>
    <w:p w14:paraId="5EDA64D2" w14:textId="4711F108" w:rsidR="002748A5" w:rsidRDefault="002748A5" w:rsidP="00BC7DC8">
      <w:pPr>
        <w:pStyle w:val="a3"/>
      </w:pPr>
      <w:bookmarkStart w:id="4034" w:name="_Ref140139835"/>
      <w:r w:rsidRPr="003B63CB">
        <w:rPr>
          <w:rFonts w:hint="cs"/>
          <w:rtl/>
        </w:rPr>
        <w:t xml:space="preserve">במ"ש </w:t>
      </w:r>
      <w:r w:rsidRPr="003B63CB">
        <w:rPr>
          <w:rStyle w:val="aff4"/>
          <w:rFonts w:hint="cs"/>
          <w:vanish/>
          <w:rtl/>
        </w:rPr>
        <w:t>-</w:t>
      </w:r>
      <w:r w:rsidRPr="003B63CB">
        <w:rPr>
          <w:rStyle w:val="aff4"/>
          <w:rFonts w:hint="cs"/>
          <w:rtl/>
        </w:rPr>
        <w:t>התוס'</w:t>
      </w:r>
      <w:r w:rsidRPr="003B63CB">
        <w:rPr>
          <w:rStyle w:val="aff4"/>
          <w:rFonts w:hint="cs"/>
          <w:vanish/>
          <w:rtl/>
        </w:rPr>
        <w:t>-</w:t>
      </w:r>
      <w:r w:rsidRPr="003B63CB">
        <w:rPr>
          <w:rFonts w:hint="cs"/>
          <w:rtl/>
        </w:rPr>
        <w:t xml:space="preserve"> </w:t>
      </w:r>
      <w:r w:rsidRPr="003B63C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Ref140072938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ב)</w:t>
      </w:r>
      <w:r>
        <w:rPr>
          <w:rStyle w:val="af2"/>
          <w:rFonts w:eastAsia="Guttman Hodes"/>
          <w:rtl/>
        </w:rPr>
        <w:fldChar w:fldCharType="end"/>
      </w:r>
      <w:r w:rsidRPr="003B63CB">
        <w:rPr>
          <w:rFonts w:hint="cs"/>
          <w:rtl/>
        </w:rPr>
        <w:t xml:space="preserve"> דמלאכה שאינה צריכה לגופה היינו כשא"צ את הצורך שהיה במשכן, </w:t>
      </w:r>
      <w:r>
        <w:rPr>
          <w:rFonts w:hint="cs"/>
          <w:rtl/>
        </w:rPr>
        <w:t>הביא</w:t>
      </w:r>
      <w:r w:rsidRPr="003B63CB">
        <w:rPr>
          <w:rFonts w:hint="cs"/>
          <w:rtl/>
        </w:rPr>
        <w:t xml:space="preserve"> </w:t>
      </w:r>
      <w:r w:rsidRPr="003B63CB">
        <w:rPr>
          <w:rStyle w:val="aff4"/>
          <w:rFonts w:hint="cs"/>
          <w:vanish/>
          <w:rtl/>
        </w:rPr>
        <w:t>-</w:t>
      </w:r>
      <w:r>
        <w:rPr>
          <w:rStyle w:val="aff4"/>
          <w:rFonts w:hint="cs"/>
          <w:rtl/>
        </w:rPr>
        <w:t>ב</w:t>
      </w:r>
      <w:r w:rsidRPr="006A6191">
        <w:rPr>
          <w:rStyle w:val="aff4"/>
          <w:rFonts w:hint="cs"/>
          <w:vanish/>
          <w:rtl/>
        </w:rPr>
        <w:t xml:space="preserve">&lt;, </w:t>
      </w:r>
      <w:r w:rsidRPr="006A6191">
        <w:rPr>
          <w:rStyle w:val="aff4"/>
          <w:vanish/>
          <w:rtl/>
        </w:rPr>
        <w:fldChar w:fldCharType="begin"/>
      </w:r>
      <w:r w:rsidRPr="006A6191">
        <w:rPr>
          <w:rStyle w:val="aff4"/>
          <w:vanish/>
          <w:rtl/>
        </w:rPr>
        <w:instrText xml:space="preserve"> </w:instrText>
      </w:r>
      <w:r w:rsidRPr="006A6191">
        <w:rPr>
          <w:rStyle w:val="aff4"/>
          <w:rFonts w:hint="cs"/>
          <w:vanish/>
        </w:rPr>
        <w:instrText>REF</w:instrText>
      </w:r>
      <w:r w:rsidRPr="006A6191">
        <w:rPr>
          <w:rStyle w:val="aff4"/>
          <w:rFonts w:hint="cs"/>
          <w:vanish/>
          <w:rtl/>
        </w:rPr>
        <w:instrText xml:space="preserve"> _</w:instrText>
      </w:r>
      <w:r w:rsidRPr="006A6191">
        <w:rPr>
          <w:rStyle w:val="aff4"/>
          <w:rFonts w:hint="cs"/>
          <w:vanish/>
        </w:rPr>
        <w:instrText>Ref140139835 \r \h</w:instrText>
      </w:r>
      <w:r w:rsidRPr="006A6191">
        <w:rPr>
          <w:rStyle w:val="aff4"/>
          <w:vanish/>
          <w:rtl/>
        </w:rPr>
        <w:instrText xml:space="preserve"> </w:instrText>
      </w:r>
      <w:r>
        <w:rPr>
          <w:rStyle w:val="aff4"/>
          <w:vanish/>
          <w:rtl/>
        </w:rPr>
        <w:instrText xml:space="preserve"> \* </w:instrText>
      </w:r>
      <w:r>
        <w:rPr>
          <w:rStyle w:val="aff4"/>
          <w:vanish/>
        </w:rPr>
        <w:instrText>MERGEFORMAT</w:instrText>
      </w:r>
      <w:r>
        <w:rPr>
          <w:rStyle w:val="aff4"/>
          <w:vanish/>
          <w:rtl/>
        </w:rPr>
        <w:instrText xml:space="preserve"> </w:instrText>
      </w:r>
      <w:r w:rsidRPr="006A6191">
        <w:rPr>
          <w:rStyle w:val="aff4"/>
          <w:vanish/>
          <w:rtl/>
        </w:rPr>
      </w:r>
      <w:r w:rsidRPr="006A6191">
        <w:rPr>
          <w:rStyle w:val="aff4"/>
          <w:vanish/>
          <w:rtl/>
        </w:rPr>
        <w:fldChar w:fldCharType="separate"/>
      </w:r>
      <w:r w:rsidR="00D82181">
        <w:rPr>
          <w:rStyle w:val="aff4"/>
          <w:vanish/>
          <w:cs/>
        </w:rPr>
        <w:t>‎</w:t>
      </w:r>
      <w:r w:rsidR="00D82181">
        <w:rPr>
          <w:rStyle w:val="aff4"/>
          <w:vanish/>
          <w:rtl/>
        </w:rPr>
        <w:t>לד)</w:t>
      </w:r>
      <w:r w:rsidRPr="006A6191">
        <w:rPr>
          <w:rStyle w:val="aff4"/>
          <w:vanish/>
          <w:rtl/>
        </w:rPr>
        <w:fldChar w:fldCharType="end"/>
      </w:r>
      <w:r w:rsidRPr="006A6191">
        <w:rPr>
          <w:rStyle w:val="aff4"/>
          <w:rFonts w:hint="cs"/>
          <w:vanish/>
          <w:rtl/>
        </w:rPr>
        <w:t xml:space="preserve"> &gt;</w:t>
      </w:r>
      <w:r>
        <w:rPr>
          <w:rStyle w:val="aff4"/>
          <w:rFonts w:hint="cs"/>
          <w:rtl/>
        </w:rPr>
        <w:t>שיעורי רבי גרשון בכתובות</w:t>
      </w:r>
      <w:r w:rsidRPr="003B63CB">
        <w:rPr>
          <w:rStyle w:val="aff4"/>
          <w:rFonts w:hint="cs"/>
          <w:vanish/>
          <w:rtl/>
        </w:rPr>
        <w:t>-</w:t>
      </w:r>
      <w:r w:rsidRPr="003B63CB">
        <w:rPr>
          <w:rFonts w:hint="cs"/>
          <w:rtl/>
        </w:rPr>
        <w:t xml:space="preserve"> </w:t>
      </w:r>
      <w:r w:rsidRPr="003B63CB">
        <w:rPr>
          <w:rStyle w:val="af2"/>
          <w:rFonts w:eastAsia="Guttman Hodes" w:hint="cs"/>
          <w:rtl/>
        </w:rPr>
        <w:t>(</w:t>
      </w:r>
      <w:r>
        <w:rPr>
          <w:rStyle w:val="af2"/>
          <w:rFonts w:eastAsia="Guttman Hodes" w:hint="cs"/>
          <w:rtl/>
        </w:rPr>
        <w:t>ה: אות נ"ז</w:t>
      </w:r>
      <w:r w:rsidRPr="003B63CB">
        <w:rPr>
          <w:rStyle w:val="af2"/>
          <w:rFonts w:eastAsia="Guttman Hodes" w:hint="cs"/>
          <w:rtl/>
        </w:rPr>
        <w:t>)</w:t>
      </w:r>
      <w:r w:rsidRPr="003B63CB">
        <w:rPr>
          <w:rFonts w:hint="cs"/>
          <w:vanish/>
          <w:rtl/>
        </w:rPr>
        <w:t>=</w:t>
      </w:r>
      <w:r>
        <w:rPr>
          <w:rFonts w:hint="cs"/>
          <w:rtl/>
        </w:rPr>
        <w:t xml:space="preserve"> את דברי </w:t>
      </w:r>
      <w:r w:rsidRPr="003B63CB">
        <w:rPr>
          <w:rStyle w:val="aff4"/>
          <w:rFonts w:hint="cs"/>
          <w:vanish/>
          <w:rtl/>
        </w:rPr>
        <w:t>-</w:t>
      </w:r>
      <w:r w:rsidRPr="003B63CB">
        <w:rPr>
          <w:rStyle w:val="aff4"/>
          <w:rFonts w:hint="cs"/>
          <w:rtl/>
        </w:rPr>
        <w:t>ה</w:t>
      </w:r>
      <w:r>
        <w:rPr>
          <w:rStyle w:val="aff4"/>
          <w:rFonts w:hint="cs"/>
          <w:vanish/>
          <w:rtl/>
        </w:rPr>
        <w:t>&lt; &gt;</w:t>
      </w:r>
      <w:r w:rsidRPr="003B63CB">
        <w:rPr>
          <w:rStyle w:val="aff4"/>
          <w:rFonts w:hint="cs"/>
          <w:rtl/>
        </w:rPr>
        <w:t>תוס'</w:t>
      </w:r>
      <w:r>
        <w:rPr>
          <w:rStyle w:val="aff4"/>
          <w:rFonts w:hint="cs"/>
          <w:rtl/>
        </w:rPr>
        <w:t xml:space="preserve"> בכתובות</w:t>
      </w:r>
      <w:r w:rsidRPr="003B63CB">
        <w:rPr>
          <w:rStyle w:val="aff4"/>
          <w:rFonts w:hint="cs"/>
          <w:vanish/>
          <w:rtl/>
        </w:rPr>
        <w:t>-</w:t>
      </w:r>
      <w:r w:rsidRPr="003B63CB">
        <w:rPr>
          <w:rFonts w:hint="cs"/>
          <w:rtl/>
        </w:rPr>
        <w:t xml:space="preserve"> </w:t>
      </w:r>
      <w:r w:rsidRPr="003B63CB">
        <w:rPr>
          <w:rStyle w:val="af2"/>
          <w:rFonts w:eastAsia="Guttman Hodes" w:hint="cs"/>
          <w:rtl/>
        </w:rPr>
        <w:t>(</w:t>
      </w:r>
      <w:r>
        <w:rPr>
          <w:rStyle w:val="af2"/>
          <w:rFonts w:eastAsia="Guttman Hodes" w:hint="cs"/>
          <w:rtl/>
        </w:rPr>
        <w:t>ה: ד"ה דם</w:t>
      </w:r>
      <w:r w:rsidRPr="003B63CB">
        <w:rPr>
          <w:rStyle w:val="af2"/>
          <w:rFonts w:eastAsia="Guttman Hodes" w:hint="cs"/>
          <w:rtl/>
        </w:rPr>
        <w:t>)</w:t>
      </w:r>
      <w:r w:rsidRPr="003B63CB">
        <w:rPr>
          <w:rFonts w:hint="cs"/>
          <w:vanish/>
          <w:rtl/>
        </w:rPr>
        <w:t>=</w:t>
      </w:r>
      <w:r>
        <w:rPr>
          <w:rFonts w:hint="cs"/>
          <w:rtl/>
        </w:rPr>
        <w:t xml:space="preserve"> ד</w:t>
      </w:r>
      <w:bookmarkEnd w:id="4034"/>
      <w:r>
        <w:rPr>
          <w:rFonts w:hint="cs"/>
          <w:rtl/>
        </w:rPr>
        <w:t xml:space="preserve">כתבו דחובל חייב משום נטילת נשמה, כיון דהדם הוא הנפש וכשנוטל את מקצתו חשיב שנוטל מקצת מהנשמה, וכתב </w:t>
      </w:r>
      <w:r w:rsidRPr="003B63CB">
        <w:rPr>
          <w:rStyle w:val="aff4"/>
          <w:rFonts w:hint="cs"/>
          <w:vanish/>
          <w:rtl/>
        </w:rPr>
        <w:t>-</w:t>
      </w:r>
      <w:r>
        <w:rPr>
          <w:rStyle w:val="aff4"/>
          <w:rFonts w:hint="cs"/>
          <w:rtl/>
        </w:rPr>
        <w:t>בשיעורי רבי גרשון בכתובות</w:t>
      </w:r>
      <w:r w:rsidRPr="003B63CB">
        <w:rPr>
          <w:rStyle w:val="aff4"/>
          <w:rFonts w:hint="cs"/>
          <w:vanish/>
          <w:rtl/>
        </w:rPr>
        <w:t>-</w:t>
      </w:r>
      <w:r>
        <w:rPr>
          <w:rFonts w:hint="cs"/>
          <w:rtl/>
        </w:rPr>
        <w:t xml:space="preserve"> דמשמע דאם הוא צריך את הדם עצמו הוי מלאכה שצריכה לגופה, כיון דהמלאכה היא בדם עצמו שנוטל מקצת נשמה בדם, וכן מבואר בגמ' לקמן </w:t>
      </w:r>
      <w:r w:rsidRPr="00057AD0">
        <w:rPr>
          <w:rStyle w:val="af2"/>
          <w:rFonts w:eastAsia="Guttman Hodes" w:hint="cs"/>
          <w:rtl/>
        </w:rPr>
        <w:t>(קו.)</w:t>
      </w:r>
      <w:r>
        <w:rPr>
          <w:rFonts w:hint="cs"/>
          <w:rtl/>
        </w:rPr>
        <w:t xml:space="preserve"> בחובל וצריך לכלבו, והקשה </w:t>
      </w:r>
      <w:r>
        <w:rPr>
          <w:rStyle w:val="aff4"/>
          <w:rFonts w:hint="cs"/>
          <w:rtl/>
        </w:rPr>
        <w:t>בשיעורי רבי גרשון בכתובות</w:t>
      </w:r>
      <w:r w:rsidRPr="003B63CB">
        <w:rPr>
          <w:rStyle w:val="aff4"/>
          <w:rFonts w:hint="cs"/>
          <w:vanish/>
          <w:rtl/>
        </w:rPr>
        <w:t>-</w:t>
      </w:r>
      <w:r>
        <w:rPr>
          <w:rFonts w:hint="cs"/>
          <w:rtl/>
        </w:rPr>
        <w:t xml:space="preserve"> דהא לדעת</w:t>
      </w:r>
      <w:r w:rsidRPr="003B63CB">
        <w:rPr>
          <w:rFonts w:hint="cs"/>
          <w:rtl/>
        </w:rPr>
        <w:t xml:space="preserve"> </w:t>
      </w:r>
      <w:r w:rsidRPr="003B63CB">
        <w:rPr>
          <w:rStyle w:val="aff4"/>
          <w:rFonts w:hint="cs"/>
          <w:vanish/>
          <w:rtl/>
        </w:rPr>
        <w:t>-</w:t>
      </w:r>
      <w:r w:rsidRPr="003B63CB">
        <w:rPr>
          <w:rStyle w:val="aff4"/>
          <w:rFonts w:hint="cs"/>
          <w:rtl/>
        </w:rPr>
        <w:t>התוס'</w:t>
      </w:r>
      <w:r w:rsidRPr="003B63CB">
        <w:rPr>
          <w:rStyle w:val="aff4"/>
          <w:rFonts w:hint="cs"/>
          <w:vanish/>
          <w:rtl/>
        </w:rPr>
        <w:t>-</w:t>
      </w:r>
      <w:r>
        <w:rPr>
          <w:rFonts w:hint="cs"/>
          <w:rtl/>
        </w:rPr>
        <w:t xml:space="preserve"> אי"ז הצורך שהיה במשכן, דהא מלאכת שוחט במשכן הייתה בשחיטת אילים מאדמים, דשחטו אותם לצורך העורות שלהם, ולא לצורך הוצאת הדם עצמו.</w:t>
      </w:r>
    </w:p>
    <w:p w14:paraId="7B5ABBB4" w14:textId="77777777" w:rsidR="002748A5" w:rsidRPr="00747170" w:rsidRDefault="002748A5" w:rsidP="00747170">
      <w:pPr>
        <w:pStyle w:val="a2"/>
        <w:rPr>
          <w:rtl/>
        </w:rPr>
      </w:pPr>
      <w:r w:rsidRPr="00747170">
        <w:rPr>
          <w:rtl/>
        </w:rPr>
        <w:t>תוד"ה דם מיפקד פקיד או חבורי מיחבר וכו' טעמא דחבורה הוי משום נטילת נשמה וכו' ונראה לר"ת לפרש דהוצאת דם חשיבה נטילת נשמה כי הדם הוא הנפש וכשנוטל מקצתו נוטל מקצת נשמה ומבוא' מדבריהם דלמאי דהסיקו דענין נטילת נשמה בחבורה היינו הוצאת הדם אשה"ט הא דחשיב ליה הכא אם לדם הוא צריך למלאכה הצריכה לגופה וכמ"כ מבוא' בגמ' שבת קו א גבי חובל וצריך הדם לכלבו דחשיב מלאכה הצריכה לגופה ולכאו' יש להבין דהא ענין מלאכה הצריכה לגופה אי' בתוס' דהיינו כשעושה לאותו צורך כעין שהיו צריכין לה במשכן כנ"ל והיינו מלאכת עשיית המשכן ואינו שייך למלאכת הקרבת הקרבנות ומלאכת נטילת נשמה נעשית במשכן לצורך העורות ולא לצורך הוצאת הדם</w:t>
      </w:r>
      <w:r w:rsidRPr="00747170">
        <w:rPr>
          <w:rFonts w:hint="cs"/>
          <w:rtl/>
        </w:rPr>
        <w:t>.</w:t>
      </w:r>
    </w:p>
    <w:p w14:paraId="62DFEC6A" w14:textId="77777777" w:rsidR="002748A5" w:rsidRDefault="002748A5" w:rsidP="002748A5">
      <w:pPr>
        <w:pStyle w:val="a7"/>
        <w:rPr>
          <w:rtl/>
        </w:rPr>
      </w:pPr>
      <w:bookmarkStart w:id="4035" w:name="_Toc140144318"/>
      <w:bookmarkStart w:id="4036" w:name="_Toc140144549"/>
      <w:r>
        <w:rPr>
          <w:rFonts w:hint="cs"/>
          <w:rtl/>
        </w:rPr>
        <w:t>תי' שיעורי הגרי"ג דילפי' משוחט אילים דכל צורך שיש בא' מאברי הגוף חשיב צורך וה"ה בדם</w:t>
      </w:r>
      <w:bookmarkEnd w:id="4035"/>
      <w:bookmarkEnd w:id="4036"/>
    </w:p>
    <w:p w14:paraId="437D7A72" w14:textId="77777777" w:rsidR="002748A5" w:rsidRPr="002A7572" w:rsidRDefault="002748A5" w:rsidP="00BC7DC8">
      <w:pPr>
        <w:pStyle w:val="a3"/>
      </w:pPr>
      <w:r>
        <w:rPr>
          <w:rFonts w:hint="cs"/>
          <w:rtl/>
        </w:rPr>
        <w:t xml:space="preserve">ותירץ </w:t>
      </w:r>
      <w:r>
        <w:rPr>
          <w:rStyle w:val="aff4"/>
          <w:rFonts w:hint="cs"/>
          <w:rtl/>
        </w:rPr>
        <w:t>בשיעורי רבי גרשון בכתובות</w:t>
      </w:r>
      <w:r w:rsidRPr="002A7572">
        <w:rPr>
          <w:rStyle w:val="aff4"/>
          <w:rFonts w:hint="cs"/>
          <w:vanish/>
          <w:rtl/>
        </w:rPr>
        <w:t>-</w:t>
      </w:r>
      <w:r>
        <w:rPr>
          <w:rFonts w:hint="cs"/>
          <w:rtl/>
        </w:rPr>
        <w:t xml:space="preserve"> דאין כוונת</w:t>
      </w:r>
      <w:r w:rsidRPr="003B63CB">
        <w:rPr>
          <w:rFonts w:hint="cs"/>
          <w:rtl/>
        </w:rPr>
        <w:t xml:space="preserve"> </w:t>
      </w:r>
      <w:r w:rsidRPr="002A7572">
        <w:rPr>
          <w:rStyle w:val="aff4"/>
          <w:rFonts w:hint="cs"/>
          <w:vanish/>
          <w:rtl/>
        </w:rPr>
        <w:t>-</w:t>
      </w:r>
      <w:r w:rsidRPr="003B63CB">
        <w:rPr>
          <w:rStyle w:val="aff4"/>
          <w:rFonts w:hint="cs"/>
          <w:rtl/>
        </w:rPr>
        <w:t>התוס'</w:t>
      </w:r>
      <w:r w:rsidRPr="002A7572">
        <w:rPr>
          <w:rStyle w:val="aff4"/>
          <w:rFonts w:hint="cs"/>
          <w:vanish/>
          <w:rtl/>
        </w:rPr>
        <w:t>-</w:t>
      </w:r>
      <w:r>
        <w:rPr>
          <w:rFonts w:hint="cs"/>
          <w:rtl/>
        </w:rPr>
        <w:t xml:space="preserve"> דצריך ממש את הצורך שהיה במשכן, אלא דכמו דבמשכן המלאכה הייתה לצורך תיקון אבר בגוף של הדבר הנשחט, ה"ה בכל שוחט, וכיון דבמשכן תיקן את העורות אף כשמתקן את הדם חשיב דמי לצורך שהיה במשכן, </w:t>
      </w:r>
    </w:p>
    <w:p w14:paraId="3FCF3C62" w14:textId="77777777" w:rsidR="002748A5" w:rsidRPr="00747170" w:rsidRDefault="002748A5" w:rsidP="00747170">
      <w:pPr>
        <w:pStyle w:val="a2"/>
      </w:pPr>
      <w:r w:rsidRPr="00747170">
        <w:rPr>
          <w:rtl/>
        </w:rPr>
        <w:t>והנראה מבוא' הגדר בזה דלא בעינן שנטילת הנשמה תהיה ממש לאותו הצורך מה שהיה במשכן אלא העיקר שיהיה כצורך המשכן לענין שיהיה לתיקון א' מחלקי הגוף דהיינו דבמשכן מצינו כן לענין תיקון העורות וה"ה נמי לענין תיקון הדם דאף דה</w:t>
      </w:r>
      <w:r w:rsidRPr="00747170">
        <w:rPr>
          <w:rFonts w:hint="cs"/>
          <w:rtl/>
        </w:rPr>
        <w:t>ד</w:t>
      </w:r>
      <w:r w:rsidRPr="00747170">
        <w:rPr>
          <w:rtl/>
        </w:rPr>
        <w:t>ם הוא הנפש מ"מ חשיב נמי א' מחלקי הגוף</w:t>
      </w:r>
      <w:r w:rsidRPr="00747170">
        <w:rPr>
          <w:rFonts w:hint="cs"/>
          <w:rtl/>
        </w:rPr>
        <w:t>.</w:t>
      </w:r>
    </w:p>
    <w:p w14:paraId="0C4C54B2" w14:textId="4E674017" w:rsidR="002748A5" w:rsidRPr="0012210A" w:rsidRDefault="002748A5" w:rsidP="002748A5">
      <w:pPr>
        <w:pStyle w:val="1"/>
        <w:rPr>
          <w:rtl/>
        </w:rPr>
      </w:pPr>
      <w:bookmarkStart w:id="4037" w:name="_Toc140144319"/>
      <w:bookmarkStart w:id="4038" w:name="_Toc140144550"/>
      <w:r>
        <w:rPr>
          <w:rFonts w:hint="cs"/>
          <w:rtl/>
        </w:rPr>
        <w:t>בי'</w:t>
      </w:r>
      <w:bookmarkEnd w:id="4028"/>
      <w:r>
        <w:rPr>
          <w:rFonts w:hint="cs"/>
          <w:rtl/>
        </w:rPr>
        <w:t xml:space="preserve"> החזו"י דיש מלאכות דהצורך בהם הוא רק תיקון בדבר עצמו</w:t>
      </w:r>
      <w:bookmarkEnd w:id="4037"/>
      <w:bookmarkEnd w:id="4038"/>
    </w:p>
    <w:p w14:paraId="6759E304" w14:textId="77777777" w:rsidR="002748A5" w:rsidRPr="00C12F78" w:rsidRDefault="002748A5" w:rsidP="002748A5">
      <w:pPr>
        <w:pStyle w:val="afffff7"/>
        <w:rPr>
          <w:rtl/>
        </w:rPr>
      </w:pPr>
      <w:bookmarkStart w:id="4039" w:name="_Toc140144415"/>
      <w:bookmarkStart w:id="4040" w:name="_Toc140144891"/>
      <w:bookmarkStart w:id="4041" w:name="_Toc163506006"/>
      <w:r w:rsidRPr="00C12F78">
        <w:rPr>
          <w:rFonts w:hint="cs"/>
          <w:rtl/>
        </w:rPr>
        <w:t>חידושי חזון יחזקאל שבת צ"ג ע</w:t>
      </w:r>
      <w:r w:rsidRPr="00C12F78">
        <w:rPr>
          <w:rFonts w:cs="Guttman Hodes" w:hint="cs"/>
          <w:rtl/>
        </w:rPr>
        <w:t>"</w:t>
      </w:r>
      <w:r w:rsidRPr="00C12F78">
        <w:rPr>
          <w:rFonts w:hint="cs"/>
          <w:rtl/>
        </w:rPr>
        <w:t>ב ד</w:t>
      </w:r>
      <w:r w:rsidRPr="00C12F78">
        <w:rPr>
          <w:rFonts w:cs="Guttman Hodes" w:hint="cs"/>
          <w:rtl/>
        </w:rPr>
        <w:t>"</w:t>
      </w:r>
      <w:r w:rsidRPr="00C12F78">
        <w:rPr>
          <w:rFonts w:hint="cs"/>
          <w:rtl/>
        </w:rPr>
        <w:t>ה והעלו</w:t>
      </w:r>
      <w:bookmarkEnd w:id="4041"/>
      <w:r w:rsidRPr="00C12F78">
        <w:rPr>
          <w:vanish/>
          <w:rtl/>
        </w:rPr>
        <w:t xml:space="preserve"> (ט)</w:t>
      </w:r>
      <w:bookmarkEnd w:id="4039"/>
      <w:bookmarkEnd w:id="4040"/>
    </w:p>
    <w:p w14:paraId="7E66ECB0" w14:textId="77777777" w:rsidR="002748A5" w:rsidRDefault="002748A5" w:rsidP="002748A5">
      <w:pPr>
        <w:pStyle w:val="a7"/>
        <w:rPr>
          <w:rtl/>
        </w:rPr>
      </w:pPr>
      <w:bookmarkStart w:id="4042" w:name="_Toc140144320"/>
      <w:bookmarkStart w:id="4043" w:name="_Toc140144551"/>
      <w:r>
        <w:rPr>
          <w:rFonts w:hint="cs"/>
          <w:rtl/>
        </w:rPr>
        <w:t>בי' החזו"י בתוס' דבמלאכות שהתיקון היה בגופן זהו צורך המלאכה שלהם ורק בזה הוי צל"ג</w:t>
      </w:r>
      <w:bookmarkEnd w:id="4042"/>
      <w:bookmarkEnd w:id="4043"/>
    </w:p>
    <w:p w14:paraId="4D930CC7" w14:textId="09EC518D" w:rsidR="002748A5" w:rsidRDefault="002748A5" w:rsidP="00BC7DC8">
      <w:pPr>
        <w:pStyle w:val="a3"/>
      </w:pPr>
      <w:bookmarkStart w:id="4044" w:name="_Hlk140139672"/>
      <w:bookmarkStart w:id="4045" w:name="_Ref140095467"/>
      <w:r w:rsidRPr="003B63CB">
        <w:rPr>
          <w:rFonts w:hint="cs"/>
          <w:rtl/>
        </w:rPr>
        <w:t xml:space="preserve">במ"ש </w:t>
      </w:r>
      <w:r w:rsidRPr="003B63CB">
        <w:rPr>
          <w:rStyle w:val="aff4"/>
          <w:rFonts w:hint="cs"/>
          <w:vanish/>
          <w:rtl/>
        </w:rPr>
        <w:t>-</w:t>
      </w:r>
      <w:r w:rsidRPr="003B63CB">
        <w:rPr>
          <w:rStyle w:val="aff4"/>
          <w:rFonts w:hint="cs"/>
          <w:rtl/>
        </w:rPr>
        <w:t>התוס'</w:t>
      </w:r>
      <w:r w:rsidRPr="003B63CB">
        <w:rPr>
          <w:rStyle w:val="aff4"/>
          <w:rFonts w:hint="cs"/>
          <w:vanish/>
          <w:rtl/>
        </w:rPr>
        <w:t>-</w:t>
      </w:r>
      <w:r w:rsidRPr="003B63CB">
        <w:rPr>
          <w:rFonts w:hint="cs"/>
          <w:rtl/>
        </w:rPr>
        <w:t xml:space="preserve"> </w:t>
      </w:r>
      <w:r w:rsidRPr="003B63C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Ref140072938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ב)</w:t>
      </w:r>
      <w:r>
        <w:rPr>
          <w:rStyle w:val="af2"/>
          <w:rFonts w:eastAsia="Guttman Hodes"/>
          <w:rtl/>
        </w:rPr>
        <w:fldChar w:fldCharType="end"/>
      </w:r>
      <w:r w:rsidRPr="003B63CB">
        <w:rPr>
          <w:rFonts w:hint="cs"/>
          <w:rtl/>
        </w:rPr>
        <w:t xml:space="preserve"> דמלאכה שאינה צריכה לגופה היינו כשא"צ את הצורך שהיה במשכן, </w:t>
      </w:r>
      <w:r>
        <w:rPr>
          <w:rFonts w:hint="cs"/>
          <w:rtl/>
        </w:rPr>
        <w:t>כתב</w:t>
      </w:r>
      <w:r w:rsidRPr="003B63CB">
        <w:rPr>
          <w:rFonts w:hint="cs"/>
          <w:rtl/>
        </w:rPr>
        <w:t xml:space="preserve"> </w:t>
      </w:r>
      <w:r w:rsidRPr="003B63CB">
        <w:rPr>
          <w:rStyle w:val="aff4"/>
          <w:rFonts w:hint="cs"/>
          <w:vanish/>
          <w:rtl/>
        </w:rPr>
        <w:t>-</w:t>
      </w:r>
      <w:r>
        <w:rPr>
          <w:rStyle w:val="aff4"/>
          <w:rFonts w:hint="cs"/>
          <w:rtl/>
        </w:rPr>
        <w:t>ב</w:t>
      </w:r>
      <w:r w:rsidRPr="007755C3">
        <w:rPr>
          <w:rStyle w:val="aff4"/>
          <w:rFonts w:hint="cs"/>
          <w:vanish/>
          <w:rtl/>
        </w:rPr>
        <w:t xml:space="preserve">&lt;, </w:t>
      </w:r>
      <w:r w:rsidRPr="007755C3">
        <w:rPr>
          <w:rStyle w:val="aff4"/>
          <w:vanish/>
          <w:rtl/>
        </w:rPr>
        <w:fldChar w:fldCharType="begin"/>
      </w:r>
      <w:r w:rsidRPr="007755C3">
        <w:rPr>
          <w:rStyle w:val="aff4"/>
          <w:vanish/>
          <w:rtl/>
        </w:rPr>
        <w:instrText xml:space="preserve"> </w:instrText>
      </w:r>
      <w:r w:rsidRPr="007755C3">
        <w:rPr>
          <w:rStyle w:val="aff4"/>
          <w:rFonts w:hint="cs"/>
          <w:vanish/>
        </w:rPr>
        <w:instrText>REF</w:instrText>
      </w:r>
      <w:r w:rsidRPr="007755C3">
        <w:rPr>
          <w:rStyle w:val="aff4"/>
          <w:rFonts w:hint="cs"/>
          <w:vanish/>
          <w:rtl/>
        </w:rPr>
        <w:instrText xml:space="preserve"> _</w:instrText>
      </w:r>
      <w:r w:rsidRPr="007755C3">
        <w:rPr>
          <w:rStyle w:val="aff4"/>
          <w:rFonts w:hint="cs"/>
          <w:vanish/>
        </w:rPr>
        <w:instrText>Ref140095467 \r \h</w:instrText>
      </w:r>
      <w:r w:rsidRPr="007755C3">
        <w:rPr>
          <w:rStyle w:val="aff4"/>
          <w:vanish/>
          <w:rtl/>
        </w:rPr>
        <w:instrText xml:space="preserve"> </w:instrText>
      </w:r>
      <w:r>
        <w:rPr>
          <w:rStyle w:val="aff4"/>
          <w:vanish/>
          <w:rtl/>
        </w:rPr>
        <w:instrText xml:space="preserve"> \* </w:instrText>
      </w:r>
      <w:r>
        <w:rPr>
          <w:rStyle w:val="aff4"/>
          <w:vanish/>
        </w:rPr>
        <w:instrText>MERGEFORMAT</w:instrText>
      </w:r>
      <w:r>
        <w:rPr>
          <w:rStyle w:val="aff4"/>
          <w:vanish/>
          <w:rtl/>
        </w:rPr>
        <w:instrText xml:space="preserve"> </w:instrText>
      </w:r>
      <w:r w:rsidRPr="007755C3">
        <w:rPr>
          <w:rStyle w:val="aff4"/>
          <w:vanish/>
          <w:rtl/>
        </w:rPr>
      </w:r>
      <w:r w:rsidRPr="007755C3">
        <w:rPr>
          <w:rStyle w:val="aff4"/>
          <w:vanish/>
          <w:rtl/>
        </w:rPr>
        <w:fldChar w:fldCharType="separate"/>
      </w:r>
      <w:r w:rsidR="00D82181">
        <w:rPr>
          <w:rStyle w:val="aff4"/>
          <w:vanish/>
          <w:cs/>
        </w:rPr>
        <w:t>‎</w:t>
      </w:r>
      <w:r w:rsidR="00D82181">
        <w:rPr>
          <w:rStyle w:val="aff4"/>
          <w:vanish/>
          <w:rtl/>
        </w:rPr>
        <w:t>לו)</w:t>
      </w:r>
      <w:r w:rsidRPr="007755C3">
        <w:rPr>
          <w:rStyle w:val="aff4"/>
          <w:vanish/>
          <w:rtl/>
        </w:rPr>
        <w:fldChar w:fldCharType="end"/>
      </w:r>
      <w:r w:rsidRPr="007755C3">
        <w:rPr>
          <w:rStyle w:val="aff4"/>
          <w:rFonts w:hint="cs"/>
          <w:vanish/>
          <w:rtl/>
        </w:rPr>
        <w:t xml:space="preserve"> &gt;</w:t>
      </w:r>
      <w:r>
        <w:rPr>
          <w:rStyle w:val="aff4"/>
          <w:rFonts w:hint="cs"/>
          <w:rtl/>
        </w:rPr>
        <w:t>חי' חזון יחזקאל</w:t>
      </w:r>
      <w:r w:rsidRPr="003B63CB">
        <w:rPr>
          <w:rStyle w:val="aff4"/>
          <w:rFonts w:hint="cs"/>
          <w:vanish/>
          <w:rtl/>
        </w:rPr>
        <w:t>-</w:t>
      </w:r>
      <w:r w:rsidRPr="003B63CB">
        <w:rPr>
          <w:rFonts w:hint="cs"/>
          <w:rtl/>
        </w:rPr>
        <w:t xml:space="preserve"> </w:t>
      </w:r>
      <w:r w:rsidRPr="003B63CB">
        <w:rPr>
          <w:rStyle w:val="af2"/>
          <w:rFonts w:eastAsia="Guttman Hodes" w:hint="cs"/>
          <w:rtl/>
        </w:rPr>
        <w:t>(צ</w:t>
      </w:r>
      <w:r>
        <w:rPr>
          <w:rStyle w:val="af2"/>
          <w:rFonts w:eastAsia="Guttman Hodes" w:hint="cs"/>
          <w:rtl/>
        </w:rPr>
        <w:t>ג:</w:t>
      </w:r>
      <w:r w:rsidRPr="003B63CB">
        <w:rPr>
          <w:rStyle w:val="af2"/>
          <w:rFonts w:eastAsia="Guttman Hodes" w:hint="cs"/>
          <w:rtl/>
        </w:rPr>
        <w:t xml:space="preserve"> </w:t>
      </w:r>
      <w:r>
        <w:rPr>
          <w:rStyle w:val="af2"/>
          <w:rFonts w:eastAsia="Guttman Hodes" w:hint="cs"/>
          <w:rtl/>
        </w:rPr>
        <w:t>ד"ה והעלו</w:t>
      </w:r>
      <w:r w:rsidRPr="003B63CB">
        <w:rPr>
          <w:rStyle w:val="af2"/>
          <w:rFonts w:eastAsia="Guttman Hodes" w:hint="cs"/>
          <w:rtl/>
        </w:rPr>
        <w:t>)</w:t>
      </w:r>
      <w:r w:rsidRPr="003B63CB">
        <w:rPr>
          <w:rFonts w:hint="cs"/>
          <w:vanish/>
          <w:rtl/>
        </w:rPr>
        <w:t>=</w:t>
      </w:r>
      <w:r>
        <w:rPr>
          <w:rFonts w:hint="cs"/>
          <w:rtl/>
        </w:rPr>
        <w:t xml:space="preserve"> דמבואר מדברי </w:t>
      </w:r>
      <w:r w:rsidRPr="003B63CB">
        <w:rPr>
          <w:rStyle w:val="aff4"/>
          <w:rFonts w:hint="cs"/>
          <w:vanish/>
          <w:rtl/>
        </w:rPr>
        <w:t>-</w:t>
      </w:r>
      <w:bookmarkStart w:id="4046" w:name="_Hlk140138245"/>
      <w:r w:rsidRPr="003B63CB">
        <w:rPr>
          <w:rStyle w:val="aff4"/>
          <w:rFonts w:hint="cs"/>
          <w:rtl/>
        </w:rPr>
        <w:t>התוס'</w:t>
      </w:r>
      <w:r w:rsidRPr="003B63CB">
        <w:rPr>
          <w:rStyle w:val="aff4"/>
          <w:rFonts w:hint="cs"/>
          <w:vanish/>
          <w:rtl/>
        </w:rPr>
        <w:t>-</w:t>
      </w:r>
      <w:r w:rsidRPr="003B63CB">
        <w:rPr>
          <w:rFonts w:hint="cs"/>
          <w:rtl/>
        </w:rPr>
        <w:t xml:space="preserve"> </w:t>
      </w:r>
      <w:bookmarkEnd w:id="4046"/>
      <w:r>
        <w:rPr>
          <w:rFonts w:hint="cs"/>
          <w:rtl/>
        </w:rPr>
        <w:t xml:space="preserve">שיש </w:t>
      </w:r>
      <w:bookmarkEnd w:id="4044"/>
      <w:r>
        <w:rPr>
          <w:rFonts w:hint="cs"/>
          <w:rtl/>
        </w:rPr>
        <w:t>ג' סוגים במלאכות בגדר הצורך שהיה במשכן, והסוג הראשון הוא במלאכות שהצורך הוא בגוף הדבר שנעשית בו המלאכה, וא"כ כל שיש לו צורך אחר הוי מלאכה שאינה צריכה לגופה, דאינו דומה לצורך שהיה במשכן, אף כשיש לו צורך ותיקון בחפץ אחר, דהא במשכן התיקון והצורך היה בחפץ עצמו.</w:t>
      </w:r>
    </w:p>
    <w:p w14:paraId="1D5E1D6A" w14:textId="77777777" w:rsidR="002748A5" w:rsidRPr="00747170" w:rsidRDefault="002748A5" w:rsidP="00747170">
      <w:pPr>
        <w:pStyle w:val="a2"/>
        <w:rPr>
          <w:rtl/>
        </w:rPr>
      </w:pPr>
      <w:r w:rsidRPr="00747170">
        <w:rPr>
          <w:rtl/>
        </w:rPr>
        <w:t xml:space="preserve">והעלו שם בתוספות ששלשה סוגים מלאכות היו במשכן וכל </w:t>
      </w:r>
      <w:r w:rsidRPr="00747170">
        <w:rPr>
          <w:rFonts w:hint="cs"/>
          <w:rtl/>
        </w:rPr>
        <w:t>ס</w:t>
      </w:r>
      <w:r w:rsidRPr="00747170">
        <w:rPr>
          <w:rtl/>
        </w:rPr>
        <w:t xml:space="preserve">וג מלאכה </w:t>
      </w:r>
      <w:r w:rsidRPr="00747170">
        <w:rPr>
          <w:rFonts w:hint="cs"/>
          <w:rtl/>
        </w:rPr>
        <w:t xml:space="preserve">לפי </w:t>
      </w:r>
      <w:r w:rsidRPr="00747170">
        <w:rPr>
          <w:rtl/>
        </w:rPr>
        <w:t>הצ</w:t>
      </w:r>
      <w:r w:rsidRPr="00747170">
        <w:rPr>
          <w:rFonts w:hint="cs"/>
          <w:rtl/>
        </w:rPr>
        <w:t>ו</w:t>
      </w:r>
      <w:r w:rsidRPr="00747170">
        <w:rPr>
          <w:rtl/>
        </w:rPr>
        <w:t>רך שהיו צריכים לה במשכן סוג אחד הוא שהמלאכה</w:t>
      </w:r>
      <w:r w:rsidRPr="00747170">
        <w:rPr>
          <w:rFonts w:hint="cs"/>
          <w:rtl/>
        </w:rPr>
        <w:t xml:space="preserve"> </w:t>
      </w:r>
      <w:r w:rsidRPr="00747170">
        <w:rPr>
          <w:rtl/>
        </w:rPr>
        <w:t>שנעשה באיזה חפץ עד שיעשה בה מעשה של תפיחה יש לומר דמה שתוסיף אח"כ על ידי מעשה תפיחה הוה משום תיקון עצם החפץ שנעשה</w:t>
      </w:r>
      <w:r w:rsidRPr="00747170">
        <w:rPr>
          <w:rFonts w:hint="cs"/>
          <w:rtl/>
        </w:rPr>
        <w:t xml:space="preserve"> </w:t>
      </w:r>
      <w:r w:rsidRPr="00747170">
        <w:rPr>
          <w:rtl/>
        </w:rPr>
        <w:t>שנעשה בו המלאכה</w:t>
      </w:r>
      <w:r w:rsidRPr="00747170">
        <w:rPr>
          <w:rFonts w:hint="cs"/>
          <w:rtl/>
        </w:rPr>
        <w:t>.</w:t>
      </w:r>
    </w:p>
    <w:p w14:paraId="3E9B2D4C" w14:textId="77777777" w:rsidR="002748A5" w:rsidRPr="00C0410A" w:rsidRDefault="002748A5" w:rsidP="002748A5">
      <w:pPr>
        <w:pStyle w:val="a7"/>
      </w:pPr>
      <w:bookmarkStart w:id="4047" w:name="_Toc140144321"/>
      <w:bookmarkStart w:id="4048" w:name="_Toc140144552"/>
      <w:r>
        <w:rPr>
          <w:rFonts w:hint="cs"/>
          <w:rtl/>
        </w:rPr>
        <w:t>בי' החזו"י דבכיבוי רק צורך בדבר עצמו כפחמים הוי צל"ג וכן בישול דמתקן את הסממנין עצמם</w:t>
      </w:r>
      <w:bookmarkEnd w:id="4047"/>
      <w:bookmarkEnd w:id="4048"/>
    </w:p>
    <w:p w14:paraId="62258284" w14:textId="0AF8C568" w:rsidR="002748A5" w:rsidRPr="001265CA" w:rsidRDefault="002748A5" w:rsidP="00BC7DC8">
      <w:pPr>
        <w:pStyle w:val="a3"/>
      </w:pPr>
      <w:r>
        <w:rPr>
          <w:rFonts w:hint="cs"/>
          <w:rtl/>
        </w:rPr>
        <w:t>וכתב</w:t>
      </w:r>
      <w:r w:rsidRPr="003B63CB">
        <w:rPr>
          <w:rFonts w:hint="cs"/>
          <w:rtl/>
        </w:rPr>
        <w:t xml:space="preserve"> </w:t>
      </w:r>
      <w:r w:rsidRPr="003B63CB">
        <w:rPr>
          <w:rStyle w:val="aff4"/>
          <w:rFonts w:hint="cs"/>
          <w:vanish/>
          <w:rtl/>
        </w:rPr>
        <w:t>-</w:t>
      </w:r>
      <w:r>
        <w:rPr>
          <w:rStyle w:val="aff4"/>
          <w:rFonts w:hint="cs"/>
          <w:rtl/>
        </w:rPr>
        <w:t>בחי' חזון יחזקאל</w:t>
      </w:r>
      <w:r w:rsidRPr="003B63CB">
        <w:rPr>
          <w:rStyle w:val="aff4"/>
          <w:rFonts w:hint="cs"/>
          <w:vanish/>
          <w:rtl/>
        </w:rPr>
        <w:t>-</w:t>
      </w:r>
      <w:r>
        <w:rPr>
          <w:rFonts w:hint="cs"/>
          <w:rtl/>
        </w:rPr>
        <w:t xml:space="preserve"> דזהו הביאור במלאכת כיבוי, דבמשכן המלאכה הייתה בשביל לעשות פחמים, וא"כ הצורך הוא בדבר עצמו שבו נעשית מלאכת כיבוי, דבמלאכה יש מעשה תיקון בדבר עצמו, וכן בקורע דההצורך במלאכה במשכן היה בשביל לתקן את הדבר הקרוע בעצמו, וכן בסותר דהצורך בסתירה הוא בדבר עצמו, והוסיף</w:t>
      </w:r>
      <w:r w:rsidRPr="003B63CB">
        <w:rPr>
          <w:rFonts w:hint="cs"/>
          <w:rtl/>
        </w:rPr>
        <w:t xml:space="preserve"> </w:t>
      </w:r>
      <w:r w:rsidRPr="003B63CB">
        <w:rPr>
          <w:rStyle w:val="aff4"/>
          <w:rFonts w:hint="cs"/>
          <w:vanish/>
          <w:rtl/>
        </w:rPr>
        <w:t>-</w:t>
      </w:r>
      <w:r>
        <w:rPr>
          <w:rStyle w:val="aff4"/>
          <w:rFonts w:hint="cs"/>
          <w:rtl/>
        </w:rPr>
        <w:t>בחי' חזון יחזקאל</w:t>
      </w:r>
      <w:r w:rsidRPr="003B63CB">
        <w:rPr>
          <w:rStyle w:val="aff4"/>
          <w:rFonts w:hint="cs"/>
          <w:vanish/>
          <w:rtl/>
        </w:rPr>
        <w:t>-</w:t>
      </w:r>
      <w:r>
        <w:rPr>
          <w:rFonts w:hint="cs"/>
          <w:rtl/>
        </w:rPr>
        <w:t xml:space="preserve"> דה"ה במלכאת בישול הסממנים דהמלאכה הייתה בסממנים עצמם, שע"י הבישול יתרככו ויהיו ראויים לצביעה, ובלא הבישול אינם ראוים לכלום.</w:t>
      </w:r>
      <w:bookmarkEnd w:id="4045"/>
      <w:r>
        <w:rPr>
          <w:rFonts w:hint="cs"/>
          <w:rtl/>
        </w:rPr>
        <w:t xml:space="preserve"> </w:t>
      </w:r>
    </w:p>
    <w:p w14:paraId="540CEDD9" w14:textId="77777777" w:rsidR="002748A5" w:rsidRPr="00747170" w:rsidRDefault="002748A5" w:rsidP="00747170">
      <w:pPr>
        <w:pStyle w:val="a2"/>
        <w:rPr>
          <w:rtl/>
        </w:rPr>
      </w:pPr>
      <w:r w:rsidRPr="00747170">
        <w:rPr>
          <w:rtl/>
        </w:rPr>
        <w:t xml:space="preserve">כגון מלאכת הכיבוי שהיתה אלא משום לעשות פחמים בכיבוי זה ויש בכיבוי זה משום צורך תיקון בעצם החפצא שנעשה בו התיקון או מלאכת הקריעה היתה במשכן לצורך דבר הנקרע ומיתקן בכך ומלאכת הסתירה היתה במשכן כגון שסותר על מנת לתקן יותר ממה שהיה בתחלה כגון שהבנין האחרון טוב מן הראשון ויש בסתירה זו משום תיקון בעצם דבר הנסתר או מלאכת הבישול של סממנים היתה במשכן בשביל תיקון סממנים </w:t>
      </w:r>
      <w:r w:rsidRPr="00747170">
        <w:rPr>
          <w:rFonts w:hint="cs"/>
          <w:rtl/>
        </w:rPr>
        <w:t>ע</w:t>
      </w:r>
      <w:r w:rsidRPr="00747170">
        <w:rPr>
          <w:rtl/>
        </w:rPr>
        <w:t>צמם שיהיו ראויים לצבוע בהם שכל זמן שהם קשים ולא נתרככו על ידי בישול אי</w:t>
      </w:r>
      <w:r w:rsidRPr="00747170">
        <w:rPr>
          <w:rFonts w:hint="cs"/>
          <w:rtl/>
        </w:rPr>
        <w:t>נ</w:t>
      </w:r>
      <w:r w:rsidRPr="00747170">
        <w:rPr>
          <w:rtl/>
        </w:rPr>
        <w:t>ם ראויים לכלו</w:t>
      </w:r>
      <w:r w:rsidRPr="00747170">
        <w:rPr>
          <w:rFonts w:hint="cs"/>
          <w:rtl/>
        </w:rPr>
        <w:t>ם.</w:t>
      </w:r>
    </w:p>
    <w:p w14:paraId="0F0D8D41" w14:textId="7DAD187B" w:rsidR="002748A5" w:rsidRDefault="002748A5" w:rsidP="002748A5">
      <w:pPr>
        <w:pStyle w:val="1"/>
        <w:rPr>
          <w:rtl/>
        </w:rPr>
      </w:pPr>
      <w:bookmarkStart w:id="4049" w:name="_Toc140144322"/>
      <w:bookmarkStart w:id="4050" w:name="_Toc140144553"/>
      <w:r>
        <w:rPr>
          <w:rFonts w:hint="cs"/>
          <w:rtl/>
        </w:rPr>
        <w:t>בי' החזו"י דיש מלאכות דהצורך הוא כשעי"ז מתקן דבר אחר</w:t>
      </w:r>
      <w:bookmarkEnd w:id="4049"/>
      <w:bookmarkEnd w:id="4050"/>
    </w:p>
    <w:p w14:paraId="15F0ADEA" w14:textId="77777777" w:rsidR="002748A5" w:rsidRDefault="002748A5" w:rsidP="002748A5">
      <w:pPr>
        <w:pStyle w:val="a7"/>
        <w:rPr>
          <w:rtl/>
        </w:rPr>
      </w:pPr>
      <w:bookmarkStart w:id="4051" w:name="_Toc140144323"/>
      <w:bookmarkStart w:id="4052" w:name="_Toc140144554"/>
      <w:r>
        <w:rPr>
          <w:rFonts w:hint="cs"/>
          <w:rtl/>
        </w:rPr>
        <w:t>בי' החזו"י דיש סוג  נוסף של מלאכות דהתיקון במשכן היה בדבר אחר ואף בכה"ג צריך לגופה</w:t>
      </w:r>
      <w:bookmarkEnd w:id="4051"/>
      <w:bookmarkEnd w:id="4052"/>
    </w:p>
    <w:p w14:paraId="4D4C9F6E" w14:textId="77777777" w:rsidR="002748A5" w:rsidRDefault="002748A5" w:rsidP="00BC7DC8">
      <w:pPr>
        <w:pStyle w:val="a3"/>
        <w:rPr>
          <w:rtl/>
        </w:rPr>
      </w:pPr>
      <w:r>
        <w:rPr>
          <w:rFonts w:hint="cs"/>
          <w:rtl/>
        </w:rPr>
        <w:t>וכתב</w:t>
      </w:r>
      <w:r w:rsidRPr="003B63CB">
        <w:rPr>
          <w:rFonts w:hint="cs"/>
          <w:rtl/>
        </w:rPr>
        <w:t xml:space="preserve"> </w:t>
      </w:r>
      <w:r w:rsidRPr="003B63CB">
        <w:rPr>
          <w:rStyle w:val="aff4"/>
          <w:rFonts w:hint="cs"/>
          <w:vanish/>
          <w:rtl/>
        </w:rPr>
        <w:t>-</w:t>
      </w:r>
      <w:r>
        <w:rPr>
          <w:rStyle w:val="aff4"/>
          <w:rFonts w:hint="cs"/>
          <w:rtl/>
        </w:rPr>
        <w:t>בחי' חזון יחזקאל</w:t>
      </w:r>
      <w:r w:rsidRPr="003B63CB">
        <w:rPr>
          <w:rStyle w:val="aff4"/>
          <w:rFonts w:hint="cs"/>
          <w:vanish/>
          <w:rtl/>
        </w:rPr>
        <w:t>-</w:t>
      </w:r>
      <w:r>
        <w:rPr>
          <w:rFonts w:hint="cs"/>
          <w:rtl/>
        </w:rPr>
        <w:t xml:space="preserve"> </w:t>
      </w:r>
      <w:r w:rsidRPr="003B63CB">
        <w:rPr>
          <w:rStyle w:val="af2"/>
          <w:rFonts w:eastAsia="Guttman Hodes" w:hint="cs"/>
          <w:rtl/>
        </w:rPr>
        <w:t>(צ</w:t>
      </w:r>
      <w:r>
        <w:rPr>
          <w:rStyle w:val="af2"/>
          <w:rFonts w:eastAsia="Guttman Hodes" w:hint="cs"/>
          <w:rtl/>
        </w:rPr>
        <w:t>ג:</w:t>
      </w:r>
      <w:r w:rsidRPr="003B63CB">
        <w:rPr>
          <w:rStyle w:val="af2"/>
          <w:rFonts w:eastAsia="Guttman Hodes" w:hint="cs"/>
          <w:rtl/>
        </w:rPr>
        <w:t xml:space="preserve"> </w:t>
      </w:r>
      <w:r>
        <w:rPr>
          <w:rStyle w:val="af2"/>
          <w:rFonts w:eastAsia="Guttman Hodes" w:hint="cs"/>
          <w:rtl/>
        </w:rPr>
        <w:t>ד"ה והעלו</w:t>
      </w:r>
      <w:r w:rsidRPr="003B63CB">
        <w:rPr>
          <w:rStyle w:val="af2"/>
          <w:rFonts w:eastAsia="Guttman Hodes" w:hint="cs"/>
          <w:rtl/>
        </w:rPr>
        <w:t>)</w:t>
      </w:r>
      <w:r>
        <w:rPr>
          <w:rFonts w:hint="cs"/>
          <w:rtl/>
        </w:rPr>
        <w:t xml:space="preserve"> דהסוג השני של המלאכות, באופן שהמלאכה נעשית בחפץ אחד, אך צורך המלאכה הוא בחפץ אחר.</w:t>
      </w:r>
    </w:p>
    <w:p w14:paraId="0F8D2C5C" w14:textId="77777777" w:rsidR="002748A5" w:rsidRPr="00747170" w:rsidRDefault="002748A5" w:rsidP="00747170">
      <w:pPr>
        <w:pStyle w:val="a2"/>
      </w:pPr>
      <w:r w:rsidRPr="00747170">
        <w:rPr>
          <w:rtl/>
        </w:rPr>
        <w:t>סוג שני שהמלאכה שנעשה באיזה חפץ לא היתה בשביל תיקון אותו חפץ שנעשתה בו המלאכה אך נעשית משום צורך</w:t>
      </w:r>
      <w:r w:rsidRPr="00747170">
        <w:rPr>
          <w:rFonts w:hint="cs"/>
          <w:rtl/>
        </w:rPr>
        <w:t>.</w:t>
      </w:r>
    </w:p>
    <w:p w14:paraId="35EB8064" w14:textId="634AFBDB" w:rsidR="002748A5" w:rsidRPr="006C7ADB" w:rsidRDefault="002748A5" w:rsidP="002748A5">
      <w:pPr>
        <w:pStyle w:val="a7"/>
      </w:pPr>
      <w:bookmarkStart w:id="4053" w:name="_Toc140144324"/>
      <w:bookmarkStart w:id="4054" w:name="_Toc140144555"/>
      <w:r>
        <w:rPr>
          <w:rFonts w:hint="cs"/>
          <w:rtl/>
        </w:rPr>
        <w:t>בי' החזו"י דבהבערה המלאכה הייתה בעצים והתיקון בדבר אחר וכן בשחיטת אילים מאדמים</w:t>
      </w:r>
      <w:bookmarkEnd w:id="4053"/>
      <w:bookmarkEnd w:id="4054"/>
    </w:p>
    <w:p w14:paraId="26A9544C" w14:textId="77777777" w:rsidR="002748A5" w:rsidRPr="00FA08D9" w:rsidRDefault="002748A5" w:rsidP="00BC7DC8">
      <w:pPr>
        <w:pStyle w:val="a3"/>
      </w:pPr>
      <w:r>
        <w:rPr>
          <w:rFonts w:hint="cs"/>
          <w:rtl/>
        </w:rPr>
        <w:t>וכתב</w:t>
      </w:r>
      <w:r w:rsidRPr="003B63CB">
        <w:rPr>
          <w:rFonts w:hint="cs"/>
          <w:rtl/>
        </w:rPr>
        <w:t xml:space="preserve"> </w:t>
      </w:r>
      <w:r w:rsidRPr="003B63CB">
        <w:rPr>
          <w:rStyle w:val="aff4"/>
          <w:rFonts w:hint="cs"/>
          <w:vanish/>
          <w:rtl/>
        </w:rPr>
        <w:t>-</w:t>
      </w:r>
      <w:r>
        <w:rPr>
          <w:rStyle w:val="aff4"/>
          <w:rFonts w:hint="cs"/>
          <w:rtl/>
        </w:rPr>
        <w:t>בחי' חזון יחזקאל</w:t>
      </w:r>
      <w:r w:rsidRPr="003B63CB">
        <w:rPr>
          <w:rStyle w:val="aff4"/>
          <w:rFonts w:hint="cs"/>
          <w:vanish/>
          <w:rtl/>
        </w:rPr>
        <w:t>-</w:t>
      </w:r>
      <w:r>
        <w:rPr>
          <w:rFonts w:hint="cs"/>
          <w:rtl/>
        </w:rPr>
        <w:t xml:space="preserve"> דזהו הביאור במלאכת הבערה דהמלאכה במשכן הייתה בעצים, אך התיקון אינו בעצים אלא ההבערה לצורך תיקון דבר אחר, וכן בשחיטת אילים מאדמים במשכן, דהשחיטה הייתה באילים, אך התיקון לא היה בהם עצמם, דהצורך במשכן היה בעורות שלהם.</w:t>
      </w:r>
    </w:p>
    <w:p w14:paraId="4913A487" w14:textId="77777777" w:rsidR="002748A5" w:rsidRPr="00747170" w:rsidRDefault="002748A5" w:rsidP="00747170">
      <w:pPr>
        <w:pStyle w:val="a2"/>
      </w:pPr>
      <w:r w:rsidRPr="00747170">
        <w:rPr>
          <w:rtl/>
        </w:rPr>
        <w:t>כמו הבערה שהיתה במשכן לא היתה משום תיקון הדבר שהודלק אלא משום צורך לדבר אחר וכן שחיטה שנעשתה במשכן באילים לא היתה משום תיקון האילים אך משום שהיה צורך בעורותיהם</w:t>
      </w:r>
      <w:r w:rsidRPr="00747170">
        <w:rPr>
          <w:rFonts w:hint="cs"/>
          <w:rtl/>
        </w:rPr>
        <w:t>.</w:t>
      </w:r>
    </w:p>
    <w:p w14:paraId="119B9C5F" w14:textId="53E1A0EB" w:rsidR="002748A5" w:rsidRDefault="002748A5" w:rsidP="002748A5">
      <w:pPr>
        <w:pStyle w:val="1"/>
        <w:rPr>
          <w:rtl/>
        </w:rPr>
      </w:pPr>
      <w:bookmarkStart w:id="4055" w:name="_Toc140144325"/>
      <w:bookmarkStart w:id="4056" w:name="_Toc140144556"/>
      <w:r>
        <w:rPr>
          <w:rFonts w:hint="cs"/>
          <w:rtl/>
        </w:rPr>
        <w:t>בי' החזו"י דבהוצאה התיקון הוא שצריך את הדבר לכל צורך</w:t>
      </w:r>
      <w:bookmarkEnd w:id="4055"/>
      <w:bookmarkEnd w:id="4056"/>
    </w:p>
    <w:p w14:paraId="19CAAD60" w14:textId="77777777" w:rsidR="002748A5" w:rsidRDefault="002748A5" w:rsidP="002748A5">
      <w:pPr>
        <w:pStyle w:val="a7"/>
        <w:rPr>
          <w:rtl/>
        </w:rPr>
      </w:pPr>
      <w:bookmarkStart w:id="4057" w:name="_Toc140144326"/>
      <w:bookmarkStart w:id="4058" w:name="_Toc140144557"/>
      <w:r>
        <w:rPr>
          <w:rFonts w:hint="cs"/>
          <w:rtl/>
        </w:rPr>
        <w:t>בי' החזו"י דבהוצאה הצורך במשכן היה שצריך את הדבר דע"י ההוצאה מביאה למקום שמתקנה</w:t>
      </w:r>
      <w:bookmarkEnd w:id="4057"/>
      <w:bookmarkEnd w:id="4058"/>
    </w:p>
    <w:p w14:paraId="0F69EC95" w14:textId="77777777" w:rsidR="002748A5" w:rsidRPr="00D429A2" w:rsidRDefault="002748A5" w:rsidP="00BC7DC8">
      <w:pPr>
        <w:pStyle w:val="a3"/>
      </w:pPr>
      <w:r>
        <w:rPr>
          <w:rFonts w:hint="cs"/>
          <w:rtl/>
        </w:rPr>
        <w:t>וכתב</w:t>
      </w:r>
      <w:r w:rsidRPr="003B63CB">
        <w:rPr>
          <w:rFonts w:hint="cs"/>
          <w:rtl/>
        </w:rPr>
        <w:t xml:space="preserve"> </w:t>
      </w:r>
      <w:r w:rsidRPr="003B63CB">
        <w:rPr>
          <w:rStyle w:val="aff4"/>
          <w:rFonts w:hint="cs"/>
          <w:vanish/>
          <w:rtl/>
        </w:rPr>
        <w:t>-</w:t>
      </w:r>
      <w:r>
        <w:rPr>
          <w:rStyle w:val="aff4"/>
          <w:rFonts w:hint="cs"/>
          <w:rtl/>
        </w:rPr>
        <w:t>בחי' חזון יחזקאל</w:t>
      </w:r>
      <w:r w:rsidRPr="003B63CB">
        <w:rPr>
          <w:rStyle w:val="aff4"/>
          <w:rFonts w:hint="cs"/>
          <w:vanish/>
          <w:rtl/>
        </w:rPr>
        <w:t>-</w:t>
      </w:r>
      <w:r>
        <w:rPr>
          <w:rFonts w:hint="cs"/>
          <w:rtl/>
        </w:rPr>
        <w:t xml:space="preserve"> דהסוג השלישי של המלאכות, הוא במלאכת הוצאה, דבמשכן הוציאו נדבה כדי לתקן אותה ולעשות ממנה משכן וכלים, והיינו דהמלאכה עצמה אינה תיקון בדבר שמוציא וגם אינה לצורך תיקון בדבר אחר, אלא דע"י ההוצאה מביאים אותה למקום שצריכים אותה בכדי לעשות בה תיקון.</w:t>
      </w:r>
    </w:p>
    <w:p w14:paraId="6DA5C626" w14:textId="77777777" w:rsidR="002748A5" w:rsidRPr="00747170" w:rsidRDefault="002748A5" w:rsidP="00747170">
      <w:pPr>
        <w:pStyle w:val="a2"/>
        <w:rPr>
          <w:rtl/>
        </w:rPr>
      </w:pPr>
      <w:r w:rsidRPr="00747170">
        <w:rPr>
          <w:rtl/>
        </w:rPr>
        <w:t>סוג שלישי היתה במשכן מלאכת הוצאה שהוצאת הנדבה כדי לתקנה לעשות ממנה משכן וכלי</w:t>
      </w:r>
      <w:r w:rsidRPr="00747170">
        <w:rPr>
          <w:rFonts w:hint="cs"/>
          <w:rtl/>
        </w:rPr>
        <w:t>ם</w:t>
      </w:r>
      <w:r w:rsidRPr="00747170">
        <w:rPr>
          <w:rtl/>
        </w:rPr>
        <w:t xml:space="preserve"> עיי"ש</w:t>
      </w:r>
      <w:r w:rsidRPr="00747170">
        <w:rPr>
          <w:rFonts w:hint="cs"/>
          <w:rtl/>
        </w:rPr>
        <w:t>.</w:t>
      </w:r>
    </w:p>
    <w:p w14:paraId="0BAF9E96" w14:textId="311B5AE3" w:rsidR="002748A5" w:rsidRDefault="002748A5" w:rsidP="002748A5">
      <w:pPr>
        <w:pStyle w:val="1"/>
        <w:rPr>
          <w:rtl/>
        </w:rPr>
      </w:pPr>
      <w:bookmarkStart w:id="4059" w:name="_Toc140144327"/>
      <w:bookmarkStart w:id="4060" w:name="_Toc140144558"/>
      <w:r>
        <w:rPr>
          <w:rFonts w:hint="cs"/>
          <w:rtl/>
        </w:rPr>
        <w:t>בי' החזו"י בתוס' בחילוק הצורך בכיבוי וקורע ובחובל ובהוצאה</w:t>
      </w:r>
      <w:bookmarkEnd w:id="4059"/>
      <w:bookmarkEnd w:id="4060"/>
    </w:p>
    <w:p w14:paraId="6B63A0DA" w14:textId="77777777" w:rsidR="002748A5" w:rsidRPr="00C12F78" w:rsidRDefault="002748A5" w:rsidP="002748A5">
      <w:pPr>
        <w:pStyle w:val="afffff7"/>
        <w:rPr>
          <w:rtl/>
        </w:rPr>
      </w:pPr>
      <w:bookmarkStart w:id="4061" w:name="_Toc140144416"/>
      <w:bookmarkStart w:id="4062" w:name="_Toc140144892"/>
      <w:bookmarkStart w:id="4063" w:name="_Toc163506007"/>
      <w:r w:rsidRPr="00C12F78">
        <w:rPr>
          <w:rFonts w:hint="cs"/>
          <w:rtl/>
        </w:rPr>
        <w:t>חידושי חזון יחזקאל שבת צ"ג ע"ב ד"ה הרי הנחה</w:t>
      </w:r>
      <w:bookmarkEnd w:id="4063"/>
      <w:r w:rsidRPr="00C12F78">
        <w:rPr>
          <w:vanish/>
          <w:rtl/>
        </w:rPr>
        <w:t xml:space="preserve"> (ט)</w:t>
      </w:r>
      <w:bookmarkEnd w:id="4061"/>
      <w:bookmarkEnd w:id="4062"/>
    </w:p>
    <w:p w14:paraId="681ECC85" w14:textId="77777777" w:rsidR="002748A5" w:rsidRDefault="002748A5" w:rsidP="002748A5">
      <w:pPr>
        <w:pStyle w:val="a7"/>
        <w:rPr>
          <w:rtl/>
        </w:rPr>
      </w:pPr>
      <w:bookmarkStart w:id="4064" w:name="_Toc140144328"/>
      <w:bookmarkStart w:id="4065" w:name="_Toc140144559"/>
      <w:r>
        <w:rPr>
          <w:rFonts w:hint="cs"/>
          <w:rtl/>
        </w:rPr>
        <w:t>בי' החזו"י בתוס' דהצורך שהיה במשכן הוא צורך האיסור ובמכבה וקורע צריך תיקון בדבר עצמו</w:t>
      </w:r>
      <w:bookmarkEnd w:id="4064"/>
      <w:bookmarkEnd w:id="4065"/>
      <w:r>
        <w:rPr>
          <w:rFonts w:hint="cs"/>
          <w:rtl/>
        </w:rPr>
        <w:t xml:space="preserve"> </w:t>
      </w:r>
    </w:p>
    <w:p w14:paraId="0098F7F1" w14:textId="5FCE5CED" w:rsidR="002748A5" w:rsidRDefault="002748A5" w:rsidP="00BC7DC8">
      <w:pPr>
        <w:pStyle w:val="a3"/>
      </w:pPr>
      <w:bookmarkStart w:id="4066" w:name="_Ref140095451"/>
      <w:r>
        <w:rPr>
          <w:rFonts w:hint="cs"/>
          <w:rtl/>
        </w:rPr>
        <w:t>וכתב</w:t>
      </w:r>
      <w:r w:rsidRPr="003B63CB">
        <w:rPr>
          <w:rFonts w:hint="cs"/>
          <w:rtl/>
        </w:rPr>
        <w:t xml:space="preserve"> </w:t>
      </w:r>
      <w:r w:rsidRPr="003B63CB">
        <w:rPr>
          <w:rStyle w:val="aff4"/>
          <w:rFonts w:hint="cs"/>
          <w:vanish/>
          <w:rtl/>
        </w:rPr>
        <w:t>-</w:t>
      </w:r>
      <w:r>
        <w:rPr>
          <w:rStyle w:val="aff4"/>
          <w:rFonts w:hint="cs"/>
          <w:rtl/>
        </w:rPr>
        <w:t>ב</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Ref140095451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מא)</w:t>
      </w:r>
      <w:r>
        <w:rPr>
          <w:rStyle w:val="aff4"/>
          <w:vanish/>
          <w:rtl/>
        </w:rPr>
        <w:fldChar w:fldCharType="end"/>
      </w:r>
      <w:r>
        <w:rPr>
          <w:rStyle w:val="aff4"/>
          <w:rFonts w:hint="cs"/>
          <w:vanish/>
          <w:rtl/>
        </w:rPr>
        <w:t xml:space="preserve"> &gt;</w:t>
      </w:r>
      <w:r>
        <w:rPr>
          <w:rStyle w:val="aff4"/>
          <w:rFonts w:hint="cs"/>
          <w:rtl/>
        </w:rPr>
        <w:t>חי' חזון יחזקאל</w:t>
      </w:r>
      <w:r w:rsidRPr="003B63CB">
        <w:rPr>
          <w:rStyle w:val="aff4"/>
          <w:rFonts w:hint="cs"/>
          <w:vanish/>
          <w:rtl/>
        </w:rPr>
        <w:t>-</w:t>
      </w:r>
      <w:r w:rsidRPr="003B63CB">
        <w:rPr>
          <w:rFonts w:hint="cs"/>
          <w:rtl/>
        </w:rPr>
        <w:t xml:space="preserve"> </w:t>
      </w:r>
      <w:r w:rsidRPr="003B63CB">
        <w:rPr>
          <w:rStyle w:val="af2"/>
          <w:rFonts w:eastAsia="Guttman Hodes" w:hint="cs"/>
          <w:rtl/>
        </w:rPr>
        <w:t>(צ</w:t>
      </w:r>
      <w:r>
        <w:rPr>
          <w:rStyle w:val="af2"/>
          <w:rFonts w:eastAsia="Guttman Hodes" w:hint="cs"/>
          <w:rtl/>
        </w:rPr>
        <w:t>ג:</w:t>
      </w:r>
      <w:r w:rsidRPr="003B63CB">
        <w:rPr>
          <w:rStyle w:val="af2"/>
          <w:rFonts w:eastAsia="Guttman Hodes" w:hint="cs"/>
          <w:rtl/>
        </w:rPr>
        <w:t xml:space="preserve"> </w:t>
      </w:r>
      <w:r>
        <w:rPr>
          <w:rStyle w:val="af2"/>
          <w:rFonts w:eastAsia="Guttman Hodes" w:hint="cs"/>
          <w:rtl/>
        </w:rPr>
        <w:t>ד"ה הרי הנחה</w:t>
      </w:r>
      <w:r w:rsidRPr="003B63CB">
        <w:rPr>
          <w:rStyle w:val="af2"/>
          <w:rFonts w:eastAsia="Guttman Hodes" w:hint="cs"/>
          <w:rtl/>
        </w:rPr>
        <w:t>)</w:t>
      </w:r>
      <w:bookmarkEnd w:id="4066"/>
      <w:r w:rsidRPr="003B63CB">
        <w:rPr>
          <w:rFonts w:hint="cs"/>
          <w:vanish/>
          <w:rtl/>
        </w:rPr>
        <w:t>=</w:t>
      </w:r>
      <w:r>
        <w:rPr>
          <w:rFonts w:hint="cs"/>
          <w:rtl/>
        </w:rPr>
        <w:t xml:space="preserve"> דזהו הביאור במ"ש </w:t>
      </w:r>
      <w:r w:rsidRPr="003B63CB">
        <w:rPr>
          <w:rStyle w:val="aff4"/>
          <w:rFonts w:hint="cs"/>
          <w:vanish/>
          <w:rtl/>
        </w:rPr>
        <w:t>-</w:t>
      </w:r>
      <w:r w:rsidRPr="003B63CB">
        <w:rPr>
          <w:rStyle w:val="aff4"/>
          <w:rFonts w:hint="cs"/>
          <w:rtl/>
        </w:rPr>
        <w:t>התוס'</w:t>
      </w:r>
      <w:r w:rsidRPr="003B63CB">
        <w:rPr>
          <w:rStyle w:val="aff4"/>
          <w:rFonts w:hint="cs"/>
          <w:vanish/>
          <w:rtl/>
        </w:rPr>
        <w:t>-</w:t>
      </w:r>
      <w:r w:rsidRPr="003B63CB">
        <w:rPr>
          <w:rFonts w:hint="cs"/>
          <w:rtl/>
        </w:rPr>
        <w:t xml:space="preserve"> </w:t>
      </w:r>
      <w:r w:rsidRPr="003B63C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Ref140072938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ב)</w:t>
      </w:r>
      <w:r>
        <w:rPr>
          <w:rStyle w:val="af2"/>
          <w:rFonts w:eastAsia="Guttman Hodes"/>
          <w:rtl/>
        </w:rPr>
        <w:fldChar w:fldCharType="end"/>
      </w:r>
      <w:r w:rsidRPr="003B63CB">
        <w:rPr>
          <w:rFonts w:hint="cs"/>
          <w:rtl/>
        </w:rPr>
        <w:t xml:space="preserve"> </w:t>
      </w:r>
      <w:r>
        <w:rPr>
          <w:rFonts w:hint="cs"/>
          <w:rtl/>
        </w:rPr>
        <w:t>דהחיוב במלאכה הוא רק כשעושה לצורך שהיה במשכן, דהוא גוף איסור המלאכה ושורשו, והיינו דגדר הצורך של המלאכה הוא כפי גדר הצורך שהיה במשכן, דבסוג הראשון של המלאכות כמכבה וקורע, החיוב הוא רק באופן שהתיקון במלאכה הוא באותו הדבר שנעשית בו המלאכה.</w:t>
      </w:r>
    </w:p>
    <w:p w14:paraId="076C8211" w14:textId="77777777" w:rsidR="002748A5" w:rsidRPr="00747170" w:rsidRDefault="002748A5" w:rsidP="00747170">
      <w:pPr>
        <w:pStyle w:val="a2"/>
        <w:rPr>
          <w:rtl/>
        </w:rPr>
      </w:pPr>
      <w:r w:rsidRPr="00747170">
        <w:rPr>
          <w:rtl/>
        </w:rPr>
        <w:t xml:space="preserve">הרי הנחה הניחו בראשית דבריהם </w:t>
      </w:r>
      <w:r w:rsidRPr="00747170">
        <w:rPr>
          <w:rFonts w:hint="cs"/>
          <w:rtl/>
        </w:rPr>
        <w:t>"שמלאכה שאינה צריכה לגופה קרי כשעושה מלאכה ועינו צריך לאותו צורך</w:t>
      </w:r>
      <w:r w:rsidRPr="00747170">
        <w:rPr>
          <w:rtl/>
        </w:rPr>
        <w:t xml:space="preserve"> כעין </w:t>
      </w:r>
      <w:r w:rsidRPr="00747170">
        <w:rPr>
          <w:rFonts w:hint="cs"/>
          <w:rtl/>
        </w:rPr>
        <w:t>שהיו צריכים לה במשכן אלא לענין אחר, כי הצורך שהיתה מלאכה נעשית בשבילו במשכן הוא גוף איסור המלאכה</w:t>
      </w:r>
      <w:r w:rsidRPr="00747170">
        <w:rPr>
          <w:rtl/>
        </w:rPr>
        <w:t xml:space="preserve"> ושורשו</w:t>
      </w:r>
      <w:r w:rsidRPr="00747170">
        <w:rPr>
          <w:rFonts w:hint="cs"/>
          <w:rtl/>
        </w:rPr>
        <w:t>"</w:t>
      </w:r>
      <w:r w:rsidRPr="00747170">
        <w:rPr>
          <w:rtl/>
        </w:rPr>
        <w:t xml:space="preserve"> ולפי זה אלה המלאכות </w:t>
      </w:r>
      <w:r w:rsidRPr="00747170">
        <w:rPr>
          <w:rFonts w:hint="cs"/>
          <w:rtl/>
        </w:rPr>
        <w:t>שנעשו במשכן</w:t>
      </w:r>
      <w:r w:rsidRPr="00747170">
        <w:rPr>
          <w:rtl/>
        </w:rPr>
        <w:t xml:space="preserve"> משו</w:t>
      </w:r>
      <w:r w:rsidRPr="00747170">
        <w:rPr>
          <w:rFonts w:hint="cs"/>
          <w:rtl/>
        </w:rPr>
        <w:t>ם</w:t>
      </w:r>
      <w:r w:rsidRPr="00747170">
        <w:rPr>
          <w:rtl/>
        </w:rPr>
        <w:t xml:space="preserve"> תיקון אותו דבר שנעשה בו המלאכה אינו חייב עליהן אלא באופן</w:t>
      </w:r>
      <w:r w:rsidRPr="00747170">
        <w:rPr>
          <w:rFonts w:hint="cs"/>
          <w:rtl/>
        </w:rPr>
        <w:t>.</w:t>
      </w:r>
    </w:p>
    <w:p w14:paraId="68C66B6A" w14:textId="21217FB7" w:rsidR="002748A5" w:rsidRPr="0092736A" w:rsidRDefault="002748A5" w:rsidP="002748A5">
      <w:pPr>
        <w:pStyle w:val="a7"/>
      </w:pPr>
      <w:bookmarkStart w:id="4067" w:name="_Toc140144329"/>
      <w:bookmarkStart w:id="4068" w:name="_Toc140144560"/>
      <w:r>
        <w:rPr>
          <w:rFonts w:hint="cs"/>
          <w:rtl/>
        </w:rPr>
        <w:t>בי' החזו"י דקורע למירמי אימתא התיקון הוא בדב"א והוי משאצל"ג ובמתו מתקן הבגד לאבל</w:t>
      </w:r>
      <w:bookmarkEnd w:id="4067"/>
      <w:bookmarkEnd w:id="4068"/>
    </w:p>
    <w:p w14:paraId="1F13B16A" w14:textId="6096ECF4" w:rsidR="002748A5" w:rsidRPr="00395555" w:rsidRDefault="002748A5" w:rsidP="00BC7DC8">
      <w:pPr>
        <w:pStyle w:val="a3"/>
        <w:rPr>
          <w:rtl/>
        </w:rPr>
      </w:pPr>
      <w:r>
        <w:rPr>
          <w:rFonts w:hint="cs"/>
          <w:rtl/>
        </w:rPr>
        <w:t>וכתב</w:t>
      </w:r>
      <w:r w:rsidRPr="003B63CB">
        <w:rPr>
          <w:rFonts w:hint="cs"/>
          <w:rtl/>
        </w:rPr>
        <w:t xml:space="preserve"> </w:t>
      </w:r>
      <w:r w:rsidRPr="003B63CB">
        <w:rPr>
          <w:rStyle w:val="aff4"/>
          <w:rFonts w:hint="cs"/>
          <w:vanish/>
          <w:rtl/>
        </w:rPr>
        <w:t>-</w:t>
      </w:r>
      <w:r>
        <w:rPr>
          <w:rStyle w:val="aff4"/>
          <w:rFonts w:hint="cs"/>
          <w:rtl/>
        </w:rPr>
        <w:t>בחי' חזון יחזקאל</w:t>
      </w:r>
      <w:r w:rsidRPr="003B63CB">
        <w:rPr>
          <w:rStyle w:val="aff4"/>
          <w:rFonts w:hint="cs"/>
          <w:vanish/>
          <w:rtl/>
        </w:rPr>
        <w:t>-</w:t>
      </w:r>
      <w:r>
        <w:rPr>
          <w:rFonts w:hint="cs"/>
          <w:rtl/>
        </w:rPr>
        <w:t xml:space="preserve"> דלכן בקורע למירמי אימתא אאינישי ביתא, דאינו מתקן בדבר עצמו שקורע אותו, א"כ אינו כמו הצורך שהיה במשכן והוה מלאכה שאינה צריכה לגופה ופטור לר"ש, כדאיתא בגמ' לקמן </w:t>
      </w:r>
      <w:r w:rsidRPr="00515186">
        <w:rPr>
          <w:rStyle w:val="af2"/>
          <w:rFonts w:eastAsia="Guttman Hodes" w:hint="cs"/>
          <w:rtl/>
        </w:rPr>
        <w:t>(קה:)</w:t>
      </w:r>
      <w:r>
        <w:rPr>
          <w:rFonts w:hint="cs"/>
          <w:rtl/>
        </w:rPr>
        <w:t xml:space="preserve">, ורק בקורע על מתו, כתבו </w:t>
      </w:r>
      <w:r w:rsidRPr="003B63CB">
        <w:rPr>
          <w:rStyle w:val="aff4"/>
          <w:rFonts w:hint="cs"/>
          <w:vanish/>
          <w:rtl/>
        </w:rPr>
        <w:t>-</w:t>
      </w:r>
      <w:r w:rsidRPr="003B63CB">
        <w:rPr>
          <w:rStyle w:val="aff4"/>
          <w:rFonts w:hint="cs"/>
          <w:rtl/>
        </w:rPr>
        <w:t>התוס'</w:t>
      </w:r>
      <w:r w:rsidRPr="003B63CB">
        <w:rPr>
          <w:rStyle w:val="aff4"/>
          <w:rFonts w:hint="cs"/>
          <w:vanish/>
          <w:rtl/>
        </w:rPr>
        <w:t>-</w:t>
      </w:r>
      <w:r>
        <w:rPr>
          <w:rFonts w:hint="cs"/>
          <w:rtl/>
        </w:rPr>
        <w:t xml:space="preserve"> </w:t>
      </w:r>
      <w:r w:rsidRPr="00515186">
        <w:rPr>
          <w:rStyle w:val="af2"/>
          <w:rFonts w:eastAsia="Guttman Hodes" w:hint="cs"/>
          <w:rtl/>
        </w:rPr>
        <w:t xml:space="preserve">(הובאו בסימן ח' אות </w:t>
      </w:r>
      <w:r w:rsidRPr="00515186">
        <w:rPr>
          <w:rStyle w:val="af2"/>
          <w:rFonts w:eastAsia="Guttman Hodes"/>
          <w:rtl/>
        </w:rPr>
        <w:fldChar w:fldCharType="begin"/>
      </w:r>
      <w:r w:rsidRPr="00515186">
        <w:rPr>
          <w:rStyle w:val="af2"/>
          <w:rFonts w:eastAsia="Guttman Hodes"/>
          <w:rtl/>
        </w:rPr>
        <w:instrText xml:space="preserve"> </w:instrText>
      </w:r>
      <w:r w:rsidRPr="00515186">
        <w:rPr>
          <w:rStyle w:val="af2"/>
          <w:rFonts w:eastAsia="Guttman Hodes" w:hint="cs"/>
        </w:rPr>
        <w:instrText>REF</w:instrText>
      </w:r>
      <w:r w:rsidRPr="00515186">
        <w:rPr>
          <w:rStyle w:val="af2"/>
          <w:rFonts w:eastAsia="Guttman Hodes" w:hint="cs"/>
          <w:rtl/>
        </w:rPr>
        <w:instrText xml:space="preserve"> _</w:instrText>
      </w:r>
      <w:r w:rsidRPr="00515186">
        <w:rPr>
          <w:rStyle w:val="af2"/>
          <w:rFonts w:eastAsia="Guttman Hodes" w:hint="cs"/>
        </w:rPr>
        <w:instrText>Ref139866961 \r \h</w:instrText>
      </w:r>
      <w:r w:rsidRPr="00515186">
        <w:rPr>
          <w:rStyle w:val="af2"/>
          <w:rFonts w:eastAsia="Guttman Hodes"/>
          <w:rtl/>
        </w:rPr>
        <w:instrText xml:space="preserve">  \* </w:instrText>
      </w:r>
      <w:r w:rsidRPr="00515186">
        <w:rPr>
          <w:rStyle w:val="af2"/>
          <w:rFonts w:eastAsia="Guttman Hodes"/>
        </w:rPr>
        <w:instrText>MERGEFORMAT</w:instrText>
      </w:r>
      <w:r w:rsidRPr="00515186">
        <w:rPr>
          <w:rStyle w:val="af2"/>
          <w:rFonts w:eastAsia="Guttman Hodes"/>
          <w:rtl/>
        </w:rPr>
        <w:instrText xml:space="preserve"> </w:instrText>
      </w:r>
      <w:r w:rsidRPr="00515186">
        <w:rPr>
          <w:rStyle w:val="af2"/>
          <w:rFonts w:eastAsia="Guttman Hodes"/>
          <w:rtl/>
        </w:rPr>
      </w:r>
      <w:r w:rsidRPr="00515186">
        <w:rPr>
          <w:rStyle w:val="af2"/>
          <w:rFonts w:eastAsia="Guttman Hodes"/>
          <w:rtl/>
        </w:rPr>
        <w:fldChar w:fldCharType="separate"/>
      </w:r>
      <w:r w:rsidR="00D82181">
        <w:rPr>
          <w:rStyle w:val="af2"/>
          <w:rFonts w:eastAsia="Guttman Hodes"/>
          <w:cs/>
        </w:rPr>
        <w:t>‎</w:t>
      </w:r>
      <w:r w:rsidR="00D82181">
        <w:rPr>
          <w:rStyle w:val="af2"/>
          <w:rFonts w:eastAsia="Guttman Hodes"/>
          <w:rtl/>
        </w:rPr>
        <w:t>מו)</w:t>
      </w:r>
      <w:r w:rsidRPr="00515186">
        <w:rPr>
          <w:rStyle w:val="af2"/>
          <w:rFonts w:eastAsia="Guttman Hodes"/>
          <w:rtl/>
        </w:rPr>
        <w:fldChar w:fldCharType="end"/>
      </w:r>
      <w:r>
        <w:rPr>
          <w:rFonts w:hint="cs"/>
          <w:rtl/>
        </w:rPr>
        <w:t xml:space="preserve"> דחשיב תיקון בבגד עצמו כיון שעי"ז יכול האבל ללובשו.</w:t>
      </w:r>
    </w:p>
    <w:p w14:paraId="518A00E1" w14:textId="77777777" w:rsidR="002748A5" w:rsidRPr="00747170" w:rsidRDefault="002748A5" w:rsidP="00747170">
      <w:pPr>
        <w:pStyle w:val="a2"/>
        <w:rPr>
          <w:rtl/>
        </w:rPr>
      </w:pPr>
      <w:r w:rsidRPr="00747170">
        <w:rPr>
          <w:rtl/>
        </w:rPr>
        <w:t xml:space="preserve">כזה כגון מלאכת הקריעה היתה במשכן לצורך דבר הנקרע ומיתקן בכך לפיכך בקורע כדי למירמא אימתא אאינשי ביתא אין </w:t>
      </w:r>
      <w:r w:rsidRPr="00747170">
        <w:rPr>
          <w:rFonts w:hint="cs"/>
          <w:rtl/>
        </w:rPr>
        <w:t>בזה</w:t>
      </w:r>
      <w:r w:rsidRPr="00747170">
        <w:rPr>
          <w:rtl/>
        </w:rPr>
        <w:t xml:space="preserve"> משום תיקון בעצם דבר הנקרע ואינה כאותו צורך שהיו צריכים לה במשכן הוה מלאכה שאינה צריכה לגופה ופטור לרבי שמעון </w:t>
      </w:r>
      <w:r w:rsidRPr="00747170">
        <w:rPr>
          <w:rFonts w:hint="cs"/>
          <w:rtl/>
        </w:rPr>
        <w:t>(</w:t>
      </w:r>
      <w:r w:rsidRPr="00747170">
        <w:rPr>
          <w:rtl/>
        </w:rPr>
        <w:t>מסכתין דף ק"ה ע"ב</w:t>
      </w:r>
      <w:r w:rsidRPr="00747170">
        <w:rPr>
          <w:rFonts w:hint="cs"/>
          <w:rtl/>
        </w:rPr>
        <w:t>)</w:t>
      </w:r>
      <w:r w:rsidRPr="00747170">
        <w:rPr>
          <w:rtl/>
        </w:rPr>
        <w:t xml:space="preserve"> ורק בקריעת אבל כתבו שם בתוספות ד"ה הא ר' יהודה והא ר"ש דהוה מלאכה הצריכה לגופה משום דכיל ידי קריעה זו תיקן את הבגד עצמו בזה אשר על ידי קריעה יוכל ללובשו בכל שעה</w:t>
      </w:r>
      <w:r w:rsidRPr="00747170">
        <w:rPr>
          <w:rFonts w:hint="cs"/>
          <w:rtl/>
        </w:rPr>
        <w:t>.</w:t>
      </w:r>
    </w:p>
    <w:p w14:paraId="36509B9E" w14:textId="20947015" w:rsidR="002748A5" w:rsidRDefault="002748A5" w:rsidP="002748A5">
      <w:pPr>
        <w:pStyle w:val="a7"/>
        <w:rPr>
          <w:rtl/>
        </w:rPr>
      </w:pPr>
      <w:bookmarkStart w:id="4069" w:name="_Toc140144330"/>
      <w:bookmarkStart w:id="4070" w:name="_Toc140144561"/>
      <w:r>
        <w:rPr>
          <w:rFonts w:hint="cs"/>
          <w:rtl/>
        </w:rPr>
        <w:t>בי' החזו"י דחובל באדם להנקם בו הוי צריך לגופה דילפי' מאילים מאדמים ומהני תיקון בדב"א</w:t>
      </w:r>
      <w:bookmarkEnd w:id="4069"/>
      <w:bookmarkEnd w:id="4070"/>
    </w:p>
    <w:p w14:paraId="4D6EDB1B" w14:textId="77777777" w:rsidR="002748A5" w:rsidRPr="006B485C" w:rsidRDefault="002748A5" w:rsidP="00BC7DC8">
      <w:pPr>
        <w:pStyle w:val="a3"/>
      </w:pPr>
      <w:r>
        <w:rPr>
          <w:rFonts w:hint="cs"/>
          <w:rtl/>
        </w:rPr>
        <w:t>אך כתב</w:t>
      </w:r>
      <w:r w:rsidRPr="003B63CB">
        <w:rPr>
          <w:rFonts w:hint="cs"/>
          <w:rtl/>
        </w:rPr>
        <w:t xml:space="preserve"> </w:t>
      </w:r>
      <w:r w:rsidRPr="003B63CB">
        <w:rPr>
          <w:rStyle w:val="aff4"/>
          <w:rFonts w:hint="cs"/>
          <w:vanish/>
          <w:rtl/>
        </w:rPr>
        <w:t>-</w:t>
      </w:r>
      <w:r>
        <w:rPr>
          <w:rStyle w:val="aff4"/>
          <w:rFonts w:hint="cs"/>
          <w:rtl/>
        </w:rPr>
        <w:t>בחי' חזון יחזקאל</w:t>
      </w:r>
      <w:r w:rsidRPr="003B63CB">
        <w:rPr>
          <w:rStyle w:val="aff4"/>
          <w:rFonts w:hint="cs"/>
          <w:vanish/>
          <w:rtl/>
        </w:rPr>
        <w:t>-</w:t>
      </w:r>
      <w:r>
        <w:rPr>
          <w:rFonts w:hint="cs"/>
          <w:rtl/>
        </w:rPr>
        <w:t xml:space="preserve"> דבסוג השני של המלאכות, אף כשעושה לצורך שאינו הדבר עצמו, מ"מ חשיב מלאכה שצריכה לגופה דאף במשכן המלאכה הייתה לצורך אחר, ולכן החובל באדם בכדי להנקם בו ורוצה שיצא ממנו דם, דחייב לדעת </w:t>
      </w:r>
      <w:r w:rsidRPr="003B63CB">
        <w:rPr>
          <w:rStyle w:val="aff4"/>
          <w:rFonts w:hint="cs"/>
          <w:vanish/>
          <w:rtl/>
        </w:rPr>
        <w:t>-</w:t>
      </w:r>
      <w:r w:rsidRPr="003B63CB">
        <w:rPr>
          <w:rStyle w:val="aff4"/>
          <w:rFonts w:hint="cs"/>
          <w:rtl/>
        </w:rPr>
        <w:t>התוס'</w:t>
      </w:r>
      <w:r w:rsidRPr="003B63CB">
        <w:rPr>
          <w:rStyle w:val="aff4"/>
          <w:rFonts w:hint="cs"/>
          <w:vanish/>
          <w:rtl/>
        </w:rPr>
        <w:t>-</w:t>
      </w:r>
      <w:r>
        <w:rPr>
          <w:rFonts w:hint="cs"/>
          <w:rtl/>
        </w:rPr>
        <w:t xml:space="preserve"> אף לר"ש, כיון דחיוב חובל הוא מדין שוחט ונטילת נשמה, כמבואר בגמ' </w:t>
      </w:r>
      <w:r w:rsidRPr="008C67FC">
        <w:rPr>
          <w:rStyle w:val="af2"/>
          <w:rFonts w:eastAsia="Guttman Hodes" w:hint="cs"/>
          <w:rtl/>
        </w:rPr>
        <w:t>(עה.)</w:t>
      </w:r>
      <w:r>
        <w:rPr>
          <w:rFonts w:hint="cs"/>
          <w:rtl/>
        </w:rPr>
        <w:t xml:space="preserve">, ומלאכת שוחט במשכן לא הייתה לצורך תיקון בדבר עצמו, אלא </w:t>
      </w:r>
      <w:r>
        <w:rPr>
          <w:rFonts w:hint="cs"/>
          <w:rtl/>
        </w:rPr>
        <w:lastRenderedPageBreak/>
        <w:t>דשחטו אילים מאדמים לצורך תיקון העור שלהם, וא"כ בחובל לצורך נקמה חשיב מלאכה שצריכה לגופה, דבסוג השני של המלאכות א"צ צורך בגוף הדבר שנעשית בו מלאכה, אלא החיוב הוא כל שהמלאכה נעשית לצורך, ולכן אין כל חילוק בין צורך כזה לצורך אחר, וכל שחובל לצורך חייב, אף כשהצורך הוא לשם נקמה,</w:t>
      </w:r>
      <w:r w:rsidRPr="002510F3">
        <w:rPr>
          <w:rFonts w:hint="cs"/>
          <w:rtl/>
        </w:rPr>
        <w:t xml:space="preserve"> </w:t>
      </w:r>
      <w:r>
        <w:rPr>
          <w:rFonts w:hint="cs"/>
          <w:rtl/>
        </w:rPr>
        <w:t xml:space="preserve">ועיי"ש במה שהוכיח כן </w:t>
      </w:r>
      <w:bookmarkStart w:id="4071" w:name="_Hlk140138501"/>
      <w:r w:rsidRPr="003B63CB">
        <w:rPr>
          <w:rStyle w:val="aff4"/>
          <w:rFonts w:hint="cs"/>
          <w:vanish/>
          <w:rtl/>
        </w:rPr>
        <w:t>-</w:t>
      </w:r>
      <w:r>
        <w:rPr>
          <w:rStyle w:val="aff4"/>
          <w:rFonts w:hint="cs"/>
          <w:rtl/>
        </w:rPr>
        <w:t>בחי' חזון יחזקאל</w:t>
      </w:r>
      <w:r w:rsidRPr="003B63CB">
        <w:rPr>
          <w:rStyle w:val="aff4"/>
          <w:rFonts w:hint="cs"/>
          <w:vanish/>
          <w:rtl/>
        </w:rPr>
        <w:t>-</w:t>
      </w:r>
      <w:r>
        <w:rPr>
          <w:rFonts w:hint="cs"/>
          <w:rtl/>
        </w:rPr>
        <w:t xml:space="preserve"> </w:t>
      </w:r>
      <w:bookmarkEnd w:id="4071"/>
      <w:r>
        <w:rPr>
          <w:rFonts w:hint="cs"/>
          <w:rtl/>
        </w:rPr>
        <w:t xml:space="preserve">מדברי </w:t>
      </w:r>
      <w:r w:rsidRPr="002510F3">
        <w:rPr>
          <w:rStyle w:val="aff4"/>
          <w:rFonts w:hint="cs"/>
          <w:vanish/>
          <w:rtl/>
        </w:rPr>
        <w:t>-</w:t>
      </w:r>
      <w:r w:rsidRPr="002510F3">
        <w:rPr>
          <w:rStyle w:val="aff4"/>
          <w:rFonts w:hint="cs"/>
          <w:rtl/>
        </w:rPr>
        <w:t>ה</w:t>
      </w:r>
      <w:r w:rsidRPr="002510F3">
        <w:rPr>
          <w:rStyle w:val="aff4"/>
          <w:rFonts w:hint="cs"/>
          <w:vanish/>
          <w:rtl/>
        </w:rPr>
        <w:t>&lt; &gt;</w:t>
      </w:r>
      <w:r w:rsidRPr="002510F3">
        <w:rPr>
          <w:rStyle w:val="aff4"/>
          <w:rFonts w:hint="cs"/>
          <w:rtl/>
        </w:rPr>
        <w:t>רמב"ן</w:t>
      </w:r>
      <w:r w:rsidRPr="002510F3">
        <w:rPr>
          <w:rStyle w:val="aff4"/>
          <w:rFonts w:hint="cs"/>
          <w:vanish/>
          <w:rtl/>
        </w:rPr>
        <w:t>-</w:t>
      </w:r>
      <w:r w:rsidRPr="002510F3">
        <w:rPr>
          <w:rStyle w:val="aff4"/>
          <w:rFonts w:hint="cs"/>
          <w:rtl/>
        </w:rPr>
        <w:t xml:space="preserve"> </w:t>
      </w:r>
      <w:r w:rsidRPr="002510F3">
        <w:rPr>
          <w:rStyle w:val="af2"/>
          <w:rFonts w:eastAsia="Guttman Hodes" w:hint="cs"/>
          <w:rtl/>
        </w:rPr>
        <w:t>(קו. ד"ה והא דאמרינן)</w:t>
      </w:r>
      <w:r w:rsidRPr="002510F3">
        <w:rPr>
          <w:rFonts w:hint="cs"/>
          <w:vanish/>
          <w:rtl/>
        </w:rPr>
        <w:t>=</w:t>
      </w:r>
      <w:r>
        <w:rPr>
          <w:rFonts w:hint="cs"/>
          <w:rtl/>
        </w:rPr>
        <w:t>.</w:t>
      </w:r>
    </w:p>
    <w:p w14:paraId="30D88B6D" w14:textId="77777777" w:rsidR="002748A5" w:rsidRPr="00747170" w:rsidRDefault="002748A5" w:rsidP="00747170">
      <w:pPr>
        <w:pStyle w:val="a2"/>
        <w:rPr>
          <w:rStyle w:val="afff7"/>
          <w:rtl/>
        </w:rPr>
      </w:pPr>
      <w:r w:rsidRPr="00747170">
        <w:rPr>
          <w:rtl/>
        </w:rPr>
        <w:t>אבל אם חבל באדם כדי להנק</w:t>
      </w:r>
      <w:r w:rsidRPr="00747170">
        <w:rPr>
          <w:rFonts w:hint="cs"/>
          <w:rtl/>
        </w:rPr>
        <w:t>ם</w:t>
      </w:r>
      <w:r w:rsidRPr="00747170">
        <w:rPr>
          <w:rtl/>
        </w:rPr>
        <w:t xml:space="preserve"> בו ולא חזה </w:t>
      </w:r>
      <w:r w:rsidRPr="00747170">
        <w:rPr>
          <w:rFonts w:hint="cs"/>
          <w:rtl/>
        </w:rPr>
        <w:t>נ</w:t>
      </w:r>
      <w:r w:rsidRPr="00747170">
        <w:rPr>
          <w:rtl/>
        </w:rPr>
        <w:t xml:space="preserve">קם עד שיצא דם חייב אף לרבי שמעון דשחיטה שנעשתה במשכן באילים לא היתה השחיטה עושה תיקון באילים עצמם אך משום צורך בעורותיהם וחובל הוא חייב משום שוחט ומשום נטילת נשמה </w:t>
      </w:r>
      <w:r w:rsidRPr="00747170">
        <w:rPr>
          <w:rFonts w:hint="cs"/>
          <w:rtl/>
        </w:rPr>
        <w:t>(</w:t>
      </w:r>
      <w:r w:rsidRPr="00747170">
        <w:rPr>
          <w:rtl/>
        </w:rPr>
        <w:t>עיין במסכתין דף ע"ה ע"א</w:t>
      </w:r>
      <w:r w:rsidRPr="00747170">
        <w:rPr>
          <w:rFonts w:hint="cs"/>
          <w:rtl/>
        </w:rPr>
        <w:t xml:space="preserve">) </w:t>
      </w:r>
      <w:r w:rsidRPr="00747170">
        <w:rPr>
          <w:rtl/>
        </w:rPr>
        <w:t>לפיכך אם חבל משום צורך נקמה הוה שפיר מלאכה הצריכה לגופה דכל מלאכה שאינה לתיקון בע</w:t>
      </w:r>
      <w:r w:rsidRPr="00747170">
        <w:rPr>
          <w:rFonts w:hint="cs"/>
          <w:rtl/>
        </w:rPr>
        <w:t>צ</w:t>
      </w:r>
      <w:r w:rsidRPr="00747170">
        <w:rPr>
          <w:rtl/>
        </w:rPr>
        <w:t>ם החפץ שהמלאכה נעשית בו וכל עיקרה אינו אלא משום צורך אז אין חילוק בין צורך לצורך</w:t>
      </w:r>
      <w:r w:rsidRPr="00747170">
        <w:rPr>
          <w:rFonts w:hint="cs"/>
          <w:rtl/>
        </w:rPr>
        <w:t xml:space="preserve">. </w:t>
      </w:r>
      <w:r w:rsidRPr="00747170">
        <w:rPr>
          <w:rStyle w:val="afff7"/>
          <w:rtl/>
        </w:rPr>
        <w:t xml:space="preserve">ויותר מזה כתוב בחדושי הרמב"ן במסכתין דף ק"ו שענין צריכה לגופה תלוי בדעת האדם העושה המלאכה וזה לשונו שם </w:t>
      </w:r>
      <w:r w:rsidRPr="00747170">
        <w:rPr>
          <w:rStyle w:val="afff7"/>
          <w:rFonts w:hint="cs"/>
          <w:rtl/>
        </w:rPr>
        <w:t>בפירוש האמור ב</w:t>
      </w:r>
      <w:r w:rsidRPr="00747170">
        <w:rPr>
          <w:rStyle w:val="afff7"/>
          <w:rtl/>
        </w:rPr>
        <w:t xml:space="preserve">פסחים בפ' אלו דברים (ע"ג א') כי אזלת לקמיה דר' זריקא בעי מיניה לדברי האומר מקלקל בחבורה פטור שוחט שלא לאוכליו מאי תיקן תיקן להוציאו מידי אבר מן החי, דוקא לר' יהודה פריך דאמר מקלקל בחבורה פטור, דלר"ש דאמר חייב אף על פי שאין בו שום תיקון נמי מחייב בין לר' אבהו בין לר' יוחנן דהתם מלאכה הצריכה לגופה הוא שהוא שוגג וסבור לשחוט יפה ומלאכת מחשבת קרינא בי' </w:t>
      </w:r>
      <w:r w:rsidRPr="00747170">
        <w:rPr>
          <w:rStyle w:val="afff7"/>
          <w:rFonts w:hint="cs"/>
          <w:rtl/>
        </w:rPr>
        <w:t xml:space="preserve">עד </w:t>
      </w:r>
      <w:r w:rsidRPr="00747170">
        <w:rPr>
          <w:rStyle w:val="afff7"/>
          <w:rtl/>
        </w:rPr>
        <w:t>כאן לשונו הרי לגבי מלאכה הצריכה לגופה שדבר זה תולה בדעתו די שסבור שהוא צריך לה וחשב לשחוט יפה אע"פ שטעה אבל מקלקל לא מהני מה שסבור לשחוט יפה כיון שסוף כל סוף יש במלאכתו קלקול ואינו מלאכה וכיון שבחבלה לא בעינן שתהא בה משו</w:t>
      </w:r>
      <w:r w:rsidRPr="00747170">
        <w:rPr>
          <w:rStyle w:val="afff7"/>
          <w:rFonts w:hint="cs"/>
          <w:rtl/>
        </w:rPr>
        <w:t>ם</w:t>
      </w:r>
      <w:r w:rsidRPr="00747170">
        <w:rPr>
          <w:rStyle w:val="afff7"/>
          <w:rtl/>
        </w:rPr>
        <w:t xml:space="preserve"> תיקון בדבר הנחבל ובעינן בה שיהא בה משו</w:t>
      </w:r>
      <w:r w:rsidRPr="00747170">
        <w:rPr>
          <w:rStyle w:val="afff7"/>
          <w:rFonts w:hint="cs"/>
          <w:rtl/>
        </w:rPr>
        <w:t>ם</w:t>
      </w:r>
      <w:r w:rsidRPr="00747170">
        <w:rPr>
          <w:rStyle w:val="afff7"/>
          <w:rtl/>
        </w:rPr>
        <w:t xml:space="preserve"> </w:t>
      </w:r>
      <w:r w:rsidRPr="00747170">
        <w:rPr>
          <w:rStyle w:val="afff7"/>
          <w:rFonts w:hint="cs"/>
          <w:rtl/>
        </w:rPr>
        <w:t>צ</w:t>
      </w:r>
      <w:r w:rsidRPr="00747170">
        <w:rPr>
          <w:rStyle w:val="afff7"/>
          <w:rtl/>
        </w:rPr>
        <w:t xml:space="preserve">ורך לכן שפיר כתב הטור </w:t>
      </w:r>
      <w:r w:rsidRPr="00747170">
        <w:rPr>
          <w:rStyle w:val="afff7"/>
          <w:rFonts w:hint="cs"/>
          <w:rtl/>
        </w:rPr>
        <w:t>(</w:t>
      </w:r>
      <w:r w:rsidRPr="00747170">
        <w:rPr>
          <w:rStyle w:val="afff7"/>
          <w:rtl/>
        </w:rPr>
        <w:t>בסימן תכ"ד</w:t>
      </w:r>
      <w:r w:rsidRPr="00747170">
        <w:rPr>
          <w:rStyle w:val="afff7"/>
          <w:rFonts w:hint="cs"/>
          <w:rtl/>
        </w:rPr>
        <w:t>)</w:t>
      </w:r>
      <w:r w:rsidRPr="00747170">
        <w:rPr>
          <w:rStyle w:val="afff7"/>
          <w:rtl/>
        </w:rPr>
        <w:t xml:space="preserve"> אם חבל בחברו בשבת פטור מתשלומים אע"פ שהטור נקט להלכה שמלאכה שאינה צריכה לגופה פטור עליה דאם חבל בו משום צורך נקמה הוה שפיר מלאכה הצריכה לגופה כמבואר לעיל</w:t>
      </w:r>
      <w:r w:rsidRPr="00747170">
        <w:rPr>
          <w:rStyle w:val="afff7"/>
          <w:rFonts w:hint="cs"/>
          <w:rtl/>
        </w:rPr>
        <w:t>.</w:t>
      </w:r>
    </w:p>
    <w:p w14:paraId="7E69AEA8" w14:textId="77777777" w:rsidR="002748A5" w:rsidRPr="00C12F78" w:rsidRDefault="002748A5" w:rsidP="002748A5">
      <w:pPr>
        <w:pStyle w:val="afffff7"/>
        <w:rPr>
          <w:rtl/>
        </w:rPr>
      </w:pPr>
      <w:bookmarkStart w:id="4072" w:name="_Toc140144417"/>
      <w:bookmarkStart w:id="4073" w:name="_Toc140144893"/>
      <w:bookmarkStart w:id="4074" w:name="_Ref140138285"/>
      <w:bookmarkStart w:id="4075" w:name="_Toc163506008"/>
      <w:r w:rsidRPr="00C12F78">
        <w:rPr>
          <w:rFonts w:hint="cs"/>
          <w:rtl/>
        </w:rPr>
        <w:t>חידושי חזון יחזקאל שבת צ"ג ע"ב ד"ה אמנם</w:t>
      </w:r>
      <w:bookmarkEnd w:id="4075"/>
      <w:r w:rsidRPr="00C12F78">
        <w:rPr>
          <w:vanish/>
          <w:rtl/>
        </w:rPr>
        <w:t xml:space="preserve"> (ט)</w:t>
      </w:r>
      <w:bookmarkEnd w:id="4072"/>
      <w:bookmarkEnd w:id="4073"/>
    </w:p>
    <w:p w14:paraId="375E6FF9" w14:textId="77777777" w:rsidR="002748A5" w:rsidRPr="00EB33EB" w:rsidRDefault="002748A5" w:rsidP="002748A5">
      <w:pPr>
        <w:pStyle w:val="a7"/>
        <w:rPr>
          <w:rtl/>
        </w:rPr>
      </w:pPr>
      <w:bookmarkStart w:id="4076" w:name="_Toc140144331"/>
      <w:bookmarkStart w:id="4077" w:name="_Toc140144562"/>
      <w:r>
        <w:rPr>
          <w:rFonts w:hint="cs"/>
          <w:rtl/>
        </w:rPr>
        <w:t>קו' החזו"י דבהוצאה חייב אף דל"ד למשכן דא"צ לגופו ולגופה ובמשכן תיקנו את הנדבה עצמה</w:t>
      </w:r>
      <w:bookmarkEnd w:id="4076"/>
      <w:bookmarkEnd w:id="4077"/>
    </w:p>
    <w:p w14:paraId="3CFA708F" w14:textId="23F1FC8A" w:rsidR="002748A5" w:rsidRPr="00806A28" w:rsidRDefault="002748A5" w:rsidP="00BC7DC8">
      <w:pPr>
        <w:pStyle w:val="a3"/>
      </w:pPr>
      <w:bookmarkStart w:id="4078" w:name="_Ref140143371"/>
      <w:r>
        <w:rPr>
          <w:rFonts w:hint="cs"/>
          <w:rtl/>
        </w:rPr>
        <w:t>אך הקשה</w:t>
      </w:r>
      <w:r w:rsidRPr="00806A28">
        <w:rPr>
          <w:rFonts w:hint="cs"/>
          <w:rtl/>
        </w:rPr>
        <w:t xml:space="preserve"> </w:t>
      </w:r>
      <w:r w:rsidRPr="00806A28">
        <w:rPr>
          <w:rStyle w:val="aff4"/>
          <w:rFonts w:hint="cs"/>
          <w:vanish/>
          <w:rtl/>
        </w:rPr>
        <w:t>-</w:t>
      </w:r>
      <w:r w:rsidRPr="00806A28">
        <w:rPr>
          <w:rStyle w:val="aff4"/>
          <w:rFonts w:hint="cs"/>
          <w:rtl/>
        </w:rPr>
        <w:t>ב</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Ref140143371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מד)</w:t>
      </w:r>
      <w:r>
        <w:rPr>
          <w:rStyle w:val="aff4"/>
          <w:vanish/>
          <w:rtl/>
        </w:rPr>
        <w:fldChar w:fldCharType="end"/>
      </w:r>
      <w:r>
        <w:rPr>
          <w:rStyle w:val="aff4"/>
          <w:rFonts w:hint="cs"/>
          <w:vanish/>
          <w:rtl/>
        </w:rPr>
        <w:t xml:space="preserve"> &gt;</w:t>
      </w:r>
      <w:r w:rsidRPr="00806A28">
        <w:rPr>
          <w:rStyle w:val="aff4"/>
          <w:rFonts w:hint="cs"/>
          <w:rtl/>
        </w:rPr>
        <w:t>חי' חזון יחזקאל</w:t>
      </w:r>
      <w:r w:rsidRPr="00806A28">
        <w:rPr>
          <w:rStyle w:val="aff4"/>
          <w:rFonts w:hint="cs"/>
          <w:vanish/>
          <w:rtl/>
        </w:rPr>
        <w:t>-</w:t>
      </w:r>
      <w:r w:rsidRPr="00806A28">
        <w:rPr>
          <w:rFonts w:hint="cs"/>
          <w:rtl/>
        </w:rPr>
        <w:t xml:space="preserve"> </w:t>
      </w:r>
      <w:r w:rsidRPr="00806A28">
        <w:rPr>
          <w:rStyle w:val="af2"/>
          <w:rFonts w:eastAsia="Guttman Hodes" w:hint="cs"/>
          <w:rtl/>
        </w:rPr>
        <w:t>(צג: ד"ה אמנם)</w:t>
      </w:r>
      <w:r w:rsidRPr="00806A28">
        <w:rPr>
          <w:rFonts w:hint="cs"/>
          <w:vanish/>
          <w:rtl/>
        </w:rPr>
        <w:t>=</w:t>
      </w:r>
      <w:r w:rsidRPr="00806A28">
        <w:rPr>
          <w:rFonts w:hint="cs"/>
          <w:rtl/>
        </w:rPr>
        <w:t xml:space="preserve"> ד</w:t>
      </w:r>
      <w:r>
        <w:rPr>
          <w:rFonts w:hint="cs"/>
          <w:rtl/>
        </w:rPr>
        <w:t xml:space="preserve">הא </w:t>
      </w:r>
      <w:r w:rsidRPr="00806A28">
        <w:rPr>
          <w:rFonts w:hint="cs"/>
          <w:rtl/>
        </w:rPr>
        <w:t xml:space="preserve">בסוג השלישי של המלאכות דהוא מלאכות הוצאה, </w:t>
      </w:r>
      <w:r>
        <w:rPr>
          <w:rFonts w:hint="cs"/>
          <w:rtl/>
        </w:rPr>
        <w:t xml:space="preserve">כתבו </w:t>
      </w:r>
      <w:r w:rsidRPr="003B63CB">
        <w:rPr>
          <w:rStyle w:val="aff4"/>
          <w:rFonts w:hint="cs"/>
          <w:vanish/>
          <w:rtl/>
        </w:rPr>
        <w:t>-</w:t>
      </w:r>
      <w:r w:rsidRPr="003B63CB">
        <w:rPr>
          <w:rStyle w:val="aff4"/>
          <w:rFonts w:hint="cs"/>
          <w:rtl/>
        </w:rPr>
        <w:t>התוס'</w:t>
      </w:r>
      <w:r w:rsidRPr="003B63CB">
        <w:rPr>
          <w:rStyle w:val="aff4"/>
          <w:rFonts w:hint="cs"/>
          <w:vanish/>
          <w:rtl/>
        </w:rPr>
        <w:t>-</w:t>
      </w:r>
      <w:r>
        <w:rPr>
          <w:rFonts w:hint="cs"/>
          <w:rtl/>
        </w:rPr>
        <w:t xml:space="preserve"> </w:t>
      </w:r>
      <w:r w:rsidRPr="00067567">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Ref140142529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טז)</w:t>
      </w:r>
      <w:r>
        <w:rPr>
          <w:rStyle w:val="af2"/>
          <w:rFonts w:eastAsia="Guttman Hodes"/>
          <w:rtl/>
        </w:rPr>
        <w:fldChar w:fldCharType="end"/>
      </w:r>
      <w:bookmarkEnd w:id="4074"/>
      <w:r>
        <w:rPr>
          <w:rFonts w:hint="cs"/>
          <w:rtl/>
        </w:rPr>
        <w:t xml:space="preserve"> דר"ש מחייב אף כשהצורך אינו ממש הצורך שהיה במשכן, דא"צ לגופו ולגופה דמר לעשות בו טס וס"ת להגיהו, אלא סגי במר לחפור וס"ת לקרות בו, ואילו במשכן ההוצאה הייתה בכדי לתקן את הנדבה עצמה, שעשו ממנה משכן וכלים.</w:t>
      </w:r>
      <w:bookmarkEnd w:id="4078"/>
      <w:r>
        <w:rPr>
          <w:rFonts w:hint="cs"/>
          <w:rtl/>
        </w:rPr>
        <w:t xml:space="preserve"> </w:t>
      </w:r>
    </w:p>
    <w:p w14:paraId="6EBCF444" w14:textId="77777777" w:rsidR="002748A5" w:rsidRPr="00747170" w:rsidRDefault="002748A5" w:rsidP="00747170">
      <w:pPr>
        <w:pStyle w:val="a2"/>
        <w:rPr>
          <w:rtl/>
        </w:rPr>
      </w:pPr>
      <w:r w:rsidRPr="00747170">
        <w:rPr>
          <w:rtl/>
        </w:rPr>
        <w:t>אמ</w:t>
      </w:r>
      <w:r w:rsidRPr="00747170">
        <w:rPr>
          <w:rFonts w:hint="cs"/>
          <w:rtl/>
        </w:rPr>
        <w:t>נ</w:t>
      </w:r>
      <w:r w:rsidRPr="00747170">
        <w:rPr>
          <w:rtl/>
        </w:rPr>
        <w:t>ם לגבי הוצאה כתוב שם בתוספות דלא בעי רבי שמעון שיהא לגמרי כמו שהיה במשכן ולא בעינן במוציא שתהא כונתו לעשות לו טס די שהוציאו לחפור בו וכן במוציא ספר תורה לא בעינן שיוציאו להגיהו די אם הוציאו לקרות בו חייב על הוצאתו אע"פ שבמשכן הוצאת הנדבה היתה כדי לתקנה לעשות ממנה משכן וכלים</w:t>
      </w:r>
      <w:r w:rsidRPr="00747170">
        <w:rPr>
          <w:rFonts w:hint="cs"/>
          <w:rtl/>
        </w:rPr>
        <w:t>.</w:t>
      </w:r>
    </w:p>
    <w:p w14:paraId="61F3B822" w14:textId="7E1D8FA4" w:rsidR="002748A5" w:rsidRDefault="002748A5" w:rsidP="002748A5">
      <w:pPr>
        <w:pStyle w:val="a7"/>
        <w:rPr>
          <w:rtl/>
        </w:rPr>
      </w:pPr>
      <w:bookmarkStart w:id="4079" w:name="_Toc140144332"/>
      <w:bookmarkStart w:id="4080" w:name="_Toc140144563"/>
      <w:r>
        <w:rPr>
          <w:rFonts w:hint="cs"/>
          <w:rtl/>
        </w:rPr>
        <w:t>תי' החזו"י דהתיקון בנדבה במשכן היה ע"י מלאכות אחרות וצורך זה אינו כלול במלאכת הוצאה</w:t>
      </w:r>
      <w:bookmarkEnd w:id="4079"/>
      <w:bookmarkEnd w:id="4080"/>
    </w:p>
    <w:p w14:paraId="5DEBCBB0" w14:textId="77777777" w:rsidR="002748A5" w:rsidRDefault="002748A5" w:rsidP="00BC7DC8">
      <w:pPr>
        <w:pStyle w:val="a3"/>
      </w:pPr>
      <w:r>
        <w:rPr>
          <w:rFonts w:hint="cs"/>
          <w:rtl/>
        </w:rPr>
        <w:t xml:space="preserve">ותירץ </w:t>
      </w:r>
      <w:r w:rsidRPr="003B63CB">
        <w:rPr>
          <w:rStyle w:val="aff4"/>
          <w:rFonts w:hint="cs"/>
          <w:vanish/>
          <w:rtl/>
        </w:rPr>
        <w:t>-</w:t>
      </w:r>
      <w:r>
        <w:rPr>
          <w:rStyle w:val="aff4"/>
          <w:rFonts w:hint="cs"/>
          <w:rtl/>
        </w:rPr>
        <w:t>בחי' חזון יחזקאל</w:t>
      </w:r>
      <w:r w:rsidRPr="003B63CB">
        <w:rPr>
          <w:rStyle w:val="aff4"/>
          <w:rFonts w:hint="cs"/>
          <w:vanish/>
          <w:rtl/>
        </w:rPr>
        <w:t>-</w:t>
      </w:r>
      <w:r>
        <w:rPr>
          <w:rFonts w:hint="cs"/>
          <w:rtl/>
        </w:rPr>
        <w:t xml:space="preserve"> דאף בהוצאה במשכן התיקון שנעשה בנדבה אינו במלאכת הוצאה, אלא תיקנה ע"י מלאכות אחרות, </w:t>
      </w:r>
      <w:r>
        <w:rPr>
          <w:rFonts w:hint="cs"/>
          <w:rtl/>
        </w:rPr>
        <w:t>דהחיוב שלהם הוא חיוב בפנ"ע, ואינו שייך כלל למלאכת הוצאה ולהחשיבה כמלאכת מחשבת.</w:t>
      </w:r>
    </w:p>
    <w:p w14:paraId="39F208E3" w14:textId="77777777" w:rsidR="002748A5" w:rsidRPr="00747170" w:rsidRDefault="002748A5" w:rsidP="00747170">
      <w:pPr>
        <w:pStyle w:val="a2"/>
        <w:rPr>
          <w:rtl/>
        </w:rPr>
      </w:pPr>
      <w:r w:rsidRPr="00747170">
        <w:rPr>
          <w:rtl/>
        </w:rPr>
        <w:t>והיינו משום שבמשכן גופו שהתיקונים שנעשו אחר כך בנדבה שהוציאו נעשו אחר כך על ידי מלאכות אחרות שהן מלאכות בפני עצמן שאין להן שו</w:t>
      </w:r>
      <w:r w:rsidRPr="00747170">
        <w:rPr>
          <w:rFonts w:hint="cs"/>
          <w:rtl/>
        </w:rPr>
        <w:t>ם</w:t>
      </w:r>
      <w:r w:rsidRPr="00747170">
        <w:rPr>
          <w:rtl/>
        </w:rPr>
        <w:t xml:space="preserve"> קשר אם מלאכת הוצאה גופה ואין להן קשר לתנאי מלאכת מחשבת של הוצאה</w:t>
      </w:r>
      <w:r w:rsidRPr="00747170">
        <w:rPr>
          <w:rFonts w:hint="cs"/>
          <w:rtl/>
        </w:rPr>
        <w:t>.</w:t>
      </w:r>
    </w:p>
    <w:p w14:paraId="154BC02A" w14:textId="6EA05E08" w:rsidR="002748A5" w:rsidRPr="00AA4FB5" w:rsidRDefault="002748A5" w:rsidP="002748A5">
      <w:pPr>
        <w:pStyle w:val="a7"/>
      </w:pPr>
      <w:bookmarkStart w:id="4081" w:name="_Toc140144333"/>
      <w:bookmarkStart w:id="4082" w:name="_Toc140144564"/>
      <w:r>
        <w:rPr>
          <w:rFonts w:hint="cs"/>
          <w:rtl/>
        </w:rPr>
        <w:t>בי' החזו"י דילפי' מהוצאה במשכן דכל שצריך לחפץ עצמו אף שלא לתקנו כלול בצורך הוצאה</w:t>
      </w:r>
      <w:bookmarkEnd w:id="4081"/>
      <w:bookmarkEnd w:id="4082"/>
    </w:p>
    <w:p w14:paraId="1617BA9E" w14:textId="51BD686D" w:rsidR="002748A5" w:rsidRPr="00131BC6" w:rsidRDefault="002748A5" w:rsidP="00BC7DC8">
      <w:pPr>
        <w:pStyle w:val="a3"/>
      </w:pPr>
      <w:r>
        <w:rPr>
          <w:rFonts w:hint="cs"/>
          <w:rtl/>
        </w:rPr>
        <w:t>וכתב</w:t>
      </w:r>
      <w:r w:rsidRPr="003B63CB">
        <w:rPr>
          <w:rFonts w:hint="cs"/>
          <w:rtl/>
        </w:rPr>
        <w:t xml:space="preserve"> </w:t>
      </w:r>
      <w:r w:rsidRPr="003B63CB">
        <w:rPr>
          <w:rStyle w:val="aff4"/>
          <w:rFonts w:hint="cs"/>
          <w:vanish/>
          <w:rtl/>
        </w:rPr>
        <w:t>-</w:t>
      </w:r>
      <w:r>
        <w:rPr>
          <w:rStyle w:val="aff4"/>
          <w:rFonts w:hint="cs"/>
          <w:rtl/>
        </w:rPr>
        <w:t>בחי' חזון יחזקאל</w:t>
      </w:r>
      <w:r w:rsidRPr="003B63CB">
        <w:rPr>
          <w:rStyle w:val="aff4"/>
          <w:rFonts w:hint="cs"/>
          <w:vanish/>
          <w:rtl/>
        </w:rPr>
        <w:t>-</w:t>
      </w:r>
      <w:r>
        <w:rPr>
          <w:rFonts w:hint="cs"/>
          <w:rtl/>
        </w:rPr>
        <w:t xml:space="preserve"> לכן ס"ל </w:t>
      </w:r>
      <w:r w:rsidRPr="008E35AC">
        <w:rPr>
          <w:rStyle w:val="aff4"/>
          <w:rFonts w:hint="cs"/>
          <w:vanish/>
          <w:rtl/>
        </w:rPr>
        <w:t>-</w:t>
      </w:r>
      <w:r w:rsidRPr="008E35AC">
        <w:rPr>
          <w:rStyle w:val="aff4"/>
          <w:rFonts w:hint="cs"/>
          <w:rtl/>
        </w:rPr>
        <w:t>להתוס'</w:t>
      </w:r>
      <w:r w:rsidRPr="008E35AC">
        <w:rPr>
          <w:rStyle w:val="aff4"/>
          <w:rFonts w:hint="cs"/>
          <w:vanish/>
          <w:rtl/>
        </w:rPr>
        <w:t>-</w:t>
      </w:r>
      <w:r>
        <w:rPr>
          <w:rFonts w:hint="cs"/>
          <w:rtl/>
        </w:rPr>
        <w:t xml:space="preserve"> </w:t>
      </w:r>
      <w:r w:rsidRPr="00067567">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Ref140142529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טז)</w:t>
      </w:r>
      <w:r>
        <w:rPr>
          <w:rStyle w:val="af2"/>
          <w:rFonts w:eastAsia="Guttman Hodes"/>
          <w:rtl/>
        </w:rPr>
        <w:fldChar w:fldCharType="end"/>
      </w:r>
      <w:r>
        <w:rPr>
          <w:rFonts w:hint="cs"/>
          <w:rtl/>
        </w:rPr>
        <w:t xml:space="preserve"> דילפינן ממלאכת הוצאה שבמשכן, דבכל מקום שהוא צריך את החפץ שהוציא, הוא כלול במלאכת מחשבת, אף כשא"צ לתקנו כלל, דהתיקון שבמשכן לא שייך להוצאה.</w:t>
      </w:r>
    </w:p>
    <w:p w14:paraId="275EEB15" w14:textId="77777777" w:rsidR="002748A5" w:rsidRPr="00747170" w:rsidRDefault="002748A5" w:rsidP="00747170">
      <w:pPr>
        <w:pStyle w:val="a2"/>
        <w:rPr>
          <w:rtl/>
        </w:rPr>
      </w:pPr>
      <w:r w:rsidRPr="00747170">
        <w:rPr>
          <w:rtl/>
        </w:rPr>
        <w:t>לפיכך אם הוא צריך לאותו חפץ שהוציא יש בזה גמר מלאכת מחשבת של מלאכת הוצאה</w:t>
      </w:r>
      <w:r w:rsidRPr="00747170">
        <w:rPr>
          <w:rFonts w:hint="cs"/>
          <w:rtl/>
        </w:rPr>
        <w:t>.</w:t>
      </w:r>
    </w:p>
    <w:p w14:paraId="7F6D5A7E" w14:textId="3AB4FFF9" w:rsidR="002748A5" w:rsidRDefault="002748A5" w:rsidP="002748A5">
      <w:pPr>
        <w:pStyle w:val="a7"/>
        <w:rPr>
          <w:rtl/>
        </w:rPr>
      </w:pPr>
      <w:bookmarkStart w:id="4083" w:name="_Toc140144334"/>
      <w:bookmarkStart w:id="4084" w:name="_Toc140144565"/>
      <w:r>
        <w:rPr>
          <w:rFonts w:hint="cs"/>
          <w:rtl/>
        </w:rPr>
        <w:t>בי' החזו"י דאף דהוצאה היא לכל צורך מ"מ היינו דוקא בצריך לדבר עצמו כנדבה דצריך לתקנה</w:t>
      </w:r>
      <w:bookmarkEnd w:id="4083"/>
      <w:bookmarkEnd w:id="4084"/>
    </w:p>
    <w:p w14:paraId="21359A1F" w14:textId="77777777" w:rsidR="002748A5" w:rsidRDefault="002748A5" w:rsidP="00BC7DC8">
      <w:pPr>
        <w:pStyle w:val="a3"/>
      </w:pPr>
      <w:r>
        <w:rPr>
          <w:rFonts w:hint="cs"/>
          <w:rtl/>
        </w:rPr>
        <w:t xml:space="preserve">וכתב </w:t>
      </w:r>
      <w:r w:rsidRPr="003B63CB">
        <w:rPr>
          <w:rStyle w:val="aff4"/>
          <w:rFonts w:hint="cs"/>
          <w:vanish/>
          <w:rtl/>
        </w:rPr>
        <w:t>-</w:t>
      </w:r>
      <w:r>
        <w:rPr>
          <w:rStyle w:val="aff4"/>
          <w:rFonts w:hint="cs"/>
          <w:rtl/>
        </w:rPr>
        <w:t>בחי' חזון יחזקאל</w:t>
      </w:r>
      <w:r w:rsidRPr="003B63CB">
        <w:rPr>
          <w:rStyle w:val="aff4"/>
          <w:rFonts w:hint="cs"/>
          <w:vanish/>
          <w:rtl/>
        </w:rPr>
        <w:t>-</w:t>
      </w:r>
      <w:r>
        <w:rPr>
          <w:rFonts w:hint="cs"/>
          <w:rtl/>
        </w:rPr>
        <w:t xml:space="preserve"> דמ"מ החיוב לר"ש בהוצאה הוא כשיש לו צורך בחפץ עצמו, דבזה הוא דומיא דמשכן שהיו צריכים את הנדבה עצמה לתקנה ע"י מלאכות אחרות, דעי"ז החפץ עצמו כלול במלאכת מחשבת של המלאכה.</w:t>
      </w:r>
    </w:p>
    <w:p w14:paraId="206664F7" w14:textId="77777777" w:rsidR="002748A5" w:rsidRPr="00747170" w:rsidRDefault="002748A5" w:rsidP="00747170">
      <w:pPr>
        <w:pStyle w:val="a2"/>
        <w:rPr>
          <w:rtl/>
        </w:rPr>
      </w:pPr>
      <w:r w:rsidRPr="00747170">
        <w:rPr>
          <w:rtl/>
        </w:rPr>
        <w:t>אמנם לגבי זה בעינן בהוצאה שתהא דומיא דהוצאה שהיתה במשכן היינו שיש לו צורך להשתמש בעצם החפץ שהוציא דצורך השימוש בעצם החפץ נכלל שפיר במלאכת</w:t>
      </w:r>
      <w:r w:rsidRPr="00747170">
        <w:rPr>
          <w:rFonts w:hint="cs"/>
          <w:rtl/>
        </w:rPr>
        <w:t xml:space="preserve"> </w:t>
      </w:r>
      <w:r w:rsidRPr="00747170">
        <w:rPr>
          <w:rtl/>
        </w:rPr>
        <w:t>מחשבת של הוצאה</w:t>
      </w:r>
      <w:r w:rsidRPr="00747170">
        <w:rPr>
          <w:rFonts w:hint="cs"/>
          <w:rtl/>
        </w:rPr>
        <w:t>.</w:t>
      </w:r>
    </w:p>
    <w:p w14:paraId="133C1912" w14:textId="13D1B05A" w:rsidR="002748A5" w:rsidRPr="00BA34E9" w:rsidRDefault="002748A5" w:rsidP="002748A5">
      <w:pPr>
        <w:pStyle w:val="a7"/>
      </w:pPr>
      <w:bookmarkStart w:id="4085" w:name="_Toc140144335"/>
      <w:bookmarkStart w:id="4086" w:name="_Toc140144566"/>
      <w:r>
        <w:rPr>
          <w:rFonts w:hint="cs"/>
          <w:rtl/>
        </w:rPr>
        <w:t>בי' החזו"י דמוציא מת פטור לר"ש אף דמצוה לקוברו מ"מ א"צ אותו עצמו ול"ד לצורך דמשכן</w:t>
      </w:r>
      <w:bookmarkEnd w:id="4085"/>
      <w:bookmarkEnd w:id="4086"/>
    </w:p>
    <w:p w14:paraId="039A8A01" w14:textId="77777777" w:rsidR="002748A5" w:rsidRPr="0054407A" w:rsidRDefault="002748A5" w:rsidP="00BC7DC8">
      <w:pPr>
        <w:pStyle w:val="a3"/>
      </w:pPr>
      <w:r>
        <w:rPr>
          <w:rFonts w:hint="cs"/>
          <w:rtl/>
        </w:rPr>
        <w:t xml:space="preserve">וכתב </w:t>
      </w:r>
      <w:r w:rsidRPr="003B63CB">
        <w:rPr>
          <w:rStyle w:val="aff4"/>
          <w:rFonts w:hint="cs"/>
          <w:vanish/>
          <w:rtl/>
        </w:rPr>
        <w:t>-</w:t>
      </w:r>
      <w:r>
        <w:rPr>
          <w:rStyle w:val="aff4"/>
          <w:rFonts w:hint="cs"/>
          <w:rtl/>
        </w:rPr>
        <w:t>בחי' חזון יחזקאל</w:t>
      </w:r>
      <w:r w:rsidRPr="003B63CB">
        <w:rPr>
          <w:rStyle w:val="aff4"/>
          <w:rFonts w:hint="cs"/>
          <w:vanish/>
          <w:rtl/>
        </w:rPr>
        <w:t>-</w:t>
      </w:r>
      <w:r>
        <w:rPr>
          <w:rFonts w:hint="cs"/>
          <w:rtl/>
        </w:rPr>
        <w:t xml:space="preserve"> דלכן ס"ל לר"ש דבמוציא מת פטור, דאף שיש בו מצות קבורה, מ"מ לא דמי לצורך שהיה במשכן בהוצאה, דהשימוש היה בעצמם הדבר שהוציאו, ולא שיש מצוה לקוברו דאינו משתמש בו עצמם</w:t>
      </w:r>
    </w:p>
    <w:p w14:paraId="2500E167" w14:textId="77777777" w:rsidR="002748A5" w:rsidRPr="00747170" w:rsidRDefault="002748A5" w:rsidP="00747170">
      <w:pPr>
        <w:pStyle w:val="a2"/>
      </w:pPr>
      <w:r w:rsidRPr="00747170">
        <w:rPr>
          <w:rtl/>
        </w:rPr>
        <w:t>ולפיכך לרבי שמעון בהוציא את המת אע"פ שהוציאו שם מצוה לקוברו אין זה דומיא דהו</w:t>
      </w:r>
      <w:r w:rsidRPr="00747170">
        <w:rPr>
          <w:rFonts w:hint="cs"/>
          <w:rtl/>
        </w:rPr>
        <w:t>צ</w:t>
      </w:r>
      <w:r w:rsidRPr="00747170">
        <w:rPr>
          <w:rtl/>
        </w:rPr>
        <w:t xml:space="preserve">אה שהיתה במשכן כדי </w:t>
      </w:r>
      <w:r w:rsidRPr="00747170">
        <w:rPr>
          <w:rFonts w:hint="cs"/>
          <w:rtl/>
        </w:rPr>
        <w:t>ל</w:t>
      </w:r>
      <w:r w:rsidRPr="00747170">
        <w:rPr>
          <w:rtl/>
        </w:rPr>
        <w:t>השתמש בעצם הדבר שהוציא</w:t>
      </w:r>
    </w:p>
    <w:p w14:paraId="764C197B" w14:textId="77777777" w:rsidR="002748A5" w:rsidRDefault="002748A5" w:rsidP="002748A5">
      <w:pPr>
        <w:pStyle w:val="a7"/>
        <w:rPr>
          <w:rtl/>
        </w:rPr>
        <w:sectPr w:rsidR="002748A5" w:rsidSect="00D96726">
          <w:type w:val="continuous"/>
          <w:pgSz w:w="11906" w:h="16838"/>
          <w:pgMar w:top="720" w:right="720" w:bottom="720" w:left="720" w:header="283" w:footer="283" w:gutter="0"/>
          <w:cols w:num="2" w:space="567"/>
          <w:bidi/>
          <w:rtlGutter/>
          <w:docGrid w:linePitch="299"/>
        </w:sectPr>
      </w:pPr>
    </w:p>
    <w:p w14:paraId="5AAD0042" w14:textId="479D3D79" w:rsidR="002748A5" w:rsidRPr="00E43019" w:rsidRDefault="002748A5" w:rsidP="002748A5">
      <w:pPr>
        <w:pStyle w:val="a7"/>
        <w:rPr>
          <w:rtl/>
        </w:rPr>
        <w:sectPr w:rsidR="002748A5" w:rsidRPr="00E43019" w:rsidSect="00D96726">
          <w:type w:val="continuous"/>
          <w:pgSz w:w="11906" w:h="16838"/>
          <w:pgMar w:top="720" w:right="720" w:bottom="720" w:left="720" w:header="283" w:footer="283" w:gutter="0"/>
          <w:cols w:num="2" w:space="567"/>
          <w:bidi/>
          <w:rtlGutter/>
          <w:docGrid w:linePitch="299"/>
        </w:sectPr>
      </w:pPr>
      <w:r w:rsidRPr="00E43019">
        <w:rPr>
          <w:rFonts w:hint="cs"/>
          <w:rtl/>
        </w:rPr>
        <w:t>.</w:t>
      </w:r>
    </w:p>
    <w:p w14:paraId="33D736C3" w14:textId="77777777" w:rsidR="00274E65" w:rsidRPr="00224A5A" w:rsidRDefault="00274E65" w:rsidP="0083330C">
      <w:pPr>
        <w:pStyle w:val="af9"/>
        <w:rPr>
          <w:rtl/>
        </w:rPr>
      </w:pPr>
      <w:r>
        <w:rPr>
          <w:rFonts w:hint="cs"/>
          <w:rtl/>
        </w:rPr>
        <w:lastRenderedPageBreak/>
        <w:t>סימן י'</w:t>
      </w:r>
    </w:p>
    <w:p w14:paraId="625CA54A" w14:textId="77777777" w:rsidR="00274E65" w:rsidRPr="003B63CB" w:rsidRDefault="00274E65" w:rsidP="0083330C">
      <w:pPr>
        <w:pStyle w:val="af9"/>
        <w:rPr>
          <w:rtl/>
        </w:rPr>
      </w:pPr>
      <w:r w:rsidRPr="003B63CB">
        <w:rPr>
          <w:rFonts w:hint="cs"/>
          <w:rtl/>
        </w:rPr>
        <w:t>בסוגיא דמלאכה שאינה צריכה לגופה (</w:t>
      </w:r>
      <w:r>
        <w:rPr>
          <w:rFonts w:hint="cs"/>
          <w:rtl/>
        </w:rPr>
        <w:t>ג</w:t>
      </w:r>
      <w:r w:rsidRPr="003B63CB">
        <w:rPr>
          <w:rFonts w:hint="cs"/>
          <w:rtl/>
        </w:rPr>
        <w:t>')</w:t>
      </w:r>
    </w:p>
    <w:p w14:paraId="173DE88B" w14:textId="77777777" w:rsidR="00274E65" w:rsidRPr="003B63CB" w:rsidRDefault="00274E65" w:rsidP="0083330C">
      <w:pPr>
        <w:pStyle w:val="af9"/>
        <w:rPr>
          <w:rtl/>
        </w:rPr>
      </w:pPr>
      <w:r>
        <w:rPr>
          <w:rFonts w:hint="cs"/>
          <w:rtl/>
        </w:rPr>
        <w:t>בי' הראשונים במשאצל"ג והמתבאר בגדרי משאצל"ג מסוגיא דמקלקל בחבורה</w:t>
      </w:r>
    </w:p>
    <w:p w14:paraId="3D0EDC1C" w14:textId="77777777" w:rsidR="00274E65" w:rsidRPr="00224A5A" w:rsidRDefault="00274E65" w:rsidP="00274E65">
      <w:pPr>
        <w:keepNext/>
        <w:keepLines/>
        <w:spacing w:after="0" w:line="240" w:lineRule="auto"/>
        <w:jc w:val="center"/>
        <w:outlineLvl w:val="1"/>
        <w:rPr>
          <w:rFonts w:ascii="FrankRuehl" w:eastAsia="Guttman Adii-Light" w:hAnsi="FrankRuehl" w:cs="Guttman Hodes"/>
          <w:b/>
          <w:bCs/>
          <w:noProof/>
          <w:sz w:val="24"/>
          <w:szCs w:val="24"/>
          <w:rtl/>
        </w:rPr>
        <w:sectPr w:rsidR="00274E65" w:rsidRPr="00224A5A" w:rsidSect="00725DCB">
          <w:headerReference w:type="default" r:id="rId146"/>
          <w:footerReference w:type="default" r:id="rId147"/>
          <w:headerReference w:type="first" r:id="rId148"/>
          <w:footerReference w:type="first" r:id="rId149"/>
          <w:type w:val="oddPage"/>
          <w:pgSz w:w="11906" w:h="16838"/>
          <w:pgMar w:top="720" w:right="720" w:bottom="720" w:left="720" w:header="283" w:footer="283" w:gutter="0"/>
          <w:cols w:space="113"/>
          <w:bidi/>
          <w:rtlGutter/>
          <w:docGrid w:linePitch="299"/>
        </w:sectPr>
      </w:pPr>
      <w:r w:rsidRPr="00224A5A">
        <w:rPr>
          <w:rFonts w:ascii="FrankRuehl" w:eastAsia="Guttman Adii-Light" w:hAnsi="FrankRuehl" w:cs="Guttman Hodes"/>
          <w:b/>
          <w:bCs/>
          <w:noProof/>
          <w:sz w:val="24"/>
          <w:szCs w:val="24"/>
          <w:rtl/>
        </w:rPr>
        <w:t>~~~~~~~</w:t>
      </w:r>
      <w:r w:rsidRPr="00224A5A">
        <w:rPr>
          <w:rFonts w:ascii="FrankRuehl" w:eastAsia="Guttman Adii-Light" w:hAnsi="FrankRuehl" w:cs="Guttman Hodes" w:hint="cs"/>
          <w:b/>
          <w:bCs/>
          <w:noProof/>
          <w:sz w:val="24"/>
          <w:szCs w:val="24"/>
          <w:rtl/>
        </w:rPr>
        <w:t xml:space="preserve"> תוכן הענייני</w:t>
      </w:r>
      <w:r w:rsidRPr="00224A5A">
        <w:rPr>
          <w:rFonts w:ascii="FrankRuehl" w:eastAsia="Guttman Adii-Light" w:hAnsi="FrankRuehl" w:cs="Guttman Hodes" w:hint="eastAsia"/>
          <w:b/>
          <w:bCs/>
          <w:noProof/>
          <w:sz w:val="24"/>
          <w:szCs w:val="24"/>
          <w:rtl/>
        </w:rPr>
        <w:t>ם</w:t>
      </w:r>
      <w:r w:rsidRPr="00224A5A">
        <w:rPr>
          <w:rFonts w:ascii="FrankRuehl" w:eastAsia="Guttman Adii-Light" w:hAnsi="FrankRuehl" w:cs="Guttman Hodes" w:hint="cs"/>
          <w:b/>
          <w:bCs/>
          <w:noProof/>
          <w:sz w:val="24"/>
          <w:szCs w:val="24"/>
          <w:rtl/>
        </w:rPr>
        <w:t xml:space="preserve"> </w:t>
      </w:r>
      <w:r w:rsidRPr="00224A5A">
        <w:rPr>
          <w:rFonts w:ascii="FrankRuehl" w:eastAsia="Guttman Adii-Light" w:hAnsi="FrankRuehl" w:cs="Guttman Hodes"/>
          <w:b/>
          <w:bCs/>
          <w:noProof/>
          <w:sz w:val="24"/>
          <w:szCs w:val="24"/>
          <w:rtl/>
        </w:rPr>
        <w:t>~~~~~~~</w:t>
      </w:r>
    </w:p>
    <w:p w14:paraId="7E1F002D" w14:textId="77777777" w:rsidR="00274E65" w:rsidRDefault="00274E65" w:rsidP="00274E65">
      <w:pPr>
        <w:pStyle w:val="TOC1"/>
        <w:rPr>
          <w:rFonts w:asciiTheme="minorHAnsi" w:hAnsiTheme="minorHAnsi" w:cstheme="minorBidi"/>
          <w:b w:val="0"/>
          <w:bCs w:val="0"/>
          <w:caps w:val="0"/>
          <w:sz w:val="22"/>
          <w:szCs w:val="22"/>
          <w:rtl/>
        </w:rPr>
      </w:pPr>
      <w:r w:rsidRPr="00224A5A">
        <w:rPr>
          <w:rtl/>
        </w:rPr>
        <w:fldChar w:fldCharType="begin"/>
      </w:r>
      <w:r w:rsidRPr="00224A5A">
        <w:rPr>
          <w:rtl/>
        </w:rPr>
        <w:instrText xml:space="preserve"> </w:instrText>
      </w:r>
      <w:r w:rsidRPr="00224A5A">
        <w:rPr>
          <w:rFonts w:hint="cs"/>
        </w:rPr>
        <w:instrText>TOC</w:instrText>
      </w:r>
      <w:r w:rsidRPr="00224A5A">
        <w:rPr>
          <w:rFonts w:hint="cs"/>
          <w:rtl/>
        </w:rPr>
        <w:instrText xml:space="preserve"> \</w:instrText>
      </w:r>
      <w:r w:rsidRPr="00224A5A">
        <w:rPr>
          <w:rFonts w:hint="cs"/>
        </w:rPr>
        <w:instrText>n \p " " \h \z \t</w:instrText>
      </w:r>
      <w:r w:rsidRPr="00224A5A">
        <w:rPr>
          <w:rFonts w:hint="cs"/>
          <w:rtl/>
        </w:rPr>
        <w:instrText xml:space="preserve"> "כותרת 1,2,כות קט,3,כות מק פנ,1"</w:instrText>
      </w:r>
      <w:r w:rsidRPr="00224A5A">
        <w:rPr>
          <w:rtl/>
        </w:rPr>
        <w:instrText xml:space="preserve"> </w:instrText>
      </w:r>
      <w:r w:rsidRPr="00224A5A">
        <w:rPr>
          <w:rtl/>
        </w:rPr>
        <w:fldChar w:fldCharType="separate"/>
      </w:r>
      <w:hyperlink w:anchor="_Toc140743927" w:history="1">
        <w:r w:rsidRPr="009D26EB">
          <w:rPr>
            <w:rStyle w:val="Hyperlink"/>
            <w:rtl/>
          </w:rPr>
          <w:t>בי' בה"ג ור"ח דמשאצל"ג רק באין הנאה</w:t>
        </w:r>
      </w:hyperlink>
    </w:p>
    <w:p w14:paraId="0656AEAB" w14:textId="77777777" w:rsidR="00274E65" w:rsidRDefault="00AD16A0" w:rsidP="00274E65">
      <w:pPr>
        <w:pStyle w:val="TOC2"/>
        <w:rPr>
          <w:rFonts w:cstheme="minorBidi"/>
          <w:b w:val="0"/>
          <w:bCs w:val="0"/>
          <w:sz w:val="22"/>
          <w:szCs w:val="22"/>
          <w:rtl/>
        </w:rPr>
      </w:pPr>
      <w:hyperlink w:anchor="_Toc140743928" w:history="1">
        <w:r w:rsidR="00274E65" w:rsidRPr="009D26EB">
          <w:rPr>
            <w:rStyle w:val="Hyperlink"/>
            <w:rtl/>
          </w:rPr>
          <w:t>בי' ר"ח ורנ"ג דמוציא מת מחמת ריח רע הוי צל"ג דיש הנאה</w:t>
        </w:r>
      </w:hyperlink>
    </w:p>
    <w:p w14:paraId="46779463" w14:textId="77777777" w:rsidR="00274E65" w:rsidRPr="005E6990" w:rsidRDefault="00AD16A0" w:rsidP="00ED704E">
      <w:pPr>
        <w:pStyle w:val="TOC3"/>
        <w:rPr>
          <w:rFonts w:asciiTheme="minorHAnsi" w:eastAsiaTheme="minorEastAsia" w:hAnsiTheme="minorHAnsi" w:cstheme="minorBidi"/>
          <w:sz w:val="22"/>
          <w:szCs w:val="22"/>
          <w:rtl/>
        </w:rPr>
      </w:pPr>
      <w:hyperlink w:anchor="_Toc140743929" w:history="1">
        <w:r w:rsidR="00274E65" w:rsidRPr="009D26EB">
          <w:rPr>
            <w:rStyle w:val="Hyperlink"/>
            <w:rtl/>
          </w:rPr>
          <w:t>בי' הבה"ג ור"ח ורנ"ג דמוציא מת משאצל"ג כיון דאין בהוצאה צורך נפש או הנאה או אכילה</w:t>
        </w:r>
      </w:hyperlink>
    </w:p>
    <w:p w14:paraId="748471A1" w14:textId="77777777" w:rsidR="00274E65" w:rsidRDefault="00AD16A0" w:rsidP="00ED704E">
      <w:pPr>
        <w:pStyle w:val="TOC3"/>
        <w:rPr>
          <w:rFonts w:asciiTheme="minorHAnsi" w:eastAsiaTheme="minorEastAsia" w:hAnsiTheme="minorHAnsi" w:cstheme="minorBidi"/>
          <w:sz w:val="22"/>
          <w:szCs w:val="22"/>
          <w:rtl/>
        </w:rPr>
      </w:pPr>
      <w:hyperlink w:anchor="_Toc140743930" w:history="1">
        <w:r w:rsidR="00274E65" w:rsidRPr="009D26EB">
          <w:rPr>
            <w:rStyle w:val="Hyperlink"/>
            <w:rtl/>
          </w:rPr>
          <w:t>בי' ר"ח והבה"ג דהמקור דר"י מחייב במשאצל"ג מכופה קערה על עקרב דר"ש פוטר בצד נחש</w:t>
        </w:r>
      </w:hyperlink>
    </w:p>
    <w:p w14:paraId="18081B43" w14:textId="77777777" w:rsidR="00274E65" w:rsidRDefault="00AD16A0" w:rsidP="00ED704E">
      <w:pPr>
        <w:pStyle w:val="TOC3"/>
        <w:rPr>
          <w:rFonts w:asciiTheme="minorHAnsi" w:eastAsiaTheme="minorEastAsia" w:hAnsiTheme="minorHAnsi" w:cstheme="minorBidi"/>
          <w:sz w:val="22"/>
          <w:szCs w:val="22"/>
          <w:rtl/>
        </w:rPr>
      </w:pPr>
      <w:hyperlink w:anchor="_Toc140743931" w:history="1">
        <w:r w:rsidR="00274E65" w:rsidRPr="009D26EB">
          <w:rPr>
            <w:rStyle w:val="Hyperlink"/>
            <w:rtl/>
          </w:rPr>
          <w:t>בי' ר"ח ורנ"ג דמוציא מת מחמת ריח רע מודה ר"ש דהוי צל"ג וכן מוכח בברייתא ובירושלמי</w:t>
        </w:r>
      </w:hyperlink>
    </w:p>
    <w:p w14:paraId="0A0A90DE" w14:textId="77777777" w:rsidR="00274E65" w:rsidRDefault="00AD16A0" w:rsidP="00274E65">
      <w:pPr>
        <w:pStyle w:val="TOC2"/>
        <w:rPr>
          <w:rFonts w:cstheme="minorBidi"/>
          <w:b w:val="0"/>
          <w:bCs w:val="0"/>
          <w:sz w:val="22"/>
          <w:szCs w:val="22"/>
          <w:rtl/>
        </w:rPr>
      </w:pPr>
      <w:hyperlink w:anchor="_Toc140743932" w:history="1">
        <w:r w:rsidR="00274E65" w:rsidRPr="009D26EB">
          <w:rPr>
            <w:rStyle w:val="Hyperlink"/>
            <w:rtl/>
          </w:rPr>
          <w:t>בי' הרי"ף דרוקק לרה"ר משאצל"ג דלא נהנה והוי כמוציא מת</w:t>
        </w:r>
      </w:hyperlink>
    </w:p>
    <w:p w14:paraId="5264389D" w14:textId="77777777" w:rsidR="00274E65" w:rsidRDefault="00AD16A0" w:rsidP="00ED704E">
      <w:pPr>
        <w:pStyle w:val="TOC3"/>
        <w:rPr>
          <w:rFonts w:asciiTheme="minorHAnsi" w:eastAsiaTheme="minorEastAsia" w:hAnsiTheme="minorHAnsi" w:cstheme="minorBidi"/>
          <w:sz w:val="22"/>
          <w:szCs w:val="22"/>
          <w:rtl/>
        </w:rPr>
      </w:pPr>
      <w:hyperlink w:anchor="_Toc140743933" w:history="1">
        <w:r w:rsidR="00274E65" w:rsidRPr="009D26EB">
          <w:rPr>
            <w:rStyle w:val="Hyperlink"/>
            <w:rtl/>
          </w:rPr>
          <w:t>בי' הרי"ף דרוקק מרה"י לרה"ר הוי משאצל"ג כיון דאינו נהנה מהרוק אחר שרקק וכמוציא מת</w:t>
        </w:r>
      </w:hyperlink>
    </w:p>
    <w:p w14:paraId="69DCC011" w14:textId="77777777" w:rsidR="00274E65" w:rsidRDefault="00AD16A0" w:rsidP="00274E65">
      <w:pPr>
        <w:pStyle w:val="TOC1"/>
        <w:rPr>
          <w:rFonts w:asciiTheme="minorHAnsi" w:hAnsiTheme="minorHAnsi" w:cstheme="minorBidi"/>
          <w:b w:val="0"/>
          <w:bCs w:val="0"/>
          <w:caps w:val="0"/>
          <w:sz w:val="22"/>
          <w:szCs w:val="22"/>
          <w:rtl/>
        </w:rPr>
      </w:pPr>
      <w:hyperlink w:anchor="_Toc140743934" w:history="1">
        <w:r w:rsidR="00274E65" w:rsidRPr="009D26EB">
          <w:rPr>
            <w:rStyle w:val="Hyperlink"/>
            <w:rtl/>
          </w:rPr>
          <w:t>~~~~~~~~~~~~~~~~~~~~~~~~~~~~</w:t>
        </w:r>
      </w:hyperlink>
    </w:p>
    <w:p w14:paraId="54C12EA1" w14:textId="77777777" w:rsidR="00274E65" w:rsidRDefault="00AD16A0" w:rsidP="00274E65">
      <w:pPr>
        <w:pStyle w:val="TOC1"/>
        <w:rPr>
          <w:rFonts w:asciiTheme="minorHAnsi" w:hAnsiTheme="minorHAnsi" w:cstheme="minorBidi"/>
          <w:b w:val="0"/>
          <w:bCs w:val="0"/>
          <w:caps w:val="0"/>
          <w:sz w:val="22"/>
          <w:szCs w:val="22"/>
          <w:rtl/>
        </w:rPr>
      </w:pPr>
      <w:hyperlink w:anchor="_Toc140743935" w:history="1">
        <w:r w:rsidR="00274E65" w:rsidRPr="009D26EB">
          <w:rPr>
            <w:rStyle w:val="Hyperlink"/>
            <w:rtl/>
          </w:rPr>
          <w:t>בי' הבעה"מ דגדר משאצל"ג דחיית נזק</w:t>
        </w:r>
      </w:hyperlink>
    </w:p>
    <w:p w14:paraId="1226CA41" w14:textId="77777777" w:rsidR="00274E65" w:rsidRDefault="00AD16A0" w:rsidP="00274E65">
      <w:pPr>
        <w:pStyle w:val="TOC2"/>
        <w:rPr>
          <w:rFonts w:cstheme="minorBidi"/>
          <w:b w:val="0"/>
          <w:bCs w:val="0"/>
          <w:sz w:val="22"/>
          <w:szCs w:val="22"/>
          <w:rtl/>
        </w:rPr>
      </w:pPr>
      <w:hyperlink w:anchor="_Toc140743936" w:history="1">
        <w:r w:rsidR="00274E65" w:rsidRPr="009D26EB">
          <w:rPr>
            <w:rStyle w:val="Hyperlink"/>
            <w:rtl/>
          </w:rPr>
          <w:t>בי' הבעה"מ דמשאצל"ג היינו שעשה כן לדחות נזק מעליו</w:t>
        </w:r>
      </w:hyperlink>
    </w:p>
    <w:p w14:paraId="7529EB70" w14:textId="77777777" w:rsidR="00274E65" w:rsidRDefault="00AD16A0" w:rsidP="00ED704E">
      <w:pPr>
        <w:pStyle w:val="TOC3"/>
        <w:rPr>
          <w:rFonts w:asciiTheme="minorHAnsi" w:eastAsiaTheme="minorEastAsia" w:hAnsiTheme="minorHAnsi" w:cstheme="minorBidi"/>
          <w:sz w:val="22"/>
          <w:szCs w:val="22"/>
          <w:rtl/>
        </w:rPr>
      </w:pPr>
      <w:hyperlink w:anchor="_Toc140743937" w:history="1">
        <w:r w:rsidR="00274E65" w:rsidRPr="009D26EB">
          <w:rPr>
            <w:rStyle w:val="Hyperlink"/>
            <w:rtl/>
          </w:rPr>
          <w:t>בי' הבעה"מ דמשאצל"ג הוא במלאכה דדוחה נזק וכן בגומא כיון דהעפר אינו חלק מהמלאכה</w:t>
        </w:r>
      </w:hyperlink>
    </w:p>
    <w:p w14:paraId="643A20FF" w14:textId="77777777" w:rsidR="00274E65" w:rsidRDefault="00AD16A0" w:rsidP="00ED704E">
      <w:pPr>
        <w:pStyle w:val="TOC3"/>
        <w:rPr>
          <w:rFonts w:asciiTheme="minorHAnsi" w:eastAsiaTheme="minorEastAsia" w:hAnsiTheme="minorHAnsi" w:cstheme="minorBidi"/>
          <w:sz w:val="22"/>
          <w:szCs w:val="22"/>
          <w:rtl/>
        </w:rPr>
      </w:pPr>
      <w:hyperlink w:anchor="_Toc140743938" w:history="1">
        <w:r w:rsidR="00274E65" w:rsidRPr="009D26EB">
          <w:rPr>
            <w:rStyle w:val="Hyperlink"/>
            <w:rtl/>
          </w:rPr>
          <w:t>בי' הבעה"מ דחובל ומבעיר ובהריגת מזיק וקורע שאין צורך לגופן רק לדחות נזק הוו כחופר גומא</w:t>
        </w:r>
      </w:hyperlink>
    </w:p>
    <w:p w14:paraId="2510B37A" w14:textId="77777777" w:rsidR="00274E65" w:rsidRDefault="00AD16A0" w:rsidP="00ED704E">
      <w:pPr>
        <w:pStyle w:val="TOC3"/>
        <w:rPr>
          <w:rFonts w:asciiTheme="minorHAnsi" w:eastAsiaTheme="minorEastAsia" w:hAnsiTheme="minorHAnsi" w:cstheme="minorBidi"/>
          <w:sz w:val="22"/>
          <w:szCs w:val="22"/>
          <w:rtl/>
        </w:rPr>
      </w:pPr>
      <w:hyperlink w:anchor="_Toc140743939" w:history="1">
        <w:r w:rsidR="00274E65" w:rsidRPr="009D26EB">
          <w:rPr>
            <w:rStyle w:val="Hyperlink"/>
            <w:rtl/>
          </w:rPr>
          <w:t>בי' הבעה"מ דלבבלי מוציא מת משום ריח רע פטור ולירושלמי חייב דהעמיד במת נכרי בלא ריח</w:t>
        </w:r>
      </w:hyperlink>
    </w:p>
    <w:p w14:paraId="0CC204D3" w14:textId="77777777" w:rsidR="00274E65" w:rsidRDefault="00AD16A0" w:rsidP="00274E65">
      <w:pPr>
        <w:pStyle w:val="TOC2"/>
        <w:rPr>
          <w:rFonts w:cstheme="minorBidi"/>
          <w:b w:val="0"/>
          <w:bCs w:val="0"/>
          <w:sz w:val="22"/>
          <w:szCs w:val="22"/>
          <w:rtl/>
        </w:rPr>
      </w:pPr>
      <w:hyperlink w:anchor="_Toc140743940" w:history="1">
        <w:r w:rsidR="00274E65" w:rsidRPr="009D26EB">
          <w:rPr>
            <w:rStyle w:val="Hyperlink"/>
            <w:rtl/>
          </w:rPr>
          <w:t>קו' המרכה"מ בבעה"מ דהרבה מלאכות הם הסרת דבר וצל"ג</w:t>
        </w:r>
      </w:hyperlink>
    </w:p>
    <w:p w14:paraId="0A3FBA4B" w14:textId="77777777" w:rsidR="00274E65" w:rsidRDefault="00AD16A0" w:rsidP="00ED704E">
      <w:pPr>
        <w:pStyle w:val="TOC3"/>
        <w:rPr>
          <w:rFonts w:asciiTheme="minorHAnsi" w:eastAsiaTheme="minorEastAsia" w:hAnsiTheme="minorHAnsi" w:cstheme="minorBidi"/>
          <w:sz w:val="22"/>
          <w:szCs w:val="22"/>
          <w:rtl/>
        </w:rPr>
      </w:pPr>
      <w:hyperlink w:anchor="_Toc140743941" w:history="1">
        <w:r w:rsidR="00274E65" w:rsidRPr="009D26EB">
          <w:rPr>
            <w:rStyle w:val="Hyperlink"/>
            <w:rtl/>
          </w:rPr>
          <w:t>בי' המרכה"מ בבעה"מ דמשאצל"ג או בדוחה מעליו או בגומא דא"צ לעצם המלאכה אלא לד"א</w:t>
        </w:r>
      </w:hyperlink>
    </w:p>
    <w:p w14:paraId="49DA8618" w14:textId="77777777" w:rsidR="00274E65" w:rsidRDefault="00AD16A0" w:rsidP="00ED704E">
      <w:pPr>
        <w:pStyle w:val="TOC3"/>
        <w:rPr>
          <w:rFonts w:asciiTheme="minorHAnsi" w:eastAsiaTheme="minorEastAsia" w:hAnsiTheme="minorHAnsi" w:cstheme="minorBidi"/>
          <w:sz w:val="22"/>
          <w:szCs w:val="22"/>
          <w:rtl/>
        </w:rPr>
      </w:pPr>
      <w:hyperlink w:anchor="_Toc140743942" w:history="1">
        <w:r w:rsidR="00274E65" w:rsidRPr="009D26EB">
          <w:rPr>
            <w:rStyle w:val="Hyperlink"/>
            <w:rtl/>
          </w:rPr>
          <w:t>בי' המרכה"מ בבעה"מ דמורסא וקורע ע"מ לתפור ונפלה דרנא ל"ה דחייה והמלאכה היא תיקון</w:t>
        </w:r>
      </w:hyperlink>
    </w:p>
    <w:p w14:paraId="5F571F0F" w14:textId="77777777" w:rsidR="00274E65" w:rsidRDefault="00AD16A0" w:rsidP="00ED704E">
      <w:pPr>
        <w:pStyle w:val="TOC3"/>
        <w:rPr>
          <w:rFonts w:asciiTheme="minorHAnsi" w:eastAsiaTheme="minorEastAsia" w:hAnsiTheme="minorHAnsi" w:cstheme="minorBidi"/>
          <w:sz w:val="22"/>
          <w:szCs w:val="22"/>
          <w:rtl/>
        </w:rPr>
      </w:pPr>
      <w:hyperlink w:anchor="_Toc140743943" w:history="1">
        <w:r w:rsidR="00274E65" w:rsidRPr="009D26EB">
          <w:rPr>
            <w:rStyle w:val="Hyperlink"/>
            <w:rtl/>
          </w:rPr>
          <w:t>קו' המרכה"מ בבעה"מ דאמאי ל"ה משאצל"ג גם במעבד ומסיר שער ומקדר בהרים וקוצר ליפות</w:t>
        </w:r>
      </w:hyperlink>
    </w:p>
    <w:p w14:paraId="2C4F6236" w14:textId="77777777" w:rsidR="00274E65" w:rsidRDefault="00AD16A0" w:rsidP="00274E65">
      <w:pPr>
        <w:pStyle w:val="TOC1"/>
        <w:rPr>
          <w:rFonts w:asciiTheme="minorHAnsi" w:hAnsiTheme="minorHAnsi" w:cstheme="minorBidi"/>
          <w:b w:val="0"/>
          <w:bCs w:val="0"/>
          <w:caps w:val="0"/>
          <w:sz w:val="22"/>
          <w:szCs w:val="22"/>
          <w:rtl/>
        </w:rPr>
      </w:pPr>
      <w:hyperlink w:anchor="_Toc140743944" w:history="1">
        <w:r w:rsidR="00274E65" w:rsidRPr="009D26EB">
          <w:rPr>
            <w:rStyle w:val="Hyperlink"/>
            <w:rtl/>
          </w:rPr>
          <w:t>ד' הבעה"מ דגדר מקלקל תלי בגדר צל"ג</w:t>
        </w:r>
      </w:hyperlink>
    </w:p>
    <w:p w14:paraId="7C776A56" w14:textId="77777777" w:rsidR="00274E65" w:rsidRDefault="00AD16A0" w:rsidP="00274E65">
      <w:pPr>
        <w:pStyle w:val="TOC2"/>
        <w:rPr>
          <w:rFonts w:cstheme="minorBidi"/>
          <w:b w:val="0"/>
          <w:bCs w:val="0"/>
          <w:sz w:val="22"/>
          <w:szCs w:val="22"/>
          <w:rtl/>
        </w:rPr>
      </w:pPr>
      <w:hyperlink w:anchor="_Toc140743945" w:history="1">
        <w:r w:rsidR="00274E65" w:rsidRPr="009D26EB">
          <w:rPr>
            <w:rStyle w:val="Hyperlink"/>
            <w:rtl/>
          </w:rPr>
          <w:t>בי' הבעה"מ בגדרי קלקול ותיקון לר"י דמשאצל"ג הוי מלאכה</w:t>
        </w:r>
      </w:hyperlink>
    </w:p>
    <w:p w14:paraId="0C375257" w14:textId="77777777" w:rsidR="00274E65" w:rsidRDefault="00AD16A0" w:rsidP="00ED704E">
      <w:pPr>
        <w:pStyle w:val="TOC3"/>
        <w:rPr>
          <w:rFonts w:asciiTheme="minorHAnsi" w:eastAsiaTheme="minorEastAsia" w:hAnsiTheme="minorHAnsi" w:cstheme="minorBidi"/>
          <w:sz w:val="22"/>
          <w:szCs w:val="22"/>
          <w:rtl/>
        </w:rPr>
      </w:pPr>
      <w:hyperlink w:anchor="_Toc140743946" w:history="1">
        <w:r w:rsidR="00274E65" w:rsidRPr="009D26EB">
          <w:rPr>
            <w:rStyle w:val="Hyperlink"/>
            <w:rtl/>
          </w:rPr>
          <w:t>בי' הבעה"מ דלר"י דמחייב משאצל"ג במילה ובת כהן הוא מתקן ואין ילפותא למקלקל בחבורה</w:t>
        </w:r>
      </w:hyperlink>
    </w:p>
    <w:p w14:paraId="415E9910" w14:textId="77777777" w:rsidR="00274E65" w:rsidRDefault="00AD16A0" w:rsidP="00ED704E">
      <w:pPr>
        <w:pStyle w:val="TOC3"/>
        <w:rPr>
          <w:rFonts w:asciiTheme="minorHAnsi" w:eastAsiaTheme="minorEastAsia" w:hAnsiTheme="minorHAnsi" w:cstheme="minorBidi"/>
          <w:sz w:val="22"/>
          <w:szCs w:val="22"/>
          <w:rtl/>
        </w:rPr>
      </w:pPr>
      <w:hyperlink w:anchor="_Toc140743947" w:history="1">
        <w:r w:rsidR="00274E65" w:rsidRPr="009D26EB">
          <w:rPr>
            <w:rStyle w:val="Hyperlink"/>
            <w:rtl/>
          </w:rPr>
          <w:t>בי' הבעה"מ דבחובל לכלבו ומבעיר לאפרו לר"י מקלקל בדבר עצמו והתיקון לא חשיב תיקון</w:t>
        </w:r>
      </w:hyperlink>
    </w:p>
    <w:p w14:paraId="6522E343" w14:textId="77777777" w:rsidR="00274E65" w:rsidRDefault="00AD16A0" w:rsidP="00ED704E">
      <w:pPr>
        <w:pStyle w:val="TOC3"/>
        <w:rPr>
          <w:rFonts w:asciiTheme="minorHAnsi" w:eastAsiaTheme="minorEastAsia" w:hAnsiTheme="minorHAnsi" w:cstheme="minorBidi"/>
          <w:sz w:val="22"/>
          <w:szCs w:val="22"/>
          <w:rtl/>
        </w:rPr>
      </w:pPr>
      <w:hyperlink w:anchor="_Toc140743948" w:history="1">
        <w:r w:rsidR="00274E65" w:rsidRPr="009D26EB">
          <w:rPr>
            <w:rStyle w:val="Hyperlink"/>
            <w:rtl/>
          </w:rPr>
          <w:t>בי' הבעה"מ דשוחט ומבעיר לבשל דמקלקל בדבר עצמו זהו דרך הנאתו וה"ה חובל בשרץ לכלב</w:t>
        </w:r>
      </w:hyperlink>
    </w:p>
    <w:p w14:paraId="06756320" w14:textId="77777777" w:rsidR="00274E65" w:rsidRDefault="00AD16A0" w:rsidP="00ED704E">
      <w:pPr>
        <w:pStyle w:val="TOC3"/>
        <w:rPr>
          <w:rFonts w:asciiTheme="minorHAnsi" w:eastAsiaTheme="minorEastAsia" w:hAnsiTheme="minorHAnsi" w:cstheme="minorBidi"/>
          <w:sz w:val="22"/>
          <w:szCs w:val="22"/>
          <w:rtl/>
        </w:rPr>
      </w:pPr>
      <w:hyperlink w:anchor="_Toc140743949" w:history="1">
        <w:r w:rsidR="00274E65" w:rsidRPr="009D26EB">
          <w:rPr>
            <w:rStyle w:val="Hyperlink"/>
            <w:rtl/>
          </w:rPr>
          <w:t>בי' הבעה"מ דמודה ר"י בתיקון קטן בדבר עצמו שקלקלו כפסח שלא למנוייו דמתקנו שלא ירד</w:t>
        </w:r>
      </w:hyperlink>
    </w:p>
    <w:p w14:paraId="606877AC" w14:textId="77777777" w:rsidR="00274E65" w:rsidRDefault="00AD16A0" w:rsidP="00274E65">
      <w:pPr>
        <w:pStyle w:val="TOC2"/>
        <w:rPr>
          <w:rFonts w:cstheme="minorBidi"/>
          <w:b w:val="0"/>
          <w:bCs w:val="0"/>
          <w:sz w:val="22"/>
          <w:szCs w:val="22"/>
          <w:rtl/>
        </w:rPr>
      </w:pPr>
      <w:hyperlink w:anchor="_Toc140743950" w:history="1">
        <w:r w:rsidR="00274E65" w:rsidRPr="009D26EB">
          <w:rPr>
            <w:rStyle w:val="Hyperlink"/>
            <w:rtl/>
          </w:rPr>
          <w:t>בגדרי קלקול ותיקון לר"ש דמשאצל"ג לא חשיב כמלאכה</w:t>
        </w:r>
      </w:hyperlink>
    </w:p>
    <w:p w14:paraId="22C3F267" w14:textId="77777777" w:rsidR="00274E65" w:rsidRDefault="00AD16A0" w:rsidP="00ED704E">
      <w:pPr>
        <w:pStyle w:val="TOC3"/>
        <w:rPr>
          <w:rFonts w:asciiTheme="minorHAnsi" w:eastAsiaTheme="minorEastAsia" w:hAnsiTheme="minorHAnsi" w:cstheme="minorBidi"/>
          <w:sz w:val="22"/>
          <w:szCs w:val="22"/>
          <w:rtl/>
        </w:rPr>
      </w:pPr>
      <w:hyperlink w:anchor="_Toc140743951" w:history="1">
        <w:r w:rsidR="00274E65" w:rsidRPr="009D26EB">
          <w:rPr>
            <w:rStyle w:val="Hyperlink"/>
            <w:rtl/>
          </w:rPr>
          <w:t>בי' הבעה"מ דלר"ש דמשאצל"ג פטור אין תיקון במילה ובת כהן וילפי' דמקלקל בחבורה חייב</w:t>
        </w:r>
      </w:hyperlink>
    </w:p>
    <w:p w14:paraId="523728FE" w14:textId="77777777" w:rsidR="00274E65" w:rsidRDefault="00AD16A0" w:rsidP="00ED704E">
      <w:pPr>
        <w:pStyle w:val="TOC3"/>
        <w:rPr>
          <w:rFonts w:asciiTheme="minorHAnsi" w:eastAsiaTheme="minorEastAsia" w:hAnsiTheme="minorHAnsi" w:cstheme="minorBidi"/>
          <w:sz w:val="22"/>
          <w:szCs w:val="22"/>
          <w:rtl/>
        </w:rPr>
      </w:pPr>
      <w:hyperlink w:anchor="_Toc140743952" w:history="1">
        <w:r w:rsidR="00274E65" w:rsidRPr="009D26EB">
          <w:rPr>
            <w:rStyle w:val="Hyperlink"/>
            <w:rtl/>
          </w:rPr>
          <w:t>בי' הבעה"מ בריו"ח דחובל לכלבו תיקון קטן בגופו אף לר"ש ול"ד לגומא דחורש בה ולא בעפר</w:t>
        </w:r>
      </w:hyperlink>
    </w:p>
    <w:p w14:paraId="292C6E5E" w14:textId="77777777" w:rsidR="00274E65" w:rsidRDefault="00AD16A0" w:rsidP="00ED704E">
      <w:pPr>
        <w:pStyle w:val="TOC3"/>
        <w:rPr>
          <w:rFonts w:asciiTheme="minorHAnsi" w:eastAsiaTheme="minorEastAsia" w:hAnsiTheme="minorHAnsi" w:cstheme="minorBidi"/>
          <w:sz w:val="22"/>
          <w:szCs w:val="22"/>
          <w:rtl/>
        </w:rPr>
      </w:pPr>
      <w:hyperlink w:anchor="_Toc140743953" w:history="1">
        <w:r w:rsidR="00274E65" w:rsidRPr="009D26EB">
          <w:rPr>
            <w:rStyle w:val="Hyperlink"/>
            <w:rtl/>
          </w:rPr>
          <w:t>בי' הבעה"מ בריו"ח דבמקלקל בחבורה חייב בתיקון קטן כמילה וכן בבת כהן דהמצוה היא תיקון</w:t>
        </w:r>
      </w:hyperlink>
    </w:p>
    <w:p w14:paraId="2892DAAD" w14:textId="77777777" w:rsidR="00274E65" w:rsidRDefault="00AD16A0" w:rsidP="00274E65">
      <w:pPr>
        <w:pStyle w:val="TOC1"/>
        <w:rPr>
          <w:rFonts w:asciiTheme="minorHAnsi" w:hAnsiTheme="minorHAnsi" w:cstheme="minorBidi"/>
          <w:b w:val="0"/>
          <w:bCs w:val="0"/>
          <w:caps w:val="0"/>
          <w:sz w:val="22"/>
          <w:szCs w:val="22"/>
          <w:rtl/>
        </w:rPr>
      </w:pPr>
      <w:hyperlink w:anchor="_Toc140743954" w:history="1">
        <w:r w:rsidR="00274E65" w:rsidRPr="009D26EB">
          <w:rPr>
            <w:rStyle w:val="Hyperlink"/>
            <w:rtl/>
          </w:rPr>
          <w:t>~~~~~~~~~~~~~~~~~~~~~~~~~~~~</w:t>
        </w:r>
      </w:hyperlink>
    </w:p>
    <w:p w14:paraId="24DBE01D" w14:textId="77777777" w:rsidR="00274E65" w:rsidRDefault="00AD16A0" w:rsidP="00274E65">
      <w:pPr>
        <w:pStyle w:val="TOC1"/>
        <w:rPr>
          <w:rFonts w:asciiTheme="minorHAnsi" w:hAnsiTheme="minorHAnsi" w:cstheme="minorBidi"/>
          <w:b w:val="0"/>
          <w:bCs w:val="0"/>
          <w:caps w:val="0"/>
          <w:sz w:val="22"/>
          <w:szCs w:val="22"/>
          <w:rtl/>
        </w:rPr>
      </w:pPr>
      <w:hyperlink w:anchor="_Toc140743955" w:history="1">
        <w:r w:rsidR="00274E65" w:rsidRPr="009D26EB">
          <w:rPr>
            <w:rStyle w:val="Hyperlink"/>
            <w:rtl/>
          </w:rPr>
          <w:t>ד' הרמב"ן דצל"ג רק בנהנה במלאכה</w:t>
        </w:r>
      </w:hyperlink>
    </w:p>
    <w:p w14:paraId="22317408" w14:textId="77777777" w:rsidR="00274E65" w:rsidRDefault="00AD16A0" w:rsidP="00274E65">
      <w:pPr>
        <w:pStyle w:val="TOC2"/>
        <w:rPr>
          <w:rFonts w:cstheme="minorBidi"/>
          <w:b w:val="0"/>
          <w:bCs w:val="0"/>
          <w:sz w:val="22"/>
          <w:szCs w:val="22"/>
          <w:rtl/>
        </w:rPr>
      </w:pPr>
      <w:hyperlink w:anchor="_Toc140743956" w:history="1">
        <w:r w:rsidR="00274E65" w:rsidRPr="009D26EB">
          <w:rPr>
            <w:rStyle w:val="Hyperlink"/>
            <w:rtl/>
          </w:rPr>
          <w:t>בי' הרמב"ן דמשאצל"ג כשאינו נהנה מהמלאכה וכוונתו לסלק</w:t>
        </w:r>
      </w:hyperlink>
    </w:p>
    <w:p w14:paraId="5E3D12EC" w14:textId="77777777" w:rsidR="00274E65" w:rsidRDefault="00AD16A0" w:rsidP="00ED704E">
      <w:pPr>
        <w:pStyle w:val="TOC3"/>
        <w:rPr>
          <w:rFonts w:asciiTheme="minorHAnsi" w:eastAsiaTheme="minorEastAsia" w:hAnsiTheme="minorHAnsi" w:cstheme="minorBidi"/>
          <w:sz w:val="22"/>
          <w:szCs w:val="22"/>
          <w:rtl/>
        </w:rPr>
      </w:pPr>
      <w:hyperlink w:anchor="_Toc140743957" w:history="1">
        <w:r w:rsidR="00274E65" w:rsidRPr="009D26EB">
          <w:rPr>
            <w:rStyle w:val="Hyperlink"/>
            <w:rtl/>
          </w:rPr>
          <w:t>בי' הרמב"ן והרשב"א והריטב"א דבמוציא מת אין לו הנאה ממנו אלא מסילוקו וכן בנחש וכיבוי</w:t>
        </w:r>
      </w:hyperlink>
    </w:p>
    <w:p w14:paraId="680BD487" w14:textId="77777777" w:rsidR="00274E65" w:rsidRDefault="00AD16A0" w:rsidP="00ED704E">
      <w:pPr>
        <w:pStyle w:val="TOC3"/>
        <w:rPr>
          <w:rFonts w:asciiTheme="minorHAnsi" w:eastAsiaTheme="minorEastAsia" w:hAnsiTheme="minorHAnsi" w:cstheme="minorBidi"/>
          <w:sz w:val="22"/>
          <w:szCs w:val="22"/>
          <w:rtl/>
        </w:rPr>
      </w:pPr>
      <w:hyperlink w:anchor="_Toc140743958" w:history="1">
        <w:r w:rsidR="00274E65" w:rsidRPr="009D26EB">
          <w:rPr>
            <w:rStyle w:val="Hyperlink"/>
            <w:rtl/>
          </w:rPr>
          <w:t>בי' הרמב"ן והרשב"א והריטב"א דבנפל דרנא צריך את גוף התפירה ונהנה והוי צל"ג</w:t>
        </w:r>
      </w:hyperlink>
    </w:p>
    <w:p w14:paraId="28E5355B" w14:textId="77777777" w:rsidR="00274E65" w:rsidRDefault="00AD16A0" w:rsidP="00ED704E">
      <w:pPr>
        <w:pStyle w:val="TOC3"/>
        <w:rPr>
          <w:rFonts w:asciiTheme="minorHAnsi" w:eastAsiaTheme="minorEastAsia" w:hAnsiTheme="minorHAnsi" w:cstheme="minorBidi"/>
          <w:sz w:val="22"/>
          <w:szCs w:val="22"/>
          <w:rtl/>
        </w:rPr>
      </w:pPr>
      <w:hyperlink w:anchor="_Toc140743959" w:history="1">
        <w:r w:rsidR="00274E65" w:rsidRPr="009D26EB">
          <w:rPr>
            <w:rStyle w:val="Hyperlink"/>
            <w:rtl/>
          </w:rPr>
          <w:t>בי' הרשב"א והריטב"א דדרנא דמי לתולש ממחובר דלא רוצה בחיבור אך עכשיו נהנה בתלישה</w:t>
        </w:r>
      </w:hyperlink>
    </w:p>
    <w:p w14:paraId="7C3CB6A0" w14:textId="77777777" w:rsidR="00274E65" w:rsidRDefault="00AD16A0" w:rsidP="00ED704E">
      <w:pPr>
        <w:pStyle w:val="TOC3"/>
        <w:rPr>
          <w:rFonts w:asciiTheme="minorHAnsi" w:eastAsiaTheme="minorEastAsia" w:hAnsiTheme="minorHAnsi" w:cstheme="minorBidi"/>
          <w:sz w:val="22"/>
          <w:szCs w:val="22"/>
          <w:rtl/>
        </w:rPr>
      </w:pPr>
      <w:hyperlink w:anchor="_Toc140743960" w:history="1">
        <w:r w:rsidR="00274E65" w:rsidRPr="009D26EB">
          <w:rPr>
            <w:rStyle w:val="Hyperlink"/>
            <w:rtl/>
          </w:rPr>
          <w:t>בי' הריטב"א דקוצר ג"כ א"צ לקצירה עד שיהיה ראוי לאכילה מ"מ חייב דנהנה ממלאכת קוצר</w:t>
        </w:r>
      </w:hyperlink>
    </w:p>
    <w:p w14:paraId="40371EC5" w14:textId="77777777" w:rsidR="00274E65" w:rsidRDefault="00AD16A0" w:rsidP="00ED704E">
      <w:pPr>
        <w:pStyle w:val="TOC3"/>
        <w:rPr>
          <w:rFonts w:asciiTheme="minorHAnsi" w:eastAsiaTheme="minorEastAsia" w:hAnsiTheme="minorHAnsi" w:cstheme="minorBidi"/>
          <w:sz w:val="22"/>
          <w:szCs w:val="22"/>
          <w:rtl/>
        </w:rPr>
      </w:pPr>
      <w:hyperlink w:anchor="_Toc140743961" w:history="1">
        <w:r w:rsidR="00274E65" w:rsidRPr="009D26EB">
          <w:rPr>
            <w:rStyle w:val="Hyperlink"/>
            <w:rtl/>
          </w:rPr>
          <w:t>בי' דצורך המלאכה אינו בהנאת האדם אלא בצורך המלאכה דאמרי' צריך "לגופה" ולא "לגופו"</w:t>
        </w:r>
      </w:hyperlink>
    </w:p>
    <w:p w14:paraId="1DA45525" w14:textId="77777777" w:rsidR="00274E65" w:rsidRDefault="00AD16A0" w:rsidP="00274E65">
      <w:pPr>
        <w:pStyle w:val="TOC2"/>
        <w:rPr>
          <w:rFonts w:cstheme="minorBidi"/>
          <w:b w:val="0"/>
          <w:bCs w:val="0"/>
          <w:sz w:val="22"/>
          <w:szCs w:val="22"/>
          <w:rtl/>
        </w:rPr>
      </w:pPr>
      <w:hyperlink w:anchor="_Toc140743962" w:history="1">
        <w:r w:rsidR="00274E65" w:rsidRPr="009D26EB">
          <w:rPr>
            <w:rStyle w:val="Hyperlink"/>
            <w:rtl/>
          </w:rPr>
          <w:t>בי' המרכה"מ ברשב"א דמתוקן שהתקלקל תיקונו כדבר חדש</w:t>
        </w:r>
      </w:hyperlink>
    </w:p>
    <w:p w14:paraId="44631D4B" w14:textId="77777777" w:rsidR="00274E65" w:rsidRDefault="00AD16A0" w:rsidP="00ED704E">
      <w:pPr>
        <w:pStyle w:val="TOC3"/>
        <w:rPr>
          <w:rFonts w:asciiTheme="minorHAnsi" w:eastAsiaTheme="minorEastAsia" w:hAnsiTheme="minorHAnsi" w:cstheme="minorBidi"/>
          <w:sz w:val="22"/>
          <w:szCs w:val="22"/>
          <w:rtl/>
        </w:rPr>
      </w:pPr>
      <w:hyperlink w:anchor="_Toc140743963" w:history="1">
        <w:r w:rsidR="00274E65" w:rsidRPr="009D26EB">
          <w:rPr>
            <w:rStyle w:val="Hyperlink"/>
            <w:rtl/>
          </w:rPr>
          <w:t>בי' המרכה"מ ברשב"א דמשאצל"ג הסרת קלקול ולא תיקון בפנ"ע ולא נהנה מעצם המלאכה</w:t>
        </w:r>
      </w:hyperlink>
    </w:p>
    <w:p w14:paraId="2967B092" w14:textId="77777777" w:rsidR="00274E65" w:rsidRDefault="00AD16A0" w:rsidP="00ED704E">
      <w:pPr>
        <w:pStyle w:val="TOC3"/>
        <w:rPr>
          <w:rFonts w:asciiTheme="minorHAnsi" w:eastAsiaTheme="minorEastAsia" w:hAnsiTheme="minorHAnsi" w:cstheme="minorBidi"/>
          <w:sz w:val="22"/>
          <w:szCs w:val="22"/>
          <w:rtl/>
        </w:rPr>
      </w:pPr>
      <w:hyperlink w:anchor="_Toc140743964" w:history="1">
        <w:r w:rsidR="00274E65" w:rsidRPr="009D26EB">
          <w:rPr>
            <w:rStyle w:val="Hyperlink"/>
            <w:rtl/>
          </w:rPr>
          <w:t>בי' המרכה"מ ברשב"א דבר מתוקן שהתקלקל ומתקנו הוי כתיקון חדש ולא סילוק נזק ול"ד למת</w:t>
        </w:r>
      </w:hyperlink>
    </w:p>
    <w:p w14:paraId="09EDA137" w14:textId="77777777" w:rsidR="00274E65" w:rsidRDefault="00AD16A0" w:rsidP="00274E65">
      <w:pPr>
        <w:pStyle w:val="TOC1"/>
        <w:rPr>
          <w:rFonts w:asciiTheme="minorHAnsi" w:hAnsiTheme="minorHAnsi" w:cstheme="minorBidi"/>
          <w:b w:val="0"/>
          <w:bCs w:val="0"/>
          <w:caps w:val="0"/>
          <w:sz w:val="22"/>
          <w:szCs w:val="22"/>
          <w:rtl/>
        </w:rPr>
      </w:pPr>
      <w:hyperlink w:anchor="_Toc140743965" w:history="1">
        <w:r w:rsidR="00274E65" w:rsidRPr="009D26EB">
          <w:rPr>
            <w:rStyle w:val="Hyperlink"/>
            <w:rtl/>
          </w:rPr>
          <w:t>ד' הרמב"ן דסגי בתיקון שכלול במלאכה</w:t>
        </w:r>
      </w:hyperlink>
    </w:p>
    <w:p w14:paraId="7C4E7C17" w14:textId="77777777" w:rsidR="00274E65" w:rsidRDefault="00AD16A0" w:rsidP="00274E65">
      <w:pPr>
        <w:pStyle w:val="TOC2"/>
        <w:rPr>
          <w:rFonts w:cstheme="minorBidi"/>
          <w:b w:val="0"/>
          <w:bCs w:val="0"/>
          <w:sz w:val="22"/>
          <w:szCs w:val="22"/>
          <w:rtl/>
        </w:rPr>
      </w:pPr>
      <w:hyperlink w:anchor="_Toc140743966" w:history="1">
        <w:r w:rsidR="00274E65" w:rsidRPr="009D26EB">
          <w:rPr>
            <w:rStyle w:val="Hyperlink"/>
            <w:rtl/>
          </w:rPr>
          <w:t>בי' הרמב"ן דמילה ל"ה משאצל"ג ומקלקל בחבורה חייב בצל"ג</w:t>
        </w:r>
      </w:hyperlink>
    </w:p>
    <w:p w14:paraId="69FB78A3" w14:textId="77777777" w:rsidR="00274E65" w:rsidRDefault="00AD16A0" w:rsidP="00ED704E">
      <w:pPr>
        <w:pStyle w:val="TOC3"/>
        <w:rPr>
          <w:rFonts w:asciiTheme="minorHAnsi" w:eastAsiaTheme="minorEastAsia" w:hAnsiTheme="minorHAnsi" w:cstheme="minorBidi"/>
          <w:sz w:val="22"/>
          <w:szCs w:val="22"/>
          <w:rtl/>
        </w:rPr>
      </w:pPr>
      <w:hyperlink w:anchor="_Toc140743967" w:history="1">
        <w:r w:rsidR="00274E65" w:rsidRPr="009D26EB">
          <w:rPr>
            <w:rStyle w:val="Hyperlink"/>
            <w:rtl/>
          </w:rPr>
          <w:t>בי' הרמב"ן ברש"י דבמילה מוכח בגמ' דהוי מלאכה אף דמקלקל ובי' הר"ן דהיא משאצל"ג</w:t>
        </w:r>
      </w:hyperlink>
    </w:p>
    <w:p w14:paraId="6F4FEFD6" w14:textId="77777777" w:rsidR="00274E65" w:rsidRDefault="00AD16A0" w:rsidP="00ED704E">
      <w:pPr>
        <w:pStyle w:val="TOC3"/>
        <w:rPr>
          <w:rFonts w:asciiTheme="minorHAnsi" w:eastAsiaTheme="minorEastAsia" w:hAnsiTheme="minorHAnsi" w:cstheme="minorBidi"/>
          <w:sz w:val="22"/>
          <w:szCs w:val="22"/>
          <w:rtl/>
        </w:rPr>
      </w:pPr>
      <w:hyperlink w:anchor="_Toc140743968" w:history="1">
        <w:r w:rsidR="00274E65" w:rsidRPr="009D26EB">
          <w:rPr>
            <w:rStyle w:val="Hyperlink"/>
            <w:rtl/>
          </w:rPr>
          <w:t>בי' הרמב"ן בשם רשב"ם דמדר"י ור"ש נח' במשאצל"ג מבו' דנח' אי תיקון בדבר אחר הוי תיקון</w:t>
        </w:r>
      </w:hyperlink>
    </w:p>
    <w:p w14:paraId="68B0D0C9" w14:textId="77777777" w:rsidR="00274E65" w:rsidRDefault="00AD16A0" w:rsidP="00ED704E">
      <w:pPr>
        <w:pStyle w:val="TOC3"/>
        <w:rPr>
          <w:rFonts w:asciiTheme="minorHAnsi" w:eastAsiaTheme="minorEastAsia" w:hAnsiTheme="minorHAnsi" w:cstheme="minorBidi"/>
          <w:sz w:val="22"/>
          <w:szCs w:val="22"/>
          <w:rtl/>
        </w:rPr>
      </w:pPr>
      <w:hyperlink w:anchor="_Toc140743969" w:history="1">
        <w:r w:rsidR="00274E65" w:rsidRPr="009D26EB">
          <w:rPr>
            <w:rStyle w:val="Hyperlink"/>
            <w:rtl/>
          </w:rPr>
          <w:t>בי' רש"י דתיקון בד"א הוי תיקון לר"ש ודחיית הרמב"ן דמקלקל בחבורה חייב רק בצל"ג</w:t>
        </w:r>
      </w:hyperlink>
    </w:p>
    <w:p w14:paraId="6246AC86" w14:textId="77777777" w:rsidR="00274E65" w:rsidRDefault="00AD16A0" w:rsidP="00274E65">
      <w:pPr>
        <w:pStyle w:val="TOC2"/>
        <w:rPr>
          <w:rFonts w:cstheme="minorBidi"/>
          <w:b w:val="0"/>
          <w:bCs w:val="0"/>
          <w:sz w:val="22"/>
          <w:szCs w:val="22"/>
          <w:rtl/>
        </w:rPr>
      </w:pPr>
      <w:hyperlink w:anchor="_Toc140743970" w:history="1">
        <w:r w:rsidR="00274E65" w:rsidRPr="009D26EB">
          <w:rPr>
            <w:rStyle w:val="Hyperlink"/>
            <w:rtl/>
          </w:rPr>
          <w:t>בי' הרמב"ן דגדר צל"ג כשיש תיקון אף בחלק מחלקי המלאכה</w:t>
        </w:r>
      </w:hyperlink>
    </w:p>
    <w:p w14:paraId="4C557409" w14:textId="77777777" w:rsidR="00274E65" w:rsidRDefault="00AD16A0" w:rsidP="00ED704E">
      <w:pPr>
        <w:pStyle w:val="TOC3"/>
        <w:rPr>
          <w:rFonts w:asciiTheme="minorHAnsi" w:eastAsiaTheme="minorEastAsia" w:hAnsiTheme="minorHAnsi" w:cstheme="minorBidi"/>
          <w:sz w:val="22"/>
          <w:szCs w:val="22"/>
          <w:rtl/>
        </w:rPr>
      </w:pPr>
      <w:hyperlink w:anchor="_Toc140743971" w:history="1">
        <w:r w:rsidR="00274E65" w:rsidRPr="009D26EB">
          <w:rPr>
            <w:rStyle w:val="Hyperlink"/>
            <w:rtl/>
          </w:rPr>
          <w:t>בי' הרמב"ן דמילה צל"ג דיהיה מהול כנוטל צפרניו וגוזז דאף דא"צ להם צריך לגוף המלאכה</w:t>
        </w:r>
      </w:hyperlink>
    </w:p>
    <w:p w14:paraId="05515191" w14:textId="77777777" w:rsidR="00274E65" w:rsidRDefault="00AD16A0" w:rsidP="00ED704E">
      <w:pPr>
        <w:pStyle w:val="TOC3"/>
        <w:rPr>
          <w:rFonts w:asciiTheme="minorHAnsi" w:eastAsiaTheme="minorEastAsia" w:hAnsiTheme="minorHAnsi" w:cstheme="minorBidi"/>
          <w:sz w:val="22"/>
          <w:szCs w:val="22"/>
          <w:rtl/>
        </w:rPr>
      </w:pPr>
      <w:hyperlink w:anchor="_Toc140743972" w:history="1">
        <w:r w:rsidR="00274E65" w:rsidRPr="009D26EB">
          <w:rPr>
            <w:rStyle w:val="Hyperlink"/>
            <w:rtl/>
          </w:rPr>
          <w:t>בי' הרמב"ן דבבת כהן ההבערה לבישול פתילה צל"ג כמדליק להתחמם ורק כיבוי הוי משאצל"ג</w:t>
        </w:r>
      </w:hyperlink>
    </w:p>
    <w:p w14:paraId="1BB2E86B" w14:textId="77777777" w:rsidR="00274E65" w:rsidRDefault="00AD16A0" w:rsidP="00274E65">
      <w:pPr>
        <w:pStyle w:val="TOC2"/>
        <w:rPr>
          <w:rFonts w:cstheme="minorBidi"/>
          <w:b w:val="0"/>
          <w:bCs w:val="0"/>
          <w:sz w:val="22"/>
          <w:szCs w:val="22"/>
          <w:rtl/>
        </w:rPr>
      </w:pPr>
      <w:hyperlink w:anchor="_Toc140743973" w:history="1">
        <w:r w:rsidR="00274E65" w:rsidRPr="009D26EB">
          <w:rPr>
            <w:rStyle w:val="Hyperlink"/>
            <w:rtl/>
          </w:rPr>
          <w:t>בי' הרמב"ן דקלקול בגוף ותיקון בדבר א' הוי מקלקל אך צל"ג</w:t>
        </w:r>
      </w:hyperlink>
    </w:p>
    <w:p w14:paraId="398B01F3" w14:textId="77777777" w:rsidR="00274E65" w:rsidRDefault="00AD16A0" w:rsidP="00ED704E">
      <w:pPr>
        <w:pStyle w:val="TOC3"/>
        <w:rPr>
          <w:rFonts w:asciiTheme="minorHAnsi" w:eastAsiaTheme="minorEastAsia" w:hAnsiTheme="minorHAnsi" w:cstheme="minorBidi"/>
          <w:sz w:val="22"/>
          <w:szCs w:val="22"/>
          <w:rtl/>
        </w:rPr>
      </w:pPr>
      <w:hyperlink w:anchor="_Toc140743974" w:history="1">
        <w:r w:rsidR="00274E65" w:rsidRPr="009D26EB">
          <w:rPr>
            <w:rStyle w:val="Hyperlink"/>
            <w:rtl/>
          </w:rPr>
          <w:t>בי' הרמב"ן דבמקלקל וצריך לגוף הקלקול עצמו דעי"ז מתקן בד"א הוי צל"ג כמילה ובת כהן</w:t>
        </w:r>
      </w:hyperlink>
    </w:p>
    <w:p w14:paraId="24D6A025" w14:textId="77777777" w:rsidR="00274E65" w:rsidRDefault="00AD16A0" w:rsidP="00274E65">
      <w:pPr>
        <w:pStyle w:val="TOC2"/>
        <w:rPr>
          <w:rFonts w:cstheme="minorBidi"/>
          <w:b w:val="0"/>
          <w:bCs w:val="0"/>
          <w:sz w:val="22"/>
          <w:szCs w:val="22"/>
          <w:rtl/>
        </w:rPr>
      </w:pPr>
      <w:hyperlink w:anchor="_Toc140743975" w:history="1">
        <w:r w:rsidR="00274E65" w:rsidRPr="009D26EB">
          <w:rPr>
            <w:rStyle w:val="Hyperlink"/>
            <w:rtl/>
          </w:rPr>
          <w:t>בי' הרמב"ן דמקלקל בחבורה חייב בצל"ג ולא מקלקל גמור</w:t>
        </w:r>
      </w:hyperlink>
    </w:p>
    <w:p w14:paraId="58CA6F40" w14:textId="77777777" w:rsidR="00274E65" w:rsidRDefault="00AD16A0" w:rsidP="00ED704E">
      <w:pPr>
        <w:pStyle w:val="TOC3"/>
        <w:rPr>
          <w:rFonts w:asciiTheme="minorHAnsi" w:eastAsiaTheme="minorEastAsia" w:hAnsiTheme="minorHAnsi" w:cstheme="minorBidi"/>
          <w:sz w:val="22"/>
          <w:szCs w:val="22"/>
          <w:rtl/>
        </w:rPr>
      </w:pPr>
      <w:hyperlink w:anchor="_Toc140743976" w:history="1">
        <w:r w:rsidR="00274E65" w:rsidRPr="009D26EB">
          <w:rPr>
            <w:rStyle w:val="Hyperlink"/>
            <w:rtl/>
          </w:rPr>
          <w:t>בי' הרמב"ן דלר"ש מילה ובת כהן צל"ג וא"כ אין מקור לחייב מתקן וא"צ לו או מקלקל וא"צ לו</w:t>
        </w:r>
      </w:hyperlink>
    </w:p>
    <w:p w14:paraId="691AD2D9" w14:textId="77777777" w:rsidR="00274E65" w:rsidRDefault="00AD16A0" w:rsidP="00ED704E">
      <w:pPr>
        <w:pStyle w:val="TOC3"/>
        <w:rPr>
          <w:rFonts w:asciiTheme="minorHAnsi" w:eastAsiaTheme="minorEastAsia" w:hAnsiTheme="minorHAnsi" w:cstheme="minorBidi"/>
          <w:sz w:val="22"/>
          <w:szCs w:val="22"/>
          <w:rtl/>
        </w:rPr>
      </w:pPr>
      <w:hyperlink w:anchor="_Toc140743977" w:history="1">
        <w:r w:rsidR="00274E65" w:rsidRPr="009D26EB">
          <w:rPr>
            <w:rStyle w:val="Hyperlink"/>
            <w:rtl/>
          </w:rPr>
          <w:t>בי' הרמב"ן דנוטל קוץ וחבל א"צ לגוף החבלה והוא מקלקל גמור ואף בחבורה פטור דמשאצל"ג</w:t>
        </w:r>
      </w:hyperlink>
    </w:p>
    <w:p w14:paraId="4517BE8D" w14:textId="77777777" w:rsidR="00274E65" w:rsidRDefault="00AD16A0" w:rsidP="00ED704E">
      <w:pPr>
        <w:pStyle w:val="TOC3"/>
        <w:rPr>
          <w:rFonts w:asciiTheme="minorHAnsi" w:eastAsiaTheme="minorEastAsia" w:hAnsiTheme="minorHAnsi" w:cstheme="minorBidi"/>
          <w:sz w:val="22"/>
          <w:szCs w:val="22"/>
          <w:rtl/>
        </w:rPr>
      </w:pPr>
      <w:hyperlink w:anchor="_Toc140743978" w:history="1">
        <w:r w:rsidR="00274E65" w:rsidRPr="009D26EB">
          <w:rPr>
            <w:rStyle w:val="Hyperlink"/>
            <w:rtl/>
          </w:rPr>
          <w:t>בי' הרמב"ן בריו"ח דמקלקל בחבורה וצריך לכלבו הוי צל"ג וחייב וחובל סתם משאצל"ג ופטור</w:t>
        </w:r>
      </w:hyperlink>
    </w:p>
    <w:p w14:paraId="3AF5FA65" w14:textId="77777777" w:rsidR="00274E65" w:rsidRDefault="00AD16A0" w:rsidP="00ED704E">
      <w:pPr>
        <w:pStyle w:val="TOC3"/>
        <w:rPr>
          <w:rFonts w:asciiTheme="minorHAnsi" w:eastAsiaTheme="minorEastAsia" w:hAnsiTheme="minorHAnsi" w:cstheme="minorBidi"/>
          <w:sz w:val="22"/>
          <w:szCs w:val="22"/>
          <w:rtl/>
        </w:rPr>
      </w:pPr>
      <w:hyperlink w:anchor="_Toc140743979" w:history="1">
        <w:r w:rsidR="00274E65" w:rsidRPr="009D26EB">
          <w:rPr>
            <w:rStyle w:val="Hyperlink"/>
            <w:rtl/>
          </w:rPr>
          <w:t>בי' הרמב"ן דבחובל לכלבו המלאכה בדם עצמו שצריך לו ול"ד לגומא דהעפר אינו גוף המלאכה</w:t>
        </w:r>
      </w:hyperlink>
    </w:p>
    <w:p w14:paraId="0993BFFF" w14:textId="77777777" w:rsidR="00274E65" w:rsidRDefault="00AD16A0" w:rsidP="00ED704E">
      <w:pPr>
        <w:pStyle w:val="TOC3"/>
        <w:rPr>
          <w:rFonts w:asciiTheme="minorHAnsi" w:eastAsiaTheme="minorEastAsia" w:hAnsiTheme="minorHAnsi" w:cstheme="minorBidi"/>
          <w:sz w:val="22"/>
          <w:szCs w:val="22"/>
          <w:rtl/>
        </w:rPr>
      </w:pPr>
      <w:hyperlink w:anchor="_Toc140743980" w:history="1">
        <w:r w:rsidR="00274E65" w:rsidRPr="009D26EB">
          <w:rPr>
            <w:rStyle w:val="Hyperlink"/>
            <w:rtl/>
          </w:rPr>
          <w:t>בי' הרמב"ן דחובל כגוזז שערו ליפות או לצורך שער דהמלאכה בנטילה וצריך לה והם דבר אחד</w:t>
        </w:r>
      </w:hyperlink>
    </w:p>
    <w:p w14:paraId="0439622C" w14:textId="77777777" w:rsidR="00274E65" w:rsidRDefault="00AD16A0" w:rsidP="00ED704E">
      <w:pPr>
        <w:pStyle w:val="TOC3"/>
        <w:rPr>
          <w:rFonts w:asciiTheme="minorHAnsi" w:eastAsiaTheme="minorEastAsia" w:hAnsiTheme="minorHAnsi" w:cstheme="minorBidi"/>
          <w:sz w:val="22"/>
          <w:szCs w:val="22"/>
          <w:rtl/>
        </w:rPr>
      </w:pPr>
      <w:hyperlink w:anchor="_Toc140743981" w:history="1">
        <w:r w:rsidR="00274E65" w:rsidRPr="009D26EB">
          <w:rPr>
            <w:rStyle w:val="Hyperlink"/>
            <w:rtl/>
          </w:rPr>
          <w:t>בי' התוס' והרמב"ן דרבי אבהו וריו"ח נח' בר"ש אי מקלקל בחבורה חייב או דצריך תיקון קצת</w:t>
        </w:r>
      </w:hyperlink>
    </w:p>
    <w:p w14:paraId="2877DEDE" w14:textId="77777777" w:rsidR="00274E65" w:rsidRDefault="00AD16A0" w:rsidP="00ED704E">
      <w:pPr>
        <w:pStyle w:val="TOC3"/>
        <w:rPr>
          <w:rFonts w:asciiTheme="minorHAnsi" w:eastAsiaTheme="minorEastAsia" w:hAnsiTheme="minorHAnsi" w:cstheme="minorBidi"/>
          <w:sz w:val="22"/>
          <w:szCs w:val="22"/>
          <w:rtl/>
        </w:rPr>
      </w:pPr>
      <w:hyperlink w:anchor="_Toc140743982" w:history="1">
        <w:r w:rsidR="00274E65" w:rsidRPr="009D26EB">
          <w:rPr>
            <w:rStyle w:val="Hyperlink"/>
            <w:rtl/>
          </w:rPr>
          <w:t>בי' הר"ן ברמב"ן דכמו דמילה ובת כהן צריך לגופן ה"ה בכל מקלקל בחבורה והיינו כחובל לכלבו</w:t>
        </w:r>
      </w:hyperlink>
    </w:p>
    <w:p w14:paraId="19ADBCEC" w14:textId="77777777" w:rsidR="00274E65" w:rsidRDefault="00AD16A0" w:rsidP="00ED704E">
      <w:pPr>
        <w:pStyle w:val="TOC3"/>
        <w:rPr>
          <w:rFonts w:asciiTheme="minorHAnsi" w:eastAsiaTheme="minorEastAsia" w:hAnsiTheme="minorHAnsi" w:cstheme="minorBidi"/>
          <w:sz w:val="22"/>
          <w:szCs w:val="22"/>
          <w:rtl/>
        </w:rPr>
      </w:pPr>
      <w:hyperlink w:anchor="_Toc140743983" w:history="1">
        <w:r w:rsidR="00274E65" w:rsidRPr="009D26EB">
          <w:rPr>
            <w:rStyle w:val="Hyperlink"/>
            <w:rtl/>
          </w:rPr>
          <w:t>בי' הר"ן ברמב"ן דרק לריו"ח מחייב ר"ש במקלקל רק בצל"ג אבל לר"א אף במשאצל"ג חייב</w:t>
        </w:r>
      </w:hyperlink>
    </w:p>
    <w:p w14:paraId="39356E25" w14:textId="77777777" w:rsidR="00274E65" w:rsidRDefault="00AD16A0" w:rsidP="00274E65">
      <w:pPr>
        <w:pStyle w:val="TOC2"/>
        <w:rPr>
          <w:rFonts w:cstheme="minorBidi"/>
          <w:b w:val="0"/>
          <w:bCs w:val="0"/>
          <w:sz w:val="22"/>
          <w:szCs w:val="22"/>
          <w:rtl/>
        </w:rPr>
      </w:pPr>
      <w:hyperlink w:anchor="_Toc140743984" w:history="1">
        <w:r w:rsidR="00274E65" w:rsidRPr="009D26EB">
          <w:rPr>
            <w:rStyle w:val="Hyperlink"/>
            <w:rtl/>
          </w:rPr>
          <w:t>קו' הר"ן ברמב"ן דא"א לומר דמילה צל"ג כשהצורך לא בגופו</w:t>
        </w:r>
      </w:hyperlink>
    </w:p>
    <w:p w14:paraId="51CF5510" w14:textId="77777777" w:rsidR="00274E65" w:rsidRDefault="00AD16A0" w:rsidP="00ED704E">
      <w:pPr>
        <w:pStyle w:val="TOC3"/>
        <w:rPr>
          <w:rFonts w:asciiTheme="minorHAnsi" w:eastAsiaTheme="minorEastAsia" w:hAnsiTheme="minorHAnsi" w:cstheme="minorBidi"/>
          <w:sz w:val="22"/>
          <w:szCs w:val="22"/>
          <w:rtl/>
        </w:rPr>
      </w:pPr>
      <w:hyperlink w:anchor="_Toc140743985" w:history="1">
        <w:r w:rsidR="00274E65" w:rsidRPr="009D26EB">
          <w:rPr>
            <w:rStyle w:val="Hyperlink"/>
            <w:rtl/>
          </w:rPr>
          <w:t>קו' הר"ן ברמב"ן דהצורך במילה הוא רק מצוה דאינה בגופו והאיך אפש"ל דחשיב צריכה לגופה</w:t>
        </w:r>
      </w:hyperlink>
    </w:p>
    <w:p w14:paraId="19FF1591" w14:textId="77777777" w:rsidR="00274E65" w:rsidRDefault="00AD16A0" w:rsidP="00274E65">
      <w:pPr>
        <w:pStyle w:val="TOC1"/>
        <w:rPr>
          <w:rFonts w:asciiTheme="minorHAnsi" w:hAnsiTheme="minorHAnsi" w:cstheme="minorBidi"/>
          <w:b w:val="0"/>
          <w:bCs w:val="0"/>
          <w:caps w:val="0"/>
          <w:sz w:val="22"/>
          <w:szCs w:val="22"/>
          <w:rtl/>
        </w:rPr>
      </w:pPr>
      <w:hyperlink w:anchor="_Toc140743986" w:history="1">
        <w:r w:rsidR="00274E65" w:rsidRPr="009D26EB">
          <w:rPr>
            <w:rStyle w:val="Hyperlink"/>
            <w:rtl/>
          </w:rPr>
          <w:t>~~~~~~~~~~~~~~~~~~~~~~~~~~~~</w:t>
        </w:r>
      </w:hyperlink>
    </w:p>
    <w:p w14:paraId="69EB0B7A" w14:textId="77777777" w:rsidR="00274E65" w:rsidRDefault="00AD16A0" w:rsidP="00274E65">
      <w:pPr>
        <w:pStyle w:val="TOC1"/>
        <w:rPr>
          <w:rFonts w:asciiTheme="minorHAnsi" w:hAnsiTheme="minorHAnsi" w:cstheme="minorBidi"/>
          <w:b w:val="0"/>
          <w:bCs w:val="0"/>
          <w:caps w:val="0"/>
          <w:sz w:val="22"/>
          <w:szCs w:val="22"/>
          <w:rtl/>
        </w:rPr>
      </w:pPr>
      <w:hyperlink w:anchor="_Toc140743987" w:history="1">
        <w:r w:rsidR="00274E65" w:rsidRPr="009D26EB">
          <w:rPr>
            <w:rStyle w:val="Hyperlink"/>
            <w:rtl/>
          </w:rPr>
          <w:t>בגדרי פלוגתת ר' אבהו וריו"ח להרמב"ן</w:t>
        </w:r>
      </w:hyperlink>
    </w:p>
    <w:p w14:paraId="7924432C" w14:textId="77777777" w:rsidR="00274E65" w:rsidRDefault="00AD16A0" w:rsidP="00274E65">
      <w:pPr>
        <w:pStyle w:val="TOC2"/>
        <w:rPr>
          <w:rFonts w:cstheme="minorBidi"/>
          <w:b w:val="0"/>
          <w:bCs w:val="0"/>
          <w:sz w:val="22"/>
          <w:szCs w:val="22"/>
          <w:rtl/>
        </w:rPr>
      </w:pPr>
      <w:hyperlink w:anchor="_Toc140743988" w:history="1">
        <w:r w:rsidR="00274E65" w:rsidRPr="009D26EB">
          <w:rPr>
            <w:rStyle w:val="Hyperlink"/>
            <w:rtl/>
          </w:rPr>
          <w:t>בי' הרמב"ן דנח' במלאכת מחשבת במקלקל בלא כוונת נזק</w:t>
        </w:r>
      </w:hyperlink>
    </w:p>
    <w:p w14:paraId="7F31F8D9" w14:textId="77777777" w:rsidR="00274E65" w:rsidRDefault="00AD16A0" w:rsidP="00ED704E">
      <w:pPr>
        <w:pStyle w:val="TOC3"/>
        <w:rPr>
          <w:rFonts w:asciiTheme="minorHAnsi" w:eastAsiaTheme="minorEastAsia" w:hAnsiTheme="minorHAnsi" w:cstheme="minorBidi"/>
          <w:sz w:val="22"/>
          <w:szCs w:val="22"/>
          <w:rtl/>
        </w:rPr>
      </w:pPr>
      <w:hyperlink w:anchor="_Toc140743989" w:history="1">
        <w:r w:rsidR="00274E65" w:rsidRPr="009D26EB">
          <w:rPr>
            <w:rStyle w:val="Hyperlink"/>
            <w:rtl/>
          </w:rPr>
          <w:t>בי' הרמב"ן ברבי אבהו דתיקון דמילה ל"ה תיקון ומוכח דבחובל ומבעיר אף מקלקל גמור חייב</w:t>
        </w:r>
      </w:hyperlink>
    </w:p>
    <w:p w14:paraId="3B24A56D" w14:textId="77777777" w:rsidR="00274E65" w:rsidRDefault="00AD16A0" w:rsidP="00ED704E">
      <w:pPr>
        <w:pStyle w:val="TOC3"/>
        <w:rPr>
          <w:rFonts w:asciiTheme="minorHAnsi" w:eastAsiaTheme="minorEastAsia" w:hAnsiTheme="minorHAnsi" w:cstheme="minorBidi"/>
          <w:sz w:val="22"/>
          <w:szCs w:val="22"/>
          <w:rtl/>
        </w:rPr>
      </w:pPr>
      <w:hyperlink w:anchor="_Toc140743990" w:history="1">
        <w:r w:rsidR="00274E65" w:rsidRPr="009D26EB">
          <w:rPr>
            <w:rStyle w:val="Hyperlink"/>
            <w:rtl/>
          </w:rPr>
          <w:t>הבי' הא' ברמב"ן דלר' אבהו בחובל ומבעיר אין דין מלאכת מחשבת וחייב במקלקל ומשאצל"ג</w:t>
        </w:r>
      </w:hyperlink>
    </w:p>
    <w:p w14:paraId="07EB2589" w14:textId="77777777" w:rsidR="00274E65" w:rsidRDefault="00AD16A0" w:rsidP="00ED704E">
      <w:pPr>
        <w:pStyle w:val="TOC3"/>
        <w:rPr>
          <w:rFonts w:asciiTheme="minorHAnsi" w:eastAsiaTheme="minorEastAsia" w:hAnsiTheme="minorHAnsi" w:cstheme="minorBidi"/>
          <w:sz w:val="22"/>
          <w:szCs w:val="22"/>
          <w:rtl/>
        </w:rPr>
      </w:pPr>
      <w:hyperlink w:anchor="_Toc140743991" w:history="1">
        <w:r w:rsidR="00274E65" w:rsidRPr="009D26EB">
          <w:rPr>
            <w:rStyle w:val="Hyperlink"/>
            <w:rtl/>
          </w:rPr>
          <w:t>בי' הר"ן ברמב"ן דלר' אבהו ממקלקל בחבורה ילפי' דא"צ מלאכת מחשבת ולכן משאצל"ג חייב</w:t>
        </w:r>
      </w:hyperlink>
    </w:p>
    <w:p w14:paraId="630BB190" w14:textId="77777777" w:rsidR="00274E65" w:rsidRDefault="00AD16A0" w:rsidP="00ED704E">
      <w:pPr>
        <w:pStyle w:val="TOC3"/>
        <w:rPr>
          <w:rFonts w:asciiTheme="minorHAnsi" w:eastAsiaTheme="minorEastAsia" w:hAnsiTheme="minorHAnsi" w:cstheme="minorBidi"/>
          <w:sz w:val="22"/>
          <w:szCs w:val="22"/>
          <w:rtl/>
        </w:rPr>
      </w:pPr>
      <w:hyperlink w:anchor="_Toc140743992" w:history="1">
        <w:r w:rsidR="00274E65" w:rsidRPr="009D26EB">
          <w:rPr>
            <w:rStyle w:val="Hyperlink"/>
            <w:rtl/>
          </w:rPr>
          <w:t>בי' הרמב"ן בריו"ח דמילה אין כוונה לנזק וצל"ג ומלאכת מחשבת וכן בת כהן צריך אש לשריפה</w:t>
        </w:r>
      </w:hyperlink>
    </w:p>
    <w:p w14:paraId="52A7D560" w14:textId="77777777" w:rsidR="00274E65" w:rsidRDefault="00AD16A0" w:rsidP="00ED704E">
      <w:pPr>
        <w:pStyle w:val="TOC3"/>
        <w:rPr>
          <w:rFonts w:asciiTheme="minorHAnsi" w:eastAsiaTheme="minorEastAsia" w:hAnsiTheme="minorHAnsi" w:cstheme="minorBidi"/>
          <w:sz w:val="22"/>
          <w:szCs w:val="22"/>
          <w:rtl/>
        </w:rPr>
      </w:pPr>
      <w:hyperlink w:anchor="_Toc140743993" w:history="1">
        <w:r w:rsidR="00274E65" w:rsidRPr="009D26EB">
          <w:rPr>
            <w:rStyle w:val="Hyperlink"/>
            <w:rtl/>
          </w:rPr>
          <w:t>בי' הרמב"ן דלריו"ח אף דחובל ומבעיר א"צ תיקון במלאכה מ"מ רק צל"ג חייב ולא מקלקל גמור</w:t>
        </w:r>
      </w:hyperlink>
    </w:p>
    <w:p w14:paraId="0BB1AB94" w14:textId="77777777" w:rsidR="00274E65" w:rsidRDefault="00AD16A0" w:rsidP="00274E65">
      <w:pPr>
        <w:pStyle w:val="TOC2"/>
        <w:rPr>
          <w:rFonts w:cstheme="minorBidi"/>
          <w:b w:val="0"/>
          <w:bCs w:val="0"/>
          <w:sz w:val="22"/>
          <w:szCs w:val="22"/>
          <w:rtl/>
        </w:rPr>
      </w:pPr>
      <w:hyperlink w:anchor="_Toc140743994" w:history="1">
        <w:r w:rsidR="00274E65" w:rsidRPr="009D26EB">
          <w:rPr>
            <w:rStyle w:val="Hyperlink"/>
            <w:rtl/>
          </w:rPr>
          <w:t>הבי' הב' ברמב"ן דנח' בגדר צל"ג במקלקל כשיש לו כוונה בזה</w:t>
        </w:r>
      </w:hyperlink>
    </w:p>
    <w:p w14:paraId="3A100F3A" w14:textId="77777777" w:rsidR="00274E65" w:rsidRDefault="00AD16A0" w:rsidP="00ED704E">
      <w:pPr>
        <w:pStyle w:val="TOC3"/>
        <w:rPr>
          <w:rFonts w:asciiTheme="minorHAnsi" w:eastAsiaTheme="minorEastAsia" w:hAnsiTheme="minorHAnsi" w:cstheme="minorBidi"/>
          <w:sz w:val="22"/>
          <w:szCs w:val="22"/>
          <w:rtl/>
        </w:rPr>
      </w:pPr>
      <w:hyperlink w:anchor="_Toc140743995" w:history="1">
        <w:r w:rsidR="00274E65" w:rsidRPr="009D26EB">
          <w:rPr>
            <w:rStyle w:val="Hyperlink"/>
            <w:rtl/>
          </w:rPr>
          <w:t>הבי' הב' ברמב"ן דאף לר' אבהו חובל חייב רק בצל"ג כמילה והנוטל קוץ וחבל פטור דמשאצל"ג</w:t>
        </w:r>
      </w:hyperlink>
    </w:p>
    <w:p w14:paraId="15250255" w14:textId="77777777" w:rsidR="00274E65" w:rsidRDefault="00AD16A0" w:rsidP="00ED704E">
      <w:pPr>
        <w:pStyle w:val="TOC3"/>
        <w:rPr>
          <w:rFonts w:asciiTheme="minorHAnsi" w:eastAsiaTheme="minorEastAsia" w:hAnsiTheme="minorHAnsi" w:cstheme="minorBidi"/>
          <w:sz w:val="22"/>
          <w:szCs w:val="22"/>
          <w:rtl/>
        </w:rPr>
      </w:pPr>
      <w:hyperlink w:anchor="_Toc140743996" w:history="1">
        <w:r w:rsidR="00274E65" w:rsidRPr="009D26EB">
          <w:rPr>
            <w:rStyle w:val="Hyperlink"/>
            <w:rtl/>
          </w:rPr>
          <w:t>הבי' הב' ברמב"ן דלר' אבהו מילה צריך לגופה דרוצה בקלקול ובחובל מקלקל הוא כמתקן</w:t>
        </w:r>
      </w:hyperlink>
    </w:p>
    <w:p w14:paraId="47D73DB0" w14:textId="77777777" w:rsidR="00274E65" w:rsidRDefault="00AD16A0" w:rsidP="00ED704E">
      <w:pPr>
        <w:pStyle w:val="TOC3"/>
        <w:rPr>
          <w:rFonts w:asciiTheme="minorHAnsi" w:eastAsiaTheme="minorEastAsia" w:hAnsiTheme="minorHAnsi" w:cstheme="minorBidi"/>
          <w:sz w:val="22"/>
          <w:szCs w:val="22"/>
          <w:rtl/>
        </w:rPr>
      </w:pPr>
      <w:hyperlink w:anchor="_Toc140743997" w:history="1">
        <w:r w:rsidR="00274E65" w:rsidRPr="009D26EB">
          <w:rPr>
            <w:rStyle w:val="Hyperlink"/>
            <w:rtl/>
          </w:rPr>
          <w:t>הבי' הב' ברמב"ן דלר' אבהו החובל בחבירו בכוונה חייב דמקלקל בחבורה כמתקן והוי צל"ג</w:t>
        </w:r>
      </w:hyperlink>
    </w:p>
    <w:p w14:paraId="2766555E" w14:textId="77777777" w:rsidR="00274E65" w:rsidRDefault="00AD16A0" w:rsidP="00ED704E">
      <w:pPr>
        <w:pStyle w:val="TOC3"/>
        <w:rPr>
          <w:rFonts w:asciiTheme="minorHAnsi" w:eastAsiaTheme="minorEastAsia" w:hAnsiTheme="minorHAnsi" w:cstheme="minorBidi"/>
          <w:sz w:val="22"/>
          <w:szCs w:val="22"/>
          <w:rtl/>
        </w:rPr>
      </w:pPr>
      <w:hyperlink w:anchor="_Toc140743998" w:history="1">
        <w:r w:rsidR="00274E65" w:rsidRPr="009D26EB">
          <w:rPr>
            <w:rStyle w:val="Hyperlink"/>
            <w:rtl/>
          </w:rPr>
          <w:t>הבי' הב' ברמב"ן דלר' אבהו החופר גומא להכשיל בנ"א הוי צל"ג ופטור רק מדין מקלקל</w:t>
        </w:r>
      </w:hyperlink>
    </w:p>
    <w:p w14:paraId="1BE5B51E" w14:textId="77777777" w:rsidR="00274E65" w:rsidRDefault="00AD16A0" w:rsidP="00274E65">
      <w:pPr>
        <w:pStyle w:val="TOC2"/>
        <w:rPr>
          <w:rFonts w:cstheme="minorBidi"/>
          <w:b w:val="0"/>
          <w:bCs w:val="0"/>
          <w:sz w:val="22"/>
          <w:szCs w:val="22"/>
          <w:rtl/>
        </w:rPr>
      </w:pPr>
      <w:hyperlink w:anchor="_Toc140743999" w:history="1">
        <w:r w:rsidR="00274E65" w:rsidRPr="009D26EB">
          <w:rPr>
            <w:rStyle w:val="Hyperlink"/>
            <w:rtl/>
          </w:rPr>
          <w:t>הבי' הג' ברמב"ן דל"פ וצל"ג בצד א' במקלקל חייב רק בחובל</w:t>
        </w:r>
      </w:hyperlink>
    </w:p>
    <w:p w14:paraId="5661FBB1" w14:textId="77777777" w:rsidR="00274E65" w:rsidRDefault="00AD16A0" w:rsidP="00ED704E">
      <w:pPr>
        <w:pStyle w:val="TOC3"/>
        <w:rPr>
          <w:rFonts w:asciiTheme="minorHAnsi" w:eastAsiaTheme="minorEastAsia" w:hAnsiTheme="minorHAnsi" w:cstheme="minorBidi"/>
          <w:sz w:val="22"/>
          <w:szCs w:val="22"/>
          <w:rtl/>
        </w:rPr>
      </w:pPr>
      <w:hyperlink w:anchor="_Toc140744000" w:history="1">
        <w:r w:rsidR="00274E65" w:rsidRPr="009D26EB">
          <w:rPr>
            <w:rStyle w:val="Hyperlink"/>
            <w:rtl/>
          </w:rPr>
          <w:t>הבי' הג' ברמב"ן דר' אבהו וריו"ח ל"פ דריו"ח ביאר את הברייתא דמקלקל חייב רק בצל"ג</w:t>
        </w:r>
      </w:hyperlink>
    </w:p>
    <w:p w14:paraId="08018D32" w14:textId="77777777" w:rsidR="00274E65" w:rsidRDefault="00AD16A0" w:rsidP="00ED704E">
      <w:pPr>
        <w:pStyle w:val="TOC3"/>
        <w:rPr>
          <w:rFonts w:asciiTheme="minorHAnsi" w:eastAsiaTheme="minorEastAsia" w:hAnsiTheme="minorHAnsi" w:cstheme="minorBidi"/>
          <w:sz w:val="22"/>
          <w:szCs w:val="22"/>
          <w:rtl/>
        </w:rPr>
      </w:pPr>
      <w:hyperlink w:anchor="_Toc140744001" w:history="1">
        <w:r w:rsidR="00274E65" w:rsidRPr="009D26EB">
          <w:rPr>
            <w:rStyle w:val="Hyperlink"/>
            <w:rtl/>
          </w:rPr>
          <w:t>הבי' הג' ברמב"ן דמקלקל בחבורה הוי צל"ג וחייב רק שיש תשמיש בקלקול אף כשהוא מצד א'</w:t>
        </w:r>
      </w:hyperlink>
    </w:p>
    <w:p w14:paraId="3E926D1D" w14:textId="77777777" w:rsidR="00274E65" w:rsidRDefault="00AD16A0" w:rsidP="00ED704E">
      <w:pPr>
        <w:pStyle w:val="TOC3"/>
        <w:rPr>
          <w:rFonts w:asciiTheme="minorHAnsi" w:eastAsiaTheme="minorEastAsia" w:hAnsiTheme="minorHAnsi" w:cstheme="minorBidi"/>
          <w:sz w:val="22"/>
          <w:szCs w:val="22"/>
          <w:rtl/>
        </w:rPr>
      </w:pPr>
      <w:hyperlink w:anchor="_Toc140744002" w:history="1">
        <w:r w:rsidR="00274E65" w:rsidRPr="009D26EB">
          <w:rPr>
            <w:rStyle w:val="Hyperlink"/>
            <w:rtl/>
          </w:rPr>
          <w:t>בי' הרמב"ן דלא ילפי' ממילה לכל משאצל"ג דמלאכת מחשבת פוטר להדיא לר"ש ומילה חידוש</w:t>
        </w:r>
      </w:hyperlink>
    </w:p>
    <w:p w14:paraId="1270C2FC" w14:textId="77777777" w:rsidR="00274E65" w:rsidRDefault="00AD16A0" w:rsidP="00274E65">
      <w:pPr>
        <w:pStyle w:val="TOC1"/>
        <w:rPr>
          <w:rFonts w:asciiTheme="minorHAnsi" w:hAnsiTheme="minorHAnsi" w:cstheme="minorBidi"/>
          <w:b w:val="0"/>
          <w:bCs w:val="0"/>
          <w:caps w:val="0"/>
          <w:sz w:val="22"/>
          <w:szCs w:val="22"/>
          <w:rtl/>
        </w:rPr>
      </w:pPr>
      <w:hyperlink w:anchor="_Toc140744003" w:history="1">
        <w:r w:rsidR="00274E65" w:rsidRPr="009D26EB">
          <w:rPr>
            <w:rStyle w:val="Hyperlink"/>
            <w:rtl/>
          </w:rPr>
          <w:t>~~~~~~~~~~~~~~~~~~~~~~~~~~~~</w:t>
        </w:r>
      </w:hyperlink>
    </w:p>
    <w:p w14:paraId="0AF50209" w14:textId="77777777" w:rsidR="00274E65" w:rsidRDefault="00AD16A0" w:rsidP="00274E65">
      <w:pPr>
        <w:pStyle w:val="TOC1"/>
        <w:rPr>
          <w:rFonts w:asciiTheme="minorHAnsi" w:hAnsiTheme="minorHAnsi" w:cstheme="minorBidi"/>
          <w:b w:val="0"/>
          <w:bCs w:val="0"/>
          <w:caps w:val="0"/>
          <w:sz w:val="22"/>
          <w:szCs w:val="22"/>
          <w:rtl/>
        </w:rPr>
      </w:pPr>
      <w:hyperlink w:anchor="_Toc140744004" w:history="1">
        <w:r w:rsidR="00274E65" w:rsidRPr="009D26EB">
          <w:rPr>
            <w:rStyle w:val="Hyperlink"/>
            <w:rtl/>
          </w:rPr>
          <w:t>בי' הר"ן דהמלאכה טפלה לתיקון</w:t>
        </w:r>
      </w:hyperlink>
    </w:p>
    <w:p w14:paraId="745BC77E" w14:textId="77777777" w:rsidR="00274E65" w:rsidRDefault="00AD16A0" w:rsidP="00274E65">
      <w:pPr>
        <w:pStyle w:val="TOC2"/>
        <w:rPr>
          <w:rFonts w:cstheme="minorBidi"/>
          <w:b w:val="0"/>
          <w:bCs w:val="0"/>
          <w:sz w:val="22"/>
          <w:szCs w:val="22"/>
          <w:rtl/>
        </w:rPr>
      </w:pPr>
      <w:hyperlink w:anchor="_Toc140744005" w:history="1">
        <w:r w:rsidR="00274E65" w:rsidRPr="009D26EB">
          <w:rPr>
            <w:rStyle w:val="Hyperlink"/>
            <w:rtl/>
          </w:rPr>
          <w:t>בי' הר"ן דהמלאכה נטפלת לצורך ולתיקון שרוצה לחיוב ולפטור</w:t>
        </w:r>
      </w:hyperlink>
    </w:p>
    <w:p w14:paraId="00011DC5" w14:textId="77777777" w:rsidR="00274E65" w:rsidRDefault="00AD16A0" w:rsidP="00ED704E">
      <w:pPr>
        <w:pStyle w:val="TOC3"/>
        <w:rPr>
          <w:rFonts w:asciiTheme="minorHAnsi" w:eastAsiaTheme="minorEastAsia" w:hAnsiTheme="minorHAnsi" w:cstheme="minorBidi"/>
          <w:sz w:val="22"/>
          <w:szCs w:val="22"/>
          <w:rtl/>
        </w:rPr>
      </w:pPr>
      <w:hyperlink w:anchor="_Toc140744006" w:history="1">
        <w:r w:rsidR="00274E65" w:rsidRPr="009D26EB">
          <w:rPr>
            <w:rStyle w:val="Hyperlink"/>
            <w:rtl/>
          </w:rPr>
          <w:t>בי' הר"ן דמשאצל"ג היינו כשהמלאכה נטפלת לצורך אחר וכל שהצורך יותר תיקון נטפלת יותר</w:t>
        </w:r>
      </w:hyperlink>
    </w:p>
    <w:p w14:paraId="45DFBEBF" w14:textId="77777777" w:rsidR="00274E65" w:rsidRDefault="00AD16A0" w:rsidP="00ED704E">
      <w:pPr>
        <w:pStyle w:val="TOC3"/>
        <w:rPr>
          <w:rFonts w:asciiTheme="minorHAnsi" w:eastAsiaTheme="minorEastAsia" w:hAnsiTheme="minorHAnsi" w:cstheme="minorBidi"/>
          <w:sz w:val="22"/>
          <w:szCs w:val="22"/>
          <w:rtl/>
        </w:rPr>
      </w:pPr>
      <w:hyperlink w:anchor="_Toc140744007" w:history="1">
        <w:r w:rsidR="00274E65" w:rsidRPr="009D26EB">
          <w:rPr>
            <w:rStyle w:val="Hyperlink"/>
            <w:rtl/>
          </w:rPr>
          <w:t>בי' הר"ן דצל"ג הוא כשיש בגוף המלאכה תיקון דהיא נטפלת לו אבל בנחש וקוץ התיקון בד"א</w:t>
        </w:r>
      </w:hyperlink>
    </w:p>
    <w:p w14:paraId="33A5775C" w14:textId="77777777" w:rsidR="00274E65" w:rsidRDefault="00AD16A0" w:rsidP="00ED704E">
      <w:pPr>
        <w:pStyle w:val="TOC3"/>
        <w:rPr>
          <w:rFonts w:asciiTheme="minorHAnsi" w:eastAsiaTheme="minorEastAsia" w:hAnsiTheme="minorHAnsi" w:cstheme="minorBidi"/>
          <w:sz w:val="22"/>
          <w:szCs w:val="22"/>
          <w:rtl/>
        </w:rPr>
      </w:pPr>
      <w:hyperlink w:anchor="_Toc140744008" w:history="1">
        <w:r w:rsidR="00274E65" w:rsidRPr="009D26EB">
          <w:rPr>
            <w:rStyle w:val="Hyperlink"/>
            <w:rtl/>
          </w:rPr>
          <w:t>בי' הר"ן דמילה התיקון לא בגופה וילפי' דלא טפלה לד"א ול"ה משאצל"ג ומקלקל בחבורה חייב</w:t>
        </w:r>
      </w:hyperlink>
    </w:p>
    <w:p w14:paraId="6DE0E12E" w14:textId="77777777" w:rsidR="00274E65" w:rsidRDefault="00AD16A0" w:rsidP="00274E65">
      <w:pPr>
        <w:pStyle w:val="TOC2"/>
        <w:rPr>
          <w:rFonts w:cstheme="minorBidi"/>
          <w:b w:val="0"/>
          <w:bCs w:val="0"/>
          <w:sz w:val="22"/>
          <w:szCs w:val="22"/>
          <w:rtl/>
        </w:rPr>
      </w:pPr>
      <w:hyperlink w:anchor="_Toc140744009" w:history="1">
        <w:r w:rsidR="00274E65" w:rsidRPr="009D26EB">
          <w:rPr>
            <w:rStyle w:val="Hyperlink"/>
            <w:rtl/>
          </w:rPr>
          <w:t>בי' הר"ן דר"א וריו"ח נח' במלאכת מחשבת ובטפלות המלאכה</w:t>
        </w:r>
      </w:hyperlink>
    </w:p>
    <w:p w14:paraId="672B9CF7" w14:textId="77777777" w:rsidR="00274E65" w:rsidRDefault="00AD16A0" w:rsidP="00ED704E">
      <w:pPr>
        <w:pStyle w:val="TOC3"/>
        <w:rPr>
          <w:rFonts w:asciiTheme="minorHAnsi" w:eastAsiaTheme="minorEastAsia" w:hAnsiTheme="minorHAnsi" w:cstheme="minorBidi"/>
          <w:sz w:val="22"/>
          <w:szCs w:val="22"/>
          <w:rtl/>
        </w:rPr>
      </w:pPr>
      <w:hyperlink w:anchor="_Toc140744010" w:history="1">
        <w:r w:rsidR="00274E65" w:rsidRPr="009D26EB">
          <w:rPr>
            <w:rStyle w:val="Hyperlink"/>
            <w:rtl/>
          </w:rPr>
          <w:t>בי' הר"ן דלר' אבהו כל מקלקל חייב ולריו"ח הוי שטות ול"ה מלאכת מחשבת דאין תיקון בד"א</w:t>
        </w:r>
      </w:hyperlink>
    </w:p>
    <w:p w14:paraId="0F31A84B" w14:textId="77777777" w:rsidR="00274E65" w:rsidRDefault="00AD16A0" w:rsidP="00ED704E">
      <w:pPr>
        <w:pStyle w:val="TOC3"/>
        <w:rPr>
          <w:rFonts w:asciiTheme="minorHAnsi" w:eastAsiaTheme="minorEastAsia" w:hAnsiTheme="minorHAnsi" w:cstheme="minorBidi"/>
          <w:sz w:val="22"/>
          <w:szCs w:val="22"/>
          <w:rtl/>
        </w:rPr>
      </w:pPr>
      <w:hyperlink w:anchor="_Toc140744011" w:history="1">
        <w:r w:rsidR="00274E65" w:rsidRPr="009D26EB">
          <w:rPr>
            <w:rStyle w:val="Hyperlink"/>
            <w:rtl/>
          </w:rPr>
          <w:t>בי' הר"ן בריו"ח דמילה אף שהתיקון בד"א מ"מ גילתה תורה דלא נטפלת לו ול"ה משאצל"ג</w:t>
        </w:r>
      </w:hyperlink>
    </w:p>
    <w:p w14:paraId="7F1202AF" w14:textId="77777777" w:rsidR="00274E65" w:rsidRDefault="00AD16A0" w:rsidP="00ED704E">
      <w:pPr>
        <w:pStyle w:val="TOC3"/>
        <w:rPr>
          <w:rFonts w:asciiTheme="minorHAnsi" w:eastAsiaTheme="minorEastAsia" w:hAnsiTheme="minorHAnsi" w:cstheme="minorBidi"/>
          <w:sz w:val="22"/>
          <w:szCs w:val="22"/>
          <w:rtl/>
        </w:rPr>
      </w:pPr>
      <w:hyperlink w:anchor="_Toc140744012" w:history="1">
        <w:r w:rsidR="00274E65" w:rsidRPr="009D26EB">
          <w:rPr>
            <w:rStyle w:val="Hyperlink"/>
            <w:rtl/>
          </w:rPr>
          <w:t>בי' הר"ן דילפי' לכל מקלקל בחבורה עם כוונה לתיקון בד"א דהוי מלאכת מחשבת כחובל לכלבו</w:t>
        </w:r>
      </w:hyperlink>
    </w:p>
    <w:p w14:paraId="70FDF1AD" w14:textId="77777777" w:rsidR="00274E65" w:rsidRDefault="00AD16A0" w:rsidP="00ED704E">
      <w:pPr>
        <w:pStyle w:val="TOC3"/>
        <w:rPr>
          <w:rFonts w:asciiTheme="minorHAnsi" w:eastAsiaTheme="minorEastAsia" w:hAnsiTheme="minorHAnsi" w:cstheme="minorBidi"/>
          <w:sz w:val="22"/>
          <w:szCs w:val="22"/>
          <w:rtl/>
        </w:rPr>
      </w:pPr>
      <w:hyperlink w:anchor="_Toc140744013" w:history="1">
        <w:r w:rsidR="00274E65" w:rsidRPr="009D26EB">
          <w:rPr>
            <w:rStyle w:val="Hyperlink"/>
            <w:rtl/>
          </w:rPr>
          <w:t>בי' הר"ן דמקלקל בחבורה בתיקון מועט אף דאינו רגילות מ"מ המלאכה לא נגררת אחר התיקון</w:t>
        </w:r>
      </w:hyperlink>
    </w:p>
    <w:p w14:paraId="592D6EA9" w14:textId="77777777" w:rsidR="00274E65" w:rsidRDefault="00AD16A0" w:rsidP="00274E65">
      <w:pPr>
        <w:pStyle w:val="TOC1"/>
        <w:rPr>
          <w:rFonts w:asciiTheme="minorHAnsi" w:hAnsiTheme="minorHAnsi" w:cstheme="minorBidi"/>
          <w:b w:val="0"/>
          <w:bCs w:val="0"/>
          <w:caps w:val="0"/>
          <w:sz w:val="22"/>
          <w:szCs w:val="22"/>
          <w:rtl/>
        </w:rPr>
      </w:pPr>
      <w:hyperlink w:anchor="_Toc140744014" w:history="1">
        <w:r w:rsidR="00274E65" w:rsidRPr="009D26EB">
          <w:rPr>
            <w:rStyle w:val="Hyperlink"/>
            <w:rtl/>
          </w:rPr>
          <w:t>~~~~~~~~~~~~~~~~~~~~~~~~~~~~</w:t>
        </w:r>
      </w:hyperlink>
    </w:p>
    <w:p w14:paraId="3EFB2A21" w14:textId="77777777" w:rsidR="00274E65" w:rsidRDefault="00AD16A0" w:rsidP="00274E65">
      <w:pPr>
        <w:pStyle w:val="TOC1"/>
        <w:rPr>
          <w:rFonts w:asciiTheme="minorHAnsi" w:hAnsiTheme="minorHAnsi" w:cstheme="minorBidi"/>
          <w:b w:val="0"/>
          <w:bCs w:val="0"/>
          <w:caps w:val="0"/>
          <w:sz w:val="22"/>
          <w:szCs w:val="22"/>
          <w:rtl/>
        </w:rPr>
      </w:pPr>
      <w:hyperlink w:anchor="_Toc140744015" w:history="1">
        <w:r w:rsidR="00274E65" w:rsidRPr="009D26EB">
          <w:rPr>
            <w:rStyle w:val="Hyperlink"/>
            <w:rtl/>
          </w:rPr>
          <w:t>בי' הרשב"א דעצים לבישול כמילה</w:t>
        </w:r>
      </w:hyperlink>
    </w:p>
    <w:p w14:paraId="448BFA92" w14:textId="77777777" w:rsidR="00274E65" w:rsidRDefault="00AD16A0" w:rsidP="00274E65">
      <w:pPr>
        <w:pStyle w:val="TOC2"/>
        <w:rPr>
          <w:rFonts w:cstheme="minorBidi"/>
          <w:b w:val="0"/>
          <w:bCs w:val="0"/>
          <w:sz w:val="22"/>
          <w:szCs w:val="22"/>
          <w:rtl/>
        </w:rPr>
      </w:pPr>
      <w:hyperlink w:anchor="_Toc140744016" w:history="1">
        <w:r w:rsidR="00274E65" w:rsidRPr="009D26EB">
          <w:rPr>
            <w:rStyle w:val="Hyperlink"/>
            <w:rtl/>
          </w:rPr>
          <w:t>בי' הרשב"א בב"ק דמבעיר עצים לבישול מקלקל וילפי' דחייב</w:t>
        </w:r>
      </w:hyperlink>
    </w:p>
    <w:p w14:paraId="491890ED" w14:textId="77777777" w:rsidR="00274E65" w:rsidRDefault="00AD16A0" w:rsidP="00ED704E">
      <w:pPr>
        <w:pStyle w:val="TOC3"/>
        <w:rPr>
          <w:rFonts w:asciiTheme="minorHAnsi" w:eastAsiaTheme="minorEastAsia" w:hAnsiTheme="minorHAnsi" w:cstheme="minorBidi"/>
          <w:sz w:val="22"/>
          <w:szCs w:val="22"/>
          <w:rtl/>
        </w:rPr>
      </w:pPr>
      <w:hyperlink w:anchor="_Toc140744017" w:history="1">
        <w:r w:rsidR="00274E65" w:rsidRPr="009D26EB">
          <w:rPr>
            <w:rStyle w:val="Hyperlink"/>
            <w:rtl/>
          </w:rPr>
          <w:t>בי' הרשב"א בב"ק דמדינא אף הבערת עצים צריך להפטר וכן מילה ובת כהן דהם קלקול בגופן</w:t>
        </w:r>
      </w:hyperlink>
    </w:p>
    <w:p w14:paraId="4E7C9E6D" w14:textId="77777777" w:rsidR="00274E65" w:rsidRDefault="00AD16A0" w:rsidP="00ED704E">
      <w:pPr>
        <w:pStyle w:val="TOC3"/>
        <w:rPr>
          <w:rFonts w:asciiTheme="minorHAnsi" w:eastAsiaTheme="minorEastAsia" w:hAnsiTheme="minorHAnsi" w:cstheme="minorBidi"/>
          <w:sz w:val="22"/>
          <w:szCs w:val="22"/>
          <w:rtl/>
        </w:rPr>
      </w:pPr>
      <w:hyperlink w:anchor="_Toc140744018" w:history="1">
        <w:r w:rsidR="00274E65" w:rsidRPr="009D26EB">
          <w:rPr>
            <w:rStyle w:val="Hyperlink"/>
            <w:rtl/>
          </w:rPr>
          <w:t>בי' הרשב"א בריו"ח דחובל ומבעיר צריך תיקון קצת ומבעיר לבישול כחובל לכלבו ומבעיר לאפר</w:t>
        </w:r>
      </w:hyperlink>
    </w:p>
    <w:p w14:paraId="1DD69CA2" w14:textId="77777777" w:rsidR="00274E65" w:rsidRDefault="00AD16A0" w:rsidP="00ED704E">
      <w:pPr>
        <w:pStyle w:val="TOC3"/>
        <w:rPr>
          <w:rFonts w:asciiTheme="minorHAnsi" w:eastAsiaTheme="minorEastAsia" w:hAnsiTheme="minorHAnsi" w:cstheme="minorBidi"/>
          <w:sz w:val="22"/>
          <w:szCs w:val="22"/>
          <w:rtl/>
        </w:rPr>
      </w:pPr>
      <w:hyperlink w:anchor="_Toc140744019" w:history="1">
        <w:r w:rsidR="00274E65" w:rsidRPr="009D26EB">
          <w:rPr>
            <w:rStyle w:val="Hyperlink"/>
            <w:rtl/>
          </w:rPr>
          <w:t>בי' הרשב"א בב"ק דריו"ח יכול להעמיד מבעיר לבישול אך מתני' איירי באדם דומיא דשור</w:t>
        </w:r>
      </w:hyperlink>
    </w:p>
    <w:p w14:paraId="4D43AEF2" w14:textId="77777777" w:rsidR="00274E65" w:rsidRDefault="00AD16A0" w:rsidP="00ED704E">
      <w:pPr>
        <w:pStyle w:val="TOC3"/>
        <w:rPr>
          <w:rFonts w:asciiTheme="minorHAnsi" w:eastAsiaTheme="minorEastAsia" w:hAnsiTheme="minorHAnsi" w:cstheme="minorBidi"/>
          <w:sz w:val="22"/>
          <w:szCs w:val="22"/>
          <w:rtl/>
        </w:rPr>
      </w:pPr>
      <w:hyperlink w:anchor="_Toc140744020" w:history="1">
        <w:r w:rsidR="00274E65" w:rsidRPr="009D26EB">
          <w:rPr>
            <w:rStyle w:val="Hyperlink"/>
            <w:rtl/>
          </w:rPr>
          <w:t>בי' הרשב"א דלר"י כל תיקון בעלמא כלול במלאכת מחשבת ואין כל חידוש במילה ובבת כהן</w:t>
        </w:r>
      </w:hyperlink>
    </w:p>
    <w:p w14:paraId="389B4751" w14:textId="77777777" w:rsidR="00274E65" w:rsidRDefault="00AD16A0" w:rsidP="00ED704E">
      <w:pPr>
        <w:pStyle w:val="TOC3"/>
        <w:rPr>
          <w:rFonts w:asciiTheme="minorHAnsi" w:eastAsiaTheme="minorEastAsia" w:hAnsiTheme="minorHAnsi" w:cstheme="minorBidi"/>
          <w:sz w:val="22"/>
          <w:szCs w:val="22"/>
          <w:rtl/>
        </w:rPr>
      </w:pPr>
      <w:hyperlink w:anchor="_Toc140744021" w:history="1">
        <w:r w:rsidR="00274E65" w:rsidRPr="009D26EB">
          <w:rPr>
            <w:rStyle w:val="Hyperlink"/>
            <w:rtl/>
          </w:rPr>
          <w:t>בי' הרשב"א דלר"י חובל לכלבו הקלקול יותר מהתיקון דמוכח בגמ' דאף בזה פוטר ר"י דמקלקל</w:t>
        </w:r>
      </w:hyperlink>
    </w:p>
    <w:p w14:paraId="380BBA41" w14:textId="77777777" w:rsidR="00274E65" w:rsidRDefault="00AD16A0" w:rsidP="00274E65">
      <w:pPr>
        <w:pStyle w:val="TOC1"/>
        <w:rPr>
          <w:rFonts w:asciiTheme="minorHAnsi" w:hAnsiTheme="minorHAnsi" w:cstheme="minorBidi"/>
          <w:b w:val="0"/>
          <w:bCs w:val="0"/>
          <w:caps w:val="0"/>
          <w:sz w:val="22"/>
          <w:szCs w:val="22"/>
          <w:rtl/>
        </w:rPr>
      </w:pPr>
      <w:hyperlink w:anchor="_Toc140744022" w:history="1">
        <w:r w:rsidR="00274E65" w:rsidRPr="009D26EB">
          <w:rPr>
            <w:rStyle w:val="Hyperlink"/>
            <w:rtl/>
          </w:rPr>
          <w:t>~~~~~~~~~~~~~~~~~~~~~~~~~~~~</w:t>
        </w:r>
      </w:hyperlink>
    </w:p>
    <w:p w14:paraId="34F5228F" w14:textId="77777777" w:rsidR="00274E65" w:rsidRDefault="00AD16A0" w:rsidP="00274E65">
      <w:pPr>
        <w:pStyle w:val="TOC1"/>
        <w:rPr>
          <w:rFonts w:asciiTheme="minorHAnsi" w:hAnsiTheme="minorHAnsi" w:cstheme="minorBidi"/>
          <w:b w:val="0"/>
          <w:bCs w:val="0"/>
          <w:caps w:val="0"/>
          <w:sz w:val="22"/>
          <w:szCs w:val="22"/>
          <w:rtl/>
        </w:rPr>
      </w:pPr>
      <w:hyperlink w:anchor="_Toc140744023" w:history="1">
        <w:r w:rsidR="00274E65" w:rsidRPr="009D26EB">
          <w:rPr>
            <w:rStyle w:val="Hyperlink"/>
            <w:rtl/>
          </w:rPr>
          <w:t>הבי' דצל"ג הוא כשא"א לצורך באופ"א</w:t>
        </w:r>
      </w:hyperlink>
    </w:p>
    <w:p w14:paraId="3B3BA4B6" w14:textId="77777777" w:rsidR="00274E65" w:rsidRDefault="00AD16A0" w:rsidP="00274E65">
      <w:pPr>
        <w:pStyle w:val="TOC2"/>
        <w:rPr>
          <w:rFonts w:cstheme="minorBidi"/>
          <w:b w:val="0"/>
          <w:bCs w:val="0"/>
          <w:sz w:val="22"/>
          <w:szCs w:val="22"/>
          <w:rtl/>
        </w:rPr>
      </w:pPr>
      <w:hyperlink w:anchor="_Toc140744024" w:history="1">
        <w:r w:rsidR="00274E65" w:rsidRPr="009D26EB">
          <w:rPr>
            <w:rStyle w:val="Hyperlink"/>
            <w:rtl/>
          </w:rPr>
          <w:t>בי' הראב"ד דחובל לכלבו צל"ג דא"א שיהיה דם בלא קלקול</w:t>
        </w:r>
      </w:hyperlink>
    </w:p>
    <w:p w14:paraId="7A2AAF02" w14:textId="77777777" w:rsidR="00274E65" w:rsidRDefault="00AD16A0" w:rsidP="00ED704E">
      <w:pPr>
        <w:pStyle w:val="TOC3"/>
        <w:rPr>
          <w:rFonts w:asciiTheme="minorHAnsi" w:eastAsiaTheme="minorEastAsia" w:hAnsiTheme="minorHAnsi" w:cstheme="minorBidi"/>
          <w:sz w:val="22"/>
          <w:szCs w:val="22"/>
          <w:rtl/>
        </w:rPr>
      </w:pPr>
      <w:hyperlink w:anchor="_Toc140744025" w:history="1">
        <w:r w:rsidR="00274E65" w:rsidRPr="009D26EB">
          <w:rPr>
            <w:rStyle w:val="Hyperlink"/>
            <w:rtl/>
          </w:rPr>
          <w:t>בי' הראב"ד דחובל לכלבו ל"ה תיקון בדבר אחר כגומא וצריך עפר דמקלקל וה"ה בצריך לדם</w:t>
        </w:r>
      </w:hyperlink>
    </w:p>
    <w:p w14:paraId="5288D836" w14:textId="77777777" w:rsidR="00274E65" w:rsidRDefault="00AD16A0" w:rsidP="00ED704E">
      <w:pPr>
        <w:pStyle w:val="TOC3"/>
        <w:rPr>
          <w:rFonts w:asciiTheme="minorHAnsi" w:eastAsiaTheme="minorEastAsia" w:hAnsiTheme="minorHAnsi" w:cstheme="minorBidi"/>
          <w:sz w:val="22"/>
          <w:szCs w:val="22"/>
          <w:rtl/>
        </w:rPr>
      </w:pPr>
      <w:hyperlink w:anchor="_Toc140744026" w:history="1">
        <w:r w:rsidR="00274E65" w:rsidRPr="009D26EB">
          <w:rPr>
            <w:rStyle w:val="Hyperlink"/>
            <w:rtl/>
          </w:rPr>
          <w:t>בי' הראב"ד דכשיש לו צורך וא"א לעשותו בלא קלקול חשיב צל"ג ורק בזה חייב ר"ש לד' ריו"ח</w:t>
        </w:r>
      </w:hyperlink>
    </w:p>
    <w:p w14:paraId="66DB6C74" w14:textId="77777777" w:rsidR="00274E65" w:rsidRDefault="00AD16A0" w:rsidP="00274E65">
      <w:pPr>
        <w:pStyle w:val="TOC2"/>
        <w:rPr>
          <w:rFonts w:cstheme="minorBidi"/>
          <w:b w:val="0"/>
          <w:bCs w:val="0"/>
          <w:sz w:val="22"/>
          <w:szCs w:val="22"/>
          <w:rtl/>
        </w:rPr>
      </w:pPr>
      <w:hyperlink w:anchor="_Toc140744027" w:history="1">
        <w:r w:rsidR="00274E65" w:rsidRPr="009D26EB">
          <w:rPr>
            <w:rStyle w:val="Hyperlink"/>
            <w:rtl/>
          </w:rPr>
          <w:t>בי' הריטב"א דמשאצל"ג במתכוין למלאכה ואפשר באופ"א</w:t>
        </w:r>
      </w:hyperlink>
    </w:p>
    <w:p w14:paraId="0ADC7A02" w14:textId="77777777" w:rsidR="00274E65" w:rsidRDefault="00AD16A0" w:rsidP="00ED704E">
      <w:pPr>
        <w:pStyle w:val="TOC3"/>
        <w:rPr>
          <w:rFonts w:asciiTheme="minorHAnsi" w:eastAsiaTheme="minorEastAsia" w:hAnsiTheme="minorHAnsi" w:cstheme="minorBidi"/>
          <w:sz w:val="22"/>
          <w:szCs w:val="22"/>
          <w:rtl/>
        </w:rPr>
      </w:pPr>
      <w:hyperlink w:anchor="_Toc140744028" w:history="1">
        <w:r w:rsidR="00274E65" w:rsidRPr="009D26EB">
          <w:rPr>
            <w:rStyle w:val="Hyperlink"/>
            <w:rtl/>
          </w:rPr>
          <w:t>בי' הריטב"א דמלאכת מחשבת פוטר אינו מתכוון דאין כוונה לאיסור ומשאצל"ג דמתכוון ול"צ</w:t>
        </w:r>
      </w:hyperlink>
    </w:p>
    <w:p w14:paraId="4741465D" w14:textId="77777777" w:rsidR="00274E65" w:rsidRDefault="00AD16A0" w:rsidP="00ED704E">
      <w:pPr>
        <w:pStyle w:val="TOC3"/>
        <w:rPr>
          <w:rFonts w:asciiTheme="minorHAnsi" w:eastAsiaTheme="minorEastAsia" w:hAnsiTheme="minorHAnsi" w:cstheme="minorBidi"/>
          <w:sz w:val="22"/>
          <w:szCs w:val="22"/>
          <w:rtl/>
        </w:rPr>
      </w:pPr>
      <w:hyperlink w:anchor="_Toc140744029" w:history="1">
        <w:r w:rsidR="00274E65" w:rsidRPr="009D26EB">
          <w:rPr>
            <w:rStyle w:val="Hyperlink"/>
            <w:rtl/>
          </w:rPr>
          <w:t>בי' הריטב"א דמלאכה שעושה בכוונה אף שאין לו צורך בדבר ל"ה משאצל"ג אלא אינו מתכוון</w:t>
        </w:r>
      </w:hyperlink>
    </w:p>
    <w:p w14:paraId="2E353AFF" w14:textId="77777777" w:rsidR="00274E65" w:rsidRDefault="00AD16A0" w:rsidP="00ED704E">
      <w:pPr>
        <w:pStyle w:val="TOC3"/>
        <w:rPr>
          <w:rFonts w:asciiTheme="minorHAnsi" w:eastAsiaTheme="minorEastAsia" w:hAnsiTheme="minorHAnsi" w:cstheme="minorBidi"/>
          <w:sz w:val="22"/>
          <w:szCs w:val="22"/>
          <w:rtl/>
        </w:rPr>
      </w:pPr>
      <w:hyperlink w:anchor="_Toc140744030" w:history="1">
        <w:r w:rsidR="00274E65" w:rsidRPr="009D26EB">
          <w:rPr>
            <w:rStyle w:val="Hyperlink"/>
            <w:rtl/>
          </w:rPr>
          <w:t>בי' הריטב"א דבעוסק בדבר עצמו וא"צ למלאכה ואפשר באופ"א ל"ה משאצל"ג ובגומא א"א</w:t>
        </w:r>
      </w:hyperlink>
    </w:p>
    <w:p w14:paraId="4B2520FA" w14:textId="77777777" w:rsidR="00274E65" w:rsidRDefault="00AD16A0" w:rsidP="00ED704E">
      <w:pPr>
        <w:pStyle w:val="TOC3"/>
        <w:rPr>
          <w:rFonts w:asciiTheme="minorHAnsi" w:eastAsiaTheme="minorEastAsia" w:hAnsiTheme="minorHAnsi" w:cstheme="minorBidi"/>
          <w:sz w:val="22"/>
          <w:szCs w:val="22"/>
          <w:rtl/>
        </w:rPr>
      </w:pPr>
      <w:hyperlink w:anchor="_Toc140744031" w:history="1">
        <w:r w:rsidR="00274E65" w:rsidRPr="009D26EB">
          <w:rPr>
            <w:rStyle w:val="Hyperlink"/>
            <w:rtl/>
          </w:rPr>
          <w:t>קו' הריטב"א דמילה בבהרת הוא מעשה א' ול"ד לאינו מתכוין אלא למכבה גחלת דמשאצל"ג</w:t>
        </w:r>
      </w:hyperlink>
    </w:p>
    <w:p w14:paraId="6A6EF694" w14:textId="77777777" w:rsidR="00274E65" w:rsidRDefault="00AD16A0" w:rsidP="00ED704E">
      <w:pPr>
        <w:pStyle w:val="TOC3"/>
        <w:rPr>
          <w:rFonts w:asciiTheme="minorHAnsi" w:eastAsiaTheme="minorEastAsia" w:hAnsiTheme="minorHAnsi" w:cstheme="minorBidi"/>
          <w:sz w:val="22"/>
          <w:szCs w:val="22"/>
          <w:rtl/>
        </w:rPr>
      </w:pPr>
      <w:hyperlink w:anchor="_Toc140744032" w:history="1">
        <w:r w:rsidR="00274E65" w:rsidRPr="009D26EB">
          <w:rPr>
            <w:rStyle w:val="Hyperlink"/>
            <w:rtl/>
          </w:rPr>
          <w:t>תירוצי הריטב"א דמילה בבהרת לא דמי למשאצל"ג בשבת</w:t>
        </w:r>
      </w:hyperlink>
    </w:p>
    <w:p w14:paraId="3DF66ADA" w14:textId="77777777" w:rsidR="00274E65" w:rsidRDefault="00AD16A0" w:rsidP="00274E65">
      <w:pPr>
        <w:pStyle w:val="TOC2"/>
        <w:rPr>
          <w:rFonts w:cstheme="minorBidi"/>
          <w:b w:val="0"/>
          <w:bCs w:val="0"/>
          <w:sz w:val="22"/>
          <w:szCs w:val="22"/>
          <w:rtl/>
        </w:rPr>
      </w:pPr>
      <w:hyperlink w:anchor="_Toc140744033" w:history="1">
        <w:r w:rsidR="00274E65" w:rsidRPr="009D26EB">
          <w:rPr>
            <w:rStyle w:val="Hyperlink"/>
            <w:rtl/>
          </w:rPr>
          <w:t>בי' הרא"ה דצורך אחר המלאכה וא"א באופ"א חשיב צל"ג</w:t>
        </w:r>
      </w:hyperlink>
    </w:p>
    <w:p w14:paraId="316DF3EE" w14:textId="77777777" w:rsidR="00274E65" w:rsidRDefault="00AD16A0" w:rsidP="00ED704E">
      <w:pPr>
        <w:pStyle w:val="TOC3"/>
        <w:rPr>
          <w:rFonts w:asciiTheme="minorHAnsi" w:eastAsiaTheme="minorEastAsia" w:hAnsiTheme="minorHAnsi" w:cstheme="minorBidi"/>
          <w:sz w:val="22"/>
          <w:szCs w:val="22"/>
          <w:rtl/>
        </w:rPr>
      </w:pPr>
      <w:hyperlink w:anchor="_Toc140744034" w:history="1">
        <w:r w:rsidR="00274E65" w:rsidRPr="009D26EB">
          <w:rPr>
            <w:rStyle w:val="Hyperlink"/>
            <w:rtl/>
          </w:rPr>
          <w:t>בי' הרא"ה ברש"י דר"י ור"ש נח' אי תיקון קצת הוי תיקון ולריו"ח ר"ש חייב רק בצל"ג</w:t>
        </w:r>
      </w:hyperlink>
    </w:p>
    <w:p w14:paraId="6233B6EB" w14:textId="77777777" w:rsidR="00274E65" w:rsidRDefault="00AD16A0" w:rsidP="00ED704E">
      <w:pPr>
        <w:pStyle w:val="TOC3"/>
        <w:rPr>
          <w:rFonts w:asciiTheme="minorHAnsi" w:eastAsiaTheme="minorEastAsia" w:hAnsiTheme="minorHAnsi" w:cstheme="minorBidi"/>
          <w:sz w:val="22"/>
          <w:szCs w:val="22"/>
          <w:rtl/>
        </w:rPr>
      </w:pPr>
      <w:hyperlink w:anchor="_Toc140744035" w:history="1">
        <w:r w:rsidR="00274E65" w:rsidRPr="009D26EB">
          <w:rPr>
            <w:rStyle w:val="Hyperlink"/>
            <w:rtl/>
          </w:rPr>
          <w:t>בי' הרא"ה דבצורך אחר המלאכה וא"א באופ"א צל"ג כגוזז ול"ד לגומא דאפשר לעפר בלא"ה</w:t>
        </w:r>
      </w:hyperlink>
    </w:p>
    <w:p w14:paraId="74FD3DD1" w14:textId="77777777" w:rsidR="00274E65" w:rsidRDefault="00AD16A0" w:rsidP="00ED704E">
      <w:pPr>
        <w:pStyle w:val="TOC3"/>
        <w:rPr>
          <w:rFonts w:asciiTheme="minorHAnsi" w:eastAsiaTheme="minorEastAsia" w:hAnsiTheme="minorHAnsi" w:cstheme="minorBidi"/>
          <w:sz w:val="22"/>
          <w:szCs w:val="22"/>
          <w:rtl/>
        </w:rPr>
      </w:pPr>
      <w:hyperlink w:anchor="_Toc140744036" w:history="1">
        <w:r w:rsidR="00274E65" w:rsidRPr="009D26EB">
          <w:rPr>
            <w:rStyle w:val="Hyperlink"/>
            <w:rtl/>
          </w:rPr>
          <w:t>בי' הרא"ה דגומא אינה חיבור לעפר והבנין בגומא ול"ד לגוזז דהכל דבר אחד ולכן חשיב צל"ג</w:t>
        </w:r>
      </w:hyperlink>
    </w:p>
    <w:p w14:paraId="32398312" w14:textId="77777777" w:rsidR="00274E65" w:rsidRDefault="00AD16A0" w:rsidP="00274E65">
      <w:pPr>
        <w:pStyle w:val="TOC1"/>
        <w:rPr>
          <w:rFonts w:asciiTheme="minorHAnsi" w:hAnsiTheme="minorHAnsi" w:cstheme="minorBidi"/>
          <w:b w:val="0"/>
          <w:bCs w:val="0"/>
          <w:caps w:val="0"/>
          <w:sz w:val="22"/>
          <w:szCs w:val="22"/>
          <w:rtl/>
        </w:rPr>
      </w:pPr>
      <w:hyperlink w:anchor="_Toc140744037" w:history="1">
        <w:r w:rsidR="00274E65" w:rsidRPr="009D26EB">
          <w:rPr>
            <w:rStyle w:val="Hyperlink"/>
            <w:rtl/>
          </w:rPr>
          <w:t>~~~~~~~~~~~~~~~~~~~~~~~~~~~~</w:t>
        </w:r>
      </w:hyperlink>
    </w:p>
    <w:p w14:paraId="63662506" w14:textId="77777777" w:rsidR="00274E65" w:rsidRDefault="00AD16A0" w:rsidP="00274E65">
      <w:pPr>
        <w:pStyle w:val="TOC1"/>
        <w:rPr>
          <w:rFonts w:asciiTheme="minorHAnsi" w:hAnsiTheme="minorHAnsi" w:cstheme="minorBidi"/>
          <w:b w:val="0"/>
          <w:bCs w:val="0"/>
          <w:caps w:val="0"/>
          <w:sz w:val="22"/>
          <w:szCs w:val="22"/>
          <w:rtl/>
        </w:rPr>
      </w:pPr>
      <w:hyperlink w:anchor="_Toc140744038" w:history="1">
        <w:r w:rsidR="00274E65" w:rsidRPr="009D26EB">
          <w:rPr>
            <w:rStyle w:val="Hyperlink"/>
            <w:rtl/>
          </w:rPr>
          <w:t>בי' הראשונים דצל"ג תלוי בדבר עצמו</w:t>
        </w:r>
      </w:hyperlink>
    </w:p>
    <w:p w14:paraId="60A74F10" w14:textId="77777777" w:rsidR="00274E65" w:rsidRDefault="00AD16A0" w:rsidP="00274E65">
      <w:pPr>
        <w:pStyle w:val="TOC2"/>
        <w:rPr>
          <w:rFonts w:cstheme="minorBidi"/>
          <w:b w:val="0"/>
          <w:bCs w:val="0"/>
          <w:sz w:val="22"/>
          <w:szCs w:val="22"/>
          <w:rtl/>
        </w:rPr>
      </w:pPr>
      <w:hyperlink w:anchor="_Toc140744039" w:history="1">
        <w:r w:rsidR="00274E65" w:rsidRPr="009D26EB">
          <w:rPr>
            <w:rStyle w:val="Hyperlink"/>
            <w:rtl/>
          </w:rPr>
          <w:t>בי' התורי"ד דמשאצל"ג במלאכה דא"צ לכולם ואינה חשובה</w:t>
        </w:r>
      </w:hyperlink>
    </w:p>
    <w:p w14:paraId="0D910AA2" w14:textId="77777777" w:rsidR="00274E65" w:rsidRDefault="00AD16A0" w:rsidP="00ED704E">
      <w:pPr>
        <w:pStyle w:val="TOC3"/>
        <w:rPr>
          <w:rFonts w:asciiTheme="minorHAnsi" w:eastAsiaTheme="minorEastAsia" w:hAnsiTheme="minorHAnsi" w:cstheme="minorBidi"/>
          <w:sz w:val="22"/>
          <w:szCs w:val="22"/>
          <w:rtl/>
        </w:rPr>
      </w:pPr>
      <w:hyperlink w:anchor="_Toc140744040" w:history="1">
        <w:r w:rsidR="00274E65" w:rsidRPr="009D26EB">
          <w:rPr>
            <w:rStyle w:val="Hyperlink"/>
            <w:rtl/>
          </w:rPr>
          <w:t>בי' התורי"ד דמשאצל"ג רק כשאין בו צורך לעלמא כמת אבל מלאכה חשובה שא"צ לה חייב</w:t>
        </w:r>
      </w:hyperlink>
    </w:p>
    <w:p w14:paraId="105198F5" w14:textId="77777777" w:rsidR="00274E65" w:rsidRDefault="00AD16A0" w:rsidP="00274E65">
      <w:pPr>
        <w:pStyle w:val="TOC2"/>
        <w:rPr>
          <w:rFonts w:cstheme="minorBidi"/>
          <w:b w:val="0"/>
          <w:bCs w:val="0"/>
          <w:sz w:val="22"/>
          <w:szCs w:val="22"/>
          <w:rtl/>
        </w:rPr>
      </w:pPr>
      <w:hyperlink w:anchor="_Toc140744041" w:history="1">
        <w:r w:rsidR="00274E65" w:rsidRPr="009D26EB">
          <w:rPr>
            <w:rStyle w:val="Hyperlink"/>
            <w:rtl/>
          </w:rPr>
          <w:t>בי' התורי"ד דצל"ג תלוי בדבר עצמו אי צריך לו ולא במלאכה</w:t>
        </w:r>
      </w:hyperlink>
    </w:p>
    <w:p w14:paraId="2565BA02" w14:textId="77777777" w:rsidR="00274E65" w:rsidRDefault="00AD16A0" w:rsidP="00ED704E">
      <w:pPr>
        <w:pStyle w:val="TOC3"/>
        <w:rPr>
          <w:rFonts w:asciiTheme="minorHAnsi" w:eastAsiaTheme="minorEastAsia" w:hAnsiTheme="minorHAnsi" w:cstheme="minorBidi"/>
          <w:sz w:val="22"/>
          <w:szCs w:val="22"/>
          <w:rtl/>
        </w:rPr>
      </w:pPr>
      <w:hyperlink w:anchor="_Toc140744042" w:history="1">
        <w:r w:rsidR="00274E65" w:rsidRPr="009D26EB">
          <w:rPr>
            <w:rStyle w:val="Hyperlink"/>
            <w:rtl/>
          </w:rPr>
          <w:t>קו' התורי"ד דאמאי ר"י מחייב בהריגת מזיקין הא כיון דא"צ הוי מקלקל בחבורה דמחייב ר"י</w:t>
        </w:r>
      </w:hyperlink>
    </w:p>
    <w:p w14:paraId="4A9DB1BF" w14:textId="77777777" w:rsidR="00274E65" w:rsidRDefault="00AD16A0" w:rsidP="00ED704E">
      <w:pPr>
        <w:pStyle w:val="TOC3"/>
        <w:rPr>
          <w:rFonts w:asciiTheme="minorHAnsi" w:eastAsiaTheme="minorEastAsia" w:hAnsiTheme="minorHAnsi" w:cstheme="minorBidi"/>
          <w:sz w:val="22"/>
          <w:szCs w:val="22"/>
          <w:rtl/>
        </w:rPr>
      </w:pPr>
      <w:hyperlink w:anchor="_Toc140744043" w:history="1">
        <w:r w:rsidR="00274E65" w:rsidRPr="009D26EB">
          <w:rPr>
            <w:rStyle w:val="Hyperlink"/>
            <w:rtl/>
          </w:rPr>
          <w:t>בי' התורי"ד דהגי' במקלקל בחבורה דר"ש מחייב ור"י פוטר כדנח' במשאצל"ג ודלא כגי' לפנינו</w:t>
        </w:r>
      </w:hyperlink>
    </w:p>
    <w:p w14:paraId="1EB8D01E" w14:textId="77777777" w:rsidR="00274E65" w:rsidRDefault="00AD16A0" w:rsidP="00ED704E">
      <w:pPr>
        <w:pStyle w:val="TOC3"/>
        <w:rPr>
          <w:rFonts w:asciiTheme="minorHAnsi" w:eastAsiaTheme="minorEastAsia" w:hAnsiTheme="minorHAnsi" w:cstheme="minorBidi"/>
          <w:sz w:val="22"/>
          <w:szCs w:val="22"/>
          <w:rtl/>
        </w:rPr>
      </w:pPr>
      <w:hyperlink w:anchor="_Toc140744044" w:history="1">
        <w:r w:rsidR="00274E65" w:rsidRPr="009D26EB">
          <w:rPr>
            <w:rStyle w:val="Hyperlink"/>
            <w:rtl/>
          </w:rPr>
          <w:t>בי' התורי"ד דצל"ג בדבר שנעשית המלאכה ויציאת נשמה לצורך העור או בשר או דם צל"ג</w:t>
        </w:r>
      </w:hyperlink>
    </w:p>
    <w:p w14:paraId="3314DFAC" w14:textId="77777777" w:rsidR="00274E65" w:rsidRDefault="00AD16A0" w:rsidP="00ED704E">
      <w:pPr>
        <w:pStyle w:val="TOC3"/>
        <w:rPr>
          <w:rFonts w:asciiTheme="minorHAnsi" w:eastAsiaTheme="minorEastAsia" w:hAnsiTheme="minorHAnsi" w:cstheme="minorBidi"/>
          <w:sz w:val="22"/>
          <w:szCs w:val="22"/>
          <w:rtl/>
        </w:rPr>
      </w:pPr>
      <w:hyperlink w:anchor="_Toc140744045" w:history="1">
        <w:r w:rsidR="00274E65" w:rsidRPr="009D26EB">
          <w:rPr>
            <w:rStyle w:val="Hyperlink"/>
            <w:rtl/>
          </w:rPr>
          <w:t>קו' התורי"ד דמ"ש שחיטה בצואר דכל הבהמה חשיבא צל"ג מכיבוי פתילה דרק במקומה צל"ג</w:t>
        </w:r>
      </w:hyperlink>
    </w:p>
    <w:p w14:paraId="42D59BFB" w14:textId="77777777" w:rsidR="00274E65" w:rsidRDefault="00AD16A0" w:rsidP="00ED704E">
      <w:pPr>
        <w:pStyle w:val="TOC3"/>
        <w:rPr>
          <w:rFonts w:asciiTheme="minorHAnsi" w:eastAsiaTheme="minorEastAsia" w:hAnsiTheme="minorHAnsi" w:cstheme="minorBidi"/>
          <w:sz w:val="22"/>
          <w:szCs w:val="22"/>
          <w:rtl/>
        </w:rPr>
      </w:pPr>
      <w:hyperlink w:anchor="_Toc140744046" w:history="1">
        <w:r w:rsidR="00274E65" w:rsidRPr="009D26EB">
          <w:rPr>
            <w:rStyle w:val="Hyperlink"/>
            <w:rtl/>
          </w:rPr>
          <w:t>תי' התורי"ד דבשחיטה נוטל נשמה מכל הגוף אבל בפתילה מכבה רק במק"א והשאר משאצל"ג</w:t>
        </w:r>
      </w:hyperlink>
    </w:p>
    <w:p w14:paraId="17CDC580" w14:textId="77777777" w:rsidR="00274E65" w:rsidRDefault="00AD16A0" w:rsidP="00ED704E">
      <w:pPr>
        <w:pStyle w:val="TOC3"/>
        <w:rPr>
          <w:rFonts w:asciiTheme="minorHAnsi" w:eastAsiaTheme="minorEastAsia" w:hAnsiTheme="minorHAnsi" w:cstheme="minorBidi"/>
          <w:sz w:val="22"/>
          <w:szCs w:val="22"/>
          <w:rtl/>
        </w:rPr>
      </w:pPr>
      <w:hyperlink w:anchor="_Toc140744047" w:history="1">
        <w:r w:rsidR="00274E65" w:rsidRPr="009D26EB">
          <w:rPr>
            <w:rStyle w:val="Hyperlink"/>
            <w:rtl/>
          </w:rPr>
          <w:t>בי' התורי"ד דזומר וא"צ לעצים לר"י חייב ב' דל"ה קלקול ומשאצל"ג ולר"ש רק בצריך לעצים</w:t>
        </w:r>
      </w:hyperlink>
    </w:p>
    <w:p w14:paraId="4C1E86C2" w14:textId="77777777" w:rsidR="00274E65" w:rsidRDefault="00AD16A0" w:rsidP="00274E65">
      <w:pPr>
        <w:pStyle w:val="TOC2"/>
        <w:rPr>
          <w:rFonts w:cstheme="minorBidi"/>
          <w:b w:val="0"/>
          <w:bCs w:val="0"/>
          <w:sz w:val="22"/>
          <w:szCs w:val="22"/>
          <w:rtl/>
        </w:rPr>
      </w:pPr>
      <w:hyperlink w:anchor="_Toc140744048" w:history="1">
        <w:r w:rsidR="00274E65" w:rsidRPr="009D26EB">
          <w:rPr>
            <w:rStyle w:val="Hyperlink"/>
            <w:rtl/>
          </w:rPr>
          <w:t>בי' היראים דצל"ג במכוון לשם מלאכה ויש צורך בגוף הדבר</w:t>
        </w:r>
      </w:hyperlink>
    </w:p>
    <w:p w14:paraId="4A24905A" w14:textId="77777777" w:rsidR="00274E65" w:rsidRDefault="00AD16A0" w:rsidP="00ED704E">
      <w:pPr>
        <w:pStyle w:val="TOC3"/>
        <w:rPr>
          <w:rFonts w:asciiTheme="minorHAnsi" w:eastAsiaTheme="minorEastAsia" w:hAnsiTheme="minorHAnsi" w:cstheme="minorBidi"/>
          <w:sz w:val="22"/>
          <w:szCs w:val="22"/>
          <w:rtl/>
        </w:rPr>
      </w:pPr>
      <w:hyperlink w:anchor="_Toc140744049" w:history="1">
        <w:r w:rsidR="00274E65" w:rsidRPr="009D26EB">
          <w:rPr>
            <w:rStyle w:val="Hyperlink"/>
            <w:rtl/>
          </w:rPr>
          <w:t>בי' היראים דמשאצל"ג היינו כשאין לו כוונה וצורך לדבר שגורם למעשהו להקרא מלאכה</w:t>
        </w:r>
      </w:hyperlink>
    </w:p>
    <w:p w14:paraId="77C2984B" w14:textId="77777777" w:rsidR="00274E65" w:rsidRDefault="00AD16A0" w:rsidP="00ED704E">
      <w:pPr>
        <w:pStyle w:val="TOC3"/>
        <w:rPr>
          <w:rFonts w:asciiTheme="minorHAnsi" w:eastAsiaTheme="minorEastAsia" w:hAnsiTheme="minorHAnsi" w:cstheme="minorBidi"/>
          <w:sz w:val="22"/>
          <w:szCs w:val="22"/>
          <w:rtl/>
        </w:rPr>
      </w:pPr>
      <w:hyperlink w:anchor="_Toc140744050" w:history="1">
        <w:r w:rsidR="00274E65" w:rsidRPr="009D26EB">
          <w:rPr>
            <w:rStyle w:val="Hyperlink"/>
            <w:rtl/>
          </w:rPr>
          <w:t>בי' היראים דחס על הנר המלאכה בכיבוי ושם המלאכה השימוש בגחלת והצורך והכוונה הם בנר</w:t>
        </w:r>
      </w:hyperlink>
    </w:p>
    <w:p w14:paraId="7F598002" w14:textId="77777777" w:rsidR="00274E65" w:rsidRDefault="00AD16A0" w:rsidP="00ED704E">
      <w:pPr>
        <w:pStyle w:val="TOC3"/>
        <w:rPr>
          <w:rFonts w:asciiTheme="minorHAnsi" w:eastAsiaTheme="minorEastAsia" w:hAnsiTheme="minorHAnsi" w:cstheme="minorBidi"/>
          <w:sz w:val="22"/>
          <w:szCs w:val="22"/>
          <w:rtl/>
        </w:rPr>
      </w:pPr>
      <w:hyperlink w:anchor="_Toc140744051" w:history="1">
        <w:r w:rsidR="00274E65" w:rsidRPr="009D26EB">
          <w:rPr>
            <w:rStyle w:val="Hyperlink"/>
            <w:rtl/>
          </w:rPr>
          <w:t>בי' היראים דבמוציא מת מכוון לדבר שיש לו שם מלאכה אך הצורך אינו בגוף הדבר שעושה בו</w:t>
        </w:r>
      </w:hyperlink>
    </w:p>
    <w:p w14:paraId="2790DC37" w14:textId="77777777" w:rsidR="00274E65" w:rsidRDefault="00AD16A0" w:rsidP="00ED704E">
      <w:pPr>
        <w:pStyle w:val="TOC3"/>
        <w:rPr>
          <w:rFonts w:asciiTheme="minorHAnsi" w:eastAsiaTheme="minorEastAsia" w:hAnsiTheme="minorHAnsi" w:cstheme="minorBidi"/>
          <w:sz w:val="22"/>
          <w:szCs w:val="22"/>
          <w:rtl/>
        </w:rPr>
      </w:pPr>
      <w:hyperlink w:anchor="_Toc140744052" w:history="1">
        <w:r w:rsidR="00274E65" w:rsidRPr="009D26EB">
          <w:rPr>
            <w:rStyle w:val="Hyperlink"/>
            <w:rtl/>
          </w:rPr>
          <w:t>בי' היראים דלר"ש צריך תרתי דמכוון לדבר שיש לו שם מלאכה וצריך שימוש בגוף הדבר</w:t>
        </w:r>
      </w:hyperlink>
    </w:p>
    <w:p w14:paraId="7B5CFDD2" w14:textId="77777777" w:rsidR="00274E65" w:rsidRDefault="00AD16A0" w:rsidP="00ED704E">
      <w:pPr>
        <w:pStyle w:val="TOC3"/>
        <w:rPr>
          <w:rFonts w:asciiTheme="minorHAnsi" w:eastAsiaTheme="minorEastAsia" w:hAnsiTheme="minorHAnsi" w:cstheme="minorBidi"/>
          <w:sz w:val="22"/>
          <w:szCs w:val="22"/>
          <w:rtl/>
        </w:rPr>
      </w:pPr>
      <w:hyperlink w:anchor="_Toc140744053" w:history="1">
        <w:r w:rsidR="00274E65" w:rsidRPr="009D26EB">
          <w:rPr>
            <w:rStyle w:val="Hyperlink"/>
            <w:rtl/>
          </w:rPr>
          <w:t>בי' היראים דמוציא מטה למת ומר לחפור קבר צל"ג דכוונתו להוצאה ולהשתמש בדבר עצמו</w:t>
        </w:r>
      </w:hyperlink>
    </w:p>
    <w:p w14:paraId="39826B4F" w14:textId="77777777" w:rsidR="00274E65" w:rsidRDefault="00AD16A0" w:rsidP="00ED704E">
      <w:pPr>
        <w:pStyle w:val="TOC3"/>
        <w:rPr>
          <w:rFonts w:asciiTheme="minorHAnsi" w:eastAsiaTheme="minorEastAsia" w:hAnsiTheme="minorHAnsi" w:cstheme="minorBidi"/>
          <w:sz w:val="22"/>
          <w:szCs w:val="22"/>
          <w:rtl/>
        </w:rPr>
      </w:pPr>
      <w:hyperlink w:anchor="_Toc140744054" w:history="1">
        <w:r w:rsidR="00274E65" w:rsidRPr="009D26EB">
          <w:rPr>
            <w:rStyle w:val="Hyperlink"/>
            <w:rtl/>
          </w:rPr>
          <w:t>בי' היראים דבלא המטה א"א להוציא את המת והמטה היא צורך שלו ובה נעשית המלאכה</w:t>
        </w:r>
      </w:hyperlink>
    </w:p>
    <w:p w14:paraId="5B5B7FA7" w14:textId="77777777" w:rsidR="00274E65" w:rsidRDefault="00AD16A0" w:rsidP="00ED704E">
      <w:pPr>
        <w:pStyle w:val="TOC3"/>
        <w:rPr>
          <w:rFonts w:asciiTheme="minorHAnsi" w:eastAsiaTheme="minorEastAsia" w:hAnsiTheme="minorHAnsi" w:cstheme="minorBidi"/>
          <w:sz w:val="22"/>
          <w:szCs w:val="22"/>
          <w:rtl/>
        </w:rPr>
      </w:pPr>
      <w:hyperlink w:anchor="_Toc140744055" w:history="1">
        <w:r w:rsidR="00274E65" w:rsidRPr="009D26EB">
          <w:rPr>
            <w:rStyle w:val="Hyperlink"/>
            <w:rtl/>
          </w:rPr>
          <w:t>בי' היראים דכיס דזב א"צ למלאכה עצמה דהוצאה דהכיס מקבל את הזיבה אף ביושב במק"א</w:t>
        </w:r>
      </w:hyperlink>
    </w:p>
    <w:p w14:paraId="603D0E38" w14:textId="77777777" w:rsidR="00274E65" w:rsidRDefault="00AD16A0" w:rsidP="00ED704E">
      <w:pPr>
        <w:pStyle w:val="TOC3"/>
        <w:rPr>
          <w:rFonts w:asciiTheme="minorHAnsi" w:eastAsiaTheme="minorEastAsia" w:hAnsiTheme="minorHAnsi" w:cstheme="minorBidi"/>
          <w:sz w:val="22"/>
          <w:szCs w:val="22"/>
          <w:rtl/>
        </w:rPr>
      </w:pPr>
      <w:hyperlink w:anchor="_Toc140744056" w:history="1">
        <w:r w:rsidR="00274E65" w:rsidRPr="009D26EB">
          <w:rPr>
            <w:rStyle w:val="Hyperlink"/>
            <w:rtl/>
          </w:rPr>
          <w:t>בי' היראים בשם ר"י בן הרא"ש הלוי דמוציא מטה למת ומר לחפור פטור כזב שיוצא בכיס</w:t>
        </w:r>
      </w:hyperlink>
    </w:p>
    <w:p w14:paraId="21577168" w14:textId="77777777" w:rsidR="00274E65" w:rsidRDefault="00AD16A0" w:rsidP="00274E65">
      <w:pPr>
        <w:pStyle w:val="TOC1"/>
        <w:rPr>
          <w:rFonts w:asciiTheme="minorHAnsi" w:hAnsiTheme="minorHAnsi" w:cstheme="minorBidi"/>
          <w:b w:val="0"/>
          <w:bCs w:val="0"/>
          <w:caps w:val="0"/>
          <w:sz w:val="22"/>
          <w:szCs w:val="22"/>
          <w:rtl/>
        </w:rPr>
      </w:pPr>
      <w:hyperlink w:anchor="_Toc140744057" w:history="1">
        <w:r w:rsidR="00274E65" w:rsidRPr="009D26EB">
          <w:rPr>
            <w:rStyle w:val="Hyperlink"/>
            <w:rtl/>
          </w:rPr>
          <w:t>פלו' המאירי והי"מ צל"ג בדבר או בצורך</w:t>
        </w:r>
      </w:hyperlink>
    </w:p>
    <w:p w14:paraId="32A66E4F" w14:textId="77777777" w:rsidR="00274E65" w:rsidRDefault="00AD16A0" w:rsidP="00274E65">
      <w:pPr>
        <w:pStyle w:val="TOC2"/>
        <w:rPr>
          <w:rFonts w:cstheme="minorBidi"/>
          <w:b w:val="0"/>
          <w:bCs w:val="0"/>
          <w:sz w:val="22"/>
          <w:szCs w:val="22"/>
          <w:rtl/>
        </w:rPr>
      </w:pPr>
      <w:hyperlink w:anchor="_Toc140744058" w:history="1">
        <w:r w:rsidR="00274E65" w:rsidRPr="009D26EB">
          <w:rPr>
            <w:rStyle w:val="Hyperlink"/>
            <w:rtl/>
          </w:rPr>
          <w:t>בי' המאירי בדבר שצריך לו לצורך ד"א שמסיר נזק אי הוי צל"ג</w:t>
        </w:r>
      </w:hyperlink>
    </w:p>
    <w:p w14:paraId="35E2AA23" w14:textId="77777777" w:rsidR="00274E65" w:rsidRDefault="00AD16A0" w:rsidP="00ED704E">
      <w:pPr>
        <w:pStyle w:val="TOC3"/>
        <w:rPr>
          <w:rFonts w:asciiTheme="minorHAnsi" w:eastAsiaTheme="minorEastAsia" w:hAnsiTheme="minorHAnsi" w:cstheme="minorBidi"/>
          <w:sz w:val="22"/>
          <w:szCs w:val="22"/>
          <w:rtl/>
        </w:rPr>
      </w:pPr>
      <w:hyperlink w:anchor="_Toc140744059" w:history="1">
        <w:r w:rsidR="00274E65" w:rsidRPr="009D26EB">
          <w:rPr>
            <w:rStyle w:val="Hyperlink"/>
            <w:rtl/>
          </w:rPr>
          <w:t>בי' המאירי דזב בכיס הוי משאצל"ג רק בלטנף אבל בצריך לספור ראיות צל"ג דצריך ליומו</w:t>
        </w:r>
      </w:hyperlink>
    </w:p>
    <w:p w14:paraId="53A5C799" w14:textId="77777777" w:rsidR="00274E65" w:rsidRDefault="00AD16A0" w:rsidP="00ED704E">
      <w:pPr>
        <w:pStyle w:val="TOC3"/>
        <w:rPr>
          <w:rFonts w:asciiTheme="minorHAnsi" w:eastAsiaTheme="minorEastAsia" w:hAnsiTheme="minorHAnsi" w:cstheme="minorBidi"/>
          <w:sz w:val="22"/>
          <w:szCs w:val="22"/>
          <w:rtl/>
        </w:rPr>
      </w:pPr>
      <w:hyperlink w:anchor="_Toc140744060" w:history="1">
        <w:r w:rsidR="00274E65" w:rsidRPr="009D26EB">
          <w:rPr>
            <w:rStyle w:val="Hyperlink"/>
            <w:rtl/>
          </w:rPr>
          <w:t>בי' הי"מ במאירי דזב לראיות הוי כמסיר קרבן ועוון דקרבן לא בזמנו וצל"ג הוי רק לצורך רפואה</w:t>
        </w:r>
      </w:hyperlink>
    </w:p>
    <w:p w14:paraId="19E70BFB" w14:textId="77777777" w:rsidR="00274E65" w:rsidRDefault="00274E65" w:rsidP="00274E65">
      <w:pPr>
        <w:keepNext/>
        <w:keepLines/>
        <w:spacing w:after="0" w:line="240" w:lineRule="auto"/>
        <w:jc w:val="center"/>
        <w:outlineLvl w:val="1"/>
        <w:rPr>
          <w:rFonts w:eastAsiaTheme="minorHAnsi" w:cs="Guttman Hodes"/>
          <w:b/>
          <w:bCs/>
          <w:noProof/>
          <w:sz w:val="14"/>
          <w:szCs w:val="14"/>
          <w:rtl/>
        </w:rPr>
        <w:sectPr w:rsidR="00274E65" w:rsidSect="00CA28B3">
          <w:headerReference w:type="even" r:id="rId150"/>
          <w:footerReference w:type="even" r:id="rId151"/>
          <w:footerReference w:type="default" r:id="rId152"/>
          <w:headerReference w:type="first" r:id="rId153"/>
          <w:footerReference w:type="first" r:id="rId154"/>
          <w:type w:val="continuous"/>
          <w:pgSz w:w="11906" w:h="16838"/>
          <w:pgMar w:top="720" w:right="720" w:bottom="720" w:left="720" w:header="283" w:footer="283" w:gutter="0"/>
          <w:cols w:num="2" w:space="113"/>
          <w:titlePg/>
          <w:bidi/>
          <w:rtlGutter/>
          <w:docGrid w:linePitch="299"/>
        </w:sectPr>
      </w:pPr>
      <w:r w:rsidRPr="00224A5A">
        <w:rPr>
          <w:rFonts w:eastAsiaTheme="minorHAnsi" w:cs="Guttman Hodes"/>
          <w:b/>
          <w:bCs/>
          <w:noProof/>
          <w:sz w:val="14"/>
          <w:szCs w:val="14"/>
          <w:rtl/>
        </w:rPr>
        <w:fldChar w:fldCharType="end"/>
      </w:r>
    </w:p>
    <w:p w14:paraId="4FC35607" w14:textId="77777777" w:rsidR="00274E65" w:rsidRPr="00224A5A" w:rsidRDefault="00274E65" w:rsidP="00274E65">
      <w:pPr>
        <w:keepNext/>
        <w:keepLines/>
        <w:spacing w:after="0" w:line="240" w:lineRule="auto"/>
        <w:jc w:val="center"/>
        <w:outlineLvl w:val="1"/>
        <w:rPr>
          <w:rFonts w:ascii="FrankRuehl" w:eastAsia="Guttman Adii-Light" w:hAnsi="FrankRuehl" w:cs="Guttman Hodes"/>
          <w:b/>
          <w:bCs/>
          <w:noProof/>
          <w:sz w:val="24"/>
          <w:szCs w:val="24"/>
          <w:rtl/>
        </w:rPr>
        <w:sectPr w:rsidR="00274E65" w:rsidRPr="00224A5A" w:rsidSect="00CA28B3">
          <w:type w:val="continuous"/>
          <w:pgSz w:w="11906" w:h="16838"/>
          <w:pgMar w:top="720" w:right="720" w:bottom="720" w:left="720" w:header="283" w:footer="283" w:gutter="0"/>
          <w:cols w:num="2" w:space="113"/>
          <w:titlePg/>
          <w:bidi/>
          <w:rtlGutter/>
          <w:docGrid w:linePitch="299"/>
        </w:sectPr>
      </w:pPr>
    </w:p>
    <w:p w14:paraId="13C82D14" w14:textId="77777777" w:rsidR="00274E65" w:rsidRPr="00224A5A" w:rsidRDefault="00274E65" w:rsidP="00274E65">
      <w:pPr>
        <w:spacing w:before="240" w:after="0" w:line="360" w:lineRule="auto"/>
        <w:jc w:val="center"/>
        <w:outlineLvl w:val="1"/>
        <w:rPr>
          <w:rFonts w:ascii="Guttman Adii-Light" w:eastAsia="Guttman Adii-Light" w:hAnsi="Guttman Adii-Light" w:cs="Guttman Hodes"/>
          <w:b/>
          <w:bCs/>
          <w:sz w:val="18"/>
          <w:szCs w:val="28"/>
          <w:rtl/>
        </w:rPr>
        <w:sectPr w:rsidR="00274E65" w:rsidRPr="00224A5A" w:rsidSect="00CA28B3">
          <w:pgSz w:w="11906" w:h="16838"/>
          <w:pgMar w:top="720" w:right="720" w:bottom="720" w:left="720" w:header="283" w:footer="283" w:gutter="0"/>
          <w:cols w:space="720"/>
          <w:bidi/>
          <w:rtlGutter/>
          <w:docGrid w:linePitch="299"/>
        </w:sectPr>
      </w:pPr>
      <w:r w:rsidRPr="00224A5A">
        <w:rPr>
          <w:rFonts w:ascii="Guttman Adii-Light" w:eastAsia="Guttman Adii-Light" w:hAnsi="Guttman Adii-Light" w:cs="Guttman Hodes" w:hint="cs"/>
          <w:b/>
          <w:bCs/>
          <w:sz w:val="18"/>
          <w:szCs w:val="28"/>
          <w:rtl/>
        </w:rPr>
        <w:lastRenderedPageBreak/>
        <w:t>~~~</w:t>
      </w:r>
      <w:r w:rsidRPr="00224A5A">
        <w:rPr>
          <w:rFonts w:ascii="Guttman Adii-Light" w:eastAsia="Guttman Adii-Light" w:hAnsi="Guttman Adii-Light" w:cs="Guttman Hodes"/>
          <w:b/>
          <w:bCs/>
          <w:noProof/>
          <w:sz w:val="18"/>
          <w:szCs w:val="28"/>
          <w:rtl/>
        </w:rPr>
        <w:t>~~</w:t>
      </w:r>
      <w:r w:rsidRPr="00224A5A">
        <w:rPr>
          <w:rFonts w:ascii="Guttman Adii-Light" w:eastAsia="Guttman Adii-Light" w:hAnsi="Guttman Adii-Light" w:cs="Guttman Hodes" w:hint="cs"/>
          <w:b/>
          <w:bCs/>
          <w:sz w:val="18"/>
          <w:szCs w:val="28"/>
          <w:rtl/>
        </w:rPr>
        <w:t>~~ מראי מקומות וביאורים ~~~</w:t>
      </w:r>
      <w:r w:rsidRPr="00224A5A">
        <w:rPr>
          <w:rFonts w:ascii="Guttman Adii-Light" w:eastAsia="Guttman Adii-Light" w:hAnsi="Guttman Adii-Light" w:cs="Guttman Hodes"/>
          <w:b/>
          <w:bCs/>
          <w:noProof/>
          <w:sz w:val="18"/>
          <w:szCs w:val="28"/>
          <w:rtl/>
        </w:rPr>
        <w:t>~~</w:t>
      </w:r>
      <w:r w:rsidRPr="00224A5A">
        <w:rPr>
          <w:rFonts w:ascii="Guttman Adii-Light" w:eastAsia="Guttman Adii-Light" w:hAnsi="Guttman Adii-Light" w:cs="Guttman Hodes" w:hint="cs"/>
          <w:b/>
          <w:bCs/>
          <w:sz w:val="18"/>
          <w:szCs w:val="28"/>
          <w:rtl/>
        </w:rPr>
        <w:t>~~</w:t>
      </w:r>
    </w:p>
    <w:p w14:paraId="01760647" w14:textId="77777777" w:rsidR="00274E65" w:rsidRDefault="00274E65" w:rsidP="00274E65">
      <w:pPr>
        <w:pStyle w:val="affff5"/>
        <w:rPr>
          <w:rtl/>
        </w:rPr>
      </w:pPr>
      <w:bookmarkStart w:id="4087" w:name="_Toc140743927"/>
      <w:r>
        <w:rPr>
          <w:rFonts w:hint="cs"/>
          <w:rtl/>
        </w:rPr>
        <w:t>בי' בה"ג ור"ח דמשאצל"ג רק באין הנאה</w:t>
      </w:r>
      <w:bookmarkEnd w:id="4087"/>
    </w:p>
    <w:p w14:paraId="27DB7323" w14:textId="77777777" w:rsidR="00274E65" w:rsidRDefault="00274E65" w:rsidP="00274E65">
      <w:pPr>
        <w:pStyle w:val="1"/>
        <w:rPr>
          <w:rtl/>
        </w:rPr>
      </w:pPr>
      <w:bookmarkStart w:id="4088" w:name="_Toc140743928"/>
      <w:r>
        <w:rPr>
          <w:rFonts w:hint="cs"/>
          <w:rtl/>
        </w:rPr>
        <w:t>בי' ר"ח ורנ"ג דמוציא מת מחמת ריח רע הוי צל"ג דיש הנאה</w:t>
      </w:r>
      <w:bookmarkEnd w:id="4088"/>
    </w:p>
    <w:p w14:paraId="28DCD90A" w14:textId="77777777" w:rsidR="00274E65" w:rsidRDefault="00274E65" w:rsidP="00274E65">
      <w:pPr>
        <w:pStyle w:val="afffff7"/>
        <w:rPr>
          <w:rtl/>
        </w:rPr>
      </w:pPr>
      <w:bookmarkStart w:id="4089" w:name="_Toc140744061"/>
      <w:bookmarkStart w:id="4090" w:name="_Toc163506009"/>
      <w:r>
        <w:rPr>
          <w:rtl/>
        </w:rPr>
        <w:t xml:space="preserve">הלכות גדולות שבת </w:t>
      </w:r>
      <w:r>
        <w:rPr>
          <w:rFonts w:hint="cs"/>
          <w:rtl/>
        </w:rPr>
        <w:t>פכ"ד ד"ה ומלאכה</w:t>
      </w:r>
      <w:bookmarkEnd w:id="4089"/>
      <w:bookmarkEnd w:id="4090"/>
    </w:p>
    <w:p w14:paraId="3B7F1303" w14:textId="77777777" w:rsidR="00274E65" w:rsidRDefault="00274E65" w:rsidP="00274E65">
      <w:pPr>
        <w:pStyle w:val="afffff7"/>
        <w:rPr>
          <w:rtl/>
        </w:rPr>
      </w:pPr>
      <w:bookmarkStart w:id="4091" w:name="_Toc140744062"/>
      <w:bookmarkStart w:id="4092" w:name="_Toc140743929"/>
      <w:bookmarkStart w:id="4093" w:name="_Toc163506010"/>
      <w:r>
        <w:rPr>
          <w:rtl/>
        </w:rPr>
        <w:t>רבינו חננאל שבת ק"ה ע"ב</w:t>
      </w:r>
      <w:r>
        <w:rPr>
          <w:rFonts w:hint="cs"/>
          <w:rtl/>
        </w:rPr>
        <w:t xml:space="preserve"> ד"ה ושנינן</w:t>
      </w:r>
      <w:bookmarkEnd w:id="4091"/>
      <w:bookmarkEnd w:id="4093"/>
    </w:p>
    <w:p w14:paraId="15092908" w14:textId="77777777" w:rsidR="00274E65" w:rsidRDefault="00274E65" w:rsidP="00274E65">
      <w:pPr>
        <w:pStyle w:val="afffff7"/>
        <w:rPr>
          <w:rtl/>
        </w:rPr>
      </w:pPr>
      <w:bookmarkStart w:id="4094" w:name="_Toc140744063"/>
      <w:bookmarkStart w:id="4095" w:name="_Toc163506011"/>
      <w:r>
        <w:rPr>
          <w:rtl/>
        </w:rPr>
        <w:t>רב ניסים גאון שבת י"ב ע"א</w:t>
      </w:r>
      <w:r>
        <w:rPr>
          <w:rFonts w:hint="cs"/>
          <w:rtl/>
        </w:rPr>
        <w:t xml:space="preserve"> ד"ה לא קשיא, והתנאי</w:t>
      </w:r>
      <w:bookmarkEnd w:id="4094"/>
      <w:bookmarkEnd w:id="4095"/>
    </w:p>
    <w:p w14:paraId="1B77C5EA" w14:textId="77777777" w:rsidR="00274E65" w:rsidRDefault="00274E65" w:rsidP="00274E65">
      <w:pPr>
        <w:pStyle w:val="a7"/>
        <w:rPr>
          <w:rtl/>
        </w:rPr>
      </w:pPr>
      <w:r>
        <w:rPr>
          <w:rFonts w:hint="cs"/>
          <w:rtl/>
        </w:rPr>
        <w:t>בי' הבה"ג ור"ח ורנ"ג דמוציא מת משאצל"ג כיון דאין בהוצאה צורך נפש או הנאה או אכילה</w:t>
      </w:r>
      <w:bookmarkEnd w:id="4092"/>
      <w:r>
        <w:rPr>
          <w:rFonts w:hint="cs"/>
          <w:rtl/>
        </w:rPr>
        <w:t xml:space="preserve"> </w:t>
      </w:r>
    </w:p>
    <w:p w14:paraId="5CF069B6" w14:textId="65195664" w:rsidR="00274E65" w:rsidRDefault="00274E65" w:rsidP="00BC7DC8">
      <w:pPr>
        <w:pStyle w:val="a3"/>
        <w:numPr>
          <w:ilvl w:val="0"/>
          <w:numId w:val="26"/>
        </w:numPr>
      </w:pPr>
      <w:bookmarkStart w:id="4096" w:name="_Ref140487019"/>
      <w:r>
        <w:rPr>
          <w:rFonts w:hint="cs"/>
          <w:rtl/>
        </w:rPr>
        <w:t xml:space="preserve">כתבו </w:t>
      </w:r>
      <w:r w:rsidRPr="00BC7DC8">
        <w:rPr>
          <w:rStyle w:val="aff4"/>
          <w:rFonts w:hint="cs"/>
          <w:vanish/>
          <w:rtl/>
        </w:rPr>
        <w:t>-</w:t>
      </w:r>
      <w:r w:rsidRPr="006B40AC">
        <w:rPr>
          <w:rStyle w:val="aff4"/>
          <w:rFonts w:hint="cs"/>
          <w:rtl/>
        </w:rPr>
        <w:t>ה</w:t>
      </w:r>
      <w:r w:rsidRPr="00BC7DC8">
        <w:rPr>
          <w:rStyle w:val="aff4"/>
          <w:rFonts w:hint="cs"/>
          <w:vanish/>
          <w:rtl/>
        </w:rPr>
        <w:t xml:space="preserve">&lt;, </w:t>
      </w:r>
      <w:r w:rsidRPr="00BC7DC8">
        <w:rPr>
          <w:rStyle w:val="aff4"/>
          <w:vanish/>
          <w:rtl/>
        </w:rPr>
        <w:fldChar w:fldCharType="begin"/>
      </w:r>
      <w:r w:rsidRPr="00BC7DC8">
        <w:rPr>
          <w:rStyle w:val="aff4"/>
          <w:vanish/>
          <w:rtl/>
        </w:rPr>
        <w:instrText xml:space="preserve"> </w:instrText>
      </w:r>
      <w:r w:rsidRPr="00BC7DC8">
        <w:rPr>
          <w:rStyle w:val="aff4"/>
          <w:rFonts w:hint="cs"/>
          <w:vanish/>
        </w:rPr>
        <w:instrText>REF</w:instrText>
      </w:r>
      <w:r w:rsidRPr="00BC7DC8">
        <w:rPr>
          <w:rStyle w:val="aff4"/>
          <w:rFonts w:hint="cs"/>
          <w:vanish/>
          <w:rtl/>
        </w:rPr>
        <w:instrText xml:space="preserve"> _</w:instrText>
      </w:r>
      <w:r w:rsidRPr="00BC7DC8">
        <w:rPr>
          <w:rStyle w:val="aff4"/>
          <w:rFonts w:hint="cs"/>
          <w:vanish/>
        </w:rPr>
        <w:instrText>Ref140487019 \r \h</w:instrText>
      </w:r>
      <w:r w:rsidRPr="00BC7DC8">
        <w:rPr>
          <w:rStyle w:val="aff4"/>
          <w:vanish/>
          <w:rtl/>
        </w:rPr>
        <w:instrText xml:space="preserve"> </w:instrText>
      </w:r>
      <w:r w:rsidRPr="00112C74">
        <w:rPr>
          <w:rStyle w:val="aff4"/>
          <w:vanish/>
          <w:rtl/>
        </w:rPr>
      </w:r>
      <w:r w:rsidRPr="00BC7DC8">
        <w:rPr>
          <w:rStyle w:val="aff4"/>
          <w:vanish/>
          <w:rtl/>
        </w:rPr>
        <w:fldChar w:fldCharType="separate"/>
      </w:r>
      <w:r w:rsidR="00D82181">
        <w:rPr>
          <w:rStyle w:val="aff4"/>
          <w:vanish/>
          <w:cs/>
        </w:rPr>
        <w:t>‎</w:t>
      </w:r>
      <w:r w:rsidR="00D82181">
        <w:rPr>
          <w:rStyle w:val="aff4"/>
          <w:vanish/>
          <w:rtl/>
        </w:rPr>
        <w:t>א)</w:t>
      </w:r>
      <w:r w:rsidRPr="00BC7DC8">
        <w:rPr>
          <w:rStyle w:val="aff4"/>
          <w:vanish/>
          <w:rtl/>
        </w:rPr>
        <w:fldChar w:fldCharType="end"/>
      </w:r>
      <w:r w:rsidRPr="00BC7DC8">
        <w:rPr>
          <w:rStyle w:val="aff4"/>
          <w:rFonts w:hint="cs"/>
          <w:vanish/>
          <w:rtl/>
        </w:rPr>
        <w:t xml:space="preserve"> &gt;</w:t>
      </w:r>
      <w:r w:rsidRPr="006B40AC">
        <w:rPr>
          <w:rStyle w:val="aff4"/>
          <w:rFonts w:hint="cs"/>
          <w:rtl/>
        </w:rPr>
        <w:t>בה"ג</w:t>
      </w:r>
      <w:r w:rsidRPr="00BC7DC8">
        <w:rPr>
          <w:rStyle w:val="aff4"/>
          <w:rFonts w:hint="cs"/>
          <w:vanish/>
          <w:rtl/>
        </w:rPr>
        <w:t>-</w:t>
      </w:r>
      <w:r>
        <w:rPr>
          <w:rFonts w:hint="cs"/>
          <w:rtl/>
        </w:rPr>
        <w:t xml:space="preserve"> </w:t>
      </w:r>
      <w:r w:rsidRPr="00BC7DC8">
        <w:rPr>
          <w:rStyle w:val="af2"/>
          <w:rFonts w:eastAsia="Guttman Hodes" w:hint="cs"/>
          <w:rtl/>
        </w:rPr>
        <w:t>(שבת פכ"ד ד"ה ומלאכה)</w:t>
      </w:r>
      <w:r w:rsidRPr="00BC7DC8">
        <w:rPr>
          <w:rFonts w:hint="cs"/>
          <w:vanish/>
          <w:rtl/>
        </w:rPr>
        <w:t>=</w:t>
      </w:r>
      <w:r>
        <w:rPr>
          <w:rFonts w:hint="cs"/>
          <w:rtl/>
        </w:rPr>
        <w:t xml:space="preserve"> </w:t>
      </w:r>
      <w:r w:rsidRPr="00BC7DC8">
        <w:rPr>
          <w:rStyle w:val="aff4"/>
          <w:rFonts w:hint="cs"/>
          <w:vanish/>
          <w:rtl/>
        </w:rPr>
        <w:t>-</w:t>
      </w:r>
      <w:r w:rsidRPr="006B40AC">
        <w:rPr>
          <w:rStyle w:val="aff4"/>
          <w:rFonts w:hint="cs"/>
          <w:rtl/>
        </w:rPr>
        <w:t>ו</w:t>
      </w:r>
      <w:r w:rsidRPr="00BC7DC8">
        <w:rPr>
          <w:rStyle w:val="aff4"/>
          <w:rFonts w:hint="cs"/>
          <w:vanish/>
          <w:rtl/>
        </w:rPr>
        <w:t>&lt; &gt;</w:t>
      </w:r>
      <w:r w:rsidRPr="006B40AC">
        <w:rPr>
          <w:rStyle w:val="aff4"/>
          <w:rFonts w:hint="cs"/>
          <w:rtl/>
        </w:rPr>
        <w:t>ר"ח</w:t>
      </w:r>
      <w:r w:rsidRPr="00BC7DC8">
        <w:rPr>
          <w:rStyle w:val="aff4"/>
          <w:rFonts w:hint="cs"/>
          <w:vanish/>
          <w:rtl/>
        </w:rPr>
        <w:t>-</w:t>
      </w:r>
      <w:r>
        <w:rPr>
          <w:rFonts w:hint="cs"/>
          <w:rtl/>
        </w:rPr>
        <w:t xml:space="preserve"> </w:t>
      </w:r>
      <w:r w:rsidRPr="00BC7DC8">
        <w:rPr>
          <w:rStyle w:val="af2"/>
          <w:rFonts w:eastAsia="Guttman Hodes" w:hint="cs"/>
          <w:rtl/>
        </w:rPr>
        <w:t>(קה: ד"ה ושנינן)</w:t>
      </w:r>
      <w:r w:rsidRPr="00BC7DC8">
        <w:rPr>
          <w:rFonts w:hint="cs"/>
          <w:vanish/>
          <w:rtl/>
        </w:rPr>
        <w:t>=</w:t>
      </w:r>
      <w:r>
        <w:rPr>
          <w:rFonts w:hint="cs"/>
          <w:rtl/>
        </w:rPr>
        <w:t xml:space="preserve"> דהמקור דר"ש ס"ל דמלאכה שאינה צריכה לגופה פטור, הוא ממוציא מת לקוברו, וביארו </w:t>
      </w:r>
      <w:r w:rsidRPr="00BC7DC8">
        <w:rPr>
          <w:rStyle w:val="aff4"/>
          <w:rFonts w:hint="cs"/>
          <w:vanish/>
          <w:rtl/>
        </w:rPr>
        <w:t>-</w:t>
      </w:r>
      <w:r w:rsidRPr="006B40AC">
        <w:rPr>
          <w:rStyle w:val="aff4"/>
          <w:rFonts w:hint="cs"/>
          <w:rtl/>
        </w:rPr>
        <w:t>הבה"ג ור"ח</w:t>
      </w:r>
      <w:r w:rsidRPr="00BC7DC8">
        <w:rPr>
          <w:rStyle w:val="aff4"/>
          <w:rFonts w:hint="cs"/>
          <w:vanish/>
          <w:rtl/>
        </w:rPr>
        <w:t>-</w:t>
      </w:r>
      <w:r>
        <w:rPr>
          <w:rFonts w:hint="cs"/>
          <w:rtl/>
        </w:rPr>
        <w:t xml:space="preserve"> דכיון דבהוצאה זו אין לו דבר לאכול ואינו נהנה ממנו הוי מלאכה שאינה צריכה לגופה, וכ"כ </w:t>
      </w:r>
      <w:r w:rsidRPr="00BC7DC8">
        <w:rPr>
          <w:rFonts w:hint="cs"/>
          <w:vanish/>
          <w:rtl/>
        </w:rPr>
        <w:t>&lt; &gt;</w:t>
      </w:r>
      <w:r w:rsidRPr="00BC7DC8">
        <w:rPr>
          <w:rStyle w:val="aff4"/>
          <w:rFonts w:hint="cs"/>
          <w:vanish/>
          <w:rtl/>
        </w:rPr>
        <w:t>-</w:t>
      </w:r>
      <w:r w:rsidRPr="00D32D94">
        <w:rPr>
          <w:rStyle w:val="aff4"/>
          <w:rFonts w:hint="cs"/>
          <w:rtl/>
        </w:rPr>
        <w:t>רבינו ניסים גאון</w:t>
      </w:r>
      <w:r w:rsidRPr="00BC7DC8">
        <w:rPr>
          <w:rStyle w:val="aff4"/>
          <w:rFonts w:hint="cs"/>
          <w:vanish/>
          <w:rtl/>
        </w:rPr>
        <w:t>-</w:t>
      </w:r>
      <w:r>
        <w:rPr>
          <w:rFonts w:hint="cs"/>
          <w:rtl/>
        </w:rPr>
        <w:t xml:space="preserve"> </w:t>
      </w:r>
      <w:r w:rsidRPr="00BC7DC8">
        <w:rPr>
          <w:rStyle w:val="af2"/>
          <w:rFonts w:eastAsia="Guttman Hodes" w:hint="cs"/>
          <w:rtl/>
        </w:rPr>
        <w:t>(יב. ד"ה לא קשיא, נד' על הדף)</w:t>
      </w:r>
      <w:r w:rsidRPr="00BC7DC8">
        <w:rPr>
          <w:rFonts w:hint="cs"/>
          <w:vanish/>
          <w:rtl/>
        </w:rPr>
        <w:t>=</w:t>
      </w:r>
      <w:r>
        <w:rPr>
          <w:rFonts w:hint="cs"/>
          <w:rtl/>
        </w:rPr>
        <w:t xml:space="preserve"> דמוציא מת לקברו, הוא מוציא כלים מרשות לרשות שלא לצורך נפשו ולא לאכילה או להנאה.</w:t>
      </w:r>
    </w:p>
    <w:p w14:paraId="0E1464CE" w14:textId="77777777" w:rsidR="00274E65" w:rsidRPr="00747170" w:rsidRDefault="00274E65" w:rsidP="00AD16A0">
      <w:pPr>
        <w:pStyle w:val="a2"/>
        <w:numPr>
          <w:ilvl w:val="0"/>
          <w:numId w:val="27"/>
        </w:numPr>
        <w:rPr>
          <w:color w:val="000000" w:themeColor="text1"/>
          <w:sz w:val="14"/>
          <w:szCs w:val="14"/>
        </w:rPr>
      </w:pPr>
      <w:r w:rsidRPr="00747170">
        <w:rPr>
          <w:rtl/>
        </w:rPr>
        <w:t>ומלאכה שאינה צריכה לגופה לרבי שמעון היכא שמעינן ליה דשרי, דתנן (שבת צג ב) וכן כזית מן המת וכזית מן הנבילה וכעדשה מן השר</w:t>
      </w:r>
      <w:r w:rsidRPr="00747170">
        <w:rPr>
          <w:rFonts w:hint="cs"/>
          <w:rtl/>
        </w:rPr>
        <w:t>ץ</w:t>
      </w:r>
      <w:r w:rsidRPr="00747170">
        <w:rPr>
          <w:rtl/>
        </w:rPr>
        <w:t xml:space="preserve"> חייב, ורבי שמעון פוטר (שם צד ב) ואפילו במוציא מת לקוברו, ואף על גב דמת לקוברו קאי דסד"א מלאכה שצריכה לגופה היא, כיון דהא הוצאה לא מהניא ליה לדיליה מידי, מלאכה שאינה צריכה לגופה היא.</w:t>
      </w:r>
    </w:p>
    <w:p w14:paraId="3F6BE5B6" w14:textId="77777777" w:rsidR="00274E65" w:rsidRPr="005F2440" w:rsidRDefault="00274E65" w:rsidP="00747170">
      <w:pPr>
        <w:pStyle w:val="afffff5"/>
        <w:rPr>
          <w:rtl/>
        </w:rPr>
      </w:pPr>
      <w:r w:rsidRPr="005F2440">
        <w:rPr>
          <w:rtl/>
        </w:rPr>
        <w:t>ושנינן מתני' ר' שמעון היא דאמר מלאכה שאינה צריכה לגופה פטור עליה. ברייתא ר' יהודה דאמר חייב עליה וראינו לרבותינו שפירשו הכי. היכא שמעינן לר' שמעון דשרי מלאכה שאינה צריכה לגופה מיהא דתנינן את החי במטה פטור אף על המטה שהמטה טפילה לו את המת במטה חייב וכן כזית מן המת וכזית מן הנבילה וכעדשה מן השרץ לר' שמעון פטור ואוקימנא א"ר יוחנן פוטר היה ר"ש אפי' במוציא המת לקוברו ואף על גב דמת לקוברו קאי ואית למימר מלאכה שצריכה לגופה היא. כיון דלאו מידי דמיבעי ליה למיכליה ולא איתהנו מיניה מלאכה שאינה צריכה לגופה [היא] ושרי ר"ש בכה"ג</w:t>
      </w:r>
      <w:r w:rsidRPr="005F2440">
        <w:rPr>
          <w:rFonts w:hint="cs"/>
          <w:rtl/>
        </w:rPr>
        <w:t>.</w:t>
      </w:r>
    </w:p>
    <w:p w14:paraId="29585DC5" w14:textId="77777777" w:rsidR="00274E65" w:rsidRPr="005F2440" w:rsidRDefault="00274E65" w:rsidP="00747170">
      <w:pPr>
        <w:pStyle w:val="afffff5"/>
        <w:rPr>
          <w:rtl/>
        </w:rPr>
      </w:pPr>
      <w:r w:rsidRPr="005F2440">
        <w:rPr>
          <w:rtl/>
        </w:rPr>
        <w:t>לא קשיא הא ר' יהודה דאמר מלאכה שאינה צריכה לגופה חייב עליה הא ר' שמעון דאמר מלאכה שאינה צריכה לגופה פטור עליה אבל עיקר דבריו של ר' שמעון במשנה בפרק המצניע (דף צג) דתנן וכן כזית מן המת וכזית מן הנבילה וכעדשה מן השרץ חייבין ור"ש פוטר ובגמ' אמרי פוטר היה ר"ש אף במוציא את המת לקוברו וזאת ההוצאה מלאכה שאינה צריכה לגופה היא לפי שזה שהוציא כלים מרשות לרשות לא לצורך נפשו הוציא לא לאכלו ולא ליהנות ממנו</w:t>
      </w:r>
      <w:r w:rsidRPr="005F2440">
        <w:rPr>
          <w:rFonts w:hint="cs"/>
          <w:rtl/>
        </w:rPr>
        <w:t>.</w:t>
      </w:r>
    </w:p>
    <w:p w14:paraId="3E122290" w14:textId="77777777" w:rsidR="00274E65" w:rsidRPr="007660BC" w:rsidRDefault="00274E65" w:rsidP="00274E65">
      <w:pPr>
        <w:pStyle w:val="afffffb"/>
        <w:rPr>
          <w:vanish/>
          <w:rtl/>
        </w:rPr>
      </w:pPr>
      <w:r w:rsidRPr="007660BC">
        <w:rPr>
          <w:vanish/>
          <w:rtl/>
        </w:rPr>
        <w:t xml:space="preserve">הלכות גדולות שבת </w:t>
      </w:r>
      <w:r w:rsidRPr="007660BC">
        <w:rPr>
          <w:rFonts w:hint="cs"/>
          <w:vanish/>
          <w:rtl/>
        </w:rPr>
        <w:t>פכ"ד ד"ה ומלאכה</w:t>
      </w:r>
    </w:p>
    <w:p w14:paraId="58C4B98A" w14:textId="77777777" w:rsidR="00274E65" w:rsidRPr="00B81737" w:rsidRDefault="00274E65" w:rsidP="00274E65">
      <w:pPr>
        <w:pStyle w:val="a7"/>
        <w:rPr>
          <w:rtl/>
        </w:rPr>
      </w:pPr>
      <w:bookmarkStart w:id="4097" w:name="_Toc140743930"/>
      <w:r>
        <w:rPr>
          <w:rFonts w:hint="cs"/>
          <w:rtl/>
        </w:rPr>
        <w:t>בי' ר"ח והבה"ג דהמקור דר"י מחייב במשאצל"ג מכופה קערה על עקרב דר"ש פוטר בצד נחש</w:t>
      </w:r>
      <w:bookmarkEnd w:id="4097"/>
    </w:p>
    <w:p w14:paraId="0E0ECB10" w14:textId="25A3DD46" w:rsidR="00274E65" w:rsidRPr="00905F8D" w:rsidRDefault="00274E65" w:rsidP="00BC7DC8">
      <w:pPr>
        <w:pStyle w:val="a3"/>
        <w:rPr>
          <w:rtl/>
        </w:rPr>
      </w:pPr>
      <w:r>
        <w:rPr>
          <w:rFonts w:hint="cs"/>
          <w:rtl/>
        </w:rPr>
        <w:t xml:space="preserve">וכתבו </w:t>
      </w:r>
      <w:r w:rsidRPr="006B40AC">
        <w:rPr>
          <w:rStyle w:val="aff4"/>
          <w:rFonts w:hint="cs"/>
          <w:vanish/>
          <w:rtl/>
        </w:rPr>
        <w:t>-</w:t>
      </w:r>
      <w:r w:rsidRPr="006B40AC">
        <w:rPr>
          <w:rStyle w:val="aff4"/>
          <w:rFonts w:hint="cs"/>
          <w:rtl/>
        </w:rPr>
        <w:t>הבה"ג ור"ח</w:t>
      </w:r>
      <w:r>
        <w:rPr>
          <w:rStyle w:val="aff4"/>
          <w:rFonts w:hint="cs"/>
          <w:rtl/>
        </w:rPr>
        <w:t xml:space="preserve"> </w:t>
      </w:r>
      <w:r w:rsidRPr="006B40AC">
        <w:rPr>
          <w:rStyle w:val="aff4"/>
          <w:rFonts w:hint="cs"/>
          <w:vanish/>
          <w:rtl/>
        </w:rPr>
        <w:t>-</w:t>
      </w:r>
      <w:r>
        <w:rPr>
          <w:rFonts w:hint="cs"/>
          <w:rtl/>
        </w:rPr>
        <w:t xml:space="preserve"> דהמקור דר"י מחייב כדאמרינן בגמ' לעיל </w:t>
      </w:r>
      <w:r w:rsidRPr="00371859">
        <w:rPr>
          <w:rStyle w:val="af2"/>
          <w:rFonts w:eastAsia="Guttman Hodes" w:hint="cs"/>
          <w:rtl/>
        </w:rPr>
        <w:t>(מב.)</w:t>
      </w:r>
      <w:r>
        <w:rPr>
          <w:rFonts w:hint="cs"/>
          <w:rtl/>
        </w:rPr>
        <w:t xml:space="preserve"> דשמואל ס"ל כר"י במלאכה שאינה צריכה לגופה, הוא </w:t>
      </w:r>
      <w:r w:rsidRPr="003B63CB">
        <w:rPr>
          <w:rFonts w:hint="cs"/>
          <w:rtl/>
        </w:rPr>
        <w:t xml:space="preserve">מדתנן לקמן </w:t>
      </w:r>
      <w:r w:rsidRPr="00371859">
        <w:rPr>
          <w:rStyle w:val="af2"/>
          <w:rFonts w:eastAsia="Guttman Hodes" w:hint="cs"/>
          <w:rtl/>
        </w:rPr>
        <w:t>(קכא.)</w:t>
      </w:r>
      <w:r w:rsidRPr="003B63CB">
        <w:rPr>
          <w:rFonts w:hint="cs"/>
          <w:rtl/>
        </w:rPr>
        <w:t xml:space="preserve"> דבכפה קערה על עקרב אמר ר"י דריב"ז חשש מחטאת</w:t>
      </w:r>
      <w:r>
        <w:rPr>
          <w:rFonts w:hint="cs"/>
          <w:rtl/>
        </w:rPr>
        <w:t xml:space="preserve">, והוסיפו </w:t>
      </w:r>
      <w:r w:rsidRPr="006B40AC">
        <w:rPr>
          <w:rStyle w:val="aff4"/>
          <w:rFonts w:hint="cs"/>
          <w:vanish/>
          <w:rtl/>
        </w:rPr>
        <w:t>-</w:t>
      </w:r>
      <w:r w:rsidRPr="006B40AC">
        <w:rPr>
          <w:rStyle w:val="aff4"/>
          <w:rFonts w:hint="cs"/>
          <w:rtl/>
        </w:rPr>
        <w:t>הבה"ג ור"ח</w:t>
      </w:r>
      <w:r w:rsidRPr="006B40AC">
        <w:rPr>
          <w:rStyle w:val="aff4"/>
          <w:rFonts w:hint="cs"/>
          <w:vanish/>
          <w:rtl/>
        </w:rPr>
        <w:t>-</w:t>
      </w:r>
      <w:r>
        <w:rPr>
          <w:rFonts w:hint="cs"/>
          <w:rtl/>
        </w:rPr>
        <w:t xml:space="preserve"> דאיתא בגמ' </w:t>
      </w:r>
      <w:r w:rsidRPr="00371859">
        <w:rPr>
          <w:rStyle w:val="af2"/>
          <w:rFonts w:eastAsia="Guttman Hodes" w:hint="cs"/>
          <w:rtl/>
        </w:rPr>
        <w:t>(קז.)</w:t>
      </w:r>
      <w:r>
        <w:rPr>
          <w:rFonts w:hint="cs"/>
          <w:rtl/>
        </w:rPr>
        <w:t xml:space="preserve"> דדבצד נחש שלא ישכנו הוא תלוי בפלוגתת ר"י ור"ש, אבל רק לענין קורע על מתו בגמ' </w:t>
      </w:r>
      <w:r w:rsidRPr="00371859">
        <w:rPr>
          <w:rStyle w:val="af2"/>
          <w:rFonts w:eastAsia="Guttman Hodes" w:hint="cs"/>
          <w:rtl/>
        </w:rPr>
        <w:t>(קה:)</w:t>
      </w:r>
      <w:r>
        <w:rPr>
          <w:rFonts w:hint="cs"/>
          <w:rtl/>
        </w:rPr>
        <w:t xml:space="preserve"> נחלקו להדיא ר"י ור"ש במלאכה שאינה צריכה לגופה.</w:t>
      </w:r>
      <w:bookmarkEnd w:id="4096"/>
    </w:p>
    <w:p w14:paraId="6890D5D0" w14:textId="77777777" w:rsidR="00274E65" w:rsidRPr="00747170" w:rsidRDefault="00274E65" w:rsidP="00747170">
      <w:pPr>
        <w:pStyle w:val="a2"/>
        <w:rPr>
          <w:rStyle w:val="afff7"/>
          <w:rtl/>
        </w:rPr>
      </w:pPr>
      <w:r w:rsidRPr="00747170">
        <w:rPr>
          <w:rtl/>
        </w:rPr>
        <w:t>רבי יהודה היכא שמעינן ליה דאסר, דקא אמרינן (שם מב א) בדבר שאין מתכוין סבר לה כרבי שמעון במלאכה שאינה צריכה לגופה סבר לה כרבי יהודה.</w:t>
      </w:r>
      <w:r w:rsidRPr="00747170">
        <w:rPr>
          <w:rFonts w:hint="cs"/>
          <w:rtl/>
        </w:rPr>
        <w:t xml:space="preserve"> </w:t>
      </w:r>
      <w:r w:rsidRPr="00747170">
        <w:rPr>
          <w:rStyle w:val="afff7"/>
          <w:rtl/>
        </w:rPr>
        <w:t>גבי מקלקל דקאמרינן הלכה כרבי יהודה או כרבי שמעון, איפכא נינהו, רבי יהודה פוטר ורבי שמעון מחייב. ולא אשכחן ליה דוכתא דפליגי בהדיא, אלא מדוקייהו במתכוין, ר' יהודה סבר דבר שאין מתכוין אסור, דווקא מתקן, אבל מקלקל הא לא ניחא ליה, כי אמר רבי יהודה דבר שאין מתכוין אסור במתקן, [עמוד קלט] דכיון דניחא ליה בגויה ואף על גב דלא קא מיכוין כיון דממילא קא הויא ליה הנאה אסר ר' יהודה, אבל במקלקל הא לא ניחא ליה, ש"מ במקלקל כר' שמעון סבירא ליה דפטר.</w:t>
      </w:r>
      <w:r w:rsidRPr="00747170">
        <w:rPr>
          <w:rFonts w:hint="cs"/>
          <w:rtl/>
        </w:rPr>
        <w:t xml:space="preserve"> </w:t>
      </w:r>
      <w:r w:rsidRPr="00747170">
        <w:rPr>
          <w:rtl/>
        </w:rPr>
        <w:t xml:space="preserve">(שם קכא א) כופין קערה על הנר בשביל שלא תאחוז בקורה, ועל צואה של קטן, על עקרב שלא תישך, אמר רבי יהודה מעשה בא לפני רבן יוחנן בן זכאי בערב ואמר חוששני לו מחטאת. והא דאמרינן בכל דוכתא רבי יהודה היא דאמר מלאכה שאינה צריכה לגופה חייב עליה, לא אשכחן לה עיקרא אלא מהא. וממאי דכי פליגי תנא קמא ור' יהודה בהא מתניתין במלאכה שאינה צריכה לגופה פליגי, דקאמרינן (שם קז ב) איכא דמתני לה אהא, הצד נחש בשבת, אם מתעסק בו שלא ישכנו פטור, ואם לרפואה חייב, מאן תנא, אמר רב יהודה אמר רב רבי שמעון היא דאמר מלאכה שאינה צריכה לגופה פטור עליה, וקא פשטינן לה לההיא ממאי דפטור ומותר מיהא ועל עקרב שלא תישך, אלמא ודאי כי פליגי במתניתין במלאכה שאינה צריכה לגופה, דתנא קמא אמר כופין קסבר מלאכה שאינה צריכה לגופה פטור עליה ורבי יהודה קאמר מלאכה שאינה צריכה לגופה חייב עליה, ומעשה נמי בא לפני רבן יוחנן בן זכאי ואסר. </w:t>
      </w:r>
      <w:r w:rsidRPr="00747170">
        <w:rPr>
          <w:rStyle w:val="afff7"/>
          <w:rtl/>
        </w:rPr>
        <w:t>אי הכי קשיא דשמואל אדשמואל, הכי קאמר, ממאי דפטור ומותר דתנן כופין קערה וכו', אלמא שמואל במלאכה שאינה צריכה לגופה כרבי שמעון סבירא ליה דשרי, והא קיימא לן דשמואל במלאכה שאינה צריכה לגופה כרבי יהודה סבירא ליה דאסר, דאמר רב ששת (שם מא ב) לא שנו אלא שיעור להפשיר אבל שיעור לצרף אסור ושמואל אמר אפילו שיעור לצרף מותר, ואמרינן למימרא דשמואל כרבי שמעון סבירא ליה והאמר שמואל מכבין גחלת של מתכת בשביל שלא יוזקו בה רבים אבל לא גחלת של עץ ואי ס"ד סבר לה כרבי שמעון ואפילו של עץ נמי, ומשנינן, גבי לצרף דדבר שאין מתכוין הוא סבר לה כרבי שמעון, גבי כבוי דמלאכה שאינה צריכה לגופה סבר לה כרבי יהודה, אמרי, לעולם כרבי יהודה סבירא ליה, מיהו, במידי דאית ביה היזק אמר בהא ודאי לא מודינא ליה לרבי יהודה, גבי גחלת של מתכת טעמא מאי קא שרי שמואל, שלא יזוקו בה רבים, הכא נמי אימא לך שקליה להאי נחש שלא יזוקו בו רבים, דאי לא תימא הכי, מכדי רבי יהודה מחייב על מלאכה שאינה צריכה לגופה, לא שנא גחלת של מתכת ולא שנא גחלת של עץ לרבי יהודה בהדדי נינהו, ומוקמינן ליה לשמואל כרבי יהודה. ושמואל, מאי שנא דשרי גחלת של מתכת ואסר גחלת של עץ, אלא שמואל בין בגחלת של מתכת ובין בגחלת של עץ כר' יהודה סבירא ליה, ובשביל שלא יזוקו בה רבים בעלמא דקאמר, אי לאו היזק רבים הכי נמי דאסר, גבי גחלת של עץ לית בה היזק רבים, מאי טעמא, כמה דלא כביא אית בה סומקא וקא חזו לה רבים ולא אתי לאיתזוקי בה, גחלת של מתכת, אף על גב דאזיל סומקא קליא ולא חזו לה ואתי לאיתזוקי בה, רבי יהודה לית ליה היזק רבים, שמואל, במידי דאית ביה היזק רבים פליג עליה, ואף על גב דבעלמא מלאכה שאינה צריכה לגופה כוותיה סבירא ליה, מה התם אף על גב דקא מוקמינן לה לשמואל כר' יהודה, בגחלת של מתכת דאית בה היזק רבים פליג עליה, הכא נמי גבי עקרב שלא תישך לחודה, הוא דפליג עליה דרבי יהודה, משום דאית בה היזק רבים, אבל בהנך ובמלאכה שאינה צריכה לגופה כוותיה דעלמא כרבי יהודה סבירא ליה דאסר. רבי שמעון היכא דפטר במלאכה שאינה צריכה לגופה, הצד נחש בשבת, ואוקימנא כרבי שמעון, ותו שמעינן ליה (שם צד ב) וכן כזית מן המת וכזית מן הנבילה וכעדשה מן השרץ חייב, ורבי שמעון פוטר, ואף במוציא את המת לקוברו, כולהי משום דקא סבר במלאכה שאינה צריכה לגופה פטור עליה.</w:t>
      </w:r>
    </w:p>
    <w:p w14:paraId="176784D3" w14:textId="77777777" w:rsidR="00274E65" w:rsidRPr="007660BC" w:rsidRDefault="00274E65" w:rsidP="00274E65">
      <w:pPr>
        <w:pStyle w:val="afffffb"/>
        <w:rPr>
          <w:vanish/>
          <w:rtl/>
        </w:rPr>
      </w:pPr>
      <w:r w:rsidRPr="007660BC">
        <w:rPr>
          <w:vanish/>
          <w:rtl/>
        </w:rPr>
        <w:t>רבינו חננאל שבת ק"ה ע"ב</w:t>
      </w:r>
      <w:r w:rsidRPr="007660BC">
        <w:rPr>
          <w:rFonts w:hint="cs"/>
          <w:vanish/>
          <w:rtl/>
        </w:rPr>
        <w:t xml:space="preserve"> ד"ה ושנינן</w:t>
      </w:r>
    </w:p>
    <w:p w14:paraId="795F5A95" w14:textId="77777777" w:rsidR="00274E65" w:rsidRPr="005F2440" w:rsidRDefault="00274E65" w:rsidP="00747170">
      <w:pPr>
        <w:pStyle w:val="afffff5"/>
        <w:rPr>
          <w:rtl/>
        </w:rPr>
      </w:pPr>
      <w:r w:rsidRPr="005F2440">
        <w:rPr>
          <w:rtl/>
        </w:rPr>
        <w:t>והיכא שמעינן לר' יהודה דאסר [דאמרינן] (לעיל מב) בדבר שאין מתכוין סבר לה כר"ש במלאכה שאינה צריכה לגופה סבר לה כר' יהודה [וגרסינן] (בכתובות ה) מהו לבעול בתחלה בשבת דאמרינן במקלקל הלכה כר' יהודה או כר"ש. ותוב כופין קערה ע"ג הנר בשביל שלא תאחוז בקורה כו' א"ר יהודה מעשה בא לפני ריב"ז בערב ואמר חושש אני לו מחטאת. והא דאמרי בכל מקום ר' יהודה היא דאמר מלאכה שאינה צריכה לגופה חייב עליה לא אשכחן לה עיקר אלא מהא. וממאי דקא מפלגי ת"ק ור' יהודה בהא מתני' במלאכה שאינה צריכה לגופה דאמרי' (לקמן ד' קז א) איכא דמתני לה אהא הצד נחש בשבת ומתעסק שלא ישכנו פטור ואם לרפואה חייב מאן תנא א"ר יהודה ר' שמעון היא דאמר מלאכה שאינה צריכה לגופה פטור עליה. אבל דוכתא בהדיא דפליגי עלה בלשון הזה לא אשכחן אלא מהאי דיוקא דאמר הכא שנית מתו אלא אחמתו קשיא אחמתו נמי לא קשיא הא ר' יהודה הא ר' שמעון כדמפרש:</w:t>
      </w:r>
    </w:p>
    <w:p w14:paraId="5A22EE5A" w14:textId="77777777" w:rsidR="00274E65" w:rsidRDefault="00274E65" w:rsidP="00274E65">
      <w:pPr>
        <w:pStyle w:val="afffff7"/>
        <w:rPr>
          <w:rtl/>
        </w:rPr>
      </w:pPr>
      <w:bookmarkStart w:id="4098" w:name="_Toc140744064"/>
      <w:bookmarkStart w:id="4099" w:name="_Toc140058124"/>
      <w:bookmarkStart w:id="4100" w:name="_Toc163506012"/>
      <w:r>
        <w:rPr>
          <w:rtl/>
        </w:rPr>
        <w:t>רבינו חננאל שבת צ"ה ע"ב</w:t>
      </w:r>
      <w:r>
        <w:rPr>
          <w:rFonts w:hint="cs"/>
          <w:rtl/>
        </w:rPr>
        <w:t xml:space="preserve"> ד</w:t>
      </w:r>
      <w:r>
        <w:rPr>
          <w:rFonts w:cs="Guttman Hodes" w:hint="cs"/>
          <w:rtl/>
        </w:rPr>
        <w:t>"</w:t>
      </w:r>
      <w:r>
        <w:rPr>
          <w:rFonts w:hint="cs"/>
          <w:rtl/>
        </w:rPr>
        <w:t>ה וכן</w:t>
      </w:r>
      <w:bookmarkEnd w:id="4098"/>
      <w:bookmarkEnd w:id="4100"/>
    </w:p>
    <w:p w14:paraId="091EE603" w14:textId="77777777" w:rsidR="00274E65" w:rsidRDefault="00274E65" w:rsidP="00274E65">
      <w:pPr>
        <w:pStyle w:val="a7"/>
        <w:rPr>
          <w:rtl/>
        </w:rPr>
      </w:pPr>
      <w:bookmarkStart w:id="4101" w:name="_Toc140743931"/>
      <w:r>
        <w:rPr>
          <w:rFonts w:hint="cs"/>
          <w:rtl/>
        </w:rPr>
        <w:t>בי' ר"ח ורנ"ג דמוציא מת מחמת ריח רע מודה ר"ש דהוי צל"ג וכן מוכח בברייתא ובירושלמי</w:t>
      </w:r>
      <w:bookmarkEnd w:id="4101"/>
    </w:p>
    <w:p w14:paraId="016AC97A" w14:textId="39243071" w:rsidR="00274E65" w:rsidRDefault="00274E65" w:rsidP="00BC7DC8">
      <w:pPr>
        <w:pStyle w:val="a3"/>
        <w:rPr>
          <w:rtl/>
        </w:rPr>
      </w:pPr>
      <w:bookmarkStart w:id="4102" w:name="_Ref140682808"/>
      <w:bookmarkStart w:id="4103" w:name="_Ref140485440"/>
      <w:r>
        <w:rPr>
          <w:rFonts w:hint="cs"/>
          <w:rtl/>
        </w:rPr>
        <w:t xml:space="preserve">כתב </w:t>
      </w:r>
      <w:r w:rsidRPr="0072408A">
        <w:rPr>
          <w:rFonts w:hint="cs"/>
          <w:vanish/>
          <w:rtl/>
        </w:rPr>
        <w:t xml:space="preserve">&lt;, </w:t>
      </w:r>
      <w:r w:rsidRPr="0072408A">
        <w:rPr>
          <w:vanish/>
          <w:rtl/>
        </w:rPr>
        <w:fldChar w:fldCharType="begin"/>
      </w:r>
      <w:r w:rsidRPr="0072408A">
        <w:rPr>
          <w:vanish/>
          <w:rtl/>
        </w:rPr>
        <w:instrText xml:space="preserve"> </w:instrText>
      </w:r>
      <w:r w:rsidRPr="0072408A">
        <w:rPr>
          <w:rFonts w:hint="cs"/>
          <w:vanish/>
        </w:rPr>
        <w:instrText>REF</w:instrText>
      </w:r>
      <w:r w:rsidRPr="0072408A">
        <w:rPr>
          <w:rFonts w:hint="cs"/>
          <w:vanish/>
          <w:rtl/>
        </w:rPr>
        <w:instrText xml:space="preserve"> _</w:instrText>
      </w:r>
      <w:r w:rsidRPr="0072408A">
        <w:rPr>
          <w:rFonts w:hint="cs"/>
          <w:vanish/>
        </w:rPr>
        <w:instrText>Ref140485440 \r \h</w:instrText>
      </w:r>
      <w:r w:rsidRPr="0072408A">
        <w:rPr>
          <w:vanish/>
          <w:rtl/>
        </w:rPr>
        <w:instrText xml:space="preserve"> </w:instrText>
      </w:r>
      <w:r w:rsidRPr="0072408A">
        <w:rPr>
          <w:vanish/>
          <w:rtl/>
        </w:rPr>
      </w:r>
      <w:r w:rsidRPr="0072408A">
        <w:rPr>
          <w:vanish/>
          <w:rtl/>
        </w:rPr>
        <w:fldChar w:fldCharType="separate"/>
      </w:r>
      <w:r w:rsidR="00D82181">
        <w:rPr>
          <w:vanish/>
          <w:cs/>
        </w:rPr>
        <w:t>‎</w:t>
      </w:r>
      <w:r w:rsidR="00D82181">
        <w:rPr>
          <w:vanish/>
          <w:rtl/>
        </w:rPr>
        <w:t>ג)</w:t>
      </w:r>
      <w:r w:rsidRPr="0072408A">
        <w:rPr>
          <w:vanish/>
          <w:rtl/>
        </w:rPr>
        <w:fldChar w:fldCharType="end"/>
      </w:r>
      <w:r w:rsidRPr="0072408A">
        <w:rPr>
          <w:rFonts w:hint="cs"/>
          <w:vanish/>
          <w:rtl/>
        </w:rPr>
        <w:t xml:space="preserve"> &gt;</w:t>
      </w:r>
      <w:r w:rsidRPr="0072408A">
        <w:rPr>
          <w:rStyle w:val="aff4"/>
          <w:rFonts w:hint="cs"/>
          <w:vanish/>
          <w:rtl/>
        </w:rPr>
        <w:t>-</w:t>
      </w:r>
      <w:r w:rsidRPr="006B40AC">
        <w:rPr>
          <w:rStyle w:val="aff4"/>
          <w:rFonts w:hint="cs"/>
          <w:rtl/>
        </w:rPr>
        <w:t>ר"ח</w:t>
      </w:r>
      <w:r w:rsidRPr="0072408A">
        <w:rPr>
          <w:rStyle w:val="aff4"/>
          <w:rFonts w:hint="cs"/>
          <w:vanish/>
          <w:rtl/>
        </w:rPr>
        <w:t>-</w:t>
      </w:r>
      <w:r>
        <w:rPr>
          <w:rFonts w:hint="cs"/>
          <w:rtl/>
        </w:rPr>
        <w:t xml:space="preserve"> </w:t>
      </w:r>
      <w:r w:rsidRPr="0072408A">
        <w:rPr>
          <w:rStyle w:val="af2"/>
          <w:rFonts w:eastAsia="Guttman Hodes" w:hint="cs"/>
          <w:rtl/>
        </w:rPr>
        <w:t>(צה: סוד"ה וכן)</w:t>
      </w:r>
      <w:r w:rsidRPr="0072408A">
        <w:rPr>
          <w:rFonts w:hint="cs"/>
          <w:vanish/>
          <w:rtl/>
        </w:rPr>
        <w:t>=</w:t>
      </w:r>
      <w:r>
        <w:rPr>
          <w:rFonts w:hint="cs"/>
          <w:rtl/>
        </w:rPr>
        <w:t xml:space="preserve"> דהמוציא מת כשיש לו ריח רע הוי מלאכה שאינה צריכה לגופה,</w:t>
      </w:r>
      <w:r w:rsidRPr="0072408A">
        <w:rPr>
          <w:rFonts w:hint="cs"/>
          <w:rtl/>
        </w:rPr>
        <w:t xml:space="preserve"> </w:t>
      </w:r>
      <w:r>
        <w:rPr>
          <w:rFonts w:hint="cs"/>
          <w:rtl/>
        </w:rPr>
        <w:t xml:space="preserve">וכ"כ </w:t>
      </w:r>
      <w:r w:rsidRPr="0072408A">
        <w:rPr>
          <w:rStyle w:val="aff4"/>
          <w:rFonts w:hint="cs"/>
          <w:vanish/>
          <w:rtl/>
        </w:rPr>
        <w:t>-</w:t>
      </w:r>
      <w:r w:rsidRPr="00D32D94">
        <w:rPr>
          <w:rStyle w:val="aff4"/>
          <w:rFonts w:hint="cs"/>
          <w:rtl/>
        </w:rPr>
        <w:t>רבינו ניסים גאון</w:t>
      </w:r>
      <w:r w:rsidRPr="00B3331A">
        <w:rPr>
          <w:rStyle w:val="aff4"/>
          <w:rFonts w:hint="cs"/>
          <w:vanish/>
          <w:rtl/>
        </w:rPr>
        <w:t>-</w:t>
      </w:r>
      <w:r>
        <w:rPr>
          <w:rFonts w:hint="cs"/>
          <w:rtl/>
        </w:rPr>
        <w:t xml:space="preserve"> דמוציא מת לקוברו חשיב מלאכה שאינה צריכה לגופה כיון שאם ח"ו יהיה המת סרוח ,או הנבילה סרוחה וא"א להשאר עמהם מחמת הריח הרע, מודה ר"ש דהמוציא חייב, כיון שבזמן הזה הוצאת המת היא מלאכה הצריכה לגופה, והביא </w:t>
      </w:r>
      <w:r w:rsidRPr="0072408A">
        <w:rPr>
          <w:rFonts w:hint="cs"/>
          <w:vanish/>
          <w:rtl/>
        </w:rPr>
        <w:t>&lt; &gt;</w:t>
      </w:r>
      <w:r w:rsidRPr="0072408A">
        <w:rPr>
          <w:rStyle w:val="aff4"/>
          <w:rFonts w:hint="cs"/>
          <w:vanish/>
          <w:rtl/>
        </w:rPr>
        <w:t>-</w:t>
      </w:r>
      <w:r w:rsidRPr="00D32D94">
        <w:rPr>
          <w:rStyle w:val="aff4"/>
          <w:rFonts w:hint="cs"/>
          <w:rtl/>
        </w:rPr>
        <w:t>רבינו ניסים גאון</w:t>
      </w:r>
      <w:r w:rsidRPr="0072408A">
        <w:rPr>
          <w:rStyle w:val="aff4"/>
          <w:rFonts w:hint="cs"/>
          <w:vanish/>
          <w:rtl/>
        </w:rPr>
        <w:t>-</w:t>
      </w:r>
      <w:r>
        <w:rPr>
          <w:rFonts w:hint="cs"/>
          <w:rtl/>
        </w:rPr>
        <w:t xml:space="preserve"> </w:t>
      </w:r>
      <w:r w:rsidRPr="0072408A">
        <w:rPr>
          <w:rStyle w:val="af2"/>
          <w:rFonts w:eastAsia="Guttman Hodes" w:hint="cs"/>
          <w:rtl/>
        </w:rPr>
        <w:t>(יב. סוד"ה לא קשיא, ד"ה והתנאי, נד' על הדף)</w:t>
      </w:r>
      <w:r w:rsidRPr="00896BF5">
        <w:rPr>
          <w:rFonts w:hint="cs"/>
          <w:rtl/>
        </w:rPr>
        <w:t xml:space="preserve"> </w:t>
      </w:r>
      <w:r w:rsidRPr="0072408A">
        <w:rPr>
          <w:rFonts w:hint="cs"/>
          <w:vanish/>
          <w:rtl/>
        </w:rPr>
        <w:t>&lt; &gt;</w:t>
      </w:r>
      <w:r w:rsidRPr="0072408A">
        <w:rPr>
          <w:rStyle w:val="aff4"/>
          <w:rFonts w:hint="cs"/>
          <w:vanish/>
          <w:rtl/>
        </w:rPr>
        <w:t>-</w:t>
      </w:r>
      <w:r w:rsidRPr="00D32D94">
        <w:rPr>
          <w:rStyle w:val="aff4"/>
          <w:rFonts w:hint="cs"/>
          <w:rtl/>
        </w:rPr>
        <w:t>רב האי גאון</w:t>
      </w:r>
      <w:r w:rsidRPr="0072408A">
        <w:rPr>
          <w:rStyle w:val="aff4"/>
          <w:rFonts w:hint="cs"/>
          <w:vanish/>
          <w:rtl/>
        </w:rPr>
        <w:t>-</w:t>
      </w:r>
      <w:r w:rsidRPr="0072408A">
        <w:rPr>
          <w:rFonts w:hint="cs"/>
          <w:vanish/>
          <w:rtl/>
        </w:rPr>
        <w:t>=</w:t>
      </w:r>
      <w:r>
        <w:rPr>
          <w:rFonts w:hint="cs"/>
          <w:rtl/>
        </w:rPr>
        <w:t xml:space="preserve"> דכן תני בברייתא לקמן </w:t>
      </w:r>
      <w:r w:rsidRPr="0072408A">
        <w:rPr>
          <w:rStyle w:val="af2"/>
          <w:rFonts w:eastAsia="Guttman Hodes" w:hint="cs"/>
          <w:rtl/>
        </w:rPr>
        <w:t>(צ.)</w:t>
      </w:r>
      <w:r>
        <w:rPr>
          <w:rFonts w:hint="cs"/>
          <w:rtl/>
        </w:rPr>
        <w:t xml:space="preserve"> דהמוציא ריח רע כל שהוא חייב, </w:t>
      </w:r>
      <w:r w:rsidRPr="00B3331A">
        <w:rPr>
          <w:rStyle w:val="af"/>
          <w:rFonts w:hint="cs"/>
          <w:rtl/>
        </w:rPr>
        <w:t xml:space="preserve">[ועי' במה שדחה </w:t>
      </w:r>
      <w:r w:rsidRPr="00B3331A">
        <w:rPr>
          <w:rStyle w:val="aff9"/>
          <w:rFonts w:hint="cs"/>
          <w:vanish/>
          <w:rtl/>
        </w:rPr>
        <w:t>-</w:t>
      </w:r>
      <w:r w:rsidRPr="00B3331A">
        <w:rPr>
          <w:rStyle w:val="aff9"/>
          <w:rFonts w:hint="cs"/>
          <w:rtl/>
        </w:rPr>
        <w:t>הבעה"מ</w:t>
      </w:r>
      <w:r w:rsidRPr="00B3331A">
        <w:rPr>
          <w:rStyle w:val="aff9"/>
          <w:rFonts w:hint="cs"/>
          <w:vanish/>
          <w:rtl/>
        </w:rPr>
        <w:t>-</w:t>
      </w:r>
      <w:r w:rsidRPr="00B3331A">
        <w:rPr>
          <w:rStyle w:val="af"/>
          <w:rFonts w:hint="cs"/>
          <w:rtl/>
        </w:rPr>
        <w:t xml:space="preserve"> </w:t>
      </w:r>
      <w:r w:rsidRPr="00B3331A">
        <w:rPr>
          <w:rStyle w:val="aff0"/>
          <w:rFonts w:hint="cs"/>
          <w:rtl/>
        </w:rPr>
        <w:t xml:space="preserve">(עי' אות </w:t>
      </w:r>
      <w:r w:rsidRPr="00B3331A">
        <w:rPr>
          <w:rStyle w:val="aff0"/>
          <w:rtl/>
        </w:rPr>
        <w:fldChar w:fldCharType="begin"/>
      </w:r>
      <w:r w:rsidRPr="00B3331A">
        <w:rPr>
          <w:rStyle w:val="aff0"/>
          <w:rtl/>
        </w:rPr>
        <w:instrText xml:space="preserve"> </w:instrText>
      </w:r>
      <w:r w:rsidRPr="00B3331A">
        <w:rPr>
          <w:rStyle w:val="aff0"/>
          <w:rFonts w:hint="cs"/>
        </w:rPr>
        <w:instrText>REF</w:instrText>
      </w:r>
      <w:r w:rsidRPr="00B3331A">
        <w:rPr>
          <w:rStyle w:val="aff0"/>
          <w:rFonts w:hint="cs"/>
          <w:rtl/>
        </w:rPr>
        <w:instrText xml:space="preserve"> _</w:instrText>
      </w:r>
      <w:r w:rsidRPr="00B3331A">
        <w:rPr>
          <w:rStyle w:val="aff0"/>
          <w:rFonts w:hint="cs"/>
        </w:rPr>
        <w:instrText>Ref140682130 \r \h</w:instrText>
      </w:r>
      <w:r w:rsidRPr="00B3331A">
        <w:rPr>
          <w:rStyle w:val="aff0"/>
          <w:rtl/>
        </w:rPr>
        <w:instrText xml:space="preserve"> </w:instrText>
      </w:r>
      <w:r w:rsidRPr="00B3331A">
        <w:rPr>
          <w:rStyle w:val="aff0"/>
          <w:rtl/>
        </w:rPr>
      </w:r>
      <w:r w:rsidRPr="00B3331A">
        <w:rPr>
          <w:rStyle w:val="aff0"/>
          <w:rtl/>
        </w:rPr>
        <w:fldChar w:fldCharType="separate"/>
      </w:r>
      <w:r w:rsidR="00D82181">
        <w:rPr>
          <w:rStyle w:val="aff0"/>
          <w:cs/>
        </w:rPr>
        <w:t>‎</w:t>
      </w:r>
      <w:r w:rsidR="00D82181">
        <w:rPr>
          <w:rStyle w:val="aff0"/>
          <w:rtl/>
        </w:rPr>
        <w:t>ז)</w:t>
      </w:r>
      <w:r w:rsidRPr="00B3331A">
        <w:rPr>
          <w:rStyle w:val="aff0"/>
          <w:rtl/>
        </w:rPr>
        <w:fldChar w:fldCharType="end"/>
      </w:r>
      <w:r w:rsidRPr="00B3331A">
        <w:rPr>
          <w:rStyle w:val="af"/>
          <w:rFonts w:hint="cs"/>
          <w:rtl/>
        </w:rPr>
        <w:t xml:space="preserve"> דאי"ז כוונת הברייתא],</w:t>
      </w:r>
      <w:r>
        <w:rPr>
          <w:rFonts w:hint="cs"/>
          <w:rtl/>
        </w:rPr>
        <w:t xml:space="preserve"> וכתב </w:t>
      </w:r>
      <w:r w:rsidRPr="0072408A">
        <w:rPr>
          <w:rStyle w:val="aff4"/>
          <w:rFonts w:hint="cs"/>
          <w:vanish/>
          <w:rtl/>
        </w:rPr>
        <w:t>-</w:t>
      </w:r>
      <w:r w:rsidRPr="00D32D94">
        <w:rPr>
          <w:rStyle w:val="aff4"/>
          <w:rFonts w:hint="cs"/>
          <w:rtl/>
        </w:rPr>
        <w:t>רבינו ניסים גאון</w:t>
      </w:r>
      <w:r w:rsidRPr="00B3331A">
        <w:rPr>
          <w:rStyle w:val="aff4"/>
          <w:rFonts w:hint="cs"/>
          <w:vanish/>
          <w:rtl/>
        </w:rPr>
        <w:t>-</w:t>
      </w:r>
      <w:r>
        <w:rPr>
          <w:rFonts w:hint="cs"/>
          <w:rtl/>
        </w:rPr>
        <w:t xml:space="preserve"> דכן בהא דתנן דמוציא את המת במטה חייב לר"י אמרינן בירושלמי </w:t>
      </w:r>
      <w:r w:rsidRPr="0072408A">
        <w:rPr>
          <w:rStyle w:val="af2"/>
          <w:rFonts w:eastAsia="Guttman Hodes" w:hint="cs"/>
          <w:rtl/>
        </w:rPr>
        <w:t>(פ"י ה"ה, סג:)</w:t>
      </w:r>
      <w:r>
        <w:rPr>
          <w:rFonts w:hint="cs"/>
          <w:rtl/>
        </w:rPr>
        <w:t xml:space="preserve"> דלכו"ע בריח רע כל שהוא חייב, ואמר ר' אילא דאף ר"ש מודה בזה, וע"ע במה שהאריך </w:t>
      </w:r>
      <w:r w:rsidRPr="003D3766">
        <w:rPr>
          <w:rStyle w:val="aff4"/>
          <w:rFonts w:hint="cs"/>
          <w:vanish/>
          <w:rtl/>
        </w:rPr>
        <w:t>-</w:t>
      </w:r>
      <w:r w:rsidRPr="003D3766">
        <w:rPr>
          <w:rStyle w:val="aff4"/>
          <w:rFonts w:hint="cs"/>
          <w:rtl/>
        </w:rPr>
        <w:t>ה</w:t>
      </w:r>
      <w:r w:rsidRPr="003D3766">
        <w:rPr>
          <w:rStyle w:val="aff4"/>
          <w:rFonts w:hint="cs"/>
          <w:vanish/>
          <w:rtl/>
        </w:rPr>
        <w:t>&lt; &gt;</w:t>
      </w:r>
      <w:r w:rsidRPr="003D3766">
        <w:rPr>
          <w:rStyle w:val="aff4"/>
          <w:rFonts w:hint="cs"/>
          <w:rtl/>
        </w:rPr>
        <w:t>מאירי</w:t>
      </w:r>
      <w:r w:rsidRPr="003D3766">
        <w:rPr>
          <w:rStyle w:val="aff4"/>
          <w:rFonts w:hint="cs"/>
          <w:vanish/>
          <w:rtl/>
        </w:rPr>
        <w:t>-</w:t>
      </w:r>
      <w:r>
        <w:rPr>
          <w:rFonts w:hint="cs"/>
          <w:rtl/>
        </w:rPr>
        <w:t xml:space="preserve"> </w:t>
      </w:r>
      <w:r w:rsidRPr="003D3766">
        <w:rPr>
          <w:rStyle w:val="af2"/>
          <w:rFonts w:eastAsia="Guttman Hodes" w:hint="cs"/>
          <w:rtl/>
        </w:rPr>
        <w:t>(צג: ד"ה אמר המאירי)</w:t>
      </w:r>
      <w:r w:rsidRPr="003D3766">
        <w:rPr>
          <w:rFonts w:hint="cs"/>
          <w:vanish/>
          <w:rtl/>
        </w:rPr>
        <w:t>=</w:t>
      </w:r>
      <w:r>
        <w:rPr>
          <w:rFonts w:hint="cs"/>
          <w:rtl/>
        </w:rPr>
        <w:t xml:space="preserve"> בביאור דברי הירושלמי.</w:t>
      </w:r>
      <w:r w:rsidRPr="00CD1FC5">
        <w:rPr>
          <w:rFonts w:hint="cs"/>
          <w:rtl/>
        </w:rPr>
        <w:t xml:space="preserve"> </w:t>
      </w:r>
      <w:r w:rsidRPr="00900CB4">
        <w:rPr>
          <w:rStyle w:val="af"/>
          <w:rFonts w:hint="cs"/>
          <w:rtl/>
        </w:rPr>
        <w:t xml:space="preserve">[וכתב </w:t>
      </w:r>
      <w:r w:rsidRPr="0072408A">
        <w:rPr>
          <w:rStyle w:val="aff9"/>
          <w:rFonts w:hint="cs"/>
          <w:vanish/>
          <w:rtl/>
        </w:rPr>
        <w:t>-</w:t>
      </w:r>
      <w:r w:rsidRPr="00900CB4">
        <w:rPr>
          <w:rStyle w:val="aff9"/>
          <w:rFonts w:hint="cs"/>
          <w:rtl/>
        </w:rPr>
        <w:t>רבינו ניסים גאון</w:t>
      </w:r>
      <w:r w:rsidRPr="0072408A">
        <w:rPr>
          <w:rStyle w:val="aff9"/>
          <w:rFonts w:hint="cs"/>
          <w:vanish/>
          <w:rtl/>
        </w:rPr>
        <w:t>-</w:t>
      </w:r>
      <w:r w:rsidRPr="00900CB4">
        <w:rPr>
          <w:rStyle w:val="af"/>
          <w:rFonts w:hint="cs"/>
          <w:rtl/>
        </w:rPr>
        <w:t xml:space="preserve"> דמה שהוכיח </w:t>
      </w:r>
      <w:r w:rsidRPr="0072408A">
        <w:rPr>
          <w:rStyle w:val="aff9"/>
          <w:rFonts w:hint="cs"/>
          <w:vanish/>
          <w:rtl/>
        </w:rPr>
        <w:t>-</w:t>
      </w:r>
      <w:r w:rsidRPr="00900CB4">
        <w:rPr>
          <w:rStyle w:val="aff9"/>
          <w:rFonts w:hint="cs"/>
          <w:rtl/>
        </w:rPr>
        <w:t>רב האי גאון</w:t>
      </w:r>
      <w:r w:rsidRPr="0072408A">
        <w:rPr>
          <w:rStyle w:val="aff9"/>
          <w:rFonts w:hint="cs"/>
          <w:vanish/>
          <w:rtl/>
        </w:rPr>
        <w:t>-</w:t>
      </w:r>
      <w:r w:rsidRPr="00900CB4">
        <w:rPr>
          <w:rStyle w:val="af"/>
          <w:rFonts w:hint="cs"/>
          <w:rtl/>
        </w:rPr>
        <w:t xml:space="preserve"> מהירושלמי דמחייב ר"ש בריח רע, מ"מ בסוף דברי הירושלמי דאמרינן דמודה ר"ש בזה לא משמע כן, אך כתב </w:t>
      </w:r>
      <w:r w:rsidRPr="0072408A">
        <w:rPr>
          <w:rStyle w:val="aff9"/>
          <w:rFonts w:hint="cs"/>
          <w:vanish/>
          <w:rtl/>
        </w:rPr>
        <w:t>-</w:t>
      </w:r>
      <w:r w:rsidRPr="00900CB4">
        <w:rPr>
          <w:rStyle w:val="aff9"/>
          <w:rFonts w:hint="cs"/>
          <w:rtl/>
        </w:rPr>
        <w:t>רבינו ניסים גאון</w:t>
      </w:r>
      <w:r w:rsidRPr="0072408A">
        <w:rPr>
          <w:rStyle w:val="aff9"/>
          <w:rFonts w:hint="cs"/>
          <w:vanish/>
          <w:rtl/>
        </w:rPr>
        <w:t>-</w:t>
      </w:r>
      <w:r w:rsidRPr="00900CB4">
        <w:rPr>
          <w:rStyle w:val="af"/>
          <w:rFonts w:hint="cs"/>
          <w:rtl/>
        </w:rPr>
        <w:t xml:space="preserve"> דסמך על דברי </w:t>
      </w:r>
      <w:r w:rsidRPr="0072408A">
        <w:rPr>
          <w:rStyle w:val="aff9"/>
          <w:rFonts w:hint="cs"/>
          <w:vanish/>
          <w:rtl/>
        </w:rPr>
        <w:t>-</w:t>
      </w:r>
      <w:r w:rsidRPr="00900CB4">
        <w:rPr>
          <w:rStyle w:val="aff9"/>
          <w:rFonts w:hint="cs"/>
          <w:rtl/>
        </w:rPr>
        <w:t>הגאונים</w:t>
      </w:r>
      <w:r w:rsidRPr="0072408A">
        <w:rPr>
          <w:rStyle w:val="aff9"/>
          <w:rFonts w:hint="cs"/>
          <w:vanish/>
          <w:rtl/>
        </w:rPr>
        <w:t>-</w:t>
      </w:r>
      <w:r w:rsidRPr="00900CB4">
        <w:rPr>
          <w:rStyle w:val="af"/>
          <w:rFonts w:hint="cs"/>
          <w:rtl/>
        </w:rPr>
        <w:t>]</w:t>
      </w:r>
      <w:r w:rsidRPr="002426BB">
        <w:rPr>
          <w:rStyle w:val="af"/>
          <w:rFonts w:hint="cs"/>
          <w:rtl/>
        </w:rPr>
        <w:t>.</w:t>
      </w:r>
      <w:bookmarkEnd w:id="4102"/>
    </w:p>
    <w:bookmarkEnd w:id="4103"/>
    <w:p w14:paraId="78BFEC43" w14:textId="77777777" w:rsidR="00274E65" w:rsidRPr="00747170" w:rsidRDefault="00274E65" w:rsidP="00747170">
      <w:pPr>
        <w:pStyle w:val="a2"/>
      </w:pPr>
      <w:r w:rsidRPr="00747170">
        <w:rPr>
          <w:rtl/>
        </w:rPr>
        <w:t>ומדקדקי רבנן בההיא דקא מפטר המוציא את מת דהני מילי דהיכא דלית ליה ריחא דאי אית ליה ריחא נמצאת הוצאתו מלאכה שצריכה לגופה</w:t>
      </w:r>
      <w:r w:rsidRPr="00747170">
        <w:rPr>
          <w:rFonts w:hint="cs"/>
          <w:rtl/>
        </w:rPr>
        <w:t>.</w:t>
      </w:r>
    </w:p>
    <w:p w14:paraId="75D7C737" w14:textId="5FB800C6" w:rsidR="00274E65" w:rsidRPr="007660BC" w:rsidRDefault="00274E65" w:rsidP="00274E65">
      <w:pPr>
        <w:pStyle w:val="afffffb"/>
        <w:rPr>
          <w:vanish/>
          <w:rtl/>
        </w:rPr>
      </w:pPr>
      <w:r w:rsidRPr="007660BC">
        <w:rPr>
          <w:vanish/>
          <w:rtl/>
        </w:rPr>
        <w:t>רב ניסים גאון שבת י"ב ע"א</w:t>
      </w:r>
      <w:r w:rsidRPr="007660BC">
        <w:rPr>
          <w:rFonts w:hint="cs"/>
          <w:vanish/>
          <w:rtl/>
        </w:rPr>
        <w:t xml:space="preserve"> ד"ה לא קשיא, והתנאי</w:t>
      </w:r>
      <w:bookmarkEnd w:id="4099"/>
    </w:p>
    <w:p w14:paraId="72027E8A" w14:textId="77777777" w:rsidR="00274E65" w:rsidRPr="005F2440" w:rsidRDefault="00274E65" w:rsidP="00747170">
      <w:pPr>
        <w:pStyle w:val="afffff5"/>
      </w:pPr>
      <w:r w:rsidRPr="005F2440">
        <w:rPr>
          <w:rtl/>
        </w:rPr>
        <w:t>ולזאת נקראת מלאכה שאינה צריכה לגופה שאם חס ושלום יהיה זה המת סרוח או זאת הנבילה סרוחה ואין יכול לעמוד עמה מפני הריח הרע אז ר' שמעון מודה שאם הוציאה חייב חטאת מפני שהיא באותה שעה נעשית מלאכה שצריכה לגופה ופרק אמר ר' עקיבא (דף צ) תנו רבנן המוציא ריח רע כל שהוא ובגמ' דבני מערבא אמרי את המת במטה חייב דברי הכל ולא כן תאני אף ריח רע כל שהוא ואמר ר' לא ור' שמעון מודה ליה</w:t>
      </w:r>
      <w:r w:rsidRPr="005F2440">
        <w:rPr>
          <w:rFonts w:hint="cs"/>
          <w:rtl/>
        </w:rPr>
        <w:t xml:space="preserve">. </w:t>
      </w:r>
    </w:p>
    <w:p w14:paraId="64BD742F" w14:textId="77777777" w:rsidR="00274E65" w:rsidRPr="005F2440" w:rsidRDefault="00274E65" w:rsidP="00747170">
      <w:pPr>
        <w:pStyle w:val="afffff5"/>
      </w:pPr>
      <w:r w:rsidRPr="005F2440">
        <w:rPr>
          <w:rtl/>
        </w:rPr>
        <w:t>והתנאי שהזכרתי על דברי ר' שמעון שאם יהיה ריח רע והוציאו חייב חטאת כך מצאתי בפי' אדוננו האי ואלו דבריו ומדקדקי רבנן בהאי דקא מיפטר המוציא את המת הני מילי דלית ליה ריחא דאי אית ליה ריחא נמצאת הוצאתו מלאכה שצריכה לגופה ותניא בפרק אמר ר' עקיבא בסופיה המוציא ריח רע כל שהוא ואית לה להא מילתא סייעתא בתלמוד ארץ ישראל ומילתא מוכחא היא עד הנה דברי גאון נ"ע ואני עיינתי בתלמוד ארץ ישראל וכתבתי ממנו ההלכה שהוקדם זכרה וכפשוטן של דברים יראה סיוע גדול לאותו הפרט שפרטתי אבל כשתעיין בסוף הדברים שנאמרו לשם מודה ר' שמעון כו' לא הויא סייעתא אבל סמכתי על דברי אותם הגאונים ז"ל:</w:t>
      </w:r>
    </w:p>
    <w:p w14:paraId="531F193F" w14:textId="569FF681" w:rsidR="00274E65" w:rsidRDefault="00274E65" w:rsidP="00274E65">
      <w:pPr>
        <w:pStyle w:val="1"/>
        <w:rPr>
          <w:rtl/>
        </w:rPr>
      </w:pPr>
      <w:bookmarkStart w:id="4104" w:name="_Toc140743932"/>
      <w:r>
        <w:rPr>
          <w:rFonts w:hint="cs"/>
          <w:rtl/>
        </w:rPr>
        <w:t>בי' הרי"ף דרוקק לרה"ר משאצל"ג דלא נהנה והוי כמוציא מת</w:t>
      </w:r>
      <w:bookmarkEnd w:id="4104"/>
    </w:p>
    <w:p w14:paraId="6B186E7C" w14:textId="77777777" w:rsidR="00274E65" w:rsidRDefault="00274E65" w:rsidP="00274E65">
      <w:pPr>
        <w:pStyle w:val="afffff7"/>
        <w:rPr>
          <w:rtl/>
        </w:rPr>
      </w:pPr>
      <w:bookmarkStart w:id="4105" w:name="_Toc140744065"/>
      <w:bookmarkStart w:id="4106" w:name="_Toc163506013"/>
      <w:r>
        <w:rPr>
          <w:rtl/>
        </w:rPr>
        <w:t>רי"ף עירובין ל"ב ע"ב</w:t>
      </w:r>
      <w:r>
        <w:rPr>
          <w:rFonts w:hint="cs"/>
          <w:rtl/>
        </w:rPr>
        <w:t xml:space="preserve"> מדה"ר</w:t>
      </w:r>
      <w:bookmarkEnd w:id="4105"/>
      <w:bookmarkEnd w:id="4106"/>
    </w:p>
    <w:p w14:paraId="23537AC4" w14:textId="77777777" w:rsidR="00274E65" w:rsidRPr="00D16B1B" w:rsidRDefault="00274E65" w:rsidP="00274E65">
      <w:pPr>
        <w:pStyle w:val="afffff7"/>
        <w:rPr>
          <w:rtl/>
        </w:rPr>
      </w:pPr>
      <w:bookmarkStart w:id="4107" w:name="_Toc140744066"/>
      <w:bookmarkStart w:id="4108" w:name="_Toc140743933"/>
      <w:bookmarkStart w:id="4109" w:name="_Toc163506014"/>
      <w:r w:rsidRPr="00D16B1B">
        <w:rPr>
          <w:rtl/>
        </w:rPr>
        <w:t>מחצית השקל אורח חיים סימן שג ס"ק כב</w:t>
      </w:r>
      <w:bookmarkEnd w:id="4107"/>
      <w:bookmarkEnd w:id="4109"/>
    </w:p>
    <w:p w14:paraId="54998473" w14:textId="77777777" w:rsidR="00274E65" w:rsidRDefault="00274E65" w:rsidP="00274E65">
      <w:pPr>
        <w:pStyle w:val="a7"/>
        <w:rPr>
          <w:rtl/>
        </w:rPr>
      </w:pPr>
      <w:r>
        <w:rPr>
          <w:rFonts w:hint="cs"/>
          <w:rtl/>
        </w:rPr>
        <w:t>בי' הרי"ף דרוקק מרה"י לרה"ר הוי משאצל"ג כיון דאינו נהנה מהרוק אחר שרקק וכמוציא מת</w:t>
      </w:r>
      <w:bookmarkEnd w:id="4108"/>
    </w:p>
    <w:p w14:paraId="207B020D" w14:textId="4459A235" w:rsidR="00274E65" w:rsidRPr="00D61C82" w:rsidRDefault="00274E65" w:rsidP="00BC7DC8">
      <w:pPr>
        <w:pStyle w:val="a3"/>
        <w:rPr>
          <w:rStyle w:val="af"/>
          <w:rtl/>
        </w:rPr>
      </w:pPr>
      <w:bookmarkStart w:id="4110" w:name="_Ref140423313"/>
      <w:r>
        <w:rPr>
          <w:rFonts w:hint="cs"/>
          <w:rtl/>
        </w:rPr>
        <w:t xml:space="preserve">כתב </w:t>
      </w:r>
      <w:r w:rsidRPr="00371F95">
        <w:rPr>
          <w:rStyle w:val="aff4"/>
          <w:rFonts w:hint="cs"/>
          <w:vanish/>
          <w:rtl/>
        </w:rPr>
        <w:t>-</w:t>
      </w:r>
      <w:r w:rsidRPr="00FA62AB">
        <w:rPr>
          <w:rStyle w:val="aff4"/>
          <w:rFonts w:hint="cs"/>
          <w:rtl/>
        </w:rPr>
        <w:t>ה</w:t>
      </w:r>
      <w:r w:rsidRPr="00371F95">
        <w:rPr>
          <w:rStyle w:val="aff4"/>
          <w:rFonts w:hint="cs"/>
          <w:vanish/>
          <w:rtl/>
        </w:rPr>
        <w:t xml:space="preserve">&lt;, </w:t>
      </w:r>
      <w:r w:rsidRPr="00371F95">
        <w:rPr>
          <w:rStyle w:val="aff4"/>
          <w:vanish/>
          <w:rtl/>
        </w:rPr>
        <w:fldChar w:fldCharType="begin"/>
      </w:r>
      <w:r w:rsidRPr="00371F95">
        <w:rPr>
          <w:rStyle w:val="aff4"/>
          <w:vanish/>
          <w:rtl/>
        </w:rPr>
        <w:instrText xml:space="preserve"> </w:instrText>
      </w:r>
      <w:r w:rsidRPr="00371F95">
        <w:rPr>
          <w:rStyle w:val="aff4"/>
          <w:rFonts w:hint="cs"/>
          <w:vanish/>
        </w:rPr>
        <w:instrText>REF</w:instrText>
      </w:r>
      <w:r w:rsidRPr="00371F95">
        <w:rPr>
          <w:rStyle w:val="aff4"/>
          <w:rFonts w:hint="cs"/>
          <w:vanish/>
          <w:rtl/>
        </w:rPr>
        <w:instrText xml:space="preserve"> _</w:instrText>
      </w:r>
      <w:r w:rsidRPr="00371F95">
        <w:rPr>
          <w:rStyle w:val="aff4"/>
          <w:rFonts w:hint="cs"/>
          <w:vanish/>
        </w:rPr>
        <w:instrText>Ref140423313 \r \h</w:instrText>
      </w:r>
      <w:r w:rsidRPr="00371F95">
        <w:rPr>
          <w:rStyle w:val="aff4"/>
          <w:vanish/>
          <w:rtl/>
        </w:rPr>
        <w:instrText xml:space="preserve">  \* </w:instrText>
      </w:r>
      <w:r w:rsidRPr="00371F95">
        <w:rPr>
          <w:rStyle w:val="aff4"/>
          <w:vanish/>
        </w:rPr>
        <w:instrText>MERGEFORMAT</w:instrText>
      </w:r>
      <w:r w:rsidRPr="00371F95">
        <w:rPr>
          <w:rStyle w:val="aff4"/>
          <w:vanish/>
          <w:rtl/>
        </w:rPr>
        <w:instrText xml:space="preserve"> </w:instrText>
      </w:r>
      <w:r w:rsidRPr="00371F95">
        <w:rPr>
          <w:rStyle w:val="aff4"/>
          <w:vanish/>
          <w:rtl/>
        </w:rPr>
      </w:r>
      <w:r w:rsidRPr="00371F95">
        <w:rPr>
          <w:rStyle w:val="aff4"/>
          <w:vanish/>
          <w:rtl/>
        </w:rPr>
        <w:fldChar w:fldCharType="separate"/>
      </w:r>
      <w:r w:rsidR="00D82181">
        <w:rPr>
          <w:rStyle w:val="aff4"/>
          <w:vanish/>
          <w:cs/>
        </w:rPr>
        <w:t>‎</w:t>
      </w:r>
      <w:r w:rsidR="00D82181">
        <w:rPr>
          <w:rStyle w:val="aff4"/>
          <w:vanish/>
          <w:rtl/>
        </w:rPr>
        <w:t>ד)</w:t>
      </w:r>
      <w:r w:rsidRPr="00371F95">
        <w:rPr>
          <w:rStyle w:val="aff4"/>
          <w:vanish/>
          <w:rtl/>
        </w:rPr>
        <w:fldChar w:fldCharType="end"/>
      </w:r>
      <w:r w:rsidRPr="00371F95">
        <w:rPr>
          <w:rStyle w:val="aff4"/>
          <w:rFonts w:hint="cs"/>
          <w:vanish/>
          <w:rtl/>
        </w:rPr>
        <w:t xml:space="preserve"> &gt;</w:t>
      </w:r>
      <w:r w:rsidRPr="00FA62AB">
        <w:rPr>
          <w:rStyle w:val="aff4"/>
          <w:rFonts w:hint="cs"/>
          <w:rtl/>
        </w:rPr>
        <w:t>רי"ף בעירובין</w:t>
      </w:r>
      <w:r w:rsidRPr="00371F95">
        <w:rPr>
          <w:rStyle w:val="aff4"/>
          <w:rFonts w:hint="cs"/>
          <w:vanish/>
          <w:rtl/>
        </w:rPr>
        <w:t>-</w:t>
      </w:r>
      <w:r>
        <w:rPr>
          <w:rFonts w:hint="cs"/>
          <w:rtl/>
        </w:rPr>
        <w:t xml:space="preserve"> </w:t>
      </w:r>
      <w:r w:rsidRPr="00371F95">
        <w:rPr>
          <w:rStyle w:val="af2"/>
          <w:rFonts w:eastAsia="Guttman Hodes" w:hint="cs"/>
          <w:rtl/>
        </w:rPr>
        <w:t>(לב: מדה"ר, מהדו' עוז והדר עמ' פ"ח)</w:t>
      </w:r>
      <w:r w:rsidRPr="00371F95">
        <w:rPr>
          <w:rFonts w:hint="cs"/>
          <w:vanish/>
          <w:rtl/>
        </w:rPr>
        <w:t>=</w:t>
      </w:r>
      <w:r>
        <w:rPr>
          <w:rFonts w:hint="cs"/>
          <w:rtl/>
        </w:rPr>
        <w:t xml:space="preserve"> דחיוב רוקק בשבת מרה"י לרה"ר הוא דוקא לר"י דמחייב במלאכה שאינה צריכה לגופה, אבל לר"ש דמי למוציא מת דפטור כיון שאין לו צורך להנות מהרוק לאחר שרקק אותו, והוי מלאכה שאינה צריכה לגופה ופטור. </w:t>
      </w:r>
      <w:r w:rsidRPr="00D61C82">
        <w:rPr>
          <w:rStyle w:val="af"/>
          <w:rFonts w:hint="cs"/>
          <w:rtl/>
        </w:rPr>
        <w:t xml:space="preserve">[ועי' במ"ש </w:t>
      </w:r>
      <w:r w:rsidRPr="00D61C82">
        <w:rPr>
          <w:rStyle w:val="aff9"/>
          <w:rFonts w:hint="cs"/>
          <w:vanish/>
          <w:rtl/>
        </w:rPr>
        <w:t>-</w:t>
      </w:r>
      <w:r w:rsidRPr="00D61C82">
        <w:rPr>
          <w:rStyle w:val="aff9"/>
          <w:rFonts w:hint="cs"/>
          <w:rtl/>
        </w:rPr>
        <w:t>ב</w:t>
      </w:r>
      <w:r w:rsidRPr="00D61C82">
        <w:rPr>
          <w:rStyle w:val="aff9"/>
          <w:rFonts w:hint="cs"/>
          <w:vanish/>
          <w:rtl/>
        </w:rPr>
        <w:t>&lt; &gt;</w:t>
      </w:r>
      <w:r w:rsidRPr="00D61C82">
        <w:rPr>
          <w:rStyle w:val="aff9"/>
          <w:rFonts w:hint="cs"/>
          <w:rtl/>
        </w:rPr>
        <w:t>מחצית השקל</w:t>
      </w:r>
      <w:r w:rsidRPr="00D61C82">
        <w:rPr>
          <w:rStyle w:val="aff9"/>
          <w:rFonts w:hint="cs"/>
          <w:vanish/>
          <w:rtl/>
        </w:rPr>
        <w:t>-</w:t>
      </w:r>
      <w:r w:rsidRPr="00D61C82">
        <w:rPr>
          <w:rStyle w:val="af"/>
          <w:rFonts w:hint="cs"/>
          <w:rtl/>
        </w:rPr>
        <w:t xml:space="preserve"> </w:t>
      </w:r>
      <w:r w:rsidRPr="00D61C82">
        <w:rPr>
          <w:rStyle w:val="aff0"/>
          <w:rFonts w:hint="cs"/>
          <w:rtl/>
        </w:rPr>
        <w:t>(סי' ש"ג סקכ"ב)</w:t>
      </w:r>
      <w:r w:rsidRPr="002135F1">
        <w:rPr>
          <w:rStyle w:val="af"/>
          <w:rFonts w:hint="cs"/>
          <w:vanish/>
          <w:rtl/>
        </w:rPr>
        <w:t>=</w:t>
      </w:r>
      <w:r w:rsidRPr="00D61C82">
        <w:rPr>
          <w:rStyle w:val="af"/>
          <w:rFonts w:hint="cs"/>
          <w:rtl/>
        </w:rPr>
        <w:t xml:space="preserve"> דמוציא מת הוי  מלאכה שאינה צריכה לגופה כיון דעיקר המלאכה היא ההוצאה, ואין לו צורך בהוצאה, אלא כוונתו להסיר את המת מלפניו, ואין רצונו להוציא לרה"ר דוקא].</w:t>
      </w:r>
      <w:bookmarkEnd w:id="4110"/>
    </w:p>
    <w:p w14:paraId="2A0A7122" w14:textId="77777777" w:rsidR="00274E65" w:rsidRPr="00747170" w:rsidRDefault="00274E65" w:rsidP="00747170">
      <w:pPr>
        <w:pStyle w:val="a2"/>
      </w:pPr>
      <w:r w:rsidRPr="00747170">
        <w:rPr>
          <w:rtl/>
        </w:rPr>
        <w:t>אמר רב יוסף השתין או רקק בשוגג חייב חטאת ואף על פי שלא עקר מעל גבי מקום ארבעה דאמר רבא זרק לפי הכלב ולפי הכבשן חייב אלמא מחשבתו משויא להו מקום הכא נמי מחשבתו משויא להו מקום והני מילי לרבי יהודה דאמר מלאכה שאינה צריכה לגופה חייב עליה דומיא דהמוציא המת במטה אבל לר' שמעון פטור דהאי רוק אינו צריך ליהנות בו אחר שרקקו:</w:t>
      </w:r>
    </w:p>
    <w:p w14:paraId="6DA2F8F8" w14:textId="77777777" w:rsidR="00274E65" w:rsidRPr="005F2440" w:rsidRDefault="00274E65" w:rsidP="00747170">
      <w:pPr>
        <w:pStyle w:val="afffff5"/>
      </w:pPr>
      <w:r w:rsidRPr="005F2440">
        <w:rPr>
          <w:rtl/>
        </w:rPr>
        <w:t>המוציא מת, דפטור לרבי שמעון כדאיתא דף צ"ג ע"ב, זה מיקרי אינה צריכה לגופה, דעיקר המלאכה הוא ההוצאה, והוא אינו צריך להוצאה כי אם להסיר המת מלפניו, אבל אין רצונו דוקא להוציא המת לרשות הרבים.</w:t>
      </w:r>
    </w:p>
    <w:p w14:paraId="20363735" w14:textId="6A5BCBC2" w:rsidR="00274E65" w:rsidRDefault="00274E65" w:rsidP="00274E65">
      <w:pPr>
        <w:pStyle w:val="affff5"/>
        <w:rPr>
          <w:rtl/>
        </w:rPr>
      </w:pPr>
      <w:bookmarkStart w:id="4111" w:name="_Toc140743934"/>
      <w:r w:rsidRPr="00716C93">
        <w:rPr>
          <w:rFonts w:hint="cs"/>
          <w:rtl/>
        </w:rPr>
        <w:t>~~~~~~~~~~~~~~~~~~~~~~~~~~~~</w:t>
      </w:r>
      <w:bookmarkEnd w:id="4111"/>
    </w:p>
    <w:p w14:paraId="5AF0C27F" w14:textId="77777777" w:rsidR="00274E65" w:rsidRPr="00224A5A" w:rsidRDefault="00274E65" w:rsidP="00274E65">
      <w:pPr>
        <w:pStyle w:val="affff5"/>
        <w:rPr>
          <w:rtl/>
        </w:rPr>
      </w:pPr>
      <w:bookmarkStart w:id="4112" w:name="_Toc140743935"/>
      <w:r w:rsidRPr="00224A5A">
        <w:rPr>
          <w:rFonts w:hint="cs"/>
          <w:rtl/>
        </w:rPr>
        <w:t xml:space="preserve">בי' </w:t>
      </w:r>
      <w:r>
        <w:rPr>
          <w:rFonts w:hint="cs"/>
          <w:rtl/>
        </w:rPr>
        <w:t>הבעה"מ דגדר משאצל"ג דחיית נזק</w:t>
      </w:r>
      <w:bookmarkEnd w:id="4112"/>
    </w:p>
    <w:p w14:paraId="61625E99" w14:textId="77777777" w:rsidR="00274E65" w:rsidRDefault="00274E65" w:rsidP="00274E65">
      <w:pPr>
        <w:pStyle w:val="1"/>
        <w:rPr>
          <w:rtl/>
        </w:rPr>
      </w:pPr>
      <w:bookmarkStart w:id="4113" w:name="_Toc140743936"/>
      <w:r>
        <w:rPr>
          <w:rFonts w:hint="cs"/>
          <w:rtl/>
        </w:rPr>
        <w:t>בי' הבעה"מ דמשאצל"ג היינו שעשה כן לדחות נזק מעליו</w:t>
      </w:r>
      <w:bookmarkEnd w:id="4113"/>
    </w:p>
    <w:p w14:paraId="15D3F2F8" w14:textId="77777777" w:rsidR="00274E65" w:rsidRDefault="00274E65" w:rsidP="00274E65">
      <w:pPr>
        <w:pStyle w:val="afffff7"/>
        <w:rPr>
          <w:rtl/>
        </w:rPr>
      </w:pPr>
      <w:bookmarkStart w:id="4114" w:name="_Toc140744067"/>
      <w:bookmarkStart w:id="4115" w:name="_Toc163506015"/>
      <w:r>
        <w:rPr>
          <w:rFonts w:hint="cs"/>
          <w:rtl/>
        </w:rPr>
        <w:t>המאור</w:t>
      </w:r>
      <w:r>
        <w:rPr>
          <w:rtl/>
        </w:rPr>
        <w:t xml:space="preserve"> שבת </w:t>
      </w:r>
      <w:r>
        <w:rPr>
          <w:rFonts w:hint="cs"/>
          <w:rtl/>
        </w:rPr>
        <w:t>ל"ח ע"א מדה"ר ד"ה נקוט</w:t>
      </w:r>
      <w:bookmarkEnd w:id="4114"/>
      <w:bookmarkEnd w:id="4115"/>
    </w:p>
    <w:p w14:paraId="7F1CD055" w14:textId="77777777" w:rsidR="00274E65" w:rsidRPr="00066AF6" w:rsidRDefault="00274E65" w:rsidP="00274E65">
      <w:pPr>
        <w:pStyle w:val="a7"/>
        <w:rPr>
          <w:rtl/>
        </w:rPr>
      </w:pPr>
      <w:bookmarkStart w:id="4116" w:name="_Toc140743937"/>
      <w:r>
        <w:rPr>
          <w:rFonts w:hint="cs"/>
          <w:rtl/>
        </w:rPr>
        <w:t>בי' הבעה"מ דמשאצל"ג הוא במלאכה דדוחה נזק וכן בגומא כיון דהעפר אינו חלק מהמלאכה</w:t>
      </w:r>
      <w:bookmarkEnd w:id="4116"/>
    </w:p>
    <w:p w14:paraId="0F714E95" w14:textId="3EE2428F" w:rsidR="00274E65" w:rsidRPr="00973986" w:rsidRDefault="00274E65" w:rsidP="00BC7DC8">
      <w:pPr>
        <w:pStyle w:val="a3"/>
      </w:pPr>
      <w:bookmarkStart w:id="4117" w:name="_Ref140678123"/>
      <w:r>
        <w:rPr>
          <w:rFonts w:hint="cs"/>
          <w:rtl/>
        </w:rPr>
        <w:t xml:space="preserve">כתב </w:t>
      </w:r>
      <w:r w:rsidRPr="00944285">
        <w:rPr>
          <w:rStyle w:val="aff4"/>
          <w:rFonts w:hint="cs"/>
          <w:vanish/>
          <w:rtl/>
        </w:rPr>
        <w:t>-</w:t>
      </w:r>
      <w:r w:rsidRPr="0012119D">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Ref140678123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ה)</w:t>
      </w:r>
      <w:r>
        <w:rPr>
          <w:rStyle w:val="aff4"/>
          <w:vanish/>
          <w:rtl/>
        </w:rPr>
        <w:fldChar w:fldCharType="end"/>
      </w:r>
      <w:r>
        <w:rPr>
          <w:rStyle w:val="aff4"/>
          <w:rFonts w:hint="cs"/>
          <w:vanish/>
          <w:rtl/>
        </w:rPr>
        <w:t xml:space="preserve"> &gt;</w:t>
      </w:r>
      <w:r w:rsidRPr="0012119D">
        <w:rPr>
          <w:rStyle w:val="aff4"/>
          <w:rFonts w:hint="cs"/>
          <w:rtl/>
        </w:rPr>
        <w:t>בעה"מ</w:t>
      </w:r>
      <w:r w:rsidRPr="00472125">
        <w:rPr>
          <w:rStyle w:val="aff4"/>
          <w:rFonts w:hint="cs"/>
          <w:vanish/>
          <w:rtl/>
        </w:rPr>
        <w:t>-</w:t>
      </w:r>
      <w:r>
        <w:rPr>
          <w:rFonts w:hint="cs"/>
          <w:rtl/>
        </w:rPr>
        <w:t xml:space="preserve"> </w:t>
      </w:r>
      <w:r w:rsidRPr="00900CB4">
        <w:rPr>
          <w:rStyle w:val="af2"/>
          <w:rFonts w:eastAsia="Guttman Hodes" w:hint="cs"/>
          <w:rtl/>
        </w:rPr>
        <w:t>(לח. מדה"ר</w:t>
      </w:r>
      <w:r w:rsidRPr="00900CB4">
        <w:rPr>
          <w:rStyle w:val="af2"/>
          <w:rFonts w:eastAsia="Guttman Hodes"/>
          <w:rtl/>
        </w:rPr>
        <w:t xml:space="preserve">, מהדו' עוז והדר עמ' ק"ו ד"ה </w:t>
      </w:r>
      <w:r w:rsidRPr="00900CB4">
        <w:rPr>
          <w:rStyle w:val="af2"/>
          <w:rFonts w:eastAsia="Guttman Hodes" w:hint="cs"/>
          <w:rtl/>
        </w:rPr>
        <w:t>נקוט)</w:t>
      </w:r>
      <w:r w:rsidRPr="00944285">
        <w:rPr>
          <w:rFonts w:hint="cs"/>
          <w:vanish/>
          <w:rtl/>
        </w:rPr>
        <w:t>=</w:t>
      </w:r>
      <w:r>
        <w:rPr>
          <w:rFonts w:hint="cs"/>
          <w:rtl/>
        </w:rPr>
        <w:t xml:space="preserve"> דהכלל הוא דמלאכה שהצורך שלה הוא לדחות את הנזק מעושה המלאכה, היא מלאכה שאינה צריכה לגופה, וכן בחופר גומא בשדה וצריך רק לעפרה, דהחרישה היא רק הגומא, ואילו העפר הוא דבר אחר שאינו חלק מהחרישה, ולכן היא מלאכה שאינה צריכה לגופה. </w:t>
      </w:r>
      <w:r w:rsidRPr="00900CB4">
        <w:rPr>
          <w:rStyle w:val="af"/>
          <w:rFonts w:hint="cs"/>
          <w:rtl/>
        </w:rPr>
        <w:t xml:space="preserve">[ועיי"ש במ"ש </w:t>
      </w:r>
      <w:r w:rsidRPr="00900CB4">
        <w:rPr>
          <w:rStyle w:val="aff9"/>
          <w:rFonts w:hint="cs"/>
          <w:vanish/>
          <w:rtl/>
        </w:rPr>
        <w:t>-</w:t>
      </w:r>
      <w:r w:rsidRPr="00900CB4">
        <w:rPr>
          <w:rStyle w:val="aff9"/>
          <w:rFonts w:hint="cs"/>
          <w:rtl/>
        </w:rPr>
        <w:t>הבהע"מ</w:t>
      </w:r>
      <w:r w:rsidRPr="00900CB4">
        <w:rPr>
          <w:rStyle w:val="aff9"/>
          <w:rFonts w:hint="cs"/>
          <w:vanish/>
          <w:rtl/>
        </w:rPr>
        <w:t>-</w:t>
      </w:r>
      <w:r w:rsidRPr="00900CB4">
        <w:rPr>
          <w:rStyle w:val="af"/>
          <w:rFonts w:hint="cs"/>
          <w:rtl/>
        </w:rPr>
        <w:t xml:space="preserve"> בביאור הא דאמרינן "מה לי בישול פתילה וכו'"]</w:t>
      </w:r>
      <w:r w:rsidRPr="002426BB">
        <w:rPr>
          <w:rStyle w:val="af"/>
          <w:rFonts w:hint="cs"/>
          <w:rtl/>
        </w:rPr>
        <w:t>.</w:t>
      </w:r>
      <w:bookmarkEnd w:id="4117"/>
    </w:p>
    <w:p w14:paraId="08E06DCB" w14:textId="77777777" w:rsidR="00274E65" w:rsidRPr="00747170" w:rsidRDefault="00274E65" w:rsidP="00747170">
      <w:pPr>
        <w:pStyle w:val="a2"/>
        <w:rPr>
          <w:rtl/>
        </w:rPr>
      </w:pPr>
      <w:r w:rsidRPr="00747170">
        <w:rPr>
          <w:rtl/>
        </w:rPr>
        <w:t>נקוט האי כללא ביד</w:t>
      </w:r>
      <w:r w:rsidRPr="00747170">
        <w:rPr>
          <w:rFonts w:hint="cs"/>
          <w:rtl/>
        </w:rPr>
        <w:t xml:space="preserve">ך </w:t>
      </w:r>
      <w:r w:rsidRPr="00747170">
        <w:rPr>
          <w:rtl/>
        </w:rPr>
        <w:t>כל מלאכה שהיא צריכה לדחות נזק מן העושה אותה מלאכה שאינה צריכה לגופה היא וכן החופר גומא בשדה ואינו צריך אלא לעפרה אין החרישה אלא הגומא בלבד והעפר כדבר אחר חוץ מן החרישה והויא לה מלאכה שאינה צריכה לגופה שנחלקו בה רבי יהודה ור"ש ולא היה ר' יהודה צריך לטעם שאמרו בגמ' מה לי בישול פתילה מה לי בישול סמנין כי די לנו בתיקון שלנו כביעור עושה הרע מישראל כמוציא המת לקברו אלא כמוסיף טעם הוא ואיידי דאמר מה לי תיקון גברא מה לי תיקון כלי נקיט נמי מה לי בישול פתילה מה לי בישול סמנין</w:t>
      </w:r>
      <w:r w:rsidRPr="00747170">
        <w:rPr>
          <w:rFonts w:hint="cs"/>
          <w:rtl/>
        </w:rPr>
        <w:t>.</w:t>
      </w:r>
    </w:p>
    <w:p w14:paraId="24E0B90C" w14:textId="4F2F1700" w:rsidR="00274E65" w:rsidRDefault="00274E65" w:rsidP="00274E65">
      <w:pPr>
        <w:pStyle w:val="afffff7"/>
        <w:rPr>
          <w:rtl/>
        </w:rPr>
      </w:pPr>
      <w:bookmarkStart w:id="4118" w:name="_Toc140744068"/>
      <w:bookmarkStart w:id="4119" w:name="_Toc163506016"/>
      <w:r>
        <w:rPr>
          <w:rFonts w:hint="cs"/>
          <w:rtl/>
        </w:rPr>
        <w:t>המאור</w:t>
      </w:r>
      <w:r w:rsidRPr="00413806">
        <w:rPr>
          <w:rtl/>
        </w:rPr>
        <w:t xml:space="preserve"> שבת ל"ח ע"א</w:t>
      </w:r>
      <w:r w:rsidRPr="00413806">
        <w:rPr>
          <w:rFonts w:hint="cs"/>
          <w:rtl/>
        </w:rPr>
        <w:t xml:space="preserve"> מדה"ר ד"ה </w:t>
      </w:r>
      <w:r>
        <w:rPr>
          <w:rFonts w:hint="cs"/>
          <w:rtl/>
        </w:rPr>
        <w:t>וחובל</w:t>
      </w:r>
      <w:bookmarkEnd w:id="4118"/>
      <w:bookmarkEnd w:id="4119"/>
    </w:p>
    <w:p w14:paraId="5C27D2F4" w14:textId="77777777" w:rsidR="00274E65" w:rsidRDefault="00274E65" w:rsidP="00274E65">
      <w:pPr>
        <w:pStyle w:val="a7"/>
        <w:rPr>
          <w:rtl/>
        </w:rPr>
      </w:pPr>
      <w:bookmarkStart w:id="4120" w:name="_Toc140743938"/>
      <w:r>
        <w:rPr>
          <w:rFonts w:hint="cs"/>
          <w:rtl/>
        </w:rPr>
        <w:t>בי' הבעה"מ דחובל ומבעיר ובהריגת מזיק וקורע שאין צורך לגופן רק לדחות נזק הוו כחופר גומא</w:t>
      </w:r>
      <w:bookmarkEnd w:id="4120"/>
    </w:p>
    <w:p w14:paraId="7ED4D36C" w14:textId="379F5C00" w:rsidR="00274E65" w:rsidRDefault="00274E65" w:rsidP="00BC7DC8">
      <w:pPr>
        <w:pStyle w:val="a3"/>
        <w:rPr>
          <w:rtl/>
        </w:rPr>
      </w:pPr>
      <w:bookmarkStart w:id="4121" w:name="_Ref140510768"/>
      <w:r>
        <w:rPr>
          <w:rFonts w:hint="cs"/>
          <w:rtl/>
        </w:rPr>
        <w:t>וכתב</w:t>
      </w:r>
      <w:r w:rsidRPr="002025BC">
        <w:rPr>
          <w:rFonts w:hint="cs"/>
          <w:rtl/>
        </w:rPr>
        <w:t xml:space="preserve"> </w:t>
      </w:r>
      <w:r w:rsidRPr="004A05F5">
        <w:rPr>
          <w:rStyle w:val="aff4"/>
          <w:rFonts w:hint="cs"/>
          <w:vanish/>
          <w:rtl/>
        </w:rPr>
        <w:t>-</w:t>
      </w:r>
      <w:r w:rsidRPr="00472125">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Ref140510768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ו)</w:t>
      </w:r>
      <w:r>
        <w:rPr>
          <w:rStyle w:val="aff4"/>
          <w:vanish/>
          <w:rtl/>
        </w:rPr>
        <w:fldChar w:fldCharType="end"/>
      </w:r>
      <w:r>
        <w:rPr>
          <w:rStyle w:val="aff4"/>
          <w:rFonts w:hint="cs"/>
          <w:vanish/>
          <w:rtl/>
        </w:rPr>
        <w:t xml:space="preserve"> &gt;</w:t>
      </w:r>
      <w:r w:rsidRPr="00472125">
        <w:rPr>
          <w:rStyle w:val="aff4"/>
          <w:rFonts w:hint="cs"/>
          <w:rtl/>
        </w:rPr>
        <w:t>בהע"מ</w:t>
      </w:r>
      <w:r w:rsidRPr="004A05F5">
        <w:rPr>
          <w:rStyle w:val="aff4"/>
          <w:rFonts w:hint="cs"/>
          <w:vanish/>
          <w:rtl/>
        </w:rPr>
        <w:t>-</w:t>
      </w:r>
      <w:r w:rsidRPr="0012119D">
        <w:rPr>
          <w:rStyle w:val="aff4"/>
          <w:rFonts w:hint="cs"/>
          <w:rtl/>
        </w:rPr>
        <w:t xml:space="preserve"> </w:t>
      </w:r>
      <w:r w:rsidRPr="004A05F5">
        <w:rPr>
          <w:rStyle w:val="af2"/>
          <w:rFonts w:eastAsia="Guttman Hodes" w:hint="cs"/>
          <w:rtl/>
        </w:rPr>
        <w:t>(לח. מדה"ר ד"ה כל מלאכה, מהדו' עוז והדר עמ' ק"</w:t>
      </w:r>
      <w:r>
        <w:rPr>
          <w:rStyle w:val="af2"/>
          <w:rFonts w:eastAsia="Guttman Hodes" w:hint="cs"/>
          <w:rtl/>
        </w:rPr>
        <w:t>ז</w:t>
      </w:r>
      <w:r w:rsidRPr="004A05F5">
        <w:rPr>
          <w:rStyle w:val="af2"/>
          <w:rFonts w:eastAsia="Guttman Hodes" w:hint="cs"/>
          <w:rtl/>
        </w:rPr>
        <w:t xml:space="preserve"> ד"ה </w:t>
      </w:r>
      <w:r>
        <w:rPr>
          <w:rStyle w:val="af2"/>
          <w:rFonts w:eastAsia="Guttman Hodes" w:hint="cs"/>
          <w:rtl/>
        </w:rPr>
        <w:t>וחובל</w:t>
      </w:r>
      <w:r w:rsidRPr="004A05F5">
        <w:rPr>
          <w:rStyle w:val="af2"/>
          <w:rFonts w:eastAsia="Guttman Hodes" w:hint="cs"/>
          <w:rtl/>
        </w:rPr>
        <w:t>)</w:t>
      </w:r>
      <w:r w:rsidRPr="004A05F5">
        <w:rPr>
          <w:rStyle w:val="aff4"/>
          <w:rFonts w:hint="cs"/>
          <w:vanish/>
          <w:rtl/>
        </w:rPr>
        <w:t>=</w:t>
      </w:r>
      <w:r w:rsidRPr="0012119D">
        <w:rPr>
          <w:rStyle w:val="aff4"/>
          <w:rFonts w:hint="cs"/>
          <w:rtl/>
        </w:rPr>
        <w:t xml:space="preserve"> </w:t>
      </w:r>
      <w:r>
        <w:rPr>
          <w:rFonts w:hint="cs"/>
          <w:rtl/>
        </w:rPr>
        <w:t xml:space="preserve">דבחובל ומבעיר שהצורך בהם הוא לדחות את הנזק מעליו, הוי מלאכה שאינה צריכה לגופה דנחלקו בה ר"י ור"ש, וזה הביאור במחלקותם לקמן </w:t>
      </w:r>
      <w:r w:rsidRPr="00900CB4">
        <w:rPr>
          <w:rStyle w:val="af2"/>
          <w:rFonts w:eastAsia="Guttman Hodes" w:hint="cs"/>
          <w:rtl/>
        </w:rPr>
        <w:t>(קכא:)</w:t>
      </w:r>
      <w:r>
        <w:rPr>
          <w:rFonts w:hint="cs"/>
          <w:rtl/>
        </w:rPr>
        <w:t xml:space="preserve"> לענין הריגת מזיקין, וכן בהא דאיתא לקמן </w:t>
      </w:r>
      <w:r w:rsidRPr="00900CB4">
        <w:rPr>
          <w:rStyle w:val="af2"/>
          <w:rFonts w:eastAsia="Guttman Hodes" w:hint="cs"/>
          <w:rtl/>
        </w:rPr>
        <w:t>(קה:)</w:t>
      </w:r>
      <w:r>
        <w:rPr>
          <w:rFonts w:hint="cs"/>
          <w:rtl/>
        </w:rPr>
        <w:t xml:space="preserve"> דהקורע על מתו והשובר כלים למירמי אימתא אאנשי דביתיה, דהוא כחופר גומא בשדה וא"צ אלא לעפרה, דאין לו צורך בעיקר המלאכה.</w:t>
      </w:r>
      <w:bookmarkEnd w:id="4121"/>
    </w:p>
    <w:p w14:paraId="45BFCEF2" w14:textId="77777777" w:rsidR="00274E65" w:rsidRPr="00747170" w:rsidRDefault="00274E65" w:rsidP="00747170">
      <w:pPr>
        <w:pStyle w:val="a2"/>
      </w:pPr>
      <w:r w:rsidRPr="00747170">
        <w:rPr>
          <w:rtl/>
        </w:rPr>
        <w:t>וחובל ומבעיר שאינו צריך לגופן אלא לדחות נזק מעליו פלוגתא דר' יהודה ור"ש היא דהיינו מלאכה שאינה צריכה לגופה וזו היא שנחלקו בה בהריגת המזיקין בשבת בפ' כל כתבי הקדש וכן הקורע בחמתו למירמא אימתא אאינשי ביתיה הרי הוא כחופר גומא בשדה ואינו צריך אלא לעפרה שאין הצורך בעיקר המלאכה ופלוגתא דר' יהודה ור"ש היא.</w:t>
      </w:r>
    </w:p>
    <w:p w14:paraId="6A72E55D" w14:textId="62A406FB" w:rsidR="00274E65" w:rsidRDefault="00274E65" w:rsidP="00274E65">
      <w:pPr>
        <w:pStyle w:val="a7"/>
        <w:rPr>
          <w:rtl/>
        </w:rPr>
      </w:pPr>
      <w:bookmarkStart w:id="4122" w:name="_Toc140743939"/>
      <w:r>
        <w:rPr>
          <w:rFonts w:hint="cs"/>
          <w:rtl/>
        </w:rPr>
        <w:t>בי' הבעה"מ דלבבלי מוציא מת משום ריח רע פטור ולירושלמי חייב דהעמיד במת נכרי בלא ריח</w:t>
      </w:r>
      <w:bookmarkEnd w:id="4122"/>
    </w:p>
    <w:p w14:paraId="54D61D9D" w14:textId="4E249A42" w:rsidR="00274E65" w:rsidRPr="00E82B94" w:rsidRDefault="00274E65" w:rsidP="00BC7DC8">
      <w:pPr>
        <w:pStyle w:val="a3"/>
        <w:rPr>
          <w:rtl/>
        </w:rPr>
      </w:pPr>
      <w:bookmarkStart w:id="4123" w:name="_Ref140682130"/>
      <w:r>
        <w:rPr>
          <w:rFonts w:hint="cs"/>
          <w:rtl/>
        </w:rPr>
        <w:t xml:space="preserve">וכתב </w:t>
      </w:r>
      <w:r w:rsidRPr="00900CB4">
        <w:rPr>
          <w:rStyle w:val="aff4"/>
          <w:rFonts w:hint="cs"/>
          <w:vanish/>
          <w:rtl/>
        </w:rPr>
        <w:t>-</w:t>
      </w:r>
      <w:r w:rsidRPr="008231D6">
        <w:rPr>
          <w:rStyle w:val="aff4"/>
          <w:rFonts w:hint="cs"/>
          <w:rtl/>
        </w:rPr>
        <w:t>הבעה"מ</w:t>
      </w:r>
      <w:r w:rsidRPr="00900CB4">
        <w:rPr>
          <w:rStyle w:val="aff4"/>
          <w:rFonts w:hint="cs"/>
          <w:vanish/>
          <w:rtl/>
        </w:rPr>
        <w:t>-</w:t>
      </w:r>
      <w:r>
        <w:rPr>
          <w:rFonts w:hint="cs"/>
          <w:rtl/>
        </w:rPr>
        <w:t xml:space="preserve"> דהמוציא מת משום ריח רע פטור, והא דתני בברייתא </w:t>
      </w:r>
      <w:r w:rsidRPr="00412EBB">
        <w:rPr>
          <w:rStyle w:val="af2"/>
          <w:rFonts w:eastAsia="Guttman Hodes" w:hint="cs"/>
          <w:rtl/>
        </w:rPr>
        <w:t>(צ.)</w:t>
      </w:r>
      <w:r>
        <w:rPr>
          <w:rFonts w:hint="cs"/>
          <w:rtl/>
        </w:rPr>
        <w:t xml:space="preserve"> דהמוציא ריח רע כל שהוא חייב, צ"ל דאיירי במוציא ריח רע לרפואה, </w:t>
      </w:r>
      <w:r w:rsidRPr="00900CB4">
        <w:rPr>
          <w:rStyle w:val="af"/>
          <w:rFonts w:hint="cs"/>
          <w:rtl/>
        </w:rPr>
        <w:t>[ולא כשרוצה לדחות ממנו את הריח</w:t>
      </w:r>
      <w:r>
        <w:rPr>
          <w:rStyle w:val="af"/>
          <w:rFonts w:hint="cs"/>
          <w:rtl/>
        </w:rPr>
        <w:t xml:space="preserve">, וכן ביאר שם </w:t>
      </w:r>
      <w:r w:rsidRPr="00DE3A6F">
        <w:rPr>
          <w:rStyle w:val="aff9"/>
          <w:rFonts w:hint="cs"/>
          <w:vanish/>
          <w:rtl/>
        </w:rPr>
        <w:t>-</w:t>
      </w:r>
      <w:r w:rsidRPr="00DE3A6F">
        <w:rPr>
          <w:rStyle w:val="aff9"/>
          <w:rFonts w:hint="cs"/>
          <w:rtl/>
        </w:rPr>
        <w:t>רש"י</w:t>
      </w:r>
      <w:r w:rsidRPr="00DE3A6F">
        <w:rPr>
          <w:rStyle w:val="aff9"/>
          <w:rFonts w:hint="cs"/>
          <w:vanish/>
          <w:rtl/>
        </w:rPr>
        <w:t>-</w:t>
      </w:r>
      <w:r>
        <w:rPr>
          <w:rStyle w:val="af"/>
          <w:rFonts w:hint="cs"/>
          <w:rtl/>
        </w:rPr>
        <w:t xml:space="preserve"> </w:t>
      </w:r>
      <w:r w:rsidRPr="00DE3A6F">
        <w:rPr>
          <w:rStyle w:val="aff0"/>
          <w:rFonts w:hint="cs"/>
          <w:rtl/>
        </w:rPr>
        <w:t>(צ. ד"ה ריח)</w:t>
      </w:r>
      <w:r w:rsidRPr="00DE3A6F">
        <w:rPr>
          <w:rStyle w:val="af"/>
          <w:rFonts w:hint="cs"/>
          <w:rtl/>
        </w:rPr>
        <w:t>],</w:t>
      </w:r>
      <w:r>
        <w:rPr>
          <w:rFonts w:hint="cs"/>
          <w:rtl/>
        </w:rPr>
        <w:t xml:space="preserve"> אבל בירושלמי </w:t>
      </w:r>
      <w:r w:rsidRPr="00900CB4">
        <w:rPr>
          <w:rStyle w:val="af2"/>
          <w:rFonts w:eastAsia="Guttman Hodes"/>
          <w:rtl/>
        </w:rPr>
        <w:t>(פ"י ה"ה, סג:)</w:t>
      </w:r>
      <w:r w:rsidRPr="00E82B94">
        <w:rPr>
          <w:rtl/>
        </w:rPr>
        <w:t xml:space="preserve"> </w:t>
      </w:r>
      <w:r>
        <w:rPr>
          <w:rFonts w:hint="cs"/>
          <w:rtl/>
        </w:rPr>
        <w:t xml:space="preserve">מבואר דלא כבבלי, </w:t>
      </w:r>
      <w:r w:rsidRPr="00E82B94">
        <w:rPr>
          <w:rtl/>
        </w:rPr>
        <w:t xml:space="preserve">דלכו"ע בריח רע כל שהוא חייב, ואמר ר' אילא דאף ר"ש מודה </w:t>
      </w:r>
      <w:r>
        <w:rPr>
          <w:rFonts w:hint="cs"/>
          <w:rtl/>
        </w:rPr>
        <w:t xml:space="preserve">באיסורי הנאה, ואמר רבי יודן דהפטור במוציא מת הוא רק במת נכרי כשאין ממנו ריח רע, ומוציאו לכלבו, והביא </w:t>
      </w:r>
      <w:r w:rsidRPr="00900CB4">
        <w:rPr>
          <w:rStyle w:val="aff4"/>
          <w:rFonts w:hint="cs"/>
          <w:vanish/>
          <w:rtl/>
        </w:rPr>
        <w:t>-</w:t>
      </w:r>
      <w:r w:rsidRPr="008231D6">
        <w:rPr>
          <w:rStyle w:val="aff4"/>
          <w:rFonts w:hint="cs"/>
          <w:rtl/>
        </w:rPr>
        <w:t>הבעה"מ</w:t>
      </w:r>
      <w:r w:rsidRPr="00900CB4">
        <w:rPr>
          <w:rStyle w:val="aff4"/>
          <w:rFonts w:hint="cs"/>
          <w:vanish/>
          <w:rtl/>
        </w:rPr>
        <w:t>-</w:t>
      </w:r>
      <w:r>
        <w:rPr>
          <w:rFonts w:hint="cs"/>
          <w:rtl/>
        </w:rPr>
        <w:t xml:space="preserve"> בשם </w:t>
      </w:r>
      <w:r w:rsidRPr="00900CB4">
        <w:rPr>
          <w:rStyle w:val="aff4"/>
          <w:rFonts w:hint="cs"/>
          <w:vanish/>
          <w:rtl/>
        </w:rPr>
        <w:t>-</w:t>
      </w:r>
      <w:r w:rsidRPr="008231D6">
        <w:rPr>
          <w:rStyle w:val="aff4"/>
          <w:rFonts w:hint="cs"/>
          <w:rtl/>
        </w:rPr>
        <w:t>רב האי גאון ורבינו ניסים גאון</w:t>
      </w:r>
      <w:r w:rsidRPr="00900CB4">
        <w:rPr>
          <w:rStyle w:val="aff4"/>
          <w:rFonts w:hint="cs"/>
          <w:vanish/>
          <w:rtl/>
        </w:rPr>
        <w:t>-</w:t>
      </w:r>
      <w:r>
        <w:rPr>
          <w:rFonts w:hint="cs"/>
          <w:rtl/>
        </w:rPr>
        <w:t xml:space="preserve"> </w:t>
      </w:r>
      <w:r w:rsidRPr="00900CB4">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Ref140682808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ג)</w:t>
      </w:r>
      <w:r>
        <w:rPr>
          <w:rStyle w:val="af2"/>
          <w:rFonts w:eastAsia="Guttman Hodes"/>
          <w:rtl/>
        </w:rPr>
        <w:fldChar w:fldCharType="end"/>
      </w:r>
      <w:r>
        <w:rPr>
          <w:rFonts w:hint="cs"/>
          <w:rtl/>
        </w:rPr>
        <w:t xml:space="preserve"> דכתבו להיפך, וכתב </w:t>
      </w:r>
      <w:r w:rsidRPr="00900CB4">
        <w:rPr>
          <w:rStyle w:val="aff4"/>
          <w:rFonts w:hint="cs"/>
          <w:vanish/>
          <w:rtl/>
        </w:rPr>
        <w:t>-</w:t>
      </w:r>
      <w:r w:rsidRPr="008231D6">
        <w:rPr>
          <w:rStyle w:val="aff4"/>
          <w:rFonts w:hint="cs"/>
          <w:rtl/>
        </w:rPr>
        <w:t>הבעה"מ</w:t>
      </w:r>
      <w:r w:rsidRPr="00900CB4">
        <w:rPr>
          <w:rStyle w:val="aff4"/>
          <w:rFonts w:hint="cs"/>
          <w:vanish/>
          <w:rtl/>
        </w:rPr>
        <w:t>-</w:t>
      </w:r>
      <w:r>
        <w:rPr>
          <w:rFonts w:hint="cs"/>
          <w:rtl/>
        </w:rPr>
        <w:t xml:space="preserve"> דנראה דלבבלי מוציא משום ריח רע פטור.</w:t>
      </w:r>
      <w:bookmarkEnd w:id="4123"/>
    </w:p>
    <w:p w14:paraId="353B0167" w14:textId="77777777" w:rsidR="00274E65" w:rsidRPr="00747170" w:rsidRDefault="00274E65" w:rsidP="00747170">
      <w:pPr>
        <w:pStyle w:val="a2"/>
        <w:rPr>
          <w:rtl/>
        </w:rPr>
      </w:pPr>
      <w:r w:rsidRPr="00747170">
        <w:rPr>
          <w:rtl/>
        </w:rPr>
        <w:t xml:space="preserve">והא דת"ר המוציא ריח רע כל שהוא יש לפרשה בצריך לרפואה לגמר בריח רע והרבה עושין כן ובירושלמי נמצאו דברים שלא על דרך התלמוד שלנו ולא על דרך הפירוש שלנו שפירשנו והכן גרסינן התם את המת במטה חייב דברי הכל לא כן תאני אף ריח רע כל שהוא ואמר רבי אילא אף ר"ש מודה באיסורי הנאה רבי יודן אמר תפתר במת נכרי ושאין בו ריח ושהוציאו לכלבו וגם לרבינו האי ולרבינו נסים ז"ל מצאנו בדברים הללו בחילוף דברינו ואין לנו אלא מה שדעתנו נוטה לו לפי תלמודנו וכפי שכתבנו </w:t>
      </w:r>
      <w:r w:rsidRPr="00747170">
        <w:rPr>
          <w:rStyle w:val="afff7"/>
          <w:rtl/>
        </w:rPr>
        <w:t>ובמדרש הגדה מצאתי טעם לדברי ר' יהודה דחשיב ליה תיקון גברא במילה כבכורה בתאנה בראשיתה ראיתי אבותיכם מה תאנה זו אין בה פסול אלא העוקץ בלבד כך האבות לא היה בהן פסול אלא הערלה בלבד. סליק פירקא.</w:t>
      </w:r>
    </w:p>
    <w:p w14:paraId="33B19F71" w14:textId="7FDA0F9F" w:rsidR="00274E65" w:rsidRDefault="00274E65" w:rsidP="00274E65">
      <w:pPr>
        <w:pStyle w:val="1"/>
        <w:rPr>
          <w:rtl/>
        </w:rPr>
      </w:pPr>
      <w:bookmarkStart w:id="4124" w:name="_Toc140743940"/>
      <w:r>
        <w:rPr>
          <w:rFonts w:hint="cs"/>
          <w:rtl/>
        </w:rPr>
        <w:t>קו' המרכה"מ בבעה"מ דהרבה מלאכות הם הסרת דבר וצל"ג</w:t>
      </w:r>
      <w:bookmarkEnd w:id="4124"/>
    </w:p>
    <w:p w14:paraId="403E6F6B" w14:textId="77777777" w:rsidR="00274E65" w:rsidRDefault="00274E65" w:rsidP="00274E65">
      <w:pPr>
        <w:pStyle w:val="afffff7"/>
        <w:rPr>
          <w:rtl/>
        </w:rPr>
      </w:pPr>
      <w:bookmarkStart w:id="4125" w:name="_Toc140744069"/>
      <w:bookmarkStart w:id="4126" w:name="_Toc163506017"/>
      <w:r w:rsidRPr="00ED2A38">
        <w:rPr>
          <w:rtl/>
        </w:rPr>
        <w:t>מרכבת המשנה שבת פ"א ה"א</w:t>
      </w:r>
      <w:r w:rsidRPr="00ED2A38">
        <w:rPr>
          <w:rFonts w:hint="cs"/>
          <w:rtl/>
        </w:rPr>
        <w:t xml:space="preserve"> ד"ה </w:t>
      </w:r>
      <w:r>
        <w:rPr>
          <w:rFonts w:hint="cs"/>
          <w:rtl/>
        </w:rPr>
        <w:t>והיוצא מדבריו</w:t>
      </w:r>
      <w:bookmarkEnd w:id="4125"/>
      <w:bookmarkEnd w:id="4126"/>
    </w:p>
    <w:p w14:paraId="36452CA5" w14:textId="77777777" w:rsidR="00274E65" w:rsidRDefault="00274E65" w:rsidP="00274E65">
      <w:pPr>
        <w:pStyle w:val="a7"/>
        <w:rPr>
          <w:rtl/>
        </w:rPr>
      </w:pPr>
      <w:bookmarkStart w:id="4127" w:name="_Toc140743941"/>
      <w:r>
        <w:rPr>
          <w:rFonts w:hint="cs"/>
          <w:rtl/>
        </w:rPr>
        <w:t>בי' המרכה"מ בבעה"מ דמשאצל"ג או בדוחה מעליו או בגומא דא"צ לעצם המלאכה אלא לד"א</w:t>
      </w:r>
      <w:bookmarkEnd w:id="4127"/>
    </w:p>
    <w:p w14:paraId="16CE8871" w14:textId="5CE4ECD2" w:rsidR="00274E65" w:rsidRDefault="00274E65" w:rsidP="00BC7DC8">
      <w:pPr>
        <w:pStyle w:val="a3"/>
      </w:pPr>
      <w:bookmarkStart w:id="4128" w:name="_Ref140354115"/>
      <w:r>
        <w:rPr>
          <w:rFonts w:hint="cs"/>
          <w:rtl/>
        </w:rPr>
        <w:t xml:space="preserve">וכתב </w:t>
      </w:r>
      <w:r w:rsidRPr="00900CB4">
        <w:rPr>
          <w:rStyle w:val="aff4"/>
          <w:rFonts w:hint="cs"/>
          <w:vanish/>
          <w:rtl/>
        </w:rPr>
        <w:t>-</w:t>
      </w:r>
      <w:r w:rsidRPr="008231D6">
        <w:rPr>
          <w:rStyle w:val="aff4"/>
          <w:rFonts w:hint="cs"/>
          <w:rtl/>
        </w:rPr>
        <w:t>ה</w:t>
      </w:r>
      <w:r w:rsidRPr="00900CB4">
        <w:rPr>
          <w:rStyle w:val="aff4"/>
          <w:rFonts w:hint="cs"/>
          <w:vanish/>
          <w:rtl/>
        </w:rPr>
        <w:t xml:space="preserve">&lt;, </w:t>
      </w:r>
      <w:r w:rsidRPr="00900CB4">
        <w:rPr>
          <w:rStyle w:val="aff4"/>
          <w:vanish/>
          <w:rtl/>
        </w:rPr>
        <w:fldChar w:fldCharType="begin"/>
      </w:r>
      <w:r w:rsidRPr="00900CB4">
        <w:rPr>
          <w:rStyle w:val="aff4"/>
          <w:vanish/>
          <w:rtl/>
        </w:rPr>
        <w:instrText xml:space="preserve"> </w:instrText>
      </w:r>
      <w:r w:rsidRPr="00900CB4">
        <w:rPr>
          <w:rStyle w:val="aff4"/>
          <w:rFonts w:hint="cs"/>
          <w:vanish/>
        </w:rPr>
        <w:instrText>REF</w:instrText>
      </w:r>
      <w:r w:rsidRPr="00900CB4">
        <w:rPr>
          <w:rStyle w:val="aff4"/>
          <w:rFonts w:hint="cs"/>
          <w:vanish/>
          <w:rtl/>
        </w:rPr>
        <w:instrText xml:space="preserve"> _</w:instrText>
      </w:r>
      <w:r w:rsidRPr="00900CB4">
        <w:rPr>
          <w:rStyle w:val="aff4"/>
          <w:rFonts w:hint="cs"/>
          <w:vanish/>
        </w:rPr>
        <w:instrText>Ref140354115 \r \h</w:instrText>
      </w:r>
      <w:r w:rsidRPr="00900CB4">
        <w:rPr>
          <w:rStyle w:val="aff4"/>
          <w:vanish/>
          <w:rtl/>
        </w:rPr>
        <w:instrText xml:space="preserve"> </w:instrText>
      </w:r>
      <w:r>
        <w:rPr>
          <w:rStyle w:val="aff4"/>
          <w:vanish/>
          <w:rtl/>
        </w:rPr>
        <w:instrText xml:space="preserve"> \* </w:instrText>
      </w:r>
      <w:r>
        <w:rPr>
          <w:rStyle w:val="aff4"/>
          <w:vanish/>
        </w:rPr>
        <w:instrText>MERGEFORMAT</w:instrText>
      </w:r>
      <w:r>
        <w:rPr>
          <w:rStyle w:val="aff4"/>
          <w:vanish/>
          <w:rtl/>
        </w:rPr>
        <w:instrText xml:space="preserve"> </w:instrText>
      </w:r>
      <w:r w:rsidRPr="00900CB4">
        <w:rPr>
          <w:rStyle w:val="aff4"/>
          <w:vanish/>
          <w:rtl/>
        </w:rPr>
      </w:r>
      <w:r w:rsidRPr="00900CB4">
        <w:rPr>
          <w:rStyle w:val="aff4"/>
          <w:vanish/>
          <w:rtl/>
        </w:rPr>
        <w:fldChar w:fldCharType="separate"/>
      </w:r>
      <w:r w:rsidR="00D82181">
        <w:rPr>
          <w:rStyle w:val="aff4"/>
          <w:vanish/>
          <w:cs/>
        </w:rPr>
        <w:t>‎</w:t>
      </w:r>
      <w:r w:rsidR="00D82181">
        <w:rPr>
          <w:rStyle w:val="aff4"/>
          <w:vanish/>
          <w:rtl/>
        </w:rPr>
        <w:t>ח)</w:t>
      </w:r>
      <w:r w:rsidRPr="00900CB4">
        <w:rPr>
          <w:rStyle w:val="aff4"/>
          <w:vanish/>
          <w:rtl/>
        </w:rPr>
        <w:fldChar w:fldCharType="end"/>
      </w:r>
      <w:r w:rsidRPr="00900CB4">
        <w:rPr>
          <w:rStyle w:val="aff4"/>
          <w:rFonts w:hint="cs"/>
          <w:vanish/>
          <w:rtl/>
        </w:rPr>
        <w:t xml:space="preserve"> &gt;</w:t>
      </w:r>
      <w:r w:rsidRPr="008231D6">
        <w:rPr>
          <w:rStyle w:val="aff4"/>
          <w:rtl/>
        </w:rPr>
        <w:t>מרכבת המשנה</w:t>
      </w:r>
      <w:r w:rsidRPr="00900CB4">
        <w:rPr>
          <w:rStyle w:val="aff4"/>
          <w:rFonts w:hint="cs"/>
          <w:vanish/>
          <w:rtl/>
        </w:rPr>
        <w:t>-</w:t>
      </w:r>
      <w:r>
        <w:rPr>
          <w:rFonts w:hint="cs"/>
          <w:rtl/>
        </w:rPr>
        <w:t xml:space="preserve"> </w:t>
      </w:r>
      <w:r w:rsidRPr="00900CB4">
        <w:rPr>
          <w:rStyle w:val="af2"/>
          <w:rFonts w:eastAsia="Guttman Hodes" w:hint="cs"/>
          <w:rtl/>
        </w:rPr>
        <w:t>(</w:t>
      </w:r>
      <w:r w:rsidRPr="00900CB4">
        <w:rPr>
          <w:rStyle w:val="af2"/>
          <w:rFonts w:eastAsia="Guttman Hodes"/>
          <w:rtl/>
        </w:rPr>
        <w:t>פ"א ה"א ד"ה ומה שנראה</w:t>
      </w:r>
      <w:r w:rsidRPr="00900CB4">
        <w:rPr>
          <w:rStyle w:val="af2"/>
          <w:rFonts w:eastAsia="Guttman Hodes" w:hint="cs"/>
          <w:rtl/>
        </w:rPr>
        <w:t>)</w:t>
      </w:r>
      <w:r w:rsidRPr="00900CB4">
        <w:rPr>
          <w:rFonts w:hint="cs"/>
          <w:vanish/>
          <w:rtl/>
        </w:rPr>
        <w:t>=</w:t>
      </w:r>
      <w:r>
        <w:rPr>
          <w:rFonts w:hint="cs"/>
          <w:rtl/>
        </w:rPr>
        <w:t xml:space="preserve"> דמבואר מדברי </w:t>
      </w:r>
      <w:r w:rsidRPr="00900CB4">
        <w:rPr>
          <w:rStyle w:val="aff4"/>
          <w:rFonts w:hint="cs"/>
          <w:vanish/>
          <w:rtl/>
        </w:rPr>
        <w:t>-</w:t>
      </w:r>
      <w:r w:rsidRPr="008231D6">
        <w:rPr>
          <w:rStyle w:val="aff4"/>
          <w:rFonts w:hint="cs"/>
          <w:rtl/>
        </w:rPr>
        <w:t>הבעה"מ</w:t>
      </w:r>
      <w:r w:rsidRPr="00900CB4">
        <w:rPr>
          <w:rStyle w:val="aff4"/>
          <w:rFonts w:hint="cs"/>
          <w:vanish/>
          <w:rtl/>
        </w:rPr>
        <w:t>-</w:t>
      </w:r>
      <w:r>
        <w:rPr>
          <w:rFonts w:hint="cs"/>
          <w:rtl/>
        </w:rPr>
        <w:t xml:space="preserve"> </w:t>
      </w:r>
      <w:r w:rsidRPr="00900CB4">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Ref140678123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ה)</w:t>
      </w:r>
      <w:r>
        <w:rPr>
          <w:rStyle w:val="af2"/>
          <w:rFonts w:eastAsia="Guttman Hodes"/>
          <w:rtl/>
        </w:rPr>
        <w:fldChar w:fldCharType="end"/>
      </w:r>
      <w:r>
        <w:rPr>
          <w:rFonts w:hint="cs"/>
          <w:rtl/>
        </w:rPr>
        <w:t xml:space="preserve"> דבכל דבר שאין לו בו צורך ורוצה לדחותו מעליו, אף שיש לו בזה תיקון אחר, הוי מלאכה שאינה צריכה לגופה, וזהו הטעם במוציא מת והריגת מזיקין וחס על הפתילה, והא דחופר גומא וקורע למירמי אימתא הוי מלאכה שאינה צריכה לגופה, הוא אף שאין </w:t>
      </w:r>
      <w:r>
        <w:rPr>
          <w:rFonts w:hint="cs"/>
          <w:rtl/>
        </w:rPr>
        <w:lastRenderedPageBreak/>
        <w:t>כוונתו לדחותם מעליו, מ"מ כיון שאין לו צורך בעצם המלאכה, והצורך הוא בדבר אחר דמי למוציא מת.</w:t>
      </w:r>
      <w:bookmarkEnd w:id="4128"/>
    </w:p>
    <w:p w14:paraId="0C550A01" w14:textId="77777777" w:rsidR="00274E65" w:rsidRPr="00747170" w:rsidRDefault="00274E65" w:rsidP="00747170">
      <w:pPr>
        <w:pStyle w:val="a2"/>
        <w:rPr>
          <w:rtl/>
        </w:rPr>
      </w:pPr>
      <w:r w:rsidRPr="00747170">
        <w:rPr>
          <w:rtl/>
        </w:rPr>
        <w:t>והיוצא מדבריו דכל דבר שהוא לדחות דבר שאינו צריך לו אף על פי שבא מחמת זה תיקון כמו מוציא המת והריגת המזיקין וחס על הפתילה מקרי משאצל"ג. אמנם חופר גומא וקורע למרמי אימתא שאין כוונתו לדחות מעליו אפ"ה הו"ל משאצל"ג הואיל שאין צריך למלאכה עצמה אלא לדבר אחר ודמי למוציא המת שאיננו צריך למלאכה שהיא הוצאת המת אלא לדבר אחר וגבי כבוי איננו צריך לחלק הפתילה שנכבית אלא לדבר אחר הפתילה הנשארת דמה שהוא בחופר גומא המלאכה הוא בהנך דבר אחר וכמ"ש לעיל בדומה לזה עיין שם</w:t>
      </w:r>
      <w:r w:rsidRPr="00747170">
        <w:rPr>
          <w:rFonts w:hint="cs"/>
          <w:rtl/>
        </w:rPr>
        <w:t>.</w:t>
      </w:r>
    </w:p>
    <w:p w14:paraId="356D8F9F" w14:textId="4587D58D" w:rsidR="00274E65" w:rsidRPr="003B6384" w:rsidRDefault="00274E65" w:rsidP="00274E65">
      <w:pPr>
        <w:pStyle w:val="a7"/>
      </w:pPr>
      <w:bookmarkStart w:id="4129" w:name="_Toc140743942"/>
      <w:r>
        <w:rPr>
          <w:rFonts w:hint="cs"/>
          <w:rtl/>
        </w:rPr>
        <w:t>בי' המרכה"מ בבעה"מ דמורסא וקורע ע"מ לתפור ונפלה דרנא ל"ה דחייה והמלאכה היא תיקון</w:t>
      </w:r>
      <w:bookmarkEnd w:id="4129"/>
    </w:p>
    <w:p w14:paraId="472B96A3" w14:textId="77777777" w:rsidR="00274E65" w:rsidRPr="000D1D40" w:rsidRDefault="00274E65" w:rsidP="00BC7DC8">
      <w:pPr>
        <w:pStyle w:val="a3"/>
        <w:rPr>
          <w:rtl/>
        </w:rPr>
      </w:pPr>
      <w:r>
        <w:rPr>
          <w:rFonts w:hint="cs"/>
          <w:rtl/>
        </w:rPr>
        <w:t xml:space="preserve">וכתב </w:t>
      </w:r>
      <w:r w:rsidRPr="00900CB4">
        <w:rPr>
          <w:rStyle w:val="aff4"/>
          <w:rFonts w:hint="cs"/>
          <w:vanish/>
          <w:rtl/>
        </w:rPr>
        <w:t>-</w:t>
      </w:r>
      <w:r w:rsidRPr="008231D6">
        <w:rPr>
          <w:rStyle w:val="aff4"/>
          <w:rFonts w:hint="cs"/>
          <w:rtl/>
        </w:rPr>
        <w:t>המרכבת המשנה</w:t>
      </w:r>
      <w:r w:rsidRPr="00900CB4">
        <w:rPr>
          <w:rStyle w:val="aff4"/>
          <w:rFonts w:hint="cs"/>
          <w:vanish/>
          <w:rtl/>
        </w:rPr>
        <w:t>-</w:t>
      </w:r>
      <w:r>
        <w:rPr>
          <w:rFonts w:hint="cs"/>
          <w:rtl/>
        </w:rPr>
        <w:t xml:space="preserve"> דלפי"ז מיושבות קושיות </w:t>
      </w:r>
      <w:r w:rsidRPr="00900CB4">
        <w:rPr>
          <w:rStyle w:val="aff4"/>
          <w:rFonts w:hint="cs"/>
          <w:vanish/>
          <w:rtl/>
        </w:rPr>
        <w:t>-</w:t>
      </w:r>
      <w:r w:rsidRPr="008231D6">
        <w:rPr>
          <w:rStyle w:val="aff4"/>
          <w:rFonts w:hint="cs"/>
          <w:rtl/>
        </w:rPr>
        <w:t>התוס'</w:t>
      </w:r>
      <w:r w:rsidRPr="00900CB4">
        <w:rPr>
          <w:rStyle w:val="aff4"/>
          <w:rFonts w:hint="cs"/>
          <w:vanish/>
          <w:rtl/>
        </w:rPr>
        <w:t>-</w:t>
      </w:r>
      <w:r>
        <w:rPr>
          <w:rFonts w:hint="cs"/>
          <w:rtl/>
        </w:rPr>
        <w:t xml:space="preserve"> </w:t>
      </w:r>
      <w:r w:rsidRPr="00900CB4">
        <w:rPr>
          <w:rStyle w:val="af2"/>
          <w:rFonts w:eastAsia="Guttman Hodes" w:hint="cs"/>
          <w:rtl/>
        </w:rPr>
        <w:t>(</w:t>
      </w:r>
      <w:r>
        <w:rPr>
          <w:rStyle w:val="af2"/>
          <w:rFonts w:eastAsia="Guttman Hodes" w:hint="cs"/>
          <w:rtl/>
        </w:rPr>
        <w:t xml:space="preserve">צד. ד"ה ר"ש, </w:t>
      </w:r>
      <w:r w:rsidRPr="00900CB4">
        <w:rPr>
          <w:rStyle w:val="af2"/>
          <w:rFonts w:eastAsia="Guttman Hodes" w:hint="cs"/>
          <w:rtl/>
        </w:rPr>
        <w:t xml:space="preserve">הובאו בסימן ט' אות </w:t>
      </w:r>
      <w:r>
        <w:rPr>
          <w:rStyle w:val="af2"/>
          <w:rFonts w:eastAsia="Guttman Hodes" w:hint="cs"/>
          <w:rtl/>
        </w:rPr>
        <w:t>י"ג</w:t>
      </w:r>
      <w:r w:rsidRPr="00900CB4">
        <w:rPr>
          <w:rStyle w:val="af2"/>
          <w:rFonts w:eastAsia="Guttman Hodes" w:hint="cs"/>
          <w:rtl/>
        </w:rPr>
        <w:t>)</w:t>
      </w:r>
      <w:r>
        <w:rPr>
          <w:rFonts w:hint="cs"/>
          <w:rtl/>
        </w:rPr>
        <w:t xml:space="preserve"> ממפיס מורסא ומקורע ע"מ לתפור ומתופר בגד קרוע שנפלה בו דרנא, דבכל המלאכות הללו לא שייך לומר דהם מלאכה שאינה צריכה לגופה, כיון דאינו דוחה אותם מעליו ועושה מלאכה שהיא תיקון גמור.</w:t>
      </w:r>
    </w:p>
    <w:p w14:paraId="6E3EB6D1" w14:textId="77777777" w:rsidR="00274E65" w:rsidRDefault="00274E65" w:rsidP="00274E65">
      <w:pPr>
        <w:pStyle w:val="afffff7"/>
      </w:pPr>
    </w:p>
    <w:p w14:paraId="76F85454" w14:textId="77777777" w:rsidR="00274E65" w:rsidRPr="00747170" w:rsidRDefault="00274E65" w:rsidP="00747170">
      <w:pPr>
        <w:pStyle w:val="a2"/>
        <w:rPr>
          <w:rtl/>
        </w:rPr>
      </w:pPr>
      <w:r w:rsidRPr="00747170">
        <w:rPr>
          <w:rtl/>
        </w:rPr>
        <w:t>ובדבריו אלו תמצא קצת יישוב לקושיות התוס' דהמפיס מורסא לעשות פה והקורע ע"מ לתפור והתופר בגד קרוע אין זה מלאכת דחייה אלא תיקון גמור.</w:t>
      </w:r>
    </w:p>
    <w:p w14:paraId="2FC803A4" w14:textId="09CE875F" w:rsidR="00274E65" w:rsidRDefault="00274E65" w:rsidP="00274E65">
      <w:pPr>
        <w:pStyle w:val="a7"/>
        <w:rPr>
          <w:rtl/>
        </w:rPr>
      </w:pPr>
      <w:bookmarkStart w:id="4130" w:name="_Toc140743943"/>
      <w:r>
        <w:rPr>
          <w:rFonts w:hint="cs"/>
          <w:rtl/>
        </w:rPr>
        <w:t>קו' המרכה"מ בבעה"מ דאמאי ל"ה משאצל"ג גם במעבד ומסיר שער ומקדר בהרים וקוצר ליפות</w:t>
      </w:r>
      <w:bookmarkEnd w:id="4130"/>
      <w:r>
        <w:rPr>
          <w:rFonts w:hint="cs"/>
          <w:rtl/>
        </w:rPr>
        <w:t xml:space="preserve"> </w:t>
      </w:r>
    </w:p>
    <w:p w14:paraId="27407E6D" w14:textId="77777777" w:rsidR="00274E65" w:rsidRPr="003B6384" w:rsidRDefault="00274E65" w:rsidP="00BC7DC8">
      <w:pPr>
        <w:pStyle w:val="a3"/>
      </w:pPr>
      <w:r>
        <w:rPr>
          <w:rFonts w:hint="cs"/>
          <w:rtl/>
        </w:rPr>
        <w:t xml:space="preserve">אך הקשה </w:t>
      </w:r>
      <w:r w:rsidRPr="00900CB4">
        <w:rPr>
          <w:rStyle w:val="aff4"/>
          <w:rFonts w:hint="cs"/>
          <w:vanish/>
          <w:rtl/>
        </w:rPr>
        <w:t>-</w:t>
      </w:r>
      <w:r w:rsidRPr="008231D6">
        <w:rPr>
          <w:rStyle w:val="aff4"/>
          <w:rFonts w:hint="cs"/>
          <w:rtl/>
        </w:rPr>
        <w:t>המרכבת המשנה</w:t>
      </w:r>
      <w:r w:rsidRPr="00900CB4">
        <w:rPr>
          <w:rStyle w:val="aff4"/>
          <w:rFonts w:hint="cs"/>
          <w:vanish/>
          <w:rtl/>
        </w:rPr>
        <w:t>-</w:t>
      </w:r>
      <w:r>
        <w:rPr>
          <w:rFonts w:hint="cs"/>
          <w:rtl/>
        </w:rPr>
        <w:t xml:space="preserve"> על </w:t>
      </w:r>
      <w:r w:rsidRPr="00900CB4">
        <w:rPr>
          <w:rStyle w:val="aff4"/>
          <w:rFonts w:hint="cs"/>
          <w:vanish/>
          <w:rtl/>
        </w:rPr>
        <w:t>-</w:t>
      </w:r>
      <w:r w:rsidRPr="008231D6">
        <w:rPr>
          <w:rStyle w:val="aff4"/>
          <w:rFonts w:hint="cs"/>
          <w:rtl/>
        </w:rPr>
        <w:t>הבעה"מ</w:t>
      </w:r>
      <w:r w:rsidRPr="00900CB4">
        <w:rPr>
          <w:rStyle w:val="aff4"/>
          <w:rFonts w:hint="cs"/>
          <w:vanish/>
          <w:rtl/>
        </w:rPr>
        <w:t>-</w:t>
      </w:r>
      <w:r>
        <w:rPr>
          <w:rFonts w:hint="cs"/>
          <w:rtl/>
        </w:rPr>
        <w:t xml:space="preserve"> דא"כ יש עוד מלאכות דצריך להפטר בהם מדין מלאכה שאינה צריכה לגופה, כיון דהם מלאכות שדוחה את הדבר מעליו והתיקון הוא בדבר שנשאר לפניו ולא דחאו, כגון המעבד עור, והמסיר שער, והמקדר בהרים, והקוצר לייפות את הקרקע, דכולם דמו לזורה ובורר, דמסיר את העודף בכדי לתקן את השאר וצריך להפטר ככל מלאכה שדוחה את הדבר מעליו, ועוד הקשה </w:t>
      </w:r>
      <w:r w:rsidRPr="00900CB4">
        <w:rPr>
          <w:rStyle w:val="aff4"/>
          <w:rFonts w:hint="cs"/>
          <w:vanish/>
          <w:rtl/>
        </w:rPr>
        <w:t>-</w:t>
      </w:r>
      <w:r w:rsidRPr="008231D6">
        <w:rPr>
          <w:rStyle w:val="aff4"/>
          <w:rFonts w:hint="cs"/>
          <w:rtl/>
        </w:rPr>
        <w:t>המרכבת המשנה</w:t>
      </w:r>
      <w:r w:rsidRPr="00900CB4">
        <w:rPr>
          <w:rStyle w:val="aff4"/>
          <w:rFonts w:hint="cs"/>
          <w:vanish/>
          <w:rtl/>
        </w:rPr>
        <w:t>-</w:t>
      </w:r>
      <w:r>
        <w:rPr>
          <w:rFonts w:hint="cs"/>
          <w:rtl/>
        </w:rPr>
        <w:t xml:space="preserve"> על </w:t>
      </w:r>
      <w:r w:rsidRPr="00900CB4">
        <w:rPr>
          <w:rStyle w:val="aff4"/>
          <w:rFonts w:hint="cs"/>
          <w:vanish/>
          <w:rtl/>
        </w:rPr>
        <w:t>-</w:t>
      </w:r>
      <w:r w:rsidRPr="008231D6">
        <w:rPr>
          <w:rStyle w:val="aff4"/>
          <w:rFonts w:hint="cs"/>
          <w:rtl/>
        </w:rPr>
        <w:t>הבעה"מ</w:t>
      </w:r>
      <w:r w:rsidRPr="00900CB4">
        <w:rPr>
          <w:rStyle w:val="aff4"/>
          <w:rFonts w:hint="cs"/>
          <w:vanish/>
          <w:rtl/>
        </w:rPr>
        <w:t>-</w:t>
      </w:r>
      <w:r>
        <w:rPr>
          <w:rFonts w:hint="cs"/>
          <w:rtl/>
        </w:rPr>
        <w:t xml:space="preserve"> דמ"ש זורה ובורר משאר המלאכות דפטור בהם במלאכה שאינה צריכה לגופה, אלא כתב </w:t>
      </w:r>
      <w:r w:rsidRPr="00900CB4">
        <w:rPr>
          <w:rStyle w:val="aff4"/>
          <w:rFonts w:hint="cs"/>
          <w:vanish/>
          <w:rtl/>
        </w:rPr>
        <w:t>-</w:t>
      </w:r>
      <w:r w:rsidRPr="008231D6">
        <w:rPr>
          <w:rStyle w:val="aff4"/>
          <w:rFonts w:hint="cs"/>
          <w:rtl/>
        </w:rPr>
        <w:t>המרכבת המשנה</w:t>
      </w:r>
      <w:r w:rsidRPr="00900CB4">
        <w:rPr>
          <w:rStyle w:val="aff4"/>
          <w:rFonts w:hint="cs"/>
          <w:vanish/>
          <w:rtl/>
        </w:rPr>
        <w:t>-</w:t>
      </w:r>
      <w:r>
        <w:rPr>
          <w:rFonts w:hint="cs"/>
          <w:rtl/>
        </w:rPr>
        <w:t xml:space="preserve"> דנראה דזורה ובורר לא חשיבי מלאכת דחיה, דאין חילוק אם בורר אוכל מתוך פסולת או פסולת מתוך אוכל, וכן מצינו עוד מלאכות דהעיקר של המלאכה הוא בדבר שנשאר כחופר גומא ומעבד וזורה.</w:t>
      </w:r>
    </w:p>
    <w:p w14:paraId="703ED8E3" w14:textId="77777777" w:rsidR="00274E65" w:rsidRPr="00747170" w:rsidRDefault="00274E65" w:rsidP="00747170">
      <w:pPr>
        <w:pStyle w:val="a2"/>
        <w:rPr>
          <w:rtl/>
        </w:rPr>
      </w:pPr>
      <w:r w:rsidRPr="00747170">
        <w:rPr>
          <w:rtl/>
        </w:rPr>
        <w:t>איברא לפי דמיונות אלו המעבד עורות ומסיר השער והמקדר בהרים והקוצר לייפות הקרקע הם דומיא דזורה ובורר שמסיר את העודף כדי שיהיה הנשאר מתוקן והו"ל מלאכת דחייה ויהיה פטור.</w:t>
      </w:r>
      <w:r w:rsidRPr="00747170">
        <w:rPr>
          <w:rFonts w:hint="cs"/>
          <w:rtl/>
        </w:rPr>
        <w:t xml:space="preserve"> </w:t>
      </w:r>
      <w:r w:rsidRPr="00747170">
        <w:rPr>
          <w:rtl/>
        </w:rPr>
        <w:t>וכן קשה דמה נשתנה זורה ובורר משארי מלאכות והדעת נוטה דזורה ובורר לא מקרו מלאכות דחייה דמה לי בורר אוכל מתוך פסולת או פסולת מתוך אוכל ויש כמה מלאכות שעיקר המלאכה בנותר כמו חופר גומא ומעבד וזורה ודומיהם.</w:t>
      </w:r>
    </w:p>
    <w:p w14:paraId="36136CA2" w14:textId="23FC1A6D" w:rsidR="00274E65" w:rsidRPr="006C60E8" w:rsidRDefault="00274E65" w:rsidP="00274E65">
      <w:pPr>
        <w:pStyle w:val="affff5"/>
      </w:pPr>
      <w:bookmarkStart w:id="4131" w:name="_Toc140743944"/>
      <w:r>
        <w:rPr>
          <w:rFonts w:hint="cs"/>
          <w:rtl/>
        </w:rPr>
        <w:t>ד' הבעה"מ דגדר מקלקל תלי בגדר צל"ג</w:t>
      </w:r>
      <w:bookmarkEnd w:id="4131"/>
    </w:p>
    <w:p w14:paraId="223B598C" w14:textId="77777777" w:rsidR="00274E65" w:rsidRPr="00F83A7C" w:rsidRDefault="00274E65" w:rsidP="00274E65">
      <w:pPr>
        <w:pStyle w:val="1"/>
        <w:rPr>
          <w:rtl/>
        </w:rPr>
      </w:pPr>
      <w:bookmarkStart w:id="4132" w:name="_Toc140743945"/>
      <w:r>
        <w:rPr>
          <w:rFonts w:hint="cs"/>
          <w:rtl/>
        </w:rPr>
        <w:t>בי' הבעה"מ בגדרי קלקול ותיקון לר"י דמשאצל"ג הוי מלאכה</w:t>
      </w:r>
      <w:bookmarkEnd w:id="4132"/>
    </w:p>
    <w:p w14:paraId="59E70967" w14:textId="77777777" w:rsidR="00274E65" w:rsidRDefault="00274E65" w:rsidP="00274E65">
      <w:pPr>
        <w:pStyle w:val="afffff7"/>
        <w:rPr>
          <w:rtl/>
        </w:rPr>
      </w:pPr>
      <w:bookmarkStart w:id="4133" w:name="_Toc140744070"/>
      <w:bookmarkStart w:id="4134" w:name="_Toc163506018"/>
      <w:r>
        <w:rPr>
          <w:rFonts w:hint="cs"/>
          <w:rtl/>
        </w:rPr>
        <w:t>המאור</w:t>
      </w:r>
      <w:r>
        <w:rPr>
          <w:rtl/>
        </w:rPr>
        <w:t xml:space="preserve"> שבת ל"ז ע"ב</w:t>
      </w:r>
      <w:r>
        <w:rPr>
          <w:rFonts w:hint="cs"/>
          <w:rtl/>
        </w:rPr>
        <w:t xml:space="preserve"> מדה"ר ד"ה והא אנן</w:t>
      </w:r>
      <w:bookmarkEnd w:id="4133"/>
      <w:bookmarkEnd w:id="4134"/>
    </w:p>
    <w:p w14:paraId="0F60A171" w14:textId="77777777" w:rsidR="00274E65" w:rsidRDefault="00274E65" w:rsidP="00274E65">
      <w:pPr>
        <w:pStyle w:val="a7"/>
        <w:rPr>
          <w:rtl/>
        </w:rPr>
      </w:pPr>
      <w:bookmarkStart w:id="4135" w:name="_Toc140743946"/>
      <w:r>
        <w:rPr>
          <w:rFonts w:hint="cs"/>
          <w:rtl/>
        </w:rPr>
        <w:t>בי' הבעה"מ דלר"י דמחייב משאצל"ג במילה ובת כהן הוא מתקן ואין ילפותא</w:t>
      </w:r>
      <w:r w:rsidRPr="00BC34CF">
        <w:rPr>
          <w:rFonts w:hint="cs"/>
          <w:rtl/>
        </w:rPr>
        <w:t xml:space="preserve"> </w:t>
      </w:r>
      <w:r>
        <w:rPr>
          <w:rFonts w:hint="cs"/>
          <w:rtl/>
        </w:rPr>
        <w:t>למקלקל בחבורה</w:t>
      </w:r>
      <w:bookmarkEnd w:id="4135"/>
    </w:p>
    <w:p w14:paraId="091E2A8B" w14:textId="14341AF5" w:rsidR="00274E65" w:rsidRPr="00DD6294" w:rsidRDefault="00274E65" w:rsidP="00BC7DC8">
      <w:pPr>
        <w:pStyle w:val="a3"/>
        <w:rPr>
          <w:rStyle w:val="af"/>
          <w:rtl/>
        </w:rPr>
      </w:pPr>
      <w:bookmarkStart w:id="4136" w:name="_Ref139400052"/>
      <w:r>
        <w:rPr>
          <w:rFonts w:hint="cs"/>
          <w:rtl/>
        </w:rPr>
        <w:t xml:space="preserve">כתב </w:t>
      </w:r>
      <w:r w:rsidRPr="00944285">
        <w:rPr>
          <w:rStyle w:val="aff4"/>
          <w:rFonts w:hint="cs"/>
          <w:vanish/>
          <w:rtl/>
        </w:rPr>
        <w:t>-</w:t>
      </w:r>
      <w:r w:rsidRPr="0012119D">
        <w:rPr>
          <w:rStyle w:val="aff4"/>
          <w:rFonts w:hint="cs"/>
          <w:rtl/>
        </w:rPr>
        <w:t>ה</w:t>
      </w:r>
      <w:r w:rsidRPr="0012119D">
        <w:rPr>
          <w:rStyle w:val="aff4"/>
          <w:rFonts w:hint="cs"/>
          <w:vanish/>
          <w:rtl/>
        </w:rPr>
        <w:t xml:space="preserve">&lt;, </w:t>
      </w:r>
      <w:r w:rsidRPr="0012119D">
        <w:rPr>
          <w:rStyle w:val="aff4"/>
          <w:vanish/>
          <w:rtl/>
        </w:rPr>
        <w:fldChar w:fldCharType="begin"/>
      </w:r>
      <w:r w:rsidRPr="0012119D">
        <w:rPr>
          <w:rStyle w:val="aff4"/>
          <w:vanish/>
          <w:rtl/>
        </w:rPr>
        <w:instrText xml:space="preserve"> </w:instrText>
      </w:r>
      <w:r w:rsidRPr="0012119D">
        <w:rPr>
          <w:rStyle w:val="aff4"/>
          <w:rFonts w:hint="cs"/>
          <w:vanish/>
        </w:rPr>
        <w:instrText>REF</w:instrText>
      </w:r>
      <w:r w:rsidRPr="0012119D">
        <w:rPr>
          <w:rStyle w:val="aff4"/>
          <w:rFonts w:hint="cs"/>
          <w:vanish/>
          <w:rtl/>
        </w:rPr>
        <w:instrText xml:space="preserve"> _</w:instrText>
      </w:r>
      <w:r w:rsidRPr="0012119D">
        <w:rPr>
          <w:rStyle w:val="aff4"/>
          <w:rFonts w:hint="cs"/>
          <w:vanish/>
        </w:rPr>
        <w:instrText>Ref139400052 \r \h</w:instrText>
      </w:r>
      <w:r w:rsidRPr="0012119D">
        <w:rPr>
          <w:rStyle w:val="aff4"/>
          <w:vanish/>
          <w:rtl/>
        </w:rPr>
        <w:instrText xml:space="preserve"> </w:instrText>
      </w:r>
      <w:r w:rsidRPr="0012119D">
        <w:rPr>
          <w:rStyle w:val="aff4"/>
          <w:vanish/>
          <w:rtl/>
        </w:rPr>
      </w:r>
      <w:r w:rsidRPr="0012119D">
        <w:rPr>
          <w:rStyle w:val="aff4"/>
          <w:vanish/>
          <w:rtl/>
        </w:rPr>
        <w:fldChar w:fldCharType="separate"/>
      </w:r>
      <w:r w:rsidR="00D82181">
        <w:rPr>
          <w:rStyle w:val="aff4"/>
          <w:vanish/>
          <w:cs/>
        </w:rPr>
        <w:t>‎</w:t>
      </w:r>
      <w:r w:rsidR="00D82181">
        <w:rPr>
          <w:rStyle w:val="aff4"/>
          <w:vanish/>
          <w:rtl/>
        </w:rPr>
        <w:t>יא)</w:t>
      </w:r>
      <w:r w:rsidRPr="0012119D">
        <w:rPr>
          <w:rStyle w:val="aff4"/>
          <w:vanish/>
          <w:rtl/>
        </w:rPr>
        <w:fldChar w:fldCharType="end"/>
      </w:r>
      <w:r w:rsidRPr="0012119D">
        <w:rPr>
          <w:rStyle w:val="aff4"/>
          <w:rFonts w:hint="cs"/>
          <w:vanish/>
          <w:rtl/>
        </w:rPr>
        <w:t xml:space="preserve"> &gt;</w:t>
      </w:r>
      <w:r w:rsidRPr="0012119D">
        <w:rPr>
          <w:rStyle w:val="aff4"/>
          <w:rFonts w:hint="cs"/>
          <w:rtl/>
        </w:rPr>
        <w:t>בעה"מ</w:t>
      </w:r>
      <w:r w:rsidRPr="00FE7099">
        <w:rPr>
          <w:rStyle w:val="aff4"/>
          <w:rFonts w:hint="cs"/>
          <w:vanish/>
          <w:rtl/>
        </w:rPr>
        <w:t>-</w:t>
      </w:r>
      <w:r>
        <w:rPr>
          <w:rFonts w:hint="cs"/>
          <w:rtl/>
        </w:rPr>
        <w:t xml:space="preserve"> </w:t>
      </w:r>
      <w:r w:rsidRPr="00900CB4">
        <w:rPr>
          <w:rStyle w:val="af2"/>
          <w:rFonts w:eastAsia="Guttman Hodes" w:hint="cs"/>
          <w:rtl/>
        </w:rPr>
        <w:t>(לז: מדה"ר</w:t>
      </w:r>
      <w:r w:rsidRPr="00900CB4">
        <w:rPr>
          <w:rStyle w:val="af2"/>
          <w:rFonts w:eastAsia="Guttman Hodes"/>
          <w:rtl/>
        </w:rPr>
        <w:t xml:space="preserve">, מהדו' עוז והדר עמ' ק"ו ד"ה </w:t>
      </w:r>
      <w:r w:rsidRPr="00900CB4">
        <w:rPr>
          <w:rStyle w:val="af2"/>
          <w:rFonts w:eastAsia="Guttman Hodes" w:hint="cs"/>
          <w:rtl/>
        </w:rPr>
        <w:t>והא אנן)</w:t>
      </w:r>
      <w:r w:rsidRPr="00944285">
        <w:rPr>
          <w:rFonts w:hint="cs"/>
          <w:vanish/>
          <w:rtl/>
        </w:rPr>
        <w:t>=</w:t>
      </w:r>
      <w:bookmarkEnd w:id="4136"/>
      <w:r>
        <w:rPr>
          <w:rFonts w:hint="cs"/>
          <w:rtl/>
        </w:rPr>
        <w:t xml:space="preserve"> דלא מפורש בגמ' מה המקור דנחלקו ר"י ור"ש במקלקל בחבורה, וצריך לתלות דמחלוקתם תלויה במחלוקת לענין מלאכה שאינה צריכה לגופה, והדבר שמקשר בין המחלוקות הוא הא דאיתא בגמ' לקמן </w:t>
      </w:r>
      <w:r w:rsidRPr="00900CB4">
        <w:rPr>
          <w:rStyle w:val="af2"/>
          <w:rFonts w:eastAsia="Guttman Hodes" w:hint="cs"/>
          <w:rtl/>
        </w:rPr>
        <w:t>(קו.)</w:t>
      </w:r>
      <w:r>
        <w:rPr>
          <w:rFonts w:hint="cs"/>
          <w:rtl/>
        </w:rPr>
        <w:t xml:space="preserve"> דמהא דהוצרכה תורה להתיר מילה ולאסור שריפת בת כהן בשבת, וביאר </w:t>
      </w:r>
      <w:r w:rsidRPr="00944285">
        <w:rPr>
          <w:rStyle w:val="aff4"/>
          <w:rFonts w:hint="cs"/>
          <w:vanish/>
          <w:rtl/>
        </w:rPr>
        <w:t>-</w:t>
      </w:r>
      <w:r w:rsidRPr="0012119D">
        <w:rPr>
          <w:rStyle w:val="aff4"/>
          <w:rFonts w:hint="cs"/>
          <w:rtl/>
        </w:rPr>
        <w:t>הבעה"מ</w:t>
      </w:r>
      <w:r w:rsidRPr="00944285">
        <w:rPr>
          <w:rStyle w:val="aff4"/>
          <w:rFonts w:hint="cs"/>
          <w:vanish/>
          <w:rtl/>
        </w:rPr>
        <w:t>-</w:t>
      </w:r>
      <w:r>
        <w:rPr>
          <w:rFonts w:hint="cs"/>
          <w:rtl/>
        </w:rPr>
        <w:t xml:space="preserve"> דכל הל"ט מלאכות במשכן היו צריכים למלאכה לגופה, חוץ מזורה ובורר שעיקר המלאכה היא לדחות את המוץ והצרורות, ולדעת ר"י בכל המלאכות החיוב הוא רק במלאכה שצריכה לגופה, במתקן ולא במקלקל, והא דהוצרכה תורה להתיר מילה, אעפ"י דהמלאכה עצמה א"צ לגופה, אלא לדחות את הערלה, מ"מ כיון דהוא מתקן בזה את האדם חשיב מלאכה שצריכה לגופה, ובהבערת בת כהן ביאר </w:t>
      </w:r>
      <w:r w:rsidRPr="00944285">
        <w:rPr>
          <w:rStyle w:val="aff4"/>
          <w:rFonts w:hint="cs"/>
          <w:vanish/>
          <w:rtl/>
        </w:rPr>
        <w:t>-</w:t>
      </w:r>
      <w:r w:rsidRPr="0012119D">
        <w:rPr>
          <w:rStyle w:val="aff4"/>
          <w:rFonts w:hint="cs"/>
          <w:rtl/>
        </w:rPr>
        <w:t>הבעה"מ</w:t>
      </w:r>
      <w:r w:rsidRPr="00944285">
        <w:rPr>
          <w:rStyle w:val="aff4"/>
          <w:rFonts w:hint="cs"/>
          <w:vanish/>
          <w:rtl/>
        </w:rPr>
        <w:t>-</w:t>
      </w:r>
      <w:r>
        <w:rPr>
          <w:rFonts w:hint="cs"/>
          <w:rtl/>
        </w:rPr>
        <w:t xml:space="preserve"> דאף שהמלאכה היא לדחות ולבער אותה מהכלל, כדכתיב "ובערת הרע מקרבך", וא"כ היא מלאכה שאינה צריכה לגופה, מ"מ כיון שיש לנו תיקון במה שמבערים אותה, חשיב מלאכה שצריכה לגופה. </w:t>
      </w:r>
      <w:r w:rsidRPr="00DD6294">
        <w:rPr>
          <w:rStyle w:val="af"/>
          <w:rFonts w:hint="cs"/>
          <w:rtl/>
        </w:rPr>
        <w:t xml:space="preserve">[ועי' במ"ש </w:t>
      </w:r>
      <w:r w:rsidRPr="00DD6294">
        <w:rPr>
          <w:rStyle w:val="aff9"/>
          <w:rFonts w:hint="cs"/>
          <w:vanish/>
          <w:rtl/>
        </w:rPr>
        <w:t>-</w:t>
      </w:r>
      <w:r w:rsidRPr="00DD6294">
        <w:rPr>
          <w:rStyle w:val="aff9"/>
          <w:rFonts w:hint="cs"/>
          <w:rtl/>
        </w:rPr>
        <w:t>ה</w:t>
      </w:r>
      <w:r w:rsidRPr="00DD6294">
        <w:rPr>
          <w:rStyle w:val="aff9"/>
          <w:rFonts w:hint="cs"/>
          <w:vanish/>
          <w:rtl/>
        </w:rPr>
        <w:t>&lt; &gt;</w:t>
      </w:r>
      <w:r w:rsidRPr="00DD6294">
        <w:rPr>
          <w:rStyle w:val="aff9"/>
          <w:rFonts w:hint="cs"/>
          <w:rtl/>
        </w:rPr>
        <w:t>אבני נזר</w:t>
      </w:r>
      <w:r w:rsidRPr="00DD6294">
        <w:rPr>
          <w:rStyle w:val="aff9"/>
          <w:rFonts w:hint="cs"/>
          <w:vanish/>
          <w:rtl/>
        </w:rPr>
        <w:t>-</w:t>
      </w:r>
      <w:r w:rsidRPr="00DD6294">
        <w:rPr>
          <w:rStyle w:val="af"/>
          <w:rFonts w:hint="cs"/>
          <w:rtl/>
        </w:rPr>
        <w:t xml:space="preserve"> </w:t>
      </w:r>
      <w:r w:rsidRPr="00DD6294">
        <w:rPr>
          <w:rStyle w:val="aff0"/>
          <w:rFonts w:hint="cs"/>
          <w:rtl/>
        </w:rPr>
        <w:t>(או"ח סי' רכ"ח ג')</w:t>
      </w:r>
      <w:r w:rsidRPr="00DD6294">
        <w:rPr>
          <w:rStyle w:val="af"/>
          <w:rFonts w:hint="cs"/>
          <w:vanish/>
          <w:rtl/>
        </w:rPr>
        <w:t>=</w:t>
      </w:r>
      <w:r w:rsidRPr="00F83240">
        <w:rPr>
          <w:rStyle w:val="af"/>
          <w:rFonts w:hint="cs"/>
          <w:rtl/>
        </w:rPr>
        <w:t xml:space="preserve"> </w:t>
      </w:r>
      <w:r>
        <w:rPr>
          <w:rStyle w:val="af"/>
          <w:rFonts w:hint="cs"/>
          <w:rtl/>
        </w:rPr>
        <w:t>אי מיתת ב"ד הוי מלאכה שאינה צריכה לגופה</w:t>
      </w:r>
      <w:r w:rsidRPr="00DD6294">
        <w:rPr>
          <w:rStyle w:val="af"/>
          <w:rFonts w:hint="cs"/>
          <w:rtl/>
        </w:rPr>
        <w:t>].</w:t>
      </w:r>
    </w:p>
    <w:p w14:paraId="6552DCB4" w14:textId="77777777" w:rsidR="00274E65" w:rsidRPr="00747170" w:rsidRDefault="00274E65" w:rsidP="00747170">
      <w:pPr>
        <w:pStyle w:val="a2"/>
        <w:rPr>
          <w:rtl/>
        </w:rPr>
      </w:pPr>
      <w:r w:rsidRPr="00747170">
        <w:rPr>
          <w:rtl/>
        </w:rPr>
        <w:t>[דף קו ע"א] והא אנן תנן כל המקלקלין פטורין מתני' ר' יהודה דאמר מקלקל בחבורה פטור ברייתא ר"ש דאמר מקלקל בחבורה חייב ופלוגתייהו דר"י ור"ש לא אשכחן לה עיקר ברור בכולי תלמודא אלא שאנו תולין מחלוקתם זו בזו כמחלוקתם במלאכה שאינה צריכה לגופה שהובררה בכמה מקומות במס' שבת דר' יהודה מחייב ור"ש פוטר והקשר שקושר בין שתי המחלוקות הללו מדאיצטריך קרא למישרא מילה בח' בשבת ומדאסר רחמנא הבערה גבי בת כהן וזהו ביאור הדבר כל שלשים ותשע מלאכות שהיו כנגדן במשכן כולן היה בהם צורך לגופן חוץ מן הזורה והבורר שהוא זורה המוץ מן הגורן ובורר הצרורות מן הכרי וזה הוא עיקר מלאכתן לדחות המוץ והצרורות וכן חייב עליהן ועל כל תולדה שלהן אבל שאר המלאכות עיקר הוא לצורך גופן וס"ל לר' יהודה כל המלאכות כולן כשם שחייב עליהן לצורך גופן כך חייב עליהן שלא לצורך גופן כ"ז שהוא מתקן ולא מקלקל הלכך האי דאיצטריך רחמנא למישרא מילה אף על פי שהוא דוחה הערלה מן הבשר והיא מלאכה שאינה צריכה לגופה כמוציא את המת לקברו ומוציא כזית מן הנבלה וכעדשה מן השרץ ומשמשי ע"ז כל שהן שאין כוונתו אלא לדחותן מעליו כיון שיש תיקון האיש בכך דמה לי תיקון גברא מה לי תיקון כלי מתקן הוא ומלאכה שאינה צריכה לגופה כה"ג בשבת חייב עליה ומש"ה איצטריך רחמנא למישרא מילה בשבת ואין ה"נ גבי הבערה דבת כהן אף על פי שאין כוונתו בהבערה אלא לדחותה ולבער אותה מן הכלל כדכתיב ובערת הרע מקרבך והויא לה מלאכה שאינה צריכה לגופה כיון שיש לנו תיקון בדבר הרי הוא כמוציא כזית נבלה וכעדשה מן השרץ וכה"ג בשבת חייב ומש"ה אסר רחמנא הבערה גבי בת כהן</w:t>
      </w:r>
      <w:r w:rsidRPr="00747170">
        <w:rPr>
          <w:rFonts w:hint="cs"/>
          <w:rtl/>
        </w:rPr>
        <w:t>.</w:t>
      </w:r>
    </w:p>
    <w:p w14:paraId="36E9C6CC" w14:textId="3AF8A154" w:rsidR="00274E65" w:rsidRDefault="00274E65" w:rsidP="00274E65">
      <w:pPr>
        <w:pStyle w:val="afffff7"/>
        <w:rPr>
          <w:rtl/>
        </w:rPr>
      </w:pPr>
      <w:bookmarkStart w:id="4137" w:name="_Toc140744071"/>
      <w:bookmarkStart w:id="4138" w:name="_Toc163506019"/>
      <w:r>
        <w:rPr>
          <w:rFonts w:hint="cs"/>
          <w:rtl/>
        </w:rPr>
        <w:t>המאור</w:t>
      </w:r>
      <w:r>
        <w:rPr>
          <w:rtl/>
        </w:rPr>
        <w:t xml:space="preserve"> שבת </w:t>
      </w:r>
      <w:r>
        <w:rPr>
          <w:rFonts w:hint="cs"/>
          <w:rtl/>
        </w:rPr>
        <w:t>ל"ח ע"א מדה"ר ד"ה הלכך</w:t>
      </w:r>
      <w:bookmarkEnd w:id="4137"/>
      <w:bookmarkEnd w:id="4138"/>
    </w:p>
    <w:p w14:paraId="417C5F0B" w14:textId="77777777" w:rsidR="00274E65" w:rsidRDefault="00274E65" w:rsidP="00274E65">
      <w:pPr>
        <w:pStyle w:val="a7"/>
        <w:rPr>
          <w:rtl/>
        </w:rPr>
      </w:pPr>
      <w:bookmarkStart w:id="4139" w:name="_Toc140743947"/>
      <w:r>
        <w:rPr>
          <w:rFonts w:hint="cs"/>
          <w:rtl/>
        </w:rPr>
        <w:t>בי' הבעה"מ דבחובל לכלבו ומבעיר לאפרו לר"י מקלקל בדבר עצמו והתיקון לא חשיב תיקון</w:t>
      </w:r>
      <w:bookmarkEnd w:id="4139"/>
    </w:p>
    <w:p w14:paraId="5B570827" w14:textId="0C452838" w:rsidR="00274E65" w:rsidRDefault="00274E65" w:rsidP="00BC7DC8">
      <w:pPr>
        <w:pStyle w:val="a3"/>
      </w:pPr>
      <w:bookmarkStart w:id="4140" w:name="_Ref140619318"/>
      <w:r>
        <w:rPr>
          <w:rFonts w:hint="cs"/>
          <w:rtl/>
        </w:rPr>
        <w:t xml:space="preserve">וכתב </w:t>
      </w:r>
      <w:r w:rsidRPr="00944285">
        <w:rPr>
          <w:rStyle w:val="aff4"/>
          <w:rFonts w:hint="cs"/>
          <w:vanish/>
          <w:rtl/>
        </w:rPr>
        <w:t>-</w:t>
      </w:r>
      <w:r w:rsidRPr="0012119D">
        <w:rPr>
          <w:rStyle w:val="aff4"/>
          <w:rFonts w:hint="cs"/>
          <w:rtl/>
        </w:rPr>
        <w:t>ה</w:t>
      </w:r>
      <w:r>
        <w:rPr>
          <w:rStyle w:val="aff4"/>
          <w:rFonts w:hint="cs"/>
          <w:rtl/>
        </w:rPr>
        <w:t xml:space="preserve">&lt;, </w:t>
      </w:r>
      <w:r>
        <w:rPr>
          <w:rStyle w:val="aff4"/>
          <w:rtl/>
        </w:rPr>
        <w:fldChar w:fldCharType="begin"/>
      </w:r>
      <w:r>
        <w:rPr>
          <w:rStyle w:val="aff4"/>
          <w:rtl/>
        </w:rPr>
        <w:instrText xml:space="preserve"> </w:instrText>
      </w:r>
      <w:r>
        <w:rPr>
          <w:rStyle w:val="aff4"/>
          <w:rFonts w:hint="cs"/>
        </w:rPr>
        <w:instrText>REF</w:instrText>
      </w:r>
      <w:r>
        <w:rPr>
          <w:rStyle w:val="aff4"/>
          <w:rFonts w:hint="cs"/>
          <w:rtl/>
        </w:rPr>
        <w:instrText xml:space="preserve"> _</w:instrText>
      </w:r>
      <w:r>
        <w:rPr>
          <w:rStyle w:val="aff4"/>
          <w:rFonts w:hint="cs"/>
        </w:rPr>
        <w:instrText>Ref140619318 \r \h</w:instrText>
      </w:r>
      <w:r>
        <w:rPr>
          <w:rStyle w:val="aff4"/>
          <w:rtl/>
        </w:rPr>
        <w:instrText xml:space="preserve"> </w:instrText>
      </w:r>
      <w:r>
        <w:rPr>
          <w:rStyle w:val="aff4"/>
          <w:rtl/>
        </w:rPr>
      </w:r>
      <w:r>
        <w:rPr>
          <w:rStyle w:val="aff4"/>
          <w:rtl/>
        </w:rPr>
        <w:fldChar w:fldCharType="separate"/>
      </w:r>
      <w:r w:rsidR="00D82181">
        <w:rPr>
          <w:rStyle w:val="aff4"/>
          <w:cs/>
        </w:rPr>
        <w:t>‎</w:t>
      </w:r>
      <w:r w:rsidR="00D82181">
        <w:rPr>
          <w:rStyle w:val="aff4"/>
          <w:rtl/>
        </w:rPr>
        <w:t>יב)</w:t>
      </w:r>
      <w:r>
        <w:rPr>
          <w:rStyle w:val="aff4"/>
          <w:rtl/>
        </w:rPr>
        <w:fldChar w:fldCharType="end"/>
      </w:r>
      <w:r>
        <w:rPr>
          <w:rStyle w:val="aff4"/>
          <w:rFonts w:hint="cs"/>
          <w:rtl/>
        </w:rPr>
        <w:t xml:space="preserve"> &gt;</w:t>
      </w:r>
      <w:r w:rsidRPr="0012119D">
        <w:rPr>
          <w:rStyle w:val="aff4"/>
          <w:rFonts w:hint="cs"/>
          <w:rtl/>
        </w:rPr>
        <w:t>בעה"מ</w:t>
      </w:r>
      <w:r w:rsidRPr="00472125">
        <w:rPr>
          <w:rStyle w:val="aff4"/>
          <w:rFonts w:hint="cs"/>
          <w:vanish/>
          <w:rtl/>
        </w:rPr>
        <w:t>-</w:t>
      </w:r>
      <w:r>
        <w:rPr>
          <w:rFonts w:hint="cs"/>
          <w:rtl/>
        </w:rPr>
        <w:t xml:space="preserve"> </w:t>
      </w:r>
      <w:r w:rsidRPr="00900CB4">
        <w:rPr>
          <w:rStyle w:val="af2"/>
          <w:rFonts w:eastAsia="Guttman Hodes" w:hint="cs"/>
          <w:rtl/>
        </w:rPr>
        <w:t>(לח. מדה"ר</w:t>
      </w:r>
      <w:r w:rsidRPr="00900CB4">
        <w:rPr>
          <w:rStyle w:val="af2"/>
          <w:rFonts w:eastAsia="Guttman Hodes"/>
          <w:rtl/>
        </w:rPr>
        <w:t xml:space="preserve">, מהדו' עוז והדר עמ' ק"ו ד"ה </w:t>
      </w:r>
      <w:r>
        <w:rPr>
          <w:rStyle w:val="af2"/>
          <w:rFonts w:eastAsia="Guttman Hodes" w:hint="cs"/>
          <w:rtl/>
        </w:rPr>
        <w:t>הלכך</w:t>
      </w:r>
      <w:r w:rsidRPr="00900CB4">
        <w:rPr>
          <w:rStyle w:val="af2"/>
          <w:rFonts w:eastAsia="Guttman Hodes" w:hint="cs"/>
          <w:rtl/>
        </w:rPr>
        <w:t>)</w:t>
      </w:r>
      <w:r w:rsidRPr="00944285">
        <w:rPr>
          <w:rFonts w:hint="cs"/>
          <w:vanish/>
          <w:rtl/>
        </w:rPr>
        <w:t>=</w:t>
      </w:r>
      <w:r>
        <w:rPr>
          <w:rFonts w:hint="cs"/>
          <w:rtl/>
        </w:rPr>
        <w:t xml:space="preserve"> דכיון דר"י פוטר במלאכה שאינה צריכה לגופה ובמקלקל, לכן ס"ל דאף בחובל וצריך לכלבו ומבעיר בצריך לאפרו פטור, כיון דקלקל בבהמה </w:t>
      </w:r>
      <w:r>
        <w:rPr>
          <w:rFonts w:hint="cs"/>
          <w:rtl/>
        </w:rPr>
        <w:t>שעשה בה חבורה ובגדיש שהבעירו, והחבלה היא בבשר ולא בדם והתיקון שיש לו בדם אינו תיקון בבשר, וכן הדליקה היא בגדיש ולא באפר והתיקון באפר לא חשיב תיקון בגדיש.</w:t>
      </w:r>
      <w:bookmarkEnd w:id="4140"/>
    </w:p>
    <w:p w14:paraId="34E0B43C" w14:textId="77777777" w:rsidR="00274E65" w:rsidRPr="00747170" w:rsidRDefault="00274E65" w:rsidP="00747170">
      <w:pPr>
        <w:pStyle w:val="a2"/>
        <w:rPr>
          <w:rtl/>
        </w:rPr>
      </w:pPr>
      <w:r w:rsidRPr="00747170">
        <w:rPr>
          <w:rtl/>
        </w:rPr>
        <w:t>הלכך לטעמיה דר' יהודה חובל בבהמה חשיבא בצריך הדם לכלבו ומבעיר את הגדיש בצריך לאפרו שקלקולו בבהמה שהחבורה בה וקלקולו בגדיש הדלוק מקלקל בחבורה ובהדלקה הוא ופטור אף על פי שיש לו תיקון בדם ובאפר אין החבלה בדם אלא בבשר ואין הדליקה באפר אלא בגדיש</w:t>
      </w:r>
      <w:r w:rsidRPr="00747170">
        <w:rPr>
          <w:rFonts w:hint="cs"/>
          <w:rtl/>
        </w:rPr>
        <w:t>.</w:t>
      </w:r>
    </w:p>
    <w:p w14:paraId="2B6F2323" w14:textId="50E9C1F9" w:rsidR="00274E65" w:rsidRPr="00A3247E" w:rsidRDefault="00274E65" w:rsidP="00274E65">
      <w:pPr>
        <w:pStyle w:val="a7"/>
      </w:pPr>
      <w:bookmarkStart w:id="4141" w:name="_Toc140743948"/>
      <w:r>
        <w:rPr>
          <w:rFonts w:hint="cs"/>
          <w:rtl/>
        </w:rPr>
        <w:t>בי' הבעה"מ דשוחט ומבעיר לבשל דמקלקל בדבר עצמו זהו דרך הנאתו וה"ה חובל בשרץ לכלב</w:t>
      </w:r>
      <w:bookmarkEnd w:id="4141"/>
    </w:p>
    <w:p w14:paraId="61A3B82D" w14:textId="77777777" w:rsidR="00274E65" w:rsidRDefault="00274E65" w:rsidP="00BC7DC8">
      <w:pPr>
        <w:pStyle w:val="a3"/>
      </w:pPr>
      <w:r>
        <w:rPr>
          <w:rFonts w:hint="cs"/>
          <w:rtl/>
        </w:rPr>
        <w:t xml:space="preserve">והוסיף </w:t>
      </w:r>
      <w:r w:rsidRPr="00944285">
        <w:rPr>
          <w:rStyle w:val="aff4"/>
          <w:rFonts w:hint="cs"/>
          <w:vanish/>
          <w:rtl/>
        </w:rPr>
        <w:t>-</w:t>
      </w:r>
      <w:r w:rsidRPr="0012119D">
        <w:rPr>
          <w:rStyle w:val="aff4"/>
          <w:rFonts w:hint="cs"/>
          <w:rtl/>
        </w:rPr>
        <w:t>הבעה"מ</w:t>
      </w:r>
      <w:r w:rsidRPr="00944285">
        <w:rPr>
          <w:rStyle w:val="aff4"/>
          <w:rFonts w:hint="cs"/>
          <w:vanish/>
          <w:rtl/>
        </w:rPr>
        <w:t>-</w:t>
      </w:r>
      <w:r>
        <w:rPr>
          <w:rFonts w:hint="cs"/>
          <w:rtl/>
        </w:rPr>
        <w:t xml:space="preserve"> דאעפ"י דבשוחט בהמה ומבעיר עצים לבשל, הוא ג"כ היה צריך להיות פטור, </w:t>
      </w:r>
      <w:r w:rsidRPr="00900CB4">
        <w:rPr>
          <w:rStyle w:val="af"/>
          <w:rFonts w:hint="cs"/>
          <w:rtl/>
        </w:rPr>
        <w:t>[דמקלקל בדבר אחד ומתקן בדבר אחר]</w:t>
      </w:r>
      <w:r w:rsidRPr="002426BB">
        <w:rPr>
          <w:rStyle w:val="af"/>
          <w:rFonts w:hint="cs"/>
          <w:rtl/>
        </w:rPr>
        <w:t>,</w:t>
      </w:r>
      <w:r>
        <w:rPr>
          <w:rFonts w:hint="cs"/>
          <w:rtl/>
        </w:rPr>
        <w:t xml:space="preserve"> מ"מ כיון שזהו דרך הנאתן חייב בהם, וכתב </w:t>
      </w:r>
      <w:r w:rsidRPr="00944285">
        <w:rPr>
          <w:rStyle w:val="aff4"/>
          <w:rFonts w:hint="cs"/>
          <w:vanish/>
          <w:rtl/>
        </w:rPr>
        <w:t>-</w:t>
      </w:r>
      <w:r w:rsidRPr="0012119D">
        <w:rPr>
          <w:rStyle w:val="aff4"/>
          <w:rFonts w:hint="cs"/>
          <w:rtl/>
        </w:rPr>
        <w:t>הבעה"מ</w:t>
      </w:r>
      <w:r w:rsidRPr="00944285">
        <w:rPr>
          <w:rStyle w:val="aff4"/>
          <w:rFonts w:hint="cs"/>
          <w:vanish/>
          <w:rtl/>
        </w:rPr>
        <w:t>-</w:t>
      </w:r>
      <w:r>
        <w:rPr>
          <w:rFonts w:hint="cs"/>
          <w:rtl/>
        </w:rPr>
        <w:t xml:space="preserve"> דבכל המלאכות מודה ר"י ובחובל בשרצים דעומדים לאכילת כלבים מודה דחייב בצריך את הדם לכלבו, דזהו דרך הנאתן, ואף באופן שהדם נצרר ולא יצא, חייב כיון דהכלבים להוטים אחר הדם ויש תיקון בזה. </w:t>
      </w:r>
      <w:r w:rsidRPr="00900CB4">
        <w:rPr>
          <w:rStyle w:val="af"/>
          <w:rFonts w:hint="cs"/>
          <w:rtl/>
        </w:rPr>
        <w:t>[דהוא תיקול לכלבים שאוכלים את השרצים שצרור בהם הדם]</w:t>
      </w:r>
      <w:r>
        <w:rPr>
          <w:rStyle w:val="af"/>
          <w:rFonts w:hint="cs"/>
          <w:rtl/>
        </w:rPr>
        <w:t>.</w:t>
      </w:r>
      <w:r>
        <w:rPr>
          <w:rFonts w:hint="cs"/>
          <w:rtl/>
        </w:rPr>
        <w:t xml:space="preserve"> </w:t>
      </w:r>
    </w:p>
    <w:p w14:paraId="60DD749B" w14:textId="77777777" w:rsidR="00274E65" w:rsidRPr="00747170" w:rsidRDefault="00274E65" w:rsidP="00747170">
      <w:pPr>
        <w:pStyle w:val="a2"/>
        <w:rPr>
          <w:rtl/>
        </w:rPr>
      </w:pPr>
      <w:r w:rsidRPr="00747170">
        <w:rPr>
          <w:rtl/>
        </w:rPr>
        <w:t>ואין זה דומה לשוחט את הבהמה ומבעיר את העצים לבשל את הקדרה שזה הוא דרך הנאתן ובכולהו אבות מלאכות מודה ר' יהודה ולא פליג אלא שמוסיף אף השובט והמדקדק וכן מודה ר' יהודה בחובל בשרצים ושקצים ורמשים דלאכילת כלבים קיימי וזה הוא דרך הנאתן ואף על פי שנצרר הדם ולא יצא מתוך שהכלבים להוטים אחר הדם יש בזה תקון</w:t>
      </w:r>
      <w:r w:rsidRPr="00747170">
        <w:rPr>
          <w:rFonts w:hint="cs"/>
          <w:rtl/>
        </w:rPr>
        <w:t>.</w:t>
      </w:r>
    </w:p>
    <w:p w14:paraId="2ACF4B7B" w14:textId="46416392" w:rsidR="00274E65" w:rsidRPr="004F47BF" w:rsidRDefault="00274E65" w:rsidP="00274E65">
      <w:pPr>
        <w:pStyle w:val="a7"/>
      </w:pPr>
      <w:bookmarkStart w:id="4142" w:name="_Toc140743949"/>
      <w:r>
        <w:rPr>
          <w:rFonts w:hint="cs"/>
          <w:rtl/>
        </w:rPr>
        <w:t>בי' הבעה"מ דמודה ר"י בתיקון קטן בדבר עצמו שקלקלו כפסח שלא למנוייו דמתקנו שלא ירד</w:t>
      </w:r>
      <w:bookmarkEnd w:id="4142"/>
    </w:p>
    <w:p w14:paraId="6D8F7A1C" w14:textId="77777777" w:rsidR="00274E65" w:rsidRPr="00284F99" w:rsidRDefault="00274E65" w:rsidP="00BC7DC8">
      <w:pPr>
        <w:pStyle w:val="a3"/>
      </w:pPr>
      <w:r>
        <w:rPr>
          <w:rFonts w:hint="cs"/>
          <w:rtl/>
        </w:rPr>
        <w:t xml:space="preserve">והוסיף </w:t>
      </w:r>
      <w:r w:rsidRPr="00944285">
        <w:rPr>
          <w:rStyle w:val="aff4"/>
          <w:rFonts w:hint="cs"/>
          <w:vanish/>
          <w:rtl/>
        </w:rPr>
        <w:t>-</w:t>
      </w:r>
      <w:r w:rsidRPr="0012119D">
        <w:rPr>
          <w:rStyle w:val="aff4"/>
          <w:rFonts w:hint="cs"/>
          <w:rtl/>
        </w:rPr>
        <w:t>הבעה"מ</w:t>
      </w:r>
      <w:r w:rsidRPr="00944285">
        <w:rPr>
          <w:rStyle w:val="aff4"/>
          <w:rFonts w:hint="cs"/>
          <w:vanish/>
          <w:rtl/>
        </w:rPr>
        <w:t>-</w:t>
      </w:r>
      <w:r>
        <w:rPr>
          <w:rFonts w:hint="cs"/>
          <w:rtl/>
        </w:rPr>
        <w:t xml:space="preserve"> דמודה ר"י כשיש לו תיקון כל שהוא בגוף של הבהמה שחבל בה, או בגדיש שהדליקו, ואף כשהתיקון הוא משהו ג"כ חייב, כמבואר בגמ' בפסחים </w:t>
      </w:r>
      <w:r w:rsidRPr="00900CB4">
        <w:rPr>
          <w:rStyle w:val="af2"/>
          <w:rFonts w:eastAsia="Guttman Hodes" w:hint="cs"/>
          <w:rtl/>
        </w:rPr>
        <w:t>(עג.)</w:t>
      </w:r>
      <w:r>
        <w:rPr>
          <w:rFonts w:hint="cs"/>
          <w:rtl/>
        </w:rPr>
        <w:t xml:space="preserve"> דהשוחט פסח שלא למנוייו חייב אף למ"ד דמקלקל בחבורה פטור, דאף שפסלו מ"מ תיקנו לענין שאם עלה ע"ג המזבח לא ירד, ומוכח דתיקון משהו בגוף הדבר הוי תיקון.</w:t>
      </w:r>
    </w:p>
    <w:p w14:paraId="344C6880" w14:textId="77777777" w:rsidR="00274E65" w:rsidRPr="00747170" w:rsidRDefault="00274E65" w:rsidP="00747170">
      <w:pPr>
        <w:pStyle w:val="a2"/>
        <w:rPr>
          <w:rtl/>
        </w:rPr>
      </w:pPr>
      <w:r w:rsidRPr="00747170">
        <w:rPr>
          <w:rtl/>
        </w:rPr>
        <w:t>וכן מודה ר' יהודה אם היה שום תיקון בגוף הבהמה החבולה או בגוף הגדיש הדלוק אפי' בתיקון משהו היה חייב דאמרי' בפסחים בפ' אלו דברים לדברי האומר מקלקל בחבורה פטור שחטו שלא לאוכליו חייב מה תקן תקן אם עלו לא ירדו</w:t>
      </w:r>
      <w:r w:rsidRPr="00747170">
        <w:rPr>
          <w:rFonts w:hint="cs"/>
          <w:rtl/>
        </w:rPr>
        <w:t>.</w:t>
      </w:r>
    </w:p>
    <w:p w14:paraId="7251D8BA" w14:textId="48DC77DC" w:rsidR="00274E65" w:rsidRPr="00802F4A" w:rsidRDefault="00274E65" w:rsidP="00274E65">
      <w:pPr>
        <w:pStyle w:val="1"/>
      </w:pPr>
      <w:bookmarkStart w:id="4143" w:name="_Toc140743950"/>
      <w:r>
        <w:rPr>
          <w:rFonts w:hint="cs"/>
          <w:rtl/>
        </w:rPr>
        <w:t>בגדרי קלקול ותיקון לר"ש דמשאצל"ג לא חשיב כמלאכה</w:t>
      </w:r>
      <w:bookmarkEnd w:id="4143"/>
    </w:p>
    <w:p w14:paraId="48F45CCB" w14:textId="77777777" w:rsidR="00274E65" w:rsidRPr="002879A8" w:rsidRDefault="00274E65" w:rsidP="00274E65">
      <w:pPr>
        <w:pStyle w:val="afffff7"/>
        <w:rPr>
          <w:rtl/>
        </w:rPr>
      </w:pPr>
      <w:bookmarkStart w:id="4144" w:name="_Toc140058122"/>
      <w:bookmarkStart w:id="4145" w:name="_Toc140744072"/>
      <w:bookmarkStart w:id="4146" w:name="_Toc163506020"/>
      <w:r>
        <w:rPr>
          <w:rFonts w:hint="cs"/>
          <w:rtl/>
        </w:rPr>
        <w:t>המאור</w:t>
      </w:r>
      <w:r w:rsidRPr="002879A8">
        <w:rPr>
          <w:rtl/>
        </w:rPr>
        <w:t xml:space="preserve"> שבת ל"ח ע"א</w:t>
      </w:r>
      <w:r w:rsidRPr="002879A8">
        <w:rPr>
          <w:rFonts w:hint="cs"/>
          <w:rtl/>
        </w:rPr>
        <w:t xml:space="preserve"> מדה"ר ד"ה כל </w:t>
      </w:r>
      <w:r>
        <w:rPr>
          <w:rFonts w:hint="cs"/>
          <w:rtl/>
        </w:rPr>
        <w:t>זה</w:t>
      </w:r>
      <w:bookmarkEnd w:id="4144"/>
      <w:bookmarkEnd w:id="4145"/>
      <w:bookmarkEnd w:id="4146"/>
    </w:p>
    <w:p w14:paraId="6198B016" w14:textId="77777777" w:rsidR="00274E65" w:rsidRPr="002879A8" w:rsidRDefault="00274E65" w:rsidP="00274E65">
      <w:pPr>
        <w:pStyle w:val="a7"/>
        <w:rPr>
          <w:rtl/>
        </w:rPr>
      </w:pPr>
      <w:bookmarkStart w:id="4147" w:name="_Toc140743951"/>
      <w:r>
        <w:rPr>
          <w:rFonts w:hint="cs"/>
          <w:rtl/>
        </w:rPr>
        <w:t>בי' הבעה"מ דלר"ש דמשאצל"ג פטור אין תיקון במילה ובת כהן וילפי' דמקלקל בחבורה חייב</w:t>
      </w:r>
      <w:bookmarkEnd w:id="4147"/>
    </w:p>
    <w:p w14:paraId="39A81BC0" w14:textId="1F3EA87E" w:rsidR="00274E65" w:rsidRPr="002879A8" w:rsidRDefault="00274E65" w:rsidP="00BC7DC8">
      <w:pPr>
        <w:pStyle w:val="a3"/>
        <w:rPr>
          <w:rtl/>
        </w:rPr>
      </w:pPr>
      <w:bookmarkStart w:id="4148" w:name="_Ref139468843"/>
      <w:r>
        <w:rPr>
          <w:rFonts w:hint="cs"/>
          <w:rtl/>
        </w:rPr>
        <w:t>ו</w:t>
      </w:r>
      <w:r w:rsidRPr="002879A8">
        <w:rPr>
          <w:rFonts w:hint="cs"/>
          <w:rtl/>
        </w:rPr>
        <w:t xml:space="preserve">כתב </w:t>
      </w:r>
      <w:r w:rsidRPr="00866B3A">
        <w:rPr>
          <w:rStyle w:val="aff4"/>
          <w:rFonts w:hint="cs"/>
          <w:vanish/>
          <w:rtl/>
        </w:rPr>
        <w:t>-</w:t>
      </w:r>
      <w:r w:rsidRPr="00866B3A">
        <w:rPr>
          <w:rStyle w:val="aff4"/>
          <w:rFonts w:hint="cs"/>
          <w:rtl/>
        </w:rPr>
        <w:t>ה</w:t>
      </w:r>
      <w:r w:rsidRPr="00866B3A">
        <w:rPr>
          <w:rStyle w:val="aff4"/>
          <w:rFonts w:hint="cs"/>
          <w:vanish/>
          <w:rtl/>
        </w:rPr>
        <w:t xml:space="preserve">&lt;, </w:t>
      </w:r>
      <w:r w:rsidRPr="00866B3A">
        <w:rPr>
          <w:rStyle w:val="aff4"/>
          <w:vanish/>
          <w:rtl/>
        </w:rPr>
        <w:fldChar w:fldCharType="begin"/>
      </w:r>
      <w:r w:rsidRPr="00866B3A">
        <w:rPr>
          <w:rStyle w:val="aff4"/>
          <w:vanish/>
          <w:rtl/>
        </w:rPr>
        <w:instrText xml:space="preserve"> </w:instrText>
      </w:r>
      <w:r w:rsidRPr="00866B3A">
        <w:rPr>
          <w:rStyle w:val="aff4"/>
          <w:rFonts w:hint="cs"/>
          <w:vanish/>
        </w:rPr>
        <w:instrText>REF</w:instrText>
      </w:r>
      <w:r w:rsidRPr="00866B3A">
        <w:rPr>
          <w:rStyle w:val="aff4"/>
          <w:rFonts w:hint="cs"/>
          <w:vanish/>
          <w:rtl/>
        </w:rPr>
        <w:instrText xml:space="preserve"> _</w:instrText>
      </w:r>
      <w:r w:rsidRPr="00866B3A">
        <w:rPr>
          <w:rStyle w:val="aff4"/>
          <w:rFonts w:hint="cs"/>
          <w:vanish/>
        </w:rPr>
        <w:instrText>Ref139468843 \r \h</w:instrText>
      </w:r>
      <w:r w:rsidRPr="00866B3A">
        <w:rPr>
          <w:rStyle w:val="aff4"/>
          <w:vanish/>
          <w:rtl/>
        </w:rPr>
        <w:instrText xml:space="preserve"> </w:instrText>
      </w:r>
      <w:r w:rsidRPr="00866B3A">
        <w:rPr>
          <w:rStyle w:val="aff4"/>
          <w:vanish/>
          <w:rtl/>
        </w:rPr>
      </w:r>
      <w:r w:rsidRPr="00866B3A">
        <w:rPr>
          <w:rStyle w:val="aff4"/>
          <w:vanish/>
          <w:rtl/>
        </w:rPr>
        <w:fldChar w:fldCharType="separate"/>
      </w:r>
      <w:r w:rsidR="00D82181">
        <w:rPr>
          <w:rStyle w:val="aff4"/>
          <w:vanish/>
          <w:cs/>
        </w:rPr>
        <w:t>‎</w:t>
      </w:r>
      <w:r w:rsidR="00D82181">
        <w:rPr>
          <w:rStyle w:val="aff4"/>
          <w:vanish/>
          <w:rtl/>
        </w:rPr>
        <w:t>טו)</w:t>
      </w:r>
      <w:r w:rsidRPr="00866B3A">
        <w:rPr>
          <w:rStyle w:val="aff4"/>
          <w:vanish/>
          <w:rtl/>
        </w:rPr>
        <w:fldChar w:fldCharType="end"/>
      </w:r>
      <w:r w:rsidRPr="00866B3A">
        <w:rPr>
          <w:rStyle w:val="aff4"/>
          <w:rFonts w:hint="cs"/>
          <w:vanish/>
          <w:rtl/>
        </w:rPr>
        <w:t xml:space="preserve"> &gt;</w:t>
      </w:r>
      <w:r w:rsidRPr="00866B3A">
        <w:rPr>
          <w:rStyle w:val="aff4"/>
          <w:rFonts w:hint="cs"/>
          <w:rtl/>
        </w:rPr>
        <w:t>בהע"מ</w:t>
      </w:r>
      <w:r w:rsidRPr="00866B3A">
        <w:rPr>
          <w:rStyle w:val="aff4"/>
          <w:rFonts w:hint="cs"/>
          <w:vanish/>
          <w:rtl/>
        </w:rPr>
        <w:t>-</w:t>
      </w:r>
      <w:r>
        <w:rPr>
          <w:rFonts w:hint="cs"/>
          <w:rtl/>
        </w:rPr>
        <w:t xml:space="preserve"> </w:t>
      </w:r>
      <w:r w:rsidRPr="00900CB4">
        <w:rPr>
          <w:rStyle w:val="af2"/>
          <w:rFonts w:eastAsia="Guttman Hodes" w:hint="cs"/>
          <w:rtl/>
        </w:rPr>
        <w:t>(לח. מדה"ר ד"ה כל מלאכה, מהדו' עוז והדר עמ' ק"ו ד"ה כל זה)</w:t>
      </w:r>
      <w:r w:rsidRPr="00944285">
        <w:rPr>
          <w:rStyle w:val="aff4"/>
          <w:rFonts w:hint="cs"/>
          <w:vanish/>
          <w:rtl/>
        </w:rPr>
        <w:t>=</w:t>
      </w:r>
      <w:r w:rsidRPr="0012119D">
        <w:rPr>
          <w:rStyle w:val="aff4"/>
          <w:rFonts w:hint="cs"/>
          <w:rtl/>
        </w:rPr>
        <w:t xml:space="preserve"> </w:t>
      </w:r>
      <w:r w:rsidRPr="00866B3A">
        <w:rPr>
          <w:rFonts w:hint="cs"/>
          <w:rtl/>
        </w:rPr>
        <w:t>דלדעת ר"ש ילפינן ממשכן דכמו דכל המלאכות היו צריכות לגופן חוץ מזורה ובורר, כך הדין בכל מלאכה דחייב רק במלאכה שצריכה לגופה, וא"כ א"צ להתיר את מילה ושריפת בת כהן, דבמילה המלאכה היא לדחות את הערלה, ועיקר החבלה היא בערלה, ובערלה עצמה אין שום תיקון אלא קלקול</w:t>
      </w:r>
      <w:r>
        <w:rPr>
          <w:rFonts w:hint="cs"/>
          <w:rtl/>
        </w:rPr>
        <w:t xml:space="preserve">, </w:t>
      </w:r>
      <w:r w:rsidRPr="00866B3A">
        <w:rPr>
          <w:rFonts w:hint="cs"/>
          <w:rtl/>
        </w:rPr>
        <w:t xml:space="preserve">וכן שריפת בת כהן שבאה לבער אותה מישראל, דעיקר ההבערה היא בה ובה עצמה יש רק קלקול, ובישול הפתילה לא חשיב כלל, וכתב </w:t>
      </w:r>
      <w:r w:rsidRPr="00866B3A">
        <w:rPr>
          <w:rStyle w:val="aff4"/>
          <w:rFonts w:hint="cs"/>
          <w:vanish/>
          <w:rtl/>
        </w:rPr>
        <w:t>-</w:t>
      </w:r>
      <w:r w:rsidRPr="00866B3A">
        <w:rPr>
          <w:rStyle w:val="aff4"/>
          <w:rFonts w:hint="cs"/>
          <w:rtl/>
        </w:rPr>
        <w:t>הבעה"מ</w:t>
      </w:r>
      <w:r w:rsidRPr="00866B3A">
        <w:rPr>
          <w:rStyle w:val="aff4"/>
          <w:rFonts w:hint="cs"/>
          <w:vanish/>
          <w:rtl/>
        </w:rPr>
        <w:t>-</w:t>
      </w:r>
      <w:r w:rsidRPr="00866B3A">
        <w:rPr>
          <w:rFonts w:hint="cs"/>
          <w:rtl/>
        </w:rPr>
        <w:t xml:space="preserve"> דמהא דהוצרכה התורה להתיר ילפינן דמקלקל בחבורה חייב, והתיקון במילה</w:t>
      </w:r>
      <w:r>
        <w:rPr>
          <w:rFonts w:hint="cs"/>
          <w:rtl/>
        </w:rPr>
        <w:t xml:space="preserve"> </w:t>
      </w:r>
      <w:r w:rsidRPr="002879A8">
        <w:rPr>
          <w:rFonts w:hint="cs"/>
          <w:rtl/>
        </w:rPr>
        <w:t>שנעשה באדם אינו נחשב לתיקון, והיא כמלאכה שא"צ לגופה</w:t>
      </w:r>
      <w:r>
        <w:rPr>
          <w:rFonts w:hint="cs"/>
          <w:rtl/>
        </w:rPr>
        <w:t xml:space="preserve"> לר"ש, ומהא דהוצרכה תורה להתיר מילה ולאסור שריפת בת כהן, מוכח דמקלקל בחבורה ובהבערה חייב</w:t>
      </w:r>
      <w:r w:rsidRPr="002879A8">
        <w:rPr>
          <w:rFonts w:hint="cs"/>
          <w:rtl/>
        </w:rPr>
        <w:t>.</w:t>
      </w:r>
      <w:bookmarkEnd w:id="4148"/>
    </w:p>
    <w:p w14:paraId="013D73D7" w14:textId="77777777" w:rsidR="00274E65" w:rsidRPr="00747170" w:rsidRDefault="00274E65" w:rsidP="00747170">
      <w:pPr>
        <w:pStyle w:val="a2"/>
        <w:rPr>
          <w:rtl/>
        </w:rPr>
      </w:pPr>
      <w:r w:rsidRPr="00747170">
        <w:rPr>
          <w:rtl/>
        </w:rPr>
        <w:t>כל זה שאמרנו לבאר טעמו של רבי יהודה אבל ר"ש ס"ל כולהו מלאכות ממשכן גמרינן להו מה התם כולהו מלאכות חוץ מזורה ובורר לצורך גופן אף כאן כל לצורך גופן הלכך לא איצטריך רחמנא למישרא מילה שהיא לדחות הערלה ולא למיסר הבערה גבי בת כהן שהיא לבער אותה מישראל שעיקר ההבערה שהיא בבת כהן אין בה לעצמה אלא קלקול ובישול פתילה לא כלום חשוב וכן עיקר החבלה היא בערלה ואין שם שום תיקון אלא קלקול והתיקון שהוא באיש לא חשיב לר"ש דה"ל כמלאכה שאינה צריכה לגופה</w:t>
      </w:r>
      <w:r w:rsidRPr="00747170">
        <w:rPr>
          <w:rFonts w:hint="cs"/>
          <w:rtl/>
        </w:rPr>
        <w:t xml:space="preserve"> </w:t>
      </w:r>
      <w:r w:rsidRPr="00747170">
        <w:rPr>
          <w:rtl/>
        </w:rPr>
        <w:t>ולמדנו מזה מקלקל בחבורה ובהבערה שהוא חייב</w:t>
      </w:r>
      <w:r w:rsidRPr="00747170">
        <w:rPr>
          <w:rFonts w:hint="cs"/>
          <w:rtl/>
        </w:rPr>
        <w:t>.</w:t>
      </w:r>
    </w:p>
    <w:p w14:paraId="2D919F7A" w14:textId="1C7FAE86" w:rsidR="00274E65" w:rsidRDefault="00274E65" w:rsidP="00274E65">
      <w:pPr>
        <w:pStyle w:val="afffff7"/>
        <w:rPr>
          <w:rtl/>
        </w:rPr>
      </w:pPr>
      <w:bookmarkStart w:id="4149" w:name="_Toc140058123"/>
      <w:bookmarkStart w:id="4150" w:name="_Toc140744073"/>
      <w:bookmarkStart w:id="4151" w:name="_Toc163506021"/>
      <w:r>
        <w:rPr>
          <w:rFonts w:hint="cs"/>
          <w:rtl/>
        </w:rPr>
        <w:t>המאור</w:t>
      </w:r>
      <w:r w:rsidRPr="00413806">
        <w:rPr>
          <w:rtl/>
        </w:rPr>
        <w:t xml:space="preserve"> שבת ל"ח ע"א</w:t>
      </w:r>
      <w:r w:rsidRPr="00413806">
        <w:rPr>
          <w:rFonts w:hint="cs"/>
          <w:rtl/>
        </w:rPr>
        <w:t xml:space="preserve"> מדה"ר ד"ה </w:t>
      </w:r>
      <w:r>
        <w:rPr>
          <w:rFonts w:hint="cs"/>
          <w:rtl/>
        </w:rPr>
        <w:t>ובהא פליגי</w:t>
      </w:r>
      <w:bookmarkEnd w:id="4149"/>
      <w:bookmarkEnd w:id="4150"/>
      <w:bookmarkEnd w:id="4151"/>
    </w:p>
    <w:p w14:paraId="469FD0C8" w14:textId="77777777" w:rsidR="00274E65" w:rsidRPr="004A05F5" w:rsidRDefault="00274E65" w:rsidP="00274E65">
      <w:pPr>
        <w:pStyle w:val="a7"/>
        <w:rPr>
          <w:rtl/>
        </w:rPr>
      </w:pPr>
      <w:bookmarkStart w:id="4152" w:name="_Toc140743952"/>
      <w:r>
        <w:rPr>
          <w:rFonts w:hint="cs"/>
          <w:rtl/>
        </w:rPr>
        <w:t>בי' הבעה"מ בריו"ח דחובל לכלבו תיקון קטן בגופו אף לר"ש ול"ד לגומא דחורש בה ולא בעפר</w:t>
      </w:r>
      <w:bookmarkEnd w:id="4152"/>
    </w:p>
    <w:p w14:paraId="7C19563E" w14:textId="1B8BFE12" w:rsidR="00274E65" w:rsidRDefault="00274E65" w:rsidP="00BC7DC8">
      <w:pPr>
        <w:pStyle w:val="a3"/>
      </w:pPr>
      <w:bookmarkStart w:id="4153" w:name="_Ref140678793"/>
      <w:r w:rsidRPr="002025BC">
        <w:rPr>
          <w:rFonts w:hint="cs"/>
          <w:rtl/>
        </w:rPr>
        <w:t xml:space="preserve">וכתב </w:t>
      </w:r>
      <w:r w:rsidRPr="004A05F5">
        <w:rPr>
          <w:rStyle w:val="aff4"/>
          <w:rFonts w:hint="cs"/>
          <w:vanish/>
          <w:rtl/>
        </w:rPr>
        <w:t>-</w:t>
      </w:r>
      <w:r w:rsidRPr="00472125">
        <w:rPr>
          <w:rStyle w:val="aff4"/>
          <w:rFonts w:hint="cs"/>
          <w:rtl/>
        </w:rPr>
        <w:t>ה</w:t>
      </w:r>
      <w:r w:rsidRPr="004A05F5">
        <w:rPr>
          <w:rStyle w:val="aff4"/>
          <w:rFonts w:hint="cs"/>
          <w:vanish/>
          <w:rtl/>
        </w:rPr>
        <w:t xml:space="preserve">&lt;, </w:t>
      </w:r>
      <w:r w:rsidRPr="004A05F5">
        <w:rPr>
          <w:rStyle w:val="aff4"/>
          <w:vanish/>
          <w:rtl/>
        </w:rPr>
        <w:fldChar w:fldCharType="begin"/>
      </w:r>
      <w:r w:rsidRPr="004A05F5">
        <w:rPr>
          <w:rStyle w:val="aff4"/>
          <w:vanish/>
          <w:rtl/>
        </w:rPr>
        <w:instrText xml:space="preserve"> </w:instrText>
      </w:r>
      <w:r w:rsidRPr="004A05F5">
        <w:rPr>
          <w:rStyle w:val="aff4"/>
          <w:rFonts w:hint="cs"/>
          <w:vanish/>
        </w:rPr>
        <w:instrText>REF</w:instrText>
      </w:r>
      <w:r w:rsidRPr="004A05F5">
        <w:rPr>
          <w:rStyle w:val="aff4"/>
          <w:rFonts w:hint="cs"/>
          <w:vanish/>
          <w:rtl/>
        </w:rPr>
        <w:instrText xml:space="preserve"> _</w:instrText>
      </w:r>
      <w:r w:rsidRPr="004A05F5">
        <w:rPr>
          <w:rStyle w:val="aff4"/>
          <w:rFonts w:hint="cs"/>
          <w:vanish/>
        </w:rPr>
        <w:instrText>Ref139468974 \r \h</w:instrText>
      </w:r>
      <w:r w:rsidRPr="004A05F5">
        <w:rPr>
          <w:rStyle w:val="aff4"/>
          <w:vanish/>
          <w:rtl/>
        </w:rPr>
        <w:instrText xml:space="preserve"> </w:instrText>
      </w:r>
      <w:r w:rsidRPr="004A05F5">
        <w:rPr>
          <w:rStyle w:val="aff4"/>
          <w:vanish/>
          <w:rtl/>
        </w:rPr>
      </w:r>
      <w:r w:rsidRPr="004A05F5">
        <w:rPr>
          <w:rStyle w:val="aff4"/>
          <w:vanish/>
          <w:rtl/>
        </w:rPr>
        <w:fldChar w:fldCharType="separate"/>
      </w:r>
      <w:r w:rsidR="00D82181">
        <w:rPr>
          <w:rStyle w:val="aff4"/>
          <w:vanish/>
          <w:cs/>
        </w:rPr>
        <w:t>‎</w:t>
      </w:r>
      <w:r w:rsidR="00D82181">
        <w:rPr>
          <w:rStyle w:val="aff4"/>
          <w:vanish/>
          <w:rtl/>
        </w:rPr>
        <w:t>יז)</w:t>
      </w:r>
      <w:r w:rsidRPr="004A05F5">
        <w:rPr>
          <w:rStyle w:val="aff4"/>
          <w:vanish/>
          <w:rtl/>
        </w:rPr>
        <w:fldChar w:fldCharType="end"/>
      </w:r>
      <w:r w:rsidRPr="004A05F5">
        <w:rPr>
          <w:rStyle w:val="aff4"/>
          <w:rFonts w:hint="cs"/>
          <w:vanish/>
          <w:rtl/>
        </w:rPr>
        <w:t xml:space="preserve"> &gt;</w:t>
      </w:r>
      <w:r w:rsidRPr="00472125">
        <w:rPr>
          <w:rStyle w:val="aff4"/>
          <w:rFonts w:hint="cs"/>
          <w:rtl/>
        </w:rPr>
        <w:t>בהע"מ</w:t>
      </w:r>
      <w:r w:rsidRPr="004A05F5">
        <w:rPr>
          <w:rStyle w:val="aff4"/>
          <w:rFonts w:hint="cs"/>
          <w:vanish/>
          <w:rtl/>
        </w:rPr>
        <w:t>-</w:t>
      </w:r>
      <w:r w:rsidRPr="0012119D">
        <w:rPr>
          <w:rStyle w:val="aff4"/>
          <w:rFonts w:hint="cs"/>
          <w:rtl/>
        </w:rPr>
        <w:t xml:space="preserve"> </w:t>
      </w:r>
      <w:r w:rsidRPr="004A05F5">
        <w:rPr>
          <w:rStyle w:val="af2"/>
          <w:rFonts w:eastAsia="Guttman Hodes" w:hint="cs"/>
          <w:rtl/>
        </w:rPr>
        <w:t>(לח. מדה"ר ד"ה כל מלאכה, מהדו' עוז והדר עמ' ק"ו ד"ה ובהא פליגי)</w:t>
      </w:r>
      <w:r w:rsidRPr="004A05F5">
        <w:rPr>
          <w:rStyle w:val="aff4"/>
          <w:rFonts w:hint="cs"/>
          <w:vanish/>
          <w:rtl/>
        </w:rPr>
        <w:t>=</w:t>
      </w:r>
      <w:r w:rsidRPr="0012119D">
        <w:rPr>
          <w:rStyle w:val="aff4"/>
          <w:rFonts w:hint="cs"/>
          <w:rtl/>
        </w:rPr>
        <w:t xml:space="preserve"> </w:t>
      </w:r>
      <w:r w:rsidRPr="00826149">
        <w:rPr>
          <w:rFonts w:hint="cs"/>
          <w:rtl/>
        </w:rPr>
        <w:t>דרבי אבהו וריו"ח נחלקו אליבא דר"ש, דרבי אבהו ס"ל דהחיוב במקלקל בחבורה הוא חידוש, ולכן אף מקלקל גמור חייב, וריו"ח ס"ל דהילפותא בחובל ומבעיר דמהני בהם תיקון כל שהוא, ולכן אף</w:t>
      </w:r>
      <w:r w:rsidRPr="0012119D">
        <w:rPr>
          <w:rStyle w:val="aff4"/>
          <w:rFonts w:hint="cs"/>
          <w:rtl/>
        </w:rPr>
        <w:t xml:space="preserve"> </w:t>
      </w:r>
      <w:r w:rsidRPr="00826149">
        <w:rPr>
          <w:rFonts w:hint="cs"/>
          <w:rtl/>
        </w:rPr>
        <w:t>תיקון דחובל וצריך לכלבו ומבעיר בצריך לאפרו ג"כ חשיב תיקון, אף שהתיקון הוא בדם ולא בגוף הבהמה שחבל בה, וכן התיקון באפר אינו בגוף של הגדיש שהדליקו, משא"כ בחופר גומא וצריך לעפרה, דהחרישה היא רק בגומא ולא בעפר</w:t>
      </w:r>
      <w:r>
        <w:rPr>
          <w:rFonts w:hint="cs"/>
          <w:rtl/>
        </w:rPr>
        <w:t>.</w:t>
      </w:r>
      <w:bookmarkEnd w:id="4153"/>
      <w:r>
        <w:rPr>
          <w:rFonts w:hint="cs"/>
          <w:rtl/>
        </w:rPr>
        <w:t xml:space="preserve"> </w:t>
      </w:r>
      <w:r w:rsidRPr="008223A7">
        <w:rPr>
          <w:rStyle w:val="af"/>
          <w:rFonts w:hint="cs"/>
          <w:rtl/>
        </w:rPr>
        <w:t>[</w:t>
      </w:r>
      <w:r>
        <w:rPr>
          <w:rStyle w:val="af"/>
          <w:rFonts w:hint="cs"/>
          <w:rtl/>
        </w:rPr>
        <w:t>ו</w:t>
      </w:r>
      <w:r w:rsidRPr="008223A7">
        <w:rPr>
          <w:rStyle w:val="af"/>
          <w:rFonts w:hint="cs"/>
          <w:rtl/>
        </w:rPr>
        <w:t>עי'</w:t>
      </w:r>
      <w:r>
        <w:rPr>
          <w:rStyle w:val="af"/>
          <w:rFonts w:hint="cs"/>
          <w:rtl/>
        </w:rPr>
        <w:t xml:space="preserve"> במה שדחה </w:t>
      </w:r>
      <w:r w:rsidRPr="0055749A">
        <w:rPr>
          <w:rStyle w:val="aff9"/>
          <w:rFonts w:hint="cs"/>
          <w:vanish/>
          <w:rtl/>
        </w:rPr>
        <w:t>-</w:t>
      </w:r>
      <w:r w:rsidRPr="00D3072D">
        <w:rPr>
          <w:rStyle w:val="aff9"/>
          <w:rFonts w:hint="cs"/>
          <w:rtl/>
        </w:rPr>
        <w:t>הראב"ד בב"ק</w:t>
      </w:r>
      <w:r w:rsidRPr="0055749A">
        <w:rPr>
          <w:rStyle w:val="aff9"/>
          <w:rFonts w:hint="cs"/>
          <w:vanish/>
          <w:rtl/>
        </w:rPr>
        <w:t>-</w:t>
      </w:r>
      <w:r>
        <w:rPr>
          <w:rFonts w:hint="cs"/>
          <w:rtl/>
        </w:rPr>
        <w:t xml:space="preserve"> </w:t>
      </w:r>
      <w:r w:rsidRPr="008223A7">
        <w:rPr>
          <w:rStyle w:val="aff0"/>
          <w:rFonts w:hint="cs"/>
          <w:rtl/>
        </w:rPr>
        <w:t xml:space="preserve">(עי' אות </w:t>
      </w:r>
      <w:r w:rsidRPr="0055749A">
        <w:rPr>
          <w:rStyle w:val="aff0"/>
          <w:rtl/>
        </w:rPr>
        <w:fldChar w:fldCharType="begin"/>
      </w:r>
      <w:r w:rsidRPr="0055749A">
        <w:rPr>
          <w:rStyle w:val="aff0"/>
          <w:rtl/>
        </w:rPr>
        <w:instrText xml:space="preserve"> </w:instrText>
      </w:r>
      <w:r w:rsidRPr="0055749A">
        <w:rPr>
          <w:rStyle w:val="aff0"/>
          <w:rFonts w:hint="cs"/>
        </w:rPr>
        <w:instrText>REF</w:instrText>
      </w:r>
      <w:r w:rsidRPr="0055749A">
        <w:rPr>
          <w:rStyle w:val="aff0"/>
          <w:rFonts w:hint="cs"/>
          <w:rtl/>
        </w:rPr>
        <w:instrText xml:space="preserve"> _</w:instrText>
      </w:r>
      <w:r w:rsidRPr="0055749A">
        <w:rPr>
          <w:rStyle w:val="aff0"/>
          <w:rFonts w:hint="cs"/>
        </w:rPr>
        <w:instrText>Ref140678944 \r \h</w:instrText>
      </w:r>
      <w:r w:rsidRPr="0055749A">
        <w:rPr>
          <w:rStyle w:val="aff0"/>
          <w:rtl/>
        </w:rPr>
        <w:instrText xml:space="preserve"> </w:instrText>
      </w:r>
      <w:r w:rsidRPr="0055749A">
        <w:rPr>
          <w:rStyle w:val="aff0"/>
          <w:rtl/>
        </w:rPr>
      </w:r>
      <w:r w:rsidRPr="0055749A">
        <w:rPr>
          <w:rStyle w:val="aff0"/>
          <w:rtl/>
        </w:rPr>
        <w:fldChar w:fldCharType="separate"/>
      </w:r>
      <w:r w:rsidR="00D82181">
        <w:rPr>
          <w:rStyle w:val="aff0"/>
          <w:cs/>
        </w:rPr>
        <w:t>‎</w:t>
      </w:r>
      <w:r w:rsidR="00D82181">
        <w:rPr>
          <w:rStyle w:val="aff0"/>
          <w:rtl/>
        </w:rPr>
        <w:t>סד)</w:t>
      </w:r>
      <w:r w:rsidRPr="0055749A">
        <w:rPr>
          <w:rStyle w:val="aff0"/>
          <w:rtl/>
        </w:rPr>
        <w:fldChar w:fldCharType="end"/>
      </w:r>
      <w:r>
        <w:rPr>
          <w:rStyle w:val="af"/>
          <w:rFonts w:hint="cs"/>
          <w:rtl/>
        </w:rPr>
        <w:t xml:space="preserve"> את דברי</w:t>
      </w:r>
      <w:r w:rsidRPr="008223A7">
        <w:rPr>
          <w:rStyle w:val="af"/>
          <w:rFonts w:hint="cs"/>
          <w:rtl/>
        </w:rPr>
        <w:t xml:space="preserve"> </w:t>
      </w:r>
      <w:r w:rsidRPr="00DB4BAB">
        <w:rPr>
          <w:rStyle w:val="aff9"/>
          <w:rFonts w:hint="cs"/>
          <w:vanish/>
          <w:rtl/>
        </w:rPr>
        <w:t>-</w:t>
      </w:r>
      <w:r w:rsidRPr="0055749A">
        <w:rPr>
          <w:rStyle w:val="aff9"/>
          <w:rFonts w:hint="cs"/>
          <w:rtl/>
        </w:rPr>
        <w:t>ה</w:t>
      </w:r>
      <w:r>
        <w:rPr>
          <w:rStyle w:val="aff9"/>
          <w:rFonts w:hint="cs"/>
          <w:rtl/>
        </w:rPr>
        <w:t>בעה"מ</w:t>
      </w:r>
      <w:r w:rsidRPr="00DB4BAB">
        <w:rPr>
          <w:rStyle w:val="aff9"/>
          <w:rFonts w:hint="cs"/>
          <w:vanish/>
          <w:rtl/>
        </w:rPr>
        <w:t>-</w:t>
      </w:r>
      <w:r w:rsidRPr="0055749A">
        <w:rPr>
          <w:rStyle w:val="af"/>
          <w:rFonts w:hint="cs"/>
          <w:rtl/>
        </w:rPr>
        <w:t>].</w:t>
      </w:r>
    </w:p>
    <w:p w14:paraId="730E78EA" w14:textId="77777777" w:rsidR="00274E65" w:rsidRPr="00747170" w:rsidRDefault="00274E65" w:rsidP="00747170">
      <w:pPr>
        <w:pStyle w:val="a2"/>
      </w:pPr>
      <w:r w:rsidRPr="00747170">
        <w:rPr>
          <w:rtl/>
        </w:rPr>
        <w:t>ובהא פליגי ר' אבהו ור' יוחנן אליבא דר"ש דר' אבהו ס"ל חדוש הוא ואף במקלקל גמור חייב בחובל ומבעיר אליבא דר"ש כמו שאתה אומר בעלמא חדוש הוא שחדשה תורה בקנס אף על גב דמקטיל משלם ור' יוחנן סבר אף לדברי ר"ש בעינן שום תיקון וכיון שיש שום תיקון אף על גב שאינו בגוף הבהמה החבולה אלא בדם ולא בגוף הגדיש הדלוק אלא באפר כה"ג תיקון הוי גבי חובל ומבעיר לפי שהדם בא מכח חבלת הבהמה וכגופה הוא חשיב וכן האפר הוא הגדיש הדלוק משא"כ בחופר גומא ואינו צריך אלא לעפרה שאין החרישה אלא הגומא</w:t>
      </w:r>
      <w:r w:rsidRPr="00747170">
        <w:rPr>
          <w:rFonts w:hint="cs"/>
          <w:rtl/>
        </w:rPr>
        <w:t>.</w:t>
      </w:r>
    </w:p>
    <w:p w14:paraId="0D419489" w14:textId="6C33A5E0" w:rsidR="00274E65" w:rsidRPr="00413806" w:rsidRDefault="00274E65" w:rsidP="00274E65">
      <w:pPr>
        <w:pStyle w:val="a7"/>
        <w:rPr>
          <w:rtl/>
        </w:rPr>
      </w:pPr>
      <w:bookmarkStart w:id="4154" w:name="_Toc140743953"/>
      <w:r>
        <w:rPr>
          <w:rFonts w:hint="cs"/>
          <w:rtl/>
        </w:rPr>
        <w:t>בי' הבעה"מ בריו"ח דבמקלקל בחבורה חייב בתיקון קטן כמילה וכן בבת כהן דהמצוה היא תיקון</w:t>
      </w:r>
      <w:bookmarkEnd w:id="4154"/>
    </w:p>
    <w:p w14:paraId="27EBF20F" w14:textId="77777777" w:rsidR="00274E65" w:rsidRDefault="00274E65" w:rsidP="00BC7DC8">
      <w:pPr>
        <w:pStyle w:val="a3"/>
      </w:pPr>
      <w:bookmarkStart w:id="4155" w:name="_Ref139468974"/>
      <w:r w:rsidRPr="00826149">
        <w:rPr>
          <w:rFonts w:hint="cs"/>
          <w:rtl/>
        </w:rPr>
        <w:t xml:space="preserve">וביאר </w:t>
      </w:r>
      <w:r w:rsidRPr="00F85DF8">
        <w:rPr>
          <w:rStyle w:val="aff4"/>
          <w:rFonts w:hint="cs"/>
          <w:vanish/>
          <w:rtl/>
        </w:rPr>
        <w:t>-</w:t>
      </w:r>
      <w:r w:rsidRPr="00826149">
        <w:rPr>
          <w:rStyle w:val="aff4"/>
          <w:rFonts w:hint="cs"/>
          <w:rtl/>
        </w:rPr>
        <w:t>הבעה"מ</w:t>
      </w:r>
      <w:r w:rsidRPr="00F85DF8">
        <w:rPr>
          <w:rStyle w:val="aff4"/>
          <w:rFonts w:hint="cs"/>
          <w:vanish/>
          <w:rtl/>
        </w:rPr>
        <w:t>-</w:t>
      </w:r>
      <w:r w:rsidRPr="00826149">
        <w:rPr>
          <w:rFonts w:hint="cs"/>
          <w:rtl/>
        </w:rPr>
        <w:t xml:space="preserve"> דריו</w:t>
      </w:r>
      <w:r>
        <w:rPr>
          <w:rFonts w:hint="cs"/>
          <w:rtl/>
        </w:rPr>
        <w:t>"ח ס"ל דלר"ש כמו במילה</w:t>
      </w:r>
      <w:r w:rsidRPr="00C20447">
        <w:rPr>
          <w:rFonts w:hint="cs"/>
          <w:rtl/>
        </w:rPr>
        <w:t xml:space="preserve"> </w:t>
      </w:r>
      <w:r>
        <w:rPr>
          <w:rFonts w:hint="cs"/>
          <w:rtl/>
        </w:rPr>
        <w:t xml:space="preserve">יש תיקון כל דהו, ואף בבת כהן שאין בה שום תיקון, מ"מ מעשה המצוה חשיב תיקון כל דהו, ילפינן לכל חובל ומבעיר דאין לך בו אלא חידושו, דא"צ בהם תיקון בגוף הדבר יותר ממה שהיה מתוקן בתחילה אך צריך </w:t>
      </w:r>
      <w:r>
        <w:rPr>
          <w:rFonts w:hint="cs"/>
          <w:rtl/>
        </w:rPr>
        <w:lastRenderedPageBreak/>
        <w:t xml:space="preserve">תיקון כל דהו, אבל בשאר מקלקלין החיוב רק בתיקון בגוף הדבר, והא דתנן דחובל ומבעיר ככל המקלקלין דפטורים היא כר"י. </w:t>
      </w:r>
      <w:r w:rsidRPr="00900CB4">
        <w:rPr>
          <w:rStyle w:val="af"/>
          <w:rFonts w:hint="cs"/>
          <w:rtl/>
        </w:rPr>
        <w:t>[ואף דרישא ר"ש סיפא ר"י]</w:t>
      </w:r>
      <w:r w:rsidRPr="002426BB">
        <w:rPr>
          <w:rStyle w:val="af"/>
          <w:rFonts w:hint="cs"/>
          <w:rtl/>
        </w:rPr>
        <w:t>.</w:t>
      </w:r>
      <w:bookmarkEnd w:id="4155"/>
    </w:p>
    <w:p w14:paraId="21B1FC52" w14:textId="77777777" w:rsidR="00274E65" w:rsidRPr="00747170" w:rsidRDefault="00274E65" w:rsidP="00747170">
      <w:pPr>
        <w:pStyle w:val="a2"/>
      </w:pPr>
      <w:r w:rsidRPr="00747170">
        <w:rPr>
          <w:rtl/>
        </w:rPr>
        <w:t>ולעולם תיקון כל דהו בעי' אפי' גבי חובל ומבעיר דהא גבי מילה והבערה דבת כהן אף על פי שאין שם תיקון מעשה מצוה הוא תיקון כל דהו הוי הלכך אין לך בו אלא חדושו בלבד דלא בעי תיקון בגוף הדבר על צורת הגוף הראשונה אבל תיקון כל דהו בעי' משא"כ בשאר מקלקלין שכולן פטורין עד שיהא תיקון בגוף הדבר</w:t>
      </w:r>
      <w:r w:rsidRPr="00747170">
        <w:rPr>
          <w:rFonts w:hint="cs"/>
          <w:rtl/>
        </w:rPr>
        <w:t>.</w:t>
      </w:r>
    </w:p>
    <w:p w14:paraId="4429AB95" w14:textId="77777777" w:rsidR="00274E65" w:rsidRPr="005F2440" w:rsidRDefault="00274E65" w:rsidP="00747170">
      <w:pPr>
        <w:pStyle w:val="afffff5"/>
        <w:rPr>
          <w:rtl/>
        </w:rPr>
      </w:pPr>
      <w:r w:rsidRPr="005F2440">
        <w:rPr>
          <w:rtl/>
        </w:rPr>
        <w:t>והיינו דאמר ליה ר' יוחנן לר' אבהו פוק תני לברא חובל ומבעיר אינה משנה פירוש שיהו חייבין בלא שום תיקון אם תמצא לומר משנה חובל בצריך לכלבו מבעיר בצריך לאפרו הוא חייב אליבא דר"ש משא"כ בשאר המקלקלין כולן ומתני' דקתני כל המקלקלין פטורין קא פסק ותני אפי' חובל ומבעיר הרי הן כשאר המקלקלין כולן רבי יהודה היא ואף על גב דרישא דמתני' אוקימנא כר"ש דקתני קורע בחמתו פטור בעל כרחך רישא ר"ש וסיפא רבי יהודה ותברא מי ששנה זו לא שנה זו</w:t>
      </w:r>
      <w:r w:rsidRPr="005F2440">
        <w:rPr>
          <w:rFonts w:hint="cs"/>
          <w:rtl/>
        </w:rPr>
        <w:t>.</w:t>
      </w:r>
    </w:p>
    <w:p w14:paraId="0DA84C26" w14:textId="63765EF3" w:rsidR="00274E65" w:rsidRDefault="00274E65" w:rsidP="00274E65">
      <w:pPr>
        <w:pStyle w:val="affff5"/>
        <w:rPr>
          <w:rtl/>
        </w:rPr>
      </w:pPr>
      <w:bookmarkStart w:id="4156" w:name="_Toc140743954"/>
      <w:r w:rsidRPr="00716C93">
        <w:rPr>
          <w:rFonts w:hint="cs"/>
          <w:rtl/>
        </w:rPr>
        <w:t>~~~~~~~~~~~~~~~~~~~~~~~~~~~~</w:t>
      </w:r>
      <w:bookmarkEnd w:id="4156"/>
    </w:p>
    <w:p w14:paraId="0C7DF931" w14:textId="77777777" w:rsidR="00274E65" w:rsidRDefault="00274E65" w:rsidP="00274E65">
      <w:pPr>
        <w:pStyle w:val="affff5"/>
        <w:rPr>
          <w:rtl/>
        </w:rPr>
      </w:pPr>
      <w:bookmarkStart w:id="4157" w:name="_Toc140743955"/>
      <w:r>
        <w:rPr>
          <w:rFonts w:hint="cs"/>
          <w:rtl/>
        </w:rPr>
        <w:t>ד' הרמב"ן דצל"ג רק בנהנה במלאכה</w:t>
      </w:r>
      <w:bookmarkEnd w:id="4157"/>
    </w:p>
    <w:p w14:paraId="57CD86CB" w14:textId="77777777" w:rsidR="00274E65" w:rsidRPr="00782D34" w:rsidRDefault="00274E65" w:rsidP="00274E65">
      <w:pPr>
        <w:pStyle w:val="1"/>
        <w:rPr>
          <w:rtl/>
        </w:rPr>
      </w:pPr>
      <w:bookmarkStart w:id="4158" w:name="_Toc140743956"/>
      <w:bookmarkStart w:id="4159" w:name="_Toc140657098"/>
      <w:bookmarkStart w:id="4160" w:name="_Toc140657331"/>
      <w:r>
        <w:rPr>
          <w:rFonts w:hint="cs"/>
          <w:rtl/>
        </w:rPr>
        <w:t>בי' הרמב"ן דמשאצל"ג כשאינו נהנה מהמלאכה וכוונתו לסלק</w:t>
      </w:r>
      <w:bookmarkEnd w:id="4158"/>
    </w:p>
    <w:p w14:paraId="02B90A38" w14:textId="77777777" w:rsidR="00274E65" w:rsidRDefault="00274E65" w:rsidP="00274E65">
      <w:pPr>
        <w:pStyle w:val="afffff7"/>
        <w:rPr>
          <w:rtl/>
        </w:rPr>
      </w:pPr>
      <w:bookmarkStart w:id="4161" w:name="_Toc140744074"/>
      <w:bookmarkStart w:id="4162" w:name="_Toc163506022"/>
      <w:r>
        <w:rPr>
          <w:rtl/>
        </w:rPr>
        <w:t>חדושי הרמב"ן שבת צ"ד ע"ב</w:t>
      </w:r>
      <w:r>
        <w:rPr>
          <w:rFonts w:hint="cs"/>
          <w:rtl/>
        </w:rPr>
        <w:t xml:space="preserve"> ד"ה פי' מלאכה</w:t>
      </w:r>
      <w:bookmarkEnd w:id="4161"/>
      <w:bookmarkEnd w:id="4162"/>
    </w:p>
    <w:p w14:paraId="0FC9AC1C" w14:textId="77777777" w:rsidR="00274E65" w:rsidRDefault="00274E65" w:rsidP="00274E65">
      <w:pPr>
        <w:pStyle w:val="afffff7"/>
        <w:rPr>
          <w:rtl/>
        </w:rPr>
      </w:pPr>
      <w:bookmarkStart w:id="4163" w:name="_Toc140058111"/>
      <w:bookmarkStart w:id="4164" w:name="_Toc140744075"/>
      <w:bookmarkStart w:id="4165" w:name="_Toc140743957"/>
      <w:bookmarkStart w:id="4166" w:name="_Toc163506023"/>
      <w:r>
        <w:rPr>
          <w:rtl/>
        </w:rPr>
        <w:t>חדושי הרשב"א שבת צ"ד ע"א</w:t>
      </w:r>
      <w:r>
        <w:rPr>
          <w:rFonts w:hint="cs"/>
          <w:rtl/>
        </w:rPr>
        <w:t xml:space="preserve"> ד"ה פוטר</w:t>
      </w:r>
      <w:bookmarkEnd w:id="4163"/>
      <w:bookmarkEnd w:id="4164"/>
      <w:bookmarkEnd w:id="4166"/>
    </w:p>
    <w:p w14:paraId="46DC76A1" w14:textId="77777777" w:rsidR="00274E65" w:rsidRDefault="00274E65" w:rsidP="00274E65">
      <w:pPr>
        <w:pStyle w:val="afffff7"/>
        <w:rPr>
          <w:rtl/>
        </w:rPr>
      </w:pPr>
      <w:bookmarkStart w:id="4167" w:name="_Toc140058112"/>
      <w:bookmarkStart w:id="4168" w:name="_Toc140744076"/>
      <w:bookmarkStart w:id="4169" w:name="_Toc163506024"/>
      <w:r>
        <w:rPr>
          <w:rtl/>
        </w:rPr>
        <w:t>חדושי הריטב"א שבת צ"ד ע"א</w:t>
      </w:r>
      <w:r>
        <w:rPr>
          <w:rFonts w:hint="cs"/>
          <w:rtl/>
        </w:rPr>
        <w:t xml:space="preserve"> ד"ה פוטר</w:t>
      </w:r>
      <w:bookmarkEnd w:id="4167"/>
      <w:bookmarkEnd w:id="4168"/>
      <w:bookmarkEnd w:id="4169"/>
    </w:p>
    <w:p w14:paraId="12BFE1C5" w14:textId="77777777" w:rsidR="00274E65" w:rsidRDefault="00274E65" w:rsidP="00274E65">
      <w:pPr>
        <w:pStyle w:val="afffff7"/>
        <w:rPr>
          <w:rtl/>
        </w:rPr>
      </w:pPr>
      <w:bookmarkStart w:id="4170" w:name="_Toc140058117"/>
      <w:bookmarkStart w:id="4171" w:name="_Toc140744077"/>
      <w:bookmarkStart w:id="4172" w:name="_Toc163506025"/>
      <w:r>
        <w:rPr>
          <w:rtl/>
        </w:rPr>
        <w:t>חדושי הר"ן שבת צ"ד ע"א</w:t>
      </w:r>
      <w:r>
        <w:rPr>
          <w:rFonts w:hint="cs"/>
          <w:rtl/>
        </w:rPr>
        <w:t xml:space="preserve"> ד"ה פוטר</w:t>
      </w:r>
      <w:bookmarkEnd w:id="4170"/>
      <w:bookmarkEnd w:id="4171"/>
      <w:bookmarkEnd w:id="4172"/>
    </w:p>
    <w:p w14:paraId="66450FE4" w14:textId="77777777" w:rsidR="00274E65" w:rsidRDefault="00274E65" w:rsidP="00274E65">
      <w:pPr>
        <w:pStyle w:val="a7"/>
        <w:rPr>
          <w:rtl/>
        </w:rPr>
      </w:pPr>
      <w:r>
        <w:rPr>
          <w:rFonts w:hint="cs"/>
          <w:rtl/>
        </w:rPr>
        <w:t>בי' הרמב"ן והרשב"א והריטב"א דבמוציא מת אין לו הנאה ממנו אלא מסילוקו וכן בנחש וכיבוי</w:t>
      </w:r>
      <w:bookmarkEnd w:id="4165"/>
    </w:p>
    <w:p w14:paraId="027F890E" w14:textId="355C9116" w:rsidR="00274E65" w:rsidRPr="00AD3E42" w:rsidRDefault="00274E65" w:rsidP="00BC7DC8">
      <w:pPr>
        <w:pStyle w:val="a3"/>
        <w:rPr>
          <w:rtl/>
        </w:rPr>
      </w:pPr>
      <w:bookmarkStart w:id="4173" w:name="_Ref139469045"/>
      <w:r>
        <w:rPr>
          <w:rFonts w:hint="cs"/>
          <w:rtl/>
        </w:rPr>
        <w:t xml:space="preserve">במוציא מת לקוברו, כתבו </w:t>
      </w:r>
      <w:r w:rsidRPr="00944285">
        <w:rPr>
          <w:rStyle w:val="aff4"/>
          <w:rFonts w:hint="cs"/>
          <w:vanish/>
          <w:rtl/>
        </w:rPr>
        <w:t>-</w:t>
      </w:r>
      <w:r w:rsidRPr="0012119D">
        <w:rPr>
          <w:rStyle w:val="aff4"/>
          <w:rFonts w:hint="cs"/>
          <w:rtl/>
        </w:rPr>
        <w:t>ה</w:t>
      </w:r>
      <w:r w:rsidRPr="0012119D">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Ref139469045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יח)</w:t>
      </w:r>
      <w:r>
        <w:rPr>
          <w:rStyle w:val="aff4"/>
          <w:vanish/>
          <w:rtl/>
        </w:rPr>
        <w:fldChar w:fldCharType="end"/>
      </w:r>
      <w:r w:rsidRPr="0012119D">
        <w:rPr>
          <w:rStyle w:val="aff4"/>
          <w:rFonts w:hint="cs"/>
          <w:vanish/>
          <w:rtl/>
        </w:rPr>
        <w:t xml:space="preserve"> &gt;</w:t>
      </w:r>
      <w:r w:rsidRPr="0012119D">
        <w:rPr>
          <w:rStyle w:val="aff4"/>
          <w:rFonts w:hint="cs"/>
          <w:rtl/>
        </w:rPr>
        <w:t>רמב"ן</w:t>
      </w:r>
      <w:r w:rsidRPr="00FE7099">
        <w:rPr>
          <w:rStyle w:val="aff4"/>
          <w:rFonts w:hint="cs"/>
          <w:vanish/>
          <w:rtl/>
        </w:rPr>
        <w:t>-</w:t>
      </w:r>
      <w:r>
        <w:rPr>
          <w:rFonts w:hint="cs"/>
          <w:rtl/>
        </w:rPr>
        <w:t xml:space="preserve"> </w:t>
      </w:r>
      <w:r w:rsidRPr="00900CB4">
        <w:rPr>
          <w:rStyle w:val="af2"/>
          <w:rFonts w:eastAsia="Guttman Hodes" w:hint="cs"/>
          <w:rtl/>
        </w:rPr>
        <w:t>(צד: ד"ה פי' מלאכה)</w:t>
      </w:r>
      <w:r w:rsidRPr="00944285">
        <w:rPr>
          <w:rFonts w:hint="cs"/>
          <w:vanish/>
          <w:rtl/>
        </w:rPr>
        <w:t>=</w:t>
      </w:r>
      <w:r>
        <w:rPr>
          <w:rFonts w:hint="cs"/>
          <w:rtl/>
        </w:rPr>
        <w:t xml:space="preserve"> </w:t>
      </w:r>
      <w:r w:rsidRPr="00944285">
        <w:rPr>
          <w:rStyle w:val="aff4"/>
          <w:rFonts w:hint="cs"/>
          <w:vanish/>
          <w:rtl/>
        </w:rPr>
        <w:t>-</w:t>
      </w:r>
      <w:r w:rsidRPr="0012119D">
        <w:rPr>
          <w:rStyle w:val="aff4"/>
          <w:rFonts w:hint="cs"/>
          <w:rtl/>
        </w:rPr>
        <w:t>וה</w:t>
      </w:r>
      <w:r w:rsidRPr="0012119D">
        <w:rPr>
          <w:rStyle w:val="aff4"/>
          <w:rFonts w:hint="cs"/>
          <w:vanish/>
          <w:rtl/>
        </w:rPr>
        <w:t>&lt; &gt;</w:t>
      </w:r>
      <w:r w:rsidRPr="0012119D">
        <w:rPr>
          <w:rStyle w:val="aff4"/>
          <w:rFonts w:hint="cs"/>
          <w:rtl/>
        </w:rPr>
        <w:t>רשב"א</w:t>
      </w:r>
      <w:r w:rsidRPr="00944285">
        <w:rPr>
          <w:rStyle w:val="aff4"/>
          <w:rFonts w:hint="cs"/>
          <w:vanish/>
          <w:rtl/>
        </w:rPr>
        <w:t>-</w:t>
      </w:r>
      <w:r>
        <w:rPr>
          <w:rStyle w:val="aff4"/>
          <w:rFonts w:hint="cs"/>
          <w:rtl/>
        </w:rPr>
        <w:t xml:space="preserve"> </w:t>
      </w:r>
      <w:r w:rsidRPr="00900CB4">
        <w:rPr>
          <w:rStyle w:val="af2"/>
          <w:rFonts w:eastAsia="Guttman Hodes" w:hint="cs"/>
          <w:rtl/>
        </w:rPr>
        <w:t>(צד.ד"ה פוטר)</w:t>
      </w:r>
      <w:r w:rsidRPr="00AF6612">
        <w:rPr>
          <w:rFonts w:hint="cs"/>
          <w:vanish/>
          <w:rtl/>
        </w:rPr>
        <w:t>=</w:t>
      </w:r>
      <w:r w:rsidRPr="00AF6612">
        <w:rPr>
          <w:rFonts w:hint="cs"/>
          <w:rtl/>
        </w:rPr>
        <w:t xml:space="preserve"> </w:t>
      </w:r>
      <w:r w:rsidRPr="00944285">
        <w:rPr>
          <w:rStyle w:val="aff4"/>
          <w:rFonts w:hint="cs"/>
          <w:vanish/>
          <w:rtl/>
        </w:rPr>
        <w:t>-</w:t>
      </w:r>
      <w:r w:rsidRPr="00783A3B">
        <w:rPr>
          <w:rStyle w:val="aff4"/>
          <w:rFonts w:hint="cs"/>
          <w:rtl/>
        </w:rPr>
        <w:t>ו</w:t>
      </w:r>
      <w:r w:rsidRPr="0012119D">
        <w:rPr>
          <w:rStyle w:val="aff4"/>
          <w:rFonts w:hint="cs"/>
          <w:rtl/>
        </w:rPr>
        <w:t>ה</w:t>
      </w:r>
      <w:r>
        <w:rPr>
          <w:rStyle w:val="aff4"/>
          <w:rFonts w:hint="cs"/>
          <w:vanish/>
          <w:rtl/>
        </w:rPr>
        <w:t>&lt; &gt;</w:t>
      </w:r>
      <w:r w:rsidRPr="0012119D">
        <w:rPr>
          <w:rStyle w:val="aff4"/>
          <w:rFonts w:hint="cs"/>
          <w:rtl/>
        </w:rPr>
        <w:t xml:space="preserve">ר"ן </w:t>
      </w:r>
      <w:r w:rsidRPr="00FE7099">
        <w:rPr>
          <w:rStyle w:val="aff4"/>
          <w:rFonts w:hint="cs"/>
          <w:vanish/>
          <w:rtl/>
        </w:rPr>
        <w:t>-</w:t>
      </w:r>
      <w:r>
        <w:rPr>
          <w:rFonts w:hint="cs"/>
          <w:rtl/>
        </w:rPr>
        <w:t xml:space="preserve"> </w:t>
      </w:r>
      <w:r w:rsidRPr="00900CB4">
        <w:rPr>
          <w:rStyle w:val="af2"/>
          <w:rFonts w:eastAsia="Guttman Hodes" w:hint="cs"/>
          <w:rtl/>
        </w:rPr>
        <w:t>(צד. ד"ה פוטר)</w:t>
      </w:r>
      <w:r w:rsidRPr="00944285">
        <w:rPr>
          <w:rFonts w:hint="cs"/>
          <w:vanish/>
          <w:rtl/>
        </w:rPr>
        <w:t>=</w:t>
      </w:r>
      <w:r>
        <w:rPr>
          <w:rFonts w:hint="cs"/>
          <w:rtl/>
        </w:rPr>
        <w:t xml:space="preserve"> </w:t>
      </w:r>
      <w:r w:rsidRPr="00AF6612">
        <w:rPr>
          <w:rFonts w:hint="cs"/>
          <w:rtl/>
        </w:rPr>
        <w:t>דהוי מלאכה שאינה צריכה לגופה כיון שאין לו הנאה במה שמוציאו ובמה שקוברו, ויש לו הנאה שמונע מעצמו את הטומאה, וכן בצידת נחש יש לו הנה שלא ינשכנו, דהם מניעת היזק וההנאה והצורך אינם בגוף המלאכה, וכן בכיבוי פתילה וגחלים, חוץ מפתילה שלא הבהבה וגחלים לפחמין, דמדליק ומכבה והכיבוי הוא התיקון עצמו, וכ"כ</w:t>
      </w:r>
      <w:r w:rsidRPr="0012119D">
        <w:rPr>
          <w:rStyle w:val="aff4"/>
          <w:rFonts w:hint="cs"/>
          <w:rtl/>
        </w:rPr>
        <w:t xml:space="preserve"> </w:t>
      </w:r>
      <w:r w:rsidRPr="00944285">
        <w:rPr>
          <w:rStyle w:val="aff4"/>
          <w:rFonts w:hint="cs"/>
          <w:vanish/>
          <w:rtl/>
        </w:rPr>
        <w:t>-</w:t>
      </w:r>
      <w:r w:rsidRPr="00AF6612">
        <w:rPr>
          <w:rStyle w:val="aff4"/>
          <w:rFonts w:hint="cs"/>
          <w:rtl/>
        </w:rPr>
        <w:t>ה</w:t>
      </w:r>
      <w:r w:rsidRPr="0012119D">
        <w:rPr>
          <w:rFonts w:hint="cs"/>
          <w:vanish/>
          <w:rtl/>
        </w:rPr>
        <w:t>&lt; &gt;</w:t>
      </w:r>
      <w:r w:rsidRPr="00AF6612">
        <w:rPr>
          <w:rStyle w:val="aff4"/>
          <w:rFonts w:hint="cs"/>
          <w:rtl/>
        </w:rPr>
        <w:t>ריטב"א</w:t>
      </w:r>
      <w:r w:rsidRPr="00944285">
        <w:rPr>
          <w:rStyle w:val="aff4"/>
          <w:rFonts w:hint="cs"/>
          <w:vanish/>
          <w:rtl/>
        </w:rPr>
        <w:t>-</w:t>
      </w:r>
      <w:r>
        <w:rPr>
          <w:rFonts w:hint="cs"/>
          <w:rtl/>
        </w:rPr>
        <w:t xml:space="preserve"> </w:t>
      </w:r>
      <w:r w:rsidRPr="00900CB4">
        <w:rPr>
          <w:rStyle w:val="af2"/>
          <w:rFonts w:eastAsia="Guttman Hodes" w:hint="cs"/>
          <w:rtl/>
        </w:rPr>
        <w:t>(צד.ד"ה פוטר)</w:t>
      </w:r>
      <w:r w:rsidRPr="00944285">
        <w:rPr>
          <w:rFonts w:hint="cs"/>
          <w:vanish/>
          <w:rtl/>
        </w:rPr>
        <w:t>=</w:t>
      </w:r>
      <w:r>
        <w:rPr>
          <w:rFonts w:hint="cs"/>
          <w:rtl/>
        </w:rPr>
        <w:t xml:space="preserve"> והוסיף דאף דבמת יש צורך למת עצמו וכן יש בזה מצוה, מ"מ חשיב מלאכה שאינה צריכה לגופה, וכן בצידת נחש אין לו הנאה בעיקר הצידה, אלא בסילוק הנזק.</w:t>
      </w:r>
      <w:bookmarkEnd w:id="4173"/>
      <w:r>
        <w:rPr>
          <w:rFonts w:hint="cs"/>
          <w:rtl/>
        </w:rPr>
        <w:t xml:space="preserve"> </w:t>
      </w:r>
    </w:p>
    <w:p w14:paraId="71B98EC9" w14:textId="77777777" w:rsidR="00274E65" w:rsidRPr="00747170" w:rsidRDefault="00274E65" w:rsidP="00747170">
      <w:pPr>
        <w:pStyle w:val="a2"/>
        <w:rPr>
          <w:rtl/>
        </w:rPr>
      </w:pPr>
      <w:r w:rsidRPr="00747170">
        <w:rPr>
          <w:rtl/>
        </w:rPr>
        <w:t>פי' מלאכה שאינה צריכה לגופה כגון מוציא את המת אפי' לקברו שאין לו הנאה בהוצאתו ולא בקבורתו אבל ההנאה היא הטומאה שהוא מונע ממנו, וכן צידת נחש כדי שלא ישכנו נקראת מלאכה שאינה צריכה לגופה שאינה אלא מניעת היזק ואין ההנאה והצורך בגופה של מלאכה, וכן כבוי הפתילה והגחלים לעולם מלאכה שאינה צריכה לגופה חוץ מפתילה שלא הובהבה שהוא צריך להדליקה ולכבותה והכיבוי הוא התיקון בעצמו, וכן במכבה את הגחלים לפחמין</w:t>
      </w:r>
      <w:r w:rsidRPr="00747170">
        <w:rPr>
          <w:rFonts w:hint="cs"/>
          <w:rtl/>
        </w:rPr>
        <w:t>.</w:t>
      </w:r>
    </w:p>
    <w:p w14:paraId="76A7B7C5" w14:textId="77777777" w:rsidR="00274E65" w:rsidRPr="005F2440" w:rsidRDefault="00274E65" w:rsidP="00747170">
      <w:pPr>
        <w:pStyle w:val="afffff5"/>
      </w:pPr>
      <w:r w:rsidRPr="005F2440">
        <w:rPr>
          <w:rtl/>
        </w:rPr>
        <w:t>פוטר היה רבי שמעון אף במוציא את המת לקוברו. פי' משום דאף זו מלאכה שאינה צריכה לגופה לפי שאין לו הנאה לא בהוצאתו ולא בקבורתו, אבל ההנאה היא מניעת הטומאה שהוא מונעו ממנו בהוצאתו, וכן צידת נחש שלא ישכנו נקראת מלאכה שאינה צריכה לגופה שאינו אלא מניעת היזק ואין לו הנאה בגופה של מלאכה, וכן כבוי פתילה וגחלים מלאכה שאינה צריכה לגופה שאין הנאה לו בגופו של כבוי, אלא בכבוי פתילה שצריך להבהבה וגחלים לעשות מהם פחמים שהוא צריך להדליקם ולכבותם והכבוי בעצמו הוא התיקון ממש</w:t>
      </w:r>
      <w:r w:rsidRPr="005F2440">
        <w:rPr>
          <w:rFonts w:hint="cs"/>
          <w:rtl/>
        </w:rPr>
        <w:t>.</w:t>
      </w:r>
    </w:p>
    <w:p w14:paraId="1B41EFFD" w14:textId="77777777" w:rsidR="00274E65" w:rsidRPr="005F2440" w:rsidRDefault="00274E65" w:rsidP="00747170">
      <w:pPr>
        <w:pStyle w:val="afffff5"/>
      </w:pPr>
      <w:r w:rsidRPr="005F2440">
        <w:rPr>
          <w:rtl/>
        </w:rPr>
        <w:t>פוטר היה ר"ש אף במוציא את המת לקוברו. פי' כי אף על פי שיש בו צורך המת וגם יש בזה מצוה, אפ"ה מלאכה שאינה צריכה לגופה חשיבא, כיון שאין לו לזה הנאה בהוצאה וקבורה זו, והנאתו אינה אלא מניעת הטומאה שהוא מונע מביתו, ודכוותה צידת נחש כדי שלא ישכנו (לק' ק"ז ב') חשיבא מלאכה שאינה צריכה לגופה, כיון שאינו נהנה בעיקר הצידה ואין הנאתו אלא סילוק נזק, וכן במכבה את הנר (לעיל ל"א ב') כחס על השמן או על הפתילה או על הכלים שיש בהם דליקה, אין הנאתו בגופו של כיבוי אלא שנהנה לסלק נזק ע"י כיבוי זה, [ואינו חייב] אלא כשמכבה לעשות פחם שהוא נהנה בפחם עצמו בכבוי זה</w:t>
      </w:r>
      <w:r w:rsidRPr="005F2440">
        <w:rPr>
          <w:rFonts w:hint="cs"/>
          <w:rtl/>
        </w:rPr>
        <w:t>.</w:t>
      </w:r>
    </w:p>
    <w:p w14:paraId="4BA07448" w14:textId="77777777" w:rsidR="00274E65" w:rsidRPr="005F2440" w:rsidRDefault="00274E65" w:rsidP="00747170">
      <w:pPr>
        <w:pStyle w:val="afffff5"/>
      </w:pPr>
      <w:r w:rsidRPr="005F2440">
        <w:rPr>
          <w:rtl/>
        </w:rPr>
        <w:t>פוטר היה ר"ש אף במוציא המת לקוברו. פי' משום דהויא ליה מלאכה שאינה צריכה לגופא כללא דמלאכה שאינה צריכה לגופה כל שאינו נהנה מגופה של מלאכה אלא שמונע ממנו היזק בלבד כי היכי שאינו נהנה מהוצאת המת אלא שמונע ממנו הטומאה היינו מלאכה שאינה צריכה ולא תימא כל שאלו ברצונו לא היה צריך לאותה מלאכה כי הכא שברצונו לא היה צריך לאותה מלאכה אף על פי שעכשיו נהנה מאותה מלאכה. שמלאכה שא"צ לגופה היא</w:t>
      </w:r>
      <w:r w:rsidRPr="005F2440">
        <w:rPr>
          <w:rFonts w:hint="cs"/>
          <w:rtl/>
        </w:rPr>
        <w:t>.</w:t>
      </w:r>
    </w:p>
    <w:p w14:paraId="6599D0E9" w14:textId="77777777" w:rsidR="00274E65" w:rsidRPr="007660BC" w:rsidRDefault="00274E65" w:rsidP="00274E65">
      <w:pPr>
        <w:pStyle w:val="afffffb"/>
        <w:rPr>
          <w:vanish/>
          <w:rtl/>
        </w:rPr>
      </w:pPr>
      <w:r w:rsidRPr="007660BC">
        <w:rPr>
          <w:vanish/>
          <w:rtl/>
        </w:rPr>
        <w:t>חדושי הרמב"ן שבת צ"ד ע"ב</w:t>
      </w:r>
      <w:r w:rsidRPr="007660BC">
        <w:rPr>
          <w:rFonts w:hint="cs"/>
          <w:vanish/>
          <w:rtl/>
        </w:rPr>
        <w:t xml:space="preserve"> ד"ה פי' מלאכה</w:t>
      </w:r>
    </w:p>
    <w:p w14:paraId="58F063EB" w14:textId="77777777" w:rsidR="00274E65" w:rsidRPr="00464152" w:rsidRDefault="00274E65" w:rsidP="00274E65">
      <w:pPr>
        <w:pStyle w:val="a7"/>
        <w:rPr>
          <w:rtl/>
        </w:rPr>
      </w:pPr>
      <w:bookmarkStart w:id="4174" w:name="_Toc140743958"/>
      <w:r>
        <w:rPr>
          <w:rFonts w:hint="cs"/>
          <w:rtl/>
        </w:rPr>
        <w:t>בי' הרמב"ן והרשב"א והריטב"א דבנפל דרנא צריך את גוף התפירה ונהנה והוי צל"ג</w:t>
      </w:r>
      <w:bookmarkEnd w:id="4174"/>
    </w:p>
    <w:p w14:paraId="19361015" w14:textId="77777777" w:rsidR="00274E65" w:rsidRPr="007A6851" w:rsidRDefault="00274E65" w:rsidP="00BC7DC8">
      <w:pPr>
        <w:pStyle w:val="a3"/>
        <w:rPr>
          <w:rStyle w:val="af"/>
          <w:sz w:val="18"/>
          <w:szCs w:val="18"/>
        </w:rPr>
      </w:pPr>
      <w:bookmarkStart w:id="4175" w:name="_Ref139747284"/>
      <w:r>
        <w:rPr>
          <w:rFonts w:hint="cs"/>
          <w:rtl/>
        </w:rPr>
        <w:t xml:space="preserve">אך הקשו </w:t>
      </w:r>
      <w:r w:rsidRPr="00944285">
        <w:rPr>
          <w:rStyle w:val="aff4"/>
          <w:rFonts w:hint="cs"/>
          <w:vanish/>
          <w:rtl/>
        </w:rPr>
        <w:t>-</w:t>
      </w:r>
      <w:r w:rsidRPr="0012119D">
        <w:rPr>
          <w:rStyle w:val="aff4"/>
          <w:rFonts w:hint="cs"/>
          <w:rtl/>
        </w:rPr>
        <w:t>הרשב"א והריטב"</w:t>
      </w:r>
      <w:r w:rsidRPr="009D783A">
        <w:rPr>
          <w:rStyle w:val="aff4"/>
          <w:rFonts w:hint="cs"/>
          <w:rtl/>
        </w:rPr>
        <w:t>א והר"ן</w:t>
      </w:r>
      <w:r w:rsidRPr="00FE7099">
        <w:rPr>
          <w:rStyle w:val="aff4"/>
          <w:rFonts w:hint="cs"/>
          <w:vanish/>
          <w:rtl/>
        </w:rPr>
        <w:t>-</w:t>
      </w:r>
      <w:r>
        <w:rPr>
          <w:rFonts w:hint="cs"/>
          <w:rtl/>
        </w:rPr>
        <w:t xml:space="preserve"> דהא דאיתא בגמ' </w:t>
      </w:r>
      <w:r w:rsidRPr="00900CB4">
        <w:rPr>
          <w:rStyle w:val="af2"/>
          <w:rFonts w:eastAsia="Guttman Hodes" w:hint="cs"/>
          <w:rtl/>
        </w:rPr>
        <w:t>(עה.)</w:t>
      </w:r>
      <w:r>
        <w:rPr>
          <w:rFonts w:hint="cs"/>
          <w:rtl/>
        </w:rPr>
        <w:t xml:space="preserve"> דהתופר יריעה שנפל בה דרנא, דהוי מלאכה שצריכה לגופה, אעפ"י שהוא רוצה שלא תפול יריעה בדרנא לעולם, ולעולם אינו מביא את עצמו למלאכה זו וא"צ לאותה מלאכה, ותירצו </w:t>
      </w:r>
      <w:r w:rsidRPr="00944285">
        <w:rPr>
          <w:rStyle w:val="aff4"/>
          <w:rFonts w:hint="cs"/>
          <w:vanish/>
          <w:rtl/>
        </w:rPr>
        <w:t>-</w:t>
      </w:r>
      <w:r w:rsidRPr="0012119D">
        <w:rPr>
          <w:rStyle w:val="aff4"/>
          <w:rFonts w:hint="cs"/>
          <w:rtl/>
        </w:rPr>
        <w:t>הרמב"ן והרשב"א והריטב"א</w:t>
      </w:r>
      <w:r w:rsidRPr="009D783A">
        <w:rPr>
          <w:rStyle w:val="aff4"/>
          <w:rFonts w:hint="cs"/>
          <w:rtl/>
        </w:rPr>
        <w:t xml:space="preserve"> והר"ן</w:t>
      </w:r>
      <w:r w:rsidRPr="00FE7099">
        <w:rPr>
          <w:rStyle w:val="aff4"/>
          <w:rFonts w:hint="cs"/>
          <w:vanish/>
          <w:rtl/>
        </w:rPr>
        <w:t xml:space="preserve"> -</w:t>
      </w:r>
      <w:r>
        <w:rPr>
          <w:rFonts w:hint="cs"/>
          <w:rtl/>
        </w:rPr>
        <w:t xml:space="preserve"> </w:t>
      </w:r>
      <w:bookmarkStart w:id="4176" w:name="_Hlk139747446"/>
      <w:r>
        <w:rPr>
          <w:rFonts w:hint="cs"/>
          <w:rtl/>
        </w:rPr>
        <w:t>דמ"מ אחר שנפלה בה הדרנא, הוא צריך את גוף המלאכה של התפירה והוא נהנה ממנה</w:t>
      </w:r>
      <w:bookmarkEnd w:id="4176"/>
      <w:r>
        <w:rPr>
          <w:rFonts w:hint="cs"/>
          <w:rtl/>
        </w:rPr>
        <w:t xml:space="preserve">, וכתב </w:t>
      </w:r>
      <w:r w:rsidRPr="00944285">
        <w:rPr>
          <w:rStyle w:val="aff4"/>
          <w:rFonts w:hint="cs"/>
          <w:vanish/>
          <w:rtl/>
        </w:rPr>
        <w:t>-</w:t>
      </w:r>
      <w:r w:rsidRPr="0012119D">
        <w:rPr>
          <w:rStyle w:val="aff4"/>
          <w:rFonts w:hint="cs"/>
          <w:rtl/>
        </w:rPr>
        <w:t>הרמב"ן</w:t>
      </w:r>
      <w:r w:rsidRPr="00944285">
        <w:rPr>
          <w:rStyle w:val="aff4"/>
          <w:rFonts w:hint="cs"/>
          <w:vanish/>
          <w:rtl/>
        </w:rPr>
        <w:t>-</w:t>
      </w:r>
      <w:r>
        <w:rPr>
          <w:rFonts w:hint="cs"/>
          <w:rtl/>
        </w:rPr>
        <w:t xml:space="preserve"> דיש שטעו בזה דהוי כמלאכה שאינה צריכה לגופה. </w:t>
      </w:r>
      <w:r w:rsidRPr="00900CB4">
        <w:rPr>
          <w:rStyle w:val="af"/>
          <w:rFonts w:hint="cs"/>
          <w:rtl/>
        </w:rPr>
        <w:t>[עי'</w:t>
      </w:r>
      <w:r>
        <w:rPr>
          <w:rStyle w:val="af"/>
          <w:rFonts w:hint="cs"/>
          <w:rtl/>
        </w:rPr>
        <w:t xml:space="preserve"> במ"ש </w:t>
      </w:r>
      <w:r w:rsidRPr="00944285">
        <w:rPr>
          <w:rStyle w:val="aff9"/>
          <w:rFonts w:hint="cs"/>
          <w:vanish/>
          <w:rtl/>
        </w:rPr>
        <w:t>-</w:t>
      </w:r>
      <w:r w:rsidRPr="00944285">
        <w:rPr>
          <w:rStyle w:val="aff9"/>
          <w:rFonts w:hint="cs"/>
          <w:rtl/>
        </w:rPr>
        <w:t>רש"י</w:t>
      </w:r>
      <w:r w:rsidRPr="00944285">
        <w:rPr>
          <w:rStyle w:val="aff9"/>
          <w:rFonts w:hint="cs"/>
          <w:vanish/>
          <w:rtl/>
        </w:rPr>
        <w:t>-</w:t>
      </w:r>
      <w:r w:rsidRPr="00E01F7E">
        <w:rPr>
          <w:rStyle w:val="af"/>
          <w:rFonts w:hint="cs"/>
          <w:rtl/>
        </w:rPr>
        <w:t xml:space="preserve"> </w:t>
      </w:r>
      <w:r w:rsidRPr="003B63CB">
        <w:rPr>
          <w:rStyle w:val="af2"/>
          <w:rFonts w:eastAsia="Guttman Hodes" w:hint="cs"/>
          <w:rtl/>
        </w:rPr>
        <w:t>(צג: ד"ה ור"ש</w:t>
      </w:r>
      <w:r>
        <w:rPr>
          <w:rStyle w:val="af2"/>
          <w:rFonts w:eastAsia="Guttman Hodes" w:hint="cs"/>
          <w:rtl/>
        </w:rPr>
        <w:t>, הובא בסימן ח אות ב'</w:t>
      </w:r>
      <w:r w:rsidRPr="00900CB4">
        <w:rPr>
          <w:rStyle w:val="af2"/>
          <w:rFonts w:eastAsia="Guttman Hodes" w:hint="cs"/>
          <w:rtl/>
        </w:rPr>
        <w:t>)</w:t>
      </w:r>
      <w:r>
        <w:rPr>
          <w:rStyle w:val="af"/>
          <w:rFonts w:hint="cs"/>
          <w:rtl/>
        </w:rPr>
        <w:t xml:space="preserve"> ד</w:t>
      </w:r>
      <w:r w:rsidRPr="007A6851">
        <w:rPr>
          <w:rStyle w:val="af"/>
          <w:rtl/>
        </w:rPr>
        <w:t xml:space="preserve">מלאכה שאינה צריכה לגופה, </w:t>
      </w:r>
      <w:r>
        <w:rPr>
          <w:rStyle w:val="af"/>
          <w:rFonts w:hint="cs"/>
          <w:rtl/>
        </w:rPr>
        <w:t xml:space="preserve">היינו </w:t>
      </w:r>
      <w:r w:rsidRPr="007A6851">
        <w:rPr>
          <w:rStyle w:val="af"/>
          <w:rtl/>
        </w:rPr>
        <w:t>דברצונו לא הייתה באה המלאכה כלל וא"צ את המלאכה עצמה</w:t>
      </w:r>
      <w:r>
        <w:rPr>
          <w:rStyle w:val="af"/>
          <w:rFonts w:hint="cs"/>
          <w:rtl/>
        </w:rPr>
        <w:t>, ובמה שדחו</w:t>
      </w:r>
      <w:r w:rsidRPr="00900CB4">
        <w:rPr>
          <w:rStyle w:val="af"/>
          <w:rFonts w:hint="cs"/>
          <w:rtl/>
        </w:rPr>
        <w:t xml:space="preserve"> </w:t>
      </w:r>
      <w:r w:rsidRPr="00CF788E">
        <w:rPr>
          <w:rStyle w:val="aff9"/>
          <w:rFonts w:hint="cs"/>
          <w:vanish/>
          <w:rtl/>
        </w:rPr>
        <w:t>–</w:t>
      </w:r>
      <w:r w:rsidRPr="00CF788E">
        <w:rPr>
          <w:rStyle w:val="aff9"/>
          <w:rFonts w:hint="cs"/>
          <w:rtl/>
        </w:rPr>
        <w:t>התוס'</w:t>
      </w:r>
      <w:r w:rsidRPr="00CF788E">
        <w:rPr>
          <w:rStyle w:val="aff9"/>
          <w:rFonts w:hint="cs"/>
          <w:vanish/>
          <w:rtl/>
        </w:rPr>
        <w:t>-</w:t>
      </w:r>
      <w:r w:rsidRPr="00CF788E">
        <w:rPr>
          <w:rStyle w:val="aff9"/>
          <w:rFonts w:hint="cs"/>
          <w:rtl/>
        </w:rPr>
        <w:t xml:space="preserve"> </w:t>
      </w:r>
      <w:r w:rsidRPr="00900CB4">
        <w:rPr>
          <w:rStyle w:val="aff0"/>
          <w:rFonts w:hint="cs"/>
          <w:rtl/>
        </w:rPr>
        <w:t>(</w:t>
      </w:r>
      <w:r w:rsidRPr="003B63CB">
        <w:rPr>
          <w:rStyle w:val="af2"/>
          <w:rFonts w:eastAsia="Guttman Hodes" w:hint="cs"/>
          <w:rtl/>
        </w:rPr>
        <w:t>צד. סוד"ה ר</w:t>
      </w:r>
      <w:r w:rsidRPr="009D252A">
        <w:rPr>
          <w:rStyle w:val="aff0"/>
          <w:rFonts w:hint="cs"/>
          <w:rtl/>
        </w:rPr>
        <w:t>"ש, הובאו בסימן ח' אות י"ג</w:t>
      </w:r>
      <w:r>
        <w:rPr>
          <w:rStyle w:val="aff0"/>
          <w:rFonts w:hint="cs"/>
          <w:rtl/>
        </w:rPr>
        <w:t>)</w:t>
      </w:r>
      <w:r w:rsidRPr="00377BC5">
        <w:rPr>
          <w:rtl/>
        </w:rPr>
        <w:t xml:space="preserve"> </w:t>
      </w:r>
      <w:r w:rsidRPr="00377BC5">
        <w:rPr>
          <w:rStyle w:val="af"/>
          <w:rtl/>
        </w:rPr>
        <w:t>ד</w:t>
      </w:r>
      <w:r>
        <w:rPr>
          <w:rStyle w:val="af"/>
          <w:rFonts w:hint="cs"/>
          <w:rtl/>
        </w:rPr>
        <w:t>בד</w:t>
      </w:r>
      <w:r w:rsidRPr="00377BC5">
        <w:rPr>
          <w:rStyle w:val="af"/>
          <w:rtl/>
        </w:rPr>
        <w:t>רנא לא היה רוצה שתפול דרנא כלל</w:t>
      </w:r>
      <w:r w:rsidRPr="00900CB4">
        <w:rPr>
          <w:rStyle w:val="af"/>
          <w:rFonts w:hint="cs"/>
          <w:rtl/>
        </w:rPr>
        <w:t>]</w:t>
      </w:r>
      <w:r>
        <w:rPr>
          <w:rStyle w:val="af"/>
          <w:rFonts w:hint="cs"/>
          <w:rtl/>
        </w:rPr>
        <w:t>.</w:t>
      </w:r>
    </w:p>
    <w:bookmarkEnd w:id="4175"/>
    <w:p w14:paraId="4A13A3B6" w14:textId="77777777" w:rsidR="00274E65" w:rsidRPr="00747170" w:rsidRDefault="00274E65" w:rsidP="00747170">
      <w:pPr>
        <w:pStyle w:val="a2"/>
      </w:pPr>
      <w:r w:rsidRPr="00747170">
        <w:rPr>
          <w:rtl/>
        </w:rPr>
        <w:t>אבל התופר ביריעה שנפל בה דרנא (ע"ה א') אף על פי שברצונו לא היתה נופלת שם דרנא ולא יבוא לעולם לידי אותה מלאכה, כיון שנפלה שם מ"מ צריך הוא לגופה של תפירה ונהנה בה, וכאן טעו אנשים ולכך כתבתיה.</w:t>
      </w:r>
    </w:p>
    <w:p w14:paraId="6E7C4BCA" w14:textId="77777777" w:rsidR="00274E65" w:rsidRPr="007660BC" w:rsidRDefault="00274E65" w:rsidP="00274E65">
      <w:pPr>
        <w:pStyle w:val="afffffb"/>
        <w:rPr>
          <w:vanish/>
          <w:rtl/>
        </w:rPr>
      </w:pPr>
      <w:bookmarkStart w:id="4177" w:name="_Toc140058113"/>
      <w:bookmarkStart w:id="4178" w:name="_Hlk139450018"/>
      <w:r w:rsidRPr="007660BC">
        <w:rPr>
          <w:vanish/>
          <w:rtl/>
        </w:rPr>
        <w:t>חדושי הרשב"א שבת צ"ד ע"א</w:t>
      </w:r>
      <w:r w:rsidRPr="007660BC">
        <w:rPr>
          <w:rFonts w:hint="cs"/>
          <w:vanish/>
          <w:rtl/>
        </w:rPr>
        <w:t xml:space="preserve"> ד"ה פוטר</w:t>
      </w:r>
      <w:bookmarkEnd w:id="4177"/>
    </w:p>
    <w:bookmarkEnd w:id="4178"/>
    <w:p w14:paraId="317479F2" w14:textId="77777777" w:rsidR="00274E65" w:rsidRPr="005F2440" w:rsidRDefault="00274E65" w:rsidP="00747170">
      <w:pPr>
        <w:pStyle w:val="afffff5"/>
      </w:pPr>
      <w:r w:rsidRPr="005F2440">
        <w:rPr>
          <w:rtl/>
        </w:rPr>
        <w:t>וא"ת אם כן תופר יריעה שנפל בה דרנא לא יהא חייב שאינו צריך לגופה של תפירה שברצונו לא נפל בה דרנא ולא היה צריך לאותה מלאכה, י"ל דמכל מקום כיון שנפל שם דרנא צריך הוא לאותה תפירה ונהנה הוא ממנה.</w:t>
      </w:r>
    </w:p>
    <w:p w14:paraId="5C77129A" w14:textId="77777777" w:rsidR="00274E65" w:rsidRPr="007660BC" w:rsidRDefault="00274E65" w:rsidP="00274E65">
      <w:pPr>
        <w:pStyle w:val="afffffb"/>
        <w:rPr>
          <w:vanish/>
          <w:rtl/>
        </w:rPr>
      </w:pPr>
      <w:bookmarkStart w:id="4179" w:name="_Toc140058114"/>
      <w:bookmarkStart w:id="4180" w:name="_Hlk139450113"/>
      <w:r w:rsidRPr="007660BC">
        <w:rPr>
          <w:vanish/>
          <w:rtl/>
        </w:rPr>
        <w:t>חדושי הריטב"א שבת צ"ד ע"א</w:t>
      </w:r>
      <w:r w:rsidRPr="007660BC">
        <w:rPr>
          <w:rFonts w:hint="cs"/>
          <w:vanish/>
          <w:rtl/>
        </w:rPr>
        <w:t xml:space="preserve"> ד"ה פוטר</w:t>
      </w:r>
      <w:bookmarkEnd w:id="4179"/>
    </w:p>
    <w:p w14:paraId="5F11880B" w14:textId="77777777" w:rsidR="00274E65" w:rsidRPr="005F2440" w:rsidRDefault="00274E65" w:rsidP="00747170">
      <w:pPr>
        <w:pStyle w:val="afffff5"/>
        <w:rPr>
          <w:rtl/>
        </w:rPr>
      </w:pPr>
      <w:r w:rsidRPr="005F2440">
        <w:rPr>
          <w:rtl/>
        </w:rPr>
        <w:t>ואם תאמר א"כ תופר יריעה שנפל בה דרנא (לעיל ע"ה א') לא יהא חייב שהרי אינו צריך לגופה של תפירה מחמת מלאכה הצריכה לגופה של תפירה לא נפל בה דרנא. י"ל דהתם [כיון] דנפל דרנא בה מיהת מלאכה הצריכה לגופה היא כי נהנה הוא באותה תפירה מיהת.</w:t>
      </w:r>
    </w:p>
    <w:p w14:paraId="3E9CEFA1" w14:textId="77777777" w:rsidR="00274E65" w:rsidRPr="007660BC" w:rsidRDefault="00274E65" w:rsidP="00274E65">
      <w:pPr>
        <w:pStyle w:val="afffffb"/>
        <w:rPr>
          <w:vanish/>
          <w:rtl/>
        </w:rPr>
      </w:pPr>
      <w:bookmarkStart w:id="4181" w:name="_Toc140058115"/>
      <w:r w:rsidRPr="007660BC">
        <w:rPr>
          <w:vanish/>
          <w:rtl/>
        </w:rPr>
        <w:t>חדושי הר"ן שבת צ"ד ע"א</w:t>
      </w:r>
      <w:r w:rsidRPr="007660BC">
        <w:rPr>
          <w:rFonts w:hint="cs"/>
          <w:vanish/>
          <w:rtl/>
        </w:rPr>
        <w:t xml:space="preserve"> ד"ה פוטר</w:t>
      </w:r>
    </w:p>
    <w:p w14:paraId="25A1C0F7" w14:textId="77777777" w:rsidR="00274E65" w:rsidRPr="005F2440" w:rsidRDefault="00274E65" w:rsidP="00747170">
      <w:pPr>
        <w:pStyle w:val="afffff5"/>
      </w:pPr>
      <w:r w:rsidRPr="005F2440">
        <w:rPr>
          <w:rtl/>
        </w:rPr>
        <w:t>דאי אמרת הכי תיקשי לך הא דאמרינן בפרק כלל גדול (בידיעה) [ביריעה] שנפל בה דרנא דקורעין אותה ותופרין אותה והא התם ברצונו לא הי' צריך לאותה מלאכה ואפ"ה כיון שנהנה ממנה חייב הלכך כללא דצריכה לגופא ולא צריכה לא תלי אלא אם הוא נהנה מאותה מלאכה ואם לאו כל שנהנה ממנה (ע"פ) [אף על פי] שהוא צריך לאותה מלאכה שלא ברצונו חייב עליה כי התם שברצונו לא היה צריך לתפור ואעפ"כ נהנה מגופה של תפירה אבל כל שאינו נהנה ממנה כהוצאה המת שאינה אלא להעביר את הטומאה שאינה צריכה היא ופטור עליה:</w:t>
      </w:r>
    </w:p>
    <w:p w14:paraId="49749687" w14:textId="77777777" w:rsidR="00274E65" w:rsidRPr="007660BC" w:rsidRDefault="00274E65" w:rsidP="00274E65">
      <w:pPr>
        <w:pStyle w:val="afffffb"/>
        <w:rPr>
          <w:vanish/>
          <w:rtl/>
        </w:rPr>
      </w:pPr>
      <w:r w:rsidRPr="007660BC">
        <w:rPr>
          <w:vanish/>
          <w:rtl/>
        </w:rPr>
        <w:t>חדושי הרשב"א שבת צ"ד ע"א</w:t>
      </w:r>
      <w:r w:rsidRPr="007660BC">
        <w:rPr>
          <w:rFonts w:hint="cs"/>
          <w:vanish/>
          <w:rtl/>
        </w:rPr>
        <w:t xml:space="preserve"> ד"ה פוטר</w:t>
      </w:r>
      <w:bookmarkEnd w:id="4181"/>
    </w:p>
    <w:p w14:paraId="18BF87DF" w14:textId="77777777" w:rsidR="00274E65" w:rsidRDefault="00274E65" w:rsidP="00274E65">
      <w:pPr>
        <w:pStyle w:val="a7"/>
        <w:rPr>
          <w:rtl/>
        </w:rPr>
      </w:pPr>
      <w:bookmarkStart w:id="4182" w:name="_Toc140743959"/>
      <w:r>
        <w:rPr>
          <w:rFonts w:hint="cs"/>
          <w:rtl/>
        </w:rPr>
        <w:t>בי' הרשב"א והריטב"א דדרנא דמי לתולש ממחובר דלא רוצה בחיבור אך עכשיו נהנה בתלישה</w:t>
      </w:r>
      <w:bookmarkEnd w:id="4182"/>
    </w:p>
    <w:p w14:paraId="06CC2CCA" w14:textId="3D019811" w:rsidR="00274E65" w:rsidRPr="00DE32D5" w:rsidRDefault="00274E65" w:rsidP="00BC7DC8">
      <w:pPr>
        <w:pStyle w:val="a3"/>
        <w:rPr>
          <w:rtl/>
        </w:rPr>
      </w:pPr>
      <w:r>
        <w:rPr>
          <w:rFonts w:hint="cs"/>
          <w:rtl/>
        </w:rPr>
        <w:t xml:space="preserve">והוסיפו </w:t>
      </w:r>
      <w:r w:rsidRPr="00944285">
        <w:rPr>
          <w:rStyle w:val="aff4"/>
          <w:rFonts w:hint="cs"/>
          <w:vanish/>
          <w:rtl/>
        </w:rPr>
        <w:t>-</w:t>
      </w:r>
      <w:r w:rsidRPr="0012119D">
        <w:rPr>
          <w:rStyle w:val="aff4"/>
          <w:rFonts w:hint="cs"/>
          <w:rtl/>
        </w:rPr>
        <w:t>הרשב"א והריטב"א</w:t>
      </w:r>
      <w:r w:rsidRPr="00FE7099">
        <w:rPr>
          <w:rStyle w:val="aff4"/>
          <w:rFonts w:hint="cs"/>
          <w:vanish/>
          <w:rtl/>
        </w:rPr>
        <w:t>-</w:t>
      </w:r>
      <w:r>
        <w:rPr>
          <w:rFonts w:hint="cs"/>
          <w:rtl/>
        </w:rPr>
        <w:t xml:space="preserve"> דהתופר יריעה שנפל בה דרנא, דמי לתולש ממחובר דברצונו היה תלוש מעיקרא ולא היה מחובר כלל, דא"צ שיהיה מחובר כדי שיוכל לתלוש, דמ"מ אחר שהדבר מחובר הוא צריך את התלישה ונהנה ממנה ממש ולכן היא מלאכה שצריכה לגופה, והביא </w:t>
      </w:r>
      <w:r w:rsidRPr="00944285">
        <w:rPr>
          <w:rStyle w:val="aff4"/>
          <w:rFonts w:hint="cs"/>
          <w:vanish/>
          <w:rtl/>
        </w:rPr>
        <w:t>-</w:t>
      </w:r>
      <w:r w:rsidRPr="0012119D">
        <w:rPr>
          <w:rStyle w:val="aff4"/>
          <w:rFonts w:hint="cs"/>
          <w:rtl/>
        </w:rPr>
        <w:t>הרשב"א</w:t>
      </w:r>
      <w:r w:rsidRPr="00944285">
        <w:rPr>
          <w:rStyle w:val="aff4"/>
          <w:rFonts w:hint="cs"/>
          <w:vanish/>
          <w:rtl/>
        </w:rPr>
        <w:t>-</w:t>
      </w:r>
      <w:r>
        <w:rPr>
          <w:rFonts w:hint="cs"/>
          <w:rtl/>
        </w:rPr>
        <w:t xml:space="preserve"> את דברי </w:t>
      </w:r>
      <w:r w:rsidRPr="00944285">
        <w:rPr>
          <w:rStyle w:val="aff4"/>
          <w:rFonts w:hint="cs"/>
          <w:vanish/>
          <w:rtl/>
        </w:rPr>
        <w:t>-</w:t>
      </w:r>
      <w:r w:rsidRPr="0012119D">
        <w:rPr>
          <w:rStyle w:val="aff4"/>
          <w:rFonts w:hint="cs"/>
          <w:rtl/>
        </w:rPr>
        <w:t>הבעה"מ</w:t>
      </w:r>
      <w:r w:rsidRPr="00944285">
        <w:rPr>
          <w:rStyle w:val="aff4"/>
          <w:rFonts w:hint="cs"/>
          <w:vanish/>
          <w:rtl/>
        </w:rPr>
        <w:t>-</w:t>
      </w:r>
      <w:r>
        <w:rPr>
          <w:rFonts w:hint="cs"/>
          <w:rtl/>
        </w:rPr>
        <w:t xml:space="preserve"> </w:t>
      </w:r>
      <w:r w:rsidRPr="00900CB4">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Ref140682130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ז)</w:t>
      </w:r>
      <w:r>
        <w:rPr>
          <w:rStyle w:val="af2"/>
          <w:rFonts w:eastAsia="Guttman Hodes"/>
          <w:rtl/>
        </w:rPr>
        <w:fldChar w:fldCharType="end"/>
      </w:r>
      <w:r>
        <w:rPr>
          <w:rFonts w:hint="cs"/>
          <w:rtl/>
        </w:rPr>
        <w:t xml:space="preserve"> דהא דאיתא בגמ' לקמן </w:t>
      </w:r>
      <w:r w:rsidRPr="00900CB4">
        <w:rPr>
          <w:rStyle w:val="af2"/>
          <w:rFonts w:eastAsia="Guttman Hodes" w:hint="cs"/>
          <w:rtl/>
        </w:rPr>
        <w:t>(צ.)</w:t>
      </w:r>
      <w:r>
        <w:rPr>
          <w:rFonts w:hint="cs"/>
          <w:rtl/>
        </w:rPr>
        <w:t xml:space="preserve"> דהמוציא ריח רע חייב, היינו במוציאו לצורך רפואה והוי מלאכה שצריכה לגופה וחייב אף לר"ש.</w:t>
      </w:r>
    </w:p>
    <w:p w14:paraId="61DEEC64" w14:textId="77777777" w:rsidR="00274E65" w:rsidRPr="00747170" w:rsidRDefault="00274E65" w:rsidP="00747170">
      <w:pPr>
        <w:pStyle w:val="a2"/>
      </w:pPr>
      <w:r w:rsidRPr="00747170">
        <w:rPr>
          <w:rtl/>
        </w:rPr>
        <w:t>כתולש מן המחובר דברצונו לא היה מחובר ואינו צריך שיהא מחובר כדי שיתלוש ממנה, ואף על פי כן מאחר שהוא מחובר צריך הוא לתלוש ונהנה הוא מאותה תלישה ממש ומלאכה הצריכה ממש היא, והמוציא ריח רע כל שהוא ששנינו בפרק אמר ר' עקיבא (צ' א') שהוא חייב, אף רבי שמעון מודה בה ובשהוציאו לצורך רפואה לגמר בריח רע והרבה עושין כן, וכן פירשה הר"ז הלוי ז"ל.</w:t>
      </w:r>
    </w:p>
    <w:p w14:paraId="401F9C35" w14:textId="77777777" w:rsidR="00274E65" w:rsidRPr="007660BC" w:rsidRDefault="00274E65" w:rsidP="00274E65">
      <w:pPr>
        <w:pStyle w:val="afffffb"/>
        <w:rPr>
          <w:vanish/>
          <w:rtl/>
        </w:rPr>
      </w:pPr>
      <w:bookmarkStart w:id="4183" w:name="_Toc140058116"/>
      <w:r w:rsidRPr="007660BC">
        <w:rPr>
          <w:vanish/>
          <w:rtl/>
        </w:rPr>
        <w:t>חדושי הריטב"א שבת צ"ד ע"א</w:t>
      </w:r>
      <w:r w:rsidRPr="007660BC">
        <w:rPr>
          <w:rFonts w:hint="cs"/>
          <w:vanish/>
          <w:rtl/>
        </w:rPr>
        <w:t xml:space="preserve"> ד"ה פוטר</w:t>
      </w:r>
      <w:bookmarkEnd w:id="4183"/>
    </w:p>
    <w:bookmarkEnd w:id="4180"/>
    <w:p w14:paraId="17B87BF7" w14:textId="77777777" w:rsidR="00274E65" w:rsidRPr="005F2440" w:rsidRDefault="00274E65" w:rsidP="00747170">
      <w:pPr>
        <w:pStyle w:val="afffff5"/>
        <w:rPr>
          <w:rtl/>
        </w:rPr>
      </w:pPr>
      <w:r w:rsidRPr="005F2440">
        <w:rPr>
          <w:rtl/>
        </w:rPr>
        <w:t>הא למה זה דומה לתולש מן המחובר, כי אף על פי שהוא אינו צריך שיהא מחובר וברצונו לא יהא מחובר עכשיו, מ"מ כיון שהוא מחובר צריך הוא לתלשו ונהנה הוא בתלישה עצמה</w:t>
      </w:r>
      <w:r w:rsidRPr="005F2440">
        <w:rPr>
          <w:rFonts w:hint="cs"/>
          <w:rtl/>
        </w:rPr>
        <w:t>.</w:t>
      </w:r>
    </w:p>
    <w:p w14:paraId="1B787CFD" w14:textId="77777777" w:rsidR="00274E65" w:rsidRDefault="00274E65" w:rsidP="00274E65">
      <w:pPr>
        <w:pStyle w:val="a7"/>
        <w:rPr>
          <w:rtl/>
        </w:rPr>
      </w:pPr>
      <w:bookmarkStart w:id="4184" w:name="_Toc140743960"/>
      <w:r>
        <w:rPr>
          <w:rFonts w:hint="cs"/>
          <w:rtl/>
        </w:rPr>
        <w:t>בי' הריטב"א דקוצר ג"כ א"צ לקצירה עד שיהיה ראוי לאכילה מ"מ חייב דנהנה ממלאכת קוצר</w:t>
      </w:r>
      <w:bookmarkEnd w:id="4184"/>
    </w:p>
    <w:p w14:paraId="785FA99C" w14:textId="77777777" w:rsidR="00274E65" w:rsidRDefault="00274E65" w:rsidP="00BC7DC8">
      <w:pPr>
        <w:pStyle w:val="a3"/>
      </w:pPr>
      <w:r>
        <w:rPr>
          <w:rFonts w:hint="cs"/>
          <w:rtl/>
        </w:rPr>
        <w:t xml:space="preserve">והוסיף </w:t>
      </w:r>
      <w:r w:rsidRPr="00944285">
        <w:rPr>
          <w:rStyle w:val="aff4"/>
          <w:rFonts w:hint="cs"/>
          <w:vanish/>
          <w:rtl/>
        </w:rPr>
        <w:t>-</w:t>
      </w:r>
      <w:r w:rsidRPr="0012119D">
        <w:rPr>
          <w:rStyle w:val="aff4"/>
          <w:rFonts w:hint="cs"/>
          <w:rtl/>
        </w:rPr>
        <w:t>הריטב"א</w:t>
      </w:r>
      <w:r w:rsidRPr="00FE7099">
        <w:rPr>
          <w:rStyle w:val="aff4"/>
          <w:rFonts w:hint="cs"/>
          <w:vanish/>
          <w:rtl/>
        </w:rPr>
        <w:t>-</w:t>
      </w:r>
      <w:r>
        <w:rPr>
          <w:rFonts w:hint="cs"/>
          <w:rtl/>
        </w:rPr>
        <w:t xml:space="preserve"> דאף קוצר הוא מלאכה שצריכה לגופה, דאף שאין לו צורך בקצירה עצמה עד שהדבר הנקצר יהיה ראוי לאכילה, מ"מ כיון דבשעת האכילה יש לו הנאה בגוף מלאכת הקצירה, הוי מלאכה שצריכה לגופה.</w:t>
      </w:r>
    </w:p>
    <w:p w14:paraId="08FAAC41" w14:textId="77777777" w:rsidR="00274E65" w:rsidRPr="00747170" w:rsidRDefault="00274E65" w:rsidP="00747170">
      <w:pPr>
        <w:pStyle w:val="a2"/>
        <w:rPr>
          <w:rtl/>
        </w:rPr>
      </w:pPr>
      <w:r w:rsidRPr="00747170">
        <w:rPr>
          <w:rtl/>
        </w:rPr>
        <w:t>ואפי' בקוצר נהי דאינו צריכה מיד עד שיבא לידי אוכל, כיון שזה תיקון לאוכל בשעת האוכל יש הנאה בגופה של קצירה ממש</w:t>
      </w:r>
      <w:r w:rsidRPr="00747170">
        <w:rPr>
          <w:rFonts w:hint="cs"/>
          <w:rtl/>
        </w:rPr>
        <w:t>.</w:t>
      </w:r>
    </w:p>
    <w:p w14:paraId="13AEE05B" w14:textId="77777777" w:rsidR="00274E65" w:rsidRDefault="00274E65" w:rsidP="00274E65">
      <w:pPr>
        <w:pStyle w:val="afffff7"/>
        <w:rPr>
          <w:rtl/>
        </w:rPr>
      </w:pPr>
      <w:bookmarkStart w:id="4185" w:name="_Toc140744078"/>
      <w:bookmarkStart w:id="4186" w:name="_Toc140743961"/>
      <w:bookmarkStart w:id="4187" w:name="_Toc163506026"/>
      <w:r>
        <w:rPr>
          <w:rtl/>
        </w:rPr>
        <w:t>חדושי הריטב"א שבת ק"ג ע"א</w:t>
      </w:r>
      <w:r>
        <w:rPr>
          <w:rFonts w:hint="cs"/>
          <w:rtl/>
        </w:rPr>
        <w:t xml:space="preserve"> ד"ה ומיהו</w:t>
      </w:r>
      <w:bookmarkEnd w:id="4185"/>
      <w:bookmarkEnd w:id="4187"/>
    </w:p>
    <w:p w14:paraId="36E1B303" w14:textId="77777777" w:rsidR="00274E65" w:rsidRPr="00211E4F" w:rsidRDefault="00274E65" w:rsidP="00274E65">
      <w:pPr>
        <w:pStyle w:val="a7"/>
      </w:pPr>
      <w:r>
        <w:rPr>
          <w:rFonts w:hint="cs"/>
          <w:rtl/>
        </w:rPr>
        <w:t>בי' דצורך המלאכה אינו בהנאת האדם אלא בצורך המלאכה דאמרי' צריך "לגופה" ולא "לגופו"</w:t>
      </w:r>
      <w:bookmarkEnd w:id="4186"/>
    </w:p>
    <w:p w14:paraId="0B9D5D86" w14:textId="2707000C" w:rsidR="00274E65" w:rsidRDefault="00274E65" w:rsidP="00BC7DC8">
      <w:pPr>
        <w:pStyle w:val="a3"/>
      </w:pPr>
      <w:bookmarkStart w:id="4188" w:name="_Ref140684788"/>
      <w:r>
        <w:rPr>
          <w:rFonts w:hint="cs"/>
          <w:rtl/>
        </w:rPr>
        <w:t xml:space="preserve">וביאר </w:t>
      </w:r>
      <w:r w:rsidRPr="00944285">
        <w:rPr>
          <w:rStyle w:val="aff4"/>
          <w:rFonts w:hint="cs"/>
          <w:vanish/>
          <w:rtl/>
        </w:rPr>
        <w:t>-</w:t>
      </w:r>
      <w:r w:rsidRPr="0012119D">
        <w:rPr>
          <w:rStyle w:val="aff4"/>
          <w:rFonts w:hint="cs"/>
          <w:rtl/>
        </w:rPr>
        <w:t>הריטב"א</w:t>
      </w:r>
      <w:r w:rsidRPr="00944285">
        <w:rPr>
          <w:rStyle w:val="aff4"/>
          <w:rFonts w:hint="cs"/>
          <w:vanish/>
          <w:rtl/>
        </w:rPr>
        <w:t>-</w:t>
      </w:r>
      <w:r>
        <w:rPr>
          <w:rFonts w:hint="cs"/>
          <w:rtl/>
        </w:rPr>
        <w:t xml:space="preserve"> דלא אמרינן דהחיוב הוא במלאכה שצריך "לגופו" אלא במלאכה שצריכה "לגופה", </w:t>
      </w:r>
      <w:r w:rsidRPr="00900CB4">
        <w:rPr>
          <w:rStyle w:val="af"/>
          <w:rFonts w:hint="cs"/>
          <w:rtl/>
        </w:rPr>
        <w:t xml:space="preserve">[היינו דאין הכוונה דהצורך הוא </w:t>
      </w:r>
      <w:r>
        <w:rPr>
          <w:rStyle w:val="af"/>
          <w:rFonts w:hint="cs"/>
          <w:rtl/>
        </w:rPr>
        <w:t>בהנאה שלו מ</w:t>
      </w:r>
      <w:r w:rsidRPr="00900CB4">
        <w:rPr>
          <w:rStyle w:val="af"/>
          <w:rFonts w:hint="cs"/>
          <w:rtl/>
        </w:rPr>
        <w:t>הדבר הנקצר, אלא במלאכת הקצירה]</w:t>
      </w:r>
      <w:r w:rsidRPr="002426BB">
        <w:rPr>
          <w:rStyle w:val="af"/>
          <w:rFonts w:hint="cs"/>
          <w:rtl/>
        </w:rPr>
        <w:t>,</w:t>
      </w:r>
      <w:r>
        <w:rPr>
          <w:rFonts w:hint="cs"/>
          <w:rtl/>
        </w:rPr>
        <w:t xml:space="preserve"> וכתב </w:t>
      </w:r>
      <w:r w:rsidRPr="00944285">
        <w:rPr>
          <w:rStyle w:val="aff4"/>
          <w:rFonts w:hint="cs"/>
          <w:vanish/>
          <w:rtl/>
        </w:rPr>
        <w:t>-</w:t>
      </w:r>
      <w:r w:rsidRPr="0012119D">
        <w:rPr>
          <w:rStyle w:val="aff4"/>
          <w:rFonts w:hint="cs"/>
          <w:rtl/>
        </w:rPr>
        <w:t>הריטב"א</w:t>
      </w:r>
      <w:r w:rsidRPr="00944285">
        <w:rPr>
          <w:rStyle w:val="aff4"/>
          <w:rFonts w:hint="cs"/>
          <w:vanish/>
          <w:rtl/>
        </w:rPr>
        <w:t>-</w:t>
      </w:r>
      <w:r>
        <w:rPr>
          <w:rFonts w:hint="cs"/>
          <w:rtl/>
        </w:rPr>
        <w:t xml:space="preserve"> דכן מפורש בדברי </w:t>
      </w:r>
      <w:r w:rsidRPr="00944285">
        <w:rPr>
          <w:rStyle w:val="aff4"/>
          <w:rFonts w:hint="cs"/>
          <w:vanish/>
          <w:rtl/>
        </w:rPr>
        <w:t>-</w:t>
      </w:r>
      <w:r w:rsidRPr="0012119D">
        <w:rPr>
          <w:rStyle w:val="aff4"/>
          <w:rFonts w:hint="cs"/>
          <w:rtl/>
        </w:rPr>
        <w:t>הבעה"מ</w:t>
      </w:r>
      <w:r w:rsidRPr="00944285">
        <w:rPr>
          <w:rStyle w:val="aff4"/>
          <w:rFonts w:hint="cs"/>
          <w:vanish/>
          <w:rtl/>
        </w:rPr>
        <w:t>-</w:t>
      </w:r>
      <w:r>
        <w:rPr>
          <w:rFonts w:hint="cs"/>
          <w:rtl/>
        </w:rPr>
        <w:t xml:space="preserve"> </w:t>
      </w:r>
      <w:r w:rsidRPr="00900CB4">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Ref140678123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ה)</w:t>
      </w:r>
      <w:r>
        <w:rPr>
          <w:rStyle w:val="af2"/>
          <w:rFonts w:eastAsia="Guttman Hodes"/>
          <w:rtl/>
        </w:rPr>
        <w:fldChar w:fldCharType="end"/>
      </w:r>
      <w:r>
        <w:rPr>
          <w:rFonts w:hint="cs"/>
          <w:rtl/>
        </w:rPr>
        <w:t xml:space="preserve">. </w:t>
      </w:r>
      <w:r w:rsidRPr="00900CB4">
        <w:rPr>
          <w:rStyle w:val="af"/>
          <w:rFonts w:hint="cs"/>
          <w:rtl/>
        </w:rPr>
        <w:t>[</w:t>
      </w:r>
      <w:r>
        <w:rPr>
          <w:rStyle w:val="af"/>
          <w:rFonts w:hint="cs"/>
          <w:rtl/>
        </w:rPr>
        <w:t xml:space="preserve">וע"ע במ"ש </w:t>
      </w:r>
      <w:r w:rsidRPr="00FB59DB">
        <w:rPr>
          <w:rStyle w:val="aff9"/>
          <w:rFonts w:hint="cs"/>
          <w:vanish/>
          <w:rtl/>
        </w:rPr>
        <w:t>-</w:t>
      </w:r>
      <w:r>
        <w:rPr>
          <w:rStyle w:val="aff9"/>
          <w:rFonts w:hint="cs"/>
          <w:rtl/>
        </w:rPr>
        <w:t>ה</w:t>
      </w:r>
      <w:r w:rsidRPr="0091017B">
        <w:rPr>
          <w:rStyle w:val="aff9"/>
          <w:rFonts w:hint="cs"/>
          <w:vanish/>
          <w:rtl/>
        </w:rPr>
        <w:t xml:space="preserve">&lt;, </w:t>
      </w:r>
      <w:r w:rsidRPr="0091017B">
        <w:rPr>
          <w:rStyle w:val="aff9"/>
          <w:vanish/>
          <w:rtl/>
        </w:rPr>
        <w:fldChar w:fldCharType="begin"/>
      </w:r>
      <w:r w:rsidRPr="0091017B">
        <w:rPr>
          <w:rStyle w:val="aff9"/>
          <w:vanish/>
          <w:rtl/>
        </w:rPr>
        <w:instrText xml:space="preserve"> </w:instrText>
      </w:r>
      <w:r w:rsidRPr="0091017B">
        <w:rPr>
          <w:rStyle w:val="aff9"/>
          <w:rFonts w:hint="cs"/>
          <w:vanish/>
        </w:rPr>
        <w:instrText>REF</w:instrText>
      </w:r>
      <w:r w:rsidRPr="0091017B">
        <w:rPr>
          <w:rStyle w:val="aff9"/>
          <w:rFonts w:hint="cs"/>
          <w:vanish/>
          <w:rtl/>
        </w:rPr>
        <w:instrText xml:space="preserve"> _</w:instrText>
      </w:r>
      <w:r w:rsidRPr="0091017B">
        <w:rPr>
          <w:rStyle w:val="aff9"/>
          <w:rFonts w:hint="cs"/>
          <w:vanish/>
        </w:rPr>
        <w:instrText>Ref140684788 \r \h</w:instrText>
      </w:r>
      <w:r w:rsidRPr="0091017B">
        <w:rPr>
          <w:rStyle w:val="aff9"/>
          <w:vanish/>
          <w:rtl/>
        </w:rPr>
        <w:instrText xml:space="preserve"> </w:instrText>
      </w:r>
      <w:r>
        <w:rPr>
          <w:rStyle w:val="aff9"/>
          <w:vanish/>
          <w:rtl/>
        </w:rPr>
        <w:instrText xml:space="preserve"> \* </w:instrText>
      </w:r>
      <w:r>
        <w:rPr>
          <w:rStyle w:val="aff9"/>
          <w:vanish/>
        </w:rPr>
        <w:instrText>MERGEFORMAT</w:instrText>
      </w:r>
      <w:r>
        <w:rPr>
          <w:rStyle w:val="aff9"/>
          <w:vanish/>
          <w:rtl/>
        </w:rPr>
        <w:instrText xml:space="preserve"> </w:instrText>
      </w:r>
      <w:r w:rsidRPr="0091017B">
        <w:rPr>
          <w:rStyle w:val="aff9"/>
          <w:vanish/>
          <w:rtl/>
        </w:rPr>
      </w:r>
      <w:r w:rsidRPr="0091017B">
        <w:rPr>
          <w:rStyle w:val="aff9"/>
          <w:vanish/>
          <w:rtl/>
        </w:rPr>
        <w:fldChar w:fldCharType="separate"/>
      </w:r>
      <w:r w:rsidR="00D82181">
        <w:rPr>
          <w:rStyle w:val="aff9"/>
          <w:vanish/>
          <w:cs/>
        </w:rPr>
        <w:t>‎</w:t>
      </w:r>
      <w:r w:rsidR="00D82181">
        <w:rPr>
          <w:rStyle w:val="aff9"/>
          <w:vanish/>
          <w:rtl/>
        </w:rPr>
        <w:t>כב)</w:t>
      </w:r>
      <w:r w:rsidRPr="0091017B">
        <w:rPr>
          <w:rStyle w:val="aff9"/>
          <w:vanish/>
          <w:rtl/>
        </w:rPr>
        <w:fldChar w:fldCharType="end"/>
      </w:r>
      <w:r w:rsidRPr="0091017B">
        <w:rPr>
          <w:rStyle w:val="aff9"/>
          <w:rFonts w:hint="cs"/>
          <w:vanish/>
          <w:rtl/>
        </w:rPr>
        <w:t xml:space="preserve"> &gt;</w:t>
      </w:r>
      <w:r>
        <w:rPr>
          <w:rStyle w:val="aff9"/>
          <w:rFonts w:hint="cs"/>
          <w:rtl/>
        </w:rPr>
        <w:t>ריטב"א</w:t>
      </w:r>
      <w:r w:rsidRPr="00FB59DB">
        <w:rPr>
          <w:rStyle w:val="aff9"/>
          <w:rFonts w:hint="cs"/>
          <w:vanish/>
          <w:rtl/>
        </w:rPr>
        <w:t>-</w:t>
      </w:r>
      <w:r w:rsidRPr="0027107D">
        <w:rPr>
          <w:rStyle w:val="af"/>
          <w:rFonts w:hint="cs"/>
          <w:rtl/>
        </w:rPr>
        <w:t xml:space="preserve"> </w:t>
      </w:r>
      <w:r w:rsidRPr="0027107D">
        <w:rPr>
          <w:rStyle w:val="aff0"/>
          <w:rFonts w:hint="cs"/>
          <w:rtl/>
        </w:rPr>
        <w:t>(</w:t>
      </w:r>
      <w:r>
        <w:rPr>
          <w:rStyle w:val="aff0"/>
          <w:rFonts w:hint="cs"/>
          <w:rtl/>
        </w:rPr>
        <w:t>קג. ד"ה ומיהו)</w:t>
      </w:r>
      <w:r w:rsidRPr="0091017B">
        <w:rPr>
          <w:rStyle w:val="af"/>
          <w:rFonts w:hint="cs"/>
          <w:vanish/>
          <w:rtl/>
        </w:rPr>
        <w:t>=</w:t>
      </w:r>
      <w:r>
        <w:rPr>
          <w:rStyle w:val="af"/>
          <w:rFonts w:hint="cs"/>
          <w:rtl/>
        </w:rPr>
        <w:t xml:space="preserve"> דפסיק רישיה דלא ניחא ליה דאף שהוא אינו נהנה מהמלאכה וא"צ לה, מ"מ המלאכה עצמה צריכה לגופה, ודמי לחורש בבהמה וכוונתה ליגע את הבהמה, ולא שהשדה יהיה חרוש, ועי' במ"ש </w:t>
      </w:r>
      <w:r w:rsidRPr="00904171">
        <w:rPr>
          <w:rStyle w:val="aff9"/>
          <w:rFonts w:hint="cs"/>
          <w:vanish/>
          <w:rtl/>
        </w:rPr>
        <w:t>-</w:t>
      </w:r>
      <w:r w:rsidRPr="00904171">
        <w:rPr>
          <w:rStyle w:val="aff9"/>
          <w:rFonts w:hint="cs"/>
          <w:rtl/>
        </w:rPr>
        <w:t>הי"מ במאירי</w:t>
      </w:r>
      <w:r w:rsidRPr="00904171">
        <w:rPr>
          <w:rStyle w:val="aff9"/>
          <w:rFonts w:hint="cs"/>
          <w:vanish/>
          <w:rtl/>
        </w:rPr>
        <w:t>-</w:t>
      </w:r>
      <w:r w:rsidRPr="00904171">
        <w:rPr>
          <w:rStyle w:val="aff9"/>
          <w:rFonts w:hint="cs"/>
          <w:rtl/>
        </w:rPr>
        <w:t xml:space="preserve"> </w:t>
      </w:r>
      <w:r w:rsidRPr="00904171">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Ref140743294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צ)</w:t>
      </w:r>
      <w:r>
        <w:rPr>
          <w:rStyle w:val="aff0"/>
          <w:rtl/>
        </w:rPr>
        <w:fldChar w:fldCharType="end"/>
      </w:r>
      <w:r>
        <w:rPr>
          <w:rStyle w:val="af"/>
          <w:rFonts w:hint="cs"/>
          <w:rtl/>
        </w:rPr>
        <w:t xml:space="preserve"> לענין זב</w:t>
      </w:r>
      <w:r w:rsidRPr="00900CB4">
        <w:rPr>
          <w:rStyle w:val="af"/>
          <w:rFonts w:hint="cs"/>
          <w:rtl/>
        </w:rPr>
        <w:t>]</w:t>
      </w:r>
      <w:r>
        <w:rPr>
          <w:rStyle w:val="af"/>
          <w:rFonts w:hint="cs"/>
          <w:rtl/>
        </w:rPr>
        <w:t>.</w:t>
      </w:r>
      <w:bookmarkEnd w:id="4188"/>
    </w:p>
    <w:p w14:paraId="2F199295" w14:textId="77777777" w:rsidR="00274E65" w:rsidRPr="00747170" w:rsidRDefault="00274E65" w:rsidP="00747170">
      <w:pPr>
        <w:pStyle w:val="a2"/>
        <w:rPr>
          <w:rtl/>
        </w:rPr>
      </w:pPr>
      <w:r w:rsidRPr="00747170">
        <w:rPr>
          <w:rtl/>
        </w:rPr>
        <w:t>ולא אמרו צריך ואינו צריך לגופו אלא צריכה ואינה צריכה לגופה והוא מן הטעם שאמרנו, וכזה מפורש בספר המאור לרז"ה ז"ל.</w:t>
      </w:r>
    </w:p>
    <w:p w14:paraId="03191AC0" w14:textId="77777777" w:rsidR="00274E65" w:rsidRPr="00904171" w:rsidRDefault="00274E65" w:rsidP="00747170">
      <w:pPr>
        <w:pStyle w:val="afffff5"/>
        <w:rPr>
          <w:rtl/>
        </w:rPr>
      </w:pPr>
      <w:r w:rsidRPr="00904171">
        <w:rPr>
          <w:rStyle w:val="afff7"/>
          <w:rtl/>
        </w:rPr>
        <w:t>ומיהו תמיהא מילתא טובא כל היכא דפסיק רישיה ולא ימות, מאיזה טעם יתיר רבי שמעון משום דלא ניחא ליה דהא טעמא דתלמודא דמודה רבי שמעון בפסיק רישיה ולא ימות, היינו משום דכיון דלא סגיא דלא אתעביד מלאכה הרי הוא כאילו נתכוון ומלאכת מחשבת הוא,</w:t>
      </w:r>
      <w:r w:rsidRPr="00904171">
        <w:rPr>
          <w:rtl/>
        </w:rPr>
        <w:t xml:space="preserve"> וא"כ מה לי אי ניחא ליה או לא ניחא ליה, וליכא למימר דכי לא ניחא ליה הויא לה מלאכה שאינה צריכה לגופה שזה ודאי צריכה היא לגופה, ויפוי קרקע גמור וסחיטה גמורה אלא שהוא אינו צריך לה, וכן אם חרש בבהמות שדה אחת ולא נתכוון אלא ליגע בהמותיו כלום יהא פטור.</w:t>
      </w:r>
    </w:p>
    <w:p w14:paraId="7523E933" w14:textId="77777777" w:rsidR="00274E65" w:rsidRDefault="00274E65" w:rsidP="00274E65">
      <w:pPr>
        <w:pStyle w:val="1"/>
        <w:rPr>
          <w:rtl/>
        </w:rPr>
      </w:pPr>
      <w:bookmarkStart w:id="4189" w:name="_Toc140058037"/>
      <w:bookmarkStart w:id="4190" w:name="_Toc140743962"/>
      <w:r>
        <w:rPr>
          <w:rFonts w:hint="cs"/>
          <w:rtl/>
        </w:rPr>
        <w:t>בי' המרכה"מ ברשב"א</w:t>
      </w:r>
      <w:bookmarkEnd w:id="4189"/>
      <w:r>
        <w:rPr>
          <w:rFonts w:hint="cs"/>
          <w:rtl/>
        </w:rPr>
        <w:t xml:space="preserve"> דמתוקן שהתקלקל תיקונו כדבר חדש</w:t>
      </w:r>
      <w:bookmarkEnd w:id="4190"/>
    </w:p>
    <w:p w14:paraId="7DB6453C" w14:textId="77777777" w:rsidR="00274E65" w:rsidRDefault="00274E65" w:rsidP="00274E65">
      <w:pPr>
        <w:pStyle w:val="afffff7"/>
        <w:rPr>
          <w:rtl/>
        </w:rPr>
      </w:pPr>
      <w:bookmarkStart w:id="4191" w:name="_Toc140058118"/>
      <w:bookmarkStart w:id="4192" w:name="_Toc140744079"/>
      <w:bookmarkStart w:id="4193" w:name="_Toc163506027"/>
      <w:r>
        <w:rPr>
          <w:rtl/>
        </w:rPr>
        <w:t>מרכבת המשנה שבת פ"א ה"א</w:t>
      </w:r>
      <w:r w:rsidRPr="00873DEA">
        <w:rPr>
          <w:rFonts w:hint="cs"/>
          <w:rtl/>
        </w:rPr>
        <w:t xml:space="preserve"> </w:t>
      </w:r>
      <w:r>
        <w:rPr>
          <w:rFonts w:hint="cs"/>
          <w:rtl/>
        </w:rPr>
        <w:t>ד"ה וי</w:t>
      </w:r>
      <w:r>
        <w:rPr>
          <w:rFonts w:cs="Guttman Hodes" w:hint="cs"/>
          <w:rtl/>
        </w:rPr>
        <w:t>"</w:t>
      </w:r>
      <w:r>
        <w:rPr>
          <w:rFonts w:hint="cs"/>
          <w:rtl/>
        </w:rPr>
        <w:t>ל לפי מ</w:t>
      </w:r>
      <w:r>
        <w:rPr>
          <w:rFonts w:cs="Guttman Hodes" w:hint="cs"/>
          <w:rtl/>
        </w:rPr>
        <w:t>"</w:t>
      </w:r>
      <w:r>
        <w:rPr>
          <w:rFonts w:hint="cs"/>
          <w:rtl/>
        </w:rPr>
        <w:t>ש</w:t>
      </w:r>
      <w:bookmarkEnd w:id="4191"/>
      <w:bookmarkEnd w:id="4192"/>
      <w:bookmarkEnd w:id="4193"/>
    </w:p>
    <w:p w14:paraId="548AFB5E" w14:textId="77777777" w:rsidR="00274E65" w:rsidRPr="008379E6" w:rsidRDefault="00274E65" w:rsidP="00274E65">
      <w:pPr>
        <w:pStyle w:val="a7"/>
        <w:rPr>
          <w:rFonts w:asciiTheme="minorHAnsi" w:hAnsiTheme="minorHAnsi" w:cstheme="minorBidi"/>
          <w:rtl/>
        </w:rPr>
      </w:pPr>
      <w:bookmarkStart w:id="4194" w:name="_Toc140743963"/>
      <w:r>
        <w:rPr>
          <w:rFonts w:hint="cs"/>
          <w:rtl/>
        </w:rPr>
        <w:t>בי' המרכה"מ ברשב"א דמשאצל"ג הסרת קלקול ולא תיקון בפנ"ע ולא נהנה מעצם המלאכה</w:t>
      </w:r>
      <w:bookmarkEnd w:id="4194"/>
    </w:p>
    <w:p w14:paraId="72DA26A1" w14:textId="097229BE" w:rsidR="00274E65" w:rsidRDefault="00274E65" w:rsidP="00BC7DC8">
      <w:pPr>
        <w:pStyle w:val="a3"/>
      </w:pPr>
      <w:bookmarkStart w:id="4195" w:name="_Ref139747190"/>
      <w:r>
        <w:rPr>
          <w:rFonts w:hint="cs"/>
          <w:rtl/>
        </w:rPr>
        <w:t xml:space="preserve">במ"ש </w:t>
      </w:r>
      <w:r w:rsidRPr="00CE24CA">
        <w:rPr>
          <w:rStyle w:val="aff4"/>
          <w:rFonts w:hint="cs"/>
          <w:vanish/>
          <w:rtl/>
        </w:rPr>
        <w:t>-</w:t>
      </w:r>
      <w:r w:rsidRPr="00CE24CA">
        <w:rPr>
          <w:rStyle w:val="aff4"/>
          <w:rFonts w:hint="cs"/>
          <w:rtl/>
        </w:rPr>
        <w:t>הרשב"א</w:t>
      </w:r>
      <w:r w:rsidRPr="00CE24CA">
        <w:rPr>
          <w:rStyle w:val="aff4"/>
          <w:rFonts w:hint="cs"/>
          <w:vanish/>
          <w:rtl/>
        </w:rPr>
        <w:t>-</w:t>
      </w:r>
      <w:r>
        <w:rPr>
          <w:rFonts w:hint="cs"/>
          <w:rtl/>
        </w:rPr>
        <w:t xml:space="preserve"> </w:t>
      </w:r>
      <w:r w:rsidRPr="00900CB4">
        <w:rPr>
          <w:rStyle w:val="af2"/>
          <w:rFonts w:eastAsia="Guttman Hodes" w:hint="cs"/>
          <w:rtl/>
        </w:rPr>
        <w:t xml:space="preserve">(עי' אות </w:t>
      </w:r>
      <w:r w:rsidRPr="00900CB4">
        <w:rPr>
          <w:rStyle w:val="af2"/>
          <w:rFonts w:eastAsia="Guttman Hodes"/>
          <w:rtl/>
        </w:rPr>
        <w:fldChar w:fldCharType="begin"/>
      </w:r>
      <w:r w:rsidRPr="00900CB4">
        <w:rPr>
          <w:rStyle w:val="af2"/>
          <w:rFonts w:eastAsia="Guttman Hodes"/>
          <w:rtl/>
        </w:rPr>
        <w:instrText xml:space="preserve"> </w:instrText>
      </w:r>
      <w:r w:rsidRPr="00900CB4">
        <w:rPr>
          <w:rStyle w:val="af2"/>
          <w:rFonts w:eastAsia="Guttman Hodes" w:hint="cs"/>
        </w:rPr>
        <w:instrText>REF</w:instrText>
      </w:r>
      <w:r w:rsidRPr="00900CB4">
        <w:rPr>
          <w:rStyle w:val="af2"/>
          <w:rFonts w:eastAsia="Guttman Hodes" w:hint="cs"/>
          <w:rtl/>
        </w:rPr>
        <w:instrText xml:space="preserve"> _</w:instrText>
      </w:r>
      <w:r w:rsidRPr="00900CB4">
        <w:rPr>
          <w:rStyle w:val="af2"/>
          <w:rFonts w:eastAsia="Guttman Hodes" w:hint="cs"/>
        </w:rPr>
        <w:instrText>Ref139469045 \r \h</w:instrText>
      </w:r>
      <w:r w:rsidRPr="00900CB4">
        <w:rPr>
          <w:rStyle w:val="af2"/>
          <w:rFonts w:eastAsia="Guttman Hodes"/>
          <w:rtl/>
        </w:rPr>
        <w:instrText xml:space="preserve"> </w:instrText>
      </w:r>
      <w:r w:rsidRPr="00900CB4">
        <w:rPr>
          <w:rStyle w:val="af2"/>
          <w:rFonts w:eastAsia="Guttman Hodes"/>
          <w:rtl/>
        </w:rPr>
      </w:r>
      <w:r w:rsidRPr="00900CB4">
        <w:rPr>
          <w:rStyle w:val="af2"/>
          <w:rFonts w:eastAsia="Guttman Hodes"/>
          <w:rtl/>
        </w:rPr>
        <w:fldChar w:fldCharType="separate"/>
      </w:r>
      <w:r w:rsidR="00D82181">
        <w:rPr>
          <w:rStyle w:val="af2"/>
          <w:rFonts w:eastAsia="Guttman Hodes"/>
          <w:cs/>
        </w:rPr>
        <w:t>‎</w:t>
      </w:r>
      <w:r w:rsidR="00D82181">
        <w:rPr>
          <w:rStyle w:val="af2"/>
          <w:rFonts w:eastAsia="Guttman Hodes"/>
          <w:rtl/>
        </w:rPr>
        <w:t>יח)</w:t>
      </w:r>
      <w:r w:rsidRPr="00900CB4">
        <w:rPr>
          <w:rStyle w:val="af2"/>
          <w:rFonts w:eastAsia="Guttman Hodes"/>
          <w:rtl/>
        </w:rPr>
        <w:fldChar w:fldCharType="end"/>
      </w:r>
      <w:r>
        <w:rPr>
          <w:rFonts w:hint="cs"/>
          <w:rtl/>
        </w:rPr>
        <w:t xml:space="preserve"> דמוציא מת לקוברו,</w:t>
      </w:r>
      <w:r w:rsidRPr="00AF6612">
        <w:rPr>
          <w:rFonts w:hint="cs"/>
          <w:rtl/>
        </w:rPr>
        <w:t xml:space="preserve"> אין לו הנאה </w:t>
      </w:r>
      <w:r>
        <w:rPr>
          <w:rFonts w:hint="cs"/>
          <w:rtl/>
        </w:rPr>
        <w:t>בהוצאתו</w:t>
      </w:r>
      <w:r w:rsidRPr="00AF6612">
        <w:rPr>
          <w:rFonts w:hint="cs"/>
          <w:rtl/>
        </w:rPr>
        <w:t xml:space="preserve">, ויש לו הנאה שמונע </w:t>
      </w:r>
      <w:r>
        <w:rPr>
          <w:rFonts w:hint="cs"/>
          <w:rtl/>
        </w:rPr>
        <w:t>מ</w:t>
      </w:r>
      <w:r w:rsidRPr="00AF6612">
        <w:rPr>
          <w:rFonts w:hint="cs"/>
          <w:rtl/>
        </w:rPr>
        <w:t xml:space="preserve">עצמו את הטומאה, וכן בצידת נחש </w:t>
      </w:r>
      <w:r>
        <w:rPr>
          <w:rFonts w:hint="cs"/>
          <w:rtl/>
        </w:rPr>
        <w:t>ו</w:t>
      </w:r>
      <w:r w:rsidRPr="00AF6612">
        <w:rPr>
          <w:rFonts w:hint="cs"/>
          <w:rtl/>
        </w:rPr>
        <w:t>כיבוי פתילה,</w:t>
      </w:r>
      <w:r>
        <w:rPr>
          <w:rFonts w:hint="cs"/>
          <w:rtl/>
        </w:rPr>
        <w:t xml:space="preserve"> </w:t>
      </w:r>
      <w:bookmarkStart w:id="4196" w:name="_Hlk139748181"/>
      <w:r>
        <w:rPr>
          <w:rFonts w:hint="cs"/>
          <w:rtl/>
        </w:rPr>
        <w:t xml:space="preserve">ביאר </w:t>
      </w:r>
      <w:r w:rsidRPr="00CE24CA">
        <w:rPr>
          <w:rStyle w:val="aff4"/>
          <w:rFonts w:hint="cs"/>
          <w:vanish/>
          <w:rtl/>
        </w:rPr>
        <w:t>-</w:t>
      </w:r>
      <w:r w:rsidRPr="00CE24CA">
        <w:rPr>
          <w:rStyle w:val="aff4"/>
          <w:rFonts w:hint="cs"/>
          <w:rtl/>
        </w:rPr>
        <w:t>ה</w:t>
      </w:r>
      <w:r w:rsidRPr="00CE24CA">
        <w:rPr>
          <w:rStyle w:val="aff4"/>
          <w:rFonts w:hint="cs"/>
          <w:vanish/>
          <w:rtl/>
        </w:rPr>
        <w:t xml:space="preserve">&lt;, </w:t>
      </w:r>
      <w:r w:rsidRPr="00CE24CA">
        <w:rPr>
          <w:rStyle w:val="aff4"/>
          <w:vanish/>
          <w:rtl/>
        </w:rPr>
        <w:fldChar w:fldCharType="begin"/>
      </w:r>
      <w:r w:rsidRPr="00CE24CA">
        <w:rPr>
          <w:rStyle w:val="aff4"/>
          <w:vanish/>
          <w:rtl/>
        </w:rPr>
        <w:instrText xml:space="preserve"> </w:instrText>
      </w:r>
      <w:r w:rsidRPr="00CE24CA">
        <w:rPr>
          <w:rStyle w:val="aff4"/>
          <w:rFonts w:hint="cs"/>
          <w:vanish/>
        </w:rPr>
        <w:instrText>REF</w:instrText>
      </w:r>
      <w:r w:rsidRPr="00CE24CA">
        <w:rPr>
          <w:rStyle w:val="aff4"/>
          <w:rFonts w:hint="cs"/>
          <w:vanish/>
          <w:rtl/>
        </w:rPr>
        <w:instrText xml:space="preserve"> _</w:instrText>
      </w:r>
      <w:r w:rsidRPr="00CE24CA">
        <w:rPr>
          <w:rStyle w:val="aff4"/>
          <w:rFonts w:hint="cs"/>
          <w:vanish/>
        </w:rPr>
        <w:instrText>Ref139747190 \r \h</w:instrText>
      </w:r>
      <w:r w:rsidRPr="00CE24CA">
        <w:rPr>
          <w:rStyle w:val="aff4"/>
          <w:vanish/>
          <w:rtl/>
        </w:rPr>
        <w:instrText xml:space="preserve"> </w:instrText>
      </w:r>
      <w:r w:rsidRPr="00CE24CA">
        <w:rPr>
          <w:rStyle w:val="aff4"/>
          <w:vanish/>
          <w:rtl/>
        </w:rPr>
      </w:r>
      <w:r w:rsidRPr="00CE24CA">
        <w:rPr>
          <w:rStyle w:val="aff4"/>
          <w:vanish/>
          <w:rtl/>
        </w:rPr>
        <w:fldChar w:fldCharType="separate"/>
      </w:r>
      <w:r w:rsidR="00D82181">
        <w:rPr>
          <w:rStyle w:val="aff4"/>
          <w:vanish/>
          <w:cs/>
        </w:rPr>
        <w:t>‎</w:t>
      </w:r>
      <w:r w:rsidR="00D82181">
        <w:rPr>
          <w:rStyle w:val="aff4"/>
          <w:vanish/>
          <w:rtl/>
        </w:rPr>
        <w:t>כג)</w:t>
      </w:r>
      <w:r w:rsidRPr="00CE24CA">
        <w:rPr>
          <w:rStyle w:val="aff4"/>
          <w:vanish/>
          <w:rtl/>
        </w:rPr>
        <w:fldChar w:fldCharType="end"/>
      </w:r>
      <w:r w:rsidRPr="00CE24CA">
        <w:rPr>
          <w:rStyle w:val="aff4"/>
          <w:rFonts w:hint="cs"/>
          <w:vanish/>
          <w:rtl/>
        </w:rPr>
        <w:t xml:space="preserve"> &gt;</w:t>
      </w:r>
      <w:r w:rsidRPr="00CE24CA">
        <w:rPr>
          <w:rStyle w:val="aff4"/>
          <w:rFonts w:hint="cs"/>
          <w:rtl/>
        </w:rPr>
        <w:t>מרכבת המשנה</w:t>
      </w:r>
      <w:r w:rsidRPr="00CE24CA">
        <w:rPr>
          <w:rStyle w:val="aff4"/>
          <w:rFonts w:hint="cs"/>
          <w:vanish/>
          <w:rtl/>
        </w:rPr>
        <w:t>-</w:t>
      </w:r>
      <w:r>
        <w:rPr>
          <w:rFonts w:hint="cs"/>
          <w:rtl/>
        </w:rPr>
        <w:t xml:space="preserve"> </w:t>
      </w:r>
      <w:r w:rsidRPr="00900CB4">
        <w:rPr>
          <w:rStyle w:val="af2"/>
          <w:rFonts w:eastAsia="Guttman Hodes" w:hint="cs"/>
          <w:rtl/>
        </w:rPr>
        <w:t>(שבת פ"א ה"א ד"ה וי"ל לפי מ"ש)</w:t>
      </w:r>
      <w:r w:rsidRPr="00CE24CA">
        <w:rPr>
          <w:rFonts w:hint="cs"/>
          <w:vanish/>
          <w:rtl/>
        </w:rPr>
        <w:t>=</w:t>
      </w:r>
      <w:r>
        <w:rPr>
          <w:rFonts w:hint="cs"/>
          <w:rtl/>
        </w:rPr>
        <w:t xml:space="preserve"> </w:t>
      </w:r>
      <w:bookmarkEnd w:id="4196"/>
      <w:r>
        <w:rPr>
          <w:rFonts w:hint="cs"/>
          <w:rtl/>
        </w:rPr>
        <w:t xml:space="preserve">דבמלאכה שהיא תיקון חייב לכו"ע ובקלקול פטור לכו"ע, ורי ור"ש נחלקו במלאכה שמסירה את הקלקול אך אינה תיקון בפנ"ע, דהיא מלאכה שאינה צריכה לגופה כהוצאת המת, דאינו נהנה מעצם המלאכה שאין בה תיקון, אלא מסלק את הנזק ומחזיר את הדבר לקדמותו, וכתב </w:t>
      </w:r>
      <w:r w:rsidRPr="00CE24CA">
        <w:rPr>
          <w:rStyle w:val="aff4"/>
          <w:rFonts w:hint="cs"/>
          <w:vanish/>
          <w:rtl/>
        </w:rPr>
        <w:t>-</w:t>
      </w:r>
      <w:r w:rsidRPr="00CE24CA">
        <w:rPr>
          <w:rStyle w:val="aff4"/>
          <w:rFonts w:hint="cs"/>
          <w:rtl/>
        </w:rPr>
        <w:t>המרכבת המשנה</w:t>
      </w:r>
      <w:r w:rsidRPr="00CE24CA">
        <w:rPr>
          <w:rStyle w:val="aff4"/>
          <w:rFonts w:hint="cs"/>
          <w:vanish/>
          <w:rtl/>
        </w:rPr>
        <w:t>-</w:t>
      </w:r>
      <w:r>
        <w:rPr>
          <w:rFonts w:hint="cs"/>
          <w:rtl/>
        </w:rPr>
        <w:t xml:space="preserve"> דע"ז הקשה </w:t>
      </w:r>
      <w:r w:rsidRPr="00CE24CA">
        <w:rPr>
          <w:rStyle w:val="aff4"/>
          <w:rFonts w:hint="cs"/>
          <w:vanish/>
          <w:rtl/>
        </w:rPr>
        <w:t>-</w:t>
      </w:r>
      <w:r w:rsidRPr="00CE24CA">
        <w:rPr>
          <w:rStyle w:val="aff4"/>
          <w:rFonts w:hint="cs"/>
          <w:rtl/>
        </w:rPr>
        <w:t>הרשב"א</w:t>
      </w:r>
      <w:r w:rsidRPr="00CE24CA">
        <w:rPr>
          <w:rStyle w:val="aff4"/>
          <w:rFonts w:hint="cs"/>
          <w:vanish/>
          <w:rtl/>
        </w:rPr>
        <w:t>-</w:t>
      </w:r>
      <w:r>
        <w:rPr>
          <w:rFonts w:hint="cs"/>
          <w:rtl/>
        </w:rPr>
        <w:t xml:space="preserve"> </w:t>
      </w:r>
      <w:r w:rsidRPr="00900CB4">
        <w:rPr>
          <w:rStyle w:val="af2"/>
          <w:rFonts w:eastAsia="Guttman Hodes" w:hint="cs"/>
          <w:rtl/>
        </w:rPr>
        <w:t xml:space="preserve">(עי' אות </w:t>
      </w:r>
      <w:r w:rsidRPr="00900CB4">
        <w:rPr>
          <w:rStyle w:val="af2"/>
          <w:rFonts w:eastAsia="Guttman Hodes"/>
          <w:rtl/>
        </w:rPr>
        <w:fldChar w:fldCharType="begin"/>
      </w:r>
      <w:r w:rsidRPr="00900CB4">
        <w:rPr>
          <w:rStyle w:val="af2"/>
          <w:rFonts w:eastAsia="Guttman Hodes"/>
          <w:rtl/>
        </w:rPr>
        <w:instrText xml:space="preserve"> </w:instrText>
      </w:r>
      <w:r w:rsidRPr="00900CB4">
        <w:rPr>
          <w:rStyle w:val="af2"/>
          <w:rFonts w:eastAsia="Guttman Hodes" w:hint="cs"/>
        </w:rPr>
        <w:instrText>REF</w:instrText>
      </w:r>
      <w:r w:rsidRPr="00900CB4">
        <w:rPr>
          <w:rStyle w:val="af2"/>
          <w:rFonts w:eastAsia="Guttman Hodes" w:hint="cs"/>
          <w:rtl/>
        </w:rPr>
        <w:instrText xml:space="preserve"> _</w:instrText>
      </w:r>
      <w:r w:rsidRPr="00900CB4">
        <w:rPr>
          <w:rStyle w:val="af2"/>
          <w:rFonts w:eastAsia="Guttman Hodes" w:hint="cs"/>
        </w:rPr>
        <w:instrText>Ref139747284 \r \h</w:instrText>
      </w:r>
      <w:r w:rsidRPr="00900CB4">
        <w:rPr>
          <w:rStyle w:val="af2"/>
          <w:rFonts w:eastAsia="Guttman Hodes"/>
          <w:rtl/>
        </w:rPr>
        <w:instrText xml:space="preserve"> </w:instrText>
      </w:r>
      <w:r w:rsidRPr="00900CB4">
        <w:rPr>
          <w:rStyle w:val="af2"/>
          <w:rFonts w:eastAsia="Guttman Hodes"/>
          <w:rtl/>
        </w:rPr>
      </w:r>
      <w:r w:rsidRPr="00900CB4">
        <w:rPr>
          <w:rStyle w:val="af2"/>
          <w:rFonts w:eastAsia="Guttman Hodes"/>
          <w:rtl/>
        </w:rPr>
        <w:fldChar w:fldCharType="separate"/>
      </w:r>
      <w:r w:rsidR="00D82181">
        <w:rPr>
          <w:rStyle w:val="af2"/>
          <w:rFonts w:eastAsia="Guttman Hodes"/>
          <w:cs/>
        </w:rPr>
        <w:t>‎</w:t>
      </w:r>
      <w:r w:rsidR="00D82181">
        <w:rPr>
          <w:rStyle w:val="af2"/>
          <w:rFonts w:eastAsia="Guttman Hodes"/>
          <w:rtl/>
        </w:rPr>
        <w:t>יט)</w:t>
      </w:r>
      <w:r w:rsidRPr="00900CB4">
        <w:rPr>
          <w:rStyle w:val="af2"/>
          <w:rFonts w:eastAsia="Guttman Hodes"/>
          <w:rtl/>
        </w:rPr>
        <w:fldChar w:fldCharType="end"/>
      </w:r>
      <w:r>
        <w:rPr>
          <w:rFonts w:hint="cs"/>
          <w:rtl/>
        </w:rPr>
        <w:t xml:space="preserve"> דאף הוצאת המת תחשב תיקון כמו תפירה בבגד קרוע דהוא מחזיר את הדבר לקדמותו.</w:t>
      </w:r>
    </w:p>
    <w:bookmarkEnd w:id="4195"/>
    <w:p w14:paraId="3608D464" w14:textId="77777777" w:rsidR="00274E65" w:rsidRPr="00747170" w:rsidRDefault="00274E65" w:rsidP="00747170">
      <w:pPr>
        <w:pStyle w:val="a2"/>
        <w:rPr>
          <w:rtl/>
        </w:rPr>
      </w:pPr>
      <w:r w:rsidRPr="00747170">
        <w:rPr>
          <w:rtl/>
        </w:rPr>
        <w:t>וי"ל לפי מ"ש הרשב"א בשבע שיטות בסוגיין דהוצאת המת וצידת נחש וכיבוי מקרי משאצל"ג לפי שאין לו הנאה מגוף המלאכה דהיינו מן הוצאה וצידה וכבוי אלא ההנאה מניעת ההיזק שהיא טומאת הבית ונשיכת הנחש והפסד הפתילה ולא דמי לעושה פחם שצריך להדליק ולכבות והכבוי בעצמו הוא התיקון וא"ת תופר יריעה שנפל בו דרנא יהא פטור שברצונו לא נפל בו דרנא ולא היה צריך לעשות מלאכה וי"ל דמ"מ כיון שנפל בו דרנא צריך הוא למלאכה ונהנה הוא ממנה והרי הוא כתולש מן המחובר שברצונו לא היה מחובר ואינו צריך שיהיה מחובר כדי שיתלוש ואעפ"כ מאחר שהוא מחובר צריך הוא שיתלוש ונהנה ממנה והו"ל מלאכה שצריכה לגופה ע"כ. פי' לדבריו דיש ג' מיני מלאכות בעולם מלאכות תיקון ומלאכות קלקול ומלאכה שאינה לא תיקון ולא קלקול אלא מבטל הקלקול ובמלאכת תיקון דברי הכל חייב ובקלקול דברי הכל פטור כי פליגי במבטל הקלקול דהיינו משאצל"ג כיון שאינו נהנה דאין כאן תיקון. אך דהיה קשה דאכתי הוצאת המת יהיה חשוב תיקון כיון שמבטל הקלקול ומחזיר הדבר לקדמותו ומאי שנא מתופר בגד קרוע דחשיב תיקון כשמחזיר הדבר לקדמותו.</w:t>
      </w:r>
    </w:p>
    <w:p w14:paraId="0BC8DB5F" w14:textId="77777777" w:rsidR="00274E65" w:rsidRDefault="00274E65" w:rsidP="00274E65">
      <w:pPr>
        <w:pStyle w:val="a7"/>
        <w:rPr>
          <w:rtl/>
        </w:rPr>
      </w:pPr>
      <w:bookmarkStart w:id="4197" w:name="_Toc140743964"/>
      <w:r>
        <w:rPr>
          <w:rFonts w:hint="cs"/>
          <w:rtl/>
        </w:rPr>
        <w:t>בי' המרכה"מ ברשב"א דבר מתוקן שהתקלקל ומתקנו הוי כתיקון חדש ולא סילוק נזק ול"ד למת</w:t>
      </w:r>
      <w:bookmarkEnd w:id="4197"/>
    </w:p>
    <w:p w14:paraId="3394733A" w14:textId="5F3F3046" w:rsidR="00274E65" w:rsidRPr="009310B3" w:rsidRDefault="00274E65" w:rsidP="00BC7DC8">
      <w:pPr>
        <w:pStyle w:val="a3"/>
        <w:rPr>
          <w:rtl/>
        </w:rPr>
      </w:pPr>
      <w:r>
        <w:rPr>
          <w:rFonts w:hint="cs"/>
          <w:rtl/>
        </w:rPr>
        <w:t xml:space="preserve">ובמה שתירץ </w:t>
      </w:r>
      <w:r w:rsidRPr="00CE24CA">
        <w:rPr>
          <w:rStyle w:val="aff4"/>
          <w:rFonts w:hint="cs"/>
          <w:vanish/>
          <w:rtl/>
        </w:rPr>
        <w:t>-</w:t>
      </w:r>
      <w:r w:rsidRPr="00CE24CA">
        <w:rPr>
          <w:rStyle w:val="aff4"/>
          <w:rFonts w:hint="cs"/>
          <w:rtl/>
        </w:rPr>
        <w:t>הרשב"א</w:t>
      </w:r>
      <w:r w:rsidRPr="00CE24CA">
        <w:rPr>
          <w:rStyle w:val="aff4"/>
          <w:rFonts w:hint="cs"/>
          <w:vanish/>
          <w:rtl/>
        </w:rPr>
        <w:t>-</w:t>
      </w:r>
      <w:r>
        <w:rPr>
          <w:rFonts w:hint="cs"/>
          <w:rtl/>
        </w:rPr>
        <w:t xml:space="preserve"> </w:t>
      </w:r>
      <w:r w:rsidRPr="00900CB4">
        <w:rPr>
          <w:rStyle w:val="af2"/>
          <w:rFonts w:eastAsia="Guttman Hodes" w:hint="cs"/>
          <w:rtl/>
        </w:rPr>
        <w:t xml:space="preserve">(עי' אות </w:t>
      </w:r>
      <w:r w:rsidRPr="00900CB4">
        <w:rPr>
          <w:rStyle w:val="af2"/>
          <w:rFonts w:eastAsia="Guttman Hodes"/>
          <w:rtl/>
        </w:rPr>
        <w:fldChar w:fldCharType="begin"/>
      </w:r>
      <w:r w:rsidRPr="00900CB4">
        <w:rPr>
          <w:rStyle w:val="af2"/>
          <w:rFonts w:eastAsia="Guttman Hodes"/>
          <w:rtl/>
        </w:rPr>
        <w:instrText xml:space="preserve"> </w:instrText>
      </w:r>
      <w:r w:rsidRPr="00900CB4">
        <w:rPr>
          <w:rStyle w:val="af2"/>
          <w:rFonts w:eastAsia="Guttman Hodes" w:hint="cs"/>
        </w:rPr>
        <w:instrText>REF</w:instrText>
      </w:r>
      <w:r w:rsidRPr="00900CB4">
        <w:rPr>
          <w:rStyle w:val="af2"/>
          <w:rFonts w:eastAsia="Guttman Hodes" w:hint="cs"/>
          <w:rtl/>
        </w:rPr>
        <w:instrText xml:space="preserve"> _</w:instrText>
      </w:r>
      <w:r w:rsidRPr="00900CB4">
        <w:rPr>
          <w:rStyle w:val="af2"/>
          <w:rFonts w:eastAsia="Guttman Hodes" w:hint="cs"/>
        </w:rPr>
        <w:instrText>Ref139747284 \r \h</w:instrText>
      </w:r>
      <w:r w:rsidRPr="00900CB4">
        <w:rPr>
          <w:rStyle w:val="af2"/>
          <w:rFonts w:eastAsia="Guttman Hodes"/>
          <w:rtl/>
        </w:rPr>
        <w:instrText xml:space="preserve"> </w:instrText>
      </w:r>
      <w:r w:rsidRPr="00900CB4">
        <w:rPr>
          <w:rStyle w:val="af2"/>
          <w:rFonts w:eastAsia="Guttman Hodes"/>
          <w:rtl/>
        </w:rPr>
      </w:r>
      <w:r w:rsidRPr="00900CB4">
        <w:rPr>
          <w:rStyle w:val="af2"/>
          <w:rFonts w:eastAsia="Guttman Hodes"/>
          <w:rtl/>
        </w:rPr>
        <w:fldChar w:fldCharType="separate"/>
      </w:r>
      <w:r w:rsidR="00D82181">
        <w:rPr>
          <w:rStyle w:val="af2"/>
          <w:rFonts w:eastAsia="Guttman Hodes"/>
          <w:cs/>
        </w:rPr>
        <w:t>‎</w:t>
      </w:r>
      <w:r w:rsidR="00D82181">
        <w:rPr>
          <w:rStyle w:val="af2"/>
          <w:rFonts w:eastAsia="Guttman Hodes"/>
          <w:rtl/>
        </w:rPr>
        <w:t>יט)</w:t>
      </w:r>
      <w:r w:rsidRPr="00900CB4">
        <w:rPr>
          <w:rStyle w:val="af2"/>
          <w:rFonts w:eastAsia="Guttman Hodes"/>
          <w:rtl/>
        </w:rPr>
        <w:fldChar w:fldCharType="end"/>
      </w:r>
      <w:r>
        <w:rPr>
          <w:rFonts w:hint="cs"/>
          <w:rtl/>
        </w:rPr>
        <w:t xml:space="preserve"> דמ"מ אחר שנפלה בה הדרנא הוא צריך את גוף המלאכה של התפירה והוא נהנה ממנה, ביאר </w:t>
      </w:r>
      <w:r w:rsidRPr="00CE24CA">
        <w:rPr>
          <w:rStyle w:val="aff4"/>
          <w:rFonts w:hint="cs"/>
          <w:vanish/>
          <w:rtl/>
        </w:rPr>
        <w:t>-</w:t>
      </w:r>
      <w:r w:rsidRPr="00CE24CA">
        <w:rPr>
          <w:rStyle w:val="aff4"/>
          <w:rFonts w:hint="cs"/>
          <w:rtl/>
        </w:rPr>
        <w:t>המרכבת המשנה</w:t>
      </w:r>
      <w:r w:rsidRPr="00CE24CA">
        <w:rPr>
          <w:rStyle w:val="aff4"/>
          <w:rFonts w:hint="cs"/>
          <w:vanish/>
          <w:rtl/>
        </w:rPr>
        <w:t>-</w:t>
      </w:r>
      <w:r>
        <w:rPr>
          <w:rFonts w:hint="cs"/>
          <w:rtl/>
        </w:rPr>
        <w:t xml:space="preserve"> דחפץ שהיה מתוקן בתחילה והתקלקל כבגד שנקרע ובטלה ההנאה שלו, כשחוזר ותופרו חשיב תיקון חדש ומלאכה שנהנה ממנה, ודמי לתולש דבר מחובר דהתלישה היא התיקון הראשון, והוי מלאכה, משא"כ בהוצאת מת לקוברו דלפני שמת לא הייתה כאן הנאה שהמת ביטלה, ולכן כשמוציאו ומחזיר את הדבר לקדמותו לא חשיב מלאכה שיש בה הנאה, והוי מלאכה שאינה צריכה לגופה.</w:t>
      </w:r>
    </w:p>
    <w:p w14:paraId="611535E2" w14:textId="77777777" w:rsidR="00274E65" w:rsidRPr="00747170" w:rsidRDefault="00274E65" w:rsidP="00747170">
      <w:pPr>
        <w:pStyle w:val="a2"/>
      </w:pPr>
      <w:r w:rsidRPr="00747170">
        <w:rPr>
          <w:rtl/>
        </w:rPr>
        <w:t>לזה הסביר דכל דבר שהוא תיקון כמו בגד שלם כשנקרע נתבטל ההנאה והתיקון הילכך כשחוזר ותופרו חשיב תיקון חדש והנאה. אבל הוצאת המת שקודם שהיה אין כאן הנאה ואח"כ נולד קלקול כשמבטל הקלקול חוזר הדבר לקדמותו ואין כאן הנאה. ולפ"ז הכל כברייתו דהבגד הוא תיקון ואחר הקלקול מחזיר לקדמותו חשיב תיקון והו"ל כמו תולש דבר מחובר שהתלישה הוא תיקון ראשון משא"כ בהוצאת המת שמחזיר דבר לקדמותו ואין כאן תיקון</w:t>
      </w:r>
      <w:r w:rsidRPr="00747170">
        <w:rPr>
          <w:rFonts w:hint="cs"/>
          <w:rtl/>
        </w:rPr>
        <w:t>.</w:t>
      </w:r>
    </w:p>
    <w:p w14:paraId="05C119B0" w14:textId="472E85FC" w:rsidR="00274E65" w:rsidRDefault="00274E65" w:rsidP="00274E65">
      <w:pPr>
        <w:pStyle w:val="affff5"/>
        <w:rPr>
          <w:rtl/>
        </w:rPr>
      </w:pPr>
      <w:bookmarkStart w:id="4198" w:name="_Toc140743965"/>
      <w:bookmarkEnd w:id="4159"/>
      <w:bookmarkEnd w:id="4160"/>
      <w:r>
        <w:rPr>
          <w:rFonts w:hint="cs"/>
          <w:rtl/>
        </w:rPr>
        <w:t>ד' הרמב"ן דסגי בתיקון שכלול במלאכה</w:t>
      </w:r>
      <w:bookmarkEnd w:id="4198"/>
    </w:p>
    <w:p w14:paraId="5C032EB5" w14:textId="77777777" w:rsidR="00274E65" w:rsidRPr="003B63CB" w:rsidRDefault="00274E65" w:rsidP="00274E65">
      <w:pPr>
        <w:pStyle w:val="1"/>
        <w:rPr>
          <w:rtl/>
        </w:rPr>
      </w:pPr>
      <w:bookmarkStart w:id="4199" w:name="_Toc140743966"/>
      <w:r>
        <w:rPr>
          <w:rFonts w:hint="cs"/>
          <w:rtl/>
        </w:rPr>
        <w:t>בי' הרמב"ן דמילה ל"ה משאצל"ג ומקלקל בחבורה חייב בצל"ג</w:t>
      </w:r>
      <w:bookmarkEnd w:id="4199"/>
    </w:p>
    <w:p w14:paraId="0123B152" w14:textId="77777777" w:rsidR="00274E65" w:rsidRPr="00C12F78" w:rsidRDefault="00274E65" w:rsidP="00274E65">
      <w:pPr>
        <w:pStyle w:val="afffff7"/>
        <w:rPr>
          <w:rStyle w:val="aff4"/>
          <w:rtl/>
        </w:rPr>
      </w:pPr>
      <w:bookmarkStart w:id="4200" w:name="_Toc140657475"/>
      <w:bookmarkStart w:id="4201" w:name="_Toc140657557"/>
      <w:bookmarkStart w:id="4202" w:name="_Toc140744080"/>
      <w:bookmarkStart w:id="4203" w:name="_Toc140657522"/>
      <w:bookmarkStart w:id="4204" w:name="_Toc140657604"/>
      <w:bookmarkStart w:id="4205" w:name="_Toc163506028"/>
      <w:r w:rsidRPr="00C12F78">
        <w:rPr>
          <w:rtl/>
        </w:rPr>
        <w:t>חדושי הרמב"ן שבת ק"ו ע"א</w:t>
      </w:r>
      <w:r w:rsidRPr="00C12F78">
        <w:rPr>
          <w:rFonts w:hint="cs"/>
          <w:rtl/>
        </w:rPr>
        <w:t xml:space="preserve"> ד"ה </w:t>
      </w:r>
      <w:r w:rsidRPr="00EF1F66">
        <w:rPr>
          <w:rFonts w:hint="cs"/>
          <w:rtl/>
        </w:rPr>
        <w:t>כל</w:t>
      </w:r>
      <w:bookmarkEnd w:id="4200"/>
      <w:bookmarkEnd w:id="4201"/>
      <w:bookmarkEnd w:id="4202"/>
      <w:bookmarkEnd w:id="4205"/>
    </w:p>
    <w:p w14:paraId="515648EA" w14:textId="77777777" w:rsidR="00274E65" w:rsidRPr="00C12F78" w:rsidRDefault="00274E65" w:rsidP="00274E65">
      <w:pPr>
        <w:pStyle w:val="afffff7"/>
        <w:rPr>
          <w:rtl/>
        </w:rPr>
      </w:pPr>
      <w:bookmarkStart w:id="4206" w:name="_Toc140657476"/>
      <w:bookmarkStart w:id="4207" w:name="_Toc140657558"/>
      <w:bookmarkStart w:id="4208" w:name="_Toc140744081"/>
      <w:bookmarkStart w:id="4209" w:name="_Toc140657023"/>
      <w:bookmarkStart w:id="4210" w:name="_Toc140657256"/>
      <w:bookmarkStart w:id="4211" w:name="_Toc140743967"/>
      <w:bookmarkStart w:id="4212" w:name="_Toc163506029"/>
      <w:r w:rsidRPr="00C12F78">
        <w:rPr>
          <w:rtl/>
        </w:rPr>
        <w:t>חדושי הר"ן שבת ק"ו ע"א</w:t>
      </w:r>
      <w:r w:rsidRPr="00C12F78">
        <w:rPr>
          <w:rFonts w:hint="cs"/>
          <w:rtl/>
        </w:rPr>
        <w:t xml:space="preserve"> ד"ה מתני'</w:t>
      </w:r>
      <w:bookmarkEnd w:id="4206"/>
      <w:bookmarkEnd w:id="4207"/>
      <w:bookmarkEnd w:id="4208"/>
      <w:bookmarkEnd w:id="4212"/>
    </w:p>
    <w:p w14:paraId="763826B3" w14:textId="77777777" w:rsidR="00274E65" w:rsidRPr="003B63CB" w:rsidRDefault="00274E65" w:rsidP="00274E65">
      <w:pPr>
        <w:pStyle w:val="a7"/>
        <w:rPr>
          <w:rtl/>
        </w:rPr>
      </w:pPr>
      <w:r w:rsidRPr="003B63CB">
        <w:rPr>
          <w:rFonts w:hint="cs"/>
          <w:rtl/>
        </w:rPr>
        <w:t xml:space="preserve">בי' הרמב"ן ברש"י דבמילה מוכח בגמ' דהוי מלאכה אף דמקלקל ובי' הר"ן </w:t>
      </w:r>
      <w:bookmarkEnd w:id="4209"/>
      <w:bookmarkEnd w:id="4210"/>
      <w:r>
        <w:rPr>
          <w:rFonts w:hint="cs"/>
          <w:rtl/>
        </w:rPr>
        <w:t>דהיא משאצל"ג</w:t>
      </w:r>
      <w:bookmarkEnd w:id="4211"/>
    </w:p>
    <w:p w14:paraId="6331A9B2" w14:textId="2BCFCDFA" w:rsidR="00274E65" w:rsidRPr="003B63CB" w:rsidRDefault="00274E65" w:rsidP="00BC7DC8">
      <w:pPr>
        <w:pStyle w:val="a3"/>
        <w:rPr>
          <w:rtl/>
        </w:rPr>
      </w:pPr>
      <w:r w:rsidRPr="003B63CB">
        <w:rPr>
          <w:rFonts w:hint="cs"/>
          <w:rtl/>
        </w:rPr>
        <w:t xml:space="preserve">במ"ש </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w:t>
      </w:r>
      <w:r w:rsidRPr="003B63CB">
        <w:rPr>
          <w:rStyle w:val="af2"/>
          <w:rFonts w:eastAsia="Guttman Hodes" w:hint="cs"/>
          <w:rtl/>
        </w:rPr>
        <w:t>(קו. ד"ה וברייתא</w:t>
      </w:r>
      <w:r>
        <w:rPr>
          <w:rStyle w:val="af2"/>
          <w:rFonts w:eastAsia="Guttman Hodes" w:hint="cs"/>
          <w:rtl/>
        </w:rPr>
        <w:t>, הובא בסימן ח' אות כ"ט)</w:t>
      </w:r>
      <w:r w:rsidRPr="003B63CB">
        <w:rPr>
          <w:rStyle w:val="af2"/>
          <w:rFonts w:eastAsia="Guttman Hodes" w:hint="cs"/>
          <w:rtl/>
        </w:rPr>
        <w:t xml:space="preserve"> </w:t>
      </w:r>
      <w:r w:rsidRPr="003B63CB">
        <w:rPr>
          <w:rFonts w:hint="cs"/>
          <w:rtl/>
        </w:rPr>
        <w:t xml:space="preserve">דלר"ש כיון דפוטר במלאכה שאינה צריכה לגופה, א"כ כל חובל ומבעיר הוא מקלקל, דתיקון בדבר אחר לא מחייב, ומהא דחייבה תורה בחובל ומבעיר, מוכח דחידשה תורה במקלקל בחובל ומבעיר דחייב, כתב </w:t>
      </w:r>
      <w:r w:rsidRPr="003B63CB">
        <w:rPr>
          <w:rStyle w:val="aff4"/>
          <w:rFonts w:hint="cs"/>
          <w:vanish/>
          <w:rtl/>
        </w:rPr>
        <w:t>-</w:t>
      </w:r>
      <w:r w:rsidRPr="003B63CB">
        <w:rPr>
          <w:rStyle w:val="aff4"/>
          <w:rFonts w:hint="cs"/>
          <w:rtl/>
        </w:rPr>
        <w:t>ה</w:t>
      </w:r>
      <w:r w:rsidRPr="003B63CB">
        <w:rPr>
          <w:rStyle w:val="aff4"/>
          <w:rFonts w:hint="cs"/>
          <w:vanish/>
          <w:rtl/>
        </w:rPr>
        <w:t xml:space="preserve">&lt;, </w:t>
      </w:r>
      <w:r w:rsidRPr="003B63CB">
        <w:rPr>
          <w:rStyle w:val="aff4"/>
          <w:vanish/>
          <w:rtl/>
        </w:rPr>
        <w:fldChar w:fldCharType="begin"/>
      </w:r>
      <w:r w:rsidRPr="003B63CB">
        <w:rPr>
          <w:rStyle w:val="aff4"/>
          <w:vanish/>
          <w:rtl/>
        </w:rPr>
        <w:instrText xml:space="preserve"> </w:instrText>
      </w:r>
      <w:r w:rsidRPr="003B63CB">
        <w:rPr>
          <w:rStyle w:val="aff4"/>
          <w:rFonts w:hint="cs"/>
          <w:vanish/>
        </w:rPr>
        <w:instrText>REF</w:instrText>
      </w:r>
      <w:r w:rsidRPr="003B63CB">
        <w:rPr>
          <w:rStyle w:val="aff4"/>
          <w:rFonts w:hint="cs"/>
          <w:vanish/>
          <w:rtl/>
        </w:rPr>
        <w:instrText xml:space="preserve"> _</w:instrText>
      </w:r>
      <w:r w:rsidRPr="003B63CB">
        <w:rPr>
          <w:rStyle w:val="aff4"/>
          <w:rFonts w:hint="cs"/>
          <w:vanish/>
        </w:rPr>
        <w:instrText>Ref139489021 \r \h</w:instrText>
      </w:r>
      <w:r w:rsidRPr="003B63CB">
        <w:rPr>
          <w:rStyle w:val="aff4"/>
          <w:vanish/>
          <w:rtl/>
        </w:rPr>
        <w:instrText xml:space="preserve">  \* </w:instrText>
      </w:r>
      <w:r w:rsidRPr="003B63CB">
        <w:rPr>
          <w:rStyle w:val="aff4"/>
          <w:vanish/>
        </w:rPr>
        <w:instrText>MERGEFORMAT</w:instrText>
      </w:r>
      <w:r w:rsidRPr="003B63CB">
        <w:rPr>
          <w:rStyle w:val="aff4"/>
          <w:vanish/>
          <w:rtl/>
        </w:rPr>
        <w:instrText xml:space="preserve"> </w:instrText>
      </w:r>
      <w:r w:rsidRPr="003B63CB">
        <w:rPr>
          <w:rStyle w:val="aff4"/>
          <w:vanish/>
          <w:rtl/>
        </w:rPr>
      </w:r>
      <w:r w:rsidRPr="003B63CB">
        <w:rPr>
          <w:rStyle w:val="aff4"/>
          <w:vanish/>
          <w:rtl/>
        </w:rPr>
        <w:fldChar w:fldCharType="separate"/>
      </w:r>
      <w:r w:rsidR="00D82181">
        <w:rPr>
          <w:rStyle w:val="aff4"/>
          <w:vanish/>
          <w:cs/>
        </w:rPr>
        <w:t>‎</w:t>
      </w:r>
      <w:r w:rsidR="00D82181">
        <w:rPr>
          <w:rStyle w:val="aff4"/>
          <w:vanish/>
          <w:rtl/>
        </w:rPr>
        <w:t>לא)</w:t>
      </w:r>
      <w:r w:rsidRPr="003B63CB">
        <w:rPr>
          <w:rStyle w:val="aff4"/>
          <w:vanish/>
          <w:rtl/>
        </w:rPr>
        <w:fldChar w:fldCharType="end"/>
      </w:r>
      <w:r w:rsidRPr="003B63CB">
        <w:rPr>
          <w:rStyle w:val="aff4"/>
          <w:rFonts w:hint="cs"/>
          <w:vanish/>
          <w:rtl/>
        </w:rPr>
        <w:t xml:space="preserve"> &gt;</w:t>
      </w:r>
      <w:r w:rsidRPr="003B63CB">
        <w:rPr>
          <w:rStyle w:val="aff4"/>
          <w:rFonts w:hint="cs"/>
          <w:rtl/>
        </w:rPr>
        <w:t>רמב"ן</w:t>
      </w:r>
      <w:r w:rsidRPr="003B63CB">
        <w:rPr>
          <w:rStyle w:val="aff4"/>
          <w:rFonts w:hint="cs"/>
          <w:vanish/>
          <w:rtl/>
        </w:rPr>
        <w:t>-</w:t>
      </w:r>
      <w:r w:rsidRPr="003B63CB">
        <w:rPr>
          <w:rFonts w:hint="cs"/>
          <w:rtl/>
        </w:rPr>
        <w:t xml:space="preserve"> </w:t>
      </w:r>
      <w:r w:rsidRPr="003B63CB">
        <w:rPr>
          <w:rStyle w:val="af2"/>
          <w:rFonts w:eastAsia="Guttman Hodes" w:hint="cs"/>
          <w:rtl/>
        </w:rPr>
        <w:t>(קו. ד"ה כל)</w:t>
      </w:r>
      <w:r w:rsidRPr="003B63CB">
        <w:rPr>
          <w:rFonts w:hint="cs"/>
          <w:vanish/>
          <w:rtl/>
        </w:rPr>
        <w:t>=</w:t>
      </w:r>
      <w:r w:rsidRPr="003B63CB">
        <w:rPr>
          <w:rFonts w:hint="cs"/>
          <w:rtl/>
        </w:rPr>
        <w:t xml:space="preserve"> דה"ה בחובל דמדהתירה תורה מילה מוכח דהוי מלאכה אעפ"י דהוא מקלקל, וזהו הביאור בהמשך הגמ' לקמן </w:t>
      </w:r>
      <w:r w:rsidRPr="003B63CB">
        <w:rPr>
          <w:rStyle w:val="af2"/>
          <w:rFonts w:eastAsia="Guttman Hodes" w:hint="cs"/>
          <w:rtl/>
        </w:rPr>
        <w:t>(קו.)</w:t>
      </w:r>
      <w:r w:rsidRPr="003B63CB">
        <w:rPr>
          <w:rFonts w:hint="cs"/>
          <w:rtl/>
        </w:rPr>
        <w:t xml:space="preserve"> דר"ש מחייב מהיתר מילה ושריפת בת כהן, והיינו דמזה ילפינן דנחלקו במקלקל בחובל ומבעיר, והוסיף </w:t>
      </w:r>
      <w:r w:rsidRPr="003B63CB">
        <w:rPr>
          <w:rStyle w:val="aff4"/>
          <w:rFonts w:hint="cs"/>
          <w:vanish/>
          <w:rtl/>
        </w:rPr>
        <w:t>-</w:t>
      </w:r>
      <w:r w:rsidRPr="003B63CB">
        <w:rPr>
          <w:rStyle w:val="aff4"/>
          <w:rFonts w:hint="cs"/>
          <w:rtl/>
        </w:rPr>
        <w:t>ה</w:t>
      </w:r>
      <w:r w:rsidRPr="003B63CB">
        <w:rPr>
          <w:rStyle w:val="aff4"/>
          <w:rFonts w:hint="cs"/>
          <w:vanish/>
          <w:rtl/>
        </w:rPr>
        <w:t>&lt; &gt;</w:t>
      </w:r>
      <w:r w:rsidRPr="003B63CB">
        <w:rPr>
          <w:rStyle w:val="aff4"/>
          <w:rFonts w:hint="cs"/>
          <w:rtl/>
        </w:rPr>
        <w:t>ר"ן</w:t>
      </w:r>
      <w:r w:rsidRPr="003B63CB">
        <w:rPr>
          <w:rStyle w:val="aff4"/>
          <w:rFonts w:hint="cs"/>
          <w:vanish/>
          <w:rtl/>
        </w:rPr>
        <w:t>-</w:t>
      </w:r>
      <w:r w:rsidRPr="003B63CB">
        <w:rPr>
          <w:rFonts w:hint="cs"/>
          <w:rtl/>
        </w:rPr>
        <w:t xml:space="preserve"> </w:t>
      </w:r>
      <w:r w:rsidRPr="003B63CB">
        <w:rPr>
          <w:rStyle w:val="af2"/>
          <w:rFonts w:eastAsia="Guttman Hodes" w:hint="cs"/>
          <w:rtl/>
        </w:rPr>
        <w:t>(קו. ד"ה מתני')</w:t>
      </w:r>
      <w:r w:rsidRPr="003B63CB">
        <w:rPr>
          <w:rFonts w:hint="cs"/>
          <w:vanish/>
          <w:rtl/>
        </w:rPr>
        <w:t>=</w:t>
      </w:r>
      <w:r w:rsidRPr="003B63CB">
        <w:rPr>
          <w:rFonts w:hint="cs"/>
          <w:rtl/>
        </w:rPr>
        <w:t xml:space="preserve"> דבמילה התיקון אינו בגוף המלאכה, ולכן מהא דהתירה תורה מילה מוכח דמקלקל </w:t>
      </w:r>
      <w:r w:rsidRPr="003B63CB">
        <w:rPr>
          <w:rFonts w:hint="cs"/>
          <w:rtl/>
        </w:rPr>
        <w:lastRenderedPageBreak/>
        <w:t xml:space="preserve">בחבורה חייב, דא"א לומר דהוצרכה תורה להתיר מילה ולאסור בשריפת בת כהן, מחמת התיקון שיש בה, דהא אינו תיקון בגוף המלאכה. </w:t>
      </w:r>
    </w:p>
    <w:p w14:paraId="0347F77F" w14:textId="77777777" w:rsidR="00274E65" w:rsidRPr="00747170" w:rsidRDefault="00274E65" w:rsidP="00747170">
      <w:pPr>
        <w:pStyle w:val="a2"/>
      </w:pPr>
      <w:r w:rsidRPr="00747170">
        <w:rPr>
          <w:rtl/>
        </w:rPr>
        <w:t>כל המקלקלין פטורין חוץ מחובל ומבעיר. אוקימנא לר"ש דאמר מקלקל בחבורה חייב, ולזה המחלוקת לא מצינו עיקר בתלמוד, ורש"י ז"ל הביאו בקשר ענין ואמר דנפקא לן מפלוגתייהו במלאכה שא"צ לגופה דשמעי' ליה לר"ש דאמר מלאכה שאינה צריכה לגופה פטור עליה וחובל ומבעיר חידוש הוא שחדשה בהן תורה שאין לך מבעיר ואפי' מדליק עצים לבשל קדרתו שיתחייב מן הדין שכולן מקלקלין הן, ומה שהוא מתקן אצל אחרים כגון הבישול, מלאכה שא"צ לגופה היא ומן הדין פטור עליה, ומדחייבה אותן תורה ש"מ מקלקל בהבערה חייב, וכן בחבלה מדאיצטריך רחמנא למישרי מילה</w:t>
      </w:r>
      <w:r w:rsidRPr="00747170">
        <w:rPr>
          <w:rFonts w:hint="cs"/>
          <w:rtl/>
        </w:rPr>
        <w:t>.</w:t>
      </w:r>
    </w:p>
    <w:p w14:paraId="7AEE70D7" w14:textId="77777777" w:rsidR="00274E65" w:rsidRPr="005F2440" w:rsidRDefault="00274E65" w:rsidP="00747170">
      <w:pPr>
        <w:pStyle w:val="afffff5"/>
        <w:rPr>
          <w:rtl/>
        </w:rPr>
      </w:pPr>
      <w:r w:rsidRPr="005F2440">
        <w:rPr>
          <w:rtl/>
        </w:rPr>
        <w:t>מתניתין רבי יהודה היא דאמר מקלקל בחבורה חייב. לא מצינו עיקר זה המחלוקת בתלמוד אבל רש"י ז"ל הביאו בקשר ענין ואמר דמסקינן ליה מפלוגתיה דמלאכה שאינה צריכה לגופה דכיון דס"ל לרבי שמעון דמלאכה שאינה צריכה לגופה פטור עליה ומילה תקון שבה אינה בגופה של מלאכה ואפי' הכי אצטריך קרא למשרייה ש"מ דמקלקל בחבורה חייב ומשום הכי איצטריך קרא למשרייה שאלו משו' [תקון] שב' לא הי' צריך כיון שאינו מגופה של מלאכה תיקון של מלאכה וכן נמי מדאסר רחמנא הבערה דבת כהן ותיקון של מלאכה זו אינו מגופה של מלאכה ואפי' הכי אסרה רחמנא ש"מ דמקלקל בחבורה חייב שאלו היה מקלקל בחבורה פטור לא היתה אוסרת אותה תורה משום תקון הנמשך ממנה כיון שאין אותו תקון מגופה של מלאכה</w:t>
      </w:r>
      <w:r w:rsidRPr="005F2440">
        <w:rPr>
          <w:rFonts w:hint="cs"/>
          <w:rtl/>
        </w:rPr>
        <w:t>.</w:t>
      </w:r>
    </w:p>
    <w:p w14:paraId="286BE0AB" w14:textId="31F1D479" w:rsidR="00274E65" w:rsidRPr="00C12F78" w:rsidRDefault="00274E65" w:rsidP="00274E65">
      <w:pPr>
        <w:pStyle w:val="afffff7"/>
        <w:rPr>
          <w:rtl/>
        </w:rPr>
      </w:pPr>
      <w:bookmarkStart w:id="4213" w:name="_Toc140744082"/>
      <w:bookmarkStart w:id="4214" w:name="_Toc163506030"/>
      <w:r w:rsidRPr="00BF4192">
        <w:rPr>
          <w:rtl/>
        </w:rPr>
        <w:t>חדושי הרמב"ן שבת ק"ו ע"א</w:t>
      </w:r>
      <w:r w:rsidRPr="00BF4192">
        <w:rPr>
          <w:rFonts w:hint="cs"/>
          <w:rtl/>
        </w:rPr>
        <w:t xml:space="preserve"> ד"ה </w:t>
      </w:r>
      <w:r>
        <w:rPr>
          <w:rFonts w:hint="cs"/>
          <w:rtl/>
        </w:rPr>
        <w:t>ומזה</w:t>
      </w:r>
      <w:bookmarkEnd w:id="4203"/>
      <w:bookmarkEnd w:id="4204"/>
      <w:bookmarkEnd w:id="4213"/>
      <w:bookmarkEnd w:id="4214"/>
    </w:p>
    <w:p w14:paraId="4D96D491" w14:textId="77777777" w:rsidR="00274E65" w:rsidRPr="003B63CB" w:rsidRDefault="00274E65" w:rsidP="00274E65">
      <w:pPr>
        <w:pStyle w:val="a7"/>
        <w:rPr>
          <w:rtl/>
        </w:rPr>
      </w:pPr>
      <w:bookmarkStart w:id="4215" w:name="_Toc140657099"/>
      <w:bookmarkStart w:id="4216" w:name="_Toc140657332"/>
      <w:bookmarkStart w:id="4217" w:name="_Toc140743968"/>
      <w:r w:rsidRPr="003B63CB">
        <w:rPr>
          <w:rFonts w:hint="cs"/>
          <w:rtl/>
        </w:rPr>
        <w:t xml:space="preserve">בי' </w:t>
      </w:r>
      <w:r>
        <w:rPr>
          <w:rFonts w:hint="cs"/>
          <w:rtl/>
        </w:rPr>
        <w:t>הרמב"ן</w:t>
      </w:r>
      <w:r w:rsidRPr="003B63CB">
        <w:rPr>
          <w:rFonts w:hint="cs"/>
          <w:rtl/>
        </w:rPr>
        <w:t xml:space="preserve"> בשם רשב"ם </w:t>
      </w:r>
      <w:bookmarkEnd w:id="4215"/>
      <w:bookmarkEnd w:id="4216"/>
      <w:r>
        <w:rPr>
          <w:rFonts w:hint="cs"/>
          <w:rtl/>
        </w:rPr>
        <w:t>דמדר"י ור"ש נח' במשאצל"ג מבו' דנח' אי תיקון בדבר אחר הוי תיקון</w:t>
      </w:r>
      <w:bookmarkEnd w:id="4217"/>
      <w:r>
        <w:rPr>
          <w:rFonts w:hint="cs"/>
          <w:rtl/>
        </w:rPr>
        <w:t xml:space="preserve"> </w:t>
      </w:r>
    </w:p>
    <w:p w14:paraId="2E658D5A" w14:textId="35A08328" w:rsidR="00274E65" w:rsidRPr="003B63CB" w:rsidRDefault="00274E65" w:rsidP="00BC7DC8">
      <w:pPr>
        <w:pStyle w:val="a3"/>
        <w:rPr>
          <w:rtl/>
        </w:rPr>
      </w:pPr>
      <w:r>
        <w:rPr>
          <w:rFonts w:hint="cs"/>
          <w:rtl/>
        </w:rPr>
        <w:t xml:space="preserve">וכתבו </w:t>
      </w:r>
      <w:r w:rsidRPr="003B63CB">
        <w:rPr>
          <w:rStyle w:val="aff4"/>
          <w:rFonts w:hint="cs"/>
          <w:rtl/>
        </w:rPr>
        <w:t>ה</w:t>
      </w:r>
      <w:r w:rsidRPr="003B63CB">
        <w:rPr>
          <w:rStyle w:val="aff4"/>
          <w:rFonts w:hint="cs"/>
          <w:vanish/>
          <w:rtl/>
        </w:rPr>
        <w:t xml:space="preserve">&lt;, </w:t>
      </w:r>
      <w:r w:rsidRPr="003B63CB">
        <w:rPr>
          <w:rStyle w:val="aff4"/>
          <w:vanish/>
          <w:rtl/>
        </w:rPr>
        <w:fldChar w:fldCharType="begin"/>
      </w:r>
      <w:r w:rsidRPr="003B63CB">
        <w:rPr>
          <w:rStyle w:val="aff4"/>
          <w:vanish/>
          <w:rtl/>
        </w:rPr>
        <w:instrText xml:space="preserve"> </w:instrText>
      </w:r>
      <w:r w:rsidRPr="003B63CB">
        <w:rPr>
          <w:rStyle w:val="aff4"/>
          <w:rFonts w:hint="cs"/>
          <w:vanish/>
        </w:rPr>
        <w:instrText>REF</w:instrText>
      </w:r>
      <w:r w:rsidRPr="003B63CB">
        <w:rPr>
          <w:rStyle w:val="aff4"/>
          <w:rFonts w:hint="cs"/>
          <w:vanish/>
          <w:rtl/>
        </w:rPr>
        <w:instrText xml:space="preserve"> _</w:instrText>
      </w:r>
      <w:r w:rsidRPr="003B63CB">
        <w:rPr>
          <w:rStyle w:val="aff4"/>
          <w:rFonts w:hint="cs"/>
          <w:vanish/>
        </w:rPr>
        <w:instrText>Ref139453662 \r \h</w:instrText>
      </w:r>
      <w:r w:rsidRPr="003B63CB">
        <w:rPr>
          <w:rStyle w:val="aff4"/>
          <w:vanish/>
          <w:rtl/>
        </w:rPr>
        <w:instrText xml:space="preserve">  \* </w:instrText>
      </w:r>
      <w:r w:rsidRPr="003B63CB">
        <w:rPr>
          <w:rStyle w:val="aff4"/>
          <w:vanish/>
        </w:rPr>
        <w:instrText>MERGEFORMAT</w:instrText>
      </w:r>
      <w:r w:rsidRPr="003B63CB">
        <w:rPr>
          <w:rStyle w:val="aff4"/>
          <w:vanish/>
          <w:rtl/>
        </w:rPr>
        <w:instrText xml:space="preserve"> </w:instrText>
      </w:r>
      <w:r w:rsidRPr="003B63CB">
        <w:rPr>
          <w:rStyle w:val="aff4"/>
          <w:vanish/>
          <w:rtl/>
        </w:rPr>
      </w:r>
      <w:r w:rsidRPr="003B63CB">
        <w:rPr>
          <w:rStyle w:val="aff4"/>
          <w:vanish/>
          <w:rtl/>
        </w:rPr>
        <w:fldChar w:fldCharType="separate"/>
      </w:r>
      <w:r w:rsidR="00D82181">
        <w:rPr>
          <w:rStyle w:val="aff4"/>
          <w:vanish/>
          <w:cs/>
        </w:rPr>
        <w:t>‎</w:t>
      </w:r>
      <w:r w:rsidR="00D82181">
        <w:rPr>
          <w:rStyle w:val="aff4"/>
          <w:vanish/>
          <w:rtl/>
        </w:rPr>
        <w:t>כז)</w:t>
      </w:r>
      <w:r w:rsidRPr="003B63CB">
        <w:rPr>
          <w:rStyle w:val="aff4"/>
          <w:vanish/>
          <w:rtl/>
        </w:rPr>
        <w:fldChar w:fldCharType="end"/>
      </w:r>
      <w:r w:rsidRPr="003B63CB">
        <w:rPr>
          <w:rStyle w:val="aff4"/>
          <w:rFonts w:hint="cs"/>
          <w:vanish/>
          <w:rtl/>
        </w:rPr>
        <w:t xml:space="preserve"> &gt;</w:t>
      </w:r>
      <w:r w:rsidRPr="003B63CB">
        <w:rPr>
          <w:rStyle w:val="aff4"/>
          <w:rFonts w:hint="cs"/>
          <w:rtl/>
        </w:rPr>
        <w:t>רמב"ן</w:t>
      </w:r>
      <w:r w:rsidRPr="003B63CB">
        <w:rPr>
          <w:rStyle w:val="aff4"/>
          <w:rFonts w:hint="cs"/>
          <w:vanish/>
          <w:rtl/>
        </w:rPr>
        <w:t>-</w:t>
      </w:r>
      <w:r w:rsidRPr="003B63CB">
        <w:rPr>
          <w:rFonts w:hint="cs"/>
          <w:rtl/>
        </w:rPr>
        <w:t xml:space="preserve"> </w:t>
      </w:r>
      <w:r w:rsidRPr="003B63CB">
        <w:rPr>
          <w:rStyle w:val="af2"/>
          <w:rFonts w:eastAsia="Guttman Hodes" w:hint="cs"/>
          <w:rtl/>
        </w:rPr>
        <w:t xml:space="preserve">(קו. ד"ה </w:t>
      </w:r>
      <w:r>
        <w:rPr>
          <w:rStyle w:val="af2"/>
          <w:rFonts w:eastAsia="Guttman Hodes" w:hint="cs"/>
          <w:rtl/>
        </w:rPr>
        <w:t>ומזה, הובא בסימן ט' אות כ"ז</w:t>
      </w:r>
      <w:r w:rsidRPr="003B63CB">
        <w:rPr>
          <w:rStyle w:val="af2"/>
          <w:rFonts w:eastAsia="Guttman Hodes" w:hint="cs"/>
          <w:rtl/>
        </w:rPr>
        <w:t>)</w:t>
      </w:r>
      <w:r w:rsidRPr="003B63CB">
        <w:rPr>
          <w:rFonts w:hint="cs"/>
          <w:vanish/>
          <w:rtl/>
        </w:rPr>
        <w:t>=</w:t>
      </w:r>
      <w:r w:rsidRPr="003B63CB">
        <w:rPr>
          <w:rFonts w:hint="cs"/>
          <w:rtl/>
        </w:rPr>
        <w:t xml:space="preserve"> </w:t>
      </w:r>
      <w:r w:rsidRPr="003B63CB">
        <w:rPr>
          <w:rStyle w:val="aff4"/>
          <w:rFonts w:hint="cs"/>
          <w:vanish/>
          <w:rtl/>
        </w:rPr>
        <w:t>-</w:t>
      </w:r>
      <w:r>
        <w:rPr>
          <w:rStyle w:val="aff4"/>
          <w:rFonts w:hint="cs"/>
          <w:rtl/>
        </w:rPr>
        <w:t>ו</w:t>
      </w:r>
      <w:r w:rsidRPr="007953F5">
        <w:rPr>
          <w:rStyle w:val="aff4"/>
          <w:rFonts w:hint="cs"/>
          <w:vanish/>
          <w:rtl/>
        </w:rPr>
        <w:t>&lt; &gt;</w:t>
      </w:r>
      <w:r w:rsidRPr="003B63CB">
        <w:rPr>
          <w:rStyle w:val="aff4"/>
          <w:rFonts w:hint="cs"/>
          <w:rtl/>
        </w:rPr>
        <w:t>התוס'</w:t>
      </w:r>
      <w:r w:rsidRPr="003B63CB">
        <w:rPr>
          <w:rStyle w:val="aff4"/>
          <w:rFonts w:hint="cs"/>
          <w:vanish/>
          <w:rtl/>
        </w:rPr>
        <w:t>-</w:t>
      </w:r>
      <w:r w:rsidRPr="003B63CB">
        <w:rPr>
          <w:rFonts w:hint="cs"/>
          <w:rtl/>
        </w:rPr>
        <w:t xml:space="preserve"> </w:t>
      </w:r>
      <w:r w:rsidRPr="003B63CB">
        <w:rPr>
          <w:rStyle w:val="af2"/>
          <w:rFonts w:eastAsia="Guttman Hodes" w:hint="cs"/>
          <w:rtl/>
        </w:rPr>
        <w:t>(קו. ד"ה חו</w:t>
      </w:r>
      <w:r>
        <w:rPr>
          <w:rStyle w:val="af2"/>
          <w:rFonts w:eastAsia="Guttman Hodes" w:hint="cs"/>
          <w:rtl/>
        </w:rPr>
        <w:t>ץ,</w:t>
      </w:r>
      <w:r w:rsidRPr="003B63CB">
        <w:rPr>
          <w:rStyle w:val="af2"/>
          <w:rFonts w:eastAsia="Guttman Hodes" w:hint="cs"/>
          <w:rtl/>
        </w:rPr>
        <w:t xml:space="preserve"> סוד"ה מה לי)</w:t>
      </w:r>
      <w:r w:rsidRPr="003B63CB">
        <w:rPr>
          <w:rFonts w:hint="cs"/>
          <w:rtl/>
        </w:rPr>
        <w:t xml:space="preserve"> בשם </w:t>
      </w:r>
      <w:r w:rsidRPr="003B63CB">
        <w:rPr>
          <w:rStyle w:val="aff4"/>
          <w:rFonts w:hint="cs"/>
          <w:vanish/>
          <w:rtl/>
        </w:rPr>
        <w:t>-</w:t>
      </w:r>
      <w:r w:rsidRPr="003B63CB">
        <w:rPr>
          <w:rStyle w:val="aff4"/>
          <w:rFonts w:hint="cs"/>
          <w:rtl/>
        </w:rPr>
        <w:t>הרשב"ם</w:t>
      </w:r>
      <w:r w:rsidRPr="003B63CB">
        <w:rPr>
          <w:rStyle w:val="aff4"/>
          <w:rFonts w:hint="cs"/>
          <w:vanish/>
          <w:rtl/>
        </w:rPr>
        <w:t>-</w:t>
      </w:r>
      <w:r w:rsidRPr="003B63CB">
        <w:rPr>
          <w:rFonts w:hint="cs"/>
          <w:vanish/>
          <w:rtl/>
        </w:rPr>
        <w:t>=</w:t>
      </w:r>
      <w:r w:rsidRPr="003B63CB">
        <w:rPr>
          <w:rFonts w:hint="cs"/>
          <w:rtl/>
        </w:rPr>
        <w:t xml:space="preserve"> ד</w:t>
      </w:r>
      <w:r>
        <w:rPr>
          <w:rFonts w:hint="cs"/>
          <w:rtl/>
        </w:rPr>
        <w:t>לפי"ז מבואר ד</w:t>
      </w:r>
      <w:r w:rsidRPr="003B63CB">
        <w:rPr>
          <w:rFonts w:hint="cs"/>
          <w:rtl/>
        </w:rPr>
        <w:t>רבי אבהו ס"ל כר"ש, וריו"ח דמחייב רק בחובל וצריך לכלבו, ס"ל כר"י דפוטר, וכ</w:t>
      </w:r>
      <w:r>
        <w:rPr>
          <w:rFonts w:hint="cs"/>
          <w:rtl/>
        </w:rPr>
        <w:t>ד</w:t>
      </w:r>
      <w:r w:rsidRPr="003B63CB">
        <w:rPr>
          <w:rFonts w:hint="cs"/>
          <w:rtl/>
        </w:rPr>
        <w:t xml:space="preserve">משמע מדברי </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w:t>
      </w:r>
      <w:r w:rsidRPr="003B63CB">
        <w:rPr>
          <w:rStyle w:val="af2"/>
          <w:rFonts w:eastAsia="Guttman Hodes" w:hint="cs"/>
          <w:rtl/>
        </w:rPr>
        <w:t>(קו. ד"ה מתני'</w:t>
      </w:r>
      <w:r>
        <w:rPr>
          <w:rStyle w:val="af2"/>
          <w:rFonts w:eastAsia="Guttman Hodes" w:hint="cs"/>
          <w:rtl/>
        </w:rPr>
        <w:t>, הובא בסימן ח'</w:t>
      </w:r>
      <w:r w:rsidRPr="007E2F7E">
        <w:rPr>
          <w:rStyle w:val="af2"/>
          <w:rFonts w:eastAsia="Guttman Hodes" w:hint="cs"/>
          <w:rtl/>
        </w:rPr>
        <w:t xml:space="preserve"> </w:t>
      </w:r>
      <w:r w:rsidRPr="003B63CB">
        <w:rPr>
          <w:rStyle w:val="af2"/>
          <w:rFonts w:eastAsia="Guttman Hodes" w:hint="cs"/>
          <w:rtl/>
        </w:rPr>
        <w:t>אות</w:t>
      </w:r>
      <w:r>
        <w:rPr>
          <w:rStyle w:val="af2"/>
          <w:rFonts w:eastAsia="Guttman Hodes" w:hint="cs"/>
          <w:rtl/>
        </w:rPr>
        <w:t xml:space="preserve"> כ"ח)</w:t>
      </w:r>
      <w:r w:rsidRPr="003B63CB">
        <w:rPr>
          <w:rStyle w:val="af2"/>
          <w:rFonts w:eastAsia="Guttman Hodes" w:hint="cs"/>
          <w:rtl/>
        </w:rPr>
        <w:t xml:space="preserve"> </w:t>
      </w:r>
      <w:r>
        <w:rPr>
          <w:rFonts w:hint="cs"/>
          <w:rtl/>
        </w:rPr>
        <w:t xml:space="preserve">דכתב </w:t>
      </w:r>
      <w:r w:rsidRPr="003B63CB">
        <w:rPr>
          <w:rFonts w:hint="cs"/>
          <w:rtl/>
        </w:rPr>
        <w:t xml:space="preserve">דלא איתפרש היכן נחלקו ר"י ור"ש במקלקל בחבורה, אך מוכח כן ממחלוקתם במלאכה שאינה צריכה לגופה, </w:t>
      </w:r>
      <w:r>
        <w:rPr>
          <w:rFonts w:hint="cs"/>
          <w:rtl/>
        </w:rPr>
        <w:t>ו</w:t>
      </w:r>
      <w:r w:rsidRPr="003B63CB">
        <w:rPr>
          <w:rFonts w:hint="cs"/>
          <w:rtl/>
        </w:rPr>
        <w:t xml:space="preserve">א"כ לר"ש החיוב במקלקל בחבורה הוא אף כשא"צ לכלבו ולאפרו, </w:t>
      </w:r>
      <w:r>
        <w:rPr>
          <w:rFonts w:hint="cs"/>
          <w:rtl/>
        </w:rPr>
        <w:t>והוסיף</w:t>
      </w:r>
      <w:r w:rsidRPr="003B63CB">
        <w:rPr>
          <w:rFonts w:hint="cs"/>
          <w:rtl/>
        </w:rPr>
        <w:t xml:space="preserve"> </w:t>
      </w:r>
      <w:r w:rsidRPr="003B63CB">
        <w:rPr>
          <w:rStyle w:val="aff4"/>
          <w:rFonts w:hint="cs"/>
          <w:vanish/>
          <w:rtl/>
        </w:rPr>
        <w:t>-</w:t>
      </w:r>
      <w:r w:rsidRPr="003B63CB">
        <w:rPr>
          <w:rStyle w:val="aff4"/>
          <w:rFonts w:hint="cs"/>
          <w:rtl/>
        </w:rPr>
        <w:t>הרמב"ן</w:t>
      </w:r>
      <w:r w:rsidRPr="003B63CB">
        <w:rPr>
          <w:rStyle w:val="aff4"/>
          <w:rFonts w:hint="cs"/>
          <w:vanish/>
          <w:rtl/>
        </w:rPr>
        <w:t>-</w:t>
      </w:r>
      <w:r w:rsidRPr="003B63CB">
        <w:rPr>
          <w:rFonts w:hint="cs"/>
          <w:rtl/>
        </w:rPr>
        <w:t xml:space="preserve"> דמדנחלקו ר"י ור"ש במלאכה שאינה צריכה לגופה, מבואר דלר"י חובל ומבעיר חייב דיש בו תיקון בדבר אחר, ולר"ש כל חובל ומבעיר הוא מקלקל, דתיקון בדבר אחר לא מחייב, ומהא דחייבה תורה בחובל ומבעיר, מוכח דחידשה תורה במקלקל בחובל ומבעיר דחייב, </w:t>
      </w:r>
      <w:r>
        <w:rPr>
          <w:rFonts w:hint="cs"/>
          <w:rtl/>
        </w:rPr>
        <w:t xml:space="preserve">ועיי"ש במה שהוסיף </w:t>
      </w:r>
      <w:r w:rsidRPr="003B63CB">
        <w:rPr>
          <w:rStyle w:val="aff4"/>
          <w:rFonts w:hint="cs"/>
          <w:vanish/>
          <w:rtl/>
        </w:rPr>
        <w:t>-</w:t>
      </w:r>
      <w:r w:rsidRPr="003B63CB">
        <w:rPr>
          <w:rStyle w:val="aff4"/>
          <w:rFonts w:hint="cs"/>
          <w:rtl/>
        </w:rPr>
        <w:t>הרמב"ן</w:t>
      </w:r>
      <w:r w:rsidRPr="003B63CB">
        <w:rPr>
          <w:rStyle w:val="aff4"/>
          <w:rFonts w:hint="cs"/>
          <w:vanish/>
          <w:rtl/>
        </w:rPr>
        <w:t>-</w:t>
      </w:r>
      <w:r w:rsidRPr="003B63CB">
        <w:rPr>
          <w:rFonts w:hint="cs"/>
          <w:rtl/>
        </w:rPr>
        <w:t xml:space="preserve"> </w:t>
      </w:r>
      <w:r w:rsidRPr="00BC10FC">
        <w:rPr>
          <w:rStyle w:val="af2"/>
          <w:rFonts w:eastAsia="Guttman Hodes" w:hint="cs"/>
          <w:rtl/>
        </w:rPr>
        <w:t xml:space="preserve">(הובא בסימן </w:t>
      </w:r>
      <w:r>
        <w:rPr>
          <w:rStyle w:val="af2"/>
          <w:rFonts w:eastAsia="Guttman Hodes" w:hint="cs"/>
          <w:rtl/>
        </w:rPr>
        <w:t>ט'</w:t>
      </w:r>
      <w:r w:rsidRPr="00BC10FC">
        <w:rPr>
          <w:rStyle w:val="af2"/>
          <w:rFonts w:eastAsia="Guttman Hodes" w:hint="cs"/>
          <w:rtl/>
        </w:rPr>
        <w:t xml:space="preserve"> אות </w:t>
      </w:r>
      <w:r>
        <w:rPr>
          <w:rStyle w:val="af2"/>
          <w:rFonts w:eastAsia="Guttman Hodes" w:hint="cs"/>
          <w:rtl/>
        </w:rPr>
        <w:t>כ"ט</w:t>
      </w:r>
      <w:r w:rsidRPr="00BC10FC">
        <w:rPr>
          <w:rStyle w:val="af2"/>
          <w:rFonts w:eastAsia="Guttman Hodes" w:hint="cs"/>
          <w:rtl/>
        </w:rPr>
        <w:t xml:space="preserve">) </w:t>
      </w:r>
      <w:r>
        <w:rPr>
          <w:rFonts w:hint="cs"/>
          <w:rtl/>
        </w:rPr>
        <w:t xml:space="preserve">בביאור דברי </w:t>
      </w:r>
      <w:r w:rsidRPr="003B63CB">
        <w:rPr>
          <w:rStyle w:val="aff4"/>
          <w:rFonts w:hint="cs"/>
          <w:vanish/>
          <w:rtl/>
        </w:rPr>
        <w:t>-</w:t>
      </w:r>
      <w:r>
        <w:rPr>
          <w:rStyle w:val="aff4"/>
          <w:rFonts w:hint="cs"/>
          <w:rtl/>
        </w:rPr>
        <w:t>הרשב"ם</w:t>
      </w:r>
      <w:r w:rsidRPr="003B63CB">
        <w:rPr>
          <w:rStyle w:val="aff4"/>
          <w:rFonts w:hint="cs"/>
          <w:vanish/>
          <w:rtl/>
        </w:rPr>
        <w:t>-</w:t>
      </w:r>
      <w:r w:rsidRPr="003B63CB">
        <w:rPr>
          <w:rFonts w:hint="cs"/>
          <w:rtl/>
        </w:rPr>
        <w:t>.</w:t>
      </w:r>
    </w:p>
    <w:p w14:paraId="08EC84E6" w14:textId="77777777" w:rsidR="00274E65" w:rsidRPr="00747170" w:rsidRDefault="00274E65" w:rsidP="00747170">
      <w:pPr>
        <w:pStyle w:val="a2"/>
        <w:rPr>
          <w:rtl/>
        </w:rPr>
      </w:pPr>
      <w:r w:rsidRPr="00747170">
        <w:rPr>
          <w:rtl/>
        </w:rPr>
        <w:t>ומזה הפירוש נתחייב הר"ר שמואל רומרוגי ז"ל תלמידו לומר דהא דאמר ר' יוחנן ואת"ל משנה חובל בצריך לכלבו ומבעיר בצריך לאפרו, ה"ק ליה אין הלכה כר"ש אלא כר"י דאלו ר"ש לא בעי תיקון כלל דמנא תייתי ליה</w:t>
      </w:r>
      <w:r w:rsidRPr="00747170">
        <w:rPr>
          <w:rFonts w:hint="cs"/>
          <w:rtl/>
        </w:rPr>
        <w:t>.</w:t>
      </w:r>
    </w:p>
    <w:p w14:paraId="74B31ECE" w14:textId="4D27FC57" w:rsidR="00274E65" w:rsidRPr="00C12F78" w:rsidRDefault="00274E65" w:rsidP="00274E65">
      <w:pPr>
        <w:pStyle w:val="afffff7"/>
        <w:rPr>
          <w:rtl/>
        </w:rPr>
      </w:pPr>
      <w:bookmarkStart w:id="4218" w:name="_Toc140657525"/>
      <w:bookmarkStart w:id="4219" w:name="_Toc140657607"/>
      <w:bookmarkStart w:id="4220" w:name="_Toc140744083"/>
      <w:bookmarkStart w:id="4221" w:name="_Toc163506031"/>
      <w:r w:rsidRPr="00C12F78">
        <w:rPr>
          <w:rtl/>
        </w:rPr>
        <w:t>חדושי הרמב"ן שבת ק"ו ע"א</w:t>
      </w:r>
      <w:r w:rsidRPr="00C12F78">
        <w:rPr>
          <w:rFonts w:hint="cs"/>
          <w:rtl/>
        </w:rPr>
        <w:t xml:space="preserve"> ד"ה ורש"י</w:t>
      </w:r>
      <w:bookmarkEnd w:id="4218"/>
      <w:bookmarkEnd w:id="4219"/>
      <w:bookmarkEnd w:id="4220"/>
      <w:bookmarkEnd w:id="4221"/>
    </w:p>
    <w:p w14:paraId="16B1A7F8" w14:textId="77777777" w:rsidR="00274E65" w:rsidRPr="003B63CB" w:rsidRDefault="00274E65" w:rsidP="00274E65">
      <w:pPr>
        <w:pStyle w:val="a7"/>
        <w:rPr>
          <w:rtl/>
        </w:rPr>
      </w:pPr>
      <w:bookmarkStart w:id="4222" w:name="_Toc140743969"/>
      <w:r>
        <w:rPr>
          <w:rFonts w:hint="cs"/>
          <w:rtl/>
        </w:rPr>
        <w:t>בי' רש"י דתיקון בד"א הוי תיקון לר"ש ודחיית הרמב"ן דמקלקל בחבורה חייב רק בצל"ג</w:t>
      </w:r>
      <w:bookmarkEnd w:id="4222"/>
    </w:p>
    <w:p w14:paraId="3885948F" w14:textId="14C46C91" w:rsidR="00274E65" w:rsidRDefault="00274E65" w:rsidP="00BC7DC8">
      <w:pPr>
        <w:pStyle w:val="a3"/>
      </w:pPr>
      <w:bookmarkStart w:id="4223" w:name="_Ref140661590"/>
      <w:bookmarkStart w:id="4224" w:name="_Ref140677740"/>
      <w:r>
        <w:rPr>
          <w:rFonts w:hint="cs"/>
          <w:rtl/>
        </w:rPr>
        <w:t>והביא</w:t>
      </w:r>
      <w:r w:rsidRPr="003B63CB">
        <w:rPr>
          <w:rFonts w:hint="cs"/>
          <w:rtl/>
        </w:rPr>
        <w:t xml:space="preserve"> </w:t>
      </w:r>
      <w:r w:rsidRPr="003B63CB">
        <w:rPr>
          <w:rStyle w:val="aff4"/>
          <w:rFonts w:hint="cs"/>
          <w:vanish/>
          <w:rtl/>
        </w:rPr>
        <w:t>-</w:t>
      </w:r>
      <w:r w:rsidRPr="003B63CB">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Ref140661590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כז)</w:t>
      </w:r>
      <w:r>
        <w:rPr>
          <w:rStyle w:val="aff4"/>
          <w:vanish/>
          <w:rtl/>
        </w:rPr>
        <w:fldChar w:fldCharType="end"/>
      </w:r>
      <w:r>
        <w:rPr>
          <w:rStyle w:val="aff4"/>
          <w:rFonts w:hint="cs"/>
          <w:vanish/>
          <w:rtl/>
        </w:rPr>
        <w:t xml:space="preserve"> &gt;</w:t>
      </w:r>
      <w:r w:rsidRPr="003B63CB">
        <w:rPr>
          <w:rStyle w:val="aff4"/>
          <w:rFonts w:hint="cs"/>
          <w:rtl/>
        </w:rPr>
        <w:t>רמב"ן</w:t>
      </w:r>
      <w:r w:rsidRPr="003B63CB">
        <w:rPr>
          <w:rStyle w:val="aff4"/>
          <w:rFonts w:hint="cs"/>
          <w:vanish/>
          <w:rtl/>
        </w:rPr>
        <w:t>-</w:t>
      </w:r>
      <w:r w:rsidRPr="00F86A80">
        <w:rPr>
          <w:rFonts w:hint="cs"/>
          <w:rtl/>
        </w:rPr>
        <w:t xml:space="preserve"> </w:t>
      </w:r>
      <w:r w:rsidRPr="003B63CB">
        <w:rPr>
          <w:rStyle w:val="af2"/>
          <w:rFonts w:eastAsia="Guttman Hodes" w:hint="cs"/>
          <w:rtl/>
        </w:rPr>
        <w:t>(קו. ד"ה ורש"י)</w:t>
      </w:r>
      <w:r w:rsidRPr="003B63CB">
        <w:rPr>
          <w:rFonts w:hint="cs"/>
          <w:vanish/>
          <w:rtl/>
        </w:rPr>
        <w:t>=</w:t>
      </w:r>
      <w:r w:rsidRPr="003B63CB">
        <w:rPr>
          <w:rFonts w:hint="cs"/>
          <w:rtl/>
        </w:rPr>
        <w:t xml:space="preserve"> </w:t>
      </w:r>
      <w:r>
        <w:rPr>
          <w:rFonts w:hint="cs"/>
          <w:rtl/>
        </w:rPr>
        <w:t xml:space="preserve">את דברי </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w:t>
      </w:r>
      <w:r w:rsidRPr="003B63CB">
        <w:rPr>
          <w:rStyle w:val="af2"/>
          <w:rFonts w:eastAsia="Guttman Hodes" w:hint="cs"/>
          <w:rtl/>
        </w:rPr>
        <w:t>(קו. ד"ה מתני'</w:t>
      </w:r>
      <w:r>
        <w:rPr>
          <w:rStyle w:val="af2"/>
          <w:rFonts w:eastAsia="Guttman Hodes" w:hint="cs"/>
          <w:rtl/>
        </w:rPr>
        <w:t>, הובא בסימן ח'</w:t>
      </w:r>
      <w:r w:rsidRPr="007E2F7E">
        <w:rPr>
          <w:rStyle w:val="af2"/>
          <w:rFonts w:eastAsia="Guttman Hodes" w:hint="cs"/>
          <w:rtl/>
        </w:rPr>
        <w:t xml:space="preserve"> </w:t>
      </w:r>
      <w:r w:rsidRPr="003B63CB">
        <w:rPr>
          <w:rStyle w:val="af2"/>
          <w:rFonts w:eastAsia="Guttman Hodes" w:hint="cs"/>
          <w:rtl/>
        </w:rPr>
        <w:t>אות</w:t>
      </w:r>
      <w:r>
        <w:rPr>
          <w:rStyle w:val="af2"/>
          <w:rFonts w:eastAsia="Guttman Hodes" w:hint="cs"/>
          <w:rtl/>
        </w:rPr>
        <w:t xml:space="preserve"> כ"ח)</w:t>
      </w:r>
      <w:r w:rsidRPr="003B63CB">
        <w:rPr>
          <w:rStyle w:val="af2"/>
          <w:rFonts w:eastAsia="Guttman Hodes" w:hint="cs"/>
          <w:rtl/>
        </w:rPr>
        <w:t xml:space="preserve"> </w:t>
      </w:r>
      <w:r>
        <w:rPr>
          <w:rFonts w:hint="cs"/>
          <w:rtl/>
        </w:rPr>
        <w:t xml:space="preserve">דכתב </w:t>
      </w:r>
      <w:r w:rsidRPr="003B63CB">
        <w:rPr>
          <w:rFonts w:hint="cs"/>
          <w:rtl/>
        </w:rPr>
        <w:t>דלר"י דמלאכה שאינה צריכה לגופה חייב, א"כ חובל וצריך לכלבו אף דבדבר עצמו הוא מקלקל, מ"מ הוא מתקן בדבר אחר</w:t>
      </w:r>
      <w:r>
        <w:rPr>
          <w:rFonts w:hint="cs"/>
          <w:rtl/>
        </w:rPr>
        <w:t xml:space="preserve"> ו</w:t>
      </w:r>
      <w:r w:rsidRPr="003B63CB">
        <w:rPr>
          <w:rFonts w:hint="cs"/>
          <w:rtl/>
        </w:rPr>
        <w:t xml:space="preserve">הוי מלאכה כיון דמתקן במק"א, </w:t>
      </w:r>
      <w:r>
        <w:rPr>
          <w:rFonts w:hint="cs"/>
          <w:rtl/>
        </w:rPr>
        <w:t>ודחה</w:t>
      </w:r>
      <w:r w:rsidRPr="003B63CB">
        <w:rPr>
          <w:rFonts w:hint="cs"/>
          <w:rtl/>
        </w:rPr>
        <w:t xml:space="preserve"> </w:t>
      </w:r>
      <w:r w:rsidRPr="003B63CB">
        <w:rPr>
          <w:rStyle w:val="aff4"/>
          <w:rFonts w:hint="cs"/>
          <w:vanish/>
          <w:rtl/>
        </w:rPr>
        <w:t>-</w:t>
      </w:r>
      <w:r w:rsidRPr="003B63CB">
        <w:rPr>
          <w:rStyle w:val="aff4"/>
          <w:rFonts w:hint="cs"/>
          <w:rtl/>
        </w:rPr>
        <w:t>הרמב"ן</w:t>
      </w:r>
      <w:r w:rsidRPr="003B63CB">
        <w:rPr>
          <w:rStyle w:val="aff4"/>
          <w:rFonts w:hint="cs"/>
          <w:vanish/>
          <w:rtl/>
        </w:rPr>
        <w:t>-</w:t>
      </w:r>
      <w:r w:rsidRPr="003B63CB">
        <w:rPr>
          <w:rFonts w:hint="cs"/>
          <w:rtl/>
        </w:rPr>
        <w:t xml:space="preserve"> דמוכח בגמ' בסנהדרין </w:t>
      </w:r>
      <w:r w:rsidRPr="003B63CB">
        <w:rPr>
          <w:rStyle w:val="af2"/>
          <w:rFonts w:eastAsia="Guttman Hodes" w:hint="cs"/>
          <w:rtl/>
        </w:rPr>
        <w:t>(פד:)</w:t>
      </w:r>
      <w:r w:rsidRPr="003B63CB">
        <w:rPr>
          <w:rFonts w:hint="cs"/>
          <w:rtl/>
        </w:rPr>
        <w:t xml:space="preserve"> ובכתובות </w:t>
      </w:r>
      <w:r w:rsidRPr="003B63CB">
        <w:rPr>
          <w:rStyle w:val="af2"/>
          <w:rFonts w:eastAsia="Guttman Hodes" w:hint="cs"/>
          <w:rtl/>
        </w:rPr>
        <w:t>(כ:)</w:t>
      </w:r>
      <w:r w:rsidRPr="003B63CB">
        <w:rPr>
          <w:rFonts w:hint="cs"/>
          <w:rtl/>
        </w:rPr>
        <w:t xml:space="preserve"> דאף בחובל ומבעיר ס"ל לר"ש דחייב רק במלאכה שצריכה לגופה</w:t>
      </w:r>
      <w:r>
        <w:rPr>
          <w:rFonts w:hint="cs"/>
          <w:rtl/>
        </w:rPr>
        <w:t xml:space="preserve">, </w:t>
      </w:r>
      <w:r>
        <w:rPr>
          <w:rStyle w:val="aff4"/>
          <w:vanish/>
          <w:rtl/>
        </w:rPr>
        <w:t>–</w:t>
      </w:r>
      <w:r w:rsidRPr="003B63CB">
        <w:rPr>
          <w:rFonts w:hint="cs"/>
          <w:rtl/>
        </w:rPr>
        <w:t>הוסיף</w:t>
      </w:r>
      <w:r>
        <w:rPr>
          <w:rFonts w:hint="cs"/>
          <w:rtl/>
        </w:rPr>
        <w:t xml:space="preserve"> וכן </w:t>
      </w:r>
      <w:r w:rsidRPr="003B63CB">
        <w:rPr>
          <w:rFonts w:hint="cs"/>
          <w:rtl/>
        </w:rPr>
        <w:t xml:space="preserve">מבואר בגמ' </w:t>
      </w:r>
      <w:r w:rsidRPr="003B63CB">
        <w:rPr>
          <w:rStyle w:val="af2"/>
          <w:rFonts w:eastAsia="Guttman Hodes" w:hint="cs"/>
          <w:rtl/>
        </w:rPr>
        <w:t>(עה.)</w:t>
      </w:r>
      <w:r w:rsidRPr="003B63CB">
        <w:rPr>
          <w:rFonts w:hint="cs"/>
          <w:rtl/>
        </w:rPr>
        <w:t xml:space="preserve"> </w:t>
      </w:r>
      <w:r w:rsidRPr="003B63CB">
        <w:rPr>
          <w:rStyle w:val="af"/>
          <w:rFonts w:hint="cs"/>
          <w:rtl/>
        </w:rPr>
        <w:t>[בפוצע חלזון]</w:t>
      </w:r>
      <w:r>
        <w:rPr>
          <w:rStyle w:val="af"/>
          <w:rFonts w:hint="cs"/>
          <w:rtl/>
        </w:rPr>
        <w:t>,</w:t>
      </w:r>
      <w:r w:rsidRPr="003B63CB">
        <w:rPr>
          <w:rFonts w:hint="cs"/>
          <w:rtl/>
        </w:rPr>
        <w:t xml:space="preserve"> ובגמ' לקמן </w:t>
      </w:r>
      <w:r w:rsidRPr="003B63CB">
        <w:rPr>
          <w:rStyle w:val="af2"/>
          <w:rFonts w:eastAsia="Guttman Hodes" w:hint="cs"/>
          <w:rtl/>
        </w:rPr>
        <w:t>(קכא:)</w:t>
      </w:r>
      <w:r w:rsidRPr="003B63CB">
        <w:rPr>
          <w:rFonts w:hint="cs"/>
          <w:rtl/>
        </w:rPr>
        <w:t xml:space="preserve"> לענין הריגת ה' מזיקין, דלר"ש דפוטר במלאכה שאינה צריכה לגופה, החיוב במקלקל בחבורה רק במלאכה שצריכה לגופה</w:t>
      </w:r>
      <w:r>
        <w:rPr>
          <w:rFonts w:hint="cs"/>
          <w:rtl/>
        </w:rPr>
        <w:t xml:space="preserve">, וכ"כ </w:t>
      </w:r>
      <w:r w:rsidRPr="003B63CB">
        <w:rPr>
          <w:rStyle w:val="aff4"/>
          <w:rFonts w:hint="cs"/>
          <w:vanish/>
          <w:rtl/>
        </w:rPr>
        <w:t>-</w:t>
      </w:r>
      <w:r w:rsidRPr="003B63CB">
        <w:rPr>
          <w:rStyle w:val="aff4"/>
          <w:rFonts w:hint="cs"/>
          <w:rtl/>
        </w:rPr>
        <w:t>התוס'</w:t>
      </w:r>
      <w:r w:rsidRPr="003B63CB">
        <w:rPr>
          <w:rStyle w:val="aff4"/>
          <w:rFonts w:hint="cs"/>
          <w:vanish/>
          <w:rtl/>
        </w:rPr>
        <w:t>-</w:t>
      </w:r>
      <w:r w:rsidRPr="003B63CB">
        <w:rPr>
          <w:rFonts w:hint="cs"/>
          <w:rtl/>
        </w:rPr>
        <w:t xml:space="preserve"> </w:t>
      </w:r>
      <w:r w:rsidRPr="003B63CB">
        <w:rPr>
          <w:rStyle w:val="af2"/>
          <w:rFonts w:eastAsia="Guttman Hodes" w:hint="cs"/>
          <w:rtl/>
        </w:rPr>
        <w:t>(קו. ד"ה חוץ)</w:t>
      </w:r>
      <w:r w:rsidRPr="003B63CB">
        <w:rPr>
          <w:rFonts w:hint="cs"/>
          <w:rtl/>
        </w:rPr>
        <w:t xml:space="preserve"> </w:t>
      </w:r>
      <w:r w:rsidRPr="003B63CB">
        <w:rPr>
          <w:rStyle w:val="aff4"/>
          <w:rFonts w:hint="cs"/>
          <w:vanish/>
          <w:rtl/>
        </w:rPr>
        <w:t>-</w:t>
      </w:r>
      <w:r>
        <w:rPr>
          <w:rStyle w:val="aff4"/>
          <w:rFonts w:hint="cs"/>
          <w:vanish/>
          <w:rtl/>
        </w:rPr>
        <w:t>ו</w:t>
      </w:r>
      <w:r w:rsidRPr="003B63CB">
        <w:rPr>
          <w:rStyle w:val="aff4"/>
          <w:rFonts w:hint="cs"/>
          <w:rtl/>
        </w:rPr>
        <w:t>התוס' בב"ק</w:t>
      </w:r>
      <w:r w:rsidRPr="003B63CB">
        <w:rPr>
          <w:rStyle w:val="aff4"/>
          <w:rFonts w:hint="cs"/>
          <w:vanish/>
          <w:rtl/>
        </w:rPr>
        <w:t>-</w:t>
      </w:r>
      <w:r w:rsidRPr="003B63CB">
        <w:rPr>
          <w:rFonts w:hint="cs"/>
          <w:rtl/>
        </w:rPr>
        <w:t xml:space="preserve"> </w:t>
      </w:r>
      <w:r w:rsidRPr="003B63CB">
        <w:rPr>
          <w:rStyle w:val="af2"/>
          <w:rFonts w:eastAsia="Guttman Hodes" w:hint="cs"/>
          <w:rtl/>
        </w:rPr>
        <w:t>(לד: ד"ה חובל)</w:t>
      </w:r>
      <w:r w:rsidRPr="003B63CB">
        <w:rPr>
          <w:rFonts w:hint="cs"/>
          <w:rtl/>
        </w:rPr>
        <w:t xml:space="preserve"> </w:t>
      </w:r>
      <w:r w:rsidRPr="003B63CB">
        <w:rPr>
          <w:rStyle w:val="aff4"/>
          <w:rFonts w:hint="cs"/>
          <w:vanish/>
          <w:rtl/>
        </w:rPr>
        <w:t>-</w:t>
      </w:r>
      <w:r w:rsidRPr="003B63CB">
        <w:rPr>
          <w:rStyle w:val="aff4"/>
          <w:rFonts w:hint="cs"/>
          <w:rtl/>
        </w:rPr>
        <w:t>והתוס' בסנהדרין</w:t>
      </w:r>
      <w:r w:rsidRPr="003B63CB">
        <w:rPr>
          <w:rStyle w:val="aff4"/>
          <w:rFonts w:hint="cs"/>
          <w:vanish/>
          <w:rtl/>
        </w:rPr>
        <w:t>-</w:t>
      </w:r>
      <w:r w:rsidRPr="003B63CB">
        <w:rPr>
          <w:rFonts w:hint="cs"/>
          <w:rtl/>
        </w:rPr>
        <w:t xml:space="preserve"> </w:t>
      </w:r>
      <w:r w:rsidRPr="003B63CB">
        <w:rPr>
          <w:rStyle w:val="af2"/>
          <w:rFonts w:eastAsia="Guttman Hodes" w:hint="cs"/>
          <w:rtl/>
        </w:rPr>
        <w:t>(פד: ד"ה מאן)</w:t>
      </w:r>
      <w:r w:rsidRPr="003B63CB">
        <w:rPr>
          <w:rFonts w:hint="cs"/>
          <w:rtl/>
        </w:rPr>
        <w:t>,</w:t>
      </w:r>
      <w:bookmarkEnd w:id="4223"/>
      <w:r w:rsidRPr="003B63CB">
        <w:rPr>
          <w:rFonts w:hint="cs"/>
          <w:rtl/>
        </w:rPr>
        <w:t xml:space="preserve"> </w:t>
      </w:r>
      <w:r>
        <w:rPr>
          <w:rFonts w:hint="cs"/>
          <w:rtl/>
        </w:rPr>
        <w:t xml:space="preserve">ועיי"ש במה שהוסיף </w:t>
      </w:r>
      <w:r w:rsidRPr="003B63CB">
        <w:rPr>
          <w:rStyle w:val="aff4"/>
          <w:rFonts w:hint="cs"/>
          <w:vanish/>
          <w:rtl/>
        </w:rPr>
        <w:t>-</w:t>
      </w:r>
      <w:r w:rsidRPr="003B63CB">
        <w:rPr>
          <w:rStyle w:val="aff4"/>
          <w:rFonts w:hint="cs"/>
          <w:rtl/>
        </w:rPr>
        <w:t>הרמב"ן</w:t>
      </w:r>
      <w:r w:rsidRPr="003B63CB">
        <w:rPr>
          <w:rStyle w:val="aff4"/>
          <w:rFonts w:hint="cs"/>
          <w:vanish/>
          <w:rtl/>
        </w:rPr>
        <w:t>-</w:t>
      </w:r>
      <w:r w:rsidRPr="003B63CB">
        <w:rPr>
          <w:rFonts w:hint="cs"/>
          <w:rtl/>
        </w:rPr>
        <w:t xml:space="preserve"> </w:t>
      </w:r>
      <w:r w:rsidRPr="00BC10FC">
        <w:rPr>
          <w:rStyle w:val="af2"/>
          <w:rFonts w:eastAsia="Guttman Hodes" w:hint="cs"/>
          <w:rtl/>
        </w:rPr>
        <w:t xml:space="preserve">(הובא בסימן </w:t>
      </w:r>
      <w:r>
        <w:rPr>
          <w:rStyle w:val="af2"/>
          <w:rFonts w:eastAsia="Guttman Hodes" w:hint="cs"/>
          <w:rtl/>
        </w:rPr>
        <w:t>ח'</w:t>
      </w:r>
      <w:r w:rsidRPr="00BC10FC">
        <w:rPr>
          <w:rStyle w:val="af2"/>
          <w:rFonts w:eastAsia="Guttman Hodes" w:hint="cs"/>
          <w:rtl/>
        </w:rPr>
        <w:t xml:space="preserve"> אות </w:t>
      </w:r>
      <w:r>
        <w:rPr>
          <w:rStyle w:val="af2"/>
          <w:rFonts w:eastAsia="Guttman Hodes" w:hint="cs"/>
          <w:rtl/>
        </w:rPr>
        <w:t>ל"ב</w:t>
      </w:r>
      <w:r w:rsidRPr="00BC10FC">
        <w:rPr>
          <w:rStyle w:val="af2"/>
          <w:rFonts w:eastAsia="Guttman Hodes" w:hint="cs"/>
          <w:rtl/>
        </w:rPr>
        <w:t xml:space="preserve">) </w:t>
      </w:r>
      <w:r>
        <w:rPr>
          <w:rFonts w:hint="cs"/>
          <w:rtl/>
        </w:rPr>
        <w:t xml:space="preserve">להקשות על דברי </w:t>
      </w:r>
      <w:r w:rsidRPr="003B63CB">
        <w:rPr>
          <w:rStyle w:val="aff4"/>
          <w:rFonts w:hint="cs"/>
          <w:vanish/>
          <w:rtl/>
        </w:rPr>
        <w:t>-</w:t>
      </w:r>
      <w:r w:rsidRPr="003B63CB">
        <w:rPr>
          <w:rStyle w:val="aff4"/>
          <w:rFonts w:hint="cs"/>
          <w:rtl/>
        </w:rPr>
        <w:t>רש"י</w:t>
      </w:r>
      <w:r w:rsidRPr="003B63CB">
        <w:rPr>
          <w:rStyle w:val="aff4"/>
          <w:rFonts w:hint="cs"/>
          <w:vanish/>
          <w:rtl/>
        </w:rPr>
        <w:t>-</w:t>
      </w:r>
      <w:r>
        <w:rPr>
          <w:rFonts w:hint="cs"/>
          <w:rtl/>
        </w:rPr>
        <w:t>.</w:t>
      </w:r>
      <w:bookmarkEnd w:id="4224"/>
    </w:p>
    <w:p w14:paraId="77A10604" w14:textId="77777777" w:rsidR="00274E65" w:rsidRPr="00747170" w:rsidRDefault="00274E65" w:rsidP="00747170">
      <w:pPr>
        <w:pStyle w:val="a2"/>
        <w:rPr>
          <w:rtl/>
        </w:rPr>
      </w:pPr>
      <w:r w:rsidRPr="00747170">
        <w:rPr>
          <w:rtl/>
        </w:rPr>
        <w:t>ורש"י עצמו ז"ל כתב דחובל וצריך לכלבו לר"י כיון דמתקן הוא אצל הכלב כה"ג מלאכה היא, וזה הפירוש אינו נכון דאי ר' אבהו כר"ש היכי משתיק לי' ר' יוחנן, כדמקשי' בפ"ק דחולין ורב משום דס"ל כר"י מאן דתני כר' מאיר שתוקי משתיק ליה, ועוד דלר"ש אפילו בחובל ומבעיר בעי' שתהא המלאכה צריכה לגופה כדאמרי' בפ' כלל גדול, ובשלהי כל כתבי הקדש (קכ"א ב') גבי חמשה נהרגין בשבת אלא לאו ר"ש דאמר מלאכה שא"צ לגופה פטור עליה, אלמא אפי' במקלקל בחבורה בעי' מלאכה הצריכה לגופה, ובפ' ואלו הן הנחנקין (פ"ד ב') אמרי' והא דתנן מחט של יד ליטול בה את הקוץ ליחוש דילמא חביל ביה ומתרץ התם אי לר"י מקלקל בחבורה הוא אי לר"ש מלאכה שא"צ לגופה היא ופטור עלי', אלמא לר"ש מלאכה שא"צ לגופה בחבורה פטור</w:t>
      </w:r>
      <w:r w:rsidRPr="00747170">
        <w:rPr>
          <w:rFonts w:hint="cs"/>
          <w:rtl/>
        </w:rPr>
        <w:t>.</w:t>
      </w:r>
    </w:p>
    <w:p w14:paraId="7770C002" w14:textId="75DE047D" w:rsidR="00274E65" w:rsidRPr="0030764B" w:rsidRDefault="00274E65" w:rsidP="00274E65">
      <w:pPr>
        <w:pStyle w:val="1"/>
        <w:rPr>
          <w:rtl/>
        </w:rPr>
      </w:pPr>
      <w:bookmarkStart w:id="4225" w:name="_Toc140743970"/>
      <w:r>
        <w:rPr>
          <w:rFonts w:hint="cs"/>
          <w:rtl/>
        </w:rPr>
        <w:t>בי' הרמב"ן דגדר צל"ג כשיש תיקון אף בחלק מחלקי המלאכה</w:t>
      </w:r>
      <w:bookmarkEnd w:id="4225"/>
      <w:r>
        <w:rPr>
          <w:rFonts w:hint="cs"/>
          <w:rtl/>
        </w:rPr>
        <w:t xml:space="preserve"> </w:t>
      </w:r>
    </w:p>
    <w:p w14:paraId="3B8316F8" w14:textId="77777777" w:rsidR="00274E65" w:rsidRPr="00FD086D" w:rsidRDefault="00274E65" w:rsidP="00274E65">
      <w:pPr>
        <w:pStyle w:val="afffff7"/>
        <w:rPr>
          <w:rtl/>
        </w:rPr>
      </w:pPr>
      <w:bookmarkStart w:id="4226" w:name="_Toc140058108"/>
      <w:bookmarkStart w:id="4227" w:name="_Toc140744084"/>
      <w:bookmarkStart w:id="4228" w:name="_Toc163506032"/>
      <w:r w:rsidRPr="00FD086D">
        <w:rPr>
          <w:rtl/>
        </w:rPr>
        <w:t>חדושי הרמב"ן שבת ק"ו ע"א</w:t>
      </w:r>
      <w:r w:rsidRPr="00FD086D">
        <w:rPr>
          <w:rFonts w:hint="cs"/>
          <w:rtl/>
        </w:rPr>
        <w:t xml:space="preserve"> ד</w:t>
      </w:r>
      <w:r w:rsidRPr="00FD086D">
        <w:rPr>
          <w:rFonts w:cs="Guttman Hodes" w:hint="cs"/>
          <w:rtl/>
        </w:rPr>
        <w:t>"</w:t>
      </w:r>
      <w:r w:rsidRPr="00FD086D">
        <w:rPr>
          <w:rFonts w:hint="cs"/>
          <w:rtl/>
        </w:rPr>
        <w:t>ה ואין</w:t>
      </w:r>
      <w:bookmarkEnd w:id="4226"/>
      <w:bookmarkEnd w:id="4227"/>
      <w:bookmarkEnd w:id="4228"/>
    </w:p>
    <w:p w14:paraId="2F1506E1" w14:textId="77777777" w:rsidR="00274E65" w:rsidRPr="0030764B" w:rsidRDefault="00274E65" w:rsidP="00274E65">
      <w:pPr>
        <w:pStyle w:val="a7"/>
        <w:rPr>
          <w:rtl/>
        </w:rPr>
      </w:pPr>
      <w:bookmarkStart w:id="4229" w:name="_Toc140743971"/>
      <w:r>
        <w:rPr>
          <w:rFonts w:hint="cs"/>
          <w:rtl/>
        </w:rPr>
        <w:t>בי' הרמב"ן דמילה צל"ג דיהיה מהול כנוטל צפרניו וגוזז דאף דא"צ להם צריך לגוף המלאכה</w:t>
      </w:r>
      <w:bookmarkEnd w:id="4229"/>
    </w:p>
    <w:p w14:paraId="54B5B6F6" w14:textId="50D37001" w:rsidR="00274E65" w:rsidRDefault="00274E65" w:rsidP="00BC7DC8">
      <w:pPr>
        <w:pStyle w:val="a3"/>
      </w:pPr>
      <w:bookmarkStart w:id="4230" w:name="_Ref135732507"/>
      <w:bookmarkStart w:id="4231" w:name="_Ref140743871"/>
      <w:r>
        <w:rPr>
          <w:rFonts w:hint="cs"/>
          <w:rtl/>
        </w:rPr>
        <w:t>וכתב</w:t>
      </w:r>
      <w:r w:rsidRPr="00FD086D">
        <w:rPr>
          <w:rFonts w:hint="cs"/>
          <w:rtl/>
        </w:rPr>
        <w:t xml:space="preserve"> </w:t>
      </w:r>
      <w:r w:rsidRPr="00944285">
        <w:rPr>
          <w:rStyle w:val="aff4"/>
          <w:rFonts w:hint="cs"/>
          <w:vanish/>
          <w:rtl/>
        </w:rPr>
        <w:t>-</w:t>
      </w:r>
      <w:r w:rsidRPr="0012119D">
        <w:rPr>
          <w:rStyle w:val="aff4"/>
          <w:rFonts w:hint="cs"/>
          <w:rtl/>
        </w:rPr>
        <w:t>ה</w:t>
      </w:r>
      <w:r w:rsidRPr="0012119D">
        <w:rPr>
          <w:rStyle w:val="aff4"/>
          <w:rFonts w:hint="cs"/>
          <w:vanish/>
          <w:rtl/>
        </w:rPr>
        <w:t xml:space="preserve">&lt;, </w:t>
      </w:r>
      <w:r w:rsidRPr="0012119D">
        <w:rPr>
          <w:rStyle w:val="aff4"/>
          <w:vanish/>
          <w:rtl/>
        </w:rPr>
        <w:fldChar w:fldCharType="begin"/>
      </w:r>
      <w:r w:rsidRPr="0012119D">
        <w:rPr>
          <w:rStyle w:val="aff4"/>
          <w:vanish/>
          <w:rtl/>
        </w:rPr>
        <w:instrText xml:space="preserve"> </w:instrText>
      </w:r>
      <w:r w:rsidRPr="0012119D">
        <w:rPr>
          <w:rStyle w:val="aff4"/>
          <w:rFonts w:hint="cs"/>
          <w:vanish/>
        </w:rPr>
        <w:instrText>REF</w:instrText>
      </w:r>
      <w:r w:rsidRPr="0012119D">
        <w:rPr>
          <w:rStyle w:val="aff4"/>
          <w:rFonts w:hint="cs"/>
          <w:vanish/>
          <w:rtl/>
        </w:rPr>
        <w:instrText xml:space="preserve"> _</w:instrText>
      </w:r>
      <w:r w:rsidRPr="0012119D">
        <w:rPr>
          <w:rStyle w:val="aff4"/>
          <w:rFonts w:hint="cs"/>
          <w:vanish/>
        </w:rPr>
        <w:instrText>Ref135732507 \r \h</w:instrText>
      </w:r>
      <w:r w:rsidRPr="0012119D">
        <w:rPr>
          <w:rStyle w:val="aff4"/>
          <w:vanish/>
          <w:rtl/>
        </w:rPr>
        <w:instrText xml:space="preserve"> </w:instrText>
      </w:r>
      <w:r w:rsidRPr="0012119D">
        <w:rPr>
          <w:rStyle w:val="aff4"/>
          <w:vanish/>
          <w:rtl/>
        </w:rPr>
      </w:r>
      <w:r w:rsidRPr="0012119D">
        <w:rPr>
          <w:rStyle w:val="aff4"/>
          <w:vanish/>
          <w:rtl/>
        </w:rPr>
        <w:fldChar w:fldCharType="separate"/>
      </w:r>
      <w:r w:rsidR="00D82181">
        <w:rPr>
          <w:rStyle w:val="aff4"/>
          <w:vanish/>
          <w:cs/>
        </w:rPr>
        <w:t>‎</w:t>
      </w:r>
      <w:r w:rsidR="00D82181">
        <w:rPr>
          <w:rStyle w:val="aff4"/>
          <w:vanish/>
          <w:rtl/>
        </w:rPr>
        <w:t>כח)</w:t>
      </w:r>
      <w:r w:rsidRPr="0012119D">
        <w:rPr>
          <w:rStyle w:val="aff4"/>
          <w:vanish/>
          <w:rtl/>
        </w:rPr>
        <w:fldChar w:fldCharType="end"/>
      </w:r>
      <w:r w:rsidRPr="0012119D">
        <w:rPr>
          <w:rStyle w:val="aff4"/>
          <w:rFonts w:hint="cs"/>
          <w:vanish/>
          <w:rtl/>
        </w:rPr>
        <w:t xml:space="preserve"> &gt;</w:t>
      </w:r>
      <w:r w:rsidRPr="0012119D">
        <w:rPr>
          <w:rStyle w:val="aff4"/>
          <w:rFonts w:hint="cs"/>
          <w:rtl/>
        </w:rPr>
        <w:t>רמב"ן</w:t>
      </w:r>
      <w:r w:rsidRPr="00FE7099">
        <w:rPr>
          <w:rStyle w:val="aff4"/>
          <w:rFonts w:hint="cs"/>
          <w:vanish/>
          <w:rtl/>
        </w:rPr>
        <w:t>-</w:t>
      </w:r>
      <w:r w:rsidRPr="00FD086D">
        <w:rPr>
          <w:rFonts w:hint="cs"/>
          <w:rtl/>
        </w:rPr>
        <w:t xml:space="preserve"> </w:t>
      </w:r>
      <w:r w:rsidRPr="00900CB4">
        <w:rPr>
          <w:rStyle w:val="af2"/>
          <w:rFonts w:eastAsia="Guttman Hodes" w:hint="cs"/>
          <w:rtl/>
        </w:rPr>
        <w:t>(קו. ד"ה ואין)</w:t>
      </w:r>
      <w:r w:rsidRPr="00944285">
        <w:rPr>
          <w:rFonts w:hint="cs"/>
          <w:vanish/>
          <w:rtl/>
        </w:rPr>
        <w:t>=</w:t>
      </w:r>
      <w:r w:rsidRPr="00FD086D">
        <w:rPr>
          <w:rFonts w:hint="cs"/>
          <w:rtl/>
        </w:rPr>
        <w:t xml:space="preserve"> דודאי דמילה היא מלאכה שצריכה לגופה</w:t>
      </w:r>
      <w:r>
        <w:rPr>
          <w:rFonts w:hint="cs"/>
          <w:rtl/>
        </w:rPr>
        <w:t xml:space="preserve">, </w:t>
      </w:r>
      <w:r w:rsidRPr="00900CB4">
        <w:rPr>
          <w:rStyle w:val="af"/>
          <w:rFonts w:hint="cs"/>
          <w:rtl/>
        </w:rPr>
        <w:t xml:space="preserve">[והוסיף </w:t>
      </w:r>
      <w:r w:rsidRPr="00900CB4">
        <w:rPr>
          <w:rStyle w:val="aff9"/>
          <w:rFonts w:hint="cs"/>
          <w:vanish/>
          <w:rtl/>
        </w:rPr>
        <w:t>-</w:t>
      </w:r>
      <w:r w:rsidRPr="00900CB4">
        <w:rPr>
          <w:rStyle w:val="aff9"/>
          <w:rFonts w:hint="cs"/>
          <w:rtl/>
        </w:rPr>
        <w:t>הר"ן</w:t>
      </w:r>
      <w:r w:rsidRPr="00900CB4">
        <w:rPr>
          <w:rStyle w:val="aff9"/>
          <w:rFonts w:hint="cs"/>
          <w:vanish/>
          <w:rtl/>
        </w:rPr>
        <w:t>-</w:t>
      </w:r>
      <w:r w:rsidRPr="00900CB4">
        <w:rPr>
          <w:rStyle w:val="af"/>
          <w:rFonts w:hint="cs"/>
          <w:rtl/>
        </w:rPr>
        <w:t xml:space="preserve"> </w:t>
      </w:r>
      <w:r w:rsidRPr="00900CB4">
        <w:rPr>
          <w:rStyle w:val="aff0"/>
          <w:rFonts w:hint="cs"/>
          <w:rtl/>
        </w:rPr>
        <w:t>(קו. ד</w:t>
      </w:r>
      <w:r w:rsidRPr="00900CB4">
        <w:rPr>
          <w:rStyle w:val="aff0"/>
          <w:rtl/>
        </w:rPr>
        <w:t>"</w:t>
      </w:r>
      <w:r w:rsidRPr="00900CB4">
        <w:rPr>
          <w:rStyle w:val="aff0"/>
          <w:rFonts w:hint="cs"/>
          <w:rtl/>
        </w:rPr>
        <w:t>ה לפיכך פי</w:t>
      </w:r>
      <w:r w:rsidRPr="00900CB4">
        <w:rPr>
          <w:rStyle w:val="aff0"/>
          <w:rtl/>
        </w:rPr>
        <w:t>'</w:t>
      </w:r>
      <w:r w:rsidRPr="00900CB4">
        <w:rPr>
          <w:rStyle w:val="aff0"/>
          <w:rFonts w:hint="cs"/>
          <w:rtl/>
        </w:rPr>
        <w:t xml:space="preserve"> הרמב</w:t>
      </w:r>
      <w:r w:rsidRPr="00900CB4">
        <w:rPr>
          <w:rStyle w:val="aff0"/>
          <w:rtl/>
        </w:rPr>
        <w:t>"</w:t>
      </w:r>
      <w:r w:rsidRPr="00900CB4">
        <w:rPr>
          <w:rStyle w:val="aff0"/>
          <w:rFonts w:hint="cs"/>
          <w:rtl/>
        </w:rPr>
        <w:t>ן)</w:t>
      </w:r>
      <w:r w:rsidRPr="00900CB4">
        <w:rPr>
          <w:rStyle w:val="af"/>
          <w:rFonts w:hint="cs"/>
          <w:rtl/>
        </w:rPr>
        <w:t xml:space="preserve"> דאף שא"צ את גוף הערלה מ"מ חשיב מלאכה שצריכה לגופה]</w:t>
      </w:r>
      <w:r>
        <w:rPr>
          <w:rFonts w:hint="cs"/>
          <w:rtl/>
        </w:rPr>
        <w:t>,</w:t>
      </w:r>
      <w:r w:rsidRPr="00FD086D">
        <w:rPr>
          <w:rFonts w:hint="cs"/>
          <w:rtl/>
        </w:rPr>
        <w:t xml:space="preserve"> כיון דהוא צריך שהאדם יהיה מהול, </w:t>
      </w:r>
      <w:r w:rsidRPr="00900CB4">
        <w:rPr>
          <w:rStyle w:val="af"/>
          <w:rFonts w:hint="cs"/>
          <w:rtl/>
        </w:rPr>
        <w:t xml:space="preserve">[ודלא כמבואר </w:t>
      </w:r>
      <w:r w:rsidRPr="00900CB4">
        <w:rPr>
          <w:rStyle w:val="aff9"/>
          <w:rFonts w:hint="cs"/>
          <w:vanish/>
          <w:rtl/>
        </w:rPr>
        <w:t>-</w:t>
      </w:r>
      <w:r w:rsidRPr="00900CB4">
        <w:rPr>
          <w:rStyle w:val="aff9"/>
          <w:rFonts w:hint="cs"/>
          <w:rtl/>
        </w:rPr>
        <w:t>ברש"י</w:t>
      </w:r>
      <w:r w:rsidRPr="00900CB4">
        <w:rPr>
          <w:rStyle w:val="aff9"/>
          <w:rFonts w:hint="cs"/>
          <w:vanish/>
          <w:rtl/>
        </w:rPr>
        <w:t>-</w:t>
      </w:r>
      <w:r w:rsidRPr="00900CB4">
        <w:rPr>
          <w:rStyle w:val="af"/>
          <w:rFonts w:hint="cs"/>
          <w:rtl/>
        </w:rPr>
        <w:t xml:space="preserve"> </w:t>
      </w:r>
      <w:r w:rsidRPr="00900CB4">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Ref139489021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לא)</w:t>
      </w:r>
      <w:r>
        <w:rPr>
          <w:rStyle w:val="aff0"/>
          <w:rtl/>
        </w:rPr>
        <w:fldChar w:fldCharType="end"/>
      </w:r>
      <w:r w:rsidRPr="00900CB4">
        <w:rPr>
          <w:rStyle w:val="af"/>
          <w:rFonts w:hint="cs"/>
          <w:rtl/>
        </w:rPr>
        <w:t>]</w:t>
      </w:r>
      <w:r>
        <w:rPr>
          <w:rFonts w:hint="cs"/>
          <w:rtl/>
        </w:rPr>
        <w:t xml:space="preserve">, </w:t>
      </w:r>
      <w:r w:rsidRPr="00FD086D">
        <w:rPr>
          <w:rFonts w:hint="cs"/>
          <w:rtl/>
        </w:rPr>
        <w:t xml:space="preserve">ודומה לנוטל צפרניו או שפמו בכלי, דתנן לקמן </w:t>
      </w:r>
      <w:r w:rsidRPr="00900CB4">
        <w:rPr>
          <w:rStyle w:val="af2"/>
          <w:rFonts w:eastAsia="Guttman Hodes" w:hint="cs"/>
          <w:rtl/>
        </w:rPr>
        <w:t>(צד:)</w:t>
      </w:r>
      <w:r w:rsidRPr="00FD086D">
        <w:rPr>
          <w:rFonts w:hint="cs"/>
          <w:rtl/>
        </w:rPr>
        <w:t xml:space="preserve"> דחייב בתולדה דגוזז, ואף שא"צ את הצפרנים והשיער חשיב מלאכה הצריכה לגופה,</w:t>
      </w:r>
      <w:r>
        <w:rPr>
          <w:rFonts w:hint="cs"/>
          <w:rtl/>
        </w:rPr>
        <w:t xml:space="preserve"> </w:t>
      </w:r>
      <w:r w:rsidRPr="00900CB4">
        <w:rPr>
          <w:rStyle w:val="af"/>
          <w:rFonts w:hint="cs"/>
          <w:rtl/>
        </w:rPr>
        <w:t xml:space="preserve">[והוסיף </w:t>
      </w:r>
      <w:r w:rsidRPr="00900CB4">
        <w:rPr>
          <w:rStyle w:val="aff9"/>
          <w:rFonts w:hint="cs"/>
          <w:vanish/>
          <w:rtl/>
        </w:rPr>
        <w:t>-</w:t>
      </w:r>
      <w:r w:rsidRPr="00900CB4">
        <w:rPr>
          <w:rStyle w:val="aff9"/>
          <w:rFonts w:hint="cs"/>
          <w:rtl/>
        </w:rPr>
        <w:t>הר"ן</w:t>
      </w:r>
      <w:r w:rsidRPr="00900CB4">
        <w:rPr>
          <w:rStyle w:val="aff9"/>
          <w:rFonts w:hint="cs"/>
          <w:vanish/>
          <w:rtl/>
        </w:rPr>
        <w:t>-</w:t>
      </w:r>
      <w:r w:rsidRPr="00900CB4">
        <w:rPr>
          <w:rStyle w:val="af"/>
          <w:rFonts w:hint="cs"/>
          <w:rtl/>
        </w:rPr>
        <w:t xml:space="preserve"> דמוכח דכיון דהוא רוצה שהנימול ישאר מהול חשיב מלאכה שצריכה לגופה]</w:t>
      </w:r>
      <w:r>
        <w:rPr>
          <w:rFonts w:hint="cs"/>
          <w:rtl/>
        </w:rPr>
        <w:t>,</w:t>
      </w:r>
      <w:r w:rsidRPr="00FD086D">
        <w:rPr>
          <w:rFonts w:hint="cs"/>
          <w:rtl/>
        </w:rPr>
        <w:t xml:space="preserve"> וכתב </w:t>
      </w:r>
      <w:r w:rsidRPr="00944285">
        <w:rPr>
          <w:rStyle w:val="aff4"/>
          <w:rFonts w:hint="cs"/>
          <w:vanish/>
          <w:rtl/>
        </w:rPr>
        <w:t>-</w:t>
      </w:r>
      <w:r w:rsidRPr="0012119D">
        <w:rPr>
          <w:rStyle w:val="aff4"/>
          <w:rFonts w:hint="cs"/>
          <w:rtl/>
        </w:rPr>
        <w:t>הרמב"ן</w:t>
      </w:r>
      <w:r w:rsidRPr="00944285">
        <w:rPr>
          <w:rStyle w:val="aff4"/>
          <w:rFonts w:hint="cs"/>
          <w:vanish/>
          <w:rtl/>
        </w:rPr>
        <w:t>-</w:t>
      </w:r>
      <w:r w:rsidRPr="00FD086D">
        <w:rPr>
          <w:rFonts w:hint="cs"/>
          <w:rtl/>
        </w:rPr>
        <w:t xml:space="preserve"> דה"ה בזורה ובורר, וכן </w:t>
      </w:r>
      <w:r w:rsidRPr="00FD086D">
        <w:rPr>
          <w:rtl/>
        </w:rPr>
        <w:t xml:space="preserve">מאן </w:t>
      </w:r>
      <w:r w:rsidRPr="00FD086D">
        <w:rPr>
          <w:rtl/>
        </w:rPr>
        <w:t xml:space="preserve">דשקיל איקופי מגלימא </w:t>
      </w:r>
      <w:r w:rsidRPr="00FD086D">
        <w:rPr>
          <w:rFonts w:hint="cs"/>
          <w:rtl/>
        </w:rPr>
        <w:t xml:space="preserve">דאיתא לקמן </w:t>
      </w:r>
      <w:r w:rsidRPr="00900CB4">
        <w:rPr>
          <w:rStyle w:val="af2"/>
          <w:rFonts w:eastAsia="Guttman Hodes" w:hint="cs"/>
          <w:rtl/>
        </w:rPr>
        <w:t>(עה:)</w:t>
      </w:r>
      <w:r w:rsidRPr="00FD086D">
        <w:rPr>
          <w:rFonts w:hint="cs"/>
          <w:rtl/>
        </w:rPr>
        <w:t xml:space="preserve"> דחייב משום מכה בפטיש, דכל אלו דמו למילה</w:t>
      </w:r>
      <w:bookmarkEnd w:id="4230"/>
      <w:r>
        <w:rPr>
          <w:rFonts w:hint="cs"/>
          <w:rtl/>
        </w:rPr>
        <w:t>.</w:t>
      </w:r>
      <w:bookmarkEnd w:id="4231"/>
    </w:p>
    <w:p w14:paraId="5A38D14F" w14:textId="77777777" w:rsidR="00274E65" w:rsidRPr="00747170" w:rsidRDefault="00274E65" w:rsidP="00747170">
      <w:pPr>
        <w:pStyle w:val="a2"/>
        <w:rPr>
          <w:rtl/>
        </w:rPr>
      </w:pPr>
      <w:r w:rsidRPr="00747170">
        <w:rPr>
          <w:rtl/>
        </w:rPr>
        <w:t>ואין אני אומר כן דמילה ודאי מלאכה הצריכה לגופה היא שהוא צריך שיהא אדם זה מהול, ומה דומה לזה הנוטל צפרניו בכלי וכן שפמו (צ"ד ב') שהוא חייב משום תולדה דגוזז ואף על פי שאינו צריך לגוף הצפרנים והשיער מלאכה הצריכה לגופה נקראת, וכן הזורה והבורר ומאן דשקיל איקופי מגלימא (ע"ה ב') כולן דומות למילה</w:t>
      </w:r>
      <w:r w:rsidRPr="00747170">
        <w:rPr>
          <w:rFonts w:hint="cs"/>
          <w:rtl/>
        </w:rPr>
        <w:t>.</w:t>
      </w:r>
    </w:p>
    <w:p w14:paraId="50C2AAA6" w14:textId="22B91D73" w:rsidR="00274E65" w:rsidRPr="00E2386C" w:rsidRDefault="00274E65" w:rsidP="00274E65">
      <w:pPr>
        <w:pStyle w:val="afffff7"/>
        <w:rPr>
          <w:rtl/>
        </w:rPr>
      </w:pPr>
      <w:bookmarkStart w:id="4232" w:name="_Toc140058109"/>
      <w:bookmarkStart w:id="4233" w:name="_Toc140744085"/>
      <w:bookmarkStart w:id="4234" w:name="_Toc163506033"/>
      <w:r w:rsidRPr="00E2386C">
        <w:rPr>
          <w:rtl/>
        </w:rPr>
        <w:t>חדושי הר"ן שבת ק"ו ע"א</w:t>
      </w:r>
      <w:r w:rsidRPr="00E2386C">
        <w:rPr>
          <w:rFonts w:hint="cs"/>
          <w:rtl/>
        </w:rPr>
        <w:t xml:space="preserve"> </w:t>
      </w:r>
      <w:r>
        <w:rPr>
          <w:rFonts w:hint="cs"/>
          <w:rtl/>
        </w:rPr>
        <w:t>ד</w:t>
      </w:r>
      <w:r>
        <w:rPr>
          <w:rtl/>
        </w:rPr>
        <w:t>"</w:t>
      </w:r>
      <w:r>
        <w:rPr>
          <w:rFonts w:hint="cs"/>
          <w:rtl/>
        </w:rPr>
        <w:t>ה לפיכך פי</w:t>
      </w:r>
      <w:r>
        <w:rPr>
          <w:rtl/>
        </w:rPr>
        <w:t>'</w:t>
      </w:r>
      <w:r>
        <w:rPr>
          <w:rFonts w:hint="cs"/>
          <w:rtl/>
        </w:rPr>
        <w:t xml:space="preserve"> הרמב</w:t>
      </w:r>
      <w:r>
        <w:rPr>
          <w:rtl/>
        </w:rPr>
        <w:t>"</w:t>
      </w:r>
      <w:r>
        <w:rPr>
          <w:rFonts w:hint="cs"/>
          <w:rtl/>
        </w:rPr>
        <w:t>ן</w:t>
      </w:r>
      <w:bookmarkEnd w:id="4232"/>
      <w:bookmarkEnd w:id="4233"/>
      <w:bookmarkEnd w:id="4234"/>
    </w:p>
    <w:p w14:paraId="5719922C" w14:textId="77777777" w:rsidR="00274E65" w:rsidRPr="005F2440" w:rsidRDefault="00274E65" w:rsidP="00747170">
      <w:pPr>
        <w:pStyle w:val="afffff5"/>
        <w:rPr>
          <w:rtl/>
        </w:rPr>
      </w:pPr>
      <w:r w:rsidRPr="005F2440">
        <w:rPr>
          <w:rtl/>
        </w:rPr>
        <w:t>לפיכך פי' הרמב"ן ז"ל דמילה ודאי מלאכה הצריכה לגופה היא שאע"פ שאינו צריך לגוף הערלה כל כה"ג מלאכה הצריכה לגופה מקרי דאי לא תימא הכי נוטל צפרניו בכלי וכן שפמו שהוא חייב משום תולד' דגוזז אמאי חייב הרי א"צ לא לגוף השער ולא לגוף הצפרנים אלא ודאי כיון שהוא צריך שישאר מהול מלאכה הצריכה לגופ' מקרי</w:t>
      </w:r>
      <w:r w:rsidRPr="005F2440">
        <w:rPr>
          <w:rFonts w:hint="cs"/>
          <w:rtl/>
        </w:rPr>
        <w:t>.</w:t>
      </w:r>
    </w:p>
    <w:p w14:paraId="0B098318" w14:textId="77777777" w:rsidR="00274E65" w:rsidRPr="007660BC" w:rsidRDefault="00274E65" w:rsidP="00274E65">
      <w:pPr>
        <w:pStyle w:val="afffffb"/>
        <w:rPr>
          <w:vanish/>
          <w:rtl/>
        </w:rPr>
      </w:pPr>
      <w:r w:rsidRPr="007660BC">
        <w:rPr>
          <w:vanish/>
          <w:rtl/>
        </w:rPr>
        <w:t>חדושי הרמב"ן שבת ק"ו ע"א</w:t>
      </w:r>
      <w:r w:rsidRPr="007660BC">
        <w:rPr>
          <w:rFonts w:hint="cs"/>
          <w:vanish/>
          <w:rtl/>
        </w:rPr>
        <w:t xml:space="preserve"> ד</w:t>
      </w:r>
      <w:r w:rsidRPr="007660BC">
        <w:rPr>
          <w:rFonts w:cs="Guttman Hodes" w:hint="cs"/>
          <w:vanish/>
          <w:rtl/>
        </w:rPr>
        <w:t>"</w:t>
      </w:r>
      <w:r w:rsidRPr="007660BC">
        <w:rPr>
          <w:rFonts w:hint="cs"/>
          <w:vanish/>
          <w:rtl/>
        </w:rPr>
        <w:t>ה ואין</w:t>
      </w:r>
    </w:p>
    <w:p w14:paraId="06F6F2C9" w14:textId="77777777" w:rsidR="00274E65" w:rsidRPr="002E6DCA" w:rsidRDefault="00274E65" w:rsidP="00274E65">
      <w:pPr>
        <w:pStyle w:val="a7"/>
      </w:pPr>
      <w:bookmarkStart w:id="4235" w:name="_Toc140743972"/>
      <w:r>
        <w:rPr>
          <w:rFonts w:hint="cs"/>
          <w:rtl/>
        </w:rPr>
        <w:t>בי' הרמב"ן דבבת כהן ההבערה לבישול פתילה צל"ג כמדליק להתחמם ורק כיבוי הוי משאצל"ג</w:t>
      </w:r>
      <w:bookmarkEnd w:id="4235"/>
    </w:p>
    <w:p w14:paraId="4ACCABF0" w14:textId="77777777" w:rsidR="00274E65" w:rsidRDefault="00274E65" w:rsidP="00BC7DC8">
      <w:pPr>
        <w:pStyle w:val="a3"/>
        <w:rPr>
          <w:rtl/>
        </w:rPr>
      </w:pPr>
      <w:r w:rsidRPr="00FD086D">
        <w:rPr>
          <w:rFonts w:hint="cs"/>
          <w:rtl/>
        </w:rPr>
        <w:t>ובהבערת בת כהן</w:t>
      </w:r>
      <w:r>
        <w:rPr>
          <w:rFonts w:hint="cs"/>
          <w:rtl/>
        </w:rPr>
        <w:t>,</w:t>
      </w:r>
      <w:r w:rsidRPr="00FD086D">
        <w:rPr>
          <w:rFonts w:hint="cs"/>
          <w:rtl/>
        </w:rPr>
        <w:t xml:space="preserve"> כתב </w:t>
      </w:r>
      <w:r w:rsidRPr="00944285">
        <w:rPr>
          <w:rStyle w:val="aff4"/>
          <w:rFonts w:hint="cs"/>
          <w:vanish/>
          <w:rtl/>
        </w:rPr>
        <w:t>-</w:t>
      </w:r>
      <w:r w:rsidRPr="0012119D">
        <w:rPr>
          <w:rStyle w:val="aff4"/>
          <w:rFonts w:hint="cs"/>
          <w:rtl/>
        </w:rPr>
        <w:t>הרמב"ן</w:t>
      </w:r>
      <w:r w:rsidRPr="00944285">
        <w:rPr>
          <w:rStyle w:val="aff4"/>
          <w:rFonts w:hint="cs"/>
          <w:vanish/>
          <w:rtl/>
        </w:rPr>
        <w:t>-</w:t>
      </w:r>
      <w:r w:rsidRPr="00FD086D">
        <w:rPr>
          <w:rFonts w:hint="cs"/>
          <w:rtl/>
        </w:rPr>
        <w:t xml:space="preserve"> דהדלקת האש לצורך בישול הפתילה הוא מלאכה הצריכה לגופה, ודמי למדליק אור להתחמם או מדליק נר להשתמש לאורו,</w:t>
      </w:r>
      <w:r>
        <w:rPr>
          <w:rFonts w:hint="cs"/>
          <w:rtl/>
        </w:rPr>
        <w:t xml:space="preserve"> וכל מצינו מלאכה שאינה צריכה לגופה במבעיר אלא רק במכבה.</w:t>
      </w:r>
    </w:p>
    <w:p w14:paraId="28ECE264" w14:textId="77777777" w:rsidR="00274E65" w:rsidRPr="00747170" w:rsidRDefault="00274E65" w:rsidP="00747170">
      <w:pPr>
        <w:pStyle w:val="a2"/>
        <w:rPr>
          <w:rtl/>
        </w:rPr>
      </w:pPr>
      <w:r w:rsidRPr="00747170">
        <w:rPr>
          <w:rtl/>
        </w:rPr>
        <w:t>והבערה דבת כהן נמי כיון שהוא מדליק האש לבשל בו פתילה הרי היא מלאכה הצריכה לגופה דומיא דמדליק את האור להתחמם כנגדו ומדליק נר להשתמש לאורה, ולא שמענו מלאכה שא"צ לגופה במדליק אלא במכבה</w:t>
      </w:r>
      <w:r w:rsidRPr="00747170">
        <w:rPr>
          <w:rFonts w:hint="cs"/>
          <w:rtl/>
        </w:rPr>
        <w:t>.</w:t>
      </w:r>
      <w:r w:rsidRPr="00747170">
        <w:rPr>
          <w:rtl/>
        </w:rPr>
        <w:t xml:space="preserve"> </w:t>
      </w:r>
    </w:p>
    <w:p w14:paraId="22B5E5C1" w14:textId="0B10D908" w:rsidR="00274E65" w:rsidRPr="00EE2F99" w:rsidRDefault="00274E65" w:rsidP="00274E65">
      <w:pPr>
        <w:pStyle w:val="1"/>
      </w:pPr>
      <w:bookmarkStart w:id="4236" w:name="_Toc140743973"/>
      <w:r>
        <w:rPr>
          <w:rFonts w:hint="cs"/>
          <w:rtl/>
        </w:rPr>
        <w:t>בי' הרמב"ן דקלקול בגוף ותיקון בדבר א' הוי מקלקל אך צל"ג</w:t>
      </w:r>
      <w:bookmarkEnd w:id="4236"/>
    </w:p>
    <w:p w14:paraId="373BE545" w14:textId="77777777" w:rsidR="00274E65" w:rsidRDefault="00274E65" w:rsidP="00274E65">
      <w:pPr>
        <w:pStyle w:val="a7"/>
        <w:rPr>
          <w:rtl/>
        </w:rPr>
      </w:pPr>
      <w:bookmarkStart w:id="4237" w:name="_Toc140743974"/>
      <w:r>
        <w:rPr>
          <w:rFonts w:hint="cs"/>
          <w:rtl/>
        </w:rPr>
        <w:t>בי' הרמב"ן דבמקלקל וצריך לגוף הקלקול עצמו דעי"ז מתקן בד"א הוי צל"ג כמילה ובת כהן</w:t>
      </w:r>
      <w:bookmarkEnd w:id="4237"/>
    </w:p>
    <w:p w14:paraId="0FD75ED6" w14:textId="77777777" w:rsidR="00274E65" w:rsidRDefault="00274E65" w:rsidP="00BC7DC8">
      <w:pPr>
        <w:pStyle w:val="a3"/>
      </w:pPr>
      <w:bookmarkStart w:id="4238" w:name="_Ref140743894"/>
      <w:r>
        <w:rPr>
          <w:rFonts w:hint="cs"/>
          <w:rtl/>
        </w:rPr>
        <w:t xml:space="preserve">וביאר </w:t>
      </w:r>
      <w:r w:rsidRPr="00944285">
        <w:rPr>
          <w:rStyle w:val="aff4"/>
          <w:rFonts w:hint="cs"/>
          <w:vanish/>
          <w:rtl/>
        </w:rPr>
        <w:t>-</w:t>
      </w:r>
      <w:r w:rsidRPr="0012119D">
        <w:rPr>
          <w:rStyle w:val="aff4"/>
          <w:rFonts w:hint="cs"/>
          <w:rtl/>
        </w:rPr>
        <w:t>הרמב"ן</w:t>
      </w:r>
      <w:r w:rsidRPr="00944285">
        <w:rPr>
          <w:rStyle w:val="aff4"/>
          <w:rFonts w:hint="cs"/>
          <w:vanish/>
          <w:rtl/>
        </w:rPr>
        <w:t>-</w:t>
      </w:r>
      <w:r w:rsidRPr="00FD086D">
        <w:rPr>
          <w:rFonts w:hint="cs"/>
          <w:rtl/>
        </w:rPr>
        <w:t xml:space="preserve"> </w:t>
      </w:r>
      <w:r w:rsidRPr="00900CB4">
        <w:rPr>
          <w:rStyle w:val="af2"/>
          <w:rFonts w:eastAsia="Guttman Hodes" w:hint="cs"/>
          <w:rtl/>
        </w:rPr>
        <w:t>(קו. ד"ה ואין</w:t>
      </w:r>
      <w:r>
        <w:rPr>
          <w:rStyle w:val="af2"/>
          <w:rFonts w:eastAsia="Guttman Hodes" w:hint="cs"/>
          <w:rtl/>
        </w:rPr>
        <w:t>)</w:t>
      </w:r>
      <w:r>
        <w:rPr>
          <w:rFonts w:hint="cs"/>
          <w:rtl/>
        </w:rPr>
        <w:t xml:space="preserve"> דמילה ושריפת בת כהן הם מלאכות שצריכות לגופן, ד</w:t>
      </w:r>
      <w:r w:rsidRPr="00FD086D">
        <w:rPr>
          <w:rFonts w:hint="cs"/>
          <w:rtl/>
        </w:rPr>
        <w:t xml:space="preserve">הצורך עצמו של </w:t>
      </w:r>
      <w:r>
        <w:rPr>
          <w:rFonts w:hint="cs"/>
          <w:rtl/>
        </w:rPr>
        <w:t>ה</w:t>
      </w:r>
      <w:r w:rsidRPr="00FD086D">
        <w:rPr>
          <w:rFonts w:hint="cs"/>
          <w:rtl/>
        </w:rPr>
        <w:t xml:space="preserve">מילה </w:t>
      </w:r>
      <w:r>
        <w:rPr>
          <w:rFonts w:hint="cs"/>
          <w:rtl/>
        </w:rPr>
        <w:t>הוא</w:t>
      </w:r>
      <w:r w:rsidRPr="00FD086D">
        <w:rPr>
          <w:rFonts w:hint="cs"/>
          <w:rtl/>
        </w:rPr>
        <w:t xml:space="preserve"> קלקול בגוף הנימול שנשאר חבול וחולה, ו</w:t>
      </w:r>
      <w:r>
        <w:rPr>
          <w:rFonts w:hint="cs"/>
          <w:rtl/>
        </w:rPr>
        <w:t>ב</w:t>
      </w:r>
      <w:r w:rsidRPr="00FD086D">
        <w:rPr>
          <w:rFonts w:hint="cs"/>
          <w:rtl/>
        </w:rPr>
        <w:t xml:space="preserve">הבערת בת כהן אף דאין שום הנאה לאדם, והוא כמקלקל עצים, </w:t>
      </w:r>
      <w:r>
        <w:rPr>
          <w:rFonts w:hint="cs"/>
          <w:rtl/>
        </w:rPr>
        <w:t xml:space="preserve">אך </w:t>
      </w:r>
      <w:r w:rsidRPr="00FD086D">
        <w:rPr>
          <w:rFonts w:hint="cs"/>
          <w:rtl/>
        </w:rPr>
        <w:t>מ"מ יש לאדם צורך במלאכה הזו, ויש בה תיקון בקיום המצוה שאינו מגוף המלאכה</w:t>
      </w:r>
      <w:r>
        <w:rPr>
          <w:rFonts w:hint="cs"/>
          <w:rtl/>
        </w:rPr>
        <w:t>, אך מ"מ חשיב מקלקל דאף לר"ש התיקון שאינו בגופן לא חשיב תיקון.</w:t>
      </w:r>
      <w:bookmarkEnd w:id="4238"/>
    </w:p>
    <w:p w14:paraId="545DF841" w14:textId="77777777" w:rsidR="00274E65" w:rsidRPr="00747170" w:rsidRDefault="00274E65" w:rsidP="00747170">
      <w:pPr>
        <w:pStyle w:val="a2"/>
        <w:rPr>
          <w:rtl/>
        </w:rPr>
      </w:pPr>
      <w:r w:rsidRPr="00747170">
        <w:rPr>
          <w:rtl/>
        </w:rPr>
        <w:t>אלא ודאי תרוייהו מלאכה הצריכה לגופה נינהו אלא שהצורך עצמו נקרא קלקול בגופו שהנימול נשאר חבול וחולה, והבערה של בת כהן כיון שאין הנאה לאדם ממנה אינו אלא כמקלקל בעצים אלא שאדם צריך לזו המלאכה גופה מ"מ ויש בה תיקון שאינו מגופה של מלאכה שהוא קיום המצוה</w:t>
      </w:r>
      <w:r w:rsidRPr="00747170">
        <w:rPr>
          <w:rFonts w:hint="cs"/>
          <w:rtl/>
        </w:rPr>
        <w:t>,</w:t>
      </w:r>
      <w:r w:rsidRPr="00747170">
        <w:rPr>
          <w:rtl/>
        </w:rPr>
        <w:t xml:space="preserve"> ולר"ש אין אותו התיקון כלום</w:t>
      </w:r>
      <w:r w:rsidRPr="00747170">
        <w:rPr>
          <w:rFonts w:hint="cs"/>
          <w:rtl/>
        </w:rPr>
        <w:t>.</w:t>
      </w:r>
    </w:p>
    <w:p w14:paraId="3409BE84" w14:textId="518DB664" w:rsidR="00274E65" w:rsidRPr="00140FEA" w:rsidRDefault="00274E65" w:rsidP="00274E65">
      <w:pPr>
        <w:pStyle w:val="1"/>
        <w:rPr>
          <w:rtl/>
        </w:rPr>
      </w:pPr>
      <w:bookmarkStart w:id="4239" w:name="_Toc140743975"/>
      <w:r>
        <w:rPr>
          <w:rFonts w:hint="cs"/>
          <w:rtl/>
        </w:rPr>
        <w:t>בי' הרמב"ן דמקלקל בחבורה חייב בצל"ג ולא מקלקל גמור</w:t>
      </w:r>
      <w:bookmarkEnd w:id="4239"/>
    </w:p>
    <w:p w14:paraId="74DE8CD1" w14:textId="77777777" w:rsidR="00274E65" w:rsidRPr="007D334B" w:rsidRDefault="00274E65" w:rsidP="00274E65">
      <w:pPr>
        <w:pStyle w:val="a7"/>
      </w:pPr>
      <w:bookmarkStart w:id="4240" w:name="_Toc140743976"/>
      <w:r>
        <w:rPr>
          <w:rFonts w:hint="cs"/>
          <w:rtl/>
        </w:rPr>
        <w:t>בי' הרמב"ן דלר"ש מילה ובת כהן צל"ג וא"כ אין מקור לחייב מתקן וא"צ לו או מקלקל וא"צ לו</w:t>
      </w:r>
      <w:bookmarkEnd w:id="4240"/>
    </w:p>
    <w:p w14:paraId="18CD16FA" w14:textId="77777777" w:rsidR="00274E65" w:rsidRDefault="00274E65" w:rsidP="00BC7DC8">
      <w:pPr>
        <w:pStyle w:val="a3"/>
      </w:pPr>
      <w:r>
        <w:rPr>
          <w:rFonts w:hint="cs"/>
          <w:rtl/>
        </w:rPr>
        <w:t xml:space="preserve">וכתב </w:t>
      </w:r>
      <w:r w:rsidRPr="008E4BCC">
        <w:rPr>
          <w:rStyle w:val="aff4"/>
          <w:rFonts w:hint="cs"/>
          <w:vanish/>
          <w:rtl/>
        </w:rPr>
        <w:t>-</w:t>
      </w:r>
      <w:r w:rsidRPr="0012119D">
        <w:rPr>
          <w:rStyle w:val="aff4"/>
          <w:rFonts w:hint="cs"/>
          <w:rtl/>
        </w:rPr>
        <w:t>הרמב"ן</w:t>
      </w:r>
      <w:r w:rsidRPr="008E4BCC">
        <w:rPr>
          <w:rStyle w:val="aff4"/>
          <w:rFonts w:hint="cs"/>
          <w:vanish/>
          <w:rtl/>
        </w:rPr>
        <w:t>-</w:t>
      </w:r>
      <w:r w:rsidRPr="00FD086D">
        <w:rPr>
          <w:rFonts w:hint="cs"/>
          <w:rtl/>
        </w:rPr>
        <w:t xml:space="preserve"> </w:t>
      </w:r>
      <w:r w:rsidRPr="008E4BCC">
        <w:rPr>
          <w:rStyle w:val="af2"/>
          <w:rFonts w:eastAsia="Guttman Hodes" w:hint="cs"/>
          <w:rtl/>
        </w:rPr>
        <w:t>(קו. ד"ה ואין)</w:t>
      </w:r>
      <w:r>
        <w:rPr>
          <w:rFonts w:hint="cs"/>
          <w:rtl/>
        </w:rPr>
        <w:t xml:space="preserve"> דכיון דמילה ובת כהן חשיבי מלאכה שצריכה לגופה, א"כ אין כל מקור לחייב לר"ש במלאכה שאינה צריכה לגופה אף במקלקל בחבורה, ו</w:t>
      </w:r>
      <w:r w:rsidRPr="00FD086D">
        <w:rPr>
          <w:rFonts w:hint="cs"/>
          <w:rtl/>
        </w:rPr>
        <w:t>ל</w:t>
      </w:r>
      <w:r>
        <w:rPr>
          <w:rFonts w:hint="cs"/>
          <w:rtl/>
        </w:rPr>
        <w:t xml:space="preserve">כן פוטר ר"ש בכל מלאכה שאינה צריכה לגופה, בין במלאכת תיקון וא"כ אף בחובל ומבעיר פוטר ר"ש במלאכה שאינה צריכה לגופה. </w:t>
      </w:r>
      <w:r w:rsidRPr="008D1C70">
        <w:rPr>
          <w:rStyle w:val="af"/>
          <w:rFonts w:hint="cs"/>
          <w:rtl/>
        </w:rPr>
        <w:t>[</w:t>
      </w:r>
      <w:r>
        <w:rPr>
          <w:rStyle w:val="af"/>
          <w:rFonts w:hint="cs"/>
          <w:rtl/>
        </w:rPr>
        <w:t>ו</w:t>
      </w:r>
      <w:r w:rsidRPr="008D1C70">
        <w:rPr>
          <w:rStyle w:val="af"/>
          <w:rFonts w:hint="cs"/>
          <w:rtl/>
        </w:rPr>
        <w:t xml:space="preserve">יש נוסחאות אחרות בדברי </w:t>
      </w:r>
      <w:r w:rsidRPr="008E4BCC">
        <w:rPr>
          <w:rStyle w:val="aff9"/>
          <w:rFonts w:hint="cs"/>
          <w:vanish/>
          <w:rtl/>
        </w:rPr>
        <w:t>-</w:t>
      </w:r>
      <w:r w:rsidRPr="008D1C70">
        <w:rPr>
          <w:rStyle w:val="aff9"/>
          <w:rFonts w:hint="cs"/>
          <w:rtl/>
        </w:rPr>
        <w:t>הרמב"ן</w:t>
      </w:r>
      <w:r w:rsidRPr="008E4BCC">
        <w:rPr>
          <w:rStyle w:val="aff9"/>
          <w:rFonts w:hint="cs"/>
          <w:vanish/>
          <w:rtl/>
        </w:rPr>
        <w:t>-</w:t>
      </w:r>
      <w:r w:rsidRPr="008D1C70">
        <w:rPr>
          <w:rStyle w:val="af"/>
          <w:rFonts w:hint="cs"/>
          <w:rtl/>
        </w:rPr>
        <w:t xml:space="preserve"> עי' בהערה]</w:t>
      </w:r>
      <w:r>
        <w:rPr>
          <w:rStyle w:val="afff0"/>
          <w:rtl/>
        </w:rPr>
        <w:footnoteReference w:id="10"/>
      </w:r>
      <w:r>
        <w:rPr>
          <w:rFonts w:hint="cs"/>
          <w:rtl/>
        </w:rPr>
        <w:t>.</w:t>
      </w:r>
    </w:p>
    <w:p w14:paraId="0EF741C6" w14:textId="77777777" w:rsidR="00274E65" w:rsidRPr="00747170" w:rsidRDefault="00274E65" w:rsidP="00747170">
      <w:pPr>
        <w:pStyle w:val="a2"/>
      </w:pPr>
      <w:r w:rsidRPr="00747170">
        <w:rPr>
          <w:rtl/>
        </w:rPr>
        <w:t xml:space="preserve">הלכך לר' שמעון כל מלאכה שאינה צריכה לגופה לא מחמת קלקול ולא מחמת תיקון פטור עליה ואפילו </w:t>
      </w:r>
      <w:r w:rsidRPr="00747170">
        <w:rPr>
          <w:rFonts w:hint="cs"/>
          <w:rtl/>
        </w:rPr>
        <w:t>[ב]</w:t>
      </w:r>
      <w:r w:rsidRPr="00747170">
        <w:rPr>
          <w:rtl/>
        </w:rPr>
        <w:t>חובל ומבעיר</w:t>
      </w:r>
      <w:r w:rsidRPr="00747170">
        <w:rPr>
          <w:rFonts w:hint="cs"/>
          <w:rtl/>
        </w:rPr>
        <w:t>.</w:t>
      </w:r>
    </w:p>
    <w:p w14:paraId="3EA31150" w14:textId="4FA098D7" w:rsidR="00274E65" w:rsidRDefault="00274E65" w:rsidP="00274E65">
      <w:pPr>
        <w:pStyle w:val="a7"/>
        <w:rPr>
          <w:rtl/>
        </w:rPr>
      </w:pPr>
      <w:bookmarkStart w:id="4241" w:name="_Toc140743977"/>
      <w:r>
        <w:rPr>
          <w:rFonts w:hint="cs"/>
          <w:rtl/>
        </w:rPr>
        <w:t>בי' הרמב"ן דנוטל קוץ וחבל א"צ לגוף החבלה והוא מקלקל גמור ואף בחבורה פטור דמשאצל"ג</w:t>
      </w:r>
      <w:bookmarkEnd w:id="4241"/>
    </w:p>
    <w:p w14:paraId="10DBEF60" w14:textId="473BD443" w:rsidR="00274E65" w:rsidRPr="00F92D51" w:rsidRDefault="00274E65" w:rsidP="00BC7DC8">
      <w:pPr>
        <w:pStyle w:val="a3"/>
        <w:rPr>
          <w:rStyle w:val="af"/>
          <w:rtl/>
        </w:rPr>
      </w:pPr>
      <w:r>
        <w:rPr>
          <w:rFonts w:hint="cs"/>
          <w:rtl/>
        </w:rPr>
        <w:t xml:space="preserve">וכתב </w:t>
      </w:r>
      <w:r w:rsidRPr="00944285">
        <w:rPr>
          <w:rStyle w:val="aff4"/>
          <w:rFonts w:hint="cs"/>
          <w:vanish/>
          <w:rtl/>
        </w:rPr>
        <w:t>-</w:t>
      </w:r>
      <w:r w:rsidRPr="0012119D">
        <w:rPr>
          <w:rStyle w:val="aff4"/>
          <w:rFonts w:hint="cs"/>
          <w:rtl/>
        </w:rPr>
        <w:t>הרמב"ן</w:t>
      </w:r>
      <w:r w:rsidRPr="00944285">
        <w:rPr>
          <w:rStyle w:val="aff4"/>
          <w:rFonts w:hint="cs"/>
          <w:vanish/>
          <w:rtl/>
        </w:rPr>
        <w:t>-</w:t>
      </w:r>
      <w:r>
        <w:rPr>
          <w:rFonts w:hint="cs"/>
          <w:rtl/>
        </w:rPr>
        <w:t xml:space="preserve"> וזהו הביאור בגמ' בסנהדרין </w:t>
      </w:r>
      <w:r w:rsidRPr="00900CB4">
        <w:rPr>
          <w:rStyle w:val="af2"/>
          <w:rFonts w:eastAsia="Guttman Hodes" w:hint="cs"/>
          <w:rtl/>
        </w:rPr>
        <w:t>(פד:)</w:t>
      </w:r>
      <w:r>
        <w:rPr>
          <w:rFonts w:hint="cs"/>
          <w:rtl/>
        </w:rPr>
        <w:t xml:space="preserve"> דהנוטל קוץ דהוא חובל בעצמו, פטור לר"ש דהוא מלאכה שאינה צריכה לגופה, דהוא צריך לנטילת הקוץ, ואילו בחבלה הוא מקלקל גמור, ואין לו כל צורך במלאכה עצמה דהיא החבלה, וא"כ אף דהוא מקלקל בחבורה מ"מ הוא מלאכה שאינה צריכה לגופה ופטור</w:t>
      </w:r>
      <w:r>
        <w:rPr>
          <w:rStyle w:val="afff0"/>
          <w:rtl/>
        </w:rPr>
        <w:footnoteReference w:id="11"/>
      </w:r>
      <w:r>
        <w:rPr>
          <w:rFonts w:hint="cs"/>
          <w:rtl/>
        </w:rPr>
        <w:t xml:space="preserve">. </w:t>
      </w:r>
      <w:r w:rsidRPr="00F92D51">
        <w:rPr>
          <w:rStyle w:val="af"/>
          <w:rFonts w:hint="cs"/>
          <w:rtl/>
        </w:rPr>
        <w:t xml:space="preserve">[עי' במה שביאר </w:t>
      </w:r>
      <w:r w:rsidRPr="00F92D51">
        <w:rPr>
          <w:rStyle w:val="aff9"/>
          <w:rFonts w:hint="cs"/>
          <w:vanish/>
          <w:rtl/>
        </w:rPr>
        <w:t>-</w:t>
      </w:r>
      <w:r w:rsidRPr="00F92D51">
        <w:rPr>
          <w:rStyle w:val="aff9"/>
          <w:rFonts w:hint="cs"/>
          <w:rtl/>
        </w:rPr>
        <w:t>הרמב"ן</w:t>
      </w:r>
      <w:r w:rsidRPr="00F92D51">
        <w:rPr>
          <w:rStyle w:val="aff9"/>
          <w:rFonts w:hint="cs"/>
          <w:vanish/>
          <w:rtl/>
        </w:rPr>
        <w:t>-</w:t>
      </w:r>
      <w:r w:rsidRPr="000163A3">
        <w:rPr>
          <w:rStyle w:val="af"/>
          <w:rFonts w:hint="cs"/>
          <w:rtl/>
        </w:rPr>
        <w:t xml:space="preserve"> </w:t>
      </w:r>
      <w:r w:rsidRPr="000163A3">
        <w:rPr>
          <w:rStyle w:val="aff0"/>
          <w:rFonts w:hint="cs"/>
          <w:rtl/>
        </w:rPr>
        <w:t xml:space="preserve">(עי' אות </w:t>
      </w:r>
      <w:r w:rsidRPr="000163A3">
        <w:rPr>
          <w:rStyle w:val="aff0"/>
          <w:rtl/>
        </w:rPr>
        <w:fldChar w:fldCharType="begin"/>
      </w:r>
      <w:r w:rsidRPr="000163A3">
        <w:rPr>
          <w:rStyle w:val="aff0"/>
          <w:rtl/>
        </w:rPr>
        <w:instrText xml:space="preserve"> </w:instrText>
      </w:r>
      <w:r w:rsidRPr="000163A3">
        <w:rPr>
          <w:rStyle w:val="aff0"/>
          <w:rFonts w:hint="cs"/>
        </w:rPr>
        <w:instrText>REF</w:instrText>
      </w:r>
      <w:r w:rsidRPr="000163A3">
        <w:rPr>
          <w:rStyle w:val="aff0"/>
          <w:rFonts w:hint="cs"/>
          <w:rtl/>
        </w:rPr>
        <w:instrText xml:space="preserve"> _</w:instrText>
      </w:r>
      <w:r w:rsidRPr="000163A3">
        <w:rPr>
          <w:rStyle w:val="aff0"/>
          <w:rFonts w:hint="cs"/>
        </w:rPr>
        <w:instrText>Ref140352731 \r \h</w:instrText>
      </w:r>
      <w:r w:rsidRPr="000163A3">
        <w:rPr>
          <w:rStyle w:val="aff0"/>
          <w:rtl/>
        </w:rPr>
        <w:instrText xml:space="preserve"> </w:instrText>
      </w:r>
      <w:r w:rsidRPr="000163A3">
        <w:rPr>
          <w:rStyle w:val="aff0"/>
          <w:rtl/>
        </w:rPr>
      </w:r>
      <w:r w:rsidRPr="000163A3">
        <w:rPr>
          <w:rStyle w:val="aff0"/>
          <w:rtl/>
        </w:rPr>
        <w:fldChar w:fldCharType="separate"/>
      </w:r>
      <w:r w:rsidR="00D82181">
        <w:rPr>
          <w:rStyle w:val="aff0"/>
          <w:cs/>
        </w:rPr>
        <w:t>‎</w:t>
      </w:r>
      <w:r w:rsidR="00D82181">
        <w:rPr>
          <w:rStyle w:val="aff0"/>
          <w:rtl/>
        </w:rPr>
        <w:t>מה)</w:t>
      </w:r>
      <w:r w:rsidRPr="000163A3">
        <w:rPr>
          <w:rStyle w:val="aff0"/>
          <w:rtl/>
        </w:rPr>
        <w:fldChar w:fldCharType="end"/>
      </w:r>
      <w:r w:rsidRPr="00F92D51">
        <w:rPr>
          <w:rStyle w:val="af"/>
          <w:rFonts w:hint="cs"/>
          <w:rtl/>
        </w:rPr>
        <w:t xml:space="preserve"> בדעת רבי אבהו בזה].</w:t>
      </w:r>
    </w:p>
    <w:p w14:paraId="607AEA06" w14:textId="77777777" w:rsidR="00274E65" w:rsidRPr="00747170" w:rsidRDefault="00274E65" w:rsidP="00747170">
      <w:pPr>
        <w:pStyle w:val="a2"/>
        <w:rPr>
          <w:rtl/>
        </w:rPr>
      </w:pPr>
      <w:r w:rsidRPr="00747170">
        <w:rPr>
          <w:rtl/>
        </w:rPr>
        <w:t>והיינו נוטל קוצו וחובל בעצמו ומקלקל [נ"א דמקלקל] גמור וא"צ לכלום היינו מלאכה שאינה צריכה לגופה ופטור עליה</w:t>
      </w:r>
      <w:r w:rsidRPr="00747170">
        <w:rPr>
          <w:rFonts w:hint="cs"/>
          <w:rtl/>
        </w:rPr>
        <w:t>.</w:t>
      </w:r>
      <w:r w:rsidRPr="00747170">
        <w:rPr>
          <w:rtl/>
        </w:rPr>
        <w:t xml:space="preserve"> </w:t>
      </w:r>
    </w:p>
    <w:p w14:paraId="6670D234" w14:textId="77777777" w:rsidR="00274E65" w:rsidRPr="007660BC" w:rsidRDefault="00274E65" w:rsidP="00274E65">
      <w:pPr>
        <w:pStyle w:val="afffffb"/>
        <w:rPr>
          <w:vanish/>
          <w:rtl/>
        </w:rPr>
      </w:pPr>
      <w:r w:rsidRPr="007660BC">
        <w:rPr>
          <w:vanish/>
          <w:rtl/>
        </w:rPr>
        <w:t>חדושי הרמב"ן שבת ק"ו ע"א</w:t>
      </w:r>
      <w:r w:rsidRPr="007660BC">
        <w:rPr>
          <w:rFonts w:hint="cs"/>
          <w:vanish/>
          <w:rtl/>
        </w:rPr>
        <w:t xml:space="preserve"> ד"ה ואין</w:t>
      </w:r>
    </w:p>
    <w:p w14:paraId="113CEF8F" w14:textId="77777777" w:rsidR="00274E65" w:rsidRDefault="00274E65" w:rsidP="00274E65">
      <w:pPr>
        <w:pStyle w:val="a7"/>
        <w:rPr>
          <w:rtl/>
        </w:rPr>
      </w:pPr>
      <w:bookmarkStart w:id="4242" w:name="_Toc140743978"/>
      <w:r>
        <w:rPr>
          <w:rFonts w:hint="cs"/>
          <w:rtl/>
        </w:rPr>
        <w:t>בי' הרמב"ן בריו"ח דמקלקל בחבורה וצריך לכלבו הוי צל"ג וחייב וחובל סתם משאצל"ג ופטור</w:t>
      </w:r>
      <w:bookmarkEnd w:id="4242"/>
    </w:p>
    <w:p w14:paraId="69BEEC2E" w14:textId="77777777" w:rsidR="00274E65" w:rsidRDefault="00274E65" w:rsidP="00BC7DC8">
      <w:pPr>
        <w:pStyle w:val="a3"/>
      </w:pPr>
      <w:r>
        <w:rPr>
          <w:rFonts w:hint="cs"/>
          <w:rtl/>
        </w:rPr>
        <w:t>וכתב</w:t>
      </w:r>
      <w:r w:rsidRPr="00FD086D">
        <w:rPr>
          <w:rFonts w:hint="cs"/>
          <w:rtl/>
        </w:rPr>
        <w:t xml:space="preserve"> </w:t>
      </w:r>
      <w:r w:rsidRPr="00944285">
        <w:rPr>
          <w:rStyle w:val="aff4"/>
          <w:rFonts w:hint="cs"/>
          <w:vanish/>
          <w:rtl/>
        </w:rPr>
        <w:t>-</w:t>
      </w:r>
      <w:r w:rsidRPr="0012119D">
        <w:rPr>
          <w:rStyle w:val="aff4"/>
          <w:rFonts w:hint="cs"/>
          <w:rtl/>
        </w:rPr>
        <w:t>הרמב"ן</w:t>
      </w:r>
      <w:r w:rsidRPr="00FE7099">
        <w:rPr>
          <w:rStyle w:val="aff4"/>
          <w:rFonts w:hint="cs"/>
          <w:vanish/>
          <w:rtl/>
        </w:rPr>
        <w:t>-</w:t>
      </w:r>
      <w:r w:rsidRPr="00FD086D">
        <w:rPr>
          <w:rFonts w:hint="cs"/>
          <w:rtl/>
        </w:rPr>
        <w:t xml:space="preserve"> דלכן </w:t>
      </w:r>
      <w:r>
        <w:rPr>
          <w:rFonts w:hint="cs"/>
          <w:rtl/>
        </w:rPr>
        <w:t>אמר ריו"ח ד</w:t>
      </w:r>
      <w:r w:rsidRPr="00FD086D">
        <w:rPr>
          <w:rFonts w:hint="cs"/>
          <w:rtl/>
        </w:rPr>
        <w:t xml:space="preserve">לר"ש </w:t>
      </w:r>
      <w:r>
        <w:rPr>
          <w:rFonts w:hint="cs"/>
          <w:rtl/>
        </w:rPr>
        <w:t xml:space="preserve">החיוב </w:t>
      </w:r>
      <w:r w:rsidRPr="00FD086D">
        <w:rPr>
          <w:rFonts w:hint="cs"/>
          <w:rtl/>
        </w:rPr>
        <w:t>ה</w:t>
      </w:r>
      <w:r>
        <w:rPr>
          <w:rFonts w:hint="cs"/>
          <w:rtl/>
        </w:rPr>
        <w:t>ו</w:t>
      </w:r>
      <w:r w:rsidRPr="00FD086D">
        <w:rPr>
          <w:rFonts w:hint="cs"/>
          <w:rtl/>
        </w:rPr>
        <w:t>א רק בחובל וצריך לכלבו ומבעיר וצריך לאפרו,</w:t>
      </w:r>
      <w:r>
        <w:rPr>
          <w:rFonts w:hint="cs"/>
          <w:rtl/>
        </w:rPr>
        <w:t xml:space="preserve"> כדי שתהיה </w:t>
      </w:r>
      <w:r w:rsidRPr="00FD086D">
        <w:rPr>
          <w:rFonts w:hint="cs"/>
          <w:rtl/>
        </w:rPr>
        <w:t>מלאכה הצריכה לגופה</w:t>
      </w:r>
      <w:r>
        <w:rPr>
          <w:rFonts w:hint="cs"/>
          <w:rtl/>
        </w:rPr>
        <w:t>,</w:t>
      </w:r>
      <w:r w:rsidRPr="00FD086D">
        <w:rPr>
          <w:rFonts w:hint="cs"/>
          <w:rtl/>
        </w:rPr>
        <w:t xml:space="preserve"> </w:t>
      </w:r>
      <w:r>
        <w:rPr>
          <w:rFonts w:hint="cs"/>
          <w:rtl/>
        </w:rPr>
        <w:t xml:space="preserve">ולא כיון שצריך תיקון במלאכה, והיינו דריו"ח דחה את דברי רבי אבהו דא"א לחייב מקלקל בחובל ומבעיר כיון דהיא מלאכה </w:t>
      </w:r>
      <w:r>
        <w:rPr>
          <w:rFonts w:hint="cs"/>
          <w:rtl/>
        </w:rPr>
        <w:lastRenderedPageBreak/>
        <w:t>שאינה צריכה לגופה ופטור, ואת"ל דחייב הוא רק בחובל וצריך לכלבו דהוי מלאכה שצריכה לגופה חייב,</w:t>
      </w:r>
      <w:r w:rsidRPr="000374FB">
        <w:rPr>
          <w:rFonts w:hint="cs"/>
          <w:rtl/>
        </w:rPr>
        <w:t xml:space="preserve"> </w:t>
      </w:r>
      <w:r>
        <w:rPr>
          <w:rFonts w:hint="cs"/>
          <w:rtl/>
        </w:rPr>
        <w:t xml:space="preserve">והוסיף </w:t>
      </w:r>
      <w:r w:rsidRPr="005B32F6">
        <w:rPr>
          <w:rStyle w:val="aff4"/>
          <w:rFonts w:hint="cs"/>
          <w:vanish/>
          <w:rtl/>
        </w:rPr>
        <w:t>-</w:t>
      </w:r>
      <w:r w:rsidRPr="00DB624B">
        <w:rPr>
          <w:rStyle w:val="aff4"/>
          <w:rFonts w:hint="cs"/>
          <w:rtl/>
        </w:rPr>
        <w:t>הר"ן</w:t>
      </w:r>
      <w:r w:rsidRPr="005B32F6">
        <w:rPr>
          <w:rStyle w:val="aff4"/>
          <w:rFonts w:hint="cs"/>
          <w:vanish/>
          <w:rtl/>
        </w:rPr>
        <w:t>-</w:t>
      </w:r>
      <w:r>
        <w:rPr>
          <w:rFonts w:hint="cs"/>
          <w:rtl/>
        </w:rPr>
        <w:t xml:space="preserve"> בשם </w:t>
      </w:r>
      <w:r w:rsidRPr="005B32F6">
        <w:rPr>
          <w:rStyle w:val="aff4"/>
          <w:rFonts w:hint="cs"/>
          <w:vanish/>
          <w:rtl/>
        </w:rPr>
        <w:t>-</w:t>
      </w:r>
      <w:r w:rsidRPr="00DB624B">
        <w:rPr>
          <w:rStyle w:val="aff4"/>
          <w:rFonts w:hint="cs"/>
          <w:rtl/>
        </w:rPr>
        <w:t>הרמב"ן</w:t>
      </w:r>
      <w:r w:rsidRPr="005B32F6">
        <w:rPr>
          <w:rStyle w:val="aff4"/>
          <w:rFonts w:hint="cs"/>
          <w:vanish/>
          <w:rtl/>
        </w:rPr>
        <w:t>-</w:t>
      </w:r>
      <w:r>
        <w:rPr>
          <w:rFonts w:hint="cs"/>
          <w:rtl/>
        </w:rPr>
        <w:t xml:space="preserve"> דא"ל ריו"ח דאין בחובל ומבעיר אלא חידושן דחייב אף במקלקל, אך היינו דוקא במלאכה שצריכה לגופה, ולכן במקלקל גמור דאין לו צורך לכלום, הוא מלאכה שאינה צריכה לגופה ופטור לר"ש.</w:t>
      </w:r>
    </w:p>
    <w:p w14:paraId="5C77997E" w14:textId="77777777" w:rsidR="00274E65" w:rsidRPr="00747170" w:rsidRDefault="00274E65" w:rsidP="00747170">
      <w:pPr>
        <w:pStyle w:val="a2"/>
        <w:rPr>
          <w:rtl/>
        </w:rPr>
      </w:pPr>
      <w:r w:rsidRPr="00747170">
        <w:rPr>
          <w:rtl/>
        </w:rPr>
        <w:t>ומשום הכי בעי ר"ש חובל וצריך לכלבו מבעיר וצריך לאפרו כדי שתהא מלאכה הצריכה לגופה לא משום דבעי שום תיקון, וה"ק ליה רבי יוחנן חובל ומבעיר אינה משנה שיתחייב בדרך מקלקל מפני שהיא מלאכה שאינה צריכה לגופה ופטור עליה ואם תמצי לומר משנה חובל בצריך לכלבו ומבעיר בצריך לאפרו</w:t>
      </w:r>
      <w:r w:rsidRPr="00747170">
        <w:rPr>
          <w:rFonts w:hint="cs"/>
          <w:rtl/>
        </w:rPr>
        <w:t>.</w:t>
      </w:r>
    </w:p>
    <w:p w14:paraId="73486F7B" w14:textId="77777777" w:rsidR="00274E65" w:rsidRPr="007660BC" w:rsidRDefault="00274E65" w:rsidP="00274E65">
      <w:pPr>
        <w:pStyle w:val="afffffb"/>
        <w:rPr>
          <w:vanish/>
          <w:rtl/>
        </w:rPr>
      </w:pPr>
      <w:r w:rsidRPr="007660BC">
        <w:rPr>
          <w:vanish/>
          <w:rtl/>
        </w:rPr>
        <w:t>חדושי הר"ן שבת ק"ו ע"א</w:t>
      </w:r>
      <w:r w:rsidRPr="007660BC">
        <w:rPr>
          <w:rFonts w:hint="cs"/>
          <w:vanish/>
          <w:rtl/>
        </w:rPr>
        <w:t xml:space="preserve"> ד</w:t>
      </w:r>
      <w:r w:rsidRPr="007660BC">
        <w:rPr>
          <w:vanish/>
          <w:rtl/>
        </w:rPr>
        <w:t>"</w:t>
      </w:r>
      <w:r w:rsidRPr="007660BC">
        <w:rPr>
          <w:rFonts w:hint="cs"/>
          <w:vanish/>
          <w:rtl/>
        </w:rPr>
        <w:t>ה לפיכך פי</w:t>
      </w:r>
      <w:r w:rsidRPr="007660BC">
        <w:rPr>
          <w:vanish/>
          <w:rtl/>
        </w:rPr>
        <w:t>'</w:t>
      </w:r>
      <w:r w:rsidRPr="007660BC">
        <w:rPr>
          <w:rFonts w:hint="cs"/>
          <w:vanish/>
          <w:rtl/>
        </w:rPr>
        <w:t xml:space="preserve"> הרמב</w:t>
      </w:r>
      <w:r w:rsidRPr="007660BC">
        <w:rPr>
          <w:vanish/>
          <w:rtl/>
        </w:rPr>
        <w:t>"</w:t>
      </w:r>
      <w:r w:rsidRPr="007660BC">
        <w:rPr>
          <w:rFonts w:hint="cs"/>
          <w:vanish/>
          <w:rtl/>
        </w:rPr>
        <w:t>ן</w:t>
      </w:r>
    </w:p>
    <w:p w14:paraId="3CE9B36D" w14:textId="77777777" w:rsidR="00274E65" w:rsidRPr="005F2440" w:rsidRDefault="00274E65" w:rsidP="00747170">
      <w:pPr>
        <w:pStyle w:val="afffff5"/>
        <w:rPr>
          <w:rtl/>
        </w:rPr>
      </w:pPr>
      <w:r w:rsidRPr="005F2440">
        <w:rPr>
          <w:rtl/>
        </w:rPr>
        <w:t>ואמר ליה רבי יוחנן פוק תני לברא דאפילו רבי שמעון לא מחייב בכה"ג דאין לך במלאכות הללו אלא חדושן בלבד תיקון הוא דלא בעינן בהו אבל במלאכה הצריכה לגופה בעינן בהו הילכך מקלקל גמור שאינו צריך לשום דבר אפי' ר"ש פוטר ואם תמצא לומר דמחייב בהו ר"ש היינו דוקא חובל בצריך לכלבו ומבעיר בצריך לאפרן שהן מלאכות הצריכות לגופן</w:t>
      </w:r>
      <w:r w:rsidRPr="005F2440">
        <w:rPr>
          <w:rFonts w:hint="cs"/>
          <w:rtl/>
        </w:rPr>
        <w:t>.</w:t>
      </w:r>
    </w:p>
    <w:p w14:paraId="6C952C3E" w14:textId="77777777" w:rsidR="00274E65" w:rsidRPr="007660BC" w:rsidRDefault="00274E65" w:rsidP="00274E65">
      <w:pPr>
        <w:pStyle w:val="afffffb"/>
        <w:rPr>
          <w:vanish/>
          <w:rtl/>
        </w:rPr>
      </w:pPr>
      <w:r w:rsidRPr="007660BC">
        <w:rPr>
          <w:vanish/>
          <w:rtl/>
        </w:rPr>
        <w:t>חדושי הרמב"ן שבת ק"ו ע"א</w:t>
      </w:r>
      <w:r w:rsidRPr="007660BC">
        <w:rPr>
          <w:rFonts w:hint="cs"/>
          <w:vanish/>
          <w:rtl/>
        </w:rPr>
        <w:t xml:space="preserve"> ד"ה ואין</w:t>
      </w:r>
    </w:p>
    <w:p w14:paraId="31CF49F3" w14:textId="77777777" w:rsidR="00274E65" w:rsidRDefault="00274E65" w:rsidP="00274E65">
      <w:pPr>
        <w:pStyle w:val="a7"/>
      </w:pPr>
      <w:bookmarkStart w:id="4243" w:name="_Toc140743979"/>
      <w:r>
        <w:rPr>
          <w:rFonts w:hint="cs"/>
          <w:rtl/>
        </w:rPr>
        <w:t>בי' הרמב"ן דבחובל לכלבו המלאכה בדם עצמו שצריך לו ול"ד לגומא דהעפר אינו גוף המלאכה</w:t>
      </w:r>
      <w:bookmarkEnd w:id="4243"/>
      <w:r>
        <w:rPr>
          <w:rFonts w:hint="cs"/>
          <w:rtl/>
        </w:rPr>
        <w:t xml:space="preserve"> </w:t>
      </w:r>
    </w:p>
    <w:p w14:paraId="7854B9D4" w14:textId="77777777" w:rsidR="00274E65" w:rsidRDefault="00274E65" w:rsidP="00BC7DC8">
      <w:pPr>
        <w:pStyle w:val="a3"/>
        <w:rPr>
          <w:rtl/>
        </w:rPr>
      </w:pPr>
      <w:r>
        <w:rPr>
          <w:rFonts w:hint="cs"/>
          <w:rtl/>
        </w:rPr>
        <w:t xml:space="preserve">וכתבו </w:t>
      </w:r>
      <w:r w:rsidRPr="00944285">
        <w:rPr>
          <w:rStyle w:val="aff4"/>
          <w:rFonts w:hint="cs"/>
          <w:vanish/>
          <w:rtl/>
        </w:rPr>
        <w:t>-</w:t>
      </w:r>
      <w:r w:rsidRPr="0012119D">
        <w:rPr>
          <w:rStyle w:val="aff4"/>
          <w:rFonts w:hint="cs"/>
          <w:rtl/>
        </w:rPr>
        <w:t>הרמב"</w:t>
      </w:r>
      <w:r w:rsidRPr="00D96A1D">
        <w:rPr>
          <w:rStyle w:val="aff4"/>
          <w:rFonts w:hint="cs"/>
          <w:rtl/>
        </w:rPr>
        <w:t>ן והר"ן</w:t>
      </w:r>
      <w:r w:rsidRPr="00FE7099">
        <w:rPr>
          <w:rStyle w:val="aff4"/>
          <w:rFonts w:hint="cs"/>
          <w:vanish/>
          <w:rtl/>
        </w:rPr>
        <w:t>-</w:t>
      </w:r>
      <w:r>
        <w:rPr>
          <w:rFonts w:hint="cs"/>
          <w:rtl/>
        </w:rPr>
        <w:t xml:space="preserve"> דא</w:t>
      </w:r>
      <w:r w:rsidRPr="00FD086D">
        <w:rPr>
          <w:rFonts w:hint="cs"/>
          <w:rtl/>
        </w:rPr>
        <w:t xml:space="preserve">ין להקשות דמ"מ </w:t>
      </w:r>
      <w:r>
        <w:rPr>
          <w:rFonts w:hint="cs"/>
          <w:rtl/>
        </w:rPr>
        <w:t>בחובל וצריך לכלבו ומבעיר וצריך לאפרו,</w:t>
      </w:r>
      <w:r w:rsidRPr="00FD086D">
        <w:rPr>
          <w:rFonts w:hint="cs"/>
          <w:rtl/>
        </w:rPr>
        <w:t xml:space="preserve"> </w:t>
      </w:r>
      <w:r>
        <w:rPr>
          <w:rFonts w:hint="cs"/>
          <w:rtl/>
        </w:rPr>
        <w:t xml:space="preserve">הם </w:t>
      </w:r>
      <w:r w:rsidRPr="00FD086D">
        <w:rPr>
          <w:rFonts w:hint="cs"/>
          <w:rtl/>
        </w:rPr>
        <w:t>מלאכה שא"צ לגופה כחופר גומ</w:t>
      </w:r>
      <w:r>
        <w:rPr>
          <w:rFonts w:hint="cs"/>
          <w:rtl/>
        </w:rPr>
        <w:t>א</w:t>
      </w:r>
      <w:r w:rsidRPr="00FD086D">
        <w:rPr>
          <w:rFonts w:hint="cs"/>
          <w:rtl/>
        </w:rPr>
        <w:t xml:space="preserve"> וצריך לעפרה, דהא </w:t>
      </w:r>
      <w:r>
        <w:rPr>
          <w:rFonts w:hint="cs"/>
          <w:rtl/>
        </w:rPr>
        <w:t xml:space="preserve">בחופר גומא גוף המלאכה היא הגומא וא"צ את גוף המלאכה כלל, משא"כ </w:t>
      </w:r>
      <w:r w:rsidRPr="00FD086D">
        <w:rPr>
          <w:rFonts w:hint="cs"/>
          <w:rtl/>
        </w:rPr>
        <w:t xml:space="preserve">בחובל </w:t>
      </w:r>
      <w:r>
        <w:rPr>
          <w:rFonts w:hint="cs"/>
          <w:rtl/>
        </w:rPr>
        <w:t>דגוף</w:t>
      </w:r>
      <w:r w:rsidRPr="00FD086D">
        <w:rPr>
          <w:rFonts w:hint="cs"/>
          <w:rtl/>
        </w:rPr>
        <w:t xml:space="preserve"> המלאכה דחבלה הוא בדם עצמו שהוא צריך אותו</w:t>
      </w:r>
      <w:r>
        <w:rPr>
          <w:rFonts w:hint="cs"/>
          <w:rtl/>
        </w:rPr>
        <w:t xml:space="preserve"> לכלבו, וכן בהבערה הוא צריך את גוף המלאכה.</w:t>
      </w:r>
    </w:p>
    <w:p w14:paraId="6569EFF3" w14:textId="77777777" w:rsidR="00274E65" w:rsidRPr="00747170" w:rsidRDefault="00274E65" w:rsidP="00747170">
      <w:pPr>
        <w:pStyle w:val="a2"/>
      </w:pPr>
      <w:r w:rsidRPr="00747170">
        <w:rPr>
          <w:rtl/>
        </w:rPr>
        <w:t>וא"ת והרי אף על פי כן מלאכה שא"צ לגופה היא דומיא דחופר גומא ואין צריך אלא לעפרה, לא תטעה בזה שהחבלה בכאן היא הדם עצמו שהוא צריך לו</w:t>
      </w:r>
      <w:r w:rsidRPr="00747170">
        <w:rPr>
          <w:rFonts w:hint="cs"/>
          <w:rtl/>
        </w:rPr>
        <w:t xml:space="preserve">, וכו', </w:t>
      </w:r>
      <w:r w:rsidRPr="00747170">
        <w:rPr>
          <w:rtl/>
        </w:rPr>
        <w:t>וכן הבערה לאפר צריך לגופה הוא</w:t>
      </w:r>
      <w:r w:rsidRPr="00747170">
        <w:rPr>
          <w:rFonts w:hint="cs"/>
          <w:rtl/>
        </w:rPr>
        <w:t>.</w:t>
      </w:r>
    </w:p>
    <w:p w14:paraId="2C2739E2" w14:textId="77777777" w:rsidR="00274E65" w:rsidRPr="007660BC" w:rsidRDefault="00274E65" w:rsidP="00274E65">
      <w:pPr>
        <w:pStyle w:val="afffffb"/>
        <w:rPr>
          <w:vanish/>
          <w:rtl/>
        </w:rPr>
      </w:pPr>
      <w:r w:rsidRPr="007660BC">
        <w:rPr>
          <w:vanish/>
          <w:rtl/>
        </w:rPr>
        <w:t>חדושי הר"ן שבת ק"ו ע"א</w:t>
      </w:r>
      <w:r w:rsidRPr="007660BC">
        <w:rPr>
          <w:rFonts w:hint="cs"/>
          <w:vanish/>
          <w:rtl/>
        </w:rPr>
        <w:t xml:space="preserve"> ד</w:t>
      </w:r>
      <w:r w:rsidRPr="007660BC">
        <w:rPr>
          <w:vanish/>
          <w:rtl/>
        </w:rPr>
        <w:t>"</w:t>
      </w:r>
      <w:r w:rsidRPr="007660BC">
        <w:rPr>
          <w:rFonts w:hint="cs"/>
          <w:vanish/>
          <w:rtl/>
        </w:rPr>
        <w:t>ה לפיכך פי</w:t>
      </w:r>
      <w:r w:rsidRPr="007660BC">
        <w:rPr>
          <w:vanish/>
          <w:rtl/>
        </w:rPr>
        <w:t>'</w:t>
      </w:r>
      <w:r w:rsidRPr="007660BC">
        <w:rPr>
          <w:rFonts w:hint="cs"/>
          <w:vanish/>
          <w:rtl/>
        </w:rPr>
        <w:t xml:space="preserve"> הרמב</w:t>
      </w:r>
      <w:r w:rsidRPr="007660BC">
        <w:rPr>
          <w:vanish/>
          <w:rtl/>
        </w:rPr>
        <w:t>"</w:t>
      </w:r>
      <w:r w:rsidRPr="007660BC">
        <w:rPr>
          <w:rFonts w:hint="cs"/>
          <w:vanish/>
          <w:rtl/>
        </w:rPr>
        <w:t>ן</w:t>
      </w:r>
    </w:p>
    <w:p w14:paraId="77E46F8F" w14:textId="77777777" w:rsidR="00274E65" w:rsidRPr="005F2440" w:rsidRDefault="00274E65" w:rsidP="00747170">
      <w:pPr>
        <w:pStyle w:val="afffff5"/>
        <w:rPr>
          <w:rtl/>
        </w:rPr>
      </w:pPr>
      <w:r w:rsidRPr="005F2440">
        <w:rPr>
          <w:rtl/>
        </w:rPr>
        <w:t>דלא דמי לחופר גומא ואינו צריך אלא לעפרה דהתם הגומא היא גוף המלאכה והוא אינו צריך לה כלל אלא לעפרה שאינה מגופה של מלאכה אבל גוף המלאכה של חבלה היינו הדם וצריך הוא לכלבו וכן הבערה לאפר צריך לגופה הוא</w:t>
      </w:r>
      <w:r w:rsidRPr="005F2440">
        <w:rPr>
          <w:rFonts w:hint="cs"/>
          <w:rtl/>
        </w:rPr>
        <w:t>.</w:t>
      </w:r>
    </w:p>
    <w:p w14:paraId="1198C6B3" w14:textId="77777777" w:rsidR="00274E65" w:rsidRPr="007660BC" w:rsidRDefault="00274E65" w:rsidP="00274E65">
      <w:pPr>
        <w:pStyle w:val="afffffb"/>
        <w:rPr>
          <w:vanish/>
          <w:rtl/>
        </w:rPr>
      </w:pPr>
      <w:r w:rsidRPr="007660BC">
        <w:rPr>
          <w:vanish/>
          <w:rtl/>
        </w:rPr>
        <w:t>חדושי הרמב"ן שבת ק"ו ע"א</w:t>
      </w:r>
      <w:r w:rsidRPr="007660BC">
        <w:rPr>
          <w:rFonts w:hint="cs"/>
          <w:vanish/>
          <w:rtl/>
        </w:rPr>
        <w:t xml:space="preserve"> ד"ה ואין</w:t>
      </w:r>
    </w:p>
    <w:p w14:paraId="2D0B7D59" w14:textId="77777777" w:rsidR="00274E65" w:rsidRPr="008D0C28" w:rsidRDefault="00274E65" w:rsidP="00274E65">
      <w:pPr>
        <w:pStyle w:val="a7"/>
        <w:rPr>
          <w:rtl/>
        </w:rPr>
      </w:pPr>
      <w:bookmarkStart w:id="4244" w:name="_Toc140743980"/>
      <w:r>
        <w:rPr>
          <w:rFonts w:hint="cs"/>
          <w:rtl/>
        </w:rPr>
        <w:t>בי' הרמב"ן דחובל כגוזז שערו ליפות או לצורך שער דהמלאכה בנטילה וצריך לה והם דבר אחד</w:t>
      </w:r>
      <w:bookmarkEnd w:id="4244"/>
    </w:p>
    <w:p w14:paraId="2CD47B47" w14:textId="77777777" w:rsidR="00274E65" w:rsidRPr="00FD086D" w:rsidRDefault="00274E65" w:rsidP="00BC7DC8">
      <w:pPr>
        <w:pStyle w:val="a3"/>
      </w:pPr>
      <w:r>
        <w:rPr>
          <w:rFonts w:hint="cs"/>
          <w:rtl/>
        </w:rPr>
        <w:t xml:space="preserve">וכתב </w:t>
      </w:r>
      <w:r w:rsidRPr="005B32F6">
        <w:rPr>
          <w:rStyle w:val="aff4"/>
          <w:rFonts w:hint="cs"/>
          <w:vanish/>
          <w:rtl/>
        </w:rPr>
        <w:t>-</w:t>
      </w:r>
      <w:r w:rsidRPr="00DB624B">
        <w:rPr>
          <w:rStyle w:val="aff4"/>
          <w:rFonts w:hint="cs"/>
          <w:rtl/>
        </w:rPr>
        <w:t>הרמב"ן</w:t>
      </w:r>
      <w:r w:rsidRPr="005B32F6">
        <w:rPr>
          <w:rStyle w:val="aff4"/>
          <w:rFonts w:hint="cs"/>
          <w:vanish/>
          <w:rtl/>
        </w:rPr>
        <w:t>-</w:t>
      </w:r>
      <w:r>
        <w:rPr>
          <w:rFonts w:hint="cs"/>
          <w:rtl/>
        </w:rPr>
        <w:t xml:space="preserve"> ד</w:t>
      </w:r>
      <w:r w:rsidRPr="00FD086D">
        <w:rPr>
          <w:rFonts w:hint="cs"/>
          <w:rtl/>
        </w:rPr>
        <w:t>דמי לגוזז ונוטל שערו וצפורניו דבין אם עושה כן בכדי לתקן את גופן ולייפות את עצמו, ובין אם עושה כן לצורך השיער והגיזה, הכל הוא מלאכה הצריכה לגופה, כיון ד</w:t>
      </w:r>
      <w:r>
        <w:rPr>
          <w:rFonts w:hint="cs"/>
          <w:rtl/>
        </w:rPr>
        <w:t>הם דבר אחד, ו</w:t>
      </w:r>
      <w:r w:rsidRPr="00FD086D">
        <w:rPr>
          <w:rFonts w:hint="cs"/>
          <w:rtl/>
        </w:rPr>
        <w:t>בכולם הנטילה עצמה היא המלאכה, אבל חופר גומ</w:t>
      </w:r>
      <w:r>
        <w:rPr>
          <w:rFonts w:hint="cs"/>
          <w:rtl/>
        </w:rPr>
        <w:t>א</w:t>
      </w:r>
      <w:r w:rsidRPr="00FD086D">
        <w:rPr>
          <w:rFonts w:hint="cs"/>
          <w:rtl/>
        </w:rPr>
        <w:t xml:space="preserve"> וצריך לעפרה, המלאכה היא בקרקע, ולא בעפר. </w:t>
      </w:r>
    </w:p>
    <w:p w14:paraId="6E8A1241" w14:textId="77777777" w:rsidR="00274E65" w:rsidRPr="00747170" w:rsidRDefault="00274E65" w:rsidP="00747170">
      <w:pPr>
        <w:pStyle w:val="a2"/>
        <w:rPr>
          <w:rtl/>
        </w:rPr>
      </w:pPr>
      <w:r w:rsidRPr="00747170">
        <w:rPr>
          <w:rtl/>
        </w:rPr>
        <w:t xml:space="preserve">וכבר דמיתי זה לגוזז ונוטל שערו וצפרניו בין לתקן גופו ולייפות עצמו בין לצורך השער והגיזה כולן מלאכה הצריכה לגופה היא מפני שהכל דבר אחד והנטילה היא עצמה המלאכה, משא"כ בחופר גומא שהבנין בקרקע הוא והוא הנקרא מלאכה </w:t>
      </w:r>
      <w:r w:rsidRPr="00747170">
        <w:rPr>
          <w:rStyle w:val="afff7"/>
          <w:rtl/>
        </w:rPr>
        <w:t>וכן הבערה לאפר צריך לגופה הוא</w:t>
      </w:r>
      <w:r w:rsidRPr="00747170">
        <w:rPr>
          <w:rtl/>
        </w:rPr>
        <w:t>.</w:t>
      </w:r>
    </w:p>
    <w:p w14:paraId="41EB420C" w14:textId="77777777" w:rsidR="00274E65" w:rsidRPr="00C12F78" w:rsidRDefault="00274E65" w:rsidP="00274E65">
      <w:pPr>
        <w:pStyle w:val="afffff7"/>
        <w:rPr>
          <w:rtl/>
        </w:rPr>
      </w:pPr>
      <w:bookmarkStart w:id="4245" w:name="_Toc140657527"/>
      <w:bookmarkStart w:id="4246" w:name="_Toc140657609"/>
      <w:bookmarkStart w:id="4247" w:name="_Toc140744086"/>
      <w:bookmarkStart w:id="4248" w:name="_Toc140657106"/>
      <w:bookmarkStart w:id="4249" w:name="_Toc140657339"/>
      <w:bookmarkStart w:id="4250" w:name="_Toc163506034"/>
      <w:r w:rsidRPr="00C12F78">
        <w:rPr>
          <w:rtl/>
        </w:rPr>
        <w:t>חדושי הרמב"ן שבת ק"ו ע"א</w:t>
      </w:r>
      <w:r w:rsidRPr="00C12F78">
        <w:rPr>
          <w:rFonts w:hint="cs"/>
          <w:rtl/>
        </w:rPr>
        <w:t xml:space="preserve"> ד"ה וכאן</w:t>
      </w:r>
      <w:bookmarkEnd w:id="4245"/>
      <w:bookmarkEnd w:id="4246"/>
      <w:bookmarkEnd w:id="4247"/>
      <w:bookmarkEnd w:id="4250"/>
    </w:p>
    <w:p w14:paraId="795198B4" w14:textId="6A2711EF" w:rsidR="00274E65" w:rsidRPr="003B63CB" w:rsidRDefault="00274E65" w:rsidP="00274E65">
      <w:pPr>
        <w:pStyle w:val="a7"/>
        <w:rPr>
          <w:rtl/>
        </w:rPr>
      </w:pPr>
      <w:bookmarkStart w:id="4251" w:name="_Toc140743981"/>
      <w:r>
        <w:rPr>
          <w:rFonts w:hint="cs"/>
          <w:rtl/>
        </w:rPr>
        <w:t>בי' התוס' והרמב"ן דרבי אבהו וריו"ח נח' בר"ש אי מקלקל בחבורה חייב או דצריך תיקון קצת</w:t>
      </w:r>
      <w:bookmarkEnd w:id="4248"/>
      <w:bookmarkEnd w:id="4249"/>
      <w:bookmarkEnd w:id="4251"/>
    </w:p>
    <w:p w14:paraId="4A5C2322" w14:textId="1E1E99DC" w:rsidR="00274E65" w:rsidRPr="00E06B13" w:rsidRDefault="00274E65" w:rsidP="00BC7DC8">
      <w:pPr>
        <w:pStyle w:val="a3"/>
        <w:rPr>
          <w:rtl/>
        </w:rPr>
      </w:pPr>
      <w:bookmarkStart w:id="4252" w:name="_Ref140663090"/>
      <w:r>
        <w:rPr>
          <w:rFonts w:hint="cs"/>
          <w:rtl/>
        </w:rPr>
        <w:t>וכתב</w:t>
      </w:r>
      <w:r w:rsidRPr="003B63CB">
        <w:rPr>
          <w:rFonts w:hint="cs"/>
          <w:rtl/>
        </w:rPr>
        <w:t xml:space="preserve"> </w:t>
      </w:r>
      <w:r w:rsidRPr="003B63CB">
        <w:rPr>
          <w:rStyle w:val="aff4"/>
          <w:rFonts w:hint="cs"/>
          <w:vanish/>
          <w:rtl/>
        </w:rPr>
        <w:t>-</w:t>
      </w:r>
      <w:r w:rsidRPr="003B63CB">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Ref140663090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לו)</w:t>
      </w:r>
      <w:r>
        <w:rPr>
          <w:rStyle w:val="aff4"/>
          <w:vanish/>
          <w:rtl/>
        </w:rPr>
        <w:fldChar w:fldCharType="end"/>
      </w:r>
      <w:r>
        <w:rPr>
          <w:rStyle w:val="aff4"/>
          <w:rFonts w:hint="cs"/>
          <w:vanish/>
          <w:rtl/>
        </w:rPr>
        <w:t xml:space="preserve"> &gt;</w:t>
      </w:r>
      <w:r w:rsidRPr="003B63CB">
        <w:rPr>
          <w:rStyle w:val="aff4"/>
          <w:rFonts w:hint="cs"/>
          <w:rtl/>
        </w:rPr>
        <w:t>רמב"ן</w:t>
      </w:r>
      <w:r w:rsidRPr="003B63CB">
        <w:rPr>
          <w:rStyle w:val="aff4"/>
          <w:rFonts w:hint="cs"/>
          <w:vanish/>
          <w:rtl/>
        </w:rPr>
        <w:t>-</w:t>
      </w:r>
      <w:r w:rsidRPr="003B63CB">
        <w:rPr>
          <w:rStyle w:val="aff4"/>
          <w:rFonts w:hint="cs"/>
          <w:rtl/>
        </w:rPr>
        <w:t xml:space="preserve"> </w:t>
      </w:r>
      <w:r w:rsidRPr="003B63CB">
        <w:rPr>
          <w:rStyle w:val="af2"/>
          <w:rFonts w:eastAsia="Guttman Hodes" w:hint="cs"/>
          <w:rtl/>
        </w:rPr>
        <w:t>(קו. ד"ה וכאן)</w:t>
      </w:r>
      <w:r w:rsidRPr="003B63CB">
        <w:rPr>
          <w:rStyle w:val="aff4"/>
          <w:rFonts w:hint="cs"/>
          <w:vanish/>
          <w:rtl/>
        </w:rPr>
        <w:t xml:space="preserve"> </w:t>
      </w:r>
      <w:r w:rsidRPr="003B63CB">
        <w:rPr>
          <w:rFonts w:hint="cs"/>
          <w:vanish/>
          <w:rtl/>
        </w:rPr>
        <w:t>=</w:t>
      </w:r>
      <w:r>
        <w:rPr>
          <w:rFonts w:hint="cs"/>
          <w:rtl/>
        </w:rPr>
        <w:t xml:space="preserve"> דאף דחובל לכלבו ומבעיר לאפרו הוא תיקון, מ"מ פוטר ר"י בזה כיון דאין דרך לחבול באדם לצורך הכלב ולשרוף גדיש לצורך האפר, וכיון </w:t>
      </w:r>
      <w:r w:rsidRPr="003B63CB">
        <w:rPr>
          <w:rFonts w:hint="cs"/>
          <w:rtl/>
        </w:rPr>
        <w:t>דאין דרך לעשות כן לא חשיב תיקון כלל, ושוחט חשיב קלקול רק בשוחט לע"ז,</w:t>
      </w:r>
      <w:bookmarkEnd w:id="4252"/>
      <w:r>
        <w:rPr>
          <w:rFonts w:hint="cs"/>
          <w:rtl/>
        </w:rPr>
        <w:t xml:space="preserve"> וכ"כ</w:t>
      </w:r>
      <w:r w:rsidRPr="00F4521B">
        <w:rPr>
          <w:rStyle w:val="aff4"/>
          <w:rFonts w:hint="cs"/>
          <w:rtl/>
        </w:rPr>
        <w:t xml:space="preserve"> </w:t>
      </w:r>
      <w:r w:rsidRPr="003B63CB">
        <w:rPr>
          <w:rStyle w:val="aff4"/>
          <w:rFonts w:hint="cs"/>
          <w:vanish/>
          <w:rtl/>
        </w:rPr>
        <w:t>-</w:t>
      </w:r>
      <w:r w:rsidRPr="003B63CB">
        <w:rPr>
          <w:rStyle w:val="aff4"/>
          <w:rFonts w:hint="cs"/>
          <w:rtl/>
        </w:rPr>
        <w:t>התוס'</w:t>
      </w:r>
      <w:r w:rsidRPr="003B63CB">
        <w:rPr>
          <w:rStyle w:val="aff4"/>
          <w:rFonts w:hint="cs"/>
          <w:vanish/>
          <w:rtl/>
        </w:rPr>
        <w:t>-</w:t>
      </w:r>
      <w:r w:rsidRPr="003B63CB">
        <w:rPr>
          <w:rFonts w:hint="cs"/>
          <w:rtl/>
        </w:rPr>
        <w:t xml:space="preserve"> </w:t>
      </w:r>
      <w:r w:rsidRPr="003B63CB">
        <w:rPr>
          <w:rStyle w:val="af2"/>
          <w:rFonts w:eastAsia="Guttman Hodes" w:hint="cs"/>
          <w:rtl/>
        </w:rPr>
        <w:t>(קו. ד"ה חוץ)</w:t>
      </w:r>
      <w:r w:rsidRPr="003B63CB">
        <w:rPr>
          <w:rFonts w:hint="cs"/>
          <w:vanish/>
          <w:rtl/>
        </w:rPr>
        <w:t>=</w:t>
      </w:r>
      <w:r w:rsidRPr="003B63CB">
        <w:rPr>
          <w:rFonts w:hint="cs"/>
          <w:rtl/>
        </w:rPr>
        <w:t xml:space="preserve"> </w:t>
      </w:r>
      <w:r w:rsidRPr="003B63CB">
        <w:rPr>
          <w:rStyle w:val="aff4"/>
          <w:rFonts w:hint="cs"/>
          <w:vanish/>
          <w:rtl/>
        </w:rPr>
        <w:t>-</w:t>
      </w:r>
      <w:r w:rsidRPr="003B63CB">
        <w:rPr>
          <w:rStyle w:val="aff4"/>
          <w:rFonts w:hint="cs"/>
          <w:rtl/>
        </w:rPr>
        <w:t>והתוס' בסנהדרין</w:t>
      </w:r>
      <w:r w:rsidRPr="003B63CB">
        <w:rPr>
          <w:rStyle w:val="aff4"/>
          <w:rFonts w:hint="cs"/>
          <w:vanish/>
          <w:rtl/>
        </w:rPr>
        <w:t>-</w:t>
      </w:r>
      <w:r w:rsidRPr="003B63CB">
        <w:rPr>
          <w:rFonts w:hint="cs"/>
          <w:rtl/>
        </w:rPr>
        <w:t xml:space="preserve"> </w:t>
      </w:r>
      <w:r w:rsidRPr="003B63CB">
        <w:rPr>
          <w:rStyle w:val="af2"/>
          <w:rFonts w:eastAsia="Guttman Hodes" w:hint="cs"/>
          <w:rtl/>
        </w:rPr>
        <w:t>(פד: ד"ה מאן)</w:t>
      </w:r>
      <w:r>
        <w:rPr>
          <w:rFonts w:hint="cs"/>
          <w:rtl/>
        </w:rPr>
        <w:t>.</w:t>
      </w:r>
    </w:p>
    <w:p w14:paraId="4BBC9F00" w14:textId="77777777" w:rsidR="00274E65" w:rsidRPr="00747170" w:rsidRDefault="00274E65" w:rsidP="00747170">
      <w:pPr>
        <w:pStyle w:val="a2"/>
        <w:rPr>
          <w:rtl/>
        </w:rPr>
      </w:pPr>
      <w:r w:rsidRPr="00747170">
        <w:rPr>
          <w:rtl/>
        </w:rPr>
        <w:t>וכאן הבן שואל בין לדברינו בין לדברי רבותינו הצרפתים ז"ל צריך לכלבו וצריך לאפרו מתקן גמור הוא ואמאי לא מיחייב לכ"ע, והשיבו בזה שכל מה שאין דרכן של בני אדם לקלקל בשביל אותו התיקון אין זה מתקן אצל שבת, והטעם משום דמלאכת מחשבת בעינן ואין זו מלאכת מחשבת שיהא חובל באדם לצורך הכלב וידליק גדיש לצורך האפר, אבל שוחט ומדליק עצים לבשל בהן מתקן הוא אצל שבת לדברי הכל דהא תנן באבות מלאכות מבעיר ומדמוסיף ר' יהודה (ע"ה ב') שובט ומדקדק ש"מ דמודה בכולהו, ואף על גב דלענין ע"ז אמרי' בפ"ק דחולין (ח' א') סכין של ע"ז מותר לשחוט בה משום דמקלקל הוא, גבי שבת מיהא מחייב</w:t>
      </w:r>
      <w:r w:rsidRPr="00747170">
        <w:rPr>
          <w:rFonts w:hint="cs"/>
          <w:rtl/>
        </w:rPr>
        <w:t>.</w:t>
      </w:r>
    </w:p>
    <w:p w14:paraId="1E2CA010" w14:textId="77777777" w:rsidR="00274E65" w:rsidRPr="007660BC" w:rsidRDefault="00274E65" w:rsidP="00274E65">
      <w:pPr>
        <w:pStyle w:val="afffffb"/>
        <w:rPr>
          <w:vanish/>
          <w:rtl/>
        </w:rPr>
      </w:pPr>
      <w:r w:rsidRPr="007660BC">
        <w:rPr>
          <w:vanish/>
          <w:rtl/>
        </w:rPr>
        <w:t>חדושי הר"ן שבת ק"ו ע"א</w:t>
      </w:r>
      <w:r w:rsidRPr="007660BC">
        <w:rPr>
          <w:rFonts w:hint="cs"/>
          <w:vanish/>
          <w:rtl/>
        </w:rPr>
        <w:t xml:space="preserve"> ד</w:t>
      </w:r>
      <w:r w:rsidRPr="007660BC">
        <w:rPr>
          <w:vanish/>
          <w:rtl/>
        </w:rPr>
        <w:t>"</w:t>
      </w:r>
      <w:r w:rsidRPr="007660BC">
        <w:rPr>
          <w:rFonts w:hint="cs"/>
          <w:vanish/>
          <w:rtl/>
        </w:rPr>
        <w:t>ה לפיכך פי</w:t>
      </w:r>
      <w:r w:rsidRPr="007660BC">
        <w:rPr>
          <w:vanish/>
          <w:rtl/>
        </w:rPr>
        <w:t>'</w:t>
      </w:r>
      <w:r w:rsidRPr="007660BC">
        <w:rPr>
          <w:rFonts w:hint="cs"/>
          <w:vanish/>
          <w:rtl/>
        </w:rPr>
        <w:t xml:space="preserve"> הרמב</w:t>
      </w:r>
      <w:r w:rsidRPr="007660BC">
        <w:rPr>
          <w:vanish/>
          <w:rtl/>
        </w:rPr>
        <w:t>"</w:t>
      </w:r>
      <w:r w:rsidRPr="007660BC">
        <w:rPr>
          <w:rFonts w:hint="cs"/>
          <w:vanish/>
          <w:rtl/>
        </w:rPr>
        <w:t>ן</w:t>
      </w:r>
    </w:p>
    <w:p w14:paraId="31055038" w14:textId="77777777" w:rsidR="00274E65" w:rsidRPr="0073208E" w:rsidRDefault="00274E65" w:rsidP="00274E65">
      <w:pPr>
        <w:pStyle w:val="a7"/>
      </w:pPr>
      <w:bookmarkStart w:id="4253" w:name="_Toc140743982"/>
      <w:r>
        <w:rPr>
          <w:rFonts w:hint="cs"/>
          <w:rtl/>
        </w:rPr>
        <w:t>בי' הר"ן ברמב"ן דכמו דמילה ובת כהן צריך לגופן ה"ה בכל מקלקל בחבורה והיינו כחובל לכלבו</w:t>
      </w:r>
      <w:bookmarkEnd w:id="4253"/>
    </w:p>
    <w:p w14:paraId="33E335FB" w14:textId="77777777" w:rsidR="00274E65" w:rsidRDefault="00274E65" w:rsidP="00BC7DC8">
      <w:pPr>
        <w:pStyle w:val="a3"/>
      </w:pPr>
      <w:r w:rsidRPr="00E83FF0">
        <w:rPr>
          <w:rFonts w:hint="cs"/>
          <w:rtl/>
        </w:rPr>
        <w:t>והוסיף</w:t>
      </w:r>
      <w:r w:rsidRPr="00FD086D">
        <w:rPr>
          <w:rFonts w:hint="cs"/>
          <w:rtl/>
        </w:rPr>
        <w:t xml:space="preserve"> </w:t>
      </w:r>
      <w:r w:rsidRPr="00944285">
        <w:rPr>
          <w:rStyle w:val="aff4"/>
          <w:rFonts w:hint="cs"/>
          <w:vanish/>
          <w:rtl/>
        </w:rPr>
        <w:t>-</w:t>
      </w:r>
      <w:r w:rsidRPr="0012119D">
        <w:rPr>
          <w:rStyle w:val="aff4"/>
          <w:rFonts w:hint="cs"/>
          <w:rtl/>
        </w:rPr>
        <w:t>הר"ן</w:t>
      </w:r>
      <w:r w:rsidRPr="00FE7099">
        <w:rPr>
          <w:rStyle w:val="aff4"/>
          <w:rFonts w:hint="cs"/>
          <w:vanish/>
          <w:rtl/>
        </w:rPr>
        <w:t>-</w:t>
      </w:r>
      <w:r w:rsidRPr="00FD086D">
        <w:rPr>
          <w:rFonts w:hint="cs"/>
          <w:rtl/>
        </w:rPr>
        <w:t xml:space="preserve"> </w:t>
      </w:r>
      <w:r>
        <w:rPr>
          <w:rFonts w:hint="cs"/>
          <w:rtl/>
        </w:rPr>
        <w:t>לבאר בשם</w:t>
      </w:r>
      <w:r w:rsidRPr="00FD086D">
        <w:rPr>
          <w:rFonts w:hint="cs"/>
          <w:rtl/>
        </w:rPr>
        <w:t xml:space="preserve"> </w:t>
      </w:r>
      <w:r w:rsidRPr="00944285">
        <w:rPr>
          <w:rStyle w:val="aff4"/>
          <w:rFonts w:hint="cs"/>
          <w:vanish/>
          <w:rtl/>
        </w:rPr>
        <w:t>-</w:t>
      </w:r>
      <w:r w:rsidRPr="0012119D">
        <w:rPr>
          <w:rStyle w:val="aff4"/>
          <w:rFonts w:hint="cs"/>
          <w:rtl/>
        </w:rPr>
        <w:t>הרמב"ן</w:t>
      </w:r>
      <w:r w:rsidRPr="00FE7099">
        <w:rPr>
          <w:rStyle w:val="aff4"/>
          <w:rFonts w:hint="cs"/>
          <w:vanish/>
          <w:rtl/>
        </w:rPr>
        <w:t>-</w:t>
      </w:r>
      <w:r w:rsidRPr="00FD086D">
        <w:rPr>
          <w:rFonts w:hint="cs"/>
          <w:rtl/>
        </w:rPr>
        <w:t xml:space="preserve"> </w:t>
      </w:r>
      <w:r>
        <w:rPr>
          <w:rFonts w:hint="cs"/>
          <w:rtl/>
        </w:rPr>
        <w:t>דבחובל ומבעיר החיוב במקלקל הוא רק באופן שהמלאכה צריכה לגופה, כמילה ושריפת בת כהן, דאף דאין דרך לעשות כן וחשיב מקלקל</w:t>
      </w:r>
      <w:r w:rsidRPr="00BA6F4D">
        <w:rPr>
          <w:rFonts w:hint="cs"/>
          <w:rtl/>
        </w:rPr>
        <w:t xml:space="preserve"> </w:t>
      </w:r>
      <w:r>
        <w:rPr>
          <w:rFonts w:hint="cs"/>
          <w:rtl/>
        </w:rPr>
        <w:t>דהתיקון אינו מגופן ואינו תיקון לר"ש כלל, מ"מ מדחייבה בהם תורה ילפינן דחייב לר"ש בכל מקלקל בחבורה, אך מ"מ צריך שיהיה צורך לגופן בדבר אחר כמילה ושריפת בת כהן, וזהו הביאור בחובל וצריך לכלבו ומבעיר וצריך לאפרו.</w:t>
      </w:r>
    </w:p>
    <w:p w14:paraId="2E9ABC85" w14:textId="77777777" w:rsidR="00274E65" w:rsidRPr="00747170" w:rsidRDefault="00274E65" w:rsidP="00747170">
      <w:pPr>
        <w:pStyle w:val="a2"/>
        <w:rPr>
          <w:rStyle w:val="afff9"/>
          <w:bCs w:val="0"/>
          <w:noProof w:val="0"/>
          <w:color w:val="auto"/>
          <w:u w:val="none"/>
          <w:rtl/>
        </w:rPr>
      </w:pPr>
      <w:r w:rsidRPr="00747170">
        <w:rPr>
          <w:rtl/>
        </w:rPr>
        <w:t>ובחובל ומבעיר כל שהוא צריך לגופן כמיל' והבערה דבת כהן אף על פי שהוא מקלקל לפי שאין דרכן של בני אדם לחבול בשביל הדם ולהבעיר בשביל האפר אפילו הכי לר' שמעון כי האי גוונא מחייב שהרי מילה והבערה דבת כהן [קלקול] הן שתיקונן אינו מגופן וכל תיקון שאינו מגופ' של מלאכה לר"ש אינו מתחשב כלל ואפי' (לר"ש) הכי גלי בהן רחמנ' דמלאכות נינהו הילכך מקלקל בחובל ומבעיר נמי מחייב ומיהו בעי' שיהו צריכות לגופן כמילה והבערה דבת כהן והיינו חובל דצריך לכלבו ומבעיר בצריך לאפרו.</w:t>
      </w:r>
    </w:p>
    <w:p w14:paraId="013F0819" w14:textId="0DDFC9AE" w:rsidR="00274E65" w:rsidRPr="00930E37" w:rsidRDefault="00274E65" w:rsidP="00274E65">
      <w:pPr>
        <w:pStyle w:val="a7"/>
      </w:pPr>
      <w:bookmarkStart w:id="4254" w:name="_Toc140743983"/>
      <w:r>
        <w:rPr>
          <w:rFonts w:hint="cs"/>
          <w:rtl/>
        </w:rPr>
        <w:t>בי' הר"ן ברמב"ן דרק לריו"ח מחייב ר"ש במקלקל רק בצל"ג אבל לר"א אף במשאצל"ג חייב</w:t>
      </w:r>
      <w:bookmarkEnd w:id="4254"/>
    </w:p>
    <w:p w14:paraId="6A264906" w14:textId="2760AB99" w:rsidR="00274E65" w:rsidRPr="002202BF" w:rsidRDefault="00274E65" w:rsidP="00BC7DC8">
      <w:pPr>
        <w:pStyle w:val="a3"/>
      </w:pPr>
      <w:r>
        <w:rPr>
          <w:rFonts w:hint="cs"/>
          <w:rtl/>
        </w:rPr>
        <w:t xml:space="preserve">וכתב </w:t>
      </w:r>
      <w:r w:rsidRPr="005B32F6">
        <w:rPr>
          <w:rStyle w:val="aff4"/>
          <w:rFonts w:hint="cs"/>
          <w:vanish/>
          <w:rtl/>
        </w:rPr>
        <w:t>-</w:t>
      </w:r>
      <w:r w:rsidRPr="00DB624B">
        <w:rPr>
          <w:rStyle w:val="aff4"/>
          <w:rFonts w:hint="cs"/>
          <w:rtl/>
        </w:rPr>
        <w:t>הר"ן</w:t>
      </w:r>
      <w:r w:rsidRPr="005B32F6">
        <w:rPr>
          <w:rStyle w:val="aff4"/>
          <w:rFonts w:hint="cs"/>
          <w:vanish/>
          <w:rtl/>
        </w:rPr>
        <w:t>-</w:t>
      </w:r>
      <w:r>
        <w:rPr>
          <w:rFonts w:hint="cs"/>
          <w:rtl/>
        </w:rPr>
        <w:t xml:space="preserve"> דלפי"ז הא</w:t>
      </w:r>
      <w:r w:rsidRPr="00CF00E6">
        <w:rPr>
          <w:rFonts w:hint="cs"/>
          <w:rtl/>
        </w:rPr>
        <w:t xml:space="preserve"> </w:t>
      </w:r>
      <w:r>
        <w:rPr>
          <w:rFonts w:hint="cs"/>
          <w:rtl/>
        </w:rPr>
        <w:t xml:space="preserve">דמוכח בגמ' בסנהדרין </w:t>
      </w:r>
      <w:r w:rsidRPr="00900CB4">
        <w:rPr>
          <w:rStyle w:val="af2"/>
          <w:rFonts w:eastAsia="Guttman Hodes" w:hint="cs"/>
          <w:rtl/>
        </w:rPr>
        <w:t>(פד:)</w:t>
      </w:r>
      <w:r>
        <w:rPr>
          <w:rFonts w:hint="cs"/>
          <w:rtl/>
        </w:rPr>
        <w:t xml:space="preserve"> ובכתובות </w:t>
      </w:r>
      <w:r w:rsidRPr="00900CB4">
        <w:rPr>
          <w:rStyle w:val="af2"/>
          <w:rFonts w:eastAsia="Guttman Hodes" w:hint="cs"/>
          <w:rtl/>
        </w:rPr>
        <w:t>(כ:)</w:t>
      </w:r>
      <w:r>
        <w:rPr>
          <w:rFonts w:hint="cs"/>
          <w:rtl/>
        </w:rPr>
        <w:t xml:space="preserve"> דאף בחובל ומבעיר ס"ל לר"ש דחייב רק במלאכה שצריכה לגופה, </w:t>
      </w:r>
      <w:r w:rsidRPr="00900CB4">
        <w:rPr>
          <w:rStyle w:val="af"/>
          <w:rFonts w:hint="cs"/>
          <w:rtl/>
        </w:rPr>
        <w:t xml:space="preserve">[כדהקשו </w:t>
      </w:r>
      <w:r w:rsidRPr="00900CB4">
        <w:rPr>
          <w:rStyle w:val="aff9"/>
          <w:rFonts w:hint="cs"/>
          <w:vanish/>
          <w:rtl/>
        </w:rPr>
        <w:t>-</w:t>
      </w:r>
      <w:r w:rsidRPr="00900CB4">
        <w:rPr>
          <w:rStyle w:val="aff9"/>
          <w:rFonts w:hint="cs"/>
          <w:rtl/>
        </w:rPr>
        <w:t>ה</w:t>
      </w:r>
      <w:r>
        <w:rPr>
          <w:rStyle w:val="aff9"/>
          <w:rFonts w:hint="cs"/>
          <w:rtl/>
        </w:rPr>
        <w:t>רמב"ן וה</w:t>
      </w:r>
      <w:r w:rsidRPr="00900CB4">
        <w:rPr>
          <w:rStyle w:val="aff9"/>
          <w:rFonts w:hint="cs"/>
          <w:rtl/>
        </w:rPr>
        <w:t>תוס'</w:t>
      </w:r>
      <w:r w:rsidRPr="00900CB4">
        <w:rPr>
          <w:rStyle w:val="aff9"/>
          <w:rFonts w:hint="cs"/>
          <w:vanish/>
          <w:rtl/>
        </w:rPr>
        <w:t>-</w:t>
      </w:r>
      <w:r w:rsidRPr="00900CB4">
        <w:rPr>
          <w:rStyle w:val="af"/>
          <w:rFonts w:hint="cs"/>
          <w:rtl/>
        </w:rPr>
        <w:t xml:space="preserve"> </w:t>
      </w:r>
      <w:r w:rsidRPr="00900CB4">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Ref140677740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כז)</w:t>
      </w:r>
      <w:r>
        <w:rPr>
          <w:rStyle w:val="aff0"/>
          <w:rtl/>
        </w:rPr>
        <w:fldChar w:fldCharType="end"/>
      </w:r>
      <w:r>
        <w:rPr>
          <w:rStyle w:val="af"/>
          <w:rFonts w:hint="cs"/>
          <w:rtl/>
        </w:rPr>
        <w:t xml:space="preserve"> </w:t>
      </w:r>
      <w:r w:rsidRPr="00900CB4">
        <w:rPr>
          <w:rStyle w:val="af"/>
          <w:rFonts w:hint="cs"/>
          <w:rtl/>
        </w:rPr>
        <w:t xml:space="preserve">על </w:t>
      </w:r>
      <w:r w:rsidRPr="00900CB4">
        <w:rPr>
          <w:rStyle w:val="aff9"/>
          <w:rFonts w:hint="cs"/>
          <w:vanish/>
          <w:rtl/>
        </w:rPr>
        <w:t>-</w:t>
      </w:r>
      <w:r w:rsidRPr="00900CB4">
        <w:rPr>
          <w:rStyle w:val="aff9"/>
          <w:rFonts w:hint="cs"/>
          <w:rtl/>
        </w:rPr>
        <w:t>רש"י</w:t>
      </w:r>
      <w:r w:rsidRPr="00900CB4">
        <w:rPr>
          <w:rStyle w:val="aff9"/>
          <w:rFonts w:hint="cs"/>
          <w:vanish/>
          <w:rtl/>
        </w:rPr>
        <w:t>-</w:t>
      </w:r>
      <w:r w:rsidRPr="00900CB4">
        <w:rPr>
          <w:rStyle w:val="af"/>
          <w:rFonts w:hint="cs"/>
          <w:rtl/>
        </w:rPr>
        <w:t>]</w:t>
      </w:r>
      <w:r w:rsidRPr="005B32F6">
        <w:rPr>
          <w:rStyle w:val="af"/>
          <w:rFonts w:hint="cs"/>
          <w:rtl/>
        </w:rPr>
        <w:t>,</w:t>
      </w:r>
      <w:r>
        <w:rPr>
          <w:rFonts w:hint="cs"/>
          <w:rtl/>
        </w:rPr>
        <w:t xml:space="preserve"> היינו כדעת ריו"ח ולא לרבי אבהו דס"ל דהחיוב הוא אף במלאכה שאינה צריכה לגופה, וריו"ח חידש דאף דא"צ שתהיה ממש מלאכה שצריכה לגופה, מ"מ בכל אופן דהוא מקלקל גמור, דאין לו שום תיקון חשיב כמלאכה שאינה צריכה לגופה ופטור אף בחובל ומבעיר, ור"י פוטר אף בחובל וצריך לכלבו ומבעיר וצריך לאפרו, כיון דאין דרך בנ"א לחבול לצורך כך והוי מקלקל, וכתב </w:t>
      </w:r>
      <w:r w:rsidRPr="005B32F6">
        <w:rPr>
          <w:rStyle w:val="aff4"/>
          <w:rFonts w:hint="cs"/>
          <w:vanish/>
          <w:rtl/>
        </w:rPr>
        <w:t>-</w:t>
      </w:r>
      <w:r w:rsidRPr="00DB624B">
        <w:rPr>
          <w:rStyle w:val="aff4"/>
          <w:rFonts w:hint="cs"/>
          <w:rtl/>
        </w:rPr>
        <w:t>הר"ן</w:t>
      </w:r>
      <w:r w:rsidRPr="005B32F6">
        <w:rPr>
          <w:rStyle w:val="aff4"/>
          <w:rFonts w:hint="cs"/>
          <w:vanish/>
          <w:rtl/>
        </w:rPr>
        <w:t>-</w:t>
      </w:r>
      <w:r>
        <w:rPr>
          <w:rFonts w:hint="cs"/>
          <w:rtl/>
        </w:rPr>
        <w:t xml:space="preserve"> דזהו עיקר ביאור </w:t>
      </w:r>
      <w:r w:rsidRPr="005B32F6">
        <w:rPr>
          <w:rStyle w:val="aff4"/>
          <w:rFonts w:hint="cs"/>
          <w:vanish/>
          <w:rtl/>
        </w:rPr>
        <w:t>-</w:t>
      </w:r>
      <w:r w:rsidRPr="00DB624B">
        <w:rPr>
          <w:rStyle w:val="aff4"/>
          <w:rFonts w:hint="cs"/>
          <w:rtl/>
        </w:rPr>
        <w:t>הרמב"ן</w:t>
      </w:r>
      <w:r w:rsidRPr="005B32F6">
        <w:rPr>
          <w:rStyle w:val="aff4"/>
          <w:rFonts w:hint="cs"/>
          <w:vanish/>
          <w:rtl/>
        </w:rPr>
        <w:t>-</w:t>
      </w:r>
      <w:r>
        <w:rPr>
          <w:rFonts w:hint="cs"/>
          <w:rtl/>
        </w:rPr>
        <w:t xml:space="preserve"> לפי הדרך של </w:t>
      </w:r>
      <w:r w:rsidRPr="005B32F6">
        <w:rPr>
          <w:rStyle w:val="aff4"/>
          <w:rFonts w:hint="cs"/>
          <w:vanish/>
          <w:rtl/>
        </w:rPr>
        <w:t>-</w:t>
      </w:r>
      <w:r w:rsidRPr="00DB624B">
        <w:rPr>
          <w:rStyle w:val="aff4"/>
          <w:rFonts w:hint="cs"/>
          <w:rtl/>
        </w:rPr>
        <w:t>רש"י</w:t>
      </w:r>
      <w:r w:rsidRPr="005B32F6">
        <w:rPr>
          <w:rStyle w:val="aff4"/>
          <w:rFonts w:hint="cs"/>
          <w:vanish/>
          <w:rtl/>
        </w:rPr>
        <w:t>-</w:t>
      </w:r>
      <w:r>
        <w:rPr>
          <w:rFonts w:hint="cs"/>
          <w:rtl/>
        </w:rPr>
        <w:t>.</w:t>
      </w:r>
    </w:p>
    <w:p w14:paraId="59CC4FE2" w14:textId="77777777" w:rsidR="00274E65" w:rsidRPr="00747170" w:rsidRDefault="00274E65" w:rsidP="00747170">
      <w:pPr>
        <w:pStyle w:val="a2"/>
        <w:rPr>
          <w:rtl/>
        </w:rPr>
      </w:pPr>
      <w:r w:rsidRPr="00747170">
        <w:rPr>
          <w:rtl/>
        </w:rPr>
        <w:t>ולפי זה הא דבעינן בפרק כל כתבי ובפ' ואלו הן הנחנקין במלאכה דחבלה לר"ש שתהא צריכה לגופה אליבא דרבי יוחנן הוא דאמרינן הכי ולא אליבא דרבי אבוהו אמרינן הכי משום דקסבר ר' אבהו דמקלקל גמור כיון שאין לו (כיונה) [כונה] אחרת אלא אותו קלקול מלאכה הצריכה לגופה מקרי ור' יוחנן חדית ליה שכל שאינו מכוין לשום דבר ואין בקלקול שלו הנאה של כלום כמלאכה שא"צ דמי א"נ רבי אבוהו לא פליג מידי ברייתא [קתני] ורבי יוחנן פרשה ניהליה דצריך לגופה מיהו בעינן ומכוין לקלקל לאו כלום הוא הילכך אפי' לרבי שמעון וחובל ומבעיר לא מחייב אלא בצריך לכלבו ולאפרו ור' יהודה פטר אפי' בכה"ג מפני שהן מלאכות של קלקול שאין דרכן של ב"א לחבול בשביל צורך הדם ולהבעיר בשביל האפר זהו תורף פירושו של הרמב"ן ז"ל על הדרך פי' של רש"י ז"ל.</w:t>
      </w:r>
    </w:p>
    <w:p w14:paraId="5F401759" w14:textId="77777777" w:rsidR="00FF4D6E" w:rsidRDefault="00FF4D6E" w:rsidP="00FF4D6E">
      <w:pPr>
        <w:pStyle w:val="a7"/>
        <w:rPr>
          <w:rtl/>
        </w:rPr>
      </w:pPr>
      <w:bookmarkStart w:id="4255" w:name="_Toc140743984"/>
    </w:p>
    <w:p w14:paraId="0E217B34" w14:textId="374B4FC5" w:rsidR="00274E65" w:rsidRDefault="00274E65" w:rsidP="00274E65">
      <w:pPr>
        <w:pStyle w:val="1"/>
        <w:rPr>
          <w:rtl/>
        </w:rPr>
      </w:pPr>
      <w:r>
        <w:rPr>
          <w:rFonts w:hint="cs"/>
          <w:rtl/>
        </w:rPr>
        <w:t>קו' הר"ן ברמב"ן דא"א לומר דמילה צל"ג כשהצורך לא בגופו</w:t>
      </w:r>
      <w:bookmarkEnd w:id="4255"/>
    </w:p>
    <w:p w14:paraId="35803529" w14:textId="77777777" w:rsidR="00274E65" w:rsidRDefault="00274E65" w:rsidP="00274E65">
      <w:pPr>
        <w:pStyle w:val="afffff7"/>
        <w:rPr>
          <w:rtl/>
        </w:rPr>
      </w:pPr>
      <w:bookmarkStart w:id="4256" w:name="_Toc140744087"/>
      <w:bookmarkStart w:id="4257" w:name="_Toc163506035"/>
      <w:r w:rsidRPr="00946734">
        <w:rPr>
          <w:rtl/>
        </w:rPr>
        <w:t>חדושי הר"ן שבת ק"ו ע"א</w:t>
      </w:r>
      <w:r w:rsidRPr="00946734">
        <w:rPr>
          <w:rFonts w:hint="cs"/>
          <w:rtl/>
        </w:rPr>
        <w:t xml:space="preserve"> ד"ה </w:t>
      </w:r>
      <w:r>
        <w:rPr>
          <w:rFonts w:hint="cs"/>
          <w:rtl/>
        </w:rPr>
        <w:t>ואני תמה</w:t>
      </w:r>
      <w:bookmarkEnd w:id="4256"/>
      <w:bookmarkEnd w:id="4257"/>
    </w:p>
    <w:p w14:paraId="12843360" w14:textId="77777777" w:rsidR="00274E65" w:rsidRPr="00D1664B" w:rsidRDefault="00274E65" w:rsidP="00274E65">
      <w:pPr>
        <w:pStyle w:val="a7"/>
        <w:rPr>
          <w:rtl/>
        </w:rPr>
      </w:pPr>
      <w:bookmarkStart w:id="4258" w:name="_Toc140743985"/>
      <w:r>
        <w:rPr>
          <w:rFonts w:hint="cs"/>
          <w:rtl/>
        </w:rPr>
        <w:t>קו' הר"ן ברמב"ן דהצורך במילה הוא רק מצוה דאינה בגופו והאיך אפש"ל דחשיב צריכה לגופה</w:t>
      </w:r>
      <w:bookmarkEnd w:id="4258"/>
    </w:p>
    <w:p w14:paraId="74B3964E" w14:textId="7713F7C6" w:rsidR="00274E65" w:rsidRPr="00542D3B" w:rsidRDefault="00274E65" w:rsidP="00BC7DC8">
      <w:pPr>
        <w:pStyle w:val="a3"/>
        <w:rPr>
          <w:rtl/>
        </w:rPr>
      </w:pPr>
      <w:r>
        <w:rPr>
          <w:rFonts w:hint="cs"/>
          <w:rtl/>
        </w:rPr>
        <w:t xml:space="preserve">במה שביאר </w:t>
      </w:r>
      <w:r w:rsidRPr="00E348F4">
        <w:rPr>
          <w:rStyle w:val="aff4"/>
          <w:rFonts w:hint="cs"/>
          <w:vanish/>
          <w:rtl/>
        </w:rPr>
        <w:t>-</w:t>
      </w:r>
      <w:r w:rsidRPr="00E348F4">
        <w:rPr>
          <w:rStyle w:val="aff4"/>
          <w:rFonts w:hint="cs"/>
          <w:rtl/>
        </w:rPr>
        <w:t>הרמב"ן</w:t>
      </w:r>
      <w:r w:rsidRPr="00E348F4">
        <w:rPr>
          <w:rStyle w:val="aff4"/>
          <w:rFonts w:hint="cs"/>
          <w:vanish/>
          <w:rtl/>
        </w:rPr>
        <w:t>-</w:t>
      </w:r>
      <w:r>
        <w:rPr>
          <w:rFonts w:hint="cs"/>
          <w:rtl/>
        </w:rPr>
        <w:t xml:space="preserve"> </w:t>
      </w:r>
      <w:r w:rsidRPr="00E348F4">
        <w:rPr>
          <w:rStyle w:val="af2"/>
          <w:rFonts w:eastAsia="Guttman Hodes" w:hint="cs"/>
          <w:rtl/>
        </w:rPr>
        <w:t xml:space="preserve">(עי' </w:t>
      </w:r>
      <w:r w:rsidRPr="00DA6D81">
        <w:rPr>
          <w:rStyle w:val="af2"/>
          <w:rFonts w:eastAsia="Guttman Hodes" w:hint="cs"/>
          <w:rtl/>
        </w:rPr>
        <w:t xml:space="preserve">אות </w:t>
      </w:r>
      <w:r w:rsidRPr="00DA6D81">
        <w:rPr>
          <w:rStyle w:val="af2"/>
          <w:rFonts w:eastAsia="Guttman Hodes"/>
          <w:rtl/>
        </w:rPr>
        <w:fldChar w:fldCharType="begin"/>
      </w:r>
      <w:r w:rsidRPr="00DA6D81">
        <w:rPr>
          <w:rStyle w:val="af2"/>
          <w:rFonts w:eastAsia="Guttman Hodes"/>
          <w:rtl/>
        </w:rPr>
        <w:instrText xml:space="preserve"> </w:instrText>
      </w:r>
      <w:r w:rsidRPr="00DA6D81">
        <w:rPr>
          <w:rStyle w:val="af2"/>
          <w:rFonts w:eastAsia="Guttman Hodes" w:hint="cs"/>
        </w:rPr>
        <w:instrText>REF</w:instrText>
      </w:r>
      <w:r w:rsidRPr="00DA6D81">
        <w:rPr>
          <w:rStyle w:val="af2"/>
          <w:rFonts w:eastAsia="Guttman Hodes" w:hint="cs"/>
          <w:rtl/>
        </w:rPr>
        <w:instrText xml:space="preserve"> _</w:instrText>
      </w:r>
      <w:r w:rsidRPr="00DA6D81">
        <w:rPr>
          <w:rStyle w:val="af2"/>
          <w:rFonts w:eastAsia="Guttman Hodes" w:hint="cs"/>
        </w:rPr>
        <w:instrText>Ref140743871 \r \h</w:instrText>
      </w:r>
      <w:r w:rsidRPr="00DA6D81">
        <w:rPr>
          <w:rStyle w:val="af2"/>
          <w:rFonts w:eastAsia="Guttman Hodes"/>
          <w:rtl/>
        </w:rPr>
        <w:instrText xml:space="preserve"> </w:instrText>
      </w:r>
      <w:r w:rsidRPr="00DA6D81">
        <w:rPr>
          <w:rStyle w:val="af2"/>
          <w:rFonts w:eastAsia="Guttman Hodes"/>
          <w:rtl/>
        </w:rPr>
      </w:r>
      <w:r w:rsidRPr="00DA6D81">
        <w:rPr>
          <w:rStyle w:val="af2"/>
          <w:rFonts w:eastAsia="Guttman Hodes"/>
          <w:rtl/>
        </w:rPr>
        <w:fldChar w:fldCharType="separate"/>
      </w:r>
      <w:r w:rsidR="00D82181">
        <w:rPr>
          <w:rStyle w:val="af2"/>
          <w:rFonts w:eastAsia="Guttman Hodes"/>
          <w:cs/>
        </w:rPr>
        <w:t>‎</w:t>
      </w:r>
      <w:r w:rsidR="00D82181">
        <w:rPr>
          <w:rStyle w:val="af2"/>
          <w:rFonts w:eastAsia="Guttman Hodes"/>
          <w:rtl/>
        </w:rPr>
        <w:t>כח)</w:t>
      </w:r>
      <w:r w:rsidRPr="00DA6D81">
        <w:rPr>
          <w:rStyle w:val="af2"/>
          <w:rFonts w:eastAsia="Guttman Hodes"/>
          <w:rtl/>
        </w:rPr>
        <w:fldChar w:fldCharType="end"/>
      </w:r>
      <w:r>
        <w:rPr>
          <w:rFonts w:hint="cs"/>
          <w:rtl/>
        </w:rPr>
        <w:t xml:space="preserve"> דמילה היא מלאכה שצריכה לגופה, כיון שהוא צריך שהתינוק ישאר מהול, </w:t>
      </w:r>
      <w:bookmarkStart w:id="4259" w:name="_Ref140355299"/>
      <w:r>
        <w:rPr>
          <w:rFonts w:hint="cs"/>
          <w:rtl/>
        </w:rPr>
        <w:t xml:space="preserve">דחה </w:t>
      </w:r>
      <w:r w:rsidRPr="00E348F4">
        <w:rPr>
          <w:rStyle w:val="aff4"/>
          <w:rFonts w:hint="cs"/>
          <w:vanish/>
          <w:rtl/>
        </w:rPr>
        <w:t>-</w:t>
      </w:r>
      <w:r w:rsidRPr="00E348F4">
        <w:rPr>
          <w:rStyle w:val="aff4"/>
          <w:rFonts w:hint="cs"/>
          <w:rtl/>
        </w:rPr>
        <w:t>ה</w:t>
      </w:r>
      <w:r w:rsidRPr="00E348F4">
        <w:rPr>
          <w:rStyle w:val="aff4"/>
          <w:rFonts w:hint="cs"/>
          <w:vanish/>
          <w:rtl/>
        </w:rPr>
        <w:t xml:space="preserve">&lt;, </w:t>
      </w:r>
      <w:r w:rsidRPr="00E348F4">
        <w:rPr>
          <w:rStyle w:val="aff4"/>
          <w:vanish/>
          <w:rtl/>
        </w:rPr>
        <w:fldChar w:fldCharType="begin"/>
      </w:r>
      <w:r w:rsidRPr="00E348F4">
        <w:rPr>
          <w:rStyle w:val="aff4"/>
          <w:vanish/>
          <w:rtl/>
        </w:rPr>
        <w:instrText xml:space="preserve"> </w:instrText>
      </w:r>
      <w:r w:rsidRPr="00E348F4">
        <w:rPr>
          <w:rStyle w:val="aff4"/>
          <w:rFonts w:hint="cs"/>
          <w:vanish/>
        </w:rPr>
        <w:instrText>REF</w:instrText>
      </w:r>
      <w:r w:rsidRPr="00E348F4">
        <w:rPr>
          <w:rStyle w:val="aff4"/>
          <w:rFonts w:hint="cs"/>
          <w:vanish/>
          <w:rtl/>
        </w:rPr>
        <w:instrText xml:space="preserve"> _</w:instrText>
      </w:r>
      <w:r w:rsidRPr="00E348F4">
        <w:rPr>
          <w:rStyle w:val="aff4"/>
          <w:rFonts w:hint="cs"/>
          <w:vanish/>
        </w:rPr>
        <w:instrText>Ref140355299 \r \h</w:instrText>
      </w:r>
      <w:r w:rsidRPr="00E348F4">
        <w:rPr>
          <w:rStyle w:val="aff4"/>
          <w:vanish/>
          <w:rtl/>
        </w:rPr>
        <w:instrText xml:space="preserve"> </w:instrText>
      </w:r>
      <w:r w:rsidRPr="00E348F4">
        <w:rPr>
          <w:rStyle w:val="aff4"/>
          <w:vanish/>
          <w:rtl/>
        </w:rPr>
      </w:r>
      <w:r w:rsidRPr="00E348F4">
        <w:rPr>
          <w:rStyle w:val="aff4"/>
          <w:vanish/>
          <w:rtl/>
        </w:rPr>
        <w:fldChar w:fldCharType="separate"/>
      </w:r>
      <w:r w:rsidR="00D82181">
        <w:rPr>
          <w:rStyle w:val="aff4"/>
          <w:vanish/>
          <w:cs/>
        </w:rPr>
        <w:t>‎</w:t>
      </w:r>
      <w:r w:rsidR="00D82181">
        <w:rPr>
          <w:rStyle w:val="aff4"/>
          <w:vanish/>
          <w:rtl/>
        </w:rPr>
        <w:t>לט)</w:t>
      </w:r>
      <w:r w:rsidRPr="00E348F4">
        <w:rPr>
          <w:rStyle w:val="aff4"/>
          <w:vanish/>
          <w:rtl/>
        </w:rPr>
        <w:fldChar w:fldCharType="end"/>
      </w:r>
      <w:r w:rsidRPr="00E348F4">
        <w:rPr>
          <w:rStyle w:val="aff4"/>
          <w:rFonts w:hint="cs"/>
          <w:vanish/>
          <w:rtl/>
        </w:rPr>
        <w:t xml:space="preserve"> &gt;</w:t>
      </w:r>
      <w:r w:rsidRPr="00E348F4">
        <w:rPr>
          <w:rStyle w:val="aff4"/>
          <w:rFonts w:hint="cs"/>
          <w:rtl/>
        </w:rPr>
        <w:t>ר"ן</w:t>
      </w:r>
      <w:r w:rsidRPr="00E348F4">
        <w:rPr>
          <w:rStyle w:val="aff4"/>
          <w:rFonts w:hint="cs"/>
          <w:vanish/>
          <w:rtl/>
        </w:rPr>
        <w:t>-</w:t>
      </w:r>
      <w:r>
        <w:rPr>
          <w:rFonts w:hint="cs"/>
          <w:rtl/>
        </w:rPr>
        <w:t xml:space="preserve"> </w:t>
      </w:r>
      <w:r w:rsidRPr="00E348F4">
        <w:rPr>
          <w:rStyle w:val="af2"/>
          <w:rFonts w:eastAsia="Guttman Hodes" w:hint="cs"/>
          <w:rtl/>
        </w:rPr>
        <w:t>(קו. ד"ה ואני תמה)</w:t>
      </w:r>
      <w:r w:rsidRPr="00E348F4">
        <w:rPr>
          <w:rFonts w:hint="cs"/>
          <w:vanish/>
          <w:rtl/>
        </w:rPr>
        <w:t>=</w:t>
      </w:r>
      <w:bookmarkEnd w:id="4259"/>
      <w:r>
        <w:rPr>
          <w:rFonts w:hint="cs"/>
          <w:rtl/>
        </w:rPr>
        <w:t xml:space="preserve"> דהא הצורך שלו שישאר מהול הוא רק לקיים את מצות מילה, מ"מ דחשיב כצריכה לגופה, וא"כ היאך ביאר </w:t>
      </w:r>
      <w:r w:rsidRPr="00E348F4">
        <w:rPr>
          <w:rStyle w:val="aff4"/>
          <w:rFonts w:hint="cs"/>
          <w:vanish/>
          <w:rtl/>
        </w:rPr>
        <w:t>-</w:t>
      </w:r>
      <w:r w:rsidRPr="00E348F4">
        <w:rPr>
          <w:rStyle w:val="aff4"/>
          <w:rFonts w:hint="cs"/>
          <w:rtl/>
        </w:rPr>
        <w:t>הרמב"ן</w:t>
      </w:r>
      <w:r w:rsidRPr="00E348F4">
        <w:rPr>
          <w:rStyle w:val="aff4"/>
          <w:rFonts w:hint="cs"/>
          <w:vanish/>
          <w:rtl/>
        </w:rPr>
        <w:t>-</w:t>
      </w:r>
      <w:r>
        <w:rPr>
          <w:rFonts w:hint="cs"/>
          <w:rtl/>
        </w:rPr>
        <w:t xml:space="preserve"> </w:t>
      </w:r>
      <w:r w:rsidRPr="00E348F4">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Ref140743894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w:t>
      </w:r>
      <w:r>
        <w:rPr>
          <w:rStyle w:val="af2"/>
          <w:rFonts w:eastAsia="Guttman Hodes"/>
          <w:rtl/>
        </w:rPr>
        <w:fldChar w:fldCharType="end"/>
      </w:r>
      <w:r>
        <w:rPr>
          <w:rFonts w:hint="cs"/>
          <w:rtl/>
        </w:rPr>
        <w:t xml:space="preserve"> דתיקון שאינו מגוף המלאכה, הוא מלאכה שאינה צריכה לגופה, הא אף במילה התיקון אינו מגוף המלאכה, וכתב </w:t>
      </w:r>
      <w:r w:rsidRPr="00E348F4">
        <w:rPr>
          <w:rStyle w:val="aff4"/>
          <w:rFonts w:hint="cs"/>
          <w:vanish/>
          <w:rtl/>
        </w:rPr>
        <w:t>-</w:t>
      </w:r>
      <w:r w:rsidRPr="00E348F4">
        <w:rPr>
          <w:rStyle w:val="aff4"/>
          <w:rFonts w:hint="cs"/>
          <w:rtl/>
        </w:rPr>
        <w:t>הר"ן</w:t>
      </w:r>
      <w:r w:rsidRPr="00E348F4">
        <w:rPr>
          <w:rStyle w:val="aff4"/>
          <w:rFonts w:hint="cs"/>
          <w:vanish/>
          <w:rtl/>
        </w:rPr>
        <w:t>-</w:t>
      </w:r>
      <w:r>
        <w:rPr>
          <w:rFonts w:hint="cs"/>
          <w:rtl/>
        </w:rPr>
        <w:t xml:space="preserve"> דא"א לעשות פשרה בין ב' הדברים הללו שביאר </w:t>
      </w:r>
      <w:r w:rsidRPr="00E348F4">
        <w:rPr>
          <w:rStyle w:val="aff4"/>
          <w:rFonts w:hint="cs"/>
          <w:vanish/>
          <w:rtl/>
        </w:rPr>
        <w:t>-</w:t>
      </w:r>
      <w:r w:rsidRPr="00E348F4">
        <w:rPr>
          <w:rStyle w:val="aff4"/>
          <w:rFonts w:hint="cs"/>
          <w:rtl/>
        </w:rPr>
        <w:t>הרמב"ן</w:t>
      </w:r>
      <w:r w:rsidRPr="00E348F4">
        <w:rPr>
          <w:rStyle w:val="aff4"/>
          <w:rFonts w:hint="cs"/>
          <w:vanish/>
          <w:rtl/>
        </w:rPr>
        <w:t>-</w:t>
      </w:r>
      <w:r>
        <w:rPr>
          <w:rFonts w:hint="cs"/>
          <w:rtl/>
        </w:rPr>
        <w:t>.</w:t>
      </w:r>
    </w:p>
    <w:p w14:paraId="289A2387" w14:textId="77777777" w:rsidR="00274E65" w:rsidRPr="00747170" w:rsidRDefault="00274E65" w:rsidP="00747170">
      <w:pPr>
        <w:pStyle w:val="a2"/>
        <w:rPr>
          <w:rtl/>
        </w:rPr>
      </w:pPr>
      <w:r w:rsidRPr="00747170">
        <w:rPr>
          <w:rtl/>
        </w:rPr>
        <w:t>ואני תמה לפי שהוא ז"ל ארכביה לפירושא דיליה אתרי ריכשי דכשם שהוא אומר דמילה מלאכה הצריכה לגופה מקרי מפני שהוא צריך שישאר מהול ובודאי שהוא אין לו צורך לישאר מהול אלא כדי לקיים מצות בוראו וכיון שהוא אומר שאותו תיקון (שאינו) [אינו] מגופה של מלאכה נמצאת מילה מלאכה שאינה צריכה לגופה לגמרי ואיני רואה פשרה בין הפי' הללו כלל כנ"ל.</w:t>
      </w:r>
    </w:p>
    <w:p w14:paraId="3C51A8D1" w14:textId="600B1DC0" w:rsidR="00274E65" w:rsidRDefault="00274E65" w:rsidP="00274E65">
      <w:pPr>
        <w:pStyle w:val="affff5"/>
        <w:rPr>
          <w:rtl/>
        </w:rPr>
      </w:pPr>
      <w:bookmarkStart w:id="4260" w:name="_Toc140743986"/>
      <w:r w:rsidRPr="00716C93">
        <w:rPr>
          <w:rFonts w:hint="cs"/>
          <w:rtl/>
        </w:rPr>
        <w:t>~~~~~~~~~~~~~~~~~~~~~~~~~~~~</w:t>
      </w:r>
      <w:bookmarkEnd w:id="4260"/>
    </w:p>
    <w:p w14:paraId="23C62B4D" w14:textId="77777777" w:rsidR="00274E65" w:rsidRDefault="00274E65" w:rsidP="00274E65">
      <w:pPr>
        <w:pStyle w:val="affff5"/>
        <w:rPr>
          <w:rtl/>
        </w:rPr>
      </w:pPr>
      <w:bookmarkStart w:id="4261" w:name="_Toc140743987"/>
      <w:r>
        <w:rPr>
          <w:rFonts w:hint="cs"/>
          <w:rtl/>
        </w:rPr>
        <w:t>בגדרי פלוגתת ר' אבהו וריו"ח להרמב"ן</w:t>
      </w:r>
      <w:bookmarkEnd w:id="4261"/>
    </w:p>
    <w:p w14:paraId="0477E67E" w14:textId="77777777" w:rsidR="00274E65" w:rsidRPr="00400D1F" w:rsidRDefault="00274E65" w:rsidP="00274E65">
      <w:pPr>
        <w:pStyle w:val="1"/>
        <w:rPr>
          <w:rtl/>
        </w:rPr>
      </w:pPr>
      <w:bookmarkStart w:id="4262" w:name="_Toc140743988"/>
      <w:r>
        <w:rPr>
          <w:rFonts w:hint="cs"/>
          <w:rtl/>
        </w:rPr>
        <w:t>בי' הרמב"ן דנח' במלאכת מחשבת במקלקל בלא כוונת נזק</w:t>
      </w:r>
      <w:bookmarkEnd w:id="4262"/>
      <w:r>
        <w:rPr>
          <w:rFonts w:hint="cs"/>
          <w:rtl/>
        </w:rPr>
        <w:t xml:space="preserve"> </w:t>
      </w:r>
    </w:p>
    <w:p w14:paraId="06D22820" w14:textId="77777777" w:rsidR="00274E65" w:rsidRDefault="00274E65" w:rsidP="00274E65">
      <w:pPr>
        <w:pStyle w:val="afffff7"/>
        <w:rPr>
          <w:rtl/>
        </w:rPr>
      </w:pPr>
      <w:bookmarkStart w:id="4263" w:name="_Toc140744088"/>
      <w:bookmarkStart w:id="4264" w:name="_Hlk140225820"/>
      <w:bookmarkStart w:id="4265" w:name="_Toc140058110"/>
      <w:bookmarkStart w:id="4266" w:name="_Toc163506036"/>
      <w:r w:rsidRPr="00D71835">
        <w:rPr>
          <w:rtl/>
        </w:rPr>
        <w:t>חדושי הרמב"ן שבת ק"ו ע"א</w:t>
      </w:r>
      <w:r w:rsidRPr="00D71835">
        <w:rPr>
          <w:rFonts w:hint="cs"/>
          <w:rtl/>
        </w:rPr>
        <w:t xml:space="preserve"> ד"ה </w:t>
      </w:r>
      <w:r>
        <w:rPr>
          <w:rFonts w:hint="cs"/>
          <w:rtl/>
        </w:rPr>
        <w:t>ואשוב</w:t>
      </w:r>
      <w:bookmarkEnd w:id="4263"/>
      <w:bookmarkEnd w:id="4266"/>
    </w:p>
    <w:p w14:paraId="4759F784" w14:textId="77777777" w:rsidR="00274E65" w:rsidRPr="00D719A9" w:rsidRDefault="00274E65" w:rsidP="00274E65">
      <w:pPr>
        <w:pStyle w:val="a7"/>
        <w:rPr>
          <w:rtl/>
        </w:rPr>
      </w:pPr>
      <w:bookmarkStart w:id="4267" w:name="_Toc140743989"/>
      <w:r>
        <w:rPr>
          <w:rFonts w:hint="cs"/>
          <w:rtl/>
        </w:rPr>
        <w:t>בי' הרמב"ן ברבי אבהו דתיקון דמילה ל"ה תיקון ומוכח דבחובל ומבעיר אף מקלקל גמור</w:t>
      </w:r>
      <w:r w:rsidRPr="00534222">
        <w:rPr>
          <w:rFonts w:hint="cs"/>
          <w:rtl/>
        </w:rPr>
        <w:t xml:space="preserve"> </w:t>
      </w:r>
      <w:r>
        <w:rPr>
          <w:rFonts w:hint="cs"/>
          <w:rtl/>
        </w:rPr>
        <w:t>חייב</w:t>
      </w:r>
      <w:bookmarkEnd w:id="4267"/>
    </w:p>
    <w:p w14:paraId="61795D04" w14:textId="5250AA0C" w:rsidR="00274E65" w:rsidRDefault="00274E65" w:rsidP="00BC7DC8">
      <w:pPr>
        <w:pStyle w:val="a3"/>
        <w:rPr>
          <w:rtl/>
        </w:rPr>
      </w:pPr>
      <w:bookmarkStart w:id="4268" w:name="_Ref140351290"/>
      <w:r>
        <w:rPr>
          <w:rFonts w:hint="cs"/>
          <w:rtl/>
        </w:rPr>
        <w:t xml:space="preserve">בדעת רבי אבהו דס"ל דהחיוב בחובל ומבעיר הוא אף בקלקול גמור, ביאר </w:t>
      </w:r>
      <w:r w:rsidRPr="00BC2091">
        <w:rPr>
          <w:rStyle w:val="aff4"/>
          <w:rFonts w:hint="cs"/>
          <w:vanish/>
          <w:rtl/>
        </w:rPr>
        <w:t>-</w:t>
      </w:r>
      <w:r w:rsidRPr="00463474">
        <w:rPr>
          <w:rStyle w:val="aff4"/>
          <w:rFonts w:hint="cs"/>
          <w:rtl/>
        </w:rPr>
        <w:t>ה</w:t>
      </w:r>
      <w:r w:rsidRPr="00BC2091">
        <w:rPr>
          <w:rStyle w:val="aff4"/>
          <w:rFonts w:hint="cs"/>
          <w:vanish/>
          <w:rtl/>
        </w:rPr>
        <w:t xml:space="preserve">&lt;, </w:t>
      </w:r>
      <w:r w:rsidRPr="00BC2091">
        <w:rPr>
          <w:rStyle w:val="aff4"/>
          <w:vanish/>
          <w:rtl/>
        </w:rPr>
        <w:fldChar w:fldCharType="begin"/>
      </w:r>
      <w:r w:rsidRPr="00BC2091">
        <w:rPr>
          <w:rStyle w:val="aff4"/>
          <w:vanish/>
          <w:rtl/>
        </w:rPr>
        <w:instrText xml:space="preserve"> </w:instrText>
      </w:r>
      <w:r w:rsidRPr="00BC2091">
        <w:rPr>
          <w:rStyle w:val="aff4"/>
          <w:rFonts w:hint="cs"/>
          <w:vanish/>
        </w:rPr>
        <w:instrText>REF</w:instrText>
      </w:r>
      <w:r w:rsidRPr="00BC2091">
        <w:rPr>
          <w:rStyle w:val="aff4"/>
          <w:rFonts w:hint="cs"/>
          <w:vanish/>
          <w:rtl/>
        </w:rPr>
        <w:instrText xml:space="preserve"> _</w:instrText>
      </w:r>
      <w:r w:rsidRPr="00BC2091">
        <w:rPr>
          <w:rStyle w:val="aff4"/>
          <w:rFonts w:hint="cs"/>
          <w:vanish/>
        </w:rPr>
        <w:instrText>Ref140351290 \r \h</w:instrText>
      </w:r>
      <w:r w:rsidRPr="00BC2091">
        <w:rPr>
          <w:rStyle w:val="aff4"/>
          <w:vanish/>
          <w:rtl/>
        </w:rPr>
        <w:instrText xml:space="preserve"> </w:instrText>
      </w:r>
      <w:r w:rsidRPr="00BC2091">
        <w:rPr>
          <w:rStyle w:val="aff4"/>
          <w:vanish/>
          <w:rtl/>
        </w:rPr>
      </w:r>
      <w:r w:rsidRPr="00BC2091">
        <w:rPr>
          <w:rStyle w:val="aff4"/>
          <w:vanish/>
          <w:rtl/>
        </w:rPr>
        <w:fldChar w:fldCharType="separate"/>
      </w:r>
      <w:r w:rsidR="00D82181">
        <w:rPr>
          <w:rStyle w:val="aff4"/>
          <w:vanish/>
          <w:cs/>
        </w:rPr>
        <w:t>‎</w:t>
      </w:r>
      <w:r w:rsidR="00D82181">
        <w:rPr>
          <w:rStyle w:val="aff4"/>
          <w:vanish/>
          <w:rtl/>
        </w:rPr>
        <w:t>מ)</w:t>
      </w:r>
      <w:r w:rsidRPr="00BC2091">
        <w:rPr>
          <w:rStyle w:val="aff4"/>
          <w:vanish/>
          <w:rtl/>
        </w:rPr>
        <w:fldChar w:fldCharType="end"/>
      </w:r>
      <w:r w:rsidRPr="00BC2091">
        <w:rPr>
          <w:rStyle w:val="aff4"/>
          <w:rFonts w:hint="cs"/>
          <w:vanish/>
          <w:rtl/>
        </w:rPr>
        <w:t xml:space="preserve"> &gt;</w:t>
      </w:r>
      <w:r w:rsidRPr="00463474">
        <w:rPr>
          <w:rStyle w:val="aff4"/>
          <w:rFonts w:hint="cs"/>
          <w:rtl/>
        </w:rPr>
        <w:t>רמב"ן</w:t>
      </w:r>
      <w:r w:rsidRPr="00BC2091">
        <w:rPr>
          <w:rStyle w:val="aff4"/>
          <w:rFonts w:hint="cs"/>
          <w:vanish/>
          <w:rtl/>
        </w:rPr>
        <w:t>-</w:t>
      </w:r>
      <w:r>
        <w:rPr>
          <w:rFonts w:hint="cs"/>
          <w:rtl/>
        </w:rPr>
        <w:t xml:space="preserve"> </w:t>
      </w:r>
      <w:r w:rsidRPr="00900CB4">
        <w:rPr>
          <w:rStyle w:val="af2"/>
          <w:rFonts w:eastAsia="Guttman Hodes" w:hint="cs"/>
          <w:rtl/>
        </w:rPr>
        <w:t>(קו. ד"ה ואשוב)</w:t>
      </w:r>
      <w:r w:rsidRPr="00BC2091">
        <w:rPr>
          <w:rFonts w:hint="cs"/>
          <w:vanish/>
          <w:rtl/>
        </w:rPr>
        <w:t>=</w:t>
      </w:r>
      <w:r>
        <w:rPr>
          <w:rFonts w:hint="cs"/>
          <w:rtl/>
        </w:rPr>
        <w:t xml:space="preserve"> דס"ל דמהא דהתירה תורה מילה בשבת מוכח דמקלקל בחבורה חייב, דאף דהמילה היא קלקול בגוף הנימול, דהתיקון אצל אחרים דעושה נחת רוח ליוצרו וכך הדרך לעשות, מ"מ אינו תיקון בגופו ממש, ככל מלאכה שצריך תיקון בגופה.</w:t>
      </w:r>
    </w:p>
    <w:p w14:paraId="07F24909" w14:textId="77777777" w:rsidR="00274E65" w:rsidRPr="00747170" w:rsidRDefault="00274E65" w:rsidP="00747170">
      <w:pPr>
        <w:pStyle w:val="a2"/>
      </w:pPr>
      <w:r w:rsidRPr="00747170">
        <w:rPr>
          <w:rtl/>
        </w:rPr>
        <w:t>משום הכי סבר ר' אבהו למימר הרי למדנו לר"ש דמילה קלקול הוא לגופו של נימול ותיקון הוא ודאי אצל אחרים שעושה נחת רוח ליוצרו ודרכן של בני אדם לעשות כן, אלא כיון שאין התיקון ממש בגופו כתיקון שהוא חוץ מגופה של מלאכה מתחשב ונמצינו מחייבין קלקול בחבורה לר"ש</w:t>
      </w:r>
      <w:r w:rsidRPr="00747170">
        <w:rPr>
          <w:rFonts w:hint="cs"/>
          <w:rtl/>
        </w:rPr>
        <w:t>.</w:t>
      </w:r>
    </w:p>
    <w:p w14:paraId="74E884EE" w14:textId="77777777" w:rsidR="00274E65" w:rsidRPr="00D719A9" w:rsidRDefault="00274E65" w:rsidP="00274E65">
      <w:pPr>
        <w:pStyle w:val="a7"/>
        <w:rPr>
          <w:rtl/>
        </w:rPr>
      </w:pPr>
      <w:bookmarkStart w:id="4269" w:name="_Toc140743990"/>
      <w:r>
        <w:rPr>
          <w:rFonts w:hint="cs"/>
          <w:rtl/>
        </w:rPr>
        <w:t>הבי' הא' ברמב"ן דלר' אבהו בחובל ומבעיר אין דין מלאכת מחשבת וחייב במקלקל ומשאצל"ג</w:t>
      </w:r>
      <w:bookmarkEnd w:id="4269"/>
    </w:p>
    <w:p w14:paraId="1740942D" w14:textId="77777777" w:rsidR="00274E65" w:rsidRDefault="00274E65" w:rsidP="00BC7DC8">
      <w:pPr>
        <w:pStyle w:val="a3"/>
        <w:rPr>
          <w:rtl/>
        </w:rPr>
      </w:pPr>
      <w:r>
        <w:rPr>
          <w:rFonts w:hint="cs"/>
          <w:rtl/>
        </w:rPr>
        <w:t xml:space="preserve">וכתב </w:t>
      </w:r>
      <w:r w:rsidRPr="00BC2091">
        <w:rPr>
          <w:rStyle w:val="aff4"/>
          <w:rFonts w:hint="cs"/>
          <w:vanish/>
          <w:rtl/>
        </w:rPr>
        <w:t>-</w:t>
      </w:r>
      <w:r w:rsidRPr="00463474">
        <w:rPr>
          <w:rStyle w:val="aff4"/>
          <w:rFonts w:hint="cs"/>
          <w:rtl/>
        </w:rPr>
        <w:t>הרמב"ן</w:t>
      </w:r>
      <w:r w:rsidRPr="00BC2091">
        <w:rPr>
          <w:rStyle w:val="aff4"/>
          <w:rFonts w:hint="cs"/>
          <w:vanish/>
          <w:rtl/>
        </w:rPr>
        <w:t>-</w:t>
      </w:r>
      <w:r>
        <w:rPr>
          <w:rFonts w:hint="cs"/>
          <w:rtl/>
        </w:rPr>
        <w:t xml:space="preserve"> דהא דר"ש דפוטר במלאכה שאינה צריכה לגופה, מדין מלאכת מחשבת, וכן הפטור במקלקל, הוא מדין מלאכת מחשבת כדמוכח בגמ' בחגיגה </w:t>
      </w:r>
      <w:r w:rsidRPr="00900CB4">
        <w:rPr>
          <w:rStyle w:val="af2"/>
          <w:rFonts w:eastAsia="Guttman Hodes" w:hint="cs"/>
          <w:rtl/>
        </w:rPr>
        <w:t>(י.)</w:t>
      </w:r>
      <w:r>
        <w:rPr>
          <w:rFonts w:hint="cs"/>
          <w:rtl/>
        </w:rPr>
        <w:t>, ומזה למד רבי אבהו דמהא דמקלקל בחבורה חייב, דלר"ש אין בחובל ומבעיר דין מלאכת מחשבת, וא"כ ר"ש מחייב במקלקל בחבורה</w:t>
      </w:r>
      <w:bookmarkEnd w:id="4268"/>
      <w:r>
        <w:rPr>
          <w:rFonts w:hint="cs"/>
          <w:rtl/>
        </w:rPr>
        <w:t xml:space="preserve"> אף במלאכה שאינה צריכה לגופה, וא"כ החיוב הוא אף בקלקול גמור שאין לו שום תיקון וכוונה במלאכה, וכן מחייב ר"ש בנוטל קוץ ועי"ז נעשית חבלה, </w:t>
      </w:r>
      <w:r w:rsidRPr="00900CB4">
        <w:rPr>
          <w:rStyle w:val="af"/>
          <w:rFonts w:hint="cs"/>
          <w:rtl/>
        </w:rPr>
        <w:t>[באינו מתכוון לכך]</w:t>
      </w:r>
      <w:r w:rsidRPr="00BC2091">
        <w:rPr>
          <w:rStyle w:val="af"/>
          <w:rFonts w:hint="cs"/>
          <w:rtl/>
        </w:rPr>
        <w:t>,</w:t>
      </w:r>
      <w:r>
        <w:rPr>
          <w:rFonts w:hint="cs"/>
          <w:rtl/>
        </w:rPr>
        <w:t xml:space="preserve"> כיון דבחובל א"צ מלאכת מחשבת.</w:t>
      </w:r>
    </w:p>
    <w:p w14:paraId="2381439D" w14:textId="77777777" w:rsidR="00274E65" w:rsidRPr="00747170" w:rsidRDefault="00274E65" w:rsidP="00747170">
      <w:pPr>
        <w:pStyle w:val="a2"/>
      </w:pPr>
      <w:r w:rsidRPr="00747170">
        <w:rPr>
          <w:rtl/>
        </w:rPr>
        <w:t xml:space="preserve">ואשוב לדברי לפרש טעמייהו דרבי אבהו ורבי יוחנן, הוי יודע דטעמא דר"ש דפטר מלאכה שא"צ לגופה משום מלאכת מחשבת, וטעמא דכל המקלקלין פטורין נמי משום דבעי' מלאכת מחשבת כדמוכח בסוף פרק קמא דחגיגה (י' א'), </w:t>
      </w:r>
      <w:r w:rsidRPr="00747170">
        <w:rPr>
          <w:rStyle w:val="afff7"/>
          <w:rtl/>
        </w:rPr>
        <w:t>משום הכי סבר ר' אבהו למימר הרי למדנו לר"ש דמילה קלקול הוא לגופו של נימול ותיקון הוא ודאי אצל אחרים שעושה נחת רוח ליוצרו ודרכן של בני אדם לעשות כן, אלא כיון שאין התיקון ממש בגופו כתיקון שהוא חוץ מגופה של מלאכה מתחשב ונמצינו מחייבין קלקול בחבורה לר"ש,</w:t>
      </w:r>
      <w:r w:rsidRPr="00747170">
        <w:rPr>
          <w:rtl/>
        </w:rPr>
        <w:t xml:space="preserve"> הלכך אפי' בשא"צ לגופה נמי מיחייב דהיינו מקלקל גמור בלא שום תיקון וכוונה, אי נמי נוטל את הקוץ וחבל, דהא גלי רחמנא דלא בעי' בהא מלאכת מחשבת, וה"נ אמרי' בכה"ג במס' כריתות הנח לחבורה הואיל ומקלקל חייב מתעסק נמי חייב, כלומר דלא קפדי' בחבורה במלאכת מחשבת דמתעסק משום מלאכת מחשבת הוא פטור</w:t>
      </w:r>
      <w:r w:rsidRPr="00747170">
        <w:rPr>
          <w:rFonts w:hint="cs"/>
          <w:rtl/>
        </w:rPr>
        <w:t>.</w:t>
      </w:r>
    </w:p>
    <w:p w14:paraId="310B9988" w14:textId="77777777" w:rsidR="00274E65" w:rsidRPr="007660BC" w:rsidRDefault="00274E65" w:rsidP="00274E65">
      <w:pPr>
        <w:pStyle w:val="afffffb"/>
        <w:rPr>
          <w:vanish/>
          <w:rtl/>
        </w:rPr>
      </w:pPr>
      <w:r w:rsidRPr="007660BC">
        <w:rPr>
          <w:vanish/>
          <w:rtl/>
        </w:rPr>
        <w:t>חדושי הר"ן שבת ק"ו ע"א</w:t>
      </w:r>
      <w:r w:rsidRPr="007660BC">
        <w:rPr>
          <w:rFonts w:hint="cs"/>
          <w:vanish/>
          <w:rtl/>
        </w:rPr>
        <w:t xml:space="preserve"> ד</w:t>
      </w:r>
      <w:r w:rsidRPr="007660BC">
        <w:rPr>
          <w:vanish/>
          <w:rtl/>
        </w:rPr>
        <w:t>"</w:t>
      </w:r>
      <w:r w:rsidRPr="007660BC">
        <w:rPr>
          <w:rFonts w:hint="cs"/>
          <w:vanish/>
          <w:rtl/>
        </w:rPr>
        <w:t>ה לפיכך פי</w:t>
      </w:r>
      <w:r w:rsidRPr="007660BC">
        <w:rPr>
          <w:vanish/>
          <w:rtl/>
        </w:rPr>
        <w:t>'</w:t>
      </w:r>
      <w:r w:rsidRPr="007660BC">
        <w:rPr>
          <w:rFonts w:hint="cs"/>
          <w:vanish/>
          <w:rtl/>
        </w:rPr>
        <w:t xml:space="preserve"> הרמב</w:t>
      </w:r>
      <w:r w:rsidRPr="007660BC">
        <w:rPr>
          <w:vanish/>
          <w:rtl/>
        </w:rPr>
        <w:t>"</w:t>
      </w:r>
      <w:r w:rsidRPr="007660BC">
        <w:rPr>
          <w:rFonts w:hint="cs"/>
          <w:vanish/>
          <w:rtl/>
        </w:rPr>
        <w:t>ן</w:t>
      </w:r>
    </w:p>
    <w:p w14:paraId="250DB26D" w14:textId="77777777" w:rsidR="00274E65" w:rsidRPr="00FD086D" w:rsidRDefault="00274E65" w:rsidP="00274E65">
      <w:pPr>
        <w:pStyle w:val="a7"/>
        <w:rPr>
          <w:rtl/>
        </w:rPr>
      </w:pPr>
      <w:bookmarkStart w:id="4270" w:name="_Toc140743991"/>
      <w:r>
        <w:rPr>
          <w:rFonts w:hint="cs"/>
          <w:rtl/>
        </w:rPr>
        <w:t>בי' הר"ן ברמב"ן דלר' אבהו ממקלקל בחבורה ילפי' דא"צ מלאכת מחשבת ולכן משאצל"ג חייב</w:t>
      </w:r>
      <w:bookmarkEnd w:id="4270"/>
    </w:p>
    <w:p w14:paraId="1982C608" w14:textId="77777777" w:rsidR="00274E65" w:rsidRDefault="00274E65" w:rsidP="00BC7DC8">
      <w:pPr>
        <w:pStyle w:val="a3"/>
      </w:pPr>
      <w:r w:rsidRPr="00367380">
        <w:rPr>
          <w:rFonts w:hint="cs"/>
          <w:rtl/>
        </w:rPr>
        <w:t>והוסיף</w:t>
      </w:r>
      <w:r w:rsidRPr="00FD086D">
        <w:rPr>
          <w:rFonts w:hint="cs"/>
          <w:rtl/>
        </w:rPr>
        <w:t xml:space="preserve"> </w:t>
      </w:r>
      <w:r w:rsidRPr="00944285">
        <w:rPr>
          <w:rStyle w:val="aff4"/>
          <w:rFonts w:hint="cs"/>
          <w:vanish/>
          <w:rtl/>
        </w:rPr>
        <w:t>-</w:t>
      </w:r>
      <w:r w:rsidRPr="0012119D">
        <w:rPr>
          <w:rStyle w:val="aff4"/>
          <w:rFonts w:hint="cs"/>
          <w:rtl/>
        </w:rPr>
        <w:t>הר"ן</w:t>
      </w:r>
      <w:r w:rsidRPr="00FE7099">
        <w:rPr>
          <w:rStyle w:val="aff4"/>
          <w:rFonts w:hint="cs"/>
          <w:vanish/>
          <w:rtl/>
        </w:rPr>
        <w:t>-</w:t>
      </w:r>
      <w:r w:rsidRPr="00FD086D">
        <w:rPr>
          <w:rFonts w:hint="cs"/>
          <w:rtl/>
        </w:rPr>
        <w:t xml:space="preserve"> </w:t>
      </w:r>
      <w:r>
        <w:rPr>
          <w:rFonts w:hint="cs"/>
          <w:rtl/>
        </w:rPr>
        <w:t>לבאר בשם</w:t>
      </w:r>
      <w:r w:rsidRPr="00FD086D">
        <w:rPr>
          <w:rFonts w:hint="cs"/>
          <w:rtl/>
        </w:rPr>
        <w:t xml:space="preserve"> </w:t>
      </w:r>
      <w:r w:rsidRPr="00944285">
        <w:rPr>
          <w:rStyle w:val="aff4"/>
          <w:rFonts w:hint="cs"/>
          <w:vanish/>
          <w:rtl/>
        </w:rPr>
        <w:t>-</w:t>
      </w:r>
      <w:r w:rsidRPr="0012119D">
        <w:rPr>
          <w:rStyle w:val="aff4"/>
          <w:rFonts w:hint="cs"/>
          <w:rtl/>
        </w:rPr>
        <w:t>הרמב"ן</w:t>
      </w:r>
      <w:r w:rsidRPr="00FE7099">
        <w:rPr>
          <w:rStyle w:val="aff4"/>
          <w:rFonts w:hint="cs"/>
          <w:vanish/>
          <w:rtl/>
        </w:rPr>
        <w:t>-</w:t>
      </w:r>
      <w:r w:rsidRPr="00FD086D">
        <w:rPr>
          <w:rFonts w:hint="cs"/>
          <w:rtl/>
        </w:rPr>
        <w:t xml:space="preserve"> </w:t>
      </w:r>
      <w:r>
        <w:rPr>
          <w:rFonts w:hint="cs"/>
          <w:rtl/>
        </w:rPr>
        <w:t>דרבי אבהו ס"ל דאחר דילפינן ממילה דמקלקל גמור בחבורה חייב, א"כ כיון דלר"ש הפטור במלאכה שאינה צריכה לגופה הוא כדילפינן ממלאכת מחשבת, מבואר דבחבורה א"צ מלאכת מחשבת, וממילא מוכח דר"ש מחייב במלקל בחבורה, אף כשאין לו כוונה לשום דבר,</w:t>
      </w:r>
      <w:r w:rsidRPr="00376983">
        <w:rPr>
          <w:rFonts w:hint="cs"/>
          <w:rtl/>
        </w:rPr>
        <w:t xml:space="preserve"> </w:t>
      </w:r>
      <w:r>
        <w:rPr>
          <w:rFonts w:hint="cs"/>
          <w:rtl/>
        </w:rPr>
        <w:t xml:space="preserve">דהיא מלאכה שאינה צריכה לגופה. </w:t>
      </w:r>
    </w:p>
    <w:p w14:paraId="48F3F0DB" w14:textId="77777777" w:rsidR="00274E65" w:rsidRPr="00747170" w:rsidRDefault="00274E65" w:rsidP="00747170">
      <w:pPr>
        <w:pStyle w:val="a2"/>
        <w:rPr>
          <w:rtl/>
        </w:rPr>
      </w:pPr>
      <w:r w:rsidRPr="00747170">
        <w:rPr>
          <w:rtl/>
        </w:rPr>
        <w:t>ורבי אבהו ורבי יוחנן בהא פליגי רבי אבהו אליבא דר"ש סבר דכיון דאצטריך רחמנא למשרי מילה ש"מ דמקלקל גמור אף על פי שאינו צריך לשום דבר והוי ליה מלאכה שא"צ לגופה מחייב לר"ש דנהי דמילה מלאכה הצריכה לגופה הוא ס"ל לרבי אבהו אליבא דר"ש דילפינן מינה אף למקלקל גמור שאינו צריך לגופה של מלאכה כלל משום דמאי דפטרינן במלאכה שאינה צריכה לגופה ומאי דפטרינן במקלקל תרווייהו נפקי לה משום דבעינן מלאכת מחשבת וכיון דחזינן מקלקל בחבור' חייב במלאכה הצריכה לגופה מדאצטריך רחמנא למשרי מילה ש"מ דבחבורה אף על גב דליכא מלאכת מחשבת מחייב הילכך אפי' במקלקל גמור שאינו מתכוין לשום דבר דהוה ליה מלאכה שא"צ לגופ' ס"ל לרבי אבהו דמחייב רבי שמעון</w:t>
      </w:r>
      <w:r w:rsidRPr="00747170">
        <w:rPr>
          <w:rFonts w:hint="cs"/>
          <w:rtl/>
        </w:rPr>
        <w:t>.</w:t>
      </w:r>
    </w:p>
    <w:p w14:paraId="516BD421" w14:textId="77777777" w:rsidR="00274E65" w:rsidRPr="007660BC" w:rsidRDefault="00274E65" w:rsidP="00274E65">
      <w:pPr>
        <w:pStyle w:val="afffffb"/>
        <w:rPr>
          <w:vanish/>
          <w:rtl/>
        </w:rPr>
      </w:pPr>
      <w:r w:rsidRPr="007660BC">
        <w:rPr>
          <w:vanish/>
          <w:rtl/>
        </w:rPr>
        <w:t>חדושי הרמב"ן שבת ק"ו ע"א</w:t>
      </w:r>
      <w:r w:rsidRPr="007660BC">
        <w:rPr>
          <w:rFonts w:hint="cs"/>
          <w:vanish/>
          <w:rtl/>
        </w:rPr>
        <w:t xml:space="preserve"> ד"ה ואשוב</w:t>
      </w:r>
    </w:p>
    <w:p w14:paraId="30B5D646" w14:textId="77777777" w:rsidR="00274E65" w:rsidRDefault="00274E65" w:rsidP="00274E65">
      <w:pPr>
        <w:pStyle w:val="a7"/>
      </w:pPr>
      <w:bookmarkStart w:id="4271" w:name="_Toc140743992"/>
      <w:r>
        <w:rPr>
          <w:rFonts w:hint="cs"/>
          <w:rtl/>
        </w:rPr>
        <w:t>בי' הרמב"ן בריו"ח דמילה אין כוונה לנזק וצל"ג ומלאכת מחשבת וכן בת כהן צריך אש לשריפה</w:t>
      </w:r>
      <w:bookmarkEnd w:id="4271"/>
      <w:r>
        <w:rPr>
          <w:rFonts w:hint="cs"/>
          <w:rtl/>
        </w:rPr>
        <w:t xml:space="preserve"> </w:t>
      </w:r>
    </w:p>
    <w:p w14:paraId="4AE9FE91" w14:textId="77777777" w:rsidR="00274E65" w:rsidRDefault="00274E65" w:rsidP="00BC7DC8">
      <w:pPr>
        <w:pStyle w:val="a3"/>
      </w:pPr>
      <w:r>
        <w:rPr>
          <w:rFonts w:hint="cs"/>
          <w:rtl/>
        </w:rPr>
        <w:t xml:space="preserve">ובדעת ריו"ח, ביאר </w:t>
      </w:r>
      <w:r w:rsidRPr="00BC2091">
        <w:rPr>
          <w:rStyle w:val="aff4"/>
          <w:rFonts w:hint="cs"/>
          <w:vanish/>
          <w:rtl/>
        </w:rPr>
        <w:t>-</w:t>
      </w:r>
      <w:r w:rsidRPr="00463474">
        <w:rPr>
          <w:rStyle w:val="aff4"/>
          <w:rFonts w:hint="cs"/>
          <w:rtl/>
        </w:rPr>
        <w:t>הרמב"ן</w:t>
      </w:r>
      <w:r w:rsidRPr="00BC2091">
        <w:rPr>
          <w:rStyle w:val="aff4"/>
          <w:rFonts w:hint="cs"/>
          <w:vanish/>
          <w:rtl/>
        </w:rPr>
        <w:t>-</w:t>
      </w:r>
      <w:r>
        <w:rPr>
          <w:rFonts w:hint="cs"/>
          <w:rtl/>
        </w:rPr>
        <w:t xml:space="preserve"> דמילה והבערת בת כהן הם מלאכה שצריכה לגופה, דדעתו שגוף התינוק יהיה מהול, ורוצה להשתמש באש לשריפה, והם בכלל מלאכת מחשבת, ואין בהם כל כוונה לעשות נזק.</w:t>
      </w:r>
    </w:p>
    <w:p w14:paraId="0DD7D0ED" w14:textId="77777777" w:rsidR="00274E65" w:rsidRPr="00747170" w:rsidRDefault="00274E65" w:rsidP="00747170">
      <w:pPr>
        <w:pStyle w:val="a2"/>
        <w:rPr>
          <w:rtl/>
        </w:rPr>
      </w:pPr>
      <w:r w:rsidRPr="00747170">
        <w:rPr>
          <w:rtl/>
        </w:rPr>
        <w:t>ור' יוחנן סבר מילה והבערה דבת כהן תרווייהו מלאכה הצריכה לגופה נינהו שהרי דעתו שיהא גופו נימול ודעתו להשתמש באש הזה שהדליק ומלאכת מחשבת קרינן בהו ואין דעתו להזיק</w:t>
      </w:r>
      <w:r w:rsidRPr="00747170">
        <w:rPr>
          <w:rFonts w:hint="cs"/>
          <w:rtl/>
        </w:rPr>
        <w:t>.</w:t>
      </w:r>
    </w:p>
    <w:p w14:paraId="1E791551" w14:textId="77777777" w:rsidR="00FF4D6E" w:rsidRDefault="00FF4D6E" w:rsidP="00274E65">
      <w:pPr>
        <w:pStyle w:val="a7"/>
        <w:rPr>
          <w:rtl/>
        </w:rPr>
      </w:pPr>
      <w:bookmarkStart w:id="4272" w:name="_Toc140743993"/>
    </w:p>
    <w:p w14:paraId="2182B3F6" w14:textId="77777777" w:rsidR="00FF4D6E" w:rsidRDefault="00FF4D6E" w:rsidP="00274E65">
      <w:pPr>
        <w:pStyle w:val="a7"/>
        <w:rPr>
          <w:rtl/>
        </w:rPr>
      </w:pPr>
    </w:p>
    <w:p w14:paraId="2B76DC2E" w14:textId="26338504" w:rsidR="00274E65" w:rsidRPr="00213A64" w:rsidRDefault="00274E65" w:rsidP="00274E65">
      <w:pPr>
        <w:pStyle w:val="a7"/>
      </w:pPr>
      <w:r>
        <w:rPr>
          <w:rFonts w:hint="cs"/>
          <w:rtl/>
        </w:rPr>
        <w:lastRenderedPageBreak/>
        <w:t>בי' הרמב"ן דלריו"ח אף דחובל ומבעיר א"צ תיקון במלאכה מ"מ רק צל"ג חייב ולא מקלקל גמור</w:t>
      </w:r>
      <w:bookmarkEnd w:id="4272"/>
    </w:p>
    <w:p w14:paraId="09E9A083" w14:textId="77777777" w:rsidR="00274E65" w:rsidRDefault="00274E65" w:rsidP="00BC7DC8">
      <w:pPr>
        <w:pStyle w:val="a3"/>
        <w:rPr>
          <w:rtl/>
        </w:rPr>
      </w:pPr>
      <w:r>
        <w:rPr>
          <w:rFonts w:hint="cs"/>
          <w:rtl/>
        </w:rPr>
        <w:t xml:space="preserve">וכתב </w:t>
      </w:r>
      <w:r w:rsidRPr="00BC2091">
        <w:rPr>
          <w:rStyle w:val="aff4"/>
          <w:rFonts w:hint="cs"/>
          <w:vanish/>
          <w:rtl/>
        </w:rPr>
        <w:t>-</w:t>
      </w:r>
      <w:r w:rsidRPr="00463474">
        <w:rPr>
          <w:rStyle w:val="aff4"/>
          <w:rFonts w:hint="cs"/>
          <w:rtl/>
        </w:rPr>
        <w:t>הרמב"ן</w:t>
      </w:r>
      <w:r w:rsidRPr="00BC2091">
        <w:rPr>
          <w:rStyle w:val="aff4"/>
          <w:rFonts w:hint="cs"/>
          <w:vanish/>
          <w:rtl/>
        </w:rPr>
        <w:t>-</w:t>
      </w:r>
      <w:r>
        <w:rPr>
          <w:rFonts w:hint="cs"/>
          <w:rtl/>
        </w:rPr>
        <w:t xml:space="preserve"> דלכן ס"ל לריו"ח דאין בהם אלא חידושן, ולכן אף שא"צ תיקון במלאכה, מ"מ החיוב הוא רק במלאכה שצריכה לגופה, ולכן החובל והמבעיר ע"מ להזיק כמדליק גדיש בשבת שאין לו בגוף המלאכה שום תשמיש הוא פטור, והא</w:t>
      </w:r>
      <w:r w:rsidRPr="003B63CB">
        <w:rPr>
          <w:rFonts w:hint="cs"/>
          <w:rtl/>
        </w:rPr>
        <w:t xml:space="preserve"> דמוכח בגמ' בסנהדרין </w:t>
      </w:r>
      <w:r w:rsidRPr="00900CB4">
        <w:rPr>
          <w:rStyle w:val="af2"/>
          <w:rFonts w:eastAsia="Guttman Hodes" w:hint="cs"/>
          <w:rtl/>
        </w:rPr>
        <w:t>(פד:)</w:t>
      </w:r>
      <w:r w:rsidRPr="003B63CB">
        <w:rPr>
          <w:rFonts w:hint="cs"/>
          <w:rtl/>
        </w:rPr>
        <w:t xml:space="preserve"> ובכתובות </w:t>
      </w:r>
      <w:r w:rsidRPr="00900CB4">
        <w:rPr>
          <w:rStyle w:val="af2"/>
          <w:rFonts w:eastAsia="Guttman Hodes" w:hint="cs"/>
          <w:rtl/>
        </w:rPr>
        <w:t>(כ:)</w:t>
      </w:r>
      <w:r w:rsidRPr="003B63CB">
        <w:rPr>
          <w:rFonts w:hint="cs"/>
          <w:rtl/>
        </w:rPr>
        <w:t xml:space="preserve"> דאף בחובל ומבעיר ס"ל לר"ש דחייב רק במלאכה שצריכה לגופ</w:t>
      </w:r>
      <w:r>
        <w:rPr>
          <w:rFonts w:hint="cs"/>
          <w:rtl/>
        </w:rPr>
        <w:t>ה, הוא כדעת רבי אבהו ודלא כריו"ח.</w:t>
      </w:r>
    </w:p>
    <w:p w14:paraId="62BF8639" w14:textId="77777777" w:rsidR="00274E65" w:rsidRPr="00747170" w:rsidRDefault="00274E65" w:rsidP="00747170">
      <w:pPr>
        <w:pStyle w:val="a2"/>
        <w:rPr>
          <w:rtl/>
        </w:rPr>
      </w:pPr>
      <w:r w:rsidRPr="00747170">
        <w:rPr>
          <w:rtl/>
        </w:rPr>
        <w:t>ואין לך בהן אלא חידושן בלבד, תיקון לא בעי' בהו כלל אבל מלאכה הצריכה לגופה בעי', הילכך שאר חובלין ומבעירין להזיק כגון שהדליק גדיש בשבת שאין לו בגופה של מלאכה שום תשמיש פטור. והא דאמרי' בפ' כל כתבי ובפ' אלו הן הנחנקין דמלאכה הצריכה לגופה בעי' כדכתבינן לעיל כולהו אליבא דר' יוחנן אתיא, דלר' אבהו לא בעי' מלאכה הצריכה לגופה.</w:t>
      </w:r>
    </w:p>
    <w:p w14:paraId="688D213B" w14:textId="77777777" w:rsidR="00274E65" w:rsidRPr="00AA4E6C" w:rsidRDefault="00274E65" w:rsidP="00274E65">
      <w:pPr>
        <w:pStyle w:val="1"/>
        <w:rPr>
          <w:rtl/>
        </w:rPr>
      </w:pPr>
      <w:bookmarkStart w:id="4273" w:name="_Toc140743994"/>
      <w:r>
        <w:rPr>
          <w:rFonts w:hint="cs"/>
          <w:rtl/>
        </w:rPr>
        <w:t>הבי' הב' ברמב"ן דנח' בגדר צל"ג במקלקל כשיש לו כוונה בזה</w:t>
      </w:r>
      <w:bookmarkEnd w:id="4273"/>
    </w:p>
    <w:p w14:paraId="0940BD30" w14:textId="77777777" w:rsidR="00274E65" w:rsidRDefault="00274E65" w:rsidP="00274E65">
      <w:pPr>
        <w:pStyle w:val="afffff7"/>
        <w:rPr>
          <w:rtl/>
        </w:rPr>
      </w:pPr>
      <w:bookmarkStart w:id="4274" w:name="_Toc140744089"/>
      <w:bookmarkStart w:id="4275" w:name="_Toc163506037"/>
      <w:r w:rsidRPr="00D71835">
        <w:rPr>
          <w:rtl/>
        </w:rPr>
        <w:t>חדושי הרמב"ן שבת ק"ו ע"א</w:t>
      </w:r>
      <w:r w:rsidRPr="00D71835">
        <w:rPr>
          <w:rFonts w:hint="cs"/>
          <w:rtl/>
        </w:rPr>
        <w:t xml:space="preserve"> ד"ה </w:t>
      </w:r>
      <w:r>
        <w:rPr>
          <w:rFonts w:hint="cs"/>
          <w:rtl/>
        </w:rPr>
        <w:t>ועוד נ</w:t>
      </w:r>
      <w:r>
        <w:rPr>
          <w:rFonts w:cs="Guttman Hodes" w:hint="cs"/>
          <w:rtl/>
        </w:rPr>
        <w:t>"</w:t>
      </w:r>
      <w:r>
        <w:rPr>
          <w:rFonts w:hint="cs"/>
          <w:rtl/>
        </w:rPr>
        <w:t>ל</w:t>
      </w:r>
      <w:bookmarkEnd w:id="4274"/>
      <w:bookmarkEnd w:id="4275"/>
    </w:p>
    <w:p w14:paraId="13A68B5E" w14:textId="77777777" w:rsidR="00274E65" w:rsidRDefault="00274E65" w:rsidP="00274E65">
      <w:pPr>
        <w:pStyle w:val="a7"/>
        <w:rPr>
          <w:rtl/>
        </w:rPr>
      </w:pPr>
      <w:bookmarkStart w:id="4276" w:name="_Toc140743995"/>
      <w:r>
        <w:rPr>
          <w:rFonts w:hint="cs"/>
          <w:rtl/>
        </w:rPr>
        <w:t>הבי' הב' ברמב"ן דאף לר' אבהו חובל חייב רק בצל"ג כמילה והנוטל קוץ וחבל פטור דמשאצל"ג</w:t>
      </w:r>
      <w:bookmarkEnd w:id="4276"/>
    </w:p>
    <w:p w14:paraId="773D6013" w14:textId="7B670E9C" w:rsidR="00274E65" w:rsidRDefault="00274E65" w:rsidP="00BC7DC8">
      <w:pPr>
        <w:pStyle w:val="a3"/>
        <w:rPr>
          <w:rtl/>
        </w:rPr>
      </w:pPr>
      <w:bookmarkStart w:id="4277" w:name="_Ref140352731"/>
      <w:r>
        <w:rPr>
          <w:rFonts w:hint="cs"/>
          <w:rtl/>
        </w:rPr>
        <w:t xml:space="preserve">ועוד ביאר </w:t>
      </w:r>
      <w:r w:rsidRPr="00237D01">
        <w:rPr>
          <w:rStyle w:val="aff4"/>
          <w:rFonts w:hint="cs"/>
          <w:vanish/>
          <w:rtl/>
        </w:rPr>
        <w:t>-</w:t>
      </w:r>
      <w:r w:rsidRPr="00237D01">
        <w:rPr>
          <w:rStyle w:val="aff4"/>
          <w:rFonts w:hint="cs"/>
          <w:rtl/>
        </w:rPr>
        <w:t>ה</w:t>
      </w:r>
      <w:r w:rsidRPr="00237D01">
        <w:rPr>
          <w:rStyle w:val="aff4"/>
          <w:rFonts w:hint="cs"/>
          <w:vanish/>
          <w:rtl/>
        </w:rPr>
        <w:t xml:space="preserve">&lt;, </w:t>
      </w:r>
      <w:r w:rsidRPr="00237D01">
        <w:rPr>
          <w:rStyle w:val="aff4"/>
          <w:vanish/>
          <w:rtl/>
        </w:rPr>
        <w:fldChar w:fldCharType="begin"/>
      </w:r>
      <w:r w:rsidRPr="00237D01">
        <w:rPr>
          <w:rStyle w:val="aff4"/>
          <w:vanish/>
          <w:rtl/>
        </w:rPr>
        <w:instrText xml:space="preserve"> </w:instrText>
      </w:r>
      <w:r w:rsidRPr="00237D01">
        <w:rPr>
          <w:rStyle w:val="aff4"/>
          <w:rFonts w:hint="cs"/>
          <w:vanish/>
        </w:rPr>
        <w:instrText>REF</w:instrText>
      </w:r>
      <w:r w:rsidRPr="00237D01">
        <w:rPr>
          <w:rStyle w:val="aff4"/>
          <w:rFonts w:hint="cs"/>
          <w:vanish/>
          <w:rtl/>
        </w:rPr>
        <w:instrText xml:space="preserve"> _</w:instrText>
      </w:r>
      <w:r w:rsidRPr="00237D01">
        <w:rPr>
          <w:rStyle w:val="aff4"/>
          <w:rFonts w:hint="cs"/>
          <w:vanish/>
        </w:rPr>
        <w:instrText>Ref140352731 \r \h</w:instrText>
      </w:r>
      <w:r w:rsidRPr="00237D01">
        <w:rPr>
          <w:rStyle w:val="aff4"/>
          <w:vanish/>
          <w:rtl/>
        </w:rPr>
        <w:instrText xml:space="preserve"> </w:instrText>
      </w:r>
      <w:r w:rsidRPr="00237D01">
        <w:rPr>
          <w:rStyle w:val="aff4"/>
          <w:vanish/>
          <w:rtl/>
        </w:rPr>
      </w:r>
      <w:r w:rsidRPr="00237D01">
        <w:rPr>
          <w:rStyle w:val="aff4"/>
          <w:vanish/>
          <w:rtl/>
        </w:rPr>
        <w:fldChar w:fldCharType="separate"/>
      </w:r>
      <w:r w:rsidR="00D82181">
        <w:rPr>
          <w:rStyle w:val="aff4"/>
          <w:vanish/>
          <w:cs/>
        </w:rPr>
        <w:t>‎</w:t>
      </w:r>
      <w:r w:rsidR="00D82181">
        <w:rPr>
          <w:rStyle w:val="aff4"/>
          <w:vanish/>
          <w:rtl/>
        </w:rPr>
        <w:t>מה)</w:t>
      </w:r>
      <w:r w:rsidRPr="00237D01">
        <w:rPr>
          <w:rStyle w:val="aff4"/>
          <w:vanish/>
          <w:rtl/>
        </w:rPr>
        <w:fldChar w:fldCharType="end"/>
      </w:r>
      <w:r w:rsidRPr="00237D01">
        <w:rPr>
          <w:rStyle w:val="aff4"/>
          <w:rFonts w:hint="cs"/>
          <w:vanish/>
          <w:rtl/>
        </w:rPr>
        <w:t xml:space="preserve"> &gt;</w:t>
      </w:r>
      <w:r w:rsidRPr="00237D01">
        <w:rPr>
          <w:rStyle w:val="aff4"/>
          <w:rFonts w:hint="cs"/>
          <w:rtl/>
        </w:rPr>
        <w:t>רמב"ן בבי' הב'</w:t>
      </w:r>
      <w:r w:rsidRPr="00237D01">
        <w:rPr>
          <w:rStyle w:val="aff4"/>
          <w:rFonts w:hint="cs"/>
          <w:vanish/>
          <w:rtl/>
        </w:rPr>
        <w:t>-</w:t>
      </w:r>
      <w:r>
        <w:rPr>
          <w:rFonts w:hint="cs"/>
          <w:rtl/>
        </w:rPr>
        <w:t xml:space="preserve"> </w:t>
      </w:r>
      <w:r w:rsidRPr="00900CB4">
        <w:rPr>
          <w:rStyle w:val="af2"/>
          <w:rFonts w:eastAsia="Guttman Hodes" w:hint="cs"/>
          <w:rtl/>
        </w:rPr>
        <w:t>(ד"ה ועוד נ"ל)</w:t>
      </w:r>
      <w:r w:rsidRPr="0030300B">
        <w:rPr>
          <w:rFonts w:hint="cs"/>
          <w:vanish/>
          <w:rtl/>
        </w:rPr>
        <w:t>=</w:t>
      </w:r>
      <w:r>
        <w:rPr>
          <w:rFonts w:hint="cs"/>
          <w:rtl/>
        </w:rPr>
        <w:t xml:space="preserve"> דאף לרבי אבהו החיוב לר"ש במקלקל בחבורה הוא רק במלאכה שצריכה לגופה, כמו במילה, ולכן הנוטל את הקוץ ונעשית חבלה פטור, דכוונתו להוציא את הקוץ ולא לעשות חבורה, והוי מלאכה שאינה צריכה לגופה.</w:t>
      </w:r>
    </w:p>
    <w:p w14:paraId="089BAB52" w14:textId="77777777" w:rsidR="00274E65" w:rsidRPr="00747170" w:rsidRDefault="00274E65" w:rsidP="00747170">
      <w:pPr>
        <w:pStyle w:val="a2"/>
      </w:pPr>
      <w:r w:rsidRPr="00747170">
        <w:rPr>
          <w:rtl/>
        </w:rPr>
        <w:t>ועוד נראה לי דלר' אבהו נמי לר"ש מלאכה הצריכה לגופה בעי דומיא דמילה, ומשום הכי פטרי' נוטל את הקוץ מפני שהוא מתכוין לקוץ ולא לחבורה</w:t>
      </w:r>
      <w:r w:rsidRPr="00747170">
        <w:rPr>
          <w:rFonts w:hint="cs"/>
          <w:rtl/>
        </w:rPr>
        <w:t>.</w:t>
      </w:r>
    </w:p>
    <w:p w14:paraId="57082A5A" w14:textId="77777777" w:rsidR="00274E65" w:rsidRDefault="00274E65" w:rsidP="00274E65">
      <w:pPr>
        <w:pStyle w:val="a7"/>
        <w:rPr>
          <w:rtl/>
        </w:rPr>
      </w:pPr>
      <w:bookmarkStart w:id="4278" w:name="_Toc140743996"/>
      <w:r>
        <w:rPr>
          <w:rFonts w:hint="cs"/>
          <w:rtl/>
        </w:rPr>
        <w:t>הבי' הב' ברמב"ן דלר' אבהו מילה צריך לגופה דרוצה בקלקול ובחובל מקלקל הוא כמתקן</w:t>
      </w:r>
      <w:bookmarkEnd w:id="4278"/>
    </w:p>
    <w:p w14:paraId="6F4D960F" w14:textId="77777777" w:rsidR="00274E65" w:rsidRDefault="00274E65" w:rsidP="00BC7DC8">
      <w:pPr>
        <w:pStyle w:val="a3"/>
      </w:pPr>
      <w:r>
        <w:rPr>
          <w:rFonts w:hint="cs"/>
          <w:rtl/>
        </w:rPr>
        <w:t xml:space="preserve">והוסיף </w:t>
      </w:r>
      <w:r w:rsidRPr="006540A9">
        <w:rPr>
          <w:rStyle w:val="aff4"/>
          <w:rFonts w:hint="cs"/>
          <w:rtl/>
        </w:rPr>
        <w:t>רמב"</w:t>
      </w:r>
      <w:r w:rsidRPr="00237D01">
        <w:rPr>
          <w:rStyle w:val="aff4"/>
          <w:rFonts w:hint="cs"/>
          <w:rtl/>
        </w:rPr>
        <w:t>ן בבי' הב'</w:t>
      </w:r>
      <w:r w:rsidRPr="006540A9">
        <w:rPr>
          <w:rStyle w:val="aff4"/>
          <w:rFonts w:hint="cs"/>
          <w:vanish/>
          <w:rtl/>
        </w:rPr>
        <w:t>-</w:t>
      </w:r>
      <w:r>
        <w:rPr>
          <w:rFonts w:hint="cs"/>
          <w:rtl/>
        </w:rPr>
        <w:t xml:space="preserve"> דאף במילה עצמה החיוב הוא מחמת הקלקול, דעשתה תורה מקלקל בחבורה כמתקן, ולכן מילה חשיבא מלאכה שצריכה לגופה.</w:t>
      </w:r>
    </w:p>
    <w:p w14:paraId="0E82B5B6" w14:textId="77777777" w:rsidR="00274E65" w:rsidRPr="00747170" w:rsidRDefault="00274E65" w:rsidP="00747170">
      <w:pPr>
        <w:pStyle w:val="a2"/>
      </w:pPr>
      <w:r w:rsidRPr="00747170">
        <w:rPr>
          <w:rtl/>
        </w:rPr>
        <w:t>אבל סבר ר' אבהו דחובל בחבירו מאחר שהוא מתכוין לאותו הקלקול ולא לדבר אחר ונמצינו למידין שקלקול בחובל חייב, מלאכה הצריכה לגופה מיקרי, שהרי הוא צריך לקלקול והתורה עשתה מקלקל כמתקן בחבורה</w:t>
      </w:r>
      <w:r w:rsidRPr="00747170">
        <w:rPr>
          <w:rFonts w:hint="cs"/>
          <w:rtl/>
        </w:rPr>
        <w:t xml:space="preserve">, </w:t>
      </w:r>
      <w:r w:rsidRPr="00747170">
        <w:rPr>
          <w:rtl/>
        </w:rPr>
        <w:t>ובמילה עצמה לא חייבה אותו התורה אלא מפני הקלקול</w:t>
      </w:r>
      <w:r w:rsidRPr="00747170">
        <w:rPr>
          <w:rFonts w:hint="cs"/>
          <w:rtl/>
        </w:rPr>
        <w:t>.</w:t>
      </w:r>
    </w:p>
    <w:p w14:paraId="4781CF20" w14:textId="77777777" w:rsidR="00274E65" w:rsidRPr="006E5BD8" w:rsidRDefault="00274E65" w:rsidP="00274E65">
      <w:pPr>
        <w:pStyle w:val="a7"/>
      </w:pPr>
      <w:bookmarkStart w:id="4279" w:name="_Toc140743997"/>
      <w:r>
        <w:rPr>
          <w:rFonts w:hint="cs"/>
          <w:rtl/>
        </w:rPr>
        <w:t>הבי' הב' ברמב"ן דלר' אבהו החובל בחבירו בכוונה חייב דמקלקל בחבורה כמתקן והוי צל"ג</w:t>
      </w:r>
      <w:bookmarkEnd w:id="4279"/>
    </w:p>
    <w:p w14:paraId="59F3C774" w14:textId="77777777" w:rsidR="00274E65" w:rsidRDefault="00274E65" w:rsidP="00BC7DC8">
      <w:pPr>
        <w:pStyle w:val="a3"/>
        <w:rPr>
          <w:rtl/>
        </w:rPr>
      </w:pPr>
      <w:r>
        <w:rPr>
          <w:rFonts w:hint="cs"/>
          <w:rtl/>
        </w:rPr>
        <w:t xml:space="preserve">אך כתב </w:t>
      </w:r>
      <w:r w:rsidRPr="006540A9">
        <w:rPr>
          <w:rStyle w:val="aff4"/>
          <w:rFonts w:hint="cs"/>
          <w:vanish/>
          <w:rtl/>
        </w:rPr>
        <w:t>-</w:t>
      </w:r>
      <w:r w:rsidRPr="006540A9">
        <w:rPr>
          <w:rStyle w:val="aff4"/>
          <w:rFonts w:hint="cs"/>
          <w:rtl/>
        </w:rPr>
        <w:t>הרמב"</w:t>
      </w:r>
      <w:r w:rsidRPr="00237D01">
        <w:rPr>
          <w:rStyle w:val="aff4"/>
          <w:rFonts w:hint="cs"/>
          <w:rtl/>
        </w:rPr>
        <w:t>ן בבי' הב'</w:t>
      </w:r>
      <w:r w:rsidRPr="006540A9">
        <w:rPr>
          <w:rStyle w:val="aff4"/>
          <w:rFonts w:hint="cs"/>
          <w:vanish/>
          <w:rtl/>
        </w:rPr>
        <w:t>-</w:t>
      </w:r>
      <w:r>
        <w:rPr>
          <w:rFonts w:hint="cs"/>
          <w:rtl/>
        </w:rPr>
        <w:t xml:space="preserve"> דהחובל בכוונה חייב לרבי אבהו כיון דכוונתו לקלקול עצמו ולא לדבר אחר, וס"ל דהתורה עשתה מקלקל בחבורה כמתקן.</w:t>
      </w:r>
    </w:p>
    <w:p w14:paraId="78379C42" w14:textId="77777777" w:rsidR="00274E65" w:rsidRPr="00747170" w:rsidRDefault="00274E65" w:rsidP="00747170">
      <w:pPr>
        <w:pStyle w:val="a2"/>
      </w:pPr>
      <w:r w:rsidRPr="00747170">
        <w:rPr>
          <w:rtl/>
        </w:rPr>
        <w:t>אבל סבר ר' אבהו דחובל בחבירו מאחר שהוא מתכוין לאותו הקלקול ולא לדבר אחר ונמצינו למידין שקלקול בחובל חייב, מלאכה הצריכה לגופה מיקרי, שהרי הוא צריך לקלקול והתורה עשתה מקלקל כמתקן בחבורה</w:t>
      </w:r>
      <w:r w:rsidRPr="00747170">
        <w:rPr>
          <w:rFonts w:hint="cs"/>
          <w:rtl/>
        </w:rPr>
        <w:t>.</w:t>
      </w:r>
    </w:p>
    <w:p w14:paraId="08727821" w14:textId="77777777" w:rsidR="00274E65" w:rsidRDefault="00274E65" w:rsidP="00274E65">
      <w:pPr>
        <w:pStyle w:val="a7"/>
        <w:rPr>
          <w:rtl/>
        </w:rPr>
      </w:pPr>
      <w:bookmarkStart w:id="4280" w:name="_Toc140743998"/>
      <w:r>
        <w:rPr>
          <w:rFonts w:hint="cs"/>
          <w:rtl/>
        </w:rPr>
        <w:t>הבי' הב' ברמב"ן דלר' אבהו החופר גומא להכשיל בנ"א הוי צל"ג ופטור רק מדין מקלקל</w:t>
      </w:r>
      <w:bookmarkEnd w:id="4280"/>
      <w:r w:rsidRPr="00487300">
        <w:rPr>
          <w:rFonts w:hint="cs"/>
          <w:rtl/>
        </w:rPr>
        <w:t xml:space="preserve"> </w:t>
      </w:r>
    </w:p>
    <w:bookmarkEnd w:id="4277"/>
    <w:p w14:paraId="2A77500C" w14:textId="77777777" w:rsidR="00274E65" w:rsidRPr="00240899" w:rsidRDefault="00274E65" w:rsidP="00BC7DC8">
      <w:pPr>
        <w:pStyle w:val="a3"/>
        <w:rPr>
          <w:rtl/>
        </w:rPr>
      </w:pPr>
      <w:r>
        <w:rPr>
          <w:rFonts w:hint="cs"/>
          <w:rtl/>
        </w:rPr>
        <w:t xml:space="preserve">וביאר </w:t>
      </w:r>
      <w:r w:rsidRPr="006540A9">
        <w:rPr>
          <w:rStyle w:val="aff4"/>
          <w:rFonts w:hint="cs"/>
          <w:rtl/>
        </w:rPr>
        <w:t>רמב"</w:t>
      </w:r>
      <w:r w:rsidRPr="00237D01">
        <w:rPr>
          <w:rStyle w:val="aff4"/>
          <w:rFonts w:hint="cs"/>
          <w:rtl/>
        </w:rPr>
        <w:t>ן בבי' הב'</w:t>
      </w:r>
      <w:r w:rsidRPr="006540A9">
        <w:rPr>
          <w:rStyle w:val="aff4"/>
          <w:rFonts w:hint="cs"/>
          <w:vanish/>
          <w:rtl/>
        </w:rPr>
        <w:t>-</w:t>
      </w:r>
      <w:r>
        <w:rPr>
          <w:rFonts w:hint="cs"/>
          <w:rtl/>
        </w:rPr>
        <w:t xml:space="preserve"> דהחופר גומא בכדי שיכשלו בה ודאי דהיא מלאכה שצריכה לגופה, והפטור בזה הוא מדין מקלקל, ולכן במקלקל בחבורה שחייבה תורה הוא מתחייב כשחבל בכוונה, כאילו עשה כן לצורך שצריך את הדם. </w:t>
      </w:r>
      <w:r w:rsidRPr="00244992">
        <w:rPr>
          <w:rStyle w:val="af"/>
          <w:rFonts w:hint="cs"/>
          <w:rtl/>
        </w:rPr>
        <w:t>[והיינו דכל מקלקל בכוונה אף ללא כל צורך, חשיב מלאכה שצריכה לגופה, ובחבורה כמתקן ולכן חייב, ומקלקל בחופר גומא, אם יש לו צורך בקלקול להכשיל בנ"א, חשיב מלאכה שצריכה לגופה אך פטור מדין מקלקל].</w:t>
      </w:r>
    </w:p>
    <w:p w14:paraId="3E46AFD4" w14:textId="77777777" w:rsidR="00274E65" w:rsidRPr="00747170" w:rsidRDefault="00274E65" w:rsidP="00747170">
      <w:pPr>
        <w:pStyle w:val="a2"/>
        <w:rPr>
          <w:rtl/>
        </w:rPr>
      </w:pPr>
      <w:r w:rsidRPr="00747170">
        <w:rPr>
          <w:rtl/>
        </w:rPr>
        <w:t>והרי החופר גומא כדי שיכשלו בה בני אדם ודאי צריך לגופה מיקרי</w:t>
      </w:r>
      <w:r w:rsidRPr="00747170">
        <w:rPr>
          <w:rFonts w:hint="cs"/>
          <w:rtl/>
        </w:rPr>
        <w:t>,</w:t>
      </w:r>
      <w:r w:rsidRPr="00747170">
        <w:rPr>
          <w:rtl/>
        </w:rPr>
        <w:t xml:space="preserve"> אלא שהוא קלקול ופטור הלכך בחובל שמקלקל בו חייב כאלו היה צריך לדם כאותה שאמרו בריש כתובות אי דם חבורי מחבר דחייב דלדם הוא צריך</w:t>
      </w:r>
      <w:r w:rsidRPr="00747170">
        <w:rPr>
          <w:rFonts w:hint="cs"/>
          <w:rtl/>
        </w:rPr>
        <w:t>.</w:t>
      </w:r>
    </w:p>
    <w:p w14:paraId="38D43F31" w14:textId="77777777" w:rsidR="00274E65" w:rsidRPr="007C241A" w:rsidRDefault="00274E65" w:rsidP="00274E65">
      <w:pPr>
        <w:pStyle w:val="1"/>
        <w:rPr>
          <w:rtl/>
        </w:rPr>
      </w:pPr>
      <w:bookmarkStart w:id="4281" w:name="_Toc140743999"/>
      <w:r>
        <w:rPr>
          <w:rFonts w:hint="cs"/>
          <w:rtl/>
        </w:rPr>
        <w:t>הבי' הג' ברמב"ן דל"פ וצל"ג בצד א' במקלקל חייב רק בחובל</w:t>
      </w:r>
      <w:bookmarkEnd w:id="4281"/>
    </w:p>
    <w:p w14:paraId="41891936" w14:textId="77777777" w:rsidR="00274E65" w:rsidRDefault="00274E65" w:rsidP="00274E65">
      <w:pPr>
        <w:pStyle w:val="a7"/>
        <w:rPr>
          <w:rtl/>
        </w:rPr>
      </w:pPr>
      <w:bookmarkStart w:id="4282" w:name="_Toc140744000"/>
      <w:r>
        <w:rPr>
          <w:rFonts w:hint="cs"/>
          <w:rtl/>
        </w:rPr>
        <w:t>הבי' הג' ברמב"ן דר' אבהו וריו"ח ל"פ דריו"ח ביאר את הברייתא דמקלקל חייב רק בצל"ג</w:t>
      </w:r>
      <w:bookmarkEnd w:id="4282"/>
    </w:p>
    <w:p w14:paraId="4399015C" w14:textId="77777777" w:rsidR="00274E65" w:rsidRPr="00DE754E" w:rsidRDefault="00274E65" w:rsidP="00BC7DC8">
      <w:pPr>
        <w:pStyle w:val="a3"/>
      </w:pPr>
      <w:r>
        <w:rPr>
          <w:rFonts w:hint="cs"/>
          <w:rtl/>
        </w:rPr>
        <w:t xml:space="preserve">ועוד ביאר </w:t>
      </w:r>
      <w:r w:rsidRPr="00A972BA">
        <w:rPr>
          <w:rStyle w:val="aff4"/>
          <w:rFonts w:hint="cs"/>
          <w:vanish/>
          <w:rtl/>
        </w:rPr>
        <w:t>-</w:t>
      </w:r>
      <w:r w:rsidRPr="00237D01">
        <w:rPr>
          <w:rStyle w:val="aff4"/>
          <w:rFonts w:hint="cs"/>
          <w:rtl/>
        </w:rPr>
        <w:t>הרמב"ן בבי' ה</w:t>
      </w:r>
      <w:r>
        <w:rPr>
          <w:rStyle w:val="aff4"/>
          <w:rFonts w:hint="cs"/>
          <w:rtl/>
        </w:rPr>
        <w:t>ג</w:t>
      </w:r>
      <w:r w:rsidRPr="00237D01">
        <w:rPr>
          <w:rStyle w:val="aff4"/>
          <w:rFonts w:hint="cs"/>
          <w:rtl/>
        </w:rPr>
        <w:t>'</w:t>
      </w:r>
      <w:r w:rsidRPr="00A972BA">
        <w:rPr>
          <w:rStyle w:val="aff4"/>
          <w:rFonts w:hint="cs"/>
          <w:vanish/>
          <w:rtl/>
        </w:rPr>
        <w:t>-</w:t>
      </w:r>
      <w:r>
        <w:rPr>
          <w:rFonts w:hint="cs"/>
          <w:rtl/>
        </w:rPr>
        <w:t xml:space="preserve"> דרבי אבהו לא פליג על ריו"ח כלל, אלא דהוא הביא ברייתא דמקלקל בחבורה חייב, וריו"ח ביאר דהברייתא היא רק בחובל לכלבו דהיא מלאכה שצריכה לגופה, אבל המקלקל בחבורה וכוונתו לקלקל אינו כלום, ולכן היא מלאכה שאינה צריכה לגופה.</w:t>
      </w:r>
    </w:p>
    <w:p w14:paraId="5FD610F8" w14:textId="77777777" w:rsidR="00274E65" w:rsidRPr="00747170" w:rsidRDefault="00274E65" w:rsidP="00747170">
      <w:pPr>
        <w:pStyle w:val="a2"/>
        <w:rPr>
          <w:rtl/>
        </w:rPr>
      </w:pPr>
      <w:r w:rsidRPr="00747170">
        <w:rPr>
          <w:rtl/>
        </w:rPr>
        <w:t>א"נ ר' אבהו לא פליג מידי, ברייתא קא תני ורבי יוחנן פירשה ניהליה דצריך לגופה מיהא בעי' ומתכוין לקלקול לאו כלום הוא</w:t>
      </w:r>
      <w:r w:rsidRPr="00747170">
        <w:rPr>
          <w:rFonts w:hint="cs"/>
          <w:rtl/>
        </w:rPr>
        <w:t>.</w:t>
      </w:r>
    </w:p>
    <w:p w14:paraId="3255DF2C" w14:textId="77777777" w:rsidR="00274E65" w:rsidRPr="00A972BA" w:rsidRDefault="00274E65" w:rsidP="00274E65">
      <w:pPr>
        <w:pStyle w:val="a7"/>
      </w:pPr>
      <w:bookmarkStart w:id="4283" w:name="_Toc140744001"/>
      <w:r>
        <w:rPr>
          <w:rFonts w:hint="cs"/>
          <w:rtl/>
        </w:rPr>
        <w:t>הבי' הג' ברמב"ן דמקלקל בחבורה הוי צל"ג וחייב רק שיש תשמיש בקלקול אף כשהוא מצד א'</w:t>
      </w:r>
      <w:bookmarkEnd w:id="4283"/>
    </w:p>
    <w:p w14:paraId="235F7619" w14:textId="77777777" w:rsidR="00274E65" w:rsidRPr="00D74306" w:rsidRDefault="00274E65" w:rsidP="00BC7DC8">
      <w:pPr>
        <w:pStyle w:val="a3"/>
      </w:pPr>
      <w:r>
        <w:rPr>
          <w:rFonts w:hint="cs"/>
          <w:rtl/>
        </w:rPr>
        <w:t xml:space="preserve">וביאר </w:t>
      </w:r>
      <w:r w:rsidRPr="00237D01">
        <w:rPr>
          <w:rStyle w:val="aff4"/>
          <w:rFonts w:hint="cs"/>
          <w:vanish/>
          <w:rtl/>
        </w:rPr>
        <w:t>-</w:t>
      </w:r>
      <w:r w:rsidRPr="00237D01">
        <w:rPr>
          <w:rStyle w:val="aff4"/>
          <w:rFonts w:hint="cs"/>
          <w:rtl/>
        </w:rPr>
        <w:t>הרמב"ן בבי' ה</w:t>
      </w:r>
      <w:r>
        <w:rPr>
          <w:rStyle w:val="aff4"/>
          <w:rFonts w:hint="cs"/>
          <w:rtl/>
        </w:rPr>
        <w:t>ג</w:t>
      </w:r>
      <w:r w:rsidRPr="00237D01">
        <w:rPr>
          <w:rStyle w:val="aff4"/>
          <w:rFonts w:hint="cs"/>
          <w:rtl/>
        </w:rPr>
        <w:t>'</w:t>
      </w:r>
      <w:r w:rsidRPr="00237D01">
        <w:rPr>
          <w:rStyle w:val="aff4"/>
          <w:rFonts w:hint="cs"/>
          <w:vanish/>
          <w:rtl/>
        </w:rPr>
        <w:t>-</w:t>
      </w:r>
      <w:r>
        <w:rPr>
          <w:rFonts w:hint="cs"/>
          <w:rtl/>
        </w:rPr>
        <w:t xml:space="preserve"> דרק כשיש לו תשמיש ע"י הקלקול שמחמתו הוא מקלקל חייב במקלקל בחבורה, דעי"ז חשיבא מלאכה שצריכה לגופה מצד אחד, ואף שהצורך אינו כנגד הקלקול חייב בחובל ומבעיר, ופטור בשאר מקלקלין כיון דאין דרך בנ"א לעשות כן, וכתב </w:t>
      </w:r>
      <w:r w:rsidRPr="006540A9">
        <w:rPr>
          <w:rStyle w:val="aff4"/>
          <w:rFonts w:hint="cs"/>
          <w:vanish/>
          <w:rtl/>
        </w:rPr>
        <w:t>-</w:t>
      </w:r>
      <w:r w:rsidRPr="006540A9">
        <w:rPr>
          <w:rStyle w:val="aff4"/>
          <w:rFonts w:hint="cs"/>
          <w:rtl/>
        </w:rPr>
        <w:t>הרמב"ן</w:t>
      </w:r>
      <w:r w:rsidRPr="006540A9">
        <w:rPr>
          <w:rStyle w:val="aff4"/>
          <w:rFonts w:hint="cs"/>
          <w:vanish/>
          <w:rtl/>
        </w:rPr>
        <w:t>-</w:t>
      </w:r>
      <w:r>
        <w:rPr>
          <w:rFonts w:hint="cs"/>
          <w:rtl/>
        </w:rPr>
        <w:t xml:space="preserve"> דזהו הביאור לפי דרך </w:t>
      </w:r>
      <w:r w:rsidRPr="006540A9">
        <w:rPr>
          <w:rStyle w:val="aff4"/>
          <w:rFonts w:hint="cs"/>
          <w:vanish/>
          <w:rtl/>
        </w:rPr>
        <w:t>-</w:t>
      </w:r>
      <w:r>
        <w:rPr>
          <w:rStyle w:val="aff4"/>
          <w:rFonts w:hint="cs"/>
          <w:rtl/>
        </w:rPr>
        <w:t>רש"י</w:t>
      </w:r>
      <w:r w:rsidRPr="006540A9">
        <w:rPr>
          <w:rStyle w:val="aff4"/>
          <w:rFonts w:hint="cs"/>
          <w:vanish/>
          <w:rtl/>
        </w:rPr>
        <w:t>-</w:t>
      </w:r>
      <w:r>
        <w:rPr>
          <w:rFonts w:hint="cs"/>
          <w:rtl/>
        </w:rPr>
        <w:t xml:space="preserve"> , </w:t>
      </w:r>
      <w:r w:rsidRPr="00900CB4">
        <w:rPr>
          <w:rStyle w:val="af2"/>
          <w:rFonts w:eastAsia="Guttman Hodes" w:hint="cs"/>
          <w:rtl/>
        </w:rPr>
        <w:t xml:space="preserve">(הובא בסימן ח' אות </w:t>
      </w:r>
      <w:r>
        <w:rPr>
          <w:rStyle w:val="af2"/>
          <w:rFonts w:eastAsia="Guttman Hodes" w:hint="cs"/>
          <w:rtl/>
        </w:rPr>
        <w:t>ב'</w:t>
      </w:r>
      <w:r w:rsidRPr="00900CB4">
        <w:rPr>
          <w:rStyle w:val="af2"/>
          <w:rFonts w:eastAsia="Guttman Hodes" w:hint="cs"/>
          <w:rtl/>
        </w:rPr>
        <w:t>)</w:t>
      </w:r>
      <w:r>
        <w:rPr>
          <w:rFonts w:hint="cs"/>
          <w:rtl/>
        </w:rPr>
        <w:t xml:space="preserve"> ולא כדבריו ממש.</w:t>
      </w:r>
    </w:p>
    <w:p w14:paraId="20427221" w14:textId="77777777" w:rsidR="00274E65" w:rsidRPr="00747170" w:rsidRDefault="00274E65" w:rsidP="00747170">
      <w:pPr>
        <w:pStyle w:val="a2"/>
        <w:rPr>
          <w:rtl/>
        </w:rPr>
      </w:pPr>
      <w:r w:rsidRPr="00747170">
        <w:rPr>
          <w:rtl/>
        </w:rPr>
        <w:t>הלכך מלאכה שא"צ לגופה היא עד שיהא לו שום תשמיש בקלקולו שמחמתו הוא עושה זה הקלקול שנמצא קלקול חבלה זו מלאכה הצריכה לגופה מצד אחד ואף על פי שאין צרכו כנגד קלקולו חייב בחובל ומבעיר, מה שאין כן בשאר מקלקלין עד שיהא צרכו כנגד קלקולו בדברים שבני אדם עושין כן כמו שפירשתי, זהו מה שהעליתי בשמועה זו מתוך פלפולו של רש"י ז"ל ולא כדבריו ממש ודבר נכון הוא ועולה כהוגן.</w:t>
      </w:r>
    </w:p>
    <w:p w14:paraId="336ADE99" w14:textId="77777777" w:rsidR="00FF4D6E" w:rsidRDefault="00FF4D6E" w:rsidP="00274E65">
      <w:pPr>
        <w:pStyle w:val="a7"/>
        <w:rPr>
          <w:rtl/>
        </w:rPr>
      </w:pPr>
      <w:bookmarkStart w:id="4284" w:name="_Toc140744002"/>
    </w:p>
    <w:p w14:paraId="302115AF" w14:textId="2E3E9F1D" w:rsidR="00274E65" w:rsidRDefault="00274E65" w:rsidP="00274E65">
      <w:pPr>
        <w:pStyle w:val="a7"/>
        <w:rPr>
          <w:rtl/>
        </w:rPr>
      </w:pPr>
      <w:r>
        <w:rPr>
          <w:rFonts w:hint="cs"/>
          <w:rtl/>
        </w:rPr>
        <w:t>בי' הרמב"ן דלא ילפי' ממילה לכל משאצל"ג דמלאכת מחשבת פוטר להדיא לר"ש ומילה חידוש</w:t>
      </w:r>
      <w:bookmarkEnd w:id="4284"/>
    </w:p>
    <w:p w14:paraId="0049AF2C" w14:textId="77777777" w:rsidR="00274E65" w:rsidRPr="005606E5" w:rsidRDefault="00274E65" w:rsidP="00BC7DC8">
      <w:pPr>
        <w:pStyle w:val="a3"/>
      </w:pPr>
      <w:r>
        <w:rPr>
          <w:rFonts w:hint="cs"/>
          <w:rtl/>
        </w:rPr>
        <w:t xml:space="preserve">והקשה </w:t>
      </w:r>
      <w:r w:rsidRPr="006540A9">
        <w:rPr>
          <w:rStyle w:val="aff4"/>
          <w:rFonts w:hint="cs"/>
          <w:vanish/>
          <w:rtl/>
        </w:rPr>
        <w:t>-</w:t>
      </w:r>
      <w:r w:rsidRPr="006540A9">
        <w:rPr>
          <w:rStyle w:val="aff4"/>
          <w:rFonts w:hint="cs"/>
          <w:rtl/>
        </w:rPr>
        <w:t>הרמב"ן</w:t>
      </w:r>
      <w:r w:rsidRPr="006540A9">
        <w:rPr>
          <w:rStyle w:val="aff4"/>
          <w:rFonts w:hint="cs"/>
          <w:vanish/>
          <w:rtl/>
        </w:rPr>
        <w:t>-</w:t>
      </w:r>
      <w:r>
        <w:rPr>
          <w:rFonts w:hint="cs"/>
          <w:rtl/>
        </w:rPr>
        <w:t xml:space="preserve"> דאי חובל ומבעיר חייב לר"ש במקלקל כיון דתיקון דמצוה במילה לא חשיב תיקון, א"כ נלמד מזה לכל המלאכות דיתחייב במלאכה שאינה צריכה לגופה, וממילא חשיב כמתקן כדס"ל לר"י, ותירץ </w:t>
      </w:r>
      <w:r w:rsidRPr="006540A9">
        <w:rPr>
          <w:rStyle w:val="aff4"/>
          <w:rFonts w:hint="cs"/>
          <w:vanish/>
          <w:rtl/>
        </w:rPr>
        <w:t>-</w:t>
      </w:r>
      <w:r w:rsidRPr="006540A9">
        <w:rPr>
          <w:rStyle w:val="aff4"/>
          <w:rFonts w:hint="cs"/>
          <w:rtl/>
        </w:rPr>
        <w:t>הרמב"ן</w:t>
      </w:r>
      <w:r w:rsidRPr="006540A9">
        <w:rPr>
          <w:rStyle w:val="aff4"/>
          <w:rFonts w:hint="cs"/>
          <w:vanish/>
          <w:rtl/>
        </w:rPr>
        <w:t>-</w:t>
      </w:r>
      <w:r>
        <w:rPr>
          <w:rFonts w:hint="cs"/>
          <w:rtl/>
        </w:rPr>
        <w:t xml:space="preserve"> דהא דפוטר ר"ש מלאכה שאינה צריכה לגופה הוא מקרא מפורש דצריך מלאכת מחשבת, וא"כ החיוב בחובל ומבעיר הוא חידוש שחידשה תורה בהם.</w:t>
      </w:r>
    </w:p>
    <w:p w14:paraId="25D1E13C" w14:textId="77777777" w:rsidR="00274E65" w:rsidRPr="00747170" w:rsidRDefault="00274E65" w:rsidP="00747170">
      <w:pPr>
        <w:pStyle w:val="a2"/>
        <w:rPr>
          <w:rtl/>
        </w:rPr>
      </w:pPr>
      <w:r w:rsidRPr="00747170">
        <w:rPr>
          <w:rtl/>
        </w:rPr>
        <w:t>ואם תשאל ומה ראו לומר כן דר"ש בחובל ומבעיר מחייב במקלקל משום דלא חשיב תיקון דמצוה, אדרבה ליגמר מינייהו דכל מלאכה שא"צ לגופה חייב עליה וממילא הו"ל מתקן כדרבי יהודה, יש לומר מלאכה שא"צ לגופה לר' שמעון מקרא מלא הוא מלאכת מחשבת וחידוש הוא שחדשה תורה באלו שתיהן.</w:t>
      </w:r>
    </w:p>
    <w:p w14:paraId="7FBA81C0" w14:textId="77777777" w:rsidR="00274E65" w:rsidRDefault="00274E65" w:rsidP="00274E65">
      <w:pPr>
        <w:pStyle w:val="affff5"/>
        <w:rPr>
          <w:rtl/>
        </w:rPr>
      </w:pPr>
      <w:bookmarkStart w:id="4285" w:name="_Toc140744003"/>
      <w:r w:rsidRPr="00716C93">
        <w:rPr>
          <w:rFonts w:hint="cs"/>
          <w:rtl/>
        </w:rPr>
        <w:t>~~~~~~~~~~~~~~~~~~~~~~~~~~~~</w:t>
      </w:r>
      <w:bookmarkEnd w:id="4285"/>
    </w:p>
    <w:p w14:paraId="3110B1DD" w14:textId="77777777" w:rsidR="00274E65" w:rsidRPr="005E01E3" w:rsidRDefault="00274E65" w:rsidP="00274E65">
      <w:pPr>
        <w:pStyle w:val="affff5"/>
        <w:rPr>
          <w:rtl/>
        </w:rPr>
      </w:pPr>
      <w:bookmarkStart w:id="4286" w:name="_Toc140744004"/>
      <w:r>
        <w:rPr>
          <w:rFonts w:hint="cs"/>
          <w:rtl/>
        </w:rPr>
        <w:t>בי' הר"ן דהמלאכה טפלה לתיקון</w:t>
      </w:r>
      <w:bookmarkEnd w:id="4286"/>
    </w:p>
    <w:p w14:paraId="688442B9" w14:textId="77777777" w:rsidR="00274E65" w:rsidRPr="00577524" w:rsidRDefault="00274E65" w:rsidP="00274E65">
      <w:pPr>
        <w:pStyle w:val="1"/>
        <w:rPr>
          <w:rtl/>
        </w:rPr>
      </w:pPr>
      <w:bookmarkStart w:id="4287" w:name="_Toc140744005"/>
      <w:r>
        <w:rPr>
          <w:rFonts w:hint="cs"/>
          <w:rtl/>
        </w:rPr>
        <w:t>בי' הר"ן דהמלאכה נטפלת לצורך ולתיקון שרוצה לחיוב ולפטור</w:t>
      </w:r>
      <w:bookmarkEnd w:id="4287"/>
    </w:p>
    <w:p w14:paraId="3500B270" w14:textId="77777777" w:rsidR="00274E65" w:rsidRDefault="00274E65" w:rsidP="00274E65">
      <w:pPr>
        <w:pStyle w:val="afffff7"/>
        <w:rPr>
          <w:rtl/>
        </w:rPr>
      </w:pPr>
      <w:bookmarkStart w:id="4288" w:name="_Toc140744090"/>
      <w:bookmarkStart w:id="4289" w:name="_Toc163506038"/>
      <w:r w:rsidRPr="00946734">
        <w:rPr>
          <w:rtl/>
        </w:rPr>
        <w:t>חדושי הר"ן שבת ק"ו ע"א</w:t>
      </w:r>
      <w:r w:rsidRPr="00946734">
        <w:rPr>
          <w:rFonts w:hint="cs"/>
          <w:rtl/>
        </w:rPr>
        <w:t xml:space="preserve"> ד"ה </w:t>
      </w:r>
      <w:r>
        <w:rPr>
          <w:rFonts w:hint="cs"/>
          <w:rtl/>
        </w:rPr>
        <w:t>לפיכך</w:t>
      </w:r>
      <w:bookmarkEnd w:id="4288"/>
      <w:bookmarkEnd w:id="4289"/>
    </w:p>
    <w:p w14:paraId="76CA367F" w14:textId="77777777" w:rsidR="00274E65" w:rsidRDefault="00274E65" w:rsidP="00274E65">
      <w:pPr>
        <w:pStyle w:val="a7"/>
        <w:rPr>
          <w:rtl/>
        </w:rPr>
      </w:pPr>
      <w:bookmarkStart w:id="4290" w:name="_Toc140744006"/>
      <w:r>
        <w:rPr>
          <w:rFonts w:hint="cs"/>
          <w:rtl/>
        </w:rPr>
        <w:t>בי' הר"ן דמשאצל"ג היינו כשהמלאכה נטפלת לצורך אחר וכל שהצורך יותר תיקון נטפלת יותר</w:t>
      </w:r>
      <w:bookmarkEnd w:id="4290"/>
    </w:p>
    <w:p w14:paraId="46998EBD" w14:textId="242C784F" w:rsidR="00274E65" w:rsidRDefault="00274E65" w:rsidP="00BC7DC8">
      <w:pPr>
        <w:pStyle w:val="a3"/>
      </w:pPr>
      <w:bookmarkStart w:id="4291" w:name="_Ref140397895"/>
      <w:r>
        <w:rPr>
          <w:rFonts w:hint="cs"/>
          <w:rtl/>
        </w:rPr>
        <w:t xml:space="preserve">כתב </w:t>
      </w:r>
      <w:r w:rsidRPr="00435678">
        <w:rPr>
          <w:rStyle w:val="aff4"/>
          <w:rFonts w:hint="cs"/>
          <w:vanish/>
          <w:rtl/>
        </w:rPr>
        <w:t>-</w:t>
      </w:r>
      <w:r w:rsidRPr="00E348F4">
        <w:rPr>
          <w:rStyle w:val="aff4"/>
          <w:rFonts w:hint="cs"/>
          <w:rtl/>
        </w:rPr>
        <w:t>ה</w:t>
      </w:r>
      <w:r w:rsidRPr="00435678">
        <w:rPr>
          <w:rStyle w:val="aff4"/>
          <w:rFonts w:hint="cs"/>
          <w:vanish/>
          <w:rtl/>
        </w:rPr>
        <w:t xml:space="preserve">&lt;, </w:t>
      </w:r>
      <w:r w:rsidRPr="00435678">
        <w:rPr>
          <w:rStyle w:val="aff4"/>
          <w:vanish/>
          <w:rtl/>
        </w:rPr>
        <w:fldChar w:fldCharType="begin"/>
      </w:r>
      <w:r w:rsidRPr="00435678">
        <w:rPr>
          <w:rStyle w:val="aff4"/>
          <w:vanish/>
          <w:rtl/>
        </w:rPr>
        <w:instrText xml:space="preserve"> </w:instrText>
      </w:r>
      <w:r w:rsidRPr="00435678">
        <w:rPr>
          <w:rStyle w:val="aff4"/>
          <w:rFonts w:hint="cs"/>
          <w:vanish/>
        </w:rPr>
        <w:instrText>REF</w:instrText>
      </w:r>
      <w:r w:rsidRPr="00435678">
        <w:rPr>
          <w:rStyle w:val="aff4"/>
          <w:rFonts w:hint="cs"/>
          <w:vanish/>
          <w:rtl/>
        </w:rPr>
        <w:instrText xml:space="preserve"> _</w:instrText>
      </w:r>
      <w:r w:rsidRPr="00435678">
        <w:rPr>
          <w:rStyle w:val="aff4"/>
          <w:rFonts w:hint="cs"/>
          <w:vanish/>
        </w:rPr>
        <w:instrText>Ref140397895 \r \h</w:instrText>
      </w:r>
      <w:r w:rsidRPr="00435678">
        <w:rPr>
          <w:rStyle w:val="aff4"/>
          <w:vanish/>
          <w:rtl/>
        </w:rPr>
        <w:instrText xml:space="preserve"> </w:instrText>
      </w:r>
      <w:r w:rsidRPr="00435678">
        <w:rPr>
          <w:rStyle w:val="aff4"/>
          <w:vanish/>
          <w:rtl/>
        </w:rPr>
      </w:r>
      <w:r w:rsidRPr="00435678">
        <w:rPr>
          <w:rStyle w:val="aff4"/>
          <w:vanish/>
          <w:rtl/>
        </w:rPr>
        <w:fldChar w:fldCharType="separate"/>
      </w:r>
      <w:r w:rsidR="00D82181">
        <w:rPr>
          <w:rStyle w:val="aff4"/>
          <w:vanish/>
          <w:cs/>
        </w:rPr>
        <w:t>‎</w:t>
      </w:r>
      <w:r w:rsidR="00D82181">
        <w:rPr>
          <w:rStyle w:val="aff4"/>
          <w:vanish/>
          <w:rtl/>
        </w:rPr>
        <w:t>נב)</w:t>
      </w:r>
      <w:r w:rsidRPr="00435678">
        <w:rPr>
          <w:rStyle w:val="aff4"/>
          <w:vanish/>
          <w:rtl/>
        </w:rPr>
        <w:fldChar w:fldCharType="end"/>
      </w:r>
      <w:r w:rsidRPr="00435678">
        <w:rPr>
          <w:rStyle w:val="aff4"/>
          <w:rFonts w:hint="cs"/>
          <w:vanish/>
          <w:rtl/>
        </w:rPr>
        <w:t xml:space="preserve"> &gt;</w:t>
      </w:r>
      <w:r w:rsidRPr="00E348F4">
        <w:rPr>
          <w:rStyle w:val="aff4"/>
          <w:rFonts w:hint="cs"/>
          <w:rtl/>
        </w:rPr>
        <w:t>ר"ן</w:t>
      </w:r>
      <w:r w:rsidRPr="00435678">
        <w:rPr>
          <w:rStyle w:val="aff4"/>
          <w:rFonts w:hint="cs"/>
          <w:vanish/>
          <w:rtl/>
        </w:rPr>
        <w:t>-</w:t>
      </w:r>
      <w:r>
        <w:rPr>
          <w:rFonts w:hint="cs"/>
          <w:rtl/>
        </w:rPr>
        <w:t xml:space="preserve"> </w:t>
      </w:r>
      <w:bookmarkStart w:id="4292" w:name="_Hlk140744408"/>
      <w:r w:rsidRPr="00435678">
        <w:rPr>
          <w:rStyle w:val="af2"/>
          <w:rFonts w:eastAsia="Guttman Hodes" w:hint="cs"/>
          <w:rtl/>
        </w:rPr>
        <w:t>(ד"ה לפיכך)</w:t>
      </w:r>
      <w:r w:rsidRPr="00435678">
        <w:rPr>
          <w:rFonts w:hint="cs"/>
          <w:vanish/>
          <w:rtl/>
        </w:rPr>
        <w:t>=</w:t>
      </w:r>
      <w:r>
        <w:rPr>
          <w:rFonts w:hint="cs"/>
          <w:rtl/>
        </w:rPr>
        <w:t xml:space="preserve"> </w:t>
      </w:r>
      <w:bookmarkEnd w:id="4292"/>
      <w:r>
        <w:rPr>
          <w:rFonts w:hint="cs"/>
          <w:rtl/>
        </w:rPr>
        <w:t>דגדר מלאכה שאינה צריכה לגופה הוא דכל שיש במלאכה צורך בדבר אחר, חשיב שאינו צריך לגוף הדבר שעושה אותו, אלא המלאכה נטפלת לצורך שצריך אותו, וככל שיש יותר תיקון בדבר אחר, חשיבא יותר מלאכה שאינה צריכה לגופה כיון דהיא נגררת אחר הדבר שנעשה בו תיקון ונטפלת אליו, ונגרע כח המלאכה עצמה ופטור עליה לר"ש.</w:t>
      </w:r>
    </w:p>
    <w:p w14:paraId="0C05B205" w14:textId="77777777" w:rsidR="00274E65" w:rsidRPr="00747170" w:rsidRDefault="00274E65" w:rsidP="00747170">
      <w:pPr>
        <w:pStyle w:val="a2"/>
        <w:rPr>
          <w:rtl/>
        </w:rPr>
      </w:pPr>
      <w:r w:rsidRPr="00747170">
        <w:rPr>
          <w:rtl/>
        </w:rPr>
        <w:t>לפיכך אני אומר דהכי קאמרינן לר"ש כיון דסבירא ליה דמלאכה שא"צ לגופה פטור עליה כל שאתה מוסיף תיקון בדבר שאינו מגופה של מלאכה אי אתה מוסיף חיוב במלאכה אדרבה אתה מוסיף בה פטור דכל היכא שהתיקון שאינו מגופה יותר חשובה מלאכה הוא יותר נגררת אצלו והיא נעשית טפילה לאותו דבר שהוא פוטרה ומגרע כחה</w:t>
      </w:r>
      <w:r w:rsidRPr="00747170">
        <w:rPr>
          <w:rFonts w:hint="cs"/>
          <w:rtl/>
        </w:rPr>
        <w:t>, וכו'. ה</w:t>
      </w:r>
      <w:r w:rsidRPr="00747170">
        <w:rPr>
          <w:rtl/>
        </w:rPr>
        <w:t xml:space="preserve">ילכך כיון דגלי רחמנא דמילה מלאכה היא דהא אצטריך למשרייה ש"מ דמקלקל בחבורה חייב שאי אפשר לך לומר שמפני תיקון מצוה שבה חייב עליה שהתיקון שאינו מגופה של מלאכה אינו מוסיף בה חיוב אלא פטור וכאן אין אותו תיקון שאינו מגופה של מלאכה [פוטרה לפי שאין אותו תיקון מגופה של מלאכה] נמשך ויוצא מעצמו של מלאכה מגופה אלא מחמת מקרא שצותה התורה בכך דאין המלאכה טפלה [לו] הילכך כיון דגלי לן קרא דחובל דמילה מלאכה היא ש"מ דמקלקל בחבורה חייב ולא פטרה משום מלאכה שאינה צריכה לגופה מטעמא דכתיבנא </w:t>
      </w:r>
    </w:p>
    <w:p w14:paraId="518B169F" w14:textId="77777777" w:rsidR="00274E65" w:rsidRPr="002646FB" w:rsidRDefault="00274E65" w:rsidP="00274E65">
      <w:pPr>
        <w:pStyle w:val="a7"/>
      </w:pPr>
      <w:bookmarkStart w:id="4293" w:name="_Toc140744007"/>
      <w:r>
        <w:rPr>
          <w:rFonts w:hint="cs"/>
          <w:rtl/>
        </w:rPr>
        <w:t>בי' הר"ן דצל"ג הוא כשיש בגוף המלאכה תיקון דהיא נטפלת לו אבל בנחש וקוץ התיקון בד"א</w:t>
      </w:r>
      <w:bookmarkEnd w:id="4293"/>
    </w:p>
    <w:p w14:paraId="5FEFC36D" w14:textId="77777777" w:rsidR="00274E65" w:rsidRDefault="00274E65" w:rsidP="00BC7DC8">
      <w:pPr>
        <w:pStyle w:val="a3"/>
        <w:rPr>
          <w:rtl/>
        </w:rPr>
      </w:pPr>
      <w:r>
        <w:rPr>
          <w:rFonts w:hint="cs"/>
          <w:rtl/>
        </w:rPr>
        <w:t xml:space="preserve">וביאר </w:t>
      </w:r>
      <w:r w:rsidRPr="00435678">
        <w:rPr>
          <w:rStyle w:val="aff4"/>
          <w:rFonts w:hint="cs"/>
          <w:vanish/>
          <w:rtl/>
        </w:rPr>
        <w:t>-</w:t>
      </w:r>
      <w:r w:rsidRPr="00E348F4">
        <w:rPr>
          <w:rStyle w:val="aff4"/>
          <w:rFonts w:hint="cs"/>
          <w:rtl/>
        </w:rPr>
        <w:t>הר"ן</w:t>
      </w:r>
      <w:r w:rsidRPr="00435678">
        <w:rPr>
          <w:rStyle w:val="aff4"/>
          <w:rFonts w:hint="cs"/>
          <w:vanish/>
          <w:rtl/>
        </w:rPr>
        <w:t>-</w:t>
      </w:r>
      <w:r>
        <w:rPr>
          <w:rFonts w:hint="cs"/>
          <w:rtl/>
        </w:rPr>
        <w:t xml:space="preserve"> דמלאכה שמלאכה שצריכה לגופה היא באופן שיש תיקון בגופה, דהמלאכה נטפלת לתיקון שנעשה בגופה, אבל בהורג נחש שלא ישוך וחובל ליטול את הקוץ דאיתא בגמ' בסנהדרין </w:t>
      </w:r>
      <w:r w:rsidRPr="00435678">
        <w:rPr>
          <w:rStyle w:val="af2"/>
          <w:rFonts w:eastAsia="Guttman Hodes" w:hint="cs"/>
          <w:rtl/>
        </w:rPr>
        <w:t>(פד:)</w:t>
      </w:r>
      <w:r>
        <w:rPr>
          <w:rFonts w:hint="cs"/>
          <w:rtl/>
        </w:rPr>
        <w:t xml:space="preserve"> דפטור לר"ש, הוא כיון שהתיקון שבהם יוצא מהמלאכה עצמה ואינו בגופה אלא הוא בדבר אחר, ובכה"ג המלאכה ראויה להתבטל ולהטפל לתיקון שנעשית בשבילו, והוסיף </w:t>
      </w:r>
      <w:r w:rsidRPr="00435678">
        <w:rPr>
          <w:rStyle w:val="aff4"/>
          <w:rFonts w:hint="cs"/>
          <w:vanish/>
          <w:rtl/>
        </w:rPr>
        <w:t>-</w:t>
      </w:r>
      <w:r w:rsidRPr="00E348F4">
        <w:rPr>
          <w:rStyle w:val="aff4"/>
          <w:rFonts w:hint="cs"/>
          <w:rtl/>
        </w:rPr>
        <w:t>הר"ן</w:t>
      </w:r>
      <w:r w:rsidRPr="00435678">
        <w:rPr>
          <w:rStyle w:val="aff4"/>
          <w:rFonts w:hint="cs"/>
          <w:vanish/>
          <w:rtl/>
        </w:rPr>
        <w:t>-</w:t>
      </w:r>
      <w:r>
        <w:rPr>
          <w:rFonts w:hint="cs"/>
          <w:rtl/>
        </w:rPr>
        <w:t xml:space="preserve"> דהיינו תיקון שהוא כדרך העולם לעשות מלאכה זו לתיקון זה.</w:t>
      </w:r>
    </w:p>
    <w:bookmarkEnd w:id="4291"/>
    <w:p w14:paraId="0C291B7F" w14:textId="77777777" w:rsidR="00274E65" w:rsidRPr="00747170" w:rsidRDefault="00274E65" w:rsidP="00747170">
      <w:pPr>
        <w:pStyle w:val="a2"/>
      </w:pPr>
      <w:r w:rsidRPr="00747170">
        <w:rPr>
          <w:rStyle w:val="afff7"/>
          <w:rtl/>
        </w:rPr>
        <w:t>ורבי אבוהו ה"ק מדגלי לן רחמנא הכי בהבערה ומילה ש"מ דמקלקל במלאכות הללו חייב</w:t>
      </w:r>
      <w:r w:rsidRPr="00747170">
        <w:rPr>
          <w:rtl/>
        </w:rPr>
        <w:t xml:space="preserve"> כל היכא שאינו נמשך מעצמן תיקון שאינו מגופן עד שתהא מלאכה ראויה להיותה טפלה לאותו תיקון דומיא דהורג את הנחש כדי שלא ישכנו ודומיא דחובל ליטול את הקוץ דפטריה בהו אליבא דרבי שמעון בפרק ואלו הן הנחנקין לפי שתיקונין הללו יוצאים מעצמן של מלאכות ואינן מגופן וראויות מלאכות הללו ליתבטל ולהיותן טפילה לאותן תיקונין שהן נעשות בשבילן כפי מנהגו של עולם</w:t>
      </w:r>
      <w:r w:rsidRPr="00747170">
        <w:rPr>
          <w:rFonts w:hint="cs"/>
          <w:rtl/>
        </w:rPr>
        <w:t>.</w:t>
      </w:r>
    </w:p>
    <w:p w14:paraId="20108405" w14:textId="77777777" w:rsidR="00274E65" w:rsidRPr="00242415" w:rsidRDefault="00274E65" w:rsidP="00274E65">
      <w:pPr>
        <w:pStyle w:val="a7"/>
        <w:rPr>
          <w:rtl/>
        </w:rPr>
      </w:pPr>
      <w:bookmarkStart w:id="4294" w:name="_Toc140744008"/>
      <w:r>
        <w:rPr>
          <w:rFonts w:hint="cs"/>
          <w:rtl/>
        </w:rPr>
        <w:t>בי' הר"ן דמילה התיקון לא בגופה וילפי' דלא טפלה לד"א ול"ה משאצל"ג ומקלקל בחבורה חייב</w:t>
      </w:r>
      <w:bookmarkEnd w:id="4294"/>
    </w:p>
    <w:p w14:paraId="34A58617" w14:textId="77777777" w:rsidR="00274E65" w:rsidRPr="00E25359" w:rsidRDefault="00274E65" w:rsidP="00BC7DC8">
      <w:pPr>
        <w:pStyle w:val="a3"/>
        <w:rPr>
          <w:rtl/>
        </w:rPr>
      </w:pPr>
      <w:r>
        <w:rPr>
          <w:rFonts w:hint="cs"/>
          <w:rtl/>
        </w:rPr>
        <w:t xml:space="preserve">ולפי"ז ביאר </w:t>
      </w:r>
      <w:r w:rsidRPr="00E348F4">
        <w:rPr>
          <w:rStyle w:val="aff4"/>
          <w:rFonts w:hint="cs"/>
          <w:vanish/>
          <w:rtl/>
        </w:rPr>
        <w:t>-</w:t>
      </w:r>
      <w:r w:rsidRPr="00E348F4">
        <w:rPr>
          <w:rStyle w:val="aff4"/>
          <w:rFonts w:hint="cs"/>
          <w:rtl/>
        </w:rPr>
        <w:t>הר"ן</w:t>
      </w:r>
      <w:r w:rsidRPr="00E348F4">
        <w:rPr>
          <w:rStyle w:val="aff4"/>
          <w:rFonts w:hint="cs"/>
          <w:vanish/>
          <w:rtl/>
        </w:rPr>
        <w:t>-</w:t>
      </w:r>
      <w:r>
        <w:rPr>
          <w:rFonts w:hint="cs"/>
          <w:rtl/>
        </w:rPr>
        <w:t xml:space="preserve"> דהא דילפינן ממילה דמקלקל בחבורה חייב, היינו דכיון דהתיקון שיש במילה שהתינוק נעשה מהול אינו מגוף המלאכה, ותיקון זה לא מוסיף חיוב במלאכה אלא פוטרה, ומהא דהוצרכה תורה להתיר מילה מוכח דהתיקון שאינו בגופה אינו פוטרה, והמלאכה אינה נעשית טפלה לתיקון שבדבר אחר, וא"כ מוכח דגילתה תורה דחבלה במילה היא מלאכה בפנ"ע, וא"כ ילפינן דמקלקל בחבורה חייב, ואין בו פטור דמלאכה שאינה צריכה לגופה.</w:t>
      </w:r>
    </w:p>
    <w:p w14:paraId="4D15E4C4" w14:textId="77777777" w:rsidR="00274E65" w:rsidRPr="00747170" w:rsidRDefault="00274E65" w:rsidP="00747170">
      <w:pPr>
        <w:pStyle w:val="a2"/>
        <w:rPr>
          <w:rtl/>
        </w:rPr>
      </w:pPr>
      <w:r w:rsidRPr="00747170">
        <w:rPr>
          <w:rtl/>
        </w:rPr>
        <w:t>הילכך כיון דגלי רחמנא דמילה מלאכה היא דהא אצטריך למשרייה ש"מ דמקלקל בחבורה חייב שאי אפשר לך לומר שמפני תיקון מצוה שבה חייב עליה שהתיקון שאינו מגופה של מלאכה אינו מוסיף בה חיוב אלא פטור וכאן אין אותו תיקון שאינו מגופה של מלאכה [פוטרה לפי שאין אותו תיקון מגופה של מלאכה] נמשך ויוצא מעצמו של מלאכה מגופה אלא מחמת מקרא שצותה התורה בכך דאין המלאכה טפלה [לו] הילכך כיון דגלי לן קרא דחובל דמילה מלאכה היא ש"מ דמקלקל בחבורה חייב ולא פטרה משום מלאכה שאינה צריכה לגופה מטעמא דכתיבנא</w:t>
      </w:r>
      <w:r w:rsidRPr="00747170">
        <w:rPr>
          <w:rFonts w:hint="cs"/>
          <w:rtl/>
        </w:rPr>
        <w:t>.</w:t>
      </w:r>
    </w:p>
    <w:p w14:paraId="5BF606D2" w14:textId="77777777" w:rsidR="00274E65" w:rsidRPr="00BE779B" w:rsidRDefault="00274E65" w:rsidP="00274E65">
      <w:pPr>
        <w:pStyle w:val="1"/>
        <w:rPr>
          <w:rtl/>
        </w:rPr>
      </w:pPr>
      <w:bookmarkStart w:id="4295" w:name="_Toc140744009"/>
      <w:r>
        <w:rPr>
          <w:rFonts w:hint="cs"/>
          <w:rtl/>
        </w:rPr>
        <w:t>בי' הר"ן דר"א וריו"ח נח' במלאכת מחשבת ובטפלות המלאכה</w:t>
      </w:r>
      <w:bookmarkEnd w:id="4295"/>
    </w:p>
    <w:p w14:paraId="08709B68" w14:textId="77777777" w:rsidR="00274E65" w:rsidRDefault="00274E65" w:rsidP="00274E65">
      <w:pPr>
        <w:pStyle w:val="a7"/>
        <w:rPr>
          <w:rtl/>
        </w:rPr>
      </w:pPr>
      <w:bookmarkStart w:id="4296" w:name="_Toc140744010"/>
      <w:r>
        <w:rPr>
          <w:rFonts w:hint="cs"/>
          <w:rtl/>
        </w:rPr>
        <w:t>בי' הר"ן דלר' אבהו כל מקלקל חייב ולריו"ח הוי שטות ול"ה מלאכת מחשבת דאין תיקון בד"א</w:t>
      </w:r>
      <w:bookmarkEnd w:id="4296"/>
    </w:p>
    <w:p w14:paraId="63069495" w14:textId="77777777" w:rsidR="00274E65" w:rsidRDefault="00274E65" w:rsidP="00BC7DC8">
      <w:pPr>
        <w:pStyle w:val="a3"/>
      </w:pPr>
      <w:r>
        <w:rPr>
          <w:rFonts w:hint="cs"/>
          <w:rtl/>
        </w:rPr>
        <w:t xml:space="preserve">וכתב </w:t>
      </w:r>
      <w:r w:rsidRPr="00E348F4">
        <w:rPr>
          <w:rStyle w:val="aff4"/>
          <w:rFonts w:hint="cs"/>
          <w:vanish/>
          <w:rtl/>
        </w:rPr>
        <w:t>-</w:t>
      </w:r>
      <w:r w:rsidRPr="00E348F4">
        <w:rPr>
          <w:rStyle w:val="aff4"/>
          <w:rFonts w:hint="cs"/>
          <w:rtl/>
        </w:rPr>
        <w:t>הר"ן</w:t>
      </w:r>
      <w:r w:rsidRPr="00E348F4">
        <w:rPr>
          <w:rStyle w:val="aff4"/>
          <w:rFonts w:hint="cs"/>
          <w:vanish/>
          <w:rtl/>
        </w:rPr>
        <w:t>-</w:t>
      </w:r>
      <w:r>
        <w:rPr>
          <w:rFonts w:hint="cs"/>
          <w:rtl/>
        </w:rPr>
        <w:t xml:space="preserve"> </w:t>
      </w:r>
      <w:r w:rsidRPr="00435678">
        <w:rPr>
          <w:rStyle w:val="af2"/>
          <w:rFonts w:eastAsia="Guttman Hodes" w:hint="cs"/>
          <w:rtl/>
        </w:rPr>
        <w:t>(ד"ה לפיכך)</w:t>
      </w:r>
      <w:r w:rsidRPr="00435678">
        <w:rPr>
          <w:rFonts w:hint="cs"/>
          <w:vanish/>
          <w:rtl/>
        </w:rPr>
        <w:t>=</w:t>
      </w:r>
      <w:r>
        <w:rPr>
          <w:rFonts w:hint="cs"/>
          <w:rtl/>
        </w:rPr>
        <w:t xml:space="preserve"> דרבי אבהו ס"ל דכיון דחייבה תורה מקלקל בהבערה ומילה, מוכח דבכל אופן שהוא מקלקל ואין תיקון בדבר עצמו אלא בדבר אחר חייב, וריו"ח דחה את דברי רבי אבהו דבמקלקל גמור היא מלאכה של שטות, ולא שייך לקרותה מלאכת מחשבת ולחייב עליה, כיון שאינו מתכוין לדבר כלשהו, כמילה ושריפת בת כהן שיש לו כוונה לדבר אחר שאינו מגוף המלאכה.</w:t>
      </w:r>
    </w:p>
    <w:p w14:paraId="0E7F13FD" w14:textId="77777777" w:rsidR="00274E65" w:rsidRPr="00747170" w:rsidRDefault="00274E65" w:rsidP="00747170">
      <w:pPr>
        <w:pStyle w:val="a2"/>
      </w:pPr>
      <w:r w:rsidRPr="00747170">
        <w:rPr>
          <w:rtl/>
        </w:rPr>
        <w:t>ורבי אבוהו ה"ק מדגלי לן רחמנא הכי בהבערה ומילה ש"מ דמקלקל במלאכות הללו חייב כל היכא שאינו נמשך מעצמן תיקון שאינו מגופן עד שתהא מלאכה ראויה להיותה טפלה לאותו תיקון דומיא דהורג את הנחש כדי שלא ישכנו</w:t>
      </w:r>
      <w:r w:rsidRPr="00747170">
        <w:rPr>
          <w:rFonts w:hint="cs"/>
          <w:rtl/>
        </w:rPr>
        <w:t>,</w:t>
      </w:r>
      <w:r w:rsidRPr="00747170">
        <w:rPr>
          <w:rtl/>
        </w:rPr>
        <w:t xml:space="preserve"> </w:t>
      </w:r>
      <w:r w:rsidRPr="00747170">
        <w:rPr>
          <w:rFonts w:hint="cs"/>
          <w:rtl/>
        </w:rPr>
        <w:t>וכו',</w:t>
      </w:r>
      <w:r w:rsidRPr="00747170">
        <w:rPr>
          <w:rtl/>
        </w:rPr>
        <w:t xml:space="preserve"> ורבי יוחנן שתקיה לרבי אבהו דאמר ליה שאינה משנה שאין ללמוד מקלקל גמור בחובל ומבעיר (ממילא) [ממילה] והבערה דבת כהן משום דבהנהו הרי הוא מתכוין לדבר ואף על פי שאותו דבר אינו מגופו של מלאכה אין המלאכה מתבטלת ונגררת אחר אותו דבר כדי שיפטר עליה שאותו דבר אינו יוצא מטבעה של אותו מלאכה אלא מחמת מצותו של מקום הילכך כל שעושה מלאכתו בכונה מלאכת מחשבת מקריא להיות מחייב עליה אבל מקלקל גמור מלאכה של שטות היא ואי אפשר שתהא קרויה מלאכת מחשבת שיתחייב עליה</w:t>
      </w:r>
      <w:r w:rsidRPr="00747170">
        <w:rPr>
          <w:rFonts w:hint="cs"/>
          <w:rtl/>
        </w:rPr>
        <w:t>.</w:t>
      </w:r>
    </w:p>
    <w:p w14:paraId="2AF9567D" w14:textId="77777777" w:rsidR="00FF4D6E" w:rsidRDefault="00FF4D6E" w:rsidP="00274E65">
      <w:pPr>
        <w:pStyle w:val="a7"/>
        <w:rPr>
          <w:rtl/>
        </w:rPr>
      </w:pPr>
      <w:bookmarkStart w:id="4297" w:name="_Toc140744011"/>
    </w:p>
    <w:p w14:paraId="3C2E8E0D" w14:textId="25EA5CDD" w:rsidR="00274E65" w:rsidRPr="00242415" w:rsidRDefault="00274E65" w:rsidP="00274E65">
      <w:pPr>
        <w:pStyle w:val="a7"/>
        <w:rPr>
          <w:rtl/>
        </w:rPr>
      </w:pPr>
      <w:r>
        <w:rPr>
          <w:rFonts w:hint="cs"/>
          <w:rtl/>
        </w:rPr>
        <w:lastRenderedPageBreak/>
        <w:t>בי' הר"ן בריו"ח דמילה אף שהתיקון בד"א מ"מ גילתה תורה דלא נטפלת לו ול"ה משאצל"ג</w:t>
      </w:r>
      <w:bookmarkEnd w:id="4297"/>
    </w:p>
    <w:p w14:paraId="610C6AF4" w14:textId="77777777" w:rsidR="00274E65" w:rsidRDefault="00274E65" w:rsidP="00BC7DC8">
      <w:pPr>
        <w:pStyle w:val="a3"/>
        <w:rPr>
          <w:rtl/>
        </w:rPr>
      </w:pPr>
      <w:r>
        <w:rPr>
          <w:rFonts w:hint="cs"/>
          <w:rtl/>
        </w:rPr>
        <w:t xml:space="preserve">וביאר </w:t>
      </w:r>
      <w:r w:rsidRPr="00E348F4">
        <w:rPr>
          <w:rStyle w:val="aff4"/>
          <w:rFonts w:hint="cs"/>
          <w:vanish/>
          <w:rtl/>
        </w:rPr>
        <w:t>-</w:t>
      </w:r>
      <w:r w:rsidRPr="00E348F4">
        <w:rPr>
          <w:rStyle w:val="aff4"/>
          <w:rFonts w:hint="cs"/>
          <w:rtl/>
        </w:rPr>
        <w:t>הר"ן</w:t>
      </w:r>
      <w:r w:rsidRPr="00E348F4">
        <w:rPr>
          <w:rStyle w:val="aff4"/>
          <w:rFonts w:hint="cs"/>
          <w:vanish/>
          <w:rtl/>
        </w:rPr>
        <w:t>-</w:t>
      </w:r>
      <w:r>
        <w:rPr>
          <w:rFonts w:hint="cs"/>
          <w:rtl/>
        </w:rPr>
        <w:t xml:space="preserve"> דס"ל לריו"ח דבמילה ובת כהן הוא מתכוין לעשות דבר, וא"א ללמוד מזה למקלקל גמור, ואף שאותו הדבר שעושה אותו אינו מגוף המלאכה, אף שהתיקון הזה צריך לפטור את המלאכה כיון שאינו תיקון שיוצא מהטבע של המלאכה, אלא הוא מצוה, מ"מ מדחייבה תורה מוכח דהמלאכה אינה נטפלת ונגררת אחר דבר הזה.</w:t>
      </w:r>
    </w:p>
    <w:p w14:paraId="346FF180" w14:textId="77777777" w:rsidR="00274E65" w:rsidRPr="00747170" w:rsidRDefault="00274E65" w:rsidP="00747170">
      <w:pPr>
        <w:pStyle w:val="a2"/>
      </w:pPr>
      <w:r w:rsidRPr="00747170">
        <w:rPr>
          <w:rtl/>
        </w:rPr>
        <w:t>ורבי יוחנן שתקיה לרבי אבהו דאמר ליה שאינה משנה שאין ללמוד מקלקל גמור בחובל ומבעיר (ממילא) [ממילה] והבערה דבת כהן משום דבהנהו הרי הוא מתכוין לדבר ואף על פי שאותו דבר אינו מגופו של מלאכה אין המלאכה מתבטלת ונגררת אחר אותו דבר כדי שיפטר עליה שאותו דבר אינו יוצא מטבעה של אותו מלאכה אלא מחמת מצותו של מקום</w:t>
      </w:r>
      <w:r w:rsidRPr="00747170">
        <w:rPr>
          <w:rFonts w:hint="cs"/>
          <w:rtl/>
        </w:rPr>
        <w:t>.</w:t>
      </w:r>
    </w:p>
    <w:p w14:paraId="459093B1" w14:textId="77777777" w:rsidR="00274E65" w:rsidRPr="00F84CCC" w:rsidRDefault="00274E65" w:rsidP="00274E65">
      <w:pPr>
        <w:pStyle w:val="a7"/>
      </w:pPr>
      <w:bookmarkStart w:id="4298" w:name="_Toc140744012"/>
      <w:r>
        <w:rPr>
          <w:rFonts w:hint="cs"/>
          <w:rtl/>
        </w:rPr>
        <w:t>בי' הר"ן דילפי' לכל מקלקל בחבורה עם כוונה לתיקון בד"א דהוי מלאכת מחשבת כחובל לכלבו</w:t>
      </w:r>
      <w:bookmarkEnd w:id="4298"/>
    </w:p>
    <w:p w14:paraId="567EBF1F" w14:textId="77777777" w:rsidR="00274E65" w:rsidRDefault="00274E65" w:rsidP="00BC7DC8">
      <w:pPr>
        <w:pStyle w:val="a3"/>
        <w:rPr>
          <w:rtl/>
        </w:rPr>
      </w:pPr>
      <w:r>
        <w:rPr>
          <w:rFonts w:hint="cs"/>
          <w:rtl/>
        </w:rPr>
        <w:t xml:space="preserve">וכתב </w:t>
      </w:r>
      <w:r w:rsidRPr="00E348F4">
        <w:rPr>
          <w:rStyle w:val="aff4"/>
          <w:rFonts w:hint="cs"/>
          <w:vanish/>
          <w:rtl/>
        </w:rPr>
        <w:t>-</w:t>
      </w:r>
      <w:r w:rsidRPr="00E348F4">
        <w:rPr>
          <w:rStyle w:val="aff4"/>
          <w:rFonts w:hint="cs"/>
          <w:rtl/>
        </w:rPr>
        <w:t>הר"ן</w:t>
      </w:r>
      <w:r w:rsidRPr="00E348F4">
        <w:rPr>
          <w:rStyle w:val="aff4"/>
          <w:rFonts w:hint="cs"/>
          <w:vanish/>
          <w:rtl/>
        </w:rPr>
        <w:t>-</w:t>
      </w:r>
      <w:r>
        <w:rPr>
          <w:rFonts w:hint="cs"/>
          <w:rtl/>
        </w:rPr>
        <w:t xml:space="preserve"> דס"ל לריו"ח דלכן ילפינן דהמלאכה עצמה חשיבא מלאכת מחשבת, וכל מקלקל בחבורה דעושה בכוונה נקרא מלאכת מחשבת, ולכן אמר ריו"ח דאף את"ל דיש משנה דחייב לר"ש בחובל ומבעיר היינו בצריך לכלבו ולאפרו</w:t>
      </w:r>
      <w:r w:rsidRPr="006444FD">
        <w:rPr>
          <w:rFonts w:hint="cs"/>
          <w:rtl/>
        </w:rPr>
        <w:t xml:space="preserve"> </w:t>
      </w:r>
      <w:r>
        <w:rPr>
          <w:rFonts w:hint="cs"/>
          <w:rtl/>
        </w:rPr>
        <w:t>חייב לר"ש, כיון שיש לו כוונה לדבר כלשהוא, אעפ"י דהמלאכה עצמה היא מלאכת קלקול.</w:t>
      </w:r>
    </w:p>
    <w:p w14:paraId="5776EF96" w14:textId="77777777" w:rsidR="00274E65" w:rsidRPr="00747170" w:rsidRDefault="00274E65" w:rsidP="00747170">
      <w:pPr>
        <w:pStyle w:val="a2"/>
      </w:pPr>
      <w:r w:rsidRPr="00747170">
        <w:rPr>
          <w:rtl/>
        </w:rPr>
        <w:t>הילכך כל שעושה מלאכתו בכונה מלאכת מחשבת מקריא להיות מחייב עליה אבל מקלקל גמור מלאכה של שטות היא ואי אפשר שתהא קרויה מלאכת מחשבת שיתחייב עליה הילכך אם תמצא לומר משנה אליבא דר"ש חובל בצריך לכלבו ומבעיר וצריך לאפרו שהוא מתכוין לאיזה דבר ואף על פי שהיא מלאכה של קלקול חייב עליה לרבי שמעון</w:t>
      </w:r>
      <w:r w:rsidRPr="00747170">
        <w:rPr>
          <w:rFonts w:hint="cs"/>
          <w:rtl/>
        </w:rPr>
        <w:t>.</w:t>
      </w:r>
    </w:p>
    <w:p w14:paraId="08D239D8" w14:textId="77777777" w:rsidR="00274E65" w:rsidRPr="00D508AF" w:rsidRDefault="00274E65" w:rsidP="00274E65">
      <w:pPr>
        <w:pStyle w:val="a7"/>
      </w:pPr>
      <w:bookmarkStart w:id="4299" w:name="_Toc140744013"/>
      <w:r>
        <w:rPr>
          <w:rFonts w:hint="cs"/>
          <w:rtl/>
        </w:rPr>
        <w:t>בי' הר"ן דמקלקל בחבורה בתיקון מועט אף דאינו רגילות מ"מ המלאכה לא נגררת אחר התיקון</w:t>
      </w:r>
      <w:bookmarkEnd w:id="4299"/>
    </w:p>
    <w:p w14:paraId="0401B99C" w14:textId="77777777" w:rsidR="00274E65" w:rsidRDefault="00274E65" w:rsidP="00BC7DC8">
      <w:pPr>
        <w:pStyle w:val="a3"/>
        <w:rPr>
          <w:rtl/>
        </w:rPr>
      </w:pPr>
      <w:r>
        <w:rPr>
          <w:rFonts w:hint="cs"/>
          <w:rtl/>
        </w:rPr>
        <w:t xml:space="preserve">וכתב </w:t>
      </w:r>
      <w:r w:rsidRPr="00E348F4">
        <w:rPr>
          <w:rStyle w:val="aff4"/>
          <w:rFonts w:hint="cs"/>
          <w:vanish/>
          <w:rtl/>
        </w:rPr>
        <w:t>-</w:t>
      </w:r>
      <w:r w:rsidRPr="00E348F4">
        <w:rPr>
          <w:rStyle w:val="aff4"/>
          <w:rFonts w:hint="cs"/>
          <w:rtl/>
        </w:rPr>
        <w:t>הר"ן</w:t>
      </w:r>
      <w:r w:rsidRPr="00E348F4">
        <w:rPr>
          <w:rStyle w:val="aff4"/>
          <w:rFonts w:hint="cs"/>
          <w:vanish/>
          <w:rtl/>
        </w:rPr>
        <w:t>-</w:t>
      </w:r>
      <w:r>
        <w:rPr>
          <w:rFonts w:hint="cs"/>
          <w:rtl/>
        </w:rPr>
        <w:t xml:space="preserve"> דס"ל לריו"ח דר"ש מחייב במקלקל בחבורה בתיקון מועט, בין מגוף המלאכה ובין שאינו מגופה, דבתיקון בגופה מדינא חייב, </w:t>
      </w:r>
      <w:r w:rsidRPr="00A57D7B">
        <w:rPr>
          <w:rStyle w:val="af"/>
          <w:rFonts w:hint="cs"/>
          <w:rtl/>
        </w:rPr>
        <w:t>[אף שהמלאכה עצמה היא מלאכת קלקול, והתיקון הוא תיקון מועט],</w:t>
      </w:r>
      <w:r>
        <w:rPr>
          <w:rFonts w:hint="cs"/>
          <w:rtl/>
        </w:rPr>
        <w:t xml:space="preserve"> ואף בתיקון מועט שאינו מגופה דאין דרך בנ"א לעשות כן, כגון בחובל לכלבו ומבעיר לאפרו, וה"ה בכל מקלקל עם תיקון מועט דאינו דרך, ורק האדם הזה עשה כן כיון שיש לו צורך לרפואה וכדומה חייב, כיון דמקלקל בחבורה חייב אין המלאכה נגררת אחר התיקון בדבר האחר ואינה נטפלת לו, ואין לה דין מלאכה שאינה צריכה לגופה, וחייב עליה לר"ש, אבל לדעת ר"י כתב </w:t>
      </w:r>
      <w:r w:rsidRPr="00E348F4">
        <w:rPr>
          <w:rStyle w:val="aff4"/>
          <w:rFonts w:hint="cs"/>
          <w:vanish/>
          <w:rtl/>
        </w:rPr>
        <w:t>-</w:t>
      </w:r>
      <w:r w:rsidRPr="00E348F4">
        <w:rPr>
          <w:rStyle w:val="aff4"/>
          <w:rFonts w:hint="cs"/>
          <w:rtl/>
        </w:rPr>
        <w:t>הר"ן</w:t>
      </w:r>
      <w:r w:rsidRPr="00E348F4">
        <w:rPr>
          <w:rStyle w:val="aff4"/>
          <w:rFonts w:hint="cs"/>
          <w:vanish/>
          <w:rtl/>
        </w:rPr>
        <w:t>-</w:t>
      </w:r>
      <w:r>
        <w:rPr>
          <w:rFonts w:hint="cs"/>
          <w:rtl/>
        </w:rPr>
        <w:t xml:space="preserve"> דפטור עליה כיון דהמלאכה היא מלאכת קלקול, וא"א ללמוד ממילה ושריפת בת כהן כיון דלר"י אין חילוק בין תיקון במילה לתיקון בכלי, והיינו דהתיקון של מילה הוא תיקון גמור, אף שאינו מגוף המלאכה.</w:t>
      </w:r>
    </w:p>
    <w:p w14:paraId="513A5A9B" w14:textId="77777777" w:rsidR="00274E65" w:rsidRPr="00747170" w:rsidRDefault="00274E65" w:rsidP="00747170">
      <w:pPr>
        <w:pStyle w:val="a2"/>
        <w:rPr>
          <w:rtl/>
        </w:rPr>
      </w:pPr>
      <w:r w:rsidRPr="00747170">
        <w:rPr>
          <w:rtl/>
        </w:rPr>
        <w:t>בין שתאמר שיהא אותו התיקון מועט שיש בה מגופה של מלאכה או שאינו מגופה של מלאכה שאם הוא מגופה של מלאכה (בין) אינו בדין שהוא פוטר אותה ואפי' תאמר שאינו מגופה של מלאכה כיון שאין דרכן של בני אדם לחבול בשביל כלב או להבעיר בשביל האפר אלא זה בלבד הוא שעשה כן מפני שהיה צריך לרפואה או לכיוצא בה הילכך אין המלאכה נגררת אחר אותו תיקון כדי שיפטר עליה משום מלאכה שאינה צריכה לגופה ולפי' הוא חייב עליה אליבא דר"ש ולר"י פטור כיון שהיא מלאכת קלקול דליכא למילף (ממילא) [ממילה] דמה לי מתקן מילה מ"ל מתקן כלי כלומר דתיקון חשוב גמור הוא ואף על פי שאינה מגופה של מלאכה לא איכפת ליה לר"י כנ"ל:</w:t>
      </w:r>
    </w:p>
    <w:p w14:paraId="46B2CA58" w14:textId="77777777" w:rsidR="00274E65" w:rsidRDefault="00274E65" w:rsidP="00274E65">
      <w:pPr>
        <w:pStyle w:val="affff5"/>
        <w:rPr>
          <w:rtl/>
        </w:rPr>
      </w:pPr>
      <w:bookmarkStart w:id="4300" w:name="_Toc140744014"/>
      <w:r w:rsidRPr="00716C93">
        <w:rPr>
          <w:rFonts w:hint="cs"/>
          <w:rtl/>
        </w:rPr>
        <w:t>~~~~~~~~~~~~~~~~~~~~~~~~~~~~</w:t>
      </w:r>
      <w:bookmarkEnd w:id="4300"/>
    </w:p>
    <w:p w14:paraId="54096A3C" w14:textId="77777777" w:rsidR="00274E65" w:rsidRPr="00907DCB" w:rsidRDefault="00274E65" w:rsidP="00274E65">
      <w:pPr>
        <w:pStyle w:val="affff5"/>
        <w:rPr>
          <w:rtl/>
        </w:rPr>
      </w:pPr>
      <w:bookmarkStart w:id="4301" w:name="_Toc140744015"/>
      <w:r>
        <w:rPr>
          <w:rFonts w:hint="cs"/>
          <w:rtl/>
        </w:rPr>
        <w:t>בי' הרשב"א דעצים לבישול כמילה</w:t>
      </w:r>
      <w:bookmarkEnd w:id="4301"/>
    </w:p>
    <w:p w14:paraId="083D5897" w14:textId="77777777" w:rsidR="00274E65" w:rsidRDefault="00274E65" w:rsidP="00274E65">
      <w:pPr>
        <w:pStyle w:val="1"/>
        <w:rPr>
          <w:rtl/>
        </w:rPr>
      </w:pPr>
      <w:bookmarkStart w:id="4302" w:name="_Toc140744016"/>
      <w:bookmarkStart w:id="4303" w:name="_Toc140058119"/>
      <w:bookmarkEnd w:id="4264"/>
      <w:bookmarkEnd w:id="4265"/>
      <w:r>
        <w:rPr>
          <w:rFonts w:hint="cs"/>
          <w:rtl/>
        </w:rPr>
        <w:t>בי' הרשב"א בב"ק דמבעיר עצים לבישול מקלקל וילפי' דחייב</w:t>
      </w:r>
      <w:bookmarkEnd w:id="4302"/>
    </w:p>
    <w:p w14:paraId="347C55B3" w14:textId="77777777" w:rsidR="00274E65" w:rsidRDefault="00274E65" w:rsidP="00274E65">
      <w:pPr>
        <w:pStyle w:val="afffff7"/>
        <w:rPr>
          <w:rtl/>
        </w:rPr>
      </w:pPr>
      <w:bookmarkStart w:id="4304" w:name="_Toc140744091"/>
      <w:bookmarkStart w:id="4305" w:name="_Hlk140419996"/>
      <w:bookmarkStart w:id="4306" w:name="_Hlk140421152"/>
      <w:bookmarkStart w:id="4307" w:name="_Toc163506039"/>
      <w:r>
        <w:rPr>
          <w:rtl/>
        </w:rPr>
        <w:t>חדושי הרשב"א ב"ק ל"ד ע"ב</w:t>
      </w:r>
      <w:r>
        <w:rPr>
          <w:rFonts w:hint="cs"/>
          <w:rtl/>
        </w:rPr>
        <w:t xml:space="preserve"> ד</w:t>
      </w:r>
      <w:r>
        <w:rPr>
          <w:rFonts w:cs="Guttman Hodes" w:hint="cs"/>
          <w:rtl/>
        </w:rPr>
        <w:t>"</w:t>
      </w:r>
      <w:r>
        <w:rPr>
          <w:rFonts w:hint="cs"/>
          <w:rtl/>
        </w:rPr>
        <w:t>ה תני</w:t>
      </w:r>
      <w:bookmarkEnd w:id="4304"/>
      <w:bookmarkEnd w:id="4307"/>
    </w:p>
    <w:p w14:paraId="20F07A63" w14:textId="77777777" w:rsidR="00274E65" w:rsidRDefault="00274E65" w:rsidP="00274E65">
      <w:pPr>
        <w:pStyle w:val="a7"/>
        <w:rPr>
          <w:rtl/>
        </w:rPr>
      </w:pPr>
      <w:bookmarkStart w:id="4308" w:name="_Toc140744017"/>
      <w:r>
        <w:rPr>
          <w:rFonts w:hint="cs"/>
          <w:rtl/>
        </w:rPr>
        <w:t>בי' הרשב"א בב"ק דמדינא אף הבערת עצים צריך להפטר וכן מילה ובת כהן דהם קלקול בגופן</w:t>
      </w:r>
      <w:bookmarkEnd w:id="4308"/>
    </w:p>
    <w:p w14:paraId="4493F0F2" w14:textId="5DF2C7E0" w:rsidR="00274E65" w:rsidRPr="00564F7A" w:rsidRDefault="00274E65" w:rsidP="00BC7DC8">
      <w:pPr>
        <w:pStyle w:val="a3"/>
        <w:rPr>
          <w:rtl/>
        </w:rPr>
      </w:pPr>
      <w:bookmarkStart w:id="4309" w:name="_Ref140404196"/>
      <w:r>
        <w:rPr>
          <w:rFonts w:hint="cs"/>
          <w:rtl/>
        </w:rPr>
        <w:t>כתב</w:t>
      </w:r>
      <w:bookmarkStart w:id="4310" w:name="_Hlk140419771"/>
      <w:r>
        <w:rPr>
          <w:rFonts w:hint="cs"/>
          <w:rtl/>
        </w:rPr>
        <w:t xml:space="preserve"> </w:t>
      </w:r>
      <w:r w:rsidRPr="000F0F83">
        <w:rPr>
          <w:rStyle w:val="aff4"/>
          <w:rFonts w:hint="cs"/>
          <w:vanish/>
          <w:rtl/>
        </w:rPr>
        <w:t>-</w:t>
      </w:r>
      <w:bookmarkStart w:id="4311" w:name="_Hlk140421191"/>
      <w:r w:rsidRPr="00066340">
        <w:rPr>
          <w:rStyle w:val="aff4"/>
          <w:rFonts w:hint="cs"/>
          <w:rtl/>
        </w:rPr>
        <w:t>ה</w:t>
      </w:r>
      <w:r w:rsidRPr="000F0F83">
        <w:rPr>
          <w:rStyle w:val="aff4"/>
          <w:rFonts w:hint="cs"/>
          <w:vanish/>
          <w:rtl/>
        </w:rPr>
        <w:t xml:space="preserve">&lt;, </w:t>
      </w:r>
      <w:r w:rsidRPr="000F0F83">
        <w:rPr>
          <w:rStyle w:val="aff4"/>
          <w:vanish/>
          <w:rtl/>
        </w:rPr>
        <w:fldChar w:fldCharType="begin"/>
      </w:r>
      <w:r w:rsidRPr="000F0F83">
        <w:rPr>
          <w:rStyle w:val="aff4"/>
          <w:vanish/>
          <w:rtl/>
        </w:rPr>
        <w:instrText xml:space="preserve"> </w:instrText>
      </w:r>
      <w:r w:rsidRPr="000F0F83">
        <w:rPr>
          <w:rStyle w:val="aff4"/>
          <w:rFonts w:hint="cs"/>
          <w:vanish/>
        </w:rPr>
        <w:instrText>REF</w:instrText>
      </w:r>
      <w:r w:rsidRPr="000F0F83">
        <w:rPr>
          <w:rStyle w:val="aff4"/>
          <w:rFonts w:hint="cs"/>
          <w:vanish/>
          <w:rtl/>
        </w:rPr>
        <w:instrText xml:space="preserve"> _</w:instrText>
      </w:r>
      <w:r w:rsidRPr="000F0F83">
        <w:rPr>
          <w:rStyle w:val="aff4"/>
          <w:rFonts w:hint="cs"/>
          <w:vanish/>
        </w:rPr>
        <w:instrText>Ref140404196 \r \h</w:instrText>
      </w:r>
      <w:r w:rsidRPr="000F0F83">
        <w:rPr>
          <w:rStyle w:val="aff4"/>
          <w:vanish/>
          <w:rtl/>
        </w:rPr>
        <w:instrText xml:space="preserve"> </w:instrText>
      </w:r>
      <w:r>
        <w:rPr>
          <w:rStyle w:val="aff4"/>
          <w:vanish/>
          <w:rtl/>
        </w:rPr>
        <w:instrText xml:space="preserve"> \* </w:instrText>
      </w:r>
      <w:r>
        <w:rPr>
          <w:rStyle w:val="aff4"/>
          <w:vanish/>
        </w:rPr>
        <w:instrText>MERGEFORMAT</w:instrText>
      </w:r>
      <w:r>
        <w:rPr>
          <w:rStyle w:val="aff4"/>
          <w:vanish/>
          <w:rtl/>
        </w:rPr>
        <w:instrText xml:space="preserve"> </w:instrText>
      </w:r>
      <w:r w:rsidRPr="000F0F83">
        <w:rPr>
          <w:rStyle w:val="aff4"/>
          <w:vanish/>
          <w:rtl/>
        </w:rPr>
      </w:r>
      <w:r w:rsidRPr="000F0F83">
        <w:rPr>
          <w:rStyle w:val="aff4"/>
          <w:vanish/>
          <w:rtl/>
        </w:rPr>
        <w:fldChar w:fldCharType="separate"/>
      </w:r>
      <w:r w:rsidR="00D82181">
        <w:rPr>
          <w:rStyle w:val="aff4"/>
          <w:vanish/>
          <w:cs/>
        </w:rPr>
        <w:t>‎</w:t>
      </w:r>
      <w:r w:rsidR="00D82181">
        <w:rPr>
          <w:rStyle w:val="aff4"/>
          <w:vanish/>
          <w:rtl/>
        </w:rPr>
        <w:t>נט)</w:t>
      </w:r>
      <w:r w:rsidRPr="000F0F83">
        <w:rPr>
          <w:rStyle w:val="aff4"/>
          <w:vanish/>
          <w:rtl/>
        </w:rPr>
        <w:fldChar w:fldCharType="end"/>
      </w:r>
      <w:r w:rsidRPr="000F0F83">
        <w:rPr>
          <w:rStyle w:val="aff4"/>
          <w:rFonts w:hint="cs"/>
          <w:vanish/>
          <w:rtl/>
        </w:rPr>
        <w:t xml:space="preserve"> &gt;</w:t>
      </w:r>
      <w:r w:rsidRPr="00066340">
        <w:rPr>
          <w:rStyle w:val="aff4"/>
          <w:rFonts w:hint="cs"/>
          <w:rtl/>
        </w:rPr>
        <w:t>רשב"א בב"ק</w:t>
      </w:r>
      <w:r w:rsidRPr="000F0F83">
        <w:rPr>
          <w:rStyle w:val="aff4"/>
          <w:rFonts w:hint="cs"/>
          <w:vanish/>
          <w:rtl/>
        </w:rPr>
        <w:t>-</w:t>
      </w:r>
      <w:r>
        <w:rPr>
          <w:rFonts w:hint="cs"/>
          <w:rtl/>
        </w:rPr>
        <w:t xml:space="preserve"> </w:t>
      </w:r>
      <w:bookmarkEnd w:id="4310"/>
      <w:r w:rsidRPr="00066340">
        <w:rPr>
          <w:rStyle w:val="af2"/>
          <w:rFonts w:eastAsia="Guttman Hodes" w:hint="cs"/>
          <w:rtl/>
        </w:rPr>
        <w:t>(לד: ד"ה תני)</w:t>
      </w:r>
      <w:r w:rsidRPr="006C609D">
        <w:rPr>
          <w:rFonts w:hint="cs"/>
          <w:vanish/>
          <w:rtl/>
        </w:rPr>
        <w:t>=</w:t>
      </w:r>
      <w:r>
        <w:rPr>
          <w:rFonts w:hint="cs"/>
          <w:rtl/>
        </w:rPr>
        <w:t xml:space="preserve"> </w:t>
      </w:r>
      <w:bookmarkEnd w:id="4305"/>
      <w:r>
        <w:rPr>
          <w:rFonts w:hint="cs"/>
          <w:rtl/>
        </w:rPr>
        <w:t xml:space="preserve">דמקור </w:t>
      </w:r>
      <w:bookmarkEnd w:id="4306"/>
      <w:bookmarkEnd w:id="4311"/>
      <w:r>
        <w:rPr>
          <w:rFonts w:hint="cs"/>
          <w:rtl/>
        </w:rPr>
        <w:t xml:space="preserve">פלוגתת ר"י ור"ש במלאכה שאינה צריכה לגופה היא ממלאכת מחשבת, דבכל המלאכות שהיו במשכן היה צורך לגוף המלאכה, והיה תיקון בכל אחת מהמלאכות, ולכן ס"ל לר"ש דמקלקל בגוף המלאכה פטור אף כשיש תיקון בדבר אחר, ואף בתיקון חשוב כמבעיר עצים לבשל היה צריך להיות פטור מדינא כמו בשאר המלאכות, וכן מדינא היה צריך להיות מותר למול בשבת אף בלא ההיתר שהתירה תורה, כיון דהמילה לא עושה תיקון בגוף התינוק, והתיקון שבה הוא רק תיקון בעלמא שהתינוק מוכשר לתרומה ולפסח, ועוד שיש בה תיקון של מצוה, מ"מ מדינא צריך להיות פטור ככל מקלקל בשבת, כיון דהמלאכה עצמה היא מלאכת קלקול דהתינוק נפצע והיא מקלקלת את גופו, וכן מדינא הבערת בת כהן מותרת בשבת דהיא קלקול, וכתב </w:t>
      </w:r>
      <w:r w:rsidRPr="000F0F83">
        <w:rPr>
          <w:rStyle w:val="aff4"/>
          <w:rFonts w:hint="cs"/>
          <w:vanish/>
          <w:rtl/>
        </w:rPr>
        <w:t>-</w:t>
      </w:r>
      <w:r w:rsidRPr="00066340">
        <w:rPr>
          <w:rStyle w:val="aff4"/>
          <w:rFonts w:hint="cs"/>
          <w:rtl/>
        </w:rPr>
        <w:t>הרשב"א בב"ק</w:t>
      </w:r>
      <w:r w:rsidRPr="000F0F83">
        <w:rPr>
          <w:rStyle w:val="aff4"/>
          <w:rFonts w:hint="cs"/>
          <w:vanish/>
          <w:rtl/>
        </w:rPr>
        <w:t>-</w:t>
      </w:r>
      <w:r>
        <w:rPr>
          <w:rFonts w:hint="cs"/>
          <w:rtl/>
        </w:rPr>
        <w:t xml:space="preserve"> דמהא דההתירה תורה מילה בשבת מוכח דלולי ההיתר הייתה המילה צריכה להיות אסורה, וכן מדאסרה תורה הבערת בת כהן, מוכח דאינה בכלל כל המקלקלין דפטורים.</w:t>
      </w:r>
      <w:bookmarkEnd w:id="4309"/>
      <w:r>
        <w:rPr>
          <w:rFonts w:hint="cs"/>
          <w:rtl/>
        </w:rPr>
        <w:t xml:space="preserve"> </w:t>
      </w:r>
    </w:p>
    <w:p w14:paraId="7A8F4A9A" w14:textId="77777777" w:rsidR="00274E65" w:rsidRPr="00747170" w:rsidRDefault="00274E65" w:rsidP="00747170">
      <w:pPr>
        <w:pStyle w:val="a2"/>
        <w:rPr>
          <w:rtl/>
        </w:rPr>
      </w:pPr>
      <w:r w:rsidRPr="00747170">
        <w:rPr>
          <w:rtl/>
        </w:rPr>
        <w:t>ויסוד הכל מה שאמרו מלאכת מחשבת אסרה תורה דכל מלאכת שבת ממשכן ילפינן להו וכל מלאכות המשכן צריכות היו לגופן ותיקון הי' בכל אחת מהן, והלכך הי' ר' שמעון סובר דכל מלאכה שיש קלקול בגופה אף על פי שיש בה תיקון בעלמא ואפילו תיקון חשוב כמבעיר עצים לבשל בהם פתו ותבשילו מן הדין פטור, ומן הדין אף על פי שלא התירה התורה בפירוש מילה בשבת מותר הי' למול בשבת לפי שאין המילה תיקון בגופו של תינוק ואף על פי שיש בה תיקון בעלמא שמכשרת את התינוק לתרומה ולפסחים ועוד שיש בה תיקון מצוה, מ"מ כיון דהתינוק נפצע וגופו מתקלקל בה כמקלקלין בעלמא חשבינן ליה ופטור, והבערת בת כהן היתה מותרת, ולפיכך כשהתירה התורה מילה בשבת שמענו כי לולא שהתירה התורה היתה אסורה וא"כ אינה בכלל שאר המקלקלין, וכן מאיסור הבערה של בת כהן שמענו ג"כ שאף היא אינה בכלל שאר המקלקלין. וזו היא ששנינו בברייתא דתני ר' אבהו כל המקלקלין פטורין חוץ מחובל ומבעיר דממילה יצא חובל ומהבערת בת כהן יצא מבעיר כדעת ר' שמעון</w:t>
      </w:r>
      <w:r w:rsidRPr="00747170">
        <w:rPr>
          <w:rFonts w:hint="cs"/>
          <w:rtl/>
        </w:rPr>
        <w:t>.</w:t>
      </w:r>
    </w:p>
    <w:p w14:paraId="662DFC37" w14:textId="77777777" w:rsidR="00274E65" w:rsidRDefault="00274E65" w:rsidP="00274E65">
      <w:pPr>
        <w:pStyle w:val="afffff7"/>
        <w:rPr>
          <w:rtl/>
        </w:rPr>
      </w:pPr>
      <w:bookmarkStart w:id="4312" w:name="_Toc140744092"/>
      <w:bookmarkStart w:id="4313" w:name="_Toc140058038"/>
      <w:bookmarkStart w:id="4314" w:name="_Toc163506040"/>
      <w:r>
        <w:rPr>
          <w:rtl/>
        </w:rPr>
        <w:t>חדושי הרשב"א ב"ק ל"ד ע"ב</w:t>
      </w:r>
      <w:r>
        <w:rPr>
          <w:rFonts w:hint="cs"/>
          <w:rtl/>
        </w:rPr>
        <w:t xml:space="preserve"> ד"ה ועכשיו</w:t>
      </w:r>
      <w:bookmarkEnd w:id="4312"/>
      <w:bookmarkEnd w:id="4314"/>
    </w:p>
    <w:p w14:paraId="0D31B701" w14:textId="77777777" w:rsidR="00274E65" w:rsidRDefault="00274E65" w:rsidP="00274E65">
      <w:pPr>
        <w:pStyle w:val="a7"/>
        <w:rPr>
          <w:rtl/>
        </w:rPr>
      </w:pPr>
      <w:bookmarkStart w:id="4315" w:name="_Toc140744018"/>
      <w:r>
        <w:rPr>
          <w:rFonts w:hint="cs"/>
          <w:rtl/>
        </w:rPr>
        <w:t>בי' הרשב"א בריו"ח דחובל ומבעיר צריך תיקון קצת ומבעיר לבישול כחובל לכלבו ומבעיר לאפר</w:t>
      </w:r>
      <w:bookmarkEnd w:id="4315"/>
      <w:r>
        <w:rPr>
          <w:rFonts w:hint="cs"/>
          <w:rtl/>
        </w:rPr>
        <w:t xml:space="preserve"> </w:t>
      </w:r>
    </w:p>
    <w:p w14:paraId="47465FDA" w14:textId="5BFAC402" w:rsidR="00274E65" w:rsidRDefault="00274E65" w:rsidP="00BC7DC8">
      <w:pPr>
        <w:pStyle w:val="a3"/>
      </w:pPr>
      <w:bookmarkStart w:id="4316" w:name="_Ref140420045"/>
      <w:r>
        <w:rPr>
          <w:rFonts w:hint="cs"/>
          <w:rtl/>
        </w:rPr>
        <w:t xml:space="preserve">וכתב </w:t>
      </w:r>
      <w:r w:rsidRPr="006A21CE">
        <w:rPr>
          <w:rStyle w:val="aff4"/>
          <w:rFonts w:hint="cs"/>
          <w:vanish/>
          <w:rtl/>
        </w:rPr>
        <w:t>-</w:t>
      </w:r>
      <w:r w:rsidRPr="00066340">
        <w:rPr>
          <w:rStyle w:val="aff4"/>
          <w:rFonts w:hint="cs"/>
          <w:rtl/>
        </w:rPr>
        <w:t>ה</w:t>
      </w:r>
      <w:r w:rsidRPr="006A21CE">
        <w:rPr>
          <w:rStyle w:val="aff4"/>
          <w:rFonts w:hint="cs"/>
          <w:vanish/>
          <w:rtl/>
        </w:rPr>
        <w:t xml:space="preserve">&lt;, </w:t>
      </w:r>
      <w:r>
        <w:rPr>
          <w:rtl/>
        </w:rPr>
        <w:fldChar w:fldCharType="begin"/>
      </w:r>
      <w:r w:rsidRPr="006A21CE">
        <w:rPr>
          <w:rStyle w:val="aff4"/>
          <w:vanish/>
          <w:rtl/>
        </w:rPr>
        <w:instrText xml:space="preserve"> </w:instrText>
      </w:r>
      <w:r w:rsidRPr="006A21CE">
        <w:rPr>
          <w:rStyle w:val="aff4"/>
          <w:rFonts w:hint="cs"/>
          <w:vanish/>
        </w:rPr>
        <w:instrText>REF</w:instrText>
      </w:r>
      <w:r w:rsidRPr="006A21CE">
        <w:rPr>
          <w:rStyle w:val="aff4"/>
          <w:rFonts w:hint="cs"/>
          <w:vanish/>
          <w:rtl/>
        </w:rPr>
        <w:instrText xml:space="preserve"> _</w:instrText>
      </w:r>
      <w:r w:rsidRPr="006A21CE">
        <w:rPr>
          <w:rStyle w:val="aff4"/>
          <w:rFonts w:hint="cs"/>
          <w:vanish/>
        </w:rPr>
        <w:instrText>Ref140420045 \r \h</w:instrText>
      </w:r>
      <w:r w:rsidRPr="006A21CE">
        <w:rPr>
          <w:rStyle w:val="aff4"/>
          <w:vanish/>
          <w:rtl/>
        </w:rPr>
        <w:instrText xml:space="preserve"> </w:instrText>
      </w:r>
      <w:r>
        <w:rPr>
          <w:rtl/>
        </w:rPr>
        <w:fldChar w:fldCharType="end"/>
      </w:r>
      <w:r w:rsidRPr="006A21CE">
        <w:rPr>
          <w:rStyle w:val="aff4"/>
          <w:vanish/>
          <w:rtl/>
        </w:rPr>
        <w:fldChar w:fldCharType="begin"/>
      </w:r>
      <w:r w:rsidRPr="006A21CE">
        <w:rPr>
          <w:rStyle w:val="aff4"/>
          <w:vanish/>
          <w:rtl/>
        </w:rPr>
        <w:instrText xml:space="preserve"> </w:instrText>
      </w:r>
      <w:r w:rsidRPr="006A21CE">
        <w:rPr>
          <w:rStyle w:val="aff4"/>
          <w:rFonts w:hint="cs"/>
          <w:vanish/>
        </w:rPr>
        <w:instrText>REF</w:instrText>
      </w:r>
      <w:r w:rsidRPr="006A21CE">
        <w:rPr>
          <w:rStyle w:val="aff4"/>
          <w:rFonts w:hint="cs"/>
          <w:vanish/>
          <w:rtl/>
        </w:rPr>
        <w:instrText xml:space="preserve"> _</w:instrText>
      </w:r>
      <w:r w:rsidRPr="006A21CE">
        <w:rPr>
          <w:rStyle w:val="aff4"/>
          <w:rFonts w:hint="cs"/>
          <w:vanish/>
        </w:rPr>
        <w:instrText>Ref140420045 \r \h</w:instrText>
      </w:r>
      <w:r w:rsidRPr="006A21CE">
        <w:rPr>
          <w:rStyle w:val="aff4"/>
          <w:vanish/>
          <w:rtl/>
        </w:rPr>
        <w:instrText xml:space="preserve"> </w:instrText>
      </w:r>
      <w:r w:rsidRPr="006A21CE">
        <w:rPr>
          <w:rStyle w:val="aff4"/>
          <w:vanish/>
          <w:rtl/>
        </w:rPr>
      </w:r>
      <w:r w:rsidRPr="006A21CE">
        <w:rPr>
          <w:rStyle w:val="aff4"/>
          <w:vanish/>
          <w:rtl/>
        </w:rPr>
        <w:fldChar w:fldCharType="separate"/>
      </w:r>
      <w:r w:rsidR="00D82181">
        <w:rPr>
          <w:rStyle w:val="aff4"/>
          <w:vanish/>
          <w:cs/>
        </w:rPr>
        <w:t>‎</w:t>
      </w:r>
      <w:r w:rsidR="00D82181">
        <w:rPr>
          <w:rStyle w:val="aff4"/>
          <w:vanish/>
          <w:rtl/>
        </w:rPr>
        <w:t>ס)</w:t>
      </w:r>
      <w:r w:rsidRPr="006A21CE">
        <w:rPr>
          <w:rStyle w:val="aff4"/>
          <w:vanish/>
          <w:rtl/>
        </w:rPr>
        <w:fldChar w:fldCharType="end"/>
      </w:r>
      <w:r w:rsidRPr="006A21CE">
        <w:rPr>
          <w:rStyle w:val="aff4"/>
          <w:rFonts w:hint="cs"/>
          <w:vanish/>
          <w:rtl/>
        </w:rPr>
        <w:t xml:space="preserve"> &gt;</w:t>
      </w:r>
      <w:r w:rsidRPr="00066340">
        <w:rPr>
          <w:rStyle w:val="aff4"/>
          <w:rFonts w:hint="cs"/>
          <w:rtl/>
        </w:rPr>
        <w:t>רשב"א בב"ק</w:t>
      </w:r>
      <w:r w:rsidRPr="006A21CE">
        <w:rPr>
          <w:rStyle w:val="aff4"/>
          <w:rFonts w:hint="cs"/>
          <w:vanish/>
          <w:rtl/>
        </w:rPr>
        <w:t>-</w:t>
      </w:r>
      <w:r>
        <w:rPr>
          <w:rFonts w:hint="cs"/>
          <w:rtl/>
        </w:rPr>
        <w:t xml:space="preserve"> </w:t>
      </w:r>
      <w:r w:rsidRPr="006A21CE">
        <w:rPr>
          <w:rStyle w:val="af2"/>
          <w:rFonts w:eastAsia="Guttman Hodes" w:hint="cs"/>
          <w:rtl/>
        </w:rPr>
        <w:t>(לד: ד"ה ועכשיו)</w:t>
      </w:r>
      <w:r w:rsidRPr="006A21CE">
        <w:rPr>
          <w:rFonts w:hint="cs"/>
          <w:vanish/>
          <w:rtl/>
        </w:rPr>
        <w:t>=</w:t>
      </w:r>
      <w:r>
        <w:rPr>
          <w:rFonts w:hint="cs"/>
          <w:rtl/>
        </w:rPr>
        <w:t xml:space="preserve"> דרבי אבהו וריו"ח נחלקו בדעת ר"ש במקלקל בחבורה, דרבי אבהו ס"ל דחידשה תורה דחובל ומבעיר השתנו לגמרי מכל המקלקלין, ואף כשאין שום תיקון חייב, דאין מקור לחייבם תיקון, וא"ל ריו"ח דאינה משנה ואת"ל דבמבעיר תנן ב</w:t>
      </w:r>
      <w:r>
        <w:rPr>
          <w:rtl/>
        </w:rPr>
        <w:t xml:space="preserve">ב"ק </w:t>
      </w:r>
      <w:r w:rsidRPr="007315B6">
        <w:rPr>
          <w:rStyle w:val="af2"/>
          <w:rFonts w:eastAsia="Guttman Hodes" w:hint="cs"/>
          <w:rtl/>
        </w:rPr>
        <w:t>(</w:t>
      </w:r>
      <w:r w:rsidRPr="007315B6">
        <w:rPr>
          <w:rStyle w:val="af2"/>
          <w:rFonts w:eastAsia="Guttman Hodes"/>
          <w:rtl/>
        </w:rPr>
        <w:t>ל"ד</w:t>
      </w:r>
      <w:r w:rsidRPr="007315B6">
        <w:rPr>
          <w:rStyle w:val="af2"/>
          <w:rFonts w:eastAsia="Guttman Hodes" w:hint="cs"/>
          <w:rtl/>
        </w:rPr>
        <w:t>:)</w:t>
      </w:r>
      <w:r>
        <w:rPr>
          <w:rFonts w:hint="cs"/>
          <w:rtl/>
        </w:rPr>
        <w:t xml:space="preserve"> "</w:t>
      </w:r>
      <w:r>
        <w:rPr>
          <w:rtl/>
        </w:rPr>
        <w:t>שורו שהדליק את הגדיש בשבת חייב והוא שהדליק את הגדיש בשבת פטור מפני שהוא מתחייב בנפשו</w:t>
      </w:r>
      <w:r>
        <w:rPr>
          <w:rFonts w:hint="cs"/>
          <w:rtl/>
        </w:rPr>
        <w:t xml:space="preserve">, ובחובל תנן בב"ק </w:t>
      </w:r>
      <w:r w:rsidRPr="007315B6">
        <w:rPr>
          <w:rStyle w:val="af2"/>
          <w:rFonts w:eastAsia="Guttman Hodes" w:hint="cs"/>
          <w:rtl/>
        </w:rPr>
        <w:t>(פז:)</w:t>
      </w:r>
      <w:r>
        <w:rPr>
          <w:rFonts w:hint="cs"/>
          <w:rtl/>
        </w:rPr>
        <w:t xml:space="preserve"> "</w:t>
      </w:r>
      <w:r>
        <w:rPr>
          <w:rtl/>
        </w:rPr>
        <w:t xml:space="preserve">זה חומר באדם מבשור </w:t>
      </w:r>
      <w:r>
        <w:rPr>
          <w:rFonts w:hint="cs"/>
          <w:rtl/>
        </w:rPr>
        <w:t>וכו'</w:t>
      </w:r>
      <w:r>
        <w:rPr>
          <w:rtl/>
        </w:rPr>
        <w:t xml:space="preserve"> והחובל בחבירו בשבת פטור מכולן מפני שהוא נדון בנפשו</w:t>
      </w:r>
      <w:r>
        <w:rPr>
          <w:rFonts w:hint="cs"/>
          <w:rtl/>
        </w:rPr>
        <w:t>, צ"ל דהחיוב הוא רק במקום יש קצת צורך ותיקון, כחובל ל</w:t>
      </w:r>
      <w:bookmarkEnd w:id="4316"/>
      <w:r>
        <w:rPr>
          <w:rFonts w:hint="cs"/>
          <w:rtl/>
        </w:rPr>
        <w:t>כלבו ומבעיר לאפרו.</w:t>
      </w:r>
    </w:p>
    <w:p w14:paraId="71D81AC4" w14:textId="77777777" w:rsidR="00274E65" w:rsidRPr="00747170" w:rsidRDefault="00274E65" w:rsidP="00747170">
      <w:pPr>
        <w:pStyle w:val="a2"/>
        <w:rPr>
          <w:rtl/>
        </w:rPr>
      </w:pPr>
      <w:r w:rsidRPr="00747170">
        <w:rPr>
          <w:rtl/>
        </w:rPr>
        <w:t>ועכשיו נחלקו ר' יוחנן ור' אבהו בדר' שמעון, דר' אבהו סבר דחובל ומבעיר נשתנה דינן לגמרי משאר המקלקלין שאפילו במקום שאין שם שום תיקון חייב כדעת ר' שמעון דמנא תיתי שיצטרכו שום תיקון, ומתני' דכל המקלקלין פטורין שבפרק ר' אליעזר דאורג ר' יהודה היא שעושה חובל ומבעיר כשאר המקלקלין. ואמר ליה ר' יוחנן חובל ומבעיר במקום שאין שם שום תיקון לא חייב בו שום אדם ולא אפילו ר' שמעון ואינה משנה, ואם תימצי לומר משנה מדקתני הכא הדליק גדישו של חברו בשבת פטור מפני שמתחייב בנפשו ושנינו נמי בפרק [החובל (פ"ז א')] החובל בחברו [בשבת פטור מכולן מפני שהוא נדון בנפשו], אינהו נמי כשיש בהן קצת צורך ותיקון, חובל בצריך לדם לכלבו ומבעיר בצריך לאפרו.</w:t>
      </w:r>
    </w:p>
    <w:p w14:paraId="0A87B29D" w14:textId="77777777" w:rsidR="00274E65" w:rsidRPr="001E0B14" w:rsidRDefault="00274E65" w:rsidP="00274E65">
      <w:pPr>
        <w:pStyle w:val="a7"/>
      </w:pPr>
      <w:bookmarkStart w:id="4317" w:name="_Toc140744019"/>
      <w:r>
        <w:rPr>
          <w:rFonts w:hint="cs"/>
          <w:rtl/>
        </w:rPr>
        <w:t>בי' הרשב"א בב"ק דריו"ח יכול להעמיד מבעיר לבישול אך מתני' איירי באדם דומיא דשור</w:t>
      </w:r>
      <w:bookmarkEnd w:id="4317"/>
    </w:p>
    <w:p w14:paraId="12DBE99C" w14:textId="7B6FA3F6" w:rsidR="00274E65" w:rsidRPr="00516CC3" w:rsidRDefault="00274E65" w:rsidP="00BC7DC8">
      <w:pPr>
        <w:pStyle w:val="a3"/>
      </w:pPr>
      <w:bookmarkStart w:id="4318" w:name="_Ref140678596"/>
      <w:r>
        <w:rPr>
          <w:rFonts w:hint="cs"/>
          <w:rtl/>
        </w:rPr>
        <w:t xml:space="preserve">והוסיף </w:t>
      </w:r>
      <w:r w:rsidRPr="006A21CE">
        <w:rPr>
          <w:rStyle w:val="aff4"/>
          <w:rFonts w:hint="cs"/>
          <w:vanish/>
          <w:rtl/>
        </w:rPr>
        <w:t>-</w:t>
      </w:r>
      <w:r w:rsidRPr="00066340">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Ref140678596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סא)</w:t>
      </w:r>
      <w:r>
        <w:rPr>
          <w:rStyle w:val="aff4"/>
          <w:vanish/>
          <w:rtl/>
        </w:rPr>
        <w:fldChar w:fldCharType="end"/>
      </w:r>
      <w:r>
        <w:rPr>
          <w:rStyle w:val="aff4"/>
          <w:rFonts w:hint="cs"/>
          <w:vanish/>
          <w:rtl/>
        </w:rPr>
        <w:t xml:space="preserve"> &gt;</w:t>
      </w:r>
      <w:r w:rsidRPr="00066340">
        <w:rPr>
          <w:rStyle w:val="aff4"/>
          <w:rFonts w:hint="cs"/>
          <w:rtl/>
        </w:rPr>
        <w:t>רשב"א בב"ק</w:t>
      </w:r>
      <w:r w:rsidRPr="006A21CE">
        <w:rPr>
          <w:rStyle w:val="aff4"/>
          <w:rFonts w:hint="cs"/>
          <w:vanish/>
          <w:rtl/>
        </w:rPr>
        <w:t>-</w:t>
      </w:r>
      <w:r>
        <w:rPr>
          <w:rFonts w:hint="cs"/>
          <w:rtl/>
        </w:rPr>
        <w:t xml:space="preserve"> </w:t>
      </w:r>
      <w:r w:rsidRPr="006A21CE">
        <w:rPr>
          <w:rStyle w:val="af2"/>
          <w:rFonts w:eastAsia="Guttman Hodes" w:hint="cs"/>
          <w:rtl/>
        </w:rPr>
        <w:t>(לד: ד"ה ומסתברא)</w:t>
      </w:r>
      <w:r w:rsidRPr="006A21CE">
        <w:rPr>
          <w:rFonts w:hint="cs"/>
          <w:vanish/>
          <w:rtl/>
        </w:rPr>
        <w:t>=</w:t>
      </w:r>
      <w:r>
        <w:rPr>
          <w:rFonts w:hint="cs"/>
          <w:rtl/>
        </w:rPr>
        <w:t xml:space="preserve"> דריו"ח היה יכול להעמיד את החיוב במבעיר, אף כשמבעיר לאפיה ובישול, אך כיון דהמשניות שהביא רבי אבהו תני שור דומיא דאדם, לכן תני צורך באדם דומיא דשור דלא שייך בו בישול ואפיה, אלא מבעיר בצריך לאפרו, </w:t>
      </w:r>
      <w:r w:rsidRPr="00FA62AB">
        <w:rPr>
          <w:rStyle w:val="af"/>
          <w:rFonts w:hint="cs"/>
          <w:rtl/>
        </w:rPr>
        <w:t xml:space="preserve">[כדאיתא בגמ' בב"ק </w:t>
      </w:r>
      <w:r w:rsidRPr="00FA62AB">
        <w:rPr>
          <w:rStyle w:val="aff0"/>
          <w:rFonts w:hint="cs"/>
          <w:rtl/>
        </w:rPr>
        <w:t>(לה</w:t>
      </w:r>
      <w:r>
        <w:rPr>
          <w:rStyle w:val="aff0"/>
          <w:rFonts w:hint="cs"/>
          <w:rtl/>
        </w:rPr>
        <w:t>.)</w:t>
      </w:r>
      <w:r w:rsidRPr="00FA62AB">
        <w:rPr>
          <w:rStyle w:val="af"/>
          <w:rFonts w:hint="cs"/>
          <w:rtl/>
        </w:rPr>
        <w:t>],</w:t>
      </w:r>
      <w:r>
        <w:rPr>
          <w:rFonts w:hint="cs"/>
          <w:rtl/>
        </w:rPr>
        <w:t xml:space="preserve"> וביאר </w:t>
      </w:r>
      <w:r w:rsidRPr="00FA62AB">
        <w:rPr>
          <w:rStyle w:val="aff4"/>
          <w:rFonts w:hint="cs"/>
          <w:vanish/>
          <w:rtl/>
        </w:rPr>
        <w:t>-</w:t>
      </w:r>
      <w:r w:rsidRPr="00FA62AB">
        <w:rPr>
          <w:rStyle w:val="aff4"/>
          <w:rFonts w:hint="cs"/>
          <w:rtl/>
        </w:rPr>
        <w:t>הרשב"א</w:t>
      </w:r>
      <w:r w:rsidRPr="00FA62AB">
        <w:rPr>
          <w:rStyle w:val="aff4"/>
          <w:rFonts w:hint="cs"/>
          <w:vanish/>
          <w:rtl/>
        </w:rPr>
        <w:t>-</w:t>
      </w:r>
      <w:r>
        <w:rPr>
          <w:rFonts w:hint="cs"/>
          <w:rtl/>
        </w:rPr>
        <w:t xml:space="preserve"> דס"ל לריו"ח דכיון דהילפותא לחייב מקלקל בחבורה היא ממילה ושריפת בת כהן, שיש בהם צורך בעלמא, לכן החיוב בכל מקלקל בהם הוא רק כשיש צורך בעלמא.</w:t>
      </w:r>
      <w:bookmarkEnd w:id="4318"/>
    </w:p>
    <w:p w14:paraId="199DBE78" w14:textId="77777777" w:rsidR="00274E65" w:rsidRPr="00747170" w:rsidRDefault="00274E65" w:rsidP="00747170">
      <w:pPr>
        <w:pStyle w:val="a2"/>
      </w:pPr>
      <w:r w:rsidRPr="00747170">
        <w:rPr>
          <w:rtl/>
        </w:rPr>
        <w:t>ומסתברא לי דמשום הכי נקט צריך לדם לכלבו ומבעיר לאפרו ומסתברא לי דמשום הכי נקט צריך לדם לכלבו ומבעיר לאפרו ולא נקט מבעיר בצריך לאפות פתו ולבשל תבשילו משום דמתני' שורו דומיא דדידיה קתני ובישול ואפייה לא שייך בשורו, ומבעיר בצריך לאפרו שייך בשורו כדמפרש ואזיל.</w:t>
      </w:r>
    </w:p>
    <w:p w14:paraId="53A0CF4B" w14:textId="77777777" w:rsidR="00274E65" w:rsidRPr="005F2440" w:rsidRDefault="00274E65" w:rsidP="00747170">
      <w:pPr>
        <w:pStyle w:val="afffff5"/>
      </w:pPr>
      <w:r w:rsidRPr="005F2440">
        <w:rPr>
          <w:rtl/>
        </w:rPr>
        <w:t>וא"ת לר' יוחנן מנא ליה הא דכיון דנפקי חובל ומבעיר מכלל שאר המקלקלין שפיר קאמר ר' אבהו דאפילו מקלקלין גמורין חייבין, י"ל דיליף ממקום שבאו ממילה ומהבערה דבת כהן דיש בהן צורך בעלמא.</w:t>
      </w:r>
    </w:p>
    <w:p w14:paraId="5B3D57F2" w14:textId="77777777" w:rsidR="00274E65" w:rsidRDefault="00274E65" w:rsidP="00274E65">
      <w:pPr>
        <w:pStyle w:val="afffff7"/>
        <w:rPr>
          <w:rtl/>
        </w:rPr>
      </w:pPr>
      <w:bookmarkStart w:id="4319" w:name="_Toc140744093"/>
      <w:bookmarkStart w:id="4320" w:name="_Toc163506041"/>
      <w:bookmarkEnd w:id="4313"/>
      <w:r>
        <w:rPr>
          <w:rtl/>
        </w:rPr>
        <w:t>חדושי הרשב"א ב"ק ל"ד ע"ב</w:t>
      </w:r>
      <w:r>
        <w:rPr>
          <w:rFonts w:hint="cs"/>
          <w:rtl/>
        </w:rPr>
        <w:t xml:space="preserve"> ד"ה ור</w:t>
      </w:r>
      <w:r>
        <w:rPr>
          <w:rFonts w:cs="Guttman Hodes" w:hint="cs"/>
          <w:rtl/>
        </w:rPr>
        <w:t>"</w:t>
      </w:r>
      <w:r>
        <w:rPr>
          <w:rFonts w:hint="cs"/>
          <w:rtl/>
        </w:rPr>
        <w:t>י</w:t>
      </w:r>
      <w:bookmarkEnd w:id="4319"/>
      <w:bookmarkEnd w:id="4320"/>
    </w:p>
    <w:p w14:paraId="5B63C7BD" w14:textId="77777777" w:rsidR="00274E65" w:rsidRDefault="00274E65" w:rsidP="00274E65">
      <w:pPr>
        <w:pStyle w:val="a7"/>
        <w:rPr>
          <w:rtl/>
        </w:rPr>
      </w:pPr>
      <w:bookmarkStart w:id="4321" w:name="_Toc140744020"/>
      <w:r>
        <w:rPr>
          <w:rFonts w:hint="cs"/>
          <w:rtl/>
        </w:rPr>
        <w:t>בי' הרשב"א דלר"י כל תיקון בעלמא כלול במלאכת מחשבת ואין כל חידוש במילה ובבת כהן</w:t>
      </w:r>
      <w:bookmarkEnd w:id="4321"/>
    </w:p>
    <w:p w14:paraId="1DF27BEC" w14:textId="567931DF" w:rsidR="00274E65" w:rsidRPr="009C6645" w:rsidRDefault="00274E65" w:rsidP="00BC7DC8">
      <w:pPr>
        <w:pStyle w:val="a3"/>
      </w:pPr>
      <w:bookmarkStart w:id="4322" w:name="_Ref140420138"/>
      <w:r>
        <w:rPr>
          <w:rFonts w:hint="cs"/>
          <w:rtl/>
        </w:rPr>
        <w:t xml:space="preserve">ובדעת ר"י, ביאר </w:t>
      </w:r>
      <w:r w:rsidRPr="00DE4A5D">
        <w:rPr>
          <w:rStyle w:val="aff4"/>
          <w:rFonts w:hint="cs"/>
          <w:vanish/>
          <w:rtl/>
        </w:rPr>
        <w:t>-</w:t>
      </w:r>
      <w:r w:rsidRPr="00066340">
        <w:rPr>
          <w:rStyle w:val="aff4"/>
          <w:rFonts w:hint="cs"/>
          <w:rtl/>
        </w:rPr>
        <w:t>ה</w:t>
      </w:r>
      <w:r w:rsidRPr="00DE4A5D">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Ref140420138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סב)</w:t>
      </w:r>
      <w:r>
        <w:rPr>
          <w:rStyle w:val="aff4"/>
          <w:vanish/>
          <w:rtl/>
        </w:rPr>
        <w:fldChar w:fldCharType="end"/>
      </w:r>
      <w:r>
        <w:rPr>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Ref140420138 \r \h</w:instrText>
      </w:r>
      <w:r>
        <w:rPr>
          <w:rStyle w:val="aff4"/>
          <w:vanish/>
          <w:rtl/>
        </w:rPr>
        <w:instrText xml:space="preserve"> </w:instrText>
      </w:r>
      <w:r>
        <w:rPr>
          <w:rtl/>
        </w:rPr>
        <w:fldChar w:fldCharType="end"/>
      </w:r>
      <w:r w:rsidRPr="00DE4A5D">
        <w:rPr>
          <w:rStyle w:val="aff4"/>
          <w:rFonts w:hint="cs"/>
          <w:vanish/>
          <w:rtl/>
        </w:rPr>
        <w:t xml:space="preserve"> &gt;</w:t>
      </w:r>
      <w:r w:rsidRPr="00066340">
        <w:rPr>
          <w:rStyle w:val="aff4"/>
          <w:rFonts w:hint="cs"/>
          <w:rtl/>
        </w:rPr>
        <w:t>רשב"א בב"ק</w:t>
      </w:r>
      <w:r w:rsidRPr="00DE4A5D">
        <w:rPr>
          <w:rStyle w:val="aff4"/>
          <w:rFonts w:hint="cs"/>
          <w:vanish/>
          <w:rtl/>
        </w:rPr>
        <w:t>-</w:t>
      </w:r>
      <w:r>
        <w:rPr>
          <w:rFonts w:hint="cs"/>
          <w:rtl/>
        </w:rPr>
        <w:t xml:space="preserve"> </w:t>
      </w:r>
      <w:r w:rsidRPr="00DE4A5D">
        <w:rPr>
          <w:rStyle w:val="af2"/>
          <w:rFonts w:eastAsia="Guttman Hodes" w:hint="cs"/>
          <w:rtl/>
        </w:rPr>
        <w:t xml:space="preserve">(לד: ד"ה </w:t>
      </w:r>
      <w:r>
        <w:rPr>
          <w:rStyle w:val="af2"/>
          <w:rFonts w:eastAsia="Guttman Hodes" w:hint="cs"/>
          <w:rtl/>
        </w:rPr>
        <w:t>ור"י</w:t>
      </w:r>
      <w:r w:rsidRPr="00DE4A5D">
        <w:rPr>
          <w:rStyle w:val="af2"/>
          <w:rFonts w:eastAsia="Guttman Hodes" w:hint="cs"/>
          <w:rtl/>
        </w:rPr>
        <w:t>)</w:t>
      </w:r>
      <w:r w:rsidRPr="00DE4A5D">
        <w:rPr>
          <w:rFonts w:hint="cs"/>
          <w:vanish/>
          <w:rtl/>
        </w:rPr>
        <w:t>=</w:t>
      </w:r>
      <w:r>
        <w:rPr>
          <w:rFonts w:hint="cs"/>
          <w:rtl/>
        </w:rPr>
        <w:t xml:space="preserve"> דס"ל דממלאכת מחשבת לא ילפינן דצריך מלאכה שצריכה לגופה, אלא כל מלאכה שיש בה צורך של תיקון אף תיקון בעלמא, כל שהוא תיקון חשוב חייב עליה, כדאיתא בגמ' </w:t>
      </w:r>
      <w:r w:rsidRPr="00DE4A5D">
        <w:rPr>
          <w:rStyle w:val="af2"/>
          <w:rFonts w:eastAsia="Guttman Hodes" w:hint="cs"/>
          <w:rtl/>
        </w:rPr>
        <w:t>(קו.)</w:t>
      </w:r>
      <w:r>
        <w:rPr>
          <w:rFonts w:hint="cs"/>
          <w:rtl/>
        </w:rPr>
        <w:t xml:space="preserve"> דתיקון דמילה הוא כמו תיקון של כלי, דאין חילוק בין תיקון גברא לתיקון כלי, וכן בבת כהן יש תיקון בעלמא, דבישול הפתילה הוא תיקון, ואין חילוק בין בישול פתילה לבישול סממנין, וכתב </w:t>
      </w:r>
      <w:r w:rsidRPr="00DE4A5D">
        <w:rPr>
          <w:rStyle w:val="aff4"/>
          <w:rFonts w:hint="cs"/>
          <w:vanish/>
          <w:rtl/>
        </w:rPr>
        <w:t>-</w:t>
      </w:r>
      <w:r w:rsidRPr="00066340">
        <w:rPr>
          <w:rStyle w:val="aff4"/>
          <w:rFonts w:hint="cs"/>
          <w:rtl/>
        </w:rPr>
        <w:t>הרשב"א</w:t>
      </w:r>
      <w:r w:rsidRPr="00DE4A5D">
        <w:rPr>
          <w:rStyle w:val="aff4"/>
          <w:rFonts w:hint="cs"/>
          <w:vanish/>
          <w:rtl/>
        </w:rPr>
        <w:t>-</w:t>
      </w:r>
      <w:r>
        <w:rPr>
          <w:rFonts w:hint="cs"/>
          <w:rtl/>
        </w:rPr>
        <w:t xml:space="preserve"> דלכן לדעת ר"י אין כל חידוש וילפותא במילה ובשריפת בת כהן, ומשו"ה פטר ר"י בכל המלקלקלין ולא אמר חוץ מחובל ומבעיר, והוסיף </w:t>
      </w:r>
      <w:r w:rsidRPr="00DE4A5D">
        <w:rPr>
          <w:rStyle w:val="aff4"/>
          <w:rFonts w:hint="cs"/>
          <w:vanish/>
          <w:rtl/>
        </w:rPr>
        <w:t>-</w:t>
      </w:r>
      <w:r w:rsidRPr="00066340">
        <w:rPr>
          <w:rStyle w:val="aff4"/>
          <w:rFonts w:hint="cs"/>
          <w:rtl/>
        </w:rPr>
        <w:t>הרשב"א</w:t>
      </w:r>
      <w:r w:rsidRPr="00DE4A5D">
        <w:rPr>
          <w:rStyle w:val="aff4"/>
          <w:rFonts w:hint="cs"/>
          <w:vanish/>
          <w:rtl/>
        </w:rPr>
        <w:t>-</w:t>
      </w:r>
      <w:r>
        <w:rPr>
          <w:rFonts w:hint="cs"/>
          <w:rtl/>
        </w:rPr>
        <w:t xml:space="preserve"> דלר"י כל שיש תיקון קצת חשיב תיקון אף כשעושה קלקול גדול יותר מצד אחר.</w:t>
      </w:r>
      <w:bookmarkEnd w:id="4322"/>
    </w:p>
    <w:p w14:paraId="7A88D38A" w14:textId="77777777" w:rsidR="00274E65" w:rsidRPr="00747170" w:rsidRDefault="00274E65" w:rsidP="00747170">
      <w:pPr>
        <w:pStyle w:val="a2"/>
        <w:rPr>
          <w:rtl/>
        </w:rPr>
      </w:pPr>
      <w:r w:rsidRPr="00747170">
        <w:rPr>
          <w:rtl/>
        </w:rPr>
        <w:t>ור' יהודה סובר דלא ילפינן ממשכן מלאכה הצריכה לגופה אלא מלאכה הצריכה לתיקון ואפילו תיקון בעלמא ובלבד שיהא בו תיקון חשוב בעלמא, כמילה שיש בו תיקון כתיקון כלי דמה לי תקון כלי מה לי תיקון גברא וכדאיתא התם בפרק ר' אליעזר, והבערה של בת כהן נמי יש בו תיקון גמור בעלמא והוא בישול הפתילה שהוא האבר דמה לי בישול סמנין מה לי בישול פתילה וכדאיתא נמי התם, והלכך לדידיה לא למדנו ממילה והבערה של בת כהן שום חדוש ולפיכך הוא שונה כל המקלקלין פטורין ולא הוציא מכללן חובל ומבעיר, והיינו מתניתין דפרק ר' אליעזר דאורג וכדאיתא התם. ולר' יהודה נמי כל שיש בגוף המלאכה תיקון קצת חשבינן ליה תיקון ואף על פי שיש בו קלקול גדול מן התיקון מצד אחר כמו שנכתוב בסמוך.</w:t>
      </w:r>
    </w:p>
    <w:p w14:paraId="6E2847EC" w14:textId="77777777" w:rsidR="00274E65" w:rsidRDefault="00274E65" w:rsidP="00274E65">
      <w:pPr>
        <w:pStyle w:val="afffff7"/>
        <w:rPr>
          <w:rtl/>
        </w:rPr>
      </w:pPr>
      <w:bookmarkStart w:id="4323" w:name="_Toc140744094"/>
      <w:bookmarkStart w:id="4324" w:name="_Toc163506042"/>
      <w:r>
        <w:rPr>
          <w:rtl/>
        </w:rPr>
        <w:t xml:space="preserve">חדושי הרשב"א ב"ק ל"ד ע"ב ד"ה </w:t>
      </w:r>
      <w:r>
        <w:rPr>
          <w:rFonts w:hint="cs"/>
          <w:rtl/>
        </w:rPr>
        <w:t>והאי</w:t>
      </w:r>
      <w:bookmarkEnd w:id="4323"/>
      <w:bookmarkEnd w:id="4324"/>
    </w:p>
    <w:p w14:paraId="1A5C0D11" w14:textId="77777777" w:rsidR="00274E65" w:rsidRDefault="00274E65" w:rsidP="00274E65">
      <w:pPr>
        <w:pStyle w:val="a7"/>
        <w:rPr>
          <w:rtl/>
        </w:rPr>
      </w:pPr>
      <w:bookmarkStart w:id="4325" w:name="_Toc140744021"/>
      <w:r>
        <w:rPr>
          <w:rFonts w:hint="cs"/>
          <w:rtl/>
        </w:rPr>
        <w:t>בי' הרשב"א דלר"י חובל לכלבו הקלקול יותר מהתיקון דמוכח בגמ' דאף בזה פוטר ר"י דמקלקל</w:t>
      </w:r>
      <w:bookmarkEnd w:id="4325"/>
    </w:p>
    <w:p w14:paraId="586E010B" w14:textId="46EA040C" w:rsidR="00274E65" w:rsidRDefault="00274E65" w:rsidP="00BC7DC8">
      <w:pPr>
        <w:pStyle w:val="a3"/>
      </w:pPr>
      <w:bookmarkStart w:id="4326" w:name="_Ref140421233"/>
      <w:r>
        <w:rPr>
          <w:rFonts w:hint="cs"/>
          <w:rtl/>
        </w:rPr>
        <w:t xml:space="preserve">וכתב </w:t>
      </w:r>
      <w:r w:rsidRPr="00310ADE">
        <w:rPr>
          <w:rStyle w:val="aff4"/>
          <w:rFonts w:hint="cs"/>
          <w:vanish/>
          <w:rtl/>
        </w:rPr>
        <w:t>-</w:t>
      </w:r>
      <w:r w:rsidRPr="00066340">
        <w:rPr>
          <w:rStyle w:val="aff4"/>
          <w:rFonts w:hint="cs"/>
          <w:rtl/>
        </w:rPr>
        <w:t>ה</w:t>
      </w:r>
      <w:r w:rsidRPr="00310ADE">
        <w:rPr>
          <w:rStyle w:val="aff4"/>
          <w:rFonts w:hint="cs"/>
          <w:vanish/>
          <w:rtl/>
        </w:rPr>
        <w:t xml:space="preserve">&lt;, </w:t>
      </w:r>
      <w:r w:rsidRPr="00310ADE">
        <w:rPr>
          <w:rStyle w:val="aff4"/>
          <w:vanish/>
          <w:rtl/>
        </w:rPr>
        <w:fldChar w:fldCharType="begin"/>
      </w:r>
      <w:r w:rsidRPr="00310ADE">
        <w:rPr>
          <w:rStyle w:val="aff4"/>
          <w:vanish/>
          <w:rtl/>
        </w:rPr>
        <w:instrText xml:space="preserve"> </w:instrText>
      </w:r>
      <w:r w:rsidRPr="00310ADE">
        <w:rPr>
          <w:rStyle w:val="aff4"/>
          <w:rFonts w:hint="cs"/>
          <w:vanish/>
        </w:rPr>
        <w:instrText>REF</w:instrText>
      </w:r>
      <w:r w:rsidRPr="00310ADE">
        <w:rPr>
          <w:rStyle w:val="aff4"/>
          <w:rFonts w:hint="cs"/>
          <w:vanish/>
          <w:rtl/>
        </w:rPr>
        <w:instrText xml:space="preserve"> _</w:instrText>
      </w:r>
      <w:r w:rsidRPr="00310ADE">
        <w:rPr>
          <w:rStyle w:val="aff4"/>
          <w:rFonts w:hint="cs"/>
          <w:vanish/>
        </w:rPr>
        <w:instrText>Ref140421233 \r \h</w:instrText>
      </w:r>
      <w:r w:rsidRPr="00310ADE">
        <w:rPr>
          <w:rStyle w:val="aff4"/>
          <w:vanish/>
          <w:rtl/>
        </w:rPr>
        <w:instrText xml:space="preserve"> </w:instrText>
      </w:r>
      <w:r w:rsidRPr="00310ADE">
        <w:rPr>
          <w:rStyle w:val="aff4"/>
          <w:vanish/>
          <w:rtl/>
        </w:rPr>
      </w:r>
      <w:r w:rsidRPr="00310ADE">
        <w:rPr>
          <w:rStyle w:val="aff4"/>
          <w:vanish/>
          <w:rtl/>
        </w:rPr>
        <w:fldChar w:fldCharType="separate"/>
      </w:r>
      <w:r w:rsidR="00D82181">
        <w:rPr>
          <w:rStyle w:val="aff4"/>
          <w:vanish/>
          <w:cs/>
        </w:rPr>
        <w:t>‎</w:t>
      </w:r>
      <w:r w:rsidR="00D82181">
        <w:rPr>
          <w:rStyle w:val="aff4"/>
          <w:vanish/>
          <w:rtl/>
        </w:rPr>
        <w:t>סג)</w:t>
      </w:r>
      <w:r w:rsidRPr="00310ADE">
        <w:rPr>
          <w:rStyle w:val="aff4"/>
          <w:vanish/>
          <w:rtl/>
        </w:rPr>
        <w:fldChar w:fldCharType="end"/>
      </w:r>
      <w:r w:rsidRPr="00310ADE">
        <w:rPr>
          <w:rStyle w:val="aff4"/>
          <w:rFonts w:hint="cs"/>
          <w:vanish/>
          <w:rtl/>
        </w:rPr>
        <w:t xml:space="preserve"> &gt;</w:t>
      </w:r>
      <w:r w:rsidRPr="00066340">
        <w:rPr>
          <w:rStyle w:val="aff4"/>
          <w:rFonts w:hint="cs"/>
          <w:rtl/>
        </w:rPr>
        <w:t>רשב"א בב"ק</w:t>
      </w:r>
      <w:r w:rsidRPr="00310ADE">
        <w:rPr>
          <w:rStyle w:val="aff4"/>
          <w:rFonts w:hint="cs"/>
          <w:vanish/>
          <w:rtl/>
        </w:rPr>
        <w:t>-</w:t>
      </w:r>
      <w:r>
        <w:rPr>
          <w:rFonts w:hint="cs"/>
          <w:rtl/>
        </w:rPr>
        <w:t xml:space="preserve"> </w:t>
      </w:r>
      <w:r w:rsidRPr="00310ADE">
        <w:rPr>
          <w:rStyle w:val="af2"/>
          <w:rFonts w:eastAsia="Guttman Hodes" w:hint="cs"/>
          <w:rtl/>
        </w:rPr>
        <w:t>(לד: ד"ה והאי)</w:t>
      </w:r>
      <w:r w:rsidRPr="00310ADE">
        <w:rPr>
          <w:rFonts w:hint="cs"/>
          <w:vanish/>
          <w:rtl/>
        </w:rPr>
        <w:t>=</w:t>
      </w:r>
      <w:r>
        <w:rPr>
          <w:rFonts w:hint="cs"/>
          <w:rtl/>
        </w:rPr>
        <w:t xml:space="preserve"> </w:t>
      </w:r>
      <w:bookmarkEnd w:id="4326"/>
      <w:r>
        <w:rPr>
          <w:rFonts w:hint="cs"/>
          <w:rtl/>
        </w:rPr>
        <w:t xml:space="preserve">דהחיוב בחובל לכלבו הוא רק לר"ש, אבל לר"י פטור דאי"ז נחשב תיקון והקלקול בזה יותר מהתיקון, וכמבואר מהא דאמרינן דר"י ור"ש נחלקו במקלקל בחבורה, ולא דחתה הגמ' דר"ש מחייב רק בצריך לכלבו ור"י פוטר בקלקול גמור, ומוכח דאף בכה"ג נחלקו, ועיי"ש במה שהוסיף </w:t>
      </w:r>
      <w:r w:rsidRPr="00310ADE">
        <w:rPr>
          <w:rStyle w:val="aff4"/>
          <w:rFonts w:hint="cs"/>
          <w:vanish/>
          <w:rtl/>
        </w:rPr>
        <w:t>-</w:t>
      </w:r>
      <w:r w:rsidRPr="00066340">
        <w:rPr>
          <w:rStyle w:val="aff4"/>
          <w:rFonts w:hint="cs"/>
          <w:rtl/>
        </w:rPr>
        <w:t>הרשב"א בב"ק</w:t>
      </w:r>
      <w:r w:rsidRPr="00310ADE">
        <w:rPr>
          <w:rStyle w:val="aff4"/>
          <w:rFonts w:hint="cs"/>
          <w:vanish/>
          <w:rtl/>
        </w:rPr>
        <w:t>-</w:t>
      </w:r>
      <w:r>
        <w:rPr>
          <w:rFonts w:hint="cs"/>
          <w:rtl/>
        </w:rPr>
        <w:t xml:space="preserve"> לבאר בדין מקלקל בשוחט לע"ז לר"י ולר"ש.</w:t>
      </w:r>
    </w:p>
    <w:p w14:paraId="0F2AE1DC" w14:textId="77777777" w:rsidR="00274E65" w:rsidRPr="00747170" w:rsidRDefault="00274E65" w:rsidP="00747170">
      <w:pPr>
        <w:pStyle w:val="a2"/>
        <w:rPr>
          <w:rtl/>
        </w:rPr>
      </w:pPr>
      <w:r w:rsidRPr="00747170">
        <w:rPr>
          <w:rtl/>
        </w:rPr>
        <w:t>והאי טעמא דצריך לכלבו ולאפרו לר' שמעון בלחוד הוא אבל לר' יהודה אף על פי שצריך לכך פטור שאין זה תיקון גמור והקלקול רבה על התיקון. ותדע לך דהא עבדינן פלוגתא בין ר"ש ור"י במקלקל בחבורה דר"ש מחייב ור"י פוטר ור' יוחנן כבר אמר שאין ר"ש מחייב אלא בצריך לדם לכלבו, ובמה שר"ש מחייב פוטר ר"י. ואי קשיא לך הא דאמרי' בפסחים (ע"ג א') למ"ד מקלקל בחבורה פטור השוחט חטאת בשבת בחוץ לע"ז מה תיקון תיקן לטהרה מידי נבלה אלמא אפילו לר"י בתיקון כל דהו מחייב, י"ל דשאני התם דיש תיקון בגוף הבהמה ולר' יהודה תיקון חשוב בעלמא או תיקון כל דהוא בגוף הדבר נפקא ליה מידי מקלקל. וא"ת מ"מ שמעינן מההיא דלמ"ד מקלקל בחבורה חייב הוה ניחא לן ואף על גב דלא הוה מסיק אדעתי' תיקון דמוציאה מידי נבלה אלמא לר' שמעון אפילו מקלקל גמור חייב, מסתברא לי דמעיקרא נמי ודאי הוה מסיק אדעתי' תיקון זה דמוציא מידי נבלה ומשום הכי לר' שמעון דין הוא שיתחייב אבל הוה ס"ד דתיקון חשוב לר' יהודה בעי, ואהדר ליה דלא אלא כל היכא דליכא תיקון בגופי'. וא"נ י"ל דהתם אליבא דר' אבהו בעי לה דמחייב מקלקל גמור בחבורה אליבא דר' שמעון. וכן יש מקומות בתלמוד דמשמע דבעי ר' שמעון במקלקל בחבורה שום תיקון והנהו כר' יוחנן ודלא כר' אבהו. ולפי מה שכתבנו משמע דהא דפליגי רבי יוסי ור' נתן בהבערה ללאו יצאת או לחלק יצאת לא ס"ל לר' שמעון כחד מינייהו דהא לגופיה אצטריך לאשמועינן דמקלקל בהבערה חייב ולאפוקי' מכלל שאר המקלקלין דפטירי.</w:t>
      </w:r>
    </w:p>
    <w:p w14:paraId="7B2766BF" w14:textId="77777777" w:rsidR="00274E65" w:rsidRDefault="00274E65" w:rsidP="00274E65">
      <w:pPr>
        <w:pStyle w:val="affff5"/>
        <w:rPr>
          <w:rtl/>
        </w:rPr>
      </w:pPr>
      <w:bookmarkStart w:id="4327" w:name="_Toc140744022"/>
      <w:r w:rsidRPr="00716C93">
        <w:rPr>
          <w:rFonts w:hint="cs"/>
          <w:rtl/>
        </w:rPr>
        <w:t>~~~~~~~~~~~~~~~~~~~~~~~~~~~~</w:t>
      </w:r>
      <w:bookmarkEnd w:id="4327"/>
    </w:p>
    <w:p w14:paraId="206081E6" w14:textId="31642B53" w:rsidR="00FF4D6E" w:rsidRDefault="00FF4D6E" w:rsidP="00FF4D6E">
      <w:pPr>
        <w:pStyle w:val="a7"/>
        <w:rPr>
          <w:rtl/>
        </w:rPr>
      </w:pPr>
      <w:bookmarkStart w:id="4328" w:name="_Toc140744023"/>
    </w:p>
    <w:p w14:paraId="6ADECFAA" w14:textId="00D195A9" w:rsidR="00FF4D6E" w:rsidRDefault="00FF4D6E" w:rsidP="00FF4D6E">
      <w:pPr>
        <w:pStyle w:val="a7"/>
        <w:rPr>
          <w:rtl/>
        </w:rPr>
      </w:pPr>
    </w:p>
    <w:p w14:paraId="03673343" w14:textId="29265407" w:rsidR="00FF4D6E" w:rsidRDefault="00FF4D6E" w:rsidP="00FF4D6E">
      <w:pPr>
        <w:pStyle w:val="a7"/>
        <w:rPr>
          <w:rtl/>
        </w:rPr>
      </w:pPr>
    </w:p>
    <w:p w14:paraId="3E7268D7" w14:textId="462CE7EB" w:rsidR="00FF4D6E" w:rsidRDefault="00FF4D6E" w:rsidP="00FF4D6E">
      <w:pPr>
        <w:pStyle w:val="a7"/>
        <w:rPr>
          <w:rtl/>
        </w:rPr>
      </w:pPr>
    </w:p>
    <w:p w14:paraId="43CA026E" w14:textId="77777777" w:rsidR="00FF4D6E" w:rsidRPr="00FF4D6E" w:rsidRDefault="00FF4D6E" w:rsidP="00FF4D6E">
      <w:pPr>
        <w:pStyle w:val="a7"/>
        <w:rPr>
          <w:rtl/>
        </w:rPr>
      </w:pPr>
    </w:p>
    <w:p w14:paraId="319DA593" w14:textId="3A77C8D6" w:rsidR="00274E65" w:rsidRPr="005B4037" w:rsidRDefault="00274E65" w:rsidP="00274E65">
      <w:pPr>
        <w:pStyle w:val="affff5"/>
        <w:rPr>
          <w:rtl/>
        </w:rPr>
      </w:pPr>
      <w:r>
        <w:rPr>
          <w:rFonts w:hint="cs"/>
          <w:rtl/>
        </w:rPr>
        <w:lastRenderedPageBreak/>
        <w:t>הבי' דצל"ג הוא כשא"א לצורך באופ"א</w:t>
      </w:r>
      <w:bookmarkEnd w:id="4328"/>
    </w:p>
    <w:p w14:paraId="07E5B95E" w14:textId="77777777" w:rsidR="00274E65" w:rsidRDefault="00274E65" w:rsidP="00274E65">
      <w:pPr>
        <w:pStyle w:val="1"/>
        <w:rPr>
          <w:rtl/>
        </w:rPr>
      </w:pPr>
      <w:bookmarkStart w:id="4329" w:name="_Toc140744024"/>
      <w:r>
        <w:rPr>
          <w:rFonts w:hint="cs"/>
          <w:rtl/>
        </w:rPr>
        <w:t>בי' הראב"ד דחובל לכלבו צל"ג דא"א שיהיה דם בלא קלקול</w:t>
      </w:r>
      <w:bookmarkEnd w:id="4329"/>
    </w:p>
    <w:p w14:paraId="13051122" w14:textId="77777777" w:rsidR="00274E65" w:rsidRDefault="00274E65" w:rsidP="00274E65">
      <w:pPr>
        <w:pStyle w:val="afffff7"/>
        <w:rPr>
          <w:rtl/>
        </w:rPr>
      </w:pPr>
      <w:bookmarkStart w:id="4330" w:name="_Toc140744095"/>
      <w:bookmarkStart w:id="4331" w:name="_Toc163506043"/>
      <w:r>
        <w:rPr>
          <w:rtl/>
        </w:rPr>
        <w:t>חדושי הראב"ד ב"ק ל"ד ע"ב</w:t>
      </w:r>
      <w:r>
        <w:rPr>
          <w:rFonts w:hint="cs"/>
          <w:rtl/>
        </w:rPr>
        <w:t xml:space="preserve"> ד"ה כגון</w:t>
      </w:r>
      <w:bookmarkEnd w:id="4330"/>
      <w:bookmarkEnd w:id="4331"/>
    </w:p>
    <w:p w14:paraId="446F11DA" w14:textId="77777777" w:rsidR="00274E65" w:rsidRDefault="00274E65" w:rsidP="00274E65">
      <w:pPr>
        <w:pStyle w:val="a7"/>
        <w:rPr>
          <w:rtl/>
        </w:rPr>
      </w:pPr>
      <w:bookmarkStart w:id="4332" w:name="_Toc140744025"/>
      <w:r>
        <w:rPr>
          <w:rFonts w:hint="cs"/>
          <w:rtl/>
        </w:rPr>
        <w:t>בי' הראב"ד דחובל לכלבו ל"ה תיקון בדבר אחר כגומא וצריך עפר דמקלקל וה"ה בצריך לדם</w:t>
      </w:r>
      <w:bookmarkEnd w:id="4332"/>
    </w:p>
    <w:p w14:paraId="740CC37D" w14:textId="0B9F14FD" w:rsidR="00274E65" w:rsidRDefault="00274E65" w:rsidP="00BC7DC8">
      <w:pPr>
        <w:pStyle w:val="a3"/>
      </w:pPr>
      <w:bookmarkStart w:id="4333" w:name="_Ref140678944"/>
      <w:bookmarkStart w:id="4334" w:name="_Ref140424882"/>
      <w:r>
        <w:rPr>
          <w:rFonts w:hint="cs"/>
          <w:rtl/>
        </w:rPr>
        <w:t xml:space="preserve">הביא </w:t>
      </w:r>
      <w:r w:rsidRPr="00DB4BAB">
        <w:rPr>
          <w:rStyle w:val="aff4"/>
          <w:rFonts w:hint="cs"/>
          <w:vanish/>
          <w:rtl/>
        </w:rPr>
        <w:t>-</w:t>
      </w:r>
      <w:r w:rsidRPr="00E64D72">
        <w:rPr>
          <w:rStyle w:val="aff4"/>
          <w:rFonts w:hint="cs"/>
          <w:rtl/>
        </w:rPr>
        <w:t>ה</w:t>
      </w:r>
      <w:r w:rsidRPr="00DB4BAB">
        <w:rPr>
          <w:rStyle w:val="aff4"/>
          <w:rFonts w:hint="cs"/>
          <w:vanish/>
          <w:rtl/>
        </w:rPr>
        <w:t xml:space="preserve">&lt;, </w:t>
      </w:r>
      <w:r w:rsidRPr="00DB4BAB">
        <w:rPr>
          <w:rStyle w:val="aff4"/>
          <w:vanish/>
          <w:rtl/>
        </w:rPr>
        <w:fldChar w:fldCharType="begin"/>
      </w:r>
      <w:r w:rsidRPr="00DB4BAB">
        <w:rPr>
          <w:rStyle w:val="aff4"/>
          <w:vanish/>
          <w:rtl/>
        </w:rPr>
        <w:instrText xml:space="preserve"> </w:instrText>
      </w:r>
      <w:r w:rsidRPr="00DB4BAB">
        <w:rPr>
          <w:rStyle w:val="aff4"/>
          <w:rFonts w:hint="cs"/>
          <w:vanish/>
        </w:rPr>
        <w:instrText>REF</w:instrText>
      </w:r>
      <w:r w:rsidRPr="00DB4BAB">
        <w:rPr>
          <w:rStyle w:val="aff4"/>
          <w:rFonts w:hint="cs"/>
          <w:vanish/>
          <w:rtl/>
        </w:rPr>
        <w:instrText xml:space="preserve"> _</w:instrText>
      </w:r>
      <w:r w:rsidRPr="00DB4BAB">
        <w:rPr>
          <w:rStyle w:val="aff4"/>
          <w:rFonts w:hint="cs"/>
          <w:vanish/>
        </w:rPr>
        <w:instrText>Ref140424882 \r \h</w:instrText>
      </w:r>
      <w:r w:rsidRPr="00DB4BAB">
        <w:rPr>
          <w:rStyle w:val="aff4"/>
          <w:vanish/>
          <w:rtl/>
        </w:rPr>
        <w:instrText xml:space="preserve">  \* </w:instrText>
      </w:r>
      <w:r w:rsidRPr="00DB4BAB">
        <w:rPr>
          <w:rStyle w:val="aff4"/>
          <w:vanish/>
        </w:rPr>
        <w:instrText>MERGEFORMAT</w:instrText>
      </w:r>
      <w:r w:rsidRPr="00DB4BAB">
        <w:rPr>
          <w:rStyle w:val="aff4"/>
          <w:vanish/>
          <w:rtl/>
        </w:rPr>
        <w:instrText xml:space="preserve"> </w:instrText>
      </w:r>
      <w:r w:rsidRPr="00DB4BAB">
        <w:rPr>
          <w:rStyle w:val="aff4"/>
          <w:vanish/>
          <w:rtl/>
        </w:rPr>
      </w:r>
      <w:r w:rsidRPr="00DB4BAB">
        <w:rPr>
          <w:rStyle w:val="aff4"/>
          <w:vanish/>
          <w:rtl/>
        </w:rPr>
        <w:fldChar w:fldCharType="separate"/>
      </w:r>
      <w:r w:rsidR="00D82181">
        <w:rPr>
          <w:rStyle w:val="aff4"/>
          <w:vanish/>
          <w:cs/>
        </w:rPr>
        <w:t>‎</w:t>
      </w:r>
      <w:r w:rsidR="00D82181">
        <w:rPr>
          <w:rStyle w:val="aff4"/>
          <w:vanish/>
          <w:rtl/>
        </w:rPr>
        <w:t>סד)</w:t>
      </w:r>
      <w:r w:rsidRPr="00DB4BAB">
        <w:rPr>
          <w:rStyle w:val="aff4"/>
          <w:vanish/>
          <w:rtl/>
        </w:rPr>
        <w:fldChar w:fldCharType="end"/>
      </w:r>
      <w:r w:rsidRPr="00DB4BAB">
        <w:rPr>
          <w:rStyle w:val="aff4"/>
          <w:rFonts w:hint="cs"/>
          <w:vanish/>
          <w:rtl/>
        </w:rPr>
        <w:t xml:space="preserve"> &gt;</w:t>
      </w:r>
      <w:r w:rsidRPr="00E64D72">
        <w:rPr>
          <w:rStyle w:val="aff4"/>
          <w:rFonts w:hint="cs"/>
          <w:rtl/>
        </w:rPr>
        <w:t>ראב"ד בב"ק</w:t>
      </w:r>
      <w:r w:rsidRPr="00DB4BAB">
        <w:rPr>
          <w:rStyle w:val="aff4"/>
          <w:rFonts w:hint="cs"/>
          <w:vanish/>
          <w:rtl/>
        </w:rPr>
        <w:t>-</w:t>
      </w:r>
      <w:r>
        <w:rPr>
          <w:rFonts w:hint="cs"/>
          <w:rtl/>
        </w:rPr>
        <w:t xml:space="preserve"> </w:t>
      </w:r>
      <w:r w:rsidRPr="00DB4BAB">
        <w:rPr>
          <w:rStyle w:val="af2"/>
          <w:rFonts w:eastAsia="Guttman Hodes" w:hint="cs"/>
          <w:rtl/>
        </w:rPr>
        <w:t xml:space="preserve">(לד: ד"ה </w:t>
      </w:r>
      <w:r>
        <w:rPr>
          <w:rStyle w:val="af2"/>
          <w:rFonts w:eastAsia="Guttman Hodes" w:hint="cs"/>
          <w:rtl/>
        </w:rPr>
        <w:t>כגון</w:t>
      </w:r>
      <w:r w:rsidRPr="00DB4BAB">
        <w:rPr>
          <w:rStyle w:val="af2"/>
          <w:rFonts w:eastAsia="Guttman Hodes" w:hint="cs"/>
          <w:rtl/>
        </w:rPr>
        <w:t>)</w:t>
      </w:r>
      <w:r w:rsidRPr="00DB4BAB">
        <w:rPr>
          <w:rFonts w:hint="cs"/>
          <w:vanish/>
          <w:rtl/>
        </w:rPr>
        <w:t>=</w:t>
      </w:r>
      <w:r>
        <w:rPr>
          <w:rFonts w:hint="cs"/>
          <w:rtl/>
        </w:rPr>
        <w:t xml:space="preserve"> בשם </w:t>
      </w:r>
      <w:r w:rsidRPr="00DB4BAB">
        <w:rPr>
          <w:rStyle w:val="aff4"/>
          <w:rFonts w:hint="cs"/>
          <w:vanish/>
          <w:rtl/>
        </w:rPr>
        <w:t>-</w:t>
      </w:r>
      <w:r w:rsidRPr="00E64D72">
        <w:rPr>
          <w:rStyle w:val="aff4"/>
          <w:rFonts w:hint="cs"/>
          <w:rtl/>
        </w:rPr>
        <w:t>י"מ</w:t>
      </w:r>
      <w:r w:rsidRPr="00DB4BAB">
        <w:rPr>
          <w:rStyle w:val="aff4"/>
          <w:rFonts w:hint="cs"/>
          <w:vanish/>
          <w:rtl/>
        </w:rPr>
        <w:t>-</w:t>
      </w:r>
      <w:r>
        <w:rPr>
          <w:rFonts w:hint="cs"/>
          <w:rtl/>
        </w:rPr>
        <w:t xml:space="preserve"> </w:t>
      </w:r>
      <w:r w:rsidRPr="008223A7">
        <w:rPr>
          <w:rStyle w:val="af"/>
          <w:rFonts w:hint="cs"/>
          <w:rtl/>
        </w:rPr>
        <w:t xml:space="preserve">[עי' </w:t>
      </w:r>
      <w:r w:rsidRPr="00DB4BAB">
        <w:rPr>
          <w:rStyle w:val="aff9"/>
          <w:rFonts w:hint="cs"/>
          <w:vanish/>
          <w:rtl/>
        </w:rPr>
        <w:t>-</w:t>
      </w:r>
      <w:r>
        <w:rPr>
          <w:rStyle w:val="aff9"/>
          <w:rFonts w:hint="cs"/>
          <w:rtl/>
        </w:rPr>
        <w:t>בעה"מ</w:t>
      </w:r>
      <w:r w:rsidRPr="00DB4BAB">
        <w:rPr>
          <w:rStyle w:val="aff9"/>
          <w:rFonts w:hint="cs"/>
          <w:vanish/>
          <w:rtl/>
        </w:rPr>
        <w:t>-</w:t>
      </w:r>
      <w:r w:rsidRPr="008223A7">
        <w:rPr>
          <w:rStyle w:val="aff9"/>
          <w:rFonts w:hint="cs"/>
          <w:rtl/>
        </w:rPr>
        <w:t xml:space="preserve"> </w:t>
      </w:r>
      <w:r w:rsidRPr="008223A7">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Ref140678793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טז)</w:t>
      </w:r>
      <w:r>
        <w:rPr>
          <w:rStyle w:val="aff0"/>
          <w:rtl/>
        </w:rPr>
        <w:fldChar w:fldCharType="end"/>
      </w:r>
      <w:r w:rsidRPr="008223A7">
        <w:rPr>
          <w:rStyle w:val="af"/>
          <w:rFonts w:hint="cs"/>
          <w:rtl/>
        </w:rPr>
        <w:t>]</w:t>
      </w:r>
      <w:r w:rsidRPr="002E0999">
        <w:rPr>
          <w:rStyle w:val="af"/>
          <w:rFonts w:hint="cs"/>
          <w:rtl/>
        </w:rPr>
        <w:t xml:space="preserve"> </w:t>
      </w:r>
      <w:r w:rsidRPr="00DB4BAB">
        <w:rPr>
          <w:rStyle w:val="aff9"/>
          <w:rFonts w:hint="cs"/>
          <w:vanish/>
          <w:rtl/>
        </w:rPr>
        <w:t>-</w:t>
      </w:r>
      <w:r>
        <w:rPr>
          <w:rFonts w:hint="cs"/>
          <w:rtl/>
        </w:rPr>
        <w:t xml:space="preserve">דביארו דחובל לכלבו ומבעיר לאפרו הוא תיקון אף שיש בו קלקול בדבר אחר, ודחה </w:t>
      </w:r>
      <w:r w:rsidRPr="00DB4BAB">
        <w:rPr>
          <w:rStyle w:val="aff4"/>
          <w:rFonts w:hint="cs"/>
          <w:vanish/>
          <w:rtl/>
        </w:rPr>
        <w:t>-</w:t>
      </w:r>
      <w:r w:rsidRPr="00E64D72">
        <w:rPr>
          <w:rStyle w:val="aff4"/>
          <w:rFonts w:hint="cs"/>
          <w:rtl/>
        </w:rPr>
        <w:t>הראב"ד</w:t>
      </w:r>
      <w:r w:rsidRPr="00DB4BAB">
        <w:rPr>
          <w:rStyle w:val="aff4"/>
          <w:rFonts w:hint="cs"/>
          <w:vanish/>
          <w:rtl/>
        </w:rPr>
        <w:t>-</w:t>
      </w:r>
      <w:r>
        <w:rPr>
          <w:rFonts w:hint="cs"/>
          <w:rtl/>
        </w:rPr>
        <w:t xml:space="preserve"> דבחופר גומא וא"צ אלא לעפרה איתא בגמ' </w:t>
      </w:r>
      <w:r w:rsidRPr="00DB4BAB">
        <w:rPr>
          <w:rStyle w:val="af2"/>
          <w:rFonts w:eastAsia="Guttman Hodes" w:hint="cs"/>
          <w:rtl/>
        </w:rPr>
        <w:t>(עג:)</w:t>
      </w:r>
      <w:r>
        <w:rPr>
          <w:rFonts w:hint="cs"/>
          <w:rtl/>
        </w:rPr>
        <w:t xml:space="preserve"> דהוא מקלקל לר"י, ומבואר דאף שיש לו צורך בעפר מ"מ לענין הקרקע הוא מקלקל, וה"ה בחובל באדם ובהמה דהחבלה היא קלקול, אף באופן שהוא צריך את הדם.</w:t>
      </w:r>
      <w:bookmarkEnd w:id="4333"/>
    </w:p>
    <w:p w14:paraId="28B496CF" w14:textId="77777777" w:rsidR="00274E65" w:rsidRPr="00747170" w:rsidRDefault="00274E65" w:rsidP="00747170">
      <w:pPr>
        <w:pStyle w:val="a2"/>
        <w:rPr>
          <w:rtl/>
        </w:rPr>
      </w:pPr>
      <w:r w:rsidRPr="00747170">
        <w:rPr>
          <w:rStyle w:val="afff7"/>
          <w:rtl/>
        </w:rPr>
        <w:t>ואם תמצא לומר משנה. והיא משנתינו (או) [והוא] שהדליק את הגדיש בשבת פטור מפני שנדון בנפשו, והלא מקלקל הוא והיאך נדון בנפשו. וחובל (במסכ' שבועו' [בחבירו בשבת]) בפרק החובל [פ"ז ע"א].</w:t>
      </w:r>
      <w:r w:rsidRPr="00747170">
        <w:rPr>
          <w:rFonts w:hint="cs"/>
          <w:rtl/>
        </w:rPr>
        <w:t xml:space="preserve"> </w:t>
      </w:r>
      <w:r w:rsidRPr="00747170">
        <w:rPr>
          <w:rtl/>
        </w:rPr>
        <w:t>כגון שהיה צריך לדם לכלבו ומבעיר בצריך לאפרו. יש מפרשים [דתיקון הוא] שאע"פ שהוא מקלקל לענין דבר אחר. והאי פירושא לא דייק, וכבר אמרו [שבת ע"ג ע"ב] החופר גומא ואינו צריך אלא לעפרה פטור עליה ואפילו לר' יהודה מפני שהוא מקלקל, אלמא אף על פי שהוא צריך לעפר נקרא מקלקל מפני שהחפירה קלקול היא אצל הקרקע, הכא נמי החבלה קלקול היא אצל האדם והבהמה ואף על פי שהוא צריך לדם.</w:t>
      </w:r>
    </w:p>
    <w:p w14:paraId="330A5B8A" w14:textId="77777777" w:rsidR="00274E65" w:rsidRPr="003F3589" w:rsidRDefault="00274E65" w:rsidP="00274E65">
      <w:pPr>
        <w:pStyle w:val="a7"/>
      </w:pPr>
      <w:bookmarkStart w:id="4335" w:name="_Toc140744026"/>
      <w:r>
        <w:rPr>
          <w:rFonts w:hint="cs"/>
          <w:rtl/>
        </w:rPr>
        <w:t>בי' הראב"ד דכשיש לו צורך וא"א לעשותו בלא קלקול חשיב צל"ג ורק בזה חייב ר"ש לד' ריו"ח</w:t>
      </w:r>
      <w:bookmarkEnd w:id="4335"/>
    </w:p>
    <w:p w14:paraId="2F669CE4" w14:textId="77777777" w:rsidR="00274E65" w:rsidRPr="00725B35" w:rsidRDefault="00274E65" w:rsidP="00BC7DC8">
      <w:pPr>
        <w:pStyle w:val="a3"/>
        <w:rPr>
          <w:rtl/>
        </w:rPr>
      </w:pPr>
      <w:r>
        <w:rPr>
          <w:rFonts w:hint="cs"/>
          <w:rtl/>
        </w:rPr>
        <w:t xml:space="preserve">אלא ביאר </w:t>
      </w:r>
      <w:r w:rsidRPr="00DB4BAB">
        <w:rPr>
          <w:rStyle w:val="aff4"/>
          <w:rFonts w:hint="cs"/>
          <w:vanish/>
          <w:rtl/>
        </w:rPr>
        <w:t>-</w:t>
      </w:r>
      <w:r w:rsidRPr="00E64D72">
        <w:rPr>
          <w:rStyle w:val="aff4"/>
          <w:rFonts w:hint="cs"/>
          <w:rtl/>
        </w:rPr>
        <w:t>הראב"ד בב"ק</w:t>
      </w:r>
      <w:r w:rsidRPr="00DB4BAB">
        <w:rPr>
          <w:rStyle w:val="aff4"/>
          <w:rFonts w:hint="cs"/>
          <w:vanish/>
          <w:rtl/>
        </w:rPr>
        <w:t>-</w:t>
      </w:r>
      <w:bookmarkEnd w:id="4334"/>
      <w:r>
        <w:rPr>
          <w:rFonts w:hint="cs"/>
          <w:rtl/>
        </w:rPr>
        <w:t xml:space="preserve"> דאחר דרבי אבהו העמיד כר"ש את המשניות שהוציאו את חובל ומבעיר משאר המקלקלים, </w:t>
      </w:r>
      <w:r w:rsidRPr="00B53842">
        <w:rPr>
          <w:rStyle w:val="af"/>
          <w:rFonts w:hint="cs"/>
          <w:rtl/>
        </w:rPr>
        <w:t>[ב</w:t>
      </w:r>
      <w:r w:rsidRPr="00B53842">
        <w:rPr>
          <w:rStyle w:val="af"/>
          <w:rtl/>
        </w:rPr>
        <w:t xml:space="preserve">ב"ק </w:t>
      </w:r>
      <w:r w:rsidRPr="00B53842">
        <w:rPr>
          <w:rStyle w:val="aff0"/>
          <w:rFonts w:hint="cs"/>
          <w:rtl/>
        </w:rPr>
        <w:t>(</w:t>
      </w:r>
      <w:r w:rsidRPr="00B53842">
        <w:rPr>
          <w:rStyle w:val="aff0"/>
          <w:rtl/>
        </w:rPr>
        <w:t>ל"ד</w:t>
      </w:r>
      <w:r w:rsidRPr="00B53842">
        <w:rPr>
          <w:rStyle w:val="aff0"/>
          <w:rFonts w:hint="cs"/>
          <w:rtl/>
        </w:rPr>
        <w:t>, פז:)</w:t>
      </w:r>
      <w:r w:rsidRPr="00B53842">
        <w:rPr>
          <w:rStyle w:val="af"/>
          <w:rFonts w:hint="cs"/>
          <w:rtl/>
        </w:rPr>
        <w:t>],</w:t>
      </w:r>
      <w:r>
        <w:rPr>
          <w:rFonts w:hint="cs"/>
          <w:rtl/>
        </w:rPr>
        <w:t xml:space="preserve"> ביאר ריו"ח דאף שחייבה בהם תורה במקלקל, מ"מ החיוב הוא רק במלאכה שצריכה לגופה</w:t>
      </w:r>
      <w:r>
        <w:rPr>
          <w:rStyle w:val="afff0"/>
          <w:rtl/>
        </w:rPr>
        <w:footnoteReference w:id="12"/>
      </w:r>
      <w:r>
        <w:rPr>
          <w:rFonts w:hint="cs"/>
          <w:rtl/>
        </w:rPr>
        <w:t xml:space="preserve">, כחובל לכלבו דהמלאכה היא בדם ולא בבשר ובו הצורך שלו, וכן מבעיר לאפרו, דא"א להבעיר בלא שיעשה אפר, וכתב </w:t>
      </w:r>
      <w:r w:rsidRPr="00DB4BAB">
        <w:rPr>
          <w:rStyle w:val="aff4"/>
          <w:rFonts w:hint="cs"/>
          <w:vanish/>
          <w:rtl/>
        </w:rPr>
        <w:t>-</w:t>
      </w:r>
      <w:r w:rsidRPr="00E64D72">
        <w:rPr>
          <w:rStyle w:val="aff4"/>
          <w:rFonts w:hint="cs"/>
          <w:rtl/>
        </w:rPr>
        <w:t>הראב"ד בב"ק</w:t>
      </w:r>
      <w:r w:rsidRPr="00DB4BAB">
        <w:rPr>
          <w:rStyle w:val="aff4"/>
          <w:rFonts w:hint="cs"/>
          <w:vanish/>
          <w:rtl/>
        </w:rPr>
        <w:t>-</w:t>
      </w:r>
      <w:r>
        <w:rPr>
          <w:rFonts w:hint="cs"/>
          <w:rtl/>
        </w:rPr>
        <w:t xml:space="preserve"> דכיון שא"א לעשותם באופן אחר, לכן אם צריך לאפר חשיבא מלאכה שצריכה לגופה, וביאר </w:t>
      </w:r>
      <w:r w:rsidRPr="00DB4BAB">
        <w:rPr>
          <w:rStyle w:val="aff4"/>
          <w:rFonts w:hint="cs"/>
          <w:vanish/>
          <w:rtl/>
        </w:rPr>
        <w:t>-</w:t>
      </w:r>
      <w:r w:rsidRPr="00E64D72">
        <w:rPr>
          <w:rStyle w:val="aff4"/>
          <w:rFonts w:hint="cs"/>
          <w:rtl/>
        </w:rPr>
        <w:t>הראב"ד</w:t>
      </w:r>
      <w:r w:rsidRPr="00DB4BAB">
        <w:rPr>
          <w:rStyle w:val="aff4"/>
          <w:rFonts w:hint="cs"/>
          <w:vanish/>
          <w:rtl/>
        </w:rPr>
        <w:t>-</w:t>
      </w:r>
      <w:r>
        <w:rPr>
          <w:rFonts w:hint="cs"/>
          <w:rtl/>
        </w:rPr>
        <w:t xml:space="preserve"> דטעמיה דריו"ח הוא דא"א לומר דלר"ש מקלקל בחבורה חמור יותר ממתקן בשאר המלאכות, וכן איתא</w:t>
      </w:r>
      <w:r w:rsidRPr="003B63CB">
        <w:rPr>
          <w:rFonts w:hint="cs"/>
          <w:rtl/>
        </w:rPr>
        <w:t xml:space="preserve"> בגמ' בסנהדרין </w:t>
      </w:r>
      <w:r w:rsidRPr="00DB4BAB">
        <w:rPr>
          <w:rStyle w:val="aff0"/>
          <w:rFonts w:eastAsia="Guttman Hodes" w:hint="cs"/>
          <w:rtl/>
        </w:rPr>
        <w:t>(פד:)</w:t>
      </w:r>
      <w:r>
        <w:rPr>
          <w:rFonts w:hint="cs"/>
          <w:rtl/>
        </w:rPr>
        <w:t>,</w:t>
      </w:r>
      <w:r w:rsidRPr="003B63CB">
        <w:rPr>
          <w:rFonts w:hint="cs"/>
          <w:rtl/>
        </w:rPr>
        <w:t xml:space="preserve"> </w:t>
      </w:r>
      <w:r w:rsidRPr="002E4EE2">
        <w:rPr>
          <w:rStyle w:val="af"/>
          <w:rFonts w:hint="cs"/>
          <w:rtl/>
        </w:rPr>
        <w:t>[דאף בחובל ומבעיר ס"ל לר"ש דחייב רק במלאכה שצריכה לגופה],</w:t>
      </w:r>
      <w:r>
        <w:rPr>
          <w:rFonts w:hint="cs"/>
          <w:rtl/>
        </w:rPr>
        <w:t xml:space="preserve"> ועיי"ש במה שהוסיף </w:t>
      </w:r>
      <w:r w:rsidRPr="00DB4BAB">
        <w:rPr>
          <w:rStyle w:val="aff4"/>
          <w:rFonts w:hint="cs"/>
          <w:vanish/>
          <w:rtl/>
        </w:rPr>
        <w:t>-</w:t>
      </w:r>
      <w:r w:rsidRPr="00E64D72">
        <w:rPr>
          <w:rStyle w:val="aff4"/>
          <w:rFonts w:hint="cs"/>
          <w:rtl/>
        </w:rPr>
        <w:t>הראב"ד בב"ק</w:t>
      </w:r>
      <w:r w:rsidRPr="00DB4BAB">
        <w:rPr>
          <w:rStyle w:val="aff4"/>
          <w:rFonts w:hint="cs"/>
          <w:vanish/>
          <w:rtl/>
        </w:rPr>
        <w:t>-</w:t>
      </w:r>
      <w:r>
        <w:rPr>
          <w:rFonts w:hint="cs"/>
          <w:rtl/>
        </w:rPr>
        <w:t xml:space="preserve"> דבשוחט לע"ז ושוחט טריפה חשיב תיקון, כיון דהוא מתקן את הבהמה עצמה שמוציאה מאיסור נבלה, אבל בחובל ומבעיר ודאי דעושה מעשה קלקול באדם ובגדיש, ודמי לחופר גומא דהוא מקלקל בקרקע אף כשצריך את העפר.</w:t>
      </w:r>
    </w:p>
    <w:p w14:paraId="0E9DB5EA" w14:textId="77777777" w:rsidR="00274E65" w:rsidRPr="00747170" w:rsidRDefault="00274E65" w:rsidP="00747170">
      <w:pPr>
        <w:pStyle w:val="a2"/>
        <w:rPr>
          <w:rtl/>
        </w:rPr>
      </w:pPr>
      <w:r w:rsidRPr="00747170">
        <w:rPr>
          <w:rtl/>
        </w:rPr>
        <w:t>אלא הכי פרישנא לה, דכיון דמתני' דר' אבהו דמפיק חובל ומבעיר משאר מקלקלין מוקמי' ליה בר' שמעון, אשמעי' ר' יוחנן דלא תימא כיון דשני בהו רחמנא לחיובא אימא אף על פי שאינה צריכה לגופה, אלא כי חייב בהו רחמנא דוקא בשהיא צריכה לגופה כגון חובל שהוא צריך לדם והמלאכה היא הוצאת הדם ולא חתיכת הבשר, וכן מבעיר אי אפשר בלא עשיית אפר, וכיון שאי אפשר זולתו אם צריך לאפר הרי היא מלאכה צריכה לגופה. והטעם שלא יהא מקלקל בחבורה חמור לר' שמעון ממתקן בשאר מלאכות, ואיתה להא מילתא בסנהדרין פרק אלו הן הנחנקין [פ"ד ע"ב]. ואי קשיא לך כיון דלר' שמעון בעי' שיהא צריך לדם ואפר ור' יהודה פטר אפילו הוא צריך לדם ואפר, הא דאמרינן בפסחים [ע"ג ע"א] לר' יהודה דאמר מקלקל בחבורה פטור שוחט את הפסח בשבת ונמצא טרפה בגלוי חייב מה תקן, ואמרי' תקן לטהרו מידי נבלה, וכן שוחט חטאת בחוץ לע"ז בשבת חייב משום דתקן להוציאו מידי אבר מן החי, ולא יהא חובל וצריך לדם דפטר ביה ר' יהודה כשוחט טרפה מפני שמטהרה מידי נבלה. לא היא, התם מתקן הוא אצל הבהמה להוציאה מאיסוריה, אבל חובל וצריך לדם ומבעיר גדיש בשביל האפר ודאי מקלקל הוא אצל האדם ואצל הגדיש, כמו שהוא מקלקל אצל הקרקע אף על פי שצריך לעפר.</w:t>
      </w:r>
    </w:p>
    <w:p w14:paraId="535898BD" w14:textId="77777777" w:rsidR="00274E65" w:rsidRDefault="00274E65" w:rsidP="00274E65">
      <w:pPr>
        <w:pStyle w:val="1"/>
        <w:rPr>
          <w:rtl/>
        </w:rPr>
      </w:pPr>
      <w:bookmarkStart w:id="4336" w:name="_Toc140744027"/>
      <w:bookmarkStart w:id="4337" w:name="_Toc140058039"/>
      <w:bookmarkEnd w:id="4303"/>
      <w:r>
        <w:rPr>
          <w:rFonts w:hint="cs"/>
          <w:rtl/>
        </w:rPr>
        <w:t>בי' הריטב"א דמשאצל"ג במתכוין למלאכה ואפשר באופ"א</w:t>
      </w:r>
      <w:bookmarkEnd w:id="4336"/>
    </w:p>
    <w:p w14:paraId="08E8767C" w14:textId="77777777" w:rsidR="00274E65" w:rsidRDefault="00274E65" w:rsidP="00274E65">
      <w:pPr>
        <w:pStyle w:val="afffff7"/>
        <w:rPr>
          <w:rtl/>
        </w:rPr>
      </w:pPr>
      <w:bookmarkStart w:id="4338" w:name="_Toc140744096"/>
      <w:bookmarkStart w:id="4339" w:name="_Toc163506044"/>
      <w:r>
        <w:rPr>
          <w:rtl/>
        </w:rPr>
        <w:t>חדושי הריטב"א שבת מ"ב ע"א</w:t>
      </w:r>
      <w:r>
        <w:rPr>
          <w:rFonts w:hint="cs"/>
          <w:rtl/>
        </w:rPr>
        <w:t xml:space="preserve"> ד"ה למימרא</w:t>
      </w:r>
      <w:bookmarkEnd w:id="4338"/>
      <w:bookmarkEnd w:id="4339"/>
    </w:p>
    <w:p w14:paraId="59163522" w14:textId="77777777" w:rsidR="00274E65" w:rsidRDefault="00274E65" w:rsidP="00274E65">
      <w:pPr>
        <w:pStyle w:val="a7"/>
        <w:rPr>
          <w:rtl/>
        </w:rPr>
      </w:pPr>
      <w:bookmarkStart w:id="4340" w:name="_Toc140744028"/>
      <w:r>
        <w:rPr>
          <w:rFonts w:hint="cs"/>
          <w:rtl/>
        </w:rPr>
        <w:t>בי' הריטב"א דמלאכת מחשבת פוטר</w:t>
      </w:r>
      <w:r w:rsidRPr="0041653F">
        <w:rPr>
          <w:rFonts w:hint="cs"/>
          <w:rtl/>
        </w:rPr>
        <w:t xml:space="preserve"> </w:t>
      </w:r>
      <w:r>
        <w:rPr>
          <w:rFonts w:hint="cs"/>
          <w:rtl/>
        </w:rPr>
        <w:t>אינו מתכוון דאין כוונה לאיסור ומשאצל"ג דמתכוון ול"צ</w:t>
      </w:r>
      <w:bookmarkEnd w:id="4340"/>
    </w:p>
    <w:p w14:paraId="44013B22" w14:textId="7EFE530B" w:rsidR="00274E65" w:rsidRPr="00F50B74" w:rsidRDefault="00274E65" w:rsidP="00BC7DC8">
      <w:pPr>
        <w:pStyle w:val="a3"/>
        <w:rPr>
          <w:rtl/>
        </w:rPr>
      </w:pPr>
      <w:bookmarkStart w:id="4341" w:name="_Ref140443972"/>
      <w:r>
        <w:rPr>
          <w:rFonts w:hint="cs"/>
          <w:rtl/>
        </w:rPr>
        <w:t xml:space="preserve">כתב </w:t>
      </w:r>
      <w:r w:rsidRPr="00035277">
        <w:rPr>
          <w:rStyle w:val="aff4"/>
          <w:rFonts w:hint="cs"/>
          <w:vanish/>
          <w:rtl/>
        </w:rPr>
        <w:t>-</w:t>
      </w:r>
      <w:r w:rsidRPr="00035277">
        <w:rPr>
          <w:rStyle w:val="aff4"/>
          <w:rFonts w:hint="cs"/>
          <w:rtl/>
        </w:rPr>
        <w:t>ה</w:t>
      </w:r>
      <w:r w:rsidRPr="00220C38">
        <w:rPr>
          <w:rStyle w:val="aff4"/>
          <w:rFonts w:hint="cs"/>
          <w:vanish/>
          <w:rtl/>
        </w:rPr>
        <w:t xml:space="preserve">&lt;, </w:t>
      </w:r>
      <w:r w:rsidRPr="00220C38">
        <w:rPr>
          <w:rStyle w:val="aff4"/>
          <w:vanish/>
          <w:rtl/>
        </w:rPr>
        <w:fldChar w:fldCharType="begin"/>
      </w:r>
      <w:r w:rsidRPr="00220C38">
        <w:rPr>
          <w:rStyle w:val="aff4"/>
          <w:vanish/>
          <w:rtl/>
        </w:rPr>
        <w:instrText xml:space="preserve"> </w:instrText>
      </w:r>
      <w:r w:rsidRPr="00220C38">
        <w:rPr>
          <w:rStyle w:val="aff4"/>
          <w:rFonts w:hint="cs"/>
          <w:vanish/>
        </w:rPr>
        <w:instrText>REF</w:instrText>
      </w:r>
      <w:r w:rsidRPr="00220C38">
        <w:rPr>
          <w:rStyle w:val="aff4"/>
          <w:rFonts w:hint="cs"/>
          <w:vanish/>
          <w:rtl/>
        </w:rPr>
        <w:instrText xml:space="preserve"> _</w:instrText>
      </w:r>
      <w:r w:rsidRPr="00220C38">
        <w:rPr>
          <w:rStyle w:val="aff4"/>
          <w:rFonts w:hint="cs"/>
          <w:vanish/>
        </w:rPr>
        <w:instrText>Ref140443972 \r \h</w:instrText>
      </w:r>
      <w:r w:rsidRPr="00220C38">
        <w:rPr>
          <w:rStyle w:val="aff4"/>
          <w:vanish/>
          <w:rtl/>
        </w:rPr>
        <w:instrText xml:space="preserve"> </w:instrText>
      </w:r>
      <w:r>
        <w:rPr>
          <w:rStyle w:val="aff4"/>
          <w:vanish/>
          <w:rtl/>
        </w:rPr>
        <w:instrText xml:space="preserve"> \* </w:instrText>
      </w:r>
      <w:r>
        <w:rPr>
          <w:rStyle w:val="aff4"/>
          <w:vanish/>
        </w:rPr>
        <w:instrText>MERGEFORMAT</w:instrText>
      </w:r>
      <w:r>
        <w:rPr>
          <w:rStyle w:val="aff4"/>
          <w:vanish/>
          <w:rtl/>
        </w:rPr>
        <w:instrText xml:space="preserve"> </w:instrText>
      </w:r>
      <w:r w:rsidRPr="00220C38">
        <w:rPr>
          <w:rStyle w:val="aff4"/>
          <w:vanish/>
          <w:rtl/>
        </w:rPr>
      </w:r>
      <w:r w:rsidRPr="00220C38">
        <w:rPr>
          <w:rStyle w:val="aff4"/>
          <w:vanish/>
          <w:rtl/>
        </w:rPr>
        <w:fldChar w:fldCharType="separate"/>
      </w:r>
      <w:r w:rsidR="00D82181">
        <w:rPr>
          <w:rStyle w:val="aff4"/>
          <w:vanish/>
          <w:cs/>
        </w:rPr>
        <w:t>‎</w:t>
      </w:r>
      <w:r w:rsidR="00D82181">
        <w:rPr>
          <w:rStyle w:val="aff4"/>
          <w:vanish/>
          <w:rtl/>
        </w:rPr>
        <w:t>סו)</w:t>
      </w:r>
      <w:r w:rsidRPr="00220C38">
        <w:rPr>
          <w:rStyle w:val="aff4"/>
          <w:vanish/>
          <w:rtl/>
        </w:rPr>
        <w:fldChar w:fldCharType="end"/>
      </w:r>
      <w:r w:rsidRPr="00220C38">
        <w:rPr>
          <w:rStyle w:val="aff4"/>
          <w:rFonts w:hint="cs"/>
          <w:vanish/>
          <w:rtl/>
        </w:rPr>
        <w:t xml:space="preserve"> &gt;</w:t>
      </w:r>
      <w:r w:rsidRPr="00035277">
        <w:rPr>
          <w:rStyle w:val="aff4"/>
          <w:rFonts w:hint="cs"/>
          <w:rtl/>
        </w:rPr>
        <w:t>ריטב"א לעיל</w:t>
      </w:r>
      <w:r w:rsidRPr="00035277">
        <w:rPr>
          <w:rStyle w:val="aff4"/>
          <w:rFonts w:hint="cs"/>
          <w:vanish/>
          <w:rtl/>
        </w:rPr>
        <w:t>-</w:t>
      </w:r>
      <w:r>
        <w:rPr>
          <w:rFonts w:hint="cs"/>
          <w:rtl/>
        </w:rPr>
        <w:t xml:space="preserve"> </w:t>
      </w:r>
      <w:r w:rsidRPr="00035277">
        <w:rPr>
          <w:rStyle w:val="af2"/>
          <w:rFonts w:eastAsia="Guttman Hodes" w:hint="cs"/>
          <w:rtl/>
        </w:rPr>
        <w:t>(מב. ד"ה למימרא)</w:t>
      </w:r>
      <w:r w:rsidRPr="00220C38">
        <w:rPr>
          <w:rFonts w:hint="cs"/>
          <w:vanish/>
          <w:rtl/>
        </w:rPr>
        <w:t>=</w:t>
      </w:r>
      <w:r>
        <w:rPr>
          <w:rFonts w:hint="cs"/>
          <w:rtl/>
        </w:rPr>
        <w:t xml:space="preserve"> דהחילוק בין דבר שאינו מתכוין לבין מלאכה שאינה צריכה לגופה, דבאינו מתכוין הוא עוסק במלאכת היתר ואין לו כל כוונה למלאכת האיסור, ויתכן שאף אינו עושה איסור כלל, אבל במלאכה שאינה צריכה לגופה הוא מתכוין לאותה מלאה שאסורה ממש והוא עושה אותה, אלא דכוונתו היא שלא לעשותה לצורך המלאכה, ולא לאותו הדבר דמחמתו הייתה נקראת מלאכה במשכן, אך כתב </w:t>
      </w:r>
      <w:r w:rsidRPr="00035277">
        <w:rPr>
          <w:rStyle w:val="aff4"/>
          <w:rFonts w:hint="cs"/>
          <w:vanish/>
          <w:rtl/>
        </w:rPr>
        <w:t>-</w:t>
      </w:r>
      <w:r w:rsidRPr="00035277">
        <w:rPr>
          <w:rStyle w:val="aff4"/>
          <w:rFonts w:hint="cs"/>
          <w:rtl/>
        </w:rPr>
        <w:t>הריטב"א לעיל</w:t>
      </w:r>
      <w:r w:rsidRPr="00035277">
        <w:rPr>
          <w:rStyle w:val="aff4"/>
          <w:rFonts w:hint="cs"/>
          <w:vanish/>
          <w:rtl/>
        </w:rPr>
        <w:t>-</w:t>
      </w:r>
      <w:r>
        <w:rPr>
          <w:rFonts w:hint="cs"/>
          <w:rtl/>
        </w:rPr>
        <w:t xml:space="preserve"> דמ"מ בשניהם שייך טעם אחד, דאינם בכלל מלאכת מחשבת ויש בהם דבר שאינו בכוונה, ולכן הו"א בגמ' לעיל </w:t>
      </w:r>
      <w:r w:rsidRPr="00035277">
        <w:rPr>
          <w:rStyle w:val="af2"/>
          <w:rFonts w:eastAsia="Guttman Hodes" w:hint="cs"/>
          <w:rtl/>
        </w:rPr>
        <w:t>(מב.)</w:t>
      </w:r>
      <w:r>
        <w:rPr>
          <w:rFonts w:hint="cs"/>
          <w:rtl/>
        </w:rPr>
        <w:t xml:space="preserve"> דשמואל דאוסר במלאכה שאינה צריכה לגופה הוא אוסר גם בדבר שאינו מתכוין, ומסקנת הגמ' דבמלאכה שאינה צריכה לגופה דהוא מתכוין לאותו הדבר ועוסק בו מחמיר שמואל כר"י, אבל בדבר שאינו מתכוין דהוא יותר קל, ס"ל כר"ש.</w:t>
      </w:r>
      <w:bookmarkEnd w:id="4341"/>
    </w:p>
    <w:p w14:paraId="7E4662C3" w14:textId="77777777" w:rsidR="00274E65" w:rsidRPr="00747170" w:rsidRDefault="00274E65" w:rsidP="00747170">
      <w:pPr>
        <w:pStyle w:val="a2"/>
      </w:pPr>
      <w:r w:rsidRPr="00747170">
        <w:rPr>
          <w:rtl/>
        </w:rPr>
        <w:t>למימרא דשמואל כרבי שמעון וכו' שרי. ופרקינן בדבר שאין מתכוין סבר לה כרבי שמעון דשרי, במלאכה שאינה צריכה לגופה קסבר לה כרבי יהודה דאסור, וק"ל דמעיקרא מאי קארי ליה לאקשויי מדבר שאין [מתכוין] למלאכה שאינה צריכה לגופה דהא טעמי דפליגן נינהו, דאילו דבר שאין מתכוין [אינו מתכוין] למלאכת איסור כלל ובמלאכת היתר הוא עסוק ואפשר נמי דלא עביד איסורא כלל, ואילו מלאכה שאינה צריכה לגופה מתכוין הוא לעשות אותה מלאכה ממש ועושה אותה אלא שאין כוונתו לעשותה לצורכה ולאותו דבר שבשבילה נקראת מלאכה במשכן, וי"ל דאפי' הכי בחד טעמא שייכן משום דלא הוו מלאכת מחשבת ובשתיהם איכא דבר שהוא בלא כוונה, וכיון שכן הוה ס"ד דכיון דהתם אוסר ועושה מלאכה שאינה צריכה לגופה [כצריכה לגופה, ה"ה שאוסר בדבר שאינו מתכוין, ואסיקנא דדוקא מלאכה שאינה צריכה לגופה] שמתכוין לאותו דבר ועסוק בו אוסר כרבי יהודה, ובדבר שאין מתכוין דקיל טפי שרי כרבי שמעון, כנ"ל.</w:t>
      </w:r>
    </w:p>
    <w:p w14:paraId="29BDC633" w14:textId="77777777" w:rsidR="00FF4D6E" w:rsidRDefault="00FF4D6E" w:rsidP="00FF4D6E">
      <w:pPr>
        <w:pStyle w:val="a7"/>
        <w:rPr>
          <w:rtl/>
        </w:rPr>
      </w:pPr>
      <w:bookmarkStart w:id="4342" w:name="_Toc140744097"/>
    </w:p>
    <w:p w14:paraId="6D47C3C1" w14:textId="37CC0A8E" w:rsidR="00274E65" w:rsidRDefault="00274E65" w:rsidP="00274E65">
      <w:pPr>
        <w:pStyle w:val="afffff7"/>
        <w:rPr>
          <w:rtl/>
        </w:rPr>
      </w:pPr>
      <w:bookmarkStart w:id="4343" w:name="_Toc163506045"/>
      <w:r>
        <w:rPr>
          <w:rtl/>
        </w:rPr>
        <w:t>חדושי הריטב"א שבת קי"ז ע"א</w:t>
      </w:r>
      <w:r>
        <w:rPr>
          <w:rFonts w:hint="cs"/>
          <w:rtl/>
        </w:rPr>
        <w:t xml:space="preserve"> ד"ה ומפרקינן</w:t>
      </w:r>
      <w:bookmarkEnd w:id="4342"/>
      <w:bookmarkEnd w:id="4343"/>
    </w:p>
    <w:p w14:paraId="752DB91F" w14:textId="77777777" w:rsidR="00274E65" w:rsidRDefault="00274E65" w:rsidP="00274E65">
      <w:pPr>
        <w:pStyle w:val="a7"/>
        <w:rPr>
          <w:rtl/>
        </w:rPr>
      </w:pPr>
      <w:bookmarkStart w:id="4344" w:name="_Toc140744029"/>
      <w:r>
        <w:rPr>
          <w:rFonts w:hint="cs"/>
          <w:rtl/>
        </w:rPr>
        <w:t>בי' הריטב"א דמלאכה שעושה בכוונה אף שאין לו צורך בדבר ל"ה משאצל"ג אלא אינו מתכוון</w:t>
      </w:r>
      <w:bookmarkEnd w:id="4344"/>
    </w:p>
    <w:p w14:paraId="7623DDC2" w14:textId="043455EE" w:rsidR="00274E65" w:rsidRDefault="00274E65" w:rsidP="00BC7DC8">
      <w:pPr>
        <w:pStyle w:val="a3"/>
      </w:pPr>
      <w:bookmarkStart w:id="4345" w:name="_Ref140437139"/>
      <w:bookmarkStart w:id="4346" w:name="_Ref140679990"/>
      <w:r>
        <w:rPr>
          <w:rFonts w:hint="cs"/>
          <w:rtl/>
        </w:rPr>
        <w:t xml:space="preserve">ובהא דאיתא בגמ' לקמן </w:t>
      </w:r>
      <w:r w:rsidRPr="00371859">
        <w:rPr>
          <w:rStyle w:val="af2"/>
          <w:rFonts w:eastAsia="Guttman Hodes" w:hint="cs"/>
          <w:rtl/>
        </w:rPr>
        <w:t>(קיז.)</w:t>
      </w:r>
      <w:r>
        <w:rPr>
          <w:rFonts w:hint="cs"/>
          <w:rtl/>
        </w:rPr>
        <w:t xml:space="preserve"> דהמפשיט פסח ואינו רוצה את העור אינו חייב מדין מפשיט, ולר"ש דמודה בפסיק רישיה אמרינן דאיירי בשקיל לה בברזי דחותכו לחתיכות, הקשה </w:t>
      </w:r>
      <w:r w:rsidRPr="00035277">
        <w:rPr>
          <w:rStyle w:val="aff4"/>
          <w:rFonts w:hint="cs"/>
          <w:vanish/>
          <w:rtl/>
        </w:rPr>
        <w:t>-</w:t>
      </w:r>
      <w:r w:rsidRPr="00035277">
        <w:rPr>
          <w:rStyle w:val="aff4"/>
          <w:rFonts w:hint="cs"/>
          <w:rtl/>
        </w:rPr>
        <w:t>ה</w:t>
      </w:r>
      <w:r w:rsidRPr="00220C38">
        <w:rPr>
          <w:rStyle w:val="aff4"/>
          <w:rFonts w:hint="cs"/>
          <w:vanish/>
          <w:rtl/>
        </w:rPr>
        <w:t xml:space="preserve">&lt;, </w:t>
      </w:r>
      <w:r w:rsidRPr="00220C38">
        <w:rPr>
          <w:rStyle w:val="aff4"/>
          <w:vanish/>
          <w:rtl/>
        </w:rPr>
        <w:fldChar w:fldCharType="begin"/>
      </w:r>
      <w:r w:rsidRPr="00220C38">
        <w:rPr>
          <w:rStyle w:val="aff4"/>
          <w:vanish/>
          <w:rtl/>
        </w:rPr>
        <w:instrText xml:space="preserve"> </w:instrText>
      </w:r>
      <w:r w:rsidRPr="00220C38">
        <w:rPr>
          <w:rStyle w:val="aff4"/>
          <w:rFonts w:hint="cs"/>
          <w:vanish/>
        </w:rPr>
        <w:instrText>REF</w:instrText>
      </w:r>
      <w:r w:rsidRPr="00220C38">
        <w:rPr>
          <w:rStyle w:val="aff4"/>
          <w:rFonts w:hint="cs"/>
          <w:vanish/>
          <w:rtl/>
        </w:rPr>
        <w:instrText xml:space="preserve"> _</w:instrText>
      </w:r>
      <w:r w:rsidRPr="00220C38">
        <w:rPr>
          <w:rStyle w:val="aff4"/>
          <w:rFonts w:hint="cs"/>
          <w:vanish/>
        </w:rPr>
        <w:instrText>Ref140437139 \r \h</w:instrText>
      </w:r>
      <w:r w:rsidRPr="00220C38">
        <w:rPr>
          <w:rStyle w:val="aff4"/>
          <w:vanish/>
          <w:rtl/>
        </w:rPr>
        <w:instrText xml:space="preserve"> </w:instrText>
      </w:r>
      <w:r w:rsidRPr="00220C38">
        <w:rPr>
          <w:rStyle w:val="aff4"/>
          <w:vanish/>
          <w:rtl/>
        </w:rPr>
      </w:r>
      <w:r w:rsidRPr="00220C38">
        <w:rPr>
          <w:rStyle w:val="aff4"/>
          <w:vanish/>
          <w:rtl/>
        </w:rPr>
        <w:fldChar w:fldCharType="separate"/>
      </w:r>
      <w:r w:rsidR="00D82181">
        <w:rPr>
          <w:rStyle w:val="aff4"/>
          <w:vanish/>
          <w:cs/>
        </w:rPr>
        <w:t>‎</w:t>
      </w:r>
      <w:r w:rsidR="00D82181">
        <w:rPr>
          <w:rStyle w:val="aff4"/>
          <w:vanish/>
          <w:rtl/>
        </w:rPr>
        <w:t>סז)</w:t>
      </w:r>
      <w:r w:rsidRPr="00220C38">
        <w:rPr>
          <w:rStyle w:val="aff4"/>
          <w:vanish/>
          <w:rtl/>
        </w:rPr>
        <w:fldChar w:fldCharType="end"/>
      </w:r>
      <w:r w:rsidRPr="00220C38">
        <w:rPr>
          <w:rStyle w:val="aff4"/>
          <w:rFonts w:hint="cs"/>
          <w:vanish/>
          <w:rtl/>
        </w:rPr>
        <w:t xml:space="preserve"> &gt;</w:t>
      </w:r>
      <w:r w:rsidRPr="00035277">
        <w:rPr>
          <w:rStyle w:val="aff4"/>
          <w:rFonts w:hint="cs"/>
          <w:rtl/>
        </w:rPr>
        <w:t>ריטב"א</w:t>
      </w:r>
      <w:r w:rsidRPr="00035277">
        <w:rPr>
          <w:rStyle w:val="aff4"/>
          <w:rFonts w:hint="cs"/>
          <w:vanish/>
          <w:rtl/>
        </w:rPr>
        <w:t>-</w:t>
      </w:r>
      <w:r>
        <w:rPr>
          <w:rFonts w:hint="cs"/>
          <w:rtl/>
        </w:rPr>
        <w:t xml:space="preserve"> </w:t>
      </w:r>
      <w:r w:rsidRPr="00371859">
        <w:rPr>
          <w:rStyle w:val="af2"/>
          <w:rFonts w:eastAsia="Guttman Hodes" w:hint="cs"/>
          <w:rtl/>
        </w:rPr>
        <w:t>(קיז. ד"ה ומפרקינן)</w:t>
      </w:r>
      <w:r w:rsidRPr="00220C38">
        <w:rPr>
          <w:rFonts w:hint="cs"/>
          <w:vanish/>
          <w:rtl/>
        </w:rPr>
        <w:t>=</w:t>
      </w:r>
      <w:r>
        <w:rPr>
          <w:rFonts w:hint="cs"/>
          <w:rtl/>
        </w:rPr>
        <w:t xml:space="preserve"> דלר"ש אף בלא שקיל בברזי פטור דהוי מלאכה שאינה צריכה לגופה, כיון שא"צ את העור ואינו רוצה אותו, וביאר </w:t>
      </w:r>
      <w:r w:rsidRPr="00035277">
        <w:rPr>
          <w:rStyle w:val="aff4"/>
          <w:rFonts w:hint="cs"/>
          <w:vanish/>
          <w:rtl/>
        </w:rPr>
        <w:t>-</w:t>
      </w:r>
      <w:r w:rsidRPr="00035277">
        <w:rPr>
          <w:rStyle w:val="aff4"/>
          <w:rFonts w:hint="cs"/>
          <w:rtl/>
        </w:rPr>
        <w:t>הריטב"א</w:t>
      </w:r>
      <w:r w:rsidRPr="00035277">
        <w:rPr>
          <w:rStyle w:val="aff4"/>
          <w:rFonts w:hint="cs"/>
          <w:vanish/>
          <w:rtl/>
        </w:rPr>
        <w:t>-</w:t>
      </w:r>
      <w:r>
        <w:rPr>
          <w:rFonts w:hint="cs"/>
          <w:rtl/>
        </w:rPr>
        <w:t xml:space="preserve"> דלא שייך לחייב בזה בפסיק רישיה דהוא חיוב בדבר שאינו מתכוין, ולא במלאכה שאינה צריכה לגופה שעושה את המלאכה בכוונה גמורה ופטור רק כיון שאינו עושה אותו לגופה, והביא </w:t>
      </w:r>
      <w:r w:rsidRPr="00035277">
        <w:rPr>
          <w:rStyle w:val="aff4"/>
          <w:rFonts w:hint="cs"/>
          <w:vanish/>
          <w:rtl/>
        </w:rPr>
        <w:t>-</w:t>
      </w:r>
      <w:r w:rsidRPr="00035277">
        <w:rPr>
          <w:rStyle w:val="aff4"/>
          <w:rFonts w:hint="cs"/>
          <w:rtl/>
        </w:rPr>
        <w:t>הריטב"א</w:t>
      </w:r>
      <w:r w:rsidRPr="00035277">
        <w:rPr>
          <w:rStyle w:val="aff4"/>
          <w:rFonts w:hint="cs"/>
          <w:vanish/>
          <w:rtl/>
        </w:rPr>
        <w:t>-</w:t>
      </w:r>
      <w:r>
        <w:rPr>
          <w:rFonts w:hint="cs"/>
          <w:rtl/>
        </w:rPr>
        <w:t xml:space="preserve"> בשם </w:t>
      </w:r>
      <w:r w:rsidRPr="00035277">
        <w:rPr>
          <w:rStyle w:val="aff4"/>
          <w:rFonts w:hint="cs"/>
          <w:vanish/>
          <w:rtl/>
        </w:rPr>
        <w:t>-</w:t>
      </w:r>
      <w:r w:rsidRPr="00035277">
        <w:rPr>
          <w:rStyle w:val="aff4"/>
          <w:rFonts w:hint="cs"/>
          <w:rtl/>
        </w:rPr>
        <w:t>י"מ</w:t>
      </w:r>
      <w:r w:rsidRPr="00035277">
        <w:rPr>
          <w:rStyle w:val="aff4"/>
          <w:rFonts w:hint="cs"/>
          <w:vanish/>
          <w:rtl/>
        </w:rPr>
        <w:t>-</w:t>
      </w:r>
      <w:r>
        <w:rPr>
          <w:rFonts w:hint="cs"/>
          <w:rtl/>
        </w:rPr>
        <w:t xml:space="preserve"> דתירצו דכוונת הגמ' להעמיד כן לר"י, עיי"ש בדבריו.</w:t>
      </w:r>
      <w:bookmarkEnd w:id="4345"/>
      <w:bookmarkEnd w:id="4346"/>
    </w:p>
    <w:p w14:paraId="58FF5349" w14:textId="77777777" w:rsidR="00274E65" w:rsidRPr="00747170" w:rsidRDefault="00274E65" w:rsidP="00747170">
      <w:pPr>
        <w:pStyle w:val="a2"/>
        <w:rPr>
          <w:rtl/>
        </w:rPr>
      </w:pPr>
      <w:r w:rsidRPr="00747170">
        <w:rPr>
          <w:rtl/>
        </w:rPr>
        <w:t>ומפרקינן הכא במאי עסקינן דשקיל ליה בברזי. יש אומרים שאינו חושש לעשות נקבים וכיון דלא איכפת ליה בעור כלל לא מודה ביה רבי שמעון וכפי מה שפירש בעל הערוך וכדכתיבנא לעיל בפרק הבונה (ק"ג א'), אבל רש"י ז"ל [פירש] שהוא עושה העור נקבים וחתיכות דהשתא לא חשיב הפשטה כלל ואיסורא דרבנן בלחוד הוא.</w:t>
      </w:r>
      <w:r w:rsidRPr="00747170">
        <w:rPr>
          <w:rFonts w:hint="cs"/>
          <w:rtl/>
        </w:rPr>
        <w:t xml:space="preserve"> </w:t>
      </w:r>
      <w:r w:rsidRPr="00747170">
        <w:rPr>
          <w:rtl/>
        </w:rPr>
        <w:t>וקשיא לי טובא כיון דכרבי שמעון מוקמינן לה למה לן למימר דשקיל ליה בברזי תיפוק [ליה] דכיון דלא בעי ליה לעור ואינו צריך לו דהויא ליה הפשטה מלאכה שאינה צריכה לגופה שהוא פטור עליה וליכא אלא איסורא דרבנן, ולא שייך הכא פסיק רישיה ולא ימות, דכל מלאכה שאינה צריכה לגופה במתכוין גמור עושה אותה אלא כיון דלא איתעבידא לגופה פטור עליה, ויש מתרצים דהכא אף לרבי יהודה אמרינן לה דכיון דאיכא תרתי מלאכה שאינה צריכה לגופה ואינה במתכוין אף לרבי יהודה ליכא אלא איסורא דרבנן, והיינו דאמרינן דלא בעי ליה לעיל, ופרכינן דהא כמתכוין גמור חשוב כיון דהוי פסיק רישיה ולא ימות ואיסורא דאורייתא איכא לרבי יהודה מיהת אף על גב דמלאכה שאינה צריכה לגופה היא, ומהדרינן דהכי קאמרינן דלא בעי ליה ושקיל ליה בברזי ולא הוי הפשט, דאפילו לרבי יהודה ליכא אלא איסורא דרבנן.</w:t>
      </w:r>
    </w:p>
    <w:p w14:paraId="562B0271" w14:textId="77777777" w:rsidR="00274E65" w:rsidRDefault="00274E65" w:rsidP="00274E65">
      <w:pPr>
        <w:pStyle w:val="a7"/>
        <w:rPr>
          <w:rtl/>
        </w:rPr>
      </w:pPr>
      <w:bookmarkStart w:id="4347" w:name="_Toc140744030"/>
      <w:r>
        <w:rPr>
          <w:rFonts w:hint="cs"/>
          <w:rtl/>
        </w:rPr>
        <w:t>בי' הריטב"א דבעוסק בדבר עצמו וא"צ למלאכה ואפשר באופ"א ל"ה משאצל"ג ובגומא א"א</w:t>
      </w:r>
      <w:bookmarkEnd w:id="4347"/>
    </w:p>
    <w:p w14:paraId="4B098A9B" w14:textId="0514C71B" w:rsidR="00274E65" w:rsidRPr="00583503" w:rsidRDefault="00274E65" w:rsidP="00BC7DC8">
      <w:pPr>
        <w:pStyle w:val="a3"/>
        <w:rPr>
          <w:rtl/>
        </w:rPr>
      </w:pPr>
      <w:r>
        <w:rPr>
          <w:rFonts w:hint="cs"/>
          <w:rtl/>
        </w:rPr>
        <w:t xml:space="preserve">ועוד תירץ </w:t>
      </w:r>
      <w:r w:rsidRPr="00035277">
        <w:rPr>
          <w:rStyle w:val="aff4"/>
          <w:rFonts w:hint="cs"/>
          <w:vanish/>
          <w:rtl/>
        </w:rPr>
        <w:t>-</w:t>
      </w:r>
      <w:r w:rsidRPr="00035277">
        <w:rPr>
          <w:rStyle w:val="aff4"/>
          <w:rFonts w:hint="cs"/>
          <w:rtl/>
        </w:rPr>
        <w:t>הריטב"א</w:t>
      </w:r>
      <w:r w:rsidRPr="00035277">
        <w:rPr>
          <w:rStyle w:val="aff4"/>
          <w:rFonts w:hint="cs"/>
          <w:vanish/>
          <w:rtl/>
        </w:rPr>
        <w:t>-</w:t>
      </w:r>
      <w:r>
        <w:rPr>
          <w:rFonts w:hint="cs"/>
          <w:rtl/>
        </w:rPr>
        <w:t xml:space="preserve"> דהפטור במלאכה שאינה צריכה לגופה הוא כשאינו עוסק במלאכה אחרת, אלא רק במלאכה הזו וכיון שאינו צריך למלאכה הזו עצמה פטור עליה, כמוציא מת בגמ' </w:t>
      </w:r>
      <w:r w:rsidRPr="00371859">
        <w:rPr>
          <w:rStyle w:val="af2"/>
          <w:rFonts w:eastAsia="Guttman Hodes" w:hint="cs"/>
          <w:rtl/>
        </w:rPr>
        <w:t>(צג.)</w:t>
      </w:r>
      <w:r>
        <w:rPr>
          <w:rFonts w:hint="cs"/>
          <w:rtl/>
        </w:rPr>
        <w:t xml:space="preserve">,  ומכבה גחלת בגמ' לעיל </w:t>
      </w:r>
      <w:r w:rsidRPr="00371859">
        <w:rPr>
          <w:rStyle w:val="af2"/>
          <w:rFonts w:eastAsia="Guttman Hodes" w:hint="cs"/>
          <w:rtl/>
        </w:rPr>
        <w:t>(מב.)</w:t>
      </w:r>
      <w:r>
        <w:rPr>
          <w:rFonts w:hint="cs"/>
          <w:rtl/>
        </w:rPr>
        <w:t xml:space="preserve">, וצד נחש שלא יזיק בגמ' </w:t>
      </w:r>
      <w:r w:rsidRPr="00371859">
        <w:rPr>
          <w:rStyle w:val="af2"/>
          <w:rFonts w:eastAsia="Guttman Hodes" w:hint="cs"/>
          <w:rtl/>
        </w:rPr>
        <w:t>(קז.)</w:t>
      </w:r>
      <w:r>
        <w:rPr>
          <w:rFonts w:hint="cs"/>
          <w:rtl/>
        </w:rPr>
        <w:t xml:space="preserve">, אבל מפשיט עור כשא"צ לו שהוא עוסק בהוצאת הבשר, כיון דיכול להוציאו בלא הפשטה ע"י דשקיל לה בברזי, אינו בכלל מלאכה שאינה צריכה לגופה אלא הוא דבר שאינו מתכוין, והוסיף </w:t>
      </w:r>
      <w:r w:rsidRPr="00035277">
        <w:rPr>
          <w:rStyle w:val="aff4"/>
          <w:rFonts w:hint="cs"/>
          <w:vanish/>
          <w:rtl/>
        </w:rPr>
        <w:t>-</w:t>
      </w:r>
      <w:r w:rsidRPr="00035277">
        <w:rPr>
          <w:rStyle w:val="aff4"/>
          <w:rFonts w:hint="cs"/>
          <w:rtl/>
        </w:rPr>
        <w:t>הריטב"א</w:t>
      </w:r>
      <w:r w:rsidRPr="00035277">
        <w:rPr>
          <w:rStyle w:val="aff4"/>
          <w:rFonts w:hint="cs"/>
          <w:vanish/>
          <w:rtl/>
        </w:rPr>
        <w:t>-</w:t>
      </w:r>
      <w:r>
        <w:rPr>
          <w:rFonts w:hint="cs"/>
          <w:rtl/>
        </w:rPr>
        <w:t xml:space="preserve"> דלא דמי לחופר גומא וא"צ אלא לעפרה, כיון דא"א לחפור גומא בלי להוציא את העפר, וא"כ כל המלאכה דחפירת הגומא והוצאת העפר הם מלאכה אחת שא"צ למלאכה של בנין הגומא, </w:t>
      </w:r>
      <w:r w:rsidRPr="00BF729F">
        <w:rPr>
          <w:rStyle w:val="af"/>
          <w:rFonts w:hint="cs"/>
          <w:rtl/>
        </w:rPr>
        <w:t xml:space="preserve">[וכעי"ז כתב </w:t>
      </w:r>
      <w:r w:rsidRPr="00BF729F">
        <w:rPr>
          <w:rStyle w:val="aff9"/>
          <w:rFonts w:hint="cs"/>
          <w:vanish/>
          <w:rtl/>
        </w:rPr>
        <w:t>-</w:t>
      </w:r>
      <w:r w:rsidRPr="00BF729F">
        <w:rPr>
          <w:rStyle w:val="aff9"/>
          <w:rFonts w:hint="cs"/>
          <w:rtl/>
        </w:rPr>
        <w:t>הראב"ד בב"ק</w:t>
      </w:r>
      <w:r w:rsidRPr="00BF729F">
        <w:rPr>
          <w:rStyle w:val="aff9"/>
          <w:rFonts w:hint="cs"/>
          <w:vanish/>
          <w:rtl/>
        </w:rPr>
        <w:t>-</w:t>
      </w:r>
      <w:r w:rsidRPr="00BF729F">
        <w:rPr>
          <w:rStyle w:val="af"/>
          <w:rFonts w:hint="cs"/>
          <w:rtl/>
        </w:rPr>
        <w:t xml:space="preserve"> </w:t>
      </w:r>
      <w:r w:rsidRPr="00BF729F">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Ref140678944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סד)</w:t>
      </w:r>
      <w:r>
        <w:rPr>
          <w:rStyle w:val="aff0"/>
          <w:rtl/>
        </w:rPr>
        <w:fldChar w:fldCharType="end"/>
      </w:r>
      <w:r w:rsidRPr="00BF729F">
        <w:rPr>
          <w:rStyle w:val="af"/>
          <w:rFonts w:hint="cs"/>
          <w:rtl/>
        </w:rPr>
        <w:t>],</w:t>
      </w:r>
      <w:r>
        <w:rPr>
          <w:rFonts w:hint="cs"/>
          <w:rtl/>
        </w:rPr>
        <w:t xml:space="preserve"> אבל בהפשטת הפסח, כתב </w:t>
      </w:r>
      <w:r w:rsidRPr="00035277">
        <w:rPr>
          <w:rStyle w:val="aff4"/>
          <w:rFonts w:hint="cs"/>
          <w:vanish/>
          <w:rtl/>
        </w:rPr>
        <w:t>-</w:t>
      </w:r>
      <w:r w:rsidRPr="00035277">
        <w:rPr>
          <w:rStyle w:val="aff4"/>
          <w:rFonts w:hint="cs"/>
          <w:rtl/>
        </w:rPr>
        <w:t>הריטב"א</w:t>
      </w:r>
      <w:r w:rsidRPr="00035277">
        <w:rPr>
          <w:rStyle w:val="aff4"/>
          <w:rFonts w:hint="cs"/>
          <w:vanish/>
          <w:rtl/>
        </w:rPr>
        <w:t>-</w:t>
      </w:r>
      <w:r>
        <w:rPr>
          <w:rFonts w:hint="cs"/>
          <w:rtl/>
        </w:rPr>
        <w:t xml:space="preserve"> דכיון שהוא יכול להוציא את האימורים בלא מלאכת הפשטה ועיקר המעשה והעסק שלו הם בהוצאת האימורים, הוי פסיק רישיה וחייב, דכל דלא שקיל לה בברזי אין בה פטור דמלאכה שאינה צריכה לגופה.</w:t>
      </w:r>
    </w:p>
    <w:p w14:paraId="4817492E" w14:textId="77777777" w:rsidR="00274E65" w:rsidRPr="00747170" w:rsidRDefault="00274E65" w:rsidP="00747170">
      <w:pPr>
        <w:pStyle w:val="a2"/>
        <w:rPr>
          <w:rtl/>
        </w:rPr>
      </w:pPr>
      <w:r w:rsidRPr="00747170">
        <w:rPr>
          <w:rtl/>
        </w:rPr>
        <w:t>עוד י"ל דלא הוי בכלל מלאכה שאינה צריכה לגופה, דהתם אינו עוסק אלא במלאכת האיסור לבד אלא שלא נעשית לגופה, כמוציא המת לקוברו (לעיל צ"ג ב') וכמכבה גחלת (לעיל מ"ב א') וצד נחש (לעיל ק"ז א') כדי שלא יזוקו בו, ודבר שאין מתכוין הוא העוסק במלאכת היתר ועשה עמו מלאכת איסור ואפשר לזה בלא זה, כגון גורר מטה ועושה חריץ (לעיל כ"ט ב'), וכל דכוותה, והכא נמי עיקר מלאכתו הוצאת הבשר מן העור לצרכו ואפשר לה בלא הפשטה אי שקיל לה בברזי ואם כן הוי דבר שאין מתכוין ואין עליו שם מלאכה שאינה צריכה לגופה, ולא דמי לחופר גומא ואין צריך אלא לעפרה דקרינן ליה (לעיל ע"ג ב') מלאכה שאינה צריכה לגופה, דהתם אי אפשר לגומא בלא נטילת עפר וכולה מלאכה היינו החפירה ועשיית הגומא, מה שאין כן בזו דאפשר להוצאת אימורים בלא הפשטה ועיקר מעשהו ועסקו הוא הוצאת האימורים, והיינו דקס"ד דבעי למימר כגון דלא בעי ליה לעור, כלומר צריך הוא לעור אבל אינו מקפיד ואינו חושש לו, ופרכינן מכל מקום פסיק רישיה ולא ימות הוא, ופרקינן דשקיל ליה בברזי ונקטינן לה לכולי עלמא ואפי' לרבי יהודה ולא פרקינן לה כגון דלא בעי ליה לעור והויא ליה מלאכה שאינה צריכה לגופה, דכל דלא שקיל ליה בברזי לא סגיא ליה כשאר עורות קדשים.</w:t>
      </w:r>
    </w:p>
    <w:p w14:paraId="405F40A1" w14:textId="77777777" w:rsidR="00274E65" w:rsidRDefault="00274E65" w:rsidP="00274E65">
      <w:pPr>
        <w:pStyle w:val="afffff7"/>
        <w:rPr>
          <w:rtl/>
        </w:rPr>
      </w:pPr>
      <w:bookmarkStart w:id="4348" w:name="_Toc140744098"/>
      <w:bookmarkStart w:id="4349" w:name="_Toc163506046"/>
      <w:r>
        <w:rPr>
          <w:rtl/>
        </w:rPr>
        <w:t>חדושי הריטב"א שבת קל"ג ע"א</w:t>
      </w:r>
      <w:r>
        <w:rPr>
          <w:rFonts w:hint="cs"/>
          <w:rtl/>
        </w:rPr>
        <w:t xml:space="preserve"> ד"ה הא</w:t>
      </w:r>
      <w:bookmarkEnd w:id="4348"/>
      <w:bookmarkEnd w:id="4349"/>
    </w:p>
    <w:p w14:paraId="213F2EF1" w14:textId="77777777" w:rsidR="00274E65" w:rsidRDefault="00274E65" w:rsidP="00274E65">
      <w:pPr>
        <w:pStyle w:val="a7"/>
        <w:rPr>
          <w:rtl/>
        </w:rPr>
      </w:pPr>
      <w:bookmarkStart w:id="4350" w:name="_Toc140744031"/>
      <w:r>
        <w:rPr>
          <w:rFonts w:hint="cs"/>
          <w:rtl/>
        </w:rPr>
        <w:t>קו' הריטב"א דמילה בבהרת הוא מעשה א' ול"ד לאינו מתכוין אלא למכבה גחלת דמשאצל"ג</w:t>
      </w:r>
      <w:bookmarkEnd w:id="4350"/>
    </w:p>
    <w:p w14:paraId="0FF88DD9" w14:textId="3721C274" w:rsidR="00274E65" w:rsidRPr="009237E1" w:rsidRDefault="00274E65" w:rsidP="00BC7DC8">
      <w:pPr>
        <w:pStyle w:val="a3"/>
        <w:rPr>
          <w:rtl/>
        </w:rPr>
      </w:pPr>
      <w:bookmarkStart w:id="4351" w:name="_Ref140437158"/>
      <w:r>
        <w:rPr>
          <w:rFonts w:hint="cs"/>
          <w:rtl/>
        </w:rPr>
        <w:t xml:space="preserve">בקושית הגמ' לקמן </w:t>
      </w:r>
      <w:r w:rsidRPr="00371859">
        <w:rPr>
          <w:rStyle w:val="af2"/>
          <w:rFonts w:eastAsia="Guttman Hodes" w:hint="cs"/>
          <w:rtl/>
        </w:rPr>
        <w:t>(קלג.)</w:t>
      </w:r>
      <w:r>
        <w:rPr>
          <w:rFonts w:hint="cs"/>
          <w:rtl/>
        </w:rPr>
        <w:t xml:space="preserve"> דאמאי צריך ילפותא לקוצץ מילה בבהרת, הא קציצת הבהרת היא דבר שאינו מתכוין, הקשה </w:t>
      </w:r>
      <w:r w:rsidRPr="00035277">
        <w:rPr>
          <w:rStyle w:val="aff4"/>
          <w:rFonts w:hint="cs"/>
          <w:vanish/>
          <w:rtl/>
        </w:rPr>
        <w:t>-</w:t>
      </w:r>
      <w:r w:rsidRPr="00035277">
        <w:rPr>
          <w:rStyle w:val="aff4"/>
          <w:rFonts w:hint="cs"/>
          <w:rtl/>
        </w:rPr>
        <w:t>ה</w:t>
      </w:r>
      <w:r w:rsidRPr="00220C38">
        <w:rPr>
          <w:rStyle w:val="aff4"/>
          <w:rFonts w:hint="cs"/>
          <w:vanish/>
          <w:rtl/>
        </w:rPr>
        <w:t xml:space="preserve">&lt;, </w:t>
      </w:r>
      <w:r w:rsidRPr="00220C38">
        <w:rPr>
          <w:rStyle w:val="aff4"/>
          <w:vanish/>
          <w:rtl/>
        </w:rPr>
        <w:fldChar w:fldCharType="begin"/>
      </w:r>
      <w:r w:rsidRPr="00220C38">
        <w:rPr>
          <w:rStyle w:val="aff4"/>
          <w:vanish/>
          <w:rtl/>
        </w:rPr>
        <w:instrText xml:space="preserve"> </w:instrText>
      </w:r>
      <w:r w:rsidRPr="00220C38">
        <w:rPr>
          <w:rStyle w:val="aff4"/>
          <w:rFonts w:hint="cs"/>
          <w:vanish/>
        </w:rPr>
        <w:instrText>REF</w:instrText>
      </w:r>
      <w:r w:rsidRPr="00220C38">
        <w:rPr>
          <w:rStyle w:val="aff4"/>
          <w:rFonts w:hint="cs"/>
          <w:vanish/>
          <w:rtl/>
        </w:rPr>
        <w:instrText xml:space="preserve"> _</w:instrText>
      </w:r>
      <w:r w:rsidRPr="00220C38">
        <w:rPr>
          <w:rStyle w:val="aff4"/>
          <w:rFonts w:hint="cs"/>
          <w:vanish/>
        </w:rPr>
        <w:instrText>Ref140437158 \r \h</w:instrText>
      </w:r>
      <w:r w:rsidRPr="00220C38">
        <w:rPr>
          <w:rStyle w:val="aff4"/>
          <w:vanish/>
          <w:rtl/>
        </w:rPr>
        <w:instrText xml:space="preserve"> </w:instrText>
      </w:r>
      <w:r w:rsidRPr="00220C38">
        <w:rPr>
          <w:rStyle w:val="aff4"/>
          <w:vanish/>
          <w:rtl/>
        </w:rPr>
      </w:r>
      <w:r w:rsidRPr="00220C38">
        <w:rPr>
          <w:rStyle w:val="aff4"/>
          <w:vanish/>
          <w:rtl/>
        </w:rPr>
        <w:fldChar w:fldCharType="separate"/>
      </w:r>
      <w:r w:rsidR="00D82181">
        <w:rPr>
          <w:rStyle w:val="aff4"/>
          <w:vanish/>
          <w:cs/>
        </w:rPr>
        <w:t>‎</w:t>
      </w:r>
      <w:r w:rsidR="00D82181">
        <w:rPr>
          <w:rStyle w:val="aff4"/>
          <w:vanish/>
          <w:rtl/>
        </w:rPr>
        <w:t>סט)</w:t>
      </w:r>
      <w:r w:rsidRPr="00220C38">
        <w:rPr>
          <w:rStyle w:val="aff4"/>
          <w:vanish/>
          <w:rtl/>
        </w:rPr>
        <w:fldChar w:fldCharType="end"/>
      </w:r>
      <w:r w:rsidRPr="00220C38">
        <w:rPr>
          <w:rStyle w:val="aff4"/>
          <w:rFonts w:hint="cs"/>
          <w:vanish/>
          <w:rtl/>
        </w:rPr>
        <w:t xml:space="preserve"> &gt;</w:t>
      </w:r>
      <w:r w:rsidRPr="00035277">
        <w:rPr>
          <w:rStyle w:val="aff4"/>
          <w:rFonts w:hint="cs"/>
          <w:rtl/>
        </w:rPr>
        <w:t>ריטב"א</w:t>
      </w:r>
      <w:bookmarkEnd w:id="4351"/>
      <w:r w:rsidRPr="00035277">
        <w:rPr>
          <w:rStyle w:val="aff4"/>
          <w:rFonts w:hint="cs"/>
          <w:vanish/>
          <w:rtl/>
        </w:rPr>
        <w:t>-</w:t>
      </w:r>
      <w:r>
        <w:rPr>
          <w:rFonts w:hint="cs"/>
          <w:rtl/>
        </w:rPr>
        <w:t xml:space="preserve"> </w:t>
      </w:r>
      <w:r w:rsidRPr="00371859">
        <w:rPr>
          <w:rStyle w:val="af2"/>
          <w:rFonts w:eastAsia="Guttman Hodes" w:hint="cs"/>
          <w:rtl/>
        </w:rPr>
        <w:t>(קלג. ד"ה הא)</w:t>
      </w:r>
      <w:r w:rsidRPr="00220C38">
        <w:rPr>
          <w:rFonts w:hint="cs"/>
          <w:vanish/>
          <w:rtl/>
        </w:rPr>
        <w:t>=</w:t>
      </w:r>
      <w:r>
        <w:rPr>
          <w:rFonts w:hint="cs"/>
          <w:rtl/>
        </w:rPr>
        <w:t xml:space="preserve"> דאינו דבר שאינו מתכוין אלא מלאכה שאינה צריכה לגופה, דאינו מתכוין הוא באופן שעושה ב' דברים כגורר ספסל ועושה חריץ, ומלאכה שאינה צריכה לגופה הוא באופן שעושה רק מלאכה אחת, וא"כ בקוצץ בהרת במילה שעושה רק מלאכה אחת ואינו מתכוין לאיסור, דמי למכבה גחלת ברה"ר בכדי שלא יוזקו בה רבים בגמ' לעיל </w:t>
      </w:r>
      <w:r w:rsidRPr="00371859">
        <w:rPr>
          <w:rStyle w:val="af2"/>
          <w:rFonts w:eastAsia="Guttman Hodes" w:hint="cs"/>
          <w:rtl/>
        </w:rPr>
        <w:t>(מב.)</w:t>
      </w:r>
      <w:r>
        <w:rPr>
          <w:rFonts w:hint="cs"/>
          <w:rtl/>
        </w:rPr>
        <w:t>, דהכיבוי של הגחלת הוא אותו כיבוי דאיסור, רק כיון שאין לו כוונה לכיבוי הוא מלאכה שאינה צריכה לגופה.</w:t>
      </w:r>
    </w:p>
    <w:p w14:paraId="4D667D72" w14:textId="77777777" w:rsidR="00274E65" w:rsidRPr="00747170" w:rsidRDefault="00274E65" w:rsidP="00747170">
      <w:pPr>
        <w:pStyle w:val="a2"/>
        <w:rPr>
          <w:rtl/>
        </w:rPr>
      </w:pPr>
      <w:r w:rsidRPr="00747170">
        <w:rPr>
          <w:rtl/>
        </w:rPr>
        <w:t>הא למה לי קרא דבר שאין מתכוין הוא ודבר שאין מתכוין מותר. וק"ל דהא לא איקרי דבר שאין מתכוין אלא אדרבה מלאכה שאינה צריכה לגופה היא, דדבר שאין מתכוין הוא כגון גורר אדם מטה וספסל (לעיל כ"ב א') דאיכא תרתי גרירה וחריץ ואפשר לגרירה בלא חריץ, ומלאכה שאינה צריכה לגופה הוא דליכא אלא חדא כי הכא [דעביד] קציצה אלא שאינו מתכוין לאיסור, כגון המכבה את הגחלת ברשות הרבים שלא יזוקו בה רבים (לעיל מ"ב א') שהכיבוי (כל) כך הוא כמו כיבוי דאיסור אלא שאינו מתכוין</w:t>
      </w:r>
      <w:r w:rsidRPr="00747170">
        <w:rPr>
          <w:rFonts w:hint="cs"/>
          <w:rtl/>
        </w:rPr>
        <w:t>.</w:t>
      </w:r>
    </w:p>
    <w:p w14:paraId="6FE7606B" w14:textId="77777777" w:rsidR="00274E65" w:rsidRDefault="00274E65" w:rsidP="00274E65">
      <w:pPr>
        <w:pStyle w:val="a7"/>
        <w:rPr>
          <w:rtl/>
        </w:rPr>
      </w:pPr>
      <w:bookmarkStart w:id="4352" w:name="_Toc140744032"/>
      <w:r>
        <w:rPr>
          <w:rFonts w:hint="cs"/>
          <w:rtl/>
        </w:rPr>
        <w:t>תירוצי הריטב"א דמילה בבהרת לא דמי למשאצל"ג בשבת</w:t>
      </w:r>
      <w:bookmarkEnd w:id="4352"/>
    </w:p>
    <w:p w14:paraId="1A6AD931" w14:textId="77777777" w:rsidR="00274E65" w:rsidRPr="00EE1893" w:rsidRDefault="00274E65" w:rsidP="00BC7DC8">
      <w:pPr>
        <w:pStyle w:val="a3"/>
      </w:pPr>
      <w:r>
        <w:rPr>
          <w:rFonts w:hint="cs"/>
          <w:rtl/>
        </w:rPr>
        <w:t xml:space="preserve">ותירץ </w:t>
      </w:r>
      <w:r w:rsidRPr="00035277">
        <w:rPr>
          <w:rStyle w:val="aff4"/>
          <w:rFonts w:hint="cs"/>
          <w:vanish/>
          <w:rtl/>
        </w:rPr>
        <w:t>-</w:t>
      </w:r>
      <w:r w:rsidRPr="00035277">
        <w:rPr>
          <w:rStyle w:val="aff4"/>
          <w:rFonts w:hint="cs"/>
          <w:rtl/>
        </w:rPr>
        <w:t>הריטב"א בתי' הא'</w:t>
      </w:r>
      <w:r w:rsidRPr="00035277">
        <w:rPr>
          <w:rStyle w:val="aff4"/>
          <w:rFonts w:hint="cs"/>
          <w:vanish/>
          <w:rtl/>
        </w:rPr>
        <w:t>-</w:t>
      </w:r>
      <w:r>
        <w:rPr>
          <w:rFonts w:hint="cs"/>
          <w:rtl/>
        </w:rPr>
        <w:t xml:space="preserve"> דהגמ' לקמן </w:t>
      </w:r>
      <w:r w:rsidRPr="00371859">
        <w:rPr>
          <w:rStyle w:val="af2"/>
          <w:rFonts w:eastAsia="Guttman Hodes" w:hint="cs"/>
          <w:rtl/>
        </w:rPr>
        <w:t>(קלג.)</w:t>
      </w:r>
      <w:r>
        <w:rPr>
          <w:rFonts w:hint="cs"/>
          <w:rtl/>
        </w:rPr>
        <w:t xml:space="preserve"> ס"ל כר"ש בדבר שאינו מתכוין וכר"י במלאכה שאינה צריכה לגופה, ועוד תירץ </w:t>
      </w:r>
      <w:r w:rsidRPr="00035277">
        <w:rPr>
          <w:rStyle w:val="aff4"/>
          <w:rFonts w:hint="cs"/>
          <w:vanish/>
          <w:rtl/>
        </w:rPr>
        <w:t>-</w:t>
      </w:r>
      <w:r w:rsidRPr="00035277">
        <w:rPr>
          <w:rStyle w:val="aff4"/>
          <w:rFonts w:hint="cs"/>
          <w:rtl/>
        </w:rPr>
        <w:t>הריטב"א בתי' הב'</w:t>
      </w:r>
      <w:r w:rsidRPr="00035277">
        <w:rPr>
          <w:rStyle w:val="aff4"/>
          <w:rFonts w:hint="cs"/>
          <w:vanish/>
          <w:rtl/>
        </w:rPr>
        <w:t>-</w:t>
      </w:r>
      <w:r>
        <w:rPr>
          <w:rFonts w:hint="cs"/>
          <w:rtl/>
        </w:rPr>
        <w:t xml:space="preserve"> בשם </w:t>
      </w:r>
      <w:r w:rsidRPr="00035277">
        <w:rPr>
          <w:rStyle w:val="aff4"/>
          <w:rFonts w:hint="cs"/>
          <w:vanish/>
          <w:rtl/>
        </w:rPr>
        <w:t>-</w:t>
      </w:r>
      <w:r w:rsidRPr="00035277">
        <w:rPr>
          <w:rStyle w:val="aff4"/>
          <w:rFonts w:hint="cs"/>
          <w:rtl/>
        </w:rPr>
        <w:t>י"מ</w:t>
      </w:r>
      <w:r w:rsidRPr="00035277">
        <w:rPr>
          <w:rStyle w:val="aff4"/>
          <w:rFonts w:hint="cs"/>
          <w:vanish/>
          <w:rtl/>
        </w:rPr>
        <w:t>-</w:t>
      </w:r>
      <w:r>
        <w:rPr>
          <w:rFonts w:hint="cs"/>
          <w:rtl/>
        </w:rPr>
        <w:t xml:space="preserve"> דהחילוק בין דבר שאינו מתכוין למלאכה שאינה צריכה לגופה, הוא רק לענין שבת ולא לענין שאר דברים, ולכן במילה בבהרת אין חילוק ביניהם, ועוד תירץ </w:t>
      </w:r>
      <w:r w:rsidRPr="00035277">
        <w:rPr>
          <w:rStyle w:val="aff4"/>
          <w:rFonts w:hint="cs"/>
          <w:vanish/>
          <w:rtl/>
        </w:rPr>
        <w:t>-</w:t>
      </w:r>
      <w:r w:rsidRPr="00035277">
        <w:rPr>
          <w:rStyle w:val="aff4"/>
          <w:rFonts w:hint="cs"/>
          <w:rtl/>
        </w:rPr>
        <w:t>הריטב"א בתי' הג'</w:t>
      </w:r>
      <w:r w:rsidRPr="00035277">
        <w:rPr>
          <w:rStyle w:val="aff4"/>
          <w:rFonts w:hint="cs"/>
          <w:vanish/>
          <w:rtl/>
        </w:rPr>
        <w:t>-</w:t>
      </w:r>
      <w:r>
        <w:rPr>
          <w:rFonts w:hint="cs"/>
          <w:rtl/>
        </w:rPr>
        <w:t xml:space="preserve"> בשם </w:t>
      </w:r>
      <w:r w:rsidRPr="00035277">
        <w:rPr>
          <w:rStyle w:val="aff4"/>
          <w:rFonts w:hint="cs"/>
          <w:vanish/>
          <w:rtl/>
        </w:rPr>
        <w:t>-</w:t>
      </w:r>
      <w:r w:rsidRPr="00035277">
        <w:rPr>
          <w:rStyle w:val="aff4"/>
          <w:rFonts w:hint="cs"/>
          <w:rtl/>
        </w:rPr>
        <w:t>י"מ</w:t>
      </w:r>
      <w:r w:rsidRPr="00035277">
        <w:rPr>
          <w:rStyle w:val="aff4"/>
          <w:rFonts w:hint="cs"/>
          <w:vanish/>
          <w:rtl/>
        </w:rPr>
        <w:t>-</w:t>
      </w:r>
      <w:r>
        <w:rPr>
          <w:rFonts w:hint="cs"/>
          <w:rtl/>
        </w:rPr>
        <w:t xml:space="preserve"> דאף בקוצץ מילה בבהרת יש ב' מלאכות כמו בגורר מטה וספסל, כיון דאיסור קציצת בהרת הוא רק בכוונה, ולכן </w:t>
      </w:r>
      <w:r>
        <w:rPr>
          <w:rFonts w:hint="cs"/>
          <w:rtl/>
        </w:rPr>
        <w:lastRenderedPageBreak/>
        <w:t xml:space="preserve">כל שמל ומתכוין גם לקוץ את הבהרת ויש ב' כוונות חשיב כב' מעשים, ואף שא"א למול בלי לקוץ את הבהרת מ"מ כיון שיש גם כוונה לזה חשיב דבר שאינו מתכוין, ועוד תירץ </w:t>
      </w:r>
      <w:r w:rsidRPr="00035277">
        <w:rPr>
          <w:rStyle w:val="aff4"/>
          <w:rFonts w:hint="cs"/>
          <w:vanish/>
          <w:rtl/>
        </w:rPr>
        <w:t>-</w:t>
      </w:r>
      <w:r w:rsidRPr="00035277">
        <w:rPr>
          <w:rStyle w:val="aff4"/>
          <w:rFonts w:hint="cs"/>
          <w:rtl/>
        </w:rPr>
        <w:t>הריטב"א בתי' הד'</w:t>
      </w:r>
      <w:r w:rsidRPr="00035277">
        <w:rPr>
          <w:rStyle w:val="aff4"/>
          <w:rFonts w:hint="cs"/>
          <w:vanish/>
          <w:rtl/>
        </w:rPr>
        <w:t>-</w:t>
      </w:r>
      <w:r>
        <w:rPr>
          <w:rFonts w:hint="cs"/>
          <w:rtl/>
        </w:rPr>
        <w:t xml:space="preserve"> בשם </w:t>
      </w:r>
      <w:r w:rsidRPr="00035277">
        <w:rPr>
          <w:rStyle w:val="aff4"/>
          <w:rFonts w:hint="cs"/>
          <w:vanish/>
          <w:rtl/>
        </w:rPr>
        <w:t>-</w:t>
      </w:r>
      <w:r w:rsidRPr="00035277">
        <w:rPr>
          <w:rStyle w:val="aff4"/>
          <w:rFonts w:hint="cs"/>
          <w:rtl/>
        </w:rPr>
        <w:t>רבו</w:t>
      </w:r>
      <w:r w:rsidRPr="00035277">
        <w:rPr>
          <w:rStyle w:val="aff4"/>
          <w:rFonts w:hint="cs"/>
          <w:vanish/>
          <w:rtl/>
        </w:rPr>
        <w:t>-</w:t>
      </w:r>
      <w:r>
        <w:rPr>
          <w:rFonts w:hint="cs"/>
          <w:rtl/>
        </w:rPr>
        <w:t xml:space="preserve"> דהבהרת אינה על עובי כל הבשר, ולכן יש שם ב' מלאכות דקציצת בשר וקציצת בהרת.</w:t>
      </w:r>
    </w:p>
    <w:p w14:paraId="73B8C2D7" w14:textId="146965D6" w:rsidR="00274E65" w:rsidRPr="00747170" w:rsidRDefault="00274E65" w:rsidP="00747170">
      <w:pPr>
        <w:pStyle w:val="a2"/>
        <w:rPr>
          <w:rtl/>
        </w:rPr>
      </w:pPr>
      <w:r w:rsidRPr="00747170">
        <w:rPr>
          <w:rtl/>
        </w:rPr>
        <w:t>ואפשר דסבירא לן כרבי שמעון בדבר שאינו מתכוין וסבירא לן כרבי יהודה במלאכה שאינה צריכה לגופה, דהא שמואל דאמר [הכי] בפרק כירה (שם), והיכי קאמר הכא למה לי קרא דבר שאין מתכוין [הוא], יש מפרשים שאין לחלק בין דבר שאין מתכוין למלאכה שאינה צריכה לגופה אלא בשבת, אבל בשאר דברים אין חילוק ביניהם ושרי בתרוייהו, ומלאכה שאינה צריכה לגופה איקרי דבר שאינו מתכוין, וכדאמרינן במסכת סנהדרין (פ"ד ב') בן מהו שיקיז לאביו אמר ליה דבר שאין מתכוין הוא ומותר, והתם ליכא אלא חדא דהיינו חבורה אלא שאינו מתכוין לחבול וקרי ליה דבר שאין מתכוין.ואחרים תירצו דהכא נמי איכא תרתי דומיא דגורר אדם מטה, שלא אסרה תורה לקוץ הבהרת אלא לקוץ בכוונה לטהר את הבהרת בקציצתו, וכיון דאיכא תרתי כוונות [כונת] קציצה בעלמא וכוונתה לטהר קרי ליה דבר שאינו מתכוין, ואף על גב דהוי פסיק רישיה ולא ימות דאי אפשר לקוץ בלא טהרה מ"מ תרתי כוונות [נינהו], וא"כ לפי זה אפילו בשאר דברים יש חילוק בין דבר שאינו מתכוין למלאכה שאינה צריכה לגופה, ואותה דמסכת סנהדרין תרתי איכא, שהדם שמוציא בתחלה היא רפואה ובכאן ליכא חבלה אלא דאיכא למיחש שמא יוציא דם יותר מדאי, וכיון דאיכא תרי דמים ואפשר שלא יוציא דם יותר מדאי שפיר מיקרי דבר שאין מתכוין.</w:t>
      </w:r>
    </w:p>
    <w:p w14:paraId="12179FE1" w14:textId="77777777" w:rsidR="00274E65" w:rsidRPr="005F2440" w:rsidRDefault="00274E65" w:rsidP="00747170">
      <w:pPr>
        <w:pStyle w:val="afffff5"/>
      </w:pPr>
      <w:r w:rsidRPr="005F2440">
        <w:rPr>
          <w:rtl/>
        </w:rPr>
        <w:t>ורבינו נר"ו פירש דקושיא מעיקרא ליתא, דהכא נמי איכא תרתי דאיכא קציצת בשר ואיכא קציצת בהרת, דודאי הבהרת אינה בעובי כל הבשר אלא למעלה ודוק, ולא איקרי אלא פסיק רישיה ולא ימות, והיינו דאמר רבא אפילו תימא רבי שמעון וכו'.</w:t>
      </w:r>
    </w:p>
    <w:p w14:paraId="2F5D3243" w14:textId="77777777" w:rsidR="00274E65" w:rsidRDefault="00274E65" w:rsidP="00274E65">
      <w:pPr>
        <w:pStyle w:val="1"/>
        <w:rPr>
          <w:rtl/>
        </w:rPr>
      </w:pPr>
      <w:bookmarkStart w:id="4353" w:name="_Toc140744033"/>
      <w:r>
        <w:rPr>
          <w:rFonts w:hint="cs"/>
          <w:rtl/>
        </w:rPr>
        <w:t>בי' הרא"ה דצורך אחר המלאכה וא"א באופ"א חשיב צל"ג</w:t>
      </w:r>
      <w:bookmarkEnd w:id="4353"/>
    </w:p>
    <w:p w14:paraId="255DFEAC" w14:textId="77777777" w:rsidR="00274E65" w:rsidRDefault="00274E65" w:rsidP="00274E65">
      <w:pPr>
        <w:pStyle w:val="afffff7"/>
        <w:rPr>
          <w:rtl/>
        </w:rPr>
      </w:pPr>
      <w:bookmarkStart w:id="4354" w:name="_Toc140744099"/>
      <w:bookmarkStart w:id="4355" w:name="_Toc163506047"/>
      <w:r>
        <w:rPr>
          <w:rtl/>
        </w:rPr>
        <w:t xml:space="preserve">שיטה מקובצת </w:t>
      </w:r>
      <w:r w:rsidRPr="00862ED3">
        <w:rPr>
          <w:rFonts w:hint="cs"/>
          <w:rtl/>
        </w:rPr>
        <w:t xml:space="preserve">[רא"ה] </w:t>
      </w:r>
      <w:r>
        <w:rPr>
          <w:rtl/>
        </w:rPr>
        <w:t>ב"ק ל"ד ע"ב</w:t>
      </w:r>
      <w:r>
        <w:rPr>
          <w:rFonts w:hint="cs"/>
          <w:rtl/>
        </w:rPr>
        <w:t xml:space="preserve"> ד</w:t>
      </w:r>
      <w:r>
        <w:rPr>
          <w:rFonts w:cs="Guttman Hodes" w:hint="cs"/>
          <w:rtl/>
        </w:rPr>
        <w:t>"</w:t>
      </w:r>
      <w:r>
        <w:rPr>
          <w:rFonts w:hint="cs"/>
          <w:rtl/>
        </w:rPr>
        <w:t>ה תני רבי אבהו</w:t>
      </w:r>
      <w:bookmarkEnd w:id="4354"/>
      <w:bookmarkEnd w:id="4355"/>
    </w:p>
    <w:p w14:paraId="21FFC728" w14:textId="77777777" w:rsidR="00274E65" w:rsidRDefault="00274E65" w:rsidP="00274E65">
      <w:pPr>
        <w:pStyle w:val="a7"/>
        <w:rPr>
          <w:rtl/>
        </w:rPr>
      </w:pPr>
      <w:bookmarkStart w:id="4356" w:name="_Toc140744034"/>
      <w:r>
        <w:rPr>
          <w:rFonts w:hint="cs"/>
          <w:rtl/>
        </w:rPr>
        <w:t>בי' הרא"ה ברש"י דר"י ור"ש נח' אי תיקון קצת הוי תיקון ולריו"ח ר"ש חייב רק בצל"ג</w:t>
      </w:r>
      <w:bookmarkEnd w:id="4356"/>
    </w:p>
    <w:p w14:paraId="6C88059F" w14:textId="66632794" w:rsidR="00274E65" w:rsidRPr="009945A7" w:rsidRDefault="00274E65" w:rsidP="00BC7DC8">
      <w:pPr>
        <w:pStyle w:val="a3"/>
        <w:rPr>
          <w:rtl/>
        </w:rPr>
      </w:pPr>
      <w:bookmarkStart w:id="4357" w:name="_Ref140483337"/>
      <w:r>
        <w:rPr>
          <w:rFonts w:hint="cs"/>
          <w:rtl/>
        </w:rPr>
        <w:t xml:space="preserve">הביא </w:t>
      </w:r>
      <w:r w:rsidRPr="006B40AC">
        <w:rPr>
          <w:rStyle w:val="aff4"/>
          <w:rFonts w:hint="cs"/>
          <w:vanish/>
          <w:rtl/>
        </w:rPr>
        <w:t>-</w:t>
      </w:r>
      <w:r w:rsidRPr="006B40AC">
        <w:rPr>
          <w:rStyle w:val="aff4"/>
          <w:rFonts w:hint="cs"/>
          <w:rtl/>
        </w:rPr>
        <w:t>ה</w:t>
      </w:r>
      <w:r w:rsidRPr="006B40AC">
        <w:rPr>
          <w:rStyle w:val="aff4"/>
          <w:rFonts w:hint="cs"/>
          <w:vanish/>
          <w:rtl/>
        </w:rPr>
        <w:t xml:space="preserve">&lt;, </w:t>
      </w:r>
      <w:r w:rsidRPr="006B40AC">
        <w:rPr>
          <w:rStyle w:val="aff4"/>
          <w:vanish/>
          <w:rtl/>
        </w:rPr>
        <w:fldChar w:fldCharType="begin"/>
      </w:r>
      <w:r w:rsidRPr="006B40AC">
        <w:rPr>
          <w:rStyle w:val="aff4"/>
          <w:vanish/>
          <w:rtl/>
        </w:rPr>
        <w:instrText xml:space="preserve"> </w:instrText>
      </w:r>
      <w:r w:rsidRPr="006B40AC">
        <w:rPr>
          <w:rStyle w:val="aff4"/>
          <w:rFonts w:hint="cs"/>
          <w:vanish/>
        </w:rPr>
        <w:instrText>REF</w:instrText>
      </w:r>
      <w:r w:rsidRPr="006B40AC">
        <w:rPr>
          <w:rStyle w:val="aff4"/>
          <w:rFonts w:hint="cs"/>
          <w:vanish/>
          <w:rtl/>
        </w:rPr>
        <w:instrText xml:space="preserve"> _</w:instrText>
      </w:r>
      <w:r w:rsidRPr="006B40AC">
        <w:rPr>
          <w:rStyle w:val="aff4"/>
          <w:rFonts w:hint="cs"/>
          <w:vanish/>
        </w:rPr>
        <w:instrText>Ref140483337 \r \h</w:instrText>
      </w:r>
      <w:r w:rsidRPr="006B40AC">
        <w:rPr>
          <w:rStyle w:val="aff4"/>
          <w:vanish/>
          <w:rtl/>
        </w:rPr>
        <w:instrText xml:space="preserve"> </w:instrText>
      </w:r>
      <w:r>
        <w:rPr>
          <w:rStyle w:val="aff4"/>
          <w:vanish/>
          <w:rtl/>
        </w:rPr>
        <w:instrText xml:space="preserve"> \* </w:instrText>
      </w:r>
      <w:r>
        <w:rPr>
          <w:rStyle w:val="aff4"/>
          <w:vanish/>
        </w:rPr>
        <w:instrText>MERGEFORMAT</w:instrText>
      </w:r>
      <w:r>
        <w:rPr>
          <w:rStyle w:val="aff4"/>
          <w:vanish/>
          <w:rtl/>
        </w:rPr>
        <w:instrText xml:space="preserve"> </w:instrText>
      </w:r>
      <w:r w:rsidRPr="006B40AC">
        <w:rPr>
          <w:rStyle w:val="aff4"/>
          <w:vanish/>
          <w:rtl/>
        </w:rPr>
      </w:r>
      <w:r w:rsidRPr="006B40AC">
        <w:rPr>
          <w:rStyle w:val="aff4"/>
          <w:vanish/>
          <w:rtl/>
        </w:rPr>
        <w:fldChar w:fldCharType="separate"/>
      </w:r>
      <w:r w:rsidR="00D82181">
        <w:rPr>
          <w:rStyle w:val="aff4"/>
          <w:vanish/>
          <w:cs/>
        </w:rPr>
        <w:t>‎</w:t>
      </w:r>
      <w:r w:rsidR="00D82181">
        <w:rPr>
          <w:rStyle w:val="aff4"/>
          <w:vanish/>
          <w:rtl/>
        </w:rPr>
        <w:t>עא)</w:t>
      </w:r>
      <w:r w:rsidRPr="006B40AC">
        <w:rPr>
          <w:rStyle w:val="aff4"/>
          <w:vanish/>
          <w:rtl/>
        </w:rPr>
        <w:fldChar w:fldCharType="end"/>
      </w:r>
      <w:r w:rsidRPr="006B40AC">
        <w:rPr>
          <w:rStyle w:val="aff4"/>
          <w:rFonts w:hint="cs"/>
          <w:vanish/>
          <w:rtl/>
        </w:rPr>
        <w:t xml:space="preserve"> &gt;</w:t>
      </w:r>
      <w:r w:rsidRPr="006B40AC">
        <w:rPr>
          <w:rStyle w:val="aff4"/>
          <w:rFonts w:hint="cs"/>
          <w:rtl/>
        </w:rPr>
        <w:t>רא"ה בשיטמ"ק בב"ק</w:t>
      </w:r>
      <w:r w:rsidRPr="006B40AC">
        <w:rPr>
          <w:rStyle w:val="aff4"/>
          <w:rFonts w:hint="cs"/>
          <w:vanish/>
          <w:rtl/>
        </w:rPr>
        <w:t>-</w:t>
      </w:r>
      <w:r>
        <w:rPr>
          <w:rFonts w:hint="cs"/>
          <w:rtl/>
        </w:rPr>
        <w:t xml:space="preserve"> </w:t>
      </w:r>
      <w:r w:rsidRPr="00371859">
        <w:rPr>
          <w:rStyle w:val="af2"/>
          <w:rFonts w:eastAsia="Guttman Hodes" w:hint="cs"/>
          <w:rtl/>
        </w:rPr>
        <w:t>(לד: ד"ה תני רבי אבהו)</w:t>
      </w:r>
      <w:r w:rsidRPr="006B40AC">
        <w:rPr>
          <w:rFonts w:hint="cs"/>
          <w:vanish/>
          <w:rtl/>
        </w:rPr>
        <w:t>=</w:t>
      </w:r>
      <w:bookmarkEnd w:id="4357"/>
      <w:r>
        <w:rPr>
          <w:rFonts w:hint="cs"/>
          <w:rtl/>
        </w:rPr>
        <w:t xml:space="preserve"> את דברי </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w:t>
      </w:r>
      <w:r w:rsidRPr="00371859">
        <w:rPr>
          <w:rStyle w:val="af2"/>
          <w:rFonts w:eastAsia="Guttman Hodes" w:hint="cs"/>
          <w:rtl/>
        </w:rPr>
        <w:t>(קו. ד"ה מתני', הובא בסימן ח אות כ"ח)</w:t>
      </w:r>
      <w:r w:rsidRPr="003B63CB">
        <w:rPr>
          <w:rFonts w:hint="cs"/>
          <w:rtl/>
        </w:rPr>
        <w:t xml:space="preserve"> </w:t>
      </w:r>
      <w:r>
        <w:rPr>
          <w:rFonts w:hint="cs"/>
          <w:rtl/>
        </w:rPr>
        <w:t xml:space="preserve">דלא מפורש היכן נחלקו ר"י ור"ש במלאכה שאינה צריכה לגופה, ונראה דכן מוכח מפלוגתתם במקלקל בחבורה,  וביאר </w:t>
      </w:r>
      <w:r w:rsidRPr="006B40AC">
        <w:rPr>
          <w:rStyle w:val="aff4"/>
          <w:rFonts w:hint="cs"/>
          <w:vanish/>
          <w:rtl/>
        </w:rPr>
        <w:t>-</w:t>
      </w:r>
      <w:r w:rsidRPr="006B40AC">
        <w:rPr>
          <w:rStyle w:val="aff4"/>
          <w:rFonts w:hint="cs"/>
          <w:rtl/>
        </w:rPr>
        <w:t>הרא"ה בשיטמ"ק בב"ק</w:t>
      </w:r>
      <w:r w:rsidRPr="006B40AC">
        <w:rPr>
          <w:rStyle w:val="aff4"/>
          <w:rFonts w:hint="cs"/>
          <w:vanish/>
          <w:rtl/>
        </w:rPr>
        <w:t>-</w:t>
      </w:r>
      <w:r>
        <w:rPr>
          <w:rFonts w:hint="cs"/>
          <w:rtl/>
        </w:rPr>
        <w:t xml:space="preserve"> דלר"י תיקון בדבר אחר הוי תיקון כיון דס"ל דמלאכה שאינה צריכה לגופה חייב, ולר"ש לא הוי תיקון ומוכח ממילה ומבת כהן דמקלקל בחבורה חייב, ולרבי אבהו החיוב בכל מקלקל ולריו"ח רק בצריך לכלבו דאף דהוא מקלקל מ"מ הוי מלאכה שצריכה לגופה, דאין לך בו אלא חידושו במקלקל ולא במלאכה שאינה צריכה לגופה,</w:t>
      </w:r>
    </w:p>
    <w:p w14:paraId="394C9887" w14:textId="77777777" w:rsidR="00274E65" w:rsidRPr="00747170" w:rsidRDefault="00274E65" w:rsidP="00747170">
      <w:pPr>
        <w:pStyle w:val="a2"/>
        <w:rPr>
          <w:rtl/>
        </w:rPr>
      </w:pPr>
      <w:r w:rsidRPr="00747170">
        <w:rPr>
          <w:rtl/>
        </w:rPr>
        <w:t>וזה לשון הרא"ה ז"ל: תני רבי אבהו קמיה דרבי יוחנן כל המקלקלים פטורים וכו' עד בצריך לאפרו. האי שמעתא עיקרה במסכת שבת בפרק רבי אליעזר ומקשינן עלה התם והא אנן תנן כל המקלקלים פטורים ומהדרינן מתניתין רבי יהודה וברייתא רבי שמעון. וסוגיין נמי בכוליה תלמודא דמקלקל בחבורה רבי יהודה פוטר ורבי שמעון מחייב. ורש"י ז"ל פירש דלא אפליגו בה בשום דוכתא אלא דנפקא לן מכללא מדאפליגו בפלוגתא אחריתי במלאכה שאינה צריכה לגופה וחיובא דחובל ומבעיר נפקא לן התם בשבת מדאיצטריך רחמנא למשרי מילה וכו' ומדאסר שרפה דבת כהן בשבת וכו' וחובל דמילה והבערה דבת כהן מקלקל גמור הוא שהוא חובל אותו תינוק ושורף אותה אשה אלא שיש בדבר תיקון חוץ לגופו מצד שהוא מצוה הילכך לרבי יהודה דמחייב במלאכה שאינה צריכה לגופה דחשיבא ליה מלאכה גמורה תיקון חוץ לגופו איכא למימר ודאי דחשבינן תיקון גמור וכיון שכן חובל דמילה ומבעיר דבת כהן אינו אלא תיקון דכיון דאיכא תיקון חוץ לגופו תיקון גמור חשבינן ליה הילכך מקלקל בחבורה והבערה לא משכחת לה בשום דוכתא דמחייב לעולם הילכך הוי ליה כשאר מקלקלים ופטור אבל לרבי שמעון דפוטר במלאכה שאינה צריכה לגופה תיקון חוץ לגופו נמי לא חשיב תיקון כלל וכיון דכן חובל דמילה ומבעיר דבת כהן אף על גב דאיכא בהו תיקון חוץ לגופו אינו כלום הוא אלא מקלקל חשבינן ליה כשאר מקלקלים גמורים דעלמא וכיון דכן וחייב בהו רחמנא שמעית מינה דכל מקלקל בחבורה והבערה חייב.</w:t>
      </w:r>
    </w:p>
    <w:p w14:paraId="4A843EF2" w14:textId="77777777" w:rsidR="00274E65" w:rsidRPr="005F2440" w:rsidRDefault="00274E65" w:rsidP="00747170">
      <w:pPr>
        <w:pStyle w:val="afffff5"/>
        <w:rPr>
          <w:rtl/>
        </w:rPr>
      </w:pPr>
      <w:r w:rsidRPr="005F2440">
        <w:rPr>
          <w:rtl/>
        </w:rPr>
        <w:t>אמר ליה פוק תני לברא חובל ומבעיר אינה משנה. פירוש חובל ומבעיר שיתחייב בהם לעולם אינה משנה ואם תמצא לומר משנה אף על גב דמקלקל חייב חובל בצריך לכלבו ומבעיר וכו' כלומר אינו חייב אלא אם כן היתה מלאכה הצריכה לגופה דהתם הוא דאמר רבי שמעון דחייב אף על גב דמקלקל גמור אבל לא היתה מלאכה צריכה לגופה והוא מקלקל פטור כשאר מקלקלים דמהיכא אתיא לן דמקלקל בחבורה והבערה חייב יותר משאר מקלקלים ממילה והבערה דבת כהן כיון שכן אין לך לדון אלא כיוצא בהן דאין לך בו אלא חידושו מה התם מקלקל דודאי מקלקל הוא דתיקון חוץ לגופו דאית בהו לא חשיב לרבי שמעון כדפרישנא לעיל אבל היא מלאכה הצריכה לגופה שהרי צריך הוא למול אותו תינוק ולבשל אותה פתילה לשרוף אותה אשה אף כל חובל ומבעיר כיוצא בהן חייב אף על פי שהוא מקלקל והוא שתהא אותה מלאכה צריכה לגופה דבעלמא בעינן תרתי שתהא מלאכה צריכה לגופה ושיהא מתקן והכא חדית ביה רחמנא בחובל ומבעיר דאף על גב דמקלקל חייב אבל מלאכה הצריכה לגופה דקיימא לן דבעינן כדקיימא קיימא דלגבי הא לא אשכחן דחדית בה רחמנא דהא מילה גופה והבערה דבת כהן מלאכות הצריכות לגופן הן כדפרישנא.</w:t>
      </w:r>
    </w:p>
    <w:p w14:paraId="4E6FA3D4" w14:textId="77777777" w:rsidR="00274E65" w:rsidRDefault="00274E65" w:rsidP="00274E65">
      <w:pPr>
        <w:pStyle w:val="afffff7"/>
        <w:rPr>
          <w:rtl/>
        </w:rPr>
      </w:pPr>
      <w:bookmarkStart w:id="4358" w:name="_Toc140744100"/>
      <w:bookmarkStart w:id="4359" w:name="_Toc163506048"/>
      <w:r>
        <w:rPr>
          <w:rtl/>
        </w:rPr>
        <w:t xml:space="preserve">שיטה </w:t>
      </w:r>
      <w:r w:rsidRPr="00862ED3">
        <w:rPr>
          <w:rtl/>
        </w:rPr>
        <w:t xml:space="preserve">מקובצת </w:t>
      </w:r>
      <w:r w:rsidRPr="00862ED3">
        <w:rPr>
          <w:rFonts w:hint="cs"/>
          <w:rtl/>
        </w:rPr>
        <w:t xml:space="preserve">[רא"ה] </w:t>
      </w:r>
      <w:r w:rsidRPr="00862ED3">
        <w:rPr>
          <w:rtl/>
        </w:rPr>
        <w:t>ב"ק ל"</w:t>
      </w:r>
      <w:r>
        <w:rPr>
          <w:rtl/>
        </w:rPr>
        <w:t>ד ע"ב</w:t>
      </w:r>
      <w:r>
        <w:rPr>
          <w:rFonts w:hint="cs"/>
          <w:rtl/>
        </w:rPr>
        <w:t xml:space="preserve"> ד"ה והיינו</w:t>
      </w:r>
      <w:bookmarkEnd w:id="4358"/>
      <w:bookmarkEnd w:id="4359"/>
    </w:p>
    <w:p w14:paraId="2BECD4A8" w14:textId="77777777" w:rsidR="00274E65" w:rsidRDefault="00274E65" w:rsidP="00274E65">
      <w:pPr>
        <w:pStyle w:val="a7"/>
        <w:rPr>
          <w:rtl/>
        </w:rPr>
      </w:pPr>
      <w:bookmarkStart w:id="4360" w:name="_Toc140744035"/>
      <w:r>
        <w:rPr>
          <w:rFonts w:hint="cs"/>
          <w:rtl/>
        </w:rPr>
        <w:t>בי' הרא"ה דבצורך אחר המלאכה וא"א באופ"א צל"ג כגוזז ול"ד לגומא דאפשר לעפר בלא"ה</w:t>
      </w:r>
      <w:bookmarkEnd w:id="4360"/>
    </w:p>
    <w:p w14:paraId="37A7064D" w14:textId="5B32EE7A" w:rsidR="00274E65" w:rsidRDefault="00274E65" w:rsidP="00BC7DC8">
      <w:pPr>
        <w:pStyle w:val="a3"/>
      </w:pPr>
      <w:bookmarkStart w:id="4361" w:name="_Ref140484122"/>
      <w:r>
        <w:rPr>
          <w:rFonts w:hint="cs"/>
          <w:rtl/>
        </w:rPr>
        <w:t xml:space="preserve">והוסיף </w:t>
      </w:r>
      <w:r w:rsidRPr="006B40AC">
        <w:rPr>
          <w:rStyle w:val="aff4"/>
          <w:rFonts w:hint="cs"/>
          <w:vanish/>
          <w:rtl/>
        </w:rPr>
        <w:t>-</w:t>
      </w:r>
      <w:r w:rsidRPr="006B40AC">
        <w:rPr>
          <w:rStyle w:val="aff4"/>
          <w:rFonts w:hint="cs"/>
          <w:rtl/>
        </w:rPr>
        <w:t>ה</w:t>
      </w:r>
      <w:r w:rsidRPr="006B40AC">
        <w:rPr>
          <w:rStyle w:val="aff4"/>
          <w:rFonts w:hint="cs"/>
          <w:vanish/>
          <w:rtl/>
        </w:rPr>
        <w:t xml:space="preserve">&lt;, </w:t>
      </w:r>
      <w:r w:rsidRPr="006B40AC">
        <w:rPr>
          <w:rStyle w:val="aff4"/>
          <w:vanish/>
          <w:rtl/>
        </w:rPr>
        <w:fldChar w:fldCharType="begin"/>
      </w:r>
      <w:r w:rsidRPr="006B40AC">
        <w:rPr>
          <w:rStyle w:val="aff4"/>
          <w:vanish/>
          <w:rtl/>
        </w:rPr>
        <w:instrText xml:space="preserve"> </w:instrText>
      </w:r>
      <w:r w:rsidRPr="006B40AC">
        <w:rPr>
          <w:rStyle w:val="aff4"/>
          <w:rFonts w:hint="cs"/>
          <w:vanish/>
        </w:rPr>
        <w:instrText>REF</w:instrText>
      </w:r>
      <w:r w:rsidRPr="006B40AC">
        <w:rPr>
          <w:rStyle w:val="aff4"/>
          <w:rFonts w:hint="cs"/>
          <w:vanish/>
          <w:rtl/>
        </w:rPr>
        <w:instrText xml:space="preserve"> _</w:instrText>
      </w:r>
      <w:r w:rsidRPr="006B40AC">
        <w:rPr>
          <w:rStyle w:val="aff4"/>
          <w:rFonts w:hint="cs"/>
          <w:vanish/>
        </w:rPr>
        <w:instrText>Ref140484122 \r \h</w:instrText>
      </w:r>
      <w:r w:rsidRPr="006B40AC">
        <w:rPr>
          <w:rStyle w:val="aff4"/>
          <w:vanish/>
          <w:rtl/>
        </w:rPr>
        <w:instrText xml:space="preserve"> </w:instrText>
      </w:r>
      <w:r w:rsidRPr="006B40AC">
        <w:rPr>
          <w:rStyle w:val="aff4"/>
          <w:vanish/>
          <w:rtl/>
        </w:rPr>
      </w:r>
      <w:r w:rsidRPr="006B40AC">
        <w:rPr>
          <w:rStyle w:val="aff4"/>
          <w:vanish/>
          <w:rtl/>
        </w:rPr>
        <w:fldChar w:fldCharType="separate"/>
      </w:r>
      <w:r w:rsidR="00D82181">
        <w:rPr>
          <w:rStyle w:val="aff4"/>
          <w:vanish/>
          <w:cs/>
        </w:rPr>
        <w:t>‎</w:t>
      </w:r>
      <w:r w:rsidR="00D82181">
        <w:rPr>
          <w:rStyle w:val="aff4"/>
          <w:vanish/>
          <w:rtl/>
        </w:rPr>
        <w:t>עב)</w:t>
      </w:r>
      <w:r w:rsidRPr="006B40AC">
        <w:rPr>
          <w:rStyle w:val="aff4"/>
          <w:vanish/>
          <w:rtl/>
        </w:rPr>
        <w:fldChar w:fldCharType="end"/>
      </w:r>
      <w:r w:rsidRPr="006B40AC">
        <w:rPr>
          <w:rStyle w:val="aff4"/>
          <w:rFonts w:hint="cs"/>
          <w:vanish/>
          <w:rtl/>
        </w:rPr>
        <w:t xml:space="preserve"> &gt;</w:t>
      </w:r>
      <w:r w:rsidRPr="006B40AC">
        <w:rPr>
          <w:rStyle w:val="aff4"/>
          <w:rFonts w:hint="cs"/>
          <w:rtl/>
        </w:rPr>
        <w:t>רא"ה בשיטמ"ק בב"ק</w:t>
      </w:r>
      <w:r w:rsidRPr="006B40AC">
        <w:rPr>
          <w:rStyle w:val="aff4"/>
          <w:rFonts w:hint="cs"/>
          <w:vanish/>
          <w:rtl/>
        </w:rPr>
        <w:t>-</w:t>
      </w:r>
      <w:r>
        <w:rPr>
          <w:rFonts w:hint="cs"/>
          <w:rtl/>
        </w:rPr>
        <w:t xml:space="preserve"> </w:t>
      </w:r>
      <w:r w:rsidRPr="00371859">
        <w:rPr>
          <w:rStyle w:val="af2"/>
          <w:rFonts w:eastAsia="Guttman Hodes" w:hint="cs"/>
          <w:rtl/>
        </w:rPr>
        <w:t>(לד: ד"ה והיינו)</w:t>
      </w:r>
      <w:r w:rsidRPr="006B40AC">
        <w:rPr>
          <w:rFonts w:hint="cs"/>
          <w:vanish/>
          <w:rtl/>
        </w:rPr>
        <w:t>=</w:t>
      </w:r>
      <w:r>
        <w:rPr>
          <w:rFonts w:hint="cs"/>
          <w:rtl/>
        </w:rPr>
        <w:t xml:space="preserve"> דחובל לכלבו הוי מלאכה שצריכה לגופה, ולא דמי לחופר גומא כיון דבגומא אפשר שתהיה גומא העפר, ואפשר להביא עפר בלי הגומא, אבל בחובל א"א להוציא דם בלי החבורה, וכן א"א לעשות אפר בלי ההבערה, ולכן אף שהצורך במלאכה של החבלה וההבערה הוא רק למה שיהיה אחר המלאכה, מ"מ כיון דא"א בלא"ה הוי מלאכה שצריכה לגופה, כמו דגוזז חייב אף שהצורך שלו בצמר הוא לאחר הגזיזה כיון דא"א לצמר בלא גזיזה חשיב מלאכה שצריכה לגופה.</w:t>
      </w:r>
    </w:p>
    <w:p w14:paraId="1DA98693" w14:textId="77777777" w:rsidR="00274E65" w:rsidRPr="00747170" w:rsidRDefault="00274E65" w:rsidP="00747170">
      <w:pPr>
        <w:pStyle w:val="a2"/>
        <w:rPr>
          <w:rtl/>
        </w:rPr>
      </w:pPr>
      <w:r w:rsidRPr="00747170">
        <w:rPr>
          <w:rtl/>
        </w:rPr>
        <w:t>והיינו נמי חובל וצריך לכלבו וכו'. שהוא מקלקל גמור אלא שהיא מלאכה הצריכה לגופה. ולא דמי לחופר גומא ואינו צריך אלא לעפרה דחשבינן לה מלאכה שאינה צריכה לגופה דהתם אפשר לגומא בלא עפר ולעפר בלא גומא אבל כאן אי אפשר לזה בלא זה שאי אפשר לדם בלא חבורה ולא לאפר בלא הבערה ואף על פי שאינו צריך לאותה מלאכה אלא בשביל אחר עשייתה הוי מלאכה הצריכה לגופה דהא גוזז דמחייב הוא לפי שצריך לצמר אחר גזיזה וכיון דלא אפשר לה נמי לצמר בלא גזיזה חשבינן לה מלאכה הצריכה לגופה דהא הכא לנטלה הוא צריך</w:t>
      </w:r>
      <w:r w:rsidRPr="00747170">
        <w:rPr>
          <w:rFonts w:hint="cs"/>
          <w:rtl/>
        </w:rPr>
        <w:t>.</w:t>
      </w:r>
    </w:p>
    <w:p w14:paraId="0B9C7DA3" w14:textId="47195C2A" w:rsidR="00274E65" w:rsidRPr="007754FE" w:rsidRDefault="00274E65" w:rsidP="00274E65">
      <w:pPr>
        <w:pStyle w:val="a7"/>
      </w:pPr>
      <w:bookmarkStart w:id="4362" w:name="_Toc140744036"/>
      <w:r>
        <w:rPr>
          <w:rFonts w:hint="cs"/>
          <w:rtl/>
        </w:rPr>
        <w:t>בי' הרא"ה דגומא אינה חיבור לעפר והבנין בגומא ול"ד לגוזז דהכל דבר אחד ולכן חשיב צל"ג</w:t>
      </w:r>
      <w:bookmarkEnd w:id="4362"/>
    </w:p>
    <w:p w14:paraId="0D8C8D97" w14:textId="77777777" w:rsidR="00274E65" w:rsidRPr="00DA02A5" w:rsidRDefault="00274E65" w:rsidP="00BC7DC8">
      <w:pPr>
        <w:pStyle w:val="a3"/>
        <w:rPr>
          <w:rtl/>
        </w:rPr>
      </w:pPr>
      <w:r>
        <w:rPr>
          <w:rFonts w:hint="cs"/>
          <w:rtl/>
        </w:rPr>
        <w:t xml:space="preserve">וביאר </w:t>
      </w:r>
      <w:r w:rsidRPr="006B40AC">
        <w:rPr>
          <w:rStyle w:val="aff4"/>
          <w:rFonts w:hint="cs"/>
          <w:vanish/>
          <w:rtl/>
        </w:rPr>
        <w:t>-</w:t>
      </w:r>
      <w:r w:rsidRPr="006B40AC">
        <w:rPr>
          <w:rStyle w:val="aff4"/>
          <w:rFonts w:hint="cs"/>
          <w:rtl/>
        </w:rPr>
        <w:t>הרא"ה בשיטמ"ק בב"ק</w:t>
      </w:r>
      <w:r w:rsidRPr="006B40AC">
        <w:rPr>
          <w:rStyle w:val="aff4"/>
          <w:rFonts w:hint="cs"/>
          <w:vanish/>
          <w:rtl/>
        </w:rPr>
        <w:t>-</w:t>
      </w:r>
      <w:r>
        <w:rPr>
          <w:rFonts w:hint="cs"/>
          <w:rtl/>
        </w:rPr>
        <w:t xml:space="preserve"> דבגומא שהצורך שלו הוא לגומא עצמה ואין כל חיבור בין העפר שניטל מהגומא לגומא שנשארת, לכן חשיב דהבנין הוא רק בקרקע ולא בעפר,</w:t>
      </w:r>
      <w:bookmarkEnd w:id="4361"/>
      <w:r>
        <w:rPr>
          <w:rFonts w:hint="cs"/>
          <w:rtl/>
        </w:rPr>
        <w:t xml:space="preserve"> ולא דמי לגוזז שערו בכדי להתייפות דהמלאכה היא בשער עצמו והכל היה מחובר בדבר אחד, וכן באקופי מגלימיה בגמ' </w:t>
      </w:r>
      <w:r w:rsidRPr="00371859">
        <w:rPr>
          <w:rStyle w:val="af2"/>
          <w:rFonts w:eastAsia="Guttman Hodes" w:hint="cs"/>
          <w:rtl/>
        </w:rPr>
        <w:t>(עה.)</w:t>
      </w:r>
      <w:r>
        <w:rPr>
          <w:rFonts w:hint="cs"/>
          <w:rtl/>
        </w:rPr>
        <w:t xml:space="preserve">, </w:t>
      </w:r>
      <w:r w:rsidRPr="00F30E13">
        <w:rPr>
          <w:rStyle w:val="af"/>
          <w:rFonts w:hint="cs"/>
          <w:rtl/>
        </w:rPr>
        <w:t>[דנוטל חוט מבגדו וחייב במכה בפטיש],</w:t>
      </w:r>
      <w:r>
        <w:rPr>
          <w:rFonts w:hint="cs"/>
          <w:rtl/>
        </w:rPr>
        <w:t xml:space="preserve"> דהחוטין והקשרים היוצאים מהבגד והם מחוברים בו, והמלאכה היא בדבר אחד.</w:t>
      </w:r>
    </w:p>
    <w:p w14:paraId="7EF4F469" w14:textId="780012C1" w:rsidR="00A50FAA" w:rsidRPr="00747170" w:rsidRDefault="00274E65" w:rsidP="00747170">
      <w:pPr>
        <w:pStyle w:val="a2"/>
        <w:rPr>
          <w:rtl/>
        </w:rPr>
      </w:pPr>
      <w:r w:rsidRPr="00747170">
        <w:rPr>
          <w:rtl/>
        </w:rPr>
        <w:t xml:space="preserve">מה שאין כן בגומא דלגומא עצמה הוא צריך דאין חיבור כלל בין העפר הניטל למה שנשאר בגומא ואין הבנין כלל בעפר אלא בקרקע ואלו נוטל שערו להתיפות חייב משום דמלאכה זו בשער עצמה היא והכל היה מחובר בדבר אחד וכן אקופי מגלימיה חוטין וקשרים היוצאין על פני הבגד ומחוברים. </w:t>
      </w:r>
      <w:r w:rsidRPr="00747170">
        <w:rPr>
          <w:rStyle w:val="afff7"/>
          <w:rtl/>
        </w:rPr>
        <w:t>ובהא פליגי רבי אבהו ורבי יוחנן דרבי אבהו סבר דכל מקלקל חבורה והבערה לרבי שמעון דכיון דמקלקל חייב בהו רחמנא כל דכן הוא דלא בעינן מלאכה הצריכה לגופה ומחייב לעולם ורבי יהודה סבר דוקא היכא דהוי מלאכה הצריכה לגופה. וההיא דכריתות דאמרינן בפרק ספק אכל הנח לחבורה הואיל ומקלקל חייב מתעסק נמי חייב אתיא כרבי אבהו.</w:t>
      </w:r>
      <w:bookmarkStart w:id="4363" w:name="_Toc140684282"/>
      <w:bookmarkEnd w:id="4337"/>
      <w:r w:rsidR="00A50FAA" w:rsidRPr="00747170">
        <w:rPr>
          <w:rFonts w:hint="cs"/>
          <w:rtl/>
        </w:rPr>
        <w:t>~~~~~~~~~~~~~~~~~~~~~~~~~~~~</w:t>
      </w:r>
    </w:p>
    <w:p w14:paraId="43985290" w14:textId="70A97274" w:rsidR="00274E65" w:rsidRDefault="00274E65" w:rsidP="00274E65">
      <w:pPr>
        <w:pStyle w:val="affff5"/>
        <w:rPr>
          <w:rtl/>
        </w:rPr>
      </w:pPr>
      <w:bookmarkStart w:id="4364" w:name="_Toc140744038"/>
      <w:bookmarkEnd w:id="4363"/>
      <w:r>
        <w:rPr>
          <w:rFonts w:hint="cs"/>
          <w:rtl/>
        </w:rPr>
        <w:t>בי' הראשונים דצל"ג תלוי בדבר עצמו</w:t>
      </w:r>
      <w:bookmarkEnd w:id="4364"/>
    </w:p>
    <w:p w14:paraId="45A437ED" w14:textId="77777777" w:rsidR="00274E65" w:rsidRDefault="00274E65" w:rsidP="00274E65">
      <w:pPr>
        <w:pStyle w:val="1"/>
        <w:rPr>
          <w:rtl/>
        </w:rPr>
      </w:pPr>
      <w:bookmarkStart w:id="4365" w:name="_Toc140744039"/>
      <w:r>
        <w:rPr>
          <w:rFonts w:hint="cs"/>
          <w:rtl/>
        </w:rPr>
        <w:t>בי' התורי"ד דמשאצל"ג במלאכה דא"צ לכולם ואינה חשובה</w:t>
      </w:r>
      <w:bookmarkEnd w:id="4365"/>
    </w:p>
    <w:p w14:paraId="4802623A" w14:textId="77777777" w:rsidR="00274E65" w:rsidRDefault="00274E65" w:rsidP="00274E65">
      <w:pPr>
        <w:pStyle w:val="afffff7"/>
        <w:rPr>
          <w:rtl/>
        </w:rPr>
      </w:pPr>
      <w:bookmarkStart w:id="4366" w:name="_Toc140744101"/>
      <w:bookmarkStart w:id="4367" w:name="_Toc163506049"/>
      <w:r>
        <w:rPr>
          <w:rtl/>
        </w:rPr>
        <w:t>תוספות רי"ד שבת ק"ז ע"ב</w:t>
      </w:r>
      <w:r>
        <w:rPr>
          <w:rFonts w:hint="cs"/>
          <w:rtl/>
        </w:rPr>
        <w:t xml:space="preserve"> ד</w:t>
      </w:r>
      <w:r>
        <w:rPr>
          <w:rFonts w:cs="Guttman Hodes" w:hint="cs"/>
          <w:rtl/>
        </w:rPr>
        <w:t>"</w:t>
      </w:r>
      <w:r>
        <w:rPr>
          <w:rFonts w:hint="cs"/>
          <w:rtl/>
        </w:rPr>
        <w:t>ה אמר</w:t>
      </w:r>
      <w:bookmarkEnd w:id="4366"/>
      <w:bookmarkEnd w:id="4367"/>
    </w:p>
    <w:p w14:paraId="1E7F30D3" w14:textId="77777777" w:rsidR="00274E65" w:rsidRDefault="00274E65" w:rsidP="00274E65">
      <w:pPr>
        <w:pStyle w:val="a7"/>
      </w:pPr>
      <w:bookmarkStart w:id="4368" w:name="_Toc140744040"/>
      <w:bookmarkStart w:id="4369" w:name="_Ref140165784"/>
      <w:r>
        <w:rPr>
          <w:rFonts w:hint="cs"/>
          <w:rtl/>
        </w:rPr>
        <w:t>בי' התורי"ד דמשאצל"ג רק כשאין בו צורך לעלמא כמת אבל מלאכה חשובה שא"צ לה חייב</w:t>
      </w:r>
      <w:bookmarkEnd w:id="4368"/>
    </w:p>
    <w:p w14:paraId="1080DBC2" w14:textId="4A7CA33E" w:rsidR="00274E65" w:rsidRPr="003B5135" w:rsidRDefault="00274E65" w:rsidP="00BC7DC8">
      <w:pPr>
        <w:pStyle w:val="a3"/>
        <w:rPr>
          <w:rtl/>
        </w:rPr>
      </w:pPr>
      <w:bookmarkStart w:id="4370" w:name="_Ref140743824"/>
      <w:r>
        <w:rPr>
          <w:rFonts w:hint="cs"/>
          <w:rtl/>
        </w:rPr>
        <w:t xml:space="preserve">בהא דאמרינן בגמ' לקמן </w:t>
      </w:r>
      <w:r w:rsidRPr="00371859">
        <w:rPr>
          <w:rStyle w:val="af2"/>
          <w:rFonts w:eastAsia="Guttman Hodes" w:hint="cs"/>
          <w:rtl/>
        </w:rPr>
        <w:t>(קז:)</w:t>
      </w:r>
      <w:r>
        <w:rPr>
          <w:rFonts w:hint="cs"/>
          <w:rtl/>
        </w:rPr>
        <w:t xml:space="preserve"> דהמשנה דהצד שאר שרצים לצורך חייב ושלא לצורך פטור, היינו לדעת ר"ש דפוטר במלאכה שאינה צריכה לגופה, הקשה </w:t>
      </w:r>
      <w:r w:rsidRPr="00900CB4">
        <w:rPr>
          <w:rStyle w:val="aff4"/>
          <w:rFonts w:hint="cs"/>
          <w:vanish/>
          <w:rtl/>
        </w:rPr>
        <w:t>-</w:t>
      </w:r>
      <w:r w:rsidRPr="008231D6">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Ref140743824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עד)</w:t>
      </w:r>
      <w:r>
        <w:rPr>
          <w:rStyle w:val="aff4"/>
          <w:vanish/>
          <w:rtl/>
        </w:rPr>
        <w:fldChar w:fldCharType="end"/>
      </w:r>
      <w:r>
        <w:rPr>
          <w:rStyle w:val="aff4"/>
          <w:rFonts w:hint="cs"/>
          <w:vanish/>
          <w:rtl/>
        </w:rPr>
        <w:t xml:space="preserve"> &gt;</w:t>
      </w:r>
      <w:r w:rsidRPr="008231D6">
        <w:rPr>
          <w:rStyle w:val="aff4"/>
          <w:rFonts w:hint="cs"/>
          <w:rtl/>
        </w:rPr>
        <w:t>תוס' רי"ד</w:t>
      </w:r>
      <w:r w:rsidRPr="00900CB4">
        <w:rPr>
          <w:rStyle w:val="aff4"/>
          <w:rFonts w:hint="cs"/>
          <w:vanish/>
          <w:rtl/>
        </w:rPr>
        <w:t>-</w:t>
      </w:r>
      <w:r>
        <w:rPr>
          <w:rFonts w:hint="cs"/>
          <w:rtl/>
        </w:rPr>
        <w:t xml:space="preserve"> </w:t>
      </w:r>
      <w:r w:rsidRPr="00371859">
        <w:rPr>
          <w:rStyle w:val="af2"/>
          <w:rFonts w:eastAsia="Guttman Hodes" w:hint="cs"/>
          <w:rtl/>
        </w:rPr>
        <w:t>(קז: ד"ה אמר)</w:t>
      </w:r>
      <w:r w:rsidRPr="00900CB4">
        <w:rPr>
          <w:rFonts w:hint="cs"/>
          <w:vanish/>
          <w:rtl/>
        </w:rPr>
        <w:t>=</w:t>
      </w:r>
      <w:r>
        <w:rPr>
          <w:rFonts w:hint="cs"/>
          <w:rtl/>
        </w:rPr>
        <w:t xml:space="preserve"> דהא תנן ברישא דשמונה שרצים הצדן חייב, משמע דהחיוב הוא אף שלא לצורך והיאך מחייב ר"ש בכה"ג,</w:t>
      </w:r>
      <w:bookmarkEnd w:id="4369"/>
      <w:r>
        <w:rPr>
          <w:rFonts w:hint="cs"/>
          <w:rtl/>
        </w:rPr>
        <w:t xml:space="preserve"> ותירץ </w:t>
      </w:r>
      <w:r w:rsidRPr="00900CB4">
        <w:rPr>
          <w:rStyle w:val="aff4"/>
          <w:rFonts w:hint="cs"/>
          <w:vanish/>
          <w:rtl/>
        </w:rPr>
        <w:t>-</w:t>
      </w:r>
      <w:r w:rsidRPr="008231D6">
        <w:rPr>
          <w:rStyle w:val="aff4"/>
          <w:rFonts w:hint="cs"/>
          <w:rtl/>
        </w:rPr>
        <w:t>התוס' רי"ד</w:t>
      </w:r>
      <w:r w:rsidRPr="00900CB4">
        <w:rPr>
          <w:rStyle w:val="aff4"/>
          <w:rFonts w:hint="cs"/>
          <w:vanish/>
          <w:rtl/>
        </w:rPr>
        <w:t>-</w:t>
      </w:r>
      <w:r>
        <w:rPr>
          <w:rFonts w:hint="cs"/>
          <w:rtl/>
        </w:rPr>
        <w:t xml:space="preserve"> דכיון דהדרך לצוד אותם לעולם הצידה שלהם, היא מלאכה שצריכה לגופה, ואף </w:t>
      </w:r>
      <w:r>
        <w:rPr>
          <w:rFonts w:hint="cs"/>
          <w:rtl/>
        </w:rPr>
        <w:t xml:space="preserve">שהצד עצמו א"צ אותם, מ"מ כיון שהיא מלאכה חשובה חייב עליה, וביאר </w:t>
      </w:r>
      <w:r w:rsidRPr="00900CB4">
        <w:rPr>
          <w:rStyle w:val="aff4"/>
          <w:rFonts w:hint="cs"/>
          <w:vanish/>
          <w:rtl/>
        </w:rPr>
        <w:t>-</w:t>
      </w:r>
      <w:r w:rsidRPr="008231D6">
        <w:rPr>
          <w:rStyle w:val="aff4"/>
          <w:rFonts w:hint="cs"/>
          <w:rtl/>
        </w:rPr>
        <w:t>התוס' רי"ד</w:t>
      </w:r>
      <w:r w:rsidRPr="00900CB4">
        <w:rPr>
          <w:rStyle w:val="aff4"/>
          <w:rFonts w:hint="cs"/>
          <w:vanish/>
          <w:rtl/>
        </w:rPr>
        <w:t>-</w:t>
      </w:r>
      <w:r>
        <w:rPr>
          <w:rFonts w:hint="cs"/>
          <w:rtl/>
        </w:rPr>
        <w:t xml:space="preserve"> דמלאכה שאינה צריכה לגופה הוא בדבר שאין בו צורך לו ולכל העולם, כגון הוצאת המת, אבל המוציא אוכלין כגרוגרת אף שהוא עצמו א"צ להם חייב, כיון דהם חשובים לעלמא, וה"ה בצידת דבר שבמינו ניצוד כשמונה שרצים, והפטור דמלאכה שאינה צריכה לגופה הוא רק בדבר שאין במינו ניצוד, וגם הצד עצמו א"צ אותו. </w:t>
      </w:r>
      <w:r w:rsidRPr="00900CB4">
        <w:rPr>
          <w:rStyle w:val="af"/>
          <w:rFonts w:hint="cs"/>
          <w:rtl/>
        </w:rPr>
        <w:t xml:space="preserve">[וע"ע במ"ש </w:t>
      </w:r>
      <w:r w:rsidRPr="00900CB4">
        <w:rPr>
          <w:rStyle w:val="aff9"/>
          <w:rFonts w:hint="cs"/>
          <w:vanish/>
          <w:rtl/>
        </w:rPr>
        <w:t>-</w:t>
      </w:r>
      <w:r w:rsidRPr="00900CB4">
        <w:rPr>
          <w:rStyle w:val="aff9"/>
          <w:rFonts w:hint="cs"/>
          <w:rtl/>
        </w:rPr>
        <w:t>ה</w:t>
      </w:r>
      <w:r w:rsidRPr="00900CB4">
        <w:rPr>
          <w:rStyle w:val="aff9"/>
          <w:rFonts w:hint="cs"/>
          <w:vanish/>
          <w:rtl/>
        </w:rPr>
        <w:t>&lt; &gt;</w:t>
      </w:r>
      <w:r w:rsidRPr="00900CB4">
        <w:rPr>
          <w:rStyle w:val="aff9"/>
          <w:rtl/>
        </w:rPr>
        <w:t>תוספות רי"ד</w:t>
      </w:r>
      <w:r w:rsidRPr="00900CB4">
        <w:rPr>
          <w:rStyle w:val="aff9"/>
          <w:rFonts w:hint="cs"/>
          <w:vanish/>
          <w:rtl/>
        </w:rPr>
        <w:t>-</w:t>
      </w:r>
      <w:r w:rsidRPr="00900CB4">
        <w:rPr>
          <w:rStyle w:val="af"/>
          <w:rFonts w:hint="cs"/>
          <w:rtl/>
        </w:rPr>
        <w:t xml:space="preserve"> </w:t>
      </w:r>
      <w:r w:rsidRPr="00371859">
        <w:rPr>
          <w:rStyle w:val="af2"/>
          <w:rFonts w:eastAsia="Guttman Rashi" w:hint="cs"/>
          <w:rtl/>
        </w:rPr>
        <w:t>(</w:t>
      </w:r>
      <w:r w:rsidRPr="00371859">
        <w:rPr>
          <w:rStyle w:val="af2"/>
          <w:rFonts w:eastAsia="Guttman Rashi"/>
          <w:rtl/>
        </w:rPr>
        <w:t>קמ"א</w:t>
      </w:r>
      <w:r w:rsidRPr="00371859">
        <w:rPr>
          <w:rStyle w:val="af2"/>
          <w:rFonts w:eastAsia="Guttman Rashi" w:hint="cs"/>
          <w:rtl/>
        </w:rPr>
        <w:t xml:space="preserve">: ד"ה </w:t>
      </w:r>
      <w:r w:rsidRPr="00371859">
        <w:rPr>
          <w:rStyle w:val="af2"/>
          <w:rFonts w:eastAsia="Guttman Rashi"/>
          <w:rtl/>
        </w:rPr>
        <w:t>רבא</w:t>
      </w:r>
      <w:r w:rsidRPr="00371859">
        <w:rPr>
          <w:rStyle w:val="af2"/>
          <w:rFonts w:eastAsia="Guttman Rashi" w:hint="cs"/>
          <w:rtl/>
        </w:rPr>
        <w:t>)</w:t>
      </w:r>
      <w:r w:rsidRPr="00900CB4">
        <w:rPr>
          <w:rStyle w:val="af"/>
          <w:rFonts w:hint="cs"/>
          <w:vanish/>
          <w:rtl/>
        </w:rPr>
        <w:t>=</w:t>
      </w:r>
      <w:r w:rsidRPr="00900CB4">
        <w:rPr>
          <w:rStyle w:val="af"/>
          <w:rFonts w:hint="cs"/>
          <w:rtl/>
        </w:rPr>
        <w:t xml:space="preserve"> במלאכה שאינה צריכה לגופה לו, אך צריכה לעלמא]</w:t>
      </w:r>
      <w:r>
        <w:rPr>
          <w:rFonts w:hint="cs"/>
          <w:rtl/>
        </w:rPr>
        <w:t>.</w:t>
      </w:r>
      <w:bookmarkEnd w:id="4370"/>
    </w:p>
    <w:p w14:paraId="3A7B516E" w14:textId="77777777" w:rsidR="00274E65" w:rsidRPr="00747170" w:rsidRDefault="00274E65" w:rsidP="00747170">
      <w:pPr>
        <w:pStyle w:val="a2"/>
        <w:rPr>
          <w:rtl/>
        </w:rPr>
      </w:pPr>
      <w:r w:rsidRPr="00747170">
        <w:rPr>
          <w:rtl/>
        </w:rPr>
        <w:t>אמר רב יהודא אמר רב ר"ש היא דאמר מלאכה שאינה צריכה לגופה פטור עלי' פי' דאי ר' יהודא כיון שאם צדן לצורך הוי חייב שלא לצורך נמי חייב דהא עבד צידה א"ו מתני' דמפליג בין לצורך ובין שלא לצורך ר"ש היא ור"מ ורבנן דפליגי בפירקן דלעיל בצידת צירעין ויתושין אתי ר"מ דמחייב כר' יהודא וחכמים דפטרי הן ר"ש ואי קשיא מדתני בסיפא ושאר שקצים ורמשים הצדן לצורך חייב ושלא לצורך פטור מכלל דרישא דתני שמנה שרצים הצדן והחובל בהן חייב אף על גב דצדן שלא לצורך חייב וכיון דאוקימנה מתני' כר"ש אמאי חייב שלא לצורך והא הויא מלאכה שא"צ לגופה תשובה כיון שדרך העולם לצודן אף על פי שהוא א"צ להן מלאכה היא חשובה וחייב ואיזו תקרי מלאכה שא"צ לגופה כגון הוצאת המת שלא היא צריך לו ולא כל העולם צריכין לו שאין צורך לעולם במת אבל אם הוציא בגרוגרת אוכלין אף על פי שלא היה צריך להם חייב הוא כיון דחשיבי לעלמא והה"נ בצידה היכא דצד דבר שבמינו ניצוד וחשיב לעלמא אף על פי שהוא א"צ לו חייב דמלאכה חשובה הויא ולא מיפטר אלא כשצד דבר שאין במינו ניצוד וגם הוא אינו צריך לו:</w:t>
      </w:r>
    </w:p>
    <w:p w14:paraId="27EFCC64" w14:textId="238415CB" w:rsidR="00274E65" w:rsidRDefault="00274E65" w:rsidP="00274E65">
      <w:pPr>
        <w:pStyle w:val="1"/>
        <w:rPr>
          <w:rtl/>
        </w:rPr>
      </w:pPr>
      <w:bookmarkStart w:id="4371" w:name="_Toc140744041"/>
      <w:r>
        <w:rPr>
          <w:rFonts w:hint="cs"/>
          <w:rtl/>
        </w:rPr>
        <w:t>בי' התורי"ד דצל"ג תלוי בדבר עצמו אי צריך לו ולא במלאכה</w:t>
      </w:r>
      <w:bookmarkEnd w:id="4371"/>
    </w:p>
    <w:p w14:paraId="3580F397" w14:textId="77777777" w:rsidR="00274E65" w:rsidRDefault="00274E65" w:rsidP="00274E65">
      <w:pPr>
        <w:pStyle w:val="afffff7"/>
        <w:rPr>
          <w:rtl/>
        </w:rPr>
      </w:pPr>
      <w:bookmarkStart w:id="4372" w:name="_Toc140744102"/>
      <w:bookmarkStart w:id="4373" w:name="_Toc163506050"/>
      <w:r>
        <w:rPr>
          <w:rtl/>
        </w:rPr>
        <w:t>תוספות רי"ד שבת קכ"א ע"ב</w:t>
      </w:r>
      <w:r>
        <w:rPr>
          <w:rFonts w:hint="cs"/>
          <w:rtl/>
        </w:rPr>
        <w:t xml:space="preserve"> ד"ה מני</w:t>
      </w:r>
      <w:bookmarkEnd w:id="4372"/>
      <w:bookmarkEnd w:id="4373"/>
    </w:p>
    <w:p w14:paraId="2F0DCAD6" w14:textId="77777777" w:rsidR="00274E65" w:rsidRDefault="00274E65" w:rsidP="00274E65">
      <w:pPr>
        <w:pStyle w:val="a7"/>
        <w:rPr>
          <w:rtl/>
        </w:rPr>
      </w:pPr>
      <w:bookmarkStart w:id="4374" w:name="_Toc140744042"/>
      <w:r>
        <w:rPr>
          <w:rFonts w:hint="cs"/>
          <w:rtl/>
        </w:rPr>
        <w:t>קו' התורי"ד דאמאי ר"י מחייב בהריגת מזיקין הא כיון דא"צ הוי מקלקל בחבורה דמחייב ר"י</w:t>
      </w:r>
      <w:bookmarkEnd w:id="4374"/>
    </w:p>
    <w:p w14:paraId="3F2B4B8F" w14:textId="6007A567" w:rsidR="00274E65" w:rsidRPr="00350706" w:rsidRDefault="00274E65" w:rsidP="00BC7DC8">
      <w:pPr>
        <w:pStyle w:val="a3"/>
        <w:rPr>
          <w:rtl/>
        </w:rPr>
      </w:pPr>
      <w:bookmarkStart w:id="4375" w:name="_Ref140354130"/>
      <w:r>
        <w:rPr>
          <w:rFonts w:hint="cs"/>
          <w:rtl/>
        </w:rPr>
        <w:t xml:space="preserve">בהא דאמרינן בגמ' לקמן </w:t>
      </w:r>
      <w:r w:rsidRPr="00371859">
        <w:rPr>
          <w:rStyle w:val="af2"/>
          <w:rFonts w:eastAsia="Guttman Hodes" w:hint="cs"/>
          <w:rtl/>
        </w:rPr>
        <w:t>(קכא:)</w:t>
      </w:r>
      <w:r>
        <w:rPr>
          <w:rFonts w:hint="cs"/>
          <w:rtl/>
        </w:rPr>
        <w:t xml:space="preserve"> דההיתר בהריגת ה' מזיקין, הוא לר"ש דפוטר במלאכה שאינה צריכה לגופה ולא לר"י, הקשה </w:t>
      </w:r>
      <w:r w:rsidRPr="00900CB4">
        <w:rPr>
          <w:rStyle w:val="aff4"/>
          <w:rFonts w:hint="cs"/>
          <w:vanish/>
          <w:rtl/>
        </w:rPr>
        <w:t>-</w:t>
      </w:r>
      <w:r w:rsidRPr="008231D6">
        <w:rPr>
          <w:rStyle w:val="aff4"/>
          <w:rFonts w:hint="cs"/>
          <w:rtl/>
        </w:rPr>
        <w:t>ה</w:t>
      </w:r>
      <w:r w:rsidRPr="00900CB4">
        <w:rPr>
          <w:rStyle w:val="aff4"/>
          <w:rFonts w:hint="cs"/>
          <w:vanish/>
          <w:rtl/>
        </w:rPr>
        <w:t xml:space="preserve">&lt;, </w:t>
      </w:r>
      <w:r w:rsidRPr="00900CB4">
        <w:rPr>
          <w:rStyle w:val="aff4"/>
          <w:vanish/>
          <w:rtl/>
        </w:rPr>
        <w:fldChar w:fldCharType="begin"/>
      </w:r>
      <w:r w:rsidRPr="00900CB4">
        <w:rPr>
          <w:rStyle w:val="aff4"/>
          <w:vanish/>
          <w:rtl/>
        </w:rPr>
        <w:instrText xml:space="preserve"> </w:instrText>
      </w:r>
      <w:r w:rsidRPr="00900CB4">
        <w:rPr>
          <w:rStyle w:val="aff4"/>
          <w:rFonts w:hint="cs"/>
          <w:vanish/>
        </w:rPr>
        <w:instrText>REF</w:instrText>
      </w:r>
      <w:r w:rsidRPr="00900CB4">
        <w:rPr>
          <w:rStyle w:val="aff4"/>
          <w:rFonts w:hint="cs"/>
          <w:vanish/>
          <w:rtl/>
        </w:rPr>
        <w:instrText xml:space="preserve"> _</w:instrText>
      </w:r>
      <w:r w:rsidRPr="00900CB4">
        <w:rPr>
          <w:rStyle w:val="aff4"/>
          <w:rFonts w:hint="cs"/>
          <w:vanish/>
        </w:rPr>
        <w:instrText>Ref140354130 \r \h</w:instrText>
      </w:r>
      <w:r w:rsidRPr="00900CB4">
        <w:rPr>
          <w:rStyle w:val="aff4"/>
          <w:vanish/>
          <w:rtl/>
        </w:rPr>
        <w:instrText xml:space="preserve"> </w:instrText>
      </w:r>
      <w:r w:rsidRPr="00900CB4">
        <w:rPr>
          <w:rStyle w:val="aff4"/>
          <w:vanish/>
          <w:rtl/>
        </w:rPr>
      </w:r>
      <w:r w:rsidRPr="00900CB4">
        <w:rPr>
          <w:rStyle w:val="aff4"/>
          <w:vanish/>
          <w:rtl/>
        </w:rPr>
        <w:fldChar w:fldCharType="separate"/>
      </w:r>
      <w:r w:rsidR="00D82181">
        <w:rPr>
          <w:rStyle w:val="aff4"/>
          <w:vanish/>
          <w:cs/>
        </w:rPr>
        <w:t>‎</w:t>
      </w:r>
      <w:r w:rsidR="00D82181">
        <w:rPr>
          <w:rStyle w:val="aff4"/>
          <w:vanish/>
          <w:rtl/>
        </w:rPr>
        <w:t>עה)</w:t>
      </w:r>
      <w:r w:rsidRPr="00900CB4">
        <w:rPr>
          <w:rStyle w:val="aff4"/>
          <w:vanish/>
          <w:rtl/>
        </w:rPr>
        <w:fldChar w:fldCharType="end"/>
      </w:r>
      <w:r w:rsidRPr="00900CB4">
        <w:rPr>
          <w:rStyle w:val="aff4"/>
          <w:rFonts w:hint="cs"/>
          <w:vanish/>
          <w:rtl/>
        </w:rPr>
        <w:t xml:space="preserve"> &gt;</w:t>
      </w:r>
      <w:r w:rsidRPr="008231D6">
        <w:rPr>
          <w:rStyle w:val="aff4"/>
          <w:rFonts w:hint="cs"/>
          <w:rtl/>
        </w:rPr>
        <w:t>תוס' רי"ד</w:t>
      </w:r>
      <w:r w:rsidRPr="00900CB4">
        <w:rPr>
          <w:rStyle w:val="aff4"/>
          <w:rFonts w:hint="cs"/>
          <w:vanish/>
          <w:rtl/>
        </w:rPr>
        <w:t>-</w:t>
      </w:r>
      <w:r>
        <w:rPr>
          <w:rFonts w:hint="cs"/>
          <w:rtl/>
        </w:rPr>
        <w:t xml:space="preserve"> </w:t>
      </w:r>
      <w:r w:rsidRPr="00371859">
        <w:rPr>
          <w:rStyle w:val="af2"/>
          <w:rFonts w:eastAsia="Guttman Hodes" w:hint="cs"/>
          <w:rtl/>
        </w:rPr>
        <w:t>(קכא: ד"ה מני)</w:t>
      </w:r>
      <w:r w:rsidRPr="00900CB4">
        <w:rPr>
          <w:rFonts w:hint="cs"/>
          <w:vanish/>
          <w:rtl/>
        </w:rPr>
        <w:t>=</w:t>
      </w:r>
      <w:r>
        <w:rPr>
          <w:rFonts w:hint="cs"/>
          <w:rtl/>
        </w:rPr>
        <w:t xml:space="preserve"> דהא ר"י פוטר במקלקל בחבורה ור"ש מחייב, ובהריגת המזיקין יש נטילת נשמה וחייב עליה לר"ש אעפ"י דהיא מלאכה שאינה צריכה לגופה, כדילפינן ממילה ושריפת בת כהן, אבל לר"י צריך להפטר כיון דהוא מקלקל בנטילת נשמה וא"צ לה.</w:t>
      </w:r>
      <w:bookmarkEnd w:id="4375"/>
    </w:p>
    <w:p w14:paraId="7AFE824A" w14:textId="77777777" w:rsidR="00274E65" w:rsidRPr="00747170" w:rsidRDefault="00274E65" w:rsidP="00747170">
      <w:pPr>
        <w:pStyle w:val="a2"/>
        <w:rPr>
          <w:rtl/>
        </w:rPr>
      </w:pPr>
      <w:r w:rsidRPr="00747170">
        <w:rPr>
          <w:rtl/>
        </w:rPr>
        <w:t>מני אילימא ר' יהודא האמר מלאכה שא"צ לגופה חייב עלי' אלא לאו ר"ש ק"ל טובא דהא אמרן לעיל בפ' האורג דר' יהודא סבר מקלקל בחבורה פטור ור"ש סבר מקלקל בחבורה חייב ובפ' אלו הנחנקין נמי אמרי' מאן שמעת לי' דאמר מקלקל בחבורה חייב ר"ש:</w:t>
      </w:r>
      <w:r w:rsidRPr="00747170">
        <w:rPr>
          <w:rFonts w:hint="cs"/>
          <w:rtl/>
        </w:rPr>
        <w:t xml:space="preserve"> </w:t>
      </w:r>
      <w:r w:rsidRPr="00747170">
        <w:rPr>
          <w:rtl/>
        </w:rPr>
        <w:t>והא הכא דאיכא נטילת נשמה ואף על פי שא"צ לאותה נטילת נשמה כלל וחייב ר"ש כדיליף ממילה ומהבערת בת כהן ור' יהודא יפטור דלא מחייב בנטילת נשמה עד שתהא לצורכו ואיפכא איבעי' לי' למימר שבודאי בכופין קערה על עקרב שלא תישך שהיא צידה ר' יהודא מחייב דהו"ל צידה שהיא מלאכה ואף על פי שא"צ לה ור"ש פטור מפני שא"צ לגופה אבל בהריגה ר' יהודא פוטר דלא מקרי הריגה מלאכה עד שתהא לצורכו דיליף מאלים ור"ש מחייב ואף על פי שא"צ לה מפני שהיא גזרת מלך כדכתבית לעיל</w:t>
      </w:r>
      <w:r w:rsidRPr="00747170">
        <w:rPr>
          <w:rFonts w:hint="cs"/>
          <w:rtl/>
        </w:rPr>
        <w:t>.</w:t>
      </w:r>
    </w:p>
    <w:p w14:paraId="10D94CD1" w14:textId="130ECA42" w:rsidR="00274E65" w:rsidRDefault="00274E65" w:rsidP="00274E65">
      <w:pPr>
        <w:pStyle w:val="afffff7"/>
        <w:rPr>
          <w:rtl/>
        </w:rPr>
      </w:pPr>
      <w:bookmarkStart w:id="4376" w:name="_Toc140744103"/>
      <w:bookmarkStart w:id="4377" w:name="_Toc163506051"/>
      <w:r>
        <w:rPr>
          <w:rtl/>
        </w:rPr>
        <w:t>תוספות רי"ד שבת קכ"א ע"ב</w:t>
      </w:r>
      <w:r>
        <w:rPr>
          <w:rFonts w:hint="cs"/>
          <w:rtl/>
        </w:rPr>
        <w:t xml:space="preserve"> ד"ה ונראה</w:t>
      </w:r>
      <w:bookmarkEnd w:id="4376"/>
      <w:bookmarkEnd w:id="4377"/>
    </w:p>
    <w:p w14:paraId="7B64B22F" w14:textId="77777777" w:rsidR="00274E65" w:rsidRDefault="00274E65" w:rsidP="00274E65">
      <w:pPr>
        <w:pStyle w:val="a7"/>
        <w:rPr>
          <w:rtl/>
        </w:rPr>
      </w:pPr>
      <w:bookmarkStart w:id="4378" w:name="_Toc140744043"/>
      <w:r>
        <w:rPr>
          <w:rFonts w:hint="cs"/>
          <w:rtl/>
        </w:rPr>
        <w:t>בי' התורי"ד דהגי' במקלקל בחבורה דר"ש מחייב ור"י פוטר כדנח' במשאצל"ג ודלא כגי' לפנינו</w:t>
      </w:r>
      <w:bookmarkEnd w:id="4378"/>
      <w:r>
        <w:rPr>
          <w:rFonts w:hint="cs"/>
          <w:rtl/>
        </w:rPr>
        <w:t xml:space="preserve"> </w:t>
      </w:r>
    </w:p>
    <w:p w14:paraId="6114A11E" w14:textId="1D210B9E" w:rsidR="00274E65" w:rsidRDefault="00274E65" w:rsidP="00BC7DC8">
      <w:pPr>
        <w:pStyle w:val="a3"/>
        <w:rPr>
          <w:rtl/>
        </w:rPr>
      </w:pPr>
      <w:bookmarkStart w:id="4379" w:name="_Ref140683774"/>
      <w:bookmarkStart w:id="4380" w:name="_Ref140221933"/>
      <w:r>
        <w:rPr>
          <w:rFonts w:hint="cs"/>
          <w:rtl/>
        </w:rPr>
        <w:t xml:space="preserve">ותירץ </w:t>
      </w:r>
      <w:r w:rsidRPr="00900CB4">
        <w:rPr>
          <w:rStyle w:val="aff4"/>
          <w:rFonts w:hint="cs"/>
          <w:vanish/>
          <w:rtl/>
        </w:rPr>
        <w:t>-</w:t>
      </w:r>
      <w:r w:rsidRPr="008231D6">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Ref140683774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עו)</w:t>
      </w:r>
      <w:r>
        <w:rPr>
          <w:rStyle w:val="aff4"/>
          <w:vanish/>
          <w:rtl/>
        </w:rPr>
        <w:fldChar w:fldCharType="end"/>
      </w:r>
      <w:r>
        <w:rPr>
          <w:rStyle w:val="aff4"/>
          <w:rFonts w:hint="cs"/>
          <w:vanish/>
          <w:rtl/>
        </w:rPr>
        <w:t xml:space="preserve"> &gt;</w:t>
      </w:r>
      <w:r w:rsidRPr="008231D6">
        <w:rPr>
          <w:rStyle w:val="aff4"/>
          <w:rFonts w:hint="cs"/>
          <w:rtl/>
        </w:rPr>
        <w:t>תוס' רי"ד</w:t>
      </w:r>
      <w:r w:rsidRPr="00900CB4">
        <w:rPr>
          <w:rStyle w:val="aff4"/>
          <w:rFonts w:hint="cs"/>
          <w:vanish/>
          <w:rtl/>
        </w:rPr>
        <w:t>-</w:t>
      </w:r>
      <w:r>
        <w:rPr>
          <w:rFonts w:hint="cs"/>
          <w:rtl/>
        </w:rPr>
        <w:t xml:space="preserve"> </w:t>
      </w:r>
      <w:r w:rsidRPr="00371859">
        <w:rPr>
          <w:rStyle w:val="af2"/>
          <w:rFonts w:eastAsia="Guttman Hodes" w:hint="cs"/>
          <w:rtl/>
        </w:rPr>
        <w:t xml:space="preserve">(קכא: ד"ה </w:t>
      </w:r>
      <w:r>
        <w:rPr>
          <w:rStyle w:val="af2"/>
          <w:rFonts w:eastAsia="Guttman Hodes" w:hint="cs"/>
          <w:rtl/>
        </w:rPr>
        <w:t>ונראה</w:t>
      </w:r>
      <w:r w:rsidRPr="00371859">
        <w:rPr>
          <w:rStyle w:val="af2"/>
          <w:rFonts w:eastAsia="Guttman Hodes" w:hint="cs"/>
          <w:rtl/>
        </w:rPr>
        <w:t>)</w:t>
      </w:r>
      <w:r w:rsidRPr="00900CB4">
        <w:rPr>
          <w:rFonts w:hint="cs"/>
          <w:vanish/>
          <w:rtl/>
        </w:rPr>
        <w:t>=</w:t>
      </w:r>
      <w:r>
        <w:rPr>
          <w:rFonts w:hint="cs"/>
          <w:rtl/>
        </w:rPr>
        <w:t xml:space="preserve"> דהא דאיתא בגמ' </w:t>
      </w:r>
      <w:r w:rsidRPr="00371859">
        <w:rPr>
          <w:rStyle w:val="af2"/>
          <w:rFonts w:eastAsia="Guttman Hodes" w:hint="cs"/>
          <w:rtl/>
        </w:rPr>
        <w:t>(קו.)</w:t>
      </w:r>
      <w:r>
        <w:rPr>
          <w:rStyle w:val="af2"/>
          <w:rFonts w:eastAsia="Guttman Hodes" w:hint="cs"/>
          <w:rtl/>
        </w:rPr>
        <w:t xml:space="preserve"> </w:t>
      </w:r>
      <w:r>
        <w:rPr>
          <w:rFonts w:hint="cs"/>
          <w:rtl/>
        </w:rPr>
        <w:t>דבמקלקל בחבורה ר"י פוטר ור"ש מחייב, ו</w:t>
      </w:r>
      <w:r w:rsidRPr="003B63CB">
        <w:rPr>
          <w:rFonts w:hint="cs"/>
          <w:rtl/>
        </w:rPr>
        <w:t xml:space="preserve">כתב </w:t>
      </w:r>
      <w:r w:rsidRPr="003B63CB">
        <w:rPr>
          <w:rStyle w:val="aff4"/>
          <w:rFonts w:hint="cs"/>
          <w:vanish/>
          <w:rtl/>
        </w:rPr>
        <w:t>-</w:t>
      </w:r>
      <w:r w:rsidRPr="003B63CB">
        <w:rPr>
          <w:rStyle w:val="aff4"/>
          <w:rFonts w:hint="cs"/>
          <w:rtl/>
        </w:rPr>
        <w:t>רש"י</w:t>
      </w:r>
      <w:r w:rsidRPr="003B63CB">
        <w:rPr>
          <w:rStyle w:val="aff4"/>
          <w:rFonts w:hint="cs"/>
          <w:vanish/>
          <w:rtl/>
        </w:rPr>
        <w:t>-</w:t>
      </w:r>
      <w:r w:rsidRPr="003B63CB">
        <w:rPr>
          <w:rFonts w:hint="cs"/>
          <w:rtl/>
        </w:rPr>
        <w:t xml:space="preserve"> </w:t>
      </w:r>
      <w:r w:rsidRPr="00371859">
        <w:rPr>
          <w:rStyle w:val="af2"/>
          <w:rFonts w:eastAsia="Guttman Hodes" w:hint="cs"/>
          <w:rtl/>
        </w:rPr>
        <w:t>(קו. ד"ה מתני', הובא בסימן ח' אות כ"ח)</w:t>
      </w:r>
      <w:r w:rsidRPr="003B63CB">
        <w:rPr>
          <w:rFonts w:hint="cs"/>
          <w:rtl/>
        </w:rPr>
        <w:t xml:space="preserve"> דלא איתפרש היכ</w:t>
      </w:r>
      <w:r>
        <w:rPr>
          <w:rFonts w:hint="cs"/>
          <w:rtl/>
        </w:rPr>
        <w:t>ן נחלקו, צריך לגרוס להיפך דר"י מחייב ור"ש פוטר, כמו דנחלקו לענין מלאכה שאינה צריכה לגופה.</w:t>
      </w:r>
      <w:bookmarkEnd w:id="4379"/>
    </w:p>
    <w:p w14:paraId="6F75F967" w14:textId="77777777" w:rsidR="00274E65" w:rsidRPr="00747170" w:rsidRDefault="00274E65" w:rsidP="00747170">
      <w:pPr>
        <w:pStyle w:val="a2"/>
      </w:pPr>
      <w:r w:rsidRPr="00747170">
        <w:rPr>
          <w:rtl/>
        </w:rPr>
        <w:t>ונ"ל לומר דמאי דגרסי' לעיל דר' יהודא פוטר ור"ש מחייב ואמר המורה דלא איתפריש לן היכא דאיפכא בעינן למיגרס דר' יהודא מחייב ור"ש פוטר כטעמייהו דר"ש סבר מלאכה שא"צ לגופה פטור עלי'</w:t>
      </w:r>
      <w:r w:rsidRPr="00747170">
        <w:rPr>
          <w:rFonts w:hint="cs"/>
          <w:rtl/>
        </w:rPr>
        <w:t>.</w:t>
      </w:r>
    </w:p>
    <w:p w14:paraId="1BEDC7C7" w14:textId="77777777" w:rsidR="00274E65" w:rsidRPr="009D3204" w:rsidRDefault="00274E65" w:rsidP="00274E65">
      <w:pPr>
        <w:pStyle w:val="a7"/>
      </w:pPr>
      <w:bookmarkStart w:id="4381" w:name="_Toc140744044"/>
      <w:r>
        <w:rPr>
          <w:rFonts w:hint="cs"/>
          <w:rtl/>
        </w:rPr>
        <w:t>בי' התורי"ד דצל"ג בדבר שנעשית המלאכה ויציאת נשמה לצורך העור או בשר או דם צל"ג</w:t>
      </w:r>
      <w:bookmarkEnd w:id="4381"/>
    </w:p>
    <w:p w14:paraId="0C15CB61" w14:textId="5D025440" w:rsidR="00274E65" w:rsidRPr="00D54D2C" w:rsidRDefault="00274E65" w:rsidP="00BC7DC8">
      <w:pPr>
        <w:pStyle w:val="a3"/>
        <w:rPr>
          <w:rStyle w:val="af"/>
        </w:rPr>
      </w:pPr>
      <w:r>
        <w:rPr>
          <w:rFonts w:hint="cs"/>
          <w:rtl/>
        </w:rPr>
        <w:t xml:space="preserve">וכתב </w:t>
      </w:r>
      <w:r w:rsidRPr="00900CB4">
        <w:rPr>
          <w:rStyle w:val="aff4"/>
          <w:rFonts w:hint="cs"/>
          <w:vanish/>
          <w:rtl/>
        </w:rPr>
        <w:t>-</w:t>
      </w:r>
      <w:r w:rsidRPr="008231D6">
        <w:rPr>
          <w:rStyle w:val="aff4"/>
          <w:rFonts w:hint="cs"/>
          <w:rtl/>
        </w:rPr>
        <w:t>התוס' רי"ד</w:t>
      </w:r>
      <w:r w:rsidRPr="00900CB4">
        <w:rPr>
          <w:rStyle w:val="aff4"/>
          <w:rFonts w:hint="cs"/>
          <w:vanish/>
          <w:rtl/>
        </w:rPr>
        <w:t>-</w:t>
      </w:r>
      <w:r>
        <w:rPr>
          <w:rFonts w:hint="cs"/>
          <w:rtl/>
        </w:rPr>
        <w:t xml:space="preserve"> דבזה נחלקו ר"י ור"ש גם בהריגת מזיקין דהוי מלאכה שאינה צריכה לגופה, כיון דילפינן נטילת נשמה משחיטת האלים במשכן שהייתה לצורך העור שלהם, ולכן בכ"מ שיש לו צורך בבשר בעור או בדם, הוי מלאכה שצריכה לגופה, ובפוצע חלזון בגמ' </w:t>
      </w:r>
      <w:r w:rsidRPr="00371859">
        <w:rPr>
          <w:rStyle w:val="af2"/>
          <w:rFonts w:eastAsia="Guttman Hodes" w:hint="cs"/>
          <w:rtl/>
        </w:rPr>
        <w:t>(עה.)</w:t>
      </w:r>
      <w:r>
        <w:rPr>
          <w:rFonts w:hint="cs"/>
          <w:rtl/>
        </w:rPr>
        <w:t xml:space="preserve"> היה ר"ש צריך לחייב דהוא צריך לעורו ואין חילוק בין עורו לבשרו, אלא דכיון דלא ניחא ליה שימות ומתכוין לכך ואינו פסיק רישיה לכן פטור, וביאר </w:t>
      </w:r>
      <w:r w:rsidRPr="00900CB4">
        <w:rPr>
          <w:rStyle w:val="aff4"/>
          <w:rFonts w:hint="cs"/>
          <w:vanish/>
          <w:rtl/>
        </w:rPr>
        <w:t>-</w:t>
      </w:r>
      <w:r w:rsidRPr="008231D6">
        <w:rPr>
          <w:rStyle w:val="aff4"/>
          <w:rFonts w:hint="cs"/>
          <w:rtl/>
        </w:rPr>
        <w:t>התוס' רי"ד</w:t>
      </w:r>
      <w:r w:rsidRPr="00900CB4">
        <w:rPr>
          <w:rStyle w:val="aff4"/>
          <w:rFonts w:hint="cs"/>
          <w:vanish/>
          <w:rtl/>
        </w:rPr>
        <w:t>-</w:t>
      </w:r>
      <w:r>
        <w:rPr>
          <w:rFonts w:hint="cs"/>
          <w:rtl/>
        </w:rPr>
        <w:t xml:space="preserve"> דהא דמקשה הגמ' דבפוצע חלזון דיתחייב משום נטילת נשמה, הקושיה היא אף לר"ש, דאין לחלק בין דם לבשר ועור, וכל שצריך לאחד מהם הוי מלאכה שצריכה לגופה.</w:t>
      </w:r>
      <w:bookmarkEnd w:id="4380"/>
      <w:r>
        <w:rPr>
          <w:rFonts w:hint="cs"/>
          <w:rtl/>
        </w:rPr>
        <w:t xml:space="preserve"> </w:t>
      </w:r>
      <w:r w:rsidRPr="00D54D2C">
        <w:rPr>
          <w:rStyle w:val="af"/>
          <w:rFonts w:hint="cs"/>
          <w:rtl/>
        </w:rPr>
        <w:t xml:space="preserve">[והיינו דס"ל </w:t>
      </w:r>
      <w:r w:rsidRPr="00D54D2C">
        <w:rPr>
          <w:rStyle w:val="aff9"/>
          <w:rFonts w:hint="cs"/>
          <w:vanish/>
          <w:rtl/>
        </w:rPr>
        <w:t>-</w:t>
      </w:r>
      <w:r w:rsidRPr="00D54D2C">
        <w:rPr>
          <w:rStyle w:val="aff9"/>
          <w:rFonts w:hint="cs"/>
          <w:rtl/>
        </w:rPr>
        <w:t>להתוס' רי"ד</w:t>
      </w:r>
      <w:r w:rsidRPr="00D54D2C">
        <w:rPr>
          <w:rStyle w:val="aff9"/>
          <w:rFonts w:hint="cs"/>
          <w:vanish/>
          <w:rtl/>
        </w:rPr>
        <w:t>-</w:t>
      </w:r>
      <w:r w:rsidRPr="00D54D2C">
        <w:rPr>
          <w:rStyle w:val="af"/>
          <w:rFonts w:hint="cs"/>
          <w:rtl/>
        </w:rPr>
        <w:t xml:space="preserve"> דגדר מלאכה שאינה צריכה לגופה תלוי בצורך של הדבר עצמו אם צריך לו, ולא בצורך של המלאכה, ולכן הוצרך לבאר דאין חילוק בין דם לבשר ועור</w:t>
      </w:r>
      <w:r>
        <w:rPr>
          <w:rStyle w:val="af"/>
          <w:rFonts w:hint="cs"/>
          <w:rtl/>
        </w:rPr>
        <w:t xml:space="preserve">, ודלא </w:t>
      </w:r>
      <w:r w:rsidRPr="00FB59DB">
        <w:rPr>
          <w:rStyle w:val="aff9"/>
          <w:rFonts w:hint="cs"/>
          <w:vanish/>
          <w:rtl/>
        </w:rPr>
        <w:t>-</w:t>
      </w:r>
      <w:r>
        <w:rPr>
          <w:rStyle w:val="aff9"/>
          <w:rFonts w:hint="cs"/>
          <w:rtl/>
        </w:rPr>
        <w:t>כ</w:t>
      </w:r>
      <w:r w:rsidRPr="00FB59DB">
        <w:rPr>
          <w:rStyle w:val="aff9"/>
          <w:rFonts w:hint="cs"/>
          <w:rtl/>
        </w:rPr>
        <w:t>רמב"ן</w:t>
      </w:r>
      <w:r w:rsidRPr="00FB59DB">
        <w:rPr>
          <w:rStyle w:val="aff9"/>
          <w:rFonts w:hint="cs"/>
          <w:vanish/>
          <w:rtl/>
        </w:rPr>
        <w:t>-</w:t>
      </w:r>
      <w:r w:rsidRPr="0027107D">
        <w:rPr>
          <w:rStyle w:val="af"/>
          <w:rFonts w:hint="cs"/>
          <w:rtl/>
        </w:rPr>
        <w:t xml:space="preserve"> </w:t>
      </w:r>
      <w:r w:rsidRPr="0027107D">
        <w:rPr>
          <w:rStyle w:val="aff0"/>
          <w:rFonts w:hint="cs"/>
          <w:rtl/>
        </w:rPr>
        <w:t>(עי' אות</w:t>
      </w:r>
      <w:r w:rsidRPr="0027107D">
        <w:rPr>
          <w:rStyle w:val="af2"/>
          <w:rFonts w:eastAsia="Guttman Hodes" w:hint="cs"/>
          <w:rtl/>
        </w:rPr>
        <w:t xml:space="preserve"> </w:t>
      </w:r>
      <w:r w:rsidRPr="003D3526">
        <w:rPr>
          <w:rStyle w:val="aff0"/>
          <w:rtl/>
        </w:rPr>
        <w:fldChar w:fldCharType="begin"/>
      </w:r>
      <w:r w:rsidRPr="003D3526">
        <w:rPr>
          <w:rStyle w:val="aff0"/>
          <w:rtl/>
        </w:rPr>
        <w:instrText xml:space="preserve"> </w:instrText>
      </w:r>
      <w:r w:rsidRPr="003D3526">
        <w:rPr>
          <w:rStyle w:val="aff0"/>
          <w:rFonts w:hint="cs"/>
        </w:rPr>
        <w:instrText>REF</w:instrText>
      </w:r>
      <w:r w:rsidRPr="003D3526">
        <w:rPr>
          <w:rStyle w:val="aff0"/>
          <w:rFonts w:hint="cs"/>
          <w:rtl/>
        </w:rPr>
        <w:instrText xml:space="preserve"> _</w:instrText>
      </w:r>
      <w:r w:rsidRPr="003D3526">
        <w:rPr>
          <w:rStyle w:val="aff0"/>
          <w:rFonts w:hint="cs"/>
        </w:rPr>
        <w:instrText>Ref135732507 \r \h</w:instrText>
      </w:r>
      <w:r w:rsidRPr="003D3526">
        <w:rPr>
          <w:rStyle w:val="aff0"/>
          <w:rtl/>
        </w:rPr>
        <w:instrText xml:space="preserve"> </w:instrText>
      </w:r>
      <w:r w:rsidRPr="003D3526">
        <w:rPr>
          <w:rStyle w:val="aff0"/>
          <w:rtl/>
        </w:rPr>
      </w:r>
      <w:r w:rsidRPr="003D3526">
        <w:rPr>
          <w:rStyle w:val="aff0"/>
          <w:rtl/>
        </w:rPr>
        <w:fldChar w:fldCharType="separate"/>
      </w:r>
      <w:r w:rsidR="00D82181">
        <w:rPr>
          <w:rStyle w:val="aff0"/>
          <w:cs/>
        </w:rPr>
        <w:t>‎</w:t>
      </w:r>
      <w:r w:rsidR="00D82181">
        <w:rPr>
          <w:rStyle w:val="aff0"/>
          <w:rtl/>
        </w:rPr>
        <w:t>כח)</w:t>
      </w:r>
      <w:r w:rsidRPr="003D3526">
        <w:rPr>
          <w:rStyle w:val="aff0"/>
          <w:rtl/>
        </w:rPr>
        <w:fldChar w:fldCharType="end"/>
      </w:r>
      <w:r w:rsidRPr="00FB59DB">
        <w:rPr>
          <w:rStyle w:val="aff9"/>
          <w:rFonts w:hint="cs"/>
          <w:vanish/>
          <w:rtl/>
        </w:rPr>
        <w:t>-</w:t>
      </w:r>
      <w:r>
        <w:rPr>
          <w:rStyle w:val="af"/>
          <w:rFonts w:hint="cs"/>
          <w:rtl/>
        </w:rPr>
        <w:t xml:space="preserve"> דס"ל דהצורך תלוי במלאכה ולא בדבר עצמו </w:t>
      </w:r>
      <w:bookmarkStart w:id="4382" w:name="_Hlk140745735"/>
      <w:r>
        <w:rPr>
          <w:rStyle w:val="af"/>
          <w:rFonts w:hint="cs"/>
          <w:rtl/>
        </w:rPr>
        <w:t>שעושה בו את המלאכה כערלה דמילה</w:t>
      </w:r>
      <w:bookmarkEnd w:id="4382"/>
      <w:r w:rsidRPr="00D54D2C">
        <w:rPr>
          <w:rStyle w:val="af"/>
          <w:rFonts w:hint="cs"/>
          <w:rtl/>
        </w:rPr>
        <w:t xml:space="preserve">]. </w:t>
      </w:r>
    </w:p>
    <w:p w14:paraId="3B27F08D" w14:textId="77777777" w:rsidR="00274E65" w:rsidRPr="00747170" w:rsidRDefault="00274E65" w:rsidP="00747170">
      <w:pPr>
        <w:pStyle w:val="a2"/>
        <w:rPr>
          <w:rtl/>
        </w:rPr>
      </w:pPr>
      <w:r w:rsidRPr="00747170">
        <w:rPr>
          <w:rtl/>
        </w:rPr>
        <w:t>והילכך כל נטילת נשמה שאין לו צורך בה פטור עלי' דלא ילפי' נטילת נשמה אלא מאלים דמשכן והתם הוית לצורך הע[ו]רות הילכך כל היכא דצריך או לבשר או לעור או לדם הויא מלאכה שהיא צריכה לגופה. והפוצע חלזון נמי אי לאו דלא ניחא ליה במיתתו ומתכוין שלא ימיתנו דלא הוי פסיק רישיה ולא ימות הוה מחייב ר"ש כיון שהוא נוטל נשמתו מפני שהוא צריך לדמו דמה לי דמו מה לי בשרו ועורו. וכי מקשה בפ' כלל גדול בפוצע חלזון שיתחייב נמי משום נטילת נשמה גם לר"ש מקשה וכל שכתבתי שם במהדורא קמא דלא מקשה אלא לר' יהודא אבל לר"ש לא שא"צ לגוף ההריגה אלא לדם הכל הבל דמה לי כששוחט את הבהמה לצורך בשרה ואלים דמשכן לצורך עורן מה לי חלזון לצורך דמו. א"ו גם לר"ש מקשה</w:t>
      </w:r>
      <w:r w:rsidRPr="00747170">
        <w:rPr>
          <w:rFonts w:hint="cs"/>
          <w:rtl/>
        </w:rPr>
        <w:t>.</w:t>
      </w:r>
    </w:p>
    <w:p w14:paraId="0644206D" w14:textId="745BCBAC" w:rsidR="00274E65" w:rsidRDefault="00274E65" w:rsidP="00274E65">
      <w:pPr>
        <w:pStyle w:val="a7"/>
        <w:rPr>
          <w:rtl/>
        </w:rPr>
      </w:pPr>
      <w:bookmarkStart w:id="4383" w:name="_Toc140744045"/>
      <w:r>
        <w:rPr>
          <w:rFonts w:hint="cs"/>
          <w:rtl/>
        </w:rPr>
        <w:t>קו' התורי"ד דמ"ש שחיטה בצואר דכל הבהמה חשיבא צל"ג מכיבוי פתילה דרק במקומה צל"ג</w:t>
      </w:r>
      <w:bookmarkEnd w:id="4383"/>
    </w:p>
    <w:p w14:paraId="7E9CA8D8" w14:textId="77777777" w:rsidR="00274E65" w:rsidRDefault="00274E65" w:rsidP="00BC7DC8">
      <w:pPr>
        <w:pStyle w:val="a3"/>
      </w:pPr>
      <w:r>
        <w:rPr>
          <w:rFonts w:hint="cs"/>
          <w:rtl/>
        </w:rPr>
        <w:t xml:space="preserve">אך הקשה </w:t>
      </w:r>
      <w:r w:rsidRPr="00900CB4">
        <w:rPr>
          <w:rStyle w:val="aff4"/>
          <w:rFonts w:hint="cs"/>
          <w:vanish/>
          <w:rtl/>
        </w:rPr>
        <w:t>-</w:t>
      </w:r>
      <w:r w:rsidRPr="008231D6">
        <w:rPr>
          <w:rStyle w:val="aff4"/>
          <w:rFonts w:hint="cs"/>
          <w:rtl/>
        </w:rPr>
        <w:t>התוס' רי"ד</w:t>
      </w:r>
      <w:r w:rsidRPr="00900CB4">
        <w:rPr>
          <w:rStyle w:val="aff4"/>
          <w:rFonts w:hint="cs"/>
          <w:vanish/>
          <w:rtl/>
        </w:rPr>
        <w:t>-</w:t>
      </w:r>
      <w:r>
        <w:rPr>
          <w:rFonts w:hint="cs"/>
          <w:rtl/>
        </w:rPr>
        <w:t xml:space="preserve"> דאי שחיטה שהיא במק"א חשיבא צריכה לגופה לכל גוף הבהמה, אמאי כיבוי פתילה הוי מלאכה שאינה צריכה לגופה, והא הוא צריך את המשך הפתילה.</w:t>
      </w:r>
      <w:r w:rsidRPr="00D54D2C">
        <w:rPr>
          <w:rStyle w:val="af"/>
          <w:rFonts w:hint="cs"/>
          <w:rtl/>
        </w:rPr>
        <w:t xml:space="preserve"> [והיינו דס"ל </w:t>
      </w:r>
      <w:r w:rsidRPr="00D54D2C">
        <w:rPr>
          <w:rStyle w:val="aff9"/>
          <w:rFonts w:hint="cs"/>
          <w:vanish/>
          <w:rtl/>
        </w:rPr>
        <w:t>-</w:t>
      </w:r>
      <w:r w:rsidRPr="00D54D2C">
        <w:rPr>
          <w:rStyle w:val="aff9"/>
          <w:rFonts w:hint="cs"/>
          <w:rtl/>
        </w:rPr>
        <w:t>להתוס' רי"ד</w:t>
      </w:r>
      <w:r w:rsidRPr="00D54D2C">
        <w:rPr>
          <w:rStyle w:val="aff9"/>
          <w:rFonts w:hint="cs"/>
          <w:vanish/>
          <w:rtl/>
        </w:rPr>
        <w:t>-</w:t>
      </w:r>
      <w:r w:rsidRPr="00D54D2C">
        <w:rPr>
          <w:rStyle w:val="af"/>
          <w:rFonts w:hint="cs"/>
          <w:rtl/>
        </w:rPr>
        <w:t xml:space="preserve"> דגדר מלאכה שאינה צריכה לגופה תלוי בצורך של הדבר עצמו אם צריך לו, ולא בצורך של המלאכה, ולכן הוקשה לו ד</w:t>
      </w:r>
      <w:r>
        <w:rPr>
          <w:rStyle w:val="af"/>
          <w:rFonts w:hint="cs"/>
          <w:rtl/>
        </w:rPr>
        <w:t>מ"ש נטילת נשמה דמעשה במקום אחד וצורך במקום אחר באותו הגוף חשיב מלאכה שצריכה לגופה, מפתילה דרק כשהצורך באותו מקום שעשה מלאכה הוי מלאכה שצריכה לגופה</w:t>
      </w:r>
      <w:r w:rsidRPr="00D54D2C">
        <w:rPr>
          <w:rStyle w:val="af"/>
          <w:rFonts w:hint="cs"/>
          <w:rtl/>
        </w:rPr>
        <w:t>].</w:t>
      </w:r>
      <w:r>
        <w:rPr>
          <w:rFonts w:hint="cs"/>
          <w:rtl/>
        </w:rPr>
        <w:t xml:space="preserve"> </w:t>
      </w:r>
    </w:p>
    <w:p w14:paraId="5B066FF6" w14:textId="77777777" w:rsidR="00274E65" w:rsidRPr="00747170" w:rsidRDefault="00274E65" w:rsidP="00747170">
      <w:pPr>
        <w:pStyle w:val="a2"/>
        <w:rPr>
          <w:rtl/>
        </w:rPr>
      </w:pPr>
      <w:r w:rsidRPr="00747170">
        <w:rPr>
          <w:rtl/>
        </w:rPr>
        <w:t>ואי קשיא מ"ש כיבוי הנר כדי לחוס על הפתילה דפטר ר"ש וקרי לי' מלאכה שא"צ לגופה משחיטת הבהמה שקורא אותה מלאכה שהיא צריכה לגופה והלא במקום אחד הוא שוחט לצורך כל הבשר. וה"נ במקום אחד הוא מכבה לצורך כל הפתילה</w:t>
      </w:r>
      <w:r w:rsidRPr="00747170">
        <w:rPr>
          <w:rFonts w:hint="cs"/>
          <w:rtl/>
        </w:rPr>
        <w:t>.</w:t>
      </w:r>
    </w:p>
    <w:p w14:paraId="6F16FBDD" w14:textId="5FC92CE4" w:rsidR="00E439A1" w:rsidRDefault="00E439A1" w:rsidP="00E439A1">
      <w:pPr>
        <w:pStyle w:val="a7"/>
        <w:rPr>
          <w:rtl/>
        </w:rPr>
      </w:pPr>
      <w:bookmarkStart w:id="4384" w:name="_Toc140744104"/>
    </w:p>
    <w:p w14:paraId="43CC1E57" w14:textId="77777777" w:rsidR="00E439A1" w:rsidRPr="00E439A1" w:rsidRDefault="00E439A1" w:rsidP="00E439A1">
      <w:pPr>
        <w:pStyle w:val="a7"/>
        <w:rPr>
          <w:rtl/>
        </w:rPr>
      </w:pPr>
    </w:p>
    <w:p w14:paraId="21021632" w14:textId="12D0CB61" w:rsidR="00274E65" w:rsidRDefault="00274E65" w:rsidP="00274E65">
      <w:pPr>
        <w:pStyle w:val="afffff7"/>
        <w:rPr>
          <w:rtl/>
        </w:rPr>
      </w:pPr>
      <w:bookmarkStart w:id="4385" w:name="_Toc163506052"/>
      <w:r>
        <w:rPr>
          <w:rtl/>
        </w:rPr>
        <w:lastRenderedPageBreak/>
        <w:t>תוספות רי"ד שבת קכ"א ע"ב</w:t>
      </w:r>
      <w:r>
        <w:rPr>
          <w:rFonts w:hint="cs"/>
          <w:rtl/>
        </w:rPr>
        <w:t xml:space="preserve"> ד"ה תשובה</w:t>
      </w:r>
      <w:bookmarkEnd w:id="4384"/>
      <w:bookmarkEnd w:id="4385"/>
    </w:p>
    <w:p w14:paraId="681A503B" w14:textId="77777777" w:rsidR="00274E65" w:rsidRPr="006918F7" w:rsidRDefault="00274E65" w:rsidP="00274E65">
      <w:pPr>
        <w:pStyle w:val="a7"/>
      </w:pPr>
      <w:bookmarkStart w:id="4386" w:name="_Toc140744046"/>
      <w:r>
        <w:rPr>
          <w:rFonts w:hint="cs"/>
          <w:rtl/>
        </w:rPr>
        <w:t>תי' התורי"ד דבשחיטה נוטל נשמה מכל הגוף אבל בפתילה מכבה רק במק"א והשאר משאצל"ג</w:t>
      </w:r>
      <w:bookmarkEnd w:id="4386"/>
    </w:p>
    <w:p w14:paraId="5484DFFE" w14:textId="568DA99A" w:rsidR="00274E65" w:rsidRPr="009D744F" w:rsidRDefault="00274E65" w:rsidP="00BC7DC8">
      <w:pPr>
        <w:pStyle w:val="a3"/>
      </w:pPr>
      <w:bookmarkStart w:id="4387" w:name="_Ref140694911"/>
      <w:r>
        <w:rPr>
          <w:rFonts w:hint="cs"/>
          <w:rtl/>
        </w:rPr>
        <w:t xml:space="preserve">ותירץ </w:t>
      </w:r>
      <w:r w:rsidRPr="00900CB4">
        <w:rPr>
          <w:rStyle w:val="aff4"/>
          <w:rFonts w:hint="cs"/>
          <w:vanish/>
          <w:rtl/>
        </w:rPr>
        <w:t>-</w:t>
      </w:r>
      <w:r w:rsidRPr="008231D6">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Ref140694911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עט)</w:t>
      </w:r>
      <w:r>
        <w:rPr>
          <w:rStyle w:val="aff4"/>
          <w:vanish/>
          <w:rtl/>
        </w:rPr>
        <w:fldChar w:fldCharType="end"/>
      </w:r>
      <w:r>
        <w:rPr>
          <w:rStyle w:val="aff4"/>
          <w:rFonts w:hint="cs"/>
          <w:vanish/>
          <w:rtl/>
        </w:rPr>
        <w:t xml:space="preserve"> &gt;</w:t>
      </w:r>
      <w:r w:rsidRPr="008231D6">
        <w:rPr>
          <w:rStyle w:val="aff4"/>
          <w:rFonts w:hint="cs"/>
          <w:rtl/>
        </w:rPr>
        <w:t>תוס' רי"ד</w:t>
      </w:r>
      <w:r w:rsidRPr="00900CB4">
        <w:rPr>
          <w:rStyle w:val="aff4"/>
          <w:rFonts w:hint="cs"/>
          <w:vanish/>
          <w:rtl/>
        </w:rPr>
        <w:t>-</w:t>
      </w:r>
      <w:r>
        <w:rPr>
          <w:rFonts w:hint="cs"/>
          <w:rtl/>
        </w:rPr>
        <w:t xml:space="preserve"> </w:t>
      </w:r>
      <w:r w:rsidRPr="00371859">
        <w:rPr>
          <w:rStyle w:val="af2"/>
          <w:rFonts w:eastAsia="Guttman Hodes" w:hint="cs"/>
          <w:rtl/>
        </w:rPr>
        <w:t xml:space="preserve">(קכא: ד"ה </w:t>
      </w:r>
      <w:r>
        <w:rPr>
          <w:rStyle w:val="af2"/>
          <w:rFonts w:eastAsia="Guttman Hodes" w:hint="cs"/>
          <w:rtl/>
        </w:rPr>
        <w:t>תשובה</w:t>
      </w:r>
      <w:r w:rsidRPr="00371859">
        <w:rPr>
          <w:rStyle w:val="af2"/>
          <w:rFonts w:eastAsia="Guttman Hodes" w:hint="cs"/>
          <w:rtl/>
        </w:rPr>
        <w:t>)</w:t>
      </w:r>
      <w:r w:rsidRPr="00900CB4">
        <w:rPr>
          <w:rFonts w:hint="cs"/>
          <w:vanish/>
          <w:rtl/>
        </w:rPr>
        <w:t>=</w:t>
      </w:r>
      <w:r>
        <w:rPr>
          <w:rFonts w:hint="cs"/>
          <w:rtl/>
        </w:rPr>
        <w:t xml:space="preserve"> דהחיוב בשחיטה אינו על מקום הצואר אלא על נטילת הנשמה שנוטלה מכל הגוף, ולכן כל שיש לו צורך בבשר או בעור או בדם הוי מלאכה שצריכה לגופה, משא"כ בפתילה דהלהבה אינה מתפשטת בכל הפתילה, ולכן המלאכה היא רק במקום שהלהבה דולקת, ובכיבוי דחס על שאר הפתילה הוי מלאכה שאינה צריכה לגופה,</w:t>
      </w:r>
      <w:r w:rsidRPr="007C4A9E">
        <w:rPr>
          <w:rStyle w:val="af"/>
          <w:rFonts w:hint="cs"/>
          <w:rtl/>
        </w:rPr>
        <w:t xml:space="preserve"> </w:t>
      </w:r>
      <w:r w:rsidRPr="00D54D2C">
        <w:rPr>
          <w:rStyle w:val="af"/>
          <w:rFonts w:hint="cs"/>
          <w:rtl/>
        </w:rPr>
        <w:t xml:space="preserve">[והיינו דס"ל </w:t>
      </w:r>
      <w:r w:rsidRPr="00D54D2C">
        <w:rPr>
          <w:rStyle w:val="aff9"/>
          <w:rFonts w:hint="cs"/>
          <w:vanish/>
          <w:rtl/>
        </w:rPr>
        <w:t>-</w:t>
      </w:r>
      <w:r w:rsidRPr="00D54D2C">
        <w:rPr>
          <w:rStyle w:val="aff9"/>
          <w:rFonts w:hint="cs"/>
          <w:rtl/>
        </w:rPr>
        <w:t>להתוס' רי"ד</w:t>
      </w:r>
      <w:r w:rsidRPr="00D54D2C">
        <w:rPr>
          <w:rStyle w:val="aff9"/>
          <w:rFonts w:hint="cs"/>
          <w:vanish/>
          <w:rtl/>
        </w:rPr>
        <w:t>-</w:t>
      </w:r>
      <w:r w:rsidRPr="00D54D2C">
        <w:rPr>
          <w:rStyle w:val="af"/>
          <w:rFonts w:hint="cs"/>
          <w:rtl/>
        </w:rPr>
        <w:t xml:space="preserve"> דגדר מלאכה שאינה צריכה לגופה תלוי בצורך של הדבר עצמו אם צריך לו, ולא בצורך של המלאכה, </w:t>
      </w:r>
      <w:r>
        <w:rPr>
          <w:rStyle w:val="af"/>
          <w:rFonts w:hint="cs"/>
          <w:rtl/>
        </w:rPr>
        <w:t>הוצרך לבאר דהמעשה דנטילת נשמה הוא בכל הגוף, וכל צורך שיש בגוף הוי מלאכה שצריכה לגופה</w:t>
      </w:r>
      <w:r w:rsidRPr="00D54D2C">
        <w:rPr>
          <w:rStyle w:val="af"/>
          <w:rFonts w:hint="cs"/>
          <w:rtl/>
        </w:rPr>
        <w:t>]</w:t>
      </w:r>
      <w:r>
        <w:rPr>
          <w:rStyle w:val="af"/>
          <w:rFonts w:hint="cs"/>
          <w:rtl/>
        </w:rPr>
        <w:t>,</w:t>
      </w:r>
      <w:r w:rsidRPr="00BE47F8">
        <w:rPr>
          <w:rFonts w:hint="cs"/>
          <w:rtl/>
        </w:rPr>
        <w:t xml:space="preserve"> </w:t>
      </w:r>
      <w:r>
        <w:rPr>
          <w:rFonts w:hint="cs"/>
          <w:rtl/>
        </w:rPr>
        <w:t xml:space="preserve">ובדעת ר"י דמחייב בהריגת המזיקין, ביאר </w:t>
      </w:r>
      <w:r w:rsidRPr="00900CB4">
        <w:rPr>
          <w:rStyle w:val="aff4"/>
          <w:rFonts w:hint="cs"/>
          <w:vanish/>
          <w:rtl/>
        </w:rPr>
        <w:t>-</w:t>
      </w:r>
      <w:r w:rsidRPr="008231D6">
        <w:rPr>
          <w:rStyle w:val="aff4"/>
          <w:rFonts w:hint="cs"/>
          <w:rtl/>
        </w:rPr>
        <w:t>התוס' רי"ד</w:t>
      </w:r>
      <w:r w:rsidRPr="00900CB4">
        <w:rPr>
          <w:rStyle w:val="aff4"/>
          <w:rFonts w:hint="cs"/>
          <w:vanish/>
          <w:rtl/>
        </w:rPr>
        <w:t>-</w:t>
      </w:r>
      <w:r>
        <w:rPr>
          <w:rFonts w:hint="cs"/>
          <w:rtl/>
        </w:rPr>
        <w:t xml:space="preserve"> דהיא מלאכה שאינה צריכה לגופה ואף דהוא מקלקל מ"מ מחייב ר"י במקלקל בחבורה כדילפינן ממילה ושריפת בת כהן. </w:t>
      </w:r>
      <w:r w:rsidRPr="00900CB4">
        <w:rPr>
          <w:rStyle w:val="af"/>
          <w:rFonts w:hint="cs"/>
          <w:rtl/>
        </w:rPr>
        <w:t xml:space="preserve">[כדביאר </w:t>
      </w:r>
      <w:r w:rsidRPr="00900CB4">
        <w:rPr>
          <w:rStyle w:val="aff9"/>
          <w:rFonts w:hint="cs"/>
          <w:vanish/>
          <w:rtl/>
        </w:rPr>
        <w:t>-</w:t>
      </w:r>
      <w:r w:rsidRPr="00900CB4">
        <w:rPr>
          <w:rStyle w:val="aff9"/>
          <w:rFonts w:hint="cs"/>
          <w:rtl/>
        </w:rPr>
        <w:t>התוס' רי"ד</w:t>
      </w:r>
      <w:r w:rsidRPr="00900CB4">
        <w:rPr>
          <w:rStyle w:val="aff9"/>
          <w:rFonts w:hint="cs"/>
          <w:vanish/>
          <w:rtl/>
        </w:rPr>
        <w:t>-</w:t>
      </w:r>
      <w:r w:rsidRPr="00900CB4">
        <w:rPr>
          <w:rStyle w:val="af"/>
          <w:rFonts w:hint="cs"/>
          <w:rtl/>
        </w:rPr>
        <w:t xml:space="preserve"> </w:t>
      </w:r>
      <w:r w:rsidRPr="00371859">
        <w:rPr>
          <w:rStyle w:val="af2"/>
          <w:rFonts w:eastAsia="Guttman Rashi" w:hint="cs"/>
          <w:rtl/>
        </w:rPr>
        <w:t xml:space="preserve">(עי' אות </w:t>
      </w:r>
      <w:r w:rsidRPr="00371859">
        <w:rPr>
          <w:rStyle w:val="af2"/>
          <w:rFonts w:eastAsia="Guttman Rashi"/>
          <w:rtl/>
        </w:rPr>
        <w:fldChar w:fldCharType="begin"/>
      </w:r>
      <w:r w:rsidRPr="00371859">
        <w:rPr>
          <w:rStyle w:val="af2"/>
          <w:rFonts w:eastAsia="Guttman Rashi"/>
          <w:rtl/>
        </w:rPr>
        <w:instrText xml:space="preserve"> </w:instrText>
      </w:r>
      <w:r w:rsidRPr="00371859">
        <w:rPr>
          <w:rStyle w:val="af2"/>
          <w:rFonts w:eastAsia="Guttman Rashi" w:hint="cs"/>
        </w:rPr>
        <w:instrText>REF</w:instrText>
      </w:r>
      <w:r w:rsidRPr="00371859">
        <w:rPr>
          <w:rStyle w:val="af2"/>
          <w:rFonts w:eastAsia="Guttman Rashi" w:hint="cs"/>
          <w:rtl/>
        </w:rPr>
        <w:instrText xml:space="preserve"> _</w:instrText>
      </w:r>
      <w:r w:rsidRPr="00371859">
        <w:rPr>
          <w:rStyle w:val="af2"/>
          <w:rFonts w:eastAsia="Guttman Rashi" w:hint="cs"/>
        </w:rPr>
        <w:instrText>Ref140221933 \r \h</w:instrText>
      </w:r>
      <w:r w:rsidRPr="00371859">
        <w:rPr>
          <w:rStyle w:val="af2"/>
          <w:rFonts w:eastAsia="Guttman Rashi"/>
          <w:rtl/>
        </w:rPr>
        <w:instrText xml:space="preserve"> </w:instrText>
      </w:r>
      <w:r w:rsidRPr="00371859">
        <w:rPr>
          <w:rStyle w:val="af2"/>
          <w:rFonts w:eastAsia="Guttman Rashi"/>
          <w:rtl/>
        </w:rPr>
      </w:r>
      <w:r w:rsidRPr="00371859">
        <w:rPr>
          <w:rStyle w:val="af2"/>
          <w:rFonts w:eastAsia="Guttman Rashi"/>
          <w:rtl/>
        </w:rPr>
        <w:fldChar w:fldCharType="separate"/>
      </w:r>
      <w:r w:rsidR="00D82181">
        <w:rPr>
          <w:rStyle w:val="af2"/>
          <w:rFonts w:eastAsia="Guttman Rashi"/>
          <w:cs/>
        </w:rPr>
        <w:t>‎</w:t>
      </w:r>
      <w:r w:rsidR="00D82181">
        <w:rPr>
          <w:rStyle w:val="af2"/>
          <w:rFonts w:eastAsia="Guttman Rashi"/>
          <w:rtl/>
        </w:rPr>
        <w:t>עו)</w:t>
      </w:r>
      <w:r w:rsidRPr="00371859">
        <w:rPr>
          <w:rStyle w:val="af2"/>
          <w:rFonts w:eastAsia="Guttman Rashi"/>
          <w:rtl/>
        </w:rPr>
        <w:fldChar w:fldCharType="end"/>
      </w:r>
      <w:r w:rsidRPr="00900CB4">
        <w:rPr>
          <w:rStyle w:val="af"/>
          <w:rFonts w:hint="cs"/>
          <w:rtl/>
        </w:rPr>
        <w:t xml:space="preserve"> דגרסי' ר"י מחייב ור"ש פוטר]</w:t>
      </w:r>
      <w:r>
        <w:rPr>
          <w:rFonts w:hint="cs"/>
          <w:rtl/>
        </w:rPr>
        <w:t>.</w:t>
      </w:r>
      <w:bookmarkEnd w:id="4387"/>
      <w:r>
        <w:rPr>
          <w:rFonts w:hint="cs"/>
          <w:rtl/>
        </w:rPr>
        <w:t xml:space="preserve"> </w:t>
      </w:r>
    </w:p>
    <w:p w14:paraId="0891F715" w14:textId="77777777" w:rsidR="00274E65" w:rsidRPr="00747170" w:rsidRDefault="00274E65" w:rsidP="00747170">
      <w:pPr>
        <w:pStyle w:val="a2"/>
      </w:pPr>
      <w:r w:rsidRPr="00747170">
        <w:rPr>
          <w:rtl/>
        </w:rPr>
        <w:t>תשובה השוחט את הבהמה אף על פי שבמקום הצוואר שחט הנשמה הוא נוטל מכל הגוף והילכך אם צריך לבשר או לעור או לדם הויא מלאכה הצריכה לגופא שלאותו מקום שהוא נוטל הנשמה משם הוא צריך שהנשמה מתפשטת בכל הבשר והעור והדם אבל הלהבה שבראש הפתילה אינה מתפשטת בכל הפתילה אלא במקום שהיא דולקת הילכך אם הוא צריך למקום שכיבה דהיינו במקום שהיא דולקת שהי' צריך להבהבה כדאמרן התם בפ' במה מדליקין שהוא עושה פחם הויא לה מלאכה שהיא צריכה לגופה ודמי לכיבוי דפחמין אבל אם אינו צריך למקום שהיתה דולקת הלהבה אלא כדי לחוס על השאר הויא לה מלאכה שאצ"ל</w:t>
      </w:r>
      <w:r w:rsidRPr="00747170">
        <w:rPr>
          <w:rFonts w:hint="cs"/>
          <w:rtl/>
        </w:rPr>
        <w:t xml:space="preserve">, </w:t>
      </w:r>
      <w:r w:rsidRPr="00747170">
        <w:rPr>
          <w:rtl/>
        </w:rPr>
        <w:t>ור' יהודא דמחייב בכל מלאכה שא"צ לגופא ה"נ הוה מחייב בכל נטילת נשמה אף על פי שאין לו צורך באותה נטילת נשמה כלל שא"צ לא לעור ולא לבשר ולא לדם. ומשום דנטילת נשימה הויא קלקול ולא דמיא לכל המלאכות דהויין תיקון ואית לי' לר' יהודא דכל המקלקלין פטורין שאם עקר נטיעה בלי צורך שלא הי' צריך לא לעצי' ולא לפריו אף על גב דתלש מן המחובר פטור מפני שהוא מקלקל וה"נ בנטילת נשמה היכא דהויא שלא לצורך הוי' קלקול וליפטר להכי איצטריך למיתב טעמא לר' יהודא דיליף לה ממילה ומהבערה דבת כהן וגזירת מלך היא דאע"ג דכל המקלקלין פטורין מקלקל דחבורה ודהבערה חייב. וה"נ בהריגת המזיקין א"צ לא לעורן ולא לבשרן ולא לדמן. הילכך לר"ש הו"ל נטילת נשמה דידהו מלאכה שאצ"ל ופטור ולר' יהודא כיון דאיכא נטילת נשמה אף על גב דאינה צריכה לגופא חייב.</w:t>
      </w:r>
    </w:p>
    <w:p w14:paraId="62C09201" w14:textId="405AD1C6" w:rsidR="00274E65" w:rsidRDefault="00274E65" w:rsidP="00274E65">
      <w:pPr>
        <w:pStyle w:val="afffff7"/>
        <w:rPr>
          <w:rtl/>
        </w:rPr>
      </w:pPr>
      <w:bookmarkStart w:id="4388" w:name="_Toc140744105"/>
      <w:bookmarkStart w:id="4389" w:name="_Toc163506053"/>
      <w:r>
        <w:rPr>
          <w:rtl/>
        </w:rPr>
        <w:t>תוספות רי"ד שבת קכ"א ע"ב</w:t>
      </w:r>
      <w:r>
        <w:rPr>
          <w:rFonts w:hint="cs"/>
          <w:rtl/>
        </w:rPr>
        <w:t xml:space="preserve"> ד"ה ומאי דאמרן</w:t>
      </w:r>
      <w:bookmarkEnd w:id="4388"/>
      <w:bookmarkEnd w:id="4389"/>
    </w:p>
    <w:p w14:paraId="10AE251B" w14:textId="77777777" w:rsidR="00274E65" w:rsidRDefault="00274E65" w:rsidP="00274E65">
      <w:pPr>
        <w:pStyle w:val="a7"/>
        <w:rPr>
          <w:rtl/>
        </w:rPr>
      </w:pPr>
      <w:bookmarkStart w:id="4390" w:name="_Toc140744047"/>
      <w:r>
        <w:rPr>
          <w:rFonts w:hint="cs"/>
          <w:rtl/>
        </w:rPr>
        <w:t>בי' התורי"ד דזומר וא"צ לעצים לר"י חייב ב' דל"ה קלקול ומשאצל"ג ולר"ש רק בצריך לעצים</w:t>
      </w:r>
      <w:bookmarkEnd w:id="4390"/>
    </w:p>
    <w:p w14:paraId="03D23023" w14:textId="26894095" w:rsidR="00274E65" w:rsidRPr="00BE47F8" w:rsidRDefault="00274E65" w:rsidP="00BC7DC8">
      <w:pPr>
        <w:pStyle w:val="a3"/>
      </w:pPr>
      <w:bookmarkStart w:id="4391" w:name="_Ref140694992"/>
      <w:r>
        <w:rPr>
          <w:rFonts w:hint="cs"/>
          <w:rtl/>
        </w:rPr>
        <w:t xml:space="preserve">וכתב </w:t>
      </w:r>
      <w:r w:rsidRPr="00900CB4">
        <w:rPr>
          <w:rStyle w:val="aff4"/>
          <w:rFonts w:hint="cs"/>
          <w:vanish/>
          <w:rtl/>
        </w:rPr>
        <w:t>-</w:t>
      </w:r>
      <w:r w:rsidRPr="008231D6">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Ref140694992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פ)</w:t>
      </w:r>
      <w:r>
        <w:rPr>
          <w:rStyle w:val="aff4"/>
          <w:vanish/>
          <w:rtl/>
        </w:rPr>
        <w:fldChar w:fldCharType="end"/>
      </w:r>
      <w:r>
        <w:rPr>
          <w:rStyle w:val="aff4"/>
          <w:rFonts w:hint="cs"/>
          <w:vanish/>
          <w:rtl/>
        </w:rPr>
        <w:t xml:space="preserve"> &gt;</w:t>
      </w:r>
      <w:r w:rsidRPr="008231D6">
        <w:rPr>
          <w:rStyle w:val="aff4"/>
          <w:rFonts w:hint="cs"/>
          <w:rtl/>
        </w:rPr>
        <w:t>תוס' רי"ד</w:t>
      </w:r>
      <w:r w:rsidRPr="00900CB4">
        <w:rPr>
          <w:rStyle w:val="aff4"/>
          <w:rFonts w:hint="cs"/>
          <w:vanish/>
          <w:rtl/>
        </w:rPr>
        <w:t>-</w:t>
      </w:r>
      <w:r>
        <w:rPr>
          <w:rFonts w:hint="cs"/>
          <w:rtl/>
        </w:rPr>
        <w:t xml:space="preserve"> </w:t>
      </w:r>
      <w:r w:rsidRPr="00371859">
        <w:rPr>
          <w:rStyle w:val="af2"/>
          <w:rFonts w:eastAsia="Guttman Hodes" w:hint="cs"/>
          <w:rtl/>
        </w:rPr>
        <w:t xml:space="preserve">(קכא: ד"ה </w:t>
      </w:r>
      <w:r>
        <w:rPr>
          <w:rStyle w:val="af2"/>
          <w:rFonts w:eastAsia="Guttman Hodes" w:hint="cs"/>
          <w:rtl/>
        </w:rPr>
        <w:t>ומאי דאמרן</w:t>
      </w:r>
      <w:r w:rsidRPr="00371859">
        <w:rPr>
          <w:rStyle w:val="af2"/>
          <w:rFonts w:eastAsia="Guttman Hodes" w:hint="cs"/>
          <w:rtl/>
        </w:rPr>
        <w:t>)</w:t>
      </w:r>
      <w:r w:rsidRPr="00900CB4">
        <w:rPr>
          <w:rFonts w:hint="cs"/>
          <w:vanish/>
          <w:rtl/>
        </w:rPr>
        <w:t>=</w:t>
      </w:r>
      <w:r>
        <w:rPr>
          <w:rFonts w:hint="cs"/>
          <w:rtl/>
        </w:rPr>
        <w:t xml:space="preserve"> דהא דאיתא בגמ' </w:t>
      </w:r>
      <w:r w:rsidRPr="00371859">
        <w:rPr>
          <w:rStyle w:val="af2"/>
          <w:rFonts w:eastAsia="Guttman Hodes" w:hint="cs"/>
          <w:rtl/>
        </w:rPr>
        <w:t>(עג:)</w:t>
      </w:r>
      <w:r>
        <w:rPr>
          <w:rFonts w:hint="cs"/>
          <w:rtl/>
        </w:rPr>
        <w:t xml:space="preserve"> דזומר חייב שתים משום זומר וקוצר רק בצריך לעצים, היינו רק לר"ש, אבל לר"י חייב שתים דכיון שתלש ממחובר חייב משום קוצר אף שא"צ את העצים, דהא המלאכה אינה מלאכת קלקול, ורק בקוטם נטיעה בלי שום צורך פטור משום מקלקל, ולר"ש בא"צ לעצים לא חייב בקוצר, דהוא מלאכה שאינה צריכה לגופה. </w:t>
      </w:r>
      <w:r w:rsidRPr="00900CB4">
        <w:rPr>
          <w:rStyle w:val="af"/>
          <w:rFonts w:hint="cs"/>
          <w:rtl/>
        </w:rPr>
        <w:t xml:space="preserve">[ודלא </w:t>
      </w:r>
      <w:r w:rsidRPr="00900CB4">
        <w:rPr>
          <w:rStyle w:val="aff9"/>
          <w:rFonts w:hint="cs"/>
          <w:vanish/>
          <w:rtl/>
        </w:rPr>
        <w:t>-</w:t>
      </w:r>
      <w:r w:rsidRPr="00900CB4">
        <w:rPr>
          <w:rStyle w:val="aff9"/>
          <w:rFonts w:hint="cs"/>
          <w:rtl/>
        </w:rPr>
        <w:t>כתוס'</w:t>
      </w:r>
      <w:r w:rsidRPr="00900CB4">
        <w:rPr>
          <w:rStyle w:val="aff9"/>
          <w:rFonts w:hint="cs"/>
          <w:vanish/>
          <w:rtl/>
        </w:rPr>
        <w:t>-</w:t>
      </w:r>
      <w:r w:rsidRPr="00900CB4">
        <w:rPr>
          <w:rStyle w:val="af"/>
          <w:rFonts w:hint="cs"/>
          <w:rtl/>
        </w:rPr>
        <w:t xml:space="preserve"> </w:t>
      </w:r>
      <w:r w:rsidRPr="00371859">
        <w:rPr>
          <w:rStyle w:val="af2"/>
          <w:rFonts w:eastAsia="Guttman Rashi" w:hint="cs"/>
          <w:rtl/>
        </w:rPr>
        <w:t>(עג: ד"ה וצריך)</w:t>
      </w:r>
      <w:r w:rsidRPr="00900CB4">
        <w:rPr>
          <w:rStyle w:val="af"/>
          <w:rFonts w:hint="cs"/>
          <w:rtl/>
        </w:rPr>
        <w:t xml:space="preserve"> דכתבו דאף לר"י חייב שתיים רק בצריך לעצים]</w:t>
      </w:r>
      <w:r>
        <w:rPr>
          <w:rFonts w:hint="cs"/>
          <w:rtl/>
        </w:rPr>
        <w:t>.</w:t>
      </w:r>
      <w:bookmarkEnd w:id="4391"/>
    </w:p>
    <w:p w14:paraId="318D7274" w14:textId="77777777" w:rsidR="00274E65" w:rsidRPr="00747170" w:rsidRDefault="00274E65" w:rsidP="00747170">
      <w:pPr>
        <w:pStyle w:val="a2"/>
        <w:rPr>
          <w:rtl/>
        </w:rPr>
      </w:pPr>
      <w:r w:rsidRPr="00747170">
        <w:rPr>
          <w:rtl/>
        </w:rPr>
        <w:t>ומאי דאמרן בפ' כלל גדול הזומר וצריך לעצים חייב שתים אחת משום נוטע ואחת משום קוצר האי דבעי' צריך לעצים לחיובי' משום קוצר נ"ל דלא אתיא אלא כר"ש אבל לר' יהודא אף על גב דא"צ לעצים (חייב) משום קוצר דהא תלש מן המחובר ואין זה קלקול אלא מלאכה ואף על פי שא"צ לה לתלישה זו הוא חייב משום קוצר בודאי אם היתה התלישה קלקול כגון שקטם נטיעה בלי שום צורך שלא הי' צריך לא לעצים ולא פירותיה הוה פטר ר' יהודא מפני שהוא מקלקל ור"י ס"ל כל המקלקלין פטורין חוץ מחובל ומבעיר דיליף ממילה ומבת כהן ואלו הי' צריך לעצי' או לפירות' כגון שהיו פירות בראשה ולא הי' מגיע אליהן וקטמה כדי לטלטלן אף על פי שאין עצים ופירותי' שוין אלא פרוטה והנטיעה יפה כמה סלעים חייב בין לר' יהודא בין לר' שמעון שכיון שהוא צריך לאותה התלישה מלאכה הצריכה לגופה היא. ואלו תלש עצים ולא הי' צריך להן אין זה קלקול אלא תיקון או זומר דהוי נוטע או לייפות את הקרקע דהוי חורש הוי פלוגתא דר"ש ור' יהודא דלר"ש פטור משום קוצר כיון שא"צ למה שתלש ולר' יהודא חייב נמי משום קוצר אף על פי שא"צ לאותם עצים שתלש כיון שתלישה זו אינה קלקול אלא תיקון הרי מלאכת הקצירה עשויה עיין בפ' אלו הן הנחנקין במהדורא רביעאה:</w:t>
      </w:r>
    </w:p>
    <w:p w14:paraId="1A6C8769" w14:textId="4A2A10B9" w:rsidR="00274E65" w:rsidRDefault="00274E65" w:rsidP="00274E65">
      <w:pPr>
        <w:pStyle w:val="1"/>
        <w:rPr>
          <w:rtl/>
        </w:rPr>
      </w:pPr>
      <w:bookmarkStart w:id="4392" w:name="_Toc140744048"/>
      <w:r>
        <w:rPr>
          <w:rFonts w:hint="cs"/>
          <w:rtl/>
        </w:rPr>
        <w:t>בי' היראים דצל"ג במכוון לשם מלאכה ויש צורך בגוף הדבר</w:t>
      </w:r>
      <w:bookmarkEnd w:id="4392"/>
    </w:p>
    <w:p w14:paraId="5093949F" w14:textId="77777777" w:rsidR="00274E65" w:rsidRDefault="00274E65" w:rsidP="00274E65">
      <w:pPr>
        <w:pStyle w:val="afffff7"/>
        <w:rPr>
          <w:rtl/>
        </w:rPr>
      </w:pPr>
      <w:bookmarkStart w:id="4393" w:name="_Toc140744106"/>
      <w:bookmarkStart w:id="4394" w:name="_Toc163506054"/>
      <w:r>
        <w:rPr>
          <w:rtl/>
        </w:rPr>
        <w:t>ספר יראים סי</w:t>
      </w:r>
      <w:r>
        <w:rPr>
          <w:rFonts w:hint="cs"/>
          <w:rtl/>
        </w:rPr>
        <w:t>'</w:t>
      </w:r>
      <w:r>
        <w:rPr>
          <w:rtl/>
        </w:rPr>
        <w:t xml:space="preserve"> רע</w:t>
      </w:r>
      <w:r>
        <w:rPr>
          <w:rFonts w:hint="cs"/>
          <w:rtl/>
        </w:rPr>
        <w:t>"</w:t>
      </w:r>
      <w:r>
        <w:rPr>
          <w:rtl/>
        </w:rPr>
        <w:t xml:space="preserve">ד </w:t>
      </w:r>
      <w:r>
        <w:rPr>
          <w:rFonts w:hint="cs"/>
          <w:rtl/>
        </w:rPr>
        <w:t>ד</w:t>
      </w:r>
      <w:r>
        <w:rPr>
          <w:rFonts w:cs="Guttman Hodes" w:hint="cs"/>
          <w:rtl/>
        </w:rPr>
        <w:t>"</w:t>
      </w:r>
      <w:r>
        <w:rPr>
          <w:rFonts w:hint="cs"/>
          <w:rtl/>
        </w:rPr>
        <w:t>ה המכבה</w:t>
      </w:r>
      <w:bookmarkEnd w:id="4393"/>
      <w:bookmarkEnd w:id="4394"/>
    </w:p>
    <w:p w14:paraId="48B96A8F" w14:textId="77777777" w:rsidR="00274E65" w:rsidRDefault="00274E65" w:rsidP="00274E65">
      <w:pPr>
        <w:pStyle w:val="a7"/>
        <w:rPr>
          <w:rtl/>
        </w:rPr>
      </w:pPr>
      <w:bookmarkStart w:id="4395" w:name="_Toc140744049"/>
      <w:r>
        <w:rPr>
          <w:rFonts w:hint="cs"/>
          <w:rtl/>
        </w:rPr>
        <w:t>בי' היראים דמשאצל"ג היינו כשאין לו כוונה וצורך לדבר שגורם למעשהו להקרא מלאכה</w:t>
      </w:r>
      <w:bookmarkEnd w:id="4395"/>
    </w:p>
    <w:p w14:paraId="0C39BEC7" w14:textId="30BC8561" w:rsidR="00274E65" w:rsidRDefault="00274E65" w:rsidP="00BC7DC8">
      <w:pPr>
        <w:pStyle w:val="a3"/>
      </w:pPr>
      <w:bookmarkStart w:id="4396" w:name="_Ref140354483"/>
      <w:r>
        <w:rPr>
          <w:rFonts w:hint="cs"/>
          <w:rtl/>
        </w:rPr>
        <w:t xml:space="preserve">כתב </w:t>
      </w:r>
      <w:r w:rsidRPr="00D04E6D">
        <w:rPr>
          <w:rStyle w:val="aff4"/>
          <w:rFonts w:hint="cs"/>
          <w:vanish/>
          <w:rtl/>
        </w:rPr>
        <w:t>-</w:t>
      </w:r>
      <w:r w:rsidRPr="00D04E6D">
        <w:rPr>
          <w:rStyle w:val="aff4"/>
          <w:rFonts w:hint="cs"/>
          <w:rtl/>
        </w:rPr>
        <w:t>ה</w:t>
      </w:r>
      <w:r w:rsidRPr="00D04E6D">
        <w:rPr>
          <w:rStyle w:val="aff4"/>
          <w:rFonts w:hint="cs"/>
          <w:vanish/>
          <w:rtl/>
        </w:rPr>
        <w:t xml:space="preserve">&lt;, </w:t>
      </w:r>
      <w:r w:rsidRPr="00D04E6D">
        <w:rPr>
          <w:rStyle w:val="aff4"/>
          <w:vanish/>
          <w:rtl/>
        </w:rPr>
        <w:fldChar w:fldCharType="begin"/>
      </w:r>
      <w:r w:rsidRPr="00D04E6D">
        <w:rPr>
          <w:rStyle w:val="aff4"/>
          <w:vanish/>
          <w:rtl/>
        </w:rPr>
        <w:instrText xml:space="preserve"> </w:instrText>
      </w:r>
      <w:r w:rsidRPr="00D04E6D">
        <w:rPr>
          <w:rStyle w:val="aff4"/>
          <w:rFonts w:hint="cs"/>
          <w:vanish/>
        </w:rPr>
        <w:instrText>REF</w:instrText>
      </w:r>
      <w:r w:rsidRPr="00D04E6D">
        <w:rPr>
          <w:rStyle w:val="aff4"/>
          <w:rFonts w:hint="cs"/>
          <w:vanish/>
          <w:rtl/>
        </w:rPr>
        <w:instrText xml:space="preserve"> _</w:instrText>
      </w:r>
      <w:r w:rsidRPr="00D04E6D">
        <w:rPr>
          <w:rStyle w:val="aff4"/>
          <w:rFonts w:hint="cs"/>
          <w:vanish/>
        </w:rPr>
        <w:instrText>Ref140354483 \r \h</w:instrText>
      </w:r>
      <w:r w:rsidRPr="00D04E6D">
        <w:rPr>
          <w:rStyle w:val="aff4"/>
          <w:vanish/>
          <w:rtl/>
        </w:rPr>
        <w:instrText xml:space="preserve"> </w:instrText>
      </w:r>
      <w:r w:rsidRPr="00D04E6D">
        <w:rPr>
          <w:rStyle w:val="aff4"/>
          <w:vanish/>
          <w:rtl/>
        </w:rPr>
      </w:r>
      <w:r w:rsidRPr="00D04E6D">
        <w:rPr>
          <w:rStyle w:val="aff4"/>
          <w:vanish/>
          <w:rtl/>
        </w:rPr>
        <w:fldChar w:fldCharType="separate"/>
      </w:r>
      <w:r w:rsidR="00D82181">
        <w:rPr>
          <w:rStyle w:val="aff4"/>
          <w:vanish/>
          <w:cs/>
        </w:rPr>
        <w:t>‎</w:t>
      </w:r>
      <w:r w:rsidR="00D82181">
        <w:rPr>
          <w:rStyle w:val="aff4"/>
          <w:vanish/>
          <w:rtl/>
        </w:rPr>
        <w:t>פא)</w:t>
      </w:r>
      <w:r w:rsidRPr="00D04E6D">
        <w:rPr>
          <w:rStyle w:val="aff4"/>
          <w:vanish/>
          <w:rtl/>
        </w:rPr>
        <w:fldChar w:fldCharType="end"/>
      </w:r>
      <w:r w:rsidRPr="00D04E6D">
        <w:rPr>
          <w:rStyle w:val="aff4"/>
          <w:rFonts w:hint="cs"/>
          <w:vanish/>
          <w:rtl/>
        </w:rPr>
        <w:t xml:space="preserve"> &gt;</w:t>
      </w:r>
      <w:r w:rsidRPr="00D04E6D">
        <w:rPr>
          <w:rStyle w:val="aff4"/>
          <w:rFonts w:hint="cs"/>
          <w:rtl/>
        </w:rPr>
        <w:t>יראים</w:t>
      </w:r>
      <w:r w:rsidRPr="00D04E6D">
        <w:rPr>
          <w:rStyle w:val="aff4"/>
          <w:rFonts w:hint="cs"/>
          <w:vanish/>
          <w:rtl/>
        </w:rPr>
        <w:t>-</w:t>
      </w:r>
      <w:r>
        <w:rPr>
          <w:rFonts w:hint="cs"/>
          <w:rtl/>
        </w:rPr>
        <w:t xml:space="preserve"> </w:t>
      </w:r>
      <w:r w:rsidRPr="00371859">
        <w:rPr>
          <w:rStyle w:val="af2"/>
          <w:rFonts w:eastAsia="Guttman Hodes" w:hint="cs"/>
          <w:rtl/>
        </w:rPr>
        <w:t xml:space="preserve">(סי' רע"ד ד"ה המכבה, הועתק בקובץ שיטות קמאי שבת ח"ג עמ' </w:t>
      </w:r>
      <w:r w:rsidRPr="00371859">
        <w:rPr>
          <w:rStyle w:val="af2"/>
          <w:rFonts w:eastAsia="Guttman Hodes"/>
          <w:rtl/>
        </w:rPr>
        <w:t>אלף תרנ</w:t>
      </w:r>
      <w:r w:rsidRPr="00371859">
        <w:rPr>
          <w:rStyle w:val="af2"/>
          <w:rFonts w:eastAsia="Guttman Hodes" w:hint="cs"/>
          <w:rtl/>
        </w:rPr>
        <w:t>"</w:t>
      </w:r>
      <w:r w:rsidRPr="00371859">
        <w:rPr>
          <w:rStyle w:val="af2"/>
          <w:rFonts w:eastAsia="Guttman Hodes"/>
          <w:rtl/>
        </w:rPr>
        <w:t>ח</w:t>
      </w:r>
      <w:r w:rsidRPr="00371859">
        <w:rPr>
          <w:rStyle w:val="af2"/>
          <w:rFonts w:eastAsia="Guttman Hodes" w:hint="cs"/>
          <w:rtl/>
        </w:rPr>
        <w:t>)</w:t>
      </w:r>
      <w:r w:rsidRPr="00D04E6D">
        <w:rPr>
          <w:rFonts w:hint="cs"/>
          <w:vanish/>
          <w:rtl/>
        </w:rPr>
        <w:t>=</w:t>
      </w:r>
      <w:r>
        <w:rPr>
          <w:rFonts w:hint="cs"/>
          <w:rtl/>
        </w:rPr>
        <w:t xml:space="preserve"> דמלאכה שאינה צריכה לגופה שנחלקו בה ר"י ור"ש, היינו כל שאינו צריך ומתכוון לגוף אותו הדבר שגורם לקרות לזה מלאכה</w:t>
      </w:r>
      <w:bookmarkEnd w:id="4396"/>
      <w:r>
        <w:rPr>
          <w:rFonts w:hint="cs"/>
          <w:rtl/>
        </w:rPr>
        <w:t>.</w:t>
      </w:r>
    </w:p>
    <w:p w14:paraId="1E588F11" w14:textId="77777777" w:rsidR="00274E65" w:rsidRPr="00747170" w:rsidRDefault="00274E65" w:rsidP="00747170">
      <w:pPr>
        <w:pStyle w:val="a2"/>
        <w:rPr>
          <w:rtl/>
        </w:rPr>
      </w:pPr>
      <w:r w:rsidRPr="00747170">
        <w:rPr>
          <w:rtl/>
        </w:rPr>
        <w:t>פי' מלאכה שאינה צריכה לגופה דפליגי בה ר"ש ור"י הכי הוא אינו צריך ומתכוון לגוף אותו דבר שגורם להקרות מלאכה</w:t>
      </w:r>
      <w:r w:rsidRPr="00747170">
        <w:rPr>
          <w:rFonts w:hint="cs"/>
          <w:rtl/>
        </w:rPr>
        <w:t>.</w:t>
      </w:r>
    </w:p>
    <w:p w14:paraId="4675508C" w14:textId="7022FC5C" w:rsidR="00274E65" w:rsidRPr="00B47541" w:rsidRDefault="00274E65" w:rsidP="00274E65">
      <w:pPr>
        <w:pStyle w:val="a7"/>
      </w:pPr>
      <w:bookmarkStart w:id="4397" w:name="_Toc140744050"/>
      <w:r>
        <w:rPr>
          <w:rFonts w:hint="cs"/>
          <w:rtl/>
        </w:rPr>
        <w:t>בי' היראים דחס על הנר המלאכה בכיבוי ושם המלאכה השימוש בגחלת והצורך והכוונה הם בנר</w:t>
      </w:r>
      <w:bookmarkEnd w:id="4397"/>
      <w:r>
        <w:rPr>
          <w:rFonts w:hint="cs"/>
          <w:rtl/>
        </w:rPr>
        <w:t xml:space="preserve"> </w:t>
      </w:r>
    </w:p>
    <w:p w14:paraId="1D9FEEBE" w14:textId="77777777" w:rsidR="00274E65" w:rsidRDefault="00274E65" w:rsidP="00BC7DC8">
      <w:pPr>
        <w:pStyle w:val="a3"/>
        <w:rPr>
          <w:rtl/>
        </w:rPr>
      </w:pPr>
      <w:r>
        <w:rPr>
          <w:rFonts w:hint="cs"/>
          <w:rtl/>
        </w:rPr>
        <w:t xml:space="preserve">וביאר </w:t>
      </w:r>
      <w:r w:rsidRPr="00D04E6D">
        <w:rPr>
          <w:rStyle w:val="aff4"/>
          <w:rFonts w:hint="cs"/>
          <w:vanish/>
          <w:rtl/>
        </w:rPr>
        <w:t>-</w:t>
      </w:r>
      <w:r w:rsidRPr="00D04E6D">
        <w:rPr>
          <w:rStyle w:val="aff4"/>
          <w:rFonts w:hint="cs"/>
          <w:rtl/>
        </w:rPr>
        <w:t>היראים</w:t>
      </w:r>
      <w:r w:rsidRPr="00D04E6D">
        <w:rPr>
          <w:rStyle w:val="aff4"/>
          <w:rFonts w:hint="cs"/>
          <w:vanish/>
          <w:rtl/>
        </w:rPr>
        <w:t>-</w:t>
      </w:r>
      <w:r>
        <w:rPr>
          <w:rFonts w:hint="cs"/>
          <w:rtl/>
        </w:rPr>
        <w:t xml:space="preserve"> דבחס על הנר דתנן לעיל </w:t>
      </w:r>
      <w:r w:rsidRPr="00371859">
        <w:rPr>
          <w:rStyle w:val="af2"/>
          <w:rFonts w:eastAsia="Guttman Hodes" w:hint="cs"/>
          <w:rtl/>
        </w:rPr>
        <w:t>(ל.)</w:t>
      </w:r>
      <w:r>
        <w:rPr>
          <w:rFonts w:hint="cs"/>
          <w:rtl/>
        </w:rPr>
        <w:t xml:space="preserve"> דר"י מחייב ור"ש פוטר, כיון דהמלאכה היא הכיבוי, ובכדי שתחשב מלאכה שצריכה לגופה, צריך שיהיה לו שימוש בדבר שגורם לכיבוי להקרא מלאכה דהיינו הגחלת, וממילא כיון דאין לו שום כוונה להתשמש בגחלת אלא לחוס על הנר, הוי מלאכה שאינה צריכה לגופה.</w:t>
      </w:r>
    </w:p>
    <w:p w14:paraId="1B96A75F" w14:textId="77777777" w:rsidR="00274E65" w:rsidRPr="00747170" w:rsidRDefault="00274E65" w:rsidP="00747170">
      <w:pPr>
        <w:pStyle w:val="a2"/>
        <w:rPr>
          <w:rtl/>
        </w:rPr>
      </w:pPr>
      <w:r w:rsidRPr="00747170">
        <w:rPr>
          <w:rtl/>
        </w:rPr>
        <w:t>כגון חס על הנר דאמרינן בבמה מדליקין [ל' א'] ר' יהודה מחייב ור"ש פוטר שהרי הכבוי הוא מלאכה וכוונתו וצורכו אינה לכבוי אלא לחוס על הנר שהרי תשמיש הגחלת גורם לכבוי להקרות מלאכה ולתשמיש הגחלת אינו מתכוין בכבותו אלא לחוס על הנר</w:t>
      </w:r>
      <w:r w:rsidRPr="00747170">
        <w:rPr>
          <w:rFonts w:hint="cs"/>
          <w:rtl/>
        </w:rPr>
        <w:t>.</w:t>
      </w:r>
    </w:p>
    <w:p w14:paraId="7D9FB1C3" w14:textId="512A22E6" w:rsidR="00274E65" w:rsidRPr="0017079C" w:rsidRDefault="00274E65" w:rsidP="00274E65">
      <w:pPr>
        <w:pStyle w:val="a7"/>
      </w:pPr>
      <w:bookmarkStart w:id="4398" w:name="_Toc140744051"/>
      <w:r>
        <w:rPr>
          <w:rFonts w:hint="cs"/>
          <w:rtl/>
        </w:rPr>
        <w:t>בי' היראים דבמוציא מת מכוון לדבר שיש לו שם מלאכה אך הצורך אינו בגוף הדבר שעושה בו</w:t>
      </w:r>
      <w:bookmarkEnd w:id="4398"/>
    </w:p>
    <w:p w14:paraId="72738644" w14:textId="77777777" w:rsidR="00274E65" w:rsidRDefault="00274E65" w:rsidP="00BC7DC8">
      <w:pPr>
        <w:pStyle w:val="a3"/>
      </w:pPr>
      <w:r>
        <w:rPr>
          <w:rFonts w:hint="cs"/>
          <w:rtl/>
        </w:rPr>
        <w:t xml:space="preserve">והוסיף </w:t>
      </w:r>
      <w:r w:rsidRPr="00C52DD0">
        <w:rPr>
          <w:rStyle w:val="aff4"/>
          <w:rFonts w:hint="cs"/>
          <w:vanish/>
          <w:rtl/>
        </w:rPr>
        <w:t>-</w:t>
      </w:r>
      <w:r w:rsidRPr="00C52DD0">
        <w:rPr>
          <w:rStyle w:val="aff4"/>
          <w:rFonts w:hint="cs"/>
          <w:rtl/>
        </w:rPr>
        <w:t>היראים</w:t>
      </w:r>
      <w:r w:rsidRPr="00C52DD0">
        <w:rPr>
          <w:rStyle w:val="aff4"/>
          <w:rFonts w:hint="cs"/>
          <w:vanish/>
          <w:rtl/>
        </w:rPr>
        <w:t>-</w:t>
      </w:r>
      <w:r w:rsidRPr="00C52DD0">
        <w:rPr>
          <w:rFonts w:hint="cs"/>
          <w:rtl/>
        </w:rPr>
        <w:t xml:space="preserve"> </w:t>
      </w:r>
      <w:r>
        <w:rPr>
          <w:rFonts w:hint="cs"/>
          <w:rtl/>
        </w:rPr>
        <w:t xml:space="preserve">דאף אם הייתה לו כוונה לדבר שיש לו שם מלאכה, </w:t>
      </w:r>
      <w:r w:rsidRPr="00B31AA3">
        <w:rPr>
          <w:rStyle w:val="af"/>
          <w:rFonts w:hint="cs"/>
          <w:rtl/>
        </w:rPr>
        <w:t>[הייינו דבר שגורם לשם המלאכה],</w:t>
      </w:r>
      <w:r>
        <w:rPr>
          <w:rFonts w:hint="cs"/>
          <w:rtl/>
        </w:rPr>
        <w:t xml:space="preserve"> מ"מ כיון שהצורך שלו אינו בגוף הדבר שעושה בו את המלאכה, הוי מלאכה שאינה צריכה לגופה, כמבואר בגמ' </w:t>
      </w:r>
      <w:r w:rsidRPr="00371859">
        <w:rPr>
          <w:rStyle w:val="af2"/>
          <w:rFonts w:eastAsia="Guttman Hodes" w:hint="cs"/>
          <w:rtl/>
        </w:rPr>
        <w:t>(צג:)</w:t>
      </w:r>
      <w:r>
        <w:rPr>
          <w:rFonts w:hint="cs"/>
          <w:rtl/>
        </w:rPr>
        <w:t xml:space="preserve"> דפוטר ר"ש מוציא מת דהוי מלאכה שאינה צריכה לגופה כיון שאין לו צורך להשתמש במת.</w:t>
      </w:r>
    </w:p>
    <w:p w14:paraId="54F2C56E" w14:textId="77777777" w:rsidR="00274E65" w:rsidRPr="00747170" w:rsidRDefault="00274E65" w:rsidP="00747170">
      <w:pPr>
        <w:pStyle w:val="a2"/>
        <w:rPr>
          <w:rtl/>
        </w:rPr>
      </w:pPr>
      <w:r w:rsidRPr="00747170">
        <w:rPr>
          <w:rtl/>
        </w:rPr>
        <w:t>ואפי' היה מתכוין לדבר הנקרא מלאכה אם אינו צריך לגופה באותו דבר שעושה בו מלאכה פטר ר"ש כדתנן בהמצניע [צ"ג ב'] המוציא כזית מן המת ר"ש פוטר שהרי ההוצאה שהיא מלאכה נעשית באותו דבר שאינו צריך להשתמש בו</w:t>
      </w:r>
      <w:r w:rsidRPr="00747170">
        <w:rPr>
          <w:rFonts w:hint="cs"/>
          <w:rtl/>
        </w:rPr>
        <w:t>.</w:t>
      </w:r>
    </w:p>
    <w:p w14:paraId="008CE801" w14:textId="44817880" w:rsidR="00274E65" w:rsidRPr="00985FFA" w:rsidRDefault="00274E65" w:rsidP="00274E65">
      <w:pPr>
        <w:pStyle w:val="a7"/>
      </w:pPr>
      <w:bookmarkStart w:id="4399" w:name="_Toc140744052"/>
      <w:r>
        <w:rPr>
          <w:rFonts w:hint="cs"/>
          <w:rtl/>
        </w:rPr>
        <w:t>בי' היראים דלר"ש צריך תרתי דמכוון לדבר שיש לו שם מלאכה וצריך שימוש בגוף הדבר</w:t>
      </w:r>
      <w:bookmarkEnd w:id="4399"/>
    </w:p>
    <w:p w14:paraId="38AD1613" w14:textId="77777777" w:rsidR="00274E65" w:rsidRPr="00E269BF" w:rsidRDefault="00274E65" w:rsidP="00BC7DC8">
      <w:pPr>
        <w:pStyle w:val="a3"/>
        <w:rPr>
          <w:rtl/>
        </w:rPr>
      </w:pPr>
      <w:r>
        <w:rPr>
          <w:rFonts w:hint="cs"/>
          <w:rtl/>
        </w:rPr>
        <w:t xml:space="preserve">וביאר </w:t>
      </w:r>
      <w:r w:rsidRPr="00C52DD0">
        <w:rPr>
          <w:rStyle w:val="aff4"/>
          <w:rFonts w:hint="cs"/>
          <w:vanish/>
          <w:rtl/>
        </w:rPr>
        <w:t>-</w:t>
      </w:r>
      <w:r w:rsidRPr="00C52DD0">
        <w:rPr>
          <w:rStyle w:val="aff4"/>
          <w:rFonts w:hint="cs"/>
          <w:rtl/>
        </w:rPr>
        <w:t>היראים</w:t>
      </w:r>
      <w:r w:rsidRPr="00C52DD0">
        <w:rPr>
          <w:rStyle w:val="aff4"/>
          <w:rFonts w:hint="cs"/>
          <w:vanish/>
          <w:rtl/>
        </w:rPr>
        <w:t>-</w:t>
      </w:r>
      <w:r w:rsidRPr="00C52DD0">
        <w:rPr>
          <w:rFonts w:hint="cs"/>
          <w:rtl/>
        </w:rPr>
        <w:t xml:space="preserve"> </w:t>
      </w:r>
      <w:r>
        <w:rPr>
          <w:rFonts w:hint="cs"/>
          <w:rtl/>
        </w:rPr>
        <w:t xml:space="preserve">דר"ש מצריך תרתי בכדי לחייב במלאכה, גם שתהיה לו כוונה לדבר שנקרא מלאכה, וגם שהוא צריך להשתמש בגוף הדבר שעושה בו את המלאכה, ולכן מוציא מת אף שכוונתו למלאכת הוצאה פטור, כיון שאין לו צורך להשתמש במת, ובחס על הנר אעפ"י שהוא צריך את הפתילה שבה עושה את המלאכה, מ"מ </w:t>
      </w:r>
      <w:r>
        <w:rPr>
          <w:rFonts w:hint="cs"/>
          <w:rtl/>
        </w:rPr>
        <w:t>כיון שאין לו כוונה להשתמש במה שגורם לשם מלאכה דהיא הגחלת של הפתילה, וכל כוונתו היא לחוס על הנר פוטר ר"ש.</w:t>
      </w:r>
    </w:p>
    <w:p w14:paraId="6334BB15" w14:textId="77777777" w:rsidR="00274E65" w:rsidRPr="00747170" w:rsidRDefault="00274E65" w:rsidP="00747170">
      <w:pPr>
        <w:pStyle w:val="a2"/>
        <w:rPr>
          <w:rtl/>
        </w:rPr>
      </w:pPr>
      <w:r w:rsidRPr="00747170">
        <w:rPr>
          <w:rtl/>
        </w:rPr>
        <w:t>דר"ש תרתי בעי שתהא כוונתו לדבר הנקרא מלאכה וגם צריך להשתמש בגוף אותו דבר שהמלאכה נעשית בו הלכך המוציא מת לקוברו אף על פי שמתכוין למלאכת ההוצאה אחרי שאינו צריך להשתמש במת שהמלאכה נעשית בו פטור וחס על הנר אף על פי שצריך בפתילה שהמלאכה נעשית בו אחרי שאין כוונתו לתשמיש גחלת הפתילה שגורמת להקרות מלאכה אלא לחייסת הנר פטר ר"ש</w:t>
      </w:r>
      <w:r w:rsidRPr="00747170">
        <w:rPr>
          <w:rFonts w:hint="cs"/>
          <w:rtl/>
        </w:rPr>
        <w:t>.</w:t>
      </w:r>
    </w:p>
    <w:p w14:paraId="78F9F44F" w14:textId="580F1D13" w:rsidR="00274E65" w:rsidRDefault="00274E65" w:rsidP="00274E65">
      <w:pPr>
        <w:pStyle w:val="a7"/>
        <w:rPr>
          <w:rtl/>
        </w:rPr>
      </w:pPr>
      <w:bookmarkStart w:id="4400" w:name="_Toc140744053"/>
      <w:r>
        <w:rPr>
          <w:rFonts w:hint="cs"/>
          <w:rtl/>
        </w:rPr>
        <w:t>בי' היראים דמוציא מטה למת ומר לחפור קבר צל"ג דכוונתו להוצאה ולהשתמש בדבר עצמו</w:t>
      </w:r>
      <w:bookmarkEnd w:id="4400"/>
    </w:p>
    <w:p w14:paraId="281E792E" w14:textId="77777777" w:rsidR="00274E65" w:rsidRPr="00EC342B" w:rsidRDefault="00274E65" w:rsidP="00BC7DC8">
      <w:pPr>
        <w:pStyle w:val="a3"/>
        <w:rPr>
          <w:sz w:val="12"/>
          <w:szCs w:val="14"/>
        </w:rPr>
      </w:pPr>
      <w:bookmarkStart w:id="4401" w:name="_Ref140491905"/>
      <w:bookmarkStart w:id="4402" w:name="_Ref140522724"/>
      <w:r>
        <w:rPr>
          <w:rFonts w:hint="cs"/>
          <w:rtl/>
        </w:rPr>
        <w:t xml:space="preserve">אך כתב </w:t>
      </w:r>
      <w:r w:rsidRPr="00C52DD0">
        <w:rPr>
          <w:rStyle w:val="aff4"/>
          <w:rFonts w:hint="cs"/>
          <w:vanish/>
          <w:rtl/>
        </w:rPr>
        <w:t>-</w:t>
      </w:r>
      <w:r w:rsidRPr="00C52DD0">
        <w:rPr>
          <w:rStyle w:val="aff4"/>
          <w:rFonts w:hint="cs"/>
          <w:rtl/>
        </w:rPr>
        <w:t>היראים</w:t>
      </w:r>
      <w:r w:rsidRPr="00C52DD0">
        <w:rPr>
          <w:rStyle w:val="aff4"/>
          <w:rFonts w:hint="cs"/>
          <w:vanish/>
          <w:rtl/>
        </w:rPr>
        <w:t>-</w:t>
      </w:r>
      <w:r w:rsidRPr="00C52DD0">
        <w:rPr>
          <w:rFonts w:hint="cs"/>
          <w:rtl/>
        </w:rPr>
        <w:t xml:space="preserve"> </w:t>
      </w:r>
      <w:r>
        <w:rPr>
          <w:rFonts w:hint="cs"/>
          <w:rtl/>
        </w:rPr>
        <w:t>דהמוציא מטה לצורך הוצאת המת או מר לחפור בו את הקבר מחייב ר"ש, כיון דכוונתו למלאכת הוצאה, ויש לו צורך להשתמש במטה ובמר שהם עושה את המלאכה.</w:t>
      </w:r>
    </w:p>
    <w:p w14:paraId="341BA491" w14:textId="77777777" w:rsidR="00274E65" w:rsidRPr="00747170" w:rsidRDefault="00274E65" w:rsidP="00747170">
      <w:pPr>
        <w:pStyle w:val="a2"/>
        <w:rPr>
          <w:rtl/>
        </w:rPr>
      </w:pPr>
      <w:r w:rsidRPr="00747170">
        <w:rPr>
          <w:rtl/>
        </w:rPr>
        <w:t>אבל המוציא מטה להוציא המת ומוציא מר לחפור בו</w:t>
      </w:r>
      <w:r w:rsidRPr="00747170">
        <w:rPr>
          <w:rFonts w:hint="cs"/>
          <w:rtl/>
        </w:rPr>
        <w:t>, הוי מלאכה שצריכה לגופה</w:t>
      </w:r>
      <w:r w:rsidRPr="00747170">
        <w:rPr>
          <w:rtl/>
        </w:rPr>
        <w:t xml:space="preserve"> </w:t>
      </w:r>
      <w:r w:rsidRPr="00747170">
        <w:rPr>
          <w:rFonts w:hint="cs"/>
          <w:rtl/>
        </w:rPr>
        <w:t>ו</w:t>
      </w:r>
      <w:r w:rsidRPr="00747170">
        <w:rPr>
          <w:rtl/>
        </w:rPr>
        <w:t>מחייב ר"ש</w:t>
      </w:r>
      <w:r w:rsidRPr="00747170">
        <w:rPr>
          <w:rFonts w:hint="cs"/>
          <w:rtl/>
        </w:rPr>
        <w:t>,</w:t>
      </w:r>
      <w:r w:rsidRPr="00747170">
        <w:rPr>
          <w:rtl/>
        </w:rPr>
        <w:t xml:space="preserve"> שהרי מתכוין להוצאה וגם צריך למטה ולמרא שהמלאכה נעשית בהן</w:t>
      </w:r>
      <w:r w:rsidRPr="00747170">
        <w:rPr>
          <w:rFonts w:hint="cs"/>
          <w:rtl/>
        </w:rPr>
        <w:t>, ולא דמי להוצאת המת עצמו דהוי מלאכה שאינה צריכה לגופה.</w:t>
      </w:r>
    </w:p>
    <w:p w14:paraId="7BB2CBFD" w14:textId="77777777" w:rsidR="004B368D" w:rsidRDefault="004B368D" w:rsidP="00274E65">
      <w:pPr>
        <w:pStyle w:val="a7"/>
        <w:rPr>
          <w:rtl/>
        </w:rPr>
      </w:pPr>
      <w:bookmarkStart w:id="4403" w:name="_Toc140744054"/>
    </w:p>
    <w:p w14:paraId="238513C3" w14:textId="7389774D" w:rsidR="00274E65" w:rsidRPr="004F1E3A" w:rsidRDefault="00274E65" w:rsidP="00274E65">
      <w:pPr>
        <w:pStyle w:val="a7"/>
        <w:rPr>
          <w:rtl/>
        </w:rPr>
      </w:pPr>
      <w:r>
        <w:rPr>
          <w:rFonts w:hint="cs"/>
          <w:rtl/>
        </w:rPr>
        <w:t>בי' היראים דבלא המטה א"א להוציא את המת והמטה היא צורך שלו ובה נעשית המלאכה</w:t>
      </w:r>
      <w:bookmarkEnd w:id="4403"/>
    </w:p>
    <w:p w14:paraId="4353E573" w14:textId="77777777" w:rsidR="00274E65" w:rsidRPr="00592140" w:rsidRDefault="00274E65" w:rsidP="00BC7DC8">
      <w:pPr>
        <w:pStyle w:val="a3"/>
        <w:rPr>
          <w:rStyle w:val="af"/>
        </w:rPr>
      </w:pPr>
      <w:r>
        <w:rPr>
          <w:rFonts w:hint="cs"/>
          <w:rtl/>
        </w:rPr>
        <w:t xml:space="preserve">וביאר </w:t>
      </w:r>
      <w:r w:rsidRPr="00D04E6D">
        <w:rPr>
          <w:rStyle w:val="aff4"/>
          <w:rFonts w:hint="cs"/>
          <w:vanish/>
          <w:rtl/>
        </w:rPr>
        <w:t>-</w:t>
      </w:r>
      <w:r w:rsidRPr="00D04E6D">
        <w:rPr>
          <w:rStyle w:val="aff4"/>
          <w:rFonts w:hint="cs"/>
          <w:rtl/>
        </w:rPr>
        <w:t>היראים</w:t>
      </w:r>
      <w:r w:rsidRPr="00D04E6D">
        <w:rPr>
          <w:rStyle w:val="aff4"/>
          <w:rFonts w:hint="cs"/>
          <w:vanish/>
          <w:rtl/>
        </w:rPr>
        <w:t>-</w:t>
      </w:r>
      <w:r>
        <w:rPr>
          <w:rFonts w:hint="cs"/>
          <w:rtl/>
        </w:rPr>
        <w:t xml:space="preserve"> דבמוציא מטה לצורך המת, בלא המטה אינו יכול לעשות את רצונו להוציא את המת, ולכן חשיב שהוא צריך את המטה שהיא גוף הדבר שבו נעשית המלאכה. </w:t>
      </w:r>
    </w:p>
    <w:p w14:paraId="04963CCE" w14:textId="77777777" w:rsidR="00274E65" w:rsidRPr="00747170" w:rsidRDefault="00274E65" w:rsidP="00747170">
      <w:pPr>
        <w:pStyle w:val="a2"/>
      </w:pPr>
      <w:r w:rsidRPr="00747170">
        <w:rPr>
          <w:rtl/>
        </w:rPr>
        <w:t>אבל צריך הוא למטה שמוציא שבלא מטה אין חפצו להוציא מת הלכך צריך לגוף אותו דבר שהמלאכה נעשית.</w:t>
      </w:r>
    </w:p>
    <w:p w14:paraId="12A75E04" w14:textId="77777777" w:rsidR="00274E65" w:rsidRPr="009A5EC8" w:rsidRDefault="00274E65" w:rsidP="00274E65">
      <w:pPr>
        <w:pStyle w:val="a7"/>
      </w:pPr>
      <w:bookmarkStart w:id="4404" w:name="_Toc140744055"/>
      <w:r>
        <w:rPr>
          <w:rFonts w:hint="cs"/>
          <w:rtl/>
        </w:rPr>
        <w:t>בי' היראים דכיס דזב א"צ למלאכה עצמה דהוצאה דהכיס מקבל את הזיבה אף ביושב במק"א</w:t>
      </w:r>
      <w:bookmarkEnd w:id="4404"/>
    </w:p>
    <w:p w14:paraId="39CE7541" w14:textId="761A8640" w:rsidR="00274E65" w:rsidRPr="007B17D1" w:rsidRDefault="00274E65" w:rsidP="00BC7DC8">
      <w:pPr>
        <w:pStyle w:val="a3"/>
        <w:rPr>
          <w:sz w:val="12"/>
          <w:szCs w:val="14"/>
        </w:rPr>
      </w:pPr>
      <w:r>
        <w:rPr>
          <w:rFonts w:hint="cs"/>
          <w:rtl/>
        </w:rPr>
        <w:t xml:space="preserve">וכתב </w:t>
      </w:r>
      <w:r w:rsidRPr="00C52DD0">
        <w:rPr>
          <w:rStyle w:val="aff4"/>
          <w:rFonts w:hint="cs"/>
          <w:vanish/>
          <w:rtl/>
        </w:rPr>
        <w:t>-</w:t>
      </w:r>
      <w:r w:rsidRPr="00C52DD0">
        <w:rPr>
          <w:rStyle w:val="aff4"/>
          <w:rFonts w:hint="cs"/>
          <w:rtl/>
        </w:rPr>
        <w:t>היראים</w:t>
      </w:r>
      <w:r w:rsidRPr="00C52DD0">
        <w:rPr>
          <w:rStyle w:val="aff4"/>
          <w:rFonts w:hint="cs"/>
          <w:vanish/>
          <w:rtl/>
        </w:rPr>
        <w:t>-</w:t>
      </w:r>
      <w:r w:rsidRPr="00C52DD0">
        <w:rPr>
          <w:rFonts w:hint="cs"/>
          <w:rtl/>
        </w:rPr>
        <w:t xml:space="preserve"> </w:t>
      </w:r>
      <w:r>
        <w:rPr>
          <w:rFonts w:hint="cs"/>
          <w:rtl/>
        </w:rPr>
        <w:t xml:space="preserve">דמוציא מטה למת ומר לחפור קבר, לא דמי להא דפטר ר"ש בגמ' לעיל </w:t>
      </w:r>
      <w:r w:rsidRPr="00371859">
        <w:rPr>
          <w:rStyle w:val="af2"/>
          <w:rFonts w:eastAsia="Guttman Hodes" w:hint="cs"/>
          <w:rtl/>
        </w:rPr>
        <w:t>(יב.)</w:t>
      </w:r>
      <w:r>
        <w:rPr>
          <w:rFonts w:hint="cs"/>
          <w:rtl/>
        </w:rPr>
        <w:t xml:space="preserve"> בזב היוצא בכיסו, כיון דהמלאכה היא מלאכת הוצאה, ואין לו צורך במלאכה עצמה לצורך קבלת הזיבה, דהא אף אם אינו יוצא הכיס מקבל את הזיבה בכל מקום שהוא יושב, ולכן הוי מלאכה שאינה צריכה לגופה, דהמלאכה עצמה לא נצרכת לו.</w:t>
      </w:r>
      <w:r w:rsidRPr="007B17D1">
        <w:rPr>
          <w:rStyle w:val="af"/>
          <w:rFonts w:hint="cs"/>
          <w:rtl/>
        </w:rPr>
        <w:t xml:space="preserve"> </w:t>
      </w:r>
      <w:r w:rsidRPr="00592140">
        <w:rPr>
          <w:rStyle w:val="af"/>
          <w:rFonts w:hint="cs"/>
          <w:rtl/>
        </w:rPr>
        <w:t xml:space="preserve">[ודלא כהוכחת </w:t>
      </w:r>
      <w:r w:rsidRPr="00592140">
        <w:rPr>
          <w:rStyle w:val="aff9"/>
          <w:rFonts w:hint="cs"/>
          <w:vanish/>
          <w:rtl/>
        </w:rPr>
        <w:t>-</w:t>
      </w:r>
      <w:r w:rsidRPr="00592140">
        <w:rPr>
          <w:rStyle w:val="aff9"/>
          <w:rFonts w:hint="cs"/>
          <w:rtl/>
        </w:rPr>
        <w:t>ר"י בתוס'</w:t>
      </w:r>
      <w:r w:rsidRPr="00592140">
        <w:rPr>
          <w:rStyle w:val="aff9"/>
          <w:rFonts w:hint="cs"/>
          <w:vanish/>
          <w:rtl/>
        </w:rPr>
        <w:t>-</w:t>
      </w:r>
      <w:r w:rsidRPr="00592140">
        <w:rPr>
          <w:rStyle w:val="af"/>
          <w:rFonts w:hint="cs"/>
          <w:rtl/>
        </w:rPr>
        <w:t xml:space="preserve"> </w:t>
      </w:r>
      <w:r w:rsidRPr="007E6601">
        <w:rPr>
          <w:rStyle w:val="aff0"/>
          <w:rFonts w:hint="cs"/>
          <w:rtl/>
        </w:rPr>
        <w:t>(קו. ד"ה מה לי, הובא בסימן ט' אות</w:t>
      </w:r>
      <w:r w:rsidRPr="00592140">
        <w:rPr>
          <w:rStyle w:val="af"/>
          <w:rFonts w:hint="cs"/>
          <w:rtl/>
        </w:rPr>
        <w:t xml:space="preserve"> </w:t>
      </w:r>
      <w:r w:rsidRPr="007E6601">
        <w:rPr>
          <w:rStyle w:val="aff0"/>
          <w:rFonts w:hint="cs"/>
          <w:rtl/>
        </w:rPr>
        <w:t>ל"ג)</w:t>
      </w:r>
      <w:r w:rsidRPr="00592140">
        <w:rPr>
          <w:rStyle w:val="af"/>
          <w:rFonts w:hint="cs"/>
          <w:rtl/>
        </w:rPr>
        <w:t xml:space="preserve"> דפטור </w:t>
      </w:r>
      <w:r>
        <w:rPr>
          <w:rStyle w:val="af"/>
          <w:rFonts w:hint="cs"/>
          <w:rtl/>
        </w:rPr>
        <w:t>מהא ד</w:t>
      </w:r>
      <w:r w:rsidRPr="00592140">
        <w:rPr>
          <w:rStyle w:val="af"/>
          <w:rFonts w:hint="cs"/>
          <w:rtl/>
        </w:rPr>
        <w:t>זב שמוציא כיס חשיב מלאכה שאינה צריכה</w:t>
      </w:r>
      <w:r>
        <w:rPr>
          <w:rStyle w:val="af"/>
          <w:rFonts w:hint="cs"/>
          <w:rtl/>
        </w:rPr>
        <w:t xml:space="preserve"> לגופה,</w:t>
      </w:r>
      <w:r w:rsidRPr="00592140">
        <w:rPr>
          <w:rStyle w:val="af"/>
          <w:rFonts w:hint="cs"/>
          <w:rtl/>
        </w:rPr>
        <w:t xml:space="preserve"> ועי' במה שהקשה </w:t>
      </w:r>
      <w:r w:rsidRPr="00592140">
        <w:rPr>
          <w:rStyle w:val="aff9"/>
          <w:rFonts w:hint="cs"/>
          <w:vanish/>
          <w:rtl/>
        </w:rPr>
        <w:t>-</w:t>
      </w:r>
      <w:r w:rsidRPr="00592140">
        <w:rPr>
          <w:rStyle w:val="aff9"/>
          <w:rFonts w:hint="cs"/>
          <w:rtl/>
        </w:rPr>
        <w:t>ה</w:t>
      </w:r>
      <w:r w:rsidRPr="00592140">
        <w:rPr>
          <w:rStyle w:val="aff9"/>
          <w:rFonts w:hint="cs"/>
          <w:vanish/>
          <w:rtl/>
        </w:rPr>
        <w:t xml:space="preserve">&lt;, </w:t>
      </w:r>
      <w:r w:rsidRPr="00592140">
        <w:rPr>
          <w:rStyle w:val="aff9"/>
          <w:vanish/>
          <w:rtl/>
        </w:rPr>
        <w:fldChar w:fldCharType="begin"/>
      </w:r>
      <w:r w:rsidRPr="00592140">
        <w:rPr>
          <w:rStyle w:val="aff9"/>
          <w:vanish/>
          <w:rtl/>
        </w:rPr>
        <w:instrText xml:space="preserve"> </w:instrText>
      </w:r>
      <w:r w:rsidRPr="00592140">
        <w:rPr>
          <w:rStyle w:val="aff9"/>
          <w:rFonts w:hint="cs"/>
          <w:vanish/>
        </w:rPr>
        <w:instrText>REF</w:instrText>
      </w:r>
      <w:r w:rsidRPr="00592140">
        <w:rPr>
          <w:rStyle w:val="aff9"/>
          <w:rFonts w:hint="cs"/>
          <w:vanish/>
          <w:rtl/>
        </w:rPr>
        <w:instrText xml:space="preserve"> _</w:instrText>
      </w:r>
      <w:r w:rsidRPr="00592140">
        <w:rPr>
          <w:rStyle w:val="aff9"/>
          <w:rFonts w:hint="cs"/>
          <w:vanish/>
        </w:rPr>
        <w:instrText>Ref140522724 \r \h</w:instrText>
      </w:r>
      <w:r w:rsidRPr="00592140">
        <w:rPr>
          <w:rStyle w:val="aff9"/>
          <w:vanish/>
          <w:rtl/>
        </w:rPr>
        <w:instrText xml:space="preserve">  \* </w:instrText>
      </w:r>
      <w:r w:rsidRPr="00592140">
        <w:rPr>
          <w:rStyle w:val="aff9"/>
          <w:vanish/>
        </w:rPr>
        <w:instrText>MERGEFORMAT</w:instrText>
      </w:r>
      <w:r w:rsidRPr="00592140">
        <w:rPr>
          <w:rStyle w:val="aff9"/>
          <w:vanish/>
          <w:rtl/>
        </w:rPr>
        <w:instrText xml:space="preserve"> </w:instrText>
      </w:r>
      <w:r w:rsidRPr="00592140">
        <w:rPr>
          <w:rStyle w:val="aff9"/>
          <w:vanish/>
          <w:rtl/>
        </w:rPr>
      </w:r>
      <w:r w:rsidRPr="00592140">
        <w:rPr>
          <w:rStyle w:val="aff9"/>
          <w:vanish/>
          <w:rtl/>
        </w:rPr>
        <w:fldChar w:fldCharType="separate"/>
      </w:r>
      <w:r w:rsidR="00D82181">
        <w:rPr>
          <w:rStyle w:val="aff9"/>
          <w:vanish/>
          <w:cs/>
        </w:rPr>
        <w:t>‎</w:t>
      </w:r>
      <w:r w:rsidR="00D82181">
        <w:rPr>
          <w:rStyle w:val="aff9"/>
          <w:vanish/>
          <w:rtl/>
        </w:rPr>
        <w:t>פה)</w:t>
      </w:r>
      <w:r w:rsidRPr="00592140">
        <w:rPr>
          <w:rStyle w:val="aff9"/>
          <w:vanish/>
          <w:rtl/>
        </w:rPr>
        <w:fldChar w:fldCharType="end"/>
      </w:r>
      <w:r w:rsidRPr="00592140">
        <w:rPr>
          <w:rStyle w:val="aff9"/>
          <w:rFonts w:hint="cs"/>
          <w:vanish/>
          <w:rtl/>
        </w:rPr>
        <w:t xml:space="preserve"> &gt;</w:t>
      </w:r>
      <w:r w:rsidRPr="00592140">
        <w:rPr>
          <w:rStyle w:val="aff9"/>
          <w:rFonts w:hint="cs"/>
          <w:rtl/>
        </w:rPr>
        <w:t>אבני נזר</w:t>
      </w:r>
      <w:r w:rsidRPr="00592140">
        <w:rPr>
          <w:rStyle w:val="aff9"/>
          <w:rFonts w:hint="cs"/>
          <w:vanish/>
          <w:rtl/>
        </w:rPr>
        <w:t>-</w:t>
      </w:r>
      <w:r w:rsidRPr="00592140">
        <w:rPr>
          <w:rStyle w:val="af"/>
          <w:rFonts w:hint="cs"/>
          <w:rtl/>
        </w:rPr>
        <w:t xml:space="preserve"> </w:t>
      </w:r>
      <w:r w:rsidRPr="007E6601">
        <w:rPr>
          <w:rStyle w:val="aff0"/>
          <w:rFonts w:hint="cs"/>
          <w:rtl/>
        </w:rPr>
        <w:t>(סי' רכ"ח י"ז)</w:t>
      </w:r>
      <w:r w:rsidRPr="007E6601">
        <w:rPr>
          <w:rStyle w:val="af"/>
          <w:rFonts w:hint="cs"/>
          <w:vanish/>
          <w:rtl/>
        </w:rPr>
        <w:t>=</w:t>
      </w:r>
      <w:r w:rsidRPr="00592140">
        <w:rPr>
          <w:rStyle w:val="af"/>
          <w:rFonts w:hint="cs"/>
          <w:rtl/>
        </w:rPr>
        <w:t xml:space="preserve"> דהא </w:t>
      </w:r>
      <w:r w:rsidRPr="00592140">
        <w:rPr>
          <w:rStyle w:val="aff9"/>
          <w:rFonts w:hint="cs"/>
          <w:vanish/>
          <w:rtl/>
        </w:rPr>
        <w:t>-</w:t>
      </w:r>
      <w:r w:rsidRPr="00592140">
        <w:rPr>
          <w:rStyle w:val="aff9"/>
          <w:rFonts w:hint="cs"/>
          <w:rtl/>
        </w:rPr>
        <w:t>ר"י בתוס'</w:t>
      </w:r>
      <w:r w:rsidRPr="00592140">
        <w:rPr>
          <w:rStyle w:val="aff9"/>
          <w:rFonts w:hint="cs"/>
          <w:vanish/>
          <w:rtl/>
        </w:rPr>
        <w:t>-</w:t>
      </w:r>
      <w:r w:rsidRPr="00592140">
        <w:rPr>
          <w:rStyle w:val="af"/>
          <w:rFonts w:hint="cs"/>
          <w:rtl/>
        </w:rPr>
        <w:t xml:space="preserve"> </w:t>
      </w:r>
      <w:r w:rsidRPr="007E6601">
        <w:rPr>
          <w:rStyle w:val="aff0"/>
          <w:rFonts w:hint="cs"/>
          <w:rtl/>
        </w:rPr>
        <w:t>(צד. ד"ה ר"ש, הובא בסימן ט' אות י')</w:t>
      </w:r>
      <w:r w:rsidRPr="00592140">
        <w:rPr>
          <w:rStyle w:val="af"/>
          <w:rFonts w:hint="cs"/>
          <w:rtl/>
        </w:rPr>
        <w:t xml:space="preserve"> עצמו כתב סברא זו בזב, וסותר לדברי עצמו].</w:t>
      </w:r>
    </w:p>
    <w:bookmarkEnd w:id="4401"/>
    <w:bookmarkEnd w:id="4402"/>
    <w:p w14:paraId="40750220" w14:textId="77777777" w:rsidR="00274E65" w:rsidRPr="00747170" w:rsidRDefault="00274E65" w:rsidP="00747170">
      <w:pPr>
        <w:pStyle w:val="a2"/>
      </w:pPr>
      <w:r w:rsidRPr="00747170">
        <w:rPr>
          <w:rtl/>
        </w:rPr>
        <w:t>ואינו דומה מוציא מטה להוציא מת ולזב יוצא בכיסו לקבל זיבתו דפטר ר' שמעון דשבת פ"א [י"ב א'] שהרי קבלת זיבה ישנה בלא הוצאת כיסו שהרי כיסו עליו ובכל מקום ישיבתו מקבל זיבתו הלכך אינו צריך לגוף הדבר שמוציא שבלא הוצאתו נעשית צריכותיו</w:t>
      </w:r>
      <w:r w:rsidRPr="00747170">
        <w:rPr>
          <w:rFonts w:hint="cs"/>
          <w:rtl/>
        </w:rPr>
        <w:t>.</w:t>
      </w:r>
    </w:p>
    <w:p w14:paraId="63DF525A" w14:textId="2ED668FE" w:rsidR="00274E65" w:rsidRDefault="00274E65" w:rsidP="00274E65">
      <w:pPr>
        <w:pStyle w:val="a7"/>
        <w:rPr>
          <w:rtl/>
        </w:rPr>
      </w:pPr>
      <w:bookmarkStart w:id="4405" w:name="_Toc140744056"/>
      <w:r>
        <w:rPr>
          <w:rFonts w:hint="cs"/>
          <w:rtl/>
        </w:rPr>
        <w:t>בי' היראים בשם ר"י בן הרא"ש הלוי דמוציא מטה למת ומר לחפור פטור כזב שיוצא בכיס</w:t>
      </w:r>
      <w:bookmarkEnd w:id="4405"/>
    </w:p>
    <w:p w14:paraId="0967208A" w14:textId="77777777" w:rsidR="00274E65" w:rsidRPr="009D3A52" w:rsidRDefault="00274E65" w:rsidP="00BC7DC8">
      <w:pPr>
        <w:pStyle w:val="a3"/>
      </w:pPr>
      <w:r>
        <w:rPr>
          <w:rFonts w:hint="cs"/>
          <w:rtl/>
        </w:rPr>
        <w:t xml:space="preserve">והביא </w:t>
      </w:r>
      <w:r w:rsidRPr="00C52DD0">
        <w:rPr>
          <w:rStyle w:val="aff4"/>
          <w:rFonts w:hint="cs"/>
          <w:vanish/>
          <w:rtl/>
        </w:rPr>
        <w:t>-</w:t>
      </w:r>
      <w:r w:rsidRPr="00C52DD0">
        <w:rPr>
          <w:rStyle w:val="aff4"/>
          <w:rFonts w:hint="cs"/>
          <w:rtl/>
        </w:rPr>
        <w:t>היראים</w:t>
      </w:r>
      <w:r w:rsidRPr="00C52DD0">
        <w:rPr>
          <w:rStyle w:val="aff4"/>
          <w:rFonts w:hint="cs"/>
          <w:vanish/>
          <w:rtl/>
        </w:rPr>
        <w:t>-</w:t>
      </w:r>
      <w:r>
        <w:rPr>
          <w:rFonts w:hint="cs"/>
          <w:rtl/>
        </w:rPr>
        <w:t xml:space="preserve"> בשם </w:t>
      </w:r>
      <w:r w:rsidRPr="00C52DD0">
        <w:rPr>
          <w:rStyle w:val="aff4"/>
          <w:rFonts w:hint="cs"/>
          <w:vanish/>
          <w:rtl/>
        </w:rPr>
        <w:t>-</w:t>
      </w:r>
      <w:r>
        <w:rPr>
          <w:rStyle w:val="aff4"/>
          <w:rFonts w:hint="cs"/>
          <w:rtl/>
        </w:rPr>
        <w:t>רבינו יצחק [בן] הרא"ש הלוי</w:t>
      </w:r>
      <w:r w:rsidRPr="00C52DD0">
        <w:rPr>
          <w:rStyle w:val="aff4"/>
          <w:rFonts w:hint="cs"/>
          <w:vanish/>
          <w:rtl/>
        </w:rPr>
        <w:t>-</w:t>
      </w:r>
      <w:r>
        <w:rPr>
          <w:rFonts w:hint="cs"/>
          <w:rtl/>
        </w:rPr>
        <w:t xml:space="preserve"> דכתב דכמו דזב בכיסו הוי מלאכה שאינה צריכה לגופה, ה"ה במוציא מטה לצורך מת וכן מר לחפור בו קבר, </w:t>
      </w:r>
      <w:r w:rsidRPr="00592140">
        <w:rPr>
          <w:rStyle w:val="af"/>
          <w:rFonts w:hint="cs"/>
          <w:rtl/>
        </w:rPr>
        <w:t>[</w:t>
      </w:r>
      <w:r>
        <w:rPr>
          <w:rStyle w:val="af"/>
          <w:rFonts w:hint="cs"/>
          <w:rtl/>
        </w:rPr>
        <w:t>וכ"כ</w:t>
      </w:r>
      <w:r w:rsidRPr="00592140">
        <w:rPr>
          <w:rStyle w:val="af"/>
          <w:rFonts w:hint="cs"/>
          <w:rtl/>
        </w:rPr>
        <w:t xml:space="preserve"> </w:t>
      </w:r>
      <w:r w:rsidRPr="00592140">
        <w:rPr>
          <w:rStyle w:val="aff9"/>
          <w:rFonts w:hint="cs"/>
          <w:vanish/>
          <w:rtl/>
        </w:rPr>
        <w:t>-</w:t>
      </w:r>
      <w:r w:rsidRPr="00592140">
        <w:rPr>
          <w:rStyle w:val="aff9"/>
          <w:rFonts w:hint="cs"/>
          <w:rtl/>
        </w:rPr>
        <w:t>ר"י בתוס'</w:t>
      </w:r>
      <w:r w:rsidRPr="00592140">
        <w:rPr>
          <w:rStyle w:val="aff9"/>
          <w:rFonts w:hint="cs"/>
          <w:vanish/>
          <w:rtl/>
        </w:rPr>
        <w:t>-</w:t>
      </w:r>
      <w:r w:rsidRPr="00592140">
        <w:rPr>
          <w:rStyle w:val="af"/>
          <w:rFonts w:hint="cs"/>
          <w:rtl/>
        </w:rPr>
        <w:t xml:space="preserve"> </w:t>
      </w:r>
      <w:r w:rsidRPr="007E6601">
        <w:rPr>
          <w:rStyle w:val="aff0"/>
          <w:rFonts w:hint="cs"/>
          <w:rtl/>
        </w:rPr>
        <w:t>(קו. ד"ה מה לי, הובא בסימן ט' אות</w:t>
      </w:r>
      <w:r w:rsidRPr="00592140">
        <w:rPr>
          <w:rStyle w:val="af"/>
          <w:rFonts w:hint="cs"/>
          <w:rtl/>
        </w:rPr>
        <w:t xml:space="preserve"> </w:t>
      </w:r>
      <w:r w:rsidRPr="007E6601">
        <w:rPr>
          <w:rStyle w:val="aff0"/>
          <w:rFonts w:hint="cs"/>
          <w:rtl/>
        </w:rPr>
        <w:t>ל"ג)</w:t>
      </w:r>
      <w:r w:rsidRPr="00592140">
        <w:rPr>
          <w:rStyle w:val="af"/>
          <w:rFonts w:hint="cs"/>
          <w:rtl/>
        </w:rPr>
        <w:t>]</w:t>
      </w:r>
      <w:r>
        <w:rPr>
          <w:rStyle w:val="af"/>
          <w:rFonts w:hint="cs"/>
          <w:rtl/>
        </w:rPr>
        <w:t xml:space="preserve">, </w:t>
      </w:r>
      <w:r>
        <w:rPr>
          <w:rFonts w:hint="cs"/>
          <w:rtl/>
        </w:rPr>
        <w:t xml:space="preserve">ודחה </w:t>
      </w:r>
      <w:r w:rsidRPr="00C52DD0">
        <w:rPr>
          <w:rStyle w:val="aff4"/>
          <w:rFonts w:hint="cs"/>
          <w:vanish/>
          <w:rtl/>
        </w:rPr>
        <w:t>-</w:t>
      </w:r>
      <w:r w:rsidRPr="00C52DD0">
        <w:rPr>
          <w:rStyle w:val="aff4"/>
          <w:rFonts w:hint="cs"/>
          <w:rtl/>
        </w:rPr>
        <w:t>היראים</w:t>
      </w:r>
      <w:r w:rsidRPr="00C52DD0">
        <w:rPr>
          <w:rStyle w:val="aff4"/>
          <w:rFonts w:hint="cs"/>
          <w:vanish/>
          <w:rtl/>
        </w:rPr>
        <w:t>-</w:t>
      </w:r>
      <w:r w:rsidRPr="003548E3">
        <w:rPr>
          <w:rStyle w:val="aff4"/>
          <w:rFonts w:hint="cs"/>
          <w:rtl/>
        </w:rPr>
        <w:t xml:space="preserve"> </w:t>
      </w:r>
      <w:r>
        <w:rPr>
          <w:rFonts w:hint="cs"/>
          <w:rtl/>
        </w:rPr>
        <w:t>את דבריו.</w:t>
      </w:r>
    </w:p>
    <w:p w14:paraId="5457F971" w14:textId="77777777" w:rsidR="00274E65" w:rsidRPr="00747170" w:rsidRDefault="00274E65" w:rsidP="00747170">
      <w:pPr>
        <w:pStyle w:val="a2"/>
        <w:rPr>
          <w:rtl/>
        </w:rPr>
      </w:pPr>
      <w:r w:rsidRPr="00747170">
        <w:rPr>
          <w:rtl/>
        </w:rPr>
        <w:t>ולפי שראיתי את ר' יצחק [בן] הרא"ש הלוי זצ"ל שדימה אותו נתתי את לבי לחלק בהם.</w:t>
      </w:r>
    </w:p>
    <w:p w14:paraId="4E093D71" w14:textId="509031A8" w:rsidR="00274E65" w:rsidRPr="000866B1" w:rsidRDefault="00274E65" w:rsidP="00274E65">
      <w:pPr>
        <w:pStyle w:val="affff5"/>
        <w:rPr>
          <w:rtl/>
        </w:rPr>
      </w:pPr>
      <w:bookmarkStart w:id="4406" w:name="_Toc140744057"/>
      <w:r>
        <w:rPr>
          <w:rFonts w:hint="cs"/>
          <w:rtl/>
        </w:rPr>
        <w:t>פלו' המאירי והי"מ צל"ג בדבר או בצורך</w:t>
      </w:r>
      <w:bookmarkEnd w:id="4406"/>
    </w:p>
    <w:p w14:paraId="5386E646" w14:textId="77777777" w:rsidR="00274E65" w:rsidRDefault="00274E65" w:rsidP="00274E65">
      <w:pPr>
        <w:pStyle w:val="1"/>
        <w:rPr>
          <w:rtl/>
        </w:rPr>
      </w:pPr>
      <w:bookmarkStart w:id="4407" w:name="_Toc140744058"/>
      <w:r>
        <w:rPr>
          <w:rFonts w:hint="cs"/>
          <w:rtl/>
        </w:rPr>
        <w:t>בי' המאירי בדבר שצריך לו לצורך ד"א שמסיר נזק אי הוי צל"ג</w:t>
      </w:r>
      <w:bookmarkEnd w:id="4407"/>
    </w:p>
    <w:p w14:paraId="793CFD8B" w14:textId="77777777" w:rsidR="00274E65" w:rsidRDefault="00274E65" w:rsidP="00274E65">
      <w:pPr>
        <w:pStyle w:val="afffff7"/>
        <w:rPr>
          <w:rtl/>
        </w:rPr>
      </w:pPr>
      <w:bookmarkStart w:id="4408" w:name="_Toc140744107"/>
      <w:bookmarkStart w:id="4409" w:name="_Toc163506055"/>
      <w:r>
        <w:rPr>
          <w:rtl/>
        </w:rPr>
        <w:t>מאירי שבת י"א ע"ב</w:t>
      </w:r>
      <w:r>
        <w:rPr>
          <w:rFonts w:hint="cs"/>
          <w:rtl/>
        </w:rPr>
        <w:t xml:space="preserve"> ד"ה אעפ"י</w:t>
      </w:r>
      <w:bookmarkEnd w:id="4408"/>
      <w:bookmarkEnd w:id="4409"/>
    </w:p>
    <w:p w14:paraId="33D7AFD6" w14:textId="77777777" w:rsidR="00274E65" w:rsidRDefault="00274E65" w:rsidP="00274E65">
      <w:pPr>
        <w:pStyle w:val="a7"/>
        <w:rPr>
          <w:rtl/>
        </w:rPr>
      </w:pPr>
      <w:bookmarkStart w:id="4410" w:name="_Toc140744059"/>
      <w:r>
        <w:rPr>
          <w:rFonts w:hint="cs"/>
          <w:rtl/>
        </w:rPr>
        <w:t>בי' המאירי דזב בכיס הוי משאצל"ג רק בלטנף אבל בצריך לספור ראיות צל"ג דצריך ליומו</w:t>
      </w:r>
      <w:bookmarkEnd w:id="4410"/>
    </w:p>
    <w:p w14:paraId="748185C5" w14:textId="7F1C2077" w:rsidR="00274E65" w:rsidRDefault="00274E65" w:rsidP="00BC7DC8">
      <w:pPr>
        <w:pStyle w:val="a3"/>
      </w:pPr>
      <w:bookmarkStart w:id="4411" w:name="_Ref140403017"/>
      <w:r>
        <w:rPr>
          <w:rFonts w:hint="cs"/>
          <w:rtl/>
        </w:rPr>
        <w:t xml:space="preserve">כתב </w:t>
      </w:r>
      <w:r w:rsidRPr="000F0F83">
        <w:rPr>
          <w:rStyle w:val="aff4"/>
          <w:rFonts w:hint="cs"/>
          <w:vanish/>
          <w:rtl/>
        </w:rPr>
        <w:t>-</w:t>
      </w:r>
      <w:r w:rsidRPr="00066340">
        <w:rPr>
          <w:rStyle w:val="aff4"/>
          <w:rFonts w:hint="cs"/>
          <w:rtl/>
        </w:rPr>
        <w:t>ה</w:t>
      </w:r>
      <w:r w:rsidRPr="00C109C5">
        <w:rPr>
          <w:rStyle w:val="aff4"/>
          <w:rFonts w:hint="cs"/>
          <w:vanish/>
          <w:rtl/>
        </w:rPr>
        <w:t xml:space="preserve">&lt;, </w:t>
      </w:r>
      <w:r w:rsidRPr="00C109C5">
        <w:rPr>
          <w:rStyle w:val="aff4"/>
          <w:vanish/>
          <w:rtl/>
        </w:rPr>
        <w:fldChar w:fldCharType="begin"/>
      </w:r>
      <w:r w:rsidRPr="00C109C5">
        <w:rPr>
          <w:rStyle w:val="aff4"/>
          <w:vanish/>
          <w:rtl/>
        </w:rPr>
        <w:instrText xml:space="preserve"> </w:instrText>
      </w:r>
      <w:r w:rsidRPr="00C109C5">
        <w:rPr>
          <w:rStyle w:val="aff4"/>
          <w:rFonts w:hint="cs"/>
          <w:vanish/>
        </w:rPr>
        <w:instrText>REF</w:instrText>
      </w:r>
      <w:r w:rsidRPr="00C109C5">
        <w:rPr>
          <w:rStyle w:val="aff4"/>
          <w:rFonts w:hint="cs"/>
          <w:vanish/>
          <w:rtl/>
        </w:rPr>
        <w:instrText xml:space="preserve"> _</w:instrText>
      </w:r>
      <w:r w:rsidRPr="00C109C5">
        <w:rPr>
          <w:rStyle w:val="aff4"/>
          <w:rFonts w:hint="cs"/>
          <w:vanish/>
        </w:rPr>
        <w:instrText>Ref140403017 \r \h</w:instrText>
      </w:r>
      <w:r w:rsidRPr="00C109C5">
        <w:rPr>
          <w:rStyle w:val="aff4"/>
          <w:vanish/>
          <w:rtl/>
        </w:rPr>
        <w:instrText xml:space="preserve"> </w:instrText>
      </w:r>
      <w:r>
        <w:rPr>
          <w:rStyle w:val="aff4"/>
          <w:vanish/>
          <w:rtl/>
        </w:rPr>
        <w:instrText xml:space="preserve"> \* </w:instrText>
      </w:r>
      <w:r>
        <w:rPr>
          <w:rStyle w:val="aff4"/>
          <w:vanish/>
        </w:rPr>
        <w:instrText>MERGEFORMAT</w:instrText>
      </w:r>
      <w:r>
        <w:rPr>
          <w:rStyle w:val="aff4"/>
          <w:vanish/>
          <w:rtl/>
        </w:rPr>
        <w:instrText xml:space="preserve"> </w:instrText>
      </w:r>
      <w:r w:rsidRPr="00C109C5">
        <w:rPr>
          <w:rStyle w:val="aff4"/>
          <w:vanish/>
          <w:rtl/>
        </w:rPr>
      </w:r>
      <w:r w:rsidRPr="00C109C5">
        <w:rPr>
          <w:rStyle w:val="aff4"/>
          <w:vanish/>
          <w:rtl/>
        </w:rPr>
        <w:fldChar w:fldCharType="separate"/>
      </w:r>
      <w:r w:rsidR="00D82181">
        <w:rPr>
          <w:rStyle w:val="aff4"/>
          <w:vanish/>
          <w:cs/>
        </w:rPr>
        <w:t>‎</w:t>
      </w:r>
      <w:r w:rsidR="00D82181">
        <w:rPr>
          <w:rStyle w:val="aff4"/>
          <w:vanish/>
          <w:rtl/>
        </w:rPr>
        <w:t>פט)</w:t>
      </w:r>
      <w:r w:rsidRPr="00C109C5">
        <w:rPr>
          <w:rStyle w:val="aff4"/>
          <w:vanish/>
          <w:rtl/>
        </w:rPr>
        <w:fldChar w:fldCharType="end"/>
      </w:r>
      <w:r w:rsidRPr="00C109C5">
        <w:rPr>
          <w:rStyle w:val="aff4"/>
          <w:rFonts w:hint="cs"/>
          <w:vanish/>
          <w:rtl/>
        </w:rPr>
        <w:t xml:space="preserve"> &gt;</w:t>
      </w:r>
      <w:r w:rsidRPr="00066340">
        <w:rPr>
          <w:rStyle w:val="aff4"/>
          <w:rFonts w:hint="cs"/>
          <w:rtl/>
        </w:rPr>
        <w:t>מאירי</w:t>
      </w:r>
      <w:r w:rsidRPr="000F0F83">
        <w:rPr>
          <w:rStyle w:val="aff4"/>
          <w:rFonts w:hint="cs"/>
          <w:vanish/>
          <w:rtl/>
        </w:rPr>
        <w:t>-</w:t>
      </w:r>
      <w:r>
        <w:rPr>
          <w:rFonts w:hint="cs"/>
          <w:rtl/>
        </w:rPr>
        <w:t xml:space="preserve"> </w:t>
      </w:r>
      <w:r w:rsidRPr="00371859">
        <w:rPr>
          <w:rStyle w:val="af2"/>
          <w:rFonts w:eastAsia="Guttman Hodes" w:hint="cs"/>
          <w:rtl/>
        </w:rPr>
        <w:t>(יא: ד"ה אעפ"י)</w:t>
      </w:r>
      <w:r w:rsidRPr="006C609D">
        <w:rPr>
          <w:rFonts w:hint="cs"/>
          <w:vanish/>
          <w:rtl/>
        </w:rPr>
        <w:t>=</w:t>
      </w:r>
      <w:r>
        <w:rPr>
          <w:rFonts w:hint="cs"/>
          <w:rtl/>
        </w:rPr>
        <w:t xml:space="preserve"> דהא דאיתא בגמ' לעיל </w:t>
      </w:r>
      <w:r w:rsidRPr="00371859">
        <w:rPr>
          <w:rStyle w:val="af2"/>
          <w:rFonts w:eastAsia="Guttman Hodes" w:hint="cs"/>
          <w:rtl/>
        </w:rPr>
        <w:t>(יב.)</w:t>
      </w:r>
      <w:r>
        <w:rPr>
          <w:rFonts w:hint="cs"/>
          <w:rtl/>
        </w:rPr>
        <w:t xml:space="preserve"> דזב שיצא בכיסו הוא מלאכה שאינה צריכה לגופה, היינו דוקא באופן שהצורך שלו הוא שלא יטנפו בגדיו, אבל זב בעל ב' ראיות שהוא צריך לבדוק את עצמו אם ראה פעם שלישית ויתחייב בקרבן, או בבעל ג' ראיות כשסופר ז' נקיים, הוי מלאכה שצריכה לגופה כיון שהוא צריך לגוף המלאכה לגמרי ולבו ביום.</w:t>
      </w:r>
      <w:bookmarkEnd w:id="4411"/>
    </w:p>
    <w:p w14:paraId="27F5DF63" w14:textId="77777777" w:rsidR="00274E65" w:rsidRPr="00747170" w:rsidRDefault="00274E65" w:rsidP="00747170">
      <w:pPr>
        <w:pStyle w:val="a2"/>
      </w:pPr>
      <w:r w:rsidRPr="00747170">
        <w:rPr>
          <w:rStyle w:val="afff7"/>
          <w:rtl/>
        </w:rPr>
        <w:t>אף על פי שביארנו שכל שהוציא שלא כדרך הוצאה פטור יש דברים שאע"פ שאינן דרך הוצאה הואיל וזו היא הוצאתן ואין שום אדם מוציאה בדרך אחרת חייב מעתה</w:t>
      </w:r>
      <w:r w:rsidRPr="00747170">
        <w:rPr>
          <w:rtl/>
        </w:rPr>
        <w:t xml:space="preserve"> הזב שיצא בכיס שלו העשוי לו לקושרו במקום שפיכתו שלא לטנף את בגדיו </w:t>
      </w:r>
      <w:r w:rsidRPr="00747170">
        <w:rPr>
          <w:rStyle w:val="afff7"/>
          <w:rtl/>
        </w:rPr>
        <w:t>חייב שהרי אין דרך הוצאתו אלא בכך שאם לא כן אף בשאר מלאכות יש לך לומר שלא לחייב בהן ההדיוט שאין דרך עשייתן אלא באומן אלא כל שדרך המלאכה בכך חייב</w:t>
      </w:r>
      <w:r w:rsidRPr="00747170">
        <w:rPr>
          <w:rtl/>
        </w:rPr>
        <w:t xml:space="preserve"> ולא סוף דבר מי שהוא צריך לכיס לגופו בעל ב' ראיות שצריך לבדוק עצמו אם יראה את השלישית ליזקק לקרבן או בעל שלש ראיות שהתחיל לספור שבעה נקיים שצריך לבדוק עצמו אם יראה כדי שיסתור אלא אף לבו ביום ר"ל שראה את השלישית בשבת שחרית שהרי אינו צריך לה היום כלל </w:t>
      </w:r>
      <w:r w:rsidRPr="00747170">
        <w:rPr>
          <w:rStyle w:val="afff7"/>
          <w:rtl/>
        </w:rPr>
        <w:t>אעפ"כ חייב ואף על פי</w:t>
      </w:r>
      <w:r w:rsidRPr="00747170">
        <w:rPr>
          <w:rtl/>
        </w:rPr>
        <w:t xml:space="preserve"> שמלאכה שאין צריכה לגופה היא שהרי אינו צריך לה אלא להצלת טנוף בגדיו </w:t>
      </w:r>
      <w:r w:rsidRPr="00747170">
        <w:rPr>
          <w:rStyle w:val="afff7"/>
          <w:rtl/>
        </w:rPr>
        <w:t>מ"מ הלכה מלאכה שאין צריכה לגופה חייב עליה זו היא שיטת גדולי המחברים אלא שרוב פוסקי' כתבו שמלאכה שאין צריכה לגופה פטור עליה ולדעתם</w:t>
      </w:r>
      <w:r w:rsidRPr="00747170">
        <w:rPr>
          <w:rtl/>
        </w:rPr>
        <w:t xml:space="preserve"> לא יצא הזב בכיס שלו ואם יצא פטור אחר שאינו צריך לה אלא להצלת טנוף על הדרך שביארנו הא מ"מ בעל שתי ראיות או של שלש ולבו ביום שהוא צריך לגופה לגמרי לדברי הכל חייב</w:t>
      </w:r>
      <w:r w:rsidRPr="00747170">
        <w:rPr>
          <w:rFonts w:hint="cs"/>
          <w:rtl/>
        </w:rPr>
        <w:t>.</w:t>
      </w:r>
    </w:p>
    <w:p w14:paraId="1E87A685" w14:textId="6963C962" w:rsidR="00274E65" w:rsidRDefault="00274E65" w:rsidP="00274E65">
      <w:pPr>
        <w:pStyle w:val="a7"/>
      </w:pPr>
      <w:bookmarkStart w:id="4412" w:name="_Toc140744060"/>
      <w:r>
        <w:rPr>
          <w:rFonts w:hint="cs"/>
          <w:rtl/>
        </w:rPr>
        <w:t>בי' הי"מ במאירי דזב לראיות הוי כמסיר קרבן ועוון דקרבן לא בזמנו וצל"ג הוי רק לצורך רפואה</w:t>
      </w:r>
      <w:bookmarkEnd w:id="4412"/>
    </w:p>
    <w:p w14:paraId="5F2D1F91" w14:textId="77777777" w:rsidR="00301FE5" w:rsidRDefault="00274E65" w:rsidP="00BC7DC8">
      <w:pPr>
        <w:pStyle w:val="a3"/>
        <w:sectPr w:rsidR="00301FE5" w:rsidSect="00CA28B3">
          <w:footerReference w:type="default" r:id="rId155"/>
          <w:type w:val="continuous"/>
          <w:pgSz w:w="11906" w:h="16838"/>
          <w:pgMar w:top="720" w:right="720" w:bottom="720" w:left="720" w:header="283" w:footer="283" w:gutter="0"/>
          <w:cols w:num="2" w:space="567"/>
          <w:bidi/>
          <w:rtlGutter/>
        </w:sectPr>
      </w:pPr>
      <w:bookmarkStart w:id="4413" w:name="_Ref140743294"/>
      <w:r>
        <w:rPr>
          <w:rFonts w:hint="cs"/>
          <w:rtl/>
        </w:rPr>
        <w:t xml:space="preserve">והביא </w:t>
      </w:r>
      <w:r w:rsidRPr="000F0F83">
        <w:rPr>
          <w:rStyle w:val="aff4"/>
          <w:rFonts w:hint="cs"/>
          <w:vanish/>
          <w:rtl/>
        </w:rPr>
        <w:t>-</w:t>
      </w:r>
      <w:r w:rsidRPr="00066340">
        <w:rPr>
          <w:rStyle w:val="aff4"/>
          <w:rFonts w:hint="cs"/>
          <w:rtl/>
        </w:rPr>
        <w:t>המאירי</w:t>
      </w:r>
      <w:r w:rsidRPr="000F0F83">
        <w:rPr>
          <w:rStyle w:val="aff4"/>
          <w:rFonts w:hint="cs"/>
          <w:vanish/>
          <w:rtl/>
        </w:rPr>
        <w:t>-</w:t>
      </w:r>
      <w:r>
        <w:rPr>
          <w:rFonts w:hint="cs"/>
          <w:rtl/>
        </w:rPr>
        <w:t xml:space="preserve"> בשם </w:t>
      </w:r>
      <w:r w:rsidRPr="000F0F83">
        <w:rPr>
          <w:rStyle w:val="aff4"/>
          <w:rFonts w:hint="cs"/>
          <w:vanish/>
          <w:rtl/>
        </w:rPr>
        <w:t>-</w:t>
      </w:r>
      <w:r w:rsidRPr="00066340">
        <w:rPr>
          <w:rStyle w:val="aff4"/>
          <w:rFonts w:hint="cs"/>
          <w:rtl/>
        </w:rPr>
        <w:t>י"מ</w:t>
      </w:r>
      <w:r w:rsidRPr="000F0F83">
        <w:rPr>
          <w:rStyle w:val="aff4"/>
          <w:rFonts w:hint="cs"/>
          <w:vanish/>
          <w:rtl/>
        </w:rPr>
        <w:t>-</w:t>
      </w:r>
      <w:r>
        <w:rPr>
          <w:rFonts w:hint="cs"/>
          <w:rtl/>
        </w:rPr>
        <w:t xml:space="preserve"> דאף בכה"ג הוי מלאכה שאינה צריכה לגופה, כיון דמלאכה שצריכה לגופה הוא רק כשצריך לתועלת של גופו כגון לרפואה, אבל בבעל ב' ראיות דכוונתו להסיר מעליו את חיוב הקרבן, ובבעל ג' ראיות דכוונתו להסיר מעליו את העוון של הבאת קרבן לפני זמנו, הוי מלאכה שאינה צריכה לגופה.</w:t>
      </w:r>
      <w:r w:rsidRPr="006D30FA">
        <w:rPr>
          <w:rStyle w:val="af"/>
          <w:rFonts w:hint="cs"/>
          <w:rtl/>
        </w:rPr>
        <w:t xml:space="preserve"> </w:t>
      </w:r>
      <w:r w:rsidRPr="00592140">
        <w:rPr>
          <w:rStyle w:val="af"/>
          <w:rFonts w:hint="cs"/>
          <w:rtl/>
        </w:rPr>
        <w:t>[</w:t>
      </w:r>
      <w:r>
        <w:rPr>
          <w:rStyle w:val="af"/>
          <w:rFonts w:hint="cs"/>
          <w:rtl/>
        </w:rPr>
        <w:t>ועי' במ"ש</w:t>
      </w:r>
      <w:r w:rsidRPr="00592140">
        <w:rPr>
          <w:rStyle w:val="af"/>
          <w:rFonts w:hint="cs"/>
          <w:rtl/>
        </w:rPr>
        <w:t xml:space="preserve"> </w:t>
      </w:r>
      <w:r w:rsidRPr="00592140">
        <w:rPr>
          <w:rStyle w:val="aff9"/>
          <w:rFonts w:hint="cs"/>
          <w:vanish/>
          <w:rtl/>
        </w:rPr>
        <w:t>-</w:t>
      </w:r>
      <w:r>
        <w:rPr>
          <w:rStyle w:val="aff9"/>
          <w:rFonts w:hint="cs"/>
          <w:rtl/>
        </w:rPr>
        <w:t>ה</w:t>
      </w:r>
      <w:r w:rsidRPr="00592140">
        <w:rPr>
          <w:rStyle w:val="aff9"/>
          <w:rFonts w:hint="cs"/>
          <w:rtl/>
        </w:rPr>
        <w:t>תוס'</w:t>
      </w:r>
      <w:r w:rsidRPr="00592140">
        <w:rPr>
          <w:rStyle w:val="aff9"/>
          <w:rFonts w:hint="cs"/>
          <w:vanish/>
          <w:rtl/>
        </w:rPr>
        <w:t>-</w:t>
      </w:r>
      <w:r w:rsidRPr="00592140">
        <w:rPr>
          <w:rStyle w:val="af"/>
          <w:rFonts w:hint="cs"/>
          <w:rtl/>
        </w:rPr>
        <w:t xml:space="preserve"> </w:t>
      </w:r>
      <w:r w:rsidRPr="007E6601">
        <w:rPr>
          <w:rStyle w:val="aff0"/>
          <w:rFonts w:hint="cs"/>
          <w:rtl/>
        </w:rPr>
        <w:t>(</w:t>
      </w:r>
      <w:r>
        <w:rPr>
          <w:rStyle w:val="aff0"/>
          <w:rFonts w:hint="cs"/>
          <w:rtl/>
        </w:rPr>
        <w:t>צד.</w:t>
      </w:r>
      <w:r w:rsidRPr="007E6601">
        <w:rPr>
          <w:rStyle w:val="aff0"/>
          <w:rFonts w:hint="cs"/>
          <w:rtl/>
        </w:rPr>
        <w:t xml:space="preserve"> ד"ה </w:t>
      </w:r>
      <w:r>
        <w:rPr>
          <w:rStyle w:val="aff0"/>
          <w:rFonts w:hint="cs"/>
          <w:rtl/>
        </w:rPr>
        <w:t>ר"ש</w:t>
      </w:r>
      <w:r w:rsidRPr="007E6601">
        <w:rPr>
          <w:rStyle w:val="aff0"/>
          <w:rFonts w:hint="cs"/>
          <w:rtl/>
        </w:rPr>
        <w:t>, הובא בסימן ט' אות</w:t>
      </w:r>
      <w:r w:rsidRPr="00592140">
        <w:rPr>
          <w:rStyle w:val="af"/>
          <w:rFonts w:hint="cs"/>
          <w:rtl/>
        </w:rPr>
        <w:t xml:space="preserve"> </w:t>
      </w:r>
      <w:r>
        <w:rPr>
          <w:rStyle w:val="aff0"/>
          <w:rFonts w:hint="cs"/>
          <w:rtl/>
        </w:rPr>
        <w:t>י'</w:t>
      </w:r>
      <w:r w:rsidRPr="007E6601">
        <w:rPr>
          <w:rStyle w:val="aff0"/>
          <w:rFonts w:hint="cs"/>
          <w:rtl/>
        </w:rPr>
        <w:t>)</w:t>
      </w:r>
      <w:r>
        <w:rPr>
          <w:rStyle w:val="af"/>
          <w:rFonts w:hint="cs"/>
          <w:rtl/>
        </w:rPr>
        <w:t xml:space="preserve"> ד</w:t>
      </w:r>
      <w:r w:rsidRPr="006D30FA">
        <w:rPr>
          <w:rStyle w:val="af"/>
          <w:rtl/>
        </w:rPr>
        <w:t xml:space="preserve">אעפ"י שהוא צריך את הכיס למנות את הראיות או לז' נקיים, </w:t>
      </w:r>
      <w:r>
        <w:rPr>
          <w:rStyle w:val="af"/>
          <w:rFonts w:hint="cs"/>
          <w:rtl/>
        </w:rPr>
        <w:t>הוי מלאכה שאינה צריכה לגופה, כיון</w:t>
      </w:r>
      <w:r w:rsidRPr="006D30FA">
        <w:rPr>
          <w:rStyle w:val="af"/>
          <w:rtl/>
        </w:rPr>
        <w:t xml:space="preserve"> </w:t>
      </w:r>
      <w:r>
        <w:rPr>
          <w:rStyle w:val="af"/>
          <w:rFonts w:hint="cs"/>
          <w:rtl/>
        </w:rPr>
        <w:t>ד</w:t>
      </w:r>
      <w:r w:rsidRPr="006D30FA">
        <w:rPr>
          <w:rStyle w:val="af"/>
          <w:rtl/>
        </w:rPr>
        <w:t>א"צ את עצם ההוצאה של הכיס, דלצורך זה יכול לשבת במקום אחד</w:t>
      </w:r>
      <w:r>
        <w:rPr>
          <w:rStyle w:val="af"/>
          <w:rFonts w:hint="cs"/>
          <w:rtl/>
        </w:rPr>
        <w:t xml:space="preserve"> </w:t>
      </w:r>
      <w:r w:rsidRPr="00592140">
        <w:rPr>
          <w:rStyle w:val="af"/>
          <w:rFonts w:hint="cs"/>
          <w:rtl/>
        </w:rPr>
        <w:t>]</w:t>
      </w:r>
      <w:r>
        <w:rPr>
          <w:rStyle w:val="af"/>
          <w:rFonts w:hint="cs"/>
          <w:rtl/>
        </w:rPr>
        <w:t>.</w:t>
      </w:r>
      <w:bookmarkEnd w:id="4413"/>
    </w:p>
    <w:p w14:paraId="550BEFB7" w14:textId="29593AAF" w:rsidR="00274E65" w:rsidRDefault="00274E65" w:rsidP="00BC7DC8">
      <w:pPr>
        <w:pStyle w:val="a3"/>
        <w:numPr>
          <w:ilvl w:val="0"/>
          <w:numId w:val="0"/>
        </w:numPr>
      </w:pPr>
    </w:p>
    <w:p w14:paraId="45F8308C" w14:textId="77777777" w:rsidR="00274E65" w:rsidRPr="00747170" w:rsidRDefault="00274E65" w:rsidP="00747170">
      <w:pPr>
        <w:pStyle w:val="a2"/>
        <w:rPr>
          <w:rtl/>
        </w:rPr>
      </w:pPr>
      <w:r w:rsidRPr="00747170">
        <w:rPr>
          <w:rtl/>
        </w:rPr>
        <w:t>ויש מפרשים שאף באלו אינה צריכה לגופה היא הואיל ואינו צריך לה לתועלת גופו כגון רפואה ודומה לה אלא בבעל שתים להסיר מעליו חיוב קרבן ובבעל ג' להסיר מעליו עון הבאת קרבן קודם זמנו:</w:t>
      </w:r>
    </w:p>
    <w:p w14:paraId="5D6B485E" w14:textId="77777777" w:rsidR="00274E65" w:rsidRPr="007720B8" w:rsidRDefault="00274E65" w:rsidP="00274E65">
      <w:pPr>
        <w:pStyle w:val="a7"/>
        <w:rPr>
          <w:rtl/>
        </w:rPr>
      </w:pPr>
    </w:p>
    <w:p w14:paraId="19001ED7" w14:textId="77777777" w:rsidR="00E439A1" w:rsidRDefault="00E439A1" w:rsidP="00747170">
      <w:pPr>
        <w:pStyle w:val="a2"/>
        <w:rPr>
          <w:rtl/>
        </w:rPr>
        <w:sectPr w:rsidR="00E439A1" w:rsidSect="00CA28B3">
          <w:type w:val="continuous"/>
          <w:pgSz w:w="11906" w:h="16838"/>
          <w:pgMar w:top="720" w:right="720" w:bottom="720" w:left="720" w:header="283" w:footer="283" w:gutter="0"/>
          <w:cols w:num="2" w:space="567"/>
          <w:bidi/>
          <w:rtlGutter/>
        </w:sectPr>
      </w:pPr>
    </w:p>
    <w:p w14:paraId="54C1A609" w14:textId="4FD41744" w:rsidR="00376F67" w:rsidRPr="00224A5A" w:rsidRDefault="00376F67" w:rsidP="00376F67">
      <w:pPr>
        <w:pStyle w:val="af9"/>
        <w:rPr>
          <w:rtl/>
        </w:rPr>
      </w:pPr>
      <w:bookmarkStart w:id="4414" w:name="_Hlk143770241"/>
      <w:r>
        <w:rPr>
          <w:rFonts w:hint="cs"/>
          <w:rtl/>
        </w:rPr>
        <w:lastRenderedPageBreak/>
        <w:t>סימן י</w:t>
      </w:r>
      <w:r>
        <w:rPr>
          <w:rtl/>
        </w:rPr>
        <w:t>"</w:t>
      </w:r>
      <w:r>
        <w:rPr>
          <w:rFonts w:hint="cs"/>
          <w:rtl/>
        </w:rPr>
        <w:t>א</w:t>
      </w:r>
    </w:p>
    <w:p w14:paraId="240B969D" w14:textId="77777777" w:rsidR="00376F67" w:rsidRDefault="00376F67" w:rsidP="00376F67">
      <w:pPr>
        <w:pStyle w:val="af9"/>
        <w:rPr>
          <w:rtl/>
        </w:rPr>
      </w:pPr>
      <w:r w:rsidRPr="008F4A22">
        <w:rPr>
          <w:rtl/>
        </w:rPr>
        <w:t>בגדר</w:t>
      </w:r>
      <w:r>
        <w:rPr>
          <w:rFonts w:hint="cs"/>
          <w:rtl/>
        </w:rPr>
        <w:t xml:space="preserve"> מלאכת בונה</w:t>
      </w:r>
    </w:p>
    <w:p w14:paraId="6B9DDBBA" w14:textId="77777777" w:rsidR="00376F67" w:rsidRPr="006E6B9C" w:rsidRDefault="00376F67" w:rsidP="00376F67">
      <w:pPr>
        <w:pStyle w:val="af9"/>
        <w:rPr>
          <w:rtl/>
        </w:rPr>
      </w:pPr>
      <w:r>
        <w:rPr>
          <w:rFonts w:hint="cs"/>
          <w:rtl/>
        </w:rPr>
        <w:t>בדרך בנין / באוהל וקיבוץ חלקים / בבנין דיצירה / בארעי וקבוע / במלאכה מתקיימת</w:t>
      </w:r>
    </w:p>
    <w:p w14:paraId="22034E7B" w14:textId="77777777" w:rsidR="00376F67" w:rsidRPr="00224A5A" w:rsidRDefault="00376F67" w:rsidP="00376F67">
      <w:pPr>
        <w:keepNext/>
        <w:keepLines/>
        <w:spacing w:after="0" w:line="240" w:lineRule="auto"/>
        <w:jc w:val="center"/>
        <w:outlineLvl w:val="1"/>
        <w:rPr>
          <w:rFonts w:ascii="FrankRuehl" w:eastAsia="Guttman Adii-Light" w:hAnsi="FrankRuehl" w:cs="Guttman Hodes"/>
          <w:b/>
          <w:bCs/>
          <w:noProof/>
          <w:sz w:val="24"/>
          <w:szCs w:val="24"/>
          <w:rtl/>
        </w:rPr>
        <w:sectPr w:rsidR="00376F67" w:rsidRPr="00224A5A" w:rsidSect="001218AD">
          <w:headerReference w:type="default" r:id="rId156"/>
          <w:footerReference w:type="default" r:id="rId157"/>
          <w:headerReference w:type="first" r:id="rId158"/>
          <w:footerReference w:type="first" r:id="rId159"/>
          <w:type w:val="oddPage"/>
          <w:pgSz w:w="11906" w:h="16838"/>
          <w:pgMar w:top="720" w:right="720" w:bottom="720" w:left="720" w:header="283" w:footer="283" w:gutter="0"/>
          <w:cols w:space="113"/>
          <w:bidi/>
          <w:rtlGutter/>
          <w:docGrid w:linePitch="299"/>
        </w:sectPr>
      </w:pPr>
      <w:r w:rsidRPr="00224A5A">
        <w:rPr>
          <w:rFonts w:ascii="FrankRuehl" w:eastAsia="Guttman Adii-Light" w:hAnsi="FrankRuehl" w:cs="Guttman Hodes"/>
          <w:b/>
          <w:bCs/>
          <w:noProof/>
          <w:sz w:val="24"/>
          <w:szCs w:val="24"/>
          <w:rtl/>
        </w:rPr>
        <w:t>~~~~~~~</w:t>
      </w:r>
      <w:r w:rsidRPr="00224A5A">
        <w:rPr>
          <w:rFonts w:ascii="FrankRuehl" w:eastAsia="Guttman Adii-Light" w:hAnsi="FrankRuehl" w:cs="Guttman Hodes" w:hint="cs"/>
          <w:b/>
          <w:bCs/>
          <w:noProof/>
          <w:sz w:val="24"/>
          <w:szCs w:val="24"/>
          <w:rtl/>
        </w:rPr>
        <w:t xml:space="preserve"> תוכן הענייני</w:t>
      </w:r>
      <w:r w:rsidRPr="00224A5A">
        <w:rPr>
          <w:rFonts w:ascii="FrankRuehl" w:eastAsia="Guttman Adii-Light" w:hAnsi="FrankRuehl" w:cs="Guttman Hodes" w:hint="eastAsia"/>
          <w:b/>
          <w:bCs/>
          <w:noProof/>
          <w:sz w:val="24"/>
          <w:szCs w:val="24"/>
          <w:rtl/>
        </w:rPr>
        <w:t>ם</w:t>
      </w:r>
      <w:r w:rsidRPr="00224A5A">
        <w:rPr>
          <w:rFonts w:ascii="FrankRuehl" w:eastAsia="Guttman Adii-Light" w:hAnsi="FrankRuehl" w:cs="Guttman Hodes" w:hint="cs"/>
          <w:b/>
          <w:bCs/>
          <w:noProof/>
          <w:sz w:val="24"/>
          <w:szCs w:val="24"/>
          <w:rtl/>
        </w:rPr>
        <w:t xml:space="preserve"> </w:t>
      </w:r>
      <w:r w:rsidRPr="00224A5A">
        <w:rPr>
          <w:rFonts w:ascii="FrankRuehl" w:eastAsia="Guttman Adii-Light" w:hAnsi="FrankRuehl" w:cs="Guttman Hodes"/>
          <w:b/>
          <w:bCs/>
          <w:noProof/>
          <w:sz w:val="24"/>
          <w:szCs w:val="24"/>
          <w:rtl/>
        </w:rPr>
        <w:t>~~~~~~~</w:t>
      </w:r>
    </w:p>
    <w:p w14:paraId="73E68B57" w14:textId="77777777" w:rsidR="00376F67" w:rsidRDefault="00376F67" w:rsidP="00376F67">
      <w:pPr>
        <w:pStyle w:val="TOC1"/>
        <w:rPr>
          <w:rFonts w:asciiTheme="minorHAnsi" w:hAnsiTheme="minorHAnsi" w:cstheme="minorBidi"/>
          <w:b w:val="0"/>
          <w:bCs w:val="0"/>
          <w:caps w:val="0"/>
          <w:sz w:val="22"/>
          <w:szCs w:val="22"/>
          <w:rtl/>
        </w:rPr>
      </w:pPr>
      <w:r w:rsidRPr="00224A5A">
        <w:rPr>
          <w:rtl/>
        </w:rPr>
        <w:fldChar w:fldCharType="begin"/>
      </w:r>
      <w:r w:rsidRPr="00224A5A">
        <w:rPr>
          <w:rtl/>
        </w:rPr>
        <w:instrText xml:space="preserve"> </w:instrText>
      </w:r>
      <w:r w:rsidRPr="00224A5A">
        <w:rPr>
          <w:rFonts w:hint="cs"/>
        </w:rPr>
        <w:instrText>TOC</w:instrText>
      </w:r>
      <w:r w:rsidRPr="00224A5A">
        <w:rPr>
          <w:rFonts w:hint="cs"/>
          <w:rtl/>
        </w:rPr>
        <w:instrText xml:space="preserve"> \</w:instrText>
      </w:r>
      <w:r w:rsidRPr="00224A5A">
        <w:rPr>
          <w:rFonts w:hint="cs"/>
        </w:rPr>
        <w:instrText>n \p " " \h \z \t</w:instrText>
      </w:r>
      <w:r w:rsidRPr="00224A5A">
        <w:rPr>
          <w:rFonts w:hint="cs"/>
          <w:rtl/>
        </w:rPr>
        <w:instrText xml:space="preserve"> "כותרת 1,2,כות קט,3,כות מק פנ,1"</w:instrText>
      </w:r>
      <w:r w:rsidRPr="00224A5A">
        <w:rPr>
          <w:rtl/>
        </w:rPr>
        <w:instrText xml:space="preserve"> </w:instrText>
      </w:r>
      <w:r w:rsidRPr="00224A5A">
        <w:rPr>
          <w:rtl/>
        </w:rPr>
        <w:fldChar w:fldCharType="separate"/>
      </w:r>
      <w:hyperlink w:anchor="_Toc143770567" w:history="1">
        <w:r w:rsidRPr="009F263C">
          <w:rPr>
            <w:rStyle w:val="Hyperlink"/>
            <w:rtl/>
          </w:rPr>
          <w:t>בגדרי אב דבונה במחובר בדרך בנין</w:t>
        </w:r>
      </w:hyperlink>
    </w:p>
    <w:p w14:paraId="6E7C6D75" w14:textId="4A712480" w:rsidR="00376F67" w:rsidRPr="00FE4693" w:rsidRDefault="00376F67" w:rsidP="00376F67">
      <w:pPr>
        <w:pStyle w:val="afffffffff0"/>
        <w:rPr>
          <w:b/>
          <w:bCs/>
          <w:rtl/>
        </w:rPr>
      </w:pPr>
      <w:bookmarkStart w:id="4415" w:name="_Hlk143770400"/>
      <w:r>
        <w:rPr>
          <w:rtl/>
        </w:rPr>
        <w:t>,</w:t>
      </w:r>
      <w:r w:rsidRPr="00FE4693">
        <w:rPr>
          <w:rStyle w:val="aff4"/>
          <w:rFonts w:ascii="David" w:eastAsiaTheme="minorEastAsia" w:hAnsi="David" w:cs="David" w:hint="cs"/>
          <w:noProof w:val="0"/>
          <w:sz w:val="16"/>
          <w:szCs w:val="16"/>
          <w:rtl/>
        </w:rPr>
        <w:t xml:space="preserve"> </w:t>
      </w:r>
      <w:r w:rsidRPr="00FE4693">
        <w:rPr>
          <w:rStyle w:val="aff4"/>
          <w:rFonts w:ascii="David" w:eastAsiaTheme="minorEastAsia" w:hAnsi="David" w:cs="David"/>
          <w:noProof w:val="0"/>
          <w:sz w:val="16"/>
          <w:szCs w:val="16"/>
          <w:rtl/>
        </w:rPr>
        <w:fldChar w:fldCharType="begin"/>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hint="cs"/>
          <w:noProof w:val="0"/>
          <w:sz w:val="16"/>
          <w:szCs w:val="16"/>
        </w:rPr>
        <w:instrText>REF</w:instrText>
      </w:r>
      <w:r w:rsidRPr="00FE4693">
        <w:rPr>
          <w:rStyle w:val="aff4"/>
          <w:rFonts w:ascii="David" w:eastAsiaTheme="minorEastAsia" w:hAnsi="David" w:cs="David" w:hint="cs"/>
          <w:noProof w:val="0"/>
          <w:sz w:val="16"/>
          <w:szCs w:val="16"/>
          <w:rtl/>
        </w:rPr>
        <w:instrText xml:space="preserve"> _</w:instrText>
      </w:r>
      <w:r w:rsidRPr="00FE4693">
        <w:rPr>
          <w:rStyle w:val="aff4"/>
          <w:rFonts w:ascii="David" w:eastAsiaTheme="minorEastAsia" w:hAnsi="David" w:cs="David" w:hint="cs"/>
          <w:noProof w:val="0"/>
          <w:sz w:val="16"/>
          <w:szCs w:val="16"/>
        </w:rPr>
        <w:instrText>Ref143447427 \r \h</w:instrText>
      </w:r>
      <w:r w:rsidRPr="00FE4693">
        <w:rPr>
          <w:rStyle w:val="aff4"/>
          <w:rFonts w:ascii="David" w:eastAsiaTheme="minorEastAsia" w:hAnsi="David" w:cs="David"/>
          <w:noProof w:val="0"/>
          <w:sz w:val="16"/>
          <w:szCs w:val="16"/>
          <w:rtl/>
        </w:rPr>
        <w:instrText xml:space="preserve">  \* </w:instrText>
      </w:r>
      <w:r w:rsidRPr="00FE4693">
        <w:rPr>
          <w:rStyle w:val="aff4"/>
          <w:rFonts w:ascii="David" w:eastAsiaTheme="minorEastAsia" w:hAnsi="David" w:cs="David"/>
          <w:noProof w:val="0"/>
          <w:sz w:val="16"/>
          <w:szCs w:val="16"/>
        </w:rPr>
        <w:instrText>MERGEFORMAT</w:instrText>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tl/>
        </w:rPr>
      </w:r>
      <w:r w:rsidRPr="00FE4693">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א)</w:t>
      </w:r>
      <w:r w:rsidRPr="00FE4693">
        <w:rPr>
          <w:rStyle w:val="aff4"/>
          <w:rFonts w:ascii="David" w:eastAsiaTheme="minorEastAsia" w:hAnsi="David" w:cs="David"/>
          <w:noProof w:val="0"/>
          <w:sz w:val="16"/>
          <w:szCs w:val="16"/>
          <w:rtl/>
        </w:rPr>
        <w:fldChar w:fldCharType="end"/>
      </w:r>
      <w:r w:rsidRPr="00FE4693">
        <w:rPr>
          <w:rStyle w:val="aff4"/>
          <w:rFonts w:ascii="David" w:eastAsiaTheme="minorEastAsia" w:hAnsi="David" w:cs="David" w:hint="cs"/>
          <w:noProof w:val="0"/>
          <w:sz w:val="16"/>
          <w:szCs w:val="16"/>
          <w:rtl/>
        </w:rPr>
        <w:t xml:space="preserve"> </w:t>
      </w:r>
      <w:r w:rsidRPr="003A14B9">
        <w:rPr>
          <w:rStyle w:val="aff4"/>
          <w:rFonts w:ascii="David" w:eastAsiaTheme="minorEastAsia" w:hAnsi="David" w:cs="David" w:hint="cs"/>
          <w:b w:val="0"/>
          <w:bCs w:val="0"/>
          <w:noProof w:val="0"/>
          <w:sz w:val="16"/>
          <w:szCs w:val="16"/>
          <w:rtl/>
        </w:rPr>
        <w:t>רמב"ם</w:t>
      </w:r>
      <w:r w:rsidRPr="003A14B9">
        <w:rPr>
          <w:rFonts w:hint="cs"/>
          <w:rtl/>
        </w:rPr>
        <w:t xml:space="preserve"> </w:t>
      </w:r>
      <w:r w:rsidRPr="00FE4693">
        <w:rPr>
          <w:rStyle w:val="afffffffff3"/>
          <w:rFonts w:hint="cs"/>
          <w:rtl/>
        </w:rPr>
        <w:t>(שבת פ"י הי"ב)</w:t>
      </w:r>
      <w:r>
        <w:rPr>
          <w:rtl/>
        </w:rPr>
        <w:t xml:space="preserve"> </w:t>
      </w:r>
      <w:r w:rsidRPr="003A14B9">
        <w:rPr>
          <w:rStyle w:val="aff4"/>
          <w:rFonts w:ascii="David" w:eastAsiaTheme="minorEastAsia" w:hAnsi="David" w:cs="David"/>
          <w:b w:val="0"/>
          <w:bCs w:val="0"/>
          <w:noProof w:val="0"/>
          <w:sz w:val="16"/>
          <w:szCs w:val="16"/>
          <w:rtl/>
        </w:rPr>
        <w:t>אבן האזל</w:t>
      </w:r>
      <w:r w:rsidRPr="003A14B9">
        <w:rPr>
          <w:rtl/>
        </w:rPr>
        <w:t xml:space="preserve"> </w:t>
      </w:r>
      <w:r w:rsidRPr="00FE4693">
        <w:rPr>
          <w:rStyle w:val="afffffffff3"/>
          <w:rFonts w:hint="cs"/>
          <w:rtl/>
        </w:rPr>
        <w:t xml:space="preserve">(עי' אות </w:t>
      </w:r>
      <w:r w:rsidRPr="00FE4693">
        <w:rPr>
          <w:rStyle w:val="afffffffff3"/>
          <w:rtl/>
        </w:rPr>
        <w:fldChar w:fldCharType="begin"/>
      </w:r>
      <w:r w:rsidRPr="00FE4693">
        <w:rPr>
          <w:rStyle w:val="afffffffff3"/>
          <w:rtl/>
        </w:rPr>
        <w:instrText xml:space="preserve"> </w:instrText>
      </w:r>
      <w:r w:rsidRPr="00FE4693">
        <w:rPr>
          <w:rStyle w:val="afffffffff3"/>
          <w:rFonts w:hint="cs"/>
        </w:rPr>
        <w:instrText>REF</w:instrText>
      </w:r>
      <w:r w:rsidRPr="00FE4693">
        <w:rPr>
          <w:rStyle w:val="afffffffff3"/>
          <w:rFonts w:hint="cs"/>
          <w:rtl/>
        </w:rPr>
        <w:instrText xml:space="preserve"> _</w:instrText>
      </w:r>
      <w:r w:rsidRPr="00FE4693">
        <w:rPr>
          <w:rStyle w:val="afffffffff3"/>
          <w:rFonts w:hint="cs"/>
        </w:rPr>
        <w:instrText>Ref140828580 \r \h</w:instrText>
      </w:r>
      <w:r w:rsidRPr="00FE4693">
        <w:rPr>
          <w:rStyle w:val="afffffffff3"/>
          <w:rtl/>
        </w:rPr>
        <w:instrText xml:space="preserve">  \* </w:instrText>
      </w:r>
      <w:r w:rsidRPr="00FE4693">
        <w:rPr>
          <w:rStyle w:val="afffffffff3"/>
        </w:rPr>
        <w:instrText>MERGEFORMAT</w:instrText>
      </w:r>
      <w:r w:rsidRPr="00FE4693">
        <w:rPr>
          <w:rStyle w:val="afffffffff3"/>
          <w:rtl/>
        </w:rPr>
        <w:instrText xml:space="preserve"> </w:instrText>
      </w:r>
      <w:r w:rsidRPr="00FE4693">
        <w:rPr>
          <w:rStyle w:val="afffffffff3"/>
          <w:rtl/>
        </w:rPr>
      </w:r>
      <w:r w:rsidRPr="00FE4693">
        <w:rPr>
          <w:rStyle w:val="afffffffff3"/>
          <w:rtl/>
        </w:rPr>
        <w:fldChar w:fldCharType="separate"/>
      </w:r>
      <w:r w:rsidR="00D82181">
        <w:rPr>
          <w:rStyle w:val="afffffffff3"/>
          <w:cs/>
        </w:rPr>
        <w:t>‎</w:t>
      </w:r>
      <w:r w:rsidR="00D82181">
        <w:rPr>
          <w:rStyle w:val="afffffffff3"/>
          <w:rtl/>
        </w:rPr>
        <w:t>סח)</w:t>
      </w:r>
      <w:r w:rsidRPr="00FE4693">
        <w:rPr>
          <w:rStyle w:val="afffffffff3"/>
          <w:rtl/>
        </w:rPr>
        <w:fldChar w:fldCharType="end"/>
      </w:r>
      <w:r>
        <w:rPr>
          <w:rtl/>
        </w:rPr>
        <w:t xml:space="preserve"> </w:t>
      </w:r>
      <w:r w:rsidRPr="003A14B9">
        <w:rPr>
          <w:rStyle w:val="aff4"/>
          <w:rFonts w:ascii="David" w:eastAsiaTheme="minorEastAsia" w:hAnsi="David" w:cs="David" w:hint="cs"/>
          <w:b w:val="0"/>
          <w:bCs w:val="0"/>
          <w:noProof w:val="0"/>
          <w:sz w:val="16"/>
          <w:szCs w:val="16"/>
          <w:rtl/>
        </w:rPr>
        <w:t>קה"י</w:t>
      </w:r>
      <w:r w:rsidRPr="003A14B9">
        <w:rPr>
          <w:rFonts w:hint="cs"/>
          <w:rtl/>
        </w:rPr>
        <w:t xml:space="preserve"> </w:t>
      </w:r>
      <w:r w:rsidRPr="00FE4693">
        <w:rPr>
          <w:rStyle w:val="afffffffff3"/>
          <w:rFonts w:hint="cs"/>
          <w:rtl/>
        </w:rPr>
        <w:t xml:space="preserve">(עי' אות </w:t>
      </w:r>
      <w:r w:rsidRPr="00FE4693">
        <w:rPr>
          <w:rStyle w:val="afffffffff3"/>
          <w:rtl/>
        </w:rPr>
        <w:fldChar w:fldCharType="begin"/>
      </w:r>
      <w:r w:rsidRPr="00FE4693">
        <w:rPr>
          <w:rStyle w:val="afffffffff3"/>
          <w:rtl/>
        </w:rPr>
        <w:instrText xml:space="preserve"> </w:instrText>
      </w:r>
      <w:r w:rsidRPr="00FE4693">
        <w:rPr>
          <w:rStyle w:val="afffffffff3"/>
          <w:rFonts w:hint="cs"/>
        </w:rPr>
        <w:instrText>REF</w:instrText>
      </w:r>
      <w:r w:rsidRPr="00FE4693">
        <w:rPr>
          <w:rStyle w:val="afffffffff3"/>
          <w:rFonts w:hint="cs"/>
          <w:rtl/>
        </w:rPr>
        <w:instrText xml:space="preserve"> _</w:instrText>
      </w:r>
      <w:r w:rsidRPr="00FE4693">
        <w:rPr>
          <w:rStyle w:val="afffffffff3"/>
          <w:rFonts w:hint="cs"/>
        </w:rPr>
        <w:instrText>Ref143613976 \r \h</w:instrText>
      </w:r>
      <w:r w:rsidRPr="00FE4693">
        <w:rPr>
          <w:rStyle w:val="afffffffff3"/>
          <w:rtl/>
        </w:rPr>
        <w:instrText xml:space="preserve">  \* </w:instrText>
      </w:r>
      <w:r w:rsidRPr="00FE4693">
        <w:rPr>
          <w:rStyle w:val="afffffffff3"/>
        </w:rPr>
        <w:instrText>MERGEFORMAT</w:instrText>
      </w:r>
      <w:r w:rsidRPr="00FE4693">
        <w:rPr>
          <w:rStyle w:val="afffffffff3"/>
          <w:rtl/>
        </w:rPr>
        <w:instrText xml:space="preserve"> </w:instrText>
      </w:r>
      <w:r w:rsidRPr="00FE4693">
        <w:rPr>
          <w:rStyle w:val="afffffffff3"/>
          <w:rtl/>
        </w:rPr>
      </w:r>
      <w:r w:rsidRPr="00FE4693">
        <w:rPr>
          <w:rStyle w:val="afffffffff3"/>
          <w:rtl/>
        </w:rPr>
        <w:fldChar w:fldCharType="separate"/>
      </w:r>
      <w:r w:rsidR="00D82181">
        <w:rPr>
          <w:rStyle w:val="afffffffff3"/>
          <w:cs/>
        </w:rPr>
        <w:t>‎</w:t>
      </w:r>
      <w:r w:rsidR="00D82181">
        <w:rPr>
          <w:rStyle w:val="afffffffff3"/>
          <w:rtl/>
        </w:rPr>
        <w:t>פ)</w:t>
      </w:r>
      <w:r w:rsidRPr="00FE4693">
        <w:rPr>
          <w:rStyle w:val="afffffffff3"/>
          <w:rtl/>
        </w:rPr>
        <w:fldChar w:fldCharType="end"/>
      </w:r>
      <w:r>
        <w:rPr>
          <w:rtl/>
        </w:rPr>
        <w:t>,</w:t>
      </w:r>
      <w:r w:rsidRPr="00FE4693">
        <w:rPr>
          <w:rStyle w:val="aff4"/>
          <w:rFonts w:ascii="David" w:eastAsiaTheme="minorEastAsia" w:hAnsi="David" w:cs="David" w:hint="cs"/>
          <w:noProof w:val="0"/>
          <w:sz w:val="16"/>
          <w:szCs w:val="16"/>
          <w:rtl/>
        </w:rPr>
        <w:t xml:space="preserve"> </w:t>
      </w:r>
      <w:r w:rsidRPr="00FE4693">
        <w:rPr>
          <w:rStyle w:val="aff4"/>
          <w:rFonts w:ascii="David" w:eastAsiaTheme="minorEastAsia" w:hAnsi="David" w:cs="David"/>
          <w:noProof w:val="0"/>
          <w:sz w:val="16"/>
          <w:szCs w:val="16"/>
          <w:rtl/>
        </w:rPr>
        <w:fldChar w:fldCharType="begin"/>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hint="cs"/>
          <w:noProof w:val="0"/>
          <w:sz w:val="16"/>
          <w:szCs w:val="16"/>
        </w:rPr>
        <w:instrText>REF</w:instrText>
      </w:r>
      <w:r w:rsidRPr="00FE4693">
        <w:rPr>
          <w:rStyle w:val="aff4"/>
          <w:rFonts w:ascii="David" w:eastAsiaTheme="minorEastAsia" w:hAnsi="David" w:cs="David" w:hint="cs"/>
          <w:noProof w:val="0"/>
          <w:sz w:val="16"/>
          <w:szCs w:val="16"/>
          <w:rtl/>
        </w:rPr>
        <w:instrText xml:space="preserve"> _</w:instrText>
      </w:r>
      <w:r w:rsidRPr="00FE4693">
        <w:rPr>
          <w:rStyle w:val="aff4"/>
          <w:rFonts w:ascii="David" w:eastAsiaTheme="minorEastAsia" w:hAnsi="David" w:cs="David" w:hint="cs"/>
          <w:noProof w:val="0"/>
          <w:sz w:val="16"/>
          <w:szCs w:val="16"/>
        </w:rPr>
        <w:instrText>Ref143446850 \r \h</w:instrText>
      </w:r>
      <w:r w:rsidRPr="00FE4693">
        <w:rPr>
          <w:rStyle w:val="aff4"/>
          <w:rFonts w:ascii="David" w:eastAsiaTheme="minorEastAsia" w:hAnsi="David" w:cs="David"/>
          <w:noProof w:val="0"/>
          <w:sz w:val="16"/>
          <w:szCs w:val="16"/>
          <w:rtl/>
        </w:rPr>
        <w:instrText xml:space="preserve">  \* </w:instrText>
      </w:r>
      <w:r w:rsidRPr="00FE4693">
        <w:rPr>
          <w:rStyle w:val="aff4"/>
          <w:rFonts w:ascii="David" w:eastAsiaTheme="minorEastAsia" w:hAnsi="David" w:cs="David"/>
          <w:noProof w:val="0"/>
          <w:sz w:val="16"/>
          <w:szCs w:val="16"/>
        </w:rPr>
        <w:instrText>MERGEFORMAT</w:instrText>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tl/>
        </w:rPr>
      </w:r>
      <w:r w:rsidRPr="00FE4693">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ב)</w:t>
      </w:r>
      <w:r w:rsidRPr="00FE4693">
        <w:rPr>
          <w:rStyle w:val="aff4"/>
          <w:rFonts w:ascii="David" w:eastAsiaTheme="minorEastAsia" w:hAnsi="David" w:cs="David"/>
          <w:noProof w:val="0"/>
          <w:sz w:val="16"/>
          <w:szCs w:val="16"/>
          <w:rtl/>
        </w:rPr>
        <w:fldChar w:fldCharType="end"/>
      </w:r>
      <w:r w:rsidRPr="00FE4693">
        <w:rPr>
          <w:rStyle w:val="aff4"/>
          <w:rFonts w:ascii="David" w:eastAsiaTheme="minorEastAsia" w:hAnsi="David" w:cs="David" w:hint="cs"/>
          <w:noProof w:val="0"/>
          <w:sz w:val="16"/>
          <w:szCs w:val="16"/>
          <w:rtl/>
        </w:rPr>
        <w:t xml:space="preserve"> </w:t>
      </w:r>
      <w:r w:rsidRPr="003A14B9">
        <w:rPr>
          <w:rStyle w:val="aff4"/>
          <w:rFonts w:ascii="David" w:eastAsiaTheme="minorEastAsia" w:hAnsi="David" w:cs="David" w:hint="cs"/>
          <w:b w:val="0"/>
          <w:bCs w:val="0"/>
          <w:noProof w:val="0"/>
          <w:sz w:val="16"/>
          <w:szCs w:val="16"/>
          <w:rtl/>
        </w:rPr>
        <w:t>או"ש</w:t>
      </w:r>
      <w:r w:rsidRPr="003A14B9">
        <w:rPr>
          <w:rFonts w:hint="cs"/>
          <w:rtl/>
        </w:rPr>
        <w:t xml:space="preserve"> </w:t>
      </w:r>
      <w:r w:rsidRPr="00FE4693">
        <w:rPr>
          <w:rStyle w:val="afffffffff3"/>
          <w:rFonts w:hint="cs"/>
          <w:rtl/>
        </w:rPr>
        <w:t xml:space="preserve">(שבת פ"י הי"ב ד"ה </w:t>
      </w:r>
      <w:r w:rsidRPr="00FE4693">
        <w:rPr>
          <w:rStyle w:val="afffffffff3"/>
          <w:rtl/>
        </w:rPr>
        <w:t>וכבר כתבתי</w:t>
      </w:r>
      <w:r w:rsidRPr="00FE4693">
        <w:rPr>
          <w:rStyle w:val="afffffffff3"/>
          <w:rFonts w:hint="cs"/>
          <w:rtl/>
        </w:rPr>
        <w:t>)</w:t>
      </w:r>
      <w:r>
        <w:rPr>
          <w:rtl/>
        </w:rPr>
        <w:t>,</w:t>
      </w:r>
      <w:r w:rsidRPr="00FE4693">
        <w:rPr>
          <w:rFonts w:hint="cs"/>
          <w:b/>
          <w:bCs/>
          <w:rtl/>
        </w:rPr>
        <w:t xml:space="preserve"> </w:t>
      </w:r>
      <w:r w:rsidRPr="00FE4693">
        <w:rPr>
          <w:b/>
          <w:bCs/>
          <w:rtl/>
        </w:rPr>
        <w:fldChar w:fldCharType="begin"/>
      </w:r>
      <w:r w:rsidRPr="00FE4693">
        <w:rPr>
          <w:b/>
          <w:bCs/>
          <w:rtl/>
        </w:rPr>
        <w:instrText xml:space="preserve"> </w:instrText>
      </w:r>
      <w:r w:rsidRPr="00FE4693">
        <w:rPr>
          <w:rFonts w:hint="cs"/>
          <w:b/>
          <w:bCs/>
        </w:rPr>
        <w:instrText>REF</w:instrText>
      </w:r>
      <w:r w:rsidRPr="00FE4693">
        <w:rPr>
          <w:rFonts w:hint="cs"/>
          <w:b/>
          <w:bCs/>
          <w:rtl/>
        </w:rPr>
        <w:instrText xml:space="preserve"> _</w:instrText>
      </w:r>
      <w:r w:rsidRPr="00FE4693">
        <w:rPr>
          <w:rFonts w:hint="cs"/>
          <w:b/>
          <w:bCs/>
        </w:rPr>
        <w:instrText>Ref143551149 \r \h</w:instrText>
      </w:r>
      <w:r w:rsidRPr="00FE4693">
        <w:rPr>
          <w:b/>
          <w:bCs/>
          <w:rtl/>
        </w:rPr>
        <w:instrText xml:space="preserve">  \* </w:instrText>
      </w:r>
      <w:r w:rsidRPr="00FE4693">
        <w:rPr>
          <w:b/>
          <w:bCs/>
        </w:rPr>
        <w:instrText>MERGEFORMAT</w:instrText>
      </w:r>
      <w:r w:rsidRPr="00FE4693">
        <w:rPr>
          <w:b/>
          <w:bCs/>
          <w:rtl/>
        </w:rPr>
        <w:instrText xml:space="preserve"> </w:instrText>
      </w:r>
      <w:r w:rsidRPr="00FE4693">
        <w:rPr>
          <w:b/>
          <w:bCs/>
          <w:rtl/>
        </w:rPr>
      </w:r>
      <w:r w:rsidRPr="00FE4693">
        <w:rPr>
          <w:b/>
          <w:bCs/>
          <w:rtl/>
        </w:rPr>
        <w:fldChar w:fldCharType="separate"/>
      </w:r>
      <w:r w:rsidR="00D82181">
        <w:rPr>
          <w:b/>
          <w:bCs/>
          <w:cs/>
        </w:rPr>
        <w:t>‎</w:t>
      </w:r>
      <w:r w:rsidR="00D82181">
        <w:rPr>
          <w:b/>
          <w:bCs/>
          <w:rtl/>
        </w:rPr>
        <w:t>ד)</w:t>
      </w:r>
      <w:r w:rsidRPr="00FE4693">
        <w:rPr>
          <w:b/>
          <w:bCs/>
          <w:rtl/>
        </w:rPr>
        <w:fldChar w:fldCharType="end"/>
      </w:r>
      <w:r w:rsidRPr="00FE4693">
        <w:rPr>
          <w:rFonts w:hint="cs"/>
          <w:b/>
          <w:bCs/>
          <w:rtl/>
        </w:rPr>
        <w:t xml:space="preserve"> </w:t>
      </w:r>
      <w:r w:rsidRPr="003A14B9">
        <w:rPr>
          <w:rFonts w:hint="cs"/>
          <w:rtl/>
        </w:rPr>
        <w:t xml:space="preserve">רש"י </w:t>
      </w:r>
      <w:r w:rsidRPr="00FE4693">
        <w:rPr>
          <w:rStyle w:val="afffffffff3"/>
          <w:rFonts w:hint="cs"/>
          <w:rtl/>
        </w:rPr>
        <w:t>(ד"ה המצדד)</w:t>
      </w:r>
      <w:r>
        <w:rPr>
          <w:rtl/>
        </w:rPr>
        <w:t>,</w:t>
      </w:r>
      <w:r w:rsidRPr="00FE4693">
        <w:rPr>
          <w:rStyle w:val="aff4"/>
          <w:rFonts w:ascii="David" w:eastAsiaTheme="minorEastAsia" w:hAnsi="David" w:cs="David" w:hint="cs"/>
          <w:noProof w:val="0"/>
          <w:sz w:val="16"/>
          <w:szCs w:val="16"/>
          <w:rtl/>
        </w:rPr>
        <w:t xml:space="preserve"> </w:t>
      </w:r>
      <w:r w:rsidRPr="00FE4693">
        <w:rPr>
          <w:rStyle w:val="aff4"/>
          <w:rFonts w:ascii="David" w:eastAsiaTheme="minorEastAsia" w:hAnsi="David" w:cs="David"/>
          <w:noProof w:val="0"/>
          <w:sz w:val="16"/>
          <w:szCs w:val="16"/>
          <w:rtl/>
        </w:rPr>
        <w:fldChar w:fldCharType="begin"/>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hint="cs"/>
          <w:noProof w:val="0"/>
          <w:sz w:val="16"/>
          <w:szCs w:val="16"/>
        </w:rPr>
        <w:instrText>REF</w:instrText>
      </w:r>
      <w:r w:rsidRPr="00FE4693">
        <w:rPr>
          <w:rStyle w:val="aff4"/>
          <w:rFonts w:ascii="David" w:eastAsiaTheme="minorEastAsia" w:hAnsi="David" w:cs="David" w:hint="cs"/>
          <w:noProof w:val="0"/>
          <w:sz w:val="16"/>
          <w:szCs w:val="16"/>
          <w:rtl/>
        </w:rPr>
        <w:instrText xml:space="preserve"> _</w:instrText>
      </w:r>
      <w:r w:rsidRPr="00FE4693">
        <w:rPr>
          <w:rStyle w:val="aff4"/>
          <w:rFonts w:ascii="David" w:eastAsiaTheme="minorEastAsia" w:hAnsi="David" w:cs="David" w:hint="cs"/>
          <w:noProof w:val="0"/>
          <w:sz w:val="16"/>
          <w:szCs w:val="16"/>
        </w:rPr>
        <w:instrText>Ref143550628 \r \h</w:instrText>
      </w:r>
      <w:r w:rsidRPr="00FE4693">
        <w:rPr>
          <w:rStyle w:val="aff4"/>
          <w:rFonts w:ascii="David" w:eastAsiaTheme="minorEastAsia" w:hAnsi="David" w:cs="David"/>
          <w:noProof w:val="0"/>
          <w:sz w:val="16"/>
          <w:szCs w:val="16"/>
          <w:rtl/>
        </w:rPr>
        <w:instrText xml:space="preserve">  \* </w:instrText>
      </w:r>
      <w:r w:rsidRPr="00FE4693">
        <w:rPr>
          <w:rStyle w:val="aff4"/>
          <w:rFonts w:ascii="David" w:eastAsiaTheme="minorEastAsia" w:hAnsi="David" w:cs="David"/>
          <w:noProof w:val="0"/>
          <w:sz w:val="16"/>
          <w:szCs w:val="16"/>
        </w:rPr>
        <w:instrText>MERGEFORMAT</w:instrText>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tl/>
        </w:rPr>
      </w:r>
      <w:r w:rsidRPr="00FE4693">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ה)</w:t>
      </w:r>
      <w:r w:rsidRPr="00FE4693">
        <w:rPr>
          <w:rStyle w:val="aff4"/>
          <w:rFonts w:ascii="David" w:eastAsiaTheme="minorEastAsia" w:hAnsi="David" w:cs="David"/>
          <w:noProof w:val="0"/>
          <w:sz w:val="16"/>
          <w:szCs w:val="16"/>
          <w:rtl/>
        </w:rPr>
        <w:fldChar w:fldCharType="end"/>
      </w:r>
      <w:r w:rsidRPr="00FE4693">
        <w:rPr>
          <w:rStyle w:val="aff4"/>
          <w:rFonts w:ascii="David" w:eastAsiaTheme="minorEastAsia" w:hAnsi="David" w:cs="David" w:hint="cs"/>
          <w:noProof w:val="0"/>
          <w:sz w:val="16"/>
          <w:szCs w:val="16"/>
          <w:rtl/>
        </w:rPr>
        <w:t xml:space="preserve"> </w:t>
      </w:r>
      <w:r w:rsidRPr="003A14B9">
        <w:rPr>
          <w:rStyle w:val="aff4"/>
          <w:rFonts w:ascii="David" w:eastAsiaTheme="minorEastAsia" w:hAnsi="David" w:cs="David" w:hint="cs"/>
          <w:b w:val="0"/>
          <w:bCs w:val="0"/>
          <w:noProof w:val="0"/>
          <w:sz w:val="16"/>
          <w:szCs w:val="16"/>
          <w:rtl/>
        </w:rPr>
        <w:t>רמב"ם</w:t>
      </w:r>
      <w:r w:rsidRPr="003A14B9">
        <w:rPr>
          <w:rFonts w:hint="cs"/>
          <w:rtl/>
        </w:rPr>
        <w:t xml:space="preserve"> </w:t>
      </w:r>
      <w:r w:rsidRPr="00FE4693">
        <w:rPr>
          <w:rStyle w:val="afffffffff3"/>
          <w:rFonts w:hint="cs"/>
          <w:rtl/>
        </w:rPr>
        <w:t>(שבת פ"י הי"ב)</w:t>
      </w:r>
      <w:r>
        <w:rPr>
          <w:rtl/>
        </w:rPr>
        <w:t>,</w:t>
      </w:r>
      <w:r w:rsidRPr="00FE4693">
        <w:rPr>
          <w:rStyle w:val="aff4"/>
          <w:rFonts w:ascii="David" w:eastAsiaTheme="minorEastAsia" w:hAnsi="David" w:cs="David" w:hint="cs"/>
          <w:noProof w:val="0"/>
          <w:sz w:val="16"/>
          <w:szCs w:val="16"/>
          <w:rtl/>
        </w:rPr>
        <w:t xml:space="preserve"> </w:t>
      </w:r>
      <w:r w:rsidRPr="00FE4693">
        <w:rPr>
          <w:rStyle w:val="aff4"/>
          <w:rFonts w:ascii="David" w:eastAsiaTheme="minorEastAsia" w:hAnsi="David" w:cs="David"/>
          <w:noProof w:val="0"/>
          <w:sz w:val="16"/>
          <w:szCs w:val="16"/>
          <w:rtl/>
        </w:rPr>
        <w:fldChar w:fldCharType="begin"/>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hint="cs"/>
          <w:noProof w:val="0"/>
          <w:sz w:val="16"/>
          <w:szCs w:val="16"/>
        </w:rPr>
        <w:instrText>REF</w:instrText>
      </w:r>
      <w:r w:rsidRPr="00FE4693">
        <w:rPr>
          <w:rStyle w:val="aff4"/>
          <w:rFonts w:ascii="David" w:eastAsiaTheme="minorEastAsia" w:hAnsi="David" w:cs="David" w:hint="cs"/>
          <w:noProof w:val="0"/>
          <w:sz w:val="16"/>
          <w:szCs w:val="16"/>
          <w:rtl/>
        </w:rPr>
        <w:instrText xml:space="preserve"> _</w:instrText>
      </w:r>
      <w:r w:rsidRPr="00FE4693">
        <w:rPr>
          <w:rStyle w:val="aff4"/>
          <w:rFonts w:ascii="David" w:eastAsiaTheme="minorEastAsia" w:hAnsi="David" w:cs="David" w:hint="cs"/>
          <w:noProof w:val="0"/>
          <w:sz w:val="16"/>
          <w:szCs w:val="16"/>
        </w:rPr>
        <w:instrText>Ref142817548 \r \h</w:instrText>
      </w:r>
      <w:r w:rsidRPr="00FE4693">
        <w:rPr>
          <w:rStyle w:val="aff4"/>
          <w:rFonts w:ascii="David" w:eastAsiaTheme="minorEastAsia" w:hAnsi="David" w:cs="David"/>
          <w:noProof w:val="0"/>
          <w:sz w:val="16"/>
          <w:szCs w:val="16"/>
          <w:rtl/>
        </w:rPr>
        <w:instrText xml:space="preserve">  \* </w:instrText>
      </w:r>
      <w:r w:rsidRPr="00FE4693">
        <w:rPr>
          <w:rStyle w:val="aff4"/>
          <w:rFonts w:ascii="David" w:eastAsiaTheme="minorEastAsia" w:hAnsi="David" w:cs="David"/>
          <w:noProof w:val="0"/>
          <w:sz w:val="16"/>
          <w:szCs w:val="16"/>
        </w:rPr>
        <w:instrText>MERGEFORMAT</w:instrText>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tl/>
        </w:rPr>
      </w:r>
      <w:r w:rsidRPr="00FE4693">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ו)</w:t>
      </w:r>
      <w:r w:rsidRPr="00FE4693">
        <w:rPr>
          <w:rStyle w:val="aff4"/>
          <w:rFonts w:ascii="David" w:eastAsiaTheme="minorEastAsia" w:hAnsi="David" w:cs="David"/>
          <w:noProof w:val="0"/>
          <w:sz w:val="16"/>
          <w:szCs w:val="16"/>
          <w:rtl/>
        </w:rPr>
        <w:fldChar w:fldCharType="end"/>
      </w:r>
      <w:r w:rsidRPr="00FE4693">
        <w:rPr>
          <w:rStyle w:val="aff4"/>
          <w:rFonts w:ascii="David" w:eastAsiaTheme="minorEastAsia" w:hAnsi="David" w:cs="David" w:hint="cs"/>
          <w:noProof w:val="0"/>
          <w:sz w:val="16"/>
          <w:szCs w:val="16"/>
          <w:rtl/>
        </w:rPr>
        <w:t xml:space="preserve"> </w:t>
      </w:r>
      <w:r w:rsidRPr="003A14B9">
        <w:rPr>
          <w:rStyle w:val="aff4"/>
          <w:rFonts w:ascii="David" w:eastAsiaTheme="minorEastAsia" w:hAnsi="David" w:cs="David" w:hint="cs"/>
          <w:b w:val="0"/>
          <w:bCs w:val="0"/>
          <w:noProof w:val="0"/>
          <w:sz w:val="16"/>
          <w:szCs w:val="16"/>
          <w:rtl/>
        </w:rPr>
        <w:t>שו"ת הרדב"ז</w:t>
      </w:r>
      <w:r w:rsidRPr="003A14B9">
        <w:rPr>
          <w:rFonts w:hint="cs"/>
          <w:rtl/>
        </w:rPr>
        <w:t xml:space="preserve"> </w:t>
      </w:r>
      <w:r w:rsidRPr="00FE4693">
        <w:rPr>
          <w:rStyle w:val="afffffffff3"/>
          <w:rFonts w:hint="cs"/>
          <w:rtl/>
        </w:rPr>
        <w:t>(ח"ה ללשונות הרמב"ם סו"ס אלף תקצ"ט)</w:t>
      </w:r>
      <w:r>
        <w:rPr>
          <w:rtl/>
        </w:rPr>
        <w:t>,</w:t>
      </w:r>
      <w:r w:rsidRPr="00FE4693">
        <w:rPr>
          <w:rFonts w:hint="cs"/>
          <w:b/>
          <w:bCs/>
          <w:rtl/>
        </w:rPr>
        <w:t xml:space="preserve"> </w:t>
      </w:r>
      <w:r w:rsidRPr="00FE4693">
        <w:rPr>
          <w:b/>
          <w:bCs/>
          <w:rtl/>
        </w:rPr>
        <w:fldChar w:fldCharType="begin"/>
      </w:r>
      <w:r w:rsidRPr="00FE4693">
        <w:rPr>
          <w:b/>
          <w:bCs/>
          <w:rtl/>
        </w:rPr>
        <w:instrText xml:space="preserve"> </w:instrText>
      </w:r>
      <w:r w:rsidRPr="00FE4693">
        <w:rPr>
          <w:rFonts w:hint="cs"/>
          <w:b/>
          <w:bCs/>
        </w:rPr>
        <w:instrText>REF</w:instrText>
      </w:r>
      <w:r w:rsidRPr="00FE4693">
        <w:rPr>
          <w:rFonts w:hint="cs"/>
          <w:b/>
          <w:bCs/>
          <w:rtl/>
        </w:rPr>
        <w:instrText xml:space="preserve"> _</w:instrText>
      </w:r>
      <w:r w:rsidRPr="00FE4693">
        <w:rPr>
          <w:rFonts w:hint="cs"/>
          <w:b/>
          <w:bCs/>
        </w:rPr>
        <w:instrText>Ref143462347 \r \h</w:instrText>
      </w:r>
      <w:r w:rsidRPr="00FE4693">
        <w:rPr>
          <w:b/>
          <w:bCs/>
          <w:rtl/>
        </w:rPr>
        <w:instrText xml:space="preserve">  \* </w:instrText>
      </w:r>
      <w:r w:rsidRPr="00FE4693">
        <w:rPr>
          <w:b/>
          <w:bCs/>
        </w:rPr>
        <w:instrText>MERGEFORMAT</w:instrText>
      </w:r>
      <w:r w:rsidRPr="00FE4693">
        <w:rPr>
          <w:b/>
          <w:bCs/>
          <w:rtl/>
        </w:rPr>
        <w:instrText xml:space="preserve"> </w:instrText>
      </w:r>
      <w:r w:rsidRPr="00FE4693">
        <w:rPr>
          <w:b/>
          <w:bCs/>
          <w:rtl/>
        </w:rPr>
      </w:r>
      <w:r w:rsidRPr="00FE4693">
        <w:rPr>
          <w:b/>
          <w:bCs/>
          <w:rtl/>
        </w:rPr>
        <w:fldChar w:fldCharType="separate"/>
      </w:r>
      <w:r w:rsidR="00D82181">
        <w:rPr>
          <w:b/>
          <w:bCs/>
          <w:cs/>
        </w:rPr>
        <w:t>‎</w:t>
      </w:r>
      <w:r w:rsidR="00D82181">
        <w:rPr>
          <w:b/>
          <w:bCs/>
          <w:rtl/>
        </w:rPr>
        <w:t>ז)</w:t>
      </w:r>
      <w:r w:rsidRPr="00FE4693">
        <w:rPr>
          <w:b/>
          <w:bCs/>
          <w:rtl/>
        </w:rPr>
        <w:fldChar w:fldCharType="end"/>
      </w:r>
      <w:r w:rsidRPr="00FE4693">
        <w:rPr>
          <w:rFonts w:hint="cs"/>
          <w:b/>
          <w:bCs/>
          <w:rtl/>
        </w:rPr>
        <w:t xml:space="preserve"> </w:t>
      </w:r>
      <w:r w:rsidRPr="003A14B9">
        <w:rPr>
          <w:rStyle w:val="aff4"/>
          <w:rFonts w:ascii="David" w:eastAsiaTheme="minorEastAsia" w:hAnsi="David" w:cs="David" w:hint="cs"/>
          <w:b w:val="0"/>
          <w:bCs w:val="0"/>
          <w:noProof w:val="0"/>
          <w:sz w:val="16"/>
          <w:szCs w:val="16"/>
          <w:rtl/>
        </w:rPr>
        <w:t>רש"י בעירובין</w:t>
      </w:r>
      <w:r w:rsidRPr="003A14B9">
        <w:rPr>
          <w:rFonts w:hint="cs"/>
          <w:rtl/>
        </w:rPr>
        <w:t xml:space="preserve"> </w:t>
      </w:r>
      <w:r w:rsidRPr="00FE4693">
        <w:rPr>
          <w:rStyle w:val="afffffffff3"/>
          <w:rFonts w:hint="cs"/>
          <w:rtl/>
        </w:rPr>
        <w:t>(קב: ד"ה של)</w:t>
      </w:r>
      <w:r>
        <w:rPr>
          <w:rtl/>
        </w:rPr>
        <w:t>,</w:t>
      </w:r>
      <w:r w:rsidRPr="00FE4693">
        <w:rPr>
          <w:rStyle w:val="aff4"/>
          <w:rFonts w:ascii="David" w:eastAsiaTheme="minorEastAsia" w:hAnsi="David" w:cs="David" w:hint="cs"/>
          <w:noProof w:val="0"/>
          <w:sz w:val="16"/>
          <w:szCs w:val="16"/>
          <w:rtl/>
        </w:rPr>
        <w:t xml:space="preserve"> </w:t>
      </w:r>
      <w:r w:rsidRPr="00FE4693">
        <w:rPr>
          <w:rStyle w:val="aff4"/>
          <w:rFonts w:ascii="David" w:eastAsiaTheme="minorEastAsia" w:hAnsi="David" w:cs="David"/>
          <w:noProof w:val="0"/>
          <w:sz w:val="16"/>
          <w:szCs w:val="16"/>
          <w:rtl/>
        </w:rPr>
        <w:fldChar w:fldCharType="begin"/>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hint="cs"/>
          <w:noProof w:val="0"/>
          <w:sz w:val="16"/>
          <w:szCs w:val="16"/>
        </w:rPr>
        <w:instrText>REF</w:instrText>
      </w:r>
      <w:r w:rsidRPr="00FE4693">
        <w:rPr>
          <w:rStyle w:val="aff4"/>
          <w:rFonts w:ascii="David" w:eastAsiaTheme="minorEastAsia" w:hAnsi="David" w:cs="David" w:hint="cs"/>
          <w:noProof w:val="0"/>
          <w:sz w:val="16"/>
          <w:szCs w:val="16"/>
          <w:rtl/>
        </w:rPr>
        <w:instrText xml:space="preserve"> _</w:instrText>
      </w:r>
      <w:r w:rsidRPr="00FE4693">
        <w:rPr>
          <w:rStyle w:val="aff4"/>
          <w:rFonts w:ascii="David" w:eastAsiaTheme="minorEastAsia" w:hAnsi="David" w:cs="David" w:hint="cs"/>
          <w:noProof w:val="0"/>
          <w:sz w:val="16"/>
          <w:szCs w:val="16"/>
        </w:rPr>
        <w:instrText>Ref143159409 \r \h</w:instrText>
      </w:r>
      <w:r w:rsidRPr="00FE4693">
        <w:rPr>
          <w:rStyle w:val="aff4"/>
          <w:rFonts w:ascii="David" w:eastAsiaTheme="minorEastAsia" w:hAnsi="David" w:cs="David"/>
          <w:noProof w:val="0"/>
          <w:sz w:val="16"/>
          <w:szCs w:val="16"/>
          <w:rtl/>
        </w:rPr>
        <w:instrText xml:space="preserve">  \* </w:instrText>
      </w:r>
      <w:r w:rsidRPr="00FE4693">
        <w:rPr>
          <w:rStyle w:val="aff4"/>
          <w:rFonts w:ascii="David" w:eastAsiaTheme="minorEastAsia" w:hAnsi="David" w:cs="David"/>
          <w:noProof w:val="0"/>
          <w:sz w:val="16"/>
          <w:szCs w:val="16"/>
        </w:rPr>
        <w:instrText>MERGEFORMAT</w:instrText>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tl/>
        </w:rPr>
      </w:r>
      <w:r w:rsidRPr="00FE4693">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ח)</w:t>
      </w:r>
      <w:r w:rsidRPr="00FE4693">
        <w:rPr>
          <w:rStyle w:val="aff4"/>
          <w:rFonts w:ascii="David" w:eastAsiaTheme="minorEastAsia" w:hAnsi="David" w:cs="David"/>
          <w:noProof w:val="0"/>
          <w:sz w:val="16"/>
          <w:szCs w:val="16"/>
          <w:rtl/>
        </w:rPr>
        <w:fldChar w:fldCharType="end"/>
      </w:r>
      <w:r w:rsidRPr="00FE4693">
        <w:rPr>
          <w:rStyle w:val="aff4"/>
          <w:rFonts w:ascii="David" w:eastAsiaTheme="minorEastAsia" w:hAnsi="David" w:cs="David" w:hint="cs"/>
          <w:noProof w:val="0"/>
          <w:sz w:val="16"/>
          <w:szCs w:val="16"/>
          <w:rtl/>
        </w:rPr>
        <w:t xml:space="preserve"> </w:t>
      </w:r>
      <w:r>
        <w:rPr>
          <w:rStyle w:val="aff4"/>
          <w:rFonts w:ascii="David" w:eastAsiaTheme="minorEastAsia" w:hAnsi="David" w:cs="David" w:hint="cs"/>
          <w:b w:val="0"/>
          <w:bCs w:val="0"/>
          <w:noProof w:val="0"/>
          <w:sz w:val="16"/>
          <w:szCs w:val="16"/>
          <w:rtl/>
        </w:rPr>
        <w:t>תוס'</w:t>
      </w:r>
      <w:r w:rsidRPr="003A14B9">
        <w:rPr>
          <w:rFonts w:hint="cs"/>
          <w:rtl/>
        </w:rPr>
        <w:t xml:space="preserve"> </w:t>
      </w:r>
      <w:r w:rsidRPr="00FE4693">
        <w:rPr>
          <w:rStyle w:val="afffffffff3"/>
          <w:rFonts w:hint="cs"/>
          <w:rtl/>
        </w:rPr>
        <w:t>(ד"ה כל שהוא)</w:t>
      </w:r>
      <w:r>
        <w:rPr>
          <w:rStyle w:val="aff4"/>
          <w:rFonts w:ascii="David" w:eastAsiaTheme="minorEastAsia" w:hAnsi="David" w:cs="David" w:hint="cs"/>
          <w:b w:val="0"/>
          <w:bCs w:val="0"/>
          <w:noProof w:val="0"/>
          <w:sz w:val="16"/>
          <w:szCs w:val="16"/>
          <w:rtl/>
        </w:rPr>
        <w:t xml:space="preserve"> </w:t>
      </w:r>
      <w:r w:rsidRPr="003A14B9">
        <w:rPr>
          <w:rStyle w:val="aff4"/>
          <w:rFonts w:ascii="David" w:eastAsiaTheme="minorEastAsia" w:hAnsi="David" w:cs="David" w:hint="cs"/>
          <w:b w:val="0"/>
          <w:bCs w:val="0"/>
          <w:noProof w:val="0"/>
          <w:sz w:val="16"/>
          <w:szCs w:val="16"/>
          <w:rtl/>
        </w:rPr>
        <w:t>ריטב"א</w:t>
      </w:r>
      <w:r w:rsidRPr="003A14B9">
        <w:rPr>
          <w:rFonts w:hint="cs"/>
          <w:rtl/>
        </w:rPr>
        <w:t xml:space="preserve"> </w:t>
      </w:r>
      <w:r w:rsidRPr="00FE4693">
        <w:rPr>
          <w:rStyle w:val="afffffffff3"/>
          <w:rFonts w:hint="cs"/>
          <w:rtl/>
        </w:rPr>
        <w:t>(ד"ה כל שהוא)</w:t>
      </w:r>
      <w:r>
        <w:rPr>
          <w:rtl/>
        </w:rPr>
        <w:t>,</w:t>
      </w:r>
      <w:r w:rsidRPr="00FE4693">
        <w:rPr>
          <w:rStyle w:val="aff4"/>
          <w:rFonts w:ascii="David" w:eastAsiaTheme="minorEastAsia" w:hAnsi="David" w:cs="David" w:hint="cs"/>
          <w:noProof w:val="0"/>
          <w:sz w:val="16"/>
          <w:szCs w:val="16"/>
          <w:rtl/>
        </w:rPr>
        <w:t xml:space="preserve"> </w:t>
      </w:r>
      <w:r w:rsidRPr="00FE4693">
        <w:rPr>
          <w:rStyle w:val="aff4"/>
          <w:rFonts w:ascii="David" w:eastAsiaTheme="minorEastAsia" w:hAnsi="David" w:cs="David"/>
          <w:noProof w:val="0"/>
          <w:sz w:val="16"/>
          <w:szCs w:val="16"/>
          <w:rtl/>
        </w:rPr>
        <w:fldChar w:fldCharType="begin"/>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hint="cs"/>
          <w:noProof w:val="0"/>
          <w:sz w:val="16"/>
          <w:szCs w:val="16"/>
        </w:rPr>
        <w:instrText>REF</w:instrText>
      </w:r>
      <w:r w:rsidRPr="00FE4693">
        <w:rPr>
          <w:rStyle w:val="aff4"/>
          <w:rFonts w:ascii="David" w:eastAsiaTheme="minorEastAsia" w:hAnsi="David" w:cs="David" w:hint="cs"/>
          <w:noProof w:val="0"/>
          <w:sz w:val="16"/>
          <w:szCs w:val="16"/>
          <w:rtl/>
        </w:rPr>
        <w:instrText xml:space="preserve"> _</w:instrText>
      </w:r>
      <w:r w:rsidRPr="00FE4693">
        <w:rPr>
          <w:rStyle w:val="aff4"/>
          <w:rFonts w:ascii="David" w:eastAsiaTheme="minorEastAsia" w:hAnsi="David" w:cs="David" w:hint="cs"/>
          <w:noProof w:val="0"/>
          <w:sz w:val="16"/>
          <w:szCs w:val="16"/>
        </w:rPr>
        <w:instrText>Ref142817831 \r \h</w:instrText>
      </w:r>
      <w:r w:rsidRPr="00FE4693">
        <w:rPr>
          <w:rStyle w:val="aff4"/>
          <w:rFonts w:ascii="David" w:eastAsiaTheme="minorEastAsia" w:hAnsi="David" w:cs="David"/>
          <w:noProof w:val="0"/>
          <w:sz w:val="16"/>
          <w:szCs w:val="16"/>
          <w:rtl/>
        </w:rPr>
        <w:instrText xml:space="preserve">  \* </w:instrText>
      </w:r>
      <w:r w:rsidRPr="00FE4693">
        <w:rPr>
          <w:rStyle w:val="aff4"/>
          <w:rFonts w:ascii="David" w:eastAsiaTheme="minorEastAsia" w:hAnsi="David" w:cs="David"/>
          <w:noProof w:val="0"/>
          <w:sz w:val="16"/>
          <w:szCs w:val="16"/>
        </w:rPr>
        <w:instrText>MERGEFORMAT</w:instrText>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tl/>
        </w:rPr>
      </w:r>
      <w:r w:rsidRPr="00FE4693">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ט)</w:t>
      </w:r>
      <w:r w:rsidRPr="00FE4693">
        <w:rPr>
          <w:rStyle w:val="aff4"/>
          <w:rFonts w:ascii="David" w:eastAsiaTheme="minorEastAsia" w:hAnsi="David" w:cs="David"/>
          <w:noProof w:val="0"/>
          <w:sz w:val="16"/>
          <w:szCs w:val="16"/>
          <w:rtl/>
        </w:rPr>
        <w:fldChar w:fldCharType="end"/>
      </w:r>
      <w:r w:rsidRPr="00FE4693">
        <w:rPr>
          <w:rStyle w:val="aff4"/>
          <w:rFonts w:ascii="David" w:eastAsiaTheme="minorEastAsia" w:hAnsi="David" w:cs="David" w:hint="cs"/>
          <w:noProof w:val="0"/>
          <w:sz w:val="16"/>
          <w:szCs w:val="16"/>
          <w:rtl/>
        </w:rPr>
        <w:t xml:space="preserve"> </w:t>
      </w:r>
      <w:r w:rsidRPr="003A14B9">
        <w:rPr>
          <w:rStyle w:val="aff4"/>
          <w:rFonts w:ascii="David" w:eastAsiaTheme="minorEastAsia" w:hAnsi="David" w:cs="David"/>
          <w:b w:val="0"/>
          <w:bCs w:val="0"/>
          <w:noProof w:val="0"/>
          <w:sz w:val="16"/>
          <w:szCs w:val="16"/>
          <w:rtl/>
        </w:rPr>
        <w:t>חידושי רבינו משה קזיס</w:t>
      </w:r>
      <w:r w:rsidRPr="003A14B9">
        <w:rPr>
          <w:rFonts w:hint="cs"/>
          <w:rtl/>
        </w:rPr>
        <w:t xml:space="preserve"> </w:t>
      </w:r>
      <w:r w:rsidRPr="00FE4693">
        <w:rPr>
          <w:rStyle w:val="afffffffff3"/>
          <w:rFonts w:hint="cs"/>
          <w:rtl/>
        </w:rPr>
        <w:t>(ריש</w:t>
      </w:r>
      <w:r w:rsidRPr="00FE4693">
        <w:rPr>
          <w:rStyle w:val="afffffffff3"/>
          <w:rtl/>
        </w:rPr>
        <w:t xml:space="preserve"> פ' הבונה ד"ה </w:t>
      </w:r>
      <w:r w:rsidRPr="00FE4693">
        <w:rPr>
          <w:rStyle w:val="afffffffff3"/>
          <w:rFonts w:hint="cs"/>
          <w:rtl/>
        </w:rPr>
        <w:t>הא)</w:t>
      </w:r>
      <w:r>
        <w:rPr>
          <w:rtl/>
        </w:rPr>
        <w:t>,</w:t>
      </w:r>
      <w:r w:rsidRPr="00FE4693">
        <w:rPr>
          <w:rStyle w:val="aff4"/>
          <w:rFonts w:ascii="David" w:eastAsiaTheme="minorEastAsia" w:hAnsi="David" w:cs="David" w:hint="cs"/>
          <w:noProof w:val="0"/>
          <w:sz w:val="16"/>
          <w:szCs w:val="16"/>
          <w:rtl/>
        </w:rPr>
        <w:t xml:space="preserve"> </w:t>
      </w:r>
      <w:r w:rsidRPr="00FE4693">
        <w:rPr>
          <w:rStyle w:val="aff4"/>
          <w:rFonts w:ascii="David" w:eastAsiaTheme="minorEastAsia" w:hAnsi="David" w:cs="David"/>
          <w:noProof w:val="0"/>
          <w:sz w:val="16"/>
          <w:szCs w:val="16"/>
          <w:rtl/>
        </w:rPr>
        <w:fldChar w:fldCharType="begin"/>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hint="cs"/>
          <w:noProof w:val="0"/>
          <w:sz w:val="16"/>
          <w:szCs w:val="16"/>
        </w:rPr>
        <w:instrText>REF</w:instrText>
      </w:r>
      <w:r w:rsidRPr="00FE4693">
        <w:rPr>
          <w:rStyle w:val="aff4"/>
          <w:rFonts w:ascii="David" w:eastAsiaTheme="minorEastAsia" w:hAnsi="David" w:cs="David" w:hint="cs"/>
          <w:noProof w:val="0"/>
          <w:sz w:val="16"/>
          <w:szCs w:val="16"/>
          <w:rtl/>
        </w:rPr>
        <w:instrText xml:space="preserve"> _</w:instrText>
      </w:r>
      <w:r w:rsidRPr="00FE4693">
        <w:rPr>
          <w:rStyle w:val="aff4"/>
          <w:rFonts w:ascii="David" w:eastAsiaTheme="minorEastAsia" w:hAnsi="David" w:cs="David" w:hint="cs"/>
          <w:noProof w:val="0"/>
          <w:sz w:val="16"/>
          <w:szCs w:val="16"/>
        </w:rPr>
        <w:instrText>Ref142817501 \r \h</w:instrText>
      </w:r>
      <w:r w:rsidRPr="00FE4693">
        <w:rPr>
          <w:rStyle w:val="aff4"/>
          <w:rFonts w:ascii="David" w:eastAsiaTheme="minorEastAsia" w:hAnsi="David" w:cs="David"/>
          <w:noProof w:val="0"/>
          <w:sz w:val="16"/>
          <w:szCs w:val="16"/>
          <w:rtl/>
        </w:rPr>
        <w:instrText xml:space="preserve">  \* </w:instrText>
      </w:r>
      <w:r w:rsidRPr="00FE4693">
        <w:rPr>
          <w:rStyle w:val="aff4"/>
          <w:rFonts w:ascii="David" w:eastAsiaTheme="minorEastAsia" w:hAnsi="David" w:cs="David"/>
          <w:noProof w:val="0"/>
          <w:sz w:val="16"/>
          <w:szCs w:val="16"/>
        </w:rPr>
        <w:instrText>MERGEFORMAT</w:instrText>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tl/>
        </w:rPr>
      </w:r>
      <w:r w:rsidRPr="00FE4693">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י)</w:t>
      </w:r>
      <w:r w:rsidRPr="00FE4693">
        <w:rPr>
          <w:rStyle w:val="aff4"/>
          <w:rFonts w:ascii="David" w:eastAsiaTheme="minorEastAsia" w:hAnsi="David" w:cs="David"/>
          <w:noProof w:val="0"/>
          <w:sz w:val="16"/>
          <w:szCs w:val="16"/>
          <w:rtl/>
        </w:rPr>
        <w:fldChar w:fldCharType="end"/>
      </w:r>
      <w:r w:rsidRPr="00FE4693">
        <w:rPr>
          <w:rStyle w:val="aff4"/>
          <w:rFonts w:ascii="David" w:eastAsiaTheme="minorEastAsia" w:hAnsi="David" w:cs="David" w:hint="cs"/>
          <w:noProof w:val="0"/>
          <w:sz w:val="16"/>
          <w:szCs w:val="16"/>
          <w:rtl/>
        </w:rPr>
        <w:t xml:space="preserve"> </w:t>
      </w:r>
      <w:r w:rsidRPr="003A14B9">
        <w:rPr>
          <w:rStyle w:val="aff4"/>
          <w:rFonts w:ascii="David" w:eastAsiaTheme="minorEastAsia" w:hAnsi="David" w:cs="David" w:hint="cs"/>
          <w:b w:val="0"/>
          <w:bCs w:val="0"/>
          <w:noProof w:val="0"/>
          <w:sz w:val="16"/>
          <w:szCs w:val="16"/>
          <w:rtl/>
        </w:rPr>
        <w:t>תפארת ישראל בכלכלת שבת</w:t>
      </w:r>
      <w:r w:rsidRPr="003A14B9">
        <w:rPr>
          <w:rFonts w:hint="cs"/>
          <w:rtl/>
        </w:rPr>
        <w:t xml:space="preserve"> </w:t>
      </w:r>
      <w:r w:rsidRPr="00FE4693">
        <w:rPr>
          <w:rStyle w:val="afffffffff3"/>
          <w:rFonts w:hint="cs"/>
          <w:rtl/>
        </w:rPr>
        <w:t>(בונה אות א', נד' בסוף המשניות)</w:t>
      </w:r>
      <w:r>
        <w:rPr>
          <w:rtl/>
        </w:rPr>
        <w:t>,</w:t>
      </w:r>
      <w:r w:rsidRPr="00FE4693">
        <w:rPr>
          <w:rFonts w:hint="cs"/>
          <w:b/>
          <w:bCs/>
          <w:rtl/>
        </w:rPr>
        <w:t xml:space="preserve"> </w:t>
      </w:r>
      <w:r w:rsidRPr="00FE4693">
        <w:rPr>
          <w:b/>
          <w:bCs/>
          <w:rtl/>
        </w:rPr>
        <w:fldChar w:fldCharType="begin"/>
      </w:r>
      <w:r w:rsidRPr="00FE4693">
        <w:rPr>
          <w:b/>
          <w:bCs/>
          <w:rtl/>
        </w:rPr>
        <w:instrText xml:space="preserve"> </w:instrText>
      </w:r>
      <w:r w:rsidRPr="00FE4693">
        <w:rPr>
          <w:rFonts w:hint="cs"/>
          <w:b/>
          <w:bCs/>
        </w:rPr>
        <w:instrText>REF</w:instrText>
      </w:r>
      <w:r w:rsidRPr="00FE4693">
        <w:rPr>
          <w:rFonts w:hint="cs"/>
          <w:b/>
          <w:bCs/>
          <w:rtl/>
        </w:rPr>
        <w:instrText xml:space="preserve"> _</w:instrText>
      </w:r>
      <w:r w:rsidRPr="00FE4693">
        <w:rPr>
          <w:rFonts w:hint="cs"/>
          <w:b/>
          <w:bCs/>
        </w:rPr>
        <w:instrText>Ref143444968 \r \h</w:instrText>
      </w:r>
      <w:r w:rsidRPr="00FE4693">
        <w:rPr>
          <w:b/>
          <w:bCs/>
          <w:rtl/>
        </w:rPr>
        <w:instrText xml:space="preserve">  \* </w:instrText>
      </w:r>
      <w:r w:rsidRPr="00FE4693">
        <w:rPr>
          <w:b/>
          <w:bCs/>
        </w:rPr>
        <w:instrText>MERGEFORMAT</w:instrText>
      </w:r>
      <w:r w:rsidRPr="00FE4693">
        <w:rPr>
          <w:b/>
          <w:bCs/>
          <w:rtl/>
        </w:rPr>
        <w:instrText xml:space="preserve"> </w:instrText>
      </w:r>
      <w:r w:rsidRPr="00FE4693">
        <w:rPr>
          <w:b/>
          <w:bCs/>
          <w:rtl/>
        </w:rPr>
      </w:r>
      <w:r w:rsidRPr="00FE4693">
        <w:rPr>
          <w:b/>
          <w:bCs/>
          <w:rtl/>
        </w:rPr>
        <w:fldChar w:fldCharType="separate"/>
      </w:r>
      <w:r w:rsidR="00D82181">
        <w:rPr>
          <w:b/>
          <w:bCs/>
          <w:cs/>
        </w:rPr>
        <w:t>‎</w:t>
      </w:r>
      <w:r w:rsidR="00D82181">
        <w:rPr>
          <w:b/>
          <w:bCs/>
          <w:rtl/>
        </w:rPr>
        <w:t>יא)</w:t>
      </w:r>
      <w:r w:rsidRPr="00FE4693">
        <w:rPr>
          <w:b/>
          <w:bCs/>
          <w:rtl/>
        </w:rPr>
        <w:fldChar w:fldCharType="end"/>
      </w:r>
      <w:r w:rsidRPr="00FE4693">
        <w:rPr>
          <w:rFonts w:hint="cs"/>
          <w:b/>
          <w:bCs/>
          <w:rtl/>
        </w:rPr>
        <w:t xml:space="preserve"> </w:t>
      </w:r>
      <w:r w:rsidRPr="003A14B9">
        <w:rPr>
          <w:rStyle w:val="aff4"/>
          <w:rFonts w:ascii="David" w:eastAsiaTheme="minorEastAsia" w:hAnsi="David" w:cs="David" w:hint="cs"/>
          <w:b w:val="0"/>
          <w:bCs w:val="0"/>
          <w:noProof w:val="0"/>
          <w:sz w:val="16"/>
          <w:szCs w:val="16"/>
          <w:rtl/>
        </w:rPr>
        <w:t>רש"י לעיל</w:t>
      </w:r>
      <w:r w:rsidRPr="003A14B9">
        <w:rPr>
          <w:rFonts w:hint="cs"/>
          <w:rtl/>
        </w:rPr>
        <w:t xml:space="preserve"> </w:t>
      </w:r>
      <w:r w:rsidRPr="00FE4693">
        <w:rPr>
          <w:rStyle w:val="afffffffff3"/>
          <w:rFonts w:hint="cs"/>
          <w:rtl/>
        </w:rPr>
        <w:t>(עג: ד"ה גבשושית, בבית)</w:t>
      </w:r>
      <w:r>
        <w:rPr>
          <w:rtl/>
        </w:rPr>
        <w:t xml:space="preserve"> </w:t>
      </w:r>
      <w:r w:rsidRPr="003A14B9">
        <w:rPr>
          <w:rStyle w:val="aff4"/>
          <w:rFonts w:ascii="David" w:eastAsiaTheme="minorEastAsia" w:hAnsi="David" w:cs="David" w:hint="cs"/>
          <w:b w:val="0"/>
          <w:bCs w:val="0"/>
          <w:noProof w:val="0"/>
          <w:sz w:val="16"/>
          <w:szCs w:val="16"/>
          <w:rtl/>
        </w:rPr>
        <w:t>רש"י לקמן</w:t>
      </w:r>
      <w:r w:rsidRPr="003A14B9">
        <w:rPr>
          <w:rFonts w:hint="cs"/>
          <w:rtl/>
        </w:rPr>
        <w:t xml:space="preserve"> </w:t>
      </w:r>
      <w:r w:rsidRPr="00FE4693">
        <w:rPr>
          <w:rStyle w:val="afffffffff3"/>
          <w:rFonts w:hint="cs"/>
          <w:rtl/>
        </w:rPr>
        <w:t>(פא: ד"ה בבית)</w:t>
      </w:r>
      <w:r>
        <w:rPr>
          <w:rtl/>
        </w:rPr>
        <w:t>,</w:t>
      </w:r>
      <w:r w:rsidRPr="00FE4693">
        <w:rPr>
          <w:rStyle w:val="aff4"/>
          <w:rFonts w:ascii="David" w:eastAsiaTheme="minorEastAsia" w:hAnsi="David" w:cs="David" w:hint="cs"/>
          <w:noProof w:val="0"/>
          <w:sz w:val="16"/>
          <w:szCs w:val="16"/>
          <w:rtl/>
        </w:rPr>
        <w:t xml:space="preserve"> </w:t>
      </w:r>
      <w:r w:rsidRPr="00FE4693">
        <w:rPr>
          <w:rStyle w:val="aff4"/>
          <w:rFonts w:ascii="David" w:eastAsiaTheme="minorEastAsia" w:hAnsi="David" w:cs="David"/>
          <w:noProof w:val="0"/>
          <w:sz w:val="16"/>
          <w:szCs w:val="16"/>
          <w:rtl/>
        </w:rPr>
        <w:fldChar w:fldCharType="begin"/>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hint="cs"/>
          <w:noProof w:val="0"/>
          <w:sz w:val="16"/>
          <w:szCs w:val="16"/>
        </w:rPr>
        <w:instrText>REF</w:instrText>
      </w:r>
      <w:r w:rsidRPr="00FE4693">
        <w:rPr>
          <w:rStyle w:val="aff4"/>
          <w:rFonts w:ascii="David" w:eastAsiaTheme="minorEastAsia" w:hAnsi="David" w:cs="David" w:hint="cs"/>
          <w:noProof w:val="0"/>
          <w:sz w:val="16"/>
          <w:szCs w:val="16"/>
          <w:rtl/>
        </w:rPr>
        <w:instrText xml:space="preserve"> _</w:instrText>
      </w:r>
      <w:r w:rsidRPr="00FE4693">
        <w:rPr>
          <w:rStyle w:val="aff4"/>
          <w:rFonts w:ascii="David" w:eastAsiaTheme="minorEastAsia" w:hAnsi="David" w:cs="David" w:hint="cs"/>
          <w:noProof w:val="0"/>
          <w:sz w:val="16"/>
          <w:szCs w:val="16"/>
        </w:rPr>
        <w:instrText>Ref143444843 \r \h</w:instrText>
      </w:r>
      <w:r w:rsidRPr="00FE4693">
        <w:rPr>
          <w:rStyle w:val="aff4"/>
          <w:rFonts w:ascii="David" w:eastAsiaTheme="minorEastAsia" w:hAnsi="David" w:cs="David"/>
          <w:noProof w:val="0"/>
          <w:sz w:val="16"/>
          <w:szCs w:val="16"/>
          <w:rtl/>
        </w:rPr>
        <w:instrText xml:space="preserve">  \* </w:instrText>
      </w:r>
      <w:r w:rsidRPr="00FE4693">
        <w:rPr>
          <w:rStyle w:val="aff4"/>
          <w:rFonts w:ascii="David" w:eastAsiaTheme="minorEastAsia" w:hAnsi="David" w:cs="David"/>
          <w:noProof w:val="0"/>
          <w:sz w:val="16"/>
          <w:szCs w:val="16"/>
        </w:rPr>
        <w:instrText>MERGEFORMAT</w:instrText>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tl/>
        </w:rPr>
      </w:r>
      <w:r w:rsidRPr="00FE4693">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יב)</w:t>
      </w:r>
      <w:r w:rsidRPr="00FE4693">
        <w:rPr>
          <w:rStyle w:val="aff4"/>
          <w:rFonts w:ascii="David" w:eastAsiaTheme="minorEastAsia" w:hAnsi="David" w:cs="David"/>
          <w:noProof w:val="0"/>
          <w:sz w:val="16"/>
          <w:szCs w:val="16"/>
          <w:rtl/>
        </w:rPr>
        <w:fldChar w:fldCharType="end"/>
      </w:r>
      <w:r w:rsidRPr="00FE4693">
        <w:rPr>
          <w:rStyle w:val="aff4"/>
          <w:rFonts w:ascii="David" w:eastAsiaTheme="minorEastAsia" w:hAnsi="David" w:cs="David" w:hint="cs"/>
          <w:noProof w:val="0"/>
          <w:sz w:val="16"/>
          <w:szCs w:val="16"/>
          <w:rtl/>
        </w:rPr>
        <w:t xml:space="preserve"> </w:t>
      </w:r>
      <w:r w:rsidRPr="003A14B9">
        <w:rPr>
          <w:rStyle w:val="aff4"/>
          <w:rFonts w:ascii="David" w:eastAsiaTheme="minorEastAsia" w:hAnsi="David" w:cs="David" w:hint="cs"/>
          <w:b w:val="0"/>
          <w:bCs w:val="0"/>
          <w:noProof w:val="0"/>
          <w:sz w:val="16"/>
          <w:szCs w:val="16"/>
          <w:rtl/>
        </w:rPr>
        <w:t>אבנ"ז</w:t>
      </w:r>
      <w:r w:rsidRPr="003A14B9">
        <w:rPr>
          <w:rFonts w:hint="cs"/>
          <w:rtl/>
        </w:rPr>
        <w:t xml:space="preserve"> </w:t>
      </w:r>
      <w:r w:rsidRPr="00FE4693">
        <w:rPr>
          <w:rStyle w:val="afffffffff3"/>
          <w:rFonts w:hint="cs"/>
          <w:rtl/>
        </w:rPr>
        <w:t>(או"ח סי' רי"ז סק"א)</w:t>
      </w:r>
      <w:r>
        <w:rPr>
          <w:rtl/>
        </w:rPr>
        <w:t>,</w:t>
      </w:r>
      <w:r w:rsidRPr="00FE4693">
        <w:rPr>
          <w:rStyle w:val="aff4"/>
          <w:rFonts w:ascii="David" w:eastAsiaTheme="minorEastAsia" w:hAnsi="David" w:cs="David" w:hint="cs"/>
          <w:noProof w:val="0"/>
          <w:sz w:val="16"/>
          <w:szCs w:val="16"/>
          <w:rtl/>
        </w:rPr>
        <w:t xml:space="preserve"> </w:t>
      </w:r>
      <w:r w:rsidRPr="00FE4693">
        <w:rPr>
          <w:rStyle w:val="aff4"/>
          <w:rFonts w:ascii="David" w:eastAsiaTheme="minorEastAsia" w:hAnsi="David" w:cs="David"/>
          <w:noProof w:val="0"/>
          <w:sz w:val="16"/>
          <w:szCs w:val="16"/>
          <w:rtl/>
        </w:rPr>
        <w:fldChar w:fldCharType="begin"/>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hint="cs"/>
          <w:noProof w:val="0"/>
          <w:sz w:val="16"/>
          <w:szCs w:val="16"/>
        </w:rPr>
        <w:instrText>REF</w:instrText>
      </w:r>
      <w:r w:rsidRPr="00FE4693">
        <w:rPr>
          <w:rStyle w:val="aff4"/>
          <w:rFonts w:ascii="David" w:eastAsiaTheme="minorEastAsia" w:hAnsi="David" w:cs="David" w:hint="cs"/>
          <w:noProof w:val="0"/>
          <w:sz w:val="16"/>
          <w:szCs w:val="16"/>
          <w:rtl/>
        </w:rPr>
        <w:instrText xml:space="preserve"> _</w:instrText>
      </w:r>
      <w:r w:rsidRPr="00FE4693">
        <w:rPr>
          <w:rStyle w:val="aff4"/>
          <w:rFonts w:ascii="David" w:eastAsiaTheme="minorEastAsia" w:hAnsi="David" w:cs="David" w:hint="cs"/>
          <w:noProof w:val="0"/>
          <w:sz w:val="16"/>
          <w:szCs w:val="16"/>
        </w:rPr>
        <w:instrText>Ref143510801 \r \h</w:instrText>
      </w:r>
      <w:r w:rsidRPr="00FE4693">
        <w:rPr>
          <w:rStyle w:val="aff4"/>
          <w:rFonts w:ascii="David" w:eastAsiaTheme="minorEastAsia" w:hAnsi="David" w:cs="David"/>
          <w:noProof w:val="0"/>
          <w:sz w:val="16"/>
          <w:szCs w:val="16"/>
          <w:rtl/>
        </w:rPr>
        <w:instrText xml:space="preserve">  \* </w:instrText>
      </w:r>
      <w:r w:rsidRPr="00FE4693">
        <w:rPr>
          <w:rStyle w:val="aff4"/>
          <w:rFonts w:ascii="David" w:eastAsiaTheme="minorEastAsia" w:hAnsi="David" w:cs="David"/>
          <w:noProof w:val="0"/>
          <w:sz w:val="16"/>
          <w:szCs w:val="16"/>
        </w:rPr>
        <w:instrText>MERGEFORMAT</w:instrText>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tl/>
        </w:rPr>
      </w:r>
      <w:r w:rsidRPr="00FE4693">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יג)</w:t>
      </w:r>
      <w:r w:rsidRPr="00FE4693">
        <w:rPr>
          <w:rStyle w:val="aff4"/>
          <w:rFonts w:ascii="David" w:eastAsiaTheme="minorEastAsia" w:hAnsi="David" w:cs="David"/>
          <w:noProof w:val="0"/>
          <w:sz w:val="16"/>
          <w:szCs w:val="16"/>
          <w:rtl/>
        </w:rPr>
        <w:fldChar w:fldCharType="end"/>
      </w:r>
      <w:r w:rsidRPr="00FE4693">
        <w:rPr>
          <w:rStyle w:val="aff4"/>
          <w:rFonts w:ascii="David" w:eastAsiaTheme="minorEastAsia" w:hAnsi="David" w:cs="David" w:hint="cs"/>
          <w:noProof w:val="0"/>
          <w:sz w:val="16"/>
          <w:szCs w:val="16"/>
          <w:rtl/>
        </w:rPr>
        <w:t xml:space="preserve"> </w:t>
      </w:r>
      <w:r w:rsidRPr="003A14B9">
        <w:rPr>
          <w:rStyle w:val="aff4"/>
          <w:rFonts w:ascii="David" w:eastAsiaTheme="minorEastAsia" w:hAnsi="David" w:cs="David" w:hint="cs"/>
          <w:b w:val="0"/>
          <w:bCs w:val="0"/>
          <w:noProof w:val="0"/>
          <w:sz w:val="16"/>
          <w:szCs w:val="16"/>
          <w:rtl/>
        </w:rPr>
        <w:t>מג"א</w:t>
      </w:r>
      <w:r w:rsidRPr="003A14B9">
        <w:rPr>
          <w:rFonts w:hint="cs"/>
          <w:rtl/>
        </w:rPr>
        <w:t xml:space="preserve"> </w:t>
      </w:r>
      <w:r w:rsidRPr="00FE4693">
        <w:rPr>
          <w:rStyle w:val="afffffffff3"/>
          <w:rFonts w:hint="cs"/>
          <w:rtl/>
        </w:rPr>
        <w:t>(סי' שי"ב סקי"ז)</w:t>
      </w:r>
      <w:r>
        <w:rPr>
          <w:rtl/>
        </w:rPr>
        <w:t>,</w:t>
      </w:r>
      <w:r w:rsidRPr="00FE4693">
        <w:rPr>
          <w:rFonts w:hint="cs"/>
          <w:b/>
          <w:bCs/>
          <w:rtl/>
        </w:rPr>
        <w:t xml:space="preserve"> </w:t>
      </w:r>
      <w:r w:rsidRPr="00FE4693">
        <w:rPr>
          <w:b/>
          <w:bCs/>
          <w:rtl/>
        </w:rPr>
        <w:fldChar w:fldCharType="begin"/>
      </w:r>
      <w:r w:rsidRPr="00FE4693">
        <w:rPr>
          <w:b/>
          <w:bCs/>
          <w:rtl/>
        </w:rPr>
        <w:instrText xml:space="preserve"> </w:instrText>
      </w:r>
      <w:r w:rsidRPr="00FE4693">
        <w:rPr>
          <w:rFonts w:hint="cs"/>
          <w:b/>
          <w:bCs/>
        </w:rPr>
        <w:instrText>REF</w:instrText>
      </w:r>
      <w:r w:rsidRPr="00FE4693">
        <w:rPr>
          <w:rFonts w:hint="cs"/>
          <w:b/>
          <w:bCs/>
          <w:rtl/>
        </w:rPr>
        <w:instrText xml:space="preserve"> _</w:instrText>
      </w:r>
      <w:r w:rsidRPr="00FE4693">
        <w:rPr>
          <w:rFonts w:hint="cs"/>
          <w:b/>
          <w:bCs/>
        </w:rPr>
        <w:instrText>Ref143444721 \r \h</w:instrText>
      </w:r>
      <w:r w:rsidRPr="00FE4693">
        <w:rPr>
          <w:b/>
          <w:bCs/>
          <w:rtl/>
        </w:rPr>
        <w:instrText xml:space="preserve">  \* </w:instrText>
      </w:r>
      <w:r w:rsidRPr="00FE4693">
        <w:rPr>
          <w:b/>
          <w:bCs/>
        </w:rPr>
        <w:instrText>MERGEFORMAT</w:instrText>
      </w:r>
      <w:r w:rsidRPr="00FE4693">
        <w:rPr>
          <w:b/>
          <w:bCs/>
          <w:rtl/>
        </w:rPr>
        <w:instrText xml:space="preserve"> </w:instrText>
      </w:r>
      <w:r w:rsidRPr="00FE4693">
        <w:rPr>
          <w:b/>
          <w:bCs/>
          <w:rtl/>
        </w:rPr>
      </w:r>
      <w:r w:rsidRPr="00FE4693">
        <w:rPr>
          <w:b/>
          <w:bCs/>
          <w:rtl/>
        </w:rPr>
        <w:fldChar w:fldCharType="separate"/>
      </w:r>
      <w:r w:rsidR="00D82181">
        <w:rPr>
          <w:b/>
          <w:bCs/>
          <w:cs/>
        </w:rPr>
        <w:t>‎</w:t>
      </w:r>
      <w:r w:rsidR="00D82181">
        <w:rPr>
          <w:b/>
          <w:bCs/>
          <w:rtl/>
        </w:rPr>
        <w:t>טז)</w:t>
      </w:r>
      <w:r w:rsidRPr="00FE4693">
        <w:rPr>
          <w:b/>
          <w:bCs/>
          <w:rtl/>
        </w:rPr>
        <w:fldChar w:fldCharType="end"/>
      </w:r>
      <w:r w:rsidRPr="00FE4693">
        <w:rPr>
          <w:rFonts w:hint="cs"/>
          <w:b/>
          <w:bCs/>
          <w:rtl/>
        </w:rPr>
        <w:t xml:space="preserve"> </w:t>
      </w:r>
      <w:r w:rsidRPr="003A14B9">
        <w:rPr>
          <w:rStyle w:val="aff4"/>
          <w:rFonts w:ascii="David" w:eastAsiaTheme="minorEastAsia" w:hAnsi="David" w:cs="David" w:hint="cs"/>
          <w:b w:val="0"/>
          <w:bCs w:val="0"/>
          <w:noProof w:val="0"/>
          <w:sz w:val="16"/>
          <w:szCs w:val="16"/>
          <w:rtl/>
        </w:rPr>
        <w:t>רש"י לעיל</w:t>
      </w:r>
      <w:r w:rsidRPr="003A14B9">
        <w:rPr>
          <w:rFonts w:hint="cs"/>
          <w:rtl/>
        </w:rPr>
        <w:t xml:space="preserve"> </w:t>
      </w:r>
      <w:r w:rsidRPr="00FE4693">
        <w:rPr>
          <w:rStyle w:val="afffffffff3"/>
          <w:rFonts w:hint="cs"/>
          <w:rtl/>
        </w:rPr>
        <w:t>(עג: ד"ה פטור)</w:t>
      </w:r>
      <w:r>
        <w:rPr>
          <w:rtl/>
        </w:rPr>
        <w:t xml:space="preserve"> </w:t>
      </w:r>
      <w:r w:rsidRPr="003A14B9">
        <w:rPr>
          <w:rStyle w:val="aff4"/>
          <w:rFonts w:ascii="David" w:eastAsiaTheme="minorEastAsia" w:hAnsi="David" w:cs="David" w:hint="cs"/>
          <w:b w:val="0"/>
          <w:bCs w:val="0"/>
          <w:noProof w:val="0"/>
          <w:sz w:val="16"/>
          <w:szCs w:val="16"/>
          <w:rtl/>
        </w:rPr>
        <w:t>רש"י בביצה</w:t>
      </w:r>
      <w:r w:rsidRPr="003A14B9">
        <w:rPr>
          <w:rFonts w:hint="cs"/>
          <w:rtl/>
        </w:rPr>
        <w:t xml:space="preserve"> </w:t>
      </w:r>
      <w:r w:rsidRPr="00FE4693">
        <w:rPr>
          <w:rStyle w:val="afffffffff3"/>
          <w:rFonts w:hint="cs"/>
          <w:rtl/>
        </w:rPr>
        <w:t>(ח. ד"ה פטור)</w:t>
      </w:r>
      <w:r>
        <w:rPr>
          <w:rtl/>
        </w:rPr>
        <w:t xml:space="preserve"> </w:t>
      </w:r>
      <w:r w:rsidRPr="003A14B9">
        <w:rPr>
          <w:rStyle w:val="aff4"/>
          <w:rFonts w:ascii="David" w:eastAsiaTheme="minorEastAsia" w:hAnsi="David" w:cs="David" w:hint="cs"/>
          <w:b w:val="0"/>
          <w:bCs w:val="0"/>
          <w:noProof w:val="0"/>
          <w:sz w:val="16"/>
          <w:szCs w:val="16"/>
          <w:rtl/>
        </w:rPr>
        <w:t>רמב"ם</w:t>
      </w:r>
      <w:r w:rsidRPr="003A14B9">
        <w:rPr>
          <w:rFonts w:hint="cs"/>
          <w:rtl/>
        </w:rPr>
        <w:t xml:space="preserve"> </w:t>
      </w:r>
      <w:r w:rsidRPr="00FE4693">
        <w:rPr>
          <w:rStyle w:val="afffffffff3"/>
          <w:rFonts w:hint="cs"/>
          <w:rtl/>
        </w:rPr>
        <w:t>(שבת פ"א הי"ז)</w:t>
      </w:r>
      <w:r>
        <w:rPr>
          <w:rtl/>
        </w:rPr>
        <w:t xml:space="preserve"> </w:t>
      </w:r>
      <w:r w:rsidRPr="003A14B9">
        <w:rPr>
          <w:rStyle w:val="aff4"/>
          <w:rFonts w:ascii="David" w:eastAsiaTheme="minorEastAsia" w:hAnsi="David" w:cs="David" w:hint="cs"/>
          <w:b w:val="0"/>
          <w:bCs w:val="0"/>
          <w:noProof w:val="0"/>
          <w:sz w:val="16"/>
          <w:szCs w:val="16"/>
          <w:rtl/>
        </w:rPr>
        <w:t>מ"מ</w:t>
      </w:r>
      <w:r w:rsidRPr="003A14B9">
        <w:rPr>
          <w:rFonts w:hint="cs"/>
          <w:rtl/>
        </w:rPr>
        <w:t xml:space="preserve"> </w:t>
      </w:r>
      <w:r w:rsidRPr="00FE4693">
        <w:rPr>
          <w:rStyle w:val="afffffffff3"/>
          <w:rFonts w:hint="cs"/>
          <w:rtl/>
        </w:rPr>
        <w:t>(שבת פ"א הי"ז)</w:t>
      </w:r>
      <w:r>
        <w:rPr>
          <w:rtl/>
        </w:rPr>
        <w:t xml:space="preserve"> </w:t>
      </w:r>
      <w:r w:rsidRPr="003A14B9">
        <w:rPr>
          <w:rStyle w:val="aff4"/>
          <w:rFonts w:ascii="David" w:eastAsiaTheme="minorEastAsia" w:hAnsi="David" w:cs="David" w:hint="cs"/>
          <w:b w:val="0"/>
          <w:bCs w:val="0"/>
          <w:noProof w:val="0"/>
          <w:sz w:val="16"/>
          <w:szCs w:val="16"/>
          <w:rtl/>
        </w:rPr>
        <w:t>כס"מ</w:t>
      </w:r>
      <w:r w:rsidRPr="003A14B9">
        <w:rPr>
          <w:rFonts w:hint="cs"/>
          <w:rtl/>
        </w:rPr>
        <w:t xml:space="preserve"> </w:t>
      </w:r>
      <w:r w:rsidRPr="00FE4693">
        <w:rPr>
          <w:rStyle w:val="afffffffff3"/>
          <w:rFonts w:hint="cs"/>
          <w:rtl/>
        </w:rPr>
        <w:t>(שבת פ"א הי"ז)</w:t>
      </w:r>
      <w:r>
        <w:rPr>
          <w:rtl/>
        </w:rPr>
        <w:t xml:space="preserve"> </w:t>
      </w:r>
      <w:r w:rsidRPr="003A14B9">
        <w:rPr>
          <w:rStyle w:val="aff4"/>
          <w:rFonts w:ascii="David" w:eastAsiaTheme="minorEastAsia" w:hAnsi="David" w:cs="David" w:hint="cs"/>
          <w:b w:val="0"/>
          <w:bCs w:val="0"/>
          <w:noProof w:val="0"/>
          <w:sz w:val="16"/>
          <w:szCs w:val="16"/>
          <w:rtl/>
        </w:rPr>
        <w:t>אגלי טל</w:t>
      </w:r>
      <w:r w:rsidRPr="003A14B9">
        <w:rPr>
          <w:rFonts w:hint="cs"/>
          <w:rtl/>
        </w:rPr>
        <w:t xml:space="preserve"> </w:t>
      </w:r>
      <w:r w:rsidRPr="00FE4693">
        <w:rPr>
          <w:rStyle w:val="afffffffff3"/>
          <w:rFonts w:hint="cs"/>
          <w:rtl/>
        </w:rPr>
        <w:t>(חורש סק"ו)</w:t>
      </w:r>
      <w:r>
        <w:rPr>
          <w:rtl/>
        </w:rPr>
        <w:t>,</w:t>
      </w:r>
      <w:r w:rsidRPr="00FE4693">
        <w:rPr>
          <w:rStyle w:val="aff4"/>
          <w:rFonts w:ascii="David" w:eastAsiaTheme="minorEastAsia" w:hAnsi="David" w:cs="David" w:hint="cs"/>
          <w:noProof w:val="0"/>
          <w:sz w:val="16"/>
          <w:szCs w:val="16"/>
          <w:rtl/>
        </w:rPr>
        <w:t xml:space="preserve"> </w:t>
      </w:r>
      <w:r w:rsidRPr="00FE4693">
        <w:rPr>
          <w:rStyle w:val="aff4"/>
          <w:rFonts w:ascii="David" w:eastAsiaTheme="minorEastAsia" w:hAnsi="David" w:cs="David"/>
          <w:noProof w:val="0"/>
          <w:sz w:val="16"/>
          <w:szCs w:val="16"/>
          <w:rtl/>
        </w:rPr>
        <w:fldChar w:fldCharType="begin"/>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hint="cs"/>
          <w:noProof w:val="0"/>
          <w:sz w:val="16"/>
          <w:szCs w:val="16"/>
        </w:rPr>
        <w:instrText>REF</w:instrText>
      </w:r>
      <w:r w:rsidRPr="00FE4693">
        <w:rPr>
          <w:rStyle w:val="aff4"/>
          <w:rFonts w:ascii="David" w:eastAsiaTheme="minorEastAsia" w:hAnsi="David" w:cs="David" w:hint="cs"/>
          <w:noProof w:val="0"/>
          <w:sz w:val="16"/>
          <w:szCs w:val="16"/>
          <w:rtl/>
        </w:rPr>
        <w:instrText xml:space="preserve"> _</w:instrText>
      </w:r>
      <w:r w:rsidRPr="00FE4693">
        <w:rPr>
          <w:rStyle w:val="aff4"/>
          <w:rFonts w:ascii="David" w:eastAsiaTheme="minorEastAsia" w:hAnsi="David" w:cs="David" w:hint="cs"/>
          <w:noProof w:val="0"/>
          <w:sz w:val="16"/>
          <w:szCs w:val="16"/>
        </w:rPr>
        <w:instrText>Ref143446226 \r \h</w:instrText>
      </w:r>
      <w:r w:rsidRPr="00FE4693">
        <w:rPr>
          <w:rStyle w:val="aff4"/>
          <w:rFonts w:ascii="David" w:eastAsiaTheme="minorEastAsia" w:hAnsi="David" w:cs="David"/>
          <w:noProof w:val="0"/>
          <w:sz w:val="16"/>
          <w:szCs w:val="16"/>
          <w:rtl/>
        </w:rPr>
        <w:instrText xml:space="preserve">  \* </w:instrText>
      </w:r>
      <w:r w:rsidRPr="00FE4693">
        <w:rPr>
          <w:rStyle w:val="aff4"/>
          <w:rFonts w:ascii="David" w:eastAsiaTheme="minorEastAsia" w:hAnsi="David" w:cs="David"/>
          <w:noProof w:val="0"/>
          <w:sz w:val="16"/>
          <w:szCs w:val="16"/>
        </w:rPr>
        <w:instrText>MERGEFORMAT</w:instrText>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tl/>
        </w:rPr>
      </w:r>
      <w:r w:rsidRPr="00FE4693">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טו)</w:t>
      </w:r>
      <w:r w:rsidRPr="00FE4693">
        <w:rPr>
          <w:rStyle w:val="aff4"/>
          <w:rFonts w:ascii="David" w:eastAsiaTheme="minorEastAsia" w:hAnsi="David" w:cs="David"/>
          <w:noProof w:val="0"/>
          <w:sz w:val="16"/>
          <w:szCs w:val="16"/>
          <w:rtl/>
        </w:rPr>
        <w:fldChar w:fldCharType="end"/>
      </w:r>
      <w:r w:rsidRPr="00FE4693">
        <w:rPr>
          <w:rStyle w:val="aff4"/>
          <w:rFonts w:ascii="David" w:eastAsiaTheme="minorEastAsia" w:hAnsi="David" w:cs="David" w:hint="cs"/>
          <w:noProof w:val="0"/>
          <w:sz w:val="16"/>
          <w:szCs w:val="16"/>
          <w:rtl/>
        </w:rPr>
        <w:t xml:space="preserve"> </w:t>
      </w:r>
      <w:r w:rsidRPr="003A14B9">
        <w:rPr>
          <w:rStyle w:val="aff4"/>
          <w:rFonts w:ascii="David" w:eastAsiaTheme="minorEastAsia" w:hAnsi="David" w:cs="David" w:hint="cs"/>
          <w:b w:val="0"/>
          <w:bCs w:val="0"/>
          <w:noProof w:val="0"/>
          <w:sz w:val="16"/>
          <w:szCs w:val="16"/>
          <w:rtl/>
        </w:rPr>
        <w:t>פנ"י לעיל</w:t>
      </w:r>
      <w:r w:rsidRPr="003A14B9">
        <w:rPr>
          <w:rFonts w:hint="cs"/>
          <w:rtl/>
        </w:rPr>
        <w:t xml:space="preserve"> </w:t>
      </w:r>
      <w:r w:rsidRPr="00FE4693">
        <w:rPr>
          <w:rStyle w:val="afffffffff3"/>
          <w:rFonts w:hint="cs"/>
          <w:rtl/>
        </w:rPr>
        <w:t>(עג: ד"ה מכדי)</w:t>
      </w:r>
      <w:r>
        <w:rPr>
          <w:rtl/>
        </w:rPr>
        <w:t>,</w:t>
      </w:r>
      <w:r w:rsidRPr="00FE4693">
        <w:rPr>
          <w:rStyle w:val="aff4"/>
          <w:rFonts w:ascii="David" w:eastAsiaTheme="minorEastAsia" w:hAnsi="David" w:cs="David" w:hint="cs"/>
          <w:noProof w:val="0"/>
          <w:sz w:val="16"/>
          <w:szCs w:val="16"/>
          <w:rtl/>
        </w:rPr>
        <w:t xml:space="preserve"> </w:t>
      </w:r>
      <w:r w:rsidRPr="00FE4693">
        <w:rPr>
          <w:rStyle w:val="aff4"/>
          <w:rFonts w:ascii="David" w:eastAsiaTheme="minorEastAsia" w:hAnsi="David" w:cs="David"/>
          <w:noProof w:val="0"/>
          <w:sz w:val="16"/>
          <w:szCs w:val="16"/>
          <w:rtl/>
        </w:rPr>
        <w:fldChar w:fldCharType="begin"/>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hint="cs"/>
          <w:noProof w:val="0"/>
          <w:sz w:val="16"/>
          <w:szCs w:val="16"/>
        </w:rPr>
        <w:instrText>REF</w:instrText>
      </w:r>
      <w:r w:rsidRPr="00FE4693">
        <w:rPr>
          <w:rStyle w:val="aff4"/>
          <w:rFonts w:ascii="David" w:eastAsiaTheme="minorEastAsia" w:hAnsi="David" w:cs="David" w:hint="cs"/>
          <w:noProof w:val="0"/>
          <w:sz w:val="16"/>
          <w:szCs w:val="16"/>
          <w:rtl/>
        </w:rPr>
        <w:instrText xml:space="preserve"> _</w:instrText>
      </w:r>
      <w:r w:rsidRPr="00FE4693">
        <w:rPr>
          <w:rStyle w:val="aff4"/>
          <w:rFonts w:ascii="David" w:eastAsiaTheme="minorEastAsia" w:hAnsi="David" w:cs="David" w:hint="cs"/>
          <w:noProof w:val="0"/>
          <w:sz w:val="16"/>
          <w:szCs w:val="16"/>
        </w:rPr>
        <w:instrText>Ref143446470 \r \h</w:instrText>
      </w:r>
      <w:r w:rsidRPr="00FE4693">
        <w:rPr>
          <w:rStyle w:val="aff4"/>
          <w:rFonts w:ascii="David" w:eastAsiaTheme="minorEastAsia" w:hAnsi="David" w:cs="David"/>
          <w:noProof w:val="0"/>
          <w:sz w:val="16"/>
          <w:szCs w:val="16"/>
          <w:rtl/>
        </w:rPr>
        <w:instrText xml:space="preserve">  \* </w:instrText>
      </w:r>
      <w:r w:rsidRPr="00FE4693">
        <w:rPr>
          <w:rStyle w:val="aff4"/>
          <w:rFonts w:ascii="David" w:eastAsiaTheme="minorEastAsia" w:hAnsi="David" w:cs="David"/>
          <w:noProof w:val="0"/>
          <w:sz w:val="16"/>
          <w:szCs w:val="16"/>
        </w:rPr>
        <w:instrText>MERGEFORMAT</w:instrText>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tl/>
        </w:rPr>
      </w:r>
      <w:r w:rsidRPr="00FE4693">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יד)</w:t>
      </w:r>
      <w:r w:rsidRPr="00FE4693">
        <w:rPr>
          <w:rStyle w:val="aff4"/>
          <w:rFonts w:ascii="David" w:eastAsiaTheme="minorEastAsia" w:hAnsi="David" w:cs="David"/>
          <w:noProof w:val="0"/>
          <w:sz w:val="16"/>
          <w:szCs w:val="16"/>
          <w:rtl/>
        </w:rPr>
        <w:fldChar w:fldCharType="end"/>
      </w:r>
      <w:r w:rsidRPr="00FE4693">
        <w:rPr>
          <w:rStyle w:val="aff4"/>
          <w:rFonts w:ascii="David" w:eastAsiaTheme="minorEastAsia" w:hAnsi="David" w:cs="David" w:hint="cs"/>
          <w:noProof w:val="0"/>
          <w:sz w:val="16"/>
          <w:szCs w:val="16"/>
          <w:rtl/>
        </w:rPr>
        <w:t xml:space="preserve"> </w:t>
      </w:r>
      <w:r w:rsidRPr="003A14B9">
        <w:rPr>
          <w:rStyle w:val="aff4"/>
          <w:rFonts w:ascii="David" w:eastAsiaTheme="minorEastAsia" w:hAnsi="David" w:cs="David" w:hint="cs"/>
          <w:b w:val="0"/>
          <w:bCs w:val="0"/>
          <w:noProof w:val="0"/>
          <w:sz w:val="16"/>
          <w:szCs w:val="16"/>
          <w:rtl/>
        </w:rPr>
        <w:t>מג"א</w:t>
      </w:r>
      <w:r w:rsidRPr="003A14B9">
        <w:rPr>
          <w:rFonts w:hint="cs"/>
          <w:rtl/>
        </w:rPr>
        <w:t xml:space="preserve"> </w:t>
      </w:r>
      <w:r w:rsidRPr="00FE4693">
        <w:rPr>
          <w:rStyle w:val="afffffffff3"/>
          <w:rFonts w:hint="cs"/>
          <w:rtl/>
        </w:rPr>
        <w:t>(סי' רמ"ד סק"ח)</w:t>
      </w:r>
      <w:r>
        <w:rPr>
          <w:rtl/>
        </w:rPr>
        <w:t xml:space="preserve"> </w:t>
      </w:r>
      <w:r w:rsidRPr="003A14B9">
        <w:rPr>
          <w:rStyle w:val="aff4"/>
          <w:rFonts w:ascii="David" w:eastAsiaTheme="minorEastAsia" w:hAnsi="David" w:cs="David" w:hint="cs"/>
          <w:b w:val="0"/>
          <w:bCs w:val="0"/>
          <w:noProof w:val="0"/>
          <w:sz w:val="16"/>
          <w:szCs w:val="16"/>
          <w:rtl/>
        </w:rPr>
        <w:t>אבן האזל</w:t>
      </w:r>
      <w:r w:rsidRPr="003A14B9">
        <w:rPr>
          <w:rFonts w:hint="cs"/>
          <w:rtl/>
        </w:rPr>
        <w:t xml:space="preserve"> </w:t>
      </w:r>
      <w:r w:rsidRPr="00FE4693">
        <w:rPr>
          <w:rStyle w:val="afffffffff3"/>
          <w:rFonts w:hint="cs"/>
          <w:rtl/>
        </w:rPr>
        <w:t>(שבת פ"ב הי"ח)</w:t>
      </w:r>
      <w:r>
        <w:rPr>
          <w:rtl/>
        </w:rPr>
        <w:t xml:space="preserve"> </w:t>
      </w:r>
      <w:r w:rsidRPr="003A14B9">
        <w:rPr>
          <w:rStyle w:val="aff4"/>
          <w:rFonts w:ascii="David" w:eastAsiaTheme="minorEastAsia" w:hAnsi="David" w:cs="David" w:hint="cs"/>
          <w:b w:val="0"/>
          <w:bCs w:val="0"/>
          <w:noProof w:val="0"/>
          <w:sz w:val="16"/>
          <w:szCs w:val="16"/>
          <w:rtl/>
        </w:rPr>
        <w:t>נשמת אדם</w:t>
      </w:r>
      <w:r w:rsidRPr="003A14B9">
        <w:rPr>
          <w:rFonts w:hint="cs"/>
          <w:rtl/>
        </w:rPr>
        <w:t xml:space="preserve"> </w:t>
      </w:r>
      <w:r w:rsidRPr="00FE4693">
        <w:rPr>
          <w:rStyle w:val="afffffffff3"/>
          <w:rFonts w:hint="cs"/>
          <w:rtl/>
        </w:rPr>
        <w:t>(כלל מ' סק"א)</w:t>
      </w:r>
      <w:r>
        <w:rPr>
          <w:rtl/>
        </w:rPr>
        <w:t>,</w:t>
      </w:r>
      <w:r w:rsidRPr="00FE4693">
        <w:rPr>
          <w:rStyle w:val="aff4"/>
          <w:rFonts w:ascii="David" w:eastAsiaTheme="minorEastAsia" w:hAnsi="David" w:cs="David" w:hint="cs"/>
          <w:noProof w:val="0"/>
          <w:sz w:val="16"/>
          <w:szCs w:val="16"/>
          <w:rtl/>
        </w:rPr>
        <w:t xml:space="preserve"> </w:t>
      </w:r>
      <w:r w:rsidRPr="00FE4693">
        <w:rPr>
          <w:rStyle w:val="aff4"/>
          <w:rFonts w:ascii="David" w:eastAsiaTheme="minorEastAsia" w:hAnsi="David" w:cs="David"/>
          <w:noProof w:val="0"/>
          <w:sz w:val="16"/>
          <w:szCs w:val="16"/>
          <w:rtl/>
        </w:rPr>
        <w:fldChar w:fldCharType="begin"/>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hint="cs"/>
          <w:noProof w:val="0"/>
          <w:sz w:val="16"/>
          <w:szCs w:val="16"/>
        </w:rPr>
        <w:instrText>REF</w:instrText>
      </w:r>
      <w:r w:rsidRPr="00FE4693">
        <w:rPr>
          <w:rStyle w:val="aff4"/>
          <w:rFonts w:ascii="David" w:eastAsiaTheme="minorEastAsia" w:hAnsi="David" w:cs="David" w:hint="cs"/>
          <w:noProof w:val="0"/>
          <w:sz w:val="16"/>
          <w:szCs w:val="16"/>
          <w:rtl/>
        </w:rPr>
        <w:instrText xml:space="preserve"> _</w:instrText>
      </w:r>
      <w:r w:rsidRPr="00FE4693">
        <w:rPr>
          <w:rStyle w:val="aff4"/>
          <w:rFonts w:ascii="David" w:eastAsiaTheme="minorEastAsia" w:hAnsi="David" w:cs="David" w:hint="cs"/>
          <w:noProof w:val="0"/>
          <w:sz w:val="16"/>
          <w:szCs w:val="16"/>
        </w:rPr>
        <w:instrText>Ref143445474 \r \h</w:instrText>
      </w:r>
      <w:r w:rsidRPr="00FE4693">
        <w:rPr>
          <w:rStyle w:val="aff4"/>
          <w:rFonts w:ascii="David" w:eastAsiaTheme="minorEastAsia" w:hAnsi="David" w:cs="David"/>
          <w:noProof w:val="0"/>
          <w:sz w:val="16"/>
          <w:szCs w:val="16"/>
          <w:rtl/>
        </w:rPr>
        <w:instrText xml:space="preserve">  \* </w:instrText>
      </w:r>
      <w:r w:rsidRPr="00FE4693">
        <w:rPr>
          <w:rStyle w:val="aff4"/>
          <w:rFonts w:ascii="David" w:eastAsiaTheme="minorEastAsia" w:hAnsi="David" w:cs="David"/>
          <w:noProof w:val="0"/>
          <w:sz w:val="16"/>
          <w:szCs w:val="16"/>
        </w:rPr>
        <w:instrText>MERGEFORMAT</w:instrText>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tl/>
        </w:rPr>
      </w:r>
      <w:r w:rsidRPr="00FE4693">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יח)</w:t>
      </w:r>
      <w:r w:rsidRPr="00FE4693">
        <w:rPr>
          <w:rStyle w:val="aff4"/>
          <w:rFonts w:ascii="David" w:eastAsiaTheme="minorEastAsia" w:hAnsi="David" w:cs="David"/>
          <w:noProof w:val="0"/>
          <w:sz w:val="16"/>
          <w:szCs w:val="16"/>
          <w:rtl/>
        </w:rPr>
        <w:fldChar w:fldCharType="end"/>
      </w:r>
      <w:r w:rsidRPr="00FE4693">
        <w:rPr>
          <w:rStyle w:val="aff4"/>
          <w:rFonts w:ascii="David" w:eastAsiaTheme="minorEastAsia" w:hAnsi="David" w:cs="David" w:hint="cs"/>
          <w:noProof w:val="0"/>
          <w:sz w:val="16"/>
          <w:szCs w:val="16"/>
          <w:rtl/>
        </w:rPr>
        <w:t xml:space="preserve"> </w:t>
      </w:r>
      <w:r w:rsidRPr="003A14B9">
        <w:rPr>
          <w:rStyle w:val="aff4"/>
          <w:rFonts w:ascii="David" w:eastAsiaTheme="minorEastAsia" w:hAnsi="David" w:cs="David" w:hint="cs"/>
          <w:b w:val="0"/>
          <w:bCs w:val="0"/>
          <w:noProof w:val="0"/>
          <w:sz w:val="16"/>
          <w:szCs w:val="16"/>
          <w:rtl/>
        </w:rPr>
        <w:t>תוס' רי"ד לקמן</w:t>
      </w:r>
      <w:r w:rsidRPr="003A14B9">
        <w:rPr>
          <w:rFonts w:hint="cs"/>
          <w:rtl/>
        </w:rPr>
        <w:t xml:space="preserve"> </w:t>
      </w:r>
      <w:r w:rsidRPr="00FE4693">
        <w:rPr>
          <w:rStyle w:val="afffffffff3"/>
          <w:rFonts w:hint="cs"/>
          <w:rtl/>
        </w:rPr>
        <w:t>(קו. ד"ה תני)</w:t>
      </w:r>
      <w:r>
        <w:rPr>
          <w:rtl/>
        </w:rPr>
        <w:t>,</w:t>
      </w:r>
      <w:r w:rsidRPr="00FE4693">
        <w:rPr>
          <w:rStyle w:val="aff4"/>
          <w:rFonts w:ascii="David" w:eastAsiaTheme="minorEastAsia" w:hAnsi="David" w:cs="David" w:hint="cs"/>
          <w:noProof w:val="0"/>
          <w:sz w:val="16"/>
          <w:szCs w:val="16"/>
          <w:rtl/>
        </w:rPr>
        <w:t xml:space="preserve"> </w:t>
      </w:r>
      <w:r w:rsidRPr="00FE4693">
        <w:rPr>
          <w:rStyle w:val="aff4"/>
          <w:rFonts w:ascii="David" w:eastAsiaTheme="minorEastAsia" w:hAnsi="David" w:cs="David"/>
          <w:noProof w:val="0"/>
          <w:sz w:val="16"/>
          <w:szCs w:val="16"/>
          <w:rtl/>
        </w:rPr>
        <w:fldChar w:fldCharType="begin"/>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hint="cs"/>
          <w:noProof w:val="0"/>
          <w:sz w:val="16"/>
          <w:szCs w:val="16"/>
        </w:rPr>
        <w:instrText>REF</w:instrText>
      </w:r>
      <w:r w:rsidRPr="00FE4693">
        <w:rPr>
          <w:rStyle w:val="aff4"/>
          <w:rFonts w:ascii="David" w:eastAsiaTheme="minorEastAsia" w:hAnsi="David" w:cs="David" w:hint="cs"/>
          <w:noProof w:val="0"/>
          <w:sz w:val="16"/>
          <w:szCs w:val="16"/>
          <w:rtl/>
        </w:rPr>
        <w:instrText xml:space="preserve"> _</w:instrText>
      </w:r>
      <w:r w:rsidRPr="00FE4693">
        <w:rPr>
          <w:rStyle w:val="aff4"/>
          <w:rFonts w:ascii="David" w:eastAsiaTheme="minorEastAsia" w:hAnsi="David" w:cs="David" w:hint="cs"/>
          <w:noProof w:val="0"/>
          <w:sz w:val="16"/>
          <w:szCs w:val="16"/>
        </w:rPr>
        <w:instrText>Ref143444743 \r \h</w:instrText>
      </w:r>
      <w:r w:rsidRPr="00FE4693">
        <w:rPr>
          <w:rStyle w:val="aff4"/>
          <w:rFonts w:ascii="David" w:eastAsiaTheme="minorEastAsia" w:hAnsi="David" w:cs="David"/>
          <w:noProof w:val="0"/>
          <w:sz w:val="16"/>
          <w:szCs w:val="16"/>
          <w:rtl/>
        </w:rPr>
        <w:instrText xml:space="preserve">  \* </w:instrText>
      </w:r>
      <w:r w:rsidRPr="00FE4693">
        <w:rPr>
          <w:rStyle w:val="aff4"/>
          <w:rFonts w:ascii="David" w:eastAsiaTheme="minorEastAsia" w:hAnsi="David" w:cs="David"/>
          <w:noProof w:val="0"/>
          <w:sz w:val="16"/>
          <w:szCs w:val="16"/>
        </w:rPr>
        <w:instrText>MERGEFORMAT</w:instrText>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tl/>
        </w:rPr>
      </w:r>
      <w:r w:rsidRPr="00FE4693">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יט)</w:t>
      </w:r>
      <w:r w:rsidRPr="00FE4693">
        <w:rPr>
          <w:rStyle w:val="aff4"/>
          <w:rFonts w:ascii="David" w:eastAsiaTheme="minorEastAsia" w:hAnsi="David" w:cs="David"/>
          <w:noProof w:val="0"/>
          <w:sz w:val="16"/>
          <w:szCs w:val="16"/>
          <w:rtl/>
        </w:rPr>
        <w:fldChar w:fldCharType="end"/>
      </w:r>
      <w:r w:rsidRPr="003A14B9">
        <w:rPr>
          <w:rStyle w:val="aff4"/>
          <w:rFonts w:ascii="David" w:eastAsiaTheme="minorEastAsia" w:hAnsi="David" w:cs="David" w:hint="cs"/>
          <w:b w:val="0"/>
          <w:bCs w:val="0"/>
          <w:noProof w:val="0"/>
          <w:sz w:val="16"/>
          <w:szCs w:val="16"/>
          <w:rtl/>
        </w:rPr>
        <w:t>חזו"א</w:t>
      </w:r>
      <w:r w:rsidRPr="003A14B9">
        <w:rPr>
          <w:rFonts w:hint="cs"/>
          <w:rtl/>
        </w:rPr>
        <w:t xml:space="preserve"> </w:t>
      </w:r>
      <w:r w:rsidRPr="00FE4693">
        <w:rPr>
          <w:rStyle w:val="afffffffff3"/>
          <w:rFonts w:hint="cs"/>
          <w:rtl/>
        </w:rPr>
        <w:t>(סי' נ"א סקט"ז ד"ה ע"ג)</w:t>
      </w:r>
      <w:r>
        <w:rPr>
          <w:rtl/>
        </w:rPr>
        <w:t xml:space="preserve"> </w:t>
      </w:r>
    </w:p>
    <w:bookmarkEnd w:id="4415"/>
    <w:p w14:paraId="36800E3A" w14:textId="77777777" w:rsidR="00376F67" w:rsidRDefault="00376F67" w:rsidP="00376F67">
      <w:pPr>
        <w:pStyle w:val="TOC2"/>
        <w:rPr>
          <w:rFonts w:cstheme="minorBidi"/>
          <w:b w:val="0"/>
          <w:bCs w:val="0"/>
          <w:sz w:val="22"/>
          <w:szCs w:val="22"/>
          <w:rtl/>
        </w:rPr>
      </w:pPr>
      <w:r w:rsidRPr="009F263C">
        <w:rPr>
          <w:rStyle w:val="Hyperlink"/>
          <w:rtl/>
        </w:rPr>
        <w:fldChar w:fldCharType="begin"/>
      </w:r>
      <w:r w:rsidRPr="009F263C">
        <w:rPr>
          <w:rStyle w:val="Hyperlink"/>
          <w:rtl/>
        </w:rPr>
        <w:instrText xml:space="preserve"> </w:instrText>
      </w:r>
      <w:r>
        <w:instrText>HYPERLINK \l "_Toc143770568</w:instrText>
      </w:r>
      <w:r>
        <w:rPr>
          <w:rtl/>
        </w:rPr>
        <w:instrText>"</w:instrText>
      </w:r>
      <w:r w:rsidRPr="009F263C">
        <w:rPr>
          <w:rStyle w:val="Hyperlink"/>
          <w:rtl/>
        </w:rPr>
        <w:instrText xml:space="preserve"> </w:instrText>
      </w:r>
      <w:r w:rsidRPr="009F263C">
        <w:rPr>
          <w:rStyle w:val="Hyperlink"/>
          <w:rtl/>
        </w:rPr>
        <w:fldChar w:fldCharType="separate"/>
      </w:r>
      <w:r w:rsidRPr="009F263C">
        <w:rPr>
          <w:rStyle w:val="Hyperlink"/>
          <w:rtl/>
        </w:rPr>
        <w:t>בי' האו"ש ברמב"ם דמשוה פני הקרקע הוי אב דהוא דרך בנין</w:t>
      </w:r>
      <w:r w:rsidRPr="009F263C">
        <w:rPr>
          <w:rStyle w:val="Hyperlink"/>
          <w:rtl/>
        </w:rPr>
        <w:fldChar w:fldCharType="end"/>
      </w:r>
    </w:p>
    <w:p w14:paraId="69AE9020" w14:textId="77777777" w:rsidR="00376F67" w:rsidRPr="001218AD" w:rsidRDefault="00376F67" w:rsidP="00ED704E">
      <w:pPr>
        <w:pStyle w:val="TOC3"/>
        <w:rPr>
          <w:rFonts w:asciiTheme="minorHAnsi" w:eastAsiaTheme="minorEastAsia" w:hAnsiTheme="minorHAnsi" w:cstheme="minorBidi"/>
          <w:sz w:val="22"/>
          <w:szCs w:val="22"/>
          <w:rtl/>
        </w:rPr>
      </w:pPr>
      <w:hyperlink w:anchor="_Toc143770569" w:history="1">
        <w:r w:rsidRPr="009F263C">
          <w:rPr>
            <w:rStyle w:val="Hyperlink"/>
            <w:rtl/>
          </w:rPr>
          <w:t>בי' הרמב"ם דמשוה פני הקרקע הוי בונה ובי' האבאה"ז דאף דלא קיבץ חלקים הוא מלאכת בנין</w:t>
        </w:r>
      </w:hyperlink>
    </w:p>
    <w:p w14:paraId="68DBF948" w14:textId="77777777" w:rsidR="00376F67" w:rsidRDefault="00376F67" w:rsidP="00ED704E">
      <w:pPr>
        <w:pStyle w:val="TOC3"/>
        <w:rPr>
          <w:rFonts w:asciiTheme="minorHAnsi" w:eastAsiaTheme="minorEastAsia" w:hAnsiTheme="minorHAnsi" w:cstheme="minorBidi"/>
          <w:sz w:val="22"/>
          <w:szCs w:val="22"/>
          <w:rtl/>
        </w:rPr>
      </w:pPr>
      <w:hyperlink w:anchor="_Toc143770570" w:history="1">
        <w:r w:rsidRPr="009F263C">
          <w:rPr>
            <w:rStyle w:val="Hyperlink"/>
            <w:rtl/>
          </w:rPr>
          <w:t>בי' האו"ש דבדרך בנין חייב אף כשאינו אוהל כלל כגומא ומניח אבן והוי אב וזה החיוב בקרדום</w:t>
        </w:r>
      </w:hyperlink>
    </w:p>
    <w:p w14:paraId="59F7414E" w14:textId="77777777" w:rsidR="00376F67" w:rsidRDefault="00376F67" w:rsidP="00ED704E">
      <w:pPr>
        <w:pStyle w:val="TOC3"/>
        <w:rPr>
          <w:rFonts w:asciiTheme="minorHAnsi" w:eastAsiaTheme="minorEastAsia" w:hAnsiTheme="minorHAnsi" w:cstheme="minorBidi"/>
          <w:sz w:val="22"/>
          <w:szCs w:val="22"/>
          <w:rtl/>
        </w:rPr>
      </w:pPr>
      <w:hyperlink w:anchor="_Toc143770571" w:history="1">
        <w:r w:rsidRPr="009F263C">
          <w:rPr>
            <w:rStyle w:val="Hyperlink"/>
            <w:rtl/>
          </w:rPr>
          <w:t>בי' האו"ש בירושלמי דבונה במשכן היה באדנים חלולים שחברם אחד לשני ובכלים ולשעה פטור</w:t>
        </w:r>
      </w:hyperlink>
    </w:p>
    <w:p w14:paraId="7D913ABA" w14:textId="77777777" w:rsidR="00376F67" w:rsidRDefault="00376F67" w:rsidP="00376F67">
      <w:pPr>
        <w:pStyle w:val="TOC2"/>
        <w:rPr>
          <w:rFonts w:cstheme="minorBidi"/>
          <w:b w:val="0"/>
          <w:bCs w:val="0"/>
          <w:sz w:val="22"/>
          <w:szCs w:val="22"/>
          <w:rtl/>
        </w:rPr>
      </w:pPr>
      <w:hyperlink w:anchor="_Toc143770572" w:history="1">
        <w:r w:rsidRPr="009F263C">
          <w:rPr>
            <w:rStyle w:val="Hyperlink"/>
            <w:rtl/>
          </w:rPr>
          <w:t>בי' הרדב"ז דחיוב מניח אבן היינו במושיבה במקומה כדרך בנין</w:t>
        </w:r>
      </w:hyperlink>
    </w:p>
    <w:p w14:paraId="4786F944" w14:textId="77777777" w:rsidR="00376F67" w:rsidRDefault="00376F67" w:rsidP="00ED704E">
      <w:pPr>
        <w:pStyle w:val="TOC3"/>
        <w:rPr>
          <w:rFonts w:asciiTheme="minorHAnsi" w:eastAsiaTheme="minorEastAsia" w:hAnsiTheme="minorHAnsi" w:cstheme="minorBidi"/>
          <w:sz w:val="22"/>
          <w:szCs w:val="22"/>
          <w:rtl/>
        </w:rPr>
      </w:pPr>
      <w:hyperlink w:anchor="_Toc143770573" w:history="1">
        <w:r w:rsidRPr="009F263C">
          <w:rPr>
            <w:rStyle w:val="Hyperlink"/>
            <w:rtl/>
          </w:rPr>
          <w:t>בי' רש"י דמצדד אבן ומושיבה יפה ביסוד הבנין חייב בלא טיט דחיוב בונה בכ"ש ומקיימין כן</w:t>
        </w:r>
      </w:hyperlink>
    </w:p>
    <w:p w14:paraId="20157DBF" w14:textId="77777777" w:rsidR="00376F67" w:rsidRDefault="00376F67" w:rsidP="00ED704E">
      <w:pPr>
        <w:pStyle w:val="TOC3"/>
        <w:rPr>
          <w:rFonts w:asciiTheme="minorHAnsi" w:eastAsiaTheme="minorEastAsia" w:hAnsiTheme="minorHAnsi" w:cstheme="minorBidi"/>
          <w:sz w:val="22"/>
          <w:szCs w:val="22"/>
          <w:rtl/>
        </w:rPr>
      </w:pPr>
      <w:hyperlink w:anchor="_Toc143770574" w:history="1">
        <w:r w:rsidRPr="009F263C">
          <w:rPr>
            <w:rStyle w:val="Hyperlink"/>
            <w:rtl/>
          </w:rPr>
          <w:t>בי' הרמב"ם דא' נתן אבן והשני טיט השני חייב ובנדבך העליון המניח חייב ובונה ע"ג כלים פטור</w:t>
        </w:r>
      </w:hyperlink>
    </w:p>
    <w:p w14:paraId="7385CC45" w14:textId="77777777" w:rsidR="00376F67" w:rsidRDefault="00376F67" w:rsidP="00ED704E">
      <w:pPr>
        <w:pStyle w:val="TOC3"/>
        <w:rPr>
          <w:rFonts w:asciiTheme="minorHAnsi" w:eastAsiaTheme="minorEastAsia" w:hAnsiTheme="minorHAnsi" w:cstheme="minorBidi"/>
          <w:sz w:val="22"/>
          <w:szCs w:val="22"/>
          <w:rtl/>
        </w:rPr>
      </w:pPr>
      <w:hyperlink w:anchor="_Toc143770575" w:history="1">
        <w:r w:rsidRPr="009F263C">
          <w:rPr>
            <w:rStyle w:val="Hyperlink"/>
            <w:rtl/>
          </w:rPr>
          <w:t>בי' הרדב"ז דגדר בונה במעשה אומן אבל מניח אבן לבנין כדרך סבל ולא הושיבה במקומה פטור</w:t>
        </w:r>
      </w:hyperlink>
    </w:p>
    <w:p w14:paraId="6EFA62A2" w14:textId="77777777" w:rsidR="00376F67" w:rsidRDefault="00376F67" w:rsidP="00376F67">
      <w:pPr>
        <w:pStyle w:val="TOC2"/>
        <w:rPr>
          <w:rFonts w:cstheme="minorBidi"/>
          <w:b w:val="0"/>
          <w:bCs w:val="0"/>
          <w:sz w:val="22"/>
          <w:szCs w:val="22"/>
          <w:rtl/>
        </w:rPr>
      </w:pPr>
      <w:hyperlink w:anchor="_Toc143770576" w:history="1">
        <w:r w:rsidRPr="009F263C">
          <w:rPr>
            <w:rStyle w:val="Hyperlink"/>
            <w:rtl/>
          </w:rPr>
          <w:t>בביאור שיעור כ"ש בבונה במחובר לקרקע ואופני החיוב בזה</w:t>
        </w:r>
      </w:hyperlink>
    </w:p>
    <w:p w14:paraId="16A6CC87" w14:textId="77777777" w:rsidR="00376F67" w:rsidRDefault="00376F67" w:rsidP="00ED704E">
      <w:pPr>
        <w:pStyle w:val="TOC3"/>
        <w:rPr>
          <w:rFonts w:asciiTheme="minorHAnsi" w:eastAsiaTheme="minorEastAsia" w:hAnsiTheme="minorHAnsi" w:cstheme="minorBidi"/>
          <w:sz w:val="22"/>
          <w:szCs w:val="22"/>
          <w:rtl/>
        </w:rPr>
      </w:pPr>
      <w:hyperlink w:anchor="_Toc143770577" w:history="1">
        <w:r w:rsidRPr="009F263C">
          <w:rPr>
            <w:rStyle w:val="Hyperlink"/>
            <w:rtl/>
          </w:rPr>
          <w:t>בי' רש"י דדלת דבור ודות בונה כיון דבנין המחובר לקרקע חשיב בנין בכל דהו</w:t>
        </w:r>
      </w:hyperlink>
    </w:p>
    <w:p w14:paraId="18010B45" w14:textId="77777777" w:rsidR="00376F67" w:rsidRDefault="00376F67" w:rsidP="00ED704E">
      <w:pPr>
        <w:pStyle w:val="TOC3"/>
        <w:rPr>
          <w:rFonts w:asciiTheme="minorHAnsi" w:eastAsiaTheme="minorEastAsia" w:hAnsiTheme="minorHAnsi" w:cstheme="minorBidi"/>
          <w:sz w:val="22"/>
          <w:szCs w:val="22"/>
          <w:rtl/>
        </w:rPr>
      </w:pPr>
      <w:hyperlink w:anchor="_Toc143770578" w:history="1">
        <w:r w:rsidRPr="009F263C">
          <w:rPr>
            <w:rStyle w:val="Hyperlink"/>
            <w:rtl/>
          </w:rPr>
          <w:t>בי' תוס' דכ"ש ל"ה בנין וצריך מקור ובי' הריטב"א דלא ילפי' ממשכן וכ"ש אסמכינהו אמשכן</w:t>
        </w:r>
      </w:hyperlink>
    </w:p>
    <w:p w14:paraId="7B1A20B1" w14:textId="77777777" w:rsidR="00376F67" w:rsidRDefault="00376F67" w:rsidP="00ED704E">
      <w:pPr>
        <w:pStyle w:val="TOC3"/>
        <w:rPr>
          <w:rFonts w:asciiTheme="minorHAnsi" w:eastAsiaTheme="minorEastAsia" w:hAnsiTheme="minorHAnsi" w:cstheme="minorBidi"/>
          <w:sz w:val="22"/>
          <w:szCs w:val="22"/>
          <w:rtl/>
        </w:rPr>
      </w:pPr>
      <w:hyperlink w:anchor="_Toc143770579" w:history="1">
        <w:r w:rsidRPr="009F263C">
          <w:rPr>
            <w:rStyle w:val="Hyperlink"/>
            <w:rtl/>
          </w:rPr>
          <w:t>בי' המהר"ם קזיס דחיוב כל שהוא הוא רק בניכר לעין או שיש בו תועלת ולא בגרגיר עפר לגומא</w:t>
        </w:r>
      </w:hyperlink>
    </w:p>
    <w:p w14:paraId="34652335" w14:textId="77777777" w:rsidR="00376F67" w:rsidRDefault="00376F67" w:rsidP="00ED704E">
      <w:pPr>
        <w:pStyle w:val="TOC3"/>
        <w:rPr>
          <w:rFonts w:asciiTheme="minorHAnsi" w:eastAsiaTheme="minorEastAsia" w:hAnsiTheme="minorHAnsi" w:cstheme="minorBidi"/>
          <w:sz w:val="22"/>
          <w:szCs w:val="22"/>
          <w:rtl/>
        </w:rPr>
      </w:pPr>
      <w:hyperlink w:anchor="_Toc143770580" w:history="1">
        <w:r w:rsidRPr="009F263C">
          <w:rPr>
            <w:rStyle w:val="Hyperlink"/>
            <w:rtl/>
          </w:rPr>
          <w:t>בי' התפא"י דכ"ש היינו במוסיף על הבנין בעוביו או באורכו או בנין כ"ש ע"ג קרקע כיתד או מדף</w:t>
        </w:r>
      </w:hyperlink>
    </w:p>
    <w:p w14:paraId="27047A4D" w14:textId="77777777" w:rsidR="00376F67" w:rsidRDefault="00376F67" w:rsidP="00376F67">
      <w:pPr>
        <w:pStyle w:val="TOC2"/>
        <w:rPr>
          <w:rFonts w:cstheme="minorBidi"/>
          <w:b w:val="0"/>
          <w:bCs w:val="0"/>
          <w:sz w:val="22"/>
          <w:szCs w:val="22"/>
          <w:rtl/>
        </w:rPr>
      </w:pPr>
      <w:hyperlink w:anchor="_Toc143770581" w:history="1">
        <w:r w:rsidRPr="009F263C">
          <w:rPr>
            <w:rStyle w:val="Hyperlink"/>
            <w:rtl/>
          </w:rPr>
          <w:t>בגדרי בונה בנוטל גבשושית בבית אי המלאכה בגומא או בבית</w:t>
        </w:r>
      </w:hyperlink>
    </w:p>
    <w:p w14:paraId="71D4B1D6" w14:textId="77777777" w:rsidR="00376F67" w:rsidRDefault="00376F67" w:rsidP="00ED704E">
      <w:pPr>
        <w:pStyle w:val="TOC3"/>
        <w:rPr>
          <w:rFonts w:asciiTheme="minorHAnsi" w:eastAsiaTheme="minorEastAsia" w:hAnsiTheme="minorHAnsi" w:cstheme="minorBidi"/>
          <w:sz w:val="22"/>
          <w:szCs w:val="22"/>
          <w:rtl/>
        </w:rPr>
      </w:pPr>
      <w:hyperlink w:anchor="_Toc143770582" w:history="1">
        <w:r w:rsidRPr="009F263C">
          <w:rPr>
            <w:rStyle w:val="Hyperlink"/>
            <w:rtl/>
          </w:rPr>
          <w:t>בי' רש"י דנוטל גבשושית בונה בכוונתו להשוות פני הקרקע ומשוה גומות בונה ברצפת הבית</w:t>
        </w:r>
      </w:hyperlink>
    </w:p>
    <w:p w14:paraId="07B76518" w14:textId="77777777" w:rsidR="00376F67" w:rsidRDefault="00376F67" w:rsidP="00ED704E">
      <w:pPr>
        <w:pStyle w:val="TOC3"/>
        <w:rPr>
          <w:rFonts w:asciiTheme="minorHAnsi" w:eastAsiaTheme="minorEastAsia" w:hAnsiTheme="minorHAnsi" w:cstheme="minorBidi"/>
          <w:sz w:val="22"/>
          <w:szCs w:val="22"/>
          <w:rtl/>
        </w:rPr>
      </w:pPr>
      <w:hyperlink w:anchor="_Toc143770583" w:history="1">
        <w:r w:rsidRPr="009F263C">
          <w:rPr>
            <w:rStyle w:val="Hyperlink"/>
            <w:rtl/>
          </w:rPr>
          <w:t>בי' האבנ"ז ברש"י דבגבשושית אף דדמי לחק תוכות הוי מלאכה בקרקע עצמה ולא בגבשושית</w:t>
        </w:r>
      </w:hyperlink>
    </w:p>
    <w:p w14:paraId="21ADF10F" w14:textId="77777777" w:rsidR="00376F67" w:rsidRDefault="00376F67" w:rsidP="00ED704E">
      <w:pPr>
        <w:pStyle w:val="TOC3"/>
        <w:rPr>
          <w:rFonts w:asciiTheme="minorHAnsi" w:eastAsiaTheme="minorEastAsia" w:hAnsiTheme="minorHAnsi" w:cstheme="minorBidi"/>
          <w:sz w:val="22"/>
          <w:szCs w:val="22"/>
          <w:rtl/>
        </w:rPr>
      </w:pPr>
      <w:hyperlink w:anchor="_Toc143770584" w:history="1">
        <w:r w:rsidRPr="009F263C">
          <w:rPr>
            <w:rStyle w:val="Hyperlink"/>
            <w:rtl/>
          </w:rPr>
          <w:t>בי' המג"א דהאיסור במשוה גומות בחצר הוא רק בכוונתו לתקן את החצר ובא"צ לזה מותר</w:t>
        </w:r>
      </w:hyperlink>
    </w:p>
    <w:p w14:paraId="29058DCA" w14:textId="77777777" w:rsidR="00376F67" w:rsidRDefault="00376F67" w:rsidP="00ED704E">
      <w:pPr>
        <w:pStyle w:val="TOC3"/>
        <w:rPr>
          <w:rFonts w:asciiTheme="minorHAnsi" w:eastAsiaTheme="minorEastAsia" w:hAnsiTheme="minorHAnsi" w:cstheme="minorBidi"/>
          <w:sz w:val="22"/>
          <w:szCs w:val="22"/>
          <w:rtl/>
        </w:rPr>
      </w:pPr>
      <w:hyperlink w:anchor="_Toc143770585" w:history="1">
        <w:r w:rsidRPr="009F263C">
          <w:rPr>
            <w:rStyle w:val="Hyperlink"/>
            <w:rtl/>
          </w:rPr>
          <w:t>בי' המג"א דהמסיר גבשושית ברה"ר הוי בונה דמתקן את הרחוב ובי' הנשמ"א דהיינו במבטל</w:t>
        </w:r>
      </w:hyperlink>
    </w:p>
    <w:p w14:paraId="551D40D8" w14:textId="77777777" w:rsidR="00376F67" w:rsidRDefault="00376F67" w:rsidP="00ED704E">
      <w:pPr>
        <w:pStyle w:val="TOC3"/>
        <w:rPr>
          <w:rFonts w:asciiTheme="minorHAnsi" w:eastAsiaTheme="minorEastAsia" w:hAnsiTheme="minorHAnsi" w:cstheme="minorBidi"/>
          <w:sz w:val="22"/>
          <w:szCs w:val="22"/>
          <w:rtl/>
        </w:rPr>
      </w:pPr>
      <w:hyperlink w:anchor="_Toc143770586" w:history="1">
        <w:r w:rsidRPr="009F263C">
          <w:rPr>
            <w:rStyle w:val="Hyperlink"/>
            <w:rtl/>
          </w:rPr>
          <w:t>בי' הפנ"י דהחורש להשוות גומות חייב משום בונה ומשמע דאף שלא עשה כן בבית הוי בונה</w:t>
        </w:r>
      </w:hyperlink>
    </w:p>
    <w:p w14:paraId="5E4D7CBA" w14:textId="77777777" w:rsidR="00376F67" w:rsidRDefault="00376F67" w:rsidP="00376F67">
      <w:pPr>
        <w:pStyle w:val="TOC2"/>
        <w:rPr>
          <w:rFonts w:cstheme="minorBidi"/>
          <w:b w:val="0"/>
          <w:bCs w:val="0"/>
          <w:sz w:val="22"/>
          <w:szCs w:val="22"/>
          <w:rtl/>
        </w:rPr>
      </w:pPr>
      <w:hyperlink w:anchor="_Toc143770587" w:history="1">
        <w:r w:rsidRPr="009F263C">
          <w:rPr>
            <w:rStyle w:val="Hyperlink"/>
            <w:rtl/>
          </w:rPr>
          <w:t>פלו' רש"י והרי"ד בגומא וא"צ לה אי מקלקל או ל"ה מלאכה</w:t>
        </w:r>
      </w:hyperlink>
    </w:p>
    <w:p w14:paraId="5DB6D8BD" w14:textId="77777777" w:rsidR="00376F67" w:rsidRDefault="00376F67" w:rsidP="00ED704E">
      <w:pPr>
        <w:pStyle w:val="TOC3"/>
        <w:rPr>
          <w:rFonts w:asciiTheme="minorHAnsi" w:eastAsiaTheme="minorEastAsia" w:hAnsiTheme="minorHAnsi" w:cstheme="minorBidi"/>
          <w:sz w:val="22"/>
          <w:szCs w:val="22"/>
          <w:rtl/>
        </w:rPr>
      </w:pPr>
      <w:hyperlink w:anchor="_Toc143770588" w:history="1">
        <w:r w:rsidRPr="009F263C">
          <w:rPr>
            <w:rStyle w:val="Hyperlink"/>
            <w:rtl/>
          </w:rPr>
          <w:t>בי' רש"י דחופר גומא בבית וא"צ אלא לעפרה הוא מקלקל בבנין הגומא ובצריך לה הוי בונה</w:t>
        </w:r>
      </w:hyperlink>
    </w:p>
    <w:p w14:paraId="4AA5BD73" w14:textId="77777777" w:rsidR="00376F67" w:rsidRDefault="00376F67" w:rsidP="00ED704E">
      <w:pPr>
        <w:pStyle w:val="TOC3"/>
        <w:rPr>
          <w:rFonts w:asciiTheme="minorHAnsi" w:eastAsiaTheme="minorEastAsia" w:hAnsiTheme="minorHAnsi" w:cstheme="minorBidi"/>
          <w:sz w:val="22"/>
          <w:szCs w:val="22"/>
          <w:rtl/>
        </w:rPr>
      </w:pPr>
      <w:hyperlink w:anchor="_Toc143770589" w:history="1">
        <w:r w:rsidRPr="009F263C">
          <w:rPr>
            <w:rStyle w:val="Hyperlink"/>
            <w:rtl/>
          </w:rPr>
          <w:t>בי' הרמב"ם דבחופר גומא וא"צ לה פטור מדין מקלקל ובי' המ"מ דבמקום שאין קלקול חייב</w:t>
        </w:r>
      </w:hyperlink>
    </w:p>
    <w:p w14:paraId="5361C91B" w14:textId="77777777" w:rsidR="00376F67" w:rsidRDefault="00376F67" w:rsidP="00ED704E">
      <w:pPr>
        <w:pStyle w:val="TOC3"/>
        <w:rPr>
          <w:rFonts w:asciiTheme="minorHAnsi" w:eastAsiaTheme="minorEastAsia" w:hAnsiTheme="minorHAnsi" w:cstheme="minorBidi"/>
          <w:sz w:val="22"/>
          <w:szCs w:val="22"/>
          <w:rtl/>
        </w:rPr>
      </w:pPr>
      <w:hyperlink w:anchor="_Toc143770590" w:history="1">
        <w:r w:rsidRPr="009F263C">
          <w:rPr>
            <w:rStyle w:val="Hyperlink"/>
            <w:rtl/>
          </w:rPr>
          <w:t>בי' התורי"ד דחופר גומא וא"צ לה אינו מקלקל דאי"ז מלאכה כלל דרק בצריך להו הוי בנין</w:t>
        </w:r>
      </w:hyperlink>
    </w:p>
    <w:p w14:paraId="696CF2F6" w14:textId="77777777" w:rsidR="00376F67" w:rsidRDefault="00376F67" w:rsidP="00ED704E">
      <w:pPr>
        <w:pStyle w:val="TOC3"/>
        <w:rPr>
          <w:rFonts w:asciiTheme="minorHAnsi" w:eastAsiaTheme="minorEastAsia" w:hAnsiTheme="minorHAnsi" w:cstheme="minorBidi"/>
          <w:sz w:val="22"/>
          <w:szCs w:val="22"/>
          <w:rtl/>
        </w:rPr>
      </w:pPr>
      <w:hyperlink w:anchor="_Toc143770591" w:history="1">
        <w:r w:rsidRPr="009F263C">
          <w:rPr>
            <w:rStyle w:val="Hyperlink"/>
            <w:rtl/>
          </w:rPr>
          <w:t>בי' החזו"א דל"ש מקלקל בחופר גומא וא"צ לה וכוונת הגמ' דכיון שאינו מתקן אינה מלאכה</w:t>
        </w:r>
      </w:hyperlink>
    </w:p>
    <w:p w14:paraId="13B1C5A0" w14:textId="77777777" w:rsidR="00376F67" w:rsidRDefault="00376F67" w:rsidP="00376F67">
      <w:pPr>
        <w:pStyle w:val="TOC1"/>
        <w:rPr>
          <w:rFonts w:asciiTheme="minorHAnsi" w:hAnsiTheme="minorHAnsi" w:cstheme="minorBidi"/>
          <w:b w:val="0"/>
          <w:bCs w:val="0"/>
          <w:caps w:val="0"/>
          <w:sz w:val="22"/>
          <w:szCs w:val="22"/>
          <w:rtl/>
        </w:rPr>
      </w:pPr>
      <w:hyperlink w:anchor="_Toc143770592" w:history="1">
        <w:r w:rsidRPr="009F263C">
          <w:rPr>
            <w:rStyle w:val="Hyperlink"/>
            <w:rtl/>
          </w:rPr>
          <w:t>בגדרי דרך בנין במסתת ובלול ובמורסא</w:t>
        </w:r>
      </w:hyperlink>
    </w:p>
    <w:p w14:paraId="25F74113" w14:textId="09434396" w:rsidR="00376F67" w:rsidRDefault="00376F67" w:rsidP="00376F67">
      <w:pPr>
        <w:pStyle w:val="afffffffff0"/>
        <w:rPr>
          <w:b/>
          <w:bCs/>
          <w:rtl/>
        </w:rPr>
      </w:pPr>
      <w:r w:rsidRPr="00FE4693">
        <w:rPr>
          <w:b/>
          <w:bCs/>
          <w:rtl/>
        </w:rPr>
        <w:fldChar w:fldCharType="begin"/>
      </w:r>
      <w:r w:rsidRPr="00FE4693">
        <w:rPr>
          <w:b/>
          <w:bCs/>
          <w:rtl/>
        </w:rPr>
        <w:instrText xml:space="preserve"> </w:instrText>
      </w:r>
      <w:r w:rsidRPr="00FE4693">
        <w:rPr>
          <w:rFonts w:hint="cs"/>
          <w:b/>
          <w:bCs/>
        </w:rPr>
        <w:instrText>REF</w:instrText>
      </w:r>
      <w:r w:rsidRPr="00FE4693">
        <w:rPr>
          <w:rFonts w:hint="cs"/>
          <w:b/>
          <w:bCs/>
          <w:rtl/>
        </w:rPr>
        <w:instrText xml:space="preserve"> _</w:instrText>
      </w:r>
      <w:r w:rsidRPr="00FE4693">
        <w:rPr>
          <w:rFonts w:hint="cs"/>
          <w:b/>
          <w:bCs/>
        </w:rPr>
        <w:instrText>Ref143535661 \r \h</w:instrText>
      </w:r>
      <w:r w:rsidRPr="00FE4693">
        <w:rPr>
          <w:b/>
          <w:bCs/>
          <w:rtl/>
        </w:rPr>
        <w:instrText xml:space="preserve">  \* </w:instrText>
      </w:r>
      <w:r w:rsidRPr="00FE4693">
        <w:rPr>
          <w:b/>
          <w:bCs/>
        </w:rPr>
        <w:instrText>MERGEFORMAT</w:instrText>
      </w:r>
      <w:r w:rsidRPr="00FE4693">
        <w:rPr>
          <w:b/>
          <w:bCs/>
          <w:rtl/>
        </w:rPr>
        <w:instrText xml:space="preserve"> </w:instrText>
      </w:r>
      <w:r w:rsidRPr="00FE4693">
        <w:rPr>
          <w:b/>
          <w:bCs/>
          <w:rtl/>
        </w:rPr>
      </w:r>
      <w:r w:rsidRPr="00FE4693">
        <w:rPr>
          <w:b/>
          <w:bCs/>
          <w:rtl/>
        </w:rPr>
        <w:fldChar w:fldCharType="separate"/>
      </w:r>
      <w:r w:rsidR="00D82181">
        <w:rPr>
          <w:b/>
          <w:bCs/>
          <w:cs/>
        </w:rPr>
        <w:t>‎</w:t>
      </w:r>
      <w:r w:rsidR="00D82181">
        <w:rPr>
          <w:b/>
          <w:bCs/>
          <w:rtl/>
        </w:rPr>
        <w:t>כ)</w:t>
      </w:r>
      <w:r w:rsidRPr="00FE4693">
        <w:rPr>
          <w:b/>
          <w:bCs/>
          <w:rtl/>
        </w:rPr>
        <w:fldChar w:fldCharType="end"/>
      </w:r>
      <w:r w:rsidRPr="00FE4693">
        <w:rPr>
          <w:rFonts w:hint="cs"/>
          <w:b/>
          <w:bCs/>
          <w:rtl/>
        </w:rPr>
        <w:t xml:space="preserve"> </w:t>
      </w:r>
      <w:r w:rsidRPr="003A14B9">
        <w:rPr>
          <w:rStyle w:val="aff4"/>
          <w:rFonts w:ascii="David" w:eastAsiaTheme="minorEastAsia" w:hAnsi="David" w:cs="David" w:hint="cs"/>
          <w:b w:val="0"/>
          <w:bCs w:val="0"/>
          <w:noProof w:val="0"/>
          <w:sz w:val="16"/>
          <w:szCs w:val="16"/>
          <w:rtl/>
        </w:rPr>
        <w:t>רש"י במתני'</w:t>
      </w:r>
      <w:r w:rsidRPr="003A14B9">
        <w:rPr>
          <w:rFonts w:hint="cs"/>
          <w:rtl/>
        </w:rPr>
        <w:t xml:space="preserve"> </w:t>
      </w:r>
      <w:r w:rsidRPr="00FE4693">
        <w:rPr>
          <w:rStyle w:val="afffffffff3"/>
          <w:rFonts w:hint="cs"/>
          <w:rtl/>
        </w:rPr>
        <w:t>(ד"ה מסתת)</w:t>
      </w:r>
      <w:r>
        <w:rPr>
          <w:rtl/>
        </w:rPr>
        <w:t xml:space="preserve"> </w:t>
      </w:r>
      <w:r w:rsidRPr="003A14B9">
        <w:rPr>
          <w:rStyle w:val="aff4"/>
          <w:rFonts w:ascii="David" w:eastAsiaTheme="minorEastAsia" w:hAnsi="David" w:cs="David" w:hint="cs"/>
          <w:b w:val="0"/>
          <w:bCs w:val="0"/>
          <w:noProof w:val="0"/>
          <w:sz w:val="16"/>
          <w:szCs w:val="16"/>
          <w:rtl/>
        </w:rPr>
        <w:t>רש"י</w:t>
      </w:r>
      <w:r w:rsidRPr="003A14B9">
        <w:rPr>
          <w:rFonts w:hint="cs"/>
          <w:rtl/>
        </w:rPr>
        <w:t xml:space="preserve"> </w:t>
      </w:r>
      <w:r w:rsidRPr="00FE4693">
        <w:rPr>
          <w:rStyle w:val="afffffffff3"/>
          <w:rFonts w:hint="cs"/>
          <w:rtl/>
        </w:rPr>
        <w:t>(ד"ה מסתת)</w:t>
      </w:r>
      <w:r>
        <w:rPr>
          <w:rtl/>
        </w:rPr>
        <w:t xml:space="preserve"> </w:t>
      </w:r>
      <w:r w:rsidRPr="003A14B9">
        <w:rPr>
          <w:rStyle w:val="aff4"/>
          <w:rFonts w:ascii="David" w:eastAsiaTheme="minorEastAsia" w:hAnsi="David" w:cs="David" w:hint="cs"/>
          <w:b w:val="0"/>
          <w:bCs w:val="0"/>
          <w:noProof w:val="0"/>
          <w:sz w:val="16"/>
          <w:szCs w:val="16"/>
          <w:rtl/>
        </w:rPr>
        <w:t>מאירי</w:t>
      </w:r>
      <w:r w:rsidRPr="003A14B9">
        <w:rPr>
          <w:rFonts w:hint="cs"/>
          <w:rtl/>
        </w:rPr>
        <w:t xml:space="preserve"> </w:t>
      </w:r>
      <w:r w:rsidRPr="00FE4693">
        <w:rPr>
          <w:rStyle w:val="afffffffff3"/>
          <w:rFonts w:hint="cs"/>
          <w:rtl/>
        </w:rPr>
        <w:t>(ד"ה המסתת)</w:t>
      </w:r>
      <w:r>
        <w:rPr>
          <w:rtl/>
        </w:rPr>
        <w:t xml:space="preserve"> </w:t>
      </w:r>
      <w:r w:rsidRPr="003A14B9">
        <w:rPr>
          <w:rStyle w:val="aff9"/>
          <w:rFonts w:ascii="David" w:eastAsiaTheme="minorEastAsia" w:hAnsi="David" w:cs="David" w:hint="cs"/>
          <w:b w:val="0"/>
          <w:bCs w:val="0"/>
          <w:noProof w:val="0"/>
          <w:sz w:val="16"/>
          <w:szCs w:val="16"/>
          <w:rtl/>
        </w:rPr>
        <w:t>רמב"ם</w:t>
      </w:r>
      <w:r w:rsidRPr="003A14B9">
        <w:rPr>
          <w:rStyle w:val="af"/>
          <w:rFonts w:ascii="David" w:eastAsiaTheme="minorEastAsia" w:hAnsi="David" w:cs="David" w:hint="cs"/>
          <w:noProof w:val="0"/>
          <w:sz w:val="16"/>
          <w:szCs w:val="16"/>
          <w:rtl/>
        </w:rPr>
        <w:t xml:space="preserve"> </w:t>
      </w:r>
      <w:r w:rsidRPr="00FE4693">
        <w:rPr>
          <w:rStyle w:val="afffffffff3"/>
          <w:rFonts w:hint="cs"/>
          <w:rtl/>
        </w:rPr>
        <w:t>(שבת פ"י הי"ח)</w:t>
      </w:r>
      <w:r>
        <w:rPr>
          <w:rtl/>
        </w:rPr>
        <w:t>,</w:t>
      </w:r>
      <w:r w:rsidRPr="00FE4693">
        <w:rPr>
          <w:rStyle w:val="aff4"/>
          <w:rFonts w:ascii="David" w:eastAsiaTheme="minorEastAsia" w:hAnsi="David" w:cs="David" w:hint="cs"/>
          <w:noProof w:val="0"/>
          <w:sz w:val="16"/>
          <w:szCs w:val="16"/>
          <w:rtl/>
        </w:rPr>
        <w:t xml:space="preserve"> </w:t>
      </w:r>
      <w:r w:rsidRPr="00FE4693">
        <w:rPr>
          <w:rStyle w:val="aff4"/>
          <w:rFonts w:ascii="David" w:eastAsiaTheme="minorEastAsia" w:hAnsi="David" w:cs="David"/>
          <w:noProof w:val="0"/>
          <w:sz w:val="16"/>
          <w:szCs w:val="16"/>
          <w:rtl/>
        </w:rPr>
        <w:fldChar w:fldCharType="begin"/>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hint="cs"/>
          <w:noProof w:val="0"/>
          <w:sz w:val="16"/>
          <w:szCs w:val="16"/>
        </w:rPr>
        <w:instrText>REF</w:instrText>
      </w:r>
      <w:r w:rsidRPr="00FE4693">
        <w:rPr>
          <w:rStyle w:val="aff4"/>
          <w:rFonts w:ascii="David" w:eastAsiaTheme="minorEastAsia" w:hAnsi="David" w:cs="David" w:hint="cs"/>
          <w:noProof w:val="0"/>
          <w:sz w:val="16"/>
          <w:szCs w:val="16"/>
          <w:rtl/>
        </w:rPr>
        <w:instrText xml:space="preserve"> _</w:instrText>
      </w:r>
      <w:r w:rsidRPr="00FE4693">
        <w:rPr>
          <w:rStyle w:val="aff4"/>
          <w:rFonts w:ascii="David" w:eastAsiaTheme="minorEastAsia" w:hAnsi="David" w:cs="David" w:hint="cs"/>
          <w:noProof w:val="0"/>
          <w:sz w:val="16"/>
          <w:szCs w:val="16"/>
        </w:rPr>
        <w:instrText>Ref143546066 \r \h</w:instrText>
      </w:r>
      <w:r w:rsidRPr="00FE4693">
        <w:rPr>
          <w:rStyle w:val="aff4"/>
          <w:rFonts w:ascii="David" w:eastAsiaTheme="minorEastAsia" w:hAnsi="David" w:cs="David"/>
          <w:noProof w:val="0"/>
          <w:sz w:val="16"/>
          <w:szCs w:val="16"/>
          <w:rtl/>
        </w:rPr>
        <w:instrText xml:space="preserve">  \* </w:instrText>
      </w:r>
      <w:r w:rsidRPr="00FE4693">
        <w:rPr>
          <w:rStyle w:val="aff4"/>
          <w:rFonts w:ascii="David" w:eastAsiaTheme="minorEastAsia" w:hAnsi="David" w:cs="David"/>
          <w:noProof w:val="0"/>
          <w:sz w:val="16"/>
          <w:szCs w:val="16"/>
        </w:rPr>
        <w:instrText>MERGEFORMAT</w:instrText>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tl/>
        </w:rPr>
      </w:r>
      <w:r w:rsidRPr="00FE4693">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כא)</w:t>
      </w:r>
      <w:r w:rsidRPr="00FE4693">
        <w:rPr>
          <w:rStyle w:val="aff4"/>
          <w:rFonts w:ascii="David" w:eastAsiaTheme="minorEastAsia" w:hAnsi="David" w:cs="David"/>
          <w:noProof w:val="0"/>
          <w:sz w:val="16"/>
          <w:szCs w:val="16"/>
          <w:rtl/>
        </w:rPr>
        <w:fldChar w:fldCharType="end"/>
      </w:r>
      <w:r w:rsidRPr="00FE4693">
        <w:rPr>
          <w:rStyle w:val="aff4"/>
          <w:rFonts w:ascii="David" w:eastAsiaTheme="minorEastAsia" w:hAnsi="David" w:cs="David" w:hint="cs"/>
          <w:noProof w:val="0"/>
          <w:sz w:val="16"/>
          <w:szCs w:val="16"/>
          <w:rtl/>
        </w:rPr>
        <w:t xml:space="preserve"> </w:t>
      </w:r>
      <w:r w:rsidRPr="003A14B9">
        <w:rPr>
          <w:rStyle w:val="aff4"/>
          <w:rFonts w:ascii="David" w:eastAsiaTheme="minorEastAsia" w:hAnsi="David" w:cs="David" w:hint="cs"/>
          <w:b w:val="0"/>
          <w:bCs w:val="0"/>
          <w:noProof w:val="0"/>
          <w:sz w:val="16"/>
          <w:szCs w:val="16"/>
          <w:rtl/>
        </w:rPr>
        <w:t>רמב"ם</w:t>
      </w:r>
      <w:r w:rsidRPr="003A14B9">
        <w:rPr>
          <w:rFonts w:hint="cs"/>
          <w:rtl/>
        </w:rPr>
        <w:t xml:space="preserve"> </w:t>
      </w:r>
      <w:r w:rsidRPr="00FE4693">
        <w:rPr>
          <w:rStyle w:val="afffffffff3"/>
          <w:rFonts w:hint="cs"/>
          <w:rtl/>
        </w:rPr>
        <w:t>(שבת פ"י הי"ד)</w:t>
      </w:r>
      <w:r>
        <w:rPr>
          <w:rtl/>
        </w:rPr>
        <w:t xml:space="preserve"> </w:t>
      </w:r>
      <w:r w:rsidRPr="003A14B9">
        <w:rPr>
          <w:rStyle w:val="aff4"/>
          <w:rFonts w:ascii="David" w:eastAsiaTheme="minorEastAsia" w:hAnsi="David" w:cs="David" w:hint="cs"/>
          <w:b w:val="0"/>
          <w:bCs w:val="0"/>
          <w:noProof w:val="0"/>
          <w:sz w:val="16"/>
          <w:szCs w:val="16"/>
          <w:rtl/>
        </w:rPr>
        <w:t>מ"מ</w:t>
      </w:r>
      <w:r w:rsidRPr="003A14B9">
        <w:rPr>
          <w:rFonts w:hint="cs"/>
          <w:rtl/>
        </w:rPr>
        <w:t xml:space="preserve"> </w:t>
      </w:r>
      <w:r w:rsidRPr="00FE4693">
        <w:rPr>
          <w:rStyle w:val="afffffffff3"/>
          <w:rFonts w:hint="cs"/>
          <w:rtl/>
        </w:rPr>
        <w:t>(שבת פ"י הי"ד)</w:t>
      </w:r>
      <w:r>
        <w:rPr>
          <w:rtl/>
        </w:rPr>
        <w:t xml:space="preserve"> </w:t>
      </w:r>
      <w:r w:rsidRPr="003A14B9">
        <w:rPr>
          <w:rStyle w:val="aff4"/>
          <w:rFonts w:ascii="David" w:eastAsiaTheme="minorEastAsia" w:hAnsi="David" w:cs="David" w:hint="cs"/>
          <w:b w:val="0"/>
          <w:bCs w:val="0"/>
          <w:noProof w:val="0"/>
          <w:sz w:val="16"/>
          <w:szCs w:val="16"/>
          <w:rtl/>
        </w:rPr>
        <w:t>כס"מ</w:t>
      </w:r>
      <w:r w:rsidRPr="003A14B9">
        <w:rPr>
          <w:rFonts w:hint="cs"/>
          <w:rtl/>
        </w:rPr>
        <w:t xml:space="preserve"> </w:t>
      </w:r>
      <w:r w:rsidRPr="00FE4693">
        <w:rPr>
          <w:rStyle w:val="afffffffff3"/>
          <w:rFonts w:hint="cs"/>
          <w:rtl/>
        </w:rPr>
        <w:t>(שבת פ"י הי"ד)</w:t>
      </w:r>
      <w:r>
        <w:rPr>
          <w:rtl/>
        </w:rPr>
        <w:t xml:space="preserve"> </w:t>
      </w:r>
      <w:r w:rsidRPr="003A14B9">
        <w:rPr>
          <w:rStyle w:val="aff4"/>
          <w:rFonts w:ascii="David" w:eastAsiaTheme="minorEastAsia" w:hAnsi="David" w:cs="David" w:hint="cs"/>
          <w:b w:val="0"/>
          <w:bCs w:val="0"/>
          <w:noProof w:val="0"/>
          <w:sz w:val="16"/>
          <w:szCs w:val="16"/>
          <w:rtl/>
        </w:rPr>
        <w:t>לח"מ</w:t>
      </w:r>
      <w:r w:rsidRPr="003A14B9">
        <w:rPr>
          <w:rFonts w:hint="cs"/>
          <w:rtl/>
        </w:rPr>
        <w:t xml:space="preserve"> </w:t>
      </w:r>
      <w:r w:rsidRPr="00FE4693">
        <w:rPr>
          <w:rStyle w:val="afffffffff3"/>
          <w:rFonts w:hint="cs"/>
          <w:rtl/>
        </w:rPr>
        <w:t>(שבת פ"י הי"ד)</w:t>
      </w:r>
      <w:r>
        <w:rPr>
          <w:rtl/>
        </w:rPr>
        <w:t xml:space="preserve"> </w:t>
      </w:r>
      <w:r w:rsidRPr="003A14B9">
        <w:rPr>
          <w:rStyle w:val="aff4"/>
          <w:rFonts w:ascii="David" w:eastAsiaTheme="minorEastAsia" w:hAnsi="David" w:cs="David" w:hint="cs"/>
          <w:b w:val="0"/>
          <w:bCs w:val="0"/>
          <w:noProof w:val="0"/>
          <w:sz w:val="16"/>
          <w:szCs w:val="16"/>
          <w:rtl/>
        </w:rPr>
        <w:t>רמב"ם</w:t>
      </w:r>
      <w:r w:rsidRPr="003A14B9">
        <w:rPr>
          <w:rFonts w:hint="cs"/>
          <w:rtl/>
        </w:rPr>
        <w:t xml:space="preserve"> </w:t>
      </w:r>
      <w:r w:rsidRPr="00FE4693">
        <w:rPr>
          <w:rStyle w:val="afffffffff3"/>
          <w:rFonts w:hint="cs"/>
          <w:rtl/>
        </w:rPr>
        <w:t>(שבת פ"י ה</w:t>
      </w:r>
      <w:r>
        <w:rPr>
          <w:rStyle w:val="afffffffff3"/>
          <w:rFonts w:hint="cs"/>
          <w:rtl/>
        </w:rPr>
        <w:t>ט</w:t>
      </w:r>
      <w:r w:rsidRPr="00FE4693">
        <w:rPr>
          <w:rStyle w:val="afffffffff3"/>
          <w:rFonts w:hint="cs"/>
          <w:rtl/>
        </w:rPr>
        <w:t>"</w:t>
      </w:r>
      <w:r>
        <w:rPr>
          <w:rStyle w:val="afffffffff3"/>
          <w:rFonts w:hint="cs"/>
          <w:rtl/>
        </w:rPr>
        <w:t>ז</w:t>
      </w:r>
      <w:r w:rsidRPr="00FE4693">
        <w:rPr>
          <w:rStyle w:val="afffffffff3"/>
          <w:rFonts w:hint="cs"/>
          <w:rtl/>
        </w:rPr>
        <w:t>)</w:t>
      </w:r>
      <w:r>
        <w:rPr>
          <w:rtl/>
        </w:rPr>
        <w:t xml:space="preserve"> </w:t>
      </w:r>
      <w:r w:rsidRPr="003A14B9">
        <w:rPr>
          <w:rStyle w:val="aff4"/>
          <w:rFonts w:ascii="David" w:eastAsiaTheme="minorEastAsia" w:hAnsi="David" w:cs="David" w:hint="cs"/>
          <w:b w:val="0"/>
          <w:bCs w:val="0"/>
          <w:noProof w:val="0"/>
          <w:sz w:val="16"/>
          <w:szCs w:val="16"/>
          <w:rtl/>
        </w:rPr>
        <w:t>רמב"ם</w:t>
      </w:r>
      <w:r w:rsidRPr="003A14B9">
        <w:rPr>
          <w:rFonts w:hint="cs"/>
          <w:rtl/>
        </w:rPr>
        <w:t xml:space="preserve"> </w:t>
      </w:r>
      <w:r w:rsidRPr="00FE4693">
        <w:rPr>
          <w:rStyle w:val="afffffffff3"/>
          <w:rFonts w:hint="cs"/>
          <w:rtl/>
        </w:rPr>
        <w:t>(שבת פכ"ג ה"א)</w:t>
      </w:r>
      <w:r>
        <w:rPr>
          <w:rtl/>
        </w:rPr>
        <w:t xml:space="preserve"> </w:t>
      </w:r>
      <w:r w:rsidRPr="003A14B9">
        <w:rPr>
          <w:rStyle w:val="aff4"/>
          <w:rFonts w:ascii="David" w:eastAsiaTheme="minorEastAsia" w:hAnsi="David" w:cs="David" w:hint="cs"/>
          <w:b w:val="0"/>
          <w:bCs w:val="0"/>
          <w:noProof w:val="0"/>
          <w:sz w:val="16"/>
          <w:szCs w:val="16"/>
          <w:rtl/>
        </w:rPr>
        <w:t>מג"א</w:t>
      </w:r>
      <w:r w:rsidRPr="003A14B9">
        <w:rPr>
          <w:rFonts w:hint="cs"/>
          <w:rtl/>
        </w:rPr>
        <w:t xml:space="preserve"> </w:t>
      </w:r>
      <w:r w:rsidRPr="00FE4693">
        <w:rPr>
          <w:rStyle w:val="afffffffff3"/>
          <w:rFonts w:hint="cs"/>
          <w:rtl/>
        </w:rPr>
        <w:t>(סי' שי"ד סק"ג)</w:t>
      </w:r>
      <w:r>
        <w:rPr>
          <w:rtl/>
        </w:rPr>
        <w:t xml:space="preserve"> </w:t>
      </w:r>
      <w:r w:rsidRPr="003A14B9">
        <w:rPr>
          <w:rStyle w:val="aff4"/>
          <w:rFonts w:ascii="David" w:eastAsiaTheme="minorEastAsia" w:hAnsi="David" w:cs="David" w:hint="cs"/>
          <w:b w:val="0"/>
          <w:bCs w:val="0"/>
          <w:noProof w:val="0"/>
          <w:sz w:val="16"/>
          <w:szCs w:val="16"/>
          <w:rtl/>
        </w:rPr>
        <w:t>קהלות</w:t>
      </w:r>
      <w:r w:rsidRPr="003A14B9">
        <w:rPr>
          <w:rFonts w:hint="cs"/>
          <w:rtl/>
        </w:rPr>
        <w:t xml:space="preserve"> </w:t>
      </w:r>
      <w:r w:rsidRPr="003A14B9">
        <w:rPr>
          <w:rStyle w:val="aff4"/>
          <w:rFonts w:ascii="David" w:eastAsiaTheme="minorEastAsia" w:hAnsi="David" w:cs="David" w:hint="cs"/>
          <w:b w:val="0"/>
          <w:bCs w:val="0"/>
          <w:noProof w:val="0"/>
          <w:sz w:val="16"/>
          <w:szCs w:val="16"/>
          <w:rtl/>
        </w:rPr>
        <w:t>יעקב</w:t>
      </w:r>
      <w:r w:rsidRPr="003A14B9">
        <w:rPr>
          <w:rFonts w:hint="cs"/>
          <w:rtl/>
        </w:rPr>
        <w:t xml:space="preserve"> </w:t>
      </w:r>
      <w:r w:rsidRPr="00FE4693">
        <w:rPr>
          <w:rStyle w:val="afffffffff3"/>
          <w:rFonts w:hint="cs"/>
          <w:rtl/>
        </w:rPr>
        <w:t xml:space="preserve">(עי' אות </w:t>
      </w:r>
      <w:r w:rsidRPr="00FE4693">
        <w:rPr>
          <w:rStyle w:val="afffffffff3"/>
          <w:rtl/>
        </w:rPr>
        <w:fldChar w:fldCharType="begin"/>
      </w:r>
      <w:r w:rsidRPr="00FE4693">
        <w:rPr>
          <w:rStyle w:val="afffffffff3"/>
          <w:rtl/>
        </w:rPr>
        <w:instrText xml:space="preserve"> </w:instrText>
      </w:r>
      <w:r w:rsidRPr="00FE4693">
        <w:rPr>
          <w:rStyle w:val="afffffffff3"/>
          <w:rFonts w:hint="cs"/>
        </w:rPr>
        <w:instrText>REF</w:instrText>
      </w:r>
      <w:r w:rsidRPr="00FE4693">
        <w:rPr>
          <w:rStyle w:val="afffffffff3"/>
          <w:rFonts w:hint="cs"/>
          <w:rtl/>
        </w:rPr>
        <w:instrText xml:space="preserve"> _</w:instrText>
      </w:r>
      <w:r w:rsidRPr="00FE4693">
        <w:rPr>
          <w:rStyle w:val="afffffffff3"/>
          <w:rFonts w:hint="cs"/>
        </w:rPr>
        <w:instrText>Ref143509417 \r \h</w:instrText>
      </w:r>
      <w:r w:rsidRPr="00FE4693">
        <w:rPr>
          <w:rStyle w:val="afffffffff3"/>
          <w:rtl/>
        </w:rPr>
        <w:instrText xml:space="preserve">  \* </w:instrText>
      </w:r>
      <w:r w:rsidRPr="00FE4693">
        <w:rPr>
          <w:rStyle w:val="afffffffff3"/>
        </w:rPr>
        <w:instrText>MERGEFORMAT</w:instrText>
      </w:r>
      <w:r w:rsidRPr="00FE4693">
        <w:rPr>
          <w:rStyle w:val="afffffffff3"/>
          <w:rtl/>
        </w:rPr>
        <w:instrText xml:space="preserve"> </w:instrText>
      </w:r>
      <w:r w:rsidRPr="00FE4693">
        <w:rPr>
          <w:rStyle w:val="afffffffff3"/>
          <w:rtl/>
        </w:rPr>
      </w:r>
      <w:r w:rsidRPr="00FE4693">
        <w:rPr>
          <w:rStyle w:val="afffffffff3"/>
          <w:rtl/>
        </w:rPr>
        <w:fldChar w:fldCharType="separate"/>
      </w:r>
      <w:r w:rsidR="00D82181">
        <w:rPr>
          <w:rStyle w:val="afffffffff3"/>
          <w:cs/>
        </w:rPr>
        <w:t>‎</w:t>
      </w:r>
      <w:r w:rsidR="00D82181">
        <w:rPr>
          <w:rStyle w:val="afffffffff3"/>
          <w:rtl/>
        </w:rPr>
        <w:t>פב)</w:t>
      </w:r>
      <w:r w:rsidRPr="00FE4693">
        <w:rPr>
          <w:rStyle w:val="afffffffff3"/>
          <w:rtl/>
        </w:rPr>
        <w:fldChar w:fldCharType="end"/>
      </w:r>
      <w:r>
        <w:rPr>
          <w:rtl/>
        </w:rPr>
        <w:t>,</w:t>
      </w:r>
      <w:r w:rsidRPr="00FE4693">
        <w:rPr>
          <w:rStyle w:val="aff4"/>
          <w:rFonts w:ascii="David" w:eastAsiaTheme="minorEastAsia" w:hAnsi="David" w:cs="David" w:hint="cs"/>
          <w:noProof w:val="0"/>
          <w:sz w:val="16"/>
          <w:szCs w:val="16"/>
          <w:rtl/>
        </w:rPr>
        <w:t xml:space="preserve"> </w:t>
      </w:r>
      <w:r w:rsidRPr="00FE4693">
        <w:rPr>
          <w:rStyle w:val="aff4"/>
          <w:rFonts w:ascii="David" w:eastAsiaTheme="minorEastAsia" w:hAnsi="David" w:cs="David"/>
          <w:noProof w:val="0"/>
          <w:sz w:val="16"/>
          <w:szCs w:val="16"/>
          <w:rtl/>
        </w:rPr>
        <w:fldChar w:fldCharType="begin"/>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hint="cs"/>
          <w:noProof w:val="0"/>
          <w:sz w:val="16"/>
          <w:szCs w:val="16"/>
        </w:rPr>
        <w:instrText>REF</w:instrText>
      </w:r>
      <w:r w:rsidRPr="00FE4693">
        <w:rPr>
          <w:rStyle w:val="aff4"/>
          <w:rFonts w:ascii="David" w:eastAsiaTheme="minorEastAsia" w:hAnsi="David" w:cs="David" w:hint="cs"/>
          <w:noProof w:val="0"/>
          <w:sz w:val="16"/>
          <w:szCs w:val="16"/>
          <w:rtl/>
        </w:rPr>
        <w:instrText xml:space="preserve"> _</w:instrText>
      </w:r>
      <w:r w:rsidRPr="00FE4693">
        <w:rPr>
          <w:rStyle w:val="aff4"/>
          <w:rFonts w:ascii="David" w:eastAsiaTheme="minorEastAsia" w:hAnsi="David" w:cs="David" w:hint="cs"/>
          <w:noProof w:val="0"/>
          <w:sz w:val="16"/>
          <w:szCs w:val="16"/>
        </w:rPr>
        <w:instrText>Ref143545847 \r \h</w:instrText>
      </w:r>
      <w:r w:rsidRPr="00FE4693">
        <w:rPr>
          <w:rStyle w:val="aff4"/>
          <w:rFonts w:ascii="David" w:eastAsiaTheme="minorEastAsia" w:hAnsi="David" w:cs="David"/>
          <w:noProof w:val="0"/>
          <w:sz w:val="16"/>
          <w:szCs w:val="16"/>
          <w:rtl/>
        </w:rPr>
        <w:instrText xml:space="preserve">  \* </w:instrText>
      </w:r>
      <w:r w:rsidRPr="00FE4693">
        <w:rPr>
          <w:rStyle w:val="aff4"/>
          <w:rFonts w:ascii="David" w:eastAsiaTheme="minorEastAsia" w:hAnsi="David" w:cs="David"/>
          <w:noProof w:val="0"/>
          <w:sz w:val="16"/>
          <w:szCs w:val="16"/>
        </w:rPr>
        <w:instrText>MERGEFORMAT</w:instrText>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tl/>
        </w:rPr>
      </w:r>
      <w:r w:rsidRPr="00FE4693">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כב)</w:t>
      </w:r>
      <w:r w:rsidRPr="00FE4693">
        <w:rPr>
          <w:rStyle w:val="aff4"/>
          <w:rFonts w:ascii="David" w:eastAsiaTheme="minorEastAsia" w:hAnsi="David" w:cs="David"/>
          <w:noProof w:val="0"/>
          <w:sz w:val="16"/>
          <w:szCs w:val="16"/>
          <w:rtl/>
        </w:rPr>
        <w:fldChar w:fldCharType="end"/>
      </w:r>
      <w:r w:rsidRPr="00FE4693">
        <w:rPr>
          <w:rStyle w:val="aff4"/>
          <w:rFonts w:ascii="David" w:eastAsiaTheme="minorEastAsia" w:hAnsi="David" w:cs="David" w:hint="cs"/>
          <w:noProof w:val="0"/>
          <w:sz w:val="16"/>
          <w:szCs w:val="16"/>
          <w:rtl/>
        </w:rPr>
        <w:t xml:space="preserve"> </w:t>
      </w:r>
      <w:r w:rsidRPr="003A14B9">
        <w:rPr>
          <w:rStyle w:val="aff4"/>
          <w:rFonts w:ascii="David" w:eastAsiaTheme="minorEastAsia" w:hAnsi="David" w:cs="David" w:hint="cs"/>
          <w:b w:val="0"/>
          <w:bCs w:val="0"/>
          <w:noProof w:val="0"/>
          <w:sz w:val="16"/>
          <w:szCs w:val="16"/>
          <w:rtl/>
        </w:rPr>
        <w:t>או"ש</w:t>
      </w:r>
      <w:r w:rsidRPr="003A14B9">
        <w:rPr>
          <w:rFonts w:hint="cs"/>
          <w:rtl/>
        </w:rPr>
        <w:t xml:space="preserve"> </w:t>
      </w:r>
      <w:r w:rsidRPr="00FE4693">
        <w:rPr>
          <w:rStyle w:val="afffffffff3"/>
          <w:rFonts w:hint="cs"/>
          <w:rtl/>
        </w:rPr>
        <w:t xml:space="preserve">(שבת פ"י הי"ב ד"ה </w:t>
      </w:r>
      <w:r w:rsidRPr="00FE4693">
        <w:rPr>
          <w:rStyle w:val="afffffffff3"/>
          <w:rtl/>
        </w:rPr>
        <w:t>וכבר כתבתי</w:t>
      </w:r>
      <w:r w:rsidRPr="00FE4693">
        <w:rPr>
          <w:rStyle w:val="afffffffff3"/>
          <w:rFonts w:hint="cs"/>
          <w:rtl/>
        </w:rPr>
        <w:t>)</w:t>
      </w:r>
      <w:r>
        <w:rPr>
          <w:rtl/>
        </w:rPr>
        <w:t>,</w:t>
      </w:r>
      <w:r w:rsidRPr="00FE4693">
        <w:rPr>
          <w:rFonts w:hint="cs"/>
          <w:b/>
          <w:bCs/>
          <w:rtl/>
        </w:rPr>
        <w:t xml:space="preserve"> </w:t>
      </w:r>
      <w:r w:rsidRPr="00FE4693">
        <w:rPr>
          <w:b/>
          <w:bCs/>
          <w:rtl/>
        </w:rPr>
        <w:fldChar w:fldCharType="begin"/>
      </w:r>
      <w:r w:rsidRPr="00FE4693">
        <w:rPr>
          <w:b/>
          <w:bCs/>
          <w:rtl/>
        </w:rPr>
        <w:instrText xml:space="preserve"> </w:instrText>
      </w:r>
      <w:r w:rsidRPr="00FE4693">
        <w:rPr>
          <w:rFonts w:hint="cs"/>
          <w:b/>
          <w:bCs/>
        </w:rPr>
        <w:instrText>REF</w:instrText>
      </w:r>
      <w:r w:rsidRPr="00FE4693">
        <w:rPr>
          <w:rFonts w:hint="cs"/>
          <w:b/>
          <w:bCs/>
          <w:rtl/>
        </w:rPr>
        <w:instrText xml:space="preserve"> _</w:instrText>
      </w:r>
      <w:r w:rsidRPr="00FE4693">
        <w:rPr>
          <w:rFonts w:hint="cs"/>
          <w:b/>
          <w:bCs/>
        </w:rPr>
        <w:instrText>Ref143460809 \r \h</w:instrText>
      </w:r>
      <w:r w:rsidRPr="00FE4693">
        <w:rPr>
          <w:b/>
          <w:bCs/>
          <w:rtl/>
        </w:rPr>
        <w:instrText xml:space="preserve">  \* </w:instrText>
      </w:r>
      <w:r w:rsidRPr="00FE4693">
        <w:rPr>
          <w:b/>
          <w:bCs/>
        </w:rPr>
        <w:instrText>MERGEFORMAT</w:instrText>
      </w:r>
      <w:r w:rsidRPr="00FE4693">
        <w:rPr>
          <w:b/>
          <w:bCs/>
          <w:rtl/>
        </w:rPr>
        <w:instrText xml:space="preserve"> </w:instrText>
      </w:r>
      <w:r w:rsidRPr="00FE4693">
        <w:rPr>
          <w:b/>
          <w:bCs/>
          <w:rtl/>
        </w:rPr>
      </w:r>
      <w:r w:rsidRPr="00FE4693">
        <w:rPr>
          <w:b/>
          <w:bCs/>
          <w:rtl/>
        </w:rPr>
        <w:fldChar w:fldCharType="separate"/>
      </w:r>
      <w:r w:rsidR="00D82181">
        <w:rPr>
          <w:b/>
          <w:bCs/>
          <w:cs/>
        </w:rPr>
        <w:t>‎</w:t>
      </w:r>
      <w:r w:rsidR="00D82181">
        <w:rPr>
          <w:b/>
          <w:bCs/>
          <w:rtl/>
        </w:rPr>
        <w:t>כג)</w:t>
      </w:r>
      <w:r w:rsidRPr="00FE4693">
        <w:rPr>
          <w:b/>
          <w:bCs/>
          <w:rtl/>
        </w:rPr>
        <w:fldChar w:fldCharType="end"/>
      </w:r>
      <w:r w:rsidRPr="00FE4693">
        <w:rPr>
          <w:rFonts w:hint="cs"/>
          <w:b/>
          <w:bCs/>
          <w:rtl/>
        </w:rPr>
        <w:t xml:space="preserve"> </w:t>
      </w:r>
      <w:r w:rsidRPr="003A14B9">
        <w:rPr>
          <w:rStyle w:val="aff4"/>
          <w:rFonts w:ascii="David" w:eastAsiaTheme="minorEastAsia" w:hAnsi="David" w:cs="David" w:hint="cs"/>
          <w:b w:val="0"/>
          <w:bCs w:val="0"/>
          <w:noProof w:val="0"/>
          <w:sz w:val="16"/>
          <w:szCs w:val="16"/>
          <w:rtl/>
        </w:rPr>
        <w:t xml:space="preserve">רש"י לקמן </w:t>
      </w:r>
      <w:r w:rsidRPr="00FE4693">
        <w:rPr>
          <w:rStyle w:val="afffffffff3"/>
          <w:rFonts w:hint="cs"/>
          <w:rtl/>
        </w:rPr>
        <w:t>(קז. ד"ה חייב)</w:t>
      </w:r>
      <w:r>
        <w:rPr>
          <w:rtl/>
        </w:rPr>
        <w:t xml:space="preserve"> </w:t>
      </w:r>
      <w:r w:rsidRPr="003A14B9">
        <w:rPr>
          <w:rStyle w:val="aff4"/>
          <w:rFonts w:ascii="David" w:eastAsiaTheme="minorEastAsia" w:hAnsi="David" w:cs="David" w:hint="cs"/>
          <w:b w:val="0"/>
          <w:bCs w:val="0"/>
          <w:noProof w:val="0"/>
          <w:sz w:val="16"/>
          <w:szCs w:val="16"/>
          <w:rtl/>
        </w:rPr>
        <w:t xml:space="preserve">רש"י בכתובות </w:t>
      </w:r>
      <w:r w:rsidRPr="00FE4693">
        <w:rPr>
          <w:rStyle w:val="afffffffff3"/>
          <w:rFonts w:hint="cs"/>
          <w:rtl/>
        </w:rPr>
        <w:t>(ו: ד"ה חייב)</w:t>
      </w:r>
      <w:r>
        <w:rPr>
          <w:rtl/>
        </w:rPr>
        <w:t xml:space="preserve"> </w:t>
      </w:r>
      <w:r w:rsidRPr="003A14B9">
        <w:rPr>
          <w:rStyle w:val="aff4"/>
          <w:rFonts w:ascii="David" w:eastAsiaTheme="minorEastAsia" w:hAnsi="David" w:cs="David" w:hint="cs"/>
          <w:b w:val="0"/>
          <w:bCs w:val="0"/>
          <w:noProof w:val="0"/>
          <w:sz w:val="16"/>
          <w:szCs w:val="16"/>
          <w:rtl/>
        </w:rPr>
        <w:t>ראב"ד</w:t>
      </w:r>
      <w:r w:rsidRPr="003A14B9">
        <w:rPr>
          <w:rFonts w:hint="cs"/>
          <w:rtl/>
        </w:rPr>
        <w:t xml:space="preserve"> </w:t>
      </w:r>
      <w:r w:rsidRPr="00FE4693">
        <w:rPr>
          <w:rStyle w:val="afffffffff3"/>
          <w:rFonts w:hint="cs"/>
          <w:rtl/>
        </w:rPr>
        <w:t>(שבת פ"י הי"ז)</w:t>
      </w:r>
      <w:r>
        <w:rPr>
          <w:rtl/>
        </w:rPr>
        <w:t>,</w:t>
      </w:r>
      <w:r w:rsidRPr="00FE4693">
        <w:rPr>
          <w:rStyle w:val="aff4"/>
          <w:rFonts w:ascii="David" w:eastAsiaTheme="minorEastAsia" w:hAnsi="David" w:cs="David" w:hint="cs"/>
          <w:noProof w:val="0"/>
          <w:sz w:val="16"/>
          <w:szCs w:val="16"/>
          <w:rtl/>
        </w:rPr>
        <w:t xml:space="preserve"> </w:t>
      </w:r>
      <w:r w:rsidRPr="00FE4693">
        <w:rPr>
          <w:rStyle w:val="aff4"/>
          <w:rFonts w:ascii="David" w:eastAsiaTheme="minorEastAsia" w:hAnsi="David" w:cs="David"/>
          <w:noProof w:val="0"/>
          <w:sz w:val="16"/>
          <w:szCs w:val="16"/>
          <w:rtl/>
        </w:rPr>
        <w:fldChar w:fldCharType="begin"/>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hint="cs"/>
          <w:noProof w:val="0"/>
          <w:sz w:val="16"/>
          <w:szCs w:val="16"/>
        </w:rPr>
        <w:instrText>REF</w:instrText>
      </w:r>
      <w:r w:rsidRPr="00FE4693">
        <w:rPr>
          <w:rStyle w:val="aff4"/>
          <w:rFonts w:ascii="David" w:eastAsiaTheme="minorEastAsia" w:hAnsi="David" w:cs="David" w:hint="cs"/>
          <w:noProof w:val="0"/>
          <w:sz w:val="16"/>
          <w:szCs w:val="16"/>
          <w:rtl/>
        </w:rPr>
        <w:instrText xml:space="preserve"> _</w:instrText>
      </w:r>
      <w:r w:rsidRPr="00FE4693">
        <w:rPr>
          <w:rStyle w:val="aff4"/>
          <w:rFonts w:ascii="David" w:eastAsiaTheme="minorEastAsia" w:hAnsi="David" w:cs="David" w:hint="cs"/>
          <w:noProof w:val="0"/>
          <w:sz w:val="16"/>
          <w:szCs w:val="16"/>
        </w:rPr>
        <w:instrText>Ref143463475 \r \h</w:instrText>
      </w:r>
      <w:r w:rsidRPr="00FE4693">
        <w:rPr>
          <w:rStyle w:val="aff4"/>
          <w:rFonts w:ascii="David" w:eastAsiaTheme="minorEastAsia" w:hAnsi="David" w:cs="David"/>
          <w:noProof w:val="0"/>
          <w:sz w:val="16"/>
          <w:szCs w:val="16"/>
          <w:rtl/>
        </w:rPr>
        <w:instrText xml:space="preserve">  \* </w:instrText>
      </w:r>
      <w:r w:rsidRPr="00FE4693">
        <w:rPr>
          <w:rStyle w:val="aff4"/>
          <w:rFonts w:ascii="David" w:eastAsiaTheme="minorEastAsia" w:hAnsi="David" w:cs="David"/>
          <w:noProof w:val="0"/>
          <w:sz w:val="16"/>
          <w:szCs w:val="16"/>
        </w:rPr>
        <w:instrText>MERGEFORMAT</w:instrText>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tl/>
        </w:rPr>
      </w:r>
      <w:r w:rsidRPr="00FE4693">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כד)</w:t>
      </w:r>
      <w:r w:rsidRPr="00FE4693">
        <w:rPr>
          <w:rStyle w:val="aff4"/>
          <w:rFonts w:ascii="David" w:eastAsiaTheme="minorEastAsia" w:hAnsi="David" w:cs="David"/>
          <w:noProof w:val="0"/>
          <w:sz w:val="16"/>
          <w:szCs w:val="16"/>
          <w:rtl/>
        </w:rPr>
        <w:fldChar w:fldCharType="end"/>
      </w:r>
      <w:r w:rsidRPr="00FE4693">
        <w:rPr>
          <w:rStyle w:val="aff4"/>
          <w:rFonts w:ascii="David" w:eastAsiaTheme="minorEastAsia" w:hAnsi="David" w:cs="David" w:hint="cs"/>
          <w:noProof w:val="0"/>
          <w:sz w:val="16"/>
          <w:szCs w:val="16"/>
          <w:rtl/>
        </w:rPr>
        <w:t xml:space="preserve"> </w:t>
      </w:r>
      <w:r w:rsidRPr="003A14B9">
        <w:rPr>
          <w:rStyle w:val="aff4"/>
          <w:rFonts w:ascii="David" w:eastAsiaTheme="minorEastAsia" w:hAnsi="David" w:cs="David" w:hint="cs"/>
          <w:b w:val="0"/>
          <w:bCs w:val="0"/>
          <w:noProof w:val="0"/>
          <w:sz w:val="16"/>
          <w:szCs w:val="16"/>
          <w:rtl/>
        </w:rPr>
        <w:t>רמב"ם</w:t>
      </w:r>
      <w:r w:rsidRPr="003A14B9">
        <w:rPr>
          <w:rFonts w:hint="cs"/>
          <w:rtl/>
        </w:rPr>
        <w:t xml:space="preserve"> </w:t>
      </w:r>
      <w:r w:rsidRPr="00FE4693">
        <w:rPr>
          <w:rStyle w:val="afffffffff3"/>
          <w:rFonts w:hint="cs"/>
          <w:rtl/>
        </w:rPr>
        <w:t>(שבת פ"י הי"ז)</w:t>
      </w:r>
      <w:r>
        <w:rPr>
          <w:rtl/>
        </w:rPr>
        <w:t xml:space="preserve"> </w:t>
      </w:r>
      <w:r w:rsidRPr="003A14B9">
        <w:rPr>
          <w:rStyle w:val="aff4"/>
          <w:rFonts w:ascii="David" w:eastAsiaTheme="minorEastAsia" w:hAnsi="David" w:cs="David" w:hint="cs"/>
          <w:b w:val="0"/>
          <w:bCs w:val="0"/>
          <w:noProof w:val="0"/>
          <w:sz w:val="16"/>
          <w:szCs w:val="16"/>
          <w:rtl/>
        </w:rPr>
        <w:t>כס"מ</w:t>
      </w:r>
      <w:r w:rsidRPr="003A14B9">
        <w:rPr>
          <w:rFonts w:hint="cs"/>
          <w:rtl/>
        </w:rPr>
        <w:t xml:space="preserve"> </w:t>
      </w:r>
      <w:r w:rsidRPr="00FE4693">
        <w:rPr>
          <w:rStyle w:val="afffffffff3"/>
          <w:rFonts w:hint="cs"/>
          <w:rtl/>
        </w:rPr>
        <w:t>(שבת פ"י הי"ז)</w:t>
      </w:r>
      <w:r w:rsidRPr="003A14B9">
        <w:rPr>
          <w:rFonts w:hint="cs"/>
          <w:rtl/>
        </w:rPr>
        <w:t xml:space="preserve"> בשם </w:t>
      </w:r>
      <w:r w:rsidRPr="003A14B9">
        <w:rPr>
          <w:rStyle w:val="aff4"/>
          <w:rFonts w:ascii="David" w:eastAsiaTheme="minorEastAsia" w:hAnsi="David" w:cs="David" w:hint="cs"/>
          <w:b w:val="0"/>
          <w:bCs w:val="0"/>
          <w:noProof w:val="0"/>
          <w:sz w:val="16"/>
          <w:szCs w:val="16"/>
          <w:rtl/>
        </w:rPr>
        <w:t>הרמ"ך</w:t>
      </w:r>
      <w:r>
        <w:rPr>
          <w:rtl/>
        </w:rPr>
        <w:t xml:space="preserve"> </w:t>
      </w:r>
      <w:r w:rsidRPr="003A14B9">
        <w:rPr>
          <w:rStyle w:val="aff4"/>
          <w:rFonts w:ascii="David" w:eastAsiaTheme="minorEastAsia" w:hAnsi="David" w:cs="David" w:hint="cs"/>
          <w:b w:val="0"/>
          <w:bCs w:val="0"/>
          <w:noProof w:val="0"/>
          <w:sz w:val="16"/>
          <w:szCs w:val="16"/>
          <w:rtl/>
        </w:rPr>
        <w:t>אבן האזל</w:t>
      </w:r>
      <w:r w:rsidRPr="003A14B9">
        <w:rPr>
          <w:rFonts w:hint="cs"/>
          <w:rtl/>
        </w:rPr>
        <w:t xml:space="preserve"> </w:t>
      </w:r>
      <w:r w:rsidRPr="00FE4693">
        <w:rPr>
          <w:rStyle w:val="afffffffff3"/>
          <w:rFonts w:hint="cs"/>
          <w:rtl/>
        </w:rPr>
        <w:t xml:space="preserve">(עי' אות </w:t>
      </w:r>
      <w:r w:rsidRPr="00FE4693">
        <w:rPr>
          <w:rStyle w:val="afffffffff3"/>
          <w:rtl/>
        </w:rPr>
        <w:fldChar w:fldCharType="begin"/>
      </w:r>
      <w:r w:rsidRPr="00FE4693">
        <w:rPr>
          <w:rStyle w:val="afffffffff3"/>
          <w:rtl/>
        </w:rPr>
        <w:instrText xml:space="preserve"> </w:instrText>
      </w:r>
      <w:r w:rsidRPr="00FE4693">
        <w:rPr>
          <w:rStyle w:val="afffffffff3"/>
          <w:rFonts w:hint="cs"/>
        </w:rPr>
        <w:instrText>REF</w:instrText>
      </w:r>
      <w:r w:rsidRPr="00FE4693">
        <w:rPr>
          <w:rStyle w:val="afffffffff3"/>
          <w:rFonts w:hint="cs"/>
          <w:rtl/>
        </w:rPr>
        <w:instrText xml:space="preserve"> _</w:instrText>
      </w:r>
      <w:r w:rsidRPr="00FE4693">
        <w:rPr>
          <w:rStyle w:val="afffffffff3"/>
          <w:rFonts w:hint="cs"/>
        </w:rPr>
        <w:instrText>Ref143614160 \r \h</w:instrText>
      </w:r>
      <w:r w:rsidRPr="00FE4693">
        <w:rPr>
          <w:rStyle w:val="afffffffff3"/>
          <w:rtl/>
        </w:rPr>
        <w:instrText xml:space="preserve">  \* </w:instrText>
      </w:r>
      <w:r w:rsidRPr="00FE4693">
        <w:rPr>
          <w:rStyle w:val="afffffffff3"/>
        </w:rPr>
        <w:instrText>MERGEFORMAT</w:instrText>
      </w:r>
      <w:r w:rsidRPr="00FE4693">
        <w:rPr>
          <w:rStyle w:val="afffffffff3"/>
          <w:rtl/>
        </w:rPr>
        <w:instrText xml:space="preserve"> </w:instrText>
      </w:r>
      <w:r w:rsidRPr="00FE4693">
        <w:rPr>
          <w:rStyle w:val="afffffffff3"/>
          <w:rtl/>
        </w:rPr>
      </w:r>
      <w:r w:rsidRPr="00FE4693">
        <w:rPr>
          <w:rStyle w:val="afffffffff3"/>
          <w:rtl/>
        </w:rPr>
        <w:fldChar w:fldCharType="separate"/>
      </w:r>
      <w:r w:rsidR="00D82181">
        <w:rPr>
          <w:rStyle w:val="afffffffff3"/>
          <w:cs/>
        </w:rPr>
        <w:t>‎</w:t>
      </w:r>
      <w:r w:rsidR="00D82181">
        <w:rPr>
          <w:rStyle w:val="afffffffff3"/>
          <w:rtl/>
        </w:rPr>
        <w:t>עט)</w:t>
      </w:r>
      <w:r w:rsidRPr="00FE4693">
        <w:rPr>
          <w:rStyle w:val="afffffffff3"/>
          <w:rtl/>
        </w:rPr>
        <w:fldChar w:fldCharType="end"/>
      </w:r>
      <w:r>
        <w:rPr>
          <w:rtl/>
        </w:rPr>
        <w:t xml:space="preserve"> </w:t>
      </w:r>
    </w:p>
    <w:p w14:paraId="1988475A" w14:textId="77777777" w:rsidR="00376F67" w:rsidRDefault="00376F67" w:rsidP="00376F67">
      <w:pPr>
        <w:pStyle w:val="TOC2"/>
        <w:rPr>
          <w:rFonts w:cstheme="minorBidi"/>
          <w:b w:val="0"/>
          <w:bCs w:val="0"/>
          <w:sz w:val="22"/>
          <w:szCs w:val="22"/>
          <w:rtl/>
        </w:rPr>
      </w:pPr>
      <w:hyperlink w:anchor="_Toc143770593" w:history="1">
        <w:r w:rsidRPr="009F263C">
          <w:rPr>
            <w:rStyle w:val="Hyperlink"/>
            <w:rtl/>
          </w:rPr>
          <w:t>בי' רש"י והמאירי דמסתת לרב הוי בונה כיון דהוא דרך בנין</w:t>
        </w:r>
      </w:hyperlink>
    </w:p>
    <w:p w14:paraId="1C260C2F" w14:textId="77777777" w:rsidR="00376F67" w:rsidRDefault="00376F67" w:rsidP="00ED704E">
      <w:pPr>
        <w:pStyle w:val="TOC3"/>
        <w:rPr>
          <w:rFonts w:asciiTheme="minorHAnsi" w:eastAsiaTheme="minorEastAsia" w:hAnsiTheme="minorHAnsi" w:cstheme="minorBidi"/>
          <w:sz w:val="22"/>
          <w:szCs w:val="22"/>
          <w:rtl/>
        </w:rPr>
      </w:pPr>
      <w:hyperlink w:anchor="_Toc143770594" w:history="1">
        <w:r w:rsidRPr="009F263C">
          <w:rPr>
            <w:rStyle w:val="Hyperlink"/>
            <w:rtl/>
          </w:rPr>
          <w:t>בי' רש"י דמסתת לרב הוי בונה כיון דהוא דרך בנין ובי' המאירי דמיפה את האבן לצורך הבנין</w:t>
        </w:r>
      </w:hyperlink>
    </w:p>
    <w:p w14:paraId="7AAE1B4C" w14:textId="77777777" w:rsidR="00376F67" w:rsidRDefault="00376F67" w:rsidP="00376F67">
      <w:pPr>
        <w:pStyle w:val="TOC2"/>
        <w:rPr>
          <w:rFonts w:cstheme="minorBidi"/>
          <w:b w:val="0"/>
          <w:bCs w:val="0"/>
          <w:sz w:val="22"/>
          <w:szCs w:val="22"/>
          <w:rtl/>
        </w:rPr>
      </w:pPr>
      <w:hyperlink w:anchor="_Toc143770595" w:history="1">
        <w:r w:rsidRPr="009F263C">
          <w:rPr>
            <w:rStyle w:val="Hyperlink"/>
            <w:rtl/>
          </w:rPr>
          <w:t>בגדר בונה בלול של תרנגולין אי מדין מחובר או מדין יצירה</w:t>
        </w:r>
      </w:hyperlink>
    </w:p>
    <w:p w14:paraId="045A239B" w14:textId="77777777" w:rsidR="00376F67" w:rsidRDefault="00376F67" w:rsidP="00ED704E">
      <w:pPr>
        <w:pStyle w:val="TOC3"/>
        <w:rPr>
          <w:rFonts w:asciiTheme="minorHAnsi" w:eastAsiaTheme="minorEastAsia" w:hAnsiTheme="minorHAnsi" w:cstheme="minorBidi"/>
          <w:sz w:val="22"/>
          <w:szCs w:val="22"/>
          <w:rtl/>
        </w:rPr>
      </w:pPr>
      <w:hyperlink w:anchor="_Toc143770596" w:history="1">
        <w:r w:rsidRPr="009F263C">
          <w:rPr>
            <w:rStyle w:val="Hyperlink"/>
            <w:rtl/>
          </w:rPr>
          <w:t>בי' המג"א ברמב"ם דנקב בלול תרנגולין המחובר לקרקע חייב משום בונה דהוא כבונה ממש</w:t>
        </w:r>
      </w:hyperlink>
    </w:p>
    <w:p w14:paraId="1114A17E" w14:textId="77777777" w:rsidR="00376F67" w:rsidRDefault="00376F67" w:rsidP="00ED704E">
      <w:pPr>
        <w:pStyle w:val="TOC3"/>
        <w:rPr>
          <w:rFonts w:asciiTheme="minorHAnsi" w:eastAsiaTheme="minorEastAsia" w:hAnsiTheme="minorHAnsi" w:cstheme="minorBidi"/>
          <w:sz w:val="22"/>
          <w:szCs w:val="22"/>
          <w:rtl/>
        </w:rPr>
      </w:pPr>
      <w:hyperlink w:anchor="_Toc143770597" w:history="1">
        <w:r w:rsidRPr="009F263C">
          <w:rPr>
            <w:rStyle w:val="Hyperlink"/>
            <w:rtl/>
          </w:rPr>
          <w:t>בי' האו"ש דחיוב בונה בלול של תרנגולין הוא כיון דעשה דבר חדש ואף בכלים ולשעה חייב</w:t>
        </w:r>
      </w:hyperlink>
    </w:p>
    <w:p w14:paraId="5F840A61" w14:textId="77777777" w:rsidR="00376F67" w:rsidRDefault="00376F67" w:rsidP="00376F67">
      <w:pPr>
        <w:pStyle w:val="TOC2"/>
        <w:rPr>
          <w:rFonts w:cstheme="minorBidi"/>
          <w:b w:val="0"/>
          <w:bCs w:val="0"/>
          <w:sz w:val="22"/>
          <w:szCs w:val="22"/>
          <w:rtl/>
        </w:rPr>
      </w:pPr>
      <w:hyperlink w:anchor="_Toc143770598" w:history="1">
        <w:r w:rsidRPr="009F263C">
          <w:rPr>
            <w:rStyle w:val="Hyperlink"/>
            <w:rtl/>
          </w:rPr>
          <w:t>בי' רש"י דפתח דמורסא הוי בנין ובבי' הרמב"ם דלא הוי בנין</w:t>
        </w:r>
      </w:hyperlink>
    </w:p>
    <w:p w14:paraId="678F2080" w14:textId="77777777" w:rsidR="00376F67" w:rsidRDefault="00376F67" w:rsidP="00ED704E">
      <w:pPr>
        <w:pStyle w:val="TOC3"/>
        <w:rPr>
          <w:rFonts w:asciiTheme="minorHAnsi" w:eastAsiaTheme="minorEastAsia" w:hAnsiTheme="minorHAnsi" w:cstheme="minorBidi"/>
          <w:sz w:val="22"/>
          <w:szCs w:val="22"/>
          <w:rtl/>
        </w:rPr>
      </w:pPr>
      <w:hyperlink w:anchor="_Toc143770599" w:history="1">
        <w:r w:rsidRPr="009F263C">
          <w:rPr>
            <w:rStyle w:val="Hyperlink"/>
            <w:rtl/>
          </w:rPr>
          <w:t>בי' רש"י והראב"ד דחיוב עושה פתח במורסא הוא משום בונה דעושה פתח או מתקן כלי</w:t>
        </w:r>
      </w:hyperlink>
    </w:p>
    <w:p w14:paraId="78DEB29A" w14:textId="77777777" w:rsidR="00376F67" w:rsidRDefault="00376F67" w:rsidP="00ED704E">
      <w:pPr>
        <w:pStyle w:val="TOC3"/>
        <w:rPr>
          <w:rFonts w:asciiTheme="minorHAnsi" w:eastAsiaTheme="minorEastAsia" w:hAnsiTheme="minorHAnsi" w:cstheme="minorBidi"/>
          <w:sz w:val="22"/>
          <w:szCs w:val="22"/>
          <w:rtl/>
        </w:rPr>
      </w:pPr>
      <w:hyperlink w:anchor="_Toc143770600" w:history="1">
        <w:r w:rsidRPr="009F263C">
          <w:rPr>
            <w:rStyle w:val="Hyperlink"/>
            <w:rtl/>
          </w:rPr>
          <w:t>בי' הרמב"ם דחיוב פתח במורסא דמכה בפטיש וקו' הרמ"ך דל"ה גמר מלאכה ובי' האבהא"ז בזה</w:t>
        </w:r>
      </w:hyperlink>
    </w:p>
    <w:p w14:paraId="1276B190" w14:textId="77777777" w:rsidR="00376F67" w:rsidRDefault="00376F67" w:rsidP="00376F67">
      <w:pPr>
        <w:pStyle w:val="TOC1"/>
        <w:rPr>
          <w:rFonts w:asciiTheme="minorHAnsi" w:hAnsiTheme="minorHAnsi" w:cstheme="minorBidi"/>
          <w:b w:val="0"/>
          <w:bCs w:val="0"/>
          <w:caps w:val="0"/>
          <w:sz w:val="22"/>
          <w:szCs w:val="22"/>
          <w:rtl/>
        </w:rPr>
      </w:pPr>
      <w:hyperlink w:anchor="_Toc143770601" w:history="1">
        <w:r w:rsidRPr="009F263C">
          <w:rPr>
            <w:rStyle w:val="Hyperlink"/>
            <w:rtl/>
          </w:rPr>
          <w:t>~~~~~~~~~~~~~~~~~~~~~~~~~~~~</w:t>
        </w:r>
      </w:hyperlink>
    </w:p>
    <w:p w14:paraId="6E869F47" w14:textId="77777777" w:rsidR="00376F67" w:rsidRDefault="00376F67" w:rsidP="00376F67">
      <w:pPr>
        <w:pStyle w:val="TOC1"/>
        <w:rPr>
          <w:rFonts w:asciiTheme="minorHAnsi" w:hAnsiTheme="minorHAnsi" w:cstheme="minorBidi"/>
          <w:b w:val="0"/>
          <w:bCs w:val="0"/>
          <w:caps w:val="0"/>
          <w:sz w:val="22"/>
          <w:szCs w:val="22"/>
          <w:rtl/>
        </w:rPr>
      </w:pPr>
      <w:hyperlink w:anchor="_Toc143770602" w:history="1">
        <w:r w:rsidRPr="009F263C">
          <w:rPr>
            <w:rStyle w:val="Hyperlink"/>
            <w:rtl/>
          </w:rPr>
          <w:t>בגדר תולדה דבונה באוהל וקיבוץ חלקים</w:t>
        </w:r>
      </w:hyperlink>
    </w:p>
    <w:p w14:paraId="3D9948F3" w14:textId="0D36AF68" w:rsidR="00376F67" w:rsidRPr="00FE4693" w:rsidRDefault="00376F67" w:rsidP="00376F67">
      <w:pPr>
        <w:pStyle w:val="afffffffff0"/>
        <w:rPr>
          <w:b/>
          <w:bCs/>
          <w:rtl/>
        </w:rPr>
      </w:pPr>
      <w:r w:rsidRPr="00FE4693">
        <w:rPr>
          <w:rStyle w:val="aff4"/>
          <w:rFonts w:ascii="David" w:eastAsiaTheme="minorEastAsia" w:hAnsi="David" w:cs="David"/>
          <w:b w:val="0"/>
          <w:bCs w:val="0"/>
          <w:noProof w:val="0"/>
          <w:sz w:val="16"/>
          <w:szCs w:val="16"/>
          <w:rtl/>
        </w:rPr>
        <w:fldChar w:fldCharType="begin"/>
      </w:r>
      <w:r w:rsidRPr="00FE4693">
        <w:rPr>
          <w:rStyle w:val="aff4"/>
          <w:rFonts w:ascii="David" w:eastAsiaTheme="minorEastAsia" w:hAnsi="David" w:cs="David"/>
          <w:b w:val="0"/>
          <w:bCs w:val="0"/>
          <w:noProof w:val="0"/>
          <w:sz w:val="16"/>
          <w:szCs w:val="16"/>
          <w:rtl/>
        </w:rPr>
        <w:instrText xml:space="preserve"> </w:instrText>
      </w:r>
      <w:r w:rsidRPr="00FE4693">
        <w:rPr>
          <w:rStyle w:val="aff4"/>
          <w:rFonts w:ascii="David" w:eastAsiaTheme="minorEastAsia" w:hAnsi="David" w:cs="David" w:hint="cs"/>
          <w:b w:val="0"/>
          <w:bCs w:val="0"/>
          <w:noProof w:val="0"/>
          <w:sz w:val="16"/>
          <w:szCs w:val="16"/>
        </w:rPr>
        <w:instrText>REF</w:instrText>
      </w:r>
      <w:r w:rsidRPr="00FE4693">
        <w:rPr>
          <w:rStyle w:val="aff4"/>
          <w:rFonts w:ascii="David" w:eastAsiaTheme="minorEastAsia" w:hAnsi="David" w:cs="David" w:hint="cs"/>
          <w:b w:val="0"/>
          <w:bCs w:val="0"/>
          <w:noProof w:val="0"/>
          <w:sz w:val="16"/>
          <w:szCs w:val="16"/>
          <w:rtl/>
        </w:rPr>
        <w:instrText xml:space="preserve"> _</w:instrText>
      </w:r>
      <w:r w:rsidRPr="00FE4693">
        <w:rPr>
          <w:rStyle w:val="aff4"/>
          <w:rFonts w:ascii="David" w:eastAsiaTheme="minorEastAsia" w:hAnsi="David" w:cs="David" w:hint="cs"/>
          <w:b w:val="0"/>
          <w:bCs w:val="0"/>
          <w:noProof w:val="0"/>
          <w:sz w:val="16"/>
          <w:szCs w:val="16"/>
        </w:rPr>
        <w:instrText>Ref141956430 \r \h</w:instrText>
      </w:r>
      <w:r w:rsidRPr="00FE4693">
        <w:rPr>
          <w:rStyle w:val="aff4"/>
          <w:rFonts w:ascii="David" w:eastAsiaTheme="minorEastAsia" w:hAnsi="David" w:cs="David"/>
          <w:b w:val="0"/>
          <w:bCs w:val="0"/>
          <w:noProof w:val="0"/>
          <w:sz w:val="16"/>
          <w:szCs w:val="16"/>
          <w:rtl/>
        </w:rPr>
        <w:instrText xml:space="preserve">  \* </w:instrText>
      </w:r>
      <w:r w:rsidRPr="00FE4693">
        <w:rPr>
          <w:rStyle w:val="aff4"/>
          <w:rFonts w:ascii="David" w:eastAsiaTheme="minorEastAsia" w:hAnsi="David" w:cs="David"/>
          <w:b w:val="0"/>
          <w:bCs w:val="0"/>
          <w:noProof w:val="0"/>
          <w:sz w:val="16"/>
          <w:szCs w:val="16"/>
        </w:rPr>
        <w:instrText>MERGEFORMAT</w:instrText>
      </w:r>
      <w:r w:rsidRPr="00FE4693">
        <w:rPr>
          <w:rStyle w:val="aff4"/>
          <w:rFonts w:ascii="David" w:eastAsiaTheme="minorEastAsia" w:hAnsi="David" w:cs="David"/>
          <w:b w:val="0"/>
          <w:bCs w:val="0"/>
          <w:noProof w:val="0"/>
          <w:sz w:val="16"/>
          <w:szCs w:val="16"/>
          <w:rtl/>
        </w:rPr>
        <w:instrText xml:space="preserve"> </w:instrText>
      </w:r>
      <w:r w:rsidRPr="00FE4693">
        <w:rPr>
          <w:rStyle w:val="aff4"/>
          <w:rFonts w:ascii="David" w:eastAsiaTheme="minorEastAsia" w:hAnsi="David" w:cs="David"/>
          <w:b w:val="0"/>
          <w:bCs w:val="0"/>
          <w:noProof w:val="0"/>
          <w:sz w:val="16"/>
          <w:szCs w:val="16"/>
          <w:rtl/>
        </w:rPr>
      </w:r>
      <w:r w:rsidRPr="00FE4693">
        <w:rPr>
          <w:rStyle w:val="aff4"/>
          <w:rFonts w:ascii="David" w:eastAsiaTheme="minorEastAsia" w:hAnsi="David" w:cs="David"/>
          <w:b w:val="0"/>
          <w:bCs w:val="0"/>
          <w:noProof w:val="0"/>
          <w:sz w:val="16"/>
          <w:szCs w:val="16"/>
          <w:rtl/>
        </w:rPr>
        <w:fldChar w:fldCharType="separate"/>
      </w:r>
      <w:r w:rsidR="00D82181">
        <w:rPr>
          <w:rStyle w:val="aff4"/>
          <w:rFonts w:ascii="David" w:eastAsiaTheme="minorEastAsia" w:hAnsi="David" w:cs="David"/>
          <w:b w:val="0"/>
          <w:bCs w:val="0"/>
          <w:noProof w:val="0"/>
          <w:sz w:val="16"/>
          <w:szCs w:val="16"/>
          <w:cs/>
        </w:rPr>
        <w:t>‎</w:t>
      </w:r>
      <w:r w:rsidR="00D82181">
        <w:rPr>
          <w:rStyle w:val="aff4"/>
          <w:rFonts w:ascii="David" w:eastAsiaTheme="minorEastAsia" w:hAnsi="David" w:cs="David"/>
          <w:b w:val="0"/>
          <w:bCs w:val="0"/>
          <w:noProof w:val="0"/>
          <w:sz w:val="16"/>
          <w:szCs w:val="16"/>
          <w:rtl/>
        </w:rPr>
        <w:t>כה)</w:t>
      </w:r>
      <w:r w:rsidRPr="00FE4693">
        <w:rPr>
          <w:rStyle w:val="aff4"/>
          <w:rFonts w:ascii="David" w:eastAsiaTheme="minorEastAsia" w:hAnsi="David" w:cs="David"/>
          <w:b w:val="0"/>
          <w:bCs w:val="0"/>
          <w:noProof w:val="0"/>
          <w:sz w:val="16"/>
          <w:szCs w:val="16"/>
          <w:rtl/>
        </w:rPr>
        <w:fldChar w:fldCharType="end"/>
      </w:r>
      <w:r w:rsidRPr="00FE4693">
        <w:rPr>
          <w:rStyle w:val="aff4"/>
          <w:rFonts w:ascii="David" w:eastAsiaTheme="minorEastAsia" w:hAnsi="David" w:cs="David" w:hint="cs"/>
          <w:b w:val="0"/>
          <w:bCs w:val="0"/>
          <w:noProof w:val="0"/>
          <w:sz w:val="16"/>
          <w:szCs w:val="16"/>
          <w:rtl/>
        </w:rPr>
        <w:t xml:space="preserve"> </w:t>
      </w:r>
      <w:r w:rsidRPr="003A14B9">
        <w:rPr>
          <w:rStyle w:val="aff4"/>
          <w:rFonts w:ascii="David" w:eastAsiaTheme="minorEastAsia" w:hAnsi="David" w:cs="David" w:hint="cs"/>
          <w:b w:val="0"/>
          <w:bCs w:val="0"/>
          <w:noProof w:val="0"/>
          <w:sz w:val="16"/>
          <w:szCs w:val="16"/>
          <w:rtl/>
        </w:rPr>
        <w:t>רמב"ם</w:t>
      </w:r>
      <w:r w:rsidRPr="003A14B9">
        <w:rPr>
          <w:rFonts w:hint="cs"/>
          <w:rtl/>
        </w:rPr>
        <w:t xml:space="preserve"> </w:t>
      </w:r>
      <w:r w:rsidRPr="00FE4693">
        <w:rPr>
          <w:rStyle w:val="afffffffff3"/>
          <w:rFonts w:hint="cs"/>
          <w:rtl/>
        </w:rPr>
        <w:t>(שבת פ"י הי"ג)</w:t>
      </w:r>
      <w:r>
        <w:rPr>
          <w:rtl/>
        </w:rPr>
        <w:t xml:space="preserve"> </w:t>
      </w:r>
      <w:r w:rsidRPr="003A14B9">
        <w:rPr>
          <w:rStyle w:val="aff4"/>
          <w:rFonts w:ascii="David" w:eastAsiaTheme="minorEastAsia" w:hAnsi="David" w:cs="David" w:hint="cs"/>
          <w:b w:val="0"/>
          <w:bCs w:val="0"/>
          <w:noProof w:val="0"/>
          <w:sz w:val="16"/>
          <w:szCs w:val="16"/>
          <w:rtl/>
        </w:rPr>
        <w:t>מ"מ</w:t>
      </w:r>
      <w:r w:rsidRPr="003A14B9">
        <w:rPr>
          <w:rFonts w:hint="cs"/>
          <w:rtl/>
        </w:rPr>
        <w:t xml:space="preserve"> </w:t>
      </w:r>
      <w:r w:rsidRPr="00FE4693">
        <w:rPr>
          <w:rStyle w:val="afffffffff3"/>
          <w:rFonts w:hint="cs"/>
          <w:rtl/>
        </w:rPr>
        <w:t>(שבת פ"י הי"ג)</w:t>
      </w:r>
      <w:r>
        <w:rPr>
          <w:rtl/>
        </w:rPr>
        <w:t>,</w:t>
      </w:r>
      <w:r w:rsidRPr="00FE4693">
        <w:rPr>
          <w:rStyle w:val="aff4"/>
          <w:rFonts w:ascii="David" w:eastAsiaTheme="minorEastAsia" w:hAnsi="David" w:cs="David" w:hint="cs"/>
          <w:noProof w:val="0"/>
          <w:sz w:val="16"/>
          <w:szCs w:val="16"/>
          <w:rtl/>
        </w:rPr>
        <w:t xml:space="preserve"> </w:t>
      </w:r>
      <w:r w:rsidRPr="00FE4693">
        <w:rPr>
          <w:rStyle w:val="aff4"/>
          <w:rFonts w:ascii="David" w:eastAsiaTheme="minorEastAsia" w:hAnsi="David" w:cs="David"/>
          <w:noProof w:val="0"/>
          <w:sz w:val="16"/>
          <w:szCs w:val="16"/>
          <w:rtl/>
        </w:rPr>
        <w:fldChar w:fldCharType="begin"/>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hint="cs"/>
          <w:noProof w:val="0"/>
          <w:sz w:val="16"/>
          <w:szCs w:val="16"/>
        </w:rPr>
        <w:instrText>REF</w:instrText>
      </w:r>
      <w:r w:rsidRPr="00FE4693">
        <w:rPr>
          <w:rStyle w:val="aff4"/>
          <w:rFonts w:ascii="David" w:eastAsiaTheme="minorEastAsia" w:hAnsi="David" w:cs="David" w:hint="cs"/>
          <w:noProof w:val="0"/>
          <w:sz w:val="16"/>
          <w:szCs w:val="16"/>
          <w:rtl/>
        </w:rPr>
        <w:instrText xml:space="preserve"> _</w:instrText>
      </w:r>
      <w:r w:rsidRPr="00FE4693">
        <w:rPr>
          <w:rStyle w:val="aff4"/>
          <w:rFonts w:ascii="David" w:eastAsiaTheme="minorEastAsia" w:hAnsi="David" w:cs="David" w:hint="cs"/>
          <w:noProof w:val="0"/>
          <w:sz w:val="16"/>
          <w:szCs w:val="16"/>
        </w:rPr>
        <w:instrText>Ref143594396 \r \h</w:instrText>
      </w:r>
      <w:r w:rsidRPr="00FE4693">
        <w:rPr>
          <w:rStyle w:val="aff4"/>
          <w:rFonts w:ascii="David" w:eastAsiaTheme="minorEastAsia" w:hAnsi="David" w:cs="David"/>
          <w:noProof w:val="0"/>
          <w:sz w:val="16"/>
          <w:szCs w:val="16"/>
          <w:rtl/>
        </w:rPr>
        <w:instrText xml:space="preserve">  \* </w:instrText>
      </w:r>
      <w:r w:rsidRPr="00FE4693">
        <w:rPr>
          <w:rStyle w:val="aff4"/>
          <w:rFonts w:ascii="David" w:eastAsiaTheme="minorEastAsia" w:hAnsi="David" w:cs="David"/>
          <w:noProof w:val="0"/>
          <w:sz w:val="16"/>
          <w:szCs w:val="16"/>
        </w:rPr>
        <w:instrText>MERGEFORMAT</w:instrText>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tl/>
        </w:rPr>
      </w:r>
      <w:r w:rsidRPr="00FE4693">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כו)</w:t>
      </w:r>
      <w:r w:rsidRPr="00FE4693">
        <w:rPr>
          <w:rStyle w:val="aff4"/>
          <w:rFonts w:ascii="David" w:eastAsiaTheme="minorEastAsia" w:hAnsi="David" w:cs="David"/>
          <w:noProof w:val="0"/>
          <w:sz w:val="16"/>
          <w:szCs w:val="16"/>
          <w:rtl/>
        </w:rPr>
        <w:fldChar w:fldCharType="end"/>
      </w:r>
      <w:r w:rsidRPr="00FE4693">
        <w:rPr>
          <w:rStyle w:val="aff4"/>
          <w:rFonts w:ascii="David" w:eastAsiaTheme="minorEastAsia" w:hAnsi="David" w:cs="David" w:hint="cs"/>
          <w:noProof w:val="0"/>
          <w:sz w:val="16"/>
          <w:szCs w:val="16"/>
          <w:rtl/>
        </w:rPr>
        <w:t xml:space="preserve"> </w:t>
      </w:r>
      <w:r w:rsidRPr="003A14B9">
        <w:rPr>
          <w:rStyle w:val="aff4"/>
          <w:rFonts w:ascii="David" w:eastAsiaTheme="minorEastAsia" w:hAnsi="David" w:cs="David" w:hint="cs"/>
          <w:b w:val="0"/>
          <w:bCs w:val="0"/>
          <w:noProof w:val="0"/>
          <w:sz w:val="16"/>
          <w:szCs w:val="16"/>
          <w:rtl/>
        </w:rPr>
        <w:t>או"ש</w:t>
      </w:r>
      <w:r w:rsidRPr="003A14B9">
        <w:rPr>
          <w:rFonts w:hint="cs"/>
          <w:rtl/>
        </w:rPr>
        <w:t xml:space="preserve"> </w:t>
      </w:r>
      <w:r w:rsidRPr="00FE4693">
        <w:rPr>
          <w:rStyle w:val="afffffffff3"/>
          <w:rFonts w:hint="cs"/>
          <w:rtl/>
        </w:rPr>
        <w:t xml:space="preserve">(שבת פ"י הי"ב סוד"ה </w:t>
      </w:r>
      <w:r w:rsidRPr="00FE4693">
        <w:rPr>
          <w:rStyle w:val="afffffffff3"/>
          <w:rtl/>
        </w:rPr>
        <w:t>וכבר כתבתי</w:t>
      </w:r>
      <w:r w:rsidRPr="00FE4693">
        <w:rPr>
          <w:rStyle w:val="afffffffff3"/>
          <w:rFonts w:hint="cs"/>
          <w:rtl/>
        </w:rPr>
        <w:t>)</w:t>
      </w:r>
      <w:r>
        <w:rPr>
          <w:rtl/>
        </w:rPr>
        <w:t>,</w:t>
      </w:r>
      <w:r w:rsidRPr="00FE4693">
        <w:rPr>
          <w:rStyle w:val="aff4"/>
          <w:rFonts w:ascii="David" w:eastAsiaTheme="minorEastAsia" w:hAnsi="David" w:cs="David" w:hint="cs"/>
          <w:noProof w:val="0"/>
          <w:sz w:val="16"/>
          <w:szCs w:val="16"/>
          <w:rtl/>
        </w:rPr>
        <w:t xml:space="preserve"> </w:t>
      </w:r>
      <w:r w:rsidRPr="00FE4693">
        <w:rPr>
          <w:rStyle w:val="aff4"/>
          <w:rFonts w:ascii="David" w:eastAsiaTheme="minorEastAsia" w:hAnsi="David" w:cs="David"/>
          <w:noProof w:val="0"/>
          <w:sz w:val="16"/>
          <w:szCs w:val="16"/>
          <w:rtl/>
        </w:rPr>
        <w:fldChar w:fldCharType="begin"/>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hint="cs"/>
          <w:noProof w:val="0"/>
          <w:sz w:val="16"/>
          <w:szCs w:val="16"/>
        </w:rPr>
        <w:instrText>REF</w:instrText>
      </w:r>
      <w:r w:rsidRPr="00FE4693">
        <w:rPr>
          <w:rStyle w:val="aff4"/>
          <w:rFonts w:ascii="David" w:eastAsiaTheme="minorEastAsia" w:hAnsi="David" w:cs="David" w:hint="cs"/>
          <w:noProof w:val="0"/>
          <w:sz w:val="16"/>
          <w:szCs w:val="16"/>
          <w:rtl/>
        </w:rPr>
        <w:instrText xml:space="preserve"> _</w:instrText>
      </w:r>
      <w:r w:rsidRPr="00FE4693">
        <w:rPr>
          <w:rStyle w:val="aff4"/>
          <w:rFonts w:ascii="David" w:eastAsiaTheme="minorEastAsia" w:hAnsi="David" w:cs="David" w:hint="cs"/>
          <w:noProof w:val="0"/>
          <w:sz w:val="16"/>
          <w:szCs w:val="16"/>
        </w:rPr>
        <w:instrText>Ref143547978 \r \h</w:instrText>
      </w:r>
      <w:r w:rsidRPr="00FE4693">
        <w:rPr>
          <w:rStyle w:val="aff4"/>
          <w:rFonts w:ascii="David" w:eastAsiaTheme="minorEastAsia" w:hAnsi="David" w:cs="David"/>
          <w:noProof w:val="0"/>
          <w:sz w:val="16"/>
          <w:szCs w:val="16"/>
          <w:rtl/>
        </w:rPr>
        <w:instrText xml:space="preserve">  \* </w:instrText>
      </w:r>
      <w:r w:rsidRPr="00FE4693">
        <w:rPr>
          <w:rStyle w:val="aff4"/>
          <w:rFonts w:ascii="David" w:eastAsiaTheme="minorEastAsia" w:hAnsi="David" w:cs="David"/>
          <w:noProof w:val="0"/>
          <w:sz w:val="16"/>
          <w:szCs w:val="16"/>
        </w:rPr>
        <w:instrText>MERGEFORMAT</w:instrText>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tl/>
        </w:rPr>
      </w:r>
      <w:r w:rsidRPr="00FE4693">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כז)</w:t>
      </w:r>
      <w:r w:rsidRPr="00FE4693">
        <w:rPr>
          <w:rStyle w:val="aff4"/>
          <w:rFonts w:ascii="David" w:eastAsiaTheme="minorEastAsia" w:hAnsi="David" w:cs="David"/>
          <w:noProof w:val="0"/>
          <w:sz w:val="16"/>
          <w:szCs w:val="16"/>
          <w:rtl/>
        </w:rPr>
        <w:fldChar w:fldCharType="end"/>
      </w:r>
      <w:r w:rsidRPr="00FE4693">
        <w:rPr>
          <w:rStyle w:val="aff4"/>
          <w:rFonts w:ascii="David" w:eastAsiaTheme="minorEastAsia" w:hAnsi="David" w:cs="David" w:hint="cs"/>
          <w:noProof w:val="0"/>
          <w:sz w:val="16"/>
          <w:szCs w:val="16"/>
          <w:rtl/>
        </w:rPr>
        <w:t xml:space="preserve"> </w:t>
      </w:r>
      <w:r w:rsidRPr="003A14B9">
        <w:rPr>
          <w:rStyle w:val="aff4"/>
          <w:rFonts w:ascii="David" w:eastAsiaTheme="minorEastAsia" w:hAnsi="David" w:cs="David" w:hint="cs"/>
          <w:b w:val="0"/>
          <w:bCs w:val="0"/>
          <w:noProof w:val="0"/>
          <w:sz w:val="16"/>
          <w:szCs w:val="16"/>
          <w:rtl/>
        </w:rPr>
        <w:t>רמב"ם</w:t>
      </w:r>
      <w:r w:rsidRPr="003A14B9">
        <w:rPr>
          <w:rFonts w:hint="cs"/>
          <w:rtl/>
        </w:rPr>
        <w:t xml:space="preserve"> </w:t>
      </w:r>
      <w:r w:rsidRPr="00FE4693">
        <w:rPr>
          <w:rStyle w:val="afffffffff3"/>
          <w:rFonts w:hint="cs"/>
          <w:rtl/>
        </w:rPr>
        <w:t>(שבת פ"י הי"ג)</w:t>
      </w:r>
      <w:r>
        <w:rPr>
          <w:rtl/>
        </w:rPr>
        <w:t xml:space="preserve"> </w:t>
      </w:r>
      <w:r w:rsidRPr="003A14B9">
        <w:rPr>
          <w:rStyle w:val="aff4"/>
          <w:rFonts w:ascii="David" w:eastAsiaTheme="minorEastAsia" w:hAnsi="David" w:cs="David"/>
          <w:b w:val="0"/>
          <w:bCs w:val="0"/>
          <w:noProof w:val="0"/>
          <w:sz w:val="16"/>
          <w:szCs w:val="16"/>
          <w:rtl/>
        </w:rPr>
        <w:t>אבן האזל</w:t>
      </w:r>
      <w:r w:rsidRPr="003A14B9">
        <w:rPr>
          <w:rFonts w:hint="cs"/>
          <w:rtl/>
        </w:rPr>
        <w:t xml:space="preserve"> </w:t>
      </w:r>
      <w:r w:rsidRPr="00FE4693">
        <w:rPr>
          <w:rStyle w:val="afffffffff3"/>
          <w:rFonts w:hint="cs"/>
          <w:rtl/>
        </w:rPr>
        <w:t xml:space="preserve">(עי' אות </w:t>
      </w:r>
      <w:r w:rsidRPr="00FE4693">
        <w:rPr>
          <w:rStyle w:val="afffffffff3"/>
          <w:rtl/>
        </w:rPr>
        <w:fldChar w:fldCharType="begin"/>
      </w:r>
      <w:r w:rsidRPr="00FE4693">
        <w:rPr>
          <w:rStyle w:val="afffffffff3"/>
          <w:rtl/>
        </w:rPr>
        <w:instrText xml:space="preserve"> </w:instrText>
      </w:r>
      <w:r w:rsidRPr="00FE4693">
        <w:rPr>
          <w:rStyle w:val="afffffffff3"/>
        </w:rPr>
        <w:instrText>REF</w:instrText>
      </w:r>
      <w:r w:rsidRPr="00FE4693">
        <w:rPr>
          <w:rStyle w:val="afffffffff3"/>
          <w:rtl/>
        </w:rPr>
        <w:instrText xml:space="preserve"> _</w:instrText>
      </w:r>
      <w:r w:rsidRPr="00FE4693">
        <w:rPr>
          <w:rStyle w:val="afffffffff3"/>
        </w:rPr>
        <w:instrText>Ref143420290 \r \h</w:instrText>
      </w:r>
      <w:r w:rsidRPr="00FE4693">
        <w:rPr>
          <w:rStyle w:val="afffffffff3"/>
          <w:rtl/>
        </w:rPr>
        <w:instrText xml:space="preserve">  \* </w:instrText>
      </w:r>
      <w:r w:rsidRPr="00FE4693">
        <w:rPr>
          <w:rStyle w:val="afffffffff3"/>
        </w:rPr>
        <w:instrText>MERGEFORMAT</w:instrText>
      </w:r>
      <w:r w:rsidRPr="00FE4693">
        <w:rPr>
          <w:rStyle w:val="afffffffff3"/>
          <w:rtl/>
        </w:rPr>
        <w:instrText xml:space="preserve"> </w:instrText>
      </w:r>
      <w:r w:rsidRPr="00FE4693">
        <w:rPr>
          <w:rStyle w:val="afffffffff3"/>
          <w:rtl/>
        </w:rPr>
      </w:r>
      <w:r w:rsidRPr="00FE4693">
        <w:rPr>
          <w:rStyle w:val="afffffffff3"/>
          <w:rtl/>
        </w:rPr>
        <w:fldChar w:fldCharType="separate"/>
      </w:r>
      <w:r w:rsidR="00D82181">
        <w:rPr>
          <w:rStyle w:val="afffffffff3"/>
          <w:cs/>
        </w:rPr>
        <w:t>‎</w:t>
      </w:r>
      <w:r w:rsidR="00D82181">
        <w:rPr>
          <w:rStyle w:val="afffffffff3"/>
          <w:rtl/>
        </w:rPr>
        <w:t>עד)</w:t>
      </w:r>
      <w:r w:rsidRPr="00FE4693">
        <w:rPr>
          <w:rStyle w:val="afffffffff3"/>
          <w:rtl/>
        </w:rPr>
        <w:fldChar w:fldCharType="end"/>
      </w:r>
      <w:r>
        <w:rPr>
          <w:rtl/>
        </w:rPr>
        <w:t>,</w:t>
      </w:r>
      <w:r w:rsidRPr="00FE4693">
        <w:rPr>
          <w:rStyle w:val="aff4"/>
          <w:rFonts w:ascii="David" w:eastAsiaTheme="minorEastAsia" w:hAnsi="David" w:cs="David" w:hint="cs"/>
          <w:noProof w:val="0"/>
          <w:sz w:val="16"/>
          <w:szCs w:val="16"/>
          <w:rtl/>
        </w:rPr>
        <w:t xml:space="preserve"> </w:t>
      </w:r>
      <w:r w:rsidRPr="00FE4693">
        <w:rPr>
          <w:rStyle w:val="aff4"/>
          <w:rFonts w:ascii="David" w:eastAsiaTheme="minorEastAsia" w:hAnsi="David" w:cs="David"/>
          <w:noProof w:val="0"/>
          <w:sz w:val="16"/>
          <w:szCs w:val="16"/>
          <w:rtl/>
        </w:rPr>
        <w:fldChar w:fldCharType="begin"/>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hint="cs"/>
          <w:noProof w:val="0"/>
          <w:sz w:val="16"/>
          <w:szCs w:val="16"/>
        </w:rPr>
        <w:instrText>REF</w:instrText>
      </w:r>
      <w:r w:rsidRPr="00FE4693">
        <w:rPr>
          <w:rStyle w:val="aff4"/>
          <w:rFonts w:ascii="David" w:eastAsiaTheme="minorEastAsia" w:hAnsi="David" w:cs="David" w:hint="cs"/>
          <w:noProof w:val="0"/>
          <w:sz w:val="16"/>
          <w:szCs w:val="16"/>
          <w:rtl/>
        </w:rPr>
        <w:instrText xml:space="preserve"> _</w:instrText>
      </w:r>
      <w:r w:rsidRPr="00FE4693">
        <w:rPr>
          <w:rStyle w:val="aff4"/>
          <w:rFonts w:ascii="David" w:eastAsiaTheme="minorEastAsia" w:hAnsi="David" w:cs="David" w:hint="cs"/>
          <w:noProof w:val="0"/>
          <w:sz w:val="16"/>
          <w:szCs w:val="16"/>
        </w:rPr>
        <w:instrText>Ref140826369 \r \h</w:instrText>
      </w:r>
      <w:r w:rsidRPr="00FE4693">
        <w:rPr>
          <w:rStyle w:val="aff4"/>
          <w:rFonts w:ascii="David" w:eastAsiaTheme="minorEastAsia" w:hAnsi="David" w:cs="David"/>
          <w:noProof w:val="0"/>
          <w:sz w:val="16"/>
          <w:szCs w:val="16"/>
          <w:rtl/>
        </w:rPr>
        <w:instrText xml:space="preserve">  \* </w:instrText>
      </w:r>
      <w:r w:rsidRPr="00FE4693">
        <w:rPr>
          <w:rStyle w:val="aff4"/>
          <w:rFonts w:ascii="David" w:eastAsiaTheme="minorEastAsia" w:hAnsi="David" w:cs="David"/>
          <w:noProof w:val="0"/>
          <w:sz w:val="16"/>
          <w:szCs w:val="16"/>
        </w:rPr>
        <w:instrText>MERGEFORMAT</w:instrText>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tl/>
        </w:rPr>
      </w:r>
      <w:r w:rsidRPr="00FE4693">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כח)</w:t>
      </w:r>
      <w:r w:rsidRPr="00FE4693">
        <w:rPr>
          <w:rStyle w:val="aff4"/>
          <w:rFonts w:ascii="David" w:eastAsiaTheme="minorEastAsia" w:hAnsi="David" w:cs="David"/>
          <w:noProof w:val="0"/>
          <w:sz w:val="16"/>
          <w:szCs w:val="16"/>
          <w:rtl/>
        </w:rPr>
        <w:fldChar w:fldCharType="end"/>
      </w:r>
      <w:r w:rsidRPr="00FE4693">
        <w:rPr>
          <w:rStyle w:val="aff4"/>
          <w:rFonts w:ascii="David" w:eastAsiaTheme="minorEastAsia" w:hAnsi="David" w:cs="David" w:hint="cs"/>
          <w:noProof w:val="0"/>
          <w:sz w:val="16"/>
          <w:szCs w:val="16"/>
          <w:rtl/>
        </w:rPr>
        <w:t xml:space="preserve"> </w:t>
      </w:r>
      <w:r w:rsidRPr="003A14B9">
        <w:rPr>
          <w:rStyle w:val="aff4"/>
          <w:rFonts w:ascii="David" w:eastAsiaTheme="minorEastAsia" w:hAnsi="David" w:cs="David" w:hint="cs"/>
          <w:b w:val="0"/>
          <w:bCs w:val="0"/>
          <w:noProof w:val="0"/>
          <w:sz w:val="16"/>
          <w:szCs w:val="16"/>
          <w:rtl/>
        </w:rPr>
        <w:t>רמב"ם</w:t>
      </w:r>
      <w:r w:rsidRPr="003A14B9">
        <w:rPr>
          <w:rFonts w:hint="cs"/>
          <w:rtl/>
        </w:rPr>
        <w:t xml:space="preserve"> </w:t>
      </w:r>
      <w:r w:rsidRPr="00FE4693">
        <w:rPr>
          <w:rStyle w:val="afffffffff3"/>
          <w:rFonts w:hint="cs"/>
          <w:rtl/>
        </w:rPr>
        <w:t>(שבת פ"ז ה"ו)</w:t>
      </w:r>
      <w:r>
        <w:rPr>
          <w:rtl/>
        </w:rPr>
        <w:t>,</w:t>
      </w:r>
      <w:r w:rsidRPr="00FE4693">
        <w:rPr>
          <w:rStyle w:val="aff4"/>
          <w:rFonts w:ascii="David" w:eastAsiaTheme="minorEastAsia" w:hAnsi="David" w:cs="David" w:hint="cs"/>
          <w:noProof w:val="0"/>
          <w:sz w:val="16"/>
          <w:szCs w:val="16"/>
          <w:rtl/>
        </w:rPr>
        <w:t xml:space="preserve"> </w:t>
      </w:r>
      <w:r w:rsidRPr="00FE4693">
        <w:rPr>
          <w:rStyle w:val="aff4"/>
          <w:rFonts w:ascii="David" w:eastAsiaTheme="minorEastAsia" w:hAnsi="David" w:cs="David"/>
          <w:noProof w:val="0"/>
          <w:sz w:val="16"/>
          <w:szCs w:val="16"/>
          <w:rtl/>
        </w:rPr>
        <w:fldChar w:fldCharType="begin"/>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hint="cs"/>
          <w:noProof w:val="0"/>
          <w:sz w:val="16"/>
          <w:szCs w:val="16"/>
        </w:rPr>
        <w:instrText>REF</w:instrText>
      </w:r>
      <w:r w:rsidRPr="00FE4693">
        <w:rPr>
          <w:rStyle w:val="aff4"/>
          <w:rFonts w:ascii="David" w:eastAsiaTheme="minorEastAsia" w:hAnsi="David" w:cs="David" w:hint="cs"/>
          <w:noProof w:val="0"/>
          <w:sz w:val="16"/>
          <w:szCs w:val="16"/>
          <w:rtl/>
        </w:rPr>
        <w:instrText xml:space="preserve"> _</w:instrText>
      </w:r>
      <w:r w:rsidRPr="00FE4693">
        <w:rPr>
          <w:rStyle w:val="aff4"/>
          <w:rFonts w:ascii="David" w:eastAsiaTheme="minorEastAsia" w:hAnsi="David" w:cs="David" w:hint="cs"/>
          <w:noProof w:val="0"/>
          <w:sz w:val="16"/>
          <w:szCs w:val="16"/>
        </w:rPr>
        <w:instrText>Ref143159344 \r \h</w:instrText>
      </w:r>
      <w:r w:rsidRPr="00FE4693">
        <w:rPr>
          <w:rStyle w:val="aff4"/>
          <w:rFonts w:ascii="David" w:eastAsiaTheme="minorEastAsia" w:hAnsi="David" w:cs="David"/>
          <w:noProof w:val="0"/>
          <w:sz w:val="16"/>
          <w:szCs w:val="16"/>
          <w:rtl/>
        </w:rPr>
        <w:instrText xml:space="preserve">  \* </w:instrText>
      </w:r>
      <w:r w:rsidRPr="00FE4693">
        <w:rPr>
          <w:rStyle w:val="aff4"/>
          <w:rFonts w:ascii="David" w:eastAsiaTheme="minorEastAsia" w:hAnsi="David" w:cs="David"/>
          <w:noProof w:val="0"/>
          <w:sz w:val="16"/>
          <w:szCs w:val="16"/>
        </w:rPr>
        <w:instrText>MERGEFORMAT</w:instrText>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tl/>
        </w:rPr>
      </w:r>
      <w:r w:rsidRPr="00FE4693">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כט)</w:t>
      </w:r>
      <w:r w:rsidRPr="00FE4693">
        <w:rPr>
          <w:rStyle w:val="aff4"/>
          <w:rFonts w:ascii="David" w:eastAsiaTheme="minorEastAsia" w:hAnsi="David" w:cs="David"/>
          <w:noProof w:val="0"/>
          <w:sz w:val="16"/>
          <w:szCs w:val="16"/>
          <w:rtl/>
        </w:rPr>
        <w:fldChar w:fldCharType="end"/>
      </w:r>
      <w:r w:rsidRPr="00FE4693">
        <w:rPr>
          <w:rStyle w:val="aff4"/>
          <w:rFonts w:ascii="David" w:eastAsiaTheme="minorEastAsia" w:hAnsi="David" w:cs="David" w:hint="cs"/>
          <w:noProof w:val="0"/>
          <w:sz w:val="16"/>
          <w:szCs w:val="16"/>
          <w:rtl/>
        </w:rPr>
        <w:t xml:space="preserve"> </w:t>
      </w:r>
      <w:r w:rsidRPr="003A14B9">
        <w:rPr>
          <w:rStyle w:val="aff4"/>
          <w:rFonts w:ascii="David" w:eastAsiaTheme="minorEastAsia" w:hAnsi="David" w:cs="David" w:hint="cs"/>
          <w:b w:val="0"/>
          <w:bCs w:val="0"/>
          <w:noProof w:val="0"/>
          <w:sz w:val="16"/>
          <w:szCs w:val="16"/>
          <w:rtl/>
        </w:rPr>
        <w:t>פנ"י בסוכה</w:t>
      </w:r>
      <w:r w:rsidRPr="003A14B9">
        <w:rPr>
          <w:rFonts w:hint="cs"/>
          <w:rtl/>
        </w:rPr>
        <w:t xml:space="preserve"> </w:t>
      </w:r>
      <w:r w:rsidRPr="00FE4693">
        <w:rPr>
          <w:rStyle w:val="afffffffff3"/>
          <w:rFonts w:hint="cs"/>
          <w:rtl/>
        </w:rPr>
        <w:t>(טז: על תוד"ה פרסו)</w:t>
      </w:r>
      <w:r>
        <w:rPr>
          <w:rtl/>
        </w:rPr>
        <w:t xml:space="preserve"> </w:t>
      </w:r>
    </w:p>
    <w:p w14:paraId="3C906A52" w14:textId="77777777" w:rsidR="00376F67" w:rsidRDefault="00376F67" w:rsidP="00376F67">
      <w:pPr>
        <w:pStyle w:val="TOC2"/>
        <w:rPr>
          <w:rFonts w:cstheme="minorBidi"/>
          <w:b w:val="0"/>
          <w:bCs w:val="0"/>
          <w:sz w:val="22"/>
          <w:szCs w:val="22"/>
          <w:rtl/>
        </w:rPr>
      </w:pPr>
      <w:hyperlink w:anchor="_Toc143770603" w:history="1">
        <w:r w:rsidRPr="009F263C">
          <w:rPr>
            <w:rStyle w:val="Hyperlink"/>
            <w:rtl/>
          </w:rPr>
          <w:t>בי' הרמב"ם דעושה אוהל והעושה כלי אדמה הוי תולדה דבונה</w:t>
        </w:r>
      </w:hyperlink>
    </w:p>
    <w:p w14:paraId="0B4B8FAD" w14:textId="77777777" w:rsidR="00376F67" w:rsidRDefault="00376F67" w:rsidP="00ED704E">
      <w:pPr>
        <w:pStyle w:val="TOC3"/>
        <w:rPr>
          <w:rFonts w:asciiTheme="minorHAnsi" w:eastAsiaTheme="minorEastAsia" w:hAnsiTheme="minorHAnsi" w:cstheme="minorBidi"/>
          <w:sz w:val="22"/>
          <w:szCs w:val="22"/>
          <w:rtl/>
        </w:rPr>
      </w:pPr>
      <w:hyperlink w:anchor="_Toc143770604" w:history="1">
        <w:r w:rsidRPr="009F263C">
          <w:rPr>
            <w:rStyle w:val="Hyperlink"/>
            <w:rtl/>
          </w:rPr>
          <w:t>בי' הרמב"ם דאוהל קבוע תולדה דבונה וכן העושה כלי אדמה ובי' המ"מ דעושה כלי מתחילתו</w:t>
        </w:r>
      </w:hyperlink>
    </w:p>
    <w:p w14:paraId="6CD3A90D" w14:textId="77777777" w:rsidR="00376F67" w:rsidRDefault="00376F67" w:rsidP="00ED704E">
      <w:pPr>
        <w:pStyle w:val="TOC3"/>
        <w:rPr>
          <w:rFonts w:asciiTheme="minorHAnsi" w:eastAsiaTheme="minorEastAsia" w:hAnsiTheme="minorHAnsi" w:cstheme="minorBidi"/>
          <w:sz w:val="22"/>
          <w:szCs w:val="22"/>
          <w:rtl/>
        </w:rPr>
      </w:pPr>
      <w:hyperlink w:anchor="_Toc143770605" w:history="1">
        <w:r w:rsidRPr="009F263C">
          <w:rPr>
            <w:rStyle w:val="Hyperlink"/>
            <w:rtl/>
          </w:rPr>
          <w:t>בי' האו"ש דמבו' בירושלמי דגודל כלי צורה בונה והיינו כעושה כלי אך ק' מהירו' דכלי זכוכית</w:t>
        </w:r>
      </w:hyperlink>
    </w:p>
    <w:p w14:paraId="0F094353" w14:textId="77777777" w:rsidR="00376F67" w:rsidRDefault="00376F67" w:rsidP="00376F67">
      <w:pPr>
        <w:pStyle w:val="TOC2"/>
        <w:rPr>
          <w:rFonts w:cstheme="minorBidi"/>
          <w:b w:val="0"/>
          <w:bCs w:val="0"/>
          <w:sz w:val="22"/>
          <w:szCs w:val="22"/>
          <w:rtl/>
        </w:rPr>
      </w:pPr>
      <w:hyperlink w:anchor="_Toc143770606" w:history="1">
        <w:r w:rsidRPr="009F263C">
          <w:rPr>
            <w:rStyle w:val="Hyperlink"/>
            <w:rtl/>
          </w:rPr>
          <w:t>בי' הרמב"ם דמגבן ומחבר קרדום תולדה וקיבוץ חלקים כבונה</w:t>
        </w:r>
      </w:hyperlink>
    </w:p>
    <w:p w14:paraId="71687455" w14:textId="77777777" w:rsidR="00376F67" w:rsidRDefault="00376F67" w:rsidP="00ED704E">
      <w:pPr>
        <w:pStyle w:val="TOC3"/>
        <w:rPr>
          <w:rFonts w:asciiTheme="minorHAnsi" w:eastAsiaTheme="minorEastAsia" w:hAnsiTheme="minorHAnsi" w:cstheme="minorBidi"/>
          <w:sz w:val="22"/>
          <w:szCs w:val="22"/>
          <w:rtl/>
        </w:rPr>
      </w:pPr>
      <w:hyperlink w:anchor="_Toc143770607" w:history="1">
        <w:r w:rsidRPr="009F263C">
          <w:rPr>
            <w:rStyle w:val="Hyperlink"/>
            <w:rtl/>
          </w:rPr>
          <w:t>בי' הרמב"ם דהמגבן גבינה תולדה דבונה וכן מכניס יד לקרדום ותוקע עץ בעץ עד שנעשו לאחד</w:t>
        </w:r>
      </w:hyperlink>
    </w:p>
    <w:p w14:paraId="4F43CF06" w14:textId="77777777" w:rsidR="00376F67" w:rsidRDefault="00376F67" w:rsidP="00ED704E">
      <w:pPr>
        <w:pStyle w:val="TOC3"/>
        <w:rPr>
          <w:rFonts w:asciiTheme="minorHAnsi" w:eastAsiaTheme="minorEastAsia" w:hAnsiTheme="minorHAnsi" w:cstheme="minorBidi"/>
          <w:sz w:val="22"/>
          <w:szCs w:val="22"/>
          <w:rtl/>
        </w:rPr>
      </w:pPr>
      <w:hyperlink w:anchor="_Toc143770608" w:history="1">
        <w:r w:rsidRPr="009F263C">
          <w:rPr>
            <w:rStyle w:val="Hyperlink"/>
            <w:rtl/>
          </w:rPr>
          <w:t>בי' הרמב"ם דהמגבן דמי לבנין כיון שמקבץ חלקים חלק לחלק ומדביקם עד שהם גוף אחד</w:t>
        </w:r>
      </w:hyperlink>
    </w:p>
    <w:p w14:paraId="7769F39D" w14:textId="77777777" w:rsidR="00376F67" w:rsidRDefault="00376F67" w:rsidP="00ED704E">
      <w:pPr>
        <w:pStyle w:val="TOC3"/>
        <w:rPr>
          <w:rFonts w:asciiTheme="minorHAnsi" w:eastAsiaTheme="minorEastAsia" w:hAnsiTheme="minorHAnsi" w:cstheme="minorBidi"/>
          <w:sz w:val="22"/>
          <w:szCs w:val="22"/>
          <w:rtl/>
        </w:rPr>
      </w:pPr>
      <w:hyperlink w:anchor="_Toc143770609" w:history="1">
        <w:r w:rsidRPr="009F263C">
          <w:rPr>
            <w:rStyle w:val="Hyperlink"/>
            <w:rtl/>
          </w:rPr>
          <w:t>בי' הפנ"י דמדלא תנן אב דאוהל מבו' דהוי תולדה ואוהל ארעי ומלמעלה ובנין קבוע ומחיצה</w:t>
        </w:r>
      </w:hyperlink>
    </w:p>
    <w:p w14:paraId="36B3D774" w14:textId="77777777" w:rsidR="00376F67" w:rsidRDefault="00376F67" w:rsidP="00376F67">
      <w:pPr>
        <w:pStyle w:val="TOC1"/>
        <w:rPr>
          <w:rFonts w:asciiTheme="minorHAnsi" w:hAnsiTheme="minorHAnsi" w:cstheme="minorBidi"/>
          <w:b w:val="0"/>
          <w:bCs w:val="0"/>
          <w:caps w:val="0"/>
          <w:sz w:val="22"/>
          <w:szCs w:val="22"/>
          <w:rtl/>
        </w:rPr>
      </w:pPr>
      <w:hyperlink w:anchor="_Toc143770610" w:history="1">
        <w:r w:rsidRPr="009F263C">
          <w:rPr>
            <w:rStyle w:val="Hyperlink"/>
            <w:rtl/>
          </w:rPr>
          <w:t>אי עשיית כלי הוי יצירה או קיבוץ חלקים</w:t>
        </w:r>
      </w:hyperlink>
    </w:p>
    <w:p w14:paraId="2C5D5C14" w14:textId="3C1187D4" w:rsidR="00376F67" w:rsidRPr="00FE4693" w:rsidRDefault="00376F67" w:rsidP="00376F67">
      <w:pPr>
        <w:pStyle w:val="afffffffff0"/>
        <w:rPr>
          <w:b/>
          <w:bCs/>
          <w:rtl/>
        </w:rPr>
      </w:pPr>
      <w:r w:rsidRPr="00FE4693">
        <w:rPr>
          <w:b/>
          <w:bCs/>
          <w:rtl/>
        </w:rPr>
        <w:fldChar w:fldCharType="begin"/>
      </w:r>
      <w:r w:rsidRPr="00FE4693">
        <w:rPr>
          <w:b/>
          <w:bCs/>
          <w:rtl/>
        </w:rPr>
        <w:instrText xml:space="preserve"> </w:instrText>
      </w:r>
      <w:r w:rsidRPr="00FE4693">
        <w:rPr>
          <w:rFonts w:hint="cs"/>
          <w:b/>
          <w:bCs/>
        </w:rPr>
        <w:instrText>REF</w:instrText>
      </w:r>
      <w:r w:rsidRPr="00FE4693">
        <w:rPr>
          <w:rFonts w:hint="cs"/>
          <w:b/>
          <w:bCs/>
          <w:rtl/>
        </w:rPr>
        <w:instrText xml:space="preserve"> _</w:instrText>
      </w:r>
      <w:r w:rsidRPr="00FE4693">
        <w:rPr>
          <w:rFonts w:hint="cs"/>
          <w:b/>
          <w:bCs/>
        </w:rPr>
        <w:instrText>Ref143421195 \r \h</w:instrText>
      </w:r>
      <w:r w:rsidRPr="00FE4693">
        <w:rPr>
          <w:b/>
          <w:bCs/>
          <w:rtl/>
        </w:rPr>
        <w:instrText xml:space="preserve">  \* </w:instrText>
      </w:r>
      <w:r w:rsidRPr="00FE4693">
        <w:rPr>
          <w:b/>
          <w:bCs/>
        </w:rPr>
        <w:instrText>MERGEFORMAT</w:instrText>
      </w:r>
      <w:r w:rsidRPr="00FE4693">
        <w:rPr>
          <w:b/>
          <w:bCs/>
          <w:rtl/>
        </w:rPr>
        <w:instrText xml:space="preserve"> </w:instrText>
      </w:r>
      <w:r w:rsidRPr="00FE4693">
        <w:rPr>
          <w:b/>
          <w:bCs/>
          <w:rtl/>
        </w:rPr>
      </w:r>
      <w:r w:rsidRPr="00FE4693">
        <w:rPr>
          <w:b/>
          <w:bCs/>
          <w:rtl/>
        </w:rPr>
        <w:fldChar w:fldCharType="separate"/>
      </w:r>
      <w:r w:rsidR="00D82181">
        <w:rPr>
          <w:b/>
          <w:bCs/>
          <w:cs/>
        </w:rPr>
        <w:t>‎</w:t>
      </w:r>
      <w:r w:rsidR="00D82181">
        <w:rPr>
          <w:b/>
          <w:bCs/>
          <w:rtl/>
        </w:rPr>
        <w:t>ל)</w:t>
      </w:r>
      <w:r w:rsidRPr="00FE4693">
        <w:rPr>
          <w:b/>
          <w:bCs/>
          <w:rtl/>
        </w:rPr>
        <w:fldChar w:fldCharType="end"/>
      </w:r>
      <w:r w:rsidRPr="00FE4693">
        <w:rPr>
          <w:rFonts w:hint="cs"/>
          <w:b/>
          <w:bCs/>
          <w:rtl/>
        </w:rPr>
        <w:t xml:space="preserve"> </w:t>
      </w:r>
      <w:r w:rsidRPr="003A14B9">
        <w:rPr>
          <w:rStyle w:val="aff4"/>
          <w:rFonts w:ascii="David" w:eastAsiaTheme="minorEastAsia" w:hAnsi="David" w:cs="David" w:hint="cs"/>
          <w:b w:val="0"/>
          <w:bCs w:val="0"/>
          <w:noProof w:val="0"/>
          <w:sz w:val="16"/>
          <w:szCs w:val="16"/>
          <w:rtl/>
        </w:rPr>
        <w:t>רש"י לעיל</w:t>
      </w:r>
      <w:r w:rsidRPr="003A14B9">
        <w:rPr>
          <w:rFonts w:hint="cs"/>
          <w:rtl/>
        </w:rPr>
        <w:t xml:space="preserve"> </w:t>
      </w:r>
      <w:r w:rsidRPr="00FE4693">
        <w:rPr>
          <w:rStyle w:val="afffffffff3"/>
          <w:rFonts w:hint="cs"/>
          <w:rtl/>
        </w:rPr>
        <w:t>(עד: ד"ה ואי)</w:t>
      </w:r>
      <w:r>
        <w:rPr>
          <w:rtl/>
        </w:rPr>
        <w:t xml:space="preserve"> </w:t>
      </w:r>
      <w:r w:rsidRPr="003A14B9">
        <w:rPr>
          <w:rStyle w:val="aff4"/>
          <w:rFonts w:ascii="David" w:eastAsiaTheme="minorEastAsia" w:hAnsi="David" w:cs="David" w:hint="cs"/>
          <w:b w:val="0"/>
          <w:bCs w:val="0"/>
          <w:noProof w:val="0"/>
          <w:sz w:val="16"/>
          <w:szCs w:val="16"/>
          <w:rtl/>
        </w:rPr>
        <w:t>תוס' לעיל</w:t>
      </w:r>
      <w:r w:rsidRPr="003A14B9">
        <w:rPr>
          <w:rFonts w:hint="cs"/>
          <w:rtl/>
        </w:rPr>
        <w:t xml:space="preserve"> </w:t>
      </w:r>
      <w:r w:rsidRPr="00FE4693">
        <w:rPr>
          <w:rStyle w:val="afffffffff3"/>
          <w:rFonts w:hint="cs"/>
          <w:rtl/>
        </w:rPr>
        <w:t>(עד: ד"ה חביתא)</w:t>
      </w:r>
      <w:r>
        <w:rPr>
          <w:rtl/>
        </w:rPr>
        <w:t xml:space="preserve"> </w:t>
      </w:r>
      <w:r w:rsidRPr="003A14B9">
        <w:rPr>
          <w:rStyle w:val="aff4"/>
          <w:rFonts w:ascii="David" w:eastAsiaTheme="minorEastAsia" w:hAnsi="David" w:cs="David" w:hint="cs"/>
          <w:b w:val="0"/>
          <w:bCs w:val="0"/>
          <w:noProof w:val="0"/>
          <w:sz w:val="16"/>
          <w:szCs w:val="16"/>
          <w:rtl/>
        </w:rPr>
        <w:t>תוס' בסוגיין</w:t>
      </w:r>
      <w:r w:rsidRPr="003A14B9">
        <w:rPr>
          <w:rFonts w:hint="cs"/>
          <w:rtl/>
        </w:rPr>
        <w:t xml:space="preserve"> </w:t>
      </w:r>
      <w:r w:rsidRPr="00FE4693">
        <w:rPr>
          <w:rStyle w:val="afffffffff3"/>
          <w:rFonts w:hint="cs"/>
          <w:rtl/>
        </w:rPr>
        <w:t>(ד"ה האי)</w:t>
      </w:r>
      <w:r>
        <w:rPr>
          <w:rtl/>
        </w:rPr>
        <w:t xml:space="preserve"> </w:t>
      </w:r>
      <w:r w:rsidRPr="003A14B9">
        <w:rPr>
          <w:rStyle w:val="aff4"/>
          <w:rFonts w:ascii="David" w:eastAsiaTheme="minorEastAsia" w:hAnsi="David" w:cs="David" w:hint="cs"/>
          <w:b w:val="0"/>
          <w:bCs w:val="0"/>
          <w:noProof w:val="0"/>
          <w:sz w:val="16"/>
          <w:szCs w:val="16"/>
          <w:rtl/>
        </w:rPr>
        <w:t>רמב"ן</w:t>
      </w:r>
      <w:r w:rsidRPr="003A14B9">
        <w:rPr>
          <w:rFonts w:hint="cs"/>
          <w:rtl/>
        </w:rPr>
        <w:t xml:space="preserve"> </w:t>
      </w:r>
      <w:r w:rsidRPr="00FE4693">
        <w:rPr>
          <w:rStyle w:val="afffffffff3"/>
          <w:rFonts w:hint="cs"/>
          <w:rtl/>
        </w:rPr>
        <w:t>(ד"ה רב)</w:t>
      </w:r>
      <w:r>
        <w:rPr>
          <w:rtl/>
        </w:rPr>
        <w:t xml:space="preserve"> </w:t>
      </w:r>
      <w:r w:rsidRPr="003A14B9">
        <w:rPr>
          <w:rStyle w:val="aff4"/>
          <w:rFonts w:ascii="David" w:eastAsiaTheme="minorEastAsia" w:hAnsi="David" w:cs="David" w:hint="cs"/>
          <w:b w:val="0"/>
          <w:bCs w:val="0"/>
          <w:noProof w:val="0"/>
          <w:sz w:val="16"/>
          <w:szCs w:val="16"/>
          <w:rtl/>
        </w:rPr>
        <w:t>רשב"א</w:t>
      </w:r>
      <w:r w:rsidRPr="003A14B9">
        <w:rPr>
          <w:rFonts w:hint="cs"/>
          <w:rtl/>
        </w:rPr>
        <w:t xml:space="preserve"> </w:t>
      </w:r>
      <w:r w:rsidRPr="00FE4693">
        <w:rPr>
          <w:rStyle w:val="afffffffff3"/>
          <w:rFonts w:hint="cs"/>
          <w:rtl/>
        </w:rPr>
        <w:t>(ד"ה האי)</w:t>
      </w:r>
      <w:r>
        <w:rPr>
          <w:rtl/>
        </w:rPr>
        <w:t>,</w:t>
      </w:r>
      <w:r w:rsidRPr="00FE4693">
        <w:rPr>
          <w:rStyle w:val="aff4"/>
          <w:rFonts w:ascii="David" w:eastAsiaTheme="minorEastAsia" w:hAnsi="David" w:cs="David" w:hint="cs"/>
          <w:noProof w:val="0"/>
          <w:sz w:val="16"/>
          <w:szCs w:val="16"/>
          <w:rtl/>
        </w:rPr>
        <w:t xml:space="preserve"> </w:t>
      </w:r>
      <w:r w:rsidRPr="00FE4693">
        <w:rPr>
          <w:rStyle w:val="aff4"/>
          <w:rFonts w:ascii="David" w:eastAsiaTheme="minorEastAsia" w:hAnsi="David" w:cs="David"/>
          <w:noProof w:val="0"/>
          <w:sz w:val="16"/>
          <w:szCs w:val="16"/>
          <w:rtl/>
        </w:rPr>
        <w:fldChar w:fldCharType="begin"/>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hint="cs"/>
          <w:noProof w:val="0"/>
          <w:sz w:val="16"/>
          <w:szCs w:val="16"/>
        </w:rPr>
        <w:instrText>REF</w:instrText>
      </w:r>
      <w:r w:rsidRPr="00FE4693">
        <w:rPr>
          <w:rStyle w:val="aff4"/>
          <w:rFonts w:ascii="David" w:eastAsiaTheme="minorEastAsia" w:hAnsi="David" w:cs="David" w:hint="cs"/>
          <w:noProof w:val="0"/>
          <w:sz w:val="16"/>
          <w:szCs w:val="16"/>
          <w:rtl/>
        </w:rPr>
        <w:instrText xml:space="preserve"> _</w:instrText>
      </w:r>
      <w:r w:rsidRPr="00FE4693">
        <w:rPr>
          <w:rStyle w:val="aff4"/>
          <w:rFonts w:ascii="David" w:eastAsiaTheme="minorEastAsia" w:hAnsi="David" w:cs="David" w:hint="cs"/>
          <w:noProof w:val="0"/>
          <w:sz w:val="16"/>
          <w:szCs w:val="16"/>
        </w:rPr>
        <w:instrText>Ref143549634 \r \h</w:instrText>
      </w:r>
      <w:r w:rsidRPr="00FE4693">
        <w:rPr>
          <w:rStyle w:val="aff4"/>
          <w:rFonts w:ascii="David" w:eastAsiaTheme="minorEastAsia" w:hAnsi="David" w:cs="David"/>
          <w:noProof w:val="0"/>
          <w:sz w:val="16"/>
          <w:szCs w:val="16"/>
          <w:rtl/>
        </w:rPr>
        <w:instrText xml:space="preserve">  \* </w:instrText>
      </w:r>
      <w:r w:rsidRPr="00FE4693">
        <w:rPr>
          <w:rStyle w:val="aff4"/>
          <w:rFonts w:ascii="David" w:eastAsiaTheme="minorEastAsia" w:hAnsi="David" w:cs="David"/>
          <w:noProof w:val="0"/>
          <w:sz w:val="16"/>
          <w:szCs w:val="16"/>
        </w:rPr>
        <w:instrText>MERGEFORMAT</w:instrText>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tl/>
        </w:rPr>
      </w:r>
      <w:r w:rsidRPr="00FE4693">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לא)</w:t>
      </w:r>
      <w:r w:rsidRPr="00FE4693">
        <w:rPr>
          <w:rStyle w:val="aff4"/>
          <w:rFonts w:ascii="David" w:eastAsiaTheme="minorEastAsia" w:hAnsi="David" w:cs="David"/>
          <w:noProof w:val="0"/>
          <w:sz w:val="16"/>
          <w:szCs w:val="16"/>
          <w:rtl/>
        </w:rPr>
        <w:fldChar w:fldCharType="end"/>
      </w:r>
      <w:r w:rsidRPr="00FE4693">
        <w:rPr>
          <w:rStyle w:val="aff4"/>
          <w:rFonts w:ascii="David" w:eastAsiaTheme="minorEastAsia" w:hAnsi="David" w:cs="David" w:hint="cs"/>
          <w:noProof w:val="0"/>
          <w:sz w:val="16"/>
          <w:szCs w:val="16"/>
          <w:rtl/>
        </w:rPr>
        <w:t xml:space="preserve"> </w:t>
      </w:r>
      <w:r w:rsidRPr="003A14B9">
        <w:rPr>
          <w:rStyle w:val="aff4"/>
          <w:rFonts w:ascii="David" w:eastAsiaTheme="minorEastAsia" w:hAnsi="David" w:cs="David" w:hint="cs"/>
          <w:b w:val="0"/>
          <w:bCs w:val="0"/>
          <w:noProof w:val="0"/>
          <w:sz w:val="16"/>
          <w:szCs w:val="16"/>
          <w:rtl/>
        </w:rPr>
        <w:t>נצי"ב</w:t>
      </w:r>
      <w:r w:rsidRPr="003A14B9">
        <w:rPr>
          <w:rFonts w:hint="cs"/>
          <w:rtl/>
        </w:rPr>
        <w:t xml:space="preserve"> </w:t>
      </w:r>
      <w:r w:rsidRPr="00FE4693">
        <w:rPr>
          <w:rStyle w:val="afffffffff3"/>
          <w:rFonts w:hint="cs"/>
          <w:rtl/>
        </w:rPr>
        <w:t>(נז. ד"ה במשנה)</w:t>
      </w:r>
      <w:r>
        <w:rPr>
          <w:rtl/>
        </w:rPr>
        <w:t xml:space="preserve"> </w:t>
      </w:r>
      <w:r w:rsidRPr="003A14B9">
        <w:rPr>
          <w:rStyle w:val="aff4"/>
          <w:rFonts w:ascii="David" w:eastAsiaTheme="minorEastAsia" w:hAnsi="David" w:cs="David" w:hint="cs"/>
          <w:b w:val="0"/>
          <w:bCs w:val="0"/>
          <w:noProof w:val="0"/>
          <w:sz w:val="16"/>
          <w:szCs w:val="16"/>
          <w:rtl/>
        </w:rPr>
        <w:t>קרבן העדה</w:t>
      </w:r>
      <w:r w:rsidRPr="003A14B9">
        <w:rPr>
          <w:rFonts w:hint="cs"/>
          <w:rtl/>
        </w:rPr>
        <w:t xml:space="preserve"> </w:t>
      </w:r>
      <w:r w:rsidRPr="00FE4693">
        <w:rPr>
          <w:rStyle w:val="afffffffff3"/>
          <w:rFonts w:hint="cs"/>
          <w:rtl/>
        </w:rPr>
        <w:t>(פ"ז ה"ב, נב: ד"ה הנופח)</w:t>
      </w:r>
      <w:r>
        <w:rPr>
          <w:rtl/>
        </w:rPr>
        <w:t xml:space="preserve"> </w:t>
      </w:r>
      <w:r w:rsidRPr="003A14B9">
        <w:rPr>
          <w:rStyle w:val="aff4"/>
          <w:rFonts w:ascii="David" w:eastAsiaTheme="minorEastAsia" w:hAnsi="David" w:cs="David" w:hint="cs"/>
          <w:b w:val="0"/>
          <w:bCs w:val="0"/>
          <w:noProof w:val="0"/>
          <w:sz w:val="16"/>
          <w:szCs w:val="16"/>
          <w:rtl/>
        </w:rPr>
        <w:t>אבן האזל</w:t>
      </w:r>
      <w:r w:rsidRPr="003A14B9">
        <w:rPr>
          <w:rFonts w:hint="cs"/>
          <w:rtl/>
        </w:rPr>
        <w:t xml:space="preserve"> </w:t>
      </w:r>
      <w:r w:rsidRPr="00FE4693">
        <w:rPr>
          <w:rStyle w:val="afffffffff3"/>
          <w:rFonts w:hint="cs"/>
          <w:rtl/>
        </w:rPr>
        <w:t xml:space="preserve">(עי' אות </w:t>
      </w:r>
      <w:r w:rsidRPr="00FE4693">
        <w:rPr>
          <w:rStyle w:val="afffffffff3"/>
          <w:rtl/>
        </w:rPr>
        <w:fldChar w:fldCharType="begin"/>
      </w:r>
      <w:r w:rsidRPr="00FE4693">
        <w:rPr>
          <w:rStyle w:val="afffffffff3"/>
          <w:rtl/>
        </w:rPr>
        <w:instrText xml:space="preserve"> </w:instrText>
      </w:r>
      <w:r w:rsidRPr="00FE4693">
        <w:rPr>
          <w:rStyle w:val="afffffffff3"/>
          <w:rFonts w:hint="cs"/>
        </w:rPr>
        <w:instrText>REF</w:instrText>
      </w:r>
      <w:r w:rsidRPr="00FE4693">
        <w:rPr>
          <w:rStyle w:val="afffffffff3"/>
          <w:rFonts w:hint="cs"/>
          <w:rtl/>
        </w:rPr>
        <w:instrText xml:space="preserve"> _</w:instrText>
      </w:r>
      <w:r w:rsidRPr="00FE4693">
        <w:rPr>
          <w:rStyle w:val="afffffffff3"/>
          <w:rFonts w:hint="cs"/>
        </w:rPr>
        <w:instrText>Ref143614581 \r \h</w:instrText>
      </w:r>
      <w:r w:rsidRPr="00FE4693">
        <w:rPr>
          <w:rStyle w:val="afffffffff3"/>
          <w:rtl/>
        </w:rPr>
        <w:instrText xml:space="preserve">  \* </w:instrText>
      </w:r>
      <w:r w:rsidRPr="00FE4693">
        <w:rPr>
          <w:rStyle w:val="afffffffff3"/>
        </w:rPr>
        <w:instrText>MERGEFORMAT</w:instrText>
      </w:r>
      <w:r w:rsidRPr="00FE4693">
        <w:rPr>
          <w:rStyle w:val="afffffffff3"/>
          <w:rtl/>
        </w:rPr>
        <w:instrText xml:space="preserve"> </w:instrText>
      </w:r>
      <w:r w:rsidRPr="00FE4693">
        <w:rPr>
          <w:rStyle w:val="afffffffff3"/>
          <w:rtl/>
        </w:rPr>
      </w:r>
      <w:r w:rsidRPr="00FE4693">
        <w:rPr>
          <w:rStyle w:val="afffffffff3"/>
          <w:rtl/>
        </w:rPr>
        <w:fldChar w:fldCharType="separate"/>
      </w:r>
      <w:r w:rsidR="00D82181">
        <w:rPr>
          <w:rStyle w:val="afffffffff3"/>
          <w:cs/>
        </w:rPr>
        <w:t>‎</w:t>
      </w:r>
      <w:r w:rsidR="00D82181">
        <w:rPr>
          <w:rStyle w:val="afffffffff3"/>
          <w:rtl/>
        </w:rPr>
        <w:t>עז)</w:t>
      </w:r>
      <w:r w:rsidRPr="00FE4693">
        <w:rPr>
          <w:rStyle w:val="afffffffff3"/>
          <w:rtl/>
        </w:rPr>
        <w:fldChar w:fldCharType="end"/>
      </w:r>
      <w:r w:rsidRPr="003A14B9">
        <w:rPr>
          <w:rFonts w:hint="cs"/>
          <w:rtl/>
        </w:rPr>
        <w:t xml:space="preserve"> בדעת </w:t>
      </w:r>
      <w:r w:rsidRPr="003A14B9">
        <w:rPr>
          <w:rStyle w:val="aff4"/>
          <w:rFonts w:ascii="David" w:eastAsiaTheme="minorEastAsia" w:hAnsi="David" w:cs="David" w:hint="cs"/>
          <w:b w:val="0"/>
          <w:bCs w:val="0"/>
          <w:noProof w:val="0"/>
          <w:sz w:val="16"/>
          <w:szCs w:val="16"/>
          <w:rtl/>
        </w:rPr>
        <w:t>הרמב"ם</w:t>
      </w:r>
      <w:r>
        <w:rPr>
          <w:rtl/>
        </w:rPr>
        <w:t>,</w:t>
      </w:r>
      <w:r w:rsidRPr="00FE4693">
        <w:rPr>
          <w:rStyle w:val="aff4"/>
          <w:rFonts w:ascii="David" w:eastAsiaTheme="minorEastAsia" w:hAnsi="David" w:cs="David" w:hint="cs"/>
          <w:noProof w:val="0"/>
          <w:sz w:val="16"/>
          <w:szCs w:val="16"/>
          <w:rtl/>
        </w:rPr>
        <w:t xml:space="preserve"> </w:t>
      </w:r>
      <w:r w:rsidRPr="00FE4693">
        <w:rPr>
          <w:rStyle w:val="aff4"/>
          <w:rFonts w:ascii="David" w:eastAsiaTheme="minorEastAsia" w:hAnsi="David" w:cs="David"/>
          <w:noProof w:val="0"/>
          <w:sz w:val="16"/>
          <w:szCs w:val="16"/>
          <w:rtl/>
        </w:rPr>
        <w:fldChar w:fldCharType="begin"/>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hint="cs"/>
          <w:noProof w:val="0"/>
          <w:sz w:val="16"/>
          <w:szCs w:val="16"/>
        </w:rPr>
        <w:instrText>REF</w:instrText>
      </w:r>
      <w:r w:rsidRPr="00FE4693">
        <w:rPr>
          <w:rStyle w:val="aff4"/>
          <w:rFonts w:ascii="David" w:eastAsiaTheme="minorEastAsia" w:hAnsi="David" w:cs="David" w:hint="cs"/>
          <w:noProof w:val="0"/>
          <w:sz w:val="16"/>
          <w:szCs w:val="16"/>
          <w:rtl/>
        </w:rPr>
        <w:instrText xml:space="preserve"> _</w:instrText>
      </w:r>
      <w:r w:rsidRPr="00FE4693">
        <w:rPr>
          <w:rStyle w:val="aff4"/>
          <w:rFonts w:ascii="David" w:eastAsiaTheme="minorEastAsia" w:hAnsi="David" w:cs="David" w:hint="cs"/>
          <w:noProof w:val="0"/>
          <w:sz w:val="16"/>
          <w:szCs w:val="16"/>
        </w:rPr>
        <w:instrText>Ref143423627 \r \h</w:instrText>
      </w:r>
      <w:r w:rsidRPr="00FE4693">
        <w:rPr>
          <w:rStyle w:val="aff4"/>
          <w:rFonts w:ascii="David" w:eastAsiaTheme="minorEastAsia" w:hAnsi="David" w:cs="David"/>
          <w:noProof w:val="0"/>
          <w:sz w:val="16"/>
          <w:szCs w:val="16"/>
          <w:rtl/>
        </w:rPr>
        <w:instrText xml:space="preserve">  \* </w:instrText>
      </w:r>
      <w:r w:rsidRPr="00FE4693">
        <w:rPr>
          <w:rStyle w:val="aff4"/>
          <w:rFonts w:ascii="David" w:eastAsiaTheme="minorEastAsia" w:hAnsi="David" w:cs="David"/>
          <w:noProof w:val="0"/>
          <w:sz w:val="16"/>
          <w:szCs w:val="16"/>
        </w:rPr>
        <w:instrText>MERGEFORMAT</w:instrText>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tl/>
        </w:rPr>
      </w:r>
      <w:r w:rsidRPr="00FE4693">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לב)</w:t>
      </w:r>
      <w:r w:rsidRPr="00FE4693">
        <w:rPr>
          <w:rStyle w:val="aff4"/>
          <w:rFonts w:ascii="David" w:eastAsiaTheme="minorEastAsia" w:hAnsi="David" w:cs="David"/>
          <w:noProof w:val="0"/>
          <w:sz w:val="16"/>
          <w:szCs w:val="16"/>
          <w:rtl/>
        </w:rPr>
        <w:fldChar w:fldCharType="end"/>
      </w:r>
      <w:r w:rsidRPr="00FE4693">
        <w:rPr>
          <w:rStyle w:val="aff4"/>
          <w:rFonts w:ascii="David" w:eastAsiaTheme="minorEastAsia" w:hAnsi="David" w:cs="David" w:hint="cs"/>
          <w:noProof w:val="0"/>
          <w:sz w:val="16"/>
          <w:szCs w:val="16"/>
          <w:rtl/>
        </w:rPr>
        <w:t xml:space="preserve"> </w:t>
      </w:r>
      <w:r w:rsidRPr="003A14B9">
        <w:rPr>
          <w:rStyle w:val="aff4"/>
          <w:rFonts w:ascii="David" w:eastAsiaTheme="minorEastAsia" w:hAnsi="David" w:cs="David" w:hint="cs"/>
          <w:b w:val="0"/>
          <w:bCs w:val="0"/>
          <w:noProof w:val="0"/>
          <w:sz w:val="16"/>
          <w:szCs w:val="16"/>
          <w:rtl/>
        </w:rPr>
        <w:t>פנ"י לעיל</w:t>
      </w:r>
      <w:r w:rsidRPr="003A14B9">
        <w:rPr>
          <w:rFonts w:hint="cs"/>
          <w:rtl/>
        </w:rPr>
        <w:t xml:space="preserve"> </w:t>
      </w:r>
      <w:r w:rsidRPr="00FE4693">
        <w:rPr>
          <w:rStyle w:val="afffffffff3"/>
          <w:rFonts w:hint="cs"/>
          <w:rtl/>
        </w:rPr>
        <w:t>(עד: על תוד"ה חביתא)</w:t>
      </w:r>
      <w:r>
        <w:rPr>
          <w:rtl/>
        </w:rPr>
        <w:t>,</w:t>
      </w:r>
      <w:r w:rsidRPr="00FE4693">
        <w:rPr>
          <w:rStyle w:val="aff4"/>
          <w:rFonts w:ascii="David" w:eastAsiaTheme="minorEastAsia" w:hAnsi="David" w:cs="David" w:hint="cs"/>
          <w:noProof w:val="0"/>
          <w:sz w:val="16"/>
          <w:szCs w:val="16"/>
          <w:rtl/>
        </w:rPr>
        <w:t xml:space="preserve"> </w:t>
      </w:r>
      <w:r w:rsidRPr="00FE4693">
        <w:rPr>
          <w:rStyle w:val="aff4"/>
          <w:rFonts w:ascii="David" w:eastAsiaTheme="minorEastAsia" w:hAnsi="David" w:cs="David"/>
          <w:noProof w:val="0"/>
          <w:sz w:val="16"/>
          <w:szCs w:val="16"/>
          <w:rtl/>
        </w:rPr>
        <w:fldChar w:fldCharType="begin"/>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hint="cs"/>
          <w:noProof w:val="0"/>
          <w:sz w:val="16"/>
          <w:szCs w:val="16"/>
        </w:rPr>
        <w:instrText>REF</w:instrText>
      </w:r>
      <w:r w:rsidRPr="00FE4693">
        <w:rPr>
          <w:rStyle w:val="aff4"/>
          <w:rFonts w:ascii="David" w:eastAsiaTheme="minorEastAsia" w:hAnsi="David" w:cs="David" w:hint="cs"/>
          <w:noProof w:val="0"/>
          <w:sz w:val="16"/>
          <w:szCs w:val="16"/>
          <w:rtl/>
        </w:rPr>
        <w:instrText xml:space="preserve"> _</w:instrText>
      </w:r>
      <w:r w:rsidRPr="00FE4693">
        <w:rPr>
          <w:rStyle w:val="aff4"/>
          <w:rFonts w:ascii="David" w:eastAsiaTheme="minorEastAsia" w:hAnsi="David" w:cs="David" w:hint="cs"/>
          <w:noProof w:val="0"/>
          <w:sz w:val="16"/>
          <w:szCs w:val="16"/>
        </w:rPr>
        <w:instrText>Ref143422260 \r \h</w:instrText>
      </w:r>
      <w:r w:rsidRPr="00FE4693">
        <w:rPr>
          <w:rStyle w:val="aff4"/>
          <w:rFonts w:ascii="David" w:eastAsiaTheme="minorEastAsia" w:hAnsi="David" w:cs="David"/>
          <w:noProof w:val="0"/>
          <w:sz w:val="16"/>
          <w:szCs w:val="16"/>
          <w:rtl/>
        </w:rPr>
        <w:instrText xml:space="preserve">  \* </w:instrText>
      </w:r>
      <w:r w:rsidRPr="00FE4693">
        <w:rPr>
          <w:rStyle w:val="aff4"/>
          <w:rFonts w:ascii="David" w:eastAsiaTheme="minorEastAsia" w:hAnsi="David" w:cs="David"/>
          <w:noProof w:val="0"/>
          <w:sz w:val="16"/>
          <w:szCs w:val="16"/>
        </w:rPr>
        <w:instrText>MERGEFORMAT</w:instrText>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tl/>
        </w:rPr>
      </w:r>
      <w:r w:rsidRPr="00FE4693">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לג)</w:t>
      </w:r>
      <w:r w:rsidRPr="00FE4693">
        <w:rPr>
          <w:rStyle w:val="aff4"/>
          <w:rFonts w:ascii="David" w:eastAsiaTheme="minorEastAsia" w:hAnsi="David" w:cs="David"/>
          <w:noProof w:val="0"/>
          <w:sz w:val="16"/>
          <w:szCs w:val="16"/>
          <w:rtl/>
        </w:rPr>
        <w:fldChar w:fldCharType="end"/>
      </w:r>
      <w:r w:rsidRPr="00FE4693">
        <w:rPr>
          <w:rStyle w:val="aff4"/>
          <w:rFonts w:ascii="David" w:eastAsiaTheme="minorEastAsia" w:hAnsi="David" w:cs="David" w:hint="cs"/>
          <w:noProof w:val="0"/>
          <w:sz w:val="16"/>
          <w:szCs w:val="16"/>
          <w:rtl/>
        </w:rPr>
        <w:t xml:space="preserve"> </w:t>
      </w:r>
      <w:r w:rsidRPr="003A14B9">
        <w:rPr>
          <w:rStyle w:val="aff4"/>
          <w:rFonts w:ascii="David" w:eastAsiaTheme="minorEastAsia" w:hAnsi="David" w:cs="David" w:hint="cs"/>
          <w:b w:val="0"/>
          <w:bCs w:val="0"/>
          <w:noProof w:val="0"/>
          <w:sz w:val="16"/>
          <w:szCs w:val="16"/>
          <w:rtl/>
        </w:rPr>
        <w:t>חי' רבי אלעזר משה לעיל</w:t>
      </w:r>
      <w:r w:rsidRPr="003A14B9">
        <w:rPr>
          <w:rFonts w:hint="cs"/>
          <w:rtl/>
        </w:rPr>
        <w:t xml:space="preserve"> </w:t>
      </w:r>
      <w:r w:rsidRPr="00FE4693">
        <w:rPr>
          <w:rStyle w:val="afffffffff3"/>
          <w:rFonts w:hint="cs"/>
          <w:rtl/>
        </w:rPr>
        <w:t>(עד: על תוד"ה חביתא)</w:t>
      </w:r>
      <w:r>
        <w:rPr>
          <w:rtl/>
        </w:rPr>
        <w:t xml:space="preserve"> </w:t>
      </w:r>
      <w:r w:rsidRPr="003A14B9">
        <w:rPr>
          <w:rStyle w:val="aff4"/>
          <w:rFonts w:ascii="David" w:eastAsiaTheme="minorEastAsia" w:hAnsi="David" w:cs="David" w:hint="cs"/>
          <w:b w:val="0"/>
          <w:bCs w:val="0"/>
          <w:noProof w:val="0"/>
          <w:sz w:val="16"/>
          <w:szCs w:val="16"/>
          <w:rtl/>
        </w:rPr>
        <w:t>אבן האזל</w:t>
      </w:r>
      <w:r w:rsidRPr="003A14B9">
        <w:rPr>
          <w:rFonts w:hint="cs"/>
          <w:rtl/>
        </w:rPr>
        <w:t xml:space="preserve"> </w:t>
      </w:r>
      <w:r w:rsidRPr="00FE4693">
        <w:rPr>
          <w:rStyle w:val="afffffffff3"/>
          <w:rFonts w:hint="cs"/>
          <w:rtl/>
        </w:rPr>
        <w:t xml:space="preserve">(עי' אות </w:t>
      </w:r>
      <w:r w:rsidRPr="00FE4693">
        <w:rPr>
          <w:rStyle w:val="afffffffff3"/>
          <w:rtl/>
        </w:rPr>
        <w:fldChar w:fldCharType="begin"/>
      </w:r>
      <w:r w:rsidRPr="00FE4693">
        <w:rPr>
          <w:rStyle w:val="afffffffff3"/>
          <w:rtl/>
        </w:rPr>
        <w:instrText xml:space="preserve"> </w:instrText>
      </w:r>
      <w:r w:rsidRPr="00FE4693">
        <w:rPr>
          <w:rStyle w:val="afffffffff3"/>
          <w:rFonts w:hint="cs"/>
        </w:rPr>
        <w:instrText>REF</w:instrText>
      </w:r>
      <w:r w:rsidRPr="00FE4693">
        <w:rPr>
          <w:rStyle w:val="afffffffff3"/>
          <w:rFonts w:hint="cs"/>
          <w:rtl/>
        </w:rPr>
        <w:instrText xml:space="preserve"> _</w:instrText>
      </w:r>
      <w:r w:rsidRPr="00FE4693">
        <w:rPr>
          <w:rStyle w:val="afffffffff3"/>
          <w:rFonts w:hint="cs"/>
        </w:rPr>
        <w:instrText>Ref143421532 \r \h</w:instrText>
      </w:r>
      <w:r w:rsidRPr="00FE4693">
        <w:rPr>
          <w:rStyle w:val="afffffffff3"/>
          <w:rtl/>
        </w:rPr>
        <w:instrText xml:space="preserve">  \* </w:instrText>
      </w:r>
      <w:r w:rsidRPr="00FE4693">
        <w:rPr>
          <w:rStyle w:val="afffffffff3"/>
        </w:rPr>
        <w:instrText>MERGEFORMAT</w:instrText>
      </w:r>
      <w:r w:rsidRPr="00FE4693">
        <w:rPr>
          <w:rStyle w:val="afffffffff3"/>
          <w:rtl/>
        </w:rPr>
        <w:instrText xml:space="preserve"> </w:instrText>
      </w:r>
      <w:r w:rsidRPr="00FE4693">
        <w:rPr>
          <w:rStyle w:val="afffffffff3"/>
          <w:rtl/>
        </w:rPr>
      </w:r>
      <w:r w:rsidRPr="00FE4693">
        <w:rPr>
          <w:rStyle w:val="afffffffff3"/>
          <w:rtl/>
        </w:rPr>
        <w:fldChar w:fldCharType="separate"/>
      </w:r>
      <w:r w:rsidR="00D82181">
        <w:rPr>
          <w:rStyle w:val="afffffffff3"/>
          <w:cs/>
        </w:rPr>
        <w:t>‎</w:t>
      </w:r>
      <w:r w:rsidR="00D82181">
        <w:rPr>
          <w:rStyle w:val="afffffffff3"/>
          <w:rtl/>
        </w:rPr>
        <w:t>עו)</w:t>
      </w:r>
      <w:r w:rsidRPr="00FE4693">
        <w:rPr>
          <w:rStyle w:val="afffffffff3"/>
          <w:rtl/>
        </w:rPr>
        <w:fldChar w:fldCharType="end"/>
      </w:r>
      <w:r>
        <w:rPr>
          <w:rtl/>
        </w:rPr>
        <w:t>,</w:t>
      </w:r>
      <w:r w:rsidRPr="00FE4693">
        <w:rPr>
          <w:rStyle w:val="aff4"/>
          <w:rFonts w:ascii="David" w:eastAsiaTheme="minorEastAsia" w:hAnsi="David" w:cs="David" w:hint="cs"/>
          <w:noProof w:val="0"/>
          <w:sz w:val="16"/>
          <w:szCs w:val="16"/>
          <w:rtl/>
        </w:rPr>
        <w:t xml:space="preserve"> </w:t>
      </w:r>
      <w:r w:rsidRPr="00FE4693">
        <w:rPr>
          <w:rStyle w:val="aff4"/>
          <w:rFonts w:ascii="David" w:eastAsiaTheme="minorEastAsia" w:hAnsi="David" w:cs="David"/>
          <w:noProof w:val="0"/>
          <w:sz w:val="16"/>
          <w:szCs w:val="16"/>
          <w:rtl/>
        </w:rPr>
        <w:fldChar w:fldCharType="begin"/>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hint="cs"/>
          <w:noProof w:val="0"/>
          <w:sz w:val="16"/>
          <w:szCs w:val="16"/>
        </w:rPr>
        <w:instrText>REF</w:instrText>
      </w:r>
      <w:r w:rsidRPr="00FE4693">
        <w:rPr>
          <w:rStyle w:val="aff4"/>
          <w:rFonts w:ascii="David" w:eastAsiaTheme="minorEastAsia" w:hAnsi="David" w:cs="David" w:hint="cs"/>
          <w:noProof w:val="0"/>
          <w:sz w:val="16"/>
          <w:szCs w:val="16"/>
          <w:rtl/>
        </w:rPr>
        <w:instrText xml:space="preserve"> _</w:instrText>
      </w:r>
      <w:r w:rsidRPr="00FE4693">
        <w:rPr>
          <w:rStyle w:val="aff4"/>
          <w:rFonts w:ascii="David" w:eastAsiaTheme="minorEastAsia" w:hAnsi="David" w:cs="David" w:hint="cs"/>
          <w:noProof w:val="0"/>
          <w:sz w:val="16"/>
          <w:szCs w:val="16"/>
        </w:rPr>
        <w:instrText>Ref143422613 \r \h</w:instrText>
      </w:r>
      <w:r w:rsidRPr="00FE4693">
        <w:rPr>
          <w:rStyle w:val="aff4"/>
          <w:rFonts w:ascii="David" w:eastAsiaTheme="minorEastAsia" w:hAnsi="David" w:cs="David"/>
          <w:noProof w:val="0"/>
          <w:sz w:val="16"/>
          <w:szCs w:val="16"/>
          <w:rtl/>
        </w:rPr>
        <w:instrText xml:space="preserve">  \* </w:instrText>
      </w:r>
      <w:r w:rsidRPr="00FE4693">
        <w:rPr>
          <w:rStyle w:val="aff4"/>
          <w:rFonts w:ascii="David" w:eastAsiaTheme="minorEastAsia" w:hAnsi="David" w:cs="David"/>
          <w:noProof w:val="0"/>
          <w:sz w:val="16"/>
          <w:szCs w:val="16"/>
        </w:rPr>
        <w:instrText>MERGEFORMAT</w:instrText>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tl/>
        </w:rPr>
      </w:r>
      <w:r w:rsidRPr="00FE4693">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לד)</w:t>
      </w:r>
      <w:r w:rsidRPr="00FE4693">
        <w:rPr>
          <w:rStyle w:val="aff4"/>
          <w:rFonts w:ascii="David" w:eastAsiaTheme="minorEastAsia" w:hAnsi="David" w:cs="David"/>
          <w:noProof w:val="0"/>
          <w:sz w:val="16"/>
          <w:szCs w:val="16"/>
          <w:rtl/>
        </w:rPr>
        <w:fldChar w:fldCharType="end"/>
      </w:r>
      <w:r w:rsidRPr="00FE4693">
        <w:rPr>
          <w:rStyle w:val="aff4"/>
          <w:rFonts w:ascii="David" w:eastAsiaTheme="minorEastAsia" w:hAnsi="David" w:cs="David" w:hint="cs"/>
          <w:noProof w:val="0"/>
          <w:sz w:val="16"/>
          <w:szCs w:val="16"/>
          <w:rtl/>
        </w:rPr>
        <w:t xml:space="preserve"> </w:t>
      </w:r>
      <w:r w:rsidRPr="003A14B9">
        <w:rPr>
          <w:rStyle w:val="aff4"/>
          <w:rFonts w:ascii="David" w:eastAsiaTheme="minorEastAsia" w:hAnsi="David" w:cs="David" w:hint="cs"/>
          <w:b w:val="0"/>
          <w:bCs w:val="0"/>
          <w:noProof w:val="0"/>
          <w:sz w:val="16"/>
          <w:szCs w:val="16"/>
          <w:rtl/>
        </w:rPr>
        <w:t>שפת אמת לעיל</w:t>
      </w:r>
      <w:r w:rsidRPr="003A14B9">
        <w:rPr>
          <w:rFonts w:hint="cs"/>
          <w:rtl/>
        </w:rPr>
        <w:t xml:space="preserve"> </w:t>
      </w:r>
      <w:r w:rsidRPr="00FE4693">
        <w:rPr>
          <w:rStyle w:val="afffffffff3"/>
          <w:rFonts w:hint="cs"/>
          <w:rtl/>
        </w:rPr>
        <w:t>(עד: על תוד"ה חביתא)</w:t>
      </w:r>
      <w:r>
        <w:rPr>
          <w:rtl/>
        </w:rPr>
        <w:t xml:space="preserve"> </w:t>
      </w:r>
    </w:p>
    <w:p w14:paraId="14A22410" w14:textId="77777777" w:rsidR="00376F67" w:rsidRDefault="00376F67" w:rsidP="00376F67">
      <w:pPr>
        <w:pStyle w:val="TOC2"/>
        <w:rPr>
          <w:rFonts w:cstheme="minorBidi"/>
          <w:b w:val="0"/>
          <w:bCs w:val="0"/>
          <w:sz w:val="22"/>
          <w:szCs w:val="22"/>
          <w:rtl/>
        </w:rPr>
      </w:pPr>
      <w:hyperlink w:anchor="_Toc143770611" w:history="1">
        <w:r w:rsidRPr="009F263C">
          <w:rPr>
            <w:rStyle w:val="Hyperlink"/>
            <w:rtl/>
          </w:rPr>
          <w:t>בי' הפנ"י ברש"י ותוס' דעושה כלי מחדש וא"צ מלאכה הוי בונה</w:t>
        </w:r>
      </w:hyperlink>
    </w:p>
    <w:p w14:paraId="2B4E4784" w14:textId="77777777" w:rsidR="00376F67" w:rsidRDefault="00376F67" w:rsidP="00ED704E">
      <w:pPr>
        <w:pStyle w:val="TOC3"/>
        <w:rPr>
          <w:rFonts w:asciiTheme="minorHAnsi" w:eastAsiaTheme="minorEastAsia" w:hAnsiTheme="minorHAnsi" w:cstheme="minorBidi"/>
          <w:sz w:val="22"/>
          <w:szCs w:val="22"/>
          <w:rtl/>
        </w:rPr>
      </w:pPr>
      <w:hyperlink w:anchor="_Toc143770612" w:history="1">
        <w:r w:rsidRPr="009F263C">
          <w:rPr>
            <w:rStyle w:val="Hyperlink"/>
            <w:rtl/>
          </w:rPr>
          <w:t>בי' רש"י דבחביתא אין בונה דאין בנין בכלים ובי' תוס' והראשונים דעושה כלי מחדשה הוי בונה</w:t>
        </w:r>
      </w:hyperlink>
    </w:p>
    <w:p w14:paraId="751A544A" w14:textId="77777777" w:rsidR="00376F67" w:rsidRDefault="00376F67" w:rsidP="00ED704E">
      <w:pPr>
        <w:pStyle w:val="TOC3"/>
        <w:rPr>
          <w:rFonts w:asciiTheme="minorHAnsi" w:eastAsiaTheme="minorEastAsia" w:hAnsiTheme="minorHAnsi" w:cstheme="minorBidi"/>
          <w:sz w:val="22"/>
          <w:szCs w:val="22"/>
          <w:rtl/>
        </w:rPr>
      </w:pPr>
      <w:hyperlink w:anchor="_Toc143770613" w:history="1">
        <w:r w:rsidRPr="009F263C">
          <w:rPr>
            <w:rStyle w:val="Hyperlink"/>
            <w:rtl/>
          </w:rPr>
          <w:t>קו' התוס' דאמאי הנופח כלי זכוכית ל"ה בונה ובי' הנצי"ב דהירושלמי פליג וס"ל דהוי בונה</w:t>
        </w:r>
      </w:hyperlink>
    </w:p>
    <w:p w14:paraId="0E2083B6" w14:textId="77777777" w:rsidR="00376F67" w:rsidRDefault="00376F67" w:rsidP="00ED704E">
      <w:pPr>
        <w:pStyle w:val="TOC3"/>
        <w:rPr>
          <w:rFonts w:asciiTheme="minorHAnsi" w:eastAsiaTheme="minorEastAsia" w:hAnsiTheme="minorHAnsi" w:cstheme="minorBidi"/>
          <w:sz w:val="22"/>
          <w:szCs w:val="22"/>
          <w:rtl/>
        </w:rPr>
      </w:pPr>
      <w:hyperlink w:anchor="_Toc143770614" w:history="1">
        <w:r w:rsidRPr="009F263C">
          <w:rPr>
            <w:rStyle w:val="Hyperlink"/>
            <w:rtl/>
          </w:rPr>
          <w:t>בי' הפנ"י דאף רש"י מודה דעושה כלי מחדש הוי בונה אך היינו דוקא כשנגמרה המלאכה בזה</w:t>
        </w:r>
      </w:hyperlink>
    </w:p>
    <w:p w14:paraId="10699518" w14:textId="77777777" w:rsidR="00376F67" w:rsidRDefault="00376F67" w:rsidP="00376F67">
      <w:pPr>
        <w:pStyle w:val="TOC2"/>
        <w:rPr>
          <w:rFonts w:cstheme="minorBidi"/>
          <w:b w:val="0"/>
          <w:bCs w:val="0"/>
          <w:sz w:val="22"/>
          <w:szCs w:val="22"/>
          <w:rtl/>
        </w:rPr>
      </w:pPr>
      <w:hyperlink w:anchor="_Toc143770615" w:history="1">
        <w:r w:rsidRPr="009F263C">
          <w:rPr>
            <w:rStyle w:val="Hyperlink"/>
            <w:rtl/>
          </w:rPr>
          <w:t>בי' האחרונים דעשיית כלי מחדש חייב רק באופן דקיבוץ חלקים</w:t>
        </w:r>
      </w:hyperlink>
    </w:p>
    <w:p w14:paraId="3D896122" w14:textId="77777777" w:rsidR="00376F67" w:rsidRDefault="00376F67" w:rsidP="00ED704E">
      <w:pPr>
        <w:pStyle w:val="TOC3"/>
        <w:rPr>
          <w:rFonts w:asciiTheme="minorHAnsi" w:eastAsiaTheme="minorEastAsia" w:hAnsiTheme="minorHAnsi" w:cstheme="minorBidi"/>
          <w:sz w:val="22"/>
          <w:szCs w:val="22"/>
          <w:rtl/>
        </w:rPr>
      </w:pPr>
      <w:hyperlink w:anchor="_Toc143770616" w:history="1">
        <w:r w:rsidRPr="009F263C">
          <w:rPr>
            <w:rStyle w:val="Hyperlink"/>
            <w:rtl/>
          </w:rPr>
          <w:t>בי' הראמ"ה דנופח כלי זכוכית דעושה חלל הוי בונה רק במחובר וקיבוץ חלקים בונה אף בכלים</w:t>
        </w:r>
      </w:hyperlink>
    </w:p>
    <w:p w14:paraId="5A601DA8" w14:textId="77777777" w:rsidR="00376F67" w:rsidRDefault="00376F67" w:rsidP="00ED704E">
      <w:pPr>
        <w:pStyle w:val="TOC3"/>
        <w:rPr>
          <w:rFonts w:asciiTheme="minorHAnsi" w:eastAsiaTheme="minorEastAsia" w:hAnsiTheme="minorHAnsi" w:cstheme="minorBidi"/>
          <w:sz w:val="22"/>
          <w:szCs w:val="22"/>
          <w:rtl/>
        </w:rPr>
      </w:pPr>
      <w:hyperlink w:anchor="_Toc143770617" w:history="1">
        <w:r w:rsidRPr="009F263C">
          <w:rPr>
            <w:rStyle w:val="Hyperlink"/>
            <w:rtl/>
          </w:rPr>
          <w:t>בי' השפ"א דבונה רק בקיבוץ חלקים כקרשי המשכן ולא בחלל ככלי זכוכית אך ק' מלול ומסתת</w:t>
        </w:r>
      </w:hyperlink>
    </w:p>
    <w:p w14:paraId="345E9ABC" w14:textId="77777777" w:rsidR="00376F67" w:rsidRDefault="00376F67" w:rsidP="00376F67">
      <w:pPr>
        <w:pStyle w:val="TOC1"/>
        <w:rPr>
          <w:rFonts w:asciiTheme="minorHAnsi" w:hAnsiTheme="minorHAnsi" w:cstheme="minorBidi"/>
          <w:b w:val="0"/>
          <w:bCs w:val="0"/>
          <w:caps w:val="0"/>
          <w:sz w:val="22"/>
          <w:szCs w:val="22"/>
          <w:rtl/>
        </w:rPr>
      </w:pPr>
      <w:hyperlink w:anchor="_Toc143770618" w:history="1">
        <w:r w:rsidRPr="009F263C">
          <w:rPr>
            <w:rStyle w:val="Hyperlink"/>
            <w:rtl/>
          </w:rPr>
          <w:t>~~~~~~~~~~~~~~~~~~~~~~~~~~~~</w:t>
        </w:r>
      </w:hyperlink>
    </w:p>
    <w:p w14:paraId="2C62FCEF" w14:textId="77777777" w:rsidR="00376F67" w:rsidRDefault="00376F67" w:rsidP="00376F67">
      <w:pPr>
        <w:pStyle w:val="TOC1"/>
        <w:rPr>
          <w:rFonts w:asciiTheme="minorHAnsi" w:hAnsiTheme="minorHAnsi" w:cstheme="minorBidi"/>
          <w:b w:val="0"/>
          <w:bCs w:val="0"/>
          <w:caps w:val="0"/>
          <w:sz w:val="22"/>
          <w:szCs w:val="22"/>
          <w:rtl/>
        </w:rPr>
      </w:pPr>
      <w:hyperlink w:anchor="_Toc143770619" w:history="1">
        <w:r w:rsidRPr="009F263C">
          <w:rPr>
            <w:rStyle w:val="Hyperlink"/>
            <w:rtl/>
          </w:rPr>
          <w:t>בבונה דיצירת דבר חדש אף בכלי וארעי</w:t>
        </w:r>
      </w:hyperlink>
    </w:p>
    <w:p w14:paraId="6C8E201C" w14:textId="40F9E1FD" w:rsidR="00376F67" w:rsidRPr="00FE4693" w:rsidRDefault="00376F67" w:rsidP="00376F67">
      <w:pPr>
        <w:pStyle w:val="afffffffff0"/>
        <w:rPr>
          <w:b/>
          <w:bCs/>
          <w:rtl/>
        </w:rPr>
      </w:pPr>
      <w:r w:rsidRPr="00765F15">
        <w:rPr>
          <w:rStyle w:val="aff4"/>
          <w:rFonts w:ascii="David" w:eastAsiaTheme="minorEastAsia" w:hAnsi="David" w:cs="David"/>
          <w:noProof w:val="0"/>
          <w:sz w:val="16"/>
          <w:szCs w:val="16"/>
          <w:rtl/>
        </w:rPr>
        <w:fldChar w:fldCharType="begin"/>
      </w:r>
      <w:r w:rsidRPr="00765F15">
        <w:rPr>
          <w:rStyle w:val="aff4"/>
          <w:rFonts w:ascii="David" w:eastAsiaTheme="minorEastAsia" w:hAnsi="David" w:cs="David"/>
          <w:noProof w:val="0"/>
          <w:sz w:val="16"/>
          <w:szCs w:val="16"/>
          <w:rtl/>
        </w:rPr>
        <w:instrText xml:space="preserve"> </w:instrText>
      </w:r>
      <w:r w:rsidRPr="00765F15">
        <w:rPr>
          <w:rStyle w:val="aff4"/>
          <w:rFonts w:ascii="David" w:eastAsiaTheme="minorEastAsia" w:hAnsi="David" w:cs="David" w:hint="cs"/>
          <w:noProof w:val="0"/>
          <w:sz w:val="16"/>
          <w:szCs w:val="16"/>
        </w:rPr>
        <w:instrText>REF</w:instrText>
      </w:r>
      <w:r w:rsidRPr="00765F15">
        <w:rPr>
          <w:rStyle w:val="aff4"/>
          <w:rFonts w:ascii="David" w:eastAsiaTheme="minorEastAsia" w:hAnsi="David" w:cs="David" w:hint="cs"/>
          <w:noProof w:val="0"/>
          <w:sz w:val="16"/>
          <w:szCs w:val="16"/>
          <w:rtl/>
        </w:rPr>
        <w:instrText xml:space="preserve"> _</w:instrText>
      </w:r>
      <w:r w:rsidRPr="00765F15">
        <w:rPr>
          <w:rStyle w:val="aff4"/>
          <w:rFonts w:ascii="David" w:eastAsiaTheme="minorEastAsia" w:hAnsi="David" w:cs="David" w:hint="cs"/>
          <w:noProof w:val="0"/>
          <w:sz w:val="16"/>
          <w:szCs w:val="16"/>
        </w:rPr>
        <w:instrText>Ref143613574 \r \h</w:instrText>
      </w:r>
      <w:r w:rsidRPr="00765F15">
        <w:rPr>
          <w:rStyle w:val="aff4"/>
          <w:rFonts w:ascii="David" w:eastAsiaTheme="minorEastAsia" w:hAnsi="David" w:cs="David"/>
          <w:noProof w:val="0"/>
          <w:sz w:val="16"/>
          <w:szCs w:val="16"/>
          <w:rtl/>
        </w:rPr>
        <w:instrText xml:space="preserve">  \* </w:instrText>
      </w:r>
      <w:r w:rsidRPr="00765F15">
        <w:rPr>
          <w:rStyle w:val="aff4"/>
          <w:rFonts w:ascii="David" w:eastAsiaTheme="minorEastAsia" w:hAnsi="David" w:cs="David"/>
          <w:noProof w:val="0"/>
          <w:sz w:val="16"/>
          <w:szCs w:val="16"/>
        </w:rPr>
        <w:instrText>MERGEFORMAT</w:instrText>
      </w:r>
      <w:r w:rsidRPr="00765F15">
        <w:rPr>
          <w:rStyle w:val="aff4"/>
          <w:rFonts w:ascii="David" w:eastAsiaTheme="minorEastAsia" w:hAnsi="David" w:cs="David"/>
          <w:noProof w:val="0"/>
          <w:sz w:val="16"/>
          <w:szCs w:val="16"/>
          <w:rtl/>
        </w:rPr>
        <w:instrText xml:space="preserve"> </w:instrText>
      </w:r>
      <w:r w:rsidRPr="00765F15">
        <w:rPr>
          <w:rStyle w:val="aff4"/>
          <w:rFonts w:ascii="David" w:eastAsiaTheme="minorEastAsia" w:hAnsi="David" w:cs="David"/>
          <w:noProof w:val="0"/>
          <w:sz w:val="16"/>
          <w:szCs w:val="16"/>
          <w:rtl/>
        </w:rPr>
      </w:r>
      <w:r w:rsidRPr="00765F15">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לה)</w:t>
      </w:r>
      <w:r w:rsidRPr="00765F15">
        <w:rPr>
          <w:rStyle w:val="aff4"/>
          <w:rFonts w:ascii="David" w:eastAsiaTheme="minorEastAsia" w:hAnsi="David" w:cs="David"/>
          <w:noProof w:val="0"/>
          <w:sz w:val="16"/>
          <w:szCs w:val="16"/>
          <w:rtl/>
        </w:rPr>
        <w:fldChar w:fldCharType="end"/>
      </w:r>
      <w:r w:rsidRPr="00765F15">
        <w:rPr>
          <w:rStyle w:val="aff4"/>
          <w:rFonts w:ascii="David" w:eastAsiaTheme="minorEastAsia" w:hAnsi="David" w:cs="David" w:hint="cs"/>
          <w:noProof w:val="0"/>
          <w:sz w:val="16"/>
          <w:szCs w:val="16"/>
          <w:rtl/>
        </w:rPr>
        <w:t xml:space="preserve"> </w:t>
      </w:r>
      <w:r w:rsidRPr="003A14B9">
        <w:rPr>
          <w:rStyle w:val="aff4"/>
          <w:rFonts w:ascii="David" w:eastAsiaTheme="minorEastAsia" w:hAnsi="David" w:cs="David" w:hint="cs"/>
          <w:b w:val="0"/>
          <w:bCs w:val="0"/>
          <w:noProof w:val="0"/>
          <w:sz w:val="16"/>
          <w:szCs w:val="16"/>
          <w:rtl/>
        </w:rPr>
        <w:t>או"ש</w:t>
      </w:r>
      <w:r w:rsidRPr="003A14B9">
        <w:rPr>
          <w:rFonts w:hint="cs"/>
          <w:rtl/>
        </w:rPr>
        <w:t xml:space="preserve"> </w:t>
      </w:r>
      <w:r w:rsidRPr="00FE4693">
        <w:rPr>
          <w:rStyle w:val="afffffffff3"/>
          <w:rFonts w:hint="cs"/>
          <w:rtl/>
        </w:rPr>
        <w:t>(שבת פ"י הי"ב ד"ה עוד קאמר)</w:t>
      </w:r>
      <w:r>
        <w:rPr>
          <w:rtl/>
        </w:rPr>
        <w:t>,</w:t>
      </w:r>
      <w:r w:rsidRPr="00FE4693">
        <w:rPr>
          <w:rStyle w:val="aff4"/>
          <w:rFonts w:ascii="David" w:eastAsiaTheme="minorEastAsia" w:hAnsi="David" w:cs="David" w:hint="cs"/>
          <w:noProof w:val="0"/>
          <w:sz w:val="16"/>
          <w:szCs w:val="16"/>
          <w:rtl/>
        </w:rPr>
        <w:t xml:space="preserve"> </w:t>
      </w:r>
      <w:r w:rsidRPr="00FE4693">
        <w:rPr>
          <w:rStyle w:val="aff4"/>
          <w:rFonts w:ascii="David" w:eastAsiaTheme="minorEastAsia" w:hAnsi="David" w:cs="David"/>
          <w:noProof w:val="0"/>
          <w:sz w:val="16"/>
          <w:szCs w:val="16"/>
          <w:rtl/>
        </w:rPr>
        <w:fldChar w:fldCharType="begin"/>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hint="cs"/>
          <w:noProof w:val="0"/>
          <w:sz w:val="16"/>
          <w:szCs w:val="16"/>
        </w:rPr>
        <w:instrText>REF</w:instrText>
      </w:r>
      <w:r w:rsidRPr="00FE4693">
        <w:rPr>
          <w:rStyle w:val="aff4"/>
          <w:rFonts w:ascii="David" w:eastAsiaTheme="minorEastAsia" w:hAnsi="David" w:cs="David" w:hint="cs"/>
          <w:noProof w:val="0"/>
          <w:sz w:val="16"/>
          <w:szCs w:val="16"/>
          <w:rtl/>
        </w:rPr>
        <w:instrText xml:space="preserve"> _</w:instrText>
      </w:r>
      <w:r w:rsidRPr="00FE4693">
        <w:rPr>
          <w:rStyle w:val="aff4"/>
          <w:rFonts w:ascii="David" w:eastAsiaTheme="minorEastAsia" w:hAnsi="David" w:cs="David" w:hint="cs"/>
          <w:noProof w:val="0"/>
          <w:sz w:val="16"/>
          <w:szCs w:val="16"/>
        </w:rPr>
        <w:instrText>Ref143593506 \r \h</w:instrText>
      </w:r>
      <w:r w:rsidRPr="00FE4693">
        <w:rPr>
          <w:rStyle w:val="aff4"/>
          <w:rFonts w:ascii="David" w:eastAsiaTheme="minorEastAsia" w:hAnsi="David" w:cs="David"/>
          <w:noProof w:val="0"/>
          <w:sz w:val="16"/>
          <w:szCs w:val="16"/>
          <w:rtl/>
        </w:rPr>
        <w:instrText xml:space="preserve">  \* </w:instrText>
      </w:r>
      <w:r w:rsidRPr="00FE4693">
        <w:rPr>
          <w:rStyle w:val="aff4"/>
          <w:rFonts w:ascii="David" w:eastAsiaTheme="minorEastAsia" w:hAnsi="David" w:cs="David"/>
          <w:noProof w:val="0"/>
          <w:sz w:val="16"/>
          <w:szCs w:val="16"/>
        </w:rPr>
        <w:instrText>MERGEFORMAT</w:instrText>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tl/>
        </w:rPr>
      </w:r>
      <w:r w:rsidRPr="00FE4693">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לו)</w:t>
      </w:r>
      <w:r w:rsidRPr="00FE4693">
        <w:rPr>
          <w:rStyle w:val="aff4"/>
          <w:rFonts w:ascii="David" w:eastAsiaTheme="minorEastAsia" w:hAnsi="David" w:cs="David"/>
          <w:noProof w:val="0"/>
          <w:sz w:val="16"/>
          <w:szCs w:val="16"/>
          <w:rtl/>
        </w:rPr>
        <w:fldChar w:fldCharType="end"/>
      </w:r>
      <w:r w:rsidRPr="00FE4693">
        <w:rPr>
          <w:rStyle w:val="aff4"/>
          <w:rFonts w:ascii="David" w:eastAsiaTheme="minorEastAsia" w:hAnsi="David" w:cs="David" w:hint="cs"/>
          <w:noProof w:val="0"/>
          <w:sz w:val="16"/>
          <w:szCs w:val="16"/>
          <w:rtl/>
        </w:rPr>
        <w:t xml:space="preserve"> </w:t>
      </w:r>
      <w:r w:rsidRPr="003A14B9">
        <w:rPr>
          <w:rStyle w:val="aff4"/>
          <w:rFonts w:ascii="David" w:eastAsiaTheme="minorEastAsia" w:hAnsi="David" w:cs="David" w:hint="cs"/>
          <w:b w:val="0"/>
          <w:bCs w:val="0"/>
          <w:noProof w:val="0"/>
          <w:sz w:val="16"/>
          <w:szCs w:val="16"/>
          <w:rtl/>
        </w:rPr>
        <w:t>או"ש</w:t>
      </w:r>
      <w:r w:rsidRPr="003A14B9">
        <w:rPr>
          <w:rFonts w:hint="cs"/>
          <w:rtl/>
        </w:rPr>
        <w:t xml:space="preserve"> </w:t>
      </w:r>
      <w:r w:rsidRPr="00FE4693">
        <w:rPr>
          <w:rStyle w:val="afffffffff3"/>
          <w:rFonts w:hint="cs"/>
          <w:rtl/>
        </w:rPr>
        <w:t xml:space="preserve">(שבת פ"י הי"ב ד"ה </w:t>
      </w:r>
      <w:r w:rsidRPr="00FE4693">
        <w:rPr>
          <w:rStyle w:val="afffffffff3"/>
          <w:rtl/>
        </w:rPr>
        <w:t>וכבר כתבתי</w:t>
      </w:r>
      <w:r w:rsidRPr="00FE4693">
        <w:rPr>
          <w:rStyle w:val="afffffffff3"/>
          <w:rFonts w:hint="cs"/>
          <w:rtl/>
        </w:rPr>
        <w:t>)</w:t>
      </w:r>
      <w:r>
        <w:rPr>
          <w:rtl/>
        </w:rPr>
        <w:t>,</w:t>
      </w:r>
      <w:r w:rsidRPr="00FE4693">
        <w:rPr>
          <w:rStyle w:val="aff4"/>
          <w:rFonts w:ascii="David" w:eastAsiaTheme="minorEastAsia" w:hAnsi="David" w:cs="David" w:hint="cs"/>
          <w:noProof w:val="0"/>
          <w:sz w:val="16"/>
          <w:szCs w:val="16"/>
          <w:rtl/>
        </w:rPr>
        <w:t xml:space="preserve"> </w:t>
      </w:r>
      <w:r w:rsidRPr="00FE4693">
        <w:rPr>
          <w:rStyle w:val="aff4"/>
          <w:rFonts w:ascii="David" w:eastAsiaTheme="minorEastAsia" w:hAnsi="David" w:cs="David"/>
          <w:noProof w:val="0"/>
          <w:sz w:val="16"/>
          <w:szCs w:val="16"/>
          <w:rtl/>
        </w:rPr>
        <w:fldChar w:fldCharType="begin"/>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hint="cs"/>
          <w:noProof w:val="0"/>
          <w:sz w:val="16"/>
          <w:szCs w:val="16"/>
        </w:rPr>
        <w:instrText>REF</w:instrText>
      </w:r>
      <w:r w:rsidRPr="00FE4693">
        <w:rPr>
          <w:rStyle w:val="aff4"/>
          <w:rFonts w:ascii="David" w:eastAsiaTheme="minorEastAsia" w:hAnsi="David" w:cs="David" w:hint="cs"/>
          <w:noProof w:val="0"/>
          <w:sz w:val="16"/>
          <w:szCs w:val="16"/>
          <w:rtl/>
        </w:rPr>
        <w:instrText xml:space="preserve"> _</w:instrText>
      </w:r>
      <w:r w:rsidRPr="00FE4693">
        <w:rPr>
          <w:rStyle w:val="aff4"/>
          <w:rFonts w:ascii="David" w:eastAsiaTheme="minorEastAsia" w:hAnsi="David" w:cs="David" w:hint="cs"/>
          <w:noProof w:val="0"/>
          <w:sz w:val="16"/>
          <w:szCs w:val="16"/>
        </w:rPr>
        <w:instrText>Ref142899397 \r \h</w:instrText>
      </w:r>
      <w:r w:rsidRPr="00FE4693">
        <w:rPr>
          <w:rStyle w:val="aff4"/>
          <w:rFonts w:ascii="David" w:eastAsiaTheme="minorEastAsia" w:hAnsi="David" w:cs="David"/>
          <w:noProof w:val="0"/>
          <w:sz w:val="16"/>
          <w:szCs w:val="16"/>
          <w:rtl/>
        </w:rPr>
        <w:instrText xml:space="preserve">  \* </w:instrText>
      </w:r>
      <w:r w:rsidRPr="00FE4693">
        <w:rPr>
          <w:rStyle w:val="aff4"/>
          <w:rFonts w:ascii="David" w:eastAsiaTheme="minorEastAsia" w:hAnsi="David" w:cs="David"/>
          <w:noProof w:val="0"/>
          <w:sz w:val="16"/>
          <w:szCs w:val="16"/>
        </w:rPr>
        <w:instrText>MERGEFORMAT</w:instrText>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tl/>
        </w:rPr>
      </w:r>
      <w:r w:rsidRPr="00FE4693">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לח)</w:t>
      </w:r>
      <w:r w:rsidRPr="00FE4693">
        <w:rPr>
          <w:rStyle w:val="aff4"/>
          <w:rFonts w:ascii="David" w:eastAsiaTheme="minorEastAsia" w:hAnsi="David" w:cs="David"/>
          <w:noProof w:val="0"/>
          <w:sz w:val="16"/>
          <w:szCs w:val="16"/>
          <w:rtl/>
        </w:rPr>
        <w:fldChar w:fldCharType="end"/>
      </w:r>
      <w:r w:rsidRPr="00FE4693">
        <w:rPr>
          <w:rStyle w:val="aff4"/>
          <w:rFonts w:ascii="David" w:eastAsiaTheme="minorEastAsia" w:hAnsi="David" w:cs="David" w:hint="cs"/>
          <w:noProof w:val="0"/>
          <w:sz w:val="16"/>
          <w:szCs w:val="16"/>
          <w:rtl/>
        </w:rPr>
        <w:t xml:space="preserve"> </w:t>
      </w:r>
      <w:r w:rsidRPr="003A14B9">
        <w:rPr>
          <w:rStyle w:val="aff4"/>
          <w:rFonts w:ascii="David" w:eastAsiaTheme="minorEastAsia" w:hAnsi="David" w:cs="David" w:hint="cs"/>
          <w:b w:val="0"/>
          <w:bCs w:val="0"/>
          <w:noProof w:val="0"/>
          <w:sz w:val="16"/>
          <w:szCs w:val="16"/>
          <w:rtl/>
        </w:rPr>
        <w:t>חזו"א</w:t>
      </w:r>
      <w:r w:rsidRPr="003A14B9">
        <w:rPr>
          <w:rFonts w:hint="cs"/>
          <w:rtl/>
        </w:rPr>
        <w:t xml:space="preserve"> </w:t>
      </w:r>
      <w:r w:rsidRPr="00FE4693">
        <w:rPr>
          <w:rStyle w:val="afffffffff3"/>
          <w:rFonts w:hint="cs"/>
          <w:rtl/>
        </w:rPr>
        <w:t>(או"ח סי' נ' סק"ט ד"ה והנה אמרו)</w:t>
      </w:r>
      <w:r>
        <w:rPr>
          <w:rtl/>
        </w:rPr>
        <w:t>,</w:t>
      </w:r>
      <w:r w:rsidRPr="00FE4693">
        <w:rPr>
          <w:rStyle w:val="aff4"/>
          <w:rFonts w:ascii="David" w:eastAsiaTheme="minorEastAsia" w:hAnsi="David" w:cs="David" w:hint="cs"/>
          <w:noProof w:val="0"/>
          <w:sz w:val="16"/>
          <w:szCs w:val="16"/>
          <w:rtl/>
        </w:rPr>
        <w:t xml:space="preserve"> </w:t>
      </w:r>
      <w:r w:rsidRPr="00FE4693">
        <w:rPr>
          <w:rStyle w:val="aff4"/>
          <w:rFonts w:ascii="David" w:eastAsiaTheme="minorEastAsia" w:hAnsi="David" w:cs="David"/>
          <w:noProof w:val="0"/>
          <w:sz w:val="16"/>
          <w:szCs w:val="16"/>
          <w:rtl/>
        </w:rPr>
        <w:fldChar w:fldCharType="begin"/>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hint="cs"/>
          <w:noProof w:val="0"/>
          <w:sz w:val="16"/>
          <w:szCs w:val="16"/>
        </w:rPr>
        <w:instrText>REF</w:instrText>
      </w:r>
      <w:r w:rsidRPr="00FE4693">
        <w:rPr>
          <w:rStyle w:val="aff4"/>
          <w:rFonts w:ascii="David" w:eastAsiaTheme="minorEastAsia" w:hAnsi="David" w:cs="David" w:hint="cs"/>
          <w:noProof w:val="0"/>
          <w:sz w:val="16"/>
          <w:szCs w:val="16"/>
          <w:rtl/>
        </w:rPr>
        <w:instrText xml:space="preserve"> _</w:instrText>
      </w:r>
      <w:r w:rsidRPr="00FE4693">
        <w:rPr>
          <w:rStyle w:val="aff4"/>
          <w:rFonts w:ascii="David" w:eastAsiaTheme="minorEastAsia" w:hAnsi="David" w:cs="David" w:hint="cs"/>
          <w:noProof w:val="0"/>
          <w:sz w:val="16"/>
          <w:szCs w:val="16"/>
        </w:rPr>
        <w:instrText>Ref143159367 \r \h</w:instrText>
      </w:r>
      <w:r w:rsidRPr="00FE4693">
        <w:rPr>
          <w:rStyle w:val="aff4"/>
          <w:rFonts w:ascii="David" w:eastAsiaTheme="minorEastAsia" w:hAnsi="David" w:cs="David"/>
          <w:noProof w:val="0"/>
          <w:sz w:val="16"/>
          <w:szCs w:val="16"/>
          <w:rtl/>
        </w:rPr>
        <w:instrText xml:space="preserve">  \* </w:instrText>
      </w:r>
      <w:r w:rsidRPr="00FE4693">
        <w:rPr>
          <w:rStyle w:val="aff4"/>
          <w:rFonts w:ascii="David" w:eastAsiaTheme="minorEastAsia" w:hAnsi="David" w:cs="David"/>
          <w:noProof w:val="0"/>
          <w:sz w:val="16"/>
          <w:szCs w:val="16"/>
        </w:rPr>
        <w:instrText>MERGEFORMAT</w:instrText>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tl/>
        </w:rPr>
      </w:r>
      <w:r w:rsidRPr="00FE4693">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לט)</w:t>
      </w:r>
      <w:r w:rsidRPr="00FE4693">
        <w:rPr>
          <w:rStyle w:val="aff4"/>
          <w:rFonts w:ascii="David" w:eastAsiaTheme="minorEastAsia" w:hAnsi="David" w:cs="David"/>
          <w:noProof w:val="0"/>
          <w:sz w:val="16"/>
          <w:szCs w:val="16"/>
          <w:rtl/>
        </w:rPr>
        <w:fldChar w:fldCharType="end"/>
      </w:r>
      <w:r w:rsidRPr="00FE4693">
        <w:rPr>
          <w:rStyle w:val="aff4"/>
          <w:rFonts w:ascii="David" w:eastAsiaTheme="minorEastAsia" w:hAnsi="David" w:cs="David" w:hint="cs"/>
          <w:noProof w:val="0"/>
          <w:sz w:val="16"/>
          <w:szCs w:val="16"/>
          <w:rtl/>
        </w:rPr>
        <w:t xml:space="preserve"> </w:t>
      </w:r>
      <w:r w:rsidRPr="003A14B9">
        <w:rPr>
          <w:rStyle w:val="aff4"/>
          <w:rFonts w:ascii="David" w:eastAsiaTheme="minorEastAsia" w:hAnsi="David" w:cs="David" w:hint="cs"/>
          <w:b w:val="0"/>
          <w:bCs w:val="0"/>
          <w:noProof w:val="0"/>
          <w:sz w:val="16"/>
          <w:szCs w:val="16"/>
          <w:rtl/>
        </w:rPr>
        <w:t>חזו"א</w:t>
      </w:r>
      <w:r w:rsidRPr="003A14B9">
        <w:rPr>
          <w:rFonts w:hint="cs"/>
          <w:rtl/>
        </w:rPr>
        <w:t xml:space="preserve"> </w:t>
      </w:r>
      <w:r w:rsidRPr="00FE4693">
        <w:rPr>
          <w:rStyle w:val="afffffffff3"/>
          <w:rFonts w:hint="cs"/>
          <w:rtl/>
        </w:rPr>
        <w:t>(או"ח סי' נ' סק"ט ד"ה ובפתיחת)</w:t>
      </w:r>
      <w:r>
        <w:rPr>
          <w:rtl/>
        </w:rPr>
        <w:t>,</w:t>
      </w:r>
      <w:r w:rsidRPr="00FE4693">
        <w:rPr>
          <w:rStyle w:val="aff4"/>
          <w:rFonts w:ascii="David" w:eastAsiaTheme="minorEastAsia" w:hAnsi="David" w:cs="David" w:hint="cs"/>
          <w:noProof w:val="0"/>
          <w:sz w:val="16"/>
          <w:szCs w:val="16"/>
          <w:rtl/>
        </w:rPr>
        <w:t xml:space="preserve"> </w:t>
      </w:r>
      <w:r w:rsidRPr="00FE4693">
        <w:rPr>
          <w:rStyle w:val="aff4"/>
          <w:rFonts w:ascii="David" w:eastAsiaTheme="minorEastAsia" w:hAnsi="David" w:cs="David"/>
          <w:noProof w:val="0"/>
          <w:sz w:val="16"/>
          <w:szCs w:val="16"/>
          <w:rtl/>
        </w:rPr>
        <w:fldChar w:fldCharType="begin"/>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hint="cs"/>
          <w:noProof w:val="0"/>
          <w:sz w:val="16"/>
          <w:szCs w:val="16"/>
        </w:rPr>
        <w:instrText>REF</w:instrText>
      </w:r>
      <w:r w:rsidRPr="00FE4693">
        <w:rPr>
          <w:rStyle w:val="aff4"/>
          <w:rFonts w:ascii="David" w:eastAsiaTheme="minorEastAsia" w:hAnsi="David" w:cs="David" w:hint="cs"/>
          <w:noProof w:val="0"/>
          <w:sz w:val="16"/>
          <w:szCs w:val="16"/>
          <w:rtl/>
        </w:rPr>
        <w:instrText xml:space="preserve"> _</w:instrText>
      </w:r>
      <w:r w:rsidRPr="00FE4693">
        <w:rPr>
          <w:rStyle w:val="aff4"/>
          <w:rFonts w:ascii="David" w:eastAsiaTheme="minorEastAsia" w:hAnsi="David" w:cs="David" w:hint="cs"/>
          <w:noProof w:val="0"/>
          <w:sz w:val="16"/>
          <w:szCs w:val="16"/>
        </w:rPr>
        <w:instrText>Ref143595455 \r \h</w:instrText>
      </w:r>
      <w:r w:rsidRPr="00FE4693">
        <w:rPr>
          <w:rStyle w:val="aff4"/>
          <w:rFonts w:ascii="David" w:eastAsiaTheme="minorEastAsia" w:hAnsi="David" w:cs="David"/>
          <w:noProof w:val="0"/>
          <w:sz w:val="16"/>
          <w:szCs w:val="16"/>
          <w:rtl/>
        </w:rPr>
        <w:instrText xml:space="preserve">  \* </w:instrText>
      </w:r>
      <w:r w:rsidRPr="00FE4693">
        <w:rPr>
          <w:rStyle w:val="aff4"/>
          <w:rFonts w:ascii="David" w:eastAsiaTheme="minorEastAsia" w:hAnsi="David" w:cs="David"/>
          <w:noProof w:val="0"/>
          <w:sz w:val="16"/>
          <w:szCs w:val="16"/>
        </w:rPr>
        <w:instrText>MERGEFORMAT</w:instrText>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tl/>
        </w:rPr>
      </w:r>
      <w:r w:rsidRPr="00FE4693">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מא)</w:t>
      </w:r>
      <w:r w:rsidRPr="00FE4693">
        <w:rPr>
          <w:rStyle w:val="aff4"/>
          <w:rFonts w:ascii="David" w:eastAsiaTheme="minorEastAsia" w:hAnsi="David" w:cs="David"/>
          <w:noProof w:val="0"/>
          <w:sz w:val="16"/>
          <w:szCs w:val="16"/>
          <w:rtl/>
        </w:rPr>
        <w:fldChar w:fldCharType="end"/>
      </w:r>
      <w:r w:rsidRPr="00FE4693">
        <w:rPr>
          <w:rStyle w:val="aff4"/>
          <w:rFonts w:ascii="David" w:eastAsiaTheme="minorEastAsia" w:hAnsi="David" w:cs="David" w:hint="cs"/>
          <w:noProof w:val="0"/>
          <w:sz w:val="16"/>
          <w:szCs w:val="16"/>
          <w:rtl/>
        </w:rPr>
        <w:t xml:space="preserve"> </w:t>
      </w:r>
      <w:r w:rsidRPr="003A14B9">
        <w:rPr>
          <w:rStyle w:val="aff4"/>
          <w:rFonts w:ascii="David" w:eastAsiaTheme="minorEastAsia" w:hAnsi="David" w:cs="David" w:hint="cs"/>
          <w:b w:val="0"/>
          <w:bCs w:val="0"/>
          <w:noProof w:val="0"/>
          <w:sz w:val="16"/>
          <w:szCs w:val="16"/>
          <w:rtl/>
        </w:rPr>
        <w:t xml:space="preserve">חזו"א </w:t>
      </w:r>
      <w:r w:rsidRPr="00FE4693">
        <w:rPr>
          <w:rStyle w:val="afffffffff3"/>
          <w:rFonts w:hint="cs"/>
          <w:rtl/>
        </w:rPr>
        <w:t>(או"ח סי' נ' סק"ט ד"ה וכן)</w:t>
      </w:r>
      <w:r>
        <w:rPr>
          <w:rtl/>
        </w:rPr>
        <w:t>,</w:t>
      </w:r>
      <w:r w:rsidRPr="00FE4693">
        <w:rPr>
          <w:rStyle w:val="aff4"/>
          <w:rFonts w:ascii="David" w:eastAsiaTheme="minorEastAsia" w:hAnsi="David" w:cs="David" w:hint="cs"/>
          <w:noProof w:val="0"/>
          <w:sz w:val="16"/>
          <w:szCs w:val="16"/>
          <w:rtl/>
        </w:rPr>
        <w:t xml:space="preserve"> </w:t>
      </w:r>
      <w:r w:rsidRPr="00FE4693">
        <w:rPr>
          <w:rStyle w:val="aff4"/>
          <w:rFonts w:ascii="David" w:eastAsiaTheme="minorEastAsia" w:hAnsi="David" w:cs="David"/>
          <w:noProof w:val="0"/>
          <w:sz w:val="16"/>
          <w:szCs w:val="16"/>
          <w:rtl/>
        </w:rPr>
        <w:fldChar w:fldCharType="begin"/>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hint="cs"/>
          <w:noProof w:val="0"/>
          <w:sz w:val="16"/>
          <w:szCs w:val="16"/>
        </w:rPr>
        <w:instrText>REF</w:instrText>
      </w:r>
      <w:r w:rsidRPr="00FE4693">
        <w:rPr>
          <w:rStyle w:val="aff4"/>
          <w:rFonts w:ascii="David" w:eastAsiaTheme="minorEastAsia" w:hAnsi="David" w:cs="David" w:hint="cs"/>
          <w:noProof w:val="0"/>
          <w:sz w:val="16"/>
          <w:szCs w:val="16"/>
          <w:rtl/>
        </w:rPr>
        <w:instrText xml:space="preserve"> _</w:instrText>
      </w:r>
      <w:r w:rsidRPr="00FE4693">
        <w:rPr>
          <w:rStyle w:val="aff4"/>
          <w:rFonts w:ascii="David" w:eastAsiaTheme="minorEastAsia" w:hAnsi="David" w:cs="David" w:hint="cs"/>
          <w:noProof w:val="0"/>
          <w:sz w:val="16"/>
          <w:szCs w:val="16"/>
        </w:rPr>
        <w:instrText>Ref143159400 \r \h</w:instrText>
      </w:r>
      <w:r w:rsidRPr="00FE4693">
        <w:rPr>
          <w:rStyle w:val="aff4"/>
          <w:rFonts w:ascii="David" w:eastAsiaTheme="minorEastAsia" w:hAnsi="David" w:cs="David"/>
          <w:noProof w:val="0"/>
          <w:sz w:val="16"/>
          <w:szCs w:val="16"/>
          <w:rtl/>
        </w:rPr>
        <w:instrText xml:space="preserve">  \* </w:instrText>
      </w:r>
      <w:r w:rsidRPr="00FE4693">
        <w:rPr>
          <w:rStyle w:val="aff4"/>
          <w:rFonts w:ascii="David" w:eastAsiaTheme="minorEastAsia" w:hAnsi="David" w:cs="David"/>
          <w:noProof w:val="0"/>
          <w:sz w:val="16"/>
          <w:szCs w:val="16"/>
        </w:rPr>
        <w:instrText>MERGEFORMAT</w:instrText>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tl/>
        </w:rPr>
      </w:r>
      <w:r w:rsidRPr="00FE4693">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מב)</w:t>
      </w:r>
      <w:r w:rsidRPr="00FE4693">
        <w:rPr>
          <w:rStyle w:val="aff4"/>
          <w:rFonts w:ascii="David" w:eastAsiaTheme="minorEastAsia" w:hAnsi="David" w:cs="David"/>
          <w:noProof w:val="0"/>
          <w:sz w:val="16"/>
          <w:szCs w:val="16"/>
          <w:rtl/>
        </w:rPr>
        <w:fldChar w:fldCharType="end"/>
      </w:r>
      <w:r w:rsidRPr="00FE4693">
        <w:rPr>
          <w:rStyle w:val="aff4"/>
          <w:rFonts w:ascii="David" w:eastAsiaTheme="minorEastAsia" w:hAnsi="David" w:cs="David" w:hint="cs"/>
          <w:noProof w:val="0"/>
          <w:sz w:val="16"/>
          <w:szCs w:val="16"/>
          <w:rtl/>
        </w:rPr>
        <w:t xml:space="preserve"> </w:t>
      </w:r>
      <w:r w:rsidRPr="003A14B9">
        <w:rPr>
          <w:rStyle w:val="aff4"/>
          <w:rFonts w:ascii="David" w:eastAsiaTheme="minorEastAsia" w:hAnsi="David" w:cs="David" w:hint="cs"/>
          <w:b w:val="0"/>
          <w:bCs w:val="0"/>
          <w:noProof w:val="0"/>
          <w:sz w:val="16"/>
          <w:szCs w:val="16"/>
          <w:rtl/>
        </w:rPr>
        <w:t xml:space="preserve">חזו"א </w:t>
      </w:r>
      <w:r w:rsidRPr="00FE4693">
        <w:rPr>
          <w:rStyle w:val="afffffffff3"/>
          <w:rFonts w:hint="cs"/>
          <w:rtl/>
        </w:rPr>
        <w:t>(או"ח סי' נ' סק"ט ד"ה והא)</w:t>
      </w:r>
      <w:r>
        <w:rPr>
          <w:rtl/>
        </w:rPr>
        <w:t xml:space="preserve"> </w:t>
      </w:r>
      <w:r w:rsidRPr="003A14B9">
        <w:rPr>
          <w:rStyle w:val="aff4"/>
          <w:rFonts w:ascii="David" w:eastAsiaTheme="minorEastAsia" w:hAnsi="David" w:cs="David"/>
          <w:b w:val="0"/>
          <w:bCs w:val="0"/>
          <w:noProof w:val="0"/>
          <w:sz w:val="16"/>
          <w:szCs w:val="16"/>
          <w:rtl/>
        </w:rPr>
        <w:t xml:space="preserve">מג"א </w:t>
      </w:r>
      <w:r w:rsidRPr="00FE4693">
        <w:rPr>
          <w:rStyle w:val="afffffffff3"/>
          <w:rFonts w:hint="cs"/>
          <w:rtl/>
        </w:rPr>
        <w:t>(סי' שי"ג סקי"ב)</w:t>
      </w:r>
      <w:r>
        <w:rPr>
          <w:rFonts w:hint="cs"/>
          <w:rtl/>
        </w:rPr>
        <w:t xml:space="preserve"> </w:t>
      </w:r>
      <w:r w:rsidRPr="00FE4693">
        <w:rPr>
          <w:rStyle w:val="aff4"/>
          <w:rFonts w:ascii="David" w:eastAsiaTheme="minorEastAsia" w:hAnsi="David" w:cs="David" w:hint="cs"/>
          <w:noProof w:val="0"/>
          <w:sz w:val="16"/>
          <w:szCs w:val="16"/>
          <w:rtl/>
        </w:rPr>
        <w:t xml:space="preserve"> </w:t>
      </w:r>
      <w:r w:rsidRPr="003A14B9">
        <w:rPr>
          <w:rStyle w:val="aff4"/>
          <w:rFonts w:ascii="David" w:eastAsiaTheme="minorEastAsia" w:hAnsi="David" w:cs="David"/>
          <w:b w:val="0"/>
          <w:bCs w:val="0"/>
          <w:noProof w:val="0"/>
          <w:sz w:val="16"/>
          <w:szCs w:val="16"/>
          <w:rtl/>
        </w:rPr>
        <w:t>ט"ז</w:t>
      </w:r>
      <w:r w:rsidRPr="003A14B9">
        <w:rPr>
          <w:rtl/>
        </w:rPr>
        <w:t xml:space="preserve"> </w:t>
      </w:r>
      <w:r w:rsidRPr="00FE4693">
        <w:rPr>
          <w:rStyle w:val="afffffffff3"/>
          <w:rFonts w:hint="cs"/>
          <w:rtl/>
        </w:rPr>
        <w:t>(סי' שי"ג סק"ז)</w:t>
      </w:r>
      <w:r>
        <w:rPr>
          <w:rtl/>
        </w:rPr>
        <w:t>,</w:t>
      </w:r>
      <w:r w:rsidRPr="00FE4693">
        <w:rPr>
          <w:rStyle w:val="aff4"/>
          <w:rFonts w:ascii="David" w:eastAsiaTheme="minorEastAsia" w:hAnsi="David" w:cs="David" w:hint="cs"/>
          <w:noProof w:val="0"/>
          <w:sz w:val="16"/>
          <w:szCs w:val="16"/>
          <w:rtl/>
        </w:rPr>
        <w:t xml:space="preserve"> </w:t>
      </w:r>
      <w:r w:rsidRPr="00FE4693">
        <w:rPr>
          <w:rStyle w:val="aff4"/>
          <w:rFonts w:ascii="David" w:eastAsiaTheme="minorEastAsia" w:hAnsi="David" w:cs="David"/>
          <w:noProof w:val="0"/>
          <w:sz w:val="16"/>
          <w:szCs w:val="16"/>
          <w:rtl/>
        </w:rPr>
        <w:fldChar w:fldCharType="begin"/>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hint="cs"/>
          <w:noProof w:val="0"/>
          <w:sz w:val="16"/>
          <w:szCs w:val="16"/>
        </w:rPr>
        <w:instrText>REF</w:instrText>
      </w:r>
      <w:r w:rsidRPr="00FE4693">
        <w:rPr>
          <w:rStyle w:val="aff4"/>
          <w:rFonts w:ascii="David" w:eastAsiaTheme="minorEastAsia" w:hAnsi="David" w:cs="David" w:hint="cs"/>
          <w:noProof w:val="0"/>
          <w:sz w:val="16"/>
          <w:szCs w:val="16"/>
          <w:rtl/>
        </w:rPr>
        <w:instrText xml:space="preserve"> _</w:instrText>
      </w:r>
      <w:r w:rsidRPr="00FE4693">
        <w:rPr>
          <w:rStyle w:val="aff4"/>
          <w:rFonts w:ascii="David" w:eastAsiaTheme="minorEastAsia" w:hAnsi="David" w:cs="David" w:hint="cs"/>
          <w:noProof w:val="0"/>
          <w:sz w:val="16"/>
          <w:szCs w:val="16"/>
        </w:rPr>
        <w:instrText>Ref143183107 \r \h</w:instrText>
      </w:r>
      <w:r w:rsidRPr="00FE4693">
        <w:rPr>
          <w:rStyle w:val="aff4"/>
          <w:rFonts w:ascii="David" w:eastAsiaTheme="minorEastAsia" w:hAnsi="David" w:cs="David"/>
          <w:noProof w:val="0"/>
          <w:sz w:val="16"/>
          <w:szCs w:val="16"/>
          <w:rtl/>
        </w:rPr>
        <w:instrText xml:space="preserve">  \* </w:instrText>
      </w:r>
      <w:r w:rsidRPr="00FE4693">
        <w:rPr>
          <w:rStyle w:val="aff4"/>
          <w:rFonts w:ascii="David" w:eastAsiaTheme="minorEastAsia" w:hAnsi="David" w:cs="David"/>
          <w:noProof w:val="0"/>
          <w:sz w:val="16"/>
          <w:szCs w:val="16"/>
        </w:rPr>
        <w:instrText>MERGEFORMAT</w:instrText>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tl/>
        </w:rPr>
      </w:r>
      <w:r w:rsidRPr="00FE4693">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מג)</w:t>
      </w:r>
      <w:r w:rsidRPr="00FE4693">
        <w:rPr>
          <w:rStyle w:val="aff4"/>
          <w:rFonts w:ascii="David" w:eastAsiaTheme="minorEastAsia" w:hAnsi="David" w:cs="David"/>
          <w:noProof w:val="0"/>
          <w:sz w:val="16"/>
          <w:szCs w:val="16"/>
          <w:rtl/>
        </w:rPr>
        <w:fldChar w:fldCharType="end"/>
      </w:r>
      <w:r w:rsidRPr="00FE4693">
        <w:rPr>
          <w:rStyle w:val="aff4"/>
          <w:rFonts w:ascii="David" w:eastAsiaTheme="minorEastAsia" w:hAnsi="David" w:cs="David" w:hint="cs"/>
          <w:noProof w:val="0"/>
          <w:sz w:val="16"/>
          <w:szCs w:val="16"/>
          <w:rtl/>
        </w:rPr>
        <w:t xml:space="preserve"> </w:t>
      </w:r>
      <w:r w:rsidRPr="003A14B9">
        <w:rPr>
          <w:rStyle w:val="aff4"/>
          <w:rFonts w:ascii="David" w:eastAsiaTheme="minorEastAsia" w:hAnsi="David" w:cs="David" w:hint="cs"/>
          <w:b w:val="0"/>
          <w:bCs w:val="0"/>
          <w:noProof w:val="0"/>
          <w:sz w:val="16"/>
          <w:szCs w:val="16"/>
          <w:rtl/>
        </w:rPr>
        <w:t>חזו"א</w:t>
      </w:r>
      <w:r w:rsidRPr="003A14B9">
        <w:rPr>
          <w:rFonts w:hint="cs"/>
          <w:rtl/>
        </w:rPr>
        <w:t xml:space="preserve"> </w:t>
      </w:r>
      <w:r w:rsidRPr="00FE4693">
        <w:rPr>
          <w:rStyle w:val="afffffffff3"/>
          <w:rFonts w:hint="cs"/>
          <w:rtl/>
        </w:rPr>
        <w:t>(סי' קנ"ו השמטות לסי' שי"ג ד"ה יסוד)</w:t>
      </w:r>
      <w:r>
        <w:rPr>
          <w:rtl/>
        </w:rPr>
        <w:t>,</w:t>
      </w:r>
      <w:r w:rsidRPr="00FE4693">
        <w:rPr>
          <w:rStyle w:val="aff4"/>
          <w:rFonts w:ascii="David" w:eastAsiaTheme="minorEastAsia" w:hAnsi="David" w:cs="David" w:hint="cs"/>
          <w:noProof w:val="0"/>
          <w:sz w:val="16"/>
          <w:szCs w:val="16"/>
          <w:rtl/>
        </w:rPr>
        <w:t xml:space="preserve"> </w:t>
      </w:r>
      <w:r w:rsidRPr="00FE4693">
        <w:rPr>
          <w:rStyle w:val="aff4"/>
          <w:rFonts w:ascii="David" w:eastAsiaTheme="minorEastAsia" w:hAnsi="David" w:cs="David"/>
          <w:noProof w:val="0"/>
          <w:sz w:val="16"/>
          <w:szCs w:val="16"/>
          <w:rtl/>
        </w:rPr>
        <w:fldChar w:fldCharType="begin"/>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hint="cs"/>
          <w:noProof w:val="0"/>
          <w:sz w:val="16"/>
          <w:szCs w:val="16"/>
        </w:rPr>
        <w:instrText>REF</w:instrText>
      </w:r>
      <w:r w:rsidRPr="00FE4693">
        <w:rPr>
          <w:rStyle w:val="aff4"/>
          <w:rFonts w:ascii="David" w:eastAsiaTheme="minorEastAsia" w:hAnsi="David" w:cs="David" w:hint="cs"/>
          <w:noProof w:val="0"/>
          <w:sz w:val="16"/>
          <w:szCs w:val="16"/>
          <w:rtl/>
        </w:rPr>
        <w:instrText xml:space="preserve"> _</w:instrText>
      </w:r>
      <w:r w:rsidRPr="00FE4693">
        <w:rPr>
          <w:rStyle w:val="aff4"/>
          <w:rFonts w:ascii="David" w:eastAsiaTheme="minorEastAsia" w:hAnsi="David" w:cs="David" w:hint="cs"/>
          <w:noProof w:val="0"/>
          <w:sz w:val="16"/>
          <w:szCs w:val="16"/>
        </w:rPr>
        <w:instrText>Ref142932736 \r \h</w:instrText>
      </w:r>
      <w:r w:rsidRPr="00FE4693">
        <w:rPr>
          <w:rStyle w:val="aff4"/>
          <w:rFonts w:ascii="David" w:eastAsiaTheme="minorEastAsia" w:hAnsi="David" w:cs="David"/>
          <w:noProof w:val="0"/>
          <w:sz w:val="16"/>
          <w:szCs w:val="16"/>
          <w:rtl/>
        </w:rPr>
        <w:instrText xml:space="preserve">  \* </w:instrText>
      </w:r>
      <w:r w:rsidRPr="00FE4693">
        <w:rPr>
          <w:rStyle w:val="aff4"/>
          <w:rFonts w:ascii="David" w:eastAsiaTheme="minorEastAsia" w:hAnsi="David" w:cs="David"/>
          <w:noProof w:val="0"/>
          <w:sz w:val="16"/>
          <w:szCs w:val="16"/>
        </w:rPr>
        <w:instrText>MERGEFORMAT</w:instrText>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tl/>
        </w:rPr>
      </w:r>
      <w:r w:rsidRPr="00FE4693">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מד)</w:t>
      </w:r>
      <w:r w:rsidRPr="00FE4693">
        <w:rPr>
          <w:rStyle w:val="aff4"/>
          <w:rFonts w:ascii="David" w:eastAsiaTheme="minorEastAsia" w:hAnsi="David" w:cs="David"/>
          <w:noProof w:val="0"/>
          <w:sz w:val="16"/>
          <w:szCs w:val="16"/>
          <w:rtl/>
        </w:rPr>
        <w:fldChar w:fldCharType="end"/>
      </w:r>
      <w:r w:rsidRPr="00FE4693">
        <w:rPr>
          <w:rStyle w:val="aff4"/>
          <w:rFonts w:ascii="David" w:eastAsiaTheme="minorEastAsia" w:hAnsi="David" w:cs="David" w:hint="cs"/>
          <w:noProof w:val="0"/>
          <w:sz w:val="16"/>
          <w:szCs w:val="16"/>
          <w:rtl/>
        </w:rPr>
        <w:t xml:space="preserve"> </w:t>
      </w:r>
      <w:r w:rsidRPr="003A14B9">
        <w:rPr>
          <w:rStyle w:val="aff4"/>
          <w:rFonts w:ascii="David" w:eastAsiaTheme="minorEastAsia" w:hAnsi="David" w:cs="David" w:hint="cs"/>
          <w:b w:val="0"/>
          <w:bCs w:val="0"/>
          <w:noProof w:val="0"/>
          <w:sz w:val="16"/>
          <w:szCs w:val="16"/>
          <w:rtl/>
        </w:rPr>
        <w:t>חזו"א</w:t>
      </w:r>
      <w:r w:rsidRPr="003A14B9">
        <w:rPr>
          <w:rFonts w:hint="cs"/>
          <w:rtl/>
        </w:rPr>
        <w:t xml:space="preserve"> </w:t>
      </w:r>
      <w:r w:rsidRPr="00FE4693">
        <w:rPr>
          <w:rStyle w:val="afffffffff3"/>
          <w:rFonts w:hint="cs"/>
          <w:rtl/>
        </w:rPr>
        <w:t>(סי' קנ"ו השמטות לסי' שי"ג ד"ה היתר)</w:t>
      </w:r>
      <w:r>
        <w:rPr>
          <w:rtl/>
        </w:rPr>
        <w:t>,</w:t>
      </w:r>
      <w:r w:rsidRPr="00FE4693">
        <w:rPr>
          <w:rStyle w:val="aff4"/>
          <w:rFonts w:ascii="David" w:eastAsiaTheme="minorEastAsia" w:hAnsi="David" w:cs="David" w:hint="cs"/>
          <w:noProof w:val="0"/>
          <w:sz w:val="16"/>
          <w:szCs w:val="16"/>
          <w:rtl/>
        </w:rPr>
        <w:t xml:space="preserve"> </w:t>
      </w:r>
      <w:r w:rsidRPr="00FE4693">
        <w:rPr>
          <w:rStyle w:val="aff4"/>
          <w:rFonts w:ascii="David" w:eastAsiaTheme="minorEastAsia" w:hAnsi="David" w:cs="David"/>
          <w:noProof w:val="0"/>
          <w:sz w:val="16"/>
          <w:szCs w:val="16"/>
          <w:rtl/>
        </w:rPr>
        <w:fldChar w:fldCharType="begin"/>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hint="cs"/>
          <w:noProof w:val="0"/>
          <w:sz w:val="16"/>
          <w:szCs w:val="16"/>
        </w:rPr>
        <w:instrText>REF</w:instrText>
      </w:r>
      <w:r w:rsidRPr="00FE4693">
        <w:rPr>
          <w:rStyle w:val="aff4"/>
          <w:rFonts w:ascii="David" w:eastAsiaTheme="minorEastAsia" w:hAnsi="David" w:cs="David" w:hint="cs"/>
          <w:noProof w:val="0"/>
          <w:sz w:val="16"/>
          <w:szCs w:val="16"/>
          <w:rtl/>
        </w:rPr>
        <w:instrText xml:space="preserve"> _</w:instrText>
      </w:r>
      <w:r w:rsidRPr="00FE4693">
        <w:rPr>
          <w:rStyle w:val="aff4"/>
          <w:rFonts w:ascii="David" w:eastAsiaTheme="minorEastAsia" w:hAnsi="David" w:cs="David" w:hint="cs"/>
          <w:noProof w:val="0"/>
          <w:sz w:val="16"/>
          <w:szCs w:val="16"/>
        </w:rPr>
        <w:instrText>Ref143165124 \r \h</w:instrText>
      </w:r>
      <w:r w:rsidRPr="00FE4693">
        <w:rPr>
          <w:rStyle w:val="aff4"/>
          <w:rFonts w:ascii="David" w:eastAsiaTheme="minorEastAsia" w:hAnsi="David" w:cs="David"/>
          <w:noProof w:val="0"/>
          <w:sz w:val="16"/>
          <w:szCs w:val="16"/>
          <w:rtl/>
        </w:rPr>
        <w:instrText xml:space="preserve">  \* </w:instrText>
      </w:r>
      <w:r w:rsidRPr="00FE4693">
        <w:rPr>
          <w:rStyle w:val="aff4"/>
          <w:rFonts w:ascii="David" w:eastAsiaTheme="minorEastAsia" w:hAnsi="David" w:cs="David"/>
          <w:noProof w:val="0"/>
          <w:sz w:val="16"/>
          <w:szCs w:val="16"/>
        </w:rPr>
        <w:instrText>MERGEFORMAT</w:instrText>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tl/>
        </w:rPr>
      </w:r>
      <w:r w:rsidRPr="00FE4693">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מה)</w:t>
      </w:r>
      <w:r w:rsidRPr="00FE4693">
        <w:rPr>
          <w:rStyle w:val="aff4"/>
          <w:rFonts w:ascii="David" w:eastAsiaTheme="minorEastAsia" w:hAnsi="David" w:cs="David"/>
          <w:noProof w:val="0"/>
          <w:sz w:val="16"/>
          <w:szCs w:val="16"/>
          <w:rtl/>
        </w:rPr>
        <w:fldChar w:fldCharType="end"/>
      </w:r>
      <w:r w:rsidRPr="00FE4693">
        <w:rPr>
          <w:rStyle w:val="aff4"/>
          <w:rFonts w:ascii="David" w:eastAsiaTheme="minorEastAsia" w:hAnsi="David" w:cs="David" w:hint="cs"/>
          <w:noProof w:val="0"/>
          <w:sz w:val="16"/>
          <w:szCs w:val="16"/>
          <w:rtl/>
        </w:rPr>
        <w:t xml:space="preserve"> </w:t>
      </w:r>
      <w:r w:rsidRPr="003A14B9">
        <w:rPr>
          <w:rStyle w:val="aff4"/>
          <w:rFonts w:ascii="David" w:eastAsiaTheme="minorEastAsia" w:hAnsi="David" w:cs="David" w:hint="cs"/>
          <w:b w:val="0"/>
          <w:bCs w:val="0"/>
          <w:noProof w:val="0"/>
          <w:sz w:val="16"/>
          <w:szCs w:val="16"/>
          <w:rtl/>
        </w:rPr>
        <w:t>גר"ז</w:t>
      </w:r>
      <w:r w:rsidRPr="003A14B9">
        <w:rPr>
          <w:rFonts w:hint="cs"/>
          <w:rtl/>
        </w:rPr>
        <w:t xml:space="preserve"> </w:t>
      </w:r>
      <w:r w:rsidRPr="00FE4693">
        <w:rPr>
          <w:rStyle w:val="afffffffff3"/>
          <w:rFonts w:hint="cs"/>
          <w:rtl/>
        </w:rPr>
        <w:t>(סי' שי"ג כ')</w:t>
      </w:r>
      <w:r>
        <w:rPr>
          <w:rtl/>
        </w:rPr>
        <w:t xml:space="preserve"> </w:t>
      </w:r>
      <w:r w:rsidRPr="003A14B9">
        <w:rPr>
          <w:rStyle w:val="aff4"/>
          <w:rFonts w:ascii="David" w:eastAsiaTheme="minorEastAsia" w:hAnsi="David" w:cs="David" w:hint="cs"/>
          <w:b w:val="0"/>
          <w:bCs w:val="0"/>
          <w:noProof w:val="0"/>
          <w:sz w:val="16"/>
          <w:szCs w:val="16"/>
          <w:rtl/>
        </w:rPr>
        <w:t>גר"ז</w:t>
      </w:r>
      <w:r w:rsidRPr="003A14B9">
        <w:rPr>
          <w:rFonts w:hint="cs"/>
          <w:rtl/>
        </w:rPr>
        <w:t xml:space="preserve"> </w:t>
      </w:r>
      <w:r w:rsidRPr="00FE4693">
        <w:rPr>
          <w:rStyle w:val="afffffffff3"/>
          <w:rFonts w:hint="cs"/>
          <w:rtl/>
        </w:rPr>
        <w:t>(סי' שי"ג כ"</w:t>
      </w:r>
      <w:r w:rsidRPr="00FE4693">
        <w:rPr>
          <w:rStyle w:val="afffffffff3"/>
          <w:rtl/>
        </w:rPr>
        <w:t>א ד"ה אבל</w:t>
      </w:r>
      <w:r w:rsidRPr="00FE4693">
        <w:rPr>
          <w:rStyle w:val="afffffffff3"/>
          <w:rFonts w:hint="cs"/>
          <w:rtl/>
        </w:rPr>
        <w:t>)</w:t>
      </w:r>
      <w:r>
        <w:rPr>
          <w:rtl/>
        </w:rPr>
        <w:t xml:space="preserve"> </w:t>
      </w:r>
      <w:r w:rsidRPr="003A14B9">
        <w:rPr>
          <w:rStyle w:val="aff4"/>
          <w:rFonts w:ascii="David" w:eastAsiaTheme="minorEastAsia" w:hAnsi="David" w:cs="David" w:hint="cs"/>
          <w:b w:val="0"/>
          <w:bCs w:val="0"/>
          <w:noProof w:val="0"/>
          <w:sz w:val="16"/>
          <w:szCs w:val="16"/>
          <w:rtl/>
        </w:rPr>
        <w:t>גר"ז</w:t>
      </w:r>
      <w:r w:rsidRPr="003A14B9">
        <w:rPr>
          <w:rFonts w:hint="cs"/>
          <w:rtl/>
        </w:rPr>
        <w:t xml:space="preserve"> </w:t>
      </w:r>
      <w:r w:rsidRPr="00FE4693">
        <w:rPr>
          <w:rStyle w:val="afffffffff3"/>
          <w:rFonts w:hint="cs"/>
          <w:rtl/>
        </w:rPr>
        <w:t>(סי' שי"ד י"ט)</w:t>
      </w:r>
      <w:r>
        <w:rPr>
          <w:rtl/>
        </w:rPr>
        <w:t>,</w:t>
      </w:r>
      <w:r w:rsidRPr="00FE4693">
        <w:rPr>
          <w:rStyle w:val="aff4"/>
          <w:rFonts w:ascii="David" w:eastAsiaTheme="minorEastAsia" w:hAnsi="David" w:cs="David" w:hint="cs"/>
          <w:noProof w:val="0"/>
          <w:sz w:val="16"/>
          <w:szCs w:val="16"/>
          <w:rtl/>
        </w:rPr>
        <w:t xml:space="preserve"> </w:t>
      </w:r>
      <w:r w:rsidRPr="00FE4693">
        <w:rPr>
          <w:rStyle w:val="aff4"/>
          <w:rFonts w:ascii="David" w:eastAsiaTheme="minorEastAsia" w:hAnsi="David" w:cs="David"/>
          <w:noProof w:val="0"/>
          <w:sz w:val="16"/>
          <w:szCs w:val="16"/>
          <w:rtl/>
        </w:rPr>
        <w:fldChar w:fldCharType="begin"/>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hint="cs"/>
          <w:noProof w:val="0"/>
          <w:sz w:val="16"/>
          <w:szCs w:val="16"/>
        </w:rPr>
        <w:instrText>REF</w:instrText>
      </w:r>
      <w:r w:rsidRPr="00FE4693">
        <w:rPr>
          <w:rStyle w:val="aff4"/>
          <w:rFonts w:ascii="David" w:eastAsiaTheme="minorEastAsia" w:hAnsi="David" w:cs="David" w:hint="cs"/>
          <w:noProof w:val="0"/>
          <w:sz w:val="16"/>
          <w:szCs w:val="16"/>
          <w:rtl/>
        </w:rPr>
        <w:instrText xml:space="preserve"> _</w:instrText>
      </w:r>
      <w:r w:rsidRPr="00FE4693">
        <w:rPr>
          <w:rStyle w:val="aff4"/>
          <w:rFonts w:ascii="David" w:eastAsiaTheme="minorEastAsia" w:hAnsi="David" w:cs="David" w:hint="cs"/>
          <w:noProof w:val="0"/>
          <w:sz w:val="16"/>
          <w:szCs w:val="16"/>
        </w:rPr>
        <w:instrText>Ref143162537 \r \h</w:instrText>
      </w:r>
      <w:r w:rsidRPr="00FE4693">
        <w:rPr>
          <w:rStyle w:val="aff4"/>
          <w:rFonts w:ascii="David" w:eastAsiaTheme="minorEastAsia" w:hAnsi="David" w:cs="David"/>
          <w:noProof w:val="0"/>
          <w:sz w:val="16"/>
          <w:szCs w:val="16"/>
          <w:rtl/>
        </w:rPr>
        <w:instrText xml:space="preserve">  \* </w:instrText>
      </w:r>
      <w:r w:rsidRPr="00FE4693">
        <w:rPr>
          <w:rStyle w:val="aff4"/>
          <w:rFonts w:ascii="David" w:eastAsiaTheme="minorEastAsia" w:hAnsi="David" w:cs="David"/>
          <w:noProof w:val="0"/>
          <w:sz w:val="16"/>
          <w:szCs w:val="16"/>
        </w:rPr>
        <w:instrText>MERGEFORMAT</w:instrText>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tl/>
        </w:rPr>
      </w:r>
      <w:r w:rsidRPr="00FE4693">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מו)</w:t>
      </w:r>
      <w:r w:rsidRPr="00FE4693">
        <w:rPr>
          <w:rStyle w:val="aff4"/>
          <w:rFonts w:ascii="David" w:eastAsiaTheme="minorEastAsia" w:hAnsi="David" w:cs="David"/>
          <w:noProof w:val="0"/>
          <w:sz w:val="16"/>
          <w:szCs w:val="16"/>
          <w:rtl/>
        </w:rPr>
        <w:fldChar w:fldCharType="end"/>
      </w:r>
      <w:r w:rsidRPr="00FE4693">
        <w:rPr>
          <w:rStyle w:val="aff4"/>
          <w:rFonts w:ascii="David" w:eastAsiaTheme="minorEastAsia" w:hAnsi="David" w:cs="David" w:hint="cs"/>
          <w:noProof w:val="0"/>
          <w:sz w:val="16"/>
          <w:szCs w:val="16"/>
          <w:rtl/>
        </w:rPr>
        <w:t xml:space="preserve"> </w:t>
      </w:r>
      <w:r w:rsidRPr="003A14B9">
        <w:rPr>
          <w:rStyle w:val="aff4"/>
          <w:rFonts w:ascii="David" w:eastAsiaTheme="minorEastAsia" w:hAnsi="David" w:cs="David" w:hint="cs"/>
          <w:b w:val="0"/>
          <w:bCs w:val="0"/>
          <w:noProof w:val="0"/>
          <w:sz w:val="16"/>
          <w:szCs w:val="16"/>
          <w:rtl/>
        </w:rPr>
        <w:t>תהלה לדוד</w:t>
      </w:r>
      <w:r w:rsidRPr="003A14B9">
        <w:rPr>
          <w:rFonts w:hint="cs"/>
          <w:rtl/>
        </w:rPr>
        <w:t xml:space="preserve"> </w:t>
      </w:r>
      <w:r w:rsidRPr="00FE4693">
        <w:rPr>
          <w:rStyle w:val="afffffffff3"/>
          <w:rFonts w:hint="cs"/>
          <w:rtl/>
        </w:rPr>
        <w:t>(סי' שי"ד י"ז)</w:t>
      </w:r>
      <w:r>
        <w:rPr>
          <w:rtl/>
        </w:rPr>
        <w:t xml:space="preserve"> </w:t>
      </w:r>
      <w:r w:rsidRPr="003A14B9">
        <w:rPr>
          <w:rStyle w:val="aff4"/>
          <w:rFonts w:ascii="David" w:eastAsiaTheme="minorEastAsia" w:hAnsi="David" w:cs="David" w:hint="cs"/>
          <w:b w:val="0"/>
          <w:bCs w:val="0"/>
          <w:noProof w:val="0"/>
          <w:sz w:val="16"/>
          <w:szCs w:val="16"/>
          <w:rtl/>
        </w:rPr>
        <w:t>מנחת שלמה</w:t>
      </w:r>
      <w:r w:rsidRPr="003A14B9">
        <w:rPr>
          <w:rFonts w:hint="cs"/>
          <w:rtl/>
        </w:rPr>
        <w:t xml:space="preserve"> </w:t>
      </w:r>
      <w:r w:rsidRPr="00FE4693">
        <w:rPr>
          <w:rStyle w:val="afffffffff3"/>
          <w:rFonts w:hint="cs"/>
          <w:rtl/>
        </w:rPr>
        <w:t>(ח"א סי' י"א ד"ה גם נראה)</w:t>
      </w:r>
      <w:r>
        <w:rPr>
          <w:rtl/>
        </w:rPr>
        <w:t xml:space="preserve"> </w:t>
      </w:r>
      <w:r w:rsidRPr="003A14B9">
        <w:rPr>
          <w:rStyle w:val="aff4"/>
          <w:rFonts w:ascii="David" w:eastAsiaTheme="minorEastAsia" w:hAnsi="David" w:cs="David" w:hint="cs"/>
          <w:b w:val="0"/>
          <w:bCs w:val="0"/>
          <w:noProof w:val="0"/>
          <w:sz w:val="16"/>
          <w:szCs w:val="16"/>
          <w:rtl/>
        </w:rPr>
        <w:t>שו"ע</w:t>
      </w:r>
      <w:r w:rsidRPr="003A14B9">
        <w:rPr>
          <w:rFonts w:hint="cs"/>
          <w:rtl/>
        </w:rPr>
        <w:t xml:space="preserve"> </w:t>
      </w:r>
      <w:r w:rsidRPr="00FE4693">
        <w:rPr>
          <w:rStyle w:val="afffffffff3"/>
          <w:rFonts w:hint="cs"/>
          <w:rtl/>
        </w:rPr>
        <w:t>(סי' תקי"ט ב')</w:t>
      </w:r>
      <w:r>
        <w:rPr>
          <w:rtl/>
        </w:rPr>
        <w:t xml:space="preserve"> </w:t>
      </w:r>
    </w:p>
    <w:p w14:paraId="2372B05C" w14:textId="77777777" w:rsidR="00376F67" w:rsidRDefault="00376F67" w:rsidP="00376F67">
      <w:pPr>
        <w:pStyle w:val="TOC2"/>
        <w:rPr>
          <w:rFonts w:cstheme="minorBidi"/>
          <w:b w:val="0"/>
          <w:bCs w:val="0"/>
          <w:sz w:val="22"/>
          <w:szCs w:val="22"/>
          <w:rtl/>
        </w:rPr>
      </w:pPr>
      <w:hyperlink w:anchor="_Toc143770620" w:history="1">
        <w:r w:rsidRPr="009F263C">
          <w:rPr>
            <w:rStyle w:val="Hyperlink"/>
            <w:rtl/>
          </w:rPr>
          <w:t>בי' האו"ש דיוצר דבר חדש לעולם הוי בונה אף בכלי ולשעה</w:t>
        </w:r>
      </w:hyperlink>
    </w:p>
    <w:p w14:paraId="01E47957" w14:textId="77777777" w:rsidR="00376F67" w:rsidRDefault="00376F67" w:rsidP="00ED704E">
      <w:pPr>
        <w:pStyle w:val="TOC3"/>
        <w:rPr>
          <w:rFonts w:asciiTheme="minorHAnsi" w:eastAsiaTheme="minorEastAsia" w:hAnsiTheme="minorHAnsi" w:cstheme="minorBidi"/>
          <w:sz w:val="22"/>
          <w:szCs w:val="22"/>
          <w:rtl/>
        </w:rPr>
      </w:pPr>
      <w:hyperlink w:anchor="_Toc143770621" w:history="1">
        <w:r w:rsidRPr="009F263C">
          <w:rPr>
            <w:rStyle w:val="Hyperlink"/>
            <w:rtl/>
          </w:rPr>
          <w:t>בי' האו"ש דמוכח בבבלי דאין בנין ע"ג כלים כירושלמי דבמשכן היה ע"ג קרקע וכ"פ הרמב"ם</w:t>
        </w:r>
      </w:hyperlink>
    </w:p>
    <w:p w14:paraId="350FAFC2" w14:textId="77777777" w:rsidR="00376F67" w:rsidRDefault="00376F67" w:rsidP="00ED704E">
      <w:pPr>
        <w:pStyle w:val="TOC3"/>
        <w:rPr>
          <w:rFonts w:asciiTheme="minorHAnsi" w:eastAsiaTheme="minorEastAsia" w:hAnsiTheme="minorHAnsi" w:cstheme="minorBidi"/>
          <w:sz w:val="22"/>
          <w:szCs w:val="22"/>
          <w:rtl/>
        </w:rPr>
      </w:pPr>
      <w:hyperlink w:anchor="_Toc143770622" w:history="1">
        <w:r w:rsidRPr="009F263C">
          <w:rPr>
            <w:rStyle w:val="Hyperlink"/>
            <w:rtl/>
          </w:rPr>
          <w:t>בי' האו"ש דיצירת דבר חדש לעולם הוי בונה אף בבונה ע"ג כלים ובנין לשעה אף להירושמי</w:t>
        </w:r>
      </w:hyperlink>
    </w:p>
    <w:p w14:paraId="35D68550" w14:textId="77777777" w:rsidR="00376F67" w:rsidRDefault="00376F67" w:rsidP="00ED704E">
      <w:pPr>
        <w:pStyle w:val="TOC3"/>
        <w:rPr>
          <w:rFonts w:asciiTheme="minorHAnsi" w:eastAsiaTheme="minorEastAsia" w:hAnsiTheme="minorHAnsi" w:cstheme="minorBidi"/>
          <w:sz w:val="22"/>
          <w:szCs w:val="22"/>
          <w:rtl/>
        </w:rPr>
      </w:pPr>
      <w:hyperlink w:anchor="_Toc143770623" w:history="1">
        <w:r w:rsidRPr="009F263C">
          <w:rPr>
            <w:rStyle w:val="Hyperlink"/>
            <w:rtl/>
          </w:rPr>
          <w:t>בי' האו"ש בתוס' דחיוב עושה כלי היינו כיון דעושה דבר חדש וכ"מ בירושלי דגודל כלי צורה</w:t>
        </w:r>
      </w:hyperlink>
    </w:p>
    <w:p w14:paraId="01C524C2" w14:textId="77777777" w:rsidR="00376F67" w:rsidRDefault="00376F67" w:rsidP="00376F67">
      <w:pPr>
        <w:pStyle w:val="TOC2"/>
        <w:rPr>
          <w:rFonts w:cstheme="minorBidi"/>
          <w:b w:val="0"/>
          <w:bCs w:val="0"/>
          <w:sz w:val="22"/>
          <w:szCs w:val="22"/>
          <w:rtl/>
        </w:rPr>
      </w:pPr>
      <w:hyperlink w:anchor="_Toc143770624" w:history="1">
        <w:r w:rsidRPr="009F263C">
          <w:rPr>
            <w:rStyle w:val="Hyperlink"/>
            <w:rtl/>
          </w:rPr>
          <w:t>בי' החזו"א דיצירה מחלקים שאינם כלי בונה אף ברפוי וארעי</w:t>
        </w:r>
      </w:hyperlink>
    </w:p>
    <w:p w14:paraId="031FE007" w14:textId="77777777" w:rsidR="00376F67" w:rsidRDefault="00376F67" w:rsidP="00ED704E">
      <w:pPr>
        <w:pStyle w:val="TOC3"/>
        <w:rPr>
          <w:rFonts w:asciiTheme="minorHAnsi" w:eastAsiaTheme="minorEastAsia" w:hAnsiTheme="minorHAnsi" w:cstheme="minorBidi"/>
          <w:sz w:val="22"/>
          <w:szCs w:val="22"/>
          <w:rtl/>
        </w:rPr>
      </w:pPr>
      <w:hyperlink w:anchor="_Toc143770625" w:history="1">
        <w:r w:rsidRPr="009F263C">
          <w:rPr>
            <w:rStyle w:val="Hyperlink"/>
            <w:rtl/>
          </w:rPr>
          <w:t>בי' החזו"א דחיבור ב' חלקים לדבר א' דהשימוש הוא רק בחיבור הוי בונה אף ברפוי דיצר כלי</w:t>
        </w:r>
      </w:hyperlink>
    </w:p>
    <w:p w14:paraId="78E20CD6" w14:textId="77777777" w:rsidR="00376F67" w:rsidRDefault="00376F67" w:rsidP="00ED704E">
      <w:pPr>
        <w:pStyle w:val="TOC3"/>
        <w:rPr>
          <w:rFonts w:asciiTheme="minorHAnsi" w:eastAsiaTheme="minorEastAsia" w:hAnsiTheme="minorHAnsi" w:cstheme="minorBidi"/>
          <w:sz w:val="22"/>
          <w:szCs w:val="22"/>
          <w:rtl/>
        </w:rPr>
      </w:pPr>
      <w:hyperlink w:anchor="_Toc143770626" w:history="1">
        <w:r w:rsidRPr="009F263C">
          <w:rPr>
            <w:rStyle w:val="Hyperlink"/>
            <w:rtl/>
          </w:rPr>
          <w:t>בי' החזו"א דבמחבר ב' דברים שכ"א יש לו שימוש בפנ"ע אין החיבור מחשיב לד"א ול"ה בונה</w:t>
        </w:r>
      </w:hyperlink>
    </w:p>
    <w:p w14:paraId="13136999" w14:textId="77777777" w:rsidR="00376F67" w:rsidRDefault="00376F67" w:rsidP="00ED704E">
      <w:pPr>
        <w:pStyle w:val="TOC3"/>
        <w:rPr>
          <w:rFonts w:asciiTheme="minorHAnsi" w:eastAsiaTheme="minorEastAsia" w:hAnsiTheme="minorHAnsi" w:cstheme="minorBidi"/>
          <w:sz w:val="22"/>
          <w:szCs w:val="22"/>
          <w:rtl/>
        </w:rPr>
      </w:pPr>
      <w:hyperlink w:anchor="_Toc143770627" w:history="1">
        <w:r w:rsidRPr="009F263C">
          <w:rPr>
            <w:rStyle w:val="Hyperlink"/>
            <w:rtl/>
          </w:rPr>
          <w:t>בי' החזו"א דביוצר צורה לחפץ א"א לפרק את הצורה ואף במחבר לארעי הוי כבונה ואח"כ סותר</w:t>
        </w:r>
      </w:hyperlink>
    </w:p>
    <w:p w14:paraId="6AC6C827" w14:textId="77777777" w:rsidR="00376F67" w:rsidRDefault="00376F67" w:rsidP="00ED704E">
      <w:pPr>
        <w:pStyle w:val="TOC3"/>
        <w:rPr>
          <w:rFonts w:asciiTheme="minorHAnsi" w:eastAsiaTheme="minorEastAsia" w:hAnsiTheme="minorHAnsi" w:cstheme="minorBidi"/>
          <w:sz w:val="22"/>
          <w:szCs w:val="22"/>
          <w:rtl/>
        </w:rPr>
      </w:pPr>
      <w:hyperlink w:anchor="_Toc143770628" w:history="1">
        <w:r w:rsidRPr="009F263C">
          <w:rPr>
            <w:rStyle w:val="Hyperlink"/>
            <w:rtl/>
          </w:rPr>
          <w:t>בי' החזו"א דהמשחיז סכין להתלמד ודעתו לפוגמו מיד חשיב כבונה דבנין לשעה הוי בנין</w:t>
        </w:r>
      </w:hyperlink>
    </w:p>
    <w:p w14:paraId="66F97B7F" w14:textId="77777777" w:rsidR="00376F67" w:rsidRDefault="00376F67" w:rsidP="00ED704E">
      <w:pPr>
        <w:pStyle w:val="TOC3"/>
        <w:rPr>
          <w:rFonts w:asciiTheme="minorHAnsi" w:eastAsiaTheme="minorEastAsia" w:hAnsiTheme="minorHAnsi" w:cstheme="minorBidi"/>
          <w:sz w:val="22"/>
          <w:szCs w:val="22"/>
          <w:rtl/>
        </w:rPr>
      </w:pPr>
      <w:hyperlink w:anchor="_Toc143770629" w:history="1">
        <w:r w:rsidRPr="009F263C">
          <w:rPr>
            <w:rStyle w:val="Hyperlink"/>
            <w:rtl/>
          </w:rPr>
          <w:t>בי' החזו"א דבכיסוי כלים דעומדים לפתיחה וסגירה וכ"א כלי בפנ"ע ל"ה בונה ול"ד למרכיב כלי</w:t>
        </w:r>
      </w:hyperlink>
    </w:p>
    <w:p w14:paraId="0C03B6BE" w14:textId="77777777" w:rsidR="00376F67" w:rsidRDefault="00376F67" w:rsidP="00ED704E">
      <w:pPr>
        <w:pStyle w:val="TOC3"/>
        <w:rPr>
          <w:rFonts w:asciiTheme="minorHAnsi" w:eastAsiaTheme="minorEastAsia" w:hAnsiTheme="minorHAnsi" w:cstheme="minorBidi"/>
          <w:sz w:val="22"/>
          <w:szCs w:val="22"/>
          <w:rtl/>
        </w:rPr>
      </w:pPr>
      <w:hyperlink w:anchor="_Toc143770630" w:history="1">
        <w:r w:rsidRPr="009F263C">
          <w:rPr>
            <w:rStyle w:val="Hyperlink"/>
            <w:rtl/>
          </w:rPr>
          <w:t>בי' החזו"א דהרכבה שעי"ז נעשה כלי ויש לו שימוש הוי בונה אף בע"מ לפרק כתופר ע"מ לנתק</w:t>
        </w:r>
      </w:hyperlink>
    </w:p>
    <w:p w14:paraId="05865751" w14:textId="77777777" w:rsidR="00376F67" w:rsidRDefault="00376F67" w:rsidP="00ED704E">
      <w:pPr>
        <w:pStyle w:val="TOC3"/>
        <w:rPr>
          <w:rFonts w:asciiTheme="minorHAnsi" w:eastAsiaTheme="minorEastAsia" w:hAnsiTheme="minorHAnsi" w:cstheme="minorBidi"/>
          <w:sz w:val="22"/>
          <w:szCs w:val="22"/>
          <w:rtl/>
        </w:rPr>
      </w:pPr>
      <w:hyperlink w:anchor="_Toc143770631" w:history="1">
        <w:r w:rsidRPr="009F263C">
          <w:rPr>
            <w:rStyle w:val="Hyperlink"/>
            <w:rtl/>
          </w:rPr>
          <w:t>בי' החזו"א דבעושה צורת מלאכה לא שייך היתר ארעי ול"ד לכיסוי דעומד לפתחיחה וסתימה</w:t>
        </w:r>
      </w:hyperlink>
    </w:p>
    <w:p w14:paraId="0DD06C0F" w14:textId="77777777" w:rsidR="00376F67" w:rsidRDefault="00376F67" w:rsidP="00376F67">
      <w:pPr>
        <w:pStyle w:val="TOC2"/>
        <w:rPr>
          <w:rFonts w:cstheme="minorBidi"/>
          <w:b w:val="0"/>
          <w:bCs w:val="0"/>
          <w:sz w:val="22"/>
          <w:szCs w:val="22"/>
          <w:rtl/>
        </w:rPr>
      </w:pPr>
      <w:hyperlink w:anchor="_Toc143770632" w:history="1">
        <w:r w:rsidRPr="009F263C">
          <w:rPr>
            <w:rStyle w:val="Hyperlink"/>
            <w:rtl/>
          </w:rPr>
          <w:t>בד' הגר"ז דאף ביצירת כלי כל חיבור שלא לקיום ל"ה בונה</w:t>
        </w:r>
      </w:hyperlink>
    </w:p>
    <w:p w14:paraId="0FCE46AE" w14:textId="77777777" w:rsidR="00376F67" w:rsidRDefault="00376F67" w:rsidP="00ED704E">
      <w:pPr>
        <w:pStyle w:val="TOC3"/>
        <w:rPr>
          <w:rFonts w:asciiTheme="minorHAnsi" w:eastAsiaTheme="minorEastAsia" w:hAnsiTheme="minorHAnsi" w:cstheme="minorBidi"/>
          <w:sz w:val="22"/>
          <w:szCs w:val="22"/>
          <w:rtl/>
        </w:rPr>
      </w:pPr>
      <w:hyperlink w:anchor="_Toc143770633" w:history="1">
        <w:r w:rsidRPr="009F263C">
          <w:rPr>
            <w:rStyle w:val="Hyperlink"/>
            <w:rtl/>
          </w:rPr>
          <w:t>בי' הגר"ז דתוקע כלי של פרקים לארעי הוי דרבנן ובאינו עשוי להתקיים כלל מותר כדלת בור</w:t>
        </w:r>
      </w:hyperlink>
    </w:p>
    <w:p w14:paraId="777A42C5" w14:textId="77777777" w:rsidR="00376F67" w:rsidRDefault="00376F67" w:rsidP="00ED704E">
      <w:pPr>
        <w:pStyle w:val="TOC3"/>
        <w:rPr>
          <w:rFonts w:asciiTheme="minorHAnsi" w:eastAsiaTheme="minorEastAsia" w:hAnsiTheme="minorHAnsi" w:cstheme="minorBidi"/>
          <w:sz w:val="22"/>
          <w:szCs w:val="22"/>
          <w:rtl/>
        </w:rPr>
      </w:pPr>
      <w:hyperlink w:anchor="_Toc143770634" w:history="1">
        <w:r w:rsidRPr="009F263C">
          <w:rPr>
            <w:rStyle w:val="Hyperlink"/>
            <w:rtl/>
          </w:rPr>
          <w:t>בי' התהל"ד והמנח"ש בגר"ז דבמחבר דבר שלא היה כלי מותר באינו עומד לקיום וכ"מ בפרמ"ג</w:t>
        </w:r>
      </w:hyperlink>
    </w:p>
    <w:p w14:paraId="28607D4C" w14:textId="77777777" w:rsidR="00376F67" w:rsidRDefault="00376F67" w:rsidP="00376F67">
      <w:pPr>
        <w:pStyle w:val="TOC1"/>
        <w:rPr>
          <w:rFonts w:asciiTheme="minorHAnsi" w:hAnsiTheme="minorHAnsi" w:cstheme="minorBidi"/>
          <w:b w:val="0"/>
          <w:bCs w:val="0"/>
          <w:caps w:val="0"/>
          <w:sz w:val="22"/>
          <w:szCs w:val="22"/>
          <w:rtl/>
        </w:rPr>
      </w:pPr>
      <w:hyperlink w:anchor="_Toc143770635" w:history="1">
        <w:r w:rsidRPr="009F263C">
          <w:rPr>
            <w:rStyle w:val="Hyperlink"/>
            <w:rtl/>
          </w:rPr>
          <w:t>~~~~~~~~~~~~~~~~~~~~~~~~~~~~</w:t>
        </w:r>
      </w:hyperlink>
    </w:p>
    <w:p w14:paraId="18B39EA9" w14:textId="77777777" w:rsidR="00376F67" w:rsidRDefault="00376F67" w:rsidP="00376F67">
      <w:pPr>
        <w:pStyle w:val="TOC1"/>
        <w:rPr>
          <w:rFonts w:asciiTheme="minorHAnsi" w:hAnsiTheme="minorHAnsi" w:cstheme="minorBidi"/>
          <w:b w:val="0"/>
          <w:bCs w:val="0"/>
          <w:caps w:val="0"/>
          <w:sz w:val="22"/>
          <w:szCs w:val="22"/>
          <w:rtl/>
        </w:rPr>
      </w:pPr>
      <w:hyperlink w:anchor="_Toc143770636" w:history="1">
        <w:r w:rsidRPr="009F263C">
          <w:rPr>
            <w:rStyle w:val="Hyperlink"/>
            <w:rtl/>
          </w:rPr>
          <w:t>בדיני בונה בבנין קבוע ובבנין ארעי</w:t>
        </w:r>
      </w:hyperlink>
    </w:p>
    <w:p w14:paraId="3DDA68E6" w14:textId="31E569F9" w:rsidR="00376F67" w:rsidRPr="00FE4693" w:rsidRDefault="00376F67" w:rsidP="00376F67">
      <w:pPr>
        <w:pStyle w:val="afffffffff0"/>
        <w:rPr>
          <w:b/>
          <w:bCs/>
          <w:rtl/>
        </w:rPr>
      </w:pPr>
      <w:r w:rsidRPr="00FE4693">
        <w:rPr>
          <w:rStyle w:val="aff4"/>
          <w:rFonts w:ascii="David" w:eastAsiaTheme="minorEastAsia" w:hAnsi="David" w:cs="David"/>
          <w:b w:val="0"/>
          <w:bCs w:val="0"/>
          <w:noProof w:val="0"/>
          <w:sz w:val="16"/>
          <w:szCs w:val="16"/>
          <w:rtl/>
        </w:rPr>
        <w:fldChar w:fldCharType="begin"/>
      </w:r>
      <w:r w:rsidRPr="00FE4693">
        <w:rPr>
          <w:rStyle w:val="aff4"/>
          <w:rFonts w:ascii="David" w:eastAsiaTheme="minorEastAsia" w:hAnsi="David" w:cs="David"/>
          <w:b w:val="0"/>
          <w:bCs w:val="0"/>
          <w:noProof w:val="0"/>
          <w:sz w:val="16"/>
          <w:szCs w:val="16"/>
          <w:rtl/>
        </w:rPr>
        <w:instrText xml:space="preserve"> </w:instrText>
      </w:r>
      <w:r w:rsidRPr="00FE4693">
        <w:rPr>
          <w:rStyle w:val="aff4"/>
          <w:rFonts w:ascii="David" w:eastAsiaTheme="minorEastAsia" w:hAnsi="David" w:cs="David" w:hint="cs"/>
          <w:b w:val="0"/>
          <w:bCs w:val="0"/>
          <w:noProof w:val="0"/>
          <w:sz w:val="16"/>
          <w:szCs w:val="16"/>
        </w:rPr>
        <w:instrText>REF</w:instrText>
      </w:r>
      <w:r w:rsidRPr="00FE4693">
        <w:rPr>
          <w:rStyle w:val="aff4"/>
          <w:rFonts w:ascii="David" w:eastAsiaTheme="minorEastAsia" w:hAnsi="David" w:cs="David" w:hint="cs"/>
          <w:b w:val="0"/>
          <w:bCs w:val="0"/>
          <w:noProof w:val="0"/>
          <w:sz w:val="16"/>
          <w:szCs w:val="16"/>
          <w:rtl/>
        </w:rPr>
        <w:instrText xml:space="preserve"> _</w:instrText>
      </w:r>
      <w:r w:rsidRPr="00FE4693">
        <w:rPr>
          <w:rStyle w:val="aff4"/>
          <w:rFonts w:ascii="David" w:eastAsiaTheme="minorEastAsia" w:hAnsi="David" w:cs="David" w:hint="cs"/>
          <w:b w:val="0"/>
          <w:bCs w:val="0"/>
          <w:noProof w:val="0"/>
          <w:sz w:val="16"/>
          <w:szCs w:val="16"/>
        </w:rPr>
        <w:instrText>Ref141864503 \r \h</w:instrText>
      </w:r>
      <w:r w:rsidRPr="00FE4693">
        <w:rPr>
          <w:rStyle w:val="aff4"/>
          <w:rFonts w:ascii="David" w:eastAsiaTheme="minorEastAsia" w:hAnsi="David" w:cs="David"/>
          <w:b w:val="0"/>
          <w:bCs w:val="0"/>
          <w:noProof w:val="0"/>
          <w:sz w:val="16"/>
          <w:szCs w:val="16"/>
          <w:rtl/>
        </w:rPr>
        <w:instrText xml:space="preserve">  \* </w:instrText>
      </w:r>
      <w:r w:rsidRPr="00FE4693">
        <w:rPr>
          <w:rStyle w:val="aff4"/>
          <w:rFonts w:ascii="David" w:eastAsiaTheme="minorEastAsia" w:hAnsi="David" w:cs="David"/>
          <w:b w:val="0"/>
          <w:bCs w:val="0"/>
          <w:noProof w:val="0"/>
          <w:sz w:val="16"/>
          <w:szCs w:val="16"/>
        </w:rPr>
        <w:instrText>MERGEFORMAT</w:instrText>
      </w:r>
      <w:r w:rsidRPr="00FE4693">
        <w:rPr>
          <w:rStyle w:val="aff4"/>
          <w:rFonts w:ascii="David" w:eastAsiaTheme="minorEastAsia" w:hAnsi="David" w:cs="David"/>
          <w:b w:val="0"/>
          <w:bCs w:val="0"/>
          <w:noProof w:val="0"/>
          <w:sz w:val="16"/>
          <w:szCs w:val="16"/>
          <w:rtl/>
        </w:rPr>
        <w:instrText xml:space="preserve"> </w:instrText>
      </w:r>
      <w:r w:rsidRPr="00FE4693">
        <w:rPr>
          <w:rStyle w:val="aff4"/>
          <w:rFonts w:ascii="David" w:eastAsiaTheme="minorEastAsia" w:hAnsi="David" w:cs="David"/>
          <w:b w:val="0"/>
          <w:bCs w:val="0"/>
          <w:noProof w:val="0"/>
          <w:sz w:val="16"/>
          <w:szCs w:val="16"/>
          <w:rtl/>
        </w:rPr>
      </w:r>
      <w:r w:rsidRPr="00FE4693">
        <w:rPr>
          <w:rStyle w:val="aff4"/>
          <w:rFonts w:ascii="David" w:eastAsiaTheme="minorEastAsia" w:hAnsi="David" w:cs="David"/>
          <w:b w:val="0"/>
          <w:bCs w:val="0"/>
          <w:noProof w:val="0"/>
          <w:sz w:val="16"/>
          <w:szCs w:val="16"/>
          <w:rtl/>
        </w:rPr>
        <w:fldChar w:fldCharType="separate"/>
      </w:r>
      <w:r w:rsidR="00D82181">
        <w:rPr>
          <w:rStyle w:val="aff4"/>
          <w:rFonts w:ascii="David" w:eastAsiaTheme="minorEastAsia" w:hAnsi="David" w:cs="David"/>
          <w:b w:val="0"/>
          <w:bCs w:val="0"/>
          <w:noProof w:val="0"/>
          <w:sz w:val="16"/>
          <w:szCs w:val="16"/>
          <w:cs/>
        </w:rPr>
        <w:t>‎</w:t>
      </w:r>
      <w:r w:rsidR="00D82181" w:rsidRPr="00D82181">
        <w:rPr>
          <w:rStyle w:val="aff4"/>
          <w:rFonts w:ascii="David" w:eastAsiaTheme="minorEastAsia" w:hAnsi="David" w:cs="David"/>
          <w:noProof w:val="0"/>
          <w:sz w:val="16"/>
          <w:szCs w:val="16"/>
          <w:rtl/>
        </w:rPr>
        <w:t>מז)</w:t>
      </w:r>
      <w:r w:rsidRPr="00FE4693">
        <w:rPr>
          <w:rStyle w:val="aff4"/>
          <w:rFonts w:ascii="David" w:eastAsiaTheme="minorEastAsia" w:hAnsi="David" w:cs="David"/>
          <w:b w:val="0"/>
          <w:bCs w:val="0"/>
          <w:noProof w:val="0"/>
          <w:sz w:val="16"/>
          <w:szCs w:val="16"/>
          <w:rtl/>
        </w:rPr>
        <w:fldChar w:fldCharType="end"/>
      </w:r>
      <w:r w:rsidRPr="00FE4693">
        <w:rPr>
          <w:rStyle w:val="aff4"/>
          <w:rFonts w:ascii="David" w:eastAsiaTheme="minorEastAsia" w:hAnsi="David" w:cs="David" w:hint="cs"/>
          <w:b w:val="0"/>
          <w:bCs w:val="0"/>
          <w:noProof w:val="0"/>
          <w:sz w:val="16"/>
          <w:szCs w:val="16"/>
          <w:rtl/>
        </w:rPr>
        <w:t xml:space="preserve"> </w:t>
      </w:r>
      <w:r w:rsidRPr="003A14B9">
        <w:rPr>
          <w:rStyle w:val="aff4"/>
          <w:rFonts w:ascii="David" w:eastAsiaTheme="minorEastAsia" w:hAnsi="David" w:cs="David" w:hint="cs"/>
          <w:b w:val="0"/>
          <w:bCs w:val="0"/>
          <w:noProof w:val="0"/>
          <w:sz w:val="16"/>
          <w:szCs w:val="16"/>
          <w:rtl/>
        </w:rPr>
        <w:t>רשב"א</w:t>
      </w:r>
      <w:r w:rsidRPr="003A14B9">
        <w:rPr>
          <w:rFonts w:hint="cs"/>
          <w:rtl/>
        </w:rPr>
        <w:t xml:space="preserve"> </w:t>
      </w:r>
      <w:r w:rsidRPr="00FE4693">
        <w:rPr>
          <w:rStyle w:val="afffffffff3"/>
          <w:rFonts w:hint="cs"/>
          <w:rtl/>
        </w:rPr>
        <w:t>(ד"ה ירושלמי)</w:t>
      </w:r>
      <w:r>
        <w:rPr>
          <w:rtl/>
        </w:rPr>
        <w:t xml:space="preserve"> </w:t>
      </w:r>
      <w:r w:rsidRPr="003A14B9">
        <w:rPr>
          <w:rStyle w:val="aff4"/>
          <w:rFonts w:ascii="David" w:eastAsiaTheme="minorEastAsia" w:hAnsi="David" w:cs="David" w:hint="cs"/>
          <w:b w:val="0"/>
          <w:bCs w:val="0"/>
          <w:noProof w:val="0"/>
          <w:sz w:val="16"/>
          <w:szCs w:val="16"/>
          <w:rtl/>
        </w:rPr>
        <w:t>מאירי</w:t>
      </w:r>
      <w:r w:rsidRPr="003A14B9">
        <w:rPr>
          <w:rFonts w:hint="cs"/>
          <w:rtl/>
        </w:rPr>
        <w:t xml:space="preserve"> </w:t>
      </w:r>
      <w:r w:rsidRPr="00FE4693">
        <w:rPr>
          <w:rStyle w:val="afffffffff3"/>
          <w:rFonts w:hint="cs"/>
          <w:rtl/>
        </w:rPr>
        <w:t>(ד"ה אמר המאירי)</w:t>
      </w:r>
      <w:r>
        <w:rPr>
          <w:rtl/>
        </w:rPr>
        <w:t xml:space="preserve"> </w:t>
      </w:r>
      <w:r w:rsidRPr="003A14B9">
        <w:rPr>
          <w:rStyle w:val="aff4"/>
          <w:rFonts w:ascii="David" w:eastAsiaTheme="minorEastAsia" w:hAnsi="David" w:cs="David" w:hint="cs"/>
          <w:b w:val="0"/>
          <w:bCs w:val="0"/>
          <w:noProof w:val="0"/>
          <w:sz w:val="16"/>
          <w:szCs w:val="16"/>
          <w:rtl/>
        </w:rPr>
        <w:t xml:space="preserve">או"ז </w:t>
      </w:r>
      <w:r w:rsidRPr="00FE4693">
        <w:rPr>
          <w:rStyle w:val="afffffffff3"/>
          <w:rFonts w:hint="cs"/>
          <w:rtl/>
        </w:rPr>
        <w:t>(שבת ריש סי' ע"ח)</w:t>
      </w:r>
      <w:r>
        <w:rPr>
          <w:rtl/>
        </w:rPr>
        <w:t xml:space="preserve"> </w:t>
      </w:r>
      <w:r w:rsidRPr="003A14B9">
        <w:rPr>
          <w:rStyle w:val="aff4"/>
          <w:rFonts w:ascii="David" w:eastAsiaTheme="minorEastAsia" w:hAnsi="David" w:cs="David" w:hint="cs"/>
          <w:b w:val="0"/>
          <w:bCs w:val="0"/>
          <w:noProof w:val="0"/>
          <w:sz w:val="16"/>
          <w:szCs w:val="16"/>
          <w:rtl/>
        </w:rPr>
        <w:t xml:space="preserve">חת"ס </w:t>
      </w:r>
      <w:r w:rsidRPr="00FE4693">
        <w:rPr>
          <w:rStyle w:val="afffffffff3"/>
          <w:rFonts w:hint="cs"/>
          <w:rtl/>
        </w:rPr>
        <w:t>(שו"ת ח"א או"ח סי' ע"ב)</w:t>
      </w:r>
      <w:r>
        <w:rPr>
          <w:rtl/>
        </w:rPr>
        <w:t xml:space="preserve"> </w:t>
      </w:r>
      <w:r w:rsidRPr="003A14B9">
        <w:rPr>
          <w:rStyle w:val="aff4"/>
          <w:rFonts w:ascii="David" w:eastAsiaTheme="minorEastAsia" w:hAnsi="David" w:cs="David" w:hint="cs"/>
          <w:b w:val="0"/>
          <w:bCs w:val="0"/>
          <w:noProof w:val="0"/>
          <w:sz w:val="16"/>
          <w:szCs w:val="16"/>
          <w:rtl/>
        </w:rPr>
        <w:t>או"ש</w:t>
      </w:r>
      <w:r>
        <w:rPr>
          <w:rStyle w:val="aff4"/>
          <w:rFonts w:ascii="David" w:eastAsiaTheme="minorEastAsia" w:hAnsi="David" w:cs="David" w:hint="cs"/>
          <w:b w:val="0"/>
          <w:bCs w:val="0"/>
          <w:noProof w:val="0"/>
          <w:sz w:val="16"/>
          <w:szCs w:val="16"/>
          <w:rtl/>
        </w:rPr>
        <w:t xml:space="preserve"> </w:t>
      </w:r>
      <w:r w:rsidRPr="00FE4693">
        <w:rPr>
          <w:rStyle w:val="afffffffff3"/>
          <w:rFonts w:hint="cs"/>
          <w:rtl/>
        </w:rPr>
        <w:t xml:space="preserve">(עי' אות </w:t>
      </w:r>
      <w:r w:rsidRPr="00FE4693">
        <w:rPr>
          <w:rStyle w:val="afffffffff3"/>
          <w:rtl/>
        </w:rPr>
        <w:fldChar w:fldCharType="begin"/>
      </w:r>
      <w:r w:rsidRPr="00FE4693">
        <w:rPr>
          <w:rStyle w:val="afffffffff3"/>
          <w:rtl/>
        </w:rPr>
        <w:instrText xml:space="preserve"> </w:instrText>
      </w:r>
      <w:r w:rsidRPr="00FE4693">
        <w:rPr>
          <w:rStyle w:val="afffffffff3"/>
          <w:rFonts w:hint="cs"/>
        </w:rPr>
        <w:instrText>REF</w:instrText>
      </w:r>
      <w:r w:rsidRPr="00FE4693">
        <w:rPr>
          <w:rStyle w:val="afffffffff3"/>
          <w:rFonts w:hint="cs"/>
          <w:rtl/>
        </w:rPr>
        <w:instrText xml:space="preserve"> _</w:instrText>
      </w:r>
      <w:r w:rsidRPr="00FE4693">
        <w:rPr>
          <w:rStyle w:val="afffffffff3"/>
          <w:rFonts w:hint="cs"/>
        </w:rPr>
        <w:instrText>Ref143613574 \r \h</w:instrText>
      </w:r>
      <w:r w:rsidRPr="00FE4693">
        <w:rPr>
          <w:rStyle w:val="afffffffff3"/>
          <w:rtl/>
        </w:rPr>
        <w:instrText xml:space="preserve">  \* </w:instrText>
      </w:r>
      <w:r w:rsidRPr="00FE4693">
        <w:rPr>
          <w:rStyle w:val="afffffffff3"/>
        </w:rPr>
        <w:instrText>MERGEFORMAT</w:instrText>
      </w:r>
      <w:r w:rsidRPr="00FE4693">
        <w:rPr>
          <w:rStyle w:val="afffffffff3"/>
          <w:rtl/>
        </w:rPr>
        <w:instrText xml:space="preserve"> </w:instrText>
      </w:r>
      <w:r w:rsidRPr="00FE4693">
        <w:rPr>
          <w:rStyle w:val="afffffffff3"/>
          <w:rtl/>
        </w:rPr>
      </w:r>
      <w:r w:rsidRPr="00FE4693">
        <w:rPr>
          <w:rStyle w:val="afffffffff3"/>
          <w:rtl/>
        </w:rPr>
        <w:fldChar w:fldCharType="separate"/>
      </w:r>
      <w:r w:rsidR="00D82181">
        <w:rPr>
          <w:rStyle w:val="afffffffff3"/>
          <w:cs/>
        </w:rPr>
        <w:t>‎</w:t>
      </w:r>
      <w:r w:rsidR="00D82181">
        <w:rPr>
          <w:rStyle w:val="afffffffff3"/>
          <w:rtl/>
        </w:rPr>
        <w:t>לה)</w:t>
      </w:r>
      <w:r w:rsidRPr="00FE4693">
        <w:rPr>
          <w:rStyle w:val="afffffffff3"/>
          <w:rtl/>
        </w:rPr>
        <w:fldChar w:fldCharType="end"/>
      </w:r>
      <w:r w:rsidRPr="003A14B9">
        <w:rPr>
          <w:rStyle w:val="af2"/>
          <w:rFonts w:ascii="David" w:eastAsiaTheme="minorEastAsia" w:hAnsi="David" w:cs="David" w:hint="cs"/>
          <w:sz w:val="16"/>
          <w:szCs w:val="16"/>
          <w:rtl/>
        </w:rPr>
        <w:t xml:space="preserve"> </w:t>
      </w:r>
      <w:r w:rsidRPr="003A14B9">
        <w:rPr>
          <w:rFonts w:hint="cs"/>
          <w:rtl/>
        </w:rPr>
        <w:t>ו</w:t>
      </w:r>
      <w:r w:rsidRPr="003A14B9">
        <w:rPr>
          <w:rStyle w:val="aff4"/>
          <w:rFonts w:ascii="David" w:eastAsiaTheme="minorEastAsia" w:hAnsi="David" w:cs="David" w:hint="cs"/>
          <w:b w:val="0"/>
          <w:bCs w:val="0"/>
          <w:noProof w:val="0"/>
          <w:sz w:val="16"/>
          <w:szCs w:val="16"/>
          <w:rtl/>
        </w:rPr>
        <w:t>ה</w:t>
      </w:r>
      <w:r w:rsidRPr="00FE4693">
        <w:rPr>
          <w:rFonts w:hint="cs"/>
          <w:b/>
          <w:bCs/>
          <w:rtl/>
        </w:rPr>
        <w:t xml:space="preserve"> </w:t>
      </w:r>
      <w:r w:rsidRPr="003A14B9">
        <w:rPr>
          <w:rStyle w:val="aff4"/>
          <w:rFonts w:ascii="David" w:eastAsiaTheme="minorEastAsia" w:hAnsi="David" w:cs="David" w:hint="cs"/>
          <w:b w:val="0"/>
          <w:bCs w:val="0"/>
          <w:noProof w:val="0"/>
          <w:sz w:val="16"/>
          <w:szCs w:val="16"/>
          <w:rtl/>
        </w:rPr>
        <w:t xml:space="preserve">שביתת השבת </w:t>
      </w:r>
      <w:r w:rsidRPr="00FE4693">
        <w:rPr>
          <w:rStyle w:val="afffffffff3"/>
          <w:rFonts w:hint="cs"/>
          <w:rtl/>
        </w:rPr>
        <w:t>(מעשה חושב פתיחה לשבת, ריש דיני מלאכה שאינה לקיום)</w:t>
      </w:r>
      <w:r>
        <w:rPr>
          <w:rtl/>
        </w:rPr>
        <w:t xml:space="preserve"> </w:t>
      </w:r>
      <w:r w:rsidRPr="003A14B9">
        <w:rPr>
          <w:rStyle w:val="aff4"/>
          <w:rFonts w:ascii="David" w:eastAsiaTheme="minorEastAsia" w:hAnsi="David" w:cs="David" w:hint="cs"/>
          <w:b w:val="0"/>
          <w:bCs w:val="0"/>
          <w:noProof w:val="0"/>
          <w:sz w:val="16"/>
          <w:szCs w:val="16"/>
          <w:rtl/>
        </w:rPr>
        <w:t>ישועות</w:t>
      </w:r>
      <w:r w:rsidRPr="003A14B9">
        <w:rPr>
          <w:rFonts w:hint="cs"/>
          <w:rtl/>
        </w:rPr>
        <w:t xml:space="preserve"> </w:t>
      </w:r>
      <w:r w:rsidRPr="003A14B9">
        <w:rPr>
          <w:rStyle w:val="aff4"/>
          <w:rFonts w:ascii="David" w:eastAsiaTheme="minorEastAsia" w:hAnsi="David" w:cs="David" w:hint="cs"/>
          <w:b w:val="0"/>
          <w:bCs w:val="0"/>
          <w:noProof w:val="0"/>
          <w:sz w:val="16"/>
          <w:szCs w:val="16"/>
          <w:rtl/>
        </w:rPr>
        <w:t>יעקב</w:t>
      </w:r>
      <w:r w:rsidRPr="003A14B9">
        <w:rPr>
          <w:rFonts w:hint="cs"/>
          <w:rtl/>
        </w:rPr>
        <w:t xml:space="preserve"> </w:t>
      </w:r>
      <w:r w:rsidRPr="00FE4693">
        <w:rPr>
          <w:rStyle w:val="afffffffff3"/>
          <w:rFonts w:hint="cs"/>
          <w:rtl/>
        </w:rPr>
        <w:t>(סי' שט"ו סק"א)</w:t>
      </w:r>
      <w:r>
        <w:rPr>
          <w:rtl/>
        </w:rPr>
        <w:t xml:space="preserve"> </w:t>
      </w:r>
      <w:r w:rsidRPr="003A14B9">
        <w:rPr>
          <w:rStyle w:val="aff4"/>
          <w:rFonts w:ascii="David" w:eastAsiaTheme="minorEastAsia" w:hAnsi="David" w:cs="David" w:hint="cs"/>
          <w:b w:val="0"/>
          <w:bCs w:val="0"/>
          <w:noProof w:val="0"/>
          <w:sz w:val="16"/>
          <w:szCs w:val="16"/>
          <w:rtl/>
        </w:rPr>
        <w:t>אבני</w:t>
      </w:r>
      <w:r w:rsidRPr="003A14B9">
        <w:rPr>
          <w:rFonts w:hint="cs"/>
          <w:rtl/>
        </w:rPr>
        <w:t xml:space="preserve"> </w:t>
      </w:r>
      <w:r w:rsidRPr="003A14B9">
        <w:rPr>
          <w:rStyle w:val="aff4"/>
          <w:rFonts w:ascii="David" w:eastAsiaTheme="minorEastAsia" w:hAnsi="David" w:cs="David" w:hint="cs"/>
          <w:b w:val="0"/>
          <w:bCs w:val="0"/>
          <w:noProof w:val="0"/>
          <w:sz w:val="16"/>
          <w:szCs w:val="16"/>
          <w:rtl/>
        </w:rPr>
        <w:t>נזר</w:t>
      </w:r>
      <w:r w:rsidRPr="003A14B9">
        <w:rPr>
          <w:rFonts w:hint="cs"/>
          <w:rtl/>
        </w:rPr>
        <w:t xml:space="preserve"> </w:t>
      </w:r>
      <w:r w:rsidRPr="00FE4693">
        <w:rPr>
          <w:rStyle w:val="afffffffff3"/>
          <w:rFonts w:hint="cs"/>
          <w:rtl/>
        </w:rPr>
        <w:t>(או"ח סי' רי"א אות כ')</w:t>
      </w:r>
      <w:r>
        <w:rPr>
          <w:rtl/>
        </w:rPr>
        <w:t>,</w:t>
      </w:r>
      <w:r w:rsidRPr="00FE4693">
        <w:rPr>
          <w:rStyle w:val="aff4"/>
          <w:rFonts w:ascii="David" w:eastAsiaTheme="minorEastAsia" w:hAnsi="David" w:cs="David" w:hint="cs"/>
          <w:noProof w:val="0"/>
          <w:sz w:val="16"/>
          <w:szCs w:val="16"/>
          <w:rtl/>
        </w:rPr>
        <w:t xml:space="preserve"> </w:t>
      </w:r>
      <w:r w:rsidRPr="00FE4693">
        <w:rPr>
          <w:rStyle w:val="aff4"/>
          <w:rFonts w:ascii="David" w:eastAsiaTheme="minorEastAsia" w:hAnsi="David" w:cs="David"/>
          <w:noProof w:val="0"/>
          <w:sz w:val="16"/>
          <w:szCs w:val="16"/>
          <w:rtl/>
        </w:rPr>
        <w:fldChar w:fldCharType="begin"/>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hint="cs"/>
          <w:noProof w:val="0"/>
          <w:sz w:val="16"/>
          <w:szCs w:val="16"/>
        </w:rPr>
        <w:instrText>REF</w:instrText>
      </w:r>
      <w:r w:rsidRPr="00FE4693">
        <w:rPr>
          <w:rStyle w:val="aff4"/>
          <w:rFonts w:ascii="David" w:eastAsiaTheme="minorEastAsia" w:hAnsi="David" w:cs="David" w:hint="cs"/>
          <w:noProof w:val="0"/>
          <w:sz w:val="16"/>
          <w:szCs w:val="16"/>
          <w:rtl/>
        </w:rPr>
        <w:instrText xml:space="preserve"> _</w:instrText>
      </w:r>
      <w:r w:rsidRPr="00FE4693">
        <w:rPr>
          <w:rStyle w:val="aff4"/>
          <w:rFonts w:ascii="David" w:eastAsiaTheme="minorEastAsia" w:hAnsi="David" w:cs="David" w:hint="cs"/>
          <w:noProof w:val="0"/>
          <w:sz w:val="16"/>
          <w:szCs w:val="16"/>
        </w:rPr>
        <w:instrText>Ref143159470 \r \h</w:instrText>
      </w:r>
      <w:r w:rsidRPr="00FE4693">
        <w:rPr>
          <w:rStyle w:val="aff4"/>
          <w:rFonts w:ascii="David" w:eastAsiaTheme="minorEastAsia" w:hAnsi="David" w:cs="David"/>
          <w:noProof w:val="0"/>
          <w:sz w:val="16"/>
          <w:szCs w:val="16"/>
          <w:rtl/>
        </w:rPr>
        <w:instrText xml:space="preserve">  \* </w:instrText>
      </w:r>
      <w:r w:rsidRPr="00FE4693">
        <w:rPr>
          <w:rStyle w:val="aff4"/>
          <w:rFonts w:ascii="David" w:eastAsiaTheme="minorEastAsia" w:hAnsi="David" w:cs="David"/>
          <w:noProof w:val="0"/>
          <w:sz w:val="16"/>
          <w:szCs w:val="16"/>
        </w:rPr>
        <w:instrText>MERGEFORMAT</w:instrText>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tl/>
        </w:rPr>
      </w:r>
      <w:r w:rsidRPr="00FE4693">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מט)</w:t>
      </w:r>
      <w:r w:rsidRPr="00FE4693">
        <w:rPr>
          <w:rStyle w:val="aff4"/>
          <w:rFonts w:ascii="David" w:eastAsiaTheme="minorEastAsia" w:hAnsi="David" w:cs="David"/>
          <w:noProof w:val="0"/>
          <w:sz w:val="16"/>
          <w:szCs w:val="16"/>
          <w:rtl/>
        </w:rPr>
        <w:fldChar w:fldCharType="end"/>
      </w:r>
      <w:r w:rsidRPr="00FE4693">
        <w:rPr>
          <w:rStyle w:val="aff4"/>
          <w:rFonts w:ascii="David" w:eastAsiaTheme="minorEastAsia" w:hAnsi="David" w:cs="David" w:hint="cs"/>
          <w:noProof w:val="0"/>
          <w:sz w:val="16"/>
          <w:szCs w:val="16"/>
          <w:rtl/>
        </w:rPr>
        <w:t xml:space="preserve"> </w:t>
      </w:r>
      <w:r w:rsidRPr="003A14B9">
        <w:rPr>
          <w:rStyle w:val="aff4"/>
          <w:rFonts w:ascii="David" w:eastAsiaTheme="minorEastAsia" w:hAnsi="David" w:cs="David" w:hint="cs"/>
          <w:b w:val="0"/>
          <w:bCs w:val="0"/>
          <w:noProof w:val="0"/>
          <w:sz w:val="16"/>
          <w:szCs w:val="16"/>
          <w:rtl/>
        </w:rPr>
        <w:t>נודע ביהודה</w:t>
      </w:r>
      <w:r w:rsidRPr="003A14B9">
        <w:rPr>
          <w:rFonts w:hint="cs"/>
          <w:rtl/>
        </w:rPr>
        <w:t xml:space="preserve"> </w:t>
      </w:r>
      <w:r w:rsidRPr="00FE4693">
        <w:rPr>
          <w:rStyle w:val="afffffffff3"/>
          <w:rFonts w:hint="cs"/>
          <w:rtl/>
        </w:rPr>
        <w:t>(מהדו"ת או"ח סי' ל')</w:t>
      </w:r>
      <w:r>
        <w:rPr>
          <w:rtl/>
        </w:rPr>
        <w:t xml:space="preserve"> </w:t>
      </w:r>
      <w:r w:rsidRPr="003A14B9">
        <w:rPr>
          <w:rStyle w:val="aff4"/>
          <w:rFonts w:ascii="David" w:eastAsiaTheme="minorEastAsia" w:hAnsi="David" w:cs="David" w:hint="cs"/>
          <w:b w:val="0"/>
          <w:bCs w:val="0"/>
          <w:noProof w:val="0"/>
          <w:sz w:val="16"/>
          <w:szCs w:val="16"/>
          <w:rtl/>
        </w:rPr>
        <w:t>שביתת השבת</w:t>
      </w:r>
      <w:r w:rsidRPr="003A14B9">
        <w:rPr>
          <w:rFonts w:hint="cs"/>
          <w:rtl/>
        </w:rPr>
        <w:t xml:space="preserve"> </w:t>
      </w:r>
      <w:r w:rsidRPr="00FE4693">
        <w:rPr>
          <w:rStyle w:val="afffffffff3"/>
          <w:rFonts w:hint="cs"/>
          <w:rtl/>
        </w:rPr>
        <w:t>(מעשה חושב פתיחה לשבת, ריש דיני מלאכה שאינה לקיום)</w:t>
      </w:r>
      <w:r>
        <w:rPr>
          <w:rtl/>
        </w:rPr>
        <w:t>,</w:t>
      </w:r>
      <w:r w:rsidRPr="00FE4693">
        <w:rPr>
          <w:rFonts w:hint="cs"/>
          <w:b/>
          <w:bCs/>
          <w:rtl/>
        </w:rPr>
        <w:t xml:space="preserve"> </w:t>
      </w:r>
      <w:r w:rsidRPr="00FE4693">
        <w:rPr>
          <w:b/>
          <w:bCs/>
          <w:rtl/>
        </w:rPr>
        <w:fldChar w:fldCharType="begin"/>
      </w:r>
      <w:r w:rsidRPr="00FE4693">
        <w:rPr>
          <w:b/>
          <w:bCs/>
          <w:rtl/>
        </w:rPr>
        <w:instrText xml:space="preserve"> </w:instrText>
      </w:r>
      <w:r w:rsidRPr="00FE4693">
        <w:rPr>
          <w:rFonts w:hint="cs"/>
          <w:b/>
          <w:bCs/>
        </w:rPr>
        <w:instrText>REF</w:instrText>
      </w:r>
      <w:r w:rsidRPr="00FE4693">
        <w:rPr>
          <w:rFonts w:hint="cs"/>
          <w:b/>
          <w:bCs/>
          <w:rtl/>
        </w:rPr>
        <w:instrText xml:space="preserve"> _</w:instrText>
      </w:r>
      <w:r w:rsidRPr="00FE4693">
        <w:rPr>
          <w:rFonts w:hint="cs"/>
          <w:b/>
          <w:bCs/>
        </w:rPr>
        <w:instrText>Ref141869965 \r \h</w:instrText>
      </w:r>
      <w:r w:rsidRPr="00FE4693">
        <w:rPr>
          <w:b/>
          <w:bCs/>
          <w:rtl/>
        </w:rPr>
        <w:instrText xml:space="preserve">  \* </w:instrText>
      </w:r>
      <w:r w:rsidRPr="00FE4693">
        <w:rPr>
          <w:b/>
          <w:bCs/>
        </w:rPr>
        <w:instrText>MERGEFORMAT</w:instrText>
      </w:r>
      <w:r w:rsidRPr="00FE4693">
        <w:rPr>
          <w:b/>
          <w:bCs/>
          <w:rtl/>
        </w:rPr>
        <w:instrText xml:space="preserve"> </w:instrText>
      </w:r>
      <w:r w:rsidRPr="00FE4693">
        <w:rPr>
          <w:b/>
          <w:bCs/>
          <w:rtl/>
        </w:rPr>
      </w:r>
      <w:r w:rsidRPr="00FE4693">
        <w:rPr>
          <w:b/>
          <w:bCs/>
          <w:rtl/>
        </w:rPr>
        <w:fldChar w:fldCharType="separate"/>
      </w:r>
      <w:r w:rsidR="00D82181">
        <w:rPr>
          <w:b/>
          <w:bCs/>
          <w:cs/>
        </w:rPr>
        <w:t>‎</w:t>
      </w:r>
      <w:r w:rsidR="00D82181">
        <w:rPr>
          <w:b/>
          <w:bCs/>
          <w:rtl/>
        </w:rPr>
        <w:t>נ)</w:t>
      </w:r>
      <w:r w:rsidRPr="00FE4693">
        <w:rPr>
          <w:b/>
          <w:bCs/>
          <w:rtl/>
        </w:rPr>
        <w:fldChar w:fldCharType="end"/>
      </w:r>
      <w:r w:rsidRPr="00FE4693">
        <w:rPr>
          <w:rFonts w:hint="cs"/>
          <w:b/>
          <w:bCs/>
          <w:rtl/>
        </w:rPr>
        <w:t xml:space="preserve"> </w:t>
      </w:r>
      <w:r w:rsidRPr="003A14B9">
        <w:rPr>
          <w:rStyle w:val="aff4"/>
          <w:rFonts w:ascii="David" w:eastAsiaTheme="minorEastAsia" w:hAnsi="David" w:cs="David" w:hint="cs"/>
          <w:b w:val="0"/>
          <w:bCs w:val="0"/>
          <w:noProof w:val="0"/>
          <w:sz w:val="16"/>
          <w:szCs w:val="16"/>
          <w:rtl/>
        </w:rPr>
        <w:t>רש"י לקמן</w:t>
      </w:r>
      <w:r w:rsidRPr="003A14B9">
        <w:rPr>
          <w:rFonts w:hint="cs"/>
          <w:rtl/>
        </w:rPr>
        <w:t xml:space="preserve"> </w:t>
      </w:r>
      <w:r w:rsidRPr="00FE4693">
        <w:rPr>
          <w:rStyle w:val="afffffffff3"/>
          <w:rFonts w:hint="cs"/>
          <w:rtl/>
        </w:rPr>
        <w:t>(קכו. ד"ה והמונח)</w:t>
      </w:r>
      <w:r>
        <w:rPr>
          <w:rtl/>
        </w:rPr>
        <w:t xml:space="preserve"> </w:t>
      </w:r>
      <w:r w:rsidRPr="003A14B9">
        <w:rPr>
          <w:rStyle w:val="aff4"/>
          <w:rFonts w:ascii="David" w:eastAsiaTheme="minorEastAsia" w:hAnsi="David" w:cs="David" w:hint="cs"/>
          <w:b w:val="0"/>
          <w:bCs w:val="0"/>
          <w:noProof w:val="0"/>
          <w:sz w:val="16"/>
          <w:szCs w:val="16"/>
          <w:rtl/>
        </w:rPr>
        <w:t>עירובין</w:t>
      </w:r>
      <w:r w:rsidRPr="003A14B9">
        <w:rPr>
          <w:rFonts w:hint="cs"/>
          <w:rtl/>
        </w:rPr>
        <w:t xml:space="preserve"> </w:t>
      </w:r>
      <w:r w:rsidRPr="00FE4693">
        <w:rPr>
          <w:rStyle w:val="afffffffff3"/>
          <w:rFonts w:hint="cs"/>
          <w:rtl/>
        </w:rPr>
        <w:t>(קב. ד"ה והמונח)</w:t>
      </w:r>
      <w:r>
        <w:rPr>
          <w:rtl/>
        </w:rPr>
        <w:t xml:space="preserve"> </w:t>
      </w:r>
      <w:r w:rsidRPr="003A14B9">
        <w:rPr>
          <w:rStyle w:val="aff4"/>
          <w:rFonts w:ascii="David" w:eastAsiaTheme="minorEastAsia" w:hAnsi="David" w:cs="David" w:hint="cs"/>
          <w:b w:val="0"/>
          <w:bCs w:val="0"/>
          <w:noProof w:val="0"/>
          <w:sz w:val="16"/>
          <w:szCs w:val="16"/>
          <w:rtl/>
        </w:rPr>
        <w:t>תוס' לקמן</w:t>
      </w:r>
      <w:r w:rsidRPr="003A14B9">
        <w:rPr>
          <w:rFonts w:hint="cs"/>
          <w:rtl/>
        </w:rPr>
        <w:t xml:space="preserve"> </w:t>
      </w:r>
      <w:r w:rsidRPr="00FE4693">
        <w:rPr>
          <w:rStyle w:val="afffffffff3"/>
          <w:rFonts w:hint="cs"/>
          <w:rtl/>
        </w:rPr>
        <w:t>(קכו. ד"ה והמונח)</w:t>
      </w:r>
      <w:r>
        <w:rPr>
          <w:rtl/>
        </w:rPr>
        <w:t xml:space="preserve"> </w:t>
      </w:r>
      <w:r w:rsidRPr="003A14B9">
        <w:rPr>
          <w:rStyle w:val="aff4"/>
          <w:rFonts w:ascii="David" w:eastAsiaTheme="minorEastAsia" w:hAnsi="David" w:cs="David" w:hint="cs"/>
          <w:b w:val="0"/>
          <w:bCs w:val="0"/>
          <w:noProof w:val="0"/>
          <w:sz w:val="16"/>
          <w:szCs w:val="16"/>
          <w:rtl/>
        </w:rPr>
        <w:t xml:space="preserve">ריטב"א </w:t>
      </w:r>
      <w:r w:rsidRPr="003A14B9">
        <w:rPr>
          <w:rStyle w:val="aff4"/>
          <w:rFonts w:ascii="David" w:eastAsiaTheme="minorEastAsia" w:hAnsi="David" w:cs="David" w:hint="cs"/>
          <w:b w:val="0"/>
          <w:bCs w:val="0"/>
          <w:noProof w:val="0"/>
          <w:sz w:val="16"/>
          <w:szCs w:val="16"/>
          <w:rtl/>
        </w:rPr>
        <w:lastRenderedPageBreak/>
        <w:t xml:space="preserve">בעירובין </w:t>
      </w:r>
      <w:r w:rsidRPr="00FE4693">
        <w:rPr>
          <w:rStyle w:val="afffffffff3"/>
          <w:rFonts w:hint="cs"/>
          <w:rtl/>
        </w:rPr>
        <w:t>(קב. ד"ה והמונח)</w:t>
      </w:r>
      <w:r>
        <w:rPr>
          <w:rtl/>
        </w:rPr>
        <w:t xml:space="preserve"> </w:t>
      </w:r>
      <w:r w:rsidRPr="003A14B9">
        <w:rPr>
          <w:rStyle w:val="aff4"/>
          <w:rFonts w:ascii="David" w:eastAsiaTheme="minorEastAsia" w:hAnsi="David" w:cs="David" w:hint="cs"/>
          <w:b w:val="0"/>
          <w:bCs w:val="0"/>
          <w:noProof w:val="0"/>
          <w:sz w:val="16"/>
          <w:szCs w:val="16"/>
          <w:rtl/>
        </w:rPr>
        <w:t xml:space="preserve">ברוך טעם בשו"ת עטרת חכמים </w:t>
      </w:r>
      <w:r w:rsidRPr="00FE4693">
        <w:rPr>
          <w:rStyle w:val="afffffffff3"/>
          <w:rFonts w:hint="cs"/>
          <w:rtl/>
        </w:rPr>
        <w:t>(או"ח סי' ו' ד"ה ודע דאי')</w:t>
      </w:r>
      <w:r>
        <w:rPr>
          <w:rtl/>
        </w:rPr>
        <w:t>,</w:t>
      </w:r>
      <w:r w:rsidRPr="00FE4693">
        <w:rPr>
          <w:rStyle w:val="aff4"/>
          <w:rFonts w:ascii="David" w:eastAsiaTheme="minorEastAsia" w:hAnsi="David" w:cs="David" w:hint="cs"/>
          <w:noProof w:val="0"/>
          <w:sz w:val="16"/>
          <w:szCs w:val="16"/>
          <w:rtl/>
        </w:rPr>
        <w:t xml:space="preserve"> </w:t>
      </w:r>
      <w:r w:rsidRPr="00FE4693">
        <w:rPr>
          <w:rStyle w:val="aff4"/>
          <w:rFonts w:ascii="David" w:eastAsiaTheme="minorEastAsia" w:hAnsi="David" w:cs="David"/>
          <w:noProof w:val="0"/>
          <w:sz w:val="16"/>
          <w:szCs w:val="16"/>
          <w:rtl/>
        </w:rPr>
        <w:fldChar w:fldCharType="begin"/>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hint="cs"/>
          <w:noProof w:val="0"/>
          <w:sz w:val="16"/>
          <w:szCs w:val="16"/>
        </w:rPr>
        <w:instrText>REF</w:instrText>
      </w:r>
      <w:r w:rsidRPr="00FE4693">
        <w:rPr>
          <w:rStyle w:val="aff4"/>
          <w:rFonts w:ascii="David" w:eastAsiaTheme="minorEastAsia" w:hAnsi="David" w:cs="David" w:hint="cs"/>
          <w:noProof w:val="0"/>
          <w:sz w:val="16"/>
          <w:szCs w:val="16"/>
          <w:rtl/>
        </w:rPr>
        <w:instrText xml:space="preserve"> _</w:instrText>
      </w:r>
      <w:r w:rsidRPr="00FE4693">
        <w:rPr>
          <w:rStyle w:val="aff4"/>
          <w:rFonts w:ascii="David" w:eastAsiaTheme="minorEastAsia" w:hAnsi="David" w:cs="David" w:hint="cs"/>
          <w:noProof w:val="0"/>
          <w:sz w:val="16"/>
          <w:szCs w:val="16"/>
        </w:rPr>
        <w:instrText>Ref143419852 \r \h</w:instrText>
      </w:r>
      <w:r w:rsidRPr="00FE4693">
        <w:rPr>
          <w:rStyle w:val="aff4"/>
          <w:rFonts w:ascii="David" w:eastAsiaTheme="minorEastAsia" w:hAnsi="David" w:cs="David"/>
          <w:noProof w:val="0"/>
          <w:sz w:val="16"/>
          <w:szCs w:val="16"/>
          <w:rtl/>
        </w:rPr>
        <w:instrText xml:space="preserve">  \* </w:instrText>
      </w:r>
      <w:r w:rsidRPr="00FE4693">
        <w:rPr>
          <w:rStyle w:val="aff4"/>
          <w:rFonts w:ascii="David" w:eastAsiaTheme="minorEastAsia" w:hAnsi="David" w:cs="David"/>
          <w:noProof w:val="0"/>
          <w:sz w:val="16"/>
          <w:szCs w:val="16"/>
        </w:rPr>
        <w:instrText>MERGEFORMAT</w:instrText>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tl/>
        </w:rPr>
      </w:r>
      <w:r w:rsidRPr="00FE4693">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נא)</w:t>
      </w:r>
      <w:r w:rsidRPr="00FE4693">
        <w:rPr>
          <w:rStyle w:val="aff4"/>
          <w:rFonts w:ascii="David" w:eastAsiaTheme="minorEastAsia" w:hAnsi="David" w:cs="David"/>
          <w:noProof w:val="0"/>
          <w:sz w:val="16"/>
          <w:szCs w:val="16"/>
          <w:rtl/>
        </w:rPr>
        <w:fldChar w:fldCharType="end"/>
      </w:r>
      <w:r w:rsidRPr="00FE4693">
        <w:rPr>
          <w:rStyle w:val="aff4"/>
          <w:rFonts w:ascii="David" w:eastAsiaTheme="minorEastAsia" w:hAnsi="David" w:cs="David" w:hint="cs"/>
          <w:noProof w:val="0"/>
          <w:sz w:val="16"/>
          <w:szCs w:val="16"/>
          <w:rtl/>
        </w:rPr>
        <w:t xml:space="preserve"> </w:t>
      </w:r>
      <w:r w:rsidRPr="003A14B9">
        <w:rPr>
          <w:rStyle w:val="aff4"/>
          <w:rFonts w:ascii="David" w:eastAsiaTheme="minorEastAsia" w:hAnsi="David" w:cs="David" w:hint="cs"/>
          <w:b w:val="0"/>
          <w:bCs w:val="0"/>
          <w:noProof w:val="0"/>
          <w:sz w:val="16"/>
          <w:szCs w:val="16"/>
          <w:rtl/>
        </w:rPr>
        <w:t>חזו"א</w:t>
      </w:r>
      <w:r w:rsidRPr="003A14B9">
        <w:rPr>
          <w:rFonts w:hint="cs"/>
          <w:rtl/>
        </w:rPr>
        <w:t xml:space="preserve"> </w:t>
      </w:r>
      <w:r w:rsidRPr="00FE4693">
        <w:rPr>
          <w:rStyle w:val="afffffffff3"/>
          <w:rFonts w:hint="cs"/>
          <w:rtl/>
        </w:rPr>
        <w:t>(סי' ס"א ס"ק א' ד"ה ובאותיות)</w:t>
      </w:r>
      <w:r>
        <w:rPr>
          <w:rtl/>
        </w:rPr>
        <w:t xml:space="preserve"> </w:t>
      </w:r>
    </w:p>
    <w:p w14:paraId="7EF71F89" w14:textId="77777777" w:rsidR="00376F67" w:rsidRDefault="00376F67" w:rsidP="00376F67">
      <w:pPr>
        <w:pStyle w:val="TOC2"/>
        <w:rPr>
          <w:rFonts w:cstheme="minorBidi"/>
          <w:b w:val="0"/>
          <w:bCs w:val="0"/>
          <w:sz w:val="22"/>
          <w:szCs w:val="22"/>
          <w:rtl/>
        </w:rPr>
      </w:pPr>
      <w:hyperlink w:anchor="_Toc143770637" w:history="1">
        <w:r w:rsidRPr="009F263C">
          <w:rPr>
            <w:rStyle w:val="Hyperlink"/>
            <w:rtl/>
          </w:rPr>
          <w:t>בד' הבבלי אי ס"ל כהירושלמי דבנין לשעה הוי בנין</w:t>
        </w:r>
      </w:hyperlink>
    </w:p>
    <w:p w14:paraId="6981BEC2" w14:textId="77777777" w:rsidR="00376F67" w:rsidRDefault="00376F67" w:rsidP="00ED704E">
      <w:pPr>
        <w:pStyle w:val="TOC3"/>
        <w:rPr>
          <w:rFonts w:asciiTheme="minorHAnsi" w:eastAsiaTheme="minorEastAsia" w:hAnsiTheme="minorHAnsi" w:cstheme="minorBidi"/>
          <w:sz w:val="22"/>
          <w:szCs w:val="22"/>
          <w:rtl/>
        </w:rPr>
      </w:pPr>
      <w:hyperlink w:anchor="_Toc143770638" w:history="1">
        <w:r w:rsidRPr="009F263C">
          <w:rPr>
            <w:rStyle w:val="Hyperlink"/>
            <w:rtl/>
          </w:rPr>
          <w:t>בי' הראשונים דבירושלמי איתא דבנין לשעה הוי בנין ומשמע דהבבלי לא פליג בזה</w:t>
        </w:r>
      </w:hyperlink>
    </w:p>
    <w:p w14:paraId="317FF936" w14:textId="77777777" w:rsidR="00376F67" w:rsidRDefault="00376F67" w:rsidP="00ED704E">
      <w:pPr>
        <w:pStyle w:val="TOC3"/>
        <w:rPr>
          <w:rFonts w:asciiTheme="minorHAnsi" w:eastAsiaTheme="minorEastAsia" w:hAnsiTheme="minorHAnsi" w:cstheme="minorBidi"/>
          <w:sz w:val="22"/>
          <w:szCs w:val="22"/>
          <w:rtl/>
        </w:rPr>
      </w:pPr>
      <w:hyperlink w:anchor="_Toc143770639" w:history="1">
        <w:r w:rsidRPr="009F263C">
          <w:rPr>
            <w:rStyle w:val="Hyperlink"/>
            <w:rtl/>
          </w:rPr>
          <w:t>פלוגתת האחרונים אי הבבלי פליג על הירושלמי ופוטר בבנין לשעה או דמודה לירושלמי</w:t>
        </w:r>
      </w:hyperlink>
    </w:p>
    <w:p w14:paraId="15885334" w14:textId="77777777" w:rsidR="00376F67" w:rsidRDefault="00376F67" w:rsidP="00ED704E">
      <w:pPr>
        <w:pStyle w:val="TOC3"/>
        <w:rPr>
          <w:rFonts w:asciiTheme="minorHAnsi" w:eastAsiaTheme="minorEastAsia" w:hAnsiTheme="minorHAnsi" w:cstheme="minorBidi"/>
          <w:sz w:val="22"/>
          <w:szCs w:val="22"/>
          <w:rtl/>
        </w:rPr>
      </w:pPr>
      <w:hyperlink w:anchor="_Toc143770640" w:history="1">
        <w:r w:rsidRPr="009F263C">
          <w:rPr>
            <w:rStyle w:val="Hyperlink"/>
            <w:rtl/>
          </w:rPr>
          <w:t>בי' השביתת שבת בנודע ביהודה דס"ל דקיי"ל כירושלמי דבנין לשעה הוי בנין</w:t>
        </w:r>
      </w:hyperlink>
    </w:p>
    <w:p w14:paraId="29ECA96A" w14:textId="77777777" w:rsidR="00376F67" w:rsidRDefault="00376F67" w:rsidP="00ED704E">
      <w:pPr>
        <w:pStyle w:val="TOC3"/>
        <w:rPr>
          <w:rFonts w:asciiTheme="minorHAnsi" w:eastAsiaTheme="minorEastAsia" w:hAnsiTheme="minorHAnsi" w:cstheme="minorBidi"/>
          <w:sz w:val="22"/>
          <w:szCs w:val="22"/>
          <w:rtl/>
        </w:rPr>
      </w:pPr>
      <w:hyperlink w:anchor="_Toc143770641" w:history="1">
        <w:r w:rsidRPr="009F263C">
          <w:rPr>
            <w:rStyle w:val="Hyperlink"/>
            <w:rtl/>
          </w:rPr>
          <w:t>בי' הברוך טעם ברש"י לקמן ובעירובין דס"ל דבנין לשעה הוי בנין ודלא כתוס' והריטב"א</w:t>
        </w:r>
      </w:hyperlink>
    </w:p>
    <w:p w14:paraId="772C11D5" w14:textId="77777777" w:rsidR="00376F67" w:rsidRDefault="00376F67" w:rsidP="00376F67">
      <w:pPr>
        <w:pStyle w:val="TOC2"/>
        <w:rPr>
          <w:rFonts w:cstheme="minorBidi"/>
          <w:b w:val="0"/>
          <w:bCs w:val="0"/>
          <w:sz w:val="22"/>
          <w:szCs w:val="22"/>
          <w:rtl/>
        </w:rPr>
      </w:pPr>
      <w:hyperlink w:anchor="_Toc143770642" w:history="1">
        <w:r w:rsidRPr="009F263C">
          <w:rPr>
            <w:rStyle w:val="Hyperlink"/>
            <w:rtl/>
          </w:rPr>
          <w:t>בי' החזו"א דעיקר גדר בונה הוא הקביעות ול"ד לשאר מלאכות</w:t>
        </w:r>
      </w:hyperlink>
    </w:p>
    <w:p w14:paraId="70B51FC6" w14:textId="77777777" w:rsidR="00376F67" w:rsidRDefault="00376F67" w:rsidP="00ED704E">
      <w:pPr>
        <w:pStyle w:val="TOC3"/>
        <w:rPr>
          <w:rFonts w:asciiTheme="minorHAnsi" w:eastAsiaTheme="minorEastAsia" w:hAnsiTheme="minorHAnsi" w:cstheme="minorBidi"/>
          <w:sz w:val="22"/>
          <w:szCs w:val="22"/>
          <w:rtl/>
        </w:rPr>
      </w:pPr>
      <w:hyperlink w:anchor="_Toc143770643" w:history="1">
        <w:r w:rsidRPr="009F263C">
          <w:rPr>
            <w:rStyle w:val="Hyperlink"/>
            <w:rtl/>
          </w:rPr>
          <w:t>בי' החזו"א דעיקר גדר בונה הוא הקביעות במלאכה דהמבטל אבן הוי בונה ובלא ביטל ל"ה בונה</w:t>
        </w:r>
      </w:hyperlink>
    </w:p>
    <w:p w14:paraId="6F90D175" w14:textId="77777777" w:rsidR="00376F67" w:rsidRDefault="00376F67" w:rsidP="00376F67">
      <w:pPr>
        <w:pStyle w:val="TOC1"/>
        <w:rPr>
          <w:rFonts w:asciiTheme="minorHAnsi" w:hAnsiTheme="minorHAnsi" w:cstheme="minorBidi"/>
          <w:b w:val="0"/>
          <w:bCs w:val="0"/>
          <w:caps w:val="0"/>
          <w:sz w:val="22"/>
          <w:szCs w:val="22"/>
          <w:rtl/>
        </w:rPr>
      </w:pPr>
      <w:hyperlink w:anchor="_Toc143770644" w:history="1">
        <w:r w:rsidRPr="009F263C">
          <w:rPr>
            <w:rStyle w:val="Hyperlink"/>
            <w:rtl/>
          </w:rPr>
          <w:t>~~~~~~~~~~~~~~~~~~~~~~~~~~~~</w:t>
        </w:r>
      </w:hyperlink>
    </w:p>
    <w:p w14:paraId="21C07050" w14:textId="77777777" w:rsidR="00376F67" w:rsidRDefault="00376F67" w:rsidP="00376F67">
      <w:pPr>
        <w:pStyle w:val="TOC1"/>
        <w:rPr>
          <w:rFonts w:asciiTheme="minorHAnsi" w:hAnsiTheme="minorHAnsi" w:cstheme="minorBidi"/>
          <w:b w:val="0"/>
          <w:bCs w:val="0"/>
          <w:caps w:val="0"/>
          <w:sz w:val="22"/>
          <w:szCs w:val="22"/>
          <w:rtl/>
        </w:rPr>
      </w:pPr>
      <w:hyperlink w:anchor="_Toc143770645" w:history="1">
        <w:r w:rsidRPr="009F263C">
          <w:rPr>
            <w:rStyle w:val="Hyperlink"/>
            <w:rtl/>
          </w:rPr>
          <w:t>בי' הראשונים מהי מלאכה המתקיימת</w:t>
        </w:r>
      </w:hyperlink>
    </w:p>
    <w:p w14:paraId="6EA17BCF" w14:textId="44B9312C" w:rsidR="00376F67" w:rsidRPr="00FE4693" w:rsidRDefault="00376F67" w:rsidP="00376F67">
      <w:pPr>
        <w:pStyle w:val="afffffffff0"/>
        <w:rPr>
          <w:b/>
          <w:bCs/>
          <w:rtl/>
        </w:rPr>
      </w:pPr>
      <w:r w:rsidRPr="00FE4693">
        <w:rPr>
          <w:b/>
          <w:bCs/>
          <w:rtl/>
        </w:rPr>
        <w:fldChar w:fldCharType="begin"/>
      </w:r>
      <w:r w:rsidRPr="00FE4693">
        <w:rPr>
          <w:b/>
          <w:bCs/>
          <w:rtl/>
        </w:rPr>
        <w:instrText xml:space="preserve"> </w:instrText>
      </w:r>
      <w:r w:rsidRPr="00FE4693">
        <w:rPr>
          <w:rFonts w:hint="cs"/>
          <w:b/>
          <w:bCs/>
        </w:rPr>
        <w:instrText>REF</w:instrText>
      </w:r>
      <w:r w:rsidRPr="00FE4693">
        <w:rPr>
          <w:rFonts w:hint="cs"/>
          <w:b/>
          <w:bCs/>
          <w:rtl/>
        </w:rPr>
        <w:instrText xml:space="preserve"> _</w:instrText>
      </w:r>
      <w:r w:rsidRPr="00FE4693">
        <w:rPr>
          <w:rFonts w:hint="cs"/>
          <w:b/>
          <w:bCs/>
        </w:rPr>
        <w:instrText>Ref143598888 \r \h</w:instrText>
      </w:r>
      <w:r w:rsidRPr="00FE4693">
        <w:rPr>
          <w:b/>
          <w:bCs/>
          <w:rtl/>
        </w:rPr>
        <w:instrText xml:space="preserve">  \* </w:instrText>
      </w:r>
      <w:r w:rsidRPr="00FE4693">
        <w:rPr>
          <w:b/>
          <w:bCs/>
        </w:rPr>
        <w:instrText>MERGEFORMAT</w:instrText>
      </w:r>
      <w:r w:rsidRPr="00FE4693">
        <w:rPr>
          <w:b/>
          <w:bCs/>
          <w:rtl/>
        </w:rPr>
        <w:instrText xml:space="preserve"> </w:instrText>
      </w:r>
      <w:r w:rsidRPr="00FE4693">
        <w:rPr>
          <w:b/>
          <w:bCs/>
          <w:rtl/>
        </w:rPr>
      </w:r>
      <w:r w:rsidRPr="00FE4693">
        <w:rPr>
          <w:b/>
          <w:bCs/>
          <w:rtl/>
        </w:rPr>
        <w:fldChar w:fldCharType="separate"/>
      </w:r>
      <w:r w:rsidR="00D82181">
        <w:rPr>
          <w:b/>
          <w:bCs/>
          <w:cs/>
        </w:rPr>
        <w:t>‎</w:t>
      </w:r>
      <w:r w:rsidR="00D82181">
        <w:rPr>
          <w:b/>
          <w:bCs/>
          <w:rtl/>
        </w:rPr>
        <w:t>נב)</w:t>
      </w:r>
      <w:r w:rsidRPr="00FE4693">
        <w:rPr>
          <w:b/>
          <w:bCs/>
          <w:rtl/>
        </w:rPr>
        <w:fldChar w:fldCharType="end"/>
      </w:r>
      <w:r w:rsidRPr="00FE4693">
        <w:rPr>
          <w:rFonts w:hint="cs"/>
          <w:b/>
          <w:bCs/>
          <w:rtl/>
        </w:rPr>
        <w:t xml:space="preserve"> </w:t>
      </w:r>
      <w:r w:rsidRPr="003A14B9">
        <w:rPr>
          <w:rStyle w:val="aff4"/>
          <w:rFonts w:ascii="David" w:eastAsiaTheme="minorEastAsia" w:hAnsi="David" w:cs="David" w:hint="cs"/>
          <w:b w:val="0"/>
          <w:bCs w:val="0"/>
          <w:noProof w:val="0"/>
          <w:sz w:val="16"/>
          <w:szCs w:val="16"/>
          <w:rtl/>
        </w:rPr>
        <w:t>רש"י</w:t>
      </w:r>
      <w:r w:rsidRPr="003A14B9">
        <w:rPr>
          <w:rFonts w:hint="cs"/>
          <w:rtl/>
        </w:rPr>
        <w:t xml:space="preserve"> </w:t>
      </w:r>
      <w:r w:rsidRPr="00FE4693">
        <w:rPr>
          <w:rStyle w:val="afffffffff3"/>
          <w:rFonts w:hint="cs"/>
          <w:rtl/>
        </w:rPr>
        <w:t>(ד"ה כל, ד"ה בשבת)</w:t>
      </w:r>
      <w:r>
        <w:rPr>
          <w:rtl/>
        </w:rPr>
        <w:t xml:space="preserve"> </w:t>
      </w:r>
      <w:r w:rsidRPr="003A14B9">
        <w:rPr>
          <w:rStyle w:val="aff4"/>
          <w:rFonts w:ascii="David" w:eastAsiaTheme="minorEastAsia" w:hAnsi="David" w:cs="David" w:hint="cs"/>
          <w:b w:val="0"/>
          <w:bCs w:val="0"/>
          <w:noProof w:val="0"/>
          <w:sz w:val="16"/>
          <w:szCs w:val="16"/>
          <w:rtl/>
        </w:rPr>
        <w:t>ר"ן על הרי"ף</w:t>
      </w:r>
      <w:r w:rsidRPr="003A14B9">
        <w:rPr>
          <w:rFonts w:hint="cs"/>
          <w:rtl/>
        </w:rPr>
        <w:t xml:space="preserve"> </w:t>
      </w:r>
      <w:r w:rsidRPr="00FE4693">
        <w:rPr>
          <w:rStyle w:val="afffffffff3"/>
          <w:rFonts w:hint="cs"/>
          <w:rtl/>
        </w:rPr>
        <w:t>(לז. מדה"ר ד"ה כל)</w:t>
      </w:r>
      <w:r>
        <w:rPr>
          <w:rtl/>
        </w:rPr>
        <w:t xml:space="preserve"> </w:t>
      </w:r>
      <w:r w:rsidRPr="003A14B9">
        <w:rPr>
          <w:rStyle w:val="aff4"/>
          <w:rFonts w:ascii="David" w:eastAsiaTheme="minorEastAsia" w:hAnsi="David" w:cs="David" w:hint="cs"/>
          <w:b w:val="0"/>
          <w:bCs w:val="0"/>
          <w:noProof w:val="0"/>
          <w:sz w:val="16"/>
          <w:szCs w:val="16"/>
          <w:rtl/>
        </w:rPr>
        <w:t>מאירי</w:t>
      </w:r>
      <w:r w:rsidRPr="003A14B9">
        <w:rPr>
          <w:rFonts w:hint="cs"/>
          <w:rtl/>
        </w:rPr>
        <w:t xml:space="preserve"> </w:t>
      </w:r>
      <w:r w:rsidRPr="00FE4693">
        <w:rPr>
          <w:rStyle w:val="afffffffff3"/>
          <w:rFonts w:hint="cs"/>
          <w:rtl/>
        </w:rPr>
        <w:t>(ד"ה זה)</w:t>
      </w:r>
      <w:r>
        <w:rPr>
          <w:rtl/>
        </w:rPr>
        <w:t xml:space="preserve"> </w:t>
      </w:r>
      <w:r w:rsidRPr="003A14B9">
        <w:rPr>
          <w:rStyle w:val="aff4"/>
          <w:rFonts w:ascii="David" w:eastAsiaTheme="minorEastAsia" w:hAnsi="David" w:cs="David"/>
          <w:b w:val="0"/>
          <w:bCs w:val="0"/>
          <w:noProof w:val="0"/>
          <w:sz w:val="16"/>
          <w:szCs w:val="16"/>
          <w:rtl/>
        </w:rPr>
        <w:t>חידושי רבינו משה קזיס</w:t>
      </w:r>
      <w:r w:rsidRPr="003A14B9">
        <w:rPr>
          <w:rFonts w:hint="cs"/>
          <w:rtl/>
        </w:rPr>
        <w:t xml:space="preserve"> </w:t>
      </w:r>
      <w:r w:rsidRPr="00FE4693">
        <w:rPr>
          <w:rStyle w:val="afffffffff3"/>
          <w:rFonts w:hint="cs"/>
          <w:rtl/>
        </w:rPr>
        <w:t xml:space="preserve">(עי' אות </w:t>
      </w:r>
      <w:r w:rsidRPr="00FE4693">
        <w:rPr>
          <w:rStyle w:val="afffffffff3"/>
          <w:rtl/>
        </w:rPr>
        <w:fldChar w:fldCharType="begin"/>
      </w:r>
      <w:r w:rsidRPr="00FE4693">
        <w:rPr>
          <w:rStyle w:val="afffffffff3"/>
          <w:rtl/>
        </w:rPr>
        <w:instrText xml:space="preserve"> </w:instrText>
      </w:r>
      <w:r w:rsidRPr="00FE4693">
        <w:rPr>
          <w:rStyle w:val="afffffffff3"/>
          <w:rFonts w:hint="cs"/>
        </w:rPr>
        <w:instrText>REF</w:instrText>
      </w:r>
      <w:r w:rsidRPr="00FE4693">
        <w:rPr>
          <w:rStyle w:val="afffffffff3"/>
          <w:rFonts w:hint="cs"/>
          <w:rtl/>
        </w:rPr>
        <w:instrText xml:space="preserve"> _</w:instrText>
      </w:r>
      <w:r w:rsidRPr="00FE4693">
        <w:rPr>
          <w:rStyle w:val="afffffffff3"/>
          <w:rFonts w:hint="cs"/>
        </w:rPr>
        <w:instrText>Ref142818503 \r \h</w:instrText>
      </w:r>
      <w:r w:rsidRPr="00FE4693">
        <w:rPr>
          <w:rStyle w:val="afffffffff3"/>
          <w:rtl/>
        </w:rPr>
        <w:instrText xml:space="preserve">  \* </w:instrText>
      </w:r>
      <w:r w:rsidRPr="00FE4693">
        <w:rPr>
          <w:rStyle w:val="afffffffff3"/>
        </w:rPr>
        <w:instrText>MERGEFORMAT</w:instrText>
      </w:r>
      <w:r w:rsidRPr="00FE4693">
        <w:rPr>
          <w:rStyle w:val="afffffffff3"/>
          <w:rtl/>
        </w:rPr>
        <w:instrText xml:space="preserve"> </w:instrText>
      </w:r>
      <w:r w:rsidRPr="00FE4693">
        <w:rPr>
          <w:rStyle w:val="afffffffff3"/>
          <w:rtl/>
        </w:rPr>
      </w:r>
      <w:r w:rsidRPr="00FE4693">
        <w:rPr>
          <w:rStyle w:val="afffffffff3"/>
          <w:rtl/>
        </w:rPr>
        <w:fldChar w:fldCharType="separate"/>
      </w:r>
      <w:r w:rsidR="00D82181">
        <w:rPr>
          <w:rStyle w:val="afffffffff3"/>
          <w:cs/>
        </w:rPr>
        <w:t>‎</w:t>
      </w:r>
      <w:r w:rsidR="00D82181">
        <w:rPr>
          <w:rStyle w:val="afffffffff3"/>
          <w:rtl/>
        </w:rPr>
        <w:t>נו)</w:t>
      </w:r>
      <w:r w:rsidRPr="00FE4693">
        <w:rPr>
          <w:rStyle w:val="afffffffff3"/>
          <w:rtl/>
        </w:rPr>
        <w:fldChar w:fldCharType="end"/>
      </w:r>
      <w:r>
        <w:rPr>
          <w:rtl/>
        </w:rPr>
        <w:t>,</w:t>
      </w:r>
      <w:r w:rsidRPr="00FE4693">
        <w:rPr>
          <w:rFonts w:hint="cs"/>
          <w:b/>
          <w:bCs/>
          <w:rtl/>
        </w:rPr>
        <w:t xml:space="preserve"> </w:t>
      </w:r>
      <w:r w:rsidRPr="00FE4693">
        <w:rPr>
          <w:b/>
          <w:bCs/>
          <w:rtl/>
        </w:rPr>
        <w:fldChar w:fldCharType="begin"/>
      </w:r>
      <w:r w:rsidRPr="00FE4693">
        <w:rPr>
          <w:b/>
          <w:bCs/>
          <w:rtl/>
        </w:rPr>
        <w:instrText xml:space="preserve"> </w:instrText>
      </w:r>
      <w:r w:rsidRPr="00FE4693">
        <w:rPr>
          <w:rFonts w:hint="cs"/>
          <w:b/>
          <w:bCs/>
        </w:rPr>
        <w:instrText>REF</w:instrText>
      </w:r>
      <w:r w:rsidRPr="00FE4693">
        <w:rPr>
          <w:rFonts w:hint="cs"/>
          <w:b/>
          <w:bCs/>
          <w:rtl/>
        </w:rPr>
        <w:instrText xml:space="preserve"> _</w:instrText>
      </w:r>
      <w:r w:rsidRPr="00FE4693">
        <w:rPr>
          <w:rFonts w:hint="cs"/>
          <w:b/>
          <w:bCs/>
        </w:rPr>
        <w:instrText>Ref141179172 \r \h</w:instrText>
      </w:r>
      <w:r w:rsidRPr="00FE4693">
        <w:rPr>
          <w:b/>
          <w:bCs/>
          <w:rtl/>
        </w:rPr>
        <w:instrText xml:space="preserve">  \* </w:instrText>
      </w:r>
      <w:r w:rsidRPr="00FE4693">
        <w:rPr>
          <w:b/>
          <w:bCs/>
        </w:rPr>
        <w:instrText>MERGEFORMAT</w:instrText>
      </w:r>
      <w:r w:rsidRPr="00FE4693">
        <w:rPr>
          <w:b/>
          <w:bCs/>
          <w:rtl/>
        </w:rPr>
        <w:instrText xml:space="preserve"> </w:instrText>
      </w:r>
      <w:r w:rsidRPr="00FE4693">
        <w:rPr>
          <w:b/>
          <w:bCs/>
          <w:rtl/>
        </w:rPr>
      </w:r>
      <w:r w:rsidRPr="00FE4693">
        <w:rPr>
          <w:b/>
          <w:bCs/>
          <w:rtl/>
        </w:rPr>
        <w:fldChar w:fldCharType="separate"/>
      </w:r>
      <w:r w:rsidR="00D82181">
        <w:rPr>
          <w:b/>
          <w:bCs/>
          <w:cs/>
        </w:rPr>
        <w:t>‎</w:t>
      </w:r>
      <w:r w:rsidR="00D82181">
        <w:rPr>
          <w:b/>
          <w:bCs/>
          <w:rtl/>
        </w:rPr>
        <w:t>נג)</w:t>
      </w:r>
      <w:r w:rsidRPr="00FE4693">
        <w:rPr>
          <w:b/>
          <w:bCs/>
          <w:rtl/>
        </w:rPr>
        <w:fldChar w:fldCharType="end"/>
      </w:r>
      <w:r w:rsidRPr="00FE4693">
        <w:rPr>
          <w:rFonts w:hint="cs"/>
          <w:b/>
          <w:bCs/>
          <w:rtl/>
        </w:rPr>
        <w:t xml:space="preserve"> </w:t>
      </w:r>
      <w:r w:rsidRPr="003A14B9">
        <w:rPr>
          <w:rStyle w:val="aff4"/>
          <w:rFonts w:ascii="David" w:eastAsiaTheme="minorEastAsia" w:hAnsi="David" w:cs="David" w:hint="cs"/>
          <w:b w:val="0"/>
          <w:bCs w:val="0"/>
          <w:noProof w:val="0"/>
          <w:sz w:val="16"/>
          <w:szCs w:val="16"/>
          <w:rtl/>
        </w:rPr>
        <w:t>רש"י</w:t>
      </w:r>
      <w:r w:rsidRPr="003A14B9">
        <w:rPr>
          <w:rFonts w:hint="cs"/>
          <w:rtl/>
        </w:rPr>
        <w:t xml:space="preserve"> </w:t>
      </w:r>
      <w:r w:rsidRPr="00FE4693">
        <w:rPr>
          <w:rStyle w:val="afffffffff3"/>
          <w:rFonts w:hint="cs"/>
          <w:rtl/>
        </w:rPr>
        <w:t>(קג. ד"ה דחק)</w:t>
      </w:r>
      <w:r>
        <w:rPr>
          <w:rtl/>
        </w:rPr>
        <w:t>,</w:t>
      </w:r>
      <w:r w:rsidRPr="00FE4693">
        <w:rPr>
          <w:rFonts w:hint="cs"/>
          <w:b/>
          <w:bCs/>
          <w:rtl/>
        </w:rPr>
        <w:t xml:space="preserve"> </w:t>
      </w:r>
      <w:r w:rsidRPr="00FE4693">
        <w:rPr>
          <w:b/>
          <w:bCs/>
          <w:rtl/>
        </w:rPr>
        <w:fldChar w:fldCharType="begin"/>
      </w:r>
      <w:r w:rsidRPr="00FE4693">
        <w:rPr>
          <w:b/>
          <w:bCs/>
          <w:rtl/>
        </w:rPr>
        <w:instrText xml:space="preserve"> </w:instrText>
      </w:r>
      <w:r w:rsidRPr="00FE4693">
        <w:rPr>
          <w:rFonts w:hint="cs"/>
          <w:b/>
          <w:bCs/>
        </w:rPr>
        <w:instrText>REF</w:instrText>
      </w:r>
      <w:r w:rsidRPr="00FE4693">
        <w:rPr>
          <w:rFonts w:hint="cs"/>
          <w:b/>
          <w:bCs/>
          <w:rtl/>
        </w:rPr>
        <w:instrText xml:space="preserve"> _</w:instrText>
      </w:r>
      <w:r w:rsidRPr="00FE4693">
        <w:rPr>
          <w:rFonts w:hint="cs"/>
          <w:b/>
          <w:bCs/>
        </w:rPr>
        <w:instrText>Ref142816105 \r \h</w:instrText>
      </w:r>
      <w:r w:rsidRPr="00FE4693">
        <w:rPr>
          <w:b/>
          <w:bCs/>
          <w:rtl/>
        </w:rPr>
        <w:instrText xml:space="preserve">  \* </w:instrText>
      </w:r>
      <w:r w:rsidRPr="00FE4693">
        <w:rPr>
          <w:b/>
          <w:bCs/>
        </w:rPr>
        <w:instrText>MERGEFORMAT</w:instrText>
      </w:r>
      <w:r w:rsidRPr="00FE4693">
        <w:rPr>
          <w:b/>
          <w:bCs/>
          <w:rtl/>
        </w:rPr>
        <w:instrText xml:space="preserve"> </w:instrText>
      </w:r>
      <w:r w:rsidRPr="00FE4693">
        <w:rPr>
          <w:b/>
          <w:bCs/>
          <w:rtl/>
        </w:rPr>
      </w:r>
      <w:r w:rsidRPr="00FE4693">
        <w:rPr>
          <w:b/>
          <w:bCs/>
          <w:rtl/>
        </w:rPr>
        <w:fldChar w:fldCharType="separate"/>
      </w:r>
      <w:r w:rsidR="00D82181">
        <w:rPr>
          <w:b/>
          <w:bCs/>
          <w:cs/>
        </w:rPr>
        <w:t>‎</w:t>
      </w:r>
      <w:r w:rsidR="00D82181">
        <w:rPr>
          <w:b/>
          <w:bCs/>
          <w:rtl/>
        </w:rPr>
        <w:t>נד)</w:t>
      </w:r>
      <w:r w:rsidRPr="00FE4693">
        <w:rPr>
          <w:b/>
          <w:bCs/>
          <w:rtl/>
        </w:rPr>
        <w:fldChar w:fldCharType="end"/>
      </w:r>
      <w:r w:rsidRPr="00FE4693">
        <w:rPr>
          <w:rFonts w:hint="cs"/>
          <w:b/>
          <w:bCs/>
          <w:rtl/>
        </w:rPr>
        <w:t xml:space="preserve"> </w:t>
      </w:r>
      <w:r w:rsidRPr="003A14B9">
        <w:rPr>
          <w:rStyle w:val="aff4"/>
          <w:rFonts w:ascii="David" w:eastAsiaTheme="minorEastAsia" w:hAnsi="David" w:cs="David" w:hint="cs"/>
          <w:b w:val="0"/>
          <w:bCs w:val="0"/>
          <w:noProof w:val="0"/>
          <w:sz w:val="16"/>
          <w:szCs w:val="16"/>
          <w:rtl/>
        </w:rPr>
        <w:t>רש"</w:t>
      </w:r>
      <w:r w:rsidRPr="003A14B9">
        <w:rPr>
          <w:rFonts w:hint="cs"/>
          <w:rtl/>
        </w:rPr>
        <w:t xml:space="preserve">י </w:t>
      </w:r>
      <w:r w:rsidRPr="00FE4693">
        <w:rPr>
          <w:rStyle w:val="afffffffff3"/>
          <w:rFonts w:hint="cs"/>
          <w:rtl/>
        </w:rPr>
        <w:t>(ד"ה המצדד)</w:t>
      </w:r>
      <w:r>
        <w:rPr>
          <w:rtl/>
        </w:rPr>
        <w:t xml:space="preserve"> </w:t>
      </w:r>
      <w:r w:rsidRPr="003A14B9">
        <w:rPr>
          <w:rStyle w:val="aff4"/>
          <w:rFonts w:ascii="David" w:eastAsiaTheme="minorEastAsia" w:hAnsi="David" w:cs="David" w:hint="cs"/>
          <w:b w:val="0"/>
          <w:bCs w:val="0"/>
          <w:noProof w:val="0"/>
          <w:sz w:val="16"/>
          <w:szCs w:val="16"/>
          <w:rtl/>
        </w:rPr>
        <w:t>רש"י לקמן</w:t>
      </w:r>
      <w:r w:rsidRPr="003A14B9">
        <w:rPr>
          <w:rFonts w:hint="cs"/>
          <w:rtl/>
        </w:rPr>
        <w:t xml:space="preserve"> </w:t>
      </w:r>
      <w:r w:rsidRPr="00FE4693">
        <w:rPr>
          <w:rStyle w:val="afffffffff3"/>
          <w:rFonts w:hint="cs"/>
          <w:rtl/>
        </w:rPr>
        <w:t>(קג: ד"ה מצינו שם קטן)</w:t>
      </w:r>
      <w:r>
        <w:rPr>
          <w:rtl/>
        </w:rPr>
        <w:t xml:space="preserve"> </w:t>
      </w:r>
      <w:r w:rsidRPr="003A14B9">
        <w:rPr>
          <w:rStyle w:val="aff4"/>
          <w:rFonts w:ascii="David" w:eastAsiaTheme="minorEastAsia" w:hAnsi="David" w:cs="David" w:hint="cs"/>
          <w:b w:val="0"/>
          <w:bCs w:val="0"/>
          <w:noProof w:val="0"/>
          <w:sz w:val="16"/>
          <w:szCs w:val="16"/>
          <w:rtl/>
        </w:rPr>
        <w:t>רש"י לקמן</w:t>
      </w:r>
      <w:r w:rsidRPr="003A14B9">
        <w:rPr>
          <w:rFonts w:hint="cs"/>
          <w:rtl/>
        </w:rPr>
        <w:t xml:space="preserve"> </w:t>
      </w:r>
      <w:r w:rsidRPr="00FE4693">
        <w:rPr>
          <w:rStyle w:val="afffffffff3"/>
          <w:rFonts w:hint="cs"/>
          <w:rtl/>
        </w:rPr>
        <w:t>(קג: ד"ה שם משמעון)</w:t>
      </w:r>
      <w:r>
        <w:rPr>
          <w:rtl/>
        </w:rPr>
        <w:t>,</w:t>
      </w:r>
      <w:r w:rsidRPr="00FE4693">
        <w:rPr>
          <w:rFonts w:hint="cs"/>
          <w:b/>
          <w:bCs/>
          <w:rtl/>
        </w:rPr>
        <w:t xml:space="preserve"> </w:t>
      </w:r>
      <w:r w:rsidRPr="00FE4693">
        <w:rPr>
          <w:b/>
          <w:bCs/>
          <w:rtl/>
        </w:rPr>
        <w:fldChar w:fldCharType="begin"/>
      </w:r>
      <w:r w:rsidRPr="00FE4693">
        <w:rPr>
          <w:b/>
          <w:bCs/>
          <w:rtl/>
        </w:rPr>
        <w:instrText xml:space="preserve"> </w:instrText>
      </w:r>
      <w:r w:rsidRPr="00FE4693">
        <w:rPr>
          <w:rFonts w:hint="cs"/>
          <w:b/>
          <w:bCs/>
        </w:rPr>
        <w:instrText>REF</w:instrText>
      </w:r>
      <w:r w:rsidRPr="00FE4693">
        <w:rPr>
          <w:rFonts w:hint="cs"/>
          <w:b/>
          <w:bCs/>
          <w:rtl/>
        </w:rPr>
        <w:instrText xml:space="preserve"> _</w:instrText>
      </w:r>
      <w:r w:rsidRPr="00FE4693">
        <w:rPr>
          <w:rFonts w:hint="cs"/>
          <w:b/>
          <w:bCs/>
        </w:rPr>
        <w:instrText>Ref142816105 \r \h</w:instrText>
      </w:r>
      <w:r w:rsidRPr="00FE4693">
        <w:rPr>
          <w:b/>
          <w:bCs/>
          <w:rtl/>
        </w:rPr>
        <w:instrText xml:space="preserve">  \* </w:instrText>
      </w:r>
      <w:r w:rsidRPr="00FE4693">
        <w:rPr>
          <w:b/>
          <w:bCs/>
        </w:rPr>
        <w:instrText>MERGEFORMAT</w:instrText>
      </w:r>
      <w:r w:rsidRPr="00FE4693">
        <w:rPr>
          <w:b/>
          <w:bCs/>
          <w:rtl/>
        </w:rPr>
        <w:instrText xml:space="preserve"> </w:instrText>
      </w:r>
      <w:r w:rsidRPr="00FE4693">
        <w:rPr>
          <w:b/>
          <w:bCs/>
          <w:rtl/>
        </w:rPr>
      </w:r>
      <w:r w:rsidRPr="00FE4693">
        <w:rPr>
          <w:b/>
          <w:bCs/>
          <w:rtl/>
        </w:rPr>
        <w:fldChar w:fldCharType="separate"/>
      </w:r>
      <w:r w:rsidR="00D82181">
        <w:rPr>
          <w:b/>
          <w:bCs/>
          <w:cs/>
        </w:rPr>
        <w:t>‎</w:t>
      </w:r>
      <w:r w:rsidR="00D82181">
        <w:rPr>
          <w:b/>
          <w:bCs/>
          <w:rtl/>
        </w:rPr>
        <w:t>נד)</w:t>
      </w:r>
      <w:r w:rsidRPr="00FE4693">
        <w:rPr>
          <w:b/>
          <w:bCs/>
          <w:rtl/>
        </w:rPr>
        <w:fldChar w:fldCharType="end"/>
      </w:r>
      <w:r w:rsidRPr="00FE4693">
        <w:rPr>
          <w:rFonts w:hint="cs"/>
          <w:b/>
          <w:bCs/>
          <w:rtl/>
        </w:rPr>
        <w:t xml:space="preserve"> </w:t>
      </w:r>
      <w:r w:rsidRPr="003A14B9">
        <w:rPr>
          <w:rStyle w:val="aff4"/>
          <w:rFonts w:ascii="David" w:eastAsiaTheme="minorEastAsia" w:hAnsi="David" w:cs="David" w:hint="cs"/>
          <w:b w:val="0"/>
          <w:bCs w:val="0"/>
          <w:noProof w:val="0"/>
          <w:sz w:val="16"/>
          <w:szCs w:val="16"/>
          <w:rtl/>
        </w:rPr>
        <w:t>רש"י לעיל</w:t>
      </w:r>
      <w:r w:rsidRPr="003A14B9">
        <w:rPr>
          <w:rFonts w:hint="cs"/>
          <w:rtl/>
        </w:rPr>
        <w:t xml:space="preserve"> </w:t>
      </w:r>
      <w:r w:rsidRPr="00FE4693">
        <w:rPr>
          <w:rStyle w:val="afffffffff3"/>
          <w:rFonts w:hint="cs"/>
          <w:rtl/>
        </w:rPr>
        <w:t>(עד: ד"ה והא)</w:t>
      </w:r>
      <w:r>
        <w:rPr>
          <w:rtl/>
        </w:rPr>
        <w:t>,</w:t>
      </w:r>
      <w:r w:rsidRPr="00FE4693">
        <w:rPr>
          <w:rStyle w:val="aff4"/>
          <w:rFonts w:ascii="David" w:eastAsiaTheme="minorEastAsia" w:hAnsi="David" w:cs="David" w:hint="cs"/>
          <w:noProof w:val="0"/>
          <w:sz w:val="16"/>
          <w:szCs w:val="16"/>
          <w:rtl/>
        </w:rPr>
        <w:t xml:space="preserve"> </w:t>
      </w:r>
      <w:r w:rsidRPr="00FE4693">
        <w:rPr>
          <w:rStyle w:val="aff4"/>
          <w:rFonts w:ascii="David" w:eastAsiaTheme="minorEastAsia" w:hAnsi="David" w:cs="David"/>
          <w:noProof w:val="0"/>
          <w:sz w:val="16"/>
          <w:szCs w:val="16"/>
          <w:rtl/>
        </w:rPr>
        <w:fldChar w:fldCharType="begin"/>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hint="cs"/>
          <w:noProof w:val="0"/>
          <w:sz w:val="16"/>
          <w:szCs w:val="16"/>
        </w:rPr>
        <w:instrText>REF</w:instrText>
      </w:r>
      <w:r w:rsidRPr="00FE4693">
        <w:rPr>
          <w:rStyle w:val="aff4"/>
          <w:rFonts w:ascii="David" w:eastAsiaTheme="minorEastAsia" w:hAnsi="David" w:cs="David" w:hint="cs"/>
          <w:noProof w:val="0"/>
          <w:sz w:val="16"/>
          <w:szCs w:val="16"/>
          <w:rtl/>
        </w:rPr>
        <w:instrText xml:space="preserve"> _</w:instrText>
      </w:r>
      <w:r w:rsidRPr="00FE4693">
        <w:rPr>
          <w:rStyle w:val="aff4"/>
          <w:rFonts w:ascii="David" w:eastAsiaTheme="minorEastAsia" w:hAnsi="David" w:cs="David" w:hint="cs"/>
          <w:noProof w:val="0"/>
          <w:sz w:val="16"/>
          <w:szCs w:val="16"/>
        </w:rPr>
        <w:instrText>Ref141871859 \r \h</w:instrText>
      </w:r>
      <w:r w:rsidRPr="00FE4693">
        <w:rPr>
          <w:rStyle w:val="aff4"/>
          <w:rFonts w:ascii="David" w:eastAsiaTheme="minorEastAsia" w:hAnsi="David" w:cs="David"/>
          <w:noProof w:val="0"/>
          <w:sz w:val="16"/>
          <w:szCs w:val="16"/>
          <w:rtl/>
        </w:rPr>
        <w:instrText xml:space="preserve">  \* </w:instrText>
      </w:r>
      <w:r w:rsidRPr="00FE4693">
        <w:rPr>
          <w:rStyle w:val="aff4"/>
          <w:rFonts w:ascii="David" w:eastAsiaTheme="minorEastAsia" w:hAnsi="David" w:cs="David"/>
          <w:noProof w:val="0"/>
          <w:sz w:val="16"/>
          <w:szCs w:val="16"/>
        </w:rPr>
        <w:instrText>MERGEFORMAT</w:instrText>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tl/>
        </w:rPr>
      </w:r>
      <w:r w:rsidRPr="00FE4693">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נה)</w:t>
      </w:r>
      <w:r w:rsidRPr="00FE4693">
        <w:rPr>
          <w:rStyle w:val="aff4"/>
          <w:rFonts w:ascii="David" w:eastAsiaTheme="minorEastAsia" w:hAnsi="David" w:cs="David"/>
          <w:noProof w:val="0"/>
          <w:sz w:val="16"/>
          <w:szCs w:val="16"/>
          <w:rtl/>
        </w:rPr>
        <w:fldChar w:fldCharType="end"/>
      </w:r>
      <w:r w:rsidRPr="00FE4693">
        <w:rPr>
          <w:rStyle w:val="aff4"/>
          <w:rFonts w:ascii="David" w:eastAsiaTheme="minorEastAsia" w:hAnsi="David" w:cs="David" w:hint="cs"/>
          <w:noProof w:val="0"/>
          <w:sz w:val="16"/>
          <w:szCs w:val="16"/>
          <w:rtl/>
        </w:rPr>
        <w:t xml:space="preserve"> </w:t>
      </w:r>
      <w:r w:rsidRPr="003A14B9">
        <w:rPr>
          <w:rStyle w:val="aff4"/>
          <w:rFonts w:ascii="David" w:eastAsiaTheme="minorEastAsia" w:hAnsi="David" w:cs="David" w:hint="cs"/>
          <w:b w:val="0"/>
          <w:bCs w:val="0"/>
          <w:noProof w:val="0"/>
          <w:sz w:val="16"/>
          <w:szCs w:val="16"/>
          <w:rtl/>
        </w:rPr>
        <w:t>פר"ח בהג' מים חיים</w:t>
      </w:r>
      <w:r w:rsidRPr="003A14B9">
        <w:rPr>
          <w:rFonts w:hint="cs"/>
          <w:rtl/>
        </w:rPr>
        <w:t xml:space="preserve"> </w:t>
      </w:r>
      <w:r w:rsidRPr="00FE4693">
        <w:rPr>
          <w:rStyle w:val="afffffffff3"/>
          <w:rFonts w:hint="cs"/>
          <w:rtl/>
        </w:rPr>
        <w:t>(ד"ה מתני', נד' בסוף הגמ')</w:t>
      </w:r>
      <w:r>
        <w:rPr>
          <w:rtl/>
        </w:rPr>
        <w:t>,</w:t>
      </w:r>
      <w:r w:rsidRPr="00FE4693">
        <w:rPr>
          <w:rStyle w:val="aff4"/>
          <w:rFonts w:ascii="David" w:eastAsiaTheme="minorEastAsia" w:hAnsi="David" w:cs="David" w:hint="cs"/>
          <w:noProof w:val="0"/>
          <w:sz w:val="16"/>
          <w:szCs w:val="16"/>
          <w:rtl/>
        </w:rPr>
        <w:t xml:space="preserve"> </w:t>
      </w:r>
      <w:r w:rsidRPr="00FE4693">
        <w:rPr>
          <w:rStyle w:val="aff4"/>
          <w:rFonts w:ascii="David" w:eastAsiaTheme="minorEastAsia" w:hAnsi="David" w:cs="David"/>
          <w:noProof w:val="0"/>
          <w:sz w:val="16"/>
          <w:szCs w:val="16"/>
          <w:rtl/>
        </w:rPr>
        <w:fldChar w:fldCharType="begin"/>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hint="cs"/>
          <w:noProof w:val="0"/>
          <w:sz w:val="16"/>
          <w:szCs w:val="16"/>
        </w:rPr>
        <w:instrText>REF</w:instrText>
      </w:r>
      <w:r w:rsidRPr="00FE4693">
        <w:rPr>
          <w:rStyle w:val="aff4"/>
          <w:rFonts w:ascii="David" w:eastAsiaTheme="minorEastAsia" w:hAnsi="David" w:cs="David" w:hint="cs"/>
          <w:noProof w:val="0"/>
          <w:sz w:val="16"/>
          <w:szCs w:val="16"/>
          <w:rtl/>
        </w:rPr>
        <w:instrText xml:space="preserve"> _</w:instrText>
      </w:r>
      <w:r w:rsidRPr="00FE4693">
        <w:rPr>
          <w:rStyle w:val="aff4"/>
          <w:rFonts w:ascii="David" w:eastAsiaTheme="minorEastAsia" w:hAnsi="David" w:cs="David" w:hint="cs"/>
          <w:noProof w:val="0"/>
          <w:sz w:val="16"/>
          <w:szCs w:val="16"/>
        </w:rPr>
        <w:instrText>Ref142818503 \r \h</w:instrText>
      </w:r>
      <w:r w:rsidRPr="00FE4693">
        <w:rPr>
          <w:rStyle w:val="aff4"/>
          <w:rFonts w:ascii="David" w:eastAsiaTheme="minorEastAsia" w:hAnsi="David" w:cs="David"/>
          <w:noProof w:val="0"/>
          <w:sz w:val="16"/>
          <w:szCs w:val="16"/>
          <w:rtl/>
        </w:rPr>
        <w:instrText xml:space="preserve">  \* </w:instrText>
      </w:r>
      <w:r w:rsidRPr="00FE4693">
        <w:rPr>
          <w:rStyle w:val="aff4"/>
          <w:rFonts w:ascii="David" w:eastAsiaTheme="minorEastAsia" w:hAnsi="David" w:cs="David"/>
          <w:noProof w:val="0"/>
          <w:sz w:val="16"/>
          <w:szCs w:val="16"/>
        </w:rPr>
        <w:instrText>MERGEFORMAT</w:instrText>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tl/>
        </w:rPr>
      </w:r>
      <w:r w:rsidRPr="00FE4693">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נו)</w:t>
      </w:r>
      <w:r w:rsidRPr="00FE4693">
        <w:rPr>
          <w:rStyle w:val="aff4"/>
          <w:rFonts w:ascii="David" w:eastAsiaTheme="minorEastAsia" w:hAnsi="David" w:cs="David"/>
          <w:noProof w:val="0"/>
          <w:sz w:val="16"/>
          <w:szCs w:val="16"/>
          <w:rtl/>
        </w:rPr>
        <w:fldChar w:fldCharType="end"/>
      </w:r>
      <w:r w:rsidRPr="00FE4693">
        <w:rPr>
          <w:rStyle w:val="aff4"/>
          <w:rFonts w:ascii="David" w:eastAsiaTheme="minorEastAsia" w:hAnsi="David" w:cs="David" w:hint="cs"/>
          <w:noProof w:val="0"/>
          <w:sz w:val="16"/>
          <w:szCs w:val="16"/>
          <w:rtl/>
        </w:rPr>
        <w:t xml:space="preserve"> </w:t>
      </w:r>
      <w:r w:rsidRPr="003A14B9">
        <w:rPr>
          <w:rStyle w:val="aff4"/>
          <w:rFonts w:ascii="David" w:eastAsiaTheme="minorEastAsia" w:hAnsi="David" w:cs="David"/>
          <w:b w:val="0"/>
          <w:bCs w:val="0"/>
          <w:noProof w:val="0"/>
          <w:sz w:val="16"/>
          <w:szCs w:val="16"/>
          <w:rtl/>
        </w:rPr>
        <w:t>חידושי רבינו משה קזיס</w:t>
      </w:r>
      <w:r w:rsidRPr="003A14B9">
        <w:rPr>
          <w:rFonts w:hint="cs"/>
          <w:rtl/>
        </w:rPr>
        <w:t xml:space="preserve"> </w:t>
      </w:r>
      <w:r w:rsidRPr="00FE4693">
        <w:rPr>
          <w:rStyle w:val="afffffffff3"/>
          <w:rFonts w:hint="cs"/>
          <w:rtl/>
        </w:rPr>
        <w:t>(ריש</w:t>
      </w:r>
      <w:r w:rsidRPr="00FE4693">
        <w:rPr>
          <w:rStyle w:val="afffffffff3"/>
          <w:rtl/>
        </w:rPr>
        <w:t xml:space="preserve"> פ' הבונה ד"ה </w:t>
      </w:r>
      <w:r w:rsidRPr="00FE4693">
        <w:rPr>
          <w:rStyle w:val="afffffffff3"/>
          <w:rFonts w:hint="cs"/>
          <w:rtl/>
        </w:rPr>
        <w:t>זה)</w:t>
      </w:r>
      <w:r>
        <w:rPr>
          <w:rtl/>
        </w:rPr>
        <w:t>,</w:t>
      </w:r>
      <w:r w:rsidRPr="00FE4693">
        <w:rPr>
          <w:rStyle w:val="aff4"/>
          <w:rFonts w:ascii="David" w:eastAsiaTheme="minorEastAsia" w:hAnsi="David" w:cs="David" w:hint="cs"/>
          <w:noProof w:val="0"/>
          <w:sz w:val="16"/>
          <w:szCs w:val="16"/>
          <w:rtl/>
        </w:rPr>
        <w:t xml:space="preserve"> </w:t>
      </w:r>
      <w:r w:rsidRPr="00FE4693">
        <w:rPr>
          <w:rStyle w:val="aff4"/>
          <w:rFonts w:ascii="David" w:eastAsiaTheme="minorEastAsia" w:hAnsi="David" w:cs="David"/>
          <w:noProof w:val="0"/>
          <w:sz w:val="16"/>
          <w:szCs w:val="16"/>
          <w:rtl/>
        </w:rPr>
        <w:fldChar w:fldCharType="begin"/>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hint="cs"/>
          <w:noProof w:val="0"/>
          <w:sz w:val="16"/>
          <w:szCs w:val="16"/>
        </w:rPr>
        <w:instrText>REF</w:instrText>
      </w:r>
      <w:r w:rsidRPr="00FE4693">
        <w:rPr>
          <w:rStyle w:val="aff4"/>
          <w:rFonts w:ascii="David" w:eastAsiaTheme="minorEastAsia" w:hAnsi="David" w:cs="David" w:hint="cs"/>
          <w:noProof w:val="0"/>
          <w:sz w:val="16"/>
          <w:szCs w:val="16"/>
          <w:rtl/>
        </w:rPr>
        <w:instrText xml:space="preserve"> _</w:instrText>
      </w:r>
      <w:r w:rsidRPr="00FE4693">
        <w:rPr>
          <w:rStyle w:val="aff4"/>
          <w:rFonts w:ascii="David" w:eastAsiaTheme="minorEastAsia" w:hAnsi="David" w:cs="David" w:hint="cs"/>
          <w:noProof w:val="0"/>
          <w:sz w:val="16"/>
          <w:szCs w:val="16"/>
        </w:rPr>
        <w:instrText>Ref143159461 \r \h</w:instrText>
      </w:r>
      <w:r w:rsidRPr="00FE4693">
        <w:rPr>
          <w:rStyle w:val="aff4"/>
          <w:rFonts w:ascii="David" w:eastAsiaTheme="minorEastAsia" w:hAnsi="David" w:cs="David"/>
          <w:noProof w:val="0"/>
          <w:sz w:val="16"/>
          <w:szCs w:val="16"/>
          <w:rtl/>
        </w:rPr>
        <w:instrText xml:space="preserve">  \* </w:instrText>
      </w:r>
      <w:r w:rsidRPr="00FE4693">
        <w:rPr>
          <w:rStyle w:val="aff4"/>
          <w:rFonts w:ascii="David" w:eastAsiaTheme="minorEastAsia" w:hAnsi="David" w:cs="David"/>
          <w:noProof w:val="0"/>
          <w:sz w:val="16"/>
          <w:szCs w:val="16"/>
        </w:rPr>
        <w:instrText>MERGEFORMAT</w:instrText>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tl/>
        </w:rPr>
      </w:r>
      <w:r w:rsidRPr="00FE4693">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נז)</w:t>
      </w:r>
      <w:r w:rsidRPr="00FE4693">
        <w:rPr>
          <w:rStyle w:val="aff4"/>
          <w:rFonts w:ascii="David" w:eastAsiaTheme="minorEastAsia" w:hAnsi="David" w:cs="David"/>
          <w:noProof w:val="0"/>
          <w:sz w:val="16"/>
          <w:szCs w:val="16"/>
          <w:rtl/>
        </w:rPr>
        <w:fldChar w:fldCharType="end"/>
      </w:r>
      <w:r w:rsidRPr="00FE4693">
        <w:rPr>
          <w:rStyle w:val="aff4"/>
          <w:rFonts w:ascii="David" w:eastAsiaTheme="minorEastAsia" w:hAnsi="David" w:cs="David" w:hint="cs"/>
          <w:noProof w:val="0"/>
          <w:sz w:val="16"/>
          <w:szCs w:val="16"/>
          <w:rtl/>
        </w:rPr>
        <w:t xml:space="preserve"> </w:t>
      </w:r>
      <w:r w:rsidRPr="003A14B9">
        <w:rPr>
          <w:rStyle w:val="aff4"/>
          <w:rFonts w:ascii="David" w:eastAsiaTheme="minorEastAsia" w:hAnsi="David" w:cs="David" w:hint="cs"/>
          <w:b w:val="0"/>
          <w:bCs w:val="0"/>
          <w:noProof w:val="0"/>
          <w:sz w:val="16"/>
          <w:szCs w:val="16"/>
          <w:rtl/>
        </w:rPr>
        <w:t>גר"א בשנות אליהו</w:t>
      </w:r>
      <w:r w:rsidRPr="003A14B9">
        <w:rPr>
          <w:rFonts w:hint="cs"/>
          <w:rtl/>
        </w:rPr>
        <w:t xml:space="preserve"> </w:t>
      </w:r>
      <w:r w:rsidRPr="00FE4693">
        <w:rPr>
          <w:rStyle w:val="afffffffff3"/>
          <w:rFonts w:hint="cs"/>
          <w:rtl/>
        </w:rPr>
        <w:t>(פי"ב מ"א ד"ה זה, נד' בחי' הגר"א לשבת)</w:t>
      </w:r>
      <w:r>
        <w:rPr>
          <w:rtl/>
        </w:rPr>
        <w:t>,</w:t>
      </w:r>
      <w:r w:rsidRPr="00FE4693">
        <w:rPr>
          <w:rStyle w:val="aff4"/>
          <w:rFonts w:ascii="David" w:eastAsiaTheme="minorEastAsia" w:hAnsi="David" w:cs="David" w:hint="cs"/>
          <w:noProof w:val="0"/>
          <w:sz w:val="16"/>
          <w:szCs w:val="16"/>
          <w:rtl/>
        </w:rPr>
        <w:t xml:space="preserve"> </w:t>
      </w:r>
      <w:r w:rsidRPr="00FE4693">
        <w:rPr>
          <w:rStyle w:val="aff4"/>
          <w:rFonts w:ascii="David" w:eastAsiaTheme="minorEastAsia" w:hAnsi="David" w:cs="David"/>
          <w:noProof w:val="0"/>
          <w:sz w:val="16"/>
          <w:szCs w:val="16"/>
          <w:rtl/>
        </w:rPr>
        <w:fldChar w:fldCharType="begin"/>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hint="cs"/>
          <w:noProof w:val="0"/>
          <w:sz w:val="16"/>
          <w:szCs w:val="16"/>
        </w:rPr>
        <w:instrText>REF</w:instrText>
      </w:r>
      <w:r w:rsidRPr="00FE4693">
        <w:rPr>
          <w:rStyle w:val="aff4"/>
          <w:rFonts w:ascii="David" w:eastAsiaTheme="minorEastAsia" w:hAnsi="David" w:cs="David" w:hint="cs"/>
          <w:noProof w:val="0"/>
          <w:sz w:val="16"/>
          <w:szCs w:val="16"/>
          <w:rtl/>
        </w:rPr>
        <w:instrText xml:space="preserve"> _</w:instrText>
      </w:r>
      <w:r w:rsidRPr="00FE4693">
        <w:rPr>
          <w:rStyle w:val="aff4"/>
          <w:rFonts w:ascii="David" w:eastAsiaTheme="minorEastAsia" w:hAnsi="David" w:cs="David" w:hint="cs"/>
          <w:noProof w:val="0"/>
          <w:sz w:val="16"/>
          <w:szCs w:val="16"/>
        </w:rPr>
        <w:instrText>Ref142816896 \r \h</w:instrText>
      </w:r>
      <w:r w:rsidRPr="00FE4693">
        <w:rPr>
          <w:rStyle w:val="aff4"/>
          <w:rFonts w:ascii="David" w:eastAsiaTheme="minorEastAsia" w:hAnsi="David" w:cs="David"/>
          <w:noProof w:val="0"/>
          <w:sz w:val="16"/>
          <w:szCs w:val="16"/>
          <w:rtl/>
        </w:rPr>
        <w:instrText xml:space="preserve">  \* </w:instrText>
      </w:r>
      <w:r w:rsidRPr="00FE4693">
        <w:rPr>
          <w:rStyle w:val="aff4"/>
          <w:rFonts w:ascii="David" w:eastAsiaTheme="minorEastAsia" w:hAnsi="David" w:cs="David"/>
          <w:noProof w:val="0"/>
          <w:sz w:val="16"/>
          <w:szCs w:val="16"/>
        </w:rPr>
        <w:instrText>MERGEFORMAT</w:instrText>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tl/>
        </w:rPr>
      </w:r>
      <w:r w:rsidRPr="00FE4693">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נח)</w:t>
      </w:r>
      <w:r w:rsidRPr="00FE4693">
        <w:rPr>
          <w:rStyle w:val="aff4"/>
          <w:rFonts w:ascii="David" w:eastAsiaTheme="minorEastAsia" w:hAnsi="David" w:cs="David"/>
          <w:noProof w:val="0"/>
          <w:sz w:val="16"/>
          <w:szCs w:val="16"/>
          <w:rtl/>
        </w:rPr>
        <w:fldChar w:fldCharType="end"/>
      </w:r>
      <w:r w:rsidRPr="00FE4693">
        <w:rPr>
          <w:rStyle w:val="aff4"/>
          <w:rFonts w:ascii="David" w:eastAsiaTheme="minorEastAsia" w:hAnsi="David" w:cs="David" w:hint="cs"/>
          <w:noProof w:val="0"/>
          <w:sz w:val="16"/>
          <w:szCs w:val="16"/>
          <w:rtl/>
        </w:rPr>
        <w:t xml:space="preserve"> </w:t>
      </w:r>
      <w:r w:rsidRPr="003A14B9">
        <w:rPr>
          <w:rStyle w:val="aff4"/>
          <w:rFonts w:ascii="David" w:eastAsiaTheme="minorEastAsia" w:hAnsi="David" w:cs="David" w:hint="cs"/>
          <w:b w:val="0"/>
          <w:bCs w:val="0"/>
          <w:noProof w:val="0"/>
          <w:sz w:val="16"/>
          <w:szCs w:val="16"/>
          <w:rtl/>
        </w:rPr>
        <w:t>פסקי הרי"ד</w:t>
      </w:r>
      <w:r w:rsidRPr="003A14B9">
        <w:rPr>
          <w:rFonts w:hint="cs"/>
          <w:rtl/>
        </w:rPr>
        <w:t xml:space="preserve"> </w:t>
      </w:r>
      <w:r w:rsidRPr="00FE4693">
        <w:rPr>
          <w:rStyle w:val="afffffffff3"/>
          <w:rFonts w:hint="cs"/>
          <w:rtl/>
        </w:rPr>
        <w:t>(קג. ד"ה זה)</w:t>
      </w:r>
      <w:r>
        <w:rPr>
          <w:rtl/>
        </w:rPr>
        <w:t>,</w:t>
      </w:r>
      <w:r w:rsidRPr="00FE4693">
        <w:rPr>
          <w:rStyle w:val="aff4"/>
          <w:rFonts w:ascii="David" w:eastAsiaTheme="minorEastAsia" w:hAnsi="David" w:cs="David" w:hint="cs"/>
          <w:noProof w:val="0"/>
          <w:sz w:val="16"/>
          <w:szCs w:val="16"/>
          <w:rtl/>
        </w:rPr>
        <w:t xml:space="preserve"> </w:t>
      </w:r>
      <w:r w:rsidRPr="00FE4693">
        <w:rPr>
          <w:rStyle w:val="aff4"/>
          <w:rFonts w:ascii="David" w:eastAsiaTheme="minorEastAsia" w:hAnsi="David" w:cs="David"/>
          <w:noProof w:val="0"/>
          <w:sz w:val="16"/>
          <w:szCs w:val="16"/>
          <w:rtl/>
        </w:rPr>
        <w:fldChar w:fldCharType="begin"/>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hint="cs"/>
          <w:noProof w:val="0"/>
          <w:sz w:val="16"/>
          <w:szCs w:val="16"/>
        </w:rPr>
        <w:instrText>REF</w:instrText>
      </w:r>
      <w:r w:rsidRPr="00FE4693">
        <w:rPr>
          <w:rStyle w:val="aff4"/>
          <w:rFonts w:ascii="David" w:eastAsiaTheme="minorEastAsia" w:hAnsi="David" w:cs="David" w:hint="cs"/>
          <w:noProof w:val="0"/>
          <w:sz w:val="16"/>
          <w:szCs w:val="16"/>
          <w:rtl/>
        </w:rPr>
        <w:instrText xml:space="preserve"> _</w:instrText>
      </w:r>
      <w:r w:rsidRPr="00FE4693">
        <w:rPr>
          <w:rStyle w:val="aff4"/>
          <w:rFonts w:ascii="David" w:eastAsiaTheme="minorEastAsia" w:hAnsi="David" w:cs="David" w:hint="cs"/>
          <w:noProof w:val="0"/>
          <w:sz w:val="16"/>
          <w:szCs w:val="16"/>
        </w:rPr>
        <w:instrText>Ref143159453 \r \h</w:instrText>
      </w:r>
      <w:r w:rsidRPr="00FE4693">
        <w:rPr>
          <w:rStyle w:val="aff4"/>
          <w:rFonts w:ascii="David" w:eastAsiaTheme="minorEastAsia" w:hAnsi="David" w:cs="David"/>
          <w:noProof w:val="0"/>
          <w:sz w:val="16"/>
          <w:szCs w:val="16"/>
          <w:rtl/>
        </w:rPr>
        <w:instrText xml:space="preserve">  \* </w:instrText>
      </w:r>
      <w:r w:rsidRPr="00FE4693">
        <w:rPr>
          <w:rStyle w:val="aff4"/>
          <w:rFonts w:ascii="David" w:eastAsiaTheme="minorEastAsia" w:hAnsi="David" w:cs="David"/>
          <w:noProof w:val="0"/>
          <w:sz w:val="16"/>
          <w:szCs w:val="16"/>
        </w:rPr>
        <w:instrText>MERGEFORMAT</w:instrText>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tl/>
        </w:rPr>
      </w:r>
      <w:r w:rsidRPr="00FE4693">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נט)</w:t>
      </w:r>
      <w:r w:rsidRPr="00FE4693">
        <w:rPr>
          <w:rStyle w:val="aff4"/>
          <w:rFonts w:ascii="David" w:eastAsiaTheme="minorEastAsia" w:hAnsi="David" w:cs="David"/>
          <w:noProof w:val="0"/>
          <w:sz w:val="16"/>
          <w:szCs w:val="16"/>
          <w:rtl/>
        </w:rPr>
        <w:fldChar w:fldCharType="end"/>
      </w:r>
      <w:r w:rsidRPr="00FE4693">
        <w:rPr>
          <w:rStyle w:val="aff4"/>
          <w:rFonts w:ascii="David" w:eastAsiaTheme="minorEastAsia" w:hAnsi="David" w:cs="David" w:hint="cs"/>
          <w:noProof w:val="0"/>
          <w:sz w:val="16"/>
          <w:szCs w:val="16"/>
          <w:rtl/>
        </w:rPr>
        <w:t xml:space="preserve"> </w:t>
      </w:r>
      <w:r w:rsidRPr="003A14B9">
        <w:rPr>
          <w:rStyle w:val="aff4"/>
          <w:rFonts w:ascii="David" w:eastAsiaTheme="minorEastAsia" w:hAnsi="David" w:cs="David" w:hint="cs"/>
          <w:b w:val="0"/>
          <w:bCs w:val="0"/>
          <w:noProof w:val="0"/>
          <w:sz w:val="16"/>
          <w:szCs w:val="16"/>
          <w:rtl/>
        </w:rPr>
        <w:t>ריטב"א</w:t>
      </w:r>
      <w:r w:rsidRPr="003A14B9">
        <w:rPr>
          <w:rFonts w:hint="cs"/>
          <w:rtl/>
        </w:rPr>
        <w:t xml:space="preserve"> </w:t>
      </w:r>
      <w:r w:rsidRPr="00FE4693">
        <w:rPr>
          <w:rStyle w:val="afffffffff3"/>
          <w:rFonts w:hint="cs"/>
          <w:rtl/>
        </w:rPr>
        <w:t>(ד"ה זה)</w:t>
      </w:r>
      <w:r>
        <w:rPr>
          <w:rtl/>
        </w:rPr>
        <w:t>,</w:t>
      </w:r>
      <w:r w:rsidRPr="00FE4693">
        <w:rPr>
          <w:rStyle w:val="aff4"/>
          <w:rFonts w:ascii="David" w:eastAsiaTheme="minorEastAsia" w:hAnsi="David" w:cs="David" w:hint="cs"/>
          <w:noProof w:val="0"/>
          <w:sz w:val="16"/>
          <w:szCs w:val="16"/>
          <w:rtl/>
        </w:rPr>
        <w:t xml:space="preserve"> </w:t>
      </w:r>
      <w:r w:rsidRPr="00FE4693">
        <w:rPr>
          <w:rStyle w:val="aff4"/>
          <w:rFonts w:ascii="David" w:eastAsiaTheme="minorEastAsia" w:hAnsi="David" w:cs="David"/>
          <w:noProof w:val="0"/>
          <w:sz w:val="16"/>
          <w:szCs w:val="16"/>
          <w:rtl/>
        </w:rPr>
        <w:fldChar w:fldCharType="begin"/>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hint="cs"/>
          <w:noProof w:val="0"/>
          <w:sz w:val="16"/>
          <w:szCs w:val="16"/>
        </w:rPr>
        <w:instrText>REF</w:instrText>
      </w:r>
      <w:r w:rsidRPr="00FE4693">
        <w:rPr>
          <w:rStyle w:val="aff4"/>
          <w:rFonts w:ascii="David" w:eastAsiaTheme="minorEastAsia" w:hAnsi="David" w:cs="David" w:hint="cs"/>
          <w:noProof w:val="0"/>
          <w:sz w:val="16"/>
          <w:szCs w:val="16"/>
          <w:rtl/>
        </w:rPr>
        <w:instrText xml:space="preserve"> _</w:instrText>
      </w:r>
      <w:r w:rsidRPr="00FE4693">
        <w:rPr>
          <w:rStyle w:val="aff4"/>
          <w:rFonts w:ascii="David" w:eastAsiaTheme="minorEastAsia" w:hAnsi="David" w:cs="David" w:hint="cs"/>
          <w:noProof w:val="0"/>
          <w:sz w:val="16"/>
          <w:szCs w:val="16"/>
        </w:rPr>
        <w:instrText>Ref140832874 \r \h</w:instrText>
      </w:r>
      <w:r w:rsidRPr="00FE4693">
        <w:rPr>
          <w:rStyle w:val="aff4"/>
          <w:rFonts w:ascii="David" w:eastAsiaTheme="minorEastAsia" w:hAnsi="David" w:cs="David"/>
          <w:noProof w:val="0"/>
          <w:sz w:val="16"/>
          <w:szCs w:val="16"/>
          <w:rtl/>
        </w:rPr>
        <w:instrText xml:space="preserve">  \* </w:instrText>
      </w:r>
      <w:r w:rsidRPr="00FE4693">
        <w:rPr>
          <w:rStyle w:val="aff4"/>
          <w:rFonts w:ascii="David" w:eastAsiaTheme="minorEastAsia" w:hAnsi="David" w:cs="David"/>
          <w:noProof w:val="0"/>
          <w:sz w:val="16"/>
          <w:szCs w:val="16"/>
        </w:rPr>
        <w:instrText>MERGEFORMAT</w:instrText>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tl/>
        </w:rPr>
      </w:r>
      <w:r w:rsidRPr="00FE4693">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ס)</w:t>
      </w:r>
      <w:r w:rsidRPr="00FE4693">
        <w:rPr>
          <w:rStyle w:val="aff4"/>
          <w:rFonts w:ascii="David" w:eastAsiaTheme="minorEastAsia" w:hAnsi="David" w:cs="David"/>
          <w:noProof w:val="0"/>
          <w:sz w:val="16"/>
          <w:szCs w:val="16"/>
          <w:rtl/>
        </w:rPr>
        <w:fldChar w:fldCharType="end"/>
      </w:r>
      <w:r w:rsidRPr="00FE4693">
        <w:rPr>
          <w:rStyle w:val="aff4"/>
          <w:rFonts w:ascii="David" w:eastAsiaTheme="minorEastAsia" w:hAnsi="David" w:cs="David" w:hint="cs"/>
          <w:noProof w:val="0"/>
          <w:sz w:val="16"/>
          <w:szCs w:val="16"/>
          <w:rtl/>
        </w:rPr>
        <w:t xml:space="preserve"> </w:t>
      </w:r>
      <w:r w:rsidRPr="003A14B9">
        <w:rPr>
          <w:rStyle w:val="aff4"/>
          <w:rFonts w:ascii="David" w:eastAsiaTheme="minorEastAsia" w:hAnsi="David" w:cs="David" w:hint="cs"/>
          <w:b w:val="0"/>
          <w:bCs w:val="0"/>
          <w:noProof w:val="0"/>
          <w:sz w:val="16"/>
          <w:szCs w:val="16"/>
          <w:rtl/>
        </w:rPr>
        <w:t>רמב"ם</w:t>
      </w:r>
      <w:r w:rsidRPr="003A14B9">
        <w:rPr>
          <w:rFonts w:hint="cs"/>
          <w:rtl/>
        </w:rPr>
        <w:t xml:space="preserve"> </w:t>
      </w:r>
      <w:r w:rsidRPr="00FE4693">
        <w:rPr>
          <w:rStyle w:val="afffffffff3"/>
          <w:rFonts w:hint="cs"/>
          <w:rtl/>
        </w:rPr>
        <w:t>(שבת פ"ט הי"ג)</w:t>
      </w:r>
      <w:r>
        <w:rPr>
          <w:rtl/>
        </w:rPr>
        <w:t xml:space="preserve"> </w:t>
      </w:r>
      <w:r w:rsidRPr="003A14B9">
        <w:rPr>
          <w:rStyle w:val="aff4"/>
          <w:rFonts w:ascii="David" w:eastAsiaTheme="minorEastAsia" w:hAnsi="David" w:cs="David" w:hint="cs"/>
          <w:b w:val="0"/>
          <w:bCs w:val="0"/>
          <w:noProof w:val="0"/>
          <w:sz w:val="16"/>
          <w:szCs w:val="16"/>
          <w:rtl/>
        </w:rPr>
        <w:t>מ"מ</w:t>
      </w:r>
      <w:r w:rsidRPr="003A14B9">
        <w:rPr>
          <w:rFonts w:hint="cs"/>
          <w:rtl/>
        </w:rPr>
        <w:t xml:space="preserve"> </w:t>
      </w:r>
      <w:r w:rsidRPr="00FE4693">
        <w:rPr>
          <w:rStyle w:val="afffffffff3"/>
          <w:rFonts w:hint="cs"/>
          <w:rtl/>
        </w:rPr>
        <w:t>(שבת פ"ט הי"ג)</w:t>
      </w:r>
      <w:r>
        <w:rPr>
          <w:rtl/>
        </w:rPr>
        <w:t xml:space="preserve"> </w:t>
      </w:r>
      <w:r w:rsidRPr="003A14B9">
        <w:rPr>
          <w:rStyle w:val="aff4"/>
          <w:rFonts w:ascii="David" w:eastAsiaTheme="minorEastAsia" w:hAnsi="David" w:cs="David" w:hint="cs"/>
          <w:b w:val="0"/>
          <w:bCs w:val="0"/>
          <w:noProof w:val="0"/>
          <w:sz w:val="16"/>
          <w:szCs w:val="16"/>
          <w:rtl/>
        </w:rPr>
        <w:t>רמב"ם</w:t>
      </w:r>
      <w:r w:rsidRPr="003A14B9">
        <w:rPr>
          <w:rFonts w:hint="cs"/>
          <w:rtl/>
        </w:rPr>
        <w:t xml:space="preserve"> </w:t>
      </w:r>
      <w:r w:rsidRPr="00FE4693">
        <w:rPr>
          <w:rStyle w:val="afffffffff3"/>
          <w:rFonts w:hint="cs"/>
          <w:rtl/>
        </w:rPr>
        <w:t>(שבת פי"א הט"ו)</w:t>
      </w:r>
      <w:r>
        <w:rPr>
          <w:rtl/>
        </w:rPr>
        <w:t xml:space="preserve"> </w:t>
      </w:r>
      <w:r w:rsidRPr="003A14B9">
        <w:rPr>
          <w:rStyle w:val="aff4"/>
          <w:rFonts w:ascii="David" w:eastAsiaTheme="minorEastAsia" w:hAnsi="David" w:cs="David" w:hint="cs"/>
          <w:b w:val="0"/>
          <w:bCs w:val="0"/>
          <w:noProof w:val="0"/>
          <w:sz w:val="16"/>
          <w:szCs w:val="16"/>
          <w:rtl/>
        </w:rPr>
        <w:t>מ"מ</w:t>
      </w:r>
      <w:r w:rsidRPr="003A14B9">
        <w:rPr>
          <w:rFonts w:hint="cs"/>
          <w:rtl/>
        </w:rPr>
        <w:t xml:space="preserve"> </w:t>
      </w:r>
      <w:r w:rsidRPr="00FE4693">
        <w:rPr>
          <w:rStyle w:val="afffffffff3"/>
          <w:rFonts w:hint="cs"/>
          <w:rtl/>
        </w:rPr>
        <w:t>(שבת פי"א הט"ו)</w:t>
      </w:r>
      <w:r>
        <w:rPr>
          <w:rtl/>
        </w:rPr>
        <w:t xml:space="preserve"> </w:t>
      </w:r>
      <w:r w:rsidRPr="003A14B9">
        <w:rPr>
          <w:rStyle w:val="aff4"/>
          <w:rFonts w:ascii="David" w:eastAsiaTheme="minorEastAsia" w:hAnsi="David" w:cs="David" w:hint="cs"/>
          <w:b w:val="0"/>
          <w:bCs w:val="0"/>
          <w:noProof w:val="0"/>
          <w:sz w:val="16"/>
          <w:szCs w:val="16"/>
          <w:rtl/>
        </w:rPr>
        <w:t>ביה"ל</w:t>
      </w:r>
      <w:r w:rsidRPr="003A14B9">
        <w:rPr>
          <w:rFonts w:hint="cs"/>
          <w:rtl/>
        </w:rPr>
        <w:t xml:space="preserve"> </w:t>
      </w:r>
      <w:r w:rsidRPr="00FE4693">
        <w:rPr>
          <w:rStyle w:val="afffffffff3"/>
          <w:rFonts w:hint="cs"/>
          <w:rtl/>
        </w:rPr>
        <w:t>(סי' ש"מ ד' ד"ה במשקין)</w:t>
      </w:r>
      <w:r>
        <w:rPr>
          <w:rtl/>
        </w:rPr>
        <w:t xml:space="preserve"> </w:t>
      </w:r>
      <w:r w:rsidRPr="003A14B9">
        <w:rPr>
          <w:rStyle w:val="aff4"/>
          <w:rFonts w:ascii="David" w:eastAsiaTheme="minorEastAsia" w:hAnsi="David" w:cs="David"/>
          <w:b w:val="0"/>
          <w:bCs w:val="0"/>
          <w:noProof w:val="0"/>
          <w:sz w:val="16"/>
          <w:szCs w:val="16"/>
          <w:rtl/>
        </w:rPr>
        <w:t>דברי יחזקאל</w:t>
      </w:r>
      <w:r w:rsidRPr="003A14B9">
        <w:rPr>
          <w:rtl/>
        </w:rPr>
        <w:t xml:space="preserve"> </w:t>
      </w:r>
      <w:r w:rsidRPr="00FE4693">
        <w:rPr>
          <w:rStyle w:val="afffffffff3"/>
          <w:rFonts w:hint="cs"/>
          <w:rtl/>
        </w:rPr>
        <w:t>(</w:t>
      </w:r>
      <w:r w:rsidRPr="00FE4693">
        <w:rPr>
          <w:rStyle w:val="afffffffff3"/>
          <w:rtl/>
        </w:rPr>
        <w:t>סי' ד' ענף ד'</w:t>
      </w:r>
      <w:r w:rsidRPr="00FE4693">
        <w:rPr>
          <w:rStyle w:val="afffffffff3"/>
          <w:rFonts w:hint="cs"/>
          <w:rtl/>
        </w:rPr>
        <w:t>)</w:t>
      </w:r>
      <w:r>
        <w:rPr>
          <w:rtl/>
        </w:rPr>
        <w:t>,</w:t>
      </w:r>
      <w:r w:rsidRPr="00FE4693">
        <w:rPr>
          <w:rStyle w:val="aff4"/>
          <w:rFonts w:ascii="David" w:eastAsiaTheme="minorEastAsia" w:hAnsi="David" w:cs="David" w:hint="cs"/>
          <w:noProof w:val="0"/>
          <w:sz w:val="16"/>
          <w:szCs w:val="16"/>
          <w:rtl/>
        </w:rPr>
        <w:t xml:space="preserve"> </w:t>
      </w:r>
      <w:r w:rsidRPr="00FE4693">
        <w:rPr>
          <w:rStyle w:val="aff4"/>
          <w:rFonts w:ascii="David" w:eastAsiaTheme="minorEastAsia" w:hAnsi="David" w:cs="David"/>
          <w:noProof w:val="0"/>
          <w:sz w:val="16"/>
          <w:szCs w:val="16"/>
          <w:rtl/>
        </w:rPr>
        <w:fldChar w:fldCharType="begin"/>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hint="cs"/>
          <w:noProof w:val="0"/>
          <w:sz w:val="16"/>
          <w:szCs w:val="16"/>
        </w:rPr>
        <w:instrText>REF</w:instrText>
      </w:r>
      <w:r w:rsidRPr="00FE4693">
        <w:rPr>
          <w:rStyle w:val="aff4"/>
          <w:rFonts w:ascii="David" w:eastAsiaTheme="minorEastAsia" w:hAnsi="David" w:cs="David" w:hint="cs"/>
          <w:noProof w:val="0"/>
          <w:sz w:val="16"/>
          <w:szCs w:val="16"/>
          <w:rtl/>
        </w:rPr>
        <w:instrText xml:space="preserve"> _</w:instrText>
      </w:r>
      <w:r w:rsidRPr="00FE4693">
        <w:rPr>
          <w:rStyle w:val="aff4"/>
          <w:rFonts w:ascii="David" w:eastAsiaTheme="minorEastAsia" w:hAnsi="David" w:cs="David" w:hint="cs"/>
          <w:noProof w:val="0"/>
          <w:sz w:val="16"/>
          <w:szCs w:val="16"/>
        </w:rPr>
        <w:instrText>Ref142817041 \r \h</w:instrText>
      </w:r>
      <w:r w:rsidRPr="00FE4693">
        <w:rPr>
          <w:rStyle w:val="aff4"/>
          <w:rFonts w:ascii="David" w:eastAsiaTheme="minorEastAsia" w:hAnsi="David" w:cs="David"/>
          <w:noProof w:val="0"/>
          <w:sz w:val="16"/>
          <w:szCs w:val="16"/>
          <w:rtl/>
        </w:rPr>
        <w:instrText xml:space="preserve">  \* </w:instrText>
      </w:r>
      <w:r w:rsidRPr="00FE4693">
        <w:rPr>
          <w:rStyle w:val="aff4"/>
          <w:rFonts w:ascii="David" w:eastAsiaTheme="minorEastAsia" w:hAnsi="David" w:cs="David"/>
          <w:noProof w:val="0"/>
          <w:sz w:val="16"/>
          <w:szCs w:val="16"/>
        </w:rPr>
        <w:instrText>MERGEFORMAT</w:instrText>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tl/>
        </w:rPr>
      </w:r>
      <w:r w:rsidRPr="00FE4693">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סא)</w:t>
      </w:r>
      <w:r w:rsidRPr="00FE4693">
        <w:rPr>
          <w:rStyle w:val="aff4"/>
          <w:rFonts w:ascii="David" w:eastAsiaTheme="minorEastAsia" w:hAnsi="David" w:cs="David"/>
          <w:noProof w:val="0"/>
          <w:sz w:val="16"/>
          <w:szCs w:val="16"/>
          <w:rtl/>
        </w:rPr>
        <w:fldChar w:fldCharType="end"/>
      </w:r>
      <w:r w:rsidRPr="00FE4693">
        <w:rPr>
          <w:rStyle w:val="aff4"/>
          <w:rFonts w:ascii="David" w:eastAsiaTheme="minorEastAsia" w:hAnsi="David" w:cs="David" w:hint="cs"/>
          <w:noProof w:val="0"/>
          <w:sz w:val="16"/>
          <w:szCs w:val="16"/>
          <w:rtl/>
        </w:rPr>
        <w:t xml:space="preserve"> </w:t>
      </w:r>
      <w:r w:rsidRPr="003A14B9">
        <w:rPr>
          <w:rStyle w:val="aff4"/>
          <w:rFonts w:ascii="David" w:eastAsiaTheme="minorEastAsia" w:hAnsi="David" w:cs="David" w:hint="cs"/>
          <w:b w:val="0"/>
          <w:bCs w:val="0"/>
          <w:noProof w:val="0"/>
          <w:sz w:val="16"/>
          <w:szCs w:val="16"/>
          <w:rtl/>
        </w:rPr>
        <w:t>הג' ברוך טעם למשניות משנת רב</w:t>
      </w:r>
      <w:r w:rsidRPr="003A14B9">
        <w:rPr>
          <w:rFonts w:hint="cs"/>
          <w:rtl/>
        </w:rPr>
        <w:t xml:space="preserve"> </w:t>
      </w:r>
      <w:r w:rsidRPr="00FE4693">
        <w:rPr>
          <w:rStyle w:val="afffffffff3"/>
          <w:rFonts w:hint="cs"/>
          <w:rtl/>
        </w:rPr>
        <w:t>(פי"ב מ"א, נד' בסוף המשניות)</w:t>
      </w:r>
      <w:r>
        <w:rPr>
          <w:rtl/>
        </w:rPr>
        <w:t>,</w:t>
      </w:r>
      <w:r w:rsidRPr="00FE4693">
        <w:rPr>
          <w:rStyle w:val="aff4"/>
          <w:rFonts w:ascii="David" w:eastAsiaTheme="minorEastAsia" w:hAnsi="David" w:cs="David" w:hint="cs"/>
          <w:noProof w:val="0"/>
          <w:sz w:val="16"/>
          <w:szCs w:val="16"/>
          <w:rtl/>
        </w:rPr>
        <w:t xml:space="preserve"> </w:t>
      </w:r>
      <w:r w:rsidRPr="00FE4693">
        <w:rPr>
          <w:rStyle w:val="aff4"/>
          <w:rFonts w:ascii="David" w:eastAsiaTheme="minorEastAsia" w:hAnsi="David" w:cs="David"/>
          <w:noProof w:val="0"/>
          <w:sz w:val="16"/>
          <w:szCs w:val="16"/>
          <w:rtl/>
        </w:rPr>
        <w:fldChar w:fldCharType="begin"/>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hint="cs"/>
          <w:noProof w:val="0"/>
          <w:sz w:val="16"/>
          <w:szCs w:val="16"/>
        </w:rPr>
        <w:instrText>REF</w:instrText>
      </w:r>
      <w:r w:rsidRPr="00FE4693">
        <w:rPr>
          <w:rStyle w:val="aff4"/>
          <w:rFonts w:ascii="David" w:eastAsiaTheme="minorEastAsia" w:hAnsi="David" w:cs="David" w:hint="cs"/>
          <w:noProof w:val="0"/>
          <w:sz w:val="16"/>
          <w:szCs w:val="16"/>
          <w:rtl/>
        </w:rPr>
        <w:instrText xml:space="preserve"> _</w:instrText>
      </w:r>
      <w:r w:rsidRPr="00FE4693">
        <w:rPr>
          <w:rStyle w:val="aff4"/>
          <w:rFonts w:ascii="David" w:eastAsiaTheme="minorEastAsia" w:hAnsi="David" w:cs="David" w:hint="cs"/>
          <w:noProof w:val="0"/>
          <w:sz w:val="16"/>
          <w:szCs w:val="16"/>
        </w:rPr>
        <w:instrText>Ref143159478 \r \h</w:instrText>
      </w:r>
      <w:r w:rsidRPr="00FE4693">
        <w:rPr>
          <w:rStyle w:val="aff4"/>
          <w:rFonts w:ascii="David" w:eastAsiaTheme="minorEastAsia" w:hAnsi="David" w:cs="David"/>
          <w:noProof w:val="0"/>
          <w:sz w:val="16"/>
          <w:szCs w:val="16"/>
          <w:rtl/>
        </w:rPr>
        <w:instrText xml:space="preserve">  \* </w:instrText>
      </w:r>
      <w:r w:rsidRPr="00FE4693">
        <w:rPr>
          <w:rStyle w:val="aff4"/>
          <w:rFonts w:ascii="David" w:eastAsiaTheme="minorEastAsia" w:hAnsi="David" w:cs="David"/>
          <w:noProof w:val="0"/>
          <w:sz w:val="16"/>
          <w:szCs w:val="16"/>
        </w:rPr>
        <w:instrText>MERGEFORMAT</w:instrText>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tl/>
        </w:rPr>
      </w:r>
      <w:r w:rsidRPr="00FE4693">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סב)</w:t>
      </w:r>
      <w:r w:rsidRPr="00FE4693">
        <w:rPr>
          <w:rStyle w:val="aff4"/>
          <w:rFonts w:ascii="David" w:eastAsiaTheme="minorEastAsia" w:hAnsi="David" w:cs="David"/>
          <w:noProof w:val="0"/>
          <w:sz w:val="16"/>
          <w:szCs w:val="16"/>
          <w:rtl/>
        </w:rPr>
        <w:fldChar w:fldCharType="end"/>
      </w:r>
      <w:r w:rsidRPr="00FE4693">
        <w:rPr>
          <w:rStyle w:val="aff4"/>
          <w:rFonts w:ascii="David" w:eastAsiaTheme="minorEastAsia" w:hAnsi="David" w:cs="David" w:hint="cs"/>
          <w:noProof w:val="0"/>
          <w:sz w:val="16"/>
          <w:szCs w:val="16"/>
          <w:rtl/>
        </w:rPr>
        <w:t xml:space="preserve"> </w:t>
      </w:r>
      <w:r w:rsidRPr="003A14B9">
        <w:rPr>
          <w:rStyle w:val="aff4"/>
          <w:rFonts w:ascii="David" w:eastAsiaTheme="minorEastAsia" w:hAnsi="David" w:cs="David" w:hint="cs"/>
          <w:b w:val="0"/>
          <w:bCs w:val="0"/>
          <w:noProof w:val="0"/>
          <w:sz w:val="16"/>
          <w:szCs w:val="16"/>
          <w:rtl/>
        </w:rPr>
        <w:t>שער הציון</w:t>
      </w:r>
      <w:r w:rsidRPr="003A14B9">
        <w:rPr>
          <w:rFonts w:hint="cs"/>
          <w:rtl/>
        </w:rPr>
        <w:t xml:space="preserve"> </w:t>
      </w:r>
      <w:r w:rsidRPr="00FE4693">
        <w:rPr>
          <w:rStyle w:val="afffffffff3"/>
          <w:rFonts w:hint="cs"/>
          <w:rtl/>
        </w:rPr>
        <w:t>(סי' ש"ג סקס"ח)</w:t>
      </w:r>
      <w:r>
        <w:rPr>
          <w:rtl/>
        </w:rPr>
        <w:t xml:space="preserve"> </w:t>
      </w:r>
      <w:r w:rsidRPr="003A14B9">
        <w:rPr>
          <w:rStyle w:val="aff4"/>
          <w:rFonts w:ascii="David" w:eastAsiaTheme="minorEastAsia" w:hAnsi="David" w:cs="David" w:hint="cs"/>
          <w:b w:val="0"/>
          <w:bCs w:val="0"/>
          <w:noProof w:val="0"/>
          <w:sz w:val="16"/>
          <w:szCs w:val="16"/>
          <w:rtl/>
        </w:rPr>
        <w:t>תוס' לקמן</w:t>
      </w:r>
      <w:r w:rsidRPr="003A14B9">
        <w:rPr>
          <w:rFonts w:hint="cs"/>
          <w:rtl/>
        </w:rPr>
        <w:t xml:space="preserve"> </w:t>
      </w:r>
      <w:r w:rsidRPr="00FE4693">
        <w:rPr>
          <w:rStyle w:val="afffffffff3"/>
          <w:rFonts w:hint="cs"/>
          <w:rtl/>
        </w:rPr>
        <w:t>(צד: ד"ה וכי)</w:t>
      </w:r>
      <w:r>
        <w:rPr>
          <w:rtl/>
        </w:rPr>
        <w:t xml:space="preserve"> </w:t>
      </w:r>
    </w:p>
    <w:p w14:paraId="4417B0BB" w14:textId="77777777" w:rsidR="00376F67" w:rsidRDefault="00376F67" w:rsidP="00376F67">
      <w:pPr>
        <w:pStyle w:val="TOC2"/>
        <w:rPr>
          <w:rFonts w:cstheme="minorBidi"/>
          <w:b w:val="0"/>
          <w:bCs w:val="0"/>
          <w:sz w:val="22"/>
          <w:szCs w:val="22"/>
          <w:rtl/>
        </w:rPr>
      </w:pPr>
      <w:hyperlink w:anchor="_Toc143770646" w:history="1">
        <w:r w:rsidRPr="009F263C">
          <w:rPr>
            <w:rStyle w:val="Hyperlink"/>
            <w:rtl/>
          </w:rPr>
          <w:t>בי' רש"י דמתקיימת היינו שא"צ להוסיף ויש שמקיימין כן</w:t>
        </w:r>
      </w:hyperlink>
    </w:p>
    <w:p w14:paraId="5BE3CB93" w14:textId="77777777" w:rsidR="00376F67" w:rsidRDefault="00376F67" w:rsidP="00ED704E">
      <w:pPr>
        <w:pStyle w:val="TOC3"/>
        <w:rPr>
          <w:rFonts w:asciiTheme="minorHAnsi" w:eastAsiaTheme="minorEastAsia" w:hAnsiTheme="minorHAnsi" w:cstheme="minorBidi"/>
          <w:sz w:val="22"/>
          <w:szCs w:val="22"/>
          <w:rtl/>
        </w:rPr>
      </w:pPr>
      <w:hyperlink w:anchor="_Toc143770647" w:history="1">
        <w:r w:rsidRPr="009F263C">
          <w:rPr>
            <w:rStyle w:val="Hyperlink"/>
            <w:rtl/>
          </w:rPr>
          <w:t>בי' רש"י דמלאכה המתקיימת היינו מלאכה שא"צ להוסיף עליה והעושה מלאכה כזו בשבת חייב</w:t>
        </w:r>
      </w:hyperlink>
    </w:p>
    <w:p w14:paraId="4D05B7D8" w14:textId="77777777" w:rsidR="00376F67" w:rsidRDefault="00376F67" w:rsidP="00ED704E">
      <w:pPr>
        <w:pStyle w:val="TOC3"/>
        <w:rPr>
          <w:rFonts w:asciiTheme="minorHAnsi" w:eastAsiaTheme="minorEastAsia" w:hAnsiTheme="minorHAnsi" w:cstheme="minorBidi"/>
          <w:sz w:val="22"/>
          <w:szCs w:val="22"/>
          <w:rtl/>
        </w:rPr>
      </w:pPr>
      <w:hyperlink w:anchor="_Toc143770648" w:history="1">
        <w:r w:rsidRPr="009F263C">
          <w:rPr>
            <w:rStyle w:val="Hyperlink"/>
            <w:rtl/>
          </w:rPr>
          <w:t>בי' רש"י דהכלל אתי לאתויי חק קפיזא דאף דדעתו להוסיף הוי מלאכה כיון דיש שמקיימין כן</w:t>
        </w:r>
      </w:hyperlink>
    </w:p>
    <w:p w14:paraId="6F6AB374" w14:textId="77777777" w:rsidR="00376F67" w:rsidRDefault="00376F67" w:rsidP="00ED704E">
      <w:pPr>
        <w:pStyle w:val="TOC3"/>
        <w:rPr>
          <w:rFonts w:asciiTheme="minorHAnsi" w:eastAsiaTheme="minorEastAsia" w:hAnsiTheme="minorHAnsi" w:cstheme="minorBidi"/>
          <w:sz w:val="22"/>
          <w:szCs w:val="22"/>
          <w:rtl/>
        </w:rPr>
      </w:pPr>
      <w:hyperlink w:anchor="_Toc143770649" w:history="1">
        <w:r w:rsidRPr="009F263C">
          <w:rPr>
            <w:rStyle w:val="Hyperlink"/>
            <w:rtl/>
          </w:rPr>
          <w:t>בי' רש"י דכל מלאכה שיש מקיימין כן חייב אף כשלא גמרה אבל אינה מתקיימת ל"ה מלאכה</w:t>
        </w:r>
      </w:hyperlink>
    </w:p>
    <w:p w14:paraId="6B736F1C" w14:textId="77777777" w:rsidR="00376F67" w:rsidRDefault="00376F67" w:rsidP="00ED704E">
      <w:pPr>
        <w:pStyle w:val="TOC3"/>
        <w:rPr>
          <w:rFonts w:asciiTheme="minorHAnsi" w:eastAsiaTheme="minorEastAsia" w:hAnsiTheme="minorHAnsi" w:cstheme="minorBidi"/>
          <w:sz w:val="22"/>
          <w:szCs w:val="22"/>
          <w:rtl/>
        </w:rPr>
      </w:pPr>
      <w:hyperlink w:anchor="_Toc143770650" w:history="1">
        <w:r w:rsidRPr="009F263C">
          <w:rPr>
            <w:rStyle w:val="Hyperlink"/>
            <w:rtl/>
          </w:rPr>
          <w:t>קו' הפר"ח ברש"י דכל מתני' בשבת וא"צ לבאר כן ובי' דנגמרת בשבת וא"צ להוסיף אח"כ</w:t>
        </w:r>
      </w:hyperlink>
    </w:p>
    <w:p w14:paraId="467A7CAF" w14:textId="77777777" w:rsidR="00376F67" w:rsidRDefault="00376F67" w:rsidP="00ED704E">
      <w:pPr>
        <w:pStyle w:val="TOC3"/>
        <w:rPr>
          <w:rFonts w:asciiTheme="minorHAnsi" w:eastAsiaTheme="minorEastAsia" w:hAnsiTheme="minorHAnsi" w:cstheme="minorBidi"/>
          <w:sz w:val="22"/>
          <w:szCs w:val="22"/>
          <w:rtl/>
        </w:rPr>
      </w:pPr>
      <w:hyperlink w:anchor="_Toc143770651" w:history="1">
        <w:r w:rsidRPr="009F263C">
          <w:rPr>
            <w:rStyle w:val="Hyperlink"/>
            <w:rtl/>
          </w:rPr>
          <w:t>בי' הר"מ קזיס ברש"י דרק למלאכה דשיעורה בכ"ש חייב כיון דמתקיימת ולא במלאכה חשובה</w:t>
        </w:r>
      </w:hyperlink>
    </w:p>
    <w:p w14:paraId="640E149F" w14:textId="77777777" w:rsidR="00376F67" w:rsidRDefault="00376F67" w:rsidP="00ED704E">
      <w:pPr>
        <w:pStyle w:val="TOC3"/>
        <w:rPr>
          <w:rFonts w:asciiTheme="minorHAnsi" w:eastAsiaTheme="minorEastAsia" w:hAnsiTheme="minorHAnsi" w:cstheme="minorBidi"/>
          <w:sz w:val="22"/>
          <w:szCs w:val="22"/>
          <w:rtl/>
        </w:rPr>
      </w:pPr>
      <w:hyperlink w:anchor="_Toc143770652" w:history="1">
        <w:r w:rsidRPr="009F263C">
          <w:rPr>
            <w:rStyle w:val="Hyperlink"/>
            <w:rtl/>
          </w:rPr>
          <w:t>בי' הגר"א דמתקיימת היינו כשאינו רוצה להוסיף עליה בשבת עצמה אף דכוונתו להוסיף אח"כ</w:t>
        </w:r>
      </w:hyperlink>
    </w:p>
    <w:p w14:paraId="0B3A09CE" w14:textId="77777777" w:rsidR="00376F67" w:rsidRDefault="00376F67" w:rsidP="00376F67">
      <w:pPr>
        <w:pStyle w:val="TOC2"/>
        <w:rPr>
          <w:rFonts w:cstheme="minorBidi"/>
          <w:b w:val="0"/>
          <w:bCs w:val="0"/>
          <w:sz w:val="22"/>
          <w:szCs w:val="22"/>
          <w:rtl/>
        </w:rPr>
      </w:pPr>
      <w:hyperlink w:anchor="_Toc143770653" w:history="1">
        <w:r w:rsidRPr="009F263C">
          <w:rPr>
            <w:rStyle w:val="Hyperlink"/>
            <w:rtl/>
          </w:rPr>
          <w:t>בי' הרי"ד דאף בצריך להוסיף מתקיימת כשאינה עומדת לקלקול</w:t>
        </w:r>
      </w:hyperlink>
    </w:p>
    <w:p w14:paraId="4C96E8D8" w14:textId="77777777" w:rsidR="00376F67" w:rsidRDefault="00376F67" w:rsidP="00ED704E">
      <w:pPr>
        <w:pStyle w:val="TOC3"/>
        <w:rPr>
          <w:rFonts w:asciiTheme="minorHAnsi" w:eastAsiaTheme="minorEastAsia" w:hAnsiTheme="minorHAnsi" w:cstheme="minorBidi"/>
          <w:sz w:val="22"/>
          <w:szCs w:val="22"/>
          <w:rtl/>
        </w:rPr>
      </w:pPr>
      <w:hyperlink w:anchor="_Toc143770654" w:history="1">
        <w:r w:rsidRPr="009F263C">
          <w:rPr>
            <w:rStyle w:val="Hyperlink"/>
            <w:rtl/>
          </w:rPr>
          <w:t>בי' הרי"ד דבנין כ"ש חייב אף בכוונתו להוסיף ומלאכה המתקיימת היינו שאין כוונתו לקלקלה</w:t>
        </w:r>
      </w:hyperlink>
    </w:p>
    <w:p w14:paraId="546F8B79" w14:textId="77777777" w:rsidR="00376F67" w:rsidRDefault="00376F67" w:rsidP="00376F67">
      <w:pPr>
        <w:pStyle w:val="TOC2"/>
        <w:rPr>
          <w:rFonts w:cstheme="minorBidi"/>
          <w:b w:val="0"/>
          <w:bCs w:val="0"/>
          <w:sz w:val="22"/>
          <w:szCs w:val="22"/>
          <w:rtl/>
        </w:rPr>
      </w:pPr>
      <w:hyperlink w:anchor="_Toc143770655" w:history="1">
        <w:r w:rsidRPr="009F263C">
          <w:rPr>
            <w:rStyle w:val="Hyperlink"/>
            <w:rtl/>
          </w:rPr>
          <w:t>בי' הריטב"א דמתקיימת היינו אף רק לבו ביום כבנין לשעה</w:t>
        </w:r>
      </w:hyperlink>
    </w:p>
    <w:p w14:paraId="5646751A" w14:textId="77777777" w:rsidR="00376F67" w:rsidRDefault="00376F67" w:rsidP="00ED704E">
      <w:pPr>
        <w:pStyle w:val="TOC3"/>
        <w:rPr>
          <w:rFonts w:asciiTheme="minorHAnsi" w:eastAsiaTheme="minorEastAsia" w:hAnsiTheme="minorHAnsi" w:cstheme="minorBidi"/>
          <w:sz w:val="22"/>
          <w:szCs w:val="22"/>
          <w:rtl/>
        </w:rPr>
      </w:pPr>
      <w:hyperlink w:anchor="_Toc143770656" w:history="1">
        <w:r w:rsidRPr="009F263C">
          <w:rPr>
            <w:rStyle w:val="Hyperlink"/>
            <w:rtl/>
          </w:rPr>
          <w:t>בי' הריטב"א דמתקיימת בשבת היינו אף כשהקיום שלה הוא רק לשבת בו ביום כבנין לשעה</w:t>
        </w:r>
      </w:hyperlink>
    </w:p>
    <w:p w14:paraId="68073F9C" w14:textId="77777777" w:rsidR="00376F67" w:rsidRPr="003C1D43" w:rsidRDefault="00376F67" w:rsidP="00376F67">
      <w:pPr>
        <w:pStyle w:val="TOC2"/>
        <w:rPr>
          <w:rFonts w:cstheme="minorBidi"/>
          <w:b w:val="0"/>
          <w:bCs w:val="0"/>
          <w:sz w:val="22"/>
          <w:szCs w:val="22"/>
          <w:rtl/>
        </w:rPr>
      </w:pPr>
      <w:hyperlink w:anchor="_Toc143770657" w:history="1">
        <w:r w:rsidRPr="003C1D43">
          <w:rPr>
            <w:rStyle w:val="Hyperlink"/>
            <w:color w:val="auto"/>
            <w:rtl/>
          </w:rPr>
          <w:t>בי' המ"מ ברמב"ם דמתקיימת דכל מלאכה חייב רק במתקיים</w:t>
        </w:r>
      </w:hyperlink>
    </w:p>
    <w:p w14:paraId="7920235A" w14:textId="77777777" w:rsidR="00376F67" w:rsidRPr="003C1D43" w:rsidRDefault="00376F67" w:rsidP="00ED704E">
      <w:pPr>
        <w:pStyle w:val="TOC3"/>
        <w:rPr>
          <w:rFonts w:asciiTheme="minorHAnsi" w:eastAsiaTheme="minorEastAsia" w:hAnsiTheme="minorHAnsi" w:cstheme="minorBidi"/>
          <w:sz w:val="22"/>
          <w:szCs w:val="22"/>
          <w:rtl/>
        </w:rPr>
      </w:pPr>
      <w:hyperlink w:anchor="_Toc143770658" w:history="1">
        <w:r w:rsidRPr="003C1D43">
          <w:rPr>
            <w:rStyle w:val="Hyperlink"/>
            <w:color w:val="auto"/>
            <w:rtl/>
          </w:rPr>
          <w:t>בי' המ"מ ברמב"ם דחיוב צובע וכותב הוא רק בדבר המתקיים כדתנן דחייב במלאכתו מתקיימת</w:t>
        </w:r>
      </w:hyperlink>
    </w:p>
    <w:p w14:paraId="60F9322C" w14:textId="77777777" w:rsidR="00376F67" w:rsidRPr="003C1D43" w:rsidRDefault="00376F67" w:rsidP="00ED704E">
      <w:pPr>
        <w:pStyle w:val="TOC3"/>
        <w:rPr>
          <w:rFonts w:asciiTheme="minorHAnsi" w:eastAsiaTheme="minorEastAsia" w:hAnsiTheme="minorHAnsi" w:cstheme="minorBidi"/>
          <w:sz w:val="22"/>
          <w:szCs w:val="22"/>
          <w:rtl/>
        </w:rPr>
      </w:pPr>
      <w:hyperlink w:anchor="_Toc143770659" w:history="1">
        <w:r w:rsidRPr="003C1D43">
          <w:rPr>
            <w:rStyle w:val="Hyperlink"/>
            <w:color w:val="auto"/>
            <w:rtl/>
          </w:rPr>
          <w:t>בי' הברוך טעם ברמב"ם דמתקיימת בשבת היינו על המלאכה עצמה ולא על עושה המלאכה</w:t>
        </w:r>
      </w:hyperlink>
    </w:p>
    <w:p w14:paraId="5306B333" w14:textId="77777777" w:rsidR="00376F67" w:rsidRPr="003C1D43" w:rsidRDefault="00376F67" w:rsidP="00ED704E">
      <w:pPr>
        <w:pStyle w:val="TOC3"/>
        <w:rPr>
          <w:rStyle w:val="Hyperlink"/>
          <w:color w:val="auto"/>
          <w:rtl/>
        </w:rPr>
      </w:pPr>
      <w:hyperlink w:anchor="_Toc143770660" w:history="1">
        <w:r w:rsidRPr="003C1D43">
          <w:rPr>
            <w:rStyle w:val="Hyperlink"/>
            <w:color w:val="auto"/>
            <w:rtl/>
          </w:rPr>
          <w:t>בי' השעה"צ ברמב"ם דמתקיימת ביום השבת ולא לזמן מרובה ובתוס' אפש"ל כרש"י או כרמב"ם</w:t>
        </w:r>
      </w:hyperlink>
    </w:p>
    <w:p w14:paraId="431596FA" w14:textId="77777777" w:rsidR="00376F67" w:rsidRPr="003C1D43" w:rsidRDefault="00376F67" w:rsidP="00376F67">
      <w:pPr>
        <w:rPr>
          <w:rtl/>
        </w:rPr>
      </w:pPr>
    </w:p>
    <w:p w14:paraId="2E4DBA6E" w14:textId="77777777" w:rsidR="00376F67" w:rsidRPr="003C1D43" w:rsidRDefault="00376F67" w:rsidP="00376F67">
      <w:pPr>
        <w:rPr>
          <w:rtl/>
        </w:rPr>
      </w:pPr>
    </w:p>
    <w:p w14:paraId="76F5DDFB" w14:textId="77777777" w:rsidR="00376F67" w:rsidRPr="003C1D43" w:rsidRDefault="00376F67" w:rsidP="00376F67">
      <w:pPr>
        <w:rPr>
          <w:rtl/>
        </w:rPr>
      </w:pPr>
    </w:p>
    <w:p w14:paraId="5151E616" w14:textId="77777777" w:rsidR="00376F67" w:rsidRDefault="00376F67" w:rsidP="00376F67">
      <w:pPr>
        <w:pStyle w:val="TOC1"/>
        <w:rPr>
          <w:rFonts w:asciiTheme="minorHAnsi" w:hAnsiTheme="minorHAnsi" w:cstheme="minorBidi"/>
          <w:b w:val="0"/>
          <w:bCs w:val="0"/>
          <w:caps w:val="0"/>
          <w:sz w:val="22"/>
          <w:szCs w:val="22"/>
          <w:rtl/>
        </w:rPr>
      </w:pPr>
      <w:hyperlink w:anchor="_Toc143770661" w:history="1">
        <w:r w:rsidRPr="009F263C">
          <w:rPr>
            <w:rStyle w:val="Hyperlink"/>
            <w:rtl/>
          </w:rPr>
          <w:t>~~~~~~~ ביאורי ראשי הישיבות ~~~~~~~</w:t>
        </w:r>
      </w:hyperlink>
    </w:p>
    <w:p w14:paraId="4DF4B63A" w14:textId="77777777" w:rsidR="00376F67" w:rsidRDefault="00376F67" w:rsidP="00376F67">
      <w:pPr>
        <w:pStyle w:val="TOC1"/>
        <w:rPr>
          <w:rFonts w:asciiTheme="minorHAnsi" w:hAnsiTheme="minorHAnsi" w:cstheme="minorBidi"/>
          <w:b w:val="0"/>
          <w:bCs w:val="0"/>
          <w:caps w:val="0"/>
          <w:sz w:val="22"/>
          <w:szCs w:val="22"/>
          <w:rtl/>
        </w:rPr>
      </w:pPr>
      <w:hyperlink w:anchor="_Toc143770662" w:history="1">
        <w:r w:rsidRPr="009F263C">
          <w:rPr>
            <w:rStyle w:val="Hyperlink"/>
            <w:rtl/>
          </w:rPr>
          <w:t>בגדר בונה בקיבוץ חלקים ועשיית אוהל</w:t>
        </w:r>
      </w:hyperlink>
    </w:p>
    <w:p w14:paraId="3FFFBFEA" w14:textId="26BA3077" w:rsidR="00376F67" w:rsidRPr="003A14B9" w:rsidRDefault="00376F67" w:rsidP="00376F67">
      <w:pPr>
        <w:pStyle w:val="afffffffff0"/>
      </w:pPr>
      <w:r w:rsidRPr="00765F15">
        <w:rPr>
          <w:rStyle w:val="aff4"/>
          <w:rFonts w:ascii="David" w:eastAsiaTheme="minorEastAsia" w:hAnsi="David" w:cs="David"/>
          <w:noProof w:val="0"/>
          <w:sz w:val="16"/>
          <w:szCs w:val="16"/>
          <w:rtl/>
        </w:rPr>
        <w:fldChar w:fldCharType="begin"/>
      </w:r>
      <w:r w:rsidRPr="00765F15">
        <w:rPr>
          <w:rStyle w:val="aff4"/>
          <w:rFonts w:ascii="David" w:eastAsiaTheme="minorEastAsia" w:hAnsi="David" w:cs="David"/>
          <w:noProof w:val="0"/>
          <w:sz w:val="16"/>
          <w:szCs w:val="16"/>
          <w:rtl/>
        </w:rPr>
        <w:instrText xml:space="preserve"> </w:instrText>
      </w:r>
      <w:r w:rsidRPr="00765F15">
        <w:rPr>
          <w:rStyle w:val="aff4"/>
          <w:rFonts w:ascii="David" w:eastAsiaTheme="minorEastAsia" w:hAnsi="David" w:cs="David" w:hint="cs"/>
          <w:noProof w:val="0"/>
          <w:sz w:val="16"/>
          <w:szCs w:val="16"/>
        </w:rPr>
        <w:instrText>REF</w:instrText>
      </w:r>
      <w:r w:rsidRPr="00765F15">
        <w:rPr>
          <w:rStyle w:val="aff4"/>
          <w:rFonts w:ascii="David" w:eastAsiaTheme="minorEastAsia" w:hAnsi="David" w:cs="David" w:hint="cs"/>
          <w:noProof w:val="0"/>
          <w:sz w:val="16"/>
          <w:szCs w:val="16"/>
          <w:rtl/>
        </w:rPr>
        <w:instrText xml:space="preserve"> _</w:instrText>
      </w:r>
      <w:r w:rsidRPr="00765F15">
        <w:rPr>
          <w:rStyle w:val="aff4"/>
          <w:rFonts w:ascii="David" w:eastAsiaTheme="minorEastAsia" w:hAnsi="David" w:cs="David" w:hint="cs"/>
          <w:noProof w:val="0"/>
          <w:sz w:val="16"/>
          <w:szCs w:val="16"/>
        </w:rPr>
        <w:instrText>Ref143464500 \r \h</w:instrText>
      </w:r>
      <w:r w:rsidRPr="00765F15">
        <w:rPr>
          <w:rStyle w:val="aff4"/>
          <w:rFonts w:ascii="David" w:eastAsiaTheme="minorEastAsia" w:hAnsi="David" w:cs="David"/>
          <w:noProof w:val="0"/>
          <w:sz w:val="16"/>
          <w:szCs w:val="16"/>
          <w:rtl/>
        </w:rPr>
        <w:instrText xml:space="preserve">  \* </w:instrText>
      </w:r>
      <w:r w:rsidRPr="00765F15">
        <w:rPr>
          <w:rStyle w:val="aff4"/>
          <w:rFonts w:ascii="David" w:eastAsiaTheme="minorEastAsia" w:hAnsi="David" w:cs="David"/>
          <w:noProof w:val="0"/>
          <w:sz w:val="16"/>
          <w:szCs w:val="16"/>
        </w:rPr>
        <w:instrText>MERGEFORMAT</w:instrText>
      </w:r>
      <w:r w:rsidRPr="00765F15">
        <w:rPr>
          <w:rStyle w:val="aff4"/>
          <w:rFonts w:ascii="David" w:eastAsiaTheme="minorEastAsia" w:hAnsi="David" w:cs="David"/>
          <w:noProof w:val="0"/>
          <w:sz w:val="16"/>
          <w:szCs w:val="16"/>
          <w:rtl/>
        </w:rPr>
        <w:instrText xml:space="preserve"> </w:instrText>
      </w:r>
      <w:r w:rsidRPr="00765F15">
        <w:rPr>
          <w:rStyle w:val="aff4"/>
          <w:rFonts w:ascii="David" w:eastAsiaTheme="minorEastAsia" w:hAnsi="David" w:cs="David"/>
          <w:noProof w:val="0"/>
          <w:sz w:val="16"/>
          <w:szCs w:val="16"/>
          <w:rtl/>
        </w:rPr>
      </w:r>
      <w:r w:rsidRPr="00765F15">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סג)</w:t>
      </w:r>
      <w:r w:rsidRPr="00765F15">
        <w:rPr>
          <w:rStyle w:val="aff4"/>
          <w:rFonts w:ascii="David" w:eastAsiaTheme="minorEastAsia" w:hAnsi="David" w:cs="David"/>
          <w:noProof w:val="0"/>
          <w:sz w:val="16"/>
          <w:szCs w:val="16"/>
          <w:rtl/>
        </w:rPr>
        <w:fldChar w:fldCharType="end"/>
      </w:r>
      <w:r w:rsidRPr="00765F15">
        <w:rPr>
          <w:rStyle w:val="aff4"/>
          <w:rFonts w:ascii="David" w:eastAsiaTheme="minorEastAsia" w:hAnsi="David" w:cs="David" w:hint="cs"/>
          <w:noProof w:val="0"/>
          <w:sz w:val="16"/>
          <w:szCs w:val="16"/>
          <w:rtl/>
        </w:rPr>
        <w:t xml:space="preserve"> </w:t>
      </w:r>
      <w:r w:rsidRPr="003A14B9">
        <w:rPr>
          <w:rStyle w:val="aff4"/>
          <w:rFonts w:ascii="David" w:eastAsiaTheme="minorEastAsia" w:hAnsi="David" w:cs="David" w:hint="cs"/>
          <w:b w:val="0"/>
          <w:bCs w:val="0"/>
          <w:noProof w:val="0"/>
          <w:sz w:val="16"/>
          <w:szCs w:val="16"/>
          <w:rtl/>
        </w:rPr>
        <w:t>אבן האזל</w:t>
      </w:r>
      <w:r w:rsidRPr="003A14B9">
        <w:rPr>
          <w:rFonts w:hint="cs"/>
          <w:rtl/>
        </w:rPr>
        <w:t xml:space="preserve"> </w:t>
      </w:r>
      <w:r w:rsidRPr="00FE4693">
        <w:rPr>
          <w:rStyle w:val="afffffffff3"/>
          <w:rFonts w:hint="cs"/>
          <w:rtl/>
        </w:rPr>
        <w:t>(שבת פ"י הי"ז ד"ה והנה)</w:t>
      </w:r>
      <w:r>
        <w:rPr>
          <w:rtl/>
        </w:rPr>
        <w:t>,</w:t>
      </w:r>
      <w:r w:rsidRPr="00FE4693">
        <w:rPr>
          <w:rStyle w:val="aff4"/>
          <w:rFonts w:ascii="David" w:eastAsiaTheme="minorEastAsia" w:hAnsi="David" w:cs="David" w:hint="cs"/>
          <w:noProof w:val="0"/>
          <w:sz w:val="16"/>
          <w:szCs w:val="16"/>
          <w:rtl/>
        </w:rPr>
        <w:t xml:space="preserve"> </w:t>
      </w:r>
      <w:r w:rsidRPr="00FE4693">
        <w:rPr>
          <w:rStyle w:val="aff4"/>
          <w:rFonts w:ascii="David" w:eastAsiaTheme="minorEastAsia" w:hAnsi="David" w:cs="David"/>
          <w:noProof w:val="0"/>
          <w:sz w:val="16"/>
          <w:szCs w:val="16"/>
          <w:rtl/>
        </w:rPr>
        <w:fldChar w:fldCharType="begin"/>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hint="cs"/>
          <w:noProof w:val="0"/>
          <w:sz w:val="16"/>
          <w:szCs w:val="16"/>
        </w:rPr>
        <w:instrText>REF</w:instrText>
      </w:r>
      <w:r w:rsidRPr="00FE4693">
        <w:rPr>
          <w:rStyle w:val="aff4"/>
          <w:rFonts w:ascii="David" w:eastAsiaTheme="minorEastAsia" w:hAnsi="David" w:cs="David" w:hint="cs"/>
          <w:noProof w:val="0"/>
          <w:sz w:val="16"/>
          <w:szCs w:val="16"/>
          <w:rtl/>
        </w:rPr>
        <w:instrText xml:space="preserve"> _</w:instrText>
      </w:r>
      <w:r w:rsidRPr="00FE4693">
        <w:rPr>
          <w:rStyle w:val="aff4"/>
          <w:rFonts w:ascii="David" w:eastAsiaTheme="minorEastAsia" w:hAnsi="David" w:cs="David" w:hint="cs"/>
          <w:noProof w:val="0"/>
          <w:sz w:val="16"/>
          <w:szCs w:val="16"/>
        </w:rPr>
        <w:instrText>Ref140826760 \r \h</w:instrText>
      </w:r>
      <w:r w:rsidRPr="00FE4693">
        <w:rPr>
          <w:rStyle w:val="aff4"/>
          <w:rFonts w:ascii="David" w:eastAsiaTheme="minorEastAsia" w:hAnsi="David" w:cs="David"/>
          <w:noProof w:val="0"/>
          <w:sz w:val="16"/>
          <w:szCs w:val="16"/>
          <w:rtl/>
        </w:rPr>
        <w:instrText xml:space="preserve">  \* </w:instrText>
      </w:r>
      <w:r w:rsidRPr="00FE4693">
        <w:rPr>
          <w:rStyle w:val="aff4"/>
          <w:rFonts w:ascii="David" w:eastAsiaTheme="minorEastAsia" w:hAnsi="David" w:cs="David"/>
          <w:noProof w:val="0"/>
          <w:sz w:val="16"/>
          <w:szCs w:val="16"/>
        </w:rPr>
        <w:instrText>MERGEFORMAT</w:instrText>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tl/>
        </w:rPr>
      </w:r>
      <w:r w:rsidRPr="00FE4693">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סו)</w:t>
      </w:r>
      <w:r w:rsidRPr="00FE4693">
        <w:rPr>
          <w:rStyle w:val="aff4"/>
          <w:rFonts w:ascii="David" w:eastAsiaTheme="minorEastAsia" w:hAnsi="David" w:cs="David"/>
          <w:noProof w:val="0"/>
          <w:sz w:val="16"/>
          <w:szCs w:val="16"/>
          <w:rtl/>
        </w:rPr>
        <w:fldChar w:fldCharType="end"/>
      </w:r>
      <w:r w:rsidRPr="00FE4693">
        <w:rPr>
          <w:rStyle w:val="aff4"/>
          <w:rFonts w:ascii="David" w:eastAsiaTheme="minorEastAsia" w:hAnsi="David" w:cs="David" w:hint="cs"/>
          <w:noProof w:val="0"/>
          <w:sz w:val="16"/>
          <w:szCs w:val="16"/>
          <w:rtl/>
        </w:rPr>
        <w:t xml:space="preserve"> </w:t>
      </w:r>
      <w:r w:rsidRPr="003A14B9">
        <w:rPr>
          <w:rStyle w:val="aff4"/>
          <w:rFonts w:ascii="David" w:eastAsiaTheme="minorEastAsia" w:hAnsi="David" w:cs="David" w:hint="cs"/>
          <w:b w:val="0"/>
          <w:bCs w:val="0"/>
          <w:noProof w:val="0"/>
          <w:sz w:val="16"/>
          <w:szCs w:val="16"/>
          <w:rtl/>
        </w:rPr>
        <w:t>אבן האזל</w:t>
      </w:r>
      <w:r w:rsidRPr="003A14B9">
        <w:rPr>
          <w:rFonts w:hint="cs"/>
          <w:rtl/>
        </w:rPr>
        <w:t xml:space="preserve"> </w:t>
      </w:r>
      <w:r w:rsidRPr="00FE4693">
        <w:rPr>
          <w:rStyle w:val="afffffffff3"/>
          <w:rFonts w:hint="cs"/>
          <w:rtl/>
        </w:rPr>
        <w:t>(שבת פ"י הי"ז ד"ה אכן)</w:t>
      </w:r>
      <w:r>
        <w:rPr>
          <w:rtl/>
        </w:rPr>
        <w:t xml:space="preserve"> </w:t>
      </w:r>
      <w:r w:rsidRPr="003A14B9">
        <w:rPr>
          <w:rStyle w:val="aff4"/>
          <w:rFonts w:ascii="David" w:eastAsiaTheme="minorEastAsia" w:hAnsi="David" w:cs="David" w:hint="cs"/>
          <w:b w:val="0"/>
          <w:bCs w:val="0"/>
          <w:noProof w:val="0"/>
          <w:sz w:val="16"/>
          <w:szCs w:val="16"/>
          <w:rtl/>
        </w:rPr>
        <w:t>רמב"ם</w:t>
      </w:r>
      <w:r w:rsidRPr="003A14B9">
        <w:rPr>
          <w:rFonts w:hint="cs"/>
          <w:rtl/>
        </w:rPr>
        <w:t xml:space="preserve"> </w:t>
      </w:r>
      <w:r w:rsidRPr="00FE4693">
        <w:rPr>
          <w:rStyle w:val="afffffffff3"/>
          <w:rFonts w:hint="cs"/>
          <w:rtl/>
        </w:rPr>
        <w:t>(שבת פכ"ב הכ"ה)</w:t>
      </w:r>
      <w:r>
        <w:rPr>
          <w:rtl/>
        </w:rPr>
        <w:t>,</w:t>
      </w:r>
      <w:r w:rsidRPr="00FE4693">
        <w:rPr>
          <w:rStyle w:val="aff4"/>
          <w:rFonts w:ascii="David" w:eastAsiaTheme="minorEastAsia" w:hAnsi="David" w:cs="David" w:hint="cs"/>
          <w:noProof w:val="0"/>
          <w:sz w:val="16"/>
          <w:szCs w:val="16"/>
          <w:rtl/>
        </w:rPr>
        <w:t xml:space="preserve"> </w:t>
      </w:r>
      <w:r w:rsidRPr="00FE4693">
        <w:rPr>
          <w:rStyle w:val="aff4"/>
          <w:rFonts w:ascii="David" w:eastAsiaTheme="minorEastAsia" w:hAnsi="David" w:cs="David"/>
          <w:noProof w:val="0"/>
          <w:sz w:val="16"/>
          <w:szCs w:val="16"/>
          <w:rtl/>
        </w:rPr>
        <w:fldChar w:fldCharType="begin"/>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hint="cs"/>
          <w:noProof w:val="0"/>
          <w:sz w:val="16"/>
          <w:szCs w:val="16"/>
        </w:rPr>
        <w:instrText>REF</w:instrText>
      </w:r>
      <w:r w:rsidRPr="00FE4693">
        <w:rPr>
          <w:rStyle w:val="aff4"/>
          <w:rFonts w:ascii="David" w:eastAsiaTheme="minorEastAsia" w:hAnsi="David" w:cs="David" w:hint="cs"/>
          <w:noProof w:val="0"/>
          <w:sz w:val="16"/>
          <w:szCs w:val="16"/>
          <w:rtl/>
        </w:rPr>
        <w:instrText xml:space="preserve"> _</w:instrText>
      </w:r>
      <w:r w:rsidRPr="00FE4693">
        <w:rPr>
          <w:rStyle w:val="aff4"/>
          <w:rFonts w:ascii="David" w:eastAsiaTheme="minorEastAsia" w:hAnsi="David" w:cs="David" w:hint="cs"/>
          <w:noProof w:val="0"/>
          <w:sz w:val="16"/>
          <w:szCs w:val="16"/>
        </w:rPr>
        <w:instrText>Ref140826760 \r \h</w:instrText>
      </w:r>
      <w:r w:rsidRPr="00FE4693">
        <w:rPr>
          <w:rStyle w:val="aff4"/>
          <w:rFonts w:ascii="David" w:eastAsiaTheme="minorEastAsia" w:hAnsi="David" w:cs="David"/>
          <w:noProof w:val="0"/>
          <w:sz w:val="16"/>
          <w:szCs w:val="16"/>
          <w:rtl/>
        </w:rPr>
        <w:instrText xml:space="preserve">  \* </w:instrText>
      </w:r>
      <w:r w:rsidRPr="00FE4693">
        <w:rPr>
          <w:rStyle w:val="aff4"/>
          <w:rFonts w:ascii="David" w:eastAsiaTheme="minorEastAsia" w:hAnsi="David" w:cs="David"/>
          <w:noProof w:val="0"/>
          <w:sz w:val="16"/>
          <w:szCs w:val="16"/>
        </w:rPr>
        <w:instrText>MERGEFORMAT</w:instrText>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tl/>
        </w:rPr>
      </w:r>
      <w:r w:rsidRPr="00FE4693">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סו)</w:t>
      </w:r>
      <w:r w:rsidRPr="00FE4693">
        <w:rPr>
          <w:rStyle w:val="aff4"/>
          <w:rFonts w:ascii="David" w:eastAsiaTheme="minorEastAsia" w:hAnsi="David" w:cs="David"/>
          <w:noProof w:val="0"/>
          <w:sz w:val="16"/>
          <w:szCs w:val="16"/>
          <w:rtl/>
        </w:rPr>
        <w:fldChar w:fldCharType="end"/>
      </w:r>
      <w:r w:rsidRPr="00FE4693">
        <w:rPr>
          <w:rStyle w:val="aff4"/>
          <w:rFonts w:ascii="David" w:eastAsiaTheme="minorEastAsia" w:hAnsi="David" w:cs="David" w:hint="cs"/>
          <w:noProof w:val="0"/>
          <w:sz w:val="16"/>
          <w:szCs w:val="16"/>
          <w:rtl/>
        </w:rPr>
        <w:t xml:space="preserve"> </w:t>
      </w:r>
      <w:r w:rsidRPr="003A14B9">
        <w:rPr>
          <w:rStyle w:val="aff4"/>
          <w:rFonts w:ascii="David" w:eastAsiaTheme="minorEastAsia" w:hAnsi="David" w:cs="David" w:hint="cs"/>
          <w:b w:val="0"/>
          <w:bCs w:val="0"/>
          <w:noProof w:val="0"/>
          <w:sz w:val="16"/>
          <w:szCs w:val="16"/>
          <w:rtl/>
        </w:rPr>
        <w:t>אבן האזל</w:t>
      </w:r>
      <w:r w:rsidRPr="003A14B9">
        <w:rPr>
          <w:rFonts w:hint="cs"/>
          <w:rtl/>
        </w:rPr>
        <w:t xml:space="preserve"> </w:t>
      </w:r>
      <w:r w:rsidRPr="00FE4693">
        <w:rPr>
          <w:rStyle w:val="afffffffff3"/>
          <w:rFonts w:hint="cs"/>
          <w:rtl/>
        </w:rPr>
        <w:t>(שבת פ"י הי"ז ד"ה אכן)</w:t>
      </w:r>
      <w:r>
        <w:rPr>
          <w:rtl/>
        </w:rPr>
        <w:t>,</w:t>
      </w:r>
      <w:r w:rsidRPr="00FE4693">
        <w:rPr>
          <w:rStyle w:val="aff4"/>
          <w:rFonts w:ascii="David" w:eastAsiaTheme="minorEastAsia" w:hAnsi="David" w:cs="David" w:hint="cs"/>
          <w:noProof w:val="0"/>
          <w:sz w:val="16"/>
          <w:szCs w:val="16"/>
          <w:rtl/>
        </w:rPr>
        <w:t xml:space="preserve"> </w:t>
      </w:r>
      <w:r w:rsidRPr="00FE4693">
        <w:rPr>
          <w:rStyle w:val="aff4"/>
          <w:rFonts w:ascii="David" w:eastAsiaTheme="minorEastAsia" w:hAnsi="David" w:cs="David"/>
          <w:noProof w:val="0"/>
          <w:sz w:val="16"/>
          <w:szCs w:val="16"/>
          <w:rtl/>
        </w:rPr>
        <w:fldChar w:fldCharType="begin"/>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hint="cs"/>
          <w:noProof w:val="0"/>
          <w:sz w:val="16"/>
          <w:szCs w:val="16"/>
        </w:rPr>
        <w:instrText>REF</w:instrText>
      </w:r>
      <w:r w:rsidRPr="00FE4693">
        <w:rPr>
          <w:rStyle w:val="aff4"/>
          <w:rFonts w:ascii="David" w:eastAsiaTheme="minorEastAsia" w:hAnsi="David" w:cs="David" w:hint="cs"/>
          <w:noProof w:val="0"/>
          <w:sz w:val="16"/>
          <w:szCs w:val="16"/>
          <w:rtl/>
        </w:rPr>
        <w:instrText xml:space="preserve"> _</w:instrText>
      </w:r>
      <w:r w:rsidRPr="00FE4693">
        <w:rPr>
          <w:rStyle w:val="aff4"/>
          <w:rFonts w:ascii="David" w:eastAsiaTheme="minorEastAsia" w:hAnsi="David" w:cs="David" w:hint="cs"/>
          <w:noProof w:val="0"/>
          <w:sz w:val="16"/>
          <w:szCs w:val="16"/>
        </w:rPr>
        <w:instrText>Ref140828580 \r \h</w:instrText>
      </w:r>
      <w:r w:rsidRPr="00FE4693">
        <w:rPr>
          <w:rStyle w:val="aff4"/>
          <w:rFonts w:ascii="David" w:eastAsiaTheme="minorEastAsia" w:hAnsi="David" w:cs="David"/>
          <w:noProof w:val="0"/>
          <w:sz w:val="16"/>
          <w:szCs w:val="16"/>
          <w:rtl/>
        </w:rPr>
        <w:instrText xml:space="preserve">  \* </w:instrText>
      </w:r>
      <w:r w:rsidRPr="00FE4693">
        <w:rPr>
          <w:rStyle w:val="aff4"/>
          <w:rFonts w:ascii="David" w:eastAsiaTheme="minorEastAsia" w:hAnsi="David" w:cs="David"/>
          <w:noProof w:val="0"/>
          <w:sz w:val="16"/>
          <w:szCs w:val="16"/>
        </w:rPr>
        <w:instrText>MERGEFORMAT</w:instrText>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tl/>
        </w:rPr>
      </w:r>
      <w:r w:rsidRPr="00FE4693">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סח)</w:t>
      </w:r>
      <w:r w:rsidRPr="00FE4693">
        <w:rPr>
          <w:rStyle w:val="aff4"/>
          <w:rFonts w:ascii="David" w:eastAsiaTheme="minorEastAsia" w:hAnsi="David" w:cs="David"/>
          <w:noProof w:val="0"/>
          <w:sz w:val="16"/>
          <w:szCs w:val="16"/>
          <w:rtl/>
        </w:rPr>
        <w:fldChar w:fldCharType="end"/>
      </w:r>
      <w:r w:rsidRPr="00FE4693">
        <w:rPr>
          <w:rStyle w:val="aff4"/>
          <w:rFonts w:ascii="David" w:eastAsiaTheme="minorEastAsia" w:hAnsi="David" w:cs="David" w:hint="cs"/>
          <w:noProof w:val="0"/>
          <w:sz w:val="16"/>
          <w:szCs w:val="16"/>
          <w:rtl/>
        </w:rPr>
        <w:t xml:space="preserve"> </w:t>
      </w:r>
      <w:r w:rsidRPr="003A14B9">
        <w:rPr>
          <w:rStyle w:val="aff4"/>
          <w:rFonts w:ascii="David" w:eastAsiaTheme="minorEastAsia" w:hAnsi="David" w:cs="David"/>
          <w:b w:val="0"/>
          <w:bCs w:val="0"/>
          <w:noProof w:val="0"/>
          <w:sz w:val="16"/>
          <w:szCs w:val="16"/>
          <w:rtl/>
        </w:rPr>
        <w:t>אבן האזל</w:t>
      </w:r>
      <w:r w:rsidRPr="003A14B9">
        <w:rPr>
          <w:rtl/>
        </w:rPr>
        <w:t xml:space="preserve"> </w:t>
      </w:r>
      <w:r w:rsidRPr="00FE4693">
        <w:rPr>
          <w:rStyle w:val="afffffffff3"/>
          <w:rFonts w:hint="cs"/>
          <w:rtl/>
        </w:rPr>
        <w:t>(</w:t>
      </w:r>
      <w:r w:rsidRPr="00FE4693">
        <w:rPr>
          <w:rStyle w:val="afffffffff3"/>
          <w:rtl/>
        </w:rPr>
        <w:t>שבת פ"י הי"ז ד"ה אכן</w:t>
      </w:r>
      <w:r w:rsidRPr="00FE4693">
        <w:rPr>
          <w:rStyle w:val="afffffffff3"/>
          <w:rFonts w:hint="cs"/>
          <w:rtl/>
        </w:rPr>
        <w:t>)</w:t>
      </w:r>
      <w:r>
        <w:rPr>
          <w:rtl/>
        </w:rPr>
        <w:t>,</w:t>
      </w:r>
      <w:r w:rsidRPr="00FE4693">
        <w:rPr>
          <w:rStyle w:val="aff4"/>
          <w:rFonts w:ascii="David" w:eastAsiaTheme="minorEastAsia" w:hAnsi="David" w:cs="David" w:hint="cs"/>
          <w:noProof w:val="0"/>
          <w:sz w:val="16"/>
          <w:szCs w:val="16"/>
          <w:rtl/>
        </w:rPr>
        <w:t xml:space="preserve"> </w:t>
      </w:r>
      <w:r w:rsidRPr="00FE4693">
        <w:rPr>
          <w:rStyle w:val="aff4"/>
          <w:rFonts w:ascii="David" w:eastAsiaTheme="minorEastAsia" w:hAnsi="David" w:cs="David"/>
          <w:noProof w:val="0"/>
          <w:sz w:val="16"/>
          <w:szCs w:val="16"/>
          <w:rtl/>
        </w:rPr>
        <w:fldChar w:fldCharType="begin"/>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hint="cs"/>
          <w:noProof w:val="0"/>
          <w:sz w:val="16"/>
          <w:szCs w:val="16"/>
        </w:rPr>
        <w:instrText>REF</w:instrText>
      </w:r>
      <w:r w:rsidRPr="00FE4693">
        <w:rPr>
          <w:rStyle w:val="aff4"/>
          <w:rFonts w:ascii="David" w:eastAsiaTheme="minorEastAsia" w:hAnsi="David" w:cs="David" w:hint="cs"/>
          <w:noProof w:val="0"/>
          <w:sz w:val="16"/>
          <w:szCs w:val="16"/>
          <w:rtl/>
        </w:rPr>
        <w:instrText xml:space="preserve"> _</w:instrText>
      </w:r>
      <w:r w:rsidRPr="00FE4693">
        <w:rPr>
          <w:rStyle w:val="aff4"/>
          <w:rFonts w:ascii="David" w:eastAsiaTheme="minorEastAsia" w:hAnsi="David" w:cs="David" w:hint="cs"/>
          <w:noProof w:val="0"/>
          <w:sz w:val="16"/>
          <w:szCs w:val="16"/>
        </w:rPr>
        <w:instrText>Ref141174711 \r \h</w:instrText>
      </w:r>
      <w:r w:rsidRPr="00FE4693">
        <w:rPr>
          <w:rStyle w:val="aff4"/>
          <w:rFonts w:ascii="David" w:eastAsiaTheme="minorEastAsia" w:hAnsi="David" w:cs="David"/>
          <w:noProof w:val="0"/>
          <w:sz w:val="16"/>
          <w:szCs w:val="16"/>
          <w:rtl/>
        </w:rPr>
        <w:instrText xml:space="preserve">  \* </w:instrText>
      </w:r>
      <w:r w:rsidRPr="00FE4693">
        <w:rPr>
          <w:rStyle w:val="aff4"/>
          <w:rFonts w:ascii="David" w:eastAsiaTheme="minorEastAsia" w:hAnsi="David" w:cs="David"/>
          <w:noProof w:val="0"/>
          <w:sz w:val="16"/>
          <w:szCs w:val="16"/>
        </w:rPr>
        <w:instrText>MERGEFORMAT</w:instrText>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tl/>
        </w:rPr>
      </w:r>
      <w:r w:rsidRPr="00FE4693">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סט)</w:t>
      </w:r>
      <w:r w:rsidRPr="00FE4693">
        <w:rPr>
          <w:rStyle w:val="aff4"/>
          <w:rFonts w:ascii="David" w:eastAsiaTheme="minorEastAsia" w:hAnsi="David" w:cs="David"/>
          <w:noProof w:val="0"/>
          <w:sz w:val="16"/>
          <w:szCs w:val="16"/>
          <w:rtl/>
        </w:rPr>
        <w:fldChar w:fldCharType="end"/>
      </w:r>
      <w:r w:rsidRPr="00FE4693">
        <w:rPr>
          <w:rStyle w:val="aff4"/>
          <w:rFonts w:ascii="David" w:eastAsiaTheme="minorEastAsia" w:hAnsi="David" w:cs="David" w:hint="cs"/>
          <w:noProof w:val="0"/>
          <w:sz w:val="16"/>
          <w:szCs w:val="16"/>
          <w:rtl/>
        </w:rPr>
        <w:t xml:space="preserve"> </w:t>
      </w:r>
      <w:r w:rsidRPr="003A14B9">
        <w:rPr>
          <w:rStyle w:val="aff4"/>
          <w:rFonts w:ascii="David" w:eastAsiaTheme="minorEastAsia" w:hAnsi="David" w:cs="David"/>
          <w:b w:val="0"/>
          <w:bCs w:val="0"/>
          <w:noProof w:val="0"/>
          <w:sz w:val="16"/>
          <w:szCs w:val="16"/>
          <w:rtl/>
        </w:rPr>
        <w:t>אבן האזל</w:t>
      </w:r>
      <w:r w:rsidRPr="003A14B9">
        <w:rPr>
          <w:rtl/>
        </w:rPr>
        <w:t xml:space="preserve"> </w:t>
      </w:r>
      <w:r w:rsidRPr="00FE4693">
        <w:rPr>
          <w:rStyle w:val="afffffffff3"/>
          <w:rFonts w:hint="cs"/>
          <w:rtl/>
        </w:rPr>
        <w:t>(</w:t>
      </w:r>
      <w:r w:rsidRPr="00FE4693">
        <w:rPr>
          <w:rStyle w:val="afffffffff3"/>
          <w:rtl/>
        </w:rPr>
        <w:t>שבת פ"י הי"ז ד"ה אכן הביאור</w:t>
      </w:r>
      <w:r w:rsidRPr="00FE4693">
        <w:rPr>
          <w:rStyle w:val="afffffffff3"/>
          <w:rFonts w:hint="cs"/>
          <w:rtl/>
        </w:rPr>
        <w:t>)</w:t>
      </w:r>
      <w:r>
        <w:rPr>
          <w:rtl/>
        </w:rPr>
        <w:t>,</w:t>
      </w:r>
      <w:r w:rsidRPr="00FE4693">
        <w:rPr>
          <w:rStyle w:val="aff4"/>
          <w:rFonts w:ascii="David" w:eastAsiaTheme="minorEastAsia" w:hAnsi="David" w:cs="David" w:hint="cs"/>
          <w:noProof w:val="0"/>
          <w:sz w:val="16"/>
          <w:szCs w:val="16"/>
          <w:rtl/>
        </w:rPr>
        <w:t xml:space="preserve"> </w:t>
      </w:r>
      <w:r w:rsidRPr="00FE4693">
        <w:rPr>
          <w:rStyle w:val="aff4"/>
          <w:rFonts w:ascii="David" w:eastAsiaTheme="minorEastAsia" w:hAnsi="David" w:cs="David"/>
          <w:noProof w:val="0"/>
          <w:sz w:val="16"/>
          <w:szCs w:val="16"/>
          <w:rtl/>
        </w:rPr>
        <w:fldChar w:fldCharType="begin"/>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hint="cs"/>
          <w:noProof w:val="0"/>
          <w:sz w:val="16"/>
          <w:szCs w:val="16"/>
        </w:rPr>
        <w:instrText>REF</w:instrText>
      </w:r>
      <w:r w:rsidRPr="00FE4693">
        <w:rPr>
          <w:rStyle w:val="aff4"/>
          <w:rFonts w:ascii="David" w:eastAsiaTheme="minorEastAsia" w:hAnsi="David" w:cs="David" w:hint="cs"/>
          <w:noProof w:val="0"/>
          <w:sz w:val="16"/>
          <w:szCs w:val="16"/>
          <w:rtl/>
        </w:rPr>
        <w:instrText xml:space="preserve"> _</w:instrText>
      </w:r>
      <w:r w:rsidRPr="00FE4693">
        <w:rPr>
          <w:rStyle w:val="aff4"/>
          <w:rFonts w:ascii="David" w:eastAsiaTheme="minorEastAsia" w:hAnsi="David" w:cs="David" w:hint="cs"/>
          <w:noProof w:val="0"/>
          <w:sz w:val="16"/>
          <w:szCs w:val="16"/>
        </w:rPr>
        <w:instrText>Ref143611665 \r \h</w:instrText>
      </w:r>
      <w:r w:rsidRPr="00FE4693">
        <w:rPr>
          <w:rStyle w:val="aff4"/>
          <w:rFonts w:ascii="David" w:eastAsiaTheme="minorEastAsia" w:hAnsi="David" w:cs="David"/>
          <w:noProof w:val="0"/>
          <w:sz w:val="16"/>
          <w:szCs w:val="16"/>
          <w:rtl/>
        </w:rPr>
        <w:instrText xml:space="preserve">  \* </w:instrText>
      </w:r>
      <w:r w:rsidRPr="00FE4693">
        <w:rPr>
          <w:rStyle w:val="aff4"/>
          <w:rFonts w:ascii="David" w:eastAsiaTheme="minorEastAsia" w:hAnsi="David" w:cs="David"/>
          <w:noProof w:val="0"/>
          <w:sz w:val="16"/>
          <w:szCs w:val="16"/>
        </w:rPr>
        <w:instrText>MERGEFORMAT</w:instrText>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tl/>
        </w:rPr>
      </w:r>
      <w:r w:rsidRPr="00FE4693">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ע)</w:t>
      </w:r>
      <w:r w:rsidRPr="00FE4693">
        <w:rPr>
          <w:rStyle w:val="aff4"/>
          <w:rFonts w:ascii="David" w:eastAsiaTheme="minorEastAsia" w:hAnsi="David" w:cs="David"/>
          <w:noProof w:val="0"/>
          <w:sz w:val="16"/>
          <w:szCs w:val="16"/>
          <w:rtl/>
        </w:rPr>
        <w:fldChar w:fldCharType="end"/>
      </w:r>
      <w:r w:rsidRPr="00FE4693">
        <w:rPr>
          <w:rStyle w:val="aff4"/>
          <w:rFonts w:ascii="David" w:eastAsiaTheme="minorEastAsia" w:hAnsi="David" w:cs="David" w:hint="cs"/>
          <w:noProof w:val="0"/>
          <w:sz w:val="16"/>
          <w:szCs w:val="16"/>
          <w:rtl/>
        </w:rPr>
        <w:t xml:space="preserve"> </w:t>
      </w:r>
      <w:r w:rsidRPr="003A14B9">
        <w:rPr>
          <w:rStyle w:val="aff4"/>
          <w:rFonts w:ascii="David" w:eastAsiaTheme="minorEastAsia" w:hAnsi="David" w:cs="David" w:hint="cs"/>
          <w:b w:val="0"/>
          <w:bCs w:val="0"/>
          <w:noProof w:val="0"/>
          <w:sz w:val="16"/>
          <w:szCs w:val="16"/>
          <w:rtl/>
        </w:rPr>
        <w:t>קהלות יעקב</w:t>
      </w:r>
      <w:r w:rsidRPr="003A14B9">
        <w:rPr>
          <w:rFonts w:hint="cs"/>
          <w:rtl/>
        </w:rPr>
        <w:t xml:space="preserve"> </w:t>
      </w:r>
      <w:r w:rsidRPr="00FE4693">
        <w:rPr>
          <w:rStyle w:val="afffffffff3"/>
          <w:rFonts w:hint="cs"/>
          <w:rtl/>
        </w:rPr>
        <w:t>(סי' ל"ז ד"ה אלא)</w:t>
      </w:r>
      <w:r w:rsidRPr="003A14B9">
        <w:rPr>
          <w:rFonts w:hint="cs"/>
          <w:rtl/>
        </w:rPr>
        <w:t xml:space="preserve"> בשם </w:t>
      </w:r>
      <w:r w:rsidRPr="003A14B9">
        <w:rPr>
          <w:rStyle w:val="aff4"/>
          <w:rFonts w:ascii="David" w:eastAsiaTheme="minorEastAsia" w:hAnsi="David" w:cs="David" w:hint="cs"/>
          <w:b w:val="0"/>
          <w:bCs w:val="0"/>
          <w:noProof w:val="0"/>
          <w:sz w:val="16"/>
          <w:szCs w:val="16"/>
          <w:rtl/>
        </w:rPr>
        <w:t>האבן האזל</w:t>
      </w:r>
      <w:r w:rsidRPr="003A14B9">
        <w:rPr>
          <w:rFonts w:hint="cs"/>
          <w:rtl/>
        </w:rPr>
        <w:t xml:space="preserve"> </w:t>
      </w:r>
      <w:r w:rsidRPr="00FE4693">
        <w:rPr>
          <w:rStyle w:val="afffffffff3"/>
          <w:rFonts w:hint="cs"/>
          <w:rtl/>
        </w:rPr>
        <w:t>(קובץ כנס"י)</w:t>
      </w:r>
      <w:r>
        <w:rPr>
          <w:rtl/>
        </w:rPr>
        <w:t>,</w:t>
      </w:r>
      <w:r w:rsidRPr="00FE4693">
        <w:rPr>
          <w:rStyle w:val="aff4"/>
          <w:rFonts w:ascii="David" w:eastAsiaTheme="minorEastAsia" w:hAnsi="David" w:cs="David" w:hint="cs"/>
          <w:noProof w:val="0"/>
          <w:sz w:val="16"/>
          <w:szCs w:val="16"/>
          <w:rtl/>
        </w:rPr>
        <w:t xml:space="preserve"> </w:t>
      </w:r>
      <w:r w:rsidRPr="00FE4693">
        <w:rPr>
          <w:rStyle w:val="aff4"/>
          <w:rFonts w:ascii="David" w:eastAsiaTheme="minorEastAsia" w:hAnsi="David" w:cs="David"/>
          <w:noProof w:val="0"/>
          <w:sz w:val="16"/>
          <w:szCs w:val="16"/>
          <w:rtl/>
        </w:rPr>
        <w:fldChar w:fldCharType="begin"/>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hint="cs"/>
          <w:noProof w:val="0"/>
          <w:sz w:val="16"/>
          <w:szCs w:val="16"/>
        </w:rPr>
        <w:instrText>REF</w:instrText>
      </w:r>
      <w:r w:rsidRPr="00FE4693">
        <w:rPr>
          <w:rStyle w:val="aff4"/>
          <w:rFonts w:ascii="David" w:eastAsiaTheme="minorEastAsia" w:hAnsi="David" w:cs="David" w:hint="cs"/>
          <w:noProof w:val="0"/>
          <w:sz w:val="16"/>
          <w:szCs w:val="16"/>
          <w:rtl/>
        </w:rPr>
        <w:instrText xml:space="preserve"> _</w:instrText>
      </w:r>
      <w:r w:rsidRPr="00FE4693">
        <w:rPr>
          <w:rStyle w:val="aff4"/>
          <w:rFonts w:ascii="David" w:eastAsiaTheme="minorEastAsia" w:hAnsi="David" w:cs="David" w:hint="cs"/>
          <w:noProof w:val="0"/>
          <w:sz w:val="16"/>
          <w:szCs w:val="16"/>
        </w:rPr>
        <w:instrText>Ref143160725 \r \h</w:instrText>
      </w:r>
      <w:r w:rsidRPr="00FE4693">
        <w:rPr>
          <w:rStyle w:val="aff4"/>
          <w:rFonts w:ascii="David" w:eastAsiaTheme="minorEastAsia" w:hAnsi="David" w:cs="David"/>
          <w:noProof w:val="0"/>
          <w:sz w:val="16"/>
          <w:szCs w:val="16"/>
          <w:rtl/>
        </w:rPr>
        <w:instrText xml:space="preserve">  \* </w:instrText>
      </w:r>
      <w:r w:rsidRPr="00FE4693">
        <w:rPr>
          <w:rStyle w:val="aff4"/>
          <w:rFonts w:ascii="David" w:eastAsiaTheme="minorEastAsia" w:hAnsi="David" w:cs="David"/>
          <w:noProof w:val="0"/>
          <w:sz w:val="16"/>
          <w:szCs w:val="16"/>
        </w:rPr>
        <w:instrText>MERGEFORMAT</w:instrText>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tl/>
        </w:rPr>
      </w:r>
      <w:r w:rsidRPr="00FE4693">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עג)</w:t>
      </w:r>
      <w:r w:rsidRPr="00FE4693">
        <w:rPr>
          <w:rStyle w:val="aff4"/>
          <w:rFonts w:ascii="David" w:eastAsiaTheme="minorEastAsia" w:hAnsi="David" w:cs="David"/>
          <w:noProof w:val="0"/>
          <w:sz w:val="16"/>
          <w:szCs w:val="16"/>
          <w:rtl/>
        </w:rPr>
        <w:fldChar w:fldCharType="end"/>
      </w:r>
      <w:r w:rsidRPr="00FE4693">
        <w:rPr>
          <w:rStyle w:val="aff4"/>
          <w:rFonts w:ascii="David" w:eastAsiaTheme="minorEastAsia" w:hAnsi="David" w:cs="David" w:hint="cs"/>
          <w:noProof w:val="0"/>
          <w:sz w:val="16"/>
          <w:szCs w:val="16"/>
          <w:rtl/>
        </w:rPr>
        <w:t xml:space="preserve"> </w:t>
      </w:r>
      <w:r w:rsidRPr="003A14B9">
        <w:rPr>
          <w:rStyle w:val="aff4"/>
          <w:rFonts w:ascii="David" w:eastAsiaTheme="minorEastAsia" w:hAnsi="David" w:cs="David" w:hint="cs"/>
          <w:b w:val="0"/>
          <w:bCs w:val="0"/>
          <w:noProof w:val="0"/>
          <w:sz w:val="16"/>
          <w:szCs w:val="16"/>
          <w:rtl/>
        </w:rPr>
        <w:t>אבי עזרי</w:t>
      </w:r>
      <w:r w:rsidRPr="003A14B9">
        <w:rPr>
          <w:rFonts w:hint="cs"/>
          <w:rtl/>
        </w:rPr>
        <w:t xml:space="preserve"> </w:t>
      </w:r>
      <w:r w:rsidRPr="00FE4693">
        <w:rPr>
          <w:rStyle w:val="afffffffff3"/>
          <w:rFonts w:hint="cs"/>
          <w:rtl/>
        </w:rPr>
        <w:t>(שבת פ"ח הי"א ד"ה ואשר יראה)</w:t>
      </w:r>
      <w:r>
        <w:rPr>
          <w:rtl/>
        </w:rPr>
        <w:t xml:space="preserve"> </w:t>
      </w:r>
      <w:r w:rsidRPr="003A14B9">
        <w:rPr>
          <w:rStyle w:val="aff4"/>
          <w:rFonts w:ascii="David" w:eastAsiaTheme="minorEastAsia" w:hAnsi="David" w:cs="David" w:hint="cs"/>
          <w:b w:val="0"/>
          <w:bCs w:val="0"/>
          <w:noProof w:val="0"/>
          <w:sz w:val="16"/>
          <w:szCs w:val="16"/>
          <w:rtl/>
        </w:rPr>
        <w:t>אבי עזרי</w:t>
      </w:r>
      <w:r w:rsidRPr="003A14B9">
        <w:rPr>
          <w:rFonts w:hint="cs"/>
          <w:rtl/>
        </w:rPr>
        <w:t xml:space="preserve"> </w:t>
      </w:r>
      <w:r w:rsidRPr="00FE4693">
        <w:rPr>
          <w:rStyle w:val="afffffffff3"/>
          <w:rFonts w:hint="cs"/>
          <w:rtl/>
        </w:rPr>
        <w:t>(שבת פ"ח הי"א ד"ה ומעתה)</w:t>
      </w:r>
      <w:r>
        <w:rPr>
          <w:rtl/>
        </w:rPr>
        <w:t>,</w:t>
      </w:r>
      <w:r w:rsidRPr="00FE4693">
        <w:rPr>
          <w:rStyle w:val="aff4"/>
          <w:rFonts w:ascii="David" w:eastAsiaTheme="minorEastAsia" w:hAnsi="David" w:cs="David"/>
          <w:noProof w:val="0"/>
          <w:sz w:val="16"/>
          <w:szCs w:val="16"/>
          <w:rtl/>
        </w:rPr>
        <w:t xml:space="preserve"> </w:t>
      </w:r>
      <w:r w:rsidRPr="00FE4693">
        <w:rPr>
          <w:rStyle w:val="aff4"/>
          <w:rFonts w:ascii="David" w:eastAsiaTheme="minorEastAsia" w:hAnsi="David" w:cs="David"/>
          <w:noProof w:val="0"/>
          <w:sz w:val="16"/>
          <w:szCs w:val="16"/>
          <w:rtl/>
        </w:rPr>
        <w:fldChar w:fldCharType="begin"/>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Pr>
        <w:instrText>REF</w:instrText>
      </w:r>
      <w:r w:rsidRPr="00FE4693">
        <w:rPr>
          <w:rStyle w:val="aff4"/>
          <w:rFonts w:ascii="David" w:eastAsiaTheme="minorEastAsia" w:hAnsi="David" w:cs="David"/>
          <w:noProof w:val="0"/>
          <w:sz w:val="16"/>
          <w:szCs w:val="16"/>
          <w:rtl/>
        </w:rPr>
        <w:instrText xml:space="preserve"> _</w:instrText>
      </w:r>
      <w:r w:rsidRPr="00FE4693">
        <w:rPr>
          <w:rStyle w:val="aff4"/>
          <w:rFonts w:ascii="David" w:eastAsiaTheme="minorEastAsia" w:hAnsi="David" w:cs="David"/>
          <w:noProof w:val="0"/>
          <w:sz w:val="16"/>
          <w:szCs w:val="16"/>
        </w:rPr>
        <w:instrText>Ref143420290 \r \h</w:instrText>
      </w:r>
      <w:r w:rsidRPr="00FE4693">
        <w:rPr>
          <w:rStyle w:val="aff4"/>
          <w:rFonts w:ascii="David" w:eastAsiaTheme="minorEastAsia" w:hAnsi="David" w:cs="David"/>
          <w:noProof w:val="0"/>
          <w:sz w:val="16"/>
          <w:szCs w:val="16"/>
          <w:rtl/>
        </w:rPr>
        <w:instrText xml:space="preserve">  \* </w:instrText>
      </w:r>
      <w:r w:rsidRPr="00FE4693">
        <w:rPr>
          <w:rStyle w:val="aff4"/>
          <w:rFonts w:ascii="David" w:eastAsiaTheme="minorEastAsia" w:hAnsi="David" w:cs="David"/>
          <w:noProof w:val="0"/>
          <w:sz w:val="16"/>
          <w:szCs w:val="16"/>
        </w:rPr>
        <w:instrText>MERGEFORMAT</w:instrText>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tl/>
        </w:rPr>
      </w:r>
      <w:r w:rsidRPr="00FE4693">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עד)</w:t>
      </w:r>
      <w:r w:rsidRPr="00FE4693">
        <w:rPr>
          <w:rStyle w:val="aff4"/>
          <w:rFonts w:ascii="David" w:eastAsiaTheme="minorEastAsia" w:hAnsi="David" w:cs="David"/>
          <w:noProof w:val="0"/>
          <w:sz w:val="16"/>
          <w:szCs w:val="16"/>
          <w:rtl/>
        </w:rPr>
        <w:fldChar w:fldCharType="end"/>
      </w:r>
      <w:r w:rsidRPr="00FE4693">
        <w:rPr>
          <w:rStyle w:val="aff4"/>
          <w:rFonts w:ascii="David" w:eastAsiaTheme="minorEastAsia" w:hAnsi="David" w:cs="David"/>
          <w:noProof w:val="0"/>
          <w:sz w:val="16"/>
          <w:szCs w:val="16"/>
          <w:rtl/>
        </w:rPr>
        <w:t xml:space="preserve"> </w:t>
      </w:r>
      <w:r w:rsidRPr="003A14B9">
        <w:rPr>
          <w:rStyle w:val="aff4"/>
          <w:rFonts w:ascii="David" w:eastAsiaTheme="minorEastAsia" w:hAnsi="David" w:cs="David"/>
          <w:b w:val="0"/>
          <w:bCs w:val="0"/>
          <w:noProof w:val="0"/>
          <w:sz w:val="16"/>
          <w:szCs w:val="16"/>
          <w:rtl/>
        </w:rPr>
        <w:t>אבן האזל</w:t>
      </w:r>
      <w:r w:rsidRPr="003A14B9">
        <w:rPr>
          <w:rtl/>
        </w:rPr>
        <w:t xml:space="preserve"> </w:t>
      </w:r>
      <w:r w:rsidRPr="00FE4693">
        <w:rPr>
          <w:rStyle w:val="afffffffff3"/>
          <w:rtl/>
        </w:rPr>
        <w:t xml:space="preserve">(שבת פ"י הי"ז ד"ה </w:t>
      </w:r>
      <w:r w:rsidRPr="00FE4693">
        <w:rPr>
          <w:rStyle w:val="afffffffff3"/>
          <w:rFonts w:hint="cs"/>
          <w:rtl/>
        </w:rPr>
        <w:t>ועכשיו</w:t>
      </w:r>
      <w:r w:rsidRPr="00FE4693">
        <w:rPr>
          <w:rStyle w:val="afffffffff3"/>
          <w:rtl/>
        </w:rPr>
        <w:t>)</w:t>
      </w:r>
      <w:r>
        <w:rPr>
          <w:rtl/>
        </w:rPr>
        <w:t>,</w:t>
      </w:r>
      <w:r w:rsidRPr="00FE4693">
        <w:rPr>
          <w:rStyle w:val="aff4"/>
          <w:rFonts w:ascii="David" w:eastAsiaTheme="minorEastAsia" w:hAnsi="David" w:cs="David" w:hint="cs"/>
          <w:noProof w:val="0"/>
          <w:sz w:val="16"/>
          <w:szCs w:val="16"/>
          <w:rtl/>
        </w:rPr>
        <w:t xml:space="preserve"> </w:t>
      </w:r>
      <w:r w:rsidRPr="00FE4693">
        <w:rPr>
          <w:rStyle w:val="aff4"/>
          <w:rFonts w:ascii="David" w:eastAsiaTheme="minorEastAsia" w:hAnsi="David" w:cs="David"/>
          <w:noProof w:val="0"/>
          <w:sz w:val="16"/>
          <w:szCs w:val="16"/>
          <w:rtl/>
        </w:rPr>
        <w:fldChar w:fldCharType="begin"/>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hint="cs"/>
          <w:noProof w:val="0"/>
          <w:sz w:val="16"/>
          <w:szCs w:val="16"/>
        </w:rPr>
        <w:instrText>REF</w:instrText>
      </w:r>
      <w:r w:rsidRPr="00FE4693">
        <w:rPr>
          <w:rStyle w:val="aff4"/>
          <w:rFonts w:ascii="David" w:eastAsiaTheme="minorEastAsia" w:hAnsi="David" w:cs="David" w:hint="cs"/>
          <w:noProof w:val="0"/>
          <w:sz w:val="16"/>
          <w:szCs w:val="16"/>
          <w:rtl/>
        </w:rPr>
        <w:instrText xml:space="preserve"> _</w:instrText>
      </w:r>
      <w:r w:rsidRPr="00FE4693">
        <w:rPr>
          <w:rStyle w:val="aff4"/>
          <w:rFonts w:ascii="David" w:eastAsiaTheme="minorEastAsia" w:hAnsi="David" w:cs="David" w:hint="cs"/>
          <w:noProof w:val="0"/>
          <w:sz w:val="16"/>
          <w:szCs w:val="16"/>
        </w:rPr>
        <w:instrText>Ref143529813 \r \h</w:instrText>
      </w:r>
      <w:r w:rsidRPr="00FE4693">
        <w:rPr>
          <w:rStyle w:val="aff4"/>
          <w:rFonts w:ascii="David" w:eastAsiaTheme="minorEastAsia" w:hAnsi="David" w:cs="David"/>
          <w:noProof w:val="0"/>
          <w:sz w:val="16"/>
          <w:szCs w:val="16"/>
          <w:rtl/>
        </w:rPr>
        <w:instrText xml:space="preserve">  \* </w:instrText>
      </w:r>
      <w:r w:rsidRPr="00FE4693">
        <w:rPr>
          <w:rStyle w:val="aff4"/>
          <w:rFonts w:ascii="David" w:eastAsiaTheme="minorEastAsia" w:hAnsi="David" w:cs="David"/>
          <w:noProof w:val="0"/>
          <w:sz w:val="16"/>
          <w:szCs w:val="16"/>
        </w:rPr>
        <w:instrText>MERGEFORMAT</w:instrText>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tl/>
        </w:rPr>
      </w:r>
      <w:r w:rsidRPr="00FE4693">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עח)</w:t>
      </w:r>
      <w:r w:rsidRPr="00FE4693">
        <w:rPr>
          <w:rStyle w:val="aff4"/>
          <w:rFonts w:ascii="David" w:eastAsiaTheme="minorEastAsia" w:hAnsi="David" w:cs="David"/>
          <w:noProof w:val="0"/>
          <w:sz w:val="16"/>
          <w:szCs w:val="16"/>
          <w:rtl/>
        </w:rPr>
        <w:fldChar w:fldCharType="end"/>
      </w:r>
      <w:r w:rsidRPr="00FE4693">
        <w:rPr>
          <w:rStyle w:val="aff4"/>
          <w:rFonts w:ascii="David" w:eastAsiaTheme="minorEastAsia" w:hAnsi="David" w:cs="David" w:hint="cs"/>
          <w:noProof w:val="0"/>
          <w:sz w:val="16"/>
          <w:szCs w:val="16"/>
          <w:rtl/>
        </w:rPr>
        <w:t xml:space="preserve"> </w:t>
      </w:r>
      <w:r w:rsidRPr="003A14B9">
        <w:rPr>
          <w:rtl/>
        </w:rPr>
        <w:t xml:space="preserve">אבן האזל </w:t>
      </w:r>
      <w:r w:rsidRPr="00FE4693">
        <w:rPr>
          <w:rStyle w:val="afffffffff3"/>
          <w:rtl/>
        </w:rPr>
        <w:t xml:space="preserve">(שבת פ"י הי"ז ד"ה </w:t>
      </w:r>
      <w:r w:rsidRPr="00FE4693">
        <w:rPr>
          <w:rStyle w:val="afffffffff3"/>
          <w:rFonts w:hint="cs"/>
          <w:rtl/>
        </w:rPr>
        <w:t>ולפי</w:t>
      </w:r>
      <w:r w:rsidRPr="00FE4693">
        <w:rPr>
          <w:rStyle w:val="afffffffff3"/>
          <w:rtl/>
        </w:rPr>
        <w:t>)</w:t>
      </w:r>
      <w:r>
        <w:rPr>
          <w:rtl/>
        </w:rPr>
        <w:t xml:space="preserve"> </w:t>
      </w:r>
      <w:r w:rsidRPr="003A14B9">
        <w:rPr>
          <w:rStyle w:val="aff9"/>
          <w:rFonts w:ascii="David" w:eastAsiaTheme="minorEastAsia" w:hAnsi="David" w:cs="David" w:hint="cs"/>
          <w:b w:val="0"/>
          <w:bCs w:val="0"/>
          <w:noProof w:val="0"/>
          <w:sz w:val="16"/>
          <w:szCs w:val="16"/>
          <w:rtl/>
        </w:rPr>
        <w:t>ריב"ש</w:t>
      </w:r>
      <w:r w:rsidRPr="003A14B9">
        <w:rPr>
          <w:rStyle w:val="af"/>
          <w:rFonts w:ascii="David" w:eastAsiaTheme="minorEastAsia" w:hAnsi="David" w:cs="David" w:hint="cs"/>
          <w:noProof w:val="0"/>
          <w:sz w:val="16"/>
          <w:szCs w:val="16"/>
          <w:rtl/>
        </w:rPr>
        <w:t xml:space="preserve"> </w:t>
      </w:r>
      <w:r w:rsidRPr="00FE4693">
        <w:rPr>
          <w:rStyle w:val="afffffffff3"/>
          <w:rFonts w:hint="cs"/>
          <w:rtl/>
        </w:rPr>
        <w:t>(סי' שצ"ד ד"ה וכבר ידמה)</w:t>
      </w:r>
      <w:r>
        <w:rPr>
          <w:rtl/>
        </w:rPr>
        <w:t xml:space="preserve"> </w:t>
      </w:r>
      <w:r w:rsidRPr="003A14B9">
        <w:rPr>
          <w:rStyle w:val="aff9"/>
          <w:rFonts w:ascii="David" w:eastAsiaTheme="minorEastAsia" w:hAnsi="David" w:cs="David" w:hint="cs"/>
          <w:b w:val="0"/>
          <w:bCs w:val="0"/>
          <w:noProof w:val="0"/>
          <w:sz w:val="16"/>
          <w:szCs w:val="16"/>
          <w:rtl/>
        </w:rPr>
        <w:t>רש"י לקמן</w:t>
      </w:r>
      <w:r w:rsidRPr="003A14B9">
        <w:rPr>
          <w:rStyle w:val="af"/>
          <w:rFonts w:ascii="David" w:eastAsiaTheme="minorEastAsia" w:hAnsi="David" w:cs="David" w:hint="cs"/>
          <w:noProof w:val="0"/>
          <w:sz w:val="16"/>
          <w:szCs w:val="16"/>
          <w:rtl/>
        </w:rPr>
        <w:t xml:space="preserve"> </w:t>
      </w:r>
      <w:r w:rsidRPr="00FE4693">
        <w:rPr>
          <w:rStyle w:val="afffffffff3"/>
          <w:rFonts w:hint="cs"/>
          <w:rtl/>
        </w:rPr>
        <w:t>(צה. ד"ה וכן הפוקסת)</w:t>
      </w:r>
      <w:r>
        <w:rPr>
          <w:rtl/>
        </w:rPr>
        <w:t>,</w:t>
      </w:r>
      <w:r w:rsidRPr="00FE4693">
        <w:rPr>
          <w:rStyle w:val="aff4"/>
          <w:rFonts w:ascii="David" w:eastAsiaTheme="minorEastAsia" w:hAnsi="David" w:cs="David" w:hint="cs"/>
          <w:noProof w:val="0"/>
          <w:sz w:val="16"/>
          <w:szCs w:val="16"/>
          <w:rtl/>
        </w:rPr>
        <w:t xml:space="preserve"> </w:t>
      </w:r>
      <w:r w:rsidRPr="00FE4693">
        <w:rPr>
          <w:rStyle w:val="aff4"/>
          <w:rFonts w:ascii="David" w:eastAsiaTheme="minorEastAsia" w:hAnsi="David" w:cs="David"/>
          <w:noProof w:val="0"/>
          <w:sz w:val="16"/>
          <w:szCs w:val="16"/>
          <w:rtl/>
        </w:rPr>
        <w:fldChar w:fldCharType="begin"/>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hint="cs"/>
          <w:noProof w:val="0"/>
          <w:sz w:val="16"/>
          <w:szCs w:val="16"/>
        </w:rPr>
        <w:instrText>REF</w:instrText>
      </w:r>
      <w:r w:rsidRPr="00FE4693">
        <w:rPr>
          <w:rStyle w:val="aff4"/>
          <w:rFonts w:ascii="David" w:eastAsiaTheme="minorEastAsia" w:hAnsi="David" w:cs="David" w:hint="cs"/>
          <w:noProof w:val="0"/>
          <w:sz w:val="16"/>
          <w:szCs w:val="16"/>
          <w:rtl/>
        </w:rPr>
        <w:instrText xml:space="preserve"> _</w:instrText>
      </w:r>
      <w:r w:rsidRPr="00FE4693">
        <w:rPr>
          <w:rStyle w:val="aff4"/>
          <w:rFonts w:ascii="David" w:eastAsiaTheme="minorEastAsia" w:hAnsi="David" w:cs="David" w:hint="cs"/>
          <w:noProof w:val="0"/>
          <w:sz w:val="16"/>
          <w:szCs w:val="16"/>
        </w:rPr>
        <w:instrText>Ref141176702 \r \h</w:instrText>
      </w:r>
      <w:r w:rsidRPr="00FE4693">
        <w:rPr>
          <w:rStyle w:val="aff4"/>
          <w:rFonts w:ascii="David" w:eastAsiaTheme="minorEastAsia" w:hAnsi="David" w:cs="David"/>
          <w:noProof w:val="0"/>
          <w:sz w:val="16"/>
          <w:szCs w:val="16"/>
          <w:rtl/>
        </w:rPr>
        <w:instrText xml:space="preserve">  \* </w:instrText>
      </w:r>
      <w:r w:rsidRPr="00FE4693">
        <w:rPr>
          <w:rStyle w:val="aff4"/>
          <w:rFonts w:ascii="David" w:eastAsiaTheme="minorEastAsia" w:hAnsi="David" w:cs="David"/>
          <w:noProof w:val="0"/>
          <w:sz w:val="16"/>
          <w:szCs w:val="16"/>
        </w:rPr>
        <w:instrText>MERGEFORMAT</w:instrText>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tl/>
        </w:rPr>
      </w:r>
      <w:r w:rsidRPr="00FE4693">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פ)</w:t>
      </w:r>
      <w:r w:rsidRPr="00FE4693">
        <w:rPr>
          <w:rStyle w:val="aff4"/>
          <w:rFonts w:ascii="David" w:eastAsiaTheme="minorEastAsia" w:hAnsi="David" w:cs="David"/>
          <w:noProof w:val="0"/>
          <w:sz w:val="16"/>
          <w:szCs w:val="16"/>
          <w:rtl/>
        </w:rPr>
        <w:fldChar w:fldCharType="end"/>
      </w:r>
      <w:r w:rsidRPr="00FE4693">
        <w:rPr>
          <w:rStyle w:val="aff4"/>
          <w:rFonts w:ascii="David" w:eastAsiaTheme="minorEastAsia" w:hAnsi="David" w:cs="David" w:hint="cs"/>
          <w:noProof w:val="0"/>
          <w:sz w:val="16"/>
          <w:szCs w:val="16"/>
          <w:rtl/>
        </w:rPr>
        <w:t xml:space="preserve"> </w:t>
      </w:r>
      <w:r w:rsidRPr="003A14B9">
        <w:rPr>
          <w:rStyle w:val="aff4"/>
          <w:rFonts w:ascii="David" w:eastAsiaTheme="minorEastAsia" w:hAnsi="David" w:cs="David" w:hint="cs"/>
          <w:b w:val="0"/>
          <w:bCs w:val="0"/>
          <w:noProof w:val="0"/>
          <w:sz w:val="16"/>
          <w:szCs w:val="16"/>
          <w:rtl/>
        </w:rPr>
        <w:t>קהלות יעקב</w:t>
      </w:r>
      <w:r w:rsidRPr="003A14B9">
        <w:rPr>
          <w:rFonts w:hint="cs"/>
          <w:rtl/>
        </w:rPr>
        <w:t xml:space="preserve"> </w:t>
      </w:r>
      <w:r w:rsidRPr="00FE4693">
        <w:rPr>
          <w:rStyle w:val="afffffffff3"/>
          <w:rFonts w:hint="cs"/>
          <w:rtl/>
        </w:rPr>
        <w:t>(סי' ל"ז ד"ה אבל לענ"ד)</w:t>
      </w:r>
      <w:r>
        <w:rPr>
          <w:rtl/>
        </w:rPr>
        <w:t>,</w:t>
      </w:r>
      <w:r w:rsidRPr="00FE4693">
        <w:rPr>
          <w:rStyle w:val="aff4"/>
          <w:rFonts w:ascii="David" w:eastAsiaTheme="minorEastAsia" w:hAnsi="David" w:cs="David" w:hint="cs"/>
          <w:noProof w:val="0"/>
          <w:sz w:val="16"/>
          <w:szCs w:val="16"/>
          <w:rtl/>
        </w:rPr>
        <w:t xml:space="preserve"> </w:t>
      </w:r>
      <w:r w:rsidRPr="00FE4693">
        <w:rPr>
          <w:rStyle w:val="aff4"/>
          <w:rFonts w:ascii="David" w:eastAsiaTheme="minorEastAsia" w:hAnsi="David" w:cs="David"/>
          <w:noProof w:val="0"/>
          <w:sz w:val="16"/>
          <w:szCs w:val="16"/>
          <w:rtl/>
        </w:rPr>
        <w:fldChar w:fldCharType="begin"/>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hint="cs"/>
          <w:noProof w:val="0"/>
          <w:sz w:val="16"/>
          <w:szCs w:val="16"/>
        </w:rPr>
        <w:instrText>REF</w:instrText>
      </w:r>
      <w:r w:rsidRPr="00FE4693">
        <w:rPr>
          <w:rStyle w:val="aff4"/>
          <w:rFonts w:ascii="David" w:eastAsiaTheme="minorEastAsia" w:hAnsi="David" w:cs="David" w:hint="cs"/>
          <w:noProof w:val="0"/>
          <w:sz w:val="16"/>
          <w:szCs w:val="16"/>
          <w:rtl/>
        </w:rPr>
        <w:instrText xml:space="preserve"> _</w:instrText>
      </w:r>
      <w:r w:rsidRPr="00FE4693">
        <w:rPr>
          <w:rStyle w:val="aff4"/>
          <w:rFonts w:ascii="David" w:eastAsiaTheme="minorEastAsia" w:hAnsi="David" w:cs="David" w:hint="cs"/>
          <w:noProof w:val="0"/>
          <w:sz w:val="16"/>
          <w:szCs w:val="16"/>
        </w:rPr>
        <w:instrText>Ref143509417 \r \h</w:instrText>
      </w:r>
      <w:r w:rsidRPr="00FE4693">
        <w:rPr>
          <w:rStyle w:val="aff4"/>
          <w:rFonts w:ascii="David" w:eastAsiaTheme="minorEastAsia" w:hAnsi="David" w:cs="David"/>
          <w:noProof w:val="0"/>
          <w:sz w:val="16"/>
          <w:szCs w:val="16"/>
          <w:rtl/>
        </w:rPr>
        <w:instrText xml:space="preserve">  \* </w:instrText>
      </w:r>
      <w:r w:rsidRPr="00FE4693">
        <w:rPr>
          <w:rStyle w:val="aff4"/>
          <w:rFonts w:ascii="David" w:eastAsiaTheme="minorEastAsia" w:hAnsi="David" w:cs="David"/>
          <w:noProof w:val="0"/>
          <w:sz w:val="16"/>
          <w:szCs w:val="16"/>
        </w:rPr>
        <w:instrText>MERGEFORMAT</w:instrText>
      </w:r>
      <w:r w:rsidRPr="00FE4693">
        <w:rPr>
          <w:rStyle w:val="aff4"/>
          <w:rFonts w:ascii="David" w:eastAsiaTheme="minorEastAsia" w:hAnsi="David" w:cs="David"/>
          <w:noProof w:val="0"/>
          <w:sz w:val="16"/>
          <w:szCs w:val="16"/>
          <w:rtl/>
        </w:rPr>
        <w:instrText xml:space="preserve"> </w:instrText>
      </w:r>
      <w:r w:rsidRPr="00FE4693">
        <w:rPr>
          <w:rStyle w:val="aff4"/>
          <w:rFonts w:ascii="David" w:eastAsiaTheme="minorEastAsia" w:hAnsi="David" w:cs="David"/>
          <w:noProof w:val="0"/>
          <w:sz w:val="16"/>
          <w:szCs w:val="16"/>
          <w:rtl/>
        </w:rPr>
      </w:r>
      <w:r w:rsidRPr="00FE4693">
        <w:rPr>
          <w:rStyle w:val="aff4"/>
          <w:rFonts w:ascii="David" w:eastAsiaTheme="minorEastAsia" w:hAnsi="David" w:cs="David"/>
          <w:noProof w:val="0"/>
          <w:sz w:val="16"/>
          <w:szCs w:val="16"/>
          <w:rtl/>
        </w:rPr>
        <w:fldChar w:fldCharType="separate"/>
      </w:r>
      <w:r w:rsidR="00D82181">
        <w:rPr>
          <w:rStyle w:val="aff4"/>
          <w:rFonts w:ascii="David" w:eastAsiaTheme="minorEastAsia" w:hAnsi="David" w:cs="David"/>
          <w:noProof w:val="0"/>
          <w:sz w:val="16"/>
          <w:szCs w:val="16"/>
          <w:cs/>
        </w:rPr>
        <w:t>‎</w:t>
      </w:r>
      <w:r w:rsidR="00D82181">
        <w:rPr>
          <w:rStyle w:val="aff4"/>
          <w:rFonts w:ascii="David" w:eastAsiaTheme="minorEastAsia" w:hAnsi="David" w:cs="David"/>
          <w:noProof w:val="0"/>
          <w:sz w:val="16"/>
          <w:szCs w:val="16"/>
          <w:rtl/>
        </w:rPr>
        <w:t>פב)</w:t>
      </w:r>
      <w:r w:rsidRPr="00FE4693">
        <w:rPr>
          <w:rStyle w:val="aff4"/>
          <w:rFonts w:ascii="David" w:eastAsiaTheme="minorEastAsia" w:hAnsi="David" w:cs="David"/>
          <w:noProof w:val="0"/>
          <w:sz w:val="16"/>
          <w:szCs w:val="16"/>
          <w:rtl/>
        </w:rPr>
        <w:fldChar w:fldCharType="end"/>
      </w:r>
      <w:r w:rsidRPr="00FE4693">
        <w:rPr>
          <w:rStyle w:val="aff4"/>
          <w:rFonts w:ascii="David" w:eastAsiaTheme="minorEastAsia" w:hAnsi="David" w:cs="David" w:hint="cs"/>
          <w:noProof w:val="0"/>
          <w:sz w:val="16"/>
          <w:szCs w:val="16"/>
          <w:rtl/>
        </w:rPr>
        <w:t xml:space="preserve"> </w:t>
      </w:r>
      <w:r w:rsidRPr="003A14B9">
        <w:rPr>
          <w:rFonts w:hint="cs"/>
          <w:rtl/>
        </w:rPr>
        <w:t xml:space="preserve">קהלות יעקב </w:t>
      </w:r>
      <w:r w:rsidRPr="00FE4693">
        <w:rPr>
          <w:rStyle w:val="afffffffff3"/>
          <w:rFonts w:hint="cs"/>
          <w:rtl/>
        </w:rPr>
        <w:t>(סי' ל"ז ד"ה אמנם)</w:t>
      </w:r>
      <w:r>
        <w:rPr>
          <w:rtl/>
        </w:rPr>
        <w:t xml:space="preserve"> </w:t>
      </w:r>
      <w:r w:rsidRPr="003A14B9">
        <w:rPr>
          <w:rFonts w:hint="cs"/>
          <w:rtl/>
        </w:rPr>
        <w:t xml:space="preserve">קהלות יעקב </w:t>
      </w:r>
      <w:r w:rsidRPr="00FE4693">
        <w:rPr>
          <w:rStyle w:val="afffffffff3"/>
          <w:rFonts w:hint="cs"/>
          <w:rtl/>
        </w:rPr>
        <w:t>(סו"ס ל"ז)</w:t>
      </w:r>
      <w:r>
        <w:rPr>
          <w:rtl/>
        </w:rPr>
        <w:t xml:space="preserve"> </w:t>
      </w:r>
    </w:p>
    <w:p w14:paraId="51723C9D" w14:textId="77777777" w:rsidR="00376F67" w:rsidRDefault="00376F67" w:rsidP="00376F67">
      <w:pPr>
        <w:pStyle w:val="TOC2"/>
        <w:rPr>
          <w:rFonts w:cstheme="minorBidi"/>
          <w:b w:val="0"/>
          <w:bCs w:val="0"/>
          <w:sz w:val="22"/>
          <w:szCs w:val="22"/>
          <w:rtl/>
        </w:rPr>
      </w:pPr>
      <w:hyperlink w:anchor="_Toc143770663" w:history="1">
        <w:r w:rsidRPr="009F263C">
          <w:rPr>
            <w:rStyle w:val="Hyperlink"/>
            <w:rtl/>
          </w:rPr>
          <w:t>קו' האבהא"ז ברמב"ם דאמאי עושה או תוקע כלי הוי בונה</w:t>
        </w:r>
      </w:hyperlink>
    </w:p>
    <w:p w14:paraId="268C2D40" w14:textId="77777777" w:rsidR="00376F67" w:rsidRDefault="00376F67" w:rsidP="00ED704E">
      <w:pPr>
        <w:pStyle w:val="TOC3"/>
        <w:rPr>
          <w:rFonts w:asciiTheme="minorHAnsi" w:eastAsiaTheme="minorEastAsia" w:hAnsiTheme="minorHAnsi" w:cstheme="minorBidi"/>
          <w:sz w:val="22"/>
          <w:szCs w:val="22"/>
          <w:rtl/>
        </w:rPr>
      </w:pPr>
      <w:hyperlink w:anchor="_Toc143770664" w:history="1">
        <w:r w:rsidRPr="009F263C">
          <w:rPr>
            <w:rStyle w:val="Hyperlink"/>
            <w:rtl/>
          </w:rPr>
          <w:t>קו' האבהא"ז על המ"מ ברמב"ם דאמאי כלי זכוכית ל"ה בונה ול"מ ברמב"ם דכל יוצר כלי בונה</w:t>
        </w:r>
      </w:hyperlink>
    </w:p>
    <w:p w14:paraId="6AB0BE66" w14:textId="77777777" w:rsidR="00376F67" w:rsidRDefault="00376F67" w:rsidP="00ED704E">
      <w:pPr>
        <w:pStyle w:val="TOC3"/>
        <w:rPr>
          <w:rFonts w:asciiTheme="minorHAnsi" w:eastAsiaTheme="minorEastAsia" w:hAnsiTheme="minorHAnsi" w:cstheme="minorBidi"/>
          <w:sz w:val="22"/>
          <w:szCs w:val="22"/>
          <w:rtl/>
        </w:rPr>
      </w:pPr>
      <w:hyperlink w:anchor="_Toc143770665" w:history="1">
        <w:r w:rsidRPr="009F263C">
          <w:rPr>
            <w:rStyle w:val="Hyperlink"/>
            <w:rtl/>
          </w:rPr>
          <w:t>קו' האבאה"ז ברמב"ם דאמאי עושה אוהל הוי תולדה ולא אב הא הוא קבוע וצ"ב מהו האב</w:t>
        </w:r>
      </w:hyperlink>
    </w:p>
    <w:p w14:paraId="19853A34" w14:textId="77777777" w:rsidR="00376F67" w:rsidRDefault="00376F67" w:rsidP="00ED704E">
      <w:pPr>
        <w:pStyle w:val="TOC3"/>
        <w:rPr>
          <w:rFonts w:asciiTheme="minorHAnsi" w:eastAsiaTheme="minorEastAsia" w:hAnsiTheme="minorHAnsi" w:cstheme="minorBidi"/>
          <w:sz w:val="22"/>
          <w:szCs w:val="22"/>
          <w:rtl/>
        </w:rPr>
      </w:pPr>
      <w:hyperlink w:anchor="_Toc143770666" w:history="1">
        <w:r w:rsidRPr="009F263C">
          <w:rPr>
            <w:rStyle w:val="Hyperlink"/>
            <w:rtl/>
          </w:rPr>
          <w:t>קו' האבאה"ז ברמב"ם דמחייב בתוקע מיטה מדין בונה דהא לא עשה כלי מחדש ואמאי הוי בונה</w:t>
        </w:r>
      </w:hyperlink>
    </w:p>
    <w:p w14:paraId="2716ACFE" w14:textId="77777777" w:rsidR="00376F67" w:rsidRDefault="00376F67" w:rsidP="00376F67">
      <w:pPr>
        <w:pStyle w:val="TOC2"/>
        <w:rPr>
          <w:rFonts w:cstheme="minorBidi"/>
          <w:b w:val="0"/>
          <w:bCs w:val="0"/>
          <w:sz w:val="22"/>
          <w:szCs w:val="22"/>
          <w:rtl/>
        </w:rPr>
      </w:pPr>
      <w:hyperlink w:anchor="_Toc143770667" w:history="1">
        <w:r w:rsidRPr="009F263C">
          <w:rPr>
            <w:rStyle w:val="Hyperlink"/>
            <w:rtl/>
          </w:rPr>
          <w:t>בי' האבהא"ז דאב דבונה בית בעושה אוהל ע"י שמקבץ חלקים</w:t>
        </w:r>
      </w:hyperlink>
    </w:p>
    <w:p w14:paraId="2BF7466B" w14:textId="77777777" w:rsidR="00376F67" w:rsidRDefault="00376F67" w:rsidP="00ED704E">
      <w:pPr>
        <w:pStyle w:val="TOC3"/>
        <w:rPr>
          <w:rFonts w:asciiTheme="minorHAnsi" w:eastAsiaTheme="minorEastAsia" w:hAnsiTheme="minorHAnsi" w:cstheme="minorBidi"/>
          <w:sz w:val="22"/>
          <w:szCs w:val="22"/>
          <w:rtl/>
        </w:rPr>
      </w:pPr>
      <w:hyperlink w:anchor="_Toc143770668" w:history="1">
        <w:r w:rsidRPr="009F263C">
          <w:rPr>
            <w:rStyle w:val="Hyperlink"/>
            <w:rtl/>
          </w:rPr>
          <w:t>בי' האבהא"ז ברמב"ם דמתולדות דאוהל ומגבן מבו' דאב דבונה בית עשה אוהל בקיבוץ חלקים</w:t>
        </w:r>
      </w:hyperlink>
    </w:p>
    <w:p w14:paraId="48554EE9" w14:textId="77777777" w:rsidR="00376F67" w:rsidRDefault="00376F67" w:rsidP="00ED704E">
      <w:pPr>
        <w:pStyle w:val="TOC3"/>
        <w:rPr>
          <w:rFonts w:asciiTheme="minorHAnsi" w:eastAsiaTheme="minorEastAsia" w:hAnsiTheme="minorHAnsi" w:cstheme="minorBidi"/>
          <w:sz w:val="22"/>
          <w:szCs w:val="22"/>
          <w:rtl/>
        </w:rPr>
      </w:pPr>
      <w:hyperlink w:anchor="_Toc143770669" w:history="1">
        <w:r w:rsidRPr="009F263C">
          <w:rPr>
            <w:rStyle w:val="Hyperlink"/>
            <w:rtl/>
          </w:rPr>
          <w:t>בי' האבהא"ז ברמב"ם דעושה אוהל הוי תולדה דלא קיבץ חלקים ומגבן תולדה דלא עשה אוהל</w:t>
        </w:r>
      </w:hyperlink>
    </w:p>
    <w:p w14:paraId="0BC12AE5" w14:textId="77777777" w:rsidR="00376F67" w:rsidRDefault="00376F67" w:rsidP="00376F67">
      <w:pPr>
        <w:pStyle w:val="TOC2"/>
        <w:rPr>
          <w:rFonts w:cstheme="minorBidi"/>
          <w:b w:val="0"/>
          <w:bCs w:val="0"/>
          <w:sz w:val="22"/>
          <w:szCs w:val="22"/>
          <w:rtl/>
        </w:rPr>
      </w:pPr>
      <w:hyperlink w:anchor="_Toc143770670" w:history="1">
        <w:r w:rsidRPr="009F263C">
          <w:rPr>
            <w:rStyle w:val="Hyperlink"/>
            <w:rtl/>
          </w:rPr>
          <w:t>בי' האבהא"ז דאוהל וקיבוץ חלקים רק שם בנין וא"צ ב' לחיוב</w:t>
        </w:r>
      </w:hyperlink>
    </w:p>
    <w:p w14:paraId="0C975C66" w14:textId="77777777" w:rsidR="00376F67" w:rsidRDefault="00376F67" w:rsidP="00ED704E">
      <w:pPr>
        <w:pStyle w:val="TOC3"/>
        <w:rPr>
          <w:rFonts w:asciiTheme="minorHAnsi" w:eastAsiaTheme="minorEastAsia" w:hAnsiTheme="minorHAnsi" w:cstheme="minorBidi"/>
          <w:sz w:val="22"/>
          <w:szCs w:val="22"/>
          <w:rtl/>
        </w:rPr>
      </w:pPr>
      <w:hyperlink w:anchor="_Toc143770671" w:history="1">
        <w:r w:rsidRPr="009F263C">
          <w:rPr>
            <w:rStyle w:val="Hyperlink"/>
            <w:rtl/>
          </w:rPr>
          <w:t>קו' האבהא"ז דמבו' ברמב"ם דמשוה פני הקרקע הוי אב אעפ"י דאין בזה קיבוץ חלקים</w:t>
        </w:r>
      </w:hyperlink>
    </w:p>
    <w:p w14:paraId="25C07A4A" w14:textId="77777777" w:rsidR="00376F67" w:rsidRDefault="00376F67" w:rsidP="00ED704E">
      <w:pPr>
        <w:pStyle w:val="TOC3"/>
        <w:rPr>
          <w:rFonts w:asciiTheme="minorHAnsi" w:eastAsiaTheme="minorEastAsia" w:hAnsiTheme="minorHAnsi" w:cstheme="minorBidi"/>
          <w:sz w:val="22"/>
          <w:szCs w:val="22"/>
          <w:rtl/>
        </w:rPr>
      </w:pPr>
      <w:hyperlink w:anchor="_Toc143770672" w:history="1">
        <w:r w:rsidRPr="009F263C">
          <w:rPr>
            <w:rStyle w:val="Hyperlink"/>
            <w:rtl/>
          </w:rPr>
          <w:t>בי' האבהא"ז דבדבר שיש בו אוהל וקיבוץ חלקים נקרא בנין ואף בהיה בנין קודם והוסיף בו חייב</w:t>
        </w:r>
      </w:hyperlink>
    </w:p>
    <w:p w14:paraId="64203C6D" w14:textId="77777777" w:rsidR="00376F67" w:rsidRDefault="00376F67" w:rsidP="00ED704E">
      <w:pPr>
        <w:pStyle w:val="TOC3"/>
        <w:rPr>
          <w:rFonts w:asciiTheme="minorHAnsi" w:eastAsiaTheme="minorEastAsia" w:hAnsiTheme="minorHAnsi" w:cstheme="minorBidi"/>
          <w:sz w:val="22"/>
          <w:szCs w:val="22"/>
          <w:rtl/>
        </w:rPr>
      </w:pPr>
      <w:hyperlink w:anchor="_Toc143770673" w:history="1">
        <w:r w:rsidRPr="009F263C">
          <w:rPr>
            <w:rStyle w:val="Hyperlink"/>
            <w:rtl/>
          </w:rPr>
          <w:t>בי' האבהא"ז דבבית שכבר בנוי מקיבוץ חלקים ומוסיף עליו בונה גמור ורק מערה הוי תולדה</w:t>
        </w:r>
      </w:hyperlink>
    </w:p>
    <w:p w14:paraId="43BB0FBE" w14:textId="77777777" w:rsidR="00376F67" w:rsidRDefault="00376F67" w:rsidP="00ED704E">
      <w:pPr>
        <w:pStyle w:val="TOC3"/>
        <w:rPr>
          <w:rFonts w:asciiTheme="minorHAnsi" w:eastAsiaTheme="minorEastAsia" w:hAnsiTheme="minorHAnsi" w:cstheme="minorBidi"/>
          <w:sz w:val="22"/>
          <w:szCs w:val="22"/>
          <w:rtl/>
        </w:rPr>
      </w:pPr>
      <w:hyperlink w:anchor="_Toc143770674" w:history="1">
        <w:r w:rsidRPr="009F263C">
          <w:rPr>
            <w:rStyle w:val="Hyperlink"/>
            <w:rtl/>
          </w:rPr>
          <w:t>בי' האבהא"ז דבתוקע בקרקע ב' עצים המחוברים לאוהל עשה מלאכת בנין וכן משוה קרקע</w:t>
        </w:r>
      </w:hyperlink>
    </w:p>
    <w:p w14:paraId="7A57C64F" w14:textId="77777777" w:rsidR="00376F67" w:rsidRDefault="00376F67" w:rsidP="00ED704E">
      <w:pPr>
        <w:pStyle w:val="TOC3"/>
        <w:rPr>
          <w:rFonts w:asciiTheme="minorHAnsi" w:eastAsiaTheme="minorEastAsia" w:hAnsiTheme="minorHAnsi" w:cstheme="minorBidi"/>
          <w:sz w:val="22"/>
          <w:szCs w:val="22"/>
          <w:rtl/>
        </w:rPr>
      </w:pPr>
      <w:hyperlink w:anchor="_Toc143770675" w:history="1">
        <w:r w:rsidRPr="009F263C">
          <w:rPr>
            <w:rStyle w:val="Hyperlink"/>
            <w:rtl/>
          </w:rPr>
          <w:t>בי' האבהא"ז דרק באוהל קבוע ע"י סדין דאינו בנין ממש הוי תולדה דחסר החלק דקיבוץ חלקים</w:t>
        </w:r>
      </w:hyperlink>
    </w:p>
    <w:p w14:paraId="145FC02F" w14:textId="77777777" w:rsidR="00376F67" w:rsidRDefault="00376F67" w:rsidP="00ED704E">
      <w:pPr>
        <w:pStyle w:val="TOC3"/>
        <w:rPr>
          <w:rFonts w:asciiTheme="minorHAnsi" w:eastAsiaTheme="minorEastAsia" w:hAnsiTheme="minorHAnsi" w:cstheme="minorBidi"/>
          <w:sz w:val="22"/>
          <w:szCs w:val="22"/>
          <w:rtl/>
        </w:rPr>
      </w:pPr>
      <w:hyperlink w:anchor="_Toc143770676" w:history="1">
        <w:r w:rsidRPr="009F263C">
          <w:rPr>
            <w:rStyle w:val="Hyperlink"/>
            <w:rtl/>
          </w:rPr>
          <w:t>בי' האבי עזרי דלמ"מ תולדה דמי במקצת לאב ומגבן ואוהל דמו לבית דאוהל וקיבוץ חלקים</w:t>
        </w:r>
      </w:hyperlink>
    </w:p>
    <w:p w14:paraId="385C8BBD" w14:textId="77777777" w:rsidR="00376F67" w:rsidRDefault="00376F67" w:rsidP="00376F67">
      <w:pPr>
        <w:pStyle w:val="TOC2"/>
        <w:rPr>
          <w:rFonts w:cstheme="minorBidi"/>
          <w:b w:val="0"/>
          <w:bCs w:val="0"/>
          <w:sz w:val="22"/>
          <w:szCs w:val="22"/>
          <w:rtl/>
        </w:rPr>
      </w:pPr>
      <w:hyperlink w:anchor="_Toc143770677" w:history="1">
        <w:r w:rsidRPr="009F263C">
          <w:rPr>
            <w:rStyle w:val="Hyperlink"/>
            <w:rtl/>
          </w:rPr>
          <w:t>בי' האבאה"ז דבאינו בנין ממש אין בנין בכלים רק בעושה אוהל</w:t>
        </w:r>
      </w:hyperlink>
    </w:p>
    <w:p w14:paraId="5169A222" w14:textId="77777777" w:rsidR="00376F67" w:rsidRDefault="00376F67" w:rsidP="00ED704E">
      <w:pPr>
        <w:pStyle w:val="TOC3"/>
        <w:rPr>
          <w:rFonts w:asciiTheme="minorHAnsi" w:eastAsiaTheme="minorEastAsia" w:hAnsiTheme="minorHAnsi" w:cstheme="minorBidi"/>
          <w:sz w:val="22"/>
          <w:szCs w:val="22"/>
          <w:rtl/>
        </w:rPr>
      </w:pPr>
      <w:hyperlink w:anchor="_Toc143770678" w:history="1">
        <w:r w:rsidRPr="009F263C">
          <w:rPr>
            <w:rStyle w:val="Hyperlink"/>
            <w:rtl/>
          </w:rPr>
          <w:t>בי' האבהא"ז דרק בחלק של עשיית אוהל אין בו בנין בכלים אך קיבוץ חלקים אף בכלים חייב</w:t>
        </w:r>
      </w:hyperlink>
    </w:p>
    <w:p w14:paraId="5C7DCF56" w14:textId="77777777" w:rsidR="00376F67" w:rsidRDefault="00376F67" w:rsidP="00ED704E">
      <w:pPr>
        <w:pStyle w:val="TOC3"/>
        <w:rPr>
          <w:rFonts w:asciiTheme="minorHAnsi" w:eastAsiaTheme="minorEastAsia" w:hAnsiTheme="minorHAnsi" w:cstheme="minorBidi"/>
          <w:sz w:val="22"/>
          <w:szCs w:val="22"/>
          <w:rtl/>
        </w:rPr>
      </w:pPr>
      <w:hyperlink w:anchor="_Toc143770679" w:history="1">
        <w:r w:rsidRPr="009F263C">
          <w:rPr>
            <w:rStyle w:val="Hyperlink"/>
            <w:rtl/>
          </w:rPr>
          <w:t>בי' האבהא"ז דכלי אדמה ע"י קיבוץ חלקים או תוקע עץ בעץ בונה אך חוקק כלי בעץ ל"ה בונה</w:t>
        </w:r>
      </w:hyperlink>
    </w:p>
    <w:p w14:paraId="6188000A" w14:textId="77777777" w:rsidR="00376F67" w:rsidRDefault="00376F67" w:rsidP="00ED704E">
      <w:pPr>
        <w:pStyle w:val="TOC3"/>
        <w:rPr>
          <w:rFonts w:asciiTheme="minorHAnsi" w:eastAsiaTheme="minorEastAsia" w:hAnsiTheme="minorHAnsi" w:cstheme="minorBidi"/>
          <w:sz w:val="22"/>
          <w:szCs w:val="22"/>
          <w:rtl/>
        </w:rPr>
      </w:pPr>
      <w:hyperlink w:anchor="_Toc143770680" w:history="1">
        <w:r w:rsidRPr="009F263C">
          <w:rPr>
            <w:rStyle w:val="Hyperlink"/>
            <w:rtl/>
          </w:rPr>
          <w:t>בי' האבהא"ז דבשופתא בקופינא מקבץ חלקים ובמיטה ברפוי ל"ה קיבוץ אלא אוהל דפטור בכלי</w:t>
        </w:r>
      </w:hyperlink>
    </w:p>
    <w:p w14:paraId="39766BC1" w14:textId="77777777" w:rsidR="00376F67" w:rsidRDefault="00376F67" w:rsidP="00ED704E">
      <w:pPr>
        <w:pStyle w:val="TOC3"/>
        <w:rPr>
          <w:rFonts w:asciiTheme="minorHAnsi" w:eastAsiaTheme="minorEastAsia" w:hAnsiTheme="minorHAnsi" w:cstheme="minorBidi"/>
          <w:sz w:val="22"/>
          <w:szCs w:val="22"/>
          <w:rtl/>
        </w:rPr>
      </w:pPr>
      <w:hyperlink w:anchor="_Toc143770681" w:history="1">
        <w:r w:rsidRPr="009F263C">
          <w:rPr>
            <w:rStyle w:val="Hyperlink"/>
            <w:rtl/>
          </w:rPr>
          <w:t>בי' האבהא"ז ברמב"ם דבכלי זכוכית ל"ה קיבוץ חלקים והוי רק אוהל ובזה אין בנין בכלים</w:t>
        </w:r>
      </w:hyperlink>
    </w:p>
    <w:p w14:paraId="0F10A914" w14:textId="77777777" w:rsidR="00376F67" w:rsidRDefault="00376F67" w:rsidP="00ED704E">
      <w:pPr>
        <w:pStyle w:val="TOC3"/>
        <w:rPr>
          <w:rFonts w:asciiTheme="minorHAnsi" w:eastAsiaTheme="minorEastAsia" w:hAnsiTheme="minorHAnsi" w:cstheme="minorBidi"/>
          <w:sz w:val="22"/>
          <w:szCs w:val="22"/>
          <w:rtl/>
        </w:rPr>
      </w:pPr>
      <w:hyperlink w:anchor="_Toc143770682" w:history="1">
        <w:r w:rsidRPr="009F263C">
          <w:rPr>
            <w:rStyle w:val="Hyperlink"/>
            <w:rtl/>
          </w:rPr>
          <w:t>בי' האבהא"ז דגודלת שערה דמי לבנין כיון שיש בזה קיבוץ חלקים וילפי' דאף ברפוי חייב</w:t>
        </w:r>
      </w:hyperlink>
    </w:p>
    <w:p w14:paraId="0D330F34" w14:textId="77777777" w:rsidR="00376F67" w:rsidRDefault="00376F67" w:rsidP="00ED704E">
      <w:pPr>
        <w:pStyle w:val="TOC3"/>
        <w:rPr>
          <w:rFonts w:asciiTheme="minorHAnsi" w:eastAsiaTheme="minorEastAsia" w:hAnsiTheme="minorHAnsi" w:cstheme="minorBidi"/>
          <w:sz w:val="22"/>
          <w:szCs w:val="22"/>
          <w:rtl/>
        </w:rPr>
      </w:pPr>
      <w:hyperlink w:anchor="_Toc143770683" w:history="1">
        <w:r w:rsidRPr="009F263C">
          <w:rPr>
            <w:rStyle w:val="Hyperlink"/>
            <w:rtl/>
          </w:rPr>
          <w:t>בי' האבהא"ז ברמב"ם דמורסא שהוא פתח מדין אוהל אין בו חיוב בתלוש ולכן ל"ה בונה</w:t>
        </w:r>
      </w:hyperlink>
    </w:p>
    <w:p w14:paraId="7ADAF46F" w14:textId="77777777" w:rsidR="00376F67" w:rsidRDefault="00376F67" w:rsidP="00376F67">
      <w:pPr>
        <w:pStyle w:val="TOC2"/>
        <w:rPr>
          <w:rFonts w:cstheme="minorBidi"/>
          <w:b w:val="0"/>
          <w:bCs w:val="0"/>
          <w:sz w:val="22"/>
          <w:szCs w:val="22"/>
          <w:rtl/>
        </w:rPr>
      </w:pPr>
      <w:hyperlink w:anchor="_Toc143770684" w:history="1">
        <w:r w:rsidRPr="009F263C">
          <w:rPr>
            <w:rStyle w:val="Hyperlink"/>
            <w:rtl/>
          </w:rPr>
          <w:t>בי' הקה"י דמערה אב ותולדה בקיבוץ חלקים ואוהל מחובר קצת</w:t>
        </w:r>
      </w:hyperlink>
    </w:p>
    <w:p w14:paraId="3CE04F85" w14:textId="77777777" w:rsidR="00376F67" w:rsidRDefault="00376F67" w:rsidP="00ED704E">
      <w:pPr>
        <w:pStyle w:val="TOC3"/>
        <w:rPr>
          <w:rFonts w:asciiTheme="minorHAnsi" w:eastAsiaTheme="minorEastAsia" w:hAnsiTheme="minorHAnsi" w:cstheme="minorBidi"/>
          <w:sz w:val="22"/>
          <w:szCs w:val="22"/>
          <w:rtl/>
        </w:rPr>
      </w:pPr>
      <w:hyperlink w:anchor="_Toc143770685" w:history="1">
        <w:r w:rsidRPr="009F263C">
          <w:rPr>
            <w:rStyle w:val="Hyperlink"/>
            <w:rtl/>
          </w:rPr>
          <w:t>בי' הקה"י דדך בנין בקיבוץ חלקים וזה חיוב מגבן אך אינו תנאי בגדר בונה ואף מערה בנין גמור</w:t>
        </w:r>
      </w:hyperlink>
    </w:p>
    <w:p w14:paraId="04576B46" w14:textId="77777777" w:rsidR="00376F67" w:rsidRDefault="00376F67" w:rsidP="00ED704E">
      <w:pPr>
        <w:pStyle w:val="TOC3"/>
        <w:rPr>
          <w:rFonts w:asciiTheme="minorHAnsi" w:eastAsiaTheme="minorEastAsia" w:hAnsiTheme="minorHAnsi" w:cstheme="minorBidi"/>
          <w:sz w:val="22"/>
          <w:szCs w:val="22"/>
          <w:rtl/>
        </w:rPr>
      </w:pPr>
      <w:hyperlink w:anchor="_Toc143770686" w:history="1">
        <w:r w:rsidRPr="009F263C">
          <w:rPr>
            <w:rStyle w:val="Hyperlink"/>
            <w:rtl/>
          </w:rPr>
          <w:t>בי' הקה"י דאוהל קבוע הוי תולדה כיון דאינו חיבור גמור לקרקע ואפשר לשולפו ולבטלו</w:t>
        </w:r>
      </w:hyperlink>
    </w:p>
    <w:p w14:paraId="28BB1A9F" w14:textId="77777777" w:rsidR="00376F67" w:rsidRDefault="00376F67" w:rsidP="00ED704E">
      <w:pPr>
        <w:pStyle w:val="TOC3"/>
        <w:rPr>
          <w:rFonts w:asciiTheme="minorHAnsi" w:eastAsiaTheme="minorEastAsia" w:hAnsiTheme="minorHAnsi" w:cstheme="minorBidi"/>
          <w:sz w:val="22"/>
          <w:szCs w:val="22"/>
          <w:rtl/>
        </w:rPr>
      </w:pPr>
      <w:hyperlink w:anchor="_Toc143770687" w:history="1">
        <w:r w:rsidRPr="009F263C">
          <w:rPr>
            <w:rStyle w:val="Hyperlink"/>
            <w:rtl/>
          </w:rPr>
          <w:t>קו' הקה"י דאמאי לול תרנגולין בונה בלי קיבוץ חלקים ואי איירי במחובר צ"ב מה סבר שמואל</w:t>
        </w:r>
      </w:hyperlink>
    </w:p>
    <w:p w14:paraId="2CF91676" w14:textId="77777777" w:rsidR="00376F67" w:rsidRDefault="00376F67" w:rsidP="00376F67">
      <w:pPr>
        <w:keepNext/>
        <w:keepLines/>
        <w:spacing w:after="0" w:line="240" w:lineRule="auto"/>
        <w:jc w:val="center"/>
        <w:outlineLvl w:val="1"/>
        <w:rPr>
          <w:rFonts w:eastAsiaTheme="minorHAnsi" w:cs="Guttman Hodes"/>
          <w:b/>
          <w:bCs/>
          <w:noProof/>
          <w:sz w:val="14"/>
          <w:szCs w:val="14"/>
          <w:rtl/>
        </w:rPr>
        <w:sectPr w:rsidR="00376F67" w:rsidSect="00CA28B3">
          <w:headerReference w:type="even" r:id="rId160"/>
          <w:footerReference w:type="even" r:id="rId161"/>
          <w:footerReference w:type="default" r:id="rId162"/>
          <w:headerReference w:type="first" r:id="rId163"/>
          <w:footerReference w:type="first" r:id="rId164"/>
          <w:type w:val="continuous"/>
          <w:pgSz w:w="11906" w:h="16838"/>
          <w:pgMar w:top="720" w:right="720" w:bottom="720" w:left="720" w:header="283" w:footer="283" w:gutter="0"/>
          <w:cols w:num="2" w:space="113"/>
          <w:titlePg/>
          <w:bidi/>
          <w:rtlGutter/>
          <w:docGrid w:linePitch="299"/>
        </w:sectPr>
      </w:pPr>
      <w:r w:rsidRPr="00224A5A">
        <w:rPr>
          <w:rFonts w:eastAsiaTheme="minorHAnsi" w:cs="Guttman Hodes"/>
          <w:b/>
          <w:bCs/>
          <w:noProof/>
          <w:sz w:val="14"/>
          <w:szCs w:val="14"/>
          <w:rtl/>
        </w:rPr>
        <w:fldChar w:fldCharType="end"/>
      </w:r>
    </w:p>
    <w:p w14:paraId="6ADF7865" w14:textId="77777777" w:rsidR="00376F67" w:rsidRPr="00224A5A" w:rsidRDefault="00376F67" w:rsidP="00376F67">
      <w:pPr>
        <w:keepNext/>
        <w:keepLines/>
        <w:spacing w:after="0" w:line="240" w:lineRule="auto"/>
        <w:jc w:val="center"/>
        <w:outlineLvl w:val="1"/>
        <w:rPr>
          <w:rFonts w:ascii="FrankRuehl" w:eastAsia="Guttman Adii-Light" w:hAnsi="FrankRuehl" w:cs="Guttman Hodes"/>
          <w:b/>
          <w:bCs/>
          <w:noProof/>
          <w:sz w:val="24"/>
          <w:szCs w:val="24"/>
          <w:rtl/>
        </w:rPr>
        <w:sectPr w:rsidR="00376F67" w:rsidRPr="00224A5A" w:rsidSect="00CA28B3">
          <w:type w:val="continuous"/>
          <w:pgSz w:w="11906" w:h="16838"/>
          <w:pgMar w:top="720" w:right="720" w:bottom="720" w:left="720" w:header="283" w:footer="283" w:gutter="0"/>
          <w:cols w:num="2" w:space="113"/>
          <w:titlePg/>
          <w:bidi/>
          <w:rtlGutter/>
          <w:docGrid w:linePitch="299"/>
        </w:sectPr>
      </w:pPr>
    </w:p>
    <w:bookmarkEnd w:id="4414"/>
    <w:p w14:paraId="1A1A9821" w14:textId="77777777" w:rsidR="00376F67" w:rsidRPr="00224A5A" w:rsidRDefault="00376F67" w:rsidP="00376F67">
      <w:pPr>
        <w:spacing w:before="240" w:after="0" w:line="360" w:lineRule="auto"/>
        <w:jc w:val="center"/>
        <w:outlineLvl w:val="1"/>
        <w:rPr>
          <w:rFonts w:ascii="Guttman Adii-Light" w:eastAsia="Guttman Adii-Light" w:hAnsi="Guttman Adii-Light" w:cs="Guttman Hodes"/>
          <w:b/>
          <w:bCs/>
          <w:sz w:val="18"/>
          <w:szCs w:val="28"/>
          <w:rtl/>
        </w:rPr>
        <w:sectPr w:rsidR="00376F67" w:rsidRPr="00224A5A" w:rsidSect="00CA28B3">
          <w:pgSz w:w="11906" w:h="16838"/>
          <w:pgMar w:top="720" w:right="720" w:bottom="720" w:left="720" w:header="283" w:footer="283" w:gutter="0"/>
          <w:cols w:space="720"/>
          <w:bidi/>
          <w:rtlGutter/>
          <w:docGrid w:linePitch="299"/>
        </w:sectPr>
      </w:pPr>
      <w:r w:rsidRPr="00224A5A">
        <w:rPr>
          <w:rFonts w:ascii="Guttman Adii-Light" w:eastAsia="Guttman Adii-Light" w:hAnsi="Guttman Adii-Light" w:cs="Guttman Hodes" w:hint="cs"/>
          <w:b/>
          <w:bCs/>
          <w:sz w:val="18"/>
          <w:szCs w:val="28"/>
          <w:rtl/>
        </w:rPr>
        <w:lastRenderedPageBreak/>
        <w:t>~~~</w:t>
      </w:r>
      <w:r w:rsidRPr="00224A5A">
        <w:rPr>
          <w:rFonts w:ascii="Guttman Adii-Light" w:eastAsia="Guttman Adii-Light" w:hAnsi="Guttman Adii-Light" w:cs="Guttman Hodes"/>
          <w:b/>
          <w:bCs/>
          <w:noProof/>
          <w:sz w:val="18"/>
          <w:szCs w:val="28"/>
          <w:rtl/>
        </w:rPr>
        <w:t>~~</w:t>
      </w:r>
      <w:r w:rsidRPr="00224A5A">
        <w:rPr>
          <w:rFonts w:ascii="Guttman Adii-Light" w:eastAsia="Guttman Adii-Light" w:hAnsi="Guttman Adii-Light" w:cs="Guttman Hodes" w:hint="cs"/>
          <w:b/>
          <w:bCs/>
          <w:sz w:val="18"/>
          <w:szCs w:val="28"/>
          <w:rtl/>
        </w:rPr>
        <w:t>~~ מראי מקומות וביאורים ~~~</w:t>
      </w:r>
      <w:r w:rsidRPr="00224A5A">
        <w:rPr>
          <w:rFonts w:ascii="Guttman Adii-Light" w:eastAsia="Guttman Adii-Light" w:hAnsi="Guttman Adii-Light" w:cs="Guttman Hodes"/>
          <w:b/>
          <w:bCs/>
          <w:noProof/>
          <w:sz w:val="18"/>
          <w:szCs w:val="28"/>
          <w:rtl/>
        </w:rPr>
        <w:t>~~</w:t>
      </w:r>
      <w:r w:rsidRPr="00224A5A">
        <w:rPr>
          <w:rFonts w:ascii="Guttman Adii-Light" w:eastAsia="Guttman Adii-Light" w:hAnsi="Guttman Adii-Light" w:cs="Guttman Hodes" w:hint="cs"/>
          <w:b/>
          <w:bCs/>
          <w:sz w:val="18"/>
          <w:szCs w:val="28"/>
          <w:rtl/>
        </w:rPr>
        <w:t>~~</w:t>
      </w:r>
    </w:p>
    <w:p w14:paraId="094AF0F3" w14:textId="77777777" w:rsidR="00376F67" w:rsidRDefault="00376F67" w:rsidP="00376F67">
      <w:pPr>
        <w:pStyle w:val="affff5"/>
        <w:rPr>
          <w:rtl/>
        </w:rPr>
      </w:pPr>
      <w:bookmarkStart w:id="4416" w:name="_Toc143767746"/>
      <w:bookmarkStart w:id="4417" w:name="_Toc143770567"/>
      <w:r>
        <w:rPr>
          <w:rFonts w:hint="cs"/>
          <w:rtl/>
        </w:rPr>
        <w:t>בגדרי אב דבונה במחובר בדרך בנין</w:t>
      </w:r>
      <w:bookmarkEnd w:id="4416"/>
      <w:bookmarkEnd w:id="4417"/>
      <w:r>
        <w:rPr>
          <w:rFonts w:hint="cs"/>
          <w:rtl/>
        </w:rPr>
        <w:t xml:space="preserve"> </w:t>
      </w:r>
      <w:r w:rsidRPr="0001175D">
        <w:rPr>
          <w:vanish/>
          <w:rtl/>
        </w:rPr>
        <w:t>&lt; # =</w:t>
      </w:r>
    </w:p>
    <w:p w14:paraId="1B0A4E48" w14:textId="77777777" w:rsidR="00376F67" w:rsidRPr="00224A5A" w:rsidRDefault="00376F67" w:rsidP="00376F67">
      <w:pPr>
        <w:pStyle w:val="1"/>
        <w:rPr>
          <w:rtl/>
        </w:rPr>
      </w:pPr>
      <w:bookmarkStart w:id="4418" w:name="_Toc143767747"/>
      <w:bookmarkStart w:id="4419" w:name="_Toc143770568"/>
      <w:r w:rsidRPr="00224A5A">
        <w:rPr>
          <w:rFonts w:hint="cs"/>
          <w:rtl/>
        </w:rPr>
        <w:t xml:space="preserve">בי' </w:t>
      </w:r>
      <w:r>
        <w:rPr>
          <w:rFonts w:hint="cs"/>
          <w:rtl/>
        </w:rPr>
        <w:t>האו"ש ברמב"ם דמשוה פני הקרקע הוי אב דהוא דרך בנין</w:t>
      </w:r>
      <w:bookmarkEnd w:id="4418"/>
      <w:bookmarkEnd w:id="4419"/>
    </w:p>
    <w:p w14:paraId="7569D5E0" w14:textId="77777777" w:rsidR="00376F67" w:rsidRDefault="00376F67" w:rsidP="00376F67">
      <w:pPr>
        <w:pStyle w:val="afffff7"/>
        <w:rPr>
          <w:rtl/>
        </w:rPr>
      </w:pPr>
      <w:bookmarkStart w:id="4420" w:name="_Toc143767630"/>
      <w:bookmarkStart w:id="4421" w:name="_Toc143767867"/>
      <w:bookmarkStart w:id="4422" w:name="_Toc163506056"/>
      <w:r>
        <w:rPr>
          <w:rtl/>
        </w:rPr>
        <w:t>רמב"ם שבת פ"י הי"ב</w:t>
      </w:r>
      <w:bookmarkEnd w:id="4420"/>
      <w:bookmarkEnd w:id="4421"/>
      <w:bookmarkEnd w:id="4422"/>
    </w:p>
    <w:p w14:paraId="783EFBA4" w14:textId="77777777" w:rsidR="00376F67" w:rsidRDefault="00376F67" w:rsidP="00376F67">
      <w:pPr>
        <w:pStyle w:val="a7"/>
        <w:rPr>
          <w:rtl/>
        </w:rPr>
      </w:pPr>
      <w:bookmarkStart w:id="4423" w:name="_Toc143767748"/>
      <w:bookmarkStart w:id="4424" w:name="_Toc143770569"/>
      <w:r>
        <w:rPr>
          <w:rFonts w:hint="cs"/>
          <w:rtl/>
        </w:rPr>
        <w:t>בי' הרמב"ם דמשוה פני הקרקע הוי בונה ובי' האבאה"ז דאף דלא קיבץ חלקים הוא מלאכת בנין</w:t>
      </w:r>
      <w:bookmarkEnd w:id="4423"/>
      <w:bookmarkEnd w:id="4424"/>
    </w:p>
    <w:p w14:paraId="2348B9CB" w14:textId="3840F0DF" w:rsidR="00376F67" w:rsidRDefault="00376F67" w:rsidP="00AD16A0">
      <w:pPr>
        <w:pStyle w:val="a3"/>
        <w:numPr>
          <w:ilvl w:val="0"/>
          <w:numId w:val="28"/>
        </w:numPr>
      </w:pPr>
      <w:bookmarkStart w:id="4425" w:name="_Ref143447427"/>
      <w:r>
        <w:rPr>
          <w:rFonts w:hint="cs"/>
          <w:rtl/>
        </w:rPr>
        <w:t xml:space="preserve">כתב </w:t>
      </w:r>
      <w:bookmarkStart w:id="4426" w:name="_Hlk141175723"/>
      <w:r w:rsidRPr="00BC7DC8">
        <w:rPr>
          <w:rStyle w:val="aff4"/>
          <w:rFonts w:hint="cs"/>
          <w:vanish/>
          <w:rtl/>
        </w:rPr>
        <w:t>-</w:t>
      </w:r>
      <w:r w:rsidRPr="001A2014">
        <w:rPr>
          <w:rStyle w:val="aff4"/>
          <w:rFonts w:hint="cs"/>
          <w:rtl/>
        </w:rPr>
        <w:t>ה</w:t>
      </w:r>
      <w:bookmarkStart w:id="4427" w:name="_Hlk141953791"/>
      <w:r w:rsidRPr="00BC7DC8">
        <w:rPr>
          <w:rStyle w:val="aff4"/>
          <w:rFonts w:hint="cs"/>
          <w:vanish/>
          <w:rtl/>
        </w:rPr>
        <w:t xml:space="preserve">&lt;, </w:t>
      </w:r>
      <w:r w:rsidRPr="00BC7DC8">
        <w:rPr>
          <w:rStyle w:val="aff4"/>
          <w:vanish/>
          <w:rtl/>
        </w:rPr>
        <w:fldChar w:fldCharType="begin"/>
      </w:r>
      <w:r w:rsidRPr="00BC7DC8">
        <w:rPr>
          <w:rStyle w:val="aff4"/>
          <w:vanish/>
          <w:rtl/>
        </w:rPr>
        <w:instrText xml:space="preserve"> </w:instrText>
      </w:r>
      <w:r w:rsidRPr="00BC7DC8">
        <w:rPr>
          <w:rStyle w:val="aff4"/>
          <w:rFonts w:hint="cs"/>
          <w:vanish/>
        </w:rPr>
        <w:instrText>REF</w:instrText>
      </w:r>
      <w:r w:rsidRPr="00BC7DC8">
        <w:rPr>
          <w:rStyle w:val="aff4"/>
          <w:rFonts w:hint="cs"/>
          <w:vanish/>
          <w:rtl/>
        </w:rPr>
        <w:instrText xml:space="preserve"> _</w:instrText>
      </w:r>
      <w:r w:rsidRPr="00BC7DC8">
        <w:rPr>
          <w:rStyle w:val="aff4"/>
          <w:rFonts w:hint="cs"/>
          <w:vanish/>
        </w:rPr>
        <w:instrText>Ref143447427 \r \h</w:instrText>
      </w:r>
      <w:r w:rsidRPr="00BC7DC8">
        <w:rPr>
          <w:rStyle w:val="aff4"/>
          <w:vanish/>
          <w:rtl/>
        </w:rPr>
        <w:instrText xml:space="preserve">  \* </w:instrText>
      </w:r>
      <w:r w:rsidRPr="00BC7DC8">
        <w:rPr>
          <w:rStyle w:val="aff4"/>
          <w:vanish/>
        </w:rPr>
        <w:instrText>MERGEFORMAT</w:instrText>
      </w:r>
      <w:r w:rsidRPr="00BC7DC8">
        <w:rPr>
          <w:rStyle w:val="aff4"/>
          <w:vanish/>
          <w:rtl/>
        </w:rPr>
        <w:instrText xml:space="preserve"> </w:instrText>
      </w:r>
      <w:r w:rsidRPr="00FF7D8F">
        <w:rPr>
          <w:rStyle w:val="aff4"/>
          <w:vanish/>
          <w:rtl/>
        </w:rPr>
      </w:r>
      <w:r w:rsidRPr="00BC7DC8">
        <w:rPr>
          <w:rStyle w:val="aff4"/>
          <w:vanish/>
          <w:rtl/>
        </w:rPr>
        <w:fldChar w:fldCharType="separate"/>
      </w:r>
      <w:r w:rsidR="00D82181">
        <w:rPr>
          <w:rStyle w:val="aff4"/>
          <w:vanish/>
          <w:cs/>
        </w:rPr>
        <w:t>‎</w:t>
      </w:r>
      <w:r w:rsidR="00D82181">
        <w:rPr>
          <w:rStyle w:val="aff4"/>
          <w:vanish/>
          <w:rtl/>
        </w:rPr>
        <w:t>א)</w:t>
      </w:r>
      <w:r w:rsidRPr="00BC7DC8">
        <w:rPr>
          <w:rStyle w:val="aff4"/>
          <w:vanish/>
          <w:rtl/>
        </w:rPr>
        <w:fldChar w:fldCharType="end"/>
      </w:r>
      <w:r w:rsidRPr="00BC7DC8">
        <w:rPr>
          <w:rStyle w:val="aff4"/>
          <w:rFonts w:hint="cs"/>
          <w:vanish/>
          <w:rtl/>
        </w:rPr>
        <w:t xml:space="preserve"> &gt;</w:t>
      </w:r>
      <w:r w:rsidRPr="001A2014">
        <w:rPr>
          <w:rStyle w:val="aff4"/>
          <w:rFonts w:hint="cs"/>
          <w:rtl/>
        </w:rPr>
        <w:t>רמב"ם</w:t>
      </w:r>
      <w:r w:rsidRPr="00BC7DC8">
        <w:rPr>
          <w:rStyle w:val="aff4"/>
          <w:rFonts w:hint="cs"/>
          <w:vanish/>
          <w:rtl/>
        </w:rPr>
        <w:t>-</w:t>
      </w:r>
      <w:r>
        <w:rPr>
          <w:rFonts w:hint="cs"/>
          <w:rtl/>
        </w:rPr>
        <w:t xml:space="preserve"> </w:t>
      </w:r>
      <w:r w:rsidRPr="00BC7DC8">
        <w:rPr>
          <w:rStyle w:val="af2"/>
          <w:rFonts w:eastAsia="Guttman Hodes" w:hint="cs"/>
          <w:rtl/>
        </w:rPr>
        <w:t>(</w:t>
      </w:r>
      <w:bookmarkEnd w:id="4427"/>
      <w:r w:rsidRPr="00BC7DC8">
        <w:rPr>
          <w:rStyle w:val="af2"/>
          <w:rFonts w:eastAsia="Guttman Hodes" w:hint="cs"/>
          <w:rtl/>
        </w:rPr>
        <w:t>שבת פ"י הי"ב)</w:t>
      </w:r>
      <w:r w:rsidRPr="00BC7DC8">
        <w:rPr>
          <w:rFonts w:hint="cs"/>
          <w:vanish/>
          <w:rtl/>
        </w:rPr>
        <w:t>=</w:t>
      </w:r>
      <w:r>
        <w:rPr>
          <w:rFonts w:hint="cs"/>
          <w:rtl/>
        </w:rPr>
        <w:t xml:space="preserve"> דבונה חייב בכל שהוא, והמשוה את פני הקרקע בבית, כגון שמשפיל גבשושית או ממלא גומא ה"ז בונה וחייב</w:t>
      </w:r>
      <w:bookmarkEnd w:id="4426"/>
      <w:r>
        <w:rPr>
          <w:rFonts w:hint="cs"/>
          <w:rtl/>
        </w:rPr>
        <w:t xml:space="preserve">, ועי' במ"ש </w:t>
      </w:r>
      <w:r w:rsidRPr="00BC7DC8">
        <w:rPr>
          <w:rStyle w:val="aff4"/>
          <w:rFonts w:hint="cs"/>
          <w:vanish/>
          <w:rtl/>
        </w:rPr>
        <w:t>-</w:t>
      </w:r>
      <w:r w:rsidRPr="001A2014">
        <w:rPr>
          <w:rStyle w:val="aff4"/>
          <w:rFonts w:hint="cs"/>
          <w:rtl/>
        </w:rPr>
        <w:t>ה</w:t>
      </w:r>
      <w:r w:rsidRPr="00BC7DC8">
        <w:rPr>
          <w:rStyle w:val="aff4"/>
          <w:rFonts w:hint="cs"/>
          <w:vanish/>
          <w:rtl/>
        </w:rPr>
        <w:t>&lt; &gt;</w:t>
      </w:r>
      <w:r w:rsidRPr="001A2014">
        <w:rPr>
          <w:rStyle w:val="aff4"/>
          <w:rtl/>
        </w:rPr>
        <w:t>אבן האזל</w:t>
      </w:r>
      <w:r w:rsidRPr="00BC7DC8">
        <w:rPr>
          <w:rStyle w:val="aff4"/>
          <w:rFonts w:hint="cs"/>
          <w:vanish/>
          <w:rtl/>
        </w:rPr>
        <w:t>-</w:t>
      </w:r>
      <w:r w:rsidRPr="00D84458">
        <w:rPr>
          <w:rtl/>
        </w:rPr>
        <w:t xml:space="preserve"> </w:t>
      </w:r>
      <w:r w:rsidRPr="00BC7DC8">
        <w:rPr>
          <w:rStyle w:val="af2"/>
          <w:rFonts w:eastAsia="Guttman Hodes" w:hint="cs"/>
          <w:rtl/>
        </w:rPr>
        <w:t xml:space="preserve">(עי' אות </w:t>
      </w:r>
      <w:r w:rsidRPr="00BC7DC8">
        <w:rPr>
          <w:rStyle w:val="af2"/>
          <w:rFonts w:eastAsia="Guttman Hodes"/>
          <w:rtl/>
        </w:rPr>
        <w:fldChar w:fldCharType="begin"/>
      </w:r>
      <w:r w:rsidRPr="00BC7DC8">
        <w:rPr>
          <w:rStyle w:val="af2"/>
          <w:rFonts w:eastAsia="Guttman Hodes"/>
          <w:rtl/>
        </w:rPr>
        <w:instrText xml:space="preserve"> </w:instrText>
      </w:r>
      <w:r w:rsidRPr="00BC7DC8">
        <w:rPr>
          <w:rStyle w:val="af2"/>
          <w:rFonts w:eastAsia="Guttman Hodes" w:hint="cs"/>
        </w:rPr>
        <w:instrText>REF</w:instrText>
      </w:r>
      <w:r w:rsidRPr="00BC7DC8">
        <w:rPr>
          <w:rStyle w:val="af2"/>
          <w:rFonts w:eastAsia="Guttman Hodes" w:hint="cs"/>
          <w:rtl/>
        </w:rPr>
        <w:instrText xml:space="preserve"> _</w:instrText>
      </w:r>
      <w:r w:rsidRPr="00BC7DC8">
        <w:rPr>
          <w:rStyle w:val="af2"/>
          <w:rFonts w:eastAsia="Guttman Hodes" w:hint="cs"/>
        </w:rPr>
        <w:instrText>Ref140828580 \r \h</w:instrText>
      </w:r>
      <w:r w:rsidRPr="00BC7DC8">
        <w:rPr>
          <w:rStyle w:val="af2"/>
          <w:rFonts w:eastAsia="Guttman Hodes"/>
          <w:rtl/>
        </w:rPr>
        <w:instrText xml:space="preserve"> </w:instrText>
      </w:r>
      <w:r w:rsidRPr="00DB1D3B">
        <w:rPr>
          <w:rStyle w:val="af2"/>
          <w:rFonts w:eastAsia="Guttman Hodes"/>
          <w:rtl/>
        </w:rPr>
      </w:r>
      <w:r w:rsidRPr="00BC7DC8">
        <w:rPr>
          <w:rStyle w:val="af2"/>
          <w:rFonts w:eastAsia="Guttman Hodes"/>
          <w:rtl/>
        </w:rPr>
        <w:fldChar w:fldCharType="separate"/>
      </w:r>
      <w:r w:rsidR="00D82181">
        <w:rPr>
          <w:rStyle w:val="af2"/>
          <w:rFonts w:eastAsia="Guttman Hodes"/>
          <w:cs/>
        </w:rPr>
        <w:t>‎</w:t>
      </w:r>
      <w:r w:rsidR="00D82181">
        <w:rPr>
          <w:rStyle w:val="af2"/>
          <w:rFonts w:eastAsia="Guttman Hodes"/>
          <w:rtl/>
        </w:rPr>
        <w:t>סח)</w:t>
      </w:r>
      <w:r w:rsidRPr="00BC7DC8">
        <w:rPr>
          <w:rStyle w:val="af2"/>
          <w:rFonts w:eastAsia="Guttman Hodes"/>
          <w:rtl/>
        </w:rPr>
        <w:fldChar w:fldCharType="end"/>
      </w:r>
      <w:r w:rsidRPr="00BC7DC8">
        <w:rPr>
          <w:rFonts w:hint="cs"/>
          <w:vanish/>
          <w:rtl/>
        </w:rPr>
        <w:t>=</w:t>
      </w:r>
      <w:r>
        <w:rPr>
          <w:rFonts w:hint="cs"/>
          <w:rtl/>
        </w:rPr>
        <w:t xml:space="preserve"> דמשמע מדברי </w:t>
      </w:r>
      <w:r w:rsidRPr="00BC7DC8">
        <w:rPr>
          <w:rStyle w:val="aff4"/>
          <w:rFonts w:hint="cs"/>
          <w:vanish/>
          <w:rtl/>
        </w:rPr>
        <w:t>-</w:t>
      </w:r>
      <w:r w:rsidRPr="001A2014">
        <w:rPr>
          <w:rStyle w:val="aff4"/>
          <w:rFonts w:hint="cs"/>
          <w:rtl/>
        </w:rPr>
        <w:t>הרמב"ם</w:t>
      </w:r>
      <w:r w:rsidRPr="00BC7DC8">
        <w:rPr>
          <w:rStyle w:val="aff4"/>
          <w:rFonts w:hint="cs"/>
          <w:vanish/>
          <w:rtl/>
        </w:rPr>
        <w:t>-</w:t>
      </w:r>
      <w:r>
        <w:rPr>
          <w:rFonts w:hint="cs"/>
          <w:rtl/>
        </w:rPr>
        <w:t xml:space="preserve"> דמשוה פני הקרקע הוא אב דבונה, ועיי"ש במה שביאר </w:t>
      </w:r>
      <w:r w:rsidRPr="00BC7DC8">
        <w:rPr>
          <w:rStyle w:val="aff4"/>
          <w:rFonts w:hint="cs"/>
          <w:vanish/>
          <w:rtl/>
        </w:rPr>
        <w:t>-</w:t>
      </w:r>
      <w:r w:rsidRPr="001A2014">
        <w:rPr>
          <w:rStyle w:val="aff4"/>
          <w:rFonts w:hint="cs"/>
          <w:rtl/>
        </w:rPr>
        <w:t>ה</w:t>
      </w:r>
      <w:r w:rsidRPr="001A2014">
        <w:rPr>
          <w:rStyle w:val="aff4"/>
          <w:rtl/>
        </w:rPr>
        <w:t>אבן האזל</w:t>
      </w:r>
      <w:r w:rsidRPr="00BC7DC8">
        <w:rPr>
          <w:rStyle w:val="aff4"/>
          <w:rFonts w:hint="cs"/>
          <w:vanish/>
          <w:rtl/>
        </w:rPr>
        <w:t>-</w:t>
      </w:r>
      <w:r w:rsidRPr="00D84458">
        <w:rPr>
          <w:rtl/>
        </w:rPr>
        <w:t xml:space="preserve"> </w:t>
      </w:r>
      <w:r w:rsidRPr="00BC7DC8">
        <w:rPr>
          <w:rStyle w:val="af2"/>
          <w:rFonts w:eastAsia="Guttman Hodes" w:hint="cs"/>
          <w:rtl/>
        </w:rPr>
        <w:t xml:space="preserve">(עי' אות </w:t>
      </w:r>
      <w:r w:rsidRPr="00BC7DC8">
        <w:rPr>
          <w:rStyle w:val="af2"/>
          <w:rFonts w:eastAsia="Guttman Hodes"/>
          <w:rtl/>
        </w:rPr>
        <w:fldChar w:fldCharType="begin"/>
      </w:r>
      <w:r w:rsidRPr="00BC7DC8">
        <w:rPr>
          <w:rStyle w:val="af2"/>
          <w:rFonts w:eastAsia="Guttman Hodes"/>
          <w:rtl/>
        </w:rPr>
        <w:instrText xml:space="preserve"> </w:instrText>
      </w:r>
      <w:r w:rsidRPr="00BC7DC8">
        <w:rPr>
          <w:rStyle w:val="af2"/>
          <w:rFonts w:eastAsia="Guttman Hodes" w:hint="cs"/>
        </w:rPr>
        <w:instrText>REF</w:instrText>
      </w:r>
      <w:r w:rsidRPr="00BC7DC8">
        <w:rPr>
          <w:rStyle w:val="af2"/>
          <w:rFonts w:eastAsia="Guttman Hodes" w:hint="cs"/>
          <w:rtl/>
        </w:rPr>
        <w:instrText xml:space="preserve"> _</w:instrText>
      </w:r>
      <w:r w:rsidRPr="00BC7DC8">
        <w:rPr>
          <w:rStyle w:val="af2"/>
          <w:rFonts w:eastAsia="Guttman Hodes" w:hint="cs"/>
        </w:rPr>
        <w:instrText>Ref143613959 \r \h</w:instrText>
      </w:r>
      <w:r w:rsidRPr="00BC7DC8">
        <w:rPr>
          <w:rStyle w:val="af2"/>
          <w:rFonts w:eastAsia="Guttman Hodes"/>
          <w:rtl/>
        </w:rPr>
        <w:instrText xml:space="preserve"> </w:instrText>
      </w:r>
      <w:r>
        <w:rPr>
          <w:rStyle w:val="af2"/>
          <w:rFonts w:eastAsia="Guttman Hodes"/>
          <w:rtl/>
        </w:rPr>
      </w:r>
      <w:r w:rsidRPr="00BC7DC8">
        <w:rPr>
          <w:rStyle w:val="af2"/>
          <w:rFonts w:eastAsia="Guttman Hodes"/>
          <w:rtl/>
        </w:rPr>
        <w:fldChar w:fldCharType="separate"/>
      </w:r>
      <w:r w:rsidR="00D82181">
        <w:rPr>
          <w:rStyle w:val="af2"/>
          <w:rFonts w:eastAsia="Guttman Hodes"/>
          <w:cs/>
        </w:rPr>
        <w:t>‎</w:t>
      </w:r>
      <w:r w:rsidR="00D82181">
        <w:rPr>
          <w:rStyle w:val="af2"/>
          <w:rFonts w:eastAsia="Guttman Hodes"/>
          <w:rtl/>
        </w:rPr>
        <w:t>סט)</w:t>
      </w:r>
      <w:r w:rsidRPr="00BC7DC8">
        <w:rPr>
          <w:rStyle w:val="af2"/>
          <w:rFonts w:eastAsia="Guttman Hodes"/>
          <w:rtl/>
        </w:rPr>
        <w:fldChar w:fldCharType="end"/>
      </w:r>
      <w:r>
        <w:rPr>
          <w:rFonts w:hint="cs"/>
          <w:rtl/>
        </w:rPr>
        <w:t xml:space="preserve"> דאף דמדברי </w:t>
      </w:r>
      <w:r w:rsidRPr="00BC7DC8">
        <w:rPr>
          <w:rStyle w:val="aff4"/>
          <w:rFonts w:hint="cs"/>
          <w:vanish/>
          <w:rtl/>
        </w:rPr>
        <w:t>-</w:t>
      </w:r>
      <w:r w:rsidRPr="001A2014">
        <w:rPr>
          <w:rStyle w:val="aff4"/>
          <w:rFonts w:hint="cs"/>
          <w:rtl/>
        </w:rPr>
        <w:t>הרמב"ם</w:t>
      </w:r>
      <w:r w:rsidRPr="00BC7DC8">
        <w:rPr>
          <w:rStyle w:val="aff4"/>
          <w:rFonts w:hint="cs"/>
          <w:vanish/>
          <w:rtl/>
        </w:rPr>
        <w:t>-</w:t>
      </w:r>
      <w:r>
        <w:rPr>
          <w:rFonts w:hint="cs"/>
          <w:rtl/>
        </w:rPr>
        <w:t xml:space="preserve"> </w:t>
      </w:r>
      <w:r w:rsidRPr="00BC7DC8">
        <w:rPr>
          <w:rStyle w:val="af2"/>
          <w:rFonts w:eastAsia="Guttman Hodes" w:hint="cs"/>
          <w:rtl/>
        </w:rPr>
        <w:t xml:space="preserve">(עי' אות </w:t>
      </w:r>
      <w:r w:rsidRPr="00BC7DC8">
        <w:rPr>
          <w:rStyle w:val="af2"/>
          <w:rFonts w:eastAsia="Guttman Hodes"/>
          <w:rtl/>
        </w:rPr>
        <w:fldChar w:fldCharType="begin"/>
      </w:r>
      <w:r w:rsidRPr="00BC7DC8">
        <w:rPr>
          <w:rStyle w:val="af2"/>
          <w:rFonts w:eastAsia="Guttman Hodes"/>
          <w:rtl/>
        </w:rPr>
        <w:instrText xml:space="preserve"> </w:instrText>
      </w:r>
      <w:r w:rsidRPr="00BC7DC8">
        <w:rPr>
          <w:rStyle w:val="af2"/>
          <w:rFonts w:eastAsia="Guttman Hodes" w:hint="cs"/>
        </w:rPr>
        <w:instrText>REF</w:instrText>
      </w:r>
      <w:r w:rsidRPr="00BC7DC8">
        <w:rPr>
          <w:rStyle w:val="af2"/>
          <w:rFonts w:eastAsia="Guttman Hodes" w:hint="cs"/>
          <w:rtl/>
        </w:rPr>
        <w:instrText xml:space="preserve"> _</w:instrText>
      </w:r>
      <w:r w:rsidRPr="00BC7DC8">
        <w:rPr>
          <w:rStyle w:val="af2"/>
          <w:rFonts w:eastAsia="Guttman Hodes" w:hint="cs"/>
        </w:rPr>
        <w:instrText>Ref143549459 \r \h</w:instrText>
      </w:r>
      <w:r w:rsidRPr="00BC7DC8">
        <w:rPr>
          <w:rStyle w:val="af2"/>
          <w:rFonts w:eastAsia="Guttman Hodes"/>
          <w:rtl/>
        </w:rPr>
        <w:instrText xml:space="preserve"> </w:instrText>
      </w:r>
      <w:r>
        <w:rPr>
          <w:rStyle w:val="af2"/>
          <w:rFonts w:eastAsia="Guttman Hodes"/>
          <w:rtl/>
        </w:rPr>
      </w:r>
      <w:r w:rsidRPr="00BC7DC8">
        <w:rPr>
          <w:rStyle w:val="af2"/>
          <w:rFonts w:eastAsia="Guttman Hodes"/>
          <w:rtl/>
        </w:rPr>
        <w:fldChar w:fldCharType="separate"/>
      </w:r>
      <w:r w:rsidR="00D82181">
        <w:rPr>
          <w:rStyle w:val="af2"/>
          <w:rFonts w:eastAsia="Guttman Hodes"/>
          <w:cs/>
        </w:rPr>
        <w:t>‎</w:t>
      </w:r>
      <w:r w:rsidR="00D82181">
        <w:rPr>
          <w:rStyle w:val="af2"/>
          <w:rFonts w:eastAsia="Guttman Hodes"/>
          <w:rtl/>
        </w:rPr>
        <w:t>כה)</w:t>
      </w:r>
      <w:r w:rsidRPr="00BC7DC8">
        <w:rPr>
          <w:rStyle w:val="af2"/>
          <w:rFonts w:eastAsia="Guttman Hodes"/>
          <w:rtl/>
        </w:rPr>
        <w:fldChar w:fldCharType="end"/>
      </w:r>
      <w:r>
        <w:rPr>
          <w:rFonts w:hint="cs"/>
          <w:rtl/>
        </w:rPr>
        <w:t xml:space="preserve"> בדין עושה אוהל ומגבן, מבואר דגדר בונה הוא בעשיית אוהל ובקיבוץ חלקים, מ"מ במשוה פני הקרקע  בתוך בית שכבר היה בנוי ע"י קיבוץ חלקים ועשיית אוהל, הוא נקרא בכלל מלאכת בנין, וע"ע במ"ש </w:t>
      </w:r>
      <w:r w:rsidRPr="00BC7DC8">
        <w:rPr>
          <w:rStyle w:val="aff4"/>
          <w:rFonts w:hint="cs"/>
          <w:vanish/>
          <w:rtl/>
        </w:rPr>
        <w:t>-</w:t>
      </w:r>
      <w:r w:rsidRPr="00013089">
        <w:rPr>
          <w:rStyle w:val="aff4"/>
          <w:rFonts w:hint="cs"/>
          <w:rtl/>
        </w:rPr>
        <w:t>ה</w:t>
      </w:r>
      <w:r w:rsidRPr="00BC7DC8">
        <w:rPr>
          <w:rStyle w:val="aff4"/>
          <w:rFonts w:hint="cs"/>
          <w:vanish/>
          <w:rtl/>
        </w:rPr>
        <w:t>&lt; &gt;</w:t>
      </w:r>
      <w:r w:rsidRPr="00013089">
        <w:rPr>
          <w:rStyle w:val="aff4"/>
          <w:rFonts w:hint="cs"/>
          <w:rtl/>
        </w:rPr>
        <w:t>קה"י</w:t>
      </w:r>
      <w:r w:rsidRPr="00BC7DC8">
        <w:rPr>
          <w:rStyle w:val="aff4"/>
          <w:rFonts w:hint="cs"/>
          <w:vanish/>
          <w:rtl/>
        </w:rPr>
        <w:t>-</w:t>
      </w:r>
      <w:r>
        <w:rPr>
          <w:rFonts w:hint="cs"/>
          <w:rtl/>
        </w:rPr>
        <w:t xml:space="preserve"> </w:t>
      </w:r>
      <w:r w:rsidRPr="00BC7DC8">
        <w:rPr>
          <w:rStyle w:val="af2"/>
          <w:rFonts w:eastAsia="Guttman Hodes" w:hint="cs"/>
          <w:rtl/>
        </w:rPr>
        <w:t xml:space="preserve">(עי' אות </w:t>
      </w:r>
      <w:r w:rsidRPr="00BC7DC8">
        <w:rPr>
          <w:rStyle w:val="af2"/>
          <w:rFonts w:eastAsia="Guttman Hodes"/>
          <w:rtl/>
        </w:rPr>
        <w:fldChar w:fldCharType="begin"/>
      </w:r>
      <w:r w:rsidRPr="00BC7DC8">
        <w:rPr>
          <w:rStyle w:val="af2"/>
          <w:rFonts w:eastAsia="Guttman Hodes"/>
          <w:rtl/>
        </w:rPr>
        <w:instrText xml:space="preserve"> </w:instrText>
      </w:r>
      <w:r w:rsidRPr="00BC7DC8">
        <w:rPr>
          <w:rStyle w:val="af2"/>
          <w:rFonts w:eastAsia="Guttman Hodes" w:hint="cs"/>
        </w:rPr>
        <w:instrText>REF</w:instrText>
      </w:r>
      <w:r w:rsidRPr="00BC7DC8">
        <w:rPr>
          <w:rStyle w:val="af2"/>
          <w:rFonts w:eastAsia="Guttman Hodes" w:hint="cs"/>
          <w:rtl/>
        </w:rPr>
        <w:instrText xml:space="preserve"> _</w:instrText>
      </w:r>
      <w:r w:rsidRPr="00BC7DC8">
        <w:rPr>
          <w:rStyle w:val="af2"/>
          <w:rFonts w:eastAsia="Guttman Hodes" w:hint="cs"/>
        </w:rPr>
        <w:instrText>Ref143613976 \r \h</w:instrText>
      </w:r>
      <w:r w:rsidRPr="00BC7DC8">
        <w:rPr>
          <w:rStyle w:val="af2"/>
          <w:rFonts w:eastAsia="Guttman Hodes"/>
          <w:rtl/>
        </w:rPr>
        <w:instrText xml:space="preserve"> </w:instrText>
      </w:r>
      <w:r>
        <w:rPr>
          <w:rStyle w:val="af2"/>
          <w:rFonts w:eastAsia="Guttman Hodes"/>
          <w:rtl/>
        </w:rPr>
      </w:r>
      <w:r w:rsidRPr="00BC7DC8">
        <w:rPr>
          <w:rStyle w:val="af2"/>
          <w:rFonts w:eastAsia="Guttman Hodes"/>
          <w:rtl/>
        </w:rPr>
        <w:fldChar w:fldCharType="separate"/>
      </w:r>
      <w:r w:rsidR="00D82181">
        <w:rPr>
          <w:rStyle w:val="af2"/>
          <w:rFonts w:eastAsia="Guttman Hodes"/>
          <w:cs/>
        </w:rPr>
        <w:t>‎</w:t>
      </w:r>
      <w:r w:rsidR="00D82181">
        <w:rPr>
          <w:rStyle w:val="af2"/>
          <w:rFonts w:eastAsia="Guttman Hodes"/>
          <w:rtl/>
        </w:rPr>
        <w:t>פ)</w:t>
      </w:r>
      <w:r w:rsidRPr="00BC7DC8">
        <w:rPr>
          <w:rStyle w:val="af2"/>
          <w:rFonts w:eastAsia="Guttman Hodes"/>
          <w:rtl/>
        </w:rPr>
        <w:fldChar w:fldCharType="end"/>
      </w:r>
      <w:r w:rsidRPr="00BC7DC8">
        <w:rPr>
          <w:rFonts w:hint="cs"/>
          <w:vanish/>
          <w:rtl/>
        </w:rPr>
        <w:t>=</w:t>
      </w:r>
      <w:r>
        <w:rPr>
          <w:rFonts w:hint="cs"/>
          <w:rtl/>
        </w:rPr>
        <w:t xml:space="preserve"> בזה.</w:t>
      </w:r>
      <w:bookmarkEnd w:id="4425"/>
    </w:p>
    <w:p w14:paraId="380C53EC" w14:textId="77777777" w:rsidR="00376F67" w:rsidRPr="0074694D" w:rsidRDefault="00376F67" w:rsidP="00376F67">
      <w:pPr>
        <w:pStyle w:val="a2"/>
        <w:tabs>
          <w:tab w:val="num" w:pos="284"/>
        </w:tabs>
        <w:rPr>
          <w:vanish w:val="0"/>
          <w:rtl/>
        </w:rPr>
      </w:pPr>
      <w:r w:rsidRPr="0074694D">
        <w:rPr>
          <w:rtl/>
        </w:rPr>
        <w:t>הבונה כל שהוא חייב, המשוה פני הקרקע בבית כגון שהשפיל תל או מילא גיא הרי זה בונה וחייב</w:t>
      </w:r>
      <w:r w:rsidRPr="0074694D">
        <w:rPr>
          <w:rFonts w:hint="cs"/>
          <w:rtl/>
        </w:rPr>
        <w:t>.</w:t>
      </w:r>
    </w:p>
    <w:p w14:paraId="4BFC60E5" w14:textId="77777777" w:rsidR="00376F67" w:rsidRDefault="00376F67" w:rsidP="00376F67">
      <w:pPr>
        <w:pStyle w:val="afffff7"/>
        <w:rPr>
          <w:rtl/>
        </w:rPr>
      </w:pPr>
      <w:bookmarkStart w:id="4428" w:name="_Toc143767868"/>
      <w:bookmarkStart w:id="4429" w:name="_Toc163506057"/>
      <w:r>
        <w:rPr>
          <w:rtl/>
        </w:rPr>
        <w:t>אור שמח שבת פ"י הי"ב</w:t>
      </w:r>
      <w:r>
        <w:rPr>
          <w:rFonts w:hint="cs"/>
          <w:rtl/>
        </w:rPr>
        <w:t xml:space="preserve"> ד"ה </w:t>
      </w:r>
      <w:r>
        <w:rPr>
          <w:rtl/>
        </w:rPr>
        <w:t>וכבר כתבתי</w:t>
      </w:r>
      <w:bookmarkEnd w:id="4428"/>
      <w:bookmarkEnd w:id="4429"/>
    </w:p>
    <w:p w14:paraId="2C1E1B11" w14:textId="77777777" w:rsidR="00376F67" w:rsidRDefault="00376F67" w:rsidP="00376F67">
      <w:pPr>
        <w:pStyle w:val="a7"/>
        <w:rPr>
          <w:rtl/>
        </w:rPr>
      </w:pPr>
      <w:bookmarkStart w:id="4430" w:name="_Toc143767749"/>
      <w:bookmarkStart w:id="4431" w:name="_Toc143770570"/>
      <w:r>
        <w:rPr>
          <w:rFonts w:hint="cs"/>
          <w:rtl/>
        </w:rPr>
        <w:t>בי' האו"ש דבדרך בנין חייב אף כשאינו אוהל כלל כגומא ומניח אבן והוי אב וזה החיוב בקרדום</w:t>
      </w:r>
      <w:bookmarkEnd w:id="4430"/>
      <w:bookmarkEnd w:id="4431"/>
    </w:p>
    <w:p w14:paraId="1A0127E8" w14:textId="3A1F92B8" w:rsidR="00376F67" w:rsidRPr="003B0DB5" w:rsidRDefault="00376F67" w:rsidP="00BC7DC8">
      <w:pPr>
        <w:pStyle w:val="a3"/>
        <w:rPr>
          <w:rStyle w:val="af"/>
        </w:rPr>
      </w:pPr>
      <w:bookmarkStart w:id="4432" w:name="_Ref143614061"/>
      <w:bookmarkStart w:id="4433" w:name="_Ref143446850"/>
      <w:r>
        <w:rPr>
          <w:rFonts w:hint="cs"/>
          <w:rtl/>
        </w:rPr>
        <w:t xml:space="preserve">כתב </w:t>
      </w:r>
      <w:r w:rsidRPr="007A0BC0">
        <w:rPr>
          <w:rStyle w:val="aff4"/>
          <w:rFonts w:hint="cs"/>
          <w:vanish/>
          <w:rtl/>
        </w:rPr>
        <w:t>-</w:t>
      </w:r>
      <w:r w:rsidRPr="001A2014">
        <w:rPr>
          <w:rStyle w:val="aff4"/>
          <w:rFonts w:hint="cs"/>
          <w:rtl/>
        </w:rPr>
        <w:t>ה</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Ref143446850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ב)</w:t>
      </w:r>
      <w:r w:rsidRPr="00FF7D8F">
        <w:rPr>
          <w:rStyle w:val="aff4"/>
          <w:vanish/>
          <w:rtl/>
        </w:rPr>
        <w:fldChar w:fldCharType="end"/>
      </w:r>
      <w:r w:rsidRPr="00FF7D8F">
        <w:rPr>
          <w:rStyle w:val="aff4"/>
          <w:rFonts w:hint="cs"/>
          <w:vanish/>
          <w:rtl/>
        </w:rPr>
        <w:t xml:space="preserve"> &gt;</w:t>
      </w:r>
      <w:r w:rsidRPr="001A2014">
        <w:rPr>
          <w:rStyle w:val="aff4"/>
          <w:rFonts w:hint="cs"/>
          <w:rtl/>
        </w:rPr>
        <w:t>או"ש</w:t>
      </w:r>
      <w:r w:rsidRPr="007A0BC0">
        <w:rPr>
          <w:rStyle w:val="aff4"/>
          <w:rFonts w:hint="cs"/>
          <w:vanish/>
          <w:rtl/>
        </w:rPr>
        <w:t>-</w:t>
      </w:r>
      <w:r>
        <w:rPr>
          <w:rFonts w:hint="cs"/>
          <w:rtl/>
        </w:rPr>
        <w:t xml:space="preserve"> </w:t>
      </w:r>
      <w:r w:rsidRPr="00DB1D3B">
        <w:rPr>
          <w:rStyle w:val="af2"/>
          <w:rFonts w:eastAsia="Guttman Hodes" w:hint="cs"/>
          <w:rtl/>
        </w:rPr>
        <w:t xml:space="preserve">(שבת פ"י הי"ב ד"ה </w:t>
      </w:r>
      <w:r w:rsidRPr="00DB1D3B">
        <w:rPr>
          <w:rStyle w:val="af2"/>
          <w:rFonts w:eastAsia="Guttman Hodes"/>
          <w:rtl/>
        </w:rPr>
        <w:t>וכבר כתבתי</w:t>
      </w:r>
      <w:r w:rsidRPr="00DB1D3B">
        <w:rPr>
          <w:rStyle w:val="af2"/>
          <w:rFonts w:eastAsia="Guttman Hodes" w:hint="cs"/>
          <w:rtl/>
        </w:rPr>
        <w:t>)</w:t>
      </w:r>
      <w:r w:rsidRPr="007A0BC0">
        <w:rPr>
          <w:rFonts w:hint="cs"/>
          <w:vanish/>
          <w:rtl/>
        </w:rPr>
        <w:t>=</w:t>
      </w:r>
      <w:r>
        <w:rPr>
          <w:rFonts w:hint="cs"/>
          <w:rtl/>
        </w:rPr>
        <w:t xml:space="preserve"> דבעושה גומא אף שאינו עושה אוהל הוי בונה, ומבואר דכל דרך בנין הוי בונה, ואילו עשיית אוהל היא רק תולדה דבונה, כדכתב </w:t>
      </w:r>
      <w:r w:rsidRPr="007A0BC0">
        <w:rPr>
          <w:rStyle w:val="aff4"/>
          <w:rFonts w:hint="cs"/>
          <w:vanish/>
          <w:rtl/>
        </w:rPr>
        <w:t>-</w:t>
      </w:r>
      <w:r w:rsidRPr="001A2014">
        <w:rPr>
          <w:rStyle w:val="aff4"/>
          <w:rFonts w:hint="cs"/>
          <w:rtl/>
        </w:rPr>
        <w:t>הרמב"ם</w:t>
      </w:r>
      <w:r w:rsidRPr="007A0BC0">
        <w:rPr>
          <w:rStyle w:val="aff4"/>
          <w:rFonts w:hint="cs"/>
          <w:vanish/>
          <w:rtl/>
        </w:rPr>
        <w:t>-</w:t>
      </w:r>
      <w:r>
        <w:rPr>
          <w:rFonts w:hint="cs"/>
          <w:rtl/>
        </w:rPr>
        <w:t xml:space="preserve"> </w:t>
      </w:r>
      <w:r w:rsidRPr="00DB1D3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Ref143549459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כה)</w:t>
      </w:r>
      <w:r>
        <w:rPr>
          <w:rStyle w:val="af2"/>
          <w:rFonts w:eastAsia="Guttman Hodes"/>
          <w:rtl/>
        </w:rPr>
        <w:fldChar w:fldCharType="end"/>
      </w:r>
      <w:r>
        <w:rPr>
          <w:rFonts w:hint="cs"/>
          <w:rtl/>
        </w:rPr>
        <w:t xml:space="preserve">, וה"ה בכל דרך בנין כעושה כלי, או סותם חור בקרש שנעשה ע"י דרנא, וכן מניח אבן ע"ג אבנים כדאיתא בגמ' בסוגיין, וכתב </w:t>
      </w:r>
      <w:r w:rsidRPr="007A0BC0">
        <w:rPr>
          <w:rStyle w:val="aff4"/>
          <w:rFonts w:hint="cs"/>
          <w:vanish/>
          <w:rtl/>
        </w:rPr>
        <w:t>-</w:t>
      </w:r>
      <w:r w:rsidRPr="001A2014">
        <w:rPr>
          <w:rStyle w:val="aff4"/>
          <w:rFonts w:hint="cs"/>
          <w:rtl/>
        </w:rPr>
        <w:t>האו"ש</w:t>
      </w:r>
      <w:r w:rsidRPr="007A0BC0">
        <w:rPr>
          <w:rStyle w:val="aff4"/>
          <w:rFonts w:hint="cs"/>
          <w:vanish/>
          <w:rtl/>
        </w:rPr>
        <w:t>-</w:t>
      </w:r>
      <w:r>
        <w:rPr>
          <w:rFonts w:hint="cs"/>
          <w:rtl/>
        </w:rPr>
        <w:t xml:space="preserve"> דכן המחבר יד לקרדום,</w:t>
      </w:r>
      <w:r w:rsidRPr="00844F49">
        <w:rPr>
          <w:rFonts w:hint="cs"/>
          <w:rtl/>
        </w:rPr>
        <w:t xml:space="preserve"> </w:t>
      </w:r>
      <w:r>
        <w:rPr>
          <w:rFonts w:hint="cs"/>
          <w:rtl/>
        </w:rPr>
        <w:t>וכן העושה מיטה או מחבר מיטה מפורקת דחייב משום בונה כיון דהוא דרך בנין</w:t>
      </w:r>
      <w:bookmarkStart w:id="4434" w:name="_Hlk143707016"/>
      <w:r>
        <w:rPr>
          <w:rFonts w:hint="cs"/>
          <w:rtl/>
        </w:rPr>
        <w:t>.</w:t>
      </w:r>
      <w:bookmarkEnd w:id="4432"/>
      <w:r>
        <w:rPr>
          <w:rFonts w:hint="cs"/>
          <w:rtl/>
        </w:rPr>
        <w:t xml:space="preserve"> </w:t>
      </w:r>
      <w:r w:rsidRPr="003B0DB5">
        <w:rPr>
          <w:rStyle w:val="af"/>
          <w:rFonts w:hint="cs"/>
          <w:rtl/>
        </w:rPr>
        <w:t xml:space="preserve">[והיינו דכיון דהוא דרך בנין הוי תולדה כדכתב </w:t>
      </w:r>
      <w:r w:rsidRPr="003B0DB5">
        <w:rPr>
          <w:rStyle w:val="aff9"/>
          <w:rFonts w:hint="cs"/>
          <w:vanish/>
          <w:rtl/>
        </w:rPr>
        <w:t>-</w:t>
      </w:r>
      <w:r w:rsidRPr="003B0DB5">
        <w:rPr>
          <w:rStyle w:val="aff9"/>
          <w:rFonts w:hint="cs"/>
          <w:rtl/>
        </w:rPr>
        <w:t>הרמב"ם</w:t>
      </w:r>
      <w:r w:rsidRPr="003B0DB5">
        <w:rPr>
          <w:rStyle w:val="aff9"/>
          <w:rFonts w:hint="cs"/>
          <w:vanish/>
          <w:rtl/>
        </w:rPr>
        <w:t>-</w:t>
      </w:r>
      <w:r w:rsidRPr="003B0DB5">
        <w:rPr>
          <w:rStyle w:val="af"/>
          <w:rFonts w:hint="cs"/>
          <w:rtl/>
        </w:rPr>
        <w:t xml:space="preserve"> </w:t>
      </w:r>
      <w:r w:rsidRPr="003B0DB5">
        <w:rPr>
          <w:rStyle w:val="aff0"/>
          <w:rFonts w:hint="cs"/>
          <w:rtl/>
        </w:rPr>
        <w:t xml:space="preserve">(עי' אות </w:t>
      </w:r>
      <w:r w:rsidRPr="003B0DB5">
        <w:rPr>
          <w:rStyle w:val="aff0"/>
          <w:rtl/>
        </w:rPr>
        <w:fldChar w:fldCharType="begin"/>
      </w:r>
      <w:r w:rsidRPr="003B0DB5">
        <w:rPr>
          <w:rStyle w:val="aff0"/>
          <w:rtl/>
        </w:rPr>
        <w:instrText xml:space="preserve"> </w:instrText>
      </w:r>
      <w:r w:rsidRPr="003B0DB5">
        <w:rPr>
          <w:rStyle w:val="aff0"/>
          <w:rFonts w:hint="cs"/>
        </w:rPr>
        <w:instrText>REF</w:instrText>
      </w:r>
      <w:r w:rsidRPr="003B0DB5">
        <w:rPr>
          <w:rStyle w:val="aff0"/>
          <w:rFonts w:hint="cs"/>
          <w:rtl/>
        </w:rPr>
        <w:instrText xml:space="preserve"> _</w:instrText>
      </w:r>
      <w:r w:rsidRPr="003B0DB5">
        <w:rPr>
          <w:rStyle w:val="aff0"/>
          <w:rFonts w:hint="cs"/>
        </w:rPr>
        <w:instrText>Ref143547978 \r \h</w:instrText>
      </w:r>
      <w:r w:rsidRPr="003B0DB5">
        <w:rPr>
          <w:rStyle w:val="aff0"/>
          <w:rtl/>
        </w:rPr>
        <w:instrText xml:space="preserve"> </w:instrText>
      </w:r>
      <w:r w:rsidRPr="003B0DB5">
        <w:rPr>
          <w:rStyle w:val="aff0"/>
          <w:rtl/>
        </w:rPr>
      </w:r>
      <w:r w:rsidRPr="003B0DB5">
        <w:rPr>
          <w:rStyle w:val="aff0"/>
          <w:rtl/>
        </w:rPr>
        <w:fldChar w:fldCharType="separate"/>
      </w:r>
      <w:r w:rsidR="00D82181">
        <w:rPr>
          <w:rStyle w:val="aff0"/>
          <w:cs/>
        </w:rPr>
        <w:t>‎</w:t>
      </w:r>
      <w:r w:rsidR="00D82181">
        <w:rPr>
          <w:rStyle w:val="aff0"/>
          <w:rtl/>
        </w:rPr>
        <w:t>כז)</w:t>
      </w:r>
      <w:r w:rsidRPr="003B0DB5">
        <w:rPr>
          <w:rStyle w:val="aff0"/>
          <w:rtl/>
        </w:rPr>
        <w:fldChar w:fldCharType="end"/>
      </w:r>
      <w:r w:rsidRPr="003B0DB5">
        <w:rPr>
          <w:rStyle w:val="af"/>
          <w:rFonts w:hint="cs"/>
          <w:rtl/>
        </w:rPr>
        <w:t>].</w:t>
      </w:r>
    </w:p>
    <w:bookmarkEnd w:id="4434"/>
    <w:p w14:paraId="3964A2C2" w14:textId="77777777" w:rsidR="00376F67" w:rsidRPr="0074694D" w:rsidRDefault="00376F67" w:rsidP="00376F67">
      <w:pPr>
        <w:pStyle w:val="a2"/>
        <w:tabs>
          <w:tab w:val="num" w:pos="284"/>
        </w:tabs>
        <w:rPr>
          <w:vanish w:val="0"/>
          <w:rtl/>
        </w:rPr>
      </w:pPr>
      <w:r w:rsidRPr="0074694D">
        <w:rPr>
          <w:rtl/>
        </w:rPr>
        <w:t xml:space="preserve">וכבר כתבתי בחדושי בענין הפאראסאן </w:t>
      </w:r>
      <w:r w:rsidRPr="0074694D">
        <w:rPr>
          <w:rFonts w:hint="cs"/>
          <w:rtl/>
        </w:rPr>
        <w:t xml:space="preserve">(מטריה) </w:t>
      </w:r>
      <w:r w:rsidRPr="0074694D">
        <w:rPr>
          <w:rtl/>
        </w:rPr>
        <w:t>להסביר הירושלמי דעשיית אוהל הוי תולדה דבונה, כמבואר ברבינו הלכה י"ג, ובונה חייב בכ"ש, כל שעושה דרך בנין, ועושה הכלי או הגומא, או שסותם הקרש, אף שאינו אוהל כלל, ומצאנו בבנין דאם העלה והניח ע"ג אבנים חייב משום בונה, שבת דף ק"ב ע"ב, וכן המחבר יד עם קורדום, או שעושה ומחבר מטה המפורקת חייב משום בונה</w:t>
      </w:r>
      <w:r w:rsidRPr="0074694D">
        <w:rPr>
          <w:rFonts w:hint="cs"/>
          <w:rtl/>
        </w:rPr>
        <w:t>.</w:t>
      </w:r>
    </w:p>
    <w:p w14:paraId="64C4BE25" w14:textId="77777777" w:rsidR="00376F67" w:rsidRPr="00844F49" w:rsidRDefault="00376F67" w:rsidP="00376F67">
      <w:pPr>
        <w:pStyle w:val="a7"/>
      </w:pPr>
      <w:bookmarkStart w:id="4435" w:name="_Toc143767750"/>
      <w:bookmarkStart w:id="4436" w:name="_Toc143770571"/>
      <w:r>
        <w:rPr>
          <w:rFonts w:hint="cs"/>
          <w:rtl/>
        </w:rPr>
        <w:t>בי' האו"ש בירושלמי דבונה במשכן היה באדנים חלולים שחברם אחד לשני ובכלים ולשעה פטור</w:t>
      </w:r>
      <w:bookmarkEnd w:id="4435"/>
      <w:bookmarkEnd w:id="4436"/>
    </w:p>
    <w:p w14:paraId="6ABF9131" w14:textId="4E4CC83A" w:rsidR="00376F67" w:rsidRPr="005E6754" w:rsidRDefault="00376F67" w:rsidP="00BC7DC8">
      <w:pPr>
        <w:pStyle w:val="a3"/>
        <w:rPr>
          <w:rtl/>
        </w:rPr>
      </w:pPr>
      <w:r>
        <w:rPr>
          <w:rFonts w:hint="cs"/>
          <w:rtl/>
        </w:rPr>
        <w:t xml:space="preserve">וכתב </w:t>
      </w:r>
      <w:r w:rsidRPr="001A2014">
        <w:rPr>
          <w:rStyle w:val="aff4"/>
          <w:rFonts w:hint="cs"/>
          <w:vanish/>
          <w:rtl/>
        </w:rPr>
        <w:t>-</w:t>
      </w:r>
      <w:r w:rsidRPr="001A2014">
        <w:rPr>
          <w:rStyle w:val="aff4"/>
          <w:rFonts w:hint="cs"/>
          <w:rtl/>
        </w:rPr>
        <w:t>האו"ש</w:t>
      </w:r>
      <w:r w:rsidRPr="001A2014">
        <w:rPr>
          <w:rStyle w:val="aff4"/>
          <w:rFonts w:hint="cs"/>
          <w:vanish/>
          <w:rtl/>
        </w:rPr>
        <w:t>-</w:t>
      </w:r>
      <w:r>
        <w:rPr>
          <w:rFonts w:hint="cs"/>
          <w:rtl/>
        </w:rPr>
        <w:t xml:space="preserve"> דזהו הביאור בהא דהקשה</w:t>
      </w:r>
      <w:r w:rsidRPr="00BB34F5">
        <w:rPr>
          <w:rtl/>
        </w:rPr>
        <w:t xml:space="preserve"> בירושלמי </w:t>
      </w:r>
      <w:r w:rsidRPr="00DB1D3B">
        <w:rPr>
          <w:rStyle w:val="af2"/>
          <w:rFonts w:eastAsia="Guttman Hodes"/>
          <w:rtl/>
        </w:rPr>
        <w:t>(פ"ז ה"ב, נב:, מהדו' עוז והדר סד.)</w:t>
      </w:r>
      <w:r w:rsidRPr="00BB34F5">
        <w:rPr>
          <w:rtl/>
        </w:rPr>
        <w:t xml:space="preserve"> </w:t>
      </w:r>
      <w:r>
        <w:rPr>
          <w:rFonts w:hint="cs"/>
          <w:rtl/>
        </w:rPr>
        <w:t xml:space="preserve">היכן היה בונה במשכן, ותירץ הירושלמי </w:t>
      </w:r>
      <w:r w:rsidRPr="00BB34F5">
        <w:rPr>
          <w:rtl/>
        </w:rPr>
        <w:t xml:space="preserve">דהבנין היה בנתינת קרשים ע"ג האדנים, </w:t>
      </w:r>
      <w:r>
        <w:rPr>
          <w:rFonts w:hint="cs"/>
          <w:rtl/>
        </w:rPr>
        <w:t xml:space="preserve">וביאר </w:t>
      </w:r>
      <w:r w:rsidRPr="001B1FAC">
        <w:rPr>
          <w:rStyle w:val="aff4"/>
          <w:rFonts w:hint="cs"/>
          <w:vanish/>
          <w:rtl/>
        </w:rPr>
        <w:t>-</w:t>
      </w:r>
      <w:r w:rsidRPr="00DB1D3B">
        <w:rPr>
          <w:rStyle w:val="aff4"/>
          <w:rFonts w:hint="cs"/>
          <w:rtl/>
        </w:rPr>
        <w:t>האו"ש</w:t>
      </w:r>
      <w:r w:rsidRPr="001B1FAC">
        <w:rPr>
          <w:rStyle w:val="aff4"/>
          <w:rFonts w:hint="cs"/>
          <w:vanish/>
          <w:rtl/>
        </w:rPr>
        <w:t>-</w:t>
      </w:r>
      <w:r>
        <w:rPr>
          <w:rFonts w:hint="cs"/>
          <w:rtl/>
        </w:rPr>
        <w:t xml:space="preserve"> דכוונת הירושלמי לומר דכיון שהאדנים היו חלולים והוא מחבר אותם ע"י הקרשים זה לזה, הוי בונה, וא"כ מוכח דבונה בדרך בנין הוא אב מלאכה דבונה דזהו הבונה שהיה במשכן, אעפ"י שאין בזה עשיית אוהל כלל, והביא </w:t>
      </w:r>
      <w:r w:rsidRPr="001B1FAC">
        <w:rPr>
          <w:rStyle w:val="aff4"/>
          <w:rFonts w:hint="cs"/>
          <w:vanish/>
          <w:rtl/>
        </w:rPr>
        <w:t>-</w:t>
      </w:r>
      <w:r w:rsidRPr="00DB1D3B">
        <w:rPr>
          <w:rStyle w:val="aff4"/>
          <w:rFonts w:hint="cs"/>
          <w:rtl/>
        </w:rPr>
        <w:t>האו"ש</w:t>
      </w:r>
      <w:r w:rsidRPr="001B1FAC">
        <w:rPr>
          <w:rStyle w:val="aff4"/>
          <w:rFonts w:hint="cs"/>
          <w:vanish/>
          <w:rtl/>
        </w:rPr>
        <w:t>-</w:t>
      </w:r>
      <w:r>
        <w:rPr>
          <w:rFonts w:hint="cs"/>
          <w:rtl/>
        </w:rPr>
        <w:t xml:space="preserve"> דע"ז הקשה הירושלמי דהוא בנין לשעה ובנין ע"ג כלים, והיינו דהחיוב בכה"ג הוא רק בבונה ע"ג הקרקע, אבל המסדר אבנים ע"ג כלים והניח אבן עליהם פטור, וכן חיבור לשעה פטור בכה"ג כיון דלא חשיב חיבור גמור.</w:t>
      </w:r>
      <w:bookmarkEnd w:id="4433"/>
      <w:r>
        <w:rPr>
          <w:rFonts w:hint="cs"/>
          <w:rtl/>
        </w:rPr>
        <w:t xml:space="preserve"> </w:t>
      </w:r>
      <w:r w:rsidRPr="00A655AF">
        <w:rPr>
          <w:rStyle w:val="af"/>
          <w:rFonts w:hint="cs"/>
          <w:rtl/>
        </w:rPr>
        <w:t xml:space="preserve">[ועי' במ"ש </w:t>
      </w:r>
      <w:r w:rsidRPr="001B1FAC">
        <w:rPr>
          <w:rStyle w:val="aff9"/>
          <w:rFonts w:hint="cs"/>
          <w:vanish/>
          <w:rtl/>
        </w:rPr>
        <w:t>-</w:t>
      </w:r>
      <w:r w:rsidRPr="00A655AF">
        <w:rPr>
          <w:rStyle w:val="aff9"/>
          <w:rFonts w:hint="cs"/>
          <w:rtl/>
        </w:rPr>
        <w:t>האו"ש</w:t>
      </w:r>
      <w:r w:rsidRPr="001B1FAC">
        <w:rPr>
          <w:rStyle w:val="aff9"/>
          <w:rFonts w:hint="cs"/>
          <w:vanish/>
          <w:rtl/>
        </w:rPr>
        <w:t>-</w:t>
      </w:r>
      <w:r w:rsidRPr="00A655AF">
        <w:rPr>
          <w:rStyle w:val="af"/>
          <w:rFonts w:hint="cs"/>
          <w:rtl/>
        </w:rPr>
        <w:t xml:space="preserve"> </w:t>
      </w:r>
      <w:r w:rsidRPr="001B1FAC">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Ref143545847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כב)</w:t>
      </w:r>
      <w:r>
        <w:rPr>
          <w:rStyle w:val="aff0"/>
          <w:rtl/>
        </w:rPr>
        <w:fldChar w:fldCharType="end"/>
      </w:r>
      <w:r w:rsidRPr="00A655AF">
        <w:rPr>
          <w:rStyle w:val="af"/>
          <w:rFonts w:hint="cs"/>
          <w:rtl/>
        </w:rPr>
        <w:t xml:space="preserve"> דבעושה דבר חדש כגון שעושה נקב בלול של תרנגולים או עושה גומא, אף בכלים ולשעה יש חיוב בונה</w:t>
      </w:r>
      <w:r w:rsidRPr="006D12D1">
        <w:rPr>
          <w:rStyle w:val="af"/>
          <w:rFonts w:hint="cs"/>
          <w:rtl/>
        </w:rPr>
        <w:t>].</w:t>
      </w:r>
    </w:p>
    <w:p w14:paraId="5231F963" w14:textId="77777777" w:rsidR="00376F67" w:rsidRPr="0074694D" w:rsidRDefault="00376F67" w:rsidP="00376F67">
      <w:pPr>
        <w:pStyle w:val="a2"/>
        <w:tabs>
          <w:tab w:val="num" w:pos="284"/>
        </w:tabs>
        <w:rPr>
          <w:vanish w:val="0"/>
          <w:rtl/>
        </w:rPr>
      </w:pPr>
      <w:r w:rsidRPr="0074694D">
        <w:rPr>
          <w:rtl/>
        </w:rPr>
        <w:t>ע"ז אמר הירושלמי היכי אשכחן כן, ומשני שכן מצאנו בקרשים שנותן באדנים, שהם היו חלולים, ומחבר זה לזה, ומצאנו שהוא אב, ופריך כל הני, דבאמת לא מיחייב רק שיבנה ע"ג קרקע, אבל ע"ג כלים, אם יסדר אבנים ויניח אבן אחד על הדימוס פטור, וכן לשעה, שהחבור אינו חבור שקיל וטרי, אבל באופן שעושה דבר חדש, כגון שנוקב בלול של תרנגולים או חופר גומא וכי"ב, בודאי על גבי כלים ג"כ חייב, וגם בלשעה ליכא לספוקי כלל, וכן קודח חייב בכל הני.</w:t>
      </w:r>
    </w:p>
    <w:p w14:paraId="62393D14" w14:textId="77777777" w:rsidR="00376F67" w:rsidRDefault="00376F67" w:rsidP="00376F67">
      <w:pPr>
        <w:pStyle w:val="1"/>
        <w:rPr>
          <w:rtl/>
        </w:rPr>
      </w:pPr>
      <w:bookmarkStart w:id="4437" w:name="_Toc143767751"/>
      <w:bookmarkStart w:id="4438" w:name="_Toc143770572"/>
      <w:r>
        <w:rPr>
          <w:rFonts w:hint="cs"/>
          <w:rtl/>
        </w:rPr>
        <w:t>בי' הרדב"ז דחיוב מניח אבן היינו במושיבה במקומה כדרך בנין</w:t>
      </w:r>
      <w:bookmarkEnd w:id="4437"/>
      <w:bookmarkEnd w:id="4438"/>
    </w:p>
    <w:p w14:paraId="48E91A9B" w14:textId="77777777" w:rsidR="00376F67" w:rsidRPr="00D367F3" w:rsidRDefault="00376F67" w:rsidP="00376F67">
      <w:pPr>
        <w:pStyle w:val="afffff7"/>
        <w:rPr>
          <w:rtl/>
        </w:rPr>
      </w:pPr>
      <w:bookmarkStart w:id="4439" w:name="_Toc143767869"/>
      <w:bookmarkStart w:id="4440" w:name="_Hlk141961853"/>
      <w:bookmarkStart w:id="4441" w:name="_Toc163506058"/>
      <w:r w:rsidRPr="00D367F3">
        <w:rPr>
          <w:rtl/>
        </w:rPr>
        <w:t>רש"י שבת ק"ב ע"ב</w:t>
      </w:r>
      <w:r w:rsidRPr="00D367F3">
        <w:rPr>
          <w:rFonts w:hint="cs"/>
          <w:rtl/>
        </w:rPr>
        <w:t xml:space="preserve"> ד"ה </w:t>
      </w:r>
      <w:r>
        <w:rPr>
          <w:rFonts w:hint="cs"/>
          <w:rtl/>
        </w:rPr>
        <w:t>המצדד</w:t>
      </w:r>
      <w:bookmarkEnd w:id="4439"/>
      <w:bookmarkEnd w:id="4441"/>
    </w:p>
    <w:p w14:paraId="31AE8D31" w14:textId="77777777" w:rsidR="00376F67" w:rsidRDefault="00376F67" w:rsidP="00376F67">
      <w:pPr>
        <w:pStyle w:val="a7"/>
        <w:rPr>
          <w:rtl/>
        </w:rPr>
      </w:pPr>
      <w:bookmarkStart w:id="4442" w:name="_Toc143767752"/>
      <w:bookmarkStart w:id="4443" w:name="_Toc143770573"/>
      <w:r>
        <w:rPr>
          <w:rFonts w:hint="cs"/>
          <w:rtl/>
        </w:rPr>
        <w:t>בי' רש"י דמצדד אבן ומושיבה יפה ביסוד הבנין חייב בלא טיט דחיוב בונה בכ"ש ומקיימין כן</w:t>
      </w:r>
      <w:bookmarkEnd w:id="4442"/>
      <w:bookmarkEnd w:id="4443"/>
    </w:p>
    <w:p w14:paraId="106B6553" w14:textId="048CFC0C" w:rsidR="00376F67" w:rsidRDefault="00376F67" w:rsidP="00BC7DC8">
      <w:pPr>
        <w:pStyle w:val="a3"/>
        <w:rPr>
          <w:rtl/>
        </w:rPr>
      </w:pPr>
      <w:bookmarkStart w:id="4444" w:name="_Ref143551149"/>
      <w:r>
        <w:rPr>
          <w:rFonts w:hint="cs"/>
          <w:rtl/>
        </w:rPr>
        <w:t xml:space="preserve">כתב </w:t>
      </w:r>
      <w:r w:rsidRPr="00FF7D8F">
        <w:rPr>
          <w:rFonts w:hint="cs"/>
          <w:vanish/>
          <w:rtl/>
        </w:rPr>
        <w:t xml:space="preserve">&lt;, </w:t>
      </w:r>
      <w:r w:rsidRPr="00FF7D8F">
        <w:rPr>
          <w:vanish/>
          <w:rtl/>
        </w:rPr>
        <w:fldChar w:fldCharType="begin"/>
      </w:r>
      <w:r w:rsidRPr="00FF7D8F">
        <w:rPr>
          <w:vanish/>
          <w:rtl/>
        </w:rPr>
        <w:instrText xml:space="preserve"> </w:instrText>
      </w:r>
      <w:r w:rsidRPr="00FF7D8F">
        <w:rPr>
          <w:rFonts w:hint="cs"/>
          <w:vanish/>
        </w:rPr>
        <w:instrText>REF</w:instrText>
      </w:r>
      <w:r w:rsidRPr="00FF7D8F">
        <w:rPr>
          <w:rFonts w:hint="cs"/>
          <w:vanish/>
          <w:rtl/>
        </w:rPr>
        <w:instrText xml:space="preserve"> _</w:instrText>
      </w:r>
      <w:r w:rsidRPr="00FF7D8F">
        <w:rPr>
          <w:rFonts w:hint="cs"/>
          <w:vanish/>
        </w:rPr>
        <w:instrText>Ref143551149 \r \h</w:instrText>
      </w:r>
      <w:r w:rsidRPr="00FF7D8F">
        <w:rPr>
          <w:vanish/>
          <w:rtl/>
        </w:rPr>
        <w:instrText xml:space="preserve"> </w:instrText>
      </w:r>
      <w:r w:rsidRPr="00FF7D8F">
        <w:rPr>
          <w:vanish/>
          <w:rtl/>
        </w:rPr>
      </w:r>
      <w:r w:rsidRPr="00FF7D8F">
        <w:rPr>
          <w:vanish/>
          <w:rtl/>
        </w:rPr>
        <w:fldChar w:fldCharType="separate"/>
      </w:r>
      <w:r w:rsidR="00D82181">
        <w:rPr>
          <w:vanish/>
          <w:cs/>
        </w:rPr>
        <w:t>‎</w:t>
      </w:r>
      <w:r w:rsidR="00D82181">
        <w:rPr>
          <w:vanish/>
          <w:rtl/>
        </w:rPr>
        <w:t>ד)</w:t>
      </w:r>
      <w:r w:rsidRPr="00FF7D8F">
        <w:rPr>
          <w:vanish/>
          <w:rtl/>
        </w:rPr>
        <w:fldChar w:fldCharType="end"/>
      </w:r>
      <w:r w:rsidRPr="00FF7D8F">
        <w:rPr>
          <w:rFonts w:hint="cs"/>
          <w:vanish/>
          <w:rtl/>
        </w:rPr>
        <w:t xml:space="preserve"> &gt;</w:t>
      </w:r>
      <w:r w:rsidRPr="001B1FAC">
        <w:rPr>
          <w:rStyle w:val="aff4"/>
          <w:rFonts w:hint="cs"/>
          <w:vanish/>
          <w:rtl/>
        </w:rPr>
        <w:t>-</w:t>
      </w:r>
      <w:r w:rsidRPr="00DB1D3B">
        <w:rPr>
          <w:rStyle w:val="aff4"/>
          <w:rFonts w:hint="cs"/>
          <w:rtl/>
        </w:rPr>
        <w:t>רש"י</w:t>
      </w:r>
      <w:r w:rsidRPr="001B1FAC">
        <w:rPr>
          <w:rStyle w:val="aff4"/>
          <w:rFonts w:hint="cs"/>
          <w:vanish/>
          <w:rtl/>
        </w:rPr>
        <w:t>-</w:t>
      </w:r>
      <w:bookmarkEnd w:id="4444"/>
      <w:r>
        <w:rPr>
          <w:rFonts w:hint="cs"/>
          <w:rtl/>
        </w:rPr>
        <w:t xml:space="preserve"> </w:t>
      </w:r>
      <w:r w:rsidRPr="00DB1D3B">
        <w:rPr>
          <w:rStyle w:val="af2"/>
          <w:rFonts w:eastAsia="Guttman Hodes" w:hint="cs"/>
          <w:rtl/>
        </w:rPr>
        <w:t>(ד"ה המצדד)</w:t>
      </w:r>
      <w:r w:rsidRPr="001B1FAC">
        <w:rPr>
          <w:rFonts w:hint="cs"/>
          <w:vanish/>
          <w:rtl/>
        </w:rPr>
        <w:t>=</w:t>
      </w:r>
      <w:r>
        <w:rPr>
          <w:rFonts w:hint="cs"/>
          <w:rtl/>
        </w:rPr>
        <w:t xml:space="preserve"> דהמצדד אבן ומושיבה יפה בקרקע יסוד הבנין חייב אף כשאינו נותן טיט, דחיוב בונה הוא בכל שהוא ויש מקיימין כן בלא טיט.</w:t>
      </w:r>
    </w:p>
    <w:p w14:paraId="59DC9C63" w14:textId="77777777" w:rsidR="00EC54AC" w:rsidRPr="0074694D" w:rsidRDefault="00EC54AC" w:rsidP="00EC54AC">
      <w:pPr>
        <w:pStyle w:val="a2"/>
        <w:rPr>
          <w:rtl/>
        </w:rPr>
      </w:pPr>
      <w:r w:rsidRPr="0074694D">
        <w:rPr>
          <w:rtl/>
        </w:rPr>
        <w:t>המצדד את האבן - מושיבה ומצדדה עד שמתיישבת בקרקעית יסוד הבנין יפה, מתוך שהוא מצדדה הוא מכינה תחתיה ומושיבה בארץ - חייב, ואפילו לא נתן טיט הוי בונה כל שהוא, דיש מקיימין כן בלא טיט.</w:t>
      </w:r>
    </w:p>
    <w:p w14:paraId="031AD070" w14:textId="77777777" w:rsidR="00376F67" w:rsidRPr="00E974C1" w:rsidRDefault="00376F67" w:rsidP="00376F67">
      <w:pPr>
        <w:pStyle w:val="a7"/>
        <w:rPr>
          <w:rtl/>
        </w:rPr>
      </w:pPr>
    </w:p>
    <w:p w14:paraId="36BAFD67" w14:textId="77777777" w:rsidR="00376F67" w:rsidRPr="00E974C1" w:rsidRDefault="00376F67" w:rsidP="00376F67">
      <w:pPr>
        <w:pStyle w:val="a7"/>
        <w:rPr>
          <w:rtl/>
        </w:rPr>
      </w:pPr>
    </w:p>
    <w:p w14:paraId="6FD2B664" w14:textId="77777777" w:rsidR="00376F67" w:rsidRDefault="00376F67" w:rsidP="00376F67">
      <w:pPr>
        <w:pStyle w:val="afffffb"/>
        <w:rPr>
          <w:rtl/>
        </w:rPr>
      </w:pPr>
      <w:bookmarkStart w:id="4445" w:name="_Toc143767870"/>
      <w:bookmarkEnd w:id="4440"/>
      <w:r>
        <w:rPr>
          <w:rtl/>
        </w:rPr>
        <w:t>רמב"ם שבת פ"י הי"ב</w:t>
      </w:r>
      <w:bookmarkEnd w:id="4445"/>
    </w:p>
    <w:p w14:paraId="01AC08C7" w14:textId="77777777" w:rsidR="00376F67" w:rsidRDefault="00376F67" w:rsidP="00376F67">
      <w:pPr>
        <w:pStyle w:val="a7"/>
        <w:rPr>
          <w:rtl/>
        </w:rPr>
      </w:pPr>
      <w:bookmarkStart w:id="4446" w:name="_Toc143767753"/>
      <w:bookmarkStart w:id="4447" w:name="_Toc143770574"/>
      <w:r>
        <w:rPr>
          <w:rFonts w:hint="cs"/>
          <w:rtl/>
        </w:rPr>
        <w:t>בי' הרמב"ם דא' נתן אבן והשני טיט השני חייב ובנדבך העליון המניח חייב ובונה ע"ג כלים פטור</w:t>
      </w:r>
      <w:bookmarkEnd w:id="4446"/>
      <w:bookmarkEnd w:id="4447"/>
    </w:p>
    <w:p w14:paraId="3FD963E1" w14:textId="43425FD4" w:rsidR="00376F67" w:rsidRDefault="00376F67" w:rsidP="00BC7DC8">
      <w:pPr>
        <w:pStyle w:val="a3"/>
      </w:pPr>
      <w:bookmarkStart w:id="4448" w:name="_Ref143550628"/>
      <w:r>
        <w:rPr>
          <w:rFonts w:hint="cs"/>
          <w:rtl/>
        </w:rPr>
        <w:t xml:space="preserve">כתב </w:t>
      </w:r>
      <w:r w:rsidRPr="00125CF3">
        <w:rPr>
          <w:rStyle w:val="aff4"/>
          <w:rFonts w:hint="cs"/>
          <w:vanish/>
          <w:rtl/>
        </w:rPr>
        <w:t>-</w:t>
      </w:r>
      <w:r w:rsidRPr="001A2014">
        <w:rPr>
          <w:rStyle w:val="aff4"/>
          <w:rFonts w:hint="cs"/>
          <w:rtl/>
        </w:rPr>
        <w:t>ה</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Ref143550628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ה)</w:t>
      </w:r>
      <w:r w:rsidRPr="00FF7D8F">
        <w:rPr>
          <w:rStyle w:val="aff4"/>
          <w:vanish/>
          <w:rtl/>
        </w:rPr>
        <w:fldChar w:fldCharType="end"/>
      </w:r>
      <w:r w:rsidRPr="00FF7D8F">
        <w:rPr>
          <w:rStyle w:val="aff4"/>
          <w:rFonts w:hint="cs"/>
          <w:vanish/>
          <w:rtl/>
        </w:rPr>
        <w:t xml:space="preserve"> &gt;</w:t>
      </w:r>
      <w:r w:rsidRPr="001A2014">
        <w:rPr>
          <w:rStyle w:val="aff4"/>
          <w:rFonts w:hint="cs"/>
          <w:rtl/>
        </w:rPr>
        <w:t>רמב"ם</w:t>
      </w:r>
      <w:r w:rsidRPr="00125CF3">
        <w:rPr>
          <w:rStyle w:val="aff4"/>
          <w:rFonts w:hint="cs"/>
          <w:vanish/>
          <w:rtl/>
        </w:rPr>
        <w:t>-</w:t>
      </w:r>
      <w:r>
        <w:rPr>
          <w:rFonts w:hint="cs"/>
          <w:rtl/>
        </w:rPr>
        <w:t xml:space="preserve"> </w:t>
      </w:r>
      <w:r w:rsidRPr="00DB1D3B">
        <w:rPr>
          <w:rStyle w:val="af2"/>
          <w:rFonts w:eastAsia="Guttman Hodes" w:hint="cs"/>
          <w:rtl/>
        </w:rPr>
        <w:t>(שבת פ"י הי"ב)</w:t>
      </w:r>
      <w:r w:rsidRPr="00125CF3">
        <w:rPr>
          <w:rFonts w:hint="cs"/>
          <w:vanish/>
          <w:rtl/>
        </w:rPr>
        <w:t>=</w:t>
      </w:r>
      <w:r>
        <w:rPr>
          <w:rFonts w:hint="cs"/>
          <w:rtl/>
        </w:rPr>
        <w:t xml:space="preserve"> דאחד נותן את האבן והשני את הטיט דהשני חייב,</w:t>
      </w:r>
      <w:r w:rsidRPr="000C0E18">
        <w:rPr>
          <w:rFonts w:hint="cs"/>
          <w:rtl/>
        </w:rPr>
        <w:t xml:space="preserve"> </w:t>
      </w:r>
      <w:r w:rsidRPr="00A655AF">
        <w:rPr>
          <w:rStyle w:val="af"/>
          <w:rFonts w:hint="cs"/>
          <w:rtl/>
        </w:rPr>
        <w:t>[כברייתא בסוגיין</w:t>
      </w:r>
      <w:r w:rsidRPr="006D12D1">
        <w:rPr>
          <w:rStyle w:val="af"/>
          <w:rFonts w:hint="cs"/>
          <w:rtl/>
        </w:rPr>
        <w:t>],</w:t>
      </w:r>
      <w:r>
        <w:rPr>
          <w:rFonts w:hint="cs"/>
          <w:rtl/>
        </w:rPr>
        <w:t xml:space="preserve"> ובנדבך העליון אף המעלה את האבן ומניחה ע"ג הטיט חייב, כיון שא"צ להניח טיט עליה,</w:t>
      </w:r>
      <w:r w:rsidRPr="00B762AC">
        <w:rPr>
          <w:rFonts w:hint="cs"/>
          <w:rtl/>
        </w:rPr>
        <w:t xml:space="preserve"> </w:t>
      </w:r>
      <w:r>
        <w:rPr>
          <w:rFonts w:hint="cs"/>
          <w:rtl/>
        </w:rPr>
        <w:t xml:space="preserve">וכתב </w:t>
      </w:r>
      <w:r w:rsidRPr="00125CF3">
        <w:rPr>
          <w:rStyle w:val="aff4"/>
          <w:rFonts w:hint="cs"/>
          <w:vanish/>
          <w:rtl/>
        </w:rPr>
        <w:t>-</w:t>
      </w:r>
      <w:r w:rsidRPr="001A2014">
        <w:rPr>
          <w:rStyle w:val="aff4"/>
          <w:rFonts w:hint="cs"/>
          <w:rtl/>
        </w:rPr>
        <w:t>הרמב"ם</w:t>
      </w:r>
      <w:r w:rsidRPr="00125CF3">
        <w:rPr>
          <w:rStyle w:val="aff4"/>
          <w:rFonts w:hint="cs"/>
          <w:vanish/>
          <w:rtl/>
        </w:rPr>
        <w:t>-</w:t>
      </w:r>
      <w:r>
        <w:rPr>
          <w:rFonts w:hint="cs"/>
          <w:rtl/>
        </w:rPr>
        <w:t xml:space="preserve"> דהבונה ע"ג כלים פטור.</w:t>
      </w:r>
      <w:bookmarkEnd w:id="4448"/>
    </w:p>
    <w:p w14:paraId="11D98151" w14:textId="77777777" w:rsidR="00376F67" w:rsidRPr="0074694D" w:rsidRDefault="00376F67" w:rsidP="00376F67">
      <w:pPr>
        <w:pStyle w:val="a2"/>
        <w:tabs>
          <w:tab w:val="num" w:pos="284"/>
        </w:tabs>
        <w:rPr>
          <w:vanish w:val="0"/>
          <w:rtl/>
        </w:rPr>
      </w:pPr>
      <w:r w:rsidRPr="0074694D">
        <w:rPr>
          <w:rtl/>
        </w:rPr>
        <w:t>אחד נתן את האבן ואחד נתן את הטיט הנותן את הטיט חייב, ובנדבך העליון אפילו העלה את האבן והניחה על גבי הטיט חייב, שהרי אין מניחין עליה טיט אחר, והבונה על גבי כלים פטור.</w:t>
      </w:r>
    </w:p>
    <w:p w14:paraId="6042AAFC" w14:textId="77777777" w:rsidR="00376F67" w:rsidRPr="009B6F35" w:rsidRDefault="00376F67" w:rsidP="00376F67">
      <w:pPr>
        <w:pStyle w:val="afffff7"/>
        <w:rPr>
          <w:rtl/>
        </w:rPr>
      </w:pPr>
      <w:bookmarkStart w:id="4449" w:name="_Toc143767871"/>
      <w:bookmarkStart w:id="4450" w:name="_Toc163506059"/>
      <w:r w:rsidRPr="009B6F35">
        <w:rPr>
          <w:rtl/>
        </w:rPr>
        <w:t>שו"ת רדב"ז ח</w:t>
      </w:r>
      <w:r>
        <w:rPr>
          <w:rFonts w:hint="cs"/>
          <w:rtl/>
        </w:rPr>
        <w:t>"</w:t>
      </w:r>
      <w:r w:rsidRPr="009B6F35">
        <w:rPr>
          <w:rtl/>
        </w:rPr>
        <w:t xml:space="preserve">ה ללשונות הרמב"ם </w:t>
      </w:r>
      <w:r>
        <w:rPr>
          <w:rtl/>
        </w:rPr>
        <w:t>סימן י"א</w:t>
      </w:r>
      <w:r w:rsidRPr="009B6F35">
        <w:rPr>
          <w:rtl/>
        </w:rPr>
        <w:t>לף תקצ</w:t>
      </w:r>
      <w:r>
        <w:rPr>
          <w:rFonts w:hint="cs"/>
          <w:rtl/>
        </w:rPr>
        <w:t>"</w:t>
      </w:r>
      <w:r w:rsidRPr="009B6F35">
        <w:rPr>
          <w:rtl/>
        </w:rPr>
        <w:t>ט</w:t>
      </w:r>
      <w:bookmarkEnd w:id="4449"/>
      <w:bookmarkEnd w:id="4450"/>
    </w:p>
    <w:p w14:paraId="78A665FA" w14:textId="77777777" w:rsidR="00376F67" w:rsidRDefault="00376F67" w:rsidP="00376F67">
      <w:pPr>
        <w:pStyle w:val="a7"/>
        <w:rPr>
          <w:rtl/>
        </w:rPr>
      </w:pPr>
      <w:bookmarkStart w:id="4451" w:name="_Toc143767754"/>
      <w:bookmarkStart w:id="4452" w:name="_Toc143770575"/>
      <w:r>
        <w:rPr>
          <w:rFonts w:hint="cs"/>
          <w:rtl/>
        </w:rPr>
        <w:t>בי' הרדב"ז דגדר בונה במעשה אומן אבל מניח אבן לבנין כדרך סבל ולא הושיבה במקומה פטור</w:t>
      </w:r>
      <w:bookmarkEnd w:id="4451"/>
      <w:bookmarkEnd w:id="4452"/>
    </w:p>
    <w:p w14:paraId="22A31F42" w14:textId="492AEAD6" w:rsidR="00376F67" w:rsidRPr="009B6F35" w:rsidRDefault="00376F67" w:rsidP="00BC7DC8">
      <w:pPr>
        <w:pStyle w:val="a3"/>
      </w:pPr>
      <w:bookmarkStart w:id="4453" w:name="_Ref142817548"/>
      <w:r>
        <w:rPr>
          <w:rFonts w:hint="cs"/>
          <w:rtl/>
        </w:rPr>
        <w:t xml:space="preserve">וביאר </w:t>
      </w:r>
      <w:r w:rsidRPr="001A2014">
        <w:rPr>
          <w:rStyle w:val="aff4"/>
          <w:rFonts w:hint="cs"/>
          <w:vanish/>
          <w:rtl/>
        </w:rPr>
        <w:t>-</w:t>
      </w:r>
      <w:r w:rsidRPr="001A2014">
        <w:rPr>
          <w:rStyle w:val="aff4"/>
          <w:rFonts w:hint="cs"/>
          <w:rtl/>
        </w:rPr>
        <w:t>ב</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Ref142817548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ו)</w:t>
      </w:r>
      <w:r w:rsidRPr="00FF7D8F">
        <w:rPr>
          <w:rStyle w:val="aff4"/>
          <w:vanish/>
          <w:rtl/>
        </w:rPr>
        <w:fldChar w:fldCharType="end"/>
      </w:r>
      <w:r w:rsidRPr="00FF7D8F">
        <w:rPr>
          <w:rStyle w:val="aff4"/>
          <w:rFonts w:hint="cs"/>
          <w:vanish/>
          <w:rtl/>
        </w:rPr>
        <w:t xml:space="preserve"> &gt;</w:t>
      </w:r>
      <w:r w:rsidRPr="001A2014">
        <w:rPr>
          <w:rStyle w:val="aff4"/>
          <w:rFonts w:hint="cs"/>
          <w:rtl/>
        </w:rPr>
        <w:t>שו"ת הרדב"ז</w:t>
      </w:r>
      <w:r w:rsidRPr="001A2014">
        <w:rPr>
          <w:rStyle w:val="aff4"/>
          <w:rFonts w:hint="cs"/>
          <w:vanish/>
          <w:rtl/>
        </w:rPr>
        <w:t>-</w:t>
      </w:r>
      <w:r>
        <w:rPr>
          <w:rFonts w:hint="cs"/>
          <w:rtl/>
        </w:rPr>
        <w:t xml:space="preserve"> </w:t>
      </w:r>
      <w:r w:rsidRPr="00DB1D3B">
        <w:rPr>
          <w:rStyle w:val="af2"/>
          <w:rFonts w:eastAsia="Guttman Hodes" w:hint="cs"/>
          <w:rtl/>
        </w:rPr>
        <w:t>(ח"ה ללשונות הרמב"ם סו"ס אלף תקצ"ט)</w:t>
      </w:r>
      <w:r w:rsidRPr="001A2014">
        <w:rPr>
          <w:rFonts w:hint="cs"/>
          <w:vanish/>
          <w:rtl/>
        </w:rPr>
        <w:t>=</w:t>
      </w:r>
      <w:r>
        <w:rPr>
          <w:rFonts w:hint="cs"/>
          <w:rtl/>
        </w:rPr>
        <w:t xml:space="preserve"> דלא דמי למבשל דאמרינן דבאחד נותן את העצים ואחד נותן את האור שניהם חייבין, הוא כיון דבבישול כן הוא דרך המלאכה, אבל בבונה החיוב הוא רק כשעושה כן כדרך האומן, דמושיב את האבן במקומה, אבל במניח את האבן כמעשה סבל בעלמא, אי"ז דרך בנין ופטור אף כשמניחה שם לצורך הבנין וכוונתו להושיבה אח"כ במקומה ולתת עליה טיט, דמ"מ ההנחה עצמה אינה בכלל מלאכת בונה משא"כ בנותן טיט דלעולם הוא בכלל בונה, ובמניח אבן במקומה במקום היסוד חייב משום מצדד כדכתב </w:t>
      </w:r>
      <w:r w:rsidRPr="001A2014">
        <w:rPr>
          <w:rStyle w:val="aff4"/>
          <w:rFonts w:hint="cs"/>
          <w:vanish/>
          <w:rtl/>
        </w:rPr>
        <w:t>-</w:t>
      </w:r>
      <w:r w:rsidRPr="001A2014">
        <w:rPr>
          <w:rStyle w:val="aff4"/>
          <w:rFonts w:hint="cs"/>
          <w:rtl/>
        </w:rPr>
        <w:t>הרמב"ם</w:t>
      </w:r>
      <w:r w:rsidRPr="001A2014">
        <w:rPr>
          <w:rStyle w:val="aff4"/>
          <w:rFonts w:hint="cs"/>
          <w:vanish/>
          <w:rtl/>
        </w:rPr>
        <w:t>-</w:t>
      </w:r>
      <w:r>
        <w:rPr>
          <w:rFonts w:hint="cs"/>
          <w:rtl/>
        </w:rPr>
        <w:t xml:space="preserve"> </w:t>
      </w:r>
      <w:r w:rsidRPr="00DB1D3B">
        <w:rPr>
          <w:rStyle w:val="af2"/>
          <w:rFonts w:eastAsia="Guttman Hodes" w:hint="cs"/>
          <w:rtl/>
        </w:rPr>
        <w:t>(שבת פ"י הי"ח)</w:t>
      </w:r>
      <w:r>
        <w:rPr>
          <w:rFonts w:hint="cs"/>
          <w:rtl/>
        </w:rPr>
        <w:t xml:space="preserve">, ומשמע דאם הניח טיט במקום היסוד פטור, כיון דהדרך להניח שם אבן ולא טיט, ובמ"ש </w:t>
      </w:r>
      <w:r w:rsidRPr="001A2014">
        <w:rPr>
          <w:rStyle w:val="aff4"/>
          <w:rFonts w:hint="cs"/>
          <w:vanish/>
          <w:rtl/>
        </w:rPr>
        <w:t>-</w:t>
      </w:r>
      <w:r w:rsidRPr="001A2014">
        <w:rPr>
          <w:rStyle w:val="aff4"/>
          <w:rFonts w:hint="cs"/>
          <w:rtl/>
        </w:rPr>
        <w:t>הרמב"ם</w:t>
      </w:r>
      <w:r w:rsidRPr="001A2014">
        <w:rPr>
          <w:rStyle w:val="aff4"/>
          <w:rFonts w:hint="cs"/>
          <w:vanish/>
          <w:rtl/>
        </w:rPr>
        <w:t>-</w:t>
      </w:r>
      <w:r>
        <w:rPr>
          <w:rFonts w:hint="cs"/>
          <w:rtl/>
        </w:rPr>
        <w:t xml:space="preserve"> </w:t>
      </w:r>
      <w:r w:rsidRPr="00DB1D3B">
        <w:rPr>
          <w:rStyle w:val="af2"/>
          <w:rFonts w:eastAsia="Guttman Hodes" w:hint="cs"/>
          <w:rtl/>
        </w:rPr>
        <w:t>(שבת פ"י הי"ב)</w:t>
      </w:r>
      <w:r>
        <w:rPr>
          <w:rFonts w:hint="cs"/>
          <w:rtl/>
        </w:rPr>
        <w:t xml:space="preserve"> דבנדבך העליון אף מניח את האבן לבדה חייב כיון שאין דרך להניח עליה טיט, ביאר </w:t>
      </w:r>
      <w:r w:rsidRPr="001A2014">
        <w:rPr>
          <w:rStyle w:val="aff4"/>
          <w:rFonts w:hint="cs"/>
          <w:vanish/>
          <w:rtl/>
        </w:rPr>
        <w:t>-</w:t>
      </w:r>
      <w:r w:rsidRPr="001A2014">
        <w:rPr>
          <w:rStyle w:val="aff4"/>
          <w:rFonts w:hint="cs"/>
          <w:rtl/>
        </w:rPr>
        <w:t>הרדב"ז</w:t>
      </w:r>
      <w:r w:rsidRPr="001A2014">
        <w:rPr>
          <w:rStyle w:val="aff4"/>
          <w:rFonts w:hint="cs"/>
          <w:vanish/>
          <w:rtl/>
        </w:rPr>
        <w:t>-</w:t>
      </w:r>
      <w:r>
        <w:rPr>
          <w:rFonts w:hint="cs"/>
          <w:rtl/>
        </w:rPr>
        <w:t xml:space="preserve"> דהחיוב אינו מחמת דגמר את המלאכה מחמת שאין עליה טיט, אלא דכיון שהיא הנדבך העליון אינו מדקדק להניחה במקומה ע"ג שורת האבנים, כיון שא"צ להניח עליה טיט, ולכן בכל הנחה אף שאינה כדרך האומן חייב.</w:t>
      </w:r>
      <w:bookmarkEnd w:id="4453"/>
      <w:r>
        <w:rPr>
          <w:rFonts w:hint="cs"/>
          <w:rtl/>
        </w:rPr>
        <w:t xml:space="preserve"> </w:t>
      </w:r>
    </w:p>
    <w:p w14:paraId="66F2EF21" w14:textId="77777777" w:rsidR="00376F67" w:rsidRPr="0074694D" w:rsidRDefault="00376F67" w:rsidP="00376F67">
      <w:pPr>
        <w:pStyle w:val="a2"/>
        <w:tabs>
          <w:tab w:val="num" w:pos="284"/>
        </w:tabs>
        <w:rPr>
          <w:vanish w:val="0"/>
          <w:rtl/>
        </w:rPr>
      </w:pPr>
      <w:r w:rsidRPr="0074694D">
        <w:rPr>
          <w:rtl/>
        </w:rPr>
        <w:t xml:space="preserve">(אלף תקצ"ט) שאלת ממני אודיעך דעתי על הא דתניא אחד נתן את האבן ואחד נתן את הטיט הנותן את הטיט חייב ומשמע שהנותן את האבן פטור ומאי שנא מהך דתניא פרק המביא אחד נתן את האור ואחד נתן את העצים וכו' כולם חייבים וטעמא שכל העושה דבר מצורכי הבישול הרי זה מבשל והכא הנותן את האבן הרי זה מצורכי הבנין ולמה הוא פטור ושתיהן הלכה הם וכתבום פוסקי ההלכות: </w:t>
      </w:r>
    </w:p>
    <w:p w14:paraId="10CCC21F" w14:textId="77777777" w:rsidR="00376F67" w:rsidRPr="00954231" w:rsidRDefault="00376F67" w:rsidP="00376F67">
      <w:pPr>
        <w:pStyle w:val="afffff5"/>
        <w:rPr>
          <w:vanish w:val="0"/>
          <w:rtl/>
        </w:rPr>
      </w:pPr>
      <w:r w:rsidRPr="00954231">
        <w:rPr>
          <w:rtl/>
        </w:rPr>
        <w:t>תשובה אפשר לפרש דהא דתניא אחד נתן את האבן וכו' בשלא נתכוונו לבנות הילכך הנותן את האבן לא הוי פסיק רישיה אבל הנותן את הטיט אף על גב דאינו מתכוין חייב דפסיק רישיה הוא ומודה בה ר' שמעון ואף על גב דלשון הברייתות שוה כל אחד מתפרש לפי עניינו ובאידך ברייתא איירי כשבאו כולם ביחד וכוונתם לבשל ולפי שטה זו אם נתן את האבן וכוונתו לבנות חייב דנתינת האבן מצורכי הבנין הוא. אלא דקשיא לי דהוה להו לפוסקים לפרושי כן בהדיא. ותו דלפלוג בדידה בד"א בשאינו מתכוין אבל במתכוין הנותן את האבן גם כן חייב. והנכון בזה שדרך הבנין הוא שעושין שורה של אבנים ועליה שורה של טיט ועליה שורה של אבנים ובונה ועולה והאומן עומד בראש הנדבך והסבל מעלה את האבן והאומן מושיב אותה על מושבה על סדר שאר האבנים והכא במאי עסקינן כשנתן את האבן ולא תקן אותה על מושבה דלאו מעשה בנין הוא אלא סבל בעלמא הילכך פטור שאעפ"י שהוא מעלה אותה לצורך הבנין מ"מ אינו עושה מעשה הבנין ואלו התם המביא את האש והעצים עושים מעשה (הפיסול) [הבישול] בעצמו שא"א לבשל בלא אש ועצים אבל בנין אפשר בלא אבנים שהרי מצינו כמה מחיצות טיט לבדו או עפר לבדו. אבל אם הסבל העלה את האבן והושיבה במקומה כשורת שאר האבנים ודאי חייב משום מכה בפטיש וזהו שכתב הרב ז"ל פרק עשירי המצדד את האבן ביסוד הבנין ותקנה בידו במקום הראוי לה חייב משום מכה בפטיש והא דנקט ביסוד לאו דוקא אלא משום דביסוד אין דרך לתת טיט לא מחייב משום בונה אלא משום מכה בפטיש וה"ה בכל שאר הבנין אם צדד את האבן ותקנה בידו והושיבה במקום הראוי לה חייב משום מכה בפטיש. ומש"ה סתם הרב שהנותן את הטיט לעולם חייב משום בונה אבל הנותן את האבן אינו חייב משום בונה ואם עושה מעשה סבל פטור ואם הוא עושה מעשה אומן חייב משום מכה בפטיש ובנדבך העליון אין מדקדקין בו שיהיה בשורת האבנים ואין נותנים טיט שהרי אין עליו שורה אחרת לפיכך חייב הנותן את האבן אעפ"י שלא צדד אותה משום בונה:</w:t>
      </w:r>
    </w:p>
    <w:p w14:paraId="1A3FDFC7" w14:textId="77777777" w:rsidR="00376F67" w:rsidRPr="00D4258B" w:rsidRDefault="00376F67" w:rsidP="00376F67">
      <w:pPr>
        <w:pStyle w:val="1"/>
        <w:rPr>
          <w:rtl/>
        </w:rPr>
      </w:pPr>
      <w:bookmarkStart w:id="4454" w:name="_Toc143767755"/>
      <w:bookmarkStart w:id="4455" w:name="_Toc143770576"/>
      <w:r>
        <w:rPr>
          <w:rFonts w:hint="cs"/>
          <w:rtl/>
        </w:rPr>
        <w:t>בביאור שיעור כ"ש בבונה במחובר לקרקע ואופני החיוב בזה</w:t>
      </w:r>
      <w:bookmarkEnd w:id="4454"/>
      <w:bookmarkEnd w:id="4455"/>
    </w:p>
    <w:p w14:paraId="1F7897D5" w14:textId="77777777" w:rsidR="00376F67" w:rsidRDefault="00376F67" w:rsidP="00376F67">
      <w:pPr>
        <w:pStyle w:val="afffff7"/>
        <w:rPr>
          <w:rtl/>
        </w:rPr>
      </w:pPr>
      <w:bookmarkStart w:id="4456" w:name="_Toc143767872"/>
      <w:bookmarkStart w:id="4457" w:name="_Toc163506060"/>
      <w:r>
        <w:rPr>
          <w:rtl/>
        </w:rPr>
        <w:t>רש"י עירובין ק"ב ע"ב</w:t>
      </w:r>
      <w:bookmarkEnd w:id="4456"/>
      <w:r>
        <w:rPr>
          <w:rFonts w:hint="cs"/>
          <w:rtl/>
        </w:rPr>
        <w:t xml:space="preserve"> ד"ה של</w:t>
      </w:r>
      <w:bookmarkEnd w:id="4457"/>
    </w:p>
    <w:p w14:paraId="7065853E" w14:textId="77777777" w:rsidR="00376F67" w:rsidRDefault="00376F67" w:rsidP="00376F67">
      <w:pPr>
        <w:pStyle w:val="a7"/>
        <w:rPr>
          <w:rtl/>
        </w:rPr>
      </w:pPr>
      <w:bookmarkStart w:id="4458" w:name="_Toc143767756"/>
      <w:bookmarkStart w:id="4459" w:name="_Toc143770577"/>
      <w:r>
        <w:rPr>
          <w:rFonts w:hint="cs"/>
          <w:rtl/>
        </w:rPr>
        <w:t>בי' רש"י דדלת דבור ודות בונה כיון דבנין המחובר לקרקע חשיב בנין בכל דהו</w:t>
      </w:r>
      <w:bookmarkEnd w:id="4458"/>
      <w:bookmarkEnd w:id="4459"/>
    </w:p>
    <w:p w14:paraId="01B58494" w14:textId="5B9F4C40" w:rsidR="00376F67" w:rsidRPr="00493C86" w:rsidRDefault="00376F67" w:rsidP="00BC7DC8">
      <w:pPr>
        <w:pStyle w:val="a3"/>
        <w:rPr>
          <w:rtl/>
        </w:rPr>
      </w:pPr>
      <w:bookmarkStart w:id="4460" w:name="_Ref143462347"/>
      <w:r>
        <w:rPr>
          <w:rFonts w:hint="cs"/>
          <w:rtl/>
        </w:rPr>
        <w:t xml:space="preserve">בהא דאיתא בגמ' בעירובין </w:t>
      </w:r>
      <w:r w:rsidRPr="00DB1D3B">
        <w:rPr>
          <w:rStyle w:val="af2"/>
          <w:rFonts w:eastAsia="Guttman Hodes" w:hint="cs"/>
          <w:rtl/>
        </w:rPr>
        <w:t>(קב:)</w:t>
      </w:r>
      <w:r>
        <w:rPr>
          <w:rFonts w:hint="cs"/>
          <w:rtl/>
        </w:rPr>
        <w:t xml:space="preserve"> דאסור להחזיר דלת של בור ודות, ואם תקע חייב חטאת, כתב </w:t>
      </w:r>
      <w:r w:rsidRPr="00FF7D8F">
        <w:rPr>
          <w:rFonts w:hint="cs"/>
          <w:vanish/>
          <w:rtl/>
        </w:rPr>
        <w:t xml:space="preserve">&lt;, </w:t>
      </w:r>
      <w:r w:rsidRPr="00FF7D8F">
        <w:rPr>
          <w:vanish/>
          <w:rtl/>
        </w:rPr>
        <w:fldChar w:fldCharType="begin"/>
      </w:r>
      <w:r w:rsidRPr="00FF7D8F">
        <w:rPr>
          <w:vanish/>
          <w:rtl/>
        </w:rPr>
        <w:instrText xml:space="preserve"> </w:instrText>
      </w:r>
      <w:r w:rsidRPr="00FF7D8F">
        <w:rPr>
          <w:rFonts w:hint="cs"/>
          <w:vanish/>
        </w:rPr>
        <w:instrText>REF</w:instrText>
      </w:r>
      <w:r w:rsidRPr="00FF7D8F">
        <w:rPr>
          <w:rFonts w:hint="cs"/>
          <w:vanish/>
          <w:rtl/>
        </w:rPr>
        <w:instrText xml:space="preserve"> _</w:instrText>
      </w:r>
      <w:r w:rsidRPr="00FF7D8F">
        <w:rPr>
          <w:rFonts w:hint="cs"/>
          <w:vanish/>
        </w:rPr>
        <w:instrText>Ref143462347 \r \h</w:instrText>
      </w:r>
      <w:r w:rsidRPr="00FF7D8F">
        <w:rPr>
          <w:vanish/>
          <w:rtl/>
        </w:rPr>
        <w:instrText xml:space="preserve"> </w:instrText>
      </w:r>
      <w:r w:rsidRPr="00FF7D8F">
        <w:rPr>
          <w:vanish/>
          <w:rtl/>
        </w:rPr>
      </w:r>
      <w:r w:rsidRPr="00FF7D8F">
        <w:rPr>
          <w:vanish/>
          <w:rtl/>
        </w:rPr>
        <w:fldChar w:fldCharType="separate"/>
      </w:r>
      <w:r w:rsidR="00D82181">
        <w:rPr>
          <w:vanish/>
          <w:cs/>
        </w:rPr>
        <w:t>‎</w:t>
      </w:r>
      <w:r w:rsidR="00D82181">
        <w:rPr>
          <w:vanish/>
          <w:rtl/>
        </w:rPr>
        <w:t>ז)</w:t>
      </w:r>
      <w:r w:rsidRPr="00FF7D8F">
        <w:rPr>
          <w:vanish/>
          <w:rtl/>
        </w:rPr>
        <w:fldChar w:fldCharType="end"/>
      </w:r>
      <w:r w:rsidRPr="00FF7D8F">
        <w:rPr>
          <w:rFonts w:hint="cs"/>
          <w:vanish/>
          <w:rtl/>
        </w:rPr>
        <w:t xml:space="preserve"> &gt;</w:t>
      </w:r>
      <w:r w:rsidRPr="002D0CF9">
        <w:rPr>
          <w:rStyle w:val="aff4"/>
          <w:rFonts w:hint="cs"/>
          <w:vanish/>
          <w:rtl/>
        </w:rPr>
        <w:t>-</w:t>
      </w:r>
      <w:r w:rsidRPr="00013089">
        <w:rPr>
          <w:rStyle w:val="aff4"/>
          <w:rFonts w:hint="cs"/>
          <w:rtl/>
        </w:rPr>
        <w:t>רש"י בעירובין</w:t>
      </w:r>
      <w:r w:rsidRPr="002D0CF9">
        <w:rPr>
          <w:rStyle w:val="aff4"/>
          <w:rFonts w:hint="cs"/>
          <w:vanish/>
          <w:rtl/>
        </w:rPr>
        <w:t>-</w:t>
      </w:r>
      <w:r>
        <w:rPr>
          <w:rFonts w:hint="cs"/>
          <w:rtl/>
        </w:rPr>
        <w:t xml:space="preserve"> </w:t>
      </w:r>
      <w:r w:rsidRPr="00DB1D3B">
        <w:rPr>
          <w:rStyle w:val="af2"/>
          <w:rFonts w:eastAsia="Guttman Hodes" w:hint="cs"/>
          <w:rtl/>
        </w:rPr>
        <w:t>(קב: ד"ה של)</w:t>
      </w:r>
      <w:r w:rsidRPr="002D0CF9">
        <w:rPr>
          <w:rFonts w:hint="cs"/>
          <w:vanish/>
          <w:rtl/>
        </w:rPr>
        <w:t>=</w:t>
      </w:r>
      <w:r>
        <w:rPr>
          <w:rFonts w:hint="cs"/>
          <w:rtl/>
        </w:rPr>
        <w:t xml:space="preserve"> דהוא בנין המחובר לקרקע, ובכל דהוא חשיב בנין.</w:t>
      </w:r>
      <w:bookmarkEnd w:id="4460"/>
    </w:p>
    <w:p w14:paraId="2BABC85B" w14:textId="77777777" w:rsidR="00376F67" w:rsidRPr="0074694D" w:rsidRDefault="00376F67" w:rsidP="00376F67">
      <w:pPr>
        <w:pStyle w:val="a2"/>
        <w:tabs>
          <w:tab w:val="num" w:pos="284"/>
        </w:tabs>
        <w:rPr>
          <w:vanish w:val="0"/>
        </w:rPr>
      </w:pPr>
      <w:r w:rsidRPr="0074694D">
        <w:rPr>
          <w:rtl/>
        </w:rPr>
        <w:t>של בור ושל דות - דהוי בנין המחובר לקרקע, חשיב בנין בכל דהו.</w:t>
      </w:r>
    </w:p>
    <w:p w14:paraId="78321370" w14:textId="77777777" w:rsidR="00376F67" w:rsidRPr="00C051C2" w:rsidRDefault="00376F67" w:rsidP="00376F67">
      <w:pPr>
        <w:pStyle w:val="afffff7"/>
        <w:rPr>
          <w:rtl/>
        </w:rPr>
      </w:pPr>
      <w:bookmarkStart w:id="4461" w:name="_Toc143767873"/>
      <w:bookmarkStart w:id="4462" w:name="_Toc163506061"/>
      <w:r w:rsidRPr="00C051C2">
        <w:rPr>
          <w:rtl/>
        </w:rPr>
        <w:t>תוספות שבת ק"ב ע"ב</w:t>
      </w:r>
      <w:r>
        <w:rPr>
          <w:rFonts w:hint="cs"/>
          <w:rtl/>
        </w:rPr>
        <w:t xml:space="preserve"> ד"ה כל שהוא</w:t>
      </w:r>
      <w:bookmarkEnd w:id="4461"/>
      <w:bookmarkEnd w:id="4462"/>
    </w:p>
    <w:p w14:paraId="3420B25D" w14:textId="77777777" w:rsidR="00376F67" w:rsidRDefault="00376F67" w:rsidP="00376F67">
      <w:pPr>
        <w:pStyle w:val="afffff7"/>
        <w:rPr>
          <w:rtl/>
        </w:rPr>
      </w:pPr>
      <w:bookmarkStart w:id="4463" w:name="_Toc143767874"/>
      <w:bookmarkStart w:id="4464" w:name="_Toc163506062"/>
      <w:r>
        <w:rPr>
          <w:rtl/>
        </w:rPr>
        <w:t>חדושי הריטב"א שבת ק"ב ע"ב</w:t>
      </w:r>
      <w:r>
        <w:rPr>
          <w:rFonts w:hint="cs"/>
          <w:rtl/>
        </w:rPr>
        <w:t xml:space="preserve"> ד"ה כל שהוא</w:t>
      </w:r>
      <w:bookmarkEnd w:id="4463"/>
      <w:bookmarkEnd w:id="4464"/>
    </w:p>
    <w:p w14:paraId="65676B3B" w14:textId="77777777" w:rsidR="00376F67" w:rsidRDefault="00376F67" w:rsidP="00376F67">
      <w:pPr>
        <w:pStyle w:val="a7"/>
        <w:rPr>
          <w:rtl/>
        </w:rPr>
      </w:pPr>
      <w:bookmarkStart w:id="4465" w:name="_Hlk143707129"/>
      <w:bookmarkStart w:id="4466" w:name="_Toc143767757"/>
      <w:bookmarkStart w:id="4467" w:name="_Toc143770578"/>
      <w:r>
        <w:rPr>
          <w:rFonts w:hint="cs"/>
          <w:rtl/>
        </w:rPr>
        <w:t xml:space="preserve">בי' </w:t>
      </w:r>
      <w:bookmarkStart w:id="4468" w:name="_Hlk143707154"/>
      <w:r>
        <w:rPr>
          <w:rFonts w:hint="cs"/>
          <w:rtl/>
        </w:rPr>
        <w:t xml:space="preserve">תוס' דכ"ש ל"ה בנין וצריך מקור ובי' הריטב"א דלא ילפי' ממשכן וכ"ש </w:t>
      </w:r>
      <w:bookmarkEnd w:id="4468"/>
      <w:r>
        <w:rPr>
          <w:rFonts w:hint="cs"/>
          <w:rtl/>
        </w:rPr>
        <w:t xml:space="preserve">אסמכינהו </w:t>
      </w:r>
      <w:bookmarkEnd w:id="4465"/>
      <w:r>
        <w:rPr>
          <w:rFonts w:hint="cs"/>
          <w:rtl/>
        </w:rPr>
        <w:t>אמשכן</w:t>
      </w:r>
      <w:bookmarkEnd w:id="4466"/>
      <w:bookmarkEnd w:id="4467"/>
    </w:p>
    <w:p w14:paraId="4B89A148" w14:textId="0717B26D" w:rsidR="00376F67" w:rsidRDefault="00376F67" w:rsidP="00BC7DC8">
      <w:pPr>
        <w:pStyle w:val="a3"/>
        <w:rPr>
          <w:rtl/>
        </w:rPr>
      </w:pPr>
      <w:bookmarkStart w:id="4469" w:name="_Hlk143707053"/>
      <w:bookmarkStart w:id="4470" w:name="_Ref143159409"/>
      <w:r>
        <w:rPr>
          <w:rFonts w:hint="cs"/>
          <w:rtl/>
        </w:rPr>
        <w:t xml:space="preserve">בהא דאמרינן דשיעור בונה כל שהוא ילפי' מהגומא דהצנעת מחטין במשכן, כתבו </w:t>
      </w:r>
      <w:r w:rsidRPr="00591C81">
        <w:rPr>
          <w:rStyle w:val="aff4"/>
          <w:rFonts w:hint="cs"/>
          <w:vanish/>
          <w:rtl/>
        </w:rPr>
        <w:t>-</w:t>
      </w:r>
      <w:r w:rsidRPr="001A2014">
        <w:rPr>
          <w:rStyle w:val="aff4"/>
          <w:rFonts w:hint="cs"/>
          <w:rtl/>
        </w:rPr>
        <w:t>ה</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Ref143159409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ח)</w:t>
      </w:r>
      <w:r w:rsidRPr="00FF7D8F">
        <w:rPr>
          <w:rStyle w:val="aff4"/>
          <w:vanish/>
          <w:rtl/>
        </w:rPr>
        <w:fldChar w:fldCharType="end"/>
      </w:r>
      <w:r w:rsidRPr="00FF7D8F">
        <w:rPr>
          <w:rStyle w:val="aff4"/>
          <w:rFonts w:hint="cs"/>
          <w:vanish/>
          <w:rtl/>
        </w:rPr>
        <w:t xml:space="preserve"> &gt;</w:t>
      </w:r>
      <w:r w:rsidRPr="009C53F3">
        <w:rPr>
          <w:rStyle w:val="aff4"/>
          <w:rFonts w:hint="cs"/>
          <w:rtl/>
        </w:rPr>
        <w:t>תוס'</w:t>
      </w:r>
      <w:r>
        <w:rPr>
          <w:rStyle w:val="aff4"/>
          <w:rFonts w:hint="cs"/>
          <w:vanish/>
          <w:rtl/>
        </w:rPr>
        <w:t>-</w:t>
      </w:r>
      <w:r w:rsidRPr="009C53F3">
        <w:rPr>
          <w:rFonts w:hint="cs"/>
          <w:rtl/>
        </w:rPr>
        <w:t xml:space="preserve"> </w:t>
      </w:r>
      <w:r w:rsidRPr="00DB1D3B">
        <w:rPr>
          <w:rStyle w:val="af2"/>
          <w:rFonts w:eastAsia="Guttman Hodes" w:hint="cs"/>
          <w:rtl/>
        </w:rPr>
        <w:t>(ד"ה כל שהוא)</w:t>
      </w:r>
      <w:r w:rsidRPr="00591C81">
        <w:rPr>
          <w:rFonts w:hint="cs"/>
          <w:vanish/>
          <w:rtl/>
        </w:rPr>
        <w:t>=</w:t>
      </w:r>
      <w:r>
        <w:rPr>
          <w:rFonts w:hint="cs"/>
          <w:rtl/>
        </w:rPr>
        <w:t xml:space="preserve"> דהא דהוצרכה הגמ' לבאר היכן מצינו שיעור זה במשכן, הוא כיון דכל שהוא לא חשיב בנין, אבל בהא דתנן לעיל (צ.) דמוציא עטרן ופלפלת כל שהוא א"צ מקור </w:t>
      </w:r>
      <w:r>
        <w:rPr>
          <w:rFonts w:hint="cs"/>
          <w:rtl/>
        </w:rPr>
        <w:lastRenderedPageBreak/>
        <w:t xml:space="preserve">במשכן דהוא סברא דחייב, </w:t>
      </w:r>
      <w:r w:rsidRPr="00591C81">
        <w:rPr>
          <w:rStyle w:val="aff4"/>
          <w:rFonts w:hint="cs"/>
          <w:vanish/>
          <w:rtl/>
        </w:rPr>
        <w:t>-</w:t>
      </w:r>
      <w:r>
        <w:rPr>
          <w:rStyle w:val="aff4"/>
          <w:rFonts w:hint="cs"/>
          <w:rtl/>
        </w:rPr>
        <w:t>ו</w:t>
      </w:r>
      <w:r w:rsidRPr="001A2014">
        <w:rPr>
          <w:rStyle w:val="aff4"/>
          <w:rFonts w:hint="cs"/>
          <w:rtl/>
        </w:rPr>
        <w:t>ה</w:t>
      </w:r>
      <w:r w:rsidRPr="00A85EB1">
        <w:rPr>
          <w:rStyle w:val="aff4"/>
          <w:rFonts w:hint="cs"/>
          <w:vanish/>
          <w:rtl/>
        </w:rPr>
        <w:t>&lt; &gt;</w:t>
      </w:r>
      <w:r w:rsidRPr="001A2014">
        <w:rPr>
          <w:rStyle w:val="aff4"/>
          <w:rFonts w:hint="cs"/>
          <w:rtl/>
        </w:rPr>
        <w:t>ריטב"א</w:t>
      </w:r>
      <w:r w:rsidRPr="00591C81">
        <w:rPr>
          <w:rStyle w:val="aff4"/>
          <w:rFonts w:hint="cs"/>
          <w:vanish/>
          <w:rtl/>
        </w:rPr>
        <w:t>-</w:t>
      </w:r>
      <w:r>
        <w:rPr>
          <w:rFonts w:hint="cs"/>
          <w:rtl/>
        </w:rPr>
        <w:t xml:space="preserve"> </w:t>
      </w:r>
      <w:r w:rsidRPr="00DB1D3B">
        <w:rPr>
          <w:rStyle w:val="af2"/>
          <w:rFonts w:eastAsia="Guttman Hodes" w:hint="cs"/>
          <w:rtl/>
        </w:rPr>
        <w:t>(ד"ה כל שהוא)</w:t>
      </w:r>
      <w:r w:rsidRPr="00591C81">
        <w:rPr>
          <w:rFonts w:hint="cs"/>
          <w:vanish/>
          <w:rtl/>
        </w:rPr>
        <w:t>=</w:t>
      </w:r>
      <w:r>
        <w:rPr>
          <w:rFonts w:hint="cs"/>
          <w:rtl/>
        </w:rPr>
        <w:t xml:space="preserve"> הוסיף לבאר </w:t>
      </w:r>
      <w:bookmarkEnd w:id="4469"/>
      <w:r>
        <w:rPr>
          <w:rFonts w:hint="cs"/>
          <w:rtl/>
        </w:rPr>
        <w:t xml:space="preserve">דהילפותא ממשכן היא רק לאבות מלאכות, אבל השיעור הוא דבר המסור לחכמים, ומ"מ בבנין כל שהוא משמע לגמ' דאינו בנין חשוב, ולכן הסמיכה הגמ' שיעור זה למה שהיה במשכן, וכן אמרינן בגמ' לקמן </w:t>
      </w:r>
      <w:r w:rsidRPr="00DB1D3B">
        <w:rPr>
          <w:rStyle w:val="af2"/>
          <w:rFonts w:eastAsia="Guttman Hodes" w:hint="cs"/>
          <w:rtl/>
        </w:rPr>
        <w:t>(קג.)</w:t>
      </w:r>
      <w:r>
        <w:rPr>
          <w:rFonts w:hint="cs"/>
          <w:rtl/>
        </w:rPr>
        <w:t xml:space="preserve"> לענין חורש כל שהוא.</w:t>
      </w:r>
      <w:bookmarkEnd w:id="4470"/>
      <w:r>
        <w:rPr>
          <w:rFonts w:hint="cs"/>
          <w:rtl/>
        </w:rPr>
        <w:t xml:space="preserve"> </w:t>
      </w:r>
    </w:p>
    <w:p w14:paraId="79FD21BE" w14:textId="77777777" w:rsidR="00376F67" w:rsidRPr="005F08D7" w:rsidRDefault="00376F67" w:rsidP="00376F67">
      <w:pPr>
        <w:pStyle w:val="a7"/>
        <w:rPr>
          <w:rtl/>
        </w:rPr>
      </w:pPr>
    </w:p>
    <w:p w14:paraId="7F046703" w14:textId="77777777" w:rsidR="00376F67" w:rsidRPr="005F08D7" w:rsidRDefault="00376F67" w:rsidP="00376F67">
      <w:pPr>
        <w:pStyle w:val="a7"/>
        <w:rPr>
          <w:rtl/>
        </w:rPr>
      </w:pPr>
    </w:p>
    <w:p w14:paraId="66F0DAFE" w14:textId="77777777" w:rsidR="00376F67" w:rsidRDefault="00376F67" w:rsidP="00376F67">
      <w:pPr>
        <w:pStyle w:val="a2"/>
        <w:tabs>
          <w:tab w:val="num" w:pos="284"/>
        </w:tabs>
        <w:rPr>
          <w:vanish w:val="0"/>
        </w:rPr>
      </w:pPr>
      <w:r w:rsidRPr="00C051C2">
        <w:rPr>
          <w:rtl/>
        </w:rPr>
        <w:t xml:space="preserve">כל שהוא למאי חזי - דוקא הכא איצטריך לפרושי דהוה דכוותיה במשכן משום דלא חשיב בנין כל שהוא אבל מוציא עיטרן ופלפלת כל שהוא סברא הוא דמיחייב. </w:t>
      </w:r>
    </w:p>
    <w:p w14:paraId="410E3AAF" w14:textId="77777777" w:rsidR="00376F67" w:rsidRPr="00954231" w:rsidRDefault="00376F67" w:rsidP="00376F67">
      <w:pPr>
        <w:pStyle w:val="afffff5"/>
        <w:rPr>
          <w:vanish w:val="0"/>
        </w:rPr>
      </w:pPr>
      <w:r w:rsidRPr="00954231">
        <w:rPr>
          <w:rtl/>
        </w:rPr>
        <w:t>גמרא כל שהוא למאי חזי אמר ר' ירמיה וכו' דכוותה במשכן שכן תופרי יריעות חופרים גומא להצניע בה מחטים. פי' דאע"ג דאנן אבות מלאכות גופייהו ילפינן ממשכן ולא שיעוריהם כי השיעורים מסורים לחכמים הכא איידי דבנין כל שהוא לא משמע דלהוי חשיב מלאכה, (ולא חשיב בנין) איצטרכינן למיסמכיה אמשכן, והכי נמי אמרינן לקמן (ק"ג א') בחורש כל שהוא.</w:t>
      </w:r>
    </w:p>
    <w:p w14:paraId="59EE2171" w14:textId="77777777" w:rsidR="00376F67" w:rsidRDefault="00376F67" w:rsidP="00376F67">
      <w:pPr>
        <w:pStyle w:val="afffff7"/>
      </w:pPr>
      <w:bookmarkStart w:id="4471" w:name="_Toc143767875"/>
      <w:bookmarkStart w:id="4472" w:name="_Toc163506063"/>
      <w:r>
        <w:rPr>
          <w:rFonts w:hint="cs"/>
          <w:rtl/>
        </w:rPr>
        <w:t>חידושי</w:t>
      </w:r>
      <w:r w:rsidRPr="00546104">
        <w:rPr>
          <w:rtl/>
        </w:rPr>
        <w:t xml:space="preserve"> ר</w:t>
      </w:r>
      <w:r>
        <w:rPr>
          <w:rFonts w:hint="cs"/>
          <w:rtl/>
        </w:rPr>
        <w:t>בינו</w:t>
      </w:r>
      <w:r w:rsidRPr="00546104">
        <w:rPr>
          <w:rtl/>
        </w:rPr>
        <w:t xml:space="preserve"> משה קזיס</w:t>
      </w:r>
      <w:r>
        <w:rPr>
          <w:rFonts w:hint="cs"/>
          <w:rtl/>
        </w:rPr>
        <w:t xml:space="preserve"> שבת ריש פ' הבונה ד"ה הא</w:t>
      </w:r>
      <w:bookmarkEnd w:id="4471"/>
      <w:bookmarkEnd w:id="4472"/>
    </w:p>
    <w:p w14:paraId="1F85CC09" w14:textId="77777777" w:rsidR="00376F67" w:rsidRDefault="00376F67" w:rsidP="00376F67">
      <w:pPr>
        <w:pStyle w:val="a7"/>
        <w:rPr>
          <w:rtl/>
        </w:rPr>
      </w:pPr>
      <w:bookmarkStart w:id="4473" w:name="_Toc143767758"/>
      <w:bookmarkStart w:id="4474" w:name="_Toc143770579"/>
      <w:r>
        <w:rPr>
          <w:rFonts w:hint="cs"/>
          <w:rtl/>
        </w:rPr>
        <w:t>בי' המהר"ם קזיס דחיוב כל שהוא הוא רק בניכר לעין או שיש בו תועלת ולא בגרגיר עפר לגומא</w:t>
      </w:r>
      <w:bookmarkEnd w:id="4473"/>
      <w:bookmarkEnd w:id="4474"/>
    </w:p>
    <w:p w14:paraId="6AF142E5" w14:textId="22FF25AE" w:rsidR="00376F67" w:rsidRPr="00E31475" w:rsidRDefault="00376F67" w:rsidP="00BC7DC8">
      <w:pPr>
        <w:pStyle w:val="a3"/>
        <w:rPr>
          <w:rtl/>
        </w:rPr>
      </w:pPr>
      <w:bookmarkStart w:id="4475" w:name="_Ref142817831"/>
      <w:r>
        <w:rPr>
          <w:rFonts w:hint="cs"/>
          <w:rtl/>
        </w:rPr>
        <w:t xml:space="preserve">כתב </w:t>
      </w:r>
      <w:r w:rsidRPr="001A2014">
        <w:rPr>
          <w:rStyle w:val="aff4"/>
          <w:rFonts w:hint="cs"/>
          <w:vanish/>
          <w:rtl/>
        </w:rPr>
        <w:t>-</w:t>
      </w:r>
      <w:r w:rsidRPr="001A2014">
        <w:rPr>
          <w:rStyle w:val="aff4"/>
          <w:rFonts w:hint="cs"/>
          <w:rtl/>
        </w:rPr>
        <w:t>ב</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Ref142817831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ט)</w:t>
      </w:r>
      <w:r w:rsidRPr="00FF7D8F">
        <w:rPr>
          <w:rStyle w:val="aff4"/>
          <w:vanish/>
          <w:rtl/>
        </w:rPr>
        <w:fldChar w:fldCharType="end"/>
      </w:r>
      <w:r w:rsidRPr="00FF7D8F">
        <w:rPr>
          <w:rStyle w:val="aff4"/>
          <w:rFonts w:hint="cs"/>
          <w:vanish/>
          <w:rtl/>
        </w:rPr>
        <w:t xml:space="preserve"> &gt;</w:t>
      </w:r>
      <w:r w:rsidRPr="001A2014">
        <w:rPr>
          <w:rStyle w:val="aff4"/>
          <w:rtl/>
        </w:rPr>
        <w:t>חידושי רבינו משה קזיס</w:t>
      </w:r>
      <w:r w:rsidRPr="001A2014">
        <w:rPr>
          <w:rStyle w:val="aff4"/>
          <w:rFonts w:hint="cs"/>
          <w:vanish/>
          <w:rtl/>
        </w:rPr>
        <w:t>-</w:t>
      </w:r>
      <w:r w:rsidRPr="00951D78">
        <w:rPr>
          <w:rFonts w:hint="cs"/>
          <w:rtl/>
        </w:rPr>
        <w:t xml:space="preserve"> </w:t>
      </w:r>
      <w:r w:rsidRPr="00DB1D3B">
        <w:rPr>
          <w:rStyle w:val="af2"/>
          <w:rFonts w:eastAsia="Guttman Hodes" w:hint="cs"/>
          <w:rtl/>
        </w:rPr>
        <w:t>(ריש</w:t>
      </w:r>
      <w:r w:rsidRPr="00DB1D3B">
        <w:rPr>
          <w:rStyle w:val="af2"/>
          <w:rFonts w:eastAsia="Guttman Hodes"/>
          <w:rtl/>
        </w:rPr>
        <w:t xml:space="preserve"> פ' הבונה ד"ה </w:t>
      </w:r>
      <w:r w:rsidRPr="00DB1D3B">
        <w:rPr>
          <w:rStyle w:val="af2"/>
          <w:rFonts w:eastAsia="Guttman Hodes" w:hint="cs"/>
          <w:rtl/>
        </w:rPr>
        <w:t>הא)</w:t>
      </w:r>
      <w:r w:rsidRPr="001A2014">
        <w:rPr>
          <w:rFonts w:hint="cs"/>
          <w:vanish/>
          <w:rtl/>
        </w:rPr>
        <w:t>=</w:t>
      </w:r>
      <w:r w:rsidRPr="00951D78">
        <w:rPr>
          <w:rFonts w:hint="cs"/>
          <w:rtl/>
        </w:rPr>
        <w:t xml:space="preserve"> דחיוב בונה בכל שהוא, היינו דוקא בבנין שניכר לעין, אבל אם יש לו גומא בתוך ביתו והשליך לתוכה גרגיר עפר כחרדל, ודאי דלא מסתבר דיתחייב בזה, כיון שאין כל תועלת במעשהו דהגומא עדיין נראית גומא גדולה כמו שהייתה בתחילה, ורק אם השליך עפר בכמות שניכר שהתחיל לסתום את הגומא מעט חייב, והוסיף </w:t>
      </w:r>
      <w:r w:rsidRPr="001A2014">
        <w:rPr>
          <w:rStyle w:val="aff4"/>
          <w:rFonts w:hint="cs"/>
          <w:vanish/>
          <w:rtl/>
        </w:rPr>
        <w:t>-</w:t>
      </w:r>
      <w:r w:rsidRPr="001A2014">
        <w:rPr>
          <w:rStyle w:val="aff4"/>
          <w:rFonts w:hint="cs"/>
          <w:rtl/>
        </w:rPr>
        <w:t>הר"מ קזיס</w:t>
      </w:r>
      <w:r w:rsidRPr="001A2014">
        <w:rPr>
          <w:rStyle w:val="aff4"/>
          <w:rFonts w:hint="cs"/>
          <w:vanish/>
          <w:rtl/>
        </w:rPr>
        <w:t>-</w:t>
      </w:r>
      <w:r w:rsidRPr="00951D78">
        <w:rPr>
          <w:rFonts w:hint="cs"/>
          <w:rtl/>
        </w:rPr>
        <w:t xml:space="preserve"> דאין שיעור לזה, וכן הדין בכל דבר שחיובו בכל שהוא.</w:t>
      </w:r>
      <w:bookmarkEnd w:id="4475"/>
    </w:p>
    <w:p w14:paraId="44A02BED" w14:textId="77777777" w:rsidR="00376F67" w:rsidRPr="0074694D" w:rsidRDefault="00376F67" w:rsidP="00376F67">
      <w:pPr>
        <w:pStyle w:val="a2"/>
        <w:tabs>
          <w:tab w:val="num" w:pos="284"/>
        </w:tabs>
        <w:rPr>
          <w:vanish w:val="0"/>
        </w:rPr>
      </w:pPr>
      <w:r w:rsidRPr="0074694D">
        <w:rPr>
          <w:rtl/>
        </w:rPr>
        <w:t>הא דאמרן דהבונה כל שהוא חייב נראה ודאי דהיינו שניכר לעין הבנין שעשה שאם יש לו גומא בביתו ורוצה לסותמה והשליך בתוכה עפר כגרגיר חרדל לא מסתבר שיהיה חייב שלא הועיל במעשה זה כלום שעדיין הגומא נראית גדולה כבתחלה אבל אם השליך בתוכה עפר כ"כ שניכר שהתחיל לסתום ממנה מעט חייב ואין לזה שעור וה"ה בכל הדברים ששעורן בכל שהוא</w:t>
      </w:r>
      <w:r w:rsidRPr="0074694D">
        <w:rPr>
          <w:rFonts w:hint="cs"/>
          <w:rtl/>
        </w:rPr>
        <w:t>.</w:t>
      </w:r>
    </w:p>
    <w:p w14:paraId="4FC1E9C1" w14:textId="77777777" w:rsidR="00376F67" w:rsidRDefault="00376F67" w:rsidP="00376F67">
      <w:pPr>
        <w:pStyle w:val="afffff7"/>
        <w:rPr>
          <w:rtl/>
        </w:rPr>
      </w:pPr>
      <w:bookmarkStart w:id="4476" w:name="_Toc143767876"/>
      <w:bookmarkStart w:id="4477" w:name="_Toc163506064"/>
      <w:r w:rsidRPr="009B6F35">
        <w:rPr>
          <w:rtl/>
        </w:rPr>
        <w:t xml:space="preserve">כלכלת שבת </w:t>
      </w:r>
      <w:r>
        <w:rPr>
          <w:rFonts w:hint="cs"/>
          <w:rtl/>
        </w:rPr>
        <w:t>לבעל ה</w:t>
      </w:r>
      <w:r w:rsidRPr="009B6F35">
        <w:rPr>
          <w:rtl/>
        </w:rPr>
        <w:t xml:space="preserve">תפארת ישראל </w:t>
      </w:r>
      <w:r>
        <w:rPr>
          <w:rFonts w:hint="cs"/>
          <w:rtl/>
        </w:rPr>
        <w:t>בונה אות א'</w:t>
      </w:r>
      <w:bookmarkEnd w:id="4476"/>
      <w:bookmarkEnd w:id="4477"/>
    </w:p>
    <w:p w14:paraId="5D3175F7" w14:textId="77777777" w:rsidR="00376F67" w:rsidRDefault="00376F67" w:rsidP="00376F67">
      <w:pPr>
        <w:pStyle w:val="a7"/>
        <w:rPr>
          <w:rtl/>
        </w:rPr>
      </w:pPr>
      <w:bookmarkStart w:id="4478" w:name="_Toc143767759"/>
      <w:bookmarkStart w:id="4479" w:name="_Toc143770580"/>
      <w:r>
        <w:rPr>
          <w:rFonts w:hint="cs"/>
          <w:rtl/>
        </w:rPr>
        <w:t>בי' התפא"י דכ"ש היינו במוסיף על הבנין בעוביו או באורכו או בנין כ"ש ע"ג קרקע כיתד או מדף</w:t>
      </w:r>
      <w:bookmarkEnd w:id="4478"/>
      <w:bookmarkEnd w:id="4479"/>
    </w:p>
    <w:p w14:paraId="4D87714D" w14:textId="2DE165A1" w:rsidR="00376F67" w:rsidRPr="00760AB4" w:rsidRDefault="00376F67" w:rsidP="00BC7DC8">
      <w:pPr>
        <w:pStyle w:val="a3"/>
        <w:rPr>
          <w:rtl/>
        </w:rPr>
      </w:pPr>
      <w:bookmarkStart w:id="4480" w:name="_Ref142817501"/>
      <w:r>
        <w:rPr>
          <w:rFonts w:hint="cs"/>
          <w:rtl/>
        </w:rPr>
        <w:t xml:space="preserve">כתב </w:t>
      </w:r>
      <w:r w:rsidRPr="001A2014">
        <w:rPr>
          <w:rStyle w:val="aff4"/>
          <w:rFonts w:hint="cs"/>
          <w:vanish/>
          <w:rtl/>
        </w:rPr>
        <w:t>-</w:t>
      </w:r>
      <w:r w:rsidRPr="001A2014">
        <w:rPr>
          <w:rStyle w:val="aff4"/>
          <w:rFonts w:hint="cs"/>
          <w:rtl/>
        </w:rPr>
        <w:t>ה</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Ref142817501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י)</w:t>
      </w:r>
      <w:r w:rsidRPr="00FF7D8F">
        <w:rPr>
          <w:rStyle w:val="aff4"/>
          <w:vanish/>
          <w:rtl/>
        </w:rPr>
        <w:fldChar w:fldCharType="end"/>
      </w:r>
      <w:r w:rsidRPr="00FF7D8F">
        <w:rPr>
          <w:rStyle w:val="aff4"/>
          <w:rFonts w:hint="cs"/>
          <w:vanish/>
          <w:rtl/>
        </w:rPr>
        <w:t xml:space="preserve"> &gt;</w:t>
      </w:r>
      <w:r w:rsidRPr="001A2014">
        <w:rPr>
          <w:rStyle w:val="aff4"/>
          <w:rFonts w:hint="cs"/>
          <w:rtl/>
        </w:rPr>
        <w:t>תפארת ישראל בכלכלת שבת</w:t>
      </w:r>
      <w:r w:rsidRPr="001A2014">
        <w:rPr>
          <w:rStyle w:val="aff4"/>
          <w:rFonts w:hint="cs"/>
          <w:vanish/>
          <w:rtl/>
        </w:rPr>
        <w:t>-</w:t>
      </w:r>
      <w:r>
        <w:rPr>
          <w:rFonts w:hint="cs"/>
          <w:rtl/>
        </w:rPr>
        <w:t xml:space="preserve"> </w:t>
      </w:r>
      <w:r w:rsidRPr="00DB1D3B">
        <w:rPr>
          <w:rStyle w:val="af2"/>
          <w:rFonts w:eastAsia="Guttman Hodes" w:hint="cs"/>
          <w:rtl/>
        </w:rPr>
        <w:t>(בונה אות א', נד' בסוף המשניות)</w:t>
      </w:r>
      <w:r w:rsidRPr="001A2014">
        <w:rPr>
          <w:rFonts w:hint="cs"/>
          <w:vanish/>
          <w:rtl/>
        </w:rPr>
        <w:t>=</w:t>
      </w:r>
      <w:r>
        <w:rPr>
          <w:rFonts w:hint="cs"/>
          <w:rtl/>
        </w:rPr>
        <w:t xml:space="preserve"> דהמוסיף כל שהוא על הבנין חייב, בין בהוסיף בעובי של המחיצה, או המשיך אותה, או שהוסיף בנין כל שהוא ע"ג הקרקע, כתוקע יתד או שהוציא יתד מבנין מחובר לקרקע, או טח טיט או קובע מדף בכותל או בקרקע.</w:t>
      </w:r>
      <w:bookmarkEnd w:id="4480"/>
    </w:p>
    <w:p w14:paraId="60127861" w14:textId="77777777" w:rsidR="00376F67" w:rsidRPr="0074694D" w:rsidRDefault="00376F67" w:rsidP="00376F67">
      <w:pPr>
        <w:pStyle w:val="a2"/>
        <w:tabs>
          <w:tab w:val="num" w:pos="284"/>
        </w:tabs>
        <w:rPr>
          <w:vanish w:val="0"/>
        </w:rPr>
      </w:pPr>
      <w:r w:rsidRPr="0074694D">
        <w:rPr>
          <w:rtl/>
        </w:rPr>
        <w:t>(א) בנין בקרקע, אם בנה או סתר במחובר לקרקע, כל שהוא, חייב. ואפי' רק מוסיף על הבנין כל שהוא, בין שהוסיף על המחיצה בעביו או המשכו, בין שהוסיף על הרצפה, כגון שתקע יתד או מוציאו מבנין מחובר לקרקע, או שטח שם טיט, או קבע שם דף בכותל או ברצפה</w:t>
      </w:r>
      <w:r w:rsidRPr="0074694D">
        <w:rPr>
          <w:rFonts w:hint="cs"/>
          <w:rtl/>
        </w:rPr>
        <w:t>.</w:t>
      </w:r>
    </w:p>
    <w:p w14:paraId="3FA1002C" w14:textId="77777777" w:rsidR="00376F67" w:rsidRPr="00A34C41" w:rsidRDefault="00376F67" w:rsidP="00376F67">
      <w:pPr>
        <w:pStyle w:val="1"/>
        <w:rPr>
          <w:rtl/>
        </w:rPr>
      </w:pPr>
      <w:bookmarkStart w:id="4481" w:name="_Toc143767760"/>
      <w:bookmarkStart w:id="4482" w:name="_Toc143770581"/>
      <w:r>
        <w:rPr>
          <w:rFonts w:hint="cs"/>
          <w:rtl/>
        </w:rPr>
        <w:t>בגדרי בונה בנוטל גבשושית בבית אי המלאכה בגומא או בבית</w:t>
      </w:r>
      <w:bookmarkEnd w:id="4481"/>
      <w:bookmarkEnd w:id="4482"/>
    </w:p>
    <w:p w14:paraId="1E907725" w14:textId="77777777" w:rsidR="00376F67" w:rsidRDefault="00376F67" w:rsidP="00376F67">
      <w:pPr>
        <w:pStyle w:val="afffff7"/>
        <w:rPr>
          <w:rtl/>
        </w:rPr>
      </w:pPr>
      <w:bookmarkStart w:id="4483" w:name="_Toc143767877"/>
      <w:bookmarkStart w:id="4484" w:name="_Toc163506065"/>
      <w:r>
        <w:rPr>
          <w:rtl/>
        </w:rPr>
        <w:t>רש"י שבת ע"ג ע"ב</w:t>
      </w:r>
      <w:r>
        <w:rPr>
          <w:rFonts w:hint="cs"/>
          <w:rtl/>
        </w:rPr>
        <w:t xml:space="preserve"> ד"ה גבשושית, בבית</w:t>
      </w:r>
      <w:bookmarkEnd w:id="4483"/>
      <w:bookmarkEnd w:id="4484"/>
    </w:p>
    <w:p w14:paraId="27379425" w14:textId="77777777" w:rsidR="00376F67" w:rsidRDefault="00376F67" w:rsidP="00376F67">
      <w:pPr>
        <w:pStyle w:val="afffff7"/>
        <w:rPr>
          <w:rtl/>
        </w:rPr>
      </w:pPr>
      <w:bookmarkStart w:id="4485" w:name="_Toc143767878"/>
      <w:bookmarkStart w:id="4486" w:name="_Toc163506066"/>
      <w:r>
        <w:rPr>
          <w:rtl/>
        </w:rPr>
        <w:t>רש"י שבת פ"א ע"ב</w:t>
      </w:r>
      <w:r>
        <w:rPr>
          <w:rFonts w:hint="cs"/>
          <w:rtl/>
        </w:rPr>
        <w:t xml:space="preserve"> ד"ה בבית</w:t>
      </w:r>
      <w:bookmarkEnd w:id="4485"/>
      <w:bookmarkEnd w:id="4486"/>
    </w:p>
    <w:p w14:paraId="1A3B10C8" w14:textId="77777777" w:rsidR="00376F67" w:rsidRDefault="00376F67" w:rsidP="00376F67">
      <w:pPr>
        <w:pStyle w:val="a7"/>
        <w:rPr>
          <w:rtl/>
        </w:rPr>
      </w:pPr>
      <w:bookmarkStart w:id="4487" w:name="_Toc143767761"/>
      <w:bookmarkStart w:id="4488" w:name="_Toc143770582"/>
      <w:r>
        <w:rPr>
          <w:rFonts w:hint="cs"/>
          <w:rtl/>
        </w:rPr>
        <w:t xml:space="preserve">בי' רש"י דנוטל </w:t>
      </w:r>
      <w:r w:rsidRPr="00D95A31">
        <w:rPr>
          <w:rtl/>
        </w:rPr>
        <w:t xml:space="preserve">גבשושית </w:t>
      </w:r>
      <w:r>
        <w:rPr>
          <w:rFonts w:hint="cs"/>
          <w:rtl/>
        </w:rPr>
        <w:t>בונה בכוונתו להשוות פני הקרקע ומשוה גומות בונה ברצפת הבית</w:t>
      </w:r>
      <w:bookmarkEnd w:id="4487"/>
      <w:bookmarkEnd w:id="4488"/>
    </w:p>
    <w:p w14:paraId="66FF8B1E" w14:textId="3881BCFD" w:rsidR="00376F67" w:rsidRPr="002102E3" w:rsidRDefault="00376F67" w:rsidP="00BC7DC8">
      <w:pPr>
        <w:pStyle w:val="a3"/>
        <w:rPr>
          <w:rtl/>
        </w:rPr>
      </w:pPr>
      <w:bookmarkStart w:id="4489" w:name="_Ref143444968"/>
      <w:r>
        <w:rPr>
          <w:rFonts w:hint="cs"/>
          <w:rtl/>
        </w:rPr>
        <w:t xml:space="preserve">בהא דאיתא בגמ' לעיל </w:t>
      </w:r>
      <w:r w:rsidRPr="00DB1D3B">
        <w:rPr>
          <w:rStyle w:val="af2"/>
          <w:rFonts w:eastAsia="Guttman Hodes" w:hint="cs"/>
          <w:rtl/>
        </w:rPr>
        <w:t>(עג:)</w:t>
      </w:r>
      <w:r>
        <w:rPr>
          <w:rFonts w:hint="cs"/>
          <w:rtl/>
        </w:rPr>
        <w:t xml:space="preserve"> דהנוטל גבשושית בבית חייב משום בונה, כתב </w:t>
      </w:r>
      <w:r w:rsidRPr="00FF7D8F">
        <w:rPr>
          <w:rFonts w:hint="cs"/>
          <w:vanish/>
          <w:rtl/>
        </w:rPr>
        <w:t xml:space="preserve">&lt;, </w:t>
      </w:r>
      <w:r w:rsidRPr="00FF7D8F">
        <w:rPr>
          <w:vanish/>
          <w:rtl/>
        </w:rPr>
        <w:fldChar w:fldCharType="begin"/>
      </w:r>
      <w:r w:rsidRPr="00FF7D8F">
        <w:rPr>
          <w:vanish/>
          <w:rtl/>
        </w:rPr>
        <w:instrText xml:space="preserve"> </w:instrText>
      </w:r>
      <w:r w:rsidRPr="00FF7D8F">
        <w:rPr>
          <w:rFonts w:hint="cs"/>
          <w:vanish/>
        </w:rPr>
        <w:instrText>REF</w:instrText>
      </w:r>
      <w:r w:rsidRPr="00FF7D8F">
        <w:rPr>
          <w:rFonts w:hint="cs"/>
          <w:vanish/>
          <w:rtl/>
        </w:rPr>
        <w:instrText xml:space="preserve"> _</w:instrText>
      </w:r>
      <w:r w:rsidRPr="00FF7D8F">
        <w:rPr>
          <w:rFonts w:hint="cs"/>
          <w:vanish/>
        </w:rPr>
        <w:instrText>Ref143444968 \r \h</w:instrText>
      </w:r>
      <w:r w:rsidRPr="00FF7D8F">
        <w:rPr>
          <w:vanish/>
          <w:rtl/>
        </w:rPr>
        <w:instrText xml:space="preserve"> </w:instrText>
      </w:r>
      <w:r w:rsidRPr="00FF7D8F">
        <w:rPr>
          <w:vanish/>
          <w:rtl/>
        </w:rPr>
      </w:r>
      <w:r w:rsidRPr="00FF7D8F">
        <w:rPr>
          <w:vanish/>
          <w:rtl/>
        </w:rPr>
        <w:fldChar w:fldCharType="separate"/>
      </w:r>
      <w:r w:rsidR="00D82181">
        <w:rPr>
          <w:vanish/>
          <w:cs/>
        </w:rPr>
        <w:t>‎</w:t>
      </w:r>
      <w:r w:rsidR="00D82181">
        <w:rPr>
          <w:vanish/>
          <w:rtl/>
        </w:rPr>
        <w:t>יא)</w:t>
      </w:r>
      <w:r w:rsidRPr="00FF7D8F">
        <w:rPr>
          <w:vanish/>
          <w:rtl/>
        </w:rPr>
        <w:fldChar w:fldCharType="end"/>
      </w:r>
      <w:r w:rsidRPr="00FF7D8F">
        <w:rPr>
          <w:rFonts w:hint="cs"/>
          <w:vanish/>
          <w:rtl/>
        </w:rPr>
        <w:t xml:space="preserve"> &gt;</w:t>
      </w:r>
      <w:r w:rsidRPr="00EF4E3F">
        <w:rPr>
          <w:rStyle w:val="aff4"/>
          <w:rFonts w:hint="cs"/>
          <w:vanish/>
          <w:rtl/>
        </w:rPr>
        <w:t>-</w:t>
      </w:r>
      <w:r w:rsidRPr="00013089">
        <w:rPr>
          <w:rStyle w:val="aff4"/>
          <w:rFonts w:hint="cs"/>
          <w:rtl/>
        </w:rPr>
        <w:t>רש"י לעיל</w:t>
      </w:r>
      <w:r w:rsidRPr="00EF4E3F">
        <w:rPr>
          <w:rStyle w:val="aff4"/>
          <w:rFonts w:hint="cs"/>
          <w:vanish/>
          <w:rtl/>
        </w:rPr>
        <w:t>-</w:t>
      </w:r>
      <w:r>
        <w:rPr>
          <w:rFonts w:hint="cs"/>
          <w:rtl/>
        </w:rPr>
        <w:t xml:space="preserve"> </w:t>
      </w:r>
      <w:r w:rsidRPr="00DB1D3B">
        <w:rPr>
          <w:rStyle w:val="af2"/>
          <w:rFonts w:eastAsia="Guttman Hodes" w:hint="cs"/>
          <w:rtl/>
        </w:rPr>
        <w:t>(עג: ד"ה גבשושית, בבית)</w:t>
      </w:r>
      <w:r w:rsidRPr="00EF4E3F">
        <w:rPr>
          <w:rFonts w:hint="cs"/>
          <w:vanish/>
          <w:rtl/>
        </w:rPr>
        <w:t>=</w:t>
      </w:r>
      <w:r>
        <w:rPr>
          <w:rFonts w:hint="cs"/>
          <w:rtl/>
        </w:rPr>
        <w:t xml:space="preserve"> דגבשושית היא תל קטן ושייך בנין בזה כשנוטלה, כשהוא מתכוין להשוות את פני הקרקע, ועוד כתב </w:t>
      </w:r>
      <w:r w:rsidRPr="00FF7D8F">
        <w:rPr>
          <w:rFonts w:hint="cs"/>
          <w:vanish/>
          <w:rtl/>
        </w:rPr>
        <w:t>&lt; &gt;</w:t>
      </w:r>
      <w:r w:rsidRPr="00EF4E3F">
        <w:rPr>
          <w:rStyle w:val="aff4"/>
          <w:rFonts w:hint="cs"/>
          <w:vanish/>
          <w:rtl/>
        </w:rPr>
        <w:t>-</w:t>
      </w:r>
      <w:r w:rsidRPr="00013089">
        <w:rPr>
          <w:rStyle w:val="aff4"/>
          <w:rFonts w:hint="cs"/>
          <w:rtl/>
        </w:rPr>
        <w:t>רש"י לקמן</w:t>
      </w:r>
      <w:r w:rsidRPr="00EF4E3F">
        <w:rPr>
          <w:rStyle w:val="aff4"/>
          <w:rFonts w:hint="cs"/>
          <w:vanish/>
          <w:rtl/>
        </w:rPr>
        <w:t>-</w:t>
      </w:r>
      <w:r>
        <w:rPr>
          <w:rFonts w:hint="cs"/>
          <w:rtl/>
        </w:rPr>
        <w:t xml:space="preserve"> </w:t>
      </w:r>
      <w:r w:rsidRPr="00DB1D3B">
        <w:rPr>
          <w:rStyle w:val="af2"/>
          <w:rFonts w:eastAsia="Guttman Hodes" w:hint="cs"/>
          <w:rtl/>
        </w:rPr>
        <w:t>(פא: ד"ה בבית)</w:t>
      </w:r>
      <w:r w:rsidRPr="00EF4E3F">
        <w:rPr>
          <w:rFonts w:hint="cs"/>
          <w:vanish/>
          <w:rtl/>
        </w:rPr>
        <w:t>=</w:t>
      </w:r>
      <w:r>
        <w:rPr>
          <w:rFonts w:hint="cs"/>
          <w:rtl/>
        </w:rPr>
        <w:t xml:space="preserve"> דכשהוא משוה גומות בבית הוא בנין ברצפת הבית.</w:t>
      </w:r>
      <w:bookmarkEnd w:id="4489"/>
    </w:p>
    <w:p w14:paraId="7488DC28" w14:textId="77777777" w:rsidR="00376F67" w:rsidRPr="0074694D" w:rsidRDefault="00376F67" w:rsidP="00376F67">
      <w:pPr>
        <w:pStyle w:val="a2"/>
        <w:tabs>
          <w:tab w:val="num" w:pos="284"/>
        </w:tabs>
        <w:rPr>
          <w:vanish w:val="0"/>
          <w:rtl/>
        </w:rPr>
      </w:pPr>
      <w:r w:rsidRPr="0074694D">
        <w:rPr>
          <w:rtl/>
        </w:rPr>
        <w:t>גבשושית - תל קטן.</w:t>
      </w:r>
    </w:p>
    <w:p w14:paraId="4172D7B4" w14:textId="77777777" w:rsidR="00376F67" w:rsidRPr="00954231" w:rsidRDefault="00376F67" w:rsidP="00376F67">
      <w:pPr>
        <w:pStyle w:val="afffff5"/>
        <w:rPr>
          <w:vanish w:val="0"/>
          <w:rtl/>
        </w:rPr>
      </w:pPr>
      <w:r w:rsidRPr="00954231">
        <w:rPr>
          <w:rtl/>
        </w:rPr>
        <w:t>בבית - שייך בנין, שמתכוין להשוות קרקעיתו.</w:t>
      </w:r>
    </w:p>
    <w:p w14:paraId="6DC9E0E4" w14:textId="77777777" w:rsidR="00376F67" w:rsidRPr="00954231" w:rsidRDefault="00376F67" w:rsidP="00376F67">
      <w:pPr>
        <w:pStyle w:val="afffff5"/>
        <w:rPr>
          <w:vanish w:val="0"/>
          <w:rtl/>
        </w:rPr>
      </w:pPr>
      <w:r w:rsidRPr="00954231">
        <w:rPr>
          <w:rtl/>
        </w:rPr>
        <w:t>בבית - שייך בנין, וזה שמשוה גומות - בנין הרצפה הוא</w:t>
      </w:r>
      <w:r w:rsidRPr="00954231">
        <w:rPr>
          <w:rStyle w:val="afff7"/>
          <w:rtl/>
        </w:rPr>
        <w:t>, ובשדה מתקן החרישה.</w:t>
      </w:r>
    </w:p>
    <w:p w14:paraId="74C5761F" w14:textId="77777777" w:rsidR="00376F67" w:rsidRDefault="00376F67" w:rsidP="00376F67">
      <w:pPr>
        <w:pStyle w:val="afffff7"/>
        <w:rPr>
          <w:rtl/>
        </w:rPr>
      </w:pPr>
      <w:bookmarkStart w:id="4490" w:name="_Toc143767879"/>
      <w:bookmarkStart w:id="4491" w:name="_Toc163506067"/>
      <w:r>
        <w:rPr>
          <w:rtl/>
        </w:rPr>
        <w:t xml:space="preserve">שו"ת אבני נזר </w:t>
      </w:r>
      <w:r>
        <w:rPr>
          <w:rFonts w:hint="cs"/>
          <w:rtl/>
        </w:rPr>
        <w:t>או"ח סי'</w:t>
      </w:r>
      <w:r>
        <w:rPr>
          <w:rtl/>
        </w:rPr>
        <w:t xml:space="preserve"> רי</w:t>
      </w:r>
      <w:r>
        <w:rPr>
          <w:rFonts w:hint="cs"/>
          <w:rtl/>
        </w:rPr>
        <w:t>"</w:t>
      </w:r>
      <w:r>
        <w:rPr>
          <w:rtl/>
        </w:rPr>
        <w:t>ז</w:t>
      </w:r>
      <w:r>
        <w:rPr>
          <w:rFonts w:hint="cs"/>
          <w:rtl/>
        </w:rPr>
        <w:t xml:space="preserve"> אות א'</w:t>
      </w:r>
      <w:bookmarkEnd w:id="4490"/>
      <w:bookmarkEnd w:id="4491"/>
    </w:p>
    <w:p w14:paraId="565187A9" w14:textId="77777777" w:rsidR="00376F67" w:rsidRDefault="00376F67" w:rsidP="00376F67">
      <w:pPr>
        <w:pStyle w:val="a7"/>
        <w:rPr>
          <w:rtl/>
        </w:rPr>
      </w:pPr>
      <w:bookmarkStart w:id="4492" w:name="_Toc143767762"/>
      <w:bookmarkStart w:id="4493" w:name="_Toc143770583"/>
      <w:r>
        <w:rPr>
          <w:rFonts w:hint="cs"/>
          <w:rtl/>
        </w:rPr>
        <w:t>בי' האבנ"ז ברש"י דבגבשושית אף דדמי לחק תוכות הוי מלאכה בקרקע עצמה ולא בגבשושית</w:t>
      </w:r>
      <w:bookmarkEnd w:id="4492"/>
      <w:bookmarkEnd w:id="4493"/>
    </w:p>
    <w:p w14:paraId="10CE36BD" w14:textId="0F6B88C5" w:rsidR="00376F67" w:rsidRPr="00EF4267" w:rsidRDefault="00376F67" w:rsidP="00BC7DC8">
      <w:pPr>
        <w:pStyle w:val="a3"/>
        <w:rPr>
          <w:rtl/>
        </w:rPr>
      </w:pPr>
      <w:bookmarkStart w:id="4494" w:name="_Ref143444843"/>
      <w:r>
        <w:rPr>
          <w:rFonts w:hint="cs"/>
          <w:rtl/>
        </w:rPr>
        <w:t xml:space="preserve">וכתב </w:t>
      </w:r>
      <w:r w:rsidRPr="00EF4E3F">
        <w:rPr>
          <w:rStyle w:val="aff4"/>
          <w:rFonts w:hint="cs"/>
          <w:vanish/>
          <w:rtl/>
        </w:rPr>
        <w:t>-</w:t>
      </w:r>
      <w:r w:rsidRPr="00013089">
        <w:rPr>
          <w:rStyle w:val="aff4"/>
          <w:rFonts w:hint="cs"/>
          <w:rtl/>
        </w:rPr>
        <w:t>ה</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Ref143444843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יב)</w:t>
      </w:r>
      <w:r w:rsidRPr="00FF7D8F">
        <w:rPr>
          <w:rStyle w:val="aff4"/>
          <w:vanish/>
          <w:rtl/>
        </w:rPr>
        <w:fldChar w:fldCharType="end"/>
      </w:r>
      <w:r w:rsidRPr="00FF7D8F">
        <w:rPr>
          <w:rStyle w:val="aff4"/>
          <w:rFonts w:hint="cs"/>
          <w:vanish/>
          <w:rtl/>
        </w:rPr>
        <w:t xml:space="preserve"> &gt;</w:t>
      </w:r>
      <w:r w:rsidRPr="00013089">
        <w:rPr>
          <w:rStyle w:val="aff4"/>
          <w:rFonts w:hint="cs"/>
          <w:rtl/>
        </w:rPr>
        <w:t>אבנ"ז</w:t>
      </w:r>
      <w:r w:rsidRPr="00EF4E3F">
        <w:rPr>
          <w:rStyle w:val="aff4"/>
          <w:rFonts w:hint="cs"/>
          <w:vanish/>
          <w:rtl/>
        </w:rPr>
        <w:t>-</w:t>
      </w:r>
      <w:r>
        <w:rPr>
          <w:rFonts w:hint="cs"/>
          <w:rtl/>
        </w:rPr>
        <w:t xml:space="preserve"> </w:t>
      </w:r>
      <w:r w:rsidRPr="00DB1D3B">
        <w:rPr>
          <w:rStyle w:val="af2"/>
          <w:rFonts w:eastAsia="Guttman Hodes" w:hint="cs"/>
          <w:rtl/>
        </w:rPr>
        <w:t>(או"ח סי' רי"ז סק"א)</w:t>
      </w:r>
      <w:r w:rsidRPr="00EF4E3F">
        <w:rPr>
          <w:rFonts w:hint="cs"/>
          <w:vanish/>
          <w:rtl/>
        </w:rPr>
        <w:t>=</w:t>
      </w:r>
      <w:r>
        <w:rPr>
          <w:rFonts w:hint="cs"/>
          <w:rtl/>
        </w:rPr>
        <w:t xml:space="preserve"> דמ"ש </w:t>
      </w:r>
      <w:r w:rsidRPr="00EF4E3F">
        <w:rPr>
          <w:rStyle w:val="aff4"/>
          <w:rFonts w:hint="cs"/>
          <w:vanish/>
          <w:rtl/>
        </w:rPr>
        <w:t>-</w:t>
      </w:r>
      <w:r w:rsidRPr="00013089">
        <w:rPr>
          <w:rStyle w:val="aff4"/>
          <w:rFonts w:hint="cs"/>
          <w:rtl/>
        </w:rPr>
        <w:t>רש"י</w:t>
      </w:r>
      <w:r w:rsidRPr="00EF4E3F">
        <w:rPr>
          <w:rStyle w:val="aff4"/>
          <w:rFonts w:hint="cs"/>
          <w:vanish/>
          <w:rtl/>
        </w:rPr>
        <w:t>-</w:t>
      </w:r>
      <w:r>
        <w:rPr>
          <w:rFonts w:hint="cs"/>
          <w:rtl/>
        </w:rPr>
        <w:t xml:space="preserve"> </w:t>
      </w:r>
      <w:r w:rsidRPr="00DB1D3B">
        <w:rPr>
          <w:rStyle w:val="af2"/>
          <w:rFonts w:eastAsia="Guttman Hodes" w:hint="cs"/>
          <w:rtl/>
        </w:rPr>
        <w:t xml:space="preserve">(עי' אות </w:t>
      </w:r>
      <w:r w:rsidRPr="00DB1D3B">
        <w:rPr>
          <w:rStyle w:val="af2"/>
          <w:rFonts w:eastAsia="Guttman Hodes"/>
          <w:rtl/>
        </w:rPr>
        <w:fldChar w:fldCharType="begin"/>
      </w:r>
      <w:r w:rsidRPr="00DB1D3B">
        <w:rPr>
          <w:rStyle w:val="af2"/>
          <w:rFonts w:eastAsia="Guttman Hodes"/>
          <w:rtl/>
        </w:rPr>
        <w:instrText xml:space="preserve"> </w:instrText>
      </w:r>
      <w:r w:rsidRPr="00DB1D3B">
        <w:rPr>
          <w:rStyle w:val="af2"/>
          <w:rFonts w:eastAsia="Guttman Hodes" w:hint="cs"/>
        </w:rPr>
        <w:instrText>REF</w:instrText>
      </w:r>
      <w:r w:rsidRPr="00DB1D3B">
        <w:rPr>
          <w:rStyle w:val="af2"/>
          <w:rFonts w:eastAsia="Guttman Hodes" w:hint="cs"/>
          <w:rtl/>
        </w:rPr>
        <w:instrText xml:space="preserve"> _</w:instrText>
      </w:r>
      <w:r w:rsidRPr="00DB1D3B">
        <w:rPr>
          <w:rStyle w:val="af2"/>
          <w:rFonts w:eastAsia="Guttman Hodes" w:hint="cs"/>
        </w:rPr>
        <w:instrText>Ref143444968 \r \h</w:instrText>
      </w:r>
      <w:r w:rsidRPr="00DB1D3B">
        <w:rPr>
          <w:rStyle w:val="af2"/>
          <w:rFonts w:eastAsia="Guttman Hodes"/>
          <w:rtl/>
        </w:rPr>
        <w:instrText xml:space="preserve"> </w:instrText>
      </w:r>
      <w:r w:rsidRPr="00DB1D3B">
        <w:rPr>
          <w:rStyle w:val="af2"/>
          <w:rFonts w:eastAsia="Guttman Hodes"/>
          <w:rtl/>
        </w:rPr>
      </w:r>
      <w:r w:rsidRPr="00DB1D3B">
        <w:rPr>
          <w:rStyle w:val="af2"/>
          <w:rFonts w:eastAsia="Guttman Hodes"/>
          <w:rtl/>
        </w:rPr>
        <w:fldChar w:fldCharType="separate"/>
      </w:r>
      <w:r w:rsidR="00D82181">
        <w:rPr>
          <w:rStyle w:val="af2"/>
          <w:rFonts w:eastAsia="Guttman Hodes"/>
          <w:cs/>
        </w:rPr>
        <w:t>‎</w:t>
      </w:r>
      <w:r w:rsidR="00D82181">
        <w:rPr>
          <w:rStyle w:val="af2"/>
          <w:rFonts w:eastAsia="Guttman Hodes"/>
          <w:rtl/>
        </w:rPr>
        <w:t>יא)</w:t>
      </w:r>
      <w:r w:rsidRPr="00DB1D3B">
        <w:rPr>
          <w:rStyle w:val="af2"/>
          <w:rFonts w:eastAsia="Guttman Hodes"/>
          <w:rtl/>
        </w:rPr>
        <w:fldChar w:fldCharType="end"/>
      </w:r>
      <w:r>
        <w:rPr>
          <w:rFonts w:hint="cs"/>
          <w:rtl/>
        </w:rPr>
        <w:t xml:space="preserve"> דהוא מתכוין להשוות את הקרקע, היינו דהוקשה לו שאינה מלאכה דאינו מוסיף ובונה, אלא מסיר דבר שהיה על הבנין, ודמי לחק תוכות בכותב דאינו כתיבה, ולכן ביאר </w:t>
      </w:r>
      <w:r w:rsidRPr="00EF4E3F">
        <w:rPr>
          <w:rStyle w:val="aff4"/>
          <w:rFonts w:hint="cs"/>
          <w:vanish/>
          <w:rtl/>
        </w:rPr>
        <w:t>-</w:t>
      </w:r>
      <w:r w:rsidRPr="00013089">
        <w:rPr>
          <w:rStyle w:val="aff4"/>
          <w:rFonts w:hint="cs"/>
          <w:rtl/>
        </w:rPr>
        <w:t>רש"י</w:t>
      </w:r>
      <w:r w:rsidRPr="00EF4E3F">
        <w:rPr>
          <w:rStyle w:val="aff4"/>
          <w:rFonts w:hint="cs"/>
          <w:vanish/>
          <w:rtl/>
        </w:rPr>
        <w:t>-</w:t>
      </w:r>
      <w:r>
        <w:rPr>
          <w:rFonts w:hint="cs"/>
          <w:rtl/>
        </w:rPr>
        <w:t xml:space="preserve"> דכוונתו להשוות את פני הקרקע, וא"כ המלאכה אינה בגבשושית אלא בקרקע עצמה.</w:t>
      </w:r>
      <w:bookmarkEnd w:id="4494"/>
    </w:p>
    <w:p w14:paraId="5216AA0E" w14:textId="77777777" w:rsidR="00376F67" w:rsidRPr="0074694D" w:rsidRDefault="00376F67" w:rsidP="00376F67">
      <w:pPr>
        <w:pStyle w:val="a2"/>
        <w:tabs>
          <w:tab w:val="num" w:pos="284"/>
        </w:tabs>
        <w:rPr>
          <w:vanish w:val="0"/>
          <w:rtl/>
        </w:rPr>
      </w:pPr>
      <w:r w:rsidRPr="0074694D">
        <w:rPr>
          <w:rtl/>
        </w:rPr>
        <w:t xml:space="preserve">שבת (דף ע"ג ע"ב) אמר רב ששת הי' לו גבשושית ונטלה בבית חייב משום בונה. ופרש"י שמתכוין להשוות קרקעיתו ותיבת "שמתכוין" לכאורה מיותר, והי' לו לפרש שמשוה קרקעיתו. ונראה דרש"י ז"ל כוון בזה כוונה מיוחדת </w:t>
      </w:r>
      <w:r w:rsidRPr="0074694D">
        <w:rPr>
          <w:rStyle w:val="afff7"/>
          <w:rtl/>
        </w:rPr>
        <w:t xml:space="preserve">על פי מה שכתב הר"ן סוף פרק הבונה בענין כתיבה בשבת דאין חילוק בין חק תוכות בין חק יריכות [אף דלגבי גט חק תוכות לאו כתיבה] דכל היכי דהוי מלאכת מחשבת מיחייב דהרי אפילו מוחק על מנת לכתוב מיחייב יעוין שם. </w:t>
      </w:r>
      <w:r w:rsidRPr="0074694D">
        <w:rPr>
          <w:rtl/>
        </w:rPr>
        <w:t xml:space="preserve">והכי נמי הוקשה לרש"י ז"ל שהרי קרקע הבית נשארת כמו שהי' והוא רק מסלק הגבשושית והוי דומיא דחק תוכות דלאו כתיבה מיקרי. דכל כותב עושה גוף האות וחק תוכות מקום האות נשאר כמות שהי' ותמונתו על ידי חקיקת הסביב. והכי נמי כל בונה עושה גוף הבנין. וזה קרקע הבית נשארת כמות שהי'. והוא רק מסלק הגבשושית. על זה תי' רש"י ז"ל שמתכוין להשוות קרקעיתו ועל ידי כוונתו נעשה מלאכה. </w:t>
      </w:r>
      <w:r w:rsidRPr="0074694D">
        <w:rPr>
          <w:rStyle w:val="afff7"/>
          <w:rtl/>
        </w:rPr>
        <w:t>וכמו שכתב הר"ן [ס"פ הבונה] בחק תוכות לענין שבת דחייב משום מלאכת מחשבת. וכמו מוחק על מנת לכתוב דמחייב משום כוונתו לכתוב, והכי נמי בבונה הלא סותר על מנת לבנות גם כן חייב משום כוונתו. כמו כן המסלק הגבשושית חייב כדברי הר"ן ממש:</w:t>
      </w:r>
    </w:p>
    <w:p w14:paraId="4A86BA2B" w14:textId="77777777" w:rsidR="00376F67" w:rsidRDefault="00376F67" w:rsidP="00376F67">
      <w:pPr>
        <w:pStyle w:val="afffff7"/>
        <w:rPr>
          <w:rtl/>
        </w:rPr>
      </w:pPr>
      <w:bookmarkStart w:id="4495" w:name="_Toc143767880"/>
      <w:bookmarkStart w:id="4496" w:name="_Toc163506068"/>
      <w:r>
        <w:rPr>
          <w:rtl/>
        </w:rPr>
        <w:t>מגן אברהם סימן שיג ס"ק י</w:t>
      </w:r>
      <w:r>
        <w:rPr>
          <w:rFonts w:hint="cs"/>
          <w:rtl/>
        </w:rPr>
        <w:t>"</w:t>
      </w:r>
      <w:r>
        <w:rPr>
          <w:rtl/>
        </w:rPr>
        <w:t>ז</w:t>
      </w:r>
      <w:bookmarkEnd w:id="4495"/>
      <w:bookmarkEnd w:id="4496"/>
    </w:p>
    <w:p w14:paraId="2DA0F0B8" w14:textId="77777777" w:rsidR="00376F67" w:rsidRDefault="00376F67" w:rsidP="00376F67">
      <w:pPr>
        <w:pStyle w:val="a7"/>
        <w:rPr>
          <w:rtl/>
        </w:rPr>
      </w:pPr>
      <w:bookmarkStart w:id="4497" w:name="_Toc143767763"/>
      <w:bookmarkStart w:id="4498" w:name="_Toc143770584"/>
      <w:r>
        <w:rPr>
          <w:rFonts w:hint="cs"/>
          <w:rtl/>
        </w:rPr>
        <w:t>בי' המג"א דהאיסור במשוה גומות בחצר הוא רק בכוונתו לתקן את החצר ובא"צ לזה מותר</w:t>
      </w:r>
      <w:bookmarkEnd w:id="4497"/>
      <w:bookmarkEnd w:id="4498"/>
    </w:p>
    <w:p w14:paraId="123F884E" w14:textId="34FE912D" w:rsidR="00376F67" w:rsidRPr="00CA4EEF" w:rsidRDefault="00376F67" w:rsidP="00BC7DC8">
      <w:pPr>
        <w:pStyle w:val="a3"/>
        <w:rPr>
          <w:rtl/>
        </w:rPr>
      </w:pPr>
      <w:bookmarkStart w:id="4499" w:name="_Ref143510801"/>
      <w:r>
        <w:rPr>
          <w:rFonts w:hint="cs"/>
          <w:rtl/>
        </w:rPr>
        <w:t xml:space="preserve">כתב </w:t>
      </w:r>
      <w:r w:rsidRPr="002C7085">
        <w:rPr>
          <w:rStyle w:val="aff4"/>
          <w:rFonts w:hint="cs"/>
          <w:vanish/>
          <w:rtl/>
        </w:rPr>
        <w:t>-</w:t>
      </w:r>
      <w:r w:rsidRPr="00D14328">
        <w:rPr>
          <w:rStyle w:val="aff4"/>
          <w:rFonts w:hint="cs"/>
          <w:rtl/>
        </w:rPr>
        <w:t>ה</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Ref143510801 \r \h</w:instrText>
      </w:r>
      <w:r w:rsidRPr="00FF7D8F">
        <w:rPr>
          <w:rStyle w:val="aff4"/>
          <w:vanish/>
          <w:rtl/>
        </w:rPr>
        <w:instrText xml:space="preserve">  \* </w:instrText>
      </w:r>
      <w:r w:rsidRPr="00FF7D8F">
        <w:rPr>
          <w:rStyle w:val="aff4"/>
          <w:vanish/>
        </w:rPr>
        <w:instrText>MERGEFORMAT</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יג)</w:t>
      </w:r>
      <w:r w:rsidRPr="00FF7D8F">
        <w:rPr>
          <w:rStyle w:val="aff4"/>
          <w:vanish/>
          <w:rtl/>
        </w:rPr>
        <w:fldChar w:fldCharType="end"/>
      </w:r>
      <w:r w:rsidRPr="00FF7D8F">
        <w:rPr>
          <w:rStyle w:val="aff4"/>
          <w:rFonts w:hint="cs"/>
          <w:vanish/>
          <w:rtl/>
        </w:rPr>
        <w:t xml:space="preserve"> &gt;</w:t>
      </w:r>
      <w:r w:rsidRPr="00D14328">
        <w:rPr>
          <w:rStyle w:val="aff4"/>
          <w:rFonts w:hint="cs"/>
          <w:rtl/>
        </w:rPr>
        <w:t>מג"א</w:t>
      </w:r>
      <w:r w:rsidRPr="002C7085">
        <w:rPr>
          <w:rStyle w:val="aff4"/>
          <w:rFonts w:hint="cs"/>
          <w:vanish/>
          <w:rtl/>
        </w:rPr>
        <w:t>-</w:t>
      </w:r>
      <w:r>
        <w:rPr>
          <w:rFonts w:hint="cs"/>
          <w:rtl/>
        </w:rPr>
        <w:t xml:space="preserve"> </w:t>
      </w:r>
      <w:r w:rsidRPr="00DB1D3B">
        <w:rPr>
          <w:rStyle w:val="af2"/>
          <w:rFonts w:eastAsia="Guttman Hodes" w:hint="cs"/>
          <w:rtl/>
        </w:rPr>
        <w:t>(סי' שי"ב סקי"ז)</w:t>
      </w:r>
      <w:r w:rsidRPr="002C7085">
        <w:rPr>
          <w:rFonts w:hint="cs"/>
          <w:vanish/>
          <w:rtl/>
        </w:rPr>
        <w:t>=</w:t>
      </w:r>
      <w:r>
        <w:rPr>
          <w:rFonts w:hint="cs"/>
          <w:rtl/>
        </w:rPr>
        <w:t xml:space="preserve"> דמותר לזרות תבן על חצר שהתקלקלה במי גשמים, כיון שאינו מבטלו שם, אבל אסור לזרות דבר שמבטלו בחצר משום אשווי גומות, אך כתב </w:t>
      </w:r>
      <w:r w:rsidRPr="002C7085">
        <w:rPr>
          <w:rStyle w:val="aff4"/>
          <w:rFonts w:hint="cs"/>
          <w:vanish/>
          <w:rtl/>
        </w:rPr>
        <w:t>-</w:t>
      </w:r>
      <w:r w:rsidRPr="00D14328">
        <w:rPr>
          <w:rStyle w:val="aff4"/>
          <w:rFonts w:hint="cs"/>
          <w:rtl/>
        </w:rPr>
        <w:t>המג"א</w:t>
      </w:r>
      <w:r w:rsidRPr="002C7085">
        <w:rPr>
          <w:rStyle w:val="aff4"/>
          <w:rFonts w:hint="cs"/>
          <w:vanish/>
          <w:rtl/>
        </w:rPr>
        <w:t>-</w:t>
      </w:r>
      <w:r>
        <w:rPr>
          <w:rFonts w:hint="cs"/>
          <w:rtl/>
        </w:rPr>
        <w:t xml:space="preserve"> דהאיסור בזה רק באופן שכוונתו לתקן את החצר, אבל כשא"צ לתקן מותר, כדמוכח מהא דמותר לכסות רוק באפר.</w:t>
      </w:r>
      <w:bookmarkEnd w:id="4499"/>
    </w:p>
    <w:p w14:paraId="2A5CDA6D" w14:textId="77777777" w:rsidR="00376F67" w:rsidRPr="0074694D" w:rsidRDefault="00376F67" w:rsidP="00376F67">
      <w:pPr>
        <w:pStyle w:val="a2"/>
        <w:tabs>
          <w:tab w:val="num" w:pos="284"/>
        </w:tabs>
        <w:rPr>
          <w:vanish w:val="0"/>
          <w:rtl/>
        </w:rPr>
      </w:pPr>
      <w:r w:rsidRPr="0074694D">
        <w:rPr>
          <w:rtl/>
        </w:rPr>
        <w:t xml:space="preserve">ולא חשיב כמוסיף. משום דלא מבטל ליה התם דחזי למאכל בהמה או לטיט אבל דבר דמבטל ליה התם אסור דאיכא משום אשוי גומות (גמ' ב"ח) ועסי' שע"ב סי"ו ונ"ל דדוקא הכא שבא לתקן החצר אסור דדמי לבנין אבל בע"א שרי דהא שרי לכסות רוק באפר כמ"ש ססי' ש"י כיון שאינו מכוין לבנין: </w:t>
      </w:r>
    </w:p>
    <w:p w14:paraId="47344304" w14:textId="77777777" w:rsidR="00376F67" w:rsidRDefault="00376F67" w:rsidP="00376F67">
      <w:pPr>
        <w:pStyle w:val="afffff7"/>
        <w:rPr>
          <w:rtl/>
        </w:rPr>
      </w:pPr>
      <w:bookmarkStart w:id="4500" w:name="_Toc143767881"/>
      <w:bookmarkStart w:id="4501" w:name="_Toc163506069"/>
      <w:r>
        <w:rPr>
          <w:rtl/>
        </w:rPr>
        <w:t>מגן אברהם סימן רמד ס"ק ח</w:t>
      </w:r>
      <w:r>
        <w:rPr>
          <w:rFonts w:hint="cs"/>
          <w:rtl/>
        </w:rPr>
        <w:t>'</w:t>
      </w:r>
      <w:bookmarkEnd w:id="4500"/>
      <w:bookmarkEnd w:id="4501"/>
    </w:p>
    <w:p w14:paraId="3AFBCBDE" w14:textId="77777777" w:rsidR="00376F67" w:rsidRDefault="00376F67" w:rsidP="00376F67">
      <w:pPr>
        <w:pStyle w:val="afffff7"/>
        <w:rPr>
          <w:rtl/>
        </w:rPr>
      </w:pPr>
      <w:bookmarkStart w:id="4502" w:name="_Toc143767882"/>
      <w:bookmarkStart w:id="4503" w:name="_Toc163506070"/>
      <w:r>
        <w:rPr>
          <w:rtl/>
        </w:rPr>
        <w:t>אבן האזל שבת פ"ב הי"ח</w:t>
      </w:r>
      <w:bookmarkEnd w:id="4502"/>
      <w:bookmarkEnd w:id="4503"/>
    </w:p>
    <w:p w14:paraId="68C8CE33" w14:textId="77777777" w:rsidR="00376F67" w:rsidRDefault="00376F67" w:rsidP="00376F67">
      <w:pPr>
        <w:pStyle w:val="afffff7"/>
        <w:rPr>
          <w:rtl/>
        </w:rPr>
      </w:pPr>
      <w:bookmarkStart w:id="4504" w:name="_Toc143767883"/>
      <w:bookmarkStart w:id="4505" w:name="_Toc163506071"/>
      <w:r>
        <w:rPr>
          <w:rtl/>
        </w:rPr>
        <w:t>נשמת אדם כלל מ סעיף א</w:t>
      </w:r>
      <w:bookmarkEnd w:id="4504"/>
      <w:bookmarkEnd w:id="4505"/>
    </w:p>
    <w:p w14:paraId="7A9B7076" w14:textId="77777777" w:rsidR="00376F67" w:rsidRDefault="00376F67" w:rsidP="00376F67">
      <w:pPr>
        <w:pStyle w:val="a7"/>
        <w:rPr>
          <w:rtl/>
        </w:rPr>
      </w:pPr>
      <w:bookmarkStart w:id="4506" w:name="_Toc143767764"/>
      <w:bookmarkStart w:id="4507" w:name="_Toc143770585"/>
      <w:r>
        <w:rPr>
          <w:rFonts w:hint="cs"/>
          <w:rtl/>
        </w:rPr>
        <w:t>בי' המג"א דהמסיר גבשושית ברה"ר הוי בונה דמתקן את הרחוב ובי' הנשמ"א דהיינו במבטל</w:t>
      </w:r>
      <w:bookmarkEnd w:id="4506"/>
      <w:bookmarkEnd w:id="4507"/>
    </w:p>
    <w:p w14:paraId="38365B53" w14:textId="16306E4B" w:rsidR="00376F67" w:rsidRPr="003658FF" w:rsidRDefault="00376F67" w:rsidP="00BC7DC8">
      <w:pPr>
        <w:pStyle w:val="a3"/>
        <w:rPr>
          <w:rtl/>
        </w:rPr>
      </w:pPr>
      <w:bookmarkStart w:id="4508" w:name="_Ref143446470"/>
      <w:bookmarkStart w:id="4509" w:name="_Ref143616209"/>
      <w:r>
        <w:rPr>
          <w:rFonts w:hint="cs"/>
          <w:rtl/>
        </w:rPr>
        <w:t xml:space="preserve">וע"ע </w:t>
      </w:r>
      <w:r w:rsidRPr="00EF4E3F">
        <w:rPr>
          <w:rStyle w:val="aff4"/>
          <w:rFonts w:hint="cs"/>
          <w:vanish/>
          <w:rtl/>
        </w:rPr>
        <w:t>-</w:t>
      </w:r>
      <w:r w:rsidRPr="00013089">
        <w:rPr>
          <w:rStyle w:val="aff4"/>
          <w:rFonts w:hint="cs"/>
          <w:rtl/>
        </w:rPr>
        <w:t>ב</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Ref143446470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יד)</w:t>
      </w:r>
      <w:r w:rsidRPr="00FF7D8F">
        <w:rPr>
          <w:rStyle w:val="aff4"/>
          <w:vanish/>
          <w:rtl/>
        </w:rPr>
        <w:fldChar w:fldCharType="end"/>
      </w:r>
      <w:r w:rsidRPr="00FF7D8F">
        <w:rPr>
          <w:rStyle w:val="aff4"/>
          <w:rFonts w:hint="cs"/>
          <w:vanish/>
          <w:rtl/>
        </w:rPr>
        <w:t xml:space="preserve"> &gt;</w:t>
      </w:r>
      <w:r w:rsidRPr="00013089">
        <w:rPr>
          <w:rStyle w:val="aff4"/>
          <w:rFonts w:hint="cs"/>
          <w:rtl/>
        </w:rPr>
        <w:t>מג"א</w:t>
      </w:r>
      <w:r w:rsidRPr="00EF4E3F">
        <w:rPr>
          <w:rStyle w:val="aff4"/>
          <w:rFonts w:hint="cs"/>
          <w:vanish/>
          <w:rtl/>
        </w:rPr>
        <w:t>-</w:t>
      </w:r>
      <w:r>
        <w:rPr>
          <w:rFonts w:hint="cs"/>
          <w:rtl/>
        </w:rPr>
        <w:t xml:space="preserve"> </w:t>
      </w:r>
      <w:r w:rsidRPr="00DB1D3B">
        <w:rPr>
          <w:rStyle w:val="af2"/>
          <w:rFonts w:eastAsia="Guttman Hodes" w:hint="cs"/>
          <w:rtl/>
        </w:rPr>
        <w:t>(סי' רמ"ד סק"ח)</w:t>
      </w:r>
      <w:r w:rsidRPr="00EF4E3F">
        <w:rPr>
          <w:rFonts w:hint="cs"/>
          <w:vanish/>
          <w:rtl/>
        </w:rPr>
        <w:t>=</w:t>
      </w:r>
      <w:r>
        <w:rPr>
          <w:rFonts w:hint="cs"/>
          <w:rtl/>
        </w:rPr>
        <w:t xml:space="preserve"> דכתב דהמסיר גבשושית מרה"ר, חייב משום בונה דהוא מתקן את הרחוב, וכתב </w:t>
      </w:r>
      <w:r w:rsidRPr="00557134">
        <w:rPr>
          <w:rStyle w:val="aff4"/>
          <w:rFonts w:hint="cs"/>
          <w:vanish/>
          <w:rtl/>
        </w:rPr>
        <w:t>-</w:t>
      </w:r>
      <w:r w:rsidRPr="003A0B4C">
        <w:rPr>
          <w:rStyle w:val="aff4"/>
          <w:rFonts w:hint="cs"/>
          <w:rtl/>
        </w:rPr>
        <w:t>ה</w:t>
      </w:r>
      <w:r w:rsidRPr="00557134">
        <w:rPr>
          <w:rStyle w:val="aff4"/>
          <w:rFonts w:hint="cs"/>
          <w:vanish/>
          <w:rtl/>
        </w:rPr>
        <w:t>&lt; &gt;</w:t>
      </w:r>
      <w:r w:rsidRPr="003A0B4C">
        <w:rPr>
          <w:rStyle w:val="aff4"/>
          <w:rFonts w:hint="cs"/>
          <w:rtl/>
        </w:rPr>
        <w:t>אבן האזל</w:t>
      </w:r>
      <w:r w:rsidRPr="00557134">
        <w:rPr>
          <w:rStyle w:val="aff4"/>
          <w:rFonts w:hint="cs"/>
          <w:vanish/>
          <w:rtl/>
        </w:rPr>
        <w:t>-</w:t>
      </w:r>
      <w:r>
        <w:rPr>
          <w:rFonts w:hint="cs"/>
          <w:rtl/>
        </w:rPr>
        <w:t xml:space="preserve"> </w:t>
      </w:r>
      <w:r w:rsidRPr="00557134">
        <w:rPr>
          <w:rStyle w:val="af2"/>
          <w:rFonts w:eastAsia="Guttman Hodes" w:hint="cs"/>
          <w:rtl/>
        </w:rPr>
        <w:t>(שבת</w:t>
      </w:r>
      <w:r>
        <w:rPr>
          <w:rFonts w:hint="cs"/>
          <w:rtl/>
        </w:rPr>
        <w:t xml:space="preserve"> </w:t>
      </w:r>
      <w:r w:rsidRPr="00557134">
        <w:rPr>
          <w:rStyle w:val="af2"/>
          <w:rFonts w:eastAsia="Guttman Hodes" w:hint="cs"/>
          <w:rtl/>
        </w:rPr>
        <w:t>פ"ב הי"ח)</w:t>
      </w:r>
      <w:r w:rsidRPr="00557134">
        <w:rPr>
          <w:rFonts w:hint="cs"/>
          <w:vanish/>
          <w:rtl/>
        </w:rPr>
        <w:t>=</w:t>
      </w:r>
      <w:r>
        <w:rPr>
          <w:rFonts w:hint="cs"/>
          <w:rtl/>
        </w:rPr>
        <w:t xml:space="preserve"> דזהו החיוב במפקח גל, דחשיב כבונה, ועי' במ"ש </w:t>
      </w:r>
      <w:r w:rsidRPr="00557134">
        <w:rPr>
          <w:rStyle w:val="aff4"/>
          <w:rFonts w:hint="cs"/>
          <w:vanish/>
          <w:rtl/>
        </w:rPr>
        <w:t>-</w:t>
      </w:r>
      <w:r w:rsidRPr="003A0B4C">
        <w:rPr>
          <w:rStyle w:val="aff4"/>
          <w:rFonts w:hint="cs"/>
          <w:rtl/>
        </w:rPr>
        <w:t>ה</w:t>
      </w:r>
      <w:r w:rsidRPr="00557134">
        <w:rPr>
          <w:rStyle w:val="aff4"/>
          <w:rFonts w:hint="cs"/>
          <w:vanish/>
          <w:rtl/>
        </w:rPr>
        <w:t>&lt; &gt;</w:t>
      </w:r>
      <w:r w:rsidRPr="003A0B4C">
        <w:rPr>
          <w:rStyle w:val="aff4"/>
          <w:rFonts w:hint="cs"/>
          <w:rtl/>
        </w:rPr>
        <w:t>נשמת אדם</w:t>
      </w:r>
      <w:r w:rsidRPr="00557134">
        <w:rPr>
          <w:rStyle w:val="aff4"/>
          <w:rFonts w:hint="cs"/>
          <w:vanish/>
          <w:rtl/>
        </w:rPr>
        <w:t>-</w:t>
      </w:r>
      <w:r>
        <w:rPr>
          <w:rFonts w:hint="cs"/>
          <w:rtl/>
        </w:rPr>
        <w:t xml:space="preserve"> </w:t>
      </w:r>
      <w:r w:rsidRPr="00557134">
        <w:rPr>
          <w:rStyle w:val="af2"/>
          <w:rFonts w:eastAsia="Guttman Hodes" w:hint="cs"/>
          <w:rtl/>
        </w:rPr>
        <w:t>(כלל מ' סק"א)</w:t>
      </w:r>
      <w:r w:rsidRPr="00557134">
        <w:rPr>
          <w:rFonts w:hint="cs"/>
          <w:vanish/>
          <w:rtl/>
        </w:rPr>
        <w:t>=</w:t>
      </w:r>
      <w:r>
        <w:rPr>
          <w:rFonts w:hint="cs"/>
          <w:rtl/>
        </w:rPr>
        <w:t xml:space="preserve"> דרק גומא מחוברת הוי בנין, אבל בתלוש החיוב הוא דוקא בעפר או זבל שמבטלו דכשנוטלו הוא כבונה, אבל בדעתו שינטל משם אינו בנין.</w:t>
      </w:r>
      <w:bookmarkEnd w:id="4508"/>
      <w:r>
        <w:rPr>
          <w:rFonts w:hint="cs"/>
          <w:rtl/>
        </w:rPr>
        <w:t xml:space="preserve"> </w:t>
      </w:r>
      <w:bookmarkEnd w:id="4509"/>
    </w:p>
    <w:p w14:paraId="185A4DC1" w14:textId="77777777" w:rsidR="00376F67" w:rsidRPr="0074694D" w:rsidRDefault="00376F67" w:rsidP="00376F67">
      <w:pPr>
        <w:pStyle w:val="a2"/>
        <w:tabs>
          <w:tab w:val="num" w:pos="284"/>
        </w:tabs>
        <w:rPr>
          <w:rStyle w:val="afff7"/>
          <w:vanish w:val="0"/>
          <w:rtl/>
        </w:rPr>
      </w:pPr>
      <w:r w:rsidRPr="0074694D">
        <w:rPr>
          <w:rStyle w:val="afff7"/>
          <w:rtl/>
        </w:rPr>
        <w:t>פה בעירנו נוהגין היתר לשכור עכו"ם בקבלנות ליקח הזבל מן הרחוב והעכו"ם עושים המלאכה בשבת</w:t>
      </w:r>
      <w:r w:rsidRPr="0074694D">
        <w:rPr>
          <w:rtl/>
        </w:rPr>
        <w:t xml:space="preserve"> ואף ע"ג דמלאכה דאורייתא כדאמרינן היתה לו גבשושית ונטלה חייב משום בונה דמתקן הרחוב </w:t>
      </w:r>
      <w:r w:rsidRPr="0074694D">
        <w:rPr>
          <w:rStyle w:val="afff7"/>
          <w:rtl/>
        </w:rPr>
        <w:t>וצ"ל דגדול א' הורה להם כך משום דבשל רבים ליכא חשדא</w:t>
      </w:r>
      <w:r w:rsidRPr="0074694D">
        <w:rPr>
          <w:rStyle w:val="afff7"/>
          <w:rFonts w:hint="cs"/>
          <w:rtl/>
        </w:rPr>
        <w:t>.</w:t>
      </w:r>
      <w:r w:rsidRPr="0074694D">
        <w:rPr>
          <w:rStyle w:val="afff7"/>
          <w:rtl/>
        </w:rPr>
        <w:t xml:space="preserve"> </w:t>
      </w:r>
    </w:p>
    <w:p w14:paraId="5B65AD58" w14:textId="77777777" w:rsidR="00376F67" w:rsidRPr="00954231" w:rsidRDefault="00376F67" w:rsidP="00376F67">
      <w:pPr>
        <w:pStyle w:val="afffff5"/>
        <w:rPr>
          <w:vanish w:val="0"/>
          <w:rtl/>
        </w:rPr>
      </w:pPr>
      <w:r w:rsidRPr="00954231">
        <w:rPr>
          <w:rtl/>
        </w:rPr>
        <w:t>[יח] מי שנפלה עליו מפולת ספק הוא שם ספק אינו שם מפקחין עליו.</w:t>
      </w:r>
    </w:p>
    <w:p w14:paraId="66B7E6B4" w14:textId="77777777" w:rsidR="00376F67" w:rsidRPr="00954231" w:rsidRDefault="00376F67" w:rsidP="00376F67">
      <w:pPr>
        <w:pStyle w:val="afffff5"/>
        <w:rPr>
          <w:vanish w:val="0"/>
          <w:rtl/>
        </w:rPr>
      </w:pPr>
      <w:r w:rsidRPr="00954231">
        <w:rPr>
          <w:rtl/>
        </w:rPr>
        <w:t xml:space="preserve">צ"ע איזה מלאכה הוא פקוח הגל ולכאורה היה נראה שהוא מלאכת סותר אם הוא סותר גם חלק הבית שנשאר, אבל מדברי המפרשים ראיתי שפי' מפקח פותח וכן הוא בערוך, ע"כ נראה דהחיוב הוא משום בונה וכן מצאתי בשולחן עצי שטים במלאכת בונה דלהסיר הזבל מן הרחוב הוא בונה וכ"כ המג"א בסי' רמ"ד סקפ"ה. </w:t>
      </w:r>
    </w:p>
    <w:p w14:paraId="381A6A26" w14:textId="77777777" w:rsidR="00376F67" w:rsidRPr="00954231" w:rsidRDefault="00376F67" w:rsidP="00376F67">
      <w:pPr>
        <w:pStyle w:val="afffff5"/>
        <w:rPr>
          <w:vanish w:val="0"/>
          <w:rtl/>
        </w:rPr>
      </w:pPr>
      <w:r w:rsidRPr="00954231">
        <w:rPr>
          <w:rtl/>
        </w:rPr>
        <w:t xml:space="preserve">א כתב המ"א בסי' רמ"ד דפנוי זבל שברחוב הוי מלאכה דאורייתא, כדאמרינן היתה לו גבשושית ונטלה חייב משום בונה כיון שמתקן הרחוב, עכ"ל, ע"ש, וכוונתו דאע"ג דא"צ אלא לעפרה מ"מ כיון שמתקן הרחוב הוי בונה. וצ"ע דמשמע דהא דאמרינן גבשושית ונטלה היינו גבשושית שהוא מחובר לקרקע, משא"כ הזבל שברחוב שהוא תלוש, ומה בכך שכוונתו לתקן הרחוב, </w:t>
      </w:r>
      <w:r w:rsidRPr="00954231">
        <w:rPr>
          <w:rStyle w:val="afff7"/>
          <w:rtl/>
        </w:rPr>
        <w:t xml:space="preserve">וכי נאמר שהמפנה כלים שברחוב ושבבית דחייב משום בונה כיון שמתקן בכך, וכ"כ המ"א בסימן תצ"ח ס"ק ל"ב דדוקא בקרקע עולם שייך חפירה, ואף שכתב שם דגומא שייך אפילו בעפר תלוש, היינו משום בנין הגומא, אבל בפנוי זבל דעכ"פ א"צ לגומא ומה חיוב יש בזה. וממה שכתב המ"א בסי' תק"ז דמותר ליטול ביום טוב טיט שברחוב לסתום התנור דהוי תלוש, לא קשה, די"ל דהתם כיון דא"צ אלא לעפרה מותר משום שמחת יום טוב, וע"ש בהל' י"ט מה שכתבתי שם, וצ"ל דס"ל למ"א כיון שזרקו ברחוב בטל לקרקע עולם. והא דבסי' תרל"ג סעיף ד' והוא גמ' ערוכה בסוכה מבואר דאפי' עפר סתם אינו בטל עד שיבטלנו בפה, </w:t>
      </w:r>
      <w:r w:rsidRPr="00954231">
        <w:rPr>
          <w:rtl/>
        </w:rPr>
        <w:t>י"ל דדוקא בבית וסוכה לא בטל ממילא אבל ברחוב אף בסתם בטל, וכ"כ המ"א בסי' שע"ב ס"ק כ"ז:</w:t>
      </w:r>
    </w:p>
    <w:p w14:paraId="6866F6B7" w14:textId="77777777" w:rsidR="00376F67" w:rsidRPr="003A0B4C" w:rsidRDefault="00376F67" w:rsidP="00376F67">
      <w:pPr>
        <w:pStyle w:val="afff6"/>
        <w:rPr>
          <w:vanish/>
          <w:rtl/>
        </w:rPr>
      </w:pPr>
      <w:r w:rsidRPr="003A0B4C">
        <w:rPr>
          <w:vanish/>
          <w:rtl/>
        </w:rPr>
        <w:t xml:space="preserve">ואמנם נ"ל דדוקא בסתם עפר י"ל דבטל ברחוב, אבל זבל שברחוב במקום שדרך לפנות את הרחוב לכ"ע לא בטיל, </w:t>
      </w:r>
      <w:r w:rsidRPr="003A0B4C">
        <w:rPr>
          <w:rStyle w:val="afff7"/>
          <w:vanish/>
          <w:rtl/>
        </w:rPr>
        <w:t xml:space="preserve">כדאי' בהדיא בסוכה ד' ובעירובין ע"ט ע"א, דדוקא בחריץ סתם עפר בטיל, דלטמיא קאי אבל בית כיון דלא לטמיא קאי, </w:t>
      </w:r>
      <w:r w:rsidRPr="003A0B4C">
        <w:rPr>
          <w:vanish/>
          <w:rtl/>
        </w:rPr>
        <w:t>בעינן דוקא שיבטל להדיא (ועיין בפרק ט"ו דאהלות בתי"ט שם) ומעשים בכל יום שזורקין החול שמכבדין מן הבית לחצר ולרחוב. וכן מותר לכסות רוק וצואה וכן מפזרין חול בחצר לנוי, ולא הוי כמוסיף על הבנין, משום דדעתו לפנותו. ובאמת נ"ל דחצר שאין דרך לפנותו וכן בעיירות קטנות שאין מפנין אותן לעולם, דבזה צדקו דברי המ"א דהוי איסור דאוריתא, וא"כ ה"ה דאסור שם לפזר חול אפילו לנוי, ואף שהמ"א בסוף סי' שי"ג כתב דמותר לפזר חול בחצר כיון שאין כוונתו לתקן החצר, גם זה צ"ע לפי מה שכתב הש"ע בסי' ש"כ דאפילו פסיק רישא דלא איכפת ליה עכ"פ אסור, וא"כ כיון שאילו היה מתכוין לתקן אסור, וא"כ אפילו בלא מתכוין אסור דהוי עכ"פ פ"ר דלא איכפת ליה, אבל לדידי ניחא דכיון דדעתו לפנותו אין כאן בנין כלל. ואה"נ בחצר ורחוב שאין מפנין אותן אפשר דאפילו בסתם בטל דדמי לחריץ, ולהכי בש"ע סימן ש"ח סעיף ל"ד ובסי' תצ"ח כתב דמכניס מלא קופתו וצוברו במקום א' דמותר להשתמש בו ולא אמרינן דהוי כגבשושית, היינו משום דעתיד לפנותו. ומש"כ בסימן ש"ח סעיף ל"ח דאם אינו צבור בטל לגבי קרקע הבית, אין כוונתו דהוי כגוף הקרקע, דא"כ תיפוק ליה דאסור מדאורייתא, והתם משמע דטעמא רק משום מוקצה, אלא הכוונה דבטל לענין תשמיש והוי מוקצה דלא הכין מע"ש, דכיון שפזרו מוכח שאין דעתו להשתמש בו, אבל בנין אין בו דכיון דמסתמא מפנה ביתו. ויש לדמות זה לסי' תקי"ח סעיף ח' דסמוך לדפנות, כיון שהדפנות נארג ואלו אין נארגין אין כאן סתירה וע"ש בט"ז, ובאמת משמעות לשון המ"א משמע הכי וכמש"כ הב"י ודבריו ברורים, ודברי רש"ל שם צ"ע כמו שהאריך הט"ז. ולגבי סכך כיון שגם הסכך אינו ארוג הכל שוה ויש בו משום סתירה, (וע"ש בביצה ברש"י), ונ"ל דדומה לזה, דבקרקע מרוצף באבנים או קרשים לא בטיל מסתמא דעשוי לכבד ולפנות, משא"כ כשאינו מרוצף נ"ל דאסור גם לפזר ואפילו לנוי, ואז הפנוי הוא איסור דאורייתא כמ"ש המ"א ואז אסור גם ליטול בי"ט, דהוי כמו גבשושית וכדברי המ"א בסימן רמ"ד:</w:t>
      </w:r>
    </w:p>
    <w:p w14:paraId="5113AC30" w14:textId="77777777" w:rsidR="00376F67" w:rsidRPr="003A0B4C" w:rsidRDefault="00376F67" w:rsidP="00376F67">
      <w:pPr>
        <w:pStyle w:val="afff6"/>
        <w:rPr>
          <w:vanish/>
          <w:rtl/>
        </w:rPr>
      </w:pPr>
      <w:r w:rsidRPr="003A0B4C">
        <w:rPr>
          <w:vanish/>
          <w:rtl/>
        </w:rPr>
        <w:t xml:space="preserve">ואמנם כל זה הוא בזבל ואשפות, ואפשר שזה היה הטעם של המתיר בקאליש ולא כמש"כ המ"א דהוי רבים. ואמנם רפש וטיט שמרחוב עצמו מחמת הגשמים, בזה בודאי הוי איסור דאורייתא כשמכבד או מפנה וכמ"ש המ"א, דזה בטל בודאי לרחוב: </w:t>
      </w:r>
    </w:p>
    <w:p w14:paraId="7AC181E1" w14:textId="77777777" w:rsidR="00376F67" w:rsidRDefault="00376F67" w:rsidP="00376F67">
      <w:pPr>
        <w:pStyle w:val="afffff7"/>
        <w:rPr>
          <w:rtl/>
        </w:rPr>
      </w:pPr>
      <w:bookmarkStart w:id="4510" w:name="_Toc143767884"/>
      <w:bookmarkStart w:id="4511" w:name="_Toc163506072"/>
      <w:r>
        <w:rPr>
          <w:rtl/>
        </w:rPr>
        <w:t>פני יהושע שבת ע"ג ע"ב</w:t>
      </w:r>
      <w:r>
        <w:rPr>
          <w:rFonts w:hint="cs"/>
          <w:rtl/>
        </w:rPr>
        <w:t xml:space="preserve"> ד"ה מכדי</w:t>
      </w:r>
      <w:bookmarkEnd w:id="4510"/>
      <w:bookmarkEnd w:id="4511"/>
    </w:p>
    <w:p w14:paraId="6CA089C6" w14:textId="77777777" w:rsidR="00376F67" w:rsidRDefault="00376F67" w:rsidP="00376F67">
      <w:pPr>
        <w:pStyle w:val="a7"/>
        <w:rPr>
          <w:rtl/>
        </w:rPr>
      </w:pPr>
      <w:bookmarkStart w:id="4512" w:name="_Toc143767765"/>
      <w:bookmarkStart w:id="4513" w:name="_Toc143770586"/>
      <w:r>
        <w:rPr>
          <w:rFonts w:hint="cs"/>
          <w:rtl/>
        </w:rPr>
        <w:t>בי' הפנ"י דהחורש להשוות גומות חייב משום בונה ומשמע דאף שלא עשה כן בבית הוי בונה</w:t>
      </w:r>
      <w:bookmarkEnd w:id="4512"/>
      <w:bookmarkEnd w:id="4513"/>
    </w:p>
    <w:p w14:paraId="65D266A4" w14:textId="409A2EAA" w:rsidR="00376F67" w:rsidRPr="00332B94" w:rsidRDefault="00376F67" w:rsidP="00BC7DC8">
      <w:pPr>
        <w:pStyle w:val="a3"/>
        <w:rPr>
          <w:rtl/>
        </w:rPr>
      </w:pPr>
      <w:bookmarkStart w:id="4514" w:name="_Ref143446226"/>
      <w:r>
        <w:rPr>
          <w:rFonts w:hint="cs"/>
          <w:rtl/>
        </w:rPr>
        <w:t xml:space="preserve">ועי' </w:t>
      </w:r>
      <w:r w:rsidRPr="00EF4E3F">
        <w:rPr>
          <w:rStyle w:val="aff4"/>
          <w:rFonts w:hint="cs"/>
          <w:vanish/>
          <w:rtl/>
        </w:rPr>
        <w:t>-</w:t>
      </w:r>
      <w:r w:rsidRPr="00013089">
        <w:rPr>
          <w:rStyle w:val="aff4"/>
          <w:rFonts w:hint="cs"/>
          <w:rtl/>
        </w:rPr>
        <w:t>ב</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Ref143446226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טו)</w:t>
      </w:r>
      <w:r w:rsidRPr="00FF7D8F">
        <w:rPr>
          <w:rStyle w:val="aff4"/>
          <w:vanish/>
          <w:rtl/>
        </w:rPr>
        <w:fldChar w:fldCharType="end"/>
      </w:r>
      <w:r w:rsidRPr="00FF7D8F">
        <w:rPr>
          <w:rStyle w:val="aff4"/>
          <w:rFonts w:hint="cs"/>
          <w:vanish/>
          <w:rtl/>
        </w:rPr>
        <w:t xml:space="preserve"> &gt;</w:t>
      </w:r>
      <w:r w:rsidRPr="00013089">
        <w:rPr>
          <w:rStyle w:val="aff4"/>
          <w:rFonts w:hint="cs"/>
          <w:rtl/>
        </w:rPr>
        <w:t>פנ"י לעיל</w:t>
      </w:r>
      <w:r w:rsidRPr="00EF4E3F">
        <w:rPr>
          <w:rStyle w:val="aff4"/>
          <w:rFonts w:hint="cs"/>
          <w:vanish/>
          <w:rtl/>
        </w:rPr>
        <w:t>-</w:t>
      </w:r>
      <w:r>
        <w:rPr>
          <w:rFonts w:hint="cs"/>
          <w:rtl/>
        </w:rPr>
        <w:t xml:space="preserve"> </w:t>
      </w:r>
      <w:r w:rsidRPr="00DB1D3B">
        <w:rPr>
          <w:rStyle w:val="af2"/>
          <w:rFonts w:eastAsia="Guttman Hodes" w:hint="cs"/>
          <w:rtl/>
        </w:rPr>
        <w:t>(עג: ד"ה מכדי)</w:t>
      </w:r>
      <w:r w:rsidRPr="00EF4E3F">
        <w:rPr>
          <w:rFonts w:hint="cs"/>
          <w:vanish/>
          <w:rtl/>
        </w:rPr>
        <w:t>=</w:t>
      </w:r>
      <w:r>
        <w:rPr>
          <w:rFonts w:hint="cs"/>
          <w:rtl/>
        </w:rPr>
        <w:t xml:space="preserve"> דכתב דהחורש שלא לצורך זריעה אלא בכדי להשוות גומות, אין בו חיוב חורש אלא בונה, ומבואר מדבריו דחיוב משוה גומות הוא אף בשדה ולא בבית, ואינו מדין תיקון הבית.</w:t>
      </w:r>
      <w:bookmarkEnd w:id="4514"/>
    </w:p>
    <w:p w14:paraId="53B88934" w14:textId="77777777" w:rsidR="00376F67" w:rsidRPr="0074694D" w:rsidRDefault="00376F67" w:rsidP="00376F67">
      <w:pPr>
        <w:pStyle w:val="a2"/>
        <w:tabs>
          <w:tab w:val="num" w:pos="284"/>
        </w:tabs>
        <w:rPr>
          <w:vanish w:val="0"/>
          <w:rtl/>
        </w:rPr>
      </w:pPr>
      <w:r w:rsidRPr="0074694D">
        <w:rPr>
          <w:rtl/>
        </w:rPr>
        <w:t>בגמרא מכדי מכרב כרבי ברישא ליתני חורש וכו'. וכתבו התוס' דבכה"ג הוי מצי למידק לענין המכבה והמבעיר אלא דעיקר דיוקא דהכא היינו משום דסידורא דפת נקיט. ולענ"ד נראה שאין צורך לזה דדוקא לענין חרישה קשיא ליה דהו"ל למיתני החורש והזורע כיון דלקושטא דמילתא לא חייב משום חורש אלא לזריעה ובמקום שראוי לזריעה אבל כשחורש במקום שאינו ראוי לזריעה כגון בצונמא או שחורש שלא לצורך זריעה אלא לאשוויי גומות אינו חייב משום חורש אלא משום בונה כדאמרינן בסמוך</w:t>
      </w:r>
      <w:r w:rsidRPr="0074694D">
        <w:rPr>
          <w:rFonts w:hint="cs"/>
          <w:rtl/>
        </w:rPr>
        <w:t>.</w:t>
      </w:r>
    </w:p>
    <w:p w14:paraId="697471BF" w14:textId="77777777" w:rsidR="00376F67" w:rsidRPr="00B30BA5" w:rsidRDefault="00376F67" w:rsidP="00376F67">
      <w:pPr>
        <w:pStyle w:val="1"/>
        <w:rPr>
          <w:rtl/>
        </w:rPr>
      </w:pPr>
      <w:bookmarkStart w:id="4515" w:name="_Toc143767766"/>
      <w:bookmarkStart w:id="4516" w:name="_Toc143770587"/>
      <w:r>
        <w:rPr>
          <w:rFonts w:hint="cs"/>
          <w:rtl/>
        </w:rPr>
        <w:t>פלו' רש"י והרי"ד בגומא וא"צ לה אי מקלקל או ל"ה מלאכה</w:t>
      </w:r>
      <w:bookmarkEnd w:id="4515"/>
      <w:bookmarkEnd w:id="4516"/>
    </w:p>
    <w:p w14:paraId="333C8EC5" w14:textId="77777777" w:rsidR="00376F67" w:rsidRDefault="00376F67" w:rsidP="00376F67">
      <w:pPr>
        <w:pStyle w:val="afffff7"/>
        <w:rPr>
          <w:rtl/>
        </w:rPr>
      </w:pPr>
      <w:bookmarkStart w:id="4517" w:name="_Toc143767885"/>
      <w:bookmarkStart w:id="4518" w:name="_Toc163506073"/>
      <w:r>
        <w:rPr>
          <w:rtl/>
        </w:rPr>
        <w:t>רש"י שבת ע"ג ע"ב</w:t>
      </w:r>
      <w:r>
        <w:rPr>
          <w:rFonts w:hint="cs"/>
          <w:rtl/>
        </w:rPr>
        <w:t xml:space="preserve"> ד"ה פטור</w:t>
      </w:r>
      <w:bookmarkEnd w:id="4517"/>
      <w:bookmarkEnd w:id="4518"/>
    </w:p>
    <w:p w14:paraId="353DE200" w14:textId="77777777" w:rsidR="00376F67" w:rsidRDefault="00376F67" w:rsidP="00376F67">
      <w:pPr>
        <w:pStyle w:val="afffff7"/>
        <w:rPr>
          <w:rtl/>
        </w:rPr>
      </w:pPr>
      <w:bookmarkStart w:id="4519" w:name="_Toc143767886"/>
      <w:bookmarkStart w:id="4520" w:name="_Toc163506074"/>
      <w:r>
        <w:rPr>
          <w:rtl/>
        </w:rPr>
        <w:t>רש"י ביצה ח' ע"א</w:t>
      </w:r>
      <w:r>
        <w:rPr>
          <w:rFonts w:hint="cs"/>
          <w:rtl/>
        </w:rPr>
        <w:t xml:space="preserve"> ד"ה פטור</w:t>
      </w:r>
      <w:bookmarkEnd w:id="4519"/>
      <w:bookmarkEnd w:id="4520"/>
    </w:p>
    <w:p w14:paraId="2213E9F3" w14:textId="77777777" w:rsidR="00376F67" w:rsidRDefault="00376F67" w:rsidP="00376F67">
      <w:pPr>
        <w:pStyle w:val="a7"/>
        <w:rPr>
          <w:rtl/>
        </w:rPr>
      </w:pPr>
      <w:bookmarkStart w:id="4521" w:name="_Toc143767767"/>
      <w:bookmarkStart w:id="4522" w:name="_Toc143770588"/>
      <w:r>
        <w:rPr>
          <w:rFonts w:hint="cs"/>
          <w:rtl/>
        </w:rPr>
        <w:t>בי' רש"י דחופר גומא בבית וא"צ אלא לעפרה הוא מקלקל בבנין הגומא ובצריך לה הוי בונה</w:t>
      </w:r>
      <w:bookmarkEnd w:id="4521"/>
      <w:bookmarkEnd w:id="4522"/>
    </w:p>
    <w:p w14:paraId="7102E1D8" w14:textId="0489053C" w:rsidR="00376F67" w:rsidRPr="00AD70AD" w:rsidRDefault="00376F67" w:rsidP="00BC7DC8">
      <w:pPr>
        <w:pStyle w:val="a3"/>
        <w:rPr>
          <w:rtl/>
        </w:rPr>
      </w:pPr>
      <w:bookmarkStart w:id="4523" w:name="_Ref143444721"/>
      <w:r>
        <w:rPr>
          <w:rFonts w:hint="cs"/>
          <w:rtl/>
        </w:rPr>
        <w:t xml:space="preserve">בהא דאיתא בגמ' לעיל </w:t>
      </w:r>
      <w:r w:rsidRPr="00DB1D3B">
        <w:rPr>
          <w:rStyle w:val="af2"/>
          <w:rFonts w:eastAsia="Guttman Hodes" w:hint="cs"/>
          <w:rtl/>
        </w:rPr>
        <w:t>(עג:)</w:t>
      </w:r>
      <w:r>
        <w:rPr>
          <w:rFonts w:hint="cs"/>
          <w:rtl/>
        </w:rPr>
        <w:t xml:space="preserve"> דהחופר גומא וא"צ אלא לעפרה פטור משום מקלקל אף לר"י, כתב </w:t>
      </w:r>
      <w:r w:rsidRPr="00FF7D8F">
        <w:rPr>
          <w:rFonts w:hint="cs"/>
          <w:vanish/>
          <w:rtl/>
        </w:rPr>
        <w:t xml:space="preserve">&lt;, </w:t>
      </w:r>
      <w:r w:rsidRPr="00FF7D8F">
        <w:rPr>
          <w:vanish/>
          <w:rtl/>
        </w:rPr>
        <w:fldChar w:fldCharType="begin"/>
      </w:r>
      <w:r w:rsidRPr="00FF7D8F">
        <w:rPr>
          <w:vanish/>
          <w:rtl/>
        </w:rPr>
        <w:instrText xml:space="preserve"> </w:instrText>
      </w:r>
      <w:r w:rsidRPr="00FF7D8F">
        <w:rPr>
          <w:rFonts w:hint="cs"/>
          <w:vanish/>
        </w:rPr>
        <w:instrText>REF</w:instrText>
      </w:r>
      <w:r w:rsidRPr="00FF7D8F">
        <w:rPr>
          <w:rFonts w:hint="cs"/>
          <w:vanish/>
          <w:rtl/>
        </w:rPr>
        <w:instrText xml:space="preserve"> _</w:instrText>
      </w:r>
      <w:r w:rsidRPr="00FF7D8F">
        <w:rPr>
          <w:rFonts w:hint="cs"/>
          <w:vanish/>
        </w:rPr>
        <w:instrText>Ref143444721 \r \h</w:instrText>
      </w:r>
      <w:r w:rsidRPr="00FF7D8F">
        <w:rPr>
          <w:vanish/>
          <w:rtl/>
        </w:rPr>
        <w:instrText xml:space="preserve"> </w:instrText>
      </w:r>
      <w:r w:rsidRPr="00FF7D8F">
        <w:rPr>
          <w:vanish/>
          <w:rtl/>
        </w:rPr>
      </w:r>
      <w:r w:rsidRPr="00FF7D8F">
        <w:rPr>
          <w:vanish/>
          <w:rtl/>
        </w:rPr>
        <w:fldChar w:fldCharType="separate"/>
      </w:r>
      <w:r w:rsidR="00D82181">
        <w:rPr>
          <w:vanish/>
          <w:cs/>
        </w:rPr>
        <w:t>‎</w:t>
      </w:r>
      <w:r w:rsidR="00D82181">
        <w:rPr>
          <w:vanish/>
          <w:rtl/>
        </w:rPr>
        <w:t>טז)</w:t>
      </w:r>
      <w:r w:rsidRPr="00FF7D8F">
        <w:rPr>
          <w:vanish/>
          <w:rtl/>
        </w:rPr>
        <w:fldChar w:fldCharType="end"/>
      </w:r>
      <w:r w:rsidRPr="00FF7D8F">
        <w:rPr>
          <w:rFonts w:hint="cs"/>
          <w:vanish/>
          <w:rtl/>
        </w:rPr>
        <w:t xml:space="preserve"> &gt;</w:t>
      </w:r>
      <w:r w:rsidRPr="00EF4E3F">
        <w:rPr>
          <w:rStyle w:val="aff4"/>
          <w:rFonts w:hint="cs"/>
          <w:vanish/>
          <w:rtl/>
        </w:rPr>
        <w:t>-</w:t>
      </w:r>
      <w:r w:rsidRPr="00013089">
        <w:rPr>
          <w:rStyle w:val="aff4"/>
          <w:rFonts w:hint="cs"/>
          <w:rtl/>
        </w:rPr>
        <w:t>רש"י לעיל</w:t>
      </w:r>
      <w:r w:rsidRPr="00EF4E3F">
        <w:rPr>
          <w:rStyle w:val="aff4"/>
          <w:rFonts w:hint="cs"/>
          <w:vanish/>
          <w:rtl/>
        </w:rPr>
        <w:t>-</w:t>
      </w:r>
      <w:r>
        <w:rPr>
          <w:rFonts w:hint="cs"/>
          <w:rtl/>
        </w:rPr>
        <w:t xml:space="preserve"> </w:t>
      </w:r>
      <w:r w:rsidRPr="00DB1D3B">
        <w:rPr>
          <w:rStyle w:val="af2"/>
          <w:rFonts w:eastAsia="Guttman Hodes" w:hint="cs"/>
          <w:rtl/>
        </w:rPr>
        <w:t>(עג: ד"ה פטור)</w:t>
      </w:r>
      <w:r w:rsidRPr="00EF4E3F">
        <w:rPr>
          <w:rFonts w:hint="cs"/>
          <w:vanish/>
          <w:rtl/>
        </w:rPr>
        <w:t>=</w:t>
      </w:r>
      <w:r>
        <w:rPr>
          <w:rFonts w:hint="cs"/>
          <w:rtl/>
        </w:rPr>
        <w:t xml:space="preserve"> דאין בזה משום בנין כיון דהגומא היא קלקול בבית, אבל כשהוא צריך את הגומא חייב משום בונה, וכ"כ </w:t>
      </w:r>
      <w:r w:rsidRPr="00FF7D8F">
        <w:rPr>
          <w:rFonts w:hint="cs"/>
          <w:vanish/>
          <w:rtl/>
        </w:rPr>
        <w:t>&lt; &gt;</w:t>
      </w:r>
      <w:r w:rsidRPr="00EF4E3F">
        <w:rPr>
          <w:rStyle w:val="aff4"/>
          <w:rFonts w:hint="cs"/>
          <w:vanish/>
          <w:rtl/>
        </w:rPr>
        <w:t>-</w:t>
      </w:r>
      <w:r w:rsidRPr="00013089">
        <w:rPr>
          <w:rStyle w:val="aff4"/>
          <w:rFonts w:hint="cs"/>
          <w:rtl/>
        </w:rPr>
        <w:t>רש"י בביצה</w:t>
      </w:r>
      <w:r w:rsidRPr="00EF4E3F">
        <w:rPr>
          <w:rStyle w:val="aff4"/>
          <w:rFonts w:hint="cs"/>
          <w:vanish/>
          <w:rtl/>
        </w:rPr>
        <w:t>-</w:t>
      </w:r>
      <w:r>
        <w:rPr>
          <w:rFonts w:hint="cs"/>
          <w:rtl/>
        </w:rPr>
        <w:t xml:space="preserve"> </w:t>
      </w:r>
      <w:r w:rsidRPr="00DB1D3B">
        <w:rPr>
          <w:rStyle w:val="af2"/>
          <w:rFonts w:eastAsia="Guttman Hodes" w:hint="cs"/>
          <w:rtl/>
        </w:rPr>
        <w:t>(ח. ד"ה פטור)</w:t>
      </w:r>
      <w:r w:rsidRPr="00EF4E3F">
        <w:rPr>
          <w:rFonts w:hint="cs"/>
          <w:vanish/>
          <w:rtl/>
        </w:rPr>
        <w:t>=</w:t>
      </w:r>
      <w:r>
        <w:rPr>
          <w:rFonts w:hint="cs"/>
          <w:rtl/>
        </w:rPr>
        <w:t xml:space="preserve"> דאינו בונה אלא מקלקל וכל המקלקלים פטורים.</w:t>
      </w:r>
      <w:bookmarkEnd w:id="4523"/>
    </w:p>
    <w:p w14:paraId="169F221E" w14:textId="77777777" w:rsidR="00376F67" w:rsidRPr="0074694D" w:rsidRDefault="00376F67" w:rsidP="00376F67">
      <w:pPr>
        <w:pStyle w:val="a2"/>
        <w:tabs>
          <w:tab w:val="num" w:pos="284"/>
        </w:tabs>
        <w:rPr>
          <w:vanish w:val="0"/>
          <w:rtl/>
        </w:rPr>
      </w:pPr>
      <w:r w:rsidRPr="0074694D">
        <w:rPr>
          <w:rtl/>
        </w:rPr>
        <w:t>פטור עליה - ואין כאן משום בנין בבית דקלקול הוא ולזריעה נמי לא חזיא אבל אם היה צריך לה חייב משום בונה.</w:t>
      </w:r>
    </w:p>
    <w:p w14:paraId="71EC9C1B" w14:textId="77777777" w:rsidR="00376F67" w:rsidRPr="00954231" w:rsidRDefault="00376F67" w:rsidP="00376F67">
      <w:pPr>
        <w:pStyle w:val="afffff5"/>
        <w:rPr>
          <w:vanish w:val="0"/>
          <w:rtl/>
        </w:rPr>
      </w:pPr>
      <w:r w:rsidRPr="00954231">
        <w:rPr>
          <w:rtl/>
        </w:rPr>
        <w:t>פטור עליה - כדמפרש טעמא בפרק קמא דחגיגה: דכיון דאינו צריך אלא לעפרה ולא לגומא - אינו בונה ולא חורש אלא מקלקל, וכל המקלקלים פטורים.</w:t>
      </w:r>
    </w:p>
    <w:p w14:paraId="1D2DB564" w14:textId="77777777" w:rsidR="00376F67" w:rsidRDefault="00376F67" w:rsidP="00376F67">
      <w:pPr>
        <w:pStyle w:val="afffff7"/>
        <w:rPr>
          <w:rtl/>
        </w:rPr>
      </w:pPr>
      <w:bookmarkStart w:id="4524" w:name="_Toc143767887"/>
      <w:bookmarkStart w:id="4525" w:name="_Toc163506075"/>
      <w:r>
        <w:rPr>
          <w:rtl/>
        </w:rPr>
        <w:t>רמב"ם שבת פ"א הי"ז</w:t>
      </w:r>
      <w:bookmarkEnd w:id="4524"/>
      <w:bookmarkEnd w:id="4525"/>
    </w:p>
    <w:p w14:paraId="7D948149" w14:textId="77777777" w:rsidR="00376F67" w:rsidRDefault="00376F67" w:rsidP="00376F67">
      <w:pPr>
        <w:pStyle w:val="afffff7"/>
        <w:rPr>
          <w:rtl/>
        </w:rPr>
      </w:pPr>
      <w:bookmarkStart w:id="4526" w:name="_Toc143767888"/>
      <w:bookmarkStart w:id="4527" w:name="_Toc163506076"/>
      <w:r>
        <w:rPr>
          <w:rtl/>
        </w:rPr>
        <w:t>מגיד משנה שבת פ"א הי"ז</w:t>
      </w:r>
      <w:bookmarkEnd w:id="4526"/>
      <w:bookmarkEnd w:id="4527"/>
    </w:p>
    <w:p w14:paraId="4530C40E" w14:textId="77777777" w:rsidR="00376F67" w:rsidRDefault="00376F67" w:rsidP="00376F67">
      <w:pPr>
        <w:pStyle w:val="a7"/>
        <w:rPr>
          <w:rtl/>
        </w:rPr>
      </w:pPr>
      <w:bookmarkStart w:id="4528" w:name="_Toc143767768"/>
      <w:bookmarkStart w:id="4529" w:name="_Toc143770589"/>
      <w:r>
        <w:rPr>
          <w:rFonts w:hint="cs"/>
          <w:rtl/>
        </w:rPr>
        <w:t>בי' הרמב"ם דבחופר גומא וא"צ לה פטור מדין מקלקל ובי' המ"מ דבמקום שאין קלקול חייב</w:t>
      </w:r>
      <w:bookmarkEnd w:id="4528"/>
      <w:bookmarkEnd w:id="4529"/>
    </w:p>
    <w:p w14:paraId="7ADE34B5" w14:textId="77777777" w:rsidR="00376F67" w:rsidRPr="00631DFA" w:rsidRDefault="00376F67" w:rsidP="00BC7DC8">
      <w:pPr>
        <w:pStyle w:val="a3"/>
        <w:rPr>
          <w:rtl/>
        </w:rPr>
      </w:pPr>
      <w:r>
        <w:rPr>
          <w:rFonts w:hint="cs"/>
          <w:rtl/>
        </w:rPr>
        <w:t xml:space="preserve">וכ"כ </w:t>
      </w:r>
      <w:r w:rsidRPr="00EF4E3F">
        <w:rPr>
          <w:rStyle w:val="aff4"/>
          <w:rFonts w:hint="cs"/>
          <w:vanish/>
          <w:rtl/>
        </w:rPr>
        <w:t>-</w:t>
      </w:r>
      <w:r w:rsidRPr="00013089">
        <w:rPr>
          <w:rStyle w:val="aff4"/>
          <w:rFonts w:hint="cs"/>
          <w:rtl/>
        </w:rPr>
        <w:t>ה</w:t>
      </w:r>
      <w:r w:rsidRPr="00FF7D8F">
        <w:rPr>
          <w:rStyle w:val="aff4"/>
          <w:rFonts w:hint="cs"/>
          <w:vanish/>
          <w:rtl/>
        </w:rPr>
        <w:t>&lt; &gt;</w:t>
      </w:r>
      <w:r w:rsidRPr="00013089">
        <w:rPr>
          <w:rStyle w:val="aff4"/>
          <w:rFonts w:hint="cs"/>
          <w:rtl/>
        </w:rPr>
        <w:t>רמב"ם</w:t>
      </w:r>
      <w:r w:rsidRPr="00EF4E3F">
        <w:rPr>
          <w:rStyle w:val="aff4"/>
          <w:rFonts w:hint="cs"/>
          <w:vanish/>
          <w:rtl/>
        </w:rPr>
        <w:t>-</w:t>
      </w:r>
      <w:r>
        <w:rPr>
          <w:rFonts w:hint="cs"/>
          <w:rtl/>
        </w:rPr>
        <w:t xml:space="preserve"> </w:t>
      </w:r>
      <w:r w:rsidRPr="00DB1D3B">
        <w:rPr>
          <w:rStyle w:val="af2"/>
          <w:rFonts w:eastAsia="Guttman Hodes" w:hint="cs"/>
          <w:rtl/>
        </w:rPr>
        <w:t>(שבת פ"א הי"ז)</w:t>
      </w:r>
      <w:r w:rsidRPr="00EF4E3F">
        <w:rPr>
          <w:rFonts w:hint="cs"/>
          <w:vanish/>
          <w:rtl/>
        </w:rPr>
        <w:t>=</w:t>
      </w:r>
      <w:r>
        <w:rPr>
          <w:rFonts w:hint="cs"/>
          <w:rtl/>
        </w:rPr>
        <w:t xml:space="preserve"> דהפטור בחופר גומא וא"צ אלא לעפרה הוא מדין מקלקל, והוסיף </w:t>
      </w:r>
      <w:r w:rsidRPr="00EF4E3F">
        <w:rPr>
          <w:rStyle w:val="aff4"/>
          <w:rFonts w:hint="cs"/>
          <w:vanish/>
          <w:rtl/>
        </w:rPr>
        <w:t>-</w:t>
      </w:r>
      <w:r w:rsidRPr="00013089">
        <w:rPr>
          <w:rStyle w:val="aff4"/>
          <w:rFonts w:hint="cs"/>
          <w:rtl/>
        </w:rPr>
        <w:t>הרמב"ם</w:t>
      </w:r>
      <w:r w:rsidRPr="00EF4E3F">
        <w:rPr>
          <w:rStyle w:val="aff4"/>
          <w:rFonts w:hint="cs"/>
          <w:vanish/>
          <w:rtl/>
        </w:rPr>
        <w:t>-</w:t>
      </w:r>
      <w:r>
        <w:rPr>
          <w:rFonts w:hint="cs"/>
          <w:rtl/>
        </w:rPr>
        <w:t xml:space="preserve"> דאף שעשה מלאכה מ"מ כיון דכוונתו במלאכה הזו לקלקל הוא פטור, וכתב </w:t>
      </w:r>
      <w:r w:rsidRPr="00EF4E3F">
        <w:rPr>
          <w:rStyle w:val="aff4"/>
          <w:rFonts w:hint="cs"/>
          <w:vanish/>
          <w:rtl/>
        </w:rPr>
        <w:t>-</w:t>
      </w:r>
      <w:r w:rsidRPr="00E011A4">
        <w:rPr>
          <w:rStyle w:val="aff4"/>
          <w:rFonts w:hint="cs"/>
          <w:rtl/>
        </w:rPr>
        <w:t>ה</w:t>
      </w:r>
      <w:r w:rsidRPr="00FF7D8F">
        <w:rPr>
          <w:rStyle w:val="aff4"/>
          <w:rFonts w:hint="cs"/>
          <w:vanish/>
          <w:rtl/>
        </w:rPr>
        <w:t>&lt; &gt;</w:t>
      </w:r>
      <w:r w:rsidRPr="00013089">
        <w:rPr>
          <w:rStyle w:val="aff4"/>
          <w:rFonts w:hint="cs"/>
          <w:rtl/>
        </w:rPr>
        <w:t>מ"מ</w:t>
      </w:r>
      <w:r w:rsidRPr="00EF4E3F">
        <w:rPr>
          <w:rStyle w:val="aff4"/>
          <w:rFonts w:hint="cs"/>
          <w:vanish/>
          <w:rtl/>
        </w:rPr>
        <w:t>-</w:t>
      </w:r>
      <w:r>
        <w:rPr>
          <w:rFonts w:hint="cs"/>
          <w:rtl/>
        </w:rPr>
        <w:t xml:space="preserve"> </w:t>
      </w:r>
      <w:r w:rsidRPr="00DB1D3B">
        <w:rPr>
          <w:rStyle w:val="af2"/>
          <w:rFonts w:eastAsia="Guttman Hodes" w:hint="cs"/>
          <w:rtl/>
        </w:rPr>
        <w:t>(שבת פ"א הי"ז)</w:t>
      </w:r>
      <w:r w:rsidRPr="00EF4E3F">
        <w:rPr>
          <w:rFonts w:hint="cs"/>
          <w:vanish/>
          <w:rtl/>
        </w:rPr>
        <w:t>=</w:t>
      </w:r>
      <w:r>
        <w:rPr>
          <w:rFonts w:hint="cs"/>
          <w:rtl/>
        </w:rPr>
        <w:t xml:space="preserve"> דמבואר מדברי </w:t>
      </w:r>
      <w:r w:rsidRPr="00EF4E3F">
        <w:rPr>
          <w:rStyle w:val="aff4"/>
          <w:rFonts w:hint="cs"/>
          <w:vanish/>
          <w:rtl/>
        </w:rPr>
        <w:t>-</w:t>
      </w:r>
      <w:r w:rsidRPr="00013089">
        <w:rPr>
          <w:rStyle w:val="aff4"/>
          <w:rFonts w:hint="cs"/>
          <w:rtl/>
        </w:rPr>
        <w:t>הרמב"ם</w:t>
      </w:r>
      <w:r w:rsidRPr="00EF4E3F">
        <w:rPr>
          <w:rStyle w:val="aff4"/>
          <w:rFonts w:hint="cs"/>
          <w:vanish/>
          <w:rtl/>
        </w:rPr>
        <w:t>-</w:t>
      </w:r>
      <w:r>
        <w:rPr>
          <w:rFonts w:hint="cs"/>
          <w:rtl/>
        </w:rPr>
        <w:t xml:space="preserve"> דאם עשה את הגומא במקום שאין בו קלקול חייב עליה, אעפ"י שא"צ את המלאכה עצמה, כיון דפסק </w:t>
      </w:r>
      <w:r w:rsidRPr="00EF4E3F">
        <w:rPr>
          <w:rStyle w:val="aff4"/>
          <w:rFonts w:hint="cs"/>
          <w:vanish/>
          <w:rtl/>
        </w:rPr>
        <w:t>-</w:t>
      </w:r>
      <w:r w:rsidRPr="00013089">
        <w:rPr>
          <w:rStyle w:val="aff4"/>
          <w:rFonts w:hint="cs"/>
          <w:rtl/>
        </w:rPr>
        <w:t>הרמב"ם</w:t>
      </w:r>
      <w:r w:rsidRPr="00EF4E3F">
        <w:rPr>
          <w:rStyle w:val="aff4"/>
          <w:rFonts w:hint="cs"/>
          <w:vanish/>
          <w:rtl/>
        </w:rPr>
        <w:t>-</w:t>
      </w:r>
      <w:r>
        <w:rPr>
          <w:rFonts w:hint="cs"/>
          <w:rtl/>
        </w:rPr>
        <w:t xml:space="preserve"> כר"י דמחייב במלאכה שאינה צריכה לגופה, וע"ע במ"ש </w:t>
      </w:r>
      <w:r w:rsidRPr="00EF4E3F">
        <w:rPr>
          <w:rStyle w:val="aff4"/>
          <w:rFonts w:hint="cs"/>
          <w:vanish/>
          <w:rtl/>
        </w:rPr>
        <w:t>-</w:t>
      </w:r>
      <w:r w:rsidRPr="00013089">
        <w:rPr>
          <w:rStyle w:val="aff4"/>
          <w:rFonts w:hint="cs"/>
          <w:rtl/>
        </w:rPr>
        <w:t>ה</w:t>
      </w:r>
      <w:r w:rsidRPr="00FF7D8F">
        <w:rPr>
          <w:rStyle w:val="aff4"/>
          <w:rFonts w:hint="cs"/>
          <w:vanish/>
          <w:rtl/>
        </w:rPr>
        <w:t>&lt; &gt;</w:t>
      </w:r>
      <w:r w:rsidRPr="00013089">
        <w:rPr>
          <w:rStyle w:val="aff4"/>
          <w:rFonts w:hint="cs"/>
          <w:rtl/>
        </w:rPr>
        <w:t>כס"מ</w:t>
      </w:r>
      <w:r w:rsidRPr="00EF4E3F">
        <w:rPr>
          <w:rStyle w:val="aff4"/>
          <w:rFonts w:hint="cs"/>
          <w:vanish/>
          <w:rtl/>
        </w:rPr>
        <w:t>-</w:t>
      </w:r>
      <w:r>
        <w:rPr>
          <w:rFonts w:hint="cs"/>
          <w:rtl/>
        </w:rPr>
        <w:t xml:space="preserve"> </w:t>
      </w:r>
      <w:r w:rsidRPr="00DB1D3B">
        <w:rPr>
          <w:rStyle w:val="af2"/>
          <w:rFonts w:eastAsia="Guttman Hodes" w:hint="cs"/>
          <w:rtl/>
        </w:rPr>
        <w:t>(שבת פ"א הי"ז)</w:t>
      </w:r>
      <w:r w:rsidRPr="00EF4E3F">
        <w:rPr>
          <w:rFonts w:hint="cs"/>
          <w:vanish/>
          <w:rtl/>
        </w:rPr>
        <w:t>=</w:t>
      </w:r>
      <w:r>
        <w:rPr>
          <w:rFonts w:hint="cs"/>
          <w:rtl/>
        </w:rPr>
        <w:t xml:space="preserve"> </w:t>
      </w:r>
      <w:r w:rsidRPr="00EF4E3F">
        <w:rPr>
          <w:rStyle w:val="aff4"/>
          <w:rFonts w:hint="cs"/>
          <w:vanish/>
          <w:rtl/>
        </w:rPr>
        <w:t>-</w:t>
      </w:r>
      <w:r w:rsidRPr="00013089">
        <w:rPr>
          <w:rStyle w:val="aff4"/>
          <w:rFonts w:hint="cs"/>
          <w:rtl/>
        </w:rPr>
        <w:t>וה</w:t>
      </w:r>
      <w:r w:rsidRPr="00FF7D8F">
        <w:rPr>
          <w:rStyle w:val="aff4"/>
          <w:rFonts w:hint="cs"/>
          <w:vanish/>
          <w:rtl/>
        </w:rPr>
        <w:t>&lt; &gt;</w:t>
      </w:r>
      <w:r w:rsidRPr="00013089">
        <w:rPr>
          <w:rStyle w:val="aff4"/>
          <w:rFonts w:hint="cs"/>
          <w:rtl/>
        </w:rPr>
        <w:t>אגלי טל</w:t>
      </w:r>
      <w:r w:rsidRPr="00EF4E3F">
        <w:rPr>
          <w:rStyle w:val="aff4"/>
          <w:rFonts w:hint="cs"/>
          <w:vanish/>
          <w:rtl/>
        </w:rPr>
        <w:t>-</w:t>
      </w:r>
      <w:r>
        <w:rPr>
          <w:rFonts w:hint="cs"/>
          <w:rtl/>
        </w:rPr>
        <w:t xml:space="preserve"> </w:t>
      </w:r>
      <w:r w:rsidRPr="00DB1D3B">
        <w:rPr>
          <w:rStyle w:val="af2"/>
          <w:rFonts w:eastAsia="Guttman Hodes" w:hint="cs"/>
          <w:rtl/>
        </w:rPr>
        <w:t>(חורש סק"ו)</w:t>
      </w:r>
      <w:r w:rsidRPr="00EF4E3F">
        <w:rPr>
          <w:rFonts w:hint="cs"/>
          <w:vanish/>
          <w:rtl/>
        </w:rPr>
        <w:t>=</w:t>
      </w:r>
      <w:r>
        <w:rPr>
          <w:rFonts w:hint="cs"/>
          <w:rtl/>
        </w:rPr>
        <w:t>.</w:t>
      </w:r>
    </w:p>
    <w:p w14:paraId="39990BF9" w14:textId="77777777" w:rsidR="00376F67" w:rsidRPr="0074694D" w:rsidRDefault="00376F67" w:rsidP="00376F67">
      <w:pPr>
        <w:pStyle w:val="a2"/>
        <w:tabs>
          <w:tab w:val="num" w:pos="284"/>
        </w:tabs>
        <w:rPr>
          <w:vanish w:val="0"/>
          <w:rtl/>
        </w:rPr>
      </w:pPr>
      <w:r w:rsidRPr="0074694D">
        <w:rPr>
          <w:rtl/>
        </w:rPr>
        <w:lastRenderedPageBreak/>
        <w:t xml:space="preserve">כל המקלקלין פטורין, כיצד הרי שחבל בחבירו או בבהמה דרך השחתה וכן אם קרע בגדים או שרפן או שבר כלים דרך השחתה הרי זה פטור, חפר גומה ואינו צריך אלא לעפרה הרי זה מקלקל ופטור אף על פי שעשה מלאכה הואיל וכוונתו לקלקל פטור. </w:t>
      </w:r>
    </w:p>
    <w:p w14:paraId="3F6D31FD" w14:textId="77777777" w:rsidR="00376F67" w:rsidRPr="00954231" w:rsidRDefault="00376F67" w:rsidP="00376F67">
      <w:pPr>
        <w:pStyle w:val="afffff5"/>
        <w:rPr>
          <w:vanish w:val="0"/>
          <w:rtl/>
        </w:rPr>
      </w:pPr>
      <w:r w:rsidRPr="00954231">
        <w:rPr>
          <w:rtl/>
        </w:rPr>
        <w:t xml:space="preserve">חפר גומא ואינו צריך אלא לעפרה וכו'. מימרא פ' כלל גדול (שם ע"ג:) וטעם הקלקול הוא לר' יהודה כדאיתא התם. ואפי' לר' יהודה דאמר מלאכה שאינה צריכה לגופה חייב ה"מ מתקן האי מקלקל הוא ע"כ. ומכאן שאם היתה הגומא במקום שאין בו קלקול אף על פי שאינו צריך לה חייב עליה לדעת רבינו ז"ל שפסק כר"י וזה פשוט: </w:t>
      </w:r>
    </w:p>
    <w:p w14:paraId="5B238B47" w14:textId="77777777" w:rsidR="00376F67" w:rsidRDefault="00376F67" w:rsidP="00376F67">
      <w:pPr>
        <w:pStyle w:val="afffff7"/>
        <w:rPr>
          <w:rtl/>
        </w:rPr>
      </w:pPr>
      <w:bookmarkStart w:id="4530" w:name="_Toc143767889"/>
      <w:bookmarkStart w:id="4531" w:name="_Toc163506077"/>
      <w:r>
        <w:rPr>
          <w:rtl/>
        </w:rPr>
        <w:t>תוספות רי"ד שבת ק"ו ע"א</w:t>
      </w:r>
      <w:r>
        <w:rPr>
          <w:rFonts w:hint="cs"/>
          <w:rtl/>
        </w:rPr>
        <w:t xml:space="preserve"> ד"ה תני</w:t>
      </w:r>
      <w:bookmarkEnd w:id="4530"/>
      <w:bookmarkEnd w:id="4531"/>
    </w:p>
    <w:p w14:paraId="7DA310DC" w14:textId="77777777" w:rsidR="00376F67" w:rsidRDefault="00376F67" w:rsidP="00376F67">
      <w:pPr>
        <w:pStyle w:val="a7"/>
        <w:rPr>
          <w:rtl/>
        </w:rPr>
      </w:pPr>
      <w:bookmarkStart w:id="4532" w:name="_Toc143767769"/>
      <w:bookmarkStart w:id="4533" w:name="_Toc143770590"/>
      <w:r>
        <w:rPr>
          <w:rFonts w:hint="cs"/>
          <w:rtl/>
        </w:rPr>
        <w:t>בי' התורי"ד דחופר גומא וא"צ לה אינו מקלקל דאי"ז מלאכה כלל דרק בצריך להו הוי בנין</w:t>
      </w:r>
      <w:bookmarkEnd w:id="4532"/>
      <w:bookmarkEnd w:id="4533"/>
    </w:p>
    <w:p w14:paraId="73CAC19A" w14:textId="1FB7EFC2" w:rsidR="00376F67" w:rsidRPr="00AE2C08" w:rsidRDefault="00376F67" w:rsidP="00BC7DC8">
      <w:pPr>
        <w:pStyle w:val="a3"/>
        <w:rPr>
          <w:rtl/>
        </w:rPr>
      </w:pPr>
      <w:bookmarkStart w:id="4534" w:name="_Ref143445474"/>
      <w:r>
        <w:rPr>
          <w:rFonts w:hint="cs"/>
          <w:rtl/>
        </w:rPr>
        <w:t xml:space="preserve">אבל </w:t>
      </w:r>
      <w:r w:rsidRPr="00EF4E3F">
        <w:rPr>
          <w:rStyle w:val="aff4"/>
          <w:rFonts w:hint="cs"/>
          <w:vanish/>
          <w:rtl/>
        </w:rPr>
        <w:t>-</w:t>
      </w:r>
      <w:r w:rsidRPr="00013089">
        <w:rPr>
          <w:rStyle w:val="aff4"/>
          <w:rFonts w:hint="cs"/>
          <w:rtl/>
        </w:rPr>
        <w:t>ה</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Ref143445474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יח)</w:t>
      </w:r>
      <w:r w:rsidRPr="00FF7D8F">
        <w:rPr>
          <w:rStyle w:val="aff4"/>
          <w:vanish/>
          <w:rtl/>
        </w:rPr>
        <w:fldChar w:fldCharType="end"/>
      </w:r>
      <w:r w:rsidRPr="00FF7D8F">
        <w:rPr>
          <w:rStyle w:val="aff4"/>
          <w:rFonts w:hint="cs"/>
          <w:vanish/>
          <w:rtl/>
        </w:rPr>
        <w:t xml:space="preserve"> &gt;</w:t>
      </w:r>
      <w:r w:rsidRPr="00013089">
        <w:rPr>
          <w:rStyle w:val="aff4"/>
          <w:rFonts w:hint="cs"/>
          <w:rtl/>
        </w:rPr>
        <w:t>תוס' רי"ד לקמן</w:t>
      </w:r>
      <w:r w:rsidRPr="00EF4E3F">
        <w:rPr>
          <w:rStyle w:val="aff4"/>
          <w:rFonts w:hint="cs"/>
          <w:vanish/>
          <w:rtl/>
        </w:rPr>
        <w:t>-</w:t>
      </w:r>
      <w:r>
        <w:rPr>
          <w:rFonts w:hint="cs"/>
          <w:rtl/>
        </w:rPr>
        <w:t xml:space="preserve"> </w:t>
      </w:r>
      <w:r w:rsidRPr="00DB1D3B">
        <w:rPr>
          <w:rStyle w:val="af2"/>
          <w:rFonts w:eastAsia="Guttman Hodes" w:hint="cs"/>
          <w:rtl/>
        </w:rPr>
        <w:t>(קו. ד"ה תני)</w:t>
      </w:r>
      <w:r w:rsidRPr="00EF4E3F">
        <w:rPr>
          <w:rFonts w:hint="cs"/>
          <w:vanish/>
          <w:rtl/>
        </w:rPr>
        <w:t>=</w:t>
      </w:r>
      <w:r>
        <w:rPr>
          <w:rFonts w:hint="cs"/>
          <w:rtl/>
        </w:rPr>
        <w:t xml:space="preserve"> כתב דבחופר גומא וא"צ אלא לעפרה, אי"ז שייך לדין מקלקל כלל, כיון דחפירת הגומא עצמה אינה מלאכה בפנ"ע, וכל המלאכה שבה היא הבנין בבית או החרישה בשדה, ולכן כשא"צ לגומא בבית אינו בונה כלל, ולכן הוא פטור דלא עשה כל מלאכה, ולא דמי לפטור דמקלקל כלל.</w:t>
      </w:r>
      <w:bookmarkEnd w:id="4534"/>
    </w:p>
    <w:p w14:paraId="4472308C" w14:textId="77777777" w:rsidR="00376F67" w:rsidRPr="0074694D" w:rsidRDefault="00376F67" w:rsidP="00376F67">
      <w:pPr>
        <w:pStyle w:val="a2"/>
        <w:tabs>
          <w:tab w:val="num" w:pos="284"/>
        </w:tabs>
        <w:rPr>
          <w:vanish w:val="0"/>
          <w:rtl/>
        </w:rPr>
      </w:pPr>
      <w:r w:rsidRPr="0074694D">
        <w:rPr>
          <w:rtl/>
        </w:rPr>
        <w:t xml:space="preserve">חפירת הגומא אינה מלאכה דלא הויא מלאכה אלא הבונה והחורש ואם חפר גומא בבית וצריך לה חייב משום בונה ובשדה משום חורש אבל אם אינו צריך לה בבית אין זה בונה ומש"ה פטור דלא קא עביד מלאכה </w:t>
      </w:r>
    </w:p>
    <w:p w14:paraId="6BBD5195" w14:textId="77777777" w:rsidR="00376F67" w:rsidRDefault="00376F67" w:rsidP="00376F67">
      <w:pPr>
        <w:pStyle w:val="afffff7"/>
        <w:rPr>
          <w:rtl/>
        </w:rPr>
      </w:pPr>
      <w:bookmarkStart w:id="4535" w:name="_Toc143767890"/>
      <w:bookmarkStart w:id="4536" w:name="_Toc163506078"/>
      <w:r>
        <w:rPr>
          <w:rFonts w:hint="cs"/>
          <w:rtl/>
        </w:rPr>
        <w:t>חזון איש או"ח סי' נ"א סקט"ז ד"ה ע"ג</w:t>
      </w:r>
      <w:bookmarkEnd w:id="4535"/>
      <w:bookmarkEnd w:id="4536"/>
    </w:p>
    <w:p w14:paraId="58EFC274" w14:textId="77777777" w:rsidR="00376F67" w:rsidRDefault="00376F67" w:rsidP="00376F67">
      <w:pPr>
        <w:pStyle w:val="a7"/>
        <w:rPr>
          <w:rtl/>
        </w:rPr>
      </w:pPr>
      <w:bookmarkStart w:id="4537" w:name="_Toc143767770"/>
      <w:bookmarkStart w:id="4538" w:name="_Toc143770591"/>
      <w:r>
        <w:rPr>
          <w:rFonts w:hint="cs"/>
          <w:rtl/>
        </w:rPr>
        <w:t>בי' החזו"א דל"ש מקלקל בחופר גומא וא"צ לה וכוונת הגמ' דכיון שאינו מתקן אינה מלאכה</w:t>
      </w:r>
      <w:bookmarkEnd w:id="4537"/>
      <w:bookmarkEnd w:id="4538"/>
    </w:p>
    <w:p w14:paraId="0103C9C4" w14:textId="3017DEB6" w:rsidR="00376F67" w:rsidRDefault="00376F67" w:rsidP="00BC7DC8">
      <w:pPr>
        <w:pStyle w:val="a3"/>
        <w:rPr>
          <w:rtl/>
        </w:rPr>
      </w:pPr>
      <w:bookmarkStart w:id="4539" w:name="_Ref143444743"/>
      <w:r>
        <w:rPr>
          <w:rFonts w:hint="cs"/>
          <w:rtl/>
        </w:rPr>
        <w:t xml:space="preserve">וכ"כ </w:t>
      </w:r>
      <w:r w:rsidRPr="00EF4E3F">
        <w:rPr>
          <w:rStyle w:val="aff4"/>
          <w:rFonts w:hint="cs"/>
          <w:vanish/>
          <w:rtl/>
        </w:rPr>
        <w:t>-</w:t>
      </w:r>
      <w:r w:rsidRPr="00013089">
        <w:rPr>
          <w:rStyle w:val="aff4"/>
          <w:rFonts w:hint="cs"/>
          <w:rtl/>
        </w:rPr>
        <w:t>ה</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Ref143444743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יט)</w:t>
      </w:r>
      <w:r w:rsidRPr="00FF7D8F">
        <w:rPr>
          <w:rStyle w:val="aff4"/>
          <w:vanish/>
          <w:rtl/>
        </w:rPr>
        <w:fldChar w:fldCharType="end"/>
      </w:r>
      <w:r w:rsidRPr="00FF7D8F">
        <w:rPr>
          <w:rStyle w:val="aff4"/>
          <w:rFonts w:hint="cs"/>
          <w:vanish/>
          <w:rtl/>
        </w:rPr>
        <w:t>&gt;</w:t>
      </w:r>
      <w:r w:rsidRPr="00013089">
        <w:rPr>
          <w:rStyle w:val="aff4"/>
          <w:rFonts w:hint="cs"/>
          <w:rtl/>
        </w:rPr>
        <w:t>חזו"א</w:t>
      </w:r>
      <w:r w:rsidRPr="00EF4E3F">
        <w:rPr>
          <w:rStyle w:val="aff4"/>
          <w:rFonts w:hint="cs"/>
          <w:vanish/>
          <w:rtl/>
        </w:rPr>
        <w:t>-</w:t>
      </w:r>
      <w:r>
        <w:rPr>
          <w:rFonts w:hint="cs"/>
          <w:rtl/>
        </w:rPr>
        <w:t xml:space="preserve"> </w:t>
      </w:r>
      <w:r w:rsidRPr="00DB1D3B">
        <w:rPr>
          <w:rStyle w:val="af2"/>
          <w:rFonts w:eastAsia="Guttman Hodes" w:hint="cs"/>
          <w:rtl/>
        </w:rPr>
        <w:t>(סי' נ"א סקט"ז ד"ה ע"ג)</w:t>
      </w:r>
      <w:r w:rsidRPr="00EF4E3F">
        <w:rPr>
          <w:rFonts w:hint="cs"/>
          <w:vanish/>
          <w:rtl/>
        </w:rPr>
        <w:t>=</w:t>
      </w:r>
      <w:bookmarkEnd w:id="4539"/>
      <w:r>
        <w:rPr>
          <w:rFonts w:hint="cs"/>
          <w:rtl/>
        </w:rPr>
        <w:t xml:space="preserve"> דבחופר גומא וא"צ אלא לעפרה, לא שייך לומר בזה דהוא פטור מדין כל המקלקלים פטורים, דכיון שאינו תיקון לבית אי"ז מלאכה כלל, כדאיתא בגמ' לעיל </w:t>
      </w:r>
      <w:r w:rsidRPr="00DB1D3B">
        <w:rPr>
          <w:rStyle w:val="af2"/>
          <w:rFonts w:eastAsia="Guttman Hodes" w:hint="cs"/>
          <w:rtl/>
        </w:rPr>
        <w:t>(עג:)</w:t>
      </w:r>
      <w:r>
        <w:rPr>
          <w:rFonts w:hint="cs"/>
          <w:rtl/>
        </w:rPr>
        <w:t xml:space="preserve"> דבבית לא שייך לחייב משום חורש ובשדה לא שייך לחייב משום בונה, וא"כ אף בבית כשא"צ את הגומא אי"ז מלאכה כלל, אלא כוונת הגמ' לומר דכיון שאינו בונה והוא מקלקל לא שייך בזה מלאכת בונה כלל, ומ"מ כתב </w:t>
      </w:r>
      <w:r w:rsidRPr="00EF4E3F">
        <w:rPr>
          <w:rStyle w:val="aff4"/>
          <w:rFonts w:hint="cs"/>
          <w:vanish/>
          <w:rtl/>
        </w:rPr>
        <w:t>-</w:t>
      </w:r>
      <w:r w:rsidRPr="00013089">
        <w:rPr>
          <w:rStyle w:val="aff4"/>
          <w:rFonts w:hint="cs"/>
          <w:rtl/>
        </w:rPr>
        <w:t>החזו"א</w:t>
      </w:r>
      <w:r w:rsidRPr="00EF4E3F">
        <w:rPr>
          <w:rStyle w:val="aff4"/>
          <w:rFonts w:hint="cs"/>
          <w:vanish/>
          <w:rtl/>
        </w:rPr>
        <w:t>-</w:t>
      </w:r>
      <w:r>
        <w:rPr>
          <w:rFonts w:hint="cs"/>
          <w:rtl/>
        </w:rPr>
        <w:t xml:space="preserve"> יש בזה איסור דרבנן כיון שהוא צורה של מלאכה באופן דניחא ליה בעשיית הגומא. </w:t>
      </w:r>
    </w:p>
    <w:p w14:paraId="09600DB8" w14:textId="77777777" w:rsidR="00376F67" w:rsidRPr="005F08D7" w:rsidRDefault="00376F67" w:rsidP="00376F67">
      <w:pPr>
        <w:pStyle w:val="a7"/>
        <w:rPr>
          <w:rtl/>
        </w:rPr>
      </w:pPr>
    </w:p>
    <w:p w14:paraId="44FAF116" w14:textId="77777777" w:rsidR="00376F67" w:rsidRPr="005F08D7" w:rsidRDefault="00376F67" w:rsidP="00376F67">
      <w:pPr>
        <w:pStyle w:val="a7"/>
        <w:rPr>
          <w:rtl/>
        </w:rPr>
      </w:pPr>
    </w:p>
    <w:p w14:paraId="69FFA288" w14:textId="77777777" w:rsidR="00376F67" w:rsidRPr="0074694D" w:rsidRDefault="00376F67" w:rsidP="00376F67">
      <w:pPr>
        <w:pStyle w:val="a2"/>
        <w:tabs>
          <w:tab w:val="num" w:pos="284"/>
        </w:tabs>
        <w:rPr>
          <w:vanish w:val="0"/>
          <w:rtl/>
        </w:rPr>
      </w:pPr>
      <w:r w:rsidRPr="0074694D">
        <w:rPr>
          <w:rtl/>
        </w:rPr>
        <w:t>ע"ג ב' האי מקלקל ומ"מ איסורא איכא וכמש"כ תו' ביצה מ' א' ויש לעי' הלא אם לא ניחא לי' בהאי גומא כלל ומשנינן לי' מקלקל א"כ אין כאן מלאכה כלל וכדאמר לעיל דבבית ליכא משו</w:t>
      </w:r>
      <w:r w:rsidRPr="0074694D">
        <w:rPr>
          <w:rFonts w:hint="cs"/>
          <w:rtl/>
        </w:rPr>
        <w:t>ם</w:t>
      </w:r>
      <w:r w:rsidRPr="0074694D">
        <w:rPr>
          <w:rtl/>
        </w:rPr>
        <w:t xml:space="preserve"> חורש ובשדה ליכא משו</w:t>
      </w:r>
      <w:r w:rsidRPr="0074694D">
        <w:rPr>
          <w:rFonts w:hint="cs"/>
          <w:rtl/>
        </w:rPr>
        <w:t>ם</w:t>
      </w:r>
      <w:r w:rsidRPr="0074694D">
        <w:rPr>
          <w:rtl/>
        </w:rPr>
        <w:t xml:space="preserve"> בונה ואם א"צ לגומא הו"ל כשדה שאין בו משום בונה ונראה דבאמת הא דאמר מקלקל הוא אין הכו</w:t>
      </w:r>
      <w:r w:rsidRPr="0074694D">
        <w:rPr>
          <w:rFonts w:hint="cs"/>
          <w:rtl/>
        </w:rPr>
        <w:t>נ</w:t>
      </w:r>
      <w:r w:rsidRPr="0074694D">
        <w:rPr>
          <w:rtl/>
        </w:rPr>
        <w:t>ה של פטור מקלקל אלא ר"ל דאין כאן בונה אלא קלקול ומ"מ שבות איכא כיון דצורה זו מלאכה היא כשניחא לי'</w:t>
      </w:r>
      <w:r w:rsidRPr="0074694D">
        <w:rPr>
          <w:rFonts w:hint="cs"/>
          <w:rtl/>
        </w:rPr>
        <w:t>.</w:t>
      </w:r>
    </w:p>
    <w:p w14:paraId="0F0B3325" w14:textId="77777777" w:rsidR="00376F67" w:rsidRDefault="00376F67" w:rsidP="00376F67">
      <w:pPr>
        <w:pStyle w:val="affff5"/>
        <w:rPr>
          <w:rtl/>
        </w:rPr>
      </w:pPr>
      <w:bookmarkStart w:id="4540" w:name="_Toc143536891"/>
      <w:bookmarkStart w:id="4541" w:name="_Toc143767771"/>
      <w:bookmarkStart w:id="4542" w:name="_Toc143770592"/>
      <w:bookmarkStart w:id="4543" w:name="_Ref140827539"/>
      <w:r>
        <w:rPr>
          <w:rFonts w:hint="cs"/>
          <w:rtl/>
        </w:rPr>
        <w:t xml:space="preserve">בגדרי דרך בנין </w:t>
      </w:r>
      <w:bookmarkEnd w:id="4540"/>
      <w:r>
        <w:rPr>
          <w:rFonts w:hint="cs"/>
          <w:rtl/>
        </w:rPr>
        <w:t>במסתת ובלול ובמורסא</w:t>
      </w:r>
      <w:bookmarkEnd w:id="4541"/>
      <w:bookmarkEnd w:id="4542"/>
      <w:r w:rsidRPr="0001175D">
        <w:rPr>
          <w:vanish/>
          <w:rtl/>
        </w:rPr>
        <w:t>&lt; # =</w:t>
      </w:r>
    </w:p>
    <w:p w14:paraId="3BB5CFF5" w14:textId="77777777" w:rsidR="00376F67" w:rsidRPr="008876D7" w:rsidRDefault="00376F67" w:rsidP="00376F67">
      <w:pPr>
        <w:pStyle w:val="1"/>
        <w:rPr>
          <w:rtl/>
        </w:rPr>
      </w:pPr>
      <w:bookmarkStart w:id="4544" w:name="_Toc143536894"/>
      <w:bookmarkStart w:id="4545" w:name="_Toc143767772"/>
      <w:bookmarkStart w:id="4546" w:name="_Toc143770593"/>
      <w:r>
        <w:rPr>
          <w:rFonts w:hint="cs"/>
          <w:rtl/>
        </w:rPr>
        <w:t>בי' רש"י</w:t>
      </w:r>
      <w:bookmarkStart w:id="4547" w:name="_Toc143536893"/>
      <w:bookmarkEnd w:id="4544"/>
      <w:r w:rsidRPr="008876D7">
        <w:rPr>
          <w:rFonts w:hint="cs"/>
          <w:rtl/>
        </w:rPr>
        <w:t xml:space="preserve"> </w:t>
      </w:r>
      <w:r>
        <w:rPr>
          <w:rFonts w:hint="cs"/>
          <w:rtl/>
        </w:rPr>
        <w:t>והמאירי ד</w:t>
      </w:r>
      <w:r w:rsidRPr="008876D7">
        <w:rPr>
          <w:rFonts w:hint="cs"/>
          <w:rtl/>
        </w:rPr>
        <w:t>מסתת</w:t>
      </w:r>
      <w:bookmarkEnd w:id="4547"/>
      <w:r>
        <w:rPr>
          <w:rFonts w:hint="cs"/>
          <w:rtl/>
        </w:rPr>
        <w:t xml:space="preserve"> לרב הוי </w:t>
      </w:r>
      <w:r w:rsidRPr="008876D7">
        <w:rPr>
          <w:rFonts w:hint="cs"/>
          <w:rtl/>
        </w:rPr>
        <w:t xml:space="preserve">בונה </w:t>
      </w:r>
      <w:r>
        <w:rPr>
          <w:rFonts w:hint="cs"/>
          <w:rtl/>
        </w:rPr>
        <w:t>כיון דהוא דרך בנין</w:t>
      </w:r>
      <w:bookmarkEnd w:id="4545"/>
      <w:bookmarkEnd w:id="4546"/>
    </w:p>
    <w:p w14:paraId="48F7C8B7" w14:textId="77777777" w:rsidR="00376F67" w:rsidRDefault="00376F67" w:rsidP="00376F67">
      <w:pPr>
        <w:pStyle w:val="afffff7"/>
        <w:rPr>
          <w:rtl/>
        </w:rPr>
      </w:pPr>
      <w:bookmarkStart w:id="4548" w:name="_Toc143767891"/>
      <w:bookmarkStart w:id="4549" w:name="_Toc163506079"/>
      <w:r>
        <w:rPr>
          <w:rtl/>
        </w:rPr>
        <w:t>רש"י שבת ק"ב ע"ב</w:t>
      </w:r>
      <w:r>
        <w:rPr>
          <w:rFonts w:hint="cs"/>
          <w:rtl/>
        </w:rPr>
        <w:t xml:space="preserve"> ד"ה מסתת</w:t>
      </w:r>
      <w:bookmarkEnd w:id="4548"/>
      <w:bookmarkEnd w:id="4549"/>
    </w:p>
    <w:p w14:paraId="64DBDEBC" w14:textId="77777777" w:rsidR="00376F67" w:rsidRDefault="00376F67" w:rsidP="00376F67">
      <w:pPr>
        <w:pStyle w:val="afffff7"/>
        <w:rPr>
          <w:rtl/>
        </w:rPr>
      </w:pPr>
      <w:bookmarkStart w:id="4550" w:name="_Toc143767892"/>
      <w:bookmarkStart w:id="4551" w:name="_Toc143767773"/>
      <w:bookmarkStart w:id="4552" w:name="_Toc163506080"/>
      <w:r>
        <w:rPr>
          <w:rtl/>
        </w:rPr>
        <w:t>מאירי שבת ק"ב ע"ב</w:t>
      </w:r>
      <w:r>
        <w:rPr>
          <w:rFonts w:hint="cs"/>
          <w:rtl/>
        </w:rPr>
        <w:t xml:space="preserve"> ד"ה המסתת</w:t>
      </w:r>
      <w:bookmarkEnd w:id="4550"/>
      <w:bookmarkEnd w:id="4552"/>
    </w:p>
    <w:p w14:paraId="61FCAC5C" w14:textId="77777777" w:rsidR="00376F67" w:rsidRDefault="00376F67" w:rsidP="00376F67">
      <w:pPr>
        <w:pStyle w:val="a7"/>
        <w:rPr>
          <w:rtl/>
        </w:rPr>
      </w:pPr>
      <w:bookmarkStart w:id="4553" w:name="_Toc143770594"/>
      <w:r>
        <w:rPr>
          <w:rFonts w:hint="cs"/>
          <w:rtl/>
        </w:rPr>
        <w:t>בי' רש"י דמסתת לרב הוי בונה כיון דהוא דרך בנין ובי' המאירי דמיפה את האבן לצורך הבנין</w:t>
      </w:r>
      <w:bookmarkEnd w:id="4551"/>
      <w:bookmarkEnd w:id="4553"/>
    </w:p>
    <w:p w14:paraId="356D2C00" w14:textId="48D0DC27" w:rsidR="00376F67" w:rsidRPr="00C82697" w:rsidRDefault="00376F67" w:rsidP="00BC7DC8">
      <w:pPr>
        <w:pStyle w:val="a3"/>
        <w:rPr>
          <w:rtl/>
        </w:rPr>
      </w:pPr>
      <w:bookmarkStart w:id="4554" w:name="_Ref143535661"/>
      <w:r>
        <w:rPr>
          <w:rFonts w:hint="cs"/>
          <w:rtl/>
        </w:rPr>
        <w:t xml:space="preserve">בהא דאמרינן דהמסתת חייב, ביאר </w:t>
      </w:r>
      <w:r w:rsidRPr="00FF7D8F">
        <w:rPr>
          <w:rFonts w:hint="cs"/>
          <w:vanish/>
          <w:rtl/>
        </w:rPr>
        <w:t xml:space="preserve">&lt;, </w:t>
      </w:r>
      <w:r w:rsidRPr="00FF7D8F">
        <w:rPr>
          <w:vanish/>
          <w:rtl/>
        </w:rPr>
        <w:fldChar w:fldCharType="begin"/>
      </w:r>
      <w:r w:rsidRPr="00FF7D8F">
        <w:rPr>
          <w:vanish/>
          <w:rtl/>
        </w:rPr>
        <w:instrText xml:space="preserve"> </w:instrText>
      </w:r>
      <w:r w:rsidRPr="00FF7D8F">
        <w:rPr>
          <w:rFonts w:hint="cs"/>
          <w:vanish/>
        </w:rPr>
        <w:instrText>REF</w:instrText>
      </w:r>
      <w:r w:rsidRPr="00FF7D8F">
        <w:rPr>
          <w:rFonts w:hint="cs"/>
          <w:vanish/>
          <w:rtl/>
        </w:rPr>
        <w:instrText xml:space="preserve"> _</w:instrText>
      </w:r>
      <w:r w:rsidRPr="00FF7D8F">
        <w:rPr>
          <w:rFonts w:hint="cs"/>
          <w:vanish/>
        </w:rPr>
        <w:instrText>Ref143535661 \r \h</w:instrText>
      </w:r>
      <w:r w:rsidRPr="00FF7D8F">
        <w:rPr>
          <w:vanish/>
          <w:rtl/>
        </w:rPr>
        <w:instrText xml:space="preserve"> </w:instrText>
      </w:r>
      <w:r w:rsidRPr="00FF7D8F">
        <w:rPr>
          <w:vanish/>
          <w:rtl/>
        </w:rPr>
      </w:r>
      <w:r w:rsidRPr="00FF7D8F">
        <w:rPr>
          <w:vanish/>
          <w:rtl/>
        </w:rPr>
        <w:fldChar w:fldCharType="separate"/>
      </w:r>
      <w:r w:rsidR="00D82181">
        <w:rPr>
          <w:vanish/>
          <w:cs/>
        </w:rPr>
        <w:t>‎</w:t>
      </w:r>
      <w:r w:rsidR="00D82181">
        <w:rPr>
          <w:vanish/>
          <w:rtl/>
        </w:rPr>
        <w:t>כ)</w:t>
      </w:r>
      <w:r w:rsidRPr="00FF7D8F">
        <w:rPr>
          <w:vanish/>
          <w:rtl/>
        </w:rPr>
        <w:fldChar w:fldCharType="end"/>
      </w:r>
      <w:r w:rsidRPr="00FF7D8F">
        <w:rPr>
          <w:rFonts w:hint="cs"/>
          <w:vanish/>
          <w:rtl/>
        </w:rPr>
        <w:t xml:space="preserve"> &gt;</w:t>
      </w:r>
      <w:r w:rsidRPr="001B1FAC">
        <w:rPr>
          <w:rStyle w:val="aff4"/>
          <w:rFonts w:hint="cs"/>
          <w:vanish/>
          <w:rtl/>
        </w:rPr>
        <w:t>-</w:t>
      </w:r>
      <w:r w:rsidRPr="00DB1D3B">
        <w:rPr>
          <w:rStyle w:val="aff4"/>
          <w:rFonts w:hint="cs"/>
          <w:rtl/>
        </w:rPr>
        <w:t>רש"י במתני'</w:t>
      </w:r>
      <w:r w:rsidRPr="001B1FAC">
        <w:rPr>
          <w:rStyle w:val="aff4"/>
          <w:rFonts w:hint="cs"/>
          <w:vanish/>
          <w:rtl/>
        </w:rPr>
        <w:t>-</w:t>
      </w:r>
      <w:r>
        <w:rPr>
          <w:rFonts w:hint="cs"/>
          <w:rtl/>
        </w:rPr>
        <w:t xml:space="preserve"> </w:t>
      </w:r>
      <w:r w:rsidRPr="00DB1D3B">
        <w:rPr>
          <w:rStyle w:val="af2"/>
          <w:rFonts w:eastAsia="Guttman Hodes" w:hint="cs"/>
          <w:rtl/>
        </w:rPr>
        <w:t>(ד"ה מסתת)</w:t>
      </w:r>
      <w:r w:rsidRPr="001B1FAC">
        <w:rPr>
          <w:rFonts w:hint="cs"/>
          <w:vanish/>
          <w:rtl/>
        </w:rPr>
        <w:t>=</w:t>
      </w:r>
      <w:r>
        <w:rPr>
          <w:rFonts w:hint="cs"/>
          <w:rtl/>
        </w:rPr>
        <w:t xml:space="preserve"> דהוא מרבע את האבן ומתקן אותה, ויש מקומות שרגילין לחרוץ בה חריצין, ובהא דאמר רב דחייב משום בונה, ביאר </w:t>
      </w:r>
      <w:r w:rsidRPr="00FF7D8F">
        <w:rPr>
          <w:rFonts w:hint="cs"/>
          <w:vanish/>
          <w:rtl/>
        </w:rPr>
        <w:t>&lt; &gt;</w:t>
      </w:r>
      <w:r w:rsidRPr="001B1FAC">
        <w:rPr>
          <w:rStyle w:val="aff4"/>
          <w:rFonts w:hint="cs"/>
          <w:vanish/>
          <w:rtl/>
        </w:rPr>
        <w:t>-</w:t>
      </w:r>
      <w:r w:rsidRPr="00DB1D3B">
        <w:rPr>
          <w:rStyle w:val="aff4"/>
          <w:rFonts w:hint="cs"/>
          <w:rtl/>
        </w:rPr>
        <w:t>רש"י</w:t>
      </w:r>
      <w:r w:rsidRPr="001B1FAC">
        <w:rPr>
          <w:rStyle w:val="aff4"/>
          <w:rFonts w:hint="cs"/>
          <w:vanish/>
          <w:rtl/>
        </w:rPr>
        <w:t>-</w:t>
      </w:r>
      <w:r>
        <w:rPr>
          <w:rFonts w:hint="cs"/>
          <w:rtl/>
        </w:rPr>
        <w:t xml:space="preserve"> </w:t>
      </w:r>
      <w:r w:rsidRPr="00DB1D3B">
        <w:rPr>
          <w:rStyle w:val="af2"/>
          <w:rFonts w:eastAsia="Guttman Hodes" w:hint="cs"/>
          <w:rtl/>
        </w:rPr>
        <w:t>(ד"ה מסתת)</w:t>
      </w:r>
      <w:r w:rsidRPr="001B1FAC">
        <w:rPr>
          <w:rFonts w:hint="cs"/>
          <w:vanish/>
          <w:rtl/>
        </w:rPr>
        <w:t>=</w:t>
      </w:r>
      <w:r>
        <w:rPr>
          <w:rFonts w:hint="cs"/>
          <w:rtl/>
        </w:rPr>
        <w:t xml:space="preserve"> דדרך בנין בכך, וכ"כ </w:t>
      </w:r>
      <w:r w:rsidRPr="001B1FAC">
        <w:rPr>
          <w:rStyle w:val="aff4"/>
          <w:rFonts w:hint="cs"/>
          <w:vanish/>
          <w:rtl/>
        </w:rPr>
        <w:t>-</w:t>
      </w:r>
      <w:r w:rsidRPr="00DB1D3B">
        <w:rPr>
          <w:rStyle w:val="aff4"/>
          <w:rFonts w:hint="cs"/>
          <w:rtl/>
        </w:rPr>
        <w:t>ה</w:t>
      </w:r>
      <w:r w:rsidRPr="00FF7D8F">
        <w:rPr>
          <w:rStyle w:val="aff4"/>
          <w:rFonts w:hint="cs"/>
          <w:vanish/>
          <w:rtl/>
        </w:rPr>
        <w:t>&lt; &gt;</w:t>
      </w:r>
      <w:r w:rsidRPr="00DB1D3B">
        <w:rPr>
          <w:rStyle w:val="aff4"/>
          <w:rFonts w:hint="cs"/>
          <w:rtl/>
        </w:rPr>
        <w:t>מאירי</w:t>
      </w:r>
      <w:r w:rsidRPr="001B1FAC">
        <w:rPr>
          <w:rStyle w:val="aff4"/>
          <w:rFonts w:hint="cs"/>
          <w:vanish/>
          <w:rtl/>
        </w:rPr>
        <w:t>-</w:t>
      </w:r>
      <w:r>
        <w:rPr>
          <w:rFonts w:hint="cs"/>
          <w:rtl/>
        </w:rPr>
        <w:t xml:space="preserve"> </w:t>
      </w:r>
      <w:r w:rsidRPr="00DB1D3B">
        <w:rPr>
          <w:rStyle w:val="af2"/>
          <w:rFonts w:eastAsia="Guttman Hodes" w:hint="cs"/>
          <w:rtl/>
        </w:rPr>
        <w:t>(ד"ה המסתת)</w:t>
      </w:r>
      <w:r w:rsidRPr="001B1FAC">
        <w:rPr>
          <w:rFonts w:hint="cs"/>
          <w:vanish/>
          <w:rtl/>
        </w:rPr>
        <w:t>=</w:t>
      </w:r>
      <w:r>
        <w:rPr>
          <w:rFonts w:hint="cs"/>
          <w:rtl/>
        </w:rPr>
        <w:t xml:space="preserve"> דהוא מפצל את הבליטות שנשארו על האבן ומרבע אותה, ולרב חייב משום בונה דכיון שהוא מרבע את האבן ומיפה הוא הוא צורך בנין, </w:t>
      </w:r>
      <w:r w:rsidRPr="00A655AF">
        <w:rPr>
          <w:rStyle w:val="af"/>
          <w:rFonts w:hint="cs"/>
          <w:rtl/>
        </w:rPr>
        <w:t xml:space="preserve">[אבל </w:t>
      </w:r>
      <w:r w:rsidRPr="001B1FAC">
        <w:rPr>
          <w:rStyle w:val="aff9"/>
          <w:rFonts w:hint="cs"/>
          <w:vanish/>
          <w:rtl/>
        </w:rPr>
        <w:t>-</w:t>
      </w:r>
      <w:r w:rsidRPr="00A655AF">
        <w:rPr>
          <w:rStyle w:val="aff9"/>
          <w:rFonts w:hint="cs"/>
          <w:rtl/>
        </w:rPr>
        <w:t>ה</w:t>
      </w:r>
      <w:r w:rsidRPr="00FF7D8F">
        <w:rPr>
          <w:rStyle w:val="aff9"/>
          <w:rFonts w:hint="cs"/>
          <w:vanish/>
          <w:rtl/>
        </w:rPr>
        <w:t>&lt; &gt;</w:t>
      </w:r>
      <w:r w:rsidRPr="00A655AF">
        <w:rPr>
          <w:rStyle w:val="aff9"/>
          <w:rFonts w:hint="cs"/>
          <w:rtl/>
        </w:rPr>
        <w:t>רמב"ם</w:t>
      </w:r>
      <w:r w:rsidRPr="001B1FAC">
        <w:rPr>
          <w:rStyle w:val="aff9"/>
          <w:rFonts w:hint="cs"/>
          <w:vanish/>
          <w:rtl/>
        </w:rPr>
        <w:t>-</w:t>
      </w:r>
      <w:r w:rsidRPr="00A655AF">
        <w:rPr>
          <w:rStyle w:val="af"/>
          <w:rFonts w:hint="cs"/>
          <w:rtl/>
        </w:rPr>
        <w:t xml:space="preserve"> </w:t>
      </w:r>
      <w:r w:rsidRPr="001B1FAC">
        <w:rPr>
          <w:rStyle w:val="aff0"/>
          <w:rFonts w:hint="cs"/>
          <w:rtl/>
        </w:rPr>
        <w:t>(שבת פ"י הי"ח)</w:t>
      </w:r>
      <w:r w:rsidRPr="001B1FAC">
        <w:rPr>
          <w:rStyle w:val="af"/>
          <w:rFonts w:hint="cs"/>
          <w:vanish/>
          <w:rtl/>
        </w:rPr>
        <w:t>=</w:t>
      </w:r>
      <w:r w:rsidRPr="00A655AF">
        <w:rPr>
          <w:rStyle w:val="af"/>
          <w:rFonts w:hint="cs"/>
          <w:rtl/>
        </w:rPr>
        <w:t xml:space="preserve"> פסק דחיוב בונה הוא משום מכה בפטיש</w:t>
      </w:r>
      <w:r w:rsidRPr="006D12D1">
        <w:rPr>
          <w:rStyle w:val="af"/>
          <w:rFonts w:hint="cs"/>
          <w:rtl/>
        </w:rPr>
        <w:t>],</w:t>
      </w:r>
      <w:r>
        <w:rPr>
          <w:rFonts w:hint="cs"/>
          <w:rtl/>
        </w:rPr>
        <w:t xml:space="preserve"> ועי' במ"ש </w:t>
      </w:r>
      <w:r w:rsidRPr="001B1FAC">
        <w:rPr>
          <w:rStyle w:val="aff4"/>
          <w:rFonts w:hint="cs"/>
          <w:vanish/>
          <w:rtl/>
        </w:rPr>
        <w:t>-</w:t>
      </w:r>
      <w:r w:rsidRPr="00DB1D3B">
        <w:rPr>
          <w:rStyle w:val="aff4"/>
          <w:rFonts w:hint="cs"/>
          <w:rtl/>
        </w:rPr>
        <w:t>האו"ש</w:t>
      </w:r>
      <w:r w:rsidRPr="001B1FAC">
        <w:rPr>
          <w:rStyle w:val="aff4"/>
          <w:rFonts w:hint="cs"/>
          <w:vanish/>
          <w:rtl/>
        </w:rPr>
        <w:t>-</w:t>
      </w:r>
      <w:r>
        <w:rPr>
          <w:rFonts w:hint="cs"/>
          <w:rtl/>
        </w:rPr>
        <w:t xml:space="preserve"> </w:t>
      </w:r>
      <w:r w:rsidRPr="00DB1D3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Ref143614061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ב)</w:t>
      </w:r>
      <w:r>
        <w:rPr>
          <w:rStyle w:val="af2"/>
          <w:rFonts w:eastAsia="Guttman Hodes"/>
          <w:rtl/>
        </w:rPr>
        <w:fldChar w:fldCharType="end"/>
      </w:r>
      <w:r>
        <w:rPr>
          <w:rFonts w:hint="cs"/>
          <w:rtl/>
        </w:rPr>
        <w:t xml:space="preserve"> דחיוב דרך בנין הוא אף כשאין בזה אוהל כלל.</w:t>
      </w:r>
      <w:bookmarkEnd w:id="4554"/>
      <w:r>
        <w:rPr>
          <w:rFonts w:hint="cs"/>
          <w:rtl/>
        </w:rPr>
        <w:t xml:space="preserve"> </w:t>
      </w:r>
    </w:p>
    <w:p w14:paraId="383DC907" w14:textId="77777777" w:rsidR="00376F67" w:rsidRPr="0074694D" w:rsidRDefault="00376F67" w:rsidP="00376F67">
      <w:pPr>
        <w:pStyle w:val="a2"/>
        <w:tabs>
          <w:tab w:val="num" w:pos="284"/>
        </w:tabs>
        <w:rPr>
          <w:vanish w:val="0"/>
        </w:rPr>
      </w:pPr>
      <w:r w:rsidRPr="0074694D">
        <w:rPr>
          <w:rtl/>
        </w:rPr>
        <w:t>מסתת - מרבע את האבן ומתקנה, הכל לפי המקום, שיש מקומות שרגילין להחליק, ויש מקומות שרגילין לחרוץ בה חריצים חריצים בארץ אשכנז.</w:t>
      </w:r>
    </w:p>
    <w:p w14:paraId="3555E0E5" w14:textId="77777777" w:rsidR="00376F67" w:rsidRPr="00954231" w:rsidRDefault="00376F67" w:rsidP="00376F67">
      <w:pPr>
        <w:pStyle w:val="afffff5"/>
        <w:rPr>
          <w:vanish w:val="0"/>
          <w:rtl/>
        </w:rPr>
      </w:pPr>
      <w:r w:rsidRPr="00954231">
        <w:rPr>
          <w:rtl/>
        </w:rPr>
        <w:t>מסתת - דרך בנין בכך.</w:t>
      </w:r>
    </w:p>
    <w:p w14:paraId="3AA17261" w14:textId="77777777" w:rsidR="00376F67" w:rsidRPr="00954231" w:rsidRDefault="00376F67" w:rsidP="00376F67">
      <w:pPr>
        <w:pStyle w:val="afffff5"/>
        <w:rPr>
          <w:vanish w:val="0"/>
          <w:rtl/>
        </w:rPr>
      </w:pPr>
      <w:r w:rsidRPr="00954231">
        <w:rPr>
          <w:rtl/>
        </w:rPr>
        <w:t>המסתת את האבן ר"ל שמפצל ממנה בליטות שנשארו שם ומרבעה ויתבאר בגמ' לדעת רב שאף הוא חייב משום בונה שכל שהוא מתאר את האבן ומיפה אותה לצורך בנין בנין הוא</w:t>
      </w:r>
      <w:r w:rsidRPr="00954231">
        <w:rPr>
          <w:rFonts w:hint="cs"/>
          <w:rtl/>
        </w:rPr>
        <w:t>.</w:t>
      </w:r>
    </w:p>
    <w:p w14:paraId="5EADCE20" w14:textId="77777777" w:rsidR="00376F67" w:rsidRDefault="00376F67" w:rsidP="00376F67">
      <w:pPr>
        <w:pStyle w:val="1"/>
        <w:rPr>
          <w:rtl/>
        </w:rPr>
      </w:pPr>
      <w:bookmarkStart w:id="4555" w:name="_Toc143767774"/>
      <w:bookmarkStart w:id="4556" w:name="_Toc143770595"/>
      <w:r>
        <w:rPr>
          <w:rFonts w:hint="cs"/>
          <w:rtl/>
        </w:rPr>
        <w:t>בגדר בונה בלול של תרנגולין אי מדין מחובר או מדין יצירה</w:t>
      </w:r>
      <w:bookmarkEnd w:id="4555"/>
      <w:bookmarkEnd w:id="4556"/>
    </w:p>
    <w:p w14:paraId="4CC98820" w14:textId="77777777" w:rsidR="00376F67" w:rsidRDefault="00376F67" w:rsidP="00376F67">
      <w:pPr>
        <w:pStyle w:val="afffff7"/>
        <w:rPr>
          <w:rtl/>
        </w:rPr>
      </w:pPr>
      <w:bookmarkStart w:id="4557" w:name="_Toc143767893"/>
      <w:bookmarkStart w:id="4558" w:name="_Toc163506081"/>
      <w:r>
        <w:rPr>
          <w:rtl/>
        </w:rPr>
        <w:t>רמב"ם שבת פ"י הי"ד</w:t>
      </w:r>
      <w:bookmarkEnd w:id="4557"/>
      <w:bookmarkEnd w:id="4558"/>
    </w:p>
    <w:p w14:paraId="6A78200B" w14:textId="77777777" w:rsidR="00376F67" w:rsidRDefault="00376F67" w:rsidP="00376F67">
      <w:pPr>
        <w:pStyle w:val="afffff7"/>
        <w:rPr>
          <w:rtl/>
        </w:rPr>
      </w:pPr>
      <w:bookmarkStart w:id="4559" w:name="_Toc143767894"/>
      <w:bookmarkStart w:id="4560" w:name="_Toc163506082"/>
      <w:r>
        <w:rPr>
          <w:rtl/>
        </w:rPr>
        <w:t>מגיד משנה שבת פ"י הי"ד</w:t>
      </w:r>
      <w:bookmarkEnd w:id="4559"/>
      <w:bookmarkEnd w:id="4560"/>
    </w:p>
    <w:p w14:paraId="1D723FD5" w14:textId="77777777" w:rsidR="00376F67" w:rsidRDefault="00376F67" w:rsidP="00376F67">
      <w:pPr>
        <w:pStyle w:val="afffff7"/>
        <w:rPr>
          <w:rtl/>
        </w:rPr>
      </w:pPr>
      <w:bookmarkStart w:id="4561" w:name="_Toc143767895"/>
      <w:bookmarkStart w:id="4562" w:name="_Toc163506083"/>
      <w:r>
        <w:rPr>
          <w:rtl/>
        </w:rPr>
        <w:t>רמב"ם שבת פכ"ג ה"א</w:t>
      </w:r>
      <w:bookmarkEnd w:id="4561"/>
      <w:bookmarkEnd w:id="4562"/>
    </w:p>
    <w:p w14:paraId="43078F31" w14:textId="77777777" w:rsidR="00376F67" w:rsidRDefault="00376F67" w:rsidP="00376F67">
      <w:pPr>
        <w:pStyle w:val="afffff7"/>
        <w:rPr>
          <w:rtl/>
        </w:rPr>
      </w:pPr>
      <w:bookmarkStart w:id="4563" w:name="_Toc143767896"/>
      <w:bookmarkStart w:id="4564" w:name="_Toc163506084"/>
      <w:r>
        <w:rPr>
          <w:rtl/>
        </w:rPr>
        <w:t>רמב"ם שבת פ"י הט"ז</w:t>
      </w:r>
      <w:bookmarkEnd w:id="4563"/>
      <w:bookmarkEnd w:id="4564"/>
    </w:p>
    <w:p w14:paraId="140D2937" w14:textId="77777777" w:rsidR="00376F67" w:rsidRDefault="00376F67" w:rsidP="00376F67">
      <w:pPr>
        <w:pStyle w:val="afffff7"/>
        <w:rPr>
          <w:rtl/>
        </w:rPr>
      </w:pPr>
      <w:bookmarkStart w:id="4565" w:name="_Toc143767897"/>
      <w:bookmarkStart w:id="4566" w:name="_Toc163506085"/>
      <w:r>
        <w:rPr>
          <w:rtl/>
        </w:rPr>
        <w:t>כסף משנה שבת פ"י הי"ד</w:t>
      </w:r>
      <w:bookmarkEnd w:id="4565"/>
      <w:bookmarkEnd w:id="4566"/>
    </w:p>
    <w:p w14:paraId="57F2D15C" w14:textId="77777777" w:rsidR="00376F67" w:rsidRDefault="00376F67" w:rsidP="00376F67">
      <w:pPr>
        <w:pStyle w:val="afffff7"/>
        <w:rPr>
          <w:rtl/>
        </w:rPr>
      </w:pPr>
      <w:bookmarkStart w:id="4567" w:name="_Toc143767898"/>
      <w:bookmarkStart w:id="4568" w:name="_Toc163506086"/>
      <w:r>
        <w:rPr>
          <w:rtl/>
        </w:rPr>
        <w:t>לחם משנה שבת פ"י הי"ד</w:t>
      </w:r>
      <w:bookmarkEnd w:id="4567"/>
      <w:bookmarkEnd w:id="4568"/>
    </w:p>
    <w:p w14:paraId="1956A0F9" w14:textId="77777777" w:rsidR="00376F67" w:rsidRDefault="00376F67" w:rsidP="00376F67">
      <w:pPr>
        <w:pStyle w:val="afffff7"/>
        <w:rPr>
          <w:rtl/>
        </w:rPr>
      </w:pPr>
      <w:bookmarkStart w:id="4569" w:name="_Toc143767899"/>
      <w:bookmarkStart w:id="4570" w:name="_Toc163506087"/>
      <w:r>
        <w:rPr>
          <w:rtl/>
        </w:rPr>
        <w:t>מגן אברהם סימן שיד ס"ק ג</w:t>
      </w:r>
      <w:bookmarkEnd w:id="4569"/>
      <w:bookmarkEnd w:id="4570"/>
    </w:p>
    <w:p w14:paraId="2B6A2F2C" w14:textId="77777777" w:rsidR="00376F67" w:rsidRDefault="00376F67" w:rsidP="00376F67">
      <w:pPr>
        <w:pStyle w:val="a7"/>
        <w:rPr>
          <w:rtl/>
        </w:rPr>
      </w:pPr>
      <w:bookmarkStart w:id="4571" w:name="_Toc143767775"/>
      <w:bookmarkStart w:id="4572" w:name="_Toc143770596"/>
      <w:r>
        <w:rPr>
          <w:rFonts w:hint="cs"/>
          <w:rtl/>
        </w:rPr>
        <w:t>בי' המג"א ברמב"ם דנקב בלול תרנגולין המחובר לקרקע חייב משום בונה דהוא כבונה ממש</w:t>
      </w:r>
      <w:bookmarkEnd w:id="4571"/>
      <w:bookmarkEnd w:id="4572"/>
    </w:p>
    <w:p w14:paraId="23A08619" w14:textId="40141040" w:rsidR="00376F67" w:rsidRDefault="00376F67" w:rsidP="00BC7DC8">
      <w:pPr>
        <w:pStyle w:val="a3"/>
      </w:pPr>
      <w:bookmarkStart w:id="4573" w:name="_Ref143546066"/>
      <w:r>
        <w:rPr>
          <w:rFonts w:hint="cs"/>
          <w:rtl/>
        </w:rPr>
        <w:t xml:space="preserve">כתב </w:t>
      </w:r>
      <w:r w:rsidRPr="001A2014">
        <w:rPr>
          <w:rStyle w:val="aff4"/>
          <w:rFonts w:hint="cs"/>
          <w:vanish/>
          <w:rtl/>
        </w:rPr>
        <w:t>-</w:t>
      </w:r>
      <w:r w:rsidRPr="001A2014">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Ref143546066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כא)</w:t>
      </w:r>
      <w:r>
        <w:rPr>
          <w:rStyle w:val="aff4"/>
          <w:vanish/>
          <w:rtl/>
        </w:rPr>
        <w:fldChar w:fldCharType="end"/>
      </w:r>
      <w:r>
        <w:rPr>
          <w:rStyle w:val="aff4"/>
          <w:rFonts w:hint="cs"/>
          <w:vanish/>
          <w:rtl/>
        </w:rPr>
        <w:t xml:space="preserve"> &gt;</w:t>
      </w:r>
      <w:r w:rsidRPr="001A2014">
        <w:rPr>
          <w:rStyle w:val="aff4"/>
          <w:rFonts w:hint="cs"/>
          <w:rtl/>
        </w:rPr>
        <w:t>רמב"ם</w:t>
      </w:r>
      <w:r w:rsidRPr="001A2014">
        <w:rPr>
          <w:rStyle w:val="aff4"/>
          <w:rFonts w:hint="cs"/>
          <w:vanish/>
          <w:rtl/>
        </w:rPr>
        <w:t>-</w:t>
      </w:r>
      <w:r>
        <w:rPr>
          <w:rFonts w:hint="cs"/>
          <w:rtl/>
        </w:rPr>
        <w:t xml:space="preserve"> </w:t>
      </w:r>
      <w:r w:rsidRPr="00DB1D3B">
        <w:rPr>
          <w:rStyle w:val="af2"/>
          <w:rFonts w:eastAsia="Guttman Hodes" w:hint="cs"/>
          <w:rtl/>
        </w:rPr>
        <w:t>(שבת פ"י הי"ד)</w:t>
      </w:r>
      <w:r w:rsidRPr="001A2014">
        <w:rPr>
          <w:rFonts w:hint="cs"/>
          <w:vanish/>
          <w:rtl/>
        </w:rPr>
        <w:t>=</w:t>
      </w:r>
      <w:r>
        <w:rPr>
          <w:rFonts w:hint="cs"/>
          <w:rtl/>
        </w:rPr>
        <w:t xml:space="preserve"> דהעושה נקב כל שהוא בלול של תרנגולין לאורה, חייב משום בונה, וביאר </w:t>
      </w:r>
      <w:r w:rsidRPr="001A2014">
        <w:rPr>
          <w:rStyle w:val="aff4"/>
          <w:rFonts w:hint="cs"/>
          <w:vanish/>
          <w:rtl/>
        </w:rPr>
        <w:t>-</w:t>
      </w:r>
      <w:r w:rsidRPr="001A2014">
        <w:rPr>
          <w:rStyle w:val="aff4"/>
          <w:rFonts w:hint="cs"/>
          <w:rtl/>
        </w:rPr>
        <w:t>ה</w:t>
      </w:r>
      <w:r w:rsidRPr="00FF7D8F">
        <w:rPr>
          <w:rStyle w:val="aff4"/>
          <w:rFonts w:hint="cs"/>
          <w:vanish/>
          <w:rtl/>
        </w:rPr>
        <w:t>&lt; &gt;</w:t>
      </w:r>
      <w:r>
        <w:rPr>
          <w:rStyle w:val="aff4"/>
          <w:rFonts w:hint="cs"/>
          <w:rtl/>
        </w:rPr>
        <w:t>מ</w:t>
      </w:r>
      <w:r w:rsidRPr="001A2014">
        <w:rPr>
          <w:rStyle w:val="aff4"/>
          <w:rFonts w:hint="cs"/>
          <w:rtl/>
        </w:rPr>
        <w:t>"מ</w:t>
      </w:r>
      <w:r w:rsidRPr="001A2014">
        <w:rPr>
          <w:rStyle w:val="aff4"/>
          <w:rFonts w:hint="cs"/>
          <w:vanish/>
          <w:rtl/>
        </w:rPr>
        <w:t>-</w:t>
      </w:r>
      <w:r>
        <w:rPr>
          <w:rFonts w:hint="cs"/>
          <w:rtl/>
        </w:rPr>
        <w:t xml:space="preserve"> </w:t>
      </w:r>
      <w:r w:rsidRPr="00DB1D3B">
        <w:rPr>
          <w:rStyle w:val="af2"/>
          <w:rFonts w:eastAsia="Guttman Hodes" w:hint="cs"/>
          <w:rtl/>
        </w:rPr>
        <w:t>(שבת פ"י הי"ד)</w:t>
      </w:r>
      <w:r w:rsidRPr="001A2014">
        <w:rPr>
          <w:rFonts w:hint="cs"/>
          <w:vanish/>
          <w:rtl/>
        </w:rPr>
        <w:t>=</w:t>
      </w:r>
      <w:r>
        <w:rPr>
          <w:rFonts w:hint="cs"/>
          <w:rtl/>
        </w:rPr>
        <w:t xml:space="preserve"> דפסק </w:t>
      </w:r>
      <w:r w:rsidRPr="001A2014">
        <w:rPr>
          <w:rStyle w:val="aff4"/>
          <w:rFonts w:hint="cs"/>
          <w:vanish/>
          <w:rtl/>
        </w:rPr>
        <w:t>-</w:t>
      </w:r>
      <w:r w:rsidRPr="001A2014">
        <w:rPr>
          <w:rStyle w:val="aff4"/>
          <w:rFonts w:hint="cs"/>
          <w:rtl/>
        </w:rPr>
        <w:t>הרמב"ם</w:t>
      </w:r>
      <w:r w:rsidRPr="001A2014">
        <w:rPr>
          <w:rStyle w:val="aff4"/>
          <w:rFonts w:hint="cs"/>
          <w:vanish/>
          <w:rtl/>
        </w:rPr>
        <w:t>-</w:t>
      </w:r>
      <w:r>
        <w:rPr>
          <w:rFonts w:hint="cs"/>
          <w:rtl/>
        </w:rPr>
        <w:t xml:space="preserve"> כדעת רב, אך הקשו </w:t>
      </w:r>
      <w:r w:rsidRPr="001A2014">
        <w:rPr>
          <w:rStyle w:val="aff4"/>
          <w:rFonts w:hint="cs"/>
          <w:vanish/>
          <w:rtl/>
        </w:rPr>
        <w:t>-</w:t>
      </w:r>
      <w:r w:rsidRPr="001A2014">
        <w:rPr>
          <w:rStyle w:val="aff4"/>
          <w:rFonts w:hint="cs"/>
          <w:rtl/>
        </w:rPr>
        <w:t>ה</w:t>
      </w:r>
      <w:r w:rsidRPr="00FF7D8F">
        <w:rPr>
          <w:rStyle w:val="aff4"/>
          <w:rFonts w:hint="cs"/>
          <w:vanish/>
          <w:rtl/>
        </w:rPr>
        <w:t>&lt; &gt;</w:t>
      </w:r>
      <w:r w:rsidRPr="001A2014">
        <w:rPr>
          <w:rStyle w:val="aff4"/>
          <w:rFonts w:hint="cs"/>
          <w:rtl/>
        </w:rPr>
        <w:t>כס"מ</w:t>
      </w:r>
      <w:r w:rsidRPr="001A2014">
        <w:rPr>
          <w:rStyle w:val="aff4"/>
          <w:rFonts w:hint="cs"/>
          <w:vanish/>
          <w:rtl/>
        </w:rPr>
        <w:t>-</w:t>
      </w:r>
      <w:r>
        <w:rPr>
          <w:rFonts w:hint="cs"/>
          <w:rtl/>
        </w:rPr>
        <w:t xml:space="preserve"> </w:t>
      </w:r>
      <w:r w:rsidRPr="00DB1D3B">
        <w:rPr>
          <w:rStyle w:val="af2"/>
          <w:rFonts w:eastAsia="Guttman Hodes" w:hint="cs"/>
          <w:rtl/>
        </w:rPr>
        <w:t>(שבת פ"י הי"ד)</w:t>
      </w:r>
      <w:r w:rsidRPr="001A2014">
        <w:rPr>
          <w:rFonts w:hint="cs"/>
          <w:vanish/>
          <w:rtl/>
        </w:rPr>
        <w:t>=</w:t>
      </w:r>
      <w:r>
        <w:rPr>
          <w:rFonts w:hint="cs"/>
          <w:rtl/>
        </w:rPr>
        <w:t xml:space="preserve"> </w:t>
      </w:r>
      <w:r w:rsidRPr="001A2014">
        <w:rPr>
          <w:rStyle w:val="aff4"/>
          <w:rFonts w:hint="cs"/>
          <w:vanish/>
          <w:rtl/>
        </w:rPr>
        <w:t>-</w:t>
      </w:r>
      <w:r w:rsidRPr="001A2014">
        <w:rPr>
          <w:rStyle w:val="aff4"/>
          <w:rFonts w:hint="cs"/>
          <w:rtl/>
        </w:rPr>
        <w:t>וה</w:t>
      </w:r>
      <w:r w:rsidRPr="00FF7D8F">
        <w:rPr>
          <w:rStyle w:val="aff4"/>
          <w:rFonts w:hint="cs"/>
          <w:vanish/>
          <w:rtl/>
        </w:rPr>
        <w:t>&lt; &gt;</w:t>
      </w:r>
      <w:r w:rsidRPr="001A2014">
        <w:rPr>
          <w:rStyle w:val="aff4"/>
          <w:rFonts w:hint="cs"/>
          <w:rtl/>
        </w:rPr>
        <w:t>לח"מ</w:t>
      </w:r>
      <w:r w:rsidRPr="001A2014">
        <w:rPr>
          <w:rStyle w:val="aff4"/>
          <w:rFonts w:hint="cs"/>
          <w:vanish/>
          <w:rtl/>
        </w:rPr>
        <w:t>-</w:t>
      </w:r>
      <w:r>
        <w:rPr>
          <w:rFonts w:hint="cs"/>
          <w:rtl/>
        </w:rPr>
        <w:t xml:space="preserve"> </w:t>
      </w:r>
      <w:r w:rsidRPr="00DB1D3B">
        <w:rPr>
          <w:rStyle w:val="af2"/>
          <w:rFonts w:eastAsia="Guttman Hodes" w:hint="cs"/>
          <w:rtl/>
        </w:rPr>
        <w:t>(שבת פ"י הי"ד)</w:t>
      </w:r>
      <w:r w:rsidRPr="001A2014">
        <w:rPr>
          <w:rFonts w:hint="cs"/>
          <w:vanish/>
          <w:rtl/>
        </w:rPr>
        <w:t>=</w:t>
      </w:r>
      <w:r>
        <w:rPr>
          <w:rFonts w:hint="cs"/>
          <w:rtl/>
        </w:rPr>
        <w:t xml:space="preserve"> דהא כתב </w:t>
      </w:r>
      <w:r w:rsidRPr="001A2014">
        <w:rPr>
          <w:rStyle w:val="aff4"/>
          <w:rFonts w:hint="cs"/>
          <w:vanish/>
          <w:rtl/>
        </w:rPr>
        <w:t>-</w:t>
      </w:r>
      <w:r w:rsidRPr="001A2014">
        <w:rPr>
          <w:rStyle w:val="aff4"/>
          <w:rFonts w:hint="cs"/>
          <w:rtl/>
        </w:rPr>
        <w:t>ה</w:t>
      </w:r>
      <w:r w:rsidRPr="00FF7D8F">
        <w:rPr>
          <w:rStyle w:val="aff4"/>
          <w:rFonts w:hint="cs"/>
          <w:vanish/>
          <w:rtl/>
        </w:rPr>
        <w:t>&lt; &gt;</w:t>
      </w:r>
      <w:r w:rsidRPr="001A2014">
        <w:rPr>
          <w:rStyle w:val="aff4"/>
          <w:rFonts w:hint="cs"/>
          <w:rtl/>
        </w:rPr>
        <w:t>רמב"ם</w:t>
      </w:r>
      <w:r w:rsidRPr="001A2014">
        <w:rPr>
          <w:rStyle w:val="aff4"/>
          <w:rFonts w:hint="cs"/>
          <w:vanish/>
          <w:rtl/>
        </w:rPr>
        <w:t>-</w:t>
      </w:r>
      <w:r>
        <w:rPr>
          <w:rFonts w:hint="cs"/>
          <w:rtl/>
        </w:rPr>
        <w:t xml:space="preserve"> </w:t>
      </w:r>
      <w:r w:rsidRPr="00DB1D3B">
        <w:rPr>
          <w:rStyle w:val="af2"/>
          <w:rFonts w:eastAsia="Guttman Hodes" w:hint="cs"/>
          <w:rtl/>
        </w:rPr>
        <w:t>(שבת פ"י ה</w:t>
      </w:r>
      <w:r>
        <w:rPr>
          <w:rStyle w:val="af2"/>
          <w:rFonts w:eastAsia="Guttman Hodes" w:hint="cs"/>
          <w:rtl/>
        </w:rPr>
        <w:t>ט</w:t>
      </w:r>
      <w:r w:rsidRPr="00DB1D3B">
        <w:rPr>
          <w:rStyle w:val="af2"/>
          <w:rFonts w:eastAsia="Guttman Hodes" w:hint="cs"/>
          <w:rtl/>
        </w:rPr>
        <w:t>"</w:t>
      </w:r>
      <w:r>
        <w:rPr>
          <w:rStyle w:val="af2"/>
          <w:rFonts w:eastAsia="Guttman Hodes" w:hint="cs"/>
          <w:rtl/>
        </w:rPr>
        <w:t>ז</w:t>
      </w:r>
      <w:r w:rsidRPr="00DB1D3B">
        <w:rPr>
          <w:rStyle w:val="af2"/>
          <w:rFonts w:eastAsia="Guttman Hodes" w:hint="cs"/>
          <w:rtl/>
        </w:rPr>
        <w:t>)</w:t>
      </w:r>
      <w:r w:rsidRPr="001A2014">
        <w:rPr>
          <w:rFonts w:hint="cs"/>
          <w:vanish/>
          <w:rtl/>
        </w:rPr>
        <w:t>=</w:t>
      </w:r>
      <w:r>
        <w:rPr>
          <w:rFonts w:hint="cs"/>
          <w:rtl/>
        </w:rPr>
        <w:t xml:space="preserve"> דהעושה נקב כל שהוא חייב משום מכה בפטיש, ועוד כתב </w:t>
      </w:r>
      <w:r w:rsidRPr="001A2014">
        <w:rPr>
          <w:rStyle w:val="aff4"/>
          <w:rFonts w:hint="cs"/>
          <w:vanish/>
          <w:rtl/>
        </w:rPr>
        <w:t>-</w:t>
      </w:r>
      <w:r w:rsidRPr="001A2014">
        <w:rPr>
          <w:rStyle w:val="aff4"/>
          <w:rFonts w:hint="cs"/>
          <w:rtl/>
        </w:rPr>
        <w:t>ה</w:t>
      </w:r>
      <w:r w:rsidRPr="00FF7D8F">
        <w:rPr>
          <w:rStyle w:val="aff4"/>
          <w:rFonts w:hint="cs"/>
          <w:vanish/>
          <w:rtl/>
        </w:rPr>
        <w:t>&lt; &gt;</w:t>
      </w:r>
      <w:r w:rsidRPr="001A2014">
        <w:rPr>
          <w:rStyle w:val="aff4"/>
          <w:rFonts w:hint="cs"/>
          <w:rtl/>
        </w:rPr>
        <w:t>רמב"ם</w:t>
      </w:r>
      <w:r w:rsidRPr="001A2014">
        <w:rPr>
          <w:rStyle w:val="aff4"/>
          <w:rFonts w:hint="cs"/>
          <w:vanish/>
          <w:rtl/>
        </w:rPr>
        <w:t>-</w:t>
      </w:r>
      <w:r>
        <w:rPr>
          <w:rFonts w:hint="cs"/>
          <w:rtl/>
        </w:rPr>
        <w:t xml:space="preserve"> </w:t>
      </w:r>
      <w:r w:rsidRPr="00DB1D3B">
        <w:rPr>
          <w:rStyle w:val="af2"/>
          <w:rFonts w:eastAsia="Guttman Hodes" w:hint="cs"/>
          <w:rtl/>
        </w:rPr>
        <w:t>(שבת פכ"ג ה"א)</w:t>
      </w:r>
      <w:r w:rsidRPr="001A2014">
        <w:rPr>
          <w:rFonts w:hint="cs"/>
          <w:vanish/>
          <w:rtl/>
        </w:rPr>
        <w:t>=</w:t>
      </w:r>
      <w:r>
        <w:rPr>
          <w:rFonts w:hint="cs"/>
          <w:rtl/>
        </w:rPr>
        <w:t xml:space="preserve"> דהעושה נקב בלול של תרנגולין להכניס אורה ולהוציא הבל חייב משום מכה בפטיש, והיינו כשמואל ולא כרב, </w:t>
      </w:r>
      <w:r w:rsidRPr="00A655AF">
        <w:rPr>
          <w:rStyle w:val="af"/>
          <w:rFonts w:hint="cs"/>
          <w:rtl/>
        </w:rPr>
        <w:t xml:space="preserve">[ועי' במה שתירצו </w:t>
      </w:r>
      <w:r w:rsidRPr="001B1FAC">
        <w:rPr>
          <w:rStyle w:val="aff9"/>
          <w:rFonts w:hint="cs"/>
          <w:vanish/>
          <w:rtl/>
        </w:rPr>
        <w:t>-</w:t>
      </w:r>
      <w:r w:rsidRPr="00A655AF">
        <w:rPr>
          <w:rStyle w:val="aff9"/>
          <w:rFonts w:hint="cs"/>
          <w:rtl/>
        </w:rPr>
        <w:t>הלח"מ והמרכה"מ</w:t>
      </w:r>
      <w:r w:rsidRPr="001B1FAC">
        <w:rPr>
          <w:rStyle w:val="aff9"/>
          <w:rFonts w:hint="cs"/>
          <w:vanish/>
          <w:rtl/>
        </w:rPr>
        <w:t>-</w:t>
      </w:r>
      <w:r w:rsidRPr="006D12D1">
        <w:rPr>
          <w:rStyle w:val="af"/>
          <w:rFonts w:hint="cs"/>
          <w:rtl/>
        </w:rPr>
        <w:t>],</w:t>
      </w:r>
      <w:r>
        <w:rPr>
          <w:rFonts w:hint="cs"/>
          <w:rtl/>
        </w:rPr>
        <w:t xml:space="preserve"> ותירץ </w:t>
      </w:r>
      <w:r w:rsidRPr="001A2014">
        <w:rPr>
          <w:rStyle w:val="aff4"/>
          <w:rFonts w:hint="cs"/>
          <w:vanish/>
          <w:rtl/>
        </w:rPr>
        <w:t>-</w:t>
      </w:r>
      <w:r w:rsidRPr="001A2014">
        <w:rPr>
          <w:rStyle w:val="aff4"/>
          <w:rFonts w:hint="cs"/>
          <w:rtl/>
        </w:rPr>
        <w:t>ה</w:t>
      </w:r>
      <w:r w:rsidRPr="00FF7D8F">
        <w:rPr>
          <w:rStyle w:val="aff4"/>
          <w:rFonts w:hint="cs"/>
          <w:vanish/>
          <w:rtl/>
        </w:rPr>
        <w:t>&lt; &gt;</w:t>
      </w:r>
      <w:r w:rsidRPr="001A2014">
        <w:rPr>
          <w:rStyle w:val="aff4"/>
          <w:rFonts w:hint="cs"/>
          <w:rtl/>
        </w:rPr>
        <w:t>מג"א</w:t>
      </w:r>
      <w:r w:rsidRPr="001A2014">
        <w:rPr>
          <w:rStyle w:val="aff4"/>
          <w:rFonts w:hint="cs"/>
          <w:vanish/>
          <w:rtl/>
        </w:rPr>
        <w:t>-</w:t>
      </w:r>
      <w:r>
        <w:rPr>
          <w:rFonts w:hint="cs"/>
          <w:rtl/>
        </w:rPr>
        <w:t xml:space="preserve"> </w:t>
      </w:r>
      <w:r w:rsidRPr="00DB1D3B">
        <w:rPr>
          <w:rStyle w:val="af2"/>
          <w:rFonts w:eastAsia="Guttman Hodes" w:hint="cs"/>
          <w:rtl/>
        </w:rPr>
        <w:t>(סי' שי"ד סק"ג)</w:t>
      </w:r>
      <w:r w:rsidRPr="001A2014">
        <w:rPr>
          <w:rFonts w:hint="cs"/>
          <w:vanish/>
          <w:rtl/>
        </w:rPr>
        <w:t>=</w:t>
      </w:r>
      <w:r>
        <w:rPr>
          <w:rFonts w:hint="cs"/>
          <w:rtl/>
        </w:rPr>
        <w:t xml:space="preserve"> דחיוב בונה הוא רק בלול תרנגולין המחובר לקרקע, ובלול שאינו מחובר לקרקע החיוב הוא משום מכה בפטיש, ועי' במ"ש </w:t>
      </w:r>
      <w:r w:rsidRPr="002C7085">
        <w:rPr>
          <w:rFonts w:hint="cs"/>
          <w:vanish/>
          <w:rtl/>
        </w:rPr>
        <w:t>-</w:t>
      </w:r>
      <w:r w:rsidRPr="00E5479B">
        <w:rPr>
          <w:rStyle w:val="aff4"/>
          <w:rFonts w:hint="cs"/>
          <w:rtl/>
        </w:rPr>
        <w:t>ה</w:t>
      </w:r>
      <w:r w:rsidRPr="00FF7D8F">
        <w:rPr>
          <w:rFonts w:hint="cs"/>
          <w:vanish/>
          <w:rtl/>
        </w:rPr>
        <w:t>&lt; &gt;</w:t>
      </w:r>
      <w:r w:rsidRPr="00E5479B">
        <w:rPr>
          <w:rStyle w:val="aff4"/>
          <w:rFonts w:hint="cs"/>
          <w:rtl/>
        </w:rPr>
        <w:t>קהלות</w:t>
      </w:r>
      <w:r>
        <w:rPr>
          <w:rFonts w:hint="cs"/>
          <w:rtl/>
        </w:rPr>
        <w:t xml:space="preserve"> </w:t>
      </w:r>
      <w:r w:rsidRPr="00E5479B">
        <w:rPr>
          <w:rStyle w:val="aff4"/>
          <w:rFonts w:hint="cs"/>
          <w:rtl/>
        </w:rPr>
        <w:t>יעקב</w:t>
      </w:r>
      <w:r w:rsidRPr="002C7085">
        <w:rPr>
          <w:rFonts w:hint="cs"/>
          <w:vanish/>
          <w:rtl/>
        </w:rPr>
        <w:t>-</w:t>
      </w:r>
      <w:r>
        <w:rPr>
          <w:rFonts w:hint="cs"/>
          <w:rtl/>
        </w:rPr>
        <w:t xml:space="preserve"> </w:t>
      </w:r>
      <w:r w:rsidRPr="00DB1D3B">
        <w:rPr>
          <w:rStyle w:val="af2"/>
          <w:rFonts w:eastAsia="Guttman Hodes" w:hint="cs"/>
          <w:rtl/>
        </w:rPr>
        <w:t xml:space="preserve">(עי' אות </w:t>
      </w:r>
      <w:r w:rsidRPr="00DB1D3B">
        <w:rPr>
          <w:rStyle w:val="af2"/>
          <w:rFonts w:eastAsia="Guttman Hodes"/>
          <w:rtl/>
        </w:rPr>
        <w:fldChar w:fldCharType="begin"/>
      </w:r>
      <w:r w:rsidRPr="00DB1D3B">
        <w:rPr>
          <w:rStyle w:val="af2"/>
          <w:rFonts w:eastAsia="Guttman Hodes"/>
          <w:rtl/>
        </w:rPr>
        <w:instrText xml:space="preserve"> </w:instrText>
      </w:r>
      <w:r w:rsidRPr="00DB1D3B">
        <w:rPr>
          <w:rStyle w:val="af2"/>
          <w:rFonts w:eastAsia="Guttman Hodes" w:hint="cs"/>
        </w:rPr>
        <w:instrText>REF</w:instrText>
      </w:r>
      <w:r w:rsidRPr="00DB1D3B">
        <w:rPr>
          <w:rStyle w:val="af2"/>
          <w:rFonts w:eastAsia="Guttman Hodes" w:hint="cs"/>
          <w:rtl/>
        </w:rPr>
        <w:instrText xml:space="preserve"> _</w:instrText>
      </w:r>
      <w:r w:rsidRPr="00DB1D3B">
        <w:rPr>
          <w:rStyle w:val="af2"/>
          <w:rFonts w:eastAsia="Guttman Hodes" w:hint="cs"/>
        </w:rPr>
        <w:instrText>Ref143509417 \r \h</w:instrText>
      </w:r>
      <w:r w:rsidRPr="00DB1D3B">
        <w:rPr>
          <w:rStyle w:val="af2"/>
          <w:rFonts w:eastAsia="Guttman Hodes"/>
          <w:rtl/>
        </w:rPr>
        <w:instrText xml:space="preserve"> </w:instrText>
      </w:r>
      <w:r w:rsidRPr="00DB1D3B">
        <w:rPr>
          <w:rStyle w:val="af2"/>
          <w:rFonts w:eastAsia="Guttman Hodes"/>
          <w:rtl/>
        </w:rPr>
      </w:r>
      <w:r w:rsidRPr="00DB1D3B">
        <w:rPr>
          <w:rStyle w:val="af2"/>
          <w:rFonts w:eastAsia="Guttman Hodes"/>
          <w:rtl/>
        </w:rPr>
        <w:fldChar w:fldCharType="separate"/>
      </w:r>
      <w:r w:rsidR="00D82181">
        <w:rPr>
          <w:rStyle w:val="af2"/>
          <w:rFonts w:eastAsia="Guttman Hodes"/>
          <w:cs/>
        </w:rPr>
        <w:t>‎</w:t>
      </w:r>
      <w:r w:rsidR="00D82181">
        <w:rPr>
          <w:rStyle w:val="af2"/>
          <w:rFonts w:eastAsia="Guttman Hodes"/>
          <w:rtl/>
        </w:rPr>
        <w:t>פב)</w:t>
      </w:r>
      <w:r w:rsidRPr="00DB1D3B">
        <w:rPr>
          <w:rStyle w:val="af2"/>
          <w:rFonts w:eastAsia="Guttman Hodes"/>
          <w:rtl/>
        </w:rPr>
        <w:fldChar w:fldCharType="end"/>
      </w:r>
      <w:r w:rsidRPr="002C7085">
        <w:rPr>
          <w:rFonts w:hint="cs"/>
          <w:vanish/>
          <w:rtl/>
        </w:rPr>
        <w:t>=</w:t>
      </w:r>
      <w:r>
        <w:rPr>
          <w:rFonts w:hint="cs"/>
          <w:rtl/>
        </w:rPr>
        <w:t xml:space="preserve"> דלפי"ז גדר בונה בלול הוא ככל בנין בקרקע דהוא בונה ממש, ואינו מדין עושה כלי.</w:t>
      </w:r>
      <w:bookmarkEnd w:id="4573"/>
    </w:p>
    <w:p w14:paraId="60454220" w14:textId="77777777" w:rsidR="00376F67" w:rsidRPr="0074694D" w:rsidRDefault="00376F67" w:rsidP="00376F67">
      <w:pPr>
        <w:pStyle w:val="a2"/>
        <w:tabs>
          <w:tab w:val="num" w:pos="284"/>
        </w:tabs>
        <w:rPr>
          <w:vanish w:val="0"/>
          <w:rtl/>
        </w:rPr>
      </w:pPr>
      <w:r w:rsidRPr="0074694D">
        <w:rPr>
          <w:rtl/>
        </w:rPr>
        <w:t>העושה נקב כל שהוא בלול של תרנגולים כדי שיכנס להן האורה חייב משום בונה, המחזיר דלת של בור ושל דות ושל יציע חייב משום בונה.</w:t>
      </w:r>
    </w:p>
    <w:p w14:paraId="5C06A5AF" w14:textId="77777777" w:rsidR="00376F67" w:rsidRPr="00954231" w:rsidRDefault="00376F67" w:rsidP="00376F67">
      <w:pPr>
        <w:pStyle w:val="afffff5"/>
        <w:rPr>
          <w:vanish w:val="0"/>
          <w:rtl/>
        </w:rPr>
      </w:pPr>
      <w:r w:rsidRPr="00954231">
        <w:rPr>
          <w:rtl/>
        </w:rPr>
        <w:t xml:space="preserve">העושה נקב כל שהוא וכו'. בהבונה (שם ק"ב:) העושה נקב בלול של תרנגולים רב אמר חייב משום בונה ושמואל אמר חייב משום מכה בפטיש והלכה כרב, ומפורש שם דעבדין ליה לאוירא: </w:t>
      </w:r>
    </w:p>
    <w:p w14:paraId="060EFF2C" w14:textId="77777777" w:rsidR="00376F67" w:rsidRPr="00954231" w:rsidRDefault="00376F67" w:rsidP="00376F67">
      <w:pPr>
        <w:pStyle w:val="afffff5"/>
        <w:rPr>
          <w:vanish w:val="0"/>
          <w:rtl/>
        </w:rPr>
      </w:pPr>
      <w:r w:rsidRPr="00954231">
        <w:rPr>
          <w:rtl/>
        </w:rPr>
        <w:t>העושה נקב שהוא עשוי להכניס ולהוציא כגון נקב שבלול התרנגולין שהוא עשוי להכניס האורה ולהוציא ההבל הרי זה חייב משום מכה בפטיש, לפיכך גזרו על כל נקב אפילו היה עשוי להוציא בלבד או להכניס בלבד שמא יבוא לעשות נקב שחייבין עליו, ומפני זה אין נוקבין בחבית נקב חדש ואין מוסיפין בו, אבל פותחין נקב ישן, והוא שלא יהיה הנקב למטה מן השמרים שאם היה למטה מן השמרים הרי זה עשוי לחזק ואסור לפתחו.</w:t>
      </w:r>
    </w:p>
    <w:p w14:paraId="085FF13C" w14:textId="77777777" w:rsidR="00376F67" w:rsidRPr="00954231" w:rsidRDefault="00376F67" w:rsidP="00376F67">
      <w:pPr>
        <w:pStyle w:val="afffff5"/>
        <w:rPr>
          <w:vanish w:val="0"/>
          <w:rtl/>
        </w:rPr>
      </w:pPr>
      <w:r w:rsidRPr="00954231">
        <w:rPr>
          <w:rtl/>
        </w:rPr>
        <w:t>והעושה נקב כל שהוא בין בעץ בין בבנין בין במתכת בין בכלים הרי זה תולדת מכה בפטיש וחייב</w:t>
      </w:r>
      <w:r w:rsidRPr="00954231">
        <w:rPr>
          <w:rFonts w:hint="cs"/>
          <w:rtl/>
        </w:rPr>
        <w:t>.</w:t>
      </w:r>
      <w:r w:rsidRPr="00954231">
        <w:rPr>
          <w:rtl/>
        </w:rPr>
        <w:t xml:space="preserve"> </w:t>
      </w:r>
    </w:p>
    <w:p w14:paraId="63B651C1" w14:textId="77777777" w:rsidR="00376F67" w:rsidRPr="00954231" w:rsidRDefault="00376F67" w:rsidP="00376F67">
      <w:pPr>
        <w:pStyle w:val="afffff5"/>
        <w:rPr>
          <w:vanish w:val="0"/>
          <w:rtl/>
        </w:rPr>
      </w:pPr>
      <w:r w:rsidRPr="00954231">
        <w:rPr>
          <w:rtl/>
        </w:rPr>
        <w:t>העושה נקב כל שהוא כו'. כתב ה"ה שפסק כרב. ויש לתמוה שלקמן בסמוך כתב העושה נקב בין בעץ בין בבנין ה"ז תולדת מכה בפטיש ובר"פ כ"ג כתב העושה נקב שהוא עשוי להכניס האורה והוציא ההבל ה"ז חייב משום מכה בפטיש:</w:t>
      </w:r>
    </w:p>
    <w:p w14:paraId="646B337A" w14:textId="77777777" w:rsidR="00376F67" w:rsidRPr="00954231" w:rsidRDefault="00376F67" w:rsidP="00376F67">
      <w:pPr>
        <w:pStyle w:val="afffff5"/>
        <w:rPr>
          <w:vanish w:val="0"/>
          <w:rtl/>
        </w:rPr>
      </w:pPr>
      <w:r w:rsidRPr="00954231">
        <w:rPr>
          <w:rtl/>
        </w:rPr>
        <w:t xml:space="preserve">העושה נקב כל שהו וכו'. בגמרא (דף ק"ב ב) איכא פלוגתא רב אמר משום בונה ושמואל אמר משום מכה בפטיש ופסק רבינו כרב, וקשה דלמטה נראה שפסק כשמואל שכתב והעושה נקב כל שהוא בין בעץ בין בבנין בין במתכת וכו' הרי זה תולדת מכה בפטיש וחייב דלרב הוי משום בונה כמבואר בגמרא במ"ש גבי קודח בשלמא לרב מיחזי כחר חורתא וכו' אבל זה איירי בנקב העשוי להכניס ולהוציא דאל"כ ה"ז מותר מן התורה כמ"ש בסמוך ובפרק כ"ג וכן קשה שבריש פרק כ"ג כתב בנקב לול של תרנגולים שהוא תולדת מכה בפטיש וחייב כוותיה דשמואל. ונראה שהוא ז"ל מפרש דמ"ש רב חייב משום בונה כלומר אפי' משום בונה וה"ה משום מכה בפטיש דהוי גמר מלאכה אלא שהוא מוסיף ואומר שחייב משום בונה דלדידיה אתי מתני' דהקודח כל שהו כפשטה. </w:t>
      </w:r>
      <w:r w:rsidRPr="00954231">
        <w:rPr>
          <w:rStyle w:val="afff7"/>
          <w:rtl/>
        </w:rPr>
        <w:t>וכן מצינו דומה לזה בפ' תולין (דף קל"ח) גבי מ"ש בגמרא משום מאי מתרינן ביה רבה אמר משום בורר ר"ז אמר משום מרקד ושם פירש"י ז"ל דרבה דאמר משום בורר ה"ה משום מרקד אלא שר"ז פליג ארבה וכן רבינו בפ"ח נראה שפירש כן שכתב בפ"ח ה"ז תולדת בורר או תולדת מרקד ונראה שפסק כרבה כדפרישית שם:</w:t>
      </w:r>
      <w:r w:rsidRPr="00954231">
        <w:rPr>
          <w:rtl/>
        </w:rPr>
        <w:t xml:space="preserve"> וא"ת אמאי לא כתב שם חייב שתים משום בורר ומרקד דומה למ"ש למעלה בזומר וצריך לעצים שחייב שתים. וי"ל דהוא סבור דבורר ומרקד דמו להדדי ואין ראוי שיהיה חייב שתים ולא הוי אלא לענין התראה וז"ש בגמרא משום מאי מתרינן ביה וכו'. ומ"מ סתם כאן רבינו הרבה בזה שהיה לו לכתוב חייב משום בונה ומשום מכה בפטיש אלא שהוא סמך על מ"ש לקמן והדברים סתומים: </w:t>
      </w:r>
    </w:p>
    <w:p w14:paraId="7FA2AB67" w14:textId="77777777" w:rsidR="00376F67" w:rsidRPr="00954231" w:rsidRDefault="00376F67" w:rsidP="00376F67">
      <w:pPr>
        <w:pStyle w:val="afffff5"/>
        <w:rPr>
          <w:vanish w:val="0"/>
          <w:rtl/>
        </w:rPr>
      </w:pPr>
      <w:r w:rsidRPr="00954231">
        <w:rPr>
          <w:rtl/>
        </w:rPr>
        <w:t>כתב הרמב"ם פכ"ג העושה נקב שהוא עשוי להכניס ולהוצי' כגון נקב שבלול התרנגולים שהוא עשוי להכניס האור ולהוצי' ההבל חייב משום מכה בפטיש לפיכך גזרו על כל נקב אפי' עשוי להכניס או להוצי' בלבד שמא יבא לעשות נקב שחייבין עליו והקשה הכ"מ בפ"י דהא כת' דחייב משום בונ' ול"נ דהכא מיירי בלול שאינה מחוברת לקרקע ולית בה בנין</w:t>
      </w:r>
      <w:r w:rsidRPr="00954231">
        <w:rPr>
          <w:rFonts w:hint="cs"/>
          <w:rtl/>
        </w:rPr>
        <w:t>.</w:t>
      </w:r>
    </w:p>
    <w:p w14:paraId="1E9697B0" w14:textId="77777777" w:rsidR="00376F67" w:rsidRPr="005B4CAC" w:rsidRDefault="00376F67" w:rsidP="00376F67">
      <w:pPr>
        <w:pStyle w:val="afffff7"/>
        <w:rPr>
          <w:rtl/>
        </w:rPr>
      </w:pPr>
      <w:bookmarkStart w:id="4574" w:name="_Toc143767900"/>
      <w:bookmarkStart w:id="4575" w:name="_Toc163506088"/>
      <w:r w:rsidRPr="005B4CAC">
        <w:rPr>
          <w:rtl/>
        </w:rPr>
        <w:t>אור שמח שבת פ"י הי"ב</w:t>
      </w:r>
      <w:r w:rsidRPr="005B4CAC">
        <w:rPr>
          <w:rFonts w:hint="cs"/>
          <w:rtl/>
        </w:rPr>
        <w:t xml:space="preserve"> ד"ה </w:t>
      </w:r>
      <w:r w:rsidRPr="005B4CAC">
        <w:rPr>
          <w:rtl/>
        </w:rPr>
        <w:t>וכבר כתבתי</w:t>
      </w:r>
      <w:bookmarkEnd w:id="4574"/>
      <w:bookmarkEnd w:id="4575"/>
    </w:p>
    <w:p w14:paraId="12460BCA" w14:textId="77777777" w:rsidR="00376F67" w:rsidRPr="005B4CAC" w:rsidRDefault="00376F67" w:rsidP="00376F67">
      <w:pPr>
        <w:pStyle w:val="a7"/>
        <w:rPr>
          <w:rtl/>
        </w:rPr>
      </w:pPr>
      <w:bookmarkStart w:id="4576" w:name="_Toc143767776"/>
      <w:bookmarkStart w:id="4577" w:name="_Toc143770597"/>
      <w:r>
        <w:rPr>
          <w:rFonts w:hint="cs"/>
          <w:rtl/>
        </w:rPr>
        <w:t>בי' האו"ש דחיוב בונה בלול של תרנגולין הוא כיון דעשה דבר חדש ואף בכלים ולשעה חייב</w:t>
      </w:r>
      <w:bookmarkEnd w:id="4576"/>
      <w:bookmarkEnd w:id="4577"/>
    </w:p>
    <w:p w14:paraId="243EF77C" w14:textId="2AB74FA9" w:rsidR="00376F67" w:rsidRDefault="00376F67" w:rsidP="00BC7DC8">
      <w:pPr>
        <w:pStyle w:val="a3"/>
      </w:pPr>
      <w:bookmarkStart w:id="4578" w:name="_Ref143545847"/>
      <w:r>
        <w:rPr>
          <w:rFonts w:hint="cs"/>
          <w:rtl/>
        </w:rPr>
        <w:t xml:space="preserve">בחיוב בונה בלול של תרנגולין, ביאר </w:t>
      </w:r>
      <w:r w:rsidRPr="001B1FAC">
        <w:rPr>
          <w:rStyle w:val="aff4"/>
          <w:rFonts w:hint="cs"/>
          <w:vanish/>
          <w:rtl/>
        </w:rPr>
        <w:t>-</w:t>
      </w:r>
      <w:r w:rsidRPr="00DB1D3B">
        <w:rPr>
          <w:rStyle w:val="aff4"/>
          <w:rFonts w:hint="cs"/>
          <w:rtl/>
        </w:rPr>
        <w:t>ה</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Ref143545847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כב)</w:t>
      </w:r>
      <w:r w:rsidRPr="00FF7D8F">
        <w:rPr>
          <w:rStyle w:val="aff4"/>
          <w:vanish/>
          <w:rtl/>
        </w:rPr>
        <w:fldChar w:fldCharType="end"/>
      </w:r>
      <w:r w:rsidRPr="00FF7D8F">
        <w:rPr>
          <w:rStyle w:val="aff4"/>
          <w:rFonts w:hint="cs"/>
          <w:vanish/>
          <w:rtl/>
        </w:rPr>
        <w:t xml:space="preserve"> &gt;</w:t>
      </w:r>
      <w:r w:rsidRPr="00DB1D3B">
        <w:rPr>
          <w:rStyle w:val="aff4"/>
          <w:rFonts w:hint="cs"/>
          <w:rtl/>
        </w:rPr>
        <w:t>או"ש</w:t>
      </w:r>
      <w:r w:rsidRPr="001B1FAC">
        <w:rPr>
          <w:rStyle w:val="aff4"/>
          <w:rFonts w:hint="cs"/>
          <w:vanish/>
          <w:rtl/>
        </w:rPr>
        <w:t>-</w:t>
      </w:r>
      <w:r w:rsidRPr="005B4CAC">
        <w:rPr>
          <w:rFonts w:hint="cs"/>
          <w:rtl/>
        </w:rPr>
        <w:t xml:space="preserve"> </w:t>
      </w:r>
      <w:r w:rsidRPr="00DB1D3B">
        <w:rPr>
          <w:rStyle w:val="af2"/>
          <w:rFonts w:eastAsia="Guttman Hodes" w:hint="cs"/>
          <w:rtl/>
        </w:rPr>
        <w:t xml:space="preserve">(שבת פ"י הי"ב ד"ה </w:t>
      </w:r>
      <w:r w:rsidRPr="00DB1D3B">
        <w:rPr>
          <w:rStyle w:val="af2"/>
          <w:rFonts w:eastAsia="Guttman Hodes"/>
          <w:rtl/>
        </w:rPr>
        <w:t>וכבר כתבתי</w:t>
      </w:r>
      <w:r w:rsidRPr="00DB1D3B">
        <w:rPr>
          <w:rStyle w:val="af2"/>
          <w:rFonts w:eastAsia="Guttman Hodes" w:hint="cs"/>
          <w:rtl/>
        </w:rPr>
        <w:t>)</w:t>
      </w:r>
      <w:r w:rsidRPr="001B1FAC">
        <w:rPr>
          <w:rFonts w:hint="cs"/>
          <w:vanish/>
          <w:rtl/>
        </w:rPr>
        <w:t>=</w:t>
      </w:r>
      <w:r w:rsidRPr="005B4CAC">
        <w:rPr>
          <w:rFonts w:hint="cs"/>
          <w:rtl/>
        </w:rPr>
        <w:t xml:space="preserve"> </w:t>
      </w:r>
      <w:r>
        <w:rPr>
          <w:rFonts w:hint="cs"/>
          <w:rtl/>
        </w:rPr>
        <w:t xml:space="preserve">דהחיוב בזה הוא כיון דעושה דבר חדש, ואף שאינו אוהל כלל, מ"מ כל שעושה דבר שהוא דרך בנין הוי בונה, כדאיתא בגמ' בסוגיין דהמניח אבן ע"ג אבנים חייב משום בונה, וה"ה בעושה כלי או עושה גומא או סותם קרש, דהוא דרך בנין וחייב אף שאין בזה אוהל כלל, וכתב </w:t>
      </w:r>
      <w:r w:rsidRPr="001B1FAC">
        <w:rPr>
          <w:rStyle w:val="aff4"/>
          <w:rFonts w:hint="cs"/>
          <w:vanish/>
          <w:rtl/>
        </w:rPr>
        <w:t>-</w:t>
      </w:r>
      <w:r w:rsidRPr="00DB1D3B">
        <w:rPr>
          <w:rStyle w:val="aff4"/>
          <w:rFonts w:hint="cs"/>
          <w:rtl/>
        </w:rPr>
        <w:t>האו"ש</w:t>
      </w:r>
      <w:r w:rsidRPr="001B1FAC">
        <w:rPr>
          <w:rStyle w:val="aff4"/>
          <w:rFonts w:hint="cs"/>
          <w:vanish/>
          <w:rtl/>
        </w:rPr>
        <w:t>-</w:t>
      </w:r>
      <w:r>
        <w:rPr>
          <w:rFonts w:hint="cs"/>
          <w:rtl/>
        </w:rPr>
        <w:t xml:space="preserve"> דב</w:t>
      </w:r>
      <w:r w:rsidRPr="005B4CAC">
        <w:rPr>
          <w:rFonts w:hint="cs"/>
          <w:rtl/>
        </w:rPr>
        <w:t>עושה דבר חדש כגון שעושה נקב בלול של תרנגולים או עושה גומא,</w:t>
      </w:r>
      <w:r>
        <w:rPr>
          <w:rFonts w:hint="cs"/>
          <w:rtl/>
        </w:rPr>
        <w:t xml:space="preserve"> לעולם הוי בונה,</w:t>
      </w:r>
      <w:r w:rsidRPr="005B4CAC">
        <w:rPr>
          <w:rFonts w:hint="cs"/>
          <w:rtl/>
        </w:rPr>
        <w:t xml:space="preserve"> אף בכלים </w:t>
      </w:r>
      <w:r>
        <w:rPr>
          <w:rFonts w:hint="cs"/>
          <w:rtl/>
        </w:rPr>
        <w:t>ו</w:t>
      </w:r>
      <w:r w:rsidRPr="005B4CAC">
        <w:rPr>
          <w:rFonts w:hint="cs"/>
          <w:rtl/>
        </w:rPr>
        <w:t>אף לשעה</w:t>
      </w:r>
      <w:r>
        <w:rPr>
          <w:rFonts w:hint="cs"/>
          <w:rtl/>
        </w:rPr>
        <w:t xml:space="preserve">, </w:t>
      </w:r>
      <w:r w:rsidRPr="00A655AF">
        <w:rPr>
          <w:rStyle w:val="af"/>
          <w:rFonts w:hint="cs"/>
          <w:rtl/>
        </w:rPr>
        <w:t xml:space="preserve">[ודלא </w:t>
      </w:r>
      <w:r w:rsidRPr="001B1FAC">
        <w:rPr>
          <w:rStyle w:val="aff9"/>
          <w:rFonts w:hint="cs"/>
          <w:vanish/>
          <w:rtl/>
        </w:rPr>
        <w:t>-</w:t>
      </w:r>
      <w:r w:rsidRPr="00A655AF">
        <w:rPr>
          <w:rStyle w:val="aff9"/>
          <w:rFonts w:hint="cs"/>
          <w:rtl/>
        </w:rPr>
        <w:t>כמג"א</w:t>
      </w:r>
      <w:r w:rsidRPr="001B1FAC">
        <w:rPr>
          <w:rStyle w:val="aff9"/>
          <w:rFonts w:hint="cs"/>
          <w:vanish/>
          <w:rtl/>
        </w:rPr>
        <w:t>-</w:t>
      </w:r>
      <w:r w:rsidRPr="00A655AF">
        <w:rPr>
          <w:rStyle w:val="af"/>
          <w:rFonts w:hint="cs"/>
          <w:rtl/>
        </w:rPr>
        <w:t xml:space="preserve"> </w:t>
      </w:r>
      <w:r w:rsidRPr="001B1FAC">
        <w:rPr>
          <w:rStyle w:val="aff0"/>
          <w:rFonts w:hint="cs"/>
          <w:rtl/>
        </w:rPr>
        <w:t xml:space="preserve">(עי' אות </w:t>
      </w:r>
      <w:r w:rsidRPr="001B1FAC">
        <w:rPr>
          <w:rStyle w:val="aff0"/>
          <w:rtl/>
        </w:rPr>
        <w:fldChar w:fldCharType="begin"/>
      </w:r>
      <w:r w:rsidRPr="001B1FAC">
        <w:rPr>
          <w:rStyle w:val="aff0"/>
          <w:rtl/>
        </w:rPr>
        <w:instrText xml:space="preserve"> </w:instrText>
      </w:r>
      <w:r w:rsidRPr="001B1FAC">
        <w:rPr>
          <w:rStyle w:val="aff0"/>
          <w:rFonts w:hint="cs"/>
        </w:rPr>
        <w:instrText>REF</w:instrText>
      </w:r>
      <w:r w:rsidRPr="001B1FAC">
        <w:rPr>
          <w:rStyle w:val="aff0"/>
          <w:rFonts w:hint="cs"/>
          <w:rtl/>
        </w:rPr>
        <w:instrText xml:space="preserve"> _</w:instrText>
      </w:r>
      <w:r w:rsidRPr="001B1FAC">
        <w:rPr>
          <w:rStyle w:val="aff0"/>
          <w:rFonts w:hint="cs"/>
        </w:rPr>
        <w:instrText>Ref143546066 \r \h</w:instrText>
      </w:r>
      <w:r w:rsidRPr="001B1FAC">
        <w:rPr>
          <w:rStyle w:val="aff0"/>
          <w:rtl/>
        </w:rPr>
        <w:instrText xml:space="preserve"> </w:instrText>
      </w:r>
      <w:r w:rsidRPr="001B1FAC">
        <w:rPr>
          <w:rStyle w:val="aff0"/>
          <w:rtl/>
        </w:rPr>
      </w:r>
      <w:r w:rsidRPr="001B1FAC">
        <w:rPr>
          <w:rStyle w:val="aff0"/>
          <w:rtl/>
        </w:rPr>
        <w:fldChar w:fldCharType="separate"/>
      </w:r>
      <w:r w:rsidR="00D82181">
        <w:rPr>
          <w:rStyle w:val="aff0"/>
          <w:cs/>
        </w:rPr>
        <w:t>‎</w:t>
      </w:r>
      <w:r w:rsidR="00D82181">
        <w:rPr>
          <w:rStyle w:val="aff0"/>
          <w:rtl/>
        </w:rPr>
        <w:t>כא)</w:t>
      </w:r>
      <w:r w:rsidRPr="001B1FAC">
        <w:rPr>
          <w:rStyle w:val="aff0"/>
          <w:rtl/>
        </w:rPr>
        <w:fldChar w:fldCharType="end"/>
      </w:r>
      <w:r w:rsidRPr="00A655AF">
        <w:rPr>
          <w:rStyle w:val="af"/>
          <w:rFonts w:hint="cs"/>
          <w:rtl/>
        </w:rPr>
        <w:t xml:space="preserve"> דביאר דחיוב בונה בלול הוא רק במחובר לקרקע</w:t>
      </w:r>
      <w:r w:rsidRPr="006D12D1">
        <w:rPr>
          <w:rStyle w:val="af"/>
          <w:rFonts w:hint="cs"/>
          <w:rtl/>
        </w:rPr>
        <w:t>],</w:t>
      </w:r>
      <w:r>
        <w:rPr>
          <w:rFonts w:hint="cs"/>
          <w:rtl/>
        </w:rPr>
        <w:t xml:space="preserve"> ועי' במ"ש </w:t>
      </w:r>
      <w:r w:rsidRPr="001B1FAC">
        <w:rPr>
          <w:rStyle w:val="aff4"/>
          <w:rFonts w:hint="cs"/>
          <w:vanish/>
          <w:rtl/>
        </w:rPr>
        <w:t>-</w:t>
      </w:r>
      <w:r w:rsidRPr="00DB1D3B">
        <w:rPr>
          <w:rStyle w:val="aff4"/>
          <w:rFonts w:hint="cs"/>
          <w:rtl/>
        </w:rPr>
        <w:t>האו"ש</w:t>
      </w:r>
      <w:r w:rsidRPr="001B1FAC">
        <w:rPr>
          <w:rStyle w:val="aff4"/>
          <w:rFonts w:hint="cs"/>
          <w:vanish/>
          <w:rtl/>
        </w:rPr>
        <w:t>-</w:t>
      </w:r>
      <w:r>
        <w:rPr>
          <w:rFonts w:hint="cs"/>
          <w:rtl/>
        </w:rPr>
        <w:t xml:space="preserve"> </w:t>
      </w:r>
      <w:r w:rsidRPr="00B94968">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Ref143614124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לז)</w:t>
      </w:r>
      <w:r>
        <w:rPr>
          <w:rStyle w:val="af2"/>
          <w:rFonts w:eastAsia="Guttman Hodes"/>
          <w:rtl/>
        </w:rPr>
        <w:fldChar w:fldCharType="end"/>
      </w:r>
      <w:r>
        <w:rPr>
          <w:rFonts w:hint="cs"/>
          <w:rtl/>
        </w:rPr>
        <w:t xml:space="preserve"> דכן מבואר בירושלמי.</w:t>
      </w:r>
      <w:bookmarkEnd w:id="4578"/>
    </w:p>
    <w:p w14:paraId="1EA9253E" w14:textId="77777777" w:rsidR="00376F67" w:rsidRPr="0074694D" w:rsidRDefault="00376F67" w:rsidP="00376F67">
      <w:pPr>
        <w:pStyle w:val="a2"/>
        <w:tabs>
          <w:tab w:val="num" w:pos="284"/>
        </w:tabs>
        <w:rPr>
          <w:vanish w:val="0"/>
          <w:rtl/>
        </w:rPr>
      </w:pPr>
      <w:r w:rsidRPr="0074694D">
        <w:rPr>
          <w:rtl/>
        </w:rPr>
        <w:t xml:space="preserve">וכבר כתבתי בחדושי בענין הפאראסאן להסביר הירושלמי דעשיית אוהל הוי תולדה דבונה, כמבואר ברבינו הלכה י"ג, ובונה חייב בכ"ש, כל שעושה דרך בנין, ועושה הכלי או הגומא, או שסותם הקרש, אף שאינו אוהל כלל, ומצאנו בבנין דאם העלה והניח ע"ג אבנים חייב משום בונה, שבת דף ק"ב ע"ב, וכן המחבר יד עם קורדום, או שעושה ומחבר מטה המפורקת חייב משום בונה, </w:t>
      </w:r>
      <w:r w:rsidRPr="0074694D">
        <w:rPr>
          <w:rStyle w:val="afff7"/>
          <w:rtl/>
        </w:rPr>
        <w:t>ע"ז אמר הירושלמי היכי אשכחן כן, ומשני שכן מצאנו בקרשים שנותן באדנים, שהם היו חלולים, ומחבר זה לזה, ומצאנו שהוא אב, ופריך כל הני, דבאמת לא מיחייב רק שיבנה ע"ג קרקע, אבל ע"ג כלים, אם יסדר אבנים ויניח אבן אחד על הדימוס פטור, וכן לשעה, שהחבור אינו חבור שקיל וטרי</w:t>
      </w:r>
      <w:r w:rsidRPr="0074694D">
        <w:rPr>
          <w:rStyle w:val="afff7"/>
          <w:rFonts w:hint="cs"/>
          <w:rtl/>
        </w:rPr>
        <w:t xml:space="preserve">. </w:t>
      </w:r>
      <w:r w:rsidRPr="0074694D">
        <w:rPr>
          <w:rtl/>
        </w:rPr>
        <w:t>אבל באופן שעושה דבר חדש, כגון שנוקב בלול של תרנגולים או חופר גומא וכי"ב, בודאי על גבי כלים ג"כ חייב, וגם בלשעה ליכא לספוקי כלל, וכן קודח חייב בכל הני, וא"ש מה דלא נקיט הירושלמי אלא בנין דאדנים, וז"ב כשמש.</w:t>
      </w:r>
    </w:p>
    <w:p w14:paraId="5A068327" w14:textId="77777777" w:rsidR="00376F67" w:rsidRDefault="00376F67" w:rsidP="00376F67">
      <w:pPr>
        <w:pStyle w:val="1"/>
        <w:rPr>
          <w:rtl/>
        </w:rPr>
      </w:pPr>
      <w:bookmarkStart w:id="4579" w:name="_Toc143536892"/>
      <w:bookmarkStart w:id="4580" w:name="_Toc143767777"/>
      <w:bookmarkStart w:id="4581" w:name="_Toc143770598"/>
      <w:r>
        <w:rPr>
          <w:rFonts w:hint="cs"/>
          <w:rtl/>
        </w:rPr>
        <w:t>בי' רש"י</w:t>
      </w:r>
      <w:bookmarkEnd w:id="4579"/>
      <w:r>
        <w:rPr>
          <w:rFonts w:hint="cs"/>
          <w:rtl/>
        </w:rPr>
        <w:t xml:space="preserve"> דפתח דמורסא הוי בנין ובבי' הרמב"ם דלא הוי בנין</w:t>
      </w:r>
      <w:bookmarkEnd w:id="4580"/>
      <w:bookmarkEnd w:id="4581"/>
    </w:p>
    <w:p w14:paraId="46E261E2" w14:textId="77777777" w:rsidR="00376F67" w:rsidRDefault="00376F67" w:rsidP="00376F67">
      <w:pPr>
        <w:pStyle w:val="afffff7"/>
        <w:rPr>
          <w:rtl/>
        </w:rPr>
      </w:pPr>
      <w:bookmarkStart w:id="4582" w:name="_Toc143767901"/>
      <w:bookmarkStart w:id="4583" w:name="_Toc163506089"/>
      <w:r>
        <w:rPr>
          <w:rtl/>
        </w:rPr>
        <w:t>רש"י שבת ק"ז ע"א</w:t>
      </w:r>
      <w:r>
        <w:rPr>
          <w:rFonts w:hint="cs"/>
          <w:rtl/>
        </w:rPr>
        <w:t xml:space="preserve"> ד"ה חייב</w:t>
      </w:r>
      <w:bookmarkEnd w:id="4582"/>
      <w:bookmarkEnd w:id="4583"/>
    </w:p>
    <w:p w14:paraId="75D1F876" w14:textId="77777777" w:rsidR="00376F67" w:rsidRDefault="00376F67" w:rsidP="00376F67">
      <w:pPr>
        <w:pStyle w:val="afffff7"/>
        <w:rPr>
          <w:rtl/>
        </w:rPr>
      </w:pPr>
      <w:bookmarkStart w:id="4584" w:name="_Toc143767902"/>
      <w:bookmarkStart w:id="4585" w:name="_Toc163506090"/>
      <w:r>
        <w:rPr>
          <w:rtl/>
        </w:rPr>
        <w:t>רש"י כתובות ו' ע"ב</w:t>
      </w:r>
      <w:r>
        <w:rPr>
          <w:rFonts w:hint="cs"/>
          <w:rtl/>
        </w:rPr>
        <w:t xml:space="preserve"> ד"ה חייב</w:t>
      </w:r>
      <w:bookmarkEnd w:id="4584"/>
      <w:bookmarkEnd w:id="4585"/>
    </w:p>
    <w:p w14:paraId="1335AD26" w14:textId="77777777" w:rsidR="00376F67" w:rsidRDefault="00376F67" w:rsidP="00376F67">
      <w:pPr>
        <w:pStyle w:val="afffff7"/>
        <w:rPr>
          <w:rtl/>
        </w:rPr>
      </w:pPr>
      <w:bookmarkStart w:id="4586" w:name="_Toc143767903"/>
      <w:bookmarkStart w:id="4587" w:name="_Toc163506091"/>
      <w:r>
        <w:rPr>
          <w:rFonts w:hint="cs"/>
          <w:rtl/>
        </w:rPr>
        <w:t>ראב"ד</w:t>
      </w:r>
      <w:r>
        <w:rPr>
          <w:rtl/>
        </w:rPr>
        <w:t xml:space="preserve"> שבת פ"י הי"ז</w:t>
      </w:r>
      <w:bookmarkEnd w:id="4586"/>
      <w:bookmarkEnd w:id="4587"/>
    </w:p>
    <w:p w14:paraId="0D403C09" w14:textId="77777777" w:rsidR="00376F67" w:rsidRDefault="00376F67" w:rsidP="00376F67">
      <w:pPr>
        <w:pStyle w:val="a7"/>
        <w:rPr>
          <w:rtl/>
        </w:rPr>
      </w:pPr>
      <w:bookmarkStart w:id="4588" w:name="_Toc143767778"/>
      <w:bookmarkStart w:id="4589" w:name="_Toc143770599"/>
      <w:r>
        <w:rPr>
          <w:rFonts w:hint="cs"/>
          <w:rtl/>
        </w:rPr>
        <w:t>בי' רש"י והראב"ד דחיוב עושה פתח במורסא הוא משום בונה דעושה פתח או מתקן כלי</w:t>
      </w:r>
      <w:bookmarkEnd w:id="4588"/>
      <w:bookmarkEnd w:id="4589"/>
    </w:p>
    <w:p w14:paraId="744BE5B4" w14:textId="7315ED23" w:rsidR="00376F67" w:rsidRDefault="00376F67" w:rsidP="00BC7DC8">
      <w:pPr>
        <w:pStyle w:val="a3"/>
        <w:rPr>
          <w:rtl/>
        </w:rPr>
      </w:pPr>
      <w:bookmarkStart w:id="4590" w:name="_Ref143460809"/>
      <w:r>
        <w:rPr>
          <w:rFonts w:hint="cs"/>
          <w:rtl/>
        </w:rPr>
        <w:t xml:space="preserve">בהא דאיתא בגמ' לקמן </w:t>
      </w:r>
      <w:r w:rsidRPr="00DB1D3B">
        <w:rPr>
          <w:rStyle w:val="af2"/>
          <w:rFonts w:eastAsia="Guttman Hodes" w:hint="cs"/>
          <w:rtl/>
        </w:rPr>
        <w:t>(קז.)</w:t>
      </w:r>
      <w:r>
        <w:rPr>
          <w:rFonts w:hint="cs"/>
          <w:rtl/>
        </w:rPr>
        <w:t xml:space="preserve"> דמפיס מורסא וכוונתו לעשות לה פתח חייב, ביאר </w:t>
      </w:r>
      <w:r w:rsidRPr="00FF7D8F">
        <w:rPr>
          <w:rFonts w:hint="cs"/>
          <w:vanish/>
          <w:rtl/>
        </w:rPr>
        <w:t xml:space="preserve">&lt;, </w:t>
      </w:r>
      <w:r w:rsidRPr="00FF7D8F">
        <w:rPr>
          <w:vanish/>
          <w:rtl/>
        </w:rPr>
        <w:fldChar w:fldCharType="begin"/>
      </w:r>
      <w:r w:rsidRPr="00FF7D8F">
        <w:rPr>
          <w:vanish/>
          <w:rtl/>
        </w:rPr>
        <w:instrText xml:space="preserve"> </w:instrText>
      </w:r>
      <w:r w:rsidRPr="00FF7D8F">
        <w:rPr>
          <w:rFonts w:hint="cs"/>
          <w:vanish/>
        </w:rPr>
        <w:instrText>REF</w:instrText>
      </w:r>
      <w:r w:rsidRPr="00FF7D8F">
        <w:rPr>
          <w:rFonts w:hint="cs"/>
          <w:vanish/>
          <w:rtl/>
        </w:rPr>
        <w:instrText xml:space="preserve"> _</w:instrText>
      </w:r>
      <w:r w:rsidRPr="00FF7D8F">
        <w:rPr>
          <w:rFonts w:hint="cs"/>
          <w:vanish/>
        </w:rPr>
        <w:instrText>Ref143460809 \r \h</w:instrText>
      </w:r>
      <w:r w:rsidRPr="00FF7D8F">
        <w:rPr>
          <w:vanish/>
          <w:rtl/>
        </w:rPr>
        <w:instrText xml:space="preserve"> </w:instrText>
      </w:r>
      <w:r w:rsidRPr="00FF7D8F">
        <w:rPr>
          <w:vanish/>
          <w:rtl/>
        </w:rPr>
      </w:r>
      <w:r w:rsidRPr="00FF7D8F">
        <w:rPr>
          <w:vanish/>
          <w:rtl/>
        </w:rPr>
        <w:fldChar w:fldCharType="separate"/>
      </w:r>
      <w:r w:rsidR="00D82181">
        <w:rPr>
          <w:vanish/>
          <w:cs/>
        </w:rPr>
        <w:t>‎</w:t>
      </w:r>
      <w:r w:rsidR="00D82181">
        <w:rPr>
          <w:vanish/>
          <w:rtl/>
        </w:rPr>
        <w:t>כג)</w:t>
      </w:r>
      <w:r w:rsidRPr="00FF7D8F">
        <w:rPr>
          <w:vanish/>
          <w:rtl/>
        </w:rPr>
        <w:fldChar w:fldCharType="end"/>
      </w:r>
      <w:r w:rsidRPr="00FF7D8F">
        <w:rPr>
          <w:rFonts w:hint="cs"/>
          <w:vanish/>
          <w:rtl/>
        </w:rPr>
        <w:t xml:space="preserve"> &gt;</w:t>
      </w:r>
      <w:r w:rsidRPr="00EF4E3F">
        <w:rPr>
          <w:rStyle w:val="aff4"/>
          <w:rFonts w:hint="cs"/>
          <w:vanish/>
          <w:rtl/>
        </w:rPr>
        <w:t>-</w:t>
      </w:r>
      <w:r w:rsidRPr="00013089">
        <w:rPr>
          <w:rStyle w:val="aff4"/>
          <w:rFonts w:hint="cs"/>
          <w:rtl/>
        </w:rPr>
        <w:t xml:space="preserve">רש"י לקמן </w:t>
      </w:r>
      <w:r w:rsidRPr="00DB1D3B">
        <w:rPr>
          <w:rStyle w:val="af2"/>
          <w:rFonts w:eastAsia="Guttman Hodes" w:hint="cs"/>
          <w:rtl/>
        </w:rPr>
        <w:t>(קז. ד"ה חייב)</w:t>
      </w:r>
      <w:r w:rsidRPr="00F165FD">
        <w:rPr>
          <w:rFonts w:hint="cs"/>
          <w:vanish/>
          <w:rtl/>
        </w:rPr>
        <w:t>=</w:t>
      </w:r>
      <w:r w:rsidRPr="00F165FD">
        <w:rPr>
          <w:rFonts w:hint="cs"/>
          <w:rtl/>
        </w:rPr>
        <w:t xml:space="preserve"> דחייב משום בונה פתח או מתקן כלי,</w:t>
      </w:r>
      <w:r w:rsidRPr="00013089">
        <w:rPr>
          <w:rStyle w:val="aff4"/>
          <w:rFonts w:hint="cs"/>
          <w:rtl/>
        </w:rPr>
        <w:t xml:space="preserve"> </w:t>
      </w:r>
      <w:r w:rsidRPr="00EF4E3F">
        <w:rPr>
          <w:rStyle w:val="aff4"/>
          <w:rFonts w:hint="cs"/>
          <w:vanish/>
          <w:rtl/>
        </w:rPr>
        <w:t>-</w:t>
      </w:r>
      <w:r w:rsidRPr="00F165FD">
        <w:rPr>
          <w:rStyle w:val="aff4"/>
          <w:rFonts w:hint="cs"/>
          <w:rtl/>
        </w:rPr>
        <w:t>וב</w:t>
      </w:r>
      <w:r w:rsidRPr="00FF7D8F">
        <w:rPr>
          <w:rFonts w:hint="cs"/>
          <w:vanish/>
          <w:rtl/>
        </w:rPr>
        <w:t>&lt; &gt;</w:t>
      </w:r>
      <w:r w:rsidRPr="00F165FD">
        <w:rPr>
          <w:rStyle w:val="aff4"/>
          <w:rFonts w:hint="cs"/>
          <w:rtl/>
        </w:rPr>
        <w:t>רש"י בכתובות</w:t>
      </w:r>
      <w:r w:rsidRPr="00EF4E3F">
        <w:rPr>
          <w:rStyle w:val="aff4"/>
          <w:rFonts w:hint="cs"/>
          <w:vanish/>
          <w:rtl/>
        </w:rPr>
        <w:t>-</w:t>
      </w:r>
      <w:r w:rsidRPr="00013089">
        <w:rPr>
          <w:rStyle w:val="aff4"/>
          <w:rFonts w:hint="cs"/>
          <w:rtl/>
        </w:rPr>
        <w:t xml:space="preserve"> </w:t>
      </w:r>
      <w:r w:rsidRPr="00DB1D3B">
        <w:rPr>
          <w:rStyle w:val="af2"/>
          <w:rFonts w:eastAsia="Guttman Hodes" w:hint="cs"/>
          <w:rtl/>
        </w:rPr>
        <w:t>(ו: ד"ה חייב)</w:t>
      </w:r>
      <w:r w:rsidRPr="00F165FD">
        <w:rPr>
          <w:rFonts w:hint="cs"/>
          <w:vanish/>
          <w:rtl/>
        </w:rPr>
        <w:t>=</w:t>
      </w:r>
      <w:r w:rsidRPr="00F165FD">
        <w:rPr>
          <w:rFonts w:hint="cs"/>
          <w:rtl/>
        </w:rPr>
        <w:t xml:space="preserve"> הוסיף דמצינו בנין בבע"ח כדכתיב "ויבן את הצלע", וכ"כ </w:t>
      </w:r>
      <w:r w:rsidRPr="00EF4E3F">
        <w:rPr>
          <w:rStyle w:val="aff4"/>
          <w:rFonts w:hint="cs"/>
          <w:vanish/>
          <w:rtl/>
        </w:rPr>
        <w:t>-</w:t>
      </w:r>
      <w:r w:rsidRPr="00F165FD">
        <w:rPr>
          <w:rStyle w:val="aff4"/>
          <w:rFonts w:hint="cs"/>
          <w:rtl/>
        </w:rPr>
        <w:t>ה</w:t>
      </w:r>
      <w:r w:rsidRPr="00FF7D8F">
        <w:rPr>
          <w:rFonts w:hint="cs"/>
          <w:vanish/>
          <w:rtl/>
        </w:rPr>
        <w:t>&lt; &gt;</w:t>
      </w:r>
      <w:r w:rsidRPr="00F165FD">
        <w:rPr>
          <w:rStyle w:val="aff4"/>
          <w:rFonts w:hint="cs"/>
          <w:rtl/>
        </w:rPr>
        <w:t>ראב"ד</w:t>
      </w:r>
      <w:r w:rsidRPr="00EF4E3F">
        <w:rPr>
          <w:rFonts w:hint="cs"/>
          <w:vanish/>
          <w:rtl/>
        </w:rPr>
        <w:t>-</w:t>
      </w:r>
      <w:r>
        <w:rPr>
          <w:rFonts w:hint="cs"/>
          <w:rtl/>
        </w:rPr>
        <w:t xml:space="preserve"> </w:t>
      </w:r>
      <w:r w:rsidRPr="00DB1D3B">
        <w:rPr>
          <w:rStyle w:val="af2"/>
          <w:rFonts w:eastAsia="Guttman Hodes" w:hint="cs"/>
          <w:rtl/>
        </w:rPr>
        <w:t>(שבת פ"י הי"ז)</w:t>
      </w:r>
      <w:r w:rsidRPr="00EF4E3F">
        <w:rPr>
          <w:rFonts w:hint="cs"/>
          <w:vanish/>
          <w:rtl/>
        </w:rPr>
        <w:t>=</w:t>
      </w:r>
      <w:r>
        <w:rPr>
          <w:rFonts w:hint="cs"/>
          <w:rtl/>
        </w:rPr>
        <w:t xml:space="preserve"> דחייב משום בונה.</w:t>
      </w:r>
      <w:bookmarkEnd w:id="4590"/>
    </w:p>
    <w:p w14:paraId="1EB832B0" w14:textId="77777777" w:rsidR="00376F67" w:rsidRPr="00BF7B21" w:rsidRDefault="00376F67" w:rsidP="00376F67">
      <w:pPr>
        <w:pStyle w:val="a7"/>
        <w:rPr>
          <w:rtl/>
        </w:rPr>
      </w:pPr>
    </w:p>
    <w:p w14:paraId="1B7D4D00" w14:textId="77777777" w:rsidR="00376F67" w:rsidRPr="0074694D" w:rsidRDefault="00376F67" w:rsidP="00376F67">
      <w:pPr>
        <w:pStyle w:val="a2"/>
        <w:tabs>
          <w:tab w:val="num" w:pos="284"/>
        </w:tabs>
        <w:rPr>
          <w:vanish w:val="0"/>
        </w:rPr>
      </w:pPr>
      <w:r w:rsidRPr="0074694D">
        <w:rPr>
          <w:rtl/>
        </w:rPr>
        <w:t>חייב - משום בונה פתח, או משום מתקן כלי, מה לי לתקן מכה, מה לי לתקן כלי.</w:t>
      </w:r>
    </w:p>
    <w:p w14:paraId="30FFC248" w14:textId="77777777" w:rsidR="00376F67" w:rsidRPr="00954231" w:rsidRDefault="00376F67" w:rsidP="00376F67">
      <w:pPr>
        <w:pStyle w:val="afffff5"/>
        <w:rPr>
          <w:vanish w:val="0"/>
        </w:rPr>
      </w:pPr>
      <w:r w:rsidRPr="00954231">
        <w:rPr>
          <w:rtl/>
        </w:rPr>
        <w:t>חייב - שהוא מתקן פתח וחייב משום בונה, דאשכחן בנין בבעלי חיים דכתיב ויבן את הצלע (בראשית ב).</w:t>
      </w:r>
    </w:p>
    <w:p w14:paraId="5ECD105B" w14:textId="77777777" w:rsidR="00376F67" w:rsidRPr="00954231" w:rsidRDefault="00376F67" w:rsidP="00376F67">
      <w:pPr>
        <w:pStyle w:val="afffff5"/>
        <w:rPr>
          <w:vanish w:val="0"/>
          <w:rtl/>
        </w:rPr>
      </w:pPr>
      <w:r w:rsidRPr="00954231">
        <w:rPr>
          <w:rFonts w:hint="cs"/>
          <w:rtl/>
        </w:rPr>
        <w:t xml:space="preserve">רמב"ם: </w:t>
      </w:r>
      <w:r w:rsidRPr="00954231">
        <w:rPr>
          <w:rtl/>
        </w:rPr>
        <w:t>המפיס שחין בשבת כדי להרחיב פי המכה כדרך שהרופאין עושין שהן מתכוונין ברפואה להרחיב פי המכה הרי זה חייב משום מכה בפטיש שזו היא מלאכת הרופא. השגת הראב"ד</w:t>
      </w:r>
      <w:r w:rsidRPr="00954231">
        <w:rPr>
          <w:rFonts w:hint="cs"/>
          <w:rtl/>
        </w:rPr>
        <w:t xml:space="preserve">: </w:t>
      </w:r>
      <w:r w:rsidRPr="00954231">
        <w:rPr>
          <w:rtl/>
        </w:rPr>
        <w:t>וזו היא מלאכת [וכו']. א"א נסחא אחרינא מלאכת בונה.</w:t>
      </w:r>
    </w:p>
    <w:p w14:paraId="7BF968D8" w14:textId="77777777" w:rsidR="00376F67" w:rsidRDefault="00376F67" w:rsidP="00376F67">
      <w:pPr>
        <w:pStyle w:val="afffff7"/>
        <w:rPr>
          <w:rtl/>
        </w:rPr>
      </w:pPr>
      <w:bookmarkStart w:id="4591" w:name="_Toc143767904"/>
      <w:bookmarkStart w:id="4592" w:name="_Hlk143462533"/>
      <w:bookmarkStart w:id="4593" w:name="_Toc163506092"/>
      <w:r>
        <w:rPr>
          <w:rtl/>
        </w:rPr>
        <w:lastRenderedPageBreak/>
        <w:t>רמב"ם שבת פ"י הי"ז</w:t>
      </w:r>
      <w:bookmarkEnd w:id="4591"/>
      <w:bookmarkEnd w:id="4593"/>
    </w:p>
    <w:p w14:paraId="2A3814FD" w14:textId="77777777" w:rsidR="00376F67" w:rsidRDefault="00376F67" w:rsidP="00376F67">
      <w:pPr>
        <w:pStyle w:val="afffff7"/>
        <w:rPr>
          <w:rtl/>
        </w:rPr>
      </w:pPr>
      <w:bookmarkStart w:id="4594" w:name="_Toc143767905"/>
      <w:bookmarkStart w:id="4595" w:name="_Toc163506093"/>
      <w:r>
        <w:rPr>
          <w:rtl/>
        </w:rPr>
        <w:t>כסף משנה שבת פ"י הי"ז</w:t>
      </w:r>
      <w:bookmarkEnd w:id="4594"/>
      <w:bookmarkEnd w:id="4595"/>
    </w:p>
    <w:p w14:paraId="448A04C1" w14:textId="77777777" w:rsidR="00376F67" w:rsidRDefault="00376F67" w:rsidP="00376F67">
      <w:pPr>
        <w:pStyle w:val="a7"/>
        <w:rPr>
          <w:rtl/>
        </w:rPr>
      </w:pPr>
      <w:bookmarkStart w:id="4596" w:name="_Toc143767779"/>
      <w:bookmarkStart w:id="4597" w:name="_Toc143770600"/>
      <w:r>
        <w:rPr>
          <w:rFonts w:hint="cs"/>
          <w:rtl/>
        </w:rPr>
        <w:t>בי' הרמב"ם דחיוב פתח במורסא דמכה בפטיש וקו' הרמ"ך דל"ה גמר מלאכה ובי' האבהא"ז בזה</w:t>
      </w:r>
      <w:bookmarkEnd w:id="4596"/>
      <w:bookmarkEnd w:id="4597"/>
    </w:p>
    <w:p w14:paraId="7DE52797" w14:textId="3041BAC2" w:rsidR="00376F67" w:rsidRPr="00886FCF" w:rsidRDefault="00376F67" w:rsidP="00BC7DC8">
      <w:pPr>
        <w:pStyle w:val="a3"/>
        <w:rPr>
          <w:rtl/>
        </w:rPr>
      </w:pPr>
      <w:bookmarkStart w:id="4598" w:name="_Ref143463475"/>
      <w:r>
        <w:rPr>
          <w:rFonts w:hint="cs"/>
          <w:rtl/>
        </w:rPr>
        <w:t xml:space="preserve">אבל </w:t>
      </w:r>
      <w:bookmarkStart w:id="4599" w:name="_Hlk143462503"/>
      <w:r w:rsidRPr="00EF4E3F">
        <w:rPr>
          <w:rStyle w:val="aff4"/>
          <w:rFonts w:hint="cs"/>
          <w:vanish/>
          <w:rtl/>
        </w:rPr>
        <w:t>-</w:t>
      </w:r>
      <w:r w:rsidRPr="00013089">
        <w:rPr>
          <w:rStyle w:val="aff4"/>
          <w:rFonts w:hint="cs"/>
          <w:rtl/>
        </w:rPr>
        <w:t>ה</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Ref143463475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כד)</w:t>
      </w:r>
      <w:r w:rsidRPr="00FF7D8F">
        <w:rPr>
          <w:rStyle w:val="aff4"/>
          <w:vanish/>
          <w:rtl/>
        </w:rPr>
        <w:fldChar w:fldCharType="end"/>
      </w:r>
      <w:r w:rsidRPr="00FF7D8F">
        <w:rPr>
          <w:rStyle w:val="aff4"/>
          <w:rFonts w:hint="cs"/>
          <w:vanish/>
          <w:rtl/>
        </w:rPr>
        <w:t xml:space="preserve"> &gt;</w:t>
      </w:r>
      <w:r w:rsidRPr="00013089">
        <w:rPr>
          <w:rStyle w:val="aff4"/>
          <w:rFonts w:hint="cs"/>
          <w:rtl/>
        </w:rPr>
        <w:t>רמב"ם</w:t>
      </w:r>
      <w:r w:rsidRPr="00EF4E3F">
        <w:rPr>
          <w:rStyle w:val="aff4"/>
          <w:rFonts w:hint="cs"/>
          <w:vanish/>
          <w:rtl/>
        </w:rPr>
        <w:t>-</w:t>
      </w:r>
      <w:r>
        <w:rPr>
          <w:rFonts w:hint="cs"/>
          <w:rtl/>
        </w:rPr>
        <w:t xml:space="preserve"> </w:t>
      </w:r>
      <w:r w:rsidRPr="00DB1D3B">
        <w:rPr>
          <w:rStyle w:val="af2"/>
          <w:rFonts w:eastAsia="Guttman Hodes" w:hint="cs"/>
          <w:rtl/>
        </w:rPr>
        <w:t>(שבת פ"י הי"ז)</w:t>
      </w:r>
      <w:r w:rsidRPr="00EF4E3F">
        <w:rPr>
          <w:rFonts w:hint="cs"/>
          <w:vanish/>
          <w:rtl/>
        </w:rPr>
        <w:t>=</w:t>
      </w:r>
      <w:r>
        <w:rPr>
          <w:rFonts w:hint="cs"/>
          <w:rtl/>
        </w:rPr>
        <w:t xml:space="preserve"> </w:t>
      </w:r>
      <w:bookmarkEnd w:id="4599"/>
      <w:r>
        <w:rPr>
          <w:rFonts w:hint="cs"/>
          <w:rtl/>
        </w:rPr>
        <w:t xml:space="preserve">כתב דהחיוב במפיס מורסא לעשות לה פה הוא משום מכה בפטיש, והקשה </w:t>
      </w:r>
      <w:r w:rsidRPr="00EF4E3F">
        <w:rPr>
          <w:rStyle w:val="aff4"/>
          <w:rFonts w:hint="cs"/>
          <w:vanish/>
          <w:rtl/>
        </w:rPr>
        <w:t>-</w:t>
      </w:r>
      <w:r w:rsidRPr="00013089">
        <w:rPr>
          <w:rStyle w:val="aff4"/>
          <w:rFonts w:hint="cs"/>
          <w:rtl/>
        </w:rPr>
        <w:t>ה</w:t>
      </w:r>
      <w:r w:rsidRPr="00FF7D8F">
        <w:rPr>
          <w:rStyle w:val="aff4"/>
          <w:rFonts w:hint="cs"/>
          <w:vanish/>
          <w:rtl/>
        </w:rPr>
        <w:t>&lt; &gt;</w:t>
      </w:r>
      <w:r w:rsidRPr="00013089">
        <w:rPr>
          <w:rStyle w:val="aff4"/>
          <w:rFonts w:hint="cs"/>
          <w:rtl/>
        </w:rPr>
        <w:t>כס"מ</w:t>
      </w:r>
      <w:r w:rsidRPr="00EF4E3F">
        <w:rPr>
          <w:rStyle w:val="aff4"/>
          <w:rFonts w:hint="cs"/>
          <w:vanish/>
          <w:rtl/>
        </w:rPr>
        <w:t>-</w:t>
      </w:r>
      <w:r>
        <w:rPr>
          <w:rFonts w:hint="cs"/>
          <w:rtl/>
        </w:rPr>
        <w:t xml:space="preserve"> </w:t>
      </w:r>
      <w:r w:rsidRPr="00DB1D3B">
        <w:rPr>
          <w:rStyle w:val="af2"/>
          <w:rFonts w:eastAsia="Guttman Hodes" w:hint="cs"/>
          <w:rtl/>
        </w:rPr>
        <w:t>(שבת פ"י הי"ז)</w:t>
      </w:r>
      <w:r>
        <w:rPr>
          <w:rFonts w:hint="cs"/>
          <w:rtl/>
        </w:rPr>
        <w:t xml:space="preserve"> בשם </w:t>
      </w:r>
      <w:r w:rsidRPr="00EF4E3F">
        <w:rPr>
          <w:rStyle w:val="aff4"/>
          <w:rFonts w:hint="cs"/>
          <w:vanish/>
          <w:rtl/>
        </w:rPr>
        <w:t>-</w:t>
      </w:r>
      <w:r w:rsidRPr="00013089">
        <w:rPr>
          <w:rStyle w:val="aff4"/>
          <w:rFonts w:hint="cs"/>
          <w:rtl/>
        </w:rPr>
        <w:t>הרמ"ך</w:t>
      </w:r>
      <w:r w:rsidRPr="00EF4E3F">
        <w:rPr>
          <w:rStyle w:val="aff4"/>
          <w:rFonts w:hint="cs"/>
          <w:vanish/>
          <w:rtl/>
        </w:rPr>
        <w:t>-</w:t>
      </w:r>
      <w:r w:rsidRPr="00E17BD6">
        <w:rPr>
          <w:rFonts w:hint="cs"/>
          <w:vanish/>
          <w:rtl/>
        </w:rPr>
        <w:t>=</w:t>
      </w:r>
      <w:r w:rsidRPr="00E17BD6">
        <w:rPr>
          <w:rFonts w:hint="cs"/>
          <w:rtl/>
        </w:rPr>
        <w:t xml:space="preserve"> דאין בזה גמר מלאכה, וצריך לחייב משום בונה</w:t>
      </w:r>
      <w:r w:rsidRPr="00013089">
        <w:rPr>
          <w:rStyle w:val="aff4"/>
          <w:rFonts w:hint="cs"/>
          <w:rtl/>
        </w:rPr>
        <w:t xml:space="preserve"> </w:t>
      </w:r>
      <w:r w:rsidRPr="00EF4E3F">
        <w:rPr>
          <w:rStyle w:val="aff4"/>
          <w:rFonts w:hint="cs"/>
          <w:vanish/>
          <w:rtl/>
        </w:rPr>
        <w:t>-</w:t>
      </w:r>
      <w:r w:rsidRPr="00E17BD6">
        <w:rPr>
          <w:rStyle w:val="aff4"/>
          <w:rFonts w:hint="cs"/>
          <w:rtl/>
        </w:rPr>
        <w:t>כרש"י</w:t>
      </w:r>
      <w:r w:rsidRPr="00EF4E3F">
        <w:rPr>
          <w:rFonts w:hint="cs"/>
          <w:vanish/>
          <w:rtl/>
        </w:rPr>
        <w:t>-</w:t>
      </w:r>
      <w:r>
        <w:rPr>
          <w:rFonts w:hint="cs"/>
          <w:rtl/>
        </w:rPr>
        <w:t xml:space="preserve">, ועי' במה שביאר בזה </w:t>
      </w:r>
      <w:r w:rsidRPr="001B1FAC">
        <w:rPr>
          <w:rStyle w:val="aff4"/>
          <w:rFonts w:hint="cs"/>
          <w:vanish/>
          <w:rtl/>
        </w:rPr>
        <w:t>-</w:t>
      </w:r>
      <w:r w:rsidRPr="00DB1D3B">
        <w:rPr>
          <w:rStyle w:val="aff4"/>
          <w:rFonts w:hint="cs"/>
          <w:rtl/>
        </w:rPr>
        <w:t>ה</w:t>
      </w:r>
      <w:r w:rsidRPr="00FF7D8F">
        <w:rPr>
          <w:rStyle w:val="aff4"/>
          <w:rFonts w:hint="cs"/>
          <w:vanish/>
          <w:rtl/>
        </w:rPr>
        <w:t>&lt; &gt;</w:t>
      </w:r>
      <w:r w:rsidRPr="00DB1D3B">
        <w:rPr>
          <w:rStyle w:val="aff4"/>
          <w:rFonts w:hint="cs"/>
          <w:rtl/>
        </w:rPr>
        <w:t>אבן האזל</w:t>
      </w:r>
      <w:r w:rsidRPr="001B1FAC">
        <w:rPr>
          <w:rStyle w:val="aff4"/>
          <w:rFonts w:hint="cs"/>
          <w:vanish/>
          <w:rtl/>
        </w:rPr>
        <w:t>-</w:t>
      </w:r>
      <w:r>
        <w:rPr>
          <w:rFonts w:hint="cs"/>
          <w:rtl/>
        </w:rPr>
        <w:t xml:space="preserve"> </w:t>
      </w:r>
      <w:r w:rsidRPr="00DB1D3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Ref143614160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עט)</w:t>
      </w:r>
      <w:r>
        <w:rPr>
          <w:rStyle w:val="af2"/>
          <w:rFonts w:eastAsia="Guttman Hodes"/>
          <w:rtl/>
        </w:rPr>
        <w:fldChar w:fldCharType="end"/>
      </w:r>
      <w:r w:rsidRPr="001B1FAC">
        <w:rPr>
          <w:rFonts w:hint="cs"/>
          <w:vanish/>
          <w:rtl/>
        </w:rPr>
        <w:t>=</w:t>
      </w:r>
      <w:r>
        <w:rPr>
          <w:rFonts w:hint="cs"/>
          <w:rtl/>
        </w:rPr>
        <w:t xml:space="preserve"> דלדעת </w:t>
      </w:r>
      <w:r w:rsidRPr="001B1FAC">
        <w:rPr>
          <w:rStyle w:val="aff4"/>
          <w:rFonts w:hint="cs"/>
          <w:vanish/>
          <w:rtl/>
        </w:rPr>
        <w:t>-</w:t>
      </w:r>
      <w:r w:rsidRPr="00DB1D3B">
        <w:rPr>
          <w:rStyle w:val="aff4"/>
          <w:rFonts w:hint="cs"/>
          <w:rtl/>
        </w:rPr>
        <w:t>הרמב"ם</w:t>
      </w:r>
      <w:r w:rsidRPr="001B1FAC">
        <w:rPr>
          <w:rStyle w:val="aff4"/>
          <w:rFonts w:hint="cs"/>
          <w:vanish/>
          <w:rtl/>
        </w:rPr>
        <w:t>-</w:t>
      </w:r>
      <w:r>
        <w:rPr>
          <w:rFonts w:hint="cs"/>
          <w:rtl/>
        </w:rPr>
        <w:t xml:space="preserve"> לא שייך בזה בונה, כיון דאינו קיבוץ חלקים, וחיוב אוהל הוא רק במחובר.</w:t>
      </w:r>
      <w:bookmarkEnd w:id="4598"/>
    </w:p>
    <w:p w14:paraId="5B2CD6FF" w14:textId="77777777" w:rsidR="00376F67" w:rsidRPr="0074694D" w:rsidRDefault="00376F67" w:rsidP="00376F67">
      <w:pPr>
        <w:pStyle w:val="a2"/>
        <w:tabs>
          <w:tab w:val="num" w:pos="284"/>
        </w:tabs>
        <w:rPr>
          <w:vanish w:val="0"/>
        </w:rPr>
      </w:pPr>
      <w:bookmarkStart w:id="4600" w:name="_Hlk143462594"/>
      <w:r w:rsidRPr="0074694D">
        <w:rPr>
          <w:rtl/>
        </w:rPr>
        <w:t>המפיס שחין בשבת כדי להרחיב פי המכה כדרך שהרופאין עושין שהן מתכוונין ברפואה להרחיב פי המכה הרי זה חייב משום מכה בפטיש שזו היא מלאכת הרופא</w:t>
      </w:r>
      <w:r w:rsidRPr="0074694D">
        <w:rPr>
          <w:rFonts w:hint="cs"/>
          <w:rtl/>
        </w:rPr>
        <w:t>.</w:t>
      </w:r>
    </w:p>
    <w:bookmarkEnd w:id="4592"/>
    <w:bookmarkEnd w:id="4600"/>
    <w:p w14:paraId="6240DA50" w14:textId="77777777" w:rsidR="00376F67" w:rsidRPr="00954231" w:rsidRDefault="00376F67" w:rsidP="00376F67">
      <w:pPr>
        <w:pStyle w:val="afffff5"/>
        <w:rPr>
          <w:vanish w:val="0"/>
          <w:rtl/>
        </w:rPr>
      </w:pPr>
      <w:r w:rsidRPr="00954231">
        <w:rPr>
          <w:rtl/>
        </w:rPr>
        <w:t>המפיס שחין וכו'. כתב הרמ"ך תימה מאי מכה בפטיש שייך בזה והלא אין זה גמר מלאכה והוה ליה לפרש משום בונה כדפירש"י, עכ"ל:</w:t>
      </w:r>
    </w:p>
    <w:p w14:paraId="6D041B8E" w14:textId="77777777" w:rsidR="00376F67" w:rsidRDefault="00376F67" w:rsidP="00376F67">
      <w:pPr>
        <w:pStyle w:val="affff5"/>
        <w:rPr>
          <w:rtl/>
        </w:rPr>
      </w:pPr>
      <w:bookmarkStart w:id="4601" w:name="_Toc143767780"/>
      <w:bookmarkStart w:id="4602" w:name="_Toc143770601"/>
      <w:r w:rsidRPr="00716C93">
        <w:rPr>
          <w:rFonts w:hint="cs"/>
          <w:rtl/>
        </w:rPr>
        <w:t>~~~~~~~~~~~~~~~~~~~~~~~~~~~~</w:t>
      </w:r>
      <w:bookmarkEnd w:id="4601"/>
      <w:bookmarkEnd w:id="4602"/>
      <w:r w:rsidRPr="0001175D">
        <w:rPr>
          <w:vanish/>
          <w:rtl/>
        </w:rPr>
        <w:t>&lt; # =</w:t>
      </w:r>
    </w:p>
    <w:p w14:paraId="51A21763" w14:textId="77777777" w:rsidR="00376F67" w:rsidRDefault="00376F67" w:rsidP="00376F67">
      <w:pPr>
        <w:pStyle w:val="affff5"/>
        <w:rPr>
          <w:rtl/>
        </w:rPr>
      </w:pPr>
      <w:bookmarkStart w:id="4603" w:name="_Toc143767781"/>
      <w:bookmarkStart w:id="4604" w:name="_Toc143770602"/>
      <w:r>
        <w:rPr>
          <w:rFonts w:hint="cs"/>
          <w:rtl/>
        </w:rPr>
        <w:t>בגדר תולדה דבונה באוהל וקיבוץ חלקים</w:t>
      </w:r>
      <w:bookmarkEnd w:id="4603"/>
      <w:bookmarkEnd w:id="4604"/>
      <w:r w:rsidRPr="0001175D">
        <w:rPr>
          <w:vanish/>
          <w:rtl/>
        </w:rPr>
        <w:t>&lt; # =</w:t>
      </w:r>
    </w:p>
    <w:p w14:paraId="52681418" w14:textId="77777777" w:rsidR="00376F67" w:rsidRPr="00125CF3" w:rsidRDefault="00376F67" w:rsidP="00376F67">
      <w:pPr>
        <w:pStyle w:val="1"/>
        <w:rPr>
          <w:rtl/>
        </w:rPr>
      </w:pPr>
      <w:bookmarkStart w:id="4605" w:name="_Toc143767782"/>
      <w:bookmarkStart w:id="4606" w:name="_Toc143770603"/>
      <w:r>
        <w:rPr>
          <w:rFonts w:hint="cs"/>
          <w:rtl/>
        </w:rPr>
        <w:t>בי' הרמב"ם דעושה אוהל והעושה כלי אדמה הוי תולדה דבונה</w:t>
      </w:r>
      <w:bookmarkEnd w:id="4605"/>
      <w:bookmarkEnd w:id="4606"/>
      <w:r>
        <w:rPr>
          <w:rFonts w:hint="cs"/>
          <w:rtl/>
        </w:rPr>
        <w:t xml:space="preserve"> </w:t>
      </w:r>
    </w:p>
    <w:p w14:paraId="7DD7C278" w14:textId="77777777" w:rsidR="00376F67" w:rsidRDefault="00376F67" w:rsidP="00376F67">
      <w:pPr>
        <w:pStyle w:val="afffff7"/>
        <w:rPr>
          <w:rtl/>
        </w:rPr>
      </w:pPr>
      <w:bookmarkStart w:id="4607" w:name="_Toc143767906"/>
      <w:bookmarkStart w:id="4608" w:name="_Toc163506094"/>
      <w:r>
        <w:rPr>
          <w:rtl/>
        </w:rPr>
        <w:t>רמב"ם שבת פ"י הי"ג</w:t>
      </w:r>
      <w:bookmarkEnd w:id="4607"/>
      <w:bookmarkEnd w:id="4608"/>
    </w:p>
    <w:p w14:paraId="594C690F" w14:textId="77777777" w:rsidR="00376F67" w:rsidRDefault="00376F67" w:rsidP="00376F67">
      <w:pPr>
        <w:pStyle w:val="afffff7"/>
        <w:rPr>
          <w:rtl/>
        </w:rPr>
      </w:pPr>
      <w:bookmarkStart w:id="4609" w:name="_Toc143767907"/>
      <w:bookmarkStart w:id="4610" w:name="_Toc163506095"/>
      <w:r>
        <w:rPr>
          <w:rtl/>
        </w:rPr>
        <w:t>מגיד משנה שבת פ"י הי"ג</w:t>
      </w:r>
      <w:bookmarkEnd w:id="4609"/>
      <w:bookmarkEnd w:id="4610"/>
    </w:p>
    <w:p w14:paraId="63673AD7" w14:textId="77777777" w:rsidR="00376F67" w:rsidRPr="007B38EE" w:rsidRDefault="00376F67" w:rsidP="00376F67">
      <w:pPr>
        <w:pStyle w:val="a7"/>
      </w:pPr>
      <w:bookmarkStart w:id="4611" w:name="_Toc143767783"/>
      <w:bookmarkStart w:id="4612" w:name="_Toc143770604"/>
      <w:r>
        <w:rPr>
          <w:rFonts w:hint="cs"/>
          <w:rtl/>
        </w:rPr>
        <w:t>בי' הרמב"ם דאוהל קבוע תולדה דבונה וכן העושה כלי אדמה ובי' המ"מ דעושה כלי מתחילתו</w:t>
      </w:r>
      <w:bookmarkEnd w:id="4611"/>
      <w:bookmarkEnd w:id="4612"/>
    </w:p>
    <w:p w14:paraId="0A493482" w14:textId="12804749" w:rsidR="00376F67" w:rsidRDefault="00376F67" w:rsidP="00BC7DC8">
      <w:pPr>
        <w:pStyle w:val="a3"/>
      </w:pPr>
      <w:bookmarkStart w:id="4613" w:name="_Hlk143419957"/>
      <w:bookmarkStart w:id="4614" w:name="_Ref143549459"/>
      <w:bookmarkStart w:id="4615" w:name="_Ref141956430"/>
      <w:bookmarkStart w:id="4616" w:name="_Hlk143419651"/>
      <w:r>
        <w:rPr>
          <w:rFonts w:hint="cs"/>
          <w:rtl/>
        </w:rPr>
        <w:t xml:space="preserve">כתב </w:t>
      </w:r>
      <w:r w:rsidRPr="001A2014">
        <w:rPr>
          <w:rStyle w:val="aff4"/>
          <w:rFonts w:hint="cs"/>
          <w:vanish/>
          <w:rtl/>
        </w:rPr>
        <w:t>-</w:t>
      </w:r>
      <w:r w:rsidRPr="001A2014">
        <w:rPr>
          <w:rStyle w:val="aff4"/>
          <w:rFonts w:hint="cs"/>
          <w:rtl/>
        </w:rPr>
        <w:t>ה</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Ref141956430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כה)</w:t>
      </w:r>
      <w:r w:rsidRPr="00FF7D8F">
        <w:rPr>
          <w:rStyle w:val="aff4"/>
          <w:vanish/>
          <w:rtl/>
        </w:rPr>
        <w:fldChar w:fldCharType="end"/>
      </w:r>
      <w:r w:rsidRPr="00FF7D8F">
        <w:rPr>
          <w:rStyle w:val="aff4"/>
          <w:rFonts w:hint="cs"/>
          <w:vanish/>
          <w:rtl/>
        </w:rPr>
        <w:t xml:space="preserve"> &gt;</w:t>
      </w:r>
      <w:r w:rsidRPr="001A2014">
        <w:rPr>
          <w:rStyle w:val="aff4"/>
          <w:rFonts w:hint="cs"/>
          <w:rtl/>
        </w:rPr>
        <w:t>רמב"ם</w:t>
      </w:r>
      <w:r w:rsidRPr="001A2014">
        <w:rPr>
          <w:rStyle w:val="aff4"/>
          <w:rFonts w:hint="cs"/>
          <w:vanish/>
          <w:rtl/>
        </w:rPr>
        <w:t>-</w:t>
      </w:r>
      <w:r>
        <w:rPr>
          <w:rFonts w:hint="cs"/>
          <w:rtl/>
        </w:rPr>
        <w:t xml:space="preserve"> </w:t>
      </w:r>
      <w:r w:rsidRPr="00DB1D3B">
        <w:rPr>
          <w:rStyle w:val="af2"/>
          <w:rFonts w:eastAsia="Guttman Hodes" w:hint="cs"/>
          <w:rtl/>
        </w:rPr>
        <w:t>(שבת פ"י הי"ג)</w:t>
      </w:r>
      <w:r w:rsidRPr="001A2014">
        <w:rPr>
          <w:rFonts w:hint="cs"/>
          <w:vanish/>
          <w:rtl/>
        </w:rPr>
        <w:t>=</w:t>
      </w:r>
      <w:r>
        <w:rPr>
          <w:rFonts w:hint="cs"/>
          <w:rtl/>
        </w:rPr>
        <w:t xml:space="preserve"> דהעושה אוהל קבוע הוא תולדה דבונה וחייב, וכן העושה כלי אדמה כתנור וחבית לפני ששרפם דהוא תולדת בונה</w:t>
      </w:r>
      <w:bookmarkEnd w:id="4613"/>
      <w:r>
        <w:rPr>
          <w:rFonts w:hint="cs"/>
          <w:rtl/>
        </w:rPr>
        <w:t xml:space="preserve">, וביאר </w:t>
      </w:r>
      <w:bookmarkStart w:id="4617" w:name="_Hlk143464027"/>
      <w:r w:rsidRPr="00EF4E3F">
        <w:rPr>
          <w:rStyle w:val="aff4"/>
          <w:rFonts w:hint="cs"/>
          <w:vanish/>
          <w:rtl/>
        </w:rPr>
        <w:t>-</w:t>
      </w:r>
      <w:r w:rsidRPr="00013089">
        <w:rPr>
          <w:rStyle w:val="aff4"/>
          <w:rFonts w:hint="cs"/>
          <w:rtl/>
        </w:rPr>
        <w:t>ה</w:t>
      </w:r>
      <w:r w:rsidRPr="00FF7D8F">
        <w:rPr>
          <w:rStyle w:val="aff4"/>
          <w:rFonts w:hint="cs"/>
          <w:vanish/>
          <w:rtl/>
        </w:rPr>
        <w:t>&lt; &gt;</w:t>
      </w:r>
      <w:r w:rsidRPr="00013089">
        <w:rPr>
          <w:rStyle w:val="aff4"/>
          <w:rFonts w:hint="cs"/>
          <w:rtl/>
        </w:rPr>
        <w:t>מ"מ</w:t>
      </w:r>
      <w:r w:rsidRPr="00EF4E3F">
        <w:rPr>
          <w:rStyle w:val="aff4"/>
          <w:rFonts w:hint="cs"/>
          <w:vanish/>
          <w:rtl/>
        </w:rPr>
        <w:t>-</w:t>
      </w:r>
      <w:r>
        <w:rPr>
          <w:rFonts w:hint="cs"/>
          <w:rtl/>
        </w:rPr>
        <w:t xml:space="preserve"> </w:t>
      </w:r>
      <w:r w:rsidRPr="00DB1D3B">
        <w:rPr>
          <w:rStyle w:val="af2"/>
          <w:rFonts w:eastAsia="Guttman Hodes" w:hint="cs"/>
          <w:rtl/>
        </w:rPr>
        <w:t>(שבת פ"י הי"ג)</w:t>
      </w:r>
      <w:r w:rsidRPr="00EF4E3F">
        <w:rPr>
          <w:rFonts w:hint="cs"/>
          <w:vanish/>
          <w:rtl/>
        </w:rPr>
        <w:t>=</w:t>
      </w:r>
      <w:r>
        <w:rPr>
          <w:rFonts w:hint="cs"/>
          <w:rtl/>
        </w:rPr>
        <w:t xml:space="preserve"> דמקור דברי </w:t>
      </w:r>
      <w:r w:rsidRPr="00D56DF6">
        <w:rPr>
          <w:rStyle w:val="aff4"/>
          <w:rFonts w:hint="cs"/>
          <w:vanish/>
          <w:rtl/>
        </w:rPr>
        <w:t>-</w:t>
      </w:r>
      <w:r w:rsidRPr="00C56FA9">
        <w:rPr>
          <w:rStyle w:val="aff4"/>
          <w:rFonts w:hint="cs"/>
          <w:rtl/>
        </w:rPr>
        <w:t>הרמב"ם</w:t>
      </w:r>
      <w:r w:rsidRPr="00D56DF6">
        <w:rPr>
          <w:rStyle w:val="aff4"/>
          <w:rFonts w:hint="cs"/>
          <w:vanish/>
          <w:rtl/>
        </w:rPr>
        <w:t>-</w:t>
      </w:r>
      <w:r>
        <w:rPr>
          <w:rFonts w:hint="cs"/>
          <w:rtl/>
        </w:rPr>
        <w:t xml:space="preserve"> הוא מדינא דחביתא בגמ' לעיל </w:t>
      </w:r>
      <w:r w:rsidRPr="00DB1D3B">
        <w:rPr>
          <w:rStyle w:val="af2"/>
          <w:rFonts w:eastAsia="Guttman Hodes" w:hint="cs"/>
          <w:rtl/>
        </w:rPr>
        <w:t>(עד:)</w:t>
      </w:r>
      <w:r>
        <w:rPr>
          <w:rFonts w:hint="cs"/>
          <w:rtl/>
        </w:rPr>
        <w:t xml:space="preserve">, והא דאמרינן דאין בנין בכלים הוא רק בכלים שהתפרקו ומחזירם, אבל העושה כלי מתחילתו אין לך בנין גדול מזה, ולא נקרא בנין בכלים אלא עושה כלי, </w:t>
      </w:r>
      <w:bookmarkEnd w:id="4617"/>
      <w:r>
        <w:rPr>
          <w:rFonts w:hint="cs"/>
          <w:rtl/>
        </w:rPr>
        <w:t xml:space="preserve">וכן דעת </w:t>
      </w:r>
      <w:r w:rsidRPr="00EF4E3F">
        <w:rPr>
          <w:rStyle w:val="aff4"/>
          <w:rFonts w:hint="cs"/>
          <w:vanish/>
          <w:rtl/>
        </w:rPr>
        <w:t>-</w:t>
      </w:r>
      <w:r w:rsidRPr="00013089">
        <w:rPr>
          <w:rStyle w:val="aff4"/>
          <w:rFonts w:hint="cs"/>
          <w:rtl/>
        </w:rPr>
        <w:t>התוס'</w:t>
      </w:r>
      <w:r w:rsidRPr="00EF4E3F">
        <w:rPr>
          <w:rStyle w:val="aff4"/>
          <w:rFonts w:hint="cs"/>
          <w:vanish/>
          <w:rtl/>
        </w:rPr>
        <w:t>-</w:t>
      </w:r>
      <w:r>
        <w:rPr>
          <w:rFonts w:hint="cs"/>
          <w:rtl/>
        </w:rPr>
        <w:t xml:space="preserve"> </w:t>
      </w:r>
      <w:r w:rsidRPr="00DB1D3B">
        <w:rPr>
          <w:rStyle w:val="af2"/>
          <w:rFonts w:eastAsia="Guttman Hodes" w:hint="cs"/>
          <w:rtl/>
        </w:rPr>
        <w:t xml:space="preserve">(עי' אות </w:t>
      </w:r>
      <w:r w:rsidRPr="00DB1D3B">
        <w:rPr>
          <w:rStyle w:val="af2"/>
          <w:rFonts w:eastAsia="Guttman Hodes"/>
          <w:rtl/>
        </w:rPr>
        <w:fldChar w:fldCharType="begin"/>
      </w:r>
      <w:r w:rsidRPr="00DB1D3B">
        <w:rPr>
          <w:rStyle w:val="af2"/>
          <w:rFonts w:eastAsia="Guttman Hodes"/>
          <w:rtl/>
        </w:rPr>
        <w:instrText xml:space="preserve"> </w:instrText>
      </w:r>
      <w:r w:rsidRPr="00DB1D3B">
        <w:rPr>
          <w:rStyle w:val="af2"/>
          <w:rFonts w:eastAsia="Guttman Hodes" w:hint="cs"/>
        </w:rPr>
        <w:instrText>REF</w:instrText>
      </w:r>
      <w:r w:rsidRPr="00DB1D3B">
        <w:rPr>
          <w:rStyle w:val="af2"/>
          <w:rFonts w:eastAsia="Guttman Hodes" w:hint="cs"/>
          <w:rtl/>
        </w:rPr>
        <w:instrText xml:space="preserve"> _</w:instrText>
      </w:r>
      <w:r w:rsidRPr="00DB1D3B">
        <w:rPr>
          <w:rStyle w:val="af2"/>
          <w:rFonts w:eastAsia="Guttman Hodes" w:hint="cs"/>
        </w:rPr>
        <w:instrText>Ref143421447 \r \h</w:instrText>
      </w:r>
      <w:r w:rsidRPr="00DB1D3B">
        <w:rPr>
          <w:rStyle w:val="af2"/>
          <w:rFonts w:eastAsia="Guttman Hodes"/>
          <w:rtl/>
        </w:rPr>
        <w:instrText xml:space="preserve"> </w:instrText>
      </w:r>
      <w:r w:rsidRPr="00DB1D3B">
        <w:rPr>
          <w:rStyle w:val="af2"/>
          <w:rFonts w:eastAsia="Guttman Hodes"/>
          <w:rtl/>
        </w:rPr>
      </w:r>
      <w:r w:rsidRPr="00DB1D3B">
        <w:rPr>
          <w:rStyle w:val="af2"/>
          <w:rFonts w:eastAsia="Guttman Hodes"/>
          <w:rtl/>
        </w:rPr>
        <w:fldChar w:fldCharType="separate"/>
      </w:r>
      <w:r w:rsidR="00D82181">
        <w:rPr>
          <w:rStyle w:val="af2"/>
          <w:rFonts w:eastAsia="Guttman Hodes"/>
          <w:cs/>
        </w:rPr>
        <w:t>‎</w:t>
      </w:r>
      <w:r w:rsidR="00D82181">
        <w:rPr>
          <w:rStyle w:val="af2"/>
          <w:rFonts w:eastAsia="Guttman Hodes"/>
          <w:rtl/>
        </w:rPr>
        <w:t>ל)</w:t>
      </w:r>
      <w:r w:rsidRPr="00DB1D3B">
        <w:rPr>
          <w:rStyle w:val="af2"/>
          <w:rFonts w:eastAsia="Guttman Hodes"/>
          <w:rtl/>
        </w:rPr>
        <w:fldChar w:fldCharType="end"/>
      </w:r>
      <w:r>
        <w:rPr>
          <w:rFonts w:hint="cs"/>
          <w:rtl/>
        </w:rPr>
        <w:t xml:space="preserve">, ועי' במה שהקשה </w:t>
      </w:r>
      <w:r w:rsidRPr="00EF4E3F">
        <w:rPr>
          <w:rStyle w:val="aff4"/>
          <w:rFonts w:hint="cs"/>
          <w:vanish/>
          <w:rtl/>
        </w:rPr>
        <w:t>-</w:t>
      </w:r>
      <w:r w:rsidRPr="00013089">
        <w:rPr>
          <w:rStyle w:val="aff4"/>
          <w:rFonts w:hint="cs"/>
          <w:rtl/>
        </w:rPr>
        <w:t>האבן האזל</w:t>
      </w:r>
      <w:r w:rsidRPr="00EF4E3F">
        <w:rPr>
          <w:rStyle w:val="aff4"/>
          <w:rFonts w:hint="cs"/>
          <w:vanish/>
          <w:rtl/>
        </w:rPr>
        <w:t>-</w:t>
      </w:r>
      <w:r>
        <w:rPr>
          <w:rFonts w:hint="cs"/>
          <w:rtl/>
        </w:rPr>
        <w:t xml:space="preserve"> </w:t>
      </w:r>
      <w:r w:rsidRPr="00DB1D3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Ref143464500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סג)</w:t>
      </w:r>
      <w:r>
        <w:rPr>
          <w:rStyle w:val="af2"/>
          <w:rFonts w:eastAsia="Guttman Hodes"/>
          <w:rtl/>
        </w:rPr>
        <w:fldChar w:fldCharType="end"/>
      </w:r>
      <w:r>
        <w:rPr>
          <w:rStyle w:val="af2"/>
          <w:rFonts w:eastAsia="Guttman Hodes" w:hint="cs"/>
          <w:rtl/>
        </w:rPr>
        <w:t xml:space="preserve"> </w:t>
      </w:r>
      <w:r>
        <w:rPr>
          <w:rFonts w:hint="cs"/>
          <w:rtl/>
        </w:rPr>
        <w:t xml:space="preserve">על </w:t>
      </w:r>
      <w:r w:rsidRPr="00EF4E3F">
        <w:rPr>
          <w:rStyle w:val="aff4"/>
          <w:rFonts w:hint="cs"/>
          <w:vanish/>
          <w:rtl/>
        </w:rPr>
        <w:t>-</w:t>
      </w:r>
      <w:r w:rsidRPr="00013089">
        <w:rPr>
          <w:rStyle w:val="aff4"/>
          <w:rFonts w:hint="cs"/>
          <w:rtl/>
        </w:rPr>
        <w:t>המ"מ</w:t>
      </w:r>
      <w:r w:rsidRPr="00EF4E3F">
        <w:rPr>
          <w:rStyle w:val="aff4"/>
          <w:rFonts w:hint="cs"/>
          <w:vanish/>
          <w:rtl/>
        </w:rPr>
        <w:t>-</w:t>
      </w:r>
      <w:r>
        <w:rPr>
          <w:rFonts w:hint="cs"/>
          <w:rtl/>
        </w:rPr>
        <w:t>.</w:t>
      </w:r>
      <w:bookmarkEnd w:id="4614"/>
    </w:p>
    <w:bookmarkEnd w:id="4543"/>
    <w:bookmarkEnd w:id="4615"/>
    <w:bookmarkEnd w:id="4616"/>
    <w:p w14:paraId="35701001" w14:textId="77777777" w:rsidR="00376F67" w:rsidRPr="0074694D" w:rsidRDefault="00376F67" w:rsidP="00376F67">
      <w:pPr>
        <w:pStyle w:val="a2"/>
        <w:tabs>
          <w:tab w:val="num" w:pos="284"/>
        </w:tabs>
        <w:rPr>
          <w:vanish w:val="0"/>
        </w:rPr>
      </w:pPr>
      <w:r w:rsidRPr="0074694D">
        <w:rPr>
          <w:rtl/>
        </w:rPr>
        <w:t>העושה אוהל קבוע הרי זה תולדת בונה וחייב</w:t>
      </w:r>
      <w:r w:rsidRPr="0074694D">
        <w:rPr>
          <w:rFonts w:hint="cs"/>
          <w:rtl/>
        </w:rPr>
        <w:t xml:space="preserve">, </w:t>
      </w:r>
      <w:r w:rsidRPr="0074694D">
        <w:rPr>
          <w:rtl/>
        </w:rPr>
        <w:t>וכן העושה כלי אדמה כגון תנור וחבית קודם שישרפו הרי זה תולדת בונה וחייב</w:t>
      </w:r>
      <w:r w:rsidRPr="0074694D">
        <w:rPr>
          <w:rFonts w:hint="cs"/>
          <w:rtl/>
        </w:rPr>
        <w:t>.</w:t>
      </w:r>
    </w:p>
    <w:p w14:paraId="2722D9B8" w14:textId="77777777" w:rsidR="00376F67" w:rsidRPr="00954231" w:rsidRDefault="00376F67" w:rsidP="00376F67">
      <w:pPr>
        <w:pStyle w:val="afffff5"/>
        <w:rPr>
          <w:vanish w:val="0"/>
          <w:rtl/>
        </w:rPr>
      </w:pPr>
      <w:r w:rsidRPr="00954231">
        <w:rPr>
          <w:rtl/>
        </w:rPr>
        <w:t>וכן העושה וכו'. פ' כלל גדול (שם ע"ד:) אמר אביי האי מאן דעביד חביתא חייב ז' חטאות תנורא חייב ח' חטאות ואחד מהם הוא בונה. וכן פירשו הגאונים ז"ל וכן הוא בירושלמי. והענין שאע"פ שאמרו אין בנין בכלים זהו בכלים שנתפרקו להחזירן כמו שנתבאר פרק כ"ב. אבל העושה כלי מתחלתו אין לך בנין גדול מזה ואין נקרא זה בנין בכלים שהרי אינו כלי אלא עושה כלי. והשמועות מוכיחות כן כמ"ש הגאונים ז"ל ועיקר:</w:t>
      </w:r>
    </w:p>
    <w:p w14:paraId="7F073C22" w14:textId="77777777" w:rsidR="00376F67" w:rsidRPr="005B4CAC" w:rsidRDefault="00376F67" w:rsidP="00376F67">
      <w:pPr>
        <w:pStyle w:val="afffff7"/>
        <w:rPr>
          <w:rtl/>
        </w:rPr>
      </w:pPr>
      <w:bookmarkStart w:id="4618" w:name="_Toc143767908"/>
      <w:bookmarkStart w:id="4619" w:name="_Toc163506096"/>
      <w:r w:rsidRPr="005B4CAC">
        <w:rPr>
          <w:rtl/>
        </w:rPr>
        <w:t>אור שמח שבת פ"י הי"ב</w:t>
      </w:r>
      <w:r w:rsidRPr="005B4CAC">
        <w:rPr>
          <w:rFonts w:hint="cs"/>
          <w:rtl/>
        </w:rPr>
        <w:t xml:space="preserve"> ד"ה </w:t>
      </w:r>
      <w:r w:rsidRPr="005B4CAC">
        <w:rPr>
          <w:rtl/>
        </w:rPr>
        <w:t>וכבר כתבתי</w:t>
      </w:r>
      <w:bookmarkEnd w:id="4618"/>
      <w:bookmarkEnd w:id="4619"/>
    </w:p>
    <w:p w14:paraId="539AF1D1" w14:textId="77777777" w:rsidR="00376F67" w:rsidRDefault="00376F67" w:rsidP="00376F67">
      <w:pPr>
        <w:pStyle w:val="a7"/>
        <w:rPr>
          <w:rtl/>
        </w:rPr>
      </w:pPr>
      <w:bookmarkStart w:id="4620" w:name="_Toc143767784"/>
      <w:bookmarkStart w:id="4621" w:name="_Toc143770605"/>
      <w:r>
        <w:rPr>
          <w:rFonts w:hint="cs"/>
          <w:rtl/>
        </w:rPr>
        <w:t>בי' האו"ש דמבו' בירושלמי דגודל כלי צורה בונה והיינו כעושה כלי אך ק' מהירו' דכלי זכוכית</w:t>
      </w:r>
      <w:bookmarkEnd w:id="4620"/>
      <w:bookmarkEnd w:id="4621"/>
    </w:p>
    <w:p w14:paraId="7A3BB65D" w14:textId="33180D88" w:rsidR="00376F67" w:rsidRDefault="00376F67" w:rsidP="00BC7DC8">
      <w:pPr>
        <w:pStyle w:val="a3"/>
        <w:rPr>
          <w:rtl/>
        </w:rPr>
      </w:pPr>
      <w:bookmarkStart w:id="4622" w:name="_Ref143594396"/>
      <w:r>
        <w:rPr>
          <w:rFonts w:hint="cs"/>
          <w:rtl/>
        </w:rPr>
        <w:t xml:space="preserve">וכתב </w:t>
      </w:r>
      <w:r w:rsidRPr="00C67D8B">
        <w:rPr>
          <w:rStyle w:val="aff4"/>
          <w:rFonts w:hint="cs"/>
          <w:vanish/>
          <w:rtl/>
        </w:rPr>
        <w:t>-</w:t>
      </w:r>
      <w:r w:rsidRPr="001A2014">
        <w:rPr>
          <w:rStyle w:val="aff4"/>
          <w:rFonts w:hint="cs"/>
          <w:rtl/>
        </w:rPr>
        <w:t>ה</w:t>
      </w:r>
      <w:r w:rsidRPr="00C67D8B">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Ref143594396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כו)</w:t>
      </w:r>
      <w:r>
        <w:rPr>
          <w:rStyle w:val="aff4"/>
          <w:vanish/>
          <w:rtl/>
        </w:rPr>
        <w:fldChar w:fldCharType="end"/>
      </w:r>
      <w:r w:rsidRPr="00C67D8B">
        <w:rPr>
          <w:rStyle w:val="aff4"/>
          <w:rFonts w:hint="cs"/>
          <w:vanish/>
          <w:rtl/>
        </w:rPr>
        <w:t xml:space="preserve"> &gt;</w:t>
      </w:r>
      <w:r w:rsidRPr="001A2014">
        <w:rPr>
          <w:rStyle w:val="aff4"/>
          <w:rFonts w:hint="cs"/>
          <w:rtl/>
        </w:rPr>
        <w:t>או"ש</w:t>
      </w:r>
      <w:r w:rsidRPr="00C67D8B">
        <w:rPr>
          <w:rStyle w:val="aff4"/>
          <w:rFonts w:hint="cs"/>
          <w:vanish/>
          <w:rtl/>
        </w:rPr>
        <w:t>-</w:t>
      </w:r>
      <w:r>
        <w:rPr>
          <w:rFonts w:hint="cs"/>
          <w:rtl/>
        </w:rPr>
        <w:t xml:space="preserve"> </w:t>
      </w:r>
      <w:r w:rsidRPr="00C67D8B">
        <w:rPr>
          <w:rStyle w:val="af2"/>
          <w:rFonts w:eastAsia="Guttman Hodes" w:hint="cs"/>
          <w:rtl/>
        </w:rPr>
        <w:t xml:space="preserve">(שבת פ"י הי"ב סוד"ה </w:t>
      </w:r>
      <w:r w:rsidRPr="00C67D8B">
        <w:rPr>
          <w:rStyle w:val="af2"/>
          <w:rFonts w:eastAsia="Guttman Hodes"/>
          <w:rtl/>
        </w:rPr>
        <w:t>וכבר כתבתי</w:t>
      </w:r>
      <w:r w:rsidRPr="00C67D8B">
        <w:rPr>
          <w:rStyle w:val="af2"/>
          <w:rFonts w:eastAsia="Guttman Hodes" w:hint="cs"/>
          <w:rtl/>
        </w:rPr>
        <w:t>)</w:t>
      </w:r>
      <w:r w:rsidRPr="00C67D8B">
        <w:rPr>
          <w:rFonts w:hint="cs"/>
          <w:vanish/>
          <w:rtl/>
        </w:rPr>
        <w:t>=</w:t>
      </w:r>
      <w:r>
        <w:rPr>
          <w:rFonts w:hint="cs"/>
          <w:rtl/>
        </w:rPr>
        <w:t xml:space="preserve"> דמ"ש </w:t>
      </w:r>
      <w:r w:rsidRPr="00C67D8B">
        <w:rPr>
          <w:rStyle w:val="aff4"/>
          <w:rFonts w:hint="cs"/>
          <w:vanish/>
          <w:rtl/>
        </w:rPr>
        <w:t>-</w:t>
      </w:r>
      <w:r w:rsidRPr="001A2014">
        <w:rPr>
          <w:rStyle w:val="aff4"/>
          <w:rFonts w:hint="cs"/>
          <w:rtl/>
        </w:rPr>
        <w:t>המ"מ</w:t>
      </w:r>
      <w:r w:rsidRPr="00C67D8B">
        <w:rPr>
          <w:rStyle w:val="aff4"/>
          <w:rFonts w:hint="cs"/>
          <w:vanish/>
          <w:rtl/>
        </w:rPr>
        <w:t>-</w:t>
      </w:r>
      <w:r>
        <w:rPr>
          <w:rFonts w:hint="cs"/>
          <w:rtl/>
        </w:rPr>
        <w:t xml:space="preserve"> דכן איתא בירושלמי, היינו כדאיתא בירושלמי </w:t>
      </w:r>
      <w:r w:rsidRPr="00C67D8B">
        <w:rPr>
          <w:rStyle w:val="af2"/>
          <w:rFonts w:eastAsia="Guttman Hodes"/>
          <w:rtl/>
        </w:rPr>
        <w:t>(פ"ז ה"ב</w:t>
      </w:r>
      <w:r w:rsidRPr="00C67D8B">
        <w:rPr>
          <w:rStyle w:val="af2"/>
          <w:rFonts w:eastAsia="Guttman Hodes" w:hint="cs"/>
          <w:rtl/>
        </w:rPr>
        <w:t>, נב:, מהדו' עוז והדר סד.)</w:t>
      </w:r>
      <w:r>
        <w:rPr>
          <w:rFonts w:hint="cs"/>
          <w:rtl/>
        </w:rPr>
        <w:t xml:space="preserve"> דהגודל כלי צורה הוי בונה, אך הקשה </w:t>
      </w:r>
      <w:r w:rsidRPr="00C67D8B">
        <w:rPr>
          <w:rStyle w:val="aff4"/>
          <w:rFonts w:hint="cs"/>
          <w:vanish/>
          <w:rtl/>
        </w:rPr>
        <w:t>-</w:t>
      </w:r>
      <w:r w:rsidRPr="001A2014">
        <w:rPr>
          <w:rStyle w:val="aff4"/>
          <w:rFonts w:hint="cs"/>
          <w:rtl/>
        </w:rPr>
        <w:t>האו"ש</w:t>
      </w:r>
      <w:r w:rsidRPr="00C67D8B">
        <w:rPr>
          <w:rStyle w:val="aff4"/>
          <w:rFonts w:hint="cs"/>
          <w:vanish/>
          <w:rtl/>
        </w:rPr>
        <w:t>-</w:t>
      </w:r>
      <w:r>
        <w:rPr>
          <w:rFonts w:hint="cs"/>
          <w:rtl/>
        </w:rPr>
        <w:t xml:space="preserve"> דאיתא בירושלמי דהנופח בכלי זכוכית הוי בונה, כדהקשו </w:t>
      </w:r>
      <w:r w:rsidRPr="001A2014">
        <w:rPr>
          <w:rStyle w:val="aff4"/>
          <w:rFonts w:hint="cs"/>
          <w:vanish/>
          <w:rtl/>
        </w:rPr>
        <w:t>-</w:t>
      </w:r>
      <w:r w:rsidRPr="001A2014">
        <w:rPr>
          <w:rStyle w:val="aff4"/>
          <w:rFonts w:hint="cs"/>
          <w:rtl/>
        </w:rPr>
        <w:t>התוס'</w:t>
      </w:r>
      <w:r w:rsidRPr="001A2014">
        <w:rPr>
          <w:rStyle w:val="aff4"/>
          <w:rFonts w:hint="cs"/>
          <w:vanish/>
          <w:rtl/>
        </w:rPr>
        <w:t>-</w:t>
      </w:r>
      <w:r>
        <w:rPr>
          <w:rFonts w:hint="cs"/>
          <w:rtl/>
        </w:rPr>
        <w:t xml:space="preserve"> </w:t>
      </w:r>
      <w:r w:rsidRPr="00DB1D3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Ref143549634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לא)</w:t>
      </w:r>
      <w:r>
        <w:rPr>
          <w:rStyle w:val="af2"/>
          <w:rFonts w:eastAsia="Guttman Hodes"/>
          <w:rtl/>
        </w:rPr>
        <w:fldChar w:fldCharType="end"/>
      </w:r>
      <w:r>
        <w:rPr>
          <w:rFonts w:hint="cs"/>
          <w:rtl/>
        </w:rPr>
        <w:t>,</w:t>
      </w:r>
      <w:r w:rsidRPr="00197B44">
        <w:rPr>
          <w:rFonts w:hint="cs"/>
          <w:rtl/>
        </w:rPr>
        <w:t xml:space="preserve"> </w:t>
      </w:r>
      <w:r>
        <w:rPr>
          <w:rFonts w:hint="cs"/>
          <w:rtl/>
        </w:rPr>
        <w:t xml:space="preserve">ואילו בגמ' לעיל </w:t>
      </w:r>
      <w:r w:rsidRPr="00C67D8B">
        <w:rPr>
          <w:rStyle w:val="af2"/>
          <w:rFonts w:eastAsia="Guttman Hodes" w:hint="cs"/>
          <w:rtl/>
        </w:rPr>
        <w:t>(עה:)</w:t>
      </w:r>
      <w:r>
        <w:rPr>
          <w:rFonts w:hint="cs"/>
          <w:rtl/>
        </w:rPr>
        <w:t xml:space="preserve"> איתא דהמנפח כלי זכוכית חייב משום מכה בפטיש, ומשמע דאין בזה חיוב בונה.</w:t>
      </w:r>
      <w:bookmarkEnd w:id="4622"/>
    </w:p>
    <w:p w14:paraId="5FD00D03" w14:textId="77777777" w:rsidR="00376F67" w:rsidRPr="006C0D04" w:rsidRDefault="00376F67" w:rsidP="00376F67">
      <w:pPr>
        <w:pStyle w:val="a7"/>
      </w:pPr>
    </w:p>
    <w:p w14:paraId="4B90166A" w14:textId="77777777" w:rsidR="00376F67" w:rsidRPr="0074694D" w:rsidRDefault="00376F67" w:rsidP="00376F67">
      <w:pPr>
        <w:pStyle w:val="a2"/>
        <w:tabs>
          <w:tab w:val="num" w:pos="284"/>
        </w:tabs>
        <w:rPr>
          <w:vanish w:val="0"/>
          <w:rtl/>
        </w:rPr>
      </w:pPr>
      <w:r w:rsidRPr="0074694D">
        <w:rPr>
          <w:rtl/>
        </w:rPr>
        <w:t>והמגיד הביא ראיה מירושלמי (פ"ז ה"ב) דמפורש דהגודל כלי צורה חייב משום בונה, האמנם דבירושלמי אמר גבי הנופח בכלי זכוכית חייב משום בונה, ובבלי קאמר (שם עה, ב) הנופח בכלי זכוכית חייב משום מכה בפטיש, והתוספות (שם) העירו מהנופח בכלי זכוכית, ולא העירו מהירושלמי ודו"ק.</w:t>
      </w:r>
    </w:p>
    <w:p w14:paraId="71B8B0AE" w14:textId="77777777" w:rsidR="00376F67" w:rsidRPr="00337E91" w:rsidRDefault="00376F67" w:rsidP="00376F67">
      <w:pPr>
        <w:pStyle w:val="1"/>
        <w:rPr>
          <w:rtl/>
        </w:rPr>
      </w:pPr>
      <w:bookmarkStart w:id="4623" w:name="_Toc143767785"/>
      <w:bookmarkStart w:id="4624" w:name="_Toc143770606"/>
      <w:r>
        <w:rPr>
          <w:rFonts w:hint="cs"/>
          <w:rtl/>
        </w:rPr>
        <w:t>בי' הרמב"ם דמגבן ומחבר קרדום תולדה וקיבוץ חלקים כבונה</w:t>
      </w:r>
      <w:bookmarkEnd w:id="4623"/>
      <w:bookmarkEnd w:id="4624"/>
    </w:p>
    <w:p w14:paraId="555EEAB0" w14:textId="77777777" w:rsidR="00376F67" w:rsidRDefault="00376F67" w:rsidP="00376F67">
      <w:pPr>
        <w:pStyle w:val="afffff7"/>
        <w:rPr>
          <w:rtl/>
        </w:rPr>
      </w:pPr>
      <w:bookmarkStart w:id="4625" w:name="_Toc143767909"/>
      <w:bookmarkStart w:id="4626" w:name="_Toc163506097"/>
      <w:r>
        <w:rPr>
          <w:rtl/>
        </w:rPr>
        <w:t>רמב"ם שבת פ"י הי"ג</w:t>
      </w:r>
      <w:bookmarkEnd w:id="4625"/>
      <w:bookmarkEnd w:id="4626"/>
    </w:p>
    <w:p w14:paraId="355E35EF" w14:textId="77777777" w:rsidR="00376F67" w:rsidRPr="00A516B3" w:rsidRDefault="00376F67" w:rsidP="00376F67">
      <w:pPr>
        <w:pStyle w:val="a7"/>
        <w:rPr>
          <w:rtl/>
        </w:rPr>
      </w:pPr>
      <w:bookmarkStart w:id="4627" w:name="_Toc143767786"/>
      <w:bookmarkStart w:id="4628" w:name="_Toc143770607"/>
      <w:r>
        <w:rPr>
          <w:rFonts w:hint="cs"/>
          <w:rtl/>
        </w:rPr>
        <w:t>בי' הרמב"ם דהמגבן גבינה תולדה דבונה וכן מכניס יד לקרדום ותוקע עץ בעץ עד שנעשו לאחד</w:t>
      </w:r>
      <w:bookmarkEnd w:id="4627"/>
      <w:bookmarkEnd w:id="4628"/>
    </w:p>
    <w:p w14:paraId="7A47DD0D" w14:textId="1069A7D2" w:rsidR="00376F67" w:rsidRPr="00F75C88" w:rsidRDefault="00376F67" w:rsidP="00BC7DC8">
      <w:pPr>
        <w:pStyle w:val="a3"/>
        <w:rPr>
          <w:rtl/>
        </w:rPr>
      </w:pPr>
      <w:bookmarkStart w:id="4629" w:name="_Ref143547978"/>
      <w:r>
        <w:rPr>
          <w:rFonts w:hint="cs"/>
          <w:rtl/>
        </w:rPr>
        <w:t xml:space="preserve">והוסיף </w:t>
      </w:r>
      <w:r w:rsidRPr="001A2014">
        <w:rPr>
          <w:rStyle w:val="aff4"/>
          <w:rFonts w:hint="cs"/>
          <w:vanish/>
          <w:rtl/>
        </w:rPr>
        <w:t>-</w:t>
      </w:r>
      <w:r w:rsidRPr="001A2014">
        <w:rPr>
          <w:rStyle w:val="aff4"/>
          <w:rFonts w:hint="cs"/>
          <w:rtl/>
        </w:rPr>
        <w:t>ה</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Ref143547978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כז)</w:t>
      </w:r>
      <w:r w:rsidRPr="00FF7D8F">
        <w:rPr>
          <w:rStyle w:val="aff4"/>
          <w:vanish/>
          <w:rtl/>
        </w:rPr>
        <w:fldChar w:fldCharType="end"/>
      </w:r>
      <w:r w:rsidRPr="00FF7D8F">
        <w:rPr>
          <w:rStyle w:val="aff4"/>
          <w:rFonts w:hint="cs"/>
          <w:vanish/>
          <w:rtl/>
        </w:rPr>
        <w:t xml:space="preserve"> &gt;</w:t>
      </w:r>
      <w:r w:rsidRPr="001A2014">
        <w:rPr>
          <w:rStyle w:val="aff4"/>
          <w:rFonts w:hint="cs"/>
          <w:rtl/>
        </w:rPr>
        <w:t>רמב"ם</w:t>
      </w:r>
      <w:r w:rsidRPr="001A2014">
        <w:rPr>
          <w:rStyle w:val="aff4"/>
          <w:rFonts w:hint="cs"/>
          <w:vanish/>
          <w:rtl/>
        </w:rPr>
        <w:t>-</w:t>
      </w:r>
      <w:r>
        <w:rPr>
          <w:rFonts w:hint="cs"/>
          <w:rtl/>
        </w:rPr>
        <w:t xml:space="preserve"> </w:t>
      </w:r>
      <w:r w:rsidRPr="00DB1D3B">
        <w:rPr>
          <w:rStyle w:val="af2"/>
          <w:rFonts w:eastAsia="Guttman Hodes" w:hint="cs"/>
          <w:rtl/>
        </w:rPr>
        <w:t>(שבת פ"י הי"ג)</w:t>
      </w:r>
      <w:r w:rsidRPr="001A2014">
        <w:rPr>
          <w:rFonts w:hint="cs"/>
          <w:vanish/>
          <w:rtl/>
        </w:rPr>
        <w:t>=</w:t>
      </w:r>
      <w:r>
        <w:rPr>
          <w:rFonts w:hint="cs"/>
          <w:rtl/>
        </w:rPr>
        <w:t xml:space="preserve"> דכן המגבן גבינה הוא תולדת בונה, </w:t>
      </w:r>
      <w:r w:rsidRPr="00A655AF">
        <w:rPr>
          <w:rStyle w:val="af"/>
          <w:rFonts w:hint="cs"/>
          <w:rtl/>
        </w:rPr>
        <w:t xml:space="preserve">[כדאיתא בגמ' לקמן </w:t>
      </w:r>
      <w:r w:rsidRPr="001B1FAC">
        <w:rPr>
          <w:rStyle w:val="aff0"/>
          <w:rFonts w:hint="cs"/>
          <w:rtl/>
        </w:rPr>
        <w:t>(צה.)</w:t>
      </w:r>
      <w:r w:rsidRPr="00A655AF">
        <w:rPr>
          <w:rStyle w:val="af"/>
          <w:rFonts w:hint="cs"/>
          <w:rtl/>
        </w:rPr>
        <w:t xml:space="preserve"> דמגבן חייב משום בונה</w:t>
      </w:r>
      <w:r w:rsidRPr="006D12D1">
        <w:rPr>
          <w:rStyle w:val="af"/>
          <w:rFonts w:hint="cs"/>
          <w:rtl/>
        </w:rPr>
        <w:t>],</w:t>
      </w:r>
      <w:r>
        <w:rPr>
          <w:rFonts w:hint="cs"/>
          <w:rtl/>
        </w:rPr>
        <w:t xml:space="preserve"> וכן מכניס יד לקרדום, והתוקע עץ בעץ, בין ע"י מסמר, ובין בעץ עצמו כשנעשו כעץ אחד, דהוי תולדת בונה וחייב, ועי' במה שביאר </w:t>
      </w:r>
      <w:r w:rsidRPr="00B90D00">
        <w:rPr>
          <w:rStyle w:val="aff4"/>
          <w:vanish/>
          <w:rtl/>
        </w:rPr>
        <w:t>-ה</w:t>
      </w:r>
      <w:r w:rsidRPr="00FF7D8F">
        <w:rPr>
          <w:rStyle w:val="aff4"/>
          <w:rFonts w:hint="cs"/>
          <w:vanish/>
          <w:rtl/>
        </w:rPr>
        <w:t>&lt; &gt;</w:t>
      </w:r>
      <w:r w:rsidRPr="00D56DF6">
        <w:rPr>
          <w:rStyle w:val="aff4"/>
          <w:rtl/>
        </w:rPr>
        <w:t xml:space="preserve">אבן </w:t>
      </w:r>
      <w:r w:rsidRPr="00C56FA9">
        <w:rPr>
          <w:rStyle w:val="aff4"/>
          <w:rtl/>
        </w:rPr>
        <w:t>האזל</w:t>
      </w:r>
      <w:r w:rsidRPr="00B90D00">
        <w:rPr>
          <w:rStyle w:val="aff4"/>
          <w:vanish/>
          <w:rtl/>
        </w:rPr>
        <w:t>-</w:t>
      </w:r>
      <w:r>
        <w:rPr>
          <w:rFonts w:hint="cs"/>
          <w:rtl/>
        </w:rPr>
        <w:t xml:space="preserve"> </w:t>
      </w:r>
      <w:r w:rsidRPr="00DB1D3B">
        <w:rPr>
          <w:rStyle w:val="af2"/>
          <w:rFonts w:eastAsia="Guttman Hodes" w:hint="cs"/>
          <w:rtl/>
        </w:rPr>
        <w:t xml:space="preserve">(עי' אות </w:t>
      </w:r>
      <w:r w:rsidRPr="00DB1D3B">
        <w:rPr>
          <w:rStyle w:val="af2"/>
          <w:rFonts w:eastAsia="Guttman Hodes"/>
          <w:rtl/>
        </w:rPr>
        <w:fldChar w:fldCharType="begin"/>
      </w:r>
      <w:r w:rsidRPr="00DB1D3B">
        <w:rPr>
          <w:rStyle w:val="af2"/>
          <w:rFonts w:eastAsia="Guttman Hodes"/>
          <w:rtl/>
        </w:rPr>
        <w:instrText xml:space="preserve"> </w:instrText>
      </w:r>
      <w:r w:rsidRPr="00DB1D3B">
        <w:rPr>
          <w:rStyle w:val="af2"/>
          <w:rFonts w:eastAsia="Guttman Hodes"/>
        </w:rPr>
        <w:instrText>REF</w:instrText>
      </w:r>
      <w:r w:rsidRPr="00DB1D3B">
        <w:rPr>
          <w:rStyle w:val="af2"/>
          <w:rFonts w:eastAsia="Guttman Hodes"/>
          <w:rtl/>
        </w:rPr>
        <w:instrText xml:space="preserve"> _</w:instrText>
      </w:r>
      <w:r w:rsidRPr="00DB1D3B">
        <w:rPr>
          <w:rStyle w:val="af2"/>
          <w:rFonts w:eastAsia="Guttman Hodes"/>
        </w:rPr>
        <w:instrText>Ref143420290 \r \h</w:instrText>
      </w:r>
      <w:r w:rsidRPr="00DB1D3B">
        <w:rPr>
          <w:rStyle w:val="af2"/>
          <w:rFonts w:eastAsia="Guttman Hodes"/>
          <w:rtl/>
        </w:rPr>
        <w:instrText xml:space="preserve"> </w:instrText>
      </w:r>
      <w:r w:rsidRPr="00DB1D3B">
        <w:rPr>
          <w:rStyle w:val="af2"/>
          <w:rFonts w:eastAsia="Guttman Hodes"/>
          <w:rtl/>
        </w:rPr>
      </w:r>
      <w:r w:rsidRPr="00DB1D3B">
        <w:rPr>
          <w:rStyle w:val="af2"/>
          <w:rFonts w:eastAsia="Guttman Hodes"/>
          <w:rtl/>
        </w:rPr>
        <w:fldChar w:fldCharType="separate"/>
      </w:r>
      <w:r w:rsidR="00D82181">
        <w:rPr>
          <w:rStyle w:val="af2"/>
          <w:rFonts w:eastAsia="Guttman Hodes"/>
          <w:cs/>
        </w:rPr>
        <w:t>‎</w:t>
      </w:r>
      <w:r w:rsidR="00D82181">
        <w:rPr>
          <w:rStyle w:val="af2"/>
          <w:rFonts w:eastAsia="Guttman Hodes"/>
          <w:rtl/>
        </w:rPr>
        <w:t>עד)</w:t>
      </w:r>
      <w:r w:rsidRPr="00DB1D3B">
        <w:rPr>
          <w:rStyle w:val="af2"/>
          <w:rFonts w:eastAsia="Guttman Hodes"/>
          <w:rtl/>
        </w:rPr>
        <w:fldChar w:fldCharType="end"/>
      </w:r>
      <w:r w:rsidRPr="00B90D00">
        <w:rPr>
          <w:rFonts w:hint="cs"/>
          <w:vanish/>
          <w:rtl/>
        </w:rPr>
        <w:t>=</w:t>
      </w:r>
      <w:r>
        <w:rPr>
          <w:rFonts w:hint="cs"/>
          <w:rtl/>
        </w:rPr>
        <w:t xml:space="preserve"> בדברי </w:t>
      </w:r>
      <w:r w:rsidRPr="00B90D00">
        <w:rPr>
          <w:rStyle w:val="aff4"/>
          <w:rFonts w:hint="cs"/>
          <w:vanish/>
          <w:rtl/>
        </w:rPr>
        <w:t>-</w:t>
      </w:r>
      <w:r w:rsidRPr="00C56FA9">
        <w:rPr>
          <w:rStyle w:val="aff4"/>
          <w:rFonts w:hint="cs"/>
          <w:rtl/>
        </w:rPr>
        <w:t>הרמב"ם</w:t>
      </w:r>
      <w:r w:rsidRPr="00B90D00">
        <w:rPr>
          <w:rStyle w:val="aff4"/>
          <w:rFonts w:hint="cs"/>
          <w:vanish/>
          <w:rtl/>
        </w:rPr>
        <w:t>-</w:t>
      </w:r>
      <w:r>
        <w:rPr>
          <w:rFonts w:hint="cs"/>
          <w:rtl/>
        </w:rPr>
        <w:t>.</w:t>
      </w:r>
      <w:bookmarkEnd w:id="4629"/>
    </w:p>
    <w:p w14:paraId="31F823A6" w14:textId="77777777" w:rsidR="00376F67" w:rsidRPr="0074694D" w:rsidRDefault="00376F67" w:rsidP="00376F67">
      <w:pPr>
        <w:pStyle w:val="a2"/>
        <w:tabs>
          <w:tab w:val="num" w:pos="284"/>
        </w:tabs>
        <w:rPr>
          <w:vanish w:val="0"/>
        </w:rPr>
      </w:pPr>
      <w:r w:rsidRPr="0074694D">
        <w:rPr>
          <w:rtl/>
        </w:rPr>
        <w:t>וכן המגבן את הגבינה הרי זה תולדת בונה, ואינו חייב עד שיגבן כגרוגרת, המכניס יד הקרדום בתוך העין שלו הרי זה תולדת בונה וכן כל כיוצא בו, וכן התוקע עץ בעץ בין שתקע במסמר בין שתקע בעץ עצמו עד שנתאחד הרי זה תולדת בונה וחייב.</w:t>
      </w:r>
    </w:p>
    <w:p w14:paraId="177C6EC0" w14:textId="77777777" w:rsidR="00376F67" w:rsidRDefault="00376F67" w:rsidP="00376F67">
      <w:pPr>
        <w:pStyle w:val="afffff7"/>
        <w:rPr>
          <w:rtl/>
        </w:rPr>
      </w:pPr>
      <w:bookmarkStart w:id="4630" w:name="_Toc143767910"/>
      <w:bookmarkStart w:id="4631" w:name="_Toc163506098"/>
      <w:r>
        <w:rPr>
          <w:rtl/>
        </w:rPr>
        <w:t>רמב"ם שבת פ"ז ה"ו</w:t>
      </w:r>
      <w:bookmarkEnd w:id="4630"/>
      <w:bookmarkEnd w:id="4631"/>
    </w:p>
    <w:p w14:paraId="1BB16E41" w14:textId="77777777" w:rsidR="00376F67" w:rsidRDefault="00376F67" w:rsidP="00376F67">
      <w:pPr>
        <w:pStyle w:val="a7"/>
        <w:rPr>
          <w:rtl/>
        </w:rPr>
      </w:pPr>
      <w:bookmarkStart w:id="4632" w:name="_Toc143767787"/>
      <w:bookmarkStart w:id="4633" w:name="_Toc143770608"/>
      <w:r>
        <w:rPr>
          <w:rFonts w:hint="cs"/>
          <w:rtl/>
        </w:rPr>
        <w:t>בי' הרמב"ם דהמגבן דמי לבנין כיון שמקבץ חלקים חלק לחלק ומדביקם עד שהם גוף אחד</w:t>
      </w:r>
      <w:bookmarkEnd w:id="4632"/>
      <w:bookmarkEnd w:id="4633"/>
    </w:p>
    <w:p w14:paraId="00DF776D" w14:textId="0560E8AC" w:rsidR="00376F67" w:rsidRPr="004D5793" w:rsidRDefault="00376F67" w:rsidP="00BC7DC8">
      <w:pPr>
        <w:pStyle w:val="a3"/>
        <w:rPr>
          <w:rtl/>
        </w:rPr>
      </w:pPr>
      <w:bookmarkStart w:id="4634" w:name="_Ref140826369"/>
      <w:r>
        <w:rPr>
          <w:rFonts w:hint="cs"/>
          <w:rtl/>
        </w:rPr>
        <w:t xml:space="preserve">וביאר </w:t>
      </w:r>
      <w:r w:rsidRPr="001A2014">
        <w:rPr>
          <w:rStyle w:val="aff4"/>
          <w:rFonts w:hint="cs"/>
          <w:vanish/>
          <w:rtl/>
        </w:rPr>
        <w:t>-</w:t>
      </w:r>
      <w:r w:rsidRPr="001A2014">
        <w:rPr>
          <w:rStyle w:val="aff4"/>
          <w:rFonts w:hint="cs"/>
          <w:rtl/>
        </w:rPr>
        <w:t>ה</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Ref140826369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כח)</w:t>
      </w:r>
      <w:r w:rsidRPr="00FF7D8F">
        <w:rPr>
          <w:rStyle w:val="aff4"/>
          <w:vanish/>
          <w:rtl/>
        </w:rPr>
        <w:fldChar w:fldCharType="end"/>
      </w:r>
      <w:r w:rsidRPr="00FF7D8F">
        <w:rPr>
          <w:rStyle w:val="aff4"/>
          <w:rFonts w:hint="cs"/>
          <w:vanish/>
          <w:rtl/>
        </w:rPr>
        <w:t xml:space="preserve"> &gt;</w:t>
      </w:r>
      <w:r w:rsidRPr="001A2014">
        <w:rPr>
          <w:rStyle w:val="aff4"/>
          <w:rFonts w:hint="cs"/>
          <w:rtl/>
        </w:rPr>
        <w:t>רמב"ם</w:t>
      </w:r>
      <w:r w:rsidRPr="001A2014">
        <w:rPr>
          <w:rStyle w:val="aff4"/>
          <w:rFonts w:hint="cs"/>
          <w:vanish/>
          <w:rtl/>
        </w:rPr>
        <w:t>-</w:t>
      </w:r>
      <w:r w:rsidRPr="00186C8F">
        <w:rPr>
          <w:rFonts w:hint="cs"/>
          <w:rtl/>
        </w:rPr>
        <w:t xml:space="preserve"> </w:t>
      </w:r>
      <w:r w:rsidRPr="00DB1D3B">
        <w:rPr>
          <w:rStyle w:val="af2"/>
          <w:rFonts w:eastAsia="Guttman Hodes" w:hint="cs"/>
          <w:rtl/>
        </w:rPr>
        <w:t>(שבת פ"ז ה"ו)</w:t>
      </w:r>
      <w:r w:rsidRPr="001A2014">
        <w:rPr>
          <w:rFonts w:hint="cs"/>
          <w:vanish/>
          <w:rtl/>
        </w:rPr>
        <w:t>=</w:t>
      </w:r>
      <w:r w:rsidRPr="00186C8F">
        <w:rPr>
          <w:rFonts w:hint="cs"/>
          <w:rtl/>
        </w:rPr>
        <w:t xml:space="preserve"> ד</w:t>
      </w:r>
      <w:r>
        <w:rPr>
          <w:rFonts w:hint="cs"/>
          <w:rtl/>
        </w:rPr>
        <w:t>הא דה</w:t>
      </w:r>
      <w:r w:rsidRPr="00186C8F">
        <w:rPr>
          <w:rFonts w:hint="cs"/>
          <w:rtl/>
        </w:rPr>
        <w:t>עושה גבינה חייב משום בונה</w:t>
      </w:r>
      <w:r>
        <w:rPr>
          <w:rFonts w:hint="cs"/>
          <w:rtl/>
        </w:rPr>
        <w:t>,</w:t>
      </w:r>
      <w:r w:rsidRPr="00186C8F">
        <w:rPr>
          <w:rFonts w:hint="cs"/>
          <w:rtl/>
        </w:rPr>
        <w:t xml:space="preserve"> </w:t>
      </w:r>
      <w:r>
        <w:rPr>
          <w:rFonts w:hint="cs"/>
          <w:rtl/>
        </w:rPr>
        <w:t xml:space="preserve">הוא </w:t>
      </w:r>
      <w:r w:rsidRPr="00186C8F">
        <w:rPr>
          <w:rFonts w:hint="cs"/>
          <w:rtl/>
        </w:rPr>
        <w:t>כיון דכל קיבוץ חלקים שמקבץ חלק לח</w:t>
      </w:r>
      <w:r>
        <w:rPr>
          <w:rFonts w:hint="cs"/>
          <w:rtl/>
        </w:rPr>
        <w:t>ל</w:t>
      </w:r>
      <w:r w:rsidRPr="00186C8F">
        <w:rPr>
          <w:rFonts w:hint="cs"/>
          <w:rtl/>
        </w:rPr>
        <w:t>ק ומדביק את כולם עד שנעשו לגוף אחד, הוא דומה לבנין</w:t>
      </w:r>
      <w:r>
        <w:rPr>
          <w:rFonts w:hint="cs"/>
          <w:rtl/>
        </w:rPr>
        <w:t xml:space="preserve">, והוסיף </w:t>
      </w:r>
      <w:r w:rsidRPr="001A2014">
        <w:rPr>
          <w:rStyle w:val="aff4"/>
          <w:rFonts w:hint="cs"/>
          <w:vanish/>
          <w:rtl/>
        </w:rPr>
        <w:t>-</w:t>
      </w:r>
      <w:r w:rsidRPr="001A2014">
        <w:rPr>
          <w:rStyle w:val="aff4"/>
          <w:rFonts w:hint="cs"/>
          <w:rtl/>
        </w:rPr>
        <w:t>הרמב"ם</w:t>
      </w:r>
      <w:r w:rsidRPr="001A2014">
        <w:rPr>
          <w:rStyle w:val="aff4"/>
          <w:rFonts w:hint="cs"/>
          <w:vanish/>
          <w:rtl/>
        </w:rPr>
        <w:t>-</w:t>
      </w:r>
      <w:r>
        <w:rPr>
          <w:rFonts w:hint="cs"/>
          <w:rtl/>
        </w:rPr>
        <w:t xml:space="preserve"> דכן בכל מלאכה יש תולדה, ומגוף המלאכה תדע מהו אב ומהו תולדה של האב</w:t>
      </w:r>
      <w:r w:rsidRPr="00186C8F">
        <w:rPr>
          <w:rFonts w:hint="cs"/>
          <w:rtl/>
        </w:rPr>
        <w:t>.</w:t>
      </w:r>
      <w:bookmarkEnd w:id="4634"/>
    </w:p>
    <w:p w14:paraId="17F552D6" w14:textId="77777777" w:rsidR="00376F67" w:rsidRPr="0074694D" w:rsidRDefault="00376F67" w:rsidP="00376F67">
      <w:pPr>
        <w:pStyle w:val="a2"/>
        <w:tabs>
          <w:tab w:val="num" w:pos="284"/>
        </w:tabs>
        <w:rPr>
          <w:vanish w:val="0"/>
          <w:rtl/>
        </w:rPr>
      </w:pPr>
      <w:r w:rsidRPr="0074694D">
        <w:rPr>
          <w:rtl/>
        </w:rPr>
        <w:t>וכן הלוקח חלב ונתן בו קיבה כדי לחבצו הרי זה חייב משום תולדת בורר שהרי הפריש הקום מן החלב, ואם גבנו ועשהו גבינה חייב משום בונה, שכל המקבץ חלק אל חלק ודבק הכל עד שיעשו גוף אחד הרי זה דומה לבנין, וכן לכל מלאכה ומלאכה מאלו האבות יש להן תולדות על דרך זו שאמרנו, ומגוף המלאכה הנעשית בשבת תדע מעין איזה אב היא ותולדת איזה אב היא.</w:t>
      </w:r>
    </w:p>
    <w:p w14:paraId="3977A519" w14:textId="77777777" w:rsidR="00376F67" w:rsidRDefault="00376F67" w:rsidP="00376F67">
      <w:pPr>
        <w:pStyle w:val="afffff7"/>
        <w:rPr>
          <w:rtl/>
        </w:rPr>
      </w:pPr>
      <w:bookmarkStart w:id="4635" w:name="_Toc143767911"/>
      <w:bookmarkStart w:id="4636" w:name="_Toc163506099"/>
      <w:r>
        <w:rPr>
          <w:rtl/>
        </w:rPr>
        <w:t>פני יהושע סוכה ט"ז ע"ב</w:t>
      </w:r>
      <w:r>
        <w:rPr>
          <w:rFonts w:hint="cs"/>
          <w:rtl/>
        </w:rPr>
        <w:t xml:space="preserve"> על תוד"ה פרסו</w:t>
      </w:r>
      <w:bookmarkEnd w:id="4635"/>
      <w:bookmarkEnd w:id="4636"/>
    </w:p>
    <w:p w14:paraId="3E058EC1" w14:textId="77777777" w:rsidR="00376F67" w:rsidRDefault="00376F67" w:rsidP="00376F67">
      <w:pPr>
        <w:pStyle w:val="a7"/>
        <w:rPr>
          <w:rtl/>
        </w:rPr>
      </w:pPr>
      <w:bookmarkStart w:id="4637" w:name="_Toc143767788"/>
      <w:bookmarkStart w:id="4638" w:name="_Toc143770609"/>
      <w:r>
        <w:rPr>
          <w:rFonts w:hint="cs"/>
          <w:rtl/>
        </w:rPr>
        <w:t>בי' הפנ"י דמדלא תנן אב דאוהל מבו' דהוי תולדה ואוהל ארעי ומלמעלה ובנין קבוע</w:t>
      </w:r>
      <w:r w:rsidRPr="006035B0">
        <w:rPr>
          <w:rFonts w:hint="cs"/>
          <w:rtl/>
        </w:rPr>
        <w:t xml:space="preserve"> </w:t>
      </w:r>
      <w:r>
        <w:rPr>
          <w:rFonts w:hint="cs"/>
          <w:rtl/>
        </w:rPr>
        <w:t>ומחיצה</w:t>
      </w:r>
      <w:bookmarkEnd w:id="4637"/>
      <w:bookmarkEnd w:id="4638"/>
    </w:p>
    <w:p w14:paraId="76425C06" w14:textId="0988972A" w:rsidR="00376F67" w:rsidRPr="00EE26A6" w:rsidRDefault="00376F67" w:rsidP="00BC7DC8">
      <w:pPr>
        <w:pStyle w:val="a3"/>
        <w:rPr>
          <w:rtl/>
        </w:rPr>
      </w:pPr>
      <w:bookmarkStart w:id="4639" w:name="_Ref143159344"/>
      <w:r>
        <w:rPr>
          <w:rFonts w:hint="cs"/>
          <w:rtl/>
        </w:rPr>
        <w:t xml:space="preserve">כתב </w:t>
      </w:r>
      <w:r w:rsidRPr="001A2014">
        <w:rPr>
          <w:rStyle w:val="aff4"/>
          <w:rFonts w:hint="cs"/>
          <w:vanish/>
          <w:rtl/>
        </w:rPr>
        <w:t>-</w:t>
      </w:r>
      <w:r w:rsidRPr="001A2014">
        <w:rPr>
          <w:rStyle w:val="aff4"/>
          <w:rFonts w:hint="cs"/>
          <w:rtl/>
        </w:rPr>
        <w:t>ה</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Ref143159344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כט)</w:t>
      </w:r>
      <w:r w:rsidRPr="00FF7D8F">
        <w:rPr>
          <w:rStyle w:val="aff4"/>
          <w:vanish/>
          <w:rtl/>
        </w:rPr>
        <w:fldChar w:fldCharType="end"/>
      </w:r>
      <w:r w:rsidRPr="00FF7D8F">
        <w:rPr>
          <w:rStyle w:val="aff4"/>
          <w:rFonts w:hint="cs"/>
          <w:vanish/>
          <w:rtl/>
        </w:rPr>
        <w:t xml:space="preserve"> &gt;</w:t>
      </w:r>
      <w:r w:rsidRPr="001A2014">
        <w:rPr>
          <w:rStyle w:val="aff4"/>
          <w:rFonts w:hint="cs"/>
          <w:rtl/>
        </w:rPr>
        <w:t>פנ"י בסוכה</w:t>
      </w:r>
      <w:r w:rsidRPr="001A2014">
        <w:rPr>
          <w:rStyle w:val="aff4"/>
          <w:rFonts w:hint="cs"/>
          <w:vanish/>
          <w:rtl/>
        </w:rPr>
        <w:t>-</w:t>
      </w:r>
      <w:r>
        <w:rPr>
          <w:rFonts w:hint="cs"/>
          <w:rtl/>
        </w:rPr>
        <w:t xml:space="preserve"> </w:t>
      </w:r>
      <w:r w:rsidRPr="00DB1D3B">
        <w:rPr>
          <w:rStyle w:val="af2"/>
          <w:rFonts w:eastAsia="Guttman Hodes" w:hint="cs"/>
          <w:rtl/>
        </w:rPr>
        <w:t>(טז: על תוד"ה פרסו)</w:t>
      </w:r>
      <w:r w:rsidRPr="001A2014">
        <w:rPr>
          <w:rFonts w:hint="cs"/>
          <w:vanish/>
          <w:rtl/>
        </w:rPr>
        <w:t>=</w:t>
      </w:r>
      <w:r>
        <w:rPr>
          <w:rFonts w:hint="cs"/>
          <w:rtl/>
        </w:rPr>
        <w:t xml:space="preserve"> דמהא דלא תנן אב מלאכה דעשיית אוהל, מוכח דהוא תולדת בונה, והחילוק בין בונה לאוהל, דבונה הוא בדבר קבוע לימים רבים דבזה שייך לשון בנין, ואילו אוהל הוא בנין עראי כלפי הבנין הקבוע, והוסיף </w:t>
      </w:r>
      <w:r w:rsidRPr="00275FF7">
        <w:rPr>
          <w:rStyle w:val="aff4"/>
          <w:rFonts w:hint="cs"/>
          <w:vanish/>
          <w:rtl/>
        </w:rPr>
        <w:t>-</w:t>
      </w:r>
      <w:r w:rsidRPr="00275FF7">
        <w:rPr>
          <w:rStyle w:val="aff4"/>
          <w:rFonts w:hint="cs"/>
          <w:rtl/>
        </w:rPr>
        <w:t>הפנ"י</w:t>
      </w:r>
      <w:r w:rsidRPr="00275FF7">
        <w:rPr>
          <w:rStyle w:val="aff4"/>
          <w:rFonts w:hint="cs"/>
          <w:vanish/>
          <w:rtl/>
        </w:rPr>
        <w:t>-</w:t>
      </w:r>
      <w:r>
        <w:rPr>
          <w:rFonts w:hint="cs"/>
          <w:rtl/>
        </w:rPr>
        <w:t xml:space="preserve"> דיש עוד חילוק דעיקר עשיית אוהל הוא מלמעלה דהוא מאהיל על האדם, אבל בנין עיקרו הוא בניית מחיצה.</w:t>
      </w:r>
      <w:bookmarkEnd w:id="4639"/>
    </w:p>
    <w:p w14:paraId="6AD1512E" w14:textId="77777777" w:rsidR="00376F67" w:rsidRPr="0074694D" w:rsidRDefault="00376F67" w:rsidP="00376F67">
      <w:pPr>
        <w:pStyle w:val="a2"/>
        <w:tabs>
          <w:tab w:val="num" w:pos="284"/>
        </w:tabs>
        <w:rPr>
          <w:vanish w:val="0"/>
          <w:rtl/>
        </w:rPr>
      </w:pPr>
      <w:r w:rsidRPr="0074694D">
        <w:rPr>
          <w:rtl/>
        </w:rPr>
        <w:t>דהא אוהל גופא לא אשכחן לה דהוה מלאכה בפ"ע דהא לא חשיב לה בל"ט מלאכות, וע"כ דתולדה דבונה הוא וא"כ איסור בנין לעולם חמור מאיסור אוהל לכך נראה דעיקר כוונת רש"י במה שכתב בכמה דוכתי דמחיצה בלא גג לאו אוהל הוא היינו משום דעיקר החילוק שבין בנין לאוהל היינו דלשון בנין שייך בבנין קבוע שמתקיים לימים רבים, משא"כ אוהל לגבי בנין הוי בנין עראי, אלא דאפ"ה חייב משום תולדה דבונה כיון שדרך אוהל בכך ועוד יש חילוק אחר ביניהם דלשון אוהל היינו מלמעלה שמאהיל על האדם ועיקר עשייתו לכך משא"כ בנין שעיקר בנין היינו במחיצות.</w:t>
      </w:r>
    </w:p>
    <w:p w14:paraId="7B244D6A" w14:textId="77777777" w:rsidR="00376F67" w:rsidRDefault="00376F67" w:rsidP="00376F67">
      <w:pPr>
        <w:pStyle w:val="affff5"/>
        <w:rPr>
          <w:rtl/>
        </w:rPr>
      </w:pPr>
      <w:bookmarkStart w:id="4640" w:name="_Toc143767789"/>
      <w:bookmarkStart w:id="4641" w:name="_Toc143770610"/>
      <w:r>
        <w:rPr>
          <w:rFonts w:hint="cs"/>
          <w:rtl/>
        </w:rPr>
        <w:t>אי עשיית כלי הוי יצירה או קיבוץ חלקים</w:t>
      </w:r>
      <w:bookmarkEnd w:id="4640"/>
      <w:bookmarkEnd w:id="4641"/>
      <w:r w:rsidRPr="0001175D">
        <w:rPr>
          <w:vanish/>
          <w:rtl/>
        </w:rPr>
        <w:t>&lt; # =</w:t>
      </w:r>
    </w:p>
    <w:p w14:paraId="3ABAD784" w14:textId="77777777" w:rsidR="00376F67" w:rsidRPr="004335FF" w:rsidRDefault="00376F67" w:rsidP="00376F67">
      <w:pPr>
        <w:pStyle w:val="1"/>
        <w:rPr>
          <w:rtl/>
        </w:rPr>
      </w:pPr>
      <w:bookmarkStart w:id="4642" w:name="_Toc143767790"/>
      <w:bookmarkStart w:id="4643" w:name="_Toc143770611"/>
      <w:r>
        <w:rPr>
          <w:rFonts w:hint="cs"/>
          <w:rtl/>
        </w:rPr>
        <w:t>בי' הפנ"י ברש"י ותוס' דעושה כלי מחדש וא"צ מלאכה הוי בונה</w:t>
      </w:r>
      <w:bookmarkEnd w:id="4642"/>
      <w:bookmarkEnd w:id="4643"/>
    </w:p>
    <w:p w14:paraId="2CEAAE1C" w14:textId="77777777" w:rsidR="00376F67" w:rsidRDefault="00376F67" w:rsidP="00376F67">
      <w:pPr>
        <w:pStyle w:val="afffff7"/>
        <w:rPr>
          <w:rtl/>
        </w:rPr>
      </w:pPr>
      <w:bookmarkStart w:id="4644" w:name="_Toc143767912"/>
      <w:bookmarkStart w:id="4645" w:name="_Toc163506100"/>
      <w:r>
        <w:rPr>
          <w:rtl/>
        </w:rPr>
        <w:t>רש"י שבת ע"ד ע"ב</w:t>
      </w:r>
      <w:bookmarkEnd w:id="4644"/>
      <w:r>
        <w:rPr>
          <w:rFonts w:hint="cs"/>
          <w:rtl/>
        </w:rPr>
        <w:t xml:space="preserve"> ד"ה ואי</w:t>
      </w:r>
      <w:bookmarkEnd w:id="4645"/>
    </w:p>
    <w:p w14:paraId="422622C4" w14:textId="77777777" w:rsidR="00376F67" w:rsidRDefault="00376F67" w:rsidP="00376F67">
      <w:pPr>
        <w:pStyle w:val="afffff7"/>
        <w:rPr>
          <w:rtl/>
        </w:rPr>
      </w:pPr>
      <w:bookmarkStart w:id="4646" w:name="_Toc143767913"/>
      <w:bookmarkStart w:id="4647" w:name="_Toc163506101"/>
      <w:r>
        <w:rPr>
          <w:rtl/>
        </w:rPr>
        <w:t>תוספות שבת ע"ד ע"ב</w:t>
      </w:r>
      <w:r>
        <w:rPr>
          <w:rFonts w:hint="cs"/>
          <w:rtl/>
        </w:rPr>
        <w:t xml:space="preserve"> ד"ה חביתא</w:t>
      </w:r>
      <w:bookmarkEnd w:id="4646"/>
      <w:bookmarkEnd w:id="4647"/>
    </w:p>
    <w:p w14:paraId="4C1094B1" w14:textId="77777777" w:rsidR="00376F67" w:rsidRDefault="00376F67" w:rsidP="00376F67">
      <w:pPr>
        <w:pStyle w:val="afffff7"/>
        <w:rPr>
          <w:rtl/>
        </w:rPr>
      </w:pPr>
      <w:bookmarkStart w:id="4648" w:name="_Toc143767914"/>
      <w:bookmarkStart w:id="4649" w:name="_Toc163506102"/>
      <w:r>
        <w:rPr>
          <w:rtl/>
        </w:rPr>
        <w:t>תוספות שבת ק"ב ע"ב</w:t>
      </w:r>
      <w:r>
        <w:rPr>
          <w:rFonts w:hint="cs"/>
          <w:rtl/>
        </w:rPr>
        <w:t xml:space="preserve"> ד"ה האי</w:t>
      </w:r>
      <w:bookmarkEnd w:id="4648"/>
      <w:bookmarkEnd w:id="4649"/>
    </w:p>
    <w:p w14:paraId="33251BD3" w14:textId="77777777" w:rsidR="00376F67" w:rsidRDefault="00376F67" w:rsidP="00376F67">
      <w:pPr>
        <w:pStyle w:val="a7"/>
        <w:rPr>
          <w:rtl/>
        </w:rPr>
      </w:pPr>
      <w:bookmarkStart w:id="4650" w:name="_Toc143767791"/>
      <w:bookmarkStart w:id="4651" w:name="_Toc143770612"/>
      <w:r>
        <w:rPr>
          <w:rFonts w:hint="cs"/>
          <w:rtl/>
        </w:rPr>
        <w:t>בי' רש"י דבחביתא אין בונה דאין בנין בכלים ובי' תוס' והראשונים דעושה כלי מחדשה הוי בונה</w:t>
      </w:r>
      <w:bookmarkEnd w:id="4650"/>
      <w:bookmarkEnd w:id="4651"/>
    </w:p>
    <w:p w14:paraId="31A9391B" w14:textId="2BC73FA9" w:rsidR="00376F67" w:rsidRPr="00876130" w:rsidRDefault="00376F67" w:rsidP="00BC7DC8">
      <w:pPr>
        <w:pStyle w:val="a3"/>
        <w:rPr>
          <w:rtl/>
        </w:rPr>
      </w:pPr>
      <w:bookmarkStart w:id="4652" w:name="_Ref143421195"/>
      <w:bookmarkStart w:id="4653" w:name="_Ref143613784"/>
      <w:bookmarkStart w:id="4654" w:name="_Ref143615763"/>
      <w:bookmarkStart w:id="4655" w:name="_Ref143421447"/>
      <w:r>
        <w:rPr>
          <w:rFonts w:hint="cs"/>
          <w:rtl/>
        </w:rPr>
        <w:t xml:space="preserve">בהא דאיתא בגמ' לעיל </w:t>
      </w:r>
      <w:r w:rsidRPr="00DB1D3B">
        <w:rPr>
          <w:rStyle w:val="af2"/>
          <w:rFonts w:eastAsia="Guttman Hodes" w:hint="cs"/>
          <w:rtl/>
        </w:rPr>
        <w:t>(עד:)</w:t>
      </w:r>
      <w:r>
        <w:rPr>
          <w:rFonts w:hint="cs"/>
          <w:rtl/>
        </w:rPr>
        <w:t xml:space="preserve"> דהעושה חביתא ותנורא וחלתא חייב, כתב </w:t>
      </w:r>
      <w:r w:rsidRPr="00FF7D8F">
        <w:rPr>
          <w:rFonts w:hint="cs"/>
          <w:vanish/>
          <w:rtl/>
        </w:rPr>
        <w:t xml:space="preserve">&lt;, </w:t>
      </w:r>
      <w:r w:rsidRPr="00FF7D8F">
        <w:rPr>
          <w:vanish/>
          <w:rtl/>
        </w:rPr>
        <w:fldChar w:fldCharType="begin"/>
      </w:r>
      <w:r w:rsidRPr="00FF7D8F">
        <w:rPr>
          <w:vanish/>
          <w:rtl/>
        </w:rPr>
        <w:instrText xml:space="preserve"> </w:instrText>
      </w:r>
      <w:r w:rsidRPr="00FF7D8F">
        <w:rPr>
          <w:rFonts w:hint="cs"/>
          <w:vanish/>
        </w:rPr>
        <w:instrText>REF</w:instrText>
      </w:r>
      <w:r w:rsidRPr="00FF7D8F">
        <w:rPr>
          <w:rFonts w:hint="cs"/>
          <w:vanish/>
          <w:rtl/>
        </w:rPr>
        <w:instrText xml:space="preserve"> _</w:instrText>
      </w:r>
      <w:r w:rsidRPr="00FF7D8F">
        <w:rPr>
          <w:rFonts w:hint="cs"/>
          <w:vanish/>
        </w:rPr>
        <w:instrText>Ref143421195 \r \h</w:instrText>
      </w:r>
      <w:r w:rsidRPr="00FF7D8F">
        <w:rPr>
          <w:vanish/>
          <w:rtl/>
        </w:rPr>
        <w:instrText xml:space="preserve"> </w:instrText>
      </w:r>
      <w:r w:rsidRPr="00FF7D8F">
        <w:rPr>
          <w:vanish/>
          <w:rtl/>
        </w:rPr>
      </w:r>
      <w:r w:rsidRPr="00FF7D8F">
        <w:rPr>
          <w:vanish/>
          <w:rtl/>
        </w:rPr>
        <w:fldChar w:fldCharType="separate"/>
      </w:r>
      <w:r w:rsidR="00D82181">
        <w:rPr>
          <w:vanish/>
          <w:cs/>
        </w:rPr>
        <w:t>‎</w:t>
      </w:r>
      <w:r w:rsidR="00D82181">
        <w:rPr>
          <w:vanish/>
          <w:rtl/>
        </w:rPr>
        <w:t>ל)</w:t>
      </w:r>
      <w:r w:rsidRPr="00FF7D8F">
        <w:rPr>
          <w:vanish/>
          <w:rtl/>
        </w:rPr>
        <w:fldChar w:fldCharType="end"/>
      </w:r>
      <w:r w:rsidRPr="00FF7D8F">
        <w:rPr>
          <w:rFonts w:hint="cs"/>
          <w:vanish/>
          <w:rtl/>
        </w:rPr>
        <w:t xml:space="preserve"> &gt;</w:t>
      </w:r>
      <w:r w:rsidRPr="00B90D00">
        <w:rPr>
          <w:rStyle w:val="aff4"/>
          <w:rFonts w:hint="cs"/>
          <w:vanish/>
          <w:rtl/>
        </w:rPr>
        <w:t>-</w:t>
      </w:r>
      <w:r w:rsidRPr="00C56FA9">
        <w:rPr>
          <w:rStyle w:val="aff4"/>
          <w:rFonts w:hint="cs"/>
          <w:rtl/>
        </w:rPr>
        <w:t>רש"י לעיל</w:t>
      </w:r>
      <w:r w:rsidRPr="00B90D00">
        <w:rPr>
          <w:rStyle w:val="aff4"/>
          <w:rFonts w:hint="cs"/>
          <w:vanish/>
          <w:rtl/>
        </w:rPr>
        <w:t>-</w:t>
      </w:r>
      <w:r>
        <w:rPr>
          <w:rFonts w:hint="cs"/>
          <w:rtl/>
        </w:rPr>
        <w:t xml:space="preserve"> </w:t>
      </w:r>
      <w:r w:rsidRPr="00DB1D3B">
        <w:rPr>
          <w:rStyle w:val="af2"/>
          <w:rFonts w:eastAsia="Guttman Hodes" w:hint="cs"/>
          <w:rtl/>
        </w:rPr>
        <w:t>(עד: ד"ה ואי)</w:t>
      </w:r>
      <w:r w:rsidRPr="00B90D00">
        <w:rPr>
          <w:rFonts w:hint="cs"/>
          <w:vanish/>
          <w:rtl/>
        </w:rPr>
        <w:t>=</w:t>
      </w:r>
      <w:r>
        <w:rPr>
          <w:rFonts w:hint="cs"/>
          <w:rtl/>
        </w:rPr>
        <w:t xml:space="preserve"> דאין בזה חיוב בונה כיון דאין בנין בכלים, ודחו </w:t>
      </w:r>
      <w:r w:rsidRPr="00B90D00">
        <w:rPr>
          <w:rStyle w:val="aff4"/>
          <w:rFonts w:hint="cs"/>
          <w:vanish/>
          <w:rtl/>
        </w:rPr>
        <w:t>-</w:t>
      </w:r>
      <w:r w:rsidRPr="00C56FA9">
        <w:rPr>
          <w:rStyle w:val="aff4"/>
          <w:rFonts w:hint="cs"/>
          <w:rtl/>
        </w:rPr>
        <w:t>ה</w:t>
      </w:r>
      <w:r w:rsidRPr="00FF7D8F">
        <w:rPr>
          <w:rStyle w:val="aff4"/>
          <w:rFonts w:hint="cs"/>
          <w:vanish/>
          <w:rtl/>
        </w:rPr>
        <w:t>&lt; &gt;</w:t>
      </w:r>
      <w:r w:rsidRPr="00C56FA9">
        <w:rPr>
          <w:rStyle w:val="aff4"/>
          <w:rFonts w:hint="cs"/>
          <w:rtl/>
        </w:rPr>
        <w:t>תוס' לעיל</w:t>
      </w:r>
      <w:r w:rsidRPr="00B90D00">
        <w:rPr>
          <w:rStyle w:val="aff4"/>
          <w:rFonts w:hint="cs"/>
          <w:vanish/>
          <w:rtl/>
        </w:rPr>
        <w:t>-</w:t>
      </w:r>
      <w:r>
        <w:rPr>
          <w:rFonts w:hint="cs"/>
          <w:rtl/>
        </w:rPr>
        <w:t xml:space="preserve"> </w:t>
      </w:r>
      <w:r w:rsidRPr="00DB1D3B">
        <w:rPr>
          <w:rStyle w:val="af2"/>
          <w:rFonts w:eastAsia="Guttman Hodes" w:hint="cs"/>
          <w:rtl/>
        </w:rPr>
        <w:t>(עד: ד"ה חביתא)</w:t>
      </w:r>
      <w:r w:rsidRPr="00B90D00">
        <w:rPr>
          <w:rFonts w:hint="cs"/>
          <w:vanish/>
          <w:rtl/>
        </w:rPr>
        <w:t>=</w:t>
      </w:r>
      <w:r>
        <w:rPr>
          <w:rFonts w:hint="cs"/>
          <w:rtl/>
        </w:rPr>
        <w:t xml:space="preserve"> דהא דאין בנין בכלים הוא רק במחזיר מטה ומנורה של חוליות, אבל בעושה את כל הכלי חייב משום בונה, </w:t>
      </w:r>
      <w:bookmarkEnd w:id="4652"/>
      <w:r>
        <w:rPr>
          <w:rFonts w:hint="cs"/>
          <w:rtl/>
        </w:rPr>
        <w:t xml:space="preserve">כדאיתא בסוגיין דהמחבר יד לקרדום הוי בונה, וכן ביאר </w:t>
      </w:r>
      <w:r w:rsidRPr="001B1FAC">
        <w:rPr>
          <w:rStyle w:val="aff4"/>
          <w:rFonts w:hint="cs"/>
          <w:vanish/>
          <w:rtl/>
        </w:rPr>
        <w:t>-</w:t>
      </w:r>
      <w:r w:rsidRPr="00DB1D3B">
        <w:rPr>
          <w:rStyle w:val="aff4"/>
          <w:rFonts w:hint="cs"/>
          <w:rtl/>
        </w:rPr>
        <w:t>המ"מ</w:t>
      </w:r>
      <w:r w:rsidRPr="001B1FAC">
        <w:rPr>
          <w:rStyle w:val="aff4"/>
          <w:rFonts w:hint="cs"/>
          <w:vanish/>
          <w:rtl/>
        </w:rPr>
        <w:t>-</w:t>
      </w:r>
      <w:r>
        <w:rPr>
          <w:rFonts w:hint="cs"/>
          <w:rtl/>
        </w:rPr>
        <w:t xml:space="preserve"> </w:t>
      </w:r>
      <w:r w:rsidRPr="00DB1D3B">
        <w:rPr>
          <w:rStyle w:val="af2"/>
          <w:rFonts w:eastAsia="Guttman Hodes" w:hint="cs"/>
          <w:rtl/>
        </w:rPr>
        <w:t xml:space="preserve">(עי' אות </w:t>
      </w:r>
      <w:r w:rsidRPr="00DB1D3B">
        <w:rPr>
          <w:rStyle w:val="af2"/>
          <w:rFonts w:eastAsia="Guttman Hodes"/>
          <w:rtl/>
        </w:rPr>
        <w:fldChar w:fldCharType="begin"/>
      </w:r>
      <w:r w:rsidRPr="00DB1D3B">
        <w:rPr>
          <w:rStyle w:val="af2"/>
          <w:rFonts w:eastAsia="Guttman Hodes"/>
          <w:rtl/>
        </w:rPr>
        <w:instrText xml:space="preserve"> </w:instrText>
      </w:r>
      <w:r w:rsidRPr="00DB1D3B">
        <w:rPr>
          <w:rStyle w:val="af2"/>
          <w:rFonts w:eastAsia="Guttman Hodes" w:hint="cs"/>
        </w:rPr>
        <w:instrText>REF</w:instrText>
      </w:r>
      <w:r w:rsidRPr="00DB1D3B">
        <w:rPr>
          <w:rStyle w:val="af2"/>
          <w:rFonts w:eastAsia="Guttman Hodes" w:hint="cs"/>
          <w:rtl/>
        </w:rPr>
        <w:instrText xml:space="preserve"> _</w:instrText>
      </w:r>
      <w:r w:rsidRPr="00DB1D3B">
        <w:rPr>
          <w:rStyle w:val="af2"/>
          <w:rFonts w:eastAsia="Guttman Hodes" w:hint="cs"/>
        </w:rPr>
        <w:instrText>Ref143549459 \r \h</w:instrText>
      </w:r>
      <w:r w:rsidRPr="00DB1D3B">
        <w:rPr>
          <w:rStyle w:val="af2"/>
          <w:rFonts w:eastAsia="Guttman Hodes"/>
          <w:rtl/>
        </w:rPr>
        <w:instrText xml:space="preserve"> </w:instrText>
      </w:r>
      <w:r w:rsidRPr="00DB1D3B">
        <w:rPr>
          <w:rStyle w:val="af2"/>
          <w:rFonts w:eastAsia="Guttman Hodes"/>
          <w:rtl/>
        </w:rPr>
      </w:r>
      <w:r w:rsidRPr="00DB1D3B">
        <w:rPr>
          <w:rStyle w:val="af2"/>
          <w:rFonts w:eastAsia="Guttman Hodes"/>
          <w:rtl/>
        </w:rPr>
        <w:fldChar w:fldCharType="separate"/>
      </w:r>
      <w:r w:rsidR="00D82181">
        <w:rPr>
          <w:rStyle w:val="af2"/>
          <w:rFonts w:eastAsia="Guttman Hodes"/>
          <w:cs/>
        </w:rPr>
        <w:t>‎</w:t>
      </w:r>
      <w:r w:rsidR="00D82181">
        <w:rPr>
          <w:rStyle w:val="af2"/>
          <w:rFonts w:eastAsia="Guttman Hodes"/>
          <w:rtl/>
        </w:rPr>
        <w:t>כה)</w:t>
      </w:r>
      <w:r w:rsidRPr="00DB1D3B">
        <w:rPr>
          <w:rStyle w:val="af2"/>
          <w:rFonts w:eastAsia="Guttman Hodes"/>
          <w:rtl/>
        </w:rPr>
        <w:fldChar w:fldCharType="end"/>
      </w:r>
      <w:r>
        <w:rPr>
          <w:rFonts w:hint="cs"/>
          <w:rtl/>
        </w:rPr>
        <w:t xml:space="preserve"> בדעת </w:t>
      </w:r>
      <w:r w:rsidRPr="001B1FAC">
        <w:rPr>
          <w:rStyle w:val="aff4"/>
          <w:rFonts w:hint="cs"/>
          <w:vanish/>
          <w:rtl/>
        </w:rPr>
        <w:t>-</w:t>
      </w:r>
      <w:r w:rsidRPr="00DB1D3B">
        <w:rPr>
          <w:rStyle w:val="aff4"/>
          <w:rFonts w:hint="cs"/>
          <w:rtl/>
        </w:rPr>
        <w:t>הרמב"ם</w:t>
      </w:r>
      <w:r w:rsidRPr="001B1FAC">
        <w:rPr>
          <w:rStyle w:val="aff4"/>
          <w:rFonts w:hint="cs"/>
          <w:vanish/>
          <w:rtl/>
        </w:rPr>
        <w:t>-</w:t>
      </w:r>
      <w:r>
        <w:rPr>
          <w:rFonts w:hint="cs"/>
          <w:rtl/>
        </w:rPr>
        <w:t xml:space="preserve">, וכ"כ </w:t>
      </w:r>
      <w:r w:rsidRPr="00EF4E3F">
        <w:rPr>
          <w:rStyle w:val="aff4"/>
          <w:rFonts w:hint="cs"/>
          <w:vanish/>
          <w:rtl/>
        </w:rPr>
        <w:t>-</w:t>
      </w:r>
      <w:r w:rsidRPr="00013089">
        <w:rPr>
          <w:rStyle w:val="aff4"/>
          <w:rFonts w:hint="cs"/>
          <w:rtl/>
        </w:rPr>
        <w:t>ה</w:t>
      </w:r>
      <w:r w:rsidRPr="00FF7D8F">
        <w:rPr>
          <w:rStyle w:val="aff4"/>
          <w:rFonts w:hint="cs"/>
          <w:vanish/>
          <w:rtl/>
        </w:rPr>
        <w:t>&lt; &gt;</w:t>
      </w:r>
      <w:r w:rsidRPr="00013089">
        <w:rPr>
          <w:rStyle w:val="aff4"/>
          <w:rFonts w:hint="cs"/>
          <w:rtl/>
        </w:rPr>
        <w:t>תוס' בסוגיין</w:t>
      </w:r>
      <w:r w:rsidRPr="00EF4E3F">
        <w:rPr>
          <w:rStyle w:val="aff4"/>
          <w:rFonts w:hint="cs"/>
          <w:vanish/>
          <w:rtl/>
        </w:rPr>
        <w:t>-</w:t>
      </w:r>
      <w:r>
        <w:rPr>
          <w:rFonts w:hint="cs"/>
          <w:rtl/>
        </w:rPr>
        <w:t xml:space="preserve"> </w:t>
      </w:r>
      <w:r w:rsidRPr="00DB1D3B">
        <w:rPr>
          <w:rStyle w:val="af2"/>
          <w:rFonts w:eastAsia="Guttman Hodes" w:hint="cs"/>
          <w:rtl/>
        </w:rPr>
        <w:t>(ד"ה האי)</w:t>
      </w:r>
      <w:r w:rsidRPr="00EF4E3F">
        <w:rPr>
          <w:rFonts w:hint="cs"/>
          <w:vanish/>
          <w:rtl/>
        </w:rPr>
        <w:t>=</w:t>
      </w:r>
      <w:r>
        <w:rPr>
          <w:rFonts w:hint="cs"/>
          <w:rtl/>
        </w:rPr>
        <w:t xml:space="preserve"> דבבנין גמור חייב אף בכלים כמו בקרקע, כמבואר בגמ' לעיל </w:t>
      </w:r>
      <w:r w:rsidRPr="00DB1D3B">
        <w:rPr>
          <w:rStyle w:val="af2"/>
          <w:rFonts w:eastAsia="Guttman Hodes" w:hint="cs"/>
          <w:rtl/>
        </w:rPr>
        <w:t>(מז.)</w:t>
      </w:r>
      <w:r>
        <w:rPr>
          <w:rFonts w:hint="cs"/>
          <w:rtl/>
        </w:rPr>
        <w:t xml:space="preserve"> דהתוקע מיטה של טרסיים או קני מנורה חייב, דבזה אין חילוק בין קרקע לכלים, ורק במקום שאין בו חיזוק ואומנות אמרינן דרק בקרקע יש בנין ולא </w:t>
      </w:r>
      <w:r w:rsidRPr="00876130">
        <w:rPr>
          <w:rFonts w:hint="cs"/>
          <w:rtl/>
        </w:rPr>
        <w:t>בכלים</w:t>
      </w:r>
      <w:r>
        <w:rPr>
          <w:rFonts w:hint="cs"/>
          <w:rtl/>
        </w:rPr>
        <w:t xml:space="preserve">, </w:t>
      </w:r>
      <w:r w:rsidRPr="00876130">
        <w:rPr>
          <w:rFonts w:hint="cs"/>
          <w:rtl/>
        </w:rPr>
        <w:t xml:space="preserve">וכ"כ </w:t>
      </w:r>
      <w:r w:rsidRPr="001B1FAC">
        <w:rPr>
          <w:rStyle w:val="aff4"/>
          <w:rFonts w:hint="cs"/>
          <w:vanish/>
          <w:rtl/>
        </w:rPr>
        <w:t>-</w:t>
      </w:r>
      <w:r w:rsidRPr="00DB1D3B">
        <w:rPr>
          <w:rStyle w:val="aff4"/>
          <w:rFonts w:hint="cs"/>
          <w:rtl/>
        </w:rPr>
        <w:t>ה</w:t>
      </w:r>
      <w:r w:rsidRPr="00FF7D8F">
        <w:rPr>
          <w:rStyle w:val="aff4"/>
          <w:rFonts w:hint="cs"/>
          <w:vanish/>
          <w:rtl/>
        </w:rPr>
        <w:t>&lt; &gt;</w:t>
      </w:r>
      <w:r w:rsidRPr="00DB1D3B">
        <w:rPr>
          <w:rStyle w:val="aff4"/>
          <w:rFonts w:hint="cs"/>
          <w:rtl/>
        </w:rPr>
        <w:t>רמב"ן</w:t>
      </w:r>
      <w:r w:rsidRPr="001B1FAC">
        <w:rPr>
          <w:rStyle w:val="aff4"/>
          <w:rFonts w:hint="cs"/>
          <w:vanish/>
          <w:rtl/>
        </w:rPr>
        <w:t>-</w:t>
      </w:r>
      <w:r w:rsidRPr="00876130">
        <w:rPr>
          <w:rFonts w:hint="cs"/>
          <w:rtl/>
        </w:rPr>
        <w:t xml:space="preserve"> </w:t>
      </w:r>
      <w:r w:rsidRPr="00DB1D3B">
        <w:rPr>
          <w:rStyle w:val="af2"/>
          <w:rFonts w:eastAsia="Guttman Rashi" w:hint="cs"/>
          <w:rtl/>
        </w:rPr>
        <w:t>(ד"ה רב)</w:t>
      </w:r>
      <w:r w:rsidRPr="001B1FAC">
        <w:rPr>
          <w:rFonts w:hint="cs"/>
          <w:vanish/>
          <w:rtl/>
        </w:rPr>
        <w:t>=</w:t>
      </w:r>
      <w:r w:rsidRPr="00876130">
        <w:rPr>
          <w:rFonts w:hint="cs"/>
          <w:rtl/>
        </w:rPr>
        <w:t xml:space="preserve"> </w:t>
      </w:r>
      <w:r w:rsidRPr="001B1FAC">
        <w:rPr>
          <w:rStyle w:val="aff4"/>
          <w:rFonts w:hint="cs"/>
          <w:vanish/>
          <w:rtl/>
        </w:rPr>
        <w:t>-</w:t>
      </w:r>
      <w:r w:rsidRPr="00DB1D3B">
        <w:rPr>
          <w:rStyle w:val="aff4"/>
          <w:rFonts w:hint="cs"/>
          <w:rtl/>
        </w:rPr>
        <w:t>וה</w:t>
      </w:r>
      <w:r w:rsidRPr="00FF7D8F">
        <w:rPr>
          <w:rStyle w:val="aff4"/>
          <w:rFonts w:hint="cs"/>
          <w:vanish/>
          <w:rtl/>
        </w:rPr>
        <w:t>&lt; &gt;</w:t>
      </w:r>
      <w:r w:rsidRPr="00DB1D3B">
        <w:rPr>
          <w:rStyle w:val="aff4"/>
          <w:rFonts w:hint="cs"/>
          <w:rtl/>
        </w:rPr>
        <w:t>רשב"א</w:t>
      </w:r>
      <w:r w:rsidRPr="001B1FAC">
        <w:rPr>
          <w:rStyle w:val="aff4"/>
          <w:rFonts w:hint="cs"/>
          <w:vanish/>
          <w:rtl/>
        </w:rPr>
        <w:t>-</w:t>
      </w:r>
      <w:r w:rsidRPr="00876130">
        <w:rPr>
          <w:rFonts w:hint="cs"/>
          <w:rtl/>
        </w:rPr>
        <w:t xml:space="preserve"> </w:t>
      </w:r>
      <w:r w:rsidRPr="00DB1D3B">
        <w:rPr>
          <w:rStyle w:val="af2"/>
          <w:rFonts w:eastAsia="Guttman Rashi" w:hint="cs"/>
          <w:rtl/>
        </w:rPr>
        <w:t>(ד"ה האי)</w:t>
      </w:r>
      <w:r w:rsidRPr="001B1FAC">
        <w:rPr>
          <w:rFonts w:hint="cs"/>
          <w:vanish/>
          <w:rtl/>
        </w:rPr>
        <w:t>=</w:t>
      </w:r>
      <w:bookmarkEnd w:id="4653"/>
      <w:r>
        <w:rPr>
          <w:rFonts w:hint="cs"/>
          <w:rtl/>
        </w:rPr>
        <w:t>.</w:t>
      </w:r>
      <w:bookmarkEnd w:id="4654"/>
      <w:r>
        <w:rPr>
          <w:rFonts w:hint="cs"/>
          <w:rtl/>
        </w:rPr>
        <w:t xml:space="preserve"> </w:t>
      </w:r>
      <w:bookmarkEnd w:id="4655"/>
    </w:p>
    <w:p w14:paraId="44009747" w14:textId="77777777" w:rsidR="00376F67" w:rsidRPr="0074694D" w:rsidRDefault="00376F67" w:rsidP="00376F67">
      <w:pPr>
        <w:pStyle w:val="a2"/>
        <w:tabs>
          <w:tab w:val="num" w:pos="284"/>
        </w:tabs>
        <w:rPr>
          <w:vanish w:val="0"/>
        </w:rPr>
      </w:pPr>
      <w:r w:rsidRPr="0074694D">
        <w:rPr>
          <w:rtl/>
        </w:rPr>
        <w:t>ואי חייטיה לפומיה - לעשות לה שפה הוסיף כאן תופר וקושר, שצריך לקשור לאחר התפירה, ומשום בונה ליכא לחיוביה לא בחבית ולא בתנור ולא בכוורת, דאין בנין בכלים</w:t>
      </w:r>
      <w:r w:rsidRPr="0074694D">
        <w:rPr>
          <w:rFonts w:hint="cs"/>
          <w:rtl/>
        </w:rPr>
        <w:t>.</w:t>
      </w:r>
    </w:p>
    <w:p w14:paraId="65B849CB" w14:textId="77777777" w:rsidR="00376F67" w:rsidRPr="00954231" w:rsidRDefault="00376F67" w:rsidP="00376F67">
      <w:pPr>
        <w:pStyle w:val="afffff5"/>
        <w:rPr>
          <w:vanish w:val="0"/>
          <w:rtl/>
        </w:rPr>
      </w:pPr>
      <w:r w:rsidRPr="00954231">
        <w:rPr>
          <w:rtl/>
        </w:rPr>
        <w:t>חביתא ותנורא וחלתא - פי' רש"י דמשום בונה לא מיחייב דאין בנין בכלים ואין נראה דדוקא במחזיר מטה ומנורה של חוליות אמרי' דאין בנין בכלים אבל כשעושה לגמרי כל הכלי מיחייב משום בונה דאמרינן בריש הבונה (לקמן דף קב:) האי מאן דעייל שופתא בקופינא דמרא חייב משום בונה.</w:t>
      </w:r>
    </w:p>
    <w:p w14:paraId="69F3EA21" w14:textId="77777777" w:rsidR="00376F67" w:rsidRPr="00954231" w:rsidRDefault="00376F67" w:rsidP="00376F67">
      <w:pPr>
        <w:pStyle w:val="afffff5"/>
        <w:rPr>
          <w:vanish w:val="0"/>
          <w:rtl/>
        </w:rPr>
      </w:pPr>
      <w:r w:rsidRPr="00954231">
        <w:rPr>
          <w:rtl/>
        </w:rPr>
        <w:t>האי מאן דעייל שופתא בקופינא רב אמר חייב משום בונה - ואף על גב דקי"ל אין בנין בכלים אור"י דהיינו דווקא בהחזרת בתי תריסין או במנורה של חוליות אבל בנין גמור מיחייב בכלים כמו בקרקע כדאמרי' בס"פ כירה (לעיל דף מז.) גבי מטה של טרסיים אם תקע חייב חטאת ומחזיר קני מנורה חייב חטאת וקרן עגולה ואין חילוק בין כלים לקרקע אלא במקום שאין חיזוק ואומנות דבכלי לא חשיב בנין ובקרקע חשיב בנין</w:t>
      </w:r>
      <w:r w:rsidRPr="00954231">
        <w:rPr>
          <w:rFonts w:hint="cs"/>
          <w:rtl/>
        </w:rPr>
        <w:t>.</w:t>
      </w:r>
    </w:p>
    <w:p w14:paraId="4D69D7B8" w14:textId="77777777" w:rsidR="00376F67" w:rsidRDefault="00376F67" w:rsidP="00376F67">
      <w:pPr>
        <w:pStyle w:val="afffffb"/>
        <w:rPr>
          <w:rtl/>
        </w:rPr>
      </w:pPr>
      <w:r>
        <w:rPr>
          <w:rtl/>
        </w:rPr>
        <w:t>תוספות שבת ע"ד ע"ב</w:t>
      </w:r>
      <w:r>
        <w:rPr>
          <w:rFonts w:hint="cs"/>
          <w:rtl/>
        </w:rPr>
        <w:t xml:space="preserve"> ד"ה חביתא</w:t>
      </w:r>
    </w:p>
    <w:p w14:paraId="70857E9D" w14:textId="77777777" w:rsidR="00376F67" w:rsidRDefault="00376F67" w:rsidP="00376F67">
      <w:pPr>
        <w:pStyle w:val="afffff7"/>
        <w:rPr>
          <w:rtl/>
        </w:rPr>
      </w:pPr>
      <w:bookmarkStart w:id="4656" w:name="_Toc143767915"/>
      <w:bookmarkStart w:id="4657" w:name="_Toc163506103"/>
      <w:r>
        <w:rPr>
          <w:rtl/>
        </w:rPr>
        <w:t>מרומי שדה שבת נ"ז ע"א</w:t>
      </w:r>
      <w:r>
        <w:rPr>
          <w:rFonts w:hint="cs"/>
          <w:rtl/>
        </w:rPr>
        <w:t xml:space="preserve"> ד"ה במשנה</w:t>
      </w:r>
      <w:bookmarkEnd w:id="4656"/>
      <w:bookmarkEnd w:id="4657"/>
    </w:p>
    <w:p w14:paraId="4C5745E5" w14:textId="77777777" w:rsidR="00376F67" w:rsidRDefault="00376F67" w:rsidP="00376F67">
      <w:pPr>
        <w:pStyle w:val="afffff7"/>
        <w:rPr>
          <w:rtl/>
        </w:rPr>
      </w:pPr>
      <w:bookmarkStart w:id="4658" w:name="_Toc143767916"/>
      <w:bookmarkStart w:id="4659" w:name="_Toc163506104"/>
      <w:r>
        <w:rPr>
          <w:rtl/>
        </w:rPr>
        <w:t>קרבן העדה שבת פ"ז ה</w:t>
      </w:r>
      <w:r>
        <w:rPr>
          <w:rFonts w:hint="cs"/>
          <w:rtl/>
        </w:rPr>
        <w:t>"</w:t>
      </w:r>
      <w:r>
        <w:rPr>
          <w:rtl/>
        </w:rPr>
        <w:t>ב</w:t>
      </w:r>
      <w:r>
        <w:rPr>
          <w:rFonts w:hint="cs"/>
          <w:rtl/>
        </w:rPr>
        <w:t xml:space="preserve"> ד"ה הנופח</w:t>
      </w:r>
      <w:bookmarkEnd w:id="4658"/>
      <w:bookmarkEnd w:id="4659"/>
    </w:p>
    <w:p w14:paraId="4B213B95" w14:textId="77777777" w:rsidR="00376F67" w:rsidRDefault="00376F67" w:rsidP="00376F67">
      <w:pPr>
        <w:pStyle w:val="a7"/>
        <w:rPr>
          <w:rtl/>
        </w:rPr>
      </w:pPr>
      <w:bookmarkStart w:id="4660" w:name="_Toc143767792"/>
      <w:bookmarkStart w:id="4661" w:name="_Toc143770613"/>
      <w:r>
        <w:rPr>
          <w:rFonts w:hint="cs"/>
          <w:rtl/>
        </w:rPr>
        <w:t>קו' התוס' דאמאי הנופח כלי זכוכית ל"ה בונה ובי' הנצי"ב דהירושלמי פליג וס"ל דהוי בונה</w:t>
      </w:r>
      <w:bookmarkEnd w:id="4660"/>
      <w:bookmarkEnd w:id="4661"/>
    </w:p>
    <w:p w14:paraId="54F7915A" w14:textId="42E792AF" w:rsidR="00376F67" w:rsidRPr="00C577D6" w:rsidRDefault="00376F67" w:rsidP="00BC7DC8">
      <w:pPr>
        <w:pStyle w:val="a3"/>
        <w:rPr>
          <w:rtl/>
        </w:rPr>
      </w:pPr>
      <w:bookmarkStart w:id="4662" w:name="_Ref143549634"/>
      <w:r>
        <w:rPr>
          <w:rFonts w:hint="cs"/>
          <w:rtl/>
        </w:rPr>
        <w:t xml:space="preserve">אך הקשו </w:t>
      </w:r>
      <w:r w:rsidRPr="001A2014">
        <w:rPr>
          <w:rStyle w:val="aff4"/>
          <w:rFonts w:hint="cs"/>
          <w:vanish/>
          <w:rtl/>
        </w:rPr>
        <w:t>-</w:t>
      </w:r>
      <w:r w:rsidRPr="001A2014">
        <w:rPr>
          <w:rStyle w:val="aff4"/>
          <w:rFonts w:hint="cs"/>
          <w:rtl/>
        </w:rPr>
        <w:t>התוס'</w:t>
      </w:r>
      <w:r w:rsidRPr="00C56FA9">
        <w:rPr>
          <w:rStyle w:val="aff4"/>
          <w:rFonts w:hint="cs"/>
          <w:rtl/>
        </w:rPr>
        <w:t xml:space="preserve"> לעיל</w:t>
      </w:r>
      <w:r w:rsidRPr="00B90D00">
        <w:rPr>
          <w:rStyle w:val="aff4"/>
          <w:rFonts w:hint="cs"/>
          <w:vanish/>
          <w:rtl/>
        </w:rPr>
        <w:t>-</w:t>
      </w:r>
      <w:r>
        <w:rPr>
          <w:rFonts w:hint="cs"/>
          <w:rtl/>
        </w:rPr>
        <w:t xml:space="preserve"> דאיתא בגמ' לעיל </w:t>
      </w:r>
      <w:r w:rsidRPr="00DB1D3B">
        <w:rPr>
          <w:rStyle w:val="af2"/>
          <w:rFonts w:eastAsia="Guttman Hodes" w:hint="cs"/>
          <w:rtl/>
        </w:rPr>
        <w:t>(עה:)</w:t>
      </w:r>
      <w:r>
        <w:rPr>
          <w:rFonts w:hint="cs"/>
          <w:rtl/>
        </w:rPr>
        <w:t xml:space="preserve"> דהמנפח כלי זכוכית חייב משום מכה בפטיש, ומשמע דאין בזה חיוב בונה, הביא </w:t>
      </w:r>
      <w:r w:rsidRPr="001B1FAC">
        <w:rPr>
          <w:rStyle w:val="aff4"/>
          <w:rFonts w:hint="cs"/>
          <w:vanish/>
          <w:rtl/>
        </w:rPr>
        <w:t>-</w:t>
      </w:r>
      <w:r w:rsidRPr="00DB1D3B">
        <w:rPr>
          <w:rStyle w:val="aff4"/>
          <w:rFonts w:hint="cs"/>
          <w:rtl/>
        </w:rPr>
        <w:t>ה</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Ref143549634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לא)</w:t>
      </w:r>
      <w:r w:rsidRPr="00FF7D8F">
        <w:rPr>
          <w:rStyle w:val="aff4"/>
          <w:vanish/>
          <w:rtl/>
        </w:rPr>
        <w:fldChar w:fldCharType="end"/>
      </w:r>
      <w:r w:rsidRPr="00FF7D8F">
        <w:rPr>
          <w:rStyle w:val="aff4"/>
          <w:rFonts w:hint="cs"/>
          <w:vanish/>
          <w:rtl/>
        </w:rPr>
        <w:t xml:space="preserve"> &gt;</w:t>
      </w:r>
      <w:r w:rsidRPr="00DB1D3B">
        <w:rPr>
          <w:rStyle w:val="aff4"/>
          <w:rFonts w:hint="cs"/>
          <w:rtl/>
        </w:rPr>
        <w:t>נצי"ב</w:t>
      </w:r>
      <w:r w:rsidRPr="001B1FAC">
        <w:rPr>
          <w:rStyle w:val="aff4"/>
          <w:rFonts w:hint="cs"/>
          <w:vanish/>
          <w:rtl/>
        </w:rPr>
        <w:t>-</w:t>
      </w:r>
      <w:r>
        <w:rPr>
          <w:rFonts w:hint="cs"/>
          <w:rtl/>
        </w:rPr>
        <w:t xml:space="preserve"> </w:t>
      </w:r>
      <w:r w:rsidRPr="00DB1D3B">
        <w:rPr>
          <w:rStyle w:val="af2"/>
          <w:rFonts w:eastAsia="Guttman Hodes" w:hint="cs"/>
          <w:rtl/>
        </w:rPr>
        <w:t>(נז. ד"ה במשנה)</w:t>
      </w:r>
      <w:r w:rsidRPr="001B1FAC">
        <w:rPr>
          <w:rFonts w:hint="cs"/>
          <w:vanish/>
          <w:rtl/>
        </w:rPr>
        <w:t>=</w:t>
      </w:r>
      <w:r>
        <w:rPr>
          <w:rFonts w:hint="cs"/>
          <w:rtl/>
        </w:rPr>
        <w:t xml:space="preserve"> דבאמת בירושלמי </w:t>
      </w:r>
      <w:r w:rsidRPr="00DB1D3B">
        <w:rPr>
          <w:rStyle w:val="af2"/>
          <w:rFonts w:eastAsia="Guttman Hodes"/>
          <w:rtl/>
        </w:rPr>
        <w:t>(פ"ז ה"ב, נב:, מהדו' עוז והדר סד</w:t>
      </w:r>
      <w:r w:rsidRPr="00DB1D3B">
        <w:rPr>
          <w:rStyle w:val="af2"/>
          <w:rFonts w:eastAsia="Guttman Hodes" w:hint="cs"/>
          <w:rtl/>
        </w:rPr>
        <w:t>:</w:t>
      </w:r>
      <w:r w:rsidRPr="00DB1D3B">
        <w:rPr>
          <w:rStyle w:val="af2"/>
          <w:rFonts w:eastAsia="Guttman Hodes"/>
          <w:rtl/>
        </w:rPr>
        <w:t>)</w:t>
      </w:r>
      <w:r w:rsidRPr="00BB34F5">
        <w:rPr>
          <w:rtl/>
        </w:rPr>
        <w:t xml:space="preserve"> </w:t>
      </w:r>
      <w:r>
        <w:rPr>
          <w:rFonts w:hint="cs"/>
          <w:rtl/>
        </w:rPr>
        <w:t xml:space="preserve">איתא דחייב משום בונה ודלא כבבלי, וביאר </w:t>
      </w:r>
      <w:r w:rsidRPr="001B1FAC">
        <w:rPr>
          <w:rStyle w:val="aff4"/>
          <w:rFonts w:hint="cs"/>
          <w:vanish/>
          <w:rtl/>
        </w:rPr>
        <w:t>-</w:t>
      </w:r>
      <w:r w:rsidRPr="00DB1D3B">
        <w:rPr>
          <w:rStyle w:val="aff4"/>
          <w:rFonts w:hint="cs"/>
          <w:rtl/>
        </w:rPr>
        <w:t>ה</w:t>
      </w:r>
      <w:r w:rsidRPr="00FF7D8F">
        <w:rPr>
          <w:rStyle w:val="aff4"/>
          <w:rFonts w:hint="cs"/>
          <w:vanish/>
          <w:rtl/>
        </w:rPr>
        <w:t>&lt; &gt;</w:t>
      </w:r>
      <w:r w:rsidRPr="00DB1D3B">
        <w:rPr>
          <w:rStyle w:val="aff4"/>
          <w:rFonts w:hint="cs"/>
          <w:rtl/>
        </w:rPr>
        <w:t>קרבן העדה</w:t>
      </w:r>
      <w:r w:rsidRPr="001B1FAC">
        <w:rPr>
          <w:rStyle w:val="aff4"/>
          <w:rFonts w:hint="cs"/>
          <w:vanish/>
          <w:rtl/>
        </w:rPr>
        <w:t>-</w:t>
      </w:r>
      <w:r>
        <w:rPr>
          <w:rFonts w:hint="cs"/>
          <w:rtl/>
        </w:rPr>
        <w:t xml:space="preserve"> </w:t>
      </w:r>
      <w:r w:rsidRPr="00DB1D3B">
        <w:rPr>
          <w:rStyle w:val="af2"/>
          <w:rFonts w:eastAsia="Guttman Hodes" w:hint="cs"/>
          <w:rtl/>
        </w:rPr>
        <w:t>(פ"ז ה"ב, נב: ד"ה הנופח)</w:t>
      </w:r>
      <w:r w:rsidRPr="001B1FAC">
        <w:rPr>
          <w:rFonts w:hint="cs"/>
          <w:vanish/>
          <w:rtl/>
        </w:rPr>
        <w:t>=</w:t>
      </w:r>
      <w:r>
        <w:rPr>
          <w:rFonts w:hint="cs"/>
          <w:rtl/>
        </w:rPr>
        <w:t xml:space="preserve"> דהחיוב הוא בתחילת עשיית הכלי דעיקר הווית הכלי היא ע"י שנופח, ועי' במה שביאר בזה </w:t>
      </w:r>
      <w:r w:rsidRPr="001B1FAC">
        <w:rPr>
          <w:rStyle w:val="aff4"/>
          <w:rFonts w:hint="cs"/>
          <w:vanish/>
          <w:rtl/>
        </w:rPr>
        <w:t>-</w:t>
      </w:r>
      <w:r w:rsidRPr="00DB1D3B">
        <w:rPr>
          <w:rStyle w:val="aff4"/>
          <w:rFonts w:hint="cs"/>
          <w:rtl/>
        </w:rPr>
        <w:t>ה</w:t>
      </w:r>
      <w:r w:rsidRPr="00FF7D8F">
        <w:rPr>
          <w:rStyle w:val="aff4"/>
          <w:rFonts w:hint="cs"/>
          <w:vanish/>
          <w:rtl/>
        </w:rPr>
        <w:t>&lt; &gt;</w:t>
      </w:r>
      <w:r w:rsidRPr="00DB1D3B">
        <w:rPr>
          <w:rStyle w:val="aff4"/>
          <w:rFonts w:hint="cs"/>
          <w:rtl/>
        </w:rPr>
        <w:t>אבן האזל</w:t>
      </w:r>
      <w:r w:rsidRPr="001B1FAC">
        <w:rPr>
          <w:rStyle w:val="aff4"/>
          <w:rFonts w:hint="cs"/>
          <w:vanish/>
          <w:rtl/>
        </w:rPr>
        <w:t>-</w:t>
      </w:r>
      <w:r>
        <w:rPr>
          <w:rFonts w:hint="cs"/>
          <w:rtl/>
        </w:rPr>
        <w:t xml:space="preserve"> </w:t>
      </w:r>
      <w:r w:rsidRPr="00DB1D3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Ref143614581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עז)</w:t>
      </w:r>
      <w:r>
        <w:rPr>
          <w:rStyle w:val="af2"/>
          <w:rFonts w:eastAsia="Guttman Hodes"/>
          <w:rtl/>
        </w:rPr>
        <w:fldChar w:fldCharType="end"/>
      </w:r>
      <w:r>
        <w:rPr>
          <w:rFonts w:hint="cs"/>
          <w:rtl/>
        </w:rPr>
        <w:t xml:space="preserve"> בדעת </w:t>
      </w:r>
      <w:r w:rsidRPr="001B1FAC">
        <w:rPr>
          <w:rStyle w:val="aff4"/>
          <w:rFonts w:hint="cs"/>
          <w:vanish/>
          <w:rtl/>
        </w:rPr>
        <w:t>-</w:t>
      </w:r>
      <w:r w:rsidRPr="00DB1D3B">
        <w:rPr>
          <w:rStyle w:val="aff4"/>
          <w:rFonts w:hint="cs"/>
          <w:rtl/>
        </w:rPr>
        <w:t>הרמב"ם</w:t>
      </w:r>
      <w:r w:rsidRPr="001B1FAC">
        <w:rPr>
          <w:rStyle w:val="aff4"/>
          <w:rFonts w:hint="cs"/>
          <w:vanish/>
          <w:rtl/>
        </w:rPr>
        <w:t>-</w:t>
      </w:r>
      <w:r w:rsidRPr="001B1FAC">
        <w:rPr>
          <w:rFonts w:hint="cs"/>
          <w:vanish/>
          <w:rtl/>
        </w:rPr>
        <w:t>=</w:t>
      </w:r>
      <w:r>
        <w:rPr>
          <w:rFonts w:hint="cs"/>
          <w:rtl/>
        </w:rPr>
        <w:t>.</w:t>
      </w:r>
      <w:bookmarkEnd w:id="4662"/>
      <w:r>
        <w:rPr>
          <w:rFonts w:hint="cs"/>
          <w:rtl/>
        </w:rPr>
        <w:t xml:space="preserve"> </w:t>
      </w:r>
    </w:p>
    <w:p w14:paraId="38901BD0" w14:textId="77777777" w:rsidR="00376F67" w:rsidRPr="0074694D" w:rsidRDefault="00376F67" w:rsidP="00376F67">
      <w:pPr>
        <w:pStyle w:val="a2"/>
        <w:tabs>
          <w:tab w:val="num" w:pos="284"/>
        </w:tabs>
        <w:rPr>
          <w:vanish w:val="0"/>
          <w:rtl/>
        </w:rPr>
      </w:pPr>
      <w:r w:rsidRPr="0074694D">
        <w:rPr>
          <w:rtl/>
        </w:rPr>
        <w:t>חביתא ותנורא וחלתא - פי' רש"י דמשום בונה לא מיחייב דאין בנין בכלים ואין נראה דדוקא במחזיר מטה ומנורה של חוליות אמרי' דאין בנין בכלים אבל כשעושה לגמרי כל הכלי מיחייב משום בונה דאמרינן בריש הבונה (לקמן דף קב:) האי מאן דעייל שופתא בקופינא דמרא חייב משום בונה וצ"ע דלא ליקשי ממנפח בכלי זכוכית דסוף פרקין.</w:t>
      </w:r>
    </w:p>
    <w:p w14:paraId="0B87C68B" w14:textId="77777777" w:rsidR="00376F67" w:rsidRPr="00954231" w:rsidRDefault="00376F67" w:rsidP="00376F67">
      <w:pPr>
        <w:pStyle w:val="afffff5"/>
        <w:rPr>
          <w:vanish w:val="0"/>
          <w:rtl/>
        </w:rPr>
      </w:pPr>
      <w:r w:rsidRPr="00954231">
        <w:rPr>
          <w:rtl/>
        </w:rPr>
        <w:lastRenderedPageBreak/>
        <w:t xml:space="preserve">והתוס' דף ע"ד ב' ד"ה חביתא כתבו דהעושה לגמרי כל הכלי מיחייב משום בונה כו'. ונשארו בצ"ע דלא ליקשי מהא דמנפח בכלי זכוכית. אבל בדף ק"ב ב' ד"ה האי כתבו שאינו חייב משום בונה, אלא במקום שיש חיזוק ואומנות. א"כ י"ל דמנפח בכלי זכוכית אין בו מעשה אומנות, ואין בו משום בונה. והנה הירושלמי בפ' כלל גדול ס"ל בשם רשב"ל, דהמנפח בכלי זכוכית, והגדל כלי צורה והיינו חותל של תמרים, חייב משום בונה. והשתא להירושלמי דקולע חותל של תמרים יש בו משום בונה, ומכ"מ מותר לסתור, וה"ה בקליעת שער. אבל לתלמוד שלנו דהמנפח בכלי זכוכית אין בו משום בונה, וה"ה הגדל כלי צורה. ולא אסור אלא משום מכה בפטיש, וזה לא שייך בסתירה. וא"כ אין ראיה לקליעת שער, דהא ע"כ לרבנן דומה לבונה: </w:t>
      </w:r>
    </w:p>
    <w:p w14:paraId="72D87D03" w14:textId="77777777" w:rsidR="00376F67" w:rsidRPr="00954231" w:rsidRDefault="00376F67" w:rsidP="00376F67">
      <w:pPr>
        <w:pStyle w:val="afffff5"/>
        <w:rPr>
          <w:vanish w:val="0"/>
          <w:rtl/>
        </w:rPr>
      </w:pPr>
      <w:r w:rsidRPr="00954231">
        <w:rPr>
          <w:rtl/>
        </w:rPr>
        <w:t xml:space="preserve">הנופח כלי זכוכית. ובנפיחה זו הם נעשים גדולים והיינו בתחלת עשיית כלי זכוכית שעיקר הוויתו ע"י הנפיחה: </w:t>
      </w:r>
    </w:p>
    <w:p w14:paraId="7640D6F8" w14:textId="77777777" w:rsidR="00376F67" w:rsidRDefault="00376F67" w:rsidP="00376F67">
      <w:pPr>
        <w:pStyle w:val="afffff7"/>
        <w:rPr>
          <w:rtl/>
        </w:rPr>
      </w:pPr>
      <w:bookmarkStart w:id="4663" w:name="_Toc143767917"/>
      <w:bookmarkStart w:id="4664" w:name="_Toc163506105"/>
      <w:r>
        <w:rPr>
          <w:rtl/>
        </w:rPr>
        <w:t>פני יהושע שבת ע"ד ע"ב</w:t>
      </w:r>
      <w:r w:rsidRPr="004D3031">
        <w:rPr>
          <w:rFonts w:hint="cs"/>
          <w:rtl/>
        </w:rPr>
        <w:t xml:space="preserve"> </w:t>
      </w:r>
      <w:r>
        <w:rPr>
          <w:rFonts w:hint="cs"/>
          <w:rtl/>
        </w:rPr>
        <w:t>על תוד"ה חביתא</w:t>
      </w:r>
      <w:bookmarkEnd w:id="4663"/>
      <w:bookmarkEnd w:id="4664"/>
    </w:p>
    <w:p w14:paraId="3083E41A" w14:textId="77777777" w:rsidR="00376F67" w:rsidRDefault="00376F67" w:rsidP="00376F67">
      <w:pPr>
        <w:pStyle w:val="a7"/>
        <w:rPr>
          <w:rtl/>
        </w:rPr>
      </w:pPr>
      <w:bookmarkStart w:id="4665" w:name="_Toc143767793"/>
      <w:bookmarkStart w:id="4666" w:name="_Toc143770614"/>
      <w:r>
        <w:rPr>
          <w:rFonts w:hint="cs"/>
          <w:rtl/>
        </w:rPr>
        <w:t>בי' הפנ"י דאף רש"י מודה דעושה כלי מחדש הוי בונה אך היינו דוקא כשנגמרה המלאכה בזה</w:t>
      </w:r>
      <w:bookmarkEnd w:id="4665"/>
      <w:bookmarkEnd w:id="4666"/>
    </w:p>
    <w:p w14:paraId="4ED28499" w14:textId="6B28E932" w:rsidR="00376F67" w:rsidRDefault="00376F67" w:rsidP="00BC7DC8">
      <w:pPr>
        <w:pStyle w:val="a3"/>
        <w:rPr>
          <w:rtl/>
        </w:rPr>
      </w:pPr>
      <w:bookmarkStart w:id="4667" w:name="_Ref143423627"/>
      <w:r>
        <w:rPr>
          <w:rFonts w:hint="cs"/>
          <w:rtl/>
        </w:rPr>
        <w:t xml:space="preserve">וכתב </w:t>
      </w:r>
      <w:r w:rsidRPr="00B90D00">
        <w:rPr>
          <w:rStyle w:val="aff4"/>
          <w:rFonts w:hint="cs"/>
          <w:vanish/>
          <w:rtl/>
        </w:rPr>
        <w:t>-</w:t>
      </w:r>
      <w:r w:rsidRPr="00C56FA9">
        <w:rPr>
          <w:rStyle w:val="aff4"/>
          <w:rFonts w:hint="cs"/>
          <w:rtl/>
        </w:rPr>
        <w:t>ה</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Ref143423627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לב)</w:t>
      </w:r>
      <w:r w:rsidRPr="00FF7D8F">
        <w:rPr>
          <w:rStyle w:val="aff4"/>
          <w:vanish/>
          <w:rtl/>
        </w:rPr>
        <w:fldChar w:fldCharType="end"/>
      </w:r>
      <w:r w:rsidRPr="00FF7D8F">
        <w:rPr>
          <w:rStyle w:val="aff4"/>
          <w:rFonts w:hint="cs"/>
          <w:vanish/>
          <w:rtl/>
        </w:rPr>
        <w:t xml:space="preserve"> &gt;</w:t>
      </w:r>
      <w:r w:rsidRPr="00C56FA9">
        <w:rPr>
          <w:rStyle w:val="aff4"/>
          <w:rFonts w:hint="cs"/>
          <w:rtl/>
        </w:rPr>
        <w:t>פנ"י לעיל</w:t>
      </w:r>
      <w:r w:rsidRPr="00B90D00">
        <w:rPr>
          <w:rStyle w:val="aff4"/>
          <w:rFonts w:hint="cs"/>
          <w:vanish/>
          <w:rtl/>
        </w:rPr>
        <w:t>-</w:t>
      </w:r>
      <w:r>
        <w:rPr>
          <w:rFonts w:hint="cs"/>
          <w:rtl/>
        </w:rPr>
        <w:t xml:space="preserve"> </w:t>
      </w:r>
      <w:r w:rsidRPr="00DB1D3B">
        <w:rPr>
          <w:rStyle w:val="af2"/>
          <w:rFonts w:eastAsia="Guttman Hodes" w:hint="cs"/>
          <w:rtl/>
        </w:rPr>
        <w:t>(עד: על תוד"ה חביתא)</w:t>
      </w:r>
      <w:r w:rsidRPr="00B90D00">
        <w:rPr>
          <w:rFonts w:hint="cs"/>
          <w:vanish/>
          <w:rtl/>
        </w:rPr>
        <w:t>=</w:t>
      </w:r>
      <w:r>
        <w:rPr>
          <w:rFonts w:hint="cs"/>
          <w:rtl/>
        </w:rPr>
        <w:t xml:space="preserve"> דנראה לומר דאף לדעת </w:t>
      </w:r>
      <w:r w:rsidRPr="00B90D00">
        <w:rPr>
          <w:rStyle w:val="aff4"/>
          <w:rFonts w:hint="cs"/>
          <w:vanish/>
          <w:rtl/>
        </w:rPr>
        <w:t>-</w:t>
      </w:r>
      <w:r w:rsidRPr="00C56FA9">
        <w:rPr>
          <w:rStyle w:val="aff4"/>
          <w:rFonts w:hint="cs"/>
          <w:rtl/>
        </w:rPr>
        <w:t>רש"י</w:t>
      </w:r>
      <w:r w:rsidRPr="00B90D00">
        <w:rPr>
          <w:rStyle w:val="aff4"/>
          <w:rFonts w:hint="cs"/>
          <w:vanish/>
          <w:rtl/>
        </w:rPr>
        <w:t>-</w:t>
      </w:r>
      <w:r>
        <w:rPr>
          <w:rFonts w:hint="cs"/>
          <w:rtl/>
        </w:rPr>
        <w:t xml:space="preserve"> יש חיוב בונה בעושה כלי גמור בשבת, ולא שייך לומר שיש אמורא דחולק בזה, דזה עיקר מלאכת המשכן, אלא דחיוב בונה הוא רק כלי שתחילת וגמר המלאכה נעשים כאחד</w:t>
      </w:r>
      <w:bookmarkStart w:id="4668" w:name="_Hlk143534209"/>
      <w:r>
        <w:rPr>
          <w:rFonts w:hint="cs"/>
          <w:rtl/>
        </w:rPr>
        <w:t xml:space="preserve">, כמעייל שופתא בקופינא דמרא, </w:t>
      </w:r>
      <w:bookmarkEnd w:id="4668"/>
      <w:r>
        <w:rPr>
          <w:rFonts w:hint="cs"/>
          <w:rtl/>
        </w:rPr>
        <w:t xml:space="preserve">אבל בתנורא וחביתא וחלתא שיש בהם עוד מלאכות, ועד שאינו גומר את כל המלאכה אינם ראויים כלל, לכן אין בהם חיוב בונה </w:t>
      </w:r>
      <w:r w:rsidRPr="00B90D00">
        <w:rPr>
          <w:rStyle w:val="aff4"/>
          <w:rFonts w:hint="cs"/>
          <w:vanish/>
          <w:rtl/>
        </w:rPr>
        <w:t>-</w:t>
      </w:r>
      <w:r w:rsidRPr="00C56FA9">
        <w:rPr>
          <w:rStyle w:val="aff4"/>
          <w:rFonts w:hint="cs"/>
          <w:rtl/>
        </w:rPr>
        <w:t>לרש"י</w:t>
      </w:r>
      <w:r w:rsidRPr="00B90D00">
        <w:rPr>
          <w:rStyle w:val="aff4"/>
          <w:rFonts w:hint="cs"/>
          <w:vanish/>
          <w:rtl/>
        </w:rPr>
        <w:t>-</w:t>
      </w:r>
      <w:r>
        <w:rPr>
          <w:rFonts w:hint="cs"/>
          <w:rtl/>
        </w:rPr>
        <w:t xml:space="preserve">, ודמו לארון ושולחן במשכן שיש בהם עוד מלאכות, וכתב </w:t>
      </w:r>
      <w:r w:rsidRPr="00B90D00">
        <w:rPr>
          <w:rStyle w:val="aff4"/>
          <w:rFonts w:hint="cs"/>
          <w:vanish/>
          <w:rtl/>
        </w:rPr>
        <w:t>-</w:t>
      </w:r>
      <w:r w:rsidRPr="00C56FA9">
        <w:rPr>
          <w:rStyle w:val="aff4"/>
          <w:rFonts w:hint="cs"/>
          <w:rtl/>
        </w:rPr>
        <w:t>הפנ"י</w:t>
      </w:r>
      <w:r w:rsidRPr="00B90D00">
        <w:rPr>
          <w:rStyle w:val="aff4"/>
          <w:rFonts w:hint="cs"/>
          <w:vanish/>
          <w:rtl/>
        </w:rPr>
        <w:t>-</w:t>
      </w:r>
      <w:r>
        <w:rPr>
          <w:rFonts w:hint="cs"/>
          <w:rtl/>
        </w:rPr>
        <w:t xml:space="preserve"> דלכן אמרינן בירושלמי </w:t>
      </w:r>
      <w:r w:rsidRPr="00DB1D3B">
        <w:rPr>
          <w:rStyle w:val="af2"/>
          <w:rFonts w:eastAsia="Guttman Hodes"/>
          <w:rtl/>
        </w:rPr>
        <w:t>(פ"ז ה"ב</w:t>
      </w:r>
      <w:r w:rsidRPr="00DB1D3B">
        <w:rPr>
          <w:rStyle w:val="af2"/>
          <w:rFonts w:eastAsia="Guttman Hodes" w:hint="cs"/>
          <w:rtl/>
        </w:rPr>
        <w:t>, נב:, מהדו' עוז והדר סד.</w:t>
      </w:r>
      <w:r w:rsidRPr="00DB1D3B">
        <w:rPr>
          <w:rStyle w:val="af2"/>
          <w:rFonts w:eastAsia="Guttman Hodes"/>
          <w:rtl/>
        </w:rPr>
        <w:t>)</w:t>
      </w:r>
      <w:r>
        <w:rPr>
          <w:rFonts w:hint="cs"/>
          <w:rtl/>
        </w:rPr>
        <w:t xml:space="preserve"> דהבנין במשכן הוא באדנים, ולא אמרינן דהבנין היה במזבח ובשולחן, ועי' במ"ש בזה </w:t>
      </w:r>
      <w:r w:rsidRPr="001B1FAC">
        <w:rPr>
          <w:rStyle w:val="aff4"/>
          <w:rFonts w:hint="cs"/>
          <w:vanish/>
          <w:rtl/>
        </w:rPr>
        <w:t>-</w:t>
      </w:r>
      <w:r w:rsidRPr="00DB1D3B">
        <w:rPr>
          <w:rStyle w:val="aff4"/>
          <w:rFonts w:hint="cs"/>
          <w:rtl/>
        </w:rPr>
        <w:t>האו"ש</w:t>
      </w:r>
      <w:r w:rsidRPr="001B1FAC">
        <w:rPr>
          <w:rStyle w:val="aff4"/>
          <w:rFonts w:hint="cs"/>
          <w:vanish/>
          <w:rtl/>
        </w:rPr>
        <w:t>-</w:t>
      </w:r>
      <w:r>
        <w:rPr>
          <w:rFonts w:hint="cs"/>
          <w:rtl/>
        </w:rPr>
        <w:t xml:space="preserve"> </w:t>
      </w:r>
      <w:r w:rsidRPr="00DB1D3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Ref143593506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לו)</w:t>
      </w:r>
      <w:r>
        <w:rPr>
          <w:rStyle w:val="af2"/>
          <w:rFonts w:eastAsia="Guttman Hodes"/>
          <w:rtl/>
        </w:rPr>
        <w:fldChar w:fldCharType="end"/>
      </w:r>
      <w:r>
        <w:rPr>
          <w:rFonts w:hint="cs"/>
          <w:rtl/>
        </w:rPr>
        <w:t>.</w:t>
      </w:r>
      <w:bookmarkEnd w:id="4667"/>
    </w:p>
    <w:p w14:paraId="7D35C289" w14:textId="77777777" w:rsidR="00376F67" w:rsidRPr="0074694D" w:rsidRDefault="00376F67" w:rsidP="00376F67">
      <w:pPr>
        <w:pStyle w:val="a2"/>
        <w:tabs>
          <w:tab w:val="num" w:pos="284"/>
        </w:tabs>
        <w:rPr>
          <w:vanish w:val="0"/>
          <w:rtl/>
        </w:rPr>
      </w:pPr>
      <w:r w:rsidRPr="0074694D">
        <w:rPr>
          <w:rtl/>
        </w:rPr>
        <w:t xml:space="preserve">בתוספות בד"ה חביתא ותנורא וחלתא פירש"י דמשום בונה לא מחייב וכו' ואין נראה דדוקא במחזיר וכו' עד סוף הדיבור. </w:t>
      </w:r>
      <w:r w:rsidRPr="0074694D">
        <w:rPr>
          <w:rStyle w:val="afff7"/>
          <w:rtl/>
        </w:rPr>
        <w:t>עמ"ש מורי זקיני ז"ל בזה ליישב שיטת רש"י ע"פ הסוגיא דר"פ הבונה [דף ק"ב ע"ב] בהאי דעייל שופתא בקופינא דמרא ע"ש שנראה מדבריו דלרש"י רבא פליג אהך דרב דלקמן</w:t>
      </w:r>
      <w:r w:rsidRPr="0074694D">
        <w:rPr>
          <w:rtl/>
        </w:rPr>
        <w:t xml:space="preserve">. אמנם לענ"ד בלא"ה כמו זר נחשב לומר דשום תנא או אמורא סבר דבעושה כלי גמור בשבת לא יתחייב משום מלאכה דהא ודאי מלאכה חשובה היא ובמשכן נמי הוי חשיבא טובא בעשיית ארון ומזבח ומנורה וכל כלי משכן. ולכאורה אדרבה עיקר מלאכת מחשבת דכתיב במשכן אהנך מלאכות קאי שצריך חכמה יתירה שנשתבח בהם בצלאל </w:t>
      </w:r>
      <w:r w:rsidRPr="0074694D">
        <w:rPr>
          <w:rStyle w:val="afff7"/>
          <w:rtl/>
        </w:rPr>
        <w:t>ואהליאב דבכל הנך מלאכות השנויים במשנה לא אשכחן ע"י בצלאל ואהליאב בעצמן זולת בישול הסמנין ומכה בפטיש וכיוצא בהן דאפילו מלאכת אריגה וטוייה משמע בסמוך שנעשו על ידי נשים חכמות לב. וכה"ג קשיא לי על סוגיית ירושלמי דשמעתין [סוף הלכה ב'] ובר"פ הבונה [ריש הלכה א'] דקאמר מה בנין היה במשכן ומהדר לאשכוחי שהיו נותנין הקרשים לתוך אדנים ובהא נמי שקיל וטרי התם דכיון דאדנים כלים הוו כמו בנין ע"ג כלים דפטור וא"כ לשיטת התוס' דיש בנין בכלים גמורין וכדפרישית דמסברא נמי מילתא דפשיטא היא בפשיטות הו"ל למימר בירושלמי דאשכחן בנין במשכן בארון ושלחן וכל כלי משכן.</w:t>
      </w:r>
    </w:p>
    <w:p w14:paraId="127503A0" w14:textId="77777777" w:rsidR="00376F67" w:rsidRPr="00954231" w:rsidRDefault="00376F67" w:rsidP="00376F67">
      <w:pPr>
        <w:pStyle w:val="afffff5"/>
        <w:rPr>
          <w:rStyle w:val="afff7"/>
          <w:vanish w:val="0"/>
          <w:rtl/>
        </w:rPr>
      </w:pPr>
      <w:r w:rsidRPr="00954231">
        <w:rPr>
          <w:rtl/>
        </w:rPr>
        <w:t>לכך נראה לענ"ד דלרש"י נמי עיקר פלוגתא דאין בנין בכלים היינו דומיא דמטה ומנורה של חוליות או אפילו בכה"ג דעייל שופתא בקופינא דמרא דמחייב ליה רב משום בונה משום דתחלת מלאכה וגמר מלאכה נעשין כאחד ומש"ה לרב חייב משום בונה ולשמואל משום מכה בפטיש משא"כ בשאר כלים גמורין שאין מלאכתן נעשית כאחת כי הנך דשמעתין בחביתא ותנורא וחלתא שצריכין לכמה מלאכות וכל כמה שלא נגמר מלאכתן לא חזי למידי לעיקר תשמישן עד שתגמר מלאכתן לגמרי מש"ה לא מחייב בהו משום בנין אלא משום מכה בפטיש היכא דשייך כמו שפי' רש"י לאפוקי חביתא שגמר מלאכתו נעשה מאיליו וא"כ לפי"ז אתי שפיר נמי סוגיית הירושלמי דבארון ושלחן וכל כלי משכן לא שייך בהו חיובא דבונה כיון דלא חזי לתשמישן אלא כשתגמר מלאכתן ואהאי שעתא ודאי מחייב משום מכה בפטיש</w:t>
      </w:r>
      <w:r w:rsidRPr="00954231">
        <w:rPr>
          <w:rFonts w:hint="cs"/>
          <w:rtl/>
        </w:rPr>
        <w:t>.</w:t>
      </w:r>
      <w:r w:rsidRPr="00954231">
        <w:rPr>
          <w:rtl/>
        </w:rPr>
        <w:t xml:space="preserve"> </w:t>
      </w:r>
      <w:r w:rsidRPr="00954231">
        <w:rPr>
          <w:rStyle w:val="afff7"/>
          <w:rtl/>
        </w:rPr>
        <w:t>ועיקר מלאכת מחשבת דמשכן אפילו בארון ושלחן וכיוצא בהן נמי בכה"ג איירי כגון רדידת הטסין ואפילו בדופני הארון והשולחן וכיוצא בהן שהיו של עץ נמי שייך גמר מלאכה בחליקת העצי שטים שיהא ראויין למלאכתן כשיעורן דבכה"ג אמרינן לקמן [דף ק"ב ע"ב] המסתת את האבן חייב משום מכה בפטיש וא"כ מהאי טעמא גופא איכא למימר דאפילו בכלים גמורין בכה"ג איכא למ"ד אין בנין בכלים דכיון שלא נעשו כלים גמורין אלא עם גמר מלאכתן מש"ה לא מחייב משום בונה אלא משום מכה בפטיש ודוקא בכה"ג דעייל שופתא בקופינא דמרא ועושה נקב בלול של תרנגולין מחייב רב [שם] משום בונה כיון שתחלת מלאכתן וגמר מלאכתן באין כאחד והיינו נמי טעמא דמגופת חבית כדפרישית לעיל בפרק במה טומנין (דף מ"ח ע"ב ד"ה תוס' ד"ה וכי) ע"ש:</w:t>
      </w:r>
    </w:p>
    <w:p w14:paraId="2E18BC5C" w14:textId="77777777" w:rsidR="00376F67" w:rsidRPr="00CF3194" w:rsidRDefault="00376F67" w:rsidP="00376F67">
      <w:pPr>
        <w:pStyle w:val="1"/>
      </w:pPr>
      <w:bookmarkStart w:id="4669" w:name="_Toc143767794"/>
      <w:bookmarkStart w:id="4670" w:name="_Toc143770615"/>
      <w:r>
        <w:rPr>
          <w:rFonts w:hint="cs"/>
          <w:rtl/>
        </w:rPr>
        <w:t>בי' האחרונים דעשיית כלי מחדש חייב רק באופן דקיבוץ חלקים</w:t>
      </w:r>
      <w:bookmarkEnd w:id="4669"/>
      <w:bookmarkEnd w:id="4670"/>
    </w:p>
    <w:p w14:paraId="05FEE7D9" w14:textId="77777777" w:rsidR="00376F67" w:rsidRDefault="00376F67" w:rsidP="00376F67">
      <w:pPr>
        <w:pStyle w:val="afffff7"/>
        <w:rPr>
          <w:rtl/>
        </w:rPr>
      </w:pPr>
      <w:bookmarkStart w:id="4671" w:name="_Toc143767918"/>
      <w:bookmarkStart w:id="4672" w:name="_Toc163506106"/>
      <w:r>
        <w:rPr>
          <w:rtl/>
        </w:rPr>
        <w:t>חדושי ר' אלעזר משה הורוויץ שבת ע"ד ע"ב</w:t>
      </w:r>
      <w:bookmarkEnd w:id="4671"/>
      <w:bookmarkEnd w:id="4672"/>
    </w:p>
    <w:p w14:paraId="1F111BD1" w14:textId="77777777" w:rsidR="00376F67" w:rsidRDefault="00376F67" w:rsidP="00376F67">
      <w:pPr>
        <w:pStyle w:val="a7"/>
        <w:rPr>
          <w:rtl/>
        </w:rPr>
      </w:pPr>
      <w:bookmarkStart w:id="4673" w:name="_Toc143767795"/>
      <w:bookmarkStart w:id="4674" w:name="_Toc143770616"/>
      <w:r>
        <w:rPr>
          <w:rFonts w:hint="cs"/>
          <w:rtl/>
        </w:rPr>
        <w:t>בי' הראמ"ה דנופח כלי זכוכית דעושה חלל הוי בונה רק במחובר וקיבוץ חלקים בונה אף בכלים</w:t>
      </w:r>
      <w:bookmarkEnd w:id="4673"/>
      <w:bookmarkEnd w:id="4674"/>
    </w:p>
    <w:p w14:paraId="6E64EC4D" w14:textId="4C0CEB71" w:rsidR="00376F67" w:rsidRDefault="00376F67" w:rsidP="00BC7DC8">
      <w:pPr>
        <w:pStyle w:val="a3"/>
      </w:pPr>
      <w:bookmarkStart w:id="4675" w:name="_Ref143422260"/>
      <w:r>
        <w:rPr>
          <w:rFonts w:hint="cs"/>
          <w:rtl/>
        </w:rPr>
        <w:t xml:space="preserve">במה שהקשו </w:t>
      </w:r>
      <w:r w:rsidRPr="00B90D00">
        <w:rPr>
          <w:rStyle w:val="aff4"/>
          <w:rFonts w:hint="cs"/>
          <w:vanish/>
          <w:rtl/>
        </w:rPr>
        <w:t>-</w:t>
      </w:r>
      <w:r w:rsidRPr="00C56FA9">
        <w:rPr>
          <w:rStyle w:val="aff4"/>
          <w:rFonts w:hint="cs"/>
          <w:rtl/>
        </w:rPr>
        <w:t>התוס' לעיל</w:t>
      </w:r>
      <w:r w:rsidRPr="00B90D00">
        <w:rPr>
          <w:rStyle w:val="aff4"/>
          <w:rFonts w:hint="cs"/>
          <w:vanish/>
          <w:rtl/>
        </w:rPr>
        <w:t>-</w:t>
      </w:r>
      <w:r>
        <w:rPr>
          <w:rFonts w:hint="cs"/>
          <w:rtl/>
        </w:rPr>
        <w:t xml:space="preserve"> </w:t>
      </w:r>
      <w:r w:rsidRPr="00DB1D3B">
        <w:rPr>
          <w:rStyle w:val="af2"/>
          <w:rFonts w:eastAsia="Guttman Hodes" w:hint="cs"/>
          <w:rtl/>
        </w:rPr>
        <w:t xml:space="preserve">(עי' אות </w:t>
      </w:r>
      <w:r w:rsidRPr="00DB1D3B">
        <w:rPr>
          <w:rStyle w:val="af2"/>
          <w:rFonts w:eastAsia="Guttman Hodes"/>
          <w:rtl/>
        </w:rPr>
        <w:fldChar w:fldCharType="begin"/>
      </w:r>
      <w:r w:rsidRPr="00DB1D3B">
        <w:rPr>
          <w:rStyle w:val="af2"/>
          <w:rFonts w:eastAsia="Guttman Hodes"/>
          <w:rtl/>
        </w:rPr>
        <w:instrText xml:space="preserve"> </w:instrText>
      </w:r>
      <w:r w:rsidRPr="00DB1D3B">
        <w:rPr>
          <w:rStyle w:val="af2"/>
          <w:rFonts w:eastAsia="Guttman Hodes" w:hint="cs"/>
        </w:rPr>
        <w:instrText>REF</w:instrText>
      </w:r>
      <w:r w:rsidRPr="00DB1D3B">
        <w:rPr>
          <w:rStyle w:val="af2"/>
          <w:rFonts w:eastAsia="Guttman Hodes" w:hint="cs"/>
          <w:rtl/>
        </w:rPr>
        <w:instrText xml:space="preserve"> _</w:instrText>
      </w:r>
      <w:r w:rsidRPr="00DB1D3B">
        <w:rPr>
          <w:rStyle w:val="af2"/>
          <w:rFonts w:eastAsia="Guttman Hodes" w:hint="cs"/>
        </w:rPr>
        <w:instrText>Ref143549634 \r \h</w:instrText>
      </w:r>
      <w:r w:rsidRPr="00DB1D3B">
        <w:rPr>
          <w:rStyle w:val="af2"/>
          <w:rFonts w:eastAsia="Guttman Hodes"/>
          <w:rtl/>
        </w:rPr>
        <w:instrText xml:space="preserve"> </w:instrText>
      </w:r>
      <w:r w:rsidRPr="00DB1D3B">
        <w:rPr>
          <w:rStyle w:val="af2"/>
          <w:rFonts w:eastAsia="Guttman Hodes"/>
          <w:rtl/>
        </w:rPr>
      </w:r>
      <w:r w:rsidRPr="00DB1D3B">
        <w:rPr>
          <w:rStyle w:val="af2"/>
          <w:rFonts w:eastAsia="Guttman Hodes"/>
          <w:rtl/>
        </w:rPr>
        <w:fldChar w:fldCharType="separate"/>
      </w:r>
      <w:r w:rsidR="00D82181">
        <w:rPr>
          <w:rStyle w:val="af2"/>
          <w:rFonts w:eastAsia="Guttman Hodes"/>
          <w:cs/>
        </w:rPr>
        <w:t>‎</w:t>
      </w:r>
      <w:r w:rsidR="00D82181">
        <w:rPr>
          <w:rStyle w:val="af2"/>
          <w:rFonts w:eastAsia="Guttman Hodes"/>
          <w:rtl/>
        </w:rPr>
        <w:t>לא)</w:t>
      </w:r>
      <w:r w:rsidRPr="00DB1D3B">
        <w:rPr>
          <w:rStyle w:val="af2"/>
          <w:rFonts w:eastAsia="Guttman Hodes"/>
          <w:rtl/>
        </w:rPr>
        <w:fldChar w:fldCharType="end"/>
      </w:r>
      <w:r>
        <w:rPr>
          <w:rFonts w:hint="cs"/>
          <w:rtl/>
        </w:rPr>
        <w:t xml:space="preserve"> דאמאי המנפח כלי זכוכית אינו בונה אף דעושה כלי מחדש, כתבו </w:t>
      </w:r>
      <w:r w:rsidRPr="00B90D00">
        <w:rPr>
          <w:rStyle w:val="aff4"/>
          <w:rFonts w:hint="cs"/>
          <w:vanish/>
          <w:rtl/>
        </w:rPr>
        <w:t>-</w:t>
      </w:r>
      <w:r w:rsidRPr="00C56FA9">
        <w:rPr>
          <w:rStyle w:val="aff4"/>
          <w:rFonts w:hint="cs"/>
          <w:rtl/>
        </w:rPr>
        <w:t>ב</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Ref143422260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לג)</w:t>
      </w:r>
      <w:r w:rsidRPr="00FF7D8F">
        <w:rPr>
          <w:rStyle w:val="aff4"/>
          <w:vanish/>
          <w:rtl/>
        </w:rPr>
        <w:fldChar w:fldCharType="end"/>
      </w:r>
      <w:r w:rsidRPr="00FF7D8F">
        <w:rPr>
          <w:rStyle w:val="aff4"/>
          <w:rFonts w:hint="cs"/>
          <w:vanish/>
          <w:rtl/>
        </w:rPr>
        <w:t xml:space="preserve"> &gt;</w:t>
      </w:r>
      <w:r w:rsidRPr="00C56FA9">
        <w:rPr>
          <w:rStyle w:val="aff4"/>
          <w:rFonts w:hint="cs"/>
          <w:rtl/>
        </w:rPr>
        <w:t>חי' רבי אלעזר משה לעיל</w:t>
      </w:r>
      <w:r w:rsidRPr="00B90D00">
        <w:rPr>
          <w:rStyle w:val="aff4"/>
          <w:rFonts w:hint="cs"/>
          <w:vanish/>
          <w:rtl/>
        </w:rPr>
        <w:t>-</w:t>
      </w:r>
      <w:r>
        <w:rPr>
          <w:rFonts w:hint="cs"/>
          <w:rtl/>
        </w:rPr>
        <w:t xml:space="preserve"> </w:t>
      </w:r>
      <w:r w:rsidRPr="00DB1D3B">
        <w:rPr>
          <w:rStyle w:val="af2"/>
          <w:rFonts w:eastAsia="Guttman Hodes" w:hint="cs"/>
          <w:rtl/>
        </w:rPr>
        <w:t>(עד: על תוד"ה חביתא)</w:t>
      </w:r>
      <w:r w:rsidRPr="00B90D00">
        <w:rPr>
          <w:rFonts w:hint="cs"/>
          <w:vanish/>
          <w:rtl/>
        </w:rPr>
        <w:t>=</w:t>
      </w:r>
      <w:r>
        <w:rPr>
          <w:rFonts w:hint="cs"/>
          <w:rtl/>
        </w:rPr>
        <w:t xml:space="preserve"> דחיוב בונה הוא רק בקיבוץ חלקים לדבר אחד כתוקע עץ בעץ, דכיון שעיקר המלאכה היא בעץ עצמו החיוב הוא אף שלא ע"ג קרקע, אבל העושה חלל החיוב הוא כמו שהיה במשכן רק בחלל המחובר לקרקע, וכעי"ז ביאר </w:t>
      </w:r>
      <w:r w:rsidRPr="00B90D00">
        <w:rPr>
          <w:rStyle w:val="aff4"/>
          <w:rFonts w:hint="cs"/>
          <w:vanish/>
          <w:rtl/>
        </w:rPr>
        <w:t>-</w:t>
      </w:r>
      <w:r w:rsidRPr="00C56FA9">
        <w:rPr>
          <w:rStyle w:val="aff4"/>
          <w:rFonts w:hint="cs"/>
          <w:rtl/>
        </w:rPr>
        <w:t>ה</w:t>
      </w:r>
      <w:r w:rsidRPr="00FF7D8F">
        <w:rPr>
          <w:rStyle w:val="aff4"/>
          <w:rFonts w:hint="cs"/>
          <w:vanish/>
          <w:rtl/>
        </w:rPr>
        <w:t>&lt; &gt;</w:t>
      </w:r>
      <w:r w:rsidRPr="00C56FA9">
        <w:rPr>
          <w:rStyle w:val="aff4"/>
          <w:rFonts w:hint="cs"/>
          <w:rtl/>
        </w:rPr>
        <w:t>אבן האזל</w:t>
      </w:r>
      <w:r w:rsidRPr="00B90D00">
        <w:rPr>
          <w:rStyle w:val="aff4"/>
          <w:rFonts w:hint="cs"/>
          <w:vanish/>
          <w:rtl/>
        </w:rPr>
        <w:t>-</w:t>
      </w:r>
      <w:r w:rsidRPr="00A16713">
        <w:rPr>
          <w:rFonts w:hint="cs"/>
          <w:rtl/>
        </w:rPr>
        <w:t xml:space="preserve"> </w:t>
      </w:r>
      <w:r w:rsidRPr="00DB1D3B">
        <w:rPr>
          <w:rStyle w:val="af2"/>
          <w:rFonts w:eastAsia="Guttman Hodes" w:hint="cs"/>
          <w:rtl/>
        </w:rPr>
        <w:t xml:space="preserve">(עי' אות </w:t>
      </w:r>
      <w:r w:rsidRPr="00DB1D3B">
        <w:rPr>
          <w:rStyle w:val="af2"/>
          <w:rFonts w:eastAsia="Guttman Hodes"/>
          <w:rtl/>
        </w:rPr>
        <w:fldChar w:fldCharType="begin"/>
      </w:r>
      <w:r w:rsidRPr="00DB1D3B">
        <w:rPr>
          <w:rStyle w:val="af2"/>
          <w:rFonts w:eastAsia="Guttman Hodes"/>
          <w:rtl/>
        </w:rPr>
        <w:instrText xml:space="preserve"> </w:instrText>
      </w:r>
      <w:r w:rsidRPr="00DB1D3B">
        <w:rPr>
          <w:rStyle w:val="af2"/>
          <w:rFonts w:eastAsia="Guttman Hodes" w:hint="cs"/>
        </w:rPr>
        <w:instrText>REF</w:instrText>
      </w:r>
      <w:r w:rsidRPr="00DB1D3B">
        <w:rPr>
          <w:rStyle w:val="af2"/>
          <w:rFonts w:eastAsia="Guttman Hodes" w:hint="cs"/>
          <w:rtl/>
        </w:rPr>
        <w:instrText xml:space="preserve"> _</w:instrText>
      </w:r>
      <w:r w:rsidRPr="00DB1D3B">
        <w:rPr>
          <w:rStyle w:val="af2"/>
          <w:rFonts w:eastAsia="Guttman Hodes" w:hint="cs"/>
        </w:rPr>
        <w:instrText>Ref143421532 \r \h</w:instrText>
      </w:r>
      <w:r w:rsidRPr="00DB1D3B">
        <w:rPr>
          <w:rStyle w:val="af2"/>
          <w:rFonts w:eastAsia="Guttman Hodes"/>
          <w:rtl/>
        </w:rPr>
        <w:instrText xml:space="preserve"> </w:instrText>
      </w:r>
      <w:r w:rsidRPr="00DB1D3B">
        <w:rPr>
          <w:rStyle w:val="af2"/>
          <w:rFonts w:eastAsia="Guttman Hodes"/>
          <w:rtl/>
        </w:rPr>
      </w:r>
      <w:r w:rsidRPr="00DB1D3B">
        <w:rPr>
          <w:rStyle w:val="af2"/>
          <w:rFonts w:eastAsia="Guttman Hodes"/>
          <w:rtl/>
        </w:rPr>
        <w:fldChar w:fldCharType="separate"/>
      </w:r>
      <w:r w:rsidR="00D82181">
        <w:rPr>
          <w:rStyle w:val="af2"/>
          <w:rFonts w:eastAsia="Guttman Hodes"/>
          <w:cs/>
        </w:rPr>
        <w:t>‎</w:t>
      </w:r>
      <w:r w:rsidR="00D82181">
        <w:rPr>
          <w:rStyle w:val="af2"/>
          <w:rFonts w:eastAsia="Guttman Hodes"/>
          <w:rtl/>
        </w:rPr>
        <w:t>עו)</w:t>
      </w:r>
      <w:r w:rsidRPr="00DB1D3B">
        <w:rPr>
          <w:rStyle w:val="af2"/>
          <w:rFonts w:eastAsia="Guttman Hodes"/>
          <w:rtl/>
        </w:rPr>
        <w:fldChar w:fldCharType="end"/>
      </w:r>
      <w:r w:rsidRPr="00B90D00">
        <w:rPr>
          <w:rStyle w:val="aff4"/>
          <w:rFonts w:hint="cs"/>
          <w:vanish/>
          <w:rtl/>
        </w:rPr>
        <w:t>=</w:t>
      </w:r>
      <w:r w:rsidRPr="00A16713">
        <w:rPr>
          <w:rFonts w:hint="cs"/>
          <w:rtl/>
        </w:rPr>
        <w:t xml:space="preserve"> בדעת </w:t>
      </w:r>
      <w:r w:rsidRPr="00B90D00">
        <w:rPr>
          <w:rStyle w:val="aff4"/>
          <w:rFonts w:hint="cs"/>
          <w:vanish/>
          <w:rtl/>
        </w:rPr>
        <w:t>-</w:t>
      </w:r>
      <w:r w:rsidRPr="00A16713">
        <w:rPr>
          <w:rStyle w:val="aff4"/>
          <w:rFonts w:hint="cs"/>
          <w:rtl/>
        </w:rPr>
        <w:t>הרמב"ם</w:t>
      </w:r>
      <w:r w:rsidRPr="00B90D00">
        <w:rPr>
          <w:rFonts w:hint="cs"/>
          <w:vanish/>
          <w:rtl/>
        </w:rPr>
        <w:t>-</w:t>
      </w:r>
      <w:r>
        <w:rPr>
          <w:rFonts w:hint="cs"/>
          <w:rtl/>
        </w:rPr>
        <w:t>.</w:t>
      </w:r>
    </w:p>
    <w:p w14:paraId="30CA3BD6" w14:textId="77777777" w:rsidR="00376F67" w:rsidRPr="0074694D" w:rsidRDefault="00376F67" w:rsidP="00376F67">
      <w:pPr>
        <w:pStyle w:val="a2"/>
        <w:tabs>
          <w:tab w:val="num" w:pos="284"/>
        </w:tabs>
        <w:rPr>
          <w:vanish w:val="0"/>
          <w:rtl/>
        </w:rPr>
      </w:pPr>
      <w:r w:rsidRPr="0074694D">
        <w:rPr>
          <w:rtl/>
        </w:rPr>
        <w:t>תוס' ד"ה חביתא. וצ"ע דלא ליקשי ממנפח בכלי זכוכית. נראה דל"ד בונה המחבר ותוקע עץ בעץ לבונה העושה חלל. דבחלל בעינן דוקא כחלל המשכן שהיה חלל המחובר לקרקע משא"כ במחבר עץ בעץ דעיקר המלאכה בעץ לא קפדינן בחבורו לקרקע:</w:t>
      </w:r>
    </w:p>
    <w:p w14:paraId="59664FF1" w14:textId="77777777" w:rsidR="00376F67" w:rsidRDefault="00376F67" w:rsidP="00376F67">
      <w:pPr>
        <w:pStyle w:val="afffff7"/>
        <w:rPr>
          <w:rtl/>
        </w:rPr>
      </w:pPr>
      <w:bookmarkStart w:id="4676" w:name="_Toc143767919"/>
      <w:bookmarkStart w:id="4677" w:name="_Toc163506107"/>
      <w:r w:rsidRPr="0034560A">
        <w:rPr>
          <w:rtl/>
        </w:rPr>
        <w:t>שפת אמת שבת ע"ד ע"ב</w:t>
      </w:r>
      <w:r>
        <w:rPr>
          <w:rFonts w:hint="cs"/>
          <w:rtl/>
        </w:rPr>
        <w:t xml:space="preserve"> על תוד"ה חביתא</w:t>
      </w:r>
      <w:bookmarkEnd w:id="4676"/>
      <w:bookmarkEnd w:id="4677"/>
    </w:p>
    <w:p w14:paraId="4515AA2A" w14:textId="77777777" w:rsidR="00376F67" w:rsidRPr="00D61132" w:rsidRDefault="00376F67" w:rsidP="00376F67">
      <w:pPr>
        <w:pStyle w:val="a7"/>
        <w:rPr>
          <w:rtl/>
        </w:rPr>
      </w:pPr>
      <w:bookmarkStart w:id="4678" w:name="_Toc143767796"/>
      <w:bookmarkStart w:id="4679" w:name="_Toc143770617"/>
      <w:r>
        <w:rPr>
          <w:rFonts w:hint="cs"/>
          <w:rtl/>
        </w:rPr>
        <w:t>בי' השפ"א דבונה רק בקיבוץ חלקים כקרשי המשכן ולא בחלל ככלי זכוכית אך ק' מלול ומסתת</w:t>
      </w:r>
      <w:bookmarkEnd w:id="4678"/>
      <w:bookmarkEnd w:id="4679"/>
    </w:p>
    <w:p w14:paraId="6B2DF063" w14:textId="52C49E56" w:rsidR="00376F67" w:rsidRPr="005A72E7" w:rsidRDefault="00376F67" w:rsidP="00BC7DC8">
      <w:pPr>
        <w:pStyle w:val="a3"/>
        <w:rPr>
          <w:rtl/>
        </w:rPr>
      </w:pPr>
      <w:bookmarkStart w:id="4680" w:name="_Ref143422613"/>
      <w:r>
        <w:rPr>
          <w:rFonts w:hint="cs"/>
          <w:rtl/>
        </w:rPr>
        <w:t xml:space="preserve">וכעי"ז כתב </w:t>
      </w:r>
      <w:r w:rsidRPr="00B90D00">
        <w:rPr>
          <w:rStyle w:val="aff4"/>
          <w:rFonts w:hint="cs"/>
          <w:vanish/>
          <w:rtl/>
        </w:rPr>
        <w:t>-</w:t>
      </w:r>
      <w:r w:rsidRPr="00C56FA9">
        <w:rPr>
          <w:rStyle w:val="aff4"/>
          <w:rFonts w:hint="cs"/>
          <w:rtl/>
        </w:rPr>
        <w:t>ה</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Ref143422613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לד)</w:t>
      </w:r>
      <w:r w:rsidRPr="00FF7D8F">
        <w:rPr>
          <w:rStyle w:val="aff4"/>
          <w:vanish/>
          <w:rtl/>
        </w:rPr>
        <w:fldChar w:fldCharType="end"/>
      </w:r>
      <w:r w:rsidRPr="00FF7D8F">
        <w:rPr>
          <w:rStyle w:val="aff4"/>
          <w:rFonts w:hint="cs"/>
          <w:vanish/>
          <w:rtl/>
        </w:rPr>
        <w:t xml:space="preserve"> &gt;</w:t>
      </w:r>
      <w:r w:rsidRPr="00C56FA9">
        <w:rPr>
          <w:rStyle w:val="aff4"/>
          <w:rFonts w:hint="cs"/>
          <w:rtl/>
        </w:rPr>
        <w:t>שפת אמת לעיל</w:t>
      </w:r>
      <w:r w:rsidRPr="00B90D00">
        <w:rPr>
          <w:rStyle w:val="aff4"/>
          <w:rFonts w:hint="cs"/>
          <w:vanish/>
          <w:rtl/>
        </w:rPr>
        <w:t>-</w:t>
      </w:r>
      <w:r>
        <w:rPr>
          <w:rFonts w:hint="cs"/>
          <w:rtl/>
        </w:rPr>
        <w:t xml:space="preserve"> </w:t>
      </w:r>
      <w:r w:rsidRPr="00DB1D3B">
        <w:rPr>
          <w:rStyle w:val="af2"/>
          <w:rFonts w:eastAsia="Guttman Hodes" w:hint="cs"/>
          <w:rtl/>
        </w:rPr>
        <w:t>(עד: על תוד"ה חביתא)</w:t>
      </w:r>
      <w:r w:rsidRPr="00B90D00">
        <w:rPr>
          <w:rFonts w:hint="cs"/>
          <w:vanish/>
          <w:rtl/>
        </w:rPr>
        <w:t>=</w:t>
      </w:r>
      <w:r>
        <w:rPr>
          <w:rFonts w:hint="cs"/>
          <w:rtl/>
        </w:rPr>
        <w:t xml:space="preserve"> דחיוב בונה הוא רק בקיבוץ חלקים לדבר אחד, אבל בעושה כלי זכוכית מחתיכה אחת לא דמי לבונה, דהא במשכן הבנין היה ע"י העמדת הרבה קרשים יחד, אך הקשה </w:t>
      </w:r>
      <w:r w:rsidRPr="00B90D00">
        <w:rPr>
          <w:rStyle w:val="aff4"/>
          <w:rFonts w:hint="cs"/>
          <w:vanish/>
          <w:rtl/>
        </w:rPr>
        <w:t>-</w:t>
      </w:r>
      <w:r w:rsidRPr="00C56FA9">
        <w:rPr>
          <w:rStyle w:val="aff4"/>
          <w:rFonts w:hint="cs"/>
          <w:rtl/>
        </w:rPr>
        <w:t>השפת אמת</w:t>
      </w:r>
      <w:r w:rsidRPr="00B90D00">
        <w:rPr>
          <w:rStyle w:val="aff4"/>
          <w:rFonts w:hint="cs"/>
          <w:vanish/>
          <w:rtl/>
        </w:rPr>
        <w:t>-</w:t>
      </w:r>
      <w:r>
        <w:rPr>
          <w:rFonts w:hint="cs"/>
          <w:rtl/>
        </w:rPr>
        <w:t xml:space="preserve"> דהא המסתת והעושה נקב בלול של תרנגולים חייב משום בונה, אף שאין בזה קיבוץ חלקים, ועי' במ"ש </w:t>
      </w:r>
      <w:r w:rsidRPr="00B90D00">
        <w:rPr>
          <w:rStyle w:val="aff4"/>
          <w:rFonts w:hint="cs"/>
          <w:vanish/>
          <w:rtl/>
        </w:rPr>
        <w:t>-</w:t>
      </w:r>
      <w:r w:rsidRPr="00C56FA9">
        <w:rPr>
          <w:rStyle w:val="aff4"/>
          <w:rFonts w:hint="cs"/>
          <w:rtl/>
        </w:rPr>
        <w:t>האבן האזל</w:t>
      </w:r>
      <w:r w:rsidRPr="00B90D00">
        <w:rPr>
          <w:rStyle w:val="aff4"/>
          <w:rFonts w:hint="cs"/>
          <w:vanish/>
          <w:rtl/>
        </w:rPr>
        <w:t>-</w:t>
      </w:r>
      <w:r>
        <w:rPr>
          <w:rFonts w:hint="cs"/>
          <w:rtl/>
        </w:rPr>
        <w:t xml:space="preserve"> </w:t>
      </w:r>
      <w:r w:rsidRPr="00DB1D3B">
        <w:rPr>
          <w:rStyle w:val="af2"/>
          <w:rFonts w:eastAsia="Guttman Hodes" w:hint="cs"/>
          <w:rtl/>
        </w:rPr>
        <w:t xml:space="preserve">(עי' אות </w:t>
      </w:r>
      <w:r w:rsidRPr="00DB1D3B">
        <w:rPr>
          <w:rStyle w:val="af2"/>
          <w:rFonts w:eastAsia="Guttman Hodes"/>
          <w:rtl/>
        </w:rPr>
        <w:fldChar w:fldCharType="begin"/>
      </w:r>
      <w:r w:rsidRPr="00DB1D3B">
        <w:rPr>
          <w:rStyle w:val="af2"/>
          <w:rFonts w:eastAsia="Guttman Hodes"/>
          <w:rtl/>
        </w:rPr>
        <w:instrText xml:space="preserve"> </w:instrText>
      </w:r>
      <w:r w:rsidRPr="00DB1D3B">
        <w:rPr>
          <w:rStyle w:val="af2"/>
          <w:rFonts w:eastAsia="Guttman Hodes" w:hint="cs"/>
        </w:rPr>
        <w:instrText>REF</w:instrText>
      </w:r>
      <w:r w:rsidRPr="00DB1D3B">
        <w:rPr>
          <w:rStyle w:val="af2"/>
          <w:rFonts w:eastAsia="Guttman Hodes" w:hint="cs"/>
          <w:rtl/>
        </w:rPr>
        <w:instrText xml:space="preserve"> _</w:instrText>
      </w:r>
      <w:r w:rsidRPr="00DB1D3B">
        <w:rPr>
          <w:rStyle w:val="af2"/>
          <w:rFonts w:eastAsia="Guttman Hodes" w:hint="cs"/>
        </w:rPr>
        <w:instrText>Ref143421532 \r \h</w:instrText>
      </w:r>
      <w:r w:rsidRPr="00DB1D3B">
        <w:rPr>
          <w:rStyle w:val="af2"/>
          <w:rFonts w:eastAsia="Guttman Hodes"/>
          <w:rtl/>
        </w:rPr>
        <w:instrText xml:space="preserve"> </w:instrText>
      </w:r>
      <w:r w:rsidRPr="00DB1D3B">
        <w:rPr>
          <w:rStyle w:val="af2"/>
          <w:rFonts w:eastAsia="Guttman Hodes"/>
          <w:rtl/>
        </w:rPr>
      </w:r>
      <w:r w:rsidRPr="00DB1D3B">
        <w:rPr>
          <w:rStyle w:val="af2"/>
          <w:rFonts w:eastAsia="Guttman Hodes"/>
          <w:rtl/>
        </w:rPr>
        <w:fldChar w:fldCharType="separate"/>
      </w:r>
      <w:r w:rsidR="00D82181">
        <w:rPr>
          <w:rStyle w:val="af2"/>
          <w:rFonts w:eastAsia="Guttman Hodes"/>
          <w:cs/>
        </w:rPr>
        <w:t>‎</w:t>
      </w:r>
      <w:r w:rsidR="00D82181">
        <w:rPr>
          <w:rStyle w:val="af2"/>
          <w:rFonts w:eastAsia="Guttman Hodes"/>
          <w:rtl/>
        </w:rPr>
        <w:t>עו)</w:t>
      </w:r>
      <w:r w:rsidRPr="00DB1D3B">
        <w:rPr>
          <w:rStyle w:val="af2"/>
          <w:rFonts w:eastAsia="Guttman Hodes"/>
          <w:rtl/>
        </w:rPr>
        <w:fldChar w:fldCharType="end"/>
      </w:r>
      <w:r>
        <w:rPr>
          <w:rFonts w:hint="cs"/>
          <w:rtl/>
        </w:rPr>
        <w:t>.</w:t>
      </w:r>
      <w:bookmarkEnd w:id="4675"/>
      <w:bookmarkEnd w:id="4680"/>
    </w:p>
    <w:p w14:paraId="5C6BEBB7" w14:textId="77777777" w:rsidR="00376F67" w:rsidRPr="0074694D" w:rsidRDefault="00376F67" w:rsidP="00376F67">
      <w:pPr>
        <w:pStyle w:val="a2"/>
        <w:tabs>
          <w:tab w:val="num" w:pos="284"/>
        </w:tabs>
        <w:rPr>
          <w:vanish w:val="0"/>
          <w:rtl/>
        </w:rPr>
      </w:pPr>
      <w:r w:rsidRPr="0074694D">
        <w:rPr>
          <w:rtl/>
        </w:rPr>
        <w:t>בתוס' ד"ה חביתא כו' פרש"י כו' אבל כשעושה כל הכלי חייב משום בונה כו' וצ"ע דלא ליקשי ממנפח בכלי זכוכית כו' בזה י"ל דבונה הוא דוקא כשמחבר איזה דברים ונעשה מזה בנין אבל המנפח בכלי זכוכית דמחתיכה אחת כשמנפחו נעשה הבנין לא מחייב דלא הוי דומיא דבונה שהי' במשכן שהעמיד הרבה קרשים יחד אבל עדיין צ"ע מהא דאמרינן התם בפ' הבונה במסתת ובעושה נקב בלול של תרנגולים דחייב משום בונה ע"ש</w:t>
      </w:r>
      <w:r w:rsidRPr="0074694D">
        <w:rPr>
          <w:rFonts w:hint="cs"/>
          <w:rtl/>
        </w:rPr>
        <w:t>.</w:t>
      </w:r>
    </w:p>
    <w:p w14:paraId="333EBF19" w14:textId="77777777" w:rsidR="00376F67" w:rsidRDefault="00376F67" w:rsidP="00376F67">
      <w:pPr>
        <w:pStyle w:val="affff5"/>
        <w:rPr>
          <w:rtl/>
        </w:rPr>
      </w:pPr>
      <w:bookmarkStart w:id="4681" w:name="_Toc143767797"/>
      <w:bookmarkStart w:id="4682" w:name="_Toc143770618"/>
      <w:r w:rsidRPr="00716C93">
        <w:rPr>
          <w:rFonts w:hint="cs"/>
          <w:rtl/>
        </w:rPr>
        <w:t>~~~~~~~~~~~~~~~~~~~~~~~~~~~~</w:t>
      </w:r>
      <w:bookmarkEnd w:id="4681"/>
      <w:bookmarkEnd w:id="4682"/>
      <w:r w:rsidRPr="0001175D">
        <w:rPr>
          <w:vanish/>
          <w:rtl/>
        </w:rPr>
        <w:t>&lt; # =</w:t>
      </w:r>
    </w:p>
    <w:p w14:paraId="0935DFFA" w14:textId="77777777" w:rsidR="00376F67" w:rsidRDefault="00376F67" w:rsidP="00376F67">
      <w:pPr>
        <w:pStyle w:val="affff5"/>
        <w:rPr>
          <w:rtl/>
        </w:rPr>
      </w:pPr>
      <w:bookmarkStart w:id="4683" w:name="_Toc143767798"/>
      <w:bookmarkStart w:id="4684" w:name="_Toc143770619"/>
      <w:r>
        <w:rPr>
          <w:rFonts w:hint="cs"/>
          <w:rtl/>
        </w:rPr>
        <w:t>בבונה דיצירת דבר חדש אף בכלי וארעי</w:t>
      </w:r>
      <w:bookmarkEnd w:id="4683"/>
      <w:bookmarkEnd w:id="4684"/>
      <w:r w:rsidRPr="0001175D">
        <w:rPr>
          <w:vanish/>
          <w:rtl/>
        </w:rPr>
        <w:t>&lt; # =</w:t>
      </w:r>
    </w:p>
    <w:p w14:paraId="72DE2EA4" w14:textId="77777777" w:rsidR="00376F67" w:rsidRPr="00C33BC9" w:rsidRDefault="00376F67" w:rsidP="00376F67">
      <w:pPr>
        <w:pStyle w:val="1"/>
        <w:rPr>
          <w:rtl/>
        </w:rPr>
      </w:pPr>
      <w:bookmarkStart w:id="4685" w:name="_Toc143767799"/>
      <w:bookmarkStart w:id="4686" w:name="_Toc143770620"/>
      <w:r>
        <w:rPr>
          <w:rFonts w:hint="cs"/>
          <w:rtl/>
        </w:rPr>
        <w:t>בי' האו"ש דיוצר דבר חדש לעולם הוי בונה אף בכלי ולשעה</w:t>
      </w:r>
      <w:bookmarkEnd w:id="4685"/>
      <w:bookmarkEnd w:id="4686"/>
    </w:p>
    <w:p w14:paraId="50B04BF4" w14:textId="77777777" w:rsidR="00376F67" w:rsidRDefault="00376F67" w:rsidP="00376F67">
      <w:pPr>
        <w:pStyle w:val="afffff7"/>
        <w:rPr>
          <w:rtl/>
        </w:rPr>
      </w:pPr>
      <w:bookmarkStart w:id="4687" w:name="_Toc143767920"/>
      <w:bookmarkStart w:id="4688" w:name="_Toc163506108"/>
      <w:r>
        <w:rPr>
          <w:rtl/>
        </w:rPr>
        <w:t>אור שמח שבת פ"י הי"ב</w:t>
      </w:r>
      <w:r>
        <w:rPr>
          <w:rFonts w:hint="cs"/>
          <w:rtl/>
        </w:rPr>
        <w:t xml:space="preserve"> ד"ה עוד קאמר</w:t>
      </w:r>
      <w:bookmarkEnd w:id="4687"/>
      <w:bookmarkEnd w:id="4688"/>
    </w:p>
    <w:p w14:paraId="165EAB95" w14:textId="77777777" w:rsidR="00376F67" w:rsidRDefault="00376F67" w:rsidP="00376F67">
      <w:pPr>
        <w:pStyle w:val="a7"/>
        <w:rPr>
          <w:rtl/>
        </w:rPr>
      </w:pPr>
      <w:bookmarkStart w:id="4689" w:name="_Toc143767800"/>
      <w:bookmarkStart w:id="4690" w:name="_Toc143770621"/>
      <w:r>
        <w:rPr>
          <w:rFonts w:hint="cs"/>
          <w:rtl/>
        </w:rPr>
        <w:t>בי' האו"ש דמוכח בבבלי דאין בנין ע"ג כלים כירושלמי דבמשכן היה ע"ג קרקע וכ"פ הרמב"ם</w:t>
      </w:r>
      <w:bookmarkEnd w:id="4689"/>
      <w:bookmarkEnd w:id="4690"/>
    </w:p>
    <w:p w14:paraId="48E921BC" w14:textId="5392C160" w:rsidR="00376F67" w:rsidRDefault="00376F67" w:rsidP="00BC7DC8">
      <w:pPr>
        <w:pStyle w:val="a3"/>
      </w:pPr>
      <w:bookmarkStart w:id="4691" w:name="_Ref143613574"/>
      <w:r>
        <w:rPr>
          <w:rFonts w:hint="cs"/>
          <w:rtl/>
        </w:rPr>
        <w:t xml:space="preserve">הביא </w:t>
      </w:r>
      <w:r w:rsidRPr="001A2014">
        <w:rPr>
          <w:rStyle w:val="aff4"/>
          <w:rFonts w:hint="cs"/>
          <w:vanish/>
          <w:rtl/>
        </w:rPr>
        <w:t>-</w:t>
      </w:r>
      <w:r w:rsidRPr="001A2014">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Ref143613574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לה)</w:t>
      </w:r>
      <w:r>
        <w:rPr>
          <w:rStyle w:val="aff4"/>
          <w:vanish/>
          <w:rtl/>
        </w:rPr>
        <w:fldChar w:fldCharType="end"/>
      </w:r>
      <w:r>
        <w:rPr>
          <w:rStyle w:val="aff4"/>
          <w:rFonts w:hint="cs"/>
          <w:vanish/>
          <w:rtl/>
        </w:rPr>
        <w:t xml:space="preserve"> &gt;</w:t>
      </w:r>
      <w:r w:rsidRPr="001A2014">
        <w:rPr>
          <w:rStyle w:val="aff4"/>
          <w:rFonts w:hint="cs"/>
          <w:rtl/>
        </w:rPr>
        <w:t>או"ש</w:t>
      </w:r>
      <w:r w:rsidRPr="001A2014">
        <w:rPr>
          <w:rStyle w:val="aff4"/>
          <w:rFonts w:hint="cs"/>
          <w:vanish/>
          <w:rtl/>
        </w:rPr>
        <w:t>-</w:t>
      </w:r>
      <w:r>
        <w:rPr>
          <w:rFonts w:hint="cs"/>
          <w:rtl/>
        </w:rPr>
        <w:t xml:space="preserve"> </w:t>
      </w:r>
      <w:r w:rsidRPr="00DB1D3B">
        <w:rPr>
          <w:rStyle w:val="af2"/>
          <w:rFonts w:eastAsia="Guttman Hodes" w:hint="cs"/>
          <w:rtl/>
        </w:rPr>
        <w:t>(שבת פ"י הי"ב ד"ה עוד קאמר)</w:t>
      </w:r>
      <w:r w:rsidRPr="001A2014">
        <w:rPr>
          <w:rFonts w:hint="cs"/>
          <w:vanish/>
          <w:rtl/>
        </w:rPr>
        <w:t>=</w:t>
      </w:r>
      <w:r>
        <w:rPr>
          <w:rFonts w:hint="cs"/>
          <w:rtl/>
        </w:rPr>
        <w:t xml:space="preserve"> דאיתא בירושלמי </w:t>
      </w:r>
      <w:r w:rsidRPr="00DB1D3B">
        <w:rPr>
          <w:rStyle w:val="af2"/>
          <w:rFonts w:eastAsia="Guttman Hodes"/>
          <w:rtl/>
        </w:rPr>
        <w:t>(פ"ז ה"ב</w:t>
      </w:r>
      <w:r w:rsidRPr="00DB1D3B">
        <w:rPr>
          <w:rStyle w:val="af2"/>
          <w:rFonts w:eastAsia="Guttman Hodes" w:hint="cs"/>
          <w:rtl/>
        </w:rPr>
        <w:t>, נב:, מהדו' עוז והדר סד.</w:t>
      </w:r>
      <w:r w:rsidRPr="00DB1D3B">
        <w:rPr>
          <w:rStyle w:val="af2"/>
          <w:rFonts w:eastAsia="Guttman Hodes"/>
          <w:rtl/>
        </w:rPr>
        <w:t>)</w:t>
      </w:r>
      <w:r>
        <w:rPr>
          <w:rFonts w:hint="cs"/>
          <w:rtl/>
        </w:rPr>
        <w:t xml:space="preserve"> דהבנין במשכן היה בנתינת קרשים ע"ג האדנים, וא"כ מוכח דבנין ע"ג כלים הוי בנין, ודחה הירושלמי דאדנים הם כקרקע, וכן פסק </w:t>
      </w:r>
      <w:r w:rsidRPr="001A2014">
        <w:rPr>
          <w:rStyle w:val="aff4"/>
          <w:rFonts w:hint="cs"/>
          <w:vanish/>
          <w:rtl/>
        </w:rPr>
        <w:t>-</w:t>
      </w:r>
      <w:r w:rsidRPr="001A2014">
        <w:rPr>
          <w:rStyle w:val="aff4"/>
          <w:rFonts w:hint="cs"/>
          <w:rtl/>
        </w:rPr>
        <w:t>הרמב"ם</w:t>
      </w:r>
      <w:r w:rsidRPr="001A2014">
        <w:rPr>
          <w:rStyle w:val="aff4"/>
          <w:rFonts w:hint="cs"/>
          <w:vanish/>
          <w:rtl/>
        </w:rPr>
        <w:t>-</w:t>
      </w:r>
      <w:r>
        <w:rPr>
          <w:rFonts w:hint="cs"/>
          <w:rtl/>
        </w:rPr>
        <w:t xml:space="preserve"> </w:t>
      </w:r>
      <w:r w:rsidRPr="00DB1D3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Ref143550628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ה)</w:t>
      </w:r>
      <w:r>
        <w:rPr>
          <w:rStyle w:val="af2"/>
          <w:rFonts w:eastAsia="Guttman Hodes"/>
          <w:rtl/>
        </w:rPr>
        <w:fldChar w:fldCharType="end"/>
      </w:r>
      <w:r w:rsidRPr="00197B44">
        <w:rPr>
          <w:rFonts w:hint="cs"/>
          <w:rtl/>
        </w:rPr>
        <w:t xml:space="preserve"> </w:t>
      </w:r>
      <w:r>
        <w:rPr>
          <w:rFonts w:hint="cs"/>
          <w:rtl/>
        </w:rPr>
        <w:t xml:space="preserve">דהבונה ע"ג כלים פטור, וכתב </w:t>
      </w:r>
      <w:r w:rsidRPr="001A2014">
        <w:rPr>
          <w:rStyle w:val="aff4"/>
          <w:rFonts w:hint="cs"/>
          <w:vanish/>
          <w:rtl/>
        </w:rPr>
        <w:t>-</w:t>
      </w:r>
      <w:r w:rsidRPr="001A2014">
        <w:rPr>
          <w:rStyle w:val="aff4"/>
          <w:rFonts w:hint="cs"/>
          <w:rtl/>
        </w:rPr>
        <w:t>האו"ש</w:t>
      </w:r>
      <w:r w:rsidRPr="001A2014">
        <w:rPr>
          <w:rStyle w:val="aff4"/>
          <w:rFonts w:hint="cs"/>
          <w:vanish/>
          <w:rtl/>
        </w:rPr>
        <w:t>-</w:t>
      </w:r>
      <w:r>
        <w:rPr>
          <w:rFonts w:hint="cs"/>
          <w:rtl/>
        </w:rPr>
        <w:t xml:space="preserve"> דכן </w:t>
      </w:r>
      <w:r>
        <w:rPr>
          <w:rFonts w:hint="cs"/>
          <w:rtl/>
        </w:rPr>
        <w:t xml:space="preserve">מוכח בגמ' לעיל </w:t>
      </w:r>
      <w:r w:rsidRPr="00DB1D3B">
        <w:rPr>
          <w:rStyle w:val="af2"/>
          <w:rFonts w:eastAsia="Guttman Hodes" w:hint="cs"/>
          <w:rtl/>
        </w:rPr>
        <w:t>(לא:)</w:t>
      </w:r>
      <w:r>
        <w:rPr>
          <w:rFonts w:hint="cs"/>
          <w:rtl/>
        </w:rPr>
        <w:t xml:space="preserve"> בכיבוי פתילה דאמרינן דלרבי יוסי כיבוי בחס על הפתילה חייב דהוא סותר ע"מ לבנות במקומו והוי סותר, ושלא במקומו לא הוי סותר, </w:t>
      </w:r>
      <w:r w:rsidRPr="00A655AF">
        <w:rPr>
          <w:rStyle w:val="af"/>
          <w:rFonts w:hint="cs"/>
          <w:rtl/>
        </w:rPr>
        <w:t xml:space="preserve">[וכתב </w:t>
      </w:r>
      <w:r w:rsidRPr="001B1FAC">
        <w:rPr>
          <w:rStyle w:val="aff9"/>
          <w:rFonts w:hint="cs"/>
          <w:vanish/>
          <w:rtl/>
        </w:rPr>
        <w:t>-</w:t>
      </w:r>
      <w:r w:rsidRPr="00A655AF">
        <w:rPr>
          <w:rStyle w:val="aff9"/>
          <w:rFonts w:hint="cs"/>
          <w:rtl/>
        </w:rPr>
        <w:t>רש"י לעיל</w:t>
      </w:r>
      <w:r w:rsidRPr="001B1FAC">
        <w:rPr>
          <w:rStyle w:val="aff9"/>
          <w:rFonts w:hint="cs"/>
          <w:vanish/>
          <w:rtl/>
        </w:rPr>
        <w:t>-</w:t>
      </w:r>
      <w:r w:rsidRPr="00A655AF">
        <w:rPr>
          <w:rStyle w:val="af"/>
          <w:rFonts w:hint="cs"/>
          <w:rtl/>
        </w:rPr>
        <w:t xml:space="preserve"> </w:t>
      </w:r>
      <w:r w:rsidRPr="001B1FAC">
        <w:rPr>
          <w:rStyle w:val="aff0"/>
          <w:rFonts w:hint="cs"/>
          <w:rtl/>
        </w:rPr>
        <w:t>(לא: ד"ה לעולם)</w:t>
      </w:r>
      <w:r w:rsidRPr="00A655AF">
        <w:rPr>
          <w:rStyle w:val="af"/>
          <w:rFonts w:hint="cs"/>
          <w:rtl/>
        </w:rPr>
        <w:t xml:space="preserve"> דכיון שאינו רוצה לחזור ולהדליק את הפתילה אין בנין במקום הסתירה</w:t>
      </w:r>
      <w:r w:rsidRPr="006D12D1">
        <w:rPr>
          <w:rStyle w:val="af"/>
          <w:rFonts w:hint="cs"/>
          <w:rtl/>
        </w:rPr>
        <w:t>],</w:t>
      </w:r>
      <w:r>
        <w:rPr>
          <w:rFonts w:hint="cs"/>
          <w:rtl/>
        </w:rPr>
        <w:t xml:space="preserve"> ומקשה הגמ' דהא במשכן היה סותר שלא ע"מ לבנות במקומו, ותירצה דכיון דהוא עפ"י ה' חשיב כלבנות במקומו, וכתב </w:t>
      </w:r>
      <w:r w:rsidRPr="001A2014">
        <w:rPr>
          <w:rStyle w:val="aff4"/>
          <w:rFonts w:hint="cs"/>
          <w:vanish/>
          <w:rtl/>
        </w:rPr>
        <w:t>-</w:t>
      </w:r>
      <w:r w:rsidRPr="001A2014">
        <w:rPr>
          <w:rStyle w:val="aff4"/>
          <w:rFonts w:hint="cs"/>
          <w:rtl/>
        </w:rPr>
        <w:t>האו"ש</w:t>
      </w:r>
      <w:r w:rsidRPr="001A2014">
        <w:rPr>
          <w:rStyle w:val="aff4"/>
          <w:rFonts w:hint="cs"/>
          <w:vanish/>
          <w:rtl/>
        </w:rPr>
        <w:t>-</w:t>
      </w:r>
      <w:r>
        <w:rPr>
          <w:rFonts w:hint="cs"/>
          <w:rtl/>
        </w:rPr>
        <w:t xml:space="preserve"> דמוכח מהגמ' לעיל כירושלמי דהבנין במשכן הוא בקרקע ולא באדנים, דהא אי הבנין באדנים אף כשבונה את המשכן במקום אחר הוא כסותר ע"מ לבנות במקומו, דהא אם כיבה פתחילה בחצר אחת ונטל את הפתילה למקום אחר והדליק, ודאי דהוי סותר ע"מ לבנות במקומו, </w:t>
      </w:r>
      <w:r w:rsidRPr="00A655AF">
        <w:rPr>
          <w:rStyle w:val="af"/>
          <w:rFonts w:hint="cs"/>
          <w:rtl/>
        </w:rPr>
        <w:t>[ורק אם סותר את הקרשים ע"מ לקובען באדנים אחרים, חשיב כחס על הנר דהוא כסותר ע"מ לבנות שלא במקומו</w:t>
      </w:r>
      <w:r w:rsidRPr="006D12D1">
        <w:rPr>
          <w:rStyle w:val="af"/>
          <w:rFonts w:hint="cs"/>
          <w:rtl/>
        </w:rPr>
        <w:t>],</w:t>
      </w:r>
      <w:r>
        <w:rPr>
          <w:rFonts w:hint="cs"/>
          <w:rtl/>
        </w:rPr>
        <w:t xml:space="preserve"> וכתב </w:t>
      </w:r>
      <w:r w:rsidRPr="001A2014">
        <w:rPr>
          <w:rStyle w:val="aff4"/>
          <w:rFonts w:hint="cs"/>
          <w:vanish/>
          <w:rtl/>
        </w:rPr>
        <w:t>-</w:t>
      </w:r>
      <w:r w:rsidRPr="001A2014">
        <w:rPr>
          <w:rStyle w:val="aff4"/>
          <w:rFonts w:hint="cs"/>
          <w:rtl/>
        </w:rPr>
        <w:t>האו"ש</w:t>
      </w:r>
      <w:r w:rsidRPr="001A2014">
        <w:rPr>
          <w:rStyle w:val="aff4"/>
          <w:rFonts w:hint="cs"/>
          <w:vanish/>
          <w:rtl/>
        </w:rPr>
        <w:t>-</w:t>
      </w:r>
      <w:r>
        <w:rPr>
          <w:rFonts w:hint="cs"/>
          <w:rtl/>
        </w:rPr>
        <w:t xml:space="preserve"> דא"כ מוכח דאף לבבלי הבנין באדנים הוא בקרקע ולא באדנים עצמם דאין בנין בכלים, ולכן מקשה הגמ' דהוא סותר ע"מ לבנות שלא במקומו, ודלא </w:t>
      </w:r>
      <w:r w:rsidRPr="001A2014">
        <w:rPr>
          <w:rStyle w:val="aff4"/>
          <w:rFonts w:hint="cs"/>
          <w:vanish/>
          <w:rtl/>
        </w:rPr>
        <w:t>-</w:t>
      </w:r>
      <w:r w:rsidRPr="001A2014">
        <w:rPr>
          <w:rStyle w:val="aff4"/>
          <w:rFonts w:hint="cs"/>
          <w:rtl/>
        </w:rPr>
        <w:t>כחת"ס</w:t>
      </w:r>
      <w:r w:rsidRPr="001A2014">
        <w:rPr>
          <w:rStyle w:val="aff4"/>
          <w:rFonts w:hint="cs"/>
          <w:vanish/>
          <w:rtl/>
        </w:rPr>
        <w:t>-</w:t>
      </w:r>
      <w:r>
        <w:rPr>
          <w:rFonts w:hint="cs"/>
          <w:rtl/>
        </w:rPr>
        <w:t xml:space="preserve"> </w:t>
      </w:r>
      <w:r w:rsidRPr="00DB1D3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Ref143615642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מח)</w:t>
      </w:r>
      <w:r>
        <w:rPr>
          <w:rStyle w:val="af2"/>
          <w:rFonts w:eastAsia="Guttman Hodes"/>
          <w:rtl/>
        </w:rPr>
        <w:fldChar w:fldCharType="end"/>
      </w:r>
      <w:r>
        <w:rPr>
          <w:rFonts w:hint="cs"/>
          <w:rtl/>
        </w:rPr>
        <w:t xml:space="preserve">, ועי' במ"ש </w:t>
      </w:r>
      <w:r w:rsidRPr="001A2014">
        <w:rPr>
          <w:rStyle w:val="aff4"/>
          <w:rFonts w:hint="cs"/>
          <w:vanish/>
          <w:rtl/>
        </w:rPr>
        <w:t>-</w:t>
      </w:r>
      <w:r w:rsidRPr="001A2014">
        <w:rPr>
          <w:rStyle w:val="aff4"/>
          <w:rFonts w:hint="cs"/>
          <w:rtl/>
        </w:rPr>
        <w:t>האו"ש</w:t>
      </w:r>
      <w:r w:rsidRPr="001A2014">
        <w:rPr>
          <w:rStyle w:val="aff4"/>
          <w:rFonts w:hint="cs"/>
          <w:vanish/>
          <w:rtl/>
        </w:rPr>
        <w:t>-</w:t>
      </w:r>
      <w:r>
        <w:rPr>
          <w:rFonts w:hint="cs"/>
          <w:rtl/>
        </w:rPr>
        <w:t xml:space="preserve"> </w:t>
      </w:r>
      <w:r w:rsidRPr="00DB1D3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Ref143614061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ב)</w:t>
      </w:r>
      <w:r>
        <w:rPr>
          <w:rStyle w:val="af2"/>
          <w:rFonts w:eastAsia="Guttman Hodes"/>
          <w:rtl/>
        </w:rPr>
        <w:fldChar w:fldCharType="end"/>
      </w:r>
      <w:r>
        <w:rPr>
          <w:rFonts w:hint="cs"/>
          <w:rtl/>
        </w:rPr>
        <w:t xml:space="preserve"> דבבונה בדרך בנין ע"ג קרקע חייב אף שלא עשה אוהל כלל.</w:t>
      </w:r>
      <w:bookmarkEnd w:id="4691"/>
    </w:p>
    <w:p w14:paraId="32C00263" w14:textId="77777777" w:rsidR="00376F67" w:rsidRPr="0074694D" w:rsidRDefault="00376F67" w:rsidP="00376F67">
      <w:pPr>
        <w:pStyle w:val="a2"/>
        <w:tabs>
          <w:tab w:val="num" w:pos="284"/>
        </w:tabs>
        <w:rPr>
          <w:vanish w:val="0"/>
          <w:rtl/>
        </w:rPr>
      </w:pPr>
      <w:r w:rsidRPr="0074694D">
        <w:rPr>
          <w:rtl/>
        </w:rPr>
        <w:t>עוד קאמר שם בירושלמי (שבת פ"ז ה"ב) הדא אמרה בנין ע"ג כלים הוי בנין, אדנים כקרקע הן, וכן פסק רבינו כאן דהבונה ע"ג כלים פטור, ונראה לדעתי כי כן מוכרח גם מש"ס דילן (שבת), דבדף ל"א ע"ב קאמר וקסבר ר' יוסי סותר ע"מ לבנות שלא במקומו לא הוי סותר, הלכך לא שייכא סתירה ובנין אלא בפתילה, וכיון דאין מחשבת סופו לחזור ולהדליק פתילה זו אין כאן עוד בנין במקום סתירה, עכ"ל רש"י (ד"ה לעולם), וניחזי, דהמכבה את הנר בחצר זו ע"מ להדליק הפתילה במקום אחר האם אינו כבוי, ואם נימא דהבנין היינו שנותן ע"ג אדנים וע"ג כלים ג"כ הוי בנין, וכיון דהיה סותר הקרשים מהאדנים ע"מ לחזור ולקבוע הקרשים בהאדנים א"כ הוי בנין, כמו דהוי כבוי בפתילה, בשלמא אם היה סותר הקרשים ע"מ לקובען באדנים אחרים אז הוי כחס על השמן, וע"כ דבעי בנין בקרקע, ומפני שהאדנים קובעים במישור ע"ג קרקע הוי כקרקע, א"כ המלאכה היא במה שנקבעת בקרקע, וא"כ אם סתרו המשכן באלוש ע"מ להקימו בסיני הוי כסותר ע"מ לבנות שלא במקומו, כיון דמקום הוא מהצטרפות הבנין ודו"ק, והחת"ס לא צדק בזה במח"כ, חלק אורח חיים סימן ע"ב עיין שם.</w:t>
      </w:r>
    </w:p>
    <w:p w14:paraId="0B2868AF" w14:textId="77777777" w:rsidR="00376F67" w:rsidRPr="005B4CAC" w:rsidRDefault="00376F67" w:rsidP="00376F67">
      <w:pPr>
        <w:pStyle w:val="afffff7"/>
        <w:rPr>
          <w:rtl/>
        </w:rPr>
      </w:pPr>
      <w:bookmarkStart w:id="4692" w:name="_Toc143767921"/>
      <w:bookmarkStart w:id="4693" w:name="_Toc163506109"/>
      <w:r w:rsidRPr="005B4CAC">
        <w:rPr>
          <w:rtl/>
        </w:rPr>
        <w:t>אור שמח שבת פ"י הי"ב</w:t>
      </w:r>
      <w:r w:rsidRPr="005B4CAC">
        <w:rPr>
          <w:rFonts w:hint="cs"/>
          <w:rtl/>
        </w:rPr>
        <w:t xml:space="preserve"> ד"ה </w:t>
      </w:r>
      <w:r w:rsidRPr="005B4CAC">
        <w:rPr>
          <w:rtl/>
        </w:rPr>
        <w:t>וכבר כתבתי</w:t>
      </w:r>
      <w:bookmarkEnd w:id="4692"/>
      <w:bookmarkEnd w:id="4693"/>
    </w:p>
    <w:p w14:paraId="2844B773" w14:textId="77777777" w:rsidR="00376F67" w:rsidRDefault="00376F67" w:rsidP="00376F67">
      <w:pPr>
        <w:pStyle w:val="a7"/>
        <w:rPr>
          <w:rtl/>
        </w:rPr>
      </w:pPr>
      <w:bookmarkStart w:id="4694" w:name="_Toc143767801"/>
      <w:bookmarkStart w:id="4695" w:name="_Toc143770622"/>
      <w:r>
        <w:rPr>
          <w:rFonts w:hint="cs"/>
          <w:rtl/>
        </w:rPr>
        <w:t>בי' האו"ש דיצירת דבר חדש לעולם הוי בונה אף בבונה ע"ג כלים ובנין לשעה אף להירושמי</w:t>
      </w:r>
      <w:bookmarkEnd w:id="4694"/>
      <w:bookmarkEnd w:id="4695"/>
    </w:p>
    <w:p w14:paraId="6F3E8141" w14:textId="155BB3CC" w:rsidR="00376F67" w:rsidRDefault="00376F67" w:rsidP="00BC7DC8">
      <w:pPr>
        <w:pStyle w:val="a3"/>
      </w:pPr>
      <w:bookmarkStart w:id="4696" w:name="_Ref143593506"/>
      <w:r>
        <w:rPr>
          <w:rFonts w:hint="cs"/>
          <w:rtl/>
        </w:rPr>
        <w:t xml:space="preserve">וביאר </w:t>
      </w:r>
      <w:r w:rsidRPr="001A2014">
        <w:rPr>
          <w:rStyle w:val="aff4"/>
          <w:rFonts w:hint="cs"/>
          <w:vanish/>
          <w:rtl/>
        </w:rPr>
        <w:t>-</w:t>
      </w:r>
      <w:r w:rsidRPr="001A2014">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Ref143593506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לו)</w:t>
      </w:r>
      <w:r>
        <w:rPr>
          <w:rStyle w:val="aff4"/>
          <w:vanish/>
          <w:rtl/>
        </w:rPr>
        <w:fldChar w:fldCharType="end"/>
      </w:r>
      <w:r>
        <w:rPr>
          <w:rStyle w:val="aff4"/>
          <w:rFonts w:hint="cs"/>
          <w:vanish/>
          <w:rtl/>
        </w:rPr>
        <w:t xml:space="preserve"> &gt;</w:t>
      </w:r>
      <w:r w:rsidRPr="001A2014">
        <w:rPr>
          <w:rStyle w:val="aff4"/>
          <w:rFonts w:hint="cs"/>
          <w:rtl/>
        </w:rPr>
        <w:t>או"ש</w:t>
      </w:r>
      <w:r w:rsidRPr="001A2014">
        <w:rPr>
          <w:rStyle w:val="aff4"/>
          <w:rFonts w:hint="cs"/>
          <w:vanish/>
          <w:rtl/>
        </w:rPr>
        <w:t>-</w:t>
      </w:r>
      <w:r>
        <w:rPr>
          <w:rFonts w:hint="cs"/>
          <w:rtl/>
        </w:rPr>
        <w:t xml:space="preserve"> </w:t>
      </w:r>
      <w:r w:rsidRPr="00DB1D3B">
        <w:rPr>
          <w:rStyle w:val="af2"/>
          <w:rFonts w:eastAsia="Guttman Hodes" w:hint="cs"/>
          <w:rtl/>
        </w:rPr>
        <w:t xml:space="preserve">(שבת פ"י הי"ב ד"ה </w:t>
      </w:r>
      <w:r w:rsidRPr="00DB1D3B">
        <w:rPr>
          <w:rStyle w:val="af2"/>
          <w:rFonts w:eastAsia="Guttman Hodes"/>
          <w:rtl/>
        </w:rPr>
        <w:t>וכבר כתבתי</w:t>
      </w:r>
      <w:r w:rsidRPr="00DB1D3B">
        <w:rPr>
          <w:rStyle w:val="af2"/>
          <w:rFonts w:eastAsia="Guttman Hodes" w:hint="cs"/>
          <w:rtl/>
        </w:rPr>
        <w:t>)</w:t>
      </w:r>
      <w:r w:rsidRPr="001A2014">
        <w:rPr>
          <w:rFonts w:hint="cs"/>
          <w:vanish/>
          <w:rtl/>
        </w:rPr>
        <w:t>=</w:t>
      </w:r>
      <w:r>
        <w:rPr>
          <w:rFonts w:hint="cs"/>
          <w:rtl/>
        </w:rPr>
        <w:t xml:space="preserve"> דהא דאין בנין בכלים, היינו כגון שסידר אבנים ע"ג כלים והניח עוד אבן עליהם, דאי"ז חיבור ולא הוי בונה, וכן בבונה ע"ג כלים בבנין לשעה, אבל כשעושה דבר חדש כגון שעושה נקב בלול של תרנגולים או עושה גומא, אף בכלים יש חיוב בונה, אף כשעושה כן לשעה וכן בקודח בכלים חייב, וכתב </w:t>
      </w:r>
      <w:r w:rsidRPr="001A2014">
        <w:rPr>
          <w:rStyle w:val="aff4"/>
          <w:rFonts w:hint="cs"/>
          <w:vanish/>
          <w:rtl/>
        </w:rPr>
        <w:t>-</w:t>
      </w:r>
      <w:r w:rsidRPr="001A2014">
        <w:rPr>
          <w:rStyle w:val="aff4"/>
          <w:rFonts w:hint="cs"/>
          <w:rtl/>
        </w:rPr>
        <w:t>האו"ש</w:t>
      </w:r>
      <w:r w:rsidRPr="001A2014">
        <w:rPr>
          <w:rStyle w:val="aff4"/>
          <w:rFonts w:hint="cs"/>
          <w:vanish/>
          <w:rtl/>
        </w:rPr>
        <w:t>-</w:t>
      </w:r>
      <w:r>
        <w:rPr>
          <w:rFonts w:hint="cs"/>
          <w:rtl/>
        </w:rPr>
        <w:t xml:space="preserve"> דלכן נקט הירושלמי דבנין ע"ג כלים במשכן היה באדנים, דרק בכה"ג לא הוי בנין ופטור, אבל בעושה דבר חדש בכלי אף להירושלמי חייב.</w:t>
      </w:r>
      <w:bookmarkEnd w:id="4696"/>
    </w:p>
    <w:p w14:paraId="4BF18995" w14:textId="77777777" w:rsidR="00376F67" w:rsidRPr="0074694D" w:rsidRDefault="00376F67" w:rsidP="00376F67">
      <w:pPr>
        <w:pStyle w:val="a2"/>
        <w:tabs>
          <w:tab w:val="num" w:pos="284"/>
        </w:tabs>
        <w:rPr>
          <w:vanish w:val="0"/>
          <w:rtl/>
        </w:rPr>
      </w:pPr>
      <w:r w:rsidRPr="0074694D">
        <w:rPr>
          <w:rStyle w:val="afff7"/>
          <w:rtl/>
        </w:rPr>
        <w:t xml:space="preserve">וכבר כתבתי בחדושי בענין הפאראסאן </w:t>
      </w:r>
      <w:r w:rsidRPr="0074694D">
        <w:rPr>
          <w:rStyle w:val="afff7"/>
          <w:rFonts w:hint="cs"/>
          <w:rtl/>
        </w:rPr>
        <w:t xml:space="preserve">(מטריה) </w:t>
      </w:r>
      <w:r w:rsidRPr="0074694D">
        <w:rPr>
          <w:rStyle w:val="afff7"/>
          <w:rtl/>
        </w:rPr>
        <w:t>להסביר הירושלמי דעשיית אוהל הוי תולדה דבונה, כמבואר ברבינו הלכה י"ג, ובונה חייב בכ"ש, כל שעושה דרך בנין, ועושה הכלי או הגומא, או שסותם הקרש, אף שאינו אוהל כלל, ומצאנו בבנין דאם העלה והניח ע"ג אבנים חייב משום בונה, שבת דף ק"ב ע"ב, וכן המחבר יד עם קורדום, או שעושה ומחבר מטה המפורקת חייב משום בונה, ע"ז אמר הירושלמי היכי אשכחן כן, ומשני שכן מצאנו בקרשים שנותן באדנים, שהם היו חלולים, ומחבר זה לזה, ומצאנו שהוא אב, ופריך כל הני, דבאמת לא מיחייב רק שיבנה ע"ג קרקע, אבל ע"ג כלים, אם יסדר אבנים ויניח אבן אחד על הדימוס פטור, וכן לשעה, שהחבור אינו חבור שקיל וטרי,</w:t>
      </w:r>
      <w:r w:rsidRPr="0074694D">
        <w:rPr>
          <w:rtl/>
        </w:rPr>
        <w:t xml:space="preserve"> אבל באופן שעושה דבר חדש, כגון שנוקב בלול של תרנגולים או חופר גומא וכי"ב, בודאי על גבי כלים ג"כ חייב, וגם בלשעה ליכא לספוקי כלל, וכן קודח חייב בכל הני, וא"ש מה דלא נקיט הירושלמי אלא בנין דאדנים, וז"ב כשמש</w:t>
      </w:r>
      <w:r w:rsidRPr="0074694D">
        <w:rPr>
          <w:rFonts w:hint="cs"/>
          <w:rtl/>
        </w:rPr>
        <w:t>.</w:t>
      </w:r>
    </w:p>
    <w:p w14:paraId="0C37F36C" w14:textId="77777777" w:rsidR="00376F67" w:rsidRPr="0077536D" w:rsidRDefault="00376F67" w:rsidP="00376F67">
      <w:pPr>
        <w:pStyle w:val="a7"/>
      </w:pPr>
      <w:bookmarkStart w:id="4697" w:name="_Toc143767802"/>
      <w:bookmarkStart w:id="4698" w:name="_Toc143770623"/>
      <w:r>
        <w:rPr>
          <w:rFonts w:hint="cs"/>
          <w:rtl/>
        </w:rPr>
        <w:t>בי' האו"ש בתוס' דחיוב עושה כלי היינו כיון דעושה דבר חדש וכ"מ בירושלי דגודל כלי צורה</w:t>
      </w:r>
      <w:bookmarkEnd w:id="4697"/>
      <w:bookmarkEnd w:id="4698"/>
    </w:p>
    <w:p w14:paraId="598224FD" w14:textId="781E0B72" w:rsidR="00376F67" w:rsidRDefault="00376F67" w:rsidP="00BC7DC8">
      <w:pPr>
        <w:pStyle w:val="a3"/>
      </w:pPr>
      <w:bookmarkStart w:id="4699" w:name="_Ref143614124"/>
      <w:r>
        <w:rPr>
          <w:rFonts w:hint="cs"/>
          <w:rtl/>
        </w:rPr>
        <w:t xml:space="preserve">וכתב </w:t>
      </w:r>
      <w:r w:rsidRPr="001A2014">
        <w:rPr>
          <w:rStyle w:val="aff4"/>
          <w:rFonts w:hint="cs"/>
          <w:vanish/>
          <w:rtl/>
        </w:rPr>
        <w:t>-</w:t>
      </w:r>
      <w:r w:rsidRPr="001A2014">
        <w:rPr>
          <w:rStyle w:val="aff4"/>
          <w:rFonts w:hint="cs"/>
          <w:rtl/>
        </w:rPr>
        <w:t>האו"ש</w:t>
      </w:r>
      <w:r w:rsidRPr="001A2014">
        <w:rPr>
          <w:rStyle w:val="aff4"/>
          <w:rFonts w:hint="cs"/>
          <w:vanish/>
          <w:rtl/>
        </w:rPr>
        <w:t>-</w:t>
      </w:r>
      <w:r>
        <w:rPr>
          <w:rFonts w:hint="cs"/>
          <w:rtl/>
        </w:rPr>
        <w:t xml:space="preserve"> דכן מבואר בדברי </w:t>
      </w:r>
      <w:r w:rsidRPr="001A2014">
        <w:rPr>
          <w:rStyle w:val="aff4"/>
          <w:rFonts w:hint="cs"/>
          <w:vanish/>
          <w:rtl/>
        </w:rPr>
        <w:t>-</w:t>
      </w:r>
      <w:r w:rsidRPr="001A2014">
        <w:rPr>
          <w:rStyle w:val="aff4"/>
          <w:rFonts w:hint="cs"/>
          <w:rtl/>
        </w:rPr>
        <w:t>התוס' לעיל</w:t>
      </w:r>
      <w:r w:rsidRPr="001A2014">
        <w:rPr>
          <w:rStyle w:val="aff4"/>
          <w:rFonts w:hint="cs"/>
          <w:vanish/>
          <w:rtl/>
        </w:rPr>
        <w:t>-</w:t>
      </w:r>
      <w:r>
        <w:rPr>
          <w:rFonts w:hint="cs"/>
          <w:rtl/>
        </w:rPr>
        <w:t xml:space="preserve"> </w:t>
      </w:r>
      <w:r w:rsidRPr="00DB1D3B">
        <w:rPr>
          <w:rStyle w:val="af2"/>
          <w:rFonts w:eastAsia="Guttman Hodes" w:hint="cs"/>
          <w:rtl/>
        </w:rPr>
        <w:t>(עי' אות</w:t>
      </w:r>
      <w:r w:rsidRPr="00DB1D3B">
        <w:rPr>
          <w:rStyle w:val="af2"/>
          <w:rFonts w:eastAsia="Guttman Hodes"/>
          <w:rtl/>
        </w:rPr>
        <w:t xml:space="preserve"> </w:t>
      </w:r>
      <w:r w:rsidRPr="00DB1D3B">
        <w:rPr>
          <w:rStyle w:val="af2"/>
          <w:rFonts w:eastAsia="Guttman Hodes"/>
          <w:rtl/>
        </w:rPr>
        <w:fldChar w:fldCharType="begin"/>
      </w:r>
      <w:r w:rsidRPr="00DB1D3B">
        <w:rPr>
          <w:rStyle w:val="af2"/>
          <w:rFonts w:eastAsia="Guttman Hodes"/>
          <w:rtl/>
        </w:rPr>
        <w:instrText xml:space="preserve"> </w:instrText>
      </w:r>
      <w:r w:rsidRPr="00DB1D3B">
        <w:rPr>
          <w:rStyle w:val="af2"/>
          <w:rFonts w:eastAsia="Guttman Hodes" w:hint="cs"/>
        </w:rPr>
        <w:instrText>REF</w:instrText>
      </w:r>
      <w:r w:rsidRPr="00DB1D3B">
        <w:rPr>
          <w:rStyle w:val="af2"/>
          <w:rFonts w:eastAsia="Guttman Hodes" w:hint="cs"/>
          <w:rtl/>
        </w:rPr>
        <w:instrText xml:space="preserve"> _</w:instrText>
      </w:r>
      <w:r w:rsidRPr="00DB1D3B">
        <w:rPr>
          <w:rStyle w:val="af2"/>
          <w:rFonts w:eastAsia="Guttman Hodes" w:hint="cs"/>
        </w:rPr>
        <w:instrText>Ref143421195 \r \h</w:instrText>
      </w:r>
      <w:r w:rsidRPr="00DB1D3B">
        <w:rPr>
          <w:rStyle w:val="af2"/>
          <w:rFonts w:eastAsia="Guttman Hodes"/>
          <w:rtl/>
        </w:rPr>
        <w:instrText xml:space="preserve"> </w:instrText>
      </w:r>
      <w:r w:rsidRPr="00DB1D3B">
        <w:rPr>
          <w:rStyle w:val="af2"/>
          <w:rFonts w:eastAsia="Guttman Hodes"/>
          <w:rtl/>
        </w:rPr>
      </w:r>
      <w:r w:rsidRPr="00DB1D3B">
        <w:rPr>
          <w:rStyle w:val="af2"/>
          <w:rFonts w:eastAsia="Guttman Hodes"/>
          <w:rtl/>
        </w:rPr>
        <w:fldChar w:fldCharType="separate"/>
      </w:r>
      <w:r w:rsidR="00D82181">
        <w:rPr>
          <w:rStyle w:val="af2"/>
          <w:rFonts w:eastAsia="Guttman Hodes"/>
          <w:cs/>
        </w:rPr>
        <w:t>‎</w:t>
      </w:r>
      <w:r w:rsidR="00D82181">
        <w:rPr>
          <w:rStyle w:val="af2"/>
          <w:rFonts w:eastAsia="Guttman Hodes"/>
          <w:rtl/>
        </w:rPr>
        <w:t>ל)</w:t>
      </w:r>
      <w:r w:rsidRPr="00DB1D3B">
        <w:rPr>
          <w:rStyle w:val="af2"/>
          <w:rFonts w:eastAsia="Guttman Hodes"/>
          <w:rtl/>
        </w:rPr>
        <w:fldChar w:fldCharType="end"/>
      </w:r>
      <w:r>
        <w:rPr>
          <w:rFonts w:hint="cs"/>
          <w:rtl/>
        </w:rPr>
        <w:t xml:space="preserve"> דכתבו דאין בנין בכלים רק במחזיר מיטה של חוליות, אבל כשעושה את כל הכלי הוי בנין, כדאיתא בסוגיין דהמחבר יד לקרדום הוי בונה, והקשו </w:t>
      </w:r>
      <w:r w:rsidRPr="001A2014">
        <w:rPr>
          <w:rStyle w:val="aff4"/>
          <w:rFonts w:hint="cs"/>
          <w:vanish/>
          <w:rtl/>
        </w:rPr>
        <w:t>-</w:t>
      </w:r>
      <w:r w:rsidRPr="001A2014">
        <w:rPr>
          <w:rStyle w:val="aff4"/>
          <w:rFonts w:hint="cs"/>
          <w:rtl/>
        </w:rPr>
        <w:t>התוס'</w:t>
      </w:r>
      <w:r w:rsidRPr="001A2014">
        <w:rPr>
          <w:rStyle w:val="aff4"/>
          <w:rFonts w:hint="cs"/>
          <w:vanish/>
          <w:rtl/>
        </w:rPr>
        <w:t>-</w:t>
      </w:r>
      <w:r>
        <w:rPr>
          <w:rFonts w:hint="cs"/>
          <w:rtl/>
        </w:rPr>
        <w:t xml:space="preserve"> </w:t>
      </w:r>
      <w:r w:rsidRPr="00DB1D3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Ref143549634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לא)</w:t>
      </w:r>
      <w:r>
        <w:rPr>
          <w:rStyle w:val="af2"/>
          <w:rFonts w:eastAsia="Guttman Hodes"/>
          <w:rtl/>
        </w:rPr>
        <w:fldChar w:fldCharType="end"/>
      </w:r>
      <w:r w:rsidRPr="00197B44">
        <w:rPr>
          <w:rFonts w:hint="cs"/>
          <w:rtl/>
        </w:rPr>
        <w:t xml:space="preserve"> </w:t>
      </w:r>
      <w:r>
        <w:rPr>
          <w:rFonts w:hint="cs"/>
          <w:rtl/>
        </w:rPr>
        <w:t xml:space="preserve">דאיתא בגמ' לעיל </w:t>
      </w:r>
      <w:r w:rsidRPr="00DB1D3B">
        <w:rPr>
          <w:rStyle w:val="af2"/>
          <w:rFonts w:eastAsia="Guttman Hodes" w:hint="cs"/>
          <w:rtl/>
        </w:rPr>
        <w:t>(עה:)</w:t>
      </w:r>
      <w:r>
        <w:rPr>
          <w:rFonts w:hint="cs"/>
          <w:rtl/>
        </w:rPr>
        <w:t xml:space="preserve"> דהמנפח כלי זכוכית חייב משום מכה בפטיש, ומשמע דאין בזה חיוב בונה, וכתב </w:t>
      </w:r>
      <w:r w:rsidRPr="001A2014">
        <w:rPr>
          <w:rStyle w:val="aff4"/>
          <w:rFonts w:hint="cs"/>
          <w:vanish/>
          <w:rtl/>
        </w:rPr>
        <w:t>-</w:t>
      </w:r>
      <w:r w:rsidRPr="001A2014">
        <w:rPr>
          <w:rStyle w:val="aff4"/>
          <w:rFonts w:hint="cs"/>
          <w:rtl/>
        </w:rPr>
        <w:t>האו"ש</w:t>
      </w:r>
      <w:r w:rsidRPr="001A2014">
        <w:rPr>
          <w:rStyle w:val="aff4"/>
          <w:rFonts w:hint="cs"/>
          <w:vanish/>
          <w:rtl/>
        </w:rPr>
        <w:t>-</w:t>
      </w:r>
      <w:r>
        <w:rPr>
          <w:rFonts w:hint="cs"/>
          <w:rtl/>
        </w:rPr>
        <w:t xml:space="preserve"> דהא דלא הקשו </w:t>
      </w:r>
      <w:r w:rsidRPr="001A2014">
        <w:rPr>
          <w:rStyle w:val="aff4"/>
          <w:rFonts w:hint="cs"/>
          <w:vanish/>
          <w:rtl/>
        </w:rPr>
        <w:t>-</w:t>
      </w:r>
      <w:r w:rsidRPr="001A2014">
        <w:rPr>
          <w:rStyle w:val="aff4"/>
          <w:rFonts w:hint="cs"/>
          <w:rtl/>
        </w:rPr>
        <w:t>התוס'</w:t>
      </w:r>
      <w:r w:rsidRPr="001A2014">
        <w:rPr>
          <w:rStyle w:val="aff4"/>
          <w:rFonts w:hint="cs"/>
          <w:vanish/>
          <w:rtl/>
        </w:rPr>
        <w:t>-</w:t>
      </w:r>
      <w:r>
        <w:rPr>
          <w:rFonts w:hint="cs"/>
          <w:rtl/>
        </w:rPr>
        <w:t xml:space="preserve"> מהירושלמי דאין בנין בכלים כדמוכח באדנים, הוא כיון דאי"ז כעושה כלי מחדש, ובכה"ג פשיטא דלא הוי בנין, וכן ביאר </w:t>
      </w:r>
      <w:r w:rsidRPr="001A2014">
        <w:rPr>
          <w:rStyle w:val="aff4"/>
          <w:rFonts w:hint="cs"/>
          <w:vanish/>
          <w:rtl/>
        </w:rPr>
        <w:t>-</w:t>
      </w:r>
      <w:r w:rsidRPr="001A2014">
        <w:rPr>
          <w:rStyle w:val="aff4"/>
          <w:rFonts w:hint="cs"/>
          <w:rtl/>
        </w:rPr>
        <w:t>המ"מ</w:t>
      </w:r>
      <w:r w:rsidRPr="001A2014">
        <w:rPr>
          <w:rStyle w:val="aff4"/>
          <w:rFonts w:hint="cs"/>
          <w:vanish/>
          <w:rtl/>
        </w:rPr>
        <w:t>-</w:t>
      </w:r>
      <w:r>
        <w:rPr>
          <w:rFonts w:hint="cs"/>
          <w:rtl/>
        </w:rPr>
        <w:t xml:space="preserve"> </w:t>
      </w:r>
      <w:r w:rsidRPr="00DB1D3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Ref143549459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כה)</w:t>
      </w:r>
      <w:r>
        <w:rPr>
          <w:rStyle w:val="af2"/>
          <w:rFonts w:eastAsia="Guttman Hodes"/>
          <w:rtl/>
        </w:rPr>
        <w:fldChar w:fldCharType="end"/>
      </w:r>
      <w:r>
        <w:rPr>
          <w:rFonts w:hint="cs"/>
          <w:rtl/>
        </w:rPr>
        <w:t xml:space="preserve"> בדעת </w:t>
      </w:r>
      <w:r w:rsidRPr="001A2014">
        <w:rPr>
          <w:rStyle w:val="aff4"/>
          <w:rFonts w:hint="cs"/>
          <w:vanish/>
          <w:rtl/>
        </w:rPr>
        <w:t>-</w:t>
      </w:r>
      <w:r w:rsidRPr="001A2014">
        <w:rPr>
          <w:rStyle w:val="aff4"/>
          <w:rFonts w:hint="cs"/>
          <w:rtl/>
        </w:rPr>
        <w:t>הרמב"ם</w:t>
      </w:r>
      <w:r w:rsidRPr="001A2014">
        <w:rPr>
          <w:rStyle w:val="aff4"/>
          <w:rFonts w:hint="cs"/>
          <w:vanish/>
          <w:rtl/>
        </w:rPr>
        <w:t>-</w:t>
      </w:r>
      <w:r>
        <w:rPr>
          <w:rFonts w:hint="cs"/>
          <w:rtl/>
        </w:rPr>
        <w:t xml:space="preserve"> דכתב דהעושה כלי אדמה חייב, </w:t>
      </w:r>
      <w:r w:rsidRPr="000E38AF">
        <w:rPr>
          <w:rStyle w:val="af"/>
          <w:rFonts w:hint="cs"/>
          <w:rtl/>
        </w:rPr>
        <w:t>[</w:t>
      </w:r>
      <w:r>
        <w:rPr>
          <w:rStyle w:val="af"/>
          <w:rFonts w:hint="cs"/>
          <w:rtl/>
        </w:rPr>
        <w:t xml:space="preserve">אך </w:t>
      </w:r>
      <w:r w:rsidRPr="000E38AF">
        <w:rPr>
          <w:rStyle w:val="af"/>
          <w:rFonts w:hint="cs"/>
          <w:rtl/>
        </w:rPr>
        <w:t xml:space="preserve">כתב </w:t>
      </w:r>
      <w:r w:rsidRPr="000E38AF">
        <w:rPr>
          <w:rStyle w:val="aff9"/>
          <w:rFonts w:hint="cs"/>
          <w:vanish/>
          <w:rtl/>
        </w:rPr>
        <w:t>-</w:t>
      </w:r>
      <w:r w:rsidRPr="000E38AF">
        <w:rPr>
          <w:rStyle w:val="aff9"/>
          <w:rFonts w:hint="cs"/>
          <w:rtl/>
        </w:rPr>
        <w:t>האו"ש</w:t>
      </w:r>
      <w:r w:rsidRPr="000E38AF">
        <w:rPr>
          <w:rStyle w:val="aff9"/>
          <w:rFonts w:hint="cs"/>
          <w:vanish/>
          <w:rtl/>
        </w:rPr>
        <w:t>-</w:t>
      </w:r>
      <w:r w:rsidRPr="000E38AF">
        <w:rPr>
          <w:rStyle w:val="af"/>
          <w:rFonts w:hint="cs"/>
          <w:rtl/>
        </w:rPr>
        <w:t xml:space="preserve"> דלדעת </w:t>
      </w:r>
      <w:r w:rsidRPr="000E38AF">
        <w:rPr>
          <w:rStyle w:val="aff9"/>
          <w:rFonts w:hint="cs"/>
          <w:vanish/>
          <w:rtl/>
        </w:rPr>
        <w:t>-</w:t>
      </w:r>
      <w:r w:rsidRPr="000E38AF">
        <w:rPr>
          <w:rStyle w:val="aff9"/>
          <w:rFonts w:hint="cs"/>
          <w:rtl/>
        </w:rPr>
        <w:t>הבעה"מ</w:t>
      </w:r>
      <w:r w:rsidRPr="000E38AF">
        <w:rPr>
          <w:rStyle w:val="aff9"/>
          <w:rFonts w:hint="cs"/>
          <w:vanish/>
          <w:rtl/>
        </w:rPr>
        <w:t>-</w:t>
      </w:r>
      <w:r w:rsidRPr="000E38AF">
        <w:rPr>
          <w:rStyle w:val="af"/>
          <w:rFonts w:hint="cs"/>
          <w:rtl/>
        </w:rPr>
        <w:t xml:space="preserve"> </w:t>
      </w:r>
      <w:r w:rsidRPr="000E38AF">
        <w:rPr>
          <w:rStyle w:val="aff0"/>
          <w:rFonts w:hint="cs"/>
          <w:rtl/>
        </w:rPr>
        <w:t>(לז. מדה"ר ד"ה עייל</w:t>
      </w:r>
      <w:r w:rsidRPr="000E38AF">
        <w:rPr>
          <w:rStyle w:val="aff0"/>
          <w:rtl/>
        </w:rPr>
        <w:t xml:space="preserve">, מהדו' עוז והדר </w:t>
      </w:r>
      <w:r w:rsidRPr="000E38AF">
        <w:rPr>
          <w:rStyle w:val="aff0"/>
          <w:rFonts w:hint="cs"/>
          <w:rtl/>
        </w:rPr>
        <w:t>עמ' ק"ד)</w:t>
      </w:r>
      <w:r w:rsidRPr="000E38AF">
        <w:rPr>
          <w:rStyle w:val="af"/>
          <w:rFonts w:hint="cs"/>
          <w:rtl/>
        </w:rPr>
        <w:t xml:space="preserve"> </w:t>
      </w:r>
      <w:r w:rsidRPr="000E38AF">
        <w:rPr>
          <w:rStyle w:val="aff9"/>
          <w:rFonts w:hint="cs"/>
          <w:vanish/>
          <w:rtl/>
        </w:rPr>
        <w:t>-</w:t>
      </w:r>
      <w:r w:rsidRPr="000E38AF">
        <w:rPr>
          <w:rStyle w:val="aff9"/>
          <w:rFonts w:hint="cs"/>
          <w:rtl/>
        </w:rPr>
        <w:t>והרמב"ן במלחמות</w:t>
      </w:r>
      <w:r w:rsidRPr="000E38AF">
        <w:rPr>
          <w:rStyle w:val="aff9"/>
          <w:rFonts w:hint="cs"/>
          <w:vanish/>
          <w:rtl/>
        </w:rPr>
        <w:t>-</w:t>
      </w:r>
      <w:r w:rsidRPr="000E38AF">
        <w:rPr>
          <w:rStyle w:val="af"/>
          <w:rFonts w:hint="cs"/>
          <w:rtl/>
        </w:rPr>
        <w:t xml:space="preserve"> </w:t>
      </w:r>
      <w:r w:rsidRPr="000E38AF">
        <w:rPr>
          <w:rStyle w:val="aff0"/>
          <w:rFonts w:hint="cs"/>
          <w:rtl/>
        </w:rPr>
        <w:t>(לז. מדה"ר ד"ה אמר הכותב</w:t>
      </w:r>
      <w:r w:rsidRPr="000E38AF">
        <w:rPr>
          <w:rStyle w:val="aff0"/>
          <w:rtl/>
        </w:rPr>
        <w:t xml:space="preserve">, מהדו' עוז והדר </w:t>
      </w:r>
      <w:r w:rsidRPr="000E38AF">
        <w:rPr>
          <w:rStyle w:val="aff0"/>
          <w:rFonts w:hint="cs"/>
          <w:rtl/>
        </w:rPr>
        <w:t>עמ' ק"ד)</w:t>
      </w:r>
      <w:r w:rsidRPr="000E38AF">
        <w:rPr>
          <w:rStyle w:val="af"/>
          <w:rFonts w:hint="cs"/>
          <w:rtl/>
        </w:rPr>
        <w:t xml:space="preserve"> אין בנין בכלים כלל, ושייך לחייב רק משום מכה בפטיש בתוקע בחוזק]</w:t>
      </w:r>
      <w:r>
        <w:rPr>
          <w:rStyle w:val="af"/>
          <w:rFonts w:hint="cs"/>
          <w:rtl/>
        </w:rPr>
        <w:t>,</w:t>
      </w:r>
      <w:r>
        <w:rPr>
          <w:rStyle w:val="af"/>
          <w:rFonts w:hint="cs"/>
          <w:sz w:val="18"/>
          <w:szCs w:val="18"/>
          <w:rtl/>
        </w:rPr>
        <w:t xml:space="preserve"> </w:t>
      </w:r>
      <w:r>
        <w:rPr>
          <w:rFonts w:hint="cs"/>
          <w:rtl/>
        </w:rPr>
        <w:t xml:space="preserve">ובמ"ש </w:t>
      </w:r>
      <w:r w:rsidRPr="001A2014">
        <w:rPr>
          <w:rStyle w:val="aff4"/>
          <w:rFonts w:hint="cs"/>
          <w:vanish/>
          <w:rtl/>
        </w:rPr>
        <w:t>-</w:t>
      </w:r>
      <w:r w:rsidRPr="001A2014">
        <w:rPr>
          <w:rStyle w:val="aff4"/>
          <w:rFonts w:hint="cs"/>
          <w:rtl/>
        </w:rPr>
        <w:t>המ"מ</w:t>
      </w:r>
      <w:r w:rsidRPr="001A2014">
        <w:rPr>
          <w:rStyle w:val="aff4"/>
          <w:rFonts w:hint="cs"/>
          <w:vanish/>
          <w:rtl/>
        </w:rPr>
        <w:t>-</w:t>
      </w:r>
      <w:r>
        <w:rPr>
          <w:rFonts w:hint="cs"/>
          <w:rtl/>
        </w:rPr>
        <w:t xml:space="preserve"> דכן איתא בירושלמי, ביאר </w:t>
      </w:r>
      <w:r w:rsidRPr="001A2014">
        <w:rPr>
          <w:rStyle w:val="aff4"/>
          <w:rFonts w:hint="cs"/>
          <w:vanish/>
          <w:rtl/>
        </w:rPr>
        <w:t>-</w:t>
      </w:r>
      <w:r w:rsidRPr="001A2014">
        <w:rPr>
          <w:rStyle w:val="aff4"/>
          <w:rFonts w:hint="cs"/>
          <w:rtl/>
        </w:rPr>
        <w:t>האו"ש</w:t>
      </w:r>
      <w:r w:rsidRPr="001A2014">
        <w:rPr>
          <w:rStyle w:val="aff4"/>
          <w:rFonts w:hint="cs"/>
          <w:vanish/>
          <w:rtl/>
        </w:rPr>
        <w:t>-</w:t>
      </w:r>
      <w:r>
        <w:rPr>
          <w:rFonts w:hint="cs"/>
          <w:rtl/>
        </w:rPr>
        <w:t xml:space="preserve"> דהיינו כדאיתא בירושלמי </w:t>
      </w:r>
      <w:r w:rsidRPr="00D14328">
        <w:rPr>
          <w:rStyle w:val="af2"/>
          <w:rFonts w:eastAsia="Guttman Hodes"/>
          <w:rtl/>
        </w:rPr>
        <w:t>(פ"ז ה"ב</w:t>
      </w:r>
      <w:r w:rsidRPr="00D14328">
        <w:rPr>
          <w:rStyle w:val="af2"/>
          <w:rFonts w:eastAsia="Guttman Hodes" w:hint="cs"/>
          <w:rtl/>
        </w:rPr>
        <w:t>, נב:, מהדו' עוז והדר סד.)</w:t>
      </w:r>
      <w:r>
        <w:rPr>
          <w:rFonts w:hint="cs"/>
          <w:rtl/>
        </w:rPr>
        <w:t xml:space="preserve"> דהגודל כלי צורה הוי בונה, אך הקשה </w:t>
      </w:r>
      <w:r w:rsidRPr="001A2014">
        <w:rPr>
          <w:rStyle w:val="aff4"/>
          <w:rFonts w:hint="cs"/>
          <w:vanish/>
          <w:rtl/>
        </w:rPr>
        <w:t>-</w:t>
      </w:r>
      <w:r w:rsidRPr="001A2014">
        <w:rPr>
          <w:rStyle w:val="aff4"/>
          <w:rFonts w:hint="cs"/>
          <w:rtl/>
        </w:rPr>
        <w:t>האו"ש</w:t>
      </w:r>
      <w:r w:rsidRPr="001A2014">
        <w:rPr>
          <w:rStyle w:val="aff4"/>
          <w:rFonts w:hint="cs"/>
          <w:vanish/>
          <w:rtl/>
        </w:rPr>
        <w:t>-</w:t>
      </w:r>
      <w:r>
        <w:rPr>
          <w:rFonts w:hint="cs"/>
          <w:rtl/>
        </w:rPr>
        <w:t xml:space="preserve"> דאיתא בירושלמי דהנופח בכלי זכוכית הוי בונה, ואילו בגמ' לעיל </w:t>
      </w:r>
      <w:r w:rsidRPr="00D14328">
        <w:rPr>
          <w:rStyle w:val="af2"/>
          <w:rFonts w:eastAsia="Guttman Hodes" w:hint="cs"/>
          <w:rtl/>
        </w:rPr>
        <w:t>(עה:)</w:t>
      </w:r>
      <w:r>
        <w:rPr>
          <w:rFonts w:hint="cs"/>
          <w:rtl/>
        </w:rPr>
        <w:t xml:space="preserve"> איתא דהמנפח כלי זכוכית חייב משום מכה בפטיש, ומשמע דאין בזה חיוב בונה.</w:t>
      </w:r>
      <w:bookmarkEnd w:id="4699"/>
    </w:p>
    <w:p w14:paraId="70D1E4EF" w14:textId="77777777" w:rsidR="00376F67" w:rsidRPr="0074694D" w:rsidRDefault="00376F67" w:rsidP="00376F67">
      <w:pPr>
        <w:pStyle w:val="a2"/>
        <w:tabs>
          <w:tab w:val="num" w:pos="284"/>
          <w:tab w:val="num" w:pos="360"/>
        </w:tabs>
        <w:rPr>
          <w:vanish w:val="0"/>
          <w:rtl/>
        </w:rPr>
      </w:pPr>
      <w:r w:rsidRPr="0074694D">
        <w:rPr>
          <w:rtl/>
        </w:rPr>
        <w:t>וכי"ב כתבו התוספות (ד"ה חביתא) לעיל גבי כלים, דף ע"ד ע"ב גבי דעביד חלתא, ויש שיטה להראשונים, עיין מאור ומלחמות פרק הבונה, ובהגהות מיימוני פרק כ"ג, דאין בנין בכלים כלל, אלא מכה בפטיש, כשתוקע בחוזק, והמגיד הביא ראיה מירושלמי (פ"ז ה"ב) דמפורש דהגודל כלי צורה חייב משום בונה, האמנם דבירושלמי אמר גבי הנופח בכלי זכוכית חייב משום בונה, ובבלי קאמר (שם עה, ב) הנופח בכלי זכוכית חייב משום מכה בפטיש, והתוספות (שם) העירו מהנופח בכלי זכוכית, ולא העירו מהירושלמי ודו"ק.</w:t>
      </w:r>
    </w:p>
    <w:p w14:paraId="3F489BA9" w14:textId="77777777" w:rsidR="00376F67" w:rsidRDefault="00376F67" w:rsidP="00376F67">
      <w:pPr>
        <w:pStyle w:val="1"/>
        <w:rPr>
          <w:rtl/>
        </w:rPr>
      </w:pPr>
      <w:bookmarkStart w:id="4700" w:name="_Toc143767803"/>
      <w:bookmarkStart w:id="4701" w:name="_Toc143770624"/>
      <w:r>
        <w:rPr>
          <w:rFonts w:hint="cs"/>
          <w:rtl/>
        </w:rPr>
        <w:t>בי' החזו"א דיצירה מחלקים שאינם כלי בונה אף ברפוי וארעי</w:t>
      </w:r>
      <w:bookmarkEnd w:id="4700"/>
      <w:bookmarkEnd w:id="4701"/>
    </w:p>
    <w:p w14:paraId="5F887F87" w14:textId="77777777" w:rsidR="00376F67" w:rsidRDefault="00376F67" w:rsidP="00376F67">
      <w:pPr>
        <w:pStyle w:val="afffff7"/>
        <w:rPr>
          <w:rtl/>
        </w:rPr>
      </w:pPr>
      <w:bookmarkStart w:id="4702" w:name="_Toc143767922"/>
      <w:bookmarkStart w:id="4703" w:name="_Toc163506110"/>
      <w:r>
        <w:rPr>
          <w:rtl/>
        </w:rPr>
        <w:t xml:space="preserve">חזון איש </w:t>
      </w:r>
      <w:r>
        <w:rPr>
          <w:rFonts w:hint="cs"/>
          <w:rtl/>
        </w:rPr>
        <w:t>או"ח סי'</w:t>
      </w:r>
      <w:r>
        <w:rPr>
          <w:rtl/>
        </w:rPr>
        <w:t xml:space="preserve"> נ</w:t>
      </w:r>
      <w:r>
        <w:rPr>
          <w:rFonts w:hint="cs"/>
          <w:rtl/>
        </w:rPr>
        <w:t>' סק"ט ד"ה והנה אמרו</w:t>
      </w:r>
      <w:bookmarkEnd w:id="4702"/>
      <w:bookmarkEnd w:id="4703"/>
    </w:p>
    <w:p w14:paraId="129155C8" w14:textId="77777777" w:rsidR="00376F67" w:rsidRDefault="00376F67" w:rsidP="00376F67">
      <w:pPr>
        <w:pStyle w:val="a7"/>
        <w:rPr>
          <w:rtl/>
        </w:rPr>
      </w:pPr>
      <w:bookmarkStart w:id="4704" w:name="_Toc143767804"/>
      <w:bookmarkStart w:id="4705" w:name="_Toc143770625"/>
      <w:r>
        <w:rPr>
          <w:rFonts w:hint="cs"/>
          <w:rtl/>
        </w:rPr>
        <w:t>בי' החזו"א דחיבור ב' חלקים לדבר א' דהשימוש הוא רק בחיבור הוי בונה אף ברפוי דיצר כלי</w:t>
      </w:r>
      <w:bookmarkEnd w:id="4704"/>
      <w:bookmarkEnd w:id="4705"/>
    </w:p>
    <w:p w14:paraId="6C94972C" w14:textId="1EF4226D" w:rsidR="00376F67" w:rsidRDefault="00376F67" w:rsidP="00BC7DC8">
      <w:pPr>
        <w:pStyle w:val="a3"/>
      </w:pPr>
      <w:bookmarkStart w:id="4706" w:name="_Ref143161507"/>
      <w:bookmarkStart w:id="4707" w:name="_Ref142899397"/>
      <w:r>
        <w:rPr>
          <w:rFonts w:hint="cs"/>
          <w:rtl/>
        </w:rPr>
        <w:t xml:space="preserve">כתב </w:t>
      </w:r>
      <w:r w:rsidRPr="001A2014">
        <w:rPr>
          <w:rStyle w:val="aff4"/>
          <w:rFonts w:hint="cs"/>
          <w:vanish/>
          <w:rtl/>
        </w:rPr>
        <w:t>-</w:t>
      </w:r>
      <w:r w:rsidRPr="001A2014">
        <w:rPr>
          <w:rStyle w:val="aff4"/>
          <w:rFonts w:hint="cs"/>
          <w:rtl/>
        </w:rPr>
        <w:t>ה</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Ref142899397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לח)</w:t>
      </w:r>
      <w:r w:rsidRPr="00FF7D8F">
        <w:rPr>
          <w:rStyle w:val="aff4"/>
          <w:vanish/>
          <w:rtl/>
        </w:rPr>
        <w:fldChar w:fldCharType="end"/>
      </w:r>
      <w:r w:rsidRPr="00FF7D8F">
        <w:rPr>
          <w:rStyle w:val="aff4"/>
          <w:rFonts w:hint="cs"/>
          <w:vanish/>
          <w:rtl/>
        </w:rPr>
        <w:t xml:space="preserve"> &gt;</w:t>
      </w:r>
      <w:r w:rsidRPr="001A2014">
        <w:rPr>
          <w:rStyle w:val="aff4"/>
          <w:rFonts w:hint="cs"/>
          <w:rtl/>
        </w:rPr>
        <w:t>חזו"א</w:t>
      </w:r>
      <w:r w:rsidRPr="001A2014">
        <w:rPr>
          <w:rStyle w:val="aff4"/>
          <w:rFonts w:hint="cs"/>
          <w:vanish/>
          <w:rtl/>
        </w:rPr>
        <w:t>-</w:t>
      </w:r>
      <w:r>
        <w:rPr>
          <w:rFonts w:hint="cs"/>
          <w:rtl/>
        </w:rPr>
        <w:t xml:space="preserve"> </w:t>
      </w:r>
      <w:r w:rsidRPr="00DB1D3B">
        <w:rPr>
          <w:rStyle w:val="af2"/>
          <w:rFonts w:eastAsia="Guttman Hodes" w:hint="cs"/>
          <w:rtl/>
        </w:rPr>
        <w:t>(או"ח סי' נ' סק"ט ד"ה והנה אמרו)</w:t>
      </w:r>
      <w:r w:rsidRPr="001A2014">
        <w:rPr>
          <w:rFonts w:hint="cs"/>
          <w:vanish/>
          <w:rtl/>
        </w:rPr>
        <w:t>=</w:t>
      </w:r>
      <w:r>
        <w:rPr>
          <w:rFonts w:hint="cs"/>
          <w:rtl/>
        </w:rPr>
        <w:t xml:space="preserve"> דלענין קנה של סיידין בפשטות משמע בגמ' לעיל </w:t>
      </w:r>
      <w:r w:rsidRPr="00DB1D3B">
        <w:rPr>
          <w:rStyle w:val="af2"/>
          <w:rFonts w:eastAsia="Guttman Hodes" w:hint="cs"/>
          <w:rtl/>
        </w:rPr>
        <w:t>(מז.)</w:t>
      </w:r>
      <w:r>
        <w:rPr>
          <w:rFonts w:hint="cs"/>
          <w:rtl/>
        </w:rPr>
        <w:t xml:space="preserve"> דאף בתוקע בחוזק פטור, כיון שמחבר </w:t>
      </w:r>
      <w:r>
        <w:rPr>
          <w:rFonts w:hint="cs"/>
          <w:rtl/>
        </w:rPr>
        <w:lastRenderedPageBreak/>
        <w:t xml:space="preserve">ב' דברים שכ"א הוא דבר בפנ"ע, שיש שימוש בקנה קצר לטיח נמוך, וכשמוסיף על הקנה יש בו דשימוש לטיח גבוה, והוא כמעמיד כלי ע"ג כלי ולא הוי בונה, אבל כשמחבר ב' דברים שאין להם שימוש בפנ"ע, ורק ע"י החיבור יש בהם שימוש לעולם חייב אף ברפוי, אך כתב </w:t>
      </w:r>
      <w:r w:rsidRPr="001A2014">
        <w:rPr>
          <w:rStyle w:val="aff4"/>
          <w:rFonts w:hint="cs"/>
          <w:vanish/>
          <w:rtl/>
        </w:rPr>
        <w:t>-</w:t>
      </w:r>
      <w:r w:rsidRPr="001A2014">
        <w:rPr>
          <w:rStyle w:val="aff4"/>
          <w:rFonts w:hint="cs"/>
          <w:rtl/>
        </w:rPr>
        <w:t>החזו"א</w:t>
      </w:r>
      <w:r w:rsidRPr="001A2014">
        <w:rPr>
          <w:rStyle w:val="aff4"/>
          <w:rFonts w:hint="cs"/>
          <w:vanish/>
          <w:rtl/>
        </w:rPr>
        <w:t>-</w:t>
      </w:r>
      <w:r>
        <w:rPr>
          <w:rFonts w:hint="cs"/>
          <w:rtl/>
        </w:rPr>
        <w:t xml:space="preserve"> דמדברי </w:t>
      </w:r>
      <w:r w:rsidRPr="001A2014">
        <w:rPr>
          <w:rStyle w:val="aff4"/>
          <w:rFonts w:hint="cs"/>
          <w:vanish/>
          <w:rtl/>
        </w:rPr>
        <w:t>-</w:t>
      </w:r>
      <w:r w:rsidRPr="001A2014">
        <w:rPr>
          <w:rStyle w:val="aff4"/>
          <w:rFonts w:hint="cs"/>
          <w:rtl/>
        </w:rPr>
        <w:t>הרמב"ן</w:t>
      </w:r>
      <w:r w:rsidRPr="001A2014">
        <w:rPr>
          <w:rStyle w:val="aff4"/>
          <w:rFonts w:hint="cs"/>
          <w:vanish/>
          <w:rtl/>
        </w:rPr>
        <w:t>-</w:t>
      </w:r>
      <w:r w:rsidRPr="001A2014">
        <w:rPr>
          <w:rStyle w:val="aff4"/>
          <w:rFonts w:hint="cs"/>
          <w:rtl/>
        </w:rPr>
        <w:t xml:space="preserve"> </w:t>
      </w:r>
      <w:r w:rsidRPr="00DB1D3B">
        <w:rPr>
          <w:rStyle w:val="af2"/>
          <w:rFonts w:eastAsia="Guttman Hodes" w:hint="cs"/>
          <w:rtl/>
        </w:rPr>
        <w:t>(מז. ד"ה הא)</w:t>
      </w:r>
      <w:r>
        <w:rPr>
          <w:rFonts w:hint="cs"/>
          <w:rtl/>
        </w:rPr>
        <w:t xml:space="preserve"> </w:t>
      </w:r>
      <w:r w:rsidRPr="001A2014">
        <w:rPr>
          <w:rStyle w:val="aff4"/>
          <w:rFonts w:hint="cs"/>
          <w:vanish/>
          <w:rtl/>
        </w:rPr>
        <w:t>-</w:t>
      </w:r>
      <w:r w:rsidRPr="001A2014">
        <w:rPr>
          <w:rStyle w:val="aff4"/>
          <w:rFonts w:hint="cs"/>
          <w:rtl/>
        </w:rPr>
        <w:t>והריטב"א</w:t>
      </w:r>
      <w:r w:rsidRPr="001A2014">
        <w:rPr>
          <w:rStyle w:val="aff4"/>
          <w:rFonts w:hint="cs"/>
          <w:vanish/>
          <w:rtl/>
        </w:rPr>
        <w:t>-</w:t>
      </w:r>
      <w:r>
        <w:rPr>
          <w:rFonts w:hint="cs"/>
          <w:rtl/>
        </w:rPr>
        <w:t xml:space="preserve"> </w:t>
      </w:r>
      <w:r w:rsidRPr="00DB1D3B">
        <w:rPr>
          <w:rStyle w:val="af2"/>
          <w:rFonts w:eastAsia="Guttman Hodes" w:hint="cs"/>
          <w:rtl/>
        </w:rPr>
        <w:t>(מז. ד"ה מיתיבי)</w:t>
      </w:r>
      <w:r>
        <w:rPr>
          <w:rFonts w:hint="cs"/>
          <w:rtl/>
        </w:rPr>
        <w:t xml:space="preserve"> משמע דאף בקנה של סיידין אם תקע בחוזק חייב.</w:t>
      </w:r>
      <w:bookmarkEnd w:id="4706"/>
    </w:p>
    <w:p w14:paraId="1B7851B2" w14:textId="77777777" w:rsidR="00376F67" w:rsidRPr="0074694D" w:rsidRDefault="00376F67" w:rsidP="00376F67">
      <w:pPr>
        <w:pStyle w:val="a2"/>
        <w:tabs>
          <w:tab w:val="num" w:pos="284"/>
        </w:tabs>
        <w:rPr>
          <w:vanish w:val="0"/>
          <w:rtl/>
        </w:rPr>
      </w:pPr>
      <w:r w:rsidRPr="0074694D">
        <w:rPr>
          <w:rtl/>
        </w:rPr>
        <w:t>והנה אמרו שבת מ"ז א' דקנה של סיידין לא יחזיר ואם החזיר פטור אבל אסור, ולכאורה תני קנה של סיידין דומיא דמנורה דרישא דאיירי בתקע ואפ"ה בקנה סיידין פטור, וטעמא דבמנורה עיקר תשמישה במורכבת ופירוקה אינו בשביל תשמיש אלא לסיבה אחרת, אבל קנה של סיידין יש לו ב' תשמישים דבמקום נמוך אין ראוי קנה ארוך ובמקום גבוה אין ראוי קנה קצר והלכך כשמאריכו לפי שעה אף שתקעו חשיב כהעמיד כלי ע"ג כלי כדי להגיע למקום גבוה ולא נחית עלי' שם קנה ארוך, אבל מדברי הרמב"ן והריטב"א נראה דאורחא דמלתא נקט דקני מנורה תוקען וקנה סיידין כיון דצריך לפורקו תמיד אינו תוקעו בחוזק, אבל כל שתקעו חייב חטאת, וכן מוכח מהא דמטה של טרסיים דאע"ג דעומדת לפורקה מ"מ אם תקע חייב חטאת.</w:t>
      </w:r>
    </w:p>
    <w:p w14:paraId="71E2E3EA" w14:textId="77777777" w:rsidR="00376F67" w:rsidRDefault="00376F67" w:rsidP="00376F67">
      <w:pPr>
        <w:pStyle w:val="afffff7"/>
        <w:rPr>
          <w:rtl/>
        </w:rPr>
      </w:pPr>
      <w:bookmarkStart w:id="4708" w:name="_Toc143767923"/>
      <w:bookmarkStart w:id="4709" w:name="_Toc163506111"/>
      <w:r>
        <w:rPr>
          <w:rtl/>
        </w:rPr>
        <w:t xml:space="preserve">חזון איש </w:t>
      </w:r>
      <w:r>
        <w:rPr>
          <w:rFonts w:hint="cs"/>
          <w:rtl/>
        </w:rPr>
        <w:t>או"ח סי'</w:t>
      </w:r>
      <w:r>
        <w:rPr>
          <w:rtl/>
        </w:rPr>
        <w:t xml:space="preserve"> נ</w:t>
      </w:r>
      <w:r>
        <w:rPr>
          <w:rFonts w:hint="cs"/>
          <w:rtl/>
        </w:rPr>
        <w:t>' סק"ט ד"ה ובפתיחת</w:t>
      </w:r>
      <w:bookmarkEnd w:id="4708"/>
      <w:bookmarkEnd w:id="4709"/>
    </w:p>
    <w:p w14:paraId="284E8870" w14:textId="77777777" w:rsidR="00376F67" w:rsidRPr="008A5381" w:rsidRDefault="00376F67" w:rsidP="00376F67">
      <w:pPr>
        <w:pStyle w:val="a7"/>
        <w:rPr>
          <w:rtl/>
        </w:rPr>
      </w:pPr>
      <w:bookmarkStart w:id="4710" w:name="_Toc143767805"/>
      <w:bookmarkStart w:id="4711" w:name="_Toc143770626"/>
      <w:r>
        <w:rPr>
          <w:rFonts w:hint="cs"/>
          <w:rtl/>
        </w:rPr>
        <w:t>בי' החזו"א דבמחבר ב' דברים שכ"א יש לו שימוש בפנ"ע אין החיבור מחשיב לד"א ול"ה בונה</w:t>
      </w:r>
      <w:bookmarkEnd w:id="4710"/>
      <w:bookmarkEnd w:id="4711"/>
    </w:p>
    <w:p w14:paraId="67D4F10C" w14:textId="245861D0" w:rsidR="00376F67" w:rsidRDefault="00376F67" w:rsidP="00BC7DC8">
      <w:pPr>
        <w:pStyle w:val="a3"/>
      </w:pPr>
      <w:bookmarkStart w:id="4712" w:name="_Ref143159367"/>
      <w:r>
        <w:rPr>
          <w:rFonts w:hint="cs"/>
          <w:rtl/>
        </w:rPr>
        <w:t xml:space="preserve">וכתב </w:t>
      </w:r>
      <w:r w:rsidRPr="001A2014">
        <w:rPr>
          <w:rStyle w:val="aff4"/>
          <w:rFonts w:hint="cs"/>
          <w:vanish/>
          <w:rtl/>
        </w:rPr>
        <w:t>-</w:t>
      </w:r>
      <w:r w:rsidRPr="001A2014">
        <w:rPr>
          <w:rStyle w:val="aff4"/>
          <w:rFonts w:hint="cs"/>
          <w:rtl/>
        </w:rPr>
        <w:t>ה</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Ref143159367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לט)</w:t>
      </w:r>
      <w:r w:rsidRPr="00FF7D8F">
        <w:rPr>
          <w:rStyle w:val="aff4"/>
          <w:vanish/>
          <w:rtl/>
        </w:rPr>
        <w:fldChar w:fldCharType="end"/>
      </w:r>
      <w:r w:rsidRPr="00FF7D8F">
        <w:rPr>
          <w:rStyle w:val="aff4"/>
          <w:rFonts w:hint="cs"/>
          <w:vanish/>
          <w:rtl/>
        </w:rPr>
        <w:t xml:space="preserve"> &gt;</w:t>
      </w:r>
      <w:r w:rsidRPr="001A2014">
        <w:rPr>
          <w:rStyle w:val="aff4"/>
          <w:rFonts w:hint="cs"/>
          <w:rtl/>
        </w:rPr>
        <w:t>חזו"א</w:t>
      </w:r>
      <w:r w:rsidRPr="001A2014">
        <w:rPr>
          <w:rStyle w:val="aff4"/>
          <w:rFonts w:hint="cs"/>
          <w:vanish/>
          <w:rtl/>
        </w:rPr>
        <w:t>-</w:t>
      </w:r>
      <w:r>
        <w:rPr>
          <w:rFonts w:hint="cs"/>
          <w:rtl/>
        </w:rPr>
        <w:t xml:space="preserve"> </w:t>
      </w:r>
      <w:r w:rsidRPr="00DB1D3B">
        <w:rPr>
          <w:rStyle w:val="af2"/>
          <w:rFonts w:eastAsia="Guttman Hodes" w:hint="cs"/>
          <w:rtl/>
        </w:rPr>
        <w:t>(או"ח סי' נ' סק"ט ד"ה ובפתיחת)</w:t>
      </w:r>
      <w:r w:rsidRPr="001A2014">
        <w:rPr>
          <w:rFonts w:hint="cs"/>
          <w:vanish/>
          <w:rtl/>
        </w:rPr>
        <w:t>=</w:t>
      </w:r>
      <w:r>
        <w:rPr>
          <w:rFonts w:hint="cs"/>
          <w:rtl/>
        </w:rPr>
        <w:t xml:space="preserve"> דאף אי נימא דהחיוב בקנה של סיידין הוא רק מדרבנן, </w:t>
      </w:r>
      <w:r w:rsidRPr="00A655AF">
        <w:rPr>
          <w:rStyle w:val="af"/>
          <w:rFonts w:hint="cs"/>
          <w:rtl/>
        </w:rPr>
        <w:t>[</w:t>
      </w:r>
      <w:r>
        <w:rPr>
          <w:rStyle w:val="af"/>
          <w:rFonts w:hint="cs"/>
          <w:rtl/>
        </w:rPr>
        <w:t>ודלא</w:t>
      </w:r>
      <w:r w:rsidRPr="00A655AF">
        <w:rPr>
          <w:rStyle w:val="af"/>
          <w:rFonts w:hint="cs"/>
          <w:rtl/>
        </w:rPr>
        <w:t xml:space="preserve"> </w:t>
      </w:r>
      <w:r w:rsidRPr="001B1FAC">
        <w:rPr>
          <w:rStyle w:val="aff9"/>
          <w:rFonts w:hint="cs"/>
          <w:vanish/>
          <w:rtl/>
        </w:rPr>
        <w:t>-</w:t>
      </w:r>
      <w:r>
        <w:rPr>
          <w:rStyle w:val="aff9"/>
          <w:rFonts w:hint="cs"/>
          <w:rtl/>
        </w:rPr>
        <w:t>כ</w:t>
      </w:r>
      <w:r w:rsidRPr="00A655AF">
        <w:rPr>
          <w:rStyle w:val="aff9"/>
          <w:rFonts w:hint="cs"/>
          <w:rtl/>
        </w:rPr>
        <w:t>רמב"ן והריטב"א</w:t>
      </w:r>
      <w:r w:rsidRPr="001B1FAC">
        <w:rPr>
          <w:rStyle w:val="aff9"/>
          <w:rFonts w:hint="cs"/>
          <w:vanish/>
          <w:rtl/>
        </w:rPr>
        <w:t>-</w:t>
      </w:r>
      <w:r w:rsidRPr="00A655AF">
        <w:rPr>
          <w:rStyle w:val="af"/>
          <w:rFonts w:hint="cs"/>
          <w:rtl/>
        </w:rPr>
        <w:t xml:space="preserve"> </w:t>
      </w:r>
      <w:r w:rsidRPr="001B1FAC">
        <w:rPr>
          <w:rStyle w:val="aff0"/>
          <w:rFonts w:hint="cs"/>
          <w:rtl/>
        </w:rPr>
        <w:t xml:space="preserve">(עי' אות </w:t>
      </w:r>
      <w:r w:rsidRPr="001B1FAC">
        <w:rPr>
          <w:rStyle w:val="aff0"/>
          <w:rtl/>
        </w:rPr>
        <w:fldChar w:fldCharType="begin"/>
      </w:r>
      <w:r w:rsidRPr="001B1FAC">
        <w:rPr>
          <w:rStyle w:val="aff0"/>
          <w:rtl/>
        </w:rPr>
        <w:instrText xml:space="preserve"> </w:instrText>
      </w:r>
      <w:r w:rsidRPr="001B1FAC">
        <w:rPr>
          <w:rStyle w:val="aff0"/>
          <w:rFonts w:hint="cs"/>
        </w:rPr>
        <w:instrText>REF</w:instrText>
      </w:r>
      <w:r w:rsidRPr="001B1FAC">
        <w:rPr>
          <w:rStyle w:val="aff0"/>
          <w:rFonts w:hint="cs"/>
          <w:rtl/>
        </w:rPr>
        <w:instrText xml:space="preserve"> _</w:instrText>
      </w:r>
      <w:r w:rsidRPr="001B1FAC">
        <w:rPr>
          <w:rStyle w:val="aff0"/>
          <w:rFonts w:hint="cs"/>
        </w:rPr>
        <w:instrText>Ref143161507 \r \h</w:instrText>
      </w:r>
      <w:r w:rsidRPr="001B1FAC">
        <w:rPr>
          <w:rStyle w:val="aff0"/>
          <w:rtl/>
        </w:rPr>
        <w:instrText xml:space="preserve"> </w:instrText>
      </w:r>
      <w:r w:rsidRPr="001B1FAC">
        <w:rPr>
          <w:rStyle w:val="aff0"/>
          <w:rtl/>
        </w:rPr>
      </w:r>
      <w:r w:rsidRPr="001B1FAC">
        <w:rPr>
          <w:rStyle w:val="aff0"/>
          <w:rtl/>
        </w:rPr>
        <w:fldChar w:fldCharType="separate"/>
      </w:r>
      <w:r w:rsidR="00D82181">
        <w:rPr>
          <w:rStyle w:val="aff0"/>
          <w:cs/>
        </w:rPr>
        <w:t>‎</w:t>
      </w:r>
      <w:r w:rsidR="00D82181">
        <w:rPr>
          <w:rStyle w:val="aff0"/>
          <w:rtl/>
        </w:rPr>
        <w:t>לח)</w:t>
      </w:r>
      <w:r w:rsidRPr="001B1FAC">
        <w:rPr>
          <w:rStyle w:val="aff0"/>
          <w:rtl/>
        </w:rPr>
        <w:fldChar w:fldCharType="end"/>
      </w:r>
      <w:r w:rsidRPr="006D12D1">
        <w:rPr>
          <w:rStyle w:val="af"/>
          <w:rFonts w:hint="cs"/>
          <w:rtl/>
        </w:rPr>
        <w:t>],</w:t>
      </w:r>
      <w:r w:rsidRPr="00C935FA">
        <w:rPr>
          <w:rtl/>
        </w:rPr>
        <w:t xml:space="preserve"> </w:t>
      </w:r>
      <w:r>
        <w:rPr>
          <w:rFonts w:hint="cs"/>
          <w:rtl/>
        </w:rPr>
        <w:t xml:space="preserve">היינו כיון שמחבר ב' דברים שכ"א מהם עומד בפנ"ע לצורך פעולה אחת, </w:t>
      </w:r>
      <w:r w:rsidRPr="00EC31FB">
        <w:rPr>
          <w:rStyle w:val="af"/>
          <w:rFonts w:hint="cs"/>
          <w:rtl/>
        </w:rPr>
        <w:t>[והוא כמעמיד כלי ע"ג כלי ולא הוי בונה],</w:t>
      </w:r>
      <w:r>
        <w:rPr>
          <w:rFonts w:hint="cs"/>
          <w:rtl/>
        </w:rPr>
        <w:t xml:space="preserve"> ולכן אף כשתקע בחוזק אין החיבור מחשיבם לדבר אחד, כיון שהוא צריך לפרקם אם ירצה לטוח את הטיח הנמוך.</w:t>
      </w:r>
    </w:p>
    <w:p w14:paraId="6F305AAF" w14:textId="77777777" w:rsidR="00376F67" w:rsidRPr="0074694D" w:rsidRDefault="00376F67" w:rsidP="00376F67">
      <w:pPr>
        <w:pStyle w:val="a2"/>
        <w:tabs>
          <w:tab w:val="num" w:pos="284"/>
        </w:tabs>
        <w:rPr>
          <w:vanish w:val="0"/>
          <w:rtl/>
        </w:rPr>
      </w:pPr>
      <w:r w:rsidRPr="0074694D">
        <w:rPr>
          <w:rtl/>
        </w:rPr>
        <w:t>ובפתיחת החשמל שמכניסים הזרם בהחוטין חשיב לעולם כתקע דאף את"ל דקנה של סיידין אף בתקע אינו אלא מדרבנן, היינו דוקא בהרכבה של ב' גשמים שאפשר לחשבן כשנים משתתפין בפעולה אחת אין התקעה מכרעתן לגשם אחד כל שפירוקן נחוץ לטיח של הנמוך</w:t>
      </w:r>
      <w:r w:rsidRPr="0074694D">
        <w:rPr>
          <w:rFonts w:hint="cs"/>
          <w:rtl/>
        </w:rPr>
        <w:t>.</w:t>
      </w:r>
    </w:p>
    <w:p w14:paraId="2D13D90C" w14:textId="77777777" w:rsidR="00376F67" w:rsidRPr="009B21F0" w:rsidRDefault="00376F67" w:rsidP="00376F67">
      <w:pPr>
        <w:pStyle w:val="a7"/>
      </w:pPr>
      <w:bookmarkStart w:id="4713" w:name="_Toc143767806"/>
      <w:bookmarkStart w:id="4714" w:name="_Toc143770627"/>
      <w:r>
        <w:rPr>
          <w:rFonts w:hint="cs"/>
          <w:rtl/>
        </w:rPr>
        <w:t>בי' החזו"א דביוצר צורה לחפץ א"א לפרק את הצורה ואף במחבר לארעי הוי כבונה ואח"כ סותר</w:t>
      </w:r>
      <w:bookmarkEnd w:id="4713"/>
      <w:bookmarkEnd w:id="4714"/>
    </w:p>
    <w:p w14:paraId="6D7A635E" w14:textId="278F00FC" w:rsidR="00376F67" w:rsidRDefault="00376F67" w:rsidP="00BC7DC8">
      <w:pPr>
        <w:pStyle w:val="a3"/>
      </w:pPr>
      <w:r>
        <w:rPr>
          <w:rFonts w:hint="cs"/>
          <w:rtl/>
        </w:rPr>
        <w:t xml:space="preserve">אך כתב </w:t>
      </w:r>
      <w:r w:rsidRPr="001A2014">
        <w:rPr>
          <w:rStyle w:val="aff4"/>
          <w:rFonts w:hint="cs"/>
          <w:vanish/>
          <w:rtl/>
        </w:rPr>
        <w:t>-</w:t>
      </w:r>
      <w:r w:rsidRPr="001A2014">
        <w:rPr>
          <w:rStyle w:val="aff4"/>
          <w:rFonts w:hint="cs"/>
          <w:rtl/>
        </w:rPr>
        <w:t>החזו"א</w:t>
      </w:r>
      <w:r w:rsidRPr="001A2014">
        <w:rPr>
          <w:rStyle w:val="aff4"/>
          <w:rFonts w:hint="cs"/>
          <w:vanish/>
          <w:rtl/>
        </w:rPr>
        <w:t>-</w:t>
      </w:r>
      <w:r>
        <w:rPr>
          <w:rFonts w:hint="cs"/>
          <w:rtl/>
        </w:rPr>
        <w:t xml:space="preserve"> דבדבר שע"י חיבורו נעשה צורה לחפץ ועי"ז יש בו שימוש, ודאי דחשיב בונה, והחיוב בזה הוא אף בבנין לשעה, וביאר </w:t>
      </w:r>
      <w:r w:rsidRPr="001A2014">
        <w:rPr>
          <w:rStyle w:val="aff4"/>
          <w:rFonts w:hint="cs"/>
          <w:vanish/>
          <w:rtl/>
        </w:rPr>
        <w:t>-</w:t>
      </w:r>
      <w:r w:rsidRPr="001A2014">
        <w:rPr>
          <w:rStyle w:val="aff4"/>
          <w:rFonts w:hint="cs"/>
          <w:rtl/>
        </w:rPr>
        <w:t>החזו"א</w:t>
      </w:r>
      <w:r w:rsidRPr="001A2014">
        <w:rPr>
          <w:rStyle w:val="aff4"/>
          <w:rFonts w:hint="cs"/>
          <w:vanish/>
          <w:rtl/>
        </w:rPr>
        <w:t>-</w:t>
      </w:r>
      <w:r>
        <w:rPr>
          <w:rFonts w:hint="cs"/>
          <w:rtl/>
        </w:rPr>
        <w:t xml:space="preserve"> דאחר שחיברם לדבר אחד ועשה צורה לחפץ, א"א להפריד את הצורה שעשה כבר, וכשמפרק אח"כ חשיב שהפריד מכאן ולהבא, וכ"ש אי אמרינן דאף בקנה של סיידין חייב בתקע בחוזק, </w:t>
      </w:r>
      <w:r w:rsidRPr="00A655AF">
        <w:rPr>
          <w:rStyle w:val="af"/>
          <w:rFonts w:hint="cs"/>
          <w:rtl/>
        </w:rPr>
        <w:t>[</w:t>
      </w:r>
      <w:r>
        <w:rPr>
          <w:rStyle w:val="af"/>
          <w:rFonts w:hint="cs"/>
          <w:rtl/>
        </w:rPr>
        <w:t>כ</w:t>
      </w:r>
      <w:r w:rsidRPr="00A655AF">
        <w:rPr>
          <w:rStyle w:val="af"/>
          <w:rFonts w:hint="cs"/>
          <w:rtl/>
        </w:rPr>
        <w:t xml:space="preserve">דעת </w:t>
      </w:r>
      <w:r w:rsidRPr="001B1FAC">
        <w:rPr>
          <w:rStyle w:val="aff9"/>
          <w:rFonts w:hint="cs"/>
          <w:vanish/>
          <w:rtl/>
        </w:rPr>
        <w:t>-</w:t>
      </w:r>
      <w:r w:rsidRPr="00A655AF">
        <w:rPr>
          <w:rStyle w:val="aff9"/>
          <w:rFonts w:hint="cs"/>
          <w:rtl/>
        </w:rPr>
        <w:t>הרמב"ן והריטב"א</w:t>
      </w:r>
      <w:r w:rsidRPr="001B1FAC">
        <w:rPr>
          <w:rStyle w:val="aff9"/>
          <w:rFonts w:hint="cs"/>
          <w:vanish/>
          <w:rtl/>
        </w:rPr>
        <w:t>-</w:t>
      </w:r>
      <w:r w:rsidRPr="00A655AF">
        <w:rPr>
          <w:rStyle w:val="af"/>
          <w:rFonts w:hint="cs"/>
          <w:rtl/>
        </w:rPr>
        <w:t xml:space="preserve"> </w:t>
      </w:r>
      <w:r w:rsidRPr="001B1FAC">
        <w:rPr>
          <w:rStyle w:val="aff0"/>
          <w:rFonts w:hint="cs"/>
          <w:rtl/>
        </w:rPr>
        <w:t xml:space="preserve">(עי' אות </w:t>
      </w:r>
      <w:r w:rsidRPr="001B1FAC">
        <w:rPr>
          <w:rStyle w:val="aff0"/>
          <w:rtl/>
        </w:rPr>
        <w:fldChar w:fldCharType="begin"/>
      </w:r>
      <w:r w:rsidRPr="001B1FAC">
        <w:rPr>
          <w:rStyle w:val="aff0"/>
          <w:rtl/>
        </w:rPr>
        <w:instrText xml:space="preserve"> </w:instrText>
      </w:r>
      <w:r w:rsidRPr="001B1FAC">
        <w:rPr>
          <w:rStyle w:val="aff0"/>
          <w:rFonts w:hint="cs"/>
        </w:rPr>
        <w:instrText>REF</w:instrText>
      </w:r>
      <w:r w:rsidRPr="001B1FAC">
        <w:rPr>
          <w:rStyle w:val="aff0"/>
          <w:rFonts w:hint="cs"/>
          <w:rtl/>
        </w:rPr>
        <w:instrText xml:space="preserve"> _</w:instrText>
      </w:r>
      <w:r w:rsidRPr="001B1FAC">
        <w:rPr>
          <w:rStyle w:val="aff0"/>
          <w:rFonts w:hint="cs"/>
        </w:rPr>
        <w:instrText>Ref143161507 \r \h</w:instrText>
      </w:r>
      <w:r w:rsidRPr="001B1FAC">
        <w:rPr>
          <w:rStyle w:val="aff0"/>
          <w:rtl/>
        </w:rPr>
        <w:instrText xml:space="preserve"> </w:instrText>
      </w:r>
      <w:r w:rsidRPr="001B1FAC">
        <w:rPr>
          <w:rStyle w:val="aff0"/>
          <w:rtl/>
        </w:rPr>
      </w:r>
      <w:r w:rsidRPr="001B1FAC">
        <w:rPr>
          <w:rStyle w:val="aff0"/>
          <w:rtl/>
        </w:rPr>
        <w:fldChar w:fldCharType="separate"/>
      </w:r>
      <w:r w:rsidR="00D82181">
        <w:rPr>
          <w:rStyle w:val="aff0"/>
          <w:cs/>
        </w:rPr>
        <w:t>‎</w:t>
      </w:r>
      <w:r w:rsidR="00D82181">
        <w:rPr>
          <w:rStyle w:val="aff0"/>
          <w:rtl/>
        </w:rPr>
        <w:t>לח)</w:t>
      </w:r>
      <w:r w:rsidRPr="001B1FAC">
        <w:rPr>
          <w:rStyle w:val="aff0"/>
          <w:rtl/>
        </w:rPr>
        <w:fldChar w:fldCharType="end"/>
      </w:r>
      <w:r w:rsidRPr="006D12D1">
        <w:rPr>
          <w:rStyle w:val="af"/>
          <w:rFonts w:hint="cs"/>
          <w:rtl/>
        </w:rPr>
        <w:t>],</w:t>
      </w:r>
      <w:r w:rsidRPr="00C935FA">
        <w:rPr>
          <w:rtl/>
        </w:rPr>
        <w:t xml:space="preserve"> </w:t>
      </w:r>
      <w:r>
        <w:rPr>
          <w:rFonts w:hint="cs"/>
          <w:rtl/>
        </w:rPr>
        <w:t>דודאי דביוצר צורה מחדש חשיב כבונה ואח"כ סותר.</w:t>
      </w:r>
      <w:bookmarkEnd w:id="4712"/>
    </w:p>
    <w:bookmarkEnd w:id="4707"/>
    <w:p w14:paraId="0B430E54" w14:textId="77777777" w:rsidR="00376F67" w:rsidRPr="0074694D" w:rsidRDefault="00376F67" w:rsidP="00376F67">
      <w:pPr>
        <w:pStyle w:val="a2"/>
        <w:tabs>
          <w:tab w:val="num" w:pos="284"/>
        </w:tabs>
        <w:rPr>
          <w:vanish w:val="0"/>
          <w:rtl/>
        </w:rPr>
      </w:pPr>
      <w:r w:rsidRPr="0074694D">
        <w:rPr>
          <w:rtl/>
        </w:rPr>
        <w:t>אבל תיקון צורה להגשם ונעשה ע"י זה שימוש, ודאי חשיב בונה, ואף אם השימוש הוא לשעות מיוחדות ואח"כ פוסקו, דהפסיקה הוא מכאן ולהבא והצורה הראשונה אינה בת פירוד מן הגשם, וכש"כ אם גם בקנה של סיידין חייב כשתקע דהכא חייב אע"ג דפוסקו לאחר שעה, ואחרי שהדלקה הוא בנין הכיבוי הוא סותר.</w:t>
      </w:r>
    </w:p>
    <w:p w14:paraId="268965B0" w14:textId="77777777" w:rsidR="00376F67" w:rsidRDefault="00376F67" w:rsidP="00376F67">
      <w:pPr>
        <w:pStyle w:val="afffff7"/>
        <w:rPr>
          <w:rtl/>
        </w:rPr>
      </w:pPr>
      <w:bookmarkStart w:id="4715" w:name="_Toc143767924"/>
      <w:bookmarkStart w:id="4716" w:name="_Toc163506112"/>
      <w:r>
        <w:rPr>
          <w:rtl/>
        </w:rPr>
        <w:t xml:space="preserve">חזון איש </w:t>
      </w:r>
      <w:r>
        <w:rPr>
          <w:rFonts w:hint="cs"/>
          <w:rtl/>
        </w:rPr>
        <w:t>או"ח סי'</w:t>
      </w:r>
      <w:r>
        <w:rPr>
          <w:rtl/>
        </w:rPr>
        <w:t xml:space="preserve"> נ</w:t>
      </w:r>
      <w:r>
        <w:rPr>
          <w:rFonts w:hint="cs"/>
          <w:rtl/>
        </w:rPr>
        <w:t>' סק"ט ד"ה וכן</w:t>
      </w:r>
      <w:bookmarkEnd w:id="4715"/>
      <w:bookmarkEnd w:id="4716"/>
    </w:p>
    <w:p w14:paraId="000EDB1F" w14:textId="77777777" w:rsidR="00376F67" w:rsidRPr="005F5946" w:rsidRDefault="00376F67" w:rsidP="00376F67">
      <w:pPr>
        <w:pStyle w:val="a7"/>
        <w:rPr>
          <w:rtl/>
        </w:rPr>
      </w:pPr>
      <w:bookmarkStart w:id="4717" w:name="_Toc143767807"/>
      <w:bookmarkStart w:id="4718" w:name="_Toc143770628"/>
      <w:r>
        <w:rPr>
          <w:rFonts w:hint="cs"/>
          <w:rtl/>
        </w:rPr>
        <w:t>בי' החזו"א דהמשחיז סכין להתלמד ודעתו לפוגמו מיד חשיב כבונה דבנין לשעה הוי בנין</w:t>
      </w:r>
      <w:bookmarkEnd w:id="4717"/>
      <w:bookmarkEnd w:id="4718"/>
      <w:r>
        <w:rPr>
          <w:rFonts w:hint="cs"/>
          <w:rtl/>
        </w:rPr>
        <w:t xml:space="preserve"> </w:t>
      </w:r>
    </w:p>
    <w:p w14:paraId="54F8E0FE" w14:textId="1F001413" w:rsidR="00376F67" w:rsidRPr="005C0649" w:rsidRDefault="00376F67" w:rsidP="00BC7DC8">
      <w:pPr>
        <w:pStyle w:val="a3"/>
        <w:rPr>
          <w:rtl/>
        </w:rPr>
      </w:pPr>
      <w:bookmarkStart w:id="4719" w:name="_Ref143595455"/>
      <w:r w:rsidRPr="00C935FA">
        <w:rPr>
          <w:rFonts w:hint="cs"/>
          <w:rtl/>
        </w:rPr>
        <w:t>והוסיף</w:t>
      </w:r>
      <w:r w:rsidRPr="005C0649">
        <w:rPr>
          <w:rtl/>
        </w:rPr>
        <w:t xml:space="preserve"> </w:t>
      </w:r>
      <w:r w:rsidRPr="00D00D72">
        <w:rPr>
          <w:rStyle w:val="aff4"/>
          <w:rFonts w:hint="cs"/>
          <w:vanish/>
          <w:rtl/>
        </w:rPr>
        <w:t>-</w:t>
      </w:r>
      <w:r w:rsidRPr="00C935FA">
        <w:rPr>
          <w:rStyle w:val="aff4"/>
          <w:rFonts w:hint="cs"/>
          <w:rtl/>
        </w:rPr>
        <w:t>ה</w:t>
      </w:r>
      <w:r w:rsidRPr="00D00D72">
        <w:rPr>
          <w:rStyle w:val="aff4"/>
          <w:rFonts w:hint="cs"/>
          <w:vanish/>
          <w:rtl/>
        </w:rPr>
        <w:t xml:space="preserve">&lt;, </w:t>
      </w:r>
      <w:r w:rsidRPr="00D00D72">
        <w:rPr>
          <w:rStyle w:val="aff4"/>
          <w:vanish/>
          <w:rtl/>
        </w:rPr>
        <w:fldChar w:fldCharType="begin"/>
      </w:r>
      <w:r w:rsidRPr="00D00D72">
        <w:rPr>
          <w:rStyle w:val="aff4"/>
          <w:vanish/>
          <w:rtl/>
        </w:rPr>
        <w:instrText xml:space="preserve"> </w:instrText>
      </w:r>
      <w:r w:rsidRPr="00D00D72">
        <w:rPr>
          <w:rStyle w:val="aff4"/>
          <w:rFonts w:hint="cs"/>
          <w:vanish/>
        </w:rPr>
        <w:instrText>REF</w:instrText>
      </w:r>
      <w:r w:rsidRPr="00D00D72">
        <w:rPr>
          <w:rStyle w:val="aff4"/>
          <w:rFonts w:hint="cs"/>
          <w:vanish/>
          <w:rtl/>
        </w:rPr>
        <w:instrText xml:space="preserve"> _</w:instrText>
      </w:r>
      <w:r w:rsidRPr="00D00D72">
        <w:rPr>
          <w:rStyle w:val="aff4"/>
          <w:rFonts w:hint="cs"/>
          <w:vanish/>
        </w:rPr>
        <w:instrText>Ref143595455 \r \h</w:instrText>
      </w:r>
      <w:r w:rsidRPr="00D00D72">
        <w:rPr>
          <w:rStyle w:val="aff4"/>
          <w:vanish/>
          <w:rtl/>
        </w:rPr>
        <w:instrText xml:space="preserve"> </w:instrText>
      </w:r>
      <w:r w:rsidRPr="00D00D72">
        <w:rPr>
          <w:rStyle w:val="aff4"/>
          <w:vanish/>
          <w:rtl/>
        </w:rPr>
      </w:r>
      <w:r w:rsidRPr="00D00D72">
        <w:rPr>
          <w:rStyle w:val="aff4"/>
          <w:vanish/>
          <w:rtl/>
        </w:rPr>
        <w:fldChar w:fldCharType="separate"/>
      </w:r>
      <w:r w:rsidR="00D82181">
        <w:rPr>
          <w:rStyle w:val="aff4"/>
          <w:vanish/>
          <w:cs/>
        </w:rPr>
        <w:t>‎</w:t>
      </w:r>
      <w:r w:rsidR="00D82181">
        <w:rPr>
          <w:rStyle w:val="aff4"/>
          <w:vanish/>
          <w:rtl/>
        </w:rPr>
        <w:t>מא)</w:t>
      </w:r>
      <w:r w:rsidRPr="00D00D72">
        <w:rPr>
          <w:rStyle w:val="aff4"/>
          <w:vanish/>
          <w:rtl/>
        </w:rPr>
        <w:fldChar w:fldCharType="end"/>
      </w:r>
      <w:r w:rsidRPr="00D00D72">
        <w:rPr>
          <w:rStyle w:val="aff4"/>
          <w:rFonts w:hint="cs"/>
          <w:vanish/>
          <w:rtl/>
        </w:rPr>
        <w:t xml:space="preserve"> &gt;</w:t>
      </w:r>
      <w:r w:rsidRPr="00C935FA">
        <w:rPr>
          <w:rStyle w:val="aff4"/>
          <w:rFonts w:hint="cs"/>
          <w:rtl/>
        </w:rPr>
        <w:t>חזו"א</w:t>
      </w:r>
      <w:r w:rsidRPr="00D00D72">
        <w:rPr>
          <w:rStyle w:val="aff4"/>
          <w:rFonts w:hint="cs"/>
          <w:vanish/>
          <w:rtl/>
        </w:rPr>
        <w:t>-</w:t>
      </w:r>
      <w:r w:rsidRPr="001A2014">
        <w:rPr>
          <w:rStyle w:val="aff4"/>
          <w:rFonts w:hint="cs"/>
          <w:rtl/>
        </w:rPr>
        <w:t xml:space="preserve"> </w:t>
      </w:r>
      <w:r w:rsidRPr="00D00D72">
        <w:rPr>
          <w:rStyle w:val="af2"/>
          <w:rFonts w:eastAsia="Guttman Hodes" w:hint="cs"/>
          <w:rtl/>
        </w:rPr>
        <w:t>(או"ח סי' נ' סק"ט ד"ה וכן)</w:t>
      </w:r>
      <w:r w:rsidRPr="00D00D72">
        <w:rPr>
          <w:rFonts w:hint="cs"/>
          <w:vanish/>
          <w:rtl/>
        </w:rPr>
        <w:t>=</w:t>
      </w:r>
      <w:r w:rsidRPr="00C935FA">
        <w:rPr>
          <w:rFonts w:hint="cs"/>
          <w:rtl/>
        </w:rPr>
        <w:t xml:space="preserve"> </w:t>
      </w:r>
      <w:r>
        <w:rPr>
          <w:rFonts w:hint="cs"/>
          <w:rtl/>
        </w:rPr>
        <w:t xml:space="preserve">דהמתלמד להשחיז סכין לשחיטה, וכוונתו לפגום את הסכין מיד לאחר שהשחיזו בלא כל שימוש, מ"מ חשיב כבונה, כיון דבנין לשעה הוי בנין. </w:t>
      </w:r>
      <w:r w:rsidRPr="00F66E25">
        <w:rPr>
          <w:rStyle w:val="af"/>
          <w:rFonts w:hint="cs"/>
          <w:rtl/>
        </w:rPr>
        <w:t xml:space="preserve">[והיינו דיצר </w:t>
      </w:r>
      <w:r>
        <w:rPr>
          <w:rStyle w:val="af"/>
          <w:rFonts w:hint="cs"/>
          <w:rtl/>
        </w:rPr>
        <w:t xml:space="preserve">צורה של </w:t>
      </w:r>
      <w:r w:rsidRPr="00F66E25">
        <w:rPr>
          <w:rStyle w:val="af"/>
          <w:rFonts w:hint="cs"/>
          <w:rtl/>
        </w:rPr>
        <w:t>סכין הראוי לשחיטה, והיצירה היא בנין גמור, ופגימתו אח"כ היא סתירה].</w:t>
      </w:r>
      <w:bookmarkEnd w:id="4719"/>
    </w:p>
    <w:p w14:paraId="6ADC5AF8" w14:textId="77777777" w:rsidR="00376F67" w:rsidRPr="0074694D" w:rsidRDefault="00376F67" w:rsidP="00376F67">
      <w:pPr>
        <w:pStyle w:val="a2"/>
        <w:tabs>
          <w:tab w:val="num" w:pos="284"/>
        </w:tabs>
        <w:rPr>
          <w:vanish w:val="0"/>
          <w:rtl/>
        </w:rPr>
      </w:pPr>
      <w:r w:rsidRPr="0074694D">
        <w:rPr>
          <w:rtl/>
        </w:rPr>
        <w:t>וכן המתלמד השחזת סכין של שחיטה שהעמיד את הסכין לשחוט בו, אע"ג שבדעתו לפוגמו תיכף אחר שחיטה מ"מ חשיב בונה דבנין לשעה חשיב בונה. [א"ה, וע"ע במכתבים בסי' קנ"ו, לסי' שי"ג].</w:t>
      </w:r>
    </w:p>
    <w:p w14:paraId="229ADCBF" w14:textId="77777777" w:rsidR="00376F67" w:rsidRDefault="00376F67" w:rsidP="00376F67">
      <w:pPr>
        <w:pStyle w:val="afffff7"/>
        <w:rPr>
          <w:rtl/>
        </w:rPr>
      </w:pPr>
      <w:bookmarkStart w:id="4720" w:name="_Toc143767925"/>
      <w:bookmarkStart w:id="4721" w:name="_Toc163506113"/>
      <w:r>
        <w:rPr>
          <w:rtl/>
        </w:rPr>
        <w:t xml:space="preserve">חזון איש </w:t>
      </w:r>
      <w:r>
        <w:rPr>
          <w:rFonts w:hint="cs"/>
          <w:rtl/>
        </w:rPr>
        <w:t>או"ח סי'</w:t>
      </w:r>
      <w:r>
        <w:rPr>
          <w:rtl/>
        </w:rPr>
        <w:t xml:space="preserve"> נ</w:t>
      </w:r>
      <w:r>
        <w:rPr>
          <w:rFonts w:hint="cs"/>
          <w:rtl/>
        </w:rPr>
        <w:t>' סק"ט ד"ה והא</w:t>
      </w:r>
      <w:bookmarkEnd w:id="4720"/>
      <w:bookmarkEnd w:id="4721"/>
    </w:p>
    <w:p w14:paraId="2A136095" w14:textId="77777777" w:rsidR="00376F67" w:rsidRPr="00DE37C4" w:rsidRDefault="00376F67" w:rsidP="00376F67">
      <w:pPr>
        <w:pStyle w:val="a7"/>
        <w:rPr>
          <w:rtl/>
        </w:rPr>
      </w:pPr>
      <w:bookmarkStart w:id="4722" w:name="_Toc143767808"/>
      <w:bookmarkStart w:id="4723" w:name="_Toc143770629"/>
      <w:r>
        <w:rPr>
          <w:rFonts w:hint="cs"/>
          <w:rtl/>
        </w:rPr>
        <w:t>בי' החזו"א דבכיסוי כלים דעומדים לפתיחה וסגירה וכ"א כלי בפנ"ע ל"ה בונה ול"ד למרכיב כלי</w:t>
      </w:r>
      <w:bookmarkEnd w:id="4722"/>
      <w:bookmarkEnd w:id="4723"/>
    </w:p>
    <w:p w14:paraId="446CFBC3" w14:textId="6299C14A" w:rsidR="00376F67" w:rsidRDefault="00376F67" w:rsidP="00BC7DC8">
      <w:pPr>
        <w:pStyle w:val="a3"/>
      </w:pPr>
      <w:bookmarkStart w:id="4724" w:name="_Ref143159400"/>
      <w:r>
        <w:rPr>
          <w:rFonts w:hint="cs"/>
          <w:rtl/>
        </w:rPr>
        <w:t>וכתב</w:t>
      </w:r>
      <w:r w:rsidRPr="005C0649">
        <w:rPr>
          <w:rtl/>
        </w:rPr>
        <w:t xml:space="preserve"> </w:t>
      </w:r>
      <w:r w:rsidRPr="001A2014">
        <w:rPr>
          <w:rStyle w:val="aff4"/>
          <w:rFonts w:hint="cs"/>
          <w:vanish/>
          <w:rtl/>
        </w:rPr>
        <w:t>-</w:t>
      </w:r>
      <w:r w:rsidRPr="00C935FA">
        <w:rPr>
          <w:rStyle w:val="aff4"/>
          <w:rFonts w:hint="cs"/>
          <w:rtl/>
        </w:rPr>
        <w:t>ה</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Ref143159400 \r \h</w:instrText>
      </w:r>
      <w:r w:rsidRPr="00FF7D8F">
        <w:rPr>
          <w:rStyle w:val="aff4"/>
          <w:vanish/>
          <w:rtl/>
        </w:rPr>
        <w:instrText xml:space="preserve">  \* </w:instrText>
      </w:r>
      <w:r w:rsidRPr="00FF7D8F">
        <w:rPr>
          <w:rStyle w:val="aff4"/>
          <w:vanish/>
        </w:rPr>
        <w:instrText>MERGEFORMAT</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מב)</w:t>
      </w:r>
      <w:r w:rsidRPr="00FF7D8F">
        <w:rPr>
          <w:rStyle w:val="aff4"/>
          <w:vanish/>
          <w:rtl/>
        </w:rPr>
        <w:fldChar w:fldCharType="end"/>
      </w:r>
      <w:r w:rsidRPr="00FF7D8F">
        <w:rPr>
          <w:rStyle w:val="aff4"/>
          <w:rFonts w:hint="cs"/>
          <w:vanish/>
          <w:rtl/>
        </w:rPr>
        <w:t xml:space="preserve"> &gt;</w:t>
      </w:r>
      <w:r w:rsidRPr="00C935FA">
        <w:rPr>
          <w:rStyle w:val="aff4"/>
          <w:rFonts w:hint="cs"/>
          <w:rtl/>
        </w:rPr>
        <w:t>חזו"א</w:t>
      </w:r>
      <w:r w:rsidRPr="001A2014">
        <w:rPr>
          <w:rStyle w:val="aff4"/>
          <w:rFonts w:hint="cs"/>
          <w:vanish/>
          <w:rtl/>
        </w:rPr>
        <w:t>-</w:t>
      </w:r>
      <w:r w:rsidRPr="001A2014">
        <w:rPr>
          <w:rStyle w:val="aff4"/>
          <w:rFonts w:hint="cs"/>
          <w:rtl/>
        </w:rPr>
        <w:t xml:space="preserve"> </w:t>
      </w:r>
      <w:r w:rsidRPr="00DB1D3B">
        <w:rPr>
          <w:rStyle w:val="af2"/>
          <w:rFonts w:eastAsia="Guttman Hodes" w:hint="cs"/>
          <w:rtl/>
        </w:rPr>
        <w:t>(או"ח סי' נ' סק"ט ד"ה והא)</w:t>
      </w:r>
      <w:r w:rsidRPr="00C935FA">
        <w:rPr>
          <w:rFonts w:hint="cs"/>
          <w:vanish/>
          <w:rtl/>
        </w:rPr>
        <w:t>=</w:t>
      </w:r>
      <w:r w:rsidRPr="00C935FA">
        <w:rPr>
          <w:rFonts w:hint="cs"/>
          <w:rtl/>
        </w:rPr>
        <w:t xml:space="preserve"> </w:t>
      </w:r>
      <w:r w:rsidRPr="00C935FA">
        <w:rPr>
          <w:rtl/>
        </w:rPr>
        <w:t>דהא דכתבו</w:t>
      </w:r>
      <w:r w:rsidRPr="001A2014">
        <w:rPr>
          <w:rStyle w:val="aff4"/>
          <w:rtl/>
        </w:rPr>
        <w:t xml:space="preserve"> </w:t>
      </w:r>
      <w:r w:rsidRPr="001A2014">
        <w:rPr>
          <w:rStyle w:val="aff4"/>
          <w:vanish/>
          <w:rtl/>
        </w:rPr>
        <w:t>-</w:t>
      </w:r>
      <w:r w:rsidRPr="00C935FA">
        <w:rPr>
          <w:rStyle w:val="aff4"/>
          <w:rtl/>
        </w:rPr>
        <w:t>ה</w:t>
      </w:r>
      <w:r w:rsidRPr="00FF7D8F">
        <w:rPr>
          <w:rStyle w:val="aff4"/>
          <w:rFonts w:hint="cs"/>
          <w:vanish/>
          <w:rtl/>
        </w:rPr>
        <w:t>&lt; &gt;</w:t>
      </w:r>
      <w:r w:rsidRPr="00C935FA">
        <w:rPr>
          <w:rStyle w:val="aff4"/>
          <w:rtl/>
        </w:rPr>
        <w:t>מג"א</w:t>
      </w:r>
      <w:r w:rsidRPr="0084044B">
        <w:rPr>
          <w:vanish/>
          <w:rtl/>
        </w:rPr>
        <w:t>-</w:t>
      </w:r>
      <w:r w:rsidRPr="00C935FA">
        <w:rPr>
          <w:rStyle w:val="aff4"/>
          <w:rtl/>
        </w:rPr>
        <w:t xml:space="preserve"> </w:t>
      </w:r>
      <w:r w:rsidRPr="00DB1D3B">
        <w:rPr>
          <w:rStyle w:val="af2"/>
          <w:rFonts w:eastAsia="Guttman Hodes" w:hint="cs"/>
          <w:rtl/>
        </w:rPr>
        <w:t>(סי' שי"ג סקי"ב)</w:t>
      </w:r>
      <w:r w:rsidRPr="00DE442A">
        <w:rPr>
          <w:rFonts w:hint="cs"/>
          <w:vanish/>
          <w:rtl/>
        </w:rPr>
        <w:t xml:space="preserve"> </w:t>
      </w:r>
      <w:r w:rsidRPr="00C935FA">
        <w:rPr>
          <w:rFonts w:hint="cs"/>
          <w:vanish/>
          <w:rtl/>
        </w:rPr>
        <w:t>=</w:t>
      </w:r>
      <w:r>
        <w:rPr>
          <w:rStyle w:val="aff4"/>
          <w:rFonts w:hint="cs"/>
          <w:rtl/>
        </w:rPr>
        <w:t xml:space="preserve"> </w:t>
      </w:r>
      <w:r w:rsidRPr="0084044B">
        <w:rPr>
          <w:vanish/>
          <w:rtl/>
        </w:rPr>
        <w:t>-</w:t>
      </w:r>
      <w:r w:rsidRPr="00C935FA">
        <w:rPr>
          <w:rStyle w:val="aff4"/>
          <w:rtl/>
        </w:rPr>
        <w:t>וה</w:t>
      </w:r>
      <w:r w:rsidRPr="00FF7D8F">
        <w:rPr>
          <w:rStyle w:val="aff4"/>
          <w:rFonts w:hint="cs"/>
          <w:vanish/>
          <w:rtl/>
        </w:rPr>
        <w:t>&lt; &gt;</w:t>
      </w:r>
      <w:r w:rsidRPr="00C935FA">
        <w:rPr>
          <w:rStyle w:val="aff4"/>
          <w:rtl/>
        </w:rPr>
        <w:t>ט"ז</w:t>
      </w:r>
      <w:r w:rsidRPr="0084044B">
        <w:rPr>
          <w:vanish/>
          <w:rtl/>
        </w:rPr>
        <w:t>-</w:t>
      </w:r>
      <w:r w:rsidRPr="00C935FA">
        <w:rPr>
          <w:rtl/>
        </w:rPr>
        <w:t xml:space="preserve"> </w:t>
      </w:r>
      <w:r w:rsidRPr="00DB1D3B">
        <w:rPr>
          <w:rStyle w:val="af2"/>
          <w:rFonts w:eastAsia="Guttman Hodes" w:hint="cs"/>
          <w:rtl/>
        </w:rPr>
        <w:t>(סי' שי"ג סק"ז)</w:t>
      </w:r>
      <w:r w:rsidRPr="00C935FA">
        <w:rPr>
          <w:rFonts w:hint="cs"/>
          <w:vanish/>
          <w:rtl/>
        </w:rPr>
        <w:t>=</w:t>
      </w:r>
      <w:r>
        <w:rPr>
          <w:rFonts w:hint="cs"/>
          <w:rtl/>
        </w:rPr>
        <w:t xml:space="preserve"> </w:t>
      </w:r>
      <w:r w:rsidRPr="00C935FA">
        <w:rPr>
          <w:rtl/>
        </w:rPr>
        <w:t xml:space="preserve">דמותר לתקוע כיסוי של כלי, כיון שהוא עומד לפתוח ולסגור, הוא </w:t>
      </w:r>
      <w:r w:rsidRPr="00C935FA">
        <w:rPr>
          <w:rFonts w:hint="cs"/>
          <w:rtl/>
        </w:rPr>
        <w:t>דוקא בכלי שעומד להיות פתוח ולהשתמש בו, דסתום אינו כלי,</w:t>
      </w:r>
      <w:r>
        <w:rPr>
          <w:rFonts w:hint="cs"/>
          <w:rtl/>
        </w:rPr>
        <w:t xml:space="preserve"> </w:t>
      </w:r>
      <w:r w:rsidRPr="00C935FA">
        <w:rPr>
          <w:rFonts w:hint="cs"/>
          <w:rtl/>
        </w:rPr>
        <w:t>ו</w:t>
      </w:r>
      <w:r>
        <w:rPr>
          <w:rFonts w:hint="cs"/>
          <w:rtl/>
        </w:rPr>
        <w:t>ביאר</w:t>
      </w:r>
      <w:r w:rsidRPr="00C935FA">
        <w:rPr>
          <w:rFonts w:hint="cs"/>
          <w:rtl/>
        </w:rPr>
        <w:t xml:space="preserve"> </w:t>
      </w:r>
      <w:r w:rsidRPr="001A2014">
        <w:rPr>
          <w:rStyle w:val="aff4"/>
          <w:rFonts w:hint="cs"/>
          <w:vanish/>
          <w:rtl/>
        </w:rPr>
        <w:t>-</w:t>
      </w:r>
      <w:r w:rsidRPr="00C935FA">
        <w:rPr>
          <w:rStyle w:val="aff4"/>
          <w:rFonts w:hint="cs"/>
          <w:rtl/>
        </w:rPr>
        <w:t>החזו"א</w:t>
      </w:r>
      <w:r w:rsidRPr="001A2014">
        <w:rPr>
          <w:rFonts w:hint="cs"/>
          <w:vanish/>
          <w:rtl/>
        </w:rPr>
        <w:t>-</w:t>
      </w:r>
      <w:r>
        <w:rPr>
          <w:rFonts w:hint="cs"/>
          <w:rtl/>
        </w:rPr>
        <w:t xml:space="preserve"> ד</w:t>
      </w:r>
      <w:r w:rsidRPr="00C935FA">
        <w:rPr>
          <w:rFonts w:hint="cs"/>
          <w:rtl/>
        </w:rPr>
        <w:t xml:space="preserve">לכן </w:t>
      </w:r>
      <w:r w:rsidRPr="00C935FA">
        <w:rPr>
          <w:rtl/>
        </w:rPr>
        <w:t xml:space="preserve">דכ"א מהם יש לו שם כלי בפנ"ע, והם </w:t>
      </w:r>
      <w:r w:rsidRPr="00C935FA">
        <w:rPr>
          <w:rFonts w:hint="cs"/>
          <w:rtl/>
        </w:rPr>
        <w:t>משתתפים לשימוש</w:t>
      </w:r>
      <w:r w:rsidRPr="00C935FA">
        <w:rPr>
          <w:rtl/>
        </w:rPr>
        <w:t xml:space="preserve"> אחד, ולכן אי"ז נחשב בנין כלל, אבל דבר שמרכיבו לצורך שימוש כקנה של סיידין</w:t>
      </w:r>
      <w:r w:rsidRPr="00C935FA">
        <w:rPr>
          <w:rFonts w:hint="cs"/>
          <w:rtl/>
        </w:rPr>
        <w:t>,</w:t>
      </w:r>
      <w:r w:rsidRPr="001A2014">
        <w:rPr>
          <w:rStyle w:val="aff4"/>
          <w:rFonts w:hint="cs"/>
          <w:rtl/>
        </w:rPr>
        <w:t xml:space="preserve"> </w:t>
      </w:r>
      <w:r w:rsidRPr="00C935FA">
        <w:rPr>
          <w:rtl/>
        </w:rPr>
        <w:t>חייב אף במתקנו לשעה</w:t>
      </w:r>
      <w:r w:rsidRPr="00C935FA">
        <w:rPr>
          <w:rFonts w:hint="cs"/>
          <w:rtl/>
        </w:rPr>
        <w:t xml:space="preserve"> דאף בכה"ג חשיב כבונה</w:t>
      </w:r>
      <w:r>
        <w:rPr>
          <w:rFonts w:hint="cs"/>
          <w:rtl/>
        </w:rPr>
        <w:t>.</w:t>
      </w:r>
      <w:r w:rsidRPr="00C935FA">
        <w:rPr>
          <w:rFonts w:hint="cs"/>
          <w:rtl/>
        </w:rPr>
        <w:t xml:space="preserve"> </w:t>
      </w:r>
      <w:r w:rsidRPr="00A655AF">
        <w:rPr>
          <w:rStyle w:val="af"/>
          <w:rFonts w:hint="cs"/>
          <w:rtl/>
        </w:rPr>
        <w:t xml:space="preserve">[לדעת </w:t>
      </w:r>
      <w:r w:rsidRPr="001B1FAC">
        <w:rPr>
          <w:rStyle w:val="aff9"/>
          <w:rFonts w:hint="cs"/>
          <w:vanish/>
          <w:rtl/>
        </w:rPr>
        <w:t>-</w:t>
      </w:r>
      <w:r w:rsidRPr="00A655AF">
        <w:rPr>
          <w:rStyle w:val="aff9"/>
          <w:rFonts w:hint="cs"/>
          <w:rtl/>
        </w:rPr>
        <w:t>הרמב"ן והריטב"א</w:t>
      </w:r>
      <w:r w:rsidRPr="001B1FAC">
        <w:rPr>
          <w:rStyle w:val="aff9"/>
          <w:rFonts w:hint="cs"/>
          <w:vanish/>
          <w:rtl/>
        </w:rPr>
        <w:t>-</w:t>
      </w:r>
      <w:r w:rsidRPr="00A655AF">
        <w:rPr>
          <w:rStyle w:val="af"/>
          <w:rFonts w:hint="cs"/>
          <w:rtl/>
        </w:rPr>
        <w:t xml:space="preserve"> </w:t>
      </w:r>
      <w:r w:rsidRPr="001B1FAC">
        <w:rPr>
          <w:rStyle w:val="aff0"/>
          <w:rFonts w:hint="cs"/>
          <w:rtl/>
        </w:rPr>
        <w:t xml:space="preserve">(עי' אות </w:t>
      </w:r>
      <w:r w:rsidRPr="001B1FAC">
        <w:rPr>
          <w:rStyle w:val="aff0"/>
          <w:rtl/>
        </w:rPr>
        <w:fldChar w:fldCharType="begin"/>
      </w:r>
      <w:r w:rsidRPr="001B1FAC">
        <w:rPr>
          <w:rStyle w:val="aff0"/>
          <w:rtl/>
        </w:rPr>
        <w:instrText xml:space="preserve"> </w:instrText>
      </w:r>
      <w:r w:rsidRPr="001B1FAC">
        <w:rPr>
          <w:rStyle w:val="aff0"/>
          <w:rFonts w:hint="cs"/>
        </w:rPr>
        <w:instrText>REF</w:instrText>
      </w:r>
      <w:r w:rsidRPr="001B1FAC">
        <w:rPr>
          <w:rStyle w:val="aff0"/>
          <w:rFonts w:hint="cs"/>
          <w:rtl/>
        </w:rPr>
        <w:instrText xml:space="preserve"> _</w:instrText>
      </w:r>
      <w:r w:rsidRPr="001B1FAC">
        <w:rPr>
          <w:rStyle w:val="aff0"/>
          <w:rFonts w:hint="cs"/>
        </w:rPr>
        <w:instrText>Ref143161507 \r \h</w:instrText>
      </w:r>
      <w:r w:rsidRPr="001B1FAC">
        <w:rPr>
          <w:rStyle w:val="aff0"/>
          <w:rtl/>
        </w:rPr>
        <w:instrText xml:space="preserve"> </w:instrText>
      </w:r>
      <w:r w:rsidRPr="001B1FAC">
        <w:rPr>
          <w:rStyle w:val="aff0"/>
          <w:rtl/>
        </w:rPr>
      </w:r>
      <w:r w:rsidRPr="001B1FAC">
        <w:rPr>
          <w:rStyle w:val="aff0"/>
          <w:rtl/>
        </w:rPr>
        <w:fldChar w:fldCharType="separate"/>
      </w:r>
      <w:r w:rsidR="00D82181">
        <w:rPr>
          <w:rStyle w:val="aff0"/>
          <w:cs/>
        </w:rPr>
        <w:t>‎</w:t>
      </w:r>
      <w:r w:rsidR="00D82181">
        <w:rPr>
          <w:rStyle w:val="aff0"/>
          <w:rtl/>
        </w:rPr>
        <w:t>לח)</w:t>
      </w:r>
      <w:r w:rsidRPr="001B1FAC">
        <w:rPr>
          <w:rStyle w:val="aff0"/>
          <w:rtl/>
        </w:rPr>
        <w:fldChar w:fldCharType="end"/>
      </w:r>
      <w:r w:rsidRPr="006D12D1">
        <w:rPr>
          <w:rStyle w:val="af"/>
          <w:rFonts w:hint="cs"/>
          <w:rtl/>
        </w:rPr>
        <w:t>]</w:t>
      </w:r>
      <w:r>
        <w:rPr>
          <w:rStyle w:val="af"/>
          <w:rFonts w:hint="cs"/>
          <w:rtl/>
        </w:rPr>
        <w:t>.</w:t>
      </w:r>
    </w:p>
    <w:p w14:paraId="24033432" w14:textId="77777777" w:rsidR="00376F67" w:rsidRPr="0074694D" w:rsidRDefault="00376F67" w:rsidP="00376F67">
      <w:pPr>
        <w:pStyle w:val="a2"/>
        <w:tabs>
          <w:tab w:val="num" w:pos="284"/>
        </w:tabs>
        <w:rPr>
          <w:vanish w:val="0"/>
          <w:rtl/>
        </w:rPr>
      </w:pPr>
      <w:r w:rsidRPr="0074694D">
        <w:rPr>
          <w:rtl/>
        </w:rPr>
        <w:t>והא דכתבו הט"ז והמ"א סי' שי"ג דמותר לתקוע את כיסוי הכלי כיון שעומד לסגור ולפתוח, היינו דוקא בכיסוי שאין סתימת הכלי בנין אלא שימוש דכלי סתום לעולם אינו כלי, וכל ענין הכלי הוא להיות פתוח ולשמש בו, ולכסותו שלא בשעת שימוש, והלכך אין הכיסוי והכלי כחד אלא שני גשמים משתתפים בשימוש, אבל הרכבה הדרושה לשימוש כמו קנה סיידן, ומטה של טרסיים, וזרם החשמל, אף תיקון לשעה חשיב בונה.</w:t>
      </w:r>
    </w:p>
    <w:p w14:paraId="29F6192A" w14:textId="77777777" w:rsidR="00376F67" w:rsidRDefault="00376F67" w:rsidP="00376F67">
      <w:pPr>
        <w:pStyle w:val="afffff7"/>
        <w:rPr>
          <w:rtl/>
        </w:rPr>
      </w:pPr>
      <w:bookmarkStart w:id="4725" w:name="_Toc143767926"/>
      <w:bookmarkStart w:id="4726" w:name="_Toc163506114"/>
      <w:bookmarkEnd w:id="4724"/>
      <w:r>
        <w:rPr>
          <w:rtl/>
        </w:rPr>
        <w:t xml:space="preserve">חזון איש </w:t>
      </w:r>
      <w:r>
        <w:rPr>
          <w:rFonts w:hint="cs"/>
          <w:rtl/>
        </w:rPr>
        <w:t>או"ח סי'</w:t>
      </w:r>
      <w:r>
        <w:rPr>
          <w:rtl/>
        </w:rPr>
        <w:t xml:space="preserve"> </w:t>
      </w:r>
      <w:r>
        <w:rPr>
          <w:rFonts w:hint="cs"/>
          <w:rtl/>
        </w:rPr>
        <w:t xml:space="preserve">קנ"ו השמטות לסי' שי"ג </w:t>
      </w:r>
      <w:r>
        <w:rPr>
          <w:rtl/>
        </w:rPr>
        <w:t>ד"ה יסוד</w:t>
      </w:r>
      <w:bookmarkEnd w:id="4725"/>
      <w:bookmarkEnd w:id="4726"/>
    </w:p>
    <w:p w14:paraId="6130202C" w14:textId="77777777" w:rsidR="00376F67" w:rsidRDefault="00376F67" w:rsidP="00376F67">
      <w:pPr>
        <w:pStyle w:val="a7"/>
        <w:rPr>
          <w:rtl/>
        </w:rPr>
      </w:pPr>
      <w:bookmarkStart w:id="4727" w:name="_Toc143767809"/>
      <w:bookmarkStart w:id="4728" w:name="_Toc143770630"/>
      <w:r>
        <w:rPr>
          <w:rFonts w:hint="cs"/>
          <w:rtl/>
        </w:rPr>
        <w:t>בי' החזו"א דהרכבה שעי"ז נעשה כלי ויש לו שימוש הוי בונה אף בע"מ לפרק כתופר ע"מ לנתק</w:t>
      </w:r>
      <w:bookmarkEnd w:id="4727"/>
      <w:bookmarkEnd w:id="4728"/>
    </w:p>
    <w:p w14:paraId="0E4F0F81" w14:textId="72508E98" w:rsidR="00376F67" w:rsidRPr="00737000" w:rsidRDefault="00376F67" w:rsidP="00BC7DC8">
      <w:pPr>
        <w:pStyle w:val="a3"/>
        <w:rPr>
          <w:rtl/>
        </w:rPr>
      </w:pPr>
      <w:bookmarkStart w:id="4729" w:name="_Ref143183107"/>
      <w:r>
        <w:rPr>
          <w:rFonts w:hint="cs"/>
          <w:rtl/>
        </w:rPr>
        <w:t xml:space="preserve">ועוד כתב </w:t>
      </w:r>
      <w:r w:rsidRPr="00322C40">
        <w:rPr>
          <w:rFonts w:hint="cs"/>
          <w:vanish/>
          <w:rtl/>
        </w:rPr>
        <w:t>-</w:t>
      </w:r>
      <w:r w:rsidRPr="00322C40">
        <w:rPr>
          <w:rStyle w:val="aff4"/>
          <w:rFonts w:hint="cs"/>
          <w:rtl/>
        </w:rPr>
        <w:t>ה</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Ref143183107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מג)</w:t>
      </w:r>
      <w:r w:rsidRPr="00FF7D8F">
        <w:rPr>
          <w:rStyle w:val="aff4"/>
          <w:vanish/>
          <w:rtl/>
        </w:rPr>
        <w:fldChar w:fldCharType="end"/>
      </w:r>
      <w:r w:rsidRPr="00FF7D8F">
        <w:rPr>
          <w:rStyle w:val="aff4"/>
          <w:rFonts w:hint="cs"/>
          <w:vanish/>
          <w:rtl/>
        </w:rPr>
        <w:t xml:space="preserve"> &gt;</w:t>
      </w:r>
      <w:r w:rsidRPr="00322C40">
        <w:rPr>
          <w:rStyle w:val="aff4"/>
          <w:rFonts w:hint="cs"/>
          <w:rtl/>
        </w:rPr>
        <w:t>חזו"א</w:t>
      </w:r>
      <w:r w:rsidRPr="00322C40">
        <w:rPr>
          <w:rStyle w:val="aff4"/>
          <w:rFonts w:hint="cs"/>
          <w:vanish/>
          <w:rtl/>
        </w:rPr>
        <w:t>-</w:t>
      </w:r>
      <w:r>
        <w:rPr>
          <w:rFonts w:hint="cs"/>
          <w:rtl/>
        </w:rPr>
        <w:t xml:space="preserve"> </w:t>
      </w:r>
      <w:r w:rsidRPr="00DB1D3B">
        <w:rPr>
          <w:rStyle w:val="af2"/>
          <w:rFonts w:eastAsia="Guttman Hodes" w:hint="cs"/>
          <w:rtl/>
        </w:rPr>
        <w:t>(סי' קנ"ו השמטות לסי' שי"ג ד"ה יסוד)</w:t>
      </w:r>
      <w:bookmarkEnd w:id="4729"/>
      <w:r w:rsidRPr="00322C40">
        <w:rPr>
          <w:rFonts w:hint="cs"/>
          <w:vanish/>
          <w:rtl/>
        </w:rPr>
        <w:t>=</w:t>
      </w:r>
      <w:r>
        <w:rPr>
          <w:rFonts w:hint="cs"/>
          <w:rtl/>
        </w:rPr>
        <w:t xml:space="preserve"> דכשמחבר ב' פרקים וע"י החיבור הם נעשים לכלי, וכל השימוש שלו הוא רק ע"י החיבור הוי בונה אף כשהוא רפוי, </w:t>
      </w:r>
      <w:r w:rsidRPr="00C935FA">
        <w:rPr>
          <w:rFonts w:hint="cs"/>
          <w:rtl/>
        </w:rPr>
        <w:t>ו</w:t>
      </w:r>
      <w:r>
        <w:rPr>
          <w:rFonts w:hint="cs"/>
          <w:rtl/>
        </w:rPr>
        <w:t>ביאר</w:t>
      </w:r>
      <w:r w:rsidRPr="00C935FA">
        <w:rPr>
          <w:rFonts w:hint="cs"/>
          <w:rtl/>
        </w:rPr>
        <w:t xml:space="preserve"> </w:t>
      </w:r>
      <w:r w:rsidRPr="001A2014">
        <w:rPr>
          <w:rStyle w:val="aff4"/>
          <w:rFonts w:hint="cs"/>
          <w:vanish/>
          <w:rtl/>
        </w:rPr>
        <w:t>-</w:t>
      </w:r>
      <w:r w:rsidRPr="00C935FA">
        <w:rPr>
          <w:rStyle w:val="aff4"/>
          <w:rFonts w:hint="cs"/>
          <w:rtl/>
        </w:rPr>
        <w:t>החזו"א</w:t>
      </w:r>
      <w:r w:rsidRPr="001A2014">
        <w:rPr>
          <w:rFonts w:hint="cs"/>
          <w:vanish/>
          <w:rtl/>
        </w:rPr>
        <w:t>-</w:t>
      </w:r>
      <w:r>
        <w:rPr>
          <w:rFonts w:hint="cs"/>
          <w:rtl/>
        </w:rPr>
        <w:t xml:space="preserve"> דאף בעשוי לנעול ולפתוח הוי בונה, ורק בדלת וכיסוי דכל צורת הכלי היא ע"י פתיחה ונעילה יחד לא הוי בונה, אבל במקום שע"י החיבור יש שימוש בכלי הוי </w:t>
      </w:r>
      <w:r>
        <w:rPr>
          <w:rFonts w:hint="cs"/>
          <w:rtl/>
        </w:rPr>
        <w:t>בונה, וכשמפריד את החיבור הוי סותר, ודמי לתופר בגד ע"מ לנתק את התפירה מיד לאחר התפירה, דודאי דאי"ז מבטל מהתפירה את שם המלאכה.</w:t>
      </w:r>
    </w:p>
    <w:p w14:paraId="0A128156" w14:textId="77777777" w:rsidR="00376F67" w:rsidRPr="0074694D" w:rsidRDefault="00376F67" w:rsidP="00376F67">
      <w:pPr>
        <w:pStyle w:val="a2"/>
        <w:tabs>
          <w:tab w:val="num" w:pos="284"/>
        </w:tabs>
        <w:rPr>
          <w:vanish w:val="0"/>
          <w:rtl/>
        </w:rPr>
      </w:pPr>
      <w:r w:rsidRPr="0074694D">
        <w:rPr>
          <w:rtl/>
        </w:rPr>
        <w:t>יסוד הדברים שיקול הדעת, ויש חילוק בין פועל הצורה ע"י פעולה בלתי ממשית, כמו מחמם ברזל באש, ובין מחבר ב' פרקים וע"י זה נעשה כלי, ואנו נכנסין לדיון של רפוי ותקוע שאמרו רז"ל, ובזה אין אנו בטוחים למיקרי רפוי בזמן שההרכבה שאנו עושין יש בה ב' תופעות, א. חיבור נפרדים לגוף אחד, ב. הבאת מעבר לזרם החשמל, ואחרי שחיבור הפרקים הוא בונה בתקיעה, יש כאן בחיבור חוט החשמל בונה, וטענת רפוי</w:t>
      </w:r>
      <w:r w:rsidRPr="0074694D">
        <w:rPr>
          <w:rFonts w:hint="cs"/>
          <w:rtl/>
        </w:rPr>
        <w:t xml:space="preserve"> </w:t>
      </w:r>
      <w:r w:rsidRPr="0074694D">
        <w:rPr>
          <w:rtl/>
        </w:rPr>
        <w:t>אינה מושיעה כאן משום יצירת הזרם שהוא ענין תקוע וקיים, וביחד מיקרי בונה וכמנורה של פרקים שתקע פרקיה, ויעוי' בספר בפנים.</w:t>
      </w:r>
    </w:p>
    <w:p w14:paraId="02F87FEF" w14:textId="77777777" w:rsidR="00376F67" w:rsidRPr="00954231" w:rsidRDefault="00376F67" w:rsidP="00376F67">
      <w:pPr>
        <w:pStyle w:val="afffff5"/>
        <w:rPr>
          <w:vanish w:val="0"/>
          <w:rtl/>
        </w:rPr>
      </w:pPr>
      <w:r w:rsidRPr="00954231">
        <w:rPr>
          <w:rtl/>
        </w:rPr>
        <w:t>טענת עשוי לסגור ולנעול, אינה אלא בדלת וכיסוי, שהפתיחה והנעילה יחד מטביעים את צורת הכלי, אבל כאן החיבור הוא הכלי המשמש, וההפסקה היא ביטול התשמיש ושבירת הכלי, ואם אדם יתפור בגד ע"מ לנתק את התפירות תיכף ולחזור ולתפור ולנתק, לא יתבטל בשביל זה שם מלאכה</w:t>
      </w:r>
      <w:r w:rsidRPr="00954231">
        <w:rPr>
          <w:rFonts w:hint="cs"/>
          <w:rtl/>
        </w:rPr>
        <w:t xml:space="preserve">, </w:t>
      </w:r>
      <w:r w:rsidRPr="00954231">
        <w:rPr>
          <w:rtl/>
        </w:rPr>
        <w:t xml:space="preserve">וכאן ג"כ ההפסקה משמשת לחשך תשלומי החשמל וכיו"ב, ואינו ענין לפתיחת דלת וכיסוי ויעוין בספר בפנים. </w:t>
      </w:r>
    </w:p>
    <w:p w14:paraId="1250B670" w14:textId="77777777" w:rsidR="00376F67" w:rsidRDefault="00376F67" w:rsidP="00376F67">
      <w:pPr>
        <w:pStyle w:val="afffff7"/>
        <w:rPr>
          <w:rtl/>
        </w:rPr>
      </w:pPr>
      <w:bookmarkStart w:id="4730" w:name="_Toc143767927"/>
      <w:bookmarkStart w:id="4731" w:name="_Toc163506115"/>
      <w:r>
        <w:rPr>
          <w:rtl/>
        </w:rPr>
        <w:t xml:space="preserve">חזון איש </w:t>
      </w:r>
      <w:r>
        <w:rPr>
          <w:rFonts w:hint="cs"/>
          <w:rtl/>
        </w:rPr>
        <w:t>או"ח סי'</w:t>
      </w:r>
      <w:r>
        <w:rPr>
          <w:rtl/>
        </w:rPr>
        <w:t xml:space="preserve"> </w:t>
      </w:r>
      <w:r>
        <w:rPr>
          <w:rFonts w:hint="cs"/>
          <w:rtl/>
        </w:rPr>
        <w:t xml:space="preserve">קנ"ו השמטות לסי' שי"ג </w:t>
      </w:r>
      <w:r>
        <w:rPr>
          <w:rtl/>
        </w:rPr>
        <w:t>ד"ה היתר</w:t>
      </w:r>
      <w:bookmarkEnd w:id="4730"/>
      <w:bookmarkEnd w:id="4731"/>
    </w:p>
    <w:p w14:paraId="3D73AC86" w14:textId="77777777" w:rsidR="00376F67" w:rsidRDefault="00376F67" w:rsidP="00376F67">
      <w:pPr>
        <w:pStyle w:val="a7"/>
        <w:rPr>
          <w:rtl/>
        </w:rPr>
      </w:pPr>
      <w:bookmarkStart w:id="4732" w:name="_Toc143767810"/>
      <w:bookmarkStart w:id="4733" w:name="_Toc143770631"/>
      <w:r>
        <w:rPr>
          <w:rFonts w:hint="cs"/>
          <w:rtl/>
        </w:rPr>
        <w:t>בי' החזו"א דבעושה צורת מלאכה לא שייך היתר ארעי ול"ד לכיסוי דעומד לפתחיחה וסתימה</w:t>
      </w:r>
      <w:bookmarkEnd w:id="4732"/>
      <w:bookmarkEnd w:id="4733"/>
    </w:p>
    <w:p w14:paraId="19AE6640" w14:textId="712F1BD3" w:rsidR="00376F67" w:rsidRDefault="00376F67" w:rsidP="00BC7DC8">
      <w:pPr>
        <w:pStyle w:val="a3"/>
        <w:rPr>
          <w:rtl/>
        </w:rPr>
      </w:pPr>
      <w:bookmarkStart w:id="4734" w:name="_Ref142932736"/>
      <w:r>
        <w:rPr>
          <w:rFonts w:hint="cs"/>
          <w:rtl/>
        </w:rPr>
        <w:t xml:space="preserve">והוסיף </w:t>
      </w:r>
      <w:r w:rsidRPr="00322C40">
        <w:rPr>
          <w:rFonts w:hint="cs"/>
          <w:vanish/>
          <w:rtl/>
        </w:rPr>
        <w:t>-</w:t>
      </w:r>
      <w:r w:rsidRPr="00322C40">
        <w:rPr>
          <w:rStyle w:val="aff4"/>
          <w:rFonts w:hint="cs"/>
          <w:rtl/>
        </w:rPr>
        <w:t>ה</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Ref142932736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מד)</w:t>
      </w:r>
      <w:r w:rsidRPr="00FF7D8F">
        <w:rPr>
          <w:rStyle w:val="aff4"/>
          <w:vanish/>
          <w:rtl/>
        </w:rPr>
        <w:fldChar w:fldCharType="end"/>
      </w:r>
      <w:r w:rsidRPr="00FF7D8F">
        <w:rPr>
          <w:rStyle w:val="aff4"/>
          <w:rFonts w:hint="cs"/>
          <w:vanish/>
          <w:rtl/>
        </w:rPr>
        <w:t xml:space="preserve"> &gt;</w:t>
      </w:r>
      <w:r w:rsidRPr="00322C40">
        <w:rPr>
          <w:rStyle w:val="aff4"/>
          <w:rFonts w:hint="cs"/>
          <w:rtl/>
        </w:rPr>
        <w:t>חזו"א</w:t>
      </w:r>
      <w:r w:rsidRPr="00322C40">
        <w:rPr>
          <w:rStyle w:val="aff4"/>
          <w:rFonts w:hint="cs"/>
          <w:vanish/>
          <w:rtl/>
        </w:rPr>
        <w:t>-</w:t>
      </w:r>
      <w:r>
        <w:rPr>
          <w:rFonts w:hint="cs"/>
          <w:rtl/>
        </w:rPr>
        <w:t xml:space="preserve"> </w:t>
      </w:r>
      <w:r w:rsidRPr="00DB1D3B">
        <w:rPr>
          <w:rStyle w:val="af2"/>
          <w:rFonts w:eastAsia="Guttman Hodes" w:hint="cs"/>
          <w:rtl/>
        </w:rPr>
        <w:t>(סי' קנ"ו השמטות לסי' שי"ג ד"ה היתר)</w:t>
      </w:r>
      <w:r w:rsidRPr="00322C40">
        <w:rPr>
          <w:rFonts w:hint="cs"/>
          <w:vanish/>
          <w:rtl/>
        </w:rPr>
        <w:t>=</w:t>
      </w:r>
      <w:r>
        <w:rPr>
          <w:rFonts w:hint="cs"/>
          <w:rtl/>
        </w:rPr>
        <w:t xml:space="preserve"> דבעושה דבר שהוא צורה של מלאכה, אין בו היתר שעושה כן לעראי, וכיון דתקיעה היא צורת מלאכה אף שאינו עושה כן לזמן מרובה הוי מלאכה, ובכיסוי כלים לא חשיב מלאכה כיון דכל עיקר הכלי והכיסוי עומדים לכך, שיתחלפו מפתיחה לסתימה ומסתימה לפתיחה.</w:t>
      </w:r>
      <w:bookmarkEnd w:id="4734"/>
    </w:p>
    <w:p w14:paraId="5295695C" w14:textId="77777777" w:rsidR="00376F67" w:rsidRPr="0074694D" w:rsidRDefault="00376F67" w:rsidP="00376F67">
      <w:pPr>
        <w:pStyle w:val="a2"/>
        <w:tabs>
          <w:tab w:val="num" w:pos="284"/>
        </w:tabs>
        <w:rPr>
          <w:vanish w:val="0"/>
          <w:rtl/>
        </w:rPr>
      </w:pPr>
      <w:r w:rsidRPr="0074694D">
        <w:rPr>
          <w:rtl/>
        </w:rPr>
        <w:t>היתר של עראי, אינו במלאכה, כמו שהתופר ע"מ לקרוע חוטי התפירה, ולחזור ולתפור, ולחזור ולקרוע, לא מקרי שימוש אלא עושה מלאכה, ולכן קנה של סיידן ומטה של טרסיים אסור לתקוע, דכיון דתקיעה צורתה מלאכה לא מהני מה שאינה לזמן מרובה, ולא דמי לדלת וכיסוי כלים שכל עיקרן להתחלפות מסתימה לפתיחה ומפתיחה לסתימה, אבל שימוש החשמל הוא בחיבור, וההפסק הוא משום חש</w:t>
      </w:r>
      <w:r w:rsidRPr="0074694D">
        <w:rPr>
          <w:rFonts w:hint="cs"/>
          <w:rtl/>
        </w:rPr>
        <w:t>ב</w:t>
      </w:r>
      <w:r w:rsidRPr="0074694D">
        <w:rPr>
          <w:rtl/>
        </w:rPr>
        <w:t>ון תשלומין וכיו"ב דבר צדדי.</w:t>
      </w:r>
    </w:p>
    <w:p w14:paraId="48F7CC88" w14:textId="77777777" w:rsidR="00376F67" w:rsidRPr="00B12C79" w:rsidRDefault="00376F67" w:rsidP="00376F67">
      <w:pPr>
        <w:pStyle w:val="1"/>
      </w:pPr>
      <w:bookmarkStart w:id="4735" w:name="_Toc143767811"/>
      <w:bookmarkStart w:id="4736" w:name="_Toc143770632"/>
      <w:r>
        <w:rPr>
          <w:rFonts w:hint="cs"/>
          <w:rtl/>
        </w:rPr>
        <w:t>בד' הגר"ז דאף ביצירת כלי כל חיבור שלא לקיום ל"ה בונה</w:t>
      </w:r>
      <w:bookmarkEnd w:id="4735"/>
      <w:bookmarkEnd w:id="4736"/>
      <w:r>
        <w:rPr>
          <w:rFonts w:hint="cs"/>
          <w:rtl/>
        </w:rPr>
        <w:t xml:space="preserve"> </w:t>
      </w:r>
    </w:p>
    <w:p w14:paraId="656E5CA3" w14:textId="77777777" w:rsidR="00376F67" w:rsidRDefault="00376F67" w:rsidP="00376F67">
      <w:pPr>
        <w:pStyle w:val="afffff7"/>
        <w:rPr>
          <w:rtl/>
        </w:rPr>
      </w:pPr>
      <w:bookmarkStart w:id="4737" w:name="_Toc143767928"/>
      <w:bookmarkStart w:id="4738" w:name="_Toc163506116"/>
      <w:r>
        <w:rPr>
          <w:rtl/>
        </w:rPr>
        <w:t xml:space="preserve">שולחן ערוך הרב </w:t>
      </w:r>
      <w:r>
        <w:rPr>
          <w:rFonts w:hint="cs"/>
          <w:rtl/>
        </w:rPr>
        <w:t>או"ח סי' שי"</w:t>
      </w:r>
      <w:r>
        <w:rPr>
          <w:rtl/>
        </w:rPr>
        <w:t>ג כ</w:t>
      </w:r>
      <w:r>
        <w:rPr>
          <w:rFonts w:hint="cs"/>
          <w:rtl/>
        </w:rPr>
        <w:t>'</w:t>
      </w:r>
      <w:bookmarkEnd w:id="4737"/>
      <w:bookmarkEnd w:id="4738"/>
    </w:p>
    <w:p w14:paraId="55E4D43F" w14:textId="77777777" w:rsidR="00376F67" w:rsidRDefault="00376F67" w:rsidP="00376F67">
      <w:pPr>
        <w:pStyle w:val="afffff7"/>
        <w:rPr>
          <w:rtl/>
        </w:rPr>
      </w:pPr>
      <w:bookmarkStart w:id="4739" w:name="_Toc143767929"/>
      <w:bookmarkStart w:id="4740" w:name="_Toc163506117"/>
      <w:r>
        <w:rPr>
          <w:rtl/>
        </w:rPr>
        <w:t xml:space="preserve">שולחן ערוך הרב </w:t>
      </w:r>
      <w:r>
        <w:rPr>
          <w:rFonts w:hint="cs"/>
          <w:rtl/>
        </w:rPr>
        <w:t>או"ח סי' שי"</w:t>
      </w:r>
      <w:r>
        <w:rPr>
          <w:rtl/>
        </w:rPr>
        <w:t>ג כ</w:t>
      </w:r>
      <w:r>
        <w:rPr>
          <w:rFonts w:hint="cs"/>
          <w:rtl/>
        </w:rPr>
        <w:t>"</w:t>
      </w:r>
      <w:r>
        <w:rPr>
          <w:rtl/>
        </w:rPr>
        <w:t>א</w:t>
      </w:r>
      <w:r>
        <w:rPr>
          <w:rFonts w:hint="cs"/>
          <w:rtl/>
        </w:rPr>
        <w:t xml:space="preserve"> ד"ה אבל</w:t>
      </w:r>
      <w:bookmarkEnd w:id="4739"/>
      <w:bookmarkEnd w:id="4740"/>
    </w:p>
    <w:p w14:paraId="46AF5877" w14:textId="77777777" w:rsidR="00376F67" w:rsidRDefault="00376F67" w:rsidP="00376F67">
      <w:pPr>
        <w:pStyle w:val="afffff7"/>
        <w:rPr>
          <w:rtl/>
        </w:rPr>
      </w:pPr>
      <w:bookmarkStart w:id="4741" w:name="_Toc143767930"/>
      <w:bookmarkStart w:id="4742" w:name="_Toc163506118"/>
      <w:r>
        <w:rPr>
          <w:rtl/>
        </w:rPr>
        <w:t xml:space="preserve">שולחן ערוך הרב הרב </w:t>
      </w:r>
      <w:r>
        <w:rPr>
          <w:rFonts w:hint="cs"/>
          <w:rtl/>
        </w:rPr>
        <w:t xml:space="preserve">או"ח סי' </w:t>
      </w:r>
      <w:r>
        <w:rPr>
          <w:rtl/>
        </w:rPr>
        <w:t>שי</w:t>
      </w:r>
      <w:r>
        <w:rPr>
          <w:rFonts w:hint="cs"/>
          <w:rtl/>
        </w:rPr>
        <w:t>"</w:t>
      </w:r>
      <w:r>
        <w:rPr>
          <w:rtl/>
        </w:rPr>
        <w:t>ד יט</w:t>
      </w:r>
      <w:bookmarkEnd w:id="4741"/>
      <w:bookmarkEnd w:id="4742"/>
    </w:p>
    <w:p w14:paraId="4FE1B66E" w14:textId="77777777" w:rsidR="00376F67" w:rsidRDefault="00376F67" w:rsidP="00376F67">
      <w:pPr>
        <w:pStyle w:val="a7"/>
        <w:rPr>
          <w:rtl/>
        </w:rPr>
      </w:pPr>
      <w:bookmarkStart w:id="4743" w:name="_Toc143767812"/>
      <w:bookmarkStart w:id="4744" w:name="_Toc143770633"/>
      <w:r>
        <w:rPr>
          <w:rFonts w:hint="cs"/>
          <w:rtl/>
        </w:rPr>
        <w:t>בי' הגר"ז דתוקע כלי של פרקים לארעי הוי דרבנן ובאינו עשוי להתקיים כלל מותר כדלת בור</w:t>
      </w:r>
      <w:bookmarkEnd w:id="4743"/>
      <w:bookmarkEnd w:id="4744"/>
    </w:p>
    <w:p w14:paraId="212074B4" w14:textId="1E158846" w:rsidR="00376F67" w:rsidRPr="007E7526" w:rsidRDefault="00376F67" w:rsidP="00BC7DC8">
      <w:pPr>
        <w:pStyle w:val="a3"/>
        <w:rPr>
          <w:rtl/>
        </w:rPr>
      </w:pPr>
      <w:bookmarkStart w:id="4745" w:name="_Ref143165124"/>
      <w:r>
        <w:rPr>
          <w:rFonts w:hint="cs"/>
          <w:rtl/>
        </w:rPr>
        <w:t xml:space="preserve">כתב </w:t>
      </w:r>
      <w:r w:rsidRPr="007E0EB8">
        <w:rPr>
          <w:rStyle w:val="aff4"/>
          <w:rFonts w:hint="cs"/>
          <w:vanish/>
          <w:rtl/>
        </w:rPr>
        <w:t>-</w:t>
      </w:r>
      <w:r w:rsidRPr="004E4BA0">
        <w:rPr>
          <w:rStyle w:val="aff4"/>
          <w:rFonts w:hint="cs"/>
          <w:rtl/>
        </w:rPr>
        <w:t>ה</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Ref143165124 \r \h</w:instrText>
      </w:r>
      <w:r w:rsidRPr="00FF7D8F">
        <w:rPr>
          <w:rStyle w:val="aff4"/>
          <w:vanish/>
          <w:rtl/>
        </w:rPr>
        <w:instrText xml:space="preserve">  \* </w:instrText>
      </w:r>
      <w:r w:rsidRPr="00FF7D8F">
        <w:rPr>
          <w:rStyle w:val="aff4"/>
          <w:vanish/>
        </w:rPr>
        <w:instrText>MERGEFORMAT</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מה)</w:t>
      </w:r>
      <w:r w:rsidRPr="00FF7D8F">
        <w:rPr>
          <w:rStyle w:val="aff4"/>
          <w:vanish/>
          <w:rtl/>
        </w:rPr>
        <w:fldChar w:fldCharType="end"/>
      </w:r>
      <w:r w:rsidRPr="00FF7D8F">
        <w:rPr>
          <w:rStyle w:val="aff4"/>
          <w:rFonts w:hint="cs"/>
          <w:vanish/>
          <w:rtl/>
        </w:rPr>
        <w:t xml:space="preserve"> &gt;</w:t>
      </w:r>
      <w:r w:rsidRPr="004E4BA0">
        <w:rPr>
          <w:rStyle w:val="aff4"/>
          <w:rFonts w:hint="cs"/>
          <w:rtl/>
        </w:rPr>
        <w:t>גר"ז</w:t>
      </w:r>
      <w:r w:rsidRPr="007E0EB8">
        <w:rPr>
          <w:rStyle w:val="aff4"/>
          <w:rFonts w:hint="cs"/>
          <w:vanish/>
          <w:rtl/>
        </w:rPr>
        <w:t>-</w:t>
      </w:r>
      <w:r>
        <w:rPr>
          <w:rFonts w:hint="cs"/>
          <w:rtl/>
        </w:rPr>
        <w:t xml:space="preserve"> </w:t>
      </w:r>
      <w:r w:rsidRPr="00DB1D3B">
        <w:rPr>
          <w:rStyle w:val="af2"/>
          <w:rFonts w:eastAsia="Guttman Hodes" w:hint="cs"/>
          <w:rtl/>
        </w:rPr>
        <w:t>(סי' שי"ג כ')</w:t>
      </w:r>
      <w:r w:rsidRPr="007E0EB8">
        <w:rPr>
          <w:rFonts w:hint="cs"/>
          <w:vanish/>
          <w:rtl/>
        </w:rPr>
        <w:t>=</w:t>
      </w:r>
      <w:r>
        <w:rPr>
          <w:rFonts w:hint="cs"/>
          <w:rtl/>
        </w:rPr>
        <w:t xml:space="preserve"> דהתוקע כלי של פרקים בחוזק שצריך גבורה ואומנות לזה הוא בנין גמור, </w:t>
      </w:r>
      <w:r w:rsidRPr="000A4C6C">
        <w:rPr>
          <w:rStyle w:val="af"/>
          <w:rFonts w:hint="cs"/>
          <w:rtl/>
        </w:rPr>
        <w:t xml:space="preserve">[כדכתבו </w:t>
      </w:r>
      <w:r w:rsidRPr="000A4C6C">
        <w:rPr>
          <w:rStyle w:val="aff9"/>
          <w:rFonts w:hint="cs"/>
          <w:vanish/>
          <w:rtl/>
        </w:rPr>
        <w:t>-</w:t>
      </w:r>
      <w:r w:rsidRPr="000A4C6C">
        <w:rPr>
          <w:rStyle w:val="aff9"/>
          <w:rFonts w:hint="cs"/>
          <w:rtl/>
        </w:rPr>
        <w:t>התוס'</w:t>
      </w:r>
      <w:r w:rsidRPr="000A4C6C">
        <w:rPr>
          <w:rStyle w:val="aff9"/>
          <w:rFonts w:hint="cs"/>
          <w:vanish/>
          <w:rtl/>
        </w:rPr>
        <w:t>-</w:t>
      </w:r>
      <w:r w:rsidRPr="000A4C6C">
        <w:rPr>
          <w:rStyle w:val="aff9"/>
          <w:rFonts w:hint="cs"/>
          <w:rtl/>
        </w:rPr>
        <w:t xml:space="preserve"> </w:t>
      </w:r>
      <w:r w:rsidRPr="000A4C6C">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Ref143613784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ל)</w:t>
      </w:r>
      <w:r>
        <w:rPr>
          <w:rStyle w:val="aff0"/>
          <w:rtl/>
        </w:rPr>
        <w:fldChar w:fldCharType="end"/>
      </w:r>
      <w:r w:rsidRPr="000A4C6C">
        <w:rPr>
          <w:rStyle w:val="af"/>
          <w:rFonts w:hint="cs"/>
          <w:rtl/>
        </w:rPr>
        <w:t>],</w:t>
      </w:r>
      <w:r>
        <w:rPr>
          <w:rFonts w:hint="cs"/>
          <w:rtl/>
        </w:rPr>
        <w:t xml:space="preserve"> ובעשוי להתקיים לזמן מרובה חייב משום בונה, ובאינו עשוי להתקיים לזמן מרובה אסור מדרבנן כבנין עראי, ובאינו עומד להתקיים כלל מותר, וביאר </w:t>
      </w:r>
      <w:r w:rsidRPr="007E0EB8">
        <w:rPr>
          <w:rStyle w:val="aff4"/>
          <w:rFonts w:hint="cs"/>
          <w:vanish/>
          <w:rtl/>
        </w:rPr>
        <w:t>-</w:t>
      </w:r>
      <w:r w:rsidRPr="004E4BA0">
        <w:rPr>
          <w:rStyle w:val="aff4"/>
          <w:rFonts w:hint="cs"/>
          <w:rtl/>
        </w:rPr>
        <w:t>ה</w:t>
      </w:r>
      <w:r w:rsidRPr="00FF7D8F">
        <w:rPr>
          <w:rStyle w:val="aff4"/>
          <w:rFonts w:hint="cs"/>
          <w:vanish/>
          <w:rtl/>
        </w:rPr>
        <w:t>&lt; &gt;</w:t>
      </w:r>
      <w:r w:rsidRPr="004E4BA0">
        <w:rPr>
          <w:rStyle w:val="aff4"/>
          <w:rFonts w:hint="cs"/>
          <w:rtl/>
        </w:rPr>
        <w:t>גר"ז</w:t>
      </w:r>
      <w:r w:rsidRPr="007E0EB8">
        <w:rPr>
          <w:rStyle w:val="aff4"/>
          <w:rFonts w:hint="cs"/>
          <w:vanish/>
          <w:rtl/>
        </w:rPr>
        <w:t>-</w:t>
      </w:r>
      <w:r>
        <w:rPr>
          <w:rFonts w:hint="cs"/>
          <w:rtl/>
        </w:rPr>
        <w:t xml:space="preserve"> </w:t>
      </w:r>
      <w:r w:rsidRPr="00DB1D3B">
        <w:rPr>
          <w:rStyle w:val="af2"/>
          <w:rFonts w:eastAsia="Guttman Hodes" w:hint="cs"/>
          <w:rtl/>
        </w:rPr>
        <w:t>(סי' שי"ג כ"</w:t>
      </w:r>
      <w:r w:rsidRPr="00DB1D3B">
        <w:rPr>
          <w:rStyle w:val="af2"/>
          <w:rFonts w:eastAsia="Guttman Hodes"/>
          <w:rtl/>
        </w:rPr>
        <w:t>א ד"ה אבל</w:t>
      </w:r>
      <w:r w:rsidRPr="00DB1D3B">
        <w:rPr>
          <w:rStyle w:val="af2"/>
          <w:rFonts w:eastAsia="Guttman Hodes" w:hint="cs"/>
          <w:rtl/>
        </w:rPr>
        <w:t>)</w:t>
      </w:r>
      <w:r w:rsidRPr="007E0EB8">
        <w:rPr>
          <w:rFonts w:hint="cs"/>
          <w:vanish/>
          <w:rtl/>
        </w:rPr>
        <w:t>=</w:t>
      </w:r>
      <w:r>
        <w:rPr>
          <w:rFonts w:hint="cs"/>
          <w:rtl/>
        </w:rPr>
        <w:t xml:space="preserve"> דכלים שעשויים לפתיחה וסגירה תדיר בשבת עצמה מותר, אף כשסוגרן בחוזק, </w:t>
      </w:r>
      <w:r w:rsidRPr="00A655AF">
        <w:rPr>
          <w:rStyle w:val="af"/>
          <w:rFonts w:hint="cs"/>
          <w:rtl/>
        </w:rPr>
        <w:t>[ע"י הברגה</w:t>
      </w:r>
      <w:r w:rsidRPr="006D12D1">
        <w:rPr>
          <w:rStyle w:val="af"/>
          <w:rFonts w:hint="cs"/>
          <w:rtl/>
        </w:rPr>
        <w:t>],</w:t>
      </w:r>
      <w:r>
        <w:rPr>
          <w:rFonts w:hint="cs"/>
          <w:rtl/>
        </w:rPr>
        <w:t xml:space="preserve"> כיון שאינם עשויים לקיום כלל, ועומדים לפתיחה וסגירה בשבת עצמה, וכל האיסור בבנין עראי הוא רק כשאינו עומד לסתירה בשבת עצמה, והוסיף </w:t>
      </w:r>
      <w:r w:rsidRPr="007E0EB8">
        <w:rPr>
          <w:rStyle w:val="aff4"/>
          <w:rFonts w:hint="cs"/>
          <w:vanish/>
          <w:rtl/>
        </w:rPr>
        <w:t>-</w:t>
      </w:r>
      <w:r w:rsidRPr="004E4BA0">
        <w:rPr>
          <w:rStyle w:val="aff4"/>
          <w:rFonts w:hint="cs"/>
          <w:rtl/>
        </w:rPr>
        <w:t>ה</w:t>
      </w:r>
      <w:r w:rsidRPr="00FF7D8F">
        <w:rPr>
          <w:rStyle w:val="aff4"/>
          <w:rFonts w:hint="cs"/>
          <w:vanish/>
          <w:rtl/>
        </w:rPr>
        <w:t>&lt; &gt;</w:t>
      </w:r>
      <w:r w:rsidRPr="004E4BA0">
        <w:rPr>
          <w:rStyle w:val="aff4"/>
          <w:rFonts w:hint="cs"/>
          <w:rtl/>
        </w:rPr>
        <w:t>גר"ז</w:t>
      </w:r>
      <w:r w:rsidRPr="007E0EB8">
        <w:rPr>
          <w:rStyle w:val="aff4"/>
          <w:rFonts w:hint="cs"/>
          <w:vanish/>
          <w:rtl/>
        </w:rPr>
        <w:t>-</w:t>
      </w:r>
      <w:r>
        <w:rPr>
          <w:rFonts w:hint="cs"/>
          <w:rtl/>
        </w:rPr>
        <w:t xml:space="preserve"> </w:t>
      </w:r>
      <w:r w:rsidRPr="00DB1D3B">
        <w:rPr>
          <w:rStyle w:val="af2"/>
          <w:rFonts w:eastAsia="Guttman Hodes" w:hint="cs"/>
          <w:rtl/>
        </w:rPr>
        <w:t>(סי' שי"ד י"ט)</w:t>
      </w:r>
      <w:r w:rsidRPr="007E0EB8">
        <w:rPr>
          <w:rFonts w:hint="cs"/>
          <w:vanish/>
          <w:rtl/>
        </w:rPr>
        <w:t>=</w:t>
      </w:r>
      <w:r>
        <w:rPr>
          <w:rFonts w:hint="cs"/>
          <w:rtl/>
        </w:rPr>
        <w:t xml:space="preserve"> דה"ה בדלת של בור בקרקע, שיש לה קשר והיא עשויה לפתיחה וסגירה וקבועה בפתח הבור, דאינה עשויה לקיום כלל ועומדת לפתיחה וסגירה ואין בה בונה וסותר.</w:t>
      </w:r>
      <w:bookmarkEnd w:id="4745"/>
    </w:p>
    <w:p w14:paraId="7529CF97" w14:textId="77777777" w:rsidR="00376F67" w:rsidRPr="0074694D" w:rsidRDefault="00376F67" w:rsidP="00376F67">
      <w:pPr>
        <w:pStyle w:val="a2"/>
        <w:tabs>
          <w:tab w:val="num" w:pos="284"/>
        </w:tabs>
        <w:rPr>
          <w:vanish w:val="0"/>
          <w:rtl/>
        </w:rPr>
      </w:pPr>
      <w:r w:rsidRPr="0074694D">
        <w:rPr>
          <w:rtl/>
        </w:rPr>
        <w:t xml:space="preserve">ואפילו בכלי של פרקים אם תקע פרקיו דהיינו שהדקם בחוזק בענין שצריך לזה גבורה ואומנות הרי זה בנין גמור וחייב משום בונה אם עשוי להתקיים הרבה ואם אינו עשוי להתקיים הרבה הרי זה בנין עראי ואסור מדברי סופרים אלא אם כן אינו עשוי לקיום כלל כמו שיתבאר: </w:t>
      </w:r>
    </w:p>
    <w:p w14:paraId="600DC884" w14:textId="77777777" w:rsidR="00376F67" w:rsidRPr="00954231" w:rsidRDefault="00376F67" w:rsidP="00376F67">
      <w:pPr>
        <w:pStyle w:val="afffff5"/>
        <w:rPr>
          <w:vanish w:val="0"/>
          <w:rtl/>
        </w:rPr>
      </w:pPr>
      <w:r w:rsidRPr="00954231">
        <w:rPr>
          <w:rtl/>
        </w:rPr>
        <w:t xml:space="preserve">אבל כוסות העשויים בחריצים סביב ומהודקים בחוזק לדברי הכל אסור להחזירם אפילו מניחם רפויים לגמרי ומכל מקום כיסויי כלים העשויים כך בחריצים סביב (שקורי"ן שרוי"ף) אף על פי שמהדקין אותם בחוזק מאד על פי הכלי אין בהם שום איסור לא בנטילתן משום סתירה ולא בהחזרתן משום בנין לפי שאינן עשויין לקיום כלל רק לפותחן ולסוגרן תדיר גם בשבת עצמה ולא אסרו בנין עראי וסתירתו אלא כשאינו עשוי על מנת לסותרו בשבת עצמה כמו שיתבאר בסי' שי"ד: </w:t>
      </w:r>
    </w:p>
    <w:p w14:paraId="0BD2691E" w14:textId="77777777" w:rsidR="00376F67" w:rsidRPr="00954231" w:rsidRDefault="00376F67" w:rsidP="00376F67">
      <w:pPr>
        <w:pStyle w:val="afffff5"/>
        <w:rPr>
          <w:vanish w:val="0"/>
          <w:rtl/>
        </w:rPr>
      </w:pPr>
      <w:r w:rsidRPr="00954231">
        <w:rPr>
          <w:rtl/>
        </w:rPr>
        <w:t>חותמות שבקרקע כגון דלת של בור שקשור בו בחבל מותר להתיר הקשר מפני שאינו קשר של קיימא שהוא עשוי להתירו תדיר אבל אם אינו יכול להתיר הקשר אסור להפקיע קליעת החבל או לחתכו משום איסור סתירה שבכל דבר המחובר לקרקע יש בו בנין וסתירה אפילו אינו בנין גמור.</w:t>
      </w:r>
      <w:r w:rsidRPr="00954231">
        <w:rPr>
          <w:rFonts w:hint="cs"/>
          <w:rtl/>
        </w:rPr>
        <w:t xml:space="preserve"> </w:t>
      </w:r>
      <w:r w:rsidRPr="00954231">
        <w:rPr>
          <w:rtl/>
        </w:rPr>
        <w:t xml:space="preserve">במה דברים אמורים כשהדלת עשויה שם לקיום על מנת שלא להסירה בשבת אלא כשרוצה לפתוח הבור מתיר הקשר ופותח הדלת אבל אינו מסירה משם לגמרי אלא היא קבועה שם לאיזה זמן אבל אם אינה עשויה לקיום כלל אין בה משום סתירה לא בהפקעת החבל או חתיכתו ולא אפילו בהסרת הדלת עצמה אלא אם כן היא סובבת על צירה והוא שומט הציר מחורו כמו שנתבאר בסי' שי"ג ומטעם זה מותר להסיר הדף שמשימין לפני התנור ושורקין אותו בטיט מערב שבת כמו שנתבאר בסי' רנ"ט מפני שאינו עשוי לקיום כלל אלא על מנת להסירו בשבת: </w:t>
      </w:r>
    </w:p>
    <w:p w14:paraId="22174C5D" w14:textId="77777777" w:rsidR="00376F67" w:rsidRPr="00A2264B" w:rsidRDefault="00376F67" w:rsidP="00376F67">
      <w:pPr>
        <w:pStyle w:val="afffff7"/>
        <w:rPr>
          <w:rtl/>
        </w:rPr>
      </w:pPr>
      <w:bookmarkStart w:id="4746" w:name="_Toc143767931"/>
      <w:bookmarkStart w:id="4747" w:name="_Toc163506119"/>
      <w:r>
        <w:rPr>
          <w:rFonts w:hint="cs"/>
          <w:rtl/>
        </w:rPr>
        <w:t>תהלה לדוד סי' שי</w:t>
      </w:r>
      <w:r>
        <w:rPr>
          <w:rFonts w:cs="Guttman Hodes" w:hint="cs"/>
          <w:rtl/>
        </w:rPr>
        <w:t>"</w:t>
      </w:r>
      <w:r>
        <w:rPr>
          <w:rFonts w:hint="cs"/>
          <w:rtl/>
        </w:rPr>
        <w:t>ד י</w:t>
      </w:r>
      <w:r>
        <w:rPr>
          <w:rFonts w:cs="Guttman Hodes" w:hint="cs"/>
          <w:rtl/>
        </w:rPr>
        <w:t>"</w:t>
      </w:r>
      <w:r>
        <w:rPr>
          <w:rFonts w:hint="cs"/>
          <w:rtl/>
        </w:rPr>
        <w:t>ז</w:t>
      </w:r>
      <w:bookmarkEnd w:id="4746"/>
      <w:bookmarkEnd w:id="4747"/>
    </w:p>
    <w:p w14:paraId="72D9428E" w14:textId="77777777" w:rsidR="00376F67" w:rsidRDefault="00376F67" w:rsidP="00376F67">
      <w:pPr>
        <w:pStyle w:val="afffff7"/>
        <w:rPr>
          <w:rtl/>
        </w:rPr>
      </w:pPr>
      <w:bookmarkStart w:id="4748" w:name="_Toc143767932"/>
      <w:bookmarkStart w:id="4749" w:name="_Toc163506120"/>
      <w:r>
        <w:rPr>
          <w:rtl/>
        </w:rPr>
        <w:t>שו"ת מנחת שלמה ח</w:t>
      </w:r>
      <w:r>
        <w:rPr>
          <w:rFonts w:hint="cs"/>
          <w:rtl/>
        </w:rPr>
        <w:t>"</w:t>
      </w:r>
      <w:r>
        <w:rPr>
          <w:rtl/>
        </w:rPr>
        <w:t>א סי</w:t>
      </w:r>
      <w:r>
        <w:rPr>
          <w:rFonts w:hint="cs"/>
          <w:rtl/>
        </w:rPr>
        <w:t>'</w:t>
      </w:r>
      <w:r>
        <w:rPr>
          <w:rtl/>
        </w:rPr>
        <w:t xml:space="preserve"> י</w:t>
      </w:r>
      <w:r>
        <w:rPr>
          <w:rFonts w:hint="cs"/>
          <w:rtl/>
        </w:rPr>
        <w:t>"</w:t>
      </w:r>
      <w:r>
        <w:rPr>
          <w:rtl/>
        </w:rPr>
        <w:t>א</w:t>
      </w:r>
      <w:r>
        <w:rPr>
          <w:rFonts w:hint="cs"/>
          <w:rtl/>
        </w:rPr>
        <w:t xml:space="preserve"> ד"ה גם נראה</w:t>
      </w:r>
      <w:bookmarkEnd w:id="4748"/>
      <w:bookmarkEnd w:id="4749"/>
    </w:p>
    <w:p w14:paraId="13DB3953" w14:textId="77777777" w:rsidR="00376F67" w:rsidRDefault="00376F67" w:rsidP="00376F67">
      <w:pPr>
        <w:pStyle w:val="afffff7"/>
        <w:rPr>
          <w:rtl/>
        </w:rPr>
      </w:pPr>
      <w:bookmarkStart w:id="4750" w:name="_Toc143767933"/>
      <w:bookmarkStart w:id="4751" w:name="_Toc163506121"/>
      <w:r>
        <w:rPr>
          <w:rtl/>
        </w:rPr>
        <w:t xml:space="preserve">פרי מגדים </w:t>
      </w:r>
      <w:r>
        <w:rPr>
          <w:rFonts w:hint="cs"/>
          <w:rtl/>
        </w:rPr>
        <w:t>או"ח</w:t>
      </w:r>
      <w:r>
        <w:rPr>
          <w:rtl/>
        </w:rPr>
        <w:t xml:space="preserve"> משבצות זהב סי</w:t>
      </w:r>
      <w:r>
        <w:rPr>
          <w:rFonts w:hint="cs"/>
          <w:rtl/>
        </w:rPr>
        <w:t>'</w:t>
      </w:r>
      <w:r>
        <w:rPr>
          <w:rtl/>
        </w:rPr>
        <w:t xml:space="preserve"> שי</w:t>
      </w:r>
      <w:r>
        <w:rPr>
          <w:rFonts w:hint="cs"/>
          <w:rtl/>
        </w:rPr>
        <w:t>"</w:t>
      </w:r>
      <w:r>
        <w:rPr>
          <w:rtl/>
        </w:rPr>
        <w:t>ג ס"ק ז</w:t>
      </w:r>
      <w:bookmarkEnd w:id="4750"/>
      <w:bookmarkEnd w:id="4751"/>
    </w:p>
    <w:p w14:paraId="5C32E2D1" w14:textId="77777777" w:rsidR="00376F67" w:rsidRDefault="00376F67" w:rsidP="00376F67">
      <w:pPr>
        <w:pStyle w:val="afffff7"/>
        <w:rPr>
          <w:rtl/>
        </w:rPr>
      </w:pPr>
      <w:bookmarkStart w:id="4752" w:name="_Toc143767934"/>
      <w:bookmarkStart w:id="4753" w:name="_Toc163506122"/>
      <w:r>
        <w:rPr>
          <w:rtl/>
        </w:rPr>
        <w:t>שו"ע או"ח סי' תקי"ט ב'</w:t>
      </w:r>
      <w:bookmarkEnd w:id="4752"/>
      <w:bookmarkEnd w:id="4753"/>
    </w:p>
    <w:p w14:paraId="27345893" w14:textId="77777777" w:rsidR="00376F67" w:rsidRPr="0086620D" w:rsidRDefault="00376F67" w:rsidP="00376F67">
      <w:pPr>
        <w:pStyle w:val="a7"/>
        <w:rPr>
          <w:rtl/>
        </w:rPr>
      </w:pPr>
      <w:bookmarkStart w:id="4754" w:name="_Toc143767813"/>
      <w:bookmarkStart w:id="4755" w:name="_Toc143770634"/>
      <w:r>
        <w:rPr>
          <w:rFonts w:hint="cs"/>
          <w:rtl/>
        </w:rPr>
        <w:t>בי' התהל"ד והמנח"ש בגר"ז דבמחבר דבר שלא היה כלי מותר באינו עומד לקיום וכ"מ בפרמ"ג</w:t>
      </w:r>
      <w:bookmarkEnd w:id="4754"/>
      <w:bookmarkEnd w:id="4755"/>
    </w:p>
    <w:p w14:paraId="1E36C16B" w14:textId="6B42A6A5" w:rsidR="00376F67" w:rsidRDefault="00376F67" w:rsidP="00BC7DC8">
      <w:pPr>
        <w:pStyle w:val="a3"/>
        <w:rPr>
          <w:rtl/>
        </w:rPr>
      </w:pPr>
      <w:bookmarkStart w:id="4756" w:name="_Ref143162537"/>
      <w:r>
        <w:rPr>
          <w:rFonts w:hint="cs"/>
          <w:rtl/>
        </w:rPr>
        <w:t xml:space="preserve">וכתב </w:t>
      </w:r>
      <w:r w:rsidRPr="007E0EB8">
        <w:rPr>
          <w:rStyle w:val="aff4"/>
          <w:rFonts w:hint="cs"/>
          <w:vanish/>
          <w:rtl/>
        </w:rPr>
        <w:t>-</w:t>
      </w:r>
      <w:r w:rsidRPr="004E4BA0">
        <w:rPr>
          <w:rStyle w:val="aff4"/>
          <w:rFonts w:hint="cs"/>
          <w:rtl/>
        </w:rPr>
        <w:t>ה</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Ref143162537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מו)</w:t>
      </w:r>
      <w:r w:rsidRPr="00FF7D8F">
        <w:rPr>
          <w:rStyle w:val="aff4"/>
          <w:vanish/>
          <w:rtl/>
        </w:rPr>
        <w:fldChar w:fldCharType="end"/>
      </w:r>
      <w:r w:rsidRPr="00FF7D8F">
        <w:rPr>
          <w:rStyle w:val="aff4"/>
          <w:rFonts w:hint="cs"/>
          <w:vanish/>
          <w:rtl/>
        </w:rPr>
        <w:t xml:space="preserve"> &gt;</w:t>
      </w:r>
      <w:r w:rsidRPr="004E4BA0">
        <w:rPr>
          <w:rStyle w:val="aff4"/>
          <w:rFonts w:hint="cs"/>
          <w:rtl/>
        </w:rPr>
        <w:t>תהלה לדוד</w:t>
      </w:r>
      <w:r w:rsidRPr="007E0EB8">
        <w:rPr>
          <w:rStyle w:val="aff4"/>
          <w:rFonts w:hint="cs"/>
          <w:vanish/>
          <w:rtl/>
        </w:rPr>
        <w:t>-</w:t>
      </w:r>
      <w:r>
        <w:rPr>
          <w:rFonts w:hint="cs"/>
          <w:rtl/>
        </w:rPr>
        <w:t xml:space="preserve"> </w:t>
      </w:r>
      <w:r w:rsidRPr="00DB1D3B">
        <w:rPr>
          <w:rStyle w:val="af2"/>
          <w:rFonts w:eastAsia="Guttman Hodes" w:hint="cs"/>
          <w:rtl/>
        </w:rPr>
        <w:t>(סי' שי"ד י"ז)</w:t>
      </w:r>
      <w:r w:rsidRPr="007E0EB8">
        <w:rPr>
          <w:rFonts w:hint="cs"/>
          <w:vanish/>
          <w:rtl/>
        </w:rPr>
        <w:t>=</w:t>
      </w:r>
      <w:r>
        <w:rPr>
          <w:rFonts w:hint="cs"/>
          <w:rtl/>
        </w:rPr>
        <w:t xml:space="preserve"> דמשמע מדברי </w:t>
      </w:r>
      <w:r w:rsidRPr="007E0EB8">
        <w:rPr>
          <w:rStyle w:val="aff4"/>
          <w:rFonts w:hint="cs"/>
          <w:vanish/>
          <w:rtl/>
        </w:rPr>
        <w:t>-</w:t>
      </w:r>
      <w:r w:rsidRPr="004E4BA0">
        <w:rPr>
          <w:rStyle w:val="aff4"/>
          <w:rFonts w:hint="cs"/>
          <w:rtl/>
        </w:rPr>
        <w:t>הגר"ז</w:t>
      </w:r>
      <w:r w:rsidRPr="007E0EB8">
        <w:rPr>
          <w:rStyle w:val="aff4"/>
          <w:rFonts w:hint="cs"/>
          <w:vanish/>
          <w:rtl/>
        </w:rPr>
        <w:t>-</w:t>
      </w:r>
      <w:r>
        <w:rPr>
          <w:rFonts w:hint="cs"/>
          <w:rtl/>
        </w:rPr>
        <w:t xml:space="preserve"> </w:t>
      </w:r>
      <w:r w:rsidRPr="00DB1D3B">
        <w:rPr>
          <w:rStyle w:val="af2"/>
          <w:rFonts w:eastAsia="Guttman Hodes" w:hint="cs"/>
          <w:rtl/>
        </w:rPr>
        <w:t xml:space="preserve">(עי' אות </w:t>
      </w:r>
      <w:r w:rsidRPr="00DB1D3B">
        <w:rPr>
          <w:rStyle w:val="af2"/>
          <w:rFonts w:eastAsia="Guttman Hodes"/>
          <w:rtl/>
        </w:rPr>
        <w:fldChar w:fldCharType="begin"/>
      </w:r>
      <w:r w:rsidRPr="00DB1D3B">
        <w:rPr>
          <w:rStyle w:val="af2"/>
          <w:rFonts w:eastAsia="Guttman Hodes"/>
          <w:rtl/>
        </w:rPr>
        <w:instrText xml:space="preserve"> </w:instrText>
      </w:r>
      <w:r w:rsidRPr="00DB1D3B">
        <w:rPr>
          <w:rStyle w:val="af2"/>
          <w:rFonts w:eastAsia="Guttman Hodes" w:hint="cs"/>
        </w:rPr>
        <w:instrText>REF</w:instrText>
      </w:r>
      <w:r w:rsidRPr="00DB1D3B">
        <w:rPr>
          <w:rStyle w:val="af2"/>
          <w:rFonts w:eastAsia="Guttman Hodes" w:hint="cs"/>
          <w:rtl/>
        </w:rPr>
        <w:instrText xml:space="preserve"> _</w:instrText>
      </w:r>
      <w:r w:rsidRPr="00DB1D3B">
        <w:rPr>
          <w:rStyle w:val="af2"/>
          <w:rFonts w:eastAsia="Guttman Hodes" w:hint="cs"/>
        </w:rPr>
        <w:instrText>Ref143165124 \r \h</w:instrText>
      </w:r>
      <w:r w:rsidRPr="00DB1D3B">
        <w:rPr>
          <w:rStyle w:val="af2"/>
          <w:rFonts w:eastAsia="Guttman Hodes"/>
          <w:rtl/>
        </w:rPr>
        <w:instrText xml:space="preserve"> </w:instrText>
      </w:r>
      <w:r w:rsidRPr="00DB1D3B">
        <w:rPr>
          <w:rStyle w:val="af2"/>
          <w:rFonts w:eastAsia="Guttman Hodes"/>
          <w:rtl/>
        </w:rPr>
      </w:r>
      <w:r w:rsidRPr="00DB1D3B">
        <w:rPr>
          <w:rStyle w:val="af2"/>
          <w:rFonts w:eastAsia="Guttman Hodes"/>
          <w:rtl/>
        </w:rPr>
        <w:fldChar w:fldCharType="separate"/>
      </w:r>
      <w:r w:rsidR="00D82181">
        <w:rPr>
          <w:rStyle w:val="af2"/>
          <w:rFonts w:eastAsia="Guttman Hodes"/>
          <w:cs/>
        </w:rPr>
        <w:t>‎</w:t>
      </w:r>
      <w:r w:rsidR="00D82181">
        <w:rPr>
          <w:rStyle w:val="af2"/>
          <w:rFonts w:eastAsia="Guttman Hodes"/>
          <w:rtl/>
        </w:rPr>
        <w:t>מה)</w:t>
      </w:r>
      <w:r w:rsidRPr="00DB1D3B">
        <w:rPr>
          <w:rStyle w:val="af2"/>
          <w:rFonts w:eastAsia="Guttman Hodes"/>
          <w:rtl/>
        </w:rPr>
        <w:fldChar w:fldCharType="end"/>
      </w:r>
      <w:r>
        <w:rPr>
          <w:rFonts w:hint="cs"/>
          <w:rtl/>
        </w:rPr>
        <w:t xml:space="preserve"> דאף באופן שמחבר דבר שאין לו שם כלי ותוקעו בחוזק בכלי, </w:t>
      </w:r>
      <w:r w:rsidRPr="00A655AF">
        <w:rPr>
          <w:rStyle w:val="af"/>
          <w:rFonts w:hint="cs"/>
          <w:rtl/>
        </w:rPr>
        <w:t>[כגון תוקע ברז בחבית בדבר שאינו מתוקן לברזא כלל</w:t>
      </w:r>
      <w:r w:rsidRPr="006D12D1">
        <w:rPr>
          <w:rStyle w:val="af"/>
          <w:rFonts w:hint="cs"/>
          <w:rtl/>
        </w:rPr>
        <w:t>],</w:t>
      </w:r>
      <w:r>
        <w:rPr>
          <w:rFonts w:hint="cs"/>
          <w:rtl/>
        </w:rPr>
        <w:t xml:space="preserve"> כל שאינו עומד לקיום כלל מותר, וכ"כ </w:t>
      </w:r>
      <w:r w:rsidRPr="007E0EB8">
        <w:rPr>
          <w:rStyle w:val="aff4"/>
          <w:rFonts w:hint="cs"/>
          <w:vanish/>
          <w:rtl/>
        </w:rPr>
        <w:t>-</w:t>
      </w:r>
      <w:r w:rsidRPr="004E4BA0">
        <w:rPr>
          <w:rStyle w:val="aff4"/>
          <w:rFonts w:hint="cs"/>
          <w:rtl/>
        </w:rPr>
        <w:t>ה</w:t>
      </w:r>
      <w:r w:rsidRPr="00FF7D8F">
        <w:rPr>
          <w:rStyle w:val="aff4"/>
          <w:rFonts w:hint="cs"/>
          <w:vanish/>
          <w:rtl/>
        </w:rPr>
        <w:t>&lt; &gt;</w:t>
      </w:r>
      <w:r w:rsidRPr="004E4BA0">
        <w:rPr>
          <w:rStyle w:val="aff4"/>
          <w:rFonts w:hint="cs"/>
          <w:rtl/>
        </w:rPr>
        <w:t>מנחת שלמה</w:t>
      </w:r>
      <w:r w:rsidRPr="007E0EB8">
        <w:rPr>
          <w:rStyle w:val="aff4"/>
          <w:rFonts w:hint="cs"/>
          <w:vanish/>
          <w:rtl/>
        </w:rPr>
        <w:t>-</w:t>
      </w:r>
      <w:r>
        <w:rPr>
          <w:rFonts w:hint="cs"/>
          <w:rtl/>
        </w:rPr>
        <w:t xml:space="preserve"> </w:t>
      </w:r>
      <w:r w:rsidRPr="00DB1D3B">
        <w:rPr>
          <w:rStyle w:val="af2"/>
          <w:rFonts w:eastAsia="Guttman Hodes" w:hint="cs"/>
          <w:rtl/>
        </w:rPr>
        <w:t>(ח"א סי' י"א ד"ה גם נראה)</w:t>
      </w:r>
      <w:r w:rsidRPr="007E0EB8">
        <w:rPr>
          <w:rFonts w:hint="cs"/>
          <w:vanish/>
          <w:rtl/>
        </w:rPr>
        <w:t>=</w:t>
      </w:r>
      <w:r>
        <w:rPr>
          <w:rFonts w:hint="cs"/>
          <w:rtl/>
        </w:rPr>
        <w:t xml:space="preserve"> דמבואר מדברי </w:t>
      </w:r>
      <w:r w:rsidRPr="007E0EB8">
        <w:rPr>
          <w:rStyle w:val="aff4"/>
          <w:rFonts w:hint="cs"/>
          <w:vanish/>
          <w:rtl/>
        </w:rPr>
        <w:t>-</w:t>
      </w:r>
      <w:r w:rsidRPr="004E4BA0">
        <w:rPr>
          <w:rStyle w:val="aff4"/>
          <w:rFonts w:hint="cs"/>
          <w:rtl/>
        </w:rPr>
        <w:t>הגר"ז</w:t>
      </w:r>
      <w:r w:rsidRPr="007E0EB8">
        <w:rPr>
          <w:rStyle w:val="aff4"/>
          <w:rFonts w:hint="cs"/>
          <w:vanish/>
          <w:rtl/>
        </w:rPr>
        <w:t>-</w:t>
      </w:r>
      <w:r>
        <w:rPr>
          <w:rFonts w:hint="cs"/>
          <w:rtl/>
        </w:rPr>
        <w:t xml:space="preserve"> דבאינו עומד לקיום לעולם מותר, ודלא </w:t>
      </w:r>
      <w:r w:rsidRPr="007E0EB8">
        <w:rPr>
          <w:rStyle w:val="aff4"/>
          <w:rFonts w:hint="cs"/>
          <w:vanish/>
          <w:rtl/>
        </w:rPr>
        <w:t>-</w:t>
      </w:r>
      <w:r w:rsidRPr="004E4BA0">
        <w:rPr>
          <w:rStyle w:val="aff4"/>
          <w:rFonts w:hint="cs"/>
          <w:rtl/>
        </w:rPr>
        <w:t>כחזו"א</w:t>
      </w:r>
      <w:r w:rsidRPr="007E0EB8">
        <w:rPr>
          <w:rStyle w:val="aff4"/>
          <w:rFonts w:hint="cs"/>
          <w:vanish/>
          <w:rtl/>
        </w:rPr>
        <w:t>-</w:t>
      </w:r>
      <w:r>
        <w:rPr>
          <w:rFonts w:hint="cs"/>
          <w:rtl/>
        </w:rPr>
        <w:t xml:space="preserve"> </w:t>
      </w:r>
      <w:r w:rsidRPr="00DB1D3B">
        <w:rPr>
          <w:rStyle w:val="af2"/>
          <w:rFonts w:eastAsia="Guttman Hodes" w:hint="cs"/>
          <w:rtl/>
        </w:rPr>
        <w:t xml:space="preserve">(עי' אות </w:t>
      </w:r>
      <w:r w:rsidRPr="00DB1D3B">
        <w:rPr>
          <w:rStyle w:val="af2"/>
          <w:rFonts w:eastAsia="Guttman Hodes"/>
          <w:rtl/>
        </w:rPr>
        <w:fldChar w:fldCharType="begin"/>
      </w:r>
      <w:r w:rsidRPr="00DB1D3B">
        <w:rPr>
          <w:rStyle w:val="af2"/>
          <w:rFonts w:eastAsia="Guttman Hodes"/>
          <w:rtl/>
        </w:rPr>
        <w:instrText xml:space="preserve"> </w:instrText>
      </w:r>
      <w:r w:rsidRPr="00DB1D3B">
        <w:rPr>
          <w:rStyle w:val="af2"/>
          <w:rFonts w:eastAsia="Guttman Hodes" w:hint="cs"/>
        </w:rPr>
        <w:instrText>REF</w:instrText>
      </w:r>
      <w:r w:rsidRPr="00DB1D3B">
        <w:rPr>
          <w:rStyle w:val="af2"/>
          <w:rFonts w:eastAsia="Guttman Hodes" w:hint="cs"/>
          <w:rtl/>
        </w:rPr>
        <w:instrText xml:space="preserve"> _</w:instrText>
      </w:r>
      <w:r w:rsidRPr="00DB1D3B">
        <w:rPr>
          <w:rStyle w:val="af2"/>
          <w:rFonts w:eastAsia="Guttman Hodes" w:hint="cs"/>
        </w:rPr>
        <w:instrText>Ref143159400 \r \h</w:instrText>
      </w:r>
      <w:r w:rsidRPr="00DB1D3B">
        <w:rPr>
          <w:rStyle w:val="af2"/>
          <w:rFonts w:eastAsia="Guttman Hodes"/>
          <w:rtl/>
        </w:rPr>
        <w:instrText xml:space="preserve"> </w:instrText>
      </w:r>
      <w:r w:rsidRPr="00DB1D3B">
        <w:rPr>
          <w:rStyle w:val="af2"/>
          <w:rFonts w:eastAsia="Guttman Hodes"/>
          <w:rtl/>
        </w:rPr>
      </w:r>
      <w:r w:rsidRPr="00DB1D3B">
        <w:rPr>
          <w:rStyle w:val="af2"/>
          <w:rFonts w:eastAsia="Guttman Hodes"/>
          <w:rtl/>
        </w:rPr>
        <w:fldChar w:fldCharType="separate"/>
      </w:r>
      <w:r w:rsidR="00D82181">
        <w:rPr>
          <w:rStyle w:val="af2"/>
          <w:rFonts w:eastAsia="Guttman Hodes"/>
          <w:cs/>
        </w:rPr>
        <w:t>‎</w:t>
      </w:r>
      <w:r w:rsidR="00D82181">
        <w:rPr>
          <w:rStyle w:val="af2"/>
          <w:rFonts w:eastAsia="Guttman Hodes"/>
          <w:rtl/>
        </w:rPr>
        <w:t>מב)</w:t>
      </w:r>
      <w:r w:rsidRPr="00DB1D3B">
        <w:rPr>
          <w:rStyle w:val="af2"/>
          <w:rFonts w:eastAsia="Guttman Hodes"/>
          <w:rtl/>
        </w:rPr>
        <w:fldChar w:fldCharType="end"/>
      </w:r>
      <w:r>
        <w:rPr>
          <w:rFonts w:hint="cs"/>
          <w:rtl/>
        </w:rPr>
        <w:t xml:space="preserve"> דכתב דההיתר בפתיחת כיסוי הכלים הוא רק במקום שכ"א יש לו שם כלי, והוסיף </w:t>
      </w:r>
      <w:r w:rsidRPr="007E0EB8">
        <w:rPr>
          <w:rStyle w:val="aff4"/>
          <w:rFonts w:hint="cs"/>
          <w:vanish/>
          <w:rtl/>
        </w:rPr>
        <w:t>-</w:t>
      </w:r>
      <w:r w:rsidRPr="004E4BA0">
        <w:rPr>
          <w:rStyle w:val="aff4"/>
          <w:rFonts w:hint="cs"/>
          <w:rtl/>
        </w:rPr>
        <w:t>המנחת שלמה</w:t>
      </w:r>
      <w:r w:rsidRPr="007E0EB8">
        <w:rPr>
          <w:rStyle w:val="aff4"/>
          <w:rFonts w:hint="cs"/>
          <w:vanish/>
          <w:rtl/>
        </w:rPr>
        <w:t>-</w:t>
      </w:r>
      <w:r>
        <w:rPr>
          <w:rFonts w:hint="cs"/>
          <w:rtl/>
        </w:rPr>
        <w:t xml:space="preserve"> דהא כתב </w:t>
      </w:r>
      <w:r w:rsidRPr="007E0EB8">
        <w:rPr>
          <w:rStyle w:val="aff4"/>
          <w:rFonts w:hint="cs"/>
          <w:vanish/>
          <w:rtl/>
        </w:rPr>
        <w:t>-</w:t>
      </w:r>
      <w:r w:rsidRPr="004E4BA0">
        <w:rPr>
          <w:rStyle w:val="aff4"/>
          <w:rtl/>
        </w:rPr>
        <w:t>הפרמ"ג</w:t>
      </w:r>
      <w:r w:rsidRPr="007E0EB8">
        <w:rPr>
          <w:rStyle w:val="aff4"/>
          <w:rFonts w:hint="cs"/>
          <w:vanish/>
          <w:rtl/>
        </w:rPr>
        <w:t>-</w:t>
      </w:r>
      <w:r w:rsidRPr="000722EB">
        <w:rPr>
          <w:rtl/>
        </w:rPr>
        <w:t xml:space="preserve"> </w:t>
      </w:r>
      <w:r w:rsidRPr="00DB1D3B">
        <w:rPr>
          <w:rStyle w:val="af2"/>
          <w:rFonts w:eastAsia="Guttman Hodes"/>
          <w:rtl/>
        </w:rPr>
        <w:t>(סי' שי"ג משב"ז סק"ז)</w:t>
      </w:r>
      <w:r w:rsidRPr="000722EB">
        <w:rPr>
          <w:rtl/>
        </w:rPr>
        <w:t xml:space="preserve"> ד</w:t>
      </w:r>
      <w:r>
        <w:rPr>
          <w:rFonts w:hint="cs"/>
          <w:rtl/>
        </w:rPr>
        <w:t xml:space="preserve">ההיתר בכיסוי הכלים הוא </w:t>
      </w:r>
      <w:r w:rsidRPr="000722EB">
        <w:rPr>
          <w:rtl/>
        </w:rPr>
        <w:t xml:space="preserve">כיון </w:t>
      </w:r>
      <w:r>
        <w:rPr>
          <w:rFonts w:hint="cs"/>
          <w:rtl/>
        </w:rPr>
        <w:t xml:space="preserve">דכל כלי שאפשר להתשמש בו </w:t>
      </w:r>
      <w:r w:rsidRPr="000722EB">
        <w:rPr>
          <w:rtl/>
        </w:rPr>
        <w:t>רק ע"י פירוק והידוק</w:t>
      </w:r>
      <w:r>
        <w:rPr>
          <w:rFonts w:hint="cs"/>
          <w:rtl/>
        </w:rPr>
        <w:t>,</w:t>
      </w:r>
      <w:r w:rsidRPr="000722EB">
        <w:rPr>
          <w:rtl/>
        </w:rPr>
        <w:t xml:space="preserve"> אינו מכה בפטיש ולא בונה, דעשוי מתחילה לכך,</w:t>
      </w:r>
      <w:r>
        <w:rPr>
          <w:rFonts w:hint="cs"/>
          <w:rtl/>
        </w:rPr>
        <w:t xml:space="preserve"> ומשמע דאף כשכ"א מהם בפנ"ע אינו ראוי לשימוש בפנ"ע ואינו</w:t>
      </w:r>
      <w:r w:rsidRPr="00BA7A2D">
        <w:rPr>
          <w:rFonts w:hint="cs"/>
          <w:rtl/>
        </w:rPr>
        <w:t xml:space="preserve"> </w:t>
      </w:r>
      <w:r>
        <w:rPr>
          <w:rFonts w:hint="cs"/>
          <w:rtl/>
        </w:rPr>
        <w:t>כלי כלל,</w:t>
      </w:r>
      <w:bookmarkEnd w:id="4756"/>
      <w:r>
        <w:rPr>
          <w:rFonts w:hint="cs"/>
          <w:rtl/>
        </w:rPr>
        <w:t xml:space="preserve"> וכן משמע מפשטות דברי </w:t>
      </w:r>
      <w:r w:rsidRPr="007E0EB8">
        <w:rPr>
          <w:rStyle w:val="aff4"/>
          <w:rFonts w:hint="cs"/>
          <w:vanish/>
          <w:rtl/>
        </w:rPr>
        <w:t>-</w:t>
      </w:r>
      <w:r w:rsidRPr="004E4BA0">
        <w:rPr>
          <w:rStyle w:val="aff4"/>
          <w:rFonts w:hint="cs"/>
          <w:rtl/>
        </w:rPr>
        <w:t>ה</w:t>
      </w:r>
      <w:r w:rsidRPr="00FF7D8F">
        <w:rPr>
          <w:rStyle w:val="aff4"/>
          <w:rFonts w:hint="cs"/>
          <w:vanish/>
          <w:rtl/>
        </w:rPr>
        <w:t>&lt; &gt;</w:t>
      </w:r>
      <w:r w:rsidRPr="004E4BA0">
        <w:rPr>
          <w:rStyle w:val="aff4"/>
          <w:rFonts w:hint="cs"/>
          <w:rtl/>
        </w:rPr>
        <w:t>שו"ע</w:t>
      </w:r>
      <w:r w:rsidRPr="007E0EB8">
        <w:rPr>
          <w:rStyle w:val="aff4"/>
          <w:rFonts w:hint="cs"/>
          <w:vanish/>
          <w:rtl/>
        </w:rPr>
        <w:t>-</w:t>
      </w:r>
      <w:r>
        <w:rPr>
          <w:rFonts w:hint="cs"/>
          <w:rtl/>
        </w:rPr>
        <w:t xml:space="preserve"> </w:t>
      </w:r>
      <w:r w:rsidRPr="00DB1D3B">
        <w:rPr>
          <w:rStyle w:val="af2"/>
          <w:rFonts w:eastAsia="Guttman Hodes" w:hint="cs"/>
          <w:rtl/>
        </w:rPr>
        <w:t>(סי' תקי"ט ב')</w:t>
      </w:r>
      <w:r w:rsidRPr="007E0EB8">
        <w:rPr>
          <w:rFonts w:hint="cs"/>
          <w:vanish/>
          <w:rtl/>
        </w:rPr>
        <w:t>=</w:t>
      </w:r>
      <w:r>
        <w:rPr>
          <w:rFonts w:hint="cs"/>
          <w:rtl/>
        </w:rPr>
        <w:t>.</w:t>
      </w:r>
    </w:p>
    <w:p w14:paraId="35A6DA52" w14:textId="77777777" w:rsidR="00376F67" w:rsidRPr="0074694D" w:rsidRDefault="00376F67" w:rsidP="00376F67">
      <w:pPr>
        <w:pStyle w:val="a2"/>
        <w:tabs>
          <w:tab w:val="num" w:pos="284"/>
        </w:tabs>
        <w:rPr>
          <w:vanish w:val="0"/>
          <w:rtl/>
        </w:rPr>
      </w:pPr>
      <w:r w:rsidRPr="0074694D">
        <w:rPr>
          <w:rtl/>
        </w:rPr>
        <w:t>ומלשון הרב ז"ל שכתב כיון שדרך הוא לעולס לסתמו בען זה ע"כ משמע דבעי ברזא מיוחדת לחבית ולפ"ז בביטלע"ס שלנו לסתום הנקב שלמעלה בקארי"ק שאינו מיוחד לו באינו עשוי לפתחו אלא לעתים רחוקים אסור ואס מהדקו בחוזק לכאורה יש בזה חיוב חטאת וא</w:t>
      </w:r>
      <w:r w:rsidRPr="0074694D">
        <w:rPr>
          <w:rFonts w:hint="cs"/>
          <w:rtl/>
        </w:rPr>
        <w:t>ם</w:t>
      </w:r>
      <w:r w:rsidRPr="0074694D">
        <w:rPr>
          <w:rtl/>
        </w:rPr>
        <w:t xml:space="preserve"> עשוי לפתחו ולסתמו מדיר לדעת הרב ז"ל בסי' שי"ג סס"כ דס"ל דבאץ עשוי לקיום כלל לא שייך בנין בכלים עמש"ש ס"ק י"ז מותר לסתמו ולהדקו אפילו בדבר שאינו מתוקן לברזא</w:t>
      </w:r>
      <w:r w:rsidRPr="0074694D">
        <w:rPr>
          <w:rFonts w:hint="cs"/>
          <w:rtl/>
        </w:rPr>
        <w:t>.</w:t>
      </w:r>
    </w:p>
    <w:p w14:paraId="5D125B52" w14:textId="77777777" w:rsidR="00376F67" w:rsidRPr="00954231" w:rsidRDefault="00376F67" w:rsidP="00376F67">
      <w:pPr>
        <w:pStyle w:val="afffff5"/>
        <w:rPr>
          <w:vanish w:val="0"/>
        </w:rPr>
      </w:pPr>
      <w:r w:rsidRPr="00954231">
        <w:rPr>
          <w:rtl/>
        </w:rPr>
        <w:t xml:space="preserve">ועכ"פ לענין כלים עי' שו"ע הרב סי' שי"ג סעי' כ"א שכתב לענין כלי של פרקים שאם הדקם בחוזק בענין שצריך לזה גבורה ואומנות אף על גב שהוא בנין גמור וחייב משום בונה, היינו דוקא "אם עשוי להתקיים הרבה ואם אינו עשוי להתקיים הרבה הרי זה בנין עראי ואסור מדברי סופרים אא"כ אינו עשוי לקיום כלל" דשרי גם מדרבנן, </w:t>
      </w:r>
      <w:r w:rsidRPr="00954231">
        <w:rPr>
          <w:rStyle w:val="afff7"/>
          <w:rtl/>
        </w:rPr>
        <w:t>ובנד"ד הרי סוגרים ופותחים את המעגל מאה פעמים בכל יום</w:t>
      </w:r>
      <w:r w:rsidRPr="00954231">
        <w:rPr>
          <w:rtl/>
        </w:rPr>
        <w:t xml:space="preserve"> ואפילו הכי כתב החזו"א "דאפילו בכלים כה"ג חשיב בונה", ומ"ש החזו"א "ואף אם השימוש הוא לשעות מיוחדות ואח"כ פוסקו דהפסיקה היא מכאן ולהבא והצורה הראשונה אינה בת פירוד מן הגשם" צ"ע, </w:t>
      </w:r>
      <w:r w:rsidRPr="00954231">
        <w:rPr>
          <w:rStyle w:val="afff7"/>
          <w:rtl/>
        </w:rPr>
        <w:t xml:space="preserve">דמ"מ היכן מצינו ענין זה שהצורה הראשונה אינה בת פירוד, הרי סו"ס אין אנו רואים אלא תנועה או סיבוב של זרם חשמלי תוך חוטים </w:t>
      </w:r>
      <w:r w:rsidRPr="00954231">
        <w:rPr>
          <w:rtl/>
        </w:rPr>
        <w:t>התלוי ברצון האדם אשר ברצותו מזרים וברצותו מפסיק, ועיין גם בפמ"ג סי' שי"ג במש"ז סק"ז שכתב "כלים שאי אפשר להשתמש כי אם ע"י פירוק והידוק לאו מכה בפטיש וגם לאו בונה הוא דעשוי מתחילה לכך ושרי", ומשמע דמותר אף בכה"ג שכל חלק לחוד אינו ראוי לכלום, וכן נראה מפשטות דברי השו"ע בסי' תקי"ט ס"ב דשרי אפי' אם אינם ראויים כלל כשהם מפוצלים.</w:t>
      </w:r>
    </w:p>
    <w:p w14:paraId="24464955" w14:textId="77777777" w:rsidR="00376F67" w:rsidRPr="00954231" w:rsidRDefault="00376F67" w:rsidP="00376F67">
      <w:pPr>
        <w:pStyle w:val="afffff5"/>
        <w:rPr>
          <w:vanish w:val="0"/>
          <w:rtl/>
        </w:rPr>
      </w:pPr>
      <w:r w:rsidRPr="00954231">
        <w:rPr>
          <w:rtl/>
        </w:rPr>
        <w:t>שדין. עיין ט"ז. כלים שאי אפשר להשתמש כי אם על ידי פירוק והידוק לאו מכה בפטיש, וגם לאו בונה הוא, דעשוי מתחלה לכך ושרי.</w:t>
      </w:r>
    </w:p>
    <w:p w14:paraId="377814FA" w14:textId="77777777" w:rsidR="00376F67" w:rsidRPr="00954231" w:rsidRDefault="00376F67" w:rsidP="00376F67">
      <w:pPr>
        <w:pStyle w:val="afffff5"/>
        <w:rPr>
          <w:vanish w:val="0"/>
        </w:rPr>
      </w:pPr>
      <w:r w:rsidRPr="00954231">
        <w:rPr>
          <w:rtl/>
        </w:rPr>
        <w:lastRenderedPageBreak/>
        <w:t>כלים שהם מפוצלים, כגון מנורה של חוליות וכסא ושלחן שהם חתיכות חתיכות, מעמידין אותן ביום טוב; והוא שלא יתקע.</w:t>
      </w:r>
    </w:p>
    <w:p w14:paraId="14C97F28" w14:textId="77777777" w:rsidR="00376F67" w:rsidRDefault="00376F67" w:rsidP="00376F67">
      <w:pPr>
        <w:pStyle w:val="affff5"/>
        <w:rPr>
          <w:rtl/>
        </w:rPr>
      </w:pPr>
      <w:bookmarkStart w:id="4757" w:name="_Toc143767814"/>
      <w:bookmarkStart w:id="4758" w:name="_Toc143770635"/>
      <w:r w:rsidRPr="00716C93">
        <w:rPr>
          <w:rFonts w:hint="cs"/>
          <w:rtl/>
        </w:rPr>
        <w:t>~~~~~~~~~~~~~~~~~~~~~~~~~~~~</w:t>
      </w:r>
      <w:bookmarkEnd w:id="4757"/>
      <w:bookmarkEnd w:id="4758"/>
      <w:r w:rsidRPr="0001175D">
        <w:rPr>
          <w:vanish/>
          <w:rtl/>
        </w:rPr>
        <w:t>&lt; # =</w:t>
      </w:r>
    </w:p>
    <w:p w14:paraId="111FEE30" w14:textId="77777777" w:rsidR="00376F67" w:rsidRDefault="00376F67" w:rsidP="00376F67">
      <w:pPr>
        <w:pStyle w:val="affff5"/>
        <w:rPr>
          <w:rtl/>
        </w:rPr>
      </w:pPr>
      <w:bookmarkStart w:id="4759" w:name="_Toc143767815"/>
      <w:bookmarkStart w:id="4760" w:name="_Toc143770636"/>
      <w:r>
        <w:rPr>
          <w:rFonts w:hint="cs"/>
          <w:rtl/>
        </w:rPr>
        <w:t>בדיני בונה בבנין קבוע ובבנין ארעי</w:t>
      </w:r>
      <w:bookmarkEnd w:id="4759"/>
      <w:bookmarkEnd w:id="4760"/>
      <w:r w:rsidRPr="0001175D">
        <w:rPr>
          <w:vanish/>
          <w:rtl/>
        </w:rPr>
        <w:t>&lt; # =</w:t>
      </w:r>
    </w:p>
    <w:p w14:paraId="110153F3" w14:textId="77777777" w:rsidR="00376F67" w:rsidRDefault="00376F67" w:rsidP="00376F67">
      <w:pPr>
        <w:pStyle w:val="1"/>
        <w:rPr>
          <w:rtl/>
        </w:rPr>
      </w:pPr>
      <w:bookmarkStart w:id="4761" w:name="_Toc143767816"/>
      <w:bookmarkStart w:id="4762" w:name="_Toc143770637"/>
      <w:r>
        <w:rPr>
          <w:rFonts w:hint="cs"/>
          <w:rtl/>
        </w:rPr>
        <w:t>בד' הבבלי אי ס"ל כהירושלמי דבנין לשעה הוי בנין</w:t>
      </w:r>
      <w:bookmarkEnd w:id="4761"/>
      <w:bookmarkEnd w:id="4762"/>
    </w:p>
    <w:p w14:paraId="7AFE40B4" w14:textId="77777777" w:rsidR="00376F67" w:rsidRDefault="00376F67" w:rsidP="00376F67">
      <w:pPr>
        <w:pStyle w:val="afffff7"/>
        <w:rPr>
          <w:rtl/>
        </w:rPr>
      </w:pPr>
      <w:bookmarkStart w:id="4763" w:name="_Toc143767935"/>
      <w:bookmarkStart w:id="4764" w:name="_Toc163506123"/>
      <w:r>
        <w:rPr>
          <w:rtl/>
        </w:rPr>
        <w:t>חדושי הרשב"א שבת ק"ב ע"ב</w:t>
      </w:r>
      <w:r>
        <w:rPr>
          <w:rFonts w:hint="cs"/>
          <w:rtl/>
        </w:rPr>
        <w:t xml:space="preserve"> ד"ה ירושלמי</w:t>
      </w:r>
      <w:bookmarkEnd w:id="4763"/>
      <w:bookmarkEnd w:id="4764"/>
    </w:p>
    <w:p w14:paraId="070538C6" w14:textId="77777777" w:rsidR="00376F67" w:rsidRDefault="00376F67" w:rsidP="00376F67">
      <w:pPr>
        <w:pStyle w:val="afffff7"/>
        <w:rPr>
          <w:rtl/>
        </w:rPr>
      </w:pPr>
      <w:bookmarkStart w:id="4765" w:name="_Toc143767936"/>
      <w:bookmarkStart w:id="4766" w:name="_Toc163506124"/>
      <w:r>
        <w:rPr>
          <w:rtl/>
        </w:rPr>
        <w:t>מאירי שבת ק"ב ע"ב</w:t>
      </w:r>
      <w:r>
        <w:rPr>
          <w:rFonts w:hint="cs"/>
          <w:rtl/>
        </w:rPr>
        <w:t xml:space="preserve"> ד"ה אמר המאירי</w:t>
      </w:r>
      <w:bookmarkEnd w:id="4765"/>
      <w:bookmarkEnd w:id="4766"/>
    </w:p>
    <w:p w14:paraId="6E5FAF50" w14:textId="77777777" w:rsidR="00376F67" w:rsidRDefault="00376F67" w:rsidP="00376F67">
      <w:pPr>
        <w:pStyle w:val="afffff7"/>
        <w:rPr>
          <w:rtl/>
        </w:rPr>
      </w:pPr>
      <w:bookmarkStart w:id="4767" w:name="_Toc143767937"/>
      <w:bookmarkStart w:id="4768" w:name="_Toc163506125"/>
      <w:r>
        <w:rPr>
          <w:rtl/>
        </w:rPr>
        <w:t>אור זרוע שבת סי</w:t>
      </w:r>
      <w:r>
        <w:rPr>
          <w:rFonts w:hint="cs"/>
          <w:rtl/>
        </w:rPr>
        <w:t xml:space="preserve">' </w:t>
      </w:r>
      <w:r>
        <w:rPr>
          <w:rtl/>
        </w:rPr>
        <w:t>ע</w:t>
      </w:r>
      <w:r>
        <w:rPr>
          <w:rFonts w:hint="cs"/>
          <w:rtl/>
        </w:rPr>
        <w:t>"</w:t>
      </w:r>
      <w:r>
        <w:rPr>
          <w:rtl/>
        </w:rPr>
        <w:t>ח</w:t>
      </w:r>
      <w:bookmarkEnd w:id="4767"/>
      <w:bookmarkEnd w:id="4768"/>
    </w:p>
    <w:p w14:paraId="67D5706B" w14:textId="77777777" w:rsidR="00376F67" w:rsidRDefault="00376F67" w:rsidP="00376F67">
      <w:pPr>
        <w:pStyle w:val="afffff7"/>
      </w:pPr>
      <w:bookmarkStart w:id="4769" w:name="_Toc143767938"/>
      <w:bookmarkStart w:id="4770" w:name="_Toc163506126"/>
      <w:r>
        <w:rPr>
          <w:rFonts w:hint="cs"/>
          <w:rtl/>
        </w:rPr>
        <w:t>ביאור הגרח</w:t>
      </w:r>
      <w:r>
        <w:rPr>
          <w:rFonts w:cs="Guttman Hodes" w:hint="cs"/>
          <w:rtl/>
        </w:rPr>
        <w:t>"</w:t>
      </w:r>
      <w:r>
        <w:rPr>
          <w:rFonts w:hint="cs"/>
          <w:rtl/>
        </w:rPr>
        <w:t>ק ירושלמי שבת פי</w:t>
      </w:r>
      <w:r>
        <w:rPr>
          <w:rFonts w:cs="Guttman Hodes" w:hint="cs"/>
          <w:rtl/>
        </w:rPr>
        <w:t>"</w:t>
      </w:r>
      <w:r>
        <w:rPr>
          <w:rFonts w:hint="cs"/>
          <w:rtl/>
        </w:rPr>
        <w:t>ב ה</w:t>
      </w:r>
      <w:r>
        <w:rPr>
          <w:rFonts w:cs="Guttman Hodes" w:hint="cs"/>
          <w:rtl/>
        </w:rPr>
        <w:t>"</w:t>
      </w:r>
      <w:r>
        <w:rPr>
          <w:rFonts w:hint="cs"/>
          <w:rtl/>
        </w:rPr>
        <w:t>א ד"ה ה"ג לעולם</w:t>
      </w:r>
      <w:bookmarkEnd w:id="4769"/>
      <w:bookmarkEnd w:id="4770"/>
    </w:p>
    <w:p w14:paraId="0246A97E" w14:textId="77777777" w:rsidR="00376F67" w:rsidRDefault="00376F67" w:rsidP="00376F67">
      <w:pPr>
        <w:pStyle w:val="a7"/>
        <w:rPr>
          <w:rtl/>
        </w:rPr>
      </w:pPr>
      <w:bookmarkStart w:id="4771" w:name="_Toc143767817"/>
      <w:bookmarkStart w:id="4772" w:name="_Toc143770638"/>
      <w:r>
        <w:rPr>
          <w:rFonts w:hint="cs"/>
          <w:rtl/>
        </w:rPr>
        <w:t>בי' הראשונים דבירושלמי איתא דבנין לשעה הוי בנין ומשמע דהבבלי לא פליג בזה</w:t>
      </w:r>
      <w:bookmarkEnd w:id="4771"/>
      <w:bookmarkEnd w:id="4772"/>
    </w:p>
    <w:p w14:paraId="6BE0FA79" w14:textId="24F4B5FE" w:rsidR="00376F67" w:rsidRDefault="00376F67" w:rsidP="00BC7DC8">
      <w:pPr>
        <w:pStyle w:val="a3"/>
      </w:pPr>
      <w:bookmarkStart w:id="4773" w:name="_Ref141864503"/>
      <w:r>
        <w:rPr>
          <w:rFonts w:hint="cs"/>
          <w:rtl/>
        </w:rPr>
        <w:t xml:space="preserve">הביאו </w:t>
      </w:r>
      <w:r w:rsidRPr="001A2014">
        <w:rPr>
          <w:rStyle w:val="aff4"/>
          <w:rFonts w:hint="cs"/>
          <w:vanish/>
          <w:rtl/>
        </w:rPr>
        <w:t>-</w:t>
      </w:r>
      <w:r w:rsidRPr="001A2014">
        <w:rPr>
          <w:rStyle w:val="aff4"/>
          <w:rFonts w:hint="cs"/>
          <w:rtl/>
        </w:rPr>
        <w:t>ה</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Ref141864503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מז)</w:t>
      </w:r>
      <w:r w:rsidRPr="00FF7D8F">
        <w:rPr>
          <w:rStyle w:val="aff4"/>
          <w:vanish/>
          <w:rtl/>
        </w:rPr>
        <w:fldChar w:fldCharType="end"/>
      </w:r>
      <w:r w:rsidRPr="00FF7D8F">
        <w:rPr>
          <w:rStyle w:val="aff4"/>
          <w:rFonts w:hint="cs"/>
          <w:vanish/>
          <w:rtl/>
        </w:rPr>
        <w:t xml:space="preserve"> &gt;</w:t>
      </w:r>
      <w:r w:rsidRPr="001A2014">
        <w:rPr>
          <w:rStyle w:val="aff4"/>
          <w:rFonts w:hint="cs"/>
          <w:rtl/>
        </w:rPr>
        <w:t>רשב"א</w:t>
      </w:r>
      <w:r w:rsidRPr="001A2014">
        <w:rPr>
          <w:rStyle w:val="aff4"/>
          <w:rFonts w:hint="cs"/>
          <w:vanish/>
          <w:rtl/>
        </w:rPr>
        <w:t>-</w:t>
      </w:r>
      <w:r>
        <w:rPr>
          <w:rFonts w:hint="cs"/>
          <w:rtl/>
        </w:rPr>
        <w:t xml:space="preserve"> </w:t>
      </w:r>
      <w:r w:rsidRPr="00DB1D3B">
        <w:rPr>
          <w:rStyle w:val="af2"/>
          <w:rFonts w:eastAsia="Guttman Hodes" w:hint="cs"/>
          <w:rtl/>
        </w:rPr>
        <w:t>(ד"ה ירושלמי)</w:t>
      </w:r>
      <w:r w:rsidRPr="001A2014">
        <w:rPr>
          <w:rFonts w:hint="cs"/>
          <w:vanish/>
          <w:rtl/>
        </w:rPr>
        <w:t>=</w:t>
      </w:r>
      <w:r>
        <w:rPr>
          <w:rFonts w:hint="cs"/>
          <w:rtl/>
        </w:rPr>
        <w:t xml:space="preserve"> </w:t>
      </w:r>
      <w:r w:rsidRPr="001A2014">
        <w:rPr>
          <w:rStyle w:val="aff4"/>
          <w:rFonts w:hint="cs"/>
          <w:vanish/>
          <w:rtl/>
        </w:rPr>
        <w:t>-</w:t>
      </w:r>
      <w:r w:rsidRPr="001A2014">
        <w:rPr>
          <w:rStyle w:val="aff4"/>
          <w:rFonts w:hint="cs"/>
          <w:rtl/>
        </w:rPr>
        <w:t>וה</w:t>
      </w:r>
      <w:r w:rsidRPr="00FF7D8F">
        <w:rPr>
          <w:rStyle w:val="aff4"/>
          <w:rFonts w:hint="cs"/>
          <w:vanish/>
          <w:rtl/>
        </w:rPr>
        <w:t>&lt; &gt;</w:t>
      </w:r>
      <w:r w:rsidRPr="001A2014">
        <w:rPr>
          <w:rStyle w:val="aff4"/>
          <w:rFonts w:hint="cs"/>
          <w:rtl/>
        </w:rPr>
        <w:t>מאירי</w:t>
      </w:r>
      <w:r w:rsidRPr="001A2014">
        <w:rPr>
          <w:rStyle w:val="aff4"/>
          <w:rFonts w:hint="cs"/>
          <w:vanish/>
          <w:rtl/>
        </w:rPr>
        <w:t>-</w:t>
      </w:r>
      <w:r w:rsidRPr="00D0364D">
        <w:rPr>
          <w:rFonts w:hint="cs"/>
          <w:rtl/>
        </w:rPr>
        <w:t xml:space="preserve"> </w:t>
      </w:r>
      <w:r w:rsidRPr="00DB1D3B">
        <w:rPr>
          <w:rStyle w:val="af2"/>
          <w:rFonts w:eastAsia="Guttman Hodes" w:hint="cs"/>
          <w:rtl/>
        </w:rPr>
        <w:t>(ד"ה אמר המאירי)</w:t>
      </w:r>
      <w:r w:rsidRPr="00A741FE">
        <w:rPr>
          <w:rFonts w:hint="cs"/>
          <w:vanish/>
          <w:rtl/>
        </w:rPr>
        <w:t>=</w:t>
      </w:r>
      <w:r w:rsidRPr="00A741FE">
        <w:rPr>
          <w:rFonts w:hint="cs"/>
          <w:rtl/>
        </w:rPr>
        <w:t xml:space="preserve"> </w:t>
      </w:r>
      <w:r w:rsidRPr="001A2014">
        <w:rPr>
          <w:rStyle w:val="aff4"/>
          <w:rFonts w:hint="cs"/>
          <w:vanish/>
          <w:rtl/>
        </w:rPr>
        <w:t>-</w:t>
      </w:r>
      <w:r w:rsidRPr="00A741FE">
        <w:rPr>
          <w:rStyle w:val="aff4"/>
          <w:rFonts w:hint="cs"/>
          <w:rtl/>
        </w:rPr>
        <w:t>וה</w:t>
      </w:r>
      <w:r w:rsidRPr="00FF7D8F">
        <w:rPr>
          <w:rFonts w:hint="cs"/>
          <w:vanish/>
          <w:rtl/>
        </w:rPr>
        <w:t>&lt; &gt;</w:t>
      </w:r>
      <w:r w:rsidRPr="00A741FE">
        <w:rPr>
          <w:rStyle w:val="aff4"/>
          <w:rFonts w:hint="cs"/>
          <w:rtl/>
        </w:rPr>
        <w:t>או"ז</w:t>
      </w:r>
      <w:r w:rsidRPr="001A2014">
        <w:rPr>
          <w:rStyle w:val="aff4"/>
          <w:rFonts w:hint="cs"/>
          <w:vanish/>
          <w:rtl/>
        </w:rPr>
        <w:t>-</w:t>
      </w:r>
      <w:r w:rsidRPr="001A2014">
        <w:rPr>
          <w:rStyle w:val="aff4"/>
          <w:rFonts w:hint="cs"/>
          <w:rtl/>
        </w:rPr>
        <w:t xml:space="preserve"> </w:t>
      </w:r>
      <w:r w:rsidRPr="00DB1D3B">
        <w:rPr>
          <w:rStyle w:val="af2"/>
          <w:rFonts w:eastAsia="Guttman Hodes" w:hint="cs"/>
          <w:rtl/>
        </w:rPr>
        <w:t>(שבת ריש סי' ע"ח)</w:t>
      </w:r>
      <w:r w:rsidRPr="00A741FE">
        <w:rPr>
          <w:rFonts w:hint="cs"/>
          <w:vanish/>
          <w:rtl/>
        </w:rPr>
        <w:t>=</w:t>
      </w:r>
      <w:r w:rsidRPr="00D0364D">
        <w:rPr>
          <w:rFonts w:hint="cs"/>
          <w:rtl/>
        </w:rPr>
        <w:t xml:space="preserve"> את דברי הירושלמי </w:t>
      </w:r>
      <w:bookmarkStart w:id="4774" w:name="_Hlk143184620"/>
      <w:r w:rsidRPr="00DB1D3B">
        <w:rPr>
          <w:rStyle w:val="af2"/>
          <w:rFonts w:eastAsia="Guttman Hodes"/>
          <w:rtl/>
        </w:rPr>
        <w:t>(פ"ז ה"ב</w:t>
      </w:r>
      <w:r w:rsidRPr="00DB1D3B">
        <w:rPr>
          <w:rStyle w:val="af2"/>
          <w:rFonts w:eastAsia="Guttman Hodes" w:hint="cs"/>
          <w:rtl/>
        </w:rPr>
        <w:t>, נב:, מהדו' עוז והדר סד.,</w:t>
      </w:r>
      <w:r w:rsidRPr="00DB1D3B">
        <w:rPr>
          <w:rStyle w:val="af2"/>
          <w:rFonts w:eastAsia="Guttman Hodes"/>
          <w:rtl/>
        </w:rPr>
        <w:t xml:space="preserve"> פי"ב ה"א</w:t>
      </w:r>
      <w:r w:rsidRPr="00DB1D3B">
        <w:rPr>
          <w:rStyle w:val="af2"/>
          <w:rFonts w:eastAsia="Guttman Hodes" w:hint="cs"/>
          <w:rtl/>
        </w:rPr>
        <w:t>, סח., מהדו' עוז והדר פג.</w:t>
      </w:r>
      <w:r w:rsidRPr="00DB1D3B">
        <w:rPr>
          <w:rStyle w:val="af2"/>
          <w:rFonts w:eastAsia="Guttman Hodes"/>
          <w:rtl/>
        </w:rPr>
        <w:t>)</w:t>
      </w:r>
      <w:r w:rsidRPr="00D0364D">
        <w:rPr>
          <w:rFonts w:hint="cs"/>
          <w:rtl/>
        </w:rPr>
        <w:t xml:space="preserve"> </w:t>
      </w:r>
      <w:bookmarkEnd w:id="4774"/>
      <w:r w:rsidRPr="00D0364D">
        <w:rPr>
          <w:rFonts w:hint="cs"/>
          <w:rtl/>
        </w:rPr>
        <w:t xml:space="preserve">דהחיוב בבונה הוא כמשכן שנתנו את הקרשים ע"ג האדנים, ובכה"ג לא חשיב בנין לשעה, כיון שחנו ונסעו על פי הדיבור, ולכן חשיב כבנין לעולם, ור' יוסי בר בון אמר דכיון דהקב"ה הבטיח לישראל שיכנסו לארץ, כמי שהוא לעולם, </w:t>
      </w:r>
      <w:r w:rsidRPr="00A655AF">
        <w:rPr>
          <w:rStyle w:val="af"/>
          <w:rFonts w:hint="cs"/>
          <w:rtl/>
        </w:rPr>
        <w:t>[בביאור הגי' בירושלמי, עי' בהערה</w:t>
      </w:r>
      <w:bookmarkStart w:id="4775" w:name="_Ref141866673"/>
      <w:r w:rsidRPr="006D12D1">
        <w:rPr>
          <w:rStyle w:val="af"/>
          <w:rFonts w:hint="cs"/>
          <w:rtl/>
        </w:rPr>
        <w:t>]</w:t>
      </w:r>
      <w:bookmarkEnd w:id="4775"/>
      <w:r w:rsidRPr="006D12D1">
        <w:rPr>
          <w:rStyle w:val="af"/>
          <w:rFonts w:hint="cs"/>
          <w:rtl/>
        </w:rPr>
        <w:t>,</w:t>
      </w:r>
      <w:bookmarkStart w:id="4776" w:name="_Ref143429871"/>
      <w:r>
        <w:rPr>
          <w:rStyle w:val="afff0"/>
          <w:sz w:val="12"/>
          <w:szCs w:val="14"/>
          <w:rtl/>
        </w:rPr>
        <w:footnoteReference w:id="13"/>
      </w:r>
      <w:bookmarkEnd w:id="4776"/>
      <w:r>
        <w:rPr>
          <w:rFonts w:hint="cs"/>
          <w:rtl/>
        </w:rPr>
        <w:t xml:space="preserve"> </w:t>
      </w:r>
      <w:r w:rsidRPr="00D0364D">
        <w:rPr>
          <w:rFonts w:hint="cs"/>
          <w:rtl/>
        </w:rPr>
        <w:t>ואמרינן בירושלמי דמוכח מזה דבנין לשעה הוי בנין</w:t>
      </w:r>
      <w:r>
        <w:rPr>
          <w:rFonts w:hint="cs"/>
          <w:rtl/>
        </w:rPr>
        <w:t xml:space="preserve">, ומשמע מדבריהם דהבבלי מודה לירושלמי בזה, וכן משמע </w:t>
      </w:r>
      <w:r w:rsidRPr="001A2014">
        <w:rPr>
          <w:rStyle w:val="aff4"/>
          <w:rFonts w:hint="cs"/>
          <w:vanish/>
          <w:rtl/>
        </w:rPr>
        <w:t>-</w:t>
      </w:r>
      <w:r>
        <w:rPr>
          <w:rStyle w:val="aff4"/>
          <w:rFonts w:hint="cs"/>
          <w:rtl/>
        </w:rPr>
        <w:t>ב</w:t>
      </w:r>
      <w:r w:rsidRPr="001A2014">
        <w:rPr>
          <w:rStyle w:val="aff4"/>
          <w:rFonts w:hint="cs"/>
          <w:rtl/>
        </w:rPr>
        <w:t>ריטב"א</w:t>
      </w:r>
      <w:r w:rsidRPr="001A2014">
        <w:rPr>
          <w:rStyle w:val="aff4"/>
          <w:rFonts w:hint="cs"/>
          <w:vanish/>
          <w:rtl/>
        </w:rPr>
        <w:t>-</w:t>
      </w:r>
      <w:r>
        <w:rPr>
          <w:rFonts w:hint="cs"/>
          <w:rtl/>
        </w:rPr>
        <w:t xml:space="preserve"> </w:t>
      </w:r>
      <w:r>
        <w:rPr>
          <w:rStyle w:val="af2"/>
          <w:rFonts w:eastAsia="Guttman Hodes" w:hint="cs"/>
          <w:rtl/>
        </w:rPr>
        <w:t>(</w:t>
      </w:r>
      <w:r w:rsidRPr="000924CB">
        <w:rPr>
          <w:rStyle w:val="af2"/>
          <w:rFonts w:eastAsia="Guttman Hodes" w:hint="cs"/>
          <w:rtl/>
        </w:rPr>
        <w:t xml:space="preserve">עי' אות </w:t>
      </w:r>
      <w:r w:rsidRPr="000924CB">
        <w:rPr>
          <w:rStyle w:val="af2"/>
          <w:rFonts w:eastAsia="Guttman Hodes"/>
          <w:rtl/>
        </w:rPr>
        <w:fldChar w:fldCharType="begin"/>
      </w:r>
      <w:r w:rsidRPr="000924CB">
        <w:rPr>
          <w:rStyle w:val="af2"/>
          <w:rFonts w:eastAsia="Guttman Hodes"/>
          <w:rtl/>
        </w:rPr>
        <w:instrText xml:space="preserve"> </w:instrText>
      </w:r>
      <w:r w:rsidRPr="000924CB">
        <w:rPr>
          <w:rStyle w:val="af2"/>
          <w:rFonts w:eastAsia="Guttman Hodes" w:hint="cs"/>
        </w:rPr>
        <w:instrText>REF</w:instrText>
      </w:r>
      <w:r w:rsidRPr="000924CB">
        <w:rPr>
          <w:rStyle w:val="af2"/>
          <w:rFonts w:eastAsia="Guttman Hodes" w:hint="cs"/>
          <w:rtl/>
        </w:rPr>
        <w:instrText xml:space="preserve"> _</w:instrText>
      </w:r>
      <w:r w:rsidRPr="000924CB">
        <w:rPr>
          <w:rStyle w:val="af2"/>
          <w:rFonts w:eastAsia="Guttman Hodes" w:hint="cs"/>
        </w:rPr>
        <w:instrText>Ref143159453 \r \h</w:instrText>
      </w:r>
      <w:r w:rsidRPr="000924CB">
        <w:rPr>
          <w:rStyle w:val="af2"/>
          <w:rFonts w:eastAsia="Guttman Hodes"/>
          <w:rtl/>
        </w:rPr>
        <w:instrText xml:space="preserve"> </w:instrText>
      </w:r>
      <w:r w:rsidRPr="000924CB">
        <w:rPr>
          <w:rStyle w:val="af2"/>
          <w:rFonts w:eastAsia="Guttman Hodes"/>
          <w:rtl/>
        </w:rPr>
      </w:r>
      <w:r w:rsidRPr="000924CB">
        <w:rPr>
          <w:rStyle w:val="af2"/>
          <w:rFonts w:eastAsia="Guttman Hodes"/>
          <w:rtl/>
        </w:rPr>
        <w:fldChar w:fldCharType="separate"/>
      </w:r>
      <w:r w:rsidR="00D82181">
        <w:rPr>
          <w:rStyle w:val="af2"/>
          <w:rFonts w:eastAsia="Guttman Hodes"/>
          <w:cs/>
        </w:rPr>
        <w:t>‎</w:t>
      </w:r>
      <w:r w:rsidR="00D82181">
        <w:rPr>
          <w:rStyle w:val="af2"/>
          <w:rFonts w:eastAsia="Guttman Hodes"/>
          <w:rtl/>
        </w:rPr>
        <w:t>נט)</w:t>
      </w:r>
      <w:r w:rsidRPr="000924CB">
        <w:rPr>
          <w:rStyle w:val="af2"/>
          <w:rFonts w:eastAsia="Guttman Hodes"/>
          <w:rtl/>
        </w:rPr>
        <w:fldChar w:fldCharType="end"/>
      </w:r>
      <w:r>
        <w:rPr>
          <w:rFonts w:hint="cs"/>
          <w:rtl/>
        </w:rPr>
        <w:t>.</w:t>
      </w:r>
      <w:r w:rsidRPr="00D0364D">
        <w:rPr>
          <w:rFonts w:hint="cs"/>
          <w:rtl/>
        </w:rPr>
        <w:t xml:space="preserve"> </w:t>
      </w:r>
      <w:bookmarkEnd w:id="4773"/>
    </w:p>
    <w:p w14:paraId="30F5DA8A" w14:textId="77777777" w:rsidR="00376F67" w:rsidRPr="0074694D" w:rsidRDefault="00376F67" w:rsidP="00376F67">
      <w:pPr>
        <w:pStyle w:val="a2"/>
        <w:tabs>
          <w:tab w:val="num" w:pos="284"/>
        </w:tabs>
        <w:rPr>
          <w:vanish w:val="0"/>
          <w:rtl/>
        </w:rPr>
      </w:pPr>
      <w:r w:rsidRPr="0074694D">
        <w:rPr>
          <w:rtl/>
        </w:rPr>
        <w:t>ירושלמי (פ"ז ה"ב פי"ב ה"א) מה בנין היה במקדש שהיו נותנין את הקרשים על גבי האדנים, ולא לשעה היתה, מכיון שהיו חונים ונוסעים על פי הדבור כמי שהוא לעולם, אמר ר' יוסי בר בון מכיון שהבטיחן הקדוש ברוך הוא שהוא מכניסן כמו שהוא לעולם, הדא אמרה בנין לשעה בנין, הדא אמרה אפילו נתון על גבי דבר אחר, הדא אמרה אפילו מן הצד, הדא אמרה בנין על גבי כלים בנין, אדנים כקרקע הן.</w:t>
      </w:r>
    </w:p>
    <w:p w14:paraId="62CD9DCC" w14:textId="77777777" w:rsidR="00376F67" w:rsidRPr="00954231" w:rsidRDefault="00376F67" w:rsidP="00376F67">
      <w:pPr>
        <w:pStyle w:val="afffff5"/>
        <w:rPr>
          <w:vanish w:val="0"/>
          <w:rtl/>
        </w:rPr>
      </w:pPr>
      <w:r w:rsidRPr="00954231">
        <w:rPr>
          <w:rtl/>
        </w:rPr>
        <w:t>אמר המאירי המשנה הראשונה ממנו תבאר ענין החלק הראשון והוא שאמר הבונה כמה יבנה ויהא חייב כל שהוא ופי' בגמ' שכן בעל הבית שיש לו נקב בכירתו סותמה ונמצא סתימת הנקב עושה בנין וכן במשכן קרש שנעשה בו תולעת ופגם את הקרש היו סותמין אותו באבר ויש שואלין בה והרי מ"מ בנין כלים היה והיאך למדין ממנו וכן שואלים בפטפוט כירה שהרי בנין כלים הוא ותירצו בתלמוד המערב שהקרשים הואיל ומחוברות כאדנים הם ואף בכירה יראה לומר כן שהכירה מחוברת לקרקע היא וכך שנאוה שם כמו שאמרו מה בנין היה במשכן שהיו נותנים את הקרשים על גבי אדנים ולא לשעה היה אמר ר' יוסי מכיון שהיו חונים ונוסעים על פי הדיבור כמו שהוא לעולם א"ר יוסי מכיון שהבטיחן הקדוש ברוך הוא שהוא מכניסן לארץ כמי שהוא לעולם הוא הדא אמרה בנין לשעה בנין הדא אמרה אפי' מן הצד הדא אמרה אפי' אדנים כקרקע הם:</w:t>
      </w:r>
    </w:p>
    <w:p w14:paraId="052B87C2" w14:textId="77777777" w:rsidR="00376F67" w:rsidRPr="00954231" w:rsidRDefault="00376F67" w:rsidP="00376F67">
      <w:pPr>
        <w:pStyle w:val="afffff5"/>
        <w:rPr>
          <w:vanish w:val="0"/>
          <w:rtl/>
        </w:rPr>
      </w:pPr>
      <w:r w:rsidRPr="00954231">
        <w:rPr>
          <w:rtl/>
        </w:rPr>
        <w:t>[א] הבונה לקמן בפ' הבונה כמה יבנה ויהא חייב כל שהו והתם מפרש בגמ' כל שהו למאי חזי. ירושלמי פ' כלל גדול מה בנין היה במשכן שהיו נותנין קרשים ע"ג אדנים ולא לשעה היתה א"ר יוסה מכיון שהיו חונין ונוסעין ע"פ הדיבור כמי שהוא לעולם הדה אמרה בנין לשעה בנין הדה אמרה בנין ע"ג כלים בנין הדה אמרה אפי' מן הצד הדה אמרה אפי' נתון ע"ג דבר אחר הדא אמרה בנין אדנים בקרקע בנין</w:t>
      </w:r>
      <w:r w:rsidRPr="00954231">
        <w:rPr>
          <w:rFonts w:hint="cs"/>
          <w:rtl/>
        </w:rPr>
        <w:t>.</w:t>
      </w:r>
    </w:p>
    <w:p w14:paraId="7203DF7C" w14:textId="77777777" w:rsidR="00376F67" w:rsidRPr="00954231" w:rsidRDefault="00376F67" w:rsidP="00376F67">
      <w:pPr>
        <w:pStyle w:val="afffff5"/>
        <w:rPr>
          <w:vanish w:val="0"/>
          <w:rtl/>
        </w:rPr>
      </w:pPr>
      <w:r w:rsidRPr="00954231">
        <w:rPr>
          <w:rtl/>
        </w:rPr>
        <w:t>ה"ג מכיון שהבטיחן כו' כמי שהוא לעולם ה"ב קשיא ליה דא</w:t>
      </w:r>
      <w:r w:rsidRPr="00954231">
        <w:rPr>
          <w:rFonts w:hint="cs"/>
          <w:rtl/>
        </w:rPr>
        <w:t>דר</w:t>
      </w:r>
      <w:r w:rsidRPr="00954231">
        <w:rPr>
          <w:rtl/>
        </w:rPr>
        <w:t>בה כיון שהבטיחן ליכנס לארץ היו יודעים שאינן חונין אלא לפי שעה ולעולם אין דעתם אלא לשעה</w:t>
      </w:r>
      <w:r w:rsidRPr="00954231">
        <w:rPr>
          <w:rFonts w:hint="cs"/>
          <w:rtl/>
        </w:rPr>
        <w:t>,</w:t>
      </w:r>
      <w:r w:rsidRPr="00954231">
        <w:rPr>
          <w:rtl/>
        </w:rPr>
        <w:t xml:space="preserve"> ולעיל פרק כלל גדול מסיים ביה הדא א</w:t>
      </w:r>
      <w:r w:rsidRPr="00954231">
        <w:rPr>
          <w:rFonts w:hint="cs"/>
          <w:rtl/>
        </w:rPr>
        <w:t>מ</w:t>
      </w:r>
      <w:r w:rsidRPr="00954231">
        <w:rPr>
          <w:rtl/>
        </w:rPr>
        <w:t>רה דאפילו בנין לשעה נמי בנין</w:t>
      </w:r>
      <w:r w:rsidRPr="00954231">
        <w:rPr>
          <w:rFonts w:hint="cs"/>
          <w:rtl/>
        </w:rPr>
        <w:t>.</w:t>
      </w:r>
      <w:r w:rsidRPr="00954231">
        <w:rPr>
          <w:rtl/>
        </w:rPr>
        <w:t xml:space="preserve"> </w:t>
      </w:r>
    </w:p>
    <w:p w14:paraId="19A1993A" w14:textId="77777777" w:rsidR="00376F67" w:rsidRDefault="00376F67" w:rsidP="00376F67">
      <w:pPr>
        <w:pStyle w:val="afffff7"/>
        <w:rPr>
          <w:rtl/>
        </w:rPr>
      </w:pPr>
      <w:bookmarkStart w:id="4777" w:name="_Toc143767939"/>
      <w:bookmarkStart w:id="4778" w:name="_Toc163506127"/>
      <w:r w:rsidRPr="0034560A">
        <w:rPr>
          <w:rtl/>
        </w:rPr>
        <w:t>שו"ת חתם סופר ח</w:t>
      </w:r>
      <w:r>
        <w:rPr>
          <w:rFonts w:hint="cs"/>
          <w:rtl/>
        </w:rPr>
        <w:t>"</w:t>
      </w:r>
      <w:r w:rsidRPr="0034560A">
        <w:rPr>
          <w:rtl/>
        </w:rPr>
        <w:t xml:space="preserve">א </w:t>
      </w:r>
      <w:r>
        <w:rPr>
          <w:rFonts w:hint="cs"/>
          <w:rtl/>
        </w:rPr>
        <w:t>או"ח סי'</w:t>
      </w:r>
      <w:r w:rsidRPr="0034560A">
        <w:rPr>
          <w:rtl/>
        </w:rPr>
        <w:t xml:space="preserve"> ע</w:t>
      </w:r>
      <w:r>
        <w:rPr>
          <w:rFonts w:hint="cs"/>
          <w:rtl/>
        </w:rPr>
        <w:t>"</w:t>
      </w:r>
      <w:r w:rsidRPr="0034560A">
        <w:rPr>
          <w:rtl/>
        </w:rPr>
        <w:t>ב</w:t>
      </w:r>
      <w:r>
        <w:rPr>
          <w:rFonts w:hint="cs"/>
          <w:rtl/>
        </w:rPr>
        <w:t xml:space="preserve"> ד"ה ולמדתי</w:t>
      </w:r>
      <w:bookmarkEnd w:id="4777"/>
      <w:bookmarkEnd w:id="4778"/>
    </w:p>
    <w:p w14:paraId="677FFF3D" w14:textId="77777777" w:rsidR="00376F67" w:rsidRPr="00370DCD" w:rsidRDefault="00376F67" w:rsidP="00376F67">
      <w:pPr>
        <w:pStyle w:val="afffff7"/>
        <w:rPr>
          <w:rtl/>
        </w:rPr>
      </w:pPr>
      <w:bookmarkStart w:id="4779" w:name="_Toc143767940"/>
      <w:bookmarkStart w:id="4780" w:name="_Hlk142817493"/>
      <w:bookmarkStart w:id="4781" w:name="_Toc163506128"/>
      <w:r w:rsidRPr="00370DCD">
        <w:rPr>
          <w:rtl/>
        </w:rPr>
        <w:t xml:space="preserve">כלכלת שבת </w:t>
      </w:r>
      <w:r w:rsidRPr="00370DCD">
        <w:rPr>
          <w:rFonts w:hint="cs"/>
          <w:rtl/>
        </w:rPr>
        <w:t>לבעל ה</w:t>
      </w:r>
      <w:r w:rsidRPr="00370DCD">
        <w:rPr>
          <w:rtl/>
        </w:rPr>
        <w:t xml:space="preserve">תפארת ישראל </w:t>
      </w:r>
      <w:r w:rsidRPr="00370DCD">
        <w:rPr>
          <w:rFonts w:hint="cs"/>
          <w:rtl/>
        </w:rPr>
        <w:t xml:space="preserve">בונה אות </w:t>
      </w:r>
      <w:r>
        <w:rPr>
          <w:rFonts w:hint="cs"/>
          <w:rtl/>
        </w:rPr>
        <w:t>ב</w:t>
      </w:r>
      <w:r w:rsidRPr="00370DCD">
        <w:rPr>
          <w:rFonts w:hint="cs"/>
          <w:rtl/>
        </w:rPr>
        <w:t>'</w:t>
      </w:r>
      <w:bookmarkEnd w:id="4779"/>
      <w:bookmarkEnd w:id="4781"/>
    </w:p>
    <w:p w14:paraId="346FB7B4" w14:textId="77777777" w:rsidR="00376F67" w:rsidRPr="00500D32" w:rsidRDefault="00376F67" w:rsidP="00376F67">
      <w:pPr>
        <w:pStyle w:val="a7"/>
      </w:pPr>
      <w:bookmarkStart w:id="4782" w:name="_Toc143767818"/>
      <w:bookmarkStart w:id="4783" w:name="_Toc143770639"/>
      <w:bookmarkEnd w:id="4780"/>
      <w:r>
        <w:rPr>
          <w:rFonts w:hint="cs"/>
          <w:rtl/>
        </w:rPr>
        <w:t>פלוגתת האחרונים אי הבבלי פליג על הירושלמי ופוטר בבנין לשעה או דמודה לירושלמי</w:t>
      </w:r>
      <w:bookmarkEnd w:id="4782"/>
      <w:bookmarkEnd w:id="4783"/>
    </w:p>
    <w:p w14:paraId="3CE7477D" w14:textId="025A38AF" w:rsidR="00376F67" w:rsidRDefault="00376F67" w:rsidP="00BC7DC8">
      <w:pPr>
        <w:pStyle w:val="a3"/>
        <w:rPr>
          <w:rtl/>
        </w:rPr>
      </w:pPr>
      <w:bookmarkStart w:id="4784" w:name="_Ref143615642"/>
      <w:r w:rsidRPr="00D0364D">
        <w:rPr>
          <w:rFonts w:hint="cs"/>
          <w:rtl/>
        </w:rPr>
        <w:t>ועי' במה שביארו</w:t>
      </w:r>
      <w:r w:rsidRPr="001A2014">
        <w:rPr>
          <w:rStyle w:val="aff4"/>
          <w:rFonts w:hint="cs"/>
          <w:rtl/>
        </w:rPr>
        <w:t xml:space="preserve"> </w:t>
      </w:r>
      <w:r w:rsidRPr="00B91D37">
        <w:rPr>
          <w:rStyle w:val="aff4"/>
          <w:rFonts w:hint="cs"/>
          <w:vanish/>
          <w:rtl/>
        </w:rPr>
        <w:t>-</w:t>
      </w:r>
      <w:r w:rsidRPr="00A741FE">
        <w:rPr>
          <w:rStyle w:val="aff4"/>
          <w:rFonts w:hint="cs"/>
          <w:rtl/>
        </w:rPr>
        <w:t>ה</w:t>
      </w:r>
      <w:r w:rsidRPr="00FF7D8F">
        <w:rPr>
          <w:rFonts w:hint="cs"/>
          <w:vanish/>
          <w:rtl/>
        </w:rPr>
        <w:t>&lt; &gt;</w:t>
      </w:r>
      <w:r w:rsidRPr="00A741FE">
        <w:rPr>
          <w:rStyle w:val="aff4"/>
          <w:rFonts w:hint="cs"/>
          <w:rtl/>
        </w:rPr>
        <w:t>חת"ס</w:t>
      </w:r>
      <w:r w:rsidRPr="00B91D37">
        <w:rPr>
          <w:rStyle w:val="aff4"/>
          <w:rFonts w:hint="cs"/>
          <w:vanish/>
          <w:rtl/>
        </w:rPr>
        <w:t>-</w:t>
      </w:r>
      <w:r w:rsidRPr="001A2014">
        <w:rPr>
          <w:rStyle w:val="aff4"/>
          <w:rFonts w:hint="cs"/>
          <w:rtl/>
        </w:rPr>
        <w:t xml:space="preserve"> </w:t>
      </w:r>
      <w:r w:rsidRPr="00DB1D3B">
        <w:rPr>
          <w:rStyle w:val="af2"/>
          <w:rFonts w:eastAsia="Guttman Hodes" w:hint="cs"/>
          <w:rtl/>
        </w:rPr>
        <w:t>(שו"ת ח"א או"ח סי' ע"ב)</w:t>
      </w:r>
      <w:r w:rsidRPr="00B91D37">
        <w:rPr>
          <w:rStyle w:val="aff4"/>
          <w:rFonts w:hint="cs"/>
          <w:vanish/>
          <w:rtl/>
        </w:rPr>
        <w:t>=</w:t>
      </w:r>
      <w:r w:rsidRPr="001A2014">
        <w:rPr>
          <w:rStyle w:val="aff4"/>
          <w:rFonts w:hint="cs"/>
          <w:rtl/>
        </w:rPr>
        <w:t xml:space="preserve"> </w:t>
      </w:r>
      <w:bookmarkStart w:id="4785" w:name="_Hlk142817324"/>
      <w:r w:rsidRPr="00B91D37">
        <w:rPr>
          <w:rStyle w:val="aff4"/>
          <w:rFonts w:hint="cs"/>
          <w:vanish/>
          <w:rtl/>
        </w:rPr>
        <w:t>-</w:t>
      </w:r>
      <w:r w:rsidRPr="00A741FE">
        <w:rPr>
          <w:rStyle w:val="aff4"/>
          <w:rFonts w:hint="cs"/>
          <w:rtl/>
        </w:rPr>
        <w:t>והתפארת</w:t>
      </w:r>
      <w:r>
        <w:rPr>
          <w:rFonts w:hint="cs"/>
          <w:rtl/>
        </w:rPr>
        <w:t xml:space="preserve"> </w:t>
      </w:r>
      <w:r w:rsidRPr="00A741FE">
        <w:rPr>
          <w:rStyle w:val="aff4"/>
          <w:rFonts w:hint="cs"/>
          <w:rtl/>
        </w:rPr>
        <w:t>ישראל בכלכלת שבת</w:t>
      </w:r>
      <w:r w:rsidRPr="00B91D37">
        <w:rPr>
          <w:rStyle w:val="aff4"/>
          <w:rFonts w:hint="cs"/>
          <w:vanish/>
          <w:rtl/>
        </w:rPr>
        <w:t>-</w:t>
      </w:r>
      <w:r w:rsidRPr="001A2014">
        <w:rPr>
          <w:rStyle w:val="aff4"/>
          <w:rFonts w:hint="cs"/>
          <w:rtl/>
        </w:rPr>
        <w:t xml:space="preserve"> </w:t>
      </w:r>
      <w:r w:rsidRPr="00DB1D3B">
        <w:rPr>
          <w:rStyle w:val="af2"/>
          <w:rFonts w:eastAsia="Guttman Hodes" w:hint="cs"/>
          <w:rtl/>
        </w:rPr>
        <w:t>(אות ל"ד סק"א)</w:t>
      </w:r>
      <w:r w:rsidRPr="00B91D37">
        <w:rPr>
          <w:rFonts w:hint="cs"/>
          <w:vanish/>
          <w:rtl/>
        </w:rPr>
        <w:t>=</w:t>
      </w:r>
      <w:bookmarkEnd w:id="4785"/>
      <w:r w:rsidRPr="00D0364D">
        <w:rPr>
          <w:rFonts w:hint="cs"/>
          <w:rtl/>
        </w:rPr>
        <w:t xml:space="preserve"> דהבבלי פליג על הירושלמי, אבל </w:t>
      </w:r>
      <w:r w:rsidRPr="00B91D37">
        <w:rPr>
          <w:rStyle w:val="aff4"/>
          <w:rFonts w:hint="cs"/>
          <w:vanish/>
          <w:rtl/>
        </w:rPr>
        <w:t>-</w:t>
      </w:r>
      <w:r w:rsidRPr="00A741FE">
        <w:rPr>
          <w:rStyle w:val="aff4"/>
          <w:rFonts w:hint="cs"/>
          <w:rtl/>
        </w:rPr>
        <w:t>ה</w:t>
      </w:r>
      <w:r w:rsidRPr="00FF7D8F">
        <w:rPr>
          <w:rFonts w:hint="cs"/>
          <w:vanish/>
          <w:rtl/>
        </w:rPr>
        <w:t>&lt; &gt;</w:t>
      </w:r>
      <w:r w:rsidRPr="00A741FE">
        <w:rPr>
          <w:rStyle w:val="aff4"/>
          <w:rFonts w:hint="cs"/>
          <w:rtl/>
        </w:rPr>
        <w:t>או"ש</w:t>
      </w:r>
      <w:r w:rsidRPr="00B91D37">
        <w:rPr>
          <w:rStyle w:val="aff4"/>
          <w:rFonts w:hint="cs"/>
          <w:vanish/>
          <w:rtl/>
        </w:rPr>
        <w:t>-</w:t>
      </w:r>
      <w:r>
        <w:rPr>
          <w:rStyle w:val="aff4"/>
          <w:rFonts w:hint="cs"/>
          <w:rtl/>
        </w:rPr>
        <w:t xml:space="preserve"> </w:t>
      </w:r>
      <w:r>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Ref143613574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לה)</w:t>
      </w:r>
      <w:r>
        <w:rPr>
          <w:rStyle w:val="af2"/>
          <w:rFonts w:eastAsia="Guttman Hodes"/>
          <w:rtl/>
        </w:rPr>
        <w:fldChar w:fldCharType="end"/>
      </w:r>
      <w:r>
        <w:rPr>
          <w:rStyle w:val="af2"/>
          <w:rFonts w:eastAsia="Guttman Hodes" w:hint="cs"/>
          <w:rtl/>
        </w:rPr>
        <w:t xml:space="preserve"> </w:t>
      </w:r>
      <w:r w:rsidRPr="00B91D37">
        <w:rPr>
          <w:rStyle w:val="aff4"/>
          <w:rFonts w:hint="cs"/>
          <w:vanish/>
          <w:rtl/>
        </w:rPr>
        <w:t>-</w:t>
      </w:r>
      <w:r w:rsidRPr="00B429BE">
        <w:rPr>
          <w:rStyle w:val="aff4"/>
          <w:rFonts w:hint="cs"/>
          <w:rtl/>
        </w:rPr>
        <w:t>ו</w:t>
      </w:r>
      <w:r w:rsidRPr="00A741FE">
        <w:rPr>
          <w:rStyle w:val="aff4"/>
          <w:rFonts w:hint="cs"/>
          <w:rtl/>
        </w:rPr>
        <w:t>ה</w:t>
      </w:r>
      <w:r w:rsidRPr="00FF7D8F">
        <w:rPr>
          <w:rFonts w:hint="cs"/>
          <w:vanish/>
          <w:rtl/>
        </w:rPr>
        <w:t>&lt; &gt;</w:t>
      </w:r>
      <w:r w:rsidRPr="00A741FE">
        <w:rPr>
          <w:rStyle w:val="aff4"/>
          <w:rFonts w:hint="cs"/>
          <w:rtl/>
        </w:rPr>
        <w:t>שביתת השבת</w:t>
      </w:r>
      <w:r w:rsidRPr="00B91D37">
        <w:rPr>
          <w:rStyle w:val="aff4"/>
          <w:rFonts w:hint="cs"/>
          <w:vanish/>
          <w:rtl/>
        </w:rPr>
        <w:t>-</w:t>
      </w:r>
      <w:r w:rsidRPr="001A2014">
        <w:rPr>
          <w:rStyle w:val="aff4"/>
          <w:rFonts w:hint="cs"/>
          <w:rtl/>
        </w:rPr>
        <w:t xml:space="preserve"> </w:t>
      </w:r>
      <w:r w:rsidRPr="00DB1D3B">
        <w:rPr>
          <w:rStyle w:val="af2"/>
          <w:rFonts w:eastAsia="Guttman Hodes" w:hint="cs"/>
          <w:rtl/>
        </w:rPr>
        <w:t>(מעשה חושב פתיחה לשבת, ריש דיני מלאכה שאינה לקיום)</w:t>
      </w:r>
      <w:r w:rsidRPr="00B91D37">
        <w:rPr>
          <w:rFonts w:hint="cs"/>
          <w:vanish/>
          <w:rtl/>
        </w:rPr>
        <w:t>=</w:t>
      </w:r>
      <w:r w:rsidRPr="00D0364D">
        <w:rPr>
          <w:rFonts w:hint="cs"/>
          <w:rtl/>
        </w:rPr>
        <w:t xml:space="preserve"> כתבו דאף הבבלי ס"ל כירושלמי</w:t>
      </w:r>
      <w:r>
        <w:rPr>
          <w:rFonts w:hint="cs"/>
          <w:rtl/>
        </w:rPr>
        <w:t xml:space="preserve">, וכן מבואר </w:t>
      </w:r>
      <w:r w:rsidRPr="00777071">
        <w:rPr>
          <w:rStyle w:val="aff4"/>
          <w:rFonts w:hint="cs"/>
          <w:vanish/>
          <w:rtl/>
        </w:rPr>
        <w:t>-</w:t>
      </w:r>
      <w:r w:rsidRPr="00777071">
        <w:rPr>
          <w:rStyle w:val="aff4"/>
          <w:rFonts w:hint="cs"/>
          <w:rtl/>
        </w:rPr>
        <w:t>בחזו"א</w:t>
      </w:r>
      <w:r w:rsidRPr="00777071">
        <w:rPr>
          <w:rStyle w:val="aff4"/>
          <w:rFonts w:hint="cs"/>
          <w:vanish/>
          <w:rtl/>
        </w:rPr>
        <w:t>-</w:t>
      </w:r>
      <w:r>
        <w:rPr>
          <w:rFonts w:hint="cs"/>
          <w:rtl/>
        </w:rPr>
        <w:t xml:space="preserve"> </w:t>
      </w:r>
      <w:r w:rsidRPr="00777071">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Ref143595455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מא)</w:t>
      </w:r>
      <w:r>
        <w:rPr>
          <w:rStyle w:val="af2"/>
          <w:rFonts w:eastAsia="Guttman Hodes"/>
          <w:rtl/>
        </w:rPr>
        <w:fldChar w:fldCharType="end"/>
      </w:r>
      <w:r w:rsidRPr="00D0364D">
        <w:rPr>
          <w:rFonts w:hint="cs"/>
          <w:rtl/>
        </w:rPr>
        <w:t xml:space="preserve">, </w:t>
      </w:r>
      <w:r w:rsidRPr="00B91D37">
        <w:rPr>
          <w:rFonts w:hint="cs"/>
          <w:vanish/>
          <w:rtl/>
        </w:rPr>
        <w:t>-</w:t>
      </w:r>
      <w:r w:rsidRPr="00A741FE">
        <w:rPr>
          <w:rStyle w:val="aff4"/>
          <w:rFonts w:hint="cs"/>
          <w:rtl/>
        </w:rPr>
        <w:t>וב</w:t>
      </w:r>
      <w:r w:rsidRPr="00FF7D8F">
        <w:rPr>
          <w:rFonts w:hint="cs"/>
          <w:vanish/>
          <w:rtl/>
        </w:rPr>
        <w:t>&lt; &gt;</w:t>
      </w:r>
      <w:r w:rsidRPr="00A741FE">
        <w:rPr>
          <w:rStyle w:val="aff4"/>
          <w:rFonts w:hint="cs"/>
          <w:rtl/>
        </w:rPr>
        <w:t>ישועות</w:t>
      </w:r>
      <w:r w:rsidRPr="00D0364D">
        <w:rPr>
          <w:rFonts w:hint="cs"/>
          <w:rtl/>
        </w:rPr>
        <w:t xml:space="preserve"> </w:t>
      </w:r>
      <w:r w:rsidRPr="00A741FE">
        <w:rPr>
          <w:rStyle w:val="aff4"/>
          <w:rFonts w:hint="cs"/>
          <w:rtl/>
        </w:rPr>
        <w:t>יעקב</w:t>
      </w:r>
      <w:r w:rsidRPr="00B91D37">
        <w:rPr>
          <w:rFonts w:hint="cs"/>
          <w:vanish/>
          <w:rtl/>
        </w:rPr>
        <w:t>-</w:t>
      </w:r>
      <w:r w:rsidRPr="00D0364D">
        <w:rPr>
          <w:rFonts w:hint="cs"/>
          <w:rtl/>
        </w:rPr>
        <w:t xml:space="preserve"> </w:t>
      </w:r>
      <w:r w:rsidRPr="00DB1D3B">
        <w:rPr>
          <w:rStyle w:val="af2"/>
          <w:rFonts w:eastAsia="Guttman Hodes" w:hint="cs"/>
          <w:rtl/>
        </w:rPr>
        <w:t>(סי' שט"ו סק"א)</w:t>
      </w:r>
      <w:r w:rsidRPr="00B91D37">
        <w:rPr>
          <w:rFonts w:hint="cs"/>
          <w:vanish/>
          <w:rtl/>
        </w:rPr>
        <w:t>=</w:t>
      </w:r>
      <w:r w:rsidRPr="00D0364D">
        <w:rPr>
          <w:rFonts w:hint="cs"/>
          <w:rtl/>
        </w:rPr>
        <w:t xml:space="preserve"> כתב דהוא מחלוקת בירושלמי, ולדינא אזלינן לחומרא כמ"ד דבנין לשעה הוי בנין, וע"ע במ"ש </w:t>
      </w:r>
      <w:r w:rsidRPr="00B91D37">
        <w:rPr>
          <w:rFonts w:hint="cs"/>
          <w:vanish/>
          <w:rtl/>
        </w:rPr>
        <w:t>-</w:t>
      </w:r>
      <w:r w:rsidRPr="00A741FE">
        <w:rPr>
          <w:rStyle w:val="aff4"/>
          <w:rFonts w:hint="cs"/>
          <w:rtl/>
        </w:rPr>
        <w:t>ה</w:t>
      </w:r>
      <w:r w:rsidRPr="00FF7D8F">
        <w:rPr>
          <w:rFonts w:hint="cs"/>
          <w:vanish/>
          <w:rtl/>
        </w:rPr>
        <w:t>&lt; &gt;</w:t>
      </w:r>
      <w:r w:rsidRPr="00A741FE">
        <w:rPr>
          <w:rStyle w:val="aff4"/>
          <w:rFonts w:hint="cs"/>
          <w:rtl/>
        </w:rPr>
        <w:t>אבני</w:t>
      </w:r>
      <w:r w:rsidRPr="00D0364D">
        <w:rPr>
          <w:rFonts w:hint="cs"/>
          <w:rtl/>
        </w:rPr>
        <w:t xml:space="preserve"> </w:t>
      </w:r>
      <w:r w:rsidRPr="00A741FE">
        <w:rPr>
          <w:rStyle w:val="aff4"/>
          <w:rFonts w:hint="cs"/>
          <w:rtl/>
        </w:rPr>
        <w:t>נזר</w:t>
      </w:r>
      <w:r w:rsidRPr="00B91D37">
        <w:rPr>
          <w:rFonts w:hint="cs"/>
          <w:vanish/>
          <w:rtl/>
        </w:rPr>
        <w:t>-</w:t>
      </w:r>
      <w:r>
        <w:rPr>
          <w:rFonts w:hint="cs"/>
          <w:rtl/>
        </w:rPr>
        <w:t xml:space="preserve"> </w:t>
      </w:r>
      <w:r w:rsidRPr="00DB1D3B">
        <w:rPr>
          <w:rStyle w:val="af2"/>
          <w:rFonts w:eastAsia="Guttman Hodes" w:hint="cs"/>
          <w:rtl/>
        </w:rPr>
        <w:t>(או"ח סי' רי"א אות כ')</w:t>
      </w:r>
      <w:r w:rsidRPr="00B91D37">
        <w:rPr>
          <w:rFonts w:hint="cs"/>
          <w:vanish/>
          <w:rtl/>
        </w:rPr>
        <w:t>=</w:t>
      </w:r>
      <w:r w:rsidRPr="00853964">
        <w:rPr>
          <w:rFonts w:hint="cs"/>
          <w:rtl/>
        </w:rPr>
        <w:t>.</w:t>
      </w:r>
      <w:bookmarkEnd w:id="4784"/>
      <w:r w:rsidRPr="00853964">
        <w:rPr>
          <w:rFonts w:hint="cs"/>
          <w:rtl/>
        </w:rPr>
        <w:t xml:space="preserve"> </w:t>
      </w:r>
    </w:p>
    <w:p w14:paraId="0FAE4ABF" w14:textId="77777777" w:rsidR="00376F67" w:rsidRPr="0074694D" w:rsidRDefault="00376F67" w:rsidP="00376F67">
      <w:pPr>
        <w:pStyle w:val="a2"/>
        <w:tabs>
          <w:tab w:val="num" w:pos="284"/>
        </w:tabs>
        <w:rPr>
          <w:vanish w:val="0"/>
          <w:rtl/>
        </w:rPr>
      </w:pPr>
      <w:r w:rsidRPr="0074694D">
        <w:rPr>
          <w:rtl/>
        </w:rPr>
        <w:t>ולמדתי מהירושלמי הזה ג' טעמים שלא יהיה בפראסאל</w:t>
      </w:r>
      <w:r w:rsidRPr="0074694D">
        <w:rPr>
          <w:rFonts w:hint="cs"/>
          <w:rtl/>
        </w:rPr>
        <w:t xml:space="preserve"> [מטריה]</w:t>
      </w:r>
      <w:r w:rsidRPr="0074694D">
        <w:rPr>
          <w:rtl/>
        </w:rPr>
        <w:t xml:space="preserve"> שום נדנוד איסור מן התורה עכ"פ. חדא, דהוי ליה בנין לשעה, ופי' בנין לשעה שהוא עשוי מתחלה לבנותו ולסותרו לשעתו ולחזור ולבנותו ולסותרו כל שעה כמו שהיה המשכן עשוי, ופליגי אמוראי למ"ד מתוך שהיו חונים עפ"י הדבור הוי ליה כבנין עולם א"כ הדרינן לכללן דבנין לשעה לאו בנין הוא, וכיון דאשכחן סתמא דתלמודא דידן בפ' במה מדליקין ל"א ע"ב גבי מפני שהוא עושה פחם דאמר גבי סותר על מנת לבנות במקומו דכיון דכתיב על פי ה' יחנו כמקומו דמי ולא דחי לי', ש"מ הכי קיי"ל, וכן משמע בתוס' /שבת/ צ"ד ע"א ד"ה ר"ש פוטר, וכיון שכן הלכה דבנין העשוי לשעתו אינו בנין א"כ האי פאראסאל עשוי לשעה כמובן, ועיין מ"ק ט' ע"א דדחיק אמאי דאיגי ולא משני משום דאיכא למימר בנין בהמ"ק יוכיח דלא דחי אפילו י"ט ובימי מילואים דחי אפילו שבת שהקימו ופרקו בכל יום, אע"כ התם בנין לשעה הוה כמו פאראסאל להעמידו ולפרקו לשעתו ביומו, ולא דמי להעמדת המשכן במקום תחנותם על פי ה' יחנו: </w:t>
      </w:r>
    </w:p>
    <w:p w14:paraId="2C764E0A" w14:textId="77777777" w:rsidR="00376F67" w:rsidRPr="00954231" w:rsidRDefault="00376F67" w:rsidP="00376F67">
      <w:pPr>
        <w:pStyle w:val="afffff5"/>
        <w:rPr>
          <w:rStyle w:val="afff7"/>
          <w:vanish w:val="0"/>
          <w:rtl/>
        </w:rPr>
      </w:pPr>
      <w:r w:rsidRPr="00954231">
        <w:rPr>
          <w:rtl/>
        </w:rPr>
        <w:t xml:space="preserve">(ב) ואוהל קבוע, היינו אפי' אינו מחובר לקרקע [כך מ"כ וכן מוכח לע"ד מכמה דוכתי, ורק בבונה ע"ג כלים פטור, ירושלמי, מדמפסקו בין הבנין להקרקע, אין דרך בנין בכך, </w:t>
      </w:r>
      <w:r w:rsidRPr="00954231">
        <w:rPr>
          <w:rStyle w:val="afff7"/>
          <w:rtl/>
        </w:rPr>
        <w:t>ואילה"ק א"כ דרק מטעם הפסק לא מחשב בניין, א"כ אדמקשי הירושלמי מהמשכן שהי' בנוי ע"ג אדנים ומתרץ דאדנים כקרקע חשיבין (כרמ"מ פ"י הי"ב), ואי רק מטעם הפסק, טפי הו"ל לתרץ דאדנים כמשכן חשיבי, וא"כ אין כאן הפסק, נ"ל דלא מצי לתרץ כן, מדכתיב והי' המשכן אחד, א"כ כל מה שאינו אחד עם המשכן, אינו נחשב משכן, והרי הקרשים לא היו רק תחובים בהאדנים (כשבת צ"ח ב'), ולא היו תחובים בחוזק, מדצריך להוציאן במסע המחנות] אם עשה ג' מחיצות ואוהל עליהן (רט"ז שט"ו סק"ד וי"א, וכ"כ בחי' רשב"א שבת קל"ח, ובמשבצות שט"ו ח' כתב דאפי' סדין בד' קונדסין מחשב אוהל קבע אם הוא קשור בהן), וגם יש בגגו או בפחות מג"ט סמוך לגגו, טפח על טפח ברום טפח, אז דינו כבנין מחובר לקרקע (מג"א שט"ו כ"א), ולהכי אפי' רק מוסיף עליו חייב מדאו' (משבצות שט"ו ח'). מיהו רק תולדה הוה ולא אב, וכמש"ל. ודוקא בעשוי לזמן מרובה, דהיינו לח' או ט' ימים [משבצות שם ואשל שם א', וכן משמע לע"ד מרש"י ביצה (דל"ב ב' ד"ה בנין עראי) פי' רש"י שאינו להתקיים, וכן משמע נמי מרש"י עירובין (ק"ב א' ד"ה מותר לנטותו) יע"ש. ואילה"ק מירושלמי בפרקן (ד"ל ע"ב) וכ"כ בריש פרק הבונה דמקשי, הרי כל מלאכות ממשכן ילפינן, והרי מדהבטיחן הקדוש ברוך הוא להכניסן לארץ, בנין לשעה הוא, ומתרץ הדא אמר' דאבנין לשעה חייב, אלמא דא"צ לבנין קבוע המשך זמן, נ"ל דע"כ צ"ל לרש"י הנ"ל דעכ"פ כיון דבבלי לא מקשי הכא כן, וכדמקשינן באמת בבבלי לעניין קשירה (דע"ד ב'), ע"כ צ"ל דבבלי לא חש להך סברא דמכיון שהבטיחן הקדוש ברוך הוא וכו', ועכ"פ לא הבטיחן מתי יכניסן, והרי לבסוף נשארו באמת מ' שנה במדבר. וגם לירוש' אפשר לומר, דבפחות מח' או ט' ימים אפי' בנין שעה לא הוה, רק בנין עראי וכבסוכה. והא דלא מקשי הירושלמי מונעלה הענן מערב עד בוקר, י"ל משום דעכ"פ כשבנו הי' ספק דלמא לשנה או לשנים רבות, בנין קבוע הוה, כל זה נ"ל].</w:t>
      </w:r>
    </w:p>
    <w:p w14:paraId="519CA881" w14:textId="77777777" w:rsidR="00376F67" w:rsidRDefault="00376F67" w:rsidP="00376F67">
      <w:pPr>
        <w:pStyle w:val="afffff7"/>
        <w:rPr>
          <w:rtl/>
        </w:rPr>
      </w:pPr>
      <w:bookmarkStart w:id="4786" w:name="_Toc143767941"/>
      <w:bookmarkStart w:id="4787" w:name="_Toc163506129"/>
      <w:r>
        <w:rPr>
          <w:rtl/>
        </w:rPr>
        <w:t xml:space="preserve">נודע ביהודה מהדורא תניינא </w:t>
      </w:r>
      <w:r>
        <w:rPr>
          <w:rFonts w:hint="cs"/>
          <w:rtl/>
        </w:rPr>
        <w:t>או"ח סי'</w:t>
      </w:r>
      <w:r>
        <w:rPr>
          <w:rtl/>
        </w:rPr>
        <w:t xml:space="preserve"> ל</w:t>
      </w:r>
      <w:r>
        <w:rPr>
          <w:rFonts w:hint="cs"/>
          <w:rtl/>
        </w:rPr>
        <w:t>'</w:t>
      </w:r>
      <w:bookmarkEnd w:id="4786"/>
      <w:bookmarkEnd w:id="4787"/>
    </w:p>
    <w:p w14:paraId="01F932A9" w14:textId="77777777" w:rsidR="00376F67" w:rsidRPr="0034560A" w:rsidRDefault="00376F67" w:rsidP="00376F67">
      <w:pPr>
        <w:pStyle w:val="afffff7"/>
        <w:rPr>
          <w:rtl/>
        </w:rPr>
      </w:pPr>
      <w:bookmarkStart w:id="4788" w:name="_Toc143767942"/>
      <w:bookmarkStart w:id="4789" w:name="_Toc163506130"/>
      <w:r w:rsidRPr="0034560A">
        <w:rPr>
          <w:rtl/>
        </w:rPr>
        <w:t>שביתת השבת מעשה חושב פ</w:t>
      </w:r>
      <w:r>
        <w:rPr>
          <w:rFonts w:hint="cs"/>
          <w:rtl/>
        </w:rPr>
        <w:t>"</w:t>
      </w:r>
      <w:r w:rsidRPr="0034560A">
        <w:rPr>
          <w:rtl/>
        </w:rPr>
        <w:t>א</w:t>
      </w:r>
      <w:r w:rsidRPr="00670AF3">
        <w:rPr>
          <w:rFonts w:hint="cs"/>
          <w:rtl/>
        </w:rPr>
        <w:t xml:space="preserve"> </w:t>
      </w:r>
      <w:r>
        <w:rPr>
          <w:rFonts w:hint="cs"/>
          <w:rtl/>
        </w:rPr>
        <w:t>מלאכה שאינה לקיום</w:t>
      </w:r>
      <w:bookmarkEnd w:id="4788"/>
      <w:bookmarkEnd w:id="4789"/>
    </w:p>
    <w:p w14:paraId="5019300C" w14:textId="77777777" w:rsidR="00376F67" w:rsidRDefault="00376F67" w:rsidP="00376F67">
      <w:pPr>
        <w:pStyle w:val="a7"/>
        <w:rPr>
          <w:rtl/>
        </w:rPr>
      </w:pPr>
      <w:bookmarkStart w:id="4790" w:name="_Toc143767819"/>
      <w:bookmarkStart w:id="4791" w:name="_Toc143770640"/>
      <w:r>
        <w:rPr>
          <w:rFonts w:hint="cs"/>
          <w:rtl/>
        </w:rPr>
        <w:t>בי' השביתת שבת בנודע ביהודה דס"ל דקיי"ל כירושלמי דבנין לשעה הוי בנין</w:t>
      </w:r>
      <w:bookmarkEnd w:id="4790"/>
      <w:bookmarkEnd w:id="4791"/>
    </w:p>
    <w:p w14:paraId="71550E1B" w14:textId="78A09726" w:rsidR="00376F67" w:rsidRPr="00856F61" w:rsidRDefault="00376F67" w:rsidP="00BC7DC8">
      <w:pPr>
        <w:pStyle w:val="a3"/>
        <w:rPr>
          <w:rtl/>
        </w:rPr>
      </w:pPr>
      <w:bookmarkStart w:id="4792" w:name="_Ref143159470"/>
      <w:r>
        <w:rPr>
          <w:rFonts w:hint="cs"/>
          <w:rtl/>
        </w:rPr>
        <w:t xml:space="preserve">כתב </w:t>
      </w:r>
      <w:r w:rsidRPr="001A2014">
        <w:rPr>
          <w:rStyle w:val="aff4"/>
          <w:rFonts w:hint="cs"/>
          <w:vanish/>
          <w:rtl/>
        </w:rPr>
        <w:t>-</w:t>
      </w:r>
      <w:r w:rsidRPr="001A2014">
        <w:rPr>
          <w:rStyle w:val="aff4"/>
          <w:rFonts w:hint="cs"/>
          <w:rtl/>
        </w:rPr>
        <w:t>ה</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Ref143159470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מט)</w:t>
      </w:r>
      <w:r w:rsidRPr="00FF7D8F">
        <w:rPr>
          <w:rStyle w:val="aff4"/>
          <w:vanish/>
          <w:rtl/>
        </w:rPr>
        <w:fldChar w:fldCharType="end"/>
      </w:r>
      <w:r w:rsidRPr="00FF7D8F">
        <w:rPr>
          <w:rStyle w:val="aff4"/>
          <w:rFonts w:hint="cs"/>
          <w:vanish/>
          <w:rtl/>
        </w:rPr>
        <w:t xml:space="preserve"> &gt;</w:t>
      </w:r>
      <w:r w:rsidRPr="001A2014">
        <w:rPr>
          <w:rStyle w:val="aff4"/>
          <w:rFonts w:hint="cs"/>
          <w:rtl/>
        </w:rPr>
        <w:t>נודע ביהודה</w:t>
      </w:r>
      <w:r w:rsidRPr="001A2014">
        <w:rPr>
          <w:rStyle w:val="aff4"/>
          <w:rFonts w:hint="cs"/>
          <w:vanish/>
          <w:rtl/>
        </w:rPr>
        <w:t>-</w:t>
      </w:r>
      <w:r>
        <w:rPr>
          <w:rFonts w:hint="cs"/>
          <w:rtl/>
        </w:rPr>
        <w:t xml:space="preserve"> </w:t>
      </w:r>
      <w:r w:rsidRPr="00DB1D3B">
        <w:rPr>
          <w:rStyle w:val="af2"/>
          <w:rFonts w:eastAsia="Guttman Hodes" w:hint="cs"/>
          <w:rtl/>
        </w:rPr>
        <w:t>(מהדו"ת או"ח סי' ל')</w:t>
      </w:r>
      <w:r w:rsidRPr="001A2014">
        <w:rPr>
          <w:rFonts w:hint="cs"/>
          <w:vanish/>
          <w:rtl/>
        </w:rPr>
        <w:t>=</w:t>
      </w:r>
      <w:r>
        <w:rPr>
          <w:rFonts w:hint="cs"/>
          <w:rtl/>
        </w:rPr>
        <w:t xml:space="preserve"> דאדם העושה אוהל על עצמו להגן עליו מפני החמה והגשמים, ונושאו ממקום למקום, חייב משום אוהל, ויש לחשוש בו לאיסור סקילה, עיי"ש במה שהאריך בזה טובא, וכתב </w:t>
      </w:r>
      <w:r w:rsidRPr="001A2014">
        <w:rPr>
          <w:rStyle w:val="aff4"/>
          <w:rFonts w:hint="cs"/>
          <w:vanish/>
          <w:rtl/>
        </w:rPr>
        <w:t>-</w:t>
      </w:r>
      <w:r w:rsidRPr="001A2014">
        <w:rPr>
          <w:rStyle w:val="aff4"/>
          <w:rFonts w:hint="cs"/>
          <w:rtl/>
        </w:rPr>
        <w:t>ה</w:t>
      </w:r>
      <w:r w:rsidRPr="00FF7D8F">
        <w:rPr>
          <w:rStyle w:val="aff4"/>
          <w:rFonts w:hint="cs"/>
          <w:vanish/>
          <w:rtl/>
        </w:rPr>
        <w:t>&lt; &gt;</w:t>
      </w:r>
      <w:r w:rsidRPr="001A2014">
        <w:rPr>
          <w:rStyle w:val="aff4"/>
          <w:rFonts w:hint="cs"/>
          <w:rtl/>
        </w:rPr>
        <w:t>שביתת השבת</w:t>
      </w:r>
      <w:r w:rsidRPr="001A2014">
        <w:rPr>
          <w:rStyle w:val="aff4"/>
          <w:rFonts w:hint="cs"/>
          <w:vanish/>
          <w:rtl/>
        </w:rPr>
        <w:t>-</w:t>
      </w:r>
      <w:r>
        <w:rPr>
          <w:rFonts w:hint="cs"/>
          <w:rtl/>
        </w:rPr>
        <w:t xml:space="preserve"> </w:t>
      </w:r>
      <w:r w:rsidRPr="00DB1D3B">
        <w:rPr>
          <w:rStyle w:val="af2"/>
          <w:rFonts w:eastAsia="Guttman Hodes" w:hint="cs"/>
          <w:rtl/>
        </w:rPr>
        <w:t>(מעשה חושב פתיחה לשבת, ריש דיני מלאכה שאינה לקיום)</w:t>
      </w:r>
      <w:r w:rsidRPr="001A2014">
        <w:rPr>
          <w:rFonts w:hint="cs"/>
          <w:vanish/>
          <w:rtl/>
        </w:rPr>
        <w:t>=</w:t>
      </w:r>
      <w:r>
        <w:rPr>
          <w:rFonts w:hint="cs"/>
          <w:rtl/>
        </w:rPr>
        <w:t xml:space="preserve"> דס"ל </w:t>
      </w:r>
      <w:r w:rsidRPr="001A2014">
        <w:rPr>
          <w:rStyle w:val="aff4"/>
          <w:rFonts w:hint="cs"/>
          <w:vanish/>
          <w:rtl/>
        </w:rPr>
        <w:t>-</w:t>
      </w:r>
      <w:r w:rsidRPr="001A2014">
        <w:rPr>
          <w:rStyle w:val="aff4"/>
          <w:rFonts w:hint="cs"/>
          <w:rtl/>
        </w:rPr>
        <w:t>להנודע ביהודה</w:t>
      </w:r>
      <w:r w:rsidRPr="001A2014">
        <w:rPr>
          <w:rStyle w:val="aff4"/>
          <w:rFonts w:hint="cs"/>
          <w:vanish/>
          <w:rtl/>
        </w:rPr>
        <w:t>-</w:t>
      </w:r>
      <w:r>
        <w:rPr>
          <w:rFonts w:hint="cs"/>
          <w:rtl/>
        </w:rPr>
        <w:t xml:space="preserve"> דקיי"ל כירושלמי דבנין לשעה הוי בנין.</w:t>
      </w:r>
      <w:bookmarkEnd w:id="4792"/>
      <w:r>
        <w:rPr>
          <w:rFonts w:hint="cs"/>
          <w:rtl/>
        </w:rPr>
        <w:t xml:space="preserve"> </w:t>
      </w:r>
    </w:p>
    <w:p w14:paraId="670B192B" w14:textId="77777777" w:rsidR="00376F67" w:rsidRPr="0074694D" w:rsidRDefault="00376F67" w:rsidP="00376F67">
      <w:pPr>
        <w:pStyle w:val="a2"/>
        <w:tabs>
          <w:tab w:val="num" w:pos="284"/>
        </w:tabs>
        <w:rPr>
          <w:rFonts w:ascii="Guttman Hodes" w:hAnsi="Guttman Hodes" w:cs="Guttman Hodes"/>
          <w:vanish w:val="0"/>
          <w:color w:val="000000" w:themeColor="text1"/>
          <w:sz w:val="14"/>
          <w:szCs w:val="14"/>
        </w:rPr>
      </w:pPr>
      <w:r w:rsidRPr="0074694D">
        <w:rPr>
          <w:rtl/>
        </w:rPr>
        <w:t>על דבר נשיאת הפאראסאל /מטריה/ בשבת והוא כלי העשוי להגן בחמה מפני החמה ובגשמים מפני הגשמים והאדם נושאו על ראשו והוא מאהיל על ראשו והוא עשוי שיש לו בית יד וקרסים ולולאות לפתחו ולמותחו ולסגרו כרצונו</w:t>
      </w:r>
      <w:r w:rsidRPr="0074694D">
        <w:rPr>
          <w:rFonts w:hint="cs"/>
          <w:rtl/>
        </w:rPr>
        <w:t>, וכו'.</w:t>
      </w:r>
    </w:p>
    <w:p w14:paraId="2FD16E19" w14:textId="77777777" w:rsidR="00376F67" w:rsidRPr="00954231" w:rsidRDefault="00376F67" w:rsidP="00376F67">
      <w:pPr>
        <w:pStyle w:val="afffff5"/>
        <w:rPr>
          <w:rStyle w:val="afff7"/>
          <w:vanish w:val="0"/>
          <w:rtl/>
        </w:rPr>
      </w:pPr>
      <w:r w:rsidRPr="00954231">
        <w:rPr>
          <w:rtl/>
        </w:rPr>
        <w:t>והנה אמינא ליה איזי שזה איזה שנים שהובא כלי הנ"ל לקהלתנו והורגלו בו רבים ומתוך כך התחילו להקל בו גם בשבת ומחיתי בהם ודרשתי באותו פעם בבה"כ שהוא איסור גמור ואמרתי שאפילו חוששני לאיסור סקילה</w:t>
      </w:r>
      <w:r w:rsidRPr="00954231">
        <w:rPr>
          <w:rStyle w:val="afff7"/>
          <w:rtl/>
        </w:rPr>
        <w:t>.</w:t>
      </w:r>
    </w:p>
    <w:p w14:paraId="10798901" w14:textId="77777777" w:rsidR="00376F67" w:rsidRPr="00954231" w:rsidRDefault="00376F67" w:rsidP="00376F67">
      <w:pPr>
        <w:pStyle w:val="afffff5"/>
        <w:rPr>
          <w:vanish w:val="0"/>
        </w:rPr>
      </w:pPr>
      <w:r w:rsidRPr="00954231">
        <w:rPr>
          <w:rStyle w:val="afff7"/>
          <w:rtl/>
        </w:rPr>
        <w:t xml:space="preserve">לענין מלאכת בנין אם היא דוקא כשעשוי להתקיים או גם אם לפי שעה מלאכה היא, דבר זה במחלוקת שנוי' בתלמוד ופוסקים, דבירושלמי פ' כלל גדול [נב ב] ובפ' הבונה [סח א] אמרו מה בנין היה במשכן שהיו נותנים קרשים ע"ג אדנים, ולא לשעה היתה, א"ר יוסי מכיון שהיו חונים ונוסעים ע"פ הדבור כמו שהוא לעולם, אר"י בר בון מכיון שהבטיחן הקדוש ברוך הוא שהוא מכניסן לארץ כמי שהוא לשעה, הדא אמרה בנין לשעה הוי בנין, זאת אומרת אפי' בנין לשעה הוי בנין וחייבין עליהן, ולכאורה הכי קיי"ל דבנין לשעה הוי בנין, </w:t>
      </w:r>
      <w:r w:rsidRPr="00954231">
        <w:rPr>
          <w:rStyle w:val="afff7"/>
          <w:rFonts w:hint="cs"/>
          <w:rtl/>
        </w:rPr>
        <w:t>וכו'.</w:t>
      </w:r>
      <w:r w:rsidRPr="00954231">
        <w:rPr>
          <w:rtl/>
        </w:rPr>
        <w:t xml:space="preserve"> ונראה שזו היא סברתו של הנו"ב [מהדו"ת סי' ל'] לחייב סקילה בפאראסאל</w:t>
      </w:r>
      <w:r w:rsidRPr="00954231">
        <w:rPr>
          <w:rFonts w:hint="cs"/>
          <w:rtl/>
        </w:rPr>
        <w:t xml:space="preserve"> [מטריה]</w:t>
      </w:r>
      <w:r w:rsidRPr="00954231">
        <w:rPr>
          <w:rtl/>
        </w:rPr>
        <w:t xml:space="preserve"> אף שהוא רק בנין לשעה. וכ"ד הישוע"י סי' שי"ד דקי"ל כהך מ"ד בירושלמי דהוי בנין</w:t>
      </w:r>
      <w:r w:rsidRPr="00954231">
        <w:rPr>
          <w:rFonts w:hint="cs"/>
          <w:rtl/>
        </w:rPr>
        <w:t>.</w:t>
      </w:r>
    </w:p>
    <w:p w14:paraId="2189AFA0" w14:textId="77777777" w:rsidR="00376F67" w:rsidRDefault="00376F67" w:rsidP="00376F67">
      <w:pPr>
        <w:pStyle w:val="afffff7"/>
        <w:rPr>
          <w:rtl/>
        </w:rPr>
      </w:pPr>
      <w:bookmarkStart w:id="4793" w:name="_Toc143767943"/>
      <w:bookmarkStart w:id="4794" w:name="_Toc163506131"/>
      <w:r>
        <w:rPr>
          <w:rtl/>
        </w:rPr>
        <w:t>רש"י שבת קכ"ו ע"א</w:t>
      </w:r>
      <w:r>
        <w:rPr>
          <w:rFonts w:hint="cs"/>
          <w:rtl/>
        </w:rPr>
        <w:t xml:space="preserve"> ד"ה והמונח</w:t>
      </w:r>
      <w:bookmarkEnd w:id="4793"/>
      <w:bookmarkEnd w:id="4794"/>
    </w:p>
    <w:p w14:paraId="3A2352CF" w14:textId="77777777" w:rsidR="00376F67" w:rsidRDefault="00376F67" w:rsidP="00376F67">
      <w:pPr>
        <w:pStyle w:val="afffff7"/>
        <w:rPr>
          <w:rtl/>
        </w:rPr>
      </w:pPr>
      <w:bookmarkStart w:id="4795" w:name="_Toc143767944"/>
      <w:bookmarkStart w:id="4796" w:name="_Toc163506132"/>
      <w:r>
        <w:rPr>
          <w:rtl/>
        </w:rPr>
        <w:t>רש"י עירובין ק"ב ע"א</w:t>
      </w:r>
      <w:r w:rsidRPr="00701099">
        <w:rPr>
          <w:rFonts w:hint="cs"/>
          <w:rtl/>
        </w:rPr>
        <w:t xml:space="preserve"> </w:t>
      </w:r>
      <w:r>
        <w:rPr>
          <w:rFonts w:hint="cs"/>
          <w:rtl/>
        </w:rPr>
        <w:t>ד"ה והמונח</w:t>
      </w:r>
      <w:bookmarkEnd w:id="4795"/>
      <w:bookmarkEnd w:id="4796"/>
    </w:p>
    <w:p w14:paraId="782CA630" w14:textId="77777777" w:rsidR="00376F67" w:rsidRDefault="00376F67" w:rsidP="00376F67">
      <w:pPr>
        <w:pStyle w:val="afffff7"/>
        <w:rPr>
          <w:rtl/>
        </w:rPr>
      </w:pPr>
      <w:bookmarkStart w:id="4797" w:name="_Toc143767945"/>
      <w:bookmarkStart w:id="4798" w:name="_Toc163506133"/>
      <w:r>
        <w:rPr>
          <w:rtl/>
        </w:rPr>
        <w:t>תוספות שבת קכ"ו ע"א</w:t>
      </w:r>
      <w:r w:rsidRPr="0042362B">
        <w:rPr>
          <w:rFonts w:hint="cs"/>
          <w:rtl/>
        </w:rPr>
        <w:t xml:space="preserve"> </w:t>
      </w:r>
      <w:r>
        <w:rPr>
          <w:rFonts w:hint="cs"/>
          <w:rtl/>
        </w:rPr>
        <w:t>ד"ה והמונח</w:t>
      </w:r>
      <w:bookmarkEnd w:id="4797"/>
      <w:bookmarkEnd w:id="4798"/>
    </w:p>
    <w:p w14:paraId="63F07B38" w14:textId="77777777" w:rsidR="00376F67" w:rsidRDefault="00376F67" w:rsidP="00376F67">
      <w:pPr>
        <w:pStyle w:val="afffff7"/>
        <w:rPr>
          <w:rtl/>
        </w:rPr>
      </w:pPr>
      <w:bookmarkStart w:id="4799" w:name="_Toc143767946"/>
      <w:bookmarkStart w:id="4800" w:name="_Toc163506134"/>
      <w:r>
        <w:rPr>
          <w:rtl/>
        </w:rPr>
        <w:t>חדושי הריטב"א עירובין ק"ב ע"א</w:t>
      </w:r>
      <w:r w:rsidRPr="0042362B">
        <w:rPr>
          <w:rFonts w:hint="cs"/>
          <w:rtl/>
        </w:rPr>
        <w:t xml:space="preserve"> </w:t>
      </w:r>
      <w:r>
        <w:rPr>
          <w:rFonts w:hint="cs"/>
          <w:rtl/>
        </w:rPr>
        <w:t>ד"ה והמונח</w:t>
      </w:r>
      <w:bookmarkEnd w:id="4799"/>
      <w:bookmarkEnd w:id="4800"/>
    </w:p>
    <w:p w14:paraId="1BB3EFE2" w14:textId="77777777" w:rsidR="00376F67" w:rsidRDefault="00376F67" w:rsidP="00376F67">
      <w:pPr>
        <w:pStyle w:val="afffff7"/>
      </w:pPr>
      <w:bookmarkStart w:id="4801" w:name="_Toc143767947"/>
      <w:bookmarkStart w:id="4802" w:name="_Toc163506135"/>
      <w:r>
        <w:rPr>
          <w:rFonts w:hint="cs"/>
          <w:rtl/>
        </w:rPr>
        <w:t>שו</w:t>
      </w:r>
      <w:r>
        <w:rPr>
          <w:rFonts w:cs="Guttman Hodes" w:hint="cs"/>
          <w:rtl/>
        </w:rPr>
        <w:t>"</w:t>
      </w:r>
      <w:r>
        <w:rPr>
          <w:rFonts w:hint="cs"/>
          <w:rtl/>
        </w:rPr>
        <w:t>ת עטרת חכמים לבעל הברוך טעם או</w:t>
      </w:r>
      <w:r>
        <w:rPr>
          <w:rFonts w:cs="Guttman Hodes" w:hint="cs"/>
          <w:rtl/>
        </w:rPr>
        <w:t>"</w:t>
      </w:r>
      <w:r>
        <w:rPr>
          <w:rFonts w:hint="cs"/>
          <w:rtl/>
        </w:rPr>
        <w:t>ח סי' ו' ד</w:t>
      </w:r>
      <w:r>
        <w:rPr>
          <w:rFonts w:cs="Guttman Hodes" w:hint="cs"/>
          <w:rtl/>
        </w:rPr>
        <w:t>"</w:t>
      </w:r>
      <w:r>
        <w:rPr>
          <w:rFonts w:hint="cs"/>
          <w:rtl/>
        </w:rPr>
        <w:t>ה ודע דאי'</w:t>
      </w:r>
      <w:bookmarkEnd w:id="4801"/>
      <w:bookmarkEnd w:id="4802"/>
    </w:p>
    <w:p w14:paraId="61067117" w14:textId="77777777" w:rsidR="00376F67" w:rsidRDefault="00376F67" w:rsidP="00376F67">
      <w:pPr>
        <w:pStyle w:val="a7"/>
        <w:rPr>
          <w:rtl/>
        </w:rPr>
      </w:pPr>
      <w:bookmarkStart w:id="4803" w:name="_Toc143767820"/>
      <w:bookmarkStart w:id="4804" w:name="_Toc143770641"/>
      <w:r>
        <w:rPr>
          <w:rFonts w:hint="cs"/>
          <w:rtl/>
        </w:rPr>
        <w:t>בי' הברוך טעם ברש"י לקמן ובעירובין דס"ל דבנין לשעה הוי בנין ודלא כתוס' והריטב"א</w:t>
      </w:r>
      <w:bookmarkEnd w:id="4803"/>
      <w:bookmarkEnd w:id="4804"/>
      <w:r>
        <w:rPr>
          <w:rFonts w:hint="cs"/>
          <w:rtl/>
        </w:rPr>
        <w:t xml:space="preserve"> </w:t>
      </w:r>
    </w:p>
    <w:p w14:paraId="4F2D5DD7" w14:textId="23AD704E" w:rsidR="00376F67" w:rsidRPr="00E5598C" w:rsidRDefault="00376F67" w:rsidP="00BC7DC8">
      <w:pPr>
        <w:pStyle w:val="a3"/>
        <w:rPr>
          <w:rtl/>
        </w:rPr>
      </w:pPr>
      <w:bookmarkStart w:id="4805" w:name="_Ref141869965"/>
      <w:r>
        <w:rPr>
          <w:rFonts w:hint="cs"/>
          <w:rtl/>
        </w:rPr>
        <w:t xml:space="preserve">ועי' בדברי </w:t>
      </w:r>
      <w:r w:rsidRPr="00FF7D8F">
        <w:rPr>
          <w:rFonts w:hint="cs"/>
          <w:vanish/>
          <w:rtl/>
        </w:rPr>
        <w:t xml:space="preserve">&lt;, </w:t>
      </w:r>
      <w:r w:rsidRPr="00FF7D8F">
        <w:rPr>
          <w:vanish/>
          <w:rtl/>
        </w:rPr>
        <w:fldChar w:fldCharType="begin"/>
      </w:r>
      <w:r w:rsidRPr="00FF7D8F">
        <w:rPr>
          <w:vanish/>
          <w:rtl/>
        </w:rPr>
        <w:instrText xml:space="preserve"> </w:instrText>
      </w:r>
      <w:r w:rsidRPr="00FF7D8F">
        <w:rPr>
          <w:rFonts w:hint="cs"/>
          <w:vanish/>
        </w:rPr>
        <w:instrText>REF</w:instrText>
      </w:r>
      <w:r w:rsidRPr="00FF7D8F">
        <w:rPr>
          <w:rFonts w:hint="cs"/>
          <w:vanish/>
          <w:rtl/>
        </w:rPr>
        <w:instrText xml:space="preserve"> _</w:instrText>
      </w:r>
      <w:r w:rsidRPr="00FF7D8F">
        <w:rPr>
          <w:rFonts w:hint="cs"/>
          <w:vanish/>
        </w:rPr>
        <w:instrText>Ref141869965 \r \h</w:instrText>
      </w:r>
      <w:r w:rsidRPr="00FF7D8F">
        <w:rPr>
          <w:vanish/>
          <w:rtl/>
        </w:rPr>
        <w:instrText xml:space="preserve"> </w:instrText>
      </w:r>
      <w:r w:rsidRPr="00FF7D8F">
        <w:rPr>
          <w:vanish/>
          <w:rtl/>
        </w:rPr>
      </w:r>
      <w:r w:rsidRPr="00FF7D8F">
        <w:rPr>
          <w:vanish/>
          <w:rtl/>
        </w:rPr>
        <w:fldChar w:fldCharType="separate"/>
      </w:r>
      <w:r w:rsidR="00D82181">
        <w:rPr>
          <w:vanish/>
          <w:cs/>
        </w:rPr>
        <w:t>‎</w:t>
      </w:r>
      <w:r w:rsidR="00D82181">
        <w:rPr>
          <w:vanish/>
          <w:rtl/>
        </w:rPr>
        <w:t>נ)</w:t>
      </w:r>
      <w:r w:rsidRPr="00FF7D8F">
        <w:rPr>
          <w:vanish/>
          <w:rtl/>
        </w:rPr>
        <w:fldChar w:fldCharType="end"/>
      </w:r>
      <w:r w:rsidRPr="00FF7D8F">
        <w:rPr>
          <w:rFonts w:hint="cs"/>
          <w:vanish/>
          <w:rtl/>
        </w:rPr>
        <w:t xml:space="preserve"> &gt;</w:t>
      </w:r>
      <w:r w:rsidRPr="001A2014">
        <w:rPr>
          <w:rStyle w:val="aff4"/>
          <w:rFonts w:hint="cs"/>
          <w:vanish/>
          <w:rtl/>
        </w:rPr>
        <w:t>-</w:t>
      </w:r>
      <w:r w:rsidRPr="001A2014">
        <w:rPr>
          <w:rStyle w:val="aff4"/>
          <w:rFonts w:hint="cs"/>
          <w:rtl/>
        </w:rPr>
        <w:t>רש"י לקמן</w:t>
      </w:r>
      <w:r w:rsidRPr="001A2014">
        <w:rPr>
          <w:rStyle w:val="aff4"/>
          <w:rFonts w:hint="cs"/>
          <w:vanish/>
          <w:rtl/>
        </w:rPr>
        <w:t>-</w:t>
      </w:r>
      <w:r>
        <w:rPr>
          <w:rFonts w:hint="cs"/>
          <w:rtl/>
        </w:rPr>
        <w:t xml:space="preserve"> </w:t>
      </w:r>
      <w:r w:rsidRPr="00DB1D3B">
        <w:rPr>
          <w:rStyle w:val="af2"/>
          <w:rFonts w:eastAsia="Guttman Hodes" w:hint="cs"/>
          <w:rtl/>
        </w:rPr>
        <w:t>(קכו. ד"ה והמונח)</w:t>
      </w:r>
      <w:r w:rsidRPr="001A2014">
        <w:rPr>
          <w:rFonts w:hint="cs"/>
          <w:vanish/>
          <w:rtl/>
        </w:rPr>
        <w:t>=</w:t>
      </w:r>
      <w:r>
        <w:rPr>
          <w:rFonts w:hint="cs"/>
          <w:rtl/>
        </w:rPr>
        <w:t xml:space="preserve"> </w:t>
      </w:r>
      <w:r w:rsidRPr="001A2014">
        <w:rPr>
          <w:rStyle w:val="aff4"/>
          <w:rFonts w:hint="cs"/>
          <w:vanish/>
          <w:rtl/>
        </w:rPr>
        <w:t>-</w:t>
      </w:r>
      <w:r w:rsidRPr="001A2014">
        <w:rPr>
          <w:rStyle w:val="aff4"/>
          <w:rFonts w:hint="cs"/>
          <w:rtl/>
        </w:rPr>
        <w:t>וב</w:t>
      </w:r>
      <w:r w:rsidRPr="00FF7D8F">
        <w:rPr>
          <w:rStyle w:val="aff4"/>
          <w:rFonts w:hint="cs"/>
          <w:vanish/>
          <w:rtl/>
        </w:rPr>
        <w:t>&lt; &gt;</w:t>
      </w:r>
      <w:r w:rsidRPr="001A2014">
        <w:rPr>
          <w:rStyle w:val="aff4"/>
          <w:rFonts w:hint="cs"/>
          <w:rtl/>
        </w:rPr>
        <w:t>עירובין</w:t>
      </w:r>
      <w:r w:rsidRPr="001A2014">
        <w:rPr>
          <w:rStyle w:val="aff4"/>
          <w:rFonts w:hint="cs"/>
          <w:vanish/>
          <w:rtl/>
        </w:rPr>
        <w:t>-</w:t>
      </w:r>
      <w:r>
        <w:rPr>
          <w:rFonts w:hint="cs"/>
          <w:rtl/>
        </w:rPr>
        <w:t xml:space="preserve"> </w:t>
      </w:r>
      <w:r w:rsidRPr="00DB1D3B">
        <w:rPr>
          <w:rStyle w:val="af2"/>
          <w:rFonts w:eastAsia="Guttman Hodes" w:hint="cs"/>
          <w:rtl/>
        </w:rPr>
        <w:t>(קב. ד"ה והמונח)</w:t>
      </w:r>
      <w:r w:rsidRPr="001A2014">
        <w:rPr>
          <w:rFonts w:hint="cs"/>
          <w:vanish/>
          <w:rtl/>
        </w:rPr>
        <w:t>=</w:t>
      </w:r>
      <w:r>
        <w:rPr>
          <w:rFonts w:hint="cs"/>
          <w:rtl/>
        </w:rPr>
        <w:t xml:space="preserve"> דכתב דהתוקע נגר המונח ע"ג קרקע ואינו קשור, חייב משום בונה, והקשו </w:t>
      </w:r>
      <w:r w:rsidRPr="001A2014">
        <w:rPr>
          <w:rStyle w:val="aff4"/>
          <w:rFonts w:hint="cs"/>
          <w:vanish/>
          <w:rtl/>
        </w:rPr>
        <w:t>-</w:t>
      </w:r>
      <w:r w:rsidRPr="001A2014">
        <w:rPr>
          <w:rStyle w:val="aff4"/>
          <w:rFonts w:hint="cs"/>
          <w:rtl/>
        </w:rPr>
        <w:t>ה</w:t>
      </w:r>
      <w:r w:rsidRPr="00FF7D8F">
        <w:rPr>
          <w:rStyle w:val="aff4"/>
          <w:rFonts w:hint="cs"/>
          <w:vanish/>
          <w:rtl/>
        </w:rPr>
        <w:t>&lt; &gt;</w:t>
      </w:r>
      <w:r w:rsidRPr="001A2014">
        <w:rPr>
          <w:rStyle w:val="aff4"/>
          <w:rFonts w:hint="cs"/>
          <w:rtl/>
        </w:rPr>
        <w:t>תוס' לקמן</w:t>
      </w:r>
      <w:r w:rsidRPr="001A2014">
        <w:rPr>
          <w:rStyle w:val="aff4"/>
          <w:rFonts w:hint="cs"/>
          <w:vanish/>
          <w:rtl/>
        </w:rPr>
        <w:t>-</w:t>
      </w:r>
      <w:r>
        <w:rPr>
          <w:rFonts w:hint="cs"/>
          <w:rtl/>
        </w:rPr>
        <w:t xml:space="preserve"> </w:t>
      </w:r>
      <w:r w:rsidRPr="00DB1D3B">
        <w:rPr>
          <w:rStyle w:val="af2"/>
          <w:rFonts w:eastAsia="Guttman Hodes" w:hint="cs"/>
          <w:rtl/>
        </w:rPr>
        <w:t>(קכו. ד"ה והמונח)</w:t>
      </w:r>
      <w:r w:rsidRPr="001A2014">
        <w:rPr>
          <w:rFonts w:hint="cs"/>
          <w:vanish/>
          <w:rtl/>
        </w:rPr>
        <w:t>=</w:t>
      </w:r>
      <w:r>
        <w:rPr>
          <w:rFonts w:hint="cs"/>
          <w:rtl/>
        </w:rPr>
        <w:t xml:space="preserve"> </w:t>
      </w:r>
      <w:r w:rsidRPr="001A2014">
        <w:rPr>
          <w:rStyle w:val="aff4"/>
          <w:rFonts w:hint="cs"/>
          <w:vanish/>
          <w:rtl/>
        </w:rPr>
        <w:t>-</w:t>
      </w:r>
      <w:r w:rsidRPr="001A2014">
        <w:rPr>
          <w:rStyle w:val="aff4"/>
          <w:rFonts w:hint="cs"/>
          <w:rtl/>
        </w:rPr>
        <w:t>וה</w:t>
      </w:r>
      <w:r w:rsidRPr="00FF7D8F">
        <w:rPr>
          <w:rStyle w:val="aff4"/>
          <w:rFonts w:hint="cs"/>
          <w:vanish/>
          <w:rtl/>
        </w:rPr>
        <w:t>&lt; &gt;</w:t>
      </w:r>
      <w:r w:rsidRPr="001A2014">
        <w:rPr>
          <w:rStyle w:val="aff4"/>
          <w:rFonts w:hint="cs"/>
          <w:rtl/>
        </w:rPr>
        <w:t xml:space="preserve">ריטב"א בעירובין </w:t>
      </w:r>
      <w:r w:rsidRPr="00DB1D3B">
        <w:rPr>
          <w:rStyle w:val="af2"/>
          <w:rFonts w:eastAsia="Guttman Hodes" w:hint="cs"/>
          <w:rtl/>
        </w:rPr>
        <w:t>(קב. ד"ה והמונח)</w:t>
      </w:r>
      <w:r w:rsidRPr="00F60250">
        <w:rPr>
          <w:rFonts w:hint="cs"/>
          <w:vanish/>
          <w:rtl/>
        </w:rPr>
        <w:t>=</w:t>
      </w:r>
      <w:r w:rsidRPr="00C77BEE">
        <w:rPr>
          <w:rFonts w:hint="cs"/>
          <w:rtl/>
        </w:rPr>
        <w:t xml:space="preserve"> דכיון שאינו מבטלו ואין כוונתו לבנין קבוע אי"ז בנין, ועי' בדברי </w:t>
      </w:r>
      <w:r w:rsidRPr="001A2014">
        <w:rPr>
          <w:rStyle w:val="aff4"/>
          <w:rFonts w:hint="cs"/>
          <w:vanish/>
          <w:rtl/>
        </w:rPr>
        <w:t>-</w:t>
      </w:r>
      <w:r w:rsidRPr="00F60250">
        <w:rPr>
          <w:rStyle w:val="aff4"/>
          <w:rFonts w:hint="cs"/>
          <w:rtl/>
        </w:rPr>
        <w:t>ה</w:t>
      </w:r>
      <w:r w:rsidRPr="00FF7D8F">
        <w:rPr>
          <w:rFonts w:hint="cs"/>
          <w:vanish/>
          <w:rtl/>
        </w:rPr>
        <w:t>&lt; &gt;</w:t>
      </w:r>
      <w:r w:rsidRPr="00F60250">
        <w:rPr>
          <w:rStyle w:val="aff4"/>
          <w:rFonts w:hint="cs"/>
          <w:rtl/>
        </w:rPr>
        <w:t>ברוך טעם בשו"ת עטרת חכמים</w:t>
      </w:r>
      <w:r w:rsidRPr="001A2014">
        <w:rPr>
          <w:rStyle w:val="aff4"/>
          <w:rFonts w:hint="cs"/>
          <w:vanish/>
          <w:rtl/>
        </w:rPr>
        <w:t>-</w:t>
      </w:r>
      <w:r w:rsidRPr="001A2014">
        <w:rPr>
          <w:rStyle w:val="aff4"/>
          <w:rFonts w:hint="cs"/>
          <w:rtl/>
        </w:rPr>
        <w:t xml:space="preserve"> </w:t>
      </w:r>
      <w:r w:rsidRPr="00DB1D3B">
        <w:rPr>
          <w:rStyle w:val="af2"/>
          <w:rFonts w:eastAsia="Guttman Hodes" w:hint="cs"/>
          <w:rtl/>
        </w:rPr>
        <w:t>(או"ח סי' ו' ד"ה ודע דאי')</w:t>
      </w:r>
      <w:r w:rsidRPr="00F60250">
        <w:rPr>
          <w:rFonts w:hint="cs"/>
          <w:vanish/>
          <w:rtl/>
        </w:rPr>
        <w:t>=</w:t>
      </w:r>
      <w:r w:rsidRPr="00C77BEE">
        <w:rPr>
          <w:rFonts w:hint="cs"/>
          <w:rtl/>
        </w:rPr>
        <w:t xml:space="preserve"> דכתב על דברי הירושלמי </w:t>
      </w:r>
      <w:r w:rsidRPr="00DB1D3B">
        <w:rPr>
          <w:rStyle w:val="af2"/>
          <w:rFonts w:eastAsia="Guttman Hodes"/>
          <w:rtl/>
        </w:rPr>
        <w:t>(פ"ז ה"ב</w:t>
      </w:r>
      <w:r w:rsidRPr="00DB1D3B">
        <w:rPr>
          <w:rStyle w:val="af2"/>
          <w:rFonts w:eastAsia="Guttman Hodes" w:hint="cs"/>
          <w:rtl/>
        </w:rPr>
        <w:t>, נב:, מהדו' עוז והדר סד.</w:t>
      </w:r>
      <w:r w:rsidRPr="00DB1D3B">
        <w:rPr>
          <w:rStyle w:val="af2"/>
          <w:rFonts w:eastAsia="Guttman Hodes"/>
          <w:rtl/>
        </w:rPr>
        <w:t>)</w:t>
      </w:r>
      <w:r w:rsidRPr="00C77BEE">
        <w:rPr>
          <w:rFonts w:hint="cs"/>
          <w:rtl/>
        </w:rPr>
        <w:t xml:space="preserve"> דבנין לשעה הוי בנין, דכן משמע מדברי </w:t>
      </w:r>
      <w:r w:rsidRPr="001A2014">
        <w:rPr>
          <w:rStyle w:val="aff4"/>
          <w:rFonts w:hint="cs"/>
          <w:vanish/>
          <w:rtl/>
        </w:rPr>
        <w:t>-</w:t>
      </w:r>
      <w:r w:rsidRPr="00F60250">
        <w:rPr>
          <w:rStyle w:val="aff4"/>
          <w:rFonts w:hint="cs"/>
          <w:rtl/>
        </w:rPr>
        <w:t>רש"י בעירובין</w:t>
      </w:r>
      <w:r w:rsidRPr="001A2014">
        <w:rPr>
          <w:rFonts w:hint="cs"/>
          <w:vanish/>
          <w:rtl/>
        </w:rPr>
        <w:t>-</w:t>
      </w:r>
      <w:r>
        <w:rPr>
          <w:rFonts w:hint="cs"/>
          <w:rtl/>
        </w:rPr>
        <w:t xml:space="preserve"> דהוי בנין.</w:t>
      </w:r>
      <w:bookmarkEnd w:id="4805"/>
      <w:r>
        <w:rPr>
          <w:rFonts w:hint="cs"/>
          <w:rtl/>
        </w:rPr>
        <w:t xml:space="preserve"> </w:t>
      </w:r>
    </w:p>
    <w:p w14:paraId="1A75DCD2" w14:textId="77777777" w:rsidR="00376F67" w:rsidRPr="0074694D" w:rsidRDefault="00376F67" w:rsidP="00376F67">
      <w:pPr>
        <w:pStyle w:val="a2"/>
        <w:tabs>
          <w:tab w:val="num" w:pos="284"/>
        </w:tabs>
        <w:rPr>
          <w:vanish w:val="0"/>
        </w:rPr>
      </w:pPr>
      <w:r w:rsidRPr="0074694D">
        <w:rPr>
          <w:rtl/>
        </w:rPr>
        <w:t>והמונח - שאינו קשור כלל, אלא כשהוא שומטו מן החור מניחו על גבי קרקע, הלכך, כשתוקעו בשבת - בונה הוא, ואיסורא דאורייתא הוא, אף במקדש</w:t>
      </w:r>
      <w:r w:rsidRPr="0074694D">
        <w:rPr>
          <w:rFonts w:hint="cs"/>
          <w:rtl/>
        </w:rPr>
        <w:t>.</w:t>
      </w:r>
    </w:p>
    <w:p w14:paraId="36A5245B" w14:textId="77777777" w:rsidR="00376F67" w:rsidRPr="00954231" w:rsidRDefault="00376F67" w:rsidP="00376F67">
      <w:pPr>
        <w:pStyle w:val="afffff5"/>
        <w:rPr>
          <w:vanish w:val="0"/>
        </w:rPr>
      </w:pPr>
      <w:r w:rsidRPr="00954231">
        <w:rPr>
          <w:rtl/>
        </w:rPr>
        <w:t>והמונח - שאינו קשור כלל - הוי בנין ממש, ור' יהודה סבר: לאו בנין ממש הוא, אלא דומה לבנין, ובמקדש לא גזרו שבות.</w:t>
      </w:r>
    </w:p>
    <w:p w14:paraId="78707625" w14:textId="77777777" w:rsidR="00376F67" w:rsidRPr="00954231" w:rsidRDefault="00376F67" w:rsidP="00376F67">
      <w:pPr>
        <w:pStyle w:val="afffff5"/>
        <w:rPr>
          <w:vanish w:val="0"/>
        </w:rPr>
      </w:pPr>
      <w:r w:rsidRPr="00954231">
        <w:rPr>
          <w:rtl/>
        </w:rPr>
        <w:t>והמונח כאן וכאן אסור - פי' רש"י שכשתוקעו בשבת בונה הוא ואיסורא דאורייתא איכא ואינו משמע שיהא בו איסורא דאורייתא כיון שאינו מבטלו שם</w:t>
      </w:r>
      <w:r w:rsidRPr="00954231">
        <w:rPr>
          <w:rFonts w:hint="cs"/>
          <w:rtl/>
        </w:rPr>
        <w:t>.</w:t>
      </w:r>
    </w:p>
    <w:p w14:paraId="0D716766" w14:textId="77777777" w:rsidR="00376F67" w:rsidRPr="00954231" w:rsidRDefault="00376F67" w:rsidP="00376F67">
      <w:pPr>
        <w:pStyle w:val="afffff5"/>
        <w:rPr>
          <w:vanish w:val="0"/>
        </w:rPr>
      </w:pPr>
      <w:r w:rsidRPr="00954231">
        <w:rPr>
          <w:rtl/>
        </w:rPr>
        <w:t>והמונח. כלומר שאינו קשור בדלת. כאן וכאן אסור. פרש"י ז"ל משום דאיסורא דאורייתא דהו"ל בונה ממש [כשאר] נגרים שאדם נועץ בכתלים והבונה כל שהוא חייב, והוצרך רבינו ז"ל לפרש כן משום דאילו סבירא ליה לת"ק דאין כאן איסור תורה הא קיי"ל דאין שבות במקדש, אבל בתוספות אמרו שאינו נראה לפי שאין בנין דאורייתא בדבר שדרכו להסיר כל שעה</w:t>
      </w:r>
      <w:r w:rsidRPr="00954231">
        <w:rPr>
          <w:rFonts w:hint="cs"/>
          <w:rtl/>
        </w:rPr>
        <w:t>.</w:t>
      </w:r>
    </w:p>
    <w:p w14:paraId="52987491" w14:textId="77777777" w:rsidR="00376F67" w:rsidRPr="00954231" w:rsidRDefault="00376F67" w:rsidP="00376F67">
      <w:pPr>
        <w:pStyle w:val="afffff5"/>
        <w:rPr>
          <w:vanish w:val="0"/>
          <w:rtl/>
        </w:rPr>
      </w:pPr>
      <w:r w:rsidRPr="00954231">
        <w:rPr>
          <w:rtl/>
        </w:rPr>
        <w:t>ו</w:t>
      </w:r>
      <w:r w:rsidRPr="00954231">
        <w:rPr>
          <w:rFonts w:hint="cs"/>
          <w:rtl/>
        </w:rPr>
        <w:t>דע</w:t>
      </w:r>
      <w:r w:rsidRPr="00954231">
        <w:rPr>
          <w:rtl/>
        </w:rPr>
        <w:t xml:space="preserve"> דאי' בירושלמי פ"ז על הלכה ב' הדא אמרה בנין לשעה בנין יעו"ש</w:t>
      </w:r>
      <w:r w:rsidRPr="00954231">
        <w:rPr>
          <w:rFonts w:hint="cs"/>
          <w:rtl/>
        </w:rPr>
        <w:t xml:space="preserve">, וכו', </w:t>
      </w:r>
      <w:r w:rsidRPr="00954231">
        <w:rPr>
          <w:rtl/>
        </w:rPr>
        <w:t xml:space="preserve">יעוין בסוגיא דנגר עירובין דף </w:t>
      </w:r>
      <w:r w:rsidRPr="00954231">
        <w:rPr>
          <w:rFonts w:hint="cs"/>
          <w:rtl/>
        </w:rPr>
        <w:t>ק"ב</w:t>
      </w:r>
      <w:r w:rsidRPr="00954231">
        <w:rPr>
          <w:rtl/>
        </w:rPr>
        <w:t xml:space="preserve"> ע"א ברש"י במתני' בד"ה והמונח כו' הוי בנין ממש</w:t>
      </w:r>
      <w:r w:rsidRPr="00954231">
        <w:rPr>
          <w:rFonts w:hint="cs"/>
          <w:rtl/>
        </w:rPr>
        <w:t>,</w:t>
      </w:r>
      <w:r w:rsidRPr="00954231">
        <w:rPr>
          <w:rtl/>
        </w:rPr>
        <w:t xml:space="preserve"> והת</w:t>
      </w:r>
      <w:r w:rsidRPr="00954231">
        <w:rPr>
          <w:rFonts w:hint="cs"/>
          <w:rtl/>
        </w:rPr>
        <w:t xml:space="preserve">ם </w:t>
      </w:r>
      <w:r w:rsidRPr="00954231">
        <w:rPr>
          <w:rtl/>
        </w:rPr>
        <w:t>אינו אלא לשעה</w:t>
      </w:r>
      <w:r w:rsidRPr="00954231">
        <w:rPr>
          <w:rFonts w:hint="cs"/>
          <w:rtl/>
        </w:rPr>
        <w:t>.</w:t>
      </w:r>
    </w:p>
    <w:p w14:paraId="3DBCC793" w14:textId="77777777" w:rsidR="00376F67" w:rsidRDefault="00376F67" w:rsidP="00376F67">
      <w:pPr>
        <w:pStyle w:val="1"/>
        <w:rPr>
          <w:rtl/>
        </w:rPr>
      </w:pPr>
      <w:bookmarkStart w:id="4806" w:name="_Toc143767821"/>
      <w:bookmarkStart w:id="4807" w:name="_Toc143770642"/>
      <w:r>
        <w:rPr>
          <w:rFonts w:hint="cs"/>
          <w:rtl/>
        </w:rPr>
        <w:t>בי' החזו"א דעיקר גדר בונה הוא הקביעות ול"ד לשאר מלאכות</w:t>
      </w:r>
      <w:bookmarkEnd w:id="4806"/>
      <w:bookmarkEnd w:id="4807"/>
    </w:p>
    <w:p w14:paraId="0E4137A2" w14:textId="77777777" w:rsidR="00376F67" w:rsidRDefault="00376F67" w:rsidP="00376F67">
      <w:pPr>
        <w:pStyle w:val="afffff7"/>
        <w:rPr>
          <w:rtl/>
        </w:rPr>
      </w:pPr>
      <w:bookmarkStart w:id="4808" w:name="_Toc143767948"/>
      <w:bookmarkStart w:id="4809" w:name="_Toc163506136"/>
      <w:r>
        <w:rPr>
          <w:rtl/>
        </w:rPr>
        <w:t xml:space="preserve">חזון איש </w:t>
      </w:r>
      <w:r>
        <w:rPr>
          <w:rFonts w:hint="cs"/>
          <w:rtl/>
        </w:rPr>
        <w:t>או"ח סי'</w:t>
      </w:r>
      <w:r>
        <w:rPr>
          <w:rtl/>
        </w:rPr>
        <w:t xml:space="preserve"> ס</w:t>
      </w:r>
      <w:r>
        <w:rPr>
          <w:rFonts w:hint="cs"/>
          <w:rtl/>
        </w:rPr>
        <w:t>"</w:t>
      </w:r>
      <w:r>
        <w:rPr>
          <w:rtl/>
        </w:rPr>
        <w:t>א אות א ד"ה ובאותיות</w:t>
      </w:r>
      <w:bookmarkEnd w:id="4808"/>
      <w:bookmarkEnd w:id="4809"/>
    </w:p>
    <w:p w14:paraId="77000489" w14:textId="77777777" w:rsidR="00376F67" w:rsidRDefault="00376F67" w:rsidP="00376F67">
      <w:pPr>
        <w:pStyle w:val="a7"/>
        <w:rPr>
          <w:rtl/>
        </w:rPr>
      </w:pPr>
      <w:bookmarkStart w:id="4810" w:name="_Toc143767822"/>
      <w:bookmarkStart w:id="4811" w:name="_Toc143770643"/>
      <w:r>
        <w:rPr>
          <w:rFonts w:hint="cs"/>
          <w:rtl/>
        </w:rPr>
        <w:t>בי' החזו"א דעיקר גדר בונה הוא הקביעות במלאכה דהמבטל אבן הוי בונה ובלא ביטל ל"ה בונה</w:t>
      </w:r>
      <w:bookmarkEnd w:id="4810"/>
      <w:bookmarkEnd w:id="4811"/>
    </w:p>
    <w:p w14:paraId="56BAEEEF" w14:textId="3528CF9A" w:rsidR="00376F67" w:rsidRDefault="00376F67" w:rsidP="00BC7DC8">
      <w:pPr>
        <w:pStyle w:val="a3"/>
        <w:rPr>
          <w:rtl/>
        </w:rPr>
      </w:pPr>
      <w:bookmarkStart w:id="4812" w:name="_Ref143419852"/>
      <w:r>
        <w:rPr>
          <w:rFonts w:hint="cs"/>
          <w:rtl/>
        </w:rPr>
        <w:t xml:space="preserve">כתב </w:t>
      </w:r>
      <w:r w:rsidRPr="00A73271">
        <w:rPr>
          <w:rStyle w:val="aff4"/>
          <w:rFonts w:hint="cs"/>
          <w:vanish/>
          <w:rtl/>
        </w:rPr>
        <w:t>-</w:t>
      </w:r>
      <w:r w:rsidRPr="00C56FA9">
        <w:rPr>
          <w:rStyle w:val="aff4"/>
          <w:rFonts w:hint="cs"/>
          <w:rtl/>
        </w:rPr>
        <w:t>ה</w:t>
      </w:r>
      <w:r w:rsidRPr="00A73271">
        <w:rPr>
          <w:rStyle w:val="aff4"/>
          <w:rFonts w:hint="cs"/>
          <w:vanish/>
          <w:rtl/>
        </w:rPr>
        <w:t xml:space="preserve">&lt;, </w:t>
      </w:r>
      <w:r w:rsidRPr="00A73271">
        <w:rPr>
          <w:rStyle w:val="aff4"/>
          <w:vanish/>
          <w:rtl/>
        </w:rPr>
        <w:fldChar w:fldCharType="begin"/>
      </w:r>
      <w:r w:rsidRPr="00A73271">
        <w:rPr>
          <w:rStyle w:val="aff4"/>
          <w:vanish/>
          <w:rtl/>
        </w:rPr>
        <w:instrText xml:space="preserve"> </w:instrText>
      </w:r>
      <w:r w:rsidRPr="00A73271">
        <w:rPr>
          <w:rStyle w:val="aff4"/>
          <w:rFonts w:hint="cs"/>
          <w:vanish/>
        </w:rPr>
        <w:instrText>REF</w:instrText>
      </w:r>
      <w:r w:rsidRPr="00A73271">
        <w:rPr>
          <w:rStyle w:val="aff4"/>
          <w:rFonts w:hint="cs"/>
          <w:vanish/>
          <w:rtl/>
        </w:rPr>
        <w:instrText xml:space="preserve"> _</w:instrText>
      </w:r>
      <w:r w:rsidRPr="00A73271">
        <w:rPr>
          <w:rStyle w:val="aff4"/>
          <w:rFonts w:hint="cs"/>
          <w:vanish/>
        </w:rPr>
        <w:instrText>Ref143419852 \r \h</w:instrText>
      </w:r>
      <w:r w:rsidRPr="00A73271">
        <w:rPr>
          <w:rStyle w:val="aff4"/>
          <w:vanish/>
          <w:rtl/>
        </w:rPr>
        <w:instrText xml:space="preserve"> </w:instrText>
      </w:r>
      <w:r w:rsidRPr="00A73271">
        <w:rPr>
          <w:rStyle w:val="aff4"/>
          <w:vanish/>
          <w:rtl/>
        </w:rPr>
      </w:r>
      <w:r w:rsidRPr="00A73271">
        <w:rPr>
          <w:rStyle w:val="aff4"/>
          <w:vanish/>
          <w:rtl/>
        </w:rPr>
        <w:fldChar w:fldCharType="separate"/>
      </w:r>
      <w:r w:rsidR="00D82181">
        <w:rPr>
          <w:rStyle w:val="aff4"/>
          <w:vanish/>
          <w:cs/>
        </w:rPr>
        <w:t>‎</w:t>
      </w:r>
      <w:r w:rsidR="00D82181">
        <w:rPr>
          <w:rStyle w:val="aff4"/>
          <w:vanish/>
          <w:rtl/>
        </w:rPr>
        <w:t>נא)</w:t>
      </w:r>
      <w:r w:rsidRPr="00A73271">
        <w:rPr>
          <w:rStyle w:val="aff4"/>
          <w:vanish/>
          <w:rtl/>
        </w:rPr>
        <w:fldChar w:fldCharType="end"/>
      </w:r>
      <w:r w:rsidRPr="00A73271">
        <w:rPr>
          <w:rStyle w:val="aff4"/>
          <w:rFonts w:hint="cs"/>
          <w:vanish/>
          <w:rtl/>
        </w:rPr>
        <w:t xml:space="preserve"> &gt;</w:t>
      </w:r>
      <w:r w:rsidRPr="00C56FA9">
        <w:rPr>
          <w:rStyle w:val="aff4"/>
          <w:rFonts w:hint="cs"/>
          <w:rtl/>
        </w:rPr>
        <w:t>חזו"א</w:t>
      </w:r>
      <w:r w:rsidRPr="00A73271">
        <w:rPr>
          <w:rStyle w:val="aff4"/>
          <w:rFonts w:hint="cs"/>
          <w:vanish/>
          <w:rtl/>
        </w:rPr>
        <w:t>-</w:t>
      </w:r>
      <w:r>
        <w:rPr>
          <w:rFonts w:hint="cs"/>
          <w:rtl/>
        </w:rPr>
        <w:t xml:space="preserve"> </w:t>
      </w:r>
      <w:r w:rsidRPr="00A73271">
        <w:rPr>
          <w:rStyle w:val="af2"/>
          <w:rFonts w:eastAsia="Guttman Hodes" w:hint="cs"/>
          <w:rtl/>
        </w:rPr>
        <w:t>(סי' ס"א ס"ק א' ד"ה ובאותיות)</w:t>
      </w:r>
      <w:r w:rsidRPr="00A73271">
        <w:rPr>
          <w:rFonts w:hint="cs"/>
          <w:vanish/>
          <w:rtl/>
        </w:rPr>
        <w:t>=</w:t>
      </w:r>
      <w:r>
        <w:rPr>
          <w:rFonts w:hint="cs"/>
          <w:rtl/>
        </w:rPr>
        <w:t xml:space="preserve"> דהכותב ע"מ למחוק הוי כותב וחייב, אעפ"י דאינו עושה מעשה קבוע, דמלאכת כותב לא דמי לבנין דעיקר שם בונה הוא בקביעות, דהא המניח אבן ולא מבטל אותה אי"ז בונה כלל, ואם מבטלה חייב משום בונה כדאיתא בסוגיין, משא"כ במלאכת כותב דאין עיקר המלאכה הקביעות שלה, ולכן אף כותב ע"מ למחוק הוי כותב.</w:t>
      </w:r>
      <w:bookmarkEnd w:id="4812"/>
    </w:p>
    <w:p w14:paraId="5C6D27B5" w14:textId="77777777" w:rsidR="00376F67" w:rsidRPr="0074694D" w:rsidRDefault="00376F67" w:rsidP="00376F67">
      <w:pPr>
        <w:pStyle w:val="a2"/>
        <w:tabs>
          <w:tab w:val="num" w:pos="284"/>
        </w:tabs>
        <w:rPr>
          <w:vanish w:val="0"/>
          <w:rtl/>
        </w:rPr>
      </w:pPr>
      <w:r w:rsidRPr="0074694D">
        <w:rPr>
          <w:rStyle w:val="afff7"/>
          <w:rtl/>
        </w:rPr>
        <w:t>ובאותיות הכתובות על חודי הדפים, שדנו אחרונים ז"ל אי מותר לפתחו בשבת, וכתבו להתיר דהוי כדלת העשוי לפתוח ולנעול,</w:t>
      </w:r>
      <w:r w:rsidRPr="0074694D">
        <w:rPr>
          <w:rFonts w:hint="cs"/>
          <w:rtl/>
        </w:rPr>
        <w:t xml:space="preserve"> </w:t>
      </w:r>
      <w:r w:rsidRPr="0074694D">
        <w:rPr>
          <w:rtl/>
        </w:rPr>
        <w:t>נראה דלא דמי לבנין דהתם עיקר שם בנין הוא קביעות והמניח אבן ואין מבטלו לאו כלום הוא ואם מבטלו חייב משום בונה כדאמר ק"ב ב' אבל כותב ע"מ למחקו הוי כותב, אלא נראה כונתם דלא מקרי כותב על דבר המתקיים. והלכך אם כתב על חודי הדפים פטור</w:t>
      </w:r>
      <w:r w:rsidRPr="0074694D">
        <w:rPr>
          <w:rFonts w:hint="cs"/>
          <w:rtl/>
        </w:rPr>
        <w:t>.</w:t>
      </w:r>
    </w:p>
    <w:p w14:paraId="62991F45" w14:textId="77777777" w:rsidR="00376F67" w:rsidRDefault="00376F67" w:rsidP="00376F67">
      <w:pPr>
        <w:pStyle w:val="affff5"/>
        <w:rPr>
          <w:rtl/>
        </w:rPr>
      </w:pPr>
      <w:bookmarkStart w:id="4813" w:name="_Toc143767823"/>
      <w:bookmarkStart w:id="4814" w:name="_Toc143770644"/>
      <w:r w:rsidRPr="00716C93">
        <w:rPr>
          <w:rFonts w:hint="cs"/>
          <w:rtl/>
        </w:rPr>
        <w:t>~~~~~~~~~~~~~~~~~~~~~~~~~~~~</w:t>
      </w:r>
      <w:bookmarkEnd w:id="4813"/>
      <w:bookmarkEnd w:id="4814"/>
      <w:r w:rsidRPr="0001175D">
        <w:rPr>
          <w:vanish/>
          <w:rtl/>
        </w:rPr>
        <w:t>&lt; # =</w:t>
      </w:r>
    </w:p>
    <w:p w14:paraId="27519613" w14:textId="77777777" w:rsidR="00376F67" w:rsidRDefault="00376F67" w:rsidP="00376F67">
      <w:pPr>
        <w:pStyle w:val="affff5"/>
        <w:rPr>
          <w:rtl/>
        </w:rPr>
      </w:pPr>
      <w:bookmarkStart w:id="4815" w:name="_Toc143767824"/>
      <w:bookmarkStart w:id="4816" w:name="_Toc143770645"/>
      <w:r>
        <w:rPr>
          <w:rFonts w:hint="cs"/>
          <w:rtl/>
        </w:rPr>
        <w:t>בי' הראשונים מהי מלאכה המתקיימת</w:t>
      </w:r>
      <w:bookmarkEnd w:id="4815"/>
      <w:bookmarkEnd w:id="4816"/>
      <w:r w:rsidRPr="0001175D">
        <w:rPr>
          <w:vanish/>
          <w:rtl/>
        </w:rPr>
        <w:t>&lt; # =</w:t>
      </w:r>
    </w:p>
    <w:p w14:paraId="7FF721FA" w14:textId="77777777" w:rsidR="00376F67" w:rsidRPr="00224A5A" w:rsidRDefault="00376F67" w:rsidP="00376F67">
      <w:pPr>
        <w:pStyle w:val="1"/>
        <w:rPr>
          <w:rtl/>
        </w:rPr>
      </w:pPr>
      <w:bookmarkStart w:id="4817" w:name="_Toc143767825"/>
      <w:bookmarkStart w:id="4818" w:name="_Toc143770646"/>
      <w:r w:rsidRPr="00224A5A">
        <w:rPr>
          <w:rFonts w:hint="cs"/>
          <w:rtl/>
        </w:rPr>
        <w:t xml:space="preserve">בי' </w:t>
      </w:r>
      <w:r>
        <w:rPr>
          <w:rFonts w:hint="cs"/>
          <w:rtl/>
        </w:rPr>
        <w:t>רש"י דמתקיימת היינו שא"צ להוסיף ויש שמקיימין כן</w:t>
      </w:r>
      <w:bookmarkEnd w:id="4817"/>
      <w:bookmarkEnd w:id="4818"/>
    </w:p>
    <w:p w14:paraId="46DF742C" w14:textId="77777777" w:rsidR="00376F67" w:rsidRDefault="00376F67" w:rsidP="00376F67">
      <w:pPr>
        <w:pStyle w:val="afffff7"/>
        <w:rPr>
          <w:rtl/>
        </w:rPr>
      </w:pPr>
      <w:bookmarkStart w:id="4819" w:name="_Toc143767949"/>
      <w:bookmarkStart w:id="4820" w:name="_Toc163506137"/>
      <w:r>
        <w:rPr>
          <w:rtl/>
        </w:rPr>
        <w:t>רש"י שבת ק"ב ע"ב</w:t>
      </w:r>
      <w:r>
        <w:rPr>
          <w:rFonts w:hint="cs"/>
          <w:rtl/>
        </w:rPr>
        <w:t xml:space="preserve"> ד</w:t>
      </w:r>
      <w:r>
        <w:rPr>
          <w:rFonts w:cs="Guttman Hodes" w:hint="cs"/>
          <w:rtl/>
        </w:rPr>
        <w:t>"</w:t>
      </w:r>
      <w:r>
        <w:rPr>
          <w:rFonts w:hint="cs"/>
          <w:rtl/>
        </w:rPr>
        <w:t>ה כל</w:t>
      </w:r>
      <w:bookmarkEnd w:id="4819"/>
      <w:bookmarkEnd w:id="4820"/>
    </w:p>
    <w:p w14:paraId="05789BAC" w14:textId="77777777" w:rsidR="00376F67" w:rsidRDefault="00376F67" w:rsidP="00376F67">
      <w:pPr>
        <w:pStyle w:val="afffff7"/>
        <w:rPr>
          <w:rtl/>
        </w:rPr>
      </w:pPr>
      <w:bookmarkStart w:id="4821" w:name="_Toc143767950"/>
      <w:bookmarkStart w:id="4822" w:name="_Ref141178184"/>
      <w:bookmarkStart w:id="4823" w:name="_Toc163506138"/>
      <w:r>
        <w:rPr>
          <w:rtl/>
        </w:rPr>
        <w:t xml:space="preserve">ר"ן </w:t>
      </w:r>
      <w:r>
        <w:rPr>
          <w:rFonts w:hint="cs"/>
          <w:rtl/>
        </w:rPr>
        <w:t xml:space="preserve">- </w:t>
      </w:r>
      <w:r>
        <w:rPr>
          <w:rtl/>
        </w:rPr>
        <w:t>על הרי"ף שבת ל"ז ע"א</w:t>
      </w:r>
      <w:bookmarkEnd w:id="4821"/>
      <w:bookmarkEnd w:id="4823"/>
    </w:p>
    <w:p w14:paraId="7EF8C73C" w14:textId="77777777" w:rsidR="00376F67" w:rsidRDefault="00376F67" w:rsidP="00376F67">
      <w:pPr>
        <w:pStyle w:val="afffff7"/>
        <w:rPr>
          <w:rtl/>
        </w:rPr>
      </w:pPr>
      <w:bookmarkStart w:id="4824" w:name="_Toc143767951"/>
      <w:bookmarkStart w:id="4825" w:name="_Toc163506139"/>
      <w:r>
        <w:rPr>
          <w:rtl/>
        </w:rPr>
        <w:t>מאירי שבת ק"ב ע"ב</w:t>
      </w:r>
      <w:r>
        <w:rPr>
          <w:rFonts w:hint="cs"/>
          <w:rtl/>
        </w:rPr>
        <w:t xml:space="preserve"> ד"ה זה</w:t>
      </w:r>
      <w:bookmarkEnd w:id="4824"/>
      <w:bookmarkEnd w:id="4825"/>
    </w:p>
    <w:p w14:paraId="29003A04" w14:textId="77777777" w:rsidR="00376F67" w:rsidRDefault="00376F67" w:rsidP="00376F67">
      <w:pPr>
        <w:pStyle w:val="a7"/>
      </w:pPr>
      <w:bookmarkStart w:id="4826" w:name="_Toc143767826"/>
      <w:bookmarkStart w:id="4827" w:name="_Toc143770647"/>
      <w:r>
        <w:rPr>
          <w:rFonts w:hint="cs"/>
          <w:rtl/>
        </w:rPr>
        <w:t>בי' רש"י דמלאכה המתקיימת היינו מלאכה שא"צ להוסיף עליה והעושה מלאכה כזו בשבת חייב</w:t>
      </w:r>
      <w:bookmarkEnd w:id="4826"/>
      <w:bookmarkEnd w:id="4827"/>
    </w:p>
    <w:p w14:paraId="08BE709E" w14:textId="07BCE7EC" w:rsidR="00376F67" w:rsidRPr="00A8178A" w:rsidRDefault="00376F67" w:rsidP="00BC7DC8">
      <w:pPr>
        <w:pStyle w:val="a3"/>
        <w:rPr>
          <w:rtl/>
        </w:rPr>
      </w:pPr>
      <w:bookmarkStart w:id="4828" w:name="_Ref143598888"/>
      <w:r>
        <w:rPr>
          <w:rFonts w:hint="cs"/>
          <w:rtl/>
        </w:rPr>
        <w:t xml:space="preserve">בהא דתנן דהחיוב הוא כל שמלאכתו מתקיימת בשבת, ביאר </w:t>
      </w:r>
      <w:r>
        <w:rPr>
          <w:rFonts w:hint="cs"/>
          <w:vanish/>
          <w:rtl/>
        </w:rPr>
        <w:t xml:space="preserve">&lt;, </w:t>
      </w:r>
      <w:r>
        <w:rPr>
          <w:vanish/>
          <w:rtl/>
        </w:rPr>
        <w:fldChar w:fldCharType="begin"/>
      </w:r>
      <w:r>
        <w:rPr>
          <w:vanish/>
          <w:rtl/>
        </w:rPr>
        <w:instrText xml:space="preserve"> </w:instrText>
      </w:r>
      <w:r>
        <w:rPr>
          <w:rFonts w:hint="cs"/>
          <w:vanish/>
        </w:rPr>
        <w:instrText>REF</w:instrText>
      </w:r>
      <w:r>
        <w:rPr>
          <w:rFonts w:hint="cs"/>
          <w:vanish/>
          <w:rtl/>
        </w:rPr>
        <w:instrText xml:space="preserve"> _</w:instrText>
      </w:r>
      <w:r>
        <w:rPr>
          <w:rFonts w:hint="cs"/>
          <w:vanish/>
        </w:rPr>
        <w:instrText>Ref143598888 \r \h</w:instrText>
      </w:r>
      <w:r>
        <w:rPr>
          <w:vanish/>
          <w:rtl/>
        </w:rPr>
        <w:instrText xml:space="preserve"> </w:instrText>
      </w:r>
      <w:r>
        <w:rPr>
          <w:vanish/>
          <w:rtl/>
        </w:rPr>
      </w:r>
      <w:r>
        <w:rPr>
          <w:vanish/>
          <w:rtl/>
        </w:rPr>
        <w:fldChar w:fldCharType="separate"/>
      </w:r>
      <w:r w:rsidR="00D82181">
        <w:rPr>
          <w:vanish/>
          <w:cs/>
        </w:rPr>
        <w:t>‎</w:t>
      </w:r>
      <w:r w:rsidR="00D82181">
        <w:rPr>
          <w:vanish/>
          <w:rtl/>
        </w:rPr>
        <w:t>נב)</w:t>
      </w:r>
      <w:r>
        <w:rPr>
          <w:vanish/>
          <w:rtl/>
        </w:rPr>
        <w:fldChar w:fldCharType="end"/>
      </w:r>
      <w:r>
        <w:rPr>
          <w:rFonts w:hint="cs"/>
          <w:vanish/>
          <w:rtl/>
        </w:rPr>
        <w:t xml:space="preserve"> &gt;</w:t>
      </w:r>
      <w:r w:rsidRPr="001A2014">
        <w:rPr>
          <w:rStyle w:val="aff4"/>
          <w:rFonts w:hint="cs"/>
          <w:vanish/>
          <w:rtl/>
        </w:rPr>
        <w:t>-</w:t>
      </w:r>
      <w:r w:rsidRPr="001A2014">
        <w:rPr>
          <w:rStyle w:val="aff4"/>
          <w:rFonts w:hint="cs"/>
          <w:rtl/>
        </w:rPr>
        <w:t>רש"י</w:t>
      </w:r>
      <w:r w:rsidRPr="001A2014">
        <w:rPr>
          <w:rStyle w:val="aff4"/>
          <w:rFonts w:hint="cs"/>
          <w:vanish/>
          <w:rtl/>
        </w:rPr>
        <w:t>-</w:t>
      </w:r>
      <w:r w:rsidRPr="004F5826">
        <w:rPr>
          <w:rFonts w:hint="cs"/>
          <w:rtl/>
        </w:rPr>
        <w:t xml:space="preserve"> </w:t>
      </w:r>
      <w:r w:rsidRPr="00DB1D3B">
        <w:rPr>
          <w:rStyle w:val="af2"/>
          <w:rFonts w:eastAsia="Guttman Hodes" w:hint="cs"/>
          <w:rtl/>
        </w:rPr>
        <w:t>(ד"ה כל, ד"ה בשבת)</w:t>
      </w:r>
      <w:r w:rsidRPr="001A2014">
        <w:rPr>
          <w:rFonts w:hint="cs"/>
          <w:vanish/>
          <w:rtl/>
        </w:rPr>
        <w:t>=</w:t>
      </w:r>
      <w:r w:rsidRPr="004F5826">
        <w:rPr>
          <w:rFonts w:hint="cs"/>
          <w:rtl/>
        </w:rPr>
        <w:t xml:space="preserve"> דהיינו שיש מלאכה כיו"ב שמתקיימת וא"צ להוסיף עליה</w:t>
      </w:r>
      <w:r>
        <w:rPr>
          <w:rFonts w:hint="cs"/>
          <w:rtl/>
        </w:rPr>
        <w:t>, וכל שעשה מלאכה כזו בשבת חייב</w:t>
      </w:r>
      <w:r w:rsidRPr="005F6D91">
        <w:rPr>
          <w:rFonts w:hint="cs"/>
          <w:rtl/>
        </w:rPr>
        <w:t xml:space="preserve"> </w:t>
      </w:r>
      <w:bookmarkStart w:id="4829" w:name="_Hlk141871749"/>
      <w:r>
        <w:rPr>
          <w:rFonts w:hint="cs"/>
          <w:rtl/>
        </w:rPr>
        <w:t>דהא דתנן "בשבת" קאי על העושה מלאכה</w:t>
      </w:r>
      <w:bookmarkEnd w:id="4829"/>
      <w:r>
        <w:rPr>
          <w:rFonts w:hint="cs"/>
          <w:rtl/>
        </w:rPr>
        <w:t xml:space="preserve">, וכ"כ </w:t>
      </w:r>
      <w:r w:rsidRPr="001A2014">
        <w:rPr>
          <w:rStyle w:val="aff4"/>
          <w:rFonts w:hint="cs"/>
          <w:vanish/>
          <w:rtl/>
        </w:rPr>
        <w:t>-</w:t>
      </w:r>
      <w:r w:rsidRPr="001A2014">
        <w:rPr>
          <w:rStyle w:val="aff4"/>
          <w:rFonts w:hint="cs"/>
          <w:rtl/>
        </w:rPr>
        <w:t>ה</w:t>
      </w:r>
      <w:r>
        <w:rPr>
          <w:rStyle w:val="aff4"/>
          <w:rFonts w:hint="cs"/>
          <w:vanish/>
          <w:rtl/>
        </w:rPr>
        <w:t>&lt; &gt;</w:t>
      </w:r>
      <w:r w:rsidRPr="001A2014">
        <w:rPr>
          <w:rStyle w:val="aff4"/>
          <w:rFonts w:hint="cs"/>
          <w:rtl/>
        </w:rPr>
        <w:t>ר"ן על הרי"ף</w:t>
      </w:r>
      <w:r w:rsidRPr="001A2014">
        <w:rPr>
          <w:rStyle w:val="aff4"/>
          <w:rFonts w:hint="cs"/>
          <w:vanish/>
          <w:rtl/>
        </w:rPr>
        <w:t>-</w:t>
      </w:r>
      <w:r>
        <w:rPr>
          <w:rFonts w:hint="cs"/>
          <w:rtl/>
        </w:rPr>
        <w:t xml:space="preserve"> </w:t>
      </w:r>
      <w:r w:rsidRPr="00DB1D3B">
        <w:rPr>
          <w:rStyle w:val="af2"/>
          <w:rFonts w:eastAsia="Guttman Hodes" w:hint="cs"/>
          <w:rtl/>
        </w:rPr>
        <w:t>(לז. מדה"ר ד"ה כל)</w:t>
      </w:r>
      <w:r w:rsidRPr="001A2014">
        <w:rPr>
          <w:rFonts w:hint="cs"/>
          <w:vanish/>
          <w:rtl/>
        </w:rPr>
        <w:t>=</w:t>
      </w:r>
      <w:r>
        <w:rPr>
          <w:rFonts w:hint="cs"/>
          <w:rtl/>
        </w:rPr>
        <w:t xml:space="preserve"> </w:t>
      </w:r>
      <w:r w:rsidRPr="001A2014">
        <w:rPr>
          <w:rStyle w:val="aff4"/>
          <w:rFonts w:hint="cs"/>
          <w:vanish/>
          <w:rtl/>
        </w:rPr>
        <w:t>-</w:t>
      </w:r>
      <w:r w:rsidRPr="001A2014">
        <w:rPr>
          <w:rStyle w:val="aff4"/>
          <w:rFonts w:hint="cs"/>
          <w:rtl/>
        </w:rPr>
        <w:t>וה</w:t>
      </w:r>
      <w:r w:rsidRPr="00FF7D8F">
        <w:rPr>
          <w:rStyle w:val="aff4"/>
          <w:rFonts w:hint="cs"/>
          <w:vanish/>
          <w:rtl/>
        </w:rPr>
        <w:t>&lt; &gt;</w:t>
      </w:r>
      <w:r w:rsidRPr="001A2014">
        <w:rPr>
          <w:rStyle w:val="aff4"/>
          <w:rFonts w:hint="cs"/>
          <w:rtl/>
        </w:rPr>
        <w:t>מאירי</w:t>
      </w:r>
      <w:r w:rsidRPr="001A2014">
        <w:rPr>
          <w:rStyle w:val="aff4"/>
          <w:rFonts w:hint="cs"/>
          <w:vanish/>
          <w:rtl/>
        </w:rPr>
        <w:t>-</w:t>
      </w:r>
      <w:r>
        <w:rPr>
          <w:rFonts w:hint="cs"/>
          <w:rtl/>
        </w:rPr>
        <w:t xml:space="preserve"> </w:t>
      </w:r>
      <w:r w:rsidRPr="00DB1D3B">
        <w:rPr>
          <w:rStyle w:val="af2"/>
          <w:rFonts w:eastAsia="Guttman Hodes" w:hint="cs"/>
          <w:rtl/>
        </w:rPr>
        <w:t>(ד"ה זה)</w:t>
      </w:r>
      <w:r w:rsidRPr="001A2014">
        <w:rPr>
          <w:rFonts w:hint="cs"/>
          <w:vanish/>
          <w:rtl/>
        </w:rPr>
        <w:t>=</w:t>
      </w:r>
      <w:r>
        <w:rPr>
          <w:rFonts w:hint="cs"/>
          <w:rtl/>
        </w:rPr>
        <w:t xml:space="preserve"> דמלאכה שיש כאלו שמקיימין דבר כיו"ב ואינם מוסיפים עליה חשיב מלאכתו מתקיימת, וכל שעשה כן בשבת חייב, </w:t>
      </w:r>
      <w:r>
        <w:rPr>
          <w:rFonts w:hint="cs"/>
          <w:rtl/>
        </w:rPr>
        <w:lastRenderedPageBreak/>
        <w:t xml:space="preserve">דהא דתנן "בשבת" קאי על העושה מלאכה, ועי' במה שביאר </w:t>
      </w:r>
      <w:r w:rsidRPr="001A2014">
        <w:rPr>
          <w:rStyle w:val="aff4"/>
          <w:rFonts w:hint="cs"/>
          <w:vanish/>
          <w:rtl/>
        </w:rPr>
        <w:t>-</w:t>
      </w:r>
      <w:r w:rsidRPr="001A2014">
        <w:rPr>
          <w:rStyle w:val="aff4"/>
          <w:rFonts w:hint="cs"/>
          <w:rtl/>
        </w:rPr>
        <w:t>ב</w:t>
      </w:r>
      <w:r w:rsidRPr="00FF7D8F">
        <w:rPr>
          <w:rStyle w:val="aff4"/>
          <w:rFonts w:hint="cs"/>
          <w:vanish/>
          <w:rtl/>
        </w:rPr>
        <w:t>&lt; &gt;</w:t>
      </w:r>
      <w:r w:rsidRPr="001A2014">
        <w:rPr>
          <w:rStyle w:val="aff4"/>
          <w:rtl/>
        </w:rPr>
        <w:t>חידושי רבינו משה קזיס</w:t>
      </w:r>
      <w:r w:rsidRPr="001A2014">
        <w:rPr>
          <w:rStyle w:val="aff4"/>
          <w:rFonts w:hint="cs"/>
          <w:vanish/>
          <w:rtl/>
        </w:rPr>
        <w:t>-</w:t>
      </w:r>
      <w:r>
        <w:rPr>
          <w:rFonts w:hint="cs"/>
          <w:rtl/>
        </w:rPr>
        <w:t xml:space="preserve"> </w:t>
      </w:r>
      <w:r w:rsidRPr="00DB1D3B">
        <w:rPr>
          <w:rStyle w:val="af2"/>
          <w:rFonts w:eastAsia="Guttman Hodes" w:hint="cs"/>
          <w:rtl/>
        </w:rPr>
        <w:t xml:space="preserve">(עי' אות </w:t>
      </w:r>
      <w:r w:rsidRPr="00DB1D3B">
        <w:rPr>
          <w:rStyle w:val="af2"/>
          <w:rFonts w:eastAsia="Guttman Hodes"/>
          <w:rtl/>
        </w:rPr>
        <w:fldChar w:fldCharType="begin"/>
      </w:r>
      <w:r w:rsidRPr="00DB1D3B">
        <w:rPr>
          <w:rStyle w:val="af2"/>
          <w:rFonts w:eastAsia="Guttman Hodes"/>
          <w:rtl/>
        </w:rPr>
        <w:instrText xml:space="preserve"> </w:instrText>
      </w:r>
      <w:r w:rsidRPr="00DB1D3B">
        <w:rPr>
          <w:rStyle w:val="af2"/>
          <w:rFonts w:eastAsia="Guttman Hodes" w:hint="cs"/>
        </w:rPr>
        <w:instrText>REF</w:instrText>
      </w:r>
      <w:r w:rsidRPr="00DB1D3B">
        <w:rPr>
          <w:rStyle w:val="af2"/>
          <w:rFonts w:eastAsia="Guttman Hodes" w:hint="cs"/>
          <w:rtl/>
        </w:rPr>
        <w:instrText xml:space="preserve"> _</w:instrText>
      </w:r>
      <w:r w:rsidRPr="00DB1D3B">
        <w:rPr>
          <w:rStyle w:val="af2"/>
          <w:rFonts w:eastAsia="Guttman Hodes" w:hint="cs"/>
        </w:rPr>
        <w:instrText>Ref142818503 \r \h</w:instrText>
      </w:r>
      <w:r w:rsidRPr="00DB1D3B">
        <w:rPr>
          <w:rStyle w:val="af2"/>
          <w:rFonts w:eastAsia="Guttman Hodes"/>
          <w:rtl/>
        </w:rPr>
        <w:instrText xml:space="preserve"> </w:instrText>
      </w:r>
      <w:r w:rsidRPr="00DB1D3B">
        <w:rPr>
          <w:rStyle w:val="af2"/>
          <w:rFonts w:eastAsia="Guttman Hodes"/>
          <w:rtl/>
        </w:rPr>
      </w:r>
      <w:r w:rsidRPr="00DB1D3B">
        <w:rPr>
          <w:rStyle w:val="af2"/>
          <w:rFonts w:eastAsia="Guttman Hodes"/>
          <w:rtl/>
        </w:rPr>
        <w:fldChar w:fldCharType="separate"/>
      </w:r>
      <w:r w:rsidR="00D82181">
        <w:rPr>
          <w:rStyle w:val="af2"/>
          <w:rFonts w:eastAsia="Guttman Hodes"/>
          <w:cs/>
        </w:rPr>
        <w:t>‎</w:t>
      </w:r>
      <w:r w:rsidR="00D82181">
        <w:rPr>
          <w:rStyle w:val="af2"/>
          <w:rFonts w:eastAsia="Guttman Hodes"/>
          <w:rtl/>
        </w:rPr>
        <w:t>נו)</w:t>
      </w:r>
      <w:r w:rsidRPr="00DB1D3B">
        <w:rPr>
          <w:rStyle w:val="af2"/>
          <w:rFonts w:eastAsia="Guttman Hodes"/>
          <w:rtl/>
        </w:rPr>
        <w:fldChar w:fldCharType="end"/>
      </w:r>
      <w:r w:rsidRPr="001A2014">
        <w:rPr>
          <w:rFonts w:hint="cs"/>
          <w:vanish/>
          <w:rtl/>
        </w:rPr>
        <w:t>=</w:t>
      </w:r>
      <w:r>
        <w:rPr>
          <w:rFonts w:hint="cs"/>
          <w:rtl/>
        </w:rPr>
        <w:t xml:space="preserve"> בדברי </w:t>
      </w:r>
      <w:r w:rsidRPr="001A2014">
        <w:rPr>
          <w:rStyle w:val="aff4"/>
          <w:rFonts w:hint="cs"/>
          <w:vanish/>
          <w:rtl/>
        </w:rPr>
        <w:t>-</w:t>
      </w:r>
      <w:r w:rsidRPr="001A2014">
        <w:rPr>
          <w:rStyle w:val="aff4"/>
          <w:rFonts w:hint="cs"/>
          <w:rtl/>
        </w:rPr>
        <w:t>רש"י</w:t>
      </w:r>
      <w:r w:rsidRPr="001A2014">
        <w:rPr>
          <w:rStyle w:val="aff4"/>
          <w:rFonts w:hint="cs"/>
          <w:vanish/>
          <w:rtl/>
        </w:rPr>
        <w:t>-</w:t>
      </w:r>
      <w:r w:rsidRPr="004F5826">
        <w:rPr>
          <w:rFonts w:hint="cs"/>
          <w:rtl/>
        </w:rPr>
        <w:t>.</w:t>
      </w:r>
      <w:bookmarkEnd w:id="4822"/>
      <w:bookmarkEnd w:id="4828"/>
    </w:p>
    <w:p w14:paraId="0CF3039E" w14:textId="77777777" w:rsidR="00376F67" w:rsidRPr="0074694D" w:rsidRDefault="00376F67" w:rsidP="00376F67">
      <w:pPr>
        <w:pStyle w:val="a2"/>
        <w:tabs>
          <w:tab w:val="num" w:pos="284"/>
        </w:tabs>
        <w:rPr>
          <w:vanish w:val="0"/>
          <w:rtl/>
        </w:rPr>
      </w:pPr>
      <w:r w:rsidRPr="0074694D">
        <w:rPr>
          <w:rtl/>
        </w:rPr>
        <w:t>כל העושה מלאכה ומלאכתו מתקיימת - שיש מתקיימת כיוצא בו, [ואין מוסיף עליה].</w:t>
      </w:r>
    </w:p>
    <w:p w14:paraId="61DE69F0" w14:textId="77777777" w:rsidR="00376F67" w:rsidRPr="00954231" w:rsidRDefault="00376F67" w:rsidP="00376F67">
      <w:pPr>
        <w:pStyle w:val="afffff5"/>
        <w:rPr>
          <w:vanish w:val="0"/>
          <w:rtl/>
        </w:rPr>
      </w:pPr>
      <w:r w:rsidRPr="00954231">
        <w:rPr>
          <w:rtl/>
        </w:rPr>
        <w:t>בשבת - אעושה מלאכה קאי.</w:t>
      </w:r>
    </w:p>
    <w:p w14:paraId="2C92F61A" w14:textId="77777777" w:rsidR="00376F67" w:rsidRPr="00954231" w:rsidRDefault="00376F67" w:rsidP="00376F67">
      <w:pPr>
        <w:pStyle w:val="afffff5"/>
        <w:rPr>
          <w:vanish w:val="0"/>
          <w:rtl/>
        </w:rPr>
      </w:pPr>
      <w:r w:rsidRPr="00954231">
        <w:rPr>
          <w:rtl/>
        </w:rPr>
        <w:t>כל העושה מלאכה ומלאכתו מתקיימת. שיש מקיימין כיוצא בו ואין מוסיפין עליו:</w:t>
      </w:r>
    </w:p>
    <w:p w14:paraId="1CF81C17" w14:textId="77777777" w:rsidR="00376F67" w:rsidRPr="00954231" w:rsidRDefault="00376F67" w:rsidP="00376F67">
      <w:pPr>
        <w:pStyle w:val="afffff5"/>
        <w:rPr>
          <w:vanish w:val="0"/>
          <w:rtl/>
        </w:rPr>
      </w:pPr>
      <w:r w:rsidRPr="00954231">
        <w:rPr>
          <w:rtl/>
        </w:rPr>
        <w:t>בשבת. אהעושה מלאכה קאי כל העושה מלאכה בשבת והיא מתקיימת:</w:t>
      </w:r>
    </w:p>
    <w:p w14:paraId="755A4D42" w14:textId="77777777" w:rsidR="00376F67" w:rsidRPr="00954231" w:rsidRDefault="00376F67" w:rsidP="00376F67">
      <w:pPr>
        <w:pStyle w:val="afffff5"/>
        <w:rPr>
          <w:vanish w:val="0"/>
          <w:rtl/>
        </w:rPr>
      </w:pPr>
      <w:r w:rsidRPr="00954231">
        <w:rPr>
          <w:rtl/>
        </w:rPr>
        <w:t>זה הכלל כל העושה מלאכה ומלאכתו מתקיימת ר"ל שאדם עושה כיוצא בה ומקיימה בלא תוספת אם עשה כיוצא בה בשבת חייב</w:t>
      </w:r>
      <w:r w:rsidRPr="00954231">
        <w:rPr>
          <w:rFonts w:hint="cs"/>
          <w:rtl/>
        </w:rPr>
        <w:t>.</w:t>
      </w:r>
    </w:p>
    <w:p w14:paraId="2452D1F1" w14:textId="77777777" w:rsidR="00376F67" w:rsidRDefault="00376F67" w:rsidP="00376F67">
      <w:pPr>
        <w:pStyle w:val="afffff7"/>
        <w:rPr>
          <w:rtl/>
        </w:rPr>
      </w:pPr>
      <w:bookmarkStart w:id="4830" w:name="_Toc143767952"/>
      <w:bookmarkStart w:id="4831" w:name="_Toc163506140"/>
      <w:r>
        <w:rPr>
          <w:rtl/>
        </w:rPr>
        <w:t>רש"י שבת ק"ג ע"א</w:t>
      </w:r>
      <w:r w:rsidRPr="00710658">
        <w:rPr>
          <w:rtl/>
        </w:rPr>
        <w:t xml:space="preserve"> ד"ה דחק</w:t>
      </w:r>
      <w:bookmarkEnd w:id="4830"/>
      <w:bookmarkEnd w:id="4831"/>
    </w:p>
    <w:p w14:paraId="184CD2DC" w14:textId="77777777" w:rsidR="00376F67" w:rsidRDefault="00376F67" w:rsidP="00376F67">
      <w:pPr>
        <w:pStyle w:val="a7"/>
        <w:rPr>
          <w:rtl/>
        </w:rPr>
      </w:pPr>
      <w:bookmarkStart w:id="4832" w:name="_Toc143767827"/>
      <w:bookmarkStart w:id="4833" w:name="_Toc143770648"/>
      <w:r>
        <w:rPr>
          <w:rFonts w:hint="cs"/>
          <w:rtl/>
        </w:rPr>
        <w:t>בי' רש"י דהכלל אתי לאתויי חק קפיזא דאף דדעתו להוסיף הוי מלאכה כיון דיש שמקיימין כן</w:t>
      </w:r>
      <w:bookmarkEnd w:id="4832"/>
      <w:bookmarkEnd w:id="4833"/>
    </w:p>
    <w:p w14:paraId="56420043" w14:textId="0157D082" w:rsidR="00376F67" w:rsidRPr="00710658" w:rsidRDefault="00376F67" w:rsidP="00BC7DC8">
      <w:pPr>
        <w:pStyle w:val="a3"/>
        <w:rPr>
          <w:rtl/>
        </w:rPr>
      </w:pPr>
      <w:bookmarkStart w:id="4834" w:name="_Ref141179172"/>
      <w:r>
        <w:rPr>
          <w:rFonts w:hint="cs"/>
          <w:rtl/>
        </w:rPr>
        <w:t xml:space="preserve">ובהא דאמרינן </w:t>
      </w:r>
      <w:r w:rsidRPr="00DB1D3B">
        <w:rPr>
          <w:rStyle w:val="af2"/>
          <w:rFonts w:eastAsia="Guttman Hodes" w:hint="cs"/>
          <w:rtl/>
        </w:rPr>
        <w:t>(קג.)</w:t>
      </w:r>
      <w:r>
        <w:rPr>
          <w:rFonts w:hint="cs"/>
          <w:rtl/>
        </w:rPr>
        <w:t xml:space="preserve"> דהכלל דמלאכתו מתקיימת לאתויי חק קפיזא בקבא, ביאר </w:t>
      </w:r>
      <w:r w:rsidRPr="00FF7D8F">
        <w:rPr>
          <w:rFonts w:hint="cs"/>
          <w:vanish/>
          <w:rtl/>
        </w:rPr>
        <w:t xml:space="preserve">&lt;, </w:t>
      </w:r>
      <w:r w:rsidRPr="00FF7D8F">
        <w:rPr>
          <w:vanish/>
          <w:rtl/>
        </w:rPr>
        <w:fldChar w:fldCharType="begin"/>
      </w:r>
      <w:r w:rsidRPr="00FF7D8F">
        <w:rPr>
          <w:vanish/>
          <w:rtl/>
        </w:rPr>
        <w:instrText xml:space="preserve"> </w:instrText>
      </w:r>
      <w:r w:rsidRPr="00FF7D8F">
        <w:rPr>
          <w:rFonts w:hint="cs"/>
          <w:vanish/>
        </w:rPr>
        <w:instrText>REF</w:instrText>
      </w:r>
      <w:r w:rsidRPr="00FF7D8F">
        <w:rPr>
          <w:rFonts w:hint="cs"/>
          <w:vanish/>
          <w:rtl/>
        </w:rPr>
        <w:instrText xml:space="preserve"> _</w:instrText>
      </w:r>
      <w:r w:rsidRPr="00FF7D8F">
        <w:rPr>
          <w:rFonts w:hint="cs"/>
          <w:vanish/>
        </w:rPr>
        <w:instrText>Ref141179172 \r \h</w:instrText>
      </w:r>
      <w:r w:rsidRPr="00FF7D8F">
        <w:rPr>
          <w:vanish/>
          <w:rtl/>
        </w:rPr>
        <w:instrText xml:space="preserve"> </w:instrText>
      </w:r>
      <w:r w:rsidRPr="00FF7D8F">
        <w:rPr>
          <w:vanish/>
          <w:rtl/>
        </w:rPr>
      </w:r>
      <w:r w:rsidRPr="00FF7D8F">
        <w:rPr>
          <w:vanish/>
          <w:rtl/>
        </w:rPr>
        <w:fldChar w:fldCharType="separate"/>
      </w:r>
      <w:r w:rsidR="00D82181">
        <w:rPr>
          <w:vanish/>
          <w:cs/>
        </w:rPr>
        <w:t>‎</w:t>
      </w:r>
      <w:r w:rsidR="00D82181">
        <w:rPr>
          <w:vanish/>
          <w:rtl/>
        </w:rPr>
        <w:t>נג)</w:t>
      </w:r>
      <w:r w:rsidRPr="00FF7D8F">
        <w:rPr>
          <w:vanish/>
          <w:rtl/>
        </w:rPr>
        <w:fldChar w:fldCharType="end"/>
      </w:r>
      <w:r w:rsidRPr="00FF7D8F">
        <w:rPr>
          <w:rFonts w:hint="cs"/>
          <w:vanish/>
          <w:rtl/>
        </w:rPr>
        <w:t xml:space="preserve"> &gt;</w:t>
      </w:r>
      <w:r w:rsidRPr="001A2014">
        <w:rPr>
          <w:rStyle w:val="aff4"/>
          <w:rFonts w:hint="cs"/>
          <w:vanish/>
          <w:rtl/>
        </w:rPr>
        <w:t>-</w:t>
      </w:r>
      <w:r w:rsidRPr="001A2014">
        <w:rPr>
          <w:rStyle w:val="aff4"/>
          <w:rFonts w:hint="cs"/>
          <w:rtl/>
        </w:rPr>
        <w:t>רש"י</w:t>
      </w:r>
      <w:r w:rsidRPr="001A2014">
        <w:rPr>
          <w:rStyle w:val="aff4"/>
          <w:rFonts w:hint="cs"/>
          <w:vanish/>
          <w:rtl/>
        </w:rPr>
        <w:t>-</w:t>
      </w:r>
      <w:r>
        <w:rPr>
          <w:rFonts w:hint="cs"/>
          <w:rtl/>
        </w:rPr>
        <w:t xml:space="preserve"> </w:t>
      </w:r>
      <w:r w:rsidRPr="00DB1D3B">
        <w:rPr>
          <w:rStyle w:val="af2"/>
          <w:rFonts w:eastAsia="Guttman Hodes" w:hint="cs"/>
          <w:rtl/>
        </w:rPr>
        <w:t>(קג. ד"ה דחק)</w:t>
      </w:r>
      <w:r w:rsidRPr="001A2014">
        <w:rPr>
          <w:rFonts w:hint="cs"/>
          <w:vanish/>
          <w:rtl/>
        </w:rPr>
        <w:t>=</w:t>
      </w:r>
      <w:r>
        <w:rPr>
          <w:rFonts w:hint="cs"/>
          <w:rtl/>
        </w:rPr>
        <w:t xml:space="preserve"> דהחוקק</w:t>
      </w:r>
      <w:bookmarkEnd w:id="4834"/>
      <w:r>
        <w:rPr>
          <w:rFonts w:hint="cs"/>
          <w:rtl/>
        </w:rPr>
        <w:t xml:space="preserve"> ג' לוגין בתוך גולם שראוי לחקוק בו קב שלם, דאף שכוונתו להוסיף ולחקוק בו, מ"מ חייב כיון שיש שמקיימין כן.</w:t>
      </w:r>
    </w:p>
    <w:p w14:paraId="3D10E8FA" w14:textId="77777777" w:rsidR="00376F67" w:rsidRPr="0074694D" w:rsidRDefault="00376F67" w:rsidP="00376F67">
      <w:pPr>
        <w:pStyle w:val="a2"/>
        <w:tabs>
          <w:tab w:val="num" w:pos="284"/>
        </w:tabs>
        <w:rPr>
          <w:vanish w:val="0"/>
          <w:rtl/>
        </w:rPr>
      </w:pPr>
      <w:r w:rsidRPr="0074694D">
        <w:rPr>
          <w:rtl/>
        </w:rPr>
        <w:t>דחק קפיזא בקבא - בגולם גדול הראוי לחוק בו קב, חקק שלש לוגין, ואף על פי שעתיד להוסיף - יש שמקיימין כן.</w:t>
      </w:r>
    </w:p>
    <w:p w14:paraId="4CC6821B" w14:textId="77777777" w:rsidR="00376F67" w:rsidRPr="00D367F3" w:rsidRDefault="00376F67" w:rsidP="00376F67">
      <w:pPr>
        <w:pStyle w:val="afffff7"/>
        <w:rPr>
          <w:rtl/>
        </w:rPr>
      </w:pPr>
      <w:bookmarkStart w:id="4835" w:name="_Toc143767953"/>
      <w:bookmarkStart w:id="4836" w:name="_Toc163506141"/>
      <w:r w:rsidRPr="00D367F3">
        <w:rPr>
          <w:rtl/>
        </w:rPr>
        <w:t>רש"י שבת ק"ב ע"ב</w:t>
      </w:r>
      <w:r w:rsidRPr="00D367F3">
        <w:rPr>
          <w:rFonts w:hint="cs"/>
          <w:rtl/>
        </w:rPr>
        <w:t xml:space="preserve"> ד"ה </w:t>
      </w:r>
      <w:r>
        <w:rPr>
          <w:rFonts w:hint="cs"/>
          <w:rtl/>
        </w:rPr>
        <w:t>המצדד</w:t>
      </w:r>
      <w:bookmarkEnd w:id="4835"/>
      <w:bookmarkEnd w:id="4836"/>
    </w:p>
    <w:p w14:paraId="767A23FE" w14:textId="77777777" w:rsidR="00376F67" w:rsidRDefault="00376F67" w:rsidP="00376F67">
      <w:pPr>
        <w:pStyle w:val="afffff7"/>
        <w:rPr>
          <w:rtl/>
        </w:rPr>
      </w:pPr>
      <w:bookmarkStart w:id="4837" w:name="_Toc143767954"/>
      <w:bookmarkStart w:id="4838" w:name="_Toc163506142"/>
      <w:r>
        <w:rPr>
          <w:rtl/>
        </w:rPr>
        <w:t>רש"י שבת ק"ג ע"א</w:t>
      </w:r>
      <w:r>
        <w:rPr>
          <w:rFonts w:hint="cs"/>
          <w:rtl/>
        </w:rPr>
        <w:t xml:space="preserve"> ד"ה מצינו שם קטן</w:t>
      </w:r>
      <w:bookmarkEnd w:id="4837"/>
      <w:bookmarkEnd w:id="4838"/>
    </w:p>
    <w:p w14:paraId="46C3AD7A" w14:textId="77777777" w:rsidR="00376F67" w:rsidRDefault="00376F67" w:rsidP="00376F67">
      <w:pPr>
        <w:pStyle w:val="afffff7"/>
        <w:rPr>
          <w:rtl/>
        </w:rPr>
      </w:pPr>
      <w:bookmarkStart w:id="4839" w:name="_Toc143767955"/>
      <w:bookmarkStart w:id="4840" w:name="_Toc163506143"/>
      <w:r>
        <w:rPr>
          <w:rtl/>
        </w:rPr>
        <w:t>רש"י שבת ק"ג ע"ב</w:t>
      </w:r>
      <w:r>
        <w:rPr>
          <w:rFonts w:hint="cs"/>
          <w:rtl/>
        </w:rPr>
        <w:t xml:space="preserve"> ד"ה שם משמעון</w:t>
      </w:r>
      <w:bookmarkEnd w:id="4839"/>
      <w:bookmarkEnd w:id="4840"/>
    </w:p>
    <w:p w14:paraId="5BE2F1DE" w14:textId="77777777" w:rsidR="00376F67" w:rsidRDefault="00376F67" w:rsidP="00376F67">
      <w:pPr>
        <w:pStyle w:val="afffff7"/>
        <w:rPr>
          <w:rtl/>
        </w:rPr>
      </w:pPr>
      <w:bookmarkStart w:id="4841" w:name="_Toc143767956"/>
      <w:bookmarkStart w:id="4842" w:name="_Toc163506144"/>
      <w:r>
        <w:rPr>
          <w:rtl/>
        </w:rPr>
        <w:t>רש"י שבת ע"ד ע"ב</w:t>
      </w:r>
      <w:r>
        <w:rPr>
          <w:rFonts w:hint="cs"/>
          <w:rtl/>
        </w:rPr>
        <w:t xml:space="preserve"> ד"ה והא</w:t>
      </w:r>
      <w:bookmarkEnd w:id="4841"/>
      <w:bookmarkEnd w:id="4842"/>
    </w:p>
    <w:p w14:paraId="2C65B59B" w14:textId="77777777" w:rsidR="00376F67" w:rsidRDefault="00376F67" w:rsidP="00376F67">
      <w:pPr>
        <w:pStyle w:val="a7"/>
        <w:rPr>
          <w:rtl/>
        </w:rPr>
      </w:pPr>
      <w:bookmarkStart w:id="4843" w:name="_Toc143767828"/>
      <w:bookmarkStart w:id="4844" w:name="_Toc143770649"/>
      <w:r>
        <w:rPr>
          <w:rFonts w:hint="cs"/>
          <w:rtl/>
        </w:rPr>
        <w:t>בי' רש"י דכל מלאכה שיש מקיימין כן חייב אף כשלא גמרה אבל אינה מתקיימת ל"ה מלאכה</w:t>
      </w:r>
      <w:bookmarkEnd w:id="4843"/>
      <w:bookmarkEnd w:id="4844"/>
    </w:p>
    <w:p w14:paraId="54F4BA9F" w14:textId="7A2352EC" w:rsidR="00376F67" w:rsidRPr="00AB00B7" w:rsidRDefault="00376F67" w:rsidP="00BC7DC8">
      <w:pPr>
        <w:pStyle w:val="a3"/>
        <w:rPr>
          <w:rtl/>
        </w:rPr>
      </w:pPr>
      <w:bookmarkStart w:id="4845" w:name="_Ref142816105"/>
      <w:r>
        <w:rPr>
          <w:rFonts w:hint="cs"/>
          <w:rtl/>
        </w:rPr>
        <w:t xml:space="preserve">ולענין חיוב מצדד, כתב </w:t>
      </w:r>
      <w:r>
        <w:rPr>
          <w:rFonts w:hint="cs"/>
          <w:vanish/>
          <w:rtl/>
        </w:rPr>
        <w:t xml:space="preserve">&lt;, </w:t>
      </w:r>
      <w:r>
        <w:rPr>
          <w:vanish/>
          <w:rtl/>
        </w:rPr>
        <w:fldChar w:fldCharType="begin"/>
      </w:r>
      <w:r>
        <w:rPr>
          <w:vanish/>
          <w:rtl/>
        </w:rPr>
        <w:instrText xml:space="preserve"> </w:instrText>
      </w:r>
      <w:r>
        <w:rPr>
          <w:rFonts w:hint="cs"/>
          <w:vanish/>
        </w:rPr>
        <w:instrText>REF</w:instrText>
      </w:r>
      <w:r>
        <w:rPr>
          <w:rFonts w:hint="cs"/>
          <w:vanish/>
          <w:rtl/>
        </w:rPr>
        <w:instrText xml:space="preserve"> _</w:instrText>
      </w:r>
      <w:r>
        <w:rPr>
          <w:rFonts w:hint="cs"/>
          <w:vanish/>
        </w:rPr>
        <w:instrText>Ref142816105 \r \h</w:instrText>
      </w:r>
      <w:r>
        <w:rPr>
          <w:vanish/>
          <w:rtl/>
        </w:rPr>
        <w:instrText xml:space="preserve"> </w:instrText>
      </w:r>
      <w:r>
        <w:rPr>
          <w:vanish/>
          <w:rtl/>
        </w:rPr>
      </w:r>
      <w:r>
        <w:rPr>
          <w:vanish/>
          <w:rtl/>
        </w:rPr>
        <w:fldChar w:fldCharType="separate"/>
      </w:r>
      <w:r w:rsidR="00D82181">
        <w:rPr>
          <w:vanish/>
          <w:cs/>
        </w:rPr>
        <w:t>‎</w:t>
      </w:r>
      <w:r w:rsidR="00D82181">
        <w:rPr>
          <w:vanish/>
          <w:rtl/>
        </w:rPr>
        <w:t>נד)</w:t>
      </w:r>
      <w:r>
        <w:rPr>
          <w:vanish/>
          <w:rtl/>
        </w:rPr>
        <w:fldChar w:fldCharType="end"/>
      </w:r>
      <w:r>
        <w:rPr>
          <w:rFonts w:hint="cs"/>
          <w:vanish/>
          <w:rtl/>
        </w:rPr>
        <w:t xml:space="preserve"> &gt;</w:t>
      </w:r>
      <w:r w:rsidRPr="001A2014">
        <w:rPr>
          <w:rStyle w:val="aff4"/>
          <w:rFonts w:hint="cs"/>
          <w:vanish/>
          <w:rtl/>
        </w:rPr>
        <w:t>-</w:t>
      </w:r>
      <w:r w:rsidRPr="001A2014">
        <w:rPr>
          <w:rStyle w:val="aff4"/>
          <w:rFonts w:hint="cs"/>
          <w:rtl/>
        </w:rPr>
        <w:t>רש"</w:t>
      </w:r>
      <w:r w:rsidRPr="00DB1D3B">
        <w:rPr>
          <w:rStyle w:val="aff4"/>
          <w:rFonts w:hint="cs"/>
          <w:rtl/>
        </w:rPr>
        <w:t>י</w:t>
      </w:r>
      <w:r w:rsidRPr="001B1FAC">
        <w:rPr>
          <w:rStyle w:val="aff4"/>
          <w:rFonts w:hint="cs"/>
          <w:vanish/>
          <w:rtl/>
        </w:rPr>
        <w:t>-</w:t>
      </w:r>
      <w:r>
        <w:rPr>
          <w:rFonts w:hint="cs"/>
          <w:rtl/>
        </w:rPr>
        <w:t xml:space="preserve"> </w:t>
      </w:r>
      <w:r w:rsidRPr="00DB1D3B">
        <w:rPr>
          <w:rStyle w:val="af2"/>
          <w:rFonts w:eastAsia="Guttman Hodes" w:hint="cs"/>
          <w:rtl/>
        </w:rPr>
        <w:t>(ד"ה המצדד)</w:t>
      </w:r>
      <w:r w:rsidRPr="001B1FAC">
        <w:rPr>
          <w:rFonts w:hint="cs"/>
          <w:vanish/>
          <w:rtl/>
        </w:rPr>
        <w:t>=</w:t>
      </w:r>
      <w:r>
        <w:rPr>
          <w:rFonts w:hint="cs"/>
          <w:rtl/>
        </w:rPr>
        <w:t xml:space="preserve"> דבמושיבה יפה ביסוד הבנין חייב אף כשלא נתן טיט, כיון שיש שמקיימין כן בלא טיט, ובהא דתנן לקמן </w:t>
      </w:r>
      <w:r w:rsidRPr="00DB1D3B">
        <w:rPr>
          <w:rStyle w:val="af2"/>
          <w:rFonts w:eastAsia="Guttman Hodes" w:hint="cs"/>
          <w:rtl/>
        </w:rPr>
        <w:t>(קג.)</w:t>
      </w:r>
      <w:r>
        <w:rPr>
          <w:rFonts w:hint="cs"/>
          <w:rtl/>
        </w:rPr>
        <w:t xml:space="preserve"> דהכותב שם משמעון חייב, כתב </w:t>
      </w:r>
      <w:r>
        <w:rPr>
          <w:rFonts w:hint="cs"/>
          <w:vanish/>
          <w:rtl/>
        </w:rPr>
        <w:t>&lt; &gt;</w:t>
      </w:r>
      <w:r w:rsidRPr="007E0EB8">
        <w:rPr>
          <w:rStyle w:val="aff4"/>
          <w:rFonts w:hint="cs"/>
          <w:vanish/>
          <w:rtl/>
        </w:rPr>
        <w:t>-</w:t>
      </w:r>
      <w:r w:rsidRPr="004E4BA0">
        <w:rPr>
          <w:rStyle w:val="aff4"/>
          <w:rFonts w:hint="cs"/>
          <w:rtl/>
        </w:rPr>
        <w:t>רש"י לקמן</w:t>
      </w:r>
      <w:r w:rsidRPr="007E0EB8">
        <w:rPr>
          <w:rStyle w:val="aff4"/>
          <w:rFonts w:hint="cs"/>
          <w:vanish/>
          <w:rtl/>
        </w:rPr>
        <w:t>-</w:t>
      </w:r>
      <w:r>
        <w:rPr>
          <w:rFonts w:hint="cs"/>
          <w:rtl/>
        </w:rPr>
        <w:t xml:space="preserve"> </w:t>
      </w:r>
      <w:r w:rsidRPr="00DB1D3B">
        <w:rPr>
          <w:rStyle w:val="af2"/>
          <w:rFonts w:eastAsia="Guttman Hodes" w:hint="cs"/>
          <w:rtl/>
        </w:rPr>
        <w:t>(קג: ד"ה מצינו שם קטן)</w:t>
      </w:r>
      <w:r w:rsidRPr="007E0EB8">
        <w:rPr>
          <w:rFonts w:hint="cs"/>
          <w:vanish/>
          <w:rtl/>
        </w:rPr>
        <w:t>=</w:t>
      </w:r>
      <w:r>
        <w:rPr>
          <w:rFonts w:hint="cs"/>
          <w:rtl/>
        </w:rPr>
        <w:t xml:space="preserve"> דאף שלא גמר את כל המלאכה וכוונתו הייתה לכתוב תיבה גדולה וכתב תיבה קטנה חייב, כיון דאותו מקצת המלאכה הוא מלאכה שמתקיימת במקום אחר, והוסיף </w:t>
      </w:r>
      <w:r w:rsidRPr="00FF7D8F">
        <w:rPr>
          <w:rFonts w:hint="cs"/>
          <w:vanish/>
          <w:rtl/>
        </w:rPr>
        <w:t>&lt; &gt;</w:t>
      </w:r>
      <w:r w:rsidRPr="007E0EB8">
        <w:rPr>
          <w:rStyle w:val="aff4"/>
          <w:rFonts w:hint="cs"/>
          <w:vanish/>
          <w:rtl/>
        </w:rPr>
        <w:t>-</w:t>
      </w:r>
      <w:r w:rsidRPr="004E4BA0">
        <w:rPr>
          <w:rStyle w:val="aff4"/>
          <w:rFonts w:hint="cs"/>
          <w:rtl/>
        </w:rPr>
        <w:t>רש"י לקמן</w:t>
      </w:r>
      <w:r w:rsidRPr="007E0EB8">
        <w:rPr>
          <w:rStyle w:val="aff4"/>
          <w:rFonts w:hint="cs"/>
          <w:vanish/>
          <w:rtl/>
        </w:rPr>
        <w:t>-</w:t>
      </w:r>
      <w:r>
        <w:rPr>
          <w:rFonts w:hint="cs"/>
          <w:rtl/>
        </w:rPr>
        <w:t xml:space="preserve"> </w:t>
      </w:r>
      <w:r w:rsidRPr="00DB1D3B">
        <w:rPr>
          <w:rStyle w:val="af2"/>
          <w:rFonts w:eastAsia="Guttman Hodes" w:hint="cs"/>
          <w:rtl/>
        </w:rPr>
        <w:t>(קג: ד"ה שם משמעון)</w:t>
      </w:r>
      <w:r w:rsidRPr="007E0EB8">
        <w:rPr>
          <w:rFonts w:hint="cs"/>
          <w:vanish/>
          <w:rtl/>
        </w:rPr>
        <w:t>=</w:t>
      </w:r>
      <w:r>
        <w:rPr>
          <w:rFonts w:hint="cs"/>
          <w:rtl/>
        </w:rPr>
        <w:t xml:space="preserve"> דכמו דחייב בשם משמעון, ה"ה באורג ב' חוטין בבגד וב' בתים בנפה דחייב, דחשיב מלאכה שיש שמקיימין כן, כיון דאדם אינו אורג בגד שלם ביום אחד, ואינו עושה נפה בב"א, אלא עושה בתחילה מלאכה מתקיימת שאינה נסתרת מאיליה, ובהא דבמקשה הגמ' לעיל </w:t>
      </w:r>
      <w:r w:rsidRPr="00DB1D3B">
        <w:rPr>
          <w:rStyle w:val="af2"/>
          <w:rFonts w:eastAsia="Guttman Hodes" w:hint="cs"/>
          <w:rtl/>
        </w:rPr>
        <w:t>(עד:)</w:t>
      </w:r>
      <w:r>
        <w:rPr>
          <w:rFonts w:hint="cs"/>
          <w:rtl/>
        </w:rPr>
        <w:t xml:space="preserve"> דאמאי התופר שתי תפירות חייב, והא לא קיימא, ביאר </w:t>
      </w:r>
      <w:r w:rsidRPr="00FF7D8F">
        <w:rPr>
          <w:rFonts w:hint="cs"/>
          <w:vanish/>
          <w:rtl/>
        </w:rPr>
        <w:t xml:space="preserve">&lt;, </w:t>
      </w:r>
      <w:r w:rsidRPr="00FF7D8F">
        <w:rPr>
          <w:vanish/>
          <w:rtl/>
        </w:rPr>
        <w:fldChar w:fldCharType="begin"/>
      </w:r>
      <w:r w:rsidRPr="00FF7D8F">
        <w:rPr>
          <w:vanish/>
          <w:rtl/>
        </w:rPr>
        <w:instrText xml:space="preserve"> </w:instrText>
      </w:r>
      <w:r w:rsidRPr="00FF7D8F">
        <w:rPr>
          <w:rFonts w:hint="cs"/>
          <w:vanish/>
        </w:rPr>
        <w:instrText>REF</w:instrText>
      </w:r>
      <w:r w:rsidRPr="00FF7D8F">
        <w:rPr>
          <w:rFonts w:hint="cs"/>
          <w:vanish/>
          <w:rtl/>
        </w:rPr>
        <w:instrText xml:space="preserve"> _</w:instrText>
      </w:r>
      <w:r w:rsidRPr="00FF7D8F">
        <w:rPr>
          <w:rFonts w:hint="cs"/>
          <w:vanish/>
        </w:rPr>
        <w:instrText>Ref142816105 \r \h</w:instrText>
      </w:r>
      <w:r w:rsidRPr="00FF7D8F">
        <w:rPr>
          <w:vanish/>
          <w:rtl/>
        </w:rPr>
        <w:instrText xml:space="preserve"> </w:instrText>
      </w:r>
      <w:r w:rsidRPr="00FF7D8F">
        <w:rPr>
          <w:vanish/>
          <w:rtl/>
        </w:rPr>
      </w:r>
      <w:r w:rsidRPr="00FF7D8F">
        <w:rPr>
          <w:vanish/>
          <w:rtl/>
        </w:rPr>
        <w:fldChar w:fldCharType="separate"/>
      </w:r>
      <w:r w:rsidR="00D82181">
        <w:rPr>
          <w:vanish/>
          <w:cs/>
        </w:rPr>
        <w:t>‎</w:t>
      </w:r>
      <w:r w:rsidR="00D82181">
        <w:rPr>
          <w:vanish/>
          <w:rtl/>
        </w:rPr>
        <w:t>נד)</w:t>
      </w:r>
      <w:r w:rsidRPr="00FF7D8F">
        <w:rPr>
          <w:vanish/>
          <w:rtl/>
        </w:rPr>
        <w:fldChar w:fldCharType="end"/>
      </w:r>
      <w:r w:rsidRPr="00FF7D8F">
        <w:rPr>
          <w:rFonts w:hint="cs"/>
          <w:vanish/>
          <w:rtl/>
        </w:rPr>
        <w:t xml:space="preserve"> &gt;</w:t>
      </w:r>
      <w:r w:rsidRPr="001A2014">
        <w:rPr>
          <w:rStyle w:val="aff4"/>
          <w:rFonts w:hint="cs"/>
          <w:vanish/>
          <w:rtl/>
        </w:rPr>
        <w:t>-</w:t>
      </w:r>
      <w:r w:rsidRPr="001A2014">
        <w:rPr>
          <w:rStyle w:val="aff4"/>
          <w:rFonts w:hint="cs"/>
          <w:rtl/>
        </w:rPr>
        <w:t>רש"י לעיל</w:t>
      </w:r>
      <w:r w:rsidRPr="001A2014">
        <w:rPr>
          <w:rStyle w:val="aff4"/>
          <w:rFonts w:hint="cs"/>
          <w:vanish/>
          <w:rtl/>
        </w:rPr>
        <w:t>-</w:t>
      </w:r>
      <w:r>
        <w:rPr>
          <w:rFonts w:hint="cs"/>
          <w:rtl/>
        </w:rPr>
        <w:t xml:space="preserve"> </w:t>
      </w:r>
      <w:r w:rsidRPr="00DB1D3B">
        <w:rPr>
          <w:rStyle w:val="af2"/>
          <w:rFonts w:eastAsia="Guttman Hodes" w:hint="cs"/>
          <w:rtl/>
        </w:rPr>
        <w:t>(עד: ד"ה והא)</w:t>
      </w:r>
      <w:r w:rsidRPr="001A2014">
        <w:rPr>
          <w:rFonts w:hint="cs"/>
          <w:vanish/>
          <w:rtl/>
        </w:rPr>
        <w:t>=</w:t>
      </w:r>
      <w:r>
        <w:rPr>
          <w:rFonts w:hint="cs"/>
          <w:rtl/>
        </w:rPr>
        <w:t xml:space="preserve"> דכיון דאינה מתקיימת אינה מלאכה.</w:t>
      </w:r>
      <w:bookmarkEnd w:id="4845"/>
    </w:p>
    <w:p w14:paraId="4BA85242" w14:textId="77777777" w:rsidR="00376F67" w:rsidRPr="0074694D" w:rsidRDefault="00376F67" w:rsidP="00376F67">
      <w:pPr>
        <w:pStyle w:val="a2"/>
        <w:tabs>
          <w:tab w:val="num" w:pos="284"/>
        </w:tabs>
        <w:rPr>
          <w:vanish w:val="0"/>
          <w:rtl/>
        </w:rPr>
      </w:pPr>
      <w:r w:rsidRPr="0074694D">
        <w:rPr>
          <w:rtl/>
        </w:rPr>
        <w:t>המצדד את האבן - מושיבה ומצדדה עד שמתיישבת בקרקעית יסוד הבנין יפה, מתוך שהוא מצדדה הוא מכינה תחתיה ומושיבה בארץ - חייב, ואפילו לא נתן טיט הוי בונה כל שהוא, דיש מקיימין כן בלא טיט.</w:t>
      </w:r>
    </w:p>
    <w:p w14:paraId="1368886B" w14:textId="77777777" w:rsidR="00376F67" w:rsidRPr="00954231" w:rsidRDefault="00376F67" w:rsidP="00376F67">
      <w:pPr>
        <w:pStyle w:val="afffff5"/>
        <w:rPr>
          <w:vanish w:val="0"/>
          <w:rtl/>
        </w:rPr>
      </w:pPr>
      <w:r w:rsidRPr="00954231">
        <w:rPr>
          <w:rtl/>
        </w:rPr>
        <w:t>מצינו שם קטן כו' - הא אתא לאשמועינן ר' יהודה, דאף על גב שלא נגמר מלאכתו, שנתכוין לכתוב תיבה גדולה וכתב מקצת, ואותו מקצת הויא תיבה המתקיימת במקום אחר - חייב.</w:t>
      </w:r>
    </w:p>
    <w:p w14:paraId="2C462D91" w14:textId="77777777" w:rsidR="00376F67" w:rsidRPr="00954231" w:rsidRDefault="00376F67" w:rsidP="00376F67">
      <w:pPr>
        <w:pStyle w:val="afffff5"/>
        <w:rPr>
          <w:vanish w:val="0"/>
          <w:rtl/>
        </w:rPr>
      </w:pPr>
      <w:r w:rsidRPr="00954231">
        <w:rPr>
          <w:rtl/>
        </w:rPr>
        <w:t>שם משמעון - ולגבי בגד נמי, שני חוטין, ובנפה - שני בתין שמקיימין כך, לפי שאין אדם אורג בגד ביום אחד, ועושה נפה בבת אחת, ומתחיל ועושה כדי קיום, שלא יהא נסתר מאליו.</w:t>
      </w:r>
    </w:p>
    <w:p w14:paraId="1B4ECC19" w14:textId="77777777" w:rsidR="00376F67" w:rsidRPr="00954231" w:rsidRDefault="00376F67" w:rsidP="00376F67">
      <w:pPr>
        <w:pStyle w:val="afffff5"/>
        <w:rPr>
          <w:vanish w:val="0"/>
          <w:rtl/>
        </w:rPr>
      </w:pPr>
      <w:r w:rsidRPr="00954231">
        <w:rPr>
          <w:rtl/>
        </w:rPr>
        <w:t>והא לא קיימא - הכי, וכיון דלא קיימא - לאו מלאכה היא.</w:t>
      </w:r>
    </w:p>
    <w:p w14:paraId="38F8AC4E" w14:textId="77777777" w:rsidR="00376F67" w:rsidRDefault="00376F67" w:rsidP="00376F67">
      <w:pPr>
        <w:pStyle w:val="afffff7"/>
        <w:rPr>
          <w:rtl/>
        </w:rPr>
      </w:pPr>
      <w:bookmarkStart w:id="4846" w:name="_Toc143767957"/>
      <w:bookmarkStart w:id="4847" w:name="_Hlk141871682"/>
      <w:bookmarkStart w:id="4848" w:name="_Toc163506145"/>
      <w:r>
        <w:rPr>
          <w:rFonts w:hint="cs"/>
          <w:rtl/>
        </w:rPr>
        <w:t>הג' מים חיים לבעל הפר</w:t>
      </w:r>
      <w:r>
        <w:rPr>
          <w:rFonts w:cs="Guttman Hodes" w:hint="cs"/>
          <w:rtl/>
        </w:rPr>
        <w:t>"</w:t>
      </w:r>
      <w:r>
        <w:rPr>
          <w:rFonts w:hint="cs"/>
          <w:rtl/>
        </w:rPr>
        <w:t>ח שבת ק</w:t>
      </w:r>
      <w:r>
        <w:rPr>
          <w:rFonts w:cs="Guttman Hodes" w:hint="cs"/>
          <w:rtl/>
        </w:rPr>
        <w:t>"</w:t>
      </w:r>
      <w:r>
        <w:rPr>
          <w:rFonts w:hint="cs"/>
          <w:rtl/>
        </w:rPr>
        <w:t>ב ע</w:t>
      </w:r>
      <w:r>
        <w:rPr>
          <w:rFonts w:cs="Guttman Hodes" w:hint="cs"/>
          <w:rtl/>
        </w:rPr>
        <w:t>"</w:t>
      </w:r>
      <w:r>
        <w:rPr>
          <w:rFonts w:hint="cs"/>
          <w:rtl/>
        </w:rPr>
        <w:t>ב ד</w:t>
      </w:r>
      <w:r>
        <w:rPr>
          <w:rFonts w:cs="Guttman Hodes" w:hint="cs"/>
          <w:rtl/>
        </w:rPr>
        <w:t>"</w:t>
      </w:r>
      <w:r>
        <w:rPr>
          <w:rFonts w:hint="cs"/>
          <w:rtl/>
        </w:rPr>
        <w:t>ה מתני'</w:t>
      </w:r>
      <w:bookmarkEnd w:id="4846"/>
      <w:bookmarkEnd w:id="4848"/>
    </w:p>
    <w:p w14:paraId="36F70248" w14:textId="77777777" w:rsidR="00376F67" w:rsidRDefault="00376F67" w:rsidP="00376F67">
      <w:pPr>
        <w:pStyle w:val="a7"/>
        <w:rPr>
          <w:rtl/>
        </w:rPr>
      </w:pPr>
      <w:bookmarkStart w:id="4849" w:name="_Toc143767829"/>
      <w:bookmarkStart w:id="4850" w:name="_Toc143770650"/>
      <w:r>
        <w:rPr>
          <w:rFonts w:hint="cs"/>
          <w:rtl/>
        </w:rPr>
        <w:t>קו' הפר"ח ברש"י דכל מתני' בשבת וא"צ לבאר כן ובי' דנגמרת בשבת וא"צ להוסיף אח"כ</w:t>
      </w:r>
      <w:bookmarkEnd w:id="4849"/>
      <w:bookmarkEnd w:id="4850"/>
    </w:p>
    <w:p w14:paraId="3D1F44BF" w14:textId="231CB946" w:rsidR="00376F67" w:rsidRDefault="00376F67" w:rsidP="00BC7DC8">
      <w:pPr>
        <w:pStyle w:val="a3"/>
        <w:rPr>
          <w:rtl/>
        </w:rPr>
      </w:pPr>
      <w:bookmarkStart w:id="4851" w:name="_Ref141871859"/>
      <w:r>
        <w:rPr>
          <w:rFonts w:hint="cs"/>
          <w:rtl/>
        </w:rPr>
        <w:t xml:space="preserve">במ"ש </w:t>
      </w:r>
      <w:r w:rsidRPr="00B13F20">
        <w:rPr>
          <w:rStyle w:val="aff4"/>
          <w:rFonts w:hint="cs"/>
          <w:vanish/>
          <w:rtl/>
        </w:rPr>
        <w:t>-</w:t>
      </w:r>
      <w:r w:rsidRPr="001A2014">
        <w:rPr>
          <w:rStyle w:val="aff4"/>
          <w:rFonts w:hint="cs"/>
          <w:rtl/>
        </w:rPr>
        <w:t>רש"י</w:t>
      </w:r>
      <w:r w:rsidRPr="001E1DFF">
        <w:rPr>
          <w:rStyle w:val="aff4"/>
          <w:rFonts w:hint="cs"/>
          <w:rtl/>
        </w:rPr>
        <w:t xml:space="preserve"> </w:t>
      </w:r>
      <w:r w:rsidRPr="001A2014">
        <w:rPr>
          <w:rStyle w:val="aff4"/>
          <w:rFonts w:hint="cs"/>
          <w:rtl/>
        </w:rPr>
        <w:t>והר"ן</w:t>
      </w:r>
      <w:r w:rsidRPr="00B13F20">
        <w:rPr>
          <w:rStyle w:val="aff4"/>
          <w:rFonts w:hint="cs"/>
          <w:vanish/>
          <w:rtl/>
        </w:rPr>
        <w:t>-</w:t>
      </w:r>
      <w:r w:rsidRPr="004F5826">
        <w:rPr>
          <w:rFonts w:hint="cs"/>
          <w:rtl/>
        </w:rPr>
        <w:t xml:space="preserve"> </w:t>
      </w:r>
      <w:r w:rsidRPr="00B13F20">
        <w:rPr>
          <w:rStyle w:val="af2"/>
          <w:rFonts w:eastAsia="Guttman Hodes" w:hint="cs"/>
          <w:rtl/>
        </w:rPr>
        <w:t xml:space="preserve">(עי' אות </w:t>
      </w:r>
      <w:r w:rsidRPr="00B13F20">
        <w:rPr>
          <w:rStyle w:val="af2"/>
          <w:rFonts w:eastAsia="Guttman Hodes"/>
          <w:rtl/>
        </w:rPr>
        <w:fldChar w:fldCharType="begin"/>
      </w:r>
      <w:r w:rsidRPr="00B13F20">
        <w:rPr>
          <w:rStyle w:val="af2"/>
          <w:rFonts w:eastAsia="Guttman Hodes"/>
          <w:rtl/>
        </w:rPr>
        <w:instrText xml:space="preserve"> </w:instrText>
      </w:r>
      <w:r w:rsidRPr="00B13F20">
        <w:rPr>
          <w:rStyle w:val="af2"/>
          <w:rFonts w:eastAsia="Guttman Hodes" w:hint="cs"/>
        </w:rPr>
        <w:instrText>REF</w:instrText>
      </w:r>
      <w:r w:rsidRPr="00B13F20">
        <w:rPr>
          <w:rStyle w:val="af2"/>
          <w:rFonts w:eastAsia="Guttman Hodes" w:hint="cs"/>
          <w:rtl/>
        </w:rPr>
        <w:instrText xml:space="preserve"> _</w:instrText>
      </w:r>
      <w:r w:rsidRPr="00B13F20">
        <w:rPr>
          <w:rStyle w:val="af2"/>
          <w:rFonts w:eastAsia="Guttman Hodes" w:hint="cs"/>
        </w:rPr>
        <w:instrText>Ref143598888 \r \h</w:instrText>
      </w:r>
      <w:r w:rsidRPr="00B13F20">
        <w:rPr>
          <w:rStyle w:val="af2"/>
          <w:rFonts w:eastAsia="Guttman Hodes"/>
          <w:rtl/>
        </w:rPr>
        <w:instrText xml:space="preserve"> </w:instrText>
      </w:r>
      <w:r w:rsidRPr="00B13F20">
        <w:rPr>
          <w:rStyle w:val="af2"/>
          <w:rFonts w:eastAsia="Guttman Hodes"/>
          <w:rtl/>
        </w:rPr>
      </w:r>
      <w:r w:rsidRPr="00B13F20">
        <w:rPr>
          <w:rStyle w:val="af2"/>
          <w:rFonts w:eastAsia="Guttman Hodes"/>
          <w:rtl/>
        </w:rPr>
        <w:fldChar w:fldCharType="separate"/>
      </w:r>
      <w:r w:rsidR="00D82181">
        <w:rPr>
          <w:rStyle w:val="af2"/>
          <w:rFonts w:eastAsia="Guttman Hodes"/>
          <w:cs/>
        </w:rPr>
        <w:t>‎</w:t>
      </w:r>
      <w:r w:rsidR="00D82181">
        <w:rPr>
          <w:rStyle w:val="af2"/>
          <w:rFonts w:eastAsia="Guttman Hodes"/>
          <w:rtl/>
        </w:rPr>
        <w:t>נב)</w:t>
      </w:r>
      <w:r w:rsidRPr="00B13F20">
        <w:rPr>
          <w:rStyle w:val="af2"/>
          <w:rFonts w:eastAsia="Guttman Hodes"/>
          <w:rtl/>
        </w:rPr>
        <w:fldChar w:fldCharType="end"/>
      </w:r>
      <w:r w:rsidRPr="004F5826">
        <w:rPr>
          <w:rFonts w:hint="cs"/>
          <w:rtl/>
        </w:rPr>
        <w:t xml:space="preserve"> </w:t>
      </w:r>
      <w:r>
        <w:rPr>
          <w:rFonts w:hint="cs"/>
          <w:rtl/>
        </w:rPr>
        <w:t xml:space="preserve">דמלאכתו מתקיימת </w:t>
      </w:r>
      <w:r w:rsidRPr="004F5826">
        <w:rPr>
          <w:rFonts w:hint="cs"/>
          <w:rtl/>
        </w:rPr>
        <w:t xml:space="preserve">היינו </w:t>
      </w:r>
      <w:r>
        <w:rPr>
          <w:rFonts w:hint="cs"/>
          <w:rtl/>
        </w:rPr>
        <w:t>ש</w:t>
      </w:r>
      <w:r w:rsidRPr="004F5826">
        <w:rPr>
          <w:rFonts w:hint="cs"/>
          <w:rtl/>
        </w:rPr>
        <w:t>א"צ להוסיף עליה</w:t>
      </w:r>
      <w:r w:rsidRPr="006677A2">
        <w:rPr>
          <w:rFonts w:hint="cs"/>
          <w:rtl/>
        </w:rPr>
        <w:t xml:space="preserve"> </w:t>
      </w:r>
      <w:r>
        <w:rPr>
          <w:rFonts w:hint="cs"/>
          <w:rtl/>
        </w:rPr>
        <w:t xml:space="preserve">והא דתנן "בשבת" קאי על העושה מלאכה, הקשה </w:t>
      </w:r>
      <w:r w:rsidRPr="00B13F20">
        <w:rPr>
          <w:rStyle w:val="aff4"/>
          <w:rFonts w:hint="cs"/>
          <w:vanish/>
          <w:rtl/>
        </w:rPr>
        <w:t>-</w:t>
      </w:r>
      <w:r w:rsidRPr="001A2014">
        <w:rPr>
          <w:rStyle w:val="aff4"/>
          <w:rFonts w:hint="cs"/>
          <w:rtl/>
        </w:rPr>
        <w:t>ה</w:t>
      </w:r>
      <w:r w:rsidRPr="00B13F20">
        <w:rPr>
          <w:rStyle w:val="aff4"/>
          <w:rFonts w:hint="cs"/>
          <w:vanish/>
          <w:rtl/>
        </w:rPr>
        <w:t xml:space="preserve">&lt;, </w:t>
      </w:r>
      <w:r w:rsidRPr="00B13F20">
        <w:rPr>
          <w:rStyle w:val="aff4"/>
          <w:vanish/>
          <w:rtl/>
        </w:rPr>
        <w:fldChar w:fldCharType="begin"/>
      </w:r>
      <w:r w:rsidRPr="00B13F20">
        <w:rPr>
          <w:rStyle w:val="aff4"/>
          <w:vanish/>
          <w:rtl/>
        </w:rPr>
        <w:instrText xml:space="preserve"> </w:instrText>
      </w:r>
      <w:r w:rsidRPr="00B13F20">
        <w:rPr>
          <w:rStyle w:val="aff4"/>
          <w:rFonts w:hint="cs"/>
          <w:vanish/>
        </w:rPr>
        <w:instrText>REF</w:instrText>
      </w:r>
      <w:r w:rsidRPr="00B13F20">
        <w:rPr>
          <w:rStyle w:val="aff4"/>
          <w:rFonts w:hint="cs"/>
          <w:vanish/>
          <w:rtl/>
        </w:rPr>
        <w:instrText xml:space="preserve"> _</w:instrText>
      </w:r>
      <w:r w:rsidRPr="00B13F20">
        <w:rPr>
          <w:rStyle w:val="aff4"/>
          <w:rFonts w:hint="cs"/>
          <w:vanish/>
        </w:rPr>
        <w:instrText>Ref141871859 \r \h</w:instrText>
      </w:r>
      <w:r w:rsidRPr="00B13F20">
        <w:rPr>
          <w:rStyle w:val="aff4"/>
          <w:vanish/>
          <w:rtl/>
        </w:rPr>
        <w:instrText xml:space="preserve"> </w:instrText>
      </w:r>
      <w:r w:rsidRPr="00B13F20">
        <w:rPr>
          <w:rStyle w:val="aff4"/>
          <w:vanish/>
          <w:rtl/>
        </w:rPr>
      </w:r>
      <w:r w:rsidRPr="00B13F20">
        <w:rPr>
          <w:rStyle w:val="aff4"/>
          <w:vanish/>
          <w:rtl/>
        </w:rPr>
        <w:fldChar w:fldCharType="separate"/>
      </w:r>
      <w:r w:rsidR="00D82181">
        <w:rPr>
          <w:rStyle w:val="aff4"/>
          <w:vanish/>
          <w:cs/>
        </w:rPr>
        <w:t>‎</w:t>
      </w:r>
      <w:r w:rsidR="00D82181">
        <w:rPr>
          <w:rStyle w:val="aff4"/>
          <w:vanish/>
          <w:rtl/>
        </w:rPr>
        <w:t>נה)</w:t>
      </w:r>
      <w:r w:rsidRPr="00B13F20">
        <w:rPr>
          <w:rStyle w:val="aff4"/>
          <w:vanish/>
          <w:rtl/>
        </w:rPr>
        <w:fldChar w:fldCharType="end"/>
      </w:r>
      <w:r w:rsidRPr="00B13F20">
        <w:rPr>
          <w:rStyle w:val="aff4"/>
          <w:rFonts w:hint="cs"/>
          <w:vanish/>
          <w:rtl/>
        </w:rPr>
        <w:t xml:space="preserve"> &gt;</w:t>
      </w:r>
      <w:r w:rsidRPr="001A2014">
        <w:rPr>
          <w:rStyle w:val="aff4"/>
          <w:rFonts w:hint="cs"/>
          <w:rtl/>
        </w:rPr>
        <w:t>פר"ח בהג' מים חיים</w:t>
      </w:r>
      <w:r w:rsidRPr="00B13F20">
        <w:rPr>
          <w:rStyle w:val="aff4"/>
          <w:rFonts w:hint="cs"/>
          <w:vanish/>
          <w:rtl/>
        </w:rPr>
        <w:t>-</w:t>
      </w:r>
      <w:r>
        <w:rPr>
          <w:rFonts w:hint="cs"/>
          <w:rtl/>
        </w:rPr>
        <w:t xml:space="preserve"> </w:t>
      </w:r>
      <w:r w:rsidRPr="00B13F20">
        <w:rPr>
          <w:rStyle w:val="af2"/>
          <w:rFonts w:eastAsia="Guttman Hodes" w:hint="cs"/>
          <w:rtl/>
        </w:rPr>
        <w:t>(ד"ה מתני', נד' בסוף הגמ')</w:t>
      </w:r>
      <w:r w:rsidRPr="00B13F20">
        <w:rPr>
          <w:rFonts w:hint="cs"/>
          <w:vanish/>
          <w:rtl/>
        </w:rPr>
        <w:t>=</w:t>
      </w:r>
      <w:r>
        <w:rPr>
          <w:rFonts w:hint="cs"/>
          <w:rtl/>
        </w:rPr>
        <w:t xml:space="preserve"> דהמשנה איירי בשבת וא"צ לבאר דהוא עושה מלאכה בשבת, אלא ביאר </w:t>
      </w:r>
      <w:r w:rsidRPr="00B13F20">
        <w:rPr>
          <w:rStyle w:val="aff4"/>
          <w:rFonts w:hint="cs"/>
          <w:vanish/>
          <w:rtl/>
        </w:rPr>
        <w:t>-</w:t>
      </w:r>
      <w:r w:rsidRPr="001A2014">
        <w:rPr>
          <w:rStyle w:val="aff4"/>
          <w:rFonts w:hint="cs"/>
          <w:rtl/>
        </w:rPr>
        <w:t>הפר"ח</w:t>
      </w:r>
      <w:r w:rsidRPr="00B13F20">
        <w:rPr>
          <w:rStyle w:val="aff4"/>
          <w:rFonts w:hint="cs"/>
          <w:vanish/>
          <w:rtl/>
        </w:rPr>
        <w:t>-</w:t>
      </w:r>
      <w:r>
        <w:rPr>
          <w:rFonts w:hint="cs"/>
          <w:rtl/>
        </w:rPr>
        <w:t xml:space="preserve"> דהכוונה דהמלאכה מתקיימת ונגמרת בשבת, דא"צ להוסיף עליה לאחר השבת.</w:t>
      </w:r>
      <w:bookmarkEnd w:id="4851"/>
    </w:p>
    <w:p w14:paraId="739D1CE3" w14:textId="77777777" w:rsidR="00376F67" w:rsidRPr="008F280D" w:rsidRDefault="00376F67" w:rsidP="00376F67">
      <w:pPr>
        <w:pStyle w:val="a7"/>
        <w:rPr>
          <w:rtl/>
        </w:rPr>
      </w:pPr>
    </w:p>
    <w:p w14:paraId="6D6A37EF" w14:textId="77777777" w:rsidR="00376F67" w:rsidRPr="0074694D" w:rsidRDefault="00376F67" w:rsidP="00376F67">
      <w:pPr>
        <w:pStyle w:val="a2"/>
        <w:tabs>
          <w:tab w:val="num" w:pos="284"/>
        </w:tabs>
        <w:rPr>
          <w:vanish w:val="0"/>
          <w:rtl/>
        </w:rPr>
      </w:pPr>
      <w:r w:rsidRPr="0074694D">
        <w:rPr>
          <w:rtl/>
        </w:rPr>
        <w:t>מתני' ומלאכתו מתקיימת בשבת התוי"ט העתיק לשון הר"ן וז"ל אעושה מלאכה קאי כל העושה בשבת והיא מתקיימת ואין זה מחוור דהא בשבת קיימינא ואמאי איצטריך לפרושי העושה בשבת ול"נ דלא קאי אלא אסיפא דהיינו שמלאכתו</w:t>
      </w:r>
      <w:r w:rsidRPr="0074694D">
        <w:rPr>
          <w:rFonts w:hint="cs"/>
          <w:rtl/>
        </w:rPr>
        <w:t xml:space="preserve"> </w:t>
      </w:r>
      <w:r w:rsidRPr="0074694D">
        <w:rPr>
          <w:rtl/>
        </w:rPr>
        <w:t>מתקיימת ונגמרת בשבת שלמחר אינו עתיד להוסיף עליה</w:t>
      </w:r>
      <w:r w:rsidRPr="0074694D">
        <w:rPr>
          <w:rFonts w:hint="cs"/>
          <w:rtl/>
        </w:rPr>
        <w:t>.</w:t>
      </w:r>
    </w:p>
    <w:p w14:paraId="1EF0B540" w14:textId="77777777" w:rsidR="00376F67" w:rsidRDefault="00376F67" w:rsidP="00376F67">
      <w:pPr>
        <w:pStyle w:val="afffff7"/>
      </w:pPr>
      <w:bookmarkStart w:id="4852" w:name="_Toc143767958"/>
      <w:bookmarkStart w:id="4853" w:name="_Toc163506146"/>
      <w:r>
        <w:rPr>
          <w:rFonts w:hint="cs"/>
          <w:rtl/>
        </w:rPr>
        <w:t>חידושי</w:t>
      </w:r>
      <w:r w:rsidRPr="00546104">
        <w:rPr>
          <w:rtl/>
        </w:rPr>
        <w:t xml:space="preserve"> ר</w:t>
      </w:r>
      <w:r>
        <w:rPr>
          <w:rFonts w:hint="cs"/>
          <w:rtl/>
        </w:rPr>
        <w:t>בינו</w:t>
      </w:r>
      <w:r w:rsidRPr="00546104">
        <w:rPr>
          <w:rtl/>
        </w:rPr>
        <w:t xml:space="preserve"> משה קזיס</w:t>
      </w:r>
      <w:r>
        <w:rPr>
          <w:rFonts w:hint="cs"/>
          <w:rtl/>
        </w:rPr>
        <w:t xml:space="preserve"> שבת ריש פ' הבונה ד"ה זה</w:t>
      </w:r>
      <w:bookmarkEnd w:id="4852"/>
      <w:bookmarkEnd w:id="4853"/>
    </w:p>
    <w:p w14:paraId="1366219C" w14:textId="77777777" w:rsidR="00376F67" w:rsidRDefault="00376F67" w:rsidP="00376F67">
      <w:pPr>
        <w:pStyle w:val="a7"/>
        <w:rPr>
          <w:rtl/>
        </w:rPr>
      </w:pPr>
      <w:bookmarkStart w:id="4854" w:name="_Toc143767830"/>
      <w:bookmarkStart w:id="4855" w:name="_Toc143770651"/>
      <w:r>
        <w:rPr>
          <w:rFonts w:hint="cs"/>
          <w:rtl/>
        </w:rPr>
        <w:t>בי' הר"מ קזיס ברש"י דרק למלאכה דשיעורה בכ"ש חייב כיון דמתקיימת ולא במלאכה חשובה</w:t>
      </w:r>
      <w:bookmarkEnd w:id="4854"/>
      <w:bookmarkEnd w:id="4855"/>
    </w:p>
    <w:p w14:paraId="50240A7A" w14:textId="31B2FD62" w:rsidR="00376F67" w:rsidRPr="009B6F35" w:rsidRDefault="00376F67" w:rsidP="00BC7DC8">
      <w:pPr>
        <w:pStyle w:val="a3"/>
      </w:pPr>
      <w:bookmarkStart w:id="4856" w:name="_Ref142818503"/>
      <w:r>
        <w:rPr>
          <w:rFonts w:hint="cs"/>
          <w:rtl/>
        </w:rPr>
        <w:t xml:space="preserve">עי' במ"ש </w:t>
      </w:r>
      <w:r w:rsidRPr="001A2014">
        <w:rPr>
          <w:rStyle w:val="aff4"/>
          <w:rFonts w:hint="cs"/>
          <w:vanish/>
          <w:rtl/>
        </w:rPr>
        <w:t>-</w:t>
      </w:r>
      <w:r w:rsidRPr="001A2014">
        <w:rPr>
          <w:rStyle w:val="aff4"/>
          <w:rFonts w:hint="cs"/>
          <w:rtl/>
        </w:rPr>
        <w:t>ב</w:t>
      </w:r>
      <w:r w:rsidRPr="001A2014">
        <w:rPr>
          <w:rStyle w:val="aff4"/>
          <w:rtl/>
        </w:rPr>
        <w:t>חידושי רבינו משה קזיס</w:t>
      </w:r>
      <w:r w:rsidRPr="001A2014">
        <w:rPr>
          <w:rStyle w:val="aff4"/>
          <w:rFonts w:hint="cs"/>
          <w:vanish/>
          <w:rtl/>
        </w:rPr>
        <w:t>-</w:t>
      </w:r>
      <w:r w:rsidRPr="00951D78">
        <w:rPr>
          <w:rFonts w:hint="cs"/>
          <w:rtl/>
        </w:rPr>
        <w:t xml:space="preserve"> </w:t>
      </w:r>
      <w:r>
        <w:rPr>
          <w:rStyle w:val="af2"/>
          <w:rFonts w:eastAsia="Guttman Hodes" w:hint="cs"/>
          <w:rtl/>
        </w:rPr>
        <w:t xml:space="preserve">(עי' </w:t>
      </w:r>
      <w:r w:rsidRPr="00701E38">
        <w:rPr>
          <w:rStyle w:val="af2"/>
          <w:rFonts w:eastAsia="Guttman Hodes" w:hint="cs"/>
          <w:rtl/>
        </w:rPr>
        <w:t xml:space="preserve">אות </w:t>
      </w:r>
      <w:r w:rsidRPr="00701E38">
        <w:rPr>
          <w:rStyle w:val="af2"/>
          <w:rFonts w:eastAsia="Guttman Hodes"/>
          <w:rtl/>
        </w:rPr>
        <w:fldChar w:fldCharType="begin"/>
      </w:r>
      <w:r w:rsidRPr="00701E38">
        <w:rPr>
          <w:rStyle w:val="af2"/>
          <w:rFonts w:eastAsia="Guttman Hodes"/>
          <w:rtl/>
        </w:rPr>
        <w:instrText xml:space="preserve"> </w:instrText>
      </w:r>
      <w:r w:rsidRPr="00701E38">
        <w:rPr>
          <w:rStyle w:val="af2"/>
          <w:rFonts w:eastAsia="Guttman Hodes" w:hint="cs"/>
        </w:rPr>
        <w:instrText>REF</w:instrText>
      </w:r>
      <w:r w:rsidRPr="00701E38">
        <w:rPr>
          <w:rStyle w:val="af2"/>
          <w:rFonts w:eastAsia="Guttman Hodes" w:hint="cs"/>
          <w:rtl/>
        </w:rPr>
        <w:instrText xml:space="preserve"> _</w:instrText>
      </w:r>
      <w:r w:rsidRPr="00701E38">
        <w:rPr>
          <w:rStyle w:val="af2"/>
          <w:rFonts w:eastAsia="Guttman Hodes" w:hint="cs"/>
        </w:rPr>
        <w:instrText>Ref142817831 \r \h</w:instrText>
      </w:r>
      <w:r w:rsidRPr="00701E38">
        <w:rPr>
          <w:rStyle w:val="af2"/>
          <w:rFonts w:eastAsia="Guttman Hodes"/>
          <w:rtl/>
        </w:rPr>
        <w:instrText xml:space="preserve"> </w:instrText>
      </w:r>
      <w:r w:rsidRPr="00701E38">
        <w:rPr>
          <w:rStyle w:val="af2"/>
          <w:rFonts w:eastAsia="Guttman Hodes"/>
          <w:rtl/>
        </w:rPr>
      </w:r>
      <w:r w:rsidRPr="00701E38">
        <w:rPr>
          <w:rStyle w:val="af2"/>
          <w:rFonts w:eastAsia="Guttman Hodes"/>
          <w:rtl/>
        </w:rPr>
        <w:fldChar w:fldCharType="separate"/>
      </w:r>
      <w:r w:rsidR="00D82181">
        <w:rPr>
          <w:rStyle w:val="af2"/>
          <w:rFonts w:eastAsia="Guttman Hodes"/>
          <w:cs/>
        </w:rPr>
        <w:t>‎</w:t>
      </w:r>
      <w:r w:rsidR="00D82181">
        <w:rPr>
          <w:rStyle w:val="af2"/>
          <w:rFonts w:eastAsia="Guttman Hodes"/>
          <w:rtl/>
        </w:rPr>
        <w:t>ט)</w:t>
      </w:r>
      <w:r w:rsidRPr="00701E38">
        <w:rPr>
          <w:rStyle w:val="af2"/>
          <w:rFonts w:eastAsia="Guttman Hodes"/>
          <w:rtl/>
        </w:rPr>
        <w:fldChar w:fldCharType="end"/>
      </w:r>
      <w:r w:rsidRPr="00701E38">
        <w:rPr>
          <w:rFonts w:hint="cs"/>
          <w:rtl/>
        </w:rPr>
        <w:t xml:space="preserve"> </w:t>
      </w:r>
      <w:r w:rsidRPr="00951D78">
        <w:rPr>
          <w:rFonts w:hint="cs"/>
          <w:rtl/>
        </w:rPr>
        <w:t>דחיוב בונה בכל שהוא, היינו דוקא בבנין שניכר לעין</w:t>
      </w:r>
      <w:r>
        <w:rPr>
          <w:rFonts w:hint="cs"/>
          <w:rtl/>
        </w:rPr>
        <w:t>, ו</w:t>
      </w:r>
      <w:r w:rsidRPr="00951D78">
        <w:rPr>
          <w:rFonts w:hint="cs"/>
          <w:rtl/>
        </w:rPr>
        <w:t>אין שיעור לזה, וכן הדין בכל דבר שחיובו בכל שהוא</w:t>
      </w:r>
      <w:r>
        <w:rPr>
          <w:rFonts w:hint="cs"/>
          <w:rtl/>
        </w:rPr>
        <w:t xml:space="preserve">, ולפי"ז ביאר </w:t>
      </w:r>
      <w:r w:rsidRPr="001A2014">
        <w:rPr>
          <w:rStyle w:val="aff4"/>
          <w:rFonts w:hint="cs"/>
          <w:vanish/>
          <w:rtl/>
        </w:rPr>
        <w:t>-</w:t>
      </w:r>
      <w:r w:rsidRPr="001A2014">
        <w:rPr>
          <w:rStyle w:val="aff4"/>
          <w:rFonts w:hint="cs"/>
          <w:rtl/>
        </w:rPr>
        <w:t>ב</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Ref142818503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נו)</w:t>
      </w:r>
      <w:r w:rsidRPr="00FF7D8F">
        <w:rPr>
          <w:rStyle w:val="aff4"/>
          <w:vanish/>
          <w:rtl/>
        </w:rPr>
        <w:fldChar w:fldCharType="end"/>
      </w:r>
      <w:r w:rsidRPr="00FF7D8F">
        <w:rPr>
          <w:rStyle w:val="aff4"/>
          <w:rFonts w:hint="cs"/>
          <w:vanish/>
          <w:rtl/>
        </w:rPr>
        <w:t xml:space="preserve"> &gt;</w:t>
      </w:r>
      <w:r w:rsidRPr="001A2014">
        <w:rPr>
          <w:rStyle w:val="aff4"/>
          <w:rtl/>
        </w:rPr>
        <w:t>חידושי רבינו משה קזיס</w:t>
      </w:r>
      <w:r w:rsidRPr="001A2014">
        <w:rPr>
          <w:rStyle w:val="aff4"/>
          <w:rFonts w:hint="cs"/>
          <w:vanish/>
          <w:rtl/>
        </w:rPr>
        <w:t>-</w:t>
      </w:r>
      <w:r>
        <w:rPr>
          <w:rFonts w:hint="cs"/>
          <w:rtl/>
        </w:rPr>
        <w:t xml:space="preserve"> </w:t>
      </w:r>
      <w:r w:rsidRPr="00DB1D3B">
        <w:rPr>
          <w:rStyle w:val="af2"/>
          <w:rFonts w:eastAsia="Guttman Hodes" w:hint="cs"/>
          <w:rtl/>
        </w:rPr>
        <w:t>(ריש</w:t>
      </w:r>
      <w:r w:rsidRPr="00DB1D3B">
        <w:rPr>
          <w:rStyle w:val="af2"/>
          <w:rFonts w:eastAsia="Guttman Hodes"/>
          <w:rtl/>
        </w:rPr>
        <w:t xml:space="preserve"> פ' הבונה ד"ה </w:t>
      </w:r>
      <w:r w:rsidRPr="00DB1D3B">
        <w:rPr>
          <w:rStyle w:val="af2"/>
          <w:rFonts w:eastAsia="Guttman Hodes" w:hint="cs"/>
          <w:rtl/>
        </w:rPr>
        <w:t>זה)</w:t>
      </w:r>
      <w:r w:rsidRPr="001A2014">
        <w:rPr>
          <w:rFonts w:hint="cs"/>
          <w:vanish/>
          <w:rtl/>
        </w:rPr>
        <w:t>=</w:t>
      </w:r>
      <w:r>
        <w:rPr>
          <w:rFonts w:hint="cs"/>
          <w:rtl/>
        </w:rPr>
        <w:t xml:space="preserve"> דמ"ש </w:t>
      </w:r>
      <w:r w:rsidRPr="001A2014">
        <w:rPr>
          <w:rStyle w:val="aff4"/>
          <w:rFonts w:hint="cs"/>
          <w:vanish/>
          <w:rtl/>
        </w:rPr>
        <w:t>-</w:t>
      </w:r>
      <w:r w:rsidRPr="001A2014">
        <w:rPr>
          <w:rStyle w:val="aff4"/>
          <w:rFonts w:hint="cs"/>
          <w:rtl/>
        </w:rPr>
        <w:t>רש"י</w:t>
      </w:r>
      <w:r w:rsidRPr="001A2014">
        <w:rPr>
          <w:rStyle w:val="aff4"/>
          <w:rFonts w:hint="cs"/>
          <w:vanish/>
          <w:rtl/>
        </w:rPr>
        <w:t>-</w:t>
      </w:r>
      <w:r w:rsidRPr="004F5826">
        <w:rPr>
          <w:rFonts w:hint="cs"/>
          <w:rtl/>
        </w:rPr>
        <w:t xml:space="preserve"> </w:t>
      </w:r>
      <w:r>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Ref143598888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נב)</w:t>
      </w:r>
      <w:r>
        <w:rPr>
          <w:rStyle w:val="af2"/>
          <w:rFonts w:eastAsia="Guttman Hodes"/>
          <w:rtl/>
        </w:rPr>
        <w:fldChar w:fldCharType="end"/>
      </w:r>
      <w:r w:rsidRPr="004F5826">
        <w:rPr>
          <w:rFonts w:hint="cs"/>
          <w:rtl/>
        </w:rPr>
        <w:t xml:space="preserve"> </w:t>
      </w:r>
      <w:r>
        <w:rPr>
          <w:rFonts w:hint="cs"/>
          <w:rtl/>
        </w:rPr>
        <w:t xml:space="preserve">דמלאכתו מתקיימת </w:t>
      </w:r>
      <w:r w:rsidRPr="004F5826">
        <w:rPr>
          <w:rFonts w:hint="cs"/>
          <w:rtl/>
        </w:rPr>
        <w:t>היינו שיש מלאכה כיו"ב שמתקיימת וא"צ להוסיף עליה</w:t>
      </w:r>
      <w:r>
        <w:rPr>
          <w:rFonts w:hint="cs"/>
          <w:rtl/>
        </w:rPr>
        <w:t xml:space="preserve">, דכוונת </w:t>
      </w:r>
      <w:r w:rsidRPr="001A2014">
        <w:rPr>
          <w:rStyle w:val="aff4"/>
          <w:rFonts w:hint="cs"/>
          <w:vanish/>
          <w:rtl/>
        </w:rPr>
        <w:t>-</w:t>
      </w:r>
      <w:r w:rsidRPr="001A2014">
        <w:rPr>
          <w:rStyle w:val="aff4"/>
          <w:rFonts w:hint="cs"/>
          <w:rtl/>
        </w:rPr>
        <w:t>רש"י</w:t>
      </w:r>
      <w:r w:rsidRPr="001A2014">
        <w:rPr>
          <w:rStyle w:val="aff4"/>
          <w:rFonts w:hint="cs"/>
          <w:vanish/>
          <w:rtl/>
        </w:rPr>
        <w:t>-</w:t>
      </w:r>
      <w:r>
        <w:rPr>
          <w:rFonts w:hint="cs"/>
          <w:rtl/>
        </w:rPr>
        <w:t xml:space="preserve"> לומר </w:t>
      </w:r>
      <w:r>
        <w:rPr>
          <w:rFonts w:hint="cs"/>
          <w:rtl/>
        </w:rPr>
        <w:t xml:space="preserve">דהכלל דמתני' דמלאכתו מתקיימת הוא לענין כל המלאכות ששיעורן בכל שהוא, דאף שלא עשה מלאכה חשובה, מ"מ כיון שיש מקיימין כן הוא דרך בנ"א לעשות שיעור כזה, לכן חייב אף בכל שהוא, דהא הסותם נקב כל שהוא בדירתו הוא גומר בזה את כל המלאכה וא"צ להוסיף ע"ז בנין נוסף, ולכן אף מי שבכוונתו לבנות בנין גדול, חייב בבונה כל שהוא, דכן השיעור במלאכת בונה, אך כתב </w:t>
      </w:r>
      <w:r w:rsidRPr="001A2014">
        <w:rPr>
          <w:rStyle w:val="aff4"/>
          <w:rFonts w:hint="cs"/>
          <w:vanish/>
          <w:rtl/>
        </w:rPr>
        <w:t>-</w:t>
      </w:r>
      <w:r w:rsidRPr="001A2014">
        <w:rPr>
          <w:rStyle w:val="aff4"/>
          <w:rFonts w:hint="cs"/>
          <w:rtl/>
        </w:rPr>
        <w:t>הר"מ קזיס</w:t>
      </w:r>
      <w:r w:rsidRPr="001A2014">
        <w:rPr>
          <w:rStyle w:val="aff4"/>
          <w:rFonts w:hint="cs"/>
          <w:vanish/>
          <w:rtl/>
        </w:rPr>
        <w:t>-</w:t>
      </w:r>
      <w:r>
        <w:rPr>
          <w:rFonts w:hint="cs"/>
          <w:rtl/>
        </w:rPr>
        <w:t xml:space="preserve"> דבעושה מלאכה חשובה חייב אף כשאין מקיימין כן, כגון האורג ב' חוטין דחייב אף שאין אדם שמניחם כן, דהיא מלאכה חשובה בפנ"ע.</w:t>
      </w:r>
      <w:bookmarkEnd w:id="4856"/>
      <w:r>
        <w:rPr>
          <w:rFonts w:hint="cs"/>
          <w:rtl/>
        </w:rPr>
        <w:t xml:space="preserve"> </w:t>
      </w:r>
    </w:p>
    <w:p w14:paraId="11B2DBFD" w14:textId="77777777" w:rsidR="00376F67" w:rsidRPr="0074694D" w:rsidRDefault="00376F67" w:rsidP="00376F67">
      <w:pPr>
        <w:pStyle w:val="a2"/>
        <w:tabs>
          <w:tab w:val="num" w:pos="284"/>
        </w:tabs>
        <w:rPr>
          <w:vanish w:val="0"/>
        </w:rPr>
      </w:pPr>
      <w:r w:rsidRPr="0074694D">
        <w:rPr>
          <w:rtl/>
        </w:rPr>
        <w:t xml:space="preserve">זה הכלל </w:t>
      </w:r>
      <w:r w:rsidRPr="0074694D">
        <w:rPr>
          <w:rFonts w:hint="cs"/>
          <w:rtl/>
        </w:rPr>
        <w:t>כ</w:t>
      </w:r>
      <w:r w:rsidRPr="0074694D">
        <w:rPr>
          <w:rtl/>
        </w:rPr>
        <w:t>ל הע</w:t>
      </w:r>
      <w:r w:rsidRPr="0074694D">
        <w:rPr>
          <w:rFonts w:hint="cs"/>
          <w:rtl/>
        </w:rPr>
        <w:t>ש</w:t>
      </w:r>
      <w:r w:rsidRPr="0074694D">
        <w:rPr>
          <w:rtl/>
        </w:rPr>
        <w:t>ה מלאכה ומלאכתו מתקיימת וכו' פי' רש"י שיש מקיימין כיוצא בו ואין</w:t>
      </w:r>
      <w:r w:rsidRPr="0074694D">
        <w:rPr>
          <w:rFonts w:hint="cs"/>
          <w:rtl/>
        </w:rPr>
        <w:t xml:space="preserve"> מוסיפין עלי'. ונ"ל שכוונתו </w:t>
      </w:r>
      <w:r w:rsidRPr="0074694D">
        <w:rPr>
          <w:rtl/>
        </w:rPr>
        <w:t>לומר דהאי זה הכלל בא לתת כלל אחר שבו נכללי' הדברים שזכר שחייבים עליהם בכל שהוא ומתוך כלל זה נוכל ללמוד ג"כ דברים אחרים שלא נזכרו כאן שחייב</w:t>
      </w:r>
      <w:r w:rsidRPr="0074694D">
        <w:rPr>
          <w:rFonts w:hint="cs"/>
          <w:rtl/>
        </w:rPr>
        <w:t>י</w:t>
      </w:r>
      <w:r w:rsidRPr="0074694D">
        <w:rPr>
          <w:rtl/>
        </w:rPr>
        <w:t xml:space="preserve">ם עליהם בכל שהוא שכן מצינו בכל מקום ששנינו זה הכלל שהכלל הוא בא לכלול הדינים </w:t>
      </w:r>
      <w:r w:rsidRPr="0074694D">
        <w:rPr>
          <w:rFonts w:hint="cs"/>
          <w:rtl/>
        </w:rPr>
        <w:t>ש</w:t>
      </w:r>
      <w:r w:rsidRPr="0074694D">
        <w:rPr>
          <w:rtl/>
        </w:rPr>
        <w:t>זכר וללמוד בו דברים אחרים ולכן יאמר בכלל זה שכל העושה שעור מאיזו מלאכה שדרך בני אדם לעשות השעור ההוא מאותה המלאכה ולא להוסיף עליו יתחייב כשעשה השעור ההוא אע"פ שדעתו להוסיף עליו כמו שהוא בבונה שזכר שכיון שדרך לבנות כל שהוא כגון מי שיש לו בדירתו נקב קטן וסותמו ובזה נגמרה מלאכתו שאינו צריך להוסיף בנין אחר אף מי שרוצה לעשות בנין גדול כיון שבנה ממנו כל שהוא חייב מיהו העושה מן המלאכה שעור חשוב אע"פ שאין דרך בני אדם לעשות כשעור ההוא בלבד חייב כגון האורג שני חוטין דודאי לא נמצא מי שיארוג שני חוטין בלבד על דעת שלא להוסיף עליהם</w:t>
      </w:r>
      <w:r w:rsidRPr="0074694D">
        <w:rPr>
          <w:rFonts w:hint="cs"/>
          <w:rtl/>
        </w:rPr>
        <w:t>.</w:t>
      </w:r>
    </w:p>
    <w:p w14:paraId="15AE4172" w14:textId="77777777" w:rsidR="00376F67" w:rsidRDefault="00376F67" w:rsidP="00376F67">
      <w:pPr>
        <w:pStyle w:val="afffff7"/>
        <w:rPr>
          <w:rtl/>
        </w:rPr>
      </w:pPr>
      <w:bookmarkStart w:id="4857" w:name="_Toc143767959"/>
      <w:bookmarkStart w:id="4858" w:name="_Toc163506147"/>
      <w:r>
        <w:rPr>
          <w:rFonts w:hint="cs"/>
          <w:rtl/>
        </w:rPr>
        <w:t>שנות אליהו פי</w:t>
      </w:r>
      <w:r>
        <w:rPr>
          <w:rFonts w:cs="Guttman Hodes" w:hint="cs"/>
          <w:rtl/>
        </w:rPr>
        <w:t>"</w:t>
      </w:r>
      <w:r>
        <w:rPr>
          <w:rFonts w:hint="cs"/>
          <w:rtl/>
        </w:rPr>
        <w:t>ב מ</w:t>
      </w:r>
      <w:r>
        <w:rPr>
          <w:rFonts w:cs="Guttman Hodes" w:hint="cs"/>
          <w:rtl/>
        </w:rPr>
        <w:t>"</w:t>
      </w:r>
      <w:r>
        <w:rPr>
          <w:rFonts w:hint="cs"/>
          <w:rtl/>
        </w:rPr>
        <w:t>א ד</w:t>
      </w:r>
      <w:r>
        <w:rPr>
          <w:rFonts w:cs="Guttman Hodes" w:hint="cs"/>
          <w:rtl/>
        </w:rPr>
        <w:t>"</w:t>
      </w:r>
      <w:r>
        <w:rPr>
          <w:rFonts w:hint="cs"/>
          <w:rtl/>
        </w:rPr>
        <w:t>ה זה</w:t>
      </w:r>
      <w:bookmarkEnd w:id="4857"/>
      <w:bookmarkEnd w:id="4858"/>
    </w:p>
    <w:p w14:paraId="59115F4B" w14:textId="77777777" w:rsidR="00376F67" w:rsidRDefault="00376F67" w:rsidP="00376F67">
      <w:pPr>
        <w:pStyle w:val="a7"/>
        <w:rPr>
          <w:rtl/>
        </w:rPr>
      </w:pPr>
      <w:bookmarkStart w:id="4859" w:name="_Toc143767831"/>
      <w:bookmarkStart w:id="4860" w:name="_Toc143770652"/>
      <w:r>
        <w:rPr>
          <w:rFonts w:hint="cs"/>
          <w:rtl/>
        </w:rPr>
        <w:t>בי' הגר"א דמתקיימת היינו כשאינו רוצה להוסיף עליה בשבת עצמה אף דכוונתו להוסיף אח"כ</w:t>
      </w:r>
      <w:bookmarkEnd w:id="4859"/>
      <w:bookmarkEnd w:id="4860"/>
    </w:p>
    <w:p w14:paraId="0A81B8E2" w14:textId="77FFA822" w:rsidR="00376F67" w:rsidRPr="000B4D5F" w:rsidRDefault="00376F67" w:rsidP="00BC7DC8">
      <w:pPr>
        <w:pStyle w:val="a3"/>
        <w:rPr>
          <w:rtl/>
        </w:rPr>
      </w:pPr>
      <w:r w:rsidRPr="001A2014">
        <w:rPr>
          <w:rStyle w:val="aff4"/>
          <w:rFonts w:hint="cs"/>
          <w:vanish/>
          <w:rtl/>
        </w:rPr>
        <w:t>-</w:t>
      </w:r>
      <w:bookmarkStart w:id="4861" w:name="_Ref143159461"/>
      <w:r w:rsidRPr="001A2014">
        <w:rPr>
          <w:rStyle w:val="aff4"/>
          <w:rFonts w:hint="cs"/>
          <w:rtl/>
        </w:rPr>
        <w:t>וה</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Ref143159461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נז)</w:t>
      </w:r>
      <w:r w:rsidRPr="00FF7D8F">
        <w:rPr>
          <w:rStyle w:val="aff4"/>
          <w:vanish/>
          <w:rtl/>
        </w:rPr>
        <w:fldChar w:fldCharType="end"/>
      </w:r>
      <w:r w:rsidRPr="00FF7D8F">
        <w:rPr>
          <w:rStyle w:val="aff4"/>
          <w:rFonts w:hint="cs"/>
          <w:vanish/>
          <w:rtl/>
        </w:rPr>
        <w:t xml:space="preserve"> &gt;</w:t>
      </w:r>
      <w:r w:rsidRPr="001A2014">
        <w:rPr>
          <w:rStyle w:val="aff4"/>
          <w:rFonts w:hint="cs"/>
          <w:rtl/>
        </w:rPr>
        <w:t>גר"א בשנות אליהו</w:t>
      </w:r>
      <w:r w:rsidRPr="001A2014">
        <w:rPr>
          <w:rStyle w:val="aff4"/>
          <w:rFonts w:hint="cs"/>
          <w:vanish/>
          <w:rtl/>
        </w:rPr>
        <w:t>-</w:t>
      </w:r>
      <w:r>
        <w:rPr>
          <w:rFonts w:hint="cs"/>
          <w:rtl/>
        </w:rPr>
        <w:t xml:space="preserve"> </w:t>
      </w:r>
      <w:r w:rsidRPr="00DB1D3B">
        <w:rPr>
          <w:rStyle w:val="af2"/>
          <w:rFonts w:eastAsia="Guttman Hodes" w:hint="cs"/>
          <w:rtl/>
        </w:rPr>
        <w:t>(פי"ב מ"א ד"ה זה, נד' בחי' הגר"א לשבת)</w:t>
      </w:r>
      <w:r w:rsidRPr="001A2014">
        <w:rPr>
          <w:rFonts w:hint="cs"/>
          <w:vanish/>
          <w:rtl/>
        </w:rPr>
        <w:t>=</w:t>
      </w:r>
      <w:r>
        <w:rPr>
          <w:rFonts w:hint="cs"/>
          <w:rtl/>
        </w:rPr>
        <w:t xml:space="preserve"> כתב דמלאכתו מתקיימת היינו אף כשהמלאכה מתקיימת בשבת בלבד, וכוונתו להוסיף אחר השבת כמו בחק קפיזא בקבא, מ"מ הוי מלאכה, וביאר </w:t>
      </w:r>
      <w:r w:rsidRPr="001A2014">
        <w:rPr>
          <w:rStyle w:val="aff4"/>
          <w:rFonts w:hint="cs"/>
          <w:vanish/>
          <w:rtl/>
        </w:rPr>
        <w:t>-</w:t>
      </w:r>
      <w:r w:rsidRPr="001A2014">
        <w:rPr>
          <w:rStyle w:val="aff4"/>
          <w:rFonts w:hint="cs"/>
          <w:rtl/>
        </w:rPr>
        <w:t>הגר"א</w:t>
      </w:r>
      <w:r w:rsidRPr="001A2014">
        <w:rPr>
          <w:rStyle w:val="aff4"/>
          <w:rFonts w:hint="cs"/>
          <w:vanish/>
          <w:rtl/>
        </w:rPr>
        <w:t>-</w:t>
      </w:r>
      <w:r>
        <w:rPr>
          <w:rFonts w:hint="cs"/>
          <w:rtl/>
        </w:rPr>
        <w:t xml:space="preserve"> דכיון דהוא מחשיב את המלאכה לשבת חשיב כמתקיימת בשבת וחייב עליה.</w:t>
      </w:r>
      <w:bookmarkEnd w:id="4861"/>
    </w:p>
    <w:p w14:paraId="2D9E7A83" w14:textId="77777777" w:rsidR="00376F67" w:rsidRPr="0074694D" w:rsidRDefault="00376F67" w:rsidP="00376F67">
      <w:pPr>
        <w:pStyle w:val="a2"/>
        <w:tabs>
          <w:tab w:val="num" w:pos="284"/>
        </w:tabs>
        <w:rPr>
          <w:vanish w:val="0"/>
          <w:rtl/>
        </w:rPr>
      </w:pPr>
      <w:r w:rsidRPr="0074694D">
        <w:rPr>
          <w:rtl/>
        </w:rPr>
        <w:t xml:space="preserve">זה הכלל כל העושה </w:t>
      </w:r>
      <w:r w:rsidRPr="0074694D">
        <w:rPr>
          <w:rFonts w:hint="cs"/>
          <w:rtl/>
        </w:rPr>
        <w:t>וכו'</w:t>
      </w:r>
      <w:r w:rsidRPr="0074694D">
        <w:rPr>
          <w:rtl/>
        </w:rPr>
        <w:t xml:space="preserve"> פי' אפי' אם מתקיימת כן בשבת לבד נמי חייב אף שיוסיף אחר השב</w:t>
      </w:r>
      <w:r w:rsidRPr="0074694D">
        <w:rPr>
          <w:rFonts w:hint="cs"/>
          <w:rtl/>
        </w:rPr>
        <w:t>ת</w:t>
      </w:r>
      <w:r w:rsidRPr="0074694D">
        <w:rPr>
          <w:rtl/>
        </w:rPr>
        <w:t xml:space="preserve"> כמו דחק קפיזא בקבא הואיל ומחשיב אותה לשב</w:t>
      </w:r>
      <w:r w:rsidRPr="0074694D">
        <w:rPr>
          <w:rFonts w:hint="cs"/>
          <w:rtl/>
        </w:rPr>
        <w:t>ת</w:t>
      </w:r>
      <w:r w:rsidRPr="0074694D">
        <w:rPr>
          <w:rtl/>
        </w:rPr>
        <w:t xml:space="preserve"> הוי מ</w:t>
      </w:r>
      <w:r w:rsidRPr="0074694D">
        <w:rPr>
          <w:rFonts w:hint="cs"/>
          <w:rtl/>
        </w:rPr>
        <w:t>ת</w:t>
      </w:r>
      <w:r w:rsidRPr="0074694D">
        <w:rPr>
          <w:rtl/>
        </w:rPr>
        <w:t>קיימ</w:t>
      </w:r>
      <w:r w:rsidRPr="0074694D">
        <w:rPr>
          <w:rFonts w:hint="cs"/>
          <w:rtl/>
        </w:rPr>
        <w:t>ת</w:t>
      </w:r>
      <w:r w:rsidRPr="0074694D">
        <w:rPr>
          <w:rtl/>
        </w:rPr>
        <w:t xml:space="preserve"> בשבת וחייב</w:t>
      </w:r>
      <w:r w:rsidRPr="0074694D">
        <w:rPr>
          <w:rFonts w:hint="cs"/>
          <w:rtl/>
        </w:rPr>
        <w:t>.</w:t>
      </w:r>
    </w:p>
    <w:p w14:paraId="33CEC736" w14:textId="77777777" w:rsidR="00376F67" w:rsidRDefault="00376F67" w:rsidP="00376F67">
      <w:pPr>
        <w:pStyle w:val="1"/>
        <w:rPr>
          <w:rtl/>
        </w:rPr>
      </w:pPr>
      <w:bookmarkStart w:id="4862" w:name="_Toc143767832"/>
      <w:bookmarkStart w:id="4863" w:name="_Toc143770653"/>
      <w:r>
        <w:rPr>
          <w:rFonts w:hint="cs"/>
          <w:rtl/>
        </w:rPr>
        <w:t>בי' הרי"ד דאף בצריך להוסיף מתקיימת כשאינה עומדת לקלקול</w:t>
      </w:r>
      <w:bookmarkEnd w:id="4862"/>
      <w:bookmarkEnd w:id="4863"/>
    </w:p>
    <w:p w14:paraId="1EBD315F" w14:textId="77777777" w:rsidR="00376F67" w:rsidRDefault="00376F67" w:rsidP="00376F67">
      <w:pPr>
        <w:pStyle w:val="afffff7"/>
        <w:rPr>
          <w:rtl/>
        </w:rPr>
      </w:pPr>
      <w:bookmarkStart w:id="4864" w:name="_Toc143767960"/>
      <w:bookmarkStart w:id="4865" w:name="_Toc163506148"/>
      <w:r>
        <w:rPr>
          <w:rtl/>
        </w:rPr>
        <w:t xml:space="preserve">פסקי רי"ד מסכת שבת </w:t>
      </w:r>
      <w:r>
        <w:rPr>
          <w:rFonts w:hint="cs"/>
          <w:rtl/>
        </w:rPr>
        <w:t>ק"ג ע"א ד"ה זה</w:t>
      </w:r>
      <w:bookmarkEnd w:id="4864"/>
      <w:bookmarkEnd w:id="4865"/>
    </w:p>
    <w:p w14:paraId="5B1BB951" w14:textId="77777777" w:rsidR="00376F67" w:rsidRPr="00EB6552" w:rsidRDefault="00376F67" w:rsidP="00376F67">
      <w:pPr>
        <w:pStyle w:val="a7"/>
        <w:rPr>
          <w:rtl/>
        </w:rPr>
      </w:pPr>
      <w:bookmarkStart w:id="4866" w:name="_Toc143767833"/>
      <w:bookmarkStart w:id="4867" w:name="_Toc143770654"/>
      <w:r>
        <w:rPr>
          <w:rFonts w:hint="cs"/>
          <w:rtl/>
        </w:rPr>
        <w:t>בי' הרי"ד דבנין כ"ש חייב אף בכוונתו להוסיף ומלאכה המתקיימת היינו שאין כוונתו לקלקלה</w:t>
      </w:r>
      <w:bookmarkEnd w:id="4866"/>
      <w:bookmarkEnd w:id="4867"/>
    </w:p>
    <w:p w14:paraId="51A12DEB" w14:textId="03FFC983" w:rsidR="00376F67" w:rsidRDefault="00376F67" w:rsidP="00BC7DC8">
      <w:pPr>
        <w:pStyle w:val="a3"/>
        <w:rPr>
          <w:rtl/>
        </w:rPr>
      </w:pPr>
      <w:bookmarkStart w:id="4868" w:name="_Ref142816896"/>
      <w:r>
        <w:rPr>
          <w:rFonts w:hint="cs"/>
          <w:rtl/>
        </w:rPr>
        <w:t xml:space="preserve">במ"ש </w:t>
      </w:r>
      <w:r w:rsidRPr="001A2014">
        <w:rPr>
          <w:rStyle w:val="aff4"/>
          <w:rFonts w:hint="cs"/>
          <w:vanish/>
          <w:rtl/>
        </w:rPr>
        <w:t>-</w:t>
      </w:r>
      <w:r w:rsidRPr="001A2014">
        <w:rPr>
          <w:rStyle w:val="aff4"/>
          <w:rFonts w:hint="cs"/>
          <w:rtl/>
        </w:rPr>
        <w:t>רש"י</w:t>
      </w:r>
      <w:r w:rsidRPr="001A2014">
        <w:rPr>
          <w:rStyle w:val="aff4"/>
          <w:rFonts w:hint="cs"/>
          <w:vanish/>
          <w:rtl/>
        </w:rPr>
        <w:t>-</w:t>
      </w:r>
      <w:r w:rsidRPr="004F5826">
        <w:rPr>
          <w:rFonts w:hint="cs"/>
          <w:rtl/>
        </w:rPr>
        <w:t xml:space="preserve"> </w:t>
      </w:r>
      <w:r>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Ref143598888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נב)</w:t>
      </w:r>
      <w:r>
        <w:rPr>
          <w:rStyle w:val="af2"/>
          <w:rFonts w:eastAsia="Guttman Hodes"/>
          <w:rtl/>
        </w:rPr>
        <w:fldChar w:fldCharType="end"/>
      </w:r>
      <w:r w:rsidRPr="004F5826">
        <w:rPr>
          <w:rFonts w:hint="cs"/>
          <w:rtl/>
        </w:rPr>
        <w:t xml:space="preserve"> </w:t>
      </w:r>
      <w:r>
        <w:rPr>
          <w:rFonts w:hint="cs"/>
          <w:rtl/>
        </w:rPr>
        <w:t xml:space="preserve">דמלאכתו מתקיימת </w:t>
      </w:r>
      <w:r w:rsidRPr="004F5826">
        <w:rPr>
          <w:rFonts w:hint="cs"/>
          <w:rtl/>
        </w:rPr>
        <w:t>היינו שיש מלאכה כיו"ב שמתקיימת וא"צ להוסיף עליה</w:t>
      </w:r>
      <w:r>
        <w:rPr>
          <w:rFonts w:hint="cs"/>
          <w:rtl/>
        </w:rPr>
        <w:t>,</w:t>
      </w:r>
      <w:bookmarkEnd w:id="4847"/>
      <w:r>
        <w:rPr>
          <w:rFonts w:hint="cs"/>
          <w:rtl/>
        </w:rPr>
        <w:t xml:space="preserve"> דחה </w:t>
      </w:r>
      <w:r w:rsidRPr="001A2014">
        <w:rPr>
          <w:rStyle w:val="aff4"/>
          <w:rFonts w:hint="cs"/>
          <w:vanish/>
          <w:rtl/>
        </w:rPr>
        <w:t>-</w:t>
      </w:r>
      <w:r w:rsidRPr="001A2014">
        <w:rPr>
          <w:rStyle w:val="aff4"/>
          <w:rFonts w:hint="cs"/>
          <w:rtl/>
        </w:rPr>
        <w:t>ב</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Ref142816896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נח)</w:t>
      </w:r>
      <w:r w:rsidRPr="00FF7D8F">
        <w:rPr>
          <w:rStyle w:val="aff4"/>
          <w:vanish/>
          <w:rtl/>
        </w:rPr>
        <w:fldChar w:fldCharType="end"/>
      </w:r>
      <w:r w:rsidRPr="00FF7D8F">
        <w:rPr>
          <w:rStyle w:val="aff4"/>
          <w:rFonts w:hint="cs"/>
          <w:vanish/>
          <w:rtl/>
        </w:rPr>
        <w:t xml:space="preserve"> &gt;</w:t>
      </w:r>
      <w:r w:rsidRPr="001A2014">
        <w:rPr>
          <w:rStyle w:val="aff4"/>
          <w:rFonts w:hint="cs"/>
          <w:rtl/>
        </w:rPr>
        <w:t>פסקי הרי"ד</w:t>
      </w:r>
      <w:r w:rsidRPr="001A2014">
        <w:rPr>
          <w:rStyle w:val="aff4"/>
          <w:rFonts w:hint="cs"/>
          <w:vanish/>
          <w:rtl/>
        </w:rPr>
        <w:t>-</w:t>
      </w:r>
      <w:r>
        <w:rPr>
          <w:rFonts w:hint="cs"/>
          <w:rtl/>
        </w:rPr>
        <w:t xml:space="preserve"> </w:t>
      </w:r>
      <w:r w:rsidRPr="00DB1D3B">
        <w:rPr>
          <w:rStyle w:val="af2"/>
          <w:rFonts w:eastAsia="Guttman Hodes" w:hint="cs"/>
          <w:rtl/>
        </w:rPr>
        <w:t>(קג. ד"ה זה)</w:t>
      </w:r>
      <w:r w:rsidRPr="001A2014">
        <w:rPr>
          <w:rFonts w:hint="cs"/>
          <w:vanish/>
          <w:rtl/>
        </w:rPr>
        <w:t>=</w:t>
      </w:r>
      <w:r>
        <w:rPr>
          <w:rFonts w:hint="cs"/>
          <w:rtl/>
        </w:rPr>
        <w:t xml:space="preserve"> דא"כ החיוב הוא רק כשעושה את את החלק האחרון שאין אחריו תוספת, ורק בזה חייב בכל שהוא, אלא ביאר </w:t>
      </w:r>
      <w:r w:rsidRPr="001A2014">
        <w:rPr>
          <w:rStyle w:val="aff4"/>
          <w:rFonts w:hint="cs"/>
          <w:vanish/>
          <w:rtl/>
        </w:rPr>
        <w:t>-</w:t>
      </w:r>
      <w:r w:rsidRPr="001A2014">
        <w:rPr>
          <w:rStyle w:val="aff4"/>
          <w:rFonts w:hint="cs"/>
          <w:rtl/>
        </w:rPr>
        <w:t>בפסקי הרי"ד</w:t>
      </w:r>
      <w:r w:rsidRPr="001A2014">
        <w:rPr>
          <w:rStyle w:val="aff4"/>
          <w:rFonts w:hint="cs"/>
          <w:vanish/>
          <w:rtl/>
        </w:rPr>
        <w:t>-</w:t>
      </w:r>
      <w:r>
        <w:rPr>
          <w:rFonts w:hint="cs"/>
          <w:rtl/>
        </w:rPr>
        <w:t xml:space="preserve"> דכל בונה כל שהוא בתחילה או באמצע או בסוף חייב, ואף שכוונתו להוסיף עליו הרבה בנין, חשיב מלאכתו מתקיימת</w:t>
      </w:r>
      <w:r w:rsidRPr="002648F9">
        <w:rPr>
          <w:rFonts w:hint="cs"/>
          <w:rtl/>
        </w:rPr>
        <w:t xml:space="preserve"> </w:t>
      </w:r>
      <w:r>
        <w:rPr>
          <w:rFonts w:hint="cs"/>
          <w:rtl/>
        </w:rPr>
        <w:t xml:space="preserve">כיון דאין כוונתו לקלקלו, ואם בנה בנין שאינו יפה וכוונתו לקלקלו ולחזור ולבנותו יפה לא חשיב כלום, ובמ"ש </w:t>
      </w:r>
      <w:r w:rsidRPr="001A2014">
        <w:rPr>
          <w:rStyle w:val="aff4"/>
          <w:rFonts w:hint="cs"/>
          <w:vanish/>
          <w:rtl/>
        </w:rPr>
        <w:t>-</w:t>
      </w:r>
      <w:r w:rsidRPr="001A2014">
        <w:rPr>
          <w:rStyle w:val="aff4"/>
          <w:rFonts w:hint="cs"/>
          <w:rtl/>
        </w:rPr>
        <w:t>רש"י</w:t>
      </w:r>
      <w:r w:rsidRPr="001A2014">
        <w:rPr>
          <w:rStyle w:val="aff4"/>
          <w:rFonts w:hint="cs"/>
          <w:vanish/>
          <w:rtl/>
        </w:rPr>
        <w:t>-</w:t>
      </w:r>
      <w:r>
        <w:rPr>
          <w:rFonts w:hint="cs"/>
          <w:rtl/>
        </w:rPr>
        <w:t xml:space="preserve"> </w:t>
      </w:r>
      <w:r w:rsidRPr="00DB1D3B">
        <w:rPr>
          <w:rStyle w:val="af2"/>
          <w:rFonts w:eastAsia="Guttman Hodes" w:hint="cs"/>
          <w:rtl/>
        </w:rPr>
        <w:t xml:space="preserve">(עי' אות </w:t>
      </w:r>
      <w:r w:rsidRPr="00DB1D3B">
        <w:rPr>
          <w:rStyle w:val="af2"/>
          <w:rFonts w:eastAsia="Guttman Hodes"/>
          <w:rtl/>
        </w:rPr>
        <w:fldChar w:fldCharType="begin"/>
      </w:r>
      <w:r w:rsidRPr="00DB1D3B">
        <w:rPr>
          <w:rStyle w:val="af2"/>
          <w:rFonts w:eastAsia="Guttman Hodes"/>
          <w:rtl/>
        </w:rPr>
        <w:instrText xml:space="preserve"> </w:instrText>
      </w:r>
      <w:r w:rsidRPr="00DB1D3B">
        <w:rPr>
          <w:rStyle w:val="af2"/>
          <w:rFonts w:eastAsia="Guttman Hodes" w:hint="cs"/>
        </w:rPr>
        <w:instrText>REF</w:instrText>
      </w:r>
      <w:r w:rsidRPr="00DB1D3B">
        <w:rPr>
          <w:rStyle w:val="af2"/>
          <w:rFonts w:eastAsia="Guttman Hodes" w:hint="cs"/>
          <w:rtl/>
        </w:rPr>
        <w:instrText xml:space="preserve"> _</w:instrText>
      </w:r>
      <w:r w:rsidRPr="00DB1D3B">
        <w:rPr>
          <w:rStyle w:val="af2"/>
          <w:rFonts w:eastAsia="Guttman Hodes" w:hint="cs"/>
        </w:rPr>
        <w:instrText>Ref141179172 \r \h</w:instrText>
      </w:r>
      <w:r w:rsidRPr="00DB1D3B">
        <w:rPr>
          <w:rStyle w:val="af2"/>
          <w:rFonts w:eastAsia="Guttman Hodes"/>
          <w:rtl/>
        </w:rPr>
        <w:instrText xml:space="preserve"> </w:instrText>
      </w:r>
      <w:r w:rsidRPr="00DB1D3B">
        <w:rPr>
          <w:rStyle w:val="af2"/>
          <w:rFonts w:eastAsia="Guttman Hodes"/>
          <w:rtl/>
        </w:rPr>
      </w:r>
      <w:r w:rsidRPr="00DB1D3B">
        <w:rPr>
          <w:rStyle w:val="af2"/>
          <w:rFonts w:eastAsia="Guttman Hodes"/>
          <w:rtl/>
        </w:rPr>
        <w:fldChar w:fldCharType="separate"/>
      </w:r>
      <w:r w:rsidR="00D82181">
        <w:rPr>
          <w:rStyle w:val="af2"/>
          <w:rFonts w:eastAsia="Guttman Hodes"/>
          <w:cs/>
        </w:rPr>
        <w:t>‎</w:t>
      </w:r>
      <w:r w:rsidR="00D82181">
        <w:rPr>
          <w:rStyle w:val="af2"/>
          <w:rFonts w:eastAsia="Guttman Hodes"/>
          <w:rtl/>
        </w:rPr>
        <w:t>נג)</w:t>
      </w:r>
      <w:r w:rsidRPr="00DB1D3B">
        <w:rPr>
          <w:rStyle w:val="af2"/>
          <w:rFonts w:eastAsia="Guttman Hodes"/>
          <w:rtl/>
        </w:rPr>
        <w:fldChar w:fldCharType="end"/>
      </w:r>
      <w:r>
        <w:rPr>
          <w:rFonts w:hint="cs"/>
          <w:rtl/>
        </w:rPr>
        <w:t xml:space="preserve"> דחק קפיזא</w:t>
      </w:r>
      <w:r w:rsidRPr="00A106BB">
        <w:rPr>
          <w:rFonts w:hint="cs"/>
          <w:rtl/>
        </w:rPr>
        <w:t xml:space="preserve"> </w:t>
      </w:r>
      <w:r>
        <w:rPr>
          <w:rFonts w:hint="cs"/>
          <w:rtl/>
        </w:rPr>
        <w:t>בקבא</w:t>
      </w:r>
      <w:r w:rsidRPr="00A106BB">
        <w:rPr>
          <w:rFonts w:hint="cs"/>
          <w:rtl/>
        </w:rPr>
        <w:t xml:space="preserve"> </w:t>
      </w:r>
      <w:r>
        <w:rPr>
          <w:rFonts w:hint="cs"/>
          <w:rtl/>
        </w:rPr>
        <w:t xml:space="preserve">חייב אף דכוונתו להוסיף ולחקוק בו כיון שיש שמקיימין כן, דחה </w:t>
      </w:r>
      <w:r w:rsidRPr="001A2014">
        <w:rPr>
          <w:rStyle w:val="aff4"/>
          <w:rFonts w:hint="cs"/>
          <w:vanish/>
          <w:rtl/>
        </w:rPr>
        <w:t>-</w:t>
      </w:r>
      <w:r w:rsidRPr="001A2014">
        <w:rPr>
          <w:rStyle w:val="aff4"/>
          <w:rFonts w:hint="cs"/>
          <w:rtl/>
        </w:rPr>
        <w:t>הרי"ד</w:t>
      </w:r>
      <w:r w:rsidRPr="001A2014">
        <w:rPr>
          <w:rStyle w:val="aff4"/>
          <w:rFonts w:hint="cs"/>
          <w:vanish/>
          <w:rtl/>
        </w:rPr>
        <w:t>-</w:t>
      </w:r>
      <w:r>
        <w:rPr>
          <w:rFonts w:hint="cs"/>
          <w:rtl/>
        </w:rPr>
        <w:t xml:space="preserve"> דביאור זה הוא רק לפי </w:t>
      </w:r>
      <w:r w:rsidRPr="001A2014">
        <w:rPr>
          <w:rStyle w:val="aff4"/>
          <w:rFonts w:hint="cs"/>
          <w:vanish/>
          <w:rtl/>
        </w:rPr>
        <w:t>-</w:t>
      </w:r>
      <w:r w:rsidRPr="001A2014">
        <w:rPr>
          <w:rStyle w:val="aff4"/>
          <w:rFonts w:hint="cs"/>
          <w:rtl/>
        </w:rPr>
        <w:t>רש"י</w:t>
      </w:r>
      <w:r w:rsidRPr="001A2014">
        <w:rPr>
          <w:rStyle w:val="aff4"/>
          <w:rFonts w:hint="cs"/>
          <w:vanish/>
          <w:rtl/>
        </w:rPr>
        <w:t>-</w:t>
      </w:r>
      <w:r>
        <w:rPr>
          <w:rFonts w:hint="cs"/>
          <w:rtl/>
        </w:rPr>
        <w:t xml:space="preserve"> אבל לפי ביאורו חייב אף כשאין מקיימין כן כלל, כיון שאינו עומד לסתור את מה שחקק כבר, ואינה נסתרת מאיליה, וא"כ היא מלאכה חשובה, אעפ"י שהוא עתיד להוסיף עליה.</w:t>
      </w:r>
      <w:bookmarkEnd w:id="4868"/>
    </w:p>
    <w:p w14:paraId="2F6B73E1" w14:textId="77777777" w:rsidR="00376F67" w:rsidRPr="00290279" w:rsidRDefault="00376F67" w:rsidP="00376F67">
      <w:pPr>
        <w:pStyle w:val="a7"/>
        <w:rPr>
          <w:rtl/>
        </w:rPr>
      </w:pPr>
    </w:p>
    <w:p w14:paraId="48493A9B" w14:textId="77777777" w:rsidR="00376F67" w:rsidRPr="00290279" w:rsidRDefault="00376F67" w:rsidP="00376F67">
      <w:pPr>
        <w:pStyle w:val="a7"/>
        <w:rPr>
          <w:rtl/>
        </w:rPr>
      </w:pPr>
    </w:p>
    <w:p w14:paraId="3C5A2B2B" w14:textId="77777777" w:rsidR="00376F67" w:rsidRPr="0074694D" w:rsidRDefault="00376F67" w:rsidP="00376F67">
      <w:pPr>
        <w:pStyle w:val="a2"/>
        <w:tabs>
          <w:tab w:val="num" w:pos="284"/>
        </w:tabs>
        <w:rPr>
          <w:vanish w:val="0"/>
        </w:rPr>
      </w:pPr>
      <w:r w:rsidRPr="0074694D">
        <w:rPr>
          <w:rtl/>
        </w:rPr>
        <w:t>פיס'. זה הכלל כל העושה מלאכה ומלאכתו מתקיימת בשבת חייב. פירש המורה שיש מקיימין כיוצא בו ואין מוסיפין עליו. ואינו נראה לי, דאם כן עד שלא יעשה אותו כל שהוא, שאין אחריו עוד מלאכה אינו חייב, אלא כל שהוא שיעשה בין בתחילת המלאכה בין באמצ' ובין בסוף חייב, ואף על פי שעתיד (לעשות עליו) להוסיף עליו הרבה, ובלבד שאותו כל שהוא שעשה אינו עתיד לקלקלו, אלא שהוא רוצה להוסיף עליו וזהו מתקיימת, שאינו עתיד לקלקל מה שעשה, שאם לא עשה יפה והוא עומד לקלקלו ולעשותו לכתחילה אינו חשוב כל מה שעשה כלום</w:t>
      </w:r>
      <w:r w:rsidRPr="0074694D">
        <w:rPr>
          <w:rFonts w:hint="cs"/>
          <w:rtl/>
        </w:rPr>
        <w:t>.</w:t>
      </w:r>
      <w:r w:rsidRPr="0074694D">
        <w:rPr>
          <w:rtl/>
        </w:rPr>
        <w:t xml:space="preserve"> זה הכלל לאייתויי מאי, לאייתויי דחק קפיזא בקבא. פי' שנה מלאכות חוצבי האבנים ומלאכת הנפח ומלאכת הנגר, וריבה בזה הכלל מלאכת החוקק את הכלים, דבחקיקה כל שהיא מתחייב, ולאו דווקא קפיזא אלא בפחות מיכן. ופירש המורה ואף על פי שעתיד להוסיף עליו יש שמקיימין כן. והמורה הולך אחר סברתו, ואין אנו צריכין לכך אלא אף על פי שאין מי שיקיים כן כיון שאותה החקיקה שעשה אינו עתיד לסותרה ואינה נסתרת מאיליה, אף על פי שעתיד להוסיף עליה, מלאכה חשובה היא.</w:t>
      </w:r>
    </w:p>
    <w:p w14:paraId="6A36E8CF" w14:textId="77777777" w:rsidR="00376F67" w:rsidRDefault="00376F67" w:rsidP="00376F67">
      <w:pPr>
        <w:pStyle w:val="1"/>
        <w:rPr>
          <w:rtl/>
        </w:rPr>
      </w:pPr>
      <w:bookmarkStart w:id="4869" w:name="_Toc143767834"/>
      <w:bookmarkStart w:id="4870" w:name="_Toc143770655"/>
      <w:r>
        <w:rPr>
          <w:rFonts w:hint="cs"/>
          <w:rtl/>
        </w:rPr>
        <w:t>בי' הריטב"א דמתקיימת היינו אף רק לבו ביום כבנין לשעה</w:t>
      </w:r>
      <w:bookmarkEnd w:id="4869"/>
      <w:bookmarkEnd w:id="4870"/>
    </w:p>
    <w:p w14:paraId="578E4562" w14:textId="77777777" w:rsidR="00376F67" w:rsidRDefault="00376F67" w:rsidP="00376F67">
      <w:pPr>
        <w:pStyle w:val="afffff7"/>
        <w:rPr>
          <w:rtl/>
        </w:rPr>
      </w:pPr>
      <w:bookmarkStart w:id="4871" w:name="_Toc143767961"/>
      <w:bookmarkStart w:id="4872" w:name="_Toc163506149"/>
      <w:r>
        <w:rPr>
          <w:rtl/>
        </w:rPr>
        <w:t>חדושי הריטב"א שבת ק"ב ע"ב</w:t>
      </w:r>
      <w:r>
        <w:rPr>
          <w:rFonts w:hint="cs"/>
          <w:rtl/>
        </w:rPr>
        <w:t xml:space="preserve"> ד"ה זה</w:t>
      </w:r>
      <w:bookmarkEnd w:id="4871"/>
      <w:bookmarkEnd w:id="4872"/>
    </w:p>
    <w:p w14:paraId="0808A7EE" w14:textId="77777777" w:rsidR="00376F67" w:rsidRDefault="00376F67" w:rsidP="00376F67">
      <w:pPr>
        <w:pStyle w:val="a7"/>
        <w:rPr>
          <w:rtl/>
        </w:rPr>
      </w:pPr>
      <w:bookmarkStart w:id="4873" w:name="_Toc143767835"/>
      <w:bookmarkStart w:id="4874" w:name="_Toc143770656"/>
      <w:r>
        <w:rPr>
          <w:rFonts w:hint="cs"/>
          <w:rtl/>
        </w:rPr>
        <w:t>בי' הריטב"א דמתקיימת בשבת היינו אף כשהקיום שלה הוא רק לשבת בו ביום כבנין לשעה</w:t>
      </w:r>
      <w:bookmarkEnd w:id="4873"/>
      <w:bookmarkEnd w:id="4874"/>
    </w:p>
    <w:p w14:paraId="4F1F1B72" w14:textId="7B6BF0D3" w:rsidR="00376F67" w:rsidRPr="000B65C1" w:rsidRDefault="00376F67" w:rsidP="00BC7DC8">
      <w:pPr>
        <w:pStyle w:val="a3"/>
        <w:rPr>
          <w:rtl/>
        </w:rPr>
      </w:pPr>
      <w:r w:rsidRPr="001A2014">
        <w:rPr>
          <w:rStyle w:val="aff4"/>
          <w:rFonts w:hint="cs"/>
          <w:vanish/>
          <w:rtl/>
        </w:rPr>
        <w:t>-</w:t>
      </w:r>
      <w:bookmarkStart w:id="4875" w:name="_Ref143159453"/>
      <w:r w:rsidRPr="001A2014">
        <w:rPr>
          <w:rStyle w:val="aff4"/>
          <w:rFonts w:hint="cs"/>
          <w:rtl/>
        </w:rPr>
        <w:t>וה</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Ref143159453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נט)</w:t>
      </w:r>
      <w:r w:rsidRPr="00FF7D8F">
        <w:rPr>
          <w:rStyle w:val="aff4"/>
          <w:vanish/>
          <w:rtl/>
        </w:rPr>
        <w:fldChar w:fldCharType="end"/>
      </w:r>
      <w:r w:rsidRPr="00FF7D8F">
        <w:rPr>
          <w:rStyle w:val="aff4"/>
          <w:rFonts w:hint="cs"/>
          <w:vanish/>
          <w:rtl/>
        </w:rPr>
        <w:t xml:space="preserve"> &gt;</w:t>
      </w:r>
      <w:r w:rsidRPr="001A2014">
        <w:rPr>
          <w:rStyle w:val="aff4"/>
          <w:rFonts w:hint="cs"/>
          <w:rtl/>
        </w:rPr>
        <w:t>ריטב"א</w:t>
      </w:r>
      <w:r w:rsidRPr="001A2014">
        <w:rPr>
          <w:rStyle w:val="aff4"/>
          <w:rFonts w:hint="cs"/>
          <w:vanish/>
          <w:rtl/>
        </w:rPr>
        <w:t>-</w:t>
      </w:r>
      <w:r>
        <w:rPr>
          <w:rFonts w:hint="cs"/>
          <w:rtl/>
        </w:rPr>
        <w:t xml:space="preserve"> </w:t>
      </w:r>
      <w:r w:rsidRPr="00DB1D3B">
        <w:rPr>
          <w:rStyle w:val="af2"/>
          <w:rFonts w:eastAsia="Guttman Hodes" w:hint="cs"/>
          <w:rtl/>
        </w:rPr>
        <w:t>(ד"ה זה)</w:t>
      </w:r>
      <w:r w:rsidRPr="001A2014">
        <w:rPr>
          <w:rFonts w:hint="cs"/>
          <w:vanish/>
          <w:rtl/>
        </w:rPr>
        <w:t>=</w:t>
      </w:r>
      <w:r>
        <w:rPr>
          <w:rFonts w:hint="cs"/>
          <w:rtl/>
        </w:rPr>
        <w:t xml:space="preserve"> הביא בשם </w:t>
      </w:r>
      <w:r w:rsidRPr="001A2014">
        <w:rPr>
          <w:rStyle w:val="aff4"/>
          <w:rFonts w:hint="cs"/>
          <w:vanish/>
          <w:rtl/>
        </w:rPr>
        <w:t>-</w:t>
      </w:r>
      <w:r w:rsidRPr="001A2014">
        <w:rPr>
          <w:rStyle w:val="aff4"/>
          <w:rFonts w:hint="cs"/>
          <w:rtl/>
        </w:rPr>
        <w:t>י"מ</w:t>
      </w:r>
      <w:r w:rsidRPr="001A2014">
        <w:rPr>
          <w:rStyle w:val="aff4"/>
          <w:rFonts w:hint="cs"/>
          <w:vanish/>
          <w:rtl/>
        </w:rPr>
        <w:t>-</w:t>
      </w:r>
      <w:r>
        <w:rPr>
          <w:rFonts w:hint="cs"/>
          <w:rtl/>
        </w:rPr>
        <w:t xml:space="preserve"> דביארו דמלאכתו מתקיימת בשבת, אין הכוונה </w:t>
      </w:r>
      <w:r w:rsidRPr="001A2014">
        <w:rPr>
          <w:rStyle w:val="aff4"/>
          <w:rFonts w:hint="cs"/>
          <w:vanish/>
          <w:rtl/>
        </w:rPr>
        <w:t>-</w:t>
      </w:r>
      <w:r w:rsidRPr="001A2014">
        <w:rPr>
          <w:rStyle w:val="aff4"/>
          <w:rFonts w:hint="cs"/>
          <w:rtl/>
        </w:rPr>
        <w:t>כרש"י</w:t>
      </w:r>
      <w:r w:rsidRPr="001A2014">
        <w:rPr>
          <w:rStyle w:val="aff4"/>
          <w:rFonts w:hint="cs"/>
          <w:vanish/>
          <w:rtl/>
        </w:rPr>
        <w:t>-</w:t>
      </w:r>
      <w:r>
        <w:rPr>
          <w:rFonts w:hint="cs"/>
          <w:rtl/>
        </w:rPr>
        <w:t xml:space="preserve"> </w:t>
      </w:r>
      <w:r>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Ref143598888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נב)</w:t>
      </w:r>
      <w:r>
        <w:rPr>
          <w:rStyle w:val="af2"/>
          <w:rFonts w:eastAsia="Guttman Hodes"/>
          <w:rtl/>
        </w:rPr>
        <w:fldChar w:fldCharType="end"/>
      </w:r>
      <w:r w:rsidRPr="004F5826">
        <w:rPr>
          <w:rFonts w:hint="cs"/>
          <w:rtl/>
        </w:rPr>
        <w:t xml:space="preserve"> </w:t>
      </w:r>
      <w:r>
        <w:rPr>
          <w:rFonts w:hint="cs"/>
          <w:rtl/>
        </w:rPr>
        <w:t xml:space="preserve">דעשה בשבת מלאכה המתקיימת, אלא אף כשעשה מלאכה לשעה שהיא מתקיימת רק לבו ביום חייב, וכדאיתא בירושלמי </w:t>
      </w:r>
      <w:r w:rsidRPr="00DB1D3B">
        <w:rPr>
          <w:rStyle w:val="af2"/>
          <w:rFonts w:eastAsia="Guttman Hodes"/>
          <w:rtl/>
        </w:rPr>
        <w:t>(פ"ז ה"ב</w:t>
      </w:r>
      <w:r w:rsidRPr="00DB1D3B">
        <w:rPr>
          <w:rStyle w:val="af2"/>
          <w:rFonts w:eastAsia="Guttman Hodes" w:hint="cs"/>
          <w:rtl/>
        </w:rPr>
        <w:t>, נב:, מהדו' עוז והדר סד.</w:t>
      </w:r>
      <w:r w:rsidRPr="00DB1D3B">
        <w:rPr>
          <w:rStyle w:val="af2"/>
          <w:rFonts w:eastAsia="Guttman Hodes"/>
          <w:rtl/>
        </w:rPr>
        <w:t>)</w:t>
      </w:r>
      <w:r>
        <w:rPr>
          <w:rFonts w:hint="cs"/>
          <w:rtl/>
        </w:rPr>
        <w:t xml:space="preserve"> דבנין לשעה הוי בנין. </w:t>
      </w:r>
      <w:r w:rsidRPr="00A655AF">
        <w:rPr>
          <w:rStyle w:val="af"/>
          <w:rFonts w:hint="cs"/>
          <w:rtl/>
        </w:rPr>
        <w:t xml:space="preserve">[בביאור גי' </w:t>
      </w:r>
      <w:r w:rsidRPr="001B1FAC">
        <w:rPr>
          <w:rStyle w:val="aff9"/>
          <w:rFonts w:hint="cs"/>
          <w:vanish/>
          <w:rtl/>
        </w:rPr>
        <w:t>-</w:t>
      </w:r>
      <w:r w:rsidRPr="00A655AF">
        <w:rPr>
          <w:rStyle w:val="aff9"/>
          <w:rFonts w:hint="cs"/>
          <w:rtl/>
        </w:rPr>
        <w:t>הראשונים</w:t>
      </w:r>
      <w:r w:rsidRPr="001B1FAC">
        <w:rPr>
          <w:rStyle w:val="aff9"/>
          <w:rFonts w:hint="cs"/>
          <w:vanish/>
          <w:rtl/>
        </w:rPr>
        <w:t>-</w:t>
      </w:r>
      <w:r w:rsidRPr="00A655AF">
        <w:rPr>
          <w:rStyle w:val="af"/>
          <w:rFonts w:hint="cs"/>
          <w:rtl/>
        </w:rPr>
        <w:t xml:space="preserve"> בירושלמי, עי' במ"ש </w:t>
      </w:r>
      <w:r w:rsidRPr="001B1FAC">
        <w:rPr>
          <w:rStyle w:val="aff9"/>
          <w:rFonts w:hint="cs"/>
          <w:vanish/>
          <w:rtl/>
        </w:rPr>
        <w:t>-</w:t>
      </w:r>
      <w:r w:rsidRPr="00A655AF">
        <w:rPr>
          <w:rStyle w:val="aff9"/>
          <w:rFonts w:hint="cs"/>
          <w:rtl/>
        </w:rPr>
        <w:t>בביאור הגרח"ק</w:t>
      </w:r>
      <w:r w:rsidRPr="001B1FAC">
        <w:rPr>
          <w:rStyle w:val="aff9"/>
          <w:rFonts w:hint="cs"/>
          <w:vanish/>
          <w:rtl/>
        </w:rPr>
        <w:t>-</w:t>
      </w:r>
      <w:r w:rsidRPr="00A655AF">
        <w:rPr>
          <w:rStyle w:val="af"/>
          <w:rFonts w:hint="cs"/>
          <w:rtl/>
        </w:rPr>
        <w:t xml:space="preserve"> </w:t>
      </w:r>
      <w:r w:rsidRPr="001B1FAC">
        <w:rPr>
          <w:rStyle w:val="aff0"/>
          <w:rFonts w:hint="cs"/>
          <w:rtl/>
        </w:rPr>
        <w:t>(עי' בהערה)</w:t>
      </w:r>
      <w:r w:rsidRPr="00A655AF">
        <w:rPr>
          <w:rStyle w:val="af"/>
          <w:rFonts w:hint="cs"/>
          <w:rtl/>
        </w:rPr>
        <w:t>]</w:t>
      </w:r>
      <w:r w:rsidRPr="002F7D5C">
        <w:rPr>
          <w:vertAlign w:val="superscript"/>
          <w:rtl/>
        </w:rPr>
        <w:fldChar w:fldCharType="begin"/>
      </w:r>
      <w:r w:rsidRPr="002F7D5C">
        <w:rPr>
          <w:vertAlign w:val="superscript"/>
          <w:rtl/>
        </w:rPr>
        <w:instrText xml:space="preserve"> </w:instrText>
      </w:r>
      <w:r w:rsidRPr="002F7D5C">
        <w:rPr>
          <w:rFonts w:hint="cs"/>
          <w:vertAlign w:val="superscript"/>
        </w:rPr>
        <w:instrText>NOTEREF</w:instrText>
      </w:r>
      <w:r w:rsidRPr="002F7D5C">
        <w:rPr>
          <w:rFonts w:hint="cs"/>
          <w:vertAlign w:val="superscript"/>
          <w:rtl/>
        </w:rPr>
        <w:instrText xml:space="preserve"> _</w:instrText>
      </w:r>
      <w:r w:rsidRPr="002F7D5C">
        <w:rPr>
          <w:rFonts w:hint="cs"/>
          <w:vertAlign w:val="superscript"/>
        </w:rPr>
        <w:instrText>Ref143429871 \h</w:instrText>
      </w:r>
      <w:r w:rsidRPr="002F7D5C">
        <w:rPr>
          <w:vertAlign w:val="superscript"/>
          <w:rtl/>
        </w:rPr>
        <w:instrText xml:space="preserve"> </w:instrText>
      </w:r>
      <w:r>
        <w:rPr>
          <w:vertAlign w:val="superscript"/>
          <w:rtl/>
        </w:rPr>
        <w:instrText xml:space="preserve"> \* </w:instrText>
      </w:r>
      <w:r>
        <w:rPr>
          <w:vertAlign w:val="superscript"/>
        </w:rPr>
        <w:instrText>MERGEFORMAT</w:instrText>
      </w:r>
      <w:r>
        <w:rPr>
          <w:vertAlign w:val="superscript"/>
          <w:rtl/>
        </w:rPr>
        <w:instrText xml:space="preserve"> </w:instrText>
      </w:r>
      <w:r w:rsidRPr="002F7D5C">
        <w:rPr>
          <w:vertAlign w:val="superscript"/>
          <w:rtl/>
        </w:rPr>
      </w:r>
      <w:r w:rsidRPr="002F7D5C">
        <w:rPr>
          <w:vertAlign w:val="superscript"/>
          <w:rtl/>
        </w:rPr>
        <w:fldChar w:fldCharType="separate"/>
      </w:r>
      <w:r w:rsidR="00D82181">
        <w:rPr>
          <w:vertAlign w:val="superscript"/>
          <w:rtl/>
        </w:rPr>
        <w:t>13</w:t>
      </w:r>
      <w:r w:rsidRPr="002F7D5C">
        <w:rPr>
          <w:vertAlign w:val="superscript"/>
          <w:rtl/>
        </w:rPr>
        <w:fldChar w:fldCharType="end"/>
      </w:r>
      <w:r>
        <w:rPr>
          <w:rFonts w:hint="cs"/>
          <w:rtl/>
        </w:rPr>
        <w:t>.</w:t>
      </w:r>
      <w:bookmarkEnd w:id="4875"/>
    </w:p>
    <w:p w14:paraId="776CB0EA" w14:textId="77777777" w:rsidR="00376F67" w:rsidRPr="0074694D" w:rsidRDefault="00376F67" w:rsidP="00376F67">
      <w:pPr>
        <w:pStyle w:val="a2"/>
        <w:tabs>
          <w:tab w:val="num" w:pos="284"/>
        </w:tabs>
        <w:rPr>
          <w:vanish w:val="0"/>
          <w:rtl/>
        </w:rPr>
      </w:pPr>
      <w:r w:rsidRPr="0074694D">
        <w:rPr>
          <w:rtl/>
        </w:rPr>
        <w:t>זה הכלל כל העושה מלאכה ומלאכתו מתקיימת בשבת. פרש"י ז"ל דהאי בשבת אעושה מלאכה קאי וכאילו קתני העושה מלאכה בשבת ומלאכתו מתקיימת, ויש שפירשו דהכי קאמר דאפילו אין מלאכתו אלא לשעה שאינו בנין קיים אלא לבו ביום בלבד חייב, וכענין שאמרו בירושלמי בנין לשעה בנין.</w:t>
      </w:r>
    </w:p>
    <w:p w14:paraId="1FCBEC4F" w14:textId="77777777" w:rsidR="00376F67" w:rsidRPr="00B667B5" w:rsidRDefault="00376F67" w:rsidP="00376F67">
      <w:pPr>
        <w:pStyle w:val="1"/>
      </w:pPr>
      <w:bookmarkStart w:id="4876" w:name="_Toc143767836"/>
      <w:bookmarkStart w:id="4877" w:name="_Toc143770657"/>
      <w:r>
        <w:rPr>
          <w:rFonts w:hint="cs"/>
          <w:rtl/>
        </w:rPr>
        <w:lastRenderedPageBreak/>
        <w:t>בי' המ"מ ברמב"ם דמתקיימת דכל מלאכה חייב רק במתקיים</w:t>
      </w:r>
      <w:bookmarkEnd w:id="4876"/>
      <w:bookmarkEnd w:id="4877"/>
    </w:p>
    <w:p w14:paraId="6D354A5E" w14:textId="77777777" w:rsidR="00376F67" w:rsidRDefault="00376F67" w:rsidP="00376F67">
      <w:pPr>
        <w:pStyle w:val="afffff7"/>
        <w:rPr>
          <w:rtl/>
        </w:rPr>
      </w:pPr>
      <w:bookmarkStart w:id="4878" w:name="_Toc143767962"/>
      <w:bookmarkStart w:id="4879" w:name="_Toc163506150"/>
      <w:r>
        <w:rPr>
          <w:rtl/>
        </w:rPr>
        <w:t>רמב"ם שבת פ"ט הי"ג</w:t>
      </w:r>
      <w:bookmarkEnd w:id="4878"/>
      <w:bookmarkEnd w:id="4879"/>
    </w:p>
    <w:p w14:paraId="3072F6C7" w14:textId="77777777" w:rsidR="00376F67" w:rsidRDefault="00376F67" w:rsidP="00376F67">
      <w:pPr>
        <w:pStyle w:val="afffff7"/>
        <w:rPr>
          <w:rtl/>
        </w:rPr>
      </w:pPr>
      <w:bookmarkStart w:id="4880" w:name="_Toc143767963"/>
      <w:bookmarkStart w:id="4881" w:name="_Toc163506151"/>
      <w:r>
        <w:rPr>
          <w:rtl/>
        </w:rPr>
        <w:t>מגיד משנה שבת פ"ט הי"ג</w:t>
      </w:r>
      <w:bookmarkEnd w:id="4880"/>
      <w:bookmarkEnd w:id="4881"/>
    </w:p>
    <w:p w14:paraId="4572093C" w14:textId="77777777" w:rsidR="00376F67" w:rsidRDefault="00376F67" w:rsidP="00376F67">
      <w:pPr>
        <w:pStyle w:val="afffff7"/>
        <w:rPr>
          <w:rtl/>
        </w:rPr>
      </w:pPr>
      <w:bookmarkStart w:id="4882" w:name="_Toc143767964"/>
      <w:bookmarkStart w:id="4883" w:name="_Toc163506152"/>
      <w:r>
        <w:rPr>
          <w:rtl/>
        </w:rPr>
        <w:t>רמב"ם שבת פי"א הט"ו</w:t>
      </w:r>
      <w:bookmarkEnd w:id="4882"/>
      <w:bookmarkEnd w:id="4883"/>
    </w:p>
    <w:p w14:paraId="42D90D93" w14:textId="77777777" w:rsidR="00376F67" w:rsidRDefault="00376F67" w:rsidP="00376F67">
      <w:pPr>
        <w:pStyle w:val="afffff7"/>
        <w:rPr>
          <w:rtl/>
        </w:rPr>
      </w:pPr>
      <w:bookmarkStart w:id="4884" w:name="_Toc143767965"/>
      <w:bookmarkStart w:id="4885" w:name="_Toc163506153"/>
      <w:r>
        <w:rPr>
          <w:rtl/>
        </w:rPr>
        <w:t>מגיד משנה שבת פי"א הט"ו</w:t>
      </w:r>
      <w:bookmarkEnd w:id="4884"/>
      <w:bookmarkEnd w:id="4885"/>
    </w:p>
    <w:p w14:paraId="1BEAA4E2" w14:textId="77777777" w:rsidR="00376F67" w:rsidRDefault="00376F67" w:rsidP="00376F67">
      <w:pPr>
        <w:pStyle w:val="a7"/>
        <w:rPr>
          <w:rtl/>
        </w:rPr>
      </w:pPr>
      <w:bookmarkStart w:id="4886" w:name="_Toc143767837"/>
      <w:bookmarkStart w:id="4887" w:name="_Toc143770658"/>
      <w:r>
        <w:rPr>
          <w:rFonts w:hint="cs"/>
          <w:rtl/>
        </w:rPr>
        <w:t>בי' המ"מ ברמב"ם דחיוב צובע וכותב הוא רק בדבר המתקיים כדתנן דחייב במלאכתו מתקיימת</w:t>
      </w:r>
      <w:bookmarkEnd w:id="4886"/>
      <w:bookmarkEnd w:id="4887"/>
    </w:p>
    <w:p w14:paraId="13C43BD6" w14:textId="3E81FEDD" w:rsidR="00376F67" w:rsidRDefault="00376F67" w:rsidP="00BC7DC8">
      <w:pPr>
        <w:pStyle w:val="a3"/>
        <w:rPr>
          <w:rtl/>
        </w:rPr>
      </w:pPr>
      <w:bookmarkStart w:id="4888" w:name="_Ref140832874"/>
      <w:r>
        <w:rPr>
          <w:rFonts w:hint="cs"/>
          <w:rtl/>
        </w:rPr>
        <w:t xml:space="preserve">עי' במ"ש </w:t>
      </w:r>
      <w:r w:rsidRPr="001A2014">
        <w:rPr>
          <w:rStyle w:val="aff4"/>
          <w:rFonts w:hint="cs"/>
          <w:vanish/>
          <w:rtl/>
        </w:rPr>
        <w:t>-</w:t>
      </w:r>
      <w:r w:rsidRPr="001A2014">
        <w:rPr>
          <w:rStyle w:val="aff4"/>
          <w:rFonts w:hint="cs"/>
          <w:rtl/>
        </w:rPr>
        <w:t>ה</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Ref140832874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ס)</w:t>
      </w:r>
      <w:r w:rsidRPr="00FF7D8F">
        <w:rPr>
          <w:rStyle w:val="aff4"/>
          <w:vanish/>
          <w:rtl/>
        </w:rPr>
        <w:fldChar w:fldCharType="end"/>
      </w:r>
      <w:r w:rsidRPr="00FF7D8F">
        <w:rPr>
          <w:rStyle w:val="aff4"/>
          <w:rFonts w:hint="cs"/>
          <w:vanish/>
          <w:rtl/>
        </w:rPr>
        <w:t xml:space="preserve"> &gt;</w:t>
      </w:r>
      <w:r w:rsidRPr="001A2014">
        <w:rPr>
          <w:rStyle w:val="aff4"/>
          <w:rFonts w:hint="cs"/>
          <w:rtl/>
        </w:rPr>
        <w:t>רמב"ם</w:t>
      </w:r>
      <w:r w:rsidRPr="001A2014">
        <w:rPr>
          <w:rStyle w:val="aff4"/>
          <w:rFonts w:hint="cs"/>
          <w:vanish/>
          <w:rtl/>
        </w:rPr>
        <w:t>-</w:t>
      </w:r>
      <w:r>
        <w:rPr>
          <w:rFonts w:hint="cs"/>
          <w:rtl/>
        </w:rPr>
        <w:t xml:space="preserve"> </w:t>
      </w:r>
      <w:r w:rsidRPr="00DB1D3B">
        <w:rPr>
          <w:rStyle w:val="af2"/>
          <w:rFonts w:eastAsia="Guttman Hodes" w:hint="cs"/>
          <w:rtl/>
        </w:rPr>
        <w:t>(שבת פ"ט הי"ג)</w:t>
      </w:r>
      <w:r w:rsidRPr="001A2014">
        <w:rPr>
          <w:rFonts w:hint="cs"/>
          <w:vanish/>
          <w:rtl/>
        </w:rPr>
        <w:t>=</w:t>
      </w:r>
      <w:r>
        <w:rPr>
          <w:rFonts w:hint="cs"/>
          <w:rtl/>
        </w:rPr>
        <w:t xml:space="preserve"> דצובע חייב רק בצבע המתקיים, אבל צבע שאינו מתקיים פטור כיון שאפשר להעבירו אחר שעה ואי"ז צובע כלל, וכל שאינן מלאכתו מתקיימת בשבת פטור, וביאר </w:t>
      </w:r>
      <w:r w:rsidRPr="001A2014">
        <w:rPr>
          <w:rStyle w:val="aff4"/>
          <w:rFonts w:hint="cs"/>
          <w:vanish/>
          <w:rtl/>
        </w:rPr>
        <w:t>-</w:t>
      </w:r>
      <w:r w:rsidRPr="001A2014">
        <w:rPr>
          <w:rStyle w:val="aff4"/>
          <w:rFonts w:hint="cs"/>
          <w:rtl/>
        </w:rPr>
        <w:t>ה</w:t>
      </w:r>
      <w:r w:rsidRPr="00FF7D8F">
        <w:rPr>
          <w:rStyle w:val="aff4"/>
          <w:rFonts w:hint="cs"/>
          <w:vanish/>
          <w:rtl/>
        </w:rPr>
        <w:t>&lt; &gt;</w:t>
      </w:r>
      <w:r w:rsidRPr="001A2014">
        <w:rPr>
          <w:rStyle w:val="aff4"/>
          <w:rFonts w:hint="cs"/>
          <w:rtl/>
        </w:rPr>
        <w:t>מ"מ</w:t>
      </w:r>
      <w:r w:rsidRPr="001A2014">
        <w:rPr>
          <w:rStyle w:val="aff4"/>
          <w:rFonts w:hint="cs"/>
          <w:vanish/>
          <w:rtl/>
        </w:rPr>
        <w:t>-</w:t>
      </w:r>
      <w:r>
        <w:rPr>
          <w:rFonts w:hint="cs"/>
          <w:rtl/>
        </w:rPr>
        <w:t xml:space="preserve"> </w:t>
      </w:r>
      <w:r w:rsidRPr="00DB1D3B">
        <w:rPr>
          <w:rStyle w:val="af2"/>
          <w:rFonts w:eastAsia="Guttman Hodes" w:hint="cs"/>
          <w:rtl/>
        </w:rPr>
        <w:t>(שבת פ"ט הי"ג)</w:t>
      </w:r>
      <w:r w:rsidRPr="001A2014">
        <w:rPr>
          <w:rFonts w:hint="cs"/>
          <w:vanish/>
          <w:rtl/>
        </w:rPr>
        <w:t>=</w:t>
      </w:r>
      <w:r>
        <w:rPr>
          <w:rFonts w:hint="cs"/>
          <w:rtl/>
        </w:rPr>
        <w:t xml:space="preserve"> דמקור דברי </w:t>
      </w:r>
      <w:r w:rsidRPr="001A2014">
        <w:rPr>
          <w:rStyle w:val="aff4"/>
          <w:rFonts w:hint="cs"/>
          <w:vanish/>
          <w:rtl/>
        </w:rPr>
        <w:t>-</w:t>
      </w:r>
      <w:r w:rsidRPr="001A2014">
        <w:rPr>
          <w:rStyle w:val="aff4"/>
          <w:rFonts w:hint="cs"/>
          <w:rtl/>
        </w:rPr>
        <w:t>הרמב"ם</w:t>
      </w:r>
      <w:r w:rsidRPr="001A2014">
        <w:rPr>
          <w:rStyle w:val="aff4"/>
          <w:rFonts w:hint="cs"/>
          <w:vanish/>
          <w:rtl/>
        </w:rPr>
        <w:t>-</w:t>
      </w:r>
      <w:r>
        <w:rPr>
          <w:rFonts w:hint="cs"/>
          <w:rtl/>
        </w:rPr>
        <w:t xml:space="preserve"> הם ממתני' דהעושה מלאכה ומלאכתו מתקיימת בשבת חייב, וכן לענין כותב, כתב </w:t>
      </w:r>
      <w:r w:rsidRPr="001A2014">
        <w:rPr>
          <w:rStyle w:val="aff4"/>
          <w:rFonts w:hint="cs"/>
          <w:vanish/>
          <w:rtl/>
        </w:rPr>
        <w:t>-</w:t>
      </w:r>
      <w:r w:rsidRPr="001A2014">
        <w:rPr>
          <w:rStyle w:val="aff4"/>
          <w:rFonts w:hint="cs"/>
          <w:rtl/>
        </w:rPr>
        <w:t>ה</w:t>
      </w:r>
      <w:r w:rsidRPr="00FF7D8F">
        <w:rPr>
          <w:rStyle w:val="aff4"/>
          <w:rFonts w:hint="cs"/>
          <w:vanish/>
          <w:rtl/>
        </w:rPr>
        <w:t>&lt; &gt;</w:t>
      </w:r>
      <w:r w:rsidRPr="001A2014">
        <w:rPr>
          <w:rStyle w:val="aff4"/>
          <w:rFonts w:hint="cs"/>
          <w:rtl/>
        </w:rPr>
        <w:t>רמב"ם</w:t>
      </w:r>
      <w:r w:rsidRPr="001A2014">
        <w:rPr>
          <w:rStyle w:val="aff4"/>
          <w:rFonts w:hint="cs"/>
          <w:vanish/>
          <w:rtl/>
        </w:rPr>
        <w:t>-</w:t>
      </w:r>
      <w:r>
        <w:rPr>
          <w:rFonts w:hint="cs"/>
          <w:rtl/>
        </w:rPr>
        <w:t xml:space="preserve"> </w:t>
      </w:r>
      <w:r w:rsidRPr="00DB1D3B">
        <w:rPr>
          <w:rStyle w:val="af2"/>
          <w:rFonts w:eastAsia="Guttman Hodes" w:hint="cs"/>
          <w:rtl/>
        </w:rPr>
        <w:t>(שבת פי"א הט"ו)</w:t>
      </w:r>
      <w:r w:rsidRPr="001A2014">
        <w:rPr>
          <w:rFonts w:hint="cs"/>
          <w:vanish/>
          <w:rtl/>
        </w:rPr>
        <w:t>=</w:t>
      </w:r>
      <w:r>
        <w:rPr>
          <w:rFonts w:hint="cs"/>
          <w:rtl/>
        </w:rPr>
        <w:t xml:space="preserve"> דחיוב כותב הוא רק כשדבר שכותב בו הוא מתקיים, והכתיבה היא ע"ג דבר המתקיים, אבל הכותב בדבר שאין הרישום עומד כמשקין ומי פירות, או הכותב בדיו על דבר שאינו מתקיים כעלי ירקות פטור, וה"ה במוחק, ועיי"ש במה שהביא </w:t>
      </w:r>
      <w:r w:rsidRPr="001A2014">
        <w:rPr>
          <w:rStyle w:val="aff4"/>
          <w:rFonts w:hint="cs"/>
          <w:vanish/>
          <w:rtl/>
        </w:rPr>
        <w:t>-</w:t>
      </w:r>
      <w:r w:rsidRPr="001A2014">
        <w:rPr>
          <w:rStyle w:val="aff4"/>
          <w:rFonts w:hint="cs"/>
          <w:rtl/>
        </w:rPr>
        <w:t>ה</w:t>
      </w:r>
      <w:r w:rsidRPr="00FF7D8F">
        <w:rPr>
          <w:rStyle w:val="aff4"/>
          <w:rFonts w:hint="cs"/>
          <w:vanish/>
          <w:rtl/>
        </w:rPr>
        <w:t>&lt; &gt;</w:t>
      </w:r>
      <w:r w:rsidRPr="001A2014">
        <w:rPr>
          <w:rStyle w:val="aff4"/>
          <w:rFonts w:hint="cs"/>
          <w:rtl/>
        </w:rPr>
        <w:t>מ"מ</w:t>
      </w:r>
      <w:r w:rsidRPr="001A2014">
        <w:rPr>
          <w:rStyle w:val="aff4"/>
          <w:rFonts w:hint="cs"/>
          <w:vanish/>
          <w:rtl/>
        </w:rPr>
        <w:t>-</w:t>
      </w:r>
      <w:r>
        <w:rPr>
          <w:rFonts w:hint="cs"/>
          <w:rtl/>
        </w:rPr>
        <w:t xml:space="preserve"> </w:t>
      </w:r>
      <w:r w:rsidRPr="00DB1D3B">
        <w:rPr>
          <w:rStyle w:val="af2"/>
          <w:rFonts w:eastAsia="Guttman Hodes" w:hint="cs"/>
          <w:rtl/>
        </w:rPr>
        <w:t>(שבת פי"א הט"ו)</w:t>
      </w:r>
      <w:r w:rsidRPr="001A2014">
        <w:rPr>
          <w:rFonts w:hint="cs"/>
          <w:vanish/>
          <w:rtl/>
        </w:rPr>
        <w:t>=</w:t>
      </w:r>
      <w:r>
        <w:rPr>
          <w:rFonts w:hint="cs"/>
          <w:rtl/>
        </w:rPr>
        <w:t xml:space="preserve"> מקור לדיני כותב, והוסיף דבכל מלאכת שבת צריך דבר המתקיים כמבואר במתני', וע"ע </w:t>
      </w:r>
      <w:r w:rsidRPr="001A2014">
        <w:rPr>
          <w:rStyle w:val="aff4"/>
          <w:rFonts w:hint="cs"/>
          <w:vanish/>
          <w:rtl/>
        </w:rPr>
        <w:t>-</w:t>
      </w:r>
      <w:r w:rsidRPr="001A2014">
        <w:rPr>
          <w:rStyle w:val="aff4"/>
          <w:rFonts w:hint="cs"/>
          <w:rtl/>
        </w:rPr>
        <w:t>ב</w:t>
      </w:r>
      <w:r w:rsidRPr="00FF7D8F">
        <w:rPr>
          <w:rStyle w:val="aff4"/>
          <w:rFonts w:hint="cs"/>
          <w:vanish/>
          <w:rtl/>
        </w:rPr>
        <w:t>&lt; &gt;</w:t>
      </w:r>
      <w:r w:rsidRPr="001A2014">
        <w:rPr>
          <w:rStyle w:val="aff4"/>
          <w:rFonts w:hint="cs"/>
          <w:rtl/>
        </w:rPr>
        <w:t>ביה"ל</w:t>
      </w:r>
      <w:r w:rsidRPr="001A2014">
        <w:rPr>
          <w:rStyle w:val="aff4"/>
          <w:rFonts w:hint="cs"/>
          <w:vanish/>
          <w:rtl/>
        </w:rPr>
        <w:t>-</w:t>
      </w:r>
      <w:r>
        <w:rPr>
          <w:rFonts w:hint="cs"/>
          <w:rtl/>
        </w:rPr>
        <w:t xml:space="preserve"> </w:t>
      </w:r>
      <w:r w:rsidRPr="00DB1D3B">
        <w:rPr>
          <w:rStyle w:val="af2"/>
          <w:rFonts w:eastAsia="Guttman Hodes" w:hint="cs"/>
          <w:rtl/>
        </w:rPr>
        <w:t>(סי' ש"מ ד' ד"ה במשקין)</w:t>
      </w:r>
      <w:r w:rsidRPr="001A2014">
        <w:rPr>
          <w:rFonts w:hint="cs"/>
          <w:vanish/>
          <w:rtl/>
        </w:rPr>
        <w:t>=</w:t>
      </w:r>
      <w:r>
        <w:rPr>
          <w:rFonts w:hint="cs"/>
          <w:rtl/>
        </w:rPr>
        <w:t xml:space="preserve"> </w:t>
      </w:r>
      <w:r w:rsidRPr="001A2014">
        <w:rPr>
          <w:rStyle w:val="aff4"/>
          <w:rFonts w:hint="cs"/>
          <w:vanish/>
          <w:rtl/>
        </w:rPr>
        <w:t>-</w:t>
      </w:r>
      <w:r w:rsidRPr="001A2014">
        <w:rPr>
          <w:rStyle w:val="aff4"/>
          <w:rFonts w:hint="cs"/>
          <w:rtl/>
        </w:rPr>
        <w:t>וב</w:t>
      </w:r>
      <w:r w:rsidRPr="00FF7D8F">
        <w:rPr>
          <w:rStyle w:val="aff4"/>
          <w:rFonts w:hint="cs"/>
          <w:vanish/>
          <w:rtl/>
        </w:rPr>
        <w:t>&lt; &gt;</w:t>
      </w:r>
      <w:r w:rsidRPr="001A2014">
        <w:rPr>
          <w:rStyle w:val="aff4"/>
          <w:rtl/>
        </w:rPr>
        <w:t>דברי יחזקאל</w:t>
      </w:r>
      <w:r w:rsidRPr="001A2014">
        <w:rPr>
          <w:rStyle w:val="aff4"/>
          <w:rFonts w:hint="cs"/>
          <w:vanish/>
          <w:rtl/>
        </w:rPr>
        <w:t>-</w:t>
      </w:r>
      <w:r w:rsidRPr="00482535">
        <w:rPr>
          <w:rtl/>
        </w:rPr>
        <w:t xml:space="preserve"> </w:t>
      </w:r>
      <w:r w:rsidRPr="00DB1D3B">
        <w:rPr>
          <w:rStyle w:val="af2"/>
          <w:rFonts w:eastAsia="Guttman Hodes" w:hint="cs"/>
          <w:rtl/>
        </w:rPr>
        <w:t>(</w:t>
      </w:r>
      <w:r w:rsidRPr="00DB1D3B">
        <w:rPr>
          <w:rStyle w:val="af2"/>
          <w:rFonts w:eastAsia="Guttman Hodes"/>
          <w:rtl/>
        </w:rPr>
        <w:t>סי' ד' ענף ד'</w:t>
      </w:r>
      <w:r w:rsidRPr="00DB1D3B">
        <w:rPr>
          <w:rStyle w:val="af2"/>
          <w:rFonts w:eastAsia="Guttman Hodes" w:hint="cs"/>
          <w:rtl/>
        </w:rPr>
        <w:t>)</w:t>
      </w:r>
      <w:r w:rsidRPr="001A2014">
        <w:rPr>
          <w:rFonts w:hint="cs"/>
          <w:vanish/>
          <w:rtl/>
        </w:rPr>
        <w:t>=</w:t>
      </w:r>
      <w:r>
        <w:rPr>
          <w:rFonts w:hint="cs"/>
          <w:rtl/>
        </w:rPr>
        <w:t xml:space="preserve"> במה שהאריכו טובא בביאור דעת </w:t>
      </w:r>
      <w:r w:rsidRPr="001A2014">
        <w:rPr>
          <w:rStyle w:val="aff4"/>
          <w:rFonts w:hint="cs"/>
          <w:vanish/>
          <w:rtl/>
        </w:rPr>
        <w:t>-</w:t>
      </w:r>
      <w:r w:rsidRPr="001A2014">
        <w:rPr>
          <w:rStyle w:val="aff4"/>
          <w:rFonts w:hint="cs"/>
          <w:rtl/>
        </w:rPr>
        <w:t>הרמב"ם</w:t>
      </w:r>
      <w:r w:rsidRPr="001A2014">
        <w:rPr>
          <w:rStyle w:val="aff4"/>
          <w:rFonts w:hint="cs"/>
          <w:vanish/>
          <w:rtl/>
        </w:rPr>
        <w:t>-</w:t>
      </w:r>
      <w:r>
        <w:rPr>
          <w:rFonts w:hint="cs"/>
          <w:rtl/>
        </w:rPr>
        <w:t xml:space="preserve"> בדין כתב המתקיים לענין שבת ולענין גט.</w:t>
      </w:r>
      <w:bookmarkEnd w:id="4888"/>
    </w:p>
    <w:p w14:paraId="6A382A07" w14:textId="77777777" w:rsidR="00376F67" w:rsidRPr="008F280D" w:rsidRDefault="00376F67" w:rsidP="00376F67">
      <w:pPr>
        <w:pStyle w:val="a7"/>
        <w:rPr>
          <w:rtl/>
        </w:rPr>
      </w:pPr>
    </w:p>
    <w:p w14:paraId="07B12B9C" w14:textId="77777777" w:rsidR="00376F67" w:rsidRPr="0074694D" w:rsidRDefault="00376F67" w:rsidP="00376F67">
      <w:pPr>
        <w:pStyle w:val="a2"/>
        <w:tabs>
          <w:tab w:val="num" w:pos="284"/>
        </w:tabs>
        <w:rPr>
          <w:vanish w:val="0"/>
        </w:rPr>
      </w:pPr>
      <w:r w:rsidRPr="0074694D">
        <w:rPr>
          <w:rtl/>
        </w:rPr>
        <w:t>ואין הצובע חייב עד שיהא צבע המתקיים, אבל צבע שאינו מתקיים כלל כגון שהעביר סרק או ששר על גבי ברזל או נחשת וצבעו פטור, שהרי אתה מעבירו לשעתו ואינו צובע כלום, וכל שאין מלאכתו מתקיימת בשבת פטור.</w:t>
      </w:r>
    </w:p>
    <w:p w14:paraId="32E2A3B7" w14:textId="77777777" w:rsidR="00376F67" w:rsidRPr="00954231" w:rsidRDefault="00376F67" w:rsidP="00376F67">
      <w:pPr>
        <w:pStyle w:val="afffff5"/>
        <w:rPr>
          <w:vanish w:val="0"/>
          <w:rtl/>
        </w:rPr>
      </w:pPr>
      <w:r w:rsidRPr="00954231">
        <w:rPr>
          <w:rtl/>
        </w:rPr>
        <w:t>ואין הצובע וכו'. זה נלמד מדין הכותב שאינו אלא בדבר המתקיים כמבואר פרק י"א ובמשנה פ' הבונה (שם ק"ב:) זה הכלל כל העושה מלאכה ומלאכתו מתקיימת בשבת חייב, ע"כ:</w:t>
      </w:r>
    </w:p>
    <w:p w14:paraId="3BAF651E" w14:textId="77777777" w:rsidR="00376F67" w:rsidRPr="00954231" w:rsidRDefault="00376F67" w:rsidP="00376F67">
      <w:pPr>
        <w:pStyle w:val="afffff5"/>
        <w:rPr>
          <w:vanish w:val="0"/>
          <w:rtl/>
        </w:rPr>
      </w:pPr>
      <w:r w:rsidRPr="00954231">
        <w:rPr>
          <w:rtl/>
        </w:rPr>
        <w:t>אין הכותב חייב עד שיכתוב בדבר הרושם ועומד כגון דיו ושחור וסקרא וקומוס וקלקנתוס וכיוצא בהם, ויכתוב על דבר שמתקיים הכתב עליו כגון עור וקלף ונייר ועץ וכיוצא בהם, אבל הכותב בדבר שאין רישומו עומד כגון משקין ומי פירות, או שכתב בדיו וכיוצא בו על עלי ירקות ועל כל דבר שאינו עומד פטור, אינו חייב עד שיכתוב בדבר ה</w:t>
      </w:r>
    </w:p>
    <w:p w14:paraId="52C70E3B" w14:textId="77777777" w:rsidR="00376F67" w:rsidRPr="00954231" w:rsidRDefault="00376F67" w:rsidP="00376F67">
      <w:pPr>
        <w:pStyle w:val="afffff5"/>
        <w:rPr>
          <w:vanish w:val="0"/>
        </w:rPr>
      </w:pPr>
      <w:r w:rsidRPr="00954231">
        <w:rPr>
          <w:rtl/>
        </w:rPr>
        <w:t xml:space="preserve">עומד על דבר העומד, וכן אין המוחק חייב עד שימחוק כתב העומד מעל דבר העומד. </w:t>
      </w:r>
    </w:p>
    <w:p w14:paraId="3979E193" w14:textId="77777777" w:rsidR="00376F67" w:rsidRPr="00954231" w:rsidRDefault="00376F67" w:rsidP="00376F67">
      <w:pPr>
        <w:pStyle w:val="afffff5"/>
        <w:rPr>
          <w:vanish w:val="0"/>
        </w:rPr>
      </w:pPr>
      <w:r w:rsidRPr="00954231">
        <w:rPr>
          <w:rtl/>
        </w:rPr>
        <w:t>[טו] אין הכותב חייב עד וכו'. משנה שם (ק"ד:) כתובה למעלה. ומ"ש רבינו ויכתוב על דבר שמתקיים מפורש בתוספתא זה הכלל כתב דבר של קיימא בדבר שאינו ש"ק או דבר שאינו ש"ק בדבר שהוא ש"ק פטור עד שיכתוב דבר של קיימא בדבר שהוא ש"ק ע"כ. וכבר כתבתי פרק ט' משנה שם (ק"ב:) מוכחת שבכל מלאכת שבת בעינן דבר המתקיים:</w:t>
      </w:r>
    </w:p>
    <w:p w14:paraId="13CF8CB6" w14:textId="77777777" w:rsidR="00376F67" w:rsidRDefault="00376F67" w:rsidP="00376F67">
      <w:pPr>
        <w:pStyle w:val="afffff7"/>
        <w:rPr>
          <w:rtl/>
        </w:rPr>
      </w:pPr>
      <w:bookmarkStart w:id="4889" w:name="_Toc143767966"/>
      <w:bookmarkStart w:id="4890" w:name="_Toc163506154"/>
      <w:r>
        <w:rPr>
          <w:rFonts w:hint="cs"/>
          <w:rtl/>
        </w:rPr>
        <w:t>הג' ברוך טעם למשניות משנת רב פי"ב מ"א</w:t>
      </w:r>
      <w:bookmarkEnd w:id="4889"/>
      <w:bookmarkEnd w:id="4890"/>
    </w:p>
    <w:p w14:paraId="1C55E076" w14:textId="77777777" w:rsidR="00376F67" w:rsidRDefault="00376F67" w:rsidP="00376F67">
      <w:pPr>
        <w:pStyle w:val="a7"/>
        <w:rPr>
          <w:rtl/>
        </w:rPr>
      </w:pPr>
      <w:bookmarkStart w:id="4891" w:name="_Toc143767838"/>
      <w:bookmarkStart w:id="4892" w:name="_Toc143770659"/>
      <w:r>
        <w:rPr>
          <w:rFonts w:hint="cs"/>
          <w:rtl/>
        </w:rPr>
        <w:t>בי' הברוך טעם ברמב"ם דמתקיימת בשבת היינו על המלאכה עצמה ולא על עושה המלאכה</w:t>
      </w:r>
      <w:bookmarkEnd w:id="4891"/>
      <w:bookmarkEnd w:id="4892"/>
    </w:p>
    <w:p w14:paraId="2590C724" w14:textId="71156CA7" w:rsidR="00376F67" w:rsidRPr="00AA4670" w:rsidRDefault="00376F67" w:rsidP="00BC7DC8">
      <w:pPr>
        <w:pStyle w:val="a3"/>
      </w:pPr>
      <w:bookmarkStart w:id="4893" w:name="_Ref142817041"/>
      <w:r>
        <w:rPr>
          <w:rFonts w:hint="cs"/>
          <w:rtl/>
        </w:rPr>
        <w:t xml:space="preserve">וכתב </w:t>
      </w:r>
      <w:r w:rsidRPr="001A2014">
        <w:rPr>
          <w:rStyle w:val="aff4"/>
          <w:rFonts w:hint="cs"/>
          <w:vanish/>
          <w:rtl/>
        </w:rPr>
        <w:t>-</w:t>
      </w:r>
      <w:r w:rsidRPr="001A2014">
        <w:rPr>
          <w:rStyle w:val="aff4"/>
          <w:rFonts w:hint="cs"/>
          <w:rtl/>
        </w:rPr>
        <w:t>ב</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Ref142817041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סא)</w:t>
      </w:r>
      <w:r w:rsidRPr="00FF7D8F">
        <w:rPr>
          <w:rStyle w:val="aff4"/>
          <w:vanish/>
          <w:rtl/>
        </w:rPr>
        <w:fldChar w:fldCharType="end"/>
      </w:r>
      <w:r w:rsidRPr="00FF7D8F">
        <w:rPr>
          <w:rStyle w:val="aff4"/>
          <w:rFonts w:hint="cs"/>
          <w:vanish/>
          <w:rtl/>
        </w:rPr>
        <w:t xml:space="preserve"> &gt;</w:t>
      </w:r>
      <w:r w:rsidRPr="001A2014">
        <w:rPr>
          <w:rStyle w:val="aff4"/>
          <w:rFonts w:hint="cs"/>
          <w:rtl/>
        </w:rPr>
        <w:t>הג' ברוך טעם למשניות משנת רב</w:t>
      </w:r>
      <w:r w:rsidRPr="001A2014">
        <w:rPr>
          <w:rStyle w:val="aff4"/>
          <w:rFonts w:hint="cs"/>
          <w:vanish/>
          <w:rtl/>
        </w:rPr>
        <w:t>-</w:t>
      </w:r>
      <w:r>
        <w:rPr>
          <w:rFonts w:hint="cs"/>
          <w:rtl/>
        </w:rPr>
        <w:t xml:space="preserve"> </w:t>
      </w:r>
      <w:r w:rsidRPr="00DB1D3B">
        <w:rPr>
          <w:rStyle w:val="af2"/>
          <w:rFonts w:eastAsia="Guttman Hodes" w:hint="cs"/>
          <w:rtl/>
        </w:rPr>
        <w:t>(פי"ב מ"א, נד' בסוף המשניות)</w:t>
      </w:r>
      <w:r w:rsidRPr="001A2014">
        <w:rPr>
          <w:rFonts w:hint="cs"/>
          <w:vanish/>
          <w:rtl/>
        </w:rPr>
        <w:t>=</w:t>
      </w:r>
      <w:r>
        <w:rPr>
          <w:rFonts w:hint="cs"/>
          <w:rtl/>
        </w:rPr>
        <w:t xml:space="preserve"> דלדעת </w:t>
      </w:r>
      <w:r w:rsidRPr="001A2014">
        <w:rPr>
          <w:rStyle w:val="aff4"/>
          <w:rFonts w:hint="cs"/>
          <w:vanish/>
          <w:rtl/>
        </w:rPr>
        <w:t>-</w:t>
      </w:r>
      <w:r w:rsidRPr="001A2014">
        <w:rPr>
          <w:rStyle w:val="aff4"/>
          <w:rFonts w:hint="cs"/>
          <w:rtl/>
        </w:rPr>
        <w:t>הרמב"ם</w:t>
      </w:r>
      <w:r w:rsidRPr="001A2014">
        <w:rPr>
          <w:rStyle w:val="aff4"/>
          <w:rFonts w:hint="cs"/>
          <w:vanish/>
          <w:rtl/>
        </w:rPr>
        <w:t>-</w:t>
      </w:r>
      <w:r>
        <w:rPr>
          <w:rFonts w:hint="cs"/>
          <w:rtl/>
        </w:rPr>
        <w:t xml:space="preserve"> </w:t>
      </w:r>
      <w:r w:rsidRPr="00DB1D3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Ref140832874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ס)</w:t>
      </w:r>
      <w:r>
        <w:rPr>
          <w:rStyle w:val="af2"/>
          <w:rFonts w:eastAsia="Guttman Hodes"/>
          <w:rtl/>
        </w:rPr>
        <w:fldChar w:fldCharType="end"/>
      </w:r>
      <w:r>
        <w:rPr>
          <w:rFonts w:hint="cs"/>
          <w:rtl/>
        </w:rPr>
        <w:t xml:space="preserve"> מלאכתו מתקיימת "בשבת", היינו דהמלאכה עצמה מתקיימת ביום השבת, ודלא </w:t>
      </w:r>
      <w:r w:rsidRPr="001A2014">
        <w:rPr>
          <w:rStyle w:val="aff4"/>
          <w:rFonts w:hint="cs"/>
          <w:vanish/>
          <w:rtl/>
        </w:rPr>
        <w:t>-</w:t>
      </w:r>
      <w:r w:rsidRPr="001A2014">
        <w:rPr>
          <w:rStyle w:val="aff4"/>
          <w:rFonts w:hint="cs"/>
          <w:rtl/>
        </w:rPr>
        <w:t>כרש"י</w:t>
      </w:r>
      <w:r w:rsidRPr="001A2014">
        <w:rPr>
          <w:rStyle w:val="aff4"/>
          <w:rFonts w:hint="cs"/>
          <w:vanish/>
          <w:rtl/>
        </w:rPr>
        <w:t>-</w:t>
      </w:r>
      <w:r>
        <w:rPr>
          <w:rFonts w:hint="cs"/>
          <w:rtl/>
        </w:rPr>
        <w:t xml:space="preserve"> </w:t>
      </w:r>
      <w:r w:rsidRPr="00DB1D3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Ref143598888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נב)</w:t>
      </w:r>
      <w:r>
        <w:rPr>
          <w:rStyle w:val="af2"/>
          <w:rFonts w:eastAsia="Guttman Hodes"/>
          <w:rtl/>
        </w:rPr>
        <w:fldChar w:fldCharType="end"/>
      </w:r>
      <w:r>
        <w:rPr>
          <w:rFonts w:hint="cs"/>
          <w:rtl/>
        </w:rPr>
        <w:t xml:space="preserve"> דביאר דא"צ להוסיף עליה, והיינו על עושה המלאכה שעשה בשבת מלאכה כזו.</w:t>
      </w:r>
      <w:bookmarkEnd w:id="4893"/>
    </w:p>
    <w:p w14:paraId="3E34735D" w14:textId="77777777" w:rsidR="00376F67" w:rsidRPr="0074694D" w:rsidRDefault="00376F67" w:rsidP="00376F67">
      <w:pPr>
        <w:pStyle w:val="a2"/>
        <w:tabs>
          <w:tab w:val="num" w:pos="284"/>
        </w:tabs>
        <w:rPr>
          <w:vanish w:val="0"/>
        </w:rPr>
      </w:pPr>
      <w:r w:rsidRPr="0074694D">
        <w:rPr>
          <w:rFonts w:hint="cs"/>
          <w:rtl/>
        </w:rPr>
        <w:t>רד</w:t>
      </w:r>
      <w:r w:rsidRPr="0074694D">
        <w:rPr>
          <w:rtl/>
        </w:rPr>
        <w:t>"ה ב</w:t>
      </w:r>
      <w:r w:rsidRPr="0074694D">
        <w:rPr>
          <w:rFonts w:hint="cs"/>
          <w:rtl/>
        </w:rPr>
        <w:t>שב</w:t>
      </w:r>
      <w:r w:rsidRPr="0074694D">
        <w:rPr>
          <w:rtl/>
        </w:rPr>
        <w:t>ת א</w:t>
      </w:r>
      <w:r w:rsidRPr="0074694D">
        <w:rPr>
          <w:rFonts w:hint="cs"/>
          <w:rtl/>
        </w:rPr>
        <w:t>ה</w:t>
      </w:r>
      <w:r w:rsidRPr="0074694D">
        <w:rPr>
          <w:rtl/>
        </w:rPr>
        <w:t>עושה מלאכ</w:t>
      </w:r>
      <w:r w:rsidRPr="0074694D">
        <w:rPr>
          <w:rFonts w:hint="cs"/>
          <w:rtl/>
        </w:rPr>
        <w:t>ה</w:t>
      </w:r>
      <w:r w:rsidRPr="0074694D">
        <w:rPr>
          <w:rtl/>
        </w:rPr>
        <w:t xml:space="preserve"> קאי נ"ב יעוין ברמב"</w:t>
      </w:r>
      <w:r w:rsidRPr="0074694D">
        <w:rPr>
          <w:rFonts w:hint="cs"/>
          <w:rtl/>
        </w:rPr>
        <w:t>ם</w:t>
      </w:r>
      <w:r w:rsidRPr="0074694D">
        <w:rPr>
          <w:rtl/>
        </w:rPr>
        <w:t xml:space="preserve"> בפ"ט מהל' </w:t>
      </w:r>
      <w:r w:rsidRPr="0074694D">
        <w:rPr>
          <w:rFonts w:hint="cs"/>
          <w:rtl/>
        </w:rPr>
        <w:t>ש</w:t>
      </w:r>
      <w:r w:rsidRPr="0074694D">
        <w:rPr>
          <w:rtl/>
        </w:rPr>
        <w:t>בת הי"ג שלדבריו תיב</w:t>
      </w:r>
      <w:r w:rsidRPr="0074694D">
        <w:rPr>
          <w:rFonts w:hint="cs"/>
          <w:rtl/>
        </w:rPr>
        <w:t>ת</w:t>
      </w:r>
      <w:r w:rsidRPr="0074694D">
        <w:rPr>
          <w:rtl/>
        </w:rPr>
        <w:t xml:space="preserve"> בשבת קאי על המלאכה שמתקיימ</w:t>
      </w:r>
      <w:r w:rsidRPr="0074694D">
        <w:rPr>
          <w:rFonts w:hint="cs"/>
          <w:rtl/>
        </w:rPr>
        <w:t>ת</w:t>
      </w:r>
      <w:r w:rsidRPr="0074694D">
        <w:rPr>
          <w:rtl/>
        </w:rPr>
        <w:t xml:space="preserve"> המלאכה בשבת</w:t>
      </w:r>
      <w:r w:rsidRPr="0074694D">
        <w:rPr>
          <w:rFonts w:hint="cs"/>
          <w:rtl/>
        </w:rPr>
        <w:t>.</w:t>
      </w:r>
      <w:r w:rsidRPr="0074694D">
        <w:rPr>
          <w:rtl/>
        </w:rPr>
        <w:t xml:space="preserve"> נ</w:t>
      </w:r>
      <w:r w:rsidRPr="0074694D">
        <w:rPr>
          <w:rFonts w:hint="cs"/>
          <w:rtl/>
        </w:rPr>
        <w:t xml:space="preserve">ם </w:t>
      </w:r>
      <w:r w:rsidRPr="0074694D">
        <w:rPr>
          <w:rtl/>
        </w:rPr>
        <w:t>הפר"</w:t>
      </w:r>
      <w:r w:rsidRPr="0074694D">
        <w:rPr>
          <w:rFonts w:hint="cs"/>
          <w:rtl/>
        </w:rPr>
        <w:t>ח</w:t>
      </w:r>
      <w:r w:rsidRPr="0074694D">
        <w:rPr>
          <w:rtl/>
        </w:rPr>
        <w:t xml:space="preserve"> בספר מי</w:t>
      </w:r>
      <w:r w:rsidRPr="0074694D">
        <w:rPr>
          <w:rFonts w:hint="cs"/>
          <w:rtl/>
        </w:rPr>
        <w:t>ם</w:t>
      </w:r>
      <w:r w:rsidRPr="0074694D">
        <w:rPr>
          <w:rtl/>
        </w:rPr>
        <w:t xml:space="preserve"> </w:t>
      </w:r>
      <w:r w:rsidRPr="0074694D">
        <w:rPr>
          <w:rFonts w:hint="cs"/>
          <w:rtl/>
        </w:rPr>
        <w:t>ח</w:t>
      </w:r>
      <w:r w:rsidRPr="0074694D">
        <w:rPr>
          <w:rtl/>
        </w:rPr>
        <w:t>יים מפרש שקאי על המלאכה כל</w:t>
      </w:r>
      <w:r w:rsidRPr="0074694D">
        <w:rPr>
          <w:rFonts w:hint="cs"/>
          <w:rtl/>
        </w:rPr>
        <w:t>ומ</w:t>
      </w:r>
      <w:r w:rsidRPr="0074694D">
        <w:rPr>
          <w:rtl/>
        </w:rPr>
        <w:t>ר שלמחר א"</w:t>
      </w:r>
      <w:r w:rsidRPr="0074694D">
        <w:rPr>
          <w:rFonts w:hint="cs"/>
          <w:rtl/>
        </w:rPr>
        <w:t>צ</w:t>
      </w:r>
      <w:r w:rsidRPr="0074694D">
        <w:rPr>
          <w:rtl/>
        </w:rPr>
        <w:t xml:space="preserve"> להוסיף עליה והיינו לפי פירוש רש"י והרע"ב שמ</w:t>
      </w:r>
      <w:r w:rsidRPr="0074694D">
        <w:rPr>
          <w:rFonts w:hint="cs"/>
          <w:rtl/>
        </w:rPr>
        <w:t>ת</w:t>
      </w:r>
      <w:r w:rsidRPr="0074694D">
        <w:rPr>
          <w:rtl/>
        </w:rPr>
        <w:t>קיימ</w:t>
      </w:r>
      <w:r w:rsidRPr="0074694D">
        <w:rPr>
          <w:rFonts w:hint="cs"/>
          <w:rtl/>
        </w:rPr>
        <w:t>ת</w:t>
      </w:r>
      <w:r w:rsidRPr="0074694D">
        <w:rPr>
          <w:rtl/>
        </w:rPr>
        <w:t xml:space="preserve"> הכוונ</w:t>
      </w:r>
      <w:r w:rsidRPr="0074694D">
        <w:rPr>
          <w:rFonts w:hint="cs"/>
          <w:rtl/>
        </w:rPr>
        <w:t>ה</w:t>
      </w:r>
      <w:r w:rsidRPr="0074694D">
        <w:rPr>
          <w:rtl/>
        </w:rPr>
        <w:t xml:space="preserve"> שאין </w:t>
      </w:r>
      <w:r w:rsidRPr="0074694D">
        <w:rPr>
          <w:rFonts w:hint="cs"/>
          <w:rtl/>
        </w:rPr>
        <w:t>צר</w:t>
      </w:r>
      <w:r w:rsidRPr="0074694D">
        <w:rPr>
          <w:rtl/>
        </w:rPr>
        <w:t>יך להוסיף</w:t>
      </w:r>
      <w:r w:rsidRPr="0074694D">
        <w:rPr>
          <w:rFonts w:hint="cs"/>
          <w:rtl/>
        </w:rPr>
        <w:t>.</w:t>
      </w:r>
    </w:p>
    <w:p w14:paraId="7D3A94F7" w14:textId="77777777" w:rsidR="00376F67" w:rsidRDefault="00376F67" w:rsidP="00376F67">
      <w:pPr>
        <w:pStyle w:val="afffff7"/>
        <w:rPr>
          <w:rtl/>
        </w:rPr>
      </w:pPr>
      <w:bookmarkStart w:id="4894" w:name="_Toc143767967"/>
      <w:bookmarkStart w:id="4895" w:name="_Toc163506155"/>
      <w:r>
        <w:rPr>
          <w:rtl/>
        </w:rPr>
        <w:t>שער הציון סי</w:t>
      </w:r>
      <w:r>
        <w:rPr>
          <w:rFonts w:hint="cs"/>
          <w:rtl/>
        </w:rPr>
        <w:t xml:space="preserve">' </w:t>
      </w:r>
      <w:r>
        <w:rPr>
          <w:rtl/>
        </w:rPr>
        <w:t>ש</w:t>
      </w:r>
      <w:r>
        <w:rPr>
          <w:rFonts w:hint="cs"/>
          <w:rtl/>
        </w:rPr>
        <w:t>"</w:t>
      </w:r>
      <w:r>
        <w:rPr>
          <w:rtl/>
        </w:rPr>
        <w:t>ג ס"ק ס</w:t>
      </w:r>
      <w:r>
        <w:rPr>
          <w:rFonts w:hint="cs"/>
          <w:rtl/>
        </w:rPr>
        <w:t>"</w:t>
      </w:r>
      <w:r>
        <w:rPr>
          <w:rtl/>
        </w:rPr>
        <w:t>ח</w:t>
      </w:r>
      <w:bookmarkEnd w:id="4894"/>
      <w:bookmarkEnd w:id="4895"/>
    </w:p>
    <w:p w14:paraId="4B71D44C" w14:textId="77777777" w:rsidR="00376F67" w:rsidRDefault="00376F67" w:rsidP="00376F67">
      <w:pPr>
        <w:pStyle w:val="afffff7"/>
        <w:rPr>
          <w:rtl/>
        </w:rPr>
      </w:pPr>
      <w:bookmarkStart w:id="4896" w:name="_Toc143767968"/>
      <w:bookmarkStart w:id="4897" w:name="_Toc163506156"/>
      <w:r>
        <w:rPr>
          <w:rtl/>
        </w:rPr>
        <w:t>תוספות שבת צ"ד ע"ב</w:t>
      </w:r>
      <w:r>
        <w:rPr>
          <w:rFonts w:hint="cs"/>
          <w:rtl/>
        </w:rPr>
        <w:t xml:space="preserve"> ד"ה וכי</w:t>
      </w:r>
      <w:bookmarkEnd w:id="4896"/>
      <w:bookmarkEnd w:id="4897"/>
    </w:p>
    <w:p w14:paraId="68EA3828" w14:textId="77777777" w:rsidR="00376F67" w:rsidRDefault="00376F67" w:rsidP="00376F67">
      <w:pPr>
        <w:pStyle w:val="a7"/>
        <w:rPr>
          <w:rtl/>
        </w:rPr>
      </w:pPr>
      <w:bookmarkStart w:id="4898" w:name="_Toc143767839"/>
      <w:bookmarkStart w:id="4899" w:name="_Toc143770660"/>
      <w:r>
        <w:rPr>
          <w:rFonts w:hint="cs"/>
          <w:rtl/>
        </w:rPr>
        <w:t>בי' השעה"צ ברמב"ם דמתקיימת ביום השבת ולא לזמן מרובה ובתוס' אפש"ל כרש"י או כרמב"ם</w:t>
      </w:r>
      <w:bookmarkEnd w:id="4898"/>
      <w:bookmarkEnd w:id="4899"/>
    </w:p>
    <w:p w14:paraId="7C793A7B" w14:textId="6E45A77D" w:rsidR="00376F67" w:rsidRPr="005D3E56" w:rsidRDefault="00376F67" w:rsidP="00BC7DC8">
      <w:pPr>
        <w:pStyle w:val="a3"/>
        <w:rPr>
          <w:rtl/>
        </w:rPr>
      </w:pPr>
      <w:bookmarkStart w:id="4900" w:name="_Ref143159478"/>
      <w:r>
        <w:rPr>
          <w:rFonts w:hint="cs"/>
          <w:rtl/>
        </w:rPr>
        <w:t xml:space="preserve">כתב </w:t>
      </w:r>
      <w:r w:rsidRPr="001A2014">
        <w:rPr>
          <w:rStyle w:val="aff4"/>
          <w:rFonts w:hint="cs"/>
          <w:vanish/>
          <w:rtl/>
        </w:rPr>
        <w:t>-</w:t>
      </w:r>
      <w:r w:rsidRPr="001A2014">
        <w:rPr>
          <w:rStyle w:val="aff4"/>
          <w:rFonts w:hint="cs"/>
          <w:rtl/>
        </w:rPr>
        <w:t>ה</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Ref143159478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סב)</w:t>
      </w:r>
      <w:r w:rsidRPr="00FF7D8F">
        <w:rPr>
          <w:rStyle w:val="aff4"/>
          <w:vanish/>
          <w:rtl/>
        </w:rPr>
        <w:fldChar w:fldCharType="end"/>
      </w:r>
      <w:r w:rsidRPr="00FF7D8F">
        <w:rPr>
          <w:rStyle w:val="aff4"/>
          <w:rFonts w:hint="cs"/>
          <w:vanish/>
          <w:rtl/>
        </w:rPr>
        <w:t xml:space="preserve"> &gt;</w:t>
      </w:r>
      <w:r w:rsidRPr="001A2014">
        <w:rPr>
          <w:rStyle w:val="aff4"/>
          <w:rFonts w:hint="cs"/>
          <w:rtl/>
        </w:rPr>
        <w:t>שער הציון</w:t>
      </w:r>
      <w:r w:rsidRPr="001A2014">
        <w:rPr>
          <w:rStyle w:val="aff4"/>
          <w:rFonts w:hint="cs"/>
          <w:vanish/>
          <w:rtl/>
        </w:rPr>
        <w:t>-</w:t>
      </w:r>
      <w:r>
        <w:rPr>
          <w:rFonts w:hint="cs"/>
          <w:rtl/>
        </w:rPr>
        <w:t xml:space="preserve"> </w:t>
      </w:r>
      <w:r w:rsidRPr="00DB1D3B">
        <w:rPr>
          <w:rStyle w:val="af2"/>
          <w:rFonts w:eastAsia="Guttman Hodes" w:hint="cs"/>
          <w:rtl/>
        </w:rPr>
        <w:t>(סי' ש"ג סקס"ח)</w:t>
      </w:r>
      <w:r w:rsidRPr="001A2014">
        <w:rPr>
          <w:rFonts w:hint="cs"/>
          <w:vanish/>
          <w:rtl/>
        </w:rPr>
        <w:t>=</w:t>
      </w:r>
      <w:r>
        <w:rPr>
          <w:rFonts w:hint="cs"/>
          <w:rtl/>
        </w:rPr>
        <w:t xml:space="preserve"> דמדברי </w:t>
      </w:r>
      <w:r w:rsidRPr="001A2014">
        <w:rPr>
          <w:rStyle w:val="aff4"/>
          <w:rFonts w:hint="cs"/>
          <w:vanish/>
          <w:rtl/>
        </w:rPr>
        <w:t>-</w:t>
      </w:r>
      <w:r w:rsidRPr="001A2014">
        <w:rPr>
          <w:rStyle w:val="aff4"/>
          <w:rFonts w:hint="cs"/>
          <w:rtl/>
        </w:rPr>
        <w:t>הרמב"ם</w:t>
      </w:r>
      <w:r w:rsidRPr="001A2014">
        <w:rPr>
          <w:rStyle w:val="aff4"/>
          <w:rFonts w:hint="cs"/>
          <w:vanish/>
          <w:rtl/>
        </w:rPr>
        <w:t>-</w:t>
      </w:r>
      <w:r>
        <w:rPr>
          <w:rFonts w:hint="cs"/>
          <w:rtl/>
        </w:rPr>
        <w:t xml:space="preserve"> </w:t>
      </w:r>
      <w:r w:rsidRPr="00DB1D3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Ref140832874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ס)</w:t>
      </w:r>
      <w:r>
        <w:rPr>
          <w:rStyle w:val="af2"/>
          <w:rFonts w:eastAsia="Guttman Hodes"/>
          <w:rtl/>
        </w:rPr>
        <w:fldChar w:fldCharType="end"/>
      </w:r>
      <w:r>
        <w:rPr>
          <w:rFonts w:hint="cs"/>
          <w:rtl/>
        </w:rPr>
        <w:t xml:space="preserve"> משמע דצריך שהמלאכה תתקיים בשבת עצמה, וא"צ שתתקיים לזמן מרובה, דלשון "בשבת" דתנן במתני' היינו על היום, וכתב </w:t>
      </w:r>
      <w:r w:rsidRPr="001A2014">
        <w:rPr>
          <w:rStyle w:val="aff4"/>
          <w:rFonts w:hint="cs"/>
          <w:vanish/>
          <w:rtl/>
        </w:rPr>
        <w:t>-</w:t>
      </w:r>
      <w:r w:rsidRPr="001A2014">
        <w:rPr>
          <w:rStyle w:val="aff4"/>
          <w:rFonts w:hint="cs"/>
          <w:rtl/>
        </w:rPr>
        <w:t>השער הציון</w:t>
      </w:r>
      <w:r w:rsidRPr="001A2014">
        <w:rPr>
          <w:rStyle w:val="aff4"/>
          <w:rFonts w:hint="cs"/>
          <w:vanish/>
          <w:rtl/>
        </w:rPr>
        <w:t>-</w:t>
      </w:r>
      <w:r>
        <w:rPr>
          <w:rFonts w:hint="cs"/>
          <w:rtl/>
        </w:rPr>
        <w:t xml:space="preserve"> דכן פשטות לשון המשנה, וכתב </w:t>
      </w:r>
      <w:r w:rsidRPr="001A2014">
        <w:rPr>
          <w:rStyle w:val="aff4"/>
          <w:rFonts w:hint="cs"/>
          <w:vanish/>
          <w:rtl/>
        </w:rPr>
        <w:t>-</w:t>
      </w:r>
      <w:r w:rsidRPr="001A2014">
        <w:rPr>
          <w:rStyle w:val="aff4"/>
          <w:rFonts w:hint="cs"/>
          <w:rtl/>
        </w:rPr>
        <w:t>השער הציון</w:t>
      </w:r>
      <w:r w:rsidRPr="001A2014">
        <w:rPr>
          <w:rStyle w:val="aff4"/>
          <w:rFonts w:hint="cs"/>
          <w:vanish/>
          <w:rtl/>
        </w:rPr>
        <w:t>-</w:t>
      </w:r>
      <w:r>
        <w:rPr>
          <w:rFonts w:hint="cs"/>
          <w:rtl/>
        </w:rPr>
        <w:t xml:space="preserve"> דלפי"ז הא דבכתיבה צריך מלאכתו מתקיימת, אין הכוונה לכתיבה שמתקיימת לזמן מרובה, אלא לאפוקי משקין ומי פירות דאינם מתקיימים אפילו לשבת עצמה, ודלא </w:t>
      </w:r>
      <w:r w:rsidRPr="001A2014">
        <w:rPr>
          <w:rStyle w:val="aff4"/>
          <w:rFonts w:hint="cs"/>
          <w:vanish/>
          <w:rtl/>
        </w:rPr>
        <w:t>-</w:t>
      </w:r>
      <w:r w:rsidRPr="001A2014">
        <w:rPr>
          <w:rStyle w:val="aff4"/>
          <w:rFonts w:hint="cs"/>
          <w:rtl/>
        </w:rPr>
        <w:t>כרש"י</w:t>
      </w:r>
      <w:r w:rsidRPr="001A2014">
        <w:rPr>
          <w:rStyle w:val="aff4"/>
          <w:rFonts w:hint="cs"/>
          <w:vanish/>
          <w:rtl/>
        </w:rPr>
        <w:t>-</w:t>
      </w:r>
      <w:r>
        <w:rPr>
          <w:rFonts w:hint="cs"/>
          <w:rtl/>
        </w:rPr>
        <w:t xml:space="preserve"> </w:t>
      </w:r>
      <w:r w:rsidRPr="00DB1D3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Ref143598888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נב)</w:t>
      </w:r>
      <w:r>
        <w:rPr>
          <w:rStyle w:val="af2"/>
          <w:rFonts w:eastAsia="Guttman Hodes"/>
          <w:rtl/>
        </w:rPr>
        <w:fldChar w:fldCharType="end"/>
      </w:r>
      <w:r>
        <w:rPr>
          <w:rFonts w:hint="cs"/>
          <w:rtl/>
        </w:rPr>
        <w:t xml:space="preserve"> דכתב דהא דתנן "בשבת" הכוונה על המלאכה עצמה שהיא מלאכה מתקיימת והיינו יותר מיום אחד, והביא </w:t>
      </w:r>
      <w:r w:rsidRPr="001A2014">
        <w:rPr>
          <w:rStyle w:val="aff4"/>
          <w:rFonts w:hint="cs"/>
          <w:vanish/>
          <w:rtl/>
        </w:rPr>
        <w:t>-</w:t>
      </w:r>
      <w:r w:rsidRPr="001A2014">
        <w:rPr>
          <w:rStyle w:val="aff4"/>
          <w:rFonts w:hint="cs"/>
          <w:rtl/>
        </w:rPr>
        <w:t>השער הציון</w:t>
      </w:r>
      <w:r w:rsidRPr="001A2014">
        <w:rPr>
          <w:rStyle w:val="aff4"/>
          <w:rFonts w:hint="cs"/>
          <w:vanish/>
          <w:rtl/>
        </w:rPr>
        <w:t>-</w:t>
      </w:r>
      <w:r>
        <w:rPr>
          <w:rFonts w:hint="cs"/>
          <w:rtl/>
        </w:rPr>
        <w:t xml:space="preserve"> את דברי </w:t>
      </w:r>
      <w:r w:rsidRPr="001A2014">
        <w:rPr>
          <w:rStyle w:val="aff4"/>
          <w:rFonts w:hint="cs"/>
          <w:vanish/>
          <w:rtl/>
        </w:rPr>
        <w:t>-</w:t>
      </w:r>
      <w:r w:rsidRPr="001A2014">
        <w:rPr>
          <w:rStyle w:val="aff4"/>
          <w:rFonts w:hint="cs"/>
          <w:rtl/>
        </w:rPr>
        <w:t>ה</w:t>
      </w:r>
      <w:r w:rsidRPr="00FF7D8F">
        <w:rPr>
          <w:rStyle w:val="aff4"/>
          <w:rFonts w:hint="cs"/>
          <w:vanish/>
          <w:rtl/>
        </w:rPr>
        <w:t>&lt; &gt;</w:t>
      </w:r>
      <w:r w:rsidRPr="001A2014">
        <w:rPr>
          <w:rStyle w:val="aff4"/>
          <w:rFonts w:hint="cs"/>
          <w:rtl/>
        </w:rPr>
        <w:t>תוס' לקמן</w:t>
      </w:r>
      <w:r w:rsidRPr="001A2014">
        <w:rPr>
          <w:rStyle w:val="aff4"/>
          <w:rFonts w:hint="cs"/>
          <w:vanish/>
          <w:rtl/>
        </w:rPr>
        <w:t>-</w:t>
      </w:r>
      <w:r>
        <w:rPr>
          <w:rFonts w:hint="cs"/>
          <w:rtl/>
        </w:rPr>
        <w:t xml:space="preserve"> </w:t>
      </w:r>
      <w:r w:rsidRPr="00DB1D3B">
        <w:rPr>
          <w:rStyle w:val="af2"/>
          <w:rFonts w:eastAsia="Guttman Hodes" w:hint="cs"/>
          <w:rtl/>
        </w:rPr>
        <w:t>(צד: ד"ה וכי)</w:t>
      </w:r>
      <w:r w:rsidRPr="001A2014">
        <w:rPr>
          <w:rFonts w:hint="cs"/>
          <w:vanish/>
          <w:rtl/>
        </w:rPr>
        <w:t>=</w:t>
      </w:r>
      <w:r>
        <w:rPr>
          <w:rFonts w:hint="cs"/>
          <w:rtl/>
        </w:rPr>
        <w:t xml:space="preserve"> דכתבו דהקולעת שערה לא חשיבא אורגת כיון דאין סופה להתקיים דהיא עומדת לסותרה, וכתב </w:t>
      </w:r>
      <w:r w:rsidRPr="001A2014">
        <w:rPr>
          <w:rStyle w:val="aff4"/>
          <w:rFonts w:hint="cs"/>
          <w:vanish/>
          <w:rtl/>
        </w:rPr>
        <w:t>-</w:t>
      </w:r>
      <w:r w:rsidRPr="001A2014">
        <w:rPr>
          <w:rStyle w:val="aff4"/>
          <w:rFonts w:hint="cs"/>
          <w:rtl/>
        </w:rPr>
        <w:t>השער הציון</w:t>
      </w:r>
      <w:r w:rsidRPr="001A2014">
        <w:rPr>
          <w:rStyle w:val="aff4"/>
          <w:rFonts w:hint="cs"/>
          <w:vanish/>
          <w:rtl/>
        </w:rPr>
        <w:t>-</w:t>
      </w:r>
      <w:r>
        <w:rPr>
          <w:rFonts w:hint="cs"/>
          <w:rtl/>
        </w:rPr>
        <w:t xml:space="preserve"> דאי הקליעה בשיער מתקיימת לשבת אך לא לזמן מרובה, א"כ משמע </w:t>
      </w:r>
      <w:r w:rsidRPr="001A2014">
        <w:rPr>
          <w:rStyle w:val="aff4"/>
          <w:rFonts w:hint="cs"/>
          <w:vanish/>
          <w:rtl/>
        </w:rPr>
        <w:t>-</w:t>
      </w:r>
      <w:r w:rsidRPr="001A2014">
        <w:rPr>
          <w:rStyle w:val="aff4"/>
          <w:rFonts w:hint="cs"/>
          <w:rtl/>
        </w:rPr>
        <w:t>דהתוס'</w:t>
      </w:r>
      <w:r w:rsidRPr="001A2014">
        <w:rPr>
          <w:rStyle w:val="aff4"/>
          <w:rFonts w:hint="cs"/>
          <w:vanish/>
          <w:rtl/>
        </w:rPr>
        <w:t>-</w:t>
      </w:r>
      <w:r>
        <w:rPr>
          <w:rFonts w:hint="cs"/>
          <w:rtl/>
        </w:rPr>
        <w:t xml:space="preserve"> ס"ל </w:t>
      </w:r>
      <w:r w:rsidRPr="001A2014">
        <w:rPr>
          <w:rStyle w:val="aff4"/>
          <w:rFonts w:hint="cs"/>
          <w:vanish/>
          <w:rtl/>
        </w:rPr>
        <w:t>-</w:t>
      </w:r>
      <w:r w:rsidRPr="001A2014">
        <w:rPr>
          <w:rStyle w:val="aff4"/>
          <w:rFonts w:hint="cs"/>
          <w:rtl/>
        </w:rPr>
        <w:t>כרש"י</w:t>
      </w:r>
      <w:r w:rsidRPr="001A2014">
        <w:rPr>
          <w:rStyle w:val="aff4"/>
          <w:rFonts w:hint="cs"/>
          <w:vanish/>
          <w:rtl/>
        </w:rPr>
        <w:t>-</w:t>
      </w:r>
      <w:r>
        <w:rPr>
          <w:rFonts w:hint="cs"/>
          <w:rtl/>
        </w:rPr>
        <w:t xml:space="preserve"> </w:t>
      </w:r>
      <w:r w:rsidRPr="00DB1D3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Ref143598888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נב)</w:t>
      </w:r>
      <w:r>
        <w:rPr>
          <w:rStyle w:val="af2"/>
          <w:rFonts w:eastAsia="Guttman Hodes"/>
          <w:rtl/>
        </w:rPr>
        <w:fldChar w:fldCharType="end"/>
      </w:r>
      <w:r w:rsidRPr="001657C0">
        <w:rPr>
          <w:rFonts w:hint="cs"/>
          <w:rtl/>
        </w:rPr>
        <w:t xml:space="preserve">, </w:t>
      </w:r>
      <w:r>
        <w:rPr>
          <w:rFonts w:hint="cs"/>
          <w:rtl/>
        </w:rPr>
        <w:t xml:space="preserve">או דהקליעה בשיער אינה מתקיימת אף בשבת, </w:t>
      </w:r>
      <w:r w:rsidRPr="001A2014">
        <w:rPr>
          <w:rStyle w:val="aff4"/>
          <w:rFonts w:hint="cs"/>
          <w:vanish/>
          <w:rtl/>
        </w:rPr>
        <w:t>-</w:t>
      </w:r>
      <w:r w:rsidRPr="001A2014">
        <w:rPr>
          <w:rStyle w:val="aff4"/>
          <w:rFonts w:hint="cs"/>
          <w:rtl/>
        </w:rPr>
        <w:t>והתוס'</w:t>
      </w:r>
      <w:r w:rsidRPr="001A2014">
        <w:rPr>
          <w:rStyle w:val="aff4"/>
          <w:rFonts w:hint="cs"/>
          <w:vanish/>
          <w:rtl/>
        </w:rPr>
        <w:t>-</w:t>
      </w:r>
      <w:r>
        <w:rPr>
          <w:rFonts w:hint="cs"/>
          <w:rtl/>
        </w:rPr>
        <w:t xml:space="preserve"> ס"ל </w:t>
      </w:r>
      <w:r w:rsidRPr="001A2014">
        <w:rPr>
          <w:rStyle w:val="aff4"/>
          <w:rFonts w:hint="cs"/>
          <w:vanish/>
          <w:rtl/>
        </w:rPr>
        <w:t>-</w:t>
      </w:r>
      <w:r w:rsidRPr="001A2014">
        <w:rPr>
          <w:rStyle w:val="aff4"/>
          <w:rFonts w:hint="cs"/>
          <w:rtl/>
        </w:rPr>
        <w:t>כהרמב"ם</w:t>
      </w:r>
      <w:r w:rsidRPr="001A2014">
        <w:rPr>
          <w:rStyle w:val="aff4"/>
          <w:rFonts w:hint="cs"/>
          <w:vanish/>
          <w:rtl/>
        </w:rPr>
        <w:t>-</w:t>
      </w:r>
      <w:r>
        <w:rPr>
          <w:rFonts w:hint="cs"/>
          <w:rtl/>
        </w:rPr>
        <w:t xml:space="preserve"> </w:t>
      </w:r>
      <w:r w:rsidRPr="00DB1D3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Ref140832874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ס)</w:t>
      </w:r>
      <w:r>
        <w:rPr>
          <w:rStyle w:val="af2"/>
          <w:rFonts w:eastAsia="Guttman Hodes"/>
          <w:rtl/>
        </w:rPr>
        <w:fldChar w:fldCharType="end"/>
      </w:r>
      <w:r>
        <w:rPr>
          <w:rFonts w:hint="cs"/>
          <w:rtl/>
        </w:rPr>
        <w:t xml:space="preserve"> ולכן פטור בזה מדאו'.</w:t>
      </w:r>
      <w:bookmarkEnd w:id="4900"/>
      <w:r>
        <w:rPr>
          <w:rFonts w:hint="cs"/>
          <w:rtl/>
        </w:rPr>
        <w:t xml:space="preserve"> </w:t>
      </w:r>
    </w:p>
    <w:p w14:paraId="51C58CB9" w14:textId="77777777" w:rsidR="00376F67" w:rsidRPr="0074694D" w:rsidRDefault="00376F67" w:rsidP="00376F67">
      <w:pPr>
        <w:pStyle w:val="a2"/>
        <w:tabs>
          <w:tab w:val="num" w:pos="284"/>
        </w:tabs>
        <w:rPr>
          <w:vanish w:val="0"/>
          <w:rtl/>
        </w:rPr>
      </w:pPr>
      <w:r w:rsidRPr="0074694D">
        <w:rPr>
          <w:rtl/>
        </w:rPr>
        <w:t>(סח) רוצה לומר, ואיתא בריש פרק הבונה דבעינן דוקא שתהיה מלאכתו מתקיימת, וגם לענין כתיבה קיימא לן דבעינן דוקא שיכתוב בדבר המתקיים. אך בריש פרק הבונה איתא שם במשנה, כל העושה מלאכה ומלאכתו מתקיימת בשבת חייב, משמע לכאורה דאפילו אם מתקיימת רק על יום השבת לחוד, וכן משמע לעניות דעתי ברמב"ם פרק ט הלכה י"ג, עיין שם היטב, והמשנה כללא כייל זה הכלל וכו', ועל כרחך אנו צריכין לומר דמה שהמשנה פוטרת בכתב שאינו של קיימא כגון במשקין ומי פירות, היינו, משום שאינו מתקיים כלל אפילו על יום השבת, אכן ברש"י שם איתא במשנה דהאי בשבת אעושה מלאכה קאי, אם כן משמע מיניה דבעינן שיהיה מתקיים תמיד ולא די ביום השבת לחוד, ובעניננו איני יודע, דאולי הוא מתקיים על יום השבת, והתוספות סבירא להו כרש"י, או דהתוספות סבירא להו כהרמב"ם ואפילו על יום השבת אינו מתקיים ולכך פטור:</w:t>
      </w:r>
    </w:p>
    <w:p w14:paraId="22B481C8" w14:textId="77777777" w:rsidR="00376F67" w:rsidRPr="00954231" w:rsidRDefault="00376F67" w:rsidP="00376F67">
      <w:pPr>
        <w:pStyle w:val="afffff5"/>
        <w:rPr>
          <w:vanish w:val="0"/>
          <w:rtl/>
        </w:rPr>
      </w:pPr>
      <w:r w:rsidRPr="00954231">
        <w:rPr>
          <w:rtl/>
        </w:rPr>
        <w:t>וכי דרך אריגה בכך - ואף על גב דקולע נימין חשיבא אריגה כדאמרינן בפרק במה אשה (לעיל ד' סד.) הכא בשער לא חשיבא אריגה כמו בבגד ועוד דהכא אין סופה להתקיים שעומדת לסתירה.</w:t>
      </w:r>
    </w:p>
    <w:p w14:paraId="01E390B4" w14:textId="77777777" w:rsidR="00376F67" w:rsidRPr="00AE511A" w:rsidRDefault="00376F67" w:rsidP="00BC7DC8">
      <w:pPr>
        <w:pStyle w:val="a3"/>
        <w:rPr>
          <w:rtl/>
        </w:rPr>
        <w:sectPr w:rsidR="00376F67" w:rsidRPr="00AE511A" w:rsidSect="00CA28B3">
          <w:footerReference w:type="default" r:id="rId165"/>
          <w:type w:val="continuous"/>
          <w:pgSz w:w="11906" w:h="16838"/>
          <w:pgMar w:top="720" w:right="720" w:bottom="720" w:left="720" w:header="283" w:footer="283" w:gutter="0"/>
          <w:cols w:num="2" w:space="567"/>
          <w:bidi/>
          <w:rtlGutter/>
        </w:sectPr>
      </w:pPr>
      <w:bookmarkStart w:id="4901" w:name="_Hlk148434806"/>
    </w:p>
    <w:p w14:paraId="123301F7" w14:textId="77777777" w:rsidR="00376F67" w:rsidRPr="008E1B37" w:rsidRDefault="00376F67" w:rsidP="00376F67">
      <w:pPr>
        <w:pStyle w:val="a7"/>
        <w:rPr>
          <w:rtl/>
        </w:rPr>
      </w:pPr>
    </w:p>
    <w:p w14:paraId="49DF1987" w14:textId="77777777" w:rsidR="00376F67" w:rsidRDefault="00376F67" w:rsidP="00376F67">
      <w:pPr>
        <w:pStyle w:val="a7"/>
        <w:rPr>
          <w:rtl/>
        </w:rPr>
      </w:pPr>
    </w:p>
    <w:p w14:paraId="0EE334C0" w14:textId="77777777" w:rsidR="00376F67" w:rsidRPr="00BA76A4" w:rsidRDefault="00376F67" w:rsidP="00BC7DC8">
      <w:pPr>
        <w:pStyle w:val="a3"/>
        <w:rPr>
          <w:rtl/>
        </w:rPr>
        <w:sectPr w:rsidR="00376F67" w:rsidRPr="00BA76A4" w:rsidSect="001918F0">
          <w:type w:val="continuous"/>
          <w:pgSz w:w="11906" w:h="16838"/>
          <w:pgMar w:top="720" w:right="720" w:bottom="720" w:left="720" w:header="283" w:footer="283" w:gutter="0"/>
          <w:cols w:num="2" w:space="567"/>
          <w:bidi/>
          <w:rtlGutter/>
        </w:sectPr>
      </w:pPr>
    </w:p>
    <w:p w14:paraId="3D6B6206" w14:textId="77777777" w:rsidR="00376F67" w:rsidRDefault="00376F67" w:rsidP="00376F67">
      <w:pPr>
        <w:tabs>
          <w:tab w:val="left" w:pos="1163"/>
        </w:tabs>
        <w:spacing w:after="0" w:line="240" w:lineRule="auto"/>
        <w:jc w:val="center"/>
        <w:rPr>
          <w:rFonts w:eastAsia="Guttman Hodes" w:cs="Guttman Hodes"/>
          <w:noProof/>
          <w:sz w:val="18"/>
          <w:szCs w:val="18"/>
          <w:rtl/>
        </w:rPr>
        <w:sectPr w:rsidR="00376F67" w:rsidSect="00143B96">
          <w:type w:val="continuous"/>
          <w:pgSz w:w="11906" w:h="16838"/>
          <w:pgMar w:top="720" w:right="720" w:bottom="720" w:left="720" w:header="283" w:footer="283" w:gutter="0"/>
          <w:cols w:space="720"/>
          <w:bidi/>
          <w:rtlGutter/>
        </w:sectPr>
      </w:pPr>
    </w:p>
    <w:p w14:paraId="5B9C4377" w14:textId="77777777" w:rsidR="00376F67" w:rsidRDefault="00376F67" w:rsidP="00376F67">
      <w:pPr>
        <w:tabs>
          <w:tab w:val="left" w:pos="1163"/>
        </w:tabs>
        <w:spacing w:after="0" w:line="240" w:lineRule="auto"/>
        <w:jc w:val="center"/>
      </w:pPr>
      <w:r>
        <w:rPr>
          <w:rFonts w:ascii="Guttman Hodes" w:eastAsia="Guttman Hodes" w:hAnsi="Guttman Hodes" w:cs="Guttman Hodes"/>
          <w:noProof/>
          <w:sz w:val="18"/>
          <w:szCs w:val="18"/>
        </w:rPr>
        <w:lastRenderedPageBreak/>
        <w:pict w14:anchorId="1A4EEE86">
          <v:shape id="_x0000_i7855" type="#_x0000_t75" style="width:404.55pt;height:6.8pt" o:hrpct="0" o:hralign="center" o:hr="t">
            <v:imagedata r:id="rId36" o:title="BD14845_"/>
          </v:shape>
        </w:pict>
      </w:r>
    </w:p>
    <w:p w14:paraId="14D50A6B" w14:textId="77777777" w:rsidR="00376F67" w:rsidRDefault="00376F67" w:rsidP="00376F67">
      <w:pPr>
        <w:pStyle w:val="affff5"/>
        <w:rPr>
          <w:rtl/>
        </w:rPr>
      </w:pPr>
      <w:bookmarkStart w:id="4902" w:name="_Toc143767840"/>
      <w:bookmarkStart w:id="4903" w:name="_Toc143770661"/>
      <w:r>
        <w:rPr>
          <w:rFonts w:hint="cs"/>
          <w:rtl/>
        </w:rPr>
        <w:t>~</w:t>
      </w:r>
      <w:r>
        <w:rPr>
          <w:rFonts w:hint="cs"/>
          <w:noProof/>
          <w:rtl/>
        </w:rPr>
        <w:t>~~~~~~</w:t>
      </w:r>
      <w:r>
        <w:rPr>
          <w:rFonts w:hint="cs"/>
          <w:rtl/>
        </w:rPr>
        <w:t xml:space="preserve"> ביאורי ראשי הישיבות ~</w:t>
      </w:r>
      <w:r>
        <w:rPr>
          <w:rFonts w:hint="cs"/>
          <w:noProof/>
          <w:rtl/>
        </w:rPr>
        <w:t>~~~~</w:t>
      </w:r>
      <w:r>
        <w:rPr>
          <w:rFonts w:hint="cs"/>
          <w:rtl/>
        </w:rPr>
        <w:t>~~</w:t>
      </w:r>
      <w:bookmarkEnd w:id="4902"/>
      <w:bookmarkEnd w:id="4903"/>
      <w:r w:rsidRPr="0001175D">
        <w:rPr>
          <w:vanish/>
          <w:rtl/>
        </w:rPr>
        <w:t>&lt; # =</w:t>
      </w:r>
    </w:p>
    <w:p w14:paraId="4BFD6AB6" w14:textId="77777777" w:rsidR="00376F67" w:rsidRPr="00110D58" w:rsidRDefault="00376F67" w:rsidP="00376F67">
      <w:pPr>
        <w:bidi w:val="0"/>
        <w:spacing w:after="0" w:line="360" w:lineRule="auto"/>
        <w:rPr>
          <w:rFonts w:eastAsia="Guttman Adii-Light" w:cs="Guttman Hodes"/>
          <w:b/>
          <w:bCs/>
          <w:sz w:val="18"/>
          <w:szCs w:val="28"/>
          <w:rtl/>
        </w:rPr>
        <w:sectPr w:rsidR="00376F67" w:rsidRPr="00110D58" w:rsidSect="00376091">
          <w:pgSz w:w="11906" w:h="16838"/>
          <w:pgMar w:top="720" w:right="720" w:bottom="720" w:left="720" w:header="283" w:footer="283" w:gutter="0"/>
          <w:cols w:space="720"/>
          <w:bidi/>
          <w:rtlGutter/>
        </w:sectPr>
      </w:pPr>
    </w:p>
    <w:p w14:paraId="53F398AA" w14:textId="77777777" w:rsidR="00376F67" w:rsidRDefault="00376F67" w:rsidP="00376F67">
      <w:pPr>
        <w:pStyle w:val="affff5"/>
        <w:rPr>
          <w:rtl/>
        </w:rPr>
      </w:pPr>
      <w:bookmarkStart w:id="4904" w:name="_Toc143767841"/>
      <w:bookmarkStart w:id="4905" w:name="_Toc143770662"/>
      <w:r>
        <w:rPr>
          <w:rFonts w:hint="cs"/>
          <w:rtl/>
        </w:rPr>
        <w:t>בגדר בונה בקיבוץ חלקים ועשיית אוהל</w:t>
      </w:r>
      <w:bookmarkEnd w:id="4904"/>
      <w:bookmarkEnd w:id="4905"/>
      <w:r w:rsidRPr="0001175D">
        <w:rPr>
          <w:vanish/>
          <w:rtl/>
        </w:rPr>
        <w:t>&lt; # =</w:t>
      </w:r>
    </w:p>
    <w:p w14:paraId="433495B6" w14:textId="77777777" w:rsidR="00376F67" w:rsidRPr="004074AD" w:rsidRDefault="00376F67" w:rsidP="00376F67">
      <w:pPr>
        <w:pStyle w:val="1"/>
      </w:pPr>
      <w:bookmarkStart w:id="4906" w:name="_Toc143767842"/>
      <w:bookmarkStart w:id="4907" w:name="_Toc143770663"/>
      <w:r>
        <w:rPr>
          <w:rFonts w:hint="cs"/>
          <w:rtl/>
        </w:rPr>
        <w:t>קו' האבהא"ז ברמב"ם דאמאי עושה או תוקע כלי הוי בונה</w:t>
      </w:r>
      <w:bookmarkEnd w:id="4906"/>
      <w:bookmarkEnd w:id="4907"/>
      <w:r>
        <w:rPr>
          <w:rFonts w:hint="cs"/>
          <w:rtl/>
        </w:rPr>
        <w:t xml:space="preserve"> </w:t>
      </w:r>
    </w:p>
    <w:p w14:paraId="53604CCB" w14:textId="77777777" w:rsidR="00376F67" w:rsidRDefault="00376F67" w:rsidP="00376F67">
      <w:pPr>
        <w:pStyle w:val="afffff7"/>
        <w:rPr>
          <w:rtl/>
        </w:rPr>
      </w:pPr>
      <w:bookmarkStart w:id="4908" w:name="_Toc143767969"/>
      <w:bookmarkStart w:id="4909" w:name="_Toc163506157"/>
      <w:bookmarkEnd w:id="4901"/>
      <w:r>
        <w:rPr>
          <w:rtl/>
        </w:rPr>
        <w:t>אבן האזל שבת פ"י הי"ז</w:t>
      </w:r>
      <w:r>
        <w:rPr>
          <w:rFonts w:hint="cs"/>
          <w:rtl/>
        </w:rPr>
        <w:t xml:space="preserve"> ד"ה והנה</w:t>
      </w:r>
      <w:bookmarkEnd w:id="4908"/>
      <w:bookmarkEnd w:id="4909"/>
    </w:p>
    <w:p w14:paraId="306EF43E" w14:textId="77777777" w:rsidR="00376F67" w:rsidRDefault="00376F67" w:rsidP="00376F67">
      <w:pPr>
        <w:pStyle w:val="a7"/>
        <w:rPr>
          <w:rtl/>
        </w:rPr>
      </w:pPr>
      <w:bookmarkStart w:id="4910" w:name="_Toc143767843"/>
      <w:bookmarkStart w:id="4911" w:name="_Toc143770664"/>
      <w:r>
        <w:rPr>
          <w:rFonts w:hint="cs"/>
          <w:rtl/>
        </w:rPr>
        <w:t>קו' האבהא"ז על המ"מ ברמב"ם דאמאי כלי זכוכית ל"ה בונה ול"מ ברמב"ם דכל יוצר כלי בונה</w:t>
      </w:r>
      <w:bookmarkEnd w:id="4910"/>
      <w:bookmarkEnd w:id="4911"/>
    </w:p>
    <w:p w14:paraId="2B9CC8F7" w14:textId="3DBC1496" w:rsidR="00376F67" w:rsidRPr="00FF2403" w:rsidRDefault="00376F67" w:rsidP="00BC7DC8">
      <w:pPr>
        <w:pStyle w:val="a3"/>
        <w:rPr>
          <w:rtl/>
        </w:rPr>
      </w:pPr>
      <w:bookmarkStart w:id="4912" w:name="_Ref143464500"/>
      <w:bookmarkStart w:id="4913" w:name="_Hlk143463871"/>
      <w:r>
        <w:rPr>
          <w:rFonts w:hint="cs"/>
          <w:rtl/>
        </w:rPr>
        <w:t xml:space="preserve">במ"ש </w:t>
      </w:r>
      <w:r w:rsidRPr="00D62B93">
        <w:rPr>
          <w:rStyle w:val="aff4"/>
          <w:rFonts w:hint="cs"/>
          <w:vanish/>
          <w:rtl/>
        </w:rPr>
        <w:t>-</w:t>
      </w:r>
      <w:r w:rsidRPr="00C56FA9">
        <w:rPr>
          <w:rStyle w:val="aff4"/>
          <w:rFonts w:hint="cs"/>
          <w:rtl/>
        </w:rPr>
        <w:t>הרמב"ם</w:t>
      </w:r>
      <w:r w:rsidRPr="00D62B93">
        <w:rPr>
          <w:rStyle w:val="aff4"/>
          <w:rFonts w:hint="cs"/>
          <w:vanish/>
          <w:rtl/>
        </w:rPr>
        <w:t>-</w:t>
      </w:r>
      <w:r>
        <w:rPr>
          <w:rFonts w:hint="cs"/>
          <w:rtl/>
        </w:rPr>
        <w:t xml:space="preserve"> </w:t>
      </w:r>
      <w:r w:rsidRPr="00DB1D3B">
        <w:rPr>
          <w:rStyle w:val="af2"/>
          <w:rFonts w:eastAsia="Guttman Hodes" w:hint="cs"/>
          <w:rtl/>
        </w:rPr>
        <w:t xml:space="preserve">(עי' אות </w:t>
      </w:r>
      <w:r w:rsidRPr="00DB1D3B">
        <w:rPr>
          <w:rStyle w:val="af2"/>
          <w:rFonts w:eastAsia="Guttman Hodes"/>
          <w:rtl/>
        </w:rPr>
        <w:fldChar w:fldCharType="begin"/>
      </w:r>
      <w:r w:rsidRPr="00DB1D3B">
        <w:rPr>
          <w:rStyle w:val="af2"/>
          <w:rFonts w:eastAsia="Guttman Hodes"/>
          <w:rtl/>
        </w:rPr>
        <w:instrText xml:space="preserve"> </w:instrText>
      </w:r>
      <w:r w:rsidRPr="00DB1D3B">
        <w:rPr>
          <w:rStyle w:val="af2"/>
          <w:rFonts w:eastAsia="Guttman Hodes" w:hint="cs"/>
        </w:rPr>
        <w:instrText>REF</w:instrText>
      </w:r>
      <w:r w:rsidRPr="00DB1D3B">
        <w:rPr>
          <w:rStyle w:val="af2"/>
          <w:rFonts w:eastAsia="Guttman Hodes" w:hint="cs"/>
          <w:rtl/>
        </w:rPr>
        <w:instrText xml:space="preserve"> _</w:instrText>
      </w:r>
      <w:r w:rsidRPr="00DB1D3B">
        <w:rPr>
          <w:rStyle w:val="af2"/>
          <w:rFonts w:eastAsia="Guttman Hodes" w:hint="cs"/>
        </w:rPr>
        <w:instrText>Ref141956430 \r \h</w:instrText>
      </w:r>
      <w:r w:rsidRPr="00DB1D3B">
        <w:rPr>
          <w:rStyle w:val="af2"/>
          <w:rFonts w:eastAsia="Guttman Hodes"/>
          <w:rtl/>
        </w:rPr>
        <w:instrText xml:space="preserve"> </w:instrText>
      </w:r>
      <w:r w:rsidRPr="00DB1D3B">
        <w:rPr>
          <w:rStyle w:val="af2"/>
          <w:rFonts w:eastAsia="Guttman Hodes"/>
          <w:rtl/>
        </w:rPr>
      </w:r>
      <w:r w:rsidRPr="00DB1D3B">
        <w:rPr>
          <w:rStyle w:val="af2"/>
          <w:rFonts w:eastAsia="Guttman Hodes"/>
          <w:rtl/>
        </w:rPr>
        <w:fldChar w:fldCharType="separate"/>
      </w:r>
      <w:r w:rsidR="00D82181">
        <w:rPr>
          <w:rStyle w:val="af2"/>
          <w:rFonts w:eastAsia="Guttman Hodes"/>
          <w:cs/>
        </w:rPr>
        <w:t>‎</w:t>
      </w:r>
      <w:r w:rsidR="00D82181">
        <w:rPr>
          <w:rStyle w:val="af2"/>
          <w:rFonts w:eastAsia="Guttman Hodes"/>
          <w:rtl/>
        </w:rPr>
        <w:t>כה)</w:t>
      </w:r>
      <w:r w:rsidRPr="00DB1D3B">
        <w:rPr>
          <w:rStyle w:val="af2"/>
          <w:rFonts w:eastAsia="Guttman Hodes"/>
          <w:rtl/>
        </w:rPr>
        <w:fldChar w:fldCharType="end"/>
      </w:r>
      <w:r>
        <w:rPr>
          <w:rFonts w:hint="cs"/>
          <w:rtl/>
        </w:rPr>
        <w:t xml:space="preserve"> דהעושה כלי אדמה כתנור וחבית לפני ששרפם דהוא תולדת בונה, ובמה שביאר </w:t>
      </w:r>
      <w:r w:rsidRPr="00EF4E3F">
        <w:rPr>
          <w:rStyle w:val="aff4"/>
          <w:rFonts w:hint="cs"/>
          <w:vanish/>
          <w:rtl/>
        </w:rPr>
        <w:t>-</w:t>
      </w:r>
      <w:r w:rsidRPr="00013089">
        <w:rPr>
          <w:rStyle w:val="aff4"/>
          <w:rFonts w:hint="cs"/>
          <w:rtl/>
        </w:rPr>
        <w:t>המ"מ</w:t>
      </w:r>
      <w:r w:rsidRPr="00EF4E3F">
        <w:rPr>
          <w:rStyle w:val="aff4"/>
          <w:rFonts w:hint="cs"/>
          <w:vanish/>
          <w:rtl/>
        </w:rPr>
        <w:t>-</w:t>
      </w:r>
      <w:r>
        <w:rPr>
          <w:rFonts w:hint="cs"/>
          <w:rtl/>
        </w:rPr>
        <w:t xml:space="preserve"> דס"ל </w:t>
      </w:r>
      <w:r w:rsidRPr="00EF4E3F">
        <w:rPr>
          <w:rStyle w:val="aff4"/>
          <w:rFonts w:hint="cs"/>
          <w:vanish/>
          <w:rtl/>
        </w:rPr>
        <w:t>-</w:t>
      </w:r>
      <w:r w:rsidRPr="00013089">
        <w:rPr>
          <w:rStyle w:val="aff4"/>
          <w:rFonts w:hint="cs"/>
          <w:rtl/>
        </w:rPr>
        <w:t>להרמב"ם כתוס'</w:t>
      </w:r>
      <w:r w:rsidRPr="00EF4E3F">
        <w:rPr>
          <w:rStyle w:val="aff4"/>
          <w:rFonts w:hint="cs"/>
          <w:vanish/>
          <w:rtl/>
        </w:rPr>
        <w:t>-</w:t>
      </w:r>
      <w:r>
        <w:rPr>
          <w:rFonts w:hint="cs"/>
          <w:rtl/>
        </w:rPr>
        <w:t xml:space="preserve"> </w:t>
      </w:r>
      <w:r w:rsidRPr="00DB1D3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Ref143615763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w:t>
      </w:r>
      <w:r>
        <w:rPr>
          <w:rStyle w:val="af2"/>
          <w:rFonts w:eastAsia="Guttman Hodes"/>
          <w:rtl/>
        </w:rPr>
        <w:fldChar w:fldCharType="end"/>
      </w:r>
      <w:r>
        <w:rPr>
          <w:rFonts w:hint="cs"/>
          <w:rtl/>
        </w:rPr>
        <w:t xml:space="preserve"> דרק בכלים שנתפרקו אין בנין בכלים, אבל בעושה כלי מתחילתו הוי בונה, כתב </w:t>
      </w:r>
      <w:r w:rsidRPr="00EF4E3F">
        <w:rPr>
          <w:rStyle w:val="aff4"/>
          <w:rFonts w:hint="cs"/>
          <w:vanish/>
          <w:rtl/>
        </w:rPr>
        <w:t>-</w:t>
      </w:r>
      <w:r w:rsidRPr="00013089">
        <w:rPr>
          <w:rStyle w:val="aff4"/>
          <w:rFonts w:hint="cs"/>
          <w:rtl/>
        </w:rPr>
        <w:t>ה</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Ref143464500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סג)</w:t>
      </w:r>
      <w:r w:rsidRPr="00FF7D8F">
        <w:rPr>
          <w:rStyle w:val="aff4"/>
          <w:vanish/>
          <w:rtl/>
        </w:rPr>
        <w:fldChar w:fldCharType="end"/>
      </w:r>
      <w:r w:rsidRPr="00FF7D8F">
        <w:rPr>
          <w:rStyle w:val="aff4"/>
          <w:rFonts w:hint="cs"/>
          <w:vanish/>
          <w:rtl/>
        </w:rPr>
        <w:t xml:space="preserve"> &gt;</w:t>
      </w:r>
      <w:r w:rsidRPr="00013089">
        <w:rPr>
          <w:rStyle w:val="aff4"/>
          <w:rFonts w:hint="cs"/>
          <w:rtl/>
        </w:rPr>
        <w:t>אבן האזל</w:t>
      </w:r>
      <w:r w:rsidRPr="00EF4E3F">
        <w:rPr>
          <w:rStyle w:val="aff4"/>
          <w:rFonts w:hint="cs"/>
          <w:vanish/>
          <w:rtl/>
        </w:rPr>
        <w:t>-</w:t>
      </w:r>
      <w:r>
        <w:rPr>
          <w:rFonts w:hint="cs"/>
          <w:rtl/>
        </w:rPr>
        <w:t xml:space="preserve"> </w:t>
      </w:r>
      <w:r w:rsidRPr="00DB1D3B">
        <w:rPr>
          <w:rStyle w:val="af2"/>
          <w:rFonts w:eastAsia="Guttman Hodes" w:hint="cs"/>
          <w:rtl/>
        </w:rPr>
        <w:t>(שבת פ"י הי"ז ד"ה והנה)</w:t>
      </w:r>
      <w:r w:rsidRPr="00EF4E3F">
        <w:rPr>
          <w:rFonts w:hint="cs"/>
          <w:vanish/>
          <w:rtl/>
        </w:rPr>
        <w:t>=</w:t>
      </w:r>
      <w:r>
        <w:rPr>
          <w:rFonts w:hint="cs"/>
          <w:rtl/>
        </w:rPr>
        <w:t xml:space="preserve"> דא"כ קשה על </w:t>
      </w:r>
      <w:r w:rsidRPr="00EF4E3F">
        <w:rPr>
          <w:rStyle w:val="aff4"/>
          <w:rFonts w:hint="cs"/>
          <w:vanish/>
          <w:rtl/>
        </w:rPr>
        <w:t>-</w:t>
      </w:r>
      <w:r w:rsidRPr="00013089">
        <w:rPr>
          <w:rStyle w:val="aff4"/>
          <w:rFonts w:hint="cs"/>
          <w:rtl/>
        </w:rPr>
        <w:t>הרמב"ם</w:t>
      </w:r>
      <w:r w:rsidRPr="00EF4E3F">
        <w:rPr>
          <w:rStyle w:val="aff4"/>
          <w:rFonts w:hint="cs"/>
          <w:vanish/>
          <w:rtl/>
        </w:rPr>
        <w:t>-</w:t>
      </w:r>
      <w:r>
        <w:rPr>
          <w:rFonts w:hint="cs"/>
          <w:rtl/>
        </w:rPr>
        <w:t xml:space="preserve"> קושית </w:t>
      </w:r>
      <w:r w:rsidRPr="00EF4E3F">
        <w:rPr>
          <w:rStyle w:val="aff4"/>
          <w:rFonts w:hint="cs"/>
          <w:vanish/>
          <w:rtl/>
        </w:rPr>
        <w:t>-</w:t>
      </w:r>
      <w:r w:rsidRPr="00013089">
        <w:rPr>
          <w:rStyle w:val="aff4"/>
          <w:rFonts w:hint="cs"/>
          <w:rtl/>
        </w:rPr>
        <w:t>התוס'</w:t>
      </w:r>
      <w:r w:rsidRPr="00EF4E3F">
        <w:rPr>
          <w:rStyle w:val="aff4"/>
          <w:rFonts w:hint="cs"/>
          <w:vanish/>
          <w:rtl/>
        </w:rPr>
        <w:t>-</w:t>
      </w:r>
      <w:r>
        <w:rPr>
          <w:rFonts w:hint="cs"/>
          <w:rtl/>
        </w:rPr>
        <w:t xml:space="preserve"> </w:t>
      </w:r>
      <w:r w:rsidRPr="00DB1D3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Ref143549634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לא)</w:t>
      </w:r>
      <w:r>
        <w:rPr>
          <w:rStyle w:val="af2"/>
          <w:rFonts w:eastAsia="Guttman Hodes"/>
          <w:rtl/>
        </w:rPr>
        <w:fldChar w:fldCharType="end"/>
      </w:r>
      <w:r>
        <w:rPr>
          <w:rFonts w:hint="cs"/>
          <w:rtl/>
        </w:rPr>
        <w:t xml:space="preserve"> ממנפח כלי זכוכית דאמאי אינו חייב משום בונה, ועוד דלא היה </w:t>
      </w:r>
      <w:r w:rsidRPr="00EF4E3F">
        <w:rPr>
          <w:rStyle w:val="aff4"/>
          <w:rFonts w:hint="cs"/>
          <w:vanish/>
          <w:rtl/>
        </w:rPr>
        <w:t>-</w:t>
      </w:r>
      <w:r w:rsidRPr="00013089">
        <w:rPr>
          <w:rStyle w:val="aff4"/>
          <w:rFonts w:hint="cs"/>
          <w:rtl/>
        </w:rPr>
        <w:t>להרמב"ם</w:t>
      </w:r>
      <w:r w:rsidRPr="00EF4E3F">
        <w:rPr>
          <w:rStyle w:val="aff4"/>
          <w:rFonts w:hint="cs"/>
          <w:vanish/>
          <w:rtl/>
        </w:rPr>
        <w:t>-</w:t>
      </w:r>
      <w:r>
        <w:rPr>
          <w:rFonts w:hint="cs"/>
          <w:rtl/>
        </w:rPr>
        <w:t xml:space="preserve"> לומר דהחיוב הוא בעושה כלי אדמה כתנור וכו', אלא לומר דכל העושה כלי מתחילתו חייב משום בונה.</w:t>
      </w:r>
      <w:bookmarkEnd w:id="4912"/>
    </w:p>
    <w:bookmarkEnd w:id="4913"/>
    <w:p w14:paraId="38D6686C" w14:textId="77777777" w:rsidR="00376F67" w:rsidRPr="0074694D" w:rsidRDefault="00376F67" w:rsidP="00376F67">
      <w:pPr>
        <w:pStyle w:val="a2"/>
        <w:tabs>
          <w:tab w:val="num" w:pos="284"/>
        </w:tabs>
        <w:rPr>
          <w:vanish w:val="0"/>
          <w:rtl/>
        </w:rPr>
      </w:pPr>
      <w:r w:rsidRPr="0074694D">
        <w:rPr>
          <w:rtl/>
        </w:rPr>
        <w:t>והנה ד' המ"מ הם ד' התוס' בשבת בדף ע"ד דרש"י פי' על האי מאן דעביד חביתא דהוי ז' חטאות לבד מבונה אבל משום בונה לא מחייב דאין בנין וסתירה בכלים, וכ' ע"ז בתוס' דדוקא במחזיר מטה של טרסיים אמרינן דאין בנין בכלים אבל העושה כלי מחדש חייב משום בונה דהא אמרינן עייל שופתא בקופינא דמרא חייב משום בונה, אך אח"כ הקשו ממנפח בכלי זכוכית דחייב משום מכה בפטיש, ואמאי לא חייב משום בונה דהא הוי כלי מחדש ונשארו בקושיא, ולפי דברי הרהמ"מ דהרמב"ם נמי ס"ל כשיטת התוס' דלא אמרינן אין בנין בכלים אלא במחזיר אבל לא בעושה מחדש א"כ ישאר הקושיא ממנפח בכלי זכוכית דכן פסק גם הרמב"ם בפ"י הל' ט"ז, אך בר מן דין קשה לפי דברי המ"מ למה להרמב"ם לשנות דוקא בעושה כלי אדמה כגון תנור וחבית בשלמא בגמ' חשיב ז' חטאות אבל הרמב"ם הא לא חשיב הכא כלל ריבוי חטאות, ואף דדרך הרמב"ם לכתוב באופן הנמצא בגמ', הוא דוקא שלא לשנות באופן אחר אבל הכא למה ליה להאריך ולכתוב העושה כלי אדמה כגון תנור וכו' ליתני העושה כלי חייב משום בונה</w:t>
      </w:r>
      <w:r w:rsidRPr="0074694D">
        <w:rPr>
          <w:rFonts w:hint="cs"/>
          <w:rtl/>
        </w:rPr>
        <w:t>.</w:t>
      </w:r>
    </w:p>
    <w:p w14:paraId="1470D606" w14:textId="77777777" w:rsidR="00376F67" w:rsidRDefault="00376F67" w:rsidP="00376F67">
      <w:pPr>
        <w:pStyle w:val="a7"/>
        <w:rPr>
          <w:rtl/>
        </w:rPr>
      </w:pPr>
      <w:bookmarkStart w:id="4914" w:name="_Toc143767844"/>
      <w:bookmarkStart w:id="4915" w:name="_Toc143770665"/>
      <w:r>
        <w:rPr>
          <w:rFonts w:hint="cs"/>
          <w:rtl/>
        </w:rPr>
        <w:t>קו' האבאה"ז ברמב"ם דאמאי עושה אוהל הוי תולדה ולא אב הא הוא קבוע וצ"ב מהו האב</w:t>
      </w:r>
      <w:bookmarkEnd w:id="4914"/>
      <w:bookmarkEnd w:id="4915"/>
    </w:p>
    <w:p w14:paraId="47CF4F0A" w14:textId="7241A44B" w:rsidR="00376F67" w:rsidRPr="00A51F5B" w:rsidRDefault="00376F67" w:rsidP="00BC7DC8">
      <w:pPr>
        <w:pStyle w:val="a3"/>
      </w:pPr>
      <w:r>
        <w:rPr>
          <w:rFonts w:hint="cs"/>
          <w:rtl/>
        </w:rPr>
        <w:t xml:space="preserve">ועוד הקשה </w:t>
      </w:r>
      <w:r w:rsidRPr="00EF4E3F">
        <w:rPr>
          <w:rStyle w:val="aff4"/>
          <w:rFonts w:hint="cs"/>
          <w:vanish/>
          <w:rtl/>
        </w:rPr>
        <w:t>-</w:t>
      </w:r>
      <w:r w:rsidRPr="00013089">
        <w:rPr>
          <w:rStyle w:val="aff4"/>
          <w:rFonts w:hint="cs"/>
          <w:rtl/>
        </w:rPr>
        <w:t>האבן האזל</w:t>
      </w:r>
      <w:r w:rsidRPr="00EF4E3F">
        <w:rPr>
          <w:rStyle w:val="aff4"/>
          <w:rFonts w:hint="cs"/>
          <w:vanish/>
          <w:rtl/>
        </w:rPr>
        <w:t>-</w:t>
      </w:r>
      <w:r>
        <w:rPr>
          <w:rFonts w:hint="cs"/>
          <w:rtl/>
        </w:rPr>
        <w:t xml:space="preserve"> על תחילת דברי </w:t>
      </w:r>
      <w:r w:rsidRPr="00C56FA9">
        <w:rPr>
          <w:rStyle w:val="aff4"/>
          <w:rFonts w:hint="cs"/>
          <w:rtl/>
        </w:rPr>
        <w:t>הרמב"ם</w:t>
      </w:r>
      <w:r w:rsidRPr="00D62B93">
        <w:rPr>
          <w:rStyle w:val="aff4"/>
          <w:rFonts w:hint="cs"/>
          <w:vanish/>
          <w:rtl/>
        </w:rPr>
        <w:t>-</w:t>
      </w:r>
      <w:r>
        <w:rPr>
          <w:rFonts w:hint="cs"/>
          <w:rtl/>
        </w:rPr>
        <w:t xml:space="preserve"> </w:t>
      </w:r>
      <w:r w:rsidRPr="00DB1D3B">
        <w:rPr>
          <w:rStyle w:val="af2"/>
          <w:rFonts w:eastAsia="Guttman Hodes" w:hint="cs"/>
          <w:rtl/>
        </w:rPr>
        <w:t xml:space="preserve">(עי' אות </w:t>
      </w:r>
      <w:r w:rsidRPr="00DB1D3B">
        <w:rPr>
          <w:rStyle w:val="af2"/>
          <w:rFonts w:eastAsia="Guttman Hodes"/>
          <w:rtl/>
        </w:rPr>
        <w:fldChar w:fldCharType="begin"/>
      </w:r>
      <w:r w:rsidRPr="00DB1D3B">
        <w:rPr>
          <w:rStyle w:val="af2"/>
          <w:rFonts w:eastAsia="Guttman Hodes"/>
          <w:rtl/>
        </w:rPr>
        <w:instrText xml:space="preserve"> </w:instrText>
      </w:r>
      <w:r w:rsidRPr="00DB1D3B">
        <w:rPr>
          <w:rStyle w:val="af2"/>
          <w:rFonts w:eastAsia="Guttman Hodes" w:hint="cs"/>
        </w:rPr>
        <w:instrText>REF</w:instrText>
      </w:r>
      <w:r w:rsidRPr="00DB1D3B">
        <w:rPr>
          <w:rStyle w:val="af2"/>
          <w:rFonts w:eastAsia="Guttman Hodes" w:hint="cs"/>
          <w:rtl/>
        </w:rPr>
        <w:instrText xml:space="preserve"> _</w:instrText>
      </w:r>
      <w:r w:rsidRPr="00DB1D3B">
        <w:rPr>
          <w:rStyle w:val="af2"/>
          <w:rFonts w:eastAsia="Guttman Hodes" w:hint="cs"/>
        </w:rPr>
        <w:instrText>Ref141956430 \r \h</w:instrText>
      </w:r>
      <w:r w:rsidRPr="00DB1D3B">
        <w:rPr>
          <w:rStyle w:val="af2"/>
          <w:rFonts w:eastAsia="Guttman Hodes"/>
          <w:rtl/>
        </w:rPr>
        <w:instrText xml:space="preserve"> </w:instrText>
      </w:r>
      <w:r w:rsidRPr="00DB1D3B">
        <w:rPr>
          <w:rStyle w:val="af2"/>
          <w:rFonts w:eastAsia="Guttman Hodes"/>
          <w:rtl/>
        </w:rPr>
      </w:r>
      <w:r w:rsidRPr="00DB1D3B">
        <w:rPr>
          <w:rStyle w:val="af2"/>
          <w:rFonts w:eastAsia="Guttman Hodes"/>
          <w:rtl/>
        </w:rPr>
        <w:fldChar w:fldCharType="separate"/>
      </w:r>
      <w:r w:rsidR="00D82181">
        <w:rPr>
          <w:rStyle w:val="af2"/>
          <w:rFonts w:eastAsia="Guttman Hodes"/>
          <w:cs/>
        </w:rPr>
        <w:t>‎</w:t>
      </w:r>
      <w:r w:rsidR="00D82181">
        <w:rPr>
          <w:rStyle w:val="af2"/>
          <w:rFonts w:eastAsia="Guttman Hodes"/>
          <w:rtl/>
        </w:rPr>
        <w:t>כה)</w:t>
      </w:r>
      <w:r w:rsidRPr="00DB1D3B">
        <w:rPr>
          <w:rStyle w:val="af2"/>
          <w:rFonts w:eastAsia="Guttman Hodes"/>
          <w:rtl/>
        </w:rPr>
        <w:fldChar w:fldCharType="end"/>
      </w:r>
      <w:r>
        <w:rPr>
          <w:rFonts w:hint="cs"/>
          <w:rtl/>
        </w:rPr>
        <w:t xml:space="preserve"> דכתב דהעושה אוהל קבוע הוא תולדת בונה, ואמאי הוי תולדה ולא אב, הא חיוב בונה הוא בכל שהוא ואי אוהל קבוע הוא רק תולדה, צ"ב מה נקרא האב דבונה.</w:t>
      </w:r>
    </w:p>
    <w:p w14:paraId="77180893" w14:textId="77777777" w:rsidR="00376F67" w:rsidRPr="0074694D" w:rsidRDefault="00376F67" w:rsidP="00376F67">
      <w:pPr>
        <w:pStyle w:val="a2"/>
        <w:tabs>
          <w:tab w:val="num" w:pos="284"/>
        </w:tabs>
        <w:rPr>
          <w:vanish w:val="0"/>
          <w:rtl/>
        </w:rPr>
      </w:pPr>
      <w:r w:rsidRPr="0074694D">
        <w:rPr>
          <w:rtl/>
        </w:rPr>
        <w:t>ועוד קשה לשון הרמב"ם בהל' זו בתחלתו שכ' העושה אוהל קבוע ה"ז תולדות בונה דלמה הוי תולדת בונה ולמה לא הוי בונה ממש והא בונה הוי בכ"ש, ומה הוי בונה ממש דנימא דהעושה אוהל קבוע הוי תולדת בונה.</w:t>
      </w:r>
    </w:p>
    <w:p w14:paraId="700DD65A" w14:textId="77777777" w:rsidR="00376F67" w:rsidRDefault="00376F67" w:rsidP="00376F67">
      <w:pPr>
        <w:pStyle w:val="afffff7"/>
        <w:rPr>
          <w:rtl/>
        </w:rPr>
      </w:pPr>
      <w:bookmarkStart w:id="4916" w:name="_Toc143767970"/>
      <w:bookmarkStart w:id="4917" w:name="_Hlk143464516"/>
      <w:bookmarkStart w:id="4918" w:name="_Toc163506158"/>
      <w:r>
        <w:rPr>
          <w:rtl/>
        </w:rPr>
        <w:t>אבן האזל שבת פ"י הי"ז</w:t>
      </w:r>
      <w:r>
        <w:rPr>
          <w:rFonts w:hint="cs"/>
          <w:rtl/>
        </w:rPr>
        <w:t xml:space="preserve"> ד"ה אכן</w:t>
      </w:r>
      <w:bookmarkEnd w:id="4916"/>
      <w:bookmarkEnd w:id="4918"/>
    </w:p>
    <w:p w14:paraId="5DE52AB6" w14:textId="77777777" w:rsidR="00376F67" w:rsidRDefault="00376F67" w:rsidP="00376F67">
      <w:pPr>
        <w:pStyle w:val="a7"/>
        <w:rPr>
          <w:rtl/>
        </w:rPr>
      </w:pPr>
      <w:bookmarkStart w:id="4919" w:name="_Toc143767845"/>
      <w:bookmarkStart w:id="4920" w:name="_Toc143770666"/>
      <w:r>
        <w:rPr>
          <w:rFonts w:hint="cs"/>
          <w:rtl/>
        </w:rPr>
        <w:t>קו' האבאה"ז ברמב"ם דמחייב בתוקע מיטה מדין בונה דהא לא עשה כלי מחדש ואמאי הוי בונה</w:t>
      </w:r>
      <w:bookmarkEnd w:id="4919"/>
      <w:bookmarkEnd w:id="4920"/>
    </w:p>
    <w:p w14:paraId="3BA4773D" w14:textId="319338FE" w:rsidR="00376F67" w:rsidRDefault="00376F67" w:rsidP="00BC7DC8">
      <w:pPr>
        <w:pStyle w:val="a3"/>
      </w:pPr>
      <w:r>
        <w:rPr>
          <w:rFonts w:hint="cs"/>
          <w:rtl/>
        </w:rPr>
        <w:t xml:space="preserve">וכתב </w:t>
      </w:r>
      <w:r w:rsidRPr="00C124A3">
        <w:rPr>
          <w:rStyle w:val="aff4"/>
          <w:rFonts w:hint="cs"/>
          <w:vanish/>
          <w:rtl/>
        </w:rPr>
        <w:t>-</w:t>
      </w:r>
      <w:r w:rsidRPr="001A2014">
        <w:rPr>
          <w:rStyle w:val="aff4"/>
          <w:rFonts w:hint="cs"/>
          <w:rtl/>
        </w:rPr>
        <w:t>ה</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Ref140826760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סו)</w:t>
      </w:r>
      <w:r w:rsidRPr="00FF7D8F">
        <w:rPr>
          <w:rStyle w:val="aff4"/>
          <w:vanish/>
          <w:rtl/>
        </w:rPr>
        <w:fldChar w:fldCharType="end"/>
      </w:r>
      <w:r w:rsidRPr="00FF7D8F">
        <w:rPr>
          <w:rStyle w:val="aff4"/>
          <w:rFonts w:hint="cs"/>
          <w:vanish/>
          <w:rtl/>
        </w:rPr>
        <w:t xml:space="preserve"> &gt;</w:t>
      </w:r>
      <w:r w:rsidRPr="001A2014">
        <w:rPr>
          <w:rStyle w:val="aff4"/>
          <w:rFonts w:hint="cs"/>
          <w:rtl/>
        </w:rPr>
        <w:t>אבן האזל</w:t>
      </w:r>
      <w:r w:rsidRPr="00C124A3">
        <w:rPr>
          <w:rStyle w:val="aff4"/>
          <w:rFonts w:hint="cs"/>
          <w:vanish/>
          <w:rtl/>
        </w:rPr>
        <w:t>-</w:t>
      </w:r>
      <w:r>
        <w:rPr>
          <w:rFonts w:hint="cs"/>
          <w:rtl/>
        </w:rPr>
        <w:t xml:space="preserve"> </w:t>
      </w:r>
      <w:r w:rsidRPr="00DB1D3B">
        <w:rPr>
          <w:rStyle w:val="af2"/>
          <w:rFonts w:eastAsia="Guttman Hodes" w:hint="cs"/>
          <w:rtl/>
        </w:rPr>
        <w:t>(שבת פ"י הי"ז ד"ה אכן)</w:t>
      </w:r>
      <w:r w:rsidRPr="00C124A3">
        <w:rPr>
          <w:rFonts w:hint="cs"/>
          <w:vanish/>
          <w:rtl/>
        </w:rPr>
        <w:t>=</w:t>
      </w:r>
      <w:r>
        <w:rPr>
          <w:rFonts w:hint="cs"/>
          <w:rtl/>
        </w:rPr>
        <w:t xml:space="preserve"> דאיתא בגמ' לעיל </w:t>
      </w:r>
      <w:r w:rsidRPr="00DB1D3B">
        <w:rPr>
          <w:rStyle w:val="af2"/>
          <w:rFonts w:eastAsia="Guttman Hodes" w:hint="cs"/>
          <w:rtl/>
        </w:rPr>
        <w:t>(מז.)</w:t>
      </w:r>
      <w:r>
        <w:rPr>
          <w:rFonts w:hint="cs"/>
          <w:rtl/>
        </w:rPr>
        <w:t xml:space="preserve"> דהמחזיר מיטה של טרסיים ותקע חייב חטאת, לפי ביאור </w:t>
      </w:r>
      <w:r w:rsidRPr="00EF4E3F">
        <w:rPr>
          <w:rStyle w:val="aff4"/>
          <w:rFonts w:hint="cs"/>
          <w:vanish/>
          <w:rtl/>
        </w:rPr>
        <w:t>-</w:t>
      </w:r>
      <w:r w:rsidRPr="00013089">
        <w:rPr>
          <w:rStyle w:val="aff4"/>
          <w:rFonts w:hint="cs"/>
          <w:rtl/>
        </w:rPr>
        <w:t>התוס'</w:t>
      </w:r>
      <w:r w:rsidRPr="00EF4E3F">
        <w:rPr>
          <w:rStyle w:val="aff4"/>
          <w:rFonts w:hint="cs"/>
          <w:vanish/>
          <w:rtl/>
        </w:rPr>
        <w:t>-</w:t>
      </w:r>
      <w:r>
        <w:rPr>
          <w:rFonts w:hint="cs"/>
          <w:rtl/>
        </w:rPr>
        <w:t xml:space="preserve"> </w:t>
      </w:r>
      <w:r w:rsidRPr="00DB1D3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Ref143615763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w:t>
      </w:r>
      <w:r>
        <w:rPr>
          <w:rStyle w:val="af2"/>
          <w:rFonts w:eastAsia="Guttman Hodes"/>
          <w:rtl/>
        </w:rPr>
        <w:fldChar w:fldCharType="end"/>
      </w:r>
      <w:r>
        <w:rPr>
          <w:rFonts w:hint="cs"/>
          <w:rtl/>
        </w:rPr>
        <w:t xml:space="preserve"> דחיוב בונה בכלים הוא רק בעושה מחדש, א"א לחייב בזה משום בונה, וביארו </w:t>
      </w:r>
      <w:r w:rsidRPr="00EF4E3F">
        <w:rPr>
          <w:rStyle w:val="aff4"/>
          <w:rFonts w:hint="cs"/>
          <w:vanish/>
          <w:rtl/>
        </w:rPr>
        <w:t>-</w:t>
      </w:r>
      <w:r w:rsidRPr="00013089">
        <w:rPr>
          <w:rStyle w:val="aff4"/>
          <w:rFonts w:hint="cs"/>
          <w:rtl/>
        </w:rPr>
        <w:t>רש"י</w:t>
      </w:r>
      <w:r w:rsidRPr="00EF4E3F">
        <w:rPr>
          <w:rStyle w:val="aff4"/>
          <w:rFonts w:hint="cs"/>
          <w:vanish/>
          <w:rtl/>
        </w:rPr>
        <w:t>-</w:t>
      </w:r>
      <w:r>
        <w:rPr>
          <w:rFonts w:hint="cs"/>
          <w:rtl/>
        </w:rPr>
        <w:t xml:space="preserve"> </w:t>
      </w:r>
      <w:r w:rsidRPr="00DB1D3B">
        <w:rPr>
          <w:rStyle w:val="af2"/>
          <w:rFonts w:eastAsia="Guttman Hodes" w:hint="cs"/>
          <w:rtl/>
        </w:rPr>
        <w:t>(קכב: ד"ה גזירה)</w:t>
      </w:r>
      <w:r>
        <w:rPr>
          <w:rFonts w:hint="cs"/>
          <w:rtl/>
        </w:rPr>
        <w:t xml:space="preserve"> </w:t>
      </w:r>
      <w:r w:rsidRPr="00EF4E3F">
        <w:rPr>
          <w:rStyle w:val="aff4"/>
          <w:rFonts w:hint="cs"/>
          <w:vanish/>
          <w:rtl/>
        </w:rPr>
        <w:t>-</w:t>
      </w:r>
      <w:r w:rsidRPr="00013089">
        <w:rPr>
          <w:rStyle w:val="aff4"/>
          <w:rFonts w:hint="cs"/>
          <w:rtl/>
        </w:rPr>
        <w:t>והר"ן</w:t>
      </w:r>
      <w:r w:rsidRPr="00EF4E3F">
        <w:rPr>
          <w:rStyle w:val="aff4"/>
          <w:rFonts w:hint="cs"/>
          <w:vanish/>
          <w:rtl/>
        </w:rPr>
        <w:t>-</w:t>
      </w:r>
      <w:r>
        <w:rPr>
          <w:rFonts w:hint="cs"/>
          <w:rtl/>
        </w:rPr>
        <w:t xml:space="preserve"> </w:t>
      </w:r>
      <w:r w:rsidRPr="00DB1D3B">
        <w:rPr>
          <w:rStyle w:val="af2"/>
          <w:rFonts w:eastAsia="Guttman Hodes" w:hint="cs"/>
          <w:rtl/>
        </w:rPr>
        <w:t>(מז. ד"ה הא)</w:t>
      </w:r>
      <w:r>
        <w:rPr>
          <w:rFonts w:hint="cs"/>
          <w:rtl/>
        </w:rPr>
        <w:t xml:space="preserve"> דחייב משום מכה בפטיש, אבל </w:t>
      </w:r>
      <w:r w:rsidRPr="00EF4E3F">
        <w:rPr>
          <w:rStyle w:val="aff4"/>
          <w:rFonts w:hint="cs"/>
          <w:vanish/>
          <w:rtl/>
        </w:rPr>
        <w:t>-</w:t>
      </w:r>
      <w:r w:rsidRPr="00013089">
        <w:rPr>
          <w:rStyle w:val="aff4"/>
          <w:rFonts w:hint="cs"/>
          <w:rtl/>
        </w:rPr>
        <w:t>ה</w:t>
      </w:r>
      <w:r w:rsidRPr="00FF7D8F">
        <w:rPr>
          <w:rStyle w:val="aff4"/>
          <w:rFonts w:hint="cs"/>
          <w:vanish/>
          <w:rtl/>
        </w:rPr>
        <w:t>&lt; &gt;</w:t>
      </w:r>
      <w:r w:rsidRPr="00013089">
        <w:rPr>
          <w:rStyle w:val="aff4"/>
          <w:rFonts w:hint="cs"/>
          <w:rtl/>
        </w:rPr>
        <w:t>רמב"ם</w:t>
      </w:r>
      <w:r w:rsidRPr="00EF4E3F">
        <w:rPr>
          <w:rStyle w:val="aff4"/>
          <w:rFonts w:hint="cs"/>
          <w:vanish/>
          <w:rtl/>
        </w:rPr>
        <w:t>-</w:t>
      </w:r>
      <w:r>
        <w:rPr>
          <w:rFonts w:hint="cs"/>
          <w:rtl/>
        </w:rPr>
        <w:t xml:space="preserve"> </w:t>
      </w:r>
      <w:r w:rsidRPr="00DB1D3B">
        <w:rPr>
          <w:rStyle w:val="af2"/>
          <w:rFonts w:eastAsia="Guttman Hodes" w:hint="cs"/>
          <w:rtl/>
        </w:rPr>
        <w:t>(שבת פכ"ב הכ"ה)</w:t>
      </w:r>
      <w:r w:rsidRPr="00EF4E3F">
        <w:rPr>
          <w:rFonts w:hint="cs"/>
          <w:vanish/>
          <w:rtl/>
        </w:rPr>
        <w:t>=</w:t>
      </w:r>
      <w:r>
        <w:rPr>
          <w:rFonts w:hint="cs"/>
          <w:rtl/>
        </w:rPr>
        <w:t xml:space="preserve"> כתב דהחיוב בתוקע הוא מדין בונה, והביא </w:t>
      </w:r>
      <w:r w:rsidRPr="00EF4E3F">
        <w:rPr>
          <w:rStyle w:val="aff4"/>
          <w:rFonts w:hint="cs"/>
          <w:vanish/>
          <w:rtl/>
        </w:rPr>
        <w:t>-</w:t>
      </w:r>
      <w:r w:rsidRPr="00013089">
        <w:rPr>
          <w:rStyle w:val="aff4"/>
          <w:rFonts w:hint="cs"/>
          <w:rtl/>
        </w:rPr>
        <w:t>האבן האזל</w:t>
      </w:r>
      <w:r w:rsidRPr="00EF4E3F">
        <w:rPr>
          <w:rStyle w:val="aff4"/>
          <w:rFonts w:hint="cs"/>
          <w:vanish/>
          <w:rtl/>
        </w:rPr>
        <w:t>-</w:t>
      </w:r>
      <w:r>
        <w:rPr>
          <w:rFonts w:hint="cs"/>
          <w:rtl/>
        </w:rPr>
        <w:t xml:space="preserve"> את דברי </w:t>
      </w:r>
      <w:r w:rsidRPr="00EF4E3F">
        <w:rPr>
          <w:rStyle w:val="aff4"/>
          <w:rFonts w:hint="cs"/>
          <w:vanish/>
          <w:rtl/>
        </w:rPr>
        <w:t>-</w:t>
      </w:r>
      <w:r w:rsidRPr="00013089">
        <w:rPr>
          <w:rStyle w:val="aff4"/>
          <w:rFonts w:hint="cs"/>
          <w:rtl/>
        </w:rPr>
        <w:t>התוס' בסוגיין</w:t>
      </w:r>
      <w:r w:rsidRPr="00EF4E3F">
        <w:rPr>
          <w:rStyle w:val="aff4"/>
          <w:rFonts w:hint="cs"/>
          <w:vanish/>
          <w:rtl/>
        </w:rPr>
        <w:t>-</w:t>
      </w:r>
      <w:r>
        <w:rPr>
          <w:rFonts w:hint="cs"/>
          <w:rtl/>
        </w:rPr>
        <w:t xml:space="preserve"> </w:t>
      </w:r>
      <w:r w:rsidRPr="00DB1D3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Ref143615763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w:t>
      </w:r>
      <w:r>
        <w:rPr>
          <w:rStyle w:val="af2"/>
          <w:rFonts w:eastAsia="Guttman Hodes"/>
          <w:rtl/>
        </w:rPr>
        <w:fldChar w:fldCharType="end"/>
      </w:r>
      <w:r>
        <w:rPr>
          <w:rFonts w:hint="cs"/>
          <w:rtl/>
        </w:rPr>
        <w:t xml:space="preserve"> דג"כ כתבו דחייב בזה משום בונה, ומשמע דס"ל </w:t>
      </w:r>
      <w:r w:rsidRPr="00EF4E3F">
        <w:rPr>
          <w:rStyle w:val="aff4"/>
          <w:rFonts w:hint="cs"/>
          <w:vanish/>
          <w:rtl/>
        </w:rPr>
        <w:t>-</w:t>
      </w:r>
      <w:r w:rsidRPr="00013089">
        <w:rPr>
          <w:rStyle w:val="aff4"/>
          <w:rFonts w:hint="cs"/>
          <w:rtl/>
        </w:rPr>
        <w:t>לתוס'</w:t>
      </w:r>
      <w:r w:rsidRPr="00EF4E3F">
        <w:rPr>
          <w:rStyle w:val="aff4"/>
          <w:rFonts w:hint="cs"/>
          <w:vanish/>
          <w:rtl/>
        </w:rPr>
        <w:t>-</w:t>
      </w:r>
      <w:r>
        <w:rPr>
          <w:rFonts w:hint="cs"/>
          <w:rtl/>
        </w:rPr>
        <w:t xml:space="preserve"> דבתוקע חשיב כעושה כלי מחדש, אך כתב </w:t>
      </w:r>
      <w:r w:rsidRPr="00EF4E3F">
        <w:rPr>
          <w:rStyle w:val="aff4"/>
          <w:rFonts w:hint="cs"/>
          <w:vanish/>
          <w:rtl/>
        </w:rPr>
        <w:t>-</w:t>
      </w:r>
      <w:r w:rsidRPr="00013089">
        <w:rPr>
          <w:rStyle w:val="aff4"/>
          <w:rFonts w:hint="cs"/>
          <w:rtl/>
        </w:rPr>
        <w:t>האבן האזל</w:t>
      </w:r>
      <w:r w:rsidRPr="00EF4E3F">
        <w:rPr>
          <w:rStyle w:val="aff4"/>
          <w:rFonts w:hint="cs"/>
          <w:vanish/>
          <w:rtl/>
        </w:rPr>
        <w:t>-</w:t>
      </w:r>
      <w:r>
        <w:rPr>
          <w:rFonts w:hint="cs"/>
          <w:rtl/>
        </w:rPr>
        <w:t xml:space="preserve"> דדוחק לבאר כן.</w:t>
      </w:r>
    </w:p>
    <w:p w14:paraId="2F7F20F3" w14:textId="77777777" w:rsidR="00376F67" w:rsidRPr="0074694D" w:rsidRDefault="00376F67" w:rsidP="00376F67">
      <w:pPr>
        <w:pStyle w:val="a2"/>
        <w:tabs>
          <w:tab w:val="num" w:pos="284"/>
        </w:tabs>
        <w:rPr>
          <w:vanish w:val="0"/>
        </w:rPr>
      </w:pPr>
      <w:r w:rsidRPr="0074694D">
        <w:rPr>
          <w:rtl/>
        </w:rPr>
        <w:t>אכן באמת כל הנ"ל מיושב באופן פשוט, דהנה בגמ' דף מ"ז גבי מחזיר מטה של טרסיים אמרינן דאם תקע חייב חטאת, והנה לשיטת התוס' דהחילוק הוא בדין בנין בכלים בין מחזיר לעושה מחדש א"כ צ"ע למה חייב אם תקע כיון דאין בנין בכלים גבי מחזיר, ומטעם זה פי' הר"ן בחידושיו דאם תקע חייב חטאת משום מכה בפטיש אבל משום בונה לא חייב דאין בנין בכלים, וכן פי' רש"י בפ' כל הכלים דף קכ"ב, אבל הרמב"ם בפ' כ"ב מהל' שבת הל' כ"ה כתב להדיא גבי מחזיר דלתות דגם בכלים של פרקים אם תקע חייב משום בונה אף דלא הוי אלא מחזיר, אכן בתוס' דף ק"ג כתבו דתוקע חייב משום בונה ומשמע דס"ל להתוס' דתוקע הוי כמו עושה כלי מחדש, אבל אינו מסתבר כ"כ</w:t>
      </w:r>
      <w:r w:rsidRPr="0074694D">
        <w:rPr>
          <w:rFonts w:hint="cs"/>
          <w:rtl/>
        </w:rPr>
        <w:t>.</w:t>
      </w:r>
    </w:p>
    <w:p w14:paraId="3B1FD030" w14:textId="77777777" w:rsidR="00376F67" w:rsidRPr="004074AD" w:rsidRDefault="00376F67" w:rsidP="00376F67">
      <w:pPr>
        <w:pStyle w:val="1"/>
      </w:pPr>
      <w:bookmarkStart w:id="4921" w:name="_Toc143767846"/>
      <w:bookmarkStart w:id="4922" w:name="_Toc143770667"/>
      <w:r>
        <w:rPr>
          <w:rFonts w:hint="cs"/>
          <w:rtl/>
        </w:rPr>
        <w:t>בי' האבהא"ז דאב דבונה בית בעושה אוהל ע"י שמקבץ חלקים</w:t>
      </w:r>
      <w:bookmarkEnd w:id="4921"/>
      <w:bookmarkEnd w:id="4922"/>
    </w:p>
    <w:p w14:paraId="4E8286F8" w14:textId="77777777" w:rsidR="00376F67" w:rsidRDefault="00376F67" w:rsidP="00376F67">
      <w:pPr>
        <w:pStyle w:val="afffff7"/>
        <w:rPr>
          <w:rtl/>
        </w:rPr>
      </w:pPr>
      <w:bookmarkStart w:id="4923" w:name="_Toc143767971"/>
      <w:bookmarkStart w:id="4924" w:name="_Toc163506159"/>
      <w:r>
        <w:rPr>
          <w:rtl/>
        </w:rPr>
        <w:t>אבן האזל שבת פ"י הי"ז</w:t>
      </w:r>
      <w:r>
        <w:rPr>
          <w:rFonts w:hint="cs"/>
          <w:rtl/>
        </w:rPr>
        <w:t xml:space="preserve"> ד"ה אכן</w:t>
      </w:r>
      <w:bookmarkEnd w:id="4923"/>
      <w:bookmarkEnd w:id="4924"/>
    </w:p>
    <w:p w14:paraId="0080C784" w14:textId="77777777" w:rsidR="00376F67" w:rsidRDefault="00376F67" w:rsidP="00376F67">
      <w:pPr>
        <w:pStyle w:val="a7"/>
        <w:rPr>
          <w:rtl/>
        </w:rPr>
      </w:pPr>
      <w:bookmarkStart w:id="4925" w:name="_Toc143767847"/>
      <w:bookmarkStart w:id="4926" w:name="_Toc143770668"/>
      <w:r>
        <w:rPr>
          <w:rFonts w:hint="cs"/>
          <w:rtl/>
        </w:rPr>
        <w:t>בי' האבהא"ז ברמב"ם דמתולדות דאוהל ומגבן מבו' דאב דבונה בית עשה אוהל בקיבוץ חלקים</w:t>
      </w:r>
      <w:bookmarkEnd w:id="4925"/>
      <w:bookmarkEnd w:id="4926"/>
    </w:p>
    <w:p w14:paraId="6772CA40" w14:textId="12E68DC4" w:rsidR="00376F67" w:rsidRDefault="00376F67" w:rsidP="00BC7DC8">
      <w:pPr>
        <w:pStyle w:val="a3"/>
      </w:pPr>
      <w:bookmarkStart w:id="4927" w:name="_Ref140826760"/>
      <w:r>
        <w:rPr>
          <w:rFonts w:hint="cs"/>
          <w:rtl/>
        </w:rPr>
        <w:t xml:space="preserve">והביא </w:t>
      </w:r>
      <w:r w:rsidRPr="001A2014">
        <w:rPr>
          <w:rStyle w:val="aff4"/>
          <w:rFonts w:hint="cs"/>
          <w:vanish/>
          <w:rtl/>
        </w:rPr>
        <w:t>-</w:t>
      </w:r>
      <w:r w:rsidRPr="001A2014">
        <w:rPr>
          <w:rStyle w:val="aff4"/>
          <w:rFonts w:hint="cs"/>
          <w:rtl/>
        </w:rPr>
        <w:t>ה</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Ref140826760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סו)</w:t>
      </w:r>
      <w:r w:rsidRPr="00FF7D8F">
        <w:rPr>
          <w:rStyle w:val="aff4"/>
          <w:vanish/>
          <w:rtl/>
        </w:rPr>
        <w:fldChar w:fldCharType="end"/>
      </w:r>
      <w:r w:rsidRPr="00FF7D8F">
        <w:rPr>
          <w:rStyle w:val="aff4"/>
          <w:rFonts w:hint="cs"/>
          <w:vanish/>
          <w:rtl/>
        </w:rPr>
        <w:t xml:space="preserve"> &gt;</w:t>
      </w:r>
      <w:r w:rsidRPr="001A2014">
        <w:rPr>
          <w:rStyle w:val="aff4"/>
          <w:rFonts w:hint="cs"/>
          <w:rtl/>
        </w:rPr>
        <w:t>אבן האזל</w:t>
      </w:r>
      <w:r w:rsidRPr="001A2014">
        <w:rPr>
          <w:rStyle w:val="aff4"/>
          <w:rFonts w:hint="cs"/>
          <w:vanish/>
          <w:rtl/>
        </w:rPr>
        <w:t>-</w:t>
      </w:r>
      <w:r>
        <w:rPr>
          <w:rFonts w:hint="cs"/>
          <w:rtl/>
        </w:rPr>
        <w:t xml:space="preserve"> </w:t>
      </w:r>
      <w:r w:rsidRPr="00DB1D3B">
        <w:rPr>
          <w:rStyle w:val="af2"/>
          <w:rFonts w:eastAsia="Guttman Hodes" w:hint="cs"/>
          <w:rtl/>
        </w:rPr>
        <w:t>(שבת פ"י הי"ז ד"ה אכן)</w:t>
      </w:r>
      <w:r w:rsidRPr="001A2014">
        <w:rPr>
          <w:rFonts w:hint="cs"/>
          <w:vanish/>
          <w:rtl/>
        </w:rPr>
        <w:t>=</w:t>
      </w:r>
      <w:r>
        <w:rPr>
          <w:rFonts w:hint="cs"/>
          <w:rtl/>
        </w:rPr>
        <w:t xml:space="preserve"> את דברי </w:t>
      </w:r>
      <w:r w:rsidRPr="001A2014">
        <w:rPr>
          <w:rStyle w:val="aff4"/>
          <w:rFonts w:hint="cs"/>
          <w:vanish/>
          <w:rtl/>
        </w:rPr>
        <w:t>-</w:t>
      </w:r>
      <w:r w:rsidRPr="001A2014">
        <w:rPr>
          <w:rStyle w:val="aff4"/>
          <w:rFonts w:hint="cs"/>
          <w:rtl/>
        </w:rPr>
        <w:t>הרמב"ם</w:t>
      </w:r>
      <w:r w:rsidRPr="001A2014">
        <w:rPr>
          <w:rStyle w:val="aff4"/>
          <w:rFonts w:hint="cs"/>
          <w:vanish/>
          <w:rtl/>
        </w:rPr>
        <w:t>-</w:t>
      </w:r>
      <w:r>
        <w:rPr>
          <w:rFonts w:hint="cs"/>
          <w:rtl/>
        </w:rPr>
        <w:t xml:space="preserve"> </w:t>
      </w:r>
      <w:r w:rsidRPr="00DB1D3B">
        <w:rPr>
          <w:rStyle w:val="af2"/>
          <w:rFonts w:eastAsia="Guttman Hodes" w:hint="cs"/>
          <w:rtl/>
        </w:rPr>
        <w:t xml:space="preserve">(עי' אות </w:t>
      </w:r>
      <w:r w:rsidRPr="00DB1D3B">
        <w:rPr>
          <w:rStyle w:val="af2"/>
          <w:rFonts w:eastAsia="Guttman Hodes"/>
          <w:rtl/>
        </w:rPr>
        <w:fldChar w:fldCharType="begin"/>
      </w:r>
      <w:r w:rsidRPr="00DB1D3B">
        <w:rPr>
          <w:rStyle w:val="af2"/>
          <w:rFonts w:eastAsia="Guttman Hodes"/>
          <w:rtl/>
        </w:rPr>
        <w:instrText xml:space="preserve"> </w:instrText>
      </w:r>
      <w:r w:rsidRPr="00DB1D3B">
        <w:rPr>
          <w:rStyle w:val="af2"/>
          <w:rFonts w:eastAsia="Guttman Hodes" w:hint="cs"/>
        </w:rPr>
        <w:instrText>REF</w:instrText>
      </w:r>
      <w:r w:rsidRPr="00DB1D3B">
        <w:rPr>
          <w:rStyle w:val="af2"/>
          <w:rFonts w:eastAsia="Guttman Hodes" w:hint="cs"/>
          <w:rtl/>
        </w:rPr>
        <w:instrText xml:space="preserve"> _</w:instrText>
      </w:r>
      <w:r w:rsidRPr="00DB1D3B">
        <w:rPr>
          <w:rStyle w:val="af2"/>
          <w:rFonts w:eastAsia="Guttman Hodes" w:hint="cs"/>
        </w:rPr>
        <w:instrText>Ref140826369 \r \h</w:instrText>
      </w:r>
      <w:r w:rsidRPr="00DB1D3B">
        <w:rPr>
          <w:rStyle w:val="af2"/>
          <w:rFonts w:eastAsia="Guttman Hodes"/>
          <w:rtl/>
        </w:rPr>
        <w:instrText xml:space="preserve"> </w:instrText>
      </w:r>
      <w:r w:rsidRPr="00DB1D3B">
        <w:rPr>
          <w:rStyle w:val="af2"/>
          <w:rFonts w:eastAsia="Guttman Hodes"/>
          <w:rtl/>
        </w:rPr>
      </w:r>
      <w:r w:rsidRPr="00DB1D3B">
        <w:rPr>
          <w:rStyle w:val="af2"/>
          <w:rFonts w:eastAsia="Guttman Hodes"/>
          <w:rtl/>
        </w:rPr>
        <w:fldChar w:fldCharType="separate"/>
      </w:r>
      <w:r w:rsidR="00D82181">
        <w:rPr>
          <w:rStyle w:val="af2"/>
          <w:rFonts w:eastAsia="Guttman Hodes"/>
          <w:cs/>
        </w:rPr>
        <w:t>‎</w:t>
      </w:r>
      <w:r w:rsidR="00D82181">
        <w:rPr>
          <w:rStyle w:val="af2"/>
          <w:rFonts w:eastAsia="Guttman Hodes"/>
          <w:rtl/>
        </w:rPr>
        <w:t>כח)</w:t>
      </w:r>
      <w:r w:rsidRPr="00DB1D3B">
        <w:rPr>
          <w:rStyle w:val="af2"/>
          <w:rFonts w:eastAsia="Guttman Hodes"/>
          <w:rtl/>
        </w:rPr>
        <w:fldChar w:fldCharType="end"/>
      </w:r>
      <w:r>
        <w:rPr>
          <w:rFonts w:hint="cs"/>
          <w:rtl/>
        </w:rPr>
        <w:t xml:space="preserve"> דכתב דהחיוב במגבן הוא </w:t>
      </w:r>
      <w:r w:rsidRPr="00186C8F">
        <w:rPr>
          <w:rFonts w:hint="cs"/>
          <w:rtl/>
        </w:rPr>
        <w:t xml:space="preserve">כיון </w:t>
      </w:r>
      <w:r>
        <w:rPr>
          <w:rFonts w:hint="cs"/>
          <w:rtl/>
        </w:rPr>
        <w:t>דמ</w:t>
      </w:r>
      <w:r w:rsidRPr="00186C8F">
        <w:rPr>
          <w:rFonts w:hint="cs"/>
          <w:rtl/>
        </w:rPr>
        <w:t>קבץ חלק לח</w:t>
      </w:r>
      <w:r>
        <w:rPr>
          <w:rFonts w:hint="cs"/>
          <w:rtl/>
        </w:rPr>
        <w:t>ל</w:t>
      </w:r>
      <w:r w:rsidRPr="00186C8F">
        <w:rPr>
          <w:rFonts w:hint="cs"/>
          <w:rtl/>
        </w:rPr>
        <w:t>ק ומדביק עד שנעשו לגוף אחד, הוא דומה לבנין</w:t>
      </w:r>
      <w:r>
        <w:rPr>
          <w:rFonts w:hint="cs"/>
          <w:rtl/>
        </w:rPr>
        <w:t xml:space="preserve">, וכתב </w:t>
      </w:r>
      <w:r w:rsidRPr="00EF4E3F">
        <w:rPr>
          <w:rStyle w:val="aff4"/>
          <w:rFonts w:hint="cs"/>
          <w:vanish/>
          <w:rtl/>
        </w:rPr>
        <w:t>-</w:t>
      </w:r>
      <w:r w:rsidRPr="00013089">
        <w:rPr>
          <w:rStyle w:val="aff4"/>
          <w:rFonts w:hint="cs"/>
          <w:rtl/>
        </w:rPr>
        <w:t>האבן האזל</w:t>
      </w:r>
      <w:r w:rsidRPr="00EF4E3F">
        <w:rPr>
          <w:rStyle w:val="aff4"/>
          <w:rFonts w:hint="cs"/>
          <w:vanish/>
          <w:rtl/>
        </w:rPr>
        <w:t>-</w:t>
      </w:r>
      <w:r>
        <w:rPr>
          <w:rFonts w:hint="cs"/>
          <w:rtl/>
        </w:rPr>
        <w:t xml:space="preserve"> דכיון דלענין אוהל כתב</w:t>
      </w:r>
      <w:r w:rsidRPr="00A04D81">
        <w:rPr>
          <w:rFonts w:hint="cs"/>
          <w:rtl/>
        </w:rPr>
        <w:t xml:space="preserve"> </w:t>
      </w:r>
      <w:r w:rsidRPr="001A2014">
        <w:rPr>
          <w:rStyle w:val="aff4"/>
          <w:rFonts w:hint="cs"/>
          <w:vanish/>
          <w:rtl/>
        </w:rPr>
        <w:t>-</w:t>
      </w:r>
      <w:r w:rsidRPr="00C56FA9">
        <w:rPr>
          <w:rStyle w:val="aff4"/>
          <w:rFonts w:hint="cs"/>
          <w:rtl/>
        </w:rPr>
        <w:t>הרמב"ם</w:t>
      </w:r>
      <w:r w:rsidRPr="00D62B93">
        <w:rPr>
          <w:rStyle w:val="aff4"/>
          <w:rFonts w:hint="cs"/>
          <w:vanish/>
          <w:rtl/>
        </w:rPr>
        <w:t>-</w:t>
      </w:r>
      <w:r>
        <w:rPr>
          <w:rFonts w:hint="cs"/>
          <w:rtl/>
        </w:rPr>
        <w:t xml:space="preserve"> </w:t>
      </w:r>
      <w:r w:rsidRPr="00DB1D3B">
        <w:rPr>
          <w:rStyle w:val="af2"/>
          <w:rFonts w:eastAsia="Guttman Hodes" w:hint="cs"/>
          <w:rtl/>
        </w:rPr>
        <w:t xml:space="preserve">(עי' אות </w:t>
      </w:r>
      <w:r w:rsidRPr="00DB1D3B">
        <w:rPr>
          <w:rStyle w:val="af2"/>
          <w:rFonts w:eastAsia="Guttman Hodes"/>
          <w:rtl/>
        </w:rPr>
        <w:fldChar w:fldCharType="begin"/>
      </w:r>
      <w:r w:rsidRPr="00DB1D3B">
        <w:rPr>
          <w:rStyle w:val="af2"/>
          <w:rFonts w:eastAsia="Guttman Hodes"/>
          <w:rtl/>
        </w:rPr>
        <w:instrText xml:space="preserve"> </w:instrText>
      </w:r>
      <w:r w:rsidRPr="00DB1D3B">
        <w:rPr>
          <w:rStyle w:val="af2"/>
          <w:rFonts w:eastAsia="Guttman Hodes" w:hint="cs"/>
        </w:rPr>
        <w:instrText>REF</w:instrText>
      </w:r>
      <w:r w:rsidRPr="00DB1D3B">
        <w:rPr>
          <w:rStyle w:val="af2"/>
          <w:rFonts w:eastAsia="Guttman Hodes" w:hint="cs"/>
          <w:rtl/>
        </w:rPr>
        <w:instrText xml:space="preserve"> _</w:instrText>
      </w:r>
      <w:r w:rsidRPr="00DB1D3B">
        <w:rPr>
          <w:rStyle w:val="af2"/>
          <w:rFonts w:eastAsia="Guttman Hodes" w:hint="cs"/>
        </w:rPr>
        <w:instrText>Ref141956430 \r \h</w:instrText>
      </w:r>
      <w:r w:rsidRPr="00DB1D3B">
        <w:rPr>
          <w:rStyle w:val="af2"/>
          <w:rFonts w:eastAsia="Guttman Hodes"/>
          <w:rtl/>
        </w:rPr>
        <w:instrText xml:space="preserve"> </w:instrText>
      </w:r>
      <w:r w:rsidRPr="00DB1D3B">
        <w:rPr>
          <w:rStyle w:val="af2"/>
          <w:rFonts w:eastAsia="Guttman Hodes"/>
          <w:rtl/>
        </w:rPr>
      </w:r>
      <w:r w:rsidRPr="00DB1D3B">
        <w:rPr>
          <w:rStyle w:val="af2"/>
          <w:rFonts w:eastAsia="Guttman Hodes"/>
          <w:rtl/>
        </w:rPr>
        <w:fldChar w:fldCharType="separate"/>
      </w:r>
      <w:r w:rsidR="00D82181">
        <w:rPr>
          <w:rStyle w:val="af2"/>
          <w:rFonts w:eastAsia="Guttman Hodes"/>
          <w:cs/>
        </w:rPr>
        <w:t>‎</w:t>
      </w:r>
      <w:r w:rsidR="00D82181">
        <w:rPr>
          <w:rStyle w:val="af2"/>
          <w:rFonts w:eastAsia="Guttman Hodes"/>
          <w:rtl/>
        </w:rPr>
        <w:t>כה)</w:t>
      </w:r>
      <w:r w:rsidRPr="00DB1D3B">
        <w:rPr>
          <w:rStyle w:val="af2"/>
          <w:rFonts w:eastAsia="Guttman Hodes"/>
          <w:rtl/>
        </w:rPr>
        <w:fldChar w:fldCharType="end"/>
      </w:r>
      <w:r>
        <w:rPr>
          <w:rFonts w:hint="cs"/>
          <w:rtl/>
        </w:rPr>
        <w:t xml:space="preserve"> דהעושה אוהל קבוע הוא תולדה דבונה, א"כ מבואר דבאב דבונה יש ב' חלקים, הא' הוא</w:t>
      </w:r>
      <w:r w:rsidRPr="0077472A">
        <w:rPr>
          <w:rFonts w:hint="cs"/>
          <w:rtl/>
        </w:rPr>
        <w:t xml:space="preserve"> </w:t>
      </w:r>
      <w:r>
        <w:rPr>
          <w:rFonts w:hint="cs"/>
          <w:rtl/>
        </w:rPr>
        <w:t>הוא שעושה אוהל קבוע, והב' קיבוץ חלקים כשבונה בנין מאבנים או עצים, דזהו בנין גמור של בית.</w:t>
      </w:r>
    </w:p>
    <w:p w14:paraId="39C5D50A" w14:textId="77777777" w:rsidR="00376F67" w:rsidRPr="0074694D" w:rsidRDefault="00376F67" w:rsidP="00376F67">
      <w:pPr>
        <w:pStyle w:val="a2"/>
        <w:tabs>
          <w:tab w:val="num" w:pos="284"/>
        </w:tabs>
        <w:rPr>
          <w:vanish w:val="0"/>
          <w:rtl/>
        </w:rPr>
      </w:pPr>
      <w:r w:rsidRPr="0074694D">
        <w:rPr>
          <w:rtl/>
        </w:rPr>
        <w:t>אכן נראה דהרמב"ם ביאר הענין באופן אחר דבטעמא דמגבן חייב משום בונה כתב הרמב"ם בפ"ז הל' ו' וז"ל ואם גבנו ועשהו גבינה חייב משום בונה שכל המקבץ חלק אל חלק ודבק הכל עד שיעשו גוף אחד ה"ז דומה לבנין עכ"ל,</w:t>
      </w:r>
      <w:r w:rsidRPr="0074694D">
        <w:rPr>
          <w:rFonts w:hint="cs"/>
          <w:rtl/>
        </w:rPr>
        <w:t xml:space="preserve"> </w:t>
      </w:r>
      <w:r w:rsidRPr="0074694D">
        <w:rPr>
          <w:rtl/>
        </w:rPr>
        <w:t>ומבואר דמלאכת בונה יש בו הגדר שהוא מקבץ חלק אל חלק דהיינו שהוא בונה בנין מאבנים או מעצים, ובזה מבואר בפשיטות לשון הרמב"ם שעמדנו שכתב דהעושה אוהל קבוע ה"ז תולדת בונה והקשינו דלמה כתב שהוא תולדת בונה והלא הוא בונה ממש, אך לפי"ז ניחא שפיר דעיקר אב מלאכה דבונה הוא בונה בנין שע"כ יש בו שני הענינים א' שהוא עושה אוהל קבוע, ב' שהוא מקבץ חלק אל חלק</w:t>
      </w:r>
      <w:r w:rsidRPr="0074694D">
        <w:rPr>
          <w:rFonts w:hint="cs"/>
          <w:rtl/>
        </w:rPr>
        <w:t xml:space="preserve">, וכו' </w:t>
      </w:r>
      <w:r w:rsidRPr="0074694D">
        <w:rPr>
          <w:rtl/>
        </w:rPr>
        <w:t>אב מלאכה דבונה הוא בבנין בית ממש שיש בזה שני החלקים עשיית אוהל ומקבץ חלק אל חלק</w:t>
      </w:r>
      <w:r w:rsidRPr="0074694D">
        <w:rPr>
          <w:rFonts w:hint="cs"/>
          <w:rtl/>
        </w:rPr>
        <w:t>.</w:t>
      </w:r>
    </w:p>
    <w:p w14:paraId="758AB320" w14:textId="77777777" w:rsidR="00376F67" w:rsidRPr="00356E0F" w:rsidRDefault="00376F67" w:rsidP="00376F67">
      <w:pPr>
        <w:pStyle w:val="a7"/>
      </w:pPr>
      <w:bookmarkStart w:id="4928" w:name="_Toc143767848"/>
      <w:bookmarkStart w:id="4929" w:name="_Toc143770669"/>
      <w:r>
        <w:rPr>
          <w:rFonts w:hint="cs"/>
          <w:rtl/>
        </w:rPr>
        <w:t>בי' האבהא"ז ברמב"ם דעושה אוהל הוי תולדה דלא קיבץ חלקים ומגבן תולדה דלא עשה אוהל</w:t>
      </w:r>
      <w:bookmarkEnd w:id="4928"/>
      <w:bookmarkEnd w:id="4929"/>
    </w:p>
    <w:p w14:paraId="6506D24D" w14:textId="77777777" w:rsidR="00376F67" w:rsidRPr="00AC32C8" w:rsidRDefault="00376F67" w:rsidP="00BC7DC8">
      <w:pPr>
        <w:pStyle w:val="a3"/>
        <w:rPr>
          <w:rtl/>
        </w:rPr>
      </w:pPr>
      <w:r>
        <w:rPr>
          <w:rFonts w:hint="cs"/>
          <w:rtl/>
        </w:rPr>
        <w:t xml:space="preserve">וכתב </w:t>
      </w:r>
      <w:r w:rsidRPr="00EF4E3F">
        <w:rPr>
          <w:rStyle w:val="aff4"/>
          <w:rFonts w:hint="cs"/>
          <w:vanish/>
          <w:rtl/>
        </w:rPr>
        <w:t>-</w:t>
      </w:r>
      <w:r w:rsidRPr="00013089">
        <w:rPr>
          <w:rStyle w:val="aff4"/>
          <w:rFonts w:hint="cs"/>
          <w:rtl/>
        </w:rPr>
        <w:t>האבן האזל</w:t>
      </w:r>
      <w:r w:rsidRPr="00EF4E3F">
        <w:rPr>
          <w:rStyle w:val="aff4"/>
          <w:rFonts w:hint="cs"/>
          <w:vanish/>
          <w:rtl/>
        </w:rPr>
        <w:t>-</w:t>
      </w:r>
      <w:r>
        <w:rPr>
          <w:rFonts w:hint="cs"/>
          <w:rtl/>
        </w:rPr>
        <w:t xml:space="preserve"> דלכן כשעשה רק אחד מעניני המלאכה, כגון שעשה אוהל קבוע, כתב </w:t>
      </w:r>
      <w:r w:rsidRPr="001A2014">
        <w:rPr>
          <w:rStyle w:val="aff4"/>
          <w:rFonts w:hint="cs"/>
          <w:vanish/>
          <w:rtl/>
        </w:rPr>
        <w:t>-</w:t>
      </w:r>
      <w:r w:rsidRPr="001A2014">
        <w:rPr>
          <w:rStyle w:val="aff4"/>
          <w:rFonts w:hint="cs"/>
          <w:rtl/>
        </w:rPr>
        <w:t>הרמב"ם</w:t>
      </w:r>
      <w:r w:rsidRPr="001A2014">
        <w:rPr>
          <w:rStyle w:val="aff4"/>
          <w:rFonts w:hint="cs"/>
          <w:vanish/>
          <w:rtl/>
        </w:rPr>
        <w:t>-</w:t>
      </w:r>
      <w:r>
        <w:rPr>
          <w:rFonts w:hint="cs"/>
          <w:rtl/>
        </w:rPr>
        <w:t xml:space="preserve"> דהוא רק תולדה דבונה ואינו בונה ממש, וכן מגבן רק עשה קיבוץ חלקים הוא גם תולדה דבונה, דהם דומים במקצת לאב ואינם האב ממש.</w:t>
      </w:r>
      <w:bookmarkEnd w:id="4927"/>
    </w:p>
    <w:bookmarkEnd w:id="4917"/>
    <w:p w14:paraId="51BEC198" w14:textId="77777777" w:rsidR="00376F67" w:rsidRPr="0074694D" w:rsidRDefault="00376F67" w:rsidP="00376F67">
      <w:pPr>
        <w:pStyle w:val="a2"/>
        <w:tabs>
          <w:tab w:val="num" w:pos="284"/>
        </w:tabs>
        <w:rPr>
          <w:vanish w:val="0"/>
          <w:rtl/>
        </w:rPr>
      </w:pPr>
      <w:r w:rsidRPr="0074694D">
        <w:rPr>
          <w:rtl/>
        </w:rPr>
        <w:t>ונמצא דעושה אוהל קבוע באמת אינו אלא תולדה דהיינו שהוא דומה לאב במקצתו, דהיינו עשיית האוהל קבוע וכן המגבן את הגבינה הוא ג"כ תולדה דבונה היינו בתולדה השנית שהוא מקבץ חלק אל חלק כמש"כ הרמב"ם בפ"ז הנ"ל.</w:t>
      </w:r>
    </w:p>
    <w:p w14:paraId="1E15B418" w14:textId="77777777" w:rsidR="00376F67" w:rsidRDefault="00376F67" w:rsidP="00376F67">
      <w:pPr>
        <w:pStyle w:val="1"/>
      </w:pPr>
      <w:bookmarkStart w:id="4930" w:name="_Toc143767849"/>
      <w:bookmarkStart w:id="4931" w:name="_Toc143770670"/>
      <w:r>
        <w:rPr>
          <w:rFonts w:hint="cs"/>
          <w:rtl/>
        </w:rPr>
        <w:t>בי' האבהא"ז דאוהל וקיבוץ חלקים רק שם בנין וא"צ ב' לחיוב</w:t>
      </w:r>
      <w:bookmarkEnd w:id="4930"/>
      <w:bookmarkEnd w:id="4931"/>
    </w:p>
    <w:p w14:paraId="41AAC852" w14:textId="77777777" w:rsidR="00376F67" w:rsidRDefault="00376F67" w:rsidP="00376F67">
      <w:pPr>
        <w:pStyle w:val="afffff7"/>
        <w:rPr>
          <w:rtl/>
        </w:rPr>
      </w:pPr>
      <w:bookmarkStart w:id="4932" w:name="_Toc143767972"/>
      <w:bookmarkStart w:id="4933" w:name="_Toc163506160"/>
      <w:r w:rsidRPr="00205FE5">
        <w:rPr>
          <w:rtl/>
        </w:rPr>
        <w:t>אבן האזל שבת פ"י הי"ז</w:t>
      </w:r>
      <w:r w:rsidRPr="00205FE5">
        <w:rPr>
          <w:rFonts w:hint="cs"/>
          <w:rtl/>
        </w:rPr>
        <w:t xml:space="preserve"> ד"ה </w:t>
      </w:r>
      <w:r>
        <w:rPr>
          <w:rFonts w:hint="cs"/>
          <w:rtl/>
        </w:rPr>
        <w:t>איברא</w:t>
      </w:r>
      <w:bookmarkEnd w:id="4932"/>
      <w:bookmarkEnd w:id="4933"/>
    </w:p>
    <w:p w14:paraId="4FD3D631" w14:textId="77777777" w:rsidR="00376F67" w:rsidRDefault="00376F67" w:rsidP="00376F67">
      <w:pPr>
        <w:pStyle w:val="a7"/>
        <w:rPr>
          <w:rtl/>
        </w:rPr>
      </w:pPr>
      <w:bookmarkStart w:id="4934" w:name="_Toc143767850"/>
      <w:bookmarkStart w:id="4935" w:name="_Toc143770671"/>
      <w:r>
        <w:rPr>
          <w:rFonts w:hint="cs"/>
          <w:rtl/>
        </w:rPr>
        <w:t>קו' האבהא"ז דמבו' ברמב"ם דמשוה פני הקרקע הוי אב אעפ"י דאין בזה קיבוץ חלקים</w:t>
      </w:r>
      <w:bookmarkEnd w:id="4934"/>
      <w:bookmarkEnd w:id="4935"/>
    </w:p>
    <w:p w14:paraId="0CCCFEEE" w14:textId="7841C37E" w:rsidR="00376F67" w:rsidRPr="00D84458" w:rsidRDefault="00376F67" w:rsidP="00BC7DC8">
      <w:pPr>
        <w:pStyle w:val="a3"/>
        <w:rPr>
          <w:rtl/>
        </w:rPr>
      </w:pPr>
      <w:bookmarkStart w:id="4936" w:name="_Ref140828580"/>
      <w:r>
        <w:rPr>
          <w:rFonts w:hint="cs"/>
          <w:rtl/>
        </w:rPr>
        <w:t xml:space="preserve">אך הקשה </w:t>
      </w:r>
      <w:r w:rsidRPr="001A2014">
        <w:rPr>
          <w:rStyle w:val="aff4"/>
          <w:rFonts w:hint="cs"/>
          <w:vanish/>
          <w:rtl/>
        </w:rPr>
        <w:t>-</w:t>
      </w:r>
      <w:r w:rsidRPr="001A2014">
        <w:rPr>
          <w:rStyle w:val="aff4"/>
          <w:rFonts w:hint="cs"/>
          <w:rtl/>
        </w:rPr>
        <w:t>ה</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Ref140828580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סח)</w:t>
      </w:r>
      <w:r w:rsidRPr="00FF7D8F">
        <w:rPr>
          <w:rStyle w:val="aff4"/>
          <w:vanish/>
          <w:rtl/>
        </w:rPr>
        <w:fldChar w:fldCharType="end"/>
      </w:r>
      <w:r w:rsidRPr="00FF7D8F">
        <w:rPr>
          <w:rStyle w:val="aff4"/>
          <w:rFonts w:hint="cs"/>
          <w:vanish/>
          <w:rtl/>
        </w:rPr>
        <w:t xml:space="preserve"> &gt;</w:t>
      </w:r>
      <w:r w:rsidRPr="001A2014">
        <w:rPr>
          <w:rStyle w:val="aff4"/>
          <w:rtl/>
        </w:rPr>
        <w:t>אבן האזל</w:t>
      </w:r>
      <w:r w:rsidRPr="001A2014">
        <w:rPr>
          <w:rStyle w:val="aff4"/>
          <w:rFonts w:hint="cs"/>
          <w:vanish/>
          <w:rtl/>
        </w:rPr>
        <w:t>-</w:t>
      </w:r>
      <w:r w:rsidRPr="00D84458">
        <w:rPr>
          <w:rtl/>
        </w:rPr>
        <w:t xml:space="preserve"> </w:t>
      </w:r>
      <w:r w:rsidRPr="00DB1D3B">
        <w:rPr>
          <w:rStyle w:val="af2"/>
          <w:rFonts w:eastAsia="Guttman Hodes" w:hint="cs"/>
          <w:rtl/>
        </w:rPr>
        <w:t>(</w:t>
      </w:r>
      <w:r w:rsidRPr="00DB1D3B">
        <w:rPr>
          <w:rStyle w:val="af2"/>
          <w:rFonts w:eastAsia="Guttman Hodes"/>
          <w:rtl/>
        </w:rPr>
        <w:t>שבת פ"י הי"ז ד"ה אכן</w:t>
      </w:r>
      <w:r w:rsidRPr="00DB1D3B">
        <w:rPr>
          <w:rStyle w:val="af2"/>
          <w:rFonts w:eastAsia="Guttman Hodes" w:hint="cs"/>
          <w:rtl/>
        </w:rPr>
        <w:t>)</w:t>
      </w:r>
      <w:r w:rsidRPr="001A2014">
        <w:rPr>
          <w:rFonts w:hint="cs"/>
          <w:vanish/>
          <w:rtl/>
        </w:rPr>
        <w:t>=</w:t>
      </w:r>
      <w:r>
        <w:rPr>
          <w:rFonts w:hint="cs"/>
          <w:rtl/>
        </w:rPr>
        <w:t xml:space="preserve"> דא"כ אמאי כתב </w:t>
      </w:r>
      <w:r w:rsidRPr="001A2014">
        <w:rPr>
          <w:rStyle w:val="aff4"/>
          <w:rFonts w:hint="cs"/>
          <w:vanish/>
          <w:rtl/>
        </w:rPr>
        <w:t>-</w:t>
      </w:r>
      <w:r w:rsidRPr="001A2014">
        <w:rPr>
          <w:rStyle w:val="aff4"/>
          <w:rFonts w:hint="cs"/>
          <w:rtl/>
        </w:rPr>
        <w:t>הרמב"ם</w:t>
      </w:r>
      <w:r w:rsidRPr="001A2014">
        <w:rPr>
          <w:rStyle w:val="aff4"/>
          <w:rFonts w:hint="cs"/>
          <w:vanish/>
          <w:rtl/>
        </w:rPr>
        <w:t>-</w:t>
      </w:r>
      <w:r>
        <w:rPr>
          <w:rFonts w:hint="cs"/>
          <w:rtl/>
        </w:rPr>
        <w:t xml:space="preserve"> </w:t>
      </w:r>
      <w:r w:rsidRPr="00DB1D3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Ref143447427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א)</w:t>
      </w:r>
      <w:r>
        <w:rPr>
          <w:rStyle w:val="af2"/>
          <w:rFonts w:eastAsia="Guttman Hodes"/>
          <w:rtl/>
        </w:rPr>
        <w:fldChar w:fldCharType="end"/>
      </w:r>
      <w:r>
        <w:rPr>
          <w:rFonts w:hint="cs"/>
          <w:rtl/>
        </w:rPr>
        <w:t xml:space="preserve"> דהמשוה פני הקרקע בבית ה"ז בונה, ומדכתב כן </w:t>
      </w:r>
      <w:r w:rsidRPr="001A2014">
        <w:rPr>
          <w:rStyle w:val="aff4"/>
          <w:rFonts w:hint="cs"/>
          <w:vanish/>
          <w:rtl/>
        </w:rPr>
        <w:t>-</w:t>
      </w:r>
      <w:r w:rsidRPr="001A2014">
        <w:rPr>
          <w:rStyle w:val="aff4"/>
          <w:rFonts w:hint="cs"/>
          <w:rtl/>
        </w:rPr>
        <w:t>הרמב"ם</w:t>
      </w:r>
      <w:r w:rsidRPr="001A2014">
        <w:rPr>
          <w:rStyle w:val="aff4"/>
          <w:rFonts w:hint="cs"/>
          <w:vanish/>
          <w:rtl/>
        </w:rPr>
        <w:t>-</w:t>
      </w:r>
      <w:r>
        <w:rPr>
          <w:rFonts w:hint="cs"/>
          <w:rtl/>
        </w:rPr>
        <w:t xml:space="preserve"> בתחילת מלאכת בונה, משמע שהוא האב, והא אין בזה את הגדר של קיבוץ חלקים ואמאי הוי אב ולא תולדה</w:t>
      </w:r>
      <w:bookmarkEnd w:id="4936"/>
      <w:r>
        <w:rPr>
          <w:rFonts w:hint="cs"/>
          <w:rtl/>
        </w:rPr>
        <w:t xml:space="preserve">. </w:t>
      </w:r>
    </w:p>
    <w:p w14:paraId="2F5C9DDE" w14:textId="77777777" w:rsidR="00376F67" w:rsidRPr="0074694D" w:rsidRDefault="00376F67" w:rsidP="00376F67">
      <w:pPr>
        <w:pStyle w:val="a2"/>
        <w:tabs>
          <w:tab w:val="num" w:pos="284"/>
        </w:tabs>
        <w:rPr>
          <w:vanish w:val="0"/>
          <w:rtl/>
        </w:rPr>
      </w:pPr>
      <w:r w:rsidRPr="0074694D">
        <w:rPr>
          <w:rtl/>
        </w:rPr>
        <w:t>איברא דלפי"ז קשה דהא בהל' י"ב שם כתב הבונה כל שהוא חייב, המשוה פני הקרקע בבית כגון שהשפיל תל או מילא גומא או גיא הרי זה בונה וחייב, ואח"כ כתב בהל' י"ג העושה אוהל קבוע הר"ז תולדות בונה וחייב, משמע דבהל' י"ב שהתחיל בזה דין בונה אינו תולדה אלא אב וקשה דהא ליכא במשוה פני הקרקע מקבץ חלק אל חלק ולפימש"כ גם אב מלאכה דבונה הוא בבנין בית ממש שיש בזה שני החלקים עשיית אוהל ומקבץ חלק אל חלק</w:t>
      </w:r>
      <w:r w:rsidRPr="0074694D">
        <w:rPr>
          <w:rFonts w:hint="cs"/>
          <w:rtl/>
        </w:rPr>
        <w:t>.</w:t>
      </w:r>
    </w:p>
    <w:p w14:paraId="0F212A57" w14:textId="77777777" w:rsidR="00376F67" w:rsidRDefault="00376F67" w:rsidP="00376F67">
      <w:pPr>
        <w:pStyle w:val="afffff7"/>
        <w:rPr>
          <w:rtl/>
        </w:rPr>
      </w:pPr>
      <w:bookmarkStart w:id="4937" w:name="_Toc143767973"/>
      <w:bookmarkStart w:id="4938" w:name="_Toc163506161"/>
      <w:r w:rsidRPr="00205FE5">
        <w:rPr>
          <w:rtl/>
        </w:rPr>
        <w:t>אבן האזל שבת פ"י הי"ז</w:t>
      </w:r>
      <w:r w:rsidRPr="00205FE5">
        <w:rPr>
          <w:rFonts w:hint="cs"/>
          <w:rtl/>
        </w:rPr>
        <w:t xml:space="preserve"> ד"ה </w:t>
      </w:r>
      <w:r w:rsidRPr="00AD31C1">
        <w:rPr>
          <w:rtl/>
        </w:rPr>
        <w:t>אכן הביאור</w:t>
      </w:r>
      <w:bookmarkEnd w:id="4937"/>
      <w:bookmarkEnd w:id="4938"/>
    </w:p>
    <w:p w14:paraId="0661F32C" w14:textId="77777777" w:rsidR="00376F67" w:rsidRDefault="00376F67" w:rsidP="00376F67">
      <w:pPr>
        <w:pStyle w:val="a7"/>
        <w:rPr>
          <w:rtl/>
        </w:rPr>
      </w:pPr>
      <w:bookmarkStart w:id="4939" w:name="_Toc143767851"/>
      <w:bookmarkStart w:id="4940" w:name="_Toc143770672"/>
      <w:r>
        <w:rPr>
          <w:rFonts w:hint="cs"/>
          <w:rtl/>
        </w:rPr>
        <w:t>בי' האבהא"ז דבדבר שיש בו אוהל וקיבוץ חלקים נקרא בנין ואף בהיה בנין קודם והוסיף בו חייב</w:t>
      </w:r>
      <w:bookmarkEnd w:id="4939"/>
      <w:bookmarkEnd w:id="4940"/>
    </w:p>
    <w:p w14:paraId="76BA8EDC" w14:textId="0E9195D0" w:rsidR="00376F67" w:rsidRPr="008B7B20" w:rsidRDefault="00376F67" w:rsidP="00BC7DC8">
      <w:pPr>
        <w:pStyle w:val="a3"/>
        <w:rPr>
          <w:rStyle w:val="af"/>
        </w:rPr>
      </w:pPr>
      <w:bookmarkStart w:id="4941" w:name="_Ref143613959"/>
      <w:bookmarkStart w:id="4942" w:name="_Ref141174711"/>
      <w:bookmarkStart w:id="4943" w:name="_Hlk141174734"/>
      <w:r>
        <w:rPr>
          <w:rFonts w:hint="cs"/>
          <w:rtl/>
        </w:rPr>
        <w:t xml:space="preserve">אלא ביאר </w:t>
      </w:r>
      <w:r w:rsidRPr="001A2014">
        <w:rPr>
          <w:rStyle w:val="aff4"/>
          <w:rFonts w:hint="cs"/>
          <w:vanish/>
          <w:rtl/>
        </w:rPr>
        <w:t>-</w:t>
      </w:r>
      <w:r w:rsidRPr="001A2014">
        <w:rPr>
          <w:rStyle w:val="aff4"/>
          <w:rFonts w:hint="cs"/>
          <w:rtl/>
        </w:rPr>
        <w:t>ה</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Ref141174711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סט)</w:t>
      </w:r>
      <w:r w:rsidRPr="00FF7D8F">
        <w:rPr>
          <w:rStyle w:val="aff4"/>
          <w:vanish/>
          <w:rtl/>
        </w:rPr>
        <w:fldChar w:fldCharType="end"/>
      </w:r>
      <w:r w:rsidRPr="00FF7D8F">
        <w:rPr>
          <w:rStyle w:val="aff4"/>
          <w:rFonts w:hint="cs"/>
          <w:vanish/>
          <w:rtl/>
        </w:rPr>
        <w:t xml:space="preserve"> &gt;</w:t>
      </w:r>
      <w:r w:rsidRPr="001A2014">
        <w:rPr>
          <w:rStyle w:val="aff4"/>
          <w:rtl/>
        </w:rPr>
        <w:t>אבן האזל</w:t>
      </w:r>
      <w:r w:rsidRPr="001A2014">
        <w:rPr>
          <w:rStyle w:val="aff4"/>
          <w:rFonts w:hint="cs"/>
          <w:vanish/>
          <w:rtl/>
        </w:rPr>
        <w:t>-</w:t>
      </w:r>
      <w:r w:rsidRPr="00542C97">
        <w:rPr>
          <w:rtl/>
        </w:rPr>
        <w:t xml:space="preserve"> </w:t>
      </w:r>
      <w:r w:rsidRPr="00DB1D3B">
        <w:rPr>
          <w:rStyle w:val="af2"/>
          <w:rFonts w:eastAsia="Guttman Hodes" w:hint="cs"/>
          <w:rtl/>
        </w:rPr>
        <w:t>(</w:t>
      </w:r>
      <w:r w:rsidRPr="00DB1D3B">
        <w:rPr>
          <w:rStyle w:val="af2"/>
          <w:rFonts w:eastAsia="Guttman Hodes"/>
          <w:rtl/>
        </w:rPr>
        <w:t>שבת פ"י הי"ז ד"ה אכן הביאור</w:t>
      </w:r>
      <w:r w:rsidRPr="00DB1D3B">
        <w:rPr>
          <w:rStyle w:val="af2"/>
          <w:rFonts w:eastAsia="Guttman Hodes" w:hint="cs"/>
          <w:rtl/>
        </w:rPr>
        <w:t>)</w:t>
      </w:r>
      <w:r w:rsidRPr="001A2014">
        <w:rPr>
          <w:rFonts w:hint="cs"/>
          <w:vanish/>
          <w:rtl/>
        </w:rPr>
        <w:t>=</w:t>
      </w:r>
      <w:r>
        <w:rPr>
          <w:rFonts w:hint="cs"/>
          <w:rtl/>
        </w:rPr>
        <w:t xml:space="preserve"> דבכדי לחייב בבונה א"צ ב' הדברים דעשיית אוהל קבוע וקיבוץ חלקים, ואף בעשה אחד מהם חייב, ורק בכדי להגדיר דבר שיקרא בכלל מלאכת בנין, צריך את ב' הדברים, ואם חלק אחד מחלקי המלאכה כבר היה קודם והוא הוסיף רק את החלק השני, ג"כ הוא בכלל אב דבונה, ולכן משוה פני הקרקע בבית, הוא בכלל האב דבונה, דכבר היה הבית בנוי קודם לכן</w:t>
      </w:r>
      <w:r w:rsidRPr="008B7B20">
        <w:rPr>
          <w:rFonts w:hint="cs"/>
          <w:rtl/>
        </w:rPr>
        <w:t xml:space="preserve"> </w:t>
      </w:r>
      <w:r>
        <w:rPr>
          <w:rFonts w:hint="cs"/>
          <w:rtl/>
        </w:rPr>
        <w:t xml:space="preserve">דנקרא בכלל מלאכת בנין. </w:t>
      </w:r>
      <w:r w:rsidRPr="008B7B20">
        <w:rPr>
          <w:rStyle w:val="af"/>
          <w:rFonts w:hint="cs"/>
          <w:rtl/>
        </w:rPr>
        <w:t xml:space="preserve">[אך מדברי </w:t>
      </w:r>
      <w:r w:rsidRPr="008B7B20">
        <w:rPr>
          <w:rStyle w:val="aff9"/>
          <w:rFonts w:hint="cs"/>
          <w:vanish/>
          <w:rtl/>
        </w:rPr>
        <w:t>-</w:t>
      </w:r>
      <w:r w:rsidRPr="008B7B20">
        <w:rPr>
          <w:rStyle w:val="aff9"/>
          <w:rFonts w:hint="cs"/>
          <w:rtl/>
        </w:rPr>
        <w:t>המג"א</w:t>
      </w:r>
      <w:r w:rsidRPr="008B7B20">
        <w:rPr>
          <w:rStyle w:val="aff9"/>
          <w:rFonts w:hint="cs"/>
          <w:vanish/>
          <w:rtl/>
        </w:rPr>
        <w:t>-</w:t>
      </w:r>
      <w:r w:rsidRPr="008B7B20">
        <w:rPr>
          <w:rStyle w:val="af"/>
          <w:rFonts w:hint="cs"/>
          <w:rtl/>
        </w:rPr>
        <w:t xml:space="preserve"> </w:t>
      </w:r>
      <w:r w:rsidRPr="008B7B20">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Ref143616209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יד)</w:t>
      </w:r>
      <w:r>
        <w:rPr>
          <w:rStyle w:val="aff0"/>
          <w:rtl/>
        </w:rPr>
        <w:fldChar w:fldCharType="end"/>
      </w:r>
      <w:r w:rsidRPr="008B7B20">
        <w:rPr>
          <w:rStyle w:val="af"/>
          <w:rFonts w:hint="cs"/>
          <w:rtl/>
        </w:rPr>
        <w:t xml:space="preserve"> מבואר דאף מתקן גומא ברחוב הוי בונה, וצ"ב</w:t>
      </w:r>
      <w:r w:rsidRPr="008B7B20">
        <w:rPr>
          <w:rStyle w:val="aff9"/>
          <w:rFonts w:hint="cs"/>
          <w:rtl/>
        </w:rPr>
        <w:t xml:space="preserve"> </w:t>
      </w:r>
      <w:r w:rsidRPr="008B7B20">
        <w:rPr>
          <w:rStyle w:val="aff9"/>
          <w:rFonts w:hint="cs"/>
          <w:vanish/>
          <w:rtl/>
        </w:rPr>
        <w:t>-</w:t>
      </w:r>
      <w:r>
        <w:rPr>
          <w:rStyle w:val="aff9"/>
          <w:rFonts w:hint="cs"/>
          <w:rtl/>
        </w:rPr>
        <w:t>ד</w:t>
      </w:r>
      <w:r w:rsidRPr="008B7B20">
        <w:rPr>
          <w:rStyle w:val="aff9"/>
          <w:rFonts w:hint="cs"/>
          <w:rtl/>
        </w:rPr>
        <w:t>האבן</w:t>
      </w:r>
      <w:r w:rsidRPr="008B7B20">
        <w:rPr>
          <w:rStyle w:val="af"/>
          <w:rFonts w:hint="cs"/>
          <w:rtl/>
        </w:rPr>
        <w:t xml:space="preserve"> </w:t>
      </w:r>
      <w:r w:rsidRPr="008B7B20">
        <w:rPr>
          <w:rStyle w:val="aff9"/>
          <w:rFonts w:hint="cs"/>
          <w:rtl/>
        </w:rPr>
        <w:t>האזל</w:t>
      </w:r>
      <w:r w:rsidRPr="008B7B20">
        <w:rPr>
          <w:rStyle w:val="aff9"/>
          <w:rFonts w:hint="cs"/>
          <w:vanish/>
          <w:rtl/>
        </w:rPr>
        <w:t>-</w:t>
      </w:r>
      <w:r w:rsidRPr="008B7B20">
        <w:rPr>
          <w:rStyle w:val="af"/>
          <w:rFonts w:hint="cs"/>
          <w:rtl/>
        </w:rPr>
        <w:t xml:space="preserve"> </w:t>
      </w:r>
      <w:r w:rsidRPr="008B7B20">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Ref143616209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יד)</w:t>
      </w:r>
      <w:r>
        <w:rPr>
          <w:rStyle w:val="aff0"/>
          <w:rtl/>
        </w:rPr>
        <w:fldChar w:fldCharType="end"/>
      </w:r>
      <w:r w:rsidRPr="008B7B20">
        <w:rPr>
          <w:rStyle w:val="af"/>
          <w:rFonts w:hint="cs"/>
          <w:rtl/>
        </w:rPr>
        <w:t xml:space="preserve"> עצמו</w:t>
      </w:r>
      <w:r>
        <w:rPr>
          <w:rStyle w:val="af"/>
          <w:rFonts w:hint="cs"/>
          <w:rtl/>
        </w:rPr>
        <w:t xml:space="preserve"> הביא את דבריו, ואולי ס"ל דאחר דגומא בבית היא בכלל אב דבונה דכלולה במלאכת הבנין, א"כ גומא ברחוב הוי תולדה דידה, וצ"ע</w:t>
      </w:r>
      <w:r w:rsidRPr="008B7B20">
        <w:rPr>
          <w:rStyle w:val="af"/>
          <w:rFonts w:hint="cs"/>
          <w:rtl/>
        </w:rPr>
        <w:t>].</w:t>
      </w:r>
      <w:bookmarkEnd w:id="4941"/>
    </w:p>
    <w:p w14:paraId="6E0790BF" w14:textId="77777777" w:rsidR="00376F67" w:rsidRPr="0074694D" w:rsidRDefault="00376F67" w:rsidP="00376F67">
      <w:pPr>
        <w:pStyle w:val="a2"/>
        <w:tabs>
          <w:tab w:val="num" w:pos="284"/>
        </w:tabs>
        <w:rPr>
          <w:vanish w:val="0"/>
          <w:rtl/>
        </w:rPr>
      </w:pPr>
      <w:r w:rsidRPr="0074694D">
        <w:rPr>
          <w:rtl/>
        </w:rPr>
        <w:t>אכן הביאור הוא דמה שכתבנו דבאב דבונה צריך שני הגדרים זהו בעיקר גדר בנין דבהצטרף אלה השני חלקים נקרא בנין אבל בגדר חיוב מלאכה אינו צריך שהוא יעשה שני החלקים ואפי' עשה הוא חלק א' והחלק השני נעשה קודם ע"כ עשה בנין</w:t>
      </w:r>
      <w:r w:rsidRPr="0074694D">
        <w:rPr>
          <w:rFonts w:hint="cs"/>
          <w:rtl/>
        </w:rPr>
        <w:t xml:space="preserve">, וכו' </w:t>
      </w:r>
      <w:r w:rsidRPr="0074694D">
        <w:rPr>
          <w:rtl/>
        </w:rPr>
        <w:t>ולכן גם משוה פני הקרקע בבית הוי בונה ממש ולא תולדה</w:t>
      </w:r>
      <w:r w:rsidRPr="0074694D">
        <w:rPr>
          <w:rFonts w:hint="cs"/>
          <w:rtl/>
        </w:rPr>
        <w:t>.</w:t>
      </w:r>
    </w:p>
    <w:p w14:paraId="3348CEEC" w14:textId="77777777" w:rsidR="00376F67" w:rsidRDefault="00376F67" w:rsidP="00376F67">
      <w:pPr>
        <w:pStyle w:val="afffff7"/>
        <w:rPr>
          <w:rtl/>
        </w:rPr>
      </w:pPr>
      <w:bookmarkStart w:id="4944" w:name="_Toc143767974"/>
      <w:bookmarkStart w:id="4945" w:name="_Toc163506162"/>
      <w:r>
        <w:rPr>
          <w:rFonts w:hint="cs"/>
          <w:rtl/>
        </w:rPr>
        <w:t>קהלות יעקב שבת סי' ל"ז ד"ה אלא</w:t>
      </w:r>
      <w:bookmarkEnd w:id="4944"/>
      <w:bookmarkEnd w:id="4945"/>
    </w:p>
    <w:p w14:paraId="0B36FDFE" w14:textId="77777777" w:rsidR="00376F67" w:rsidRDefault="00376F67" w:rsidP="00376F67">
      <w:pPr>
        <w:pStyle w:val="a7"/>
        <w:rPr>
          <w:rtl/>
        </w:rPr>
      </w:pPr>
      <w:bookmarkStart w:id="4946" w:name="_Toc143767852"/>
      <w:bookmarkStart w:id="4947" w:name="_Toc143770673"/>
      <w:r>
        <w:rPr>
          <w:rFonts w:hint="cs"/>
          <w:rtl/>
        </w:rPr>
        <w:t>בי' האבהא"ז דבבית שכבר בנוי מקיבוץ חלקים ומוסיף עליו בונה גמור ורק מערה הוי תולדה</w:t>
      </w:r>
      <w:bookmarkEnd w:id="4946"/>
      <w:bookmarkEnd w:id="4947"/>
    </w:p>
    <w:p w14:paraId="57BAACF9" w14:textId="154FFB52" w:rsidR="00376F67" w:rsidRPr="00277CE6" w:rsidRDefault="00376F67" w:rsidP="00BC7DC8">
      <w:pPr>
        <w:pStyle w:val="a3"/>
      </w:pPr>
      <w:bookmarkStart w:id="4948" w:name="_Ref143611665"/>
      <w:r>
        <w:rPr>
          <w:rFonts w:hint="cs"/>
          <w:rtl/>
        </w:rPr>
        <w:t xml:space="preserve">והוסיף </w:t>
      </w:r>
      <w:r w:rsidRPr="00503A2C">
        <w:rPr>
          <w:rStyle w:val="aff4"/>
          <w:rFonts w:hint="cs"/>
          <w:vanish/>
          <w:rtl/>
        </w:rPr>
        <w:t>-</w:t>
      </w:r>
      <w:r w:rsidRPr="001A2014">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Ref143611665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ע)</w:t>
      </w:r>
      <w:r>
        <w:rPr>
          <w:rStyle w:val="aff4"/>
          <w:vanish/>
          <w:rtl/>
        </w:rPr>
        <w:fldChar w:fldCharType="end"/>
      </w:r>
      <w:r>
        <w:rPr>
          <w:rStyle w:val="aff4"/>
          <w:rFonts w:hint="cs"/>
          <w:vanish/>
          <w:rtl/>
        </w:rPr>
        <w:t xml:space="preserve"> &gt;</w:t>
      </w:r>
      <w:r w:rsidRPr="001A2014">
        <w:rPr>
          <w:rStyle w:val="aff4"/>
          <w:rFonts w:hint="cs"/>
          <w:rtl/>
        </w:rPr>
        <w:t>ק</w:t>
      </w:r>
      <w:r>
        <w:rPr>
          <w:rStyle w:val="aff4"/>
          <w:rFonts w:hint="cs"/>
          <w:rtl/>
        </w:rPr>
        <w:t>ה</w:t>
      </w:r>
      <w:r w:rsidRPr="001A2014">
        <w:rPr>
          <w:rStyle w:val="aff4"/>
          <w:rFonts w:hint="cs"/>
          <w:rtl/>
        </w:rPr>
        <w:t>לות יעקב</w:t>
      </w:r>
      <w:r w:rsidRPr="00503A2C">
        <w:rPr>
          <w:rStyle w:val="aff4"/>
          <w:rFonts w:hint="cs"/>
          <w:vanish/>
          <w:rtl/>
        </w:rPr>
        <w:t>-</w:t>
      </w:r>
      <w:r>
        <w:rPr>
          <w:rFonts w:hint="cs"/>
          <w:rtl/>
        </w:rPr>
        <w:t xml:space="preserve"> </w:t>
      </w:r>
      <w:r w:rsidRPr="00503A2C">
        <w:rPr>
          <w:rStyle w:val="af2"/>
          <w:rFonts w:eastAsia="Guttman Hodes" w:hint="cs"/>
          <w:rtl/>
        </w:rPr>
        <w:t>(סי' ל"ז ד"ה אלא)</w:t>
      </w:r>
      <w:r>
        <w:rPr>
          <w:rFonts w:hint="cs"/>
          <w:rtl/>
        </w:rPr>
        <w:t xml:space="preserve"> בשם </w:t>
      </w:r>
      <w:r w:rsidRPr="00503A2C">
        <w:rPr>
          <w:rStyle w:val="aff4"/>
          <w:rFonts w:hint="cs"/>
          <w:vanish/>
          <w:rtl/>
        </w:rPr>
        <w:t>-</w:t>
      </w:r>
      <w:r w:rsidRPr="001A2014">
        <w:rPr>
          <w:rStyle w:val="aff4"/>
          <w:rFonts w:hint="cs"/>
          <w:rtl/>
        </w:rPr>
        <w:t>האבן האזל</w:t>
      </w:r>
      <w:r w:rsidRPr="00503A2C">
        <w:rPr>
          <w:rStyle w:val="aff4"/>
          <w:rFonts w:hint="cs"/>
          <w:vanish/>
          <w:rtl/>
        </w:rPr>
        <w:t>-</w:t>
      </w:r>
      <w:r>
        <w:rPr>
          <w:rFonts w:hint="cs"/>
          <w:rtl/>
        </w:rPr>
        <w:t xml:space="preserve"> </w:t>
      </w:r>
      <w:r w:rsidRPr="00503A2C">
        <w:rPr>
          <w:rStyle w:val="af2"/>
          <w:rFonts w:eastAsia="Guttman Hodes" w:hint="cs"/>
          <w:rtl/>
        </w:rPr>
        <w:t>(קובץ כנס"י)</w:t>
      </w:r>
      <w:r w:rsidRPr="00503A2C">
        <w:rPr>
          <w:rFonts w:hint="cs"/>
          <w:vanish/>
          <w:rtl/>
        </w:rPr>
        <w:t>=</w:t>
      </w:r>
      <w:r>
        <w:rPr>
          <w:rFonts w:hint="cs"/>
          <w:rtl/>
        </w:rPr>
        <w:t xml:space="preserve"> דכיון דבתחילה בנו את הבית בבנין גמור שיש בו גם את החלק של קיבוץ חלקים, לכן במשוה פני הקרקע שהוא מוסיף על הבנין הבנוי הוא בונה ממש, ומ"ש </w:t>
      </w:r>
      <w:r w:rsidRPr="00503A2C">
        <w:rPr>
          <w:rStyle w:val="aff4"/>
          <w:rFonts w:hint="cs"/>
          <w:vanish/>
          <w:rtl/>
        </w:rPr>
        <w:t>-</w:t>
      </w:r>
      <w:r w:rsidRPr="001A2014">
        <w:rPr>
          <w:rStyle w:val="aff4"/>
          <w:rFonts w:hint="cs"/>
          <w:rtl/>
        </w:rPr>
        <w:t>הרמב"ם</w:t>
      </w:r>
      <w:r w:rsidRPr="00503A2C">
        <w:rPr>
          <w:rStyle w:val="aff4"/>
          <w:rFonts w:hint="cs"/>
          <w:vanish/>
          <w:rtl/>
        </w:rPr>
        <w:t>-</w:t>
      </w:r>
      <w:r>
        <w:rPr>
          <w:rFonts w:hint="cs"/>
          <w:rtl/>
        </w:rPr>
        <w:t xml:space="preserve"> </w:t>
      </w:r>
      <w:r w:rsidRPr="00503A2C">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Ref143549459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כה)</w:t>
      </w:r>
      <w:r>
        <w:rPr>
          <w:rStyle w:val="af2"/>
          <w:rFonts w:eastAsia="Guttman Hodes"/>
          <w:rtl/>
        </w:rPr>
        <w:fldChar w:fldCharType="end"/>
      </w:r>
      <w:r>
        <w:rPr>
          <w:rFonts w:hint="cs"/>
          <w:rtl/>
        </w:rPr>
        <w:t xml:space="preserve"> דאוהל קבוע הוא תולדה, היינו בדבר שאין בו קיבוץ חלקים כלל, כגון העושה מערה, ודחה </w:t>
      </w:r>
      <w:r w:rsidRPr="00503A2C">
        <w:rPr>
          <w:rStyle w:val="aff4"/>
          <w:rFonts w:hint="cs"/>
          <w:vanish/>
          <w:rtl/>
        </w:rPr>
        <w:t>-</w:t>
      </w:r>
      <w:r w:rsidRPr="001A2014">
        <w:rPr>
          <w:rStyle w:val="aff4"/>
          <w:rFonts w:hint="cs"/>
          <w:rtl/>
        </w:rPr>
        <w:t>הקהלות יעקב</w:t>
      </w:r>
      <w:r w:rsidRPr="00503A2C">
        <w:rPr>
          <w:rStyle w:val="aff4"/>
          <w:rFonts w:hint="cs"/>
          <w:vanish/>
          <w:rtl/>
        </w:rPr>
        <w:t>-</w:t>
      </w:r>
      <w:r>
        <w:rPr>
          <w:rFonts w:hint="cs"/>
          <w:rtl/>
        </w:rPr>
        <w:t xml:space="preserve"> דדוחק לומר דאוהל היינו במערה, דסתם אוהל הוא פורס בגד או עור.</w:t>
      </w:r>
      <w:bookmarkEnd w:id="4948"/>
    </w:p>
    <w:p w14:paraId="2F8AB309" w14:textId="77777777" w:rsidR="00376F67" w:rsidRPr="0074694D" w:rsidRDefault="00376F67" w:rsidP="00376F67">
      <w:pPr>
        <w:pStyle w:val="a2"/>
        <w:tabs>
          <w:tab w:val="num" w:pos="284"/>
        </w:tabs>
        <w:rPr>
          <w:vanish w:val="0"/>
          <w:rtl/>
        </w:rPr>
      </w:pPr>
      <w:r w:rsidRPr="0074694D">
        <w:rPr>
          <w:rFonts w:hint="cs"/>
          <w:rtl/>
        </w:rPr>
        <w:t>אלא</w:t>
      </w:r>
      <w:r w:rsidRPr="0074694D">
        <w:rPr>
          <w:rtl/>
        </w:rPr>
        <w:t xml:space="preserve"> שעל יסוד הדברים דהאב מלאכה דבונה הוא דוקא בדאיכא תרתי עשיית אוהל וקיבוץ חלקים לגוף אחד הוקשה לו ז"ל ממש"כ הרמב"ם ז"ל שם הי"ב הבונה כל שהוא חייב המשווה פני הקרקע בבית כגון שהשפיל תל וכו' ה"ז בונה וחייב והוא מבואר בגמ' דע"ג אר"ש היתה לו גבשושית ונטלה בבית חייב משום בונה והרמב"ם ז' חשיב לה בונה ממש ולא תולדה דבונה דלהלן בהלכה י"ג קחשיב תולדות עיין שם והשתא היכי הוי בונה ממש הא בהנוטל גבש</w:t>
      </w:r>
      <w:r w:rsidRPr="0074694D">
        <w:rPr>
          <w:rFonts w:hint="cs"/>
          <w:rtl/>
        </w:rPr>
        <w:t>ו</w:t>
      </w:r>
      <w:r w:rsidRPr="0074694D">
        <w:rPr>
          <w:rtl/>
        </w:rPr>
        <w:t>שית ליכא קיבוץ חלקים הרבה וע"ש</w:t>
      </w:r>
      <w:r w:rsidRPr="0074694D">
        <w:rPr>
          <w:rFonts w:hint="cs"/>
          <w:rtl/>
        </w:rPr>
        <w:t xml:space="preserve"> </w:t>
      </w:r>
      <w:r w:rsidRPr="0074694D">
        <w:rPr>
          <w:rtl/>
        </w:rPr>
        <w:t>שצדד בזה לומר דכיון דמקודם לכן כבר נעשה הבית ע"י קיבוץ חלקים כל שמוסיף בו הוי בונה ממש וההיא דהעושה אוהל קבע דחשיב לה הרמב"ם ז"ל רק תולדה מיירי כגון שלא היה כלל מקיבוץ חלקים כגון העושה מערה ע"ש וזה נראה דוחק לכאורה דבכל מקום אוהל ענינו פריסת גג של בגד או עור על איזה דבר וכיו"ב ולא דוקא מער</w:t>
      </w:r>
      <w:r w:rsidRPr="0074694D">
        <w:rPr>
          <w:rFonts w:hint="cs"/>
          <w:rtl/>
        </w:rPr>
        <w:t>ה.</w:t>
      </w:r>
    </w:p>
    <w:p w14:paraId="77032D4B" w14:textId="77777777" w:rsidR="00376F67" w:rsidRDefault="00376F67" w:rsidP="00376F67">
      <w:pPr>
        <w:pStyle w:val="afffffb"/>
        <w:rPr>
          <w:rtl/>
        </w:rPr>
      </w:pPr>
      <w:r w:rsidRPr="00205FE5">
        <w:rPr>
          <w:rtl/>
        </w:rPr>
        <w:t>אבן האזל שבת פ"י הי"ז</w:t>
      </w:r>
      <w:r w:rsidRPr="00205FE5">
        <w:rPr>
          <w:rFonts w:hint="cs"/>
          <w:rtl/>
        </w:rPr>
        <w:t xml:space="preserve"> ד"ה </w:t>
      </w:r>
      <w:r w:rsidRPr="00AD31C1">
        <w:rPr>
          <w:rtl/>
        </w:rPr>
        <w:t>אכן הביאור</w:t>
      </w:r>
    </w:p>
    <w:p w14:paraId="4FED8BF5" w14:textId="77777777" w:rsidR="00376F67" w:rsidRPr="00CC7546" w:rsidRDefault="00376F67" w:rsidP="00376F67">
      <w:pPr>
        <w:pStyle w:val="a7"/>
      </w:pPr>
      <w:bookmarkStart w:id="4949" w:name="_Toc143767853"/>
      <w:bookmarkStart w:id="4950" w:name="_Toc143770674"/>
      <w:r>
        <w:rPr>
          <w:rFonts w:hint="cs"/>
          <w:rtl/>
        </w:rPr>
        <w:t>בי' האבהא"ז דבתוקע בקרקע ב' עצים המחוברים לאוהל עשה מלאכת בנין וכן משוה קרקע</w:t>
      </w:r>
      <w:bookmarkEnd w:id="4949"/>
      <w:bookmarkEnd w:id="4950"/>
    </w:p>
    <w:p w14:paraId="671F1DA1" w14:textId="77777777" w:rsidR="00376F67" w:rsidRPr="00317233" w:rsidRDefault="00376F67" w:rsidP="00BC7DC8">
      <w:pPr>
        <w:pStyle w:val="a3"/>
        <w:rPr>
          <w:rStyle w:val="af"/>
          <w:sz w:val="18"/>
          <w:szCs w:val="18"/>
        </w:rPr>
      </w:pPr>
      <w:r>
        <w:rPr>
          <w:rFonts w:hint="cs"/>
          <w:rtl/>
        </w:rPr>
        <w:t xml:space="preserve">וכתב </w:t>
      </w:r>
      <w:r w:rsidRPr="001A2014">
        <w:rPr>
          <w:rStyle w:val="aff4"/>
          <w:rFonts w:hint="cs"/>
          <w:vanish/>
          <w:rtl/>
        </w:rPr>
        <w:t>-</w:t>
      </w:r>
      <w:r w:rsidRPr="001A2014">
        <w:rPr>
          <w:rStyle w:val="aff4"/>
          <w:rFonts w:hint="cs"/>
          <w:rtl/>
        </w:rPr>
        <w:t>האבן האזל</w:t>
      </w:r>
      <w:r w:rsidRPr="001A2014">
        <w:rPr>
          <w:rStyle w:val="aff4"/>
          <w:rFonts w:hint="cs"/>
          <w:vanish/>
          <w:rtl/>
        </w:rPr>
        <w:t>-</w:t>
      </w:r>
      <w:r>
        <w:rPr>
          <w:rFonts w:hint="cs"/>
          <w:rtl/>
        </w:rPr>
        <w:t xml:space="preserve"> </w:t>
      </w:r>
      <w:r w:rsidRPr="00DB1D3B">
        <w:rPr>
          <w:rStyle w:val="af2"/>
          <w:rFonts w:eastAsia="Guttman Hodes" w:hint="cs"/>
          <w:rtl/>
        </w:rPr>
        <w:t>(</w:t>
      </w:r>
      <w:r w:rsidRPr="00DB1D3B">
        <w:rPr>
          <w:rStyle w:val="af2"/>
          <w:rFonts w:eastAsia="Guttman Hodes"/>
          <w:rtl/>
        </w:rPr>
        <w:t>שבת פ"י הי"ז ד"ה אכן הביאור</w:t>
      </w:r>
      <w:r w:rsidRPr="00DB1D3B">
        <w:rPr>
          <w:rStyle w:val="af2"/>
          <w:rFonts w:eastAsia="Guttman Hodes" w:hint="cs"/>
          <w:rtl/>
        </w:rPr>
        <w:t>)</w:t>
      </w:r>
      <w:r>
        <w:rPr>
          <w:rFonts w:hint="cs"/>
          <w:rtl/>
        </w:rPr>
        <w:t xml:space="preserve"> דכן מוכח מהא דבמקום שבונה ממש כגון שהיו עצים תקועים אחד בשני בשיעור של אוהל ולא היו מונחים בקרקע, וקבעם בקרקע ועשה בזה אוהל חייב באב דבונה כיון שעשה את מלאכת הבנין, וכתב </w:t>
      </w:r>
      <w:r w:rsidRPr="001A2014">
        <w:rPr>
          <w:rStyle w:val="aff4"/>
          <w:rFonts w:hint="cs"/>
          <w:vanish/>
          <w:rtl/>
        </w:rPr>
        <w:t>-</w:t>
      </w:r>
      <w:r w:rsidRPr="001A2014">
        <w:rPr>
          <w:rStyle w:val="aff4"/>
          <w:rFonts w:hint="cs"/>
          <w:rtl/>
        </w:rPr>
        <w:t>האבן האזל</w:t>
      </w:r>
      <w:r w:rsidRPr="001A2014">
        <w:rPr>
          <w:rStyle w:val="aff4"/>
          <w:rFonts w:hint="cs"/>
          <w:vanish/>
          <w:rtl/>
        </w:rPr>
        <w:t>-</w:t>
      </w:r>
      <w:r>
        <w:rPr>
          <w:rFonts w:hint="cs"/>
          <w:rtl/>
        </w:rPr>
        <w:t xml:space="preserve"> דלכן אף </w:t>
      </w:r>
      <w:r>
        <w:rPr>
          <w:rFonts w:hint="cs"/>
          <w:rtl/>
        </w:rPr>
        <w:lastRenderedPageBreak/>
        <w:t xml:space="preserve">המשוה פני קרקע בבית הוא ממש בונה ואינו תולדה. </w:t>
      </w:r>
      <w:r w:rsidRPr="003C3FB2">
        <w:rPr>
          <w:rStyle w:val="af"/>
          <w:rFonts w:hint="cs"/>
          <w:rtl/>
        </w:rPr>
        <w:t>[דהא הבית כבר היה בנוי קודם ויש בו אוהל]</w:t>
      </w:r>
      <w:r>
        <w:rPr>
          <w:rStyle w:val="af"/>
          <w:rFonts w:hint="cs"/>
          <w:rtl/>
        </w:rPr>
        <w:t>.</w:t>
      </w:r>
    </w:p>
    <w:p w14:paraId="2FC08B59" w14:textId="77777777" w:rsidR="00376F67" w:rsidRPr="0074694D" w:rsidRDefault="00376F67" w:rsidP="00376F67">
      <w:pPr>
        <w:pStyle w:val="a2"/>
        <w:tabs>
          <w:tab w:val="num" w:pos="284"/>
        </w:tabs>
        <w:rPr>
          <w:vanish w:val="0"/>
          <w:rtl/>
        </w:rPr>
      </w:pPr>
      <w:r w:rsidRPr="0074694D">
        <w:rPr>
          <w:rtl/>
        </w:rPr>
        <w:t>וכמו אם יהיו תקועים עצים זה בזה בשיעור אוהל אלא שאינם מונחים על קרקע ובא וקבעם על הקרקע עד שנעשה אוהל חייב בזה מדין אב דבונה דהא עשה מלאכת בנין ולכן גם משוה פני הקרקע בבית הוי בונה ממש ולא תולדה</w:t>
      </w:r>
      <w:r w:rsidRPr="0074694D">
        <w:rPr>
          <w:rFonts w:hint="cs"/>
          <w:rtl/>
        </w:rPr>
        <w:t>.</w:t>
      </w:r>
    </w:p>
    <w:p w14:paraId="08AE915A" w14:textId="77777777" w:rsidR="00376F67" w:rsidRPr="00CC1E2E" w:rsidRDefault="00376F67" w:rsidP="00376F67">
      <w:pPr>
        <w:pStyle w:val="a7"/>
      </w:pPr>
      <w:bookmarkStart w:id="4951" w:name="_Toc143767854"/>
      <w:bookmarkStart w:id="4952" w:name="_Toc143770675"/>
      <w:r>
        <w:rPr>
          <w:rFonts w:hint="cs"/>
          <w:rtl/>
        </w:rPr>
        <w:t>בי' האבהא"ז דרק באוהל קבוע ע"י סדין דאינו בנין ממש הוי תולדה דחסר החלק דקיבוץ חלקים</w:t>
      </w:r>
      <w:bookmarkEnd w:id="4951"/>
      <w:bookmarkEnd w:id="4952"/>
    </w:p>
    <w:p w14:paraId="2C0AF021" w14:textId="77777777" w:rsidR="00376F67" w:rsidRDefault="00376F67" w:rsidP="00BC7DC8">
      <w:pPr>
        <w:pStyle w:val="a3"/>
        <w:rPr>
          <w:rtl/>
        </w:rPr>
      </w:pPr>
      <w:r>
        <w:rPr>
          <w:rFonts w:hint="cs"/>
          <w:rtl/>
        </w:rPr>
        <w:t xml:space="preserve">וכתב </w:t>
      </w:r>
      <w:r w:rsidRPr="001A2014">
        <w:rPr>
          <w:rStyle w:val="aff4"/>
          <w:rFonts w:hint="cs"/>
          <w:vanish/>
          <w:rtl/>
        </w:rPr>
        <w:t>-</w:t>
      </w:r>
      <w:r w:rsidRPr="001A2014">
        <w:rPr>
          <w:rStyle w:val="aff4"/>
          <w:rFonts w:hint="cs"/>
          <w:rtl/>
        </w:rPr>
        <w:t>האבן האזל</w:t>
      </w:r>
      <w:r w:rsidRPr="001A2014">
        <w:rPr>
          <w:rStyle w:val="aff4"/>
          <w:rFonts w:hint="cs"/>
          <w:vanish/>
          <w:rtl/>
        </w:rPr>
        <w:t>-</w:t>
      </w:r>
      <w:r>
        <w:rPr>
          <w:rFonts w:hint="cs"/>
          <w:rtl/>
        </w:rPr>
        <w:t xml:space="preserve"> דרק העושה אוהל קבוע כגון פורס סדין דאינו בנין ממש, כל שחסר בו החלק של קיבוץ חלקים ויש בו רק את החלק של עשיית אוהל, הוי תולדה.</w:t>
      </w:r>
      <w:bookmarkEnd w:id="4942"/>
    </w:p>
    <w:p w14:paraId="3AAAF1F0" w14:textId="77777777" w:rsidR="00376F67" w:rsidRPr="00E4104B" w:rsidRDefault="00376F67" w:rsidP="00376F67">
      <w:pPr>
        <w:pStyle w:val="a7"/>
      </w:pPr>
    </w:p>
    <w:bookmarkEnd w:id="4943"/>
    <w:p w14:paraId="4B1056C2" w14:textId="77777777" w:rsidR="00376F67" w:rsidRPr="0074694D" w:rsidRDefault="00376F67" w:rsidP="00376F67">
      <w:pPr>
        <w:pStyle w:val="a2"/>
        <w:tabs>
          <w:tab w:val="num" w:pos="284"/>
        </w:tabs>
        <w:rPr>
          <w:vanish w:val="0"/>
          <w:rtl/>
        </w:rPr>
      </w:pPr>
      <w:r w:rsidRPr="0074694D">
        <w:rPr>
          <w:rtl/>
        </w:rPr>
        <w:t>ורק בעושה אוהל קבוע דאין בגדר המלאכה מקבץ חלק אל חלק כגון בפורס סדין וכדומה ואין בזה אלא משום עשיית אוהל בזה כתב הרמב"ם שהוא תולדה.</w:t>
      </w:r>
    </w:p>
    <w:p w14:paraId="4CDD30C2" w14:textId="77777777" w:rsidR="00376F67" w:rsidRDefault="00376F67" w:rsidP="00376F67">
      <w:pPr>
        <w:pStyle w:val="afffff7"/>
        <w:rPr>
          <w:rtl/>
        </w:rPr>
      </w:pPr>
      <w:bookmarkStart w:id="4953" w:name="_Toc143767975"/>
      <w:bookmarkStart w:id="4954" w:name="_Toc163506163"/>
      <w:r w:rsidRPr="00CE4AE9">
        <w:rPr>
          <w:rtl/>
        </w:rPr>
        <w:t xml:space="preserve">אבי עזרי שבת פ"ח הי"א </w:t>
      </w:r>
      <w:r>
        <w:rPr>
          <w:rFonts w:hint="cs"/>
          <w:rtl/>
        </w:rPr>
        <w:t>ד"ה ואשר יראה</w:t>
      </w:r>
      <w:bookmarkEnd w:id="4953"/>
      <w:bookmarkEnd w:id="4954"/>
    </w:p>
    <w:p w14:paraId="5CA46BF9" w14:textId="77777777" w:rsidR="00376F67" w:rsidRDefault="00376F67" w:rsidP="00376F67">
      <w:pPr>
        <w:pStyle w:val="a7"/>
        <w:rPr>
          <w:rtl/>
        </w:rPr>
      </w:pPr>
      <w:bookmarkStart w:id="4955" w:name="_Toc143767855"/>
      <w:bookmarkStart w:id="4956" w:name="_Toc143770676"/>
      <w:r>
        <w:rPr>
          <w:rFonts w:hint="cs"/>
          <w:rtl/>
        </w:rPr>
        <w:t>בי' האבי עזרי דלמ"מ תולדה דמי במקצת לאב ומגבן ואוהל דמו לבית דאוהל וקיבוץ חלקים</w:t>
      </w:r>
      <w:bookmarkEnd w:id="4955"/>
      <w:bookmarkEnd w:id="4956"/>
      <w:r>
        <w:rPr>
          <w:rFonts w:hint="cs"/>
          <w:rtl/>
        </w:rPr>
        <w:t xml:space="preserve"> </w:t>
      </w:r>
    </w:p>
    <w:p w14:paraId="2ACF2612" w14:textId="54EF5F6F" w:rsidR="00376F67" w:rsidRPr="007B0C69" w:rsidRDefault="00376F67" w:rsidP="00BC7DC8">
      <w:pPr>
        <w:pStyle w:val="a3"/>
      </w:pPr>
      <w:bookmarkStart w:id="4957" w:name="_Hlk143534036"/>
      <w:bookmarkStart w:id="4958" w:name="_Ref143160725"/>
      <w:r>
        <w:rPr>
          <w:rFonts w:hint="cs"/>
          <w:rtl/>
        </w:rPr>
        <w:t xml:space="preserve">וכן ביאר </w:t>
      </w:r>
      <w:r w:rsidRPr="007E0EB8">
        <w:rPr>
          <w:rStyle w:val="aff4"/>
          <w:rFonts w:hint="cs"/>
          <w:vanish/>
          <w:rtl/>
        </w:rPr>
        <w:t>-</w:t>
      </w:r>
      <w:r w:rsidRPr="004E4BA0">
        <w:rPr>
          <w:rStyle w:val="aff4"/>
          <w:rFonts w:hint="cs"/>
          <w:rtl/>
        </w:rPr>
        <w:t>ה</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Ref143160725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עג)</w:t>
      </w:r>
      <w:r w:rsidRPr="00FF7D8F">
        <w:rPr>
          <w:rStyle w:val="aff4"/>
          <w:vanish/>
          <w:rtl/>
        </w:rPr>
        <w:fldChar w:fldCharType="end"/>
      </w:r>
      <w:r w:rsidRPr="00FF7D8F">
        <w:rPr>
          <w:rStyle w:val="aff4"/>
          <w:rFonts w:hint="cs"/>
          <w:vanish/>
          <w:rtl/>
        </w:rPr>
        <w:t xml:space="preserve"> &gt;</w:t>
      </w:r>
      <w:r w:rsidRPr="004E4BA0">
        <w:rPr>
          <w:rStyle w:val="aff4"/>
          <w:rFonts w:hint="cs"/>
          <w:rtl/>
        </w:rPr>
        <w:t>אבי עזרי</w:t>
      </w:r>
      <w:r w:rsidRPr="007E0EB8">
        <w:rPr>
          <w:rStyle w:val="aff4"/>
          <w:rFonts w:hint="cs"/>
          <w:vanish/>
          <w:rtl/>
        </w:rPr>
        <w:t>-</w:t>
      </w:r>
      <w:r>
        <w:rPr>
          <w:rFonts w:hint="cs"/>
          <w:rtl/>
        </w:rPr>
        <w:t xml:space="preserve"> </w:t>
      </w:r>
      <w:r w:rsidRPr="00DB1D3B">
        <w:rPr>
          <w:rStyle w:val="af2"/>
          <w:rFonts w:eastAsia="Guttman Hodes" w:hint="cs"/>
          <w:rtl/>
        </w:rPr>
        <w:t>(שבת פ"ח הי"א ד"ה ואשר יראה)</w:t>
      </w:r>
      <w:r w:rsidRPr="007E0EB8">
        <w:rPr>
          <w:rFonts w:hint="cs"/>
          <w:vanish/>
          <w:rtl/>
        </w:rPr>
        <w:t>=</w:t>
      </w:r>
      <w:r>
        <w:rPr>
          <w:rFonts w:hint="cs"/>
          <w:rtl/>
        </w:rPr>
        <w:t xml:space="preserve"> במ"ש </w:t>
      </w:r>
      <w:r w:rsidRPr="007E0EB8">
        <w:rPr>
          <w:rStyle w:val="aff4"/>
          <w:rFonts w:hint="cs"/>
          <w:vanish/>
          <w:rtl/>
        </w:rPr>
        <w:t>-</w:t>
      </w:r>
      <w:r w:rsidRPr="004E4BA0">
        <w:rPr>
          <w:rStyle w:val="aff4"/>
          <w:rFonts w:hint="cs"/>
          <w:rtl/>
        </w:rPr>
        <w:t>הרמב"ם</w:t>
      </w:r>
      <w:r w:rsidRPr="007E0EB8">
        <w:rPr>
          <w:rStyle w:val="aff4"/>
          <w:rFonts w:hint="cs"/>
          <w:vanish/>
          <w:rtl/>
        </w:rPr>
        <w:t>-</w:t>
      </w:r>
      <w:r>
        <w:rPr>
          <w:rFonts w:hint="cs"/>
          <w:rtl/>
        </w:rPr>
        <w:t xml:space="preserve"> </w:t>
      </w:r>
      <w:r w:rsidRPr="00DB1D3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Ref143549459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כה)</w:t>
      </w:r>
      <w:r>
        <w:rPr>
          <w:rStyle w:val="af2"/>
          <w:rFonts w:eastAsia="Guttman Hodes"/>
          <w:rtl/>
        </w:rPr>
        <w:fldChar w:fldCharType="end"/>
      </w:r>
      <w:r>
        <w:rPr>
          <w:rFonts w:hint="cs"/>
          <w:rtl/>
        </w:rPr>
        <w:t xml:space="preserve"> דהעושה אוהל קבוע הוא תולדת בונה, </w:t>
      </w:r>
      <w:bookmarkEnd w:id="4957"/>
      <w:r>
        <w:rPr>
          <w:rFonts w:hint="cs"/>
          <w:rtl/>
        </w:rPr>
        <w:t xml:space="preserve">ובמ"ש </w:t>
      </w:r>
      <w:r w:rsidRPr="007E0EB8">
        <w:rPr>
          <w:rStyle w:val="aff4"/>
          <w:rFonts w:hint="cs"/>
          <w:vanish/>
          <w:rtl/>
        </w:rPr>
        <w:t>-</w:t>
      </w:r>
      <w:r w:rsidRPr="004E4BA0">
        <w:rPr>
          <w:rStyle w:val="aff4"/>
          <w:rFonts w:hint="cs"/>
          <w:rtl/>
        </w:rPr>
        <w:t>הרמב"ם</w:t>
      </w:r>
      <w:r w:rsidRPr="007E0EB8">
        <w:rPr>
          <w:rStyle w:val="aff4"/>
          <w:rFonts w:hint="cs"/>
          <w:vanish/>
          <w:rtl/>
        </w:rPr>
        <w:t>-</w:t>
      </w:r>
      <w:r>
        <w:rPr>
          <w:rFonts w:hint="cs"/>
          <w:rtl/>
        </w:rPr>
        <w:t xml:space="preserve"> </w:t>
      </w:r>
      <w:r w:rsidRPr="00DB1D3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Ref143547978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כז)</w:t>
      </w:r>
      <w:r>
        <w:rPr>
          <w:rStyle w:val="af2"/>
          <w:rFonts w:eastAsia="Guttman Hodes"/>
          <w:rtl/>
        </w:rPr>
        <w:fldChar w:fldCharType="end"/>
      </w:r>
      <w:r>
        <w:rPr>
          <w:rFonts w:hint="cs"/>
          <w:rtl/>
        </w:rPr>
        <w:t xml:space="preserve"> דהמגבן הוא תולדת בונה, </w:t>
      </w:r>
      <w:bookmarkEnd w:id="4958"/>
      <w:r>
        <w:rPr>
          <w:rFonts w:hint="cs"/>
          <w:rtl/>
        </w:rPr>
        <w:t xml:space="preserve">היינו כיון דביאר </w:t>
      </w:r>
      <w:r w:rsidRPr="007E0EB8">
        <w:rPr>
          <w:rStyle w:val="aff4"/>
          <w:rFonts w:hint="cs"/>
          <w:vanish/>
          <w:rtl/>
        </w:rPr>
        <w:t>-</w:t>
      </w:r>
      <w:r w:rsidRPr="004E4BA0">
        <w:rPr>
          <w:rStyle w:val="aff4"/>
          <w:rFonts w:hint="cs"/>
          <w:rtl/>
        </w:rPr>
        <w:t>המ"מ</w:t>
      </w:r>
      <w:r w:rsidRPr="007E0EB8">
        <w:rPr>
          <w:rStyle w:val="aff4"/>
          <w:rFonts w:hint="cs"/>
          <w:vanish/>
          <w:rtl/>
        </w:rPr>
        <w:t>-</w:t>
      </w:r>
      <w:r>
        <w:rPr>
          <w:rFonts w:hint="cs"/>
          <w:rtl/>
        </w:rPr>
        <w:t xml:space="preserve"> </w:t>
      </w:r>
      <w:r w:rsidRPr="00DB1D3B">
        <w:rPr>
          <w:rStyle w:val="af2"/>
          <w:rFonts w:eastAsia="Guttman Hodes" w:hint="cs"/>
          <w:rtl/>
        </w:rPr>
        <w:t>(שבת פ"ז ה"ד)</w:t>
      </w:r>
      <w:r>
        <w:rPr>
          <w:rFonts w:hint="cs"/>
          <w:rtl/>
        </w:rPr>
        <w:t xml:space="preserve"> דמלאכה שדומה לגמרי לאב וחלוקה רק בפעולה היא כמו האב, ומלאכה שדומה רק במקצת לאב היא תולדה, א"כ במלאכת בונה גדר האב הוא שעושה אוהל ע"י שמקבץ חלקים כמו בבונה בית, ולכן כשעושה אוהל מיריעה אחת שאינו מקבץ חלקים, או שמקבץ חלקים ואינו עושה אוהל כמגבן, הם רק תולדות בונה, וביאר </w:t>
      </w:r>
      <w:r w:rsidRPr="007E0EB8">
        <w:rPr>
          <w:rStyle w:val="aff4"/>
          <w:rFonts w:hint="cs"/>
          <w:vanish/>
          <w:rtl/>
        </w:rPr>
        <w:t>-</w:t>
      </w:r>
      <w:r w:rsidRPr="004E4BA0">
        <w:rPr>
          <w:rStyle w:val="aff4"/>
          <w:rFonts w:hint="cs"/>
          <w:rtl/>
        </w:rPr>
        <w:t>ה</w:t>
      </w:r>
      <w:r w:rsidRPr="00FF7D8F">
        <w:rPr>
          <w:rStyle w:val="aff4"/>
          <w:rFonts w:hint="cs"/>
          <w:vanish/>
          <w:rtl/>
        </w:rPr>
        <w:t>&lt; &gt;</w:t>
      </w:r>
      <w:r w:rsidRPr="004E4BA0">
        <w:rPr>
          <w:rStyle w:val="aff4"/>
          <w:rFonts w:hint="cs"/>
          <w:rtl/>
        </w:rPr>
        <w:t>אבי עזרי</w:t>
      </w:r>
      <w:r w:rsidRPr="007E0EB8">
        <w:rPr>
          <w:rStyle w:val="aff4"/>
          <w:rFonts w:hint="cs"/>
          <w:vanish/>
          <w:rtl/>
        </w:rPr>
        <w:t>-</w:t>
      </w:r>
      <w:r>
        <w:rPr>
          <w:rFonts w:hint="cs"/>
          <w:rtl/>
        </w:rPr>
        <w:t xml:space="preserve"> </w:t>
      </w:r>
      <w:r w:rsidRPr="00DB1D3B">
        <w:rPr>
          <w:rStyle w:val="af2"/>
          <w:rFonts w:eastAsia="Guttman Hodes" w:hint="cs"/>
          <w:rtl/>
        </w:rPr>
        <w:t>(שבת פ"ח הי"א ד"ה ומעתה)</w:t>
      </w:r>
      <w:r w:rsidRPr="007E0EB8">
        <w:rPr>
          <w:rFonts w:hint="cs"/>
          <w:vanish/>
          <w:rtl/>
        </w:rPr>
        <w:t>=</w:t>
      </w:r>
      <w:r>
        <w:rPr>
          <w:rFonts w:hint="cs"/>
          <w:rtl/>
        </w:rPr>
        <w:t xml:space="preserve"> דכל שעושה חלק מהמלאכה חשיב כתולדה.</w:t>
      </w:r>
    </w:p>
    <w:p w14:paraId="67F4489E" w14:textId="77777777" w:rsidR="00376F67" w:rsidRPr="0074694D" w:rsidRDefault="00376F67" w:rsidP="00376F67">
      <w:pPr>
        <w:pStyle w:val="a2"/>
        <w:tabs>
          <w:tab w:val="num" w:pos="284"/>
        </w:tabs>
        <w:rPr>
          <w:vanish w:val="0"/>
        </w:rPr>
      </w:pPr>
      <w:r w:rsidRPr="0074694D">
        <w:rPr>
          <w:rtl/>
        </w:rPr>
        <w:t xml:space="preserve">ואשר יראה בזה דהנה ביסוד הדבר שיש אב </w:t>
      </w:r>
      <w:r w:rsidRPr="0074694D">
        <w:rPr>
          <w:rFonts w:hint="cs"/>
          <w:rtl/>
        </w:rPr>
        <w:t>וי</w:t>
      </w:r>
      <w:r w:rsidRPr="0074694D">
        <w:rPr>
          <w:rtl/>
        </w:rPr>
        <w:t>ש תולדה ומה נקרא אב ומה נקרא תולדה השריש לן הה"מ למעלה בפ"ז ה"ד שכל מלאכה שהיא דומה בדמיון גמור אלא שחלוקה ממ</w:t>
      </w:r>
      <w:r w:rsidRPr="0074694D">
        <w:rPr>
          <w:rFonts w:hint="cs"/>
          <w:rtl/>
        </w:rPr>
        <w:t>נ</w:t>
      </w:r>
      <w:r w:rsidRPr="0074694D">
        <w:rPr>
          <w:rtl/>
        </w:rPr>
        <w:t>ה באיכות הפעולה או באיכות הנפעל הרי זו אב וכמו הזורע שחשבה המשנה לאב גם הנוטע והמבריך והמרכיב והזומר הוא ג"כ אב וכו' אבל כשאין שם אלא קצת דמיון כמו המחתך את הירק שאינו דומה לטחינה רק בהעשות מגוף אחד גופים רבים אעפ</w:t>
      </w:r>
      <w:r w:rsidRPr="0074694D">
        <w:rPr>
          <w:rFonts w:hint="cs"/>
          <w:rtl/>
        </w:rPr>
        <w:t>"י</w:t>
      </w:r>
      <w:r w:rsidRPr="0074694D">
        <w:rPr>
          <w:rtl/>
        </w:rPr>
        <w:t xml:space="preserve"> שהטחינה משנה הגוף הראשון לגמרי ואין החיתוך כן זו היא תולדה והיקש זה ניתן לכולן וכ</w:t>
      </w:r>
      <w:r w:rsidRPr="0074694D">
        <w:rPr>
          <w:rFonts w:hint="cs"/>
          <w:rtl/>
        </w:rPr>
        <w:t>ו'</w:t>
      </w:r>
      <w:r w:rsidRPr="0074694D">
        <w:rPr>
          <w:rtl/>
        </w:rPr>
        <w:t xml:space="preserve"> עכ"ל</w:t>
      </w:r>
      <w:r w:rsidRPr="0074694D">
        <w:rPr>
          <w:rFonts w:hint="cs"/>
          <w:rtl/>
        </w:rPr>
        <w:t xml:space="preserve"> </w:t>
      </w:r>
      <w:r w:rsidRPr="0074694D">
        <w:rPr>
          <w:rtl/>
        </w:rPr>
        <w:t>וכן כתב שם הרמב"ם בה"ו שאם עשה גבינה ה"ז תולדת בונה שכל המקבץ חלק אל חלק ודבק הכל עד שיעשו לגוף אחד ה"ז דומה לבנין ובפ"י הי"ג כתב העושה אוהל קבוע ה</w:t>
      </w:r>
      <w:r w:rsidRPr="0074694D">
        <w:rPr>
          <w:rFonts w:hint="cs"/>
          <w:rtl/>
        </w:rPr>
        <w:t>"</w:t>
      </w:r>
      <w:r w:rsidRPr="0074694D">
        <w:rPr>
          <w:rtl/>
        </w:rPr>
        <w:t>ז תולדת בונה וא</w:t>
      </w:r>
      <w:r w:rsidRPr="0074694D">
        <w:rPr>
          <w:rFonts w:hint="cs"/>
          <w:rtl/>
        </w:rPr>
        <w:t>"</w:t>
      </w:r>
      <w:r w:rsidRPr="0074694D">
        <w:rPr>
          <w:rtl/>
        </w:rPr>
        <w:t>כ מה זה האב של בונה בהכרח שהאב הוא ע"י שעושה אוהל ביחד עם מה שקיבץ חלק אל חלק כמו בונה בית אבל אם עשה אוהל מי</w:t>
      </w:r>
      <w:r w:rsidRPr="0074694D">
        <w:rPr>
          <w:rFonts w:hint="cs"/>
          <w:rtl/>
        </w:rPr>
        <w:t>רי</w:t>
      </w:r>
      <w:r w:rsidRPr="0074694D">
        <w:rPr>
          <w:rtl/>
        </w:rPr>
        <w:t>עה אחת ולא הי</w:t>
      </w:r>
      <w:r w:rsidRPr="0074694D">
        <w:rPr>
          <w:rFonts w:hint="cs"/>
          <w:rtl/>
        </w:rPr>
        <w:t>'</w:t>
      </w:r>
      <w:r w:rsidRPr="0074694D">
        <w:rPr>
          <w:rtl/>
        </w:rPr>
        <w:t xml:space="preserve"> קיבוץ חלק אל חלק או שהי</w:t>
      </w:r>
      <w:r w:rsidRPr="0074694D">
        <w:rPr>
          <w:rFonts w:hint="cs"/>
          <w:rtl/>
        </w:rPr>
        <w:t>'</w:t>
      </w:r>
      <w:r w:rsidRPr="0074694D">
        <w:rPr>
          <w:rtl/>
        </w:rPr>
        <w:t xml:space="preserve"> קיבוץ חלק אל חלק ולא הי' אוהל כמו מגבן תולדות הן זהו המתבאר משיטת הרמב"ם יעו"ש היטב</w:t>
      </w:r>
      <w:r w:rsidRPr="0074694D">
        <w:rPr>
          <w:rFonts w:hint="cs"/>
          <w:rtl/>
        </w:rPr>
        <w:t xml:space="preserve">, וכו' </w:t>
      </w:r>
    </w:p>
    <w:p w14:paraId="2192CB90" w14:textId="77777777" w:rsidR="00376F67" w:rsidRPr="00954231" w:rsidRDefault="00376F67" w:rsidP="00376F67">
      <w:pPr>
        <w:pStyle w:val="afffff5"/>
        <w:rPr>
          <w:vanish w:val="0"/>
        </w:rPr>
      </w:pPr>
      <w:r w:rsidRPr="00954231">
        <w:rPr>
          <w:rtl/>
        </w:rPr>
        <w:t xml:space="preserve">גם חלק מלאכה אחת תולדה היא וכמו בונה שהבאתי לעיל שמלאכת בונה הוא שנעשה אוהל וגם יש משום מקבץ חלק אל חלק מ"מ אם רק עשה חלק אחד מהמלאכה תולדה היא </w:t>
      </w:r>
      <w:r w:rsidRPr="00954231">
        <w:rPr>
          <w:rFonts w:hint="cs"/>
          <w:rtl/>
        </w:rPr>
        <w:t>ו</w:t>
      </w:r>
      <w:r w:rsidRPr="00954231">
        <w:rPr>
          <w:rtl/>
        </w:rPr>
        <w:t>כו</w:t>
      </w:r>
      <w:r w:rsidRPr="00954231">
        <w:rPr>
          <w:rFonts w:hint="cs"/>
          <w:rtl/>
        </w:rPr>
        <w:t>'.</w:t>
      </w:r>
    </w:p>
    <w:p w14:paraId="179817F3" w14:textId="77777777" w:rsidR="00376F67" w:rsidRPr="00544180" w:rsidRDefault="00376F67" w:rsidP="00376F67">
      <w:pPr>
        <w:pStyle w:val="1"/>
        <w:rPr>
          <w:rtl/>
        </w:rPr>
      </w:pPr>
      <w:bookmarkStart w:id="4959" w:name="_Toc143767856"/>
      <w:bookmarkStart w:id="4960" w:name="_Toc143770677"/>
      <w:r>
        <w:rPr>
          <w:rFonts w:hint="cs"/>
          <w:rtl/>
        </w:rPr>
        <w:t>בי' האבאה"ז דבאינו בנין ממש אין בנין בכלים</w:t>
      </w:r>
      <w:r w:rsidRPr="003C2EEC">
        <w:rPr>
          <w:rFonts w:hint="cs"/>
          <w:rtl/>
        </w:rPr>
        <w:t xml:space="preserve"> </w:t>
      </w:r>
      <w:r>
        <w:rPr>
          <w:rFonts w:hint="cs"/>
          <w:rtl/>
        </w:rPr>
        <w:t>רק בעושה אוהל</w:t>
      </w:r>
      <w:bookmarkEnd w:id="4959"/>
      <w:bookmarkEnd w:id="4960"/>
    </w:p>
    <w:p w14:paraId="40DB8770" w14:textId="77777777" w:rsidR="00376F67" w:rsidRPr="00160AF4" w:rsidRDefault="00376F67" w:rsidP="00376F67">
      <w:pPr>
        <w:pStyle w:val="afffff7"/>
        <w:rPr>
          <w:rtl/>
        </w:rPr>
      </w:pPr>
      <w:bookmarkStart w:id="4961" w:name="_Toc143767976"/>
      <w:bookmarkStart w:id="4962" w:name="_Toc163506164"/>
      <w:r w:rsidRPr="00160AF4">
        <w:rPr>
          <w:rFonts w:hint="cs"/>
          <w:rtl/>
        </w:rPr>
        <w:t>אבן האזל שבת פ"י הי"ז ד"ה ועכשיו</w:t>
      </w:r>
      <w:bookmarkEnd w:id="4961"/>
      <w:bookmarkEnd w:id="4962"/>
    </w:p>
    <w:p w14:paraId="40E7BC70" w14:textId="77777777" w:rsidR="00376F67" w:rsidRDefault="00376F67" w:rsidP="00376F67">
      <w:pPr>
        <w:pStyle w:val="a7"/>
        <w:rPr>
          <w:rtl/>
        </w:rPr>
      </w:pPr>
      <w:bookmarkStart w:id="4963" w:name="_Toc143767857"/>
      <w:bookmarkStart w:id="4964" w:name="_Toc143770678"/>
      <w:r>
        <w:rPr>
          <w:rFonts w:hint="cs"/>
          <w:rtl/>
        </w:rPr>
        <w:t>בי' האבהא"ז דרק בחלק של עשיית אוהל אין בו בנין בכלים אך קיבוץ חלקים אף בכלים חייב</w:t>
      </w:r>
      <w:bookmarkEnd w:id="4963"/>
      <w:bookmarkEnd w:id="4964"/>
    </w:p>
    <w:p w14:paraId="1534EBFB" w14:textId="21E381CD" w:rsidR="00376F67" w:rsidRDefault="00376F67" w:rsidP="00BC7DC8">
      <w:pPr>
        <w:pStyle w:val="a3"/>
      </w:pPr>
      <w:bookmarkStart w:id="4965" w:name="_Ref143420290"/>
      <w:r>
        <w:rPr>
          <w:rFonts w:hint="cs"/>
          <w:rtl/>
        </w:rPr>
        <w:t>ולפי"ז ביאר</w:t>
      </w:r>
      <w:r w:rsidRPr="00160AF4">
        <w:rPr>
          <w:rFonts w:asciiTheme="minorHAnsi" w:eastAsiaTheme="minorEastAsia" w:hAnsiTheme="minorHAnsi" w:cstheme="minorBidi"/>
          <w:noProof w:val="0"/>
          <w:sz w:val="22"/>
          <w:szCs w:val="22"/>
          <w:rtl/>
        </w:rPr>
        <w:t xml:space="preserve"> </w:t>
      </w:r>
      <w:bookmarkStart w:id="4966" w:name="_Hlk143420308"/>
      <w:r w:rsidRPr="00B90D00">
        <w:rPr>
          <w:rStyle w:val="aff4"/>
          <w:vanish/>
          <w:rtl/>
        </w:rPr>
        <w:t>-</w:t>
      </w:r>
      <w:r w:rsidRPr="00C56FA9">
        <w:rPr>
          <w:rStyle w:val="aff4"/>
          <w:rtl/>
        </w:rPr>
        <w:t>ה</w:t>
      </w:r>
      <w:r w:rsidRPr="00FF7D8F">
        <w:rPr>
          <w:rStyle w:val="aff4"/>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vanish/>
        </w:rPr>
        <w:instrText>REF</w:instrText>
      </w:r>
      <w:r w:rsidRPr="00FF7D8F">
        <w:rPr>
          <w:rStyle w:val="aff4"/>
          <w:vanish/>
          <w:rtl/>
        </w:rPr>
        <w:instrText xml:space="preserve"> _</w:instrText>
      </w:r>
      <w:r w:rsidRPr="00FF7D8F">
        <w:rPr>
          <w:rStyle w:val="aff4"/>
          <w:vanish/>
        </w:rPr>
        <w:instrText>Ref143420290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עד)</w:t>
      </w:r>
      <w:r w:rsidRPr="00FF7D8F">
        <w:rPr>
          <w:rStyle w:val="aff4"/>
          <w:vanish/>
          <w:rtl/>
        </w:rPr>
        <w:fldChar w:fldCharType="end"/>
      </w:r>
      <w:r w:rsidRPr="00FF7D8F">
        <w:rPr>
          <w:rStyle w:val="aff4"/>
          <w:vanish/>
          <w:rtl/>
        </w:rPr>
        <w:t xml:space="preserve"> &gt;</w:t>
      </w:r>
      <w:r w:rsidRPr="00C56FA9">
        <w:rPr>
          <w:rStyle w:val="aff4"/>
          <w:rtl/>
        </w:rPr>
        <w:t>אבן האזל</w:t>
      </w:r>
      <w:r w:rsidRPr="00B90D00">
        <w:rPr>
          <w:rStyle w:val="aff4"/>
          <w:vanish/>
          <w:rtl/>
        </w:rPr>
        <w:t>-</w:t>
      </w:r>
      <w:r w:rsidRPr="00160AF4">
        <w:rPr>
          <w:rtl/>
        </w:rPr>
        <w:t xml:space="preserve"> </w:t>
      </w:r>
      <w:bookmarkEnd w:id="4966"/>
      <w:r w:rsidRPr="00DB1D3B">
        <w:rPr>
          <w:rStyle w:val="af2"/>
          <w:rFonts w:eastAsia="Guttman Hodes"/>
          <w:rtl/>
        </w:rPr>
        <w:t xml:space="preserve">(שבת פ"י הי"ז ד"ה </w:t>
      </w:r>
      <w:r w:rsidRPr="00DB1D3B">
        <w:rPr>
          <w:rStyle w:val="af2"/>
          <w:rFonts w:eastAsia="Guttman Hodes" w:hint="cs"/>
          <w:rtl/>
        </w:rPr>
        <w:t>ועכשיו</w:t>
      </w:r>
      <w:r w:rsidRPr="00DB1D3B">
        <w:rPr>
          <w:rStyle w:val="af2"/>
          <w:rFonts w:eastAsia="Guttman Hodes"/>
          <w:rtl/>
        </w:rPr>
        <w:t>)</w:t>
      </w:r>
      <w:r w:rsidRPr="00B90D00">
        <w:rPr>
          <w:vanish/>
          <w:rtl/>
        </w:rPr>
        <w:t>=</w:t>
      </w:r>
      <w:r>
        <w:rPr>
          <w:rFonts w:hint="cs"/>
          <w:rtl/>
        </w:rPr>
        <w:t xml:space="preserve"> דהא דאמרינן דאין בנין בכלים, היינו רק לענין החלק במלאכת בונה דעשיית אוהל, דחלק זה שייך רק ע"ג קרקע, אבל החלק של קיבוץ חלקים שחייב עליו אף במגבן, פשיטא דחייב אף בכלים, ולכן כתב </w:t>
      </w:r>
      <w:r w:rsidRPr="00B90D00">
        <w:rPr>
          <w:rStyle w:val="aff4"/>
          <w:rFonts w:hint="cs"/>
          <w:vanish/>
          <w:rtl/>
        </w:rPr>
        <w:t>-</w:t>
      </w:r>
      <w:r w:rsidRPr="00C56FA9">
        <w:rPr>
          <w:rStyle w:val="aff4"/>
          <w:rFonts w:hint="cs"/>
          <w:rtl/>
        </w:rPr>
        <w:t>הרמב"ם</w:t>
      </w:r>
      <w:r w:rsidRPr="00B90D00">
        <w:rPr>
          <w:rStyle w:val="aff4"/>
          <w:rFonts w:hint="cs"/>
          <w:vanish/>
          <w:rtl/>
        </w:rPr>
        <w:t>-</w:t>
      </w:r>
      <w:r>
        <w:rPr>
          <w:rFonts w:hint="cs"/>
          <w:rtl/>
        </w:rPr>
        <w:t xml:space="preserve"> </w:t>
      </w:r>
      <w:r w:rsidRPr="00DB1D3B">
        <w:rPr>
          <w:rStyle w:val="af2"/>
          <w:rFonts w:eastAsia="Guttman Hodes" w:hint="cs"/>
          <w:rtl/>
        </w:rPr>
        <w:t xml:space="preserve">(עי' אות </w:t>
      </w:r>
      <w:r w:rsidRPr="00DB1D3B">
        <w:rPr>
          <w:rStyle w:val="af2"/>
          <w:rFonts w:eastAsia="Guttman Hodes"/>
          <w:rtl/>
        </w:rPr>
        <w:fldChar w:fldCharType="begin"/>
      </w:r>
      <w:r w:rsidRPr="00DB1D3B">
        <w:rPr>
          <w:rStyle w:val="af2"/>
          <w:rFonts w:eastAsia="Guttman Hodes"/>
          <w:rtl/>
        </w:rPr>
        <w:instrText xml:space="preserve"> </w:instrText>
      </w:r>
      <w:r w:rsidRPr="00DB1D3B">
        <w:rPr>
          <w:rStyle w:val="af2"/>
          <w:rFonts w:eastAsia="Guttman Hodes" w:hint="cs"/>
        </w:rPr>
        <w:instrText>REF</w:instrText>
      </w:r>
      <w:r w:rsidRPr="00DB1D3B">
        <w:rPr>
          <w:rStyle w:val="af2"/>
          <w:rFonts w:eastAsia="Guttman Hodes" w:hint="cs"/>
          <w:rtl/>
        </w:rPr>
        <w:instrText xml:space="preserve"> _</w:instrText>
      </w:r>
      <w:r w:rsidRPr="00DB1D3B">
        <w:rPr>
          <w:rStyle w:val="af2"/>
          <w:rFonts w:eastAsia="Guttman Hodes" w:hint="cs"/>
        </w:rPr>
        <w:instrText>Ref141956430 \r \h</w:instrText>
      </w:r>
      <w:r w:rsidRPr="00DB1D3B">
        <w:rPr>
          <w:rStyle w:val="af2"/>
          <w:rFonts w:eastAsia="Guttman Hodes"/>
          <w:rtl/>
        </w:rPr>
        <w:instrText xml:space="preserve"> </w:instrText>
      </w:r>
      <w:r w:rsidRPr="00DB1D3B">
        <w:rPr>
          <w:rStyle w:val="af2"/>
          <w:rFonts w:eastAsia="Guttman Hodes"/>
          <w:rtl/>
        </w:rPr>
      </w:r>
      <w:r w:rsidRPr="00DB1D3B">
        <w:rPr>
          <w:rStyle w:val="af2"/>
          <w:rFonts w:eastAsia="Guttman Hodes"/>
          <w:rtl/>
        </w:rPr>
        <w:fldChar w:fldCharType="separate"/>
      </w:r>
      <w:r w:rsidR="00D82181">
        <w:rPr>
          <w:rStyle w:val="af2"/>
          <w:rFonts w:eastAsia="Guttman Hodes"/>
          <w:cs/>
        </w:rPr>
        <w:t>‎</w:t>
      </w:r>
      <w:r w:rsidR="00D82181">
        <w:rPr>
          <w:rStyle w:val="af2"/>
          <w:rFonts w:eastAsia="Guttman Hodes"/>
          <w:rtl/>
        </w:rPr>
        <w:t>כה)</w:t>
      </w:r>
      <w:r w:rsidRPr="00DB1D3B">
        <w:rPr>
          <w:rStyle w:val="af2"/>
          <w:rFonts w:eastAsia="Guttman Hodes"/>
          <w:rtl/>
        </w:rPr>
        <w:fldChar w:fldCharType="end"/>
      </w:r>
      <w:r>
        <w:rPr>
          <w:rFonts w:hint="cs"/>
          <w:rtl/>
        </w:rPr>
        <w:t xml:space="preserve"> דהמגבן הוא תולדת בונה, וכו' וכן התוקע עץ בעץ, עד שנעשו כעץ אחד, דהוי תולדת בונה וחייב.</w:t>
      </w:r>
    </w:p>
    <w:bookmarkEnd w:id="4965"/>
    <w:p w14:paraId="2A4DC71D" w14:textId="77777777" w:rsidR="00376F67" w:rsidRPr="0074694D" w:rsidRDefault="00376F67" w:rsidP="00376F67">
      <w:pPr>
        <w:pStyle w:val="a2"/>
        <w:tabs>
          <w:tab w:val="num" w:pos="284"/>
        </w:tabs>
        <w:rPr>
          <w:vanish w:val="0"/>
          <w:rtl/>
        </w:rPr>
      </w:pPr>
      <w:r w:rsidRPr="0074694D">
        <w:rPr>
          <w:rtl/>
        </w:rPr>
        <w:t>ועכשיו מיושב שפיר גדר דין אין בנין בכלים, דהא דאמרינן אין בנין בכלים היינו בתולדה הראשונה דהוא עשיית האוהל זה אינו אלא דוקא ע"ג קרקע אבל בכלים לא הוי בנין ולא הוי מלאכת אוהל ובנין כלל</w:t>
      </w:r>
      <w:r w:rsidRPr="0074694D">
        <w:rPr>
          <w:rFonts w:hint="cs"/>
          <w:rtl/>
        </w:rPr>
        <w:t>.</w:t>
      </w:r>
    </w:p>
    <w:p w14:paraId="04DC6F97" w14:textId="77777777" w:rsidR="00376F67" w:rsidRPr="007425E2" w:rsidRDefault="00376F67" w:rsidP="00376F67">
      <w:pPr>
        <w:pStyle w:val="a7"/>
      </w:pPr>
      <w:bookmarkStart w:id="4967" w:name="_Toc143767858"/>
      <w:bookmarkStart w:id="4968" w:name="_Toc143770679"/>
      <w:r>
        <w:rPr>
          <w:rFonts w:hint="cs"/>
          <w:rtl/>
        </w:rPr>
        <w:t>בי' האבהא"ז דכלי אדמה ע"י קיבוץ חלקים או תוקע עץ בעץ בונה אך חוקק כלי בעץ ל"ה בונה</w:t>
      </w:r>
      <w:bookmarkEnd w:id="4967"/>
      <w:bookmarkEnd w:id="4968"/>
    </w:p>
    <w:p w14:paraId="17B1B558" w14:textId="3C7CE689" w:rsidR="00376F67" w:rsidRPr="00160AF4" w:rsidRDefault="00376F67" w:rsidP="00BC7DC8">
      <w:pPr>
        <w:pStyle w:val="a3"/>
      </w:pPr>
      <w:r>
        <w:rPr>
          <w:rFonts w:hint="cs"/>
          <w:rtl/>
        </w:rPr>
        <w:t xml:space="preserve">וכתב </w:t>
      </w:r>
      <w:r w:rsidRPr="00B90D00">
        <w:rPr>
          <w:rStyle w:val="aff4"/>
          <w:rFonts w:hint="cs"/>
          <w:vanish/>
          <w:rtl/>
        </w:rPr>
        <w:t>-</w:t>
      </w:r>
      <w:r w:rsidRPr="00C56FA9">
        <w:rPr>
          <w:rStyle w:val="aff4"/>
          <w:rFonts w:hint="cs"/>
          <w:rtl/>
        </w:rPr>
        <w:t>האבהא"ז</w:t>
      </w:r>
      <w:r w:rsidRPr="00B90D00">
        <w:rPr>
          <w:rStyle w:val="aff4"/>
          <w:rFonts w:hint="cs"/>
          <w:vanish/>
          <w:rtl/>
        </w:rPr>
        <w:t>-</w:t>
      </w:r>
      <w:r>
        <w:rPr>
          <w:rFonts w:hint="cs"/>
          <w:rtl/>
        </w:rPr>
        <w:t xml:space="preserve"> דלפי"ז מבואר גם מ"ש </w:t>
      </w:r>
      <w:r w:rsidRPr="00B90D00">
        <w:rPr>
          <w:rStyle w:val="aff4"/>
          <w:rFonts w:hint="cs"/>
          <w:vanish/>
          <w:rtl/>
        </w:rPr>
        <w:t>-</w:t>
      </w:r>
      <w:r w:rsidRPr="00C56FA9">
        <w:rPr>
          <w:rStyle w:val="aff4"/>
          <w:rFonts w:hint="cs"/>
          <w:rtl/>
        </w:rPr>
        <w:t>הרמב"ם</w:t>
      </w:r>
      <w:r w:rsidRPr="00B90D00">
        <w:rPr>
          <w:rStyle w:val="aff4"/>
          <w:rFonts w:hint="cs"/>
          <w:vanish/>
          <w:rtl/>
        </w:rPr>
        <w:t>-</w:t>
      </w:r>
      <w:r>
        <w:rPr>
          <w:rFonts w:hint="cs"/>
          <w:rtl/>
        </w:rPr>
        <w:t xml:space="preserve"> </w:t>
      </w:r>
      <w:r w:rsidRPr="00DB1D3B">
        <w:rPr>
          <w:rStyle w:val="af2"/>
          <w:rFonts w:eastAsia="Guttman Hodes" w:hint="cs"/>
          <w:rtl/>
        </w:rPr>
        <w:t xml:space="preserve">(עי' אות </w:t>
      </w:r>
      <w:r w:rsidRPr="00DB1D3B">
        <w:rPr>
          <w:rStyle w:val="af2"/>
          <w:rFonts w:eastAsia="Guttman Hodes"/>
          <w:rtl/>
        </w:rPr>
        <w:fldChar w:fldCharType="begin"/>
      </w:r>
      <w:r w:rsidRPr="00DB1D3B">
        <w:rPr>
          <w:rStyle w:val="af2"/>
          <w:rFonts w:eastAsia="Guttman Hodes"/>
          <w:rtl/>
        </w:rPr>
        <w:instrText xml:space="preserve"> </w:instrText>
      </w:r>
      <w:r w:rsidRPr="00DB1D3B">
        <w:rPr>
          <w:rStyle w:val="af2"/>
          <w:rFonts w:eastAsia="Guttman Hodes" w:hint="cs"/>
        </w:rPr>
        <w:instrText>REF</w:instrText>
      </w:r>
      <w:r w:rsidRPr="00DB1D3B">
        <w:rPr>
          <w:rStyle w:val="af2"/>
          <w:rFonts w:eastAsia="Guttman Hodes" w:hint="cs"/>
          <w:rtl/>
        </w:rPr>
        <w:instrText xml:space="preserve"> _</w:instrText>
      </w:r>
      <w:r w:rsidRPr="00DB1D3B">
        <w:rPr>
          <w:rStyle w:val="af2"/>
          <w:rFonts w:eastAsia="Guttman Hodes" w:hint="cs"/>
        </w:rPr>
        <w:instrText>Ref141956430 \r \h</w:instrText>
      </w:r>
      <w:r w:rsidRPr="00DB1D3B">
        <w:rPr>
          <w:rStyle w:val="af2"/>
          <w:rFonts w:eastAsia="Guttman Hodes"/>
          <w:rtl/>
        </w:rPr>
        <w:instrText xml:space="preserve"> </w:instrText>
      </w:r>
      <w:r w:rsidRPr="00DB1D3B">
        <w:rPr>
          <w:rStyle w:val="af2"/>
          <w:rFonts w:eastAsia="Guttman Hodes"/>
          <w:rtl/>
        </w:rPr>
      </w:r>
      <w:r w:rsidRPr="00DB1D3B">
        <w:rPr>
          <w:rStyle w:val="af2"/>
          <w:rFonts w:eastAsia="Guttman Hodes"/>
          <w:rtl/>
        </w:rPr>
        <w:fldChar w:fldCharType="separate"/>
      </w:r>
      <w:r w:rsidR="00D82181">
        <w:rPr>
          <w:rStyle w:val="af2"/>
          <w:rFonts w:eastAsia="Guttman Hodes"/>
          <w:cs/>
        </w:rPr>
        <w:t>‎</w:t>
      </w:r>
      <w:r w:rsidR="00D82181">
        <w:rPr>
          <w:rStyle w:val="af2"/>
          <w:rFonts w:eastAsia="Guttman Hodes"/>
          <w:rtl/>
        </w:rPr>
        <w:t>כה)</w:t>
      </w:r>
      <w:r w:rsidRPr="00DB1D3B">
        <w:rPr>
          <w:rStyle w:val="af2"/>
          <w:rFonts w:eastAsia="Guttman Hodes"/>
          <w:rtl/>
        </w:rPr>
        <w:fldChar w:fldCharType="end"/>
      </w:r>
      <w:r>
        <w:rPr>
          <w:rFonts w:hint="cs"/>
          <w:rtl/>
        </w:rPr>
        <w:t xml:space="preserve"> דהעושה אוהל קבוע הוא תולדה דבונה וחייב, וכן העושה כלי אדמה כתנור וחבית לפני ששרפם דהוא תולדת בונה, ומבואר דכשחוקק קב בבקעת בכלי עץ אינו חייב, דדוקא בכלי אדמה שעושה כלי ע"י קיבוץ חלקים הוי תולדה דבונה ולא בחוקק בעץ, ורק בתוקע עץ בעץ דמקבץ חלקים חייב אף בכלים.</w:t>
      </w:r>
    </w:p>
    <w:p w14:paraId="1786C15F" w14:textId="77777777" w:rsidR="00376F67" w:rsidRPr="0074694D" w:rsidRDefault="00376F67" w:rsidP="00376F67">
      <w:pPr>
        <w:pStyle w:val="a2"/>
        <w:tabs>
          <w:tab w:val="num" w:pos="284"/>
        </w:tabs>
        <w:rPr>
          <w:vanish w:val="0"/>
          <w:rtl/>
        </w:rPr>
      </w:pPr>
      <w:r w:rsidRPr="0074694D">
        <w:rPr>
          <w:rtl/>
        </w:rPr>
        <w:t>וא"כ אם לוקח חתיכת עץ ועושה ממנה כלי ע"י שחקק בה קב אין בו דין בונה דאין בזה גדר בנין משום עשיית אוהל אבל התולדה השניה שמקבץ חלק אל חלק עד שנעשה גוף אחד דשייכא נמי במגבן פשיטא דאין נ"מ בזה בין ע"ג קרקע בין בכלים דלא גרע ממגבן, ולכן שפיר פסק הרמב"ם שהתוקע עץ בעץ עד שנתאחד ה"ז תולדת בונה, וכן ניחא שפיר גם מה שפסק הרמב"ם דוקא בעושה כלי אדמה כגון תנור וחבית דשם הוי בונה אבל בעושה כלי עץ שחקק קב בבקעת ועשהו כלי אינו חייב דדוקא בכלי אדמה שמדבק הרגבים כמו שפי' רש"י על הא דחייב ז' חטאות, ואם עשה כלי עץ ג"כ מעצים נפרדים כבר כתב אח"כ שהתוקע עץ בעץ ה"ז תולדת בונה משום דגדר מלאכת בנין בזה שמקבץ חלקים נפרדים ועושה גוף אחד שייך גם בכלים אבל גדר בנין בזה שעושה אוהל לא שייך בכלים ובזה אמרי' אין בנין בכלים</w:t>
      </w:r>
      <w:r w:rsidRPr="0074694D">
        <w:rPr>
          <w:rFonts w:hint="cs"/>
          <w:rtl/>
        </w:rPr>
        <w:t>.</w:t>
      </w:r>
    </w:p>
    <w:p w14:paraId="27B5092B" w14:textId="77777777" w:rsidR="00376F67" w:rsidRDefault="00376F67" w:rsidP="00376F67">
      <w:pPr>
        <w:pStyle w:val="a7"/>
        <w:rPr>
          <w:rtl/>
        </w:rPr>
      </w:pPr>
      <w:bookmarkStart w:id="4969" w:name="_Toc143767859"/>
      <w:bookmarkStart w:id="4970" w:name="_Toc143770680"/>
      <w:r>
        <w:rPr>
          <w:rFonts w:hint="cs"/>
          <w:rtl/>
        </w:rPr>
        <w:t>בי' האבהא"ז דבשופתא בקופינא מקבץ חלקים ובמיטה ברפוי ל"ה קיבוץ אלא אוהל דפטור בכלי</w:t>
      </w:r>
      <w:bookmarkEnd w:id="4969"/>
      <w:bookmarkEnd w:id="4970"/>
    </w:p>
    <w:p w14:paraId="672D7E2D" w14:textId="3F605FFD" w:rsidR="00376F67" w:rsidRDefault="00376F67" w:rsidP="00BC7DC8">
      <w:pPr>
        <w:pStyle w:val="a3"/>
      </w:pPr>
      <w:bookmarkStart w:id="4971" w:name="_Ref143421532"/>
      <w:r>
        <w:rPr>
          <w:rFonts w:hint="cs"/>
          <w:rtl/>
        </w:rPr>
        <w:t xml:space="preserve">והוסיף </w:t>
      </w:r>
      <w:r w:rsidRPr="00B90D00">
        <w:rPr>
          <w:rStyle w:val="aff4"/>
          <w:rFonts w:hint="cs"/>
          <w:vanish/>
          <w:rtl/>
        </w:rPr>
        <w:t>-</w:t>
      </w:r>
      <w:r w:rsidRPr="00C56FA9">
        <w:rPr>
          <w:rStyle w:val="aff4"/>
          <w:rFonts w:hint="cs"/>
          <w:rtl/>
        </w:rPr>
        <w:t>האבן האזל</w:t>
      </w:r>
      <w:r w:rsidRPr="00B90D00">
        <w:rPr>
          <w:rStyle w:val="aff4"/>
          <w:rFonts w:hint="cs"/>
          <w:vanish/>
          <w:rtl/>
        </w:rPr>
        <w:t>-</w:t>
      </w:r>
      <w:r>
        <w:rPr>
          <w:rFonts w:hint="cs"/>
          <w:rtl/>
        </w:rPr>
        <w:t xml:space="preserve"> דלדעת </w:t>
      </w:r>
      <w:r w:rsidRPr="00B90D00">
        <w:rPr>
          <w:rStyle w:val="aff4"/>
          <w:rFonts w:hint="cs"/>
          <w:vanish/>
          <w:rtl/>
        </w:rPr>
        <w:t>-</w:t>
      </w:r>
      <w:r w:rsidRPr="00C56FA9">
        <w:rPr>
          <w:rStyle w:val="aff4"/>
          <w:rFonts w:hint="cs"/>
          <w:rtl/>
        </w:rPr>
        <w:t>הרמב"ם</w:t>
      </w:r>
      <w:r w:rsidRPr="00B90D00">
        <w:rPr>
          <w:rStyle w:val="aff4"/>
          <w:rFonts w:hint="cs"/>
          <w:vanish/>
          <w:rtl/>
        </w:rPr>
        <w:t>-</w:t>
      </w:r>
      <w:r>
        <w:rPr>
          <w:rFonts w:hint="cs"/>
          <w:rtl/>
        </w:rPr>
        <w:t xml:space="preserve"> מיושבת קושית </w:t>
      </w:r>
      <w:r w:rsidRPr="00B90D00">
        <w:rPr>
          <w:rStyle w:val="aff4"/>
          <w:rFonts w:hint="cs"/>
          <w:vanish/>
          <w:rtl/>
        </w:rPr>
        <w:t>-</w:t>
      </w:r>
      <w:r w:rsidRPr="00C56FA9">
        <w:rPr>
          <w:rStyle w:val="aff4"/>
          <w:rFonts w:hint="cs"/>
          <w:rtl/>
        </w:rPr>
        <w:t>התוס'</w:t>
      </w:r>
      <w:r w:rsidRPr="00B90D00">
        <w:rPr>
          <w:rStyle w:val="aff4"/>
          <w:rFonts w:hint="cs"/>
          <w:vanish/>
          <w:rtl/>
        </w:rPr>
        <w:t>-</w:t>
      </w:r>
      <w:r>
        <w:rPr>
          <w:rFonts w:hint="cs"/>
          <w:rtl/>
        </w:rPr>
        <w:t xml:space="preserve"> </w:t>
      </w:r>
      <w:r w:rsidRPr="00DB1D3B">
        <w:rPr>
          <w:rStyle w:val="af2"/>
          <w:rFonts w:eastAsia="Guttman Hodes" w:hint="cs"/>
          <w:rtl/>
        </w:rPr>
        <w:t xml:space="preserve">(עי' אות </w:t>
      </w:r>
      <w:r w:rsidRPr="00DB1D3B">
        <w:rPr>
          <w:rStyle w:val="af2"/>
          <w:rFonts w:eastAsia="Guttman Hodes"/>
          <w:rtl/>
        </w:rPr>
        <w:fldChar w:fldCharType="begin"/>
      </w:r>
      <w:r w:rsidRPr="00DB1D3B">
        <w:rPr>
          <w:rStyle w:val="af2"/>
          <w:rFonts w:eastAsia="Guttman Hodes"/>
          <w:rtl/>
        </w:rPr>
        <w:instrText xml:space="preserve"> </w:instrText>
      </w:r>
      <w:r w:rsidRPr="00DB1D3B">
        <w:rPr>
          <w:rStyle w:val="af2"/>
          <w:rFonts w:eastAsia="Guttman Hodes" w:hint="cs"/>
        </w:rPr>
        <w:instrText>REF</w:instrText>
      </w:r>
      <w:r w:rsidRPr="00DB1D3B">
        <w:rPr>
          <w:rStyle w:val="af2"/>
          <w:rFonts w:eastAsia="Guttman Hodes" w:hint="cs"/>
          <w:rtl/>
        </w:rPr>
        <w:instrText xml:space="preserve"> _</w:instrText>
      </w:r>
      <w:r w:rsidRPr="00DB1D3B">
        <w:rPr>
          <w:rStyle w:val="af2"/>
          <w:rFonts w:eastAsia="Guttman Hodes" w:hint="cs"/>
        </w:rPr>
        <w:instrText>Ref143421447 \r \h</w:instrText>
      </w:r>
      <w:r w:rsidRPr="00DB1D3B">
        <w:rPr>
          <w:rStyle w:val="af2"/>
          <w:rFonts w:eastAsia="Guttman Hodes"/>
          <w:rtl/>
        </w:rPr>
        <w:instrText xml:space="preserve"> </w:instrText>
      </w:r>
      <w:r w:rsidRPr="00DB1D3B">
        <w:rPr>
          <w:rStyle w:val="af2"/>
          <w:rFonts w:eastAsia="Guttman Hodes"/>
          <w:rtl/>
        </w:rPr>
      </w:r>
      <w:r w:rsidRPr="00DB1D3B">
        <w:rPr>
          <w:rStyle w:val="af2"/>
          <w:rFonts w:eastAsia="Guttman Hodes"/>
          <w:rtl/>
        </w:rPr>
        <w:fldChar w:fldCharType="separate"/>
      </w:r>
      <w:r w:rsidR="00D82181">
        <w:rPr>
          <w:rStyle w:val="af2"/>
          <w:rFonts w:eastAsia="Guttman Hodes"/>
          <w:cs/>
        </w:rPr>
        <w:t>‎</w:t>
      </w:r>
      <w:r w:rsidR="00D82181">
        <w:rPr>
          <w:rStyle w:val="af2"/>
          <w:rFonts w:eastAsia="Guttman Hodes"/>
          <w:rtl/>
        </w:rPr>
        <w:t>ל)</w:t>
      </w:r>
      <w:r w:rsidRPr="00DB1D3B">
        <w:rPr>
          <w:rStyle w:val="af2"/>
          <w:rFonts w:eastAsia="Guttman Hodes"/>
          <w:rtl/>
        </w:rPr>
        <w:fldChar w:fldCharType="end"/>
      </w:r>
      <w:r>
        <w:rPr>
          <w:rFonts w:hint="cs"/>
          <w:rtl/>
        </w:rPr>
        <w:t xml:space="preserve"> דמ"ש הא דאמרינן דאין בנין בכלים במיטה של טרסיים, ממעייל </w:t>
      </w:r>
      <w:r>
        <w:rPr>
          <w:rFonts w:hint="cs"/>
          <w:rtl/>
        </w:rPr>
        <w:t xml:space="preserve">שופתא בקופינא דמרא, כיון דלדעת </w:t>
      </w:r>
      <w:r w:rsidRPr="00B90D00">
        <w:rPr>
          <w:rStyle w:val="aff4"/>
          <w:rFonts w:hint="cs"/>
          <w:vanish/>
          <w:rtl/>
        </w:rPr>
        <w:t>-</w:t>
      </w:r>
      <w:r w:rsidRPr="00C56FA9">
        <w:rPr>
          <w:rStyle w:val="aff4"/>
          <w:rFonts w:hint="cs"/>
          <w:rtl/>
        </w:rPr>
        <w:t>הרמב"ם</w:t>
      </w:r>
      <w:r w:rsidRPr="00B90D00">
        <w:rPr>
          <w:rStyle w:val="aff4"/>
          <w:rFonts w:hint="cs"/>
          <w:vanish/>
          <w:rtl/>
        </w:rPr>
        <w:t>-</w:t>
      </w:r>
      <w:r>
        <w:rPr>
          <w:rFonts w:hint="cs"/>
          <w:rtl/>
        </w:rPr>
        <w:t xml:space="preserve"> החיוב בתולדת בונה של קיבוץ חלקים הוא רק באופן שנעשו לדבר אחד, ולכן במיטה של טרסיים אם תקע בחוזק חייב, כדכתב </w:t>
      </w:r>
      <w:r w:rsidRPr="00B90D00">
        <w:rPr>
          <w:rStyle w:val="aff4"/>
          <w:rFonts w:hint="cs"/>
          <w:vanish/>
          <w:rtl/>
        </w:rPr>
        <w:t>-</w:t>
      </w:r>
      <w:r w:rsidRPr="00C56FA9">
        <w:rPr>
          <w:rStyle w:val="aff4"/>
          <w:rFonts w:hint="cs"/>
          <w:rtl/>
        </w:rPr>
        <w:t>הרמב"ם</w:t>
      </w:r>
      <w:r w:rsidRPr="00B90D00">
        <w:rPr>
          <w:rStyle w:val="aff4"/>
          <w:rFonts w:hint="cs"/>
          <w:vanish/>
          <w:rtl/>
        </w:rPr>
        <w:t>-</w:t>
      </w:r>
      <w:r>
        <w:rPr>
          <w:rFonts w:hint="cs"/>
          <w:rtl/>
        </w:rPr>
        <w:t xml:space="preserve"> </w:t>
      </w:r>
      <w:r w:rsidRPr="00DB1D3B">
        <w:rPr>
          <w:rStyle w:val="af2"/>
          <w:rFonts w:eastAsia="Guttman Hodes" w:hint="cs"/>
          <w:rtl/>
        </w:rPr>
        <w:t>(</w:t>
      </w:r>
      <w:r>
        <w:rPr>
          <w:rStyle w:val="af2"/>
          <w:rFonts w:eastAsia="Guttman Hodes" w:hint="cs"/>
          <w:rtl/>
        </w:rPr>
        <w:t>ש</w:t>
      </w:r>
      <w:r w:rsidRPr="005F08D7">
        <w:rPr>
          <w:rStyle w:val="af2"/>
          <w:rFonts w:eastAsia="Guttman Hodes"/>
          <w:rtl/>
        </w:rPr>
        <w:t>בת פכ"ב הכ"ו</w:t>
      </w:r>
      <w:r w:rsidRPr="00DB1D3B">
        <w:rPr>
          <w:rStyle w:val="af2"/>
          <w:rFonts w:eastAsia="Guttman Hodes" w:hint="cs"/>
          <w:rtl/>
        </w:rPr>
        <w:t>)</w:t>
      </w:r>
      <w:r>
        <w:rPr>
          <w:rFonts w:hint="cs"/>
          <w:rtl/>
        </w:rPr>
        <w:t xml:space="preserve"> דהוא בונה, וה"ה במעייל שופתא בקופינא דמרא, דכתב </w:t>
      </w:r>
      <w:r w:rsidRPr="00B90D00">
        <w:rPr>
          <w:rStyle w:val="aff4"/>
          <w:rFonts w:hint="cs"/>
          <w:vanish/>
          <w:rtl/>
        </w:rPr>
        <w:t>-</w:t>
      </w:r>
      <w:r w:rsidRPr="00C56FA9">
        <w:rPr>
          <w:rStyle w:val="aff4"/>
          <w:rFonts w:hint="cs"/>
          <w:rtl/>
        </w:rPr>
        <w:t>הרמב"ם</w:t>
      </w:r>
      <w:r w:rsidRPr="00B90D00">
        <w:rPr>
          <w:rStyle w:val="aff4"/>
          <w:rFonts w:hint="cs"/>
          <w:vanish/>
          <w:rtl/>
        </w:rPr>
        <w:t>-</w:t>
      </w:r>
      <w:r>
        <w:rPr>
          <w:rFonts w:hint="cs"/>
          <w:rtl/>
        </w:rPr>
        <w:t xml:space="preserve"> </w:t>
      </w:r>
      <w:r w:rsidRPr="00DB1D3B">
        <w:rPr>
          <w:rStyle w:val="af2"/>
          <w:rFonts w:eastAsia="Guttman Hodes" w:hint="cs"/>
          <w:rtl/>
        </w:rPr>
        <w:t xml:space="preserve">(עי' אות </w:t>
      </w:r>
      <w:r w:rsidRPr="00DB1D3B">
        <w:rPr>
          <w:rStyle w:val="af2"/>
          <w:rFonts w:eastAsia="Guttman Hodes"/>
          <w:rtl/>
        </w:rPr>
        <w:fldChar w:fldCharType="begin"/>
      </w:r>
      <w:r w:rsidRPr="00DB1D3B">
        <w:rPr>
          <w:rStyle w:val="af2"/>
          <w:rFonts w:eastAsia="Guttman Hodes"/>
          <w:rtl/>
        </w:rPr>
        <w:instrText xml:space="preserve"> </w:instrText>
      </w:r>
      <w:r w:rsidRPr="00DB1D3B">
        <w:rPr>
          <w:rStyle w:val="af2"/>
          <w:rFonts w:eastAsia="Guttman Hodes" w:hint="cs"/>
        </w:rPr>
        <w:instrText>REF</w:instrText>
      </w:r>
      <w:r w:rsidRPr="00DB1D3B">
        <w:rPr>
          <w:rStyle w:val="af2"/>
          <w:rFonts w:eastAsia="Guttman Hodes" w:hint="cs"/>
          <w:rtl/>
        </w:rPr>
        <w:instrText xml:space="preserve"> _</w:instrText>
      </w:r>
      <w:r w:rsidRPr="00DB1D3B">
        <w:rPr>
          <w:rStyle w:val="af2"/>
          <w:rFonts w:eastAsia="Guttman Hodes" w:hint="cs"/>
        </w:rPr>
        <w:instrText>Ref141956430 \r \h</w:instrText>
      </w:r>
      <w:r w:rsidRPr="00DB1D3B">
        <w:rPr>
          <w:rStyle w:val="af2"/>
          <w:rFonts w:eastAsia="Guttman Hodes"/>
          <w:rtl/>
        </w:rPr>
        <w:instrText xml:space="preserve"> </w:instrText>
      </w:r>
      <w:r w:rsidRPr="00DB1D3B">
        <w:rPr>
          <w:rStyle w:val="af2"/>
          <w:rFonts w:eastAsia="Guttman Hodes"/>
          <w:rtl/>
        </w:rPr>
      </w:r>
      <w:r w:rsidRPr="00DB1D3B">
        <w:rPr>
          <w:rStyle w:val="af2"/>
          <w:rFonts w:eastAsia="Guttman Hodes"/>
          <w:rtl/>
        </w:rPr>
        <w:fldChar w:fldCharType="separate"/>
      </w:r>
      <w:r w:rsidR="00D82181">
        <w:rPr>
          <w:rStyle w:val="af2"/>
          <w:rFonts w:eastAsia="Guttman Hodes"/>
          <w:cs/>
        </w:rPr>
        <w:t>‎</w:t>
      </w:r>
      <w:r w:rsidR="00D82181">
        <w:rPr>
          <w:rStyle w:val="af2"/>
          <w:rFonts w:eastAsia="Guttman Hodes"/>
          <w:rtl/>
        </w:rPr>
        <w:t>כה)</w:t>
      </w:r>
      <w:r w:rsidRPr="00DB1D3B">
        <w:rPr>
          <w:rStyle w:val="af2"/>
          <w:rFonts w:eastAsia="Guttman Hodes"/>
          <w:rtl/>
        </w:rPr>
        <w:fldChar w:fldCharType="end"/>
      </w:r>
      <w:r>
        <w:rPr>
          <w:rFonts w:hint="cs"/>
          <w:rtl/>
        </w:rPr>
        <w:t xml:space="preserve"> דהמגבן הוא תולדת בונה, וכן המכניס יד לקרדום, דהוי תולדת בונה וחייב, והיינו כיון דהם נעשים לכלי אחד, אבל במיטה של טרסיים בתקע ברפוי לא שייך לחייב בזה משום קיבוץ חלקים דאין בזה חיוב בכלים, וכל מה שאפשר לחייב הוא מחמת התולדה דעשיית אוהל, ובדין אוהל אמרינן דאין בנין וסתירה בכלים ולכן פטור.</w:t>
      </w:r>
    </w:p>
    <w:p w14:paraId="574E7018" w14:textId="77777777" w:rsidR="00376F67" w:rsidRPr="0074694D" w:rsidRDefault="00376F67" w:rsidP="00376F67">
      <w:pPr>
        <w:pStyle w:val="a2"/>
        <w:tabs>
          <w:tab w:val="num" w:pos="284"/>
        </w:tabs>
        <w:rPr>
          <w:vanish w:val="0"/>
          <w:rtl/>
        </w:rPr>
      </w:pPr>
      <w:r w:rsidRPr="0074694D">
        <w:rPr>
          <w:rtl/>
        </w:rPr>
        <w:t>אלא שנשאר לנו לבאר דא"כ מה שייך גבי מחזיר מטה של פרקים הא דאין בנין וסתירה בכלים כיון דשם עושה גוף אחד מאברים נפרדים, אלא דזה באמת נמי ניחא שפיר דלגבי הדין עשיית אוהל שבמלאכת בונה אין חילוק בין אם עשאו בחוזק או לא, דאם שטח האוהל אם רק נעשה לקבע לא לארעי חייב משום בונה, אבל התולדה השנית דמקבץ חלק אל חלק כתב הרמב"ם דדוקא עד שנעשה גוף אחד, וא"כ שפיר ניחא דגבי מחזיר מטה של פרקים אם תקע בחוזק הא אמרינן דחייב חטאת ופסק הרמב"ם דהוא משום בונה כמו שהבאנו, ורק ברפוי תלינן הא מילתא באין בנין בכלים, דאם היה בנין בכלים מתורת בנין ואוהל - לא מחמת הקיבוץ שאינו חייב אלא דוקא בעושה גוף אחד - אז לא היה שום נ"מ בין רפוי לתוקע בחוזק דעכ"פ כיון שהחזירה והיא עכשיו מטה באופן שאינה עראי הוי דינה כמו בונה בית שאין נ"מ בחוזק או רפוי דאיברא דלא נעשה גוף אחד עכ"פ לא גרע מעושה אוהל קבוע, אבל כיון דקיי"ל דאין בנין בכלים ולא שייכא בכלים תורת בנין ואוהל כלל לכן אין כאן בונה, אלא אם תקע בחוזק דאז חייב משום מחבר דחייב גם במגבן ותוקע עץ בעץ ושאר מילי כיון שנעשה גוף אחד, ומבואר דליכא עכשיו שום קושיא דמה שהביאו התוס' מעייל שופתא בקופינא דמרא שזהו מה שהביא הרמב"ם המכניס יד הקרדום בתוך העץ, שהוא בודאי משום מחבר דבר אל דבר ועושהו גוף א' ובזה אמרי' יש בנין בכלים כמו שכתבנו</w:t>
      </w:r>
      <w:r w:rsidRPr="0074694D">
        <w:rPr>
          <w:rFonts w:hint="cs"/>
          <w:rtl/>
        </w:rPr>
        <w:t>.</w:t>
      </w:r>
    </w:p>
    <w:p w14:paraId="772F2A33" w14:textId="77777777" w:rsidR="00376F67" w:rsidRPr="0056445A" w:rsidRDefault="00376F67" w:rsidP="00376F67">
      <w:pPr>
        <w:pStyle w:val="a7"/>
      </w:pPr>
      <w:bookmarkStart w:id="4972" w:name="_Toc143767860"/>
      <w:bookmarkStart w:id="4973" w:name="_Toc143770681"/>
      <w:r>
        <w:rPr>
          <w:rFonts w:hint="cs"/>
          <w:rtl/>
        </w:rPr>
        <w:t>בי' האבהא"ז ברמב"ם דבכלי זכוכית ל"ה קיבוץ חלקים והוי רק אוהל ובזה אין בנין בכלים</w:t>
      </w:r>
      <w:bookmarkEnd w:id="4972"/>
      <w:bookmarkEnd w:id="4973"/>
    </w:p>
    <w:p w14:paraId="6772CC6E" w14:textId="19E0DEA4" w:rsidR="00376F67" w:rsidRPr="0050042D" w:rsidRDefault="00376F67" w:rsidP="00BC7DC8">
      <w:pPr>
        <w:pStyle w:val="a3"/>
      </w:pPr>
      <w:bookmarkStart w:id="4974" w:name="_Ref143614581"/>
      <w:r>
        <w:rPr>
          <w:rFonts w:hint="cs"/>
          <w:rtl/>
        </w:rPr>
        <w:t xml:space="preserve">וכתב </w:t>
      </w:r>
      <w:r w:rsidRPr="001A2014">
        <w:rPr>
          <w:rStyle w:val="aff4"/>
          <w:rFonts w:hint="cs"/>
          <w:vanish/>
          <w:rtl/>
        </w:rPr>
        <w:t>-</w:t>
      </w:r>
      <w:r w:rsidRPr="001A2014">
        <w:rPr>
          <w:rStyle w:val="aff4"/>
          <w:rFonts w:hint="cs"/>
          <w:rtl/>
        </w:rPr>
        <w:t>האבן האזל</w:t>
      </w:r>
      <w:r w:rsidRPr="001A2014">
        <w:rPr>
          <w:rStyle w:val="aff4"/>
          <w:rFonts w:hint="cs"/>
          <w:vanish/>
          <w:rtl/>
        </w:rPr>
        <w:t>-</w:t>
      </w:r>
      <w:r>
        <w:rPr>
          <w:rFonts w:hint="cs"/>
          <w:rtl/>
        </w:rPr>
        <w:t xml:space="preserve"> דלפי"ז מיושבת גם קושית </w:t>
      </w:r>
      <w:r w:rsidRPr="00B90D00">
        <w:rPr>
          <w:rStyle w:val="aff4"/>
          <w:rFonts w:hint="cs"/>
          <w:vanish/>
          <w:rtl/>
        </w:rPr>
        <w:t>-</w:t>
      </w:r>
      <w:r w:rsidRPr="00C56FA9">
        <w:rPr>
          <w:rStyle w:val="aff4"/>
          <w:rFonts w:hint="cs"/>
          <w:rtl/>
        </w:rPr>
        <w:t>התוס'</w:t>
      </w:r>
      <w:r w:rsidRPr="00B90D00">
        <w:rPr>
          <w:rStyle w:val="aff4"/>
          <w:rFonts w:hint="cs"/>
          <w:vanish/>
          <w:rtl/>
        </w:rPr>
        <w:t>-</w:t>
      </w:r>
      <w:r>
        <w:rPr>
          <w:rFonts w:hint="cs"/>
          <w:rtl/>
        </w:rPr>
        <w:t xml:space="preserve"> </w:t>
      </w:r>
      <w:r w:rsidRPr="00DB1D3B">
        <w:rPr>
          <w:rStyle w:val="af2"/>
          <w:rFonts w:eastAsia="Guttman Hodes" w:hint="cs"/>
          <w:rtl/>
        </w:rPr>
        <w:t xml:space="preserve">(עי' אות </w:t>
      </w:r>
      <w:r w:rsidRPr="00DB1D3B">
        <w:rPr>
          <w:rStyle w:val="af2"/>
          <w:rFonts w:eastAsia="Guttman Hodes"/>
          <w:rtl/>
        </w:rPr>
        <w:fldChar w:fldCharType="begin"/>
      </w:r>
      <w:r w:rsidRPr="00DB1D3B">
        <w:rPr>
          <w:rStyle w:val="af2"/>
          <w:rFonts w:eastAsia="Guttman Hodes"/>
          <w:rtl/>
        </w:rPr>
        <w:instrText xml:space="preserve"> </w:instrText>
      </w:r>
      <w:r w:rsidRPr="00DB1D3B">
        <w:rPr>
          <w:rStyle w:val="af2"/>
          <w:rFonts w:eastAsia="Guttman Hodes" w:hint="cs"/>
        </w:rPr>
        <w:instrText>REF</w:instrText>
      </w:r>
      <w:r w:rsidRPr="00DB1D3B">
        <w:rPr>
          <w:rStyle w:val="af2"/>
          <w:rFonts w:eastAsia="Guttman Hodes" w:hint="cs"/>
          <w:rtl/>
        </w:rPr>
        <w:instrText xml:space="preserve"> _</w:instrText>
      </w:r>
      <w:r w:rsidRPr="00DB1D3B">
        <w:rPr>
          <w:rStyle w:val="af2"/>
          <w:rFonts w:eastAsia="Guttman Hodes" w:hint="cs"/>
        </w:rPr>
        <w:instrText>Ref143421447 \r \h</w:instrText>
      </w:r>
      <w:r w:rsidRPr="00DB1D3B">
        <w:rPr>
          <w:rStyle w:val="af2"/>
          <w:rFonts w:eastAsia="Guttman Hodes"/>
          <w:rtl/>
        </w:rPr>
        <w:instrText xml:space="preserve"> </w:instrText>
      </w:r>
      <w:r w:rsidRPr="00DB1D3B">
        <w:rPr>
          <w:rStyle w:val="af2"/>
          <w:rFonts w:eastAsia="Guttman Hodes"/>
          <w:rtl/>
        </w:rPr>
      </w:r>
      <w:r w:rsidRPr="00DB1D3B">
        <w:rPr>
          <w:rStyle w:val="af2"/>
          <w:rFonts w:eastAsia="Guttman Hodes"/>
          <w:rtl/>
        </w:rPr>
        <w:fldChar w:fldCharType="separate"/>
      </w:r>
      <w:r w:rsidR="00D82181">
        <w:rPr>
          <w:rStyle w:val="af2"/>
          <w:rFonts w:eastAsia="Guttman Hodes"/>
          <w:cs/>
        </w:rPr>
        <w:t>‎</w:t>
      </w:r>
      <w:r w:rsidR="00D82181">
        <w:rPr>
          <w:rStyle w:val="af2"/>
          <w:rFonts w:eastAsia="Guttman Hodes"/>
          <w:rtl/>
        </w:rPr>
        <w:t>ל)</w:t>
      </w:r>
      <w:r w:rsidRPr="00DB1D3B">
        <w:rPr>
          <w:rStyle w:val="af2"/>
          <w:rFonts w:eastAsia="Guttman Hodes"/>
          <w:rtl/>
        </w:rPr>
        <w:fldChar w:fldCharType="end"/>
      </w:r>
      <w:r>
        <w:rPr>
          <w:rFonts w:hint="cs"/>
          <w:rtl/>
        </w:rPr>
        <w:t xml:space="preserve"> ממנפח כלי זכוכית דאין בזה חיוב בונה דאינו מקבץ חלקים כלל, ואף שעושה את הכלי מחדש מ"מ אין בזה חיוב, דבתולדה דעשיית אוהל אין בנין בכלים.</w:t>
      </w:r>
      <w:bookmarkEnd w:id="4971"/>
      <w:bookmarkEnd w:id="4974"/>
      <w:r>
        <w:rPr>
          <w:rFonts w:hint="cs"/>
          <w:rtl/>
        </w:rPr>
        <w:t xml:space="preserve"> </w:t>
      </w:r>
    </w:p>
    <w:p w14:paraId="3A197300" w14:textId="77777777" w:rsidR="00376F67" w:rsidRPr="0074694D" w:rsidRDefault="00376F67" w:rsidP="00376F67">
      <w:pPr>
        <w:pStyle w:val="a2"/>
        <w:tabs>
          <w:tab w:val="num" w:pos="284"/>
        </w:tabs>
        <w:rPr>
          <w:vanish w:val="0"/>
          <w:rtl/>
        </w:rPr>
      </w:pPr>
      <w:r w:rsidRPr="0074694D">
        <w:rPr>
          <w:rtl/>
        </w:rPr>
        <w:t>אבל מנפח בכלי זכוכית דלא הוי מחבר ולא מקבץ אלא שבהנפוח עושה הכלי אף שעושה כלי מחדש מ"מ לא חייב משום בונה כמו שבארנו דגם עשה כלי מחדש ליכא תורת בנין.</w:t>
      </w:r>
    </w:p>
    <w:p w14:paraId="7D5D9512" w14:textId="77777777" w:rsidR="00376F67" w:rsidRPr="00160AF4" w:rsidRDefault="00376F67" w:rsidP="00376F67">
      <w:pPr>
        <w:pStyle w:val="afffff7"/>
        <w:rPr>
          <w:rtl/>
        </w:rPr>
      </w:pPr>
      <w:bookmarkStart w:id="4975" w:name="_Toc143767977"/>
      <w:bookmarkStart w:id="4976" w:name="_Toc163506165"/>
      <w:r w:rsidRPr="00160AF4">
        <w:rPr>
          <w:rFonts w:hint="cs"/>
          <w:rtl/>
        </w:rPr>
        <w:t xml:space="preserve">אבן האזל שבת פ"י הי"ז ד"ה </w:t>
      </w:r>
      <w:r>
        <w:rPr>
          <w:rFonts w:hint="cs"/>
          <w:rtl/>
        </w:rPr>
        <w:t>ולפי</w:t>
      </w:r>
      <w:bookmarkEnd w:id="4975"/>
      <w:bookmarkEnd w:id="4976"/>
    </w:p>
    <w:p w14:paraId="0A2CDE16" w14:textId="77777777" w:rsidR="00376F67" w:rsidRDefault="00376F67" w:rsidP="00376F67">
      <w:pPr>
        <w:pStyle w:val="a7"/>
        <w:rPr>
          <w:rtl/>
        </w:rPr>
      </w:pPr>
      <w:bookmarkStart w:id="4977" w:name="_Toc143767861"/>
      <w:bookmarkStart w:id="4978" w:name="_Toc143770682"/>
      <w:r>
        <w:rPr>
          <w:rFonts w:hint="cs"/>
          <w:rtl/>
        </w:rPr>
        <w:t>בי' האבהא"ז דגודלת שערה דמי לבנין כיון שיש בזה קיבוץ חלקים וילפי' דאף ברפוי חייב</w:t>
      </w:r>
      <w:bookmarkEnd w:id="4977"/>
      <w:bookmarkEnd w:id="4978"/>
    </w:p>
    <w:p w14:paraId="76509FEC" w14:textId="7F09B7D6" w:rsidR="00376F67" w:rsidRPr="00160AF4" w:rsidRDefault="00376F67" w:rsidP="00BC7DC8">
      <w:pPr>
        <w:pStyle w:val="a3"/>
      </w:pPr>
      <w:bookmarkStart w:id="4979" w:name="_Ref143529813"/>
      <w:r>
        <w:rPr>
          <w:rFonts w:hint="cs"/>
          <w:rtl/>
        </w:rPr>
        <w:t>ולפי"ז ביאר</w:t>
      </w:r>
      <w:r w:rsidRPr="00160AF4">
        <w:rPr>
          <w:rFonts w:asciiTheme="minorHAnsi" w:eastAsiaTheme="minorEastAsia" w:hAnsiTheme="minorHAnsi" w:cstheme="minorBidi"/>
          <w:sz w:val="22"/>
          <w:szCs w:val="22"/>
          <w:rtl/>
        </w:rPr>
        <w:t xml:space="preserve"> </w:t>
      </w:r>
      <w:r w:rsidRPr="002C7085">
        <w:rPr>
          <w:rStyle w:val="aff4"/>
          <w:vanish/>
          <w:rtl/>
        </w:rPr>
        <w:t>-</w:t>
      </w:r>
      <w:r w:rsidRPr="00D14328">
        <w:rPr>
          <w:rStyle w:val="aff4"/>
          <w:rtl/>
        </w:rPr>
        <w:t>ה</w:t>
      </w:r>
      <w:bookmarkStart w:id="4980" w:name="_Hlk143508321"/>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Ref143529813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עח)</w:t>
      </w:r>
      <w:r w:rsidRPr="00FF7D8F">
        <w:rPr>
          <w:rStyle w:val="aff4"/>
          <w:vanish/>
          <w:rtl/>
        </w:rPr>
        <w:fldChar w:fldCharType="end"/>
      </w:r>
      <w:r w:rsidRPr="00FF7D8F">
        <w:rPr>
          <w:rStyle w:val="aff4"/>
          <w:rFonts w:hint="cs"/>
          <w:vanish/>
          <w:rtl/>
        </w:rPr>
        <w:t xml:space="preserve"> &gt;</w:t>
      </w:r>
      <w:r w:rsidRPr="00D14328">
        <w:rPr>
          <w:rStyle w:val="aff4"/>
          <w:rtl/>
        </w:rPr>
        <w:t>אבן האזל</w:t>
      </w:r>
      <w:r w:rsidRPr="002C7085">
        <w:rPr>
          <w:rStyle w:val="aff4"/>
          <w:vanish/>
          <w:rtl/>
        </w:rPr>
        <w:t>-</w:t>
      </w:r>
      <w:r w:rsidRPr="00160AF4">
        <w:rPr>
          <w:rtl/>
        </w:rPr>
        <w:t xml:space="preserve"> </w:t>
      </w:r>
      <w:r w:rsidRPr="00DB1D3B">
        <w:rPr>
          <w:rStyle w:val="af2"/>
          <w:rFonts w:eastAsia="Guttman Hodes"/>
          <w:rtl/>
        </w:rPr>
        <w:t xml:space="preserve">(שבת פ"י הי"ז ד"ה </w:t>
      </w:r>
      <w:r w:rsidRPr="00DB1D3B">
        <w:rPr>
          <w:rStyle w:val="af2"/>
          <w:rFonts w:eastAsia="Guttman Hodes" w:hint="cs"/>
          <w:rtl/>
        </w:rPr>
        <w:t>ולפי</w:t>
      </w:r>
      <w:r w:rsidRPr="00DB1D3B">
        <w:rPr>
          <w:rStyle w:val="af2"/>
          <w:rFonts w:eastAsia="Guttman Hodes"/>
          <w:rtl/>
        </w:rPr>
        <w:t>)</w:t>
      </w:r>
      <w:r w:rsidRPr="002C7085">
        <w:rPr>
          <w:vanish/>
          <w:rtl/>
        </w:rPr>
        <w:t>=</w:t>
      </w:r>
      <w:bookmarkEnd w:id="4980"/>
      <w:r>
        <w:rPr>
          <w:rFonts w:hint="cs"/>
          <w:rtl/>
        </w:rPr>
        <w:t xml:space="preserve"> את הגמ' לעיל </w:t>
      </w:r>
      <w:r w:rsidRPr="00DB1D3B">
        <w:rPr>
          <w:rStyle w:val="af2"/>
          <w:rFonts w:eastAsia="Guttman Hodes" w:hint="cs"/>
          <w:rtl/>
        </w:rPr>
        <w:t>(צה.)</w:t>
      </w:r>
      <w:r>
        <w:rPr>
          <w:rFonts w:hint="cs"/>
          <w:rtl/>
        </w:rPr>
        <w:t xml:space="preserve"> דהגודלת את שערה חייבת משום בונה, כדכתיב "ויבן את הצלע", ולכאו' לא דמי כלל לבונה, </w:t>
      </w:r>
      <w:r w:rsidRPr="00A655AF">
        <w:rPr>
          <w:rStyle w:val="af"/>
          <w:rFonts w:hint="cs"/>
          <w:rtl/>
        </w:rPr>
        <w:t xml:space="preserve">[וכבר הקשה כן </w:t>
      </w:r>
      <w:r w:rsidRPr="001B1FAC">
        <w:rPr>
          <w:rStyle w:val="aff9"/>
          <w:rFonts w:hint="cs"/>
          <w:vanish/>
          <w:rtl/>
        </w:rPr>
        <w:t>-</w:t>
      </w:r>
      <w:r w:rsidRPr="00A655AF">
        <w:rPr>
          <w:rStyle w:val="aff9"/>
          <w:rFonts w:hint="cs"/>
          <w:rtl/>
        </w:rPr>
        <w:t>ה</w:t>
      </w:r>
      <w:r w:rsidRPr="00FF7D8F">
        <w:rPr>
          <w:rStyle w:val="aff9"/>
          <w:rFonts w:hint="cs"/>
          <w:vanish/>
          <w:rtl/>
        </w:rPr>
        <w:t>&lt; &gt;</w:t>
      </w:r>
      <w:r w:rsidRPr="00A655AF">
        <w:rPr>
          <w:rStyle w:val="aff9"/>
          <w:rFonts w:hint="cs"/>
          <w:rtl/>
        </w:rPr>
        <w:t>ריב"ש</w:t>
      </w:r>
      <w:r w:rsidRPr="001B1FAC">
        <w:rPr>
          <w:rStyle w:val="aff9"/>
          <w:rFonts w:hint="cs"/>
          <w:vanish/>
          <w:rtl/>
        </w:rPr>
        <w:t>-</w:t>
      </w:r>
      <w:r w:rsidRPr="00A655AF">
        <w:rPr>
          <w:rStyle w:val="af"/>
          <w:rFonts w:hint="cs"/>
          <w:rtl/>
        </w:rPr>
        <w:t xml:space="preserve"> </w:t>
      </w:r>
      <w:r w:rsidRPr="001B1FAC">
        <w:rPr>
          <w:rStyle w:val="aff0"/>
          <w:rFonts w:hint="cs"/>
          <w:rtl/>
        </w:rPr>
        <w:t>(</w:t>
      </w:r>
      <w:r w:rsidRPr="00B20E7F">
        <w:rPr>
          <w:rStyle w:val="aff0"/>
          <w:rFonts w:hint="cs"/>
          <w:rtl/>
        </w:rPr>
        <w:t>סי</w:t>
      </w:r>
      <w:r w:rsidRPr="001B1FAC">
        <w:rPr>
          <w:rStyle w:val="aff0"/>
          <w:rFonts w:hint="cs"/>
          <w:rtl/>
        </w:rPr>
        <w:t>'</w:t>
      </w:r>
      <w:r w:rsidRPr="00B20E7F">
        <w:rPr>
          <w:rStyle w:val="aff0"/>
          <w:rFonts w:hint="cs"/>
          <w:rtl/>
        </w:rPr>
        <w:t xml:space="preserve"> שצ"ד ד"ה וכבר ידמה</w:t>
      </w:r>
      <w:r w:rsidRPr="001B1FAC">
        <w:rPr>
          <w:rStyle w:val="aff0"/>
          <w:rFonts w:hint="cs"/>
          <w:rtl/>
        </w:rPr>
        <w:t>)</w:t>
      </w:r>
      <w:r w:rsidRPr="001B1FAC">
        <w:rPr>
          <w:rStyle w:val="af"/>
          <w:rFonts w:hint="cs"/>
          <w:vanish/>
          <w:rtl/>
        </w:rPr>
        <w:t>=</w:t>
      </w:r>
      <w:r w:rsidRPr="00A655AF">
        <w:rPr>
          <w:rStyle w:val="af"/>
          <w:rFonts w:hint="cs"/>
          <w:rtl/>
        </w:rPr>
        <w:t xml:space="preserve"> על דברי </w:t>
      </w:r>
      <w:r w:rsidRPr="00FF7D8F">
        <w:rPr>
          <w:rStyle w:val="af"/>
          <w:rFonts w:hint="cs"/>
          <w:vanish/>
          <w:rtl/>
        </w:rPr>
        <w:t>&lt; &gt;</w:t>
      </w:r>
      <w:r w:rsidRPr="001B1FAC">
        <w:rPr>
          <w:rStyle w:val="aff9"/>
          <w:rFonts w:hint="cs"/>
          <w:vanish/>
          <w:rtl/>
        </w:rPr>
        <w:t>-</w:t>
      </w:r>
      <w:r w:rsidRPr="00A655AF">
        <w:rPr>
          <w:rStyle w:val="aff9"/>
          <w:rFonts w:hint="cs"/>
          <w:rtl/>
        </w:rPr>
        <w:t>רש"י לקמן</w:t>
      </w:r>
      <w:r w:rsidRPr="001B1FAC">
        <w:rPr>
          <w:rStyle w:val="aff9"/>
          <w:rFonts w:hint="cs"/>
          <w:vanish/>
          <w:rtl/>
        </w:rPr>
        <w:t>-</w:t>
      </w:r>
      <w:r w:rsidRPr="00A655AF">
        <w:rPr>
          <w:rStyle w:val="af"/>
          <w:rFonts w:hint="cs"/>
          <w:rtl/>
        </w:rPr>
        <w:t xml:space="preserve"> </w:t>
      </w:r>
      <w:r w:rsidRPr="001B1FAC">
        <w:rPr>
          <w:rStyle w:val="aff0"/>
          <w:rFonts w:hint="cs"/>
          <w:rtl/>
        </w:rPr>
        <w:t>(צה. ד"ה וכן הפוקסת)</w:t>
      </w:r>
      <w:r w:rsidRPr="001B1FAC">
        <w:rPr>
          <w:rStyle w:val="af"/>
          <w:rFonts w:hint="cs"/>
          <w:vanish/>
          <w:rtl/>
        </w:rPr>
        <w:t>=</w:t>
      </w:r>
      <w:r w:rsidRPr="00A655AF">
        <w:rPr>
          <w:rStyle w:val="af"/>
          <w:rFonts w:hint="cs"/>
          <w:rtl/>
        </w:rPr>
        <w:t xml:space="preserve">, עי' במה שביאר </w:t>
      </w:r>
      <w:r w:rsidRPr="001B1FAC">
        <w:rPr>
          <w:rStyle w:val="aff9"/>
          <w:rFonts w:hint="cs"/>
          <w:vanish/>
          <w:rtl/>
        </w:rPr>
        <w:t>-</w:t>
      </w:r>
      <w:r w:rsidRPr="00A655AF">
        <w:rPr>
          <w:rStyle w:val="aff9"/>
          <w:rFonts w:hint="cs"/>
          <w:rtl/>
        </w:rPr>
        <w:t>הריב"ש</w:t>
      </w:r>
      <w:r w:rsidRPr="001B1FAC">
        <w:rPr>
          <w:rStyle w:val="aff9"/>
          <w:rFonts w:hint="cs"/>
          <w:vanish/>
          <w:rtl/>
        </w:rPr>
        <w:t>-</w:t>
      </w:r>
      <w:r w:rsidRPr="00A655AF">
        <w:rPr>
          <w:rStyle w:val="af"/>
          <w:rFonts w:hint="cs"/>
          <w:rtl/>
        </w:rPr>
        <w:t xml:space="preserve"> בזה עי' בהערה]</w:t>
      </w:r>
      <w:r>
        <w:rPr>
          <w:rStyle w:val="afff0"/>
          <w:rtl/>
        </w:rPr>
        <w:footnoteReference w:id="14"/>
      </w:r>
      <w:r w:rsidRPr="00385259">
        <w:rPr>
          <w:rStyle w:val="af"/>
          <w:rFonts w:hint="cs"/>
          <w:rtl/>
        </w:rPr>
        <w:t>,</w:t>
      </w:r>
      <w:r>
        <w:rPr>
          <w:rFonts w:hint="cs"/>
          <w:rtl/>
        </w:rPr>
        <w:t xml:space="preserve"> וכתב </w:t>
      </w:r>
      <w:r w:rsidRPr="002C7085">
        <w:rPr>
          <w:rStyle w:val="aff4"/>
          <w:rFonts w:hint="cs"/>
          <w:vanish/>
          <w:rtl/>
        </w:rPr>
        <w:t>-</w:t>
      </w:r>
      <w:r w:rsidRPr="00D14328">
        <w:rPr>
          <w:rStyle w:val="aff4"/>
          <w:rFonts w:hint="cs"/>
          <w:rtl/>
        </w:rPr>
        <w:t>האבן האזל</w:t>
      </w:r>
      <w:r w:rsidRPr="002C7085">
        <w:rPr>
          <w:rStyle w:val="aff4"/>
          <w:rFonts w:hint="cs"/>
          <w:vanish/>
          <w:rtl/>
        </w:rPr>
        <w:t>-</w:t>
      </w:r>
      <w:r>
        <w:rPr>
          <w:rFonts w:hint="cs"/>
          <w:rtl/>
        </w:rPr>
        <w:t xml:space="preserve"> דמ"מ כיון שיש בזה קיבוץ חלקים, דהיא מחברת דבר אל דבר שייך לומר דהוי בונה, אלא דצריך ילפותא כיון דאינה תוקעת בחוזקה ודמי יותר לאריגה, ומ"מ ילפינן דחשיב בנין.</w:t>
      </w:r>
      <w:bookmarkEnd w:id="4979"/>
      <w:r>
        <w:rPr>
          <w:rFonts w:hint="cs"/>
          <w:rtl/>
        </w:rPr>
        <w:t xml:space="preserve"> </w:t>
      </w:r>
      <w:r w:rsidRPr="00A655AF">
        <w:rPr>
          <w:rStyle w:val="af"/>
          <w:rFonts w:hint="cs"/>
          <w:rtl/>
        </w:rPr>
        <w:t xml:space="preserve">[ועי' </w:t>
      </w:r>
      <w:r w:rsidRPr="001B1FAC">
        <w:rPr>
          <w:rStyle w:val="aff9"/>
          <w:rFonts w:hint="cs"/>
          <w:vanish/>
          <w:rtl/>
        </w:rPr>
        <w:t>-</w:t>
      </w:r>
      <w:r w:rsidRPr="00A655AF">
        <w:rPr>
          <w:rStyle w:val="aff9"/>
          <w:rFonts w:hint="cs"/>
          <w:rtl/>
        </w:rPr>
        <w:t>ברש"י בכתובות</w:t>
      </w:r>
      <w:r w:rsidRPr="001B1FAC">
        <w:rPr>
          <w:rStyle w:val="aff9"/>
          <w:rFonts w:hint="cs"/>
          <w:vanish/>
          <w:rtl/>
        </w:rPr>
        <w:t>-</w:t>
      </w:r>
      <w:r w:rsidRPr="00A655AF">
        <w:rPr>
          <w:rStyle w:val="af"/>
          <w:rtl/>
        </w:rPr>
        <w:t xml:space="preserve"> </w:t>
      </w:r>
      <w:r w:rsidRPr="001B1FAC">
        <w:rPr>
          <w:rStyle w:val="aff0"/>
          <w:rFonts w:hint="cs"/>
          <w:rtl/>
        </w:rPr>
        <w:t xml:space="preserve">(עי' אות </w:t>
      </w:r>
      <w:r w:rsidRPr="001B1FAC">
        <w:rPr>
          <w:rStyle w:val="aff0"/>
          <w:rtl/>
        </w:rPr>
        <w:fldChar w:fldCharType="begin"/>
      </w:r>
      <w:r w:rsidRPr="001B1FAC">
        <w:rPr>
          <w:rStyle w:val="aff0"/>
          <w:rtl/>
        </w:rPr>
        <w:instrText xml:space="preserve"> </w:instrText>
      </w:r>
      <w:r w:rsidRPr="001B1FAC">
        <w:rPr>
          <w:rStyle w:val="aff0"/>
        </w:rPr>
        <w:instrText>REF</w:instrText>
      </w:r>
      <w:r w:rsidRPr="001B1FAC">
        <w:rPr>
          <w:rStyle w:val="aff0"/>
          <w:rtl/>
        </w:rPr>
        <w:instrText xml:space="preserve"> _</w:instrText>
      </w:r>
      <w:r w:rsidRPr="001B1FAC">
        <w:rPr>
          <w:rStyle w:val="aff0"/>
        </w:rPr>
        <w:instrText>Ref143460809 \r \h</w:instrText>
      </w:r>
      <w:r w:rsidRPr="001B1FAC">
        <w:rPr>
          <w:rStyle w:val="aff0"/>
          <w:rtl/>
        </w:rPr>
        <w:instrText xml:space="preserve"> </w:instrText>
      </w:r>
      <w:r w:rsidRPr="001B1FAC">
        <w:rPr>
          <w:rStyle w:val="aff0"/>
          <w:rtl/>
        </w:rPr>
      </w:r>
      <w:r w:rsidRPr="001B1FAC">
        <w:rPr>
          <w:rStyle w:val="aff0"/>
          <w:rtl/>
        </w:rPr>
        <w:fldChar w:fldCharType="separate"/>
      </w:r>
      <w:r w:rsidR="00D82181">
        <w:rPr>
          <w:rStyle w:val="aff0"/>
          <w:cs/>
        </w:rPr>
        <w:t>‎</w:t>
      </w:r>
      <w:r w:rsidR="00D82181">
        <w:rPr>
          <w:rStyle w:val="aff0"/>
          <w:rtl/>
        </w:rPr>
        <w:t>כג)</w:t>
      </w:r>
      <w:r w:rsidRPr="001B1FAC">
        <w:rPr>
          <w:rStyle w:val="aff0"/>
          <w:rtl/>
        </w:rPr>
        <w:fldChar w:fldCharType="end"/>
      </w:r>
      <w:r w:rsidRPr="00A655AF">
        <w:rPr>
          <w:rStyle w:val="af"/>
          <w:rFonts w:hint="cs"/>
          <w:rtl/>
        </w:rPr>
        <w:t xml:space="preserve"> דביאר דהילפותא מדכתיב "ויבן את הצלע", באה לחדש דיש בנין בבע"ח, ומשמע דהחידוש אינו מחמת דאינה תוקעת בחוזק</w:t>
      </w:r>
      <w:r w:rsidRPr="006D12D1">
        <w:rPr>
          <w:rStyle w:val="af"/>
          <w:rFonts w:hint="cs"/>
          <w:rtl/>
        </w:rPr>
        <w:t>].</w:t>
      </w:r>
    </w:p>
    <w:p w14:paraId="0E1407D7" w14:textId="77777777" w:rsidR="00376F67" w:rsidRPr="0074694D" w:rsidRDefault="00376F67" w:rsidP="00376F67">
      <w:pPr>
        <w:pStyle w:val="a2"/>
        <w:tabs>
          <w:tab w:val="num" w:pos="284"/>
        </w:tabs>
        <w:rPr>
          <w:vanish w:val="0"/>
          <w:rtl/>
        </w:rPr>
      </w:pPr>
      <w:r w:rsidRPr="0074694D">
        <w:rPr>
          <w:rtl/>
        </w:rPr>
        <w:t>ולפי האמור נבין היטב מה דאמרי' בגמ' דף צ"ה דגודלת חייב משום בונה משום דכתיב ויבן את הצלע מלמד שקילעה וכו' דבאמת קשה להבין דעכ"פ הא אין לזה שום דמיון למלאכת בונה, אבל לפי הנ"ל מיושב דבגודלת הוא מקבץ חלקים ומחבר דבר אל דבר, אלא דלא הוי תקיעה בחוזק ולא הוי דמיון בונה אלא דמיון אריגה, ושמעינן מהך קרא דקרוי בנין</w:t>
      </w:r>
      <w:r w:rsidRPr="0074694D">
        <w:rPr>
          <w:rFonts w:hint="cs"/>
          <w:rtl/>
        </w:rPr>
        <w:t>.</w:t>
      </w:r>
    </w:p>
    <w:p w14:paraId="317D742F" w14:textId="77777777" w:rsidR="00376F67" w:rsidRDefault="00376F67" w:rsidP="00376F67">
      <w:pPr>
        <w:pStyle w:val="a7"/>
        <w:rPr>
          <w:rtl/>
        </w:rPr>
      </w:pPr>
      <w:bookmarkStart w:id="4981" w:name="_Toc143767862"/>
      <w:bookmarkStart w:id="4982" w:name="_Toc143770683"/>
      <w:r>
        <w:rPr>
          <w:rFonts w:hint="cs"/>
          <w:rtl/>
        </w:rPr>
        <w:t>בי' האבהא"ז ברמב"ם דמורסא שהוא פתח מדין אוהל אין בו חיוב בתלוש ולכן ל"ה בונה</w:t>
      </w:r>
      <w:bookmarkEnd w:id="4981"/>
      <w:bookmarkEnd w:id="4982"/>
    </w:p>
    <w:p w14:paraId="34DF07F1" w14:textId="01F8ABB7" w:rsidR="00376F67" w:rsidRPr="00745EC9" w:rsidRDefault="00376F67" w:rsidP="00BC7DC8">
      <w:pPr>
        <w:pStyle w:val="a3"/>
      </w:pPr>
      <w:bookmarkStart w:id="4983" w:name="_Ref143614160"/>
      <w:r>
        <w:rPr>
          <w:rFonts w:hint="cs"/>
          <w:rtl/>
        </w:rPr>
        <w:t xml:space="preserve">והוסיף </w:t>
      </w:r>
      <w:r w:rsidRPr="002C7085">
        <w:rPr>
          <w:rStyle w:val="aff4"/>
          <w:rFonts w:hint="cs"/>
          <w:vanish/>
          <w:rtl/>
        </w:rPr>
        <w:t>-</w:t>
      </w:r>
      <w:r w:rsidRPr="00D14328">
        <w:rPr>
          <w:rStyle w:val="aff4"/>
          <w:rFonts w:hint="cs"/>
          <w:rtl/>
        </w:rPr>
        <w:t>האבן האזל</w:t>
      </w:r>
      <w:r w:rsidRPr="002C7085">
        <w:rPr>
          <w:rStyle w:val="aff4"/>
          <w:rFonts w:hint="cs"/>
          <w:vanish/>
          <w:rtl/>
        </w:rPr>
        <w:t>-</w:t>
      </w:r>
      <w:r>
        <w:rPr>
          <w:rFonts w:hint="cs"/>
          <w:rtl/>
        </w:rPr>
        <w:t xml:space="preserve"> דלפי"ז מבואר אמאי כתב </w:t>
      </w:r>
      <w:r w:rsidRPr="002C7085">
        <w:rPr>
          <w:rStyle w:val="aff4"/>
          <w:rFonts w:hint="cs"/>
          <w:vanish/>
          <w:rtl/>
        </w:rPr>
        <w:t>-</w:t>
      </w:r>
      <w:r w:rsidRPr="00D14328">
        <w:rPr>
          <w:rStyle w:val="aff4"/>
          <w:rFonts w:hint="cs"/>
          <w:rtl/>
        </w:rPr>
        <w:t>הרמב"ם</w:t>
      </w:r>
      <w:r w:rsidRPr="002C7085">
        <w:rPr>
          <w:rStyle w:val="aff4"/>
          <w:rFonts w:hint="cs"/>
          <w:vanish/>
          <w:rtl/>
        </w:rPr>
        <w:t>-</w:t>
      </w:r>
      <w:r>
        <w:rPr>
          <w:rFonts w:hint="cs"/>
          <w:rtl/>
        </w:rPr>
        <w:t xml:space="preserve"> </w:t>
      </w:r>
      <w:r w:rsidRPr="00DB1D3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Ref143463475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כד)</w:t>
      </w:r>
      <w:r>
        <w:rPr>
          <w:rStyle w:val="af2"/>
          <w:rFonts w:eastAsia="Guttman Hodes"/>
          <w:rtl/>
        </w:rPr>
        <w:fldChar w:fldCharType="end"/>
      </w:r>
      <w:r>
        <w:rPr>
          <w:rFonts w:hint="cs"/>
          <w:rtl/>
        </w:rPr>
        <w:t xml:space="preserve"> דמפיס מורסא חייב משום מכה בפטיש, ולא כתב </w:t>
      </w:r>
      <w:r w:rsidRPr="002C7085">
        <w:rPr>
          <w:rStyle w:val="aff4"/>
          <w:rFonts w:hint="cs"/>
          <w:vanish/>
          <w:rtl/>
        </w:rPr>
        <w:t>-</w:t>
      </w:r>
      <w:r w:rsidRPr="00D14328">
        <w:rPr>
          <w:rStyle w:val="aff4"/>
          <w:rFonts w:hint="cs"/>
          <w:rtl/>
        </w:rPr>
        <w:t>כרש"י</w:t>
      </w:r>
      <w:r w:rsidRPr="002C7085">
        <w:rPr>
          <w:rStyle w:val="aff4"/>
          <w:rFonts w:hint="cs"/>
          <w:vanish/>
          <w:rtl/>
        </w:rPr>
        <w:t>-</w:t>
      </w:r>
      <w:r>
        <w:rPr>
          <w:rFonts w:hint="cs"/>
          <w:rtl/>
        </w:rPr>
        <w:t xml:space="preserve"> </w:t>
      </w:r>
      <w:r w:rsidRPr="00DB1D3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Ref143460809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כג)</w:t>
      </w:r>
      <w:r>
        <w:rPr>
          <w:rStyle w:val="af2"/>
          <w:rFonts w:eastAsia="Guttman Hodes"/>
          <w:rtl/>
        </w:rPr>
        <w:fldChar w:fldCharType="end"/>
      </w:r>
      <w:r>
        <w:rPr>
          <w:rFonts w:hint="cs"/>
          <w:rtl/>
        </w:rPr>
        <w:t xml:space="preserve"> דחייב משום בונה על עשיית הפתח, כיון דהחיוב בפתח הוא מדין עושה אוהל, ואין חיוב אוהל בתלוש, וחיוב בונה בתלוש הוא רק בקיבוץ חלקים ובמורסא אין קיבוץ חלקים.</w:t>
      </w:r>
      <w:bookmarkEnd w:id="4983"/>
    </w:p>
    <w:p w14:paraId="6B406C5C" w14:textId="77777777" w:rsidR="00376F67" w:rsidRPr="0074694D" w:rsidRDefault="00376F67" w:rsidP="00376F67">
      <w:pPr>
        <w:pStyle w:val="a2"/>
        <w:tabs>
          <w:tab w:val="num" w:pos="284"/>
        </w:tabs>
        <w:rPr>
          <w:rStyle w:val="afff7"/>
          <w:vanish w:val="0"/>
          <w:rtl/>
        </w:rPr>
      </w:pPr>
      <w:r w:rsidRPr="0074694D">
        <w:rPr>
          <w:rtl/>
        </w:rPr>
        <w:t>עכ"פ מיושב שפיר מה דהרמב"ם לא מפרש על מפיס מורסא דהוי משום בונה דאף דעושה פתח אבל כיון דדין עשיית אוהל ליכא כלל בתלוש אלא רק גדר מקבץ חלק אל חלק והכא לא הוי מקבץ אלא עשיית אוהל ובתלוש לא מחייב, ולא שייך כאן להזכיר אם אדם הוי כקרקע דלגבי חיובי מלאכות שבת דילפינן ממשכן בעינן בנין בקרקע ממש ופשוט</w:t>
      </w:r>
      <w:r w:rsidRPr="0074694D">
        <w:rPr>
          <w:rFonts w:hint="cs"/>
          <w:rtl/>
        </w:rPr>
        <w:t>.</w:t>
      </w:r>
      <w:r w:rsidRPr="0074694D">
        <w:rPr>
          <w:rtl/>
        </w:rPr>
        <w:t xml:space="preserve"> </w:t>
      </w:r>
      <w:r w:rsidRPr="0074694D">
        <w:rPr>
          <w:rStyle w:val="afff7"/>
          <w:rtl/>
        </w:rPr>
        <w:t>(ובאמת הרמב"ם לא פסק כלל הא דגודלת חייב משום בונה אלא דבזה לא היה מיושב דהתם לא הוי מלאכת בונה אבל במפיס מורסא הא הוי עשיית פתח, וגם כונת רש"י בכתובות כן דמדר"א נשמע לרבנן דשייך דין בנין בבע"ח).</w:t>
      </w:r>
    </w:p>
    <w:p w14:paraId="2189EE06" w14:textId="77777777" w:rsidR="00376F67" w:rsidRDefault="00376F67" w:rsidP="00376F67">
      <w:pPr>
        <w:pStyle w:val="1"/>
        <w:rPr>
          <w:rtl/>
        </w:rPr>
      </w:pPr>
      <w:bookmarkStart w:id="4984" w:name="_Toc143767863"/>
      <w:bookmarkStart w:id="4985" w:name="_Toc143770684"/>
      <w:r>
        <w:rPr>
          <w:rFonts w:hint="cs"/>
          <w:rtl/>
        </w:rPr>
        <w:t>בי' הקה"י דמערה אב ותולדה</w:t>
      </w:r>
      <w:r w:rsidRPr="00853611">
        <w:rPr>
          <w:rFonts w:hint="cs"/>
          <w:rtl/>
        </w:rPr>
        <w:t xml:space="preserve"> </w:t>
      </w:r>
      <w:r>
        <w:rPr>
          <w:rFonts w:hint="cs"/>
          <w:rtl/>
        </w:rPr>
        <w:t>בקיבוץ חלקים ואוהל מחובר קצת</w:t>
      </w:r>
      <w:bookmarkEnd w:id="4984"/>
      <w:bookmarkEnd w:id="4985"/>
    </w:p>
    <w:p w14:paraId="437D2589" w14:textId="77777777" w:rsidR="00376F67" w:rsidRDefault="00376F67" w:rsidP="00376F67">
      <w:pPr>
        <w:pStyle w:val="afffff7"/>
        <w:rPr>
          <w:rtl/>
        </w:rPr>
      </w:pPr>
      <w:bookmarkStart w:id="4986" w:name="_Toc143767978"/>
      <w:bookmarkStart w:id="4987" w:name="_Toc163506166"/>
      <w:r>
        <w:rPr>
          <w:rFonts w:hint="cs"/>
          <w:rtl/>
        </w:rPr>
        <w:t>קהלות יעקב שבת סי' ל"ז ד"ה אבל לענ"ד</w:t>
      </w:r>
      <w:bookmarkEnd w:id="4986"/>
      <w:bookmarkEnd w:id="4987"/>
    </w:p>
    <w:p w14:paraId="3315CBF1" w14:textId="77777777" w:rsidR="00376F67" w:rsidRDefault="00376F67" w:rsidP="00376F67">
      <w:pPr>
        <w:pStyle w:val="a7"/>
        <w:rPr>
          <w:rtl/>
        </w:rPr>
      </w:pPr>
      <w:bookmarkStart w:id="4988" w:name="_Toc143767864"/>
      <w:bookmarkStart w:id="4989" w:name="_Toc143770685"/>
      <w:r>
        <w:rPr>
          <w:rFonts w:hint="cs"/>
          <w:rtl/>
        </w:rPr>
        <w:t>בי' הקה"י דדך בנין בקיבוץ חלקים וזה חיוב מגבן אך אינו תנאי בגדר בונה ואף מערה בנין גמור</w:t>
      </w:r>
      <w:bookmarkEnd w:id="4988"/>
      <w:bookmarkEnd w:id="4989"/>
    </w:p>
    <w:p w14:paraId="663DA7DA" w14:textId="245AB480" w:rsidR="00376F67" w:rsidRDefault="00376F67" w:rsidP="00BC7DC8">
      <w:pPr>
        <w:pStyle w:val="a3"/>
        <w:rPr>
          <w:rtl/>
        </w:rPr>
      </w:pPr>
      <w:bookmarkStart w:id="4990" w:name="_Ref143613976"/>
      <w:bookmarkStart w:id="4991" w:name="_Ref141176702"/>
      <w:r>
        <w:rPr>
          <w:rFonts w:hint="cs"/>
          <w:rtl/>
        </w:rPr>
        <w:t xml:space="preserve">עי' במה שהקשה </w:t>
      </w:r>
      <w:r w:rsidRPr="001A2014">
        <w:rPr>
          <w:rStyle w:val="aff4"/>
          <w:rFonts w:hint="cs"/>
          <w:vanish/>
          <w:rtl/>
        </w:rPr>
        <w:t>-</w:t>
      </w:r>
      <w:r w:rsidRPr="001A2014">
        <w:rPr>
          <w:rStyle w:val="aff4"/>
          <w:rFonts w:hint="cs"/>
          <w:rtl/>
        </w:rPr>
        <w:t>הקהלות יעקב</w:t>
      </w:r>
      <w:r w:rsidRPr="001A2014">
        <w:rPr>
          <w:rStyle w:val="aff4"/>
          <w:rFonts w:hint="cs"/>
          <w:vanish/>
          <w:rtl/>
        </w:rPr>
        <w:t>-</w:t>
      </w:r>
      <w:r>
        <w:rPr>
          <w:rFonts w:hint="cs"/>
          <w:rtl/>
        </w:rPr>
        <w:t xml:space="preserve"> </w:t>
      </w:r>
      <w:r w:rsidRPr="00DB3EE4">
        <w:rPr>
          <w:rStyle w:val="af2"/>
          <w:rFonts w:eastAsia="Guttman Hodes" w:hint="cs"/>
          <w:rtl/>
        </w:rPr>
        <w:t xml:space="preserve">(עי' אות </w:t>
      </w:r>
      <w:r w:rsidRPr="00DB3EE4">
        <w:rPr>
          <w:rStyle w:val="af2"/>
          <w:rFonts w:eastAsia="Guttman Hodes"/>
          <w:rtl/>
        </w:rPr>
        <w:fldChar w:fldCharType="begin"/>
      </w:r>
      <w:r w:rsidRPr="00DB3EE4">
        <w:rPr>
          <w:rStyle w:val="af2"/>
          <w:rFonts w:eastAsia="Guttman Hodes"/>
          <w:rtl/>
        </w:rPr>
        <w:instrText xml:space="preserve"> </w:instrText>
      </w:r>
      <w:r w:rsidRPr="00DB3EE4">
        <w:rPr>
          <w:rStyle w:val="af2"/>
          <w:rFonts w:eastAsia="Guttman Hodes" w:hint="cs"/>
        </w:rPr>
        <w:instrText>REF</w:instrText>
      </w:r>
      <w:r w:rsidRPr="00DB3EE4">
        <w:rPr>
          <w:rStyle w:val="af2"/>
          <w:rFonts w:eastAsia="Guttman Hodes" w:hint="cs"/>
          <w:rtl/>
        </w:rPr>
        <w:instrText xml:space="preserve"> _</w:instrText>
      </w:r>
      <w:r w:rsidRPr="00DB3EE4">
        <w:rPr>
          <w:rStyle w:val="af2"/>
          <w:rFonts w:eastAsia="Guttman Hodes" w:hint="cs"/>
        </w:rPr>
        <w:instrText>Ref143611665 \r \h</w:instrText>
      </w:r>
      <w:r w:rsidRPr="00DB3EE4">
        <w:rPr>
          <w:rStyle w:val="af2"/>
          <w:rFonts w:eastAsia="Guttman Hodes"/>
          <w:rtl/>
        </w:rPr>
        <w:instrText xml:space="preserve"> </w:instrText>
      </w:r>
      <w:r w:rsidRPr="00DB3EE4">
        <w:rPr>
          <w:rStyle w:val="af2"/>
          <w:rFonts w:eastAsia="Guttman Hodes"/>
          <w:rtl/>
        </w:rPr>
      </w:r>
      <w:r w:rsidRPr="00DB3EE4">
        <w:rPr>
          <w:rStyle w:val="af2"/>
          <w:rFonts w:eastAsia="Guttman Hodes"/>
          <w:rtl/>
        </w:rPr>
        <w:fldChar w:fldCharType="separate"/>
      </w:r>
      <w:r w:rsidR="00D82181">
        <w:rPr>
          <w:rStyle w:val="af2"/>
          <w:rFonts w:eastAsia="Guttman Hodes"/>
          <w:cs/>
        </w:rPr>
        <w:t>‎</w:t>
      </w:r>
      <w:r w:rsidR="00D82181">
        <w:rPr>
          <w:rStyle w:val="af2"/>
          <w:rFonts w:eastAsia="Guttman Hodes"/>
          <w:rtl/>
        </w:rPr>
        <w:t>ע)</w:t>
      </w:r>
      <w:r w:rsidRPr="00DB3EE4">
        <w:rPr>
          <w:rStyle w:val="af2"/>
          <w:rFonts w:eastAsia="Guttman Hodes"/>
          <w:rtl/>
        </w:rPr>
        <w:fldChar w:fldCharType="end"/>
      </w:r>
      <w:r>
        <w:rPr>
          <w:rFonts w:hint="cs"/>
          <w:rtl/>
        </w:rPr>
        <w:t xml:space="preserve"> על </w:t>
      </w:r>
      <w:r w:rsidRPr="001A2014">
        <w:rPr>
          <w:rStyle w:val="aff4"/>
          <w:rFonts w:hint="cs"/>
          <w:vanish/>
          <w:rtl/>
        </w:rPr>
        <w:t>-</w:t>
      </w:r>
      <w:r w:rsidRPr="001A2014">
        <w:rPr>
          <w:rStyle w:val="aff4"/>
          <w:rFonts w:hint="cs"/>
          <w:rtl/>
        </w:rPr>
        <w:t>האבן האזל</w:t>
      </w:r>
      <w:r w:rsidRPr="001A2014">
        <w:rPr>
          <w:rStyle w:val="aff4"/>
          <w:rFonts w:hint="cs"/>
          <w:vanish/>
          <w:rtl/>
        </w:rPr>
        <w:t>-</w:t>
      </w:r>
      <w:r>
        <w:rPr>
          <w:rFonts w:hint="cs"/>
          <w:rtl/>
        </w:rPr>
        <w:t xml:space="preserve"> דדוחק לומר דבמוסיף על בנין גמור לעולם הוא בונה ממש, ואוהל קבוע הוא תולדה רק בדבר שאין בו קיבוץ חלקים כלל, כגון העושה מערה, דהא סתם אוהל הוא פורס בגד או עור, אלא ביאר </w:t>
      </w:r>
      <w:r w:rsidRPr="00886681">
        <w:rPr>
          <w:rStyle w:val="aff4"/>
          <w:rFonts w:hint="cs"/>
          <w:vanish/>
          <w:rtl/>
        </w:rPr>
        <w:t>-</w:t>
      </w:r>
      <w:r w:rsidRPr="001A2014">
        <w:rPr>
          <w:rStyle w:val="aff4"/>
          <w:rFonts w:hint="cs"/>
          <w:rtl/>
        </w:rPr>
        <w:t>ה</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Ref141176702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פ)</w:t>
      </w:r>
      <w:r w:rsidRPr="00FF7D8F">
        <w:rPr>
          <w:rStyle w:val="aff4"/>
          <w:vanish/>
          <w:rtl/>
        </w:rPr>
        <w:fldChar w:fldCharType="end"/>
      </w:r>
      <w:r w:rsidRPr="00FF7D8F">
        <w:rPr>
          <w:rStyle w:val="aff4"/>
          <w:rFonts w:hint="cs"/>
          <w:vanish/>
          <w:rtl/>
        </w:rPr>
        <w:t xml:space="preserve"> &gt;</w:t>
      </w:r>
      <w:r w:rsidRPr="001A2014">
        <w:rPr>
          <w:rStyle w:val="aff4"/>
          <w:rFonts w:hint="cs"/>
          <w:rtl/>
        </w:rPr>
        <w:t>קהלות יעקב</w:t>
      </w:r>
      <w:r w:rsidRPr="00886681">
        <w:rPr>
          <w:rStyle w:val="aff4"/>
          <w:rFonts w:hint="cs"/>
          <w:vanish/>
          <w:rtl/>
        </w:rPr>
        <w:t>-</w:t>
      </w:r>
      <w:r>
        <w:rPr>
          <w:rFonts w:hint="cs"/>
          <w:rtl/>
        </w:rPr>
        <w:t xml:space="preserve"> </w:t>
      </w:r>
      <w:r w:rsidRPr="00DB1D3B">
        <w:rPr>
          <w:rStyle w:val="af2"/>
          <w:rFonts w:eastAsia="Guttman Hodes" w:hint="cs"/>
          <w:rtl/>
        </w:rPr>
        <w:t>(סי' ל"ז ד"ה אבל לענ"ד)</w:t>
      </w:r>
      <w:r w:rsidRPr="00886681">
        <w:rPr>
          <w:rFonts w:hint="cs"/>
          <w:vanish/>
          <w:rtl/>
        </w:rPr>
        <w:t>=</w:t>
      </w:r>
      <w:r>
        <w:rPr>
          <w:rFonts w:hint="cs"/>
          <w:rtl/>
        </w:rPr>
        <w:t xml:space="preserve"> דאף דדרך בנין היא בקיבוץ חלקים לעשותם לגוש אחד, ולכן אף מגבן הוא תולדה דבונה, מ"מ בעיקר גדר בונה </w:t>
      </w:r>
      <w:r>
        <w:rPr>
          <w:rFonts w:hint="cs"/>
          <w:rtl/>
        </w:rPr>
        <w:lastRenderedPageBreak/>
        <w:t>אין תנאי של קיבוץ חלקים, ואף העושה מערה שאין בו קיבוץ חלקים כלל הוא בונה גמור.</w:t>
      </w:r>
      <w:bookmarkEnd w:id="4990"/>
    </w:p>
    <w:p w14:paraId="665D4516" w14:textId="77777777" w:rsidR="00376F67" w:rsidRPr="0074694D" w:rsidRDefault="00376F67" w:rsidP="00376F67">
      <w:pPr>
        <w:pStyle w:val="a2"/>
        <w:tabs>
          <w:tab w:val="num" w:pos="284"/>
        </w:tabs>
        <w:rPr>
          <w:vanish w:val="0"/>
        </w:rPr>
      </w:pPr>
      <w:r w:rsidRPr="0074694D">
        <w:rPr>
          <w:rFonts w:hint="cs"/>
          <w:rtl/>
        </w:rPr>
        <w:t>אבל</w:t>
      </w:r>
      <w:r w:rsidRPr="0074694D">
        <w:rPr>
          <w:rtl/>
        </w:rPr>
        <w:t xml:space="preserve"> לענ"ד בלא"ה אתי שפיר על נכון דהן אמת שענין בונה ע"פ הנהוג תדיר הוא ע"י קיבוץ חלקים הרבה לעשותן גוש אחד ומשו"ה כל קיבוץ חלקים לגוף א' הוי תולדת בונה מ"מ אין זה תנאי בעיקר גדר האב מלאכה דבונה שיהי' דוקא ע"י קיבוץ חלקים הרבה וגם העושה מערה נחשב בונה ממש אע"פ שהוא בלא קיבוץ חלקים</w:t>
      </w:r>
      <w:r w:rsidRPr="0074694D">
        <w:rPr>
          <w:rFonts w:hint="cs"/>
          <w:rtl/>
        </w:rPr>
        <w:t>.</w:t>
      </w:r>
    </w:p>
    <w:p w14:paraId="2330569A" w14:textId="77777777" w:rsidR="00376F67" w:rsidRPr="00CE25FB" w:rsidRDefault="00376F67" w:rsidP="00376F67">
      <w:pPr>
        <w:pStyle w:val="a7"/>
      </w:pPr>
      <w:bookmarkStart w:id="4992" w:name="_Toc143767865"/>
      <w:bookmarkStart w:id="4993" w:name="_Toc143770686"/>
      <w:r>
        <w:rPr>
          <w:rFonts w:hint="cs"/>
          <w:rtl/>
        </w:rPr>
        <w:t>בי' הקה"י דאוהל קבוע הוי תולדה כיון דאינו חיבור גמור לקרקע ואפשר לשולפו ולבטלו</w:t>
      </w:r>
      <w:bookmarkEnd w:id="4992"/>
      <w:bookmarkEnd w:id="4993"/>
    </w:p>
    <w:p w14:paraId="10772438" w14:textId="34429549" w:rsidR="00376F67" w:rsidRPr="00277CE6" w:rsidRDefault="00376F67" w:rsidP="00BC7DC8">
      <w:pPr>
        <w:pStyle w:val="a3"/>
      </w:pPr>
      <w:r>
        <w:rPr>
          <w:rFonts w:hint="cs"/>
          <w:rtl/>
        </w:rPr>
        <w:t xml:space="preserve">וביאר </w:t>
      </w:r>
      <w:r w:rsidRPr="001A2014">
        <w:rPr>
          <w:rStyle w:val="aff4"/>
          <w:rFonts w:hint="cs"/>
          <w:vanish/>
          <w:rtl/>
        </w:rPr>
        <w:t>-</w:t>
      </w:r>
      <w:r w:rsidRPr="001A2014">
        <w:rPr>
          <w:rStyle w:val="aff4"/>
          <w:rFonts w:hint="cs"/>
          <w:rtl/>
        </w:rPr>
        <w:t>הקהלות יעקב</w:t>
      </w:r>
      <w:r w:rsidRPr="001A2014">
        <w:rPr>
          <w:rStyle w:val="aff4"/>
          <w:rFonts w:hint="cs"/>
          <w:vanish/>
          <w:rtl/>
        </w:rPr>
        <w:t>-</w:t>
      </w:r>
      <w:r>
        <w:rPr>
          <w:rFonts w:hint="cs"/>
          <w:rtl/>
        </w:rPr>
        <w:t xml:space="preserve"> דמ"ש </w:t>
      </w:r>
      <w:r w:rsidRPr="00886681">
        <w:rPr>
          <w:rStyle w:val="aff4"/>
          <w:rFonts w:hint="cs"/>
          <w:vanish/>
          <w:rtl/>
        </w:rPr>
        <w:t>-</w:t>
      </w:r>
      <w:r w:rsidRPr="001A2014">
        <w:rPr>
          <w:rStyle w:val="aff4"/>
          <w:rFonts w:hint="cs"/>
          <w:rtl/>
        </w:rPr>
        <w:t>הרמב"ם</w:t>
      </w:r>
      <w:r w:rsidRPr="00886681">
        <w:rPr>
          <w:rStyle w:val="aff4"/>
          <w:rFonts w:hint="cs"/>
          <w:vanish/>
          <w:rtl/>
        </w:rPr>
        <w:t>-</w:t>
      </w:r>
      <w:r>
        <w:rPr>
          <w:rFonts w:hint="cs"/>
          <w:rtl/>
        </w:rPr>
        <w:t xml:space="preserve"> </w:t>
      </w:r>
      <w:r w:rsidRPr="00DB1D3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Ref143549459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כה)</w:t>
      </w:r>
      <w:r>
        <w:rPr>
          <w:rStyle w:val="af2"/>
          <w:rFonts w:eastAsia="Guttman Hodes"/>
          <w:rtl/>
        </w:rPr>
        <w:fldChar w:fldCharType="end"/>
      </w:r>
      <w:r>
        <w:rPr>
          <w:rFonts w:hint="cs"/>
          <w:rtl/>
        </w:rPr>
        <w:t xml:space="preserve"> דאוהל הוא תולדה הוא כיון דגדר המלאכה הוא בבנין המחובר לקרקע,</w:t>
      </w:r>
      <w:bookmarkEnd w:id="4991"/>
      <w:r>
        <w:rPr>
          <w:rFonts w:hint="cs"/>
          <w:rtl/>
        </w:rPr>
        <w:t xml:space="preserve"> וכדמשמע מדברי </w:t>
      </w:r>
      <w:r w:rsidRPr="00886681">
        <w:rPr>
          <w:rStyle w:val="aff4"/>
          <w:rFonts w:hint="cs"/>
          <w:vanish/>
          <w:rtl/>
        </w:rPr>
        <w:t>-</w:t>
      </w:r>
      <w:r w:rsidRPr="001A2014">
        <w:rPr>
          <w:rStyle w:val="aff4"/>
          <w:rFonts w:hint="cs"/>
          <w:rtl/>
        </w:rPr>
        <w:t>הרמב"ם</w:t>
      </w:r>
      <w:r w:rsidRPr="00886681">
        <w:rPr>
          <w:rStyle w:val="aff4"/>
          <w:rFonts w:hint="cs"/>
          <w:vanish/>
          <w:rtl/>
        </w:rPr>
        <w:t>-</w:t>
      </w:r>
      <w:r>
        <w:rPr>
          <w:rFonts w:hint="cs"/>
          <w:rtl/>
        </w:rPr>
        <w:t xml:space="preserve"> </w:t>
      </w:r>
      <w:r w:rsidRPr="00DB1D3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Ref143550628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ה)</w:t>
      </w:r>
      <w:r>
        <w:rPr>
          <w:rStyle w:val="af2"/>
          <w:rFonts w:eastAsia="Guttman Hodes"/>
          <w:rtl/>
        </w:rPr>
        <w:fldChar w:fldCharType="end"/>
      </w:r>
      <w:r>
        <w:rPr>
          <w:rFonts w:hint="cs"/>
          <w:rtl/>
        </w:rPr>
        <w:t xml:space="preserve"> דכתב דהבונה ע"ג כלים פטור, וא"כ אפש"ל דהפורס אוהל קבוע ע"ג הקרקע אך לא קשרו לקרקע בקשר חזק, אף דחייב מ"מ הוי רק תולדה, כיון שהוא בנין ע"ג הקרקע אך אינו מחובר ממש לקרקע, ויכול לשלוף אותו ולבטל את האוהל, וכמבואר בגמ' לקמן </w:t>
      </w:r>
      <w:r w:rsidRPr="00DB1D3B">
        <w:rPr>
          <w:rStyle w:val="af2"/>
          <w:rFonts w:eastAsia="Guttman Hodes" w:hint="cs"/>
          <w:rtl/>
        </w:rPr>
        <w:t>(קלח.)</w:t>
      </w:r>
      <w:r>
        <w:rPr>
          <w:rFonts w:hint="cs"/>
          <w:rtl/>
        </w:rPr>
        <w:t xml:space="preserve"> דאסור לפרוס גוד או כילה ואם פרס פטור אבל אסור, ובאוהל קבוע חייב חטאת, וכתב </w:t>
      </w:r>
      <w:r w:rsidRPr="00886681">
        <w:rPr>
          <w:rStyle w:val="aff4"/>
          <w:rFonts w:hint="cs"/>
          <w:vanish/>
          <w:rtl/>
        </w:rPr>
        <w:t>-</w:t>
      </w:r>
      <w:r w:rsidRPr="001A2014">
        <w:rPr>
          <w:rStyle w:val="aff4"/>
          <w:rFonts w:hint="cs"/>
          <w:rtl/>
        </w:rPr>
        <w:t>הקהלות יעקב</w:t>
      </w:r>
      <w:r w:rsidRPr="00886681">
        <w:rPr>
          <w:rStyle w:val="aff4"/>
          <w:rFonts w:hint="cs"/>
          <w:vanish/>
          <w:rtl/>
        </w:rPr>
        <w:t>-</w:t>
      </w:r>
      <w:r>
        <w:rPr>
          <w:rFonts w:hint="cs"/>
          <w:rtl/>
        </w:rPr>
        <w:t xml:space="preserve"> דכוונת הגמ' באוהל קבוע הוא כעין כילה אלא שעושהו כן לקביעות, וא"כ מבואר דאף שאינו מחובר לקרקע חייב חטאת, אך מ"מ אפש"ל דהוי תולדה כיון דאינו מחובר לקרקע.</w:t>
      </w:r>
    </w:p>
    <w:p w14:paraId="45B53CC1" w14:textId="77777777" w:rsidR="00376F67" w:rsidRPr="0074694D" w:rsidRDefault="00376F67" w:rsidP="00376F67">
      <w:pPr>
        <w:pStyle w:val="a2"/>
        <w:tabs>
          <w:tab w:val="num" w:pos="284"/>
        </w:tabs>
        <w:rPr>
          <w:vanish w:val="0"/>
        </w:rPr>
      </w:pPr>
      <w:r w:rsidRPr="0074694D">
        <w:rPr>
          <w:rtl/>
        </w:rPr>
        <w:t>מש"כ הרמב"ם ז"ל העושה אוהל קבוע ה"ז תולדת בונה ולא חשיב לה בונה ממש נראה שהוא מטעם אחר דגדר האב מלאכה דבונה הוא במחבר לקרקע שיסוד בנין הוא חיבורו לקרקע אבל העושה אוהל קבע כגון פורס סדין על עמודים ועשאן לשם קביעות אלא שלא חיברן לקרקע בקשר אמיץ ונעשה באופן שאם ירצה יכול למשלפינהו ולבטל האוהל אין זה אב מלאכה רק תולדה ומקור דין זה דאוהל קבע חייב משום בונה הוא מסוגיא דשבת קל"ח דקחשיב הגוד ומשמרת כילה וכסא גלין לא יעשה ואם עשה פטור אבל אסור אוהל קבע לא יעשה ואם עשה חייב חטאת והיינו נמי כעין כילה אלא שכוונתו לשם קבע שיתקיים כן תדיר ויש בגגו טפח ועי' פכ"ב הכ"ג דקחשיב אוהל עראי כשאין בגגו טפח ע"ש אבל כשיש דפנות ויש בגגו טפח לשם קבע משמע דחייב אע"פ שאינו מחובר לקרקע ואוהל קבע כזה שפיר לא הוי אלא תולדה כיון שאינו מחובר לקרקע כנלענ"ד אמיתות הדברים בעה"י וכן מבואר בהרמב"ם ז"ל שם הי"ב והבונה על גבו כלים פטור עכ"ל והיינו משום שאין</w:t>
      </w:r>
      <w:r w:rsidRPr="0074694D">
        <w:rPr>
          <w:rFonts w:hint="cs"/>
          <w:rtl/>
        </w:rPr>
        <w:t xml:space="preserve"> </w:t>
      </w:r>
      <w:r w:rsidRPr="0074694D">
        <w:rPr>
          <w:rtl/>
        </w:rPr>
        <w:t>הבנין על הקרקע וה"נ אוהל כשאינו על הקרקע פטור וכשהוא עשוי על הקרקע אלא שאינו מחובר ממש לקרקע הוי תולדה דבונה וכמשנ"ת</w:t>
      </w:r>
      <w:r w:rsidRPr="0074694D">
        <w:rPr>
          <w:rFonts w:hint="cs"/>
          <w:rtl/>
        </w:rPr>
        <w:t>.</w:t>
      </w:r>
    </w:p>
    <w:p w14:paraId="54E88BBB" w14:textId="77777777" w:rsidR="00376F67" w:rsidRDefault="00376F67" w:rsidP="00376F67">
      <w:pPr>
        <w:pStyle w:val="afffff7"/>
        <w:rPr>
          <w:rtl/>
        </w:rPr>
      </w:pPr>
      <w:bookmarkStart w:id="4994" w:name="_Toc143767979"/>
      <w:bookmarkStart w:id="4995" w:name="_Toc163506167"/>
      <w:r>
        <w:rPr>
          <w:rFonts w:hint="cs"/>
          <w:rtl/>
        </w:rPr>
        <w:t>קהלות יעקב שבת סי' ל"ז ד"ה אמנם</w:t>
      </w:r>
      <w:bookmarkEnd w:id="4994"/>
      <w:bookmarkEnd w:id="4995"/>
    </w:p>
    <w:p w14:paraId="78457A0B" w14:textId="77777777" w:rsidR="00376F67" w:rsidRDefault="00376F67" w:rsidP="00376F67">
      <w:pPr>
        <w:pStyle w:val="a7"/>
        <w:rPr>
          <w:rtl/>
        </w:rPr>
      </w:pPr>
      <w:bookmarkStart w:id="4996" w:name="_Toc143767866"/>
      <w:bookmarkStart w:id="4997" w:name="_Toc143770687"/>
      <w:r>
        <w:rPr>
          <w:rFonts w:hint="cs"/>
          <w:rtl/>
        </w:rPr>
        <w:t>קו' הקה"י דאמאי לול תרנגולין בונה בלי קיבוץ חלקים ואי איירי במחובר צ"ב מה סבר שמואל</w:t>
      </w:r>
      <w:bookmarkEnd w:id="4996"/>
      <w:bookmarkEnd w:id="4997"/>
    </w:p>
    <w:p w14:paraId="1C67F488" w14:textId="2F8D02EB" w:rsidR="00376F67" w:rsidRDefault="00376F67" w:rsidP="00BC7DC8">
      <w:pPr>
        <w:pStyle w:val="a3"/>
        <w:rPr>
          <w:rtl/>
        </w:rPr>
      </w:pPr>
      <w:bookmarkStart w:id="4998" w:name="_Ref143509417"/>
      <w:r>
        <w:rPr>
          <w:rFonts w:hint="cs"/>
          <w:rtl/>
        </w:rPr>
        <w:t xml:space="preserve">ובעיקר דברי </w:t>
      </w:r>
      <w:r w:rsidRPr="002C7085">
        <w:rPr>
          <w:rStyle w:val="aff4"/>
          <w:rFonts w:hint="cs"/>
          <w:vanish/>
          <w:rtl/>
        </w:rPr>
        <w:t>-</w:t>
      </w:r>
      <w:r w:rsidRPr="00D14328">
        <w:rPr>
          <w:rStyle w:val="aff4"/>
          <w:rFonts w:hint="cs"/>
          <w:rtl/>
        </w:rPr>
        <w:t>האבן האזל</w:t>
      </w:r>
      <w:r w:rsidRPr="002C7085">
        <w:rPr>
          <w:rStyle w:val="aff4"/>
          <w:rFonts w:hint="cs"/>
          <w:vanish/>
          <w:rtl/>
        </w:rPr>
        <w:t>-</w:t>
      </w:r>
      <w:r>
        <w:rPr>
          <w:rFonts w:hint="cs"/>
          <w:rtl/>
        </w:rPr>
        <w:t xml:space="preserve"> </w:t>
      </w:r>
      <w:r w:rsidRPr="00DB1D3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Ref143614581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עז)</w:t>
      </w:r>
      <w:r>
        <w:rPr>
          <w:rStyle w:val="af2"/>
          <w:rFonts w:eastAsia="Guttman Hodes"/>
          <w:rtl/>
        </w:rPr>
        <w:fldChar w:fldCharType="end"/>
      </w:r>
      <w:r>
        <w:rPr>
          <w:rFonts w:hint="cs"/>
          <w:rtl/>
        </w:rPr>
        <w:t xml:space="preserve"> דכתב דבמנפח כלי זכוכית לא הוי בונה </w:t>
      </w:r>
      <w:r w:rsidRPr="002C7085">
        <w:rPr>
          <w:rStyle w:val="aff4"/>
          <w:rFonts w:hint="cs"/>
          <w:vanish/>
          <w:rtl/>
        </w:rPr>
        <w:t>-</w:t>
      </w:r>
      <w:r w:rsidRPr="00D14328">
        <w:rPr>
          <w:rStyle w:val="aff4"/>
          <w:rFonts w:hint="cs"/>
          <w:rtl/>
        </w:rPr>
        <w:t>להרמב"ם</w:t>
      </w:r>
      <w:r w:rsidRPr="002C7085">
        <w:rPr>
          <w:rStyle w:val="aff4"/>
          <w:rFonts w:hint="cs"/>
          <w:vanish/>
          <w:rtl/>
        </w:rPr>
        <w:t>-</w:t>
      </w:r>
      <w:r>
        <w:rPr>
          <w:rFonts w:hint="cs"/>
          <w:rtl/>
        </w:rPr>
        <w:t xml:space="preserve"> כיון דאין בזה קיבוץ חלקים, הקשה </w:t>
      </w:r>
      <w:r w:rsidRPr="002C7085">
        <w:rPr>
          <w:rStyle w:val="aff4"/>
          <w:rFonts w:hint="cs"/>
          <w:vanish/>
          <w:rtl/>
        </w:rPr>
        <w:t>-</w:t>
      </w:r>
      <w:r w:rsidRPr="00D14328">
        <w:rPr>
          <w:rStyle w:val="aff4"/>
          <w:rFonts w:hint="cs"/>
          <w:rtl/>
        </w:rPr>
        <w:t>ה</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Ref143509417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פב)</w:t>
      </w:r>
      <w:r w:rsidRPr="00FF7D8F">
        <w:rPr>
          <w:rStyle w:val="aff4"/>
          <w:vanish/>
          <w:rtl/>
        </w:rPr>
        <w:fldChar w:fldCharType="end"/>
      </w:r>
      <w:r w:rsidRPr="00FF7D8F">
        <w:rPr>
          <w:rStyle w:val="aff4"/>
          <w:rFonts w:hint="cs"/>
          <w:vanish/>
          <w:rtl/>
        </w:rPr>
        <w:t xml:space="preserve"> &gt;</w:t>
      </w:r>
      <w:r w:rsidRPr="00D14328">
        <w:rPr>
          <w:rStyle w:val="aff4"/>
          <w:rFonts w:hint="cs"/>
          <w:rtl/>
        </w:rPr>
        <w:t>קהלות יעקב</w:t>
      </w:r>
      <w:r w:rsidRPr="002C7085">
        <w:rPr>
          <w:rStyle w:val="aff4"/>
          <w:rFonts w:hint="cs"/>
          <w:vanish/>
          <w:rtl/>
        </w:rPr>
        <w:t>-</w:t>
      </w:r>
      <w:r>
        <w:rPr>
          <w:rFonts w:hint="cs"/>
          <w:rtl/>
        </w:rPr>
        <w:t xml:space="preserve"> </w:t>
      </w:r>
      <w:r w:rsidRPr="00DB1D3B">
        <w:rPr>
          <w:rStyle w:val="af2"/>
          <w:rFonts w:eastAsia="Guttman Hodes" w:hint="cs"/>
          <w:rtl/>
        </w:rPr>
        <w:t>(סי' ל"ז ד"ה אמנם)</w:t>
      </w:r>
      <w:r w:rsidRPr="002C7085">
        <w:rPr>
          <w:rFonts w:hint="cs"/>
          <w:vanish/>
          <w:rtl/>
        </w:rPr>
        <w:t>=</w:t>
      </w:r>
      <w:r>
        <w:rPr>
          <w:rFonts w:hint="cs"/>
          <w:rtl/>
        </w:rPr>
        <w:t xml:space="preserve"> דא"כ אמאי פסק </w:t>
      </w:r>
      <w:r w:rsidRPr="00145F72">
        <w:rPr>
          <w:rStyle w:val="aff4"/>
          <w:rFonts w:hint="cs"/>
          <w:vanish/>
          <w:rtl/>
        </w:rPr>
        <w:t>-</w:t>
      </w:r>
      <w:r w:rsidRPr="001A2014">
        <w:rPr>
          <w:rStyle w:val="aff4"/>
          <w:rFonts w:hint="cs"/>
          <w:rtl/>
        </w:rPr>
        <w:t>הרמב"ם</w:t>
      </w:r>
      <w:r w:rsidRPr="00145F72">
        <w:rPr>
          <w:rStyle w:val="aff4"/>
          <w:rFonts w:hint="cs"/>
          <w:vanish/>
          <w:rtl/>
        </w:rPr>
        <w:t>-</w:t>
      </w:r>
      <w:r>
        <w:rPr>
          <w:rFonts w:hint="cs"/>
          <w:rtl/>
        </w:rPr>
        <w:t xml:space="preserve"> </w:t>
      </w:r>
      <w:r w:rsidRPr="00DB1D3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Ref143546066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כא)</w:t>
      </w:r>
      <w:r>
        <w:rPr>
          <w:rStyle w:val="af2"/>
          <w:rFonts w:eastAsia="Guttman Hodes"/>
          <w:rtl/>
        </w:rPr>
        <w:fldChar w:fldCharType="end"/>
      </w:r>
      <w:r>
        <w:rPr>
          <w:rStyle w:val="af2"/>
          <w:rFonts w:eastAsia="Guttman Hodes" w:hint="cs"/>
          <w:rtl/>
        </w:rPr>
        <w:t xml:space="preserve"> </w:t>
      </w:r>
      <w:r>
        <w:rPr>
          <w:rFonts w:hint="cs"/>
          <w:rtl/>
        </w:rPr>
        <w:t xml:space="preserve">דהעושה נקב כל שהוא בלול של תרנגולין לאורה, חייב משום בונה, וביאר </w:t>
      </w:r>
      <w:r w:rsidRPr="001A2014">
        <w:rPr>
          <w:rStyle w:val="aff4"/>
          <w:rFonts w:hint="cs"/>
          <w:vanish/>
          <w:rtl/>
        </w:rPr>
        <w:t>-</w:t>
      </w:r>
      <w:r w:rsidRPr="001A2014">
        <w:rPr>
          <w:rStyle w:val="aff4"/>
          <w:rFonts w:hint="cs"/>
          <w:rtl/>
        </w:rPr>
        <w:t>ה</w:t>
      </w:r>
      <w:r>
        <w:rPr>
          <w:rStyle w:val="aff4"/>
          <w:rFonts w:hint="cs"/>
          <w:rtl/>
        </w:rPr>
        <w:t>מ</w:t>
      </w:r>
      <w:r w:rsidRPr="001A2014">
        <w:rPr>
          <w:rStyle w:val="aff4"/>
          <w:rFonts w:hint="cs"/>
          <w:rtl/>
        </w:rPr>
        <w:t>"מ</w:t>
      </w:r>
      <w:r w:rsidRPr="001A2014">
        <w:rPr>
          <w:rStyle w:val="aff4"/>
          <w:rFonts w:hint="cs"/>
          <w:vanish/>
          <w:rtl/>
        </w:rPr>
        <w:t>-</w:t>
      </w:r>
      <w:r>
        <w:rPr>
          <w:rFonts w:hint="cs"/>
          <w:rtl/>
        </w:rPr>
        <w:t xml:space="preserve"> דפסק כדעת רב, הא כיון דאין בזה קיבוץ חלקים אינו בונה ולא תולדה דבונה, וכתב </w:t>
      </w:r>
      <w:r w:rsidRPr="002C7085">
        <w:rPr>
          <w:rStyle w:val="aff4"/>
          <w:rFonts w:hint="cs"/>
          <w:vanish/>
          <w:rtl/>
        </w:rPr>
        <w:t>-</w:t>
      </w:r>
      <w:r w:rsidRPr="00D14328">
        <w:rPr>
          <w:rStyle w:val="aff4"/>
          <w:rFonts w:hint="cs"/>
          <w:rtl/>
        </w:rPr>
        <w:t>הקהלות יעקב</w:t>
      </w:r>
      <w:r w:rsidRPr="002C7085">
        <w:rPr>
          <w:rStyle w:val="aff4"/>
          <w:rFonts w:hint="cs"/>
          <w:vanish/>
          <w:rtl/>
        </w:rPr>
        <w:t>-</w:t>
      </w:r>
      <w:r>
        <w:rPr>
          <w:rFonts w:hint="cs"/>
          <w:rtl/>
        </w:rPr>
        <w:t xml:space="preserve"> דצ"ל דאיירי בלול המחובר לקרקע, </w:t>
      </w:r>
      <w:r w:rsidRPr="00A655AF">
        <w:rPr>
          <w:rStyle w:val="af"/>
          <w:rFonts w:hint="cs"/>
          <w:rtl/>
        </w:rPr>
        <w:t xml:space="preserve">[כדביאר </w:t>
      </w:r>
      <w:r w:rsidRPr="001B1FAC">
        <w:rPr>
          <w:rStyle w:val="aff9"/>
          <w:rFonts w:hint="cs"/>
          <w:vanish/>
          <w:rtl/>
        </w:rPr>
        <w:t>-</w:t>
      </w:r>
      <w:r w:rsidRPr="00A655AF">
        <w:rPr>
          <w:rStyle w:val="aff9"/>
          <w:rFonts w:hint="cs"/>
          <w:rtl/>
        </w:rPr>
        <w:t>המג"א</w:t>
      </w:r>
      <w:r w:rsidRPr="001B1FAC">
        <w:rPr>
          <w:rStyle w:val="aff9"/>
          <w:rFonts w:hint="cs"/>
          <w:vanish/>
          <w:rtl/>
        </w:rPr>
        <w:t>-</w:t>
      </w:r>
      <w:r w:rsidRPr="00A655AF">
        <w:rPr>
          <w:rStyle w:val="af"/>
          <w:rFonts w:hint="cs"/>
          <w:rtl/>
        </w:rPr>
        <w:t xml:space="preserve"> </w:t>
      </w:r>
      <w:r w:rsidRPr="001B1FAC">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Ref143546066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כא)</w:t>
      </w:r>
      <w:r>
        <w:rPr>
          <w:rStyle w:val="aff0"/>
          <w:rtl/>
        </w:rPr>
        <w:fldChar w:fldCharType="end"/>
      </w:r>
      <w:r w:rsidRPr="006D12D1">
        <w:rPr>
          <w:rStyle w:val="af"/>
          <w:rFonts w:hint="cs"/>
          <w:rtl/>
        </w:rPr>
        <w:t>],</w:t>
      </w:r>
      <w:r>
        <w:rPr>
          <w:rFonts w:hint="cs"/>
          <w:rtl/>
        </w:rPr>
        <w:t xml:space="preserve"> וכיון דאי"ז כלי אלא בנין ממש, לכן כל שעושה בו תיקון הוי בונה, וא"כ שמואל דפליג ומחייב משום מכה בפטיש הוא כיון דס"ל דאי"ז פתח העשוי להכניס ולהוציא, כדביארו </w:t>
      </w:r>
      <w:r w:rsidRPr="002C7085">
        <w:rPr>
          <w:rStyle w:val="aff4"/>
          <w:rFonts w:hint="cs"/>
          <w:vanish/>
          <w:rtl/>
        </w:rPr>
        <w:t>-</w:t>
      </w:r>
      <w:r w:rsidRPr="00D14328">
        <w:rPr>
          <w:rStyle w:val="aff4"/>
          <w:rFonts w:hint="cs"/>
          <w:rtl/>
        </w:rPr>
        <w:t>התוס'</w:t>
      </w:r>
      <w:r w:rsidRPr="002C7085">
        <w:rPr>
          <w:rStyle w:val="aff4"/>
          <w:rFonts w:hint="cs"/>
          <w:vanish/>
          <w:rtl/>
        </w:rPr>
        <w:t>-</w:t>
      </w:r>
      <w:r>
        <w:rPr>
          <w:rFonts w:hint="cs"/>
          <w:rtl/>
        </w:rPr>
        <w:t xml:space="preserve"> </w:t>
      </w:r>
      <w:r w:rsidRPr="00DB1D3B">
        <w:rPr>
          <w:rStyle w:val="af2"/>
          <w:rFonts w:eastAsia="Guttman Hodes" w:hint="cs"/>
          <w:rtl/>
        </w:rPr>
        <w:t>(ד"ה לול)</w:t>
      </w:r>
      <w:r>
        <w:rPr>
          <w:rFonts w:hint="cs"/>
          <w:rtl/>
        </w:rPr>
        <w:t xml:space="preserve">, אך הקשה </w:t>
      </w:r>
      <w:r w:rsidRPr="002C7085">
        <w:rPr>
          <w:rStyle w:val="aff4"/>
          <w:rFonts w:hint="cs"/>
          <w:vanish/>
          <w:rtl/>
        </w:rPr>
        <w:t>-</w:t>
      </w:r>
      <w:r w:rsidRPr="00D14328">
        <w:rPr>
          <w:rStyle w:val="aff4"/>
          <w:rFonts w:hint="cs"/>
          <w:rtl/>
        </w:rPr>
        <w:t>הקהילות יעקב</w:t>
      </w:r>
      <w:r w:rsidRPr="002C7085">
        <w:rPr>
          <w:rStyle w:val="aff4"/>
          <w:rFonts w:hint="cs"/>
          <w:vanish/>
          <w:rtl/>
        </w:rPr>
        <w:t>-</w:t>
      </w:r>
      <w:r>
        <w:rPr>
          <w:rFonts w:hint="cs"/>
          <w:rtl/>
        </w:rPr>
        <w:t xml:space="preserve"> דהא כתב </w:t>
      </w:r>
      <w:r w:rsidRPr="002C7085">
        <w:rPr>
          <w:rStyle w:val="aff4"/>
          <w:rFonts w:hint="cs"/>
          <w:vanish/>
          <w:rtl/>
        </w:rPr>
        <w:t>-</w:t>
      </w:r>
      <w:r w:rsidRPr="00D14328">
        <w:rPr>
          <w:rStyle w:val="aff4"/>
          <w:rFonts w:hint="cs"/>
          <w:rtl/>
        </w:rPr>
        <w:t>הרמב"ם</w:t>
      </w:r>
      <w:r w:rsidRPr="002C7085">
        <w:rPr>
          <w:rStyle w:val="aff4"/>
          <w:rFonts w:hint="cs"/>
          <w:vanish/>
          <w:rtl/>
        </w:rPr>
        <w:t>-</w:t>
      </w:r>
      <w:r>
        <w:rPr>
          <w:rFonts w:hint="cs"/>
          <w:rtl/>
        </w:rPr>
        <w:t xml:space="preserve"> </w:t>
      </w:r>
      <w:r w:rsidRPr="00DB1D3B">
        <w:rPr>
          <w:rStyle w:val="af2"/>
          <w:rFonts w:eastAsia="Guttman Hodes" w:hint="cs"/>
          <w:rtl/>
        </w:rPr>
        <w:t>(שבת פ"י הט"ז)</w:t>
      </w:r>
      <w:r>
        <w:rPr>
          <w:rFonts w:hint="cs"/>
          <w:rtl/>
        </w:rPr>
        <w:t xml:space="preserve"> דהעושה פתח שאינו עשוי להכניס ולהוציא אין בו חיוב מכה בפטיש, וא"כ היאך מחייב שמואל בזה, ועיי"ש במה שתירץ </w:t>
      </w:r>
      <w:r w:rsidRPr="002C7085">
        <w:rPr>
          <w:rStyle w:val="aff4"/>
          <w:rFonts w:hint="cs"/>
          <w:vanish/>
          <w:rtl/>
        </w:rPr>
        <w:t>-</w:t>
      </w:r>
      <w:r w:rsidRPr="00D14328">
        <w:rPr>
          <w:rStyle w:val="aff4"/>
          <w:rFonts w:hint="cs"/>
          <w:rtl/>
        </w:rPr>
        <w:t>ה</w:t>
      </w:r>
      <w:r w:rsidRPr="00FF7D8F">
        <w:rPr>
          <w:rStyle w:val="aff4"/>
          <w:rFonts w:hint="cs"/>
          <w:vanish/>
          <w:rtl/>
        </w:rPr>
        <w:t>&lt; &gt;</w:t>
      </w:r>
      <w:r w:rsidRPr="00D14328">
        <w:rPr>
          <w:rStyle w:val="aff4"/>
          <w:rFonts w:hint="cs"/>
          <w:rtl/>
        </w:rPr>
        <w:t>קהלות יעקב</w:t>
      </w:r>
      <w:r w:rsidRPr="002C7085">
        <w:rPr>
          <w:rStyle w:val="aff4"/>
          <w:rFonts w:hint="cs"/>
          <w:vanish/>
          <w:rtl/>
        </w:rPr>
        <w:t>-</w:t>
      </w:r>
      <w:r>
        <w:rPr>
          <w:rFonts w:hint="cs"/>
          <w:rtl/>
        </w:rPr>
        <w:t xml:space="preserve"> </w:t>
      </w:r>
      <w:r w:rsidRPr="00DB1D3B">
        <w:rPr>
          <w:rStyle w:val="af2"/>
          <w:rFonts w:eastAsia="Guttman Hodes" w:hint="cs"/>
          <w:rtl/>
        </w:rPr>
        <w:t>(סו"ס ל"ז)</w:t>
      </w:r>
      <w:r w:rsidRPr="002C7085">
        <w:rPr>
          <w:rFonts w:hint="cs"/>
          <w:vanish/>
          <w:rtl/>
        </w:rPr>
        <w:t>=</w:t>
      </w:r>
      <w:r>
        <w:rPr>
          <w:rFonts w:hint="cs"/>
          <w:rtl/>
        </w:rPr>
        <w:t>.</w:t>
      </w:r>
      <w:bookmarkEnd w:id="4998"/>
    </w:p>
    <w:p w14:paraId="5B1CB4AF" w14:textId="77777777" w:rsidR="00376F67" w:rsidRPr="0074694D" w:rsidRDefault="00376F67" w:rsidP="00376F67">
      <w:pPr>
        <w:pStyle w:val="a2"/>
        <w:tabs>
          <w:tab w:val="num" w:pos="284"/>
        </w:tabs>
        <w:rPr>
          <w:rStyle w:val="afff7"/>
          <w:vanish w:val="0"/>
          <w:color w:val="auto"/>
          <w:sz w:val="18"/>
          <w:szCs w:val="18"/>
        </w:rPr>
      </w:pPr>
      <w:r w:rsidRPr="0074694D">
        <w:rPr>
          <w:rtl/>
        </w:rPr>
        <w:t xml:space="preserve">אמנם עדיין עיקר דברי הגרא"ז ז"ל צל"ע טובא מהא דפסק הרמב"ם ז"ל שם הי"ד העושה נקב בלול של תרנגולים כדי שיכנוס להם האורה חייב משום בונה ולפי דברי הגרא"ז ז"ל הנ"ל הרי כל שמקובץ כבר חלקיו והוא עושה תיקון בכלי </w:t>
      </w:r>
      <w:r w:rsidRPr="0074694D">
        <w:rPr>
          <w:rFonts w:hint="cs"/>
          <w:rtl/>
        </w:rPr>
        <w:t>[</w:t>
      </w:r>
      <w:r w:rsidRPr="0074694D">
        <w:rPr>
          <w:rtl/>
        </w:rPr>
        <w:t>ולא באוהל</w:t>
      </w:r>
      <w:r w:rsidRPr="0074694D">
        <w:rPr>
          <w:rFonts w:hint="cs"/>
          <w:rtl/>
        </w:rPr>
        <w:t>]</w:t>
      </w:r>
      <w:r w:rsidRPr="0074694D">
        <w:rPr>
          <w:rtl/>
        </w:rPr>
        <w:t xml:space="preserve"> אין זה בונה ולא תולדה דבונה דמה</w:t>
      </w:r>
      <w:r w:rsidRPr="0074694D">
        <w:rPr>
          <w:rFonts w:hint="cs"/>
          <w:rtl/>
        </w:rPr>
        <w:t>"ט</w:t>
      </w:r>
      <w:r w:rsidRPr="0074694D">
        <w:rPr>
          <w:rtl/>
        </w:rPr>
        <w:t xml:space="preserve"> אין במנפח בכלי זכוכית משום בונה וצריך לפרש דהאי לול של תרנגולים הוא מחובר לקרקע ואינו כלי רק בנין ממש ומשו"ה כל שמתקן בו הו"ל בונה ולפ"ז הא דפליג שמואל על רב ע"ש ר"פ הבונה וסובר דליכא אלא משום מכה בפטיש לאו משום דאין בנין בכלים לפמש"כ דהאי לול הא בנין הוא ולא כלי אלא כמש"כ התוס' שם טעמא דשמואל משום דלא חשיב לי' פתח העשוי להכנ</w:t>
      </w:r>
      <w:r w:rsidRPr="0074694D">
        <w:rPr>
          <w:rFonts w:hint="cs"/>
          <w:rtl/>
        </w:rPr>
        <w:t>יס</w:t>
      </w:r>
      <w:r w:rsidRPr="0074694D">
        <w:rPr>
          <w:rtl/>
        </w:rPr>
        <w:t xml:space="preserve"> ולהוציא ע"ש וזה צריך עיון דלהרמב"ם ז"ל א"א לפרש טעמא דשמואל משום דאינו עשוי להכניס להוציא דא"כ אמאי מחייב שמואל משום מכב"פ דהא ברמב"ם ז"ל שם הט"ז ובר"פ כ"ג מבואר דבאינו עשוי להכניס ולה</w:t>
      </w:r>
      <w:r w:rsidRPr="0074694D">
        <w:rPr>
          <w:rFonts w:hint="cs"/>
          <w:rtl/>
        </w:rPr>
        <w:t>ו</w:t>
      </w:r>
      <w:r w:rsidRPr="0074694D">
        <w:rPr>
          <w:rtl/>
        </w:rPr>
        <w:t xml:space="preserve">ציא ליכא נמי משום מכב"פ ע"ש וכעת צ"ע וע"ש בכנכ"י מה שהאריך בכ"ז. </w:t>
      </w:r>
    </w:p>
    <w:p w14:paraId="774C8F03" w14:textId="77777777" w:rsidR="00376F67" w:rsidRPr="0077455E" w:rsidRDefault="00376F67" w:rsidP="00376F67">
      <w:pPr>
        <w:pStyle w:val="afff6"/>
      </w:pPr>
      <w:r w:rsidRPr="0074694D">
        <w:rPr>
          <w:vanish/>
          <w:rtl/>
        </w:rPr>
        <w:t>והעירני שזה מתיישב עפמש"כ המהרש"ל ז"ל כאן על מש"כ התוס' דלשמואל ליכא גבי נוקב לול של תרנגולים משום בונה משום שאינו עשוי להכניס להוציא והרי בדף קמ"ו מבואר דבלול של תרנגולים הוי הנקב להכניס ולהוציא ע"ש וכתב המהרש"ל ז"ל דתרי גווני עשוי להכניס ולהוציא איכא ולשמואל בעינן עשוי להכניס ולהוציא אלים ע"ש ולפ"ז שפיר י"ל גם להרמב"ם ז"ל דטעמא דשמואל הוא משום שאינו עשוי להכניס ולהוציא ומכל מקום שפיר מחייבו שמואל משום מכב"פ אע"פ שגם למלאכת מכב"פ בעינן עשוי להכניס ולהוציא די"ל דמ"מ במלאכת מכב"פ סגי בעשוי להכניס ולהוציא כל דהו, [כתבתי הדברים מבלי עיון היטב כעת בענינים אלו ולא כתבתי אלא לזכרון דברים ע"מ לבררם].</w:t>
      </w:r>
    </w:p>
    <w:p w14:paraId="4F176671" w14:textId="77777777" w:rsidR="00376F67" w:rsidRDefault="00376F67" w:rsidP="00376F67">
      <w:pPr>
        <w:pStyle w:val="a7"/>
        <w:rPr>
          <w:rtl/>
        </w:rPr>
        <w:sectPr w:rsidR="00376F67" w:rsidSect="00F14A0A">
          <w:type w:val="continuous"/>
          <w:pgSz w:w="11906" w:h="16838"/>
          <w:pgMar w:top="720" w:right="720" w:bottom="720" w:left="720" w:header="283" w:footer="283" w:gutter="0"/>
          <w:cols w:num="2" w:space="567"/>
          <w:bidi/>
          <w:rtlGutter/>
          <w:docGrid w:linePitch="299"/>
        </w:sectPr>
      </w:pPr>
    </w:p>
    <w:p w14:paraId="4FC1DCBC" w14:textId="77777777" w:rsidR="00376F67" w:rsidRDefault="00376F67" w:rsidP="00376F67">
      <w:pPr>
        <w:keepNext/>
        <w:keepLines/>
        <w:spacing w:after="0" w:line="240" w:lineRule="auto"/>
        <w:jc w:val="center"/>
        <w:outlineLvl w:val="1"/>
        <w:rPr>
          <w:rFonts w:ascii="FrankRuehl" w:eastAsia="Guttman Adii-Light" w:hAnsi="FrankRuehl" w:cs="Guttman Hodes"/>
          <w:b/>
          <w:bCs/>
          <w:noProof/>
          <w:sz w:val="24"/>
          <w:szCs w:val="24"/>
          <w:rtl/>
        </w:rPr>
        <w:sectPr w:rsidR="00376F67" w:rsidSect="00F14A0A">
          <w:type w:val="continuous"/>
          <w:pgSz w:w="11906" w:h="16838"/>
          <w:pgMar w:top="720" w:right="720" w:bottom="720" w:left="720" w:header="283" w:footer="283" w:gutter="0"/>
          <w:cols w:num="2" w:space="567"/>
          <w:bidi/>
          <w:rtlGutter/>
          <w:docGrid w:linePitch="299"/>
        </w:sectPr>
      </w:pPr>
    </w:p>
    <w:p w14:paraId="27519F80" w14:textId="77777777" w:rsidR="00A14FDA" w:rsidRPr="00224A5A" w:rsidRDefault="00A14FDA" w:rsidP="00A14FDA">
      <w:pPr>
        <w:pStyle w:val="af9"/>
        <w:rPr>
          <w:rtl/>
        </w:rPr>
      </w:pPr>
      <w:r>
        <w:rPr>
          <w:rFonts w:hint="cs"/>
          <w:rtl/>
        </w:rPr>
        <w:lastRenderedPageBreak/>
        <w:t>סימן י</w:t>
      </w:r>
      <w:r>
        <w:rPr>
          <w:rtl/>
        </w:rPr>
        <w:t>"</w:t>
      </w:r>
      <w:r>
        <w:rPr>
          <w:rFonts w:hint="cs"/>
          <w:rtl/>
        </w:rPr>
        <w:t>ב</w:t>
      </w:r>
    </w:p>
    <w:p w14:paraId="0160C772" w14:textId="77777777" w:rsidR="00A14FDA" w:rsidRPr="006E6B9C" w:rsidRDefault="00A14FDA" w:rsidP="00A14FDA">
      <w:pPr>
        <w:pStyle w:val="af9"/>
        <w:rPr>
          <w:rtl/>
        </w:rPr>
      </w:pPr>
      <w:r w:rsidRPr="008F4A22">
        <w:rPr>
          <w:rtl/>
        </w:rPr>
        <w:t>בגדר</w:t>
      </w:r>
      <w:r>
        <w:rPr>
          <w:rFonts w:hint="cs"/>
          <w:rtl/>
        </w:rPr>
        <w:t xml:space="preserve"> המעשה המחייב במכה בפטיש ובחיובו במקום מלאכה אחרת</w:t>
      </w:r>
    </w:p>
    <w:p w14:paraId="78D02100" w14:textId="77777777" w:rsidR="00A14FDA" w:rsidRPr="00224A5A" w:rsidRDefault="00A14FDA" w:rsidP="00A14FDA">
      <w:pPr>
        <w:keepNext/>
        <w:keepLines/>
        <w:spacing w:after="0" w:line="240" w:lineRule="auto"/>
        <w:jc w:val="center"/>
        <w:outlineLvl w:val="1"/>
        <w:rPr>
          <w:rFonts w:ascii="FrankRuehl" w:eastAsia="Guttman Adii-Light" w:hAnsi="FrankRuehl" w:cs="Guttman Hodes"/>
          <w:b/>
          <w:bCs/>
          <w:noProof/>
          <w:sz w:val="24"/>
          <w:szCs w:val="24"/>
          <w:rtl/>
        </w:rPr>
        <w:sectPr w:rsidR="00A14FDA" w:rsidRPr="00224A5A" w:rsidSect="00A14FDA">
          <w:headerReference w:type="default" r:id="rId166"/>
          <w:footerReference w:type="default" r:id="rId167"/>
          <w:headerReference w:type="first" r:id="rId168"/>
          <w:footerReference w:type="first" r:id="rId169"/>
          <w:type w:val="oddPage"/>
          <w:pgSz w:w="11906" w:h="16838"/>
          <w:pgMar w:top="720" w:right="720" w:bottom="720" w:left="720" w:header="283" w:footer="283" w:gutter="0"/>
          <w:cols w:space="113"/>
          <w:bidi/>
          <w:rtlGutter/>
          <w:docGrid w:linePitch="299"/>
        </w:sectPr>
      </w:pPr>
      <w:r w:rsidRPr="00224A5A">
        <w:rPr>
          <w:rFonts w:ascii="FrankRuehl" w:eastAsia="Guttman Adii-Light" w:hAnsi="FrankRuehl" w:cs="Guttman Hodes"/>
          <w:b/>
          <w:bCs/>
          <w:noProof/>
          <w:sz w:val="24"/>
          <w:szCs w:val="24"/>
          <w:rtl/>
        </w:rPr>
        <w:t>~~~~~~~</w:t>
      </w:r>
      <w:r w:rsidRPr="00224A5A">
        <w:rPr>
          <w:rFonts w:ascii="FrankRuehl" w:eastAsia="Guttman Adii-Light" w:hAnsi="FrankRuehl" w:cs="Guttman Hodes" w:hint="cs"/>
          <w:b/>
          <w:bCs/>
          <w:noProof/>
          <w:sz w:val="24"/>
          <w:szCs w:val="24"/>
          <w:rtl/>
        </w:rPr>
        <w:t xml:space="preserve"> תוכן הענייני</w:t>
      </w:r>
      <w:r w:rsidRPr="00224A5A">
        <w:rPr>
          <w:rFonts w:ascii="FrankRuehl" w:eastAsia="Guttman Adii-Light" w:hAnsi="FrankRuehl" w:cs="Guttman Hodes" w:hint="eastAsia"/>
          <w:b/>
          <w:bCs/>
          <w:noProof/>
          <w:sz w:val="24"/>
          <w:szCs w:val="24"/>
          <w:rtl/>
        </w:rPr>
        <w:t>ם</w:t>
      </w:r>
      <w:r w:rsidRPr="00224A5A">
        <w:rPr>
          <w:rFonts w:ascii="FrankRuehl" w:eastAsia="Guttman Adii-Light" w:hAnsi="FrankRuehl" w:cs="Guttman Hodes" w:hint="cs"/>
          <w:b/>
          <w:bCs/>
          <w:noProof/>
          <w:sz w:val="24"/>
          <w:szCs w:val="24"/>
          <w:rtl/>
        </w:rPr>
        <w:t xml:space="preserve"> </w:t>
      </w:r>
      <w:r w:rsidRPr="00224A5A">
        <w:rPr>
          <w:rFonts w:ascii="FrankRuehl" w:eastAsia="Guttman Adii-Light" w:hAnsi="FrankRuehl" w:cs="Guttman Hodes"/>
          <w:b/>
          <w:bCs/>
          <w:noProof/>
          <w:sz w:val="24"/>
          <w:szCs w:val="24"/>
          <w:rtl/>
        </w:rPr>
        <w:t>~~~~~~~</w:t>
      </w:r>
    </w:p>
    <w:p w14:paraId="638EECDE" w14:textId="77777777" w:rsidR="00A14FDA" w:rsidRDefault="00A14FDA" w:rsidP="00A14FDA">
      <w:pPr>
        <w:pStyle w:val="TOC1"/>
        <w:rPr>
          <w:rFonts w:asciiTheme="minorHAnsi" w:hAnsiTheme="minorHAnsi" w:cstheme="minorBidi"/>
          <w:b w:val="0"/>
          <w:bCs w:val="0"/>
          <w:caps w:val="0"/>
          <w:sz w:val="22"/>
          <w:szCs w:val="22"/>
          <w:rtl/>
        </w:rPr>
      </w:pPr>
      <w:r w:rsidRPr="00224A5A">
        <w:rPr>
          <w:rtl/>
        </w:rPr>
        <w:fldChar w:fldCharType="begin"/>
      </w:r>
      <w:r w:rsidRPr="00224A5A">
        <w:rPr>
          <w:rtl/>
        </w:rPr>
        <w:instrText xml:space="preserve"> </w:instrText>
      </w:r>
      <w:r w:rsidRPr="00224A5A">
        <w:rPr>
          <w:rFonts w:hint="cs"/>
        </w:rPr>
        <w:instrText>TOC</w:instrText>
      </w:r>
      <w:r w:rsidRPr="00224A5A">
        <w:rPr>
          <w:rFonts w:hint="cs"/>
          <w:rtl/>
        </w:rPr>
        <w:instrText xml:space="preserve"> \</w:instrText>
      </w:r>
      <w:r w:rsidRPr="00224A5A">
        <w:rPr>
          <w:rFonts w:hint="cs"/>
        </w:rPr>
        <w:instrText>n \p " " \h \z \t</w:instrText>
      </w:r>
      <w:r w:rsidRPr="00224A5A">
        <w:rPr>
          <w:rFonts w:hint="cs"/>
          <w:rtl/>
        </w:rPr>
        <w:instrText xml:space="preserve"> "כותרת 1,2,כות קט,3,כות מק פנ,1"</w:instrText>
      </w:r>
      <w:r w:rsidRPr="00224A5A">
        <w:rPr>
          <w:rtl/>
        </w:rPr>
        <w:instrText xml:space="preserve"> </w:instrText>
      </w:r>
      <w:r w:rsidRPr="00224A5A">
        <w:rPr>
          <w:rtl/>
        </w:rPr>
        <w:fldChar w:fldCharType="separate"/>
      </w:r>
      <w:hyperlink w:anchor="_Toc144225226" w:history="1">
        <w:r w:rsidRPr="00FD7F30">
          <w:rPr>
            <w:rStyle w:val="Hyperlink"/>
            <w:rtl/>
          </w:rPr>
          <w:t>בי' הראשונים באופני מכב"פ וגדרו</w:t>
        </w:r>
      </w:hyperlink>
    </w:p>
    <w:p w14:paraId="7D21ED5E" w14:textId="0D67BA09" w:rsidR="00A14FDA" w:rsidRPr="00D72FFC" w:rsidRDefault="00A14FDA" w:rsidP="00A14FDA">
      <w:pPr>
        <w:pStyle w:val="afffffffff0"/>
        <w:rPr>
          <w:rtl/>
        </w:rPr>
      </w:pPr>
      <w:r w:rsidRPr="00D72FFC">
        <w:rPr>
          <w:rtl/>
        </w:rPr>
        <w:fldChar w:fldCharType="begin"/>
      </w:r>
      <w:r w:rsidRPr="00D72FFC">
        <w:rPr>
          <w:rtl/>
        </w:rPr>
        <w:instrText xml:space="preserve"> </w:instrText>
      </w:r>
      <w:r w:rsidRPr="00D72FFC">
        <w:rPr>
          <w:rFonts w:hint="cs"/>
        </w:rPr>
        <w:instrText>REF</w:instrText>
      </w:r>
      <w:r w:rsidRPr="00D72FFC">
        <w:rPr>
          <w:rFonts w:hint="cs"/>
          <w:rtl/>
        </w:rPr>
        <w:instrText xml:space="preserve"> _</w:instrText>
      </w:r>
      <w:r w:rsidRPr="00D72FFC">
        <w:rPr>
          <w:rFonts w:hint="cs"/>
        </w:rPr>
        <w:instrText>Ref140824900 \r \h</w:instrText>
      </w:r>
      <w:r w:rsidRPr="00D72FFC">
        <w:rPr>
          <w:rtl/>
        </w:rPr>
        <w:instrText xml:space="preserve">  \* </w:instrText>
      </w:r>
      <w:r w:rsidRPr="00D72FFC">
        <w:instrText>MERGEFORMAT</w:instrText>
      </w:r>
      <w:r w:rsidRPr="00D72FFC">
        <w:rPr>
          <w:rtl/>
        </w:rPr>
        <w:instrText xml:space="preserve"> </w:instrText>
      </w:r>
      <w:r w:rsidRPr="00D72FFC">
        <w:rPr>
          <w:rtl/>
        </w:rPr>
      </w:r>
      <w:r w:rsidRPr="00D72FFC">
        <w:rPr>
          <w:rtl/>
        </w:rPr>
        <w:fldChar w:fldCharType="separate"/>
      </w:r>
      <w:r w:rsidR="00D82181">
        <w:rPr>
          <w:cs/>
        </w:rPr>
        <w:t>‎</w:t>
      </w:r>
      <w:r w:rsidR="00D82181">
        <w:rPr>
          <w:rtl/>
        </w:rPr>
        <w:t>א)</w:t>
      </w:r>
      <w:r w:rsidRPr="00D72FFC">
        <w:rPr>
          <w:rtl/>
        </w:rPr>
        <w:fldChar w:fldCharType="end"/>
      </w:r>
      <w:r w:rsidRPr="00D72FFC">
        <w:rPr>
          <w:rFonts w:hint="cs"/>
          <w:rtl/>
        </w:rPr>
        <w:t xml:space="preserve"> </w:t>
      </w:r>
      <w:r w:rsidRPr="00D72FFC">
        <w:rPr>
          <w:rStyle w:val="afffffffff9"/>
          <w:rFonts w:ascii="David" w:eastAsiaTheme="minorEastAsia" w:hAnsi="David" w:cs="David" w:hint="cs"/>
          <w:color w:val="auto"/>
          <w:sz w:val="16"/>
          <w:szCs w:val="16"/>
          <w:rtl/>
        </w:rPr>
        <w:t>רש"י</w:t>
      </w:r>
      <w:r w:rsidRPr="00D72FFC">
        <w:rPr>
          <w:rFonts w:hint="cs"/>
          <w:rtl/>
        </w:rPr>
        <w:t xml:space="preserve"> </w:t>
      </w:r>
      <w:r w:rsidRPr="00407CF9">
        <w:rPr>
          <w:rStyle w:val="afffffffff3"/>
          <w:rFonts w:hint="cs"/>
          <w:rtl/>
        </w:rPr>
        <w:t>(ד"ה המכה)</w:t>
      </w:r>
      <w:r>
        <w:rPr>
          <w:rtl/>
        </w:rPr>
        <w:t xml:space="preserve"> </w:t>
      </w:r>
      <w:r w:rsidRPr="00D72FFC">
        <w:rPr>
          <w:rStyle w:val="42"/>
          <w:rFonts w:ascii="David" w:eastAsiaTheme="minorEastAsia" w:hAnsi="David" w:cs="David" w:hint="cs"/>
          <w:i w:val="0"/>
          <w:iCs w:val="0"/>
          <w:color w:val="auto"/>
          <w:rtl/>
        </w:rPr>
        <w:t>מאירי</w:t>
      </w:r>
      <w:r w:rsidRPr="00D72FFC">
        <w:rPr>
          <w:rStyle w:val="ab"/>
          <w:rFonts w:ascii="David" w:eastAsiaTheme="minorEastAsia" w:hAnsi="David" w:cs="David"/>
          <w:bCs w:val="0"/>
          <w:sz w:val="16"/>
          <w:szCs w:val="16"/>
          <w:rtl/>
        </w:rPr>
        <w:t xml:space="preserve"> </w:t>
      </w:r>
      <w:r w:rsidRPr="00407CF9">
        <w:rPr>
          <w:rStyle w:val="afffffffff3"/>
          <w:rtl/>
        </w:rPr>
        <w:t>(</w:t>
      </w:r>
      <w:r w:rsidRPr="00407CF9">
        <w:rPr>
          <w:rStyle w:val="afffffffff3"/>
          <w:rFonts w:hint="cs"/>
          <w:rtl/>
        </w:rPr>
        <w:t>ד"ה והמכה</w:t>
      </w:r>
      <w:r w:rsidRPr="00407CF9">
        <w:rPr>
          <w:rStyle w:val="afffffffff3"/>
          <w:rtl/>
        </w:rPr>
        <w:t>)</w:t>
      </w:r>
      <w:r>
        <w:rPr>
          <w:rtl/>
        </w:rPr>
        <w:t xml:space="preserve"> </w:t>
      </w:r>
      <w:r w:rsidRPr="00D72FFC">
        <w:rPr>
          <w:rStyle w:val="afffffffff9"/>
          <w:rFonts w:ascii="David" w:eastAsiaTheme="minorEastAsia" w:hAnsi="David" w:cs="David" w:hint="cs"/>
          <w:color w:val="auto"/>
          <w:sz w:val="16"/>
          <w:szCs w:val="16"/>
          <w:rtl/>
        </w:rPr>
        <w:t>ר"י בתוס'</w:t>
      </w:r>
      <w:r w:rsidRPr="00D72FFC">
        <w:rPr>
          <w:rFonts w:hint="cs"/>
          <w:rtl/>
        </w:rPr>
        <w:t xml:space="preserve"> </w:t>
      </w:r>
      <w:r w:rsidRPr="00407CF9">
        <w:rPr>
          <w:rStyle w:val="afffffffff3"/>
          <w:rFonts w:hint="cs"/>
          <w:rtl/>
        </w:rPr>
        <w:t>(ד"ה מכה)</w:t>
      </w:r>
      <w:r>
        <w:rPr>
          <w:rtl/>
        </w:rPr>
        <w:t xml:space="preserve"> </w:t>
      </w:r>
      <w:r w:rsidRPr="00D72FFC">
        <w:rPr>
          <w:rStyle w:val="afffffffff9"/>
          <w:rFonts w:ascii="David" w:eastAsiaTheme="minorEastAsia" w:hAnsi="David" w:cs="David" w:hint="cs"/>
          <w:color w:val="auto"/>
          <w:sz w:val="16"/>
          <w:szCs w:val="16"/>
          <w:rtl/>
        </w:rPr>
        <w:t>תוי"ט</w:t>
      </w:r>
      <w:r w:rsidRPr="00D72FFC">
        <w:rPr>
          <w:rFonts w:hint="cs"/>
          <w:rtl/>
        </w:rPr>
        <w:t xml:space="preserve"> </w:t>
      </w:r>
      <w:r w:rsidRPr="00407CF9">
        <w:rPr>
          <w:rStyle w:val="afffffffff3"/>
          <w:rFonts w:hint="cs"/>
          <w:rtl/>
        </w:rPr>
        <w:t>(ד"ה והמכה)</w:t>
      </w:r>
      <w:r>
        <w:rPr>
          <w:rtl/>
        </w:rPr>
        <w:t xml:space="preserve"> </w:t>
      </w:r>
      <w:r w:rsidRPr="00D72FFC">
        <w:rPr>
          <w:rStyle w:val="afffffffff9"/>
          <w:rFonts w:ascii="David" w:eastAsiaTheme="minorEastAsia" w:hAnsi="David" w:cs="David" w:hint="cs"/>
          <w:color w:val="auto"/>
          <w:sz w:val="16"/>
          <w:szCs w:val="16"/>
          <w:rtl/>
        </w:rPr>
        <w:t>רש"ש</w:t>
      </w:r>
      <w:r w:rsidRPr="00D72FFC">
        <w:rPr>
          <w:rFonts w:hint="cs"/>
          <w:rtl/>
        </w:rPr>
        <w:t xml:space="preserve"> </w:t>
      </w:r>
      <w:r w:rsidRPr="00407CF9">
        <w:rPr>
          <w:rStyle w:val="afffffffff3"/>
          <w:rFonts w:hint="cs"/>
          <w:rtl/>
        </w:rPr>
        <w:t>(על תוד"ה מכה)</w:t>
      </w:r>
      <w:r>
        <w:rPr>
          <w:rtl/>
        </w:rPr>
        <w:t xml:space="preserve"> </w:t>
      </w:r>
      <w:r w:rsidRPr="00D72FFC">
        <w:rPr>
          <w:rStyle w:val="afffffffff9"/>
          <w:rFonts w:ascii="David" w:eastAsiaTheme="minorEastAsia" w:hAnsi="David" w:cs="David" w:hint="cs"/>
          <w:color w:val="auto"/>
          <w:sz w:val="16"/>
          <w:szCs w:val="16"/>
          <w:rtl/>
        </w:rPr>
        <w:t>אגרות משה</w:t>
      </w:r>
      <w:r w:rsidRPr="00D72FFC">
        <w:rPr>
          <w:rFonts w:hint="cs"/>
          <w:rtl/>
        </w:rPr>
        <w:t xml:space="preserve"> </w:t>
      </w:r>
      <w:r w:rsidRPr="00407CF9">
        <w:rPr>
          <w:rStyle w:val="afffffffff3"/>
          <w:rFonts w:hint="cs"/>
          <w:rtl/>
        </w:rPr>
        <w:t xml:space="preserve">(עי' אות </w:t>
      </w:r>
      <w:r w:rsidRPr="00407CF9">
        <w:rPr>
          <w:rStyle w:val="afffffffff3"/>
          <w:rtl/>
        </w:rPr>
        <w:fldChar w:fldCharType="begin"/>
      </w:r>
      <w:r w:rsidRPr="00407CF9">
        <w:rPr>
          <w:rStyle w:val="afffffffff3"/>
          <w:rtl/>
        </w:rPr>
        <w:instrText xml:space="preserve"> </w:instrText>
      </w:r>
      <w:r w:rsidRPr="00407CF9">
        <w:rPr>
          <w:rStyle w:val="afffffffff3"/>
          <w:rFonts w:hint="cs"/>
        </w:rPr>
        <w:instrText>REF</w:instrText>
      </w:r>
      <w:r w:rsidRPr="00407CF9">
        <w:rPr>
          <w:rStyle w:val="afffffffff3"/>
          <w:rFonts w:hint="cs"/>
          <w:rtl/>
        </w:rPr>
        <w:instrText xml:space="preserve"> _</w:instrText>
      </w:r>
      <w:r w:rsidRPr="00407CF9">
        <w:rPr>
          <w:rStyle w:val="afffffffff3"/>
          <w:rFonts w:hint="cs"/>
        </w:rPr>
        <w:instrText>Ref144199359 \r \h</w:instrText>
      </w:r>
      <w:r w:rsidRPr="00407CF9">
        <w:rPr>
          <w:rStyle w:val="afffffffff3"/>
          <w:rtl/>
        </w:rPr>
        <w:instrText xml:space="preserve">  \* </w:instrText>
      </w:r>
      <w:r w:rsidRPr="00407CF9">
        <w:rPr>
          <w:rStyle w:val="afffffffff3"/>
        </w:rPr>
        <w:instrText>MERGEFORMAT</w:instrText>
      </w:r>
      <w:r w:rsidRPr="00407CF9">
        <w:rPr>
          <w:rStyle w:val="afffffffff3"/>
          <w:rtl/>
        </w:rPr>
        <w:instrText xml:space="preserve"> </w:instrText>
      </w:r>
      <w:r w:rsidRPr="00407CF9">
        <w:rPr>
          <w:rStyle w:val="afffffffff3"/>
          <w:rtl/>
        </w:rPr>
      </w:r>
      <w:r w:rsidRPr="00407CF9">
        <w:rPr>
          <w:rStyle w:val="afffffffff3"/>
          <w:rtl/>
        </w:rPr>
        <w:fldChar w:fldCharType="separate"/>
      </w:r>
      <w:r w:rsidR="00D82181">
        <w:rPr>
          <w:rStyle w:val="afffffffff3"/>
          <w:cs/>
        </w:rPr>
        <w:t>‎</w:t>
      </w:r>
      <w:r w:rsidR="00D82181">
        <w:rPr>
          <w:rStyle w:val="afffffffff3"/>
          <w:rtl/>
        </w:rPr>
        <w:t>כד)</w:t>
      </w:r>
      <w:r w:rsidRPr="00407CF9">
        <w:rPr>
          <w:rStyle w:val="afffffffff3"/>
          <w:rtl/>
        </w:rPr>
        <w:fldChar w:fldCharType="end"/>
      </w:r>
      <w:r>
        <w:rPr>
          <w:rtl/>
        </w:rPr>
        <w:t>,</w:t>
      </w:r>
      <w:r w:rsidRPr="00407CF9">
        <w:rPr>
          <w:rStyle w:val="afffffffff9"/>
          <w:rFonts w:ascii="David" w:eastAsiaTheme="minorEastAsia" w:hAnsi="David" w:cs="David" w:hint="cs"/>
          <w:b/>
          <w:bCs/>
          <w:color w:val="auto"/>
          <w:sz w:val="16"/>
          <w:szCs w:val="16"/>
          <w:rtl/>
        </w:rPr>
        <w:t xml:space="preserve"> </w:t>
      </w:r>
      <w:r w:rsidRPr="00407CF9">
        <w:rPr>
          <w:rStyle w:val="afffffffff9"/>
          <w:rFonts w:ascii="David" w:eastAsiaTheme="minorEastAsia" w:hAnsi="David" w:cs="David"/>
          <w:b/>
          <w:bCs/>
          <w:color w:val="auto"/>
          <w:sz w:val="16"/>
          <w:szCs w:val="16"/>
          <w:rtl/>
        </w:rPr>
        <w:fldChar w:fldCharType="begin"/>
      </w:r>
      <w:r w:rsidRPr="00407CF9">
        <w:rPr>
          <w:rStyle w:val="afffffffff9"/>
          <w:rFonts w:ascii="David" w:eastAsiaTheme="minorEastAsia" w:hAnsi="David" w:cs="David"/>
          <w:b/>
          <w:bCs/>
          <w:color w:val="auto"/>
          <w:sz w:val="16"/>
          <w:szCs w:val="16"/>
          <w:rtl/>
        </w:rPr>
        <w:instrText xml:space="preserve"> </w:instrText>
      </w:r>
      <w:r w:rsidRPr="00407CF9">
        <w:rPr>
          <w:rStyle w:val="afffffffff9"/>
          <w:rFonts w:ascii="David" w:eastAsiaTheme="minorEastAsia" w:hAnsi="David" w:cs="David" w:hint="cs"/>
          <w:b/>
          <w:bCs/>
          <w:color w:val="auto"/>
          <w:sz w:val="16"/>
          <w:szCs w:val="16"/>
        </w:rPr>
        <w:instrText>REF</w:instrText>
      </w:r>
      <w:r w:rsidRPr="00407CF9">
        <w:rPr>
          <w:rStyle w:val="afffffffff9"/>
          <w:rFonts w:ascii="David" w:eastAsiaTheme="minorEastAsia" w:hAnsi="David" w:cs="David" w:hint="cs"/>
          <w:b/>
          <w:bCs/>
          <w:color w:val="auto"/>
          <w:sz w:val="16"/>
          <w:szCs w:val="16"/>
          <w:rtl/>
        </w:rPr>
        <w:instrText xml:space="preserve"> _</w:instrText>
      </w:r>
      <w:r w:rsidRPr="00407CF9">
        <w:rPr>
          <w:rStyle w:val="afffffffff9"/>
          <w:rFonts w:ascii="David" w:eastAsiaTheme="minorEastAsia" w:hAnsi="David" w:cs="David" w:hint="cs"/>
          <w:b/>
          <w:bCs/>
          <w:color w:val="auto"/>
          <w:sz w:val="16"/>
          <w:szCs w:val="16"/>
        </w:rPr>
        <w:instrText>Ref143807503 \r \h</w:instrText>
      </w:r>
      <w:r w:rsidRPr="00407CF9">
        <w:rPr>
          <w:rStyle w:val="afffffffff9"/>
          <w:rFonts w:ascii="David" w:eastAsiaTheme="minorEastAsia" w:hAnsi="David" w:cs="David"/>
          <w:b/>
          <w:bCs/>
          <w:color w:val="auto"/>
          <w:sz w:val="16"/>
          <w:szCs w:val="16"/>
          <w:rtl/>
        </w:rPr>
        <w:instrText xml:space="preserve">  \* </w:instrText>
      </w:r>
      <w:r w:rsidRPr="00407CF9">
        <w:rPr>
          <w:rStyle w:val="afffffffff9"/>
          <w:rFonts w:ascii="David" w:eastAsiaTheme="minorEastAsia" w:hAnsi="David" w:cs="David"/>
          <w:b/>
          <w:bCs/>
          <w:color w:val="auto"/>
          <w:sz w:val="16"/>
          <w:szCs w:val="16"/>
        </w:rPr>
        <w:instrText>MERGEFORMAT</w:instrText>
      </w:r>
      <w:r w:rsidRPr="00407CF9">
        <w:rPr>
          <w:rStyle w:val="afffffffff9"/>
          <w:rFonts w:ascii="David" w:eastAsiaTheme="minorEastAsia" w:hAnsi="David" w:cs="David"/>
          <w:b/>
          <w:bCs/>
          <w:color w:val="auto"/>
          <w:sz w:val="16"/>
          <w:szCs w:val="16"/>
          <w:rtl/>
        </w:rPr>
        <w:instrText xml:space="preserve"> </w:instrText>
      </w:r>
      <w:r w:rsidRPr="00407CF9">
        <w:rPr>
          <w:rStyle w:val="afffffffff9"/>
          <w:rFonts w:ascii="David" w:eastAsiaTheme="minorEastAsia" w:hAnsi="David" w:cs="David"/>
          <w:b/>
          <w:bCs/>
          <w:color w:val="auto"/>
          <w:sz w:val="16"/>
          <w:szCs w:val="16"/>
          <w:rtl/>
        </w:rPr>
      </w:r>
      <w:r w:rsidRPr="00407CF9">
        <w:rPr>
          <w:rStyle w:val="afffffffff9"/>
          <w:rFonts w:ascii="David" w:eastAsiaTheme="minorEastAsia" w:hAnsi="David" w:cs="David"/>
          <w:b/>
          <w:bCs/>
          <w:color w:val="auto"/>
          <w:sz w:val="16"/>
          <w:szCs w:val="16"/>
          <w:rtl/>
        </w:rPr>
        <w:fldChar w:fldCharType="separate"/>
      </w:r>
      <w:r w:rsidR="00D82181">
        <w:rPr>
          <w:rStyle w:val="afffffffff9"/>
          <w:rFonts w:ascii="David" w:eastAsiaTheme="minorEastAsia" w:hAnsi="David" w:cs="David"/>
          <w:b/>
          <w:bCs/>
          <w:color w:val="auto"/>
          <w:sz w:val="16"/>
          <w:szCs w:val="16"/>
          <w:cs/>
        </w:rPr>
        <w:t>‎</w:t>
      </w:r>
      <w:r w:rsidR="00D82181">
        <w:rPr>
          <w:rStyle w:val="afffffffff9"/>
          <w:rFonts w:ascii="David" w:eastAsiaTheme="minorEastAsia" w:hAnsi="David" w:cs="David"/>
          <w:b/>
          <w:bCs/>
          <w:color w:val="auto"/>
          <w:sz w:val="16"/>
          <w:szCs w:val="16"/>
          <w:rtl/>
        </w:rPr>
        <w:t>ב)</w:t>
      </w:r>
      <w:r w:rsidRPr="00407CF9">
        <w:rPr>
          <w:rStyle w:val="afffffffff9"/>
          <w:rFonts w:ascii="David" w:eastAsiaTheme="minorEastAsia" w:hAnsi="David" w:cs="David"/>
          <w:b/>
          <w:bCs/>
          <w:color w:val="auto"/>
          <w:sz w:val="16"/>
          <w:szCs w:val="16"/>
          <w:rtl/>
        </w:rPr>
        <w:fldChar w:fldCharType="end"/>
      </w:r>
      <w:r w:rsidRPr="00407CF9">
        <w:rPr>
          <w:rStyle w:val="afffffffff9"/>
          <w:rFonts w:ascii="David" w:eastAsiaTheme="minorEastAsia" w:hAnsi="David" w:cs="David" w:hint="cs"/>
          <w:b/>
          <w:bCs/>
          <w:color w:val="auto"/>
          <w:sz w:val="16"/>
          <w:szCs w:val="16"/>
          <w:rtl/>
        </w:rPr>
        <w:t xml:space="preserve"> </w:t>
      </w:r>
      <w:r w:rsidRPr="00D72FFC">
        <w:rPr>
          <w:rStyle w:val="afffffffff9"/>
          <w:rFonts w:ascii="David" w:eastAsiaTheme="minorEastAsia" w:hAnsi="David" w:cs="David" w:hint="cs"/>
          <w:color w:val="auto"/>
          <w:sz w:val="16"/>
          <w:szCs w:val="16"/>
          <w:rtl/>
        </w:rPr>
        <w:t>רמב"ן לעיל</w:t>
      </w:r>
      <w:r w:rsidRPr="00D72FFC">
        <w:rPr>
          <w:rFonts w:hint="cs"/>
          <w:rtl/>
        </w:rPr>
        <w:t xml:space="preserve"> </w:t>
      </w:r>
      <w:r w:rsidRPr="00407CF9">
        <w:rPr>
          <w:rStyle w:val="afffffffff3"/>
          <w:rFonts w:hint="cs"/>
          <w:rtl/>
        </w:rPr>
        <w:t>(עג. ד"ה מכה)</w:t>
      </w:r>
      <w:r>
        <w:rPr>
          <w:rtl/>
        </w:rPr>
        <w:t xml:space="preserve"> </w:t>
      </w:r>
      <w:r w:rsidRPr="00D72FFC">
        <w:rPr>
          <w:rStyle w:val="afffffffff9"/>
          <w:rFonts w:ascii="David" w:eastAsiaTheme="minorEastAsia" w:hAnsi="David" w:cs="David" w:hint="cs"/>
          <w:color w:val="auto"/>
          <w:sz w:val="16"/>
          <w:szCs w:val="16"/>
          <w:rtl/>
        </w:rPr>
        <w:t>ריטב"א לעיל</w:t>
      </w:r>
      <w:r w:rsidRPr="00D72FFC">
        <w:rPr>
          <w:rFonts w:hint="cs"/>
          <w:rtl/>
        </w:rPr>
        <w:t xml:space="preserve"> </w:t>
      </w:r>
      <w:r w:rsidRPr="00407CF9">
        <w:rPr>
          <w:rStyle w:val="afffffffff3"/>
          <w:rFonts w:hint="cs"/>
          <w:rtl/>
        </w:rPr>
        <w:t>(עג. ד"ה המכה)</w:t>
      </w:r>
      <w:r>
        <w:rPr>
          <w:rtl/>
        </w:rPr>
        <w:t xml:space="preserve"> </w:t>
      </w:r>
      <w:r w:rsidRPr="00D72FFC">
        <w:rPr>
          <w:rStyle w:val="afffffffff9"/>
          <w:rFonts w:ascii="David" w:eastAsiaTheme="minorEastAsia" w:hAnsi="David" w:cs="David" w:hint="cs"/>
          <w:color w:val="auto"/>
          <w:sz w:val="16"/>
          <w:szCs w:val="16"/>
          <w:rtl/>
        </w:rPr>
        <w:t>ר"ן לעיל</w:t>
      </w:r>
      <w:r w:rsidRPr="00D72FFC">
        <w:rPr>
          <w:rFonts w:hint="cs"/>
          <w:rtl/>
        </w:rPr>
        <w:t xml:space="preserve"> </w:t>
      </w:r>
      <w:r w:rsidRPr="00407CF9">
        <w:rPr>
          <w:rStyle w:val="afffffffff3"/>
          <w:rFonts w:hint="cs"/>
          <w:rtl/>
        </w:rPr>
        <w:t>(עג. ד"ה והמכה)</w:t>
      </w:r>
      <w:r>
        <w:rPr>
          <w:rtl/>
        </w:rPr>
        <w:t xml:space="preserve"> </w:t>
      </w:r>
      <w:r w:rsidRPr="00D72FFC">
        <w:rPr>
          <w:rStyle w:val="afffffffff9"/>
          <w:rFonts w:ascii="David" w:eastAsiaTheme="minorEastAsia" w:hAnsi="David" w:cs="David" w:hint="cs"/>
          <w:color w:val="auto"/>
          <w:sz w:val="16"/>
          <w:szCs w:val="16"/>
          <w:rtl/>
        </w:rPr>
        <w:t>חי' המיוחסים לר"ן לעיל</w:t>
      </w:r>
      <w:r w:rsidRPr="00D72FFC">
        <w:rPr>
          <w:rFonts w:hint="cs"/>
          <w:rtl/>
        </w:rPr>
        <w:t xml:space="preserve"> </w:t>
      </w:r>
      <w:r w:rsidRPr="00407CF9">
        <w:rPr>
          <w:rStyle w:val="afffffffff3"/>
          <w:rFonts w:hint="cs"/>
          <w:rtl/>
        </w:rPr>
        <w:t>(עג. ד"ה המכה)</w:t>
      </w:r>
      <w:r>
        <w:rPr>
          <w:rtl/>
        </w:rPr>
        <w:t xml:space="preserve"> </w:t>
      </w:r>
      <w:r w:rsidRPr="00D72FFC">
        <w:rPr>
          <w:rFonts w:hint="cs"/>
          <w:rtl/>
        </w:rPr>
        <w:t xml:space="preserve">בשם </w:t>
      </w:r>
      <w:r w:rsidRPr="00D72FFC">
        <w:rPr>
          <w:rStyle w:val="afffffffff9"/>
          <w:rFonts w:ascii="David" w:eastAsiaTheme="minorEastAsia" w:hAnsi="David" w:cs="David" w:hint="cs"/>
          <w:color w:val="auto"/>
          <w:sz w:val="16"/>
          <w:szCs w:val="16"/>
          <w:rtl/>
        </w:rPr>
        <w:t>ר"ח</w:t>
      </w:r>
      <w:r>
        <w:rPr>
          <w:rtl/>
        </w:rPr>
        <w:t xml:space="preserve"> </w:t>
      </w:r>
      <w:r w:rsidRPr="00D72FFC">
        <w:rPr>
          <w:rFonts w:hint="cs"/>
          <w:rtl/>
        </w:rPr>
        <w:t>ערוך השולחן</w:t>
      </w:r>
      <w:r w:rsidRPr="00D72FFC">
        <w:rPr>
          <w:rtl/>
        </w:rPr>
        <w:t xml:space="preserve"> </w:t>
      </w:r>
      <w:r w:rsidRPr="00407CF9">
        <w:rPr>
          <w:rStyle w:val="afffffffff3"/>
          <w:rtl/>
        </w:rPr>
        <w:t>(</w:t>
      </w:r>
      <w:r w:rsidRPr="00407CF9">
        <w:rPr>
          <w:rStyle w:val="afffffffff3"/>
          <w:rFonts w:hint="cs"/>
          <w:rtl/>
        </w:rPr>
        <w:t xml:space="preserve">עי' אות </w:t>
      </w:r>
      <w:r w:rsidRPr="00407CF9">
        <w:rPr>
          <w:rStyle w:val="afffffffff3"/>
          <w:rtl/>
        </w:rPr>
        <w:fldChar w:fldCharType="begin"/>
      </w:r>
      <w:r w:rsidRPr="00407CF9">
        <w:rPr>
          <w:rStyle w:val="afffffffff3"/>
          <w:rtl/>
        </w:rPr>
        <w:instrText xml:space="preserve"> </w:instrText>
      </w:r>
      <w:r w:rsidRPr="00407CF9">
        <w:rPr>
          <w:rStyle w:val="afffffffff3"/>
        </w:rPr>
        <w:instrText>REF</w:instrText>
      </w:r>
      <w:r w:rsidRPr="00407CF9">
        <w:rPr>
          <w:rStyle w:val="afffffffff3"/>
          <w:rtl/>
        </w:rPr>
        <w:instrText xml:space="preserve"> _</w:instrText>
      </w:r>
      <w:r w:rsidRPr="00407CF9">
        <w:rPr>
          <w:rStyle w:val="afffffffff3"/>
        </w:rPr>
        <w:instrText>Ref144064696 \r \h</w:instrText>
      </w:r>
      <w:r w:rsidRPr="00407CF9">
        <w:rPr>
          <w:rStyle w:val="afffffffff3"/>
          <w:rtl/>
        </w:rPr>
        <w:instrText xml:space="preserve">  \* </w:instrText>
      </w:r>
      <w:r w:rsidRPr="00407CF9">
        <w:rPr>
          <w:rStyle w:val="afffffffff3"/>
        </w:rPr>
        <w:instrText>MERGEFORMAT</w:instrText>
      </w:r>
      <w:r w:rsidRPr="00407CF9">
        <w:rPr>
          <w:rStyle w:val="afffffffff3"/>
          <w:rtl/>
        </w:rPr>
        <w:instrText xml:space="preserve"> </w:instrText>
      </w:r>
      <w:r w:rsidRPr="00407CF9">
        <w:rPr>
          <w:rStyle w:val="afffffffff3"/>
          <w:rtl/>
        </w:rPr>
      </w:r>
      <w:r w:rsidRPr="00407CF9">
        <w:rPr>
          <w:rStyle w:val="afffffffff3"/>
          <w:rtl/>
        </w:rPr>
        <w:fldChar w:fldCharType="separate"/>
      </w:r>
      <w:r w:rsidR="00D82181">
        <w:rPr>
          <w:rStyle w:val="afffffffff3"/>
          <w:cs/>
        </w:rPr>
        <w:t>‎</w:t>
      </w:r>
      <w:r w:rsidR="00D82181">
        <w:rPr>
          <w:rStyle w:val="afffffffff3"/>
          <w:rtl/>
        </w:rPr>
        <w:t>כ)</w:t>
      </w:r>
      <w:r w:rsidRPr="00407CF9">
        <w:rPr>
          <w:rStyle w:val="afffffffff3"/>
          <w:rtl/>
        </w:rPr>
        <w:fldChar w:fldCharType="end"/>
      </w:r>
      <w:r>
        <w:rPr>
          <w:rtl/>
        </w:rPr>
        <w:t xml:space="preserve"> </w:t>
      </w:r>
      <w:r w:rsidRPr="00D72FFC">
        <w:rPr>
          <w:rStyle w:val="afffffffff9"/>
          <w:rFonts w:ascii="David" w:eastAsiaTheme="minorEastAsia" w:hAnsi="David" w:cs="David" w:hint="cs"/>
          <w:color w:val="auto"/>
          <w:sz w:val="16"/>
          <w:szCs w:val="16"/>
          <w:rtl/>
        </w:rPr>
        <w:t>אגרות משה</w:t>
      </w:r>
      <w:r w:rsidRPr="00D72FFC">
        <w:rPr>
          <w:rFonts w:hint="cs"/>
          <w:rtl/>
        </w:rPr>
        <w:t xml:space="preserve"> </w:t>
      </w:r>
      <w:r w:rsidRPr="00407CF9">
        <w:rPr>
          <w:rStyle w:val="afffffffff3"/>
          <w:rFonts w:hint="cs"/>
          <w:rtl/>
        </w:rPr>
        <w:t xml:space="preserve">(עי' אות </w:t>
      </w:r>
      <w:r w:rsidRPr="00407CF9">
        <w:rPr>
          <w:rStyle w:val="afffffffff3"/>
          <w:rtl/>
        </w:rPr>
        <w:fldChar w:fldCharType="begin"/>
      </w:r>
      <w:r w:rsidRPr="00407CF9">
        <w:rPr>
          <w:rStyle w:val="afffffffff3"/>
          <w:rtl/>
        </w:rPr>
        <w:instrText xml:space="preserve"> </w:instrText>
      </w:r>
      <w:r w:rsidRPr="00407CF9">
        <w:rPr>
          <w:rStyle w:val="afffffffff3"/>
          <w:rFonts w:hint="cs"/>
        </w:rPr>
        <w:instrText>REF</w:instrText>
      </w:r>
      <w:r w:rsidRPr="00407CF9">
        <w:rPr>
          <w:rStyle w:val="afffffffff3"/>
          <w:rFonts w:hint="cs"/>
          <w:rtl/>
        </w:rPr>
        <w:instrText xml:space="preserve"> _</w:instrText>
      </w:r>
      <w:r w:rsidRPr="00407CF9">
        <w:rPr>
          <w:rStyle w:val="afffffffff3"/>
          <w:rFonts w:hint="cs"/>
        </w:rPr>
        <w:instrText>Ref144158462 \r \h</w:instrText>
      </w:r>
      <w:r w:rsidRPr="00407CF9">
        <w:rPr>
          <w:rStyle w:val="afffffffff3"/>
          <w:rtl/>
        </w:rPr>
        <w:instrText xml:space="preserve">  \* </w:instrText>
      </w:r>
      <w:r w:rsidRPr="00407CF9">
        <w:rPr>
          <w:rStyle w:val="afffffffff3"/>
        </w:rPr>
        <w:instrText>MERGEFORMAT</w:instrText>
      </w:r>
      <w:r w:rsidRPr="00407CF9">
        <w:rPr>
          <w:rStyle w:val="afffffffff3"/>
          <w:rtl/>
        </w:rPr>
        <w:instrText xml:space="preserve"> </w:instrText>
      </w:r>
      <w:r w:rsidRPr="00407CF9">
        <w:rPr>
          <w:rStyle w:val="afffffffff3"/>
          <w:rtl/>
        </w:rPr>
      </w:r>
      <w:r w:rsidRPr="00407CF9">
        <w:rPr>
          <w:rStyle w:val="afffffffff3"/>
          <w:rtl/>
        </w:rPr>
        <w:fldChar w:fldCharType="separate"/>
      </w:r>
      <w:r w:rsidR="00D82181">
        <w:rPr>
          <w:rStyle w:val="afffffffff3"/>
          <w:cs/>
        </w:rPr>
        <w:t>‎</w:t>
      </w:r>
      <w:r w:rsidR="00D82181">
        <w:rPr>
          <w:rStyle w:val="afffffffff3"/>
          <w:rtl/>
        </w:rPr>
        <w:t>כג)</w:t>
      </w:r>
      <w:r w:rsidRPr="00407CF9">
        <w:rPr>
          <w:rStyle w:val="afffffffff3"/>
          <w:rtl/>
        </w:rPr>
        <w:fldChar w:fldCharType="end"/>
      </w:r>
      <w:r>
        <w:rPr>
          <w:rtl/>
        </w:rPr>
        <w:t>,</w:t>
      </w:r>
      <w:r w:rsidRPr="00407CF9">
        <w:rPr>
          <w:rStyle w:val="afffffffff9"/>
          <w:rFonts w:ascii="David" w:eastAsiaTheme="minorEastAsia" w:hAnsi="David" w:cs="David" w:hint="cs"/>
          <w:b/>
          <w:bCs/>
          <w:color w:val="auto"/>
          <w:sz w:val="16"/>
          <w:szCs w:val="16"/>
          <w:rtl/>
        </w:rPr>
        <w:t xml:space="preserve"> </w:t>
      </w:r>
      <w:r w:rsidRPr="00407CF9">
        <w:rPr>
          <w:rStyle w:val="afffffffff9"/>
          <w:rFonts w:ascii="David" w:eastAsiaTheme="minorEastAsia" w:hAnsi="David" w:cs="David"/>
          <w:b/>
          <w:bCs/>
          <w:color w:val="auto"/>
          <w:sz w:val="16"/>
          <w:szCs w:val="16"/>
          <w:rtl/>
        </w:rPr>
        <w:fldChar w:fldCharType="begin"/>
      </w:r>
      <w:r w:rsidRPr="00407CF9">
        <w:rPr>
          <w:rStyle w:val="afffffffff9"/>
          <w:rFonts w:ascii="David" w:eastAsiaTheme="minorEastAsia" w:hAnsi="David" w:cs="David"/>
          <w:b/>
          <w:bCs/>
          <w:color w:val="auto"/>
          <w:sz w:val="16"/>
          <w:szCs w:val="16"/>
          <w:rtl/>
        </w:rPr>
        <w:instrText xml:space="preserve"> </w:instrText>
      </w:r>
      <w:r w:rsidRPr="00407CF9">
        <w:rPr>
          <w:rStyle w:val="afffffffff9"/>
          <w:rFonts w:ascii="David" w:eastAsiaTheme="minorEastAsia" w:hAnsi="David" w:cs="David" w:hint="cs"/>
          <w:b/>
          <w:bCs/>
          <w:color w:val="auto"/>
          <w:sz w:val="16"/>
          <w:szCs w:val="16"/>
        </w:rPr>
        <w:instrText>REF</w:instrText>
      </w:r>
      <w:r w:rsidRPr="00407CF9">
        <w:rPr>
          <w:rStyle w:val="afffffffff9"/>
          <w:rFonts w:ascii="David" w:eastAsiaTheme="minorEastAsia" w:hAnsi="David" w:cs="David" w:hint="cs"/>
          <w:b/>
          <w:bCs/>
          <w:color w:val="auto"/>
          <w:sz w:val="16"/>
          <w:szCs w:val="16"/>
          <w:rtl/>
        </w:rPr>
        <w:instrText xml:space="preserve"> _</w:instrText>
      </w:r>
      <w:r w:rsidRPr="00407CF9">
        <w:rPr>
          <w:rStyle w:val="afffffffff9"/>
          <w:rFonts w:ascii="David" w:eastAsiaTheme="minorEastAsia" w:hAnsi="David" w:cs="David" w:hint="cs"/>
          <w:b/>
          <w:bCs/>
          <w:color w:val="auto"/>
          <w:sz w:val="16"/>
          <w:szCs w:val="16"/>
        </w:rPr>
        <w:instrText>Ref143808021 \r \h</w:instrText>
      </w:r>
      <w:r w:rsidRPr="00407CF9">
        <w:rPr>
          <w:rStyle w:val="afffffffff9"/>
          <w:rFonts w:ascii="David" w:eastAsiaTheme="minorEastAsia" w:hAnsi="David" w:cs="David"/>
          <w:b/>
          <w:bCs/>
          <w:color w:val="auto"/>
          <w:sz w:val="16"/>
          <w:szCs w:val="16"/>
          <w:rtl/>
        </w:rPr>
        <w:instrText xml:space="preserve">  \* </w:instrText>
      </w:r>
      <w:r w:rsidRPr="00407CF9">
        <w:rPr>
          <w:rStyle w:val="afffffffff9"/>
          <w:rFonts w:ascii="David" w:eastAsiaTheme="minorEastAsia" w:hAnsi="David" w:cs="David"/>
          <w:b/>
          <w:bCs/>
          <w:color w:val="auto"/>
          <w:sz w:val="16"/>
          <w:szCs w:val="16"/>
        </w:rPr>
        <w:instrText>MERGEFORMAT</w:instrText>
      </w:r>
      <w:r w:rsidRPr="00407CF9">
        <w:rPr>
          <w:rStyle w:val="afffffffff9"/>
          <w:rFonts w:ascii="David" w:eastAsiaTheme="minorEastAsia" w:hAnsi="David" w:cs="David"/>
          <w:b/>
          <w:bCs/>
          <w:color w:val="auto"/>
          <w:sz w:val="16"/>
          <w:szCs w:val="16"/>
          <w:rtl/>
        </w:rPr>
        <w:instrText xml:space="preserve"> </w:instrText>
      </w:r>
      <w:r w:rsidRPr="00407CF9">
        <w:rPr>
          <w:rStyle w:val="afffffffff9"/>
          <w:rFonts w:ascii="David" w:eastAsiaTheme="minorEastAsia" w:hAnsi="David" w:cs="David"/>
          <w:b/>
          <w:bCs/>
          <w:color w:val="auto"/>
          <w:sz w:val="16"/>
          <w:szCs w:val="16"/>
          <w:rtl/>
        </w:rPr>
      </w:r>
      <w:r w:rsidRPr="00407CF9">
        <w:rPr>
          <w:rStyle w:val="afffffffff9"/>
          <w:rFonts w:ascii="David" w:eastAsiaTheme="minorEastAsia" w:hAnsi="David" w:cs="David"/>
          <w:b/>
          <w:bCs/>
          <w:color w:val="auto"/>
          <w:sz w:val="16"/>
          <w:szCs w:val="16"/>
          <w:rtl/>
        </w:rPr>
        <w:fldChar w:fldCharType="separate"/>
      </w:r>
      <w:r w:rsidR="00D82181">
        <w:rPr>
          <w:rStyle w:val="afffffffff9"/>
          <w:rFonts w:ascii="David" w:eastAsiaTheme="minorEastAsia" w:hAnsi="David" w:cs="David"/>
          <w:b/>
          <w:bCs/>
          <w:color w:val="auto"/>
          <w:sz w:val="16"/>
          <w:szCs w:val="16"/>
          <w:cs/>
        </w:rPr>
        <w:t>‎</w:t>
      </w:r>
      <w:r w:rsidR="00D82181">
        <w:rPr>
          <w:rStyle w:val="afffffffff9"/>
          <w:rFonts w:ascii="David" w:eastAsiaTheme="minorEastAsia" w:hAnsi="David" w:cs="David"/>
          <w:b/>
          <w:bCs/>
          <w:color w:val="auto"/>
          <w:sz w:val="16"/>
          <w:szCs w:val="16"/>
          <w:rtl/>
        </w:rPr>
        <w:t>ד)</w:t>
      </w:r>
      <w:r w:rsidRPr="00407CF9">
        <w:rPr>
          <w:rStyle w:val="afffffffff9"/>
          <w:rFonts w:ascii="David" w:eastAsiaTheme="minorEastAsia" w:hAnsi="David" w:cs="David"/>
          <w:b/>
          <w:bCs/>
          <w:color w:val="auto"/>
          <w:sz w:val="16"/>
          <w:szCs w:val="16"/>
          <w:rtl/>
        </w:rPr>
        <w:fldChar w:fldCharType="end"/>
      </w:r>
      <w:r w:rsidRPr="00407CF9">
        <w:rPr>
          <w:rStyle w:val="afffffffff9"/>
          <w:rFonts w:ascii="David" w:eastAsiaTheme="minorEastAsia" w:hAnsi="David" w:cs="David" w:hint="cs"/>
          <w:b/>
          <w:bCs/>
          <w:color w:val="auto"/>
          <w:sz w:val="16"/>
          <w:szCs w:val="16"/>
          <w:rtl/>
        </w:rPr>
        <w:t xml:space="preserve"> </w:t>
      </w:r>
      <w:r w:rsidRPr="00D72FFC">
        <w:rPr>
          <w:rStyle w:val="afffffffff9"/>
          <w:rFonts w:ascii="David" w:eastAsiaTheme="minorEastAsia" w:hAnsi="David" w:cs="David" w:hint="cs"/>
          <w:color w:val="auto"/>
          <w:sz w:val="16"/>
          <w:szCs w:val="16"/>
          <w:rtl/>
        </w:rPr>
        <w:t>חי' המיוחסים לר"ן לעיל</w:t>
      </w:r>
      <w:r w:rsidRPr="00D72FFC">
        <w:rPr>
          <w:rFonts w:hint="cs"/>
          <w:rtl/>
        </w:rPr>
        <w:t xml:space="preserve"> </w:t>
      </w:r>
      <w:r w:rsidRPr="00407CF9">
        <w:rPr>
          <w:rStyle w:val="afffffffff3"/>
          <w:rFonts w:hint="cs"/>
          <w:rtl/>
        </w:rPr>
        <w:t>(עג. ד"ה המכה)</w:t>
      </w:r>
      <w:r w:rsidRPr="00D72FFC">
        <w:rPr>
          <w:rFonts w:hint="cs"/>
          <w:rtl/>
        </w:rPr>
        <w:t xml:space="preserve"> בשם </w:t>
      </w:r>
      <w:r w:rsidRPr="00D72FFC">
        <w:rPr>
          <w:rStyle w:val="afffffffff9"/>
          <w:rFonts w:ascii="David" w:eastAsiaTheme="minorEastAsia" w:hAnsi="David" w:cs="David" w:hint="cs"/>
          <w:color w:val="auto"/>
          <w:sz w:val="16"/>
          <w:szCs w:val="16"/>
          <w:rtl/>
        </w:rPr>
        <w:t>רבינו יהונתן</w:t>
      </w:r>
      <w:r w:rsidRPr="00D72FFC">
        <w:rPr>
          <w:rFonts w:hint="cs"/>
          <w:rtl/>
        </w:rPr>
        <w:t xml:space="preserve"> </w:t>
      </w:r>
      <w:r w:rsidRPr="00407CF9">
        <w:rPr>
          <w:rStyle w:val="afffffffff3"/>
          <w:rFonts w:hint="cs"/>
          <w:rtl/>
        </w:rPr>
        <w:t>(ע"ג. ד"ה המכה)</w:t>
      </w:r>
      <w:r>
        <w:rPr>
          <w:rtl/>
        </w:rPr>
        <w:t>,</w:t>
      </w:r>
      <w:r w:rsidRPr="00407CF9">
        <w:rPr>
          <w:rFonts w:hint="cs"/>
          <w:b/>
          <w:bCs/>
          <w:rtl/>
        </w:rPr>
        <w:t xml:space="preserve"> </w:t>
      </w:r>
      <w:r w:rsidRPr="00407CF9">
        <w:rPr>
          <w:b/>
          <w:bCs/>
          <w:rtl/>
        </w:rPr>
        <w:fldChar w:fldCharType="begin"/>
      </w:r>
      <w:r w:rsidRPr="00407CF9">
        <w:rPr>
          <w:b/>
          <w:bCs/>
          <w:rtl/>
        </w:rPr>
        <w:instrText xml:space="preserve"> </w:instrText>
      </w:r>
      <w:r w:rsidRPr="00407CF9">
        <w:rPr>
          <w:rFonts w:hint="cs"/>
          <w:b/>
          <w:bCs/>
        </w:rPr>
        <w:instrText>REF</w:instrText>
      </w:r>
      <w:r w:rsidRPr="00407CF9">
        <w:rPr>
          <w:rFonts w:hint="cs"/>
          <w:b/>
          <w:bCs/>
          <w:rtl/>
        </w:rPr>
        <w:instrText xml:space="preserve"> _</w:instrText>
      </w:r>
      <w:r w:rsidRPr="00407CF9">
        <w:rPr>
          <w:rFonts w:hint="cs"/>
          <w:b/>
          <w:bCs/>
        </w:rPr>
        <w:instrText>Ref143806528 \r \h</w:instrText>
      </w:r>
      <w:r w:rsidRPr="00407CF9">
        <w:rPr>
          <w:b/>
          <w:bCs/>
          <w:rtl/>
        </w:rPr>
        <w:instrText xml:space="preserve">  \* </w:instrText>
      </w:r>
      <w:r w:rsidRPr="00407CF9">
        <w:rPr>
          <w:b/>
          <w:bCs/>
        </w:rPr>
        <w:instrText>MERGEFORMAT</w:instrText>
      </w:r>
      <w:r w:rsidRPr="00407CF9">
        <w:rPr>
          <w:b/>
          <w:bCs/>
          <w:rtl/>
        </w:rPr>
        <w:instrText xml:space="preserve"> </w:instrText>
      </w:r>
      <w:r w:rsidRPr="00407CF9">
        <w:rPr>
          <w:b/>
          <w:bCs/>
          <w:rtl/>
        </w:rPr>
      </w:r>
      <w:r w:rsidRPr="00407CF9">
        <w:rPr>
          <w:b/>
          <w:bCs/>
          <w:rtl/>
        </w:rPr>
        <w:fldChar w:fldCharType="separate"/>
      </w:r>
      <w:r w:rsidR="00D82181">
        <w:rPr>
          <w:b/>
          <w:bCs/>
          <w:cs/>
        </w:rPr>
        <w:t>‎</w:t>
      </w:r>
      <w:r w:rsidR="00D82181">
        <w:rPr>
          <w:b/>
          <w:bCs/>
          <w:rtl/>
        </w:rPr>
        <w:t>ה)</w:t>
      </w:r>
      <w:r w:rsidRPr="00407CF9">
        <w:rPr>
          <w:b/>
          <w:bCs/>
          <w:rtl/>
        </w:rPr>
        <w:fldChar w:fldCharType="end"/>
      </w:r>
      <w:r w:rsidRPr="00407CF9">
        <w:rPr>
          <w:rFonts w:hint="cs"/>
          <w:b/>
          <w:bCs/>
          <w:rtl/>
        </w:rPr>
        <w:t xml:space="preserve"> </w:t>
      </w:r>
      <w:r w:rsidRPr="00D72FFC">
        <w:rPr>
          <w:rStyle w:val="afffffffff9"/>
          <w:rFonts w:ascii="David" w:eastAsiaTheme="minorEastAsia" w:hAnsi="David" w:cs="David" w:hint="cs"/>
          <w:color w:val="auto"/>
          <w:sz w:val="16"/>
          <w:szCs w:val="16"/>
          <w:rtl/>
        </w:rPr>
        <w:t>רש"י במתני' לעיל</w:t>
      </w:r>
      <w:r w:rsidRPr="00D72FFC">
        <w:rPr>
          <w:rFonts w:hint="cs"/>
          <w:rtl/>
        </w:rPr>
        <w:t xml:space="preserve"> </w:t>
      </w:r>
      <w:r w:rsidRPr="00407CF9">
        <w:rPr>
          <w:rStyle w:val="afffffffff3"/>
          <w:rFonts w:hint="cs"/>
          <w:rtl/>
        </w:rPr>
        <w:t>(עג. ד"ה מכה בפטיש)</w:t>
      </w:r>
      <w:r>
        <w:rPr>
          <w:rtl/>
        </w:rPr>
        <w:t xml:space="preserve"> </w:t>
      </w:r>
      <w:r w:rsidRPr="00D72FFC">
        <w:rPr>
          <w:rStyle w:val="afffffffff9"/>
          <w:rFonts w:ascii="David" w:eastAsiaTheme="minorEastAsia" w:hAnsi="David" w:cs="David" w:hint="cs"/>
          <w:color w:val="auto"/>
          <w:sz w:val="16"/>
          <w:szCs w:val="16"/>
          <w:rtl/>
        </w:rPr>
        <w:t xml:space="preserve">ריטב"א לעיל </w:t>
      </w:r>
      <w:r w:rsidRPr="00407CF9">
        <w:rPr>
          <w:rStyle w:val="afffffffff3"/>
          <w:rFonts w:hint="cs"/>
          <w:rtl/>
        </w:rPr>
        <w:t>(עג. ד"ה המכה)</w:t>
      </w:r>
      <w:r>
        <w:rPr>
          <w:rtl/>
        </w:rPr>
        <w:t xml:space="preserve"> </w:t>
      </w:r>
      <w:r w:rsidRPr="00D72FFC">
        <w:rPr>
          <w:rStyle w:val="afffffffff9"/>
          <w:rFonts w:ascii="David" w:eastAsiaTheme="minorEastAsia" w:hAnsi="David" w:cs="David" w:hint="cs"/>
          <w:color w:val="auto"/>
          <w:sz w:val="16"/>
          <w:szCs w:val="16"/>
          <w:rtl/>
        </w:rPr>
        <w:t>ר"ן</w:t>
      </w:r>
      <w:r w:rsidRPr="00D72FFC">
        <w:rPr>
          <w:rFonts w:hint="cs"/>
          <w:rtl/>
        </w:rPr>
        <w:t xml:space="preserve"> </w:t>
      </w:r>
      <w:r w:rsidRPr="00D72FFC">
        <w:rPr>
          <w:rStyle w:val="afffffffff9"/>
          <w:rFonts w:ascii="David" w:eastAsiaTheme="minorEastAsia" w:hAnsi="David" w:cs="David" w:hint="cs"/>
          <w:color w:val="auto"/>
          <w:sz w:val="16"/>
          <w:szCs w:val="16"/>
          <w:rtl/>
        </w:rPr>
        <w:t xml:space="preserve">לעיל </w:t>
      </w:r>
      <w:r w:rsidRPr="00407CF9">
        <w:rPr>
          <w:rStyle w:val="afffffffff3"/>
          <w:rFonts w:hint="cs"/>
          <w:rtl/>
        </w:rPr>
        <w:t>(עג. ד"ה והמכה)</w:t>
      </w:r>
      <w:r>
        <w:rPr>
          <w:rtl/>
        </w:rPr>
        <w:t xml:space="preserve"> </w:t>
      </w:r>
      <w:r w:rsidRPr="00D72FFC">
        <w:rPr>
          <w:rStyle w:val="afffffffff9"/>
          <w:rFonts w:ascii="David" w:eastAsiaTheme="minorEastAsia" w:hAnsi="David" w:cs="David" w:hint="cs"/>
          <w:color w:val="auto"/>
          <w:sz w:val="16"/>
          <w:szCs w:val="16"/>
          <w:rtl/>
        </w:rPr>
        <w:t>פסקי הרי"ד לעיל</w:t>
      </w:r>
      <w:r w:rsidRPr="00D72FFC">
        <w:rPr>
          <w:rFonts w:hint="cs"/>
          <w:rtl/>
        </w:rPr>
        <w:t xml:space="preserve"> </w:t>
      </w:r>
      <w:r w:rsidRPr="00407CF9">
        <w:rPr>
          <w:rStyle w:val="afffffffff3"/>
          <w:rFonts w:hint="cs"/>
          <w:rtl/>
        </w:rPr>
        <w:t>(עה: ד"ה והמסתת)</w:t>
      </w:r>
      <w:r>
        <w:rPr>
          <w:rtl/>
        </w:rPr>
        <w:t>,</w:t>
      </w:r>
      <w:r w:rsidRPr="00407CF9">
        <w:rPr>
          <w:rStyle w:val="afffffffff9"/>
          <w:rFonts w:ascii="David" w:eastAsiaTheme="minorEastAsia" w:hAnsi="David" w:cs="David" w:hint="cs"/>
          <w:b/>
          <w:bCs/>
          <w:color w:val="auto"/>
          <w:sz w:val="16"/>
          <w:szCs w:val="16"/>
          <w:rtl/>
        </w:rPr>
        <w:t xml:space="preserve"> </w:t>
      </w:r>
      <w:r w:rsidRPr="00407CF9">
        <w:rPr>
          <w:rStyle w:val="afffffffff9"/>
          <w:rFonts w:ascii="David" w:eastAsiaTheme="minorEastAsia" w:hAnsi="David" w:cs="David"/>
          <w:b/>
          <w:bCs/>
          <w:color w:val="auto"/>
          <w:sz w:val="16"/>
          <w:szCs w:val="16"/>
          <w:rtl/>
        </w:rPr>
        <w:fldChar w:fldCharType="begin"/>
      </w:r>
      <w:r w:rsidRPr="00407CF9">
        <w:rPr>
          <w:rStyle w:val="afffffffff9"/>
          <w:rFonts w:ascii="David" w:eastAsiaTheme="minorEastAsia" w:hAnsi="David" w:cs="David"/>
          <w:b/>
          <w:bCs/>
          <w:color w:val="auto"/>
          <w:sz w:val="16"/>
          <w:szCs w:val="16"/>
          <w:rtl/>
        </w:rPr>
        <w:instrText xml:space="preserve"> </w:instrText>
      </w:r>
      <w:r w:rsidRPr="00407CF9">
        <w:rPr>
          <w:rStyle w:val="afffffffff9"/>
          <w:rFonts w:ascii="David" w:eastAsiaTheme="minorEastAsia" w:hAnsi="David" w:cs="David" w:hint="cs"/>
          <w:b/>
          <w:bCs/>
          <w:color w:val="auto"/>
          <w:sz w:val="16"/>
          <w:szCs w:val="16"/>
        </w:rPr>
        <w:instrText>REF</w:instrText>
      </w:r>
      <w:r w:rsidRPr="00407CF9">
        <w:rPr>
          <w:rStyle w:val="afffffffff9"/>
          <w:rFonts w:ascii="David" w:eastAsiaTheme="minorEastAsia" w:hAnsi="David" w:cs="David" w:hint="cs"/>
          <w:b/>
          <w:bCs/>
          <w:color w:val="auto"/>
          <w:sz w:val="16"/>
          <w:szCs w:val="16"/>
          <w:rtl/>
        </w:rPr>
        <w:instrText xml:space="preserve"> _</w:instrText>
      </w:r>
      <w:r w:rsidRPr="00407CF9">
        <w:rPr>
          <w:rStyle w:val="afffffffff9"/>
          <w:rFonts w:ascii="David" w:eastAsiaTheme="minorEastAsia" w:hAnsi="David" w:cs="David" w:hint="cs"/>
          <w:b/>
          <w:bCs/>
          <w:color w:val="auto"/>
          <w:sz w:val="16"/>
          <w:szCs w:val="16"/>
        </w:rPr>
        <w:instrText>Ref143809910 \r \h</w:instrText>
      </w:r>
      <w:r w:rsidRPr="00407CF9">
        <w:rPr>
          <w:rStyle w:val="afffffffff9"/>
          <w:rFonts w:ascii="David" w:eastAsiaTheme="minorEastAsia" w:hAnsi="David" w:cs="David"/>
          <w:b/>
          <w:bCs/>
          <w:color w:val="auto"/>
          <w:sz w:val="16"/>
          <w:szCs w:val="16"/>
          <w:rtl/>
        </w:rPr>
        <w:instrText xml:space="preserve">  \* </w:instrText>
      </w:r>
      <w:r w:rsidRPr="00407CF9">
        <w:rPr>
          <w:rStyle w:val="afffffffff9"/>
          <w:rFonts w:ascii="David" w:eastAsiaTheme="minorEastAsia" w:hAnsi="David" w:cs="David"/>
          <w:b/>
          <w:bCs/>
          <w:color w:val="auto"/>
          <w:sz w:val="16"/>
          <w:szCs w:val="16"/>
        </w:rPr>
        <w:instrText>MERGEFORMAT</w:instrText>
      </w:r>
      <w:r w:rsidRPr="00407CF9">
        <w:rPr>
          <w:rStyle w:val="afffffffff9"/>
          <w:rFonts w:ascii="David" w:eastAsiaTheme="minorEastAsia" w:hAnsi="David" w:cs="David"/>
          <w:b/>
          <w:bCs/>
          <w:color w:val="auto"/>
          <w:sz w:val="16"/>
          <w:szCs w:val="16"/>
          <w:rtl/>
        </w:rPr>
        <w:instrText xml:space="preserve"> </w:instrText>
      </w:r>
      <w:r w:rsidRPr="00407CF9">
        <w:rPr>
          <w:rStyle w:val="afffffffff9"/>
          <w:rFonts w:ascii="David" w:eastAsiaTheme="minorEastAsia" w:hAnsi="David" w:cs="David"/>
          <w:b/>
          <w:bCs/>
          <w:color w:val="auto"/>
          <w:sz w:val="16"/>
          <w:szCs w:val="16"/>
          <w:rtl/>
        </w:rPr>
      </w:r>
      <w:r w:rsidRPr="00407CF9">
        <w:rPr>
          <w:rStyle w:val="afffffffff9"/>
          <w:rFonts w:ascii="David" w:eastAsiaTheme="minorEastAsia" w:hAnsi="David" w:cs="David"/>
          <w:b/>
          <w:bCs/>
          <w:color w:val="auto"/>
          <w:sz w:val="16"/>
          <w:szCs w:val="16"/>
          <w:rtl/>
        </w:rPr>
        <w:fldChar w:fldCharType="separate"/>
      </w:r>
      <w:r w:rsidR="00D82181">
        <w:rPr>
          <w:rStyle w:val="afffffffff9"/>
          <w:rFonts w:ascii="David" w:eastAsiaTheme="minorEastAsia" w:hAnsi="David" w:cs="David"/>
          <w:b/>
          <w:bCs/>
          <w:color w:val="auto"/>
          <w:sz w:val="16"/>
          <w:szCs w:val="16"/>
          <w:cs/>
        </w:rPr>
        <w:t>‎</w:t>
      </w:r>
      <w:r w:rsidR="00D82181">
        <w:rPr>
          <w:rStyle w:val="afffffffff9"/>
          <w:rFonts w:ascii="David" w:eastAsiaTheme="minorEastAsia" w:hAnsi="David" w:cs="David"/>
          <w:b/>
          <w:bCs/>
          <w:color w:val="auto"/>
          <w:sz w:val="16"/>
          <w:szCs w:val="16"/>
          <w:rtl/>
        </w:rPr>
        <w:t>ו)</w:t>
      </w:r>
      <w:r w:rsidRPr="00407CF9">
        <w:rPr>
          <w:rStyle w:val="afffffffff9"/>
          <w:rFonts w:ascii="David" w:eastAsiaTheme="minorEastAsia" w:hAnsi="David" w:cs="David"/>
          <w:b/>
          <w:bCs/>
          <w:color w:val="auto"/>
          <w:sz w:val="16"/>
          <w:szCs w:val="16"/>
          <w:rtl/>
        </w:rPr>
        <w:fldChar w:fldCharType="end"/>
      </w:r>
      <w:r w:rsidRPr="00407CF9">
        <w:rPr>
          <w:rStyle w:val="afffffffff9"/>
          <w:rFonts w:ascii="David" w:eastAsiaTheme="minorEastAsia" w:hAnsi="David" w:cs="David" w:hint="cs"/>
          <w:b/>
          <w:bCs/>
          <w:color w:val="auto"/>
          <w:sz w:val="16"/>
          <w:szCs w:val="16"/>
          <w:rtl/>
        </w:rPr>
        <w:t xml:space="preserve"> </w:t>
      </w:r>
      <w:r w:rsidRPr="00D72FFC">
        <w:rPr>
          <w:rStyle w:val="afffffffff9"/>
          <w:rFonts w:ascii="David" w:eastAsiaTheme="minorEastAsia" w:hAnsi="David" w:cs="David" w:hint="cs"/>
          <w:color w:val="auto"/>
          <w:sz w:val="16"/>
          <w:szCs w:val="16"/>
          <w:rtl/>
        </w:rPr>
        <w:t>רמב"ן לעיל</w:t>
      </w:r>
      <w:r w:rsidRPr="00D72FFC">
        <w:rPr>
          <w:rFonts w:hint="cs"/>
          <w:rtl/>
        </w:rPr>
        <w:t xml:space="preserve"> </w:t>
      </w:r>
      <w:r w:rsidRPr="00407CF9">
        <w:rPr>
          <w:rStyle w:val="afffffffff3"/>
          <w:rFonts w:hint="cs"/>
          <w:rtl/>
        </w:rPr>
        <w:t>(עג. ד"ה מכה)</w:t>
      </w:r>
      <w:r>
        <w:rPr>
          <w:rtl/>
        </w:rPr>
        <w:t>,</w:t>
      </w:r>
      <w:r w:rsidRPr="00407CF9">
        <w:rPr>
          <w:rStyle w:val="afffffffff9"/>
          <w:rFonts w:ascii="David" w:eastAsiaTheme="minorEastAsia" w:hAnsi="David" w:cs="David" w:hint="cs"/>
          <w:b/>
          <w:bCs/>
          <w:color w:val="auto"/>
          <w:sz w:val="16"/>
          <w:szCs w:val="16"/>
          <w:rtl/>
        </w:rPr>
        <w:t xml:space="preserve"> </w:t>
      </w:r>
      <w:r w:rsidRPr="00407CF9">
        <w:rPr>
          <w:rStyle w:val="afffffffff9"/>
          <w:rFonts w:ascii="David" w:eastAsiaTheme="minorEastAsia" w:hAnsi="David" w:cs="David"/>
          <w:b/>
          <w:bCs/>
          <w:color w:val="auto"/>
          <w:sz w:val="16"/>
          <w:szCs w:val="16"/>
          <w:rtl/>
        </w:rPr>
        <w:fldChar w:fldCharType="begin"/>
      </w:r>
      <w:r w:rsidRPr="00407CF9">
        <w:rPr>
          <w:rStyle w:val="afffffffff9"/>
          <w:rFonts w:ascii="David" w:eastAsiaTheme="minorEastAsia" w:hAnsi="David" w:cs="David"/>
          <w:b/>
          <w:bCs/>
          <w:color w:val="auto"/>
          <w:sz w:val="16"/>
          <w:szCs w:val="16"/>
          <w:rtl/>
        </w:rPr>
        <w:instrText xml:space="preserve"> </w:instrText>
      </w:r>
      <w:r w:rsidRPr="00407CF9">
        <w:rPr>
          <w:rStyle w:val="afffffffff9"/>
          <w:rFonts w:ascii="David" w:eastAsiaTheme="minorEastAsia" w:hAnsi="David" w:cs="David" w:hint="cs"/>
          <w:b/>
          <w:bCs/>
          <w:color w:val="auto"/>
          <w:sz w:val="16"/>
          <w:szCs w:val="16"/>
        </w:rPr>
        <w:instrText>REF</w:instrText>
      </w:r>
      <w:r w:rsidRPr="00407CF9">
        <w:rPr>
          <w:rStyle w:val="afffffffff9"/>
          <w:rFonts w:ascii="David" w:eastAsiaTheme="minorEastAsia" w:hAnsi="David" w:cs="David" w:hint="cs"/>
          <w:b/>
          <w:bCs/>
          <w:color w:val="auto"/>
          <w:sz w:val="16"/>
          <w:szCs w:val="16"/>
          <w:rtl/>
        </w:rPr>
        <w:instrText xml:space="preserve"> _</w:instrText>
      </w:r>
      <w:r w:rsidRPr="00407CF9">
        <w:rPr>
          <w:rStyle w:val="afffffffff9"/>
          <w:rFonts w:ascii="David" w:eastAsiaTheme="minorEastAsia" w:hAnsi="David" w:cs="David" w:hint="cs"/>
          <w:b/>
          <w:bCs/>
          <w:color w:val="auto"/>
          <w:sz w:val="16"/>
          <w:szCs w:val="16"/>
        </w:rPr>
        <w:instrText>Ref143855855 \r \h</w:instrText>
      </w:r>
      <w:r w:rsidRPr="00407CF9">
        <w:rPr>
          <w:rStyle w:val="afffffffff9"/>
          <w:rFonts w:ascii="David" w:eastAsiaTheme="minorEastAsia" w:hAnsi="David" w:cs="David"/>
          <w:b/>
          <w:bCs/>
          <w:color w:val="auto"/>
          <w:sz w:val="16"/>
          <w:szCs w:val="16"/>
          <w:rtl/>
        </w:rPr>
        <w:instrText xml:space="preserve">  \* </w:instrText>
      </w:r>
      <w:r w:rsidRPr="00407CF9">
        <w:rPr>
          <w:rStyle w:val="afffffffff9"/>
          <w:rFonts w:ascii="David" w:eastAsiaTheme="minorEastAsia" w:hAnsi="David" w:cs="David"/>
          <w:b/>
          <w:bCs/>
          <w:color w:val="auto"/>
          <w:sz w:val="16"/>
          <w:szCs w:val="16"/>
        </w:rPr>
        <w:instrText>MERGEFORMAT</w:instrText>
      </w:r>
      <w:r w:rsidRPr="00407CF9">
        <w:rPr>
          <w:rStyle w:val="afffffffff9"/>
          <w:rFonts w:ascii="David" w:eastAsiaTheme="minorEastAsia" w:hAnsi="David" w:cs="David"/>
          <w:b/>
          <w:bCs/>
          <w:color w:val="auto"/>
          <w:sz w:val="16"/>
          <w:szCs w:val="16"/>
          <w:rtl/>
        </w:rPr>
        <w:instrText xml:space="preserve"> </w:instrText>
      </w:r>
      <w:r w:rsidRPr="00407CF9">
        <w:rPr>
          <w:rStyle w:val="afffffffff9"/>
          <w:rFonts w:ascii="David" w:eastAsiaTheme="minorEastAsia" w:hAnsi="David" w:cs="David"/>
          <w:b/>
          <w:bCs/>
          <w:color w:val="auto"/>
          <w:sz w:val="16"/>
          <w:szCs w:val="16"/>
          <w:rtl/>
        </w:rPr>
      </w:r>
      <w:r w:rsidRPr="00407CF9">
        <w:rPr>
          <w:rStyle w:val="afffffffff9"/>
          <w:rFonts w:ascii="David" w:eastAsiaTheme="minorEastAsia" w:hAnsi="David" w:cs="David"/>
          <w:b/>
          <w:bCs/>
          <w:color w:val="auto"/>
          <w:sz w:val="16"/>
          <w:szCs w:val="16"/>
          <w:rtl/>
        </w:rPr>
        <w:fldChar w:fldCharType="separate"/>
      </w:r>
      <w:r w:rsidR="00D82181">
        <w:rPr>
          <w:rStyle w:val="afffffffff9"/>
          <w:rFonts w:ascii="David" w:eastAsiaTheme="minorEastAsia" w:hAnsi="David" w:cs="David"/>
          <w:b/>
          <w:bCs/>
          <w:color w:val="auto"/>
          <w:sz w:val="16"/>
          <w:szCs w:val="16"/>
          <w:cs/>
        </w:rPr>
        <w:t>‎</w:t>
      </w:r>
      <w:r w:rsidR="00D82181">
        <w:rPr>
          <w:rStyle w:val="afffffffff9"/>
          <w:rFonts w:ascii="David" w:eastAsiaTheme="minorEastAsia" w:hAnsi="David" w:cs="David"/>
          <w:b/>
          <w:bCs/>
          <w:color w:val="auto"/>
          <w:sz w:val="16"/>
          <w:szCs w:val="16"/>
          <w:rtl/>
        </w:rPr>
        <w:t>ז)</w:t>
      </w:r>
      <w:r w:rsidRPr="00407CF9">
        <w:rPr>
          <w:rStyle w:val="afffffffff9"/>
          <w:rFonts w:ascii="David" w:eastAsiaTheme="minorEastAsia" w:hAnsi="David" w:cs="David"/>
          <w:b/>
          <w:bCs/>
          <w:color w:val="auto"/>
          <w:sz w:val="16"/>
          <w:szCs w:val="16"/>
          <w:rtl/>
        </w:rPr>
        <w:fldChar w:fldCharType="end"/>
      </w:r>
      <w:r w:rsidRPr="00407CF9">
        <w:rPr>
          <w:rStyle w:val="afffffffff9"/>
          <w:rFonts w:ascii="David" w:eastAsiaTheme="minorEastAsia" w:hAnsi="David" w:cs="David" w:hint="cs"/>
          <w:b/>
          <w:bCs/>
          <w:color w:val="auto"/>
          <w:sz w:val="16"/>
          <w:szCs w:val="16"/>
          <w:rtl/>
        </w:rPr>
        <w:t xml:space="preserve"> </w:t>
      </w:r>
      <w:r w:rsidRPr="00D72FFC">
        <w:rPr>
          <w:rStyle w:val="afffffffff9"/>
          <w:rFonts w:ascii="David" w:eastAsiaTheme="minorEastAsia" w:hAnsi="David" w:cs="David" w:hint="cs"/>
          <w:color w:val="auto"/>
          <w:sz w:val="16"/>
          <w:szCs w:val="16"/>
          <w:rtl/>
        </w:rPr>
        <w:t>חת"ס</w:t>
      </w:r>
      <w:r w:rsidRPr="00D72FFC">
        <w:rPr>
          <w:rFonts w:hint="cs"/>
          <w:rtl/>
        </w:rPr>
        <w:t xml:space="preserve"> </w:t>
      </w:r>
      <w:r w:rsidRPr="00407CF9">
        <w:rPr>
          <w:rStyle w:val="afffffffff3"/>
          <w:rFonts w:hint="cs"/>
          <w:rtl/>
        </w:rPr>
        <w:t>(ד"ה והנה)</w:t>
      </w:r>
      <w:r>
        <w:rPr>
          <w:rtl/>
        </w:rPr>
        <w:t xml:space="preserve"> </w:t>
      </w:r>
      <w:r w:rsidRPr="00D72FFC">
        <w:rPr>
          <w:rStyle w:val="afffffffff9"/>
          <w:rFonts w:ascii="David" w:eastAsiaTheme="minorEastAsia" w:hAnsi="David" w:cs="David" w:hint="cs"/>
          <w:color w:val="auto"/>
          <w:sz w:val="16"/>
          <w:szCs w:val="16"/>
          <w:rtl/>
        </w:rPr>
        <w:t>רש"ש</w:t>
      </w:r>
      <w:r w:rsidRPr="00D72FFC">
        <w:rPr>
          <w:rFonts w:hint="cs"/>
          <w:rtl/>
        </w:rPr>
        <w:t xml:space="preserve"> </w:t>
      </w:r>
      <w:r w:rsidRPr="00407CF9">
        <w:rPr>
          <w:rStyle w:val="afffffffff3"/>
          <w:rFonts w:hint="cs"/>
          <w:rtl/>
        </w:rPr>
        <w:t>(ד"ה והנה לפר"י)</w:t>
      </w:r>
      <w:r>
        <w:rPr>
          <w:rtl/>
        </w:rPr>
        <w:t>,</w:t>
      </w:r>
      <w:r w:rsidRPr="00407CF9">
        <w:rPr>
          <w:rStyle w:val="afffffffff9"/>
          <w:rFonts w:ascii="David" w:eastAsiaTheme="minorEastAsia" w:hAnsi="David" w:cs="David" w:hint="cs"/>
          <w:b/>
          <w:bCs/>
          <w:color w:val="auto"/>
          <w:sz w:val="16"/>
          <w:szCs w:val="16"/>
          <w:rtl/>
        </w:rPr>
        <w:t xml:space="preserve"> </w:t>
      </w:r>
      <w:r w:rsidRPr="00407CF9">
        <w:rPr>
          <w:rStyle w:val="afffffffff9"/>
          <w:rFonts w:ascii="David" w:eastAsiaTheme="minorEastAsia" w:hAnsi="David" w:cs="David"/>
          <w:b/>
          <w:bCs/>
          <w:color w:val="auto"/>
          <w:sz w:val="16"/>
          <w:szCs w:val="16"/>
          <w:rtl/>
        </w:rPr>
        <w:fldChar w:fldCharType="begin"/>
      </w:r>
      <w:r w:rsidRPr="00407CF9">
        <w:rPr>
          <w:rStyle w:val="afffffffff9"/>
          <w:rFonts w:ascii="David" w:eastAsiaTheme="minorEastAsia" w:hAnsi="David" w:cs="David"/>
          <w:b/>
          <w:bCs/>
          <w:color w:val="auto"/>
          <w:sz w:val="16"/>
          <w:szCs w:val="16"/>
          <w:rtl/>
        </w:rPr>
        <w:instrText xml:space="preserve"> </w:instrText>
      </w:r>
      <w:r w:rsidRPr="00407CF9">
        <w:rPr>
          <w:rStyle w:val="afffffffff9"/>
          <w:rFonts w:ascii="David" w:eastAsiaTheme="minorEastAsia" w:hAnsi="David" w:cs="David" w:hint="cs"/>
          <w:b/>
          <w:bCs/>
          <w:color w:val="auto"/>
          <w:sz w:val="16"/>
          <w:szCs w:val="16"/>
        </w:rPr>
        <w:instrText>REF</w:instrText>
      </w:r>
      <w:r w:rsidRPr="00407CF9">
        <w:rPr>
          <w:rStyle w:val="afffffffff9"/>
          <w:rFonts w:ascii="David" w:eastAsiaTheme="minorEastAsia" w:hAnsi="David" w:cs="David" w:hint="cs"/>
          <w:b/>
          <w:bCs/>
          <w:color w:val="auto"/>
          <w:sz w:val="16"/>
          <w:szCs w:val="16"/>
          <w:rtl/>
        </w:rPr>
        <w:instrText xml:space="preserve"> _</w:instrText>
      </w:r>
      <w:r w:rsidRPr="00407CF9">
        <w:rPr>
          <w:rStyle w:val="afffffffff9"/>
          <w:rFonts w:ascii="David" w:eastAsiaTheme="minorEastAsia" w:hAnsi="David" w:cs="David" w:hint="cs"/>
          <w:b/>
          <w:bCs/>
          <w:color w:val="auto"/>
          <w:sz w:val="16"/>
          <w:szCs w:val="16"/>
        </w:rPr>
        <w:instrText>Ref144065245 \r \h</w:instrText>
      </w:r>
      <w:r w:rsidRPr="00407CF9">
        <w:rPr>
          <w:rStyle w:val="afffffffff9"/>
          <w:rFonts w:ascii="David" w:eastAsiaTheme="minorEastAsia" w:hAnsi="David" w:cs="David"/>
          <w:b/>
          <w:bCs/>
          <w:color w:val="auto"/>
          <w:sz w:val="16"/>
          <w:szCs w:val="16"/>
          <w:rtl/>
        </w:rPr>
        <w:instrText xml:space="preserve">  \* </w:instrText>
      </w:r>
      <w:r w:rsidRPr="00407CF9">
        <w:rPr>
          <w:rStyle w:val="afffffffff9"/>
          <w:rFonts w:ascii="David" w:eastAsiaTheme="minorEastAsia" w:hAnsi="David" w:cs="David"/>
          <w:b/>
          <w:bCs/>
          <w:color w:val="auto"/>
          <w:sz w:val="16"/>
          <w:szCs w:val="16"/>
        </w:rPr>
        <w:instrText>MERGEFORMAT</w:instrText>
      </w:r>
      <w:r w:rsidRPr="00407CF9">
        <w:rPr>
          <w:rStyle w:val="afffffffff9"/>
          <w:rFonts w:ascii="David" w:eastAsiaTheme="minorEastAsia" w:hAnsi="David" w:cs="David"/>
          <w:b/>
          <w:bCs/>
          <w:color w:val="auto"/>
          <w:sz w:val="16"/>
          <w:szCs w:val="16"/>
          <w:rtl/>
        </w:rPr>
        <w:instrText xml:space="preserve"> </w:instrText>
      </w:r>
      <w:r w:rsidRPr="00407CF9">
        <w:rPr>
          <w:rStyle w:val="afffffffff9"/>
          <w:rFonts w:ascii="David" w:eastAsiaTheme="minorEastAsia" w:hAnsi="David" w:cs="David"/>
          <w:b/>
          <w:bCs/>
          <w:color w:val="auto"/>
          <w:sz w:val="16"/>
          <w:szCs w:val="16"/>
          <w:rtl/>
        </w:rPr>
      </w:r>
      <w:r w:rsidRPr="00407CF9">
        <w:rPr>
          <w:rStyle w:val="afffffffff9"/>
          <w:rFonts w:ascii="David" w:eastAsiaTheme="minorEastAsia" w:hAnsi="David" w:cs="David"/>
          <w:b/>
          <w:bCs/>
          <w:color w:val="auto"/>
          <w:sz w:val="16"/>
          <w:szCs w:val="16"/>
          <w:rtl/>
        </w:rPr>
        <w:fldChar w:fldCharType="separate"/>
      </w:r>
      <w:r w:rsidR="00D82181">
        <w:rPr>
          <w:rStyle w:val="afffffffff9"/>
          <w:rFonts w:ascii="David" w:eastAsiaTheme="minorEastAsia" w:hAnsi="David" w:cs="David"/>
          <w:b/>
          <w:bCs/>
          <w:color w:val="auto"/>
          <w:sz w:val="16"/>
          <w:szCs w:val="16"/>
          <w:cs/>
        </w:rPr>
        <w:t>‎</w:t>
      </w:r>
      <w:r w:rsidR="00D82181">
        <w:rPr>
          <w:rStyle w:val="afffffffff9"/>
          <w:rFonts w:ascii="David" w:eastAsiaTheme="minorEastAsia" w:hAnsi="David" w:cs="David"/>
          <w:b/>
          <w:bCs/>
          <w:color w:val="auto"/>
          <w:sz w:val="16"/>
          <w:szCs w:val="16"/>
          <w:rtl/>
        </w:rPr>
        <w:t>ח)</w:t>
      </w:r>
      <w:r w:rsidRPr="00407CF9">
        <w:rPr>
          <w:rStyle w:val="afffffffff9"/>
          <w:rFonts w:ascii="David" w:eastAsiaTheme="minorEastAsia" w:hAnsi="David" w:cs="David"/>
          <w:b/>
          <w:bCs/>
          <w:color w:val="auto"/>
          <w:sz w:val="16"/>
          <w:szCs w:val="16"/>
          <w:rtl/>
        </w:rPr>
        <w:fldChar w:fldCharType="end"/>
      </w:r>
      <w:r w:rsidRPr="00407CF9">
        <w:rPr>
          <w:rStyle w:val="afffffffff9"/>
          <w:rFonts w:ascii="David" w:eastAsiaTheme="minorEastAsia" w:hAnsi="David" w:cs="David" w:hint="cs"/>
          <w:b/>
          <w:bCs/>
          <w:color w:val="auto"/>
          <w:sz w:val="16"/>
          <w:szCs w:val="16"/>
          <w:rtl/>
        </w:rPr>
        <w:t xml:space="preserve"> </w:t>
      </w:r>
      <w:r w:rsidRPr="00D72FFC">
        <w:rPr>
          <w:rStyle w:val="afffffffff9"/>
          <w:rFonts w:ascii="David" w:eastAsiaTheme="minorEastAsia" w:hAnsi="David" w:cs="David" w:hint="cs"/>
          <w:color w:val="auto"/>
          <w:sz w:val="16"/>
          <w:szCs w:val="16"/>
          <w:rtl/>
        </w:rPr>
        <w:t>רמב"ם בפיהמ"ש</w:t>
      </w:r>
      <w:r w:rsidRPr="00D72FFC">
        <w:rPr>
          <w:rFonts w:hint="cs"/>
          <w:rtl/>
        </w:rPr>
        <w:t xml:space="preserve"> </w:t>
      </w:r>
      <w:r w:rsidRPr="00407CF9">
        <w:rPr>
          <w:rStyle w:val="afffffffff3"/>
          <w:rFonts w:hint="cs"/>
          <w:rtl/>
        </w:rPr>
        <w:t>(פ"ז מ"ב)</w:t>
      </w:r>
      <w:r>
        <w:rPr>
          <w:rtl/>
        </w:rPr>
        <w:t xml:space="preserve"> </w:t>
      </w:r>
      <w:r w:rsidRPr="00D72FFC">
        <w:rPr>
          <w:rStyle w:val="afffffffff9"/>
          <w:rFonts w:ascii="David" w:eastAsiaTheme="minorEastAsia" w:hAnsi="David" w:cs="David" w:hint="cs"/>
          <w:color w:val="auto"/>
          <w:sz w:val="16"/>
          <w:szCs w:val="16"/>
          <w:rtl/>
        </w:rPr>
        <w:t>ערוך השולחן</w:t>
      </w:r>
      <w:r w:rsidRPr="00D72FFC">
        <w:rPr>
          <w:rFonts w:hint="cs"/>
          <w:rtl/>
        </w:rPr>
        <w:t xml:space="preserve"> </w:t>
      </w:r>
      <w:r w:rsidRPr="00407CF9">
        <w:rPr>
          <w:rStyle w:val="afffffffff3"/>
          <w:rFonts w:hint="cs"/>
          <w:rtl/>
        </w:rPr>
        <w:t xml:space="preserve">(עי' אות </w:t>
      </w:r>
      <w:r w:rsidRPr="00407CF9">
        <w:rPr>
          <w:rStyle w:val="afffffffff3"/>
          <w:rtl/>
        </w:rPr>
        <w:fldChar w:fldCharType="begin"/>
      </w:r>
      <w:r w:rsidRPr="00407CF9">
        <w:rPr>
          <w:rStyle w:val="afffffffff3"/>
          <w:rtl/>
        </w:rPr>
        <w:instrText xml:space="preserve"> </w:instrText>
      </w:r>
      <w:r w:rsidRPr="00407CF9">
        <w:rPr>
          <w:rStyle w:val="afffffffff3"/>
          <w:rFonts w:hint="cs"/>
        </w:rPr>
        <w:instrText>REF</w:instrText>
      </w:r>
      <w:r w:rsidRPr="00407CF9">
        <w:rPr>
          <w:rStyle w:val="afffffffff3"/>
          <w:rFonts w:hint="cs"/>
          <w:rtl/>
        </w:rPr>
        <w:instrText xml:space="preserve"> _</w:instrText>
      </w:r>
      <w:r w:rsidRPr="00407CF9">
        <w:rPr>
          <w:rStyle w:val="afffffffff3"/>
          <w:rFonts w:hint="cs"/>
        </w:rPr>
        <w:instrText>Ref144199637 \r \h</w:instrText>
      </w:r>
      <w:r w:rsidRPr="00407CF9">
        <w:rPr>
          <w:rStyle w:val="afffffffff3"/>
          <w:rtl/>
        </w:rPr>
        <w:instrText xml:space="preserve">  \* </w:instrText>
      </w:r>
      <w:r w:rsidRPr="00407CF9">
        <w:rPr>
          <w:rStyle w:val="afffffffff3"/>
        </w:rPr>
        <w:instrText>MERGEFORMAT</w:instrText>
      </w:r>
      <w:r w:rsidRPr="00407CF9">
        <w:rPr>
          <w:rStyle w:val="afffffffff3"/>
          <w:rtl/>
        </w:rPr>
        <w:instrText xml:space="preserve"> </w:instrText>
      </w:r>
      <w:r w:rsidRPr="00407CF9">
        <w:rPr>
          <w:rStyle w:val="afffffffff3"/>
          <w:rtl/>
        </w:rPr>
      </w:r>
      <w:r w:rsidRPr="00407CF9">
        <w:rPr>
          <w:rStyle w:val="afffffffff3"/>
          <w:rtl/>
        </w:rPr>
        <w:fldChar w:fldCharType="separate"/>
      </w:r>
      <w:r w:rsidR="00D82181">
        <w:rPr>
          <w:rStyle w:val="afffffffff3"/>
          <w:cs/>
        </w:rPr>
        <w:t>‎</w:t>
      </w:r>
      <w:r w:rsidR="00D82181">
        <w:rPr>
          <w:rStyle w:val="afffffffff3"/>
          <w:rtl/>
        </w:rPr>
        <w:t>כא)</w:t>
      </w:r>
      <w:r w:rsidRPr="00407CF9">
        <w:rPr>
          <w:rStyle w:val="afffffffff3"/>
          <w:rtl/>
        </w:rPr>
        <w:fldChar w:fldCharType="end"/>
      </w:r>
      <w:r>
        <w:rPr>
          <w:rtl/>
        </w:rPr>
        <w:t xml:space="preserve"> </w:t>
      </w:r>
      <w:r w:rsidRPr="00D72FFC">
        <w:rPr>
          <w:rStyle w:val="42"/>
          <w:rFonts w:ascii="David" w:eastAsiaTheme="minorEastAsia" w:hAnsi="David" w:cs="David" w:hint="cs"/>
          <w:i w:val="0"/>
          <w:iCs w:val="0"/>
          <w:color w:val="auto"/>
          <w:rtl/>
        </w:rPr>
        <w:t>ערוך</w:t>
      </w:r>
      <w:r w:rsidRPr="00D72FFC">
        <w:rPr>
          <w:rStyle w:val="ab"/>
          <w:rFonts w:ascii="David" w:eastAsiaTheme="minorEastAsia" w:hAnsi="David" w:cs="David" w:hint="cs"/>
          <w:bCs w:val="0"/>
          <w:sz w:val="16"/>
          <w:szCs w:val="16"/>
          <w:rtl/>
        </w:rPr>
        <w:t xml:space="preserve"> </w:t>
      </w:r>
      <w:r w:rsidRPr="00D72FFC">
        <w:rPr>
          <w:rStyle w:val="42"/>
          <w:rFonts w:ascii="David" w:eastAsiaTheme="minorEastAsia" w:hAnsi="David" w:cs="David" w:hint="cs"/>
          <w:i w:val="0"/>
          <w:iCs w:val="0"/>
          <w:color w:val="auto"/>
          <w:rtl/>
        </w:rPr>
        <w:t>השולחן</w:t>
      </w:r>
      <w:r w:rsidRPr="00D72FFC">
        <w:rPr>
          <w:rStyle w:val="ab"/>
          <w:rFonts w:ascii="David" w:eastAsiaTheme="minorEastAsia" w:hAnsi="David" w:cs="David"/>
          <w:bCs w:val="0"/>
          <w:sz w:val="16"/>
          <w:szCs w:val="16"/>
          <w:rtl/>
        </w:rPr>
        <w:t xml:space="preserve"> </w:t>
      </w:r>
      <w:r w:rsidRPr="00407CF9">
        <w:rPr>
          <w:rStyle w:val="afffffffff3"/>
          <w:rtl/>
        </w:rPr>
        <w:t>(</w:t>
      </w:r>
      <w:r w:rsidRPr="00407CF9">
        <w:rPr>
          <w:rStyle w:val="afffffffff3"/>
          <w:rFonts w:hint="cs"/>
          <w:rtl/>
        </w:rPr>
        <w:t>סי' שי"ג ט"ו</w:t>
      </w:r>
      <w:r w:rsidRPr="00407CF9">
        <w:rPr>
          <w:rStyle w:val="afffffffff3"/>
          <w:rtl/>
        </w:rPr>
        <w:t>)</w:t>
      </w:r>
      <w:r>
        <w:rPr>
          <w:rtl/>
        </w:rPr>
        <w:t>,</w:t>
      </w:r>
      <w:r w:rsidRPr="00407CF9">
        <w:rPr>
          <w:rStyle w:val="afffffffff9"/>
          <w:rFonts w:ascii="David" w:eastAsiaTheme="minorEastAsia" w:hAnsi="David" w:cs="David" w:hint="cs"/>
          <w:b/>
          <w:bCs/>
          <w:color w:val="auto"/>
          <w:sz w:val="16"/>
          <w:szCs w:val="16"/>
          <w:rtl/>
        </w:rPr>
        <w:t xml:space="preserve"> </w:t>
      </w:r>
      <w:r w:rsidRPr="00407CF9">
        <w:rPr>
          <w:rStyle w:val="afffffffff9"/>
          <w:rFonts w:ascii="David" w:eastAsiaTheme="minorEastAsia" w:hAnsi="David" w:cs="David"/>
          <w:b/>
          <w:bCs/>
          <w:color w:val="auto"/>
          <w:sz w:val="16"/>
          <w:szCs w:val="16"/>
          <w:rtl/>
        </w:rPr>
        <w:fldChar w:fldCharType="begin"/>
      </w:r>
      <w:r w:rsidRPr="00407CF9">
        <w:rPr>
          <w:rStyle w:val="afffffffff9"/>
          <w:rFonts w:ascii="David" w:eastAsiaTheme="minorEastAsia" w:hAnsi="David" w:cs="David"/>
          <w:b/>
          <w:bCs/>
          <w:color w:val="auto"/>
          <w:sz w:val="16"/>
          <w:szCs w:val="16"/>
          <w:rtl/>
        </w:rPr>
        <w:instrText xml:space="preserve"> </w:instrText>
      </w:r>
      <w:r w:rsidRPr="00407CF9">
        <w:rPr>
          <w:rStyle w:val="afffffffff9"/>
          <w:rFonts w:ascii="David" w:eastAsiaTheme="minorEastAsia" w:hAnsi="David" w:cs="David" w:hint="cs"/>
          <w:b/>
          <w:bCs/>
          <w:color w:val="auto"/>
          <w:sz w:val="16"/>
          <w:szCs w:val="16"/>
        </w:rPr>
        <w:instrText>REF</w:instrText>
      </w:r>
      <w:r w:rsidRPr="00407CF9">
        <w:rPr>
          <w:rStyle w:val="afffffffff9"/>
          <w:rFonts w:ascii="David" w:eastAsiaTheme="minorEastAsia" w:hAnsi="David" w:cs="David" w:hint="cs"/>
          <w:b/>
          <w:bCs/>
          <w:color w:val="auto"/>
          <w:sz w:val="16"/>
          <w:szCs w:val="16"/>
          <w:rtl/>
        </w:rPr>
        <w:instrText xml:space="preserve"> _</w:instrText>
      </w:r>
      <w:r w:rsidRPr="00407CF9">
        <w:rPr>
          <w:rStyle w:val="afffffffff9"/>
          <w:rFonts w:ascii="David" w:eastAsiaTheme="minorEastAsia" w:hAnsi="David" w:cs="David" w:hint="cs"/>
          <w:b/>
          <w:bCs/>
          <w:color w:val="auto"/>
          <w:sz w:val="16"/>
          <w:szCs w:val="16"/>
        </w:rPr>
        <w:instrText>Ref143809651 \r \h</w:instrText>
      </w:r>
      <w:r w:rsidRPr="00407CF9">
        <w:rPr>
          <w:rStyle w:val="afffffffff9"/>
          <w:rFonts w:ascii="David" w:eastAsiaTheme="minorEastAsia" w:hAnsi="David" w:cs="David"/>
          <w:b/>
          <w:bCs/>
          <w:color w:val="auto"/>
          <w:sz w:val="16"/>
          <w:szCs w:val="16"/>
          <w:rtl/>
        </w:rPr>
        <w:instrText xml:space="preserve">  \* </w:instrText>
      </w:r>
      <w:r w:rsidRPr="00407CF9">
        <w:rPr>
          <w:rStyle w:val="afffffffff9"/>
          <w:rFonts w:ascii="David" w:eastAsiaTheme="minorEastAsia" w:hAnsi="David" w:cs="David"/>
          <w:b/>
          <w:bCs/>
          <w:color w:val="auto"/>
          <w:sz w:val="16"/>
          <w:szCs w:val="16"/>
        </w:rPr>
        <w:instrText>MERGEFORMAT</w:instrText>
      </w:r>
      <w:r w:rsidRPr="00407CF9">
        <w:rPr>
          <w:rStyle w:val="afffffffff9"/>
          <w:rFonts w:ascii="David" w:eastAsiaTheme="minorEastAsia" w:hAnsi="David" w:cs="David"/>
          <w:b/>
          <w:bCs/>
          <w:color w:val="auto"/>
          <w:sz w:val="16"/>
          <w:szCs w:val="16"/>
          <w:rtl/>
        </w:rPr>
        <w:instrText xml:space="preserve"> </w:instrText>
      </w:r>
      <w:r w:rsidRPr="00407CF9">
        <w:rPr>
          <w:rStyle w:val="afffffffff9"/>
          <w:rFonts w:ascii="David" w:eastAsiaTheme="minorEastAsia" w:hAnsi="David" w:cs="David"/>
          <w:b/>
          <w:bCs/>
          <w:color w:val="auto"/>
          <w:sz w:val="16"/>
          <w:szCs w:val="16"/>
          <w:rtl/>
        </w:rPr>
      </w:r>
      <w:r w:rsidRPr="00407CF9">
        <w:rPr>
          <w:rStyle w:val="afffffffff9"/>
          <w:rFonts w:ascii="David" w:eastAsiaTheme="minorEastAsia" w:hAnsi="David" w:cs="David"/>
          <w:b/>
          <w:bCs/>
          <w:color w:val="auto"/>
          <w:sz w:val="16"/>
          <w:szCs w:val="16"/>
          <w:rtl/>
        </w:rPr>
        <w:fldChar w:fldCharType="separate"/>
      </w:r>
      <w:r w:rsidR="00D82181">
        <w:rPr>
          <w:rStyle w:val="afffffffff9"/>
          <w:rFonts w:ascii="David" w:eastAsiaTheme="minorEastAsia" w:hAnsi="David" w:cs="David"/>
          <w:b/>
          <w:bCs/>
          <w:color w:val="auto"/>
          <w:sz w:val="16"/>
          <w:szCs w:val="16"/>
          <w:cs/>
        </w:rPr>
        <w:t>‎</w:t>
      </w:r>
      <w:r w:rsidR="00D82181">
        <w:rPr>
          <w:rStyle w:val="afffffffff9"/>
          <w:rFonts w:ascii="David" w:eastAsiaTheme="minorEastAsia" w:hAnsi="David" w:cs="David"/>
          <w:b/>
          <w:bCs/>
          <w:color w:val="auto"/>
          <w:sz w:val="16"/>
          <w:szCs w:val="16"/>
          <w:rtl/>
        </w:rPr>
        <w:t>ט)</w:t>
      </w:r>
      <w:r w:rsidRPr="00407CF9">
        <w:rPr>
          <w:rStyle w:val="afffffffff9"/>
          <w:rFonts w:ascii="David" w:eastAsiaTheme="minorEastAsia" w:hAnsi="David" w:cs="David"/>
          <w:b/>
          <w:bCs/>
          <w:color w:val="auto"/>
          <w:sz w:val="16"/>
          <w:szCs w:val="16"/>
          <w:rtl/>
        </w:rPr>
        <w:fldChar w:fldCharType="end"/>
      </w:r>
      <w:r w:rsidRPr="00407CF9">
        <w:rPr>
          <w:rStyle w:val="afffffffff9"/>
          <w:rFonts w:ascii="David" w:eastAsiaTheme="minorEastAsia" w:hAnsi="David" w:cs="David" w:hint="cs"/>
          <w:b/>
          <w:bCs/>
          <w:color w:val="auto"/>
          <w:sz w:val="16"/>
          <w:szCs w:val="16"/>
          <w:rtl/>
        </w:rPr>
        <w:t xml:space="preserve"> </w:t>
      </w:r>
      <w:r w:rsidRPr="00D72FFC">
        <w:rPr>
          <w:rStyle w:val="afffffffff9"/>
          <w:rFonts w:ascii="David" w:eastAsiaTheme="minorEastAsia" w:hAnsi="David" w:cs="David" w:hint="cs"/>
          <w:color w:val="auto"/>
          <w:sz w:val="16"/>
          <w:szCs w:val="16"/>
          <w:rtl/>
        </w:rPr>
        <w:t>מאירי לעיל</w:t>
      </w:r>
      <w:r w:rsidRPr="00D72FFC">
        <w:rPr>
          <w:rFonts w:hint="cs"/>
          <w:rtl/>
        </w:rPr>
        <w:t xml:space="preserve"> </w:t>
      </w:r>
      <w:r w:rsidRPr="00407CF9">
        <w:rPr>
          <w:rStyle w:val="afffffffff3"/>
          <w:rFonts w:hint="cs"/>
          <w:rtl/>
        </w:rPr>
        <w:t>(עג. ד"ה הר"ם פי')</w:t>
      </w:r>
      <w:r>
        <w:rPr>
          <w:rtl/>
        </w:rPr>
        <w:t>,</w:t>
      </w:r>
      <w:r w:rsidRPr="00407CF9">
        <w:rPr>
          <w:rStyle w:val="afffffffff9"/>
          <w:rFonts w:ascii="David" w:eastAsiaTheme="minorEastAsia" w:hAnsi="David" w:cs="David" w:hint="cs"/>
          <w:b/>
          <w:bCs/>
          <w:color w:val="auto"/>
          <w:sz w:val="16"/>
          <w:szCs w:val="16"/>
          <w:rtl/>
        </w:rPr>
        <w:t xml:space="preserve"> </w:t>
      </w:r>
      <w:r w:rsidRPr="00407CF9">
        <w:rPr>
          <w:rStyle w:val="afffffffff9"/>
          <w:rFonts w:ascii="David" w:eastAsiaTheme="minorEastAsia" w:hAnsi="David" w:cs="David"/>
          <w:b/>
          <w:bCs/>
          <w:color w:val="auto"/>
          <w:sz w:val="16"/>
          <w:szCs w:val="16"/>
          <w:rtl/>
        </w:rPr>
        <w:fldChar w:fldCharType="begin"/>
      </w:r>
      <w:r w:rsidRPr="00407CF9">
        <w:rPr>
          <w:rStyle w:val="afffffffff9"/>
          <w:rFonts w:ascii="David" w:eastAsiaTheme="minorEastAsia" w:hAnsi="David" w:cs="David"/>
          <w:b/>
          <w:bCs/>
          <w:color w:val="auto"/>
          <w:sz w:val="16"/>
          <w:szCs w:val="16"/>
          <w:rtl/>
        </w:rPr>
        <w:instrText xml:space="preserve"> </w:instrText>
      </w:r>
      <w:r w:rsidRPr="00407CF9">
        <w:rPr>
          <w:rStyle w:val="afffffffff9"/>
          <w:rFonts w:ascii="David" w:eastAsiaTheme="minorEastAsia" w:hAnsi="David" w:cs="David" w:hint="cs"/>
          <w:b/>
          <w:bCs/>
          <w:color w:val="auto"/>
          <w:sz w:val="16"/>
          <w:szCs w:val="16"/>
        </w:rPr>
        <w:instrText>REF</w:instrText>
      </w:r>
      <w:r w:rsidRPr="00407CF9">
        <w:rPr>
          <w:rStyle w:val="afffffffff9"/>
          <w:rFonts w:ascii="David" w:eastAsiaTheme="minorEastAsia" w:hAnsi="David" w:cs="David" w:hint="cs"/>
          <w:b/>
          <w:bCs/>
          <w:color w:val="auto"/>
          <w:sz w:val="16"/>
          <w:szCs w:val="16"/>
          <w:rtl/>
        </w:rPr>
        <w:instrText xml:space="preserve"> _</w:instrText>
      </w:r>
      <w:r w:rsidRPr="00407CF9">
        <w:rPr>
          <w:rStyle w:val="afffffffff9"/>
          <w:rFonts w:ascii="David" w:eastAsiaTheme="minorEastAsia" w:hAnsi="David" w:cs="David" w:hint="cs"/>
          <w:b/>
          <w:bCs/>
          <w:color w:val="auto"/>
          <w:sz w:val="16"/>
          <w:szCs w:val="16"/>
        </w:rPr>
        <w:instrText>Ref143854775 \r \h</w:instrText>
      </w:r>
      <w:r w:rsidRPr="00407CF9">
        <w:rPr>
          <w:rStyle w:val="afffffffff9"/>
          <w:rFonts w:ascii="David" w:eastAsiaTheme="minorEastAsia" w:hAnsi="David" w:cs="David"/>
          <w:b/>
          <w:bCs/>
          <w:color w:val="auto"/>
          <w:sz w:val="16"/>
          <w:szCs w:val="16"/>
          <w:rtl/>
        </w:rPr>
        <w:instrText xml:space="preserve">  \* </w:instrText>
      </w:r>
      <w:r w:rsidRPr="00407CF9">
        <w:rPr>
          <w:rStyle w:val="afffffffff9"/>
          <w:rFonts w:ascii="David" w:eastAsiaTheme="minorEastAsia" w:hAnsi="David" w:cs="David"/>
          <w:b/>
          <w:bCs/>
          <w:color w:val="auto"/>
          <w:sz w:val="16"/>
          <w:szCs w:val="16"/>
        </w:rPr>
        <w:instrText>MERGEFORMAT</w:instrText>
      </w:r>
      <w:r w:rsidRPr="00407CF9">
        <w:rPr>
          <w:rStyle w:val="afffffffff9"/>
          <w:rFonts w:ascii="David" w:eastAsiaTheme="minorEastAsia" w:hAnsi="David" w:cs="David"/>
          <w:b/>
          <w:bCs/>
          <w:color w:val="auto"/>
          <w:sz w:val="16"/>
          <w:szCs w:val="16"/>
          <w:rtl/>
        </w:rPr>
        <w:instrText xml:space="preserve"> </w:instrText>
      </w:r>
      <w:r w:rsidRPr="00407CF9">
        <w:rPr>
          <w:rStyle w:val="afffffffff9"/>
          <w:rFonts w:ascii="David" w:eastAsiaTheme="minorEastAsia" w:hAnsi="David" w:cs="David"/>
          <w:b/>
          <w:bCs/>
          <w:color w:val="auto"/>
          <w:sz w:val="16"/>
          <w:szCs w:val="16"/>
          <w:rtl/>
        </w:rPr>
      </w:r>
      <w:r w:rsidRPr="00407CF9">
        <w:rPr>
          <w:rStyle w:val="afffffffff9"/>
          <w:rFonts w:ascii="David" w:eastAsiaTheme="minorEastAsia" w:hAnsi="David" w:cs="David"/>
          <w:b/>
          <w:bCs/>
          <w:color w:val="auto"/>
          <w:sz w:val="16"/>
          <w:szCs w:val="16"/>
          <w:rtl/>
        </w:rPr>
        <w:fldChar w:fldCharType="separate"/>
      </w:r>
      <w:r w:rsidR="00D82181">
        <w:rPr>
          <w:rStyle w:val="afffffffff9"/>
          <w:rFonts w:ascii="David" w:eastAsiaTheme="minorEastAsia" w:hAnsi="David" w:cs="David"/>
          <w:b/>
          <w:bCs/>
          <w:color w:val="auto"/>
          <w:sz w:val="16"/>
          <w:szCs w:val="16"/>
          <w:cs/>
        </w:rPr>
        <w:t>‎</w:t>
      </w:r>
      <w:r w:rsidR="00D82181">
        <w:rPr>
          <w:rStyle w:val="afffffffff9"/>
          <w:rFonts w:ascii="David" w:eastAsiaTheme="minorEastAsia" w:hAnsi="David" w:cs="David"/>
          <w:b/>
          <w:bCs/>
          <w:color w:val="auto"/>
          <w:sz w:val="16"/>
          <w:szCs w:val="16"/>
          <w:rtl/>
        </w:rPr>
        <w:t>י)</w:t>
      </w:r>
      <w:r w:rsidRPr="00407CF9">
        <w:rPr>
          <w:rStyle w:val="afffffffff9"/>
          <w:rFonts w:ascii="David" w:eastAsiaTheme="minorEastAsia" w:hAnsi="David" w:cs="David"/>
          <w:b/>
          <w:bCs/>
          <w:color w:val="auto"/>
          <w:sz w:val="16"/>
          <w:szCs w:val="16"/>
          <w:rtl/>
        </w:rPr>
        <w:fldChar w:fldCharType="end"/>
      </w:r>
      <w:r w:rsidRPr="00407CF9">
        <w:rPr>
          <w:rStyle w:val="afffffffff9"/>
          <w:rFonts w:ascii="David" w:eastAsiaTheme="minorEastAsia" w:hAnsi="David" w:cs="David" w:hint="cs"/>
          <w:b/>
          <w:bCs/>
          <w:color w:val="auto"/>
          <w:sz w:val="16"/>
          <w:szCs w:val="16"/>
          <w:rtl/>
        </w:rPr>
        <w:t xml:space="preserve"> </w:t>
      </w:r>
      <w:r w:rsidRPr="00D72FFC">
        <w:rPr>
          <w:rStyle w:val="afffffffff9"/>
          <w:rFonts w:ascii="David" w:eastAsiaTheme="minorEastAsia" w:hAnsi="David" w:cs="David" w:hint="cs"/>
          <w:color w:val="auto"/>
          <w:sz w:val="16"/>
          <w:szCs w:val="16"/>
          <w:rtl/>
        </w:rPr>
        <w:t>כל בו</w:t>
      </w:r>
      <w:r w:rsidRPr="00D72FFC">
        <w:rPr>
          <w:rFonts w:hint="cs"/>
          <w:rtl/>
        </w:rPr>
        <w:t xml:space="preserve"> </w:t>
      </w:r>
      <w:r w:rsidRPr="00407CF9">
        <w:rPr>
          <w:rStyle w:val="afffffffff3"/>
          <w:rFonts w:hint="cs"/>
          <w:rtl/>
        </w:rPr>
        <w:t>(שבת סי' ל"א ד"ה המלאכות)</w:t>
      </w:r>
      <w:r>
        <w:rPr>
          <w:rtl/>
        </w:rPr>
        <w:t>,</w:t>
      </w:r>
      <w:r w:rsidRPr="00407CF9">
        <w:rPr>
          <w:rStyle w:val="afffffffff9"/>
          <w:rFonts w:ascii="David" w:eastAsiaTheme="minorEastAsia" w:hAnsi="David" w:cs="David" w:hint="cs"/>
          <w:b/>
          <w:bCs/>
          <w:color w:val="auto"/>
          <w:sz w:val="16"/>
          <w:szCs w:val="16"/>
          <w:rtl/>
        </w:rPr>
        <w:t xml:space="preserve"> </w:t>
      </w:r>
      <w:r w:rsidRPr="00407CF9">
        <w:rPr>
          <w:rStyle w:val="afffffffff9"/>
          <w:rFonts w:ascii="David" w:eastAsiaTheme="minorEastAsia" w:hAnsi="David" w:cs="David"/>
          <w:b/>
          <w:bCs/>
          <w:color w:val="auto"/>
          <w:sz w:val="16"/>
          <w:szCs w:val="16"/>
          <w:rtl/>
        </w:rPr>
        <w:fldChar w:fldCharType="begin"/>
      </w:r>
      <w:r w:rsidRPr="00407CF9">
        <w:rPr>
          <w:rStyle w:val="afffffffff9"/>
          <w:rFonts w:ascii="David" w:eastAsiaTheme="minorEastAsia" w:hAnsi="David" w:cs="David"/>
          <w:b/>
          <w:bCs/>
          <w:color w:val="auto"/>
          <w:sz w:val="16"/>
          <w:szCs w:val="16"/>
          <w:rtl/>
        </w:rPr>
        <w:instrText xml:space="preserve"> </w:instrText>
      </w:r>
      <w:r w:rsidRPr="00407CF9">
        <w:rPr>
          <w:rStyle w:val="afffffffff9"/>
          <w:rFonts w:ascii="David" w:eastAsiaTheme="minorEastAsia" w:hAnsi="David" w:cs="David" w:hint="cs"/>
          <w:b/>
          <w:bCs/>
          <w:color w:val="auto"/>
          <w:sz w:val="16"/>
          <w:szCs w:val="16"/>
        </w:rPr>
        <w:instrText>REF</w:instrText>
      </w:r>
      <w:r w:rsidRPr="00407CF9">
        <w:rPr>
          <w:rStyle w:val="afffffffff9"/>
          <w:rFonts w:ascii="David" w:eastAsiaTheme="minorEastAsia" w:hAnsi="David" w:cs="David" w:hint="cs"/>
          <w:b/>
          <w:bCs/>
          <w:color w:val="auto"/>
          <w:sz w:val="16"/>
          <w:szCs w:val="16"/>
          <w:rtl/>
        </w:rPr>
        <w:instrText xml:space="preserve"> _</w:instrText>
      </w:r>
      <w:r w:rsidRPr="00407CF9">
        <w:rPr>
          <w:rStyle w:val="afffffffff9"/>
          <w:rFonts w:ascii="David" w:eastAsiaTheme="minorEastAsia" w:hAnsi="David" w:cs="David" w:hint="cs"/>
          <w:b/>
          <w:bCs/>
          <w:color w:val="auto"/>
          <w:sz w:val="16"/>
          <w:szCs w:val="16"/>
        </w:rPr>
        <w:instrText>Ref143854769 \r \h</w:instrText>
      </w:r>
      <w:r w:rsidRPr="00407CF9">
        <w:rPr>
          <w:rStyle w:val="afffffffff9"/>
          <w:rFonts w:ascii="David" w:eastAsiaTheme="minorEastAsia" w:hAnsi="David" w:cs="David"/>
          <w:b/>
          <w:bCs/>
          <w:color w:val="auto"/>
          <w:sz w:val="16"/>
          <w:szCs w:val="16"/>
          <w:rtl/>
        </w:rPr>
        <w:instrText xml:space="preserve">  \* </w:instrText>
      </w:r>
      <w:r w:rsidRPr="00407CF9">
        <w:rPr>
          <w:rStyle w:val="afffffffff9"/>
          <w:rFonts w:ascii="David" w:eastAsiaTheme="minorEastAsia" w:hAnsi="David" w:cs="David"/>
          <w:b/>
          <w:bCs/>
          <w:color w:val="auto"/>
          <w:sz w:val="16"/>
          <w:szCs w:val="16"/>
        </w:rPr>
        <w:instrText>MERGEFORMAT</w:instrText>
      </w:r>
      <w:r w:rsidRPr="00407CF9">
        <w:rPr>
          <w:rStyle w:val="afffffffff9"/>
          <w:rFonts w:ascii="David" w:eastAsiaTheme="minorEastAsia" w:hAnsi="David" w:cs="David"/>
          <w:b/>
          <w:bCs/>
          <w:color w:val="auto"/>
          <w:sz w:val="16"/>
          <w:szCs w:val="16"/>
          <w:rtl/>
        </w:rPr>
        <w:instrText xml:space="preserve"> </w:instrText>
      </w:r>
      <w:r w:rsidRPr="00407CF9">
        <w:rPr>
          <w:rStyle w:val="afffffffff9"/>
          <w:rFonts w:ascii="David" w:eastAsiaTheme="minorEastAsia" w:hAnsi="David" w:cs="David"/>
          <w:b/>
          <w:bCs/>
          <w:color w:val="auto"/>
          <w:sz w:val="16"/>
          <w:szCs w:val="16"/>
          <w:rtl/>
        </w:rPr>
      </w:r>
      <w:r w:rsidRPr="00407CF9">
        <w:rPr>
          <w:rStyle w:val="afffffffff9"/>
          <w:rFonts w:ascii="David" w:eastAsiaTheme="minorEastAsia" w:hAnsi="David" w:cs="David"/>
          <w:b/>
          <w:bCs/>
          <w:color w:val="auto"/>
          <w:sz w:val="16"/>
          <w:szCs w:val="16"/>
          <w:rtl/>
        </w:rPr>
        <w:fldChar w:fldCharType="separate"/>
      </w:r>
      <w:r w:rsidR="00D82181">
        <w:rPr>
          <w:rStyle w:val="afffffffff9"/>
          <w:rFonts w:ascii="David" w:eastAsiaTheme="minorEastAsia" w:hAnsi="David" w:cs="David"/>
          <w:b/>
          <w:bCs/>
          <w:color w:val="auto"/>
          <w:sz w:val="16"/>
          <w:szCs w:val="16"/>
          <w:cs/>
        </w:rPr>
        <w:t>‎</w:t>
      </w:r>
      <w:r w:rsidR="00D82181">
        <w:rPr>
          <w:rStyle w:val="afffffffff9"/>
          <w:rFonts w:ascii="David" w:eastAsiaTheme="minorEastAsia" w:hAnsi="David" w:cs="David"/>
          <w:b/>
          <w:bCs/>
          <w:color w:val="auto"/>
          <w:sz w:val="16"/>
          <w:szCs w:val="16"/>
          <w:rtl/>
        </w:rPr>
        <w:t>יא)</w:t>
      </w:r>
      <w:r w:rsidRPr="00407CF9">
        <w:rPr>
          <w:rStyle w:val="afffffffff9"/>
          <w:rFonts w:ascii="David" w:eastAsiaTheme="minorEastAsia" w:hAnsi="David" w:cs="David"/>
          <w:b/>
          <w:bCs/>
          <w:color w:val="auto"/>
          <w:sz w:val="16"/>
          <w:szCs w:val="16"/>
          <w:rtl/>
        </w:rPr>
        <w:fldChar w:fldCharType="end"/>
      </w:r>
      <w:r w:rsidRPr="00407CF9">
        <w:rPr>
          <w:rStyle w:val="afffffffff9"/>
          <w:rFonts w:ascii="David" w:eastAsiaTheme="minorEastAsia" w:hAnsi="David" w:cs="David" w:hint="cs"/>
          <w:b/>
          <w:bCs/>
          <w:color w:val="auto"/>
          <w:sz w:val="16"/>
          <w:szCs w:val="16"/>
          <w:rtl/>
        </w:rPr>
        <w:t xml:space="preserve"> </w:t>
      </w:r>
      <w:r w:rsidRPr="00D72FFC">
        <w:rPr>
          <w:rStyle w:val="afffffffff9"/>
          <w:rFonts w:ascii="David" w:eastAsiaTheme="minorEastAsia" w:hAnsi="David" w:cs="David" w:hint="cs"/>
          <w:color w:val="auto"/>
          <w:sz w:val="16"/>
          <w:szCs w:val="16"/>
          <w:rtl/>
        </w:rPr>
        <w:t>פסקי הרי"ד לעיל</w:t>
      </w:r>
      <w:r w:rsidRPr="00D72FFC">
        <w:rPr>
          <w:rFonts w:hint="cs"/>
          <w:rtl/>
        </w:rPr>
        <w:t xml:space="preserve"> </w:t>
      </w:r>
      <w:r w:rsidRPr="00407CF9">
        <w:rPr>
          <w:rStyle w:val="afffffffff3"/>
          <w:rFonts w:hint="cs"/>
          <w:rtl/>
        </w:rPr>
        <w:t>(עה: ד"ה והמסתת)</w:t>
      </w:r>
      <w:r>
        <w:rPr>
          <w:rtl/>
        </w:rPr>
        <w:t>,</w:t>
      </w:r>
      <w:r w:rsidRPr="00407CF9">
        <w:rPr>
          <w:b/>
          <w:bCs/>
          <w:rtl/>
        </w:rPr>
        <w:t xml:space="preserve"> </w:t>
      </w:r>
      <w:r w:rsidRPr="00407CF9">
        <w:rPr>
          <w:b/>
          <w:bCs/>
          <w:rtl/>
        </w:rPr>
        <w:fldChar w:fldCharType="begin"/>
      </w:r>
      <w:r w:rsidRPr="00407CF9">
        <w:rPr>
          <w:b/>
          <w:bCs/>
          <w:rtl/>
        </w:rPr>
        <w:instrText xml:space="preserve"> </w:instrText>
      </w:r>
      <w:r w:rsidRPr="00407CF9">
        <w:rPr>
          <w:b/>
          <w:bCs/>
        </w:rPr>
        <w:instrText>REF</w:instrText>
      </w:r>
      <w:r w:rsidRPr="00407CF9">
        <w:rPr>
          <w:b/>
          <w:bCs/>
          <w:rtl/>
        </w:rPr>
        <w:instrText xml:space="preserve"> _</w:instrText>
      </w:r>
      <w:r w:rsidRPr="00407CF9">
        <w:rPr>
          <w:b/>
          <w:bCs/>
        </w:rPr>
        <w:instrText>Ref144152912 \r \h</w:instrText>
      </w:r>
      <w:r w:rsidRPr="00407CF9">
        <w:rPr>
          <w:b/>
          <w:bCs/>
          <w:rtl/>
        </w:rPr>
        <w:instrText xml:space="preserve">  \* </w:instrText>
      </w:r>
      <w:r w:rsidRPr="00407CF9">
        <w:rPr>
          <w:b/>
          <w:bCs/>
        </w:rPr>
        <w:instrText>MERGEFORMAT</w:instrText>
      </w:r>
      <w:r w:rsidRPr="00407CF9">
        <w:rPr>
          <w:b/>
          <w:bCs/>
          <w:rtl/>
        </w:rPr>
        <w:instrText xml:space="preserve"> </w:instrText>
      </w:r>
      <w:r w:rsidRPr="00407CF9">
        <w:rPr>
          <w:b/>
          <w:bCs/>
          <w:rtl/>
        </w:rPr>
      </w:r>
      <w:r w:rsidRPr="00407CF9">
        <w:rPr>
          <w:b/>
          <w:bCs/>
          <w:rtl/>
        </w:rPr>
        <w:fldChar w:fldCharType="separate"/>
      </w:r>
      <w:r w:rsidR="00D82181">
        <w:rPr>
          <w:b/>
          <w:bCs/>
          <w:cs/>
        </w:rPr>
        <w:t>‎</w:t>
      </w:r>
      <w:r w:rsidR="00D82181">
        <w:rPr>
          <w:b/>
          <w:bCs/>
          <w:rtl/>
        </w:rPr>
        <w:t>יב)</w:t>
      </w:r>
      <w:r w:rsidRPr="00407CF9">
        <w:rPr>
          <w:b/>
          <w:bCs/>
          <w:rtl/>
        </w:rPr>
        <w:fldChar w:fldCharType="end"/>
      </w:r>
      <w:r w:rsidRPr="00407CF9">
        <w:rPr>
          <w:b/>
          <w:bCs/>
          <w:rtl/>
        </w:rPr>
        <w:t xml:space="preserve"> </w:t>
      </w:r>
      <w:r w:rsidRPr="00D72FFC">
        <w:rPr>
          <w:rFonts w:hint="cs"/>
          <w:rtl/>
        </w:rPr>
        <w:t>רש"י</w:t>
      </w:r>
      <w:r w:rsidRPr="00D72FFC">
        <w:rPr>
          <w:rtl/>
        </w:rPr>
        <w:t xml:space="preserve"> </w:t>
      </w:r>
      <w:r w:rsidRPr="00407CF9">
        <w:rPr>
          <w:rStyle w:val="afffffffff3"/>
          <w:rtl/>
        </w:rPr>
        <w:t>(</w:t>
      </w:r>
      <w:r w:rsidRPr="00407CF9">
        <w:rPr>
          <w:rStyle w:val="afffffffff3"/>
          <w:rFonts w:hint="cs"/>
          <w:rtl/>
        </w:rPr>
        <w:t>ד"ה מכה בפטיש</w:t>
      </w:r>
      <w:r w:rsidRPr="00407CF9">
        <w:rPr>
          <w:rStyle w:val="afffffffff3"/>
          <w:rtl/>
        </w:rPr>
        <w:t>)</w:t>
      </w:r>
      <w:r>
        <w:rPr>
          <w:rtl/>
        </w:rPr>
        <w:t xml:space="preserve"> </w:t>
      </w:r>
      <w:r w:rsidRPr="00D72FFC">
        <w:rPr>
          <w:rStyle w:val="afffffffff9"/>
          <w:rFonts w:ascii="David" w:eastAsiaTheme="minorEastAsia" w:hAnsi="David" w:cs="David" w:hint="cs"/>
          <w:color w:val="auto"/>
          <w:sz w:val="16"/>
          <w:szCs w:val="16"/>
          <w:rtl/>
        </w:rPr>
        <w:t>אגרות משה</w:t>
      </w:r>
      <w:r w:rsidRPr="00D72FFC">
        <w:rPr>
          <w:rFonts w:hint="cs"/>
          <w:rtl/>
        </w:rPr>
        <w:t xml:space="preserve"> </w:t>
      </w:r>
      <w:r w:rsidRPr="00407CF9">
        <w:rPr>
          <w:rStyle w:val="afffffffff3"/>
          <w:rFonts w:hint="cs"/>
          <w:rtl/>
        </w:rPr>
        <w:t xml:space="preserve">(עי' אות </w:t>
      </w:r>
      <w:r w:rsidRPr="00407CF9">
        <w:rPr>
          <w:rStyle w:val="afffffffff3"/>
          <w:rtl/>
        </w:rPr>
        <w:fldChar w:fldCharType="begin"/>
      </w:r>
      <w:r w:rsidRPr="00407CF9">
        <w:rPr>
          <w:rStyle w:val="afffffffff3"/>
          <w:rtl/>
        </w:rPr>
        <w:instrText xml:space="preserve"> </w:instrText>
      </w:r>
      <w:r w:rsidRPr="00407CF9">
        <w:rPr>
          <w:rStyle w:val="afffffffff3"/>
          <w:rFonts w:hint="cs"/>
        </w:rPr>
        <w:instrText>REF</w:instrText>
      </w:r>
      <w:r w:rsidRPr="00407CF9">
        <w:rPr>
          <w:rStyle w:val="afffffffff3"/>
          <w:rFonts w:hint="cs"/>
          <w:rtl/>
        </w:rPr>
        <w:instrText xml:space="preserve"> _</w:instrText>
      </w:r>
      <w:r w:rsidRPr="00407CF9">
        <w:rPr>
          <w:rStyle w:val="afffffffff3"/>
          <w:rFonts w:hint="cs"/>
        </w:rPr>
        <w:instrText>Ref144153238 \r \h</w:instrText>
      </w:r>
      <w:r w:rsidRPr="00407CF9">
        <w:rPr>
          <w:rStyle w:val="afffffffff3"/>
          <w:rtl/>
        </w:rPr>
        <w:instrText xml:space="preserve">  \* </w:instrText>
      </w:r>
      <w:r w:rsidRPr="00407CF9">
        <w:rPr>
          <w:rStyle w:val="afffffffff3"/>
        </w:rPr>
        <w:instrText>MERGEFORMAT</w:instrText>
      </w:r>
      <w:r w:rsidRPr="00407CF9">
        <w:rPr>
          <w:rStyle w:val="afffffffff3"/>
          <w:rtl/>
        </w:rPr>
        <w:instrText xml:space="preserve"> </w:instrText>
      </w:r>
      <w:r w:rsidRPr="00407CF9">
        <w:rPr>
          <w:rStyle w:val="afffffffff3"/>
          <w:rtl/>
        </w:rPr>
      </w:r>
      <w:r w:rsidRPr="00407CF9">
        <w:rPr>
          <w:rStyle w:val="afffffffff3"/>
          <w:rtl/>
        </w:rPr>
        <w:fldChar w:fldCharType="separate"/>
      </w:r>
      <w:r w:rsidR="00D82181">
        <w:rPr>
          <w:rStyle w:val="afffffffff3"/>
          <w:cs/>
        </w:rPr>
        <w:t>‎</w:t>
      </w:r>
      <w:r w:rsidR="00D82181">
        <w:rPr>
          <w:rStyle w:val="afffffffff3"/>
          <w:rtl/>
        </w:rPr>
        <w:t>כו)</w:t>
      </w:r>
      <w:r w:rsidRPr="00407CF9">
        <w:rPr>
          <w:rStyle w:val="afffffffff3"/>
          <w:rtl/>
        </w:rPr>
        <w:fldChar w:fldCharType="end"/>
      </w:r>
      <w:r>
        <w:rPr>
          <w:rtl/>
        </w:rPr>
        <w:t xml:space="preserve"> </w:t>
      </w:r>
      <w:r w:rsidRPr="00D72FFC">
        <w:rPr>
          <w:rStyle w:val="afffffffff9"/>
          <w:rFonts w:ascii="David" w:eastAsiaTheme="minorEastAsia" w:hAnsi="David" w:cs="David" w:hint="cs"/>
          <w:color w:val="auto"/>
          <w:sz w:val="16"/>
          <w:szCs w:val="16"/>
          <w:rtl/>
        </w:rPr>
        <w:t>קהלות יעקב</w:t>
      </w:r>
      <w:r w:rsidRPr="00D72FFC">
        <w:rPr>
          <w:rFonts w:hint="cs"/>
          <w:rtl/>
        </w:rPr>
        <w:t xml:space="preserve"> </w:t>
      </w:r>
      <w:r w:rsidRPr="00407CF9">
        <w:rPr>
          <w:rStyle w:val="afffffffff3"/>
          <w:rFonts w:hint="cs"/>
          <w:rtl/>
        </w:rPr>
        <w:t xml:space="preserve">(עי' אות </w:t>
      </w:r>
      <w:r w:rsidRPr="00407CF9">
        <w:rPr>
          <w:rStyle w:val="afffffffff3"/>
          <w:rtl/>
        </w:rPr>
        <w:fldChar w:fldCharType="begin"/>
      </w:r>
      <w:r w:rsidRPr="00407CF9">
        <w:rPr>
          <w:rStyle w:val="afffffffff3"/>
          <w:rtl/>
        </w:rPr>
        <w:instrText xml:space="preserve"> </w:instrText>
      </w:r>
      <w:r w:rsidRPr="00407CF9">
        <w:rPr>
          <w:rStyle w:val="afffffffff3"/>
          <w:rFonts w:hint="cs"/>
        </w:rPr>
        <w:instrText>REF</w:instrText>
      </w:r>
      <w:r w:rsidRPr="00407CF9">
        <w:rPr>
          <w:rStyle w:val="afffffffff3"/>
          <w:rFonts w:hint="cs"/>
          <w:rtl/>
        </w:rPr>
        <w:instrText xml:space="preserve"> _</w:instrText>
      </w:r>
      <w:r w:rsidRPr="00407CF9">
        <w:rPr>
          <w:rStyle w:val="afffffffff3"/>
          <w:rFonts w:hint="cs"/>
        </w:rPr>
        <w:instrText>Ref144117359 \r \h</w:instrText>
      </w:r>
      <w:r w:rsidRPr="00407CF9">
        <w:rPr>
          <w:rStyle w:val="afffffffff3"/>
          <w:rtl/>
        </w:rPr>
        <w:instrText xml:space="preserve">  \* </w:instrText>
      </w:r>
      <w:r w:rsidRPr="00407CF9">
        <w:rPr>
          <w:rStyle w:val="afffffffff3"/>
        </w:rPr>
        <w:instrText>MERGEFORMAT</w:instrText>
      </w:r>
      <w:r w:rsidRPr="00407CF9">
        <w:rPr>
          <w:rStyle w:val="afffffffff3"/>
          <w:rtl/>
        </w:rPr>
        <w:instrText xml:space="preserve"> </w:instrText>
      </w:r>
      <w:r w:rsidRPr="00407CF9">
        <w:rPr>
          <w:rStyle w:val="afffffffff3"/>
          <w:rtl/>
        </w:rPr>
      </w:r>
      <w:r w:rsidRPr="00407CF9">
        <w:rPr>
          <w:rStyle w:val="afffffffff3"/>
          <w:rtl/>
        </w:rPr>
        <w:fldChar w:fldCharType="separate"/>
      </w:r>
      <w:r w:rsidR="00D82181">
        <w:rPr>
          <w:rStyle w:val="afffffffff3"/>
          <w:cs/>
        </w:rPr>
        <w:t>‎</w:t>
      </w:r>
      <w:r w:rsidR="00D82181">
        <w:rPr>
          <w:rStyle w:val="afffffffff3"/>
          <w:rtl/>
        </w:rPr>
        <w:t>עד)</w:t>
      </w:r>
      <w:r w:rsidRPr="00407CF9">
        <w:rPr>
          <w:rStyle w:val="afffffffff3"/>
          <w:rtl/>
        </w:rPr>
        <w:fldChar w:fldCharType="end"/>
      </w:r>
      <w:r>
        <w:rPr>
          <w:rtl/>
        </w:rPr>
        <w:t>,</w:t>
      </w:r>
      <w:r w:rsidRPr="00407CF9">
        <w:rPr>
          <w:rFonts w:hint="cs"/>
          <w:b/>
          <w:bCs/>
          <w:rtl/>
        </w:rPr>
        <w:t xml:space="preserve"> </w:t>
      </w:r>
      <w:r w:rsidRPr="00407CF9">
        <w:rPr>
          <w:b/>
          <w:bCs/>
          <w:rtl/>
        </w:rPr>
        <w:fldChar w:fldCharType="begin"/>
      </w:r>
      <w:r w:rsidRPr="00407CF9">
        <w:rPr>
          <w:b/>
          <w:bCs/>
          <w:rtl/>
        </w:rPr>
        <w:instrText xml:space="preserve"> </w:instrText>
      </w:r>
      <w:r w:rsidRPr="00407CF9">
        <w:rPr>
          <w:rFonts w:hint="cs"/>
          <w:b/>
          <w:bCs/>
        </w:rPr>
        <w:instrText>REF</w:instrText>
      </w:r>
      <w:r w:rsidRPr="00407CF9">
        <w:rPr>
          <w:rFonts w:hint="cs"/>
          <w:b/>
          <w:bCs/>
          <w:rtl/>
        </w:rPr>
        <w:instrText xml:space="preserve"> _</w:instrText>
      </w:r>
      <w:r w:rsidRPr="00407CF9">
        <w:rPr>
          <w:rFonts w:hint="cs"/>
          <w:b/>
          <w:bCs/>
        </w:rPr>
        <w:instrText>Ref143793569 \r \h</w:instrText>
      </w:r>
      <w:r w:rsidRPr="00407CF9">
        <w:rPr>
          <w:b/>
          <w:bCs/>
          <w:rtl/>
        </w:rPr>
        <w:instrText xml:space="preserve">  \* </w:instrText>
      </w:r>
      <w:r w:rsidRPr="00407CF9">
        <w:rPr>
          <w:b/>
          <w:bCs/>
        </w:rPr>
        <w:instrText>MERGEFORMAT</w:instrText>
      </w:r>
      <w:r w:rsidRPr="00407CF9">
        <w:rPr>
          <w:b/>
          <w:bCs/>
          <w:rtl/>
        </w:rPr>
        <w:instrText xml:space="preserve"> </w:instrText>
      </w:r>
      <w:r w:rsidRPr="00407CF9">
        <w:rPr>
          <w:b/>
          <w:bCs/>
          <w:rtl/>
        </w:rPr>
      </w:r>
      <w:r w:rsidRPr="00407CF9">
        <w:rPr>
          <w:b/>
          <w:bCs/>
          <w:rtl/>
        </w:rPr>
        <w:fldChar w:fldCharType="separate"/>
      </w:r>
      <w:r w:rsidR="00D82181">
        <w:rPr>
          <w:b/>
          <w:bCs/>
          <w:cs/>
        </w:rPr>
        <w:t>‎</w:t>
      </w:r>
      <w:r w:rsidR="00D82181">
        <w:rPr>
          <w:b/>
          <w:bCs/>
          <w:rtl/>
        </w:rPr>
        <w:t>יג)</w:t>
      </w:r>
      <w:r w:rsidRPr="00407CF9">
        <w:rPr>
          <w:b/>
          <w:bCs/>
          <w:rtl/>
        </w:rPr>
        <w:fldChar w:fldCharType="end"/>
      </w:r>
      <w:r w:rsidRPr="00407CF9">
        <w:rPr>
          <w:rFonts w:hint="cs"/>
          <w:b/>
          <w:bCs/>
          <w:rtl/>
        </w:rPr>
        <w:t xml:space="preserve"> </w:t>
      </w:r>
      <w:r w:rsidRPr="00D72FFC">
        <w:rPr>
          <w:rStyle w:val="afffffffff9"/>
          <w:rFonts w:ascii="David" w:eastAsiaTheme="minorEastAsia" w:hAnsi="David" w:cs="David" w:hint="cs"/>
          <w:color w:val="auto"/>
          <w:sz w:val="16"/>
          <w:szCs w:val="16"/>
          <w:rtl/>
        </w:rPr>
        <w:t>רש"י לעיל</w:t>
      </w:r>
      <w:r w:rsidRPr="00D72FFC">
        <w:rPr>
          <w:rFonts w:hint="cs"/>
          <w:rtl/>
        </w:rPr>
        <w:t xml:space="preserve"> </w:t>
      </w:r>
      <w:r w:rsidRPr="00407CF9">
        <w:rPr>
          <w:rStyle w:val="afffffffff3"/>
          <w:rFonts w:hint="cs"/>
          <w:rtl/>
        </w:rPr>
        <w:t>(עד: ד"ה תנור)</w:t>
      </w:r>
      <w:r>
        <w:rPr>
          <w:rtl/>
        </w:rPr>
        <w:t xml:space="preserve"> </w:t>
      </w:r>
      <w:r w:rsidRPr="00D72FFC">
        <w:rPr>
          <w:rStyle w:val="afffffffff9"/>
          <w:rFonts w:ascii="David" w:eastAsiaTheme="minorEastAsia" w:hAnsi="David" w:cs="David" w:hint="cs"/>
          <w:color w:val="auto"/>
          <w:sz w:val="16"/>
          <w:szCs w:val="16"/>
          <w:rtl/>
        </w:rPr>
        <w:t>אמרי בינה</w:t>
      </w:r>
      <w:r w:rsidRPr="00D72FFC">
        <w:rPr>
          <w:rFonts w:hint="cs"/>
          <w:rtl/>
        </w:rPr>
        <w:t xml:space="preserve"> </w:t>
      </w:r>
      <w:r w:rsidRPr="00407CF9">
        <w:rPr>
          <w:rStyle w:val="afffffffff3"/>
          <w:rFonts w:hint="cs"/>
          <w:rtl/>
        </w:rPr>
        <w:t xml:space="preserve">(עי' אות </w:t>
      </w:r>
      <w:r w:rsidRPr="00407CF9">
        <w:rPr>
          <w:rStyle w:val="afffffffff3"/>
          <w:rtl/>
        </w:rPr>
        <w:fldChar w:fldCharType="begin"/>
      </w:r>
      <w:r w:rsidRPr="00407CF9">
        <w:rPr>
          <w:rStyle w:val="afffffffff3"/>
          <w:rtl/>
        </w:rPr>
        <w:instrText xml:space="preserve"> </w:instrText>
      </w:r>
      <w:r w:rsidRPr="00407CF9">
        <w:rPr>
          <w:rStyle w:val="afffffffff3"/>
          <w:rFonts w:hint="cs"/>
        </w:rPr>
        <w:instrText>REF</w:instrText>
      </w:r>
      <w:r w:rsidRPr="00407CF9">
        <w:rPr>
          <w:rStyle w:val="afffffffff3"/>
          <w:rFonts w:hint="cs"/>
          <w:rtl/>
        </w:rPr>
        <w:instrText xml:space="preserve"> _</w:instrText>
      </w:r>
      <w:r w:rsidRPr="00407CF9">
        <w:rPr>
          <w:rStyle w:val="afffffffff3"/>
          <w:rFonts w:hint="cs"/>
        </w:rPr>
        <w:instrText>Ref143877950 \r \h</w:instrText>
      </w:r>
      <w:r w:rsidRPr="00407CF9">
        <w:rPr>
          <w:rStyle w:val="afffffffff3"/>
          <w:rtl/>
        </w:rPr>
        <w:instrText xml:space="preserve">  \* </w:instrText>
      </w:r>
      <w:r w:rsidRPr="00407CF9">
        <w:rPr>
          <w:rStyle w:val="afffffffff3"/>
        </w:rPr>
        <w:instrText>MERGEFORMAT</w:instrText>
      </w:r>
      <w:r w:rsidRPr="00407CF9">
        <w:rPr>
          <w:rStyle w:val="afffffffff3"/>
          <w:rtl/>
        </w:rPr>
        <w:instrText xml:space="preserve"> </w:instrText>
      </w:r>
      <w:r w:rsidRPr="00407CF9">
        <w:rPr>
          <w:rStyle w:val="afffffffff3"/>
          <w:rtl/>
        </w:rPr>
      </w:r>
      <w:r w:rsidRPr="00407CF9">
        <w:rPr>
          <w:rStyle w:val="afffffffff3"/>
          <w:rtl/>
        </w:rPr>
        <w:fldChar w:fldCharType="separate"/>
      </w:r>
      <w:r w:rsidR="00D82181">
        <w:rPr>
          <w:rStyle w:val="afffffffff3"/>
          <w:cs/>
        </w:rPr>
        <w:t>‎</w:t>
      </w:r>
      <w:r w:rsidR="00D82181">
        <w:rPr>
          <w:rStyle w:val="afffffffff3"/>
          <w:rtl/>
        </w:rPr>
        <w:t>מא)</w:t>
      </w:r>
      <w:r w:rsidRPr="00407CF9">
        <w:rPr>
          <w:rStyle w:val="afffffffff3"/>
          <w:rtl/>
        </w:rPr>
        <w:fldChar w:fldCharType="end"/>
      </w:r>
      <w:r>
        <w:rPr>
          <w:rtl/>
        </w:rPr>
        <w:t xml:space="preserve"> </w:t>
      </w:r>
      <w:r w:rsidRPr="00D72FFC">
        <w:rPr>
          <w:rStyle w:val="afffffffff9"/>
          <w:rFonts w:ascii="David" w:eastAsiaTheme="minorEastAsia" w:hAnsi="David" w:cs="David" w:hint="cs"/>
          <w:color w:val="auto"/>
          <w:sz w:val="16"/>
          <w:szCs w:val="16"/>
          <w:rtl/>
        </w:rPr>
        <w:t>מנחת שלמה</w:t>
      </w:r>
      <w:r w:rsidRPr="00D72FFC">
        <w:rPr>
          <w:rStyle w:val="aff5"/>
          <w:rFonts w:ascii="David" w:eastAsiaTheme="minorEastAsia" w:hAnsi="David" w:cs="David" w:hint="cs"/>
          <w:noProof w:val="0"/>
          <w:sz w:val="16"/>
          <w:szCs w:val="16"/>
          <w:rtl/>
        </w:rPr>
        <w:t xml:space="preserve"> </w:t>
      </w:r>
      <w:r w:rsidRPr="00407CF9">
        <w:rPr>
          <w:rStyle w:val="afffffffff3"/>
          <w:rFonts w:hint="cs"/>
          <w:rtl/>
        </w:rPr>
        <w:t xml:space="preserve">(עי' אות </w:t>
      </w:r>
      <w:r w:rsidRPr="00407CF9">
        <w:rPr>
          <w:rStyle w:val="afffffffff3"/>
          <w:rtl/>
        </w:rPr>
        <w:fldChar w:fldCharType="begin"/>
      </w:r>
      <w:r w:rsidRPr="00407CF9">
        <w:rPr>
          <w:rStyle w:val="afffffffff3"/>
          <w:rtl/>
        </w:rPr>
        <w:instrText xml:space="preserve"> </w:instrText>
      </w:r>
      <w:r w:rsidRPr="00407CF9">
        <w:rPr>
          <w:rStyle w:val="afffffffff3"/>
          <w:rFonts w:hint="cs"/>
        </w:rPr>
        <w:instrText>REF</w:instrText>
      </w:r>
      <w:r w:rsidRPr="00407CF9">
        <w:rPr>
          <w:rStyle w:val="afffffffff3"/>
          <w:rFonts w:hint="cs"/>
          <w:rtl/>
        </w:rPr>
        <w:instrText xml:space="preserve"> _</w:instrText>
      </w:r>
      <w:r w:rsidRPr="00407CF9">
        <w:rPr>
          <w:rStyle w:val="afffffffff3"/>
          <w:rFonts w:hint="cs"/>
        </w:rPr>
        <w:instrText>Ref143979455 \r \h</w:instrText>
      </w:r>
      <w:r w:rsidRPr="00407CF9">
        <w:rPr>
          <w:rStyle w:val="afffffffff3"/>
          <w:rtl/>
        </w:rPr>
        <w:instrText xml:space="preserve">  \* </w:instrText>
      </w:r>
      <w:r w:rsidRPr="00407CF9">
        <w:rPr>
          <w:rStyle w:val="afffffffff3"/>
        </w:rPr>
        <w:instrText>MERGEFORMAT</w:instrText>
      </w:r>
      <w:r w:rsidRPr="00407CF9">
        <w:rPr>
          <w:rStyle w:val="afffffffff3"/>
          <w:rtl/>
        </w:rPr>
        <w:instrText xml:space="preserve"> </w:instrText>
      </w:r>
      <w:r w:rsidRPr="00407CF9">
        <w:rPr>
          <w:rStyle w:val="afffffffff3"/>
          <w:rtl/>
        </w:rPr>
      </w:r>
      <w:r w:rsidRPr="00407CF9">
        <w:rPr>
          <w:rStyle w:val="afffffffff3"/>
          <w:rtl/>
        </w:rPr>
        <w:fldChar w:fldCharType="separate"/>
      </w:r>
      <w:r w:rsidR="00D82181">
        <w:rPr>
          <w:rStyle w:val="afffffffff3"/>
          <w:cs/>
        </w:rPr>
        <w:t>‎</w:t>
      </w:r>
      <w:r w:rsidR="00D82181">
        <w:rPr>
          <w:rStyle w:val="afffffffff3"/>
          <w:rtl/>
        </w:rPr>
        <w:t>נח)</w:t>
      </w:r>
      <w:r w:rsidRPr="00407CF9">
        <w:rPr>
          <w:rStyle w:val="afffffffff3"/>
          <w:rtl/>
        </w:rPr>
        <w:fldChar w:fldCharType="end"/>
      </w:r>
      <w:r>
        <w:rPr>
          <w:rtl/>
        </w:rPr>
        <w:t xml:space="preserve"> </w:t>
      </w:r>
      <w:r w:rsidRPr="00D72FFC">
        <w:rPr>
          <w:rStyle w:val="afffffffff9"/>
          <w:rFonts w:ascii="David" w:eastAsiaTheme="minorEastAsia" w:hAnsi="David" w:cs="David" w:hint="cs"/>
          <w:color w:val="auto"/>
          <w:sz w:val="16"/>
          <w:szCs w:val="16"/>
          <w:rtl/>
        </w:rPr>
        <w:t>אגרות</w:t>
      </w:r>
      <w:r w:rsidRPr="00D72FFC">
        <w:rPr>
          <w:rFonts w:hint="cs"/>
          <w:rtl/>
        </w:rPr>
        <w:t xml:space="preserve"> </w:t>
      </w:r>
      <w:r w:rsidRPr="00D72FFC">
        <w:rPr>
          <w:rStyle w:val="afffffffff9"/>
          <w:rFonts w:ascii="David" w:eastAsiaTheme="minorEastAsia" w:hAnsi="David" w:cs="David" w:hint="cs"/>
          <w:color w:val="auto"/>
          <w:sz w:val="16"/>
          <w:szCs w:val="16"/>
          <w:rtl/>
        </w:rPr>
        <w:t>משה</w:t>
      </w:r>
      <w:r w:rsidRPr="00D72FFC">
        <w:rPr>
          <w:rStyle w:val="aff5"/>
          <w:rFonts w:ascii="David" w:eastAsiaTheme="minorEastAsia" w:hAnsi="David" w:cs="David" w:hint="cs"/>
          <w:noProof w:val="0"/>
          <w:sz w:val="16"/>
          <w:szCs w:val="16"/>
          <w:rtl/>
        </w:rPr>
        <w:t xml:space="preserve"> </w:t>
      </w:r>
      <w:r w:rsidRPr="00407CF9">
        <w:rPr>
          <w:rStyle w:val="afffffffff3"/>
          <w:rFonts w:hint="cs"/>
          <w:rtl/>
        </w:rPr>
        <w:t xml:space="preserve">(עי' אות </w:t>
      </w:r>
      <w:r w:rsidRPr="00407CF9">
        <w:rPr>
          <w:rStyle w:val="afffffffff3"/>
          <w:rtl/>
        </w:rPr>
        <w:fldChar w:fldCharType="begin"/>
      </w:r>
      <w:r w:rsidRPr="00407CF9">
        <w:rPr>
          <w:rStyle w:val="afffffffff3"/>
          <w:rtl/>
        </w:rPr>
        <w:instrText xml:space="preserve"> </w:instrText>
      </w:r>
      <w:r w:rsidRPr="00407CF9">
        <w:rPr>
          <w:rStyle w:val="afffffffff3"/>
          <w:rFonts w:hint="cs"/>
        </w:rPr>
        <w:instrText>REF</w:instrText>
      </w:r>
      <w:r w:rsidRPr="00407CF9">
        <w:rPr>
          <w:rStyle w:val="afffffffff3"/>
          <w:rFonts w:hint="cs"/>
          <w:rtl/>
        </w:rPr>
        <w:instrText xml:space="preserve"> _</w:instrText>
      </w:r>
      <w:r w:rsidRPr="00407CF9">
        <w:rPr>
          <w:rStyle w:val="afffffffff3"/>
          <w:rFonts w:hint="cs"/>
        </w:rPr>
        <w:instrText>Ref144153238 \r \h</w:instrText>
      </w:r>
      <w:r w:rsidRPr="00407CF9">
        <w:rPr>
          <w:rStyle w:val="afffffffff3"/>
          <w:rtl/>
        </w:rPr>
        <w:instrText xml:space="preserve">  \* </w:instrText>
      </w:r>
      <w:r w:rsidRPr="00407CF9">
        <w:rPr>
          <w:rStyle w:val="afffffffff3"/>
        </w:rPr>
        <w:instrText>MERGEFORMAT</w:instrText>
      </w:r>
      <w:r w:rsidRPr="00407CF9">
        <w:rPr>
          <w:rStyle w:val="afffffffff3"/>
          <w:rtl/>
        </w:rPr>
        <w:instrText xml:space="preserve"> </w:instrText>
      </w:r>
      <w:r w:rsidRPr="00407CF9">
        <w:rPr>
          <w:rStyle w:val="afffffffff3"/>
          <w:rtl/>
        </w:rPr>
      </w:r>
      <w:r w:rsidRPr="00407CF9">
        <w:rPr>
          <w:rStyle w:val="afffffffff3"/>
          <w:rtl/>
        </w:rPr>
        <w:fldChar w:fldCharType="separate"/>
      </w:r>
      <w:r w:rsidR="00D82181">
        <w:rPr>
          <w:rStyle w:val="afffffffff3"/>
          <w:cs/>
        </w:rPr>
        <w:t>‎</w:t>
      </w:r>
      <w:r w:rsidR="00D82181">
        <w:rPr>
          <w:rStyle w:val="afffffffff3"/>
          <w:rtl/>
        </w:rPr>
        <w:t>כו)</w:t>
      </w:r>
      <w:r w:rsidRPr="00407CF9">
        <w:rPr>
          <w:rStyle w:val="afffffffff3"/>
          <w:rtl/>
        </w:rPr>
        <w:fldChar w:fldCharType="end"/>
      </w:r>
      <w:r>
        <w:rPr>
          <w:rtl/>
        </w:rPr>
        <w:t>,</w:t>
      </w:r>
      <w:r w:rsidRPr="00407CF9">
        <w:rPr>
          <w:rFonts w:hint="cs"/>
          <w:b/>
          <w:bCs/>
          <w:rtl/>
        </w:rPr>
        <w:t xml:space="preserve"> </w:t>
      </w:r>
      <w:r w:rsidRPr="00407CF9">
        <w:rPr>
          <w:b/>
          <w:bCs/>
          <w:rtl/>
        </w:rPr>
        <w:fldChar w:fldCharType="begin"/>
      </w:r>
      <w:r w:rsidRPr="00407CF9">
        <w:rPr>
          <w:b/>
          <w:bCs/>
          <w:rtl/>
        </w:rPr>
        <w:instrText xml:space="preserve"> </w:instrText>
      </w:r>
      <w:r w:rsidRPr="00407CF9">
        <w:rPr>
          <w:rFonts w:hint="cs"/>
          <w:b/>
          <w:bCs/>
        </w:rPr>
        <w:instrText>REF</w:instrText>
      </w:r>
      <w:r w:rsidRPr="00407CF9">
        <w:rPr>
          <w:rFonts w:hint="cs"/>
          <w:b/>
          <w:bCs/>
          <w:rtl/>
        </w:rPr>
        <w:instrText xml:space="preserve"> _</w:instrText>
      </w:r>
      <w:r w:rsidRPr="00407CF9">
        <w:rPr>
          <w:rFonts w:hint="cs"/>
          <w:b/>
          <w:bCs/>
        </w:rPr>
        <w:instrText>Ref143794135 \r \h</w:instrText>
      </w:r>
      <w:r w:rsidRPr="00407CF9">
        <w:rPr>
          <w:b/>
          <w:bCs/>
          <w:rtl/>
        </w:rPr>
        <w:instrText xml:space="preserve">  \* </w:instrText>
      </w:r>
      <w:r w:rsidRPr="00407CF9">
        <w:rPr>
          <w:b/>
          <w:bCs/>
        </w:rPr>
        <w:instrText>MERGEFORMAT</w:instrText>
      </w:r>
      <w:r w:rsidRPr="00407CF9">
        <w:rPr>
          <w:b/>
          <w:bCs/>
          <w:rtl/>
        </w:rPr>
        <w:instrText xml:space="preserve"> </w:instrText>
      </w:r>
      <w:r w:rsidRPr="00407CF9">
        <w:rPr>
          <w:b/>
          <w:bCs/>
          <w:rtl/>
        </w:rPr>
      </w:r>
      <w:r w:rsidRPr="00407CF9">
        <w:rPr>
          <w:b/>
          <w:bCs/>
          <w:rtl/>
        </w:rPr>
        <w:fldChar w:fldCharType="separate"/>
      </w:r>
      <w:r w:rsidR="00D82181">
        <w:rPr>
          <w:b/>
          <w:bCs/>
          <w:cs/>
        </w:rPr>
        <w:t>‎</w:t>
      </w:r>
      <w:r w:rsidR="00D82181">
        <w:rPr>
          <w:b/>
          <w:bCs/>
          <w:rtl/>
        </w:rPr>
        <w:t>יד)</w:t>
      </w:r>
      <w:r w:rsidRPr="00407CF9">
        <w:rPr>
          <w:b/>
          <w:bCs/>
          <w:rtl/>
        </w:rPr>
        <w:fldChar w:fldCharType="end"/>
      </w:r>
      <w:r w:rsidRPr="00407CF9">
        <w:rPr>
          <w:rFonts w:hint="cs"/>
          <w:b/>
          <w:bCs/>
          <w:rtl/>
        </w:rPr>
        <w:t xml:space="preserve"> </w:t>
      </w:r>
      <w:r w:rsidRPr="00D72FFC">
        <w:rPr>
          <w:rStyle w:val="afffffffff9"/>
          <w:rFonts w:ascii="David" w:eastAsiaTheme="minorEastAsia" w:hAnsi="David" w:cs="David" w:hint="cs"/>
          <w:color w:val="auto"/>
          <w:sz w:val="16"/>
          <w:szCs w:val="16"/>
          <w:rtl/>
        </w:rPr>
        <w:t>רש"י לעיל</w:t>
      </w:r>
      <w:r w:rsidRPr="00D72FFC">
        <w:rPr>
          <w:rFonts w:hint="cs"/>
          <w:rtl/>
        </w:rPr>
        <w:t xml:space="preserve"> </w:t>
      </w:r>
      <w:r w:rsidRPr="00407CF9">
        <w:rPr>
          <w:rStyle w:val="afffffffff3"/>
          <w:rFonts w:hint="cs"/>
          <w:rtl/>
        </w:rPr>
        <w:t>(עה: ד"ה מסתת)</w:t>
      </w:r>
      <w:r>
        <w:rPr>
          <w:rtl/>
        </w:rPr>
        <w:t xml:space="preserve"> </w:t>
      </w:r>
      <w:r w:rsidRPr="00D72FFC">
        <w:rPr>
          <w:rStyle w:val="afffffffff9"/>
          <w:rFonts w:ascii="David" w:eastAsiaTheme="minorEastAsia" w:hAnsi="David" w:cs="David" w:hint="cs"/>
          <w:color w:val="auto"/>
          <w:sz w:val="16"/>
          <w:szCs w:val="16"/>
          <w:rtl/>
        </w:rPr>
        <w:t>רש"י לעיל</w:t>
      </w:r>
      <w:r w:rsidRPr="00D72FFC">
        <w:rPr>
          <w:rFonts w:hint="cs"/>
          <w:rtl/>
        </w:rPr>
        <w:t xml:space="preserve"> </w:t>
      </w:r>
      <w:r w:rsidRPr="00407CF9">
        <w:rPr>
          <w:rStyle w:val="afffffffff3"/>
          <w:rFonts w:hint="cs"/>
          <w:rtl/>
        </w:rPr>
        <w:t>(עה: ד"ה הצר)</w:t>
      </w:r>
      <w:r>
        <w:rPr>
          <w:rtl/>
        </w:rPr>
        <w:t xml:space="preserve"> </w:t>
      </w:r>
      <w:r w:rsidRPr="00D72FFC">
        <w:rPr>
          <w:rStyle w:val="afffffffff9"/>
          <w:rFonts w:ascii="David" w:eastAsiaTheme="minorEastAsia" w:hAnsi="David" w:cs="David" w:hint="cs"/>
          <w:color w:val="auto"/>
          <w:sz w:val="16"/>
          <w:szCs w:val="16"/>
          <w:rtl/>
        </w:rPr>
        <w:t>רש"י לעיל</w:t>
      </w:r>
      <w:r w:rsidRPr="00D72FFC">
        <w:rPr>
          <w:rFonts w:hint="cs"/>
          <w:rtl/>
        </w:rPr>
        <w:t xml:space="preserve"> </w:t>
      </w:r>
      <w:r w:rsidRPr="00407CF9">
        <w:rPr>
          <w:rStyle w:val="afffffffff3"/>
          <w:rFonts w:hint="cs"/>
          <w:rtl/>
        </w:rPr>
        <w:t>(עה: ד"ה מנפח)</w:t>
      </w:r>
      <w:r>
        <w:rPr>
          <w:rtl/>
        </w:rPr>
        <w:t xml:space="preserve"> </w:t>
      </w:r>
      <w:r w:rsidRPr="00D72FFC">
        <w:rPr>
          <w:rStyle w:val="afffffffff9"/>
          <w:rFonts w:ascii="David" w:eastAsiaTheme="minorEastAsia" w:hAnsi="David" w:cs="David" w:hint="cs"/>
          <w:color w:val="auto"/>
          <w:sz w:val="16"/>
          <w:szCs w:val="16"/>
          <w:rtl/>
        </w:rPr>
        <w:t>רש"י לעיל</w:t>
      </w:r>
      <w:r w:rsidRPr="00D72FFC">
        <w:rPr>
          <w:rFonts w:hint="cs"/>
          <w:rtl/>
        </w:rPr>
        <w:t xml:space="preserve"> </w:t>
      </w:r>
      <w:r w:rsidRPr="00407CF9">
        <w:rPr>
          <w:rStyle w:val="afffffffff3"/>
          <w:rFonts w:hint="cs"/>
          <w:rtl/>
        </w:rPr>
        <w:t>(עה: ד"ה דשקיל)</w:t>
      </w:r>
      <w:r>
        <w:rPr>
          <w:rtl/>
        </w:rPr>
        <w:t>,</w:t>
      </w:r>
      <w:r w:rsidRPr="00407CF9">
        <w:rPr>
          <w:rFonts w:hint="cs"/>
          <w:b/>
          <w:bCs/>
          <w:rtl/>
        </w:rPr>
        <w:t xml:space="preserve"> </w:t>
      </w:r>
      <w:r w:rsidRPr="00407CF9">
        <w:rPr>
          <w:b/>
          <w:bCs/>
          <w:rtl/>
        </w:rPr>
        <w:fldChar w:fldCharType="begin"/>
      </w:r>
      <w:r w:rsidRPr="00407CF9">
        <w:rPr>
          <w:b/>
          <w:bCs/>
          <w:rtl/>
        </w:rPr>
        <w:instrText xml:space="preserve"> </w:instrText>
      </w:r>
      <w:r w:rsidRPr="00407CF9">
        <w:rPr>
          <w:rFonts w:hint="cs"/>
          <w:b/>
          <w:bCs/>
        </w:rPr>
        <w:instrText>REF</w:instrText>
      </w:r>
      <w:r w:rsidRPr="00407CF9">
        <w:rPr>
          <w:rFonts w:hint="cs"/>
          <w:b/>
          <w:bCs/>
          <w:rtl/>
        </w:rPr>
        <w:instrText xml:space="preserve"> _</w:instrText>
      </w:r>
      <w:r w:rsidRPr="00407CF9">
        <w:rPr>
          <w:rFonts w:hint="cs"/>
          <w:b/>
          <w:bCs/>
        </w:rPr>
        <w:instrText>Ref143720755 \r \h</w:instrText>
      </w:r>
      <w:r w:rsidRPr="00407CF9">
        <w:rPr>
          <w:b/>
          <w:bCs/>
          <w:rtl/>
        </w:rPr>
        <w:instrText xml:space="preserve">  \* </w:instrText>
      </w:r>
      <w:r w:rsidRPr="00407CF9">
        <w:rPr>
          <w:b/>
          <w:bCs/>
        </w:rPr>
        <w:instrText>MERGEFORMAT</w:instrText>
      </w:r>
      <w:r w:rsidRPr="00407CF9">
        <w:rPr>
          <w:b/>
          <w:bCs/>
          <w:rtl/>
        </w:rPr>
        <w:instrText xml:space="preserve"> </w:instrText>
      </w:r>
      <w:r w:rsidRPr="00407CF9">
        <w:rPr>
          <w:b/>
          <w:bCs/>
          <w:rtl/>
        </w:rPr>
      </w:r>
      <w:r w:rsidRPr="00407CF9">
        <w:rPr>
          <w:b/>
          <w:bCs/>
          <w:rtl/>
        </w:rPr>
        <w:fldChar w:fldCharType="separate"/>
      </w:r>
      <w:r w:rsidR="00D82181">
        <w:rPr>
          <w:b/>
          <w:bCs/>
          <w:cs/>
        </w:rPr>
        <w:t>‎</w:t>
      </w:r>
      <w:r w:rsidR="00D82181">
        <w:rPr>
          <w:b/>
          <w:bCs/>
          <w:rtl/>
        </w:rPr>
        <w:t>טו)</w:t>
      </w:r>
      <w:r w:rsidRPr="00407CF9">
        <w:rPr>
          <w:b/>
          <w:bCs/>
          <w:rtl/>
        </w:rPr>
        <w:fldChar w:fldCharType="end"/>
      </w:r>
      <w:r w:rsidRPr="00407CF9">
        <w:rPr>
          <w:rFonts w:hint="cs"/>
          <w:b/>
          <w:bCs/>
          <w:rtl/>
        </w:rPr>
        <w:t xml:space="preserve"> </w:t>
      </w:r>
      <w:r w:rsidRPr="00D72FFC">
        <w:rPr>
          <w:rStyle w:val="afffffffff9"/>
          <w:rFonts w:ascii="David" w:eastAsiaTheme="minorEastAsia" w:hAnsi="David" w:cs="David" w:hint="cs"/>
          <w:color w:val="auto"/>
          <w:sz w:val="16"/>
          <w:szCs w:val="16"/>
          <w:rtl/>
        </w:rPr>
        <w:t>רש"י בביצה</w:t>
      </w:r>
      <w:r w:rsidRPr="00D72FFC">
        <w:rPr>
          <w:rFonts w:hint="cs"/>
          <w:rtl/>
        </w:rPr>
        <w:t xml:space="preserve"> </w:t>
      </w:r>
      <w:r w:rsidRPr="00407CF9">
        <w:rPr>
          <w:rStyle w:val="afffffffff3"/>
          <w:rFonts w:hint="cs"/>
          <w:rtl/>
        </w:rPr>
        <w:t>(יא: ד"ה דאין)</w:t>
      </w:r>
      <w:r>
        <w:rPr>
          <w:rtl/>
        </w:rPr>
        <w:t>,</w:t>
      </w:r>
      <w:r w:rsidRPr="00407CF9">
        <w:rPr>
          <w:rFonts w:hint="cs"/>
          <w:b/>
          <w:bCs/>
          <w:rtl/>
        </w:rPr>
        <w:t xml:space="preserve"> </w:t>
      </w:r>
      <w:r w:rsidRPr="00407CF9">
        <w:rPr>
          <w:b/>
          <w:bCs/>
          <w:rtl/>
        </w:rPr>
        <w:fldChar w:fldCharType="begin"/>
      </w:r>
      <w:r w:rsidRPr="00407CF9">
        <w:rPr>
          <w:b/>
          <w:bCs/>
          <w:rtl/>
        </w:rPr>
        <w:instrText xml:space="preserve"> </w:instrText>
      </w:r>
      <w:r w:rsidRPr="00407CF9">
        <w:rPr>
          <w:rFonts w:hint="cs"/>
          <w:b/>
          <w:bCs/>
        </w:rPr>
        <w:instrText>REF</w:instrText>
      </w:r>
      <w:r w:rsidRPr="00407CF9">
        <w:rPr>
          <w:rFonts w:hint="cs"/>
          <w:b/>
          <w:bCs/>
          <w:rtl/>
        </w:rPr>
        <w:instrText xml:space="preserve"> _</w:instrText>
      </w:r>
      <w:r w:rsidRPr="00407CF9">
        <w:rPr>
          <w:rFonts w:hint="cs"/>
          <w:b/>
          <w:bCs/>
        </w:rPr>
        <w:instrText>Ref144117209 \r \h</w:instrText>
      </w:r>
      <w:r w:rsidRPr="00407CF9">
        <w:rPr>
          <w:b/>
          <w:bCs/>
          <w:rtl/>
        </w:rPr>
        <w:instrText xml:space="preserve">  \* </w:instrText>
      </w:r>
      <w:r w:rsidRPr="00407CF9">
        <w:rPr>
          <w:b/>
          <w:bCs/>
        </w:rPr>
        <w:instrText>MERGEFORMAT</w:instrText>
      </w:r>
      <w:r w:rsidRPr="00407CF9">
        <w:rPr>
          <w:b/>
          <w:bCs/>
          <w:rtl/>
        </w:rPr>
        <w:instrText xml:space="preserve"> </w:instrText>
      </w:r>
      <w:r w:rsidRPr="00407CF9">
        <w:rPr>
          <w:b/>
          <w:bCs/>
          <w:rtl/>
        </w:rPr>
      </w:r>
      <w:r w:rsidRPr="00407CF9">
        <w:rPr>
          <w:b/>
          <w:bCs/>
          <w:rtl/>
        </w:rPr>
        <w:fldChar w:fldCharType="separate"/>
      </w:r>
      <w:r w:rsidR="00D82181">
        <w:rPr>
          <w:b/>
          <w:bCs/>
          <w:cs/>
        </w:rPr>
        <w:t>‎</w:t>
      </w:r>
      <w:r w:rsidR="00D82181">
        <w:rPr>
          <w:b/>
          <w:bCs/>
          <w:rtl/>
        </w:rPr>
        <w:t>טז)</w:t>
      </w:r>
      <w:r w:rsidRPr="00407CF9">
        <w:rPr>
          <w:b/>
          <w:bCs/>
          <w:rtl/>
        </w:rPr>
        <w:fldChar w:fldCharType="end"/>
      </w:r>
      <w:r w:rsidRPr="00407CF9">
        <w:rPr>
          <w:rFonts w:hint="cs"/>
          <w:b/>
          <w:bCs/>
          <w:rtl/>
        </w:rPr>
        <w:t xml:space="preserve"> </w:t>
      </w:r>
      <w:r w:rsidRPr="00D72FFC">
        <w:rPr>
          <w:rStyle w:val="afffffffff9"/>
          <w:rFonts w:ascii="David" w:eastAsiaTheme="minorEastAsia" w:hAnsi="David" w:cs="David" w:hint="cs"/>
          <w:color w:val="auto"/>
          <w:sz w:val="16"/>
          <w:szCs w:val="16"/>
          <w:rtl/>
        </w:rPr>
        <w:t>רש"י לעיל</w:t>
      </w:r>
      <w:r w:rsidRPr="00D72FFC">
        <w:rPr>
          <w:rFonts w:hint="cs"/>
          <w:rtl/>
        </w:rPr>
        <w:t xml:space="preserve"> </w:t>
      </w:r>
      <w:r w:rsidRPr="00407CF9">
        <w:rPr>
          <w:rStyle w:val="afffffffff3"/>
          <w:rFonts w:hint="cs"/>
          <w:rtl/>
        </w:rPr>
        <w:t>(מז. ד"ה חייב)</w:t>
      </w:r>
      <w:r>
        <w:rPr>
          <w:rtl/>
        </w:rPr>
        <w:t xml:space="preserve"> </w:t>
      </w:r>
      <w:r w:rsidRPr="00D72FFC">
        <w:rPr>
          <w:rStyle w:val="afffffffff9"/>
          <w:rFonts w:ascii="David" w:eastAsiaTheme="minorEastAsia" w:hAnsi="David" w:cs="David" w:hint="cs"/>
          <w:color w:val="auto"/>
          <w:sz w:val="16"/>
          <w:szCs w:val="16"/>
          <w:rtl/>
        </w:rPr>
        <w:t>רש"י לעיל</w:t>
      </w:r>
      <w:r w:rsidRPr="00D72FFC">
        <w:rPr>
          <w:rFonts w:hint="cs"/>
          <w:rtl/>
        </w:rPr>
        <w:t xml:space="preserve"> </w:t>
      </w:r>
      <w:r w:rsidRPr="00407CF9">
        <w:rPr>
          <w:rStyle w:val="afffffffff3"/>
          <w:rFonts w:hint="cs"/>
          <w:rtl/>
        </w:rPr>
        <w:t>(מח. ד"ה חייב)</w:t>
      </w:r>
      <w:r>
        <w:rPr>
          <w:rtl/>
        </w:rPr>
        <w:t xml:space="preserve"> </w:t>
      </w:r>
      <w:r w:rsidRPr="00D72FFC">
        <w:rPr>
          <w:rStyle w:val="afffffffff9"/>
          <w:rFonts w:ascii="David" w:eastAsiaTheme="minorEastAsia" w:hAnsi="David" w:cs="David" w:hint="cs"/>
          <w:color w:val="auto"/>
          <w:sz w:val="16"/>
          <w:szCs w:val="16"/>
          <w:rtl/>
        </w:rPr>
        <w:t>רש"י לקמן</w:t>
      </w:r>
      <w:r w:rsidRPr="00D72FFC">
        <w:rPr>
          <w:rFonts w:hint="cs"/>
          <w:rtl/>
        </w:rPr>
        <w:t xml:space="preserve"> </w:t>
      </w:r>
      <w:r w:rsidRPr="00407CF9">
        <w:rPr>
          <w:rStyle w:val="afffffffff3"/>
          <w:rFonts w:hint="cs"/>
          <w:rtl/>
        </w:rPr>
        <w:t>(קכב: ד"ה גזירה)</w:t>
      </w:r>
      <w:r>
        <w:rPr>
          <w:rtl/>
        </w:rPr>
        <w:t xml:space="preserve"> </w:t>
      </w:r>
      <w:r w:rsidRPr="00D72FFC">
        <w:rPr>
          <w:rStyle w:val="afffffffff9"/>
          <w:rFonts w:ascii="David" w:eastAsiaTheme="minorEastAsia" w:hAnsi="David" w:cs="David" w:hint="cs"/>
          <w:color w:val="auto"/>
          <w:sz w:val="16"/>
          <w:szCs w:val="16"/>
          <w:rtl/>
        </w:rPr>
        <w:t>רש"י לקמן</w:t>
      </w:r>
      <w:r w:rsidRPr="00D72FFC">
        <w:rPr>
          <w:rFonts w:hint="cs"/>
          <w:rtl/>
        </w:rPr>
        <w:t xml:space="preserve"> </w:t>
      </w:r>
      <w:r w:rsidRPr="00407CF9">
        <w:rPr>
          <w:rStyle w:val="afffffffff3"/>
          <w:rFonts w:hint="cs"/>
          <w:rtl/>
        </w:rPr>
        <w:t>(קכד: ד"ה לא יספות)</w:t>
      </w:r>
      <w:r>
        <w:rPr>
          <w:rtl/>
        </w:rPr>
        <w:t xml:space="preserve"> </w:t>
      </w:r>
      <w:r w:rsidRPr="00D72FFC">
        <w:rPr>
          <w:rStyle w:val="afffffffff9"/>
          <w:rFonts w:ascii="David" w:eastAsiaTheme="minorEastAsia" w:hAnsi="David" w:cs="David" w:hint="cs"/>
          <w:color w:val="auto"/>
          <w:sz w:val="16"/>
          <w:szCs w:val="16"/>
          <w:rtl/>
        </w:rPr>
        <w:t>רש"י לקמן</w:t>
      </w:r>
      <w:r w:rsidRPr="00D72FFC">
        <w:rPr>
          <w:rFonts w:hint="cs"/>
          <w:rtl/>
        </w:rPr>
        <w:t xml:space="preserve"> </w:t>
      </w:r>
      <w:r w:rsidRPr="00407CF9">
        <w:rPr>
          <w:rStyle w:val="afffffffff3"/>
          <w:rFonts w:hint="cs"/>
          <w:rtl/>
        </w:rPr>
        <w:t>(קכה: ד"ה גזירה)</w:t>
      </w:r>
      <w:r>
        <w:rPr>
          <w:rtl/>
        </w:rPr>
        <w:t>,</w:t>
      </w:r>
      <w:r w:rsidRPr="00407CF9">
        <w:rPr>
          <w:b/>
          <w:bCs/>
          <w:rtl/>
        </w:rPr>
        <w:t xml:space="preserve"> </w:t>
      </w:r>
      <w:r w:rsidRPr="00407CF9">
        <w:rPr>
          <w:b/>
          <w:bCs/>
          <w:rtl/>
        </w:rPr>
        <w:fldChar w:fldCharType="begin"/>
      </w:r>
      <w:r w:rsidRPr="00407CF9">
        <w:rPr>
          <w:b/>
          <w:bCs/>
          <w:rtl/>
        </w:rPr>
        <w:instrText xml:space="preserve"> </w:instrText>
      </w:r>
      <w:r w:rsidRPr="00407CF9">
        <w:rPr>
          <w:b/>
          <w:bCs/>
        </w:rPr>
        <w:instrText>REF</w:instrText>
      </w:r>
      <w:r w:rsidRPr="00407CF9">
        <w:rPr>
          <w:b/>
          <w:bCs/>
          <w:rtl/>
        </w:rPr>
        <w:instrText xml:space="preserve"> _</w:instrText>
      </w:r>
      <w:r w:rsidRPr="00407CF9">
        <w:rPr>
          <w:b/>
          <w:bCs/>
        </w:rPr>
        <w:instrText>Ref144117401 \r \h</w:instrText>
      </w:r>
      <w:r w:rsidRPr="00407CF9">
        <w:rPr>
          <w:b/>
          <w:bCs/>
          <w:rtl/>
        </w:rPr>
        <w:instrText xml:space="preserve">  \* </w:instrText>
      </w:r>
      <w:r w:rsidRPr="00407CF9">
        <w:rPr>
          <w:b/>
          <w:bCs/>
        </w:rPr>
        <w:instrText>MERGEFORMAT</w:instrText>
      </w:r>
      <w:r w:rsidRPr="00407CF9">
        <w:rPr>
          <w:b/>
          <w:bCs/>
          <w:rtl/>
        </w:rPr>
        <w:instrText xml:space="preserve"> </w:instrText>
      </w:r>
      <w:r w:rsidRPr="00407CF9">
        <w:rPr>
          <w:b/>
          <w:bCs/>
          <w:rtl/>
        </w:rPr>
      </w:r>
      <w:r w:rsidRPr="00407CF9">
        <w:rPr>
          <w:b/>
          <w:bCs/>
          <w:rtl/>
        </w:rPr>
        <w:fldChar w:fldCharType="separate"/>
      </w:r>
      <w:r w:rsidR="00D82181">
        <w:rPr>
          <w:b/>
          <w:bCs/>
          <w:cs/>
        </w:rPr>
        <w:t>‎</w:t>
      </w:r>
      <w:r w:rsidR="00D82181">
        <w:rPr>
          <w:b/>
          <w:bCs/>
          <w:rtl/>
        </w:rPr>
        <w:t>יז)</w:t>
      </w:r>
      <w:r w:rsidRPr="00407CF9">
        <w:rPr>
          <w:b/>
          <w:bCs/>
          <w:rtl/>
        </w:rPr>
        <w:fldChar w:fldCharType="end"/>
      </w:r>
      <w:r w:rsidRPr="00407CF9">
        <w:rPr>
          <w:b/>
          <w:bCs/>
          <w:rtl/>
        </w:rPr>
        <w:t xml:space="preserve"> </w:t>
      </w:r>
      <w:r w:rsidRPr="00D72FFC">
        <w:rPr>
          <w:rFonts w:hint="cs"/>
          <w:rtl/>
        </w:rPr>
        <w:t>רש"י</w:t>
      </w:r>
      <w:r w:rsidRPr="00D72FFC">
        <w:rPr>
          <w:rtl/>
        </w:rPr>
        <w:t xml:space="preserve"> </w:t>
      </w:r>
      <w:r w:rsidRPr="00407CF9">
        <w:rPr>
          <w:rStyle w:val="afffffffff3"/>
          <w:rtl/>
        </w:rPr>
        <w:t>(</w:t>
      </w:r>
      <w:r w:rsidRPr="00407CF9">
        <w:rPr>
          <w:rStyle w:val="afffffffff3"/>
          <w:rFonts w:hint="cs"/>
          <w:rtl/>
        </w:rPr>
        <w:t>קג. ד"ה אלא</w:t>
      </w:r>
      <w:r w:rsidRPr="00407CF9">
        <w:rPr>
          <w:rStyle w:val="afffffffff3"/>
          <w:rtl/>
        </w:rPr>
        <w:t>)</w:t>
      </w:r>
      <w:r>
        <w:rPr>
          <w:rtl/>
        </w:rPr>
        <w:t>,</w:t>
      </w:r>
      <w:r w:rsidRPr="00407CF9">
        <w:rPr>
          <w:b/>
          <w:bCs/>
          <w:rtl/>
        </w:rPr>
        <w:t xml:space="preserve"> </w:t>
      </w:r>
      <w:r w:rsidRPr="00407CF9">
        <w:rPr>
          <w:b/>
          <w:bCs/>
          <w:rtl/>
        </w:rPr>
        <w:fldChar w:fldCharType="begin"/>
      </w:r>
      <w:r w:rsidRPr="00407CF9">
        <w:rPr>
          <w:b/>
          <w:bCs/>
          <w:rtl/>
        </w:rPr>
        <w:instrText xml:space="preserve"> </w:instrText>
      </w:r>
      <w:r w:rsidRPr="00407CF9">
        <w:rPr>
          <w:b/>
          <w:bCs/>
        </w:rPr>
        <w:instrText>REF</w:instrText>
      </w:r>
      <w:r w:rsidRPr="00407CF9">
        <w:rPr>
          <w:b/>
          <w:bCs/>
          <w:rtl/>
        </w:rPr>
        <w:instrText xml:space="preserve"> _</w:instrText>
      </w:r>
      <w:r w:rsidRPr="00407CF9">
        <w:rPr>
          <w:b/>
          <w:bCs/>
        </w:rPr>
        <w:instrText>Ref144151503 \r \h</w:instrText>
      </w:r>
      <w:r w:rsidRPr="00407CF9">
        <w:rPr>
          <w:b/>
          <w:bCs/>
          <w:rtl/>
        </w:rPr>
        <w:instrText xml:space="preserve">  \* </w:instrText>
      </w:r>
      <w:r w:rsidRPr="00407CF9">
        <w:rPr>
          <w:b/>
          <w:bCs/>
        </w:rPr>
        <w:instrText>MERGEFORMAT</w:instrText>
      </w:r>
      <w:r w:rsidRPr="00407CF9">
        <w:rPr>
          <w:b/>
          <w:bCs/>
          <w:rtl/>
        </w:rPr>
        <w:instrText xml:space="preserve"> </w:instrText>
      </w:r>
      <w:r w:rsidRPr="00407CF9">
        <w:rPr>
          <w:b/>
          <w:bCs/>
          <w:rtl/>
        </w:rPr>
      </w:r>
      <w:r w:rsidRPr="00407CF9">
        <w:rPr>
          <w:b/>
          <w:bCs/>
          <w:rtl/>
        </w:rPr>
        <w:fldChar w:fldCharType="separate"/>
      </w:r>
      <w:r w:rsidR="00D82181">
        <w:rPr>
          <w:b/>
          <w:bCs/>
          <w:cs/>
        </w:rPr>
        <w:t>‎</w:t>
      </w:r>
      <w:r w:rsidR="00D82181">
        <w:rPr>
          <w:b/>
          <w:bCs/>
          <w:rtl/>
        </w:rPr>
        <w:t>יח)</w:t>
      </w:r>
      <w:r w:rsidRPr="00407CF9">
        <w:rPr>
          <w:b/>
          <w:bCs/>
          <w:rtl/>
        </w:rPr>
        <w:fldChar w:fldCharType="end"/>
      </w:r>
      <w:r w:rsidRPr="00407CF9">
        <w:rPr>
          <w:b/>
          <w:bCs/>
          <w:rtl/>
        </w:rPr>
        <w:t xml:space="preserve"> </w:t>
      </w:r>
      <w:r w:rsidRPr="00D72FFC">
        <w:rPr>
          <w:rFonts w:hint="cs"/>
          <w:rtl/>
        </w:rPr>
        <w:t>מאירי לעיל</w:t>
      </w:r>
      <w:r w:rsidRPr="00D72FFC">
        <w:rPr>
          <w:rtl/>
        </w:rPr>
        <w:t xml:space="preserve"> </w:t>
      </w:r>
      <w:r w:rsidRPr="00407CF9">
        <w:rPr>
          <w:rStyle w:val="afffffffff3"/>
          <w:rtl/>
        </w:rPr>
        <w:t>(</w:t>
      </w:r>
      <w:r w:rsidRPr="00407CF9">
        <w:rPr>
          <w:rStyle w:val="afffffffff3"/>
          <w:rFonts w:hint="cs"/>
          <w:rtl/>
        </w:rPr>
        <w:t>עה: ד"ה אף המנפח</w:t>
      </w:r>
      <w:r w:rsidRPr="00407CF9">
        <w:rPr>
          <w:rStyle w:val="afffffffff3"/>
          <w:rtl/>
        </w:rPr>
        <w:t>)</w:t>
      </w:r>
      <w:r>
        <w:rPr>
          <w:rtl/>
        </w:rPr>
        <w:t xml:space="preserve"> </w:t>
      </w:r>
      <w:r w:rsidRPr="00D72FFC">
        <w:rPr>
          <w:rtl/>
        </w:rPr>
        <w:t xml:space="preserve"> </w:t>
      </w:r>
      <w:r w:rsidRPr="00D72FFC">
        <w:rPr>
          <w:rFonts w:hint="cs"/>
          <w:rtl/>
        </w:rPr>
        <w:t xml:space="preserve">מרכה"מ </w:t>
      </w:r>
      <w:r w:rsidRPr="00407CF9">
        <w:rPr>
          <w:rStyle w:val="afffffffff3"/>
          <w:rtl/>
        </w:rPr>
        <w:t>(</w:t>
      </w:r>
      <w:r w:rsidRPr="00407CF9">
        <w:rPr>
          <w:rStyle w:val="afffffffff3"/>
          <w:rFonts w:hint="cs"/>
          <w:rtl/>
        </w:rPr>
        <w:t>שבת פ"י ריש הט"ז</w:t>
      </w:r>
      <w:r w:rsidRPr="00407CF9">
        <w:rPr>
          <w:rStyle w:val="afffffffff3"/>
          <w:rtl/>
        </w:rPr>
        <w:t>)</w:t>
      </w:r>
      <w:r>
        <w:rPr>
          <w:rtl/>
        </w:rPr>
        <w:t>,</w:t>
      </w:r>
      <w:r w:rsidRPr="00407CF9">
        <w:rPr>
          <w:b/>
          <w:bCs/>
          <w:rtl/>
        </w:rPr>
        <w:t xml:space="preserve"> </w:t>
      </w:r>
      <w:r w:rsidRPr="00407CF9">
        <w:rPr>
          <w:b/>
          <w:bCs/>
          <w:rtl/>
        </w:rPr>
        <w:fldChar w:fldCharType="begin"/>
      </w:r>
      <w:r w:rsidRPr="00407CF9">
        <w:rPr>
          <w:b/>
          <w:bCs/>
          <w:rtl/>
        </w:rPr>
        <w:instrText xml:space="preserve"> </w:instrText>
      </w:r>
      <w:r w:rsidRPr="00407CF9">
        <w:rPr>
          <w:b/>
          <w:bCs/>
        </w:rPr>
        <w:instrText>REF</w:instrText>
      </w:r>
      <w:r w:rsidRPr="00407CF9">
        <w:rPr>
          <w:b/>
          <w:bCs/>
          <w:rtl/>
        </w:rPr>
        <w:instrText xml:space="preserve"> _</w:instrText>
      </w:r>
      <w:r w:rsidRPr="00407CF9">
        <w:rPr>
          <w:b/>
          <w:bCs/>
        </w:rPr>
        <w:instrText>Ref144117196 \r \h</w:instrText>
      </w:r>
      <w:r w:rsidRPr="00407CF9">
        <w:rPr>
          <w:b/>
          <w:bCs/>
          <w:rtl/>
        </w:rPr>
        <w:instrText xml:space="preserve">  \* </w:instrText>
      </w:r>
      <w:r w:rsidRPr="00407CF9">
        <w:rPr>
          <w:b/>
          <w:bCs/>
        </w:rPr>
        <w:instrText>MERGEFORMAT</w:instrText>
      </w:r>
      <w:r w:rsidRPr="00407CF9">
        <w:rPr>
          <w:b/>
          <w:bCs/>
          <w:rtl/>
        </w:rPr>
        <w:instrText xml:space="preserve"> </w:instrText>
      </w:r>
      <w:r w:rsidRPr="00407CF9">
        <w:rPr>
          <w:b/>
          <w:bCs/>
          <w:rtl/>
        </w:rPr>
      </w:r>
      <w:r w:rsidRPr="00407CF9">
        <w:rPr>
          <w:b/>
          <w:bCs/>
          <w:rtl/>
        </w:rPr>
        <w:fldChar w:fldCharType="separate"/>
      </w:r>
      <w:r w:rsidR="00D82181">
        <w:rPr>
          <w:b/>
          <w:bCs/>
          <w:cs/>
        </w:rPr>
        <w:t>‎</w:t>
      </w:r>
      <w:r w:rsidR="00D82181">
        <w:rPr>
          <w:b/>
          <w:bCs/>
          <w:rtl/>
        </w:rPr>
        <w:t>יט)</w:t>
      </w:r>
      <w:r w:rsidRPr="00407CF9">
        <w:rPr>
          <w:b/>
          <w:bCs/>
          <w:rtl/>
        </w:rPr>
        <w:fldChar w:fldCharType="end"/>
      </w:r>
      <w:r w:rsidRPr="00407CF9">
        <w:rPr>
          <w:b/>
          <w:bCs/>
          <w:rtl/>
        </w:rPr>
        <w:t xml:space="preserve"> </w:t>
      </w:r>
      <w:r w:rsidRPr="00D72FFC">
        <w:rPr>
          <w:rFonts w:hint="cs"/>
          <w:rtl/>
        </w:rPr>
        <w:t>חי' המיוחסים לר"ן לעיל</w:t>
      </w:r>
      <w:r w:rsidRPr="00D72FFC">
        <w:rPr>
          <w:rtl/>
        </w:rPr>
        <w:t xml:space="preserve"> </w:t>
      </w:r>
      <w:r w:rsidRPr="00407CF9">
        <w:rPr>
          <w:rStyle w:val="afffffffff3"/>
          <w:rtl/>
        </w:rPr>
        <w:t>(</w:t>
      </w:r>
      <w:r w:rsidRPr="00407CF9">
        <w:rPr>
          <w:rStyle w:val="afffffffff3"/>
          <w:rFonts w:hint="cs"/>
          <w:rtl/>
        </w:rPr>
        <w:t>עג. ד"ה מכה</w:t>
      </w:r>
      <w:r w:rsidRPr="00407CF9">
        <w:rPr>
          <w:rStyle w:val="afffffffff3"/>
          <w:rtl/>
        </w:rPr>
        <w:t>)</w:t>
      </w:r>
      <w:r>
        <w:rPr>
          <w:rtl/>
        </w:rPr>
        <w:t xml:space="preserve"> </w:t>
      </w:r>
      <w:r w:rsidRPr="00D72FFC">
        <w:rPr>
          <w:rFonts w:hint="cs"/>
          <w:rtl/>
        </w:rPr>
        <w:t>רבינו יהונתן לעיל</w:t>
      </w:r>
      <w:r w:rsidRPr="00D72FFC">
        <w:rPr>
          <w:rtl/>
        </w:rPr>
        <w:t xml:space="preserve"> </w:t>
      </w:r>
      <w:r w:rsidRPr="00407CF9">
        <w:rPr>
          <w:rStyle w:val="afffffffff3"/>
          <w:rFonts w:hint="cs"/>
          <w:rtl/>
        </w:rPr>
        <w:t>(עג. ד"ה והמנפח)</w:t>
      </w:r>
      <w:r>
        <w:rPr>
          <w:rtl/>
        </w:rPr>
        <w:t>,</w:t>
      </w:r>
      <w:r w:rsidRPr="00407CF9">
        <w:rPr>
          <w:b/>
          <w:bCs/>
          <w:rtl/>
        </w:rPr>
        <w:t xml:space="preserve"> </w:t>
      </w:r>
      <w:r w:rsidRPr="00407CF9">
        <w:rPr>
          <w:b/>
          <w:bCs/>
          <w:rtl/>
        </w:rPr>
        <w:fldChar w:fldCharType="begin"/>
      </w:r>
      <w:r w:rsidRPr="00407CF9">
        <w:rPr>
          <w:b/>
          <w:bCs/>
          <w:rtl/>
        </w:rPr>
        <w:instrText xml:space="preserve"> </w:instrText>
      </w:r>
      <w:r w:rsidRPr="00407CF9">
        <w:rPr>
          <w:b/>
          <w:bCs/>
        </w:rPr>
        <w:instrText>REF</w:instrText>
      </w:r>
      <w:r w:rsidRPr="00407CF9">
        <w:rPr>
          <w:b/>
          <w:bCs/>
          <w:rtl/>
        </w:rPr>
        <w:instrText xml:space="preserve"> _</w:instrText>
      </w:r>
      <w:r w:rsidRPr="00407CF9">
        <w:rPr>
          <w:b/>
          <w:bCs/>
        </w:rPr>
        <w:instrText>Ref144064696 \r \h</w:instrText>
      </w:r>
      <w:r w:rsidRPr="00407CF9">
        <w:rPr>
          <w:b/>
          <w:bCs/>
          <w:rtl/>
        </w:rPr>
        <w:instrText xml:space="preserve">  \* </w:instrText>
      </w:r>
      <w:r w:rsidRPr="00407CF9">
        <w:rPr>
          <w:b/>
          <w:bCs/>
        </w:rPr>
        <w:instrText>MERGEFORMAT</w:instrText>
      </w:r>
      <w:r w:rsidRPr="00407CF9">
        <w:rPr>
          <w:b/>
          <w:bCs/>
          <w:rtl/>
        </w:rPr>
        <w:instrText xml:space="preserve"> </w:instrText>
      </w:r>
      <w:r w:rsidRPr="00407CF9">
        <w:rPr>
          <w:b/>
          <w:bCs/>
          <w:rtl/>
        </w:rPr>
      </w:r>
      <w:r w:rsidRPr="00407CF9">
        <w:rPr>
          <w:b/>
          <w:bCs/>
          <w:rtl/>
        </w:rPr>
        <w:fldChar w:fldCharType="separate"/>
      </w:r>
      <w:r w:rsidR="00D82181">
        <w:rPr>
          <w:b/>
          <w:bCs/>
          <w:cs/>
        </w:rPr>
        <w:t>‎</w:t>
      </w:r>
      <w:r w:rsidR="00D82181">
        <w:rPr>
          <w:b/>
          <w:bCs/>
          <w:rtl/>
        </w:rPr>
        <w:t>כ)</w:t>
      </w:r>
      <w:r w:rsidRPr="00407CF9">
        <w:rPr>
          <w:b/>
          <w:bCs/>
          <w:rtl/>
        </w:rPr>
        <w:fldChar w:fldCharType="end"/>
      </w:r>
      <w:r w:rsidRPr="00407CF9">
        <w:rPr>
          <w:b/>
          <w:bCs/>
          <w:rtl/>
        </w:rPr>
        <w:t xml:space="preserve"> </w:t>
      </w:r>
      <w:r w:rsidRPr="00D72FFC">
        <w:rPr>
          <w:rFonts w:hint="cs"/>
          <w:rtl/>
        </w:rPr>
        <w:t>ערוך השולחן</w:t>
      </w:r>
      <w:r w:rsidRPr="00D72FFC">
        <w:rPr>
          <w:rtl/>
        </w:rPr>
        <w:t xml:space="preserve"> </w:t>
      </w:r>
      <w:r w:rsidRPr="00407CF9">
        <w:rPr>
          <w:rStyle w:val="afffffffff3"/>
          <w:rtl/>
        </w:rPr>
        <w:t>(</w:t>
      </w:r>
      <w:r w:rsidRPr="00407CF9">
        <w:rPr>
          <w:rStyle w:val="afffffffff3"/>
          <w:rFonts w:hint="cs"/>
          <w:rtl/>
        </w:rPr>
        <w:t>סי' שי"ג י"ג</w:t>
      </w:r>
      <w:r w:rsidRPr="00407CF9">
        <w:rPr>
          <w:rStyle w:val="afffffffff3"/>
          <w:rtl/>
        </w:rPr>
        <w:t>)</w:t>
      </w:r>
      <w:r>
        <w:rPr>
          <w:rtl/>
        </w:rPr>
        <w:t>,</w:t>
      </w:r>
      <w:r w:rsidRPr="00407CF9">
        <w:rPr>
          <w:b/>
          <w:bCs/>
          <w:rtl/>
        </w:rPr>
        <w:t xml:space="preserve"> </w:t>
      </w:r>
      <w:r w:rsidRPr="00407CF9">
        <w:rPr>
          <w:b/>
          <w:bCs/>
          <w:rtl/>
        </w:rPr>
        <w:fldChar w:fldCharType="begin"/>
      </w:r>
      <w:r w:rsidRPr="00407CF9">
        <w:rPr>
          <w:b/>
          <w:bCs/>
          <w:rtl/>
        </w:rPr>
        <w:instrText xml:space="preserve"> </w:instrText>
      </w:r>
      <w:r w:rsidRPr="00407CF9">
        <w:rPr>
          <w:b/>
          <w:bCs/>
        </w:rPr>
        <w:instrText>REF</w:instrText>
      </w:r>
      <w:r w:rsidRPr="00407CF9">
        <w:rPr>
          <w:b/>
          <w:bCs/>
          <w:rtl/>
        </w:rPr>
        <w:instrText xml:space="preserve"> _</w:instrText>
      </w:r>
      <w:r w:rsidRPr="00407CF9">
        <w:rPr>
          <w:b/>
          <w:bCs/>
        </w:rPr>
        <w:instrText>Ref144064689 \r \h</w:instrText>
      </w:r>
      <w:r w:rsidRPr="00407CF9">
        <w:rPr>
          <w:b/>
          <w:bCs/>
          <w:rtl/>
        </w:rPr>
        <w:instrText xml:space="preserve">  \* </w:instrText>
      </w:r>
      <w:r w:rsidRPr="00407CF9">
        <w:rPr>
          <w:b/>
          <w:bCs/>
        </w:rPr>
        <w:instrText>MERGEFORMAT</w:instrText>
      </w:r>
      <w:r w:rsidRPr="00407CF9">
        <w:rPr>
          <w:b/>
          <w:bCs/>
          <w:rtl/>
        </w:rPr>
        <w:instrText xml:space="preserve"> </w:instrText>
      </w:r>
      <w:r w:rsidRPr="00407CF9">
        <w:rPr>
          <w:b/>
          <w:bCs/>
          <w:rtl/>
        </w:rPr>
      </w:r>
      <w:r w:rsidRPr="00407CF9">
        <w:rPr>
          <w:b/>
          <w:bCs/>
          <w:rtl/>
        </w:rPr>
        <w:fldChar w:fldCharType="separate"/>
      </w:r>
      <w:r w:rsidR="00D82181">
        <w:rPr>
          <w:b/>
          <w:bCs/>
          <w:cs/>
        </w:rPr>
        <w:t>‎</w:t>
      </w:r>
      <w:r w:rsidR="00D82181">
        <w:rPr>
          <w:b/>
          <w:bCs/>
          <w:rtl/>
        </w:rPr>
        <w:t>כא)</w:t>
      </w:r>
      <w:r w:rsidRPr="00407CF9">
        <w:rPr>
          <w:b/>
          <w:bCs/>
          <w:rtl/>
        </w:rPr>
        <w:fldChar w:fldCharType="end"/>
      </w:r>
      <w:r w:rsidRPr="00407CF9">
        <w:rPr>
          <w:b/>
          <w:bCs/>
          <w:rtl/>
        </w:rPr>
        <w:t xml:space="preserve"> </w:t>
      </w:r>
      <w:r w:rsidRPr="00D72FFC">
        <w:rPr>
          <w:rFonts w:hint="cs"/>
          <w:rtl/>
        </w:rPr>
        <w:t>ערוך השולחן</w:t>
      </w:r>
      <w:r w:rsidRPr="00D72FFC">
        <w:rPr>
          <w:rtl/>
        </w:rPr>
        <w:t xml:space="preserve"> </w:t>
      </w:r>
      <w:r w:rsidRPr="00407CF9">
        <w:rPr>
          <w:rStyle w:val="afffffffff3"/>
          <w:rtl/>
        </w:rPr>
        <w:t>(</w:t>
      </w:r>
      <w:r w:rsidRPr="00407CF9">
        <w:rPr>
          <w:rStyle w:val="afffffffff3"/>
          <w:rFonts w:hint="cs"/>
          <w:rtl/>
        </w:rPr>
        <w:t>סי' שי"ג י"ד</w:t>
      </w:r>
      <w:r w:rsidRPr="00407CF9">
        <w:rPr>
          <w:rStyle w:val="afffffffff3"/>
          <w:rtl/>
        </w:rPr>
        <w:t>)</w:t>
      </w:r>
      <w:r>
        <w:rPr>
          <w:rtl/>
        </w:rPr>
        <w:t>,</w:t>
      </w:r>
      <w:r w:rsidRPr="00407CF9">
        <w:rPr>
          <w:b/>
          <w:bCs/>
          <w:rtl/>
        </w:rPr>
        <w:t xml:space="preserve"> </w:t>
      </w:r>
      <w:r w:rsidRPr="00407CF9">
        <w:rPr>
          <w:b/>
          <w:bCs/>
          <w:rtl/>
        </w:rPr>
        <w:fldChar w:fldCharType="begin"/>
      </w:r>
      <w:r w:rsidRPr="00407CF9">
        <w:rPr>
          <w:b/>
          <w:bCs/>
          <w:rtl/>
        </w:rPr>
        <w:instrText xml:space="preserve"> </w:instrText>
      </w:r>
      <w:r w:rsidRPr="00407CF9">
        <w:rPr>
          <w:b/>
          <w:bCs/>
        </w:rPr>
        <w:instrText>REF</w:instrText>
      </w:r>
      <w:r w:rsidRPr="00407CF9">
        <w:rPr>
          <w:b/>
          <w:bCs/>
          <w:rtl/>
        </w:rPr>
        <w:instrText xml:space="preserve"> _</w:instrText>
      </w:r>
      <w:r w:rsidRPr="00407CF9">
        <w:rPr>
          <w:b/>
          <w:bCs/>
        </w:rPr>
        <w:instrText>Ref144117228 \r \h</w:instrText>
      </w:r>
      <w:r w:rsidRPr="00407CF9">
        <w:rPr>
          <w:b/>
          <w:bCs/>
          <w:rtl/>
        </w:rPr>
        <w:instrText xml:space="preserve">  \* </w:instrText>
      </w:r>
      <w:r w:rsidRPr="00407CF9">
        <w:rPr>
          <w:b/>
          <w:bCs/>
        </w:rPr>
        <w:instrText>MERGEFORMAT</w:instrText>
      </w:r>
      <w:r w:rsidRPr="00407CF9">
        <w:rPr>
          <w:b/>
          <w:bCs/>
          <w:rtl/>
        </w:rPr>
        <w:instrText xml:space="preserve"> </w:instrText>
      </w:r>
      <w:r w:rsidRPr="00407CF9">
        <w:rPr>
          <w:b/>
          <w:bCs/>
          <w:rtl/>
        </w:rPr>
      </w:r>
      <w:r w:rsidRPr="00407CF9">
        <w:rPr>
          <w:b/>
          <w:bCs/>
          <w:rtl/>
        </w:rPr>
        <w:fldChar w:fldCharType="separate"/>
      </w:r>
      <w:r w:rsidR="00D82181">
        <w:rPr>
          <w:b/>
          <w:bCs/>
          <w:cs/>
        </w:rPr>
        <w:t>‎</w:t>
      </w:r>
      <w:r w:rsidR="00D82181">
        <w:rPr>
          <w:b/>
          <w:bCs/>
          <w:rtl/>
        </w:rPr>
        <w:t>כב)</w:t>
      </w:r>
      <w:r w:rsidRPr="00407CF9">
        <w:rPr>
          <w:b/>
          <w:bCs/>
          <w:rtl/>
        </w:rPr>
        <w:fldChar w:fldCharType="end"/>
      </w:r>
      <w:r w:rsidRPr="00407CF9">
        <w:rPr>
          <w:b/>
          <w:bCs/>
          <w:rtl/>
        </w:rPr>
        <w:t xml:space="preserve"> </w:t>
      </w:r>
      <w:r w:rsidRPr="00D72FFC">
        <w:rPr>
          <w:rFonts w:hint="cs"/>
          <w:rtl/>
        </w:rPr>
        <w:t>אגרות משה</w:t>
      </w:r>
      <w:r w:rsidRPr="00D72FFC">
        <w:rPr>
          <w:rtl/>
        </w:rPr>
        <w:t xml:space="preserve"> </w:t>
      </w:r>
      <w:r w:rsidRPr="00407CF9">
        <w:rPr>
          <w:rStyle w:val="afffffffff3"/>
          <w:rtl/>
        </w:rPr>
        <w:t>(</w:t>
      </w:r>
      <w:r w:rsidRPr="00407CF9">
        <w:rPr>
          <w:rStyle w:val="afffffffff3"/>
          <w:rFonts w:hint="cs"/>
          <w:rtl/>
        </w:rPr>
        <w:t>או"ח ח"א סי' קכ"ב ענף ב'</w:t>
      </w:r>
      <w:r w:rsidRPr="00407CF9">
        <w:rPr>
          <w:rStyle w:val="afffffffff3"/>
          <w:rtl/>
        </w:rPr>
        <w:t>)</w:t>
      </w:r>
      <w:r>
        <w:rPr>
          <w:rtl/>
        </w:rPr>
        <w:t>,</w:t>
      </w:r>
      <w:r w:rsidRPr="00407CF9">
        <w:rPr>
          <w:b/>
          <w:bCs/>
          <w:rtl/>
        </w:rPr>
        <w:t xml:space="preserve"> </w:t>
      </w:r>
      <w:r w:rsidRPr="00407CF9">
        <w:rPr>
          <w:b/>
          <w:bCs/>
          <w:rtl/>
        </w:rPr>
        <w:fldChar w:fldCharType="begin"/>
      </w:r>
      <w:r w:rsidRPr="00407CF9">
        <w:rPr>
          <w:b/>
          <w:bCs/>
          <w:rtl/>
        </w:rPr>
        <w:instrText xml:space="preserve"> </w:instrText>
      </w:r>
      <w:r w:rsidRPr="00407CF9">
        <w:rPr>
          <w:b/>
          <w:bCs/>
        </w:rPr>
        <w:instrText>REF</w:instrText>
      </w:r>
      <w:r w:rsidRPr="00407CF9">
        <w:rPr>
          <w:b/>
          <w:bCs/>
          <w:rtl/>
        </w:rPr>
        <w:instrText xml:space="preserve"> _</w:instrText>
      </w:r>
      <w:r w:rsidRPr="00407CF9">
        <w:rPr>
          <w:b/>
          <w:bCs/>
        </w:rPr>
        <w:instrText>Ref144117238 \r \h</w:instrText>
      </w:r>
      <w:r w:rsidRPr="00407CF9">
        <w:rPr>
          <w:b/>
          <w:bCs/>
          <w:rtl/>
        </w:rPr>
        <w:instrText xml:space="preserve">  \* </w:instrText>
      </w:r>
      <w:r w:rsidRPr="00407CF9">
        <w:rPr>
          <w:b/>
          <w:bCs/>
        </w:rPr>
        <w:instrText>MERGEFORMAT</w:instrText>
      </w:r>
      <w:r w:rsidRPr="00407CF9">
        <w:rPr>
          <w:b/>
          <w:bCs/>
          <w:rtl/>
        </w:rPr>
        <w:instrText xml:space="preserve"> </w:instrText>
      </w:r>
      <w:r w:rsidRPr="00407CF9">
        <w:rPr>
          <w:b/>
          <w:bCs/>
          <w:rtl/>
        </w:rPr>
      </w:r>
      <w:r w:rsidRPr="00407CF9">
        <w:rPr>
          <w:b/>
          <w:bCs/>
          <w:rtl/>
        </w:rPr>
        <w:fldChar w:fldCharType="separate"/>
      </w:r>
      <w:r w:rsidR="00D82181">
        <w:rPr>
          <w:b/>
          <w:bCs/>
          <w:cs/>
        </w:rPr>
        <w:t>‎</w:t>
      </w:r>
      <w:r w:rsidR="00D82181">
        <w:rPr>
          <w:b/>
          <w:bCs/>
          <w:rtl/>
        </w:rPr>
        <w:t>כה)</w:t>
      </w:r>
      <w:r w:rsidRPr="00407CF9">
        <w:rPr>
          <w:b/>
          <w:bCs/>
          <w:rtl/>
        </w:rPr>
        <w:fldChar w:fldCharType="end"/>
      </w:r>
      <w:r w:rsidRPr="00407CF9">
        <w:rPr>
          <w:b/>
          <w:bCs/>
          <w:rtl/>
        </w:rPr>
        <w:t xml:space="preserve"> </w:t>
      </w:r>
      <w:r w:rsidRPr="00D72FFC">
        <w:rPr>
          <w:rFonts w:hint="cs"/>
          <w:rtl/>
        </w:rPr>
        <w:t>אגרות משה</w:t>
      </w:r>
      <w:r w:rsidRPr="00D72FFC">
        <w:rPr>
          <w:rtl/>
        </w:rPr>
        <w:t xml:space="preserve"> </w:t>
      </w:r>
      <w:r w:rsidRPr="00407CF9">
        <w:rPr>
          <w:rStyle w:val="afffffffff3"/>
          <w:rtl/>
        </w:rPr>
        <w:t>(</w:t>
      </w:r>
      <w:r w:rsidRPr="00407CF9">
        <w:rPr>
          <w:rStyle w:val="afffffffff3"/>
          <w:rFonts w:hint="cs"/>
          <w:rtl/>
        </w:rPr>
        <w:t>או"ח ח"א סי' קכ"ב ענף ב'</w:t>
      </w:r>
      <w:r w:rsidRPr="00407CF9">
        <w:rPr>
          <w:rStyle w:val="afffffffff3"/>
          <w:rtl/>
        </w:rPr>
        <w:t xml:space="preserve"> וכיון שמלאכת)</w:t>
      </w:r>
    </w:p>
    <w:p w14:paraId="199C1E7F" w14:textId="77777777" w:rsidR="00A14FDA" w:rsidRPr="00F1706D" w:rsidRDefault="00A14FDA" w:rsidP="00A14FDA">
      <w:pPr>
        <w:pStyle w:val="a1"/>
        <w:numPr>
          <w:ilvl w:val="0"/>
          <w:numId w:val="0"/>
        </w:numPr>
        <w:jc w:val="center"/>
        <w:rPr>
          <w:rStyle w:val="Hyperlink"/>
          <w:rFonts w:asciiTheme="minorHAnsi" w:eastAsiaTheme="minorEastAsia" w:hAnsiTheme="minorHAnsi"/>
          <w:color w:val="auto"/>
          <w:sz w:val="20"/>
          <w:szCs w:val="18"/>
          <w:rtl/>
        </w:rPr>
      </w:pPr>
      <w:hyperlink w:anchor="_Toc144225227" w:history="1">
        <w:r w:rsidRPr="00F1706D">
          <w:rPr>
            <w:rStyle w:val="Hyperlink"/>
            <w:rFonts w:asciiTheme="minorHAnsi" w:eastAsiaTheme="minorEastAsia" w:hAnsiTheme="minorHAnsi"/>
            <w:b/>
            <w:bCs/>
            <w:noProof/>
            <w:color w:val="auto"/>
            <w:sz w:val="20"/>
            <w:szCs w:val="18"/>
            <w:rtl/>
          </w:rPr>
          <w:t>בי' רש"י ותוס' ושא"ר במכב"פ במתני' בסוגיין ולעיל</w:t>
        </w:r>
      </w:hyperlink>
    </w:p>
    <w:p w14:paraId="154A9E9E" w14:textId="77777777" w:rsidR="00A14FDA" w:rsidRPr="003E1AA3" w:rsidRDefault="00A14FDA" w:rsidP="00ED704E">
      <w:pPr>
        <w:pStyle w:val="TOC3"/>
        <w:rPr>
          <w:rFonts w:asciiTheme="minorHAnsi" w:eastAsiaTheme="minorEastAsia" w:hAnsiTheme="minorHAnsi" w:cstheme="minorBidi"/>
          <w:sz w:val="22"/>
          <w:szCs w:val="22"/>
          <w:rtl/>
        </w:rPr>
      </w:pPr>
      <w:hyperlink w:anchor="_Toc144225228" w:history="1">
        <w:r w:rsidRPr="00FD7F30">
          <w:rPr>
            <w:rStyle w:val="Hyperlink"/>
            <w:rtl/>
          </w:rPr>
          <w:t>בי' רש"י דמכב"פ כשמפיל אבן חצובה מההר ובי' התוס' דהוא המכוש האחרון בגמר הכלי</w:t>
        </w:r>
      </w:hyperlink>
    </w:p>
    <w:p w14:paraId="6AB3DAE1" w14:textId="77777777" w:rsidR="00A14FDA" w:rsidRDefault="00A14FDA" w:rsidP="00ED704E">
      <w:pPr>
        <w:pStyle w:val="TOC3"/>
        <w:rPr>
          <w:rFonts w:asciiTheme="minorHAnsi" w:eastAsiaTheme="minorEastAsia" w:hAnsiTheme="minorHAnsi" w:cstheme="minorBidi"/>
          <w:sz w:val="22"/>
          <w:szCs w:val="22"/>
          <w:rtl/>
        </w:rPr>
      </w:pPr>
      <w:hyperlink w:anchor="_Toc144225229" w:history="1">
        <w:r w:rsidRPr="00FD7F30">
          <w:rPr>
            <w:rStyle w:val="Hyperlink"/>
            <w:rtl/>
          </w:rPr>
          <w:t>בי' ר"ח והראשונים דמכה על הכלי להשוות עקמומיות או על האבן להשוותה לחברותיה</w:t>
        </w:r>
      </w:hyperlink>
    </w:p>
    <w:p w14:paraId="10E0CE85" w14:textId="77777777" w:rsidR="00A14FDA" w:rsidRDefault="00A14FDA" w:rsidP="00ED704E">
      <w:pPr>
        <w:pStyle w:val="TOC3"/>
        <w:rPr>
          <w:rFonts w:asciiTheme="minorHAnsi" w:eastAsiaTheme="minorEastAsia" w:hAnsiTheme="minorHAnsi" w:cstheme="minorBidi"/>
          <w:sz w:val="22"/>
          <w:szCs w:val="22"/>
          <w:rtl/>
        </w:rPr>
      </w:pPr>
      <w:hyperlink w:anchor="_Toc144225230" w:history="1">
        <w:r w:rsidRPr="00FD7F30">
          <w:rPr>
            <w:rStyle w:val="Hyperlink"/>
            <w:rtl/>
          </w:rPr>
          <w:t>בי' הריטב"א והר"ן דהמכוש האחרון בעצמו אינו מלאכה ואפ"ה הוי מכב"פ וה"ה בכל גמר כלי</w:t>
        </w:r>
      </w:hyperlink>
    </w:p>
    <w:p w14:paraId="1B5F838F" w14:textId="77777777" w:rsidR="00A14FDA" w:rsidRDefault="00A14FDA" w:rsidP="00ED704E">
      <w:pPr>
        <w:pStyle w:val="TOC3"/>
        <w:rPr>
          <w:rFonts w:asciiTheme="minorHAnsi" w:eastAsiaTheme="minorEastAsia" w:hAnsiTheme="minorHAnsi" w:cstheme="minorBidi"/>
          <w:sz w:val="22"/>
          <w:szCs w:val="22"/>
          <w:rtl/>
        </w:rPr>
      </w:pPr>
      <w:hyperlink w:anchor="_Toc144225231" w:history="1">
        <w:r w:rsidRPr="00FD7F30">
          <w:rPr>
            <w:rStyle w:val="Hyperlink"/>
            <w:rtl/>
          </w:rPr>
          <w:t>בי' רבינו יהונתן דמכב"פ הוא תיקון מועט שנשאר ומתקנו בלא טורח וה"ה בכל גמר מלאכה</w:t>
        </w:r>
      </w:hyperlink>
    </w:p>
    <w:p w14:paraId="3A46C41D" w14:textId="77777777" w:rsidR="00A14FDA" w:rsidRDefault="00A14FDA" w:rsidP="00ED704E">
      <w:pPr>
        <w:pStyle w:val="TOC3"/>
        <w:rPr>
          <w:rFonts w:asciiTheme="minorHAnsi" w:eastAsiaTheme="minorEastAsia" w:hAnsiTheme="minorHAnsi" w:cstheme="minorBidi"/>
          <w:sz w:val="22"/>
          <w:szCs w:val="22"/>
          <w:rtl/>
        </w:rPr>
      </w:pPr>
      <w:hyperlink w:anchor="_Toc144225232" w:history="1">
        <w:r w:rsidRPr="00FD7F30">
          <w:rPr>
            <w:rStyle w:val="Hyperlink"/>
            <w:rtl/>
          </w:rPr>
          <w:t>בי' רש"י דמכב"פ הוא ההכאה על הסדן להחליק הקורנס וקו' הראשונים דרק לרשב"ג חייב</w:t>
        </w:r>
      </w:hyperlink>
    </w:p>
    <w:p w14:paraId="47DE6B18" w14:textId="77777777" w:rsidR="00A14FDA" w:rsidRDefault="00A14FDA" w:rsidP="00ED704E">
      <w:pPr>
        <w:pStyle w:val="TOC3"/>
        <w:rPr>
          <w:rFonts w:asciiTheme="minorHAnsi" w:eastAsiaTheme="minorEastAsia" w:hAnsiTheme="minorHAnsi" w:cstheme="minorBidi"/>
          <w:sz w:val="22"/>
          <w:szCs w:val="22"/>
          <w:rtl/>
        </w:rPr>
      </w:pPr>
      <w:hyperlink w:anchor="_Toc144225233" w:history="1">
        <w:r w:rsidRPr="00FD7F30">
          <w:rPr>
            <w:rStyle w:val="Hyperlink"/>
            <w:rtl/>
          </w:rPr>
          <w:t>קו' הרמב"ן על רש"י דההכאה על הסדן בגמר המלאכה אינה מלאכה כלל ועושה כן לאמן ידיו</w:t>
        </w:r>
      </w:hyperlink>
    </w:p>
    <w:p w14:paraId="3ABF5A66" w14:textId="77777777" w:rsidR="00A14FDA" w:rsidRDefault="00A14FDA" w:rsidP="00ED704E">
      <w:pPr>
        <w:pStyle w:val="TOC3"/>
        <w:rPr>
          <w:rFonts w:asciiTheme="minorHAnsi" w:eastAsiaTheme="minorEastAsia" w:hAnsiTheme="minorHAnsi" w:cstheme="minorBidi"/>
          <w:sz w:val="22"/>
          <w:szCs w:val="22"/>
          <w:rtl/>
        </w:rPr>
      </w:pPr>
      <w:hyperlink w:anchor="_Toc144225234" w:history="1">
        <w:r w:rsidRPr="00FD7F30">
          <w:rPr>
            <w:rStyle w:val="Hyperlink"/>
            <w:rtl/>
          </w:rPr>
          <w:t>בי' החת"ס והרש"ש ברש"י דרשב"ג הוסיף לאסור הכאה בסדן גם בגמר המלאכה ולא כגי' הרי"ף</w:t>
        </w:r>
      </w:hyperlink>
    </w:p>
    <w:p w14:paraId="59FBDD5C" w14:textId="77777777" w:rsidR="00A14FDA" w:rsidRDefault="00A14FDA" w:rsidP="00ED704E">
      <w:pPr>
        <w:pStyle w:val="TOC3"/>
        <w:rPr>
          <w:rFonts w:asciiTheme="minorHAnsi" w:eastAsiaTheme="minorEastAsia" w:hAnsiTheme="minorHAnsi" w:cstheme="minorBidi"/>
          <w:sz w:val="22"/>
          <w:szCs w:val="22"/>
          <w:rtl/>
        </w:rPr>
      </w:pPr>
      <w:hyperlink w:anchor="_Toc144225235" w:history="1">
        <w:r w:rsidRPr="00FD7F30">
          <w:rPr>
            <w:rStyle w:val="Hyperlink"/>
            <w:rtl/>
          </w:rPr>
          <w:t>בי' הרמב"ם בפיהמ"ש דחיוב מכב"פ אף בגמר המלאכה דמחליק הכלי וגמר כמו יפוי כלי תולדה</w:t>
        </w:r>
      </w:hyperlink>
    </w:p>
    <w:p w14:paraId="2E67F840" w14:textId="77777777" w:rsidR="00A14FDA" w:rsidRDefault="00A14FDA" w:rsidP="00ED704E">
      <w:pPr>
        <w:pStyle w:val="TOC3"/>
        <w:rPr>
          <w:rFonts w:asciiTheme="minorHAnsi" w:eastAsiaTheme="minorEastAsia" w:hAnsiTheme="minorHAnsi" w:cstheme="minorBidi"/>
          <w:sz w:val="22"/>
          <w:szCs w:val="22"/>
          <w:rtl/>
        </w:rPr>
      </w:pPr>
      <w:hyperlink w:anchor="_Toc144225236" w:history="1">
        <w:r w:rsidRPr="00FD7F30">
          <w:rPr>
            <w:rStyle w:val="Hyperlink"/>
            <w:rtl/>
          </w:rPr>
          <w:t>בי' המאירי דהשימוש בפטיש הוא בזמן המלאכה ולאחריה וכל גמר מלאכה הוא תולדה דמכב"פ</w:t>
        </w:r>
      </w:hyperlink>
    </w:p>
    <w:p w14:paraId="65AB8351" w14:textId="77777777" w:rsidR="00A14FDA" w:rsidRDefault="00A14FDA" w:rsidP="00ED704E">
      <w:pPr>
        <w:pStyle w:val="TOC3"/>
        <w:rPr>
          <w:rFonts w:asciiTheme="minorHAnsi" w:eastAsiaTheme="minorEastAsia" w:hAnsiTheme="minorHAnsi" w:cstheme="minorBidi"/>
          <w:sz w:val="22"/>
          <w:szCs w:val="22"/>
          <w:rtl/>
        </w:rPr>
      </w:pPr>
      <w:hyperlink w:anchor="_Toc144225237" w:history="1">
        <w:r w:rsidRPr="00FD7F30">
          <w:rPr>
            <w:rStyle w:val="Hyperlink"/>
            <w:rtl/>
          </w:rPr>
          <w:t>בי' הכל בו דהשלמת המלאכה נקראת מכה בפטיש</w:t>
        </w:r>
      </w:hyperlink>
    </w:p>
    <w:p w14:paraId="7FD9B2FB" w14:textId="77777777" w:rsidR="00A14FDA" w:rsidRDefault="00A14FDA" w:rsidP="00ED704E">
      <w:pPr>
        <w:pStyle w:val="TOC3"/>
        <w:rPr>
          <w:rFonts w:asciiTheme="minorHAnsi" w:eastAsiaTheme="minorEastAsia" w:hAnsiTheme="minorHAnsi" w:cstheme="minorBidi"/>
          <w:sz w:val="22"/>
          <w:szCs w:val="22"/>
          <w:rtl/>
        </w:rPr>
      </w:pPr>
      <w:hyperlink w:anchor="_Toc144225238" w:history="1">
        <w:r w:rsidRPr="00FD7F30">
          <w:rPr>
            <w:rStyle w:val="Hyperlink"/>
            <w:rtl/>
          </w:rPr>
          <w:t>בי' הרי"ד דמכב"פ הוא גמר המלאכה עצמה דמחליק כלי בקורנס וה"ה בכל גמר מלאכה</w:t>
        </w:r>
      </w:hyperlink>
    </w:p>
    <w:p w14:paraId="5DB4515A" w14:textId="77777777" w:rsidR="00A14FDA" w:rsidRDefault="00A14FDA" w:rsidP="00A14FDA">
      <w:pPr>
        <w:pStyle w:val="TOC2"/>
        <w:rPr>
          <w:rFonts w:cstheme="minorBidi"/>
          <w:b w:val="0"/>
          <w:bCs w:val="0"/>
          <w:sz w:val="22"/>
          <w:szCs w:val="22"/>
          <w:rtl/>
        </w:rPr>
      </w:pPr>
      <w:hyperlink w:anchor="_Toc144225239" w:history="1">
        <w:r w:rsidRPr="00FD7F30">
          <w:rPr>
            <w:rStyle w:val="Hyperlink"/>
            <w:rtl/>
          </w:rPr>
          <w:t>בי' רש"י באופני החיוב והפטור במכה בפטיש ובגדר המלאכה</w:t>
        </w:r>
      </w:hyperlink>
    </w:p>
    <w:p w14:paraId="69A1C16F" w14:textId="77777777" w:rsidR="00A14FDA" w:rsidRDefault="00A14FDA" w:rsidP="00ED704E">
      <w:pPr>
        <w:pStyle w:val="TOC3"/>
        <w:rPr>
          <w:rFonts w:asciiTheme="minorHAnsi" w:eastAsiaTheme="minorEastAsia" w:hAnsiTheme="minorHAnsi" w:cstheme="minorBidi"/>
          <w:sz w:val="22"/>
          <w:szCs w:val="22"/>
          <w:rtl/>
        </w:rPr>
      </w:pPr>
      <w:hyperlink w:anchor="_Toc144225240" w:history="1">
        <w:r w:rsidRPr="00FD7F30">
          <w:rPr>
            <w:rStyle w:val="Hyperlink"/>
            <w:rtl/>
          </w:rPr>
          <w:t>בי' רש"י דמסתת אבן הוי מכב"פ אעפ"י שלא גמר את כל האבן מ"מ במקום שחרץ גמר מלאכתו</w:t>
        </w:r>
      </w:hyperlink>
    </w:p>
    <w:p w14:paraId="7D86B40F" w14:textId="77777777" w:rsidR="00A14FDA" w:rsidRDefault="00A14FDA" w:rsidP="00ED704E">
      <w:pPr>
        <w:pStyle w:val="TOC3"/>
        <w:rPr>
          <w:rFonts w:asciiTheme="minorHAnsi" w:eastAsiaTheme="minorEastAsia" w:hAnsiTheme="minorHAnsi" w:cstheme="minorBidi"/>
          <w:sz w:val="22"/>
          <w:szCs w:val="22"/>
          <w:rtl/>
        </w:rPr>
      </w:pPr>
      <w:hyperlink w:anchor="_Toc144225241" w:history="1">
        <w:r w:rsidRPr="00FD7F30">
          <w:rPr>
            <w:rStyle w:val="Hyperlink"/>
            <w:rtl/>
          </w:rPr>
          <w:t>בי' רש"י דבדבר שנגמר מאיליו לא שייך חיוב מכה בפטיש וזהו החילוק בין חביתא לתנורא</w:t>
        </w:r>
      </w:hyperlink>
    </w:p>
    <w:p w14:paraId="33B6A381" w14:textId="77777777" w:rsidR="00A14FDA" w:rsidRDefault="00A14FDA" w:rsidP="00ED704E">
      <w:pPr>
        <w:pStyle w:val="TOC3"/>
        <w:rPr>
          <w:rFonts w:asciiTheme="minorHAnsi" w:eastAsiaTheme="minorEastAsia" w:hAnsiTheme="minorHAnsi" w:cstheme="minorBidi"/>
          <w:sz w:val="22"/>
          <w:szCs w:val="22"/>
          <w:rtl/>
        </w:rPr>
      </w:pPr>
      <w:hyperlink w:anchor="_Toc144225242" w:history="1">
        <w:r w:rsidRPr="00FD7F30">
          <w:rPr>
            <w:rStyle w:val="Hyperlink"/>
            <w:rtl/>
          </w:rPr>
          <w:t>בי' רש"י באופני חיוב מכה בפטיש במסטט וצר צורה ובכלי זכוכית ובאקופי מגלימי</w:t>
        </w:r>
      </w:hyperlink>
    </w:p>
    <w:p w14:paraId="00AB4FAD" w14:textId="77777777" w:rsidR="00A14FDA" w:rsidRDefault="00A14FDA" w:rsidP="00ED704E">
      <w:pPr>
        <w:pStyle w:val="TOC3"/>
        <w:rPr>
          <w:rFonts w:asciiTheme="minorHAnsi" w:eastAsiaTheme="minorEastAsia" w:hAnsiTheme="minorHAnsi" w:cstheme="minorBidi"/>
          <w:sz w:val="22"/>
          <w:szCs w:val="22"/>
          <w:rtl/>
        </w:rPr>
      </w:pPr>
      <w:hyperlink w:anchor="_Toc144225243" w:history="1">
        <w:r w:rsidRPr="00FD7F30">
          <w:rPr>
            <w:rStyle w:val="Hyperlink"/>
            <w:rtl/>
          </w:rPr>
          <w:t>בי' רש"י דחיוב עשיית כלי וכן חיוב גמר הכלי הוא משום מכה בפטיש דאין בנין בכלים</w:t>
        </w:r>
      </w:hyperlink>
    </w:p>
    <w:p w14:paraId="471C6216" w14:textId="77777777" w:rsidR="00A14FDA" w:rsidRDefault="00A14FDA" w:rsidP="00ED704E">
      <w:pPr>
        <w:pStyle w:val="TOC3"/>
        <w:rPr>
          <w:rFonts w:asciiTheme="minorHAnsi" w:eastAsiaTheme="minorEastAsia" w:hAnsiTheme="minorHAnsi" w:cstheme="minorBidi"/>
          <w:sz w:val="22"/>
          <w:szCs w:val="22"/>
          <w:rtl/>
        </w:rPr>
      </w:pPr>
      <w:hyperlink w:anchor="_Toc144225244" w:history="1">
        <w:r w:rsidRPr="00FD7F30">
          <w:rPr>
            <w:rStyle w:val="Hyperlink"/>
            <w:rtl/>
          </w:rPr>
          <w:t>בי' רש"י באופנים דחייב בכלים משום מכה בפטיש דהוא גמר מלאכה ואין בנין בכלים</w:t>
        </w:r>
      </w:hyperlink>
    </w:p>
    <w:p w14:paraId="26EBAF5A" w14:textId="77777777" w:rsidR="00A14FDA" w:rsidRDefault="00A14FDA" w:rsidP="00ED704E">
      <w:pPr>
        <w:pStyle w:val="TOC3"/>
        <w:rPr>
          <w:rFonts w:asciiTheme="minorHAnsi" w:eastAsiaTheme="minorEastAsia" w:hAnsiTheme="minorHAnsi" w:cstheme="minorBidi"/>
          <w:sz w:val="22"/>
          <w:szCs w:val="22"/>
          <w:rtl/>
        </w:rPr>
      </w:pPr>
      <w:hyperlink w:anchor="_Toc144225245" w:history="1">
        <w:r w:rsidRPr="00FD7F30">
          <w:rPr>
            <w:rStyle w:val="Hyperlink"/>
            <w:rtl/>
          </w:rPr>
          <w:t>בי' רש"י דבקודח נקב ואינו עומד להתקיים וכוונתו לסותמו ל"ה גמר מלאכה ופטור</w:t>
        </w:r>
      </w:hyperlink>
    </w:p>
    <w:p w14:paraId="3AB2C7F8" w14:textId="77777777" w:rsidR="00A14FDA" w:rsidRDefault="00A14FDA" w:rsidP="00A14FDA">
      <w:pPr>
        <w:pStyle w:val="TOC2"/>
        <w:rPr>
          <w:rFonts w:cstheme="minorBidi"/>
          <w:b w:val="0"/>
          <w:bCs w:val="0"/>
          <w:sz w:val="22"/>
          <w:szCs w:val="22"/>
          <w:rtl/>
        </w:rPr>
      </w:pPr>
      <w:hyperlink w:anchor="_Toc144225246" w:history="1">
        <w:r w:rsidRPr="00FD7F30">
          <w:rPr>
            <w:rStyle w:val="Hyperlink"/>
            <w:rtl/>
          </w:rPr>
          <w:t>בחיוב מכב"פ בנופח כלי זכוכית אי חייב אף בתחילה או בסוף</w:t>
        </w:r>
      </w:hyperlink>
    </w:p>
    <w:p w14:paraId="77AE3860" w14:textId="77777777" w:rsidR="00A14FDA" w:rsidRDefault="00A14FDA" w:rsidP="00ED704E">
      <w:pPr>
        <w:pStyle w:val="TOC3"/>
        <w:rPr>
          <w:rFonts w:asciiTheme="minorHAnsi" w:eastAsiaTheme="minorEastAsia" w:hAnsiTheme="minorHAnsi" w:cstheme="minorBidi"/>
          <w:sz w:val="22"/>
          <w:szCs w:val="22"/>
          <w:rtl/>
        </w:rPr>
      </w:pPr>
      <w:hyperlink w:anchor="_Toc144225247" w:history="1">
        <w:r w:rsidRPr="00FD7F30">
          <w:rPr>
            <w:rStyle w:val="Hyperlink"/>
            <w:rtl/>
          </w:rPr>
          <w:t>בי' המאירי דחיוב מכב"פ בכלי זכוכית אף בניפוח ראשון ובי' המרכה"מ דהיה בית קיבול קודם</w:t>
        </w:r>
      </w:hyperlink>
    </w:p>
    <w:p w14:paraId="71B5BF6C" w14:textId="77777777" w:rsidR="00A14FDA" w:rsidRDefault="00A14FDA" w:rsidP="00ED704E">
      <w:pPr>
        <w:pStyle w:val="TOC3"/>
        <w:rPr>
          <w:rFonts w:asciiTheme="minorHAnsi" w:eastAsiaTheme="minorEastAsia" w:hAnsiTheme="minorHAnsi" w:cstheme="minorBidi"/>
          <w:sz w:val="22"/>
          <w:szCs w:val="22"/>
          <w:rtl/>
        </w:rPr>
      </w:pPr>
      <w:hyperlink w:anchor="_Toc144225248" w:history="1">
        <w:r w:rsidRPr="00FD7F30">
          <w:rPr>
            <w:rStyle w:val="Hyperlink"/>
            <w:rtl/>
          </w:rPr>
          <w:t>בי' המיוחס לר"ן דחיוב כלי זכוכית רק בנפיחה שניה ובי' רבינו יהונתן דעשה כלי וא"צ עוד תיקון</w:t>
        </w:r>
      </w:hyperlink>
    </w:p>
    <w:p w14:paraId="647D7882" w14:textId="77777777" w:rsidR="00A14FDA" w:rsidRDefault="00A14FDA" w:rsidP="00A14FDA">
      <w:pPr>
        <w:pStyle w:val="TOC2"/>
        <w:rPr>
          <w:rFonts w:cstheme="minorBidi"/>
          <w:b w:val="0"/>
          <w:bCs w:val="0"/>
          <w:sz w:val="22"/>
          <w:szCs w:val="22"/>
          <w:rtl/>
        </w:rPr>
      </w:pPr>
      <w:hyperlink w:anchor="_Toc144225249" w:history="1">
        <w:r w:rsidRPr="00FD7F30">
          <w:rPr>
            <w:rStyle w:val="Hyperlink"/>
            <w:rtl/>
          </w:rPr>
          <w:t>בי' הערוה"ש והאגרו"מ בגדר המעשה דגמר דחשיב כמכב"פ</w:t>
        </w:r>
      </w:hyperlink>
    </w:p>
    <w:p w14:paraId="3C85112E" w14:textId="77777777" w:rsidR="00A14FDA" w:rsidRDefault="00A14FDA" w:rsidP="00ED704E">
      <w:pPr>
        <w:pStyle w:val="TOC3"/>
        <w:rPr>
          <w:rFonts w:asciiTheme="minorHAnsi" w:eastAsiaTheme="minorEastAsia" w:hAnsiTheme="minorHAnsi" w:cstheme="minorBidi"/>
          <w:sz w:val="22"/>
          <w:szCs w:val="22"/>
          <w:rtl/>
        </w:rPr>
      </w:pPr>
      <w:hyperlink w:anchor="_Toc144225250" w:history="1">
        <w:r w:rsidRPr="00FD7F30">
          <w:rPr>
            <w:rStyle w:val="Hyperlink"/>
            <w:rtl/>
          </w:rPr>
          <w:t>בי' הערוה"ש דדהחידוש באופנים בגמ' במכב"פ דאף שאי"ז מלאכה מצד עצמה כדמשמע בר"ח</w:t>
        </w:r>
      </w:hyperlink>
    </w:p>
    <w:p w14:paraId="57F0F883" w14:textId="77777777" w:rsidR="00A14FDA" w:rsidRDefault="00A14FDA" w:rsidP="00ED704E">
      <w:pPr>
        <w:pStyle w:val="TOC3"/>
        <w:rPr>
          <w:rFonts w:asciiTheme="minorHAnsi" w:eastAsiaTheme="minorEastAsia" w:hAnsiTheme="minorHAnsi" w:cstheme="minorBidi"/>
          <w:sz w:val="22"/>
          <w:szCs w:val="22"/>
          <w:rtl/>
        </w:rPr>
      </w:pPr>
      <w:hyperlink w:anchor="_Toc144225251" w:history="1">
        <w:r w:rsidRPr="00FD7F30">
          <w:rPr>
            <w:rStyle w:val="Hyperlink"/>
            <w:rtl/>
          </w:rPr>
          <w:t>בי' הערוה"ש דרק בדבר שהגמר הוא מעשה בפנ"ע חייב במכב"פ וכדמשמע ברמב"ם בפיהמ"ש</w:t>
        </w:r>
      </w:hyperlink>
    </w:p>
    <w:p w14:paraId="527A9B85" w14:textId="77777777" w:rsidR="00A14FDA" w:rsidRDefault="00A14FDA" w:rsidP="00ED704E">
      <w:pPr>
        <w:pStyle w:val="TOC3"/>
        <w:rPr>
          <w:rFonts w:asciiTheme="minorHAnsi" w:eastAsiaTheme="minorEastAsia" w:hAnsiTheme="minorHAnsi" w:cstheme="minorBidi"/>
          <w:sz w:val="22"/>
          <w:szCs w:val="22"/>
          <w:rtl/>
        </w:rPr>
      </w:pPr>
      <w:hyperlink w:anchor="_Toc144225252" w:history="1">
        <w:r w:rsidRPr="00FD7F30">
          <w:rPr>
            <w:rStyle w:val="Hyperlink"/>
            <w:rtl/>
          </w:rPr>
          <w:t>קו' האגרו"מ מ"ש חביתא דמחוסרת מלאכה ממסתת דחייב במקצת לרש"י ובצר צורה לרמב"ם</w:t>
        </w:r>
      </w:hyperlink>
    </w:p>
    <w:p w14:paraId="44AD26AA" w14:textId="77777777" w:rsidR="00A14FDA" w:rsidRDefault="00A14FDA" w:rsidP="00ED704E">
      <w:pPr>
        <w:pStyle w:val="TOC3"/>
        <w:rPr>
          <w:rFonts w:asciiTheme="minorHAnsi" w:eastAsiaTheme="minorEastAsia" w:hAnsiTheme="minorHAnsi" w:cstheme="minorBidi"/>
          <w:sz w:val="22"/>
          <w:szCs w:val="22"/>
          <w:rtl/>
        </w:rPr>
      </w:pPr>
      <w:hyperlink w:anchor="_Toc144225253" w:history="1">
        <w:r w:rsidRPr="00FD7F30">
          <w:rPr>
            <w:rStyle w:val="Hyperlink"/>
            <w:rtl/>
          </w:rPr>
          <w:t>בי' האגרו"מ דחיוב מכב"פ הוא רק באופן שיש מעשה נוסף שרק על ידו חשיב כגמר לאומן</w:t>
        </w:r>
      </w:hyperlink>
    </w:p>
    <w:p w14:paraId="41B1306F" w14:textId="77777777" w:rsidR="00A14FDA" w:rsidRDefault="00A14FDA" w:rsidP="00ED704E">
      <w:pPr>
        <w:pStyle w:val="TOC3"/>
        <w:rPr>
          <w:rFonts w:asciiTheme="minorHAnsi" w:eastAsiaTheme="minorEastAsia" w:hAnsiTheme="minorHAnsi" w:cstheme="minorBidi"/>
          <w:sz w:val="22"/>
          <w:szCs w:val="22"/>
          <w:rtl/>
        </w:rPr>
      </w:pPr>
      <w:hyperlink w:anchor="_Toc144225254" w:history="1">
        <w:r w:rsidRPr="00FD7F30">
          <w:rPr>
            <w:rStyle w:val="Hyperlink"/>
            <w:rtl/>
          </w:rPr>
          <w:t>בי' האגרו"מ דבר"ח מוכח דחיוב מכב"פ הוא במעשה נוסף ולא בגמר המלאכה וכן ברש"י ותוס'</w:t>
        </w:r>
      </w:hyperlink>
    </w:p>
    <w:p w14:paraId="459BE2A6" w14:textId="77777777" w:rsidR="00A14FDA" w:rsidRDefault="00A14FDA" w:rsidP="00ED704E">
      <w:pPr>
        <w:pStyle w:val="TOC3"/>
        <w:rPr>
          <w:rFonts w:asciiTheme="minorHAnsi" w:eastAsiaTheme="minorEastAsia" w:hAnsiTheme="minorHAnsi" w:cstheme="minorBidi"/>
          <w:sz w:val="22"/>
          <w:szCs w:val="22"/>
          <w:rtl/>
        </w:rPr>
      </w:pPr>
      <w:hyperlink w:anchor="_Toc144225255" w:history="1">
        <w:r w:rsidRPr="00FD7F30">
          <w:rPr>
            <w:rStyle w:val="Hyperlink"/>
            <w:rtl/>
          </w:rPr>
          <w:t>בי' האגרו"מ דבמקצת סיתות הוי מעשה גמור דאינו חוזר ועושה שם וזהו הגדר בכל גמר מלאכה</w:t>
        </w:r>
      </w:hyperlink>
    </w:p>
    <w:p w14:paraId="0852C95C" w14:textId="77777777" w:rsidR="00A14FDA" w:rsidRDefault="00A14FDA" w:rsidP="00ED704E">
      <w:pPr>
        <w:pStyle w:val="TOC3"/>
        <w:rPr>
          <w:rFonts w:asciiTheme="minorHAnsi" w:eastAsiaTheme="minorEastAsia" w:hAnsiTheme="minorHAnsi" w:cstheme="minorBidi"/>
          <w:sz w:val="22"/>
          <w:szCs w:val="22"/>
          <w:rtl/>
        </w:rPr>
      </w:pPr>
      <w:hyperlink w:anchor="_Toc144225256" w:history="1">
        <w:r w:rsidRPr="00FD7F30">
          <w:rPr>
            <w:rStyle w:val="Hyperlink"/>
            <w:rtl/>
          </w:rPr>
          <w:t>בי' האגרו"מ דחביתא בלא תנור אינה מתקיימת ול"ה גמר ול"ד למסתת דהחריץ מתקיים</w:t>
        </w:r>
      </w:hyperlink>
    </w:p>
    <w:p w14:paraId="6B0373BC" w14:textId="77777777" w:rsidR="00A14FDA" w:rsidRDefault="00A14FDA" w:rsidP="00ED704E">
      <w:pPr>
        <w:pStyle w:val="TOC3"/>
        <w:rPr>
          <w:rFonts w:asciiTheme="minorHAnsi" w:eastAsiaTheme="minorEastAsia" w:hAnsiTheme="minorHAnsi" w:cstheme="minorBidi"/>
          <w:sz w:val="22"/>
          <w:szCs w:val="22"/>
          <w:rtl/>
        </w:rPr>
      </w:pPr>
      <w:hyperlink w:anchor="_Toc144225257" w:history="1">
        <w:r w:rsidRPr="00FD7F30">
          <w:rPr>
            <w:rStyle w:val="Hyperlink"/>
            <w:rtl/>
          </w:rPr>
          <w:t>בי' האגרו"מ דחיוב מכב"פ הוא במעשה שא"א לבטלו ול"ד לבונה דצריך מלאכה המתקיימת</w:t>
        </w:r>
      </w:hyperlink>
    </w:p>
    <w:p w14:paraId="7E7BDEAA" w14:textId="77777777" w:rsidR="00A14FDA" w:rsidRDefault="00A14FDA" w:rsidP="00A14FDA">
      <w:pPr>
        <w:pStyle w:val="TOC1"/>
        <w:rPr>
          <w:rFonts w:asciiTheme="minorHAnsi" w:hAnsiTheme="minorHAnsi" w:cstheme="minorBidi"/>
          <w:b w:val="0"/>
          <w:bCs w:val="0"/>
          <w:caps w:val="0"/>
          <w:sz w:val="22"/>
          <w:szCs w:val="22"/>
          <w:rtl/>
        </w:rPr>
      </w:pPr>
      <w:hyperlink w:anchor="_Toc144225258" w:history="1">
        <w:r w:rsidRPr="00FD7F30">
          <w:rPr>
            <w:rStyle w:val="Hyperlink"/>
            <w:rtl/>
          </w:rPr>
          <w:t>~~~~~~~~~~~~~~~~~~~~~~~~~~~~</w:t>
        </w:r>
      </w:hyperlink>
    </w:p>
    <w:p w14:paraId="711A2B32" w14:textId="77777777" w:rsidR="00A14FDA" w:rsidRDefault="00A14FDA" w:rsidP="00A14FDA">
      <w:pPr>
        <w:pStyle w:val="TOC1"/>
        <w:rPr>
          <w:rFonts w:asciiTheme="minorHAnsi" w:hAnsiTheme="minorHAnsi" w:cstheme="minorBidi"/>
          <w:b w:val="0"/>
          <w:bCs w:val="0"/>
          <w:caps w:val="0"/>
          <w:sz w:val="22"/>
          <w:szCs w:val="22"/>
          <w:rtl/>
        </w:rPr>
      </w:pPr>
      <w:hyperlink w:anchor="_Toc144225259" w:history="1">
        <w:r w:rsidRPr="00FD7F30">
          <w:rPr>
            <w:rStyle w:val="Hyperlink"/>
            <w:rtl/>
          </w:rPr>
          <w:t>בחיוב מכה בפטיש במקום מלאכה אחרת</w:t>
        </w:r>
      </w:hyperlink>
    </w:p>
    <w:p w14:paraId="13F81EB8" w14:textId="73911C44" w:rsidR="00A14FDA" w:rsidRPr="00407CF9" w:rsidRDefault="00A14FDA" w:rsidP="00A14FDA">
      <w:pPr>
        <w:pStyle w:val="afffffffff0"/>
        <w:rPr>
          <w:b/>
          <w:bCs/>
          <w:rtl/>
        </w:rPr>
      </w:pPr>
      <w:r w:rsidRPr="00D72FFC">
        <w:rPr>
          <w:rtl/>
        </w:rPr>
        <w:fldChar w:fldCharType="begin"/>
      </w:r>
      <w:r w:rsidRPr="00D72FFC">
        <w:rPr>
          <w:rtl/>
        </w:rPr>
        <w:instrText xml:space="preserve"> </w:instrText>
      </w:r>
      <w:r w:rsidRPr="00D72FFC">
        <w:rPr>
          <w:rFonts w:hint="cs"/>
        </w:rPr>
        <w:instrText>REF</w:instrText>
      </w:r>
      <w:r w:rsidRPr="00D72FFC">
        <w:rPr>
          <w:rFonts w:hint="cs"/>
          <w:rtl/>
        </w:rPr>
        <w:instrText xml:space="preserve"> _</w:instrText>
      </w:r>
      <w:r w:rsidRPr="00D72FFC">
        <w:rPr>
          <w:rFonts w:hint="cs"/>
        </w:rPr>
        <w:instrText>Ref144115688 \r \h</w:instrText>
      </w:r>
      <w:r w:rsidRPr="00D72FFC">
        <w:rPr>
          <w:rtl/>
        </w:rPr>
        <w:instrText xml:space="preserve">  \* </w:instrText>
      </w:r>
      <w:r w:rsidRPr="00D72FFC">
        <w:instrText>MERGEFORMAT</w:instrText>
      </w:r>
      <w:r w:rsidRPr="00D72FFC">
        <w:rPr>
          <w:rtl/>
        </w:rPr>
        <w:instrText xml:space="preserve"> </w:instrText>
      </w:r>
      <w:r w:rsidRPr="00D72FFC">
        <w:rPr>
          <w:rtl/>
        </w:rPr>
      </w:r>
      <w:r w:rsidRPr="00D72FFC">
        <w:rPr>
          <w:rtl/>
        </w:rPr>
        <w:fldChar w:fldCharType="separate"/>
      </w:r>
      <w:r w:rsidR="00D82181">
        <w:rPr>
          <w:cs/>
        </w:rPr>
        <w:t>‎</w:t>
      </w:r>
      <w:r w:rsidR="00D82181">
        <w:rPr>
          <w:rtl/>
        </w:rPr>
        <w:t>כח)</w:t>
      </w:r>
      <w:r w:rsidRPr="00D72FFC">
        <w:rPr>
          <w:rtl/>
        </w:rPr>
        <w:fldChar w:fldCharType="end"/>
      </w:r>
      <w:r w:rsidRPr="00D72FFC">
        <w:rPr>
          <w:rFonts w:hint="cs"/>
          <w:rtl/>
        </w:rPr>
        <w:t xml:space="preserve"> תוס' לעיל </w:t>
      </w:r>
      <w:r w:rsidRPr="00407CF9">
        <w:rPr>
          <w:rStyle w:val="afffffffff3"/>
          <w:rtl/>
        </w:rPr>
        <w:t>(</w:t>
      </w:r>
      <w:r w:rsidRPr="00407CF9">
        <w:rPr>
          <w:rStyle w:val="afffffffff3"/>
          <w:rFonts w:hint="cs"/>
          <w:rtl/>
        </w:rPr>
        <w:t>עה: ד"ה והמסתת</w:t>
      </w:r>
      <w:r w:rsidRPr="00407CF9">
        <w:rPr>
          <w:rStyle w:val="afffffffff3"/>
          <w:rtl/>
        </w:rPr>
        <w:t>)</w:t>
      </w:r>
      <w:r>
        <w:rPr>
          <w:rtl/>
        </w:rPr>
        <w:t xml:space="preserve"> </w:t>
      </w:r>
      <w:r w:rsidRPr="00D72FFC">
        <w:rPr>
          <w:rFonts w:hint="cs"/>
          <w:rtl/>
        </w:rPr>
        <w:t>חי' המיוחסים לר"ן לעיל</w:t>
      </w:r>
      <w:r w:rsidRPr="00D72FFC">
        <w:rPr>
          <w:rtl/>
        </w:rPr>
        <w:t xml:space="preserve"> </w:t>
      </w:r>
      <w:r w:rsidRPr="00407CF9">
        <w:rPr>
          <w:rStyle w:val="afffffffff3"/>
          <w:rtl/>
        </w:rPr>
        <w:t>(</w:t>
      </w:r>
      <w:r w:rsidRPr="00407CF9">
        <w:rPr>
          <w:rStyle w:val="afffffffff3"/>
          <w:rFonts w:hint="cs"/>
          <w:rtl/>
        </w:rPr>
        <w:t>עה: ד"ה והמסתת</w:t>
      </w:r>
      <w:r w:rsidRPr="00407CF9">
        <w:rPr>
          <w:rStyle w:val="afffffffff3"/>
          <w:rtl/>
        </w:rPr>
        <w:t>)</w:t>
      </w:r>
      <w:r>
        <w:rPr>
          <w:rtl/>
        </w:rPr>
        <w:t xml:space="preserve"> </w:t>
      </w:r>
      <w:r w:rsidRPr="00D72FFC">
        <w:rPr>
          <w:rFonts w:hint="cs"/>
          <w:rtl/>
        </w:rPr>
        <w:t>מאירי לעיל</w:t>
      </w:r>
      <w:r w:rsidRPr="00D72FFC">
        <w:rPr>
          <w:rtl/>
        </w:rPr>
        <w:t xml:space="preserve"> </w:t>
      </w:r>
      <w:r w:rsidRPr="00407CF9">
        <w:rPr>
          <w:rStyle w:val="afffffffff3"/>
          <w:rtl/>
        </w:rPr>
        <w:t>(</w:t>
      </w:r>
      <w:r w:rsidRPr="00407CF9">
        <w:rPr>
          <w:rStyle w:val="afffffffff3"/>
          <w:rFonts w:hint="cs"/>
          <w:rtl/>
        </w:rPr>
        <w:t>עה: ד"ה השף</w:t>
      </w:r>
      <w:r w:rsidRPr="00407CF9">
        <w:rPr>
          <w:rStyle w:val="afffffffff3"/>
          <w:rtl/>
        </w:rPr>
        <w:t>)</w:t>
      </w:r>
      <w:r w:rsidRPr="00D72FFC">
        <w:rPr>
          <w:rFonts w:hint="cs"/>
          <w:rtl/>
        </w:rPr>
        <w:t xml:space="preserve"> בשם</w:t>
      </w:r>
      <w:r w:rsidRPr="00D72FFC">
        <w:rPr>
          <w:rtl/>
        </w:rPr>
        <w:t xml:space="preserve"> </w:t>
      </w:r>
      <w:r w:rsidRPr="00D72FFC">
        <w:rPr>
          <w:rFonts w:hint="cs"/>
          <w:rtl/>
        </w:rPr>
        <w:t>י"מ</w:t>
      </w:r>
      <w:r>
        <w:rPr>
          <w:rtl/>
        </w:rPr>
        <w:t>,</w:t>
      </w:r>
      <w:r w:rsidRPr="00407CF9">
        <w:rPr>
          <w:rStyle w:val="afffffffff9"/>
          <w:rFonts w:ascii="David" w:eastAsiaTheme="minorEastAsia" w:hAnsi="David" w:cs="David" w:hint="cs"/>
          <w:b/>
          <w:bCs/>
          <w:color w:val="auto"/>
          <w:sz w:val="16"/>
          <w:szCs w:val="16"/>
          <w:rtl/>
        </w:rPr>
        <w:t xml:space="preserve"> </w:t>
      </w:r>
      <w:r w:rsidRPr="00407CF9">
        <w:rPr>
          <w:rStyle w:val="afffffffff9"/>
          <w:rFonts w:ascii="David" w:eastAsiaTheme="minorEastAsia" w:hAnsi="David" w:cs="David"/>
          <w:b/>
          <w:bCs/>
          <w:color w:val="auto"/>
          <w:sz w:val="16"/>
          <w:szCs w:val="16"/>
          <w:rtl/>
        </w:rPr>
        <w:fldChar w:fldCharType="begin"/>
      </w:r>
      <w:r w:rsidRPr="00407CF9">
        <w:rPr>
          <w:rStyle w:val="afffffffff9"/>
          <w:rFonts w:ascii="David" w:eastAsiaTheme="minorEastAsia" w:hAnsi="David" w:cs="David"/>
          <w:b/>
          <w:bCs/>
          <w:color w:val="auto"/>
          <w:sz w:val="16"/>
          <w:szCs w:val="16"/>
          <w:rtl/>
        </w:rPr>
        <w:instrText xml:space="preserve"> </w:instrText>
      </w:r>
      <w:r w:rsidRPr="00407CF9">
        <w:rPr>
          <w:rStyle w:val="afffffffff9"/>
          <w:rFonts w:ascii="David" w:eastAsiaTheme="minorEastAsia" w:hAnsi="David" w:cs="David" w:hint="cs"/>
          <w:b/>
          <w:bCs/>
          <w:color w:val="auto"/>
          <w:sz w:val="16"/>
          <w:szCs w:val="16"/>
        </w:rPr>
        <w:instrText>REF</w:instrText>
      </w:r>
      <w:r w:rsidRPr="00407CF9">
        <w:rPr>
          <w:rStyle w:val="afffffffff9"/>
          <w:rFonts w:ascii="David" w:eastAsiaTheme="minorEastAsia" w:hAnsi="David" w:cs="David" w:hint="cs"/>
          <w:b/>
          <w:bCs/>
          <w:color w:val="auto"/>
          <w:sz w:val="16"/>
          <w:szCs w:val="16"/>
          <w:rtl/>
        </w:rPr>
        <w:instrText xml:space="preserve"> _</w:instrText>
      </w:r>
      <w:r w:rsidRPr="00407CF9">
        <w:rPr>
          <w:rStyle w:val="afffffffff9"/>
          <w:rFonts w:ascii="David" w:eastAsiaTheme="minorEastAsia" w:hAnsi="David" w:cs="David" w:hint="cs"/>
          <w:b/>
          <w:bCs/>
          <w:color w:val="auto"/>
          <w:sz w:val="16"/>
          <w:szCs w:val="16"/>
        </w:rPr>
        <w:instrText>Ref143858291 \r \h</w:instrText>
      </w:r>
      <w:r w:rsidRPr="00407CF9">
        <w:rPr>
          <w:rStyle w:val="afffffffff9"/>
          <w:rFonts w:ascii="David" w:eastAsiaTheme="minorEastAsia" w:hAnsi="David" w:cs="David"/>
          <w:b/>
          <w:bCs/>
          <w:color w:val="auto"/>
          <w:sz w:val="16"/>
          <w:szCs w:val="16"/>
          <w:rtl/>
        </w:rPr>
        <w:instrText xml:space="preserve">  \* </w:instrText>
      </w:r>
      <w:r w:rsidRPr="00407CF9">
        <w:rPr>
          <w:rStyle w:val="afffffffff9"/>
          <w:rFonts w:ascii="David" w:eastAsiaTheme="minorEastAsia" w:hAnsi="David" w:cs="David"/>
          <w:b/>
          <w:bCs/>
          <w:color w:val="auto"/>
          <w:sz w:val="16"/>
          <w:szCs w:val="16"/>
        </w:rPr>
        <w:instrText>MERGEFORMAT</w:instrText>
      </w:r>
      <w:r w:rsidRPr="00407CF9">
        <w:rPr>
          <w:rStyle w:val="afffffffff9"/>
          <w:rFonts w:ascii="David" w:eastAsiaTheme="minorEastAsia" w:hAnsi="David" w:cs="David"/>
          <w:b/>
          <w:bCs/>
          <w:color w:val="auto"/>
          <w:sz w:val="16"/>
          <w:szCs w:val="16"/>
          <w:rtl/>
        </w:rPr>
        <w:instrText xml:space="preserve"> </w:instrText>
      </w:r>
      <w:r w:rsidRPr="00407CF9">
        <w:rPr>
          <w:rStyle w:val="afffffffff9"/>
          <w:rFonts w:ascii="David" w:eastAsiaTheme="minorEastAsia" w:hAnsi="David" w:cs="David"/>
          <w:b/>
          <w:bCs/>
          <w:color w:val="auto"/>
          <w:sz w:val="16"/>
          <w:szCs w:val="16"/>
          <w:rtl/>
        </w:rPr>
      </w:r>
      <w:r w:rsidRPr="00407CF9">
        <w:rPr>
          <w:rStyle w:val="afffffffff9"/>
          <w:rFonts w:ascii="David" w:eastAsiaTheme="minorEastAsia" w:hAnsi="David" w:cs="David"/>
          <w:b/>
          <w:bCs/>
          <w:color w:val="auto"/>
          <w:sz w:val="16"/>
          <w:szCs w:val="16"/>
          <w:rtl/>
        </w:rPr>
        <w:fldChar w:fldCharType="separate"/>
      </w:r>
      <w:r w:rsidR="00D82181">
        <w:rPr>
          <w:rStyle w:val="afffffffff9"/>
          <w:rFonts w:ascii="David" w:eastAsiaTheme="minorEastAsia" w:hAnsi="David" w:cs="David"/>
          <w:b/>
          <w:bCs/>
          <w:color w:val="auto"/>
          <w:sz w:val="16"/>
          <w:szCs w:val="16"/>
          <w:cs/>
        </w:rPr>
        <w:t>‎</w:t>
      </w:r>
      <w:r w:rsidR="00D82181">
        <w:rPr>
          <w:rStyle w:val="afffffffff9"/>
          <w:rFonts w:ascii="David" w:eastAsiaTheme="minorEastAsia" w:hAnsi="David" w:cs="David"/>
          <w:b/>
          <w:bCs/>
          <w:color w:val="auto"/>
          <w:sz w:val="16"/>
          <w:szCs w:val="16"/>
          <w:rtl/>
        </w:rPr>
        <w:t>ל)</w:t>
      </w:r>
      <w:r w:rsidRPr="00407CF9">
        <w:rPr>
          <w:rStyle w:val="afffffffff9"/>
          <w:rFonts w:ascii="David" w:eastAsiaTheme="minorEastAsia" w:hAnsi="David" w:cs="David"/>
          <w:b/>
          <w:bCs/>
          <w:color w:val="auto"/>
          <w:sz w:val="16"/>
          <w:szCs w:val="16"/>
          <w:rtl/>
        </w:rPr>
        <w:fldChar w:fldCharType="end"/>
      </w:r>
      <w:r w:rsidRPr="00407CF9">
        <w:rPr>
          <w:rStyle w:val="afffffffff9"/>
          <w:rFonts w:ascii="David" w:eastAsiaTheme="minorEastAsia" w:hAnsi="David" w:cs="David" w:hint="cs"/>
          <w:b/>
          <w:bCs/>
          <w:color w:val="auto"/>
          <w:sz w:val="16"/>
          <w:szCs w:val="16"/>
          <w:rtl/>
        </w:rPr>
        <w:t xml:space="preserve"> </w:t>
      </w:r>
      <w:r w:rsidRPr="00D72FFC">
        <w:rPr>
          <w:rStyle w:val="afffffffff9"/>
          <w:rFonts w:ascii="David" w:eastAsiaTheme="minorEastAsia" w:hAnsi="David" w:cs="David" w:hint="cs"/>
          <w:color w:val="auto"/>
          <w:sz w:val="16"/>
          <w:szCs w:val="16"/>
          <w:rtl/>
        </w:rPr>
        <w:t>פי' הרמב"ם לשבת</w:t>
      </w:r>
      <w:r w:rsidRPr="00D72FFC">
        <w:rPr>
          <w:rFonts w:hint="cs"/>
          <w:rtl/>
        </w:rPr>
        <w:t xml:space="preserve"> </w:t>
      </w:r>
      <w:r w:rsidRPr="00407CF9">
        <w:rPr>
          <w:rStyle w:val="afffffffff3"/>
          <w:rFonts w:hint="cs"/>
          <w:rtl/>
        </w:rPr>
        <w:t>(חי' הר"י מגאש שבת ע"ה: ד"ה והמסתת, נד' בליקוטי מסכתות בסוף הר"י מגאש כתובות, וברבינו פרחיה בסוגיין)</w:t>
      </w:r>
      <w:r>
        <w:rPr>
          <w:rtl/>
        </w:rPr>
        <w:t xml:space="preserve"> </w:t>
      </w:r>
      <w:r w:rsidRPr="00D72FFC">
        <w:rPr>
          <w:rStyle w:val="afffffffff9"/>
          <w:rFonts w:ascii="David" w:eastAsiaTheme="minorEastAsia" w:hAnsi="David" w:cs="David" w:hint="cs"/>
          <w:color w:val="auto"/>
          <w:sz w:val="16"/>
          <w:szCs w:val="16"/>
          <w:rtl/>
        </w:rPr>
        <w:t>ר"י מגאש</w:t>
      </w:r>
      <w:r>
        <w:rPr>
          <w:rtl/>
        </w:rPr>
        <w:t>,</w:t>
      </w:r>
      <w:r w:rsidRPr="00407CF9">
        <w:rPr>
          <w:rStyle w:val="afffffffff9"/>
          <w:rFonts w:ascii="David" w:eastAsiaTheme="minorEastAsia" w:hAnsi="David" w:cs="David" w:hint="cs"/>
          <w:b/>
          <w:bCs/>
          <w:color w:val="auto"/>
          <w:sz w:val="16"/>
          <w:szCs w:val="16"/>
          <w:rtl/>
        </w:rPr>
        <w:t xml:space="preserve"> </w:t>
      </w:r>
      <w:r w:rsidRPr="00407CF9">
        <w:rPr>
          <w:rStyle w:val="afffffffff9"/>
          <w:rFonts w:ascii="David" w:eastAsiaTheme="minorEastAsia" w:hAnsi="David" w:cs="David"/>
          <w:b/>
          <w:bCs/>
          <w:color w:val="auto"/>
          <w:sz w:val="16"/>
          <w:szCs w:val="16"/>
          <w:rtl/>
        </w:rPr>
        <w:fldChar w:fldCharType="begin"/>
      </w:r>
      <w:r w:rsidRPr="00407CF9">
        <w:rPr>
          <w:rStyle w:val="afffffffff9"/>
          <w:rFonts w:ascii="David" w:eastAsiaTheme="minorEastAsia" w:hAnsi="David" w:cs="David"/>
          <w:b/>
          <w:bCs/>
          <w:color w:val="auto"/>
          <w:sz w:val="16"/>
          <w:szCs w:val="16"/>
          <w:rtl/>
        </w:rPr>
        <w:instrText xml:space="preserve"> </w:instrText>
      </w:r>
      <w:r w:rsidRPr="00407CF9">
        <w:rPr>
          <w:rStyle w:val="afffffffff9"/>
          <w:rFonts w:ascii="David" w:eastAsiaTheme="minorEastAsia" w:hAnsi="David" w:cs="David" w:hint="cs"/>
          <w:b/>
          <w:bCs/>
          <w:color w:val="auto"/>
          <w:sz w:val="16"/>
          <w:szCs w:val="16"/>
        </w:rPr>
        <w:instrText>REF</w:instrText>
      </w:r>
      <w:r w:rsidRPr="00407CF9">
        <w:rPr>
          <w:rStyle w:val="afffffffff9"/>
          <w:rFonts w:ascii="David" w:eastAsiaTheme="minorEastAsia" w:hAnsi="David" w:cs="David" w:hint="cs"/>
          <w:b/>
          <w:bCs/>
          <w:color w:val="auto"/>
          <w:sz w:val="16"/>
          <w:szCs w:val="16"/>
          <w:rtl/>
        </w:rPr>
        <w:instrText xml:space="preserve"> _</w:instrText>
      </w:r>
      <w:r w:rsidRPr="00407CF9">
        <w:rPr>
          <w:rStyle w:val="afffffffff9"/>
          <w:rFonts w:ascii="David" w:eastAsiaTheme="minorEastAsia" w:hAnsi="David" w:cs="David" w:hint="cs"/>
          <w:b/>
          <w:bCs/>
          <w:color w:val="auto"/>
          <w:sz w:val="16"/>
          <w:szCs w:val="16"/>
        </w:rPr>
        <w:instrText>Ref143854981 \r \h</w:instrText>
      </w:r>
      <w:r w:rsidRPr="00407CF9">
        <w:rPr>
          <w:rStyle w:val="afffffffff9"/>
          <w:rFonts w:ascii="David" w:eastAsiaTheme="minorEastAsia" w:hAnsi="David" w:cs="David"/>
          <w:b/>
          <w:bCs/>
          <w:color w:val="auto"/>
          <w:sz w:val="16"/>
          <w:szCs w:val="16"/>
          <w:rtl/>
        </w:rPr>
        <w:instrText xml:space="preserve">  \* </w:instrText>
      </w:r>
      <w:r w:rsidRPr="00407CF9">
        <w:rPr>
          <w:rStyle w:val="afffffffff9"/>
          <w:rFonts w:ascii="David" w:eastAsiaTheme="minorEastAsia" w:hAnsi="David" w:cs="David"/>
          <w:b/>
          <w:bCs/>
          <w:color w:val="auto"/>
          <w:sz w:val="16"/>
          <w:szCs w:val="16"/>
        </w:rPr>
        <w:instrText>MERGEFORMAT</w:instrText>
      </w:r>
      <w:r w:rsidRPr="00407CF9">
        <w:rPr>
          <w:rStyle w:val="afffffffff9"/>
          <w:rFonts w:ascii="David" w:eastAsiaTheme="minorEastAsia" w:hAnsi="David" w:cs="David"/>
          <w:b/>
          <w:bCs/>
          <w:color w:val="auto"/>
          <w:sz w:val="16"/>
          <w:szCs w:val="16"/>
          <w:rtl/>
        </w:rPr>
        <w:instrText xml:space="preserve"> </w:instrText>
      </w:r>
      <w:r w:rsidRPr="00407CF9">
        <w:rPr>
          <w:rStyle w:val="afffffffff9"/>
          <w:rFonts w:ascii="David" w:eastAsiaTheme="minorEastAsia" w:hAnsi="David" w:cs="David"/>
          <w:b/>
          <w:bCs/>
          <w:color w:val="auto"/>
          <w:sz w:val="16"/>
          <w:szCs w:val="16"/>
          <w:rtl/>
        </w:rPr>
      </w:r>
      <w:r w:rsidRPr="00407CF9">
        <w:rPr>
          <w:rStyle w:val="afffffffff9"/>
          <w:rFonts w:ascii="David" w:eastAsiaTheme="minorEastAsia" w:hAnsi="David" w:cs="David"/>
          <w:b/>
          <w:bCs/>
          <w:color w:val="auto"/>
          <w:sz w:val="16"/>
          <w:szCs w:val="16"/>
          <w:rtl/>
        </w:rPr>
        <w:fldChar w:fldCharType="separate"/>
      </w:r>
      <w:r w:rsidR="00D82181">
        <w:rPr>
          <w:rStyle w:val="afffffffff9"/>
          <w:rFonts w:ascii="David" w:eastAsiaTheme="minorEastAsia" w:hAnsi="David" w:cs="David"/>
          <w:b/>
          <w:bCs/>
          <w:color w:val="auto"/>
          <w:sz w:val="16"/>
          <w:szCs w:val="16"/>
          <w:cs/>
        </w:rPr>
        <w:t>‎</w:t>
      </w:r>
      <w:r w:rsidR="00D82181">
        <w:rPr>
          <w:rStyle w:val="afffffffff9"/>
          <w:rFonts w:ascii="David" w:eastAsiaTheme="minorEastAsia" w:hAnsi="David" w:cs="David"/>
          <w:b/>
          <w:bCs/>
          <w:color w:val="auto"/>
          <w:sz w:val="16"/>
          <w:szCs w:val="16"/>
          <w:rtl/>
        </w:rPr>
        <w:t>לא)</w:t>
      </w:r>
      <w:r w:rsidRPr="00407CF9">
        <w:rPr>
          <w:rStyle w:val="afffffffff9"/>
          <w:rFonts w:ascii="David" w:eastAsiaTheme="minorEastAsia" w:hAnsi="David" w:cs="David"/>
          <w:b/>
          <w:bCs/>
          <w:color w:val="auto"/>
          <w:sz w:val="16"/>
          <w:szCs w:val="16"/>
          <w:rtl/>
        </w:rPr>
        <w:fldChar w:fldCharType="end"/>
      </w:r>
      <w:r w:rsidRPr="00407CF9">
        <w:rPr>
          <w:rStyle w:val="afffffffff9"/>
          <w:rFonts w:ascii="David" w:eastAsiaTheme="minorEastAsia" w:hAnsi="David" w:cs="David" w:hint="cs"/>
          <w:b/>
          <w:bCs/>
          <w:color w:val="auto"/>
          <w:sz w:val="16"/>
          <w:szCs w:val="16"/>
          <w:rtl/>
        </w:rPr>
        <w:t xml:space="preserve"> </w:t>
      </w:r>
      <w:r w:rsidRPr="00D72FFC">
        <w:rPr>
          <w:rStyle w:val="afffffffff9"/>
          <w:rFonts w:ascii="David" w:eastAsiaTheme="minorEastAsia" w:hAnsi="David" w:cs="David" w:hint="cs"/>
          <w:color w:val="auto"/>
          <w:sz w:val="16"/>
          <w:szCs w:val="16"/>
          <w:rtl/>
        </w:rPr>
        <w:t>רמב"ם</w:t>
      </w:r>
      <w:r w:rsidRPr="00D72FFC">
        <w:rPr>
          <w:rFonts w:hint="cs"/>
          <w:rtl/>
        </w:rPr>
        <w:t xml:space="preserve"> </w:t>
      </w:r>
      <w:r w:rsidRPr="00407CF9">
        <w:rPr>
          <w:rStyle w:val="afffffffff3"/>
          <w:rFonts w:hint="cs"/>
          <w:rtl/>
        </w:rPr>
        <w:t>(שבת פ"י הט"ז)</w:t>
      </w:r>
      <w:r>
        <w:rPr>
          <w:rtl/>
        </w:rPr>
        <w:t xml:space="preserve"> </w:t>
      </w:r>
      <w:r w:rsidRPr="00D72FFC">
        <w:rPr>
          <w:rStyle w:val="afffffffff9"/>
          <w:rFonts w:ascii="David" w:eastAsiaTheme="minorEastAsia" w:hAnsi="David" w:cs="David" w:hint="cs"/>
          <w:color w:val="auto"/>
          <w:sz w:val="16"/>
          <w:szCs w:val="16"/>
          <w:rtl/>
        </w:rPr>
        <w:t>אגרות משה</w:t>
      </w:r>
      <w:r w:rsidRPr="00D72FFC">
        <w:rPr>
          <w:rFonts w:hint="cs"/>
          <w:rtl/>
        </w:rPr>
        <w:t xml:space="preserve"> </w:t>
      </w:r>
      <w:r w:rsidRPr="00407CF9">
        <w:rPr>
          <w:rStyle w:val="afffffffff3"/>
          <w:rFonts w:hint="cs"/>
          <w:rtl/>
        </w:rPr>
        <w:t xml:space="preserve">(עי' אות </w:t>
      </w:r>
      <w:r w:rsidRPr="00407CF9">
        <w:rPr>
          <w:rStyle w:val="afffffffff3"/>
          <w:rtl/>
        </w:rPr>
        <w:fldChar w:fldCharType="begin"/>
      </w:r>
      <w:r w:rsidRPr="00407CF9">
        <w:rPr>
          <w:rStyle w:val="afffffffff3"/>
          <w:rtl/>
        </w:rPr>
        <w:instrText xml:space="preserve"> </w:instrText>
      </w:r>
      <w:r w:rsidRPr="00407CF9">
        <w:rPr>
          <w:rStyle w:val="afffffffff3"/>
          <w:rFonts w:hint="cs"/>
        </w:rPr>
        <w:instrText>REF</w:instrText>
      </w:r>
      <w:r w:rsidRPr="00407CF9">
        <w:rPr>
          <w:rStyle w:val="afffffffff3"/>
          <w:rFonts w:hint="cs"/>
          <w:rtl/>
        </w:rPr>
        <w:instrText xml:space="preserve"> _</w:instrText>
      </w:r>
      <w:r w:rsidRPr="00407CF9">
        <w:rPr>
          <w:rStyle w:val="afffffffff3"/>
          <w:rFonts w:hint="cs"/>
        </w:rPr>
        <w:instrText>Ref144117228 \r \h</w:instrText>
      </w:r>
      <w:r w:rsidRPr="00407CF9">
        <w:rPr>
          <w:rStyle w:val="afffffffff3"/>
          <w:rtl/>
        </w:rPr>
        <w:instrText xml:space="preserve">  \* </w:instrText>
      </w:r>
      <w:r w:rsidRPr="00407CF9">
        <w:rPr>
          <w:rStyle w:val="afffffffff3"/>
        </w:rPr>
        <w:instrText>MERGEFORMAT</w:instrText>
      </w:r>
      <w:r w:rsidRPr="00407CF9">
        <w:rPr>
          <w:rStyle w:val="afffffffff3"/>
          <w:rtl/>
        </w:rPr>
        <w:instrText xml:space="preserve"> </w:instrText>
      </w:r>
      <w:r w:rsidRPr="00407CF9">
        <w:rPr>
          <w:rStyle w:val="afffffffff3"/>
          <w:rtl/>
        </w:rPr>
      </w:r>
      <w:r w:rsidRPr="00407CF9">
        <w:rPr>
          <w:rStyle w:val="afffffffff3"/>
          <w:rtl/>
        </w:rPr>
        <w:fldChar w:fldCharType="separate"/>
      </w:r>
      <w:r w:rsidR="00D82181">
        <w:rPr>
          <w:rStyle w:val="afffffffff3"/>
          <w:cs/>
        </w:rPr>
        <w:t>‎</w:t>
      </w:r>
      <w:r w:rsidR="00D82181">
        <w:rPr>
          <w:rStyle w:val="afffffffff3"/>
          <w:rtl/>
        </w:rPr>
        <w:t>כב)</w:t>
      </w:r>
      <w:r w:rsidRPr="00407CF9">
        <w:rPr>
          <w:rStyle w:val="afffffffff3"/>
          <w:rtl/>
        </w:rPr>
        <w:fldChar w:fldCharType="end"/>
      </w:r>
      <w:r>
        <w:rPr>
          <w:rtl/>
        </w:rPr>
        <w:t xml:space="preserve"> </w:t>
      </w:r>
      <w:r w:rsidRPr="00D72FFC">
        <w:rPr>
          <w:rStyle w:val="afffffffff9"/>
          <w:rFonts w:ascii="David" w:eastAsiaTheme="minorEastAsia" w:hAnsi="David" w:cs="David"/>
          <w:color w:val="auto"/>
          <w:sz w:val="16"/>
          <w:szCs w:val="16"/>
          <w:rtl/>
        </w:rPr>
        <w:t>אבן האזל</w:t>
      </w:r>
      <w:r w:rsidRPr="00D72FFC">
        <w:rPr>
          <w:rtl/>
        </w:rPr>
        <w:t xml:space="preserve"> </w:t>
      </w:r>
      <w:r w:rsidRPr="00407CF9">
        <w:rPr>
          <w:rStyle w:val="afffffffff3"/>
          <w:rFonts w:hint="cs"/>
          <w:rtl/>
        </w:rPr>
        <w:t xml:space="preserve">(עי' אות </w:t>
      </w:r>
      <w:r w:rsidRPr="00407CF9">
        <w:rPr>
          <w:rStyle w:val="afffffffff3"/>
          <w:rtl/>
        </w:rPr>
        <w:fldChar w:fldCharType="begin"/>
      </w:r>
      <w:r w:rsidRPr="00407CF9">
        <w:rPr>
          <w:rStyle w:val="afffffffff3"/>
          <w:rtl/>
        </w:rPr>
        <w:instrText xml:space="preserve"> </w:instrText>
      </w:r>
      <w:r w:rsidRPr="00407CF9">
        <w:rPr>
          <w:rStyle w:val="afffffffff3"/>
          <w:rFonts w:hint="cs"/>
        </w:rPr>
        <w:instrText>REF</w:instrText>
      </w:r>
      <w:r w:rsidRPr="00407CF9">
        <w:rPr>
          <w:rStyle w:val="afffffffff3"/>
          <w:rFonts w:hint="cs"/>
          <w:rtl/>
        </w:rPr>
        <w:instrText xml:space="preserve"> _</w:instrText>
      </w:r>
      <w:r w:rsidRPr="00407CF9">
        <w:rPr>
          <w:rStyle w:val="afffffffff3"/>
          <w:rFonts w:hint="cs"/>
        </w:rPr>
        <w:instrText>Ref143507531 \r \h</w:instrText>
      </w:r>
      <w:r w:rsidRPr="00407CF9">
        <w:rPr>
          <w:rStyle w:val="afffffffff3"/>
          <w:rtl/>
        </w:rPr>
        <w:instrText xml:space="preserve">  \* </w:instrText>
      </w:r>
      <w:r w:rsidRPr="00407CF9">
        <w:rPr>
          <w:rStyle w:val="afffffffff3"/>
        </w:rPr>
        <w:instrText>MERGEFORMAT</w:instrText>
      </w:r>
      <w:r w:rsidRPr="00407CF9">
        <w:rPr>
          <w:rStyle w:val="afffffffff3"/>
          <w:rtl/>
        </w:rPr>
        <w:instrText xml:space="preserve"> </w:instrText>
      </w:r>
      <w:r w:rsidRPr="00407CF9">
        <w:rPr>
          <w:rStyle w:val="afffffffff3"/>
          <w:rtl/>
        </w:rPr>
      </w:r>
      <w:r w:rsidRPr="00407CF9">
        <w:rPr>
          <w:rStyle w:val="afffffffff3"/>
          <w:rtl/>
        </w:rPr>
        <w:fldChar w:fldCharType="separate"/>
      </w:r>
      <w:r w:rsidR="00D82181">
        <w:rPr>
          <w:rStyle w:val="afffffffff3"/>
          <w:cs/>
        </w:rPr>
        <w:t>‎</w:t>
      </w:r>
      <w:r w:rsidR="00D82181">
        <w:rPr>
          <w:rStyle w:val="afffffffff3"/>
          <w:rtl/>
        </w:rPr>
        <w:t>ס)</w:t>
      </w:r>
      <w:r w:rsidRPr="00407CF9">
        <w:rPr>
          <w:rStyle w:val="afffffffff3"/>
          <w:rtl/>
        </w:rPr>
        <w:fldChar w:fldCharType="end"/>
      </w:r>
      <w:r>
        <w:rPr>
          <w:rtl/>
        </w:rPr>
        <w:t>,</w:t>
      </w:r>
      <w:r w:rsidRPr="00407CF9">
        <w:rPr>
          <w:rStyle w:val="afffffffff9"/>
          <w:rFonts w:ascii="David" w:eastAsiaTheme="minorEastAsia" w:hAnsi="David" w:cs="David" w:hint="cs"/>
          <w:b/>
          <w:bCs/>
          <w:color w:val="auto"/>
          <w:sz w:val="16"/>
          <w:szCs w:val="16"/>
          <w:rtl/>
        </w:rPr>
        <w:t xml:space="preserve"> </w:t>
      </w:r>
      <w:r w:rsidRPr="00407CF9">
        <w:rPr>
          <w:rStyle w:val="afffffffff9"/>
          <w:rFonts w:ascii="David" w:eastAsiaTheme="minorEastAsia" w:hAnsi="David" w:cs="David"/>
          <w:b/>
          <w:bCs/>
          <w:color w:val="auto"/>
          <w:sz w:val="16"/>
          <w:szCs w:val="16"/>
          <w:rtl/>
        </w:rPr>
        <w:fldChar w:fldCharType="begin"/>
      </w:r>
      <w:r w:rsidRPr="00407CF9">
        <w:rPr>
          <w:rStyle w:val="afffffffff9"/>
          <w:rFonts w:ascii="David" w:eastAsiaTheme="minorEastAsia" w:hAnsi="David" w:cs="David"/>
          <w:b/>
          <w:bCs/>
          <w:color w:val="auto"/>
          <w:sz w:val="16"/>
          <w:szCs w:val="16"/>
          <w:rtl/>
        </w:rPr>
        <w:instrText xml:space="preserve"> </w:instrText>
      </w:r>
      <w:r w:rsidRPr="00407CF9">
        <w:rPr>
          <w:rStyle w:val="afffffffff9"/>
          <w:rFonts w:ascii="David" w:eastAsiaTheme="minorEastAsia" w:hAnsi="David" w:cs="David" w:hint="cs"/>
          <w:b/>
          <w:bCs/>
          <w:color w:val="auto"/>
          <w:sz w:val="16"/>
          <w:szCs w:val="16"/>
        </w:rPr>
        <w:instrText>REF</w:instrText>
      </w:r>
      <w:r w:rsidRPr="00407CF9">
        <w:rPr>
          <w:rStyle w:val="afffffffff9"/>
          <w:rFonts w:ascii="David" w:eastAsiaTheme="minorEastAsia" w:hAnsi="David" w:cs="David" w:hint="cs"/>
          <w:b/>
          <w:bCs/>
          <w:color w:val="auto"/>
          <w:sz w:val="16"/>
          <w:szCs w:val="16"/>
          <w:rtl/>
        </w:rPr>
        <w:instrText xml:space="preserve"> _</w:instrText>
      </w:r>
      <w:r w:rsidRPr="00407CF9">
        <w:rPr>
          <w:rStyle w:val="afffffffff9"/>
          <w:rFonts w:ascii="David" w:eastAsiaTheme="minorEastAsia" w:hAnsi="David" w:cs="David" w:hint="cs"/>
          <w:b/>
          <w:bCs/>
          <w:color w:val="auto"/>
          <w:sz w:val="16"/>
          <w:szCs w:val="16"/>
        </w:rPr>
        <w:instrText>Ref144117431 \r \h</w:instrText>
      </w:r>
      <w:r w:rsidRPr="00407CF9">
        <w:rPr>
          <w:rStyle w:val="afffffffff9"/>
          <w:rFonts w:ascii="David" w:eastAsiaTheme="minorEastAsia" w:hAnsi="David" w:cs="David"/>
          <w:b/>
          <w:bCs/>
          <w:color w:val="auto"/>
          <w:sz w:val="16"/>
          <w:szCs w:val="16"/>
          <w:rtl/>
        </w:rPr>
        <w:instrText xml:space="preserve">  \* </w:instrText>
      </w:r>
      <w:r w:rsidRPr="00407CF9">
        <w:rPr>
          <w:rStyle w:val="afffffffff9"/>
          <w:rFonts w:ascii="David" w:eastAsiaTheme="minorEastAsia" w:hAnsi="David" w:cs="David"/>
          <w:b/>
          <w:bCs/>
          <w:color w:val="auto"/>
          <w:sz w:val="16"/>
          <w:szCs w:val="16"/>
        </w:rPr>
        <w:instrText>MERGEFORMAT</w:instrText>
      </w:r>
      <w:r w:rsidRPr="00407CF9">
        <w:rPr>
          <w:rStyle w:val="afffffffff9"/>
          <w:rFonts w:ascii="David" w:eastAsiaTheme="minorEastAsia" w:hAnsi="David" w:cs="David"/>
          <w:b/>
          <w:bCs/>
          <w:color w:val="auto"/>
          <w:sz w:val="16"/>
          <w:szCs w:val="16"/>
          <w:rtl/>
        </w:rPr>
        <w:instrText xml:space="preserve"> </w:instrText>
      </w:r>
      <w:r w:rsidRPr="00407CF9">
        <w:rPr>
          <w:rStyle w:val="afffffffff9"/>
          <w:rFonts w:ascii="David" w:eastAsiaTheme="minorEastAsia" w:hAnsi="David" w:cs="David"/>
          <w:b/>
          <w:bCs/>
          <w:color w:val="auto"/>
          <w:sz w:val="16"/>
          <w:szCs w:val="16"/>
          <w:rtl/>
        </w:rPr>
      </w:r>
      <w:r w:rsidRPr="00407CF9">
        <w:rPr>
          <w:rStyle w:val="afffffffff9"/>
          <w:rFonts w:ascii="David" w:eastAsiaTheme="minorEastAsia" w:hAnsi="David" w:cs="David"/>
          <w:b/>
          <w:bCs/>
          <w:color w:val="auto"/>
          <w:sz w:val="16"/>
          <w:szCs w:val="16"/>
          <w:rtl/>
        </w:rPr>
        <w:fldChar w:fldCharType="separate"/>
      </w:r>
      <w:r w:rsidR="00D82181">
        <w:rPr>
          <w:rStyle w:val="afffffffff9"/>
          <w:rFonts w:ascii="David" w:eastAsiaTheme="minorEastAsia" w:hAnsi="David" w:cs="David"/>
          <w:b/>
          <w:bCs/>
          <w:color w:val="auto"/>
          <w:sz w:val="16"/>
          <w:szCs w:val="16"/>
          <w:cs/>
        </w:rPr>
        <w:t>‎</w:t>
      </w:r>
      <w:r w:rsidR="00D82181">
        <w:rPr>
          <w:rStyle w:val="afffffffff9"/>
          <w:rFonts w:ascii="David" w:eastAsiaTheme="minorEastAsia" w:hAnsi="David" w:cs="David"/>
          <w:b/>
          <w:bCs/>
          <w:color w:val="auto"/>
          <w:sz w:val="16"/>
          <w:szCs w:val="16"/>
          <w:rtl/>
        </w:rPr>
        <w:t>לב)</w:t>
      </w:r>
      <w:r w:rsidRPr="00407CF9">
        <w:rPr>
          <w:rStyle w:val="afffffffff9"/>
          <w:rFonts w:ascii="David" w:eastAsiaTheme="minorEastAsia" w:hAnsi="David" w:cs="David"/>
          <w:b/>
          <w:bCs/>
          <w:color w:val="auto"/>
          <w:sz w:val="16"/>
          <w:szCs w:val="16"/>
          <w:rtl/>
        </w:rPr>
        <w:fldChar w:fldCharType="end"/>
      </w:r>
      <w:r w:rsidRPr="00407CF9">
        <w:rPr>
          <w:rStyle w:val="afffffffff9"/>
          <w:rFonts w:ascii="David" w:eastAsiaTheme="minorEastAsia" w:hAnsi="David" w:cs="David" w:hint="cs"/>
          <w:b/>
          <w:bCs/>
          <w:color w:val="auto"/>
          <w:sz w:val="16"/>
          <w:szCs w:val="16"/>
          <w:rtl/>
        </w:rPr>
        <w:t xml:space="preserve"> </w:t>
      </w:r>
      <w:r w:rsidRPr="00D72FFC">
        <w:rPr>
          <w:rStyle w:val="afffffffff9"/>
          <w:rFonts w:ascii="David" w:eastAsiaTheme="minorEastAsia" w:hAnsi="David" w:cs="David" w:hint="cs"/>
          <w:color w:val="auto"/>
          <w:sz w:val="16"/>
          <w:szCs w:val="16"/>
          <w:rtl/>
        </w:rPr>
        <w:t>רמב"ם</w:t>
      </w:r>
      <w:r w:rsidRPr="00D72FFC">
        <w:rPr>
          <w:rFonts w:hint="cs"/>
          <w:rtl/>
        </w:rPr>
        <w:t xml:space="preserve"> </w:t>
      </w:r>
      <w:r w:rsidRPr="00407CF9">
        <w:rPr>
          <w:rStyle w:val="afffffffff3"/>
          <w:rFonts w:hint="cs"/>
          <w:rtl/>
        </w:rPr>
        <w:t>(פ"י הי"ז, י"ח)</w:t>
      </w:r>
      <w:r>
        <w:rPr>
          <w:rtl/>
        </w:rPr>
        <w:t xml:space="preserve"> </w:t>
      </w:r>
      <w:r w:rsidRPr="00D72FFC">
        <w:rPr>
          <w:rStyle w:val="afffffffff9"/>
          <w:rFonts w:ascii="David" w:eastAsiaTheme="minorEastAsia" w:hAnsi="David" w:cs="David"/>
          <w:color w:val="auto"/>
          <w:sz w:val="16"/>
          <w:szCs w:val="16"/>
          <w:rtl/>
        </w:rPr>
        <w:t>אבן האזל</w:t>
      </w:r>
      <w:r w:rsidRPr="00D72FFC">
        <w:rPr>
          <w:rtl/>
        </w:rPr>
        <w:t xml:space="preserve"> </w:t>
      </w:r>
      <w:r w:rsidRPr="00407CF9">
        <w:rPr>
          <w:rStyle w:val="afffffffff3"/>
          <w:rFonts w:hint="cs"/>
          <w:rtl/>
        </w:rPr>
        <w:t xml:space="preserve">(עי' אות </w:t>
      </w:r>
      <w:r w:rsidRPr="00407CF9">
        <w:rPr>
          <w:rStyle w:val="afffffffff3"/>
          <w:rtl/>
        </w:rPr>
        <w:fldChar w:fldCharType="begin"/>
      </w:r>
      <w:r w:rsidRPr="00407CF9">
        <w:rPr>
          <w:rStyle w:val="afffffffff3"/>
          <w:rtl/>
        </w:rPr>
        <w:instrText xml:space="preserve"> </w:instrText>
      </w:r>
      <w:r w:rsidRPr="00407CF9">
        <w:rPr>
          <w:rStyle w:val="afffffffff3"/>
          <w:rFonts w:hint="cs"/>
        </w:rPr>
        <w:instrText>REF</w:instrText>
      </w:r>
      <w:r w:rsidRPr="00407CF9">
        <w:rPr>
          <w:rStyle w:val="afffffffff3"/>
          <w:rFonts w:hint="cs"/>
          <w:rtl/>
        </w:rPr>
        <w:instrText xml:space="preserve"> _</w:instrText>
      </w:r>
      <w:r w:rsidRPr="00407CF9">
        <w:rPr>
          <w:rStyle w:val="afffffffff3"/>
          <w:rFonts w:hint="cs"/>
        </w:rPr>
        <w:instrText>Ref144117280 \r \h</w:instrText>
      </w:r>
      <w:r w:rsidRPr="00407CF9">
        <w:rPr>
          <w:rStyle w:val="afffffffff3"/>
          <w:rtl/>
        </w:rPr>
        <w:instrText xml:space="preserve">  \* </w:instrText>
      </w:r>
      <w:r w:rsidRPr="00407CF9">
        <w:rPr>
          <w:rStyle w:val="afffffffff3"/>
        </w:rPr>
        <w:instrText>MERGEFORMAT</w:instrText>
      </w:r>
      <w:r w:rsidRPr="00407CF9">
        <w:rPr>
          <w:rStyle w:val="afffffffff3"/>
          <w:rtl/>
        </w:rPr>
        <w:instrText xml:space="preserve"> </w:instrText>
      </w:r>
      <w:r w:rsidRPr="00407CF9">
        <w:rPr>
          <w:rStyle w:val="afffffffff3"/>
          <w:rtl/>
        </w:rPr>
      </w:r>
      <w:r w:rsidRPr="00407CF9">
        <w:rPr>
          <w:rStyle w:val="afffffffff3"/>
          <w:rtl/>
        </w:rPr>
        <w:fldChar w:fldCharType="separate"/>
      </w:r>
      <w:r w:rsidR="00D82181">
        <w:rPr>
          <w:rStyle w:val="afffffffff3"/>
          <w:cs/>
        </w:rPr>
        <w:t>‎</w:t>
      </w:r>
      <w:r w:rsidR="00D82181">
        <w:rPr>
          <w:rStyle w:val="afffffffff3"/>
          <w:rtl/>
        </w:rPr>
        <w:t>סא)</w:t>
      </w:r>
      <w:r w:rsidRPr="00407CF9">
        <w:rPr>
          <w:rStyle w:val="afffffffff3"/>
          <w:rtl/>
        </w:rPr>
        <w:fldChar w:fldCharType="end"/>
      </w:r>
      <w:r>
        <w:rPr>
          <w:rtl/>
        </w:rPr>
        <w:t xml:space="preserve"> </w:t>
      </w:r>
      <w:r w:rsidRPr="00D72FFC">
        <w:rPr>
          <w:rFonts w:hint="cs"/>
          <w:rtl/>
        </w:rPr>
        <w:t>קהלות יעקב</w:t>
      </w:r>
      <w:r w:rsidRPr="00D72FFC">
        <w:rPr>
          <w:rtl/>
        </w:rPr>
        <w:t xml:space="preserve"> </w:t>
      </w:r>
      <w:r w:rsidRPr="00407CF9">
        <w:rPr>
          <w:rStyle w:val="afffffffff3"/>
          <w:rFonts w:hint="cs"/>
          <w:rtl/>
        </w:rPr>
        <w:t xml:space="preserve">(עי' אות </w:t>
      </w:r>
      <w:r w:rsidRPr="00407CF9">
        <w:rPr>
          <w:rStyle w:val="afffffffff3"/>
          <w:rtl/>
        </w:rPr>
        <w:fldChar w:fldCharType="begin"/>
      </w:r>
      <w:r w:rsidRPr="00407CF9">
        <w:rPr>
          <w:rStyle w:val="afffffffff3"/>
          <w:rtl/>
        </w:rPr>
        <w:instrText xml:space="preserve"> </w:instrText>
      </w:r>
      <w:r w:rsidRPr="00407CF9">
        <w:rPr>
          <w:rStyle w:val="afffffffff3"/>
          <w:rFonts w:hint="cs"/>
        </w:rPr>
        <w:instrText>REF</w:instrText>
      </w:r>
      <w:r w:rsidRPr="00407CF9">
        <w:rPr>
          <w:rStyle w:val="afffffffff3"/>
          <w:rFonts w:hint="cs"/>
          <w:rtl/>
        </w:rPr>
        <w:instrText xml:space="preserve"> _</w:instrText>
      </w:r>
      <w:r w:rsidRPr="00407CF9">
        <w:rPr>
          <w:rStyle w:val="afffffffff3"/>
          <w:rFonts w:hint="cs"/>
        </w:rPr>
        <w:instrText>Ref144117341 \r \h</w:instrText>
      </w:r>
      <w:r w:rsidRPr="00407CF9">
        <w:rPr>
          <w:rStyle w:val="afffffffff3"/>
          <w:rtl/>
        </w:rPr>
        <w:instrText xml:space="preserve">  \* </w:instrText>
      </w:r>
      <w:r w:rsidRPr="00407CF9">
        <w:rPr>
          <w:rStyle w:val="afffffffff3"/>
        </w:rPr>
        <w:instrText>MERGEFORMAT</w:instrText>
      </w:r>
      <w:r w:rsidRPr="00407CF9">
        <w:rPr>
          <w:rStyle w:val="afffffffff3"/>
          <w:rtl/>
        </w:rPr>
        <w:instrText xml:space="preserve"> </w:instrText>
      </w:r>
      <w:r w:rsidRPr="00407CF9">
        <w:rPr>
          <w:rStyle w:val="afffffffff3"/>
          <w:rtl/>
        </w:rPr>
      </w:r>
      <w:r w:rsidRPr="00407CF9">
        <w:rPr>
          <w:rStyle w:val="afffffffff3"/>
          <w:rtl/>
        </w:rPr>
        <w:fldChar w:fldCharType="separate"/>
      </w:r>
      <w:r w:rsidR="00D82181">
        <w:rPr>
          <w:rStyle w:val="afffffffff3"/>
          <w:cs/>
        </w:rPr>
        <w:t>‎</w:t>
      </w:r>
      <w:r w:rsidR="00D82181">
        <w:rPr>
          <w:rStyle w:val="afffffffff3"/>
          <w:rtl/>
        </w:rPr>
        <w:t>סח)</w:t>
      </w:r>
      <w:r w:rsidRPr="00407CF9">
        <w:rPr>
          <w:rStyle w:val="afffffffff3"/>
          <w:rtl/>
        </w:rPr>
        <w:fldChar w:fldCharType="end"/>
      </w:r>
      <w:r>
        <w:rPr>
          <w:rtl/>
        </w:rPr>
        <w:t>,</w:t>
      </w:r>
      <w:r w:rsidRPr="00407CF9">
        <w:rPr>
          <w:rStyle w:val="afffffffff9"/>
          <w:rFonts w:ascii="David" w:eastAsiaTheme="minorEastAsia" w:hAnsi="David" w:cs="David" w:hint="cs"/>
          <w:b/>
          <w:bCs/>
          <w:color w:val="auto"/>
          <w:sz w:val="16"/>
          <w:szCs w:val="16"/>
          <w:rtl/>
        </w:rPr>
        <w:t xml:space="preserve"> </w:t>
      </w:r>
      <w:r w:rsidRPr="00407CF9">
        <w:rPr>
          <w:rStyle w:val="afffffffff9"/>
          <w:rFonts w:ascii="David" w:eastAsiaTheme="minorEastAsia" w:hAnsi="David" w:cs="David"/>
          <w:b/>
          <w:bCs/>
          <w:color w:val="auto"/>
          <w:sz w:val="16"/>
          <w:szCs w:val="16"/>
          <w:rtl/>
        </w:rPr>
        <w:fldChar w:fldCharType="begin"/>
      </w:r>
      <w:r w:rsidRPr="00407CF9">
        <w:rPr>
          <w:rStyle w:val="afffffffff9"/>
          <w:rFonts w:ascii="David" w:eastAsiaTheme="minorEastAsia" w:hAnsi="David" w:cs="David"/>
          <w:b/>
          <w:bCs/>
          <w:color w:val="auto"/>
          <w:sz w:val="16"/>
          <w:szCs w:val="16"/>
          <w:rtl/>
        </w:rPr>
        <w:instrText xml:space="preserve"> </w:instrText>
      </w:r>
      <w:r w:rsidRPr="00407CF9">
        <w:rPr>
          <w:rStyle w:val="afffffffff9"/>
          <w:rFonts w:ascii="David" w:eastAsiaTheme="minorEastAsia" w:hAnsi="David" w:cs="David" w:hint="cs"/>
          <w:b/>
          <w:bCs/>
          <w:color w:val="auto"/>
          <w:sz w:val="16"/>
          <w:szCs w:val="16"/>
        </w:rPr>
        <w:instrText>REF</w:instrText>
      </w:r>
      <w:r w:rsidRPr="00407CF9">
        <w:rPr>
          <w:rStyle w:val="afffffffff9"/>
          <w:rFonts w:ascii="David" w:eastAsiaTheme="minorEastAsia" w:hAnsi="David" w:cs="David" w:hint="cs"/>
          <w:b/>
          <w:bCs/>
          <w:color w:val="auto"/>
          <w:sz w:val="16"/>
          <w:szCs w:val="16"/>
          <w:rtl/>
        </w:rPr>
        <w:instrText xml:space="preserve"> _</w:instrText>
      </w:r>
      <w:r w:rsidRPr="00407CF9">
        <w:rPr>
          <w:rStyle w:val="afffffffff9"/>
          <w:rFonts w:ascii="David" w:eastAsiaTheme="minorEastAsia" w:hAnsi="David" w:cs="David" w:hint="cs"/>
          <w:b/>
          <w:bCs/>
          <w:color w:val="auto"/>
          <w:sz w:val="16"/>
          <w:szCs w:val="16"/>
        </w:rPr>
        <w:instrText>Ref144154219 \r \h</w:instrText>
      </w:r>
      <w:r w:rsidRPr="00407CF9">
        <w:rPr>
          <w:rStyle w:val="afffffffff9"/>
          <w:rFonts w:ascii="David" w:eastAsiaTheme="minorEastAsia" w:hAnsi="David" w:cs="David"/>
          <w:b/>
          <w:bCs/>
          <w:color w:val="auto"/>
          <w:sz w:val="16"/>
          <w:szCs w:val="16"/>
          <w:rtl/>
        </w:rPr>
        <w:instrText xml:space="preserve">  \* </w:instrText>
      </w:r>
      <w:r w:rsidRPr="00407CF9">
        <w:rPr>
          <w:rStyle w:val="afffffffff9"/>
          <w:rFonts w:ascii="David" w:eastAsiaTheme="minorEastAsia" w:hAnsi="David" w:cs="David"/>
          <w:b/>
          <w:bCs/>
          <w:color w:val="auto"/>
          <w:sz w:val="16"/>
          <w:szCs w:val="16"/>
        </w:rPr>
        <w:instrText>MERGEFORMAT</w:instrText>
      </w:r>
      <w:r w:rsidRPr="00407CF9">
        <w:rPr>
          <w:rStyle w:val="afffffffff9"/>
          <w:rFonts w:ascii="David" w:eastAsiaTheme="minorEastAsia" w:hAnsi="David" w:cs="David"/>
          <w:b/>
          <w:bCs/>
          <w:color w:val="auto"/>
          <w:sz w:val="16"/>
          <w:szCs w:val="16"/>
          <w:rtl/>
        </w:rPr>
        <w:instrText xml:space="preserve"> </w:instrText>
      </w:r>
      <w:r w:rsidRPr="00407CF9">
        <w:rPr>
          <w:rStyle w:val="afffffffff9"/>
          <w:rFonts w:ascii="David" w:eastAsiaTheme="minorEastAsia" w:hAnsi="David" w:cs="David"/>
          <w:b/>
          <w:bCs/>
          <w:color w:val="auto"/>
          <w:sz w:val="16"/>
          <w:szCs w:val="16"/>
          <w:rtl/>
        </w:rPr>
      </w:r>
      <w:r w:rsidRPr="00407CF9">
        <w:rPr>
          <w:rStyle w:val="afffffffff9"/>
          <w:rFonts w:ascii="David" w:eastAsiaTheme="minorEastAsia" w:hAnsi="David" w:cs="David"/>
          <w:b/>
          <w:bCs/>
          <w:color w:val="auto"/>
          <w:sz w:val="16"/>
          <w:szCs w:val="16"/>
          <w:rtl/>
        </w:rPr>
        <w:fldChar w:fldCharType="separate"/>
      </w:r>
      <w:r w:rsidR="00D82181">
        <w:rPr>
          <w:rStyle w:val="afffffffff9"/>
          <w:rFonts w:ascii="David" w:eastAsiaTheme="minorEastAsia" w:hAnsi="David" w:cs="David"/>
          <w:b/>
          <w:bCs/>
          <w:color w:val="auto"/>
          <w:sz w:val="16"/>
          <w:szCs w:val="16"/>
          <w:cs/>
        </w:rPr>
        <w:t>‎</w:t>
      </w:r>
      <w:r w:rsidR="00D82181">
        <w:rPr>
          <w:rStyle w:val="afffffffff9"/>
          <w:rFonts w:ascii="David" w:eastAsiaTheme="minorEastAsia" w:hAnsi="David" w:cs="David"/>
          <w:b/>
          <w:bCs/>
          <w:color w:val="auto"/>
          <w:sz w:val="16"/>
          <w:szCs w:val="16"/>
          <w:rtl/>
        </w:rPr>
        <w:t>לג)</w:t>
      </w:r>
      <w:r w:rsidRPr="00407CF9">
        <w:rPr>
          <w:rStyle w:val="afffffffff9"/>
          <w:rFonts w:ascii="David" w:eastAsiaTheme="minorEastAsia" w:hAnsi="David" w:cs="David"/>
          <w:b/>
          <w:bCs/>
          <w:color w:val="auto"/>
          <w:sz w:val="16"/>
          <w:szCs w:val="16"/>
          <w:rtl/>
        </w:rPr>
        <w:fldChar w:fldCharType="end"/>
      </w:r>
      <w:r w:rsidRPr="00407CF9">
        <w:rPr>
          <w:rStyle w:val="afffffffff9"/>
          <w:rFonts w:ascii="David" w:eastAsiaTheme="minorEastAsia" w:hAnsi="David" w:cs="David" w:hint="cs"/>
          <w:b/>
          <w:bCs/>
          <w:color w:val="auto"/>
          <w:sz w:val="16"/>
          <w:szCs w:val="16"/>
          <w:rtl/>
        </w:rPr>
        <w:t xml:space="preserve"> </w:t>
      </w:r>
      <w:r w:rsidRPr="00D72FFC">
        <w:rPr>
          <w:rStyle w:val="afffffffff9"/>
          <w:rFonts w:ascii="David" w:eastAsiaTheme="minorEastAsia" w:hAnsi="David" w:cs="David" w:hint="cs"/>
          <w:color w:val="auto"/>
          <w:sz w:val="16"/>
          <w:szCs w:val="16"/>
          <w:rtl/>
        </w:rPr>
        <w:t>רמב"ם</w:t>
      </w:r>
      <w:r w:rsidRPr="00D72FFC">
        <w:rPr>
          <w:rFonts w:hint="cs"/>
          <w:rtl/>
        </w:rPr>
        <w:t xml:space="preserve"> </w:t>
      </w:r>
      <w:r w:rsidRPr="00407CF9">
        <w:rPr>
          <w:rStyle w:val="afffffffff3"/>
          <w:rFonts w:hint="cs"/>
          <w:rtl/>
        </w:rPr>
        <w:t>(שבת פ"י הי"ד)</w:t>
      </w:r>
      <w:r>
        <w:rPr>
          <w:rtl/>
        </w:rPr>
        <w:t>,</w:t>
      </w:r>
      <w:r w:rsidRPr="00407CF9">
        <w:rPr>
          <w:rStyle w:val="afffffffff9"/>
          <w:rFonts w:ascii="David" w:eastAsiaTheme="minorEastAsia" w:hAnsi="David" w:cs="David" w:hint="cs"/>
          <w:b/>
          <w:bCs/>
          <w:color w:val="auto"/>
          <w:sz w:val="16"/>
          <w:szCs w:val="16"/>
          <w:rtl/>
        </w:rPr>
        <w:t xml:space="preserve"> </w:t>
      </w:r>
      <w:r w:rsidRPr="00407CF9">
        <w:rPr>
          <w:rStyle w:val="afffffffff9"/>
          <w:rFonts w:ascii="David" w:eastAsiaTheme="minorEastAsia" w:hAnsi="David" w:cs="David"/>
          <w:b/>
          <w:bCs/>
          <w:color w:val="auto"/>
          <w:sz w:val="16"/>
          <w:szCs w:val="16"/>
          <w:rtl/>
        </w:rPr>
        <w:fldChar w:fldCharType="begin"/>
      </w:r>
      <w:r w:rsidRPr="00407CF9">
        <w:rPr>
          <w:rStyle w:val="afffffffff9"/>
          <w:rFonts w:ascii="David" w:eastAsiaTheme="minorEastAsia" w:hAnsi="David" w:cs="David"/>
          <w:b/>
          <w:bCs/>
          <w:color w:val="auto"/>
          <w:sz w:val="16"/>
          <w:szCs w:val="16"/>
          <w:rtl/>
        </w:rPr>
        <w:instrText xml:space="preserve"> </w:instrText>
      </w:r>
      <w:r w:rsidRPr="00407CF9">
        <w:rPr>
          <w:rStyle w:val="afffffffff9"/>
          <w:rFonts w:ascii="David" w:eastAsiaTheme="minorEastAsia" w:hAnsi="David" w:cs="David" w:hint="cs"/>
          <w:b/>
          <w:bCs/>
          <w:color w:val="auto"/>
          <w:sz w:val="16"/>
          <w:szCs w:val="16"/>
        </w:rPr>
        <w:instrText>REF</w:instrText>
      </w:r>
      <w:r w:rsidRPr="00407CF9">
        <w:rPr>
          <w:rStyle w:val="afffffffff9"/>
          <w:rFonts w:ascii="David" w:eastAsiaTheme="minorEastAsia" w:hAnsi="David" w:cs="David" w:hint="cs"/>
          <w:b/>
          <w:bCs/>
          <w:color w:val="auto"/>
          <w:sz w:val="16"/>
          <w:szCs w:val="16"/>
          <w:rtl/>
        </w:rPr>
        <w:instrText xml:space="preserve"> _</w:instrText>
      </w:r>
      <w:r w:rsidRPr="00407CF9">
        <w:rPr>
          <w:rStyle w:val="afffffffff9"/>
          <w:rFonts w:ascii="David" w:eastAsiaTheme="minorEastAsia" w:hAnsi="David" w:cs="David" w:hint="cs"/>
          <w:b/>
          <w:bCs/>
          <w:color w:val="auto"/>
          <w:sz w:val="16"/>
          <w:szCs w:val="16"/>
        </w:rPr>
        <w:instrText>Ref144117248 \r \h</w:instrText>
      </w:r>
      <w:r w:rsidRPr="00407CF9">
        <w:rPr>
          <w:rStyle w:val="afffffffff9"/>
          <w:rFonts w:ascii="David" w:eastAsiaTheme="minorEastAsia" w:hAnsi="David" w:cs="David"/>
          <w:b/>
          <w:bCs/>
          <w:color w:val="auto"/>
          <w:sz w:val="16"/>
          <w:szCs w:val="16"/>
          <w:rtl/>
        </w:rPr>
        <w:instrText xml:space="preserve">  \* </w:instrText>
      </w:r>
      <w:r w:rsidRPr="00407CF9">
        <w:rPr>
          <w:rStyle w:val="afffffffff9"/>
          <w:rFonts w:ascii="David" w:eastAsiaTheme="minorEastAsia" w:hAnsi="David" w:cs="David"/>
          <w:b/>
          <w:bCs/>
          <w:color w:val="auto"/>
          <w:sz w:val="16"/>
          <w:szCs w:val="16"/>
        </w:rPr>
        <w:instrText>MERGEFORMAT</w:instrText>
      </w:r>
      <w:r w:rsidRPr="00407CF9">
        <w:rPr>
          <w:rStyle w:val="afffffffff9"/>
          <w:rFonts w:ascii="David" w:eastAsiaTheme="minorEastAsia" w:hAnsi="David" w:cs="David"/>
          <w:b/>
          <w:bCs/>
          <w:color w:val="auto"/>
          <w:sz w:val="16"/>
          <w:szCs w:val="16"/>
          <w:rtl/>
        </w:rPr>
        <w:instrText xml:space="preserve"> </w:instrText>
      </w:r>
      <w:r w:rsidRPr="00407CF9">
        <w:rPr>
          <w:rStyle w:val="afffffffff9"/>
          <w:rFonts w:ascii="David" w:eastAsiaTheme="minorEastAsia" w:hAnsi="David" w:cs="David"/>
          <w:b/>
          <w:bCs/>
          <w:color w:val="auto"/>
          <w:sz w:val="16"/>
          <w:szCs w:val="16"/>
          <w:rtl/>
        </w:rPr>
      </w:r>
      <w:r w:rsidRPr="00407CF9">
        <w:rPr>
          <w:rStyle w:val="afffffffff9"/>
          <w:rFonts w:ascii="David" w:eastAsiaTheme="minorEastAsia" w:hAnsi="David" w:cs="David"/>
          <w:b/>
          <w:bCs/>
          <w:color w:val="auto"/>
          <w:sz w:val="16"/>
          <w:szCs w:val="16"/>
          <w:rtl/>
        </w:rPr>
        <w:fldChar w:fldCharType="separate"/>
      </w:r>
      <w:r w:rsidR="00D82181">
        <w:rPr>
          <w:rStyle w:val="afffffffff9"/>
          <w:rFonts w:ascii="David" w:eastAsiaTheme="minorEastAsia" w:hAnsi="David" w:cs="David"/>
          <w:b/>
          <w:bCs/>
          <w:color w:val="auto"/>
          <w:sz w:val="16"/>
          <w:szCs w:val="16"/>
          <w:cs/>
        </w:rPr>
        <w:t>‎</w:t>
      </w:r>
      <w:r w:rsidR="00D82181">
        <w:rPr>
          <w:rStyle w:val="afffffffff9"/>
          <w:rFonts w:ascii="David" w:eastAsiaTheme="minorEastAsia" w:hAnsi="David" w:cs="David"/>
          <w:b/>
          <w:bCs/>
          <w:color w:val="auto"/>
          <w:sz w:val="16"/>
          <w:szCs w:val="16"/>
          <w:rtl/>
        </w:rPr>
        <w:t>לד)</w:t>
      </w:r>
      <w:r w:rsidRPr="00407CF9">
        <w:rPr>
          <w:rStyle w:val="afffffffff9"/>
          <w:rFonts w:ascii="David" w:eastAsiaTheme="minorEastAsia" w:hAnsi="David" w:cs="David"/>
          <w:b/>
          <w:bCs/>
          <w:color w:val="auto"/>
          <w:sz w:val="16"/>
          <w:szCs w:val="16"/>
          <w:rtl/>
        </w:rPr>
        <w:fldChar w:fldCharType="end"/>
      </w:r>
      <w:r w:rsidRPr="00407CF9">
        <w:rPr>
          <w:rStyle w:val="afffffffff9"/>
          <w:rFonts w:ascii="David" w:eastAsiaTheme="minorEastAsia" w:hAnsi="David" w:cs="David" w:hint="cs"/>
          <w:b/>
          <w:bCs/>
          <w:color w:val="auto"/>
          <w:sz w:val="16"/>
          <w:szCs w:val="16"/>
          <w:rtl/>
        </w:rPr>
        <w:t xml:space="preserve"> </w:t>
      </w:r>
      <w:r w:rsidRPr="00D72FFC">
        <w:rPr>
          <w:rStyle w:val="afffffffff9"/>
          <w:rFonts w:ascii="David" w:eastAsiaTheme="minorEastAsia" w:hAnsi="David" w:cs="David" w:hint="cs"/>
          <w:color w:val="auto"/>
          <w:sz w:val="16"/>
          <w:szCs w:val="16"/>
          <w:rtl/>
        </w:rPr>
        <w:t>כס"מ</w:t>
      </w:r>
      <w:r w:rsidRPr="00D72FFC">
        <w:rPr>
          <w:rFonts w:hint="cs"/>
          <w:rtl/>
        </w:rPr>
        <w:t xml:space="preserve"> </w:t>
      </w:r>
      <w:r w:rsidRPr="00407CF9">
        <w:rPr>
          <w:rStyle w:val="afffffffff3"/>
          <w:rFonts w:hint="cs"/>
          <w:rtl/>
        </w:rPr>
        <w:t>(שבת פ"י הי"ד)</w:t>
      </w:r>
      <w:r>
        <w:rPr>
          <w:rtl/>
        </w:rPr>
        <w:t xml:space="preserve"> </w:t>
      </w:r>
      <w:r w:rsidRPr="00D72FFC">
        <w:rPr>
          <w:rStyle w:val="afffffffff9"/>
          <w:rFonts w:ascii="David" w:eastAsiaTheme="minorEastAsia" w:hAnsi="David" w:cs="David" w:hint="cs"/>
          <w:color w:val="auto"/>
          <w:sz w:val="16"/>
          <w:szCs w:val="16"/>
          <w:rtl/>
        </w:rPr>
        <w:t>לח"מ</w:t>
      </w:r>
      <w:r w:rsidRPr="00D72FFC">
        <w:rPr>
          <w:rFonts w:hint="cs"/>
          <w:rtl/>
        </w:rPr>
        <w:t xml:space="preserve"> </w:t>
      </w:r>
      <w:r w:rsidRPr="00407CF9">
        <w:rPr>
          <w:rStyle w:val="afffffffff3"/>
          <w:rFonts w:hint="cs"/>
          <w:rtl/>
        </w:rPr>
        <w:t>(שבת פ"י הי"ד)</w:t>
      </w:r>
      <w:r>
        <w:rPr>
          <w:rtl/>
        </w:rPr>
        <w:t xml:space="preserve"> </w:t>
      </w:r>
      <w:r w:rsidRPr="00D72FFC">
        <w:rPr>
          <w:rStyle w:val="afffffffff9"/>
          <w:rFonts w:ascii="David" w:eastAsiaTheme="minorEastAsia" w:hAnsi="David" w:cs="David" w:hint="cs"/>
          <w:color w:val="auto"/>
          <w:sz w:val="16"/>
          <w:szCs w:val="16"/>
          <w:rtl/>
        </w:rPr>
        <w:t>רמב"ם</w:t>
      </w:r>
      <w:r w:rsidRPr="00D72FFC">
        <w:rPr>
          <w:rFonts w:hint="cs"/>
          <w:rtl/>
        </w:rPr>
        <w:t xml:space="preserve"> </w:t>
      </w:r>
      <w:r w:rsidRPr="00407CF9">
        <w:rPr>
          <w:rStyle w:val="afffffffff3"/>
          <w:rFonts w:hint="cs"/>
          <w:rtl/>
        </w:rPr>
        <w:t>(שבת פ"י הי"ד)</w:t>
      </w:r>
      <w:r>
        <w:rPr>
          <w:rtl/>
        </w:rPr>
        <w:t xml:space="preserve"> </w:t>
      </w:r>
      <w:r w:rsidRPr="00D72FFC">
        <w:rPr>
          <w:rStyle w:val="afffffffff9"/>
          <w:rFonts w:ascii="David" w:eastAsiaTheme="minorEastAsia" w:hAnsi="David" w:cs="David" w:hint="cs"/>
          <w:color w:val="auto"/>
          <w:sz w:val="16"/>
          <w:szCs w:val="16"/>
          <w:rtl/>
        </w:rPr>
        <w:t>רמב"ם</w:t>
      </w:r>
      <w:r w:rsidRPr="00D72FFC">
        <w:rPr>
          <w:rFonts w:hint="cs"/>
          <w:rtl/>
        </w:rPr>
        <w:t xml:space="preserve"> </w:t>
      </w:r>
      <w:r w:rsidRPr="00407CF9">
        <w:rPr>
          <w:rStyle w:val="afffffffff3"/>
          <w:rFonts w:hint="cs"/>
          <w:rtl/>
        </w:rPr>
        <w:t>(שבת פכ"ג ה"א)</w:t>
      </w:r>
      <w:r>
        <w:rPr>
          <w:rtl/>
        </w:rPr>
        <w:t xml:space="preserve"> </w:t>
      </w:r>
      <w:r w:rsidRPr="00D72FFC">
        <w:rPr>
          <w:rStyle w:val="afffffffff9"/>
          <w:rFonts w:ascii="David" w:eastAsiaTheme="minorEastAsia" w:hAnsi="David" w:cs="David"/>
          <w:color w:val="auto"/>
          <w:sz w:val="16"/>
          <w:szCs w:val="16"/>
          <w:rtl/>
        </w:rPr>
        <w:t>אבן האזל</w:t>
      </w:r>
      <w:r w:rsidRPr="00D72FFC">
        <w:rPr>
          <w:rtl/>
        </w:rPr>
        <w:t xml:space="preserve"> </w:t>
      </w:r>
      <w:r w:rsidRPr="00407CF9">
        <w:rPr>
          <w:rStyle w:val="afffffffff3"/>
          <w:rFonts w:hint="cs"/>
          <w:rtl/>
        </w:rPr>
        <w:t xml:space="preserve">(עי' אות </w:t>
      </w:r>
      <w:r w:rsidRPr="00407CF9">
        <w:rPr>
          <w:rStyle w:val="afffffffff3"/>
          <w:rtl/>
        </w:rPr>
        <w:fldChar w:fldCharType="begin"/>
      </w:r>
      <w:r w:rsidRPr="00407CF9">
        <w:rPr>
          <w:rStyle w:val="afffffffff3"/>
          <w:rtl/>
        </w:rPr>
        <w:instrText xml:space="preserve"> </w:instrText>
      </w:r>
      <w:r w:rsidRPr="00407CF9">
        <w:rPr>
          <w:rStyle w:val="afffffffff3"/>
          <w:rFonts w:hint="cs"/>
        </w:rPr>
        <w:instrText>REF</w:instrText>
      </w:r>
      <w:r w:rsidRPr="00407CF9">
        <w:rPr>
          <w:rStyle w:val="afffffffff3"/>
          <w:rFonts w:hint="cs"/>
          <w:rtl/>
        </w:rPr>
        <w:instrText xml:space="preserve"> _</w:instrText>
      </w:r>
      <w:r w:rsidRPr="00407CF9">
        <w:rPr>
          <w:rStyle w:val="afffffffff3"/>
          <w:rFonts w:hint="cs"/>
        </w:rPr>
        <w:instrText>Ref144200709 \r \h</w:instrText>
      </w:r>
      <w:r w:rsidRPr="00407CF9">
        <w:rPr>
          <w:rStyle w:val="afffffffff3"/>
          <w:rtl/>
        </w:rPr>
        <w:instrText xml:space="preserve">  \* </w:instrText>
      </w:r>
      <w:r w:rsidRPr="00407CF9">
        <w:rPr>
          <w:rStyle w:val="afffffffff3"/>
        </w:rPr>
        <w:instrText>MERGEFORMAT</w:instrText>
      </w:r>
      <w:r w:rsidRPr="00407CF9">
        <w:rPr>
          <w:rStyle w:val="afffffffff3"/>
          <w:rtl/>
        </w:rPr>
        <w:instrText xml:space="preserve"> </w:instrText>
      </w:r>
      <w:r w:rsidRPr="00407CF9">
        <w:rPr>
          <w:rStyle w:val="afffffffff3"/>
          <w:rtl/>
        </w:rPr>
      </w:r>
      <w:r w:rsidRPr="00407CF9">
        <w:rPr>
          <w:rStyle w:val="afffffffff3"/>
          <w:rtl/>
        </w:rPr>
        <w:fldChar w:fldCharType="separate"/>
      </w:r>
      <w:r w:rsidR="00D82181">
        <w:rPr>
          <w:rStyle w:val="afffffffff3"/>
          <w:cs/>
        </w:rPr>
        <w:t>‎</w:t>
      </w:r>
      <w:r w:rsidR="00D82181">
        <w:rPr>
          <w:rStyle w:val="afffffffff3"/>
          <w:rtl/>
        </w:rPr>
        <w:t>סג)</w:t>
      </w:r>
      <w:r w:rsidRPr="00407CF9">
        <w:rPr>
          <w:rStyle w:val="afffffffff3"/>
          <w:rtl/>
        </w:rPr>
        <w:fldChar w:fldCharType="end"/>
      </w:r>
      <w:r>
        <w:rPr>
          <w:rStyle w:val="afffffffff9"/>
          <w:rFonts w:ascii="David" w:eastAsiaTheme="minorEastAsia" w:hAnsi="David" w:cs="David" w:hint="cs"/>
          <w:b/>
          <w:bCs/>
          <w:color w:val="auto"/>
          <w:sz w:val="16"/>
          <w:szCs w:val="16"/>
          <w:rtl/>
        </w:rPr>
        <w:t xml:space="preserve">, </w:t>
      </w:r>
      <w:r w:rsidRPr="00407CF9">
        <w:rPr>
          <w:rStyle w:val="afffffffff9"/>
          <w:rFonts w:ascii="David" w:eastAsiaTheme="minorEastAsia" w:hAnsi="David" w:cs="David"/>
          <w:b/>
          <w:bCs/>
          <w:color w:val="auto"/>
          <w:sz w:val="16"/>
          <w:szCs w:val="16"/>
          <w:rtl/>
        </w:rPr>
        <w:fldChar w:fldCharType="begin"/>
      </w:r>
      <w:r w:rsidRPr="00407CF9">
        <w:rPr>
          <w:rStyle w:val="afffffffff9"/>
          <w:rFonts w:ascii="David" w:eastAsiaTheme="minorEastAsia" w:hAnsi="David" w:cs="David"/>
          <w:b/>
          <w:bCs/>
          <w:color w:val="auto"/>
          <w:sz w:val="16"/>
          <w:szCs w:val="16"/>
          <w:rtl/>
        </w:rPr>
        <w:instrText xml:space="preserve"> </w:instrText>
      </w:r>
      <w:r w:rsidRPr="00407CF9">
        <w:rPr>
          <w:rStyle w:val="afffffffff9"/>
          <w:rFonts w:ascii="David" w:eastAsiaTheme="minorEastAsia" w:hAnsi="David" w:cs="David" w:hint="cs"/>
          <w:b/>
          <w:bCs/>
          <w:color w:val="auto"/>
          <w:sz w:val="16"/>
          <w:szCs w:val="16"/>
        </w:rPr>
        <w:instrText>REF</w:instrText>
      </w:r>
      <w:r w:rsidRPr="00407CF9">
        <w:rPr>
          <w:rStyle w:val="afffffffff9"/>
          <w:rFonts w:ascii="David" w:eastAsiaTheme="minorEastAsia" w:hAnsi="David" w:cs="David" w:hint="cs"/>
          <w:b/>
          <w:bCs/>
          <w:color w:val="auto"/>
          <w:sz w:val="16"/>
          <w:szCs w:val="16"/>
          <w:rtl/>
        </w:rPr>
        <w:instrText xml:space="preserve"> _</w:instrText>
      </w:r>
      <w:r w:rsidRPr="00407CF9">
        <w:rPr>
          <w:rStyle w:val="afffffffff9"/>
          <w:rFonts w:ascii="David" w:eastAsiaTheme="minorEastAsia" w:hAnsi="David" w:cs="David" w:hint="cs"/>
          <w:b/>
          <w:bCs/>
          <w:color w:val="auto"/>
          <w:sz w:val="16"/>
          <w:szCs w:val="16"/>
        </w:rPr>
        <w:instrText>Ref144117248 \r \h</w:instrText>
      </w:r>
      <w:r w:rsidRPr="00407CF9">
        <w:rPr>
          <w:rStyle w:val="afffffffff9"/>
          <w:rFonts w:ascii="David" w:eastAsiaTheme="minorEastAsia" w:hAnsi="David" w:cs="David"/>
          <w:b/>
          <w:bCs/>
          <w:color w:val="auto"/>
          <w:sz w:val="16"/>
          <w:szCs w:val="16"/>
          <w:rtl/>
        </w:rPr>
        <w:instrText xml:space="preserve">  \* </w:instrText>
      </w:r>
      <w:r w:rsidRPr="00407CF9">
        <w:rPr>
          <w:rStyle w:val="afffffffff9"/>
          <w:rFonts w:ascii="David" w:eastAsiaTheme="minorEastAsia" w:hAnsi="David" w:cs="David"/>
          <w:b/>
          <w:bCs/>
          <w:color w:val="auto"/>
          <w:sz w:val="16"/>
          <w:szCs w:val="16"/>
        </w:rPr>
        <w:instrText>MERGEFORMAT</w:instrText>
      </w:r>
      <w:r w:rsidRPr="00407CF9">
        <w:rPr>
          <w:rStyle w:val="afffffffff9"/>
          <w:rFonts w:ascii="David" w:eastAsiaTheme="minorEastAsia" w:hAnsi="David" w:cs="David"/>
          <w:b/>
          <w:bCs/>
          <w:color w:val="auto"/>
          <w:sz w:val="16"/>
          <w:szCs w:val="16"/>
          <w:rtl/>
        </w:rPr>
        <w:instrText xml:space="preserve"> </w:instrText>
      </w:r>
      <w:r w:rsidRPr="00407CF9">
        <w:rPr>
          <w:rStyle w:val="afffffffff9"/>
          <w:rFonts w:ascii="David" w:eastAsiaTheme="minorEastAsia" w:hAnsi="David" w:cs="David"/>
          <w:b/>
          <w:bCs/>
          <w:color w:val="auto"/>
          <w:sz w:val="16"/>
          <w:szCs w:val="16"/>
          <w:rtl/>
        </w:rPr>
      </w:r>
      <w:r w:rsidRPr="00407CF9">
        <w:rPr>
          <w:rStyle w:val="afffffffff9"/>
          <w:rFonts w:ascii="David" w:eastAsiaTheme="minorEastAsia" w:hAnsi="David" w:cs="David"/>
          <w:b/>
          <w:bCs/>
          <w:color w:val="auto"/>
          <w:sz w:val="16"/>
          <w:szCs w:val="16"/>
          <w:rtl/>
        </w:rPr>
        <w:fldChar w:fldCharType="separate"/>
      </w:r>
      <w:r w:rsidR="00D82181">
        <w:rPr>
          <w:rStyle w:val="afffffffff9"/>
          <w:rFonts w:ascii="David" w:eastAsiaTheme="minorEastAsia" w:hAnsi="David" w:cs="David"/>
          <w:b/>
          <w:bCs/>
          <w:color w:val="auto"/>
          <w:sz w:val="16"/>
          <w:szCs w:val="16"/>
          <w:cs/>
        </w:rPr>
        <w:t>‎</w:t>
      </w:r>
      <w:r w:rsidR="00D82181">
        <w:rPr>
          <w:rStyle w:val="afffffffff9"/>
          <w:rFonts w:ascii="David" w:eastAsiaTheme="minorEastAsia" w:hAnsi="David" w:cs="David"/>
          <w:b/>
          <w:bCs/>
          <w:color w:val="auto"/>
          <w:sz w:val="16"/>
          <w:szCs w:val="16"/>
          <w:rtl/>
        </w:rPr>
        <w:t>לד)</w:t>
      </w:r>
      <w:r w:rsidRPr="00407CF9">
        <w:rPr>
          <w:rStyle w:val="afffffffff9"/>
          <w:rFonts w:ascii="David" w:eastAsiaTheme="minorEastAsia" w:hAnsi="David" w:cs="David"/>
          <w:b/>
          <w:bCs/>
          <w:color w:val="auto"/>
          <w:sz w:val="16"/>
          <w:szCs w:val="16"/>
          <w:rtl/>
        </w:rPr>
        <w:fldChar w:fldCharType="end"/>
      </w:r>
      <w:r w:rsidRPr="00407CF9">
        <w:rPr>
          <w:rStyle w:val="afffffffff9"/>
          <w:rFonts w:ascii="David" w:eastAsiaTheme="minorEastAsia" w:hAnsi="David" w:cs="David" w:hint="cs"/>
          <w:b/>
          <w:bCs/>
          <w:color w:val="auto"/>
          <w:sz w:val="16"/>
          <w:szCs w:val="16"/>
          <w:rtl/>
        </w:rPr>
        <w:t xml:space="preserve"> </w:t>
      </w:r>
      <w:r w:rsidRPr="00D72FFC">
        <w:rPr>
          <w:rFonts w:hint="cs"/>
          <w:rtl/>
        </w:rPr>
        <w:t>מנחת חינוך</w:t>
      </w:r>
      <w:r w:rsidRPr="00D72FFC">
        <w:rPr>
          <w:rtl/>
        </w:rPr>
        <w:t xml:space="preserve"> </w:t>
      </w:r>
      <w:r w:rsidRPr="00407CF9">
        <w:rPr>
          <w:rStyle w:val="afffffffff3"/>
          <w:rtl/>
        </w:rPr>
        <w:t>(</w:t>
      </w:r>
      <w:r w:rsidRPr="00407CF9">
        <w:rPr>
          <w:rStyle w:val="afffffffff3"/>
          <w:rFonts w:hint="cs"/>
          <w:rtl/>
        </w:rPr>
        <w:t>מוסך השבת הבונה אות ד'</w:t>
      </w:r>
      <w:r w:rsidRPr="00407CF9">
        <w:rPr>
          <w:rStyle w:val="afffffffff3"/>
          <w:rtl/>
        </w:rPr>
        <w:t>)</w:t>
      </w:r>
      <w:r>
        <w:rPr>
          <w:rtl/>
        </w:rPr>
        <w:t xml:space="preserve"> </w:t>
      </w:r>
      <w:r w:rsidRPr="00D72FFC">
        <w:rPr>
          <w:rFonts w:hint="cs"/>
          <w:rtl/>
        </w:rPr>
        <w:t>הגר"א בשנות אליהו</w:t>
      </w:r>
      <w:r w:rsidRPr="00D72FFC">
        <w:rPr>
          <w:rtl/>
        </w:rPr>
        <w:t xml:space="preserve"> </w:t>
      </w:r>
      <w:r w:rsidRPr="00407CF9">
        <w:rPr>
          <w:rStyle w:val="afffffffff3"/>
          <w:rtl/>
        </w:rPr>
        <w:t>(</w:t>
      </w:r>
      <w:r w:rsidRPr="00407CF9">
        <w:rPr>
          <w:rStyle w:val="afffffffff3"/>
          <w:rFonts w:hint="cs"/>
          <w:rtl/>
        </w:rPr>
        <w:t>פי"ב מ"א ד"ה הקודח</w:t>
      </w:r>
      <w:r w:rsidRPr="00407CF9">
        <w:rPr>
          <w:rStyle w:val="afffffffff3"/>
          <w:rtl/>
        </w:rPr>
        <w:t>)</w:t>
      </w:r>
      <w:r>
        <w:rPr>
          <w:rtl/>
        </w:rPr>
        <w:t xml:space="preserve"> </w:t>
      </w:r>
      <w:r w:rsidRPr="00D72FFC">
        <w:rPr>
          <w:rStyle w:val="afffffffff9"/>
          <w:rFonts w:ascii="David" w:eastAsiaTheme="minorEastAsia" w:hAnsi="David" w:cs="David"/>
          <w:color w:val="auto"/>
          <w:sz w:val="16"/>
          <w:szCs w:val="16"/>
          <w:rtl/>
        </w:rPr>
        <w:t>אבן האזל</w:t>
      </w:r>
      <w:r w:rsidRPr="00D72FFC">
        <w:rPr>
          <w:rtl/>
        </w:rPr>
        <w:t xml:space="preserve"> </w:t>
      </w:r>
      <w:r w:rsidRPr="00407CF9">
        <w:rPr>
          <w:rStyle w:val="afffffffff3"/>
          <w:rFonts w:hint="cs"/>
          <w:rtl/>
        </w:rPr>
        <w:t xml:space="preserve">(עי' אות </w:t>
      </w:r>
      <w:r w:rsidRPr="00407CF9">
        <w:rPr>
          <w:rStyle w:val="afffffffff3"/>
          <w:rtl/>
        </w:rPr>
        <w:fldChar w:fldCharType="begin"/>
      </w:r>
      <w:r w:rsidRPr="00407CF9">
        <w:rPr>
          <w:rStyle w:val="afffffffff3"/>
          <w:rtl/>
        </w:rPr>
        <w:instrText xml:space="preserve"> </w:instrText>
      </w:r>
      <w:r w:rsidRPr="00407CF9">
        <w:rPr>
          <w:rStyle w:val="afffffffff3"/>
          <w:rFonts w:hint="cs"/>
        </w:rPr>
        <w:instrText>REF</w:instrText>
      </w:r>
      <w:r w:rsidRPr="00407CF9">
        <w:rPr>
          <w:rStyle w:val="afffffffff3"/>
          <w:rFonts w:hint="cs"/>
          <w:rtl/>
        </w:rPr>
        <w:instrText xml:space="preserve"> _</w:instrText>
      </w:r>
      <w:r w:rsidRPr="00407CF9">
        <w:rPr>
          <w:rStyle w:val="afffffffff3"/>
          <w:rFonts w:hint="cs"/>
        </w:rPr>
        <w:instrText>Ref144222265 \r \h</w:instrText>
      </w:r>
      <w:r w:rsidRPr="00407CF9">
        <w:rPr>
          <w:rStyle w:val="afffffffff3"/>
          <w:rtl/>
        </w:rPr>
        <w:instrText xml:space="preserve">  \* </w:instrText>
      </w:r>
      <w:r w:rsidRPr="00407CF9">
        <w:rPr>
          <w:rStyle w:val="afffffffff3"/>
        </w:rPr>
        <w:instrText>MERGEFORMAT</w:instrText>
      </w:r>
      <w:r w:rsidRPr="00407CF9">
        <w:rPr>
          <w:rStyle w:val="afffffffff3"/>
          <w:rtl/>
        </w:rPr>
        <w:instrText xml:space="preserve"> </w:instrText>
      </w:r>
      <w:r w:rsidRPr="00407CF9">
        <w:rPr>
          <w:rStyle w:val="afffffffff3"/>
          <w:rtl/>
        </w:rPr>
      </w:r>
      <w:r w:rsidRPr="00407CF9">
        <w:rPr>
          <w:rStyle w:val="afffffffff3"/>
          <w:rtl/>
        </w:rPr>
        <w:fldChar w:fldCharType="separate"/>
      </w:r>
      <w:r w:rsidR="00D82181">
        <w:rPr>
          <w:rStyle w:val="afffffffff3"/>
          <w:cs/>
        </w:rPr>
        <w:t>‎</w:t>
      </w:r>
      <w:r w:rsidR="00D82181">
        <w:rPr>
          <w:rStyle w:val="afffffffff3"/>
          <w:rtl/>
        </w:rPr>
        <w:t>סב)</w:t>
      </w:r>
      <w:r w:rsidRPr="00407CF9">
        <w:rPr>
          <w:rStyle w:val="afffffffff3"/>
          <w:rtl/>
        </w:rPr>
        <w:fldChar w:fldCharType="end"/>
      </w:r>
      <w:r>
        <w:rPr>
          <w:rtl/>
        </w:rPr>
        <w:t>,</w:t>
      </w:r>
      <w:r w:rsidRPr="00407CF9">
        <w:rPr>
          <w:b/>
          <w:bCs/>
          <w:rtl/>
        </w:rPr>
        <w:t xml:space="preserve"> </w:t>
      </w:r>
      <w:r w:rsidRPr="00407CF9">
        <w:rPr>
          <w:b/>
          <w:bCs/>
          <w:rtl/>
        </w:rPr>
        <w:fldChar w:fldCharType="begin"/>
      </w:r>
      <w:r w:rsidRPr="00407CF9">
        <w:rPr>
          <w:b/>
          <w:bCs/>
          <w:rtl/>
        </w:rPr>
        <w:instrText xml:space="preserve"> </w:instrText>
      </w:r>
      <w:r w:rsidRPr="00407CF9">
        <w:rPr>
          <w:b/>
          <w:bCs/>
        </w:rPr>
        <w:instrText>REF</w:instrText>
      </w:r>
      <w:r w:rsidRPr="00407CF9">
        <w:rPr>
          <w:b/>
          <w:bCs/>
          <w:rtl/>
        </w:rPr>
        <w:instrText xml:space="preserve"> _</w:instrText>
      </w:r>
      <w:r w:rsidRPr="00407CF9">
        <w:rPr>
          <w:b/>
          <w:bCs/>
        </w:rPr>
        <w:instrText>Ref144117260 \r \h</w:instrText>
      </w:r>
      <w:r w:rsidRPr="00407CF9">
        <w:rPr>
          <w:b/>
          <w:bCs/>
          <w:rtl/>
        </w:rPr>
        <w:instrText xml:space="preserve">  \* </w:instrText>
      </w:r>
      <w:r w:rsidRPr="00407CF9">
        <w:rPr>
          <w:b/>
          <w:bCs/>
        </w:rPr>
        <w:instrText>MERGEFORMAT</w:instrText>
      </w:r>
      <w:r w:rsidRPr="00407CF9">
        <w:rPr>
          <w:b/>
          <w:bCs/>
          <w:rtl/>
        </w:rPr>
        <w:instrText xml:space="preserve"> </w:instrText>
      </w:r>
      <w:r w:rsidRPr="00407CF9">
        <w:rPr>
          <w:b/>
          <w:bCs/>
          <w:rtl/>
        </w:rPr>
      </w:r>
      <w:r w:rsidRPr="00407CF9">
        <w:rPr>
          <w:b/>
          <w:bCs/>
          <w:rtl/>
        </w:rPr>
        <w:fldChar w:fldCharType="separate"/>
      </w:r>
      <w:r w:rsidR="00D82181">
        <w:rPr>
          <w:b/>
          <w:bCs/>
          <w:cs/>
        </w:rPr>
        <w:t>‎</w:t>
      </w:r>
      <w:r w:rsidR="00D82181">
        <w:rPr>
          <w:b/>
          <w:bCs/>
          <w:rtl/>
        </w:rPr>
        <w:t>לו)</w:t>
      </w:r>
      <w:r w:rsidRPr="00407CF9">
        <w:rPr>
          <w:b/>
          <w:bCs/>
          <w:rtl/>
        </w:rPr>
        <w:fldChar w:fldCharType="end"/>
      </w:r>
      <w:r w:rsidRPr="00407CF9">
        <w:rPr>
          <w:b/>
          <w:bCs/>
          <w:rtl/>
        </w:rPr>
        <w:t xml:space="preserve"> </w:t>
      </w:r>
      <w:r w:rsidRPr="00D72FFC">
        <w:rPr>
          <w:rFonts w:hint="cs"/>
          <w:rtl/>
        </w:rPr>
        <w:t>מרכבת המשנה</w:t>
      </w:r>
      <w:r w:rsidRPr="00D72FFC">
        <w:rPr>
          <w:rtl/>
        </w:rPr>
        <w:t xml:space="preserve"> </w:t>
      </w:r>
      <w:r w:rsidRPr="00407CF9">
        <w:rPr>
          <w:rStyle w:val="afffffffff3"/>
          <w:rtl/>
        </w:rPr>
        <w:t>(</w:t>
      </w:r>
      <w:r w:rsidRPr="00407CF9">
        <w:rPr>
          <w:rStyle w:val="afffffffff3"/>
          <w:rFonts w:hint="cs"/>
          <w:rtl/>
        </w:rPr>
        <w:t>שבת פ"י הי"ד</w:t>
      </w:r>
      <w:r w:rsidRPr="00407CF9">
        <w:rPr>
          <w:rStyle w:val="afffffffff3"/>
          <w:rtl/>
        </w:rPr>
        <w:t>)</w:t>
      </w:r>
      <w:r>
        <w:rPr>
          <w:rtl/>
        </w:rPr>
        <w:t xml:space="preserve"> </w:t>
      </w:r>
      <w:r w:rsidRPr="00D72FFC">
        <w:rPr>
          <w:rStyle w:val="afffffffff9"/>
          <w:rFonts w:ascii="David" w:eastAsiaTheme="minorEastAsia" w:hAnsi="David" w:cs="David" w:hint="cs"/>
          <w:color w:val="auto"/>
          <w:sz w:val="16"/>
          <w:szCs w:val="16"/>
          <w:rtl/>
        </w:rPr>
        <w:t>פר"ח בהג' מים חיים</w:t>
      </w:r>
      <w:r w:rsidRPr="00D72FFC">
        <w:rPr>
          <w:rFonts w:hint="cs"/>
          <w:rtl/>
        </w:rPr>
        <w:t xml:space="preserve"> </w:t>
      </w:r>
      <w:r w:rsidRPr="00407CF9">
        <w:rPr>
          <w:rStyle w:val="afffffffff3"/>
          <w:rFonts w:hint="cs"/>
          <w:rtl/>
        </w:rPr>
        <w:t>(שבת פ"י הי"ד, נד' בסוף הרמב"ם מהדו' פרנקל)</w:t>
      </w:r>
      <w:r>
        <w:rPr>
          <w:rtl/>
        </w:rPr>
        <w:t xml:space="preserve"> </w:t>
      </w:r>
      <w:r w:rsidRPr="00D72FFC">
        <w:rPr>
          <w:rFonts w:hint="cs"/>
          <w:rtl/>
        </w:rPr>
        <w:t>דברי מרדכי</w:t>
      </w:r>
      <w:r w:rsidRPr="00D72FFC">
        <w:rPr>
          <w:rtl/>
        </w:rPr>
        <w:t xml:space="preserve"> </w:t>
      </w:r>
      <w:r w:rsidRPr="00407CF9">
        <w:rPr>
          <w:rStyle w:val="afffffffff3"/>
          <w:rtl/>
        </w:rPr>
        <w:t>(</w:t>
      </w:r>
      <w:r w:rsidRPr="00407CF9">
        <w:rPr>
          <w:rStyle w:val="afffffffff3"/>
          <w:rFonts w:hint="cs"/>
          <w:rtl/>
        </w:rPr>
        <w:t>שבת סי' י"ב סק"ו</w:t>
      </w:r>
      <w:r w:rsidRPr="00407CF9">
        <w:rPr>
          <w:rStyle w:val="afffffffff3"/>
          <w:rtl/>
        </w:rPr>
        <w:t>)</w:t>
      </w:r>
      <w:r>
        <w:rPr>
          <w:rtl/>
        </w:rPr>
        <w:t>,</w:t>
      </w:r>
      <w:r w:rsidRPr="00407CF9">
        <w:rPr>
          <w:rStyle w:val="afffffffff9"/>
          <w:rFonts w:ascii="David" w:eastAsiaTheme="minorEastAsia" w:hAnsi="David" w:cs="David" w:hint="cs"/>
          <w:b/>
          <w:bCs/>
          <w:color w:val="auto"/>
          <w:sz w:val="16"/>
          <w:szCs w:val="16"/>
          <w:rtl/>
        </w:rPr>
        <w:t xml:space="preserve"> </w:t>
      </w:r>
      <w:r w:rsidRPr="00407CF9">
        <w:rPr>
          <w:rStyle w:val="afffffffff9"/>
          <w:rFonts w:ascii="David" w:eastAsiaTheme="minorEastAsia" w:hAnsi="David" w:cs="David"/>
          <w:b/>
          <w:bCs/>
          <w:color w:val="auto"/>
          <w:sz w:val="16"/>
          <w:szCs w:val="16"/>
          <w:rtl/>
        </w:rPr>
        <w:fldChar w:fldCharType="begin"/>
      </w:r>
      <w:r w:rsidRPr="00407CF9">
        <w:rPr>
          <w:rStyle w:val="afffffffff9"/>
          <w:rFonts w:ascii="David" w:eastAsiaTheme="minorEastAsia" w:hAnsi="David" w:cs="David"/>
          <w:b/>
          <w:bCs/>
          <w:color w:val="auto"/>
          <w:sz w:val="16"/>
          <w:szCs w:val="16"/>
          <w:rtl/>
        </w:rPr>
        <w:instrText xml:space="preserve"> </w:instrText>
      </w:r>
      <w:r w:rsidRPr="00407CF9">
        <w:rPr>
          <w:rStyle w:val="afffffffff9"/>
          <w:rFonts w:ascii="David" w:eastAsiaTheme="minorEastAsia" w:hAnsi="David" w:cs="David" w:hint="cs"/>
          <w:b/>
          <w:bCs/>
          <w:color w:val="auto"/>
          <w:sz w:val="16"/>
          <w:szCs w:val="16"/>
        </w:rPr>
        <w:instrText>REF</w:instrText>
      </w:r>
      <w:r w:rsidRPr="00407CF9">
        <w:rPr>
          <w:rStyle w:val="afffffffff9"/>
          <w:rFonts w:ascii="David" w:eastAsiaTheme="minorEastAsia" w:hAnsi="David" w:cs="David" w:hint="cs"/>
          <w:b/>
          <w:bCs/>
          <w:color w:val="auto"/>
          <w:sz w:val="16"/>
          <w:szCs w:val="16"/>
          <w:rtl/>
        </w:rPr>
        <w:instrText xml:space="preserve"> _</w:instrText>
      </w:r>
      <w:r w:rsidRPr="00407CF9">
        <w:rPr>
          <w:rStyle w:val="afffffffff9"/>
          <w:rFonts w:ascii="David" w:eastAsiaTheme="minorEastAsia" w:hAnsi="David" w:cs="David" w:hint="cs"/>
          <w:b/>
          <w:bCs/>
          <w:color w:val="auto"/>
          <w:sz w:val="16"/>
          <w:szCs w:val="16"/>
        </w:rPr>
        <w:instrText>Ref144117272 \r \h</w:instrText>
      </w:r>
      <w:r w:rsidRPr="00407CF9">
        <w:rPr>
          <w:rStyle w:val="afffffffff9"/>
          <w:rFonts w:ascii="David" w:eastAsiaTheme="minorEastAsia" w:hAnsi="David" w:cs="David"/>
          <w:b/>
          <w:bCs/>
          <w:color w:val="auto"/>
          <w:sz w:val="16"/>
          <w:szCs w:val="16"/>
          <w:rtl/>
        </w:rPr>
        <w:instrText xml:space="preserve">  \* </w:instrText>
      </w:r>
      <w:r w:rsidRPr="00407CF9">
        <w:rPr>
          <w:rStyle w:val="afffffffff9"/>
          <w:rFonts w:ascii="David" w:eastAsiaTheme="minorEastAsia" w:hAnsi="David" w:cs="David"/>
          <w:b/>
          <w:bCs/>
          <w:color w:val="auto"/>
          <w:sz w:val="16"/>
          <w:szCs w:val="16"/>
        </w:rPr>
        <w:instrText>MERGEFORMAT</w:instrText>
      </w:r>
      <w:r w:rsidRPr="00407CF9">
        <w:rPr>
          <w:rStyle w:val="afffffffff9"/>
          <w:rFonts w:ascii="David" w:eastAsiaTheme="minorEastAsia" w:hAnsi="David" w:cs="David"/>
          <w:b/>
          <w:bCs/>
          <w:color w:val="auto"/>
          <w:sz w:val="16"/>
          <w:szCs w:val="16"/>
          <w:rtl/>
        </w:rPr>
        <w:instrText xml:space="preserve"> </w:instrText>
      </w:r>
      <w:r w:rsidRPr="00407CF9">
        <w:rPr>
          <w:rStyle w:val="afffffffff9"/>
          <w:rFonts w:ascii="David" w:eastAsiaTheme="minorEastAsia" w:hAnsi="David" w:cs="David"/>
          <w:b/>
          <w:bCs/>
          <w:color w:val="auto"/>
          <w:sz w:val="16"/>
          <w:szCs w:val="16"/>
          <w:rtl/>
        </w:rPr>
      </w:r>
      <w:r w:rsidRPr="00407CF9">
        <w:rPr>
          <w:rStyle w:val="afffffffff9"/>
          <w:rFonts w:ascii="David" w:eastAsiaTheme="minorEastAsia" w:hAnsi="David" w:cs="David"/>
          <w:b/>
          <w:bCs/>
          <w:color w:val="auto"/>
          <w:sz w:val="16"/>
          <w:szCs w:val="16"/>
          <w:rtl/>
        </w:rPr>
        <w:fldChar w:fldCharType="separate"/>
      </w:r>
      <w:r w:rsidR="00D82181">
        <w:rPr>
          <w:rStyle w:val="afffffffff9"/>
          <w:rFonts w:ascii="David" w:eastAsiaTheme="minorEastAsia" w:hAnsi="David" w:cs="David"/>
          <w:b/>
          <w:bCs/>
          <w:color w:val="auto"/>
          <w:sz w:val="16"/>
          <w:szCs w:val="16"/>
          <w:cs/>
        </w:rPr>
        <w:t>‎</w:t>
      </w:r>
      <w:r w:rsidR="00D82181">
        <w:rPr>
          <w:rStyle w:val="afffffffff9"/>
          <w:rFonts w:ascii="David" w:eastAsiaTheme="minorEastAsia" w:hAnsi="David" w:cs="David"/>
          <w:b/>
          <w:bCs/>
          <w:color w:val="auto"/>
          <w:sz w:val="16"/>
          <w:szCs w:val="16"/>
          <w:rtl/>
        </w:rPr>
        <w:t>לז)</w:t>
      </w:r>
      <w:r w:rsidRPr="00407CF9">
        <w:rPr>
          <w:rStyle w:val="afffffffff9"/>
          <w:rFonts w:ascii="David" w:eastAsiaTheme="minorEastAsia" w:hAnsi="David" w:cs="David"/>
          <w:b/>
          <w:bCs/>
          <w:color w:val="auto"/>
          <w:sz w:val="16"/>
          <w:szCs w:val="16"/>
          <w:rtl/>
        </w:rPr>
        <w:fldChar w:fldCharType="end"/>
      </w:r>
      <w:r w:rsidRPr="00407CF9">
        <w:rPr>
          <w:rStyle w:val="afffffffff9"/>
          <w:rFonts w:ascii="David" w:eastAsiaTheme="minorEastAsia" w:hAnsi="David" w:cs="David" w:hint="cs"/>
          <w:b/>
          <w:bCs/>
          <w:color w:val="auto"/>
          <w:sz w:val="16"/>
          <w:szCs w:val="16"/>
          <w:rtl/>
        </w:rPr>
        <w:t xml:space="preserve"> </w:t>
      </w:r>
      <w:r w:rsidRPr="00D72FFC">
        <w:rPr>
          <w:rStyle w:val="afffffffff9"/>
          <w:rFonts w:ascii="David" w:eastAsiaTheme="minorEastAsia" w:hAnsi="David" w:cs="David" w:hint="cs"/>
          <w:color w:val="auto"/>
          <w:sz w:val="16"/>
          <w:szCs w:val="16"/>
          <w:rtl/>
        </w:rPr>
        <w:t>מג"א</w:t>
      </w:r>
      <w:r w:rsidRPr="00D72FFC">
        <w:rPr>
          <w:rFonts w:hint="cs"/>
          <w:rtl/>
        </w:rPr>
        <w:t xml:space="preserve"> </w:t>
      </w:r>
      <w:r w:rsidRPr="00407CF9">
        <w:rPr>
          <w:rStyle w:val="afffffffff3"/>
          <w:rFonts w:hint="cs"/>
          <w:rtl/>
        </w:rPr>
        <w:t>(סי' שי"ד סק"ג)</w:t>
      </w:r>
      <w:r>
        <w:rPr>
          <w:rtl/>
        </w:rPr>
        <w:t>,</w:t>
      </w:r>
      <w:r w:rsidRPr="00407CF9">
        <w:rPr>
          <w:rStyle w:val="afffffffff9"/>
          <w:rFonts w:ascii="David" w:eastAsiaTheme="minorEastAsia" w:hAnsi="David" w:cs="David" w:hint="cs"/>
          <w:b/>
          <w:bCs/>
          <w:color w:val="auto"/>
          <w:sz w:val="16"/>
          <w:szCs w:val="16"/>
          <w:rtl/>
        </w:rPr>
        <w:t xml:space="preserve"> </w:t>
      </w:r>
      <w:r w:rsidRPr="00407CF9">
        <w:rPr>
          <w:rStyle w:val="afffffffff9"/>
          <w:rFonts w:ascii="David" w:eastAsiaTheme="minorEastAsia" w:hAnsi="David" w:cs="David"/>
          <w:b/>
          <w:bCs/>
          <w:color w:val="auto"/>
          <w:sz w:val="16"/>
          <w:szCs w:val="16"/>
          <w:rtl/>
        </w:rPr>
        <w:fldChar w:fldCharType="begin"/>
      </w:r>
      <w:r w:rsidRPr="00407CF9">
        <w:rPr>
          <w:rStyle w:val="afffffffff9"/>
          <w:rFonts w:ascii="David" w:eastAsiaTheme="minorEastAsia" w:hAnsi="David" w:cs="David"/>
          <w:b/>
          <w:bCs/>
          <w:color w:val="auto"/>
          <w:sz w:val="16"/>
          <w:szCs w:val="16"/>
          <w:rtl/>
        </w:rPr>
        <w:instrText xml:space="preserve"> </w:instrText>
      </w:r>
      <w:r w:rsidRPr="00407CF9">
        <w:rPr>
          <w:rStyle w:val="afffffffff9"/>
          <w:rFonts w:ascii="David" w:eastAsiaTheme="minorEastAsia" w:hAnsi="David" w:cs="David" w:hint="cs"/>
          <w:b/>
          <w:bCs/>
          <w:color w:val="auto"/>
          <w:sz w:val="16"/>
          <w:szCs w:val="16"/>
        </w:rPr>
        <w:instrText>REF</w:instrText>
      </w:r>
      <w:r w:rsidRPr="00407CF9">
        <w:rPr>
          <w:rStyle w:val="afffffffff9"/>
          <w:rFonts w:ascii="David" w:eastAsiaTheme="minorEastAsia" w:hAnsi="David" w:cs="David" w:hint="cs"/>
          <w:b/>
          <w:bCs/>
          <w:color w:val="auto"/>
          <w:sz w:val="16"/>
          <w:szCs w:val="16"/>
          <w:rtl/>
        </w:rPr>
        <w:instrText xml:space="preserve"> _</w:instrText>
      </w:r>
      <w:r w:rsidRPr="00407CF9">
        <w:rPr>
          <w:rStyle w:val="afffffffff9"/>
          <w:rFonts w:ascii="David" w:eastAsiaTheme="minorEastAsia" w:hAnsi="David" w:cs="David" w:hint="cs"/>
          <w:b/>
          <w:bCs/>
          <w:color w:val="auto"/>
          <w:sz w:val="16"/>
          <w:szCs w:val="16"/>
        </w:rPr>
        <w:instrText>Ref143794876 \r \h</w:instrText>
      </w:r>
      <w:r w:rsidRPr="00407CF9">
        <w:rPr>
          <w:rStyle w:val="afffffffff9"/>
          <w:rFonts w:ascii="David" w:eastAsiaTheme="minorEastAsia" w:hAnsi="David" w:cs="David"/>
          <w:b/>
          <w:bCs/>
          <w:color w:val="auto"/>
          <w:sz w:val="16"/>
          <w:szCs w:val="16"/>
          <w:rtl/>
        </w:rPr>
        <w:instrText xml:space="preserve">  \* </w:instrText>
      </w:r>
      <w:r w:rsidRPr="00407CF9">
        <w:rPr>
          <w:rStyle w:val="afffffffff9"/>
          <w:rFonts w:ascii="David" w:eastAsiaTheme="minorEastAsia" w:hAnsi="David" w:cs="David"/>
          <w:b/>
          <w:bCs/>
          <w:color w:val="auto"/>
          <w:sz w:val="16"/>
          <w:szCs w:val="16"/>
        </w:rPr>
        <w:instrText>MERGEFORMAT</w:instrText>
      </w:r>
      <w:r w:rsidRPr="00407CF9">
        <w:rPr>
          <w:rStyle w:val="afffffffff9"/>
          <w:rFonts w:ascii="David" w:eastAsiaTheme="minorEastAsia" w:hAnsi="David" w:cs="David"/>
          <w:b/>
          <w:bCs/>
          <w:color w:val="auto"/>
          <w:sz w:val="16"/>
          <w:szCs w:val="16"/>
          <w:rtl/>
        </w:rPr>
        <w:instrText xml:space="preserve"> </w:instrText>
      </w:r>
      <w:r w:rsidRPr="00407CF9">
        <w:rPr>
          <w:rStyle w:val="afffffffff9"/>
          <w:rFonts w:ascii="David" w:eastAsiaTheme="minorEastAsia" w:hAnsi="David" w:cs="David"/>
          <w:b/>
          <w:bCs/>
          <w:color w:val="auto"/>
          <w:sz w:val="16"/>
          <w:szCs w:val="16"/>
          <w:rtl/>
        </w:rPr>
      </w:r>
      <w:r w:rsidRPr="00407CF9">
        <w:rPr>
          <w:rStyle w:val="afffffffff9"/>
          <w:rFonts w:ascii="David" w:eastAsiaTheme="minorEastAsia" w:hAnsi="David" w:cs="David"/>
          <w:b/>
          <w:bCs/>
          <w:color w:val="auto"/>
          <w:sz w:val="16"/>
          <w:szCs w:val="16"/>
          <w:rtl/>
        </w:rPr>
        <w:fldChar w:fldCharType="separate"/>
      </w:r>
      <w:r w:rsidR="00D82181">
        <w:rPr>
          <w:rStyle w:val="afffffffff9"/>
          <w:rFonts w:ascii="David" w:eastAsiaTheme="minorEastAsia" w:hAnsi="David" w:cs="David"/>
          <w:b/>
          <w:bCs/>
          <w:color w:val="auto"/>
          <w:sz w:val="16"/>
          <w:szCs w:val="16"/>
          <w:cs/>
        </w:rPr>
        <w:t>‎</w:t>
      </w:r>
      <w:r w:rsidR="00D82181">
        <w:rPr>
          <w:rStyle w:val="afffffffff9"/>
          <w:rFonts w:ascii="David" w:eastAsiaTheme="minorEastAsia" w:hAnsi="David" w:cs="David"/>
          <w:b/>
          <w:bCs/>
          <w:color w:val="auto"/>
          <w:sz w:val="16"/>
          <w:szCs w:val="16"/>
          <w:rtl/>
        </w:rPr>
        <w:t>לח)</w:t>
      </w:r>
      <w:r w:rsidRPr="00407CF9">
        <w:rPr>
          <w:rStyle w:val="afffffffff9"/>
          <w:rFonts w:ascii="David" w:eastAsiaTheme="minorEastAsia" w:hAnsi="David" w:cs="David"/>
          <w:b/>
          <w:bCs/>
          <w:color w:val="auto"/>
          <w:sz w:val="16"/>
          <w:szCs w:val="16"/>
          <w:rtl/>
        </w:rPr>
        <w:fldChar w:fldCharType="end"/>
      </w:r>
      <w:r w:rsidRPr="00407CF9">
        <w:rPr>
          <w:rStyle w:val="afffffffff9"/>
          <w:rFonts w:ascii="David" w:eastAsiaTheme="minorEastAsia" w:hAnsi="David" w:cs="David" w:hint="cs"/>
          <w:b/>
          <w:bCs/>
          <w:color w:val="auto"/>
          <w:sz w:val="16"/>
          <w:szCs w:val="16"/>
          <w:rtl/>
        </w:rPr>
        <w:t xml:space="preserve"> </w:t>
      </w:r>
      <w:r w:rsidRPr="00D72FFC">
        <w:rPr>
          <w:rStyle w:val="afffffffff9"/>
          <w:rFonts w:ascii="David" w:eastAsiaTheme="minorEastAsia" w:hAnsi="David" w:cs="David" w:hint="cs"/>
          <w:color w:val="auto"/>
          <w:sz w:val="16"/>
          <w:szCs w:val="16"/>
          <w:rtl/>
        </w:rPr>
        <w:t>מאירי לקמן</w:t>
      </w:r>
      <w:r w:rsidRPr="00D72FFC">
        <w:rPr>
          <w:rFonts w:hint="cs"/>
          <w:rtl/>
        </w:rPr>
        <w:t xml:space="preserve"> </w:t>
      </w:r>
      <w:r w:rsidRPr="00407CF9">
        <w:rPr>
          <w:rStyle w:val="afffffffff3"/>
          <w:rFonts w:hint="cs"/>
          <w:rtl/>
        </w:rPr>
        <w:t>(קה. ד</w:t>
      </w:r>
      <w:r w:rsidRPr="00407CF9">
        <w:rPr>
          <w:rStyle w:val="afffffffff3"/>
          <w:rtl/>
        </w:rPr>
        <w:t>"</w:t>
      </w:r>
      <w:r w:rsidRPr="00407CF9">
        <w:rPr>
          <w:rStyle w:val="afffffffff3"/>
          <w:rFonts w:hint="cs"/>
          <w:rtl/>
        </w:rPr>
        <w:t>ה אעפ</w:t>
      </w:r>
      <w:r w:rsidRPr="00407CF9">
        <w:rPr>
          <w:rStyle w:val="afffffffff3"/>
          <w:rtl/>
        </w:rPr>
        <w:t>"</w:t>
      </w:r>
      <w:r w:rsidRPr="00407CF9">
        <w:rPr>
          <w:rStyle w:val="afffffffff3"/>
          <w:rFonts w:hint="cs"/>
          <w:rtl/>
        </w:rPr>
        <w:t>י)</w:t>
      </w:r>
      <w:r>
        <w:rPr>
          <w:rtl/>
        </w:rPr>
        <w:t xml:space="preserve"> </w:t>
      </w:r>
      <w:r w:rsidRPr="00D72FFC">
        <w:rPr>
          <w:rFonts w:hint="cs"/>
          <w:rtl/>
        </w:rPr>
        <w:t xml:space="preserve">בשם </w:t>
      </w:r>
      <w:r w:rsidRPr="00D72FFC">
        <w:rPr>
          <w:rStyle w:val="afffffffff9"/>
          <w:rFonts w:ascii="David" w:eastAsiaTheme="minorEastAsia" w:hAnsi="David" w:cs="David" w:hint="cs"/>
          <w:color w:val="auto"/>
          <w:sz w:val="16"/>
          <w:szCs w:val="16"/>
          <w:rtl/>
        </w:rPr>
        <w:t>חכמי הדורות</w:t>
      </w:r>
      <w:r>
        <w:rPr>
          <w:rtl/>
        </w:rPr>
        <w:t xml:space="preserve"> </w:t>
      </w:r>
      <w:r w:rsidRPr="00D72FFC">
        <w:rPr>
          <w:rStyle w:val="afffffffff9"/>
          <w:rFonts w:ascii="David" w:eastAsiaTheme="minorEastAsia" w:hAnsi="David" w:cs="David" w:hint="cs"/>
          <w:color w:val="auto"/>
          <w:sz w:val="16"/>
          <w:szCs w:val="16"/>
          <w:rtl/>
        </w:rPr>
        <w:t>חזון יחזקאל</w:t>
      </w:r>
      <w:r w:rsidRPr="00D72FFC">
        <w:rPr>
          <w:rFonts w:hint="cs"/>
          <w:rtl/>
        </w:rPr>
        <w:t xml:space="preserve"> </w:t>
      </w:r>
      <w:r w:rsidRPr="00407CF9">
        <w:rPr>
          <w:rStyle w:val="afffffffff3"/>
          <w:rFonts w:hint="cs"/>
          <w:rtl/>
        </w:rPr>
        <w:t xml:space="preserve">(עי' אות </w:t>
      </w:r>
      <w:r w:rsidRPr="00407CF9">
        <w:rPr>
          <w:rStyle w:val="afffffffff3"/>
          <w:rtl/>
        </w:rPr>
        <w:fldChar w:fldCharType="begin"/>
      </w:r>
      <w:r w:rsidRPr="00407CF9">
        <w:rPr>
          <w:rStyle w:val="afffffffff3"/>
          <w:rtl/>
        </w:rPr>
        <w:instrText xml:space="preserve"> </w:instrText>
      </w:r>
      <w:r w:rsidRPr="00407CF9">
        <w:rPr>
          <w:rStyle w:val="afffffffff3"/>
          <w:rFonts w:hint="cs"/>
        </w:rPr>
        <w:instrText>REF</w:instrText>
      </w:r>
      <w:r w:rsidRPr="00407CF9">
        <w:rPr>
          <w:rStyle w:val="afffffffff3"/>
          <w:rFonts w:hint="cs"/>
          <w:rtl/>
        </w:rPr>
        <w:instrText xml:space="preserve"> _</w:instrText>
      </w:r>
      <w:r w:rsidRPr="00407CF9">
        <w:rPr>
          <w:rStyle w:val="afffffffff3"/>
          <w:rFonts w:hint="cs"/>
        </w:rPr>
        <w:instrText>Ref144117321 \r \h</w:instrText>
      </w:r>
      <w:r w:rsidRPr="00407CF9">
        <w:rPr>
          <w:rStyle w:val="afffffffff3"/>
          <w:rtl/>
        </w:rPr>
        <w:instrText xml:space="preserve">  \* </w:instrText>
      </w:r>
      <w:r w:rsidRPr="00407CF9">
        <w:rPr>
          <w:rStyle w:val="afffffffff3"/>
        </w:rPr>
        <w:instrText>MERGEFORMAT</w:instrText>
      </w:r>
      <w:r w:rsidRPr="00407CF9">
        <w:rPr>
          <w:rStyle w:val="afffffffff3"/>
          <w:rtl/>
        </w:rPr>
        <w:instrText xml:space="preserve"> </w:instrText>
      </w:r>
      <w:r w:rsidRPr="00407CF9">
        <w:rPr>
          <w:rStyle w:val="afffffffff3"/>
          <w:rtl/>
        </w:rPr>
      </w:r>
      <w:r w:rsidRPr="00407CF9">
        <w:rPr>
          <w:rStyle w:val="afffffffff3"/>
          <w:rtl/>
        </w:rPr>
        <w:fldChar w:fldCharType="separate"/>
      </w:r>
      <w:r w:rsidR="00D82181">
        <w:rPr>
          <w:rStyle w:val="afffffffff3"/>
          <w:cs/>
        </w:rPr>
        <w:t>‎</w:t>
      </w:r>
      <w:r w:rsidR="00D82181">
        <w:rPr>
          <w:rStyle w:val="afffffffff3"/>
          <w:rtl/>
        </w:rPr>
        <w:t>סד)</w:t>
      </w:r>
      <w:r w:rsidRPr="00407CF9">
        <w:rPr>
          <w:rStyle w:val="afffffffff3"/>
          <w:rtl/>
        </w:rPr>
        <w:fldChar w:fldCharType="end"/>
      </w:r>
      <w:r>
        <w:rPr>
          <w:rtl/>
        </w:rPr>
        <w:t>,</w:t>
      </w:r>
      <w:r w:rsidRPr="00407CF9">
        <w:rPr>
          <w:b/>
          <w:bCs/>
          <w:rtl/>
        </w:rPr>
        <w:t xml:space="preserve"> </w:t>
      </w:r>
      <w:r w:rsidRPr="00407CF9">
        <w:rPr>
          <w:b/>
          <w:bCs/>
          <w:rtl/>
        </w:rPr>
        <w:fldChar w:fldCharType="begin"/>
      </w:r>
      <w:r w:rsidRPr="00407CF9">
        <w:rPr>
          <w:b/>
          <w:bCs/>
          <w:rtl/>
        </w:rPr>
        <w:instrText xml:space="preserve"> </w:instrText>
      </w:r>
      <w:r w:rsidRPr="00407CF9">
        <w:rPr>
          <w:b/>
          <w:bCs/>
        </w:rPr>
        <w:instrText>REF</w:instrText>
      </w:r>
      <w:r w:rsidRPr="00407CF9">
        <w:rPr>
          <w:b/>
          <w:bCs/>
          <w:rtl/>
        </w:rPr>
        <w:instrText xml:space="preserve"> _</w:instrText>
      </w:r>
      <w:r w:rsidRPr="00407CF9">
        <w:rPr>
          <w:b/>
          <w:bCs/>
        </w:rPr>
        <w:instrText>Ref144133881 \r \h</w:instrText>
      </w:r>
      <w:r w:rsidRPr="00407CF9">
        <w:rPr>
          <w:b/>
          <w:bCs/>
          <w:rtl/>
        </w:rPr>
        <w:instrText xml:space="preserve">  \* </w:instrText>
      </w:r>
      <w:r w:rsidRPr="00407CF9">
        <w:rPr>
          <w:b/>
          <w:bCs/>
        </w:rPr>
        <w:instrText>MERGEFORMAT</w:instrText>
      </w:r>
      <w:r w:rsidRPr="00407CF9">
        <w:rPr>
          <w:b/>
          <w:bCs/>
          <w:rtl/>
        </w:rPr>
        <w:instrText xml:space="preserve"> </w:instrText>
      </w:r>
      <w:r w:rsidRPr="00407CF9">
        <w:rPr>
          <w:b/>
          <w:bCs/>
          <w:rtl/>
        </w:rPr>
      </w:r>
      <w:r w:rsidRPr="00407CF9">
        <w:rPr>
          <w:b/>
          <w:bCs/>
          <w:rtl/>
        </w:rPr>
        <w:fldChar w:fldCharType="separate"/>
      </w:r>
      <w:r w:rsidR="00D82181">
        <w:rPr>
          <w:b/>
          <w:bCs/>
          <w:cs/>
        </w:rPr>
        <w:t>‎</w:t>
      </w:r>
      <w:r w:rsidR="00D82181">
        <w:rPr>
          <w:b/>
          <w:bCs/>
          <w:rtl/>
        </w:rPr>
        <w:t>מ)</w:t>
      </w:r>
      <w:r w:rsidRPr="00407CF9">
        <w:rPr>
          <w:b/>
          <w:bCs/>
          <w:rtl/>
        </w:rPr>
        <w:fldChar w:fldCharType="end"/>
      </w:r>
      <w:r w:rsidRPr="00407CF9">
        <w:rPr>
          <w:b/>
          <w:bCs/>
          <w:rtl/>
        </w:rPr>
        <w:t xml:space="preserve"> </w:t>
      </w:r>
      <w:r w:rsidRPr="00D72FFC">
        <w:rPr>
          <w:rFonts w:hint="cs"/>
          <w:rtl/>
        </w:rPr>
        <w:t>שפת אמת לקמן</w:t>
      </w:r>
      <w:r w:rsidRPr="00D72FFC">
        <w:rPr>
          <w:rtl/>
        </w:rPr>
        <w:t xml:space="preserve"> </w:t>
      </w:r>
      <w:r w:rsidRPr="00407CF9">
        <w:rPr>
          <w:rStyle w:val="afffffffff3"/>
          <w:rtl/>
        </w:rPr>
        <w:t>(</w:t>
      </w:r>
      <w:r w:rsidRPr="00407CF9">
        <w:rPr>
          <w:rStyle w:val="afffffffff3"/>
          <w:rFonts w:hint="cs"/>
          <w:rtl/>
        </w:rPr>
        <w:t>קד: ד"ה להשלים</w:t>
      </w:r>
      <w:r w:rsidRPr="00407CF9">
        <w:rPr>
          <w:rStyle w:val="afffffffff3"/>
          <w:rtl/>
        </w:rPr>
        <w:t>)</w:t>
      </w:r>
      <w:r>
        <w:rPr>
          <w:rtl/>
        </w:rPr>
        <w:t>,</w:t>
      </w:r>
      <w:r w:rsidRPr="00407CF9">
        <w:rPr>
          <w:rStyle w:val="afffffffff9"/>
          <w:rFonts w:ascii="David" w:eastAsiaTheme="minorEastAsia" w:hAnsi="David" w:cs="David" w:hint="cs"/>
          <w:b/>
          <w:bCs/>
          <w:color w:val="auto"/>
          <w:sz w:val="16"/>
          <w:szCs w:val="16"/>
          <w:rtl/>
        </w:rPr>
        <w:t xml:space="preserve"> </w:t>
      </w:r>
      <w:r w:rsidRPr="00407CF9">
        <w:rPr>
          <w:rStyle w:val="afffffffff9"/>
          <w:rFonts w:ascii="David" w:eastAsiaTheme="minorEastAsia" w:hAnsi="David" w:cs="David"/>
          <w:b/>
          <w:bCs/>
          <w:color w:val="auto"/>
          <w:sz w:val="16"/>
          <w:szCs w:val="16"/>
          <w:rtl/>
        </w:rPr>
        <w:fldChar w:fldCharType="begin"/>
      </w:r>
      <w:r w:rsidRPr="00407CF9">
        <w:rPr>
          <w:rStyle w:val="afffffffff9"/>
          <w:rFonts w:ascii="David" w:eastAsiaTheme="minorEastAsia" w:hAnsi="David" w:cs="David"/>
          <w:b/>
          <w:bCs/>
          <w:color w:val="auto"/>
          <w:sz w:val="16"/>
          <w:szCs w:val="16"/>
          <w:rtl/>
        </w:rPr>
        <w:instrText xml:space="preserve"> </w:instrText>
      </w:r>
      <w:r w:rsidRPr="00407CF9">
        <w:rPr>
          <w:rStyle w:val="afffffffff9"/>
          <w:rFonts w:ascii="David" w:eastAsiaTheme="minorEastAsia" w:hAnsi="David" w:cs="David" w:hint="cs"/>
          <w:b/>
          <w:bCs/>
          <w:color w:val="auto"/>
          <w:sz w:val="16"/>
          <w:szCs w:val="16"/>
        </w:rPr>
        <w:instrText>REF</w:instrText>
      </w:r>
      <w:r w:rsidRPr="00407CF9">
        <w:rPr>
          <w:rStyle w:val="afffffffff9"/>
          <w:rFonts w:ascii="David" w:eastAsiaTheme="minorEastAsia" w:hAnsi="David" w:cs="David" w:hint="cs"/>
          <w:b/>
          <w:bCs/>
          <w:color w:val="auto"/>
          <w:sz w:val="16"/>
          <w:szCs w:val="16"/>
          <w:rtl/>
        </w:rPr>
        <w:instrText xml:space="preserve"> _</w:instrText>
      </w:r>
      <w:r w:rsidRPr="00407CF9">
        <w:rPr>
          <w:rStyle w:val="afffffffff9"/>
          <w:rFonts w:ascii="David" w:eastAsiaTheme="minorEastAsia" w:hAnsi="David" w:cs="David" w:hint="cs"/>
          <w:b/>
          <w:bCs/>
          <w:color w:val="auto"/>
          <w:sz w:val="16"/>
          <w:szCs w:val="16"/>
        </w:rPr>
        <w:instrText>Ref143877950 \r \h</w:instrText>
      </w:r>
      <w:r w:rsidRPr="00407CF9">
        <w:rPr>
          <w:rStyle w:val="afffffffff9"/>
          <w:rFonts w:ascii="David" w:eastAsiaTheme="minorEastAsia" w:hAnsi="David" w:cs="David"/>
          <w:b/>
          <w:bCs/>
          <w:color w:val="auto"/>
          <w:sz w:val="16"/>
          <w:szCs w:val="16"/>
          <w:rtl/>
        </w:rPr>
        <w:instrText xml:space="preserve">  \* </w:instrText>
      </w:r>
      <w:r w:rsidRPr="00407CF9">
        <w:rPr>
          <w:rStyle w:val="afffffffff9"/>
          <w:rFonts w:ascii="David" w:eastAsiaTheme="minorEastAsia" w:hAnsi="David" w:cs="David"/>
          <w:b/>
          <w:bCs/>
          <w:color w:val="auto"/>
          <w:sz w:val="16"/>
          <w:szCs w:val="16"/>
        </w:rPr>
        <w:instrText>MERGEFORMAT</w:instrText>
      </w:r>
      <w:r w:rsidRPr="00407CF9">
        <w:rPr>
          <w:rStyle w:val="afffffffff9"/>
          <w:rFonts w:ascii="David" w:eastAsiaTheme="minorEastAsia" w:hAnsi="David" w:cs="David"/>
          <w:b/>
          <w:bCs/>
          <w:color w:val="auto"/>
          <w:sz w:val="16"/>
          <w:szCs w:val="16"/>
          <w:rtl/>
        </w:rPr>
        <w:instrText xml:space="preserve"> </w:instrText>
      </w:r>
      <w:r w:rsidRPr="00407CF9">
        <w:rPr>
          <w:rStyle w:val="afffffffff9"/>
          <w:rFonts w:ascii="David" w:eastAsiaTheme="minorEastAsia" w:hAnsi="David" w:cs="David"/>
          <w:b/>
          <w:bCs/>
          <w:color w:val="auto"/>
          <w:sz w:val="16"/>
          <w:szCs w:val="16"/>
          <w:rtl/>
        </w:rPr>
      </w:r>
      <w:r w:rsidRPr="00407CF9">
        <w:rPr>
          <w:rStyle w:val="afffffffff9"/>
          <w:rFonts w:ascii="David" w:eastAsiaTheme="minorEastAsia" w:hAnsi="David" w:cs="David"/>
          <w:b/>
          <w:bCs/>
          <w:color w:val="auto"/>
          <w:sz w:val="16"/>
          <w:szCs w:val="16"/>
          <w:rtl/>
        </w:rPr>
        <w:fldChar w:fldCharType="separate"/>
      </w:r>
      <w:r w:rsidR="00D82181">
        <w:rPr>
          <w:rStyle w:val="afffffffff9"/>
          <w:rFonts w:ascii="David" w:eastAsiaTheme="minorEastAsia" w:hAnsi="David" w:cs="David"/>
          <w:b/>
          <w:bCs/>
          <w:color w:val="auto"/>
          <w:sz w:val="16"/>
          <w:szCs w:val="16"/>
          <w:cs/>
        </w:rPr>
        <w:t>‎</w:t>
      </w:r>
      <w:r w:rsidR="00D82181">
        <w:rPr>
          <w:rStyle w:val="afffffffff9"/>
          <w:rFonts w:ascii="David" w:eastAsiaTheme="minorEastAsia" w:hAnsi="David" w:cs="David"/>
          <w:b/>
          <w:bCs/>
          <w:color w:val="auto"/>
          <w:sz w:val="16"/>
          <w:szCs w:val="16"/>
          <w:rtl/>
        </w:rPr>
        <w:t>מא)</w:t>
      </w:r>
      <w:r w:rsidRPr="00407CF9">
        <w:rPr>
          <w:rStyle w:val="afffffffff9"/>
          <w:rFonts w:ascii="David" w:eastAsiaTheme="minorEastAsia" w:hAnsi="David" w:cs="David"/>
          <w:b/>
          <w:bCs/>
          <w:color w:val="auto"/>
          <w:sz w:val="16"/>
          <w:szCs w:val="16"/>
          <w:rtl/>
        </w:rPr>
        <w:fldChar w:fldCharType="end"/>
      </w:r>
      <w:r w:rsidRPr="00407CF9">
        <w:rPr>
          <w:rStyle w:val="afffffffff9"/>
          <w:rFonts w:ascii="David" w:eastAsiaTheme="minorEastAsia" w:hAnsi="David" w:cs="David" w:hint="cs"/>
          <w:b/>
          <w:bCs/>
          <w:color w:val="auto"/>
          <w:sz w:val="16"/>
          <w:szCs w:val="16"/>
          <w:rtl/>
        </w:rPr>
        <w:t xml:space="preserve"> </w:t>
      </w:r>
      <w:r w:rsidRPr="00D72FFC">
        <w:rPr>
          <w:rStyle w:val="afffffffff9"/>
          <w:rFonts w:ascii="David" w:eastAsiaTheme="minorEastAsia" w:hAnsi="David" w:cs="David" w:hint="cs"/>
          <w:color w:val="auto"/>
          <w:sz w:val="16"/>
          <w:szCs w:val="16"/>
          <w:rtl/>
        </w:rPr>
        <w:t>אמרי בינה</w:t>
      </w:r>
      <w:r w:rsidRPr="00D72FFC">
        <w:rPr>
          <w:rtl/>
        </w:rPr>
        <w:t xml:space="preserve"> </w:t>
      </w:r>
      <w:r w:rsidRPr="00407CF9">
        <w:rPr>
          <w:rStyle w:val="afffffffff3"/>
          <w:rtl/>
        </w:rPr>
        <w:t xml:space="preserve">(שבת קד: </w:t>
      </w:r>
      <w:r w:rsidRPr="00407CF9">
        <w:rPr>
          <w:rStyle w:val="afffffffff3"/>
          <w:rFonts w:hint="cs"/>
          <w:rtl/>
        </w:rPr>
        <w:t>סי' כ"א ד"ה כתב הרמ"א</w:t>
      </w:r>
      <w:r w:rsidRPr="00407CF9">
        <w:rPr>
          <w:rStyle w:val="afffffffff3"/>
          <w:rtl/>
        </w:rPr>
        <w:t>)</w:t>
      </w:r>
      <w:r>
        <w:rPr>
          <w:rtl/>
        </w:rPr>
        <w:t>,</w:t>
      </w:r>
      <w:r w:rsidRPr="00407CF9">
        <w:rPr>
          <w:rStyle w:val="afffffffff9"/>
          <w:rFonts w:ascii="David" w:eastAsiaTheme="minorEastAsia" w:hAnsi="David" w:cs="David" w:hint="cs"/>
          <w:b/>
          <w:bCs/>
          <w:color w:val="auto"/>
          <w:sz w:val="16"/>
          <w:szCs w:val="16"/>
          <w:rtl/>
        </w:rPr>
        <w:t xml:space="preserve"> </w:t>
      </w:r>
      <w:r w:rsidRPr="00407CF9">
        <w:rPr>
          <w:rStyle w:val="afffffffff9"/>
          <w:rFonts w:ascii="David" w:eastAsiaTheme="minorEastAsia" w:hAnsi="David" w:cs="David"/>
          <w:b/>
          <w:bCs/>
          <w:color w:val="auto"/>
          <w:sz w:val="16"/>
          <w:szCs w:val="16"/>
          <w:rtl/>
        </w:rPr>
        <w:fldChar w:fldCharType="begin"/>
      </w:r>
      <w:r w:rsidRPr="00407CF9">
        <w:rPr>
          <w:rStyle w:val="afffffffff9"/>
          <w:rFonts w:ascii="David" w:eastAsiaTheme="minorEastAsia" w:hAnsi="David" w:cs="David"/>
          <w:b/>
          <w:bCs/>
          <w:color w:val="auto"/>
          <w:sz w:val="16"/>
          <w:szCs w:val="16"/>
          <w:rtl/>
        </w:rPr>
        <w:instrText xml:space="preserve"> </w:instrText>
      </w:r>
      <w:r w:rsidRPr="00407CF9">
        <w:rPr>
          <w:rStyle w:val="afffffffff9"/>
          <w:rFonts w:ascii="David" w:eastAsiaTheme="minorEastAsia" w:hAnsi="David" w:cs="David" w:hint="cs"/>
          <w:b/>
          <w:bCs/>
          <w:color w:val="auto"/>
          <w:sz w:val="16"/>
          <w:szCs w:val="16"/>
        </w:rPr>
        <w:instrText>REF</w:instrText>
      </w:r>
      <w:r w:rsidRPr="00407CF9">
        <w:rPr>
          <w:rStyle w:val="afffffffff9"/>
          <w:rFonts w:ascii="David" w:eastAsiaTheme="minorEastAsia" w:hAnsi="David" w:cs="David" w:hint="cs"/>
          <w:b/>
          <w:bCs/>
          <w:color w:val="auto"/>
          <w:sz w:val="16"/>
          <w:szCs w:val="16"/>
          <w:rtl/>
        </w:rPr>
        <w:instrText xml:space="preserve"> _</w:instrText>
      </w:r>
      <w:r w:rsidRPr="00407CF9">
        <w:rPr>
          <w:rStyle w:val="afffffffff9"/>
          <w:rFonts w:ascii="David" w:eastAsiaTheme="minorEastAsia" w:hAnsi="David" w:cs="David" w:hint="cs"/>
          <w:b/>
          <w:bCs/>
          <w:color w:val="auto"/>
          <w:sz w:val="16"/>
          <w:szCs w:val="16"/>
        </w:rPr>
        <w:instrText>Ref144117215 \r \h</w:instrText>
      </w:r>
      <w:r w:rsidRPr="00407CF9">
        <w:rPr>
          <w:rStyle w:val="afffffffff9"/>
          <w:rFonts w:ascii="David" w:eastAsiaTheme="minorEastAsia" w:hAnsi="David" w:cs="David"/>
          <w:b/>
          <w:bCs/>
          <w:color w:val="auto"/>
          <w:sz w:val="16"/>
          <w:szCs w:val="16"/>
          <w:rtl/>
        </w:rPr>
        <w:instrText xml:space="preserve">  \* </w:instrText>
      </w:r>
      <w:r w:rsidRPr="00407CF9">
        <w:rPr>
          <w:rStyle w:val="afffffffff9"/>
          <w:rFonts w:ascii="David" w:eastAsiaTheme="minorEastAsia" w:hAnsi="David" w:cs="David"/>
          <w:b/>
          <w:bCs/>
          <w:color w:val="auto"/>
          <w:sz w:val="16"/>
          <w:szCs w:val="16"/>
        </w:rPr>
        <w:instrText>MERGEFORMAT</w:instrText>
      </w:r>
      <w:r w:rsidRPr="00407CF9">
        <w:rPr>
          <w:rStyle w:val="afffffffff9"/>
          <w:rFonts w:ascii="David" w:eastAsiaTheme="minorEastAsia" w:hAnsi="David" w:cs="David"/>
          <w:b/>
          <w:bCs/>
          <w:color w:val="auto"/>
          <w:sz w:val="16"/>
          <w:szCs w:val="16"/>
          <w:rtl/>
        </w:rPr>
        <w:instrText xml:space="preserve"> </w:instrText>
      </w:r>
      <w:r w:rsidRPr="00407CF9">
        <w:rPr>
          <w:rStyle w:val="afffffffff9"/>
          <w:rFonts w:ascii="David" w:eastAsiaTheme="minorEastAsia" w:hAnsi="David" w:cs="David"/>
          <w:b/>
          <w:bCs/>
          <w:color w:val="auto"/>
          <w:sz w:val="16"/>
          <w:szCs w:val="16"/>
          <w:rtl/>
        </w:rPr>
      </w:r>
      <w:r w:rsidRPr="00407CF9">
        <w:rPr>
          <w:rStyle w:val="afffffffff9"/>
          <w:rFonts w:ascii="David" w:eastAsiaTheme="minorEastAsia" w:hAnsi="David" w:cs="David"/>
          <w:b/>
          <w:bCs/>
          <w:color w:val="auto"/>
          <w:sz w:val="16"/>
          <w:szCs w:val="16"/>
          <w:rtl/>
        </w:rPr>
        <w:fldChar w:fldCharType="separate"/>
      </w:r>
      <w:r w:rsidR="00D82181">
        <w:rPr>
          <w:rStyle w:val="afffffffff9"/>
          <w:rFonts w:ascii="David" w:eastAsiaTheme="minorEastAsia" w:hAnsi="David" w:cs="David"/>
          <w:b/>
          <w:bCs/>
          <w:color w:val="auto"/>
          <w:sz w:val="16"/>
          <w:szCs w:val="16"/>
          <w:cs/>
        </w:rPr>
        <w:t>‎</w:t>
      </w:r>
      <w:r w:rsidR="00D82181">
        <w:rPr>
          <w:rStyle w:val="afffffffff9"/>
          <w:rFonts w:ascii="David" w:eastAsiaTheme="minorEastAsia" w:hAnsi="David" w:cs="David"/>
          <w:b/>
          <w:bCs/>
          <w:color w:val="auto"/>
          <w:sz w:val="16"/>
          <w:szCs w:val="16"/>
          <w:rtl/>
        </w:rPr>
        <w:t>מג)</w:t>
      </w:r>
      <w:r w:rsidRPr="00407CF9">
        <w:rPr>
          <w:rStyle w:val="afffffffff9"/>
          <w:rFonts w:ascii="David" w:eastAsiaTheme="minorEastAsia" w:hAnsi="David" w:cs="David"/>
          <w:b/>
          <w:bCs/>
          <w:color w:val="auto"/>
          <w:sz w:val="16"/>
          <w:szCs w:val="16"/>
          <w:rtl/>
        </w:rPr>
        <w:fldChar w:fldCharType="end"/>
      </w:r>
      <w:r w:rsidRPr="00407CF9">
        <w:rPr>
          <w:rStyle w:val="afffffffff9"/>
          <w:rFonts w:ascii="David" w:eastAsiaTheme="minorEastAsia" w:hAnsi="David" w:cs="David" w:hint="cs"/>
          <w:b/>
          <w:bCs/>
          <w:color w:val="auto"/>
          <w:sz w:val="16"/>
          <w:szCs w:val="16"/>
          <w:rtl/>
        </w:rPr>
        <w:t xml:space="preserve"> </w:t>
      </w:r>
      <w:r w:rsidRPr="00D72FFC">
        <w:rPr>
          <w:rStyle w:val="afffffffff9"/>
          <w:rFonts w:ascii="David" w:eastAsiaTheme="minorEastAsia" w:hAnsi="David" w:cs="David" w:hint="cs"/>
          <w:color w:val="auto"/>
          <w:sz w:val="16"/>
          <w:szCs w:val="16"/>
          <w:rtl/>
        </w:rPr>
        <w:t>רבינו משה קזיס לעיל</w:t>
      </w:r>
      <w:r w:rsidRPr="00D72FFC">
        <w:rPr>
          <w:rFonts w:hint="cs"/>
          <w:rtl/>
        </w:rPr>
        <w:t xml:space="preserve"> </w:t>
      </w:r>
      <w:r w:rsidRPr="00407CF9">
        <w:rPr>
          <w:rStyle w:val="afffffffff3"/>
          <w:rFonts w:hint="cs"/>
          <w:rtl/>
        </w:rPr>
        <w:t>(עג. ד"ה כל מידי)</w:t>
      </w:r>
      <w:r>
        <w:rPr>
          <w:rtl/>
        </w:rPr>
        <w:t>,</w:t>
      </w:r>
      <w:r w:rsidRPr="00407CF9">
        <w:rPr>
          <w:b/>
          <w:bCs/>
          <w:rtl/>
        </w:rPr>
        <w:t xml:space="preserve"> </w:t>
      </w:r>
      <w:r w:rsidRPr="00407CF9">
        <w:rPr>
          <w:b/>
          <w:bCs/>
          <w:rtl/>
        </w:rPr>
        <w:fldChar w:fldCharType="begin"/>
      </w:r>
      <w:r w:rsidRPr="00407CF9">
        <w:rPr>
          <w:b/>
          <w:bCs/>
          <w:rtl/>
        </w:rPr>
        <w:instrText xml:space="preserve"> </w:instrText>
      </w:r>
      <w:r w:rsidRPr="00407CF9">
        <w:rPr>
          <w:b/>
          <w:bCs/>
        </w:rPr>
        <w:instrText>REF</w:instrText>
      </w:r>
      <w:r w:rsidRPr="00407CF9">
        <w:rPr>
          <w:b/>
          <w:bCs/>
          <w:rtl/>
        </w:rPr>
        <w:instrText xml:space="preserve"> _</w:instrText>
      </w:r>
      <w:r w:rsidRPr="00407CF9">
        <w:rPr>
          <w:b/>
          <w:bCs/>
        </w:rPr>
        <w:instrText>Ref144028509 \r \h</w:instrText>
      </w:r>
      <w:r w:rsidRPr="00407CF9">
        <w:rPr>
          <w:b/>
          <w:bCs/>
          <w:rtl/>
        </w:rPr>
        <w:instrText xml:space="preserve">  \* </w:instrText>
      </w:r>
      <w:r w:rsidRPr="00407CF9">
        <w:rPr>
          <w:b/>
          <w:bCs/>
        </w:rPr>
        <w:instrText>MERGEFORMAT</w:instrText>
      </w:r>
      <w:r w:rsidRPr="00407CF9">
        <w:rPr>
          <w:b/>
          <w:bCs/>
          <w:rtl/>
        </w:rPr>
        <w:instrText xml:space="preserve"> </w:instrText>
      </w:r>
      <w:r w:rsidRPr="00407CF9">
        <w:rPr>
          <w:b/>
          <w:bCs/>
          <w:rtl/>
        </w:rPr>
      </w:r>
      <w:r w:rsidRPr="00407CF9">
        <w:rPr>
          <w:b/>
          <w:bCs/>
          <w:rtl/>
        </w:rPr>
        <w:fldChar w:fldCharType="separate"/>
      </w:r>
      <w:r w:rsidR="00D82181">
        <w:rPr>
          <w:b/>
          <w:bCs/>
          <w:cs/>
        </w:rPr>
        <w:t>‎</w:t>
      </w:r>
      <w:r w:rsidR="00D82181">
        <w:rPr>
          <w:b/>
          <w:bCs/>
          <w:rtl/>
        </w:rPr>
        <w:t>מו)</w:t>
      </w:r>
      <w:r w:rsidRPr="00407CF9">
        <w:rPr>
          <w:b/>
          <w:bCs/>
          <w:rtl/>
        </w:rPr>
        <w:fldChar w:fldCharType="end"/>
      </w:r>
      <w:r w:rsidRPr="00407CF9">
        <w:rPr>
          <w:b/>
          <w:bCs/>
          <w:rtl/>
        </w:rPr>
        <w:t xml:space="preserve"> </w:t>
      </w:r>
      <w:r w:rsidRPr="00D72FFC">
        <w:rPr>
          <w:rFonts w:hint="cs"/>
          <w:rtl/>
        </w:rPr>
        <w:t>מהר"ם קזיס</w:t>
      </w:r>
      <w:r w:rsidRPr="00D72FFC">
        <w:rPr>
          <w:rtl/>
        </w:rPr>
        <w:t xml:space="preserve"> </w:t>
      </w:r>
      <w:r w:rsidRPr="00407CF9">
        <w:rPr>
          <w:rStyle w:val="afffffffff3"/>
          <w:rtl/>
        </w:rPr>
        <w:t>(</w:t>
      </w:r>
      <w:r w:rsidRPr="00407CF9">
        <w:rPr>
          <w:rStyle w:val="afffffffff3"/>
          <w:rFonts w:hint="cs"/>
          <w:rtl/>
        </w:rPr>
        <w:t>עג. ד"ה אבל הרמב"ם</w:t>
      </w:r>
      <w:r w:rsidRPr="00407CF9">
        <w:rPr>
          <w:rStyle w:val="afffffffff3"/>
          <w:rtl/>
        </w:rPr>
        <w:t>)</w:t>
      </w:r>
      <w:r>
        <w:rPr>
          <w:rtl/>
        </w:rPr>
        <w:t>,</w:t>
      </w:r>
      <w:r w:rsidRPr="00407CF9">
        <w:rPr>
          <w:rStyle w:val="afffffffff9"/>
          <w:rFonts w:ascii="David" w:eastAsiaTheme="minorEastAsia" w:hAnsi="David" w:cs="David" w:hint="cs"/>
          <w:b/>
          <w:bCs/>
          <w:color w:val="auto"/>
          <w:sz w:val="16"/>
          <w:szCs w:val="16"/>
          <w:rtl/>
        </w:rPr>
        <w:t xml:space="preserve"> </w:t>
      </w:r>
      <w:r w:rsidRPr="00407CF9">
        <w:rPr>
          <w:rStyle w:val="afffffffff9"/>
          <w:rFonts w:ascii="David" w:eastAsiaTheme="minorEastAsia" w:hAnsi="David" w:cs="David"/>
          <w:b/>
          <w:bCs/>
          <w:color w:val="auto"/>
          <w:sz w:val="16"/>
          <w:szCs w:val="16"/>
          <w:rtl/>
        </w:rPr>
        <w:fldChar w:fldCharType="begin"/>
      </w:r>
      <w:r w:rsidRPr="00407CF9">
        <w:rPr>
          <w:rStyle w:val="afffffffff9"/>
          <w:rFonts w:ascii="David" w:eastAsiaTheme="minorEastAsia" w:hAnsi="David" w:cs="David"/>
          <w:b/>
          <w:bCs/>
          <w:color w:val="auto"/>
          <w:sz w:val="16"/>
          <w:szCs w:val="16"/>
          <w:rtl/>
        </w:rPr>
        <w:instrText xml:space="preserve"> </w:instrText>
      </w:r>
      <w:r w:rsidRPr="00407CF9">
        <w:rPr>
          <w:rStyle w:val="afffffffff9"/>
          <w:rFonts w:ascii="David" w:eastAsiaTheme="minorEastAsia" w:hAnsi="David" w:cs="David" w:hint="cs"/>
          <w:b/>
          <w:bCs/>
          <w:color w:val="auto"/>
          <w:sz w:val="16"/>
          <w:szCs w:val="16"/>
        </w:rPr>
        <w:instrText>REF</w:instrText>
      </w:r>
      <w:r w:rsidRPr="00407CF9">
        <w:rPr>
          <w:rStyle w:val="afffffffff9"/>
          <w:rFonts w:ascii="David" w:eastAsiaTheme="minorEastAsia" w:hAnsi="David" w:cs="David" w:hint="cs"/>
          <w:b/>
          <w:bCs/>
          <w:color w:val="auto"/>
          <w:sz w:val="16"/>
          <w:szCs w:val="16"/>
          <w:rtl/>
        </w:rPr>
        <w:instrText xml:space="preserve"> _</w:instrText>
      </w:r>
      <w:r w:rsidRPr="00407CF9">
        <w:rPr>
          <w:rStyle w:val="afffffffff9"/>
          <w:rFonts w:ascii="David" w:eastAsiaTheme="minorEastAsia" w:hAnsi="David" w:cs="David" w:hint="cs"/>
          <w:b/>
          <w:bCs/>
          <w:color w:val="auto"/>
          <w:sz w:val="16"/>
          <w:szCs w:val="16"/>
        </w:rPr>
        <w:instrText>Ref143857616 \r \h</w:instrText>
      </w:r>
      <w:r w:rsidRPr="00407CF9">
        <w:rPr>
          <w:rStyle w:val="afffffffff9"/>
          <w:rFonts w:ascii="David" w:eastAsiaTheme="minorEastAsia" w:hAnsi="David" w:cs="David"/>
          <w:b/>
          <w:bCs/>
          <w:color w:val="auto"/>
          <w:sz w:val="16"/>
          <w:szCs w:val="16"/>
          <w:rtl/>
        </w:rPr>
        <w:instrText xml:space="preserve">  \* </w:instrText>
      </w:r>
      <w:r w:rsidRPr="00407CF9">
        <w:rPr>
          <w:rStyle w:val="afffffffff9"/>
          <w:rFonts w:ascii="David" w:eastAsiaTheme="minorEastAsia" w:hAnsi="David" w:cs="David"/>
          <w:b/>
          <w:bCs/>
          <w:color w:val="auto"/>
          <w:sz w:val="16"/>
          <w:szCs w:val="16"/>
        </w:rPr>
        <w:instrText>MERGEFORMAT</w:instrText>
      </w:r>
      <w:r w:rsidRPr="00407CF9">
        <w:rPr>
          <w:rStyle w:val="afffffffff9"/>
          <w:rFonts w:ascii="David" w:eastAsiaTheme="minorEastAsia" w:hAnsi="David" w:cs="David"/>
          <w:b/>
          <w:bCs/>
          <w:color w:val="auto"/>
          <w:sz w:val="16"/>
          <w:szCs w:val="16"/>
          <w:rtl/>
        </w:rPr>
        <w:instrText xml:space="preserve"> </w:instrText>
      </w:r>
      <w:r w:rsidRPr="00407CF9">
        <w:rPr>
          <w:rStyle w:val="afffffffff9"/>
          <w:rFonts w:ascii="David" w:eastAsiaTheme="minorEastAsia" w:hAnsi="David" w:cs="David"/>
          <w:b/>
          <w:bCs/>
          <w:color w:val="auto"/>
          <w:sz w:val="16"/>
          <w:szCs w:val="16"/>
          <w:rtl/>
        </w:rPr>
      </w:r>
      <w:r w:rsidRPr="00407CF9">
        <w:rPr>
          <w:rStyle w:val="afffffffff9"/>
          <w:rFonts w:ascii="David" w:eastAsiaTheme="minorEastAsia" w:hAnsi="David" w:cs="David"/>
          <w:b/>
          <w:bCs/>
          <w:color w:val="auto"/>
          <w:sz w:val="16"/>
          <w:szCs w:val="16"/>
          <w:rtl/>
        </w:rPr>
        <w:fldChar w:fldCharType="separate"/>
      </w:r>
      <w:r w:rsidR="00D82181">
        <w:rPr>
          <w:rStyle w:val="afffffffff9"/>
          <w:rFonts w:ascii="David" w:eastAsiaTheme="minorEastAsia" w:hAnsi="David" w:cs="David"/>
          <w:b/>
          <w:bCs/>
          <w:color w:val="auto"/>
          <w:sz w:val="16"/>
          <w:szCs w:val="16"/>
          <w:cs/>
        </w:rPr>
        <w:t>‎</w:t>
      </w:r>
      <w:r w:rsidR="00D82181">
        <w:rPr>
          <w:rStyle w:val="afffffffff9"/>
          <w:rFonts w:ascii="David" w:eastAsiaTheme="minorEastAsia" w:hAnsi="David" w:cs="David"/>
          <w:b/>
          <w:bCs/>
          <w:color w:val="auto"/>
          <w:sz w:val="16"/>
          <w:szCs w:val="16"/>
          <w:rtl/>
        </w:rPr>
        <w:t>מח)</w:t>
      </w:r>
      <w:r w:rsidRPr="00407CF9">
        <w:rPr>
          <w:rStyle w:val="afffffffff9"/>
          <w:rFonts w:ascii="David" w:eastAsiaTheme="minorEastAsia" w:hAnsi="David" w:cs="David"/>
          <w:b/>
          <w:bCs/>
          <w:color w:val="auto"/>
          <w:sz w:val="16"/>
          <w:szCs w:val="16"/>
          <w:rtl/>
        </w:rPr>
        <w:fldChar w:fldCharType="end"/>
      </w:r>
      <w:r w:rsidRPr="00407CF9">
        <w:rPr>
          <w:rStyle w:val="afffffffff9"/>
          <w:rFonts w:ascii="David" w:eastAsiaTheme="minorEastAsia" w:hAnsi="David" w:cs="David" w:hint="cs"/>
          <w:b/>
          <w:bCs/>
          <w:color w:val="auto"/>
          <w:sz w:val="16"/>
          <w:szCs w:val="16"/>
          <w:rtl/>
        </w:rPr>
        <w:t xml:space="preserve"> </w:t>
      </w:r>
      <w:r w:rsidRPr="00D72FFC">
        <w:rPr>
          <w:rStyle w:val="afffffffff9"/>
          <w:rFonts w:ascii="David" w:eastAsiaTheme="minorEastAsia" w:hAnsi="David" w:cs="David" w:hint="cs"/>
          <w:color w:val="auto"/>
          <w:sz w:val="16"/>
          <w:szCs w:val="16"/>
          <w:rtl/>
        </w:rPr>
        <w:t>הג' מרדכי</w:t>
      </w:r>
      <w:r w:rsidRPr="00D72FFC">
        <w:rPr>
          <w:rFonts w:hint="cs"/>
          <w:rtl/>
        </w:rPr>
        <w:t xml:space="preserve"> </w:t>
      </w:r>
      <w:r w:rsidRPr="00407CF9">
        <w:rPr>
          <w:rStyle w:val="afffffffff3"/>
          <w:rFonts w:hint="cs"/>
          <w:rtl/>
        </w:rPr>
        <w:t>(רמז תס"א)</w:t>
      </w:r>
      <w:r>
        <w:rPr>
          <w:rtl/>
        </w:rPr>
        <w:t xml:space="preserve"> </w:t>
      </w:r>
      <w:r w:rsidRPr="00D72FFC">
        <w:rPr>
          <w:rStyle w:val="afffffffff9"/>
          <w:rFonts w:ascii="David" w:eastAsiaTheme="minorEastAsia" w:hAnsi="David" w:cs="David" w:hint="cs"/>
          <w:color w:val="auto"/>
          <w:sz w:val="16"/>
          <w:szCs w:val="16"/>
          <w:rtl/>
        </w:rPr>
        <w:t>יראים</w:t>
      </w:r>
      <w:r w:rsidRPr="00D72FFC">
        <w:rPr>
          <w:rFonts w:hint="cs"/>
          <w:rtl/>
        </w:rPr>
        <w:t xml:space="preserve"> </w:t>
      </w:r>
      <w:r w:rsidRPr="00407CF9">
        <w:rPr>
          <w:rStyle w:val="afffffffff3"/>
          <w:rFonts w:hint="cs"/>
          <w:rtl/>
        </w:rPr>
        <w:t>(סי' רע"ד ד"ה הבונה, נד' בקובץ שיטות קמאי שבת ח"ב עמ' אלף נ"ז)</w:t>
      </w:r>
      <w:r>
        <w:rPr>
          <w:rtl/>
        </w:rPr>
        <w:t xml:space="preserve"> </w:t>
      </w:r>
      <w:r w:rsidRPr="00D72FFC">
        <w:rPr>
          <w:rStyle w:val="afffffffff9"/>
          <w:rFonts w:ascii="David" w:eastAsiaTheme="minorEastAsia" w:hAnsi="David" w:cs="David" w:hint="cs"/>
          <w:color w:val="auto"/>
          <w:sz w:val="16"/>
          <w:szCs w:val="16"/>
          <w:rtl/>
        </w:rPr>
        <w:t>אמרי בינה</w:t>
      </w:r>
      <w:r w:rsidRPr="00D72FFC">
        <w:rPr>
          <w:rFonts w:hint="cs"/>
          <w:rtl/>
        </w:rPr>
        <w:t xml:space="preserve"> </w:t>
      </w:r>
      <w:r w:rsidRPr="00407CF9">
        <w:rPr>
          <w:rStyle w:val="afffffffff3"/>
          <w:rFonts w:hint="cs"/>
          <w:rtl/>
        </w:rPr>
        <w:t xml:space="preserve">(עי' אות </w:t>
      </w:r>
      <w:r w:rsidRPr="00407CF9">
        <w:rPr>
          <w:rStyle w:val="afffffffff3"/>
          <w:rtl/>
        </w:rPr>
        <w:fldChar w:fldCharType="begin"/>
      </w:r>
      <w:r w:rsidRPr="00407CF9">
        <w:rPr>
          <w:rStyle w:val="afffffffff3"/>
          <w:rtl/>
        </w:rPr>
        <w:instrText xml:space="preserve"> </w:instrText>
      </w:r>
      <w:r w:rsidRPr="00407CF9">
        <w:rPr>
          <w:rStyle w:val="afffffffff3"/>
          <w:rFonts w:hint="cs"/>
        </w:rPr>
        <w:instrText>REF</w:instrText>
      </w:r>
      <w:r w:rsidRPr="00407CF9">
        <w:rPr>
          <w:rStyle w:val="afffffffff3"/>
          <w:rFonts w:hint="cs"/>
          <w:rtl/>
        </w:rPr>
        <w:instrText xml:space="preserve"> _</w:instrText>
      </w:r>
      <w:r w:rsidRPr="00407CF9">
        <w:rPr>
          <w:rStyle w:val="afffffffff3"/>
          <w:rFonts w:hint="cs"/>
        </w:rPr>
        <w:instrText>Ref144200069 \r \h</w:instrText>
      </w:r>
      <w:r w:rsidRPr="00407CF9">
        <w:rPr>
          <w:rStyle w:val="afffffffff3"/>
          <w:rtl/>
        </w:rPr>
        <w:instrText xml:space="preserve">  \* </w:instrText>
      </w:r>
      <w:r w:rsidRPr="00407CF9">
        <w:rPr>
          <w:rStyle w:val="afffffffff3"/>
        </w:rPr>
        <w:instrText>MERGEFORMAT</w:instrText>
      </w:r>
      <w:r w:rsidRPr="00407CF9">
        <w:rPr>
          <w:rStyle w:val="afffffffff3"/>
          <w:rtl/>
        </w:rPr>
        <w:instrText xml:space="preserve"> </w:instrText>
      </w:r>
      <w:r w:rsidRPr="00407CF9">
        <w:rPr>
          <w:rStyle w:val="afffffffff3"/>
          <w:rtl/>
        </w:rPr>
      </w:r>
      <w:r w:rsidRPr="00407CF9">
        <w:rPr>
          <w:rStyle w:val="afffffffff3"/>
          <w:rtl/>
        </w:rPr>
        <w:fldChar w:fldCharType="separate"/>
      </w:r>
      <w:r w:rsidR="00D82181">
        <w:rPr>
          <w:rStyle w:val="afffffffff3"/>
          <w:cs/>
        </w:rPr>
        <w:t>‎</w:t>
      </w:r>
      <w:r w:rsidR="00D82181">
        <w:rPr>
          <w:rStyle w:val="afffffffff3"/>
          <w:rtl/>
        </w:rPr>
        <w:t>מב)</w:t>
      </w:r>
      <w:r w:rsidRPr="00407CF9">
        <w:rPr>
          <w:rStyle w:val="afffffffff3"/>
          <w:rtl/>
        </w:rPr>
        <w:fldChar w:fldCharType="end"/>
      </w:r>
      <w:r>
        <w:rPr>
          <w:rtl/>
        </w:rPr>
        <w:t xml:space="preserve"> </w:t>
      </w:r>
      <w:r w:rsidRPr="00D72FFC">
        <w:rPr>
          <w:rStyle w:val="afffffffff9"/>
          <w:rFonts w:ascii="David" w:eastAsiaTheme="minorEastAsia" w:hAnsi="David" w:cs="David" w:hint="cs"/>
          <w:color w:val="auto"/>
          <w:sz w:val="16"/>
          <w:szCs w:val="16"/>
          <w:rtl/>
        </w:rPr>
        <w:t>קהלות יעקב</w:t>
      </w:r>
      <w:r w:rsidRPr="00D72FFC">
        <w:rPr>
          <w:rFonts w:hint="cs"/>
          <w:rtl/>
        </w:rPr>
        <w:t xml:space="preserve"> </w:t>
      </w:r>
      <w:r w:rsidRPr="00407CF9">
        <w:rPr>
          <w:rStyle w:val="afffffffff3"/>
          <w:rFonts w:hint="cs"/>
          <w:rtl/>
        </w:rPr>
        <w:t xml:space="preserve">(עי' </w:t>
      </w:r>
      <w:r w:rsidRPr="00407CF9">
        <w:rPr>
          <w:rStyle w:val="afffffffff3"/>
          <w:rFonts w:hint="cs"/>
          <w:rtl/>
        </w:rPr>
        <w:t xml:space="preserve">אות </w:t>
      </w:r>
      <w:r w:rsidRPr="00407CF9">
        <w:rPr>
          <w:rStyle w:val="afffffffff3"/>
          <w:rtl/>
        </w:rPr>
        <w:fldChar w:fldCharType="begin"/>
      </w:r>
      <w:r w:rsidRPr="00407CF9">
        <w:rPr>
          <w:rStyle w:val="afffffffff3"/>
          <w:rtl/>
        </w:rPr>
        <w:instrText xml:space="preserve"> </w:instrText>
      </w:r>
      <w:r w:rsidRPr="00407CF9">
        <w:rPr>
          <w:rStyle w:val="afffffffff3"/>
          <w:rFonts w:hint="cs"/>
        </w:rPr>
        <w:instrText>REF</w:instrText>
      </w:r>
      <w:r w:rsidRPr="00407CF9">
        <w:rPr>
          <w:rStyle w:val="afffffffff3"/>
          <w:rFonts w:hint="cs"/>
          <w:rtl/>
        </w:rPr>
        <w:instrText xml:space="preserve"> _</w:instrText>
      </w:r>
      <w:r w:rsidRPr="00407CF9">
        <w:rPr>
          <w:rStyle w:val="afffffffff3"/>
          <w:rFonts w:hint="cs"/>
        </w:rPr>
        <w:instrText>Ref144201131 \r \h</w:instrText>
      </w:r>
      <w:r w:rsidRPr="00407CF9">
        <w:rPr>
          <w:rStyle w:val="afffffffff3"/>
          <w:rtl/>
        </w:rPr>
        <w:instrText xml:space="preserve">  \* </w:instrText>
      </w:r>
      <w:r w:rsidRPr="00407CF9">
        <w:rPr>
          <w:rStyle w:val="afffffffff3"/>
        </w:rPr>
        <w:instrText>MERGEFORMAT</w:instrText>
      </w:r>
      <w:r w:rsidRPr="00407CF9">
        <w:rPr>
          <w:rStyle w:val="afffffffff3"/>
          <w:rtl/>
        </w:rPr>
        <w:instrText xml:space="preserve"> </w:instrText>
      </w:r>
      <w:r w:rsidRPr="00407CF9">
        <w:rPr>
          <w:rStyle w:val="afffffffff3"/>
          <w:rtl/>
        </w:rPr>
      </w:r>
      <w:r w:rsidRPr="00407CF9">
        <w:rPr>
          <w:rStyle w:val="afffffffff3"/>
          <w:rtl/>
        </w:rPr>
        <w:fldChar w:fldCharType="separate"/>
      </w:r>
      <w:r w:rsidR="00D82181">
        <w:rPr>
          <w:rStyle w:val="afffffffff3"/>
          <w:cs/>
        </w:rPr>
        <w:t>‎</w:t>
      </w:r>
      <w:r w:rsidR="00D82181">
        <w:rPr>
          <w:rStyle w:val="afffffffff3"/>
          <w:rtl/>
        </w:rPr>
        <w:t>עא)</w:t>
      </w:r>
      <w:r w:rsidRPr="00407CF9">
        <w:rPr>
          <w:rStyle w:val="afffffffff3"/>
          <w:rtl/>
        </w:rPr>
        <w:fldChar w:fldCharType="end"/>
      </w:r>
      <w:r>
        <w:rPr>
          <w:rFonts w:hint="cs"/>
          <w:rtl/>
        </w:rPr>
        <w:t xml:space="preserve"> </w:t>
      </w:r>
      <w:r w:rsidRPr="00407CF9">
        <w:rPr>
          <w:rFonts w:hint="cs"/>
          <w:b/>
          <w:bCs/>
          <w:rtl/>
        </w:rPr>
        <w:t xml:space="preserve"> </w:t>
      </w:r>
      <w:r w:rsidRPr="00D72FFC">
        <w:rPr>
          <w:rFonts w:hint="cs"/>
          <w:rtl/>
        </w:rPr>
        <w:t>דברי מרדכי</w:t>
      </w:r>
      <w:r w:rsidRPr="00D72FFC">
        <w:rPr>
          <w:rtl/>
        </w:rPr>
        <w:t xml:space="preserve"> </w:t>
      </w:r>
      <w:r w:rsidRPr="00407CF9">
        <w:rPr>
          <w:rStyle w:val="afffffffff3"/>
          <w:rFonts w:hint="cs"/>
          <w:rtl/>
        </w:rPr>
        <w:t xml:space="preserve">(עי' אות </w:t>
      </w:r>
      <w:r w:rsidRPr="00407CF9">
        <w:rPr>
          <w:rStyle w:val="afffffffff3"/>
          <w:rtl/>
        </w:rPr>
        <w:fldChar w:fldCharType="begin"/>
      </w:r>
      <w:r w:rsidRPr="00407CF9">
        <w:rPr>
          <w:rStyle w:val="afffffffff3"/>
          <w:rtl/>
        </w:rPr>
        <w:instrText xml:space="preserve"> </w:instrText>
      </w:r>
      <w:r w:rsidRPr="00407CF9">
        <w:rPr>
          <w:rStyle w:val="afffffffff3"/>
          <w:rFonts w:hint="cs"/>
        </w:rPr>
        <w:instrText>REF</w:instrText>
      </w:r>
      <w:r w:rsidRPr="00407CF9">
        <w:rPr>
          <w:rStyle w:val="afffffffff3"/>
          <w:rFonts w:hint="cs"/>
          <w:rtl/>
        </w:rPr>
        <w:instrText xml:space="preserve"> _</w:instrText>
      </w:r>
      <w:r w:rsidRPr="00407CF9">
        <w:rPr>
          <w:rStyle w:val="afffffffff3"/>
          <w:rFonts w:hint="cs"/>
        </w:rPr>
        <w:instrText>Ref144117393 \r \h</w:instrText>
      </w:r>
      <w:r w:rsidRPr="00407CF9">
        <w:rPr>
          <w:rStyle w:val="afffffffff3"/>
          <w:rtl/>
        </w:rPr>
        <w:instrText xml:space="preserve">  \* </w:instrText>
      </w:r>
      <w:r w:rsidRPr="00407CF9">
        <w:rPr>
          <w:rStyle w:val="afffffffff3"/>
        </w:rPr>
        <w:instrText>MERGEFORMAT</w:instrText>
      </w:r>
      <w:r w:rsidRPr="00407CF9">
        <w:rPr>
          <w:rStyle w:val="afffffffff3"/>
          <w:rtl/>
        </w:rPr>
        <w:instrText xml:space="preserve"> </w:instrText>
      </w:r>
      <w:r w:rsidRPr="00407CF9">
        <w:rPr>
          <w:rStyle w:val="afffffffff3"/>
          <w:rtl/>
        </w:rPr>
      </w:r>
      <w:r w:rsidRPr="00407CF9">
        <w:rPr>
          <w:rStyle w:val="afffffffff3"/>
          <w:rtl/>
        </w:rPr>
        <w:fldChar w:fldCharType="separate"/>
      </w:r>
      <w:r w:rsidR="00D82181">
        <w:rPr>
          <w:rStyle w:val="afffffffff3"/>
          <w:cs/>
        </w:rPr>
        <w:t>‎</w:t>
      </w:r>
      <w:r w:rsidR="00D82181">
        <w:rPr>
          <w:rStyle w:val="afffffffff3"/>
          <w:rtl/>
        </w:rPr>
        <w:t>עז)</w:t>
      </w:r>
      <w:r w:rsidRPr="00407CF9">
        <w:rPr>
          <w:rStyle w:val="afffffffff3"/>
          <w:rtl/>
        </w:rPr>
        <w:fldChar w:fldCharType="end"/>
      </w:r>
      <w:r>
        <w:rPr>
          <w:rFonts w:hint="cs"/>
          <w:rtl/>
        </w:rPr>
        <w:t>,</w:t>
      </w:r>
      <w:r w:rsidRPr="00407CF9">
        <w:rPr>
          <w:b/>
          <w:bCs/>
          <w:rtl/>
        </w:rPr>
        <w:t xml:space="preserve"> </w:t>
      </w:r>
      <w:r w:rsidRPr="00407CF9">
        <w:rPr>
          <w:b/>
          <w:bCs/>
          <w:rtl/>
        </w:rPr>
        <w:fldChar w:fldCharType="begin"/>
      </w:r>
      <w:r w:rsidRPr="00407CF9">
        <w:rPr>
          <w:b/>
          <w:bCs/>
          <w:rtl/>
        </w:rPr>
        <w:instrText xml:space="preserve"> </w:instrText>
      </w:r>
      <w:r w:rsidRPr="00407CF9">
        <w:rPr>
          <w:b/>
          <w:bCs/>
        </w:rPr>
        <w:instrText>REF</w:instrText>
      </w:r>
      <w:r w:rsidRPr="00407CF9">
        <w:rPr>
          <w:b/>
          <w:bCs/>
          <w:rtl/>
        </w:rPr>
        <w:instrText xml:space="preserve"> _</w:instrText>
      </w:r>
      <w:r w:rsidRPr="00407CF9">
        <w:rPr>
          <w:b/>
          <w:bCs/>
        </w:rPr>
        <w:instrText>Ref144151023 \r \h</w:instrText>
      </w:r>
      <w:r w:rsidRPr="00407CF9">
        <w:rPr>
          <w:b/>
          <w:bCs/>
          <w:rtl/>
        </w:rPr>
        <w:instrText xml:space="preserve">  \* </w:instrText>
      </w:r>
      <w:r w:rsidRPr="00407CF9">
        <w:rPr>
          <w:b/>
          <w:bCs/>
        </w:rPr>
        <w:instrText>MERGEFORMAT</w:instrText>
      </w:r>
      <w:r w:rsidRPr="00407CF9">
        <w:rPr>
          <w:b/>
          <w:bCs/>
          <w:rtl/>
        </w:rPr>
        <w:instrText xml:space="preserve"> </w:instrText>
      </w:r>
      <w:r w:rsidRPr="00407CF9">
        <w:rPr>
          <w:b/>
          <w:bCs/>
          <w:rtl/>
        </w:rPr>
      </w:r>
      <w:r w:rsidRPr="00407CF9">
        <w:rPr>
          <w:b/>
          <w:bCs/>
          <w:rtl/>
        </w:rPr>
        <w:fldChar w:fldCharType="separate"/>
      </w:r>
      <w:r w:rsidR="00D82181">
        <w:rPr>
          <w:b/>
          <w:bCs/>
          <w:cs/>
        </w:rPr>
        <w:t>‎</w:t>
      </w:r>
      <w:r w:rsidR="00D82181">
        <w:rPr>
          <w:b/>
          <w:bCs/>
          <w:rtl/>
        </w:rPr>
        <w:t>מט)</w:t>
      </w:r>
      <w:r w:rsidRPr="00407CF9">
        <w:rPr>
          <w:b/>
          <w:bCs/>
          <w:rtl/>
        </w:rPr>
        <w:fldChar w:fldCharType="end"/>
      </w:r>
      <w:r w:rsidRPr="00407CF9">
        <w:rPr>
          <w:b/>
          <w:bCs/>
          <w:rtl/>
        </w:rPr>
        <w:t xml:space="preserve"> </w:t>
      </w:r>
      <w:r w:rsidRPr="00D72FFC">
        <w:rPr>
          <w:rFonts w:hint="cs"/>
          <w:rtl/>
        </w:rPr>
        <w:t xml:space="preserve">טל אורות </w:t>
      </w:r>
      <w:r>
        <w:rPr>
          <w:rFonts w:hint="cs"/>
          <w:rtl/>
        </w:rPr>
        <w:t>הספרדי</w:t>
      </w:r>
      <w:r w:rsidRPr="00D72FFC">
        <w:rPr>
          <w:rtl/>
        </w:rPr>
        <w:t xml:space="preserve"> </w:t>
      </w:r>
      <w:r w:rsidRPr="00407CF9">
        <w:rPr>
          <w:rStyle w:val="afffffffff3"/>
          <w:rtl/>
        </w:rPr>
        <w:t>(</w:t>
      </w:r>
      <w:r w:rsidRPr="00407CF9">
        <w:rPr>
          <w:rStyle w:val="afffffffff3"/>
          <w:rFonts w:hint="cs"/>
          <w:rtl/>
        </w:rPr>
        <w:t>ריש הבונה ד"ה והיותר מתמיה</w:t>
      </w:r>
      <w:r w:rsidRPr="00407CF9">
        <w:rPr>
          <w:rStyle w:val="afffffffff3"/>
          <w:rtl/>
        </w:rPr>
        <w:t>)</w:t>
      </w:r>
      <w:r>
        <w:rPr>
          <w:rtl/>
        </w:rPr>
        <w:t xml:space="preserve"> </w:t>
      </w:r>
      <w:r w:rsidRPr="00D72FFC">
        <w:rPr>
          <w:rFonts w:hint="cs"/>
          <w:rtl/>
        </w:rPr>
        <w:t>יראים</w:t>
      </w:r>
      <w:r w:rsidRPr="00D72FFC">
        <w:rPr>
          <w:rtl/>
        </w:rPr>
        <w:t xml:space="preserve"> </w:t>
      </w:r>
      <w:r w:rsidRPr="00407CF9">
        <w:rPr>
          <w:rStyle w:val="afffffffff3"/>
          <w:rtl/>
        </w:rPr>
        <w:t>(</w:t>
      </w:r>
      <w:r w:rsidRPr="00407CF9">
        <w:rPr>
          <w:rStyle w:val="afffffffff3"/>
          <w:rFonts w:hint="cs"/>
          <w:rtl/>
        </w:rPr>
        <w:t>סי' רע"ד ד"ה המכה בפטיש, נד' בקובץ שיטות קמאי שבת ח"ב עמ' אלף ק"כ</w:t>
      </w:r>
      <w:r w:rsidRPr="00407CF9">
        <w:rPr>
          <w:rStyle w:val="afffffffff3"/>
          <w:rtl/>
        </w:rPr>
        <w:t>)</w:t>
      </w:r>
      <w:r>
        <w:rPr>
          <w:rtl/>
        </w:rPr>
        <w:t xml:space="preserve"> </w:t>
      </w:r>
      <w:r w:rsidRPr="00D72FFC">
        <w:rPr>
          <w:rFonts w:hint="cs"/>
          <w:rtl/>
        </w:rPr>
        <w:t>הג' מרדכי</w:t>
      </w:r>
      <w:r w:rsidRPr="00D72FFC">
        <w:rPr>
          <w:rtl/>
        </w:rPr>
        <w:t xml:space="preserve"> </w:t>
      </w:r>
      <w:r w:rsidRPr="00407CF9">
        <w:rPr>
          <w:rStyle w:val="afffffffff3"/>
          <w:rtl/>
        </w:rPr>
        <w:t>(</w:t>
      </w:r>
      <w:r w:rsidRPr="00407CF9">
        <w:rPr>
          <w:rStyle w:val="afffffffff3"/>
          <w:rFonts w:hint="cs"/>
          <w:rtl/>
        </w:rPr>
        <w:t>סוף רמז תנ"ז</w:t>
      </w:r>
      <w:r w:rsidRPr="00407CF9">
        <w:rPr>
          <w:rStyle w:val="afffffffff3"/>
          <w:rtl/>
        </w:rPr>
        <w:t>)</w:t>
      </w:r>
      <w:r>
        <w:rPr>
          <w:rtl/>
        </w:rPr>
        <w:t>,</w:t>
      </w:r>
      <w:r w:rsidRPr="00407CF9">
        <w:rPr>
          <w:rStyle w:val="afffffffff9"/>
          <w:rFonts w:ascii="David" w:eastAsiaTheme="minorEastAsia" w:hAnsi="David" w:cs="David" w:hint="cs"/>
          <w:b/>
          <w:bCs/>
          <w:color w:val="auto"/>
          <w:sz w:val="16"/>
          <w:szCs w:val="16"/>
          <w:rtl/>
        </w:rPr>
        <w:t xml:space="preserve"> </w:t>
      </w:r>
      <w:r w:rsidRPr="00407CF9">
        <w:rPr>
          <w:rStyle w:val="afffffffff9"/>
          <w:rFonts w:ascii="David" w:eastAsiaTheme="minorEastAsia" w:hAnsi="David" w:cs="David"/>
          <w:b/>
          <w:bCs/>
          <w:color w:val="auto"/>
          <w:sz w:val="16"/>
          <w:szCs w:val="16"/>
          <w:rtl/>
        </w:rPr>
        <w:fldChar w:fldCharType="begin"/>
      </w:r>
      <w:r w:rsidRPr="00407CF9">
        <w:rPr>
          <w:rStyle w:val="afffffffff9"/>
          <w:rFonts w:ascii="David" w:eastAsiaTheme="minorEastAsia" w:hAnsi="David" w:cs="David"/>
          <w:b/>
          <w:bCs/>
          <w:color w:val="auto"/>
          <w:sz w:val="16"/>
          <w:szCs w:val="16"/>
          <w:rtl/>
        </w:rPr>
        <w:instrText xml:space="preserve"> </w:instrText>
      </w:r>
      <w:r w:rsidRPr="00407CF9">
        <w:rPr>
          <w:rStyle w:val="afffffffff9"/>
          <w:rFonts w:ascii="David" w:eastAsiaTheme="minorEastAsia" w:hAnsi="David" w:cs="David" w:hint="cs"/>
          <w:b/>
          <w:bCs/>
          <w:color w:val="auto"/>
          <w:sz w:val="16"/>
          <w:szCs w:val="16"/>
        </w:rPr>
        <w:instrText>REF</w:instrText>
      </w:r>
      <w:r w:rsidRPr="00407CF9">
        <w:rPr>
          <w:rStyle w:val="afffffffff9"/>
          <w:rFonts w:ascii="David" w:eastAsiaTheme="minorEastAsia" w:hAnsi="David" w:cs="David" w:hint="cs"/>
          <w:b/>
          <w:bCs/>
          <w:color w:val="auto"/>
          <w:sz w:val="16"/>
          <w:szCs w:val="16"/>
          <w:rtl/>
        </w:rPr>
        <w:instrText xml:space="preserve"> _</w:instrText>
      </w:r>
      <w:r w:rsidRPr="00407CF9">
        <w:rPr>
          <w:rStyle w:val="afffffffff9"/>
          <w:rFonts w:ascii="David" w:eastAsiaTheme="minorEastAsia" w:hAnsi="David" w:cs="David" w:hint="cs"/>
          <w:b/>
          <w:bCs/>
          <w:color w:val="auto"/>
          <w:sz w:val="16"/>
          <w:szCs w:val="16"/>
        </w:rPr>
        <w:instrText>Ref144136808 \r \h</w:instrText>
      </w:r>
      <w:r w:rsidRPr="00407CF9">
        <w:rPr>
          <w:rStyle w:val="afffffffff9"/>
          <w:rFonts w:ascii="David" w:eastAsiaTheme="minorEastAsia" w:hAnsi="David" w:cs="David"/>
          <w:b/>
          <w:bCs/>
          <w:color w:val="auto"/>
          <w:sz w:val="16"/>
          <w:szCs w:val="16"/>
          <w:rtl/>
        </w:rPr>
        <w:instrText xml:space="preserve">  \* </w:instrText>
      </w:r>
      <w:r w:rsidRPr="00407CF9">
        <w:rPr>
          <w:rStyle w:val="afffffffff9"/>
          <w:rFonts w:ascii="David" w:eastAsiaTheme="minorEastAsia" w:hAnsi="David" w:cs="David"/>
          <w:b/>
          <w:bCs/>
          <w:color w:val="auto"/>
          <w:sz w:val="16"/>
          <w:szCs w:val="16"/>
        </w:rPr>
        <w:instrText>MERGEFORMAT</w:instrText>
      </w:r>
      <w:r w:rsidRPr="00407CF9">
        <w:rPr>
          <w:rStyle w:val="afffffffff9"/>
          <w:rFonts w:ascii="David" w:eastAsiaTheme="minorEastAsia" w:hAnsi="David" w:cs="David"/>
          <w:b/>
          <w:bCs/>
          <w:color w:val="auto"/>
          <w:sz w:val="16"/>
          <w:szCs w:val="16"/>
          <w:rtl/>
        </w:rPr>
        <w:instrText xml:space="preserve"> </w:instrText>
      </w:r>
      <w:r w:rsidRPr="00407CF9">
        <w:rPr>
          <w:rStyle w:val="afffffffff9"/>
          <w:rFonts w:ascii="David" w:eastAsiaTheme="minorEastAsia" w:hAnsi="David" w:cs="David"/>
          <w:b/>
          <w:bCs/>
          <w:color w:val="auto"/>
          <w:sz w:val="16"/>
          <w:szCs w:val="16"/>
          <w:rtl/>
        </w:rPr>
      </w:r>
      <w:r w:rsidRPr="00407CF9">
        <w:rPr>
          <w:rStyle w:val="afffffffff9"/>
          <w:rFonts w:ascii="David" w:eastAsiaTheme="minorEastAsia" w:hAnsi="David" w:cs="David"/>
          <w:b/>
          <w:bCs/>
          <w:color w:val="auto"/>
          <w:sz w:val="16"/>
          <w:szCs w:val="16"/>
          <w:rtl/>
        </w:rPr>
        <w:fldChar w:fldCharType="separate"/>
      </w:r>
      <w:r w:rsidR="00D82181">
        <w:rPr>
          <w:rStyle w:val="afffffffff9"/>
          <w:rFonts w:ascii="David" w:eastAsiaTheme="minorEastAsia" w:hAnsi="David" w:cs="David"/>
          <w:b/>
          <w:bCs/>
          <w:color w:val="auto"/>
          <w:sz w:val="16"/>
          <w:szCs w:val="16"/>
          <w:cs/>
        </w:rPr>
        <w:t>‎</w:t>
      </w:r>
      <w:r w:rsidR="00D82181">
        <w:rPr>
          <w:rStyle w:val="afffffffff9"/>
          <w:rFonts w:ascii="David" w:eastAsiaTheme="minorEastAsia" w:hAnsi="David" w:cs="David"/>
          <w:b/>
          <w:bCs/>
          <w:color w:val="auto"/>
          <w:sz w:val="16"/>
          <w:szCs w:val="16"/>
          <w:rtl/>
        </w:rPr>
        <w:t>נא)</w:t>
      </w:r>
      <w:r w:rsidRPr="00407CF9">
        <w:rPr>
          <w:rStyle w:val="afffffffff9"/>
          <w:rFonts w:ascii="David" w:eastAsiaTheme="minorEastAsia" w:hAnsi="David" w:cs="David"/>
          <w:b/>
          <w:bCs/>
          <w:color w:val="auto"/>
          <w:sz w:val="16"/>
          <w:szCs w:val="16"/>
          <w:rtl/>
        </w:rPr>
        <w:fldChar w:fldCharType="end"/>
      </w:r>
      <w:r w:rsidRPr="00407CF9">
        <w:rPr>
          <w:rStyle w:val="afffffffff9"/>
          <w:rFonts w:ascii="David" w:eastAsiaTheme="minorEastAsia" w:hAnsi="David" w:cs="David" w:hint="cs"/>
          <w:b/>
          <w:bCs/>
          <w:color w:val="auto"/>
          <w:sz w:val="16"/>
          <w:szCs w:val="16"/>
          <w:rtl/>
        </w:rPr>
        <w:t xml:space="preserve"> </w:t>
      </w:r>
      <w:r w:rsidRPr="00D72FFC">
        <w:rPr>
          <w:rStyle w:val="afffffffff9"/>
          <w:rFonts w:ascii="David" w:eastAsiaTheme="minorEastAsia" w:hAnsi="David" w:cs="David" w:hint="cs"/>
          <w:color w:val="auto"/>
          <w:sz w:val="16"/>
          <w:szCs w:val="16"/>
          <w:rtl/>
        </w:rPr>
        <w:t>יראים</w:t>
      </w:r>
      <w:r w:rsidRPr="00D72FFC">
        <w:rPr>
          <w:rFonts w:hint="cs"/>
          <w:rtl/>
        </w:rPr>
        <w:t xml:space="preserve"> </w:t>
      </w:r>
      <w:r w:rsidRPr="00407CF9">
        <w:rPr>
          <w:rStyle w:val="afffffffff3"/>
          <w:rFonts w:hint="cs"/>
          <w:rtl/>
        </w:rPr>
        <w:t>(סי' רע"ד ד"ה המכבה, נד' בקובץ שיטות קמאי שבת ח"א עמ' תקל"ד)</w:t>
      </w:r>
      <w:r>
        <w:rPr>
          <w:rtl/>
        </w:rPr>
        <w:t>,</w:t>
      </w:r>
      <w:r w:rsidRPr="00407CF9">
        <w:rPr>
          <w:b/>
          <w:bCs/>
          <w:rtl/>
        </w:rPr>
        <w:t xml:space="preserve"> </w:t>
      </w:r>
      <w:r w:rsidRPr="00407CF9">
        <w:rPr>
          <w:b/>
          <w:bCs/>
          <w:rtl/>
        </w:rPr>
        <w:fldChar w:fldCharType="begin"/>
      </w:r>
      <w:r w:rsidRPr="00407CF9">
        <w:rPr>
          <w:b/>
          <w:bCs/>
          <w:rtl/>
        </w:rPr>
        <w:instrText xml:space="preserve"> </w:instrText>
      </w:r>
      <w:r w:rsidRPr="00407CF9">
        <w:rPr>
          <w:b/>
          <w:bCs/>
        </w:rPr>
        <w:instrText>REF</w:instrText>
      </w:r>
      <w:r w:rsidRPr="00407CF9">
        <w:rPr>
          <w:b/>
          <w:bCs/>
          <w:rtl/>
        </w:rPr>
        <w:instrText xml:space="preserve"> _</w:instrText>
      </w:r>
      <w:r w:rsidRPr="00407CF9">
        <w:rPr>
          <w:b/>
          <w:bCs/>
        </w:rPr>
        <w:instrText>Ref144117172 \r \h</w:instrText>
      </w:r>
      <w:r w:rsidRPr="00407CF9">
        <w:rPr>
          <w:b/>
          <w:bCs/>
          <w:rtl/>
        </w:rPr>
        <w:instrText xml:space="preserve">  \* </w:instrText>
      </w:r>
      <w:r w:rsidRPr="00407CF9">
        <w:rPr>
          <w:b/>
          <w:bCs/>
        </w:rPr>
        <w:instrText>MERGEFORMAT</w:instrText>
      </w:r>
      <w:r w:rsidRPr="00407CF9">
        <w:rPr>
          <w:b/>
          <w:bCs/>
          <w:rtl/>
        </w:rPr>
        <w:instrText xml:space="preserve"> </w:instrText>
      </w:r>
      <w:r w:rsidRPr="00407CF9">
        <w:rPr>
          <w:b/>
          <w:bCs/>
          <w:rtl/>
        </w:rPr>
      </w:r>
      <w:r w:rsidRPr="00407CF9">
        <w:rPr>
          <w:b/>
          <w:bCs/>
          <w:rtl/>
        </w:rPr>
        <w:fldChar w:fldCharType="separate"/>
      </w:r>
      <w:r w:rsidR="00D82181">
        <w:rPr>
          <w:b/>
          <w:bCs/>
          <w:cs/>
        </w:rPr>
        <w:t>‎</w:t>
      </w:r>
      <w:r w:rsidR="00D82181">
        <w:rPr>
          <w:b/>
          <w:bCs/>
          <w:rtl/>
        </w:rPr>
        <w:t>נב)</w:t>
      </w:r>
      <w:r w:rsidRPr="00407CF9">
        <w:rPr>
          <w:b/>
          <w:bCs/>
          <w:rtl/>
        </w:rPr>
        <w:fldChar w:fldCharType="end"/>
      </w:r>
      <w:r w:rsidRPr="00407CF9">
        <w:rPr>
          <w:b/>
          <w:bCs/>
          <w:rtl/>
        </w:rPr>
        <w:t xml:space="preserve"> </w:t>
      </w:r>
      <w:r w:rsidRPr="00D72FFC">
        <w:rPr>
          <w:rFonts w:hint="cs"/>
          <w:rtl/>
        </w:rPr>
        <w:t>ר"ח לעיל</w:t>
      </w:r>
      <w:r w:rsidRPr="00D72FFC">
        <w:rPr>
          <w:rtl/>
        </w:rPr>
        <w:t xml:space="preserve"> </w:t>
      </w:r>
      <w:r w:rsidRPr="00407CF9">
        <w:rPr>
          <w:rStyle w:val="afffffffff3"/>
          <w:rtl/>
        </w:rPr>
        <w:t>(</w:t>
      </w:r>
      <w:r w:rsidRPr="00407CF9">
        <w:rPr>
          <w:rStyle w:val="afffffffff3"/>
          <w:rFonts w:hint="cs"/>
          <w:rtl/>
        </w:rPr>
        <w:t>עה: ד"ה וכן הצר</w:t>
      </w:r>
      <w:r w:rsidRPr="00407CF9">
        <w:rPr>
          <w:rStyle w:val="afffffffff3"/>
          <w:rtl/>
        </w:rPr>
        <w:t>)</w:t>
      </w:r>
      <w:r>
        <w:rPr>
          <w:rtl/>
        </w:rPr>
        <w:t xml:space="preserve"> </w:t>
      </w:r>
      <w:r w:rsidRPr="00D72FFC">
        <w:rPr>
          <w:rFonts w:hint="cs"/>
          <w:rtl/>
        </w:rPr>
        <w:t>ערוך</w:t>
      </w:r>
      <w:r w:rsidRPr="00D72FFC">
        <w:rPr>
          <w:rtl/>
        </w:rPr>
        <w:t xml:space="preserve"> </w:t>
      </w:r>
      <w:r w:rsidRPr="00407CF9">
        <w:rPr>
          <w:rStyle w:val="afffffffff3"/>
          <w:rtl/>
        </w:rPr>
        <w:t>(</w:t>
      </w:r>
      <w:r w:rsidRPr="00407CF9">
        <w:rPr>
          <w:rStyle w:val="afffffffff3"/>
          <w:rFonts w:hint="cs"/>
          <w:rtl/>
        </w:rPr>
        <w:t>ערך צר ג, נד' בסוף גמ' עוז והדר עה: אמר ר"ל</w:t>
      </w:r>
      <w:r w:rsidRPr="00407CF9">
        <w:rPr>
          <w:rStyle w:val="afffffffff3"/>
          <w:rtl/>
        </w:rPr>
        <w:t>)</w:t>
      </w:r>
      <w:r>
        <w:rPr>
          <w:rtl/>
        </w:rPr>
        <w:t>,</w:t>
      </w:r>
      <w:r w:rsidRPr="00407CF9">
        <w:rPr>
          <w:b/>
          <w:bCs/>
          <w:rtl/>
        </w:rPr>
        <w:t xml:space="preserve"> </w:t>
      </w:r>
      <w:r w:rsidRPr="00407CF9">
        <w:rPr>
          <w:b/>
          <w:bCs/>
          <w:rtl/>
        </w:rPr>
        <w:fldChar w:fldCharType="begin"/>
      </w:r>
      <w:r w:rsidRPr="00407CF9">
        <w:rPr>
          <w:b/>
          <w:bCs/>
          <w:rtl/>
        </w:rPr>
        <w:instrText xml:space="preserve"> </w:instrText>
      </w:r>
      <w:r w:rsidRPr="00407CF9">
        <w:rPr>
          <w:b/>
          <w:bCs/>
        </w:rPr>
        <w:instrText>REF</w:instrText>
      </w:r>
      <w:r w:rsidRPr="00407CF9">
        <w:rPr>
          <w:b/>
          <w:bCs/>
          <w:rtl/>
        </w:rPr>
        <w:instrText xml:space="preserve"> _</w:instrText>
      </w:r>
      <w:r w:rsidRPr="00407CF9">
        <w:rPr>
          <w:b/>
          <w:bCs/>
        </w:rPr>
        <w:instrText>Ref144117144 \r \h</w:instrText>
      </w:r>
      <w:r w:rsidRPr="00407CF9">
        <w:rPr>
          <w:b/>
          <w:bCs/>
          <w:rtl/>
        </w:rPr>
        <w:instrText xml:space="preserve">  \* </w:instrText>
      </w:r>
      <w:r w:rsidRPr="00407CF9">
        <w:rPr>
          <w:b/>
          <w:bCs/>
        </w:rPr>
        <w:instrText>MERGEFORMAT</w:instrText>
      </w:r>
      <w:r w:rsidRPr="00407CF9">
        <w:rPr>
          <w:b/>
          <w:bCs/>
          <w:rtl/>
        </w:rPr>
        <w:instrText xml:space="preserve"> </w:instrText>
      </w:r>
      <w:r w:rsidRPr="00407CF9">
        <w:rPr>
          <w:b/>
          <w:bCs/>
          <w:rtl/>
        </w:rPr>
      </w:r>
      <w:r w:rsidRPr="00407CF9">
        <w:rPr>
          <w:b/>
          <w:bCs/>
          <w:rtl/>
        </w:rPr>
        <w:fldChar w:fldCharType="separate"/>
      </w:r>
      <w:r w:rsidR="00D82181">
        <w:rPr>
          <w:b/>
          <w:bCs/>
          <w:cs/>
        </w:rPr>
        <w:t>‎</w:t>
      </w:r>
      <w:r w:rsidR="00D82181">
        <w:rPr>
          <w:b/>
          <w:bCs/>
          <w:rtl/>
        </w:rPr>
        <w:t>נג)</w:t>
      </w:r>
      <w:r w:rsidRPr="00407CF9">
        <w:rPr>
          <w:b/>
          <w:bCs/>
          <w:rtl/>
        </w:rPr>
        <w:fldChar w:fldCharType="end"/>
      </w:r>
      <w:r w:rsidRPr="00407CF9">
        <w:rPr>
          <w:b/>
          <w:bCs/>
          <w:rtl/>
        </w:rPr>
        <w:t xml:space="preserve"> </w:t>
      </w:r>
      <w:r w:rsidRPr="00D72FFC">
        <w:rPr>
          <w:rFonts w:hint="cs"/>
          <w:rtl/>
        </w:rPr>
        <w:t>ערוך</w:t>
      </w:r>
      <w:r w:rsidRPr="00D72FFC">
        <w:rPr>
          <w:rtl/>
        </w:rPr>
        <w:t xml:space="preserve"> </w:t>
      </w:r>
      <w:r w:rsidRPr="00407CF9">
        <w:rPr>
          <w:rStyle w:val="afffffffff3"/>
          <w:rtl/>
        </w:rPr>
        <w:t>(</w:t>
      </w:r>
      <w:r w:rsidRPr="00407CF9">
        <w:rPr>
          <w:rStyle w:val="afffffffff3"/>
          <w:rFonts w:hint="cs"/>
          <w:rtl/>
        </w:rPr>
        <w:t>ערך פח א, נד' בסוף גמ' עוז והדר עה: ד"ה המנפח</w:t>
      </w:r>
      <w:r w:rsidRPr="00407CF9">
        <w:rPr>
          <w:rStyle w:val="afffffffff3"/>
          <w:rtl/>
        </w:rPr>
        <w:t>)</w:t>
      </w:r>
      <w:r>
        <w:rPr>
          <w:rtl/>
        </w:rPr>
        <w:t xml:space="preserve"> </w:t>
      </w:r>
      <w:r w:rsidRPr="00D72FFC">
        <w:rPr>
          <w:rFonts w:hint="cs"/>
          <w:rtl/>
        </w:rPr>
        <w:t xml:space="preserve">ערוך </w:t>
      </w:r>
      <w:r w:rsidRPr="00407CF9">
        <w:rPr>
          <w:rStyle w:val="afffffffff3"/>
          <w:rFonts w:hint="cs"/>
          <w:rtl/>
        </w:rPr>
        <w:t>(ערך אקופי, נד' בסוף גמ' עוז והדר עה:ד"ה האי)</w:t>
      </w:r>
      <w:r>
        <w:rPr>
          <w:rtl/>
        </w:rPr>
        <w:t>,</w:t>
      </w:r>
      <w:r w:rsidRPr="00407CF9">
        <w:rPr>
          <w:rFonts w:hint="cs"/>
          <w:b/>
          <w:bCs/>
          <w:rtl/>
        </w:rPr>
        <w:t xml:space="preserve"> </w:t>
      </w:r>
      <w:r w:rsidRPr="00407CF9">
        <w:rPr>
          <w:b/>
          <w:bCs/>
          <w:rtl/>
        </w:rPr>
        <w:fldChar w:fldCharType="begin"/>
      </w:r>
      <w:r w:rsidRPr="00407CF9">
        <w:rPr>
          <w:b/>
          <w:bCs/>
          <w:rtl/>
        </w:rPr>
        <w:instrText xml:space="preserve"> </w:instrText>
      </w:r>
      <w:r w:rsidRPr="00407CF9">
        <w:rPr>
          <w:rFonts w:hint="cs"/>
          <w:b/>
          <w:bCs/>
        </w:rPr>
        <w:instrText>REF</w:instrText>
      </w:r>
      <w:r w:rsidRPr="00407CF9">
        <w:rPr>
          <w:rFonts w:hint="cs"/>
          <w:b/>
          <w:bCs/>
          <w:rtl/>
        </w:rPr>
        <w:instrText xml:space="preserve"> _</w:instrText>
      </w:r>
      <w:r w:rsidRPr="00407CF9">
        <w:rPr>
          <w:rFonts w:hint="cs"/>
          <w:b/>
          <w:bCs/>
        </w:rPr>
        <w:instrText>Ref144025056 \r \h</w:instrText>
      </w:r>
      <w:r w:rsidRPr="00407CF9">
        <w:rPr>
          <w:b/>
          <w:bCs/>
          <w:rtl/>
        </w:rPr>
        <w:instrText xml:space="preserve">  \* </w:instrText>
      </w:r>
      <w:r w:rsidRPr="00407CF9">
        <w:rPr>
          <w:b/>
          <w:bCs/>
        </w:rPr>
        <w:instrText>MERGEFORMAT</w:instrText>
      </w:r>
      <w:r w:rsidRPr="00407CF9">
        <w:rPr>
          <w:b/>
          <w:bCs/>
          <w:rtl/>
        </w:rPr>
        <w:instrText xml:space="preserve"> </w:instrText>
      </w:r>
      <w:r w:rsidRPr="00407CF9">
        <w:rPr>
          <w:b/>
          <w:bCs/>
          <w:rtl/>
        </w:rPr>
      </w:r>
      <w:r w:rsidRPr="00407CF9">
        <w:rPr>
          <w:b/>
          <w:bCs/>
          <w:rtl/>
        </w:rPr>
        <w:fldChar w:fldCharType="separate"/>
      </w:r>
      <w:r w:rsidR="00D82181">
        <w:rPr>
          <w:b/>
          <w:bCs/>
          <w:cs/>
        </w:rPr>
        <w:t>‎</w:t>
      </w:r>
      <w:r w:rsidR="00D82181">
        <w:rPr>
          <w:b/>
          <w:bCs/>
          <w:rtl/>
        </w:rPr>
        <w:t>נד)</w:t>
      </w:r>
      <w:r w:rsidRPr="00407CF9">
        <w:rPr>
          <w:b/>
          <w:bCs/>
          <w:rtl/>
        </w:rPr>
        <w:fldChar w:fldCharType="end"/>
      </w:r>
      <w:r w:rsidRPr="00407CF9">
        <w:rPr>
          <w:rFonts w:hint="cs"/>
          <w:b/>
          <w:bCs/>
          <w:rtl/>
        </w:rPr>
        <w:t xml:space="preserve"> </w:t>
      </w:r>
      <w:r w:rsidRPr="00D72FFC">
        <w:rPr>
          <w:rStyle w:val="afffffffff9"/>
          <w:rFonts w:ascii="David" w:eastAsiaTheme="minorEastAsia" w:hAnsi="David" w:cs="David" w:hint="cs"/>
          <w:color w:val="auto"/>
          <w:sz w:val="16"/>
          <w:szCs w:val="16"/>
          <w:rtl/>
        </w:rPr>
        <w:t>מנחת חינוך</w:t>
      </w:r>
      <w:r w:rsidRPr="00D72FFC">
        <w:rPr>
          <w:rFonts w:hint="cs"/>
          <w:rtl/>
        </w:rPr>
        <w:t xml:space="preserve"> </w:t>
      </w:r>
      <w:r w:rsidRPr="00407CF9">
        <w:rPr>
          <w:rStyle w:val="afffffffff3"/>
          <w:rFonts w:hint="cs"/>
          <w:rtl/>
        </w:rPr>
        <w:t>(מוסך השבת האופה אות ז' ד"ה והנה)</w:t>
      </w:r>
      <w:r>
        <w:rPr>
          <w:rtl/>
        </w:rPr>
        <w:t xml:space="preserve"> </w:t>
      </w:r>
      <w:r w:rsidRPr="00D72FFC">
        <w:rPr>
          <w:rFonts w:hint="cs"/>
          <w:rtl/>
        </w:rPr>
        <w:t>קהלות יעקב</w:t>
      </w:r>
      <w:r w:rsidRPr="00D72FFC">
        <w:rPr>
          <w:rtl/>
        </w:rPr>
        <w:t xml:space="preserve"> </w:t>
      </w:r>
      <w:r w:rsidRPr="00407CF9">
        <w:rPr>
          <w:rStyle w:val="afffffffff3"/>
          <w:rFonts w:hint="cs"/>
          <w:rtl/>
        </w:rPr>
        <w:t xml:space="preserve">(עי' אות </w:t>
      </w:r>
      <w:r w:rsidRPr="00407CF9">
        <w:rPr>
          <w:rStyle w:val="afffffffff3"/>
          <w:rtl/>
        </w:rPr>
        <w:fldChar w:fldCharType="begin"/>
      </w:r>
      <w:r w:rsidRPr="00407CF9">
        <w:rPr>
          <w:rStyle w:val="afffffffff3"/>
          <w:rtl/>
        </w:rPr>
        <w:instrText xml:space="preserve"> </w:instrText>
      </w:r>
      <w:r w:rsidRPr="00407CF9">
        <w:rPr>
          <w:rStyle w:val="afffffffff3"/>
        </w:rPr>
        <w:instrText>REF</w:instrText>
      </w:r>
      <w:r w:rsidRPr="00407CF9">
        <w:rPr>
          <w:rStyle w:val="afffffffff3"/>
          <w:rtl/>
        </w:rPr>
        <w:instrText xml:space="preserve"> _</w:instrText>
      </w:r>
      <w:r w:rsidRPr="00407CF9">
        <w:rPr>
          <w:rStyle w:val="afffffffff3"/>
        </w:rPr>
        <w:instrText>Ref144223945 \r \h</w:instrText>
      </w:r>
      <w:r w:rsidRPr="00407CF9">
        <w:rPr>
          <w:rStyle w:val="afffffffff3"/>
          <w:rtl/>
        </w:rPr>
        <w:instrText xml:space="preserve">  \* </w:instrText>
      </w:r>
      <w:r w:rsidRPr="00407CF9">
        <w:rPr>
          <w:rStyle w:val="afffffffff3"/>
        </w:rPr>
        <w:instrText>MERGEFORMAT</w:instrText>
      </w:r>
      <w:r w:rsidRPr="00407CF9">
        <w:rPr>
          <w:rStyle w:val="afffffffff3"/>
          <w:rtl/>
        </w:rPr>
        <w:instrText xml:space="preserve"> </w:instrText>
      </w:r>
      <w:r w:rsidRPr="00407CF9">
        <w:rPr>
          <w:rStyle w:val="afffffffff3"/>
          <w:rtl/>
        </w:rPr>
      </w:r>
      <w:r w:rsidRPr="00407CF9">
        <w:rPr>
          <w:rStyle w:val="afffffffff3"/>
          <w:rtl/>
        </w:rPr>
        <w:fldChar w:fldCharType="separate"/>
      </w:r>
      <w:r w:rsidR="00D82181">
        <w:rPr>
          <w:rStyle w:val="afffffffff3"/>
          <w:cs/>
        </w:rPr>
        <w:t>‎</w:t>
      </w:r>
      <w:r w:rsidR="00D82181">
        <w:rPr>
          <w:rStyle w:val="afffffffff3"/>
          <w:rtl/>
        </w:rPr>
        <w:t>עג)</w:t>
      </w:r>
      <w:r w:rsidRPr="00407CF9">
        <w:rPr>
          <w:rStyle w:val="afffffffff3"/>
          <w:rtl/>
        </w:rPr>
        <w:fldChar w:fldCharType="end"/>
      </w:r>
      <w:r>
        <w:rPr>
          <w:rtl/>
        </w:rPr>
        <w:t xml:space="preserve"> </w:t>
      </w:r>
      <w:r w:rsidRPr="00D72FFC">
        <w:rPr>
          <w:rFonts w:hint="cs"/>
          <w:rtl/>
        </w:rPr>
        <w:t>דברי מרדכי</w:t>
      </w:r>
      <w:r w:rsidRPr="00D72FFC">
        <w:rPr>
          <w:rtl/>
        </w:rPr>
        <w:t xml:space="preserve"> </w:t>
      </w:r>
      <w:r w:rsidRPr="00407CF9">
        <w:rPr>
          <w:rStyle w:val="afffffffff3"/>
          <w:rFonts w:hint="cs"/>
          <w:rtl/>
        </w:rPr>
        <w:t xml:space="preserve">(עי' אות </w:t>
      </w:r>
      <w:r w:rsidRPr="00407CF9">
        <w:rPr>
          <w:rStyle w:val="afffffffff3"/>
          <w:rtl/>
        </w:rPr>
        <w:fldChar w:fldCharType="begin"/>
      </w:r>
      <w:r w:rsidRPr="00407CF9">
        <w:rPr>
          <w:rStyle w:val="afffffffff3"/>
          <w:rtl/>
        </w:rPr>
        <w:instrText xml:space="preserve"> </w:instrText>
      </w:r>
      <w:r w:rsidRPr="00407CF9">
        <w:rPr>
          <w:rStyle w:val="afffffffff3"/>
        </w:rPr>
        <w:instrText>REF</w:instrText>
      </w:r>
      <w:r w:rsidRPr="00407CF9">
        <w:rPr>
          <w:rStyle w:val="afffffffff3"/>
          <w:rtl/>
        </w:rPr>
        <w:instrText xml:space="preserve"> _</w:instrText>
      </w:r>
      <w:r w:rsidRPr="00407CF9">
        <w:rPr>
          <w:rStyle w:val="afffffffff3"/>
        </w:rPr>
        <w:instrText>Ref144117374 \r \h</w:instrText>
      </w:r>
      <w:r w:rsidRPr="00407CF9">
        <w:rPr>
          <w:rStyle w:val="afffffffff3"/>
          <w:rtl/>
        </w:rPr>
        <w:instrText xml:space="preserve">  \* </w:instrText>
      </w:r>
      <w:r w:rsidRPr="00407CF9">
        <w:rPr>
          <w:rStyle w:val="afffffffff3"/>
        </w:rPr>
        <w:instrText>MERGEFORMAT</w:instrText>
      </w:r>
      <w:r w:rsidRPr="00407CF9">
        <w:rPr>
          <w:rStyle w:val="afffffffff3"/>
          <w:rtl/>
        </w:rPr>
        <w:instrText xml:space="preserve"> </w:instrText>
      </w:r>
      <w:r w:rsidRPr="00407CF9">
        <w:rPr>
          <w:rStyle w:val="afffffffff3"/>
          <w:rtl/>
        </w:rPr>
      </w:r>
      <w:r w:rsidRPr="00407CF9">
        <w:rPr>
          <w:rStyle w:val="afffffffff3"/>
          <w:rtl/>
        </w:rPr>
        <w:fldChar w:fldCharType="separate"/>
      </w:r>
      <w:r w:rsidR="00D82181">
        <w:rPr>
          <w:rStyle w:val="afffffffff3"/>
          <w:cs/>
        </w:rPr>
        <w:t>‎</w:t>
      </w:r>
      <w:r w:rsidR="00D82181">
        <w:rPr>
          <w:rStyle w:val="afffffffff3"/>
          <w:rtl/>
        </w:rPr>
        <w:t>עה)</w:t>
      </w:r>
      <w:r w:rsidRPr="00407CF9">
        <w:rPr>
          <w:rStyle w:val="afffffffff3"/>
          <w:rtl/>
        </w:rPr>
        <w:fldChar w:fldCharType="end"/>
      </w:r>
      <w:r>
        <w:rPr>
          <w:rtl/>
        </w:rPr>
        <w:t>,</w:t>
      </w:r>
      <w:r w:rsidRPr="00407CF9">
        <w:rPr>
          <w:rStyle w:val="afffffffff9"/>
          <w:rFonts w:ascii="David" w:eastAsiaTheme="minorEastAsia" w:hAnsi="David" w:cs="David" w:hint="cs"/>
          <w:b/>
          <w:bCs/>
          <w:color w:val="auto"/>
          <w:sz w:val="16"/>
          <w:szCs w:val="16"/>
          <w:rtl/>
        </w:rPr>
        <w:t xml:space="preserve"> </w:t>
      </w:r>
      <w:r w:rsidRPr="00407CF9">
        <w:rPr>
          <w:rStyle w:val="afffffffff9"/>
          <w:rFonts w:ascii="David" w:eastAsiaTheme="minorEastAsia" w:hAnsi="David" w:cs="David"/>
          <w:b/>
          <w:bCs/>
          <w:color w:val="auto"/>
          <w:sz w:val="16"/>
          <w:szCs w:val="16"/>
          <w:rtl/>
        </w:rPr>
        <w:fldChar w:fldCharType="begin"/>
      </w:r>
      <w:r w:rsidRPr="00407CF9">
        <w:rPr>
          <w:rStyle w:val="afffffffff9"/>
          <w:rFonts w:ascii="David" w:eastAsiaTheme="minorEastAsia" w:hAnsi="David" w:cs="David"/>
          <w:b/>
          <w:bCs/>
          <w:color w:val="auto"/>
          <w:sz w:val="16"/>
          <w:szCs w:val="16"/>
          <w:rtl/>
        </w:rPr>
        <w:instrText xml:space="preserve"> </w:instrText>
      </w:r>
      <w:r w:rsidRPr="00407CF9">
        <w:rPr>
          <w:rStyle w:val="afffffffff9"/>
          <w:rFonts w:ascii="David" w:eastAsiaTheme="minorEastAsia" w:hAnsi="David" w:cs="David" w:hint="cs"/>
          <w:b/>
          <w:bCs/>
          <w:color w:val="auto"/>
          <w:sz w:val="16"/>
          <w:szCs w:val="16"/>
        </w:rPr>
        <w:instrText>REF</w:instrText>
      </w:r>
      <w:r w:rsidRPr="00407CF9">
        <w:rPr>
          <w:rStyle w:val="afffffffff9"/>
          <w:rFonts w:ascii="David" w:eastAsiaTheme="minorEastAsia" w:hAnsi="David" w:cs="David" w:hint="cs"/>
          <w:b/>
          <w:bCs/>
          <w:color w:val="auto"/>
          <w:sz w:val="16"/>
          <w:szCs w:val="16"/>
          <w:rtl/>
        </w:rPr>
        <w:instrText xml:space="preserve"> _</w:instrText>
      </w:r>
      <w:r w:rsidRPr="00407CF9">
        <w:rPr>
          <w:rStyle w:val="afffffffff9"/>
          <w:rFonts w:ascii="David" w:eastAsiaTheme="minorEastAsia" w:hAnsi="David" w:cs="David" w:hint="cs"/>
          <w:b/>
          <w:bCs/>
          <w:color w:val="auto"/>
          <w:sz w:val="16"/>
          <w:szCs w:val="16"/>
        </w:rPr>
        <w:instrText>Ref143877995 \r \h</w:instrText>
      </w:r>
      <w:r w:rsidRPr="00407CF9">
        <w:rPr>
          <w:rStyle w:val="afffffffff9"/>
          <w:rFonts w:ascii="David" w:eastAsiaTheme="minorEastAsia" w:hAnsi="David" w:cs="David"/>
          <w:b/>
          <w:bCs/>
          <w:color w:val="auto"/>
          <w:sz w:val="16"/>
          <w:szCs w:val="16"/>
          <w:rtl/>
        </w:rPr>
        <w:instrText xml:space="preserve">  \* </w:instrText>
      </w:r>
      <w:r w:rsidRPr="00407CF9">
        <w:rPr>
          <w:rStyle w:val="afffffffff9"/>
          <w:rFonts w:ascii="David" w:eastAsiaTheme="minorEastAsia" w:hAnsi="David" w:cs="David"/>
          <w:b/>
          <w:bCs/>
          <w:color w:val="auto"/>
          <w:sz w:val="16"/>
          <w:szCs w:val="16"/>
        </w:rPr>
        <w:instrText>MERGEFORMAT</w:instrText>
      </w:r>
      <w:r w:rsidRPr="00407CF9">
        <w:rPr>
          <w:rStyle w:val="afffffffff9"/>
          <w:rFonts w:ascii="David" w:eastAsiaTheme="minorEastAsia" w:hAnsi="David" w:cs="David"/>
          <w:b/>
          <w:bCs/>
          <w:color w:val="auto"/>
          <w:sz w:val="16"/>
          <w:szCs w:val="16"/>
          <w:rtl/>
        </w:rPr>
        <w:instrText xml:space="preserve"> </w:instrText>
      </w:r>
      <w:r w:rsidRPr="00407CF9">
        <w:rPr>
          <w:rStyle w:val="afffffffff9"/>
          <w:rFonts w:ascii="David" w:eastAsiaTheme="minorEastAsia" w:hAnsi="David" w:cs="David"/>
          <w:b/>
          <w:bCs/>
          <w:color w:val="auto"/>
          <w:sz w:val="16"/>
          <w:szCs w:val="16"/>
          <w:rtl/>
        </w:rPr>
      </w:r>
      <w:r w:rsidRPr="00407CF9">
        <w:rPr>
          <w:rStyle w:val="afffffffff9"/>
          <w:rFonts w:ascii="David" w:eastAsiaTheme="minorEastAsia" w:hAnsi="David" w:cs="David"/>
          <w:b/>
          <w:bCs/>
          <w:color w:val="auto"/>
          <w:sz w:val="16"/>
          <w:szCs w:val="16"/>
          <w:rtl/>
        </w:rPr>
        <w:fldChar w:fldCharType="separate"/>
      </w:r>
      <w:r w:rsidR="00D82181">
        <w:rPr>
          <w:rStyle w:val="afffffffff9"/>
          <w:rFonts w:ascii="David" w:eastAsiaTheme="minorEastAsia" w:hAnsi="David" w:cs="David"/>
          <w:b/>
          <w:bCs/>
          <w:color w:val="auto"/>
          <w:sz w:val="16"/>
          <w:szCs w:val="16"/>
          <w:cs/>
        </w:rPr>
        <w:t>‎</w:t>
      </w:r>
      <w:r w:rsidR="00D82181">
        <w:rPr>
          <w:rStyle w:val="afffffffff9"/>
          <w:rFonts w:ascii="David" w:eastAsiaTheme="minorEastAsia" w:hAnsi="David" w:cs="David"/>
          <w:b/>
          <w:bCs/>
          <w:color w:val="auto"/>
          <w:sz w:val="16"/>
          <w:szCs w:val="16"/>
          <w:rtl/>
        </w:rPr>
        <w:t>נז)</w:t>
      </w:r>
      <w:r w:rsidRPr="00407CF9">
        <w:rPr>
          <w:rStyle w:val="afffffffff9"/>
          <w:rFonts w:ascii="David" w:eastAsiaTheme="minorEastAsia" w:hAnsi="David" w:cs="David"/>
          <w:b/>
          <w:bCs/>
          <w:color w:val="auto"/>
          <w:sz w:val="16"/>
          <w:szCs w:val="16"/>
          <w:rtl/>
        </w:rPr>
        <w:fldChar w:fldCharType="end"/>
      </w:r>
      <w:r w:rsidRPr="00407CF9">
        <w:rPr>
          <w:rStyle w:val="afffffffff9"/>
          <w:rFonts w:ascii="David" w:eastAsiaTheme="minorEastAsia" w:hAnsi="David" w:cs="David" w:hint="cs"/>
          <w:b/>
          <w:bCs/>
          <w:color w:val="auto"/>
          <w:sz w:val="16"/>
          <w:szCs w:val="16"/>
          <w:rtl/>
        </w:rPr>
        <w:t xml:space="preserve"> </w:t>
      </w:r>
      <w:r w:rsidRPr="00D72FFC">
        <w:rPr>
          <w:rStyle w:val="afffffffff9"/>
          <w:rFonts w:ascii="David" w:eastAsiaTheme="minorEastAsia" w:hAnsi="David" w:cs="David" w:hint="cs"/>
          <w:color w:val="auto"/>
          <w:sz w:val="16"/>
          <w:szCs w:val="16"/>
          <w:rtl/>
        </w:rPr>
        <w:t>אמרי בינה</w:t>
      </w:r>
      <w:r w:rsidRPr="00D72FFC">
        <w:rPr>
          <w:rtl/>
        </w:rPr>
        <w:t xml:space="preserve"> </w:t>
      </w:r>
      <w:r w:rsidRPr="00407CF9">
        <w:rPr>
          <w:rStyle w:val="afffffffff3"/>
          <w:rtl/>
        </w:rPr>
        <w:t xml:space="preserve">(שבת קד: </w:t>
      </w:r>
      <w:r w:rsidRPr="00407CF9">
        <w:rPr>
          <w:rStyle w:val="afffffffff3"/>
          <w:rFonts w:hint="cs"/>
          <w:rtl/>
        </w:rPr>
        <w:t>סי' כ"א ד"ה כתב הרמ"א</w:t>
      </w:r>
      <w:r w:rsidRPr="00407CF9">
        <w:rPr>
          <w:rStyle w:val="afffffffff3"/>
          <w:rtl/>
        </w:rPr>
        <w:t>)</w:t>
      </w:r>
      <w:r>
        <w:rPr>
          <w:rtl/>
        </w:rPr>
        <w:t>,</w:t>
      </w:r>
      <w:r w:rsidRPr="00407CF9">
        <w:rPr>
          <w:rStyle w:val="afffffffff9"/>
          <w:rFonts w:ascii="David" w:eastAsiaTheme="minorEastAsia" w:hAnsi="David" w:cs="David" w:hint="cs"/>
          <w:b/>
          <w:bCs/>
          <w:color w:val="auto"/>
          <w:sz w:val="16"/>
          <w:szCs w:val="16"/>
          <w:rtl/>
        </w:rPr>
        <w:t xml:space="preserve"> </w:t>
      </w:r>
      <w:r w:rsidRPr="00407CF9">
        <w:rPr>
          <w:rStyle w:val="afffffffff9"/>
          <w:rFonts w:ascii="David" w:eastAsiaTheme="minorEastAsia" w:hAnsi="David" w:cs="David"/>
          <w:b/>
          <w:bCs/>
          <w:color w:val="auto"/>
          <w:sz w:val="16"/>
          <w:szCs w:val="16"/>
          <w:rtl/>
        </w:rPr>
        <w:fldChar w:fldCharType="begin"/>
      </w:r>
      <w:r w:rsidRPr="00407CF9">
        <w:rPr>
          <w:rStyle w:val="afffffffff9"/>
          <w:rFonts w:ascii="David" w:eastAsiaTheme="minorEastAsia" w:hAnsi="David" w:cs="David"/>
          <w:b/>
          <w:bCs/>
          <w:color w:val="auto"/>
          <w:sz w:val="16"/>
          <w:szCs w:val="16"/>
          <w:rtl/>
        </w:rPr>
        <w:instrText xml:space="preserve"> </w:instrText>
      </w:r>
      <w:r w:rsidRPr="00407CF9">
        <w:rPr>
          <w:rStyle w:val="afffffffff9"/>
          <w:rFonts w:ascii="David" w:eastAsiaTheme="minorEastAsia" w:hAnsi="David" w:cs="David" w:hint="cs"/>
          <w:b/>
          <w:bCs/>
          <w:color w:val="auto"/>
          <w:sz w:val="16"/>
          <w:szCs w:val="16"/>
        </w:rPr>
        <w:instrText>REF</w:instrText>
      </w:r>
      <w:r w:rsidRPr="00407CF9">
        <w:rPr>
          <w:rStyle w:val="afffffffff9"/>
          <w:rFonts w:ascii="David" w:eastAsiaTheme="minorEastAsia" w:hAnsi="David" w:cs="David" w:hint="cs"/>
          <w:b/>
          <w:bCs/>
          <w:color w:val="auto"/>
          <w:sz w:val="16"/>
          <w:szCs w:val="16"/>
          <w:rtl/>
        </w:rPr>
        <w:instrText xml:space="preserve"> _</w:instrText>
      </w:r>
      <w:r w:rsidRPr="00407CF9">
        <w:rPr>
          <w:rStyle w:val="afffffffff9"/>
          <w:rFonts w:ascii="David" w:eastAsiaTheme="minorEastAsia" w:hAnsi="David" w:cs="David" w:hint="cs"/>
          <w:b/>
          <w:bCs/>
          <w:color w:val="auto"/>
          <w:sz w:val="16"/>
          <w:szCs w:val="16"/>
        </w:rPr>
        <w:instrText>Ref143979455 \r \h</w:instrText>
      </w:r>
      <w:r w:rsidRPr="00407CF9">
        <w:rPr>
          <w:rStyle w:val="afffffffff9"/>
          <w:rFonts w:ascii="David" w:eastAsiaTheme="minorEastAsia" w:hAnsi="David" w:cs="David"/>
          <w:b/>
          <w:bCs/>
          <w:color w:val="auto"/>
          <w:sz w:val="16"/>
          <w:szCs w:val="16"/>
          <w:rtl/>
        </w:rPr>
        <w:instrText xml:space="preserve">  \* </w:instrText>
      </w:r>
      <w:r w:rsidRPr="00407CF9">
        <w:rPr>
          <w:rStyle w:val="afffffffff9"/>
          <w:rFonts w:ascii="David" w:eastAsiaTheme="minorEastAsia" w:hAnsi="David" w:cs="David"/>
          <w:b/>
          <w:bCs/>
          <w:color w:val="auto"/>
          <w:sz w:val="16"/>
          <w:szCs w:val="16"/>
        </w:rPr>
        <w:instrText>MERGEFORMAT</w:instrText>
      </w:r>
      <w:r w:rsidRPr="00407CF9">
        <w:rPr>
          <w:rStyle w:val="afffffffff9"/>
          <w:rFonts w:ascii="David" w:eastAsiaTheme="minorEastAsia" w:hAnsi="David" w:cs="David"/>
          <w:b/>
          <w:bCs/>
          <w:color w:val="auto"/>
          <w:sz w:val="16"/>
          <w:szCs w:val="16"/>
          <w:rtl/>
        </w:rPr>
        <w:instrText xml:space="preserve"> </w:instrText>
      </w:r>
      <w:r w:rsidRPr="00407CF9">
        <w:rPr>
          <w:rStyle w:val="afffffffff9"/>
          <w:rFonts w:ascii="David" w:eastAsiaTheme="minorEastAsia" w:hAnsi="David" w:cs="David"/>
          <w:b/>
          <w:bCs/>
          <w:color w:val="auto"/>
          <w:sz w:val="16"/>
          <w:szCs w:val="16"/>
          <w:rtl/>
        </w:rPr>
      </w:r>
      <w:r w:rsidRPr="00407CF9">
        <w:rPr>
          <w:rStyle w:val="afffffffff9"/>
          <w:rFonts w:ascii="David" w:eastAsiaTheme="minorEastAsia" w:hAnsi="David" w:cs="David"/>
          <w:b/>
          <w:bCs/>
          <w:color w:val="auto"/>
          <w:sz w:val="16"/>
          <w:szCs w:val="16"/>
          <w:rtl/>
        </w:rPr>
        <w:fldChar w:fldCharType="separate"/>
      </w:r>
      <w:r w:rsidR="00D82181">
        <w:rPr>
          <w:rStyle w:val="afffffffff9"/>
          <w:rFonts w:ascii="David" w:eastAsiaTheme="minorEastAsia" w:hAnsi="David" w:cs="David"/>
          <w:b/>
          <w:bCs/>
          <w:color w:val="auto"/>
          <w:sz w:val="16"/>
          <w:szCs w:val="16"/>
          <w:cs/>
        </w:rPr>
        <w:t>‎</w:t>
      </w:r>
      <w:r w:rsidR="00D82181">
        <w:rPr>
          <w:rStyle w:val="afffffffff9"/>
          <w:rFonts w:ascii="David" w:eastAsiaTheme="minorEastAsia" w:hAnsi="David" w:cs="David"/>
          <w:b/>
          <w:bCs/>
          <w:color w:val="auto"/>
          <w:sz w:val="16"/>
          <w:szCs w:val="16"/>
          <w:rtl/>
        </w:rPr>
        <w:t>נח)</w:t>
      </w:r>
      <w:r w:rsidRPr="00407CF9">
        <w:rPr>
          <w:rStyle w:val="afffffffff9"/>
          <w:rFonts w:ascii="David" w:eastAsiaTheme="minorEastAsia" w:hAnsi="David" w:cs="David"/>
          <w:b/>
          <w:bCs/>
          <w:color w:val="auto"/>
          <w:sz w:val="16"/>
          <w:szCs w:val="16"/>
          <w:rtl/>
        </w:rPr>
        <w:fldChar w:fldCharType="end"/>
      </w:r>
      <w:r w:rsidRPr="00407CF9">
        <w:rPr>
          <w:rStyle w:val="afffffffff9"/>
          <w:rFonts w:ascii="David" w:eastAsiaTheme="minorEastAsia" w:hAnsi="David" w:cs="David" w:hint="cs"/>
          <w:b/>
          <w:bCs/>
          <w:color w:val="auto"/>
          <w:sz w:val="16"/>
          <w:szCs w:val="16"/>
          <w:rtl/>
        </w:rPr>
        <w:t xml:space="preserve"> </w:t>
      </w:r>
      <w:r w:rsidRPr="00D72FFC">
        <w:rPr>
          <w:rStyle w:val="afffffffff9"/>
          <w:rFonts w:ascii="David" w:eastAsiaTheme="minorEastAsia" w:hAnsi="David" w:cs="David" w:hint="cs"/>
          <w:color w:val="auto"/>
          <w:sz w:val="16"/>
          <w:szCs w:val="16"/>
          <w:rtl/>
        </w:rPr>
        <w:t>מנחת שלמה</w:t>
      </w:r>
      <w:r w:rsidRPr="00D72FFC">
        <w:rPr>
          <w:rFonts w:hint="cs"/>
          <w:rtl/>
        </w:rPr>
        <w:t xml:space="preserve"> </w:t>
      </w:r>
      <w:r w:rsidRPr="00407CF9">
        <w:rPr>
          <w:rStyle w:val="afffffffff3"/>
          <w:rFonts w:hint="cs"/>
          <w:rtl/>
        </w:rPr>
        <w:t>(תניינא סי' מ' ד"ה והנה טעמא)</w:t>
      </w:r>
      <w:r>
        <w:rPr>
          <w:rtl/>
        </w:rPr>
        <w:t>,</w:t>
      </w:r>
      <w:r w:rsidRPr="00407CF9">
        <w:rPr>
          <w:rFonts w:hint="cs"/>
          <w:b/>
          <w:bCs/>
          <w:rtl/>
        </w:rPr>
        <w:t xml:space="preserve"> </w:t>
      </w:r>
      <w:r w:rsidRPr="00407CF9">
        <w:rPr>
          <w:b/>
          <w:bCs/>
          <w:rtl/>
        </w:rPr>
        <w:fldChar w:fldCharType="begin"/>
      </w:r>
      <w:r w:rsidRPr="00407CF9">
        <w:rPr>
          <w:b/>
          <w:bCs/>
          <w:rtl/>
        </w:rPr>
        <w:instrText xml:space="preserve"> </w:instrText>
      </w:r>
      <w:r w:rsidRPr="00407CF9">
        <w:rPr>
          <w:rFonts w:hint="cs"/>
          <w:b/>
          <w:bCs/>
        </w:rPr>
        <w:instrText>REF</w:instrText>
      </w:r>
      <w:r w:rsidRPr="00407CF9">
        <w:rPr>
          <w:rFonts w:hint="cs"/>
          <w:b/>
          <w:bCs/>
          <w:rtl/>
        </w:rPr>
        <w:instrText xml:space="preserve"> _</w:instrText>
      </w:r>
      <w:r w:rsidRPr="00407CF9">
        <w:rPr>
          <w:rFonts w:hint="cs"/>
          <w:b/>
          <w:bCs/>
        </w:rPr>
        <w:instrText>Ref144156268 \r \h</w:instrText>
      </w:r>
      <w:r w:rsidRPr="00407CF9">
        <w:rPr>
          <w:b/>
          <w:bCs/>
          <w:rtl/>
        </w:rPr>
        <w:instrText xml:space="preserve">  \* </w:instrText>
      </w:r>
      <w:r w:rsidRPr="00407CF9">
        <w:rPr>
          <w:b/>
          <w:bCs/>
        </w:rPr>
        <w:instrText>MERGEFORMAT</w:instrText>
      </w:r>
      <w:r w:rsidRPr="00407CF9">
        <w:rPr>
          <w:b/>
          <w:bCs/>
          <w:rtl/>
        </w:rPr>
        <w:instrText xml:space="preserve"> </w:instrText>
      </w:r>
      <w:r w:rsidRPr="00407CF9">
        <w:rPr>
          <w:b/>
          <w:bCs/>
          <w:rtl/>
        </w:rPr>
      </w:r>
      <w:r w:rsidRPr="00407CF9">
        <w:rPr>
          <w:b/>
          <w:bCs/>
          <w:rtl/>
        </w:rPr>
        <w:fldChar w:fldCharType="separate"/>
      </w:r>
      <w:r w:rsidR="00D82181">
        <w:rPr>
          <w:b/>
          <w:bCs/>
          <w:cs/>
        </w:rPr>
        <w:t>‎</w:t>
      </w:r>
      <w:r w:rsidR="00D82181">
        <w:rPr>
          <w:b/>
          <w:bCs/>
          <w:rtl/>
        </w:rPr>
        <w:t>נט)</w:t>
      </w:r>
      <w:r w:rsidRPr="00407CF9">
        <w:rPr>
          <w:b/>
          <w:bCs/>
          <w:rtl/>
        </w:rPr>
        <w:fldChar w:fldCharType="end"/>
      </w:r>
      <w:r w:rsidRPr="00407CF9">
        <w:rPr>
          <w:rFonts w:hint="cs"/>
          <w:b/>
          <w:bCs/>
          <w:rtl/>
        </w:rPr>
        <w:t xml:space="preserve"> </w:t>
      </w:r>
      <w:r w:rsidRPr="00D72FFC">
        <w:rPr>
          <w:rFonts w:hint="cs"/>
          <w:rtl/>
        </w:rPr>
        <w:t>שפת אמת לעיל</w:t>
      </w:r>
      <w:r w:rsidRPr="00D72FFC">
        <w:rPr>
          <w:rtl/>
        </w:rPr>
        <w:t xml:space="preserve"> </w:t>
      </w:r>
      <w:r w:rsidRPr="00407CF9">
        <w:rPr>
          <w:rStyle w:val="afffffffff3"/>
          <w:rtl/>
        </w:rPr>
        <w:t>(</w:t>
      </w:r>
      <w:r w:rsidRPr="00407CF9">
        <w:rPr>
          <w:rStyle w:val="afffffffff3"/>
          <w:rFonts w:hint="cs"/>
          <w:rtl/>
        </w:rPr>
        <w:t>עד: ד"ה אמר ר"א</w:t>
      </w:r>
      <w:r w:rsidRPr="00407CF9">
        <w:rPr>
          <w:rStyle w:val="afffffffff3"/>
          <w:rtl/>
        </w:rPr>
        <w:t>)</w:t>
      </w:r>
    </w:p>
    <w:p w14:paraId="30BF2E92" w14:textId="77777777" w:rsidR="00A14FDA" w:rsidRDefault="00A14FDA" w:rsidP="00A14FDA">
      <w:pPr>
        <w:pStyle w:val="TOC2"/>
        <w:rPr>
          <w:rFonts w:cstheme="minorBidi"/>
          <w:b w:val="0"/>
          <w:bCs w:val="0"/>
          <w:sz w:val="22"/>
          <w:szCs w:val="22"/>
          <w:rtl/>
        </w:rPr>
      </w:pPr>
      <w:hyperlink w:anchor="_Toc144225260" w:history="1">
        <w:r w:rsidRPr="00FD7F30">
          <w:rPr>
            <w:rStyle w:val="Hyperlink"/>
            <w:rtl/>
          </w:rPr>
          <w:t>בי' הראשונים במכ"פ במסתת אי שייך לחייב אף ממחק ומחתך</w:t>
        </w:r>
      </w:hyperlink>
    </w:p>
    <w:p w14:paraId="316A5395" w14:textId="77777777" w:rsidR="00A14FDA" w:rsidRDefault="00A14FDA" w:rsidP="00ED704E">
      <w:pPr>
        <w:pStyle w:val="TOC3"/>
        <w:rPr>
          <w:rFonts w:asciiTheme="minorHAnsi" w:eastAsiaTheme="minorEastAsia" w:hAnsiTheme="minorHAnsi" w:cstheme="minorBidi"/>
          <w:sz w:val="22"/>
          <w:szCs w:val="22"/>
          <w:rtl/>
        </w:rPr>
      </w:pPr>
      <w:hyperlink w:anchor="_Toc144225261" w:history="1">
        <w:r w:rsidRPr="00FD7F30">
          <w:rPr>
            <w:rStyle w:val="Hyperlink"/>
            <w:rtl/>
          </w:rPr>
          <w:t>בי' התוס' דבמסתת איירי באופן שאין חיוב ממחק ומחתך ובי' המיוחס לר"ן דחייב בממחק</w:t>
        </w:r>
      </w:hyperlink>
    </w:p>
    <w:p w14:paraId="57154BFA" w14:textId="77777777" w:rsidR="00A14FDA" w:rsidRDefault="00A14FDA" w:rsidP="00ED704E">
      <w:pPr>
        <w:pStyle w:val="TOC3"/>
        <w:rPr>
          <w:rFonts w:asciiTheme="minorHAnsi" w:eastAsiaTheme="minorEastAsia" w:hAnsiTheme="minorHAnsi" w:cstheme="minorBidi"/>
          <w:sz w:val="22"/>
          <w:szCs w:val="22"/>
          <w:rtl/>
        </w:rPr>
      </w:pPr>
      <w:hyperlink w:anchor="_Toc144225262" w:history="1">
        <w:r w:rsidRPr="00FD7F30">
          <w:rPr>
            <w:rStyle w:val="Hyperlink"/>
            <w:rtl/>
          </w:rPr>
          <w:t>בי' המאירי דבמסתת איירי באופן שלא שייך חיוב ממחק ומחתך דעושה לנוי וכן בצר צורה</w:t>
        </w:r>
      </w:hyperlink>
    </w:p>
    <w:p w14:paraId="67108F48" w14:textId="77777777" w:rsidR="00A14FDA" w:rsidRDefault="00A14FDA" w:rsidP="00ED704E">
      <w:pPr>
        <w:pStyle w:val="TOC3"/>
        <w:rPr>
          <w:rFonts w:asciiTheme="minorHAnsi" w:eastAsiaTheme="minorEastAsia" w:hAnsiTheme="minorHAnsi" w:cstheme="minorBidi"/>
          <w:sz w:val="22"/>
          <w:szCs w:val="22"/>
          <w:rtl/>
        </w:rPr>
      </w:pPr>
      <w:hyperlink w:anchor="_Toc144225263" w:history="1">
        <w:r w:rsidRPr="00FD7F30">
          <w:rPr>
            <w:rStyle w:val="Hyperlink"/>
            <w:rtl/>
          </w:rPr>
          <w:t>בי' הר"י מגאש דחיוב מחתך רק כשא"צ את העור עצמו אבל מכב"פ במסתת צריך את האבן</w:t>
        </w:r>
      </w:hyperlink>
    </w:p>
    <w:p w14:paraId="0155B8B8" w14:textId="77777777" w:rsidR="00A14FDA" w:rsidRDefault="00A14FDA" w:rsidP="00A14FDA">
      <w:pPr>
        <w:pStyle w:val="TOC2"/>
        <w:rPr>
          <w:rFonts w:cstheme="minorBidi"/>
          <w:b w:val="0"/>
          <w:bCs w:val="0"/>
          <w:sz w:val="22"/>
          <w:szCs w:val="22"/>
          <w:rtl/>
        </w:rPr>
      </w:pPr>
      <w:hyperlink w:anchor="_Toc144225264" w:history="1">
        <w:r w:rsidRPr="00FD7F30">
          <w:rPr>
            <w:rStyle w:val="Hyperlink"/>
            <w:rtl/>
          </w:rPr>
          <w:t>בי' הרמב"ם בדיני מכב"פ ואי ס"ל דחייב גם במלאכה אחרת</w:t>
        </w:r>
      </w:hyperlink>
    </w:p>
    <w:p w14:paraId="509C0C1C" w14:textId="77777777" w:rsidR="00A14FDA" w:rsidRDefault="00A14FDA" w:rsidP="00ED704E">
      <w:pPr>
        <w:pStyle w:val="TOC3"/>
        <w:rPr>
          <w:rFonts w:asciiTheme="minorHAnsi" w:eastAsiaTheme="minorEastAsia" w:hAnsiTheme="minorHAnsi" w:cstheme="minorBidi"/>
          <w:sz w:val="22"/>
          <w:szCs w:val="22"/>
          <w:rtl/>
        </w:rPr>
      </w:pPr>
      <w:hyperlink w:anchor="_Toc144225265" w:history="1">
        <w:r w:rsidRPr="00FD7F30">
          <w:rPr>
            <w:rStyle w:val="Hyperlink"/>
            <w:rtl/>
          </w:rPr>
          <w:t>בי' הרמב"ם דמכב"פ בהכאה אחת חייב וכל גמר מלאכה הוא תולדה דמכב"פ ומקצת צורה חייב</w:t>
        </w:r>
      </w:hyperlink>
    </w:p>
    <w:p w14:paraId="0D8980E4" w14:textId="77777777" w:rsidR="00A14FDA" w:rsidRDefault="00A14FDA" w:rsidP="00ED704E">
      <w:pPr>
        <w:pStyle w:val="TOC3"/>
        <w:rPr>
          <w:rFonts w:asciiTheme="minorHAnsi" w:eastAsiaTheme="minorEastAsia" w:hAnsiTheme="minorHAnsi" w:cstheme="minorBidi"/>
          <w:sz w:val="22"/>
          <w:szCs w:val="22"/>
          <w:rtl/>
        </w:rPr>
      </w:pPr>
      <w:hyperlink w:anchor="_Toc144225266" w:history="1">
        <w:r w:rsidRPr="00FD7F30">
          <w:rPr>
            <w:rStyle w:val="Hyperlink"/>
            <w:rtl/>
          </w:rPr>
          <w:t>בי' הרמב"ם דבפתח במורסא חייב דהוא מלאכת הרופא ומכב"פ אף במסתת ואקופי גלימי</w:t>
        </w:r>
      </w:hyperlink>
    </w:p>
    <w:p w14:paraId="6F226D49" w14:textId="77777777" w:rsidR="00A14FDA" w:rsidRDefault="00A14FDA" w:rsidP="00ED704E">
      <w:pPr>
        <w:pStyle w:val="TOC3"/>
        <w:rPr>
          <w:rFonts w:asciiTheme="minorHAnsi" w:eastAsiaTheme="minorEastAsia" w:hAnsiTheme="minorHAnsi" w:cstheme="minorBidi"/>
          <w:sz w:val="22"/>
          <w:szCs w:val="22"/>
          <w:rtl/>
        </w:rPr>
      </w:pPr>
      <w:hyperlink w:anchor="_Toc144225267" w:history="1">
        <w:r w:rsidRPr="00FD7F30">
          <w:rPr>
            <w:rStyle w:val="Hyperlink"/>
            <w:rtl/>
          </w:rPr>
          <w:t>בי' הרמב"ם דהעושה נקב בלול של תרנגולים לאורה חייב משום בונה כדעת רב</w:t>
        </w:r>
      </w:hyperlink>
    </w:p>
    <w:p w14:paraId="16C78E25" w14:textId="77777777" w:rsidR="00A14FDA" w:rsidRDefault="00A14FDA" w:rsidP="00ED704E">
      <w:pPr>
        <w:pStyle w:val="TOC3"/>
        <w:rPr>
          <w:rFonts w:asciiTheme="minorHAnsi" w:eastAsiaTheme="minorEastAsia" w:hAnsiTheme="minorHAnsi" w:cstheme="minorBidi"/>
          <w:sz w:val="22"/>
          <w:szCs w:val="22"/>
          <w:rtl/>
        </w:rPr>
      </w:pPr>
      <w:hyperlink w:anchor="_Toc144225268" w:history="1">
        <w:r w:rsidRPr="00FD7F30">
          <w:rPr>
            <w:rStyle w:val="Hyperlink"/>
            <w:rtl/>
          </w:rPr>
          <w:t>קו' הכס"מ והלח"מ בסתירת הרמב"ם דכתב דעושה נקב חייב במכב"פ וה"ה נקב בלול תרנגולים</w:t>
        </w:r>
      </w:hyperlink>
    </w:p>
    <w:p w14:paraId="00A4E867" w14:textId="77777777" w:rsidR="00A14FDA" w:rsidRDefault="00A14FDA" w:rsidP="00ED704E">
      <w:pPr>
        <w:pStyle w:val="TOC3"/>
        <w:rPr>
          <w:rFonts w:asciiTheme="minorHAnsi" w:eastAsiaTheme="minorEastAsia" w:hAnsiTheme="minorHAnsi" w:cstheme="minorBidi"/>
          <w:sz w:val="22"/>
          <w:szCs w:val="22"/>
          <w:rtl/>
        </w:rPr>
      </w:pPr>
      <w:hyperlink w:anchor="_Toc144225269" w:history="1">
        <w:r w:rsidRPr="00FD7F30">
          <w:rPr>
            <w:rStyle w:val="Hyperlink"/>
            <w:rtl/>
          </w:rPr>
          <w:t>בי' הלח"מ והגר"א והמנ"ח ברמב"ם דרב מחייב בלול תרנגולים גם משום בונה וגם במכב"פ</w:t>
        </w:r>
      </w:hyperlink>
    </w:p>
    <w:p w14:paraId="51746B6B" w14:textId="77777777" w:rsidR="00A14FDA" w:rsidRDefault="00A14FDA" w:rsidP="00ED704E">
      <w:pPr>
        <w:pStyle w:val="TOC3"/>
        <w:rPr>
          <w:rFonts w:asciiTheme="minorHAnsi" w:eastAsiaTheme="minorEastAsia" w:hAnsiTheme="minorHAnsi" w:cstheme="minorBidi"/>
          <w:sz w:val="22"/>
          <w:szCs w:val="22"/>
          <w:rtl/>
        </w:rPr>
      </w:pPr>
      <w:hyperlink w:anchor="_Toc144225270" w:history="1">
        <w:r w:rsidRPr="00FD7F30">
          <w:rPr>
            <w:rStyle w:val="Hyperlink"/>
            <w:rtl/>
          </w:rPr>
          <w:t>בי' המרכה"מ ברמב"ם דא"א לחייב בכל מלאכה גם מבכב"פ ובנקב גדול גמר מלאכה ומכב"פ</w:t>
        </w:r>
      </w:hyperlink>
    </w:p>
    <w:p w14:paraId="7A49C3F5" w14:textId="77777777" w:rsidR="00A14FDA" w:rsidRDefault="00A14FDA" w:rsidP="00ED704E">
      <w:pPr>
        <w:pStyle w:val="TOC3"/>
        <w:rPr>
          <w:rFonts w:asciiTheme="minorHAnsi" w:eastAsiaTheme="minorEastAsia" w:hAnsiTheme="minorHAnsi" w:cstheme="minorBidi"/>
          <w:sz w:val="22"/>
          <w:szCs w:val="22"/>
          <w:rtl/>
        </w:rPr>
      </w:pPr>
      <w:hyperlink w:anchor="_Toc144225271" w:history="1">
        <w:r w:rsidRPr="00FD7F30">
          <w:rPr>
            <w:rStyle w:val="Hyperlink"/>
            <w:rtl/>
          </w:rPr>
          <w:t>בי' המג"א ברמב"ם דבלול המחובר לקרקע חייב משום בונה ובאינו מחובר משום מכב"פ</w:t>
        </w:r>
      </w:hyperlink>
    </w:p>
    <w:p w14:paraId="7AEF7C5F" w14:textId="77777777" w:rsidR="00A14FDA" w:rsidRDefault="00A14FDA" w:rsidP="00A14FDA">
      <w:pPr>
        <w:pStyle w:val="TOC2"/>
        <w:rPr>
          <w:rFonts w:cstheme="minorBidi"/>
          <w:b w:val="0"/>
          <w:bCs w:val="0"/>
          <w:sz w:val="22"/>
          <w:szCs w:val="22"/>
          <w:rtl/>
        </w:rPr>
      </w:pPr>
      <w:hyperlink w:anchor="_Toc144225272" w:history="1">
        <w:r w:rsidRPr="00FD7F30">
          <w:rPr>
            <w:rStyle w:val="Hyperlink"/>
            <w:rtl/>
          </w:rPr>
          <w:t>בי' המאירי דחיוב מכב"פ לאחר גמר מלאכה אחרת ולא בתוכה</w:t>
        </w:r>
      </w:hyperlink>
    </w:p>
    <w:p w14:paraId="508337C8" w14:textId="77777777" w:rsidR="00A14FDA" w:rsidRDefault="00A14FDA" w:rsidP="00ED704E">
      <w:pPr>
        <w:pStyle w:val="TOC3"/>
        <w:rPr>
          <w:rFonts w:asciiTheme="minorHAnsi" w:eastAsiaTheme="minorEastAsia" w:hAnsiTheme="minorHAnsi" w:cstheme="minorBidi"/>
          <w:sz w:val="22"/>
          <w:szCs w:val="22"/>
          <w:rtl/>
        </w:rPr>
      </w:pPr>
      <w:hyperlink w:anchor="_Toc144225273" w:history="1">
        <w:r w:rsidRPr="00FD7F30">
          <w:rPr>
            <w:rStyle w:val="Hyperlink"/>
            <w:rtl/>
          </w:rPr>
          <w:t>בי' המאירי דחיוב מכב"פ הוא רק כשכל המלאכה נגמרה והגמר הוא מעשה נפרד מהמלאכה</w:t>
        </w:r>
      </w:hyperlink>
    </w:p>
    <w:p w14:paraId="54FFC374" w14:textId="77777777" w:rsidR="00A14FDA" w:rsidRDefault="00A14FDA" w:rsidP="00ED704E">
      <w:pPr>
        <w:pStyle w:val="TOC3"/>
        <w:rPr>
          <w:rFonts w:asciiTheme="minorHAnsi" w:eastAsiaTheme="minorEastAsia" w:hAnsiTheme="minorHAnsi" w:cstheme="minorBidi"/>
          <w:sz w:val="22"/>
          <w:szCs w:val="22"/>
          <w:rtl/>
        </w:rPr>
      </w:pPr>
      <w:hyperlink w:anchor="_Toc144225274" w:history="1">
        <w:r w:rsidRPr="00FD7F30">
          <w:rPr>
            <w:rStyle w:val="Hyperlink"/>
            <w:rtl/>
          </w:rPr>
          <w:t>בי' המאירי דבאות שמשלימה ספר וחוט שמשלים בגד לא נגמרה המלאכה ול"ה מכב"פ</w:t>
        </w:r>
      </w:hyperlink>
    </w:p>
    <w:p w14:paraId="72FA2423" w14:textId="77777777" w:rsidR="00A14FDA" w:rsidRDefault="00A14FDA" w:rsidP="00ED704E">
      <w:pPr>
        <w:pStyle w:val="TOC3"/>
        <w:rPr>
          <w:rFonts w:asciiTheme="minorHAnsi" w:eastAsiaTheme="minorEastAsia" w:hAnsiTheme="minorHAnsi" w:cstheme="minorBidi"/>
          <w:sz w:val="22"/>
          <w:szCs w:val="22"/>
          <w:rtl/>
        </w:rPr>
      </w:pPr>
      <w:hyperlink w:anchor="_Toc144225275" w:history="1">
        <w:r w:rsidRPr="00FD7F30">
          <w:rPr>
            <w:rStyle w:val="Hyperlink"/>
            <w:rtl/>
          </w:rPr>
          <w:t>קו' השפ"א על המאירי דמנפח כלי זכוכית ועושה תנור לא יתחייב במכב"פ דלא נגמרה המלאכה</w:t>
        </w:r>
      </w:hyperlink>
    </w:p>
    <w:p w14:paraId="01493B3E" w14:textId="77777777" w:rsidR="00A14FDA" w:rsidRDefault="00A14FDA" w:rsidP="00ED704E">
      <w:pPr>
        <w:pStyle w:val="TOC3"/>
        <w:rPr>
          <w:rFonts w:asciiTheme="minorHAnsi" w:eastAsiaTheme="minorEastAsia" w:hAnsiTheme="minorHAnsi" w:cstheme="minorBidi"/>
          <w:sz w:val="22"/>
          <w:szCs w:val="22"/>
          <w:rtl/>
        </w:rPr>
      </w:pPr>
      <w:hyperlink w:anchor="_Toc144225276" w:history="1">
        <w:r w:rsidRPr="00FD7F30">
          <w:rPr>
            <w:rStyle w:val="Hyperlink"/>
            <w:rtl/>
          </w:rPr>
          <w:t>בי' האמרי בינה במאירי דפסק כרב דכלי מתחילתו בונה אבל לרמב"ם דפ' כשמואל הוי מכב"פ</w:t>
        </w:r>
      </w:hyperlink>
    </w:p>
    <w:p w14:paraId="71727BFB" w14:textId="77777777" w:rsidR="00A14FDA" w:rsidRDefault="00A14FDA" w:rsidP="00ED704E">
      <w:pPr>
        <w:pStyle w:val="TOC3"/>
        <w:rPr>
          <w:rFonts w:asciiTheme="minorHAnsi" w:eastAsiaTheme="minorEastAsia" w:hAnsiTheme="minorHAnsi" w:cstheme="minorBidi"/>
          <w:sz w:val="22"/>
          <w:szCs w:val="22"/>
          <w:rtl/>
        </w:rPr>
      </w:pPr>
      <w:hyperlink w:anchor="_Toc144225277" w:history="1">
        <w:r w:rsidRPr="00FD7F30">
          <w:rPr>
            <w:rStyle w:val="Hyperlink"/>
            <w:rtl/>
          </w:rPr>
          <w:t>בי' האמר"ב דללח"מ מבו' דלא כמאירי ואף ליראים לשמואל במלאכה עצמה חייב במכב"פ</w:t>
        </w:r>
      </w:hyperlink>
    </w:p>
    <w:p w14:paraId="500B50CF" w14:textId="77777777" w:rsidR="00A14FDA" w:rsidRDefault="00A14FDA" w:rsidP="00A14FDA">
      <w:pPr>
        <w:pStyle w:val="TOC2"/>
        <w:rPr>
          <w:rFonts w:cstheme="minorBidi"/>
          <w:b w:val="0"/>
          <w:bCs w:val="0"/>
          <w:sz w:val="22"/>
          <w:szCs w:val="22"/>
          <w:rtl/>
        </w:rPr>
      </w:pPr>
      <w:hyperlink w:anchor="_Toc144225278" w:history="1">
        <w:r w:rsidRPr="00FD7F30">
          <w:rPr>
            <w:rStyle w:val="Hyperlink"/>
            <w:rtl/>
          </w:rPr>
          <w:t>בי' המהר"ם קזיס דחיוב מכב"פ רק כשאין חיוב מלאכה אחרת</w:t>
        </w:r>
      </w:hyperlink>
    </w:p>
    <w:p w14:paraId="5D27E78B" w14:textId="77777777" w:rsidR="00A14FDA" w:rsidRDefault="00A14FDA" w:rsidP="00ED704E">
      <w:pPr>
        <w:pStyle w:val="TOC3"/>
        <w:rPr>
          <w:rFonts w:asciiTheme="minorHAnsi" w:eastAsiaTheme="minorEastAsia" w:hAnsiTheme="minorHAnsi" w:cstheme="minorBidi"/>
          <w:sz w:val="22"/>
          <w:szCs w:val="22"/>
          <w:rtl/>
        </w:rPr>
      </w:pPr>
      <w:hyperlink w:anchor="_Toc144225279" w:history="1">
        <w:r w:rsidRPr="00FD7F30">
          <w:rPr>
            <w:rStyle w:val="Hyperlink"/>
            <w:rtl/>
          </w:rPr>
          <w:t>בי' המהר"ם קזיס דהיה אפש"ל דבמלאכה עם שיעור מכב"פ בשיעור ובלא שיעור מכב"פ בגמר</w:t>
        </w:r>
      </w:hyperlink>
    </w:p>
    <w:p w14:paraId="5EEAB13C" w14:textId="77777777" w:rsidR="00A14FDA" w:rsidRDefault="00A14FDA" w:rsidP="00ED704E">
      <w:pPr>
        <w:pStyle w:val="TOC3"/>
        <w:rPr>
          <w:rFonts w:asciiTheme="minorHAnsi" w:eastAsiaTheme="minorEastAsia" w:hAnsiTheme="minorHAnsi" w:cstheme="minorBidi"/>
          <w:sz w:val="22"/>
          <w:szCs w:val="22"/>
          <w:rtl/>
        </w:rPr>
      </w:pPr>
      <w:hyperlink w:anchor="_Toc144225280" w:history="1">
        <w:r w:rsidRPr="00FD7F30">
          <w:rPr>
            <w:rStyle w:val="Hyperlink"/>
            <w:rtl/>
          </w:rPr>
          <w:t>דחיית המהר"ם קזיס דאי בכל גמר מלאכה חייב משום מכב"פ אף במבעיר ושוחט ומוציא יתחייב</w:t>
        </w:r>
      </w:hyperlink>
    </w:p>
    <w:p w14:paraId="6C9E40A8" w14:textId="77777777" w:rsidR="00A14FDA" w:rsidRDefault="00A14FDA" w:rsidP="00ED704E">
      <w:pPr>
        <w:pStyle w:val="TOC3"/>
        <w:rPr>
          <w:rFonts w:asciiTheme="minorHAnsi" w:eastAsiaTheme="minorEastAsia" w:hAnsiTheme="minorHAnsi" w:cstheme="minorBidi"/>
          <w:sz w:val="22"/>
          <w:szCs w:val="22"/>
          <w:rtl/>
        </w:rPr>
      </w:pPr>
      <w:hyperlink w:anchor="_Toc144225281" w:history="1">
        <w:r w:rsidRPr="00FD7F30">
          <w:rPr>
            <w:rStyle w:val="Hyperlink"/>
            <w:rtl/>
          </w:rPr>
          <w:t>בי' הר"מ קזיס דחיוב מכב"פ רק בתיקון שאין בו מלאכה אחרת אך ק' מנופח בכלי זכוכית</w:t>
        </w:r>
      </w:hyperlink>
    </w:p>
    <w:p w14:paraId="0E236286" w14:textId="77777777" w:rsidR="00A14FDA" w:rsidRDefault="00A14FDA" w:rsidP="00A14FDA">
      <w:pPr>
        <w:pStyle w:val="TOC2"/>
        <w:rPr>
          <w:rFonts w:cstheme="minorBidi"/>
          <w:b w:val="0"/>
          <w:bCs w:val="0"/>
          <w:sz w:val="22"/>
          <w:szCs w:val="22"/>
          <w:rtl/>
        </w:rPr>
      </w:pPr>
      <w:hyperlink w:anchor="_Toc144225282" w:history="1">
        <w:r w:rsidRPr="00FD7F30">
          <w:rPr>
            <w:rStyle w:val="Hyperlink"/>
            <w:rtl/>
          </w:rPr>
          <w:t>בי' המהר"ם קזיס ברמב"ם דבמלאכה שחייב לפני הגמר חייב ב'</w:t>
        </w:r>
      </w:hyperlink>
    </w:p>
    <w:p w14:paraId="7E875AF5" w14:textId="77777777" w:rsidR="00A14FDA" w:rsidRDefault="00A14FDA" w:rsidP="00ED704E">
      <w:pPr>
        <w:pStyle w:val="TOC3"/>
        <w:rPr>
          <w:rFonts w:asciiTheme="minorHAnsi" w:eastAsiaTheme="minorEastAsia" w:hAnsiTheme="minorHAnsi" w:cstheme="minorBidi"/>
          <w:sz w:val="22"/>
          <w:szCs w:val="22"/>
          <w:rtl/>
        </w:rPr>
      </w:pPr>
      <w:hyperlink w:anchor="_Toc144225283" w:history="1">
        <w:r w:rsidRPr="00FD7F30">
          <w:rPr>
            <w:rStyle w:val="Hyperlink"/>
            <w:rtl/>
          </w:rPr>
          <w:t>בי' המהר"ם קזיס ברמב"ם דבמלאכה אחרת חייב גם מכב"פ כשחיוב המלאכה היה לפני הגמר</w:t>
        </w:r>
      </w:hyperlink>
    </w:p>
    <w:p w14:paraId="29B9769F" w14:textId="77777777" w:rsidR="00A14FDA" w:rsidRDefault="00A14FDA" w:rsidP="00ED704E">
      <w:pPr>
        <w:pStyle w:val="TOC3"/>
        <w:rPr>
          <w:rFonts w:asciiTheme="minorHAnsi" w:eastAsiaTheme="minorEastAsia" w:hAnsiTheme="minorHAnsi" w:cstheme="minorBidi"/>
          <w:sz w:val="22"/>
          <w:szCs w:val="22"/>
          <w:rtl/>
        </w:rPr>
      </w:pPr>
      <w:hyperlink w:anchor="_Toc144225284" w:history="1">
        <w:r w:rsidRPr="00FD7F30">
          <w:rPr>
            <w:rStyle w:val="Hyperlink"/>
            <w:rtl/>
          </w:rPr>
          <w:t>בי' המהר"ם קזיס דבמלאכה שחייב עליה רק בגמרה כמבעיר וצד ומוציא אין חיוב משום מכב"פ</w:t>
        </w:r>
      </w:hyperlink>
    </w:p>
    <w:p w14:paraId="4B0870ED" w14:textId="77777777" w:rsidR="00A14FDA" w:rsidRDefault="00A14FDA" w:rsidP="00A14FDA">
      <w:pPr>
        <w:pStyle w:val="TOC2"/>
        <w:rPr>
          <w:rFonts w:cstheme="minorBidi"/>
          <w:b w:val="0"/>
          <w:bCs w:val="0"/>
          <w:sz w:val="22"/>
          <w:szCs w:val="22"/>
          <w:rtl/>
        </w:rPr>
      </w:pPr>
      <w:hyperlink w:anchor="_Toc144225285" w:history="1">
        <w:r w:rsidRPr="00FD7F30">
          <w:rPr>
            <w:rStyle w:val="Hyperlink"/>
            <w:rtl/>
          </w:rPr>
          <w:t>בסתירת דברי היראים אי חיוב מכב"פ רק לאחר גמר המלאכה</w:t>
        </w:r>
      </w:hyperlink>
    </w:p>
    <w:p w14:paraId="1DE112A9" w14:textId="77777777" w:rsidR="00A14FDA" w:rsidRDefault="00A14FDA" w:rsidP="00ED704E">
      <w:pPr>
        <w:pStyle w:val="TOC3"/>
        <w:rPr>
          <w:rFonts w:asciiTheme="minorHAnsi" w:eastAsiaTheme="minorEastAsia" w:hAnsiTheme="minorHAnsi" w:cstheme="minorBidi"/>
          <w:sz w:val="22"/>
          <w:szCs w:val="22"/>
          <w:rtl/>
        </w:rPr>
      </w:pPr>
      <w:hyperlink w:anchor="_Toc144225286" w:history="1">
        <w:r w:rsidRPr="00FD7F30">
          <w:rPr>
            <w:rStyle w:val="Hyperlink"/>
            <w:rtl/>
          </w:rPr>
          <w:t>בי' היראים דרב מודה דאין בנין בכלים ואמר דבלא נגמרה מלאכתו אין גם חיוב משום מכב"פ</w:t>
        </w:r>
      </w:hyperlink>
    </w:p>
    <w:p w14:paraId="5E9599B6" w14:textId="77777777" w:rsidR="00A14FDA" w:rsidRDefault="00A14FDA" w:rsidP="00ED704E">
      <w:pPr>
        <w:pStyle w:val="TOC3"/>
        <w:rPr>
          <w:rFonts w:asciiTheme="minorHAnsi" w:eastAsiaTheme="minorEastAsia" w:hAnsiTheme="minorHAnsi" w:cstheme="minorBidi"/>
          <w:sz w:val="22"/>
          <w:szCs w:val="22"/>
          <w:rtl/>
        </w:rPr>
      </w:pPr>
      <w:hyperlink w:anchor="_Toc144225287" w:history="1">
        <w:r w:rsidRPr="00FD7F30">
          <w:rPr>
            <w:rStyle w:val="Hyperlink"/>
            <w:rtl/>
          </w:rPr>
          <w:t>קו' הטל אורות דהיראים עצמו מחייב במכב"פ בפותח בית הצואר אף שלא נגמרה מלאכת הבגד</w:t>
        </w:r>
      </w:hyperlink>
    </w:p>
    <w:p w14:paraId="2C36BD6D" w14:textId="77777777" w:rsidR="00A14FDA" w:rsidRDefault="00A14FDA" w:rsidP="00ED704E">
      <w:pPr>
        <w:pStyle w:val="TOC3"/>
        <w:rPr>
          <w:rFonts w:asciiTheme="minorHAnsi" w:eastAsiaTheme="minorEastAsia" w:hAnsiTheme="minorHAnsi" w:cstheme="minorBidi"/>
          <w:sz w:val="22"/>
          <w:szCs w:val="22"/>
          <w:rtl/>
        </w:rPr>
      </w:pPr>
      <w:hyperlink w:anchor="_Toc144225288" w:history="1">
        <w:r w:rsidRPr="00FD7F30">
          <w:rPr>
            <w:rStyle w:val="Hyperlink"/>
            <w:rtl/>
          </w:rPr>
          <w:t>קו' הטל אורות דההג' מרדכי כ' בפירוש בשם היראים דאף שלא נגמרה המלאכה חייב במכב"פ</w:t>
        </w:r>
      </w:hyperlink>
    </w:p>
    <w:p w14:paraId="4B0DBE10" w14:textId="77777777" w:rsidR="00A14FDA" w:rsidRDefault="00A14FDA" w:rsidP="00ED704E">
      <w:pPr>
        <w:pStyle w:val="TOC3"/>
        <w:rPr>
          <w:rFonts w:asciiTheme="minorHAnsi" w:eastAsiaTheme="minorEastAsia" w:hAnsiTheme="minorHAnsi" w:cstheme="minorBidi"/>
          <w:sz w:val="22"/>
          <w:szCs w:val="22"/>
          <w:rtl/>
        </w:rPr>
      </w:pPr>
      <w:hyperlink w:anchor="_Toc144225289" w:history="1">
        <w:r w:rsidRPr="00FD7F30">
          <w:rPr>
            <w:rStyle w:val="Hyperlink"/>
            <w:rtl/>
          </w:rPr>
          <w:t>בי' היראים דהמכבה וחס על הפתילה חייב במכב"פ דהוא גומר בזה את מלאכת בנין הפתילה</w:t>
        </w:r>
      </w:hyperlink>
    </w:p>
    <w:p w14:paraId="69413FE1" w14:textId="77777777" w:rsidR="00A14FDA" w:rsidRDefault="00A14FDA" w:rsidP="00A14FDA">
      <w:pPr>
        <w:pStyle w:val="TOC2"/>
        <w:rPr>
          <w:rFonts w:cstheme="minorBidi"/>
          <w:b w:val="0"/>
          <w:bCs w:val="0"/>
          <w:sz w:val="22"/>
          <w:szCs w:val="22"/>
          <w:rtl/>
        </w:rPr>
      </w:pPr>
      <w:hyperlink w:anchor="_Toc144225290" w:history="1">
        <w:r w:rsidRPr="00FD7F30">
          <w:rPr>
            <w:rStyle w:val="Hyperlink"/>
            <w:rtl/>
          </w:rPr>
          <w:t>ד' ר"ח והערוך דמכב"פ בלא מלאכה אחרת והיא מלאכה בפנ"ע</w:t>
        </w:r>
      </w:hyperlink>
    </w:p>
    <w:p w14:paraId="073C934D" w14:textId="77777777" w:rsidR="00A14FDA" w:rsidRDefault="00A14FDA" w:rsidP="00ED704E">
      <w:pPr>
        <w:pStyle w:val="TOC3"/>
        <w:rPr>
          <w:rFonts w:asciiTheme="minorHAnsi" w:eastAsiaTheme="minorEastAsia" w:hAnsiTheme="minorHAnsi" w:cstheme="minorBidi"/>
          <w:sz w:val="22"/>
          <w:szCs w:val="22"/>
          <w:rtl/>
        </w:rPr>
      </w:pPr>
      <w:hyperlink w:anchor="_Toc144225291" w:history="1">
        <w:r w:rsidRPr="00FD7F30">
          <w:rPr>
            <w:rStyle w:val="Hyperlink"/>
            <w:rtl/>
          </w:rPr>
          <w:t>בי' ר"ח והערוך דהצר צורה חייב במכב"פ אבל ביש בה אותיות חייב בכותב ולא במכב"פ</w:t>
        </w:r>
      </w:hyperlink>
    </w:p>
    <w:p w14:paraId="39EBAE6A" w14:textId="77777777" w:rsidR="00A14FDA" w:rsidRDefault="00A14FDA" w:rsidP="00ED704E">
      <w:pPr>
        <w:pStyle w:val="TOC3"/>
        <w:rPr>
          <w:rFonts w:asciiTheme="minorHAnsi" w:eastAsiaTheme="minorEastAsia" w:hAnsiTheme="minorHAnsi" w:cstheme="minorBidi"/>
          <w:sz w:val="22"/>
          <w:szCs w:val="22"/>
          <w:rtl/>
        </w:rPr>
      </w:pPr>
      <w:hyperlink w:anchor="_Toc144225292" w:history="1">
        <w:r w:rsidRPr="00FD7F30">
          <w:rPr>
            <w:rStyle w:val="Hyperlink"/>
            <w:rtl/>
          </w:rPr>
          <w:t>בי' הערוך דבכלי זכוכית מכב"פ דדמי לרידוד מתכת בפטיש ורק בגלימי כ' דהוא גמר מלאכה</w:t>
        </w:r>
      </w:hyperlink>
    </w:p>
    <w:p w14:paraId="218EF040" w14:textId="77777777" w:rsidR="00A14FDA" w:rsidRDefault="00A14FDA" w:rsidP="00A14FDA">
      <w:pPr>
        <w:pStyle w:val="TOC2"/>
        <w:rPr>
          <w:rFonts w:cstheme="minorBidi"/>
          <w:b w:val="0"/>
          <w:bCs w:val="0"/>
          <w:sz w:val="22"/>
          <w:szCs w:val="22"/>
          <w:rtl/>
        </w:rPr>
      </w:pPr>
      <w:hyperlink w:anchor="_Toc144225293" w:history="1">
        <w:r w:rsidRPr="00FD7F30">
          <w:rPr>
            <w:rStyle w:val="Hyperlink"/>
            <w:rtl/>
          </w:rPr>
          <w:t>בבי' רש"י דבנגמרת מאיליה אין חיוב מכה בפטיש</w:t>
        </w:r>
      </w:hyperlink>
    </w:p>
    <w:p w14:paraId="03A395A1" w14:textId="77777777" w:rsidR="00A14FDA" w:rsidRDefault="00A14FDA" w:rsidP="00ED704E">
      <w:pPr>
        <w:pStyle w:val="TOC3"/>
        <w:rPr>
          <w:rFonts w:asciiTheme="minorHAnsi" w:eastAsiaTheme="minorEastAsia" w:hAnsiTheme="minorHAnsi" w:cstheme="minorBidi"/>
          <w:sz w:val="22"/>
          <w:szCs w:val="22"/>
          <w:rtl/>
        </w:rPr>
      </w:pPr>
      <w:hyperlink w:anchor="_Toc144225294" w:history="1">
        <w:r w:rsidRPr="00FD7F30">
          <w:rPr>
            <w:rStyle w:val="Hyperlink"/>
            <w:rtl/>
          </w:rPr>
          <w:t>בי' המנ"ח ברש"י דמכב"פ במשכן היה כשהגמר בידי אדם ולא מאיליו משא"כ בבישול ואפיה</w:t>
        </w:r>
      </w:hyperlink>
    </w:p>
    <w:p w14:paraId="35AFF4D1" w14:textId="77777777" w:rsidR="00A14FDA" w:rsidRDefault="00A14FDA" w:rsidP="00ED704E">
      <w:pPr>
        <w:pStyle w:val="TOC3"/>
        <w:rPr>
          <w:rFonts w:asciiTheme="minorHAnsi" w:eastAsiaTheme="minorEastAsia" w:hAnsiTheme="minorHAnsi" w:cstheme="minorBidi"/>
          <w:sz w:val="22"/>
          <w:szCs w:val="22"/>
          <w:rtl/>
        </w:rPr>
      </w:pPr>
      <w:hyperlink w:anchor="_Toc144225295" w:history="1">
        <w:r w:rsidRPr="00FD7F30">
          <w:rPr>
            <w:rStyle w:val="Hyperlink"/>
            <w:rtl/>
          </w:rPr>
          <w:t>בי' המנ"ח דבמבשל שנגמר מאיליו אין חיוב אף משום מכב"פ ובבישול שנגמר במעשה חייב</w:t>
        </w:r>
      </w:hyperlink>
    </w:p>
    <w:p w14:paraId="3A4FB9A9" w14:textId="77777777" w:rsidR="00A14FDA" w:rsidRDefault="00A14FDA" w:rsidP="00ED704E">
      <w:pPr>
        <w:pStyle w:val="TOC3"/>
        <w:rPr>
          <w:rFonts w:asciiTheme="minorHAnsi" w:eastAsiaTheme="minorEastAsia" w:hAnsiTheme="minorHAnsi" w:cstheme="minorBidi"/>
          <w:sz w:val="22"/>
          <w:szCs w:val="22"/>
          <w:rtl/>
        </w:rPr>
      </w:pPr>
      <w:hyperlink w:anchor="_Toc144225296" w:history="1">
        <w:r w:rsidRPr="00FD7F30">
          <w:rPr>
            <w:rStyle w:val="Hyperlink"/>
            <w:rtl/>
          </w:rPr>
          <w:t>קו' המנ"ח דבבי' הרא"ש בגמ' בביצה מוכח דאף בדבר שנגמר מאיליו יש חיוב מכב"פ</w:t>
        </w:r>
      </w:hyperlink>
    </w:p>
    <w:p w14:paraId="1F926A07" w14:textId="77777777" w:rsidR="00A14FDA" w:rsidRDefault="00A14FDA" w:rsidP="00ED704E">
      <w:pPr>
        <w:pStyle w:val="TOC3"/>
        <w:rPr>
          <w:rFonts w:asciiTheme="minorHAnsi" w:eastAsiaTheme="minorEastAsia" w:hAnsiTheme="minorHAnsi" w:cstheme="minorBidi"/>
          <w:sz w:val="22"/>
          <w:szCs w:val="22"/>
          <w:rtl/>
        </w:rPr>
      </w:pPr>
      <w:hyperlink w:anchor="_Toc144225297" w:history="1">
        <w:r w:rsidRPr="00FD7F30">
          <w:rPr>
            <w:rStyle w:val="Hyperlink"/>
            <w:rtl/>
          </w:rPr>
          <w:t>בי' האמרי בינה דלמאירי אין מכב"פ בבישול דחיוב מכב"פ אחר גמר המלאכה אך לרמב"ם ק'</w:t>
        </w:r>
      </w:hyperlink>
    </w:p>
    <w:p w14:paraId="4EFA5C05" w14:textId="77777777" w:rsidR="00A14FDA" w:rsidRDefault="00A14FDA" w:rsidP="00ED704E">
      <w:pPr>
        <w:pStyle w:val="TOC3"/>
        <w:rPr>
          <w:rFonts w:asciiTheme="minorHAnsi" w:eastAsiaTheme="minorEastAsia" w:hAnsiTheme="minorHAnsi" w:cstheme="minorBidi"/>
          <w:sz w:val="22"/>
          <w:szCs w:val="22"/>
          <w:rtl/>
        </w:rPr>
      </w:pPr>
      <w:hyperlink w:anchor="_Toc144225298" w:history="1">
        <w:r w:rsidRPr="00FD7F30">
          <w:rPr>
            <w:rStyle w:val="Hyperlink"/>
            <w:rtl/>
          </w:rPr>
          <w:t>בי' המנח"ש דבבישול המלאכה מתחילה מיד והחיוב רק במאב"ד ו בגמר לא היה מעשה כלל</w:t>
        </w:r>
      </w:hyperlink>
    </w:p>
    <w:p w14:paraId="75A8FE9C" w14:textId="77777777" w:rsidR="00A14FDA" w:rsidRDefault="00A14FDA" w:rsidP="00ED704E">
      <w:pPr>
        <w:pStyle w:val="TOC3"/>
        <w:rPr>
          <w:rFonts w:asciiTheme="minorHAnsi" w:eastAsiaTheme="minorEastAsia" w:hAnsiTheme="minorHAnsi" w:cstheme="minorBidi"/>
          <w:sz w:val="22"/>
          <w:szCs w:val="22"/>
          <w:rtl/>
        </w:rPr>
      </w:pPr>
      <w:hyperlink w:anchor="_Toc144225299" w:history="1">
        <w:r w:rsidRPr="00FD7F30">
          <w:rPr>
            <w:rStyle w:val="Hyperlink"/>
            <w:rtl/>
          </w:rPr>
          <w:t>בי' השפ"א דליראים והמאירי בחביתא אין מכב"פ דלא נגמרה המלאכה ורש"י ס"ל כרמב"ם</w:t>
        </w:r>
      </w:hyperlink>
    </w:p>
    <w:p w14:paraId="6F3C9BDB" w14:textId="77777777" w:rsidR="00A14FDA" w:rsidRDefault="00A14FDA" w:rsidP="00A14FDA">
      <w:pPr>
        <w:pStyle w:val="TOC1"/>
        <w:rPr>
          <w:rFonts w:asciiTheme="minorHAnsi" w:hAnsiTheme="minorHAnsi" w:cstheme="minorBidi"/>
          <w:b w:val="0"/>
          <w:bCs w:val="0"/>
          <w:caps w:val="0"/>
          <w:sz w:val="22"/>
          <w:szCs w:val="22"/>
          <w:rtl/>
        </w:rPr>
      </w:pPr>
      <w:hyperlink w:anchor="_Toc144225300" w:history="1">
        <w:r w:rsidRPr="00FD7F30">
          <w:rPr>
            <w:rStyle w:val="Hyperlink"/>
            <w:rtl/>
          </w:rPr>
          <w:t>~~~~~~~ ביאורי ראשי הישיבות ~~~~~~~</w:t>
        </w:r>
      </w:hyperlink>
    </w:p>
    <w:p w14:paraId="03342410" w14:textId="77777777" w:rsidR="00A14FDA" w:rsidRDefault="00A14FDA" w:rsidP="00A14FDA">
      <w:pPr>
        <w:pStyle w:val="TOC1"/>
        <w:rPr>
          <w:rFonts w:asciiTheme="minorHAnsi" w:hAnsiTheme="minorHAnsi" w:cstheme="minorBidi"/>
          <w:b w:val="0"/>
          <w:bCs w:val="0"/>
          <w:caps w:val="0"/>
          <w:sz w:val="22"/>
          <w:szCs w:val="22"/>
          <w:rtl/>
        </w:rPr>
      </w:pPr>
      <w:hyperlink w:anchor="_Toc144225301" w:history="1">
        <w:r w:rsidRPr="00FD7F30">
          <w:rPr>
            <w:rStyle w:val="Hyperlink"/>
            <w:rtl/>
          </w:rPr>
          <w:t>בגדר מכב"פ דתלי בחשיבות מעשה אומן</w:t>
        </w:r>
      </w:hyperlink>
    </w:p>
    <w:p w14:paraId="025824E6" w14:textId="14B1531D" w:rsidR="00A14FDA" w:rsidRPr="00D72FFC" w:rsidRDefault="00A14FDA" w:rsidP="00A14FDA">
      <w:pPr>
        <w:pStyle w:val="afffffffff0"/>
        <w:rPr>
          <w:rtl/>
        </w:rPr>
      </w:pPr>
      <w:r w:rsidRPr="00407CF9">
        <w:rPr>
          <w:rStyle w:val="afffffffff9"/>
          <w:rFonts w:ascii="David" w:eastAsiaTheme="minorEastAsia" w:hAnsi="David" w:cs="David"/>
          <w:b/>
          <w:bCs/>
          <w:color w:val="auto"/>
          <w:sz w:val="16"/>
          <w:szCs w:val="16"/>
          <w:rtl/>
        </w:rPr>
        <w:fldChar w:fldCharType="begin"/>
      </w:r>
      <w:r w:rsidRPr="00407CF9">
        <w:rPr>
          <w:rStyle w:val="afffffffff9"/>
          <w:rFonts w:ascii="David" w:eastAsiaTheme="minorEastAsia" w:hAnsi="David" w:cs="David"/>
          <w:b/>
          <w:bCs/>
          <w:color w:val="auto"/>
          <w:sz w:val="16"/>
          <w:szCs w:val="16"/>
          <w:rtl/>
        </w:rPr>
        <w:instrText xml:space="preserve"> </w:instrText>
      </w:r>
      <w:r w:rsidRPr="00407CF9">
        <w:rPr>
          <w:rStyle w:val="afffffffff9"/>
          <w:rFonts w:ascii="David" w:eastAsiaTheme="minorEastAsia" w:hAnsi="David" w:cs="David" w:hint="cs"/>
          <w:b/>
          <w:bCs/>
          <w:color w:val="auto"/>
          <w:sz w:val="16"/>
          <w:szCs w:val="16"/>
        </w:rPr>
        <w:instrText>REF</w:instrText>
      </w:r>
      <w:r w:rsidRPr="00407CF9">
        <w:rPr>
          <w:rStyle w:val="afffffffff9"/>
          <w:rFonts w:ascii="David" w:eastAsiaTheme="minorEastAsia" w:hAnsi="David" w:cs="David" w:hint="cs"/>
          <w:b/>
          <w:bCs/>
          <w:color w:val="auto"/>
          <w:sz w:val="16"/>
          <w:szCs w:val="16"/>
          <w:rtl/>
        </w:rPr>
        <w:instrText xml:space="preserve"> _</w:instrText>
      </w:r>
      <w:r w:rsidRPr="00407CF9">
        <w:rPr>
          <w:rStyle w:val="afffffffff9"/>
          <w:rFonts w:ascii="David" w:eastAsiaTheme="minorEastAsia" w:hAnsi="David" w:cs="David" w:hint="cs"/>
          <w:b/>
          <w:bCs/>
          <w:color w:val="auto"/>
          <w:sz w:val="16"/>
          <w:szCs w:val="16"/>
        </w:rPr>
        <w:instrText>Ref143507531 \r \h</w:instrText>
      </w:r>
      <w:r w:rsidRPr="00407CF9">
        <w:rPr>
          <w:rStyle w:val="afffffffff9"/>
          <w:rFonts w:ascii="David" w:eastAsiaTheme="minorEastAsia" w:hAnsi="David" w:cs="David"/>
          <w:b/>
          <w:bCs/>
          <w:color w:val="auto"/>
          <w:sz w:val="16"/>
          <w:szCs w:val="16"/>
          <w:rtl/>
        </w:rPr>
        <w:instrText xml:space="preserve">  \* </w:instrText>
      </w:r>
      <w:r w:rsidRPr="00407CF9">
        <w:rPr>
          <w:rStyle w:val="afffffffff9"/>
          <w:rFonts w:ascii="David" w:eastAsiaTheme="minorEastAsia" w:hAnsi="David" w:cs="David"/>
          <w:b/>
          <w:bCs/>
          <w:color w:val="auto"/>
          <w:sz w:val="16"/>
          <w:szCs w:val="16"/>
        </w:rPr>
        <w:instrText>MERGEFORMAT</w:instrText>
      </w:r>
      <w:r w:rsidRPr="00407CF9">
        <w:rPr>
          <w:rStyle w:val="afffffffff9"/>
          <w:rFonts w:ascii="David" w:eastAsiaTheme="minorEastAsia" w:hAnsi="David" w:cs="David"/>
          <w:b/>
          <w:bCs/>
          <w:color w:val="auto"/>
          <w:sz w:val="16"/>
          <w:szCs w:val="16"/>
          <w:rtl/>
        </w:rPr>
        <w:instrText xml:space="preserve"> </w:instrText>
      </w:r>
      <w:r w:rsidRPr="00407CF9">
        <w:rPr>
          <w:rStyle w:val="afffffffff9"/>
          <w:rFonts w:ascii="David" w:eastAsiaTheme="minorEastAsia" w:hAnsi="David" w:cs="David"/>
          <w:b/>
          <w:bCs/>
          <w:color w:val="auto"/>
          <w:sz w:val="16"/>
          <w:szCs w:val="16"/>
          <w:rtl/>
        </w:rPr>
      </w:r>
      <w:r w:rsidRPr="00407CF9">
        <w:rPr>
          <w:rStyle w:val="afffffffff9"/>
          <w:rFonts w:ascii="David" w:eastAsiaTheme="minorEastAsia" w:hAnsi="David" w:cs="David"/>
          <w:b/>
          <w:bCs/>
          <w:color w:val="auto"/>
          <w:sz w:val="16"/>
          <w:szCs w:val="16"/>
          <w:rtl/>
        </w:rPr>
        <w:fldChar w:fldCharType="separate"/>
      </w:r>
      <w:r w:rsidR="00D82181">
        <w:rPr>
          <w:rStyle w:val="afffffffff9"/>
          <w:rFonts w:ascii="David" w:eastAsiaTheme="minorEastAsia" w:hAnsi="David" w:cs="David"/>
          <w:b/>
          <w:bCs/>
          <w:color w:val="auto"/>
          <w:sz w:val="16"/>
          <w:szCs w:val="16"/>
          <w:cs/>
        </w:rPr>
        <w:t>‎</w:t>
      </w:r>
      <w:r w:rsidR="00D82181">
        <w:rPr>
          <w:rStyle w:val="afffffffff9"/>
          <w:rFonts w:ascii="David" w:eastAsiaTheme="minorEastAsia" w:hAnsi="David" w:cs="David"/>
          <w:b/>
          <w:bCs/>
          <w:color w:val="auto"/>
          <w:sz w:val="16"/>
          <w:szCs w:val="16"/>
          <w:rtl/>
        </w:rPr>
        <w:t>ס)</w:t>
      </w:r>
      <w:r w:rsidRPr="00407CF9">
        <w:rPr>
          <w:rStyle w:val="afffffffff9"/>
          <w:rFonts w:ascii="David" w:eastAsiaTheme="minorEastAsia" w:hAnsi="David" w:cs="David"/>
          <w:b/>
          <w:bCs/>
          <w:color w:val="auto"/>
          <w:sz w:val="16"/>
          <w:szCs w:val="16"/>
          <w:rtl/>
        </w:rPr>
        <w:fldChar w:fldCharType="end"/>
      </w:r>
      <w:r w:rsidRPr="00407CF9">
        <w:rPr>
          <w:rStyle w:val="afffffffff9"/>
          <w:rFonts w:ascii="David" w:eastAsiaTheme="minorEastAsia" w:hAnsi="David" w:cs="David" w:hint="cs"/>
          <w:b/>
          <w:bCs/>
          <w:color w:val="auto"/>
          <w:sz w:val="16"/>
          <w:szCs w:val="16"/>
          <w:rtl/>
        </w:rPr>
        <w:t xml:space="preserve"> </w:t>
      </w:r>
      <w:r w:rsidRPr="00D72FFC">
        <w:rPr>
          <w:rStyle w:val="afffffffff9"/>
          <w:rFonts w:ascii="David" w:eastAsiaTheme="minorEastAsia" w:hAnsi="David" w:cs="David"/>
          <w:color w:val="auto"/>
          <w:sz w:val="16"/>
          <w:szCs w:val="16"/>
          <w:rtl/>
        </w:rPr>
        <w:t>אבן האזל</w:t>
      </w:r>
      <w:r w:rsidRPr="00D72FFC">
        <w:rPr>
          <w:rtl/>
        </w:rPr>
        <w:t xml:space="preserve"> </w:t>
      </w:r>
      <w:r w:rsidRPr="00407CF9">
        <w:rPr>
          <w:rStyle w:val="afffffffff3"/>
          <w:rtl/>
        </w:rPr>
        <w:t>(שבת פ"י הי"ז ד"ה והנה הרמב"ם)</w:t>
      </w:r>
      <w:r>
        <w:rPr>
          <w:rtl/>
        </w:rPr>
        <w:t xml:space="preserve"> </w:t>
      </w:r>
      <w:r w:rsidRPr="00D72FFC">
        <w:rPr>
          <w:rFonts w:hint="cs"/>
          <w:rtl/>
        </w:rPr>
        <w:t>האבן האזל</w:t>
      </w:r>
      <w:r w:rsidRPr="00D72FFC">
        <w:rPr>
          <w:rtl/>
        </w:rPr>
        <w:t xml:space="preserve"> </w:t>
      </w:r>
      <w:r w:rsidRPr="00407CF9">
        <w:rPr>
          <w:rStyle w:val="afffffffff3"/>
          <w:rtl/>
        </w:rPr>
        <w:t>(</w:t>
      </w:r>
      <w:r w:rsidRPr="00407CF9">
        <w:rPr>
          <w:rStyle w:val="afffffffff3"/>
          <w:rFonts w:hint="cs"/>
          <w:rtl/>
        </w:rPr>
        <w:t>שבת פ"י הי"ז ד"ה לכן נראה</w:t>
      </w:r>
      <w:r w:rsidRPr="00407CF9">
        <w:rPr>
          <w:rStyle w:val="afffffffff3"/>
          <w:rtl/>
        </w:rPr>
        <w:t>)</w:t>
      </w:r>
      <w:r>
        <w:rPr>
          <w:rtl/>
        </w:rPr>
        <w:t>,</w:t>
      </w:r>
      <w:r w:rsidRPr="00407CF9">
        <w:rPr>
          <w:b/>
          <w:bCs/>
          <w:rtl/>
        </w:rPr>
        <w:t xml:space="preserve"> </w:t>
      </w:r>
      <w:r w:rsidRPr="00407CF9">
        <w:rPr>
          <w:b/>
          <w:bCs/>
          <w:rtl/>
        </w:rPr>
        <w:fldChar w:fldCharType="begin"/>
      </w:r>
      <w:r w:rsidRPr="00407CF9">
        <w:rPr>
          <w:b/>
          <w:bCs/>
          <w:rtl/>
        </w:rPr>
        <w:instrText xml:space="preserve"> </w:instrText>
      </w:r>
      <w:r w:rsidRPr="00407CF9">
        <w:rPr>
          <w:b/>
          <w:bCs/>
        </w:rPr>
        <w:instrText>REF</w:instrText>
      </w:r>
      <w:r w:rsidRPr="00407CF9">
        <w:rPr>
          <w:b/>
          <w:bCs/>
          <w:rtl/>
        </w:rPr>
        <w:instrText xml:space="preserve"> _</w:instrText>
      </w:r>
      <w:r w:rsidRPr="00407CF9">
        <w:rPr>
          <w:b/>
          <w:bCs/>
        </w:rPr>
        <w:instrText>Ref144117280 \r \h</w:instrText>
      </w:r>
      <w:r w:rsidRPr="00407CF9">
        <w:rPr>
          <w:b/>
          <w:bCs/>
          <w:rtl/>
        </w:rPr>
        <w:instrText xml:space="preserve">  \* </w:instrText>
      </w:r>
      <w:r w:rsidRPr="00407CF9">
        <w:rPr>
          <w:b/>
          <w:bCs/>
        </w:rPr>
        <w:instrText>MERGEFORMAT</w:instrText>
      </w:r>
      <w:r w:rsidRPr="00407CF9">
        <w:rPr>
          <w:b/>
          <w:bCs/>
          <w:rtl/>
        </w:rPr>
        <w:instrText xml:space="preserve"> </w:instrText>
      </w:r>
      <w:r w:rsidRPr="00407CF9">
        <w:rPr>
          <w:b/>
          <w:bCs/>
          <w:rtl/>
        </w:rPr>
      </w:r>
      <w:r w:rsidRPr="00407CF9">
        <w:rPr>
          <w:b/>
          <w:bCs/>
          <w:rtl/>
        </w:rPr>
        <w:fldChar w:fldCharType="separate"/>
      </w:r>
      <w:r w:rsidR="00D82181">
        <w:rPr>
          <w:b/>
          <w:bCs/>
          <w:cs/>
        </w:rPr>
        <w:t>‎</w:t>
      </w:r>
      <w:r w:rsidR="00D82181">
        <w:rPr>
          <w:b/>
          <w:bCs/>
          <w:rtl/>
        </w:rPr>
        <w:t>סא)</w:t>
      </w:r>
      <w:r w:rsidRPr="00407CF9">
        <w:rPr>
          <w:b/>
          <w:bCs/>
          <w:rtl/>
        </w:rPr>
        <w:fldChar w:fldCharType="end"/>
      </w:r>
      <w:r w:rsidRPr="00407CF9">
        <w:rPr>
          <w:b/>
          <w:bCs/>
          <w:rtl/>
        </w:rPr>
        <w:t xml:space="preserve"> </w:t>
      </w:r>
      <w:r w:rsidRPr="00D72FFC">
        <w:rPr>
          <w:rFonts w:hint="cs"/>
          <w:rtl/>
        </w:rPr>
        <w:t>אבן האזל</w:t>
      </w:r>
      <w:r w:rsidRPr="00D72FFC">
        <w:rPr>
          <w:rtl/>
        </w:rPr>
        <w:t xml:space="preserve"> </w:t>
      </w:r>
      <w:r w:rsidRPr="00407CF9">
        <w:rPr>
          <w:rStyle w:val="afffffffff3"/>
          <w:rtl/>
        </w:rPr>
        <w:t>(</w:t>
      </w:r>
      <w:r w:rsidRPr="00407CF9">
        <w:rPr>
          <w:rStyle w:val="afffffffff3"/>
          <w:rFonts w:hint="cs"/>
          <w:rtl/>
        </w:rPr>
        <w:t>שבת פ"י הי"ז ד"ה ולכן</w:t>
      </w:r>
      <w:r w:rsidRPr="00407CF9">
        <w:rPr>
          <w:rStyle w:val="afffffffff3"/>
          <w:rtl/>
        </w:rPr>
        <w:t>)</w:t>
      </w:r>
    </w:p>
    <w:p w14:paraId="0A8C500C" w14:textId="77777777" w:rsidR="00A14FDA" w:rsidRDefault="00A14FDA" w:rsidP="00A14FDA">
      <w:pPr>
        <w:pStyle w:val="TOC2"/>
        <w:rPr>
          <w:rFonts w:cstheme="minorBidi"/>
          <w:b w:val="0"/>
          <w:bCs w:val="0"/>
          <w:sz w:val="22"/>
          <w:szCs w:val="22"/>
          <w:rtl/>
        </w:rPr>
      </w:pPr>
      <w:hyperlink w:anchor="_Toc144225302" w:history="1">
        <w:r w:rsidRPr="00FD7F30">
          <w:rPr>
            <w:rStyle w:val="Hyperlink"/>
            <w:rtl/>
          </w:rPr>
          <w:t>בי' האבהא"ז דהכאה בפטיש עצמה חשובה כשאין עוד מלאכה</w:t>
        </w:r>
      </w:hyperlink>
    </w:p>
    <w:p w14:paraId="43E78138" w14:textId="77777777" w:rsidR="00A14FDA" w:rsidRDefault="00A14FDA" w:rsidP="00ED704E">
      <w:pPr>
        <w:pStyle w:val="TOC3"/>
        <w:rPr>
          <w:rFonts w:asciiTheme="minorHAnsi" w:eastAsiaTheme="minorEastAsia" w:hAnsiTheme="minorHAnsi" w:cstheme="minorBidi"/>
          <w:sz w:val="22"/>
          <w:szCs w:val="22"/>
          <w:rtl/>
        </w:rPr>
      </w:pPr>
      <w:hyperlink w:anchor="_Toc144225303" w:history="1">
        <w:r w:rsidRPr="00FD7F30">
          <w:rPr>
            <w:rStyle w:val="Hyperlink"/>
            <w:rtl/>
          </w:rPr>
          <w:t>בי' האבהא"ז ברמב"ם דההכאה בפטיש עצמה היא המלאכה וגמר הוא תולדה ודלא כשא"ר</w:t>
        </w:r>
      </w:hyperlink>
    </w:p>
    <w:p w14:paraId="235521A6" w14:textId="77777777" w:rsidR="00A14FDA" w:rsidRDefault="00A14FDA" w:rsidP="00ED704E">
      <w:pPr>
        <w:pStyle w:val="TOC3"/>
        <w:rPr>
          <w:rFonts w:asciiTheme="minorHAnsi" w:eastAsiaTheme="minorEastAsia" w:hAnsiTheme="minorHAnsi" w:cstheme="minorBidi"/>
          <w:sz w:val="22"/>
          <w:szCs w:val="22"/>
          <w:rtl/>
        </w:rPr>
      </w:pPr>
      <w:hyperlink w:anchor="_Toc144225304" w:history="1">
        <w:r w:rsidRPr="00FD7F30">
          <w:rPr>
            <w:rStyle w:val="Hyperlink"/>
            <w:rtl/>
          </w:rPr>
          <w:t>בי' האבאה"ז דחשיבות המלאכה בהכאת הפטיש כיון דכך מלאכת אומן וכמבו' ברמב"ם במורסא</w:t>
        </w:r>
      </w:hyperlink>
    </w:p>
    <w:p w14:paraId="13F89893" w14:textId="77777777" w:rsidR="00A14FDA" w:rsidRDefault="00A14FDA" w:rsidP="00ED704E">
      <w:pPr>
        <w:pStyle w:val="TOC3"/>
        <w:rPr>
          <w:rFonts w:asciiTheme="minorHAnsi" w:eastAsiaTheme="minorEastAsia" w:hAnsiTheme="minorHAnsi" w:cstheme="minorBidi"/>
          <w:sz w:val="22"/>
          <w:szCs w:val="22"/>
          <w:rtl/>
        </w:rPr>
      </w:pPr>
      <w:hyperlink w:anchor="_Toc144225305" w:history="1">
        <w:r w:rsidRPr="00FD7F30">
          <w:rPr>
            <w:rStyle w:val="Hyperlink"/>
            <w:rtl/>
          </w:rPr>
          <w:t>בי' האבהא"ז ברמב"ם דמעשה של מלאכה אחרת חשוב בעצמו וא"א לחייב גם בחשיבות אומן</w:t>
        </w:r>
      </w:hyperlink>
    </w:p>
    <w:p w14:paraId="43020CE1" w14:textId="77777777" w:rsidR="00A14FDA" w:rsidRDefault="00A14FDA" w:rsidP="00ED704E">
      <w:pPr>
        <w:pStyle w:val="TOC3"/>
        <w:rPr>
          <w:rFonts w:asciiTheme="minorHAnsi" w:eastAsiaTheme="minorEastAsia" w:hAnsiTheme="minorHAnsi" w:cstheme="minorBidi"/>
          <w:sz w:val="22"/>
          <w:szCs w:val="22"/>
          <w:rtl/>
        </w:rPr>
      </w:pPr>
      <w:hyperlink w:anchor="_Toc144225306" w:history="1">
        <w:r w:rsidRPr="00FD7F30">
          <w:rPr>
            <w:rStyle w:val="Hyperlink"/>
            <w:rtl/>
          </w:rPr>
          <w:t>בי' האבהא"ז ברמב"ם דחיוב מכב"פ בנקב בבנין או בלול רק באופן שאין בו חיוב משום בונה</w:t>
        </w:r>
      </w:hyperlink>
    </w:p>
    <w:p w14:paraId="40B4E689" w14:textId="77777777" w:rsidR="00A14FDA" w:rsidRDefault="00A14FDA" w:rsidP="00A14FDA">
      <w:pPr>
        <w:pStyle w:val="TOC1"/>
        <w:rPr>
          <w:rFonts w:asciiTheme="minorHAnsi" w:hAnsiTheme="minorHAnsi" w:cstheme="minorBidi"/>
          <w:b w:val="0"/>
          <w:bCs w:val="0"/>
          <w:caps w:val="0"/>
          <w:sz w:val="22"/>
          <w:szCs w:val="22"/>
          <w:rtl/>
        </w:rPr>
      </w:pPr>
      <w:hyperlink w:anchor="_Toc144225307" w:history="1">
        <w:r w:rsidRPr="00FD7F30">
          <w:rPr>
            <w:rStyle w:val="Hyperlink"/>
            <w:rtl/>
          </w:rPr>
          <w:t>~~~~~~~~~~~~~~~~~~~~~~~~~~~~</w:t>
        </w:r>
      </w:hyperlink>
    </w:p>
    <w:p w14:paraId="76FCE497" w14:textId="77777777" w:rsidR="00A14FDA" w:rsidRDefault="00A14FDA" w:rsidP="00A14FDA">
      <w:pPr>
        <w:pStyle w:val="TOC1"/>
        <w:rPr>
          <w:rFonts w:asciiTheme="minorHAnsi" w:hAnsiTheme="minorHAnsi" w:cstheme="minorBidi"/>
          <w:b w:val="0"/>
          <w:bCs w:val="0"/>
          <w:caps w:val="0"/>
          <w:sz w:val="22"/>
          <w:szCs w:val="22"/>
          <w:rtl/>
        </w:rPr>
      </w:pPr>
      <w:hyperlink w:anchor="_Toc144225308" w:history="1">
        <w:r w:rsidRPr="00FD7F30">
          <w:rPr>
            <w:rStyle w:val="Hyperlink"/>
            <w:rtl/>
          </w:rPr>
          <w:t>בבי' הירו' דבמקום אב אחר אין מכב"פ</w:t>
        </w:r>
      </w:hyperlink>
    </w:p>
    <w:p w14:paraId="5EDA785A" w14:textId="0E28F008" w:rsidR="00A14FDA" w:rsidRPr="00D72FFC" w:rsidRDefault="00A14FDA" w:rsidP="00A14FDA">
      <w:pPr>
        <w:pStyle w:val="afffffffff0"/>
        <w:rPr>
          <w:rtl/>
        </w:rPr>
      </w:pPr>
      <w:r w:rsidRPr="00D72FFC">
        <w:rPr>
          <w:rStyle w:val="afffffffff9"/>
          <w:rFonts w:ascii="David" w:eastAsiaTheme="minorEastAsia" w:hAnsi="David" w:cs="David"/>
          <w:color w:val="auto"/>
          <w:sz w:val="16"/>
          <w:szCs w:val="16"/>
          <w:rtl/>
        </w:rPr>
        <w:fldChar w:fldCharType="begin"/>
      </w:r>
      <w:r w:rsidRPr="00D72FFC">
        <w:rPr>
          <w:rStyle w:val="afffffffff9"/>
          <w:rFonts w:ascii="David" w:eastAsiaTheme="minorEastAsia" w:hAnsi="David" w:cs="David"/>
          <w:color w:val="auto"/>
          <w:sz w:val="16"/>
          <w:szCs w:val="16"/>
          <w:rtl/>
        </w:rPr>
        <w:instrText xml:space="preserve"> </w:instrText>
      </w:r>
      <w:r w:rsidRPr="00D72FFC">
        <w:rPr>
          <w:rStyle w:val="afffffffff9"/>
          <w:rFonts w:ascii="David" w:eastAsiaTheme="minorEastAsia" w:hAnsi="David" w:cs="David" w:hint="cs"/>
          <w:color w:val="auto"/>
          <w:sz w:val="16"/>
          <w:szCs w:val="16"/>
        </w:rPr>
        <w:instrText>REF</w:instrText>
      </w:r>
      <w:r w:rsidRPr="00D72FFC">
        <w:rPr>
          <w:rStyle w:val="afffffffff9"/>
          <w:rFonts w:ascii="David" w:eastAsiaTheme="minorEastAsia" w:hAnsi="David" w:cs="David" w:hint="cs"/>
          <w:color w:val="auto"/>
          <w:sz w:val="16"/>
          <w:szCs w:val="16"/>
          <w:rtl/>
        </w:rPr>
        <w:instrText xml:space="preserve"> _</w:instrText>
      </w:r>
      <w:r w:rsidRPr="00D72FFC">
        <w:rPr>
          <w:rStyle w:val="afffffffff9"/>
          <w:rFonts w:ascii="David" w:eastAsiaTheme="minorEastAsia" w:hAnsi="David" w:cs="David" w:hint="cs"/>
          <w:color w:val="auto"/>
          <w:sz w:val="16"/>
          <w:szCs w:val="16"/>
        </w:rPr>
        <w:instrText>Ref144117321 \r \h</w:instrText>
      </w:r>
      <w:r w:rsidRPr="00D72FFC">
        <w:rPr>
          <w:rStyle w:val="afffffffff9"/>
          <w:rFonts w:ascii="David" w:eastAsiaTheme="minorEastAsia" w:hAnsi="David" w:cs="David"/>
          <w:color w:val="auto"/>
          <w:sz w:val="16"/>
          <w:szCs w:val="16"/>
          <w:rtl/>
        </w:rPr>
        <w:instrText xml:space="preserve">  \* </w:instrText>
      </w:r>
      <w:r w:rsidRPr="00D72FFC">
        <w:rPr>
          <w:rStyle w:val="afffffffff9"/>
          <w:rFonts w:ascii="David" w:eastAsiaTheme="minorEastAsia" w:hAnsi="David" w:cs="David"/>
          <w:color w:val="auto"/>
          <w:sz w:val="16"/>
          <w:szCs w:val="16"/>
        </w:rPr>
        <w:instrText>MERGEFORMAT</w:instrText>
      </w:r>
      <w:r w:rsidRPr="00D72FFC">
        <w:rPr>
          <w:rStyle w:val="afffffffff9"/>
          <w:rFonts w:ascii="David" w:eastAsiaTheme="minorEastAsia" w:hAnsi="David" w:cs="David"/>
          <w:color w:val="auto"/>
          <w:sz w:val="16"/>
          <w:szCs w:val="16"/>
          <w:rtl/>
        </w:rPr>
        <w:instrText xml:space="preserve"> </w:instrText>
      </w:r>
      <w:r w:rsidRPr="00D72FFC">
        <w:rPr>
          <w:rStyle w:val="afffffffff9"/>
          <w:rFonts w:ascii="David" w:eastAsiaTheme="minorEastAsia" w:hAnsi="David" w:cs="David"/>
          <w:color w:val="auto"/>
          <w:sz w:val="16"/>
          <w:szCs w:val="16"/>
          <w:rtl/>
        </w:rPr>
      </w:r>
      <w:r w:rsidRPr="00D72FFC">
        <w:rPr>
          <w:rStyle w:val="afffffffff9"/>
          <w:rFonts w:ascii="David" w:eastAsiaTheme="minorEastAsia" w:hAnsi="David" w:cs="David"/>
          <w:color w:val="auto"/>
          <w:sz w:val="16"/>
          <w:szCs w:val="16"/>
          <w:rtl/>
        </w:rPr>
        <w:fldChar w:fldCharType="separate"/>
      </w:r>
      <w:r w:rsidR="00D82181">
        <w:rPr>
          <w:rStyle w:val="afffffffff9"/>
          <w:rFonts w:ascii="David" w:eastAsiaTheme="minorEastAsia" w:hAnsi="David" w:cs="David"/>
          <w:color w:val="auto"/>
          <w:sz w:val="16"/>
          <w:szCs w:val="16"/>
          <w:cs/>
        </w:rPr>
        <w:t>‎</w:t>
      </w:r>
      <w:r w:rsidR="00D82181">
        <w:rPr>
          <w:rStyle w:val="afffffffff9"/>
          <w:rFonts w:ascii="David" w:eastAsiaTheme="minorEastAsia" w:hAnsi="David" w:cs="David"/>
          <w:color w:val="auto"/>
          <w:sz w:val="16"/>
          <w:szCs w:val="16"/>
          <w:rtl/>
        </w:rPr>
        <w:t>סד)</w:t>
      </w:r>
      <w:r w:rsidRPr="00D72FFC">
        <w:rPr>
          <w:rStyle w:val="afffffffff9"/>
          <w:rFonts w:ascii="David" w:eastAsiaTheme="minorEastAsia" w:hAnsi="David" w:cs="David"/>
          <w:color w:val="auto"/>
          <w:sz w:val="16"/>
          <w:szCs w:val="16"/>
          <w:rtl/>
        </w:rPr>
        <w:fldChar w:fldCharType="end"/>
      </w:r>
      <w:r w:rsidRPr="00D72FFC">
        <w:rPr>
          <w:rStyle w:val="afffffffff9"/>
          <w:rFonts w:ascii="David" w:eastAsiaTheme="minorEastAsia" w:hAnsi="David" w:cs="David" w:hint="cs"/>
          <w:color w:val="auto"/>
          <w:sz w:val="16"/>
          <w:szCs w:val="16"/>
          <w:rtl/>
        </w:rPr>
        <w:t xml:space="preserve"> חזון יחזקאל</w:t>
      </w:r>
      <w:r w:rsidRPr="00D72FFC">
        <w:rPr>
          <w:rFonts w:hint="cs"/>
          <w:rtl/>
        </w:rPr>
        <w:t xml:space="preserve"> </w:t>
      </w:r>
      <w:r w:rsidRPr="00407CF9">
        <w:rPr>
          <w:rStyle w:val="afffffffff3"/>
          <w:rFonts w:hint="cs"/>
          <w:rtl/>
        </w:rPr>
        <w:t>(חי' שבת קד: ד"ה והא, תוספתא פי"ב סוף ה"ה)</w:t>
      </w:r>
    </w:p>
    <w:p w14:paraId="7E480C81" w14:textId="77777777" w:rsidR="00A14FDA" w:rsidRDefault="00A14FDA" w:rsidP="00A14FDA">
      <w:pPr>
        <w:pStyle w:val="TOC2"/>
        <w:rPr>
          <w:rFonts w:cstheme="minorBidi"/>
          <w:b w:val="0"/>
          <w:bCs w:val="0"/>
          <w:sz w:val="22"/>
          <w:szCs w:val="22"/>
          <w:rtl/>
        </w:rPr>
      </w:pPr>
      <w:hyperlink w:anchor="_Toc144225309" w:history="1">
        <w:r w:rsidRPr="00FD7F30">
          <w:rPr>
            <w:rStyle w:val="Hyperlink"/>
            <w:rtl/>
          </w:rPr>
          <w:t>בי' החזו"י דמוכח בירו' דלא כמאירי וצ"ל דהיינו רק במקום אב</w:t>
        </w:r>
      </w:hyperlink>
    </w:p>
    <w:p w14:paraId="2D149BB6" w14:textId="77777777" w:rsidR="00A14FDA" w:rsidRDefault="00A14FDA" w:rsidP="00ED704E">
      <w:pPr>
        <w:pStyle w:val="TOC3"/>
        <w:rPr>
          <w:rFonts w:asciiTheme="minorHAnsi" w:eastAsiaTheme="minorEastAsia" w:hAnsiTheme="minorHAnsi" w:cstheme="minorBidi"/>
          <w:sz w:val="22"/>
          <w:szCs w:val="22"/>
          <w:rtl/>
        </w:rPr>
      </w:pPr>
      <w:hyperlink w:anchor="_Toc144225310" w:history="1">
        <w:r w:rsidRPr="00FD7F30">
          <w:rPr>
            <w:rStyle w:val="Hyperlink"/>
            <w:rtl/>
          </w:rPr>
          <w:t>קו' החזון יחזקאל על המאירי דבירושלמי מוכח דאף כשמשלים את המלאכה עצמה יש מכב"פ</w:t>
        </w:r>
      </w:hyperlink>
    </w:p>
    <w:p w14:paraId="0AA66FDC" w14:textId="77777777" w:rsidR="00A14FDA" w:rsidRDefault="00A14FDA" w:rsidP="00ED704E">
      <w:pPr>
        <w:pStyle w:val="TOC3"/>
        <w:rPr>
          <w:rFonts w:asciiTheme="minorHAnsi" w:eastAsiaTheme="minorEastAsia" w:hAnsiTheme="minorHAnsi" w:cstheme="minorBidi"/>
          <w:sz w:val="22"/>
          <w:szCs w:val="22"/>
          <w:rtl/>
        </w:rPr>
      </w:pPr>
      <w:hyperlink w:anchor="_Toc144225311" w:history="1">
        <w:r w:rsidRPr="00FD7F30">
          <w:rPr>
            <w:rStyle w:val="Hyperlink"/>
            <w:rtl/>
          </w:rPr>
          <w:t>בי' החזון יחזקאל דגמר מלאכה תולדת מכב"פ ובמקום שחייב על אב אחר א"א לחייב תולדה</w:t>
        </w:r>
      </w:hyperlink>
    </w:p>
    <w:p w14:paraId="2E1DFD20" w14:textId="77777777" w:rsidR="00A14FDA" w:rsidRDefault="00A14FDA" w:rsidP="00A14FDA">
      <w:pPr>
        <w:pStyle w:val="TOC1"/>
        <w:rPr>
          <w:rFonts w:asciiTheme="minorHAnsi" w:hAnsiTheme="minorHAnsi" w:cstheme="minorBidi"/>
          <w:b w:val="0"/>
          <w:bCs w:val="0"/>
          <w:caps w:val="0"/>
          <w:sz w:val="22"/>
          <w:szCs w:val="22"/>
          <w:rtl/>
        </w:rPr>
      </w:pPr>
      <w:hyperlink w:anchor="_Toc144225312" w:history="1">
        <w:r w:rsidRPr="00FD7F30">
          <w:rPr>
            <w:rStyle w:val="Hyperlink"/>
            <w:rtl/>
          </w:rPr>
          <w:t>~~~~~~~~~~~~~~~~~~~~~~~~~~~~</w:t>
        </w:r>
      </w:hyperlink>
    </w:p>
    <w:p w14:paraId="4F8482ED" w14:textId="77777777" w:rsidR="00A14FDA" w:rsidRPr="00013646" w:rsidRDefault="00A14FDA" w:rsidP="00A14FDA">
      <w:pPr>
        <w:rPr>
          <w:rtl/>
        </w:rPr>
      </w:pPr>
    </w:p>
    <w:p w14:paraId="299F90D2" w14:textId="77777777" w:rsidR="00A14FDA" w:rsidRPr="00013646" w:rsidRDefault="00A14FDA" w:rsidP="00A14FDA">
      <w:pPr>
        <w:rPr>
          <w:rtl/>
        </w:rPr>
      </w:pPr>
    </w:p>
    <w:p w14:paraId="69839025" w14:textId="77777777" w:rsidR="00A14FDA" w:rsidRPr="00013646" w:rsidRDefault="00A14FDA" w:rsidP="00A14FDA">
      <w:pPr>
        <w:rPr>
          <w:rtl/>
        </w:rPr>
      </w:pPr>
    </w:p>
    <w:p w14:paraId="773DBCB2" w14:textId="77777777" w:rsidR="00A14FDA" w:rsidRPr="00013646" w:rsidRDefault="00A14FDA" w:rsidP="00A14FDA">
      <w:pPr>
        <w:rPr>
          <w:rtl/>
        </w:rPr>
      </w:pPr>
    </w:p>
    <w:p w14:paraId="167CF007" w14:textId="77777777" w:rsidR="00A14FDA" w:rsidRPr="00013646" w:rsidRDefault="00A14FDA" w:rsidP="00A14FDA">
      <w:pPr>
        <w:rPr>
          <w:rtl/>
        </w:rPr>
      </w:pPr>
    </w:p>
    <w:p w14:paraId="5210FDA8" w14:textId="77777777" w:rsidR="00A14FDA" w:rsidRPr="00013646" w:rsidRDefault="00A14FDA" w:rsidP="00A14FDA">
      <w:pPr>
        <w:rPr>
          <w:rtl/>
        </w:rPr>
      </w:pPr>
    </w:p>
    <w:p w14:paraId="70DFE9F3" w14:textId="77777777" w:rsidR="00A14FDA" w:rsidRDefault="00A14FDA" w:rsidP="00A14FDA">
      <w:pPr>
        <w:pStyle w:val="TOC1"/>
        <w:rPr>
          <w:rFonts w:asciiTheme="minorHAnsi" w:hAnsiTheme="minorHAnsi" w:cstheme="minorBidi"/>
          <w:b w:val="0"/>
          <w:bCs w:val="0"/>
          <w:caps w:val="0"/>
          <w:sz w:val="22"/>
          <w:szCs w:val="22"/>
          <w:rtl/>
        </w:rPr>
      </w:pPr>
      <w:hyperlink w:anchor="_Toc144225313" w:history="1">
        <w:r w:rsidRPr="00FD7F30">
          <w:rPr>
            <w:rStyle w:val="Hyperlink"/>
            <w:rtl/>
          </w:rPr>
          <w:t>בבי' רש"י דבנגמר מאיליו אין מכב"פ</w:t>
        </w:r>
      </w:hyperlink>
    </w:p>
    <w:p w14:paraId="591EF9E6" w14:textId="4C6C6191" w:rsidR="00A14FDA" w:rsidRPr="00D72FFC" w:rsidRDefault="00A14FDA" w:rsidP="00A14FDA">
      <w:pPr>
        <w:pStyle w:val="afffffffff0"/>
      </w:pPr>
      <w:r w:rsidRPr="00D72FFC">
        <w:rPr>
          <w:rtl/>
        </w:rPr>
        <w:fldChar w:fldCharType="begin"/>
      </w:r>
      <w:r w:rsidRPr="00D72FFC">
        <w:rPr>
          <w:rtl/>
        </w:rPr>
        <w:instrText xml:space="preserve"> </w:instrText>
      </w:r>
      <w:r w:rsidRPr="00D72FFC">
        <w:instrText>REF</w:instrText>
      </w:r>
      <w:r w:rsidRPr="00D72FFC">
        <w:rPr>
          <w:rtl/>
        </w:rPr>
        <w:instrText xml:space="preserve"> _</w:instrText>
      </w:r>
      <w:r w:rsidRPr="00D72FFC">
        <w:instrText>Ref144117314 \r \h</w:instrText>
      </w:r>
      <w:r w:rsidRPr="00D72FFC">
        <w:rPr>
          <w:rtl/>
        </w:rPr>
        <w:instrText xml:space="preserve">  \* </w:instrText>
      </w:r>
      <w:r w:rsidRPr="00D72FFC">
        <w:instrText>MERGEFORMAT</w:instrText>
      </w:r>
      <w:r w:rsidRPr="00D72FFC">
        <w:rPr>
          <w:rtl/>
        </w:rPr>
        <w:instrText xml:space="preserve"> </w:instrText>
      </w:r>
      <w:r w:rsidRPr="00D72FFC">
        <w:rPr>
          <w:rtl/>
        </w:rPr>
      </w:r>
      <w:r w:rsidRPr="00D72FFC">
        <w:rPr>
          <w:rtl/>
        </w:rPr>
        <w:fldChar w:fldCharType="separate"/>
      </w:r>
      <w:r w:rsidR="00D82181">
        <w:rPr>
          <w:cs/>
        </w:rPr>
        <w:t>‎</w:t>
      </w:r>
      <w:r w:rsidR="00D82181">
        <w:rPr>
          <w:rtl/>
        </w:rPr>
        <w:t>סו)</w:t>
      </w:r>
      <w:r w:rsidRPr="00D72FFC">
        <w:rPr>
          <w:rtl/>
        </w:rPr>
        <w:fldChar w:fldCharType="end"/>
      </w:r>
      <w:r w:rsidRPr="00D72FFC">
        <w:rPr>
          <w:rtl/>
        </w:rPr>
        <w:t xml:space="preserve"> </w:t>
      </w:r>
      <w:r w:rsidRPr="00D72FFC">
        <w:rPr>
          <w:rFonts w:hint="cs"/>
          <w:rtl/>
        </w:rPr>
        <w:t>קהלות יעקב</w:t>
      </w:r>
      <w:r w:rsidRPr="00D72FFC">
        <w:rPr>
          <w:rtl/>
        </w:rPr>
        <w:t xml:space="preserve"> </w:t>
      </w:r>
      <w:r w:rsidRPr="00407CF9">
        <w:rPr>
          <w:rStyle w:val="afffffffff3"/>
          <w:rtl/>
        </w:rPr>
        <w:t>(</w:t>
      </w:r>
      <w:r w:rsidRPr="00407CF9">
        <w:rPr>
          <w:rStyle w:val="afffffffff3"/>
          <w:rFonts w:hint="cs"/>
          <w:rtl/>
        </w:rPr>
        <w:t>שבת סי' מ"א ד"ה אולם הרא"ש</w:t>
      </w:r>
      <w:r w:rsidRPr="00407CF9">
        <w:rPr>
          <w:rStyle w:val="afffffffff3"/>
          <w:rtl/>
        </w:rPr>
        <w:t>)</w:t>
      </w:r>
      <w:r>
        <w:rPr>
          <w:rtl/>
        </w:rPr>
        <w:t xml:space="preserve"> </w:t>
      </w:r>
      <w:r w:rsidRPr="00D72FFC">
        <w:rPr>
          <w:rFonts w:hint="cs"/>
          <w:rtl/>
        </w:rPr>
        <w:t>השביתת השבת</w:t>
      </w:r>
      <w:r w:rsidRPr="00D72FFC">
        <w:rPr>
          <w:rtl/>
        </w:rPr>
        <w:t xml:space="preserve"> </w:t>
      </w:r>
      <w:r w:rsidRPr="00407CF9">
        <w:rPr>
          <w:rStyle w:val="afffffffff3"/>
          <w:rtl/>
        </w:rPr>
        <w:t>(</w:t>
      </w:r>
      <w:r w:rsidRPr="00407CF9">
        <w:rPr>
          <w:rStyle w:val="afffffffff3"/>
          <w:rFonts w:hint="cs"/>
          <w:rtl/>
        </w:rPr>
        <w:t>הקדמה מעשה חושב א' סק"ג ד"ה ומכה בפטיש</w:t>
      </w:r>
      <w:r w:rsidRPr="00407CF9">
        <w:rPr>
          <w:rStyle w:val="afffffffff3"/>
          <w:rtl/>
        </w:rPr>
        <w:t>)</w:t>
      </w:r>
      <w:r>
        <w:rPr>
          <w:rtl/>
        </w:rPr>
        <w:t>,</w:t>
      </w:r>
      <w:r w:rsidRPr="00407CF9">
        <w:rPr>
          <w:b/>
          <w:bCs/>
          <w:rtl/>
        </w:rPr>
        <w:t xml:space="preserve"> </w:t>
      </w:r>
      <w:r w:rsidRPr="00407CF9">
        <w:rPr>
          <w:b/>
          <w:bCs/>
          <w:rtl/>
        </w:rPr>
        <w:fldChar w:fldCharType="begin"/>
      </w:r>
      <w:r w:rsidRPr="00407CF9">
        <w:rPr>
          <w:b/>
          <w:bCs/>
          <w:rtl/>
        </w:rPr>
        <w:instrText xml:space="preserve"> </w:instrText>
      </w:r>
      <w:r w:rsidRPr="00407CF9">
        <w:rPr>
          <w:b/>
          <w:bCs/>
        </w:rPr>
        <w:instrText>REF</w:instrText>
      </w:r>
      <w:r w:rsidRPr="00407CF9">
        <w:rPr>
          <w:b/>
          <w:bCs/>
          <w:rtl/>
        </w:rPr>
        <w:instrText xml:space="preserve"> _</w:instrText>
      </w:r>
      <w:r w:rsidRPr="00407CF9">
        <w:rPr>
          <w:b/>
          <w:bCs/>
        </w:rPr>
        <w:instrText>Ref144117330 \r \h</w:instrText>
      </w:r>
      <w:r w:rsidRPr="00407CF9">
        <w:rPr>
          <w:b/>
          <w:bCs/>
          <w:rtl/>
        </w:rPr>
        <w:instrText xml:space="preserve">  \* </w:instrText>
      </w:r>
      <w:r w:rsidRPr="00407CF9">
        <w:rPr>
          <w:b/>
          <w:bCs/>
        </w:rPr>
        <w:instrText>MERGEFORMAT</w:instrText>
      </w:r>
      <w:r w:rsidRPr="00407CF9">
        <w:rPr>
          <w:b/>
          <w:bCs/>
          <w:rtl/>
        </w:rPr>
        <w:instrText xml:space="preserve"> </w:instrText>
      </w:r>
      <w:r w:rsidRPr="00407CF9">
        <w:rPr>
          <w:b/>
          <w:bCs/>
          <w:rtl/>
        </w:rPr>
      </w:r>
      <w:r w:rsidRPr="00407CF9">
        <w:rPr>
          <w:b/>
          <w:bCs/>
          <w:rtl/>
        </w:rPr>
        <w:fldChar w:fldCharType="separate"/>
      </w:r>
      <w:r w:rsidR="00D82181">
        <w:rPr>
          <w:b/>
          <w:bCs/>
          <w:cs/>
        </w:rPr>
        <w:t>‎</w:t>
      </w:r>
      <w:r w:rsidR="00D82181">
        <w:rPr>
          <w:b/>
          <w:bCs/>
          <w:rtl/>
        </w:rPr>
        <w:t>סז)</w:t>
      </w:r>
      <w:r w:rsidRPr="00407CF9">
        <w:rPr>
          <w:b/>
          <w:bCs/>
          <w:rtl/>
        </w:rPr>
        <w:fldChar w:fldCharType="end"/>
      </w:r>
      <w:r w:rsidRPr="00407CF9">
        <w:rPr>
          <w:b/>
          <w:bCs/>
          <w:rtl/>
        </w:rPr>
        <w:t xml:space="preserve"> </w:t>
      </w:r>
      <w:r w:rsidRPr="00D72FFC">
        <w:rPr>
          <w:rFonts w:hint="cs"/>
          <w:rtl/>
        </w:rPr>
        <w:t>קהלות יעקב</w:t>
      </w:r>
      <w:r w:rsidRPr="00D72FFC">
        <w:rPr>
          <w:rtl/>
        </w:rPr>
        <w:t xml:space="preserve"> </w:t>
      </w:r>
      <w:r w:rsidRPr="00407CF9">
        <w:rPr>
          <w:rStyle w:val="afffffffff3"/>
          <w:rtl/>
        </w:rPr>
        <w:t>(</w:t>
      </w:r>
      <w:r w:rsidRPr="00407CF9">
        <w:rPr>
          <w:rStyle w:val="afffffffff3"/>
          <w:rFonts w:hint="cs"/>
          <w:rtl/>
        </w:rPr>
        <w:t>שבת סי' מ"א ד"ה והיה נלענ"ד</w:t>
      </w:r>
      <w:r w:rsidRPr="00407CF9">
        <w:rPr>
          <w:rStyle w:val="afffffffff3"/>
          <w:rtl/>
        </w:rPr>
        <w:t>)</w:t>
      </w:r>
      <w:r>
        <w:rPr>
          <w:rtl/>
        </w:rPr>
        <w:t>,</w:t>
      </w:r>
      <w:r w:rsidRPr="00407CF9">
        <w:rPr>
          <w:b/>
          <w:bCs/>
          <w:rtl/>
        </w:rPr>
        <w:t xml:space="preserve"> </w:t>
      </w:r>
      <w:r w:rsidRPr="00407CF9">
        <w:rPr>
          <w:b/>
          <w:bCs/>
          <w:rtl/>
        </w:rPr>
        <w:fldChar w:fldCharType="begin"/>
      </w:r>
      <w:r w:rsidRPr="00407CF9">
        <w:rPr>
          <w:b/>
          <w:bCs/>
          <w:rtl/>
        </w:rPr>
        <w:instrText xml:space="preserve"> </w:instrText>
      </w:r>
      <w:r w:rsidRPr="00407CF9">
        <w:rPr>
          <w:b/>
          <w:bCs/>
        </w:rPr>
        <w:instrText>REF</w:instrText>
      </w:r>
      <w:r w:rsidRPr="00407CF9">
        <w:rPr>
          <w:b/>
          <w:bCs/>
          <w:rtl/>
        </w:rPr>
        <w:instrText xml:space="preserve"> _</w:instrText>
      </w:r>
      <w:r w:rsidRPr="00407CF9">
        <w:rPr>
          <w:b/>
          <w:bCs/>
        </w:rPr>
        <w:instrText>Ref144117341 \r \h</w:instrText>
      </w:r>
      <w:r w:rsidRPr="00407CF9">
        <w:rPr>
          <w:b/>
          <w:bCs/>
          <w:rtl/>
        </w:rPr>
        <w:instrText xml:space="preserve">  \* </w:instrText>
      </w:r>
      <w:r w:rsidRPr="00407CF9">
        <w:rPr>
          <w:b/>
          <w:bCs/>
        </w:rPr>
        <w:instrText>MERGEFORMAT</w:instrText>
      </w:r>
      <w:r w:rsidRPr="00407CF9">
        <w:rPr>
          <w:b/>
          <w:bCs/>
          <w:rtl/>
        </w:rPr>
        <w:instrText xml:space="preserve"> </w:instrText>
      </w:r>
      <w:r w:rsidRPr="00407CF9">
        <w:rPr>
          <w:b/>
          <w:bCs/>
          <w:rtl/>
        </w:rPr>
      </w:r>
      <w:r w:rsidRPr="00407CF9">
        <w:rPr>
          <w:b/>
          <w:bCs/>
          <w:rtl/>
        </w:rPr>
        <w:fldChar w:fldCharType="separate"/>
      </w:r>
      <w:r w:rsidR="00D82181">
        <w:rPr>
          <w:b/>
          <w:bCs/>
          <w:cs/>
        </w:rPr>
        <w:t>‎</w:t>
      </w:r>
      <w:r w:rsidR="00D82181">
        <w:rPr>
          <w:b/>
          <w:bCs/>
          <w:rtl/>
        </w:rPr>
        <w:t>סח)</w:t>
      </w:r>
      <w:r w:rsidRPr="00407CF9">
        <w:rPr>
          <w:b/>
          <w:bCs/>
          <w:rtl/>
        </w:rPr>
        <w:fldChar w:fldCharType="end"/>
      </w:r>
      <w:r w:rsidRPr="00407CF9">
        <w:rPr>
          <w:b/>
          <w:bCs/>
          <w:rtl/>
        </w:rPr>
        <w:t xml:space="preserve"> </w:t>
      </w:r>
      <w:r w:rsidRPr="00D72FFC">
        <w:rPr>
          <w:rFonts w:hint="cs"/>
          <w:rtl/>
        </w:rPr>
        <w:t>קהלות יעקב</w:t>
      </w:r>
      <w:r w:rsidRPr="00D72FFC">
        <w:rPr>
          <w:rtl/>
        </w:rPr>
        <w:t xml:space="preserve"> </w:t>
      </w:r>
      <w:r w:rsidRPr="00407CF9">
        <w:rPr>
          <w:rStyle w:val="afffffffff3"/>
          <w:rtl/>
        </w:rPr>
        <w:t>(</w:t>
      </w:r>
      <w:r w:rsidRPr="00407CF9">
        <w:rPr>
          <w:rStyle w:val="afffffffff3"/>
          <w:rFonts w:hint="cs"/>
          <w:rtl/>
        </w:rPr>
        <w:t>שבת סי' מ"א ד"ה אבל זה</w:t>
      </w:r>
      <w:r w:rsidRPr="00407CF9">
        <w:rPr>
          <w:rStyle w:val="afffffffff3"/>
          <w:rtl/>
        </w:rPr>
        <w:t>)</w:t>
      </w:r>
      <w:r>
        <w:rPr>
          <w:rtl/>
        </w:rPr>
        <w:t>,</w:t>
      </w:r>
      <w:r w:rsidRPr="00407CF9">
        <w:rPr>
          <w:b/>
          <w:bCs/>
          <w:rtl/>
        </w:rPr>
        <w:t xml:space="preserve"> </w:t>
      </w:r>
      <w:r w:rsidRPr="00407CF9">
        <w:rPr>
          <w:b/>
          <w:bCs/>
          <w:rtl/>
        </w:rPr>
        <w:fldChar w:fldCharType="begin"/>
      </w:r>
      <w:r w:rsidRPr="00407CF9">
        <w:rPr>
          <w:b/>
          <w:bCs/>
          <w:rtl/>
        </w:rPr>
        <w:instrText xml:space="preserve"> </w:instrText>
      </w:r>
      <w:r w:rsidRPr="00407CF9">
        <w:rPr>
          <w:b/>
          <w:bCs/>
        </w:rPr>
        <w:instrText>REF</w:instrText>
      </w:r>
      <w:r w:rsidRPr="00407CF9">
        <w:rPr>
          <w:b/>
          <w:bCs/>
          <w:rtl/>
        </w:rPr>
        <w:instrText xml:space="preserve"> _</w:instrText>
      </w:r>
      <w:r w:rsidRPr="00407CF9">
        <w:rPr>
          <w:b/>
          <w:bCs/>
        </w:rPr>
        <w:instrText>Ref144117349 \r \h</w:instrText>
      </w:r>
      <w:r w:rsidRPr="00407CF9">
        <w:rPr>
          <w:b/>
          <w:bCs/>
          <w:rtl/>
        </w:rPr>
        <w:instrText xml:space="preserve">  \* </w:instrText>
      </w:r>
      <w:r w:rsidRPr="00407CF9">
        <w:rPr>
          <w:b/>
          <w:bCs/>
        </w:rPr>
        <w:instrText>MERGEFORMAT</w:instrText>
      </w:r>
      <w:r w:rsidRPr="00407CF9">
        <w:rPr>
          <w:b/>
          <w:bCs/>
          <w:rtl/>
        </w:rPr>
        <w:instrText xml:space="preserve"> </w:instrText>
      </w:r>
      <w:r w:rsidRPr="00407CF9">
        <w:rPr>
          <w:b/>
          <w:bCs/>
          <w:rtl/>
        </w:rPr>
      </w:r>
      <w:r w:rsidRPr="00407CF9">
        <w:rPr>
          <w:b/>
          <w:bCs/>
          <w:rtl/>
        </w:rPr>
        <w:fldChar w:fldCharType="separate"/>
      </w:r>
      <w:r w:rsidR="00D82181">
        <w:rPr>
          <w:b/>
          <w:bCs/>
          <w:cs/>
        </w:rPr>
        <w:t>‎</w:t>
      </w:r>
      <w:r w:rsidR="00D82181">
        <w:rPr>
          <w:b/>
          <w:bCs/>
          <w:rtl/>
        </w:rPr>
        <w:t>סט)</w:t>
      </w:r>
      <w:r w:rsidRPr="00407CF9">
        <w:rPr>
          <w:b/>
          <w:bCs/>
          <w:rtl/>
        </w:rPr>
        <w:fldChar w:fldCharType="end"/>
      </w:r>
      <w:r w:rsidRPr="00407CF9">
        <w:rPr>
          <w:b/>
          <w:bCs/>
          <w:rtl/>
        </w:rPr>
        <w:t xml:space="preserve"> </w:t>
      </w:r>
      <w:r w:rsidRPr="00D72FFC">
        <w:rPr>
          <w:rFonts w:hint="cs"/>
          <w:rtl/>
        </w:rPr>
        <w:t>קהלות יעקב</w:t>
      </w:r>
      <w:r w:rsidRPr="00D72FFC">
        <w:rPr>
          <w:rtl/>
        </w:rPr>
        <w:t xml:space="preserve"> </w:t>
      </w:r>
      <w:r w:rsidRPr="00407CF9">
        <w:rPr>
          <w:rStyle w:val="afffffffff3"/>
          <w:rtl/>
        </w:rPr>
        <w:t>(</w:t>
      </w:r>
      <w:r w:rsidRPr="00407CF9">
        <w:rPr>
          <w:rStyle w:val="afffffffff3"/>
          <w:rFonts w:hint="cs"/>
          <w:rtl/>
        </w:rPr>
        <w:t xml:space="preserve">שבת סי' מ"א ד"ה </w:t>
      </w:r>
      <w:r w:rsidRPr="00407CF9">
        <w:rPr>
          <w:rStyle w:val="afffffffff3"/>
          <w:rtl/>
        </w:rPr>
        <w:t>ומ"מ נראה)</w:t>
      </w:r>
      <w:r>
        <w:rPr>
          <w:rtl/>
        </w:rPr>
        <w:t>,</w:t>
      </w:r>
      <w:r w:rsidRPr="00407CF9">
        <w:rPr>
          <w:b/>
          <w:bCs/>
          <w:rtl/>
        </w:rPr>
        <w:t xml:space="preserve"> </w:t>
      </w:r>
      <w:r w:rsidRPr="00407CF9">
        <w:rPr>
          <w:b/>
          <w:bCs/>
          <w:rtl/>
        </w:rPr>
        <w:fldChar w:fldCharType="begin"/>
      </w:r>
      <w:r w:rsidRPr="00407CF9">
        <w:rPr>
          <w:b/>
          <w:bCs/>
          <w:rtl/>
        </w:rPr>
        <w:instrText xml:space="preserve"> </w:instrText>
      </w:r>
      <w:r w:rsidRPr="00407CF9">
        <w:rPr>
          <w:b/>
          <w:bCs/>
        </w:rPr>
        <w:instrText>REF</w:instrText>
      </w:r>
      <w:r w:rsidRPr="00407CF9">
        <w:rPr>
          <w:b/>
          <w:bCs/>
          <w:rtl/>
        </w:rPr>
        <w:instrText xml:space="preserve"> _</w:instrText>
      </w:r>
      <w:r w:rsidRPr="00407CF9">
        <w:rPr>
          <w:b/>
          <w:bCs/>
        </w:rPr>
        <w:instrText>Ref144117359 \r \h</w:instrText>
      </w:r>
      <w:r w:rsidRPr="00407CF9">
        <w:rPr>
          <w:b/>
          <w:bCs/>
          <w:rtl/>
        </w:rPr>
        <w:instrText xml:space="preserve">  \* </w:instrText>
      </w:r>
      <w:r w:rsidRPr="00407CF9">
        <w:rPr>
          <w:b/>
          <w:bCs/>
        </w:rPr>
        <w:instrText>MERGEFORMAT</w:instrText>
      </w:r>
      <w:r w:rsidRPr="00407CF9">
        <w:rPr>
          <w:b/>
          <w:bCs/>
          <w:rtl/>
        </w:rPr>
        <w:instrText xml:space="preserve"> </w:instrText>
      </w:r>
      <w:r w:rsidRPr="00407CF9">
        <w:rPr>
          <w:b/>
          <w:bCs/>
          <w:rtl/>
        </w:rPr>
      </w:r>
      <w:r w:rsidRPr="00407CF9">
        <w:rPr>
          <w:b/>
          <w:bCs/>
          <w:rtl/>
        </w:rPr>
        <w:fldChar w:fldCharType="separate"/>
      </w:r>
      <w:r w:rsidR="00D82181">
        <w:rPr>
          <w:b/>
          <w:bCs/>
          <w:cs/>
        </w:rPr>
        <w:t>‎</w:t>
      </w:r>
      <w:r w:rsidR="00D82181">
        <w:rPr>
          <w:b/>
          <w:bCs/>
          <w:rtl/>
        </w:rPr>
        <w:t>עד)</w:t>
      </w:r>
      <w:r w:rsidRPr="00407CF9">
        <w:rPr>
          <w:b/>
          <w:bCs/>
          <w:rtl/>
        </w:rPr>
        <w:fldChar w:fldCharType="end"/>
      </w:r>
      <w:r w:rsidRPr="00407CF9">
        <w:rPr>
          <w:b/>
          <w:bCs/>
          <w:rtl/>
        </w:rPr>
        <w:t xml:space="preserve"> </w:t>
      </w:r>
      <w:r w:rsidRPr="00D72FFC">
        <w:rPr>
          <w:rFonts w:hint="cs"/>
          <w:rtl/>
        </w:rPr>
        <w:t>קהלות יעקב</w:t>
      </w:r>
      <w:r w:rsidRPr="00D72FFC">
        <w:rPr>
          <w:rtl/>
        </w:rPr>
        <w:t xml:space="preserve"> </w:t>
      </w:r>
      <w:r w:rsidRPr="00407CF9">
        <w:rPr>
          <w:rStyle w:val="afffffffff3"/>
          <w:rtl/>
        </w:rPr>
        <w:t>(</w:t>
      </w:r>
      <w:r w:rsidRPr="00407CF9">
        <w:rPr>
          <w:rStyle w:val="afffffffff3"/>
          <w:rFonts w:hint="cs"/>
          <w:rtl/>
        </w:rPr>
        <w:t xml:space="preserve">שבת סי' מ"א ד"ה </w:t>
      </w:r>
      <w:r w:rsidRPr="00407CF9">
        <w:rPr>
          <w:rStyle w:val="afffffffff3"/>
          <w:rtl/>
        </w:rPr>
        <w:t>וכן יש)</w:t>
      </w:r>
      <w:r>
        <w:rPr>
          <w:rtl/>
        </w:rPr>
        <w:t>,</w:t>
      </w:r>
      <w:r w:rsidRPr="00407CF9">
        <w:rPr>
          <w:b/>
          <w:bCs/>
          <w:rtl/>
        </w:rPr>
        <w:t xml:space="preserve"> </w:t>
      </w:r>
      <w:r w:rsidRPr="00407CF9">
        <w:rPr>
          <w:b/>
          <w:bCs/>
          <w:rtl/>
        </w:rPr>
        <w:fldChar w:fldCharType="begin"/>
      </w:r>
      <w:r w:rsidRPr="00407CF9">
        <w:rPr>
          <w:b/>
          <w:bCs/>
          <w:rtl/>
        </w:rPr>
        <w:instrText xml:space="preserve"> </w:instrText>
      </w:r>
      <w:r w:rsidRPr="00407CF9">
        <w:rPr>
          <w:b/>
          <w:bCs/>
        </w:rPr>
        <w:instrText>REF</w:instrText>
      </w:r>
      <w:r w:rsidRPr="00407CF9">
        <w:rPr>
          <w:b/>
          <w:bCs/>
          <w:rtl/>
        </w:rPr>
        <w:instrText xml:space="preserve"> _</w:instrText>
      </w:r>
      <w:r w:rsidRPr="00407CF9">
        <w:rPr>
          <w:b/>
          <w:bCs/>
        </w:rPr>
        <w:instrText>Ref144117374 \r \h</w:instrText>
      </w:r>
      <w:r w:rsidRPr="00407CF9">
        <w:rPr>
          <w:b/>
          <w:bCs/>
          <w:rtl/>
        </w:rPr>
        <w:instrText xml:space="preserve">  \* </w:instrText>
      </w:r>
      <w:r w:rsidRPr="00407CF9">
        <w:rPr>
          <w:b/>
          <w:bCs/>
        </w:rPr>
        <w:instrText>MERGEFORMAT</w:instrText>
      </w:r>
      <w:r w:rsidRPr="00407CF9">
        <w:rPr>
          <w:b/>
          <w:bCs/>
          <w:rtl/>
        </w:rPr>
        <w:instrText xml:space="preserve"> </w:instrText>
      </w:r>
      <w:r w:rsidRPr="00407CF9">
        <w:rPr>
          <w:b/>
          <w:bCs/>
          <w:rtl/>
        </w:rPr>
      </w:r>
      <w:r w:rsidRPr="00407CF9">
        <w:rPr>
          <w:b/>
          <w:bCs/>
          <w:rtl/>
        </w:rPr>
        <w:fldChar w:fldCharType="separate"/>
      </w:r>
      <w:r w:rsidR="00D82181">
        <w:rPr>
          <w:b/>
          <w:bCs/>
          <w:cs/>
        </w:rPr>
        <w:t>‎</w:t>
      </w:r>
      <w:r w:rsidR="00D82181">
        <w:rPr>
          <w:b/>
          <w:bCs/>
          <w:rtl/>
        </w:rPr>
        <w:t>עה)</w:t>
      </w:r>
      <w:r w:rsidRPr="00407CF9">
        <w:rPr>
          <w:b/>
          <w:bCs/>
          <w:rtl/>
        </w:rPr>
        <w:fldChar w:fldCharType="end"/>
      </w:r>
      <w:r w:rsidRPr="00407CF9">
        <w:rPr>
          <w:b/>
          <w:bCs/>
          <w:rtl/>
        </w:rPr>
        <w:t xml:space="preserve"> </w:t>
      </w:r>
      <w:r w:rsidRPr="00D72FFC">
        <w:rPr>
          <w:rFonts w:hint="cs"/>
          <w:rtl/>
        </w:rPr>
        <w:t>דברי מרדכי</w:t>
      </w:r>
      <w:r w:rsidRPr="00D72FFC">
        <w:rPr>
          <w:rtl/>
        </w:rPr>
        <w:t xml:space="preserve"> </w:t>
      </w:r>
      <w:r w:rsidRPr="00407CF9">
        <w:rPr>
          <w:rStyle w:val="afffffffff3"/>
          <w:rtl/>
        </w:rPr>
        <w:t>(</w:t>
      </w:r>
      <w:r w:rsidRPr="00407CF9">
        <w:rPr>
          <w:rStyle w:val="afffffffff3"/>
          <w:rFonts w:hint="cs"/>
          <w:rtl/>
        </w:rPr>
        <w:t>סי' י"ב אות ב'</w:t>
      </w:r>
      <w:r w:rsidRPr="00407CF9">
        <w:rPr>
          <w:rStyle w:val="afffffffff3"/>
          <w:rtl/>
        </w:rPr>
        <w:t>)</w:t>
      </w:r>
      <w:r>
        <w:rPr>
          <w:rtl/>
        </w:rPr>
        <w:t>,</w:t>
      </w:r>
      <w:r w:rsidRPr="00407CF9">
        <w:rPr>
          <w:b/>
          <w:bCs/>
          <w:rtl/>
        </w:rPr>
        <w:t xml:space="preserve"> </w:t>
      </w:r>
      <w:r w:rsidRPr="00407CF9">
        <w:rPr>
          <w:b/>
          <w:bCs/>
          <w:rtl/>
        </w:rPr>
        <w:fldChar w:fldCharType="begin"/>
      </w:r>
      <w:r w:rsidRPr="00407CF9">
        <w:rPr>
          <w:b/>
          <w:bCs/>
          <w:rtl/>
        </w:rPr>
        <w:instrText xml:space="preserve"> </w:instrText>
      </w:r>
      <w:r w:rsidRPr="00407CF9">
        <w:rPr>
          <w:b/>
          <w:bCs/>
        </w:rPr>
        <w:instrText>REF</w:instrText>
      </w:r>
      <w:r w:rsidRPr="00407CF9">
        <w:rPr>
          <w:b/>
          <w:bCs/>
          <w:rtl/>
        </w:rPr>
        <w:instrText xml:space="preserve"> _</w:instrText>
      </w:r>
      <w:r w:rsidRPr="00407CF9">
        <w:rPr>
          <w:b/>
          <w:bCs/>
        </w:rPr>
        <w:instrText>Ref144117384 \r \h</w:instrText>
      </w:r>
      <w:r w:rsidRPr="00407CF9">
        <w:rPr>
          <w:b/>
          <w:bCs/>
          <w:rtl/>
        </w:rPr>
        <w:instrText xml:space="preserve">  \* </w:instrText>
      </w:r>
      <w:r w:rsidRPr="00407CF9">
        <w:rPr>
          <w:b/>
          <w:bCs/>
        </w:rPr>
        <w:instrText>MERGEFORMAT</w:instrText>
      </w:r>
      <w:r w:rsidRPr="00407CF9">
        <w:rPr>
          <w:b/>
          <w:bCs/>
          <w:rtl/>
        </w:rPr>
        <w:instrText xml:space="preserve"> </w:instrText>
      </w:r>
      <w:r w:rsidRPr="00407CF9">
        <w:rPr>
          <w:b/>
          <w:bCs/>
          <w:rtl/>
        </w:rPr>
      </w:r>
      <w:r w:rsidRPr="00407CF9">
        <w:rPr>
          <w:b/>
          <w:bCs/>
          <w:rtl/>
        </w:rPr>
        <w:fldChar w:fldCharType="separate"/>
      </w:r>
      <w:r w:rsidR="00D82181">
        <w:rPr>
          <w:b/>
          <w:bCs/>
          <w:cs/>
        </w:rPr>
        <w:t>‎</w:t>
      </w:r>
      <w:r w:rsidR="00D82181">
        <w:rPr>
          <w:b/>
          <w:bCs/>
          <w:rtl/>
        </w:rPr>
        <w:t>עו)</w:t>
      </w:r>
      <w:r w:rsidRPr="00407CF9">
        <w:rPr>
          <w:b/>
          <w:bCs/>
          <w:rtl/>
        </w:rPr>
        <w:fldChar w:fldCharType="end"/>
      </w:r>
      <w:r w:rsidRPr="00407CF9">
        <w:rPr>
          <w:b/>
          <w:bCs/>
          <w:rtl/>
        </w:rPr>
        <w:t xml:space="preserve"> </w:t>
      </w:r>
      <w:r w:rsidRPr="00D72FFC">
        <w:rPr>
          <w:rtl/>
        </w:rPr>
        <w:t xml:space="preserve">דברי מרדכי </w:t>
      </w:r>
      <w:r w:rsidRPr="00407CF9">
        <w:rPr>
          <w:rStyle w:val="afffffffff3"/>
          <w:rtl/>
        </w:rPr>
        <w:t>(</w:t>
      </w:r>
      <w:r w:rsidRPr="00407CF9">
        <w:rPr>
          <w:rStyle w:val="afffffffff3"/>
          <w:rFonts w:hint="cs"/>
          <w:rtl/>
        </w:rPr>
        <w:t>שבת סי' י"ב סק"ד</w:t>
      </w:r>
      <w:r w:rsidRPr="00407CF9">
        <w:rPr>
          <w:rStyle w:val="afffffffff3"/>
          <w:rtl/>
        </w:rPr>
        <w:t>)</w:t>
      </w:r>
      <w:r>
        <w:rPr>
          <w:rtl/>
        </w:rPr>
        <w:t>,</w:t>
      </w:r>
      <w:r w:rsidRPr="00407CF9">
        <w:rPr>
          <w:b/>
          <w:bCs/>
          <w:rtl/>
        </w:rPr>
        <w:t xml:space="preserve"> </w:t>
      </w:r>
      <w:r w:rsidRPr="00407CF9">
        <w:rPr>
          <w:b/>
          <w:bCs/>
          <w:rtl/>
        </w:rPr>
        <w:fldChar w:fldCharType="begin"/>
      </w:r>
      <w:r w:rsidRPr="00407CF9">
        <w:rPr>
          <w:b/>
          <w:bCs/>
          <w:rtl/>
        </w:rPr>
        <w:instrText xml:space="preserve"> </w:instrText>
      </w:r>
      <w:r w:rsidRPr="00407CF9">
        <w:rPr>
          <w:b/>
          <w:bCs/>
        </w:rPr>
        <w:instrText>REF</w:instrText>
      </w:r>
      <w:r w:rsidRPr="00407CF9">
        <w:rPr>
          <w:b/>
          <w:bCs/>
          <w:rtl/>
        </w:rPr>
        <w:instrText xml:space="preserve"> _</w:instrText>
      </w:r>
      <w:r w:rsidRPr="00407CF9">
        <w:rPr>
          <w:b/>
          <w:bCs/>
        </w:rPr>
        <w:instrText>Ref144117393 \r \h</w:instrText>
      </w:r>
      <w:r w:rsidRPr="00407CF9">
        <w:rPr>
          <w:b/>
          <w:bCs/>
          <w:rtl/>
        </w:rPr>
        <w:instrText xml:space="preserve">  \* </w:instrText>
      </w:r>
      <w:r w:rsidRPr="00407CF9">
        <w:rPr>
          <w:b/>
          <w:bCs/>
        </w:rPr>
        <w:instrText>MERGEFORMAT</w:instrText>
      </w:r>
      <w:r w:rsidRPr="00407CF9">
        <w:rPr>
          <w:b/>
          <w:bCs/>
          <w:rtl/>
        </w:rPr>
        <w:instrText xml:space="preserve"> </w:instrText>
      </w:r>
      <w:r w:rsidRPr="00407CF9">
        <w:rPr>
          <w:b/>
          <w:bCs/>
          <w:rtl/>
        </w:rPr>
      </w:r>
      <w:r w:rsidRPr="00407CF9">
        <w:rPr>
          <w:b/>
          <w:bCs/>
          <w:rtl/>
        </w:rPr>
        <w:fldChar w:fldCharType="separate"/>
      </w:r>
      <w:r w:rsidR="00D82181">
        <w:rPr>
          <w:b/>
          <w:bCs/>
          <w:cs/>
        </w:rPr>
        <w:t>‎</w:t>
      </w:r>
      <w:r w:rsidR="00D82181">
        <w:rPr>
          <w:b/>
          <w:bCs/>
          <w:rtl/>
        </w:rPr>
        <w:t>עז)</w:t>
      </w:r>
      <w:r w:rsidRPr="00407CF9">
        <w:rPr>
          <w:b/>
          <w:bCs/>
          <w:rtl/>
        </w:rPr>
        <w:fldChar w:fldCharType="end"/>
      </w:r>
      <w:r w:rsidRPr="00407CF9">
        <w:rPr>
          <w:b/>
          <w:bCs/>
          <w:rtl/>
        </w:rPr>
        <w:t xml:space="preserve"> </w:t>
      </w:r>
      <w:r w:rsidRPr="00D72FFC">
        <w:rPr>
          <w:rFonts w:hint="cs"/>
          <w:rtl/>
        </w:rPr>
        <w:t>דברי מרדכי</w:t>
      </w:r>
      <w:r w:rsidRPr="00D72FFC">
        <w:rPr>
          <w:rtl/>
        </w:rPr>
        <w:t xml:space="preserve"> </w:t>
      </w:r>
      <w:r w:rsidRPr="00407CF9">
        <w:rPr>
          <w:rStyle w:val="afffffffff3"/>
          <w:rtl/>
        </w:rPr>
        <w:t>(</w:t>
      </w:r>
      <w:r w:rsidRPr="00407CF9">
        <w:rPr>
          <w:rStyle w:val="afffffffff3"/>
          <w:rFonts w:hint="cs"/>
          <w:rtl/>
        </w:rPr>
        <w:t>שבת סי' י"ב סק"ה ד"ה האומנם</w:t>
      </w:r>
      <w:r w:rsidRPr="00407CF9">
        <w:rPr>
          <w:rStyle w:val="afffffffff3"/>
          <w:rtl/>
        </w:rPr>
        <w:t>)</w:t>
      </w:r>
      <w:r>
        <w:rPr>
          <w:rtl/>
        </w:rPr>
        <w:t xml:space="preserve"> </w:t>
      </w:r>
      <w:r w:rsidRPr="00D72FFC">
        <w:rPr>
          <w:rFonts w:hint="cs"/>
          <w:rtl/>
        </w:rPr>
        <w:t>דברי מרדכי</w:t>
      </w:r>
      <w:r w:rsidRPr="00D72FFC">
        <w:rPr>
          <w:rtl/>
        </w:rPr>
        <w:t xml:space="preserve"> </w:t>
      </w:r>
      <w:r w:rsidRPr="00407CF9">
        <w:rPr>
          <w:rStyle w:val="afffffffff3"/>
          <w:rtl/>
        </w:rPr>
        <w:t>(</w:t>
      </w:r>
      <w:r w:rsidRPr="00407CF9">
        <w:rPr>
          <w:rStyle w:val="afffffffff3"/>
          <w:rFonts w:hint="cs"/>
          <w:rtl/>
        </w:rPr>
        <w:t>שבת סי' י"ב סק"ו</w:t>
      </w:r>
      <w:r w:rsidRPr="00407CF9">
        <w:rPr>
          <w:rStyle w:val="afffffffff3"/>
          <w:rtl/>
        </w:rPr>
        <w:t>)</w:t>
      </w:r>
      <w:r>
        <w:rPr>
          <w:rtl/>
        </w:rPr>
        <w:t xml:space="preserve"> </w:t>
      </w:r>
    </w:p>
    <w:p w14:paraId="1465D8AE" w14:textId="77777777" w:rsidR="00A14FDA" w:rsidRDefault="00A14FDA" w:rsidP="00A14FDA">
      <w:pPr>
        <w:pStyle w:val="TOC2"/>
        <w:rPr>
          <w:rFonts w:cstheme="minorBidi"/>
          <w:b w:val="0"/>
          <w:bCs w:val="0"/>
          <w:sz w:val="22"/>
          <w:szCs w:val="22"/>
          <w:rtl/>
        </w:rPr>
      </w:pPr>
      <w:hyperlink w:anchor="_Toc144225314" w:history="1">
        <w:r w:rsidRPr="00FD7F30">
          <w:rPr>
            <w:rStyle w:val="Hyperlink"/>
            <w:rtl/>
          </w:rPr>
          <w:t>בגדר חיוב מכב"פ ובבי' רש"י דבנגמרה מאליה ל"ה מכב"פ</w:t>
        </w:r>
      </w:hyperlink>
    </w:p>
    <w:p w14:paraId="223642CF" w14:textId="77777777" w:rsidR="00A14FDA" w:rsidRDefault="00A14FDA" w:rsidP="00ED704E">
      <w:pPr>
        <w:pStyle w:val="TOC3"/>
        <w:rPr>
          <w:rFonts w:asciiTheme="minorHAnsi" w:eastAsiaTheme="minorEastAsia" w:hAnsiTheme="minorHAnsi" w:cstheme="minorBidi"/>
          <w:sz w:val="22"/>
          <w:szCs w:val="22"/>
          <w:rtl/>
        </w:rPr>
      </w:pPr>
      <w:hyperlink w:anchor="_Toc144225315" w:history="1">
        <w:r w:rsidRPr="00FD7F30">
          <w:rPr>
            <w:rStyle w:val="Hyperlink"/>
            <w:rtl/>
          </w:rPr>
          <w:t>בי' הקה"י ברא"ש דבחביתא לא איירי בנגמרה מאיליה אך ק' דמבשל בחמה יתחייב במכב"פ</w:t>
        </w:r>
      </w:hyperlink>
    </w:p>
    <w:p w14:paraId="16ADD080" w14:textId="77777777" w:rsidR="00A14FDA" w:rsidRDefault="00A14FDA" w:rsidP="00ED704E">
      <w:pPr>
        <w:pStyle w:val="TOC3"/>
        <w:rPr>
          <w:rFonts w:asciiTheme="minorHAnsi" w:eastAsiaTheme="minorEastAsia" w:hAnsiTheme="minorHAnsi" w:cstheme="minorBidi"/>
          <w:sz w:val="22"/>
          <w:szCs w:val="22"/>
          <w:rtl/>
        </w:rPr>
      </w:pPr>
      <w:hyperlink w:anchor="_Toc144225316" w:history="1">
        <w:r w:rsidRPr="00FD7F30">
          <w:rPr>
            <w:rStyle w:val="Hyperlink"/>
            <w:rtl/>
          </w:rPr>
          <w:t>בי' הקה"י דמכב"פ הוא בגמר דבר שהיה בו מלאכה בתחילה ולא במבשל בחמה דל"ה מלאכה</w:t>
        </w:r>
      </w:hyperlink>
    </w:p>
    <w:p w14:paraId="2524750D" w14:textId="77777777" w:rsidR="00A14FDA" w:rsidRDefault="00A14FDA" w:rsidP="00ED704E">
      <w:pPr>
        <w:pStyle w:val="TOC3"/>
        <w:rPr>
          <w:rFonts w:asciiTheme="minorHAnsi" w:eastAsiaTheme="minorEastAsia" w:hAnsiTheme="minorHAnsi" w:cstheme="minorBidi"/>
          <w:sz w:val="22"/>
          <w:szCs w:val="22"/>
          <w:rtl/>
        </w:rPr>
      </w:pPr>
      <w:hyperlink w:anchor="_Toc144225317" w:history="1">
        <w:r w:rsidRPr="00FD7F30">
          <w:rPr>
            <w:rStyle w:val="Hyperlink"/>
            <w:rtl/>
          </w:rPr>
          <w:t>דחיית הקה"י דלרשב"א אין בנין בכלים ויש מכב"פ ובמורסא אין מלאכה והוי מכב"פ וכ"מ בירו'</w:t>
        </w:r>
      </w:hyperlink>
    </w:p>
    <w:p w14:paraId="02AB3032" w14:textId="77777777" w:rsidR="00A14FDA" w:rsidRDefault="00A14FDA" w:rsidP="00A14FDA">
      <w:pPr>
        <w:pStyle w:val="TOC2"/>
        <w:rPr>
          <w:rFonts w:cstheme="minorBidi"/>
          <w:b w:val="0"/>
          <w:bCs w:val="0"/>
          <w:sz w:val="22"/>
          <w:szCs w:val="22"/>
          <w:rtl/>
        </w:rPr>
      </w:pPr>
      <w:hyperlink w:anchor="_Toc144225318" w:history="1">
        <w:r w:rsidRPr="00FD7F30">
          <w:rPr>
            <w:rStyle w:val="Hyperlink"/>
            <w:rtl/>
          </w:rPr>
          <w:t>בי' הקה"י דמעשה אחר מלאכה חייב בכ"ש ובלא"ה חייב בגמר</w:t>
        </w:r>
      </w:hyperlink>
    </w:p>
    <w:p w14:paraId="7C6491AD" w14:textId="77777777" w:rsidR="00A14FDA" w:rsidRDefault="00A14FDA" w:rsidP="00ED704E">
      <w:pPr>
        <w:pStyle w:val="TOC3"/>
        <w:rPr>
          <w:rFonts w:asciiTheme="minorHAnsi" w:eastAsiaTheme="minorEastAsia" w:hAnsiTheme="minorHAnsi" w:cstheme="minorBidi"/>
          <w:sz w:val="22"/>
          <w:szCs w:val="22"/>
          <w:rtl/>
        </w:rPr>
      </w:pPr>
      <w:hyperlink w:anchor="_Toc144225319" w:history="1">
        <w:r w:rsidRPr="00FD7F30">
          <w:rPr>
            <w:rStyle w:val="Hyperlink"/>
            <w:rtl/>
          </w:rPr>
          <w:t>בי' הקה"י דבעשה מלאכה ומעשה נוסף דגמר כולו חשיב גמר וחייב במעשה זה אף בכ"ש</w:t>
        </w:r>
      </w:hyperlink>
    </w:p>
    <w:p w14:paraId="39359DCD" w14:textId="77777777" w:rsidR="00A14FDA" w:rsidRDefault="00A14FDA" w:rsidP="00ED704E">
      <w:pPr>
        <w:pStyle w:val="TOC3"/>
        <w:rPr>
          <w:rFonts w:asciiTheme="minorHAnsi" w:eastAsiaTheme="minorEastAsia" w:hAnsiTheme="minorHAnsi" w:cstheme="minorBidi"/>
          <w:sz w:val="22"/>
          <w:szCs w:val="22"/>
          <w:rtl/>
        </w:rPr>
      </w:pPr>
      <w:hyperlink w:anchor="_Toc144225320" w:history="1">
        <w:r w:rsidRPr="00FD7F30">
          <w:rPr>
            <w:rStyle w:val="Hyperlink"/>
            <w:rtl/>
          </w:rPr>
          <w:t>בי' הקה"י דבמעשה שהוא רק גמר ולפני לא הייתה מלאכה החיוב במכ"פ רק בגמר את כולו</w:t>
        </w:r>
      </w:hyperlink>
    </w:p>
    <w:p w14:paraId="58F386EE" w14:textId="77777777" w:rsidR="00A14FDA" w:rsidRDefault="00A14FDA" w:rsidP="00ED704E">
      <w:pPr>
        <w:pStyle w:val="TOC3"/>
        <w:rPr>
          <w:rFonts w:asciiTheme="minorHAnsi" w:eastAsiaTheme="minorEastAsia" w:hAnsiTheme="minorHAnsi" w:cstheme="minorBidi"/>
          <w:sz w:val="22"/>
          <w:szCs w:val="22"/>
          <w:rtl/>
        </w:rPr>
      </w:pPr>
      <w:hyperlink w:anchor="_Toc144225321" w:history="1">
        <w:r w:rsidRPr="00FD7F30">
          <w:rPr>
            <w:rStyle w:val="Hyperlink"/>
            <w:rtl/>
          </w:rPr>
          <w:t>בי' הקה"י דכן מוכח מחיוב חק קפיזא דהוא רק בגמר המלאכה וזו הכוונה דמלאכתו מתקיימת</w:t>
        </w:r>
      </w:hyperlink>
    </w:p>
    <w:p w14:paraId="118C40EA" w14:textId="77777777" w:rsidR="00A14FDA" w:rsidRDefault="00A14FDA" w:rsidP="00ED704E">
      <w:pPr>
        <w:pStyle w:val="TOC3"/>
        <w:rPr>
          <w:rFonts w:asciiTheme="minorHAnsi" w:eastAsiaTheme="minorEastAsia" w:hAnsiTheme="minorHAnsi" w:cstheme="minorBidi"/>
          <w:sz w:val="22"/>
          <w:szCs w:val="22"/>
          <w:rtl/>
        </w:rPr>
      </w:pPr>
      <w:hyperlink w:anchor="_Toc144225322" w:history="1">
        <w:r w:rsidRPr="00FD7F30">
          <w:rPr>
            <w:rStyle w:val="Hyperlink"/>
            <w:rtl/>
          </w:rPr>
          <w:t>בי' הקה"י דביראים מוכח דבמלאכה קודם חייב רק בגמר ובמסתת לרש"י אחר מלאכה חייב כ"ש</w:t>
        </w:r>
      </w:hyperlink>
    </w:p>
    <w:p w14:paraId="4CA30C6D" w14:textId="77777777" w:rsidR="00A14FDA" w:rsidRDefault="00A14FDA" w:rsidP="00ED704E">
      <w:pPr>
        <w:pStyle w:val="TOC3"/>
        <w:rPr>
          <w:rFonts w:asciiTheme="minorHAnsi" w:eastAsiaTheme="minorEastAsia" w:hAnsiTheme="minorHAnsi" w:cstheme="minorBidi"/>
          <w:sz w:val="22"/>
          <w:szCs w:val="22"/>
          <w:rtl/>
        </w:rPr>
      </w:pPr>
      <w:hyperlink w:anchor="_Toc144225323" w:history="1">
        <w:r w:rsidRPr="00FD7F30">
          <w:rPr>
            <w:rStyle w:val="Hyperlink"/>
            <w:rtl/>
          </w:rPr>
          <w:t>בי' הקה"י ברא"ש דבמלאכה קודם אין מכב"פ בנגמר מאיליו ובלא עשה מלאכה לעולם חייב</w:t>
        </w:r>
      </w:hyperlink>
    </w:p>
    <w:p w14:paraId="26208D03" w14:textId="77777777" w:rsidR="00A14FDA" w:rsidRDefault="00A14FDA" w:rsidP="00ED704E">
      <w:pPr>
        <w:pStyle w:val="TOC3"/>
        <w:rPr>
          <w:rFonts w:asciiTheme="minorHAnsi" w:eastAsiaTheme="minorEastAsia" w:hAnsiTheme="minorHAnsi" w:cstheme="minorBidi"/>
          <w:sz w:val="22"/>
          <w:szCs w:val="22"/>
          <w:rtl/>
        </w:rPr>
      </w:pPr>
      <w:hyperlink w:anchor="_Toc144225324" w:history="1">
        <w:r w:rsidRPr="00FD7F30">
          <w:rPr>
            <w:rStyle w:val="Hyperlink"/>
            <w:rtl/>
          </w:rPr>
          <w:t>בי' הקה"י דמדלא מחייב במכב"פ באות א' מוכח דבעשה מלאכה קודם החיוב הוא רק בגמר הכל</w:t>
        </w:r>
      </w:hyperlink>
    </w:p>
    <w:p w14:paraId="49CE76A5" w14:textId="77777777" w:rsidR="00A14FDA" w:rsidRDefault="00A14FDA" w:rsidP="00A14FDA">
      <w:pPr>
        <w:pStyle w:val="TOC2"/>
        <w:rPr>
          <w:rFonts w:cstheme="minorBidi"/>
          <w:b w:val="0"/>
          <w:bCs w:val="0"/>
          <w:sz w:val="22"/>
          <w:szCs w:val="22"/>
          <w:rtl/>
        </w:rPr>
      </w:pPr>
      <w:hyperlink w:anchor="_Toc144225325" w:history="1">
        <w:r w:rsidRPr="00FD7F30">
          <w:rPr>
            <w:rStyle w:val="Hyperlink"/>
            <w:rtl/>
          </w:rPr>
          <w:t>בי' הדברי מרדכי דחיוב מכב"פ במעשה בפנ"ע ולא בנגמר לבד</w:t>
        </w:r>
      </w:hyperlink>
    </w:p>
    <w:p w14:paraId="10AA6785" w14:textId="77777777" w:rsidR="00A14FDA" w:rsidRDefault="00A14FDA" w:rsidP="00ED704E">
      <w:pPr>
        <w:pStyle w:val="TOC3"/>
        <w:rPr>
          <w:rFonts w:asciiTheme="minorHAnsi" w:eastAsiaTheme="minorEastAsia" w:hAnsiTheme="minorHAnsi" w:cstheme="minorBidi"/>
          <w:sz w:val="22"/>
          <w:szCs w:val="22"/>
          <w:rtl/>
        </w:rPr>
      </w:pPr>
      <w:hyperlink w:anchor="_Toc144225326" w:history="1">
        <w:r w:rsidRPr="00FD7F30">
          <w:rPr>
            <w:rStyle w:val="Hyperlink"/>
            <w:rtl/>
          </w:rPr>
          <w:t>בי' הדברי מרדכי דא"א לומר דבנגמר מאיליו אין מכב"פ כמשכן דהא כך היה הבישול במשכן</w:t>
        </w:r>
      </w:hyperlink>
    </w:p>
    <w:p w14:paraId="7452090B" w14:textId="77777777" w:rsidR="00A14FDA" w:rsidRDefault="00A14FDA" w:rsidP="00ED704E">
      <w:pPr>
        <w:pStyle w:val="TOC3"/>
        <w:rPr>
          <w:rFonts w:asciiTheme="minorHAnsi" w:eastAsiaTheme="minorEastAsia" w:hAnsiTheme="minorHAnsi" w:cstheme="minorBidi"/>
          <w:sz w:val="22"/>
          <w:szCs w:val="22"/>
          <w:rtl/>
        </w:rPr>
      </w:pPr>
      <w:hyperlink w:anchor="_Toc144225327" w:history="1">
        <w:r w:rsidRPr="00FD7F30">
          <w:rPr>
            <w:rStyle w:val="Hyperlink"/>
            <w:rtl/>
          </w:rPr>
          <w:t>בי' הדברי מרדכי דחיוב מכב"פ רק במעשה בפנ"ע ולא בגמר מלאכה אחרת ובבישול אין מעשה</w:t>
        </w:r>
      </w:hyperlink>
    </w:p>
    <w:p w14:paraId="0A31DFE3" w14:textId="77777777" w:rsidR="00A14FDA" w:rsidRDefault="00A14FDA" w:rsidP="00ED704E">
      <w:pPr>
        <w:pStyle w:val="TOC3"/>
        <w:rPr>
          <w:rFonts w:asciiTheme="minorHAnsi" w:eastAsiaTheme="minorEastAsia" w:hAnsiTheme="minorHAnsi" w:cstheme="minorBidi"/>
          <w:sz w:val="22"/>
          <w:szCs w:val="22"/>
          <w:rtl/>
        </w:rPr>
      </w:pPr>
      <w:hyperlink w:anchor="_Toc144225328" w:history="1">
        <w:r w:rsidRPr="00FD7F30">
          <w:rPr>
            <w:rStyle w:val="Hyperlink"/>
            <w:rtl/>
          </w:rPr>
          <w:t>בי' הדברי מרדכי במאירי וביראים</w:t>
        </w:r>
        <w:r w:rsidRPr="00FD7F30">
          <w:rPr>
            <w:rStyle w:val="Hyperlink"/>
            <w:rtl/>
          </w:rPr>
          <w:t xml:space="preserve"> </w:t>
        </w:r>
        <w:r w:rsidRPr="00FD7F30">
          <w:rPr>
            <w:rStyle w:val="Hyperlink"/>
            <w:rtl/>
          </w:rPr>
          <w:t>דמכב"פ רק במעשה גמר בפנ"ע וא"כ הוא רק אחר הבנין</w:t>
        </w:r>
      </w:hyperlink>
    </w:p>
    <w:p w14:paraId="3666C8BA" w14:textId="77777777" w:rsidR="00A14FDA" w:rsidRDefault="00A14FDA" w:rsidP="00A14FDA">
      <w:pPr>
        <w:keepNext/>
        <w:keepLines/>
        <w:spacing w:after="0" w:line="240" w:lineRule="auto"/>
        <w:jc w:val="center"/>
        <w:outlineLvl w:val="1"/>
        <w:rPr>
          <w:rFonts w:eastAsiaTheme="minorHAnsi" w:cs="Guttman Hodes"/>
          <w:b/>
          <w:bCs/>
          <w:noProof/>
          <w:sz w:val="14"/>
          <w:szCs w:val="14"/>
          <w:rtl/>
        </w:rPr>
        <w:sectPr w:rsidR="00A14FDA" w:rsidSect="00CA28B3">
          <w:headerReference w:type="even" r:id="rId170"/>
          <w:footerReference w:type="even" r:id="rId171"/>
          <w:footerReference w:type="default" r:id="rId172"/>
          <w:headerReference w:type="first" r:id="rId173"/>
          <w:footerReference w:type="first" r:id="rId174"/>
          <w:type w:val="continuous"/>
          <w:pgSz w:w="11906" w:h="16838"/>
          <w:pgMar w:top="720" w:right="720" w:bottom="720" w:left="720" w:header="283" w:footer="283" w:gutter="0"/>
          <w:cols w:num="2" w:space="113"/>
          <w:titlePg/>
          <w:bidi/>
          <w:rtlGutter/>
          <w:docGrid w:linePitch="299"/>
        </w:sectPr>
      </w:pPr>
      <w:r w:rsidRPr="00224A5A">
        <w:rPr>
          <w:rFonts w:eastAsiaTheme="minorHAnsi" w:cs="Guttman Hodes"/>
          <w:b/>
          <w:bCs/>
          <w:noProof/>
          <w:sz w:val="14"/>
          <w:szCs w:val="14"/>
          <w:rtl/>
        </w:rPr>
        <w:fldChar w:fldCharType="end"/>
      </w:r>
    </w:p>
    <w:p w14:paraId="202F696E" w14:textId="77777777" w:rsidR="00A14FDA" w:rsidRPr="009A5D92" w:rsidRDefault="00A14FDA" w:rsidP="00A14FDA">
      <w:pPr>
        <w:pStyle w:val="afffffffff0"/>
        <w:rPr>
          <w:rtl/>
        </w:rPr>
      </w:pPr>
    </w:p>
    <w:p w14:paraId="55EC5CFA" w14:textId="77777777" w:rsidR="00A14FDA" w:rsidRPr="00224A5A" w:rsidRDefault="00A14FDA" w:rsidP="00A14FDA">
      <w:pPr>
        <w:pStyle w:val="afffffffff2"/>
        <w:rPr>
          <w:rFonts w:eastAsia="Guttman Adii-Light"/>
          <w:noProof/>
          <w:rtl/>
        </w:rPr>
        <w:sectPr w:rsidR="00A14FDA" w:rsidRPr="00224A5A" w:rsidSect="00CA28B3">
          <w:type w:val="continuous"/>
          <w:pgSz w:w="11906" w:h="16838"/>
          <w:pgMar w:top="720" w:right="720" w:bottom="720" w:left="720" w:header="283" w:footer="283" w:gutter="0"/>
          <w:cols w:num="2" w:space="113"/>
          <w:titlePg/>
          <w:bidi/>
          <w:rtlGutter/>
          <w:docGrid w:linePitch="299"/>
        </w:sectPr>
      </w:pPr>
    </w:p>
    <w:p w14:paraId="67B7CF9D" w14:textId="77777777" w:rsidR="00A14FDA" w:rsidRPr="00224A5A" w:rsidRDefault="00A14FDA" w:rsidP="00A14FDA">
      <w:pPr>
        <w:spacing w:before="240" w:after="0" w:line="360" w:lineRule="auto"/>
        <w:jc w:val="center"/>
        <w:outlineLvl w:val="1"/>
        <w:rPr>
          <w:rFonts w:ascii="Guttman Adii-Light" w:eastAsia="Guttman Adii-Light" w:hAnsi="Guttman Adii-Light" w:cs="Guttman Hodes"/>
          <w:b/>
          <w:bCs/>
          <w:sz w:val="18"/>
          <w:szCs w:val="28"/>
          <w:rtl/>
        </w:rPr>
        <w:sectPr w:rsidR="00A14FDA" w:rsidRPr="00224A5A" w:rsidSect="00CA28B3">
          <w:pgSz w:w="11906" w:h="16838"/>
          <w:pgMar w:top="720" w:right="720" w:bottom="720" w:left="720" w:header="283" w:footer="283" w:gutter="0"/>
          <w:cols w:space="720"/>
          <w:bidi/>
          <w:rtlGutter/>
          <w:docGrid w:linePitch="299"/>
        </w:sectPr>
      </w:pPr>
      <w:r w:rsidRPr="00224A5A">
        <w:rPr>
          <w:rFonts w:ascii="Guttman Adii-Light" w:eastAsia="Guttman Adii-Light" w:hAnsi="Guttman Adii-Light" w:cs="Guttman Hodes" w:hint="cs"/>
          <w:b/>
          <w:bCs/>
          <w:sz w:val="18"/>
          <w:szCs w:val="28"/>
          <w:rtl/>
        </w:rPr>
        <w:lastRenderedPageBreak/>
        <w:t>~~~</w:t>
      </w:r>
      <w:r w:rsidRPr="00224A5A">
        <w:rPr>
          <w:rFonts w:ascii="Guttman Adii-Light" w:eastAsia="Guttman Adii-Light" w:hAnsi="Guttman Adii-Light" w:cs="Guttman Hodes"/>
          <w:b/>
          <w:bCs/>
          <w:noProof/>
          <w:sz w:val="18"/>
          <w:szCs w:val="28"/>
          <w:rtl/>
        </w:rPr>
        <w:t>~~</w:t>
      </w:r>
      <w:r w:rsidRPr="00224A5A">
        <w:rPr>
          <w:rFonts w:ascii="Guttman Adii-Light" w:eastAsia="Guttman Adii-Light" w:hAnsi="Guttman Adii-Light" w:cs="Guttman Hodes" w:hint="cs"/>
          <w:b/>
          <w:bCs/>
          <w:sz w:val="18"/>
          <w:szCs w:val="28"/>
          <w:rtl/>
        </w:rPr>
        <w:t>~~ מראי מקומות וביאורים ~~~</w:t>
      </w:r>
      <w:r w:rsidRPr="00224A5A">
        <w:rPr>
          <w:rFonts w:ascii="Guttman Adii-Light" w:eastAsia="Guttman Adii-Light" w:hAnsi="Guttman Adii-Light" w:cs="Guttman Hodes"/>
          <w:b/>
          <w:bCs/>
          <w:noProof/>
          <w:sz w:val="18"/>
          <w:szCs w:val="28"/>
          <w:rtl/>
        </w:rPr>
        <w:t>~~</w:t>
      </w:r>
      <w:r w:rsidRPr="00224A5A">
        <w:rPr>
          <w:rFonts w:ascii="Guttman Adii-Light" w:eastAsia="Guttman Adii-Light" w:hAnsi="Guttman Adii-Light" w:cs="Guttman Hodes" w:hint="cs"/>
          <w:b/>
          <w:bCs/>
          <w:sz w:val="18"/>
          <w:szCs w:val="28"/>
          <w:rtl/>
        </w:rPr>
        <w:t>~~</w:t>
      </w:r>
    </w:p>
    <w:p w14:paraId="11A4B05A" w14:textId="77777777" w:rsidR="00A14FDA" w:rsidRDefault="00A14FDA" w:rsidP="00A14FDA">
      <w:pPr>
        <w:pStyle w:val="affff5"/>
        <w:rPr>
          <w:rtl/>
        </w:rPr>
      </w:pPr>
      <w:bookmarkStart w:id="4999" w:name="_Toc144225226"/>
      <w:r w:rsidRPr="00224A5A">
        <w:rPr>
          <w:rFonts w:hint="cs"/>
          <w:rtl/>
        </w:rPr>
        <w:t xml:space="preserve">בי' </w:t>
      </w:r>
      <w:r>
        <w:rPr>
          <w:rFonts w:hint="cs"/>
          <w:rtl/>
        </w:rPr>
        <w:t>הראשונים באופני מכב"פ וגדרו</w:t>
      </w:r>
      <w:bookmarkEnd w:id="4999"/>
      <w:r w:rsidRPr="00362760">
        <w:rPr>
          <w:vanish/>
          <w:rtl/>
        </w:rPr>
        <w:t>&lt; # =</w:t>
      </w:r>
    </w:p>
    <w:p w14:paraId="760E18E6" w14:textId="77777777" w:rsidR="00A14FDA" w:rsidRDefault="00A14FDA" w:rsidP="00A14FDA">
      <w:pPr>
        <w:pStyle w:val="1"/>
        <w:rPr>
          <w:rtl/>
        </w:rPr>
      </w:pPr>
      <w:bookmarkStart w:id="5000" w:name="_Toc144225227"/>
      <w:r w:rsidRPr="00224A5A">
        <w:rPr>
          <w:rFonts w:hint="cs"/>
          <w:rtl/>
        </w:rPr>
        <w:t xml:space="preserve">בי' </w:t>
      </w:r>
      <w:r>
        <w:rPr>
          <w:rFonts w:hint="cs"/>
          <w:rtl/>
        </w:rPr>
        <w:t>רש"י ותוס' ושא"ר במכב"פ במתני' בסוגיין ולעיל</w:t>
      </w:r>
      <w:bookmarkEnd w:id="5000"/>
    </w:p>
    <w:p w14:paraId="15DE3634" w14:textId="77777777" w:rsidR="00A14FDA" w:rsidRDefault="00A14FDA" w:rsidP="00A14FDA">
      <w:pPr>
        <w:pStyle w:val="afffff7"/>
        <w:rPr>
          <w:rtl/>
        </w:rPr>
      </w:pPr>
      <w:bookmarkStart w:id="5001" w:name="_Toc144224620"/>
      <w:bookmarkStart w:id="5002" w:name="_Hlk140824871"/>
      <w:bookmarkStart w:id="5003" w:name="_Hlk143792713"/>
      <w:bookmarkStart w:id="5004" w:name="_Toc163506168"/>
      <w:r>
        <w:rPr>
          <w:rtl/>
        </w:rPr>
        <w:t>רש"י שבת ק"ב ע"ב</w:t>
      </w:r>
      <w:r>
        <w:rPr>
          <w:rFonts w:hint="cs"/>
          <w:rtl/>
        </w:rPr>
        <w:t xml:space="preserve"> ד"ה המכה</w:t>
      </w:r>
      <w:bookmarkEnd w:id="5001"/>
      <w:bookmarkEnd w:id="5004"/>
      <w:r w:rsidRPr="00421A47">
        <w:rPr>
          <w:vanish/>
          <w:rtl/>
        </w:rPr>
        <w:t xml:space="preserve"> (ב)</w:t>
      </w:r>
    </w:p>
    <w:p w14:paraId="08D22C1B" w14:textId="77777777" w:rsidR="00A14FDA" w:rsidRDefault="00A14FDA" w:rsidP="00A14FDA">
      <w:pPr>
        <w:pStyle w:val="afffff7"/>
        <w:rPr>
          <w:rtl/>
        </w:rPr>
      </w:pPr>
      <w:bookmarkStart w:id="5005" w:name="_Toc144224621"/>
      <w:bookmarkStart w:id="5006" w:name="_Toc163506169"/>
      <w:r>
        <w:rPr>
          <w:rtl/>
        </w:rPr>
        <w:t>מאירי שבת ק"ב ע"ב</w:t>
      </w:r>
      <w:r>
        <w:rPr>
          <w:rFonts w:hint="cs"/>
          <w:rtl/>
        </w:rPr>
        <w:t xml:space="preserve"> ד"ה והמכה</w:t>
      </w:r>
      <w:bookmarkEnd w:id="5005"/>
      <w:bookmarkEnd w:id="5006"/>
      <w:r w:rsidRPr="00421A47">
        <w:rPr>
          <w:vanish/>
          <w:rtl/>
        </w:rPr>
        <w:t xml:space="preserve"> (ב)</w:t>
      </w:r>
    </w:p>
    <w:p w14:paraId="01F2B8AA" w14:textId="77777777" w:rsidR="00A14FDA" w:rsidRDefault="00A14FDA" w:rsidP="00A14FDA">
      <w:pPr>
        <w:pStyle w:val="afffff7"/>
        <w:rPr>
          <w:rtl/>
        </w:rPr>
      </w:pPr>
      <w:bookmarkStart w:id="5007" w:name="_Toc144224622"/>
      <w:bookmarkStart w:id="5008" w:name="_Toc163506170"/>
      <w:r>
        <w:rPr>
          <w:rtl/>
        </w:rPr>
        <w:t>תוספות שבת ק"ב ע"ב</w:t>
      </w:r>
      <w:r>
        <w:rPr>
          <w:rFonts w:hint="cs"/>
          <w:rtl/>
        </w:rPr>
        <w:t xml:space="preserve"> ד"ה מכה</w:t>
      </w:r>
      <w:bookmarkEnd w:id="5007"/>
      <w:bookmarkEnd w:id="5008"/>
      <w:r w:rsidRPr="00421A47">
        <w:rPr>
          <w:vanish/>
          <w:rtl/>
        </w:rPr>
        <w:t xml:space="preserve"> (ב)</w:t>
      </w:r>
    </w:p>
    <w:p w14:paraId="57A315B7" w14:textId="77777777" w:rsidR="00A14FDA" w:rsidRDefault="00A14FDA" w:rsidP="00A14FDA">
      <w:pPr>
        <w:pStyle w:val="a7"/>
        <w:rPr>
          <w:rtl/>
        </w:rPr>
      </w:pPr>
      <w:bookmarkStart w:id="5009" w:name="_Toc144225228"/>
      <w:r>
        <w:rPr>
          <w:rFonts w:hint="cs"/>
          <w:rtl/>
        </w:rPr>
        <w:t>בי' רש"י דמכב"פ כשמפיל אבן חצובה מההר ובי' התוס' דהוא המכוש האחרון בגמר הכלי</w:t>
      </w:r>
      <w:bookmarkEnd w:id="5009"/>
    </w:p>
    <w:p w14:paraId="26850405" w14:textId="517565B0" w:rsidR="00A14FDA" w:rsidRPr="00814D62" w:rsidRDefault="00A14FDA" w:rsidP="00AD16A0">
      <w:pPr>
        <w:pStyle w:val="a3"/>
        <w:numPr>
          <w:ilvl w:val="0"/>
          <w:numId w:val="29"/>
        </w:numPr>
        <w:rPr>
          <w:rtl/>
        </w:rPr>
      </w:pPr>
      <w:bookmarkStart w:id="5010" w:name="_Ref140824900"/>
      <w:r>
        <w:rPr>
          <w:rFonts w:hint="cs"/>
          <w:rtl/>
        </w:rPr>
        <w:t xml:space="preserve">במכה בפטיש, ביאר </w:t>
      </w:r>
      <w:r w:rsidRPr="00BC7DC8">
        <w:rPr>
          <w:rFonts w:hint="cs"/>
          <w:vanish/>
          <w:rtl/>
        </w:rPr>
        <w:t xml:space="preserve">&lt;, </w:t>
      </w:r>
      <w:r w:rsidRPr="00BC7DC8">
        <w:rPr>
          <w:vanish/>
          <w:rtl/>
        </w:rPr>
        <w:fldChar w:fldCharType="begin"/>
      </w:r>
      <w:r w:rsidRPr="00BC7DC8">
        <w:rPr>
          <w:vanish/>
          <w:rtl/>
        </w:rPr>
        <w:instrText xml:space="preserve"> </w:instrText>
      </w:r>
      <w:r w:rsidRPr="00BC7DC8">
        <w:rPr>
          <w:rFonts w:hint="cs"/>
          <w:vanish/>
        </w:rPr>
        <w:instrText>REF</w:instrText>
      </w:r>
      <w:r w:rsidRPr="00BC7DC8">
        <w:rPr>
          <w:rFonts w:hint="cs"/>
          <w:vanish/>
          <w:rtl/>
        </w:rPr>
        <w:instrText xml:space="preserve"> _</w:instrText>
      </w:r>
      <w:r w:rsidRPr="00BC7DC8">
        <w:rPr>
          <w:rFonts w:hint="cs"/>
          <w:vanish/>
        </w:rPr>
        <w:instrText>Ref140824900 \r \h</w:instrText>
      </w:r>
      <w:r w:rsidRPr="00BC7DC8">
        <w:rPr>
          <w:vanish/>
          <w:rtl/>
        </w:rPr>
        <w:instrText xml:space="preserve">  \* </w:instrText>
      </w:r>
      <w:r w:rsidRPr="00BC7DC8">
        <w:rPr>
          <w:vanish/>
        </w:rPr>
        <w:instrText>MERGEFORMAT</w:instrText>
      </w:r>
      <w:r w:rsidRPr="00BC7DC8">
        <w:rPr>
          <w:vanish/>
          <w:rtl/>
        </w:rPr>
        <w:instrText xml:space="preserve"> </w:instrText>
      </w:r>
      <w:r w:rsidRPr="00255628">
        <w:rPr>
          <w:vanish/>
          <w:rtl/>
        </w:rPr>
      </w:r>
      <w:r w:rsidRPr="00BC7DC8">
        <w:rPr>
          <w:vanish/>
          <w:rtl/>
        </w:rPr>
        <w:fldChar w:fldCharType="separate"/>
      </w:r>
      <w:r w:rsidR="00D82181">
        <w:rPr>
          <w:vanish/>
          <w:cs/>
        </w:rPr>
        <w:t>‎</w:t>
      </w:r>
      <w:r w:rsidR="00D82181">
        <w:rPr>
          <w:vanish/>
          <w:rtl/>
        </w:rPr>
        <w:t>א)</w:t>
      </w:r>
      <w:r w:rsidRPr="00BC7DC8">
        <w:rPr>
          <w:vanish/>
          <w:rtl/>
        </w:rPr>
        <w:fldChar w:fldCharType="end"/>
      </w:r>
      <w:r w:rsidRPr="00BC7DC8">
        <w:rPr>
          <w:rFonts w:hint="cs"/>
          <w:vanish/>
          <w:rtl/>
        </w:rPr>
        <w:t xml:space="preserve"> &gt;</w:t>
      </w:r>
      <w:r w:rsidRPr="00BC7DC8">
        <w:rPr>
          <w:rStyle w:val="aff4"/>
          <w:rFonts w:hint="cs"/>
          <w:vanish/>
          <w:rtl/>
        </w:rPr>
        <w:t>-</w:t>
      </w:r>
      <w:r w:rsidRPr="00255628">
        <w:rPr>
          <w:rStyle w:val="aff4"/>
          <w:rFonts w:hint="cs"/>
          <w:rtl/>
        </w:rPr>
        <w:t>רש"י</w:t>
      </w:r>
      <w:r w:rsidRPr="00BC7DC8">
        <w:rPr>
          <w:rStyle w:val="aff4"/>
          <w:rFonts w:hint="cs"/>
          <w:vanish/>
          <w:rtl/>
        </w:rPr>
        <w:t>-</w:t>
      </w:r>
      <w:r>
        <w:rPr>
          <w:rFonts w:hint="cs"/>
          <w:rtl/>
        </w:rPr>
        <w:t xml:space="preserve"> </w:t>
      </w:r>
      <w:r w:rsidRPr="00BC7DC8">
        <w:rPr>
          <w:rStyle w:val="af2"/>
          <w:rFonts w:eastAsia="Guttman Hodes" w:hint="cs"/>
          <w:rtl/>
        </w:rPr>
        <w:t>(ד"ה המכה)</w:t>
      </w:r>
      <w:r w:rsidRPr="00BC7DC8">
        <w:rPr>
          <w:rFonts w:hint="cs"/>
          <w:vanish/>
          <w:rtl/>
        </w:rPr>
        <w:t>=</w:t>
      </w:r>
      <w:r>
        <w:rPr>
          <w:rFonts w:hint="cs"/>
          <w:rtl/>
        </w:rPr>
        <w:t xml:space="preserve"> דהחוצב אבנים מההר, אחר שגמר לחצוב מסביב לאבן והבדילה קצת מההר, הוא מכה בה בפטיש מכה חזקה שתפול, וזהו הגמר מלאכה של חוצבי אבנים, וכל גמר מלאכה בשבת, הוא תולדה של מכה בפטיש,</w:t>
      </w:r>
      <w:r w:rsidRPr="00FB0E40">
        <w:rPr>
          <w:rStyle w:val="af"/>
          <w:rFonts w:hint="cs"/>
          <w:rtl/>
        </w:rPr>
        <w:t xml:space="preserve"> [והוסיף </w:t>
      </w:r>
      <w:r w:rsidRPr="00BC7DC8">
        <w:rPr>
          <w:rStyle w:val="aff9"/>
          <w:rFonts w:hint="cs"/>
          <w:vanish/>
          <w:rtl/>
        </w:rPr>
        <w:t>-</w:t>
      </w:r>
      <w:r w:rsidRPr="00FB0E40">
        <w:rPr>
          <w:rStyle w:val="aff9"/>
          <w:rFonts w:hint="cs"/>
          <w:rtl/>
        </w:rPr>
        <w:t>ה</w:t>
      </w:r>
      <w:r w:rsidRPr="00BC7DC8">
        <w:rPr>
          <w:rStyle w:val="aff9"/>
          <w:vanish/>
          <w:rtl/>
        </w:rPr>
        <w:t>&lt; &gt;</w:t>
      </w:r>
      <w:r w:rsidRPr="00FB0E40">
        <w:rPr>
          <w:rStyle w:val="aff9"/>
          <w:rFonts w:hint="cs"/>
          <w:rtl/>
        </w:rPr>
        <w:t>מאירי</w:t>
      </w:r>
      <w:r w:rsidRPr="00BC7DC8">
        <w:rPr>
          <w:rStyle w:val="aff9"/>
          <w:rFonts w:hint="cs"/>
          <w:vanish/>
          <w:rtl/>
        </w:rPr>
        <w:t>-</w:t>
      </w:r>
      <w:r w:rsidRPr="00FB0E40">
        <w:rPr>
          <w:rStyle w:val="af"/>
          <w:rtl/>
        </w:rPr>
        <w:t xml:space="preserve"> </w:t>
      </w:r>
      <w:r w:rsidRPr="00FB0E40">
        <w:rPr>
          <w:rStyle w:val="aff0"/>
          <w:rtl/>
        </w:rPr>
        <w:t>(</w:t>
      </w:r>
      <w:r w:rsidRPr="00FB0E40">
        <w:rPr>
          <w:rStyle w:val="aff0"/>
          <w:rFonts w:hint="cs"/>
          <w:rtl/>
        </w:rPr>
        <w:t>ד"ה והמכה</w:t>
      </w:r>
      <w:r w:rsidRPr="00FB0E40">
        <w:rPr>
          <w:rStyle w:val="aff0"/>
          <w:rtl/>
        </w:rPr>
        <w:t>)</w:t>
      </w:r>
      <w:r w:rsidRPr="00BC7DC8">
        <w:rPr>
          <w:rStyle w:val="af"/>
          <w:vanish/>
          <w:rtl/>
        </w:rPr>
        <w:t>=</w:t>
      </w:r>
      <w:r w:rsidRPr="00FB0E40">
        <w:rPr>
          <w:rStyle w:val="af"/>
          <w:rtl/>
        </w:rPr>
        <w:t xml:space="preserve"> </w:t>
      </w:r>
      <w:r w:rsidRPr="00FB0E40">
        <w:rPr>
          <w:rStyle w:val="af"/>
          <w:rFonts w:hint="cs"/>
          <w:rtl/>
        </w:rPr>
        <w:t>דאף שהוא כעין בונה חשיב כאב בפנ"ע, וכן בכל גמר מלאכה דחייב משום מכה בפטיש ותולדותיו</w:t>
      </w:r>
      <w:r w:rsidRPr="005957AC">
        <w:rPr>
          <w:rStyle w:val="af"/>
          <w:rFonts w:hint="cs"/>
          <w:rtl/>
        </w:rPr>
        <w:t>],</w:t>
      </w:r>
      <w:r w:rsidRPr="00FB0E40">
        <w:rPr>
          <w:rStyle w:val="af"/>
          <w:rFonts w:hint="cs"/>
          <w:rtl/>
        </w:rPr>
        <w:t xml:space="preserve"> </w:t>
      </w:r>
      <w:r>
        <w:rPr>
          <w:rFonts w:hint="cs"/>
          <w:rtl/>
        </w:rPr>
        <w:t xml:space="preserve">והקשה </w:t>
      </w:r>
      <w:r w:rsidRPr="00BC7DC8">
        <w:rPr>
          <w:rStyle w:val="aff4"/>
          <w:rFonts w:hint="cs"/>
          <w:vanish/>
          <w:rtl/>
        </w:rPr>
        <w:t>-&lt; &gt;</w:t>
      </w:r>
      <w:r w:rsidRPr="00255628">
        <w:rPr>
          <w:rStyle w:val="aff4"/>
          <w:rFonts w:hint="cs"/>
          <w:rtl/>
        </w:rPr>
        <w:t>ר"י בתוס'</w:t>
      </w:r>
      <w:r w:rsidRPr="00BC7DC8">
        <w:rPr>
          <w:rStyle w:val="aff4"/>
          <w:rFonts w:hint="cs"/>
          <w:vanish/>
          <w:rtl/>
        </w:rPr>
        <w:t>-</w:t>
      </w:r>
      <w:r>
        <w:rPr>
          <w:rFonts w:hint="cs"/>
          <w:rtl/>
        </w:rPr>
        <w:t xml:space="preserve"> </w:t>
      </w:r>
      <w:r w:rsidRPr="00BC7DC8">
        <w:rPr>
          <w:rStyle w:val="af2"/>
          <w:rFonts w:eastAsia="Guttman Hodes" w:hint="cs"/>
          <w:rtl/>
        </w:rPr>
        <w:t>(ד"ה מכה)</w:t>
      </w:r>
      <w:r w:rsidRPr="00BC7DC8">
        <w:rPr>
          <w:rFonts w:hint="cs"/>
          <w:vanish/>
          <w:rtl/>
        </w:rPr>
        <w:t>=</w:t>
      </w:r>
      <w:r>
        <w:rPr>
          <w:rFonts w:hint="cs"/>
          <w:rtl/>
        </w:rPr>
        <w:t xml:space="preserve"> דבמשכן לא בנו באבנים, והיה לתנא לנקוט מלאכה בכלים שהיו במשכן, אלא ביאר </w:t>
      </w:r>
      <w:r w:rsidRPr="00BC7DC8">
        <w:rPr>
          <w:rStyle w:val="aff4"/>
          <w:rFonts w:hint="cs"/>
          <w:vanish/>
          <w:rtl/>
        </w:rPr>
        <w:t>-</w:t>
      </w:r>
      <w:r w:rsidRPr="00255628">
        <w:rPr>
          <w:rStyle w:val="aff4"/>
          <w:rFonts w:hint="cs"/>
          <w:rtl/>
        </w:rPr>
        <w:t>ר"י בתוס'</w:t>
      </w:r>
      <w:r w:rsidRPr="00BC7DC8">
        <w:rPr>
          <w:rStyle w:val="aff4"/>
          <w:rFonts w:hint="cs"/>
          <w:vanish/>
          <w:rtl/>
        </w:rPr>
        <w:t>-</w:t>
      </w:r>
      <w:r>
        <w:rPr>
          <w:rFonts w:hint="cs"/>
          <w:rtl/>
        </w:rPr>
        <w:t xml:space="preserve"> דמכה בפטיש הוא המכוש האחרון בגמר מלאכת הכלי,</w:t>
      </w:r>
      <w:r w:rsidRPr="008F659C">
        <w:rPr>
          <w:rFonts w:hint="cs"/>
          <w:rtl/>
        </w:rPr>
        <w:t xml:space="preserve"> </w:t>
      </w:r>
      <w:r>
        <w:rPr>
          <w:rFonts w:hint="cs"/>
          <w:rtl/>
        </w:rPr>
        <w:t xml:space="preserve">ועי' במה שתירץ </w:t>
      </w:r>
      <w:r w:rsidRPr="00BC7DC8">
        <w:rPr>
          <w:rStyle w:val="aff4"/>
          <w:rFonts w:hint="cs"/>
          <w:vanish/>
          <w:rtl/>
        </w:rPr>
        <w:t>-</w:t>
      </w:r>
      <w:r w:rsidRPr="00255628">
        <w:rPr>
          <w:rStyle w:val="aff4"/>
          <w:rFonts w:hint="cs"/>
          <w:rtl/>
        </w:rPr>
        <w:t>ה</w:t>
      </w:r>
      <w:r w:rsidRPr="00BC7DC8">
        <w:rPr>
          <w:rStyle w:val="aff4"/>
          <w:rFonts w:hint="cs"/>
          <w:vanish/>
          <w:rtl/>
        </w:rPr>
        <w:t>&lt; &gt;</w:t>
      </w:r>
      <w:r w:rsidRPr="00255628">
        <w:rPr>
          <w:rStyle w:val="aff4"/>
          <w:rFonts w:hint="cs"/>
          <w:rtl/>
        </w:rPr>
        <w:t>תוי"ט</w:t>
      </w:r>
      <w:r w:rsidRPr="00BC7DC8">
        <w:rPr>
          <w:rStyle w:val="aff4"/>
          <w:rFonts w:hint="cs"/>
          <w:vanish/>
          <w:rtl/>
        </w:rPr>
        <w:t>-</w:t>
      </w:r>
      <w:r>
        <w:rPr>
          <w:rFonts w:hint="cs"/>
          <w:rtl/>
        </w:rPr>
        <w:t xml:space="preserve"> </w:t>
      </w:r>
      <w:r w:rsidRPr="00BC7DC8">
        <w:rPr>
          <w:rStyle w:val="af2"/>
          <w:rFonts w:eastAsia="Guttman Hodes" w:hint="cs"/>
          <w:rtl/>
        </w:rPr>
        <w:t>(ד"ה והמכה)</w:t>
      </w:r>
      <w:r w:rsidRPr="00BC7DC8">
        <w:rPr>
          <w:rFonts w:hint="cs"/>
          <w:vanish/>
          <w:rtl/>
        </w:rPr>
        <w:t>=</w:t>
      </w:r>
      <w:r>
        <w:rPr>
          <w:rFonts w:hint="cs"/>
          <w:rtl/>
        </w:rPr>
        <w:t xml:space="preserve"> את דברי </w:t>
      </w:r>
      <w:r w:rsidRPr="00BC7DC8">
        <w:rPr>
          <w:rStyle w:val="aff4"/>
          <w:rFonts w:hint="cs"/>
          <w:vanish/>
          <w:rtl/>
        </w:rPr>
        <w:t>-</w:t>
      </w:r>
      <w:r w:rsidRPr="00255628">
        <w:rPr>
          <w:rStyle w:val="aff4"/>
          <w:rFonts w:hint="cs"/>
          <w:rtl/>
        </w:rPr>
        <w:t>רש"י</w:t>
      </w:r>
      <w:r w:rsidRPr="00BC7DC8">
        <w:rPr>
          <w:rStyle w:val="aff4"/>
          <w:rFonts w:hint="cs"/>
          <w:vanish/>
          <w:rtl/>
        </w:rPr>
        <w:t>-</w:t>
      </w:r>
      <w:r>
        <w:rPr>
          <w:rFonts w:hint="cs"/>
          <w:rtl/>
        </w:rPr>
        <w:t xml:space="preserve">, ובמ"ש בזה </w:t>
      </w:r>
      <w:r w:rsidRPr="00BC7DC8">
        <w:rPr>
          <w:rStyle w:val="aff4"/>
          <w:rFonts w:hint="cs"/>
          <w:vanish/>
          <w:rtl/>
        </w:rPr>
        <w:t>-</w:t>
      </w:r>
      <w:r w:rsidRPr="00255628">
        <w:rPr>
          <w:rStyle w:val="aff4"/>
          <w:rFonts w:hint="cs"/>
          <w:rtl/>
        </w:rPr>
        <w:t>ה</w:t>
      </w:r>
      <w:r w:rsidRPr="00BC7DC8">
        <w:rPr>
          <w:rStyle w:val="aff4"/>
          <w:rFonts w:hint="cs"/>
          <w:vanish/>
          <w:rtl/>
        </w:rPr>
        <w:t>&lt; &gt;</w:t>
      </w:r>
      <w:r w:rsidRPr="00255628">
        <w:rPr>
          <w:rStyle w:val="aff4"/>
          <w:rFonts w:hint="cs"/>
          <w:rtl/>
        </w:rPr>
        <w:t>רש"ש</w:t>
      </w:r>
      <w:r w:rsidRPr="00BC7DC8">
        <w:rPr>
          <w:rStyle w:val="aff4"/>
          <w:rFonts w:hint="cs"/>
          <w:vanish/>
          <w:rtl/>
        </w:rPr>
        <w:t>-</w:t>
      </w:r>
      <w:r>
        <w:rPr>
          <w:rFonts w:hint="cs"/>
          <w:rtl/>
        </w:rPr>
        <w:t xml:space="preserve"> </w:t>
      </w:r>
      <w:r w:rsidRPr="00BC7DC8">
        <w:rPr>
          <w:rStyle w:val="af2"/>
          <w:rFonts w:eastAsia="Guttman Hodes" w:hint="cs"/>
          <w:rtl/>
        </w:rPr>
        <w:t>(על תוד"ה מכה)</w:t>
      </w:r>
      <w:r w:rsidRPr="00BC7DC8">
        <w:rPr>
          <w:rFonts w:hint="cs"/>
          <w:vanish/>
          <w:rtl/>
        </w:rPr>
        <w:t>=</w:t>
      </w:r>
      <w:r>
        <w:rPr>
          <w:rFonts w:hint="cs"/>
          <w:rtl/>
        </w:rPr>
        <w:t xml:space="preserve">, וע"ע במ"ש </w:t>
      </w:r>
      <w:r w:rsidRPr="00250EF3">
        <w:rPr>
          <w:rStyle w:val="aff4"/>
          <w:rFonts w:hint="cs"/>
          <w:rtl/>
        </w:rPr>
        <w:t>ה</w:t>
      </w:r>
      <w:r w:rsidRPr="00BC7DC8">
        <w:rPr>
          <w:rStyle w:val="aff4"/>
          <w:rFonts w:hint="cs"/>
          <w:vanish/>
          <w:rtl/>
        </w:rPr>
        <w:t>&lt; &gt;</w:t>
      </w:r>
      <w:r w:rsidRPr="00250EF3">
        <w:rPr>
          <w:rStyle w:val="aff4"/>
          <w:rFonts w:hint="cs"/>
          <w:rtl/>
        </w:rPr>
        <w:t>אגרות משה</w:t>
      </w:r>
      <w:r>
        <w:rPr>
          <w:rFonts w:hint="cs"/>
          <w:rtl/>
        </w:rPr>
        <w:t xml:space="preserve"> </w:t>
      </w:r>
      <w:r w:rsidRPr="00BC7DC8">
        <w:rPr>
          <w:rStyle w:val="af2"/>
          <w:rFonts w:eastAsia="Guttman Hodes" w:hint="cs"/>
          <w:rtl/>
        </w:rPr>
        <w:t xml:space="preserve">(עי' אות </w:t>
      </w:r>
      <w:r w:rsidRPr="00BC7DC8">
        <w:rPr>
          <w:rStyle w:val="af2"/>
          <w:rFonts w:eastAsia="Guttman Hodes"/>
          <w:rtl/>
        </w:rPr>
        <w:fldChar w:fldCharType="begin"/>
      </w:r>
      <w:r w:rsidRPr="00BC7DC8">
        <w:rPr>
          <w:rStyle w:val="af2"/>
          <w:rFonts w:eastAsia="Guttman Hodes"/>
          <w:rtl/>
        </w:rPr>
        <w:instrText xml:space="preserve"> </w:instrText>
      </w:r>
      <w:r w:rsidRPr="00BC7DC8">
        <w:rPr>
          <w:rStyle w:val="af2"/>
          <w:rFonts w:eastAsia="Guttman Hodes" w:hint="cs"/>
        </w:rPr>
        <w:instrText>REF</w:instrText>
      </w:r>
      <w:r w:rsidRPr="00BC7DC8">
        <w:rPr>
          <w:rStyle w:val="af2"/>
          <w:rFonts w:eastAsia="Guttman Hodes" w:hint="cs"/>
          <w:rtl/>
        </w:rPr>
        <w:instrText xml:space="preserve"> _</w:instrText>
      </w:r>
      <w:r w:rsidRPr="00BC7DC8">
        <w:rPr>
          <w:rStyle w:val="af2"/>
          <w:rFonts w:eastAsia="Guttman Hodes" w:hint="cs"/>
        </w:rPr>
        <w:instrText>Ref144199359 \r \h</w:instrText>
      </w:r>
      <w:r w:rsidRPr="00BC7DC8">
        <w:rPr>
          <w:rStyle w:val="af2"/>
          <w:rFonts w:eastAsia="Guttman Hodes"/>
          <w:rtl/>
        </w:rPr>
        <w:instrText xml:space="preserve"> </w:instrText>
      </w:r>
      <w:r w:rsidRPr="00250EF3">
        <w:rPr>
          <w:rStyle w:val="af2"/>
          <w:rFonts w:eastAsia="Guttman Hodes"/>
          <w:rtl/>
        </w:rPr>
      </w:r>
      <w:r w:rsidRPr="00BC7DC8">
        <w:rPr>
          <w:rStyle w:val="af2"/>
          <w:rFonts w:eastAsia="Guttman Hodes"/>
          <w:rtl/>
        </w:rPr>
        <w:fldChar w:fldCharType="separate"/>
      </w:r>
      <w:r w:rsidR="00D82181">
        <w:rPr>
          <w:rStyle w:val="af2"/>
          <w:rFonts w:eastAsia="Guttman Hodes"/>
          <w:cs/>
        </w:rPr>
        <w:t>‎</w:t>
      </w:r>
      <w:r w:rsidR="00D82181">
        <w:rPr>
          <w:rStyle w:val="af2"/>
          <w:rFonts w:eastAsia="Guttman Hodes"/>
          <w:rtl/>
        </w:rPr>
        <w:t>כד)</w:t>
      </w:r>
      <w:r w:rsidRPr="00BC7DC8">
        <w:rPr>
          <w:rStyle w:val="af2"/>
          <w:rFonts w:eastAsia="Guttman Hodes"/>
          <w:rtl/>
        </w:rPr>
        <w:fldChar w:fldCharType="end"/>
      </w:r>
      <w:r w:rsidRPr="00BC7DC8">
        <w:rPr>
          <w:rFonts w:hint="cs"/>
          <w:vanish/>
          <w:rtl/>
        </w:rPr>
        <w:t>=</w:t>
      </w:r>
      <w:r>
        <w:rPr>
          <w:rFonts w:hint="cs"/>
          <w:rtl/>
        </w:rPr>
        <w:t xml:space="preserve"> בדברי </w:t>
      </w:r>
      <w:r w:rsidRPr="00250EF3">
        <w:rPr>
          <w:rStyle w:val="aff4"/>
          <w:rFonts w:hint="cs"/>
          <w:rtl/>
        </w:rPr>
        <w:t>רש"י ותוס'</w:t>
      </w:r>
      <w:r>
        <w:rPr>
          <w:rFonts w:hint="cs"/>
          <w:rtl/>
        </w:rPr>
        <w:t>.</w:t>
      </w:r>
      <w:bookmarkEnd w:id="5010"/>
    </w:p>
    <w:bookmarkEnd w:id="5002"/>
    <w:p w14:paraId="57F80BEE" w14:textId="77777777" w:rsidR="00A14FDA" w:rsidRPr="00BC7DC8" w:rsidRDefault="00A14FDA" w:rsidP="00A14FDA">
      <w:pPr>
        <w:pStyle w:val="afffffe"/>
        <w:rPr>
          <w:vanish/>
          <w:rtl/>
        </w:rPr>
      </w:pPr>
      <w:r w:rsidRPr="00BC7DC8">
        <w:rPr>
          <w:vanish/>
          <w:rtl/>
        </w:rPr>
        <w:t>רש"י שבת ק"ב ע"ב ד"ה המכה</w:t>
      </w:r>
    </w:p>
    <w:p w14:paraId="61EE9AAD" w14:textId="77777777" w:rsidR="00A14FDA" w:rsidRPr="00D87F8B" w:rsidRDefault="00A14FDA" w:rsidP="00A14FDA">
      <w:pPr>
        <w:pStyle w:val="a2"/>
        <w:rPr>
          <w:rtl/>
        </w:rPr>
      </w:pPr>
      <w:r w:rsidRPr="00D87F8B">
        <w:rPr>
          <w:rtl/>
        </w:rPr>
        <w:t>המכה בפטיש - גם הוא באבות מלאכות, והוא בלעז פי"ק</w:t>
      </w:r>
      <w:r w:rsidRPr="00D87F8B">
        <w:rPr>
          <w:rFonts w:hint="cs"/>
          <w:rtl/>
        </w:rPr>
        <w:t>,</w:t>
      </w:r>
      <w:r w:rsidRPr="00D87F8B">
        <w:rPr>
          <w:rtl/>
        </w:rPr>
        <w:t xml:space="preserve"> שמפוצץ בו את האבן מן הסלע לאחר שחצב את האבן סביב, ומבדיל מן ההר קצת - הוא מכה בפטיש מכה גדולה, והיא מתפרקת ונופלת, וזהו גמר מלאכה של חוצבי אבן, וכל הגומר בשבת מלאכה - תולדת מכה בפטיש היא.</w:t>
      </w:r>
    </w:p>
    <w:p w14:paraId="19B0CA4C" w14:textId="77777777" w:rsidR="00A14FDA" w:rsidRPr="00BC7DC8" w:rsidRDefault="00A14FDA" w:rsidP="00A14FDA">
      <w:pPr>
        <w:pStyle w:val="afffffe"/>
        <w:rPr>
          <w:vanish/>
          <w:rtl/>
        </w:rPr>
      </w:pPr>
      <w:r w:rsidRPr="00BC7DC8">
        <w:rPr>
          <w:vanish/>
          <w:rtl/>
        </w:rPr>
        <w:t>מאירי שבת ק"ב ע"ב</w:t>
      </w:r>
      <w:r w:rsidRPr="00BC7DC8">
        <w:rPr>
          <w:rFonts w:hint="cs"/>
          <w:vanish/>
          <w:rtl/>
        </w:rPr>
        <w:t xml:space="preserve"> ד"ה והמכה</w:t>
      </w:r>
    </w:p>
    <w:p w14:paraId="2E4D8B38" w14:textId="77777777" w:rsidR="00A14FDA" w:rsidRPr="00806C89" w:rsidRDefault="00A14FDA" w:rsidP="00A14FDA">
      <w:pPr>
        <w:pStyle w:val="afffff5"/>
        <w:rPr>
          <w:rtl/>
        </w:rPr>
      </w:pPr>
      <w:r w:rsidRPr="00806C89">
        <w:rPr>
          <w:rtl/>
        </w:rPr>
        <w:t>והמכה בפטיש והוא גמר מלאכה שבכל דבר ודבר והוא בבנין מצד שכשאדם רוצה לפסול האבנים הרי הוא מפוצץ הסלע סביבותיה עד שמתיקה מארבע רוחותיה מן ההר וכשהשלים חציבת סביבותיה מכל צד הוא מכה בפטיש הכאה גדולה על האבן והיא מתפרקת ונופלת מאליה ונמצא דבר זה גמר מלאכה ואף על פי שהוא כעין בונה הוא אב מלאכה בפני עצמו ועל דרך זה כל שהוא גמר מלאכה חייב משום מכה בפטיש ותולדה שלו:</w:t>
      </w:r>
    </w:p>
    <w:p w14:paraId="6FE2B35D" w14:textId="77777777" w:rsidR="00A14FDA" w:rsidRPr="00BC7DC8" w:rsidRDefault="00A14FDA" w:rsidP="00A14FDA">
      <w:pPr>
        <w:pStyle w:val="afffffe"/>
        <w:rPr>
          <w:vanish/>
          <w:rtl/>
        </w:rPr>
      </w:pPr>
      <w:r w:rsidRPr="00BC7DC8">
        <w:rPr>
          <w:vanish/>
          <w:rtl/>
        </w:rPr>
        <w:t>תוספות שבת ק"ב ע"ב</w:t>
      </w:r>
      <w:r w:rsidRPr="00BC7DC8">
        <w:rPr>
          <w:rFonts w:hint="cs"/>
          <w:vanish/>
          <w:rtl/>
        </w:rPr>
        <w:t xml:space="preserve"> ד"ה מכה</w:t>
      </w:r>
    </w:p>
    <w:p w14:paraId="6707F6B0" w14:textId="77777777" w:rsidR="00A14FDA" w:rsidRPr="00806C89" w:rsidRDefault="00A14FDA" w:rsidP="00A14FDA">
      <w:pPr>
        <w:pStyle w:val="afffff5"/>
        <w:rPr>
          <w:rtl/>
        </w:rPr>
      </w:pPr>
      <w:r w:rsidRPr="00806C89">
        <w:rPr>
          <w:rtl/>
        </w:rPr>
        <w:t>מכה בפטיש - פי' בקונטרס שמפוצץ בו את הסלע לאחר שחצבה ואין נראה לר"י דבמשכן לא הוה בנין אבנים ולא שביק תנא גמר מלאכה דכלים דהוה במשכן ונקט מכה בפטיש דאבן דלא הוה במשכן אלא נראה לר"י דהאי מכה בפטיש היינו מכוש אחרון שמכה על הכלי בשעת גמר מלאכה.</w:t>
      </w:r>
    </w:p>
    <w:p w14:paraId="378F9A2D" w14:textId="77777777" w:rsidR="00A14FDA" w:rsidRDefault="00A14FDA" w:rsidP="00A14FDA">
      <w:pPr>
        <w:pStyle w:val="afffff7"/>
        <w:rPr>
          <w:rtl/>
        </w:rPr>
      </w:pPr>
      <w:bookmarkStart w:id="5011" w:name="_Toc144224623"/>
      <w:bookmarkStart w:id="5012" w:name="_Toc163506171"/>
      <w:r>
        <w:rPr>
          <w:rtl/>
        </w:rPr>
        <w:t>חדושי הרמב"ן שבת ע"ג ע"א</w:t>
      </w:r>
      <w:r>
        <w:rPr>
          <w:rFonts w:hint="cs"/>
          <w:rtl/>
        </w:rPr>
        <w:t xml:space="preserve"> ד"ה מכה</w:t>
      </w:r>
      <w:bookmarkEnd w:id="5011"/>
      <w:bookmarkEnd w:id="5012"/>
      <w:r w:rsidRPr="00421A47">
        <w:rPr>
          <w:vanish/>
          <w:rtl/>
        </w:rPr>
        <w:t xml:space="preserve"> (ב)</w:t>
      </w:r>
    </w:p>
    <w:p w14:paraId="1B1A7AD4" w14:textId="77777777" w:rsidR="00A14FDA" w:rsidRDefault="00A14FDA" w:rsidP="00A14FDA">
      <w:pPr>
        <w:pStyle w:val="afffff7"/>
        <w:rPr>
          <w:rtl/>
        </w:rPr>
      </w:pPr>
      <w:bookmarkStart w:id="5013" w:name="_Toc144224624"/>
      <w:bookmarkStart w:id="5014" w:name="_Toc163506172"/>
      <w:r>
        <w:rPr>
          <w:rtl/>
        </w:rPr>
        <w:t>חדושי הריטב"א שבת ע"ג ע"א</w:t>
      </w:r>
      <w:r>
        <w:rPr>
          <w:rFonts w:hint="cs"/>
          <w:rtl/>
        </w:rPr>
        <w:t xml:space="preserve"> ד"ה המכה</w:t>
      </w:r>
      <w:bookmarkEnd w:id="5013"/>
      <w:bookmarkEnd w:id="5014"/>
      <w:r w:rsidRPr="00421A47">
        <w:rPr>
          <w:vanish/>
          <w:rtl/>
        </w:rPr>
        <w:t xml:space="preserve"> (ב)</w:t>
      </w:r>
    </w:p>
    <w:p w14:paraId="61E6DF9F" w14:textId="77777777" w:rsidR="00A14FDA" w:rsidRDefault="00A14FDA" w:rsidP="00A14FDA">
      <w:pPr>
        <w:pStyle w:val="afffff7"/>
        <w:rPr>
          <w:rtl/>
        </w:rPr>
      </w:pPr>
      <w:bookmarkStart w:id="5015" w:name="_Toc144224625"/>
      <w:bookmarkStart w:id="5016" w:name="_Toc163506173"/>
      <w:r>
        <w:rPr>
          <w:rtl/>
        </w:rPr>
        <w:t>חדושי הר"ן שבת ע"ג ע"א</w:t>
      </w:r>
      <w:r>
        <w:rPr>
          <w:rFonts w:hint="cs"/>
          <w:rtl/>
        </w:rPr>
        <w:t xml:space="preserve"> ד"ה והמכה</w:t>
      </w:r>
      <w:bookmarkEnd w:id="5015"/>
      <w:bookmarkEnd w:id="5016"/>
      <w:r w:rsidRPr="00421A47">
        <w:rPr>
          <w:vanish/>
          <w:rtl/>
        </w:rPr>
        <w:t xml:space="preserve"> (ב)</w:t>
      </w:r>
    </w:p>
    <w:p w14:paraId="711DB0F9" w14:textId="77777777" w:rsidR="00A14FDA" w:rsidRDefault="00A14FDA" w:rsidP="00A14FDA">
      <w:pPr>
        <w:pStyle w:val="afffff7"/>
        <w:rPr>
          <w:rtl/>
        </w:rPr>
      </w:pPr>
      <w:bookmarkStart w:id="5017" w:name="_Toc144224626"/>
      <w:bookmarkStart w:id="5018" w:name="_Toc163506174"/>
      <w:r>
        <w:rPr>
          <w:rtl/>
        </w:rPr>
        <w:t xml:space="preserve">חדושי הר"ן </w:t>
      </w:r>
      <w:r>
        <w:rPr>
          <w:rFonts w:hint="cs"/>
          <w:rtl/>
        </w:rPr>
        <w:t xml:space="preserve">- </w:t>
      </w:r>
      <w:r>
        <w:rPr>
          <w:rtl/>
        </w:rPr>
        <w:t>מיוחס לו שבת ע"ג ע"א</w:t>
      </w:r>
      <w:r>
        <w:rPr>
          <w:rFonts w:hint="cs"/>
          <w:rtl/>
        </w:rPr>
        <w:t xml:space="preserve"> ד"ה המכה</w:t>
      </w:r>
      <w:bookmarkEnd w:id="5017"/>
      <w:bookmarkEnd w:id="5018"/>
      <w:r w:rsidRPr="00421A47">
        <w:rPr>
          <w:vanish/>
          <w:rtl/>
        </w:rPr>
        <w:t xml:space="preserve"> (ב)</w:t>
      </w:r>
    </w:p>
    <w:p w14:paraId="1B1B34F9" w14:textId="77777777" w:rsidR="00A14FDA" w:rsidRPr="00D613A8" w:rsidRDefault="00A14FDA" w:rsidP="00A14FDA">
      <w:pPr>
        <w:pStyle w:val="a7"/>
        <w:rPr>
          <w:rtl/>
        </w:rPr>
      </w:pPr>
      <w:bookmarkStart w:id="5019" w:name="_Toc144225229"/>
      <w:r>
        <w:rPr>
          <w:rFonts w:hint="cs"/>
          <w:rtl/>
        </w:rPr>
        <w:t>בי' ר"ח והראשונים דמכה על הכלי להשוות עקמומיות או על האבן להשוותה לחברותיה</w:t>
      </w:r>
      <w:bookmarkEnd w:id="5019"/>
    </w:p>
    <w:p w14:paraId="7DCBF950" w14:textId="762068BA" w:rsidR="00A14FDA" w:rsidRDefault="00A14FDA" w:rsidP="00BC7DC8">
      <w:pPr>
        <w:pStyle w:val="a3"/>
      </w:pPr>
      <w:bookmarkStart w:id="5020" w:name="_Ref143807503"/>
      <w:r w:rsidRPr="00255628">
        <w:rPr>
          <w:rStyle w:val="aff4"/>
          <w:rFonts w:hint="cs"/>
          <w:vanish/>
          <w:rtl/>
        </w:rPr>
        <w:t>-</w:t>
      </w:r>
      <w:bookmarkStart w:id="5021" w:name="_Ref144151833"/>
      <w:r w:rsidRPr="00255628">
        <w:rPr>
          <w:rStyle w:val="aff4"/>
          <w:rFonts w:hint="cs"/>
          <w:rtl/>
        </w:rPr>
        <w:t>וה</w:t>
      </w:r>
      <w:bookmarkStart w:id="5022" w:name="_Hlk144064552"/>
      <w:r w:rsidRPr="00255628">
        <w:rPr>
          <w:rStyle w:val="aff4"/>
          <w:rFonts w:hint="cs"/>
          <w:vanish/>
          <w:rtl/>
        </w:rPr>
        <w:t xml:space="preserve">&lt;, </w:t>
      </w:r>
      <w:r w:rsidRPr="00255628">
        <w:rPr>
          <w:rStyle w:val="aff4"/>
          <w:vanish/>
          <w:rtl/>
        </w:rPr>
        <w:fldChar w:fldCharType="begin"/>
      </w:r>
      <w:r w:rsidRPr="00255628">
        <w:rPr>
          <w:rStyle w:val="aff4"/>
          <w:vanish/>
          <w:rtl/>
        </w:rPr>
        <w:instrText xml:space="preserve"> </w:instrText>
      </w:r>
      <w:r w:rsidRPr="00255628">
        <w:rPr>
          <w:rStyle w:val="aff4"/>
          <w:rFonts w:hint="cs"/>
          <w:vanish/>
        </w:rPr>
        <w:instrText>REF</w:instrText>
      </w:r>
      <w:r w:rsidRPr="00255628">
        <w:rPr>
          <w:rStyle w:val="aff4"/>
          <w:rFonts w:hint="cs"/>
          <w:vanish/>
          <w:rtl/>
        </w:rPr>
        <w:instrText xml:space="preserve"> _</w:instrText>
      </w:r>
      <w:r w:rsidRPr="00255628">
        <w:rPr>
          <w:rStyle w:val="aff4"/>
          <w:rFonts w:hint="cs"/>
          <w:vanish/>
        </w:rPr>
        <w:instrText>Ref143807503 \r \h</w:instrText>
      </w:r>
      <w:r w:rsidRPr="00255628">
        <w:rPr>
          <w:rStyle w:val="aff4"/>
          <w:vanish/>
          <w:rtl/>
        </w:rPr>
        <w:instrText xml:space="preserve"> </w:instrText>
      </w:r>
      <w:r w:rsidRPr="00255628">
        <w:rPr>
          <w:rStyle w:val="aff4"/>
          <w:vanish/>
          <w:rtl/>
        </w:rPr>
      </w:r>
      <w:r w:rsidRPr="00255628">
        <w:rPr>
          <w:rStyle w:val="aff4"/>
          <w:vanish/>
          <w:rtl/>
        </w:rPr>
        <w:fldChar w:fldCharType="separate"/>
      </w:r>
      <w:r w:rsidR="00D82181">
        <w:rPr>
          <w:rStyle w:val="aff4"/>
          <w:vanish/>
          <w:cs/>
        </w:rPr>
        <w:t>‎</w:t>
      </w:r>
      <w:r w:rsidR="00D82181">
        <w:rPr>
          <w:rStyle w:val="aff4"/>
          <w:vanish/>
          <w:rtl/>
        </w:rPr>
        <w:t>ב)</w:t>
      </w:r>
      <w:r w:rsidRPr="00255628">
        <w:rPr>
          <w:rStyle w:val="aff4"/>
          <w:vanish/>
          <w:rtl/>
        </w:rPr>
        <w:fldChar w:fldCharType="end"/>
      </w:r>
      <w:r w:rsidRPr="00255628">
        <w:rPr>
          <w:rStyle w:val="aff4"/>
          <w:rFonts w:hint="cs"/>
          <w:vanish/>
          <w:rtl/>
        </w:rPr>
        <w:t xml:space="preserve"> &gt;</w:t>
      </w:r>
      <w:r w:rsidRPr="00255628">
        <w:rPr>
          <w:rStyle w:val="aff4"/>
          <w:rFonts w:hint="cs"/>
          <w:rtl/>
        </w:rPr>
        <w:t>רמב"ן לעיל</w:t>
      </w:r>
      <w:r w:rsidRPr="00255628">
        <w:rPr>
          <w:rStyle w:val="aff4"/>
          <w:rFonts w:hint="cs"/>
          <w:vanish/>
          <w:rtl/>
        </w:rPr>
        <w:t>-</w:t>
      </w:r>
      <w:r>
        <w:rPr>
          <w:rFonts w:hint="cs"/>
          <w:rtl/>
        </w:rPr>
        <w:t xml:space="preserve"> </w:t>
      </w:r>
      <w:r w:rsidRPr="00C8052D">
        <w:rPr>
          <w:rStyle w:val="af2"/>
          <w:rFonts w:eastAsia="Guttman Hodes" w:hint="cs"/>
          <w:rtl/>
        </w:rPr>
        <w:t>(עג. ד"ה מכה)</w:t>
      </w:r>
      <w:r w:rsidRPr="00255628">
        <w:rPr>
          <w:rFonts w:hint="cs"/>
          <w:vanish/>
          <w:rtl/>
        </w:rPr>
        <w:t>=</w:t>
      </w:r>
      <w:r>
        <w:rPr>
          <w:rFonts w:hint="cs"/>
          <w:rtl/>
        </w:rPr>
        <w:t xml:space="preserve"> </w:t>
      </w:r>
      <w:r w:rsidRPr="00255628">
        <w:rPr>
          <w:rStyle w:val="aff4"/>
          <w:rFonts w:hint="cs"/>
          <w:vanish/>
          <w:rtl/>
        </w:rPr>
        <w:t>-</w:t>
      </w:r>
      <w:r w:rsidRPr="00255628">
        <w:rPr>
          <w:rStyle w:val="aff4"/>
          <w:rFonts w:hint="cs"/>
          <w:rtl/>
        </w:rPr>
        <w:t>וה</w:t>
      </w:r>
      <w:r w:rsidRPr="00255628">
        <w:rPr>
          <w:rStyle w:val="aff4"/>
          <w:rFonts w:hint="cs"/>
          <w:vanish/>
          <w:rtl/>
        </w:rPr>
        <w:t>&lt; &gt;</w:t>
      </w:r>
      <w:r w:rsidRPr="00255628">
        <w:rPr>
          <w:rStyle w:val="aff4"/>
          <w:rFonts w:hint="cs"/>
          <w:rtl/>
        </w:rPr>
        <w:t>ריטב"א לעיל</w:t>
      </w:r>
      <w:r w:rsidRPr="00255628">
        <w:rPr>
          <w:rStyle w:val="aff4"/>
          <w:rFonts w:hint="cs"/>
          <w:vanish/>
          <w:rtl/>
        </w:rPr>
        <w:t>-</w:t>
      </w:r>
      <w:r>
        <w:rPr>
          <w:rFonts w:hint="cs"/>
          <w:rtl/>
        </w:rPr>
        <w:t xml:space="preserve"> </w:t>
      </w:r>
      <w:r w:rsidRPr="00C8052D">
        <w:rPr>
          <w:rStyle w:val="af2"/>
          <w:rFonts w:eastAsia="Guttman Hodes" w:hint="cs"/>
          <w:rtl/>
        </w:rPr>
        <w:t>(עג. ד"ה המכה)</w:t>
      </w:r>
      <w:r w:rsidRPr="00255628">
        <w:rPr>
          <w:rFonts w:hint="cs"/>
          <w:vanish/>
          <w:rtl/>
        </w:rPr>
        <w:t>=</w:t>
      </w:r>
      <w:r>
        <w:rPr>
          <w:rFonts w:hint="cs"/>
          <w:rtl/>
        </w:rPr>
        <w:t xml:space="preserve"> </w:t>
      </w:r>
      <w:r w:rsidRPr="00255628">
        <w:rPr>
          <w:rStyle w:val="aff4"/>
          <w:rFonts w:hint="cs"/>
          <w:vanish/>
          <w:rtl/>
        </w:rPr>
        <w:t>-</w:t>
      </w:r>
      <w:r w:rsidRPr="00255628">
        <w:rPr>
          <w:rStyle w:val="aff4"/>
          <w:rFonts w:hint="cs"/>
          <w:rtl/>
        </w:rPr>
        <w:t>וה</w:t>
      </w:r>
      <w:r w:rsidRPr="00255628">
        <w:rPr>
          <w:rStyle w:val="aff4"/>
          <w:rFonts w:hint="cs"/>
          <w:vanish/>
          <w:rtl/>
        </w:rPr>
        <w:t>&lt; &gt;</w:t>
      </w:r>
      <w:r w:rsidRPr="00255628">
        <w:rPr>
          <w:rStyle w:val="aff4"/>
          <w:rFonts w:hint="cs"/>
          <w:rtl/>
        </w:rPr>
        <w:t>ר"ן לעיל</w:t>
      </w:r>
      <w:r w:rsidRPr="00255628">
        <w:rPr>
          <w:rStyle w:val="aff4"/>
          <w:rFonts w:hint="cs"/>
          <w:vanish/>
          <w:rtl/>
        </w:rPr>
        <w:t>-</w:t>
      </w:r>
      <w:r>
        <w:rPr>
          <w:rFonts w:hint="cs"/>
          <w:rtl/>
        </w:rPr>
        <w:t xml:space="preserve"> </w:t>
      </w:r>
      <w:r w:rsidRPr="00C8052D">
        <w:rPr>
          <w:rStyle w:val="af2"/>
          <w:rFonts w:eastAsia="Guttman Hodes" w:hint="cs"/>
          <w:rtl/>
        </w:rPr>
        <w:t>(עג. ד"ה והמכה)</w:t>
      </w:r>
      <w:r w:rsidRPr="00255628">
        <w:rPr>
          <w:rFonts w:hint="cs"/>
          <w:vanish/>
          <w:rtl/>
        </w:rPr>
        <w:t>=</w:t>
      </w:r>
      <w:r>
        <w:rPr>
          <w:rFonts w:hint="cs"/>
          <w:rtl/>
        </w:rPr>
        <w:t xml:space="preserve"> </w:t>
      </w:r>
      <w:r w:rsidRPr="00255628">
        <w:rPr>
          <w:rStyle w:val="aff4"/>
          <w:rFonts w:hint="cs"/>
          <w:vanish/>
          <w:rtl/>
        </w:rPr>
        <w:t>-</w:t>
      </w:r>
      <w:r w:rsidRPr="00255628">
        <w:rPr>
          <w:rStyle w:val="aff4"/>
          <w:rFonts w:hint="cs"/>
          <w:rtl/>
        </w:rPr>
        <w:t>וב</w:t>
      </w:r>
      <w:r w:rsidRPr="00255628">
        <w:rPr>
          <w:rStyle w:val="aff4"/>
          <w:rFonts w:hint="cs"/>
          <w:vanish/>
          <w:rtl/>
        </w:rPr>
        <w:t>&lt; &gt;</w:t>
      </w:r>
      <w:r w:rsidRPr="00255628">
        <w:rPr>
          <w:rStyle w:val="aff4"/>
          <w:rFonts w:hint="cs"/>
          <w:rtl/>
        </w:rPr>
        <w:t>חי' המיוחסים לר"ן לעיל</w:t>
      </w:r>
      <w:r w:rsidRPr="00255628">
        <w:rPr>
          <w:rStyle w:val="aff4"/>
          <w:rFonts w:hint="cs"/>
          <w:vanish/>
          <w:rtl/>
        </w:rPr>
        <w:t>-</w:t>
      </w:r>
      <w:r>
        <w:rPr>
          <w:rFonts w:hint="cs"/>
          <w:rtl/>
        </w:rPr>
        <w:t xml:space="preserve"> </w:t>
      </w:r>
      <w:r w:rsidRPr="00C8052D">
        <w:rPr>
          <w:rStyle w:val="af2"/>
          <w:rFonts w:eastAsia="Guttman Hodes" w:hint="cs"/>
          <w:rtl/>
        </w:rPr>
        <w:t>(עג. ד"ה המכה)</w:t>
      </w:r>
      <w:r w:rsidRPr="00255628">
        <w:rPr>
          <w:rFonts w:hint="cs"/>
          <w:vanish/>
          <w:rtl/>
        </w:rPr>
        <w:t>=</w:t>
      </w:r>
      <w:r>
        <w:rPr>
          <w:rFonts w:hint="cs"/>
          <w:rtl/>
        </w:rPr>
        <w:t xml:space="preserve"> הוסיפו לבאר </w:t>
      </w:r>
      <w:r w:rsidRPr="00255628">
        <w:rPr>
          <w:rFonts w:hint="cs"/>
          <w:vanish/>
          <w:rtl/>
        </w:rPr>
        <w:t>&lt; &gt;</w:t>
      </w:r>
      <w:r>
        <w:rPr>
          <w:rFonts w:hint="cs"/>
          <w:rtl/>
        </w:rPr>
        <w:t xml:space="preserve">בשם </w:t>
      </w:r>
      <w:r w:rsidRPr="00255628">
        <w:rPr>
          <w:rStyle w:val="aff4"/>
          <w:rFonts w:hint="cs"/>
          <w:vanish/>
          <w:rtl/>
        </w:rPr>
        <w:t>-</w:t>
      </w:r>
      <w:r w:rsidRPr="00255628">
        <w:rPr>
          <w:rStyle w:val="aff4"/>
          <w:rFonts w:hint="cs"/>
          <w:rtl/>
        </w:rPr>
        <w:t>ר"ח</w:t>
      </w:r>
      <w:r w:rsidRPr="00255628">
        <w:rPr>
          <w:rStyle w:val="aff4"/>
          <w:rFonts w:hint="cs"/>
          <w:vanish/>
          <w:rtl/>
        </w:rPr>
        <w:t>-</w:t>
      </w:r>
      <w:r w:rsidRPr="00255628">
        <w:rPr>
          <w:rFonts w:hint="cs"/>
          <w:vanish/>
          <w:rtl/>
        </w:rPr>
        <w:t>=</w:t>
      </w:r>
      <w:r>
        <w:rPr>
          <w:rFonts w:hint="cs"/>
          <w:rtl/>
        </w:rPr>
        <w:t xml:space="preserve"> דלאחר שנעשה הכלי מכה</w:t>
      </w:r>
      <w:r w:rsidRPr="00F00609">
        <w:rPr>
          <w:rFonts w:hint="cs"/>
          <w:rtl/>
        </w:rPr>
        <w:t xml:space="preserve"> </w:t>
      </w:r>
      <w:r>
        <w:rPr>
          <w:rFonts w:hint="cs"/>
          <w:rtl/>
        </w:rPr>
        <w:t xml:space="preserve">בו להשוות את פניו שלא יהיה עקום, וכן באבנים בבנין שמכה על האבן להשוותה לחברותיה, וזה הגמר מלאכה, ועי' במה שביארו </w:t>
      </w:r>
      <w:r w:rsidRPr="00F31F55">
        <w:rPr>
          <w:b/>
          <w:bCs/>
          <w:rtl/>
        </w:rPr>
        <w:t>ה</w:t>
      </w:r>
      <w:r w:rsidRPr="00255628">
        <w:rPr>
          <w:rStyle w:val="aff4"/>
          <w:rFonts w:hint="cs"/>
          <w:vanish/>
          <w:rtl/>
        </w:rPr>
        <w:t>&lt; &gt;</w:t>
      </w:r>
      <w:r>
        <w:rPr>
          <w:rFonts w:hint="cs"/>
          <w:b/>
          <w:bCs/>
          <w:rtl/>
        </w:rPr>
        <w:t>ערוך השולחן</w:t>
      </w:r>
      <w:r w:rsidRPr="00F31F55">
        <w:rPr>
          <w:b/>
          <w:bCs/>
          <w:rtl/>
        </w:rPr>
        <w:t xml:space="preserve"> </w:t>
      </w:r>
      <w:r w:rsidRPr="00C8052D">
        <w:rPr>
          <w:rStyle w:val="af2"/>
          <w:rFonts w:eastAsia="Guttman Hodes"/>
          <w:rtl/>
        </w:rPr>
        <w:t>(</w:t>
      </w:r>
      <w:r>
        <w:rPr>
          <w:rStyle w:val="af2"/>
          <w:rFonts w:eastAsia="Guttman Hodes" w:hint="cs"/>
          <w:rtl/>
        </w:rPr>
        <w:t xml:space="preserve">עי' אות </w:t>
      </w:r>
      <w:r w:rsidRPr="00563E0C">
        <w:rPr>
          <w:rStyle w:val="af2"/>
          <w:rFonts w:eastAsia="Guttman Hodes"/>
          <w:rtl/>
        </w:rPr>
        <w:fldChar w:fldCharType="begin"/>
      </w:r>
      <w:r w:rsidRPr="00563E0C">
        <w:rPr>
          <w:rStyle w:val="af2"/>
          <w:rFonts w:eastAsia="Guttman Hodes"/>
          <w:rtl/>
        </w:rPr>
        <w:instrText xml:space="preserve"> </w:instrText>
      </w:r>
      <w:r w:rsidRPr="00563E0C">
        <w:rPr>
          <w:rStyle w:val="af2"/>
          <w:rFonts w:eastAsia="Guttman Hodes"/>
        </w:rPr>
        <w:instrText>REF</w:instrText>
      </w:r>
      <w:r w:rsidRPr="00563E0C">
        <w:rPr>
          <w:rStyle w:val="af2"/>
          <w:rFonts w:eastAsia="Guttman Hodes"/>
          <w:rtl/>
        </w:rPr>
        <w:instrText xml:space="preserve"> _</w:instrText>
      </w:r>
      <w:r w:rsidRPr="00563E0C">
        <w:rPr>
          <w:rStyle w:val="af2"/>
          <w:rFonts w:eastAsia="Guttman Hodes"/>
        </w:rPr>
        <w:instrText>Ref144064696 \r \h</w:instrText>
      </w:r>
      <w:r w:rsidRPr="00563E0C">
        <w:rPr>
          <w:rStyle w:val="af2"/>
          <w:rFonts w:eastAsia="Guttman Hodes"/>
          <w:rtl/>
        </w:rPr>
        <w:instrText xml:space="preserve"> </w:instrText>
      </w:r>
      <w:r w:rsidRPr="00563E0C">
        <w:rPr>
          <w:rStyle w:val="af2"/>
          <w:rFonts w:eastAsia="Guttman Hodes"/>
          <w:rtl/>
        </w:rPr>
      </w:r>
      <w:r w:rsidRPr="00563E0C">
        <w:rPr>
          <w:rStyle w:val="af2"/>
          <w:rFonts w:eastAsia="Guttman Hodes"/>
          <w:rtl/>
        </w:rPr>
        <w:fldChar w:fldCharType="separate"/>
      </w:r>
      <w:r w:rsidR="00D82181">
        <w:rPr>
          <w:rStyle w:val="af2"/>
          <w:rFonts w:eastAsia="Guttman Hodes"/>
          <w:cs/>
        </w:rPr>
        <w:t>‎</w:t>
      </w:r>
      <w:r w:rsidR="00D82181">
        <w:rPr>
          <w:rStyle w:val="af2"/>
          <w:rFonts w:eastAsia="Guttman Hodes"/>
          <w:rtl/>
        </w:rPr>
        <w:t>כ)</w:t>
      </w:r>
      <w:r w:rsidRPr="00563E0C">
        <w:rPr>
          <w:rStyle w:val="af2"/>
          <w:rFonts w:eastAsia="Guttman Hodes"/>
          <w:rtl/>
        </w:rPr>
        <w:fldChar w:fldCharType="end"/>
      </w:r>
      <w:r w:rsidRPr="00255628">
        <w:rPr>
          <w:rFonts w:hint="cs"/>
          <w:vanish/>
          <w:rtl/>
        </w:rPr>
        <w:t>=</w:t>
      </w:r>
      <w:r>
        <w:rPr>
          <w:rFonts w:hint="cs"/>
          <w:rtl/>
        </w:rPr>
        <w:t xml:space="preserve"> </w:t>
      </w:r>
      <w:r>
        <w:rPr>
          <w:rStyle w:val="aff4"/>
          <w:rFonts w:hint="cs"/>
          <w:rtl/>
        </w:rPr>
        <w:t>ו</w:t>
      </w:r>
      <w:r w:rsidRPr="008C0FE9">
        <w:rPr>
          <w:rStyle w:val="aff4"/>
          <w:rFonts w:hint="cs"/>
          <w:rtl/>
        </w:rPr>
        <w:t>ה</w:t>
      </w:r>
      <w:r w:rsidRPr="00255628">
        <w:rPr>
          <w:rStyle w:val="aff4"/>
          <w:rFonts w:hint="cs"/>
          <w:vanish/>
          <w:rtl/>
        </w:rPr>
        <w:t>&lt; &gt;</w:t>
      </w:r>
      <w:r w:rsidRPr="008C0FE9">
        <w:rPr>
          <w:rStyle w:val="aff4"/>
          <w:rFonts w:hint="cs"/>
          <w:rtl/>
        </w:rPr>
        <w:t>אגרות משה</w:t>
      </w:r>
      <w:r>
        <w:rPr>
          <w:rFonts w:hint="cs"/>
          <w:rtl/>
        </w:rPr>
        <w:t xml:space="preserve"> </w:t>
      </w:r>
      <w:r w:rsidRPr="008C0FE9">
        <w:rPr>
          <w:rStyle w:val="af2"/>
          <w:rFonts w:eastAsia="Guttman Hodes" w:hint="cs"/>
          <w:rtl/>
        </w:rPr>
        <w:t xml:space="preserve">(עי' אות </w:t>
      </w:r>
      <w:r w:rsidRPr="008C0FE9">
        <w:rPr>
          <w:rStyle w:val="af2"/>
          <w:rFonts w:eastAsia="Guttman Hodes"/>
          <w:rtl/>
        </w:rPr>
        <w:fldChar w:fldCharType="begin"/>
      </w:r>
      <w:r w:rsidRPr="008C0FE9">
        <w:rPr>
          <w:rStyle w:val="af2"/>
          <w:rFonts w:eastAsia="Guttman Hodes"/>
          <w:rtl/>
        </w:rPr>
        <w:instrText xml:space="preserve"> </w:instrText>
      </w:r>
      <w:r w:rsidRPr="008C0FE9">
        <w:rPr>
          <w:rStyle w:val="af2"/>
          <w:rFonts w:eastAsia="Guttman Hodes" w:hint="cs"/>
        </w:rPr>
        <w:instrText>REF</w:instrText>
      </w:r>
      <w:r w:rsidRPr="008C0FE9">
        <w:rPr>
          <w:rStyle w:val="af2"/>
          <w:rFonts w:eastAsia="Guttman Hodes" w:hint="cs"/>
          <w:rtl/>
        </w:rPr>
        <w:instrText xml:space="preserve"> _</w:instrText>
      </w:r>
      <w:r w:rsidRPr="008C0FE9">
        <w:rPr>
          <w:rStyle w:val="af2"/>
          <w:rFonts w:eastAsia="Guttman Hodes" w:hint="cs"/>
        </w:rPr>
        <w:instrText>Ref144158462 \r \h</w:instrText>
      </w:r>
      <w:r w:rsidRPr="008C0FE9">
        <w:rPr>
          <w:rStyle w:val="af2"/>
          <w:rFonts w:eastAsia="Guttman Hodes"/>
          <w:rtl/>
        </w:rPr>
        <w:instrText xml:space="preserve"> </w:instrText>
      </w:r>
      <w:r w:rsidRPr="008C0FE9">
        <w:rPr>
          <w:rStyle w:val="af2"/>
          <w:rFonts w:eastAsia="Guttman Hodes"/>
          <w:rtl/>
        </w:rPr>
      </w:r>
      <w:r w:rsidRPr="008C0FE9">
        <w:rPr>
          <w:rStyle w:val="af2"/>
          <w:rFonts w:eastAsia="Guttman Hodes"/>
          <w:rtl/>
        </w:rPr>
        <w:fldChar w:fldCharType="separate"/>
      </w:r>
      <w:r w:rsidR="00D82181">
        <w:rPr>
          <w:rStyle w:val="af2"/>
          <w:rFonts w:eastAsia="Guttman Hodes"/>
          <w:cs/>
        </w:rPr>
        <w:t>‎</w:t>
      </w:r>
      <w:r w:rsidR="00D82181">
        <w:rPr>
          <w:rStyle w:val="af2"/>
          <w:rFonts w:eastAsia="Guttman Hodes"/>
          <w:rtl/>
        </w:rPr>
        <w:t>כג)</w:t>
      </w:r>
      <w:r w:rsidRPr="008C0FE9">
        <w:rPr>
          <w:rStyle w:val="af2"/>
          <w:rFonts w:eastAsia="Guttman Hodes"/>
          <w:rtl/>
        </w:rPr>
        <w:fldChar w:fldCharType="end"/>
      </w:r>
      <w:r w:rsidRPr="00255628">
        <w:rPr>
          <w:rFonts w:hint="cs"/>
          <w:vanish/>
          <w:rtl/>
        </w:rPr>
        <w:t>=</w:t>
      </w:r>
      <w:r>
        <w:rPr>
          <w:rFonts w:hint="cs"/>
          <w:rtl/>
        </w:rPr>
        <w:t xml:space="preserve"> בדברי</w:t>
      </w:r>
      <w:r w:rsidRPr="00D84E49">
        <w:rPr>
          <w:b/>
          <w:bCs/>
          <w:rtl/>
        </w:rPr>
        <w:t xml:space="preserve"> </w:t>
      </w:r>
      <w:r>
        <w:rPr>
          <w:rFonts w:hint="cs"/>
          <w:b/>
          <w:bCs/>
          <w:rtl/>
        </w:rPr>
        <w:t>ר"</w:t>
      </w:r>
      <w:r w:rsidRPr="00250EF3">
        <w:rPr>
          <w:rStyle w:val="aff4"/>
          <w:rFonts w:hint="cs"/>
          <w:rtl/>
        </w:rPr>
        <w:t>ח</w:t>
      </w:r>
      <w:r>
        <w:rPr>
          <w:rFonts w:hint="cs"/>
          <w:rtl/>
        </w:rPr>
        <w:t>.</w:t>
      </w:r>
    </w:p>
    <w:bookmarkEnd w:id="5020"/>
    <w:bookmarkEnd w:id="5021"/>
    <w:bookmarkEnd w:id="5022"/>
    <w:p w14:paraId="15286F7F" w14:textId="77777777" w:rsidR="00A14FDA" w:rsidRPr="00BC7DC8" w:rsidRDefault="00A14FDA" w:rsidP="00A14FDA">
      <w:pPr>
        <w:pStyle w:val="afffffe"/>
        <w:rPr>
          <w:vanish/>
          <w:rtl/>
        </w:rPr>
      </w:pPr>
      <w:r w:rsidRPr="00BC7DC8">
        <w:rPr>
          <w:vanish/>
          <w:rtl/>
        </w:rPr>
        <w:t>חדושי הרמב"ן שבת ע"ג ע"א</w:t>
      </w:r>
      <w:r w:rsidRPr="00BC7DC8">
        <w:rPr>
          <w:rFonts w:hint="cs"/>
          <w:vanish/>
          <w:rtl/>
        </w:rPr>
        <w:t xml:space="preserve"> ד"ה מכה</w:t>
      </w:r>
    </w:p>
    <w:p w14:paraId="4B4A114F" w14:textId="77777777" w:rsidR="00A14FDA" w:rsidRPr="00D87F8B" w:rsidRDefault="00A14FDA" w:rsidP="00A14FDA">
      <w:pPr>
        <w:pStyle w:val="a2"/>
        <w:rPr>
          <w:rtl/>
        </w:rPr>
      </w:pPr>
      <w:r w:rsidRPr="00D87F8B">
        <w:rPr>
          <w:rtl/>
        </w:rPr>
        <w:t>מכה בפטיש פירש"י ז"ל הוי גמר מלאכה שכן האומן מכה על הסדין בשעת גמר מלאכה, ואיני יודע טעם לזה שאין זו גמר מלאכה אלא אימון ידיו של אומן הוא וכה"ג לאו מלאכה היא כדאיתא בהדיא בריש פרק הבונה (ק"ג א'), אלא מכה בפטיש היינו שהאומן מכה בפטיש על הכלי להשוות עקמימותו וכן על האבן שבבנין להשוותה לחברותיה והיינו גמר מלאכה, כך פיר"ח ז"ל.</w:t>
      </w:r>
    </w:p>
    <w:p w14:paraId="7386EA0C" w14:textId="77777777" w:rsidR="00A14FDA" w:rsidRPr="00BC7DC8" w:rsidRDefault="00A14FDA" w:rsidP="00A14FDA">
      <w:pPr>
        <w:pStyle w:val="afffffe"/>
        <w:rPr>
          <w:vanish/>
          <w:rtl/>
        </w:rPr>
      </w:pPr>
      <w:r w:rsidRPr="00BC7DC8">
        <w:rPr>
          <w:vanish/>
          <w:rtl/>
        </w:rPr>
        <w:t>חדושי הריטב"א שבת ע"ג ע"א</w:t>
      </w:r>
      <w:r w:rsidRPr="00BC7DC8">
        <w:rPr>
          <w:rFonts w:hint="cs"/>
          <w:vanish/>
          <w:rtl/>
        </w:rPr>
        <w:t xml:space="preserve"> ד"ה המכה</w:t>
      </w:r>
    </w:p>
    <w:p w14:paraId="19CDD336" w14:textId="77777777" w:rsidR="00A14FDA" w:rsidRPr="00806C89" w:rsidRDefault="00A14FDA" w:rsidP="00A14FDA">
      <w:pPr>
        <w:pStyle w:val="afffff5"/>
      </w:pPr>
      <w:r w:rsidRPr="00806C89">
        <w:rPr>
          <w:rtl/>
        </w:rPr>
        <w:t>ובההוא פירקא (שם) פרש"י ז"ל כי לאחר שחצב האבן מן ההר והבדילה משם קצת, מכה האומן מכה גדולה שמתפרקת ונופלת מן ההר והיא גמר מלאכה, ור"ח ז"ל פירש כי לאחר שנעשה הכלי מכין בו בפטיש להשוות פני</w:t>
      </w:r>
      <w:r>
        <w:rPr>
          <w:rFonts w:hint="cs"/>
          <w:rtl/>
        </w:rPr>
        <w:t>ו</w:t>
      </w:r>
      <w:r w:rsidRPr="00806C89">
        <w:rPr>
          <w:rtl/>
        </w:rPr>
        <w:t>.</w:t>
      </w:r>
    </w:p>
    <w:p w14:paraId="082C740B" w14:textId="77777777" w:rsidR="00A14FDA" w:rsidRPr="00BC7DC8" w:rsidRDefault="00A14FDA" w:rsidP="00A14FDA">
      <w:pPr>
        <w:pStyle w:val="afffffe"/>
        <w:rPr>
          <w:vanish/>
          <w:rtl/>
        </w:rPr>
      </w:pPr>
      <w:r w:rsidRPr="00BC7DC8">
        <w:rPr>
          <w:vanish/>
          <w:rtl/>
        </w:rPr>
        <w:t>חדושי הר"ן שבת ע"ג ע"א</w:t>
      </w:r>
      <w:r w:rsidRPr="00BC7DC8">
        <w:rPr>
          <w:rFonts w:hint="cs"/>
          <w:vanish/>
          <w:rtl/>
        </w:rPr>
        <w:t xml:space="preserve"> ד"ה והמכה</w:t>
      </w:r>
    </w:p>
    <w:p w14:paraId="2C6C9108" w14:textId="77777777" w:rsidR="00A14FDA" w:rsidRPr="00806C89" w:rsidRDefault="00A14FDA" w:rsidP="00A14FDA">
      <w:pPr>
        <w:pStyle w:val="afffff5"/>
        <w:rPr>
          <w:rtl/>
        </w:rPr>
      </w:pPr>
      <w:r w:rsidRPr="00806C89">
        <w:rPr>
          <w:rtl/>
        </w:rPr>
        <w:t>אלא עיקרן של דברים כפר"ח ז"ל שפירש שהאומן מכה בפטיש על הכלי להשוות עקמימותו וכן על האבן שבבנין להשוותה לחברותיה</w:t>
      </w:r>
      <w:r>
        <w:rPr>
          <w:rFonts w:hint="cs"/>
          <w:rtl/>
        </w:rPr>
        <w:t>.</w:t>
      </w:r>
    </w:p>
    <w:p w14:paraId="5C049AE0" w14:textId="77777777" w:rsidR="00A14FDA" w:rsidRPr="00BC7DC8" w:rsidRDefault="00A14FDA" w:rsidP="00A14FDA">
      <w:pPr>
        <w:pStyle w:val="afffffe"/>
        <w:rPr>
          <w:vanish/>
          <w:rtl/>
        </w:rPr>
      </w:pPr>
      <w:r w:rsidRPr="00BC7DC8">
        <w:rPr>
          <w:vanish/>
          <w:rtl/>
        </w:rPr>
        <w:t xml:space="preserve">חדושי הר"ן </w:t>
      </w:r>
      <w:r w:rsidRPr="00BC7DC8">
        <w:rPr>
          <w:rFonts w:hint="cs"/>
          <w:vanish/>
          <w:rtl/>
        </w:rPr>
        <w:t xml:space="preserve">- </w:t>
      </w:r>
      <w:r w:rsidRPr="00BC7DC8">
        <w:rPr>
          <w:vanish/>
          <w:rtl/>
        </w:rPr>
        <w:t>מיוחס לו שבת ע"ג ע"א</w:t>
      </w:r>
      <w:r w:rsidRPr="00BC7DC8">
        <w:rPr>
          <w:rFonts w:hint="cs"/>
          <w:vanish/>
          <w:rtl/>
        </w:rPr>
        <w:t xml:space="preserve"> ד"ה המכה</w:t>
      </w:r>
    </w:p>
    <w:p w14:paraId="37B65B57" w14:textId="77777777" w:rsidR="00A14FDA" w:rsidRDefault="00A14FDA" w:rsidP="00A14FDA">
      <w:pPr>
        <w:pStyle w:val="afffff5"/>
        <w:rPr>
          <w:rtl/>
        </w:rPr>
      </w:pPr>
      <w:r w:rsidRPr="00806C89">
        <w:rPr>
          <w:rtl/>
        </w:rPr>
        <w:t>ומכאן למדו לכל דבר שהוא בעצמו אינה מלאכה אלא שעל ידו נגמרה לחייבו על גמר מלאכה כנופח בכלי זכוכית פעם שניי' שע"י כן נגמרת המלאכה והוא חייב כנופח נפיחה ראשונה שהיא המלאכה</w:t>
      </w:r>
      <w:r w:rsidRPr="00806C89">
        <w:rPr>
          <w:rFonts w:hint="cs"/>
          <w:rtl/>
        </w:rPr>
        <w:t>.</w:t>
      </w:r>
    </w:p>
    <w:p w14:paraId="69DAFBE2" w14:textId="77777777" w:rsidR="00A14FDA" w:rsidRPr="008057DC" w:rsidRDefault="00A14FDA" w:rsidP="00A14FDA">
      <w:pPr>
        <w:pStyle w:val="a7"/>
        <w:rPr>
          <w:rtl/>
        </w:rPr>
      </w:pPr>
      <w:bookmarkStart w:id="5023" w:name="_Toc144225230"/>
      <w:r>
        <w:rPr>
          <w:rFonts w:hint="cs"/>
          <w:rtl/>
        </w:rPr>
        <w:t>בי' הריטב"א והר"ן דהמכוש האחרון בעצמו אינו מלאכה ואפ"ה הוי מכב"פ וה"ה בכל גמר כלי</w:t>
      </w:r>
      <w:bookmarkEnd w:id="5023"/>
    </w:p>
    <w:p w14:paraId="10FE00CB" w14:textId="77777777" w:rsidR="00A14FDA" w:rsidRPr="00B843B2" w:rsidRDefault="00A14FDA" w:rsidP="00BC7DC8">
      <w:pPr>
        <w:pStyle w:val="a3"/>
        <w:rPr>
          <w:rtl/>
        </w:rPr>
      </w:pPr>
      <w:r>
        <w:rPr>
          <w:rFonts w:hint="cs"/>
          <w:rtl/>
        </w:rPr>
        <w:t xml:space="preserve">והוסיפו </w:t>
      </w:r>
      <w:r w:rsidRPr="00255628">
        <w:rPr>
          <w:rStyle w:val="aff4"/>
          <w:rFonts w:hint="cs"/>
          <w:vanish/>
          <w:rtl/>
        </w:rPr>
        <w:t>-</w:t>
      </w:r>
      <w:r w:rsidRPr="00255628">
        <w:rPr>
          <w:rStyle w:val="aff4"/>
          <w:rFonts w:hint="cs"/>
          <w:rtl/>
        </w:rPr>
        <w:t>הריטב"א והר"ן</w:t>
      </w:r>
      <w:r w:rsidRPr="00255628">
        <w:rPr>
          <w:rStyle w:val="aff4"/>
          <w:rFonts w:hint="cs"/>
          <w:vanish/>
          <w:rtl/>
        </w:rPr>
        <w:t>-</w:t>
      </w:r>
      <w:r>
        <w:rPr>
          <w:rFonts w:hint="cs"/>
          <w:rtl/>
        </w:rPr>
        <w:t xml:space="preserve"> דההכאה הזו מצד עצמה אינה מלאכה, כיון דהכלי כבר נגמר, וכיון דחייב בה מדין מכה בפטיש, למדו מזה בגמ' לכל גמר מלאכה דהיא תולדה דמכה בפטיש, וכתב </w:t>
      </w:r>
      <w:r w:rsidRPr="00F20408">
        <w:rPr>
          <w:rStyle w:val="aff4"/>
          <w:rFonts w:hint="cs"/>
          <w:vanish/>
          <w:rtl/>
        </w:rPr>
        <w:t>-</w:t>
      </w:r>
      <w:r w:rsidRPr="00F20408">
        <w:rPr>
          <w:rStyle w:val="aff4"/>
          <w:rFonts w:hint="cs"/>
          <w:rtl/>
        </w:rPr>
        <w:t>בחי' המיוחסים לר"ן</w:t>
      </w:r>
      <w:r w:rsidRPr="00F20408">
        <w:rPr>
          <w:rStyle w:val="aff4"/>
          <w:vanish/>
          <w:rtl/>
        </w:rPr>
        <w:t>–</w:t>
      </w:r>
      <w:r>
        <w:rPr>
          <w:rFonts w:hint="cs"/>
          <w:rtl/>
        </w:rPr>
        <w:t xml:space="preserve"> דמזה למדו דחייב משום מכה בפטיש בנופח בכלי זכוכית בנפיחה השניה, דאילו בנפיחה הראשונה היא המלאכה עצמה.</w:t>
      </w:r>
    </w:p>
    <w:p w14:paraId="7B71309A" w14:textId="77777777" w:rsidR="00A14FDA" w:rsidRDefault="00A14FDA" w:rsidP="00A14FDA">
      <w:pPr>
        <w:pStyle w:val="afffff7"/>
        <w:rPr>
          <w:rtl/>
        </w:rPr>
      </w:pPr>
      <w:bookmarkStart w:id="5024" w:name="_Toc144224627"/>
      <w:bookmarkStart w:id="5025" w:name="_Toc163506175"/>
      <w:r>
        <w:rPr>
          <w:rtl/>
        </w:rPr>
        <w:t xml:space="preserve">רבינו יהונתן מלוניל </w:t>
      </w:r>
      <w:r>
        <w:rPr>
          <w:rFonts w:hint="cs"/>
          <w:rtl/>
        </w:rPr>
        <w:t>ע"ג ע"א ד"ה המכה</w:t>
      </w:r>
      <w:bookmarkEnd w:id="5024"/>
      <w:bookmarkEnd w:id="5025"/>
      <w:r w:rsidRPr="00421A47">
        <w:rPr>
          <w:vanish/>
          <w:rtl/>
        </w:rPr>
        <w:t xml:space="preserve"> (ב)</w:t>
      </w:r>
    </w:p>
    <w:p w14:paraId="40628160" w14:textId="77777777" w:rsidR="00A14FDA" w:rsidRPr="00D258E3" w:rsidRDefault="00A14FDA" w:rsidP="00A14FDA">
      <w:pPr>
        <w:pStyle w:val="afffffb"/>
        <w:rPr>
          <w:rtl/>
        </w:rPr>
      </w:pPr>
      <w:r w:rsidRPr="00D258E3">
        <w:rPr>
          <w:rtl/>
        </w:rPr>
        <w:t>חדושי הריטב"א שבת ע"ג ע"א</w:t>
      </w:r>
      <w:r w:rsidRPr="00D258E3">
        <w:rPr>
          <w:rFonts w:hint="cs"/>
          <w:rtl/>
        </w:rPr>
        <w:t xml:space="preserve"> ד"ה המכה</w:t>
      </w:r>
    </w:p>
    <w:p w14:paraId="1E0A1C6A" w14:textId="77777777" w:rsidR="00A14FDA" w:rsidRPr="00806C89" w:rsidRDefault="00A14FDA" w:rsidP="00A14FDA">
      <w:pPr>
        <w:pStyle w:val="a2"/>
      </w:pPr>
      <w:r w:rsidRPr="00806C89">
        <w:rPr>
          <w:rtl/>
        </w:rPr>
        <w:t>והיא בעצמה אינה מלאכה שכבר נגמר הכלי אלא גמר מלאכה, ומכאן למדו בגמרא לכל גמר מלאכה שהיא תולדה דמכה בפטיש.</w:t>
      </w:r>
    </w:p>
    <w:p w14:paraId="04F0CE80" w14:textId="77777777" w:rsidR="00A14FDA" w:rsidRDefault="00A14FDA" w:rsidP="00A14FDA">
      <w:pPr>
        <w:pStyle w:val="afffffb"/>
        <w:rPr>
          <w:rtl/>
        </w:rPr>
      </w:pPr>
      <w:r>
        <w:rPr>
          <w:rtl/>
        </w:rPr>
        <w:t>חדושי הר"ן שבת ע"ג ע"א</w:t>
      </w:r>
      <w:r>
        <w:rPr>
          <w:rFonts w:hint="cs"/>
          <w:rtl/>
        </w:rPr>
        <w:t xml:space="preserve"> ד"ה והמכה</w:t>
      </w:r>
    </w:p>
    <w:p w14:paraId="252EBCA0" w14:textId="77777777" w:rsidR="00A14FDA" w:rsidRPr="00806C89" w:rsidRDefault="00A14FDA" w:rsidP="00A14FDA">
      <w:pPr>
        <w:pStyle w:val="afffff5"/>
        <w:rPr>
          <w:rtl/>
        </w:rPr>
      </w:pPr>
      <w:r w:rsidRPr="00806C89">
        <w:rPr>
          <w:rtl/>
        </w:rPr>
        <w:t>וכי האי גוונא אף על גב דלא הויא מלאכה מצד עצמה מחייב בו משום גמר מלאכה:.</w:t>
      </w:r>
    </w:p>
    <w:p w14:paraId="0D06FB7A" w14:textId="77777777" w:rsidR="00A14FDA" w:rsidRDefault="00A14FDA" w:rsidP="00A14FDA">
      <w:pPr>
        <w:pStyle w:val="afffffb"/>
        <w:rPr>
          <w:rtl/>
        </w:rPr>
      </w:pPr>
      <w:r>
        <w:rPr>
          <w:rtl/>
        </w:rPr>
        <w:t xml:space="preserve">חדושי הר"ן </w:t>
      </w:r>
      <w:r>
        <w:rPr>
          <w:rFonts w:hint="cs"/>
          <w:rtl/>
        </w:rPr>
        <w:t xml:space="preserve">- </w:t>
      </w:r>
      <w:r>
        <w:rPr>
          <w:rtl/>
        </w:rPr>
        <w:t>מיוחס לו שבת ע"ג ע"א</w:t>
      </w:r>
      <w:r>
        <w:rPr>
          <w:rFonts w:hint="cs"/>
          <w:rtl/>
        </w:rPr>
        <w:t xml:space="preserve"> ד"ה המכה</w:t>
      </w:r>
    </w:p>
    <w:p w14:paraId="5FEA3762" w14:textId="77777777" w:rsidR="00A14FDA" w:rsidRPr="00806C89" w:rsidRDefault="00A14FDA" w:rsidP="00A14FDA">
      <w:pPr>
        <w:pStyle w:val="afffff5"/>
        <w:rPr>
          <w:rtl/>
        </w:rPr>
      </w:pPr>
      <w:r w:rsidRPr="00806C89">
        <w:rPr>
          <w:rtl/>
        </w:rPr>
        <w:t>ומכאן למדו לכל דבר שהוא בעצמו אינה מלאכה אלא שעל ידו נגמרה לחייבו על גמר מלאכה כנופח בכלי זכוכית פעם שניי' שע"י כן נגמרת המלאכה והוא חייב כנופח נפיחה ראשונה שהיא המלאכה</w:t>
      </w:r>
      <w:r w:rsidRPr="00806C89">
        <w:rPr>
          <w:rFonts w:hint="cs"/>
          <w:rtl/>
        </w:rPr>
        <w:t>.</w:t>
      </w:r>
    </w:p>
    <w:p w14:paraId="375B900E" w14:textId="77777777" w:rsidR="00A14FDA" w:rsidRDefault="00A14FDA" w:rsidP="00A14FDA">
      <w:pPr>
        <w:pStyle w:val="a7"/>
        <w:rPr>
          <w:rtl/>
        </w:rPr>
      </w:pPr>
      <w:bookmarkStart w:id="5026" w:name="_Toc144225231"/>
      <w:r>
        <w:rPr>
          <w:rFonts w:hint="cs"/>
          <w:rtl/>
        </w:rPr>
        <w:t>בי' רבינו יהונתן דמכב"פ הוא תיקון מועט שנשאר ומתקנו בלא טורח וה"ה בכל גמר מלאכה</w:t>
      </w:r>
      <w:bookmarkEnd w:id="5026"/>
    </w:p>
    <w:p w14:paraId="4EB240AD" w14:textId="4EB8E447" w:rsidR="00A14FDA" w:rsidRPr="00690D9B" w:rsidRDefault="00A14FDA" w:rsidP="00BC7DC8">
      <w:pPr>
        <w:pStyle w:val="a3"/>
        <w:rPr>
          <w:rtl/>
        </w:rPr>
      </w:pPr>
      <w:bookmarkStart w:id="5027" w:name="_Ref143808021"/>
      <w:r>
        <w:rPr>
          <w:rFonts w:hint="cs"/>
          <w:rtl/>
        </w:rPr>
        <w:t xml:space="preserve">ועוד הביא </w:t>
      </w:r>
      <w:r w:rsidRPr="00255628">
        <w:rPr>
          <w:rStyle w:val="aff4"/>
          <w:rFonts w:hint="cs"/>
          <w:vanish/>
          <w:rtl/>
        </w:rPr>
        <w:t>-</w:t>
      </w:r>
      <w:r w:rsidRPr="00255628">
        <w:rPr>
          <w:rStyle w:val="aff4"/>
          <w:rFonts w:hint="cs"/>
          <w:rtl/>
        </w:rPr>
        <w:t>ב</w:t>
      </w:r>
      <w:r w:rsidRPr="00255628">
        <w:rPr>
          <w:rStyle w:val="aff4"/>
          <w:rFonts w:hint="cs"/>
          <w:vanish/>
          <w:rtl/>
        </w:rPr>
        <w:t xml:space="preserve">&lt;, </w:t>
      </w:r>
      <w:r w:rsidRPr="00255628">
        <w:rPr>
          <w:rStyle w:val="aff4"/>
          <w:vanish/>
          <w:rtl/>
        </w:rPr>
        <w:fldChar w:fldCharType="begin"/>
      </w:r>
      <w:r w:rsidRPr="00255628">
        <w:rPr>
          <w:rStyle w:val="aff4"/>
          <w:vanish/>
          <w:rtl/>
        </w:rPr>
        <w:instrText xml:space="preserve"> </w:instrText>
      </w:r>
      <w:r w:rsidRPr="00255628">
        <w:rPr>
          <w:rStyle w:val="aff4"/>
          <w:rFonts w:hint="cs"/>
          <w:vanish/>
        </w:rPr>
        <w:instrText>REF</w:instrText>
      </w:r>
      <w:r w:rsidRPr="00255628">
        <w:rPr>
          <w:rStyle w:val="aff4"/>
          <w:rFonts w:hint="cs"/>
          <w:vanish/>
          <w:rtl/>
        </w:rPr>
        <w:instrText xml:space="preserve"> _</w:instrText>
      </w:r>
      <w:r w:rsidRPr="00255628">
        <w:rPr>
          <w:rStyle w:val="aff4"/>
          <w:rFonts w:hint="cs"/>
          <w:vanish/>
        </w:rPr>
        <w:instrText>Ref143808021 \r \h</w:instrText>
      </w:r>
      <w:r w:rsidRPr="00255628">
        <w:rPr>
          <w:rStyle w:val="aff4"/>
          <w:vanish/>
          <w:rtl/>
        </w:rPr>
        <w:instrText xml:space="preserve"> </w:instrText>
      </w:r>
      <w:r w:rsidRPr="00255628">
        <w:rPr>
          <w:rStyle w:val="aff4"/>
          <w:vanish/>
          <w:rtl/>
        </w:rPr>
      </w:r>
      <w:r w:rsidRPr="00255628">
        <w:rPr>
          <w:rStyle w:val="aff4"/>
          <w:vanish/>
          <w:rtl/>
        </w:rPr>
        <w:fldChar w:fldCharType="separate"/>
      </w:r>
      <w:r w:rsidR="00D82181">
        <w:rPr>
          <w:rStyle w:val="aff4"/>
          <w:vanish/>
          <w:cs/>
        </w:rPr>
        <w:t>‎</w:t>
      </w:r>
      <w:r w:rsidR="00D82181">
        <w:rPr>
          <w:rStyle w:val="aff4"/>
          <w:vanish/>
          <w:rtl/>
        </w:rPr>
        <w:t>ד)</w:t>
      </w:r>
      <w:r w:rsidRPr="00255628">
        <w:rPr>
          <w:rStyle w:val="aff4"/>
          <w:vanish/>
          <w:rtl/>
        </w:rPr>
        <w:fldChar w:fldCharType="end"/>
      </w:r>
      <w:r w:rsidRPr="00255628">
        <w:rPr>
          <w:rStyle w:val="aff4"/>
          <w:rFonts w:hint="cs"/>
          <w:vanish/>
          <w:rtl/>
        </w:rPr>
        <w:t xml:space="preserve"> &gt;</w:t>
      </w:r>
      <w:r w:rsidRPr="00255628">
        <w:rPr>
          <w:rStyle w:val="aff4"/>
          <w:rFonts w:hint="cs"/>
          <w:rtl/>
        </w:rPr>
        <w:t>חי' המיוחסים לר"ן לעיל</w:t>
      </w:r>
      <w:r w:rsidRPr="00255628">
        <w:rPr>
          <w:rStyle w:val="aff4"/>
          <w:rFonts w:hint="cs"/>
          <w:vanish/>
          <w:rtl/>
        </w:rPr>
        <w:t>-</w:t>
      </w:r>
      <w:r>
        <w:rPr>
          <w:rFonts w:hint="cs"/>
          <w:rtl/>
        </w:rPr>
        <w:t xml:space="preserve"> </w:t>
      </w:r>
      <w:r w:rsidRPr="00C8052D">
        <w:rPr>
          <w:rStyle w:val="af2"/>
          <w:rFonts w:eastAsia="Guttman Hodes" w:hint="cs"/>
          <w:rtl/>
        </w:rPr>
        <w:t>(עג. ד"ה המכה)</w:t>
      </w:r>
      <w:r>
        <w:rPr>
          <w:rFonts w:hint="cs"/>
          <w:rtl/>
        </w:rPr>
        <w:t xml:space="preserve"> בשם </w:t>
      </w:r>
      <w:r w:rsidRPr="00255628">
        <w:rPr>
          <w:rStyle w:val="aff4"/>
          <w:rFonts w:hint="cs"/>
          <w:vanish/>
          <w:rtl/>
        </w:rPr>
        <w:t>-</w:t>
      </w:r>
      <w:r w:rsidRPr="00255628">
        <w:rPr>
          <w:rStyle w:val="aff4"/>
          <w:rFonts w:hint="cs"/>
          <w:rtl/>
        </w:rPr>
        <w:t>רבינו יהונתן</w:t>
      </w:r>
      <w:r w:rsidRPr="00255628">
        <w:rPr>
          <w:rStyle w:val="aff4"/>
          <w:rFonts w:hint="cs"/>
          <w:vanish/>
          <w:rtl/>
        </w:rPr>
        <w:t>-</w:t>
      </w:r>
      <w:r>
        <w:rPr>
          <w:rFonts w:hint="cs"/>
          <w:rtl/>
        </w:rPr>
        <w:t xml:space="preserve"> </w:t>
      </w:r>
      <w:r w:rsidRPr="00C8052D">
        <w:rPr>
          <w:rStyle w:val="af2"/>
          <w:rFonts w:eastAsia="Guttman Hodes" w:hint="cs"/>
          <w:rtl/>
        </w:rPr>
        <w:t>(ע"ג. ד"ה המכה)</w:t>
      </w:r>
      <w:r w:rsidRPr="00255628">
        <w:rPr>
          <w:rFonts w:hint="cs"/>
          <w:vanish/>
          <w:rtl/>
        </w:rPr>
        <w:t>=</w:t>
      </w:r>
      <w:r>
        <w:rPr>
          <w:rFonts w:hint="cs"/>
          <w:rtl/>
        </w:rPr>
        <w:t xml:space="preserve"> דדרך האומנין לעיין בגמר המלאכה אם נשאר דבר מועט שאינו מתוקן, ולתקנו בקורנס</w:t>
      </w:r>
      <w:bookmarkEnd w:id="5027"/>
      <w:r>
        <w:rPr>
          <w:rFonts w:hint="cs"/>
          <w:rtl/>
        </w:rPr>
        <w:t xml:space="preserve"> לעגלו או להרחיבו ולהשוות את כל הכלי, ומלאכה זו נקראת מכה בפטיש, כיון שבפעם אחת הוא מתקן בלי טורח גדול, והוסיף </w:t>
      </w:r>
      <w:r w:rsidRPr="00255628">
        <w:rPr>
          <w:rStyle w:val="aff4"/>
          <w:rFonts w:hint="cs"/>
          <w:vanish/>
          <w:rtl/>
        </w:rPr>
        <w:t>-</w:t>
      </w:r>
      <w:r w:rsidRPr="00255628">
        <w:rPr>
          <w:rStyle w:val="aff4"/>
          <w:rFonts w:hint="cs"/>
          <w:rtl/>
        </w:rPr>
        <w:t>רבינו יהונתן</w:t>
      </w:r>
      <w:r w:rsidRPr="00255628">
        <w:rPr>
          <w:rStyle w:val="aff4"/>
          <w:rFonts w:hint="cs"/>
          <w:vanish/>
          <w:rtl/>
        </w:rPr>
        <w:t>-</w:t>
      </w:r>
      <w:r>
        <w:rPr>
          <w:rFonts w:hint="cs"/>
          <w:rtl/>
        </w:rPr>
        <w:t xml:space="preserve"> דכל גמר מלאכה נקרא מכה בפטיש כדאיתא בגמ' לעיל </w:t>
      </w:r>
      <w:r w:rsidRPr="00C8052D">
        <w:rPr>
          <w:rStyle w:val="af2"/>
          <w:rFonts w:eastAsia="Guttman Hodes" w:hint="cs"/>
          <w:rtl/>
        </w:rPr>
        <w:t>(עה:)</w:t>
      </w:r>
      <w:r>
        <w:rPr>
          <w:rFonts w:hint="cs"/>
          <w:rtl/>
        </w:rPr>
        <w:t xml:space="preserve"> דהמסיר קשרים מהיריעה בזמן האריגה חייב משום מכה בפטיש כיון שהוא גמר מלאכת האריגה לעיין ולתקן את מה שנשאר צריך תיקון.</w:t>
      </w:r>
    </w:p>
    <w:p w14:paraId="276813A7" w14:textId="77777777" w:rsidR="00A14FDA" w:rsidRPr="00D87F8B" w:rsidRDefault="00A14FDA" w:rsidP="00A14FDA">
      <w:pPr>
        <w:pStyle w:val="a2"/>
        <w:rPr>
          <w:rtl/>
        </w:rPr>
      </w:pPr>
      <w:r w:rsidRPr="00D87F8B">
        <w:rPr>
          <w:rtl/>
        </w:rPr>
        <w:t>וכדומה לזה פירוש רבינו יהונתן ז"ל שדרך האומנין כשגמרו מלאכתן מעיינין בה אם נשאר דבר מועט לתקן מתקנה בקורנס שהרי בידו לעגל אותה או להרחיבה במקום שאינה רחבה כשאר החתיכה או לקצר אותה אם היא רחבה משאר החתיכה ולפי שבפעם אחת בלא טורח גדול נתקן קרי לי' מכה בפטיש:.</w:t>
      </w:r>
    </w:p>
    <w:p w14:paraId="5EC6A93C" w14:textId="77777777" w:rsidR="00A14FDA" w:rsidRPr="00BC7DC8" w:rsidRDefault="00A14FDA" w:rsidP="00A14FDA">
      <w:pPr>
        <w:pStyle w:val="afffffe"/>
        <w:rPr>
          <w:vanish/>
          <w:rtl/>
        </w:rPr>
      </w:pPr>
      <w:r w:rsidRPr="00BC7DC8">
        <w:rPr>
          <w:vanish/>
          <w:rtl/>
        </w:rPr>
        <w:t xml:space="preserve">רבינו יהונתן מלוניל </w:t>
      </w:r>
      <w:r w:rsidRPr="00BC7DC8">
        <w:rPr>
          <w:rFonts w:hint="cs"/>
          <w:vanish/>
          <w:rtl/>
        </w:rPr>
        <w:t>ע"ג ע"א ד"ה המכה</w:t>
      </w:r>
    </w:p>
    <w:p w14:paraId="06574C26" w14:textId="77777777" w:rsidR="00A14FDA" w:rsidRPr="00806C89" w:rsidRDefault="00A14FDA" w:rsidP="00A14FDA">
      <w:pPr>
        <w:pStyle w:val="afffff5"/>
      </w:pPr>
      <w:r w:rsidRPr="00806C89">
        <w:rPr>
          <w:rtl/>
        </w:rPr>
        <w:t>המכה בפטיש, שכן דרך האומנין כשגמרו מלאכתן מעיינין בה אם דבר מעט נשאר לתקן ומתקנה בקורנס שבידו, לעגל אותה, או להרחיבה במקום שאינו רחב כשאר החתיכה, או לקצר אותה אם הוא רחב משאר החתיכה והוא נקרא מכה בפטיש, לפי שבפעם אחת בלא טורח גדול לתקן. וכל דבר שהוא גמר מלאכה נקרא מכה בפטיש ומתחייב עליו, וכן אמרי' בגמ' [ע"ה, ב'] מי שמסיר הקשרים הנעשים ביריעה בשעת אריגתא מיחייב משום מכה בפטיש, שזה גמר מלאכת האריגה לעיין ולתקן מה שנשאר בה לתקן.</w:t>
      </w:r>
    </w:p>
    <w:p w14:paraId="5E11101D" w14:textId="77777777" w:rsidR="00A14FDA" w:rsidRDefault="00A14FDA" w:rsidP="00A14FDA">
      <w:pPr>
        <w:pStyle w:val="afffff7"/>
        <w:rPr>
          <w:rtl/>
        </w:rPr>
      </w:pPr>
      <w:bookmarkStart w:id="5028" w:name="_Toc144224628"/>
      <w:bookmarkStart w:id="5029" w:name="_Toc163506176"/>
      <w:r w:rsidRPr="009F0C2B">
        <w:rPr>
          <w:rtl/>
        </w:rPr>
        <w:t>רש"י שבת ע"ג ע"א</w:t>
      </w:r>
      <w:r w:rsidRPr="009F0C2B">
        <w:rPr>
          <w:rFonts w:hint="cs"/>
          <w:rtl/>
        </w:rPr>
        <w:t xml:space="preserve"> ד"ה מכה בפטיש</w:t>
      </w:r>
      <w:bookmarkEnd w:id="5028"/>
      <w:bookmarkEnd w:id="5029"/>
      <w:r w:rsidRPr="00421A47">
        <w:rPr>
          <w:vanish/>
          <w:rtl/>
        </w:rPr>
        <w:t xml:space="preserve"> (ב)</w:t>
      </w:r>
    </w:p>
    <w:p w14:paraId="4FA41F39" w14:textId="77777777" w:rsidR="00A14FDA" w:rsidRDefault="00A14FDA" w:rsidP="00A14FDA">
      <w:pPr>
        <w:pStyle w:val="afffff7"/>
        <w:rPr>
          <w:rtl/>
        </w:rPr>
      </w:pPr>
      <w:bookmarkStart w:id="5030" w:name="_Toc144224629"/>
      <w:bookmarkStart w:id="5031" w:name="_Toc163506177"/>
      <w:r>
        <w:rPr>
          <w:rtl/>
        </w:rPr>
        <w:t>פסקי רי"ד שבת ע</w:t>
      </w:r>
      <w:r>
        <w:rPr>
          <w:rFonts w:hint="cs"/>
          <w:rtl/>
        </w:rPr>
        <w:t>"ה ע"ב ד"ה והמסתת</w:t>
      </w:r>
      <w:bookmarkEnd w:id="5030"/>
      <w:bookmarkEnd w:id="5031"/>
      <w:r w:rsidRPr="00421A47">
        <w:rPr>
          <w:vanish/>
          <w:rtl/>
        </w:rPr>
        <w:t xml:space="preserve"> (ב)</w:t>
      </w:r>
    </w:p>
    <w:p w14:paraId="664E9CC1" w14:textId="77777777" w:rsidR="00A14FDA" w:rsidRPr="00E30FE9" w:rsidRDefault="00A14FDA" w:rsidP="00A14FDA">
      <w:pPr>
        <w:pStyle w:val="a7"/>
        <w:rPr>
          <w:rtl/>
        </w:rPr>
      </w:pPr>
      <w:bookmarkStart w:id="5032" w:name="_Toc144225232"/>
      <w:r>
        <w:rPr>
          <w:rFonts w:hint="cs"/>
          <w:rtl/>
        </w:rPr>
        <w:t>בי' רש"י דמכב"פ הוא ההכאה על הסדן להחליק הקורנס וקו' הראשונים דרק לרשב"ג חייב</w:t>
      </w:r>
      <w:bookmarkEnd w:id="5032"/>
    </w:p>
    <w:p w14:paraId="70E08A27" w14:textId="6EFC697F" w:rsidR="00A14FDA" w:rsidRPr="009F0C2B" w:rsidRDefault="00A14FDA" w:rsidP="00BC7DC8">
      <w:pPr>
        <w:pStyle w:val="a3"/>
        <w:rPr>
          <w:rtl/>
        </w:rPr>
      </w:pPr>
      <w:bookmarkStart w:id="5033" w:name="_Ref143806528"/>
      <w:r w:rsidRPr="009F0C2B">
        <w:rPr>
          <w:rFonts w:hint="cs"/>
          <w:rtl/>
        </w:rPr>
        <w:t xml:space="preserve">כתב </w:t>
      </w:r>
      <w:r w:rsidRPr="00255628">
        <w:rPr>
          <w:rFonts w:hint="cs"/>
          <w:vanish/>
          <w:rtl/>
        </w:rPr>
        <w:t xml:space="preserve">&lt;, </w:t>
      </w:r>
      <w:r w:rsidRPr="00255628">
        <w:rPr>
          <w:vanish/>
          <w:rtl/>
        </w:rPr>
        <w:fldChar w:fldCharType="begin"/>
      </w:r>
      <w:r w:rsidRPr="00255628">
        <w:rPr>
          <w:vanish/>
          <w:rtl/>
        </w:rPr>
        <w:instrText xml:space="preserve"> </w:instrText>
      </w:r>
      <w:r w:rsidRPr="00255628">
        <w:rPr>
          <w:rFonts w:hint="cs"/>
          <w:vanish/>
        </w:rPr>
        <w:instrText>REF</w:instrText>
      </w:r>
      <w:r w:rsidRPr="00255628">
        <w:rPr>
          <w:rFonts w:hint="cs"/>
          <w:vanish/>
          <w:rtl/>
        </w:rPr>
        <w:instrText xml:space="preserve"> _</w:instrText>
      </w:r>
      <w:r w:rsidRPr="00255628">
        <w:rPr>
          <w:rFonts w:hint="cs"/>
          <w:vanish/>
        </w:rPr>
        <w:instrText>Ref143806528 \r \h</w:instrText>
      </w:r>
      <w:r w:rsidRPr="00255628">
        <w:rPr>
          <w:vanish/>
          <w:rtl/>
        </w:rPr>
        <w:instrText xml:space="preserve"> </w:instrText>
      </w:r>
      <w:r w:rsidRPr="00255628">
        <w:rPr>
          <w:vanish/>
          <w:rtl/>
        </w:rPr>
      </w:r>
      <w:r w:rsidRPr="00255628">
        <w:rPr>
          <w:vanish/>
          <w:rtl/>
        </w:rPr>
        <w:fldChar w:fldCharType="separate"/>
      </w:r>
      <w:r w:rsidR="00D82181">
        <w:rPr>
          <w:vanish/>
          <w:cs/>
        </w:rPr>
        <w:t>‎</w:t>
      </w:r>
      <w:r w:rsidR="00D82181">
        <w:rPr>
          <w:vanish/>
          <w:rtl/>
        </w:rPr>
        <w:t>ה)</w:t>
      </w:r>
      <w:r w:rsidRPr="00255628">
        <w:rPr>
          <w:vanish/>
          <w:rtl/>
        </w:rPr>
        <w:fldChar w:fldCharType="end"/>
      </w:r>
      <w:r w:rsidRPr="00255628">
        <w:rPr>
          <w:rFonts w:hint="cs"/>
          <w:vanish/>
          <w:rtl/>
        </w:rPr>
        <w:t xml:space="preserve"> &gt;</w:t>
      </w:r>
      <w:r w:rsidRPr="00255628">
        <w:rPr>
          <w:rStyle w:val="aff4"/>
          <w:rFonts w:hint="cs"/>
          <w:vanish/>
          <w:rtl/>
        </w:rPr>
        <w:t>-</w:t>
      </w:r>
      <w:r w:rsidRPr="00255628">
        <w:rPr>
          <w:rStyle w:val="aff4"/>
          <w:rFonts w:hint="cs"/>
          <w:rtl/>
        </w:rPr>
        <w:t>רש"י במתני' לעיל</w:t>
      </w:r>
      <w:r w:rsidRPr="00255628">
        <w:rPr>
          <w:rStyle w:val="aff4"/>
          <w:rFonts w:hint="cs"/>
          <w:vanish/>
          <w:rtl/>
        </w:rPr>
        <w:t>-</w:t>
      </w:r>
      <w:r w:rsidRPr="009F0C2B">
        <w:rPr>
          <w:rFonts w:hint="cs"/>
          <w:rtl/>
        </w:rPr>
        <w:t xml:space="preserve"> </w:t>
      </w:r>
      <w:r w:rsidRPr="00C8052D">
        <w:rPr>
          <w:rStyle w:val="af2"/>
          <w:rFonts w:eastAsia="Guttman Hodes" w:hint="cs"/>
          <w:rtl/>
        </w:rPr>
        <w:t>(עג. ד"ה מכה בפטיש)</w:t>
      </w:r>
      <w:r w:rsidRPr="00255628">
        <w:rPr>
          <w:rFonts w:hint="cs"/>
          <w:vanish/>
          <w:rtl/>
        </w:rPr>
        <w:t>=</w:t>
      </w:r>
      <w:r w:rsidRPr="009F0C2B">
        <w:rPr>
          <w:rFonts w:hint="cs"/>
          <w:rtl/>
        </w:rPr>
        <w:t xml:space="preserve"> דמכה בפטיש הוא הגמר של כל מלאכה, דבגמר המלאכה האומן מכה בקורנס על הסדן בכדי להחליק את הקורנס, והחיוב במתני' במכה בפטיש הוא רק בגמר מלאכה</w:t>
      </w:r>
      <w:r>
        <w:rPr>
          <w:rFonts w:hint="cs"/>
          <w:rtl/>
        </w:rPr>
        <w:t xml:space="preserve">, ודחו </w:t>
      </w:r>
      <w:r w:rsidRPr="00255628">
        <w:rPr>
          <w:rStyle w:val="aff4"/>
          <w:rFonts w:hint="cs"/>
          <w:vanish/>
          <w:rtl/>
        </w:rPr>
        <w:t>-</w:t>
      </w:r>
      <w:r w:rsidRPr="00255628">
        <w:rPr>
          <w:rStyle w:val="aff4"/>
          <w:rFonts w:hint="cs"/>
          <w:rtl/>
        </w:rPr>
        <w:t>ה</w:t>
      </w:r>
      <w:r w:rsidRPr="00255628">
        <w:rPr>
          <w:rStyle w:val="aff4"/>
          <w:rFonts w:hint="cs"/>
          <w:vanish/>
          <w:rtl/>
        </w:rPr>
        <w:t>&lt; &gt;</w:t>
      </w:r>
      <w:r w:rsidRPr="00255628">
        <w:rPr>
          <w:rStyle w:val="aff4"/>
          <w:rFonts w:hint="cs"/>
          <w:rtl/>
        </w:rPr>
        <w:t>ריטב"א</w:t>
      </w:r>
      <w:r w:rsidRPr="002B5964">
        <w:rPr>
          <w:rStyle w:val="aff4"/>
          <w:rFonts w:hint="cs"/>
          <w:rtl/>
        </w:rPr>
        <w:t xml:space="preserve"> לעיל</w:t>
      </w:r>
      <w:r w:rsidRPr="00255628">
        <w:rPr>
          <w:rStyle w:val="aff4"/>
          <w:rFonts w:hint="cs"/>
          <w:vanish/>
          <w:rtl/>
        </w:rPr>
        <w:t>-</w:t>
      </w:r>
      <w:r w:rsidRPr="00255628">
        <w:rPr>
          <w:rStyle w:val="aff4"/>
          <w:rFonts w:hint="cs"/>
          <w:rtl/>
        </w:rPr>
        <w:t xml:space="preserve"> </w:t>
      </w:r>
      <w:r w:rsidRPr="00C8052D">
        <w:rPr>
          <w:rStyle w:val="af2"/>
          <w:rFonts w:eastAsia="Guttman Hodes" w:hint="cs"/>
          <w:rtl/>
        </w:rPr>
        <w:t>(עג. ד"ה המכה)</w:t>
      </w:r>
      <w:r w:rsidRPr="00255628">
        <w:rPr>
          <w:rStyle w:val="aff4"/>
          <w:rFonts w:hint="cs"/>
          <w:vanish/>
          <w:rtl/>
        </w:rPr>
        <w:t>=</w:t>
      </w:r>
      <w:r w:rsidRPr="00255628">
        <w:rPr>
          <w:rStyle w:val="aff4"/>
          <w:rFonts w:hint="cs"/>
          <w:rtl/>
        </w:rPr>
        <w:t xml:space="preserve"> </w:t>
      </w:r>
      <w:r w:rsidRPr="00255628">
        <w:rPr>
          <w:rStyle w:val="aff4"/>
          <w:rFonts w:hint="cs"/>
          <w:vanish/>
          <w:rtl/>
        </w:rPr>
        <w:t>-</w:t>
      </w:r>
      <w:r w:rsidRPr="002B5964">
        <w:rPr>
          <w:rStyle w:val="aff4"/>
          <w:rFonts w:hint="cs"/>
          <w:rtl/>
        </w:rPr>
        <w:t>וה</w:t>
      </w:r>
      <w:r w:rsidRPr="00255628">
        <w:rPr>
          <w:rFonts w:hint="cs"/>
          <w:vanish/>
          <w:rtl/>
        </w:rPr>
        <w:t>&lt; &gt;</w:t>
      </w:r>
      <w:r w:rsidRPr="002B5964">
        <w:rPr>
          <w:rStyle w:val="aff4"/>
          <w:rFonts w:hint="cs"/>
          <w:rtl/>
        </w:rPr>
        <w:t>ר"ן</w:t>
      </w:r>
      <w:r>
        <w:rPr>
          <w:rFonts w:hint="cs"/>
          <w:rtl/>
        </w:rPr>
        <w:t xml:space="preserve"> </w:t>
      </w:r>
      <w:r w:rsidRPr="002B5964">
        <w:rPr>
          <w:rStyle w:val="aff4"/>
          <w:rFonts w:hint="cs"/>
          <w:rtl/>
        </w:rPr>
        <w:t>לעיל</w:t>
      </w:r>
      <w:r w:rsidRPr="00255628">
        <w:rPr>
          <w:rStyle w:val="aff4"/>
          <w:rFonts w:hint="cs"/>
          <w:vanish/>
          <w:rtl/>
        </w:rPr>
        <w:t>-</w:t>
      </w:r>
      <w:r w:rsidRPr="00255628">
        <w:rPr>
          <w:rStyle w:val="aff4"/>
          <w:rFonts w:hint="cs"/>
          <w:rtl/>
        </w:rPr>
        <w:t xml:space="preserve"> </w:t>
      </w:r>
      <w:r w:rsidRPr="00C8052D">
        <w:rPr>
          <w:rStyle w:val="af2"/>
          <w:rFonts w:eastAsia="Guttman Hodes" w:hint="cs"/>
          <w:rtl/>
        </w:rPr>
        <w:t>(עג. ד"ה והמכה)</w:t>
      </w:r>
      <w:r w:rsidRPr="006C6C2C">
        <w:rPr>
          <w:rFonts w:hint="cs"/>
          <w:vanish/>
          <w:rtl/>
        </w:rPr>
        <w:t>=</w:t>
      </w:r>
      <w:r w:rsidRPr="006C6C2C">
        <w:rPr>
          <w:rFonts w:hint="cs"/>
          <w:rtl/>
        </w:rPr>
        <w:t xml:space="preserve"> דבמתני' בסוגיין מבואר דהיא מלאכה רק לרשב"ג ולא לרבנן, </w:t>
      </w:r>
      <w:r w:rsidRPr="00255628">
        <w:rPr>
          <w:rStyle w:val="aff4"/>
          <w:rFonts w:hint="cs"/>
          <w:vanish/>
          <w:rtl/>
        </w:rPr>
        <w:t>-</w:t>
      </w:r>
      <w:r w:rsidRPr="006C6C2C">
        <w:rPr>
          <w:rStyle w:val="aff4"/>
          <w:rFonts w:hint="cs"/>
          <w:rtl/>
        </w:rPr>
        <w:t>וב</w:t>
      </w:r>
      <w:r w:rsidRPr="00255628">
        <w:rPr>
          <w:rFonts w:hint="cs"/>
          <w:vanish/>
          <w:rtl/>
        </w:rPr>
        <w:t>&lt; &gt;</w:t>
      </w:r>
      <w:r w:rsidRPr="006C6C2C">
        <w:rPr>
          <w:rStyle w:val="aff4"/>
          <w:rFonts w:hint="cs"/>
          <w:rtl/>
        </w:rPr>
        <w:t>פסקי הרי"ד לעיל</w:t>
      </w:r>
      <w:r w:rsidRPr="00255628">
        <w:rPr>
          <w:rFonts w:hint="cs"/>
          <w:vanish/>
          <w:rtl/>
        </w:rPr>
        <w:t>-</w:t>
      </w:r>
      <w:r>
        <w:rPr>
          <w:rFonts w:hint="cs"/>
          <w:rtl/>
        </w:rPr>
        <w:t xml:space="preserve"> </w:t>
      </w:r>
      <w:r w:rsidRPr="00C8052D">
        <w:rPr>
          <w:rStyle w:val="af2"/>
          <w:rFonts w:eastAsia="Guttman Hodes" w:hint="cs"/>
          <w:rtl/>
        </w:rPr>
        <w:t>(עה: ד"ה והמסתת)</w:t>
      </w:r>
      <w:r w:rsidRPr="00255628">
        <w:rPr>
          <w:rFonts w:hint="cs"/>
          <w:vanish/>
          <w:rtl/>
        </w:rPr>
        <w:t>=</w:t>
      </w:r>
      <w:r>
        <w:rPr>
          <w:rFonts w:hint="cs"/>
          <w:rtl/>
        </w:rPr>
        <w:t xml:space="preserve"> הוסיף להקשות דהגמ' לקמן </w:t>
      </w:r>
      <w:r w:rsidRPr="00C8052D">
        <w:rPr>
          <w:rStyle w:val="af2"/>
          <w:rFonts w:eastAsia="Guttman Hodes" w:hint="cs"/>
          <w:rtl/>
        </w:rPr>
        <w:t>(קג.)</w:t>
      </w:r>
      <w:r>
        <w:rPr>
          <w:rFonts w:hint="cs"/>
          <w:rtl/>
        </w:rPr>
        <w:t xml:space="preserve"> מקשה דמכה על הסדן מאי קעביד, ואילו מכה בפטיש ודאי דעביד מלאכה, דהוא מתקן את הכלי, וע"ע במ"ש כתב</w:t>
      </w:r>
      <w:r>
        <w:rPr>
          <w:rtl/>
        </w:rPr>
        <w:t xml:space="preserve"> </w:t>
      </w:r>
      <w:r w:rsidRPr="00F31F55">
        <w:rPr>
          <w:b/>
          <w:bCs/>
          <w:rtl/>
        </w:rPr>
        <w:t>ה</w:t>
      </w:r>
      <w:r>
        <w:rPr>
          <w:rFonts w:hint="cs"/>
          <w:b/>
          <w:bCs/>
          <w:rtl/>
        </w:rPr>
        <w:t>ערוך השולחן</w:t>
      </w:r>
      <w:r w:rsidRPr="00F31F55">
        <w:rPr>
          <w:b/>
          <w:bCs/>
          <w:rtl/>
        </w:rPr>
        <w:t xml:space="preserve"> </w:t>
      </w:r>
      <w:r w:rsidRPr="00C8052D">
        <w:rPr>
          <w:rStyle w:val="af2"/>
          <w:rFonts w:eastAsia="Guttman Hodes"/>
          <w:rtl/>
        </w:rPr>
        <w:t>(</w:t>
      </w:r>
      <w:r>
        <w:rPr>
          <w:rStyle w:val="af2"/>
          <w:rFonts w:eastAsia="Guttman Hodes" w:hint="cs"/>
          <w:rtl/>
        </w:rPr>
        <w:t xml:space="preserve">עי' אות </w:t>
      </w:r>
      <w:r w:rsidRPr="00563E0C">
        <w:rPr>
          <w:rStyle w:val="af2"/>
          <w:rFonts w:eastAsia="Guttman Hodes"/>
          <w:rtl/>
        </w:rPr>
        <w:fldChar w:fldCharType="begin"/>
      </w:r>
      <w:r w:rsidRPr="00563E0C">
        <w:rPr>
          <w:rStyle w:val="af2"/>
          <w:rFonts w:eastAsia="Guttman Hodes"/>
          <w:rtl/>
        </w:rPr>
        <w:instrText xml:space="preserve"> </w:instrText>
      </w:r>
      <w:r w:rsidRPr="00563E0C">
        <w:rPr>
          <w:rStyle w:val="af2"/>
          <w:rFonts w:eastAsia="Guttman Hodes"/>
        </w:rPr>
        <w:instrText>REF</w:instrText>
      </w:r>
      <w:r w:rsidRPr="00563E0C">
        <w:rPr>
          <w:rStyle w:val="af2"/>
          <w:rFonts w:eastAsia="Guttman Hodes"/>
          <w:rtl/>
        </w:rPr>
        <w:instrText xml:space="preserve"> _</w:instrText>
      </w:r>
      <w:r w:rsidRPr="00563E0C">
        <w:rPr>
          <w:rStyle w:val="af2"/>
          <w:rFonts w:eastAsia="Guttman Hodes"/>
        </w:rPr>
        <w:instrText>Ref144064696 \r \h</w:instrText>
      </w:r>
      <w:r w:rsidRPr="00563E0C">
        <w:rPr>
          <w:rStyle w:val="af2"/>
          <w:rFonts w:eastAsia="Guttman Hodes"/>
          <w:rtl/>
        </w:rPr>
        <w:instrText xml:space="preserve"> </w:instrText>
      </w:r>
      <w:r w:rsidRPr="00563E0C">
        <w:rPr>
          <w:rStyle w:val="af2"/>
          <w:rFonts w:eastAsia="Guttman Hodes"/>
          <w:rtl/>
        </w:rPr>
      </w:r>
      <w:r w:rsidRPr="00563E0C">
        <w:rPr>
          <w:rStyle w:val="af2"/>
          <w:rFonts w:eastAsia="Guttman Hodes"/>
          <w:rtl/>
        </w:rPr>
        <w:fldChar w:fldCharType="separate"/>
      </w:r>
      <w:r w:rsidR="00D82181">
        <w:rPr>
          <w:rStyle w:val="af2"/>
          <w:rFonts w:eastAsia="Guttman Hodes"/>
          <w:cs/>
        </w:rPr>
        <w:t>‎</w:t>
      </w:r>
      <w:r w:rsidR="00D82181">
        <w:rPr>
          <w:rStyle w:val="af2"/>
          <w:rFonts w:eastAsia="Guttman Hodes"/>
          <w:rtl/>
        </w:rPr>
        <w:t>כ)</w:t>
      </w:r>
      <w:r w:rsidRPr="00563E0C">
        <w:rPr>
          <w:rStyle w:val="af2"/>
          <w:rFonts w:eastAsia="Guttman Hodes"/>
          <w:rtl/>
        </w:rPr>
        <w:fldChar w:fldCharType="end"/>
      </w:r>
      <w:r>
        <w:rPr>
          <w:rFonts w:hint="cs"/>
          <w:rtl/>
        </w:rPr>
        <w:t xml:space="preserve"> בדברי</w:t>
      </w:r>
      <w:r w:rsidRPr="00D84E49">
        <w:rPr>
          <w:b/>
          <w:bCs/>
          <w:rtl/>
        </w:rPr>
        <w:t xml:space="preserve"> </w:t>
      </w:r>
      <w:r>
        <w:rPr>
          <w:rFonts w:hint="cs"/>
          <w:b/>
          <w:bCs/>
          <w:rtl/>
        </w:rPr>
        <w:t>רש"י</w:t>
      </w:r>
      <w:r w:rsidRPr="009F0C2B">
        <w:rPr>
          <w:rFonts w:hint="cs"/>
          <w:rtl/>
        </w:rPr>
        <w:t>.</w:t>
      </w:r>
      <w:bookmarkEnd w:id="5033"/>
    </w:p>
    <w:p w14:paraId="7120E58A" w14:textId="77777777" w:rsidR="00A14FDA" w:rsidRPr="00BC7DC8" w:rsidRDefault="00A14FDA" w:rsidP="00A14FDA">
      <w:pPr>
        <w:pStyle w:val="afffffe"/>
        <w:rPr>
          <w:vanish/>
          <w:rtl/>
        </w:rPr>
      </w:pPr>
      <w:r w:rsidRPr="00BC7DC8">
        <w:rPr>
          <w:vanish/>
          <w:rtl/>
        </w:rPr>
        <w:t>רש"י שבת ע"ג ע"א</w:t>
      </w:r>
      <w:r w:rsidRPr="00BC7DC8">
        <w:rPr>
          <w:rFonts w:hint="cs"/>
          <w:vanish/>
          <w:rtl/>
        </w:rPr>
        <w:t xml:space="preserve"> ד"ה מכה בפטיש</w:t>
      </w:r>
    </w:p>
    <w:p w14:paraId="1612C437" w14:textId="77777777" w:rsidR="00A14FDA" w:rsidRPr="00D87F8B" w:rsidRDefault="00A14FDA" w:rsidP="00A14FDA">
      <w:pPr>
        <w:pStyle w:val="a2"/>
        <w:rPr>
          <w:rtl/>
        </w:rPr>
      </w:pPr>
      <w:r w:rsidRPr="00D87F8B">
        <w:rPr>
          <w:rtl/>
        </w:rPr>
        <w:t>מכה בפטיש - הוא גמר כל מלאכה, שכן אומן מכה בקורנס על הסדן להחליקו בגמר מלאכה, ומתניתין נמי לא מיחייב ליה אלא בגמר מלאכה.</w:t>
      </w:r>
    </w:p>
    <w:p w14:paraId="68FE26CE" w14:textId="77777777" w:rsidR="00A14FDA" w:rsidRPr="00D258E3" w:rsidRDefault="00A14FDA" w:rsidP="00A14FDA">
      <w:pPr>
        <w:pStyle w:val="afffffb"/>
        <w:rPr>
          <w:rtl/>
        </w:rPr>
      </w:pPr>
      <w:r w:rsidRPr="00D258E3">
        <w:rPr>
          <w:rtl/>
        </w:rPr>
        <w:t>חדושי הריטב"א שבת ע"ג ע"א</w:t>
      </w:r>
      <w:r w:rsidRPr="00D258E3">
        <w:rPr>
          <w:rFonts w:hint="cs"/>
          <w:rtl/>
        </w:rPr>
        <w:t xml:space="preserve"> ד"ה המכה</w:t>
      </w:r>
    </w:p>
    <w:p w14:paraId="792388D8" w14:textId="77777777" w:rsidR="00A14FDA" w:rsidRPr="00806C89" w:rsidRDefault="00A14FDA" w:rsidP="00A14FDA">
      <w:pPr>
        <w:pStyle w:val="afffff5"/>
        <w:rPr>
          <w:rtl/>
        </w:rPr>
      </w:pPr>
      <w:r w:rsidRPr="00806C89">
        <w:rPr>
          <w:rtl/>
        </w:rPr>
        <w:t>המכה בפטיש. פרש"י ז"ל שכן אומן מכה על הסדן בגמר מלאכה ומכה בפטיש נמי לא מחייב אלא בגמר מלאכה, ואין לשון זה מחוור כי מלאכה זו דאומן המכה בפטיש על הסדן לבטלה בגמר מלאכה אינה חשובה לרבנן, ורשב"ג הוא דמחייב עלה ורבנן פליגי עלה כדאיתא בפרק הבונה (ק"ב ב')</w:t>
      </w:r>
      <w:r w:rsidRPr="00806C89">
        <w:rPr>
          <w:rFonts w:hint="cs"/>
          <w:rtl/>
        </w:rPr>
        <w:t>.</w:t>
      </w:r>
    </w:p>
    <w:p w14:paraId="6345C8C4" w14:textId="77777777" w:rsidR="00A14FDA" w:rsidRPr="00D258E3" w:rsidRDefault="00A14FDA" w:rsidP="00A14FDA">
      <w:pPr>
        <w:pStyle w:val="afffffb"/>
      </w:pPr>
      <w:r w:rsidRPr="00D258E3">
        <w:rPr>
          <w:rFonts w:hint="cs"/>
          <w:rtl/>
        </w:rPr>
        <w:t>חדושי הר"ן שבת ע"ג ע"א ד"ה והמכה</w:t>
      </w:r>
    </w:p>
    <w:p w14:paraId="0734029D" w14:textId="77777777" w:rsidR="00A14FDA" w:rsidRPr="00806C89" w:rsidRDefault="00A14FDA" w:rsidP="00A14FDA">
      <w:pPr>
        <w:pStyle w:val="afffff5"/>
        <w:rPr>
          <w:rtl/>
        </w:rPr>
      </w:pPr>
      <w:r w:rsidRPr="00806C89">
        <w:rPr>
          <w:rtl/>
        </w:rPr>
        <w:t>והמכה בפטיש. פרש"י ז"ל משום גמר מלאכה שכן האומן מכה על הסדן בשעת גמר מלאכה. ולא מחוור דהא בפרק הבונה תנן המסתת והמכה בפטיש ועלה קתני סיפא רשב"ג אומר אף המכה בקורנס על הסדן בשעת גמר מלאכה אלמא דלאו היינו מכה בפטיש.</w:t>
      </w:r>
    </w:p>
    <w:p w14:paraId="7154FABA" w14:textId="77777777" w:rsidR="00A14FDA" w:rsidRPr="00BC7DC8" w:rsidRDefault="00A14FDA" w:rsidP="00A14FDA">
      <w:pPr>
        <w:pStyle w:val="afffffe"/>
        <w:rPr>
          <w:vanish/>
          <w:rtl/>
        </w:rPr>
      </w:pPr>
      <w:r w:rsidRPr="00BC7DC8">
        <w:rPr>
          <w:vanish/>
          <w:rtl/>
        </w:rPr>
        <w:t>פסקי רי"ד שבת ע</w:t>
      </w:r>
      <w:r w:rsidRPr="00BC7DC8">
        <w:rPr>
          <w:rFonts w:hint="cs"/>
          <w:vanish/>
          <w:rtl/>
        </w:rPr>
        <w:t>"ה ע"ב ד"ה והמסתת</w:t>
      </w:r>
    </w:p>
    <w:p w14:paraId="6423AC87" w14:textId="77777777" w:rsidR="00A14FDA" w:rsidRPr="00806C89" w:rsidRDefault="00A14FDA" w:rsidP="00A14FDA">
      <w:pPr>
        <w:pStyle w:val="afffff5"/>
        <w:rPr>
          <w:rtl/>
        </w:rPr>
      </w:pPr>
      <w:r w:rsidRPr="00806C89">
        <w:rPr>
          <w:rtl/>
        </w:rPr>
        <w:t>ומכה בפטיש, פירש המורה שכן אומן מכה בקורנס על הסדן בגמר מלאכה. ואינו נראה לי, דאחר הוא המכה בקורנס על הסדן ממכה בפטיש, דהא לקמן בפרק הבונה תנן המסתת והמכה בפטיש ובמעצד והקודח כל שהוא חייב כול' עד רבן שמעון בן גמליאל אומ' אף המכה בקורנס על הסדן בשעת גמר מלאכה חייב מפני שהוא כמתקן מלאכה. אלא אחר הוא זה מזה, דמכה בפטיש אינו מכה על הסדן אלא על הכלי, והתם בעי מכה על הסדן מאי קא עביד, [דמכה בפטיש ודאי קא עביד, דמתקן מנא</w:t>
      </w:r>
      <w:r w:rsidRPr="00806C89">
        <w:rPr>
          <w:rFonts w:hint="cs"/>
          <w:rtl/>
        </w:rPr>
        <w:t>]</w:t>
      </w:r>
      <w:r w:rsidRPr="00806C89">
        <w:rPr>
          <w:rtl/>
        </w:rPr>
        <w:t>.</w:t>
      </w:r>
    </w:p>
    <w:p w14:paraId="479E93BB" w14:textId="77777777" w:rsidR="00A14FDA" w:rsidRDefault="00A14FDA" w:rsidP="00A14FDA">
      <w:pPr>
        <w:pStyle w:val="a7"/>
        <w:rPr>
          <w:rtl/>
        </w:rPr>
      </w:pPr>
      <w:bookmarkStart w:id="5034" w:name="_Toc144225233"/>
      <w:r>
        <w:rPr>
          <w:rFonts w:hint="cs"/>
          <w:rtl/>
        </w:rPr>
        <w:t>קו' הרמב"ן על רש"י דההכאה על הסדן בגמר המלאכה אינה מלאכה כלל ועושה כן לאמן ידיו</w:t>
      </w:r>
      <w:bookmarkEnd w:id="5034"/>
    </w:p>
    <w:p w14:paraId="29963ADC" w14:textId="07A3C231" w:rsidR="00A14FDA" w:rsidRPr="00940A16" w:rsidRDefault="00A14FDA" w:rsidP="00BC7DC8">
      <w:pPr>
        <w:pStyle w:val="a3"/>
        <w:rPr>
          <w:rtl/>
        </w:rPr>
      </w:pPr>
      <w:bookmarkStart w:id="5035" w:name="_Ref143809910"/>
      <w:r w:rsidRPr="00255628">
        <w:rPr>
          <w:rStyle w:val="aff4"/>
          <w:rFonts w:hint="cs"/>
          <w:vanish/>
          <w:rtl/>
        </w:rPr>
        <w:t>-</w:t>
      </w:r>
      <w:r w:rsidRPr="00255628">
        <w:rPr>
          <w:rStyle w:val="aff4"/>
          <w:rFonts w:hint="cs"/>
          <w:rtl/>
        </w:rPr>
        <w:t>וה</w:t>
      </w:r>
      <w:r w:rsidRPr="00255628">
        <w:rPr>
          <w:rStyle w:val="aff4"/>
          <w:rFonts w:hint="cs"/>
          <w:vanish/>
          <w:rtl/>
        </w:rPr>
        <w:t xml:space="preserve">&lt;, </w:t>
      </w:r>
      <w:r w:rsidRPr="00255628">
        <w:rPr>
          <w:rStyle w:val="aff4"/>
          <w:vanish/>
          <w:rtl/>
        </w:rPr>
        <w:fldChar w:fldCharType="begin"/>
      </w:r>
      <w:r w:rsidRPr="00255628">
        <w:rPr>
          <w:rStyle w:val="aff4"/>
          <w:vanish/>
          <w:rtl/>
        </w:rPr>
        <w:instrText xml:space="preserve"> </w:instrText>
      </w:r>
      <w:r w:rsidRPr="00255628">
        <w:rPr>
          <w:rStyle w:val="aff4"/>
          <w:rFonts w:hint="cs"/>
          <w:vanish/>
        </w:rPr>
        <w:instrText>REF</w:instrText>
      </w:r>
      <w:r w:rsidRPr="00255628">
        <w:rPr>
          <w:rStyle w:val="aff4"/>
          <w:rFonts w:hint="cs"/>
          <w:vanish/>
          <w:rtl/>
        </w:rPr>
        <w:instrText xml:space="preserve"> _</w:instrText>
      </w:r>
      <w:r w:rsidRPr="00255628">
        <w:rPr>
          <w:rStyle w:val="aff4"/>
          <w:rFonts w:hint="cs"/>
          <w:vanish/>
        </w:rPr>
        <w:instrText>Ref143809910 \r \h</w:instrText>
      </w:r>
      <w:r w:rsidRPr="00255628">
        <w:rPr>
          <w:rStyle w:val="aff4"/>
          <w:vanish/>
          <w:rtl/>
        </w:rPr>
        <w:instrText xml:space="preserve"> </w:instrText>
      </w:r>
      <w:r w:rsidRPr="00255628">
        <w:rPr>
          <w:rStyle w:val="aff4"/>
          <w:vanish/>
          <w:rtl/>
        </w:rPr>
      </w:r>
      <w:r w:rsidRPr="00255628">
        <w:rPr>
          <w:rStyle w:val="aff4"/>
          <w:vanish/>
          <w:rtl/>
        </w:rPr>
        <w:fldChar w:fldCharType="separate"/>
      </w:r>
      <w:r w:rsidR="00D82181">
        <w:rPr>
          <w:rStyle w:val="aff4"/>
          <w:vanish/>
          <w:cs/>
        </w:rPr>
        <w:t>‎</w:t>
      </w:r>
      <w:r w:rsidR="00D82181">
        <w:rPr>
          <w:rStyle w:val="aff4"/>
          <w:vanish/>
          <w:rtl/>
        </w:rPr>
        <w:t>ו)</w:t>
      </w:r>
      <w:r w:rsidRPr="00255628">
        <w:rPr>
          <w:rStyle w:val="aff4"/>
          <w:vanish/>
          <w:rtl/>
        </w:rPr>
        <w:fldChar w:fldCharType="end"/>
      </w:r>
      <w:r w:rsidRPr="00255628">
        <w:rPr>
          <w:rStyle w:val="aff4"/>
          <w:rFonts w:hint="cs"/>
          <w:vanish/>
          <w:rtl/>
        </w:rPr>
        <w:t xml:space="preserve"> &gt;</w:t>
      </w:r>
      <w:r w:rsidRPr="00255628">
        <w:rPr>
          <w:rStyle w:val="aff4"/>
          <w:rFonts w:hint="cs"/>
          <w:rtl/>
        </w:rPr>
        <w:t>רמב"ן לעיל</w:t>
      </w:r>
      <w:r w:rsidRPr="00255628">
        <w:rPr>
          <w:rStyle w:val="aff4"/>
          <w:rFonts w:hint="cs"/>
          <w:vanish/>
          <w:rtl/>
        </w:rPr>
        <w:t>-</w:t>
      </w:r>
      <w:r>
        <w:rPr>
          <w:rFonts w:hint="cs"/>
          <w:rtl/>
        </w:rPr>
        <w:t xml:space="preserve"> </w:t>
      </w:r>
      <w:r w:rsidRPr="00C8052D">
        <w:rPr>
          <w:rStyle w:val="af2"/>
          <w:rFonts w:eastAsia="Guttman Hodes" w:hint="cs"/>
          <w:rtl/>
        </w:rPr>
        <w:t>(עג. ד"ה מכה)</w:t>
      </w:r>
      <w:r w:rsidRPr="00255628">
        <w:rPr>
          <w:rFonts w:hint="cs"/>
          <w:vanish/>
          <w:rtl/>
        </w:rPr>
        <w:t>=</w:t>
      </w:r>
      <w:r>
        <w:rPr>
          <w:rFonts w:hint="cs"/>
          <w:rtl/>
        </w:rPr>
        <w:t xml:space="preserve"> הקשה על </w:t>
      </w:r>
      <w:r w:rsidRPr="00255628">
        <w:rPr>
          <w:rStyle w:val="aff4"/>
          <w:rFonts w:hint="cs"/>
          <w:vanish/>
          <w:rtl/>
        </w:rPr>
        <w:t>-</w:t>
      </w:r>
      <w:r w:rsidRPr="00255628">
        <w:rPr>
          <w:rStyle w:val="aff4"/>
          <w:rFonts w:hint="cs"/>
          <w:rtl/>
        </w:rPr>
        <w:t>רש"י</w:t>
      </w:r>
      <w:r w:rsidRPr="00255628">
        <w:rPr>
          <w:rStyle w:val="aff4"/>
          <w:rFonts w:hint="cs"/>
          <w:vanish/>
          <w:rtl/>
        </w:rPr>
        <w:t>-</w:t>
      </w:r>
      <w:r>
        <w:rPr>
          <w:rFonts w:hint="cs"/>
          <w:rtl/>
        </w:rPr>
        <w:t xml:space="preserve"> דההכאה על הסדן בשעת גמר המלאכה אינה מלאכה כלל, אלא עושה כן לאמן את ידיו של האומן, ועוד דבמתני' מפורש דאי"ז מלאכה כלל. </w:t>
      </w:r>
      <w:r w:rsidRPr="00AC67C2">
        <w:rPr>
          <w:rStyle w:val="af"/>
          <w:rFonts w:hint="cs"/>
          <w:rtl/>
        </w:rPr>
        <w:t>[לרבנן דפליגי על רשב"ג</w:t>
      </w:r>
      <w:r w:rsidRPr="005957AC">
        <w:rPr>
          <w:rStyle w:val="af"/>
          <w:rFonts w:hint="cs"/>
          <w:rtl/>
        </w:rPr>
        <w:t>]</w:t>
      </w:r>
      <w:bookmarkEnd w:id="5035"/>
      <w:r w:rsidRPr="005957AC">
        <w:rPr>
          <w:rStyle w:val="af"/>
          <w:rFonts w:hint="cs"/>
          <w:rtl/>
        </w:rPr>
        <w:t>.</w:t>
      </w:r>
    </w:p>
    <w:p w14:paraId="035CE02B" w14:textId="77777777" w:rsidR="00A14FDA" w:rsidRPr="00D258E3" w:rsidRDefault="00A14FDA" w:rsidP="00A14FDA">
      <w:pPr>
        <w:pStyle w:val="afffffb"/>
        <w:rPr>
          <w:rtl/>
        </w:rPr>
      </w:pPr>
      <w:r w:rsidRPr="00D258E3">
        <w:rPr>
          <w:rtl/>
        </w:rPr>
        <w:t>חדושי הרמב"ן שבת ע"ג ע"א</w:t>
      </w:r>
      <w:r w:rsidRPr="00D258E3">
        <w:rPr>
          <w:rFonts w:hint="cs"/>
          <w:rtl/>
        </w:rPr>
        <w:t xml:space="preserve"> ד"ה מכה</w:t>
      </w:r>
    </w:p>
    <w:p w14:paraId="1D1087B9" w14:textId="77777777" w:rsidR="00A14FDA" w:rsidRPr="00D87F8B" w:rsidRDefault="00A14FDA" w:rsidP="00A14FDA">
      <w:pPr>
        <w:pStyle w:val="a2"/>
      </w:pPr>
      <w:r w:rsidRPr="00D87F8B">
        <w:rPr>
          <w:rtl/>
        </w:rPr>
        <w:t>מכה בפטיש פירש"י ז"ל הוי גמר מלאכה שכן האומן מכה על הסדין בשעת גמר מלאכה, ואיני יודע טעם לזה שאין זו גמר מלאכה אלא אימון ידיו של אומן הוא וכה"ג לאו מלאכה היא כדאיתא בהדיא בריש פרק הבונה (ק"ג א')</w:t>
      </w:r>
      <w:r w:rsidRPr="00D87F8B">
        <w:rPr>
          <w:rFonts w:hint="cs"/>
          <w:rtl/>
        </w:rPr>
        <w:t>.</w:t>
      </w:r>
    </w:p>
    <w:p w14:paraId="1E337D3B" w14:textId="77777777" w:rsidR="00A14FDA" w:rsidRDefault="00A14FDA" w:rsidP="00A14FDA">
      <w:pPr>
        <w:pStyle w:val="afffff7"/>
        <w:rPr>
          <w:rtl/>
        </w:rPr>
      </w:pPr>
      <w:bookmarkStart w:id="5036" w:name="_Toc144224630"/>
      <w:bookmarkStart w:id="5037" w:name="_Toc163506178"/>
      <w:r>
        <w:rPr>
          <w:rtl/>
        </w:rPr>
        <w:t>חתם סופר שבת ק"ב ע"ב</w:t>
      </w:r>
      <w:r>
        <w:rPr>
          <w:rFonts w:hint="cs"/>
          <w:rtl/>
        </w:rPr>
        <w:t xml:space="preserve"> ד"ה והנה</w:t>
      </w:r>
      <w:bookmarkEnd w:id="5036"/>
      <w:bookmarkEnd w:id="5037"/>
      <w:r w:rsidRPr="00421A47">
        <w:rPr>
          <w:vanish/>
          <w:rtl/>
        </w:rPr>
        <w:t xml:space="preserve"> (ב)</w:t>
      </w:r>
    </w:p>
    <w:p w14:paraId="3857FCAD" w14:textId="77777777" w:rsidR="00A14FDA" w:rsidRDefault="00A14FDA" w:rsidP="00A14FDA">
      <w:pPr>
        <w:pStyle w:val="afffff7"/>
        <w:rPr>
          <w:rtl/>
        </w:rPr>
      </w:pPr>
      <w:bookmarkStart w:id="5038" w:name="_Toc144224631"/>
      <w:bookmarkStart w:id="5039" w:name="_Toc163506179"/>
      <w:r>
        <w:rPr>
          <w:rtl/>
        </w:rPr>
        <w:t>רש"ש שבת ק"ב ע"ב</w:t>
      </w:r>
      <w:r>
        <w:rPr>
          <w:rFonts w:hint="cs"/>
          <w:rtl/>
        </w:rPr>
        <w:t xml:space="preserve"> ד"ה והנה</w:t>
      </w:r>
      <w:bookmarkEnd w:id="5038"/>
      <w:bookmarkEnd w:id="5039"/>
      <w:r w:rsidRPr="00421A47">
        <w:rPr>
          <w:vanish/>
          <w:rtl/>
        </w:rPr>
        <w:t xml:space="preserve"> (ב)</w:t>
      </w:r>
    </w:p>
    <w:p w14:paraId="22855430" w14:textId="77777777" w:rsidR="00A14FDA" w:rsidRDefault="00A14FDA" w:rsidP="00A14FDA">
      <w:pPr>
        <w:pStyle w:val="a7"/>
        <w:rPr>
          <w:rtl/>
        </w:rPr>
      </w:pPr>
      <w:bookmarkStart w:id="5040" w:name="_Toc144225234"/>
      <w:r>
        <w:rPr>
          <w:rFonts w:hint="cs"/>
          <w:rtl/>
        </w:rPr>
        <w:t>בי' החת"ס והרש"ש ברש"י דרשב"ג הוסיף לאסור הכאה בסדן גם בגמר המלאכה ולא כגי' הרי"ף</w:t>
      </w:r>
      <w:bookmarkEnd w:id="5040"/>
    </w:p>
    <w:p w14:paraId="6FFB7905" w14:textId="403CF2D7" w:rsidR="00A14FDA" w:rsidRPr="00A83C49" w:rsidRDefault="00A14FDA" w:rsidP="00BC7DC8">
      <w:pPr>
        <w:pStyle w:val="a3"/>
        <w:rPr>
          <w:rtl/>
        </w:rPr>
      </w:pPr>
      <w:bookmarkStart w:id="5041" w:name="_Ref143855855"/>
      <w:r>
        <w:rPr>
          <w:rFonts w:hint="cs"/>
          <w:rtl/>
        </w:rPr>
        <w:t xml:space="preserve">ותירצו </w:t>
      </w:r>
      <w:r w:rsidRPr="00255628">
        <w:rPr>
          <w:rStyle w:val="aff4"/>
          <w:rFonts w:hint="cs"/>
          <w:vanish/>
          <w:rtl/>
        </w:rPr>
        <w:t>-</w:t>
      </w:r>
      <w:r w:rsidRPr="00255628">
        <w:rPr>
          <w:rStyle w:val="aff4"/>
          <w:rFonts w:hint="cs"/>
          <w:rtl/>
        </w:rPr>
        <w:t>ה</w:t>
      </w:r>
      <w:r w:rsidRPr="00255628">
        <w:rPr>
          <w:rStyle w:val="aff4"/>
          <w:rFonts w:hint="cs"/>
          <w:vanish/>
          <w:rtl/>
        </w:rPr>
        <w:t xml:space="preserve">&lt;, </w:t>
      </w:r>
      <w:r w:rsidRPr="00255628">
        <w:rPr>
          <w:rStyle w:val="aff4"/>
          <w:vanish/>
          <w:rtl/>
        </w:rPr>
        <w:fldChar w:fldCharType="begin"/>
      </w:r>
      <w:r w:rsidRPr="00255628">
        <w:rPr>
          <w:rStyle w:val="aff4"/>
          <w:vanish/>
          <w:rtl/>
        </w:rPr>
        <w:instrText xml:space="preserve"> </w:instrText>
      </w:r>
      <w:r w:rsidRPr="00255628">
        <w:rPr>
          <w:rStyle w:val="aff4"/>
          <w:rFonts w:hint="cs"/>
          <w:vanish/>
        </w:rPr>
        <w:instrText>REF</w:instrText>
      </w:r>
      <w:r w:rsidRPr="00255628">
        <w:rPr>
          <w:rStyle w:val="aff4"/>
          <w:rFonts w:hint="cs"/>
          <w:vanish/>
          <w:rtl/>
        </w:rPr>
        <w:instrText xml:space="preserve"> _</w:instrText>
      </w:r>
      <w:r w:rsidRPr="00255628">
        <w:rPr>
          <w:rStyle w:val="aff4"/>
          <w:rFonts w:hint="cs"/>
          <w:vanish/>
        </w:rPr>
        <w:instrText>Ref143855855 \r \h</w:instrText>
      </w:r>
      <w:r w:rsidRPr="00255628">
        <w:rPr>
          <w:rStyle w:val="aff4"/>
          <w:vanish/>
          <w:rtl/>
        </w:rPr>
        <w:instrText xml:space="preserve"> </w:instrText>
      </w:r>
      <w:r w:rsidRPr="00255628">
        <w:rPr>
          <w:rStyle w:val="aff4"/>
          <w:vanish/>
          <w:rtl/>
        </w:rPr>
      </w:r>
      <w:r w:rsidRPr="00255628">
        <w:rPr>
          <w:rStyle w:val="aff4"/>
          <w:vanish/>
          <w:rtl/>
        </w:rPr>
        <w:fldChar w:fldCharType="separate"/>
      </w:r>
      <w:r w:rsidR="00D82181">
        <w:rPr>
          <w:rStyle w:val="aff4"/>
          <w:vanish/>
          <w:cs/>
        </w:rPr>
        <w:t>‎</w:t>
      </w:r>
      <w:r w:rsidR="00D82181">
        <w:rPr>
          <w:rStyle w:val="aff4"/>
          <w:vanish/>
          <w:rtl/>
        </w:rPr>
        <w:t>ז)</w:t>
      </w:r>
      <w:r w:rsidRPr="00255628">
        <w:rPr>
          <w:rStyle w:val="aff4"/>
          <w:vanish/>
          <w:rtl/>
        </w:rPr>
        <w:fldChar w:fldCharType="end"/>
      </w:r>
      <w:r w:rsidRPr="00255628">
        <w:rPr>
          <w:rStyle w:val="aff4"/>
          <w:rFonts w:hint="cs"/>
          <w:vanish/>
          <w:rtl/>
        </w:rPr>
        <w:t xml:space="preserve"> &gt;</w:t>
      </w:r>
      <w:r w:rsidRPr="00255628">
        <w:rPr>
          <w:rStyle w:val="aff4"/>
          <w:rFonts w:hint="cs"/>
          <w:rtl/>
        </w:rPr>
        <w:t>חת"ס</w:t>
      </w:r>
      <w:r w:rsidRPr="00255628">
        <w:rPr>
          <w:rStyle w:val="aff4"/>
          <w:rFonts w:hint="cs"/>
          <w:vanish/>
          <w:rtl/>
        </w:rPr>
        <w:t>-</w:t>
      </w:r>
      <w:r>
        <w:rPr>
          <w:rFonts w:hint="cs"/>
          <w:rtl/>
        </w:rPr>
        <w:t xml:space="preserve"> </w:t>
      </w:r>
      <w:r w:rsidRPr="00C8052D">
        <w:rPr>
          <w:rStyle w:val="af2"/>
          <w:rFonts w:eastAsia="Guttman Hodes" w:hint="cs"/>
          <w:rtl/>
        </w:rPr>
        <w:t>(ד"ה והנה)</w:t>
      </w:r>
      <w:r w:rsidRPr="00255628">
        <w:rPr>
          <w:rFonts w:hint="cs"/>
          <w:vanish/>
          <w:rtl/>
        </w:rPr>
        <w:t>=</w:t>
      </w:r>
      <w:r>
        <w:rPr>
          <w:rFonts w:hint="cs"/>
          <w:rtl/>
        </w:rPr>
        <w:t xml:space="preserve"> </w:t>
      </w:r>
      <w:r w:rsidRPr="00255628">
        <w:rPr>
          <w:rStyle w:val="aff4"/>
          <w:rFonts w:hint="cs"/>
          <w:vanish/>
          <w:rtl/>
        </w:rPr>
        <w:t>-</w:t>
      </w:r>
      <w:r w:rsidRPr="00255628">
        <w:rPr>
          <w:rStyle w:val="aff4"/>
          <w:rFonts w:hint="cs"/>
          <w:rtl/>
        </w:rPr>
        <w:t>וה</w:t>
      </w:r>
      <w:r w:rsidRPr="00255628">
        <w:rPr>
          <w:rStyle w:val="aff4"/>
          <w:rFonts w:hint="cs"/>
          <w:vanish/>
          <w:rtl/>
        </w:rPr>
        <w:t>&lt; &gt;</w:t>
      </w:r>
      <w:r w:rsidRPr="00255628">
        <w:rPr>
          <w:rStyle w:val="aff4"/>
          <w:rFonts w:hint="cs"/>
          <w:rtl/>
        </w:rPr>
        <w:t>רש"ש</w:t>
      </w:r>
      <w:r w:rsidRPr="00255628">
        <w:rPr>
          <w:rStyle w:val="aff4"/>
          <w:rFonts w:hint="cs"/>
          <w:vanish/>
          <w:rtl/>
        </w:rPr>
        <w:t>-</w:t>
      </w:r>
      <w:r>
        <w:rPr>
          <w:rFonts w:hint="cs"/>
          <w:rtl/>
        </w:rPr>
        <w:t xml:space="preserve"> </w:t>
      </w:r>
      <w:r w:rsidRPr="00C8052D">
        <w:rPr>
          <w:rStyle w:val="af2"/>
          <w:rFonts w:eastAsia="Guttman Hodes" w:hint="cs"/>
          <w:rtl/>
        </w:rPr>
        <w:t>(ד"ה והנה לפר"י)</w:t>
      </w:r>
      <w:r w:rsidRPr="00255628">
        <w:rPr>
          <w:rFonts w:hint="cs"/>
          <w:vanish/>
          <w:rtl/>
        </w:rPr>
        <w:t>=</w:t>
      </w:r>
      <w:r>
        <w:rPr>
          <w:rFonts w:hint="cs"/>
          <w:rtl/>
        </w:rPr>
        <w:t xml:space="preserve"> דלפי דברי </w:t>
      </w:r>
      <w:r w:rsidRPr="00255628">
        <w:rPr>
          <w:rStyle w:val="aff4"/>
          <w:rFonts w:hint="cs"/>
          <w:vanish/>
          <w:rtl/>
        </w:rPr>
        <w:t>-</w:t>
      </w:r>
      <w:r w:rsidRPr="00255628">
        <w:rPr>
          <w:rStyle w:val="aff4"/>
          <w:rFonts w:hint="cs"/>
          <w:rtl/>
        </w:rPr>
        <w:t>רש"י לעיל</w:t>
      </w:r>
      <w:r w:rsidRPr="00255628">
        <w:rPr>
          <w:rStyle w:val="aff4"/>
          <w:rFonts w:hint="cs"/>
          <w:vanish/>
          <w:rtl/>
        </w:rPr>
        <w:t>-</w:t>
      </w:r>
      <w:r>
        <w:rPr>
          <w:rFonts w:hint="cs"/>
          <w:rtl/>
        </w:rPr>
        <w:t xml:space="preserve"> </w:t>
      </w:r>
      <w:r w:rsidRPr="00C8052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Ref143806528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ה)</w:t>
      </w:r>
      <w:r>
        <w:rPr>
          <w:rStyle w:val="af2"/>
          <w:rFonts w:eastAsia="Guttman Hodes"/>
          <w:rtl/>
        </w:rPr>
        <w:fldChar w:fldCharType="end"/>
      </w:r>
      <w:r>
        <w:rPr>
          <w:rFonts w:hint="cs"/>
          <w:rtl/>
        </w:rPr>
        <w:t xml:space="preserve"> דמכה בפטיש היינו על הסדן, צ"ל דרשב"ג הוסיף מכה בפטיש אף בשעת גמר המלאכה, ולא רק בגמר המלאכה, וכגירסא דלפנינו "בשעת מלאכה", וכן משמע</w:t>
      </w:r>
      <w:bookmarkEnd w:id="5041"/>
      <w:r>
        <w:rPr>
          <w:rFonts w:hint="cs"/>
          <w:rtl/>
        </w:rPr>
        <w:t xml:space="preserve"> מדברי </w:t>
      </w:r>
      <w:r w:rsidRPr="00255628">
        <w:rPr>
          <w:rStyle w:val="aff4"/>
          <w:rFonts w:hint="cs"/>
          <w:vanish/>
          <w:rtl/>
        </w:rPr>
        <w:t>-</w:t>
      </w:r>
      <w:r w:rsidRPr="00255628">
        <w:rPr>
          <w:rStyle w:val="aff4"/>
          <w:rFonts w:hint="cs"/>
          <w:rtl/>
        </w:rPr>
        <w:t>רש"י</w:t>
      </w:r>
      <w:r w:rsidRPr="00255628">
        <w:rPr>
          <w:rStyle w:val="aff4"/>
          <w:rFonts w:hint="cs"/>
          <w:vanish/>
          <w:rtl/>
        </w:rPr>
        <w:t>-</w:t>
      </w:r>
      <w:r>
        <w:rPr>
          <w:rFonts w:hint="cs"/>
          <w:rtl/>
        </w:rPr>
        <w:t xml:space="preserve"> </w:t>
      </w:r>
      <w:r w:rsidRPr="00C8052D">
        <w:rPr>
          <w:rStyle w:val="af2"/>
          <w:rFonts w:eastAsia="Guttman Hodes" w:hint="cs"/>
          <w:rtl/>
        </w:rPr>
        <w:t>(קג. ד"ה עושין)</w:t>
      </w:r>
      <w:r w:rsidRPr="00255628">
        <w:rPr>
          <w:rFonts w:hint="cs"/>
          <w:vanish/>
          <w:rtl/>
        </w:rPr>
        <w:t>=</w:t>
      </w:r>
      <w:r>
        <w:rPr>
          <w:rFonts w:hint="cs"/>
          <w:rtl/>
        </w:rPr>
        <w:t xml:space="preserve">, </w:t>
      </w:r>
      <w:r w:rsidRPr="00255628">
        <w:rPr>
          <w:rStyle w:val="aff4"/>
          <w:rFonts w:hint="cs"/>
          <w:vanish/>
          <w:rtl/>
        </w:rPr>
        <w:t>-</w:t>
      </w:r>
      <w:r w:rsidRPr="00255628">
        <w:rPr>
          <w:rStyle w:val="aff4"/>
          <w:rFonts w:hint="cs"/>
          <w:rtl/>
        </w:rPr>
        <w:t>והר"ן</w:t>
      </w:r>
      <w:r w:rsidRPr="00255628">
        <w:rPr>
          <w:rStyle w:val="aff4"/>
          <w:rFonts w:hint="cs"/>
          <w:vanish/>
          <w:rtl/>
        </w:rPr>
        <w:t>-</w:t>
      </w:r>
      <w:r>
        <w:rPr>
          <w:rFonts w:hint="cs"/>
          <w:rtl/>
        </w:rPr>
        <w:t xml:space="preserve"> </w:t>
      </w:r>
      <w:r w:rsidRPr="00C8052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Ref143806528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ה)</w:t>
      </w:r>
      <w:r>
        <w:rPr>
          <w:rStyle w:val="af2"/>
          <w:rFonts w:eastAsia="Guttman Hodes"/>
          <w:rtl/>
        </w:rPr>
        <w:fldChar w:fldCharType="end"/>
      </w:r>
      <w:r>
        <w:rPr>
          <w:rFonts w:hint="cs"/>
          <w:rtl/>
        </w:rPr>
        <w:t xml:space="preserve"> שהקשה על </w:t>
      </w:r>
      <w:r w:rsidRPr="00255628">
        <w:rPr>
          <w:rStyle w:val="aff4"/>
          <w:rFonts w:hint="cs"/>
          <w:vanish/>
          <w:rtl/>
        </w:rPr>
        <w:t>-</w:t>
      </w:r>
      <w:r w:rsidRPr="00255628">
        <w:rPr>
          <w:rStyle w:val="aff4"/>
          <w:rFonts w:hint="cs"/>
          <w:rtl/>
        </w:rPr>
        <w:t>רש"י</w:t>
      </w:r>
      <w:r w:rsidRPr="00255628">
        <w:rPr>
          <w:rStyle w:val="aff4"/>
          <w:rFonts w:hint="cs"/>
          <w:vanish/>
          <w:rtl/>
        </w:rPr>
        <w:t>-</w:t>
      </w:r>
      <w:r>
        <w:rPr>
          <w:rFonts w:hint="cs"/>
          <w:rtl/>
        </w:rPr>
        <w:t xml:space="preserve"> הוא כיון דגרס כגירסת </w:t>
      </w:r>
      <w:r w:rsidRPr="00255628">
        <w:rPr>
          <w:rStyle w:val="aff4"/>
          <w:rFonts w:hint="cs"/>
          <w:vanish/>
          <w:rtl/>
        </w:rPr>
        <w:t>-</w:t>
      </w:r>
      <w:r w:rsidRPr="00255628">
        <w:rPr>
          <w:rStyle w:val="aff4"/>
          <w:rFonts w:hint="cs"/>
          <w:rtl/>
        </w:rPr>
        <w:t>הרי"ף</w:t>
      </w:r>
      <w:r w:rsidRPr="00255628">
        <w:rPr>
          <w:rStyle w:val="aff4"/>
          <w:rFonts w:hint="cs"/>
          <w:vanish/>
          <w:rtl/>
        </w:rPr>
        <w:t>-</w:t>
      </w:r>
      <w:r>
        <w:rPr>
          <w:rFonts w:hint="cs"/>
          <w:rtl/>
        </w:rPr>
        <w:t xml:space="preserve"> במתני' דמכה על הקורנס בשעת גמר המלאכה, וא"כ לא איירי בזמן המלאכה עצמה. </w:t>
      </w:r>
    </w:p>
    <w:p w14:paraId="1D5EAEE1" w14:textId="77777777" w:rsidR="00A14FDA" w:rsidRPr="00BC7DC8" w:rsidRDefault="00A14FDA" w:rsidP="00A14FDA">
      <w:pPr>
        <w:pStyle w:val="afffffe"/>
        <w:rPr>
          <w:vanish/>
          <w:rtl/>
        </w:rPr>
      </w:pPr>
      <w:r w:rsidRPr="00BC7DC8">
        <w:rPr>
          <w:vanish/>
          <w:rtl/>
        </w:rPr>
        <w:t>חתם סופר שבת ק"ב ע"ב</w:t>
      </w:r>
      <w:r w:rsidRPr="00BC7DC8">
        <w:rPr>
          <w:rFonts w:hint="cs"/>
          <w:vanish/>
          <w:rtl/>
        </w:rPr>
        <w:t xml:space="preserve"> ד"ה והנה</w:t>
      </w:r>
    </w:p>
    <w:p w14:paraId="54679D2B" w14:textId="77777777" w:rsidR="00A14FDA" w:rsidRPr="00D87F8B" w:rsidRDefault="00A14FDA" w:rsidP="00A14FDA">
      <w:pPr>
        <w:pStyle w:val="a2"/>
        <w:rPr>
          <w:rtl/>
        </w:rPr>
      </w:pPr>
      <w:r w:rsidRPr="00D87F8B">
        <w:rPr>
          <w:rtl/>
        </w:rPr>
        <w:t>והנה בתירוצם דקדקו וכתבו מכוש אחרון שמכה על הכלי דלא כפי' רש"י לעיל במשנת מ' אבות מלאכות שהוא מכה בקורנוס על הסדן והיינו משום שהר"ן שם הקשה על זה הא רשב"ג הא דאמר הכי במתני' לבתר הכי ועדיין לא נזכר זה במשנתינו ע"ש, ונ"ל שהוא גרס כגירסת הרי"ף בדרשב"ג על הסדן בשעת גמר מלאכה ומש"ה קשי' לי', אך בש"ס דילן הגירס' בשעת מלאכה ומיירי ת"ק מהכאה על הסדן בשעת גמר מלאכה ובהא מודים כ"ע ורשב"ג פליג וחייב אפי' באמצע מלאכה מכה ב' על הכלי וא' על הסדן עיין תוס' יום טוב וכן בפי' משנה לרמב"ם ופסק דלא כרשב"ג ע"ש ולק"מ:</w:t>
      </w:r>
    </w:p>
    <w:p w14:paraId="260553A3" w14:textId="77777777" w:rsidR="00A14FDA" w:rsidRPr="00BC7DC8" w:rsidRDefault="00A14FDA" w:rsidP="00A14FDA">
      <w:pPr>
        <w:pStyle w:val="afffffe"/>
        <w:rPr>
          <w:vanish/>
          <w:rtl/>
        </w:rPr>
      </w:pPr>
      <w:r w:rsidRPr="00BC7DC8">
        <w:rPr>
          <w:vanish/>
          <w:rtl/>
        </w:rPr>
        <w:t>רש"ש שבת ק"ב ע"ב</w:t>
      </w:r>
      <w:r w:rsidRPr="00BC7DC8">
        <w:rPr>
          <w:rFonts w:hint="cs"/>
          <w:vanish/>
          <w:rtl/>
        </w:rPr>
        <w:t xml:space="preserve"> ד"ה והנה</w:t>
      </w:r>
    </w:p>
    <w:p w14:paraId="356665F6" w14:textId="77777777" w:rsidR="00A14FDA" w:rsidRPr="00806C89" w:rsidRDefault="00A14FDA" w:rsidP="00A14FDA">
      <w:pPr>
        <w:pStyle w:val="afffff5"/>
        <w:rPr>
          <w:rtl/>
        </w:rPr>
      </w:pPr>
      <w:r w:rsidRPr="00806C89">
        <w:rPr>
          <w:rtl/>
        </w:rPr>
        <w:t>והנה לפר"י מוסיף רשב"ג אף המכה על הסדן. ולפירש"י בפ' כ"ג צ"ל דמוסיף אף בשעת מלאכה וכ"מ בפירושו בגמ'. ודלא כגי' הרי"ף (ברשב"ג) בשעת גמר מלאכה. והר"ן בפרק כלל גדול נמשך אחר גי' הרי"ף ולכן הקשה מזה על פירש"י דשם. ולפלא איך לא הרגיש שרש"י לא גריס כן:.</w:t>
      </w:r>
    </w:p>
    <w:p w14:paraId="34626EBA" w14:textId="77777777" w:rsidR="00A14FDA" w:rsidRDefault="00A14FDA" w:rsidP="00A14FDA">
      <w:pPr>
        <w:pStyle w:val="afffff7"/>
        <w:rPr>
          <w:rtl/>
        </w:rPr>
      </w:pPr>
      <w:bookmarkStart w:id="5042" w:name="_Toc144224632"/>
      <w:bookmarkStart w:id="5043" w:name="_Toc163506180"/>
      <w:r>
        <w:rPr>
          <w:rtl/>
        </w:rPr>
        <w:t>פירוש המשנ</w:t>
      </w:r>
      <w:r>
        <w:rPr>
          <w:rFonts w:hint="cs"/>
          <w:rtl/>
        </w:rPr>
        <w:t>יות</w:t>
      </w:r>
      <w:r>
        <w:rPr>
          <w:rtl/>
        </w:rPr>
        <w:t xml:space="preserve"> לרמב"ם שבת פ</w:t>
      </w:r>
      <w:r>
        <w:rPr>
          <w:rFonts w:hint="cs"/>
          <w:rtl/>
        </w:rPr>
        <w:t>"</w:t>
      </w:r>
      <w:r>
        <w:rPr>
          <w:rtl/>
        </w:rPr>
        <w:t>ז מ</w:t>
      </w:r>
      <w:r>
        <w:rPr>
          <w:rFonts w:hint="cs"/>
          <w:rtl/>
        </w:rPr>
        <w:t>"</w:t>
      </w:r>
      <w:r>
        <w:rPr>
          <w:rtl/>
        </w:rPr>
        <w:t>ב</w:t>
      </w:r>
      <w:bookmarkEnd w:id="5042"/>
      <w:bookmarkEnd w:id="5043"/>
      <w:r w:rsidRPr="00421A47">
        <w:rPr>
          <w:vanish/>
          <w:rtl/>
        </w:rPr>
        <w:t xml:space="preserve"> (ב)</w:t>
      </w:r>
    </w:p>
    <w:p w14:paraId="3F3E9FAD" w14:textId="77777777" w:rsidR="00A14FDA" w:rsidRDefault="00A14FDA" w:rsidP="00A14FDA">
      <w:pPr>
        <w:pStyle w:val="afffff7"/>
        <w:rPr>
          <w:rtl/>
        </w:rPr>
      </w:pPr>
      <w:bookmarkStart w:id="5044" w:name="_Toc144224633"/>
      <w:bookmarkStart w:id="5045" w:name="_Toc163506181"/>
      <w:r>
        <w:rPr>
          <w:rtl/>
        </w:rPr>
        <w:t xml:space="preserve">ערוך השולחן </w:t>
      </w:r>
      <w:r>
        <w:rPr>
          <w:rFonts w:hint="cs"/>
          <w:rtl/>
        </w:rPr>
        <w:t>או"ח סי'</w:t>
      </w:r>
      <w:r>
        <w:rPr>
          <w:rtl/>
        </w:rPr>
        <w:t xml:space="preserve"> שי</w:t>
      </w:r>
      <w:r>
        <w:rPr>
          <w:rFonts w:hint="cs"/>
          <w:rtl/>
        </w:rPr>
        <w:t>"</w:t>
      </w:r>
      <w:r>
        <w:rPr>
          <w:rtl/>
        </w:rPr>
        <w:t xml:space="preserve">ג </w:t>
      </w:r>
      <w:r>
        <w:rPr>
          <w:rFonts w:hint="cs"/>
          <w:rtl/>
        </w:rPr>
        <w:t>ט"ו</w:t>
      </w:r>
      <w:bookmarkEnd w:id="5044"/>
      <w:bookmarkEnd w:id="5045"/>
      <w:r w:rsidRPr="00421A47">
        <w:rPr>
          <w:vanish/>
          <w:rtl/>
        </w:rPr>
        <w:t xml:space="preserve"> (ב)</w:t>
      </w:r>
    </w:p>
    <w:p w14:paraId="60807BF9" w14:textId="77777777" w:rsidR="00A14FDA" w:rsidRPr="00CB0689" w:rsidRDefault="00A14FDA" w:rsidP="00A14FDA">
      <w:pPr>
        <w:pStyle w:val="a7"/>
        <w:rPr>
          <w:rtl/>
        </w:rPr>
      </w:pPr>
      <w:bookmarkStart w:id="5046" w:name="_Toc144225235"/>
      <w:r>
        <w:rPr>
          <w:rFonts w:hint="cs"/>
          <w:rtl/>
        </w:rPr>
        <w:t>בי' הרמב"ם בפיהמ"ש דחיוב מכב"פ אף בגמר המלאכה דמחליק הכלי וגמר כמו יפוי כלי תולדה</w:t>
      </w:r>
      <w:bookmarkEnd w:id="5046"/>
    </w:p>
    <w:p w14:paraId="3C20EE47" w14:textId="357B9172" w:rsidR="00A14FDA" w:rsidRPr="00410CDE" w:rsidRDefault="00A14FDA" w:rsidP="00BC7DC8">
      <w:pPr>
        <w:pStyle w:val="a3"/>
        <w:rPr>
          <w:rStyle w:val="af"/>
        </w:rPr>
      </w:pPr>
      <w:bookmarkStart w:id="5047" w:name="_Ref144065245"/>
      <w:bookmarkStart w:id="5048" w:name="_Ref144221755"/>
      <w:r>
        <w:rPr>
          <w:rFonts w:hint="cs"/>
          <w:rtl/>
        </w:rPr>
        <w:t xml:space="preserve">כתב </w:t>
      </w:r>
      <w:r w:rsidRPr="00ED6903">
        <w:rPr>
          <w:rStyle w:val="aff4"/>
          <w:rFonts w:hint="cs"/>
          <w:vanish/>
          <w:rtl/>
        </w:rPr>
        <w:t>-</w:t>
      </w:r>
      <w:r w:rsidRPr="00D15220">
        <w:rPr>
          <w:rStyle w:val="aff4"/>
          <w:rFonts w:hint="cs"/>
          <w:rtl/>
        </w:rPr>
        <w:t>ה</w:t>
      </w:r>
      <w:r w:rsidRPr="00ED6903">
        <w:rPr>
          <w:rStyle w:val="aff4"/>
          <w:rFonts w:hint="cs"/>
          <w:vanish/>
          <w:rtl/>
        </w:rPr>
        <w:t xml:space="preserve">&lt;, </w:t>
      </w:r>
      <w:r w:rsidRPr="00ED6903">
        <w:rPr>
          <w:rStyle w:val="aff4"/>
          <w:vanish/>
          <w:rtl/>
        </w:rPr>
        <w:fldChar w:fldCharType="begin"/>
      </w:r>
      <w:r w:rsidRPr="00ED6903">
        <w:rPr>
          <w:rStyle w:val="aff4"/>
          <w:vanish/>
          <w:rtl/>
        </w:rPr>
        <w:instrText xml:space="preserve"> </w:instrText>
      </w:r>
      <w:r w:rsidRPr="00ED6903">
        <w:rPr>
          <w:rStyle w:val="aff4"/>
          <w:rFonts w:hint="cs"/>
          <w:vanish/>
        </w:rPr>
        <w:instrText>REF</w:instrText>
      </w:r>
      <w:r w:rsidRPr="00ED6903">
        <w:rPr>
          <w:rStyle w:val="aff4"/>
          <w:rFonts w:hint="cs"/>
          <w:vanish/>
          <w:rtl/>
        </w:rPr>
        <w:instrText xml:space="preserve"> _</w:instrText>
      </w:r>
      <w:r w:rsidRPr="00ED6903">
        <w:rPr>
          <w:rStyle w:val="aff4"/>
          <w:rFonts w:hint="cs"/>
          <w:vanish/>
        </w:rPr>
        <w:instrText>Ref144065245 \r \h</w:instrText>
      </w:r>
      <w:r w:rsidRPr="00ED6903">
        <w:rPr>
          <w:rStyle w:val="aff4"/>
          <w:vanish/>
          <w:rtl/>
        </w:rPr>
        <w:instrText xml:space="preserve"> </w:instrText>
      </w:r>
      <w:r>
        <w:rPr>
          <w:rStyle w:val="aff4"/>
          <w:vanish/>
          <w:rtl/>
        </w:rPr>
        <w:instrText xml:space="preserve"> \* </w:instrText>
      </w:r>
      <w:r>
        <w:rPr>
          <w:rStyle w:val="aff4"/>
          <w:vanish/>
        </w:rPr>
        <w:instrText>MERGEFORMAT</w:instrText>
      </w:r>
      <w:r>
        <w:rPr>
          <w:rStyle w:val="aff4"/>
          <w:vanish/>
          <w:rtl/>
        </w:rPr>
        <w:instrText xml:space="preserve"> </w:instrText>
      </w:r>
      <w:r w:rsidRPr="00ED6903">
        <w:rPr>
          <w:rStyle w:val="aff4"/>
          <w:vanish/>
          <w:rtl/>
        </w:rPr>
      </w:r>
      <w:r w:rsidRPr="00ED6903">
        <w:rPr>
          <w:rStyle w:val="aff4"/>
          <w:vanish/>
          <w:rtl/>
        </w:rPr>
        <w:fldChar w:fldCharType="separate"/>
      </w:r>
      <w:r w:rsidR="00D82181">
        <w:rPr>
          <w:rStyle w:val="aff4"/>
          <w:vanish/>
          <w:cs/>
        </w:rPr>
        <w:t>‎</w:t>
      </w:r>
      <w:r w:rsidR="00D82181">
        <w:rPr>
          <w:rStyle w:val="aff4"/>
          <w:vanish/>
          <w:rtl/>
        </w:rPr>
        <w:t>ח)</w:t>
      </w:r>
      <w:r w:rsidRPr="00ED6903">
        <w:rPr>
          <w:rStyle w:val="aff4"/>
          <w:vanish/>
          <w:rtl/>
        </w:rPr>
        <w:fldChar w:fldCharType="end"/>
      </w:r>
      <w:r w:rsidRPr="00ED6903">
        <w:rPr>
          <w:rStyle w:val="aff4"/>
          <w:rFonts w:hint="cs"/>
          <w:vanish/>
          <w:rtl/>
        </w:rPr>
        <w:t xml:space="preserve"> &gt;</w:t>
      </w:r>
      <w:r w:rsidRPr="00D15220">
        <w:rPr>
          <w:rStyle w:val="aff4"/>
          <w:rFonts w:hint="cs"/>
          <w:rtl/>
        </w:rPr>
        <w:t>רמב"ם בפיהמ"ש</w:t>
      </w:r>
      <w:r w:rsidRPr="00ED6903">
        <w:rPr>
          <w:rStyle w:val="aff4"/>
          <w:rFonts w:hint="cs"/>
          <w:vanish/>
          <w:rtl/>
        </w:rPr>
        <w:t>-</w:t>
      </w:r>
      <w:r>
        <w:rPr>
          <w:rFonts w:hint="cs"/>
          <w:rtl/>
        </w:rPr>
        <w:t xml:space="preserve"> </w:t>
      </w:r>
      <w:r w:rsidRPr="00C8052D">
        <w:rPr>
          <w:rStyle w:val="af2"/>
          <w:rFonts w:eastAsia="Guttman Hodes" w:hint="cs"/>
          <w:rtl/>
        </w:rPr>
        <w:t>(פ"ז מ"ב)</w:t>
      </w:r>
      <w:r w:rsidRPr="00C91A73">
        <w:rPr>
          <w:rFonts w:hint="cs"/>
          <w:vanish/>
          <w:rtl/>
        </w:rPr>
        <w:t>=</w:t>
      </w:r>
      <w:r>
        <w:rPr>
          <w:rFonts w:hint="cs"/>
          <w:rtl/>
        </w:rPr>
        <w:t xml:space="preserve"> דהחיוב במכה בפטיש הוא אפילו בגמר המלאכה, כדרך המרקעים בפטיש שמכים הכאות מאוד קלות בכדי לישר את הכלי ולהחליק אותו, </w:t>
      </w:r>
      <w:r w:rsidRPr="00AC67C2">
        <w:rPr>
          <w:rStyle w:val="af"/>
          <w:rFonts w:hint="cs"/>
          <w:rtl/>
        </w:rPr>
        <w:t>[בתרגום הישן הנדפס הנוסח הוא שמכה על עצם הסדן ולא על הכלי</w:t>
      </w:r>
      <w:r w:rsidRPr="005957AC">
        <w:rPr>
          <w:rStyle w:val="af"/>
          <w:rFonts w:hint="cs"/>
          <w:rtl/>
        </w:rPr>
        <w:t>],</w:t>
      </w:r>
      <w:r>
        <w:rPr>
          <w:rFonts w:hint="cs"/>
          <w:rtl/>
        </w:rPr>
        <w:t xml:space="preserve"> וכתב </w:t>
      </w:r>
      <w:r w:rsidRPr="00ED6903">
        <w:rPr>
          <w:rStyle w:val="aff4"/>
          <w:rFonts w:hint="cs"/>
          <w:vanish/>
          <w:rtl/>
        </w:rPr>
        <w:t>-</w:t>
      </w:r>
      <w:r w:rsidRPr="00D15220">
        <w:rPr>
          <w:rStyle w:val="aff4"/>
          <w:rFonts w:hint="cs"/>
          <w:rtl/>
        </w:rPr>
        <w:t>הרמב"ם בפיהמ"ש</w:t>
      </w:r>
      <w:r w:rsidRPr="00ED6903">
        <w:rPr>
          <w:rStyle w:val="aff4"/>
          <w:rFonts w:hint="cs"/>
          <w:vanish/>
          <w:rtl/>
        </w:rPr>
        <w:t>-</w:t>
      </w:r>
      <w:r>
        <w:rPr>
          <w:rFonts w:hint="cs"/>
          <w:rtl/>
        </w:rPr>
        <w:t xml:space="preserve"> דלכן כל תיקון וגמר מלאכה כמירוט וחיכוך וכל מיני היפוי הם תולדות של מכה בפטיש, וזו הכוונה בהא דאמרינן בגמ' לעיל </w:t>
      </w:r>
      <w:r w:rsidRPr="00C8052D">
        <w:rPr>
          <w:rStyle w:val="af2"/>
          <w:rFonts w:eastAsia="Guttman Hodes" w:hint="cs"/>
          <w:rtl/>
        </w:rPr>
        <w:t>(עה:)</w:t>
      </w:r>
      <w:r>
        <w:rPr>
          <w:rFonts w:hint="cs"/>
          <w:rtl/>
        </w:rPr>
        <w:t xml:space="preserve"> דכל גמר מלאכה חייב משום מכה בפטיש, ועי' במה שביאר </w:t>
      </w:r>
      <w:r w:rsidRPr="007637C7">
        <w:rPr>
          <w:rStyle w:val="aff4"/>
          <w:rFonts w:hint="cs"/>
          <w:vanish/>
          <w:rtl/>
        </w:rPr>
        <w:t>-</w:t>
      </w:r>
      <w:r w:rsidRPr="007637C7">
        <w:rPr>
          <w:rStyle w:val="aff4"/>
          <w:rFonts w:hint="cs"/>
          <w:rtl/>
        </w:rPr>
        <w:t>ה</w:t>
      </w:r>
      <w:r w:rsidRPr="00835F6D">
        <w:rPr>
          <w:rStyle w:val="aff4"/>
          <w:rFonts w:hint="cs"/>
          <w:vanish/>
          <w:rtl/>
        </w:rPr>
        <w:t>&lt; &gt;</w:t>
      </w:r>
      <w:r w:rsidRPr="007637C7">
        <w:rPr>
          <w:rStyle w:val="aff4"/>
          <w:rFonts w:hint="cs"/>
          <w:rtl/>
        </w:rPr>
        <w:t>ערוך השולחן</w:t>
      </w:r>
      <w:r w:rsidRPr="007637C7">
        <w:rPr>
          <w:rStyle w:val="aff4"/>
          <w:rFonts w:hint="cs"/>
          <w:vanish/>
          <w:rtl/>
        </w:rPr>
        <w:t>-</w:t>
      </w:r>
      <w:r>
        <w:rPr>
          <w:rFonts w:hint="cs"/>
          <w:rtl/>
        </w:rPr>
        <w:t xml:space="preserve"> </w:t>
      </w:r>
      <w:r w:rsidRPr="00932192">
        <w:rPr>
          <w:rStyle w:val="af2"/>
          <w:rFonts w:eastAsia="Guttman Hodes" w:hint="cs"/>
          <w:rtl/>
        </w:rPr>
        <w:t xml:space="preserve">(עי' אות </w:t>
      </w:r>
      <w:r w:rsidRPr="00932192">
        <w:rPr>
          <w:rStyle w:val="af2"/>
          <w:rFonts w:eastAsia="Guttman Hodes"/>
          <w:rtl/>
        </w:rPr>
        <w:fldChar w:fldCharType="begin"/>
      </w:r>
      <w:r w:rsidRPr="00932192">
        <w:rPr>
          <w:rStyle w:val="af2"/>
          <w:rFonts w:eastAsia="Guttman Hodes"/>
          <w:rtl/>
        </w:rPr>
        <w:instrText xml:space="preserve"> </w:instrText>
      </w:r>
      <w:r w:rsidRPr="00932192">
        <w:rPr>
          <w:rStyle w:val="af2"/>
          <w:rFonts w:eastAsia="Guttman Hodes" w:hint="cs"/>
        </w:rPr>
        <w:instrText>REF</w:instrText>
      </w:r>
      <w:r w:rsidRPr="00932192">
        <w:rPr>
          <w:rStyle w:val="af2"/>
          <w:rFonts w:eastAsia="Guttman Hodes" w:hint="cs"/>
          <w:rtl/>
        </w:rPr>
        <w:instrText xml:space="preserve"> _</w:instrText>
      </w:r>
      <w:r w:rsidRPr="00932192">
        <w:rPr>
          <w:rStyle w:val="af2"/>
          <w:rFonts w:eastAsia="Guttman Hodes" w:hint="cs"/>
        </w:rPr>
        <w:instrText>Ref144199637 \r \h</w:instrText>
      </w:r>
      <w:r w:rsidRPr="00932192">
        <w:rPr>
          <w:rStyle w:val="af2"/>
          <w:rFonts w:eastAsia="Guttman Hodes"/>
          <w:rtl/>
        </w:rPr>
        <w:instrText xml:space="preserve"> </w:instrText>
      </w:r>
      <w:r w:rsidRPr="00932192">
        <w:rPr>
          <w:rStyle w:val="af2"/>
          <w:rFonts w:eastAsia="Guttman Hodes"/>
          <w:rtl/>
        </w:rPr>
      </w:r>
      <w:r w:rsidRPr="00932192">
        <w:rPr>
          <w:rStyle w:val="af2"/>
          <w:rFonts w:eastAsia="Guttman Hodes"/>
          <w:rtl/>
        </w:rPr>
        <w:fldChar w:fldCharType="separate"/>
      </w:r>
      <w:r w:rsidR="00D82181">
        <w:rPr>
          <w:rStyle w:val="af2"/>
          <w:rFonts w:eastAsia="Guttman Hodes"/>
          <w:cs/>
        </w:rPr>
        <w:t>‎</w:t>
      </w:r>
      <w:r w:rsidR="00D82181">
        <w:rPr>
          <w:rStyle w:val="af2"/>
          <w:rFonts w:eastAsia="Guttman Hodes"/>
          <w:rtl/>
        </w:rPr>
        <w:t>כא)</w:t>
      </w:r>
      <w:r w:rsidRPr="00932192">
        <w:rPr>
          <w:rStyle w:val="af2"/>
          <w:rFonts w:eastAsia="Guttman Hodes"/>
          <w:rtl/>
        </w:rPr>
        <w:fldChar w:fldCharType="end"/>
      </w:r>
      <w:r w:rsidRPr="00255628">
        <w:rPr>
          <w:rFonts w:hint="cs"/>
          <w:vanish/>
          <w:rtl/>
        </w:rPr>
        <w:t>=</w:t>
      </w:r>
      <w:r w:rsidRPr="00835F6D">
        <w:rPr>
          <w:rFonts w:hint="cs"/>
          <w:rtl/>
        </w:rPr>
        <w:t xml:space="preserve"> </w:t>
      </w:r>
      <w:r>
        <w:rPr>
          <w:rFonts w:hint="cs"/>
          <w:rtl/>
        </w:rPr>
        <w:t xml:space="preserve">בדברי </w:t>
      </w:r>
      <w:r w:rsidRPr="007637C7">
        <w:rPr>
          <w:rStyle w:val="aff4"/>
          <w:rFonts w:hint="cs"/>
          <w:vanish/>
          <w:rtl/>
        </w:rPr>
        <w:t>-</w:t>
      </w:r>
      <w:r>
        <w:rPr>
          <w:rStyle w:val="aff4"/>
          <w:rFonts w:hint="cs"/>
          <w:rtl/>
        </w:rPr>
        <w:t>הרמב"ם בפיהמ"ש</w:t>
      </w:r>
      <w:r w:rsidRPr="007637C7">
        <w:rPr>
          <w:rStyle w:val="aff4"/>
          <w:rFonts w:hint="cs"/>
          <w:vanish/>
          <w:rtl/>
        </w:rPr>
        <w:t>-</w:t>
      </w:r>
      <w:r>
        <w:rPr>
          <w:rFonts w:hint="cs"/>
          <w:rtl/>
        </w:rPr>
        <w:t xml:space="preserve">, וע"ע במה שביאר </w:t>
      </w:r>
      <w:r w:rsidRPr="00255628">
        <w:rPr>
          <w:rStyle w:val="aff4"/>
          <w:vanish/>
          <w:rtl/>
        </w:rPr>
        <w:t>-</w:t>
      </w:r>
      <w:r w:rsidRPr="00255628">
        <w:rPr>
          <w:rStyle w:val="aff4"/>
          <w:rtl/>
        </w:rPr>
        <w:t>האבן האזל</w:t>
      </w:r>
      <w:r w:rsidRPr="00255628">
        <w:rPr>
          <w:rStyle w:val="aff4"/>
          <w:vanish/>
          <w:rtl/>
        </w:rPr>
        <w:t>-</w:t>
      </w:r>
      <w:r w:rsidRPr="008074B8">
        <w:rPr>
          <w:rtl/>
        </w:rPr>
        <w:t xml:space="preserve"> </w:t>
      </w:r>
      <w:r>
        <w:rPr>
          <w:rStyle w:val="af2"/>
          <w:rFonts w:eastAsia="Guttman Hodes" w:hint="cs"/>
          <w:rtl/>
        </w:rPr>
        <w:t xml:space="preserve">(עי' </w:t>
      </w:r>
      <w:r w:rsidRPr="00BB63DD">
        <w:rPr>
          <w:rStyle w:val="af2"/>
          <w:rFonts w:eastAsia="Guttman Hodes" w:hint="cs"/>
          <w:rtl/>
        </w:rPr>
        <w:t xml:space="preserve">אות </w:t>
      </w:r>
      <w:r w:rsidRPr="00BB63DD">
        <w:rPr>
          <w:rStyle w:val="af2"/>
          <w:rFonts w:eastAsia="Guttman Hodes"/>
          <w:rtl/>
        </w:rPr>
        <w:fldChar w:fldCharType="begin"/>
      </w:r>
      <w:r w:rsidRPr="00BB63DD">
        <w:rPr>
          <w:rStyle w:val="af2"/>
          <w:rFonts w:eastAsia="Guttman Hodes"/>
          <w:rtl/>
        </w:rPr>
        <w:instrText xml:space="preserve"> </w:instrText>
      </w:r>
      <w:r w:rsidRPr="00BB63DD">
        <w:rPr>
          <w:rStyle w:val="af2"/>
          <w:rFonts w:eastAsia="Guttman Hodes" w:hint="cs"/>
        </w:rPr>
        <w:instrText>REF</w:instrText>
      </w:r>
      <w:r w:rsidRPr="00BB63DD">
        <w:rPr>
          <w:rStyle w:val="af2"/>
          <w:rFonts w:eastAsia="Guttman Hodes" w:hint="cs"/>
          <w:rtl/>
        </w:rPr>
        <w:instrText xml:space="preserve"> _</w:instrText>
      </w:r>
      <w:r w:rsidRPr="00BB63DD">
        <w:rPr>
          <w:rStyle w:val="af2"/>
          <w:rFonts w:eastAsia="Guttman Hodes" w:hint="cs"/>
        </w:rPr>
        <w:instrText>Ref143507531 \r \h</w:instrText>
      </w:r>
      <w:r w:rsidRPr="00BB63DD">
        <w:rPr>
          <w:rStyle w:val="af2"/>
          <w:rFonts w:eastAsia="Guttman Hodes"/>
          <w:rtl/>
        </w:rPr>
        <w:instrText xml:space="preserve"> </w:instrText>
      </w:r>
      <w:r w:rsidRPr="00BB63DD">
        <w:rPr>
          <w:rStyle w:val="af2"/>
          <w:rFonts w:eastAsia="Guttman Hodes"/>
          <w:rtl/>
        </w:rPr>
      </w:r>
      <w:r w:rsidRPr="00BB63DD">
        <w:rPr>
          <w:rStyle w:val="af2"/>
          <w:rFonts w:eastAsia="Guttman Hodes"/>
          <w:rtl/>
        </w:rPr>
        <w:fldChar w:fldCharType="separate"/>
      </w:r>
      <w:r w:rsidR="00D82181">
        <w:rPr>
          <w:rStyle w:val="af2"/>
          <w:rFonts w:eastAsia="Guttman Hodes"/>
          <w:cs/>
        </w:rPr>
        <w:t>‎</w:t>
      </w:r>
      <w:r w:rsidR="00D82181">
        <w:rPr>
          <w:rStyle w:val="af2"/>
          <w:rFonts w:eastAsia="Guttman Hodes"/>
          <w:rtl/>
        </w:rPr>
        <w:t>ס)</w:t>
      </w:r>
      <w:r w:rsidRPr="00BB63DD">
        <w:rPr>
          <w:rStyle w:val="af2"/>
          <w:rFonts w:eastAsia="Guttman Hodes"/>
          <w:rtl/>
        </w:rPr>
        <w:fldChar w:fldCharType="end"/>
      </w:r>
      <w:r>
        <w:rPr>
          <w:rFonts w:hint="cs"/>
          <w:rtl/>
        </w:rPr>
        <w:t xml:space="preserve"> בדעת </w:t>
      </w:r>
      <w:r>
        <w:rPr>
          <w:rStyle w:val="aff4"/>
          <w:rFonts w:hint="cs"/>
          <w:rtl/>
        </w:rPr>
        <w:t>הרמב"ם</w:t>
      </w:r>
      <w:r>
        <w:rPr>
          <w:rFonts w:hint="cs"/>
          <w:rtl/>
        </w:rPr>
        <w:t>.</w:t>
      </w:r>
      <w:bookmarkEnd w:id="5047"/>
      <w:r w:rsidRPr="00410CDE">
        <w:rPr>
          <w:rFonts w:hint="cs"/>
          <w:rtl/>
        </w:rPr>
        <w:t xml:space="preserve"> </w:t>
      </w:r>
      <w:r w:rsidRPr="00AC67C2">
        <w:rPr>
          <w:rStyle w:val="af"/>
          <w:rFonts w:hint="cs"/>
          <w:rtl/>
        </w:rPr>
        <w:t>[וע</w:t>
      </w:r>
      <w:r>
        <w:rPr>
          <w:rStyle w:val="af"/>
          <w:rFonts w:hint="cs"/>
          <w:rtl/>
        </w:rPr>
        <w:t>"ע</w:t>
      </w:r>
      <w:r w:rsidRPr="00AC67C2">
        <w:rPr>
          <w:rStyle w:val="af"/>
          <w:rFonts w:hint="cs"/>
          <w:rtl/>
        </w:rPr>
        <w:t xml:space="preserve"> במה שהקשה</w:t>
      </w:r>
      <w:r w:rsidRPr="00AC67C2">
        <w:rPr>
          <w:rStyle w:val="af"/>
          <w:rtl/>
        </w:rPr>
        <w:t xml:space="preserve"> </w:t>
      </w:r>
      <w:r w:rsidRPr="00ED6903">
        <w:rPr>
          <w:rStyle w:val="aff9"/>
          <w:rtl/>
        </w:rPr>
        <w:t>ה</w:t>
      </w:r>
      <w:r w:rsidRPr="00C8052D">
        <w:rPr>
          <w:rStyle w:val="af"/>
          <w:vanish/>
          <w:rtl/>
        </w:rPr>
        <w:t xml:space="preserve"> </w:t>
      </w:r>
      <w:r w:rsidRPr="00C8052D">
        <w:rPr>
          <w:rStyle w:val="af"/>
          <w:rFonts w:hint="cs"/>
          <w:vanish/>
          <w:rtl/>
        </w:rPr>
        <w:t>&lt; &gt;</w:t>
      </w:r>
      <w:r w:rsidRPr="00ED6903">
        <w:rPr>
          <w:rStyle w:val="aff9"/>
          <w:rFonts w:hint="cs"/>
          <w:rtl/>
        </w:rPr>
        <w:t>ערוך</w:t>
      </w:r>
      <w:r w:rsidRPr="00AC67C2">
        <w:rPr>
          <w:rStyle w:val="af"/>
          <w:rFonts w:hint="cs"/>
          <w:rtl/>
        </w:rPr>
        <w:t xml:space="preserve"> </w:t>
      </w:r>
      <w:r w:rsidRPr="00ED6903">
        <w:rPr>
          <w:rStyle w:val="aff9"/>
          <w:rFonts w:hint="cs"/>
          <w:rtl/>
        </w:rPr>
        <w:t>השולחן</w:t>
      </w:r>
      <w:r w:rsidRPr="00AC67C2">
        <w:rPr>
          <w:rStyle w:val="af"/>
          <w:rtl/>
        </w:rPr>
        <w:t xml:space="preserve"> </w:t>
      </w:r>
      <w:r w:rsidRPr="00C8052D">
        <w:rPr>
          <w:rStyle w:val="aff0"/>
          <w:rtl/>
        </w:rPr>
        <w:t>(</w:t>
      </w:r>
      <w:r w:rsidRPr="00C8052D">
        <w:rPr>
          <w:rStyle w:val="aff0"/>
          <w:rFonts w:hint="cs"/>
          <w:rtl/>
        </w:rPr>
        <w:t>סי' שי"ג ט"ו</w:t>
      </w:r>
      <w:r w:rsidRPr="00C8052D">
        <w:rPr>
          <w:rStyle w:val="aff0"/>
          <w:rtl/>
        </w:rPr>
        <w:t>)</w:t>
      </w:r>
      <w:r w:rsidRPr="00C91A73">
        <w:rPr>
          <w:rStyle w:val="af"/>
          <w:vanish/>
          <w:rtl/>
        </w:rPr>
        <w:t>=</w:t>
      </w:r>
      <w:r w:rsidRPr="00AC67C2">
        <w:rPr>
          <w:rStyle w:val="af"/>
          <w:rtl/>
        </w:rPr>
        <w:t xml:space="preserve"> </w:t>
      </w:r>
      <w:r w:rsidRPr="00AC67C2">
        <w:rPr>
          <w:rStyle w:val="af"/>
          <w:rFonts w:hint="cs"/>
          <w:rtl/>
        </w:rPr>
        <w:t>על מ"ש</w:t>
      </w:r>
      <w:r w:rsidRPr="00AC67C2">
        <w:rPr>
          <w:rStyle w:val="af"/>
          <w:rtl/>
        </w:rPr>
        <w:t xml:space="preserve"> </w:t>
      </w:r>
      <w:r w:rsidRPr="00ED6903">
        <w:rPr>
          <w:rStyle w:val="aff9"/>
          <w:rFonts w:hint="cs"/>
          <w:rtl/>
        </w:rPr>
        <w:t>הרמב"ם בפיהמ"ש</w:t>
      </w:r>
      <w:r w:rsidRPr="00AC67C2">
        <w:rPr>
          <w:rStyle w:val="af"/>
          <w:rtl/>
        </w:rPr>
        <w:t xml:space="preserve"> </w:t>
      </w:r>
      <w:r w:rsidRPr="00AC67C2">
        <w:rPr>
          <w:rStyle w:val="af"/>
          <w:rFonts w:hint="cs"/>
          <w:rtl/>
        </w:rPr>
        <w:t xml:space="preserve">דהחיוב הוא </w:t>
      </w:r>
      <w:r>
        <w:rPr>
          <w:rStyle w:val="af"/>
          <w:rFonts w:hint="cs"/>
          <w:rtl/>
        </w:rPr>
        <w:t>"</w:t>
      </w:r>
      <w:r w:rsidRPr="00AC67C2">
        <w:rPr>
          <w:rStyle w:val="af"/>
          <w:rFonts w:hint="cs"/>
          <w:rtl/>
        </w:rPr>
        <w:t>אפילו</w:t>
      </w:r>
      <w:r>
        <w:rPr>
          <w:rStyle w:val="af"/>
          <w:rFonts w:hint="cs"/>
          <w:rtl/>
        </w:rPr>
        <w:t>"</w:t>
      </w:r>
      <w:r w:rsidRPr="00AC67C2">
        <w:rPr>
          <w:rStyle w:val="af"/>
          <w:rFonts w:hint="cs"/>
          <w:rtl/>
        </w:rPr>
        <w:t xml:space="preserve"> בגמר מלאכה, והא כל מכה בפטיש הואר רק בגמר מלאכה</w:t>
      </w:r>
      <w:r w:rsidRPr="005957AC">
        <w:rPr>
          <w:rStyle w:val="af"/>
          <w:rFonts w:hint="cs"/>
          <w:rtl/>
        </w:rPr>
        <w:t>].</w:t>
      </w:r>
      <w:bookmarkEnd w:id="5048"/>
    </w:p>
    <w:p w14:paraId="5661E612" w14:textId="77777777" w:rsidR="00A14FDA" w:rsidRPr="00BC7DC8" w:rsidRDefault="00A14FDA" w:rsidP="00A14FDA">
      <w:pPr>
        <w:pStyle w:val="afffffe"/>
        <w:rPr>
          <w:vanish/>
          <w:rtl/>
        </w:rPr>
      </w:pPr>
      <w:r w:rsidRPr="00BC7DC8">
        <w:rPr>
          <w:vanish/>
          <w:rtl/>
        </w:rPr>
        <w:t>פירוש המשנ</w:t>
      </w:r>
      <w:r w:rsidRPr="00BC7DC8">
        <w:rPr>
          <w:rFonts w:hint="cs"/>
          <w:vanish/>
          <w:rtl/>
        </w:rPr>
        <w:t>יות</w:t>
      </w:r>
      <w:r w:rsidRPr="00BC7DC8">
        <w:rPr>
          <w:vanish/>
          <w:rtl/>
        </w:rPr>
        <w:t xml:space="preserve"> לרמב"ם שבת פ</w:t>
      </w:r>
      <w:r w:rsidRPr="00BC7DC8">
        <w:rPr>
          <w:rFonts w:hint="cs"/>
          <w:vanish/>
          <w:rtl/>
        </w:rPr>
        <w:t>"</w:t>
      </w:r>
      <w:r w:rsidRPr="00BC7DC8">
        <w:rPr>
          <w:vanish/>
          <w:rtl/>
        </w:rPr>
        <w:t>ז מ</w:t>
      </w:r>
      <w:r w:rsidRPr="00BC7DC8">
        <w:rPr>
          <w:rFonts w:hint="cs"/>
          <w:vanish/>
          <w:rtl/>
        </w:rPr>
        <w:t>"</w:t>
      </w:r>
      <w:r w:rsidRPr="00BC7DC8">
        <w:rPr>
          <w:vanish/>
          <w:rtl/>
        </w:rPr>
        <w:t>ב</w:t>
      </w:r>
    </w:p>
    <w:p w14:paraId="04C416EF" w14:textId="77777777" w:rsidR="00A14FDA" w:rsidRPr="00D87F8B" w:rsidRDefault="00A14FDA" w:rsidP="00A14FDA">
      <w:pPr>
        <w:pStyle w:val="a2"/>
        <w:rPr>
          <w:rtl/>
        </w:rPr>
      </w:pPr>
      <w:r w:rsidRPr="00D87F8B">
        <w:rPr>
          <w:rtl/>
        </w:rPr>
        <w:t>והמכה בפטיש, המכה בפטיש ואפילו בגמר מלאכה כדרך שעושים המרקעים בפטישים שמכים הכאות קלות מאד כדי לישר פני הכלי ולהחליקו וקורין לפעולה זו "אלתטריק", ולפיכך כל תקון מלאכה וגמרה כגון השיפה והצחצוח וכל מיני היפוי כולן תולדות מכה בפטיש, והוא אמרם כל מידי דאית ביה גמר מלאכה חייב משום מכה בפטיש.</w:t>
      </w:r>
    </w:p>
    <w:p w14:paraId="71B092DB" w14:textId="77777777" w:rsidR="00A14FDA" w:rsidRPr="00BC7DC8" w:rsidRDefault="00A14FDA" w:rsidP="00A14FDA">
      <w:pPr>
        <w:pStyle w:val="afffffe"/>
        <w:rPr>
          <w:vanish/>
          <w:rtl/>
        </w:rPr>
      </w:pPr>
      <w:r w:rsidRPr="00BC7DC8">
        <w:rPr>
          <w:vanish/>
          <w:rtl/>
        </w:rPr>
        <w:t>פירוש המשנ</w:t>
      </w:r>
      <w:r w:rsidRPr="00BC7DC8">
        <w:rPr>
          <w:rFonts w:hint="cs"/>
          <w:vanish/>
          <w:rtl/>
        </w:rPr>
        <w:t>יות</w:t>
      </w:r>
      <w:r w:rsidRPr="00BC7DC8">
        <w:rPr>
          <w:vanish/>
          <w:rtl/>
        </w:rPr>
        <w:t xml:space="preserve"> לרמב"ם שבת פ</w:t>
      </w:r>
      <w:r w:rsidRPr="00BC7DC8">
        <w:rPr>
          <w:rFonts w:hint="cs"/>
          <w:vanish/>
          <w:rtl/>
        </w:rPr>
        <w:t>"</w:t>
      </w:r>
      <w:r w:rsidRPr="00BC7DC8">
        <w:rPr>
          <w:vanish/>
          <w:rtl/>
        </w:rPr>
        <w:t>ז מ</w:t>
      </w:r>
      <w:r w:rsidRPr="00BC7DC8">
        <w:rPr>
          <w:rFonts w:hint="cs"/>
          <w:vanish/>
          <w:rtl/>
        </w:rPr>
        <w:t>"</w:t>
      </w:r>
      <w:r w:rsidRPr="00BC7DC8">
        <w:rPr>
          <w:vanish/>
          <w:rtl/>
        </w:rPr>
        <w:t>ב</w:t>
      </w:r>
      <w:r w:rsidRPr="00BC7DC8">
        <w:rPr>
          <w:rFonts w:hint="cs"/>
          <w:vanish/>
          <w:rtl/>
        </w:rPr>
        <w:t xml:space="preserve"> התרגום הישן</w:t>
      </w:r>
    </w:p>
    <w:p w14:paraId="1DFED911" w14:textId="77777777" w:rsidR="00A14FDA" w:rsidRPr="00806C89" w:rsidRDefault="00A14FDA" w:rsidP="00A14FDA">
      <w:pPr>
        <w:pStyle w:val="afffff5"/>
        <w:rPr>
          <w:rtl/>
        </w:rPr>
      </w:pPr>
      <w:r w:rsidRPr="00806C89">
        <w:rPr>
          <w:rtl/>
        </w:rPr>
        <w:t xml:space="preserve">והמכה בפטיש פטיש כלי שמשתמשין בו הצורפים ואומני ברזל ונחשת והוא ידוע וכפטיש יפוצץ סלע </w:t>
      </w:r>
      <w:r w:rsidRPr="00806C89">
        <w:rPr>
          <w:rFonts w:hint="cs"/>
          <w:rtl/>
        </w:rPr>
        <w:t>(</w:t>
      </w:r>
      <w:r w:rsidRPr="00806C89">
        <w:rPr>
          <w:rtl/>
        </w:rPr>
        <w:t>ירמיה כג</w:t>
      </w:r>
      <w:r w:rsidRPr="00806C89">
        <w:rPr>
          <w:rFonts w:hint="cs"/>
          <w:rtl/>
        </w:rPr>
        <w:t>)</w:t>
      </w:r>
      <w:r w:rsidRPr="00806C89">
        <w:rPr>
          <w:rtl/>
        </w:rPr>
        <w:t xml:space="preserve"> ומכה בפטיש אפילו בשעת גמר מלאכה כאשר עושין המכין בפטישין כי מנהגם להכות הכאות על עצם הסדן בשעת ההכאה ולפיכך כל תקון מלאכה והשלמתה כמו המירוט והחכוך ומיני היפוי כולם תולדות מכה בפטיש והוא אמרם כל מידי דאית ביה גמר מלאכה חייב משום מכה בפטיש </w:t>
      </w:r>
      <w:r w:rsidRPr="00806C89">
        <w:rPr>
          <w:rFonts w:hint="cs"/>
          <w:rtl/>
        </w:rPr>
        <w:t>.</w:t>
      </w:r>
    </w:p>
    <w:p w14:paraId="54DA1E3E" w14:textId="77777777" w:rsidR="00A14FDA" w:rsidRPr="00BC7DC8" w:rsidRDefault="00A14FDA" w:rsidP="00A14FDA">
      <w:pPr>
        <w:pStyle w:val="afffffe"/>
        <w:rPr>
          <w:vanish/>
          <w:rtl/>
        </w:rPr>
      </w:pPr>
      <w:r w:rsidRPr="00BC7DC8">
        <w:rPr>
          <w:vanish/>
          <w:rtl/>
        </w:rPr>
        <w:t xml:space="preserve">ערוך השולחן </w:t>
      </w:r>
      <w:r w:rsidRPr="00BC7DC8">
        <w:rPr>
          <w:rFonts w:hint="cs"/>
          <w:vanish/>
          <w:rtl/>
        </w:rPr>
        <w:t>או"ח סי'</w:t>
      </w:r>
      <w:r w:rsidRPr="00BC7DC8">
        <w:rPr>
          <w:vanish/>
          <w:rtl/>
        </w:rPr>
        <w:t xml:space="preserve"> שי</w:t>
      </w:r>
      <w:r w:rsidRPr="00BC7DC8">
        <w:rPr>
          <w:rFonts w:hint="cs"/>
          <w:vanish/>
          <w:rtl/>
        </w:rPr>
        <w:t>"</w:t>
      </w:r>
      <w:r w:rsidRPr="00BC7DC8">
        <w:rPr>
          <w:vanish/>
          <w:rtl/>
        </w:rPr>
        <w:t xml:space="preserve">ג </w:t>
      </w:r>
      <w:r w:rsidRPr="00BC7DC8">
        <w:rPr>
          <w:rFonts w:hint="cs"/>
          <w:vanish/>
          <w:rtl/>
        </w:rPr>
        <w:t>ט"ו</w:t>
      </w:r>
    </w:p>
    <w:p w14:paraId="4EC70BC9" w14:textId="77777777" w:rsidR="00A14FDA" w:rsidRPr="00806C89" w:rsidRDefault="00A14FDA" w:rsidP="00A14FDA">
      <w:pPr>
        <w:pStyle w:val="afffff5"/>
      </w:pPr>
      <w:r w:rsidRPr="00806C89">
        <w:rPr>
          <w:rtl/>
        </w:rPr>
        <w:t xml:space="preserve"> [ועל עיקר מכה בפטיש כתב וז"ל ומכה בפטיש אפילו בשעת גמר מלאכה כאשר עושין המכין בפטישין כי מנהגם להכות הכאות על עצם הסדן בשעת ההכאה עכ"ל וצ"ע לשון אפילו וכו' והא אינו אלא בגמר מלאכה ויש ליישב ודו"ק]:</w:t>
      </w:r>
    </w:p>
    <w:p w14:paraId="451C0100" w14:textId="77777777" w:rsidR="00A14FDA" w:rsidRDefault="00A14FDA" w:rsidP="00A14FDA">
      <w:pPr>
        <w:pStyle w:val="afffff7"/>
        <w:rPr>
          <w:rtl/>
        </w:rPr>
      </w:pPr>
      <w:bookmarkStart w:id="5049" w:name="_Toc144224634"/>
      <w:bookmarkStart w:id="5050" w:name="_Toc163506182"/>
      <w:r>
        <w:rPr>
          <w:rtl/>
        </w:rPr>
        <w:t>מאירי שבת ע"ג ע"א</w:t>
      </w:r>
      <w:r>
        <w:rPr>
          <w:rFonts w:hint="cs"/>
          <w:rtl/>
        </w:rPr>
        <w:t xml:space="preserve"> ד"ה הר"ם פי'</w:t>
      </w:r>
      <w:bookmarkEnd w:id="5049"/>
      <w:bookmarkEnd w:id="5050"/>
      <w:r w:rsidRPr="00421A47">
        <w:rPr>
          <w:vanish/>
          <w:rtl/>
        </w:rPr>
        <w:t xml:space="preserve"> (ב)</w:t>
      </w:r>
    </w:p>
    <w:p w14:paraId="5E5F34D0" w14:textId="77777777" w:rsidR="00A14FDA" w:rsidRDefault="00A14FDA" w:rsidP="00A14FDA">
      <w:pPr>
        <w:pStyle w:val="a7"/>
        <w:rPr>
          <w:rtl/>
        </w:rPr>
      </w:pPr>
      <w:bookmarkStart w:id="5051" w:name="_Toc144225236"/>
      <w:r>
        <w:rPr>
          <w:rFonts w:hint="cs"/>
          <w:rtl/>
        </w:rPr>
        <w:t>בי' המאירי דהשימוש בפטיש הוא בזמן המלאכה ולאחריה וכל גמר מלאכה הוא תולדה דמכב"פ</w:t>
      </w:r>
      <w:bookmarkEnd w:id="5051"/>
    </w:p>
    <w:p w14:paraId="057A0B46" w14:textId="44287A8C" w:rsidR="00A14FDA" w:rsidRPr="00A5096D" w:rsidRDefault="00A14FDA" w:rsidP="00BC7DC8">
      <w:pPr>
        <w:pStyle w:val="a3"/>
        <w:rPr>
          <w:rtl/>
        </w:rPr>
      </w:pPr>
      <w:bookmarkStart w:id="5052" w:name="_Ref143809651"/>
      <w:r>
        <w:rPr>
          <w:rFonts w:hint="cs"/>
          <w:rtl/>
        </w:rPr>
        <w:t xml:space="preserve">וכעי"ז ביאר </w:t>
      </w:r>
      <w:r w:rsidRPr="00255628">
        <w:rPr>
          <w:rStyle w:val="aff4"/>
          <w:rFonts w:hint="cs"/>
          <w:vanish/>
          <w:rtl/>
        </w:rPr>
        <w:t>-</w:t>
      </w:r>
      <w:r w:rsidRPr="00255628">
        <w:rPr>
          <w:rStyle w:val="aff4"/>
          <w:rFonts w:hint="cs"/>
          <w:rtl/>
        </w:rPr>
        <w:t>ה</w:t>
      </w:r>
      <w:r w:rsidRPr="00255628">
        <w:rPr>
          <w:rStyle w:val="aff4"/>
          <w:rFonts w:hint="cs"/>
          <w:vanish/>
          <w:rtl/>
        </w:rPr>
        <w:t xml:space="preserve">&lt;, </w:t>
      </w:r>
      <w:r w:rsidRPr="00255628">
        <w:rPr>
          <w:rStyle w:val="aff4"/>
          <w:vanish/>
          <w:rtl/>
        </w:rPr>
        <w:fldChar w:fldCharType="begin"/>
      </w:r>
      <w:r w:rsidRPr="00255628">
        <w:rPr>
          <w:rStyle w:val="aff4"/>
          <w:vanish/>
          <w:rtl/>
        </w:rPr>
        <w:instrText xml:space="preserve"> </w:instrText>
      </w:r>
      <w:r w:rsidRPr="00255628">
        <w:rPr>
          <w:rStyle w:val="aff4"/>
          <w:rFonts w:hint="cs"/>
          <w:vanish/>
        </w:rPr>
        <w:instrText>REF</w:instrText>
      </w:r>
      <w:r w:rsidRPr="00255628">
        <w:rPr>
          <w:rStyle w:val="aff4"/>
          <w:rFonts w:hint="cs"/>
          <w:vanish/>
          <w:rtl/>
        </w:rPr>
        <w:instrText xml:space="preserve"> _</w:instrText>
      </w:r>
      <w:r w:rsidRPr="00255628">
        <w:rPr>
          <w:rStyle w:val="aff4"/>
          <w:rFonts w:hint="cs"/>
          <w:vanish/>
        </w:rPr>
        <w:instrText>Ref143809651 \r \h</w:instrText>
      </w:r>
      <w:r w:rsidRPr="00255628">
        <w:rPr>
          <w:rStyle w:val="aff4"/>
          <w:vanish/>
          <w:rtl/>
        </w:rPr>
        <w:instrText xml:space="preserve"> </w:instrText>
      </w:r>
      <w:r w:rsidRPr="00255628">
        <w:rPr>
          <w:rStyle w:val="aff4"/>
          <w:vanish/>
          <w:rtl/>
        </w:rPr>
      </w:r>
      <w:r w:rsidRPr="00255628">
        <w:rPr>
          <w:rStyle w:val="aff4"/>
          <w:vanish/>
          <w:rtl/>
        </w:rPr>
        <w:fldChar w:fldCharType="separate"/>
      </w:r>
      <w:r w:rsidR="00D82181">
        <w:rPr>
          <w:rStyle w:val="aff4"/>
          <w:vanish/>
          <w:cs/>
        </w:rPr>
        <w:t>‎</w:t>
      </w:r>
      <w:r w:rsidR="00D82181">
        <w:rPr>
          <w:rStyle w:val="aff4"/>
          <w:vanish/>
          <w:rtl/>
        </w:rPr>
        <w:t>ט)</w:t>
      </w:r>
      <w:r w:rsidRPr="00255628">
        <w:rPr>
          <w:rStyle w:val="aff4"/>
          <w:vanish/>
          <w:rtl/>
        </w:rPr>
        <w:fldChar w:fldCharType="end"/>
      </w:r>
      <w:r w:rsidRPr="00255628">
        <w:rPr>
          <w:rStyle w:val="aff4"/>
          <w:rFonts w:hint="cs"/>
          <w:vanish/>
          <w:rtl/>
        </w:rPr>
        <w:t xml:space="preserve"> &gt;</w:t>
      </w:r>
      <w:r w:rsidRPr="00255628">
        <w:rPr>
          <w:rStyle w:val="aff4"/>
          <w:rFonts w:hint="cs"/>
          <w:rtl/>
        </w:rPr>
        <w:t>מאירי לעיל</w:t>
      </w:r>
      <w:r w:rsidRPr="00255628">
        <w:rPr>
          <w:rStyle w:val="aff4"/>
          <w:rFonts w:hint="cs"/>
          <w:vanish/>
          <w:rtl/>
        </w:rPr>
        <w:t>-</w:t>
      </w:r>
      <w:r>
        <w:rPr>
          <w:rFonts w:hint="cs"/>
          <w:rtl/>
        </w:rPr>
        <w:t xml:space="preserve"> </w:t>
      </w:r>
      <w:r w:rsidRPr="00C8052D">
        <w:rPr>
          <w:rStyle w:val="af2"/>
          <w:rFonts w:eastAsia="Guttman Hodes" w:hint="cs"/>
          <w:rtl/>
        </w:rPr>
        <w:t>(עג. ד"ה הר"ם פי')</w:t>
      </w:r>
      <w:r w:rsidRPr="00255628">
        <w:rPr>
          <w:rFonts w:hint="cs"/>
          <w:vanish/>
          <w:rtl/>
        </w:rPr>
        <w:t>=</w:t>
      </w:r>
      <w:r>
        <w:rPr>
          <w:rFonts w:hint="cs"/>
          <w:rtl/>
        </w:rPr>
        <w:t xml:space="preserve"> דפטיש הוא כלי שהצורפים ואומני הברזל משתמשים בו, והשימוש הוא אפילו בזמן גמר המלאכה שנוהגים להכות על הסדן עצמו בזמן ההכאה, ולכן כל תיקון מלאכה או השלמת המלאכה כמירוט וחיכוך וכל מיני </w:t>
      </w:r>
      <w:r>
        <w:rPr>
          <w:rFonts w:hint="cs"/>
          <w:rtl/>
        </w:rPr>
        <w:lastRenderedPageBreak/>
        <w:t xml:space="preserve">היפוי, כולם הם תולדות דמכה בפטיש, </w:t>
      </w:r>
      <w:bookmarkStart w:id="5053" w:name="_Hlk144065226"/>
      <w:r>
        <w:rPr>
          <w:rFonts w:hint="cs"/>
          <w:rtl/>
        </w:rPr>
        <w:t xml:space="preserve">וזו הכוונה בהא דאמרינן בגמ' לעיל </w:t>
      </w:r>
      <w:r w:rsidRPr="00C8052D">
        <w:rPr>
          <w:rStyle w:val="af2"/>
          <w:rFonts w:eastAsia="Guttman Hodes" w:hint="cs"/>
          <w:rtl/>
        </w:rPr>
        <w:t>(עה:)</w:t>
      </w:r>
      <w:r>
        <w:rPr>
          <w:rFonts w:hint="cs"/>
          <w:rtl/>
        </w:rPr>
        <w:t xml:space="preserve"> דכל גמר מלאכה חייב משום מכה בפטיש</w:t>
      </w:r>
      <w:bookmarkEnd w:id="5053"/>
      <w:r>
        <w:rPr>
          <w:rFonts w:hint="cs"/>
          <w:rtl/>
        </w:rPr>
        <w:t xml:space="preserve">, והוסיף </w:t>
      </w:r>
      <w:r w:rsidRPr="00255628">
        <w:rPr>
          <w:rStyle w:val="aff4"/>
          <w:rFonts w:hint="cs"/>
          <w:vanish/>
          <w:rtl/>
        </w:rPr>
        <w:t>-</w:t>
      </w:r>
      <w:r w:rsidRPr="00255628">
        <w:rPr>
          <w:rStyle w:val="aff4"/>
          <w:rFonts w:hint="cs"/>
          <w:rtl/>
        </w:rPr>
        <w:t>המאירי</w:t>
      </w:r>
      <w:r w:rsidRPr="00255628">
        <w:rPr>
          <w:rStyle w:val="aff4"/>
          <w:rFonts w:hint="cs"/>
          <w:vanish/>
          <w:rtl/>
        </w:rPr>
        <w:t>-</w:t>
      </w:r>
      <w:r>
        <w:rPr>
          <w:rFonts w:hint="cs"/>
          <w:rtl/>
        </w:rPr>
        <w:t xml:space="preserve"> דלר"י גם שובט ומדקדק הם אבות, אבל לרבנן הם תולדות מכה בפטיש, וע"ע במה שביאר </w:t>
      </w:r>
      <w:r w:rsidRPr="00255628">
        <w:rPr>
          <w:rStyle w:val="aff4"/>
          <w:vanish/>
          <w:rtl/>
        </w:rPr>
        <w:t>-</w:t>
      </w:r>
      <w:r w:rsidRPr="00255628">
        <w:rPr>
          <w:rStyle w:val="aff4"/>
          <w:rtl/>
        </w:rPr>
        <w:t>האבן האזל</w:t>
      </w:r>
      <w:r w:rsidRPr="00255628">
        <w:rPr>
          <w:rStyle w:val="aff4"/>
          <w:vanish/>
          <w:rtl/>
        </w:rPr>
        <w:t>-</w:t>
      </w:r>
      <w:r w:rsidRPr="008074B8">
        <w:rPr>
          <w:rtl/>
        </w:rPr>
        <w:t xml:space="preserve"> </w:t>
      </w:r>
      <w:r>
        <w:rPr>
          <w:rStyle w:val="af2"/>
          <w:rFonts w:eastAsia="Guttman Hodes" w:hint="cs"/>
          <w:rtl/>
        </w:rPr>
        <w:t xml:space="preserve">(עי' </w:t>
      </w:r>
      <w:r w:rsidRPr="00BB63DD">
        <w:rPr>
          <w:rStyle w:val="af2"/>
          <w:rFonts w:eastAsia="Guttman Hodes" w:hint="cs"/>
          <w:rtl/>
        </w:rPr>
        <w:t xml:space="preserve">אות </w:t>
      </w:r>
      <w:r w:rsidRPr="00BB63DD">
        <w:rPr>
          <w:rStyle w:val="af2"/>
          <w:rFonts w:eastAsia="Guttman Hodes"/>
          <w:rtl/>
        </w:rPr>
        <w:fldChar w:fldCharType="begin"/>
      </w:r>
      <w:r w:rsidRPr="00BB63DD">
        <w:rPr>
          <w:rStyle w:val="af2"/>
          <w:rFonts w:eastAsia="Guttman Hodes"/>
          <w:rtl/>
        </w:rPr>
        <w:instrText xml:space="preserve"> </w:instrText>
      </w:r>
      <w:r w:rsidRPr="00BB63DD">
        <w:rPr>
          <w:rStyle w:val="af2"/>
          <w:rFonts w:eastAsia="Guttman Hodes" w:hint="cs"/>
        </w:rPr>
        <w:instrText>REF</w:instrText>
      </w:r>
      <w:r w:rsidRPr="00BB63DD">
        <w:rPr>
          <w:rStyle w:val="af2"/>
          <w:rFonts w:eastAsia="Guttman Hodes" w:hint="cs"/>
          <w:rtl/>
        </w:rPr>
        <w:instrText xml:space="preserve"> _</w:instrText>
      </w:r>
      <w:r w:rsidRPr="00BB63DD">
        <w:rPr>
          <w:rStyle w:val="af2"/>
          <w:rFonts w:eastAsia="Guttman Hodes" w:hint="cs"/>
        </w:rPr>
        <w:instrText>Ref143507531 \r \h</w:instrText>
      </w:r>
      <w:r w:rsidRPr="00BB63DD">
        <w:rPr>
          <w:rStyle w:val="af2"/>
          <w:rFonts w:eastAsia="Guttman Hodes"/>
          <w:rtl/>
        </w:rPr>
        <w:instrText xml:space="preserve"> </w:instrText>
      </w:r>
      <w:r w:rsidRPr="00BB63DD">
        <w:rPr>
          <w:rStyle w:val="af2"/>
          <w:rFonts w:eastAsia="Guttman Hodes"/>
          <w:rtl/>
        </w:rPr>
      </w:r>
      <w:r w:rsidRPr="00BB63DD">
        <w:rPr>
          <w:rStyle w:val="af2"/>
          <w:rFonts w:eastAsia="Guttman Hodes"/>
          <w:rtl/>
        </w:rPr>
        <w:fldChar w:fldCharType="separate"/>
      </w:r>
      <w:r w:rsidR="00D82181">
        <w:rPr>
          <w:rStyle w:val="af2"/>
          <w:rFonts w:eastAsia="Guttman Hodes"/>
          <w:cs/>
        </w:rPr>
        <w:t>‎</w:t>
      </w:r>
      <w:r w:rsidR="00D82181">
        <w:rPr>
          <w:rStyle w:val="af2"/>
          <w:rFonts w:eastAsia="Guttman Hodes"/>
          <w:rtl/>
        </w:rPr>
        <w:t>ס)</w:t>
      </w:r>
      <w:r w:rsidRPr="00BB63DD">
        <w:rPr>
          <w:rStyle w:val="af2"/>
          <w:rFonts w:eastAsia="Guttman Hodes"/>
          <w:rtl/>
        </w:rPr>
        <w:fldChar w:fldCharType="end"/>
      </w:r>
      <w:r>
        <w:rPr>
          <w:rFonts w:hint="cs"/>
          <w:rtl/>
        </w:rPr>
        <w:t xml:space="preserve"> בדעת </w:t>
      </w:r>
      <w:r>
        <w:rPr>
          <w:rStyle w:val="aff4"/>
          <w:rFonts w:hint="cs"/>
          <w:rtl/>
        </w:rPr>
        <w:t>הרמב"ם</w:t>
      </w:r>
      <w:r>
        <w:rPr>
          <w:rFonts w:hint="cs"/>
          <w:rtl/>
        </w:rPr>
        <w:t>.</w:t>
      </w:r>
      <w:bookmarkEnd w:id="5052"/>
    </w:p>
    <w:p w14:paraId="360F2BA3" w14:textId="77777777" w:rsidR="00A14FDA" w:rsidRPr="00BC7DC8" w:rsidRDefault="00A14FDA" w:rsidP="00A14FDA">
      <w:pPr>
        <w:pStyle w:val="afffffe"/>
        <w:rPr>
          <w:vanish/>
          <w:rtl/>
        </w:rPr>
      </w:pPr>
      <w:r w:rsidRPr="00BC7DC8">
        <w:rPr>
          <w:vanish/>
          <w:rtl/>
        </w:rPr>
        <w:t>מאירי שבת ע"ג ע"א</w:t>
      </w:r>
      <w:r w:rsidRPr="00BC7DC8">
        <w:rPr>
          <w:rFonts w:hint="cs"/>
          <w:vanish/>
          <w:rtl/>
        </w:rPr>
        <w:t xml:space="preserve"> ד"ה הר"ם פי'</w:t>
      </w:r>
    </w:p>
    <w:p w14:paraId="7F09D052" w14:textId="77777777" w:rsidR="00A14FDA" w:rsidRPr="00D87F8B" w:rsidRDefault="00A14FDA" w:rsidP="00A14FDA">
      <w:pPr>
        <w:pStyle w:val="a2"/>
        <w:rPr>
          <w:rtl/>
        </w:rPr>
      </w:pPr>
      <w:r w:rsidRPr="00D87F8B">
        <w:rPr>
          <w:rtl/>
        </w:rPr>
        <w:t>והמכה בפטיש הוא כלי שמשתמשין בו הצורפים ואומני ברזל ונחשת והוא ידוע כמו וכפטיש יפוצץ סלע ומכה בפטיש אפי' בשעת גמר מלאכה כאשר עושים המכים בפטישים כי מנהגם להכות הכאות על עצם הסדן בשעת ההכאה ולפיכך כל תקון מלאכה והשלמתה כמו המירוט והחכוך ומיני היפוי כלם הם תולדות מכה בפטיש והוא אמרם כל מה דאית ביה גמר מלאכה חייב משום מכה בפטיש</w:t>
      </w:r>
      <w:r w:rsidRPr="00D87F8B">
        <w:rPr>
          <w:rFonts w:hint="cs"/>
          <w:rtl/>
        </w:rPr>
        <w:t xml:space="preserve">, וכו', </w:t>
      </w:r>
      <w:r w:rsidRPr="00D87F8B">
        <w:rPr>
          <w:rtl/>
        </w:rPr>
        <w:t>ומה שכפל ואמר ארבעי' חסר אחת לדחות ר' יהודה שהוא מונה שובט ומדקדק מאבות מלאכות ושובט הוא המכה בשבט או בקנה על השתי כשימשך על מנוד האורגים כדי להפריד החוטין ומדקדק הוא המפריד החוטין בידו בשעת האריגה וחכ"א כי אלו המלאכות ודומיהם הם כלם תולדות המכה בפטיש כאשר ביארנו קודם לכן וכל אלו האבות שמנה מפני זה קראום אבות כמו שהן שמושן במעשה המשכן שזכר אותם הכתו' בשם מלאכה וכל דבר הנתלה או הדומה באחד מהן יקרא תולדה כמו שחלקנו:</w:t>
      </w:r>
    </w:p>
    <w:p w14:paraId="3689DE43" w14:textId="77777777" w:rsidR="00A14FDA" w:rsidRDefault="00A14FDA" w:rsidP="00A14FDA">
      <w:pPr>
        <w:pStyle w:val="afffff7"/>
      </w:pPr>
      <w:bookmarkStart w:id="5054" w:name="_Toc144224635"/>
      <w:bookmarkStart w:id="5055" w:name="_Toc163506183"/>
      <w:r>
        <w:rPr>
          <w:rtl/>
        </w:rPr>
        <w:t>כל בו הלכ' שבת סימן ל"א</w:t>
      </w:r>
      <w:r>
        <w:rPr>
          <w:rFonts w:hint="cs"/>
          <w:rtl/>
        </w:rPr>
        <w:t xml:space="preserve"> ד"ה המלאכות</w:t>
      </w:r>
      <w:bookmarkEnd w:id="5054"/>
      <w:bookmarkEnd w:id="5055"/>
      <w:r w:rsidRPr="00421A47">
        <w:rPr>
          <w:vanish/>
          <w:rtl/>
        </w:rPr>
        <w:t xml:space="preserve"> (ב)</w:t>
      </w:r>
    </w:p>
    <w:p w14:paraId="62208F92" w14:textId="77777777" w:rsidR="00A14FDA" w:rsidRDefault="00A14FDA" w:rsidP="00A14FDA">
      <w:pPr>
        <w:pStyle w:val="a7"/>
        <w:rPr>
          <w:rtl/>
        </w:rPr>
      </w:pPr>
      <w:bookmarkStart w:id="5056" w:name="_Toc144225237"/>
      <w:r>
        <w:rPr>
          <w:rFonts w:hint="cs"/>
          <w:rtl/>
        </w:rPr>
        <w:t>בי' הכל בו דהשלמת המלאכה נקראת מכה בפטיש</w:t>
      </w:r>
      <w:bookmarkEnd w:id="5056"/>
    </w:p>
    <w:p w14:paraId="1630CF13" w14:textId="654B0F26" w:rsidR="00A14FDA" w:rsidRPr="00812B81" w:rsidRDefault="00A14FDA" w:rsidP="00BC7DC8">
      <w:pPr>
        <w:pStyle w:val="a3"/>
        <w:rPr>
          <w:rtl/>
        </w:rPr>
      </w:pPr>
      <w:bookmarkStart w:id="5057" w:name="_Ref143854775"/>
      <w:r w:rsidRPr="00255628">
        <w:rPr>
          <w:rStyle w:val="aff4"/>
          <w:rFonts w:hint="cs"/>
          <w:vanish/>
          <w:rtl/>
        </w:rPr>
        <w:t>-</w:t>
      </w:r>
      <w:r w:rsidRPr="00255628">
        <w:rPr>
          <w:rStyle w:val="aff4"/>
          <w:rFonts w:hint="cs"/>
          <w:rtl/>
        </w:rPr>
        <w:t>וה</w:t>
      </w:r>
      <w:r w:rsidRPr="00255628">
        <w:rPr>
          <w:rStyle w:val="aff4"/>
          <w:rFonts w:hint="cs"/>
          <w:vanish/>
          <w:rtl/>
        </w:rPr>
        <w:t xml:space="preserve">&lt;, </w:t>
      </w:r>
      <w:r w:rsidRPr="00255628">
        <w:rPr>
          <w:rStyle w:val="aff4"/>
          <w:vanish/>
          <w:rtl/>
        </w:rPr>
        <w:fldChar w:fldCharType="begin"/>
      </w:r>
      <w:r w:rsidRPr="00255628">
        <w:rPr>
          <w:rStyle w:val="aff4"/>
          <w:vanish/>
          <w:rtl/>
        </w:rPr>
        <w:instrText xml:space="preserve"> </w:instrText>
      </w:r>
      <w:r w:rsidRPr="00255628">
        <w:rPr>
          <w:rStyle w:val="aff4"/>
          <w:rFonts w:hint="cs"/>
          <w:vanish/>
        </w:rPr>
        <w:instrText>REF</w:instrText>
      </w:r>
      <w:r w:rsidRPr="00255628">
        <w:rPr>
          <w:rStyle w:val="aff4"/>
          <w:rFonts w:hint="cs"/>
          <w:vanish/>
          <w:rtl/>
        </w:rPr>
        <w:instrText xml:space="preserve"> _</w:instrText>
      </w:r>
      <w:r w:rsidRPr="00255628">
        <w:rPr>
          <w:rStyle w:val="aff4"/>
          <w:rFonts w:hint="cs"/>
          <w:vanish/>
        </w:rPr>
        <w:instrText>Ref143854775 \r \h</w:instrText>
      </w:r>
      <w:r w:rsidRPr="00255628">
        <w:rPr>
          <w:rStyle w:val="aff4"/>
          <w:vanish/>
          <w:rtl/>
        </w:rPr>
        <w:instrText xml:space="preserve"> </w:instrText>
      </w:r>
      <w:r w:rsidRPr="00255628">
        <w:rPr>
          <w:rStyle w:val="aff4"/>
          <w:vanish/>
          <w:rtl/>
        </w:rPr>
      </w:r>
      <w:r w:rsidRPr="00255628">
        <w:rPr>
          <w:rStyle w:val="aff4"/>
          <w:vanish/>
          <w:rtl/>
        </w:rPr>
        <w:fldChar w:fldCharType="separate"/>
      </w:r>
      <w:r w:rsidR="00D82181">
        <w:rPr>
          <w:rStyle w:val="aff4"/>
          <w:vanish/>
          <w:cs/>
        </w:rPr>
        <w:t>‎</w:t>
      </w:r>
      <w:r w:rsidR="00D82181">
        <w:rPr>
          <w:rStyle w:val="aff4"/>
          <w:vanish/>
          <w:rtl/>
        </w:rPr>
        <w:t>י)</w:t>
      </w:r>
      <w:r w:rsidRPr="00255628">
        <w:rPr>
          <w:rStyle w:val="aff4"/>
          <w:vanish/>
          <w:rtl/>
        </w:rPr>
        <w:fldChar w:fldCharType="end"/>
      </w:r>
      <w:r w:rsidRPr="00255628">
        <w:rPr>
          <w:rStyle w:val="aff4"/>
          <w:rFonts w:hint="cs"/>
          <w:vanish/>
          <w:rtl/>
        </w:rPr>
        <w:t xml:space="preserve"> &gt;</w:t>
      </w:r>
      <w:r w:rsidRPr="00255628">
        <w:rPr>
          <w:rStyle w:val="aff4"/>
          <w:rFonts w:hint="cs"/>
          <w:rtl/>
        </w:rPr>
        <w:t>כל בו</w:t>
      </w:r>
      <w:r w:rsidRPr="00255628">
        <w:rPr>
          <w:rStyle w:val="aff4"/>
          <w:rFonts w:hint="cs"/>
          <w:vanish/>
          <w:rtl/>
        </w:rPr>
        <w:t>-</w:t>
      </w:r>
      <w:r>
        <w:rPr>
          <w:rFonts w:hint="cs"/>
          <w:rtl/>
        </w:rPr>
        <w:t xml:space="preserve"> </w:t>
      </w:r>
      <w:r w:rsidRPr="00C8052D">
        <w:rPr>
          <w:rStyle w:val="af2"/>
          <w:rFonts w:eastAsia="Guttman Hodes" w:hint="cs"/>
          <w:rtl/>
        </w:rPr>
        <w:t>(שבת סי' ל"א ד"ה המלאכות)</w:t>
      </w:r>
      <w:r w:rsidRPr="00255628">
        <w:rPr>
          <w:rFonts w:hint="cs"/>
          <w:vanish/>
          <w:rtl/>
        </w:rPr>
        <w:t>=</w:t>
      </w:r>
      <w:r>
        <w:rPr>
          <w:rFonts w:hint="cs"/>
          <w:rtl/>
        </w:rPr>
        <w:t xml:space="preserve"> כתב דהשלמת המלאכה נקראת מכה בפטיש.</w:t>
      </w:r>
      <w:bookmarkEnd w:id="5057"/>
    </w:p>
    <w:p w14:paraId="6984C91E" w14:textId="77777777" w:rsidR="00A14FDA" w:rsidRPr="00BC7DC8" w:rsidRDefault="00A14FDA" w:rsidP="00A14FDA">
      <w:pPr>
        <w:pStyle w:val="afffffe"/>
        <w:rPr>
          <w:vanish/>
        </w:rPr>
      </w:pPr>
      <w:r w:rsidRPr="00BC7DC8">
        <w:rPr>
          <w:vanish/>
          <w:rtl/>
        </w:rPr>
        <w:t>כל בו הלכ' שבת סימן ל"א</w:t>
      </w:r>
      <w:r w:rsidRPr="00BC7DC8">
        <w:rPr>
          <w:rFonts w:hint="cs"/>
          <w:vanish/>
          <w:rtl/>
        </w:rPr>
        <w:t xml:space="preserve"> ד"ה המלאכות</w:t>
      </w:r>
    </w:p>
    <w:p w14:paraId="26246D1A" w14:textId="77777777" w:rsidR="00A14FDA" w:rsidRPr="00D87F8B" w:rsidRDefault="00A14FDA" w:rsidP="00A14FDA">
      <w:pPr>
        <w:pStyle w:val="a2"/>
        <w:rPr>
          <w:rtl/>
        </w:rPr>
      </w:pPr>
      <w:r w:rsidRPr="003D1D5F">
        <w:rPr>
          <w:rStyle w:val="ac"/>
          <w:rtl/>
        </w:rPr>
        <w:t>להשלים המלאכה והוא הנקרא מכה בפטיש</w:t>
      </w:r>
      <w:r w:rsidRPr="00D87F8B">
        <w:rPr>
          <w:rtl/>
        </w:rPr>
        <w:t>.</w:t>
      </w:r>
    </w:p>
    <w:p w14:paraId="5E7A32D2" w14:textId="77777777" w:rsidR="00A14FDA" w:rsidRDefault="00A14FDA" w:rsidP="00A14FDA">
      <w:pPr>
        <w:pStyle w:val="afffff7"/>
        <w:rPr>
          <w:rtl/>
        </w:rPr>
      </w:pPr>
      <w:bookmarkStart w:id="5058" w:name="_Toc144224636"/>
      <w:bookmarkStart w:id="5059" w:name="_Hlk143854196"/>
      <w:bookmarkStart w:id="5060" w:name="_Toc163506184"/>
      <w:r>
        <w:rPr>
          <w:rtl/>
        </w:rPr>
        <w:t>פסקי רי"ד שבת ע</w:t>
      </w:r>
      <w:r>
        <w:rPr>
          <w:rFonts w:hint="cs"/>
          <w:rtl/>
        </w:rPr>
        <w:t>"ה ע"ב ד"ה והמסתת</w:t>
      </w:r>
      <w:bookmarkEnd w:id="5058"/>
      <w:bookmarkEnd w:id="5060"/>
      <w:r w:rsidRPr="00421A47">
        <w:rPr>
          <w:vanish/>
          <w:rtl/>
        </w:rPr>
        <w:t xml:space="preserve"> (ב)</w:t>
      </w:r>
    </w:p>
    <w:p w14:paraId="10FC7ADC" w14:textId="77777777" w:rsidR="00A14FDA" w:rsidRDefault="00A14FDA" w:rsidP="00A14FDA">
      <w:pPr>
        <w:pStyle w:val="a7"/>
        <w:rPr>
          <w:rtl/>
        </w:rPr>
      </w:pPr>
      <w:bookmarkStart w:id="5061" w:name="_Toc144225238"/>
      <w:bookmarkEnd w:id="5059"/>
      <w:r>
        <w:rPr>
          <w:rFonts w:hint="cs"/>
          <w:rtl/>
        </w:rPr>
        <w:t>בי' הרי"ד דמכב"פ הוא גמר המלאכה עצמה דמחליק כלי בקורנס וה"ה בכל גמר מלאכה</w:t>
      </w:r>
      <w:bookmarkEnd w:id="5061"/>
    </w:p>
    <w:p w14:paraId="4101F1DC" w14:textId="75C5FC01" w:rsidR="00A14FDA" w:rsidRPr="00F81A76" w:rsidRDefault="00A14FDA" w:rsidP="00BC7DC8">
      <w:pPr>
        <w:pStyle w:val="a3"/>
        <w:rPr>
          <w:rtl/>
        </w:rPr>
      </w:pPr>
      <w:bookmarkStart w:id="5062" w:name="_Ref143854769"/>
      <w:r>
        <w:rPr>
          <w:rFonts w:hint="cs"/>
          <w:rtl/>
        </w:rPr>
        <w:t xml:space="preserve">כתב </w:t>
      </w:r>
      <w:bookmarkStart w:id="5063" w:name="_Hlk143854166"/>
      <w:r w:rsidRPr="00255628">
        <w:rPr>
          <w:rStyle w:val="aff4"/>
          <w:rFonts w:hint="cs"/>
          <w:vanish/>
          <w:rtl/>
        </w:rPr>
        <w:t>-</w:t>
      </w:r>
      <w:r w:rsidRPr="00255628">
        <w:rPr>
          <w:rStyle w:val="aff4"/>
          <w:rFonts w:hint="cs"/>
          <w:rtl/>
        </w:rPr>
        <w:t>ב</w:t>
      </w:r>
      <w:r w:rsidRPr="00255628">
        <w:rPr>
          <w:rStyle w:val="aff4"/>
          <w:rFonts w:hint="cs"/>
          <w:vanish/>
          <w:rtl/>
        </w:rPr>
        <w:t xml:space="preserve">&lt;, </w:t>
      </w:r>
      <w:r w:rsidRPr="00255628">
        <w:rPr>
          <w:rStyle w:val="aff4"/>
          <w:vanish/>
          <w:rtl/>
        </w:rPr>
        <w:fldChar w:fldCharType="begin"/>
      </w:r>
      <w:r w:rsidRPr="00255628">
        <w:rPr>
          <w:rStyle w:val="aff4"/>
          <w:vanish/>
          <w:rtl/>
        </w:rPr>
        <w:instrText xml:space="preserve"> </w:instrText>
      </w:r>
      <w:r w:rsidRPr="00255628">
        <w:rPr>
          <w:rStyle w:val="aff4"/>
          <w:rFonts w:hint="cs"/>
          <w:vanish/>
        </w:rPr>
        <w:instrText>REF</w:instrText>
      </w:r>
      <w:r w:rsidRPr="00255628">
        <w:rPr>
          <w:rStyle w:val="aff4"/>
          <w:rFonts w:hint="cs"/>
          <w:vanish/>
          <w:rtl/>
        </w:rPr>
        <w:instrText xml:space="preserve"> _</w:instrText>
      </w:r>
      <w:r w:rsidRPr="00255628">
        <w:rPr>
          <w:rStyle w:val="aff4"/>
          <w:rFonts w:hint="cs"/>
          <w:vanish/>
        </w:rPr>
        <w:instrText>Ref143854769 \r \h</w:instrText>
      </w:r>
      <w:r w:rsidRPr="00255628">
        <w:rPr>
          <w:rStyle w:val="aff4"/>
          <w:vanish/>
          <w:rtl/>
        </w:rPr>
        <w:instrText xml:space="preserve"> </w:instrText>
      </w:r>
      <w:r w:rsidRPr="00255628">
        <w:rPr>
          <w:rStyle w:val="aff4"/>
          <w:vanish/>
          <w:rtl/>
        </w:rPr>
      </w:r>
      <w:r w:rsidRPr="00255628">
        <w:rPr>
          <w:rStyle w:val="aff4"/>
          <w:vanish/>
          <w:rtl/>
        </w:rPr>
        <w:fldChar w:fldCharType="separate"/>
      </w:r>
      <w:r w:rsidR="00D82181">
        <w:rPr>
          <w:rStyle w:val="aff4"/>
          <w:vanish/>
          <w:cs/>
        </w:rPr>
        <w:t>‎</w:t>
      </w:r>
      <w:r w:rsidR="00D82181">
        <w:rPr>
          <w:rStyle w:val="aff4"/>
          <w:vanish/>
          <w:rtl/>
        </w:rPr>
        <w:t>יא)</w:t>
      </w:r>
      <w:r w:rsidRPr="00255628">
        <w:rPr>
          <w:rStyle w:val="aff4"/>
          <w:vanish/>
          <w:rtl/>
        </w:rPr>
        <w:fldChar w:fldCharType="end"/>
      </w:r>
      <w:r w:rsidRPr="00255628">
        <w:rPr>
          <w:rStyle w:val="aff4"/>
          <w:rFonts w:hint="cs"/>
          <w:vanish/>
          <w:rtl/>
        </w:rPr>
        <w:t xml:space="preserve"> &gt;</w:t>
      </w:r>
      <w:r w:rsidRPr="00255628">
        <w:rPr>
          <w:rStyle w:val="aff4"/>
          <w:rFonts w:hint="cs"/>
          <w:rtl/>
        </w:rPr>
        <w:t>פסקי הרי"ד לעיל</w:t>
      </w:r>
      <w:r w:rsidRPr="00255628">
        <w:rPr>
          <w:rStyle w:val="aff4"/>
          <w:rFonts w:hint="cs"/>
          <w:vanish/>
          <w:rtl/>
        </w:rPr>
        <w:t>-</w:t>
      </w:r>
      <w:r>
        <w:rPr>
          <w:rFonts w:hint="cs"/>
          <w:rtl/>
        </w:rPr>
        <w:t xml:space="preserve"> </w:t>
      </w:r>
      <w:r w:rsidRPr="00C8052D">
        <w:rPr>
          <w:rStyle w:val="af2"/>
          <w:rFonts w:eastAsia="Guttman Hodes" w:hint="cs"/>
          <w:rtl/>
        </w:rPr>
        <w:t>(עה: ד"ה והמסתת)</w:t>
      </w:r>
      <w:r w:rsidRPr="00255628">
        <w:rPr>
          <w:rFonts w:hint="cs"/>
          <w:vanish/>
          <w:rtl/>
        </w:rPr>
        <w:t>=</w:t>
      </w:r>
      <w:r>
        <w:rPr>
          <w:rFonts w:hint="cs"/>
          <w:rtl/>
        </w:rPr>
        <w:t xml:space="preserve"> </w:t>
      </w:r>
      <w:bookmarkEnd w:id="5063"/>
      <w:r>
        <w:rPr>
          <w:rFonts w:hint="cs"/>
          <w:rtl/>
        </w:rPr>
        <w:t xml:space="preserve">דמכה בפטיש היינו דאחר שעשה את הכלי ע"י הקורנס או שהתיכו אותו בדפוס, לוקח האומן פטיש שהוא קטן יותר מהקורנס, ומכה על הכלי להחליקו ולהדביק את הסדקים, והוא גמר מלאכת הכלי, ובמשכן עשו כן בכלי שרת, ומזה למדו לכל גמר מלאכה, ובהא דאמרינן בגמ' לעיל </w:t>
      </w:r>
      <w:r w:rsidRPr="00C8052D">
        <w:rPr>
          <w:rStyle w:val="af2"/>
          <w:rFonts w:eastAsia="Guttman Hodes" w:hint="cs"/>
          <w:rtl/>
        </w:rPr>
        <w:t>(עה:)</w:t>
      </w:r>
      <w:r>
        <w:rPr>
          <w:rFonts w:hint="cs"/>
          <w:rtl/>
        </w:rPr>
        <w:t xml:space="preserve"> דמסתת וצר צורה ומנפח בכלי זכוכית ואקופי גלימי, חייב משום מכה בפטיש, ביאר </w:t>
      </w:r>
      <w:r w:rsidRPr="00255628">
        <w:rPr>
          <w:rStyle w:val="aff4"/>
          <w:rFonts w:hint="cs"/>
          <w:vanish/>
          <w:rtl/>
        </w:rPr>
        <w:t>-</w:t>
      </w:r>
      <w:r w:rsidRPr="00255628">
        <w:rPr>
          <w:rStyle w:val="aff4"/>
          <w:rFonts w:hint="cs"/>
          <w:rtl/>
        </w:rPr>
        <w:t>הרי"ד</w:t>
      </w:r>
      <w:r w:rsidRPr="00255628">
        <w:rPr>
          <w:rStyle w:val="aff4"/>
          <w:rFonts w:hint="cs"/>
          <w:vanish/>
          <w:rtl/>
        </w:rPr>
        <w:t>-</w:t>
      </w:r>
      <w:r>
        <w:rPr>
          <w:rFonts w:hint="cs"/>
          <w:rtl/>
        </w:rPr>
        <w:t xml:space="preserve"> דסיתות האבן הוא גמר המלאכה, דאחר הסיתות האבן ראויה לשקע אותה בתוך הבנין, </w:t>
      </w:r>
      <w:r w:rsidRPr="003772E4">
        <w:rPr>
          <w:rStyle w:val="af"/>
          <w:rFonts w:hint="cs"/>
          <w:rtl/>
        </w:rPr>
        <w:t xml:space="preserve">[אבל </w:t>
      </w:r>
      <w:r w:rsidRPr="003772E4">
        <w:rPr>
          <w:rStyle w:val="aff9"/>
          <w:rFonts w:hint="cs"/>
          <w:rtl/>
        </w:rPr>
        <w:t>התוס' והחי' המיוחסים לר"ן והמאירי</w:t>
      </w:r>
      <w:r w:rsidRPr="003772E4">
        <w:rPr>
          <w:rStyle w:val="af"/>
          <w:rFonts w:hint="cs"/>
          <w:rtl/>
        </w:rPr>
        <w:t xml:space="preserve"> </w:t>
      </w:r>
      <w:r w:rsidRPr="003772E4">
        <w:rPr>
          <w:rStyle w:val="aff0"/>
          <w:rFonts w:hint="cs"/>
          <w:rtl/>
        </w:rPr>
        <w:t xml:space="preserve">(עי' אות </w:t>
      </w:r>
      <w:r w:rsidRPr="003772E4">
        <w:rPr>
          <w:rStyle w:val="aff0"/>
          <w:rtl/>
        </w:rPr>
        <w:fldChar w:fldCharType="begin"/>
      </w:r>
      <w:r w:rsidRPr="003772E4">
        <w:rPr>
          <w:rStyle w:val="aff0"/>
          <w:rtl/>
        </w:rPr>
        <w:instrText xml:space="preserve"> </w:instrText>
      </w:r>
      <w:r w:rsidRPr="003772E4">
        <w:rPr>
          <w:rStyle w:val="aff0"/>
          <w:rFonts w:hint="cs"/>
        </w:rPr>
        <w:instrText>REF</w:instrText>
      </w:r>
      <w:r w:rsidRPr="003772E4">
        <w:rPr>
          <w:rStyle w:val="aff0"/>
          <w:rFonts w:hint="cs"/>
          <w:rtl/>
        </w:rPr>
        <w:instrText xml:space="preserve"> _</w:instrText>
      </w:r>
      <w:r w:rsidRPr="003772E4">
        <w:rPr>
          <w:rStyle w:val="aff0"/>
          <w:rFonts w:hint="cs"/>
        </w:rPr>
        <w:instrText>Ref144115688 \r \h</w:instrText>
      </w:r>
      <w:r w:rsidRPr="003772E4">
        <w:rPr>
          <w:rStyle w:val="aff0"/>
          <w:rtl/>
        </w:rPr>
        <w:instrText xml:space="preserve"> </w:instrText>
      </w:r>
      <w:r w:rsidRPr="003772E4">
        <w:rPr>
          <w:rStyle w:val="aff0"/>
          <w:rtl/>
        </w:rPr>
      </w:r>
      <w:r w:rsidRPr="003772E4">
        <w:rPr>
          <w:rStyle w:val="aff0"/>
          <w:rtl/>
        </w:rPr>
        <w:fldChar w:fldCharType="separate"/>
      </w:r>
      <w:r w:rsidR="00D82181">
        <w:rPr>
          <w:rStyle w:val="aff0"/>
          <w:cs/>
        </w:rPr>
        <w:t>‎</w:t>
      </w:r>
      <w:r w:rsidR="00D82181">
        <w:rPr>
          <w:rStyle w:val="aff0"/>
          <w:rtl/>
        </w:rPr>
        <w:t>כח)</w:t>
      </w:r>
      <w:r w:rsidRPr="003772E4">
        <w:rPr>
          <w:rStyle w:val="aff0"/>
          <w:rtl/>
        </w:rPr>
        <w:fldChar w:fldCharType="end"/>
      </w:r>
      <w:r w:rsidRPr="003772E4">
        <w:rPr>
          <w:rStyle w:val="af"/>
          <w:rtl/>
        </w:rPr>
        <w:t xml:space="preserve"> </w:t>
      </w:r>
      <w:r w:rsidRPr="003772E4">
        <w:rPr>
          <w:rStyle w:val="af"/>
          <w:rFonts w:hint="cs"/>
          <w:rtl/>
        </w:rPr>
        <w:t>ביארו דהסיתות הוא יפוי בעלמא ואינו מתקנה לבנין],</w:t>
      </w:r>
      <w:r>
        <w:rPr>
          <w:rFonts w:hint="cs"/>
          <w:rtl/>
        </w:rPr>
        <w:t xml:space="preserve"> ובצר צורה ביאר </w:t>
      </w:r>
      <w:r w:rsidRPr="00255628">
        <w:rPr>
          <w:rStyle w:val="aff4"/>
          <w:rFonts w:hint="cs"/>
          <w:rtl/>
        </w:rPr>
        <w:t xml:space="preserve">הרי"ד </w:t>
      </w:r>
      <w:r>
        <w:rPr>
          <w:rFonts w:hint="cs"/>
          <w:rtl/>
        </w:rPr>
        <w:t>דהדרך לצייר על כלים חדשים ליפותם והצורה הזו היא גמר המלאכה, ומנפח בכלי זכוכית דע"י הניפוח עושים את הכלי הוא גמר המלאכה, ואקופי גלימי הוא בגמר אריגת היריעה הוא מסלק במספרים את ראשי החוטין והקשרים הגסים, דכיון דקפיד עלייהו הוא גמר הכלי ודמי למכה בפטיש.</w:t>
      </w:r>
      <w:bookmarkEnd w:id="5062"/>
    </w:p>
    <w:p w14:paraId="02A857A6" w14:textId="77777777" w:rsidR="00A14FDA" w:rsidRPr="00BC7DC8" w:rsidRDefault="00A14FDA" w:rsidP="00A14FDA">
      <w:pPr>
        <w:pStyle w:val="afffffe"/>
        <w:rPr>
          <w:vanish/>
          <w:rtl/>
        </w:rPr>
      </w:pPr>
      <w:bookmarkStart w:id="5064" w:name="_Hlk143854206"/>
      <w:r w:rsidRPr="00BC7DC8">
        <w:rPr>
          <w:vanish/>
          <w:rtl/>
        </w:rPr>
        <w:t>פסקי רי"ד שבת ע</w:t>
      </w:r>
      <w:r w:rsidRPr="00BC7DC8">
        <w:rPr>
          <w:rFonts w:hint="cs"/>
          <w:vanish/>
          <w:rtl/>
        </w:rPr>
        <w:t>"ה ע"ב ד"ה והמסתת</w:t>
      </w:r>
    </w:p>
    <w:p w14:paraId="0F371CCD" w14:textId="77777777" w:rsidR="00A14FDA" w:rsidRPr="00D87F8B" w:rsidRDefault="00A14FDA" w:rsidP="00A14FDA">
      <w:pPr>
        <w:pStyle w:val="a2"/>
        <w:rPr>
          <w:rtl/>
        </w:rPr>
      </w:pPr>
      <w:r w:rsidRPr="00D87F8B">
        <w:rPr>
          <w:rtl/>
        </w:rPr>
        <w:t xml:space="preserve">והמסתת את האבן בשבת חייב משו' מכה בפטיש. פי' דמכה בפטיש הוי גמר מלאכה, דכל מידי דהוי גמר מלאכה הוי תולדת מכה בפטיש, וסיתות האבן היא גמר מלאכתה שמעכשיו היא ראויה לשקעה בבניין. ומכה בפטיש, פירש המורה שכן אומן מכה בקורנס על הסדן בגמר מלאכה. ואינו נראה לי, דאחר הוא המכה בקורנס על הסדן ממכה בפטיש, דהא לקמן בפרק הבונה תנן המסתת והמכה בפטיש ובמעצד והקודח כל שהוא חייב כול' עד רבן שמעון בן גמליאל אומ' אף המכה בקורנס על הסדן בשעת גמר מלאכה חייב מפני שהוא כמתקן מלאכה. </w:t>
      </w:r>
      <w:bookmarkStart w:id="5065" w:name="_Hlk143854361"/>
      <w:bookmarkEnd w:id="5064"/>
      <w:r w:rsidRPr="00D87F8B">
        <w:rPr>
          <w:rtl/>
        </w:rPr>
        <w:t xml:space="preserve">אלא אחר הוא זה מזה, דמכה בפטיש אינו מכה על הסדן אלא על הכלי, והתם בעי מכה על הסדן מאי קא עביד, [דמכה בפטיש ודאי קא עביד, דמתקן מנא. </w:t>
      </w:r>
      <w:bookmarkEnd w:id="5065"/>
      <w:r w:rsidRPr="00D87F8B">
        <w:rPr>
          <w:rtl/>
        </w:rPr>
        <w:t>אלא המכה בקורנס על הסדן מאי קא עביד]. ומכה בפטיש הוא לאחר שהכה בקורנס על העשת ופושטו לכאן ולכאן ועשה כל הכלי או על ידי הקשת קורנס או שהתיכו בדפוס, לוקח הפטיש שהוא קטן מן הקורנס ומכה עליו ומחליקו ומדבק סדקיו, וזהו גמר מלאכתו, וזאת המלאכה היתה בכלי שרת שהיו עושין במשכן, וכל גמר מלאכה למדנו ממנה. אמ' ר' שמעו' בן יאסינא אמ' ריש לקיש הצר בכלי צורה והמנפח בכלי זכוכית חייב משום מכה בפטיש. פי' דרך הכלים החדשים לציירן כדי לייפותן, ואותה הצורה שהוא עושה בהן היא גמר מלאכתן, וכן המנפח בכלי זכוכית על ידי ניפוחו עושה אותו כלי, והילכך הניפוח הזה חייב עליו חטאת שהיא גמר מלאכתו. אמ' רבה האי מאן דשקל אוקפי מגלימיה חייב משום מכה בפטיש, והוא דקפיד עלייהו. פי' כשאורג היריעה יוצאין ממנה ראשי חוטין וקשרין גסין, וכשגומר היריעה מסלקן במספרים, והן נקראין אוקפי, ואם סילקן בשבת כיון דקפיד עלייהו דהוי גמר כלי, ודומה למכה בפטיש.</w:t>
      </w:r>
    </w:p>
    <w:p w14:paraId="50589F5E" w14:textId="77777777" w:rsidR="00A14FDA" w:rsidRDefault="00A14FDA" w:rsidP="00A14FDA">
      <w:pPr>
        <w:pStyle w:val="1"/>
        <w:rPr>
          <w:rtl/>
        </w:rPr>
      </w:pPr>
      <w:bookmarkStart w:id="5066" w:name="_Toc144225239"/>
      <w:r>
        <w:rPr>
          <w:rFonts w:hint="cs"/>
          <w:rtl/>
        </w:rPr>
        <w:t>בי' רש"י באופני החיוב והפטור במכה בפטיש</w:t>
      </w:r>
      <w:r w:rsidRPr="001C4ADE">
        <w:rPr>
          <w:rFonts w:hint="cs"/>
          <w:rtl/>
        </w:rPr>
        <w:t xml:space="preserve"> </w:t>
      </w:r>
      <w:r>
        <w:rPr>
          <w:rFonts w:hint="cs"/>
          <w:rtl/>
        </w:rPr>
        <w:t>ובגדר המלאכה</w:t>
      </w:r>
      <w:bookmarkEnd w:id="5066"/>
    </w:p>
    <w:p w14:paraId="72E6C125" w14:textId="77777777" w:rsidR="00A14FDA" w:rsidRDefault="00A14FDA" w:rsidP="00A14FDA">
      <w:pPr>
        <w:pStyle w:val="afffff7"/>
        <w:rPr>
          <w:rtl/>
        </w:rPr>
      </w:pPr>
      <w:bookmarkStart w:id="5067" w:name="_Toc144224637"/>
      <w:bookmarkStart w:id="5068" w:name="_Toc163506185"/>
      <w:r>
        <w:rPr>
          <w:rtl/>
        </w:rPr>
        <w:t>רש"י שבת ק"ב ע"ב</w:t>
      </w:r>
      <w:r>
        <w:rPr>
          <w:rFonts w:hint="cs"/>
          <w:rtl/>
        </w:rPr>
        <w:t xml:space="preserve"> ד"ה מכה בפטיש</w:t>
      </w:r>
      <w:bookmarkEnd w:id="5067"/>
      <w:bookmarkEnd w:id="5068"/>
      <w:r w:rsidRPr="00421A47">
        <w:rPr>
          <w:vanish/>
          <w:rtl/>
        </w:rPr>
        <w:t xml:space="preserve"> (ב)</w:t>
      </w:r>
    </w:p>
    <w:p w14:paraId="198CAD24" w14:textId="77777777" w:rsidR="00A14FDA" w:rsidRDefault="00A14FDA" w:rsidP="00A14FDA">
      <w:pPr>
        <w:pStyle w:val="a7"/>
        <w:rPr>
          <w:rtl/>
        </w:rPr>
      </w:pPr>
      <w:bookmarkStart w:id="5069" w:name="_Toc144225240"/>
      <w:r>
        <w:rPr>
          <w:rFonts w:hint="cs"/>
          <w:rtl/>
        </w:rPr>
        <w:t>בי' רש"י דמסתת אבן הוי מכב"פ אעפ"י שלא גמר את כל האבן מ"מ במקום שחרץ גמר מלאכתו</w:t>
      </w:r>
      <w:bookmarkEnd w:id="5069"/>
    </w:p>
    <w:p w14:paraId="44DB0BEE" w14:textId="0C7D397F" w:rsidR="00A14FDA" w:rsidRPr="00A20FB2" w:rsidRDefault="00A14FDA" w:rsidP="00BC7DC8">
      <w:pPr>
        <w:pStyle w:val="a3"/>
        <w:rPr>
          <w:rtl/>
        </w:rPr>
      </w:pPr>
      <w:bookmarkStart w:id="5070" w:name="_Ref144152912"/>
      <w:bookmarkStart w:id="5071" w:name="_Ref144153066"/>
      <w:r>
        <w:rPr>
          <w:rFonts w:hint="cs"/>
          <w:rtl/>
        </w:rPr>
        <w:t>בהא דאמר שמואל דמסתת חייב משום מכה בפטיש, ביאר</w:t>
      </w:r>
      <w:r>
        <w:rPr>
          <w:rtl/>
        </w:rPr>
        <w:t xml:space="preserve"> </w:t>
      </w:r>
      <w:r w:rsidRPr="00286AF4">
        <w:rPr>
          <w:b/>
          <w:bCs/>
          <w:vanish/>
          <w:rtl/>
        </w:rPr>
        <w:t xml:space="preserve">&lt;, </w:t>
      </w:r>
      <w:r w:rsidRPr="00286AF4">
        <w:rPr>
          <w:b/>
          <w:bCs/>
          <w:vanish/>
          <w:rtl/>
        </w:rPr>
        <w:fldChar w:fldCharType="begin"/>
      </w:r>
      <w:r w:rsidRPr="00286AF4">
        <w:rPr>
          <w:b/>
          <w:bCs/>
          <w:vanish/>
          <w:rtl/>
        </w:rPr>
        <w:instrText xml:space="preserve"> </w:instrText>
      </w:r>
      <w:r w:rsidRPr="00286AF4">
        <w:rPr>
          <w:b/>
          <w:bCs/>
          <w:vanish/>
        </w:rPr>
        <w:instrText>REF</w:instrText>
      </w:r>
      <w:r w:rsidRPr="00286AF4">
        <w:rPr>
          <w:b/>
          <w:bCs/>
          <w:vanish/>
          <w:rtl/>
        </w:rPr>
        <w:instrText xml:space="preserve"> _</w:instrText>
      </w:r>
      <w:r w:rsidRPr="00286AF4">
        <w:rPr>
          <w:b/>
          <w:bCs/>
          <w:vanish/>
        </w:rPr>
        <w:instrText>Ref144152912 \r \h</w:instrText>
      </w:r>
      <w:r w:rsidRPr="00286AF4">
        <w:rPr>
          <w:b/>
          <w:bCs/>
          <w:vanish/>
          <w:rtl/>
        </w:rPr>
        <w:instrText xml:space="preserve"> </w:instrText>
      </w:r>
      <w:r w:rsidRPr="00286AF4">
        <w:rPr>
          <w:b/>
          <w:bCs/>
          <w:vanish/>
          <w:rtl/>
        </w:rPr>
      </w:r>
      <w:r w:rsidRPr="00286AF4">
        <w:rPr>
          <w:b/>
          <w:bCs/>
          <w:vanish/>
          <w:rtl/>
        </w:rPr>
        <w:fldChar w:fldCharType="separate"/>
      </w:r>
      <w:r w:rsidR="00D82181">
        <w:rPr>
          <w:b/>
          <w:bCs/>
          <w:vanish/>
          <w:cs/>
        </w:rPr>
        <w:t>‎</w:t>
      </w:r>
      <w:r w:rsidR="00D82181">
        <w:rPr>
          <w:b/>
          <w:bCs/>
          <w:vanish/>
          <w:rtl/>
        </w:rPr>
        <w:t>יב)</w:t>
      </w:r>
      <w:r w:rsidRPr="00286AF4">
        <w:rPr>
          <w:b/>
          <w:bCs/>
          <w:vanish/>
          <w:rtl/>
        </w:rPr>
        <w:fldChar w:fldCharType="end"/>
      </w:r>
      <w:r w:rsidRPr="00286AF4">
        <w:rPr>
          <w:b/>
          <w:bCs/>
          <w:vanish/>
          <w:rtl/>
        </w:rPr>
        <w:t xml:space="preserve"> &gt;</w:t>
      </w:r>
      <w:r w:rsidRPr="00286AF4">
        <w:rPr>
          <w:rFonts w:hint="cs"/>
          <w:b/>
          <w:bCs/>
          <w:rtl/>
        </w:rPr>
        <w:t>רש"י</w:t>
      </w:r>
      <w:r w:rsidRPr="00286AF4">
        <w:rPr>
          <w:b/>
          <w:bCs/>
          <w:rtl/>
        </w:rPr>
        <w:t xml:space="preserve"> </w:t>
      </w:r>
      <w:r w:rsidRPr="00286AF4">
        <w:rPr>
          <w:rFonts w:ascii="Calibri" w:eastAsia="Times New Roman" w:hAnsi="Calibri" w:cs="Guttman Rashi"/>
          <w:sz w:val="10"/>
          <w:szCs w:val="12"/>
          <w:rtl/>
        </w:rPr>
        <w:t>(</w:t>
      </w:r>
      <w:r w:rsidRPr="00286AF4">
        <w:rPr>
          <w:rFonts w:ascii="Calibri" w:eastAsia="Times New Roman" w:hAnsi="Calibri" w:cs="Guttman Rashi" w:hint="cs"/>
          <w:sz w:val="10"/>
          <w:szCs w:val="12"/>
          <w:rtl/>
        </w:rPr>
        <w:t>ד"ה מכה בפטיש</w:t>
      </w:r>
      <w:r w:rsidRPr="00286AF4">
        <w:rPr>
          <w:rFonts w:ascii="Calibri" w:eastAsia="Times New Roman" w:hAnsi="Calibri" w:cs="Guttman Rashi"/>
          <w:sz w:val="10"/>
          <w:szCs w:val="12"/>
          <w:rtl/>
        </w:rPr>
        <w:t>)</w:t>
      </w:r>
      <w:r w:rsidRPr="00286AF4">
        <w:rPr>
          <w:vanish/>
          <w:rtl/>
        </w:rPr>
        <w:t>=</w:t>
      </w:r>
      <w:r>
        <w:rPr>
          <w:rtl/>
        </w:rPr>
        <w:t xml:space="preserve"> </w:t>
      </w:r>
      <w:r>
        <w:rPr>
          <w:rFonts w:hint="cs"/>
          <w:rtl/>
        </w:rPr>
        <w:t xml:space="preserve">דהסיתות הוא גמר מלאכה, כיון דבמקום שסיתת וחרץ חריץ, לא יחזור ויחרוץ חריץ, ועי' במה שהקשה </w:t>
      </w:r>
      <w:r w:rsidRPr="00275DA3">
        <w:rPr>
          <w:rStyle w:val="aff4"/>
          <w:rFonts w:hint="cs"/>
          <w:rtl/>
        </w:rPr>
        <w:t>האגרות משה</w:t>
      </w:r>
      <w:r>
        <w:rPr>
          <w:rFonts w:hint="cs"/>
          <w:rtl/>
        </w:rPr>
        <w:t xml:space="preserve"> </w:t>
      </w:r>
      <w:r w:rsidRPr="00286AF4">
        <w:rPr>
          <w:rStyle w:val="af2"/>
          <w:rFonts w:eastAsia="Guttman Hodes" w:hint="cs"/>
          <w:rtl/>
        </w:rPr>
        <w:t xml:space="preserve">(עי' אות </w:t>
      </w:r>
      <w:r w:rsidRPr="00286AF4">
        <w:rPr>
          <w:rStyle w:val="af2"/>
          <w:rFonts w:eastAsia="Guttman Hodes"/>
          <w:rtl/>
        </w:rPr>
        <w:fldChar w:fldCharType="begin"/>
      </w:r>
      <w:r w:rsidRPr="00286AF4">
        <w:rPr>
          <w:rStyle w:val="af2"/>
          <w:rFonts w:eastAsia="Guttman Hodes"/>
          <w:rtl/>
        </w:rPr>
        <w:instrText xml:space="preserve"> </w:instrText>
      </w:r>
      <w:r w:rsidRPr="00286AF4">
        <w:rPr>
          <w:rStyle w:val="af2"/>
          <w:rFonts w:eastAsia="Guttman Hodes" w:hint="cs"/>
        </w:rPr>
        <w:instrText>REF</w:instrText>
      </w:r>
      <w:r w:rsidRPr="00286AF4">
        <w:rPr>
          <w:rStyle w:val="af2"/>
          <w:rFonts w:eastAsia="Guttman Hodes" w:hint="cs"/>
          <w:rtl/>
        </w:rPr>
        <w:instrText xml:space="preserve"> _</w:instrText>
      </w:r>
      <w:r w:rsidRPr="00286AF4">
        <w:rPr>
          <w:rStyle w:val="af2"/>
          <w:rFonts w:eastAsia="Guttman Hodes" w:hint="cs"/>
        </w:rPr>
        <w:instrText>Ref144117228 \r \h</w:instrText>
      </w:r>
      <w:r w:rsidRPr="00286AF4">
        <w:rPr>
          <w:rStyle w:val="af2"/>
          <w:rFonts w:eastAsia="Guttman Hodes"/>
          <w:rtl/>
        </w:rPr>
        <w:instrText xml:space="preserve"> </w:instrText>
      </w:r>
      <w:r w:rsidRPr="00286AF4">
        <w:rPr>
          <w:rStyle w:val="af2"/>
          <w:rFonts w:eastAsia="Guttman Hodes"/>
          <w:rtl/>
        </w:rPr>
      </w:r>
      <w:r w:rsidRPr="00286AF4">
        <w:rPr>
          <w:rStyle w:val="af2"/>
          <w:rFonts w:eastAsia="Guttman Hodes"/>
          <w:rtl/>
        </w:rPr>
        <w:fldChar w:fldCharType="separate"/>
      </w:r>
      <w:r w:rsidR="00D82181">
        <w:rPr>
          <w:rStyle w:val="af2"/>
          <w:rFonts w:eastAsia="Guttman Hodes"/>
          <w:cs/>
        </w:rPr>
        <w:t>‎</w:t>
      </w:r>
      <w:r w:rsidR="00D82181">
        <w:rPr>
          <w:rStyle w:val="af2"/>
          <w:rFonts w:eastAsia="Guttman Hodes"/>
          <w:rtl/>
        </w:rPr>
        <w:t>כב)</w:t>
      </w:r>
      <w:r w:rsidRPr="00286AF4">
        <w:rPr>
          <w:rStyle w:val="af2"/>
          <w:rFonts w:eastAsia="Guttman Hodes"/>
          <w:rtl/>
        </w:rPr>
        <w:fldChar w:fldCharType="end"/>
      </w:r>
      <w:r>
        <w:rPr>
          <w:rFonts w:hint="cs"/>
          <w:rtl/>
        </w:rPr>
        <w:t xml:space="preserve"> ובמה שביארו</w:t>
      </w:r>
      <w:bookmarkEnd w:id="5070"/>
      <w:r>
        <w:rPr>
          <w:rFonts w:hint="cs"/>
          <w:rtl/>
        </w:rPr>
        <w:t xml:space="preserve"> </w:t>
      </w:r>
      <w:r w:rsidRPr="007A6BD4">
        <w:rPr>
          <w:rStyle w:val="aff4"/>
          <w:rFonts w:hint="cs"/>
          <w:rtl/>
        </w:rPr>
        <w:t>ה</w:t>
      </w:r>
      <w:r w:rsidRPr="00835F6D">
        <w:rPr>
          <w:rStyle w:val="aff4"/>
          <w:rFonts w:hint="cs"/>
          <w:vanish/>
          <w:rtl/>
        </w:rPr>
        <w:t>&lt; &gt;</w:t>
      </w:r>
      <w:r w:rsidRPr="007A6BD4">
        <w:rPr>
          <w:rStyle w:val="aff4"/>
          <w:rFonts w:hint="cs"/>
          <w:rtl/>
        </w:rPr>
        <w:t>אגרות משה</w:t>
      </w:r>
      <w:r>
        <w:rPr>
          <w:rFonts w:hint="cs"/>
          <w:rtl/>
        </w:rPr>
        <w:t xml:space="preserve"> </w:t>
      </w:r>
      <w:r w:rsidRPr="00286AF4">
        <w:rPr>
          <w:rStyle w:val="af2"/>
          <w:rFonts w:eastAsia="Guttman Hodes" w:hint="cs"/>
          <w:rtl/>
        </w:rPr>
        <w:t xml:space="preserve">(עי' אות </w:t>
      </w:r>
      <w:r w:rsidRPr="00286AF4">
        <w:rPr>
          <w:rStyle w:val="af2"/>
          <w:rFonts w:eastAsia="Guttman Hodes"/>
          <w:rtl/>
        </w:rPr>
        <w:fldChar w:fldCharType="begin"/>
      </w:r>
      <w:r w:rsidRPr="00286AF4">
        <w:rPr>
          <w:rStyle w:val="af2"/>
          <w:rFonts w:eastAsia="Guttman Hodes"/>
          <w:rtl/>
        </w:rPr>
        <w:instrText xml:space="preserve"> </w:instrText>
      </w:r>
      <w:r w:rsidRPr="00286AF4">
        <w:rPr>
          <w:rStyle w:val="af2"/>
          <w:rFonts w:eastAsia="Guttman Hodes" w:hint="cs"/>
        </w:rPr>
        <w:instrText>REF</w:instrText>
      </w:r>
      <w:r w:rsidRPr="00286AF4">
        <w:rPr>
          <w:rStyle w:val="af2"/>
          <w:rFonts w:eastAsia="Guttman Hodes" w:hint="cs"/>
          <w:rtl/>
        </w:rPr>
        <w:instrText xml:space="preserve"> _</w:instrText>
      </w:r>
      <w:r w:rsidRPr="00286AF4">
        <w:rPr>
          <w:rStyle w:val="af2"/>
          <w:rFonts w:eastAsia="Guttman Hodes" w:hint="cs"/>
        </w:rPr>
        <w:instrText>Ref144153238 \r \h</w:instrText>
      </w:r>
      <w:r w:rsidRPr="00286AF4">
        <w:rPr>
          <w:rStyle w:val="af2"/>
          <w:rFonts w:eastAsia="Guttman Hodes"/>
          <w:rtl/>
        </w:rPr>
        <w:instrText xml:space="preserve"> </w:instrText>
      </w:r>
      <w:r w:rsidRPr="00286AF4">
        <w:rPr>
          <w:rStyle w:val="af2"/>
          <w:rFonts w:eastAsia="Guttman Hodes"/>
          <w:rtl/>
        </w:rPr>
      </w:r>
      <w:r w:rsidRPr="00286AF4">
        <w:rPr>
          <w:rStyle w:val="af2"/>
          <w:rFonts w:eastAsia="Guttman Hodes"/>
          <w:rtl/>
        </w:rPr>
        <w:fldChar w:fldCharType="separate"/>
      </w:r>
      <w:r w:rsidR="00D82181">
        <w:rPr>
          <w:rStyle w:val="af2"/>
          <w:rFonts w:eastAsia="Guttman Hodes"/>
          <w:cs/>
        </w:rPr>
        <w:t>‎</w:t>
      </w:r>
      <w:r w:rsidR="00D82181">
        <w:rPr>
          <w:rStyle w:val="af2"/>
          <w:rFonts w:eastAsia="Guttman Hodes"/>
          <w:rtl/>
        </w:rPr>
        <w:t>כו)</w:t>
      </w:r>
      <w:r w:rsidRPr="00286AF4">
        <w:rPr>
          <w:rStyle w:val="af2"/>
          <w:rFonts w:eastAsia="Guttman Hodes"/>
          <w:rtl/>
        </w:rPr>
        <w:fldChar w:fldCharType="end"/>
      </w:r>
      <w:r w:rsidRPr="00286AF4">
        <w:rPr>
          <w:vanish/>
          <w:rtl/>
        </w:rPr>
        <w:t>=</w:t>
      </w:r>
      <w:r w:rsidRPr="00286AF4">
        <w:rPr>
          <w:rStyle w:val="af2"/>
          <w:rFonts w:eastAsia="Guttman Hodes" w:hint="cs"/>
          <w:rtl/>
        </w:rPr>
        <w:t xml:space="preserve"> </w:t>
      </w:r>
      <w:r w:rsidRPr="007A6BD4">
        <w:rPr>
          <w:rStyle w:val="aff4"/>
          <w:rFonts w:hint="cs"/>
          <w:rtl/>
        </w:rPr>
        <w:t>וה</w:t>
      </w:r>
      <w:r w:rsidRPr="00835F6D">
        <w:rPr>
          <w:rStyle w:val="aff4"/>
          <w:rFonts w:hint="cs"/>
          <w:vanish/>
          <w:rtl/>
        </w:rPr>
        <w:t>&lt; &gt;</w:t>
      </w:r>
      <w:r w:rsidRPr="007A6BD4">
        <w:rPr>
          <w:rStyle w:val="aff4"/>
          <w:rFonts w:hint="cs"/>
          <w:rtl/>
        </w:rPr>
        <w:t>קהלות יעקב</w:t>
      </w:r>
      <w:r>
        <w:rPr>
          <w:rFonts w:hint="cs"/>
          <w:rtl/>
        </w:rPr>
        <w:t xml:space="preserve"> </w:t>
      </w:r>
      <w:r w:rsidRPr="00286AF4">
        <w:rPr>
          <w:rStyle w:val="af2"/>
          <w:rFonts w:eastAsia="Guttman Hodes" w:hint="cs"/>
          <w:rtl/>
        </w:rPr>
        <w:t xml:space="preserve">(עי' אות </w:t>
      </w:r>
      <w:r w:rsidRPr="00286AF4">
        <w:rPr>
          <w:rStyle w:val="af2"/>
          <w:rFonts w:eastAsia="Guttman Hodes"/>
          <w:rtl/>
        </w:rPr>
        <w:fldChar w:fldCharType="begin"/>
      </w:r>
      <w:r w:rsidRPr="00286AF4">
        <w:rPr>
          <w:rStyle w:val="af2"/>
          <w:rFonts w:eastAsia="Guttman Hodes"/>
          <w:rtl/>
        </w:rPr>
        <w:instrText xml:space="preserve"> </w:instrText>
      </w:r>
      <w:r w:rsidRPr="00286AF4">
        <w:rPr>
          <w:rStyle w:val="af2"/>
          <w:rFonts w:eastAsia="Guttman Hodes" w:hint="cs"/>
        </w:rPr>
        <w:instrText>REF</w:instrText>
      </w:r>
      <w:r w:rsidRPr="00286AF4">
        <w:rPr>
          <w:rStyle w:val="af2"/>
          <w:rFonts w:eastAsia="Guttman Hodes" w:hint="cs"/>
          <w:rtl/>
        </w:rPr>
        <w:instrText xml:space="preserve"> _</w:instrText>
      </w:r>
      <w:r w:rsidRPr="00286AF4">
        <w:rPr>
          <w:rStyle w:val="af2"/>
          <w:rFonts w:eastAsia="Guttman Hodes" w:hint="cs"/>
        </w:rPr>
        <w:instrText>Ref144117359 \r \h</w:instrText>
      </w:r>
      <w:r w:rsidRPr="00286AF4">
        <w:rPr>
          <w:rStyle w:val="af2"/>
          <w:rFonts w:eastAsia="Guttman Hodes"/>
          <w:rtl/>
        </w:rPr>
        <w:instrText xml:space="preserve"> </w:instrText>
      </w:r>
      <w:r w:rsidRPr="00286AF4">
        <w:rPr>
          <w:rStyle w:val="af2"/>
          <w:rFonts w:eastAsia="Guttman Hodes"/>
          <w:rtl/>
        </w:rPr>
      </w:r>
      <w:r w:rsidRPr="00286AF4">
        <w:rPr>
          <w:rStyle w:val="af2"/>
          <w:rFonts w:eastAsia="Guttman Hodes"/>
          <w:rtl/>
        </w:rPr>
        <w:fldChar w:fldCharType="separate"/>
      </w:r>
      <w:r w:rsidR="00D82181">
        <w:rPr>
          <w:rStyle w:val="af2"/>
          <w:rFonts w:eastAsia="Guttman Hodes"/>
          <w:cs/>
        </w:rPr>
        <w:t>‎</w:t>
      </w:r>
      <w:r w:rsidR="00D82181">
        <w:rPr>
          <w:rStyle w:val="af2"/>
          <w:rFonts w:eastAsia="Guttman Hodes"/>
          <w:rtl/>
        </w:rPr>
        <w:t>עד)</w:t>
      </w:r>
      <w:r w:rsidRPr="00286AF4">
        <w:rPr>
          <w:rStyle w:val="af2"/>
          <w:rFonts w:eastAsia="Guttman Hodes"/>
          <w:rtl/>
        </w:rPr>
        <w:fldChar w:fldCharType="end"/>
      </w:r>
      <w:r w:rsidRPr="00286AF4">
        <w:rPr>
          <w:vanish/>
          <w:rtl/>
        </w:rPr>
        <w:t>=</w:t>
      </w:r>
      <w:r w:rsidRPr="00286AF4">
        <w:rPr>
          <w:rStyle w:val="af2"/>
          <w:rFonts w:eastAsia="Guttman Hodes" w:hint="cs"/>
          <w:rtl/>
        </w:rPr>
        <w:t xml:space="preserve"> </w:t>
      </w:r>
      <w:r>
        <w:rPr>
          <w:rFonts w:hint="cs"/>
          <w:rtl/>
        </w:rPr>
        <w:t>אמאי חשיב גמר מלאכה בזה.</w:t>
      </w:r>
      <w:bookmarkEnd w:id="5071"/>
    </w:p>
    <w:p w14:paraId="226578BD" w14:textId="77777777" w:rsidR="00A14FDA" w:rsidRPr="00BC7DC8" w:rsidRDefault="00A14FDA" w:rsidP="00A14FDA">
      <w:pPr>
        <w:pStyle w:val="afffffe"/>
        <w:rPr>
          <w:vanish/>
          <w:rtl/>
        </w:rPr>
      </w:pPr>
      <w:r w:rsidRPr="00BC7DC8">
        <w:rPr>
          <w:vanish/>
          <w:rtl/>
        </w:rPr>
        <w:t>רש"י שבת ק"ב ע"ב</w:t>
      </w:r>
      <w:r w:rsidRPr="00BC7DC8">
        <w:rPr>
          <w:rFonts w:hint="cs"/>
          <w:vanish/>
          <w:rtl/>
        </w:rPr>
        <w:t xml:space="preserve"> ד"ה מכה בפטיש</w:t>
      </w:r>
    </w:p>
    <w:p w14:paraId="29D5A4E2" w14:textId="77777777" w:rsidR="00A14FDA" w:rsidRPr="007A6BD4" w:rsidRDefault="00A14FDA" w:rsidP="00A14FDA">
      <w:pPr>
        <w:pStyle w:val="a2"/>
      </w:pPr>
      <w:r w:rsidRPr="007A6BD4">
        <w:rPr>
          <w:rtl/>
        </w:rPr>
        <w:t>מכה בפטיש - גמר מלאכה הוא, שהמקום שחרץ חריץ זה לא יחרוץ עוד.</w:t>
      </w:r>
    </w:p>
    <w:p w14:paraId="04232AC0" w14:textId="77777777" w:rsidR="00A14FDA" w:rsidRDefault="00A14FDA" w:rsidP="00A14FDA">
      <w:pPr>
        <w:pStyle w:val="afffff7"/>
        <w:rPr>
          <w:rtl/>
        </w:rPr>
      </w:pPr>
      <w:bookmarkStart w:id="5072" w:name="_Toc144224638"/>
      <w:bookmarkStart w:id="5073" w:name="_Toc163506186"/>
      <w:r>
        <w:rPr>
          <w:rtl/>
        </w:rPr>
        <w:t>רש"י שבת ע"ד ע"ב</w:t>
      </w:r>
      <w:r>
        <w:rPr>
          <w:rFonts w:hint="cs"/>
          <w:rtl/>
        </w:rPr>
        <w:t xml:space="preserve"> ד"ה תנור</w:t>
      </w:r>
      <w:bookmarkEnd w:id="5072"/>
      <w:bookmarkEnd w:id="5073"/>
      <w:r w:rsidRPr="00421A47">
        <w:rPr>
          <w:vanish/>
          <w:rtl/>
        </w:rPr>
        <w:t xml:space="preserve"> (ב)</w:t>
      </w:r>
    </w:p>
    <w:p w14:paraId="542BC783" w14:textId="77777777" w:rsidR="00A14FDA" w:rsidRDefault="00A14FDA" w:rsidP="00A14FDA">
      <w:pPr>
        <w:pStyle w:val="a7"/>
        <w:rPr>
          <w:rtl/>
        </w:rPr>
      </w:pPr>
      <w:bookmarkStart w:id="5074" w:name="_Toc144225241"/>
      <w:r>
        <w:rPr>
          <w:rFonts w:hint="cs"/>
          <w:rtl/>
        </w:rPr>
        <w:t>בי' רש"י דבדבר שנגמר מאיליו לא שייך חיוב מכה בפטיש וזהו החילוק בין חביתא לתנורא</w:t>
      </w:r>
      <w:bookmarkEnd w:id="5074"/>
    </w:p>
    <w:p w14:paraId="2E91DC89" w14:textId="1E69C564" w:rsidR="00A14FDA" w:rsidRPr="00A4521C" w:rsidRDefault="00A14FDA" w:rsidP="00BC7DC8">
      <w:pPr>
        <w:pStyle w:val="a3"/>
        <w:rPr>
          <w:rtl/>
        </w:rPr>
      </w:pPr>
      <w:bookmarkStart w:id="5075" w:name="_Ref143793569"/>
      <w:bookmarkStart w:id="5076" w:name="_Ref144199731"/>
      <w:r>
        <w:rPr>
          <w:rFonts w:hint="cs"/>
          <w:rtl/>
        </w:rPr>
        <w:t xml:space="preserve">בדברי רבא בגמ' לעיל </w:t>
      </w:r>
      <w:r w:rsidRPr="00C8052D">
        <w:rPr>
          <w:rStyle w:val="af2"/>
          <w:rFonts w:eastAsia="Guttman Hodes" w:hint="cs"/>
          <w:rtl/>
        </w:rPr>
        <w:t>(עד:)</w:t>
      </w:r>
      <w:r>
        <w:rPr>
          <w:rFonts w:hint="cs"/>
          <w:rtl/>
        </w:rPr>
        <w:t xml:space="preserve"> דבחביתא חייב שבע ובתנור שמונה, ביאר </w:t>
      </w:r>
      <w:r w:rsidRPr="00255628">
        <w:rPr>
          <w:rFonts w:hint="cs"/>
          <w:vanish/>
          <w:rtl/>
        </w:rPr>
        <w:t xml:space="preserve">&lt;, </w:t>
      </w:r>
      <w:r w:rsidRPr="00255628">
        <w:rPr>
          <w:vanish/>
          <w:rtl/>
        </w:rPr>
        <w:fldChar w:fldCharType="begin"/>
      </w:r>
      <w:r w:rsidRPr="00255628">
        <w:rPr>
          <w:vanish/>
          <w:rtl/>
        </w:rPr>
        <w:instrText xml:space="preserve"> </w:instrText>
      </w:r>
      <w:r w:rsidRPr="00255628">
        <w:rPr>
          <w:rFonts w:hint="cs"/>
          <w:vanish/>
        </w:rPr>
        <w:instrText>REF</w:instrText>
      </w:r>
      <w:r w:rsidRPr="00255628">
        <w:rPr>
          <w:rFonts w:hint="cs"/>
          <w:vanish/>
          <w:rtl/>
        </w:rPr>
        <w:instrText xml:space="preserve"> _</w:instrText>
      </w:r>
      <w:r w:rsidRPr="00255628">
        <w:rPr>
          <w:rFonts w:hint="cs"/>
          <w:vanish/>
        </w:rPr>
        <w:instrText>Ref143793569 \r \h</w:instrText>
      </w:r>
      <w:r w:rsidRPr="00255628">
        <w:rPr>
          <w:vanish/>
          <w:rtl/>
        </w:rPr>
        <w:instrText xml:space="preserve"> </w:instrText>
      </w:r>
      <w:r w:rsidRPr="00255628">
        <w:rPr>
          <w:vanish/>
          <w:rtl/>
        </w:rPr>
      </w:r>
      <w:r w:rsidRPr="00255628">
        <w:rPr>
          <w:vanish/>
          <w:rtl/>
        </w:rPr>
        <w:fldChar w:fldCharType="separate"/>
      </w:r>
      <w:r w:rsidR="00D82181">
        <w:rPr>
          <w:vanish/>
          <w:cs/>
        </w:rPr>
        <w:t>‎</w:t>
      </w:r>
      <w:r w:rsidR="00D82181">
        <w:rPr>
          <w:vanish/>
          <w:rtl/>
        </w:rPr>
        <w:t>יג)</w:t>
      </w:r>
      <w:r w:rsidRPr="00255628">
        <w:rPr>
          <w:vanish/>
          <w:rtl/>
        </w:rPr>
        <w:fldChar w:fldCharType="end"/>
      </w:r>
      <w:r w:rsidRPr="00255628">
        <w:rPr>
          <w:rFonts w:hint="cs"/>
          <w:vanish/>
          <w:rtl/>
        </w:rPr>
        <w:t xml:space="preserve"> &gt;</w:t>
      </w:r>
      <w:r w:rsidRPr="00255628">
        <w:rPr>
          <w:rStyle w:val="aff4"/>
          <w:rFonts w:hint="cs"/>
          <w:vanish/>
          <w:rtl/>
        </w:rPr>
        <w:t>-</w:t>
      </w:r>
      <w:r w:rsidRPr="00255628">
        <w:rPr>
          <w:rStyle w:val="aff4"/>
          <w:rFonts w:hint="cs"/>
          <w:rtl/>
        </w:rPr>
        <w:t>רש"י לעיל</w:t>
      </w:r>
      <w:r w:rsidRPr="00255628">
        <w:rPr>
          <w:rStyle w:val="aff4"/>
          <w:rFonts w:hint="cs"/>
          <w:vanish/>
          <w:rtl/>
        </w:rPr>
        <w:t>-</w:t>
      </w:r>
      <w:r>
        <w:rPr>
          <w:rFonts w:hint="cs"/>
          <w:rtl/>
        </w:rPr>
        <w:t xml:space="preserve"> </w:t>
      </w:r>
      <w:r w:rsidRPr="00C8052D">
        <w:rPr>
          <w:rStyle w:val="af2"/>
          <w:rFonts w:eastAsia="Guttman Hodes" w:hint="cs"/>
          <w:rtl/>
        </w:rPr>
        <w:t>(עד: ד"ה תנור)</w:t>
      </w:r>
      <w:r w:rsidRPr="00255628">
        <w:rPr>
          <w:rFonts w:hint="cs"/>
          <w:vanish/>
          <w:rtl/>
        </w:rPr>
        <w:t>=</w:t>
      </w:r>
      <w:r>
        <w:rPr>
          <w:rFonts w:hint="cs"/>
          <w:rtl/>
        </w:rPr>
        <w:t xml:space="preserve"> דאחר שהוא מצרף את התנור בכבשן, טח עליו טפילה כדי שהתנור יהיה עבה והחום שבו יתקיים בתוכו, וזהו גמר המלאכה, ואיתא בגמ' לעיל </w:t>
      </w:r>
      <w:r w:rsidRPr="00C8052D">
        <w:rPr>
          <w:rStyle w:val="af2"/>
          <w:rFonts w:eastAsia="Guttman Hodes" w:hint="cs"/>
          <w:rtl/>
        </w:rPr>
        <w:t>(עה:)</w:t>
      </w:r>
      <w:r>
        <w:rPr>
          <w:rFonts w:hint="cs"/>
          <w:rtl/>
        </w:rPr>
        <w:t xml:space="preserve"> דבכל גמר מלאכה חייב משום מכה בפטיש, אך כתב </w:t>
      </w:r>
      <w:r w:rsidRPr="00255628">
        <w:rPr>
          <w:rStyle w:val="aff4"/>
          <w:rFonts w:hint="cs"/>
          <w:vanish/>
          <w:rtl/>
        </w:rPr>
        <w:t>-</w:t>
      </w:r>
      <w:r w:rsidRPr="00255628">
        <w:rPr>
          <w:rStyle w:val="aff4"/>
          <w:rFonts w:hint="cs"/>
          <w:rtl/>
        </w:rPr>
        <w:t>רש"י</w:t>
      </w:r>
      <w:r w:rsidRPr="00255628">
        <w:rPr>
          <w:rStyle w:val="aff4"/>
          <w:rFonts w:hint="cs"/>
          <w:vanish/>
          <w:rtl/>
        </w:rPr>
        <w:t>-</w:t>
      </w:r>
      <w:r>
        <w:rPr>
          <w:rFonts w:hint="cs"/>
          <w:rtl/>
        </w:rPr>
        <w:t xml:space="preserve"> דבחבית א"א לחייב משום מכה בפטיש, כיון שהיא נגמרת מאיליה בתנור, ועי' במה שביארו </w:t>
      </w:r>
      <w:r w:rsidRPr="00255628">
        <w:rPr>
          <w:rStyle w:val="aff4"/>
          <w:rFonts w:hint="cs"/>
          <w:vanish/>
          <w:rtl/>
        </w:rPr>
        <w:t>-</w:t>
      </w:r>
      <w:r w:rsidRPr="00255628">
        <w:rPr>
          <w:rStyle w:val="aff4"/>
          <w:rFonts w:hint="cs"/>
          <w:rtl/>
        </w:rPr>
        <w:t>ה</w:t>
      </w:r>
      <w:r w:rsidRPr="00835F6D">
        <w:rPr>
          <w:rStyle w:val="aff4"/>
          <w:rFonts w:hint="cs"/>
          <w:vanish/>
          <w:rtl/>
        </w:rPr>
        <w:t>&lt; &gt;</w:t>
      </w:r>
      <w:r w:rsidRPr="00255628">
        <w:rPr>
          <w:rStyle w:val="aff4"/>
          <w:rFonts w:hint="cs"/>
          <w:rtl/>
        </w:rPr>
        <w:t>אמרי בינה</w:t>
      </w:r>
      <w:r w:rsidRPr="00255628">
        <w:rPr>
          <w:rStyle w:val="aff4"/>
          <w:rFonts w:hint="cs"/>
          <w:vanish/>
          <w:rtl/>
        </w:rPr>
        <w:t>-</w:t>
      </w:r>
      <w:r>
        <w:rPr>
          <w:rFonts w:hint="cs"/>
          <w:rtl/>
        </w:rPr>
        <w:t xml:space="preserve"> </w:t>
      </w:r>
      <w:r w:rsidRPr="00573A7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Ref143877950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מא)</w:t>
      </w:r>
      <w:r>
        <w:rPr>
          <w:rStyle w:val="af2"/>
          <w:rFonts w:eastAsia="Guttman Hodes"/>
          <w:rtl/>
        </w:rPr>
        <w:fldChar w:fldCharType="end"/>
      </w:r>
      <w:r>
        <w:rPr>
          <w:vanish/>
          <w:rtl/>
        </w:rPr>
        <w:t>=</w:t>
      </w:r>
      <w:r>
        <w:rPr>
          <w:rStyle w:val="af2"/>
          <w:rFonts w:eastAsia="Guttman Hodes" w:hint="cs"/>
          <w:rtl/>
        </w:rPr>
        <w:t xml:space="preserve"> </w:t>
      </w:r>
      <w:r w:rsidRPr="00573A7D">
        <w:rPr>
          <w:rStyle w:val="aff4"/>
          <w:rFonts w:hint="cs"/>
          <w:vanish/>
          <w:rtl/>
        </w:rPr>
        <w:t>-</w:t>
      </w:r>
      <w:r w:rsidRPr="00573A7D">
        <w:rPr>
          <w:rStyle w:val="aff4"/>
          <w:rFonts w:hint="cs"/>
          <w:rtl/>
        </w:rPr>
        <w:t>וה</w:t>
      </w:r>
      <w:r w:rsidRPr="00835F6D">
        <w:rPr>
          <w:rStyle w:val="aff4"/>
          <w:rFonts w:hint="cs"/>
          <w:vanish/>
          <w:rtl/>
        </w:rPr>
        <w:t>&lt; &gt;</w:t>
      </w:r>
      <w:r w:rsidRPr="00573A7D">
        <w:rPr>
          <w:rStyle w:val="aff4"/>
          <w:rFonts w:hint="cs"/>
          <w:rtl/>
        </w:rPr>
        <w:t>מנחת שלמה</w:t>
      </w:r>
      <w:r w:rsidRPr="00573A7D">
        <w:rPr>
          <w:rStyle w:val="aff4"/>
          <w:rFonts w:hint="cs"/>
          <w:vanish/>
          <w:rtl/>
        </w:rPr>
        <w:t>-</w:t>
      </w:r>
      <w:r w:rsidRPr="00C8052D">
        <w:rPr>
          <w:rStyle w:val="af2"/>
          <w:rFonts w:eastAsia="Guttman Hodes" w:hint="cs"/>
          <w:rtl/>
        </w:rPr>
        <w:t xml:space="preserve"> </w:t>
      </w:r>
      <w:r w:rsidRPr="00573A7D">
        <w:rPr>
          <w:rStyle w:val="af2"/>
          <w:rFonts w:eastAsia="Guttman Hodes" w:hint="cs"/>
          <w:rtl/>
        </w:rPr>
        <w:t>(עי' אות</w:t>
      </w:r>
      <w:bookmarkEnd w:id="5075"/>
      <w:r w:rsidRPr="00573A7D">
        <w:rPr>
          <w:rStyle w:val="af2"/>
          <w:rFonts w:eastAsia="Guttman Hodes" w:hint="cs"/>
          <w:rtl/>
        </w:rPr>
        <w:t xml:space="preserve"> </w:t>
      </w:r>
      <w:r w:rsidRPr="00573A7D">
        <w:rPr>
          <w:rStyle w:val="af2"/>
          <w:rFonts w:eastAsia="Guttman Hodes"/>
          <w:rtl/>
        </w:rPr>
        <w:fldChar w:fldCharType="begin"/>
      </w:r>
      <w:r w:rsidRPr="00573A7D">
        <w:rPr>
          <w:rStyle w:val="af2"/>
          <w:rFonts w:eastAsia="Guttman Hodes"/>
          <w:rtl/>
        </w:rPr>
        <w:instrText xml:space="preserve"> </w:instrText>
      </w:r>
      <w:r w:rsidRPr="00573A7D">
        <w:rPr>
          <w:rStyle w:val="af2"/>
          <w:rFonts w:eastAsia="Guttman Hodes" w:hint="cs"/>
        </w:rPr>
        <w:instrText>REF</w:instrText>
      </w:r>
      <w:r w:rsidRPr="00573A7D">
        <w:rPr>
          <w:rStyle w:val="af2"/>
          <w:rFonts w:eastAsia="Guttman Hodes" w:hint="cs"/>
          <w:rtl/>
        </w:rPr>
        <w:instrText xml:space="preserve"> _</w:instrText>
      </w:r>
      <w:r w:rsidRPr="00573A7D">
        <w:rPr>
          <w:rStyle w:val="af2"/>
          <w:rFonts w:eastAsia="Guttman Hodes" w:hint="cs"/>
        </w:rPr>
        <w:instrText>Ref143979455 \r \h</w:instrText>
      </w:r>
      <w:r w:rsidRPr="00573A7D">
        <w:rPr>
          <w:rStyle w:val="af2"/>
          <w:rFonts w:eastAsia="Guttman Hodes"/>
          <w:rtl/>
        </w:rPr>
        <w:instrText xml:space="preserve"> </w:instrText>
      </w:r>
      <w:r w:rsidRPr="00573A7D">
        <w:rPr>
          <w:rStyle w:val="af2"/>
          <w:rFonts w:eastAsia="Guttman Hodes"/>
          <w:rtl/>
        </w:rPr>
      </w:r>
      <w:r w:rsidRPr="00573A7D">
        <w:rPr>
          <w:rStyle w:val="af2"/>
          <w:rFonts w:eastAsia="Guttman Hodes"/>
          <w:rtl/>
        </w:rPr>
        <w:fldChar w:fldCharType="separate"/>
      </w:r>
      <w:r w:rsidR="00D82181">
        <w:rPr>
          <w:rStyle w:val="af2"/>
          <w:rFonts w:eastAsia="Guttman Hodes"/>
          <w:cs/>
        </w:rPr>
        <w:t>‎</w:t>
      </w:r>
      <w:r w:rsidR="00D82181">
        <w:rPr>
          <w:rStyle w:val="af2"/>
          <w:rFonts w:eastAsia="Guttman Hodes"/>
          <w:rtl/>
        </w:rPr>
        <w:t>נח)</w:t>
      </w:r>
      <w:r w:rsidRPr="00573A7D">
        <w:rPr>
          <w:rStyle w:val="af2"/>
          <w:rFonts w:eastAsia="Guttman Hodes"/>
          <w:rtl/>
        </w:rPr>
        <w:fldChar w:fldCharType="end"/>
      </w:r>
      <w:r>
        <w:rPr>
          <w:vanish/>
          <w:rtl/>
        </w:rPr>
        <w:t>=</w:t>
      </w:r>
      <w:r>
        <w:rPr>
          <w:rFonts w:hint="cs"/>
          <w:rtl/>
        </w:rPr>
        <w:t xml:space="preserve"> אמאי אין בזה חיוב מכה בפטיש, ובמה שהקשה </w:t>
      </w:r>
      <w:r w:rsidRPr="00275DA3">
        <w:rPr>
          <w:rStyle w:val="aff4"/>
          <w:rFonts w:hint="cs"/>
          <w:rtl/>
        </w:rPr>
        <w:t>האגרות משה</w:t>
      </w:r>
      <w:r>
        <w:rPr>
          <w:rFonts w:hint="cs"/>
          <w:rtl/>
        </w:rPr>
        <w:t xml:space="preserve"> </w:t>
      </w:r>
      <w:r w:rsidRPr="00275DA3">
        <w:rPr>
          <w:rStyle w:val="af2"/>
          <w:rFonts w:eastAsia="Guttman Hodes" w:hint="cs"/>
          <w:rtl/>
        </w:rPr>
        <w:t xml:space="preserve">(עי' אות </w:t>
      </w:r>
      <w:r w:rsidRPr="00275DA3">
        <w:rPr>
          <w:rStyle w:val="af2"/>
          <w:rFonts w:eastAsia="Guttman Hodes"/>
          <w:rtl/>
        </w:rPr>
        <w:fldChar w:fldCharType="begin"/>
      </w:r>
      <w:r w:rsidRPr="00275DA3">
        <w:rPr>
          <w:rStyle w:val="af2"/>
          <w:rFonts w:eastAsia="Guttman Hodes"/>
          <w:rtl/>
        </w:rPr>
        <w:instrText xml:space="preserve"> </w:instrText>
      </w:r>
      <w:r w:rsidRPr="00275DA3">
        <w:rPr>
          <w:rStyle w:val="af2"/>
          <w:rFonts w:eastAsia="Guttman Hodes" w:hint="cs"/>
        </w:rPr>
        <w:instrText>REF</w:instrText>
      </w:r>
      <w:r w:rsidRPr="00275DA3">
        <w:rPr>
          <w:rStyle w:val="af2"/>
          <w:rFonts w:eastAsia="Guttman Hodes" w:hint="cs"/>
          <w:rtl/>
        </w:rPr>
        <w:instrText xml:space="preserve"> _</w:instrText>
      </w:r>
      <w:r w:rsidRPr="00275DA3">
        <w:rPr>
          <w:rStyle w:val="af2"/>
          <w:rFonts w:eastAsia="Guttman Hodes" w:hint="cs"/>
        </w:rPr>
        <w:instrText>Ref144117228 \r \h</w:instrText>
      </w:r>
      <w:r w:rsidRPr="00275DA3">
        <w:rPr>
          <w:rStyle w:val="af2"/>
          <w:rFonts w:eastAsia="Guttman Hodes"/>
          <w:rtl/>
        </w:rPr>
        <w:instrText xml:space="preserve"> </w:instrText>
      </w:r>
      <w:r w:rsidRPr="00275DA3">
        <w:rPr>
          <w:rStyle w:val="af2"/>
          <w:rFonts w:eastAsia="Guttman Hodes"/>
          <w:rtl/>
        </w:rPr>
      </w:r>
      <w:r w:rsidRPr="00275DA3">
        <w:rPr>
          <w:rStyle w:val="af2"/>
          <w:rFonts w:eastAsia="Guttman Hodes"/>
          <w:rtl/>
        </w:rPr>
        <w:fldChar w:fldCharType="separate"/>
      </w:r>
      <w:r w:rsidR="00D82181">
        <w:rPr>
          <w:rStyle w:val="af2"/>
          <w:rFonts w:eastAsia="Guttman Hodes"/>
          <w:cs/>
        </w:rPr>
        <w:t>‎</w:t>
      </w:r>
      <w:r w:rsidR="00D82181">
        <w:rPr>
          <w:rStyle w:val="af2"/>
          <w:rFonts w:eastAsia="Guttman Hodes"/>
          <w:rtl/>
        </w:rPr>
        <w:t>כב)</w:t>
      </w:r>
      <w:r w:rsidRPr="00275DA3">
        <w:rPr>
          <w:rStyle w:val="af2"/>
          <w:rFonts w:eastAsia="Guttman Hodes"/>
          <w:rtl/>
        </w:rPr>
        <w:fldChar w:fldCharType="end"/>
      </w:r>
      <w:r>
        <w:rPr>
          <w:rFonts w:hint="cs"/>
          <w:rtl/>
        </w:rPr>
        <w:t xml:space="preserve"> ובביאור </w:t>
      </w:r>
      <w:r w:rsidRPr="00275DA3">
        <w:rPr>
          <w:rStyle w:val="aff4"/>
          <w:rFonts w:hint="cs"/>
          <w:rtl/>
        </w:rPr>
        <w:t>ה</w:t>
      </w:r>
      <w:r w:rsidRPr="00835F6D">
        <w:rPr>
          <w:rStyle w:val="aff4"/>
          <w:rFonts w:hint="cs"/>
          <w:vanish/>
          <w:rtl/>
        </w:rPr>
        <w:t>&lt; &gt;</w:t>
      </w:r>
      <w:r w:rsidRPr="00275DA3">
        <w:rPr>
          <w:rStyle w:val="aff4"/>
          <w:rFonts w:hint="cs"/>
          <w:rtl/>
        </w:rPr>
        <w:t>אגרות</w:t>
      </w:r>
      <w:r>
        <w:rPr>
          <w:rFonts w:hint="cs"/>
          <w:rtl/>
        </w:rPr>
        <w:t xml:space="preserve"> </w:t>
      </w:r>
      <w:r w:rsidRPr="00275DA3">
        <w:rPr>
          <w:rStyle w:val="aff4"/>
          <w:rFonts w:hint="cs"/>
          <w:rtl/>
        </w:rPr>
        <w:t>משה</w:t>
      </w:r>
      <w:r w:rsidRPr="00275DA3">
        <w:rPr>
          <w:rStyle w:val="af2"/>
          <w:rFonts w:eastAsia="Guttman Hodes" w:hint="cs"/>
          <w:rtl/>
        </w:rPr>
        <w:t xml:space="preserve"> (עי' אות </w:t>
      </w:r>
      <w:r w:rsidRPr="00275DA3">
        <w:rPr>
          <w:rStyle w:val="af2"/>
          <w:rFonts w:eastAsia="Guttman Hodes"/>
          <w:rtl/>
        </w:rPr>
        <w:fldChar w:fldCharType="begin"/>
      </w:r>
      <w:r w:rsidRPr="00275DA3">
        <w:rPr>
          <w:rStyle w:val="af2"/>
          <w:rFonts w:eastAsia="Guttman Hodes"/>
          <w:rtl/>
        </w:rPr>
        <w:instrText xml:space="preserve"> </w:instrText>
      </w:r>
      <w:r w:rsidRPr="00275DA3">
        <w:rPr>
          <w:rStyle w:val="af2"/>
          <w:rFonts w:eastAsia="Guttman Hodes" w:hint="cs"/>
        </w:rPr>
        <w:instrText>REF</w:instrText>
      </w:r>
      <w:r w:rsidRPr="00275DA3">
        <w:rPr>
          <w:rStyle w:val="af2"/>
          <w:rFonts w:eastAsia="Guttman Hodes" w:hint="cs"/>
          <w:rtl/>
        </w:rPr>
        <w:instrText xml:space="preserve"> _</w:instrText>
      </w:r>
      <w:r w:rsidRPr="00275DA3">
        <w:rPr>
          <w:rStyle w:val="af2"/>
          <w:rFonts w:eastAsia="Guttman Hodes" w:hint="cs"/>
        </w:rPr>
        <w:instrText>Ref144153238 \r \h</w:instrText>
      </w:r>
      <w:r w:rsidRPr="00275DA3">
        <w:rPr>
          <w:rStyle w:val="af2"/>
          <w:rFonts w:eastAsia="Guttman Hodes"/>
          <w:rtl/>
        </w:rPr>
        <w:instrText xml:space="preserve"> </w:instrText>
      </w:r>
      <w:r w:rsidRPr="00275DA3">
        <w:rPr>
          <w:rStyle w:val="af2"/>
          <w:rFonts w:eastAsia="Guttman Hodes"/>
          <w:rtl/>
        </w:rPr>
      </w:r>
      <w:r w:rsidRPr="00275DA3">
        <w:rPr>
          <w:rStyle w:val="af2"/>
          <w:rFonts w:eastAsia="Guttman Hodes"/>
          <w:rtl/>
        </w:rPr>
        <w:fldChar w:fldCharType="separate"/>
      </w:r>
      <w:r w:rsidR="00D82181">
        <w:rPr>
          <w:rStyle w:val="af2"/>
          <w:rFonts w:eastAsia="Guttman Hodes"/>
          <w:cs/>
        </w:rPr>
        <w:t>‎</w:t>
      </w:r>
      <w:r w:rsidR="00D82181">
        <w:rPr>
          <w:rStyle w:val="af2"/>
          <w:rFonts w:eastAsia="Guttman Hodes"/>
          <w:rtl/>
        </w:rPr>
        <w:t>כו)</w:t>
      </w:r>
      <w:r w:rsidRPr="00275DA3">
        <w:rPr>
          <w:rStyle w:val="af2"/>
          <w:rFonts w:eastAsia="Guttman Hodes"/>
          <w:rtl/>
        </w:rPr>
        <w:fldChar w:fldCharType="end"/>
      </w:r>
      <w:r>
        <w:rPr>
          <w:vanish/>
          <w:rtl/>
        </w:rPr>
        <w:t>=</w:t>
      </w:r>
      <w:r>
        <w:rPr>
          <w:rFonts w:hint="cs"/>
          <w:rtl/>
        </w:rPr>
        <w:t xml:space="preserve"> בדברי </w:t>
      </w:r>
      <w:r w:rsidRPr="00275DA3">
        <w:rPr>
          <w:rStyle w:val="aff4"/>
          <w:rFonts w:hint="cs"/>
          <w:rtl/>
        </w:rPr>
        <w:t>רש"י</w:t>
      </w:r>
      <w:r>
        <w:rPr>
          <w:rFonts w:hint="cs"/>
          <w:rtl/>
        </w:rPr>
        <w:t xml:space="preserve">, וע"ע במ"ש </w:t>
      </w:r>
      <w:r w:rsidRPr="00275DA3">
        <w:rPr>
          <w:rStyle w:val="aff4"/>
          <w:rFonts w:hint="cs"/>
          <w:rtl/>
        </w:rPr>
        <w:t>השפ"א</w:t>
      </w:r>
      <w:r>
        <w:rPr>
          <w:rFonts w:hint="cs"/>
          <w:rtl/>
        </w:rPr>
        <w:t xml:space="preserve"> </w:t>
      </w:r>
      <w:r w:rsidRPr="00275DA3">
        <w:rPr>
          <w:rStyle w:val="af2"/>
          <w:rFonts w:eastAsia="Guttman Hodes" w:hint="cs"/>
          <w:rtl/>
        </w:rPr>
        <w:t xml:space="preserve">(עי' אות </w:t>
      </w:r>
      <w:r w:rsidRPr="00275DA3">
        <w:rPr>
          <w:rStyle w:val="af2"/>
          <w:rFonts w:eastAsia="Guttman Hodes"/>
          <w:rtl/>
        </w:rPr>
        <w:fldChar w:fldCharType="begin"/>
      </w:r>
      <w:r w:rsidRPr="00275DA3">
        <w:rPr>
          <w:rStyle w:val="af2"/>
          <w:rFonts w:eastAsia="Guttman Hodes"/>
          <w:rtl/>
        </w:rPr>
        <w:instrText xml:space="preserve"> </w:instrText>
      </w:r>
      <w:r w:rsidRPr="00275DA3">
        <w:rPr>
          <w:rStyle w:val="af2"/>
          <w:rFonts w:eastAsia="Guttman Hodes" w:hint="cs"/>
        </w:rPr>
        <w:instrText>REF</w:instrText>
      </w:r>
      <w:r w:rsidRPr="00275DA3">
        <w:rPr>
          <w:rStyle w:val="af2"/>
          <w:rFonts w:eastAsia="Guttman Hodes" w:hint="cs"/>
          <w:rtl/>
        </w:rPr>
        <w:instrText xml:space="preserve"> _</w:instrText>
      </w:r>
      <w:r w:rsidRPr="00275DA3">
        <w:rPr>
          <w:rStyle w:val="af2"/>
          <w:rFonts w:eastAsia="Guttman Hodes" w:hint="cs"/>
        </w:rPr>
        <w:instrText>Ref144156268 \r \h</w:instrText>
      </w:r>
      <w:r w:rsidRPr="00275DA3">
        <w:rPr>
          <w:rStyle w:val="af2"/>
          <w:rFonts w:eastAsia="Guttman Hodes"/>
          <w:rtl/>
        </w:rPr>
        <w:instrText xml:space="preserve"> </w:instrText>
      </w:r>
      <w:r w:rsidRPr="00275DA3">
        <w:rPr>
          <w:rStyle w:val="af2"/>
          <w:rFonts w:eastAsia="Guttman Hodes"/>
          <w:rtl/>
        </w:rPr>
      </w:r>
      <w:r w:rsidRPr="00275DA3">
        <w:rPr>
          <w:rStyle w:val="af2"/>
          <w:rFonts w:eastAsia="Guttman Hodes"/>
          <w:rtl/>
        </w:rPr>
        <w:fldChar w:fldCharType="separate"/>
      </w:r>
      <w:r w:rsidR="00D82181">
        <w:rPr>
          <w:rStyle w:val="af2"/>
          <w:rFonts w:eastAsia="Guttman Hodes"/>
          <w:cs/>
        </w:rPr>
        <w:t>‎</w:t>
      </w:r>
      <w:r w:rsidR="00D82181">
        <w:rPr>
          <w:rStyle w:val="af2"/>
          <w:rFonts w:eastAsia="Guttman Hodes"/>
          <w:rtl/>
        </w:rPr>
        <w:t>נט)</w:t>
      </w:r>
      <w:r w:rsidRPr="00275DA3">
        <w:rPr>
          <w:rStyle w:val="af2"/>
          <w:rFonts w:eastAsia="Guttman Hodes"/>
          <w:rtl/>
        </w:rPr>
        <w:fldChar w:fldCharType="end"/>
      </w:r>
      <w:r>
        <w:rPr>
          <w:rFonts w:hint="cs"/>
          <w:rtl/>
        </w:rPr>
        <w:t>.</w:t>
      </w:r>
      <w:bookmarkEnd w:id="5076"/>
    </w:p>
    <w:p w14:paraId="2CC6357C" w14:textId="77777777" w:rsidR="00A14FDA" w:rsidRPr="00BC7DC8" w:rsidRDefault="00A14FDA" w:rsidP="00A14FDA">
      <w:pPr>
        <w:pStyle w:val="afffffe"/>
        <w:rPr>
          <w:vanish/>
          <w:rtl/>
        </w:rPr>
      </w:pPr>
      <w:r w:rsidRPr="00BC7DC8">
        <w:rPr>
          <w:vanish/>
          <w:rtl/>
        </w:rPr>
        <w:t>רש"י שבת ע"ד ע"ב</w:t>
      </w:r>
      <w:r w:rsidRPr="00BC7DC8">
        <w:rPr>
          <w:rFonts w:hint="cs"/>
          <w:vanish/>
          <w:rtl/>
        </w:rPr>
        <w:t xml:space="preserve"> ד"ה תנור</w:t>
      </w:r>
    </w:p>
    <w:p w14:paraId="4AFE94FC" w14:textId="77777777" w:rsidR="00A14FDA" w:rsidRPr="00D87F8B" w:rsidRDefault="00A14FDA" w:rsidP="00A14FDA">
      <w:pPr>
        <w:pStyle w:val="a2"/>
        <w:rPr>
          <w:rtl/>
        </w:rPr>
      </w:pPr>
      <w:r w:rsidRPr="00D87F8B">
        <w:rPr>
          <w:rtl/>
        </w:rPr>
        <w:t>תנור חייב שמנה - דלאחר שצרפו בכבשן הוא טח עליו טפילה שיהא עב וחומו מתקיים, והוא גמר מלאכתו, ואמרינן לקמן (שבת עה, ב): כל מידי דהוי גמר מלאכה - חייב משום מכה בפטיש, אבל גבי חבית ליכא משום מכה בפטיש, דמאליה נגמרה מלאכתו בתנור.</w:t>
      </w:r>
    </w:p>
    <w:p w14:paraId="23A67791" w14:textId="77777777" w:rsidR="00A14FDA" w:rsidRDefault="00A14FDA" w:rsidP="00A14FDA">
      <w:pPr>
        <w:pStyle w:val="afffff7"/>
        <w:rPr>
          <w:rtl/>
        </w:rPr>
      </w:pPr>
      <w:bookmarkStart w:id="5077" w:name="_Toc144224639"/>
      <w:bookmarkStart w:id="5078" w:name="_Toc163506187"/>
      <w:r>
        <w:rPr>
          <w:rtl/>
        </w:rPr>
        <w:t>רש"י שבת ע"ה ע"ב</w:t>
      </w:r>
      <w:r>
        <w:rPr>
          <w:rFonts w:hint="cs"/>
          <w:rtl/>
        </w:rPr>
        <w:t xml:space="preserve"> ד"ה מסתת</w:t>
      </w:r>
      <w:bookmarkEnd w:id="5077"/>
      <w:bookmarkEnd w:id="5078"/>
      <w:r w:rsidRPr="00421A47">
        <w:rPr>
          <w:vanish/>
          <w:rtl/>
        </w:rPr>
        <w:t xml:space="preserve"> (ב)</w:t>
      </w:r>
    </w:p>
    <w:p w14:paraId="4445BE5B" w14:textId="77777777" w:rsidR="00A14FDA" w:rsidRDefault="00A14FDA" w:rsidP="00A14FDA">
      <w:pPr>
        <w:pStyle w:val="afffff7"/>
        <w:rPr>
          <w:rtl/>
        </w:rPr>
      </w:pPr>
      <w:bookmarkStart w:id="5079" w:name="_Toc144224640"/>
      <w:bookmarkStart w:id="5080" w:name="_Toc163506188"/>
      <w:r>
        <w:rPr>
          <w:rtl/>
        </w:rPr>
        <w:t>רש"י שבת ע"ה ע"ב</w:t>
      </w:r>
      <w:r>
        <w:rPr>
          <w:rFonts w:hint="cs"/>
          <w:rtl/>
        </w:rPr>
        <w:t xml:space="preserve"> ד"ה הצר</w:t>
      </w:r>
      <w:bookmarkEnd w:id="5079"/>
      <w:bookmarkEnd w:id="5080"/>
      <w:r w:rsidRPr="00421A47">
        <w:rPr>
          <w:vanish/>
          <w:rtl/>
        </w:rPr>
        <w:t xml:space="preserve"> (ב)</w:t>
      </w:r>
    </w:p>
    <w:p w14:paraId="42A48A3E" w14:textId="77777777" w:rsidR="00A14FDA" w:rsidRDefault="00A14FDA" w:rsidP="00A14FDA">
      <w:pPr>
        <w:pStyle w:val="afffff7"/>
        <w:rPr>
          <w:rtl/>
        </w:rPr>
      </w:pPr>
      <w:bookmarkStart w:id="5081" w:name="_Toc144224641"/>
      <w:bookmarkStart w:id="5082" w:name="_Toc163506189"/>
      <w:r>
        <w:rPr>
          <w:rtl/>
        </w:rPr>
        <w:t>רש"י שבת ע"ה ע"ב</w:t>
      </w:r>
      <w:r>
        <w:rPr>
          <w:rFonts w:hint="cs"/>
          <w:rtl/>
        </w:rPr>
        <w:t xml:space="preserve"> ד"ה מנפח</w:t>
      </w:r>
      <w:bookmarkEnd w:id="5081"/>
      <w:bookmarkEnd w:id="5082"/>
      <w:r w:rsidRPr="00421A47">
        <w:rPr>
          <w:vanish/>
          <w:rtl/>
        </w:rPr>
        <w:t xml:space="preserve"> (ב)</w:t>
      </w:r>
    </w:p>
    <w:p w14:paraId="3D58368E" w14:textId="77777777" w:rsidR="00A14FDA" w:rsidRDefault="00A14FDA" w:rsidP="00A14FDA">
      <w:pPr>
        <w:pStyle w:val="afffff7"/>
        <w:rPr>
          <w:rtl/>
        </w:rPr>
      </w:pPr>
      <w:bookmarkStart w:id="5083" w:name="_Toc144224642"/>
      <w:bookmarkStart w:id="5084" w:name="_Toc163506190"/>
      <w:r>
        <w:rPr>
          <w:rtl/>
        </w:rPr>
        <w:t>רש"י שבת ע"ה ע"ב</w:t>
      </w:r>
      <w:r>
        <w:rPr>
          <w:rFonts w:hint="cs"/>
          <w:rtl/>
        </w:rPr>
        <w:t xml:space="preserve"> ד"ה </w:t>
      </w:r>
      <w:r>
        <w:rPr>
          <w:rtl/>
        </w:rPr>
        <w:t>דשקיל</w:t>
      </w:r>
      <w:bookmarkEnd w:id="5083"/>
      <w:bookmarkEnd w:id="5084"/>
      <w:r w:rsidRPr="00421A47">
        <w:rPr>
          <w:vanish/>
          <w:rtl/>
        </w:rPr>
        <w:t xml:space="preserve"> (ב)</w:t>
      </w:r>
    </w:p>
    <w:p w14:paraId="7C31AABE" w14:textId="77777777" w:rsidR="00A14FDA" w:rsidRDefault="00A14FDA" w:rsidP="00A14FDA">
      <w:pPr>
        <w:pStyle w:val="a7"/>
        <w:rPr>
          <w:rtl/>
        </w:rPr>
      </w:pPr>
      <w:bookmarkStart w:id="5085" w:name="_Toc144225242"/>
      <w:r>
        <w:rPr>
          <w:rFonts w:hint="cs"/>
          <w:rtl/>
        </w:rPr>
        <w:t>בי' רש"י באופני חיוב מכה בפטיש במסטט וצר צורה ובכלי זכוכית ובאקופי מגלימי</w:t>
      </w:r>
      <w:bookmarkEnd w:id="5085"/>
    </w:p>
    <w:p w14:paraId="18702DF7" w14:textId="039F85C7" w:rsidR="00A14FDA" w:rsidRPr="00F56123" w:rsidRDefault="00A14FDA" w:rsidP="00BC7DC8">
      <w:pPr>
        <w:pStyle w:val="a3"/>
        <w:rPr>
          <w:rtl/>
        </w:rPr>
      </w:pPr>
      <w:bookmarkStart w:id="5086" w:name="_Ref143794135"/>
      <w:r>
        <w:rPr>
          <w:rFonts w:hint="cs"/>
          <w:rtl/>
        </w:rPr>
        <w:t xml:space="preserve">כתב </w:t>
      </w:r>
      <w:r w:rsidRPr="00255628">
        <w:rPr>
          <w:rFonts w:hint="cs"/>
          <w:vanish/>
          <w:rtl/>
        </w:rPr>
        <w:t xml:space="preserve">&lt;, </w:t>
      </w:r>
      <w:r w:rsidRPr="00255628">
        <w:rPr>
          <w:vanish/>
          <w:rtl/>
        </w:rPr>
        <w:fldChar w:fldCharType="begin"/>
      </w:r>
      <w:r w:rsidRPr="00255628">
        <w:rPr>
          <w:vanish/>
          <w:rtl/>
        </w:rPr>
        <w:instrText xml:space="preserve"> </w:instrText>
      </w:r>
      <w:r w:rsidRPr="00255628">
        <w:rPr>
          <w:rFonts w:hint="cs"/>
          <w:vanish/>
        </w:rPr>
        <w:instrText>REF</w:instrText>
      </w:r>
      <w:r w:rsidRPr="00255628">
        <w:rPr>
          <w:rFonts w:hint="cs"/>
          <w:vanish/>
          <w:rtl/>
        </w:rPr>
        <w:instrText xml:space="preserve"> _</w:instrText>
      </w:r>
      <w:r w:rsidRPr="00255628">
        <w:rPr>
          <w:rFonts w:hint="cs"/>
          <w:vanish/>
        </w:rPr>
        <w:instrText>Ref143794135 \r \h</w:instrText>
      </w:r>
      <w:r w:rsidRPr="00255628">
        <w:rPr>
          <w:vanish/>
          <w:rtl/>
        </w:rPr>
        <w:instrText xml:space="preserve"> </w:instrText>
      </w:r>
      <w:r w:rsidRPr="00255628">
        <w:rPr>
          <w:vanish/>
          <w:rtl/>
        </w:rPr>
      </w:r>
      <w:r w:rsidRPr="00255628">
        <w:rPr>
          <w:vanish/>
          <w:rtl/>
        </w:rPr>
        <w:fldChar w:fldCharType="separate"/>
      </w:r>
      <w:r w:rsidR="00D82181">
        <w:rPr>
          <w:vanish/>
          <w:cs/>
        </w:rPr>
        <w:t>‎</w:t>
      </w:r>
      <w:r w:rsidR="00D82181">
        <w:rPr>
          <w:vanish/>
          <w:rtl/>
        </w:rPr>
        <w:t>יד)</w:t>
      </w:r>
      <w:r w:rsidRPr="00255628">
        <w:rPr>
          <w:vanish/>
          <w:rtl/>
        </w:rPr>
        <w:fldChar w:fldCharType="end"/>
      </w:r>
      <w:r w:rsidRPr="00255628">
        <w:rPr>
          <w:rFonts w:hint="cs"/>
          <w:vanish/>
          <w:rtl/>
        </w:rPr>
        <w:t xml:space="preserve"> &gt;</w:t>
      </w:r>
      <w:r w:rsidRPr="00255628">
        <w:rPr>
          <w:rStyle w:val="aff4"/>
          <w:rFonts w:hint="cs"/>
          <w:vanish/>
          <w:rtl/>
        </w:rPr>
        <w:t>-</w:t>
      </w:r>
      <w:r w:rsidRPr="00255628">
        <w:rPr>
          <w:rStyle w:val="aff4"/>
          <w:rFonts w:hint="cs"/>
          <w:rtl/>
        </w:rPr>
        <w:t>רש"י לעיל</w:t>
      </w:r>
      <w:r w:rsidRPr="00255628">
        <w:rPr>
          <w:rStyle w:val="aff4"/>
          <w:rFonts w:hint="cs"/>
          <w:vanish/>
          <w:rtl/>
        </w:rPr>
        <w:t>-</w:t>
      </w:r>
      <w:r>
        <w:rPr>
          <w:rFonts w:hint="cs"/>
          <w:rtl/>
        </w:rPr>
        <w:t xml:space="preserve"> </w:t>
      </w:r>
      <w:r w:rsidRPr="00C8052D">
        <w:rPr>
          <w:rStyle w:val="af2"/>
          <w:rFonts w:eastAsia="Guttman Hodes" w:hint="cs"/>
          <w:rtl/>
        </w:rPr>
        <w:t>(עה: ד"ה מסתת)</w:t>
      </w:r>
      <w:r w:rsidRPr="00255628">
        <w:rPr>
          <w:rFonts w:hint="cs"/>
          <w:vanish/>
          <w:rtl/>
        </w:rPr>
        <w:t>=</w:t>
      </w:r>
      <w:r>
        <w:rPr>
          <w:rFonts w:hint="cs"/>
          <w:rtl/>
        </w:rPr>
        <w:t xml:space="preserve"> דמסתת אחר שעקר אבן מההר ומחליקה חייב משום מכה בפטיש דהוא גמר המלאכה, ועו"כ </w:t>
      </w:r>
      <w:r w:rsidRPr="00255628">
        <w:rPr>
          <w:rFonts w:hint="cs"/>
          <w:vanish/>
          <w:rtl/>
        </w:rPr>
        <w:t>&lt; &gt;</w:t>
      </w:r>
      <w:r w:rsidRPr="00255628">
        <w:rPr>
          <w:rStyle w:val="aff4"/>
          <w:rFonts w:hint="cs"/>
          <w:vanish/>
          <w:rtl/>
        </w:rPr>
        <w:t>-</w:t>
      </w:r>
      <w:r w:rsidRPr="00255628">
        <w:rPr>
          <w:rStyle w:val="aff4"/>
          <w:rFonts w:hint="cs"/>
          <w:rtl/>
        </w:rPr>
        <w:t>רש"י לעיל</w:t>
      </w:r>
      <w:r w:rsidRPr="00255628">
        <w:rPr>
          <w:rStyle w:val="aff4"/>
          <w:rFonts w:hint="cs"/>
          <w:vanish/>
          <w:rtl/>
        </w:rPr>
        <w:t>-</w:t>
      </w:r>
      <w:r>
        <w:rPr>
          <w:rFonts w:hint="cs"/>
          <w:rtl/>
        </w:rPr>
        <w:t xml:space="preserve"> </w:t>
      </w:r>
      <w:r w:rsidRPr="00C8052D">
        <w:rPr>
          <w:rStyle w:val="af2"/>
          <w:rFonts w:eastAsia="Guttman Hodes" w:hint="cs"/>
          <w:rtl/>
        </w:rPr>
        <w:t>(עה: ד"ה הצר)</w:t>
      </w:r>
      <w:r w:rsidRPr="00255628">
        <w:rPr>
          <w:rFonts w:hint="cs"/>
          <w:vanish/>
          <w:rtl/>
        </w:rPr>
        <w:t>=</w:t>
      </w:r>
      <w:r>
        <w:rPr>
          <w:rFonts w:hint="cs"/>
          <w:rtl/>
        </w:rPr>
        <w:t xml:space="preserve"> דצר צורה בכלי שעומד לעשות בו צורה לנוי חייב במכה בפטיש, ועו"כ </w:t>
      </w:r>
      <w:r w:rsidRPr="00255628">
        <w:rPr>
          <w:rFonts w:hint="cs"/>
          <w:vanish/>
          <w:rtl/>
        </w:rPr>
        <w:t>&lt; &gt;</w:t>
      </w:r>
      <w:r w:rsidRPr="00255628">
        <w:rPr>
          <w:rStyle w:val="aff4"/>
          <w:rFonts w:hint="cs"/>
          <w:vanish/>
          <w:rtl/>
        </w:rPr>
        <w:t>-</w:t>
      </w:r>
      <w:r w:rsidRPr="00255628">
        <w:rPr>
          <w:rStyle w:val="aff4"/>
          <w:rFonts w:hint="cs"/>
          <w:rtl/>
        </w:rPr>
        <w:t>רש"י לעיל</w:t>
      </w:r>
      <w:r w:rsidRPr="00255628">
        <w:rPr>
          <w:rStyle w:val="aff4"/>
          <w:rFonts w:hint="cs"/>
          <w:vanish/>
          <w:rtl/>
        </w:rPr>
        <w:t>-</w:t>
      </w:r>
      <w:r>
        <w:rPr>
          <w:rFonts w:hint="cs"/>
          <w:rtl/>
        </w:rPr>
        <w:t xml:space="preserve"> </w:t>
      </w:r>
      <w:r w:rsidRPr="00C8052D">
        <w:rPr>
          <w:rStyle w:val="af2"/>
          <w:rFonts w:eastAsia="Guttman Hodes" w:hint="cs"/>
          <w:rtl/>
        </w:rPr>
        <w:t>(עה: ד"ה מנפח)</w:t>
      </w:r>
      <w:r w:rsidRPr="00255628">
        <w:rPr>
          <w:rFonts w:hint="cs"/>
          <w:vanish/>
          <w:rtl/>
        </w:rPr>
        <w:t>=</w:t>
      </w:r>
      <w:r>
        <w:rPr>
          <w:rFonts w:hint="cs"/>
          <w:rtl/>
        </w:rPr>
        <w:t xml:space="preserve"> דמנפח כלי זכוכית ונעשה כלי חייב במכה בפטיש, ועו"כ </w:t>
      </w:r>
      <w:r w:rsidRPr="00255628">
        <w:rPr>
          <w:rFonts w:hint="cs"/>
          <w:vanish/>
          <w:rtl/>
        </w:rPr>
        <w:t>&lt; &gt;</w:t>
      </w:r>
      <w:r w:rsidRPr="00255628">
        <w:rPr>
          <w:rStyle w:val="aff4"/>
          <w:rFonts w:hint="cs"/>
          <w:vanish/>
          <w:rtl/>
        </w:rPr>
        <w:t>-</w:t>
      </w:r>
      <w:r w:rsidRPr="00255628">
        <w:rPr>
          <w:rStyle w:val="aff4"/>
          <w:rFonts w:hint="cs"/>
          <w:rtl/>
        </w:rPr>
        <w:t>רש"י לעיל</w:t>
      </w:r>
      <w:r w:rsidRPr="00255628">
        <w:rPr>
          <w:rStyle w:val="aff4"/>
          <w:rFonts w:hint="cs"/>
          <w:vanish/>
          <w:rtl/>
        </w:rPr>
        <w:t>-</w:t>
      </w:r>
      <w:r>
        <w:rPr>
          <w:rFonts w:hint="cs"/>
          <w:rtl/>
        </w:rPr>
        <w:t xml:space="preserve"> </w:t>
      </w:r>
      <w:r w:rsidRPr="00C8052D">
        <w:rPr>
          <w:rStyle w:val="af2"/>
          <w:rFonts w:eastAsia="Guttman Hodes" w:hint="cs"/>
          <w:rtl/>
        </w:rPr>
        <w:t>(עה: ד"ה דשקיל)</w:t>
      </w:r>
      <w:r w:rsidRPr="00255628">
        <w:rPr>
          <w:rFonts w:hint="cs"/>
          <w:vanish/>
          <w:rtl/>
        </w:rPr>
        <w:t>=</w:t>
      </w:r>
      <w:r>
        <w:rPr>
          <w:rFonts w:hint="cs"/>
          <w:rtl/>
        </w:rPr>
        <w:t xml:space="preserve"> דכשניתק חוט בתפירה וקשרוהו ונשארו ראשי החוטין תלוין קשורים, המנתקם חייב במכה בפטיש, וכן נוטל קשין שנארגו בלא כוונה דהוא גמר המלאכה.</w:t>
      </w:r>
      <w:bookmarkEnd w:id="5086"/>
    </w:p>
    <w:p w14:paraId="22A028C9" w14:textId="77777777" w:rsidR="00A14FDA" w:rsidRPr="00BC7DC8" w:rsidRDefault="00A14FDA" w:rsidP="00A14FDA">
      <w:pPr>
        <w:pStyle w:val="afffffe"/>
        <w:rPr>
          <w:vanish/>
          <w:rtl/>
        </w:rPr>
      </w:pPr>
      <w:r w:rsidRPr="00BC7DC8">
        <w:rPr>
          <w:vanish/>
          <w:rtl/>
        </w:rPr>
        <w:t>רש"י שבת ע"ה ע"ב</w:t>
      </w:r>
      <w:r w:rsidRPr="00BC7DC8">
        <w:rPr>
          <w:rFonts w:hint="cs"/>
          <w:vanish/>
          <w:rtl/>
        </w:rPr>
        <w:t xml:space="preserve"> ד"ה מסתת</w:t>
      </w:r>
    </w:p>
    <w:p w14:paraId="75496881" w14:textId="77777777" w:rsidR="00A14FDA" w:rsidRPr="00D87F8B" w:rsidRDefault="00A14FDA" w:rsidP="00A14FDA">
      <w:pPr>
        <w:pStyle w:val="a2"/>
        <w:rPr>
          <w:rtl/>
        </w:rPr>
      </w:pPr>
      <w:r w:rsidRPr="00D87F8B">
        <w:rPr>
          <w:rtl/>
        </w:rPr>
        <w:t>מסתת את האבן - לאחר שנעקרה מן ההר ונחצבה, מחליקה.</w:t>
      </w:r>
    </w:p>
    <w:p w14:paraId="1C3B13A1" w14:textId="77777777" w:rsidR="00A14FDA" w:rsidRPr="00806C89" w:rsidRDefault="00A14FDA" w:rsidP="00A14FDA">
      <w:pPr>
        <w:pStyle w:val="afffff5"/>
        <w:rPr>
          <w:rtl/>
        </w:rPr>
      </w:pPr>
      <w:r w:rsidRPr="00806C89">
        <w:rPr>
          <w:rtl/>
        </w:rPr>
        <w:t>משום מכה בפטיש - שהוא גמר מלאכה.</w:t>
      </w:r>
    </w:p>
    <w:p w14:paraId="216CB738" w14:textId="77777777" w:rsidR="00A14FDA" w:rsidRPr="00BC7DC8" w:rsidRDefault="00A14FDA" w:rsidP="00A14FDA">
      <w:pPr>
        <w:pStyle w:val="afffffe"/>
        <w:rPr>
          <w:vanish/>
          <w:rtl/>
        </w:rPr>
      </w:pPr>
      <w:r w:rsidRPr="00BC7DC8">
        <w:rPr>
          <w:vanish/>
          <w:rtl/>
        </w:rPr>
        <w:t>רש"י שבת ע"ה ע"ב</w:t>
      </w:r>
      <w:r w:rsidRPr="00BC7DC8">
        <w:rPr>
          <w:rFonts w:hint="cs"/>
          <w:vanish/>
          <w:rtl/>
        </w:rPr>
        <w:t xml:space="preserve"> ד"ה הצר</w:t>
      </w:r>
    </w:p>
    <w:p w14:paraId="62BDADDE" w14:textId="77777777" w:rsidR="00A14FDA" w:rsidRPr="00806C89" w:rsidRDefault="00A14FDA" w:rsidP="00A14FDA">
      <w:pPr>
        <w:pStyle w:val="afffff5"/>
        <w:rPr>
          <w:rtl/>
        </w:rPr>
      </w:pPr>
      <w:r w:rsidRPr="00806C89">
        <w:rPr>
          <w:rtl/>
        </w:rPr>
        <w:t>הצר בכלי צורה - בכלי שעומד לכך לנאותו.</w:t>
      </w:r>
    </w:p>
    <w:p w14:paraId="21C40547" w14:textId="77777777" w:rsidR="00A14FDA" w:rsidRPr="00BC7DC8" w:rsidRDefault="00A14FDA" w:rsidP="00A14FDA">
      <w:pPr>
        <w:pStyle w:val="afffffe"/>
        <w:rPr>
          <w:vanish/>
          <w:rtl/>
        </w:rPr>
      </w:pPr>
      <w:r w:rsidRPr="00BC7DC8">
        <w:rPr>
          <w:vanish/>
          <w:rtl/>
        </w:rPr>
        <w:t>רש"י שבת ע"ה ע"ב</w:t>
      </w:r>
      <w:r w:rsidRPr="00BC7DC8">
        <w:rPr>
          <w:rFonts w:hint="cs"/>
          <w:vanish/>
          <w:rtl/>
        </w:rPr>
        <w:t xml:space="preserve"> ד"ה מנפח</w:t>
      </w:r>
    </w:p>
    <w:p w14:paraId="780B3048" w14:textId="77777777" w:rsidR="00A14FDA" w:rsidRPr="00806C89" w:rsidRDefault="00A14FDA" w:rsidP="00A14FDA">
      <w:pPr>
        <w:pStyle w:val="afffff5"/>
        <w:rPr>
          <w:rtl/>
        </w:rPr>
      </w:pPr>
      <w:r w:rsidRPr="00806C89">
        <w:rPr>
          <w:rtl/>
        </w:rPr>
        <w:t>מנפח בכלי זכוכית - כשהותך נעשה על ידי נפוח.</w:t>
      </w:r>
    </w:p>
    <w:p w14:paraId="604842E6" w14:textId="77777777" w:rsidR="00A14FDA" w:rsidRPr="00BC7DC8" w:rsidRDefault="00A14FDA" w:rsidP="00A14FDA">
      <w:pPr>
        <w:pStyle w:val="afffffe"/>
        <w:rPr>
          <w:vanish/>
          <w:rtl/>
        </w:rPr>
      </w:pPr>
      <w:r w:rsidRPr="00BC7DC8">
        <w:rPr>
          <w:vanish/>
          <w:rtl/>
        </w:rPr>
        <w:t>רש"י שבת ע"ה ע"ב</w:t>
      </w:r>
      <w:r w:rsidRPr="00BC7DC8">
        <w:rPr>
          <w:rFonts w:hint="cs"/>
          <w:vanish/>
          <w:rtl/>
        </w:rPr>
        <w:t xml:space="preserve"> ד"ה </w:t>
      </w:r>
      <w:r w:rsidRPr="00BC7DC8">
        <w:rPr>
          <w:vanish/>
          <w:rtl/>
        </w:rPr>
        <w:t>דשקיל</w:t>
      </w:r>
    </w:p>
    <w:p w14:paraId="4F3B5E6D" w14:textId="77777777" w:rsidR="00A14FDA" w:rsidRPr="00806C89" w:rsidRDefault="00A14FDA" w:rsidP="00A14FDA">
      <w:pPr>
        <w:pStyle w:val="afffff5"/>
        <w:rPr>
          <w:rtl/>
        </w:rPr>
      </w:pPr>
      <w:r w:rsidRPr="00806C89">
        <w:rPr>
          <w:rtl/>
        </w:rPr>
        <w:t>דשקיל אקופי - ראשי חוטין התלויין ביריעה במקום קשורין, כשניתק בה חוט וקשרוהו, וכן קשין וקסמים דקין שנארגו בה בלא מתכוין, ונוטלין אותם ממנה לאחר אריגה - גמר מלאכה הוא, וחייב משום מכה בפטיש.</w:t>
      </w:r>
    </w:p>
    <w:p w14:paraId="33A25284" w14:textId="77777777" w:rsidR="00A14FDA" w:rsidRDefault="00A14FDA" w:rsidP="00A14FDA">
      <w:pPr>
        <w:pStyle w:val="afffff7"/>
        <w:rPr>
          <w:rtl/>
        </w:rPr>
      </w:pPr>
      <w:bookmarkStart w:id="5087" w:name="_Toc144224643"/>
      <w:bookmarkStart w:id="5088" w:name="_Toc163506191"/>
      <w:r>
        <w:rPr>
          <w:rtl/>
        </w:rPr>
        <w:t>רש"י ביצה י"א ע"ב</w:t>
      </w:r>
      <w:r>
        <w:rPr>
          <w:rFonts w:hint="cs"/>
          <w:rtl/>
        </w:rPr>
        <w:t xml:space="preserve"> ד"ה דאין</w:t>
      </w:r>
      <w:bookmarkEnd w:id="5087"/>
      <w:bookmarkEnd w:id="5088"/>
      <w:r w:rsidRPr="00421A47">
        <w:rPr>
          <w:vanish/>
          <w:rtl/>
        </w:rPr>
        <w:t xml:space="preserve"> (ב)</w:t>
      </w:r>
    </w:p>
    <w:p w14:paraId="75446066" w14:textId="77777777" w:rsidR="00A14FDA" w:rsidRDefault="00A14FDA" w:rsidP="00A14FDA">
      <w:pPr>
        <w:pStyle w:val="a7"/>
        <w:rPr>
          <w:rtl/>
        </w:rPr>
      </w:pPr>
      <w:bookmarkStart w:id="5089" w:name="_Toc144225243"/>
      <w:r>
        <w:rPr>
          <w:rFonts w:hint="cs"/>
          <w:rtl/>
        </w:rPr>
        <w:t>בי' רש"י דחיוב עשיית כלי וכן חיוב גמר הכלי הוא משום מכה בפטיש דאין בנין בכלים</w:t>
      </w:r>
      <w:bookmarkEnd w:id="5089"/>
    </w:p>
    <w:p w14:paraId="5B333013" w14:textId="22357075" w:rsidR="00A14FDA" w:rsidRPr="0077738B" w:rsidRDefault="00A14FDA" w:rsidP="00BC7DC8">
      <w:pPr>
        <w:pStyle w:val="a3"/>
        <w:rPr>
          <w:rtl/>
        </w:rPr>
      </w:pPr>
      <w:bookmarkStart w:id="5090" w:name="_Ref143720755"/>
      <w:r>
        <w:rPr>
          <w:rFonts w:hint="cs"/>
          <w:rtl/>
        </w:rPr>
        <w:t xml:space="preserve">ובהא דאמרינן בגמ' בביצה </w:t>
      </w:r>
      <w:r w:rsidRPr="00C31004">
        <w:rPr>
          <w:rStyle w:val="af2"/>
          <w:rFonts w:eastAsia="Guttman Hodes" w:hint="cs"/>
          <w:rtl/>
        </w:rPr>
        <w:t>(יא:)</w:t>
      </w:r>
      <w:r>
        <w:rPr>
          <w:rFonts w:hint="cs"/>
          <w:rtl/>
        </w:rPr>
        <w:t xml:space="preserve"> דלב"ה מותר להחזיר תריסין של תיבות החנויות ביו"ט, כיון דאין בנין וסתירה בכלים, כתב </w:t>
      </w:r>
      <w:r w:rsidRPr="00C31004">
        <w:rPr>
          <w:rFonts w:hint="cs"/>
          <w:vanish/>
          <w:rtl/>
        </w:rPr>
        <w:t xml:space="preserve">&lt;, </w:t>
      </w:r>
      <w:r w:rsidRPr="00C31004">
        <w:rPr>
          <w:vanish/>
          <w:rtl/>
        </w:rPr>
        <w:fldChar w:fldCharType="begin"/>
      </w:r>
      <w:r w:rsidRPr="00C31004">
        <w:rPr>
          <w:vanish/>
          <w:rtl/>
        </w:rPr>
        <w:instrText xml:space="preserve"> </w:instrText>
      </w:r>
      <w:r w:rsidRPr="00C31004">
        <w:rPr>
          <w:rFonts w:hint="cs"/>
          <w:vanish/>
        </w:rPr>
        <w:instrText>REF</w:instrText>
      </w:r>
      <w:r w:rsidRPr="00C31004">
        <w:rPr>
          <w:rFonts w:hint="cs"/>
          <w:vanish/>
          <w:rtl/>
        </w:rPr>
        <w:instrText xml:space="preserve"> _</w:instrText>
      </w:r>
      <w:r w:rsidRPr="00C31004">
        <w:rPr>
          <w:rFonts w:hint="cs"/>
          <w:vanish/>
        </w:rPr>
        <w:instrText>Ref143720755 \r \h</w:instrText>
      </w:r>
      <w:r w:rsidRPr="00C31004">
        <w:rPr>
          <w:vanish/>
          <w:rtl/>
        </w:rPr>
        <w:instrText xml:space="preserve"> </w:instrText>
      </w:r>
      <w:r w:rsidRPr="00C31004">
        <w:rPr>
          <w:vanish/>
          <w:rtl/>
        </w:rPr>
      </w:r>
      <w:r w:rsidRPr="00C31004">
        <w:rPr>
          <w:vanish/>
          <w:rtl/>
        </w:rPr>
        <w:fldChar w:fldCharType="separate"/>
      </w:r>
      <w:r w:rsidR="00D82181">
        <w:rPr>
          <w:vanish/>
          <w:cs/>
        </w:rPr>
        <w:t>‎</w:t>
      </w:r>
      <w:r w:rsidR="00D82181">
        <w:rPr>
          <w:vanish/>
          <w:rtl/>
        </w:rPr>
        <w:t>טו)</w:t>
      </w:r>
      <w:r w:rsidRPr="00C31004">
        <w:rPr>
          <w:vanish/>
          <w:rtl/>
        </w:rPr>
        <w:fldChar w:fldCharType="end"/>
      </w:r>
      <w:r w:rsidRPr="00C31004">
        <w:rPr>
          <w:rFonts w:hint="cs"/>
          <w:vanish/>
          <w:rtl/>
        </w:rPr>
        <w:t xml:space="preserve"> &gt;</w:t>
      </w:r>
      <w:r w:rsidRPr="00C31004">
        <w:rPr>
          <w:rStyle w:val="aff4"/>
          <w:rFonts w:hint="cs"/>
          <w:vanish/>
          <w:rtl/>
        </w:rPr>
        <w:t>-</w:t>
      </w:r>
      <w:r w:rsidRPr="00255628">
        <w:rPr>
          <w:rStyle w:val="aff4"/>
          <w:rFonts w:hint="cs"/>
          <w:rtl/>
        </w:rPr>
        <w:t>רש"י בביצה</w:t>
      </w:r>
      <w:r w:rsidRPr="00C31004">
        <w:rPr>
          <w:rStyle w:val="aff4"/>
          <w:rFonts w:hint="cs"/>
          <w:vanish/>
          <w:rtl/>
        </w:rPr>
        <w:t>-</w:t>
      </w:r>
      <w:r>
        <w:rPr>
          <w:rFonts w:hint="cs"/>
          <w:rtl/>
        </w:rPr>
        <w:t xml:space="preserve"> </w:t>
      </w:r>
      <w:r w:rsidRPr="00C31004">
        <w:rPr>
          <w:rStyle w:val="af2"/>
          <w:rFonts w:eastAsia="Guttman Hodes" w:hint="cs"/>
          <w:rtl/>
        </w:rPr>
        <w:t>(יא: ד"ה דאין)</w:t>
      </w:r>
      <w:r w:rsidRPr="00C31004">
        <w:rPr>
          <w:rFonts w:hint="cs"/>
          <w:vanish/>
          <w:rtl/>
        </w:rPr>
        <w:t>=</w:t>
      </w:r>
      <w:r>
        <w:rPr>
          <w:rFonts w:hint="cs"/>
          <w:rtl/>
        </w:rPr>
        <w:t xml:space="preserve"> דהחיוב בעשיית כלי וגמירתו הוא משום מכה בפטיש</w:t>
      </w:r>
      <w:bookmarkEnd w:id="5090"/>
      <w:r>
        <w:rPr>
          <w:rFonts w:hint="cs"/>
          <w:rtl/>
        </w:rPr>
        <w:t xml:space="preserve"> שהוא החיוב בכל גמר מלאכה, ואם איירי בדבר שמחליקו חייב משום ממחק, ואם הוא צריך קצוע חייב משום מחתך, וה"ה באורג או מוסך או תופר. </w:t>
      </w:r>
      <w:r w:rsidRPr="00AC67C2">
        <w:rPr>
          <w:rStyle w:val="af"/>
          <w:rFonts w:hint="cs"/>
          <w:rtl/>
        </w:rPr>
        <w:t xml:space="preserve">[אך כתב </w:t>
      </w:r>
      <w:r w:rsidRPr="00C31004">
        <w:rPr>
          <w:rStyle w:val="aff9"/>
          <w:rFonts w:hint="cs"/>
          <w:vanish/>
          <w:rtl/>
        </w:rPr>
        <w:t>-</w:t>
      </w:r>
      <w:r w:rsidRPr="00B52F5E">
        <w:rPr>
          <w:rStyle w:val="aff9"/>
          <w:rFonts w:hint="cs"/>
          <w:rtl/>
        </w:rPr>
        <w:t>רש"י</w:t>
      </w:r>
      <w:r w:rsidRPr="00C31004">
        <w:rPr>
          <w:rStyle w:val="aff9"/>
          <w:rFonts w:hint="cs"/>
          <w:vanish/>
          <w:rtl/>
        </w:rPr>
        <w:t>-</w:t>
      </w:r>
      <w:r w:rsidRPr="00AC67C2">
        <w:rPr>
          <w:rStyle w:val="af"/>
          <w:rFonts w:hint="cs"/>
          <w:rtl/>
        </w:rPr>
        <w:t xml:space="preserve"> דבונה לא שייך בזה דרק בבתים יש חיוב בונה בבנין כל דהו ולא בכלים</w:t>
      </w:r>
      <w:r w:rsidRPr="005957AC">
        <w:rPr>
          <w:rStyle w:val="af"/>
          <w:rFonts w:hint="cs"/>
          <w:rtl/>
        </w:rPr>
        <w:t>].</w:t>
      </w:r>
    </w:p>
    <w:p w14:paraId="55C82F07" w14:textId="77777777" w:rsidR="00A14FDA" w:rsidRPr="00BC7DC8" w:rsidRDefault="00A14FDA" w:rsidP="00A14FDA">
      <w:pPr>
        <w:pStyle w:val="afffffe"/>
        <w:rPr>
          <w:vanish/>
          <w:rtl/>
        </w:rPr>
      </w:pPr>
      <w:r w:rsidRPr="00BC7DC8">
        <w:rPr>
          <w:vanish/>
          <w:rtl/>
        </w:rPr>
        <w:t>רש"י ביצה י"א ע"ב</w:t>
      </w:r>
      <w:r w:rsidRPr="00BC7DC8">
        <w:rPr>
          <w:rFonts w:hint="cs"/>
          <w:vanish/>
          <w:rtl/>
        </w:rPr>
        <w:t xml:space="preserve"> ד"ה דאין</w:t>
      </w:r>
    </w:p>
    <w:p w14:paraId="7BC10F7C" w14:textId="77777777" w:rsidR="00A14FDA" w:rsidRPr="00D87F8B" w:rsidRDefault="00A14FDA" w:rsidP="00A14FDA">
      <w:pPr>
        <w:pStyle w:val="a2"/>
        <w:rPr>
          <w:rtl/>
        </w:rPr>
      </w:pPr>
      <w:r w:rsidRPr="00D87F8B">
        <w:rPr>
          <w:rtl/>
        </w:rPr>
        <w:t>דאין בנין בכלים - אין איסור בנין וסתירה בכלים, אלא בבתים דנחייב בבנין כל דהו, והעושה כלי או גומרו ביום טוב או בשבת - משום מכה בפטיש הוא דמחייב, שהוא חיוב לכל גמר מלאכה</w:t>
      </w:r>
      <w:r w:rsidRPr="00D87F8B">
        <w:rPr>
          <w:rFonts w:hint="cs"/>
          <w:rtl/>
        </w:rPr>
        <w:t>,</w:t>
      </w:r>
      <w:r w:rsidRPr="00D87F8B">
        <w:rPr>
          <w:rtl/>
        </w:rPr>
        <w:t xml:space="preserve"> או אם הוא דבר שהוא מחליקו - חייב משום ממחק, ואם צריך קצוע - חייב משום מחתך, וכן אורג או מסך או תופר, אבל בנין וסתירה - לא שייך בהו לאחיובי בסלוק וחזרה, דהא דתנן (שבת קב, ב): הבונה כל שהוא - בבתים תנן</w:t>
      </w:r>
      <w:r w:rsidRPr="00D87F8B">
        <w:rPr>
          <w:rFonts w:hint="cs"/>
          <w:rtl/>
        </w:rPr>
        <w:t>.</w:t>
      </w:r>
    </w:p>
    <w:p w14:paraId="387BF020" w14:textId="77777777" w:rsidR="00A14FDA" w:rsidRDefault="00A14FDA" w:rsidP="00A14FDA">
      <w:pPr>
        <w:pStyle w:val="afffff7"/>
        <w:rPr>
          <w:rtl/>
        </w:rPr>
      </w:pPr>
      <w:bookmarkStart w:id="5091" w:name="_Toc144224644"/>
      <w:bookmarkStart w:id="5092" w:name="_Toc163506192"/>
      <w:r>
        <w:rPr>
          <w:rtl/>
        </w:rPr>
        <w:t>רש"י שבת מ"ז ע"א</w:t>
      </w:r>
      <w:r>
        <w:rPr>
          <w:rFonts w:hint="cs"/>
          <w:rtl/>
        </w:rPr>
        <w:t xml:space="preserve"> ד"ה חייב</w:t>
      </w:r>
      <w:bookmarkEnd w:id="5091"/>
      <w:bookmarkEnd w:id="5092"/>
      <w:r w:rsidRPr="00421A47">
        <w:rPr>
          <w:vanish/>
          <w:rtl/>
        </w:rPr>
        <w:t xml:space="preserve"> (ב)</w:t>
      </w:r>
    </w:p>
    <w:p w14:paraId="05B7BAA5" w14:textId="77777777" w:rsidR="00A14FDA" w:rsidRDefault="00A14FDA" w:rsidP="00A14FDA">
      <w:pPr>
        <w:pStyle w:val="afffff7"/>
        <w:rPr>
          <w:rtl/>
        </w:rPr>
      </w:pPr>
      <w:bookmarkStart w:id="5093" w:name="_Toc144224645"/>
      <w:bookmarkStart w:id="5094" w:name="_Toc163506193"/>
      <w:r>
        <w:rPr>
          <w:rtl/>
        </w:rPr>
        <w:t>רש"י שבת מ"ח ע"א</w:t>
      </w:r>
      <w:r>
        <w:rPr>
          <w:rFonts w:hint="cs"/>
          <w:rtl/>
        </w:rPr>
        <w:t xml:space="preserve"> ד"ה חייב</w:t>
      </w:r>
      <w:bookmarkEnd w:id="5093"/>
      <w:bookmarkEnd w:id="5094"/>
      <w:r w:rsidRPr="00421A47">
        <w:rPr>
          <w:vanish/>
          <w:rtl/>
        </w:rPr>
        <w:t xml:space="preserve"> (ב)</w:t>
      </w:r>
    </w:p>
    <w:p w14:paraId="747FF633" w14:textId="77777777" w:rsidR="00A14FDA" w:rsidRDefault="00A14FDA" w:rsidP="00A14FDA">
      <w:pPr>
        <w:pStyle w:val="afffff7"/>
        <w:rPr>
          <w:rtl/>
        </w:rPr>
      </w:pPr>
      <w:bookmarkStart w:id="5095" w:name="_Toc144224646"/>
      <w:bookmarkStart w:id="5096" w:name="_Toc163506194"/>
      <w:r>
        <w:rPr>
          <w:rtl/>
        </w:rPr>
        <w:t>רש"י שבת קכ"ב ע"ב</w:t>
      </w:r>
      <w:r>
        <w:rPr>
          <w:rFonts w:hint="cs"/>
          <w:rtl/>
        </w:rPr>
        <w:t xml:space="preserve"> ד"ה גזירה</w:t>
      </w:r>
      <w:bookmarkEnd w:id="5095"/>
      <w:bookmarkEnd w:id="5096"/>
      <w:r w:rsidRPr="00421A47">
        <w:rPr>
          <w:vanish/>
          <w:rtl/>
        </w:rPr>
        <w:t xml:space="preserve"> (ב)</w:t>
      </w:r>
    </w:p>
    <w:p w14:paraId="6C14ED73" w14:textId="77777777" w:rsidR="00A14FDA" w:rsidRDefault="00A14FDA" w:rsidP="00A14FDA">
      <w:pPr>
        <w:pStyle w:val="afffff7"/>
        <w:rPr>
          <w:rtl/>
        </w:rPr>
      </w:pPr>
      <w:bookmarkStart w:id="5097" w:name="_Toc144224647"/>
      <w:bookmarkStart w:id="5098" w:name="_Toc163506195"/>
      <w:r>
        <w:rPr>
          <w:rtl/>
        </w:rPr>
        <w:t>רש"י שבת קכ"ד ע"ב</w:t>
      </w:r>
      <w:r>
        <w:rPr>
          <w:rFonts w:hint="cs"/>
          <w:rtl/>
        </w:rPr>
        <w:t xml:space="preserve"> לא יספות</w:t>
      </w:r>
      <w:bookmarkEnd w:id="5097"/>
      <w:bookmarkEnd w:id="5098"/>
      <w:r w:rsidRPr="00421A47">
        <w:rPr>
          <w:vanish/>
          <w:rtl/>
        </w:rPr>
        <w:t xml:space="preserve"> (ב)</w:t>
      </w:r>
    </w:p>
    <w:p w14:paraId="79E63668" w14:textId="77777777" w:rsidR="00A14FDA" w:rsidRDefault="00A14FDA" w:rsidP="00A14FDA">
      <w:pPr>
        <w:pStyle w:val="afffff7"/>
        <w:rPr>
          <w:rtl/>
        </w:rPr>
      </w:pPr>
      <w:bookmarkStart w:id="5099" w:name="_Toc144224648"/>
      <w:bookmarkStart w:id="5100" w:name="_Toc163506196"/>
      <w:r>
        <w:rPr>
          <w:rtl/>
        </w:rPr>
        <w:t>רש"י שבת קכ"ה ע"ב</w:t>
      </w:r>
      <w:r>
        <w:rPr>
          <w:rFonts w:hint="cs"/>
          <w:rtl/>
        </w:rPr>
        <w:t xml:space="preserve"> ד"ה גזירה</w:t>
      </w:r>
      <w:bookmarkEnd w:id="5099"/>
      <w:bookmarkEnd w:id="5100"/>
      <w:r w:rsidRPr="00421A47">
        <w:rPr>
          <w:vanish/>
          <w:rtl/>
        </w:rPr>
        <w:t xml:space="preserve"> (ב)</w:t>
      </w:r>
    </w:p>
    <w:p w14:paraId="0FC227B3" w14:textId="77777777" w:rsidR="00A14FDA" w:rsidRPr="003E5E31" w:rsidRDefault="00A14FDA" w:rsidP="00A14FDA">
      <w:pPr>
        <w:pStyle w:val="a7"/>
        <w:rPr>
          <w:rtl/>
        </w:rPr>
      </w:pPr>
      <w:bookmarkStart w:id="5101" w:name="_Toc144225244"/>
      <w:r>
        <w:rPr>
          <w:rFonts w:hint="cs"/>
          <w:rtl/>
        </w:rPr>
        <w:t>בי' רש"י באופנים דחייב בכלים משום מכה בפטיש דהוא גמר מלאכה ואין בנין בכלים</w:t>
      </w:r>
      <w:bookmarkEnd w:id="5101"/>
    </w:p>
    <w:p w14:paraId="2679B181" w14:textId="51A8ECF3" w:rsidR="00A14FDA" w:rsidRPr="004C0998" w:rsidRDefault="00A14FDA" w:rsidP="00BC7DC8">
      <w:pPr>
        <w:pStyle w:val="a3"/>
        <w:rPr>
          <w:rStyle w:val="af"/>
          <w:rtl/>
        </w:rPr>
      </w:pPr>
      <w:bookmarkStart w:id="5102" w:name="_Ref144117209"/>
      <w:r>
        <w:rPr>
          <w:rFonts w:hint="cs"/>
          <w:rtl/>
        </w:rPr>
        <w:t xml:space="preserve">וכן </w:t>
      </w:r>
      <w:r>
        <w:rPr>
          <w:rtl/>
        </w:rPr>
        <w:t xml:space="preserve">במחזיר מטה של טרסיים </w:t>
      </w:r>
      <w:r>
        <w:rPr>
          <w:rFonts w:hint="cs"/>
          <w:rtl/>
        </w:rPr>
        <w:t xml:space="preserve">כתב </w:t>
      </w:r>
      <w:r w:rsidRPr="00255628">
        <w:rPr>
          <w:rFonts w:hint="cs"/>
          <w:vanish/>
          <w:rtl/>
        </w:rPr>
        <w:t xml:space="preserve">&lt;, </w:t>
      </w:r>
      <w:r>
        <w:rPr>
          <w:vanish/>
          <w:rtl/>
        </w:rPr>
        <w:fldChar w:fldCharType="begin"/>
      </w:r>
      <w:r>
        <w:rPr>
          <w:vanish/>
          <w:rtl/>
        </w:rPr>
        <w:instrText xml:space="preserve"> </w:instrText>
      </w:r>
      <w:r>
        <w:rPr>
          <w:rFonts w:hint="cs"/>
          <w:vanish/>
        </w:rPr>
        <w:instrText>REF</w:instrText>
      </w:r>
      <w:r>
        <w:rPr>
          <w:rFonts w:hint="cs"/>
          <w:vanish/>
          <w:rtl/>
        </w:rPr>
        <w:instrText xml:space="preserve"> _</w:instrText>
      </w:r>
      <w:r>
        <w:rPr>
          <w:rFonts w:hint="cs"/>
          <w:vanish/>
        </w:rPr>
        <w:instrText>Ref144117209 \r \h</w:instrText>
      </w:r>
      <w:r>
        <w:rPr>
          <w:vanish/>
          <w:rtl/>
        </w:rPr>
        <w:instrText xml:space="preserve"> </w:instrText>
      </w:r>
      <w:r>
        <w:rPr>
          <w:vanish/>
          <w:rtl/>
        </w:rPr>
      </w:r>
      <w:r>
        <w:rPr>
          <w:vanish/>
          <w:rtl/>
        </w:rPr>
        <w:fldChar w:fldCharType="separate"/>
      </w:r>
      <w:r w:rsidR="00D82181">
        <w:rPr>
          <w:vanish/>
          <w:cs/>
        </w:rPr>
        <w:t>‎</w:t>
      </w:r>
      <w:r w:rsidR="00D82181">
        <w:rPr>
          <w:vanish/>
          <w:rtl/>
        </w:rPr>
        <w:t>טז)</w:t>
      </w:r>
      <w:r>
        <w:rPr>
          <w:vanish/>
          <w:rtl/>
        </w:rPr>
        <w:fldChar w:fldCharType="end"/>
      </w:r>
      <w:r w:rsidRPr="00255628">
        <w:rPr>
          <w:rFonts w:hint="cs"/>
          <w:vanish/>
          <w:rtl/>
        </w:rPr>
        <w:t xml:space="preserve"> &gt;</w:t>
      </w:r>
      <w:r w:rsidRPr="00255628">
        <w:rPr>
          <w:rStyle w:val="aff4"/>
          <w:rFonts w:hint="cs"/>
          <w:vanish/>
          <w:rtl/>
        </w:rPr>
        <w:t>-</w:t>
      </w:r>
      <w:r w:rsidRPr="00255628">
        <w:rPr>
          <w:rStyle w:val="aff4"/>
          <w:rFonts w:hint="cs"/>
          <w:rtl/>
        </w:rPr>
        <w:t>רש"י לעיל</w:t>
      </w:r>
      <w:r w:rsidRPr="00255628">
        <w:rPr>
          <w:rStyle w:val="aff4"/>
          <w:rFonts w:hint="cs"/>
          <w:vanish/>
          <w:rtl/>
        </w:rPr>
        <w:t>-</w:t>
      </w:r>
      <w:r>
        <w:rPr>
          <w:rFonts w:hint="cs"/>
          <w:rtl/>
        </w:rPr>
        <w:t xml:space="preserve"> </w:t>
      </w:r>
      <w:r w:rsidRPr="00C8052D">
        <w:rPr>
          <w:rStyle w:val="af2"/>
          <w:rFonts w:eastAsia="Guttman Hodes" w:hint="cs"/>
          <w:rtl/>
        </w:rPr>
        <w:t>(מז. ד"ה חייב)</w:t>
      </w:r>
      <w:r w:rsidRPr="00255628">
        <w:rPr>
          <w:rFonts w:hint="cs"/>
          <w:vanish/>
          <w:rtl/>
        </w:rPr>
        <w:t>=</w:t>
      </w:r>
      <w:r>
        <w:rPr>
          <w:rFonts w:hint="cs"/>
          <w:rtl/>
        </w:rPr>
        <w:t xml:space="preserve"> דהוא תחילת וגמר הכלי, ובזה הוא עושה את הכלי וחייב משום מכה בפטיש, שהוא האב לכל גמר מלאכה, </w:t>
      </w:r>
      <w:r w:rsidRPr="00AC67C2">
        <w:rPr>
          <w:rStyle w:val="af"/>
          <w:rFonts w:hint="cs"/>
          <w:rtl/>
        </w:rPr>
        <w:t xml:space="preserve">[וכתב </w:t>
      </w:r>
      <w:r w:rsidRPr="00ED6903">
        <w:rPr>
          <w:rStyle w:val="af"/>
          <w:rFonts w:hint="cs"/>
          <w:vanish/>
          <w:rtl/>
        </w:rPr>
        <w:t>-</w:t>
      </w:r>
      <w:r w:rsidRPr="000C7A3D">
        <w:rPr>
          <w:rStyle w:val="aff9"/>
          <w:rFonts w:hint="cs"/>
          <w:rtl/>
        </w:rPr>
        <w:t>רש"י</w:t>
      </w:r>
      <w:r w:rsidRPr="00ED6903">
        <w:rPr>
          <w:rStyle w:val="af"/>
          <w:rFonts w:hint="cs"/>
          <w:vanish/>
          <w:rtl/>
        </w:rPr>
        <w:t>-</w:t>
      </w:r>
      <w:r w:rsidRPr="00AC67C2">
        <w:rPr>
          <w:rStyle w:val="af"/>
          <w:rFonts w:hint="cs"/>
          <w:rtl/>
        </w:rPr>
        <w:t xml:space="preserve"> דאין בזה משום בונה כיון דאין בנין בכלים</w:t>
      </w:r>
      <w:r w:rsidRPr="005957AC">
        <w:rPr>
          <w:rStyle w:val="af"/>
          <w:rFonts w:hint="cs"/>
          <w:rtl/>
        </w:rPr>
        <w:t>],</w:t>
      </w:r>
      <w:r>
        <w:rPr>
          <w:rFonts w:hint="cs"/>
          <w:rtl/>
        </w:rPr>
        <w:t xml:space="preserve"> וכן בפותח בית הצואר כתב </w:t>
      </w:r>
      <w:r w:rsidRPr="00255628">
        <w:rPr>
          <w:rFonts w:hint="cs"/>
          <w:vanish/>
          <w:rtl/>
        </w:rPr>
        <w:t>&lt; &gt;</w:t>
      </w:r>
      <w:r w:rsidRPr="00255628">
        <w:rPr>
          <w:rStyle w:val="aff4"/>
          <w:rFonts w:hint="cs"/>
          <w:vanish/>
          <w:rtl/>
        </w:rPr>
        <w:t>-</w:t>
      </w:r>
      <w:r w:rsidRPr="00255628">
        <w:rPr>
          <w:rStyle w:val="aff4"/>
          <w:rFonts w:hint="cs"/>
          <w:rtl/>
        </w:rPr>
        <w:t>רש"י לעיל</w:t>
      </w:r>
      <w:r w:rsidRPr="00255628">
        <w:rPr>
          <w:rStyle w:val="aff4"/>
          <w:rFonts w:hint="cs"/>
          <w:vanish/>
          <w:rtl/>
        </w:rPr>
        <w:t>-</w:t>
      </w:r>
      <w:r>
        <w:rPr>
          <w:rFonts w:hint="cs"/>
          <w:rtl/>
        </w:rPr>
        <w:t xml:space="preserve"> </w:t>
      </w:r>
      <w:r w:rsidRPr="00C8052D">
        <w:rPr>
          <w:rStyle w:val="af2"/>
          <w:rFonts w:eastAsia="Guttman Hodes" w:hint="cs"/>
          <w:rtl/>
        </w:rPr>
        <w:t>(מח. ד"ה חייב)</w:t>
      </w:r>
      <w:r w:rsidRPr="00255628">
        <w:rPr>
          <w:rFonts w:hint="cs"/>
          <w:vanish/>
          <w:rtl/>
        </w:rPr>
        <w:t>=</w:t>
      </w:r>
      <w:r>
        <w:rPr>
          <w:rFonts w:hint="cs"/>
          <w:rtl/>
        </w:rPr>
        <w:t xml:space="preserve"> דעי"ז הוא עושה כלי וחייב במכה בפטיש דהוא גמר מלאכה,</w:t>
      </w:r>
      <w:r>
        <w:rPr>
          <w:rStyle w:val="af"/>
          <w:rFonts w:hint="cs"/>
          <w:rtl/>
        </w:rPr>
        <w:t xml:space="preserve"> </w:t>
      </w:r>
      <w:r>
        <w:rPr>
          <w:rFonts w:hint="cs"/>
          <w:rtl/>
        </w:rPr>
        <w:t xml:space="preserve">וכן בהא באיסור החזרת דלתות הכלים שמא יתקע, כתב </w:t>
      </w:r>
      <w:r w:rsidRPr="00255628">
        <w:rPr>
          <w:rFonts w:hint="cs"/>
          <w:vanish/>
          <w:rtl/>
        </w:rPr>
        <w:t>&lt; &gt;</w:t>
      </w:r>
      <w:r w:rsidRPr="00255628">
        <w:rPr>
          <w:rStyle w:val="aff4"/>
          <w:rFonts w:hint="cs"/>
          <w:vanish/>
          <w:rtl/>
        </w:rPr>
        <w:t>-</w:t>
      </w:r>
      <w:r w:rsidRPr="00255628">
        <w:rPr>
          <w:rStyle w:val="aff4"/>
          <w:rFonts w:hint="cs"/>
          <w:rtl/>
        </w:rPr>
        <w:t>רש"י לקמן</w:t>
      </w:r>
      <w:r w:rsidRPr="00255628">
        <w:rPr>
          <w:rStyle w:val="aff4"/>
          <w:rFonts w:hint="cs"/>
          <w:vanish/>
          <w:rtl/>
        </w:rPr>
        <w:t>-</w:t>
      </w:r>
      <w:r>
        <w:rPr>
          <w:rFonts w:hint="cs"/>
          <w:rtl/>
        </w:rPr>
        <w:t xml:space="preserve"> </w:t>
      </w:r>
      <w:r w:rsidRPr="00C8052D">
        <w:rPr>
          <w:rStyle w:val="af2"/>
          <w:rFonts w:eastAsia="Guttman Hodes" w:hint="cs"/>
          <w:rtl/>
        </w:rPr>
        <w:t>(קכב: ד"ה גזירה)</w:t>
      </w:r>
      <w:r w:rsidRPr="00255628">
        <w:rPr>
          <w:rFonts w:hint="cs"/>
          <w:vanish/>
          <w:rtl/>
        </w:rPr>
        <w:t>=</w:t>
      </w:r>
      <w:r>
        <w:rPr>
          <w:rFonts w:hint="cs"/>
          <w:rtl/>
        </w:rPr>
        <w:t xml:space="preserve"> דבתקע הוא גמר מלאכה וחייב במכה בפטיש, וכן בתיקון שבר מחבית לכיסוי כלי, כתב </w:t>
      </w:r>
      <w:r w:rsidRPr="00255628">
        <w:rPr>
          <w:rFonts w:hint="cs"/>
          <w:vanish/>
          <w:rtl/>
        </w:rPr>
        <w:t>&lt; &gt;</w:t>
      </w:r>
      <w:r w:rsidRPr="00255628">
        <w:rPr>
          <w:rStyle w:val="aff4"/>
          <w:rFonts w:hint="cs"/>
          <w:vanish/>
          <w:rtl/>
        </w:rPr>
        <w:t>-</w:t>
      </w:r>
      <w:r w:rsidRPr="00255628">
        <w:rPr>
          <w:rStyle w:val="aff4"/>
          <w:rFonts w:hint="cs"/>
          <w:rtl/>
        </w:rPr>
        <w:t>רש"י לקמן</w:t>
      </w:r>
      <w:r w:rsidRPr="00255628">
        <w:rPr>
          <w:rStyle w:val="aff4"/>
          <w:rFonts w:hint="cs"/>
          <w:vanish/>
          <w:rtl/>
        </w:rPr>
        <w:t>-</w:t>
      </w:r>
      <w:r>
        <w:rPr>
          <w:rFonts w:hint="cs"/>
          <w:rtl/>
        </w:rPr>
        <w:t xml:space="preserve"> </w:t>
      </w:r>
      <w:r w:rsidRPr="00C8052D">
        <w:rPr>
          <w:rStyle w:val="af2"/>
          <w:rFonts w:eastAsia="Guttman Hodes" w:hint="cs"/>
          <w:rtl/>
        </w:rPr>
        <w:t>(קכד: ד"ה לא יספות)</w:t>
      </w:r>
      <w:r w:rsidRPr="00255628">
        <w:rPr>
          <w:rFonts w:hint="cs"/>
          <w:vanish/>
          <w:rtl/>
        </w:rPr>
        <w:t>=</w:t>
      </w:r>
      <w:r>
        <w:rPr>
          <w:rFonts w:hint="cs"/>
          <w:rtl/>
        </w:rPr>
        <w:t xml:space="preserve"> דעושה כלי וחייב במכה בפטיש, וכן באיסור למלא מים בזמורה תלושה שמא יקטום, ביאר </w:t>
      </w:r>
      <w:r w:rsidRPr="00255628">
        <w:rPr>
          <w:rFonts w:hint="cs"/>
          <w:vanish/>
          <w:rtl/>
        </w:rPr>
        <w:t>&lt; &gt;</w:t>
      </w:r>
      <w:r w:rsidRPr="00255628">
        <w:rPr>
          <w:rStyle w:val="aff4"/>
          <w:rFonts w:hint="cs"/>
          <w:vanish/>
          <w:rtl/>
        </w:rPr>
        <w:t>-</w:t>
      </w:r>
      <w:r w:rsidRPr="00255628">
        <w:rPr>
          <w:rStyle w:val="aff4"/>
          <w:rFonts w:hint="cs"/>
          <w:rtl/>
        </w:rPr>
        <w:t>רש"י לקמן</w:t>
      </w:r>
      <w:r w:rsidRPr="00255628">
        <w:rPr>
          <w:rStyle w:val="aff4"/>
          <w:rFonts w:hint="cs"/>
          <w:vanish/>
          <w:rtl/>
        </w:rPr>
        <w:t>-</w:t>
      </w:r>
      <w:r>
        <w:rPr>
          <w:rFonts w:hint="cs"/>
          <w:rtl/>
        </w:rPr>
        <w:t xml:space="preserve"> </w:t>
      </w:r>
      <w:r w:rsidRPr="00C8052D">
        <w:rPr>
          <w:rStyle w:val="af2"/>
          <w:rFonts w:eastAsia="Guttman Hodes" w:hint="cs"/>
          <w:rtl/>
        </w:rPr>
        <w:t>(קכה: ד"ה גזירה)</w:t>
      </w:r>
      <w:r w:rsidRPr="00255628">
        <w:rPr>
          <w:rFonts w:hint="cs"/>
          <w:vanish/>
          <w:rtl/>
        </w:rPr>
        <w:t>=</w:t>
      </w:r>
      <w:r>
        <w:rPr>
          <w:rFonts w:hint="cs"/>
          <w:rtl/>
        </w:rPr>
        <w:t xml:space="preserve"> דעי"ז הוא עושה כלי וחייב משום מכה בפטיש.</w:t>
      </w:r>
      <w:bookmarkEnd w:id="5102"/>
    </w:p>
    <w:p w14:paraId="259B7389" w14:textId="77777777" w:rsidR="00A14FDA" w:rsidRPr="00BC7DC8" w:rsidRDefault="00A14FDA" w:rsidP="00A14FDA">
      <w:pPr>
        <w:pStyle w:val="afffffe"/>
        <w:rPr>
          <w:vanish/>
          <w:rtl/>
        </w:rPr>
      </w:pPr>
      <w:r w:rsidRPr="00BC7DC8">
        <w:rPr>
          <w:vanish/>
          <w:rtl/>
        </w:rPr>
        <w:t>רש"י שבת מ"ז ע"א</w:t>
      </w:r>
      <w:r w:rsidRPr="00BC7DC8">
        <w:rPr>
          <w:rFonts w:hint="cs"/>
          <w:vanish/>
          <w:rtl/>
        </w:rPr>
        <w:t xml:space="preserve"> ד"ה חייב</w:t>
      </w:r>
    </w:p>
    <w:p w14:paraId="57AC2828" w14:textId="77777777" w:rsidR="00A14FDA" w:rsidRPr="00D87F8B" w:rsidRDefault="00A14FDA" w:rsidP="00A14FDA">
      <w:pPr>
        <w:pStyle w:val="a2"/>
        <w:rPr>
          <w:rtl/>
        </w:rPr>
      </w:pPr>
      <w:r w:rsidRPr="00D87F8B">
        <w:rPr>
          <w:rtl/>
        </w:rPr>
        <w:t>חייב חטאת - הוא תחלתו וגמרו, ונמצא עושה כלי, וחייב משום מכה בפטיש - אב לכל גומרי מלאכה, ולא משום בנין - דאין בנין בכלים.</w:t>
      </w:r>
    </w:p>
    <w:p w14:paraId="028D7B20" w14:textId="77777777" w:rsidR="00A14FDA" w:rsidRPr="00BC7DC8" w:rsidRDefault="00A14FDA" w:rsidP="00A14FDA">
      <w:pPr>
        <w:pStyle w:val="afffffe"/>
        <w:rPr>
          <w:vanish/>
          <w:rtl/>
        </w:rPr>
      </w:pPr>
      <w:r w:rsidRPr="00BC7DC8">
        <w:rPr>
          <w:vanish/>
          <w:rtl/>
        </w:rPr>
        <w:t>רש"י שבת מ"ח ע"א</w:t>
      </w:r>
      <w:r w:rsidRPr="00BC7DC8">
        <w:rPr>
          <w:rFonts w:hint="cs"/>
          <w:vanish/>
          <w:rtl/>
        </w:rPr>
        <w:t xml:space="preserve"> ד"ה חייב</w:t>
      </w:r>
    </w:p>
    <w:p w14:paraId="08B92005" w14:textId="77777777" w:rsidR="00A14FDA" w:rsidRPr="00806C89" w:rsidRDefault="00A14FDA" w:rsidP="00A14FDA">
      <w:pPr>
        <w:pStyle w:val="afffff5"/>
        <w:rPr>
          <w:rtl/>
        </w:rPr>
      </w:pPr>
      <w:r w:rsidRPr="00806C89">
        <w:rPr>
          <w:rtl/>
        </w:rPr>
        <w:t>חייב חטאת - דהשתא קמשוי ליה מנא, וחייב משום מכה בפטיש, והיינו גמר מלאכה.</w:t>
      </w:r>
    </w:p>
    <w:p w14:paraId="410E056F" w14:textId="77777777" w:rsidR="00A14FDA" w:rsidRPr="00BC7DC8" w:rsidRDefault="00A14FDA" w:rsidP="00A14FDA">
      <w:pPr>
        <w:pStyle w:val="afffffe"/>
        <w:rPr>
          <w:vanish/>
          <w:rtl/>
        </w:rPr>
      </w:pPr>
      <w:r w:rsidRPr="00BC7DC8">
        <w:rPr>
          <w:vanish/>
          <w:rtl/>
        </w:rPr>
        <w:t>רש"י שבת קכ"ב ע"ב</w:t>
      </w:r>
      <w:r w:rsidRPr="00BC7DC8">
        <w:rPr>
          <w:rFonts w:hint="cs"/>
          <w:vanish/>
          <w:rtl/>
        </w:rPr>
        <w:t xml:space="preserve"> ד"ה גזירה</w:t>
      </w:r>
    </w:p>
    <w:p w14:paraId="51F344D6" w14:textId="77777777" w:rsidR="00A14FDA" w:rsidRPr="00806C89" w:rsidRDefault="00A14FDA" w:rsidP="00A14FDA">
      <w:pPr>
        <w:pStyle w:val="afffff5"/>
      </w:pPr>
      <w:r w:rsidRPr="00806C89">
        <w:rPr>
          <w:rtl/>
        </w:rPr>
        <w:t>גזירה שמא יתקע - בחזקה בסכין ויתדות, והוה ליה גמר מלאכה וחייב משום מכה בפטיש.</w:t>
      </w:r>
    </w:p>
    <w:p w14:paraId="7CA4A845" w14:textId="77777777" w:rsidR="00A14FDA" w:rsidRPr="00BC7DC8" w:rsidRDefault="00A14FDA" w:rsidP="00A14FDA">
      <w:pPr>
        <w:pStyle w:val="afffffe"/>
        <w:rPr>
          <w:vanish/>
          <w:rtl/>
        </w:rPr>
      </w:pPr>
      <w:r w:rsidRPr="00BC7DC8">
        <w:rPr>
          <w:vanish/>
          <w:rtl/>
        </w:rPr>
        <w:t>רש"י שבת קכ"ד ע"ב</w:t>
      </w:r>
      <w:r w:rsidRPr="00BC7DC8">
        <w:rPr>
          <w:rFonts w:hint="cs"/>
          <w:vanish/>
          <w:rtl/>
        </w:rPr>
        <w:t xml:space="preserve"> לא יספות</w:t>
      </w:r>
    </w:p>
    <w:p w14:paraId="53D859CC" w14:textId="77777777" w:rsidR="00A14FDA" w:rsidRPr="00806C89" w:rsidRDefault="00A14FDA" w:rsidP="00A14FDA">
      <w:pPr>
        <w:pStyle w:val="afffff5"/>
      </w:pPr>
      <w:r w:rsidRPr="00806C89">
        <w:rPr>
          <w:rtl/>
        </w:rPr>
        <w:t>לא יספות - יתקן, להתיר בליטותיו ועוקציו בשבת, דעביד כלי והוי מכה בפטיש.</w:t>
      </w:r>
    </w:p>
    <w:p w14:paraId="2DF9D555" w14:textId="77777777" w:rsidR="00A14FDA" w:rsidRPr="00BC7DC8" w:rsidRDefault="00A14FDA" w:rsidP="00A14FDA">
      <w:pPr>
        <w:pStyle w:val="afffffe"/>
        <w:rPr>
          <w:vanish/>
          <w:rtl/>
        </w:rPr>
      </w:pPr>
      <w:r w:rsidRPr="00BC7DC8">
        <w:rPr>
          <w:vanish/>
          <w:rtl/>
        </w:rPr>
        <w:t>רש"י שבת קכ"ה ע"ב</w:t>
      </w:r>
      <w:r w:rsidRPr="00BC7DC8">
        <w:rPr>
          <w:rFonts w:hint="cs"/>
          <w:vanish/>
          <w:rtl/>
        </w:rPr>
        <w:t xml:space="preserve"> ד"ה גזירה</w:t>
      </w:r>
    </w:p>
    <w:p w14:paraId="6479D8C5" w14:textId="77777777" w:rsidR="00A14FDA" w:rsidRPr="00806C89" w:rsidRDefault="00A14FDA" w:rsidP="00A14FDA">
      <w:pPr>
        <w:pStyle w:val="afffff5"/>
        <w:rPr>
          <w:rtl/>
        </w:rPr>
      </w:pPr>
      <w:r w:rsidRPr="00806C89">
        <w:rPr>
          <w:rtl/>
        </w:rPr>
        <w:t>גזירה שמא יקטום - שמא למחר תהיה לו ארוכה ויקטמנה, מתוך שהיא רכה ונוחה לקטום, ונמצא עושה כלי, וחייב משום מכה בפטיש</w:t>
      </w:r>
      <w:r w:rsidRPr="00806C89">
        <w:rPr>
          <w:rFonts w:hint="cs"/>
          <w:rtl/>
        </w:rPr>
        <w:t>.</w:t>
      </w:r>
    </w:p>
    <w:p w14:paraId="317DF4EE" w14:textId="77777777" w:rsidR="00A14FDA" w:rsidRDefault="00A14FDA" w:rsidP="00A14FDA">
      <w:pPr>
        <w:pStyle w:val="afffff7"/>
        <w:rPr>
          <w:rtl/>
        </w:rPr>
      </w:pPr>
      <w:bookmarkStart w:id="5103" w:name="_Toc144224649"/>
      <w:bookmarkStart w:id="5104" w:name="_Toc163506197"/>
      <w:r>
        <w:rPr>
          <w:rtl/>
        </w:rPr>
        <w:t>רש"י שבת ק"ג ע"א</w:t>
      </w:r>
      <w:r>
        <w:rPr>
          <w:rFonts w:hint="cs"/>
          <w:rtl/>
        </w:rPr>
        <w:t xml:space="preserve"> ד"ה אלא</w:t>
      </w:r>
      <w:bookmarkEnd w:id="5103"/>
      <w:bookmarkEnd w:id="5104"/>
      <w:r w:rsidRPr="00421A47">
        <w:rPr>
          <w:vanish/>
          <w:rtl/>
        </w:rPr>
        <w:t xml:space="preserve"> (ב)</w:t>
      </w:r>
    </w:p>
    <w:p w14:paraId="482A0F80" w14:textId="77777777" w:rsidR="00A14FDA" w:rsidRDefault="00A14FDA" w:rsidP="00A14FDA">
      <w:pPr>
        <w:pStyle w:val="a7"/>
        <w:rPr>
          <w:rtl/>
        </w:rPr>
      </w:pPr>
      <w:bookmarkStart w:id="5105" w:name="_Toc144225245"/>
      <w:r>
        <w:rPr>
          <w:rFonts w:hint="cs"/>
          <w:rtl/>
        </w:rPr>
        <w:t>בי' רש"י דבקודח נקב ואינו עומד להתקיים וכוונתו לסותמו ל"ה גמר מלאכה ופטור</w:t>
      </w:r>
      <w:bookmarkEnd w:id="5105"/>
    </w:p>
    <w:p w14:paraId="10A16E74" w14:textId="354B00CB" w:rsidR="00A14FDA" w:rsidRPr="008518A0" w:rsidRDefault="00A14FDA" w:rsidP="00BC7DC8">
      <w:pPr>
        <w:pStyle w:val="a3"/>
        <w:rPr>
          <w:rtl/>
        </w:rPr>
      </w:pPr>
      <w:bookmarkStart w:id="5106" w:name="_Ref144117401"/>
      <w:r>
        <w:rPr>
          <w:rFonts w:hint="cs"/>
          <w:rtl/>
        </w:rPr>
        <w:t xml:space="preserve">בקושית הגמ' </w:t>
      </w:r>
      <w:r w:rsidRPr="00623ECF">
        <w:rPr>
          <w:rStyle w:val="af2"/>
          <w:rFonts w:eastAsia="Guttman Hodes" w:hint="cs"/>
          <w:rtl/>
        </w:rPr>
        <w:t>(קג.)</w:t>
      </w:r>
      <w:r>
        <w:rPr>
          <w:rFonts w:hint="cs"/>
          <w:rtl/>
        </w:rPr>
        <w:t xml:space="preserve"> דקודח לשמואל לא יתחייב משום מכה בפטיש כיון דאינו גמר מלאכה, ביאר</w:t>
      </w:r>
      <w:r>
        <w:rPr>
          <w:rtl/>
        </w:rPr>
        <w:t xml:space="preserve"> </w:t>
      </w:r>
      <w:r w:rsidRPr="00623ECF">
        <w:rPr>
          <w:b/>
          <w:bCs/>
          <w:vanish/>
          <w:rtl/>
        </w:rPr>
        <w:t xml:space="preserve"> &lt;, </w:t>
      </w:r>
      <w:r w:rsidRPr="00623ECF">
        <w:rPr>
          <w:b/>
          <w:bCs/>
          <w:vanish/>
          <w:rtl/>
        </w:rPr>
        <w:fldChar w:fldCharType="begin"/>
      </w:r>
      <w:r w:rsidRPr="00623ECF">
        <w:rPr>
          <w:b/>
          <w:bCs/>
          <w:vanish/>
          <w:rtl/>
        </w:rPr>
        <w:instrText xml:space="preserve"> </w:instrText>
      </w:r>
      <w:r w:rsidRPr="00623ECF">
        <w:rPr>
          <w:b/>
          <w:bCs/>
          <w:vanish/>
        </w:rPr>
        <w:instrText>REF</w:instrText>
      </w:r>
      <w:r w:rsidRPr="00623ECF">
        <w:rPr>
          <w:b/>
          <w:bCs/>
          <w:vanish/>
          <w:rtl/>
        </w:rPr>
        <w:instrText xml:space="preserve"> _</w:instrText>
      </w:r>
      <w:r w:rsidRPr="00623ECF">
        <w:rPr>
          <w:b/>
          <w:bCs/>
          <w:vanish/>
        </w:rPr>
        <w:instrText>Ref144117401 \r \h</w:instrText>
      </w:r>
      <w:r w:rsidRPr="00623ECF">
        <w:rPr>
          <w:b/>
          <w:bCs/>
          <w:vanish/>
          <w:rtl/>
        </w:rPr>
        <w:instrText xml:space="preserve"> </w:instrText>
      </w:r>
      <w:r w:rsidRPr="00623ECF">
        <w:rPr>
          <w:b/>
          <w:bCs/>
          <w:vanish/>
          <w:rtl/>
        </w:rPr>
      </w:r>
      <w:r w:rsidRPr="00623ECF">
        <w:rPr>
          <w:b/>
          <w:bCs/>
          <w:vanish/>
          <w:rtl/>
        </w:rPr>
        <w:fldChar w:fldCharType="separate"/>
      </w:r>
      <w:r w:rsidR="00D82181">
        <w:rPr>
          <w:b/>
          <w:bCs/>
          <w:vanish/>
          <w:cs/>
        </w:rPr>
        <w:t>‎</w:t>
      </w:r>
      <w:r w:rsidR="00D82181">
        <w:rPr>
          <w:b/>
          <w:bCs/>
          <w:vanish/>
          <w:rtl/>
        </w:rPr>
        <w:t>יז)</w:t>
      </w:r>
      <w:r w:rsidRPr="00623ECF">
        <w:rPr>
          <w:b/>
          <w:bCs/>
          <w:vanish/>
          <w:rtl/>
        </w:rPr>
        <w:fldChar w:fldCharType="end"/>
      </w:r>
      <w:r w:rsidRPr="00623ECF">
        <w:rPr>
          <w:b/>
          <w:bCs/>
          <w:vanish/>
          <w:rtl/>
        </w:rPr>
        <w:t xml:space="preserve"> &gt;</w:t>
      </w:r>
      <w:r w:rsidRPr="00623ECF">
        <w:rPr>
          <w:rFonts w:hint="cs"/>
          <w:b/>
          <w:bCs/>
          <w:rtl/>
        </w:rPr>
        <w:t>רש"י</w:t>
      </w:r>
      <w:r w:rsidRPr="00623ECF">
        <w:rPr>
          <w:b/>
          <w:bCs/>
          <w:rtl/>
        </w:rPr>
        <w:t xml:space="preserve"> </w:t>
      </w:r>
      <w:r w:rsidRPr="00623ECF">
        <w:rPr>
          <w:rFonts w:ascii="Calibri" w:eastAsia="Times New Roman" w:hAnsi="Calibri" w:cs="Guttman Rashi"/>
          <w:sz w:val="10"/>
          <w:szCs w:val="12"/>
          <w:rtl/>
        </w:rPr>
        <w:t>(</w:t>
      </w:r>
      <w:r w:rsidRPr="00623ECF">
        <w:rPr>
          <w:rFonts w:ascii="Calibri" w:eastAsia="Times New Roman" w:hAnsi="Calibri" w:cs="Guttman Rashi" w:hint="cs"/>
          <w:sz w:val="10"/>
          <w:szCs w:val="12"/>
          <w:rtl/>
        </w:rPr>
        <w:t>קג. ד"ה אלא</w:t>
      </w:r>
      <w:r w:rsidRPr="00623ECF">
        <w:rPr>
          <w:rFonts w:ascii="Calibri" w:eastAsia="Times New Roman" w:hAnsi="Calibri" w:cs="Guttman Rashi"/>
          <w:sz w:val="10"/>
          <w:szCs w:val="12"/>
          <w:rtl/>
        </w:rPr>
        <w:t>)</w:t>
      </w:r>
      <w:r w:rsidRPr="00623ECF">
        <w:rPr>
          <w:vanish/>
          <w:rtl/>
        </w:rPr>
        <w:t>=</w:t>
      </w:r>
      <w:r>
        <w:rPr>
          <w:rtl/>
        </w:rPr>
        <w:t xml:space="preserve"> </w:t>
      </w:r>
      <w:r>
        <w:rPr>
          <w:rFonts w:hint="cs"/>
          <w:rtl/>
        </w:rPr>
        <w:t>דרק בנקב בלול של תרנגולים שעומד להתקיים אפש"ל דהוא מכה בפטיש, אבל בקודח שהנקב עומד לסתימה אינו גמר מלאכה.</w:t>
      </w:r>
      <w:bookmarkEnd w:id="5106"/>
    </w:p>
    <w:p w14:paraId="1C172086" w14:textId="77777777" w:rsidR="00A14FDA" w:rsidRPr="00BC7DC8" w:rsidRDefault="00A14FDA" w:rsidP="00A14FDA">
      <w:pPr>
        <w:pStyle w:val="afffffe"/>
        <w:rPr>
          <w:vanish/>
          <w:rtl/>
        </w:rPr>
      </w:pPr>
      <w:r w:rsidRPr="00BC7DC8">
        <w:rPr>
          <w:vanish/>
          <w:rtl/>
        </w:rPr>
        <w:t>רש"י שבת ק"ג ע"א</w:t>
      </w:r>
      <w:r w:rsidRPr="00BC7DC8">
        <w:rPr>
          <w:rFonts w:hint="cs"/>
          <w:vanish/>
          <w:rtl/>
        </w:rPr>
        <w:t xml:space="preserve"> ד"ה אלא</w:t>
      </w:r>
    </w:p>
    <w:p w14:paraId="3E4779FD" w14:textId="77777777" w:rsidR="00A14FDA" w:rsidRDefault="00A14FDA" w:rsidP="00A14FDA">
      <w:pPr>
        <w:pStyle w:val="a2"/>
        <w:rPr>
          <w:rtl/>
        </w:rPr>
      </w:pPr>
      <w:r w:rsidRPr="00D87F8B">
        <w:rPr>
          <w:rtl/>
        </w:rPr>
        <w:t>אלא לשמואל - דאמר נוקב לאו בונה הוא, בשלמא נקב דלול - איכא למימר מכה בפטיש, אבל זה שעומד לסתום, לאו גמר מלאכה הוא.</w:t>
      </w:r>
    </w:p>
    <w:p w14:paraId="571FB96C" w14:textId="77777777" w:rsidR="00A14FDA" w:rsidRPr="00BF1FF1" w:rsidRDefault="00A14FDA" w:rsidP="00A14FDA">
      <w:pPr>
        <w:pStyle w:val="1"/>
        <w:rPr>
          <w:rtl/>
        </w:rPr>
      </w:pPr>
      <w:bookmarkStart w:id="5107" w:name="_Toc144225246"/>
      <w:r>
        <w:rPr>
          <w:rFonts w:hint="cs"/>
          <w:rtl/>
        </w:rPr>
        <w:t>בחיוב מכב"פ בנופח כלי זכוכית אי חייב אף בתחילה או בסוף</w:t>
      </w:r>
      <w:bookmarkEnd w:id="5107"/>
    </w:p>
    <w:p w14:paraId="77194E41" w14:textId="77777777" w:rsidR="00A14FDA" w:rsidRDefault="00A14FDA" w:rsidP="00A14FDA">
      <w:pPr>
        <w:pStyle w:val="afffff7"/>
        <w:rPr>
          <w:rtl/>
        </w:rPr>
      </w:pPr>
      <w:bookmarkStart w:id="5108" w:name="_Toc144224650"/>
      <w:bookmarkStart w:id="5109" w:name="_Toc163506198"/>
      <w:r>
        <w:rPr>
          <w:rtl/>
        </w:rPr>
        <w:t>מאירי שבת ע"ה ע"ב</w:t>
      </w:r>
      <w:r>
        <w:rPr>
          <w:rFonts w:hint="cs"/>
          <w:rtl/>
        </w:rPr>
        <w:t xml:space="preserve"> ד"ה אף</w:t>
      </w:r>
      <w:r w:rsidRPr="008E0E6C">
        <w:rPr>
          <w:rtl/>
        </w:rPr>
        <w:t xml:space="preserve"> המנפח</w:t>
      </w:r>
      <w:bookmarkEnd w:id="5108"/>
      <w:bookmarkEnd w:id="5109"/>
      <w:r w:rsidRPr="00421A47">
        <w:rPr>
          <w:vanish/>
          <w:rtl/>
        </w:rPr>
        <w:t xml:space="preserve"> (ב)</w:t>
      </w:r>
    </w:p>
    <w:p w14:paraId="20DC14A4" w14:textId="77777777" w:rsidR="00A14FDA" w:rsidRDefault="00A14FDA" w:rsidP="00A14FDA">
      <w:pPr>
        <w:pStyle w:val="afffff7"/>
        <w:rPr>
          <w:rtl/>
        </w:rPr>
      </w:pPr>
      <w:bookmarkStart w:id="5110" w:name="_Toc144224651"/>
      <w:bookmarkStart w:id="5111" w:name="_Toc163506199"/>
      <w:r>
        <w:rPr>
          <w:rtl/>
        </w:rPr>
        <w:t>מרכבת המשנה שבת פ"י הט"ז</w:t>
      </w:r>
      <w:bookmarkEnd w:id="5110"/>
      <w:bookmarkEnd w:id="5111"/>
      <w:r w:rsidRPr="00421A47">
        <w:rPr>
          <w:vanish/>
          <w:rtl/>
        </w:rPr>
        <w:t xml:space="preserve"> (ב)</w:t>
      </w:r>
    </w:p>
    <w:p w14:paraId="3610A953" w14:textId="77777777" w:rsidR="00A14FDA" w:rsidRDefault="00A14FDA" w:rsidP="00A14FDA">
      <w:pPr>
        <w:pStyle w:val="a7"/>
        <w:rPr>
          <w:rtl/>
        </w:rPr>
      </w:pPr>
      <w:bookmarkStart w:id="5112" w:name="_Toc144225247"/>
      <w:r>
        <w:rPr>
          <w:rFonts w:hint="cs"/>
          <w:rtl/>
        </w:rPr>
        <w:t>בי' המאירי דחיוב מכב"פ בכלי זכוכית אף בניפוח ראשון ובי' המרכה"מ דהיה בית קיבול קודם</w:t>
      </w:r>
      <w:bookmarkEnd w:id="5112"/>
    </w:p>
    <w:p w14:paraId="383CB583" w14:textId="1C4FE4ED" w:rsidR="00A14FDA" w:rsidRPr="008E0E6C" w:rsidRDefault="00A14FDA" w:rsidP="00BC7DC8">
      <w:pPr>
        <w:pStyle w:val="a3"/>
        <w:rPr>
          <w:rtl/>
        </w:rPr>
      </w:pPr>
      <w:bookmarkStart w:id="5113" w:name="_Ref144151503"/>
      <w:r>
        <w:rPr>
          <w:rFonts w:hint="cs"/>
          <w:rtl/>
        </w:rPr>
        <w:t>כתב</w:t>
      </w:r>
      <w:r>
        <w:rPr>
          <w:rtl/>
        </w:rPr>
        <w:t xml:space="preserve"> </w:t>
      </w:r>
      <w:r w:rsidRPr="008E0E6C">
        <w:rPr>
          <w:b/>
          <w:bCs/>
          <w:rtl/>
        </w:rPr>
        <w:t>ה</w:t>
      </w:r>
      <w:r w:rsidRPr="008E0E6C">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Ref144151503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יח)</w:t>
      </w:r>
      <w:r>
        <w:rPr>
          <w:b/>
          <w:bCs/>
          <w:vanish/>
          <w:rtl/>
        </w:rPr>
        <w:fldChar w:fldCharType="end"/>
      </w:r>
      <w:r w:rsidRPr="008E0E6C">
        <w:rPr>
          <w:b/>
          <w:bCs/>
          <w:vanish/>
          <w:rtl/>
        </w:rPr>
        <w:t xml:space="preserve"> &gt;</w:t>
      </w:r>
      <w:r>
        <w:rPr>
          <w:rFonts w:hint="cs"/>
          <w:b/>
          <w:bCs/>
          <w:rtl/>
        </w:rPr>
        <w:t>מאירי לעיל</w:t>
      </w:r>
      <w:r w:rsidRPr="008E0E6C">
        <w:rPr>
          <w:b/>
          <w:bCs/>
          <w:rtl/>
        </w:rPr>
        <w:t xml:space="preserve"> </w:t>
      </w:r>
      <w:r w:rsidRPr="008E0E6C">
        <w:rPr>
          <w:rFonts w:ascii="Calibri" w:eastAsia="Times New Roman" w:hAnsi="Calibri" w:cs="Guttman Rashi"/>
          <w:sz w:val="10"/>
          <w:szCs w:val="12"/>
          <w:rtl/>
        </w:rPr>
        <w:t>(</w:t>
      </w:r>
      <w:r>
        <w:rPr>
          <w:rFonts w:ascii="Calibri" w:eastAsia="Times New Roman" w:hAnsi="Calibri" w:cs="Guttman Rashi" w:hint="cs"/>
          <w:sz w:val="10"/>
          <w:szCs w:val="12"/>
          <w:rtl/>
        </w:rPr>
        <w:t>עה: ד"ה אף המנפח</w:t>
      </w:r>
      <w:r w:rsidRPr="008E0E6C">
        <w:rPr>
          <w:rFonts w:ascii="Calibri" w:eastAsia="Times New Roman" w:hAnsi="Calibri" w:cs="Guttman Rashi"/>
          <w:sz w:val="10"/>
          <w:szCs w:val="12"/>
          <w:rtl/>
        </w:rPr>
        <w:t>)</w:t>
      </w:r>
      <w:r w:rsidRPr="008E0E6C">
        <w:rPr>
          <w:vanish/>
          <w:rtl/>
        </w:rPr>
        <w:t>=</w:t>
      </w:r>
      <w:r>
        <w:rPr>
          <w:rtl/>
        </w:rPr>
        <w:t xml:space="preserve"> </w:t>
      </w:r>
      <w:r>
        <w:rPr>
          <w:rFonts w:hint="cs"/>
          <w:rtl/>
        </w:rPr>
        <w:t>דהמנפח בכלי זכוכית, חייב משום מכה בפטיש, אף בתחילת הניפוח ולא רק בניפוח האחרון</w:t>
      </w:r>
      <w:bookmarkStart w:id="5114" w:name="_Hlk144459426"/>
      <w:r>
        <w:rPr>
          <w:rFonts w:hint="cs"/>
          <w:rtl/>
        </w:rPr>
        <w:t xml:space="preserve">, וע"ע </w:t>
      </w:r>
      <w:r w:rsidRPr="001869D0">
        <w:rPr>
          <w:rStyle w:val="aff4"/>
          <w:rFonts w:hint="cs"/>
          <w:rtl/>
        </w:rPr>
        <w:t>ב</w:t>
      </w:r>
      <w:r w:rsidRPr="003C7F26">
        <w:rPr>
          <w:vanish/>
          <w:rtl/>
        </w:rPr>
        <w:t xml:space="preserve"> </w:t>
      </w:r>
      <w:r w:rsidRPr="003C7F26">
        <w:rPr>
          <w:b/>
          <w:bCs/>
          <w:vanish/>
          <w:rtl/>
        </w:rPr>
        <w:t xml:space="preserve">&lt; &gt; </w:t>
      </w:r>
      <w:r>
        <w:rPr>
          <w:rFonts w:hint="cs"/>
          <w:b/>
          <w:bCs/>
          <w:rtl/>
        </w:rPr>
        <w:t xml:space="preserve">מרכה"מ </w:t>
      </w:r>
      <w:r w:rsidRPr="001869D0">
        <w:rPr>
          <w:rFonts w:ascii="Calibri" w:eastAsia="Times New Roman" w:hAnsi="Calibri" w:cs="Guttman Rashi"/>
          <w:sz w:val="10"/>
          <w:szCs w:val="12"/>
          <w:rtl/>
        </w:rPr>
        <w:t>(</w:t>
      </w:r>
      <w:r>
        <w:rPr>
          <w:rFonts w:ascii="Calibri" w:eastAsia="Times New Roman" w:hAnsi="Calibri" w:cs="Guttman Rashi" w:hint="cs"/>
          <w:sz w:val="10"/>
          <w:szCs w:val="12"/>
          <w:rtl/>
        </w:rPr>
        <w:t>שבת פ"י ריש הט"ז</w:t>
      </w:r>
      <w:r w:rsidRPr="001869D0">
        <w:rPr>
          <w:rFonts w:ascii="Calibri" w:eastAsia="Times New Roman" w:hAnsi="Calibri" w:cs="Guttman Rashi"/>
          <w:sz w:val="10"/>
          <w:szCs w:val="12"/>
          <w:rtl/>
        </w:rPr>
        <w:t>)</w:t>
      </w:r>
      <w:r w:rsidRPr="001869D0">
        <w:rPr>
          <w:vanish/>
          <w:rtl/>
        </w:rPr>
        <w:t>=</w:t>
      </w:r>
      <w:r>
        <w:rPr>
          <w:rtl/>
        </w:rPr>
        <w:t xml:space="preserve"> </w:t>
      </w:r>
      <w:r>
        <w:rPr>
          <w:rFonts w:hint="cs"/>
          <w:rtl/>
        </w:rPr>
        <w:t xml:space="preserve">דכתב דאעפ"י דלענין כלי אדמה כתב </w:t>
      </w:r>
      <w:r>
        <w:rPr>
          <w:rFonts w:hint="cs"/>
          <w:b/>
          <w:bCs/>
          <w:rtl/>
        </w:rPr>
        <w:t>הרמב"ם</w:t>
      </w:r>
      <w:r>
        <w:rPr>
          <w:rtl/>
        </w:rPr>
        <w:t xml:space="preserve"> </w:t>
      </w:r>
      <w:r w:rsidRPr="00750441">
        <w:rPr>
          <w:rStyle w:val="af2"/>
          <w:rFonts w:eastAsia="Guttman Hodes" w:hint="cs"/>
          <w:rtl/>
        </w:rPr>
        <w:t xml:space="preserve">(שבת פ"י הי"ג) </w:t>
      </w:r>
      <w:r>
        <w:rPr>
          <w:rFonts w:hint="cs"/>
          <w:rtl/>
        </w:rPr>
        <w:t>דחייב משום בונה מ"מ במנפח כלי זכוכית חייב במכה בפטיש, כיון דאף לפני הנפיחה היה לכלי בית קיבול</w:t>
      </w:r>
      <w:bookmarkEnd w:id="5114"/>
      <w:r>
        <w:rPr>
          <w:rFonts w:hint="cs"/>
          <w:rtl/>
        </w:rPr>
        <w:t>.</w:t>
      </w:r>
      <w:bookmarkEnd w:id="5113"/>
    </w:p>
    <w:p w14:paraId="0C0C2CB3" w14:textId="77777777" w:rsidR="00A14FDA" w:rsidRPr="00BC7DC8" w:rsidRDefault="00A14FDA" w:rsidP="00A14FDA">
      <w:pPr>
        <w:pStyle w:val="afffffe"/>
        <w:rPr>
          <w:vanish/>
          <w:rtl/>
        </w:rPr>
      </w:pPr>
      <w:r w:rsidRPr="00BC7DC8">
        <w:rPr>
          <w:vanish/>
          <w:rtl/>
        </w:rPr>
        <w:lastRenderedPageBreak/>
        <w:t>מאירי שבת ע"ה ע"ב</w:t>
      </w:r>
      <w:r w:rsidRPr="00BC7DC8">
        <w:rPr>
          <w:rFonts w:hint="cs"/>
          <w:vanish/>
          <w:rtl/>
        </w:rPr>
        <w:t xml:space="preserve"> ד"ה אף</w:t>
      </w:r>
      <w:r w:rsidRPr="00BC7DC8">
        <w:rPr>
          <w:vanish/>
          <w:rtl/>
        </w:rPr>
        <w:t xml:space="preserve"> המנפח</w:t>
      </w:r>
    </w:p>
    <w:p w14:paraId="4A1B74CA" w14:textId="77777777" w:rsidR="00A14FDA" w:rsidRPr="00D87F8B" w:rsidRDefault="00A14FDA" w:rsidP="00A14FDA">
      <w:pPr>
        <w:pStyle w:val="a2"/>
        <w:rPr>
          <w:rtl/>
        </w:rPr>
      </w:pPr>
      <w:r w:rsidRPr="00D87F8B">
        <w:rPr>
          <w:rtl/>
        </w:rPr>
        <w:t xml:space="preserve">אף המנפח בכלי זכוכית אחר שהותך שהוא נעשה כלי ע"י ניפוח חיובו משום מכה בפטיש ואף זו לאו דוקא בנפוח אחרון אלא אף בהתחלת הנפוח: </w:t>
      </w:r>
    </w:p>
    <w:p w14:paraId="1A5C5834" w14:textId="77777777" w:rsidR="00A14FDA" w:rsidRPr="00BC7DC8" w:rsidRDefault="00A14FDA" w:rsidP="00A14FDA">
      <w:pPr>
        <w:pStyle w:val="afffffe"/>
        <w:rPr>
          <w:vanish/>
          <w:rtl/>
        </w:rPr>
      </w:pPr>
      <w:r w:rsidRPr="00BC7DC8">
        <w:rPr>
          <w:vanish/>
          <w:rtl/>
        </w:rPr>
        <w:t>מרכבת המשנה שבת פ"י הט"ז</w:t>
      </w:r>
    </w:p>
    <w:p w14:paraId="63B08F2A" w14:textId="77777777" w:rsidR="00A14FDA" w:rsidRPr="00806C89" w:rsidRDefault="00A14FDA" w:rsidP="00A14FDA">
      <w:pPr>
        <w:pStyle w:val="afffff5"/>
        <w:rPr>
          <w:rtl/>
        </w:rPr>
      </w:pPr>
      <w:r w:rsidRPr="00806C89">
        <w:rPr>
          <w:rtl/>
        </w:rPr>
        <w:t xml:space="preserve">המנפח בכלי זכוכית וכו'. אף על גב דהעושה כלי אדמה חייב משום בונה שאני המנפח בכלי זכוכית דכבר היה לו תואר בית קבול קודם הנפיחה. </w:t>
      </w:r>
    </w:p>
    <w:p w14:paraId="07713B04" w14:textId="77777777" w:rsidR="00A14FDA" w:rsidRDefault="00A14FDA" w:rsidP="00A14FDA">
      <w:pPr>
        <w:pStyle w:val="afffff7"/>
        <w:rPr>
          <w:rtl/>
        </w:rPr>
      </w:pPr>
      <w:bookmarkStart w:id="5115" w:name="_Toc144224652"/>
      <w:bookmarkStart w:id="5116" w:name="_Toc163506200"/>
      <w:r>
        <w:rPr>
          <w:rtl/>
        </w:rPr>
        <w:t xml:space="preserve">חדושי הר"ן </w:t>
      </w:r>
      <w:r>
        <w:rPr>
          <w:rFonts w:hint="cs"/>
          <w:rtl/>
        </w:rPr>
        <w:t xml:space="preserve">- </w:t>
      </w:r>
      <w:r>
        <w:rPr>
          <w:rtl/>
        </w:rPr>
        <w:t>מיוחס לו שבת ע"ג ע"א</w:t>
      </w:r>
      <w:r>
        <w:rPr>
          <w:rFonts w:hint="cs"/>
          <w:rtl/>
        </w:rPr>
        <w:t xml:space="preserve"> ד"ה מכה</w:t>
      </w:r>
      <w:bookmarkEnd w:id="5115"/>
      <w:bookmarkEnd w:id="5116"/>
      <w:r w:rsidRPr="00421A47">
        <w:rPr>
          <w:vanish/>
          <w:rtl/>
        </w:rPr>
        <w:t xml:space="preserve"> (ב)</w:t>
      </w:r>
    </w:p>
    <w:p w14:paraId="1DF1CC7E" w14:textId="77777777" w:rsidR="00A14FDA" w:rsidRDefault="00A14FDA" w:rsidP="00A14FDA">
      <w:pPr>
        <w:pStyle w:val="afffff7"/>
        <w:rPr>
          <w:rtl/>
        </w:rPr>
      </w:pPr>
      <w:bookmarkStart w:id="5117" w:name="_Toc144224653"/>
      <w:bookmarkStart w:id="5118" w:name="_Toc163506201"/>
      <w:r>
        <w:rPr>
          <w:rtl/>
        </w:rPr>
        <w:t>רבינו יהונתן מלוניל שבת</w:t>
      </w:r>
      <w:r>
        <w:rPr>
          <w:rFonts w:hint="cs"/>
          <w:rtl/>
        </w:rPr>
        <w:t xml:space="preserve"> עג. ד"ה והמנפח</w:t>
      </w:r>
      <w:bookmarkEnd w:id="5117"/>
      <w:bookmarkEnd w:id="5118"/>
      <w:r w:rsidRPr="00421A47">
        <w:rPr>
          <w:vanish/>
          <w:rtl/>
        </w:rPr>
        <w:t xml:space="preserve"> (ב)</w:t>
      </w:r>
    </w:p>
    <w:p w14:paraId="603EAE8D" w14:textId="77777777" w:rsidR="00A14FDA" w:rsidRDefault="00A14FDA" w:rsidP="00A14FDA">
      <w:pPr>
        <w:pStyle w:val="a7"/>
        <w:rPr>
          <w:rtl/>
        </w:rPr>
      </w:pPr>
      <w:bookmarkStart w:id="5119" w:name="_Toc144225248"/>
      <w:r>
        <w:rPr>
          <w:rFonts w:hint="cs"/>
          <w:rtl/>
        </w:rPr>
        <w:t>בי' המיוחס לר"ן דחיוב כלי זכוכית רק בנפיחה שניה ובי' רבינו יהונתן דעשה כלי וא"צ עוד תיקון</w:t>
      </w:r>
      <w:bookmarkEnd w:id="5119"/>
    </w:p>
    <w:p w14:paraId="5FBB3A93" w14:textId="785CFB5C" w:rsidR="00A14FDA" w:rsidRPr="003A7CB0" w:rsidRDefault="00A14FDA" w:rsidP="00BC7DC8">
      <w:pPr>
        <w:pStyle w:val="a3"/>
        <w:rPr>
          <w:rtl/>
        </w:rPr>
      </w:pPr>
      <w:bookmarkStart w:id="5120" w:name="_Ref144117196"/>
      <w:r>
        <w:rPr>
          <w:rFonts w:hint="cs"/>
          <w:rtl/>
        </w:rPr>
        <w:t xml:space="preserve">אבל </w:t>
      </w:r>
      <w:r>
        <w:rPr>
          <w:rFonts w:hint="cs"/>
          <w:b/>
          <w:bCs/>
          <w:rtl/>
        </w:rPr>
        <w:t>ב</w:t>
      </w:r>
      <w:r w:rsidRPr="003A7CB0">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Ref144117196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יט)</w:t>
      </w:r>
      <w:r>
        <w:rPr>
          <w:b/>
          <w:bCs/>
          <w:vanish/>
          <w:rtl/>
        </w:rPr>
        <w:fldChar w:fldCharType="end"/>
      </w:r>
      <w:r w:rsidRPr="003A7CB0">
        <w:rPr>
          <w:b/>
          <w:bCs/>
          <w:vanish/>
          <w:rtl/>
        </w:rPr>
        <w:t xml:space="preserve"> &gt;</w:t>
      </w:r>
      <w:r>
        <w:rPr>
          <w:rFonts w:hint="cs"/>
          <w:b/>
          <w:bCs/>
          <w:rtl/>
        </w:rPr>
        <w:t>חי' המיוחסים לר"ן לעיל</w:t>
      </w:r>
      <w:r w:rsidRPr="003A7CB0">
        <w:rPr>
          <w:b/>
          <w:bCs/>
          <w:rtl/>
        </w:rPr>
        <w:t xml:space="preserve"> </w:t>
      </w:r>
      <w:r w:rsidRPr="003A7CB0">
        <w:rPr>
          <w:rFonts w:ascii="Calibri" w:eastAsia="Times New Roman" w:hAnsi="Calibri" w:cs="Guttman Rashi"/>
          <w:sz w:val="10"/>
          <w:szCs w:val="12"/>
          <w:rtl/>
        </w:rPr>
        <w:t>(</w:t>
      </w:r>
      <w:r>
        <w:rPr>
          <w:rFonts w:ascii="Calibri" w:eastAsia="Times New Roman" w:hAnsi="Calibri" w:cs="Guttman Rashi" w:hint="cs"/>
          <w:sz w:val="10"/>
          <w:szCs w:val="12"/>
          <w:rtl/>
        </w:rPr>
        <w:t>עג. ד"ה מכה</w:t>
      </w:r>
      <w:r w:rsidRPr="003A7CB0">
        <w:rPr>
          <w:rFonts w:ascii="Calibri" w:eastAsia="Times New Roman" w:hAnsi="Calibri" w:cs="Guttman Rashi"/>
          <w:sz w:val="10"/>
          <w:szCs w:val="12"/>
          <w:rtl/>
        </w:rPr>
        <w:t>)</w:t>
      </w:r>
      <w:r w:rsidRPr="003A7CB0">
        <w:rPr>
          <w:vanish/>
          <w:rtl/>
        </w:rPr>
        <w:t>=</w:t>
      </w:r>
      <w:r>
        <w:rPr>
          <w:rtl/>
        </w:rPr>
        <w:t xml:space="preserve"> </w:t>
      </w:r>
      <w:r>
        <w:rPr>
          <w:rFonts w:hint="cs"/>
          <w:rtl/>
        </w:rPr>
        <w:t>ביאר דהחיוב בכלי זכוכית הוא בנפיחה השניה שבה נעשה הכלי, והביא בשם</w:t>
      </w:r>
      <w:r w:rsidRPr="00153FB8">
        <w:rPr>
          <w:b/>
          <w:bCs/>
          <w:rtl/>
        </w:rPr>
        <w:t xml:space="preserve"> </w:t>
      </w:r>
      <w:r w:rsidRPr="00153FB8">
        <w:rPr>
          <w:rFonts w:hint="cs"/>
          <w:b/>
          <w:bCs/>
          <w:vanish/>
          <w:rtl/>
        </w:rPr>
        <w:t>&lt; &gt;</w:t>
      </w:r>
      <w:r>
        <w:rPr>
          <w:rFonts w:hint="cs"/>
          <w:b/>
          <w:bCs/>
          <w:rtl/>
        </w:rPr>
        <w:t>רבינו יהונתן לעיל</w:t>
      </w:r>
      <w:r>
        <w:rPr>
          <w:rtl/>
        </w:rPr>
        <w:t xml:space="preserve"> </w:t>
      </w:r>
      <w:r w:rsidRPr="00153FB8">
        <w:rPr>
          <w:rStyle w:val="af2"/>
          <w:rFonts w:eastAsia="Guttman Hodes" w:hint="cs"/>
          <w:rtl/>
        </w:rPr>
        <w:t>(עג. ד"ה והמנפח)</w:t>
      </w:r>
      <w:r w:rsidRPr="00153FB8">
        <w:rPr>
          <w:rFonts w:hint="cs"/>
          <w:vanish/>
          <w:rtl/>
        </w:rPr>
        <w:t>=</w:t>
      </w:r>
      <w:r>
        <w:rPr>
          <w:rFonts w:hint="cs"/>
          <w:rtl/>
        </w:rPr>
        <w:t xml:space="preserve"> דביאר דבניפוח נעשה הכלי מיד בלא טורח וא"צ לעשות בו תיקון אחר ולכן חייב משום מכה בפטיש.</w:t>
      </w:r>
      <w:bookmarkEnd w:id="5120"/>
    </w:p>
    <w:p w14:paraId="2CC31410" w14:textId="77777777" w:rsidR="00A14FDA" w:rsidRPr="00BC7DC8" w:rsidRDefault="00A14FDA" w:rsidP="00A14FDA">
      <w:pPr>
        <w:pStyle w:val="afffffe"/>
        <w:rPr>
          <w:vanish/>
          <w:rtl/>
        </w:rPr>
      </w:pPr>
      <w:r w:rsidRPr="00BC7DC8">
        <w:rPr>
          <w:vanish/>
          <w:rtl/>
        </w:rPr>
        <w:t xml:space="preserve">חדושי הר"ן </w:t>
      </w:r>
      <w:r w:rsidRPr="00BC7DC8">
        <w:rPr>
          <w:rFonts w:hint="cs"/>
          <w:vanish/>
          <w:rtl/>
        </w:rPr>
        <w:t xml:space="preserve">- </w:t>
      </w:r>
      <w:r w:rsidRPr="00BC7DC8">
        <w:rPr>
          <w:vanish/>
          <w:rtl/>
        </w:rPr>
        <w:t>מיוחס לו שבת ע"ג ע"א</w:t>
      </w:r>
      <w:r w:rsidRPr="00BC7DC8">
        <w:rPr>
          <w:rFonts w:hint="cs"/>
          <w:vanish/>
          <w:rtl/>
        </w:rPr>
        <w:t xml:space="preserve"> ד"ה מכה</w:t>
      </w:r>
    </w:p>
    <w:p w14:paraId="52E56A8D" w14:textId="77777777" w:rsidR="00A14FDA" w:rsidRPr="00D87F8B" w:rsidRDefault="00A14FDA" w:rsidP="00A14FDA">
      <w:pPr>
        <w:pStyle w:val="a2"/>
      </w:pPr>
      <w:r w:rsidRPr="00D87F8B">
        <w:rPr>
          <w:rtl/>
        </w:rPr>
        <w:t>מכה בפטיש. פירוש ר"ח ז"ל שלאחר שנעשה הכלי משוה פניו והיא בעצמה אינה מלאכה שהרי כבר נעשה הכלי אלא שגומר המלאכה ומכאן למדו לכל דבר שהוא בעצמו אינה מלאכה אלא שעל ידו נגמרה לחייבו על גמר מלאכה כנופח בכלי זכוכית פעם שניי' שע"י כן נגמרת המלאכה והוא חייב כנופח נפיחה ראשונה שהיא המלאכה, וכדומה לזה פירוש רבינו יהונתן ז"ל שדרך האומנין כשגמרו מלאכתן מעיינין בה אם נשאר דבר מועט לתקן מתקנה בקורנס שהרי בידו לעגל אותה או להרחיבה במקום שאינה רחבה כשאר החתיכה או לקצר אותה אם היא רחבה משאר החתיכה ולפי שבפעם אחת בלא טורח גדול נתקן קרי לי' מכה בפטיש:</w:t>
      </w:r>
    </w:p>
    <w:p w14:paraId="46357AAA" w14:textId="77777777" w:rsidR="00A14FDA" w:rsidRPr="00BC7DC8" w:rsidRDefault="00A14FDA" w:rsidP="00A14FDA">
      <w:pPr>
        <w:pStyle w:val="afffffe"/>
        <w:rPr>
          <w:vanish/>
          <w:rtl/>
        </w:rPr>
      </w:pPr>
      <w:r w:rsidRPr="00BC7DC8">
        <w:rPr>
          <w:vanish/>
          <w:rtl/>
        </w:rPr>
        <w:t>רבינו יהונתן מלוניל שבת</w:t>
      </w:r>
      <w:r w:rsidRPr="00BC7DC8">
        <w:rPr>
          <w:rFonts w:hint="cs"/>
          <w:vanish/>
          <w:rtl/>
        </w:rPr>
        <w:t xml:space="preserve"> עג. ד"ה והמנפח</w:t>
      </w:r>
    </w:p>
    <w:p w14:paraId="0CAFA4A0" w14:textId="77777777" w:rsidR="00A14FDA" w:rsidRPr="00806C89" w:rsidRDefault="00A14FDA" w:rsidP="00A14FDA">
      <w:pPr>
        <w:pStyle w:val="afffff5"/>
      </w:pPr>
      <w:r w:rsidRPr="00806C89">
        <w:rPr>
          <w:rtl/>
        </w:rPr>
        <w:t>והמנפח בכלי זכוכית, שהותך ובניפוחו הוא נעשה מיד ואין צריך תיקון אחר.</w:t>
      </w:r>
    </w:p>
    <w:p w14:paraId="494B51EF" w14:textId="77777777" w:rsidR="00A14FDA" w:rsidRDefault="00A14FDA" w:rsidP="00A14FDA">
      <w:pPr>
        <w:pStyle w:val="1"/>
        <w:rPr>
          <w:rtl/>
        </w:rPr>
      </w:pPr>
      <w:bookmarkStart w:id="5121" w:name="_Toc144225249"/>
      <w:r>
        <w:rPr>
          <w:rFonts w:hint="cs"/>
          <w:rtl/>
        </w:rPr>
        <w:t>בי' הערוה"ש והאגרו"מ בגדר המעשה דגמר דחשיב כמכב"פ</w:t>
      </w:r>
      <w:bookmarkEnd w:id="5121"/>
    </w:p>
    <w:p w14:paraId="6993266C" w14:textId="77777777" w:rsidR="00A14FDA" w:rsidRDefault="00A14FDA" w:rsidP="00A14FDA">
      <w:pPr>
        <w:pStyle w:val="afffff7"/>
        <w:rPr>
          <w:rtl/>
        </w:rPr>
      </w:pPr>
      <w:bookmarkStart w:id="5122" w:name="_Toc144224654"/>
      <w:bookmarkStart w:id="5123" w:name="_Toc163506202"/>
      <w:r>
        <w:rPr>
          <w:rtl/>
        </w:rPr>
        <w:t xml:space="preserve">ערוך השולחן </w:t>
      </w:r>
      <w:r>
        <w:rPr>
          <w:rFonts w:hint="cs"/>
          <w:rtl/>
        </w:rPr>
        <w:t>או"ח סי'</w:t>
      </w:r>
      <w:r>
        <w:rPr>
          <w:rtl/>
        </w:rPr>
        <w:t xml:space="preserve"> שי</w:t>
      </w:r>
      <w:r>
        <w:rPr>
          <w:rFonts w:hint="cs"/>
          <w:rtl/>
        </w:rPr>
        <w:t>"</w:t>
      </w:r>
      <w:r>
        <w:rPr>
          <w:rtl/>
        </w:rPr>
        <w:t xml:space="preserve">ג </w:t>
      </w:r>
      <w:r>
        <w:rPr>
          <w:rFonts w:hint="cs"/>
          <w:rtl/>
        </w:rPr>
        <w:t>י"ג</w:t>
      </w:r>
      <w:bookmarkEnd w:id="5122"/>
      <w:bookmarkEnd w:id="5123"/>
      <w:r w:rsidRPr="00421A47">
        <w:rPr>
          <w:vanish/>
          <w:rtl/>
        </w:rPr>
        <w:t xml:space="preserve"> (ב)</w:t>
      </w:r>
    </w:p>
    <w:p w14:paraId="4D35ECF4" w14:textId="77777777" w:rsidR="00A14FDA" w:rsidRDefault="00A14FDA" w:rsidP="00A14FDA">
      <w:pPr>
        <w:pStyle w:val="a7"/>
        <w:rPr>
          <w:rtl/>
        </w:rPr>
      </w:pPr>
      <w:bookmarkStart w:id="5124" w:name="_Toc144225250"/>
      <w:r>
        <w:rPr>
          <w:rFonts w:hint="cs"/>
          <w:rtl/>
        </w:rPr>
        <w:t>בי' הערוה"ש דדהחידוש באופנים בגמ' במכב"פ דאף שאי"ז מלאכה מצד עצמה כדמשמע בר"ח</w:t>
      </w:r>
      <w:bookmarkEnd w:id="5124"/>
    </w:p>
    <w:p w14:paraId="28D01FD0" w14:textId="5DB44340" w:rsidR="00A14FDA" w:rsidRPr="00B90484" w:rsidRDefault="00A14FDA" w:rsidP="00BC7DC8">
      <w:pPr>
        <w:pStyle w:val="a3"/>
        <w:rPr>
          <w:rtl/>
        </w:rPr>
      </w:pPr>
      <w:bookmarkStart w:id="5125" w:name="_Ref144064696"/>
      <w:r>
        <w:rPr>
          <w:rFonts w:hint="cs"/>
          <w:rtl/>
        </w:rPr>
        <w:t xml:space="preserve">במ"ש </w:t>
      </w:r>
      <w:r w:rsidRPr="00255628">
        <w:rPr>
          <w:rStyle w:val="aff4"/>
          <w:rFonts w:hint="cs"/>
          <w:rtl/>
        </w:rPr>
        <w:t>רש"י במתני' לעיל</w:t>
      </w:r>
      <w:r w:rsidRPr="00255628">
        <w:rPr>
          <w:rStyle w:val="aff4"/>
          <w:rFonts w:hint="cs"/>
          <w:vanish/>
          <w:rtl/>
        </w:rPr>
        <w:t>-</w:t>
      </w:r>
      <w:r w:rsidRPr="009F0C2B">
        <w:rPr>
          <w:rFonts w:hint="cs"/>
          <w:rtl/>
        </w:rPr>
        <w:t xml:space="preserve"> </w:t>
      </w:r>
      <w:r w:rsidRPr="00C8052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Ref143806528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ה)</w:t>
      </w:r>
      <w:r>
        <w:rPr>
          <w:rStyle w:val="af2"/>
          <w:rFonts w:eastAsia="Guttman Hodes"/>
          <w:rtl/>
        </w:rPr>
        <w:fldChar w:fldCharType="end"/>
      </w:r>
      <w:r>
        <w:rPr>
          <w:rStyle w:val="af2"/>
          <w:rFonts w:eastAsia="Guttman Hodes" w:hint="cs"/>
          <w:rtl/>
        </w:rPr>
        <w:t xml:space="preserve"> </w:t>
      </w:r>
      <w:r w:rsidRPr="009F0C2B">
        <w:rPr>
          <w:rFonts w:hint="cs"/>
          <w:rtl/>
        </w:rPr>
        <w:t>דמכה בפטיש הוא הגמר של כל מלאכה,</w:t>
      </w:r>
      <w:r>
        <w:rPr>
          <w:rFonts w:hint="cs"/>
          <w:rtl/>
        </w:rPr>
        <w:t xml:space="preserve"> כתב</w:t>
      </w:r>
      <w:r>
        <w:rPr>
          <w:rtl/>
        </w:rPr>
        <w:t xml:space="preserve"> </w:t>
      </w:r>
      <w:r w:rsidRPr="00F31F55">
        <w:rPr>
          <w:b/>
          <w:bCs/>
          <w:rtl/>
        </w:rPr>
        <w:t>ה</w:t>
      </w:r>
      <w:r w:rsidRPr="00F31F55">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Ref144064696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כ)</w:t>
      </w:r>
      <w:r>
        <w:rPr>
          <w:b/>
          <w:bCs/>
          <w:vanish/>
          <w:rtl/>
        </w:rPr>
        <w:fldChar w:fldCharType="end"/>
      </w:r>
      <w:r w:rsidRPr="00F31F55">
        <w:rPr>
          <w:b/>
          <w:bCs/>
          <w:vanish/>
          <w:rtl/>
        </w:rPr>
        <w:t xml:space="preserve"> &gt;</w:t>
      </w:r>
      <w:r>
        <w:rPr>
          <w:rFonts w:hint="cs"/>
          <w:b/>
          <w:bCs/>
          <w:rtl/>
        </w:rPr>
        <w:t>ערוך השולחן</w:t>
      </w:r>
      <w:r w:rsidRPr="00F31F55">
        <w:rPr>
          <w:b/>
          <w:bCs/>
          <w:rtl/>
        </w:rPr>
        <w:t xml:space="preserve"> </w:t>
      </w:r>
      <w:r w:rsidRPr="00C8052D">
        <w:rPr>
          <w:rStyle w:val="af2"/>
          <w:rFonts w:eastAsia="Guttman Hodes"/>
          <w:rtl/>
        </w:rPr>
        <w:t>(</w:t>
      </w:r>
      <w:r w:rsidRPr="00C8052D">
        <w:rPr>
          <w:rStyle w:val="af2"/>
          <w:rFonts w:eastAsia="Guttman Hodes" w:hint="cs"/>
          <w:rtl/>
        </w:rPr>
        <w:t>סי' שי"ג י"ג</w:t>
      </w:r>
      <w:r w:rsidRPr="00C8052D">
        <w:rPr>
          <w:rStyle w:val="af2"/>
          <w:rFonts w:eastAsia="Guttman Hodes"/>
          <w:rtl/>
        </w:rPr>
        <w:t>)</w:t>
      </w:r>
      <w:r w:rsidRPr="00F31F55">
        <w:rPr>
          <w:vanish/>
          <w:rtl/>
        </w:rPr>
        <w:t>=</w:t>
      </w:r>
      <w:r>
        <w:rPr>
          <w:rtl/>
        </w:rPr>
        <w:t xml:space="preserve"> </w:t>
      </w:r>
      <w:r>
        <w:rPr>
          <w:rFonts w:hint="cs"/>
          <w:rtl/>
        </w:rPr>
        <w:t>דמשמע מדברי</w:t>
      </w:r>
      <w:r w:rsidRPr="00D84E49">
        <w:rPr>
          <w:b/>
          <w:bCs/>
          <w:rtl/>
        </w:rPr>
        <w:t xml:space="preserve"> </w:t>
      </w:r>
      <w:r>
        <w:rPr>
          <w:rFonts w:hint="cs"/>
          <w:b/>
          <w:bCs/>
          <w:rtl/>
        </w:rPr>
        <w:t>רש"י</w:t>
      </w:r>
      <w:r>
        <w:rPr>
          <w:rtl/>
        </w:rPr>
        <w:t xml:space="preserve"> </w:t>
      </w:r>
      <w:r>
        <w:rPr>
          <w:rFonts w:hint="cs"/>
          <w:rtl/>
        </w:rPr>
        <w:t>דבכל גמר מלאכה בעולם חייב משום מכה בפטיש, וא"כ קשה אמאי הוצרכה הגמ' לומר בכמה מקומות דחייב משום מכה בפטיש, הא הוא דין פשוט בכל גמר מלאכה, וביאר</w:t>
      </w:r>
      <w:r w:rsidRPr="00D84E49">
        <w:rPr>
          <w:b/>
          <w:bCs/>
          <w:rtl/>
        </w:rPr>
        <w:t xml:space="preserve"> </w:t>
      </w:r>
      <w:r>
        <w:rPr>
          <w:rFonts w:hint="cs"/>
          <w:b/>
          <w:bCs/>
          <w:rtl/>
        </w:rPr>
        <w:t>הערוך השולחן</w:t>
      </w:r>
      <w:r>
        <w:rPr>
          <w:rtl/>
        </w:rPr>
        <w:t xml:space="preserve"> </w:t>
      </w:r>
      <w:r>
        <w:rPr>
          <w:rFonts w:hint="cs"/>
          <w:rtl/>
        </w:rPr>
        <w:t>דהחידוש הוא במקומות שאין בגמר עצמו כל מלאכה, כשקיל אקופי מגלימי דאינה מלאכה בפנ"ע ואפ"ה חייב בזה משום מכה בפטיש, והביא</w:t>
      </w:r>
      <w:r w:rsidRPr="00EF67ED">
        <w:rPr>
          <w:b/>
          <w:bCs/>
          <w:rtl/>
        </w:rPr>
        <w:t xml:space="preserve"> </w:t>
      </w:r>
      <w:r>
        <w:rPr>
          <w:rFonts w:hint="cs"/>
          <w:b/>
          <w:bCs/>
          <w:rtl/>
        </w:rPr>
        <w:t>הערוך השולחן</w:t>
      </w:r>
      <w:r>
        <w:rPr>
          <w:rtl/>
        </w:rPr>
        <w:t xml:space="preserve"> </w:t>
      </w:r>
      <w:r>
        <w:rPr>
          <w:rFonts w:hint="cs"/>
          <w:rtl/>
        </w:rPr>
        <w:t xml:space="preserve">דכן מבואר בדברי </w:t>
      </w:r>
      <w:r w:rsidRPr="00255628">
        <w:rPr>
          <w:rStyle w:val="aff4"/>
          <w:rFonts w:hint="cs"/>
          <w:vanish/>
          <w:rtl/>
        </w:rPr>
        <w:t>-</w:t>
      </w:r>
      <w:r w:rsidRPr="00255628">
        <w:rPr>
          <w:rStyle w:val="aff4"/>
          <w:rFonts w:hint="cs"/>
          <w:rtl/>
        </w:rPr>
        <w:t>הר"ן לעיל</w:t>
      </w:r>
      <w:r w:rsidRPr="00255628">
        <w:rPr>
          <w:rStyle w:val="aff4"/>
          <w:rFonts w:hint="cs"/>
          <w:vanish/>
          <w:rtl/>
        </w:rPr>
        <w:t>-</w:t>
      </w:r>
      <w:r>
        <w:rPr>
          <w:rFonts w:hint="cs"/>
          <w:rtl/>
        </w:rPr>
        <w:t xml:space="preserve"> </w:t>
      </w:r>
      <w:r w:rsidRPr="00C8052D">
        <w:rPr>
          <w:rStyle w:val="af2"/>
          <w:rFonts w:eastAsia="Guttman Hodes" w:hint="cs"/>
          <w:rtl/>
        </w:rPr>
        <w:t xml:space="preserve">(עי' אות </w:t>
      </w:r>
      <w:r w:rsidRPr="00C8052D">
        <w:rPr>
          <w:rStyle w:val="af2"/>
          <w:rFonts w:eastAsia="Guttman Hodes"/>
          <w:rtl/>
        </w:rPr>
        <w:t>ד)</w:t>
      </w:r>
      <w:r>
        <w:rPr>
          <w:rStyle w:val="af2"/>
          <w:rFonts w:eastAsia="Guttman Hodes" w:hint="cs"/>
          <w:rtl/>
        </w:rPr>
        <w:t xml:space="preserve"> </w:t>
      </w:r>
      <w:r>
        <w:rPr>
          <w:rFonts w:hint="cs"/>
          <w:rtl/>
        </w:rPr>
        <w:t xml:space="preserve">בשם </w:t>
      </w:r>
      <w:r w:rsidRPr="00255628">
        <w:rPr>
          <w:rStyle w:val="aff4"/>
          <w:rFonts w:hint="cs"/>
          <w:vanish/>
          <w:rtl/>
        </w:rPr>
        <w:t>-</w:t>
      </w:r>
      <w:r w:rsidRPr="00255628">
        <w:rPr>
          <w:rStyle w:val="aff4"/>
          <w:rFonts w:hint="cs"/>
          <w:rtl/>
        </w:rPr>
        <w:t>ר"ח</w:t>
      </w:r>
      <w:r w:rsidRPr="00255628">
        <w:rPr>
          <w:rStyle w:val="aff4"/>
          <w:rFonts w:hint="cs"/>
          <w:vanish/>
          <w:rtl/>
        </w:rPr>
        <w:t>-</w:t>
      </w:r>
      <w:r>
        <w:rPr>
          <w:rFonts w:hint="cs"/>
          <w:vanish/>
          <w:rtl/>
        </w:rPr>
        <w:t xml:space="preserve"> </w:t>
      </w:r>
      <w:r>
        <w:rPr>
          <w:rFonts w:hint="cs"/>
          <w:rtl/>
        </w:rPr>
        <w:t xml:space="preserve"> דההכאה בפטיש מצד עצמה אינה מלאכה, כיון דהכלי כבר נגמר, ומ"מ חייב מדין מכה בפטיש.</w:t>
      </w:r>
      <w:bookmarkEnd w:id="5125"/>
    </w:p>
    <w:p w14:paraId="536139DD" w14:textId="77777777" w:rsidR="00A14FDA" w:rsidRPr="00BC7DC8" w:rsidRDefault="00A14FDA" w:rsidP="00A14FDA">
      <w:pPr>
        <w:pStyle w:val="afffffe"/>
        <w:rPr>
          <w:vanish/>
          <w:rtl/>
        </w:rPr>
      </w:pPr>
      <w:r w:rsidRPr="00BC7DC8">
        <w:rPr>
          <w:vanish/>
          <w:rtl/>
        </w:rPr>
        <w:t xml:space="preserve">ערוך השולחן </w:t>
      </w:r>
      <w:r w:rsidRPr="00BC7DC8">
        <w:rPr>
          <w:rFonts w:hint="cs"/>
          <w:vanish/>
          <w:rtl/>
        </w:rPr>
        <w:t>או"ח סי'</w:t>
      </w:r>
      <w:r w:rsidRPr="00BC7DC8">
        <w:rPr>
          <w:vanish/>
          <w:rtl/>
        </w:rPr>
        <w:t xml:space="preserve"> שי</w:t>
      </w:r>
      <w:r w:rsidRPr="00BC7DC8">
        <w:rPr>
          <w:rFonts w:hint="cs"/>
          <w:vanish/>
          <w:rtl/>
        </w:rPr>
        <w:t>"</w:t>
      </w:r>
      <w:r w:rsidRPr="00BC7DC8">
        <w:rPr>
          <w:vanish/>
          <w:rtl/>
        </w:rPr>
        <w:t xml:space="preserve">ג </w:t>
      </w:r>
      <w:r w:rsidRPr="00BC7DC8">
        <w:rPr>
          <w:rFonts w:hint="cs"/>
          <w:vanish/>
          <w:rtl/>
        </w:rPr>
        <w:t>י"ג</w:t>
      </w:r>
    </w:p>
    <w:p w14:paraId="53F5C22E" w14:textId="77777777" w:rsidR="00A14FDA" w:rsidRPr="00D87F8B" w:rsidRDefault="00A14FDA" w:rsidP="00A14FDA">
      <w:pPr>
        <w:pStyle w:val="a2"/>
        <w:rPr>
          <w:rtl/>
        </w:rPr>
      </w:pPr>
      <w:r w:rsidRPr="00D87F8B">
        <w:rPr>
          <w:rtl/>
        </w:rPr>
        <w:t xml:space="preserve">ודע דבעיקר פירושו דמכה בפטיש במשנה דאבות מלאכות פירש"י [ע"ג. ד"ה מכה בפטיש] וז"ל הוא גמר כל מלאכה שכן אומן מכה בקורנס על הסדן להחליקו בגמר מלאכה עכ"ל ובריש הבונה פירש"י [ק"ב: ד"ה המכה בפטיש] וז"ל שמפוצץ בו את האבן מן הסלע לאחר שחצב את האבן סביב ומבדילו מן ההר קצת הוא מכה בפטיש מכה גדולה והיא מתפרקת ונופלת וזהו גמר מלאכה של חוצבי אבן וכל הגומר מלאכה בשבת תולדת מכה בפטיש היא עכ"ל וזהו עיקרא דמכה בפטיש אך במשנה דאבות מלאכות שינה פירושו משום דבמשכן לא היה מלאכת אבנים ואנן צריכין בכל מלאכה למצא אותה במשכן לפיכך פירש שכן אומן מכה בקורנס וכו' וזה היה במשכן [תוי"ט]: </w:t>
      </w:r>
    </w:p>
    <w:p w14:paraId="162731F6" w14:textId="77777777" w:rsidR="00A14FDA" w:rsidRPr="00806C89" w:rsidRDefault="00A14FDA" w:rsidP="00A14FDA">
      <w:pPr>
        <w:pStyle w:val="afffff5"/>
        <w:rPr>
          <w:rtl/>
        </w:rPr>
      </w:pPr>
      <w:r w:rsidRPr="00806C89">
        <w:rPr>
          <w:rtl/>
        </w:rPr>
        <w:t xml:space="preserve">והנה מלשון רש"י משמע קצת דבכל מלאכה שבעולם כשגומרה בשבת חייב משום מכה בפטיש ולפירושו צ"ל מה שאמרו באיזה מקומות דחייב על מכה בפטיש וקשה מאי רבותא אמנם הרבותא הוא אף שהגמר הוא דבר שאין בזה מלאכה כלל כגון ליטול אקופי מגלימא וכיוצא בזה וכן מבואר מלשון הר"ן שהביא פיר"ח וז"ל מכה בפטיש שהאומן מכה בפטיש על הכלי להשוות עקמימותו וכו' וכהאי גוונא אף על גב דלא הוי מלאכה מצד עצמה מיחייב בה משום גמר מלאכה עכ"ל: </w:t>
      </w:r>
    </w:p>
    <w:p w14:paraId="78B45646" w14:textId="77777777" w:rsidR="00A14FDA" w:rsidRDefault="00A14FDA" w:rsidP="00A14FDA">
      <w:pPr>
        <w:pStyle w:val="afffff7"/>
        <w:rPr>
          <w:rtl/>
        </w:rPr>
      </w:pPr>
      <w:bookmarkStart w:id="5126" w:name="_Toc144224655"/>
      <w:bookmarkStart w:id="5127" w:name="_Toc163506203"/>
      <w:r>
        <w:rPr>
          <w:rtl/>
        </w:rPr>
        <w:t xml:space="preserve">ערוך השולחן </w:t>
      </w:r>
      <w:r>
        <w:rPr>
          <w:rFonts w:hint="cs"/>
          <w:rtl/>
        </w:rPr>
        <w:t>או"ח סי'</w:t>
      </w:r>
      <w:r>
        <w:rPr>
          <w:rtl/>
        </w:rPr>
        <w:t xml:space="preserve"> שי</w:t>
      </w:r>
      <w:r>
        <w:rPr>
          <w:rFonts w:hint="cs"/>
          <w:rtl/>
        </w:rPr>
        <w:t>"</w:t>
      </w:r>
      <w:r>
        <w:rPr>
          <w:rtl/>
        </w:rPr>
        <w:t xml:space="preserve">ג </w:t>
      </w:r>
      <w:r>
        <w:rPr>
          <w:rFonts w:hint="cs"/>
          <w:rtl/>
        </w:rPr>
        <w:t>י"ד</w:t>
      </w:r>
      <w:bookmarkEnd w:id="5126"/>
      <w:bookmarkEnd w:id="5127"/>
      <w:r w:rsidRPr="00421A47">
        <w:rPr>
          <w:vanish/>
          <w:rtl/>
        </w:rPr>
        <w:t xml:space="preserve"> (ב)</w:t>
      </w:r>
    </w:p>
    <w:p w14:paraId="395EA634" w14:textId="77777777" w:rsidR="00A14FDA" w:rsidRDefault="00A14FDA" w:rsidP="00A14FDA">
      <w:pPr>
        <w:pStyle w:val="a7"/>
        <w:rPr>
          <w:rtl/>
        </w:rPr>
      </w:pPr>
      <w:bookmarkStart w:id="5128" w:name="_Toc144225251"/>
      <w:r>
        <w:rPr>
          <w:rFonts w:hint="cs"/>
          <w:rtl/>
        </w:rPr>
        <w:t>בי' הערוה"ש דרק בדבר שהגמר הוא מעשה בפנ"ע חייב במכב"פ וכדמשמע ברמב"ם בפיהמ"ש</w:t>
      </w:r>
      <w:bookmarkEnd w:id="5128"/>
    </w:p>
    <w:p w14:paraId="7F1AEC95" w14:textId="62BB0F37" w:rsidR="00A14FDA" w:rsidRPr="00B90484" w:rsidRDefault="00A14FDA" w:rsidP="00BC7DC8">
      <w:pPr>
        <w:pStyle w:val="a3"/>
        <w:rPr>
          <w:rtl/>
        </w:rPr>
      </w:pPr>
      <w:bookmarkStart w:id="5129" w:name="_Ref144064689"/>
      <w:bookmarkStart w:id="5130" w:name="_Ref144199637"/>
      <w:r>
        <w:rPr>
          <w:rFonts w:hint="cs"/>
          <w:rtl/>
        </w:rPr>
        <w:t>אך הקשה</w:t>
      </w:r>
      <w:r>
        <w:rPr>
          <w:rtl/>
        </w:rPr>
        <w:t xml:space="preserve"> </w:t>
      </w:r>
      <w:r w:rsidRPr="00F31F55">
        <w:rPr>
          <w:b/>
          <w:bCs/>
          <w:rtl/>
        </w:rPr>
        <w:t>ה</w:t>
      </w:r>
      <w:r w:rsidRPr="00F31F55">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Ref144064689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כא)</w:t>
      </w:r>
      <w:r>
        <w:rPr>
          <w:b/>
          <w:bCs/>
          <w:vanish/>
          <w:rtl/>
        </w:rPr>
        <w:fldChar w:fldCharType="end"/>
      </w:r>
      <w:r w:rsidRPr="00F31F55">
        <w:rPr>
          <w:b/>
          <w:bCs/>
          <w:vanish/>
          <w:rtl/>
        </w:rPr>
        <w:t xml:space="preserve"> &gt;</w:t>
      </w:r>
      <w:r>
        <w:rPr>
          <w:rFonts w:hint="cs"/>
          <w:b/>
          <w:bCs/>
          <w:rtl/>
        </w:rPr>
        <w:t>ערוך השולחן</w:t>
      </w:r>
      <w:r w:rsidRPr="00F31F55">
        <w:rPr>
          <w:b/>
          <w:bCs/>
          <w:rtl/>
        </w:rPr>
        <w:t xml:space="preserve"> </w:t>
      </w:r>
      <w:r w:rsidRPr="00C8052D">
        <w:rPr>
          <w:rStyle w:val="af2"/>
          <w:rFonts w:eastAsia="Guttman Hodes"/>
          <w:rtl/>
        </w:rPr>
        <w:t>(</w:t>
      </w:r>
      <w:r w:rsidRPr="00C8052D">
        <w:rPr>
          <w:rStyle w:val="af2"/>
          <w:rFonts w:eastAsia="Guttman Hodes" w:hint="cs"/>
          <w:rtl/>
        </w:rPr>
        <w:t>סי' שי"ג י"ד</w:t>
      </w:r>
      <w:r w:rsidRPr="00C8052D">
        <w:rPr>
          <w:rStyle w:val="af2"/>
          <w:rFonts w:eastAsia="Guttman Hodes"/>
          <w:rtl/>
        </w:rPr>
        <w:t>)</w:t>
      </w:r>
      <w:r w:rsidRPr="00F31F55">
        <w:rPr>
          <w:vanish/>
          <w:rtl/>
        </w:rPr>
        <w:t>=</w:t>
      </w:r>
      <w:r>
        <w:rPr>
          <w:rtl/>
        </w:rPr>
        <w:t xml:space="preserve"> </w:t>
      </w:r>
      <w:bookmarkEnd w:id="5129"/>
      <w:r>
        <w:rPr>
          <w:rFonts w:hint="cs"/>
          <w:rtl/>
        </w:rPr>
        <w:t xml:space="preserve">דמהא דאמרינן בגמ' לעיל </w:t>
      </w:r>
      <w:r w:rsidRPr="00C8052D">
        <w:rPr>
          <w:rStyle w:val="af2"/>
          <w:rFonts w:eastAsia="Guttman Hodes" w:hint="cs"/>
          <w:rtl/>
        </w:rPr>
        <w:t>(עה:)</w:t>
      </w:r>
      <w:r>
        <w:rPr>
          <w:rFonts w:hint="cs"/>
          <w:rtl/>
        </w:rPr>
        <w:t xml:space="preserve"> דכל מידי דאית בה גמר מלאכה חייב משום מכה בפטיש, משמע דהחיוב הוא בכל גמר מלאכה, ולא רק בדבר שאין בו מלאכה מצד עצמה, </w:t>
      </w:r>
      <w:r w:rsidRPr="00521EA4">
        <w:rPr>
          <w:rStyle w:val="af"/>
          <w:rFonts w:hint="cs"/>
          <w:rtl/>
        </w:rPr>
        <w:t xml:space="preserve">[עי' במ"ש </w:t>
      </w:r>
      <w:r w:rsidRPr="009024A1">
        <w:rPr>
          <w:rStyle w:val="aff9"/>
          <w:vanish/>
          <w:rtl/>
        </w:rPr>
        <w:t>-</w:t>
      </w:r>
      <w:r w:rsidRPr="0044578D">
        <w:rPr>
          <w:rStyle w:val="aff9"/>
          <w:rtl/>
        </w:rPr>
        <w:t>המאירי</w:t>
      </w:r>
      <w:r w:rsidRPr="009024A1">
        <w:rPr>
          <w:rStyle w:val="aff9"/>
          <w:vanish/>
          <w:rtl/>
        </w:rPr>
        <w:t>-</w:t>
      </w:r>
      <w:r w:rsidRPr="00521EA4">
        <w:rPr>
          <w:rStyle w:val="af"/>
          <w:rtl/>
        </w:rPr>
        <w:t xml:space="preserve"> </w:t>
      </w:r>
      <w:r w:rsidRPr="0044578D">
        <w:rPr>
          <w:rStyle w:val="aff0"/>
          <w:rtl/>
        </w:rPr>
        <w:t xml:space="preserve">(עי' אות </w:t>
      </w:r>
      <w:r w:rsidRPr="0044578D">
        <w:rPr>
          <w:rStyle w:val="aff0"/>
          <w:rtl/>
        </w:rPr>
        <w:fldChar w:fldCharType="begin"/>
      </w:r>
      <w:r w:rsidRPr="0044578D">
        <w:rPr>
          <w:rStyle w:val="aff0"/>
          <w:rtl/>
        </w:rPr>
        <w:instrText xml:space="preserve"> </w:instrText>
      </w:r>
      <w:r w:rsidRPr="0044578D">
        <w:rPr>
          <w:rStyle w:val="aff0"/>
          <w:rFonts w:hint="cs"/>
        </w:rPr>
        <w:instrText>REF</w:instrText>
      </w:r>
      <w:r w:rsidRPr="0044578D">
        <w:rPr>
          <w:rStyle w:val="aff0"/>
          <w:rFonts w:hint="cs"/>
          <w:rtl/>
        </w:rPr>
        <w:instrText xml:space="preserve"> _</w:instrText>
      </w:r>
      <w:r w:rsidRPr="0044578D">
        <w:rPr>
          <w:rStyle w:val="aff0"/>
          <w:rFonts w:hint="cs"/>
        </w:rPr>
        <w:instrText>Ref143794876 \r \h</w:instrText>
      </w:r>
      <w:r w:rsidRPr="0044578D">
        <w:rPr>
          <w:rStyle w:val="aff0"/>
          <w:rtl/>
        </w:rPr>
        <w:instrText xml:space="preserve"> </w:instrText>
      </w:r>
      <w:r w:rsidRPr="0044578D">
        <w:rPr>
          <w:rStyle w:val="aff0"/>
          <w:rtl/>
        </w:rPr>
      </w:r>
      <w:r w:rsidRPr="0044578D">
        <w:rPr>
          <w:rStyle w:val="aff0"/>
          <w:rtl/>
        </w:rPr>
        <w:fldChar w:fldCharType="separate"/>
      </w:r>
      <w:r w:rsidR="00D82181">
        <w:rPr>
          <w:rStyle w:val="aff0"/>
          <w:cs/>
        </w:rPr>
        <w:t>‎</w:t>
      </w:r>
      <w:r w:rsidR="00D82181">
        <w:rPr>
          <w:rStyle w:val="aff0"/>
          <w:rtl/>
        </w:rPr>
        <w:t>לח)</w:t>
      </w:r>
      <w:r w:rsidRPr="0044578D">
        <w:rPr>
          <w:rStyle w:val="aff0"/>
          <w:rtl/>
        </w:rPr>
        <w:fldChar w:fldCharType="end"/>
      </w:r>
      <w:r w:rsidRPr="00521EA4">
        <w:rPr>
          <w:rStyle w:val="af"/>
          <w:rFonts w:hint="cs"/>
          <w:rtl/>
        </w:rPr>
        <w:t>],</w:t>
      </w:r>
      <w:r>
        <w:rPr>
          <w:rFonts w:hint="cs"/>
          <w:rtl/>
        </w:rPr>
        <w:t xml:space="preserve"> ותירץ</w:t>
      </w:r>
      <w:r w:rsidRPr="00F51CE8">
        <w:rPr>
          <w:b/>
          <w:bCs/>
          <w:rtl/>
        </w:rPr>
        <w:t xml:space="preserve"> </w:t>
      </w:r>
      <w:r>
        <w:rPr>
          <w:rFonts w:hint="cs"/>
          <w:b/>
          <w:bCs/>
          <w:rtl/>
        </w:rPr>
        <w:t>הערוך השולחן</w:t>
      </w:r>
      <w:r>
        <w:rPr>
          <w:rtl/>
        </w:rPr>
        <w:t xml:space="preserve"> </w:t>
      </w:r>
      <w:r>
        <w:rPr>
          <w:rFonts w:hint="cs"/>
          <w:rtl/>
        </w:rPr>
        <w:t>דבדבר שהיה בתחילה מלאכה מצד עצמה, והגמר של המלאכה אינו מעשה בפנ"ע, לא שייך לקרותו גמר מלאכה דהוא דבר אחד עם המלאכה עצמה, ורק במלאכות שהגמר הוא מעשה בפנ"ע, כאקופי מגילימי, ועקירת האבן מההר דאחר שגמר את המלאכה מכה בפטיש מכה גדול, הוא המכה בקורנס על הסדן להחליקו וכדומה, דבכה"ג המעשה הנוסף שעושה הוא גמר מלאכה ורק בזה יש חיוב מכה בפטיש, וכתב</w:t>
      </w:r>
      <w:r w:rsidRPr="001969C3">
        <w:rPr>
          <w:b/>
          <w:bCs/>
          <w:rtl/>
        </w:rPr>
        <w:t xml:space="preserve"> </w:t>
      </w:r>
      <w:r>
        <w:rPr>
          <w:rFonts w:hint="cs"/>
          <w:b/>
          <w:bCs/>
          <w:rtl/>
        </w:rPr>
        <w:t>הערוך השולחן</w:t>
      </w:r>
      <w:r>
        <w:rPr>
          <w:rtl/>
        </w:rPr>
        <w:t xml:space="preserve"> </w:t>
      </w:r>
      <w:r>
        <w:rPr>
          <w:rFonts w:hint="cs"/>
          <w:rtl/>
        </w:rPr>
        <w:t>דכן מבואר</w:t>
      </w:r>
      <w:r w:rsidRPr="001969C3">
        <w:rPr>
          <w:b/>
          <w:bCs/>
          <w:rtl/>
        </w:rPr>
        <w:t xml:space="preserve"> </w:t>
      </w:r>
      <w:r>
        <w:rPr>
          <w:rFonts w:hint="cs"/>
          <w:b/>
          <w:bCs/>
          <w:rtl/>
        </w:rPr>
        <w:t>ברמב"ם בפיהמ"ש</w:t>
      </w:r>
      <w:r>
        <w:rPr>
          <w:rtl/>
        </w:rPr>
        <w:t xml:space="preserve"> </w:t>
      </w:r>
      <w:r w:rsidRPr="00C8052D">
        <w:rPr>
          <w:rStyle w:val="af2"/>
          <w:rFonts w:eastAsia="Guttman Hodes" w:hint="cs"/>
          <w:rtl/>
        </w:rPr>
        <w:t xml:space="preserve">(עי' אות </w:t>
      </w:r>
      <w:r w:rsidRPr="00C8052D">
        <w:rPr>
          <w:rStyle w:val="af2"/>
          <w:rFonts w:eastAsia="Guttman Hodes"/>
          <w:rtl/>
        </w:rPr>
        <w:fldChar w:fldCharType="begin"/>
      </w:r>
      <w:r w:rsidRPr="00C8052D">
        <w:rPr>
          <w:rStyle w:val="af2"/>
          <w:rFonts w:eastAsia="Guttman Hodes"/>
          <w:rtl/>
        </w:rPr>
        <w:instrText xml:space="preserve"> </w:instrText>
      </w:r>
      <w:r w:rsidRPr="00C8052D">
        <w:rPr>
          <w:rStyle w:val="af2"/>
          <w:rFonts w:eastAsia="Guttman Hodes" w:hint="cs"/>
        </w:rPr>
        <w:instrText>REF</w:instrText>
      </w:r>
      <w:r w:rsidRPr="00C8052D">
        <w:rPr>
          <w:rStyle w:val="af2"/>
          <w:rFonts w:eastAsia="Guttman Hodes" w:hint="cs"/>
          <w:rtl/>
        </w:rPr>
        <w:instrText xml:space="preserve"> _</w:instrText>
      </w:r>
      <w:r w:rsidRPr="00C8052D">
        <w:rPr>
          <w:rStyle w:val="af2"/>
          <w:rFonts w:eastAsia="Guttman Hodes" w:hint="cs"/>
        </w:rPr>
        <w:instrText>Ref144065245 \r \h</w:instrText>
      </w:r>
      <w:r w:rsidRPr="00C8052D">
        <w:rPr>
          <w:rStyle w:val="af2"/>
          <w:rFonts w:eastAsia="Guttman Hodes"/>
          <w:rtl/>
        </w:rPr>
        <w:instrText xml:space="preserve"> </w:instrText>
      </w:r>
      <w:r w:rsidRPr="00C8052D">
        <w:rPr>
          <w:rStyle w:val="af2"/>
          <w:rFonts w:eastAsia="Guttman Hodes"/>
          <w:rtl/>
        </w:rPr>
      </w:r>
      <w:r w:rsidRPr="00C8052D">
        <w:rPr>
          <w:rStyle w:val="af2"/>
          <w:rFonts w:eastAsia="Guttman Hodes"/>
          <w:rtl/>
        </w:rPr>
        <w:fldChar w:fldCharType="separate"/>
      </w:r>
      <w:r w:rsidR="00D82181">
        <w:rPr>
          <w:rStyle w:val="af2"/>
          <w:rFonts w:eastAsia="Guttman Hodes"/>
          <w:cs/>
        </w:rPr>
        <w:t>‎</w:t>
      </w:r>
      <w:r w:rsidR="00D82181">
        <w:rPr>
          <w:rStyle w:val="af2"/>
          <w:rFonts w:eastAsia="Guttman Hodes"/>
          <w:rtl/>
        </w:rPr>
        <w:t>ח)</w:t>
      </w:r>
      <w:r w:rsidRPr="00C8052D">
        <w:rPr>
          <w:rStyle w:val="af2"/>
          <w:rFonts w:eastAsia="Guttman Hodes"/>
          <w:rtl/>
        </w:rPr>
        <w:fldChar w:fldCharType="end"/>
      </w:r>
      <w:r>
        <w:rPr>
          <w:rFonts w:hint="cs"/>
          <w:rtl/>
        </w:rPr>
        <w:t xml:space="preserve"> דכתב דכל תיקון וגמר מלאכה כמירוט וחיכוך וכל מיני היפוי הם תולדות של מכה בפטיש, וזו הכוונה בהא דאמרינן בגמ' לעיל </w:t>
      </w:r>
      <w:r w:rsidRPr="00C8052D">
        <w:rPr>
          <w:rStyle w:val="af2"/>
          <w:rFonts w:eastAsia="Guttman Hodes" w:hint="cs"/>
          <w:rtl/>
        </w:rPr>
        <w:t>(עה:)</w:t>
      </w:r>
      <w:r>
        <w:rPr>
          <w:rFonts w:hint="cs"/>
          <w:rtl/>
        </w:rPr>
        <w:t xml:space="preserve"> דכל גמר מלאכה חייב משום מכה בפטיש, ומשמע דרק בדבר שהוא מעשה גמר מלאכה בפנ"ע חייב משום מכה בפטיש.</w:t>
      </w:r>
      <w:bookmarkEnd w:id="5130"/>
    </w:p>
    <w:p w14:paraId="46F30C36" w14:textId="77777777" w:rsidR="00A14FDA" w:rsidRPr="00BC7DC8" w:rsidRDefault="00A14FDA" w:rsidP="00A14FDA">
      <w:pPr>
        <w:pStyle w:val="afffffe"/>
        <w:rPr>
          <w:vanish/>
          <w:rtl/>
        </w:rPr>
      </w:pPr>
      <w:r w:rsidRPr="00BC7DC8">
        <w:rPr>
          <w:vanish/>
          <w:rtl/>
        </w:rPr>
        <w:t xml:space="preserve">ערוך השולחן </w:t>
      </w:r>
      <w:r w:rsidRPr="00BC7DC8">
        <w:rPr>
          <w:rFonts w:hint="cs"/>
          <w:vanish/>
          <w:rtl/>
        </w:rPr>
        <w:t>או"ח סי'</w:t>
      </w:r>
      <w:r w:rsidRPr="00BC7DC8">
        <w:rPr>
          <w:vanish/>
          <w:rtl/>
        </w:rPr>
        <w:t xml:space="preserve"> שי</w:t>
      </w:r>
      <w:r w:rsidRPr="00BC7DC8">
        <w:rPr>
          <w:rFonts w:hint="cs"/>
          <w:vanish/>
          <w:rtl/>
        </w:rPr>
        <w:t>"</w:t>
      </w:r>
      <w:r w:rsidRPr="00BC7DC8">
        <w:rPr>
          <w:vanish/>
          <w:rtl/>
        </w:rPr>
        <w:t xml:space="preserve">ג </w:t>
      </w:r>
      <w:r w:rsidRPr="00BC7DC8">
        <w:rPr>
          <w:rFonts w:hint="cs"/>
          <w:vanish/>
          <w:rtl/>
        </w:rPr>
        <w:t>י"ד</w:t>
      </w:r>
    </w:p>
    <w:p w14:paraId="752845A9" w14:textId="77777777" w:rsidR="00A14FDA" w:rsidRPr="00D87F8B" w:rsidRDefault="00A14FDA" w:rsidP="00A14FDA">
      <w:pPr>
        <w:pStyle w:val="a2"/>
        <w:rPr>
          <w:rtl/>
        </w:rPr>
      </w:pPr>
      <w:r w:rsidRPr="00D87F8B">
        <w:rPr>
          <w:rtl/>
        </w:rPr>
        <w:t xml:space="preserve">אבל א"כ אינו מובן מה שאמרו בגמ' [ע"ה:] רבה ור"ז דאמרי תרווייהו כל מידי דאית ביה גמר מלאכה חייב משום מכה בפטיש וקשה הא בכל מלאכה יש גמר מלאכה ומהו זה כל מידי וכו' דמשמע שיש מלאכות שאין בהם גמר מלאכה ואם נאמר דהכונה אף על גב דאין בזה מלאכה כלל אבל באמת יש מכה בפטיש בכל המלאכות דא"כ לא הו"ל לומר בזה הלשון והכי הו"ל לומר כל גמר מלאכה חייב משום מכה בפטיש אף בדבר שאין בזה מלאכה אבל מלשון כל מידי וכו' משמע להדיא שיש מלאכות שיש בהם גמר מלאכה ויש שאין בהם: </w:t>
      </w:r>
    </w:p>
    <w:p w14:paraId="250560A1" w14:textId="77777777" w:rsidR="00A14FDA" w:rsidRPr="00806C89" w:rsidRDefault="00A14FDA" w:rsidP="00A14FDA">
      <w:pPr>
        <w:pStyle w:val="afffff5"/>
      </w:pPr>
      <w:r w:rsidRPr="00806C89">
        <w:rPr>
          <w:rtl/>
        </w:rPr>
        <w:t>ובאמת נלע"ד שכן הוא וה"פ שכל מלאכה שאין בגמר מלאכתה פעולה נפרדת מהקודם לה לא שייך בזה גמר מלאכה דכל המלאכה אחת היא ואין הגמר נחלק מהקודם אבל במלאכות שהגמר שלהם הוא אחר גמר עיקר המלאכה כמו החייט שנוטל אקופי מגלימי או העוקר את האבן מההר שאחרי שגמר מלאכתו מכה עליו מכה גדולה או מכה בקורנס על הסדין להחליקו או הלוקט יבולת שעל הבגדים אחר האריגה או שמסיר הצמר הלבן כדי לנאותה זהו מכה בפטיש וראיה ברורה יש לי לזה מפי' המשניות להרמב"ם וז"ל ומכה בפטיש וכו' ולפיכך כל תקון מלאכה והשלמתה כמו המירוט והחיכוך ומיני היפוי כולם תולדות מכה בפטיש והוא אמרם כל מידי דאית ביה גמר מלאכה חייב משום מכה בפטיש עכ"ל וזהו כדברינו [ועל עיקר מכה בפטיש כתב וז"ל ומכה בפטיש אפילו בשעת גמר מלאכה כאשר עושין המכין בפטישין כי מנהגם להכות הכאות על עצם הסדן בשעת ההכאה עכ"ל וצ"ע לשון אפילו וכו' והא אינו אלא בגמר מלאכה ויש ליישב ודו"ק]:</w:t>
      </w:r>
    </w:p>
    <w:p w14:paraId="5A58BA42" w14:textId="77777777" w:rsidR="00A14FDA" w:rsidRDefault="00A14FDA" w:rsidP="00A14FDA">
      <w:pPr>
        <w:pStyle w:val="afffff7"/>
        <w:rPr>
          <w:rtl/>
        </w:rPr>
      </w:pPr>
      <w:bookmarkStart w:id="5131" w:name="_Toc144224656"/>
      <w:bookmarkStart w:id="5132" w:name="_Toc163506204"/>
      <w:r>
        <w:rPr>
          <w:rtl/>
        </w:rPr>
        <w:t xml:space="preserve">אגרות משה </w:t>
      </w:r>
      <w:r>
        <w:rPr>
          <w:rFonts w:hint="cs"/>
          <w:rtl/>
        </w:rPr>
        <w:t>או"ח</w:t>
      </w:r>
      <w:r>
        <w:rPr>
          <w:rtl/>
        </w:rPr>
        <w:t xml:space="preserve"> </w:t>
      </w:r>
      <w:r>
        <w:rPr>
          <w:rFonts w:hint="cs"/>
          <w:rtl/>
        </w:rPr>
        <w:t>ח"</w:t>
      </w:r>
      <w:r>
        <w:rPr>
          <w:rtl/>
        </w:rPr>
        <w:t>א סי</w:t>
      </w:r>
      <w:r>
        <w:rPr>
          <w:rFonts w:hint="cs"/>
          <w:rtl/>
        </w:rPr>
        <w:t>'</w:t>
      </w:r>
      <w:r>
        <w:rPr>
          <w:rtl/>
        </w:rPr>
        <w:t xml:space="preserve"> קכ</w:t>
      </w:r>
      <w:r>
        <w:rPr>
          <w:rFonts w:hint="cs"/>
          <w:rtl/>
        </w:rPr>
        <w:t>"</w:t>
      </w:r>
      <w:r>
        <w:rPr>
          <w:rtl/>
        </w:rPr>
        <w:t>ב</w:t>
      </w:r>
      <w:r w:rsidRPr="002B00CF">
        <w:rPr>
          <w:rtl/>
        </w:rPr>
        <w:t xml:space="preserve"> </w:t>
      </w:r>
      <w:r>
        <w:rPr>
          <w:rtl/>
        </w:rPr>
        <w:t>ענף ב</w:t>
      </w:r>
      <w:r>
        <w:rPr>
          <w:rFonts w:hint="cs"/>
          <w:rtl/>
        </w:rPr>
        <w:t>'</w:t>
      </w:r>
      <w:bookmarkEnd w:id="5131"/>
      <w:bookmarkEnd w:id="5132"/>
      <w:r w:rsidRPr="00421A47">
        <w:rPr>
          <w:vanish/>
          <w:rtl/>
        </w:rPr>
        <w:t xml:space="preserve"> (ב)</w:t>
      </w:r>
    </w:p>
    <w:p w14:paraId="18EE518B" w14:textId="77777777" w:rsidR="00A14FDA" w:rsidRDefault="00A14FDA" w:rsidP="00A14FDA">
      <w:pPr>
        <w:pStyle w:val="a7"/>
        <w:rPr>
          <w:rtl/>
        </w:rPr>
      </w:pPr>
      <w:bookmarkStart w:id="5133" w:name="_Toc144225252"/>
      <w:r>
        <w:rPr>
          <w:rFonts w:hint="cs"/>
          <w:rtl/>
        </w:rPr>
        <w:t>קו' האגרו"מ מ"ש חביתא דמחוסרת מלאכה ממסתת דחייב במקצת לרש"י ובצר צורה לרמב"ם</w:t>
      </w:r>
      <w:bookmarkEnd w:id="5133"/>
    </w:p>
    <w:p w14:paraId="09BAF3A0" w14:textId="6AA4614B" w:rsidR="00A14FDA" w:rsidRPr="00C33A6D" w:rsidRDefault="00A14FDA" w:rsidP="00BC7DC8">
      <w:pPr>
        <w:pStyle w:val="a3"/>
        <w:rPr>
          <w:rtl/>
        </w:rPr>
      </w:pPr>
      <w:bookmarkStart w:id="5134" w:name="_Ref144117228"/>
      <w:r>
        <w:rPr>
          <w:rFonts w:hint="cs"/>
          <w:rtl/>
        </w:rPr>
        <w:t xml:space="preserve">במ"ש </w:t>
      </w:r>
      <w:r w:rsidRPr="00255628">
        <w:rPr>
          <w:rStyle w:val="aff4"/>
          <w:rFonts w:hint="cs"/>
          <w:vanish/>
          <w:rtl/>
        </w:rPr>
        <w:t>-</w:t>
      </w:r>
      <w:r w:rsidRPr="00255628">
        <w:rPr>
          <w:rStyle w:val="aff4"/>
          <w:rFonts w:hint="cs"/>
          <w:rtl/>
        </w:rPr>
        <w:t>רש"י לעיל</w:t>
      </w:r>
      <w:r w:rsidRPr="00255628">
        <w:rPr>
          <w:rStyle w:val="aff4"/>
          <w:rFonts w:hint="cs"/>
          <w:vanish/>
          <w:rtl/>
        </w:rPr>
        <w:t>-</w:t>
      </w:r>
      <w:r>
        <w:rPr>
          <w:rFonts w:hint="cs"/>
          <w:rtl/>
        </w:rPr>
        <w:t xml:space="preserve"> </w:t>
      </w:r>
      <w:r w:rsidRPr="00C8052D">
        <w:rPr>
          <w:rStyle w:val="af2"/>
          <w:rFonts w:eastAsia="Guttman Hodes" w:hint="cs"/>
          <w:rtl/>
        </w:rPr>
        <w:t>(</w:t>
      </w:r>
      <w:r w:rsidRPr="000148C6">
        <w:rPr>
          <w:rStyle w:val="af2"/>
          <w:rFonts w:eastAsia="Guttman Hodes" w:hint="cs"/>
          <w:rtl/>
        </w:rPr>
        <w:t xml:space="preserve">עי' </w:t>
      </w:r>
      <w:r>
        <w:rPr>
          <w:rStyle w:val="af2"/>
          <w:rFonts w:eastAsia="Guttman Hodes" w:hint="cs"/>
          <w:rtl/>
        </w:rPr>
        <w:t xml:space="preserve">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Ref144199731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יג)</w:t>
      </w:r>
      <w:r>
        <w:rPr>
          <w:rStyle w:val="af2"/>
          <w:rFonts w:eastAsia="Guttman Hodes"/>
          <w:rtl/>
        </w:rPr>
        <w:fldChar w:fldCharType="end"/>
      </w:r>
      <w:r>
        <w:rPr>
          <w:rFonts w:hint="cs"/>
          <w:rtl/>
        </w:rPr>
        <w:t xml:space="preserve"> דבחביתא שנגמרת מאיליה בתנור אין בזה חיוב מכה בפטיש, הקשה</w:t>
      </w:r>
      <w:r>
        <w:rPr>
          <w:rtl/>
        </w:rPr>
        <w:t xml:space="preserve"> </w:t>
      </w:r>
      <w:r w:rsidRPr="00F91587">
        <w:rPr>
          <w:b/>
          <w:bCs/>
          <w:rtl/>
        </w:rPr>
        <w:t>ה</w:t>
      </w:r>
      <w:r w:rsidRPr="00F91587">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Ref144117228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כב)</w:t>
      </w:r>
      <w:r>
        <w:rPr>
          <w:b/>
          <w:bCs/>
          <w:vanish/>
          <w:rtl/>
        </w:rPr>
        <w:fldChar w:fldCharType="end"/>
      </w:r>
      <w:r w:rsidRPr="00F91587">
        <w:rPr>
          <w:b/>
          <w:bCs/>
          <w:vanish/>
          <w:rtl/>
        </w:rPr>
        <w:t xml:space="preserve"> &gt;</w:t>
      </w:r>
      <w:r>
        <w:rPr>
          <w:rFonts w:hint="cs"/>
          <w:b/>
          <w:bCs/>
          <w:rtl/>
        </w:rPr>
        <w:t>אגרות משה</w:t>
      </w:r>
      <w:r w:rsidRPr="00F91587">
        <w:rPr>
          <w:b/>
          <w:bCs/>
          <w:rtl/>
        </w:rPr>
        <w:t xml:space="preserve"> </w:t>
      </w:r>
      <w:r w:rsidRPr="00C8052D">
        <w:rPr>
          <w:rStyle w:val="af2"/>
          <w:rFonts w:eastAsia="Guttman Hodes"/>
          <w:rtl/>
        </w:rPr>
        <w:t>(</w:t>
      </w:r>
      <w:r w:rsidRPr="00C8052D">
        <w:rPr>
          <w:rStyle w:val="af2"/>
          <w:rFonts w:eastAsia="Guttman Hodes" w:hint="cs"/>
          <w:rtl/>
        </w:rPr>
        <w:t>או"ח ח"א סי' קכ"ב ענף ב'</w:t>
      </w:r>
      <w:r w:rsidRPr="00C8052D">
        <w:rPr>
          <w:rStyle w:val="af2"/>
          <w:rFonts w:eastAsia="Guttman Hodes"/>
          <w:rtl/>
        </w:rPr>
        <w:t>)</w:t>
      </w:r>
      <w:r w:rsidRPr="00F91587">
        <w:rPr>
          <w:vanish/>
          <w:rtl/>
        </w:rPr>
        <w:t>=</w:t>
      </w:r>
      <w:r>
        <w:rPr>
          <w:rtl/>
        </w:rPr>
        <w:t xml:space="preserve"> </w:t>
      </w:r>
      <w:r>
        <w:rPr>
          <w:rFonts w:hint="cs"/>
          <w:rtl/>
        </w:rPr>
        <w:t>דהא במסתת לשמואל דחייב משום מכה בפטיש החיוב הוא אף בכל שהוא כשלא גמר את כל האבן, וביאר</w:t>
      </w:r>
      <w:r w:rsidRPr="00F40E2F">
        <w:rPr>
          <w:b/>
          <w:bCs/>
          <w:rtl/>
        </w:rPr>
        <w:t xml:space="preserve"> </w:t>
      </w:r>
      <w:r>
        <w:rPr>
          <w:rFonts w:hint="cs"/>
          <w:b/>
          <w:bCs/>
          <w:rtl/>
        </w:rPr>
        <w:t>רש"י</w:t>
      </w:r>
      <w:r>
        <w:rPr>
          <w:rtl/>
        </w:rPr>
        <w:t xml:space="preserve"> </w:t>
      </w:r>
      <w:r>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Ref144153066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יב)</w:t>
      </w:r>
      <w:r>
        <w:rPr>
          <w:rStyle w:val="af2"/>
          <w:rFonts w:eastAsia="Guttman Hodes"/>
          <w:rtl/>
        </w:rPr>
        <w:fldChar w:fldCharType="end"/>
      </w:r>
      <w:r>
        <w:rPr>
          <w:rStyle w:val="af2"/>
          <w:rFonts w:eastAsia="Guttman Hodes" w:hint="cs"/>
          <w:rtl/>
        </w:rPr>
        <w:t xml:space="preserve"> </w:t>
      </w:r>
      <w:r>
        <w:rPr>
          <w:rFonts w:hint="cs"/>
          <w:rtl/>
        </w:rPr>
        <w:t>דחשיב גמר מלאכה כיון שבמקום שסיתת אינו מסתת עוד, וכן משמע בדברי</w:t>
      </w:r>
      <w:r w:rsidRPr="00220D30">
        <w:rPr>
          <w:b/>
          <w:bCs/>
          <w:rtl/>
        </w:rPr>
        <w:t xml:space="preserve"> </w:t>
      </w:r>
      <w:r>
        <w:rPr>
          <w:rFonts w:hint="cs"/>
          <w:b/>
          <w:bCs/>
          <w:rtl/>
        </w:rPr>
        <w:t>הרמב"ם</w:t>
      </w:r>
      <w:r>
        <w:rPr>
          <w:rtl/>
        </w:rPr>
        <w:t xml:space="preserve"> </w:t>
      </w:r>
      <w:r w:rsidRPr="00C8052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Ref144117431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לב)</w:t>
      </w:r>
      <w:r>
        <w:rPr>
          <w:rStyle w:val="af2"/>
          <w:rFonts w:eastAsia="Guttman Hodes"/>
          <w:rtl/>
        </w:rPr>
        <w:fldChar w:fldCharType="end"/>
      </w:r>
      <w:r>
        <w:rPr>
          <w:rFonts w:hint="cs"/>
          <w:rtl/>
        </w:rPr>
        <w:t xml:space="preserve"> דכתב דמסתת כל שהוא חייב משום מכה בפטיש, ולא כתב דחייב רק במשהו האחרון, וכן קשה מדברי</w:t>
      </w:r>
      <w:r w:rsidRPr="00E97538">
        <w:rPr>
          <w:b/>
          <w:bCs/>
          <w:rtl/>
        </w:rPr>
        <w:t xml:space="preserve"> </w:t>
      </w:r>
      <w:r>
        <w:rPr>
          <w:rFonts w:hint="cs"/>
          <w:b/>
          <w:bCs/>
          <w:rtl/>
        </w:rPr>
        <w:t>הרמב"ם</w:t>
      </w:r>
      <w:r>
        <w:rPr>
          <w:rtl/>
        </w:rPr>
        <w:t xml:space="preserve"> </w:t>
      </w:r>
      <w:r w:rsidRPr="00C8052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Ref143854981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לא)</w:t>
      </w:r>
      <w:r>
        <w:rPr>
          <w:rStyle w:val="af2"/>
          <w:rFonts w:eastAsia="Guttman Hodes"/>
          <w:rtl/>
        </w:rPr>
        <w:fldChar w:fldCharType="end"/>
      </w:r>
      <w:r>
        <w:rPr>
          <w:rFonts w:hint="cs"/>
          <w:rtl/>
        </w:rPr>
        <w:t xml:space="preserve"> דמחייב בצר מקצת הצורה משום מכה בפטיש אף שלא גמר את כל הצורה, וא"כ מבואר דחיוב מכה בפטיש אינו דוקא בגמר כל המלאכה, אלא כל שבמקום שעשה מלאכה אינו עושה עוד מלאכה </w:t>
      </w:r>
      <w:r>
        <w:rPr>
          <w:rFonts w:hint="cs"/>
          <w:rtl/>
        </w:rPr>
        <w:t>הוי מכה בפטיש, וא"כ ה"ה בחביתא דאף שעדיין היא מחוסרת מלאכה בתנור, מ"מ מה שעשה בתחילה צריך לחייבו משום מכה בפטיש.</w:t>
      </w:r>
      <w:bookmarkEnd w:id="5134"/>
    </w:p>
    <w:p w14:paraId="64210874" w14:textId="77777777" w:rsidR="00A14FDA" w:rsidRPr="00BC7DC8" w:rsidRDefault="00A14FDA" w:rsidP="00A14FDA">
      <w:pPr>
        <w:pStyle w:val="afffffe"/>
        <w:rPr>
          <w:vanish/>
          <w:rtl/>
        </w:rPr>
      </w:pPr>
      <w:r w:rsidRPr="00BC7DC8">
        <w:rPr>
          <w:vanish/>
          <w:rtl/>
        </w:rPr>
        <w:t xml:space="preserve">אגרות משה </w:t>
      </w:r>
      <w:r w:rsidRPr="00BC7DC8">
        <w:rPr>
          <w:rFonts w:hint="cs"/>
          <w:vanish/>
          <w:rtl/>
        </w:rPr>
        <w:t>או"ח</w:t>
      </w:r>
      <w:r w:rsidRPr="00BC7DC8">
        <w:rPr>
          <w:vanish/>
          <w:rtl/>
        </w:rPr>
        <w:t xml:space="preserve"> </w:t>
      </w:r>
      <w:r w:rsidRPr="00BC7DC8">
        <w:rPr>
          <w:rFonts w:hint="cs"/>
          <w:vanish/>
          <w:rtl/>
        </w:rPr>
        <w:t>ח"</w:t>
      </w:r>
      <w:r w:rsidRPr="00BC7DC8">
        <w:rPr>
          <w:vanish/>
          <w:rtl/>
        </w:rPr>
        <w:t>א סי</w:t>
      </w:r>
      <w:r w:rsidRPr="00BC7DC8">
        <w:rPr>
          <w:rFonts w:hint="cs"/>
          <w:vanish/>
          <w:rtl/>
        </w:rPr>
        <w:t>'</w:t>
      </w:r>
      <w:r w:rsidRPr="00BC7DC8">
        <w:rPr>
          <w:vanish/>
          <w:rtl/>
        </w:rPr>
        <w:t xml:space="preserve"> קכ</w:t>
      </w:r>
      <w:r w:rsidRPr="00BC7DC8">
        <w:rPr>
          <w:rFonts w:hint="cs"/>
          <w:vanish/>
          <w:rtl/>
        </w:rPr>
        <w:t>"</w:t>
      </w:r>
      <w:r w:rsidRPr="00BC7DC8">
        <w:rPr>
          <w:vanish/>
          <w:rtl/>
        </w:rPr>
        <w:t>ב ענף ב</w:t>
      </w:r>
      <w:r w:rsidRPr="00BC7DC8">
        <w:rPr>
          <w:rFonts w:hint="cs"/>
          <w:vanish/>
          <w:rtl/>
        </w:rPr>
        <w:t>'</w:t>
      </w:r>
    </w:p>
    <w:p w14:paraId="624E4758" w14:textId="77777777" w:rsidR="00A14FDA" w:rsidRPr="00D87F8B" w:rsidRDefault="00A14FDA" w:rsidP="00A14FDA">
      <w:pPr>
        <w:pStyle w:val="a2"/>
        <w:rPr>
          <w:rtl/>
        </w:rPr>
      </w:pPr>
      <w:r w:rsidRPr="00D87F8B">
        <w:rPr>
          <w:rtl/>
        </w:rPr>
        <w:t>והנכון לע"ד דלכאורה תמוה דבמסתת שחייב לשמואל משום מכה בפטיש בדף ק"ב /שבת/ פרש"י גמר מלאכה הוא שהמקום שחרץ חריץ זה לא יחרוץ עוד עיין שם, אף שעוד צריך לחרוץ הרבה עד שיוכל ליקח האבן למקום שצריך, וכן משמע מלשון הרמב"ם בפ"י משבת הי"ח שכתב המסתת כ"ש חייב משום מכה בפטיש, ולא כתב משהו אחרון, וכן בהט"ז כתב הצר בכלי צורה אפילו מקצת הצורה, ולא כתב דוקא מקצת האחרון שבהצורה וא"כ מ"ט בעבד חביתא בדף ע"ד /שבת/ כתב רש"י בד"ה תנור דליכא משום מכה בפטיש משום דמאליה נגמרה מלאכתו בתנור הא עכ"פ מה שנעשה לא יעשה עוד ויש להחשיב מה שעשה גמר מלאכה ויתחייב משום מכה בפטיש אף שעדיין מחוסר גמר מלאכה בתנור</w:t>
      </w:r>
      <w:r w:rsidRPr="00D87F8B">
        <w:rPr>
          <w:rFonts w:hint="cs"/>
          <w:rtl/>
        </w:rPr>
        <w:t>.</w:t>
      </w:r>
    </w:p>
    <w:p w14:paraId="7013E8D0" w14:textId="77777777" w:rsidR="00A14FDA" w:rsidRDefault="00A14FDA" w:rsidP="00A14FDA">
      <w:pPr>
        <w:pStyle w:val="a7"/>
        <w:rPr>
          <w:rtl/>
        </w:rPr>
      </w:pPr>
      <w:bookmarkStart w:id="5135" w:name="_Toc144225253"/>
      <w:r>
        <w:rPr>
          <w:rFonts w:hint="cs"/>
          <w:rtl/>
        </w:rPr>
        <w:t>בי' האגרו"מ דחיוב מכב"פ הוא רק באופן שיש מעשה נוסף שרק על ידו חשיב כגמר לאומן</w:t>
      </w:r>
      <w:bookmarkEnd w:id="5135"/>
    </w:p>
    <w:p w14:paraId="46D75857" w14:textId="0199001A" w:rsidR="00A14FDA" w:rsidRDefault="00A14FDA" w:rsidP="00BC7DC8">
      <w:pPr>
        <w:pStyle w:val="a3"/>
      </w:pPr>
      <w:bookmarkStart w:id="5136" w:name="_Ref144158462"/>
      <w:r>
        <w:rPr>
          <w:rFonts w:hint="cs"/>
          <w:rtl/>
        </w:rPr>
        <w:t>אלא כתב</w:t>
      </w:r>
      <w:r w:rsidRPr="00C33A6D">
        <w:rPr>
          <w:b/>
          <w:bCs/>
          <w:rtl/>
        </w:rPr>
        <w:t xml:space="preserve"> </w:t>
      </w:r>
      <w:r>
        <w:rPr>
          <w:rFonts w:hint="cs"/>
          <w:b/>
          <w:bCs/>
          <w:rtl/>
        </w:rPr>
        <w:t>האגרות משה</w:t>
      </w:r>
      <w:r>
        <w:rPr>
          <w:rtl/>
        </w:rPr>
        <w:t xml:space="preserve"> </w:t>
      </w:r>
      <w:r>
        <w:rPr>
          <w:rFonts w:hint="cs"/>
          <w:rtl/>
        </w:rPr>
        <w:t xml:space="preserve">דמוכח דגדר מכה בפטיש אינו גמר מלאכת האדם, דאין חשיבות למעשה שלו שנגמר, אלא הגמר בדבר שנעשית בו המלאכה, ואף שהגמר מצד עצמו אין לו חשיבות מלאכה, מ"מ באופן שדרך האומן לעשות כן בגמר מלאכתו ורק בזה הוא מחשיב את מלאכתו כגמורה, בזה יש חיוב מכה בפטיש, כגון במה שביאר </w:t>
      </w:r>
      <w:r w:rsidRPr="00255628">
        <w:rPr>
          <w:rStyle w:val="aff4"/>
          <w:rFonts w:hint="cs"/>
          <w:vanish/>
          <w:rtl/>
        </w:rPr>
        <w:t>-</w:t>
      </w:r>
      <w:r w:rsidRPr="00255628">
        <w:rPr>
          <w:rStyle w:val="aff4"/>
          <w:rFonts w:hint="cs"/>
          <w:rtl/>
        </w:rPr>
        <w:t>רש"י</w:t>
      </w:r>
      <w:r w:rsidRPr="00255628">
        <w:rPr>
          <w:rStyle w:val="aff4"/>
          <w:rFonts w:hint="cs"/>
          <w:vanish/>
          <w:rtl/>
        </w:rPr>
        <w:t>-</w:t>
      </w:r>
      <w:r>
        <w:rPr>
          <w:rFonts w:hint="cs"/>
          <w:rtl/>
        </w:rPr>
        <w:t xml:space="preserve"> </w:t>
      </w:r>
      <w:r w:rsidRPr="00C8052D">
        <w:rPr>
          <w:rStyle w:val="af2"/>
          <w:rFonts w:eastAsia="Guttman Hodes" w:hint="cs"/>
          <w:rtl/>
        </w:rPr>
        <w:t xml:space="preserve">(עי' אות </w:t>
      </w:r>
      <w:r w:rsidRPr="00C8052D">
        <w:rPr>
          <w:rStyle w:val="af2"/>
          <w:rFonts w:eastAsia="Guttman Hodes"/>
          <w:rtl/>
        </w:rPr>
        <w:t>א)</w:t>
      </w:r>
      <w:r>
        <w:rPr>
          <w:rFonts w:hint="cs"/>
          <w:rtl/>
        </w:rPr>
        <w:t xml:space="preserve"> דהחוצב אבנים מההר, אחר שגמר לחצוב מסביב לאבן והבדילה קצת הההר, הוא מכה בה בפטיש מכה חזקה שתפול, דאף שמלאכת החציבה נגמרה כבר והאבן כבר תלושה מההר, מ"מ דרך חוצבי האבנים להפילה בפטיש ורק בזה הם מחשיבים את מלאכתם למלאכה גמורה, לכן חשיב כגמר מלאכה וחייב משום מכה בפטיש, וכן במ"ש </w:t>
      </w:r>
      <w:r w:rsidRPr="00255628">
        <w:rPr>
          <w:rStyle w:val="aff4"/>
          <w:rFonts w:hint="cs"/>
          <w:vanish/>
          <w:rtl/>
        </w:rPr>
        <w:t>-</w:t>
      </w:r>
      <w:r w:rsidRPr="00255628">
        <w:rPr>
          <w:rStyle w:val="aff4"/>
          <w:rFonts w:hint="cs"/>
          <w:rtl/>
        </w:rPr>
        <w:t>ר"י בתוס'</w:t>
      </w:r>
      <w:r w:rsidRPr="00255628">
        <w:rPr>
          <w:rStyle w:val="aff4"/>
          <w:rFonts w:hint="cs"/>
          <w:vanish/>
          <w:rtl/>
        </w:rPr>
        <w:t>-</w:t>
      </w:r>
      <w:r>
        <w:rPr>
          <w:rFonts w:hint="cs"/>
          <w:rtl/>
        </w:rPr>
        <w:t xml:space="preserve"> </w:t>
      </w:r>
      <w:r w:rsidRPr="00C8052D">
        <w:rPr>
          <w:rStyle w:val="af2"/>
          <w:rFonts w:eastAsia="Guttman Hodes" w:hint="cs"/>
          <w:rtl/>
        </w:rPr>
        <w:t xml:space="preserve">(עי' אות </w:t>
      </w:r>
      <w:r w:rsidRPr="00C8052D">
        <w:rPr>
          <w:rStyle w:val="af2"/>
          <w:rFonts w:eastAsia="Guttman Hodes"/>
          <w:rtl/>
        </w:rPr>
        <w:t>א)</w:t>
      </w:r>
      <w:r>
        <w:rPr>
          <w:rFonts w:hint="cs"/>
          <w:rtl/>
        </w:rPr>
        <w:t xml:space="preserve"> דמכה בפטיש הוא המכוש האחרון בגמר מלאכת הכלי, דאף בלא המכוש האחרון יש כאן כבר כלי, מ"מ כיון דהאומן מחשיב את הכלי לגמור רק לאחר המכוש האחרון, </w:t>
      </w:r>
      <w:r w:rsidRPr="00AC67C2">
        <w:rPr>
          <w:rStyle w:val="af"/>
          <w:rFonts w:hint="cs"/>
          <w:rtl/>
        </w:rPr>
        <w:t xml:space="preserve">[וכדביאר </w:t>
      </w:r>
      <w:r w:rsidRPr="00800512">
        <w:rPr>
          <w:rStyle w:val="aff9"/>
          <w:rFonts w:hint="cs"/>
          <w:vanish/>
          <w:rtl/>
        </w:rPr>
        <w:t>-</w:t>
      </w:r>
      <w:r w:rsidRPr="00800512">
        <w:rPr>
          <w:rStyle w:val="aff9"/>
          <w:rFonts w:hint="cs"/>
          <w:rtl/>
        </w:rPr>
        <w:t>הר"ן</w:t>
      </w:r>
      <w:r w:rsidRPr="00800512">
        <w:rPr>
          <w:rStyle w:val="aff9"/>
          <w:rFonts w:hint="cs"/>
          <w:vanish/>
          <w:rtl/>
        </w:rPr>
        <w:t>-</w:t>
      </w:r>
      <w:r w:rsidRPr="00800512">
        <w:rPr>
          <w:rStyle w:val="aff9"/>
          <w:rFonts w:hint="cs"/>
          <w:rtl/>
        </w:rPr>
        <w:t xml:space="preserve"> </w:t>
      </w:r>
      <w:r w:rsidRPr="00C8052D">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Ref144151833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ב)</w:t>
      </w:r>
      <w:r>
        <w:rPr>
          <w:rStyle w:val="aff0"/>
          <w:rtl/>
        </w:rPr>
        <w:fldChar w:fldCharType="end"/>
      </w:r>
      <w:r w:rsidRPr="00AC67C2">
        <w:rPr>
          <w:rStyle w:val="af"/>
          <w:rFonts w:hint="cs"/>
          <w:rtl/>
        </w:rPr>
        <w:t xml:space="preserve"> בשם </w:t>
      </w:r>
      <w:r w:rsidRPr="00800512">
        <w:rPr>
          <w:rStyle w:val="aff9"/>
          <w:rFonts w:hint="cs"/>
          <w:vanish/>
          <w:rtl/>
        </w:rPr>
        <w:t>-</w:t>
      </w:r>
      <w:r w:rsidRPr="00800512">
        <w:rPr>
          <w:rStyle w:val="aff9"/>
          <w:rFonts w:hint="cs"/>
          <w:rtl/>
        </w:rPr>
        <w:t>ר"ח</w:t>
      </w:r>
      <w:r w:rsidRPr="00800512">
        <w:rPr>
          <w:rStyle w:val="aff9"/>
          <w:rFonts w:hint="cs"/>
          <w:vanish/>
          <w:rtl/>
        </w:rPr>
        <w:t>-</w:t>
      </w:r>
      <w:r w:rsidRPr="00800512">
        <w:rPr>
          <w:rStyle w:val="aff9"/>
          <w:rFonts w:hint="cs"/>
          <w:rtl/>
        </w:rPr>
        <w:t xml:space="preserve"> </w:t>
      </w:r>
      <w:r w:rsidRPr="00AC67C2">
        <w:rPr>
          <w:rStyle w:val="af"/>
          <w:rFonts w:hint="cs"/>
          <w:rtl/>
        </w:rPr>
        <w:t>שמיישר קצת עקמומיות שיש בו</w:t>
      </w:r>
      <w:r w:rsidRPr="005957AC">
        <w:rPr>
          <w:rStyle w:val="af"/>
          <w:rFonts w:hint="cs"/>
          <w:rtl/>
        </w:rPr>
        <w:t>],</w:t>
      </w:r>
      <w:r>
        <w:rPr>
          <w:rFonts w:hint="cs"/>
          <w:rtl/>
        </w:rPr>
        <w:t xml:space="preserve"> לכן חשיב כגמר מלאכה וחייב משום מכה בפטיש, אך כתב</w:t>
      </w:r>
      <w:r w:rsidRPr="005B5FDE">
        <w:rPr>
          <w:b/>
          <w:bCs/>
          <w:rtl/>
        </w:rPr>
        <w:t xml:space="preserve"> </w:t>
      </w:r>
      <w:r>
        <w:rPr>
          <w:rFonts w:hint="cs"/>
          <w:b/>
          <w:bCs/>
          <w:rtl/>
        </w:rPr>
        <w:t>האגרות משה</w:t>
      </w:r>
      <w:r>
        <w:rPr>
          <w:rtl/>
        </w:rPr>
        <w:t xml:space="preserve"> </w:t>
      </w:r>
      <w:r>
        <w:rPr>
          <w:rFonts w:hint="cs"/>
          <w:rtl/>
        </w:rPr>
        <w:t>דגמר המלאכה עצמה ודאי שאינו בכלל מלאכת מכה בפטיש.</w:t>
      </w:r>
      <w:bookmarkEnd w:id="5136"/>
    </w:p>
    <w:p w14:paraId="4E64E748" w14:textId="77777777" w:rsidR="00A14FDA" w:rsidRPr="00D87F8B" w:rsidRDefault="00A14FDA" w:rsidP="00A14FDA">
      <w:pPr>
        <w:pStyle w:val="a2"/>
        <w:rPr>
          <w:rtl/>
        </w:rPr>
      </w:pPr>
      <w:r w:rsidRPr="00D87F8B">
        <w:rPr>
          <w:rtl/>
        </w:rPr>
        <w:t>ולכן צריך לומר שאין פירוש גמר מלאכה דחייב משום מכה בפטיש שיהיה סוף המלאכה שלא יצטרך יותר לעשות, אלא פירושו שבמעשיו נגמר מה שנעשה דענין מכה בפטיש הוא לא מצד העשיה שבעצם אין בזה חשיבות מלאכה אלא מצד מה שנעשה בזה דגומר במה שעושה עתה להחשיב מה שכבר נעשה לדבר גמור, כגון הא שפרש"י שלאחר שחצב את האבן סביב ומבדיל מן ההר קצת הוא מכה בפטיש מכה גדולה והיא מתפרקת ונופלת, שודאי אין במעשיו שום חשיבות מלאכה שהרי הוא כבר אבן תלוש המונח שם, אבל מכיון שכן עושין חוצבי אבן ואין מחשיבין מלאכתן לגמורה בלא זה הרי נעשה בהכאה זו גמר על מה שנעשה כבר להחשיבה מלאכה שנגמרה, היא מלאכה בפני עצמה מלאכת מכה בפטיש. וכן הוא הא דפי' ר"י בתוס' שהוא המכוש האחרון שמכה על הכלי בשעת גמר מלאכה שבכלי לא הועיל כלום שגם בלא מכוש זה הוא כלי אבל כיון שהאומנים לא מחשיבין הכלי לגמור מחמת איזה עקמימות משהו להשוותו כדאיתא בר"ן בשם פר"ח בדף ע"ג עד שיכו גם מכוש האחרון הרי עשה במכוש זה חשיבות מלאכה שנגמרה על מה שנעשה כבר, אבל לא שעשיית סוף המלאכה היא המלאכה דמכה בפטיש</w:t>
      </w:r>
      <w:r w:rsidRPr="00D87F8B">
        <w:rPr>
          <w:rFonts w:hint="cs"/>
          <w:rtl/>
        </w:rPr>
        <w:t>.</w:t>
      </w:r>
    </w:p>
    <w:p w14:paraId="1009A1A8" w14:textId="77777777" w:rsidR="00A14FDA" w:rsidRDefault="00A14FDA" w:rsidP="00A14FDA">
      <w:pPr>
        <w:pStyle w:val="a7"/>
        <w:rPr>
          <w:rtl/>
        </w:rPr>
      </w:pPr>
      <w:bookmarkStart w:id="5137" w:name="_Toc144225254"/>
      <w:r>
        <w:rPr>
          <w:rFonts w:hint="cs"/>
          <w:rtl/>
        </w:rPr>
        <w:t>בי' האגרו"מ דבר"ח מוכח דחיוב מכב"פ הוא במעשה נוסף ולא בגמר המלאכה וכן ברש"י ותוס'</w:t>
      </w:r>
      <w:bookmarkEnd w:id="5137"/>
    </w:p>
    <w:p w14:paraId="5C8B5E1B" w14:textId="1205B173" w:rsidR="00A14FDA" w:rsidRPr="005B5FDE" w:rsidRDefault="00A14FDA" w:rsidP="00BC7DC8">
      <w:pPr>
        <w:pStyle w:val="a3"/>
      </w:pPr>
      <w:bookmarkStart w:id="5138" w:name="_Ref144199359"/>
      <w:r>
        <w:rPr>
          <w:rFonts w:hint="cs"/>
          <w:rtl/>
        </w:rPr>
        <w:t>והוסיף</w:t>
      </w:r>
      <w:r w:rsidRPr="00E32605">
        <w:rPr>
          <w:b/>
          <w:bCs/>
          <w:rtl/>
        </w:rPr>
        <w:t xml:space="preserve"> </w:t>
      </w:r>
      <w:r>
        <w:rPr>
          <w:rFonts w:hint="cs"/>
          <w:b/>
          <w:bCs/>
          <w:rtl/>
        </w:rPr>
        <w:t>האגרות משה</w:t>
      </w:r>
      <w:r>
        <w:rPr>
          <w:rtl/>
        </w:rPr>
        <w:t xml:space="preserve"> </w:t>
      </w:r>
      <w:r>
        <w:rPr>
          <w:rFonts w:hint="cs"/>
          <w:rtl/>
        </w:rPr>
        <w:t xml:space="preserve">דאף אי נימא דבמלאכות שכתבו </w:t>
      </w:r>
      <w:r w:rsidRPr="00ED6903">
        <w:rPr>
          <w:rStyle w:val="aff4"/>
          <w:rFonts w:hint="cs"/>
          <w:vanish/>
          <w:rtl/>
        </w:rPr>
        <w:t>-</w:t>
      </w:r>
      <w:r w:rsidRPr="00D15220">
        <w:rPr>
          <w:rStyle w:val="aff4"/>
          <w:rFonts w:hint="cs"/>
          <w:rtl/>
        </w:rPr>
        <w:t>רש"י ותוס'</w:t>
      </w:r>
      <w:r w:rsidRPr="00ED6903">
        <w:rPr>
          <w:rStyle w:val="aff4"/>
          <w:rFonts w:hint="cs"/>
          <w:vanish/>
          <w:rtl/>
        </w:rPr>
        <w:t>-</w:t>
      </w:r>
      <w:r>
        <w:rPr>
          <w:rFonts w:hint="cs"/>
          <w:rtl/>
        </w:rPr>
        <w:t xml:space="preserve"> </w:t>
      </w:r>
      <w:r w:rsidRPr="00C8052D">
        <w:rPr>
          <w:rStyle w:val="af2"/>
          <w:rFonts w:eastAsia="Guttman Hodes" w:hint="cs"/>
          <w:rtl/>
        </w:rPr>
        <w:t xml:space="preserve">(עי' אות </w:t>
      </w:r>
      <w:r w:rsidRPr="00C8052D">
        <w:rPr>
          <w:rStyle w:val="af2"/>
          <w:rFonts w:eastAsia="Guttman Hodes"/>
          <w:rtl/>
        </w:rPr>
        <w:t>א)</w:t>
      </w:r>
      <w:r>
        <w:rPr>
          <w:rFonts w:hint="cs"/>
          <w:rtl/>
        </w:rPr>
        <w:t xml:space="preserve"> שייך לומר דסוף המלאכה היא מלאכת מכה בפטיש, מ"מ במ"ש </w:t>
      </w:r>
      <w:r w:rsidRPr="00ED6903">
        <w:rPr>
          <w:rStyle w:val="aff4"/>
          <w:rFonts w:hint="cs"/>
          <w:vanish/>
          <w:rtl/>
        </w:rPr>
        <w:t>-</w:t>
      </w:r>
      <w:r w:rsidRPr="00D15220">
        <w:rPr>
          <w:rStyle w:val="aff4"/>
          <w:rFonts w:hint="cs"/>
          <w:rtl/>
        </w:rPr>
        <w:t>הר"ן</w:t>
      </w:r>
      <w:r w:rsidRPr="00ED6903">
        <w:rPr>
          <w:rStyle w:val="aff4"/>
          <w:rFonts w:hint="cs"/>
          <w:vanish/>
          <w:rtl/>
        </w:rPr>
        <w:t>-</w:t>
      </w:r>
      <w:r>
        <w:rPr>
          <w:rFonts w:hint="cs"/>
          <w:rtl/>
        </w:rPr>
        <w:t xml:space="preserve"> </w:t>
      </w:r>
      <w:r w:rsidRPr="00C8052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Ref144151833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ב)</w:t>
      </w:r>
      <w:r>
        <w:rPr>
          <w:rStyle w:val="af2"/>
          <w:rFonts w:eastAsia="Guttman Hodes"/>
          <w:rtl/>
        </w:rPr>
        <w:fldChar w:fldCharType="end"/>
      </w:r>
      <w:r>
        <w:rPr>
          <w:rFonts w:hint="cs"/>
          <w:rtl/>
        </w:rPr>
        <w:t xml:space="preserve"> בשם </w:t>
      </w:r>
      <w:r w:rsidRPr="00ED6903">
        <w:rPr>
          <w:rStyle w:val="aff4"/>
          <w:rFonts w:hint="cs"/>
          <w:vanish/>
          <w:rtl/>
        </w:rPr>
        <w:t>-</w:t>
      </w:r>
      <w:r w:rsidRPr="00D15220">
        <w:rPr>
          <w:rStyle w:val="aff4"/>
          <w:rFonts w:hint="cs"/>
          <w:rtl/>
        </w:rPr>
        <w:t>ר"ח</w:t>
      </w:r>
      <w:r w:rsidRPr="00ED6903">
        <w:rPr>
          <w:rStyle w:val="aff4"/>
          <w:rFonts w:hint="cs"/>
          <w:vanish/>
          <w:rtl/>
        </w:rPr>
        <w:t>-</w:t>
      </w:r>
      <w:r>
        <w:rPr>
          <w:rFonts w:hint="cs"/>
          <w:rtl/>
        </w:rPr>
        <w:t xml:space="preserve"> באופן השני דה"ה באבנים בבנין שמכה על האבן להשוותה לחברותיה, דחייב משום מכה בפטיש, בזה ודאי דא"א לומר דהוא המעשה שנעשה בסוף המלאכה, דהא רק באמצע הבנין אפשר להשוות את האבן לחברותיה, ואחר גמר הבנין לא מהני הכאה בה כלל, אלא מוכח דגדר מכה בפטיש אינו סוף המלאכה, אלא הדבר שאותו האומן מחשיב לגמר מעשיו, לו יש חשיבות של גמר מלאכה וחייב עליו משום מכה בפטיש, וביאר</w:t>
      </w:r>
      <w:r w:rsidRPr="000934AD">
        <w:rPr>
          <w:b/>
          <w:bCs/>
          <w:rtl/>
        </w:rPr>
        <w:t xml:space="preserve"> </w:t>
      </w:r>
      <w:r>
        <w:rPr>
          <w:rFonts w:hint="cs"/>
          <w:b/>
          <w:bCs/>
          <w:rtl/>
        </w:rPr>
        <w:t>האגרות משה</w:t>
      </w:r>
      <w:r>
        <w:rPr>
          <w:rtl/>
        </w:rPr>
        <w:t xml:space="preserve"> </w:t>
      </w:r>
      <w:r>
        <w:rPr>
          <w:rFonts w:hint="cs"/>
          <w:rtl/>
        </w:rPr>
        <w:t xml:space="preserve">דבהשווה את האבן עצמה אין חשיבות למלאכת הבנין, והיא רק ליפוי בעלמא, ומ"מ כיון שהאומן מחשיבה כגמר מלאכתו יש לה חשיבות בפנ"ע, וא"כ אף בדעת </w:t>
      </w:r>
      <w:r w:rsidRPr="00ED6903">
        <w:rPr>
          <w:rStyle w:val="aff4"/>
          <w:rFonts w:hint="cs"/>
          <w:vanish/>
          <w:rtl/>
        </w:rPr>
        <w:t>-</w:t>
      </w:r>
      <w:r w:rsidRPr="00D15220">
        <w:rPr>
          <w:rStyle w:val="aff4"/>
          <w:rFonts w:hint="cs"/>
          <w:rtl/>
        </w:rPr>
        <w:t>רש"י ותוס'</w:t>
      </w:r>
      <w:r w:rsidRPr="00ED6903">
        <w:rPr>
          <w:rStyle w:val="aff4"/>
          <w:rFonts w:hint="cs"/>
          <w:vanish/>
          <w:rtl/>
        </w:rPr>
        <w:t>-</w:t>
      </w:r>
      <w:r>
        <w:rPr>
          <w:rFonts w:hint="cs"/>
          <w:rtl/>
        </w:rPr>
        <w:t xml:space="preserve"> אפשר לבאר כן.</w:t>
      </w:r>
      <w:bookmarkEnd w:id="5138"/>
    </w:p>
    <w:p w14:paraId="69A614DD" w14:textId="77777777" w:rsidR="00A14FDA" w:rsidRPr="00D87F8B" w:rsidRDefault="00A14FDA" w:rsidP="00A14FDA">
      <w:pPr>
        <w:pStyle w:val="a2"/>
        <w:rPr>
          <w:rtl/>
        </w:rPr>
      </w:pPr>
      <w:r w:rsidRPr="00D87F8B">
        <w:rPr>
          <w:rtl/>
        </w:rPr>
        <w:t xml:space="preserve">ואף שבאלו יש עוד לומר שעשיית סוף מלאכה הוא המלאכה שמכה בפטיש, אבל פי' ב' דר"ח שהביא הר"ן שמכה על האבן שבבנין להשוותה לחברותיה הא הוא באמצע הבנין דא"א להשוות אחר שנגמר הבנין בהכאה ומ"מ הוא גמר מלאכה לענין מכה בפטיש, וא"כ הוא רק כדבארתי דלא בעינן סוף מלאכה אלא מה שמחשיב את מה שנעשה לגמור כיון שדרך הבונים אחר שבנו מקצת להשוות את האבנים קודם שנתייבשו ואין מחשיבין מה שעשו לגמור המקצת שבנו כשלא השוו אף שאין בהשואה זו חשיבות מלאכת בונה דהוא רק ליפוי בעלמא, של"ד למשוה גומות בקרקע הבית שחייב משום בונה דהתם יותר ראוי להשתמש כשהקרקע שוה אבל בכותלים הוא רק ליפוי שאין שייך זה לבונה, אבל מאחר שאין מחשיבין הבונים מלאכתם לנגמר אף המקצת שבנו בלא השואה הרי עשו בהשואה זו חשיבות גמר מלאכה להמקצת בנין שעשו הוא מלאכה דמכה בפטיש, וא"כ אף לרש"י ותוס' הוא כן רק שציירו מכה בפטיש באופן אחר. </w:t>
      </w:r>
    </w:p>
    <w:p w14:paraId="237B4112" w14:textId="77777777" w:rsidR="00A14FDA" w:rsidRDefault="00A14FDA" w:rsidP="00A14FDA">
      <w:pPr>
        <w:pStyle w:val="afffff7"/>
        <w:rPr>
          <w:rtl/>
        </w:rPr>
      </w:pPr>
      <w:bookmarkStart w:id="5139" w:name="_Toc144224657"/>
      <w:bookmarkStart w:id="5140" w:name="_Toc163506205"/>
      <w:r>
        <w:rPr>
          <w:rtl/>
        </w:rPr>
        <w:t xml:space="preserve">אגרות משה </w:t>
      </w:r>
      <w:r>
        <w:rPr>
          <w:rFonts w:hint="cs"/>
          <w:rtl/>
        </w:rPr>
        <w:t>או"ח</w:t>
      </w:r>
      <w:r>
        <w:rPr>
          <w:rtl/>
        </w:rPr>
        <w:t xml:space="preserve"> </w:t>
      </w:r>
      <w:r>
        <w:rPr>
          <w:rFonts w:hint="cs"/>
          <w:rtl/>
        </w:rPr>
        <w:t>ח"</w:t>
      </w:r>
      <w:r>
        <w:rPr>
          <w:rtl/>
        </w:rPr>
        <w:t>א סי</w:t>
      </w:r>
      <w:r>
        <w:rPr>
          <w:rFonts w:hint="cs"/>
          <w:rtl/>
        </w:rPr>
        <w:t>'</w:t>
      </w:r>
      <w:r>
        <w:rPr>
          <w:rtl/>
        </w:rPr>
        <w:t xml:space="preserve"> קכ</w:t>
      </w:r>
      <w:r>
        <w:rPr>
          <w:rFonts w:hint="cs"/>
          <w:rtl/>
        </w:rPr>
        <w:t>"</w:t>
      </w:r>
      <w:r>
        <w:rPr>
          <w:rtl/>
        </w:rPr>
        <w:t>ב</w:t>
      </w:r>
      <w:r w:rsidRPr="002B00CF">
        <w:rPr>
          <w:rtl/>
        </w:rPr>
        <w:t xml:space="preserve"> </w:t>
      </w:r>
      <w:r>
        <w:rPr>
          <w:rtl/>
        </w:rPr>
        <w:t>ענף ב</w:t>
      </w:r>
      <w:r>
        <w:rPr>
          <w:rFonts w:hint="cs"/>
          <w:rtl/>
        </w:rPr>
        <w:t>' ד"ה וכיון שמלאכת</w:t>
      </w:r>
      <w:bookmarkEnd w:id="5139"/>
      <w:bookmarkEnd w:id="5140"/>
      <w:r w:rsidRPr="00421A47">
        <w:rPr>
          <w:vanish/>
          <w:rtl/>
        </w:rPr>
        <w:t xml:space="preserve"> (ב)</w:t>
      </w:r>
    </w:p>
    <w:p w14:paraId="4A7C20C3" w14:textId="77777777" w:rsidR="00A14FDA" w:rsidRDefault="00A14FDA" w:rsidP="00A14FDA">
      <w:pPr>
        <w:pStyle w:val="a7"/>
        <w:rPr>
          <w:rtl/>
        </w:rPr>
      </w:pPr>
      <w:bookmarkStart w:id="5141" w:name="_Toc144225255"/>
      <w:r>
        <w:rPr>
          <w:rFonts w:hint="cs"/>
          <w:rtl/>
        </w:rPr>
        <w:t>בי' האגרו"מ דבמקצת סיתות הוי מעשה גמור דאינו חוזר ועושה שם וזהו הגדר בכל גמר מלאכה</w:t>
      </w:r>
      <w:bookmarkEnd w:id="5141"/>
    </w:p>
    <w:p w14:paraId="1701AEC9" w14:textId="1A2DE6D6" w:rsidR="00A14FDA" w:rsidRDefault="00A14FDA" w:rsidP="00BC7DC8">
      <w:pPr>
        <w:pStyle w:val="a3"/>
      </w:pPr>
      <w:bookmarkStart w:id="5142" w:name="_Ref144117238"/>
      <w:r>
        <w:rPr>
          <w:rFonts w:hint="cs"/>
          <w:rtl/>
        </w:rPr>
        <w:t>וביאר</w:t>
      </w:r>
      <w:r>
        <w:rPr>
          <w:rtl/>
        </w:rPr>
        <w:t xml:space="preserve"> </w:t>
      </w:r>
      <w:r w:rsidRPr="00071BEF">
        <w:rPr>
          <w:b/>
          <w:bCs/>
          <w:rtl/>
        </w:rPr>
        <w:t>ה</w:t>
      </w:r>
      <w:r w:rsidRPr="00071BEF">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Ref144117238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כה)</w:t>
      </w:r>
      <w:r>
        <w:rPr>
          <w:b/>
          <w:bCs/>
          <w:vanish/>
          <w:rtl/>
        </w:rPr>
        <w:fldChar w:fldCharType="end"/>
      </w:r>
      <w:r w:rsidRPr="00071BEF">
        <w:rPr>
          <w:b/>
          <w:bCs/>
          <w:vanish/>
          <w:rtl/>
        </w:rPr>
        <w:t xml:space="preserve"> &gt;</w:t>
      </w:r>
      <w:r w:rsidRPr="00071BEF">
        <w:rPr>
          <w:rFonts w:hint="cs"/>
          <w:b/>
          <w:bCs/>
          <w:rtl/>
        </w:rPr>
        <w:t>אגרות משה</w:t>
      </w:r>
      <w:r w:rsidRPr="00071BEF">
        <w:rPr>
          <w:b/>
          <w:bCs/>
          <w:rtl/>
        </w:rPr>
        <w:t xml:space="preserve"> </w:t>
      </w:r>
      <w:r w:rsidRPr="00C8052D">
        <w:rPr>
          <w:rStyle w:val="af2"/>
          <w:rFonts w:eastAsia="Guttman Hodes"/>
          <w:rtl/>
        </w:rPr>
        <w:t>(</w:t>
      </w:r>
      <w:r w:rsidRPr="00C8052D">
        <w:rPr>
          <w:rStyle w:val="af2"/>
          <w:rFonts w:eastAsia="Guttman Hodes" w:hint="cs"/>
          <w:rtl/>
        </w:rPr>
        <w:t>או"ח ח"א סי' קכ"ב ענף ב'</w:t>
      </w:r>
      <w:r w:rsidRPr="00C8052D">
        <w:rPr>
          <w:rStyle w:val="af2"/>
          <w:rFonts w:eastAsia="Guttman Hodes"/>
          <w:rtl/>
        </w:rPr>
        <w:t xml:space="preserve"> וכיון שמלאכת)</w:t>
      </w:r>
      <w:r w:rsidRPr="00071BEF">
        <w:rPr>
          <w:vanish/>
          <w:rtl/>
        </w:rPr>
        <w:t>=</w:t>
      </w:r>
      <w:r>
        <w:rPr>
          <w:rtl/>
        </w:rPr>
        <w:t xml:space="preserve"> </w:t>
      </w:r>
      <w:r>
        <w:rPr>
          <w:rFonts w:hint="cs"/>
          <w:rtl/>
        </w:rPr>
        <w:t xml:space="preserve">דכיון שעיקר החיוב במכה בפטיש הוא מחמת שהאומן מחשיב את המעשה לגמר המלאכה, א"כ כל גמר מעשה חייב במכה בפטיש, אף שעדיין לא גמר את כל המלאכה, מ"מ אם גמר את מעשיו במקום אחד ולא יחזור לעשות מלאכה במקום זה חייב, ולפי"ז מבואר לשון הגמ' לעיל </w:t>
      </w:r>
      <w:r w:rsidRPr="00C8052D">
        <w:rPr>
          <w:rStyle w:val="af2"/>
          <w:rFonts w:eastAsia="Guttman Hodes" w:hint="cs"/>
          <w:rtl/>
        </w:rPr>
        <w:t>(עה:)</w:t>
      </w:r>
      <w:r>
        <w:rPr>
          <w:rFonts w:hint="cs"/>
          <w:rtl/>
        </w:rPr>
        <w:t xml:space="preserve"> דכל מידי דאית ביה משום גמר מלאכה חייב משום מכה בפטיש, דאין הכוונה לדבר שהוא גמר מלאכה ממש, אלא כל דבר שיש בו גמר, דהיינו שא"א לבטל את אותו המעשה, או שעשה מעשה שמחמתו חשיב שגמר את המעשה שלו, בכל אלו חייב משום מכה בפטיש, אף שהמעשה הזה עצמו הוא בתחילת המלאכה, מ"מ אי חשיב שעשה דבר גמור חייב בו משום גמר מלאכה.</w:t>
      </w:r>
      <w:bookmarkEnd w:id="5142"/>
    </w:p>
    <w:p w14:paraId="369B159C" w14:textId="77777777" w:rsidR="00A14FDA" w:rsidRPr="00BC7DC8" w:rsidRDefault="00A14FDA" w:rsidP="00A14FDA">
      <w:pPr>
        <w:pStyle w:val="afffffe"/>
        <w:rPr>
          <w:vanish/>
          <w:rtl/>
        </w:rPr>
      </w:pPr>
      <w:r w:rsidRPr="00BC7DC8">
        <w:rPr>
          <w:vanish/>
          <w:rtl/>
        </w:rPr>
        <w:t xml:space="preserve">אגרות משה </w:t>
      </w:r>
      <w:r w:rsidRPr="00BC7DC8">
        <w:rPr>
          <w:rFonts w:hint="cs"/>
          <w:vanish/>
          <w:rtl/>
        </w:rPr>
        <w:t>או"ח</w:t>
      </w:r>
      <w:r w:rsidRPr="00BC7DC8">
        <w:rPr>
          <w:vanish/>
          <w:rtl/>
        </w:rPr>
        <w:t xml:space="preserve"> </w:t>
      </w:r>
      <w:r w:rsidRPr="00BC7DC8">
        <w:rPr>
          <w:rFonts w:hint="cs"/>
          <w:vanish/>
          <w:rtl/>
        </w:rPr>
        <w:t>ח"</w:t>
      </w:r>
      <w:r w:rsidRPr="00BC7DC8">
        <w:rPr>
          <w:vanish/>
          <w:rtl/>
        </w:rPr>
        <w:t>א סי</w:t>
      </w:r>
      <w:r w:rsidRPr="00BC7DC8">
        <w:rPr>
          <w:rFonts w:hint="cs"/>
          <w:vanish/>
          <w:rtl/>
        </w:rPr>
        <w:t>'</w:t>
      </w:r>
      <w:r w:rsidRPr="00BC7DC8">
        <w:rPr>
          <w:vanish/>
          <w:rtl/>
        </w:rPr>
        <w:t xml:space="preserve"> קכ</w:t>
      </w:r>
      <w:r w:rsidRPr="00BC7DC8">
        <w:rPr>
          <w:rFonts w:hint="cs"/>
          <w:vanish/>
          <w:rtl/>
        </w:rPr>
        <w:t>"</w:t>
      </w:r>
      <w:r w:rsidRPr="00BC7DC8">
        <w:rPr>
          <w:vanish/>
          <w:rtl/>
        </w:rPr>
        <w:t>ב ענף ב</w:t>
      </w:r>
      <w:r w:rsidRPr="00BC7DC8">
        <w:rPr>
          <w:rFonts w:hint="cs"/>
          <w:vanish/>
          <w:rtl/>
        </w:rPr>
        <w:t>' ד"הה וכיון שמלאכת</w:t>
      </w:r>
    </w:p>
    <w:p w14:paraId="7698CB2C" w14:textId="77777777" w:rsidR="00A14FDA" w:rsidRPr="00AE528B" w:rsidRDefault="00A14FDA" w:rsidP="00A14FDA">
      <w:pPr>
        <w:pStyle w:val="a7"/>
        <w:rPr>
          <w:rtl/>
        </w:rPr>
      </w:pPr>
    </w:p>
    <w:p w14:paraId="5EB75E74" w14:textId="77777777" w:rsidR="00A14FDA" w:rsidRPr="00D87F8B" w:rsidRDefault="00A14FDA" w:rsidP="00A14FDA">
      <w:pPr>
        <w:pStyle w:val="a2"/>
        <w:rPr>
          <w:rtl/>
        </w:rPr>
      </w:pPr>
      <w:r w:rsidRPr="00D87F8B">
        <w:rPr>
          <w:rtl/>
        </w:rPr>
        <w:t xml:space="preserve">וכיון שמלאכת מכה בפטיש הוא על זה שהחשיב במה שעושה עתה גמר מלאכה על מה שנעשה אף שאינו גמר ממש אם אך המקצת שנעשה נגמר בזה, כ"ש כשבמעשיו נעשה דבר גמור בהכרח שא"א להתבטל אף שהוא רק מקצת ותחלת הדבר שחושב לעשות שהוא חייב במלאכת מכה בפטיש, ומדוקדק לפ"ז לשון הגמ' /שבת/ בדף ע"ה רבה ור' זירא דאמרי תרוייהו כל מידי דאית ביה משום גמר מלאכה חייב משום מכה בפטיש, ולא אמרו כל מידי דהוא גמר מלאכה, משום דאין הכוונה דיהיה גמר מלאכה שעושה אלא דמה שעשה הוא דבר נגמר וקיים בין מחמת שבהכרח הוא דבר קיים שא"א לבטלו בין מחמת שנחשב במעשיו לנגמר, וזהו לשון דאית ביה פי' דאף שהוא תחלת מלאכה אבל יש בו גם גמר מלאכה בזה שסך מלאכה שעשה כבר הוא דבר קיים וא"צ לעוד דבר לעשות להחזיקו, חייב משום מכה בפטיש אף שאין בו גדר מלאכה דזה עצמו שנעשה דבר גמור היא מלאכה. </w:t>
      </w:r>
    </w:p>
    <w:p w14:paraId="3BAF7191" w14:textId="77777777" w:rsidR="00A14FDA" w:rsidRPr="00882A3E" w:rsidRDefault="00A14FDA" w:rsidP="00A14FDA">
      <w:pPr>
        <w:pStyle w:val="a7"/>
        <w:rPr>
          <w:rtl/>
        </w:rPr>
      </w:pPr>
      <w:bookmarkStart w:id="5143" w:name="_Toc144225256"/>
      <w:r>
        <w:rPr>
          <w:rFonts w:hint="cs"/>
          <w:rtl/>
        </w:rPr>
        <w:t>בי' האגרו"מ דחביתא בלא תנור אינה מתקיימת ול"ה גמר ול"ד למסתת דהחריץ מתקיים</w:t>
      </w:r>
      <w:bookmarkEnd w:id="5143"/>
    </w:p>
    <w:p w14:paraId="54A490F4" w14:textId="2CAD4327" w:rsidR="00A14FDA" w:rsidRDefault="00A14FDA" w:rsidP="00BC7DC8">
      <w:pPr>
        <w:pStyle w:val="a3"/>
      </w:pPr>
      <w:bookmarkStart w:id="5144" w:name="_Ref144153238"/>
      <w:r>
        <w:rPr>
          <w:rFonts w:hint="cs"/>
          <w:rtl/>
        </w:rPr>
        <w:lastRenderedPageBreak/>
        <w:t>וכתב</w:t>
      </w:r>
      <w:r w:rsidRPr="00C205E4">
        <w:rPr>
          <w:b/>
          <w:bCs/>
          <w:rtl/>
        </w:rPr>
        <w:t xml:space="preserve"> </w:t>
      </w:r>
      <w:r>
        <w:rPr>
          <w:rFonts w:hint="cs"/>
          <w:b/>
          <w:bCs/>
          <w:rtl/>
        </w:rPr>
        <w:t>האגרות משה</w:t>
      </w:r>
      <w:r>
        <w:rPr>
          <w:rtl/>
        </w:rPr>
        <w:t xml:space="preserve"> </w:t>
      </w:r>
      <w:r>
        <w:rPr>
          <w:rFonts w:hint="cs"/>
          <w:rtl/>
        </w:rPr>
        <w:t xml:space="preserve">דזה הביאור במ"ש </w:t>
      </w:r>
      <w:r w:rsidRPr="00ED6903">
        <w:rPr>
          <w:rStyle w:val="aff4"/>
          <w:rFonts w:hint="cs"/>
          <w:vanish/>
          <w:rtl/>
        </w:rPr>
        <w:t>-</w:t>
      </w:r>
      <w:r w:rsidRPr="00D15220">
        <w:rPr>
          <w:rStyle w:val="aff4"/>
          <w:rFonts w:hint="cs"/>
          <w:rtl/>
        </w:rPr>
        <w:t>רש"י</w:t>
      </w:r>
      <w:r w:rsidRPr="00ED6903">
        <w:rPr>
          <w:rStyle w:val="aff4"/>
          <w:rFonts w:hint="cs"/>
          <w:vanish/>
          <w:rtl/>
        </w:rPr>
        <w:t>-</w:t>
      </w:r>
      <w:r>
        <w:rPr>
          <w:rFonts w:hint="cs"/>
          <w:rtl/>
        </w:rPr>
        <w:t xml:space="preserve"> </w:t>
      </w:r>
      <w:r w:rsidRPr="00C8052D">
        <w:rPr>
          <w:rStyle w:val="af2"/>
          <w:rFonts w:eastAsia="Guttman Hodes" w:hint="cs"/>
          <w:rtl/>
        </w:rPr>
        <w:t xml:space="preserve">(עי' </w:t>
      </w:r>
      <w:r>
        <w:rPr>
          <w:rStyle w:val="af2"/>
          <w:rFonts w:eastAsia="Guttman Hodes" w:hint="cs"/>
          <w:rtl/>
        </w:rPr>
        <w:t xml:space="preserve">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Ref144199731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יג)</w:t>
      </w:r>
      <w:r>
        <w:rPr>
          <w:rStyle w:val="af2"/>
          <w:rFonts w:eastAsia="Guttman Hodes"/>
          <w:rtl/>
        </w:rPr>
        <w:fldChar w:fldCharType="end"/>
      </w:r>
      <w:r>
        <w:rPr>
          <w:rFonts w:hint="cs"/>
          <w:rtl/>
        </w:rPr>
        <w:t xml:space="preserve"> במסתת דבמקום שסיתת לא יסתת עוד חייב, משא"כ במ"ש </w:t>
      </w:r>
      <w:r w:rsidRPr="00255628">
        <w:rPr>
          <w:rStyle w:val="aff4"/>
          <w:rFonts w:hint="cs"/>
          <w:vanish/>
          <w:rtl/>
        </w:rPr>
        <w:t>-</w:t>
      </w:r>
      <w:r w:rsidRPr="00255628">
        <w:rPr>
          <w:rStyle w:val="aff4"/>
          <w:rFonts w:hint="cs"/>
          <w:rtl/>
        </w:rPr>
        <w:t>רש"י לעיל</w:t>
      </w:r>
      <w:r w:rsidRPr="00255628">
        <w:rPr>
          <w:rStyle w:val="aff4"/>
          <w:rFonts w:hint="cs"/>
          <w:vanish/>
          <w:rtl/>
        </w:rPr>
        <w:t>-</w:t>
      </w:r>
      <w:r>
        <w:rPr>
          <w:rFonts w:hint="cs"/>
          <w:rtl/>
        </w:rPr>
        <w:t xml:space="preserve"> </w:t>
      </w:r>
      <w:r>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Ref144199731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יג)</w:t>
      </w:r>
      <w:r>
        <w:rPr>
          <w:rStyle w:val="af2"/>
          <w:rFonts w:eastAsia="Guttman Hodes"/>
          <w:rtl/>
        </w:rPr>
        <w:fldChar w:fldCharType="end"/>
      </w:r>
      <w:r>
        <w:rPr>
          <w:rStyle w:val="af2"/>
          <w:rFonts w:eastAsia="Guttman Hodes" w:hint="cs"/>
          <w:rtl/>
        </w:rPr>
        <w:t xml:space="preserve"> </w:t>
      </w:r>
      <w:r>
        <w:rPr>
          <w:rFonts w:hint="cs"/>
          <w:rtl/>
        </w:rPr>
        <w:t>דבחביתא שנגמרת מאיליה בתנור אין בזה חיוב מכה בפטיש, דכ"ז שלא הסיק את החבית בתנור אין למעשה שלו חשיבות של גמר מלאכה, כיון דאינה מתקיימת בלא זה, ולכן לא שייך בזה חיוב מכה בפטיש.</w:t>
      </w:r>
    </w:p>
    <w:p w14:paraId="4859D335" w14:textId="77777777" w:rsidR="00A14FDA" w:rsidRDefault="00A14FDA" w:rsidP="00A14FDA">
      <w:pPr>
        <w:pStyle w:val="a2"/>
        <w:rPr>
          <w:rtl/>
        </w:rPr>
      </w:pPr>
      <w:r w:rsidRPr="00D87F8B">
        <w:rPr>
          <w:rtl/>
        </w:rPr>
        <w:t xml:space="preserve">ולכן מסתת אף בכ"ש הרי חריץ שעשה אף שצריך לחרוץ עוד הרבה חייב משום מכה בפטיש משום דמה שחרץ הוא דבר גמור שלא יחרוץ עוד וכן בצר מקצת הצורה, אבל בעביד חביתא שכ"ז שלא הוסק בתנור אין מה שעשה דבר קיים דרק התנור יחזיק ויקיים מה שעשה לא הוו מעשיו גמר מלאכה ואין בו משום מכה בפטיש. </w:t>
      </w:r>
    </w:p>
    <w:p w14:paraId="390867AE" w14:textId="77777777" w:rsidR="00A14FDA" w:rsidRPr="003B207A" w:rsidRDefault="00A14FDA" w:rsidP="00A14FDA">
      <w:pPr>
        <w:pStyle w:val="a7"/>
        <w:rPr>
          <w:rtl/>
        </w:rPr>
      </w:pPr>
      <w:bookmarkStart w:id="5145" w:name="_Toc144225257"/>
      <w:r w:rsidRPr="003B207A">
        <w:rPr>
          <w:rtl/>
        </w:rPr>
        <w:t xml:space="preserve">בי' האגרו"מ </w:t>
      </w:r>
      <w:r>
        <w:rPr>
          <w:rFonts w:hint="cs"/>
          <w:rtl/>
        </w:rPr>
        <w:t>ד</w:t>
      </w:r>
      <w:r w:rsidRPr="003B207A">
        <w:rPr>
          <w:rtl/>
        </w:rPr>
        <w:t xml:space="preserve">חיוב מכב"פ </w:t>
      </w:r>
      <w:r>
        <w:rPr>
          <w:rFonts w:hint="cs"/>
          <w:rtl/>
        </w:rPr>
        <w:t>הוא במעשה ש</w:t>
      </w:r>
      <w:r w:rsidRPr="003B207A">
        <w:rPr>
          <w:rtl/>
        </w:rPr>
        <w:t>א"א לבטלו ול"ד לבונה</w:t>
      </w:r>
      <w:r>
        <w:rPr>
          <w:rFonts w:hint="cs"/>
          <w:rtl/>
        </w:rPr>
        <w:t xml:space="preserve"> דצריך מלאכה המתקיימת</w:t>
      </w:r>
      <w:bookmarkEnd w:id="5145"/>
    </w:p>
    <w:p w14:paraId="127E465F" w14:textId="77777777" w:rsidR="00A14FDA" w:rsidRDefault="00A14FDA" w:rsidP="00BC7DC8">
      <w:pPr>
        <w:pStyle w:val="a3"/>
      </w:pPr>
      <w:r>
        <w:rPr>
          <w:rFonts w:hint="cs"/>
          <w:rtl/>
        </w:rPr>
        <w:t xml:space="preserve">וכתב </w:t>
      </w:r>
      <w:r w:rsidRPr="00ED6903">
        <w:rPr>
          <w:rStyle w:val="aff4"/>
          <w:rFonts w:hint="cs"/>
          <w:vanish/>
          <w:rtl/>
        </w:rPr>
        <w:t>-</w:t>
      </w:r>
      <w:r w:rsidRPr="00D15220">
        <w:rPr>
          <w:rStyle w:val="aff4"/>
          <w:rFonts w:hint="cs"/>
          <w:rtl/>
        </w:rPr>
        <w:t>האגרות משה</w:t>
      </w:r>
      <w:r w:rsidRPr="00ED6903">
        <w:rPr>
          <w:rStyle w:val="aff4"/>
          <w:rFonts w:hint="cs"/>
          <w:vanish/>
          <w:rtl/>
        </w:rPr>
        <w:t>-</w:t>
      </w:r>
      <w:r>
        <w:rPr>
          <w:rFonts w:hint="cs"/>
          <w:rtl/>
        </w:rPr>
        <w:t xml:space="preserve"> דאעפ"י דבכל בונה החיוב הוא רק במלאכתו מתייקמת, מ"מ כל שיש שמקיימים כן חייב בבונה אף באופן שאפשר לבטל את המלאכה, אבל במכה בפטיש החיוב הוא רק באופן שא"א לבטל את המלאכה, כמסתת דמה שסיתת כבר א"א לבטלו, משא"כ בחביתא דכל שלא הסיקה בתנור אף שגמר את מלאכתו אפשר לבטלה.</w:t>
      </w:r>
      <w:bookmarkEnd w:id="5144"/>
    </w:p>
    <w:p w14:paraId="115E5AEB" w14:textId="77777777" w:rsidR="00A14FDA" w:rsidRPr="00806C89" w:rsidRDefault="00A14FDA" w:rsidP="00A14FDA">
      <w:pPr>
        <w:pStyle w:val="a2"/>
        <w:rPr>
          <w:rtl/>
        </w:rPr>
      </w:pPr>
      <w:r w:rsidRPr="00806C89">
        <w:rPr>
          <w:rtl/>
        </w:rPr>
        <w:t xml:space="preserve">ואף שגם במלאכת בונה בעינן שתהא מלאכתו מתקיימת אבל הוא אף ביכול להתבטל מה שעשה כיון שאפשר גם להתקיים כשלא יבטלו היא מלאכה דבונה שהרי תיקן בזה דלא יצטרך שוב לעשות זה, אבל מכה בפטיש שהוא להחשיב מה שנעשה לגמור הוא שייך רק כשא"א להתבטל אם עדיין לא נגמר המלאכה ממש כהא דמסתת ובאם הוא נגמר ממש אף כשיכול להתבטל כיון דגמר בזה מה שעשה מכבר אף רק מקצת כהא דהשואת האבנים לחברותיה, אבל קודם שהשוה אין כאן גמר כיון דמצד עצם המלאכה הרי אפשר לבטלו ומצד מחשבתו הרי עוד צריך לעשות להשוות, ולכן בחביתא אם יש בנין בכלים חייב משום בונה אף דעדיין צריך להחזיק שלא יוכלו לבטלו להסקה בתנור משום דהרי אפשר גם להתקיים אבל כיון שאין בנין בכלים אין לחייבו משום מכה בפטיש דעדיין לא מחשיבין לגמור כיון שאפשר שיתבטל בלא הסקה בתנור. </w:t>
      </w:r>
    </w:p>
    <w:p w14:paraId="6BD2A9E2" w14:textId="77777777" w:rsidR="00A14FDA" w:rsidRPr="00806C89" w:rsidRDefault="00A14FDA" w:rsidP="00A14FDA">
      <w:pPr>
        <w:pStyle w:val="afff6"/>
        <w:rPr>
          <w:rtl/>
        </w:rPr>
      </w:pPr>
      <w:r w:rsidRPr="00806C89">
        <w:rPr>
          <w:rtl/>
        </w:rPr>
        <w:t xml:space="preserve">ואין להקשות לפ"ז מאי מקשה הגמ' לשמואל בדף ק"ג /שבת/ מקודח דלאו גמר מלאכה הוא, הא עכ"פ הנקב שעשה הוא דבר גמור וקיים בהכרח שא"א להתבטל כמו במסתת כ"ש שחייב משום מכה בפטיש, דל"ק כלום דבקודח הא לא התחיל עדיין כלום במלאכתו שצריך לעשות דהנקב שעשה אין בו שום צורך רק תקיעת היתד הוא הצורך וזהו מלאכתו שעושה ולכן אין שייך לחייבו משום מכה בפטיש שהוא בזה שנעשה איזה דבר והרי בהנקב שקדח עדיין לא נעשה כלום, ורק לרב דהוא משום בונה יש לחייבו משום שעכ"פ הוא ממעשה הבנין, ופריך שפיר לשמואל דקודח לאו גמר מלאכה הוא ואין לחייבו. </w:t>
      </w:r>
    </w:p>
    <w:p w14:paraId="0BCC2C01" w14:textId="77777777" w:rsidR="00A14FDA" w:rsidRDefault="00A14FDA" w:rsidP="00A14FDA">
      <w:pPr>
        <w:pStyle w:val="affff5"/>
        <w:rPr>
          <w:rtl/>
        </w:rPr>
      </w:pPr>
      <w:bookmarkStart w:id="5146" w:name="_Toc144225258"/>
      <w:r w:rsidRPr="00716C93">
        <w:rPr>
          <w:rFonts w:hint="cs"/>
          <w:rtl/>
        </w:rPr>
        <w:t>~~~~~~~~~~~~~~~~~~~~~~~~~~~~</w:t>
      </w:r>
      <w:bookmarkEnd w:id="5146"/>
      <w:r w:rsidRPr="00362760">
        <w:rPr>
          <w:vanish/>
          <w:rtl/>
        </w:rPr>
        <w:t>&lt; # =</w:t>
      </w:r>
    </w:p>
    <w:p w14:paraId="32C0E13B" w14:textId="77777777" w:rsidR="00A14FDA" w:rsidRDefault="00A14FDA" w:rsidP="00A14FDA">
      <w:pPr>
        <w:pStyle w:val="affff5"/>
        <w:rPr>
          <w:rtl/>
        </w:rPr>
      </w:pPr>
      <w:bookmarkStart w:id="5147" w:name="_Toc144225259"/>
      <w:r>
        <w:rPr>
          <w:rFonts w:hint="cs"/>
          <w:rtl/>
        </w:rPr>
        <w:t>בחיוב מכה בפטיש במקום מלאכה אחרת</w:t>
      </w:r>
      <w:bookmarkEnd w:id="5147"/>
      <w:r w:rsidRPr="00362760">
        <w:rPr>
          <w:vanish/>
          <w:rtl/>
        </w:rPr>
        <w:t>&lt; # =</w:t>
      </w:r>
    </w:p>
    <w:p w14:paraId="2C8D571F" w14:textId="77777777" w:rsidR="00A14FDA" w:rsidRPr="007637C7" w:rsidRDefault="00A14FDA" w:rsidP="00A14FDA">
      <w:pPr>
        <w:pStyle w:val="1"/>
        <w:rPr>
          <w:rtl/>
        </w:rPr>
      </w:pPr>
      <w:bookmarkStart w:id="5148" w:name="_Toc144225260"/>
      <w:r>
        <w:rPr>
          <w:rFonts w:hint="cs"/>
          <w:rtl/>
        </w:rPr>
        <w:t>בי' הראשונים במכ"פ במסתת אי שייך לחייב אף ממחק ומחתך</w:t>
      </w:r>
      <w:bookmarkEnd w:id="5148"/>
    </w:p>
    <w:p w14:paraId="45540D10" w14:textId="77777777" w:rsidR="00A14FDA" w:rsidRDefault="00A14FDA" w:rsidP="00A14FDA">
      <w:pPr>
        <w:pStyle w:val="afffff7"/>
        <w:rPr>
          <w:rtl/>
        </w:rPr>
      </w:pPr>
      <w:bookmarkStart w:id="5149" w:name="_Toc144224658"/>
      <w:bookmarkStart w:id="5150" w:name="_Toc163506206"/>
      <w:r>
        <w:rPr>
          <w:rtl/>
        </w:rPr>
        <w:t>תוספות שבת ע"ה ע"ב</w:t>
      </w:r>
      <w:r>
        <w:rPr>
          <w:rFonts w:hint="cs"/>
          <w:rtl/>
        </w:rPr>
        <w:t xml:space="preserve"> ד"ה והמסתת</w:t>
      </w:r>
      <w:bookmarkEnd w:id="5149"/>
      <w:bookmarkEnd w:id="5150"/>
      <w:r w:rsidRPr="00421A47">
        <w:rPr>
          <w:vanish/>
          <w:rtl/>
        </w:rPr>
        <w:t xml:space="preserve"> (ב)</w:t>
      </w:r>
    </w:p>
    <w:p w14:paraId="4485FF9F" w14:textId="77777777" w:rsidR="00A14FDA" w:rsidRDefault="00A14FDA" w:rsidP="00A14FDA">
      <w:pPr>
        <w:pStyle w:val="afffff7"/>
        <w:rPr>
          <w:rtl/>
        </w:rPr>
      </w:pPr>
      <w:bookmarkStart w:id="5151" w:name="_Toc144224659"/>
      <w:bookmarkStart w:id="5152" w:name="_Toc163506207"/>
      <w:r>
        <w:rPr>
          <w:rtl/>
        </w:rPr>
        <w:t xml:space="preserve">חדושי הר"ן </w:t>
      </w:r>
      <w:r>
        <w:rPr>
          <w:rFonts w:hint="cs"/>
          <w:rtl/>
        </w:rPr>
        <w:t xml:space="preserve">- </w:t>
      </w:r>
      <w:r>
        <w:rPr>
          <w:rtl/>
        </w:rPr>
        <w:t>מיוחס לו שבת ע"ה ע"ב</w:t>
      </w:r>
      <w:bookmarkEnd w:id="5151"/>
      <w:bookmarkEnd w:id="5152"/>
      <w:r w:rsidRPr="00421A47">
        <w:rPr>
          <w:vanish/>
          <w:rtl/>
        </w:rPr>
        <w:t xml:space="preserve"> (ב)</w:t>
      </w:r>
    </w:p>
    <w:p w14:paraId="63AC4450" w14:textId="77777777" w:rsidR="00A14FDA" w:rsidRDefault="00A14FDA" w:rsidP="00A14FDA">
      <w:pPr>
        <w:pStyle w:val="afffff7"/>
        <w:rPr>
          <w:rtl/>
        </w:rPr>
      </w:pPr>
      <w:bookmarkStart w:id="5153" w:name="_Toc144224660"/>
      <w:bookmarkStart w:id="5154" w:name="_Toc163506208"/>
      <w:r>
        <w:rPr>
          <w:rtl/>
        </w:rPr>
        <w:t>מאירי שבת ע"ה ע"ב</w:t>
      </w:r>
      <w:r>
        <w:rPr>
          <w:rFonts w:hint="cs"/>
          <w:rtl/>
        </w:rPr>
        <w:t xml:space="preserve"> ד"ה השף</w:t>
      </w:r>
      <w:bookmarkEnd w:id="5153"/>
      <w:bookmarkEnd w:id="5154"/>
      <w:r w:rsidRPr="00421A47">
        <w:rPr>
          <w:vanish/>
          <w:rtl/>
        </w:rPr>
        <w:t xml:space="preserve"> (ב)</w:t>
      </w:r>
    </w:p>
    <w:p w14:paraId="62C58AD3" w14:textId="77777777" w:rsidR="00A14FDA" w:rsidRDefault="00A14FDA" w:rsidP="00A14FDA">
      <w:pPr>
        <w:pStyle w:val="a7"/>
        <w:rPr>
          <w:rtl/>
        </w:rPr>
      </w:pPr>
      <w:bookmarkStart w:id="5155" w:name="_Toc144225261"/>
      <w:r>
        <w:rPr>
          <w:rFonts w:hint="cs"/>
          <w:rtl/>
        </w:rPr>
        <w:t>בי' התוס' דבמסתת איירי באופן שאין חיוב ממחק ומחתך ובי' המיוחס לר"ן דחייב בממחק</w:t>
      </w:r>
      <w:bookmarkEnd w:id="5155"/>
    </w:p>
    <w:p w14:paraId="4F6BB1B8" w14:textId="5571E76F" w:rsidR="00A14FDA" w:rsidRDefault="00A14FDA" w:rsidP="00BC7DC8">
      <w:pPr>
        <w:pStyle w:val="a3"/>
        <w:rPr>
          <w:rtl/>
        </w:rPr>
      </w:pPr>
      <w:bookmarkStart w:id="5156" w:name="_Ref144115688"/>
      <w:r>
        <w:rPr>
          <w:rFonts w:hint="cs"/>
          <w:rtl/>
        </w:rPr>
        <w:t xml:space="preserve">בהא דאיתא בגמ' לעיל </w:t>
      </w:r>
      <w:r w:rsidRPr="00C8052D">
        <w:rPr>
          <w:rStyle w:val="af2"/>
          <w:rFonts w:eastAsia="Guttman Hodes"/>
          <w:rtl/>
        </w:rPr>
        <w:t>(</w:t>
      </w:r>
      <w:r w:rsidRPr="00C8052D">
        <w:rPr>
          <w:rStyle w:val="af2"/>
          <w:rFonts w:eastAsia="Guttman Hodes" w:hint="cs"/>
          <w:rtl/>
        </w:rPr>
        <w:t>עה:</w:t>
      </w:r>
      <w:r>
        <w:rPr>
          <w:rStyle w:val="af2"/>
          <w:rFonts w:eastAsia="Guttman Hodes" w:hint="cs"/>
          <w:rtl/>
        </w:rPr>
        <w:t>)</w:t>
      </w:r>
      <w:r>
        <w:rPr>
          <w:rFonts w:hint="cs"/>
          <w:rtl/>
        </w:rPr>
        <w:t xml:space="preserve"> דמסתת חייב משום מכה בפטיש, הקשו </w:t>
      </w:r>
      <w:r w:rsidRPr="002166AA">
        <w:rPr>
          <w:b/>
          <w:bCs/>
          <w:rtl/>
        </w:rPr>
        <w:t>ה</w:t>
      </w:r>
      <w:r>
        <w:rPr>
          <w:rFonts w:hint="cs"/>
          <w:b/>
          <w:bCs/>
          <w:vanish/>
          <w:rtl/>
        </w:rPr>
        <w:t xml:space="preserve">&lt;, </w:t>
      </w:r>
      <w:r>
        <w:rPr>
          <w:b/>
          <w:bCs/>
          <w:vanish/>
          <w:rtl/>
        </w:rPr>
        <w:fldChar w:fldCharType="begin"/>
      </w:r>
      <w:r>
        <w:rPr>
          <w:b/>
          <w:bCs/>
          <w:vanish/>
          <w:rtl/>
        </w:rPr>
        <w:instrText xml:space="preserve"> </w:instrText>
      </w:r>
      <w:r>
        <w:rPr>
          <w:rFonts w:hint="cs"/>
          <w:b/>
          <w:bCs/>
          <w:vanish/>
        </w:rPr>
        <w:instrText>REF</w:instrText>
      </w:r>
      <w:r>
        <w:rPr>
          <w:rFonts w:hint="cs"/>
          <w:b/>
          <w:bCs/>
          <w:vanish/>
          <w:rtl/>
        </w:rPr>
        <w:instrText xml:space="preserve"> _</w:instrText>
      </w:r>
      <w:r>
        <w:rPr>
          <w:rFonts w:hint="cs"/>
          <w:b/>
          <w:bCs/>
          <w:vanish/>
        </w:rPr>
        <w:instrText>Ref144115688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כח)</w:t>
      </w:r>
      <w:r>
        <w:rPr>
          <w:b/>
          <w:bCs/>
          <w:vanish/>
          <w:rtl/>
        </w:rPr>
        <w:fldChar w:fldCharType="end"/>
      </w:r>
      <w:r>
        <w:rPr>
          <w:rFonts w:hint="cs"/>
          <w:b/>
          <w:bCs/>
          <w:vanish/>
          <w:rtl/>
        </w:rPr>
        <w:t xml:space="preserve"> &gt;</w:t>
      </w:r>
      <w:r w:rsidRPr="003E0254">
        <w:rPr>
          <w:rFonts w:hint="cs"/>
          <w:b/>
          <w:bCs/>
          <w:rtl/>
        </w:rPr>
        <w:t>תוס' לעיל</w:t>
      </w:r>
      <w:r>
        <w:rPr>
          <w:rFonts w:hint="cs"/>
          <w:b/>
          <w:bCs/>
          <w:rtl/>
        </w:rPr>
        <w:t xml:space="preserve"> </w:t>
      </w:r>
      <w:r w:rsidRPr="00C8052D">
        <w:rPr>
          <w:rStyle w:val="af2"/>
          <w:rFonts w:eastAsia="Guttman Hodes"/>
          <w:rtl/>
        </w:rPr>
        <w:t>(</w:t>
      </w:r>
      <w:r w:rsidRPr="00C8052D">
        <w:rPr>
          <w:rStyle w:val="af2"/>
          <w:rFonts w:eastAsia="Guttman Hodes" w:hint="cs"/>
          <w:rtl/>
        </w:rPr>
        <w:t xml:space="preserve">עה: ד"ה </w:t>
      </w:r>
      <w:r>
        <w:rPr>
          <w:rStyle w:val="af2"/>
          <w:rFonts w:eastAsia="Guttman Hodes" w:hint="cs"/>
          <w:rtl/>
        </w:rPr>
        <w:t>והמסתת</w:t>
      </w:r>
      <w:r w:rsidRPr="00C8052D">
        <w:rPr>
          <w:rStyle w:val="af2"/>
          <w:rFonts w:eastAsia="Guttman Hodes"/>
          <w:rtl/>
        </w:rPr>
        <w:t>)</w:t>
      </w:r>
      <w:r w:rsidRPr="002166AA">
        <w:rPr>
          <w:vanish/>
          <w:rtl/>
        </w:rPr>
        <w:t>=</w:t>
      </w:r>
      <w:r w:rsidRPr="001840EE">
        <w:rPr>
          <w:rFonts w:hint="cs"/>
          <w:b/>
          <w:bCs/>
          <w:rtl/>
        </w:rPr>
        <w:t xml:space="preserve"> </w:t>
      </w:r>
      <w:r>
        <w:rPr>
          <w:rFonts w:hint="cs"/>
          <w:b/>
          <w:bCs/>
          <w:rtl/>
        </w:rPr>
        <w:t>וב</w:t>
      </w:r>
      <w:r w:rsidRPr="00AF5AFA">
        <w:rPr>
          <w:rFonts w:hint="cs"/>
          <w:b/>
          <w:bCs/>
          <w:vanish/>
          <w:rtl/>
        </w:rPr>
        <w:t>&lt; &gt;</w:t>
      </w:r>
      <w:r>
        <w:rPr>
          <w:rFonts w:hint="cs"/>
          <w:b/>
          <w:bCs/>
          <w:rtl/>
        </w:rPr>
        <w:t>חי' המיוחסים לר"ן לעיל</w:t>
      </w:r>
      <w:r w:rsidRPr="002166AA">
        <w:rPr>
          <w:b/>
          <w:bCs/>
          <w:rtl/>
        </w:rPr>
        <w:t xml:space="preserve"> </w:t>
      </w:r>
      <w:r w:rsidRPr="00C8052D">
        <w:rPr>
          <w:rStyle w:val="af2"/>
          <w:rFonts w:eastAsia="Guttman Hodes"/>
          <w:rtl/>
        </w:rPr>
        <w:t>(</w:t>
      </w:r>
      <w:r w:rsidRPr="00C8052D">
        <w:rPr>
          <w:rStyle w:val="af2"/>
          <w:rFonts w:eastAsia="Guttman Hodes" w:hint="cs"/>
          <w:rtl/>
        </w:rPr>
        <w:t xml:space="preserve">עה: ד"ה </w:t>
      </w:r>
      <w:r>
        <w:rPr>
          <w:rStyle w:val="af2"/>
          <w:rFonts w:eastAsia="Guttman Hodes" w:hint="cs"/>
          <w:rtl/>
        </w:rPr>
        <w:t>והמסתת</w:t>
      </w:r>
      <w:r w:rsidRPr="00C8052D">
        <w:rPr>
          <w:rStyle w:val="af2"/>
          <w:rFonts w:eastAsia="Guttman Hodes"/>
          <w:rtl/>
        </w:rPr>
        <w:t>)</w:t>
      </w:r>
      <w:r w:rsidRPr="002166AA">
        <w:rPr>
          <w:vanish/>
          <w:rtl/>
        </w:rPr>
        <w:t>=</w:t>
      </w:r>
      <w:r>
        <w:rPr>
          <w:rtl/>
        </w:rPr>
        <w:t xml:space="preserve"> </w:t>
      </w:r>
      <w:r>
        <w:rPr>
          <w:rFonts w:hint="cs"/>
          <w:b/>
          <w:bCs/>
          <w:rtl/>
        </w:rPr>
        <w:t>וה</w:t>
      </w:r>
      <w:r w:rsidRPr="00AF5AFA">
        <w:rPr>
          <w:rFonts w:hint="cs"/>
          <w:b/>
          <w:bCs/>
          <w:vanish/>
          <w:rtl/>
        </w:rPr>
        <w:t>&lt; &gt;</w:t>
      </w:r>
      <w:r>
        <w:rPr>
          <w:rFonts w:hint="cs"/>
          <w:b/>
          <w:bCs/>
          <w:rtl/>
        </w:rPr>
        <w:t>מאירי לעיל</w:t>
      </w:r>
      <w:r w:rsidRPr="002166AA">
        <w:rPr>
          <w:b/>
          <w:bCs/>
          <w:rtl/>
        </w:rPr>
        <w:t xml:space="preserve"> </w:t>
      </w:r>
      <w:r w:rsidRPr="00C8052D">
        <w:rPr>
          <w:rStyle w:val="af2"/>
          <w:rFonts w:eastAsia="Guttman Hodes"/>
          <w:rtl/>
        </w:rPr>
        <w:t>(</w:t>
      </w:r>
      <w:r w:rsidRPr="00C8052D">
        <w:rPr>
          <w:rStyle w:val="af2"/>
          <w:rFonts w:eastAsia="Guttman Hodes" w:hint="cs"/>
          <w:rtl/>
        </w:rPr>
        <w:t>עה: ד"ה השף</w:t>
      </w:r>
      <w:r w:rsidRPr="00C8052D">
        <w:rPr>
          <w:rStyle w:val="af2"/>
          <w:rFonts w:eastAsia="Guttman Hodes"/>
          <w:rtl/>
        </w:rPr>
        <w:t>)</w:t>
      </w:r>
      <w:r>
        <w:rPr>
          <w:rFonts w:hint="cs"/>
          <w:rtl/>
        </w:rPr>
        <w:t xml:space="preserve"> בשם</w:t>
      </w:r>
      <w:r w:rsidRPr="008D4078">
        <w:rPr>
          <w:b/>
          <w:bCs/>
          <w:rtl/>
        </w:rPr>
        <w:t xml:space="preserve"> </w:t>
      </w:r>
      <w:r>
        <w:rPr>
          <w:rFonts w:hint="cs"/>
          <w:b/>
          <w:bCs/>
          <w:rtl/>
        </w:rPr>
        <w:t>י"מ</w:t>
      </w:r>
      <w:r w:rsidRPr="002166AA">
        <w:rPr>
          <w:vanish/>
          <w:rtl/>
        </w:rPr>
        <w:t>=</w:t>
      </w:r>
      <w:r>
        <w:rPr>
          <w:rtl/>
        </w:rPr>
        <w:t xml:space="preserve"> </w:t>
      </w:r>
      <w:r>
        <w:rPr>
          <w:rFonts w:hint="cs"/>
          <w:rtl/>
        </w:rPr>
        <w:t>דיתחייב משום מחתך וממחק כיון שהוא חותך את האבן ומחליק אותה,</w:t>
      </w:r>
      <w:r w:rsidRPr="00AF5AFA">
        <w:rPr>
          <w:rStyle w:val="af"/>
          <w:rFonts w:hint="cs"/>
          <w:rtl/>
        </w:rPr>
        <w:t xml:space="preserve"> </w:t>
      </w:r>
      <w:r w:rsidRPr="00AC67C2">
        <w:rPr>
          <w:rStyle w:val="af"/>
          <w:rFonts w:hint="cs"/>
          <w:rtl/>
        </w:rPr>
        <w:t>[עי' במה שהקשה</w:t>
      </w:r>
      <w:r w:rsidRPr="00B81C34">
        <w:rPr>
          <w:rStyle w:val="aff9"/>
          <w:rFonts w:hint="cs"/>
          <w:rtl/>
        </w:rPr>
        <w:t xml:space="preserve"> </w:t>
      </w:r>
      <w:r w:rsidRPr="00B81C34">
        <w:rPr>
          <w:rStyle w:val="aff9"/>
          <w:rFonts w:hint="cs"/>
          <w:vanish/>
          <w:rtl/>
        </w:rPr>
        <w:t>-</w:t>
      </w:r>
      <w:r w:rsidRPr="00B81C34">
        <w:rPr>
          <w:rStyle w:val="aff9"/>
          <w:rFonts w:hint="cs"/>
          <w:rtl/>
        </w:rPr>
        <w:t>בפי' הרמב"ם לשבת</w:t>
      </w:r>
      <w:r w:rsidRPr="00B81C34">
        <w:rPr>
          <w:rStyle w:val="aff9"/>
          <w:rFonts w:hint="cs"/>
          <w:vanish/>
          <w:rtl/>
        </w:rPr>
        <w:t>-</w:t>
      </w:r>
      <w:r w:rsidRPr="00B81C34">
        <w:rPr>
          <w:rStyle w:val="aff9"/>
          <w:rFonts w:hint="cs"/>
          <w:rtl/>
        </w:rPr>
        <w:t xml:space="preserve"> </w:t>
      </w:r>
      <w:r w:rsidRPr="00C8052D">
        <w:rPr>
          <w:rStyle w:val="aff0"/>
          <w:rFonts w:hint="cs"/>
          <w:rtl/>
        </w:rPr>
        <w:t xml:space="preserve">(עי' אות </w:t>
      </w:r>
      <w:r w:rsidRPr="00C8052D">
        <w:rPr>
          <w:rStyle w:val="aff0"/>
          <w:rtl/>
        </w:rPr>
        <w:t>כח)</w:t>
      </w:r>
      <w:r w:rsidRPr="00FB0644">
        <w:rPr>
          <w:rStyle w:val="af"/>
          <w:rFonts w:hint="cs"/>
          <w:rtl/>
        </w:rPr>
        <w:t>,</w:t>
      </w:r>
      <w:r>
        <w:rPr>
          <w:rStyle w:val="af"/>
          <w:rFonts w:hint="cs"/>
          <w:rtl/>
        </w:rPr>
        <w:t xml:space="preserve"> </w:t>
      </w:r>
      <w:r w:rsidRPr="00AC67C2">
        <w:rPr>
          <w:rStyle w:val="af"/>
          <w:rFonts w:hint="cs"/>
          <w:rtl/>
        </w:rPr>
        <w:t xml:space="preserve">ועי' במה שתירץ </w:t>
      </w:r>
      <w:r w:rsidRPr="00ED6903">
        <w:rPr>
          <w:rStyle w:val="af"/>
          <w:rFonts w:hint="cs"/>
          <w:vanish/>
          <w:rtl/>
        </w:rPr>
        <w:t>-</w:t>
      </w:r>
      <w:r w:rsidRPr="00B81C34">
        <w:rPr>
          <w:rStyle w:val="aff9"/>
          <w:rFonts w:hint="cs"/>
          <w:rtl/>
        </w:rPr>
        <w:t>הר"י מגאש</w:t>
      </w:r>
      <w:r w:rsidRPr="00ED6903">
        <w:rPr>
          <w:rStyle w:val="af"/>
          <w:rFonts w:hint="cs"/>
          <w:vanish/>
          <w:rtl/>
        </w:rPr>
        <w:t>-</w:t>
      </w:r>
      <w:r>
        <w:rPr>
          <w:rStyle w:val="af"/>
          <w:rFonts w:hint="cs"/>
          <w:rtl/>
        </w:rPr>
        <w:t xml:space="preserve"> </w:t>
      </w:r>
      <w:r w:rsidRPr="00C8052D">
        <w:rPr>
          <w:rStyle w:val="aff0"/>
          <w:rFonts w:hint="cs"/>
          <w:rtl/>
        </w:rPr>
        <w:t xml:space="preserve">(עי' אות </w:t>
      </w:r>
      <w:r w:rsidRPr="00C8052D">
        <w:rPr>
          <w:rStyle w:val="aff0"/>
          <w:rtl/>
        </w:rPr>
        <w:t>כח</w:t>
      </w:r>
      <w:r w:rsidRPr="005957AC">
        <w:rPr>
          <w:rStyle w:val="af"/>
          <w:rFonts w:hint="cs"/>
          <w:rtl/>
        </w:rPr>
        <w:t>],</w:t>
      </w:r>
      <w:r>
        <w:rPr>
          <w:rFonts w:hint="cs"/>
          <w:rtl/>
        </w:rPr>
        <w:t xml:space="preserve"> ותירצו</w:t>
      </w:r>
      <w:r w:rsidRPr="005A2F4A">
        <w:rPr>
          <w:b/>
          <w:bCs/>
          <w:rtl/>
        </w:rPr>
        <w:t xml:space="preserve"> </w:t>
      </w:r>
      <w:r>
        <w:rPr>
          <w:rFonts w:hint="cs"/>
          <w:b/>
          <w:bCs/>
          <w:rtl/>
        </w:rPr>
        <w:t>התוס'</w:t>
      </w:r>
      <w:r w:rsidRPr="001361F3">
        <w:rPr>
          <w:rFonts w:hint="cs"/>
          <w:b/>
          <w:bCs/>
          <w:rtl/>
        </w:rPr>
        <w:t xml:space="preserve"> </w:t>
      </w:r>
      <w:r>
        <w:rPr>
          <w:rFonts w:hint="cs"/>
          <w:b/>
          <w:bCs/>
          <w:rtl/>
        </w:rPr>
        <w:t>ובחי' המיוחסים לר"ן</w:t>
      </w:r>
      <w:r>
        <w:rPr>
          <w:rFonts w:hint="cs"/>
          <w:rtl/>
        </w:rPr>
        <w:t xml:space="preserve"> דאיירי באופן שהאבן כבר מרובעת</w:t>
      </w:r>
      <w:r>
        <w:rPr>
          <w:rtl/>
        </w:rPr>
        <w:t xml:space="preserve"> </w:t>
      </w:r>
      <w:r>
        <w:rPr>
          <w:rFonts w:hint="cs"/>
          <w:rtl/>
        </w:rPr>
        <w:t xml:space="preserve">ומתוקנת, והוא רק מיפה את האבן ומסרטט עליה, </w:t>
      </w:r>
      <w:r w:rsidRPr="00ED41A9">
        <w:rPr>
          <w:rStyle w:val="af"/>
          <w:rFonts w:hint="cs"/>
          <w:rtl/>
        </w:rPr>
        <w:t xml:space="preserve">[אבל </w:t>
      </w:r>
      <w:r w:rsidRPr="00ED41A9">
        <w:rPr>
          <w:rStyle w:val="aff9"/>
          <w:rFonts w:hint="cs"/>
          <w:rtl/>
        </w:rPr>
        <w:t xml:space="preserve">בפסקי הרי"ד </w:t>
      </w:r>
      <w:r w:rsidRPr="003E4C7B">
        <w:rPr>
          <w:rStyle w:val="aff0"/>
          <w:rFonts w:hint="cs"/>
          <w:rtl/>
        </w:rPr>
        <w:t xml:space="preserve">(עי' אות </w:t>
      </w:r>
      <w:r w:rsidRPr="003E4C7B">
        <w:rPr>
          <w:rStyle w:val="aff0"/>
          <w:rtl/>
        </w:rPr>
        <w:fldChar w:fldCharType="begin"/>
      </w:r>
      <w:r w:rsidRPr="003E4C7B">
        <w:rPr>
          <w:rStyle w:val="aff0"/>
          <w:rtl/>
        </w:rPr>
        <w:instrText xml:space="preserve"> </w:instrText>
      </w:r>
      <w:r w:rsidRPr="003E4C7B">
        <w:rPr>
          <w:rStyle w:val="aff0"/>
          <w:rFonts w:hint="cs"/>
        </w:rPr>
        <w:instrText>REF</w:instrText>
      </w:r>
      <w:r w:rsidRPr="003E4C7B">
        <w:rPr>
          <w:rStyle w:val="aff0"/>
          <w:rFonts w:hint="cs"/>
          <w:rtl/>
        </w:rPr>
        <w:instrText xml:space="preserve"> _</w:instrText>
      </w:r>
      <w:r w:rsidRPr="003E4C7B">
        <w:rPr>
          <w:rStyle w:val="aff0"/>
          <w:rFonts w:hint="cs"/>
        </w:rPr>
        <w:instrText>Ref143854769 \r \h</w:instrText>
      </w:r>
      <w:r w:rsidRPr="003E4C7B">
        <w:rPr>
          <w:rStyle w:val="aff0"/>
          <w:rtl/>
        </w:rPr>
        <w:instrText xml:space="preserve"> </w:instrText>
      </w:r>
      <w:r w:rsidRPr="003E4C7B">
        <w:rPr>
          <w:rStyle w:val="aff0"/>
          <w:rtl/>
        </w:rPr>
      </w:r>
      <w:r w:rsidRPr="003E4C7B">
        <w:rPr>
          <w:rStyle w:val="aff0"/>
          <w:rtl/>
        </w:rPr>
        <w:fldChar w:fldCharType="separate"/>
      </w:r>
      <w:r w:rsidR="00D82181">
        <w:rPr>
          <w:rStyle w:val="aff0"/>
          <w:cs/>
        </w:rPr>
        <w:t>‎</w:t>
      </w:r>
      <w:r w:rsidR="00D82181">
        <w:rPr>
          <w:rStyle w:val="aff0"/>
          <w:rtl/>
        </w:rPr>
        <w:t>יא)</w:t>
      </w:r>
      <w:r w:rsidRPr="003E4C7B">
        <w:rPr>
          <w:rStyle w:val="aff0"/>
          <w:rtl/>
        </w:rPr>
        <w:fldChar w:fldCharType="end"/>
      </w:r>
      <w:r w:rsidRPr="00ED41A9">
        <w:rPr>
          <w:rStyle w:val="af"/>
          <w:rFonts w:hint="cs"/>
          <w:rtl/>
        </w:rPr>
        <w:t xml:space="preserve"> כתב דאחר הסיתות האבן ראויה לשקעה בבנין],</w:t>
      </w:r>
      <w:r>
        <w:rPr>
          <w:rFonts w:hint="cs"/>
          <w:rtl/>
        </w:rPr>
        <w:t xml:space="preserve"> ועוד תירץ</w:t>
      </w:r>
      <w:r>
        <w:rPr>
          <w:rFonts w:hint="cs"/>
          <w:b/>
          <w:bCs/>
          <w:rtl/>
        </w:rPr>
        <w:t xml:space="preserve"> בחי' המיוחסים לר"ן</w:t>
      </w:r>
      <w:r>
        <w:rPr>
          <w:rFonts w:hint="cs"/>
          <w:rtl/>
        </w:rPr>
        <w:t xml:space="preserve"> </w:t>
      </w:r>
      <w:r>
        <w:rPr>
          <w:rFonts w:hint="cs"/>
          <w:b/>
          <w:bCs/>
          <w:rtl/>
        </w:rPr>
        <w:t>והמאירי</w:t>
      </w:r>
      <w:r>
        <w:rPr>
          <w:rtl/>
        </w:rPr>
        <w:t xml:space="preserve"> </w:t>
      </w:r>
      <w:r>
        <w:rPr>
          <w:rFonts w:hint="cs"/>
          <w:rtl/>
        </w:rPr>
        <w:t>בשם</w:t>
      </w:r>
      <w:r w:rsidRPr="008D4078">
        <w:rPr>
          <w:b/>
          <w:bCs/>
          <w:rtl/>
        </w:rPr>
        <w:t xml:space="preserve"> </w:t>
      </w:r>
      <w:r>
        <w:rPr>
          <w:rFonts w:hint="cs"/>
          <w:b/>
          <w:bCs/>
          <w:rtl/>
        </w:rPr>
        <w:t>י"מ</w:t>
      </w:r>
      <w:r>
        <w:rPr>
          <w:rFonts w:hint="cs"/>
          <w:rtl/>
        </w:rPr>
        <w:t xml:space="preserve"> דבאמת חייב גם משום מכה בפטיש, </w:t>
      </w:r>
      <w:r w:rsidRPr="001361F3">
        <w:rPr>
          <w:rStyle w:val="af"/>
          <w:rFonts w:hint="cs"/>
          <w:rtl/>
        </w:rPr>
        <w:t xml:space="preserve">[היינו באופן שעדיין אינה מתוקנת </w:t>
      </w:r>
      <w:r w:rsidRPr="001361F3">
        <w:rPr>
          <w:rStyle w:val="aff9"/>
          <w:rFonts w:hint="cs"/>
          <w:vanish/>
          <w:rtl/>
        </w:rPr>
        <w:t>-</w:t>
      </w:r>
      <w:r w:rsidRPr="001361F3">
        <w:rPr>
          <w:rStyle w:val="aff9"/>
          <w:rFonts w:hint="cs"/>
          <w:rtl/>
        </w:rPr>
        <w:t>וכתוס'</w:t>
      </w:r>
      <w:r w:rsidRPr="001361F3">
        <w:rPr>
          <w:rStyle w:val="aff9"/>
          <w:rFonts w:hint="cs"/>
          <w:vanish/>
          <w:rtl/>
        </w:rPr>
        <w:t>-</w:t>
      </w:r>
      <w:r w:rsidRPr="005957AC">
        <w:rPr>
          <w:rStyle w:val="af"/>
          <w:rFonts w:hint="cs"/>
          <w:rtl/>
        </w:rPr>
        <w:t>],</w:t>
      </w:r>
      <w:r>
        <w:rPr>
          <w:rStyle w:val="af"/>
          <w:rFonts w:hint="cs"/>
          <w:rtl/>
        </w:rPr>
        <w:t xml:space="preserve"> </w:t>
      </w:r>
      <w:r>
        <w:rPr>
          <w:rFonts w:hint="cs"/>
          <w:rtl/>
        </w:rPr>
        <w:t>ועוד תירץ</w:t>
      </w:r>
      <w:r>
        <w:rPr>
          <w:rFonts w:hint="cs"/>
          <w:b/>
          <w:bCs/>
          <w:rtl/>
        </w:rPr>
        <w:t xml:space="preserve"> בחי' המיוחסים לר"ן</w:t>
      </w:r>
      <w:r>
        <w:rPr>
          <w:rStyle w:val="af"/>
          <w:rFonts w:hint="cs"/>
          <w:rtl/>
        </w:rPr>
        <w:t xml:space="preserve"> </w:t>
      </w:r>
      <w:r w:rsidRPr="00B81C34">
        <w:rPr>
          <w:rFonts w:hint="cs"/>
          <w:rtl/>
        </w:rPr>
        <w:t xml:space="preserve">דמסתת הוא </w:t>
      </w:r>
      <w:r>
        <w:rPr>
          <w:rFonts w:hint="cs"/>
          <w:rtl/>
        </w:rPr>
        <w:t xml:space="preserve">אחר שנתנו את האבן בבנין שמכה עליה בקורנס או פטיש לקובעה במקומה דהוא גמר מלאכה דידה, ועי' במה שביאר </w:t>
      </w:r>
      <w:r w:rsidRPr="007637C7">
        <w:rPr>
          <w:rStyle w:val="aff4"/>
          <w:rFonts w:hint="cs"/>
          <w:vanish/>
          <w:rtl/>
        </w:rPr>
        <w:t>-</w:t>
      </w:r>
      <w:r w:rsidRPr="007637C7">
        <w:rPr>
          <w:rStyle w:val="aff4"/>
          <w:rFonts w:hint="cs"/>
          <w:rtl/>
        </w:rPr>
        <w:t>הקהלות יעקב</w:t>
      </w:r>
      <w:r w:rsidRPr="007637C7">
        <w:rPr>
          <w:rStyle w:val="aff4"/>
          <w:rFonts w:hint="cs"/>
          <w:vanish/>
          <w:rtl/>
        </w:rPr>
        <w:t>-</w:t>
      </w:r>
      <w:r>
        <w:rPr>
          <w:rFonts w:hint="cs"/>
          <w:rtl/>
        </w:rPr>
        <w:t xml:space="preserve"> </w:t>
      </w:r>
      <w:r w:rsidRPr="009B0CAB">
        <w:rPr>
          <w:rStyle w:val="af2"/>
          <w:rFonts w:eastAsia="Guttman Hodes" w:hint="cs"/>
          <w:rtl/>
        </w:rPr>
        <w:t xml:space="preserve">(עי' אות </w:t>
      </w:r>
      <w:r w:rsidRPr="009B0CAB">
        <w:rPr>
          <w:rStyle w:val="af2"/>
          <w:rFonts w:eastAsia="Guttman Hodes"/>
          <w:rtl/>
        </w:rPr>
        <w:fldChar w:fldCharType="begin"/>
      </w:r>
      <w:r w:rsidRPr="009B0CAB">
        <w:rPr>
          <w:rStyle w:val="af2"/>
          <w:rFonts w:eastAsia="Guttman Hodes"/>
          <w:rtl/>
        </w:rPr>
        <w:instrText xml:space="preserve"> </w:instrText>
      </w:r>
      <w:r w:rsidRPr="009B0CAB">
        <w:rPr>
          <w:rStyle w:val="af2"/>
          <w:rFonts w:eastAsia="Guttman Hodes" w:hint="cs"/>
        </w:rPr>
        <w:instrText>REF</w:instrText>
      </w:r>
      <w:r w:rsidRPr="009B0CAB">
        <w:rPr>
          <w:rStyle w:val="af2"/>
          <w:rFonts w:eastAsia="Guttman Hodes" w:hint="cs"/>
          <w:rtl/>
        </w:rPr>
        <w:instrText xml:space="preserve"> _</w:instrText>
      </w:r>
      <w:r w:rsidRPr="009B0CAB">
        <w:rPr>
          <w:rStyle w:val="af2"/>
          <w:rFonts w:eastAsia="Guttman Hodes" w:hint="cs"/>
        </w:rPr>
        <w:instrText>Ref144117359 \r \h</w:instrText>
      </w:r>
      <w:r w:rsidRPr="009B0CAB">
        <w:rPr>
          <w:rStyle w:val="af2"/>
          <w:rFonts w:eastAsia="Guttman Hodes"/>
          <w:rtl/>
        </w:rPr>
        <w:instrText xml:space="preserve"> </w:instrText>
      </w:r>
      <w:r w:rsidRPr="009B0CAB">
        <w:rPr>
          <w:rStyle w:val="af2"/>
          <w:rFonts w:eastAsia="Guttman Hodes"/>
          <w:rtl/>
        </w:rPr>
      </w:r>
      <w:r w:rsidRPr="009B0CAB">
        <w:rPr>
          <w:rStyle w:val="af2"/>
          <w:rFonts w:eastAsia="Guttman Hodes"/>
          <w:rtl/>
        </w:rPr>
        <w:fldChar w:fldCharType="separate"/>
      </w:r>
      <w:r w:rsidR="00D82181">
        <w:rPr>
          <w:rStyle w:val="af2"/>
          <w:rFonts w:eastAsia="Guttman Hodes"/>
          <w:cs/>
        </w:rPr>
        <w:t>‎</w:t>
      </w:r>
      <w:r w:rsidR="00D82181">
        <w:rPr>
          <w:rStyle w:val="af2"/>
          <w:rFonts w:eastAsia="Guttman Hodes"/>
          <w:rtl/>
        </w:rPr>
        <w:t>עד)</w:t>
      </w:r>
      <w:r w:rsidRPr="009B0CAB">
        <w:rPr>
          <w:rStyle w:val="af2"/>
          <w:rFonts w:eastAsia="Guttman Hodes"/>
          <w:rtl/>
        </w:rPr>
        <w:fldChar w:fldCharType="end"/>
      </w:r>
      <w:r>
        <w:rPr>
          <w:rFonts w:hint="cs"/>
          <w:rtl/>
        </w:rPr>
        <w:t xml:space="preserve"> בדעת </w:t>
      </w:r>
      <w:r w:rsidRPr="007637C7">
        <w:rPr>
          <w:rStyle w:val="aff4"/>
          <w:rFonts w:hint="cs"/>
          <w:vanish/>
          <w:rtl/>
        </w:rPr>
        <w:t>-</w:t>
      </w:r>
      <w:r w:rsidRPr="007637C7">
        <w:rPr>
          <w:rStyle w:val="aff4"/>
          <w:rFonts w:hint="cs"/>
          <w:rtl/>
        </w:rPr>
        <w:t>הי"מ במאירי</w:t>
      </w:r>
      <w:r w:rsidRPr="007637C7">
        <w:rPr>
          <w:rStyle w:val="aff4"/>
          <w:rFonts w:hint="cs"/>
          <w:vanish/>
          <w:rtl/>
        </w:rPr>
        <w:t>-</w:t>
      </w:r>
      <w:r>
        <w:rPr>
          <w:rFonts w:hint="cs"/>
          <w:rtl/>
        </w:rPr>
        <w:t>.</w:t>
      </w:r>
      <w:bookmarkEnd w:id="5156"/>
    </w:p>
    <w:p w14:paraId="718DBD5A" w14:textId="77777777" w:rsidR="00A14FDA" w:rsidRPr="00BC7DC8" w:rsidRDefault="00A14FDA" w:rsidP="00A14FDA">
      <w:pPr>
        <w:pStyle w:val="afffffe"/>
        <w:rPr>
          <w:vanish/>
          <w:rtl/>
        </w:rPr>
      </w:pPr>
      <w:r w:rsidRPr="00BC7DC8">
        <w:rPr>
          <w:vanish/>
          <w:rtl/>
        </w:rPr>
        <w:t>תוספות שבת ע"ה ע"ב</w:t>
      </w:r>
      <w:r w:rsidRPr="00BC7DC8">
        <w:rPr>
          <w:rFonts w:hint="cs"/>
          <w:vanish/>
          <w:rtl/>
        </w:rPr>
        <w:t xml:space="preserve"> ד"ה והמסתת</w:t>
      </w:r>
    </w:p>
    <w:p w14:paraId="65A619E8" w14:textId="77777777" w:rsidR="00A14FDA" w:rsidRPr="00D87F8B" w:rsidRDefault="00A14FDA" w:rsidP="00A14FDA">
      <w:pPr>
        <w:pStyle w:val="a2"/>
        <w:rPr>
          <w:rtl/>
        </w:rPr>
      </w:pPr>
      <w:r w:rsidRPr="00D87F8B">
        <w:rPr>
          <w:rtl/>
        </w:rPr>
        <w:t>והמסתת את האבן כו' חייב משום מכה בפטיש - אבל משום מחתך וממחק לא מיחייב דמיירי שכבר היא מרובעת ומתוקנת אלא שמייפה אותה ועושה בה שירטוטין ויפוי כעין שעושין עכשיו מסתתי האבנים, ר"י וכן ריב"א.</w:t>
      </w:r>
    </w:p>
    <w:p w14:paraId="303CCEFF" w14:textId="77777777" w:rsidR="00A14FDA" w:rsidRPr="00BC7DC8" w:rsidRDefault="00A14FDA" w:rsidP="00A14FDA">
      <w:pPr>
        <w:pStyle w:val="afffffe"/>
        <w:rPr>
          <w:vanish/>
          <w:rtl/>
        </w:rPr>
      </w:pPr>
      <w:r w:rsidRPr="00BC7DC8">
        <w:rPr>
          <w:vanish/>
          <w:rtl/>
        </w:rPr>
        <w:t xml:space="preserve">חדושי הר"ן </w:t>
      </w:r>
      <w:r w:rsidRPr="00BC7DC8">
        <w:rPr>
          <w:rFonts w:hint="cs"/>
          <w:vanish/>
          <w:rtl/>
        </w:rPr>
        <w:t xml:space="preserve">- </w:t>
      </w:r>
      <w:r w:rsidRPr="00BC7DC8">
        <w:rPr>
          <w:vanish/>
          <w:rtl/>
        </w:rPr>
        <w:t>מיוחס לו שבת ע"ה ע"ב</w:t>
      </w:r>
    </w:p>
    <w:p w14:paraId="27DDCDD3" w14:textId="77777777" w:rsidR="00A14FDA" w:rsidRPr="00806C89" w:rsidRDefault="00A14FDA" w:rsidP="00A14FDA">
      <w:pPr>
        <w:pStyle w:val="afffff5"/>
        <w:rPr>
          <w:rtl/>
        </w:rPr>
      </w:pPr>
      <w:r w:rsidRPr="00806C89">
        <w:rPr>
          <w:rtl/>
        </w:rPr>
        <w:t>והמסתת את האבן בשבת חייב משום מכה בפטיש. פרש"י ז"ל אחר שנחצבה מן ההר הוא מתקנה לדעת אורכה ורחבה, וזה קשה דא"כ ליחייב משום מחתך דהא מיכוון אמשחתא וליחייב עוד משום ממחק שהרי מחליקה. וי"ל דאין הכי נמי דחייב משום תלת וה"ק חייב אף משום מכה בפטיש. וי"מ דמיירי באבן שנתקנה כבר אורכה ורוחבה אלא שהוא מתקנה עכשיו דק דק כדי ליפותה והילכך אינו חייב משום מחתך דהא אינו מחתכה ומשום ממחק נמי ליכא דהא אינו אלא כדי ליפותה ואין בזה צורך כלל ואנן בעינן דומיא דממחק עור דמשכן דאית בי' צורך. וי"מ דסיתות אבן הוא לאחר שנתנה בבנין שנותן עליה בקורנס או בפטיש לקובעה יפה וזהו גמר מלאכה דידה:</w:t>
      </w:r>
    </w:p>
    <w:p w14:paraId="032DF28B" w14:textId="77777777" w:rsidR="00A14FDA" w:rsidRPr="00BC7DC8" w:rsidRDefault="00A14FDA" w:rsidP="00A14FDA">
      <w:pPr>
        <w:pStyle w:val="afffffe"/>
        <w:rPr>
          <w:vanish/>
          <w:rtl/>
        </w:rPr>
      </w:pPr>
      <w:r w:rsidRPr="00BC7DC8">
        <w:rPr>
          <w:vanish/>
          <w:rtl/>
        </w:rPr>
        <w:t>מאירי שבת ע"ה ע"ב</w:t>
      </w:r>
      <w:r w:rsidRPr="00BC7DC8">
        <w:rPr>
          <w:rFonts w:hint="cs"/>
          <w:vanish/>
          <w:rtl/>
        </w:rPr>
        <w:t xml:space="preserve"> ד"ה השף</w:t>
      </w:r>
    </w:p>
    <w:p w14:paraId="14BE7EA3" w14:textId="77777777" w:rsidR="00A14FDA" w:rsidRDefault="00A14FDA" w:rsidP="00A14FDA">
      <w:pPr>
        <w:pStyle w:val="afffff5"/>
        <w:rPr>
          <w:rtl/>
        </w:rPr>
      </w:pPr>
      <w:r w:rsidRPr="00806C89">
        <w:rPr>
          <w:rtl/>
        </w:rPr>
        <w:t>והמסתת את האבן ר"ל שמחליקה אחר שנחצבה חייב משום מכה בפטיש שזהו גמר מלאכה ויש שואלים לפי' זה והרי יש לחייבו גם כן משום מחתך ומשום ממחק שהרי הוא מחתכה ומחליקה עד שפירשו בזו אף משום מכה בפטיש</w:t>
      </w:r>
      <w:r w:rsidRPr="00806C89">
        <w:rPr>
          <w:rFonts w:hint="cs"/>
          <w:rtl/>
        </w:rPr>
        <w:t>.</w:t>
      </w:r>
    </w:p>
    <w:p w14:paraId="6B0CF946" w14:textId="77777777" w:rsidR="00A14FDA" w:rsidRPr="00067B43" w:rsidRDefault="00A14FDA" w:rsidP="00A14FDA">
      <w:pPr>
        <w:pStyle w:val="a7"/>
        <w:rPr>
          <w:rtl/>
        </w:rPr>
      </w:pPr>
      <w:bookmarkStart w:id="5157" w:name="_Toc144225262"/>
      <w:r>
        <w:rPr>
          <w:rFonts w:hint="cs"/>
          <w:rtl/>
        </w:rPr>
        <w:t>בי' המאירי דבמסתת איירי באופן שלא שייך חיוב ממחק ומחתך דעושה לנוי וכן בצר צורה</w:t>
      </w:r>
      <w:bookmarkEnd w:id="5157"/>
    </w:p>
    <w:p w14:paraId="6BC3DCE7" w14:textId="5B784FF2" w:rsidR="00A14FDA" w:rsidRPr="004C251B" w:rsidRDefault="00A14FDA" w:rsidP="00BC7DC8">
      <w:pPr>
        <w:pStyle w:val="a3"/>
        <w:rPr>
          <w:rtl/>
        </w:rPr>
      </w:pPr>
      <w:r>
        <w:rPr>
          <w:rFonts w:hint="cs"/>
          <w:b/>
          <w:bCs/>
          <w:rtl/>
        </w:rPr>
        <w:t>והמאירי לעיל</w:t>
      </w:r>
      <w:r>
        <w:rPr>
          <w:rtl/>
        </w:rPr>
        <w:t xml:space="preserve"> </w:t>
      </w:r>
      <w:r>
        <w:rPr>
          <w:rFonts w:hint="cs"/>
          <w:rtl/>
        </w:rPr>
        <w:t xml:space="preserve">תירץ </w:t>
      </w:r>
      <w:r w:rsidRPr="00944A96">
        <w:rPr>
          <w:rStyle w:val="aff9"/>
          <w:rFonts w:hint="cs"/>
          <w:rtl/>
        </w:rPr>
        <w:t>[</w:t>
      </w:r>
      <w:r w:rsidRPr="00944A96">
        <w:rPr>
          <w:rStyle w:val="aff9"/>
          <w:rFonts w:hint="cs"/>
          <w:vanish/>
          <w:rtl/>
        </w:rPr>
        <w:t>-</w:t>
      </w:r>
      <w:r w:rsidRPr="00944A96">
        <w:rPr>
          <w:rStyle w:val="aff9"/>
          <w:rFonts w:hint="cs"/>
          <w:rtl/>
        </w:rPr>
        <w:t>כתוס'</w:t>
      </w:r>
      <w:r w:rsidRPr="00944A96">
        <w:rPr>
          <w:rStyle w:val="aff9"/>
          <w:rFonts w:hint="cs"/>
          <w:vanish/>
          <w:rtl/>
        </w:rPr>
        <w:t>-</w:t>
      </w:r>
      <w:r w:rsidRPr="00944A96">
        <w:rPr>
          <w:rStyle w:val="af"/>
          <w:rFonts w:hint="cs"/>
          <w:rtl/>
        </w:rPr>
        <w:t xml:space="preserve"> </w:t>
      </w:r>
      <w:r w:rsidRPr="00EE3C72">
        <w:rPr>
          <w:rStyle w:val="aff0"/>
          <w:rFonts w:hint="cs"/>
          <w:rtl/>
        </w:rPr>
        <w:t xml:space="preserve">(עי' אות </w:t>
      </w:r>
      <w:r w:rsidRPr="00EE3C72">
        <w:rPr>
          <w:rStyle w:val="aff0"/>
          <w:rtl/>
        </w:rPr>
        <w:fldChar w:fldCharType="begin"/>
      </w:r>
      <w:r w:rsidRPr="00EE3C72">
        <w:rPr>
          <w:rStyle w:val="aff0"/>
          <w:rtl/>
        </w:rPr>
        <w:instrText xml:space="preserve"> </w:instrText>
      </w:r>
      <w:r w:rsidRPr="00EE3C72">
        <w:rPr>
          <w:rStyle w:val="aff0"/>
          <w:rFonts w:hint="cs"/>
        </w:rPr>
        <w:instrText>REF</w:instrText>
      </w:r>
      <w:r w:rsidRPr="00EE3C72">
        <w:rPr>
          <w:rStyle w:val="aff0"/>
          <w:rFonts w:hint="cs"/>
          <w:rtl/>
        </w:rPr>
        <w:instrText xml:space="preserve"> _</w:instrText>
      </w:r>
      <w:r w:rsidRPr="00EE3C72">
        <w:rPr>
          <w:rStyle w:val="aff0"/>
          <w:rFonts w:hint="cs"/>
        </w:rPr>
        <w:instrText>Ref144115688 \r \h</w:instrText>
      </w:r>
      <w:r w:rsidRPr="00EE3C72">
        <w:rPr>
          <w:rStyle w:val="aff0"/>
          <w:rtl/>
        </w:rPr>
        <w:instrText xml:space="preserve"> </w:instrText>
      </w:r>
      <w:r w:rsidRPr="00EE3C72">
        <w:rPr>
          <w:rStyle w:val="aff0"/>
          <w:rtl/>
        </w:rPr>
      </w:r>
      <w:r w:rsidRPr="00EE3C72">
        <w:rPr>
          <w:rStyle w:val="aff0"/>
          <w:rtl/>
        </w:rPr>
        <w:fldChar w:fldCharType="separate"/>
      </w:r>
      <w:r w:rsidR="00D82181">
        <w:rPr>
          <w:rStyle w:val="aff0"/>
          <w:cs/>
        </w:rPr>
        <w:t>‎</w:t>
      </w:r>
      <w:r w:rsidR="00D82181">
        <w:rPr>
          <w:rStyle w:val="aff0"/>
          <w:rtl/>
        </w:rPr>
        <w:t>כח)</w:t>
      </w:r>
      <w:r w:rsidRPr="00EE3C72">
        <w:rPr>
          <w:rStyle w:val="aff0"/>
          <w:rtl/>
        </w:rPr>
        <w:fldChar w:fldCharType="end"/>
      </w:r>
      <w:r w:rsidRPr="00944A96">
        <w:rPr>
          <w:rStyle w:val="af"/>
          <w:rFonts w:hint="cs"/>
          <w:rtl/>
        </w:rPr>
        <w:t>]</w:t>
      </w:r>
      <w:r>
        <w:rPr>
          <w:rFonts w:hint="cs"/>
          <w:rtl/>
        </w:rPr>
        <w:t xml:space="preserve"> דאחר שחצב את האבן והשווה אותה למידה שהוא צריך אותה, אין בה חיוב מחתך שעשה את כל המלאכה, ואף משום ממחק א"א לחייבו כיון שאין כוונתו להחליק אותה שתהיה נוחה לשימוש, כמו ממרח רטיה, אלא מסתת אותה לנוי בעלמא, ולכן הוא רק גמר מלאכה, וכל דבר שנעשה לגמר מלאכה אף שאין לו כל כוונה למלאכה חייב בו משום מכה </w:t>
      </w:r>
      <w:r>
        <w:rPr>
          <w:rFonts w:hint="cs"/>
          <w:rtl/>
        </w:rPr>
        <w:t>בפטיש, והוסיף</w:t>
      </w:r>
      <w:r w:rsidRPr="00996ABF">
        <w:rPr>
          <w:b/>
          <w:bCs/>
          <w:rtl/>
        </w:rPr>
        <w:t xml:space="preserve"> </w:t>
      </w:r>
      <w:r>
        <w:rPr>
          <w:rFonts w:hint="cs"/>
          <w:b/>
          <w:bCs/>
          <w:rtl/>
        </w:rPr>
        <w:t>המאירי</w:t>
      </w:r>
      <w:r>
        <w:rPr>
          <w:rtl/>
        </w:rPr>
        <w:t xml:space="preserve"> </w:t>
      </w:r>
      <w:r>
        <w:rPr>
          <w:rFonts w:hint="cs"/>
          <w:rtl/>
        </w:rPr>
        <w:t>דזהו הביאור בצר בכלי צורה, שהכלי כבר נגמר והצורה שעושה בו היא לנוי בעלמא ואין לכלי עצמו כל צורך בצורה זו, דבכה"ג חייב במכה בפטיש אף בתחילת הצורה שעשה, כיון דכל דבר שחשיב גמר מלאכה אינו נעשה בפעם אחת, דאף מכה בפטיש עצמו הוא מכה וחוזר ומכה, ועוד הביא</w:t>
      </w:r>
      <w:r w:rsidRPr="0076369D">
        <w:rPr>
          <w:b/>
          <w:bCs/>
          <w:rtl/>
        </w:rPr>
        <w:t xml:space="preserve"> </w:t>
      </w:r>
      <w:r>
        <w:rPr>
          <w:rFonts w:hint="cs"/>
          <w:b/>
          <w:bCs/>
          <w:rtl/>
        </w:rPr>
        <w:t>המאירי</w:t>
      </w:r>
      <w:r>
        <w:rPr>
          <w:rtl/>
        </w:rPr>
        <w:t xml:space="preserve"> </w:t>
      </w:r>
      <w:r>
        <w:rPr>
          <w:rFonts w:hint="cs"/>
          <w:rtl/>
        </w:rPr>
        <w:t>בשם</w:t>
      </w:r>
      <w:r w:rsidRPr="0076369D">
        <w:rPr>
          <w:b/>
          <w:bCs/>
          <w:rtl/>
        </w:rPr>
        <w:t xml:space="preserve"> </w:t>
      </w:r>
      <w:r>
        <w:rPr>
          <w:rFonts w:hint="cs"/>
          <w:b/>
          <w:bCs/>
          <w:rtl/>
        </w:rPr>
        <w:t>י"מ</w:t>
      </w:r>
      <w:r>
        <w:rPr>
          <w:rtl/>
        </w:rPr>
        <w:t xml:space="preserve"> </w:t>
      </w:r>
      <w:r>
        <w:rPr>
          <w:rFonts w:hint="cs"/>
          <w:rtl/>
        </w:rPr>
        <w:t xml:space="preserve">דצר צורה היינו דפוס בשעוה דגמר הצורה הוא בפעם אחת. </w:t>
      </w:r>
    </w:p>
    <w:p w14:paraId="53FE681A" w14:textId="77777777" w:rsidR="00A14FDA" w:rsidRPr="00D87F8B" w:rsidRDefault="00A14FDA" w:rsidP="00A14FDA">
      <w:pPr>
        <w:pStyle w:val="a2"/>
        <w:rPr>
          <w:rtl/>
        </w:rPr>
      </w:pPr>
      <w:r w:rsidRPr="00D87F8B">
        <w:rPr>
          <w:rtl/>
        </w:rPr>
        <w:t>אלא שעיקר הדבר שאחר שנחצבה והושוית למדתם אין בה עוד משום מחתך שהרי נעשה הכל ודין ממחק אין כאן שאין הכונה בה להחליקה להיות תשמיש שלה נוח לו כענין ממרח רטיה ושף בין העמודים ומוחק את השער מן העור להחליקו ואין זה אלא נוי בעלמא ואין כאן אלא גמר מלאכה וכבר ביארנו שכל שהוא נעשה לגמר מלאכה אף בלא כונת שום מלאכה חייב משום מכה בפטיש:</w:t>
      </w:r>
    </w:p>
    <w:p w14:paraId="61EC93B8" w14:textId="77777777" w:rsidR="00A14FDA" w:rsidRPr="00806C89" w:rsidRDefault="00A14FDA" w:rsidP="00A14FDA">
      <w:pPr>
        <w:pStyle w:val="afffff5"/>
        <w:rPr>
          <w:rtl/>
        </w:rPr>
      </w:pPr>
      <w:r w:rsidRPr="00806C89">
        <w:rPr>
          <w:rtl/>
        </w:rPr>
        <w:t>הצר בכלי צורה ר"ל שנשלם הכלי וזה עושה בו צורה לנאותו הואיל ואין הכלי צריך לה כלל הרי זה הכאה בפטיש ולא סוף דבר בהשלמת הצורה אלא אף בהתחלתה וכמו שאמרו במסכתא זו הצר צורה כל שהוא שכל שהוא גמר מלאכה אין הגמר נעשה בפעם אחת לבד שאף הכאה בפטיש הוא מכה וחוזר ומכה וכן כתבוה גדולי המפרשים וי"מ הצר בכלי של צורה ר"ל שחותם את הדפוס וטובעו בשעוה ובדומה לה עד שנעשית שם הצורה בפעם אחת וזהו גמר מלאכה לאומן לראות בתכלית פעולתו היאך נזדמנה לו:</w:t>
      </w:r>
    </w:p>
    <w:p w14:paraId="4BEBF7B9" w14:textId="77777777" w:rsidR="00A14FDA" w:rsidRDefault="00A14FDA" w:rsidP="00A14FDA">
      <w:pPr>
        <w:pStyle w:val="afffff7"/>
        <w:rPr>
          <w:rtl/>
        </w:rPr>
      </w:pPr>
      <w:bookmarkStart w:id="5158" w:name="_Toc144224661"/>
      <w:bookmarkStart w:id="5159" w:name="_Toc163506209"/>
      <w:r w:rsidRPr="00CB0175">
        <w:rPr>
          <w:rtl/>
        </w:rPr>
        <w:t>הר</w:t>
      </w:r>
      <w:r>
        <w:rPr>
          <w:rtl/>
        </w:rPr>
        <w:t>"</w:t>
      </w:r>
      <w:r>
        <w:rPr>
          <w:rFonts w:hint="cs"/>
          <w:rtl/>
        </w:rPr>
        <w:t>י</w:t>
      </w:r>
      <w:r w:rsidRPr="00CB0175">
        <w:rPr>
          <w:rtl/>
        </w:rPr>
        <w:t xml:space="preserve"> מ</w:t>
      </w:r>
      <w:r>
        <w:rPr>
          <w:rFonts w:hint="cs"/>
          <w:rtl/>
        </w:rPr>
        <w:t>י</w:t>
      </w:r>
      <w:r w:rsidRPr="00CB0175">
        <w:rPr>
          <w:rtl/>
        </w:rPr>
        <w:t xml:space="preserve">גש </w:t>
      </w:r>
      <w:r>
        <w:rPr>
          <w:rFonts w:hint="cs"/>
          <w:rtl/>
        </w:rPr>
        <w:t xml:space="preserve">ליקוטי </w:t>
      </w:r>
      <w:r w:rsidRPr="00CB0175">
        <w:rPr>
          <w:rtl/>
        </w:rPr>
        <w:t>מסכתות שבת ע</w:t>
      </w:r>
      <w:r>
        <w:rPr>
          <w:rFonts w:hint="cs"/>
          <w:rtl/>
        </w:rPr>
        <w:t>"</w:t>
      </w:r>
      <w:r w:rsidRPr="00CB0175">
        <w:rPr>
          <w:rtl/>
        </w:rPr>
        <w:t xml:space="preserve">ה </w:t>
      </w:r>
      <w:r>
        <w:rPr>
          <w:rFonts w:hint="cs"/>
          <w:rtl/>
        </w:rPr>
        <w:t>ע"</w:t>
      </w:r>
      <w:r w:rsidRPr="00CB0175">
        <w:rPr>
          <w:rtl/>
        </w:rPr>
        <w:t xml:space="preserve">ב </w:t>
      </w:r>
      <w:r>
        <w:rPr>
          <w:rFonts w:hint="cs"/>
          <w:rtl/>
        </w:rPr>
        <w:t>ד"ה והמסתת</w:t>
      </w:r>
      <w:bookmarkEnd w:id="5158"/>
      <w:bookmarkEnd w:id="5159"/>
      <w:r w:rsidRPr="00421A47">
        <w:rPr>
          <w:vanish/>
          <w:rtl/>
        </w:rPr>
        <w:t xml:space="preserve"> (ב)</w:t>
      </w:r>
    </w:p>
    <w:p w14:paraId="368B540B" w14:textId="77777777" w:rsidR="00A14FDA" w:rsidRPr="00A631E2" w:rsidRDefault="00A14FDA" w:rsidP="00A14FDA">
      <w:pPr>
        <w:pStyle w:val="a7"/>
        <w:rPr>
          <w:rtl/>
        </w:rPr>
      </w:pPr>
      <w:bookmarkStart w:id="5160" w:name="_Toc144225263"/>
      <w:r>
        <w:rPr>
          <w:rFonts w:hint="cs"/>
          <w:rtl/>
        </w:rPr>
        <w:t>בי' הר"י מגאש דחיוב מחתך רק כשא"צ את העור עצמו אבל מכב"פ במסתת צריך את האבן</w:t>
      </w:r>
      <w:bookmarkEnd w:id="5160"/>
    </w:p>
    <w:p w14:paraId="1A23E9B0" w14:textId="5ED2A2D9" w:rsidR="00A14FDA" w:rsidRDefault="00A14FDA" w:rsidP="00BC7DC8">
      <w:pPr>
        <w:pStyle w:val="a3"/>
        <w:rPr>
          <w:rtl/>
        </w:rPr>
      </w:pPr>
      <w:bookmarkStart w:id="5161" w:name="_Ref143858291"/>
      <w:r>
        <w:rPr>
          <w:rFonts w:hint="cs"/>
          <w:rtl/>
        </w:rPr>
        <w:t xml:space="preserve">בהא דתנן דמסתת חייב משום מכה בפטיש, הקשה </w:t>
      </w:r>
      <w:r w:rsidRPr="00255628">
        <w:rPr>
          <w:rStyle w:val="aff4"/>
          <w:rFonts w:hint="cs"/>
          <w:vanish/>
          <w:rtl/>
        </w:rPr>
        <w:t>-</w:t>
      </w:r>
      <w:r w:rsidRPr="00255628">
        <w:rPr>
          <w:rStyle w:val="aff4"/>
          <w:rFonts w:hint="cs"/>
          <w:rtl/>
        </w:rPr>
        <w:t>ב</w:t>
      </w:r>
      <w:r w:rsidRPr="00255628">
        <w:rPr>
          <w:rStyle w:val="aff4"/>
          <w:rFonts w:hint="cs"/>
          <w:vanish/>
          <w:rtl/>
        </w:rPr>
        <w:t xml:space="preserve">&lt;, </w:t>
      </w:r>
      <w:r w:rsidRPr="00255628">
        <w:rPr>
          <w:rStyle w:val="aff4"/>
          <w:vanish/>
          <w:rtl/>
        </w:rPr>
        <w:fldChar w:fldCharType="begin"/>
      </w:r>
      <w:r w:rsidRPr="00255628">
        <w:rPr>
          <w:rStyle w:val="aff4"/>
          <w:vanish/>
          <w:rtl/>
        </w:rPr>
        <w:instrText xml:space="preserve"> </w:instrText>
      </w:r>
      <w:r w:rsidRPr="00255628">
        <w:rPr>
          <w:rStyle w:val="aff4"/>
          <w:rFonts w:hint="cs"/>
          <w:vanish/>
        </w:rPr>
        <w:instrText>REF</w:instrText>
      </w:r>
      <w:r w:rsidRPr="00255628">
        <w:rPr>
          <w:rStyle w:val="aff4"/>
          <w:rFonts w:hint="cs"/>
          <w:vanish/>
          <w:rtl/>
        </w:rPr>
        <w:instrText xml:space="preserve"> _</w:instrText>
      </w:r>
      <w:r w:rsidRPr="00255628">
        <w:rPr>
          <w:rStyle w:val="aff4"/>
          <w:rFonts w:hint="cs"/>
          <w:vanish/>
        </w:rPr>
        <w:instrText>Ref143858291 \r \h</w:instrText>
      </w:r>
      <w:r w:rsidRPr="00255628">
        <w:rPr>
          <w:rStyle w:val="aff4"/>
          <w:vanish/>
          <w:rtl/>
        </w:rPr>
        <w:instrText xml:space="preserve"> </w:instrText>
      </w:r>
      <w:r w:rsidRPr="00255628">
        <w:rPr>
          <w:rStyle w:val="aff4"/>
          <w:vanish/>
          <w:rtl/>
        </w:rPr>
      </w:r>
      <w:r w:rsidRPr="00255628">
        <w:rPr>
          <w:rStyle w:val="aff4"/>
          <w:vanish/>
          <w:rtl/>
        </w:rPr>
        <w:fldChar w:fldCharType="separate"/>
      </w:r>
      <w:r w:rsidR="00D82181">
        <w:rPr>
          <w:rStyle w:val="aff4"/>
          <w:vanish/>
          <w:cs/>
        </w:rPr>
        <w:t>‎</w:t>
      </w:r>
      <w:r w:rsidR="00D82181">
        <w:rPr>
          <w:rStyle w:val="aff4"/>
          <w:vanish/>
          <w:rtl/>
        </w:rPr>
        <w:t>ל)</w:t>
      </w:r>
      <w:r w:rsidRPr="00255628">
        <w:rPr>
          <w:rStyle w:val="aff4"/>
          <w:vanish/>
          <w:rtl/>
        </w:rPr>
        <w:fldChar w:fldCharType="end"/>
      </w:r>
      <w:r w:rsidRPr="00255628">
        <w:rPr>
          <w:rStyle w:val="aff4"/>
          <w:rFonts w:hint="cs"/>
          <w:vanish/>
          <w:rtl/>
        </w:rPr>
        <w:t xml:space="preserve"> &gt;</w:t>
      </w:r>
      <w:r w:rsidRPr="00255628">
        <w:rPr>
          <w:rStyle w:val="aff4"/>
          <w:rFonts w:hint="cs"/>
          <w:rtl/>
        </w:rPr>
        <w:t>פי' הרמב"ם לשבת</w:t>
      </w:r>
      <w:r w:rsidRPr="00255628">
        <w:rPr>
          <w:rStyle w:val="aff4"/>
          <w:rFonts w:hint="cs"/>
          <w:vanish/>
          <w:rtl/>
        </w:rPr>
        <w:t>-</w:t>
      </w:r>
      <w:r>
        <w:rPr>
          <w:rFonts w:hint="cs"/>
          <w:rtl/>
        </w:rPr>
        <w:t xml:space="preserve"> </w:t>
      </w:r>
      <w:r w:rsidRPr="00C8052D">
        <w:rPr>
          <w:rStyle w:val="af2"/>
          <w:rFonts w:eastAsia="Guttman Hodes" w:hint="cs"/>
          <w:rtl/>
        </w:rPr>
        <w:t>(</w:t>
      </w:r>
      <w:r>
        <w:rPr>
          <w:rStyle w:val="af2"/>
          <w:rFonts w:eastAsia="Guttman Hodes" w:hint="cs"/>
          <w:rtl/>
        </w:rPr>
        <w:t xml:space="preserve">חי' הר"י מגאש שבת ע"ה: ד"ה והמסתת, </w:t>
      </w:r>
      <w:r w:rsidRPr="00C8052D">
        <w:rPr>
          <w:rStyle w:val="af2"/>
          <w:rFonts w:eastAsia="Guttman Hodes" w:hint="cs"/>
          <w:rtl/>
        </w:rPr>
        <w:t>נד' בליקוטי מסכתות בסוף הר"י מגאש כתובות</w:t>
      </w:r>
      <w:r>
        <w:rPr>
          <w:rStyle w:val="af2"/>
          <w:rFonts w:eastAsia="Guttman Hodes" w:hint="cs"/>
          <w:rtl/>
        </w:rPr>
        <w:t>, וברבינו פרחיה בסוגיין</w:t>
      </w:r>
      <w:r w:rsidRPr="00C8052D">
        <w:rPr>
          <w:rStyle w:val="af2"/>
          <w:rFonts w:eastAsia="Guttman Hodes" w:hint="cs"/>
          <w:rtl/>
        </w:rPr>
        <w:t>)</w:t>
      </w:r>
      <w:r w:rsidRPr="00255628">
        <w:rPr>
          <w:rFonts w:hint="cs"/>
          <w:vanish/>
          <w:rtl/>
        </w:rPr>
        <w:t>=</w:t>
      </w:r>
      <w:r>
        <w:rPr>
          <w:rFonts w:hint="cs"/>
          <w:rtl/>
        </w:rPr>
        <w:t xml:space="preserve"> דאמאי אינו חייב משום מחתך, והביא בשם </w:t>
      </w:r>
      <w:r w:rsidRPr="00255628">
        <w:rPr>
          <w:rStyle w:val="aff4"/>
          <w:rFonts w:hint="cs"/>
          <w:vanish/>
          <w:rtl/>
        </w:rPr>
        <w:t>-</w:t>
      </w:r>
      <w:r w:rsidRPr="00255628">
        <w:rPr>
          <w:rStyle w:val="aff4"/>
          <w:rFonts w:hint="cs"/>
          <w:rtl/>
        </w:rPr>
        <w:t>ה</w:t>
      </w:r>
      <w:r w:rsidRPr="00255628">
        <w:rPr>
          <w:rStyle w:val="aff4"/>
          <w:rFonts w:hint="cs"/>
          <w:vanish/>
          <w:rtl/>
        </w:rPr>
        <w:t>&lt; &gt;</w:t>
      </w:r>
      <w:r w:rsidRPr="00255628">
        <w:rPr>
          <w:rStyle w:val="aff4"/>
          <w:rFonts w:hint="cs"/>
          <w:rtl/>
        </w:rPr>
        <w:t>ר"י מגאש</w:t>
      </w:r>
      <w:r w:rsidRPr="00255628">
        <w:rPr>
          <w:rStyle w:val="aff4"/>
          <w:rFonts w:hint="cs"/>
          <w:vanish/>
          <w:rtl/>
        </w:rPr>
        <w:t>-</w:t>
      </w:r>
      <w:r w:rsidRPr="00255628">
        <w:rPr>
          <w:rFonts w:hint="cs"/>
          <w:vanish/>
          <w:rtl/>
        </w:rPr>
        <w:t>=</w:t>
      </w:r>
      <w:r>
        <w:rPr>
          <w:rFonts w:hint="cs"/>
          <w:rtl/>
        </w:rPr>
        <w:t xml:space="preserve"> דתירץ דחיוב מחתך הוא רק כשאינו עושה מלאכה בגוף הדבר שהוא צריך אותו, כגון כשחותך עור דא"צ את העור עצמו, וצריך רק חתיכה ממנו, ובחיתוך הוא מפריד את החתיכה משאר העור, ובחתיכה שהוא צריך אותה אינו עושה כל מלאכה, אבל במסתת הוא עושה מלאכה בגוף האבן וחופר בה ומשווה את פניה שתהיה ראויה להעמיד ע"ג אבנים אחרות בבנין, ולכן חייב רק משום מכה בפטיש, אך כתב </w:t>
      </w:r>
      <w:r w:rsidRPr="00255628">
        <w:rPr>
          <w:rStyle w:val="aff4"/>
          <w:rFonts w:hint="cs"/>
          <w:vanish/>
          <w:rtl/>
        </w:rPr>
        <w:t>-</w:t>
      </w:r>
      <w:r w:rsidRPr="00255628">
        <w:rPr>
          <w:rStyle w:val="aff4"/>
          <w:rFonts w:hint="cs"/>
          <w:rtl/>
        </w:rPr>
        <w:t>הר"י מגאש</w:t>
      </w:r>
      <w:r w:rsidRPr="00255628">
        <w:rPr>
          <w:rStyle w:val="aff4"/>
          <w:rFonts w:hint="cs"/>
          <w:vanish/>
          <w:rtl/>
        </w:rPr>
        <w:t>-</w:t>
      </w:r>
      <w:r>
        <w:rPr>
          <w:rFonts w:hint="cs"/>
          <w:rtl/>
        </w:rPr>
        <w:t xml:space="preserve"> דאם היו לאבן קרנות שיוצאות ממנה וסיתת אותם חייב משום מחתך דדמי למחתך עור, והוסיף </w:t>
      </w:r>
      <w:r w:rsidRPr="00255628">
        <w:rPr>
          <w:rStyle w:val="aff4"/>
          <w:rFonts w:hint="cs"/>
          <w:vanish/>
          <w:rtl/>
        </w:rPr>
        <w:t>-</w:t>
      </w:r>
      <w:r w:rsidRPr="00255628">
        <w:rPr>
          <w:rStyle w:val="aff4"/>
          <w:rFonts w:hint="cs"/>
          <w:rtl/>
        </w:rPr>
        <w:t>הר"י מגאש</w:t>
      </w:r>
      <w:r w:rsidRPr="00255628">
        <w:rPr>
          <w:rStyle w:val="aff4"/>
          <w:rFonts w:hint="cs"/>
          <w:vanish/>
          <w:rtl/>
        </w:rPr>
        <w:t>-</w:t>
      </w:r>
      <w:r>
        <w:rPr>
          <w:rFonts w:hint="cs"/>
          <w:rtl/>
        </w:rPr>
        <w:t xml:space="preserve"> דה"ה במגרד ראשי כלונסאות של ארז.</w:t>
      </w:r>
      <w:bookmarkEnd w:id="5161"/>
    </w:p>
    <w:p w14:paraId="6EC8C78C" w14:textId="77777777" w:rsidR="00A14FDA" w:rsidRPr="00BC7DC8" w:rsidRDefault="00A14FDA" w:rsidP="00A14FDA">
      <w:pPr>
        <w:pStyle w:val="afffffe"/>
        <w:rPr>
          <w:vanish/>
          <w:rtl/>
        </w:rPr>
      </w:pPr>
      <w:r w:rsidRPr="00BC7DC8">
        <w:rPr>
          <w:vanish/>
          <w:rtl/>
        </w:rPr>
        <w:t>הר"</w:t>
      </w:r>
      <w:r w:rsidRPr="00BC7DC8">
        <w:rPr>
          <w:rFonts w:hint="cs"/>
          <w:vanish/>
          <w:rtl/>
        </w:rPr>
        <w:t>י</w:t>
      </w:r>
      <w:r w:rsidRPr="00BC7DC8">
        <w:rPr>
          <w:vanish/>
          <w:rtl/>
        </w:rPr>
        <w:t xml:space="preserve"> מ</w:t>
      </w:r>
      <w:r w:rsidRPr="00BC7DC8">
        <w:rPr>
          <w:rFonts w:hint="cs"/>
          <w:vanish/>
          <w:rtl/>
        </w:rPr>
        <w:t>י</w:t>
      </w:r>
      <w:r w:rsidRPr="00BC7DC8">
        <w:rPr>
          <w:vanish/>
          <w:rtl/>
        </w:rPr>
        <w:t xml:space="preserve">גש </w:t>
      </w:r>
      <w:r w:rsidRPr="00BC7DC8">
        <w:rPr>
          <w:rFonts w:hint="cs"/>
          <w:vanish/>
          <w:rtl/>
        </w:rPr>
        <w:t xml:space="preserve">ליקוטי </w:t>
      </w:r>
      <w:r w:rsidRPr="00BC7DC8">
        <w:rPr>
          <w:vanish/>
          <w:rtl/>
        </w:rPr>
        <w:t>מסכתות שבת ע</w:t>
      </w:r>
      <w:r w:rsidRPr="00BC7DC8">
        <w:rPr>
          <w:rFonts w:hint="cs"/>
          <w:vanish/>
          <w:rtl/>
        </w:rPr>
        <w:t>"</w:t>
      </w:r>
      <w:r w:rsidRPr="00BC7DC8">
        <w:rPr>
          <w:vanish/>
          <w:rtl/>
        </w:rPr>
        <w:t xml:space="preserve">ה </w:t>
      </w:r>
      <w:r w:rsidRPr="00BC7DC8">
        <w:rPr>
          <w:rFonts w:hint="cs"/>
          <w:vanish/>
          <w:rtl/>
        </w:rPr>
        <w:t>ע"</w:t>
      </w:r>
      <w:r w:rsidRPr="00BC7DC8">
        <w:rPr>
          <w:vanish/>
          <w:rtl/>
        </w:rPr>
        <w:t xml:space="preserve">ב </w:t>
      </w:r>
      <w:r w:rsidRPr="00BC7DC8">
        <w:rPr>
          <w:rFonts w:hint="cs"/>
          <w:vanish/>
          <w:rtl/>
        </w:rPr>
        <w:t>ד"ה והמסתת</w:t>
      </w:r>
    </w:p>
    <w:p w14:paraId="279C320F" w14:textId="77777777" w:rsidR="00A14FDA" w:rsidRPr="00D87F8B" w:rsidRDefault="00A14FDA" w:rsidP="00A14FDA">
      <w:pPr>
        <w:pStyle w:val="a2"/>
        <w:rPr>
          <w:rtl/>
        </w:rPr>
      </w:pPr>
      <w:r w:rsidRPr="00D87F8B">
        <w:rPr>
          <w:rtl/>
        </w:rPr>
        <w:t xml:space="preserve">והמסתת את האבן בשבת חייב משום מכה בפטיש אומר ר"מ בפירושו דיש להקשות אמאי המסתת את האבן אינו חייב משום מחתך ואמר ז"ל שדיקדק הרב רבינו יהוסף ז"ל רבו ואמר הכא הוא טעמא דלא מחייב משום מחתך אלא היכא דלא קא עביר מלאכה בגוף אותו דבר שצריך לו כגון מחתך בעור דלא קא עביד מלאכה בגוף העור שצריך לו אלא קוצץ ממנו חתיכות והרחיקן מעל העור דצריך לו אבל בגוף העור שהוא צריך לא קא עביד מעשה לאפוקי מסתת באבן שהוא עושה מלאכה בגוף האבן וחופר בה ומשווה פניה כדי שתהיה נכונה לשאת עליה אבנים אחרות בבנין שאינו חייב משום מחתך אלא משום מכה בפטיש ונפקא מינה שאם היתה האבן נכונה ופניה שוות ויש לה קרנות ויוצאת לכאן ולכאן וסיתת האבן בשבת שיהא חייב משום מחתך </w:t>
      </w:r>
      <w:r w:rsidRPr="00D87F8B">
        <w:rPr>
          <w:rFonts w:hint="cs"/>
          <w:rtl/>
        </w:rPr>
        <w:t>ד</w:t>
      </w:r>
      <w:r w:rsidRPr="00D87F8B">
        <w:rPr>
          <w:rtl/>
        </w:rPr>
        <w:t>דמי למחתך העור ועל דרך זו גם מפרש המגרד ראשי כלונסאות של ארז כשחתך ראשיהן והרחיקן ולא עשה מלאכה בכלונסאות גופן זה הוא נוסח דבריו ז"ל</w:t>
      </w:r>
      <w:r w:rsidRPr="00D87F8B">
        <w:rPr>
          <w:rFonts w:hint="cs"/>
          <w:rtl/>
        </w:rPr>
        <w:t>.</w:t>
      </w:r>
    </w:p>
    <w:p w14:paraId="2E392804" w14:textId="77777777" w:rsidR="00A14FDA" w:rsidRPr="00756ED6" w:rsidRDefault="00A14FDA" w:rsidP="00A14FDA">
      <w:pPr>
        <w:pStyle w:val="1"/>
        <w:rPr>
          <w:rtl/>
        </w:rPr>
      </w:pPr>
      <w:bookmarkStart w:id="5162" w:name="_Toc144225264"/>
      <w:r>
        <w:rPr>
          <w:rFonts w:hint="cs"/>
          <w:rtl/>
        </w:rPr>
        <w:t>בי' הרמב"ם בדיני מכב"פ ואי ס"ל דחייב גם במלאכה אחרת</w:t>
      </w:r>
      <w:bookmarkEnd w:id="5162"/>
    </w:p>
    <w:p w14:paraId="61C0EEA1" w14:textId="77777777" w:rsidR="00A14FDA" w:rsidRDefault="00A14FDA" w:rsidP="00A14FDA">
      <w:pPr>
        <w:pStyle w:val="afffff7"/>
        <w:rPr>
          <w:rtl/>
        </w:rPr>
      </w:pPr>
      <w:bookmarkStart w:id="5163" w:name="_Toc144224662"/>
      <w:bookmarkStart w:id="5164" w:name="_Toc163506210"/>
      <w:r>
        <w:rPr>
          <w:rtl/>
        </w:rPr>
        <w:t>רמב"ם שבת פ"י הט"ז</w:t>
      </w:r>
      <w:bookmarkEnd w:id="5163"/>
      <w:bookmarkEnd w:id="5164"/>
      <w:r w:rsidRPr="00421A47">
        <w:rPr>
          <w:vanish/>
          <w:rtl/>
        </w:rPr>
        <w:t xml:space="preserve"> (ב)</w:t>
      </w:r>
    </w:p>
    <w:p w14:paraId="418F73C6" w14:textId="77777777" w:rsidR="00A14FDA" w:rsidRDefault="00A14FDA" w:rsidP="00A14FDA">
      <w:pPr>
        <w:pStyle w:val="a7"/>
        <w:rPr>
          <w:rtl/>
        </w:rPr>
      </w:pPr>
      <w:bookmarkStart w:id="5165" w:name="_Toc144225265"/>
      <w:r>
        <w:rPr>
          <w:rFonts w:hint="cs"/>
          <w:rtl/>
        </w:rPr>
        <w:t>בי' הרמב"ם דמכב"פ בהכאה אחת חייב וכל גמר מלאכה הוא תולדה דמכב"פ ומקצת צורה חייב</w:t>
      </w:r>
      <w:bookmarkEnd w:id="5165"/>
    </w:p>
    <w:p w14:paraId="3759523D" w14:textId="5F4C1EC8" w:rsidR="00A14FDA" w:rsidRPr="00F8298A" w:rsidRDefault="00A14FDA" w:rsidP="00BC7DC8">
      <w:pPr>
        <w:pStyle w:val="a3"/>
        <w:rPr>
          <w:rtl/>
        </w:rPr>
      </w:pPr>
      <w:bookmarkStart w:id="5166" w:name="_Ref143854981"/>
      <w:r>
        <w:rPr>
          <w:rFonts w:hint="cs"/>
          <w:rtl/>
        </w:rPr>
        <w:t xml:space="preserve">כתב </w:t>
      </w:r>
      <w:r w:rsidRPr="00255628">
        <w:rPr>
          <w:rStyle w:val="aff4"/>
          <w:rFonts w:hint="cs"/>
          <w:vanish/>
          <w:rtl/>
        </w:rPr>
        <w:t>-</w:t>
      </w:r>
      <w:r w:rsidRPr="00255628">
        <w:rPr>
          <w:rStyle w:val="aff4"/>
          <w:rFonts w:hint="cs"/>
          <w:rtl/>
        </w:rPr>
        <w:t>ה</w:t>
      </w:r>
      <w:r w:rsidRPr="00255628">
        <w:rPr>
          <w:rStyle w:val="aff4"/>
          <w:rFonts w:hint="cs"/>
          <w:vanish/>
          <w:rtl/>
        </w:rPr>
        <w:t xml:space="preserve">&lt;, </w:t>
      </w:r>
      <w:r w:rsidRPr="00255628">
        <w:rPr>
          <w:rStyle w:val="aff4"/>
          <w:vanish/>
          <w:rtl/>
        </w:rPr>
        <w:fldChar w:fldCharType="begin"/>
      </w:r>
      <w:r w:rsidRPr="00255628">
        <w:rPr>
          <w:rStyle w:val="aff4"/>
          <w:vanish/>
          <w:rtl/>
        </w:rPr>
        <w:instrText xml:space="preserve"> </w:instrText>
      </w:r>
      <w:r w:rsidRPr="00255628">
        <w:rPr>
          <w:rStyle w:val="aff4"/>
          <w:rFonts w:hint="cs"/>
          <w:vanish/>
        </w:rPr>
        <w:instrText>REF</w:instrText>
      </w:r>
      <w:r w:rsidRPr="00255628">
        <w:rPr>
          <w:rStyle w:val="aff4"/>
          <w:rFonts w:hint="cs"/>
          <w:vanish/>
          <w:rtl/>
        </w:rPr>
        <w:instrText xml:space="preserve"> _</w:instrText>
      </w:r>
      <w:r w:rsidRPr="00255628">
        <w:rPr>
          <w:rStyle w:val="aff4"/>
          <w:rFonts w:hint="cs"/>
          <w:vanish/>
        </w:rPr>
        <w:instrText>Ref143854981 \r \h</w:instrText>
      </w:r>
      <w:r w:rsidRPr="00255628">
        <w:rPr>
          <w:rStyle w:val="aff4"/>
          <w:vanish/>
          <w:rtl/>
        </w:rPr>
        <w:instrText xml:space="preserve"> </w:instrText>
      </w:r>
      <w:r w:rsidRPr="00255628">
        <w:rPr>
          <w:rStyle w:val="aff4"/>
          <w:vanish/>
          <w:rtl/>
        </w:rPr>
      </w:r>
      <w:r w:rsidRPr="00255628">
        <w:rPr>
          <w:rStyle w:val="aff4"/>
          <w:vanish/>
          <w:rtl/>
        </w:rPr>
        <w:fldChar w:fldCharType="separate"/>
      </w:r>
      <w:r w:rsidR="00D82181">
        <w:rPr>
          <w:rStyle w:val="aff4"/>
          <w:vanish/>
          <w:cs/>
        </w:rPr>
        <w:t>‎</w:t>
      </w:r>
      <w:r w:rsidR="00D82181">
        <w:rPr>
          <w:rStyle w:val="aff4"/>
          <w:vanish/>
          <w:rtl/>
        </w:rPr>
        <w:t>לא)</w:t>
      </w:r>
      <w:r w:rsidRPr="00255628">
        <w:rPr>
          <w:rStyle w:val="aff4"/>
          <w:vanish/>
          <w:rtl/>
        </w:rPr>
        <w:fldChar w:fldCharType="end"/>
      </w:r>
      <w:r w:rsidRPr="00255628">
        <w:rPr>
          <w:rStyle w:val="aff4"/>
          <w:rFonts w:hint="cs"/>
          <w:vanish/>
          <w:rtl/>
        </w:rPr>
        <w:t xml:space="preserve"> &gt;</w:t>
      </w:r>
      <w:r w:rsidRPr="00255628">
        <w:rPr>
          <w:rStyle w:val="aff4"/>
          <w:rFonts w:hint="cs"/>
          <w:rtl/>
        </w:rPr>
        <w:t>רמב"ם</w:t>
      </w:r>
      <w:r w:rsidRPr="00255628">
        <w:rPr>
          <w:rStyle w:val="aff4"/>
          <w:rFonts w:hint="cs"/>
          <w:vanish/>
          <w:rtl/>
        </w:rPr>
        <w:t>-</w:t>
      </w:r>
      <w:r>
        <w:rPr>
          <w:rFonts w:hint="cs"/>
          <w:rtl/>
        </w:rPr>
        <w:t xml:space="preserve"> </w:t>
      </w:r>
      <w:r w:rsidRPr="00C8052D">
        <w:rPr>
          <w:rStyle w:val="af2"/>
          <w:rFonts w:eastAsia="Guttman Hodes" w:hint="cs"/>
          <w:rtl/>
        </w:rPr>
        <w:t>(שבת פ"י הט"ז)</w:t>
      </w:r>
      <w:r w:rsidRPr="00255628">
        <w:rPr>
          <w:rFonts w:hint="cs"/>
          <w:vanish/>
          <w:rtl/>
        </w:rPr>
        <w:t>=</w:t>
      </w:r>
      <w:r>
        <w:rPr>
          <w:rFonts w:hint="cs"/>
          <w:rtl/>
        </w:rPr>
        <w:t xml:space="preserve"> דמכה בפטיש הכאה אחת חייב, וכל גמר מלאכה הוא תולדה דמכה בפטיש, כמנפח בכלי זכוכית והצר בכלי צורה, אף כשצר מקצת מהצורה והמגרד כל שהוא והעושה נקב כל שהוא, בין כשעשה נקב בעץ או בבנין או במתכת או בכלים, הוא תולדה דמכה בפטיש וחייב, אך כתב </w:t>
      </w:r>
      <w:r w:rsidRPr="00255628">
        <w:rPr>
          <w:rStyle w:val="aff4"/>
          <w:rFonts w:hint="cs"/>
          <w:vanish/>
          <w:rtl/>
        </w:rPr>
        <w:t>-</w:t>
      </w:r>
      <w:r w:rsidRPr="00255628">
        <w:rPr>
          <w:rStyle w:val="aff4"/>
          <w:rFonts w:hint="cs"/>
          <w:rtl/>
        </w:rPr>
        <w:t>הרמב"ם</w:t>
      </w:r>
      <w:r w:rsidRPr="00255628">
        <w:rPr>
          <w:rStyle w:val="aff4"/>
          <w:rFonts w:hint="cs"/>
          <w:vanish/>
          <w:rtl/>
        </w:rPr>
        <w:t>-</w:t>
      </w:r>
      <w:r>
        <w:rPr>
          <w:rFonts w:hint="cs"/>
          <w:rtl/>
        </w:rPr>
        <w:t xml:space="preserve"> דפתח שאינו עשוי להכניס ולהוציא אין חיוב על עשייתו,</w:t>
      </w:r>
      <w:r w:rsidRPr="009B0CAB">
        <w:rPr>
          <w:rFonts w:hint="cs"/>
          <w:rtl/>
        </w:rPr>
        <w:t xml:space="preserve"> </w:t>
      </w:r>
      <w:r>
        <w:rPr>
          <w:rFonts w:hint="cs"/>
          <w:rtl/>
        </w:rPr>
        <w:t xml:space="preserve">ועי' במ"ש </w:t>
      </w:r>
      <w:r w:rsidRPr="00275DA3">
        <w:rPr>
          <w:rStyle w:val="aff4"/>
          <w:rFonts w:hint="cs"/>
          <w:rtl/>
        </w:rPr>
        <w:t>ה</w:t>
      </w:r>
      <w:r w:rsidRPr="004A7E3D">
        <w:rPr>
          <w:rStyle w:val="aff4"/>
          <w:rFonts w:hint="cs"/>
          <w:vanish/>
          <w:rtl/>
        </w:rPr>
        <w:t>&lt; &gt;</w:t>
      </w:r>
      <w:r w:rsidRPr="00275DA3">
        <w:rPr>
          <w:rStyle w:val="aff4"/>
          <w:rFonts w:hint="cs"/>
          <w:rtl/>
        </w:rPr>
        <w:t>אגרות משה</w:t>
      </w:r>
      <w:r>
        <w:rPr>
          <w:rFonts w:hint="cs"/>
          <w:rtl/>
        </w:rPr>
        <w:t xml:space="preserve"> </w:t>
      </w:r>
      <w:r w:rsidRPr="00275DA3">
        <w:rPr>
          <w:rStyle w:val="af2"/>
          <w:rFonts w:eastAsia="Guttman Hodes" w:hint="cs"/>
          <w:rtl/>
        </w:rPr>
        <w:t xml:space="preserve">(עי' אות </w:t>
      </w:r>
      <w:r w:rsidRPr="00275DA3">
        <w:rPr>
          <w:rStyle w:val="af2"/>
          <w:rFonts w:eastAsia="Guttman Hodes"/>
          <w:rtl/>
        </w:rPr>
        <w:fldChar w:fldCharType="begin"/>
      </w:r>
      <w:r w:rsidRPr="00275DA3">
        <w:rPr>
          <w:rStyle w:val="af2"/>
          <w:rFonts w:eastAsia="Guttman Hodes"/>
          <w:rtl/>
        </w:rPr>
        <w:instrText xml:space="preserve"> </w:instrText>
      </w:r>
      <w:r w:rsidRPr="00275DA3">
        <w:rPr>
          <w:rStyle w:val="af2"/>
          <w:rFonts w:eastAsia="Guttman Hodes" w:hint="cs"/>
        </w:rPr>
        <w:instrText>REF</w:instrText>
      </w:r>
      <w:r w:rsidRPr="00275DA3">
        <w:rPr>
          <w:rStyle w:val="af2"/>
          <w:rFonts w:eastAsia="Guttman Hodes" w:hint="cs"/>
          <w:rtl/>
        </w:rPr>
        <w:instrText xml:space="preserve"> _</w:instrText>
      </w:r>
      <w:r w:rsidRPr="00275DA3">
        <w:rPr>
          <w:rStyle w:val="af2"/>
          <w:rFonts w:eastAsia="Guttman Hodes" w:hint="cs"/>
        </w:rPr>
        <w:instrText>Ref144117228 \r \h</w:instrText>
      </w:r>
      <w:r w:rsidRPr="00275DA3">
        <w:rPr>
          <w:rStyle w:val="af2"/>
          <w:rFonts w:eastAsia="Guttman Hodes"/>
          <w:rtl/>
        </w:rPr>
        <w:instrText xml:space="preserve"> </w:instrText>
      </w:r>
      <w:r w:rsidRPr="00275DA3">
        <w:rPr>
          <w:rStyle w:val="af2"/>
          <w:rFonts w:eastAsia="Guttman Hodes"/>
          <w:rtl/>
        </w:rPr>
      </w:r>
      <w:r w:rsidRPr="00275DA3">
        <w:rPr>
          <w:rStyle w:val="af2"/>
          <w:rFonts w:eastAsia="Guttman Hodes"/>
          <w:rtl/>
        </w:rPr>
        <w:fldChar w:fldCharType="separate"/>
      </w:r>
      <w:r w:rsidR="00D82181">
        <w:rPr>
          <w:rStyle w:val="af2"/>
          <w:rFonts w:eastAsia="Guttman Hodes"/>
          <w:cs/>
        </w:rPr>
        <w:t>‎</w:t>
      </w:r>
      <w:r w:rsidR="00D82181">
        <w:rPr>
          <w:rStyle w:val="af2"/>
          <w:rFonts w:eastAsia="Guttman Hodes"/>
          <w:rtl/>
        </w:rPr>
        <w:t>כב)</w:t>
      </w:r>
      <w:r w:rsidRPr="00275DA3">
        <w:rPr>
          <w:rStyle w:val="af2"/>
          <w:rFonts w:eastAsia="Guttman Hodes"/>
          <w:rtl/>
        </w:rPr>
        <w:fldChar w:fldCharType="end"/>
      </w:r>
      <w:r w:rsidRPr="004A7E3D">
        <w:rPr>
          <w:rFonts w:hint="cs"/>
          <w:vanish/>
          <w:rtl/>
        </w:rPr>
        <w:t>=</w:t>
      </w:r>
      <w:r w:rsidRPr="00311A8A">
        <w:rPr>
          <w:rtl/>
        </w:rPr>
        <w:t xml:space="preserve"> </w:t>
      </w:r>
      <w:r w:rsidRPr="00255628">
        <w:rPr>
          <w:rStyle w:val="aff4"/>
          <w:vanish/>
          <w:rtl/>
        </w:rPr>
        <w:t>-</w:t>
      </w:r>
      <w:r>
        <w:rPr>
          <w:rStyle w:val="aff4"/>
          <w:rFonts w:hint="cs"/>
          <w:rtl/>
        </w:rPr>
        <w:t>ו</w:t>
      </w:r>
      <w:r w:rsidRPr="00255628">
        <w:rPr>
          <w:rStyle w:val="aff4"/>
          <w:rtl/>
        </w:rPr>
        <w:t>ה</w:t>
      </w:r>
      <w:r w:rsidRPr="004A7E3D">
        <w:rPr>
          <w:rStyle w:val="aff4"/>
          <w:rFonts w:hint="cs"/>
          <w:vanish/>
          <w:rtl/>
        </w:rPr>
        <w:t>&lt; &gt;</w:t>
      </w:r>
      <w:r w:rsidRPr="00255628">
        <w:rPr>
          <w:rStyle w:val="aff4"/>
          <w:rtl/>
        </w:rPr>
        <w:t>אבן האזל</w:t>
      </w:r>
      <w:r w:rsidRPr="00255628">
        <w:rPr>
          <w:rStyle w:val="aff4"/>
          <w:vanish/>
          <w:rtl/>
        </w:rPr>
        <w:t>-</w:t>
      </w:r>
      <w:r w:rsidRPr="008074B8">
        <w:rPr>
          <w:rtl/>
        </w:rPr>
        <w:t xml:space="preserve"> </w:t>
      </w:r>
      <w:r>
        <w:rPr>
          <w:rStyle w:val="af2"/>
          <w:rFonts w:eastAsia="Guttman Hodes" w:hint="cs"/>
          <w:rtl/>
        </w:rPr>
        <w:t xml:space="preserve">(עי' </w:t>
      </w:r>
      <w:r w:rsidRPr="00BB63DD">
        <w:rPr>
          <w:rStyle w:val="af2"/>
          <w:rFonts w:eastAsia="Guttman Hodes" w:hint="cs"/>
          <w:rtl/>
        </w:rPr>
        <w:t xml:space="preserve">אות </w:t>
      </w:r>
      <w:r w:rsidRPr="00BB63DD">
        <w:rPr>
          <w:rStyle w:val="af2"/>
          <w:rFonts w:eastAsia="Guttman Hodes"/>
          <w:rtl/>
        </w:rPr>
        <w:fldChar w:fldCharType="begin"/>
      </w:r>
      <w:r w:rsidRPr="00BB63DD">
        <w:rPr>
          <w:rStyle w:val="af2"/>
          <w:rFonts w:eastAsia="Guttman Hodes"/>
          <w:rtl/>
        </w:rPr>
        <w:instrText xml:space="preserve"> </w:instrText>
      </w:r>
      <w:r w:rsidRPr="00BB63DD">
        <w:rPr>
          <w:rStyle w:val="af2"/>
          <w:rFonts w:eastAsia="Guttman Hodes" w:hint="cs"/>
        </w:rPr>
        <w:instrText>REF</w:instrText>
      </w:r>
      <w:r w:rsidRPr="00BB63DD">
        <w:rPr>
          <w:rStyle w:val="af2"/>
          <w:rFonts w:eastAsia="Guttman Hodes" w:hint="cs"/>
          <w:rtl/>
        </w:rPr>
        <w:instrText xml:space="preserve"> _</w:instrText>
      </w:r>
      <w:r w:rsidRPr="00BB63DD">
        <w:rPr>
          <w:rStyle w:val="af2"/>
          <w:rFonts w:eastAsia="Guttman Hodes" w:hint="cs"/>
        </w:rPr>
        <w:instrText>Ref143507531 \r \h</w:instrText>
      </w:r>
      <w:r w:rsidRPr="00BB63DD">
        <w:rPr>
          <w:rStyle w:val="af2"/>
          <w:rFonts w:eastAsia="Guttman Hodes"/>
          <w:rtl/>
        </w:rPr>
        <w:instrText xml:space="preserve"> </w:instrText>
      </w:r>
      <w:r w:rsidRPr="00BB63DD">
        <w:rPr>
          <w:rStyle w:val="af2"/>
          <w:rFonts w:eastAsia="Guttman Hodes"/>
          <w:rtl/>
        </w:rPr>
      </w:r>
      <w:r w:rsidRPr="00BB63DD">
        <w:rPr>
          <w:rStyle w:val="af2"/>
          <w:rFonts w:eastAsia="Guttman Hodes"/>
          <w:rtl/>
        </w:rPr>
        <w:fldChar w:fldCharType="separate"/>
      </w:r>
      <w:r w:rsidR="00D82181">
        <w:rPr>
          <w:rStyle w:val="af2"/>
          <w:rFonts w:eastAsia="Guttman Hodes"/>
          <w:cs/>
        </w:rPr>
        <w:t>‎</w:t>
      </w:r>
      <w:r w:rsidR="00D82181">
        <w:rPr>
          <w:rStyle w:val="af2"/>
          <w:rFonts w:eastAsia="Guttman Hodes"/>
          <w:rtl/>
        </w:rPr>
        <w:t>ס)</w:t>
      </w:r>
      <w:r w:rsidRPr="00BB63DD">
        <w:rPr>
          <w:rStyle w:val="af2"/>
          <w:rFonts w:eastAsia="Guttman Hodes"/>
          <w:rtl/>
        </w:rPr>
        <w:fldChar w:fldCharType="end"/>
      </w:r>
      <w:r w:rsidRPr="004A7E3D">
        <w:rPr>
          <w:rFonts w:hint="cs"/>
          <w:vanish/>
          <w:rtl/>
        </w:rPr>
        <w:t>=</w:t>
      </w:r>
      <w:r>
        <w:rPr>
          <w:rFonts w:hint="cs"/>
          <w:rtl/>
        </w:rPr>
        <w:t>.</w:t>
      </w:r>
      <w:bookmarkEnd w:id="5166"/>
    </w:p>
    <w:p w14:paraId="78B4C9CB" w14:textId="77777777" w:rsidR="00A14FDA" w:rsidRPr="00BC7DC8" w:rsidRDefault="00A14FDA" w:rsidP="00A14FDA">
      <w:pPr>
        <w:pStyle w:val="afffffe"/>
        <w:rPr>
          <w:vanish/>
          <w:rtl/>
        </w:rPr>
      </w:pPr>
      <w:r w:rsidRPr="00BC7DC8">
        <w:rPr>
          <w:vanish/>
          <w:rtl/>
        </w:rPr>
        <w:t>רמב"ם שבת פ"י הט"ז</w:t>
      </w:r>
    </w:p>
    <w:p w14:paraId="4AAE7691" w14:textId="77777777" w:rsidR="00A14FDA" w:rsidRPr="00D87F8B" w:rsidRDefault="00A14FDA" w:rsidP="00A14FDA">
      <w:pPr>
        <w:pStyle w:val="a2"/>
        <w:rPr>
          <w:rtl/>
        </w:rPr>
      </w:pPr>
      <w:r w:rsidRPr="00D87F8B">
        <w:rPr>
          <w:rtl/>
        </w:rPr>
        <w:t>המכה בפטיש הכאה אחת חייב, וכל העושה דבר שהוא גמר מלאכה הרי זה תולדת מכה בפטיש וחייב, כיצד המנפח בכלי זכוכית והצר בכלי צורה אפילו מקצת הצורה והמגרד כל שהוא והעושה נקב כל שהוא בין בעץ בין בבנין בין במתכת בין בכלים הרי זה תולדת מכה בפטיש וחייב, וכל פתח שאינו עשוי להכניס ולהוציא אין חייבין על עשייתו.</w:t>
      </w:r>
    </w:p>
    <w:p w14:paraId="22078267" w14:textId="77777777" w:rsidR="00A14FDA" w:rsidRDefault="00A14FDA" w:rsidP="00A14FDA">
      <w:pPr>
        <w:pStyle w:val="afffff7"/>
        <w:rPr>
          <w:rtl/>
        </w:rPr>
      </w:pPr>
      <w:bookmarkStart w:id="5167" w:name="_Toc144224663"/>
      <w:bookmarkStart w:id="5168" w:name="_Toc163506211"/>
      <w:r>
        <w:rPr>
          <w:rtl/>
        </w:rPr>
        <w:t>רמב"ם שבת פ"י הי"ז</w:t>
      </w:r>
      <w:bookmarkEnd w:id="5167"/>
      <w:bookmarkEnd w:id="5168"/>
      <w:r w:rsidRPr="00421A47">
        <w:rPr>
          <w:vanish/>
          <w:rtl/>
        </w:rPr>
        <w:t xml:space="preserve"> (ב)</w:t>
      </w:r>
    </w:p>
    <w:p w14:paraId="15226836" w14:textId="77777777" w:rsidR="00A14FDA" w:rsidRDefault="00A14FDA" w:rsidP="00A14FDA">
      <w:pPr>
        <w:pStyle w:val="afffff7"/>
        <w:rPr>
          <w:rtl/>
        </w:rPr>
      </w:pPr>
      <w:bookmarkStart w:id="5169" w:name="_Toc144224664"/>
      <w:bookmarkStart w:id="5170" w:name="_Toc163506212"/>
      <w:r>
        <w:rPr>
          <w:rtl/>
        </w:rPr>
        <w:t>רמב"ם שבת פ"י הי"ח</w:t>
      </w:r>
      <w:bookmarkEnd w:id="5169"/>
      <w:bookmarkEnd w:id="5170"/>
      <w:r w:rsidRPr="00421A47">
        <w:rPr>
          <w:vanish/>
          <w:rtl/>
        </w:rPr>
        <w:t xml:space="preserve"> (ב)</w:t>
      </w:r>
    </w:p>
    <w:p w14:paraId="64049B55" w14:textId="77777777" w:rsidR="00A14FDA" w:rsidRDefault="00A14FDA" w:rsidP="00A14FDA">
      <w:pPr>
        <w:pStyle w:val="a7"/>
        <w:rPr>
          <w:rtl/>
        </w:rPr>
      </w:pPr>
      <w:bookmarkStart w:id="5171" w:name="_Toc144225266"/>
      <w:r>
        <w:rPr>
          <w:rFonts w:hint="cs"/>
          <w:rtl/>
        </w:rPr>
        <w:t>בי' הרמב"ם דבפתח במורסא חייב דהוא מלאכת הרופא ומכב"פ אף במסתת ואקופי גלימי</w:t>
      </w:r>
      <w:bookmarkEnd w:id="5171"/>
    </w:p>
    <w:p w14:paraId="1FC8032B" w14:textId="21D94B4B" w:rsidR="00A14FDA" w:rsidRPr="00EF5415" w:rsidRDefault="00A14FDA" w:rsidP="00BC7DC8">
      <w:pPr>
        <w:pStyle w:val="a3"/>
        <w:rPr>
          <w:rtl/>
        </w:rPr>
      </w:pPr>
      <w:bookmarkStart w:id="5172" w:name="_Ref144117431"/>
      <w:r>
        <w:rPr>
          <w:rFonts w:hint="cs"/>
          <w:rtl/>
        </w:rPr>
        <w:t xml:space="preserve">ועוד כתב </w:t>
      </w:r>
      <w:r w:rsidRPr="00255628">
        <w:rPr>
          <w:rStyle w:val="aff4"/>
          <w:rFonts w:hint="cs"/>
          <w:vanish/>
          <w:rtl/>
        </w:rPr>
        <w:t>-</w:t>
      </w:r>
      <w:r w:rsidRPr="00255628">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Ref144117431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לב)</w:t>
      </w:r>
      <w:r>
        <w:rPr>
          <w:rStyle w:val="aff4"/>
          <w:vanish/>
          <w:rtl/>
        </w:rPr>
        <w:fldChar w:fldCharType="end"/>
      </w:r>
      <w:r>
        <w:rPr>
          <w:rStyle w:val="aff4"/>
          <w:rFonts w:hint="cs"/>
          <w:vanish/>
          <w:rtl/>
        </w:rPr>
        <w:t xml:space="preserve"> &gt;</w:t>
      </w:r>
      <w:r w:rsidRPr="00255628">
        <w:rPr>
          <w:rStyle w:val="aff4"/>
          <w:rFonts w:hint="cs"/>
          <w:rtl/>
        </w:rPr>
        <w:t>רמב"ם</w:t>
      </w:r>
      <w:r w:rsidRPr="00255628">
        <w:rPr>
          <w:rStyle w:val="aff4"/>
          <w:rFonts w:hint="cs"/>
          <w:vanish/>
          <w:rtl/>
        </w:rPr>
        <w:t>-</w:t>
      </w:r>
      <w:r>
        <w:rPr>
          <w:rFonts w:hint="cs"/>
          <w:rtl/>
        </w:rPr>
        <w:t xml:space="preserve"> </w:t>
      </w:r>
      <w:r w:rsidRPr="00C8052D">
        <w:rPr>
          <w:rStyle w:val="af2"/>
          <w:rFonts w:eastAsia="Guttman Hodes" w:hint="cs"/>
          <w:rtl/>
        </w:rPr>
        <w:t>(פ"י הי"ז, י"ח)</w:t>
      </w:r>
      <w:r w:rsidRPr="00255628">
        <w:rPr>
          <w:rFonts w:hint="cs"/>
          <w:vanish/>
          <w:rtl/>
        </w:rPr>
        <w:t>=</w:t>
      </w:r>
      <w:r>
        <w:rPr>
          <w:rFonts w:hint="cs"/>
          <w:rtl/>
        </w:rPr>
        <w:t xml:space="preserve"> דמפיס מורסא להרחיב את פי המכה חייב משום מכה בפטיש כיון שהיא מלאכת הרופא, אבל אם הפיס להוציא לחה פטור, ומסתת אבן בכל שהוא ובמצדד את האבן ביסוד והושיבה מקום הראוי לה, חייב משום מכה בפטיש, ואקופי גלימי כשנוטל את היבולות שבכלי צמר אם מקפיד עליהם חייב משום מכה בפטיש, ואם הסירם בהתעסקות בעלמא פטור, ומנער טלית חדשה שחורה להסיר את הציהוב כדרך שעושין האומנים חייב חטאת ובאינו מקפיד פטור, ועי' במ"ש</w:t>
      </w:r>
      <w:r w:rsidRPr="00311A8A">
        <w:rPr>
          <w:rtl/>
        </w:rPr>
        <w:t xml:space="preserve"> </w:t>
      </w:r>
      <w:r w:rsidRPr="00255628">
        <w:rPr>
          <w:rStyle w:val="aff4"/>
          <w:vanish/>
          <w:rtl/>
        </w:rPr>
        <w:t>-</w:t>
      </w:r>
      <w:r w:rsidRPr="00255628">
        <w:rPr>
          <w:rStyle w:val="aff4"/>
          <w:rtl/>
        </w:rPr>
        <w:t>ה</w:t>
      </w:r>
      <w:r w:rsidRPr="004A7E3D">
        <w:rPr>
          <w:rStyle w:val="aff4"/>
          <w:rFonts w:hint="cs"/>
          <w:vanish/>
          <w:rtl/>
        </w:rPr>
        <w:t>&lt; &gt;</w:t>
      </w:r>
      <w:r w:rsidRPr="00255628">
        <w:rPr>
          <w:rStyle w:val="aff4"/>
          <w:rtl/>
        </w:rPr>
        <w:t>אבן האזל</w:t>
      </w:r>
      <w:r w:rsidRPr="00255628">
        <w:rPr>
          <w:rStyle w:val="aff4"/>
          <w:vanish/>
          <w:rtl/>
        </w:rPr>
        <w:t>-</w:t>
      </w:r>
      <w:r w:rsidRPr="008074B8">
        <w:rPr>
          <w:rtl/>
        </w:rPr>
        <w:t xml:space="preserve"> </w:t>
      </w:r>
      <w:r>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Ref144117280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סא)</w:t>
      </w:r>
      <w:r>
        <w:rPr>
          <w:rStyle w:val="af2"/>
          <w:rFonts w:eastAsia="Guttman Hodes"/>
          <w:rtl/>
        </w:rPr>
        <w:fldChar w:fldCharType="end"/>
      </w:r>
      <w:r w:rsidRPr="004A7E3D">
        <w:rPr>
          <w:rFonts w:hint="cs"/>
          <w:vanish/>
          <w:rtl/>
        </w:rPr>
        <w:t>=</w:t>
      </w:r>
      <w:r>
        <w:rPr>
          <w:rFonts w:hint="cs"/>
          <w:rtl/>
        </w:rPr>
        <w:t xml:space="preserve"> </w:t>
      </w:r>
      <w:r>
        <w:rPr>
          <w:rFonts w:hint="cs"/>
          <w:b/>
          <w:bCs/>
          <w:rtl/>
        </w:rPr>
        <w:t>ו</w:t>
      </w:r>
      <w:r w:rsidRPr="00DB0579">
        <w:rPr>
          <w:b/>
          <w:bCs/>
          <w:rtl/>
        </w:rPr>
        <w:t>ה</w:t>
      </w:r>
      <w:r w:rsidRPr="004A7E3D">
        <w:rPr>
          <w:rFonts w:hint="cs"/>
          <w:b/>
          <w:bCs/>
          <w:vanish/>
          <w:rtl/>
        </w:rPr>
        <w:t>&lt; &gt;</w:t>
      </w:r>
      <w:r>
        <w:rPr>
          <w:rFonts w:hint="cs"/>
          <w:b/>
          <w:bCs/>
          <w:rtl/>
        </w:rPr>
        <w:t>קהלות</w:t>
      </w:r>
      <w:r w:rsidRPr="00DB0579">
        <w:rPr>
          <w:rFonts w:hint="cs"/>
          <w:b/>
          <w:bCs/>
          <w:rtl/>
        </w:rPr>
        <w:t xml:space="preserve"> יעקב</w:t>
      </w:r>
      <w:r w:rsidRPr="00DB0579">
        <w:rPr>
          <w:b/>
          <w:bCs/>
          <w:rtl/>
        </w:rPr>
        <w:t xml:space="preserve"> </w:t>
      </w:r>
      <w:r>
        <w:rPr>
          <w:rStyle w:val="af2"/>
          <w:rFonts w:eastAsia="Guttman Hodes" w:hint="cs"/>
          <w:rtl/>
        </w:rPr>
        <w:t>(</w:t>
      </w:r>
      <w:r w:rsidRPr="000E2F88">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Ref144117341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סח)</w:t>
      </w:r>
      <w:r>
        <w:rPr>
          <w:rStyle w:val="af2"/>
          <w:rFonts w:eastAsia="Guttman Hodes"/>
          <w:rtl/>
        </w:rPr>
        <w:fldChar w:fldCharType="end"/>
      </w:r>
      <w:r w:rsidRPr="004A7E3D">
        <w:rPr>
          <w:rFonts w:hint="cs"/>
          <w:vanish/>
          <w:rtl/>
        </w:rPr>
        <w:t>=</w:t>
      </w:r>
      <w:r w:rsidRPr="00C8052D">
        <w:rPr>
          <w:rStyle w:val="af2"/>
          <w:rFonts w:eastAsia="Guttman Hodes" w:hint="cs"/>
          <w:rtl/>
        </w:rPr>
        <w:t xml:space="preserve"> </w:t>
      </w:r>
      <w:r>
        <w:rPr>
          <w:rFonts w:hint="cs"/>
          <w:rtl/>
        </w:rPr>
        <w:t xml:space="preserve">בדעת </w:t>
      </w:r>
      <w:r w:rsidRPr="007637C7">
        <w:rPr>
          <w:rStyle w:val="aff4"/>
          <w:rFonts w:hint="cs"/>
          <w:vanish/>
          <w:rtl/>
        </w:rPr>
        <w:t>-</w:t>
      </w:r>
      <w:r w:rsidRPr="007637C7">
        <w:rPr>
          <w:rStyle w:val="aff4"/>
          <w:rFonts w:hint="cs"/>
          <w:rtl/>
        </w:rPr>
        <w:t>הרמב"ם</w:t>
      </w:r>
      <w:r w:rsidRPr="007637C7">
        <w:rPr>
          <w:rStyle w:val="aff4"/>
          <w:rFonts w:hint="cs"/>
          <w:vanish/>
          <w:rtl/>
        </w:rPr>
        <w:t>-</w:t>
      </w:r>
      <w:r>
        <w:rPr>
          <w:rFonts w:hint="cs"/>
          <w:rtl/>
        </w:rPr>
        <w:t>.</w:t>
      </w:r>
      <w:bookmarkEnd w:id="5172"/>
    </w:p>
    <w:p w14:paraId="572E42B0" w14:textId="77777777" w:rsidR="00A14FDA" w:rsidRPr="00BC7DC8" w:rsidRDefault="00A14FDA" w:rsidP="00A14FDA">
      <w:pPr>
        <w:pStyle w:val="afffffe"/>
        <w:rPr>
          <w:vanish/>
          <w:rtl/>
        </w:rPr>
      </w:pPr>
      <w:r w:rsidRPr="00BC7DC8">
        <w:rPr>
          <w:vanish/>
          <w:rtl/>
        </w:rPr>
        <w:t>רמב"ם שבת פ"י הי"ז</w:t>
      </w:r>
    </w:p>
    <w:p w14:paraId="24C15160" w14:textId="77777777" w:rsidR="00A14FDA" w:rsidRPr="00D87F8B" w:rsidRDefault="00A14FDA" w:rsidP="00A14FDA">
      <w:pPr>
        <w:pStyle w:val="a2"/>
        <w:rPr>
          <w:rtl/>
        </w:rPr>
      </w:pPr>
      <w:r w:rsidRPr="00D87F8B">
        <w:rPr>
          <w:rtl/>
        </w:rPr>
        <w:t>המפיס שחין בשבת כדי להרחיב פי המכה כדרך שהרופאין עושין שהן מתכוונין ברפואה להרחיב פי המכה הרי זה חייב משום מכה בפטיש שזו היא מלאכת הרופא, ואם הפיסה להוציא ממנה הליחה שבה הרי זה מותר</w:t>
      </w:r>
      <w:r w:rsidRPr="00D87F8B">
        <w:rPr>
          <w:rFonts w:hint="cs"/>
          <w:rtl/>
        </w:rPr>
        <w:t>.</w:t>
      </w:r>
    </w:p>
    <w:p w14:paraId="275B97E2" w14:textId="77777777" w:rsidR="00A14FDA" w:rsidRPr="00BC7DC8" w:rsidRDefault="00A14FDA" w:rsidP="00A14FDA">
      <w:pPr>
        <w:pStyle w:val="afffffe"/>
        <w:rPr>
          <w:vanish/>
          <w:rtl/>
        </w:rPr>
      </w:pPr>
      <w:r w:rsidRPr="00BC7DC8">
        <w:rPr>
          <w:vanish/>
          <w:rtl/>
        </w:rPr>
        <w:t>רמב"ם שבת פ"י הי"ח</w:t>
      </w:r>
    </w:p>
    <w:p w14:paraId="7FDE81EE" w14:textId="77777777" w:rsidR="00A14FDA" w:rsidRPr="00806C89" w:rsidRDefault="00A14FDA" w:rsidP="00A14FDA">
      <w:pPr>
        <w:pStyle w:val="afffff5"/>
        <w:rPr>
          <w:rtl/>
        </w:rPr>
      </w:pPr>
      <w:r w:rsidRPr="00806C89">
        <w:rPr>
          <w:rtl/>
        </w:rPr>
        <w:t>המסתת את האבן כל שהוא חייב משום מכה בפטיש המצדד את האבן ביסוד הבנין ותקנה בידו והושיבה במקום הראוי לה חייב משום מכה בפטיש, הלוקט יבולת שעל גבי בגדים בידו כגון אלו היבולות שבכלי צמר חייב משום מכה בפטיש, והוא שיקפיד עליהן, אבל אם הסירן דרך עסק הרי זה פטור, המנער טלית חדשה שחורה כדי לנאותה ולהסיר הציהוב הלבן הנתלה בה כדרך שהאומנין עושין חייב חטאת, ואם אינו מקפיד מותר.</w:t>
      </w:r>
    </w:p>
    <w:p w14:paraId="162B7695" w14:textId="77777777" w:rsidR="00A14FDA" w:rsidRDefault="00A14FDA" w:rsidP="00A14FDA">
      <w:pPr>
        <w:pStyle w:val="afffff7"/>
        <w:rPr>
          <w:rtl/>
        </w:rPr>
      </w:pPr>
      <w:bookmarkStart w:id="5173" w:name="_Toc144224665"/>
      <w:bookmarkStart w:id="5174" w:name="_Toc163506213"/>
      <w:r>
        <w:rPr>
          <w:rtl/>
        </w:rPr>
        <w:t>רמב"ם שבת פ"י הי"ד</w:t>
      </w:r>
      <w:bookmarkEnd w:id="5173"/>
      <w:bookmarkEnd w:id="5174"/>
      <w:r w:rsidRPr="00421A47">
        <w:rPr>
          <w:vanish/>
          <w:rtl/>
        </w:rPr>
        <w:t xml:space="preserve"> (ב)</w:t>
      </w:r>
    </w:p>
    <w:p w14:paraId="1C70F3FE" w14:textId="77777777" w:rsidR="00A14FDA" w:rsidRDefault="00A14FDA" w:rsidP="00A14FDA">
      <w:pPr>
        <w:pStyle w:val="a7"/>
        <w:rPr>
          <w:rtl/>
        </w:rPr>
      </w:pPr>
      <w:bookmarkStart w:id="5175" w:name="_Toc144225267"/>
      <w:r>
        <w:rPr>
          <w:rFonts w:hint="cs"/>
          <w:rtl/>
        </w:rPr>
        <w:t>בי' הרמב"ם דהעושה נקב בלול של תרנגולים לאורה חייב משום בונה כדעת רב</w:t>
      </w:r>
      <w:bookmarkEnd w:id="5175"/>
    </w:p>
    <w:p w14:paraId="344D2427" w14:textId="79555142" w:rsidR="00A14FDA" w:rsidRDefault="00A14FDA" w:rsidP="00BC7DC8">
      <w:pPr>
        <w:pStyle w:val="a3"/>
        <w:rPr>
          <w:rtl/>
        </w:rPr>
      </w:pPr>
      <w:bookmarkStart w:id="5176" w:name="_Ref144154219"/>
      <w:r>
        <w:rPr>
          <w:rFonts w:hint="cs"/>
          <w:rtl/>
        </w:rPr>
        <w:t xml:space="preserve">כתב </w:t>
      </w:r>
      <w:r w:rsidRPr="00255628">
        <w:rPr>
          <w:rStyle w:val="aff4"/>
          <w:rFonts w:hint="cs"/>
          <w:vanish/>
          <w:rtl/>
        </w:rPr>
        <w:t>-</w:t>
      </w:r>
      <w:r w:rsidRPr="00255628">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Ref144154219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לג)</w:t>
      </w:r>
      <w:r>
        <w:rPr>
          <w:rStyle w:val="aff4"/>
          <w:vanish/>
          <w:rtl/>
        </w:rPr>
        <w:fldChar w:fldCharType="end"/>
      </w:r>
      <w:r>
        <w:rPr>
          <w:rStyle w:val="aff4"/>
          <w:rFonts w:hint="cs"/>
          <w:vanish/>
          <w:rtl/>
        </w:rPr>
        <w:t xml:space="preserve"> &gt;</w:t>
      </w:r>
      <w:r w:rsidRPr="00255628">
        <w:rPr>
          <w:rStyle w:val="aff4"/>
          <w:rFonts w:hint="cs"/>
          <w:rtl/>
        </w:rPr>
        <w:t>רמב"ם</w:t>
      </w:r>
      <w:r w:rsidRPr="00255628">
        <w:rPr>
          <w:rStyle w:val="aff4"/>
          <w:rFonts w:hint="cs"/>
          <w:vanish/>
          <w:rtl/>
        </w:rPr>
        <w:t>-</w:t>
      </w:r>
      <w:r>
        <w:rPr>
          <w:rFonts w:hint="cs"/>
          <w:rtl/>
        </w:rPr>
        <w:t xml:space="preserve"> </w:t>
      </w:r>
      <w:r w:rsidRPr="00C8052D">
        <w:rPr>
          <w:rStyle w:val="af2"/>
          <w:rFonts w:eastAsia="Guttman Hodes" w:hint="cs"/>
          <w:rtl/>
        </w:rPr>
        <w:t>(שבת פ"י הי"ד)</w:t>
      </w:r>
      <w:r w:rsidRPr="00255628">
        <w:rPr>
          <w:rFonts w:hint="cs"/>
          <w:vanish/>
          <w:rtl/>
        </w:rPr>
        <w:t>=</w:t>
      </w:r>
      <w:r>
        <w:rPr>
          <w:rFonts w:hint="cs"/>
          <w:rtl/>
        </w:rPr>
        <w:t xml:space="preserve"> דהעושה נקב כל שהוא בלול של תרנגולין לאורה, חייב משום בונה כדעת רב.</w:t>
      </w:r>
      <w:bookmarkEnd w:id="5176"/>
    </w:p>
    <w:p w14:paraId="0E70AD95" w14:textId="77777777" w:rsidR="00A14FDA" w:rsidRPr="00BC7DC8" w:rsidRDefault="00A14FDA" w:rsidP="00A14FDA">
      <w:pPr>
        <w:pStyle w:val="afffffe"/>
        <w:rPr>
          <w:vanish/>
          <w:rtl/>
        </w:rPr>
      </w:pPr>
      <w:r w:rsidRPr="00BC7DC8">
        <w:rPr>
          <w:vanish/>
          <w:rtl/>
        </w:rPr>
        <w:t>רמב"ם שבת פ"י הי"ד</w:t>
      </w:r>
    </w:p>
    <w:p w14:paraId="13BFF690" w14:textId="77777777" w:rsidR="00A14FDA" w:rsidRPr="00A546D8" w:rsidRDefault="00A14FDA" w:rsidP="00A14FDA">
      <w:pPr>
        <w:pStyle w:val="a7"/>
        <w:rPr>
          <w:rtl/>
        </w:rPr>
      </w:pPr>
    </w:p>
    <w:p w14:paraId="4662A616" w14:textId="77777777" w:rsidR="00A14FDA" w:rsidRPr="00D87F8B" w:rsidRDefault="00A14FDA" w:rsidP="00A14FDA">
      <w:pPr>
        <w:pStyle w:val="a2"/>
        <w:rPr>
          <w:rtl/>
        </w:rPr>
      </w:pPr>
      <w:r w:rsidRPr="00D87F8B">
        <w:rPr>
          <w:rtl/>
        </w:rPr>
        <w:lastRenderedPageBreak/>
        <w:t>העושה נקב כל שהוא בלול של תרנגולים כדי שיכנס להן האורה חייב משום בונה, המחזיר דלת של בור ושל דות ושל יציע חייב משום בונה.</w:t>
      </w:r>
    </w:p>
    <w:p w14:paraId="518A8789" w14:textId="77777777" w:rsidR="00A14FDA" w:rsidRPr="00421A47" w:rsidRDefault="00A14FDA" w:rsidP="00A14FDA">
      <w:pPr>
        <w:pStyle w:val="afffff7"/>
        <w:rPr>
          <w:vanish/>
          <w:rtl/>
        </w:rPr>
      </w:pPr>
      <w:bookmarkStart w:id="5177" w:name="_Toc144224666"/>
      <w:r w:rsidRPr="00421A47">
        <w:rPr>
          <w:vanish/>
          <w:rtl/>
        </w:rPr>
        <w:t xml:space="preserve"> (ב)</w:t>
      </w:r>
    </w:p>
    <w:p w14:paraId="4A7E820A" w14:textId="77777777" w:rsidR="00A14FDA" w:rsidRDefault="00A14FDA" w:rsidP="00A14FDA">
      <w:pPr>
        <w:pStyle w:val="afffff7"/>
        <w:rPr>
          <w:rtl/>
        </w:rPr>
      </w:pPr>
      <w:bookmarkStart w:id="5178" w:name="_Toc163506214"/>
      <w:r>
        <w:rPr>
          <w:rtl/>
        </w:rPr>
        <w:t>כסף משנה שבת פ"י הי"ד</w:t>
      </w:r>
      <w:bookmarkEnd w:id="5177"/>
      <w:bookmarkEnd w:id="5178"/>
      <w:r w:rsidRPr="00421A47">
        <w:rPr>
          <w:vanish/>
          <w:rtl/>
        </w:rPr>
        <w:t xml:space="preserve"> (ב)</w:t>
      </w:r>
    </w:p>
    <w:p w14:paraId="724F895B" w14:textId="77777777" w:rsidR="00A14FDA" w:rsidRDefault="00A14FDA" w:rsidP="00A14FDA">
      <w:pPr>
        <w:pStyle w:val="afffff7"/>
        <w:rPr>
          <w:rtl/>
        </w:rPr>
      </w:pPr>
      <w:bookmarkStart w:id="5179" w:name="_Toc144224667"/>
      <w:bookmarkStart w:id="5180" w:name="_Toc163506215"/>
      <w:r>
        <w:rPr>
          <w:rtl/>
        </w:rPr>
        <w:t>לחם משנה שבת פ"י הי"ד</w:t>
      </w:r>
      <w:bookmarkEnd w:id="5179"/>
      <w:bookmarkEnd w:id="5180"/>
      <w:r w:rsidRPr="00421A47">
        <w:rPr>
          <w:vanish/>
          <w:rtl/>
        </w:rPr>
        <w:t xml:space="preserve"> (ב)</w:t>
      </w:r>
    </w:p>
    <w:p w14:paraId="70554C16" w14:textId="77777777" w:rsidR="00A14FDA" w:rsidRDefault="00A14FDA" w:rsidP="00A14FDA">
      <w:pPr>
        <w:pStyle w:val="afffff7"/>
        <w:rPr>
          <w:rtl/>
        </w:rPr>
      </w:pPr>
      <w:bookmarkStart w:id="5181" w:name="_Toc144224668"/>
      <w:bookmarkStart w:id="5182" w:name="_Toc163506216"/>
      <w:r>
        <w:rPr>
          <w:rtl/>
        </w:rPr>
        <w:t>רמב"ם שבת פכ"ג ה"א</w:t>
      </w:r>
      <w:bookmarkEnd w:id="5181"/>
      <w:bookmarkEnd w:id="5182"/>
      <w:r w:rsidRPr="00421A47">
        <w:rPr>
          <w:vanish/>
          <w:rtl/>
        </w:rPr>
        <w:t xml:space="preserve"> (ב)</w:t>
      </w:r>
    </w:p>
    <w:p w14:paraId="1354D4B7" w14:textId="77777777" w:rsidR="00A14FDA" w:rsidRDefault="00A14FDA" w:rsidP="00A14FDA">
      <w:pPr>
        <w:pStyle w:val="afffff7"/>
        <w:rPr>
          <w:rtl/>
        </w:rPr>
      </w:pPr>
      <w:bookmarkStart w:id="5183" w:name="_Toc144224669"/>
      <w:bookmarkStart w:id="5184" w:name="_Toc163506217"/>
      <w:r>
        <w:rPr>
          <w:rtl/>
        </w:rPr>
        <w:t>רמב"ם שבת פ"י הט"ז</w:t>
      </w:r>
      <w:bookmarkEnd w:id="5183"/>
      <w:bookmarkEnd w:id="5184"/>
      <w:r w:rsidRPr="00421A47">
        <w:rPr>
          <w:vanish/>
          <w:rtl/>
        </w:rPr>
        <w:t xml:space="preserve"> (ב)</w:t>
      </w:r>
    </w:p>
    <w:p w14:paraId="38713989" w14:textId="77777777" w:rsidR="00A14FDA" w:rsidRPr="00307D1C" w:rsidRDefault="00A14FDA" w:rsidP="00A14FDA">
      <w:pPr>
        <w:pStyle w:val="a7"/>
        <w:rPr>
          <w:rtl/>
        </w:rPr>
      </w:pPr>
      <w:bookmarkStart w:id="5185" w:name="_Toc144225268"/>
      <w:r>
        <w:rPr>
          <w:rFonts w:hint="cs"/>
          <w:rtl/>
        </w:rPr>
        <w:t>קו' הכס"מ והלח"מ בסתירת הרמב"ם דכתב דעושה נקב חייב במכב"פ וה"ה נקב בלול תרנגולים</w:t>
      </w:r>
      <w:bookmarkEnd w:id="5185"/>
    </w:p>
    <w:p w14:paraId="6AB91A6D" w14:textId="079BC852" w:rsidR="00A14FDA" w:rsidRDefault="00A14FDA" w:rsidP="00BC7DC8">
      <w:pPr>
        <w:pStyle w:val="a3"/>
        <w:rPr>
          <w:rtl/>
        </w:rPr>
      </w:pPr>
      <w:bookmarkStart w:id="5186" w:name="_Ref144155988"/>
      <w:bookmarkStart w:id="5187" w:name="_Ref144117248"/>
      <w:bookmarkStart w:id="5188" w:name="_Ref144151405"/>
      <w:r>
        <w:rPr>
          <w:rFonts w:hint="cs"/>
          <w:rtl/>
        </w:rPr>
        <w:t xml:space="preserve">והקשו </w:t>
      </w:r>
      <w:r w:rsidRPr="00255628">
        <w:rPr>
          <w:rStyle w:val="aff4"/>
          <w:rFonts w:hint="cs"/>
          <w:vanish/>
          <w:rtl/>
        </w:rPr>
        <w:t>-</w:t>
      </w:r>
      <w:r w:rsidRPr="00255628">
        <w:rPr>
          <w:rStyle w:val="aff4"/>
          <w:rFonts w:hint="cs"/>
          <w:rtl/>
        </w:rPr>
        <w:t>ה</w:t>
      </w:r>
      <w:r w:rsidRPr="00255628">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Ref144117248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לד)</w:t>
      </w:r>
      <w:r>
        <w:rPr>
          <w:rStyle w:val="aff4"/>
          <w:vanish/>
          <w:rtl/>
        </w:rPr>
        <w:fldChar w:fldCharType="end"/>
      </w:r>
      <w:r w:rsidRPr="00255628">
        <w:rPr>
          <w:rStyle w:val="aff4"/>
          <w:rFonts w:hint="cs"/>
          <w:vanish/>
          <w:rtl/>
        </w:rPr>
        <w:t xml:space="preserve"> &gt;</w:t>
      </w:r>
      <w:r w:rsidRPr="00255628">
        <w:rPr>
          <w:rStyle w:val="aff4"/>
          <w:rFonts w:hint="cs"/>
          <w:rtl/>
        </w:rPr>
        <w:t>כס"מ</w:t>
      </w:r>
      <w:r w:rsidRPr="00255628">
        <w:rPr>
          <w:rStyle w:val="aff4"/>
          <w:rFonts w:hint="cs"/>
          <w:vanish/>
          <w:rtl/>
        </w:rPr>
        <w:t>-</w:t>
      </w:r>
      <w:r>
        <w:rPr>
          <w:rFonts w:hint="cs"/>
          <w:rtl/>
        </w:rPr>
        <w:t xml:space="preserve"> </w:t>
      </w:r>
      <w:r w:rsidRPr="00C8052D">
        <w:rPr>
          <w:rStyle w:val="af2"/>
          <w:rFonts w:eastAsia="Guttman Hodes" w:hint="cs"/>
          <w:rtl/>
        </w:rPr>
        <w:t>(שבת פ"י הי"ד)</w:t>
      </w:r>
      <w:r w:rsidRPr="00255628">
        <w:rPr>
          <w:rFonts w:hint="cs"/>
          <w:vanish/>
          <w:rtl/>
        </w:rPr>
        <w:t>=</w:t>
      </w:r>
      <w:r>
        <w:rPr>
          <w:rFonts w:hint="cs"/>
          <w:rtl/>
        </w:rPr>
        <w:t xml:space="preserve"> </w:t>
      </w:r>
      <w:r w:rsidRPr="00255628">
        <w:rPr>
          <w:rStyle w:val="aff4"/>
          <w:rFonts w:hint="cs"/>
          <w:vanish/>
          <w:rtl/>
        </w:rPr>
        <w:t>-</w:t>
      </w:r>
      <w:r w:rsidRPr="00255628">
        <w:rPr>
          <w:rStyle w:val="aff4"/>
          <w:rFonts w:hint="cs"/>
          <w:rtl/>
        </w:rPr>
        <w:t>וה</w:t>
      </w:r>
      <w:r w:rsidRPr="00255628">
        <w:rPr>
          <w:rStyle w:val="aff4"/>
          <w:rFonts w:hint="cs"/>
          <w:vanish/>
          <w:rtl/>
        </w:rPr>
        <w:t>&lt; &gt;</w:t>
      </w:r>
      <w:r w:rsidRPr="00255628">
        <w:rPr>
          <w:rStyle w:val="aff4"/>
          <w:rFonts w:hint="cs"/>
          <w:rtl/>
        </w:rPr>
        <w:t>לח"מ</w:t>
      </w:r>
      <w:r w:rsidRPr="00255628">
        <w:rPr>
          <w:rStyle w:val="aff4"/>
          <w:rFonts w:hint="cs"/>
          <w:vanish/>
          <w:rtl/>
        </w:rPr>
        <w:t>-</w:t>
      </w:r>
      <w:r>
        <w:rPr>
          <w:rFonts w:hint="cs"/>
          <w:rtl/>
        </w:rPr>
        <w:t xml:space="preserve"> </w:t>
      </w:r>
      <w:r w:rsidRPr="00C8052D">
        <w:rPr>
          <w:rStyle w:val="af2"/>
          <w:rFonts w:eastAsia="Guttman Hodes" w:hint="cs"/>
          <w:rtl/>
        </w:rPr>
        <w:t>(שבת פ"י הי"ד)</w:t>
      </w:r>
      <w:r w:rsidRPr="00255628">
        <w:rPr>
          <w:rFonts w:hint="cs"/>
          <w:vanish/>
          <w:rtl/>
        </w:rPr>
        <w:t>=</w:t>
      </w:r>
      <w:r>
        <w:rPr>
          <w:rFonts w:hint="cs"/>
          <w:rtl/>
        </w:rPr>
        <w:t xml:space="preserve"> דהא כתב </w:t>
      </w:r>
      <w:r w:rsidRPr="00255628">
        <w:rPr>
          <w:rStyle w:val="aff4"/>
          <w:rFonts w:hint="cs"/>
          <w:vanish/>
          <w:rtl/>
        </w:rPr>
        <w:t>-</w:t>
      </w:r>
      <w:r w:rsidRPr="00255628">
        <w:rPr>
          <w:rStyle w:val="aff4"/>
          <w:rFonts w:hint="cs"/>
          <w:rtl/>
        </w:rPr>
        <w:t>ה</w:t>
      </w:r>
      <w:r w:rsidRPr="00255628">
        <w:rPr>
          <w:rStyle w:val="aff4"/>
          <w:rFonts w:hint="cs"/>
          <w:vanish/>
          <w:rtl/>
        </w:rPr>
        <w:t>&lt; &gt;</w:t>
      </w:r>
      <w:r w:rsidRPr="00255628">
        <w:rPr>
          <w:rStyle w:val="aff4"/>
          <w:rFonts w:hint="cs"/>
          <w:rtl/>
        </w:rPr>
        <w:t>רמב"ם</w:t>
      </w:r>
      <w:r w:rsidRPr="00255628">
        <w:rPr>
          <w:rStyle w:val="aff4"/>
          <w:rFonts w:hint="cs"/>
          <w:vanish/>
          <w:rtl/>
        </w:rPr>
        <w:t>-</w:t>
      </w:r>
      <w:r>
        <w:rPr>
          <w:rFonts w:hint="cs"/>
          <w:rtl/>
        </w:rPr>
        <w:t xml:space="preserve"> </w:t>
      </w:r>
      <w:r w:rsidRPr="00C8052D">
        <w:rPr>
          <w:rStyle w:val="af2"/>
          <w:rFonts w:eastAsia="Guttman Hodes" w:hint="cs"/>
          <w:rtl/>
        </w:rPr>
        <w:t>(שבת פ"י הי"ד)</w:t>
      </w:r>
      <w:r w:rsidRPr="00255628">
        <w:rPr>
          <w:rFonts w:hint="cs"/>
          <w:vanish/>
          <w:rtl/>
        </w:rPr>
        <w:t>=</w:t>
      </w:r>
      <w:r>
        <w:rPr>
          <w:rFonts w:hint="cs"/>
          <w:rtl/>
        </w:rPr>
        <w:t xml:space="preserve"> דהעושה נקב כל שהוא חייב משום מכה בפטיש, ועוד כתב </w:t>
      </w:r>
      <w:r w:rsidRPr="00255628">
        <w:rPr>
          <w:rStyle w:val="aff4"/>
          <w:rFonts w:hint="cs"/>
          <w:vanish/>
          <w:rtl/>
        </w:rPr>
        <w:t>-</w:t>
      </w:r>
      <w:r w:rsidRPr="00255628">
        <w:rPr>
          <w:rStyle w:val="aff4"/>
          <w:rFonts w:hint="cs"/>
          <w:rtl/>
        </w:rPr>
        <w:t>ה</w:t>
      </w:r>
      <w:r w:rsidRPr="00255628">
        <w:rPr>
          <w:rStyle w:val="aff4"/>
          <w:rFonts w:hint="cs"/>
          <w:vanish/>
          <w:rtl/>
        </w:rPr>
        <w:t>&lt; &gt;</w:t>
      </w:r>
      <w:r w:rsidRPr="00255628">
        <w:rPr>
          <w:rStyle w:val="aff4"/>
          <w:rFonts w:hint="cs"/>
          <w:rtl/>
        </w:rPr>
        <w:t>רמב"ם</w:t>
      </w:r>
      <w:r w:rsidRPr="00255628">
        <w:rPr>
          <w:rStyle w:val="aff4"/>
          <w:rFonts w:hint="cs"/>
          <w:vanish/>
          <w:rtl/>
        </w:rPr>
        <w:t>-</w:t>
      </w:r>
      <w:r>
        <w:rPr>
          <w:rFonts w:hint="cs"/>
          <w:rtl/>
        </w:rPr>
        <w:t xml:space="preserve"> </w:t>
      </w:r>
      <w:r w:rsidRPr="00C8052D">
        <w:rPr>
          <w:rStyle w:val="af2"/>
          <w:rFonts w:eastAsia="Guttman Hodes" w:hint="cs"/>
          <w:rtl/>
        </w:rPr>
        <w:t>(שבת פכ"ג ה"א)</w:t>
      </w:r>
      <w:r w:rsidRPr="00255628">
        <w:rPr>
          <w:rFonts w:hint="cs"/>
          <w:vanish/>
          <w:rtl/>
        </w:rPr>
        <w:t>=</w:t>
      </w:r>
      <w:r>
        <w:rPr>
          <w:rFonts w:hint="cs"/>
          <w:rtl/>
        </w:rPr>
        <w:t xml:space="preserve"> דהעושה נקב בלול של תרנגולין להכניס אורה ולהוציא הבל חייב משום מכה בפטיש, והיינו כשמואל ולא כרב,, ועי' במ"ש</w:t>
      </w:r>
      <w:r w:rsidRPr="00311A8A">
        <w:rPr>
          <w:rtl/>
        </w:rPr>
        <w:t xml:space="preserve"> </w:t>
      </w:r>
      <w:r w:rsidRPr="00255628">
        <w:rPr>
          <w:rStyle w:val="aff4"/>
          <w:vanish/>
          <w:rtl/>
        </w:rPr>
        <w:t>-</w:t>
      </w:r>
      <w:r w:rsidRPr="00255628">
        <w:rPr>
          <w:rStyle w:val="aff4"/>
          <w:rtl/>
        </w:rPr>
        <w:t>ה</w:t>
      </w:r>
      <w:r w:rsidRPr="004A7E3D">
        <w:rPr>
          <w:rStyle w:val="aff4"/>
          <w:rFonts w:hint="cs"/>
          <w:vanish/>
          <w:rtl/>
        </w:rPr>
        <w:t>&lt; &gt;</w:t>
      </w:r>
      <w:r w:rsidRPr="00255628">
        <w:rPr>
          <w:rStyle w:val="aff4"/>
          <w:rtl/>
        </w:rPr>
        <w:t>אבן האזל</w:t>
      </w:r>
      <w:r w:rsidRPr="00255628">
        <w:rPr>
          <w:rStyle w:val="aff4"/>
          <w:vanish/>
          <w:rtl/>
        </w:rPr>
        <w:t>-</w:t>
      </w:r>
      <w:r w:rsidRPr="008074B8">
        <w:rPr>
          <w:rtl/>
        </w:rPr>
        <w:t xml:space="preserve"> </w:t>
      </w:r>
      <w:r>
        <w:rPr>
          <w:rStyle w:val="af2"/>
          <w:rFonts w:eastAsia="Guttman Hodes" w:hint="cs"/>
          <w:rtl/>
        </w:rPr>
        <w:t xml:space="preserve">(עי' </w:t>
      </w:r>
      <w:r w:rsidRPr="002440B9">
        <w:rPr>
          <w:rStyle w:val="af2"/>
          <w:rFonts w:eastAsia="Guttman Hodes" w:hint="cs"/>
          <w:rtl/>
        </w:rPr>
        <w:t xml:space="preserve">אות </w:t>
      </w:r>
      <w:r w:rsidRPr="002440B9">
        <w:rPr>
          <w:rStyle w:val="af2"/>
          <w:rFonts w:eastAsia="Guttman Hodes"/>
          <w:rtl/>
        </w:rPr>
        <w:fldChar w:fldCharType="begin"/>
      </w:r>
      <w:r w:rsidRPr="002440B9">
        <w:rPr>
          <w:rStyle w:val="af2"/>
          <w:rFonts w:eastAsia="Guttman Hodes"/>
          <w:rtl/>
        </w:rPr>
        <w:instrText xml:space="preserve"> </w:instrText>
      </w:r>
      <w:r w:rsidRPr="002440B9">
        <w:rPr>
          <w:rStyle w:val="af2"/>
          <w:rFonts w:eastAsia="Guttman Hodes" w:hint="cs"/>
        </w:rPr>
        <w:instrText>REF</w:instrText>
      </w:r>
      <w:r w:rsidRPr="002440B9">
        <w:rPr>
          <w:rStyle w:val="af2"/>
          <w:rFonts w:eastAsia="Guttman Hodes" w:hint="cs"/>
          <w:rtl/>
        </w:rPr>
        <w:instrText xml:space="preserve"> _</w:instrText>
      </w:r>
      <w:r w:rsidRPr="002440B9">
        <w:rPr>
          <w:rStyle w:val="af2"/>
          <w:rFonts w:eastAsia="Guttman Hodes" w:hint="cs"/>
        </w:rPr>
        <w:instrText>Ref144200709 \r \h</w:instrText>
      </w:r>
      <w:r w:rsidRPr="002440B9">
        <w:rPr>
          <w:rStyle w:val="af2"/>
          <w:rFonts w:eastAsia="Guttman Hodes"/>
          <w:rtl/>
        </w:rPr>
        <w:instrText xml:space="preserve"> </w:instrText>
      </w:r>
      <w:r w:rsidRPr="002440B9">
        <w:rPr>
          <w:rStyle w:val="af2"/>
          <w:rFonts w:eastAsia="Guttman Hodes"/>
          <w:rtl/>
        </w:rPr>
      </w:r>
      <w:r w:rsidRPr="002440B9">
        <w:rPr>
          <w:rStyle w:val="af2"/>
          <w:rFonts w:eastAsia="Guttman Hodes"/>
          <w:rtl/>
        </w:rPr>
        <w:fldChar w:fldCharType="separate"/>
      </w:r>
      <w:r w:rsidR="00D82181">
        <w:rPr>
          <w:rStyle w:val="af2"/>
          <w:rFonts w:eastAsia="Guttman Hodes"/>
          <w:cs/>
        </w:rPr>
        <w:t>‎</w:t>
      </w:r>
      <w:r w:rsidR="00D82181">
        <w:rPr>
          <w:rStyle w:val="af2"/>
          <w:rFonts w:eastAsia="Guttman Hodes"/>
          <w:rtl/>
        </w:rPr>
        <w:t>סג)</w:t>
      </w:r>
      <w:r w:rsidRPr="002440B9">
        <w:rPr>
          <w:rStyle w:val="af2"/>
          <w:rFonts w:eastAsia="Guttman Hodes"/>
          <w:rtl/>
        </w:rPr>
        <w:fldChar w:fldCharType="end"/>
      </w:r>
      <w:r w:rsidRPr="004A7E3D">
        <w:rPr>
          <w:rFonts w:hint="cs"/>
          <w:vanish/>
          <w:rtl/>
        </w:rPr>
        <w:t>=</w:t>
      </w:r>
      <w:r>
        <w:rPr>
          <w:rFonts w:hint="cs"/>
          <w:rtl/>
        </w:rPr>
        <w:t xml:space="preserve"> בדעת </w:t>
      </w:r>
      <w:r w:rsidRPr="007637C7">
        <w:rPr>
          <w:rStyle w:val="aff4"/>
          <w:rFonts w:hint="cs"/>
          <w:vanish/>
          <w:rtl/>
        </w:rPr>
        <w:t>-</w:t>
      </w:r>
      <w:r w:rsidRPr="007637C7">
        <w:rPr>
          <w:rStyle w:val="aff4"/>
          <w:rFonts w:hint="cs"/>
          <w:rtl/>
        </w:rPr>
        <w:t>הרמב"ם</w:t>
      </w:r>
      <w:r w:rsidRPr="007637C7">
        <w:rPr>
          <w:rStyle w:val="aff4"/>
          <w:rFonts w:hint="cs"/>
          <w:vanish/>
          <w:rtl/>
        </w:rPr>
        <w:t>-</w:t>
      </w:r>
      <w:r>
        <w:rPr>
          <w:rFonts w:hint="cs"/>
          <w:rtl/>
        </w:rPr>
        <w:t>.</w:t>
      </w:r>
      <w:bookmarkEnd w:id="5186"/>
    </w:p>
    <w:p w14:paraId="5A37C9BF" w14:textId="77777777" w:rsidR="00A14FDA" w:rsidRPr="00BC7DC8" w:rsidRDefault="00A14FDA" w:rsidP="00A14FDA">
      <w:pPr>
        <w:pStyle w:val="afffffe"/>
        <w:rPr>
          <w:vanish/>
          <w:rtl/>
        </w:rPr>
      </w:pPr>
      <w:r w:rsidRPr="00BC7DC8">
        <w:rPr>
          <w:vanish/>
          <w:rtl/>
        </w:rPr>
        <w:t>כסף משנה שבת פ"י הי"ד</w:t>
      </w:r>
    </w:p>
    <w:p w14:paraId="294391C9" w14:textId="77777777" w:rsidR="00A14FDA" w:rsidRPr="00806C89" w:rsidRDefault="00A14FDA" w:rsidP="00A14FDA">
      <w:pPr>
        <w:pStyle w:val="a2"/>
        <w:rPr>
          <w:rtl/>
        </w:rPr>
      </w:pPr>
      <w:r w:rsidRPr="00806C89">
        <w:rPr>
          <w:rtl/>
        </w:rPr>
        <w:t>העושה נקב כל שהוא כו'. כתב ה"ה שפסק כרב. ויש לתמוה שלקמן בסמוך כתב העושה נקב בין בעץ בין בבנין ה"ז תולדת מכה בפטיש ובר"פ כ"ג כתב העושה נקב שהוא עשוי להכניס האורה והוציא ההבל ה"ז חייב משום מכה בפטיש:</w:t>
      </w:r>
    </w:p>
    <w:p w14:paraId="203C86FE" w14:textId="77777777" w:rsidR="00A14FDA" w:rsidRPr="00BC7DC8" w:rsidRDefault="00A14FDA" w:rsidP="00A14FDA">
      <w:pPr>
        <w:pStyle w:val="afffffe"/>
        <w:rPr>
          <w:vanish/>
          <w:rtl/>
        </w:rPr>
      </w:pPr>
      <w:r w:rsidRPr="00BC7DC8">
        <w:rPr>
          <w:vanish/>
          <w:rtl/>
        </w:rPr>
        <w:t>לחם משנה שבת פ"י הי"ד</w:t>
      </w:r>
    </w:p>
    <w:p w14:paraId="4D136FE0" w14:textId="77777777" w:rsidR="00A14FDA" w:rsidRDefault="00A14FDA" w:rsidP="00A14FDA">
      <w:pPr>
        <w:pStyle w:val="afffff5"/>
        <w:rPr>
          <w:rtl/>
        </w:rPr>
      </w:pPr>
      <w:r w:rsidRPr="00806C89">
        <w:rPr>
          <w:rtl/>
        </w:rPr>
        <w:t>[יד] העושה נקב כל שהו וכו'. בגמרא (דף ק"ב ב) איכא פלוגתא רב אמר משום בונה ושמואל אמר משום מכה בפטיש ופסק רבינו כרב, וקשה דלמטה נראה שפסק כשמואל שכתב והעושה נקב כל שהוא בין בעץ בין בבנין בין במתכת וכו' הרי זה תולדת מכה בפטיש וחייב דלרב הוי משום בונה כמבואר בגמרא במ"ש גבי קודח בשלמא לרב מיחזי כחר חורתא וכו' אבל זה איירי בנקב העשוי להכניס ולהוציא דאל"כ ה"ז מותר מן התורה כמ"ש בסמוך ובפרק כ"ג וכן קשה שבריש פרק כ"ג כתב בנקב לול של תרנגולים שהוא תולדת מכה בפטיש וחייב כוותיה דשמואל.</w:t>
      </w:r>
    </w:p>
    <w:p w14:paraId="7DB7C7A7" w14:textId="77777777" w:rsidR="00A14FDA" w:rsidRPr="00BC7DC8" w:rsidRDefault="00A14FDA" w:rsidP="00A14FDA">
      <w:pPr>
        <w:pStyle w:val="afffffe"/>
        <w:rPr>
          <w:vanish/>
          <w:rtl/>
        </w:rPr>
      </w:pPr>
      <w:r w:rsidRPr="00BC7DC8">
        <w:rPr>
          <w:vanish/>
          <w:rtl/>
        </w:rPr>
        <w:t>רמב"ם שבת פכ"ג ה"א</w:t>
      </w:r>
    </w:p>
    <w:p w14:paraId="0E73455C" w14:textId="77777777" w:rsidR="00A14FDA" w:rsidRPr="00806C89" w:rsidRDefault="00A14FDA" w:rsidP="00A14FDA">
      <w:pPr>
        <w:pStyle w:val="afffff5"/>
        <w:rPr>
          <w:rtl/>
        </w:rPr>
      </w:pPr>
      <w:r w:rsidRPr="00806C89">
        <w:rPr>
          <w:rtl/>
        </w:rPr>
        <w:t>העושה נקב שהוא עשוי להכניס ולהוציא כגון נקב שבלול התרנגולין שהוא עשוי להכניס האורה ולהוציא ההבל הרי זה חייב משום מכה בפטיש, לפיכך גזרו על כל נקב אפילו היה עשוי להוציא בלבד או להכניס בלבד שמא יבוא לעשות נקב שחייבין עליו, ומפני זה אין נוקבין בחבית נקב חדש ואין מוסיפין בו, אבל פותחין נקב ישן, והוא שלא יהיה הנקב למטה מן השמרים שאם היה למטה מן השמרים הרי זה עשוי לחזק ואסור לפתחו.</w:t>
      </w:r>
    </w:p>
    <w:p w14:paraId="77389F47" w14:textId="77777777" w:rsidR="00A14FDA" w:rsidRPr="00BC7DC8" w:rsidRDefault="00A14FDA" w:rsidP="00A14FDA">
      <w:pPr>
        <w:pStyle w:val="afffffe"/>
        <w:rPr>
          <w:vanish/>
          <w:rtl/>
        </w:rPr>
      </w:pPr>
      <w:r w:rsidRPr="00BC7DC8">
        <w:rPr>
          <w:vanish/>
          <w:rtl/>
        </w:rPr>
        <w:t>רמב"ם שבת פ"י הט"ז</w:t>
      </w:r>
    </w:p>
    <w:p w14:paraId="52436439" w14:textId="77777777" w:rsidR="00A14FDA" w:rsidRPr="00806C89" w:rsidRDefault="00A14FDA" w:rsidP="00A14FDA">
      <w:pPr>
        <w:pStyle w:val="afffff5"/>
        <w:rPr>
          <w:rtl/>
        </w:rPr>
      </w:pPr>
      <w:r w:rsidRPr="00806C89">
        <w:rPr>
          <w:rtl/>
        </w:rPr>
        <w:t>והעושה נקב כל שהוא בין בעץ בין בבנין בין במתכת בין בכלים הרי זה תולדת מכה בפטיש וחייב</w:t>
      </w:r>
      <w:r w:rsidRPr="00806C89">
        <w:rPr>
          <w:rFonts w:hint="cs"/>
          <w:rtl/>
        </w:rPr>
        <w:t>.</w:t>
      </w:r>
    </w:p>
    <w:p w14:paraId="7E68BB3D" w14:textId="77777777" w:rsidR="00A14FDA" w:rsidRDefault="00A14FDA" w:rsidP="00A14FDA">
      <w:pPr>
        <w:pStyle w:val="afffff7"/>
        <w:rPr>
          <w:rtl/>
        </w:rPr>
      </w:pPr>
      <w:bookmarkStart w:id="5189" w:name="_Toc144224670"/>
      <w:bookmarkStart w:id="5190" w:name="_Toc163506218"/>
      <w:r>
        <w:rPr>
          <w:rtl/>
        </w:rPr>
        <w:t>מנחת מוסך השבת הבונה אות ד'</w:t>
      </w:r>
      <w:bookmarkEnd w:id="5189"/>
      <w:bookmarkEnd w:id="5190"/>
      <w:r w:rsidRPr="00421A47">
        <w:rPr>
          <w:vanish/>
          <w:rtl/>
        </w:rPr>
        <w:t xml:space="preserve"> (ב)</w:t>
      </w:r>
    </w:p>
    <w:p w14:paraId="12E41FE1" w14:textId="77777777" w:rsidR="00A14FDA" w:rsidRDefault="00A14FDA" w:rsidP="00A14FDA">
      <w:pPr>
        <w:pStyle w:val="afffff7"/>
        <w:rPr>
          <w:rtl/>
        </w:rPr>
      </w:pPr>
      <w:bookmarkStart w:id="5191" w:name="_Toc144224671"/>
      <w:bookmarkStart w:id="5192" w:name="_Toc163506219"/>
      <w:r>
        <w:rPr>
          <w:rtl/>
        </w:rPr>
        <w:t>שנות אליהו הקצר שבת פי"ב מ"א</w:t>
      </w:r>
      <w:bookmarkEnd w:id="5191"/>
      <w:bookmarkEnd w:id="5192"/>
      <w:r w:rsidRPr="00421A47">
        <w:rPr>
          <w:vanish/>
          <w:rtl/>
        </w:rPr>
        <w:t xml:space="preserve"> (ב)</w:t>
      </w:r>
    </w:p>
    <w:p w14:paraId="54A7B302" w14:textId="77777777" w:rsidR="00A14FDA" w:rsidRPr="00110A30" w:rsidRDefault="00A14FDA" w:rsidP="00A14FDA">
      <w:pPr>
        <w:pStyle w:val="a7"/>
      </w:pPr>
      <w:bookmarkStart w:id="5193" w:name="_Toc144225269"/>
      <w:r>
        <w:rPr>
          <w:rFonts w:hint="cs"/>
          <w:rtl/>
        </w:rPr>
        <w:t>בי' הלח"מ והגר"א והמנ"ח ברמב"ם דרב מחייב בלול תרנגולים גם משום בונה וגם במכב"פ</w:t>
      </w:r>
      <w:bookmarkEnd w:id="5193"/>
    </w:p>
    <w:p w14:paraId="408B3D60" w14:textId="507DC90C" w:rsidR="00A14FDA" w:rsidRPr="006017E6" w:rsidRDefault="00A14FDA" w:rsidP="00BC7DC8">
      <w:pPr>
        <w:pStyle w:val="a3"/>
      </w:pPr>
      <w:bookmarkStart w:id="5194" w:name="_Ref144154863"/>
      <w:r>
        <w:rPr>
          <w:rFonts w:hint="cs"/>
          <w:rtl/>
        </w:rPr>
        <w:t xml:space="preserve">ותירץ </w:t>
      </w:r>
      <w:r w:rsidRPr="00255628">
        <w:rPr>
          <w:rStyle w:val="aff4"/>
          <w:rFonts w:hint="cs"/>
          <w:vanish/>
          <w:rtl/>
        </w:rPr>
        <w:t>-</w:t>
      </w:r>
      <w:r w:rsidRPr="00255628">
        <w:rPr>
          <w:rStyle w:val="aff4"/>
          <w:rFonts w:hint="cs"/>
          <w:rtl/>
        </w:rPr>
        <w:t>הלח"מ</w:t>
      </w:r>
      <w:r w:rsidRPr="00255628">
        <w:rPr>
          <w:rStyle w:val="aff4"/>
          <w:rFonts w:hint="cs"/>
          <w:vanish/>
          <w:rtl/>
        </w:rPr>
        <w:t>-</w:t>
      </w:r>
      <w:r>
        <w:rPr>
          <w:rFonts w:hint="cs"/>
          <w:rtl/>
        </w:rPr>
        <w:t xml:space="preserve"> דס"ל </w:t>
      </w:r>
      <w:r w:rsidRPr="00255628">
        <w:rPr>
          <w:rStyle w:val="aff4"/>
          <w:rFonts w:hint="cs"/>
          <w:vanish/>
          <w:rtl/>
        </w:rPr>
        <w:t>-</w:t>
      </w:r>
      <w:r w:rsidRPr="00255628">
        <w:rPr>
          <w:rStyle w:val="aff4"/>
          <w:rFonts w:hint="cs"/>
          <w:rtl/>
        </w:rPr>
        <w:t>להרמב"ם</w:t>
      </w:r>
      <w:r w:rsidRPr="00255628">
        <w:rPr>
          <w:rStyle w:val="aff4"/>
          <w:rFonts w:hint="cs"/>
          <w:vanish/>
          <w:rtl/>
        </w:rPr>
        <w:t>-</w:t>
      </w:r>
      <w:r>
        <w:rPr>
          <w:rFonts w:hint="cs"/>
          <w:rtl/>
        </w:rPr>
        <w:t xml:space="preserve"> דהא דרב מחייב משום בונה היינו גם משום בונה, ומודה רב דחייב גם משום מכה בפטיש, </w:t>
      </w:r>
      <w:r w:rsidRPr="00AC67C2">
        <w:rPr>
          <w:rStyle w:val="af"/>
          <w:rFonts w:hint="cs"/>
          <w:rtl/>
        </w:rPr>
        <w:t xml:space="preserve">[ואעפ"י דלענין זומר וצריך לעצים כתב </w:t>
      </w:r>
      <w:r w:rsidRPr="00ED6903">
        <w:rPr>
          <w:rStyle w:val="af"/>
          <w:rFonts w:hint="cs"/>
          <w:vanish/>
          <w:rtl/>
        </w:rPr>
        <w:t>-</w:t>
      </w:r>
      <w:r w:rsidRPr="006017E6">
        <w:rPr>
          <w:rStyle w:val="aff9"/>
          <w:rFonts w:hint="cs"/>
          <w:rtl/>
        </w:rPr>
        <w:t>הרמב"ם</w:t>
      </w:r>
      <w:r w:rsidRPr="00A63272">
        <w:rPr>
          <w:rStyle w:val="aff9"/>
          <w:rFonts w:hint="cs"/>
          <w:vanish/>
          <w:rtl/>
        </w:rPr>
        <w:t>-</w:t>
      </w:r>
      <w:r w:rsidRPr="00AC67C2">
        <w:rPr>
          <w:rStyle w:val="af"/>
          <w:rFonts w:hint="cs"/>
          <w:rtl/>
        </w:rPr>
        <w:t xml:space="preserve"> להדיא דחייב שתים, היינו דוקא במלאכות שדומות להדדי</w:t>
      </w:r>
      <w:r w:rsidRPr="005957AC">
        <w:rPr>
          <w:rStyle w:val="af"/>
          <w:rFonts w:hint="cs"/>
          <w:rtl/>
        </w:rPr>
        <w:t>]</w:t>
      </w:r>
      <w:bookmarkEnd w:id="5187"/>
      <w:r>
        <w:rPr>
          <w:rStyle w:val="af"/>
          <w:rFonts w:hint="cs"/>
          <w:rtl/>
        </w:rPr>
        <w:t xml:space="preserve">, </w:t>
      </w:r>
      <w:r w:rsidRPr="006017E6">
        <w:rPr>
          <w:rFonts w:hint="cs"/>
          <w:rtl/>
        </w:rPr>
        <w:t>וכ"כ</w:t>
      </w:r>
      <w:r>
        <w:rPr>
          <w:rFonts w:hint="cs"/>
          <w:b/>
          <w:bCs/>
          <w:rtl/>
        </w:rPr>
        <w:t xml:space="preserve"> ה</w:t>
      </w:r>
      <w:r w:rsidRPr="006017E6">
        <w:rPr>
          <w:b/>
          <w:bCs/>
          <w:vanish/>
          <w:rtl/>
        </w:rPr>
        <w:t>&lt; &gt;</w:t>
      </w:r>
      <w:r>
        <w:rPr>
          <w:rFonts w:hint="cs"/>
          <w:b/>
          <w:bCs/>
          <w:rtl/>
        </w:rPr>
        <w:t>מנחת חינוך</w:t>
      </w:r>
      <w:r w:rsidRPr="006017E6">
        <w:rPr>
          <w:b/>
          <w:bCs/>
          <w:rtl/>
        </w:rPr>
        <w:t xml:space="preserve"> </w:t>
      </w:r>
      <w:r w:rsidRPr="006017E6">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מוסך השבת הבונה אות ד'</w:t>
      </w:r>
      <w:r w:rsidRPr="006017E6">
        <w:rPr>
          <w:rFonts w:ascii="Calibri" w:eastAsia="Times New Roman" w:hAnsi="Calibri" w:cs="Guttman Rashi"/>
          <w:noProof w:val="0"/>
          <w:sz w:val="10"/>
          <w:szCs w:val="12"/>
          <w:rtl/>
        </w:rPr>
        <w:t>)</w:t>
      </w:r>
      <w:r w:rsidRPr="006017E6">
        <w:rPr>
          <w:vanish/>
          <w:rtl/>
        </w:rPr>
        <w:t>=</w:t>
      </w:r>
      <w:r>
        <w:rPr>
          <w:rtl/>
        </w:rPr>
        <w:t xml:space="preserve"> </w:t>
      </w:r>
      <w:r w:rsidRPr="009571B9">
        <w:rPr>
          <w:rFonts w:hint="cs"/>
          <w:b/>
          <w:bCs/>
          <w:rtl/>
        </w:rPr>
        <w:t>ו</w:t>
      </w:r>
      <w:r w:rsidRPr="006017E6">
        <w:rPr>
          <w:b/>
          <w:bCs/>
          <w:vanish/>
          <w:rtl/>
        </w:rPr>
        <w:t>&lt; &gt;</w:t>
      </w:r>
      <w:r>
        <w:rPr>
          <w:rFonts w:hint="cs"/>
          <w:b/>
          <w:bCs/>
          <w:rtl/>
        </w:rPr>
        <w:t>הגר"א בשנות אליהו</w:t>
      </w:r>
      <w:r w:rsidRPr="006017E6">
        <w:rPr>
          <w:b/>
          <w:bCs/>
          <w:rtl/>
        </w:rPr>
        <w:t xml:space="preserve"> </w:t>
      </w:r>
      <w:r w:rsidRPr="006017E6">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פי"ב מ"א ד"ה הקודח</w:t>
      </w:r>
      <w:r w:rsidRPr="006017E6">
        <w:rPr>
          <w:rFonts w:ascii="Calibri" w:eastAsia="Times New Roman" w:hAnsi="Calibri" w:cs="Guttman Rashi"/>
          <w:noProof w:val="0"/>
          <w:sz w:val="10"/>
          <w:szCs w:val="12"/>
          <w:rtl/>
        </w:rPr>
        <w:t>)</w:t>
      </w:r>
      <w:r w:rsidRPr="006017E6">
        <w:rPr>
          <w:vanish/>
          <w:rtl/>
        </w:rPr>
        <w:t>=</w:t>
      </w:r>
      <w:r>
        <w:rPr>
          <w:rFonts w:hint="cs"/>
          <w:rtl/>
        </w:rPr>
        <w:t xml:space="preserve"> דלדעת רב חייב אף משום בונה, וכן משמע בגמ' דאמרינן "אבל בהא אימא מודה לשמואל", ולא אמרינן אבל בהא פטור, וכן ביאר </w:t>
      </w:r>
      <w:r w:rsidRPr="007637C7">
        <w:rPr>
          <w:rStyle w:val="aff4"/>
          <w:rFonts w:hint="cs"/>
          <w:vanish/>
          <w:rtl/>
        </w:rPr>
        <w:t>-</w:t>
      </w:r>
      <w:r w:rsidRPr="007637C7">
        <w:rPr>
          <w:rStyle w:val="aff4"/>
          <w:rFonts w:hint="cs"/>
          <w:rtl/>
        </w:rPr>
        <w:t>המהר"ם קזיס</w:t>
      </w:r>
      <w:r w:rsidRPr="007637C7">
        <w:rPr>
          <w:rStyle w:val="aff4"/>
          <w:rFonts w:hint="cs"/>
          <w:vanish/>
          <w:rtl/>
        </w:rPr>
        <w:t>-</w:t>
      </w:r>
      <w:r>
        <w:rPr>
          <w:rFonts w:hint="cs"/>
          <w:rtl/>
        </w:rPr>
        <w:t xml:space="preserve"> </w:t>
      </w:r>
      <w:r w:rsidRPr="000215F8">
        <w:rPr>
          <w:rStyle w:val="af2"/>
          <w:rFonts w:eastAsia="Guttman Hodes" w:hint="cs"/>
          <w:rtl/>
        </w:rPr>
        <w:t xml:space="preserve">(עי' אות </w:t>
      </w:r>
      <w:r w:rsidRPr="000215F8">
        <w:rPr>
          <w:rStyle w:val="af2"/>
          <w:rFonts w:eastAsia="Guttman Hodes"/>
          <w:rtl/>
        </w:rPr>
        <w:fldChar w:fldCharType="begin"/>
      </w:r>
      <w:r w:rsidRPr="000215F8">
        <w:rPr>
          <w:rStyle w:val="af2"/>
          <w:rFonts w:eastAsia="Guttman Hodes"/>
          <w:rtl/>
        </w:rPr>
        <w:instrText xml:space="preserve"> </w:instrText>
      </w:r>
      <w:r w:rsidRPr="000215F8">
        <w:rPr>
          <w:rStyle w:val="af2"/>
          <w:rFonts w:eastAsia="Guttman Hodes" w:hint="cs"/>
        </w:rPr>
        <w:instrText>REF</w:instrText>
      </w:r>
      <w:r w:rsidRPr="000215F8">
        <w:rPr>
          <w:rStyle w:val="af2"/>
          <w:rFonts w:eastAsia="Guttman Hodes" w:hint="cs"/>
          <w:rtl/>
        </w:rPr>
        <w:instrText xml:space="preserve"> _</w:instrText>
      </w:r>
      <w:r w:rsidRPr="000215F8">
        <w:rPr>
          <w:rStyle w:val="af2"/>
          <w:rFonts w:eastAsia="Guttman Hodes" w:hint="cs"/>
        </w:rPr>
        <w:instrText>Ref144028509 \r \h</w:instrText>
      </w:r>
      <w:r w:rsidRPr="000215F8">
        <w:rPr>
          <w:rStyle w:val="af2"/>
          <w:rFonts w:eastAsia="Guttman Hodes"/>
          <w:rtl/>
        </w:rPr>
        <w:instrText xml:space="preserve"> </w:instrText>
      </w:r>
      <w:r w:rsidRPr="000215F8">
        <w:rPr>
          <w:rStyle w:val="af2"/>
          <w:rFonts w:eastAsia="Guttman Hodes"/>
          <w:rtl/>
        </w:rPr>
      </w:r>
      <w:r w:rsidRPr="000215F8">
        <w:rPr>
          <w:rStyle w:val="af2"/>
          <w:rFonts w:eastAsia="Guttman Hodes"/>
          <w:rtl/>
        </w:rPr>
        <w:fldChar w:fldCharType="separate"/>
      </w:r>
      <w:r w:rsidR="00D82181">
        <w:rPr>
          <w:rStyle w:val="af2"/>
          <w:rFonts w:eastAsia="Guttman Hodes"/>
          <w:cs/>
        </w:rPr>
        <w:t>‎</w:t>
      </w:r>
      <w:r w:rsidR="00D82181">
        <w:rPr>
          <w:rStyle w:val="af2"/>
          <w:rFonts w:eastAsia="Guttman Hodes"/>
          <w:rtl/>
        </w:rPr>
        <w:t>מו)</w:t>
      </w:r>
      <w:r w:rsidRPr="000215F8">
        <w:rPr>
          <w:rStyle w:val="af2"/>
          <w:rFonts w:eastAsia="Guttman Hodes"/>
          <w:rtl/>
        </w:rPr>
        <w:fldChar w:fldCharType="end"/>
      </w:r>
      <w:r>
        <w:rPr>
          <w:rFonts w:hint="cs"/>
          <w:rtl/>
        </w:rPr>
        <w:t xml:space="preserve"> בדעת </w:t>
      </w:r>
      <w:r w:rsidRPr="007637C7">
        <w:rPr>
          <w:rStyle w:val="aff4"/>
          <w:rFonts w:hint="cs"/>
          <w:vanish/>
          <w:rtl/>
        </w:rPr>
        <w:t>-</w:t>
      </w:r>
      <w:r w:rsidRPr="007637C7">
        <w:rPr>
          <w:rStyle w:val="aff4"/>
          <w:rFonts w:hint="cs"/>
          <w:rtl/>
        </w:rPr>
        <w:t>הרמב"ם</w:t>
      </w:r>
      <w:r w:rsidRPr="007637C7">
        <w:rPr>
          <w:rStyle w:val="aff4"/>
          <w:rFonts w:hint="cs"/>
          <w:vanish/>
          <w:rtl/>
        </w:rPr>
        <w:t>-</w:t>
      </w:r>
      <w:r>
        <w:rPr>
          <w:rFonts w:hint="cs"/>
          <w:rtl/>
        </w:rPr>
        <w:t xml:space="preserve">, ועי' במ"ש </w:t>
      </w:r>
      <w:r w:rsidRPr="007637C7">
        <w:rPr>
          <w:rStyle w:val="aff4"/>
          <w:rFonts w:hint="cs"/>
          <w:vanish/>
          <w:rtl/>
        </w:rPr>
        <w:t>-</w:t>
      </w:r>
      <w:r w:rsidRPr="007637C7">
        <w:rPr>
          <w:rStyle w:val="aff4"/>
          <w:rFonts w:hint="cs"/>
          <w:rtl/>
        </w:rPr>
        <w:t>השפת אמת</w:t>
      </w:r>
      <w:r w:rsidRPr="007637C7">
        <w:rPr>
          <w:rStyle w:val="aff4"/>
          <w:rFonts w:hint="cs"/>
          <w:vanish/>
          <w:rtl/>
        </w:rPr>
        <w:t>-</w:t>
      </w:r>
      <w:r>
        <w:rPr>
          <w:rFonts w:hint="cs"/>
          <w:rtl/>
        </w:rPr>
        <w:t xml:space="preserve"> </w:t>
      </w:r>
      <w:r w:rsidRPr="000215F8">
        <w:rPr>
          <w:rStyle w:val="af2"/>
          <w:rFonts w:eastAsia="Guttman Hodes" w:hint="cs"/>
          <w:rtl/>
        </w:rPr>
        <w:t xml:space="preserve">(עי' אות </w:t>
      </w:r>
      <w:r w:rsidRPr="000215F8">
        <w:rPr>
          <w:rStyle w:val="af2"/>
          <w:rFonts w:eastAsia="Guttman Hodes"/>
          <w:rtl/>
        </w:rPr>
        <w:fldChar w:fldCharType="begin"/>
      </w:r>
      <w:r w:rsidRPr="000215F8">
        <w:rPr>
          <w:rStyle w:val="af2"/>
          <w:rFonts w:eastAsia="Guttman Hodes"/>
          <w:rtl/>
        </w:rPr>
        <w:instrText xml:space="preserve"> </w:instrText>
      </w:r>
      <w:r w:rsidRPr="000215F8">
        <w:rPr>
          <w:rStyle w:val="af2"/>
          <w:rFonts w:eastAsia="Guttman Hodes" w:hint="cs"/>
        </w:rPr>
        <w:instrText>REF</w:instrText>
      </w:r>
      <w:r w:rsidRPr="000215F8">
        <w:rPr>
          <w:rStyle w:val="af2"/>
          <w:rFonts w:eastAsia="Guttman Hodes" w:hint="cs"/>
          <w:rtl/>
        </w:rPr>
        <w:instrText xml:space="preserve"> _</w:instrText>
      </w:r>
      <w:r w:rsidRPr="000215F8">
        <w:rPr>
          <w:rStyle w:val="af2"/>
          <w:rFonts w:eastAsia="Guttman Hodes" w:hint="cs"/>
        </w:rPr>
        <w:instrText>Ref144156268 \r \h</w:instrText>
      </w:r>
      <w:r w:rsidRPr="000215F8">
        <w:rPr>
          <w:rStyle w:val="af2"/>
          <w:rFonts w:eastAsia="Guttman Hodes"/>
          <w:rtl/>
        </w:rPr>
        <w:instrText xml:space="preserve"> </w:instrText>
      </w:r>
      <w:r w:rsidRPr="000215F8">
        <w:rPr>
          <w:rStyle w:val="af2"/>
          <w:rFonts w:eastAsia="Guttman Hodes"/>
          <w:rtl/>
        </w:rPr>
      </w:r>
      <w:r w:rsidRPr="000215F8">
        <w:rPr>
          <w:rStyle w:val="af2"/>
          <w:rFonts w:eastAsia="Guttman Hodes"/>
          <w:rtl/>
        </w:rPr>
        <w:fldChar w:fldCharType="separate"/>
      </w:r>
      <w:r w:rsidR="00D82181">
        <w:rPr>
          <w:rStyle w:val="af2"/>
          <w:rFonts w:eastAsia="Guttman Hodes"/>
          <w:cs/>
        </w:rPr>
        <w:t>‎</w:t>
      </w:r>
      <w:r w:rsidR="00D82181">
        <w:rPr>
          <w:rStyle w:val="af2"/>
          <w:rFonts w:eastAsia="Guttman Hodes"/>
          <w:rtl/>
        </w:rPr>
        <w:t>נט)</w:t>
      </w:r>
      <w:r w:rsidRPr="000215F8">
        <w:rPr>
          <w:rStyle w:val="af2"/>
          <w:rFonts w:eastAsia="Guttman Hodes"/>
          <w:rtl/>
        </w:rPr>
        <w:fldChar w:fldCharType="end"/>
      </w:r>
      <w:r>
        <w:rPr>
          <w:rFonts w:hint="cs"/>
          <w:rtl/>
        </w:rPr>
        <w:t xml:space="preserve"> לבאר כן בדעת </w:t>
      </w:r>
      <w:r w:rsidRPr="007637C7">
        <w:rPr>
          <w:rStyle w:val="aff4"/>
          <w:rFonts w:hint="cs"/>
          <w:vanish/>
          <w:rtl/>
        </w:rPr>
        <w:t>-</w:t>
      </w:r>
      <w:r w:rsidRPr="007637C7">
        <w:rPr>
          <w:rStyle w:val="aff4"/>
          <w:rFonts w:hint="cs"/>
          <w:rtl/>
        </w:rPr>
        <w:t>רש"י</w:t>
      </w:r>
      <w:r w:rsidRPr="007637C7">
        <w:rPr>
          <w:rStyle w:val="aff4"/>
          <w:rFonts w:hint="cs"/>
          <w:vanish/>
          <w:rtl/>
        </w:rPr>
        <w:t>-</w:t>
      </w:r>
      <w:r>
        <w:rPr>
          <w:rFonts w:hint="cs"/>
          <w:rtl/>
        </w:rPr>
        <w:t xml:space="preserve">, אך יעוי' במה שביאר </w:t>
      </w:r>
      <w:r w:rsidRPr="00255628">
        <w:rPr>
          <w:rStyle w:val="aff4"/>
          <w:vanish/>
          <w:rtl/>
        </w:rPr>
        <w:t>-</w:t>
      </w:r>
      <w:r w:rsidRPr="00255628">
        <w:rPr>
          <w:rStyle w:val="aff4"/>
          <w:rtl/>
        </w:rPr>
        <w:t>ה</w:t>
      </w:r>
      <w:r w:rsidRPr="004A7E3D">
        <w:rPr>
          <w:rStyle w:val="aff4"/>
          <w:rFonts w:hint="cs"/>
          <w:vanish/>
          <w:rtl/>
        </w:rPr>
        <w:t>&lt; &gt;</w:t>
      </w:r>
      <w:r w:rsidRPr="00255628">
        <w:rPr>
          <w:rStyle w:val="aff4"/>
          <w:rtl/>
        </w:rPr>
        <w:t>אבן האזל</w:t>
      </w:r>
      <w:r w:rsidRPr="00255628">
        <w:rPr>
          <w:rStyle w:val="aff4"/>
          <w:vanish/>
          <w:rtl/>
        </w:rPr>
        <w:t>-</w:t>
      </w:r>
      <w:r w:rsidRPr="008074B8">
        <w:rPr>
          <w:rtl/>
        </w:rPr>
        <w:t xml:space="preserve"> </w:t>
      </w:r>
      <w:r>
        <w:rPr>
          <w:rStyle w:val="af2"/>
          <w:rFonts w:eastAsia="Guttman Hodes" w:hint="cs"/>
          <w:rtl/>
        </w:rPr>
        <w:t xml:space="preserve">(עי' </w:t>
      </w:r>
      <w:r w:rsidRPr="00BB63DD">
        <w:rPr>
          <w:rStyle w:val="af2"/>
          <w:rFonts w:eastAsia="Guttman Hodes" w:hint="cs"/>
          <w:rtl/>
        </w:rPr>
        <w:t>אות</w:t>
      </w:r>
      <w:r>
        <w:rPr>
          <w:rStyle w:val="af2"/>
          <w:rFonts w:eastAsia="Guttman Hodes" w:hint="cs"/>
          <w:rtl/>
        </w:rPr>
        <w:t xml:space="preserve">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Ref144222265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סב)</w:t>
      </w:r>
      <w:r>
        <w:rPr>
          <w:rStyle w:val="af2"/>
          <w:rFonts w:eastAsia="Guttman Hodes"/>
          <w:rtl/>
        </w:rPr>
        <w:fldChar w:fldCharType="end"/>
      </w:r>
      <w:r w:rsidRPr="004A7E3D">
        <w:rPr>
          <w:rFonts w:hint="cs"/>
          <w:vanish/>
          <w:rtl/>
        </w:rPr>
        <w:t>=</w:t>
      </w:r>
      <w:r w:rsidRPr="00BB63DD">
        <w:rPr>
          <w:rStyle w:val="af2"/>
          <w:rFonts w:eastAsia="Guttman Hodes" w:hint="cs"/>
          <w:rtl/>
        </w:rPr>
        <w:t xml:space="preserve"> </w:t>
      </w:r>
      <w:r>
        <w:rPr>
          <w:rFonts w:hint="cs"/>
          <w:rtl/>
        </w:rPr>
        <w:t xml:space="preserve">דאף </w:t>
      </w:r>
      <w:r w:rsidRPr="007637C7">
        <w:rPr>
          <w:rStyle w:val="aff4"/>
          <w:rFonts w:hint="cs"/>
          <w:vanish/>
          <w:rtl/>
        </w:rPr>
        <w:t>-</w:t>
      </w:r>
      <w:r>
        <w:rPr>
          <w:rStyle w:val="aff4"/>
          <w:rFonts w:hint="cs"/>
          <w:rtl/>
        </w:rPr>
        <w:t>ל</w:t>
      </w:r>
      <w:r w:rsidRPr="007637C7">
        <w:rPr>
          <w:rStyle w:val="aff4"/>
          <w:rFonts w:hint="cs"/>
          <w:rtl/>
        </w:rPr>
        <w:t>הרמב"ם</w:t>
      </w:r>
      <w:r w:rsidRPr="007637C7">
        <w:rPr>
          <w:rStyle w:val="aff4"/>
          <w:rFonts w:hint="cs"/>
          <w:vanish/>
          <w:rtl/>
        </w:rPr>
        <w:t>-</w:t>
      </w:r>
      <w:r>
        <w:rPr>
          <w:rFonts w:hint="cs"/>
          <w:rtl/>
        </w:rPr>
        <w:t xml:space="preserve"> א"א לחייב גם במלאכה אחרת וגם במכה בפטיש.</w:t>
      </w:r>
      <w:bookmarkEnd w:id="5188"/>
      <w:bookmarkEnd w:id="5194"/>
    </w:p>
    <w:p w14:paraId="38BE6A10" w14:textId="77777777" w:rsidR="00A14FDA" w:rsidRPr="002C5098" w:rsidRDefault="00A14FDA" w:rsidP="00A14FDA">
      <w:pPr>
        <w:pStyle w:val="a2"/>
        <w:rPr>
          <w:rtl/>
        </w:rPr>
      </w:pPr>
      <w:r w:rsidRPr="00806C89">
        <w:rPr>
          <w:rtl/>
        </w:rPr>
        <w:t xml:space="preserve">ונראה שהוא ז"ל מפרש דמ"ש רב חייב משום בונה כלומר אפי' משום בונה וה"ה משום מכה בפטיש דהוי גמר מלאכה אלא שהוא מוסיף ואומר שחייב משום בונה דלדידיה אתי מתני' דהקודח כל שהו כפשטה. </w:t>
      </w:r>
      <w:r w:rsidRPr="00284C78">
        <w:rPr>
          <w:rStyle w:val="afffffffff9"/>
          <w:rtl/>
        </w:rPr>
        <w:t>וכן מצינו דומה לזה בפ' תולין (דף קל"ח) גבי מ"ש בגמרא משום מאי מתרינן ביה רבה אמר משום בורר ר"ז אמר משום מרקד ושם פירש"י ז"ל דרבה דאמר משום בורר ה"ה משום מרקד אלא שר"ז פליג ארבה וכן רבינו בפ"ח נראה שפירש כן שכתב בפ"ח ה"ז תולדת בורר או תולדת מרקד ונראה שפסק כרבה כדפרישית שם:</w:t>
      </w:r>
      <w:r w:rsidRPr="002C5098">
        <w:rPr>
          <w:rtl/>
        </w:rPr>
        <w:t xml:space="preserve"> וא"ת אמאי לא כתב שם חייב שתים משום בורר ומרקד דומה למ"ש למעלה בזומר וצריך לעצים שחייב שתים. וי"ל דהוא סבור דבורר ומרקד דמו להדדי ואין ראוי שיהיה חייב שתים ולא הוי אלא לענין התראה וז"ש בגמרא משום מאי מתרינן ביה וכו'. ומ"מ סתם כאן רבינו הרבה בזה שהיה לו לכתוב חייב משום בונה ומשום מכה בפטיש אלא שהוא סמך על מ"ש לקמן והדברים סתומים:.</w:t>
      </w:r>
    </w:p>
    <w:p w14:paraId="7BF7A7A6" w14:textId="77777777" w:rsidR="00A14FDA" w:rsidRPr="00BC7DC8" w:rsidRDefault="00A14FDA" w:rsidP="00A14FDA">
      <w:pPr>
        <w:pStyle w:val="afffffe"/>
        <w:rPr>
          <w:vanish/>
          <w:rtl/>
        </w:rPr>
      </w:pPr>
      <w:r w:rsidRPr="00BC7DC8">
        <w:rPr>
          <w:vanish/>
          <w:rtl/>
        </w:rPr>
        <w:t>מנחת מוסך השבת הבונה אות ד'</w:t>
      </w:r>
    </w:p>
    <w:p w14:paraId="66E78237" w14:textId="77777777" w:rsidR="00A14FDA" w:rsidRPr="00806C89" w:rsidRDefault="00A14FDA" w:rsidP="00A14FDA">
      <w:pPr>
        <w:pStyle w:val="afffff5"/>
        <w:rPr>
          <w:rtl/>
        </w:rPr>
      </w:pPr>
      <w:r w:rsidRPr="00806C89">
        <w:rPr>
          <w:rtl/>
        </w:rPr>
        <w:t>המגבן חייב משום בונה וצריך שיהי' שיעור כגרוגרת כיון דהוא באוכלין ויש פוסקים דאינו אלא משום שבות עמ"מ כאן ופ"ח. המכניס יד הקורדם תוך העץ שלו ה"ז תולדת בונה כ"ה לשון הר"מ והוא פלוגתא פ' הבונה רב סובר משום בונה ושמואל סובר משום מכה בפטיש ופוסק רבינו כרב דהלכתא כוותי' באיסורי ולכאור' נ' מהש"ס דר"ס משום בונה היינו בונה גם כן אבל משום מכה בפטיש למה לא יתחייב הא הוי גמר מלאכה ושמואל סובר דא"ח משום בונה דאין דרך בנין בכך ע"ש בסוגיא אבל משום מכה בפטיש למה לא יתחייב ואפשר דדעת הר"מ ג"כ דמביא דחייב משום בונה דהוא רבותא דהוא פלוגתא אבל משום מכה בפטיש חייב ג"כ.</w:t>
      </w:r>
    </w:p>
    <w:p w14:paraId="5A7B5C02" w14:textId="77777777" w:rsidR="00A14FDA" w:rsidRPr="00BC7DC8" w:rsidRDefault="00A14FDA" w:rsidP="00A14FDA">
      <w:pPr>
        <w:pStyle w:val="afffffe"/>
        <w:rPr>
          <w:vanish/>
          <w:rtl/>
        </w:rPr>
      </w:pPr>
      <w:r w:rsidRPr="00BC7DC8">
        <w:rPr>
          <w:vanish/>
          <w:rtl/>
        </w:rPr>
        <w:t>שנות אליהו הקצר שבת פי"ב מ"א</w:t>
      </w:r>
    </w:p>
    <w:p w14:paraId="4985A55F" w14:textId="77777777" w:rsidR="00A14FDA" w:rsidRPr="00806C89" w:rsidRDefault="00A14FDA" w:rsidP="00A14FDA">
      <w:pPr>
        <w:pStyle w:val="afffff5"/>
        <w:rPr>
          <w:rtl/>
        </w:rPr>
      </w:pPr>
      <w:r w:rsidRPr="00806C89">
        <w:rPr>
          <w:rtl/>
        </w:rPr>
        <w:t xml:space="preserve">הקודח כל שהוא חייב. ופליגא בגמ' דלשמואל המסתת והקודח חייב משום מכה בפטיש. ולרב חייב אף משום בונה. דכן משמע בגמרא דקאמר אבל בהא אימא מודה לשמואל דהוה ליה למימר אבל בהא פטור. </w:t>
      </w:r>
    </w:p>
    <w:p w14:paraId="272615E3" w14:textId="77777777" w:rsidR="00A14FDA" w:rsidRDefault="00A14FDA" w:rsidP="00A14FDA">
      <w:pPr>
        <w:pStyle w:val="afffff7"/>
        <w:rPr>
          <w:rtl/>
        </w:rPr>
      </w:pPr>
      <w:bookmarkStart w:id="5195" w:name="_Toc144224672"/>
      <w:bookmarkStart w:id="5196" w:name="_Toc163506220"/>
      <w:r w:rsidRPr="002C5098">
        <w:rPr>
          <w:rtl/>
        </w:rPr>
        <w:t>מרכבת המשנה שבת פ"י הי"ד</w:t>
      </w:r>
      <w:bookmarkEnd w:id="5195"/>
      <w:bookmarkEnd w:id="5196"/>
      <w:r w:rsidRPr="00421A47">
        <w:rPr>
          <w:vanish/>
          <w:rtl/>
        </w:rPr>
        <w:t xml:space="preserve"> (ב)</w:t>
      </w:r>
    </w:p>
    <w:p w14:paraId="7B228046" w14:textId="77777777" w:rsidR="00A14FDA" w:rsidRDefault="00A14FDA" w:rsidP="00A14FDA">
      <w:pPr>
        <w:pStyle w:val="afffff7"/>
        <w:rPr>
          <w:rtl/>
        </w:rPr>
      </w:pPr>
      <w:bookmarkStart w:id="5197" w:name="_Toc144224673"/>
      <w:bookmarkStart w:id="5198" w:name="_Toc163506221"/>
      <w:r>
        <w:rPr>
          <w:rtl/>
        </w:rPr>
        <w:t>חדושי מים חיים שבת פ"י הי"ד</w:t>
      </w:r>
      <w:bookmarkEnd w:id="5197"/>
      <w:bookmarkEnd w:id="5198"/>
      <w:r w:rsidRPr="00421A47">
        <w:rPr>
          <w:vanish/>
          <w:rtl/>
        </w:rPr>
        <w:t xml:space="preserve"> (ב)</w:t>
      </w:r>
    </w:p>
    <w:p w14:paraId="75A00353" w14:textId="77777777" w:rsidR="00A14FDA" w:rsidRPr="00F63F14" w:rsidRDefault="00A14FDA" w:rsidP="00A14FDA">
      <w:pPr>
        <w:pStyle w:val="a7"/>
        <w:rPr>
          <w:rtl/>
        </w:rPr>
      </w:pPr>
      <w:bookmarkStart w:id="5199" w:name="_Toc144225270"/>
      <w:r>
        <w:rPr>
          <w:rFonts w:hint="cs"/>
          <w:rtl/>
        </w:rPr>
        <w:t>בי' המרכה"מ ברמב"ם דא"א לחייב בכל מלאכה גם מבכב"פ ובנקב גדול גמר מלאכה ומכב"פ</w:t>
      </w:r>
      <w:bookmarkEnd w:id="5199"/>
    </w:p>
    <w:p w14:paraId="16AC77C6" w14:textId="25CD7733" w:rsidR="00A14FDA" w:rsidRPr="00F63F14" w:rsidRDefault="00A14FDA" w:rsidP="00BC7DC8">
      <w:pPr>
        <w:pStyle w:val="a3"/>
        <w:rPr>
          <w:rtl/>
        </w:rPr>
      </w:pPr>
      <w:bookmarkStart w:id="5200" w:name="_Ref144117260"/>
      <w:r>
        <w:rPr>
          <w:rFonts w:hint="cs"/>
          <w:rtl/>
        </w:rPr>
        <w:t>ודחה</w:t>
      </w:r>
      <w:r>
        <w:rPr>
          <w:rtl/>
        </w:rPr>
        <w:t xml:space="preserve"> </w:t>
      </w:r>
      <w:r w:rsidRPr="002E3D1C">
        <w:rPr>
          <w:b/>
          <w:bCs/>
          <w:rtl/>
        </w:rPr>
        <w:t>ה</w:t>
      </w:r>
      <w:r w:rsidRPr="002E3D1C">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Ref144117260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לו)</w:t>
      </w:r>
      <w:r>
        <w:rPr>
          <w:b/>
          <w:bCs/>
          <w:vanish/>
          <w:rtl/>
        </w:rPr>
        <w:fldChar w:fldCharType="end"/>
      </w:r>
      <w:r w:rsidRPr="002E3D1C">
        <w:rPr>
          <w:b/>
          <w:bCs/>
          <w:vanish/>
          <w:rtl/>
        </w:rPr>
        <w:t xml:space="preserve"> &gt;</w:t>
      </w:r>
      <w:r>
        <w:rPr>
          <w:rFonts w:hint="cs"/>
          <w:b/>
          <w:bCs/>
          <w:rtl/>
        </w:rPr>
        <w:t>מרכבת המשנה</w:t>
      </w:r>
      <w:r w:rsidRPr="002E3D1C">
        <w:rPr>
          <w:b/>
          <w:bCs/>
          <w:rtl/>
        </w:rPr>
        <w:t xml:space="preserve"> </w:t>
      </w:r>
      <w:r w:rsidRPr="00C8052D">
        <w:rPr>
          <w:rStyle w:val="af2"/>
          <w:rFonts w:eastAsia="Guttman Hodes"/>
          <w:rtl/>
        </w:rPr>
        <w:t>(</w:t>
      </w:r>
      <w:r w:rsidRPr="00C8052D">
        <w:rPr>
          <w:rStyle w:val="af2"/>
          <w:rFonts w:eastAsia="Guttman Hodes" w:hint="cs"/>
          <w:rtl/>
        </w:rPr>
        <w:t>שבת פ"י הי"ד</w:t>
      </w:r>
      <w:r w:rsidRPr="00C8052D">
        <w:rPr>
          <w:rStyle w:val="af2"/>
          <w:rFonts w:eastAsia="Guttman Hodes"/>
          <w:rtl/>
        </w:rPr>
        <w:t>)</w:t>
      </w:r>
      <w:r w:rsidRPr="002E3D1C">
        <w:rPr>
          <w:vanish/>
          <w:rtl/>
        </w:rPr>
        <w:t>=</w:t>
      </w:r>
      <w:r>
        <w:rPr>
          <w:rFonts w:hint="cs"/>
          <w:rtl/>
        </w:rPr>
        <w:t xml:space="preserve"> את דברי</w:t>
      </w:r>
      <w:r w:rsidRPr="002E3D1C">
        <w:rPr>
          <w:b/>
          <w:bCs/>
          <w:rtl/>
        </w:rPr>
        <w:t xml:space="preserve"> </w:t>
      </w:r>
      <w:r>
        <w:rPr>
          <w:rFonts w:hint="cs"/>
          <w:b/>
          <w:bCs/>
          <w:rtl/>
        </w:rPr>
        <w:t>הלח"מ</w:t>
      </w:r>
      <w:r>
        <w:rPr>
          <w:rtl/>
        </w:rPr>
        <w:t xml:space="preserve"> </w:t>
      </w:r>
      <w:r>
        <w:rPr>
          <w:rFonts w:hint="cs"/>
          <w:rtl/>
        </w:rPr>
        <w:t>דא"כ בכל מלאכה צריך להתחייב גם משום המלאכה וגם משם מכה בפטיש, אלא ביאר</w:t>
      </w:r>
      <w:r w:rsidRPr="0075582F">
        <w:rPr>
          <w:b/>
          <w:bCs/>
          <w:rtl/>
        </w:rPr>
        <w:t xml:space="preserve"> </w:t>
      </w:r>
      <w:r>
        <w:rPr>
          <w:rFonts w:hint="cs"/>
          <w:b/>
          <w:bCs/>
          <w:rtl/>
        </w:rPr>
        <w:t>המרכבת המשנה</w:t>
      </w:r>
      <w:r>
        <w:rPr>
          <w:rtl/>
        </w:rPr>
        <w:t xml:space="preserve"> </w:t>
      </w:r>
      <w:r>
        <w:rPr>
          <w:rFonts w:hint="cs"/>
          <w:rtl/>
        </w:rPr>
        <w:t>דלרב חייב רק משום בונה, ואף אם התרו בו משום מכה בפטיש פטור, ורק במסתת פסק</w:t>
      </w:r>
      <w:r w:rsidRPr="00C95077">
        <w:rPr>
          <w:b/>
          <w:bCs/>
          <w:rtl/>
        </w:rPr>
        <w:t xml:space="preserve"> </w:t>
      </w:r>
      <w:r>
        <w:rPr>
          <w:rFonts w:hint="cs"/>
          <w:b/>
          <w:bCs/>
          <w:rtl/>
        </w:rPr>
        <w:t>הרמב"ם</w:t>
      </w:r>
      <w:r>
        <w:rPr>
          <w:rtl/>
        </w:rPr>
        <w:t xml:space="preserve"> </w:t>
      </w:r>
      <w:r>
        <w:rPr>
          <w:rFonts w:hint="cs"/>
          <w:rtl/>
        </w:rPr>
        <w:t xml:space="preserve">כשמואל כיון דס"ל דדמי יותר לבנין, אבל בלול של תרנגולין ושופתא בקופינא דמרא פסק כרב דחייב רק משום בונה, והיינו בנקב קטן העשוי לאורה דבזה אין גמר מלאכה, אבל בנקב גדול העשוי גם לאוירא אם התרו בו משום מכה בפטיש חייב, כיון דהוא גמר מלאכה, וכ"כ </w:t>
      </w:r>
      <w:r w:rsidRPr="00255628">
        <w:rPr>
          <w:rStyle w:val="aff4"/>
          <w:rFonts w:hint="cs"/>
          <w:vanish/>
          <w:rtl/>
        </w:rPr>
        <w:t>-</w:t>
      </w:r>
      <w:r w:rsidRPr="00255628">
        <w:rPr>
          <w:rStyle w:val="aff4"/>
          <w:rFonts w:hint="cs"/>
          <w:rtl/>
        </w:rPr>
        <w:t>ה</w:t>
      </w:r>
      <w:r w:rsidRPr="00255628">
        <w:rPr>
          <w:rStyle w:val="aff4"/>
          <w:rFonts w:hint="cs"/>
          <w:vanish/>
          <w:rtl/>
        </w:rPr>
        <w:t>&lt; &gt;</w:t>
      </w:r>
      <w:r w:rsidRPr="00255628">
        <w:rPr>
          <w:rStyle w:val="aff4"/>
          <w:rFonts w:hint="cs"/>
          <w:rtl/>
        </w:rPr>
        <w:t>פר"ח בהג' מים חיים</w:t>
      </w:r>
      <w:r w:rsidRPr="00255628">
        <w:rPr>
          <w:rStyle w:val="aff4"/>
          <w:rFonts w:hint="cs"/>
          <w:vanish/>
          <w:rtl/>
        </w:rPr>
        <w:t>-</w:t>
      </w:r>
      <w:r>
        <w:rPr>
          <w:rFonts w:hint="cs"/>
          <w:rtl/>
        </w:rPr>
        <w:t xml:space="preserve"> </w:t>
      </w:r>
      <w:r w:rsidRPr="00C8052D">
        <w:rPr>
          <w:rStyle w:val="af2"/>
          <w:rFonts w:eastAsia="Guttman Hodes" w:hint="cs"/>
          <w:rtl/>
        </w:rPr>
        <w:t>(שבת פ"י הי"ד, נד' בסוף הרמב"ם מהדו' פרנקל)</w:t>
      </w:r>
      <w:r w:rsidRPr="00255628">
        <w:rPr>
          <w:rFonts w:hint="cs"/>
          <w:vanish/>
          <w:rtl/>
        </w:rPr>
        <w:t>=</w:t>
      </w:r>
      <w:r>
        <w:rPr>
          <w:rFonts w:hint="cs"/>
          <w:rtl/>
        </w:rPr>
        <w:t>, וע"ע במה שהאריך</w:t>
      </w:r>
      <w:r>
        <w:rPr>
          <w:rtl/>
        </w:rPr>
        <w:t xml:space="preserve"> </w:t>
      </w:r>
      <w:r>
        <w:rPr>
          <w:rFonts w:hint="cs"/>
          <w:b/>
          <w:bCs/>
          <w:rtl/>
        </w:rPr>
        <w:t>ה</w:t>
      </w:r>
      <w:r w:rsidRPr="009367DA">
        <w:rPr>
          <w:b/>
          <w:bCs/>
          <w:vanish/>
          <w:rtl/>
        </w:rPr>
        <w:t>&lt; &gt;</w:t>
      </w:r>
      <w:r>
        <w:rPr>
          <w:rFonts w:hint="cs"/>
          <w:b/>
          <w:bCs/>
          <w:rtl/>
        </w:rPr>
        <w:t>דברי מרדכי</w:t>
      </w:r>
      <w:r w:rsidRPr="009367DA">
        <w:rPr>
          <w:b/>
          <w:bCs/>
          <w:rtl/>
        </w:rPr>
        <w:t xml:space="preserve"> </w:t>
      </w:r>
      <w:r w:rsidRPr="00C8052D">
        <w:rPr>
          <w:rStyle w:val="af2"/>
          <w:rFonts w:eastAsia="Guttman Hodes"/>
          <w:rtl/>
        </w:rPr>
        <w:t>(</w:t>
      </w:r>
      <w:r w:rsidRPr="00C8052D">
        <w:rPr>
          <w:rStyle w:val="af2"/>
          <w:rFonts w:eastAsia="Guttman Hodes" w:hint="cs"/>
          <w:rtl/>
        </w:rPr>
        <w:t>שבת סי' י"ב סק"ו</w:t>
      </w:r>
      <w:r w:rsidRPr="00C8052D">
        <w:rPr>
          <w:rStyle w:val="af2"/>
          <w:rFonts w:eastAsia="Guttman Hodes"/>
          <w:rtl/>
        </w:rPr>
        <w:t>)</w:t>
      </w:r>
      <w:r w:rsidRPr="009367DA">
        <w:rPr>
          <w:vanish/>
          <w:rtl/>
        </w:rPr>
        <w:t>=</w:t>
      </w:r>
      <w:r>
        <w:rPr>
          <w:rFonts w:hint="cs"/>
          <w:rtl/>
        </w:rPr>
        <w:t xml:space="preserve"> בדברי</w:t>
      </w:r>
      <w:r w:rsidRPr="009367DA">
        <w:rPr>
          <w:b/>
          <w:bCs/>
          <w:rtl/>
        </w:rPr>
        <w:t xml:space="preserve"> </w:t>
      </w:r>
      <w:r>
        <w:rPr>
          <w:rFonts w:hint="cs"/>
          <w:b/>
          <w:bCs/>
          <w:rtl/>
        </w:rPr>
        <w:t>המרכה"מ</w:t>
      </w:r>
      <w:r>
        <w:rPr>
          <w:rFonts w:hint="cs"/>
          <w:rtl/>
        </w:rPr>
        <w:t>.</w:t>
      </w:r>
      <w:bookmarkEnd w:id="5200"/>
    </w:p>
    <w:p w14:paraId="717B9AB4" w14:textId="77777777" w:rsidR="00A14FDA" w:rsidRPr="00BC7DC8" w:rsidRDefault="00A14FDA" w:rsidP="00A14FDA">
      <w:pPr>
        <w:pStyle w:val="afffffe"/>
        <w:rPr>
          <w:vanish/>
          <w:rtl/>
        </w:rPr>
      </w:pPr>
      <w:r w:rsidRPr="00BC7DC8">
        <w:rPr>
          <w:vanish/>
          <w:rtl/>
        </w:rPr>
        <w:t>מרכבת המשנה שבת פ"י הי"ד</w:t>
      </w:r>
    </w:p>
    <w:p w14:paraId="2DEAD8F0" w14:textId="77777777" w:rsidR="00A14FDA" w:rsidRPr="00D87F8B" w:rsidRDefault="00A14FDA" w:rsidP="00A14FDA">
      <w:pPr>
        <w:pStyle w:val="a2"/>
        <w:rPr>
          <w:rtl/>
        </w:rPr>
      </w:pPr>
      <w:r w:rsidRPr="00D87F8B">
        <w:rPr>
          <w:rtl/>
        </w:rPr>
        <w:t>העושה נקב וכו'. עיין בכ"מ ובלח"מ ועיין מ"ש לעיל פ"ז ה"ז בשם מוה"ר בצלאל אשכנזי דלא כלח"מ וגוף הסברא של הלח"מ דחוייה דא"כ בכל הל"ח מלאכות היכא דהו"ל גמר מלאכה כמו האופה שהוא גמר מלאכת הפת והאורג יהיה חייב משום מכה בפטיש והאמת יורה דרכו דלא דמי לזומר וצריך לעצים דחייב שתים משום שנמשך מפעולתו ב' מלאכות זריעה וקצירה וכן החותה גחלים שהוא מכבה ומבעיר וכה"ג הזורק חץ והרג אדם ועקר אילן דחייב משום שוחט ומשום קוצר משא"כ העושה פעולה אחת הדומה למלאכה מל"ח מלאכות אף על פי שהיא גמר מלאכה אין לחייבו אף משום מכה בפטיש וכן מבואר בירושלמי פ' כלל גדול ר' יוחנן וריש לקיש עבדין הוו בהדא פירקא תלת שנין ופלוג אפקין מיניה ארבעין חסר אחת תולדין על כל חדא וחדא מן דאשכחן מיסמוך סמכין הא דלא אשכחן מיסמך עבדוניה משום מכה בפטיש ע"כ. ולפ"ז פשוט דלרב דחייב משום בונה אין לחייבו משום מכה בפטיש אף על גב דהוה גמר מלאכה. וגם אין לומר דאף רב מודה דאם התרו בו משום מכה בפטיש גרידא חייב בלול ושופתא אלא במסתת סובר רבנו שהוא דומה למכה בפטיש מצד העצם דכמו שהמכה בפטיש כוונתו להחליק ולרדד הטסין ה"נ המסתת כוונתו להחליק האבן ולא שהדמיון הוא מחמת דהו"ל גמר מלאכה הילכך במסתת אינו חייב משום בונה כיון דדמי בעצם למכה בפטיש משא"כ בלול ושופתא דמו טפי לבונה אלא מחמת שהם גמר מלאכה חייב משום מכה בפטיש אם התרו בו משמיה והוא הדין לכל המלאכות שהם גמר מלאכה אם לא התרו ביה משום אב שלה אלא משום מכה בפטיש חייב וזה נכלל במ"ש רבינו לקמן הט"ז והיינו הא דאמר רבה ור' זירא כל מידי דאית ביה גמר מלאכה חייב משום מכה בפטיש. דזה אינו דכיון דמסתת דדמי נמי לבונה אינו חייב משום בונה הואיל דדמי טפי למכה בפטיש א"כ ה"ה לכל מלאכת גמר מלאכה דיש לה אב אין לחייבה משום מכה בפטיש כלל וכמשמעות הירושלמי הנ"ל דכל שיש לה סמוכין אין לחייבה משום מכה בפטיש:</w:t>
      </w:r>
    </w:p>
    <w:p w14:paraId="2591383F" w14:textId="77777777" w:rsidR="00A14FDA" w:rsidRPr="00806C89" w:rsidRDefault="00A14FDA" w:rsidP="00A14FDA">
      <w:pPr>
        <w:pStyle w:val="afffff5"/>
        <w:rPr>
          <w:rtl/>
        </w:rPr>
      </w:pPr>
      <w:r w:rsidRPr="00806C89">
        <w:rPr>
          <w:rtl/>
        </w:rPr>
        <w:t>לכן נ"ל דרבנו סובר דאף רב מודה דקודח דמתניתין הו"ל משום מכה בפטיש ולא נחלקו אלא בעושה נקב בלול של תרנגולים דדמי לבונה הילכך מחייב ליה רב משום בונה דכל היכא דאשכחן מסמוך סמכין משא"כ העושה נקב במקום דלא שייך בנין חייב משום מכה בפטיש אפילו לרב. דודאי הא דפריך בגמרא והאנן תנן המסתת והמכה בפטיש אין כוונתו דכיון דתנן תרתי אלמא דמסתת לאו היינו מכה בפטיש דזה אינו דא"כ אף לרב תקשה הא דתנן הבונה והמסתת אלא ודאי דנקיט האב והתולדה על דרך דתני החורש והמנכש וכו' אלא דהקושיא מסדר המשנה מדהקדים המסתת למכה בפטיש ואין דרך לבאר התולדה קודם לאב. ולפ"ז בהכרח נמי מה שאיחרה מתניתין הקודח למכה בפטיש דהו"ל משום מכה בפטיש לא משום בונה וכבר הרגישו התוספות בזה בד"ה העושה נקב וכו' ורבנו סובר דמודה רב בקודח דהו"ל מכה בפטיש אלא דפליג בנקב לול לחודא וכ"כ רבנו בפי' המשנה עיין שם. ודלא כפירש"י דמפרש דקודח דמתניתין היינו נקב העשוי למלאות דלא שייך ביה מכה בפטיש שאינו גמר מלאכה ונוקב היינו נקב שאינו עשוי למלאות ולדעת רבנו אין הבדל ביניהם וקודח דמתניתין היינו שנוקב במקדח והנוקב בקוץ או בסכין קרוי נוקב:</w:t>
      </w:r>
    </w:p>
    <w:p w14:paraId="4F27802F" w14:textId="77777777" w:rsidR="00A14FDA" w:rsidRPr="00806C89" w:rsidRDefault="00A14FDA" w:rsidP="00A14FDA">
      <w:pPr>
        <w:pStyle w:val="afffff5"/>
        <w:rPr>
          <w:rtl/>
        </w:rPr>
      </w:pPr>
      <w:r w:rsidRPr="00806C89">
        <w:rPr>
          <w:rtl/>
        </w:rPr>
        <w:t>והא דפריך בגמרא ת"ש הקודח וכו' נ"ל לפרש לדרך רבנו דלא כפירש"י דדחוק לפירש"י לשון בשלמא לרב מחזי כמאן דחר חורתא וכו' וגם התוספות נדחקו בזה. ועיין בתוספות ד"ה לול וכו'. נראה מדבריהם דס"ל דשמואל לית ליה הא דאמר רבה דף קמ"ו דנקב הלול חשיב פתח להכניס ולהוציא וס"ל לשמואל דפתח העשוי להכניס ולהוציא הוה תולדה דבונה שכן עושים בבנין פתח גמור להכניס ולהוציא ולצאת ולבוא משא"כ משום מכה בפטיש חייב אפילו בפתח שאין עשוי להכניס ולהוציא כל מידי דאית ביה גמר מלאכה דומיא דנקב הלול משא"כ פתח שאינו עשוי להכניס ולהוציא וגם איננו גמר מלאכה פטור לשמואל הילכך בנקב החבית דלקמן דף קמ"ו דלא הוה גמר מלאכה אינו חייב אלא דאסור משום גזרת נקב הלול. ולא נהירא דכיון דס"ל לשמואל דנקב הלול אינו עשוי להכניס ולהוציא ואפ"ה חשיב גמר מלאכה חייב משום מכה בפטיש א"כ גם נקב החבית חשיב גמר מלאכה ותיקון כלי דלא גרע מהצר צורה והמגרד כל שהוא. ותו דרב דס"ל דנקב הלול משום בונה ואיהו לא בעי פתח להכניס ולהוציא מדחייב בשופתא משום בונה כמ"ש התוס' בד"ה בשלמא וא"כ מלתא דרבה דף קמ"ו דלא כמאן:</w:t>
      </w:r>
    </w:p>
    <w:p w14:paraId="396D66DD" w14:textId="77777777" w:rsidR="00A14FDA" w:rsidRPr="00806C89" w:rsidRDefault="00A14FDA" w:rsidP="00A14FDA">
      <w:pPr>
        <w:pStyle w:val="afffff5"/>
        <w:rPr>
          <w:rtl/>
        </w:rPr>
      </w:pPr>
      <w:r w:rsidRPr="00806C89">
        <w:rPr>
          <w:rtl/>
        </w:rPr>
        <w:t>אמנם דעת רבנו נראה איפכא דמשום בונה לא בעינן נקב העשוי להכניס ולהוציא וכן משמע קצת לשון הגמרא בהא קאמר רב משום דדמי לבנין דעבדיה לאוירא ולא נקיט דעביד לעיולי אוירא ולאפוקי הבלא כמ"ש לקמן דף קמ"ו וכן משמעות לשון רבנו שכתב כדי שיכנס להן האורה ולא כתב לשון כדי שיכנס האורה ויצא ההבל כמ"ש לקמן ריש פכ"ג והיינו משום דפתח קטן העשוי להכניס אורה לחוד חשיב בונה כמאן דחר חורתא לבנינא. אמנם משום מכה בפטיש בעינן שיהא הנקב גדול להוציא ההבל דאז מקרי גמר מלאכה והיינו הא דאמרן בדף קמ"ו דיש אומרים דאין מוסיפין משום דזימנין דלא תקניה מעיקרא ואתי לארווחי בה עיין שם המורם מזה דהעושה נקב כשיעור להכניס ולהוציא חייב משום מכה בפטיש בלול של תרנגולים והיינו הא דכתב רבנו לקמן ריש פכ"ג והא ודאי דחייב משום בונה אלא דה"ק רבנו דאם עשה נקב גדול כזה חייב אף משום מכה בפטיש אם התרו ביה א"נ דה"ק ריש פכ"ג דכל נקב העשוי להכניס ולהוציא דומיא דנקב הלול חייב משום מכה בפטיש משא"כ בנקב הלול דחייב משום בונה. אמנם העושה נקב קטן להכניס אורה לבד חייב משום בונה ולא משום מכה מפטיש והיינו דפליגי רב ושמואל בעושה נקב קטן בלול דחייב לרב ולשמואל פטור עד שיהיה נקב גדול להכניס ולהוציא כיון דלית ליה משום בונה. אמנם הא ודאי דלא מחייב רב משום בונה אלא בנקב הלול דעביד לאוירא דמחזי כמאן דחר חורתא לבנינא להאיר משא"כ העושה נקב בעץ או במתכת אין ענין למלאכת בונה ואינו חייב אלא משום מכה בפטיש כמ"ש רבינו לקמן הט"ז מיהו בעינן שיהיה בנקב כדי להכניס ולהוציא כמ"ש רבינו לקמן הט"ז:</w:t>
      </w:r>
    </w:p>
    <w:p w14:paraId="350FF351" w14:textId="77777777" w:rsidR="00A14FDA" w:rsidRPr="00806C89" w:rsidRDefault="00A14FDA" w:rsidP="00A14FDA">
      <w:pPr>
        <w:pStyle w:val="afffff5"/>
        <w:rPr>
          <w:rtl/>
        </w:rPr>
      </w:pPr>
      <w:r w:rsidRPr="00806C89">
        <w:rPr>
          <w:rtl/>
        </w:rPr>
        <w:t>ומ"ש רבינו שם העושה נקב כל שהוא לאו דוקא כל שהוא ממש דהא בעינן כשיעור להכניס ולהוציא כדאמרו בגמרא דף קמ"ו זימנין דלא תקניה מעיקרא ואתי לארווחי ביה. א"נ דבדעתו להוסיף אפ"ה חייב משיעשה כל שהו והוא שיהיה אותו המעט כשיעור להכניס ולהוציא ובגמרא דף ק"ג ע"ב הקודח כל שהוא המגרד כל שהוא המעבד כל שהוא הצר בכלי צורה כל שהוא ר' שמעון אומר עד שיקדח ויגרד ויעבד ויצור כולה ועיי"ש בתוספות דלשון כל שהוא לאו דוקא דהא ודאי במעבד איכא שיעורא כדי לעשות קמיע אלא דנקיט כל שהוא לאפוקי מדר"ש דס"ל דבעינן שישלם כל מלאכת תיקון אשר במחשבתו ויקדח כל הצורך קמ"ל דאפילו קדח מקצתו חייב והוא שיהיה המקצת כשיעור דהיינו כדי להכניס ולהוציא. ובהכי ניחא דאף רב מודה דקודח דמתניתין משום מכה בפטיש והיינו בשארי קדיחה דלאו בלול כגון בעצים ובכלים דאע"ג דיש בנין בכלים היינו דווקא בעשיית הכלים אבל אין בנין וסתירה בכלים אחר היותם עיין סברא זו בבעל המאור ולהכי סידר רבנו הקדוש לקודח בתר מכה בפטיש ואפילו בבנין כל שאינו עושה נקב להאיר אלא להכניס ולהוציא חייב משום מכה בפטיש ובזה נתבארו כל פסקי רבנו ואין בהם סתירה והא דקאמר רבה דבעינן פתח העשוי להכניס ולהוציא אתיא אליבא דכו"ע ומשום מכה בפטיש דלא פליג רב אלא בנקב הלול גרידא לחייב משום בונה ואפילו אינו עשוי אלא להכניס אוירא דהיינו אורה גרידא.</w:t>
      </w:r>
    </w:p>
    <w:p w14:paraId="3FF64BC2" w14:textId="77777777" w:rsidR="00A14FDA" w:rsidRPr="00BC7DC8" w:rsidRDefault="00A14FDA" w:rsidP="00A14FDA">
      <w:pPr>
        <w:pStyle w:val="afffffe"/>
        <w:rPr>
          <w:vanish/>
          <w:rtl/>
        </w:rPr>
      </w:pPr>
      <w:r w:rsidRPr="00BC7DC8">
        <w:rPr>
          <w:vanish/>
          <w:rtl/>
        </w:rPr>
        <w:t>חדושי מים חיים שבת פ"י הי"ד</w:t>
      </w:r>
    </w:p>
    <w:p w14:paraId="66C52971" w14:textId="77777777" w:rsidR="00A14FDA" w:rsidRPr="00806C89" w:rsidRDefault="00A14FDA" w:rsidP="00A14FDA">
      <w:pPr>
        <w:pStyle w:val="afffff5"/>
        <w:rPr>
          <w:rtl/>
        </w:rPr>
      </w:pPr>
      <w:r w:rsidRPr="00806C89">
        <w:rPr>
          <w:rtl/>
        </w:rPr>
        <w:t>העושה נקב כל שהו. הקשה מרן שבסמוך כתב דעושה נקב בין בעץ בין בבנין הרי זה חייב משום מכה בפטיש וכן כתב בראש פרק כלל גדול ויש לומר דבפלוגתא רב ושמואל בנקב קטן העשוי להכניס בו האורה ולדעת רב אינו מספיק להוציא ההבל והלכך אינו חייב אלא משום בונה אבל אם עשה להכניס ולהוציא חייב נמי משום מכה בפטיש לפי שכבר נגמר:.</w:t>
      </w:r>
    </w:p>
    <w:p w14:paraId="34D3B755" w14:textId="77777777" w:rsidR="00A14FDA" w:rsidRDefault="00A14FDA" w:rsidP="00A14FDA">
      <w:pPr>
        <w:pStyle w:val="afffff7"/>
        <w:rPr>
          <w:rtl/>
        </w:rPr>
      </w:pPr>
      <w:bookmarkStart w:id="5201" w:name="_Toc144224674"/>
      <w:bookmarkStart w:id="5202" w:name="_Toc163506222"/>
      <w:r>
        <w:rPr>
          <w:rtl/>
        </w:rPr>
        <w:t>מגן אברהם סימן שיד ס"ק ג</w:t>
      </w:r>
      <w:bookmarkEnd w:id="5201"/>
      <w:bookmarkEnd w:id="5202"/>
      <w:r w:rsidRPr="00421A47">
        <w:rPr>
          <w:vanish/>
          <w:rtl/>
        </w:rPr>
        <w:t xml:space="preserve"> (ב)</w:t>
      </w:r>
    </w:p>
    <w:p w14:paraId="392D0535" w14:textId="77777777" w:rsidR="00A14FDA" w:rsidRDefault="00A14FDA" w:rsidP="00A14FDA">
      <w:pPr>
        <w:pStyle w:val="a7"/>
        <w:rPr>
          <w:rtl/>
        </w:rPr>
      </w:pPr>
      <w:bookmarkStart w:id="5203" w:name="_Toc144225271"/>
      <w:r>
        <w:rPr>
          <w:rFonts w:hint="cs"/>
          <w:rtl/>
        </w:rPr>
        <w:t>בי' המג"א ברמב"ם דבלול המחובר לקרקע חייב משום בונה ובאינו מחובר משום מכב"פ</w:t>
      </w:r>
      <w:bookmarkEnd w:id="5203"/>
    </w:p>
    <w:p w14:paraId="0F2D871E" w14:textId="1F101AA4" w:rsidR="00A14FDA" w:rsidRDefault="00A14FDA" w:rsidP="00BC7DC8">
      <w:pPr>
        <w:pStyle w:val="a3"/>
      </w:pPr>
      <w:r w:rsidRPr="00255628">
        <w:rPr>
          <w:rStyle w:val="aff4"/>
          <w:rFonts w:hint="cs"/>
          <w:vanish/>
          <w:rtl/>
        </w:rPr>
        <w:t>-</w:t>
      </w:r>
      <w:bookmarkStart w:id="5204" w:name="_Ref144117272"/>
      <w:r w:rsidRPr="00255628">
        <w:rPr>
          <w:rStyle w:val="aff4"/>
          <w:rFonts w:hint="cs"/>
          <w:rtl/>
        </w:rPr>
        <w:t>וה</w:t>
      </w:r>
      <w:r w:rsidRPr="00255628">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Ref144117272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לז)</w:t>
      </w:r>
      <w:r>
        <w:rPr>
          <w:rStyle w:val="aff4"/>
          <w:vanish/>
          <w:rtl/>
        </w:rPr>
        <w:fldChar w:fldCharType="end"/>
      </w:r>
      <w:r w:rsidRPr="00255628">
        <w:rPr>
          <w:rStyle w:val="aff4"/>
          <w:rFonts w:hint="cs"/>
          <w:vanish/>
          <w:rtl/>
        </w:rPr>
        <w:t xml:space="preserve"> &gt;</w:t>
      </w:r>
      <w:r w:rsidRPr="00255628">
        <w:rPr>
          <w:rStyle w:val="aff4"/>
          <w:rFonts w:hint="cs"/>
          <w:rtl/>
        </w:rPr>
        <w:t>מג"א</w:t>
      </w:r>
      <w:r w:rsidRPr="00255628">
        <w:rPr>
          <w:rStyle w:val="aff4"/>
          <w:rFonts w:hint="cs"/>
          <w:vanish/>
          <w:rtl/>
        </w:rPr>
        <w:t>-</w:t>
      </w:r>
      <w:r>
        <w:rPr>
          <w:rFonts w:hint="cs"/>
          <w:rtl/>
        </w:rPr>
        <w:t xml:space="preserve"> </w:t>
      </w:r>
      <w:r w:rsidRPr="00C8052D">
        <w:rPr>
          <w:rStyle w:val="af2"/>
          <w:rFonts w:eastAsia="Guttman Hodes" w:hint="cs"/>
          <w:rtl/>
        </w:rPr>
        <w:t>(סי' שי"ד סק"ג)</w:t>
      </w:r>
      <w:r w:rsidRPr="00255628">
        <w:rPr>
          <w:rFonts w:hint="cs"/>
          <w:vanish/>
          <w:rtl/>
        </w:rPr>
        <w:t>=</w:t>
      </w:r>
      <w:r>
        <w:rPr>
          <w:rFonts w:hint="cs"/>
          <w:rtl/>
        </w:rPr>
        <w:t xml:space="preserve"> תירץ דחיוב בונה הוא רק בלול תרנגולין המחובר לקרקע, ובלול שאינו מחובר לקרקע החיוב הוא משום מכה בפטיש, </w:t>
      </w:r>
      <w:r w:rsidRPr="00255628">
        <w:rPr>
          <w:rFonts w:hint="cs"/>
          <w:vanish/>
          <w:rtl/>
        </w:rPr>
        <w:t>-</w:t>
      </w:r>
      <w:r>
        <w:rPr>
          <w:rFonts w:hint="cs"/>
          <w:rtl/>
        </w:rPr>
        <w:t xml:space="preserve"> תירץ דבנקב קטן שאינו עשוי להכניס חייב לרב רק משום בונה, אבל בלהכניס ולהוציא חייב גם משום מכה בפטיש אף לרב, כיון דהוא גם גמר המלאכה.</w:t>
      </w:r>
      <w:bookmarkEnd w:id="5204"/>
    </w:p>
    <w:p w14:paraId="60A53A9A" w14:textId="77777777" w:rsidR="00A14FDA" w:rsidRPr="00BC7DC8" w:rsidRDefault="00A14FDA" w:rsidP="00A14FDA">
      <w:pPr>
        <w:pStyle w:val="afffffe"/>
        <w:rPr>
          <w:vanish/>
          <w:rtl/>
        </w:rPr>
      </w:pPr>
      <w:r w:rsidRPr="00BC7DC8">
        <w:rPr>
          <w:vanish/>
          <w:rtl/>
        </w:rPr>
        <w:t>מגן אברהם סימן שיד ס"ק ג</w:t>
      </w:r>
    </w:p>
    <w:p w14:paraId="3DC60255" w14:textId="77777777" w:rsidR="00A14FDA" w:rsidRPr="00D87F8B" w:rsidRDefault="00A14FDA" w:rsidP="00A14FDA">
      <w:pPr>
        <w:pStyle w:val="a2"/>
        <w:rPr>
          <w:rtl/>
        </w:rPr>
      </w:pPr>
      <w:r w:rsidRPr="00D87F8B">
        <w:rPr>
          <w:rtl/>
        </w:rPr>
        <w:t>כתב הרמב"ם פכ"ג העושה נקב שהוא עשוי להכניס ולהוצי' כגון נקב שבלול התרנגולים שהוא עשוי להכניס האור ולהוצי' ההבל חייב משום מכה בפטיש לפיכך גזרו על כל נקב אפי' עשוי להכניס או להוצי' בלבד שמא יבא לעשות נקב שחייבין עליו והקשה הכ"מ בפ"י דהא כת' דחייב משום בונ' ול"נ דהכא מיירי בלול שאינה מחוברת לקרקע ולית בה בנין</w:t>
      </w:r>
      <w:r w:rsidRPr="00D87F8B">
        <w:rPr>
          <w:rFonts w:hint="cs"/>
          <w:rtl/>
        </w:rPr>
        <w:t>.</w:t>
      </w:r>
    </w:p>
    <w:p w14:paraId="70544F4B" w14:textId="77777777" w:rsidR="00A14FDA" w:rsidRDefault="00A14FDA" w:rsidP="00A14FDA">
      <w:pPr>
        <w:pStyle w:val="1"/>
        <w:rPr>
          <w:rtl/>
        </w:rPr>
      </w:pPr>
      <w:bookmarkStart w:id="5205" w:name="_Toc144225272"/>
      <w:r>
        <w:rPr>
          <w:rFonts w:hint="cs"/>
          <w:rtl/>
        </w:rPr>
        <w:t>בי' המאירי דחיוב מכב"פ לאחר גמר מלאכה אחרת ולא בתוכה</w:t>
      </w:r>
      <w:bookmarkEnd w:id="5205"/>
    </w:p>
    <w:p w14:paraId="6D72D6F8" w14:textId="77777777" w:rsidR="00A14FDA" w:rsidRDefault="00A14FDA" w:rsidP="00A14FDA">
      <w:pPr>
        <w:pStyle w:val="afffff7"/>
        <w:rPr>
          <w:rtl/>
        </w:rPr>
      </w:pPr>
      <w:bookmarkStart w:id="5206" w:name="_Toc144224675"/>
      <w:bookmarkStart w:id="5207" w:name="_Toc163506223"/>
      <w:r>
        <w:rPr>
          <w:rtl/>
        </w:rPr>
        <w:t>מאירי שבת ק"ה ע"א</w:t>
      </w:r>
      <w:r>
        <w:rPr>
          <w:rFonts w:hint="cs"/>
          <w:rtl/>
        </w:rPr>
        <w:t xml:space="preserve"> ד</w:t>
      </w:r>
      <w:r>
        <w:rPr>
          <w:rtl/>
        </w:rPr>
        <w:t>"</w:t>
      </w:r>
      <w:r>
        <w:rPr>
          <w:rFonts w:hint="cs"/>
          <w:rtl/>
        </w:rPr>
        <w:t>ה אעפ</w:t>
      </w:r>
      <w:r>
        <w:rPr>
          <w:rtl/>
        </w:rPr>
        <w:t>"</w:t>
      </w:r>
      <w:r>
        <w:rPr>
          <w:rFonts w:hint="cs"/>
          <w:rtl/>
        </w:rPr>
        <w:t>י</w:t>
      </w:r>
      <w:bookmarkEnd w:id="5206"/>
      <w:bookmarkEnd w:id="5207"/>
      <w:r w:rsidRPr="00421A47">
        <w:rPr>
          <w:vanish/>
          <w:rtl/>
        </w:rPr>
        <w:t xml:space="preserve"> (ב)</w:t>
      </w:r>
    </w:p>
    <w:p w14:paraId="69ADE97E" w14:textId="77777777" w:rsidR="00A14FDA" w:rsidRDefault="00A14FDA" w:rsidP="00A14FDA">
      <w:pPr>
        <w:pStyle w:val="a7"/>
        <w:rPr>
          <w:rtl/>
        </w:rPr>
      </w:pPr>
      <w:bookmarkStart w:id="5208" w:name="_Toc144225273"/>
      <w:r>
        <w:rPr>
          <w:rFonts w:hint="cs"/>
          <w:rtl/>
        </w:rPr>
        <w:t>בי' המאירי דחיוב מכב"פ הוא רק כשכל המלאכה נגמרה והגמר הוא מעשה נפרד מהמלאכה</w:t>
      </w:r>
      <w:bookmarkEnd w:id="5208"/>
    </w:p>
    <w:p w14:paraId="4FE37B49" w14:textId="7B0814A6" w:rsidR="00A14FDA" w:rsidRDefault="00A14FDA" w:rsidP="00BC7DC8">
      <w:pPr>
        <w:pStyle w:val="a3"/>
      </w:pPr>
      <w:bookmarkStart w:id="5209" w:name="_Hlk144027459"/>
      <w:bookmarkStart w:id="5210" w:name="_Ref143794876"/>
      <w:bookmarkStart w:id="5211" w:name="_Ref144151109"/>
      <w:r>
        <w:rPr>
          <w:rFonts w:hint="cs"/>
          <w:rtl/>
        </w:rPr>
        <w:t xml:space="preserve">בהא דאיתא בגמ' לקמן </w:t>
      </w:r>
      <w:r w:rsidRPr="00C8052D">
        <w:rPr>
          <w:rStyle w:val="af2"/>
          <w:rFonts w:eastAsia="Guttman Hodes" w:hint="cs"/>
          <w:rtl/>
        </w:rPr>
        <w:t>(קד:)</w:t>
      </w:r>
      <w:r>
        <w:rPr>
          <w:rFonts w:hint="cs"/>
          <w:rtl/>
        </w:rPr>
        <w:t xml:space="preserve"> דהכותב אות אחת סמוך לחברתה או אורג חוט אחד על האריג פטור, אבל אם בכתיבת האות או אריגת החוט השלים ספר או בגד חייב, </w:t>
      </w:r>
      <w:bookmarkEnd w:id="5209"/>
      <w:r>
        <w:rPr>
          <w:rFonts w:hint="cs"/>
          <w:rtl/>
        </w:rPr>
        <w:t xml:space="preserve">כתב </w:t>
      </w:r>
      <w:r w:rsidRPr="00255628">
        <w:rPr>
          <w:rStyle w:val="aff4"/>
          <w:rFonts w:hint="cs"/>
          <w:vanish/>
          <w:rtl/>
        </w:rPr>
        <w:t>-</w:t>
      </w:r>
      <w:r w:rsidRPr="00255628">
        <w:rPr>
          <w:rStyle w:val="aff4"/>
          <w:rFonts w:hint="cs"/>
          <w:rtl/>
        </w:rPr>
        <w:t>ה</w:t>
      </w:r>
      <w:r w:rsidRPr="00255628">
        <w:rPr>
          <w:rStyle w:val="aff4"/>
          <w:rFonts w:hint="cs"/>
          <w:vanish/>
          <w:rtl/>
        </w:rPr>
        <w:t xml:space="preserve">&lt;, </w:t>
      </w:r>
      <w:r w:rsidRPr="00255628">
        <w:rPr>
          <w:rStyle w:val="aff4"/>
          <w:vanish/>
          <w:rtl/>
        </w:rPr>
        <w:fldChar w:fldCharType="begin"/>
      </w:r>
      <w:r w:rsidRPr="00255628">
        <w:rPr>
          <w:rStyle w:val="aff4"/>
          <w:vanish/>
          <w:rtl/>
        </w:rPr>
        <w:instrText xml:space="preserve"> </w:instrText>
      </w:r>
      <w:r w:rsidRPr="00255628">
        <w:rPr>
          <w:rStyle w:val="aff4"/>
          <w:rFonts w:hint="cs"/>
          <w:vanish/>
        </w:rPr>
        <w:instrText>REF</w:instrText>
      </w:r>
      <w:r w:rsidRPr="00255628">
        <w:rPr>
          <w:rStyle w:val="aff4"/>
          <w:rFonts w:hint="cs"/>
          <w:vanish/>
          <w:rtl/>
        </w:rPr>
        <w:instrText xml:space="preserve"> _</w:instrText>
      </w:r>
      <w:r w:rsidRPr="00255628">
        <w:rPr>
          <w:rStyle w:val="aff4"/>
          <w:rFonts w:hint="cs"/>
          <w:vanish/>
        </w:rPr>
        <w:instrText>Ref143794876 \r \h</w:instrText>
      </w:r>
      <w:r w:rsidRPr="00255628">
        <w:rPr>
          <w:rStyle w:val="aff4"/>
          <w:vanish/>
          <w:rtl/>
        </w:rPr>
        <w:instrText xml:space="preserve"> </w:instrText>
      </w:r>
      <w:r w:rsidRPr="00255628">
        <w:rPr>
          <w:rStyle w:val="aff4"/>
          <w:vanish/>
          <w:rtl/>
        </w:rPr>
      </w:r>
      <w:r w:rsidRPr="00255628">
        <w:rPr>
          <w:rStyle w:val="aff4"/>
          <w:vanish/>
          <w:rtl/>
        </w:rPr>
        <w:fldChar w:fldCharType="separate"/>
      </w:r>
      <w:r w:rsidR="00D82181">
        <w:rPr>
          <w:rStyle w:val="aff4"/>
          <w:vanish/>
          <w:cs/>
        </w:rPr>
        <w:t>‎</w:t>
      </w:r>
      <w:r w:rsidR="00D82181">
        <w:rPr>
          <w:rStyle w:val="aff4"/>
          <w:vanish/>
          <w:rtl/>
        </w:rPr>
        <w:t>לח)</w:t>
      </w:r>
      <w:r w:rsidRPr="00255628">
        <w:rPr>
          <w:rStyle w:val="aff4"/>
          <w:vanish/>
          <w:rtl/>
        </w:rPr>
        <w:fldChar w:fldCharType="end"/>
      </w:r>
      <w:r w:rsidRPr="00255628">
        <w:rPr>
          <w:rStyle w:val="aff4"/>
          <w:rFonts w:hint="cs"/>
          <w:vanish/>
          <w:rtl/>
        </w:rPr>
        <w:t xml:space="preserve"> &gt;</w:t>
      </w:r>
      <w:r w:rsidRPr="00255628">
        <w:rPr>
          <w:rStyle w:val="aff4"/>
          <w:rFonts w:hint="cs"/>
          <w:rtl/>
        </w:rPr>
        <w:t>מאירי לקמן</w:t>
      </w:r>
      <w:r w:rsidRPr="00255628">
        <w:rPr>
          <w:rStyle w:val="aff4"/>
          <w:rFonts w:hint="cs"/>
          <w:vanish/>
          <w:rtl/>
        </w:rPr>
        <w:t>-</w:t>
      </w:r>
      <w:r>
        <w:rPr>
          <w:rFonts w:hint="cs"/>
          <w:rtl/>
        </w:rPr>
        <w:t xml:space="preserve"> </w:t>
      </w:r>
      <w:r w:rsidRPr="00C8052D">
        <w:rPr>
          <w:rStyle w:val="af2"/>
          <w:rFonts w:eastAsia="Guttman Hodes" w:hint="cs"/>
          <w:rtl/>
        </w:rPr>
        <w:t>(קה. ד</w:t>
      </w:r>
      <w:r w:rsidRPr="00C8052D">
        <w:rPr>
          <w:rStyle w:val="af2"/>
          <w:rFonts w:eastAsia="Guttman Hodes"/>
          <w:rtl/>
        </w:rPr>
        <w:t>"</w:t>
      </w:r>
      <w:r w:rsidRPr="00C8052D">
        <w:rPr>
          <w:rStyle w:val="af2"/>
          <w:rFonts w:eastAsia="Guttman Hodes" w:hint="cs"/>
          <w:rtl/>
        </w:rPr>
        <w:t>ה אעפ</w:t>
      </w:r>
      <w:r w:rsidRPr="00C8052D">
        <w:rPr>
          <w:rStyle w:val="af2"/>
          <w:rFonts w:eastAsia="Guttman Hodes"/>
          <w:rtl/>
        </w:rPr>
        <w:t>"</w:t>
      </w:r>
      <w:r w:rsidRPr="00C8052D">
        <w:rPr>
          <w:rStyle w:val="af2"/>
          <w:rFonts w:eastAsia="Guttman Hodes" w:hint="cs"/>
          <w:rtl/>
        </w:rPr>
        <w:t>י)</w:t>
      </w:r>
      <w:r w:rsidRPr="00255628">
        <w:rPr>
          <w:rFonts w:hint="cs"/>
          <w:vanish/>
          <w:rtl/>
        </w:rPr>
        <w:t>=</w:t>
      </w:r>
      <w:r>
        <w:rPr>
          <w:rFonts w:hint="cs"/>
          <w:rtl/>
        </w:rPr>
        <w:t xml:space="preserve"> </w:t>
      </w:r>
      <w:r>
        <w:rPr>
          <w:rFonts w:hint="cs"/>
          <w:rtl/>
        </w:rPr>
        <w:t>דבכה</w:t>
      </w:r>
      <w:r>
        <w:rPr>
          <w:rtl/>
        </w:rPr>
        <w:t>"</w:t>
      </w:r>
      <w:r>
        <w:rPr>
          <w:rFonts w:hint="cs"/>
          <w:rtl/>
        </w:rPr>
        <w:t xml:space="preserve">ג אות או חוט חשיבי כשתים, והביא </w:t>
      </w:r>
      <w:r w:rsidRPr="00255628">
        <w:rPr>
          <w:rStyle w:val="aff4"/>
          <w:rFonts w:hint="cs"/>
          <w:vanish/>
          <w:rtl/>
        </w:rPr>
        <w:t>-</w:t>
      </w:r>
      <w:r w:rsidRPr="00255628">
        <w:rPr>
          <w:rStyle w:val="aff4"/>
          <w:rFonts w:hint="cs"/>
          <w:rtl/>
        </w:rPr>
        <w:t>המאירי</w:t>
      </w:r>
      <w:r w:rsidRPr="00255628">
        <w:rPr>
          <w:rStyle w:val="aff4"/>
          <w:rFonts w:hint="cs"/>
          <w:vanish/>
          <w:rtl/>
        </w:rPr>
        <w:t>-</w:t>
      </w:r>
      <w:r>
        <w:rPr>
          <w:rFonts w:hint="cs"/>
          <w:rtl/>
        </w:rPr>
        <w:t xml:space="preserve"> </w:t>
      </w:r>
      <w:r w:rsidRPr="00255628">
        <w:rPr>
          <w:rFonts w:hint="cs"/>
          <w:vanish/>
          <w:rtl/>
        </w:rPr>
        <w:t>&lt; &gt;</w:t>
      </w:r>
      <w:r>
        <w:rPr>
          <w:rFonts w:hint="cs"/>
          <w:rtl/>
        </w:rPr>
        <w:t xml:space="preserve">בשם </w:t>
      </w:r>
      <w:r w:rsidRPr="00255628">
        <w:rPr>
          <w:rStyle w:val="aff4"/>
          <w:rFonts w:hint="cs"/>
          <w:vanish/>
          <w:rtl/>
        </w:rPr>
        <w:t>-</w:t>
      </w:r>
      <w:r w:rsidRPr="00255628">
        <w:rPr>
          <w:rStyle w:val="aff4"/>
          <w:rFonts w:hint="cs"/>
          <w:rtl/>
        </w:rPr>
        <w:t>חכמי הדורות</w:t>
      </w:r>
      <w:r w:rsidRPr="00255628">
        <w:rPr>
          <w:rStyle w:val="aff4"/>
          <w:rFonts w:hint="cs"/>
          <w:vanish/>
          <w:rtl/>
        </w:rPr>
        <w:t>-</w:t>
      </w:r>
      <w:r w:rsidRPr="00255628">
        <w:rPr>
          <w:rFonts w:hint="cs"/>
          <w:vanish/>
          <w:rtl/>
        </w:rPr>
        <w:t>=</w:t>
      </w:r>
      <w:r>
        <w:rPr>
          <w:rFonts w:hint="cs"/>
          <w:rtl/>
        </w:rPr>
        <w:t xml:space="preserve"> דהקשו דא"כ צריך לחייבו משום מכה בפטיש, ותירצו </w:t>
      </w:r>
      <w:r w:rsidRPr="00255628">
        <w:rPr>
          <w:rStyle w:val="aff4"/>
          <w:rFonts w:hint="cs"/>
          <w:vanish/>
          <w:rtl/>
        </w:rPr>
        <w:t>-</w:t>
      </w:r>
      <w:r w:rsidRPr="00255628">
        <w:rPr>
          <w:rStyle w:val="aff4"/>
          <w:rFonts w:hint="cs"/>
          <w:rtl/>
        </w:rPr>
        <w:t>חכמי הדורות</w:t>
      </w:r>
      <w:r w:rsidRPr="00255628">
        <w:rPr>
          <w:rStyle w:val="aff4"/>
          <w:rFonts w:hint="cs"/>
          <w:vanish/>
          <w:rtl/>
        </w:rPr>
        <w:t>-</w:t>
      </w:r>
      <w:r>
        <w:rPr>
          <w:rFonts w:hint="cs"/>
          <w:rtl/>
        </w:rPr>
        <w:t xml:space="preserve"> דחיוב מכה בפטיש הוא רק כשנגמרה כל המלאכה, כחוצב אבן בהר שלפני הכאת הפטיש כבר התפרקה האבן לגמרי מכל מה שהיה סביבה בהר, ונגמרה כל המלאכה באבן, אך עדיין לא נפלה האבן מההר, וכשמכה בפטיש מפיל את האבן, וא</w:t>
      </w:r>
      <w:r>
        <w:rPr>
          <w:rtl/>
        </w:rPr>
        <w:t>"</w:t>
      </w:r>
      <w:r>
        <w:rPr>
          <w:rFonts w:hint="cs"/>
          <w:rtl/>
        </w:rPr>
        <w:t xml:space="preserve">כ המלאכה שבגוף האבן כבר נשלמה קודם, וכן בשקיל אקופי מגלימיה בגמ' לעיל </w:t>
      </w:r>
      <w:r w:rsidRPr="00C8052D">
        <w:rPr>
          <w:rStyle w:val="af2"/>
          <w:rFonts w:eastAsia="Guttman Hodes" w:hint="cs"/>
          <w:rtl/>
        </w:rPr>
        <w:t>(עה:)</w:t>
      </w:r>
      <w:r>
        <w:rPr>
          <w:rFonts w:hint="cs"/>
          <w:rtl/>
        </w:rPr>
        <w:t xml:space="preserve"> דחייב משום מכה בפטיש, כבר נגמרה המלאכה בגלימה דכל הגלימה עשויה</w:t>
      </w:r>
      <w:bookmarkEnd w:id="5210"/>
      <w:r>
        <w:rPr>
          <w:rFonts w:hint="cs"/>
          <w:rtl/>
        </w:rPr>
        <w:t xml:space="preserve">, ועי' במה שדחה </w:t>
      </w:r>
      <w:r w:rsidRPr="00255628">
        <w:rPr>
          <w:rStyle w:val="aff4"/>
          <w:rFonts w:hint="cs"/>
          <w:vanish/>
          <w:rtl/>
        </w:rPr>
        <w:t>-</w:t>
      </w:r>
      <w:r w:rsidRPr="00255628">
        <w:rPr>
          <w:rStyle w:val="aff4"/>
          <w:rFonts w:hint="cs"/>
          <w:rtl/>
        </w:rPr>
        <w:t>ה</w:t>
      </w:r>
      <w:r w:rsidRPr="00255628">
        <w:rPr>
          <w:rFonts w:hint="cs"/>
          <w:vanish/>
          <w:rtl/>
        </w:rPr>
        <w:t>&lt; &gt;</w:t>
      </w:r>
      <w:r w:rsidRPr="003A3456">
        <w:rPr>
          <w:rStyle w:val="aff4"/>
          <w:rFonts w:hint="cs"/>
          <w:rtl/>
        </w:rPr>
        <w:t>ח</w:t>
      </w:r>
      <w:r w:rsidRPr="00255628">
        <w:rPr>
          <w:rStyle w:val="aff4"/>
          <w:rFonts w:hint="cs"/>
          <w:rtl/>
        </w:rPr>
        <w:t>זון יחזקאל</w:t>
      </w:r>
      <w:r w:rsidRPr="00255628">
        <w:rPr>
          <w:rStyle w:val="aff4"/>
          <w:rFonts w:hint="cs"/>
          <w:vanish/>
          <w:rtl/>
        </w:rPr>
        <w:t>-</w:t>
      </w:r>
      <w:r>
        <w:rPr>
          <w:rFonts w:hint="cs"/>
          <w:rtl/>
        </w:rPr>
        <w:t xml:space="preserve"> </w:t>
      </w:r>
      <w:r>
        <w:rPr>
          <w:rStyle w:val="af2"/>
          <w:rFonts w:eastAsia="Guttman Hodes" w:hint="cs"/>
          <w:rtl/>
        </w:rPr>
        <w:t xml:space="preserve">(עי' </w:t>
      </w:r>
      <w:r w:rsidRPr="00AE457E">
        <w:rPr>
          <w:rStyle w:val="af2"/>
          <w:rFonts w:eastAsia="Guttman Hodes" w:hint="cs"/>
          <w:rtl/>
        </w:rPr>
        <w:t xml:space="preserve">אות </w:t>
      </w:r>
      <w:r w:rsidRPr="00AE457E">
        <w:rPr>
          <w:rStyle w:val="af2"/>
          <w:rFonts w:eastAsia="Guttman Hodes"/>
          <w:rtl/>
        </w:rPr>
        <w:fldChar w:fldCharType="begin"/>
      </w:r>
      <w:r w:rsidRPr="00AE457E">
        <w:rPr>
          <w:rStyle w:val="af2"/>
          <w:rFonts w:eastAsia="Guttman Hodes"/>
          <w:rtl/>
        </w:rPr>
        <w:instrText xml:space="preserve"> </w:instrText>
      </w:r>
      <w:r w:rsidRPr="00AE457E">
        <w:rPr>
          <w:rStyle w:val="af2"/>
          <w:rFonts w:eastAsia="Guttman Hodes" w:hint="cs"/>
        </w:rPr>
        <w:instrText>REF</w:instrText>
      </w:r>
      <w:r w:rsidRPr="00AE457E">
        <w:rPr>
          <w:rStyle w:val="af2"/>
          <w:rFonts w:eastAsia="Guttman Hodes" w:hint="cs"/>
          <w:rtl/>
        </w:rPr>
        <w:instrText xml:space="preserve"> _</w:instrText>
      </w:r>
      <w:r w:rsidRPr="00AE457E">
        <w:rPr>
          <w:rStyle w:val="af2"/>
          <w:rFonts w:eastAsia="Guttman Hodes" w:hint="cs"/>
        </w:rPr>
        <w:instrText>Ref144117321 \r \h</w:instrText>
      </w:r>
      <w:r w:rsidRPr="00AE457E">
        <w:rPr>
          <w:rStyle w:val="af2"/>
          <w:rFonts w:eastAsia="Guttman Hodes"/>
          <w:rtl/>
        </w:rPr>
        <w:instrText xml:space="preserve"> </w:instrText>
      </w:r>
      <w:r w:rsidRPr="00AE457E">
        <w:rPr>
          <w:rStyle w:val="af2"/>
          <w:rFonts w:eastAsia="Guttman Hodes"/>
          <w:rtl/>
        </w:rPr>
      </w:r>
      <w:r w:rsidRPr="00AE457E">
        <w:rPr>
          <w:rStyle w:val="af2"/>
          <w:rFonts w:eastAsia="Guttman Hodes"/>
          <w:rtl/>
        </w:rPr>
        <w:fldChar w:fldCharType="separate"/>
      </w:r>
      <w:r w:rsidR="00D82181">
        <w:rPr>
          <w:rStyle w:val="af2"/>
          <w:rFonts w:eastAsia="Guttman Hodes"/>
          <w:cs/>
        </w:rPr>
        <w:t>‎</w:t>
      </w:r>
      <w:r w:rsidR="00D82181">
        <w:rPr>
          <w:rStyle w:val="af2"/>
          <w:rFonts w:eastAsia="Guttman Hodes"/>
          <w:rtl/>
        </w:rPr>
        <w:t>סד)</w:t>
      </w:r>
      <w:r w:rsidRPr="00AE457E">
        <w:rPr>
          <w:rStyle w:val="af2"/>
          <w:rFonts w:eastAsia="Guttman Hodes"/>
          <w:rtl/>
        </w:rPr>
        <w:fldChar w:fldCharType="end"/>
      </w:r>
      <w:r w:rsidRPr="00255628">
        <w:rPr>
          <w:rFonts w:hint="cs"/>
          <w:vanish/>
          <w:rtl/>
        </w:rPr>
        <w:t>=</w:t>
      </w:r>
      <w:r>
        <w:rPr>
          <w:rFonts w:hint="cs"/>
          <w:rtl/>
        </w:rPr>
        <w:t xml:space="preserve"> דבירושלמי מוכח דלא </w:t>
      </w:r>
      <w:r w:rsidRPr="007637C7">
        <w:rPr>
          <w:rStyle w:val="aff4"/>
          <w:rFonts w:hint="cs"/>
          <w:vanish/>
          <w:rtl/>
        </w:rPr>
        <w:t>-</w:t>
      </w:r>
      <w:r>
        <w:rPr>
          <w:rStyle w:val="aff4"/>
          <w:rFonts w:hint="cs"/>
          <w:rtl/>
        </w:rPr>
        <w:t>כ</w:t>
      </w:r>
      <w:r w:rsidRPr="007637C7">
        <w:rPr>
          <w:rStyle w:val="aff4"/>
          <w:rFonts w:hint="cs"/>
          <w:rtl/>
        </w:rPr>
        <w:t>מאירי</w:t>
      </w:r>
      <w:r w:rsidRPr="007637C7">
        <w:rPr>
          <w:rStyle w:val="aff4"/>
          <w:rFonts w:hint="cs"/>
          <w:vanish/>
          <w:rtl/>
        </w:rPr>
        <w:t>-</w:t>
      </w:r>
      <w:r>
        <w:rPr>
          <w:rFonts w:hint="cs"/>
          <w:rtl/>
        </w:rPr>
        <w:t xml:space="preserve">, ובמ"ש </w:t>
      </w:r>
      <w:r w:rsidRPr="001752D1">
        <w:rPr>
          <w:b/>
          <w:bCs/>
          <w:rtl/>
        </w:rPr>
        <w:t>ה</w:t>
      </w:r>
      <w:r>
        <w:rPr>
          <w:rFonts w:hint="cs"/>
          <w:b/>
          <w:bCs/>
          <w:rtl/>
        </w:rPr>
        <w:t>דברי מרדכי</w:t>
      </w:r>
      <w:r w:rsidRPr="001752D1">
        <w:rPr>
          <w:b/>
          <w:bCs/>
          <w:rtl/>
        </w:rPr>
        <w:t xml:space="preserve"> </w:t>
      </w:r>
      <w:r>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Ref144117393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עז)</w:t>
      </w:r>
      <w:r>
        <w:rPr>
          <w:rStyle w:val="af2"/>
          <w:rFonts w:eastAsia="Guttman Hodes"/>
          <w:rtl/>
        </w:rPr>
        <w:fldChar w:fldCharType="end"/>
      </w:r>
      <w:r>
        <w:rPr>
          <w:rFonts w:hint="cs"/>
          <w:rtl/>
        </w:rPr>
        <w:t xml:space="preserve"> בדברי </w:t>
      </w:r>
      <w:r w:rsidRPr="007637C7">
        <w:rPr>
          <w:rStyle w:val="aff4"/>
          <w:rFonts w:hint="cs"/>
          <w:vanish/>
          <w:rtl/>
        </w:rPr>
        <w:t>-</w:t>
      </w:r>
      <w:r w:rsidRPr="007637C7">
        <w:rPr>
          <w:rStyle w:val="aff4"/>
          <w:rFonts w:hint="cs"/>
          <w:rtl/>
        </w:rPr>
        <w:t>המאירי</w:t>
      </w:r>
      <w:r w:rsidRPr="007637C7">
        <w:rPr>
          <w:rStyle w:val="aff4"/>
          <w:rFonts w:hint="cs"/>
          <w:vanish/>
          <w:rtl/>
        </w:rPr>
        <w:t>-</w:t>
      </w:r>
      <w:r>
        <w:rPr>
          <w:rFonts w:hint="cs"/>
          <w:rtl/>
        </w:rPr>
        <w:t>.</w:t>
      </w:r>
      <w:bookmarkEnd w:id="5211"/>
    </w:p>
    <w:p w14:paraId="64FD8AAA" w14:textId="77777777" w:rsidR="00A14FDA" w:rsidRPr="00BC7DC8" w:rsidRDefault="00A14FDA" w:rsidP="00A14FDA">
      <w:pPr>
        <w:pStyle w:val="afffffe"/>
        <w:rPr>
          <w:vanish/>
          <w:rtl/>
        </w:rPr>
      </w:pPr>
      <w:r w:rsidRPr="00BC7DC8">
        <w:rPr>
          <w:vanish/>
          <w:rtl/>
        </w:rPr>
        <w:t>מאירי שבת ק"ה ע"א</w:t>
      </w:r>
      <w:r w:rsidRPr="00BC7DC8">
        <w:rPr>
          <w:rFonts w:hint="cs"/>
          <w:vanish/>
          <w:rtl/>
        </w:rPr>
        <w:t xml:space="preserve"> ד</w:t>
      </w:r>
      <w:r w:rsidRPr="00BC7DC8">
        <w:rPr>
          <w:vanish/>
          <w:rtl/>
        </w:rPr>
        <w:t>"</w:t>
      </w:r>
      <w:r w:rsidRPr="00BC7DC8">
        <w:rPr>
          <w:rFonts w:hint="cs"/>
          <w:vanish/>
          <w:rtl/>
        </w:rPr>
        <w:t>ה אעפ</w:t>
      </w:r>
      <w:r w:rsidRPr="00BC7DC8">
        <w:rPr>
          <w:vanish/>
          <w:rtl/>
        </w:rPr>
        <w:t>"</w:t>
      </w:r>
      <w:r w:rsidRPr="00BC7DC8">
        <w:rPr>
          <w:rFonts w:hint="cs"/>
          <w:vanish/>
          <w:rtl/>
        </w:rPr>
        <w:t>י</w:t>
      </w:r>
    </w:p>
    <w:p w14:paraId="6DBD9238" w14:textId="77777777" w:rsidR="00A14FDA" w:rsidRPr="00D87F8B" w:rsidRDefault="00A14FDA" w:rsidP="00A14FDA">
      <w:pPr>
        <w:pStyle w:val="a2"/>
        <w:rPr>
          <w:rtl/>
        </w:rPr>
      </w:pPr>
      <w:r w:rsidRPr="00D87F8B">
        <w:rPr>
          <w:rtl/>
        </w:rPr>
        <w:t>אף על פי שביארנו שאם כתב אות אחת סמוך לחברתה פטור וכן הדין בארג חוט אחד על האריג מ"מ אם כתב אות אחת והשלים בו ספר או ארג חוט אחד והשלים בה בגד חייב שכל שהשלים בה חשובה היא כשתים וחייב משום כותב וחכמי הדורות שואלים בה כהוגן ויתחייב בה משום מכה בפטיש וכמו שאמרו בפרק כלל גדול האי מאן דשקיל וגו' חייב משום מכה בפטיש ותירצו שלא נאמר מכה בפטיש אלא במלאכה שנשלמה כלה כגון שחצב אבן בהר ונתפרקה כלה מסביבותיה ונמצא שנשלמה מלאכת האבן אלא שלא נפלה וזה מכה בפטיש ומפילה שנמצא המלאכה בגוף אותו דבר כבר נשלמה וכן מה שאמרו בשקיל אקופי בגלימיה שהרי הגלימא כלה עשויה</w:t>
      </w:r>
      <w:r w:rsidRPr="00D87F8B">
        <w:rPr>
          <w:rFonts w:hint="cs"/>
          <w:rtl/>
        </w:rPr>
        <w:t>.</w:t>
      </w:r>
    </w:p>
    <w:p w14:paraId="1C9F4EDB" w14:textId="77777777" w:rsidR="00A14FDA" w:rsidRPr="008771D5" w:rsidRDefault="00A14FDA" w:rsidP="00A14FDA">
      <w:pPr>
        <w:pStyle w:val="a7"/>
      </w:pPr>
      <w:bookmarkStart w:id="5212" w:name="_Toc144225274"/>
      <w:r>
        <w:rPr>
          <w:rFonts w:hint="cs"/>
          <w:rtl/>
        </w:rPr>
        <w:t>בי' המאירי דבאות שמשלימה ספר וחוט שמשלים בגד לא נגמרה המלאכה ול"ה מכב"פ</w:t>
      </w:r>
      <w:bookmarkEnd w:id="5212"/>
    </w:p>
    <w:p w14:paraId="26A0D93D" w14:textId="77777777" w:rsidR="00A14FDA" w:rsidRPr="00D07FD3" w:rsidRDefault="00A14FDA" w:rsidP="00BC7DC8">
      <w:pPr>
        <w:pStyle w:val="a3"/>
        <w:rPr>
          <w:rtl/>
        </w:rPr>
      </w:pPr>
      <w:r>
        <w:rPr>
          <w:rFonts w:hint="cs"/>
          <w:rtl/>
        </w:rPr>
        <w:t xml:space="preserve">אבל בכותב אות אחת והשלים ספר או אורג חוט והשלים בגד, ביאר </w:t>
      </w:r>
      <w:r w:rsidRPr="00255628">
        <w:rPr>
          <w:rStyle w:val="aff4"/>
          <w:rFonts w:hint="cs"/>
          <w:vanish/>
          <w:rtl/>
        </w:rPr>
        <w:t>-</w:t>
      </w:r>
      <w:r w:rsidRPr="00255628">
        <w:rPr>
          <w:rStyle w:val="aff4"/>
          <w:rFonts w:hint="cs"/>
          <w:rtl/>
        </w:rPr>
        <w:t>המאירי לקמן</w:t>
      </w:r>
      <w:r w:rsidRPr="00255628">
        <w:rPr>
          <w:rStyle w:val="aff4"/>
          <w:rFonts w:hint="cs"/>
          <w:vanish/>
          <w:rtl/>
        </w:rPr>
        <w:t>-</w:t>
      </w:r>
      <w:r>
        <w:rPr>
          <w:rFonts w:hint="cs"/>
          <w:rtl/>
        </w:rPr>
        <w:t xml:space="preserve"> דכיון שהספר והבגד לא נשלמו לפני המעשה שלו, אין בזה חיוב מכה בפטיש, דכל שהמעשה שלו משלים את המלאכה א"א לומר דחייב בזה משום מכה בפטיש, דא"כ בכל מלאכה שתחילתה וסופה באין כאחת כמו קוצר וכדומה יתחייב משום מכה בפטיש.</w:t>
      </w:r>
    </w:p>
    <w:p w14:paraId="03BABD0D" w14:textId="77777777" w:rsidR="00A14FDA" w:rsidRPr="00D87F8B" w:rsidRDefault="00A14FDA" w:rsidP="00A14FDA">
      <w:pPr>
        <w:pStyle w:val="a2"/>
        <w:rPr>
          <w:rtl/>
        </w:rPr>
      </w:pPr>
      <w:r w:rsidRPr="00D87F8B">
        <w:rPr>
          <w:rtl/>
        </w:rPr>
        <w:t>אבל באלו לא נשלם הספר והבגד עדיין וכל שהוא עושה לצורך השלמה אינו מכה בפטיש שאם לא כן אף המלאכות שתחלתן וסופן בא כאחד כגון קצירה וכיוצא בה היה ראוי להתחייב בה משום מכה בפטיש:</w:t>
      </w:r>
    </w:p>
    <w:p w14:paraId="2DF33E91" w14:textId="77777777" w:rsidR="00A14FDA" w:rsidRDefault="00A14FDA" w:rsidP="00A14FDA">
      <w:pPr>
        <w:pStyle w:val="afffff7"/>
        <w:rPr>
          <w:rtl/>
        </w:rPr>
      </w:pPr>
      <w:bookmarkStart w:id="5213" w:name="_Toc144224676"/>
      <w:bookmarkStart w:id="5214" w:name="_Toc163506224"/>
      <w:r>
        <w:rPr>
          <w:rtl/>
        </w:rPr>
        <w:t>שפת אמת שבת ק"ד ע"ב</w:t>
      </w:r>
      <w:r>
        <w:rPr>
          <w:rFonts w:hint="cs"/>
          <w:rtl/>
        </w:rPr>
        <w:t xml:space="preserve"> ד"ה להשלים</w:t>
      </w:r>
      <w:bookmarkEnd w:id="5213"/>
      <w:bookmarkEnd w:id="5214"/>
      <w:r w:rsidRPr="00421A47">
        <w:rPr>
          <w:vanish/>
          <w:rtl/>
        </w:rPr>
        <w:t xml:space="preserve"> (ב)</w:t>
      </w:r>
    </w:p>
    <w:p w14:paraId="67B405E8" w14:textId="77777777" w:rsidR="00A14FDA" w:rsidRDefault="00A14FDA" w:rsidP="00A14FDA">
      <w:pPr>
        <w:pStyle w:val="a7"/>
        <w:rPr>
          <w:rtl/>
        </w:rPr>
      </w:pPr>
      <w:bookmarkStart w:id="5215" w:name="_Toc144225275"/>
      <w:r>
        <w:rPr>
          <w:rFonts w:hint="cs"/>
          <w:rtl/>
        </w:rPr>
        <w:t>קו' השפ"א על המאירי דמנפח כלי זכוכית ועושה תנור לא יתחייב במכב"פ דלא נגמרה המלאכה</w:t>
      </w:r>
      <w:bookmarkEnd w:id="5215"/>
    </w:p>
    <w:p w14:paraId="00538F32" w14:textId="1F65B5D3" w:rsidR="00A14FDA" w:rsidRPr="006C4765" w:rsidRDefault="00A14FDA" w:rsidP="00BC7DC8">
      <w:pPr>
        <w:pStyle w:val="a3"/>
        <w:rPr>
          <w:rStyle w:val="af"/>
          <w:rtl/>
        </w:rPr>
      </w:pPr>
      <w:bookmarkStart w:id="5216" w:name="_Ref144133881"/>
      <w:r>
        <w:rPr>
          <w:rFonts w:hint="cs"/>
          <w:rtl/>
        </w:rPr>
        <w:t>במ"ש</w:t>
      </w:r>
      <w:r w:rsidRPr="00FD6B82">
        <w:rPr>
          <w:rtl/>
        </w:rPr>
        <w:t xml:space="preserve"> </w:t>
      </w:r>
      <w:r w:rsidRPr="00255628">
        <w:rPr>
          <w:rStyle w:val="aff4"/>
          <w:vanish/>
          <w:rtl/>
        </w:rPr>
        <w:t>-</w:t>
      </w:r>
      <w:r w:rsidRPr="00255628">
        <w:rPr>
          <w:rStyle w:val="aff4"/>
          <w:rtl/>
        </w:rPr>
        <w:t>המאירי לקמן</w:t>
      </w:r>
      <w:r w:rsidRPr="00255628">
        <w:rPr>
          <w:rStyle w:val="aff4"/>
          <w:vanish/>
          <w:rtl/>
        </w:rPr>
        <w:t>-</w:t>
      </w:r>
      <w:r w:rsidRPr="00FD6B82">
        <w:rPr>
          <w:rtl/>
        </w:rPr>
        <w:t xml:space="preserve"> </w:t>
      </w:r>
      <w:r w:rsidRPr="00C8052D">
        <w:rPr>
          <w:rStyle w:val="af2"/>
          <w:rFonts w:eastAsia="Guttman Hode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rPr>
        <w:instrText>REF</w:instrText>
      </w:r>
      <w:r>
        <w:rPr>
          <w:rStyle w:val="af2"/>
          <w:rFonts w:eastAsia="Guttman Hodes"/>
          <w:rtl/>
        </w:rPr>
        <w:instrText xml:space="preserve"> _</w:instrText>
      </w:r>
      <w:r>
        <w:rPr>
          <w:rStyle w:val="af2"/>
          <w:rFonts w:eastAsia="Guttman Hodes"/>
        </w:rPr>
        <w:instrText>Ref144151109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לח)</w:t>
      </w:r>
      <w:r>
        <w:rPr>
          <w:rStyle w:val="af2"/>
          <w:rFonts w:eastAsia="Guttman Hodes"/>
          <w:rtl/>
        </w:rPr>
        <w:fldChar w:fldCharType="end"/>
      </w:r>
      <w:r w:rsidRPr="00FD6B82">
        <w:rPr>
          <w:rtl/>
        </w:rPr>
        <w:t xml:space="preserve"> דחיוב מכה בפטיש הוא רק אחר שנגמרה המלאכה בגוף הדבר, ולא בכתב אות אחת והשלים לספר,</w:t>
      </w:r>
      <w:r>
        <w:rPr>
          <w:rFonts w:hint="cs"/>
          <w:rtl/>
        </w:rPr>
        <w:t xml:space="preserve"> הקשה</w:t>
      </w:r>
      <w:r>
        <w:rPr>
          <w:rtl/>
        </w:rPr>
        <w:t xml:space="preserve"> </w:t>
      </w:r>
      <w:r w:rsidRPr="006E0E3A">
        <w:rPr>
          <w:b/>
          <w:bCs/>
          <w:rtl/>
        </w:rPr>
        <w:t>ה</w:t>
      </w:r>
      <w:r w:rsidRPr="006E0E3A">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Ref144133881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מ)</w:t>
      </w:r>
      <w:r>
        <w:rPr>
          <w:b/>
          <w:bCs/>
          <w:vanish/>
          <w:rtl/>
        </w:rPr>
        <w:fldChar w:fldCharType="end"/>
      </w:r>
      <w:r w:rsidRPr="006E0E3A">
        <w:rPr>
          <w:b/>
          <w:bCs/>
          <w:vanish/>
          <w:rtl/>
        </w:rPr>
        <w:t xml:space="preserve"> &gt;</w:t>
      </w:r>
      <w:r>
        <w:rPr>
          <w:rFonts w:hint="cs"/>
          <w:b/>
          <w:bCs/>
          <w:rtl/>
        </w:rPr>
        <w:t>שפת אמת לקמן</w:t>
      </w:r>
      <w:r w:rsidRPr="006E0E3A">
        <w:rPr>
          <w:b/>
          <w:bCs/>
          <w:rtl/>
        </w:rPr>
        <w:t xml:space="preserve"> </w:t>
      </w:r>
      <w:r w:rsidRPr="006E0E3A">
        <w:rPr>
          <w:rFonts w:ascii="Calibri" w:eastAsia="Times New Roman" w:hAnsi="Calibri" w:cs="Guttman Rashi"/>
          <w:sz w:val="10"/>
          <w:szCs w:val="12"/>
          <w:rtl/>
        </w:rPr>
        <w:t>(</w:t>
      </w:r>
      <w:r>
        <w:rPr>
          <w:rFonts w:ascii="Calibri" w:eastAsia="Times New Roman" w:hAnsi="Calibri" w:cs="Guttman Rashi" w:hint="cs"/>
          <w:sz w:val="10"/>
          <w:szCs w:val="12"/>
          <w:rtl/>
        </w:rPr>
        <w:t>קד: ד"ה להשלים</w:t>
      </w:r>
      <w:r w:rsidRPr="006E0E3A">
        <w:rPr>
          <w:rFonts w:ascii="Calibri" w:eastAsia="Times New Roman" w:hAnsi="Calibri" w:cs="Guttman Rashi"/>
          <w:sz w:val="10"/>
          <w:szCs w:val="12"/>
          <w:rtl/>
        </w:rPr>
        <w:t>)</w:t>
      </w:r>
      <w:r w:rsidRPr="006E0E3A">
        <w:rPr>
          <w:vanish/>
          <w:rtl/>
        </w:rPr>
        <w:t>=</w:t>
      </w:r>
      <w:r>
        <w:rPr>
          <w:rFonts w:hint="cs"/>
          <w:rtl/>
        </w:rPr>
        <w:t xml:space="preserve"> דא"כ אמאי במנפח כלי זכוכית ובתנורא חייב משום מכה בפטיש, כדאיתא בגמ' לעיל </w:t>
      </w:r>
      <w:r w:rsidRPr="006C4765">
        <w:rPr>
          <w:rStyle w:val="af2"/>
          <w:rFonts w:eastAsia="Guttman Hodes" w:hint="cs"/>
          <w:rtl/>
        </w:rPr>
        <w:t>(עד:, עה:)</w:t>
      </w:r>
      <w:r>
        <w:rPr>
          <w:rFonts w:hint="cs"/>
          <w:rtl/>
        </w:rPr>
        <w:t xml:space="preserve">, והא הוא עושה גם מלאכה אחרת. </w:t>
      </w:r>
      <w:r w:rsidRPr="006C4765">
        <w:rPr>
          <w:rStyle w:val="af"/>
          <w:rFonts w:hint="cs"/>
          <w:rtl/>
        </w:rPr>
        <w:t xml:space="preserve">[וכתב </w:t>
      </w:r>
      <w:r w:rsidRPr="006C4765">
        <w:rPr>
          <w:rStyle w:val="aff9"/>
          <w:rFonts w:hint="cs"/>
          <w:vanish/>
          <w:rtl/>
        </w:rPr>
        <w:t>-</w:t>
      </w:r>
      <w:r w:rsidRPr="006C4765">
        <w:rPr>
          <w:rStyle w:val="aff9"/>
          <w:rFonts w:hint="cs"/>
          <w:rtl/>
        </w:rPr>
        <w:t>השפת אמת</w:t>
      </w:r>
      <w:r w:rsidRPr="006C4765">
        <w:rPr>
          <w:rStyle w:val="aff9"/>
          <w:rFonts w:hint="cs"/>
          <w:vanish/>
          <w:rtl/>
        </w:rPr>
        <w:t>-</w:t>
      </w:r>
      <w:r w:rsidRPr="006C4765">
        <w:rPr>
          <w:rStyle w:val="af"/>
          <w:rFonts w:hint="cs"/>
          <w:rtl/>
        </w:rPr>
        <w:t xml:space="preserve"> דבגמ' בפשטות אפש"ל דחיוב מכה בפטיש בגומר ספר אינו דוקא באות אחת אלא אף בחצי אות, אך מדברי </w:t>
      </w:r>
      <w:r w:rsidRPr="006C4765">
        <w:rPr>
          <w:rStyle w:val="aff9"/>
          <w:rFonts w:hint="cs"/>
          <w:vanish/>
          <w:rtl/>
        </w:rPr>
        <w:t>-</w:t>
      </w:r>
      <w:r w:rsidRPr="006C4765">
        <w:rPr>
          <w:rStyle w:val="aff9"/>
          <w:rFonts w:hint="cs"/>
          <w:rtl/>
        </w:rPr>
        <w:t>המאירי</w:t>
      </w:r>
      <w:r w:rsidRPr="006C4765">
        <w:rPr>
          <w:rStyle w:val="aff9"/>
          <w:rFonts w:hint="cs"/>
          <w:vanish/>
          <w:rtl/>
        </w:rPr>
        <w:t>-</w:t>
      </w:r>
      <w:r w:rsidRPr="006C4765">
        <w:rPr>
          <w:rStyle w:val="af"/>
          <w:rFonts w:hint="cs"/>
          <w:rtl/>
        </w:rPr>
        <w:t xml:space="preserve"> משמע דרק כיון דאות אחת חשיבא כתיבה לכן חייב</w:t>
      </w:r>
      <w:r w:rsidRPr="005957AC">
        <w:rPr>
          <w:rStyle w:val="af"/>
          <w:rFonts w:hint="cs"/>
          <w:rtl/>
        </w:rPr>
        <w:t>].</w:t>
      </w:r>
      <w:bookmarkEnd w:id="5216"/>
    </w:p>
    <w:p w14:paraId="20A91296" w14:textId="77777777" w:rsidR="00A14FDA" w:rsidRPr="00BC7DC8" w:rsidRDefault="00A14FDA" w:rsidP="00A14FDA">
      <w:pPr>
        <w:pStyle w:val="afffffe"/>
        <w:rPr>
          <w:vanish/>
          <w:rtl/>
        </w:rPr>
      </w:pPr>
      <w:r w:rsidRPr="00BC7DC8">
        <w:rPr>
          <w:vanish/>
          <w:rtl/>
        </w:rPr>
        <w:t>שפת אמת שבת ק"ד ע"ב</w:t>
      </w:r>
      <w:r w:rsidRPr="00BC7DC8">
        <w:rPr>
          <w:rFonts w:hint="cs"/>
          <w:vanish/>
          <w:rtl/>
        </w:rPr>
        <w:t xml:space="preserve"> ד"ה להשלים</w:t>
      </w:r>
    </w:p>
    <w:p w14:paraId="113AB86C" w14:textId="77777777" w:rsidR="00A14FDA" w:rsidRPr="00D87F8B" w:rsidRDefault="00A14FDA" w:rsidP="00A14FDA">
      <w:pPr>
        <w:pStyle w:val="a2"/>
        <w:rPr>
          <w:rtl/>
        </w:rPr>
      </w:pPr>
      <w:r w:rsidRPr="00D87F8B">
        <w:rPr>
          <w:rtl/>
        </w:rPr>
        <w:t>שם בגמ' להשלים שאני לכאורה נראה דחייב משום מכה בפטיש, ולפ"ז אות אחד לאו דוקא וה"ה חצי אות, אכן במאירי כ' משום דחשוב כתיבה [וכן משמע ברמב"ם (פי"א מה"ש ה"ט) ע"ש], ולפ"ז אפשר דוקא אות שלם, אכן מ"ש במאירי דמשום מכה בפטיש אין לחייבו ע"ש הטעם, קשיא לי מהנך דלעיל (ע"ה ב) במנפח בכלי זכוכית ע"ש וגבי תנורא לעיל (ע"ד ב) וברש"י שם וצע"ג לדינא:</w:t>
      </w:r>
    </w:p>
    <w:p w14:paraId="14C1C461" w14:textId="77777777" w:rsidR="00A14FDA" w:rsidRDefault="00A14FDA" w:rsidP="00A14FDA">
      <w:pPr>
        <w:pStyle w:val="afffff7"/>
        <w:rPr>
          <w:rtl/>
        </w:rPr>
      </w:pPr>
      <w:bookmarkStart w:id="5217" w:name="_Toc144224677"/>
      <w:bookmarkStart w:id="5218" w:name="_Toc163506225"/>
      <w:r w:rsidRPr="00FD6B82">
        <w:rPr>
          <w:rtl/>
        </w:rPr>
        <w:t>אמרי בינה דיני שבת סימן כ</w:t>
      </w:r>
      <w:r w:rsidRPr="00FD6B82">
        <w:rPr>
          <w:rFonts w:hint="cs"/>
          <w:rtl/>
        </w:rPr>
        <w:t>"</w:t>
      </w:r>
      <w:r w:rsidRPr="00FD6B82">
        <w:rPr>
          <w:rtl/>
        </w:rPr>
        <w:t xml:space="preserve">א </w:t>
      </w:r>
      <w:r w:rsidRPr="00FD6B82">
        <w:rPr>
          <w:rFonts w:hint="cs"/>
          <w:rtl/>
        </w:rPr>
        <w:t xml:space="preserve">ד"ה </w:t>
      </w:r>
      <w:r w:rsidRPr="00FD6B82">
        <w:rPr>
          <w:rtl/>
        </w:rPr>
        <w:t>כתב הרמ"א</w:t>
      </w:r>
      <w:bookmarkEnd w:id="5217"/>
      <w:bookmarkEnd w:id="5218"/>
      <w:r w:rsidRPr="00421A47">
        <w:rPr>
          <w:vanish/>
          <w:rtl/>
        </w:rPr>
        <w:t xml:space="preserve"> (ב)</w:t>
      </w:r>
    </w:p>
    <w:p w14:paraId="6897791B" w14:textId="77777777" w:rsidR="00A14FDA" w:rsidRDefault="00A14FDA" w:rsidP="00A14FDA">
      <w:pPr>
        <w:pStyle w:val="a7"/>
      </w:pPr>
      <w:bookmarkStart w:id="5219" w:name="_Toc144225276"/>
      <w:r>
        <w:rPr>
          <w:rFonts w:hint="cs"/>
          <w:rtl/>
        </w:rPr>
        <w:t>בי' האמרי בינה במאירי דפסק כרב דכלי</w:t>
      </w:r>
      <w:r w:rsidRPr="003D6AC1">
        <w:rPr>
          <w:rFonts w:hint="cs"/>
          <w:rtl/>
        </w:rPr>
        <w:t xml:space="preserve"> </w:t>
      </w:r>
      <w:r>
        <w:rPr>
          <w:rFonts w:hint="cs"/>
          <w:rtl/>
        </w:rPr>
        <w:t>מתחילתו בונה אבל לרמב"ם דפ' כשמואל הוי מכב"פ</w:t>
      </w:r>
      <w:bookmarkEnd w:id="5219"/>
    </w:p>
    <w:p w14:paraId="160DDFAC" w14:textId="21C9B5F0" w:rsidR="00A14FDA" w:rsidRPr="00FD6B82" w:rsidRDefault="00A14FDA" w:rsidP="00BC7DC8">
      <w:pPr>
        <w:pStyle w:val="a3"/>
        <w:rPr>
          <w:rtl/>
        </w:rPr>
      </w:pPr>
      <w:bookmarkStart w:id="5220" w:name="_Ref143877950"/>
      <w:r>
        <w:rPr>
          <w:rFonts w:hint="cs"/>
          <w:rtl/>
        </w:rPr>
        <w:t>במ"ש</w:t>
      </w:r>
      <w:r w:rsidRPr="00FD6B82">
        <w:rPr>
          <w:rtl/>
        </w:rPr>
        <w:t xml:space="preserve"> </w:t>
      </w:r>
      <w:r w:rsidRPr="00255628">
        <w:rPr>
          <w:rStyle w:val="aff4"/>
          <w:vanish/>
          <w:rtl/>
        </w:rPr>
        <w:t>-</w:t>
      </w:r>
      <w:r w:rsidRPr="00255628">
        <w:rPr>
          <w:rStyle w:val="aff4"/>
          <w:rtl/>
        </w:rPr>
        <w:t>המאירי לקמן</w:t>
      </w:r>
      <w:r w:rsidRPr="00255628">
        <w:rPr>
          <w:rStyle w:val="aff4"/>
          <w:vanish/>
          <w:rtl/>
        </w:rPr>
        <w:t>-</w:t>
      </w:r>
      <w:r w:rsidRPr="00FD6B82">
        <w:rPr>
          <w:rtl/>
        </w:rPr>
        <w:t xml:space="preserve"> </w:t>
      </w:r>
      <w:r w:rsidRPr="00C8052D">
        <w:rPr>
          <w:rStyle w:val="af2"/>
          <w:rFonts w:eastAsia="Guttman Hodes"/>
          <w:rtl/>
        </w:rPr>
        <w:t xml:space="preserve">(עי' </w:t>
      </w:r>
      <w:r w:rsidRPr="0022310F">
        <w:rPr>
          <w:rStyle w:val="af2"/>
          <w:rFonts w:eastAsia="Guttman Hodes"/>
          <w:rtl/>
        </w:rPr>
        <w:t xml:space="preserve">אות </w:t>
      </w:r>
      <w:r w:rsidRPr="0022310F">
        <w:rPr>
          <w:rStyle w:val="af2"/>
          <w:rFonts w:eastAsia="Guttman Hodes"/>
          <w:rtl/>
        </w:rPr>
        <w:fldChar w:fldCharType="begin"/>
      </w:r>
      <w:r w:rsidRPr="0022310F">
        <w:rPr>
          <w:rStyle w:val="af2"/>
          <w:rFonts w:eastAsia="Guttman Hodes"/>
          <w:rtl/>
        </w:rPr>
        <w:instrText xml:space="preserve"> </w:instrText>
      </w:r>
      <w:r w:rsidRPr="0022310F">
        <w:rPr>
          <w:rStyle w:val="af2"/>
          <w:rFonts w:eastAsia="Guttman Hodes" w:hint="cs"/>
        </w:rPr>
        <w:instrText>REF</w:instrText>
      </w:r>
      <w:r w:rsidRPr="0022310F">
        <w:rPr>
          <w:rStyle w:val="af2"/>
          <w:rFonts w:eastAsia="Guttman Hodes" w:hint="cs"/>
          <w:rtl/>
        </w:rPr>
        <w:instrText xml:space="preserve"> _</w:instrText>
      </w:r>
      <w:r w:rsidRPr="0022310F">
        <w:rPr>
          <w:rStyle w:val="af2"/>
          <w:rFonts w:eastAsia="Guttman Hodes" w:hint="cs"/>
        </w:rPr>
        <w:instrText>Ref143794876 \r \h</w:instrText>
      </w:r>
      <w:r w:rsidRPr="0022310F">
        <w:rPr>
          <w:rStyle w:val="af2"/>
          <w:rFonts w:eastAsia="Guttman Hodes"/>
          <w:rtl/>
        </w:rPr>
        <w:instrText xml:space="preserve"> </w:instrText>
      </w:r>
      <w:r w:rsidRPr="0022310F">
        <w:rPr>
          <w:rStyle w:val="af2"/>
          <w:rFonts w:eastAsia="Guttman Hodes"/>
          <w:rtl/>
        </w:rPr>
      </w:r>
      <w:r w:rsidRPr="0022310F">
        <w:rPr>
          <w:rStyle w:val="af2"/>
          <w:rFonts w:eastAsia="Guttman Hodes"/>
          <w:rtl/>
        </w:rPr>
        <w:fldChar w:fldCharType="separate"/>
      </w:r>
      <w:r w:rsidR="00D82181">
        <w:rPr>
          <w:rStyle w:val="af2"/>
          <w:rFonts w:eastAsia="Guttman Hodes"/>
          <w:cs/>
        </w:rPr>
        <w:t>‎</w:t>
      </w:r>
      <w:r w:rsidR="00D82181">
        <w:rPr>
          <w:rStyle w:val="af2"/>
          <w:rFonts w:eastAsia="Guttman Hodes"/>
          <w:rtl/>
        </w:rPr>
        <w:t>לח)</w:t>
      </w:r>
      <w:r w:rsidRPr="0022310F">
        <w:rPr>
          <w:rStyle w:val="af2"/>
          <w:rFonts w:eastAsia="Guttman Hodes"/>
          <w:rtl/>
        </w:rPr>
        <w:fldChar w:fldCharType="end"/>
      </w:r>
      <w:r w:rsidRPr="00FD6B82">
        <w:rPr>
          <w:rtl/>
        </w:rPr>
        <w:t xml:space="preserve"> דחיוב מכה בפטיש הוא רק אחר שנגמרה המלאכה בגוף הדבר, ולא בכתב אות אחת והשלים לספר, </w:t>
      </w:r>
      <w:r>
        <w:rPr>
          <w:rFonts w:hint="cs"/>
          <w:rtl/>
        </w:rPr>
        <w:t xml:space="preserve">ביאר </w:t>
      </w:r>
      <w:r w:rsidRPr="00255628">
        <w:rPr>
          <w:rStyle w:val="aff4"/>
          <w:vanish/>
          <w:rtl/>
        </w:rPr>
        <w:t>-</w:t>
      </w:r>
      <w:r w:rsidRPr="00255628">
        <w:rPr>
          <w:rStyle w:val="aff4"/>
          <w:rtl/>
        </w:rPr>
        <w:t>ה</w:t>
      </w:r>
      <w:r w:rsidRPr="00255628">
        <w:rPr>
          <w:rStyle w:val="aff4"/>
          <w:rFonts w:hint="cs"/>
          <w:vanish/>
          <w:rtl/>
        </w:rPr>
        <w:t xml:space="preserve">&lt;, </w:t>
      </w:r>
      <w:r w:rsidRPr="00255628">
        <w:rPr>
          <w:rStyle w:val="aff4"/>
          <w:vanish/>
          <w:rtl/>
        </w:rPr>
        <w:fldChar w:fldCharType="begin"/>
      </w:r>
      <w:r w:rsidRPr="00255628">
        <w:rPr>
          <w:rStyle w:val="aff4"/>
          <w:vanish/>
          <w:rtl/>
        </w:rPr>
        <w:instrText xml:space="preserve"> </w:instrText>
      </w:r>
      <w:r w:rsidRPr="00255628">
        <w:rPr>
          <w:rStyle w:val="aff4"/>
          <w:rFonts w:hint="cs"/>
          <w:vanish/>
        </w:rPr>
        <w:instrText>REF</w:instrText>
      </w:r>
      <w:r w:rsidRPr="00255628">
        <w:rPr>
          <w:rStyle w:val="aff4"/>
          <w:rFonts w:hint="cs"/>
          <w:vanish/>
          <w:rtl/>
        </w:rPr>
        <w:instrText xml:space="preserve"> _</w:instrText>
      </w:r>
      <w:r w:rsidRPr="00255628">
        <w:rPr>
          <w:rStyle w:val="aff4"/>
          <w:rFonts w:hint="cs"/>
          <w:vanish/>
        </w:rPr>
        <w:instrText>Ref143877950 \r \h</w:instrText>
      </w:r>
      <w:r w:rsidRPr="00255628">
        <w:rPr>
          <w:rStyle w:val="aff4"/>
          <w:vanish/>
          <w:rtl/>
        </w:rPr>
        <w:instrText xml:space="preserve"> </w:instrText>
      </w:r>
      <w:r w:rsidRPr="00255628">
        <w:rPr>
          <w:rStyle w:val="aff4"/>
          <w:vanish/>
          <w:rtl/>
        </w:rPr>
      </w:r>
      <w:r w:rsidRPr="00255628">
        <w:rPr>
          <w:rStyle w:val="aff4"/>
          <w:vanish/>
          <w:rtl/>
        </w:rPr>
        <w:fldChar w:fldCharType="separate"/>
      </w:r>
      <w:r w:rsidR="00D82181">
        <w:rPr>
          <w:rStyle w:val="aff4"/>
          <w:vanish/>
          <w:cs/>
        </w:rPr>
        <w:t>‎</w:t>
      </w:r>
      <w:r w:rsidR="00D82181">
        <w:rPr>
          <w:rStyle w:val="aff4"/>
          <w:vanish/>
          <w:rtl/>
        </w:rPr>
        <w:t>מא)</w:t>
      </w:r>
      <w:r w:rsidRPr="00255628">
        <w:rPr>
          <w:rStyle w:val="aff4"/>
          <w:vanish/>
          <w:rtl/>
        </w:rPr>
        <w:fldChar w:fldCharType="end"/>
      </w:r>
      <w:r w:rsidRPr="00255628">
        <w:rPr>
          <w:rStyle w:val="aff4"/>
          <w:rFonts w:hint="cs"/>
          <w:vanish/>
          <w:rtl/>
        </w:rPr>
        <w:t xml:space="preserve"> &gt;</w:t>
      </w:r>
      <w:r w:rsidRPr="00255628">
        <w:rPr>
          <w:rStyle w:val="aff4"/>
          <w:rFonts w:hint="cs"/>
          <w:rtl/>
        </w:rPr>
        <w:t>אמרי בינה</w:t>
      </w:r>
      <w:r w:rsidRPr="00255628">
        <w:rPr>
          <w:rStyle w:val="aff4"/>
          <w:vanish/>
          <w:rtl/>
        </w:rPr>
        <w:t>-</w:t>
      </w:r>
      <w:r w:rsidRPr="00FD6B82">
        <w:rPr>
          <w:rtl/>
        </w:rPr>
        <w:t xml:space="preserve"> </w:t>
      </w:r>
      <w:r w:rsidRPr="00C8052D">
        <w:rPr>
          <w:rStyle w:val="af2"/>
          <w:rFonts w:eastAsia="Guttman Hodes"/>
          <w:rtl/>
        </w:rPr>
        <w:t xml:space="preserve">(שבת קד: </w:t>
      </w:r>
      <w:r w:rsidRPr="00C8052D">
        <w:rPr>
          <w:rStyle w:val="af2"/>
          <w:rFonts w:eastAsia="Guttman Hodes" w:hint="cs"/>
          <w:rtl/>
        </w:rPr>
        <w:t>סי' כ"א ד"ה כתב הרמ"א</w:t>
      </w:r>
      <w:r w:rsidRPr="00C8052D">
        <w:rPr>
          <w:rStyle w:val="af2"/>
          <w:rFonts w:eastAsia="Guttman Hodes"/>
          <w:rtl/>
        </w:rPr>
        <w:t>)</w:t>
      </w:r>
      <w:r w:rsidRPr="00255628">
        <w:rPr>
          <w:vanish/>
          <w:rtl/>
        </w:rPr>
        <w:t>=</w:t>
      </w:r>
      <w:r w:rsidRPr="00FD6B82">
        <w:rPr>
          <w:rFonts w:hint="cs"/>
          <w:rtl/>
        </w:rPr>
        <w:t xml:space="preserve"> דהיינו כיון דס"ל </w:t>
      </w:r>
      <w:r w:rsidRPr="00255628">
        <w:rPr>
          <w:rStyle w:val="aff4"/>
          <w:rFonts w:hint="cs"/>
          <w:vanish/>
          <w:rtl/>
        </w:rPr>
        <w:t>-</w:t>
      </w:r>
      <w:r w:rsidRPr="00255628">
        <w:rPr>
          <w:rStyle w:val="aff4"/>
          <w:rFonts w:hint="cs"/>
          <w:rtl/>
        </w:rPr>
        <w:t>להמאירי</w:t>
      </w:r>
      <w:r w:rsidRPr="00255628">
        <w:rPr>
          <w:rStyle w:val="aff4"/>
          <w:rFonts w:hint="cs"/>
          <w:vanish/>
          <w:rtl/>
        </w:rPr>
        <w:t>-</w:t>
      </w:r>
      <w:r w:rsidRPr="00FD6B82">
        <w:rPr>
          <w:rFonts w:hint="cs"/>
          <w:rtl/>
        </w:rPr>
        <w:t xml:space="preserve"> </w:t>
      </w:r>
      <w:r w:rsidRPr="00C8052D">
        <w:rPr>
          <w:rStyle w:val="af2"/>
          <w:rFonts w:eastAsia="Guttman Hodes" w:hint="cs"/>
          <w:rtl/>
        </w:rPr>
        <w:t>(ד"ה העושה)</w:t>
      </w:r>
      <w:r w:rsidRPr="00FD6B82">
        <w:rPr>
          <w:rFonts w:hint="cs"/>
          <w:rtl/>
        </w:rPr>
        <w:t xml:space="preserve"> דקיי"ל כרב בלול של תרנגולים ובשופתא דקופינא דבעושה כלי מתחילתו יש בנין בכלים, ולכן אין בזה חיוב דמכה בפטיש, אבל לדעת שמואל דס"ל דחייב משום מכה בפטיש, א"כ מבואר דאף בגמר גוף המלאכה יש מכה בפטיש, וא"כ לדעת </w:t>
      </w:r>
      <w:r w:rsidRPr="00255628">
        <w:rPr>
          <w:rStyle w:val="aff4"/>
          <w:rFonts w:hint="cs"/>
          <w:vanish/>
          <w:rtl/>
        </w:rPr>
        <w:t>-</w:t>
      </w:r>
      <w:r w:rsidRPr="00255628">
        <w:rPr>
          <w:rStyle w:val="aff4"/>
          <w:rFonts w:hint="cs"/>
          <w:rtl/>
        </w:rPr>
        <w:t>הרמב"ם</w:t>
      </w:r>
      <w:r w:rsidRPr="00255628">
        <w:rPr>
          <w:rStyle w:val="aff4"/>
          <w:rFonts w:hint="cs"/>
          <w:vanish/>
          <w:rtl/>
        </w:rPr>
        <w:t>-</w:t>
      </w:r>
      <w:r w:rsidRPr="00FD6B82">
        <w:rPr>
          <w:rFonts w:hint="cs"/>
          <w:rtl/>
        </w:rPr>
        <w:t xml:space="preserve"> </w:t>
      </w:r>
      <w:r w:rsidRPr="00C8052D">
        <w:rPr>
          <w:rStyle w:val="af2"/>
          <w:rFonts w:eastAsia="Guttman Hodes" w:hint="cs"/>
          <w:rtl/>
        </w:rPr>
        <w:t>(עי' אות</w:t>
      </w:r>
      <w:r>
        <w:rPr>
          <w:rStyle w:val="af2"/>
          <w:rFonts w:eastAsia="Guttman Hodes" w:hint="cs"/>
          <w:rtl/>
        </w:rPr>
        <w:t xml:space="preserve">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Ref144154219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לג)</w:t>
      </w:r>
      <w:r>
        <w:rPr>
          <w:rStyle w:val="af2"/>
          <w:rFonts w:eastAsia="Guttman Hodes"/>
          <w:rtl/>
        </w:rPr>
        <w:fldChar w:fldCharType="end"/>
      </w:r>
      <w:r w:rsidRPr="00C8052D">
        <w:rPr>
          <w:rStyle w:val="af2"/>
          <w:rFonts w:eastAsia="Guttman Hodes" w:hint="cs"/>
          <w:rtl/>
        </w:rPr>
        <w:t xml:space="preserve"> </w:t>
      </w:r>
      <w:r w:rsidRPr="00FD6B82">
        <w:rPr>
          <w:rFonts w:hint="cs"/>
          <w:rtl/>
        </w:rPr>
        <w:t>דפסק כשמואל יש בזה מכה בפטיש.</w:t>
      </w:r>
      <w:bookmarkEnd w:id="5220"/>
    </w:p>
    <w:p w14:paraId="2D4A7B50" w14:textId="77777777" w:rsidR="00A14FDA" w:rsidRPr="00BC7DC8" w:rsidRDefault="00A14FDA" w:rsidP="00A14FDA">
      <w:pPr>
        <w:pStyle w:val="afffffe"/>
        <w:rPr>
          <w:vanish/>
          <w:rtl/>
        </w:rPr>
      </w:pPr>
      <w:r w:rsidRPr="00BC7DC8">
        <w:rPr>
          <w:vanish/>
          <w:rtl/>
        </w:rPr>
        <w:t>אמרי בינה דיני שבת סימן כ</w:t>
      </w:r>
      <w:r w:rsidRPr="00BC7DC8">
        <w:rPr>
          <w:rFonts w:hint="cs"/>
          <w:vanish/>
          <w:rtl/>
        </w:rPr>
        <w:t>"</w:t>
      </w:r>
      <w:r w:rsidRPr="00BC7DC8">
        <w:rPr>
          <w:vanish/>
          <w:rtl/>
        </w:rPr>
        <w:t xml:space="preserve">א </w:t>
      </w:r>
      <w:r w:rsidRPr="00BC7DC8">
        <w:rPr>
          <w:rFonts w:hint="cs"/>
          <w:vanish/>
          <w:rtl/>
        </w:rPr>
        <w:t xml:space="preserve">ד"ה </w:t>
      </w:r>
      <w:r w:rsidRPr="00BC7DC8">
        <w:rPr>
          <w:vanish/>
          <w:rtl/>
        </w:rPr>
        <w:t>כתב הרמ"א</w:t>
      </w:r>
    </w:p>
    <w:p w14:paraId="1D697DE3" w14:textId="77777777" w:rsidR="00A14FDA" w:rsidRPr="00D87F8B" w:rsidRDefault="00A14FDA" w:rsidP="00A14FDA">
      <w:pPr>
        <w:pStyle w:val="a2"/>
      </w:pPr>
      <w:r w:rsidRPr="00D87F8B">
        <w:rPr>
          <w:rtl/>
        </w:rPr>
        <w:t xml:space="preserve">ומצאתי בס' המאירי סוף פי"ב משבת דהביא משם חכמי דורות להקשות בהא דאם ארג חוט אחד והשלים לבגד דחייב וכן בכתב אות אחת והשלים הספר דחשיב ככותב שתים וחייב יתחייב בה משום מכה בפטיש ג"כ כמו דאמרינן האי מאן דשקל אקופי מגלימיה חייב משום מכה בפטיש וכתב דוקא במלאכה שנשלמה כולה כגון שחצב אבן בהר ונתפרקה כולה ונשלמה מלאכת אבן אלא שלא נפלה וזה הכה בפטיש והפילה שנמצא המלאכה בגוף אותו דבר שכבר נשלמה וכן בשקל אקופי שהרי כולה עשויה אבל באלו לא נשלם הספר והבגד עדיין וכל שהוא עושה לצורך השלמה לא מקרי מכה בפטיש שאל"כ אף המלאכות שתחילתן וסופן בא כאחד כגון קציר וכיוצא בו הי' ראוי להתחייב בו משום מכה בפטיש עכ"ל. וכנרא' מדבריו דחיוב מלאכת מכה בפטיש הוא דוקא כשעוש' דבר אחר ההשלמ' אבל בעושה לצורך ההשלמה ל"ש מכה בפטיש אולם זה לשיטתו דפוסק כרב (דף </w:t>
      </w:r>
      <w:r w:rsidRPr="00D87F8B">
        <w:rPr>
          <w:rFonts w:hint="cs"/>
          <w:rtl/>
        </w:rPr>
        <w:t>ק</w:t>
      </w:r>
      <w:r w:rsidRPr="00D87F8B">
        <w:rPr>
          <w:rtl/>
        </w:rPr>
        <w:t>"ב ע"ב) בעושה נקב בלול של תרנגולים וכן בעייל שופתא בקופינא דמרא דיש בנין בעשיית כלי מתחילתו וממילא ליכא בו מכה בפטיש ולשמואל דסובר דחייב משום מכה בפטיש וכ"כ הרמב"ם (פכ"ג) משבת</w:t>
      </w:r>
      <w:r w:rsidRPr="00D87F8B">
        <w:rPr>
          <w:rFonts w:hint="cs"/>
          <w:rtl/>
        </w:rPr>
        <w:t>.</w:t>
      </w:r>
    </w:p>
    <w:p w14:paraId="730F2E6D" w14:textId="77777777" w:rsidR="00A14FDA" w:rsidRDefault="00A14FDA" w:rsidP="00A14FDA">
      <w:pPr>
        <w:pStyle w:val="a7"/>
        <w:rPr>
          <w:rtl/>
        </w:rPr>
      </w:pPr>
      <w:bookmarkStart w:id="5221" w:name="_Toc144225277"/>
      <w:r>
        <w:rPr>
          <w:rFonts w:hint="cs"/>
          <w:rtl/>
        </w:rPr>
        <w:t>בי' האמר"ב דללח"מ מבו' דלא כמאירי ואף ליראים לשמואל במלאכה עצמה חייב במכב"פ</w:t>
      </w:r>
      <w:bookmarkEnd w:id="5221"/>
      <w:r>
        <w:rPr>
          <w:rFonts w:hint="cs"/>
          <w:rtl/>
        </w:rPr>
        <w:t xml:space="preserve"> </w:t>
      </w:r>
    </w:p>
    <w:p w14:paraId="2874F7F2" w14:textId="24E2B263" w:rsidR="00A14FDA" w:rsidRPr="008504BA" w:rsidRDefault="00A14FDA" w:rsidP="00BC7DC8">
      <w:pPr>
        <w:pStyle w:val="a3"/>
      </w:pPr>
      <w:bookmarkStart w:id="5222" w:name="_Ref144200069"/>
      <w:r>
        <w:rPr>
          <w:rFonts w:hint="cs"/>
          <w:rtl/>
        </w:rPr>
        <w:t xml:space="preserve">והביא </w:t>
      </w:r>
      <w:r w:rsidRPr="00255628">
        <w:rPr>
          <w:rStyle w:val="aff4"/>
          <w:rFonts w:hint="cs"/>
          <w:vanish/>
          <w:rtl/>
        </w:rPr>
        <w:t>-</w:t>
      </w:r>
      <w:r w:rsidRPr="00255628">
        <w:rPr>
          <w:rStyle w:val="aff4"/>
          <w:rFonts w:hint="cs"/>
          <w:rtl/>
        </w:rPr>
        <w:t>האמרי בינה</w:t>
      </w:r>
      <w:r w:rsidRPr="00255628">
        <w:rPr>
          <w:rStyle w:val="aff4"/>
          <w:rFonts w:hint="cs"/>
          <w:vanish/>
          <w:rtl/>
        </w:rPr>
        <w:t>-</w:t>
      </w:r>
      <w:r>
        <w:rPr>
          <w:rFonts w:hint="cs"/>
          <w:rtl/>
        </w:rPr>
        <w:t xml:space="preserve"> את דברי </w:t>
      </w:r>
      <w:r w:rsidRPr="00255628">
        <w:rPr>
          <w:rStyle w:val="aff4"/>
          <w:rFonts w:hint="cs"/>
          <w:vanish/>
          <w:rtl/>
        </w:rPr>
        <w:t>-</w:t>
      </w:r>
      <w:r w:rsidRPr="00255628">
        <w:rPr>
          <w:rStyle w:val="aff4"/>
          <w:rFonts w:hint="cs"/>
          <w:rtl/>
        </w:rPr>
        <w:t>הלח"מ</w:t>
      </w:r>
      <w:r w:rsidRPr="00255628">
        <w:rPr>
          <w:rStyle w:val="aff4"/>
          <w:rFonts w:hint="cs"/>
          <w:vanish/>
          <w:rtl/>
        </w:rPr>
        <w:t>-</w:t>
      </w:r>
      <w:r>
        <w:rPr>
          <w:rFonts w:hint="cs"/>
          <w:rtl/>
        </w:rPr>
        <w:t xml:space="preserve"> </w:t>
      </w:r>
      <w:r w:rsidRPr="00C8052D">
        <w:rPr>
          <w:rStyle w:val="af2"/>
          <w:rFonts w:eastAsia="Guttman Hodes" w:hint="cs"/>
          <w:rtl/>
        </w:rPr>
        <w:t>(עי' אות</w:t>
      </w:r>
      <w:r>
        <w:rPr>
          <w:rStyle w:val="af2"/>
          <w:rFonts w:eastAsia="Guttman Hodes" w:hint="cs"/>
          <w:rtl/>
        </w:rPr>
        <w:t xml:space="preserve">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Ref144154863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לה)</w:t>
      </w:r>
      <w:r>
        <w:rPr>
          <w:rStyle w:val="af2"/>
          <w:rFonts w:eastAsia="Guttman Hodes"/>
          <w:rtl/>
        </w:rPr>
        <w:fldChar w:fldCharType="end"/>
      </w:r>
      <w:r w:rsidRPr="00C8052D">
        <w:rPr>
          <w:rStyle w:val="af2"/>
          <w:rFonts w:eastAsia="Guttman Hodes" w:hint="cs"/>
          <w:rtl/>
        </w:rPr>
        <w:t xml:space="preserve"> </w:t>
      </w:r>
      <w:r>
        <w:rPr>
          <w:rFonts w:hint="cs"/>
          <w:rtl/>
        </w:rPr>
        <w:t>דביאר דחייב שתים גם משום בונה וגם משום מכה בפטיש, וא"כ מבואר דאף כשעושה מעשה להשלים את המלאכה חייב משום מכה בפטיש</w:t>
      </w:r>
      <w:r w:rsidRPr="00FD6B82">
        <w:rPr>
          <w:rFonts w:hint="cs"/>
          <w:rtl/>
        </w:rPr>
        <w:t xml:space="preserve">, והוסיף </w:t>
      </w:r>
      <w:r w:rsidRPr="00255628">
        <w:rPr>
          <w:rStyle w:val="aff4"/>
          <w:rFonts w:hint="cs"/>
          <w:vanish/>
          <w:rtl/>
        </w:rPr>
        <w:t>-</w:t>
      </w:r>
      <w:r w:rsidRPr="00255628">
        <w:rPr>
          <w:rStyle w:val="aff4"/>
          <w:rFonts w:hint="cs"/>
          <w:rtl/>
        </w:rPr>
        <w:t>האמרי בינה</w:t>
      </w:r>
      <w:r w:rsidRPr="00255628">
        <w:rPr>
          <w:rStyle w:val="aff4"/>
          <w:rFonts w:hint="cs"/>
          <w:vanish/>
          <w:rtl/>
        </w:rPr>
        <w:t>-</w:t>
      </w:r>
      <w:r w:rsidRPr="00FD6B82">
        <w:rPr>
          <w:rFonts w:hint="cs"/>
          <w:rtl/>
        </w:rPr>
        <w:t xml:space="preserve"> דאף לביאור </w:t>
      </w:r>
      <w:r w:rsidRPr="00255628">
        <w:rPr>
          <w:rStyle w:val="aff4"/>
          <w:rFonts w:hint="cs"/>
          <w:vanish/>
          <w:rtl/>
        </w:rPr>
        <w:t>-</w:t>
      </w:r>
      <w:r w:rsidRPr="00255628">
        <w:rPr>
          <w:rStyle w:val="aff4"/>
          <w:rFonts w:hint="cs"/>
          <w:rtl/>
        </w:rPr>
        <w:t>ההג' מרדכי</w:t>
      </w:r>
      <w:r w:rsidRPr="00255628">
        <w:rPr>
          <w:rStyle w:val="aff4"/>
          <w:rFonts w:hint="cs"/>
          <w:vanish/>
          <w:rtl/>
        </w:rPr>
        <w:t>-</w:t>
      </w:r>
      <w:r w:rsidRPr="00FD6B82">
        <w:rPr>
          <w:rFonts w:hint="cs"/>
          <w:rtl/>
        </w:rPr>
        <w:t xml:space="preserve"> </w:t>
      </w:r>
      <w:r w:rsidRPr="006F453E">
        <w:rPr>
          <w:rStyle w:val="af2"/>
          <w:rFonts w:eastAsia="Guttman Hodes" w:hint="cs"/>
          <w:rtl/>
        </w:rPr>
        <w:t xml:space="preserve">(עי' אות </w:t>
      </w:r>
      <w:r w:rsidRPr="006F453E">
        <w:rPr>
          <w:rStyle w:val="af2"/>
          <w:rFonts w:eastAsia="Guttman Hodes"/>
          <w:rtl/>
        </w:rPr>
        <w:fldChar w:fldCharType="begin"/>
      </w:r>
      <w:r w:rsidRPr="006F453E">
        <w:rPr>
          <w:rStyle w:val="af2"/>
          <w:rFonts w:eastAsia="Guttman Hodes"/>
          <w:rtl/>
        </w:rPr>
        <w:instrText xml:space="preserve"> </w:instrText>
      </w:r>
      <w:r w:rsidRPr="006F453E">
        <w:rPr>
          <w:rStyle w:val="af2"/>
          <w:rFonts w:eastAsia="Guttman Hodes" w:hint="cs"/>
        </w:rPr>
        <w:instrText>REF</w:instrText>
      </w:r>
      <w:r w:rsidRPr="006F453E">
        <w:rPr>
          <w:rStyle w:val="af2"/>
          <w:rFonts w:eastAsia="Guttman Hodes" w:hint="cs"/>
          <w:rtl/>
        </w:rPr>
        <w:instrText xml:space="preserve"> _</w:instrText>
      </w:r>
      <w:r w:rsidRPr="006F453E">
        <w:rPr>
          <w:rStyle w:val="af2"/>
          <w:rFonts w:eastAsia="Guttman Hodes" w:hint="cs"/>
        </w:rPr>
        <w:instrText>Ref143857616 \r \h</w:instrText>
      </w:r>
      <w:r w:rsidRPr="006F453E">
        <w:rPr>
          <w:rStyle w:val="af2"/>
          <w:rFonts w:eastAsia="Guttman Hodes"/>
          <w:rtl/>
        </w:rPr>
        <w:instrText xml:space="preserve"> </w:instrText>
      </w:r>
      <w:r w:rsidRPr="006F453E">
        <w:rPr>
          <w:rStyle w:val="af2"/>
          <w:rFonts w:eastAsia="Guttman Hodes"/>
          <w:rtl/>
        </w:rPr>
      </w:r>
      <w:r w:rsidRPr="006F453E">
        <w:rPr>
          <w:rStyle w:val="af2"/>
          <w:rFonts w:eastAsia="Guttman Hodes"/>
          <w:rtl/>
        </w:rPr>
        <w:fldChar w:fldCharType="separate"/>
      </w:r>
      <w:r w:rsidR="00D82181">
        <w:rPr>
          <w:rStyle w:val="af2"/>
          <w:rFonts w:eastAsia="Guttman Hodes"/>
          <w:cs/>
        </w:rPr>
        <w:t>‎</w:t>
      </w:r>
      <w:r w:rsidR="00D82181">
        <w:rPr>
          <w:rStyle w:val="af2"/>
          <w:rFonts w:eastAsia="Guttman Hodes"/>
          <w:rtl/>
        </w:rPr>
        <w:t>מח)</w:t>
      </w:r>
      <w:r w:rsidRPr="006F453E">
        <w:rPr>
          <w:rStyle w:val="af2"/>
          <w:rFonts w:eastAsia="Guttman Hodes"/>
          <w:rtl/>
        </w:rPr>
        <w:fldChar w:fldCharType="end"/>
      </w:r>
      <w:r>
        <w:rPr>
          <w:rFonts w:hint="cs"/>
          <w:rtl/>
        </w:rPr>
        <w:t xml:space="preserve"> </w:t>
      </w:r>
      <w:r w:rsidRPr="00FD6B82">
        <w:rPr>
          <w:rFonts w:hint="cs"/>
          <w:rtl/>
        </w:rPr>
        <w:t xml:space="preserve">בשם </w:t>
      </w:r>
      <w:r w:rsidRPr="00255628">
        <w:rPr>
          <w:rStyle w:val="aff4"/>
          <w:rFonts w:hint="cs"/>
          <w:vanish/>
          <w:rtl/>
        </w:rPr>
        <w:t>-</w:t>
      </w:r>
      <w:r w:rsidRPr="00255628">
        <w:rPr>
          <w:rStyle w:val="aff4"/>
          <w:rFonts w:hint="cs"/>
          <w:rtl/>
        </w:rPr>
        <w:t>היראים</w:t>
      </w:r>
      <w:r w:rsidRPr="00255628">
        <w:rPr>
          <w:rStyle w:val="aff4"/>
          <w:rFonts w:hint="cs"/>
          <w:vanish/>
          <w:rtl/>
        </w:rPr>
        <w:t>-</w:t>
      </w:r>
      <w:r w:rsidRPr="00FD6B82">
        <w:rPr>
          <w:rFonts w:hint="cs"/>
          <w:rtl/>
        </w:rPr>
        <w:t xml:space="preserve"> דחיוב מכה בפטיש הוא רק בדבר שאינו מחוסר בנין, היינו רק לרב, אבל </w:t>
      </w:r>
      <w:r w:rsidRPr="00255628">
        <w:rPr>
          <w:rStyle w:val="aff4"/>
          <w:rFonts w:hint="cs"/>
          <w:vanish/>
          <w:rtl/>
        </w:rPr>
        <w:t>-</w:t>
      </w:r>
      <w:r w:rsidRPr="00255628">
        <w:rPr>
          <w:rStyle w:val="aff4"/>
          <w:rFonts w:hint="cs"/>
          <w:rtl/>
        </w:rPr>
        <w:t>להרמב"ם</w:t>
      </w:r>
      <w:r w:rsidRPr="00255628">
        <w:rPr>
          <w:rStyle w:val="aff4"/>
          <w:rFonts w:hint="cs"/>
          <w:vanish/>
          <w:rtl/>
        </w:rPr>
        <w:t>-</w:t>
      </w:r>
      <w:r w:rsidRPr="00FD6B82">
        <w:rPr>
          <w:rFonts w:hint="cs"/>
          <w:rtl/>
        </w:rPr>
        <w:t xml:space="preserve"> דפסק כשמואל חייב</w:t>
      </w:r>
      <w:r>
        <w:rPr>
          <w:rFonts w:hint="cs"/>
          <w:rtl/>
        </w:rPr>
        <w:t xml:space="preserve"> גם משום מכה בפטיש וגם משום בונה, ומבואר דקיי"ל דאף בדבר שיש בו חסרון מלאכה חייב בו משום מכה בפטיש.</w:t>
      </w:r>
      <w:bookmarkEnd w:id="5222"/>
    </w:p>
    <w:p w14:paraId="2A58CB91" w14:textId="77777777" w:rsidR="00A14FDA" w:rsidRPr="00D87F8B" w:rsidRDefault="00A14FDA" w:rsidP="00A14FDA">
      <w:pPr>
        <w:pStyle w:val="a2"/>
        <w:rPr>
          <w:rtl/>
        </w:rPr>
      </w:pPr>
      <w:r w:rsidRPr="00D87F8B">
        <w:rPr>
          <w:rtl/>
        </w:rPr>
        <w:t xml:space="preserve">ועי' לח"מ (פ"י משבת) שכתב דחייב שתים משום בונה ומשום מכה בפטיש הרי מבואר אף שעוש' לצורך השלמ' יש בו ג"כ מכה בפטיש ובהגהות מרדכי פרק הבונה סובר דדעת רב דאמר משום בונה היינו כיון שעוד מחוסר בנין אין בו מכה בפטיש וכיון דאין בנין בכלים אינו חייב כלל דאין נקרא מכה בפטיש אלא בדבר שאינו חסר בנין ובחסרון בנין לא תהא מלאכת מכה בפטיש. אולם שמואל דסובר דחייב משום מלאכת מכה בפטיש ולדעת הרמב"ם יש בו תרתי בונה ומכה בפטיש הרי אף במה דיש חסרון מלאכה יש בו ג"כ </w:t>
      </w:r>
      <w:r w:rsidRPr="00D87F8B">
        <w:rPr>
          <w:rFonts w:hint="cs"/>
          <w:rtl/>
        </w:rPr>
        <w:t>מכה בפטיש.</w:t>
      </w:r>
      <w:r w:rsidRPr="00D87F8B">
        <w:rPr>
          <w:rtl/>
        </w:rPr>
        <w:t xml:space="preserve"> ויקשה כל מבשל יתחייב משום מכה בפטיש ג"כ ואף להסוברים דאין חיוב משום מכה בפטיש כשיש חיוב מלאכה אחרת מ"מ יקשה במבשל בחמי טברי' ובדבר שאינו תולדות האור דפטור יקשה דמ"מ יתחייב משום מב"פ:</w:t>
      </w:r>
    </w:p>
    <w:p w14:paraId="2B864C8C" w14:textId="77777777" w:rsidR="00A14FDA" w:rsidRDefault="00A14FDA" w:rsidP="00A14FDA">
      <w:pPr>
        <w:pStyle w:val="1"/>
        <w:rPr>
          <w:rtl/>
        </w:rPr>
      </w:pPr>
      <w:bookmarkStart w:id="5223" w:name="_Toc144112137"/>
      <w:bookmarkStart w:id="5224" w:name="_Toc144118229"/>
      <w:bookmarkStart w:id="5225" w:name="_Toc144225278"/>
      <w:r>
        <w:rPr>
          <w:rFonts w:hint="cs"/>
          <w:rtl/>
        </w:rPr>
        <w:t>בי' המהר"ם קזיס</w:t>
      </w:r>
      <w:bookmarkEnd w:id="5223"/>
      <w:bookmarkEnd w:id="5224"/>
      <w:r>
        <w:rPr>
          <w:rFonts w:hint="cs"/>
          <w:rtl/>
        </w:rPr>
        <w:t xml:space="preserve"> דחיוב מכב"פ רק כשאין חיוב מלאכה אחרת</w:t>
      </w:r>
      <w:bookmarkEnd w:id="5225"/>
    </w:p>
    <w:p w14:paraId="5A336CA7" w14:textId="77777777" w:rsidR="00A14FDA" w:rsidRDefault="00A14FDA" w:rsidP="00A14FDA">
      <w:pPr>
        <w:pStyle w:val="afffff7"/>
        <w:rPr>
          <w:rtl/>
        </w:rPr>
      </w:pPr>
      <w:bookmarkStart w:id="5226" w:name="_Toc144224678"/>
      <w:bookmarkStart w:id="5227" w:name="_Toc163506226"/>
      <w:r w:rsidRPr="00F63F14">
        <w:rPr>
          <w:rFonts w:hint="cs"/>
          <w:rtl/>
        </w:rPr>
        <w:t>חידושי רבינו משה קזיס שבת פ</w:t>
      </w:r>
      <w:r>
        <w:rPr>
          <w:rFonts w:hint="cs"/>
          <w:rtl/>
        </w:rPr>
        <w:t>"</w:t>
      </w:r>
      <w:r w:rsidRPr="00F63F14">
        <w:rPr>
          <w:rFonts w:hint="cs"/>
          <w:rtl/>
        </w:rPr>
        <w:t>ז ד"ה כל מידי</w:t>
      </w:r>
      <w:bookmarkEnd w:id="5226"/>
      <w:bookmarkEnd w:id="5227"/>
      <w:r w:rsidRPr="00421A47">
        <w:rPr>
          <w:vanish/>
          <w:rtl/>
        </w:rPr>
        <w:t xml:space="preserve"> (ב)</w:t>
      </w:r>
    </w:p>
    <w:p w14:paraId="01DC1BB0" w14:textId="77777777" w:rsidR="00A14FDA" w:rsidRDefault="00A14FDA" w:rsidP="00A14FDA">
      <w:pPr>
        <w:pStyle w:val="a7"/>
        <w:rPr>
          <w:rtl/>
        </w:rPr>
      </w:pPr>
      <w:bookmarkStart w:id="5228" w:name="_Toc144225279"/>
      <w:r>
        <w:rPr>
          <w:rFonts w:hint="cs"/>
          <w:rtl/>
        </w:rPr>
        <w:t>בי' המהר"ם קזיס דהיה אפש"ל דבמלאכה עם שיעור מכב"פ בשיעור ובלא שיעור מכב"פ בגמר</w:t>
      </w:r>
      <w:bookmarkEnd w:id="5228"/>
    </w:p>
    <w:p w14:paraId="741EDA51" w14:textId="2C328F59" w:rsidR="00A14FDA" w:rsidRDefault="00A14FDA" w:rsidP="00BC7DC8">
      <w:pPr>
        <w:pStyle w:val="a3"/>
      </w:pPr>
      <w:bookmarkStart w:id="5229" w:name="_Ref144117215"/>
      <w:r>
        <w:rPr>
          <w:rFonts w:hint="cs"/>
          <w:rtl/>
        </w:rPr>
        <w:lastRenderedPageBreak/>
        <w:t xml:space="preserve">בהא דאיתא בגמ' לעיל </w:t>
      </w:r>
      <w:r w:rsidRPr="00C8052D">
        <w:rPr>
          <w:rStyle w:val="af2"/>
          <w:rFonts w:eastAsia="Guttman Hodes" w:hint="cs"/>
          <w:rtl/>
        </w:rPr>
        <w:t>(עג.)</w:t>
      </w:r>
      <w:r>
        <w:rPr>
          <w:rFonts w:hint="cs"/>
          <w:rtl/>
        </w:rPr>
        <w:t xml:space="preserve"> דכל דבר גמר מלאכה חייב משום מכה בפטיש, כתב </w:t>
      </w:r>
      <w:r w:rsidRPr="00255628">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Ref144117215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מג)</w:t>
      </w:r>
      <w:r>
        <w:rPr>
          <w:rStyle w:val="aff4"/>
          <w:vanish/>
          <w:rtl/>
        </w:rPr>
        <w:fldChar w:fldCharType="end"/>
      </w:r>
      <w:r w:rsidRPr="00255628">
        <w:rPr>
          <w:rStyle w:val="aff4"/>
          <w:rFonts w:hint="cs"/>
          <w:vanish/>
          <w:rtl/>
        </w:rPr>
        <w:t xml:space="preserve"> &gt;</w:t>
      </w:r>
      <w:r w:rsidRPr="00255628">
        <w:rPr>
          <w:rStyle w:val="aff4"/>
          <w:rFonts w:hint="cs"/>
          <w:rtl/>
        </w:rPr>
        <w:t>רבינו משה קזיס לעיל</w:t>
      </w:r>
      <w:r w:rsidRPr="00255628">
        <w:rPr>
          <w:rStyle w:val="aff4"/>
          <w:rFonts w:hint="cs"/>
          <w:vanish/>
          <w:rtl/>
        </w:rPr>
        <w:t>-</w:t>
      </w:r>
      <w:r>
        <w:rPr>
          <w:rFonts w:hint="cs"/>
          <w:rtl/>
        </w:rPr>
        <w:t xml:space="preserve"> </w:t>
      </w:r>
      <w:r w:rsidRPr="00C8052D">
        <w:rPr>
          <w:rStyle w:val="af2"/>
          <w:rFonts w:eastAsia="Guttman Hodes" w:hint="cs"/>
          <w:rtl/>
        </w:rPr>
        <w:t>(עג. ד"ה כל מידי)</w:t>
      </w:r>
      <w:r w:rsidRPr="00255628">
        <w:rPr>
          <w:rFonts w:hint="cs"/>
          <w:vanish/>
          <w:rtl/>
        </w:rPr>
        <w:t>=</w:t>
      </w:r>
      <w:r>
        <w:rPr>
          <w:rFonts w:hint="cs"/>
          <w:rtl/>
        </w:rPr>
        <w:t xml:space="preserve"> דבפשטות משמע דהחיוב בזה הוא בכל מלאכה, וא"כ במלאכה שיש בה שיעור מיד כשגמר את המלאכה חייב שתים, גם משום המלאכה עצמה וגם משום מכה בפטיש, ואם גמר את המלאכה בפחות מכשיעור חייב רק משום מכה בפטיש, ובמלאכה שאין לה שיעור בכל גמר המלאכה יתחייב שתים.</w:t>
      </w:r>
    </w:p>
    <w:p w14:paraId="5EAA5C26" w14:textId="77777777" w:rsidR="00A14FDA" w:rsidRPr="00BC7DC8" w:rsidRDefault="00A14FDA" w:rsidP="00A14FDA">
      <w:pPr>
        <w:pStyle w:val="afffffe"/>
        <w:rPr>
          <w:vanish/>
          <w:rtl/>
        </w:rPr>
      </w:pPr>
      <w:r w:rsidRPr="00BC7DC8">
        <w:rPr>
          <w:rFonts w:hint="cs"/>
          <w:vanish/>
          <w:rtl/>
        </w:rPr>
        <w:t>חידושי רבינו משה קזיס שבת פ"ז ד"ה כל מידי</w:t>
      </w:r>
    </w:p>
    <w:p w14:paraId="489DFEFD" w14:textId="77777777" w:rsidR="00A14FDA" w:rsidRDefault="00A14FDA" w:rsidP="00A14FDA">
      <w:pPr>
        <w:pStyle w:val="a2"/>
        <w:rPr>
          <w:rtl/>
        </w:rPr>
      </w:pPr>
      <w:r w:rsidRPr="00D87F8B">
        <w:rPr>
          <w:rtl/>
        </w:rPr>
        <w:t xml:space="preserve">כל </w:t>
      </w:r>
      <w:r w:rsidRPr="00D87F8B">
        <w:rPr>
          <w:rFonts w:hint="cs"/>
          <w:rtl/>
        </w:rPr>
        <w:t>מי</w:t>
      </w:r>
      <w:r w:rsidRPr="00D87F8B">
        <w:rPr>
          <w:rtl/>
        </w:rPr>
        <w:t xml:space="preserve">די דאית ביה גמר מלאכה חייב </w:t>
      </w:r>
      <w:r w:rsidRPr="00D87F8B">
        <w:rPr>
          <w:rFonts w:hint="cs"/>
          <w:rtl/>
        </w:rPr>
        <w:t>מש</w:t>
      </w:r>
      <w:r w:rsidRPr="00D87F8B">
        <w:rPr>
          <w:rtl/>
        </w:rPr>
        <w:t>ום מכה בפטיש</w:t>
      </w:r>
      <w:r w:rsidRPr="00D87F8B">
        <w:rPr>
          <w:rFonts w:hint="cs"/>
          <w:rtl/>
        </w:rPr>
        <w:t>.</w:t>
      </w:r>
      <w:r w:rsidRPr="00D87F8B">
        <w:rPr>
          <w:rtl/>
        </w:rPr>
        <w:t xml:space="preserve"> היה נראה לומר שכל הגומר איזו מלאכה שתהיה מן המלאכות האסורות בשבת חייב משום מכה בפטיש ואם היא מלאכה שיש לה שעור ועשה ממנה כשעור בגמר המלאכה חייב שתים אחת משום המלאכה ההיא עצמה ואחת משום מכה בפטיש ואם כשגמרה לא עשה ממנה כשעור חייב משום מכה בפטיש בלבד ואם היא מלאכה שאין לה שעור כשגמרה חייב שתים</w:t>
      </w:r>
      <w:r>
        <w:rPr>
          <w:rFonts w:hint="cs"/>
          <w:rtl/>
        </w:rPr>
        <w:t>.</w:t>
      </w:r>
    </w:p>
    <w:p w14:paraId="704BF9F0" w14:textId="77777777" w:rsidR="00A14FDA" w:rsidRPr="007A70EA" w:rsidRDefault="00A14FDA" w:rsidP="00A14FDA">
      <w:pPr>
        <w:pStyle w:val="a7"/>
      </w:pPr>
      <w:bookmarkStart w:id="5230" w:name="_Toc144225280"/>
      <w:r>
        <w:rPr>
          <w:rFonts w:hint="cs"/>
          <w:rtl/>
        </w:rPr>
        <w:t>דחיית המהר"ם קזיס דאי בכל גמר מלאכה חייב משום מכב"פ אף במבעיר ושוחט ומוציא יתחייב</w:t>
      </w:r>
      <w:bookmarkEnd w:id="5230"/>
    </w:p>
    <w:p w14:paraId="2DC057B6" w14:textId="77777777" w:rsidR="00A14FDA" w:rsidRPr="00FD1FAA" w:rsidRDefault="00A14FDA" w:rsidP="00BC7DC8">
      <w:pPr>
        <w:pStyle w:val="a3"/>
      </w:pPr>
      <w:r>
        <w:rPr>
          <w:rFonts w:hint="cs"/>
          <w:rtl/>
        </w:rPr>
        <w:t xml:space="preserve">אך דחה </w:t>
      </w:r>
      <w:r w:rsidRPr="00255628">
        <w:rPr>
          <w:rStyle w:val="aff4"/>
          <w:rFonts w:hint="cs"/>
          <w:vanish/>
          <w:rtl/>
        </w:rPr>
        <w:t>-</w:t>
      </w:r>
      <w:r w:rsidRPr="00255628">
        <w:rPr>
          <w:rStyle w:val="aff4"/>
          <w:rFonts w:hint="cs"/>
          <w:rtl/>
        </w:rPr>
        <w:t>המהר"ם קזיס</w:t>
      </w:r>
      <w:r w:rsidRPr="00255628">
        <w:rPr>
          <w:rStyle w:val="aff4"/>
          <w:rFonts w:hint="cs"/>
          <w:vanish/>
          <w:rtl/>
        </w:rPr>
        <w:t>-</w:t>
      </w:r>
      <w:r>
        <w:rPr>
          <w:rFonts w:hint="cs"/>
          <w:rtl/>
        </w:rPr>
        <w:t xml:space="preserve"> דלפי"ז בכל מבעיר או שוחט או מוציא מרשות לרשות יתחייב שתים גם משום מכה בפטיש, ולא משמע כן.</w:t>
      </w:r>
      <w:bookmarkEnd w:id="5229"/>
      <w:r>
        <w:rPr>
          <w:rFonts w:hint="cs"/>
          <w:rtl/>
        </w:rPr>
        <w:t xml:space="preserve"> </w:t>
      </w:r>
    </w:p>
    <w:p w14:paraId="46F1ADC5" w14:textId="77777777" w:rsidR="00A14FDA" w:rsidRPr="00D87F8B" w:rsidRDefault="00A14FDA" w:rsidP="00A14FDA">
      <w:pPr>
        <w:pStyle w:val="a2"/>
        <w:rPr>
          <w:rtl/>
        </w:rPr>
      </w:pPr>
      <w:r w:rsidRPr="00D87F8B">
        <w:rPr>
          <w:rtl/>
        </w:rPr>
        <w:t>אבל קשה לפי זה המדליק את הנר יתחייב משום מבעיר וגם משום מכה בפטיש והשוחט יתחייב משום שוחט ומשום מכה</w:t>
      </w:r>
      <w:r w:rsidRPr="00D87F8B">
        <w:rPr>
          <w:rFonts w:hint="cs"/>
          <w:rtl/>
        </w:rPr>
        <w:t xml:space="preserve"> </w:t>
      </w:r>
      <w:r w:rsidRPr="00D87F8B">
        <w:rPr>
          <w:rtl/>
        </w:rPr>
        <w:t>בפטיש וכן אחת והמוציא מרשות לרשות יתחייבו גם משום מכה בפטיש</w:t>
      </w:r>
      <w:r w:rsidRPr="00D87F8B">
        <w:rPr>
          <w:rFonts w:hint="cs"/>
          <w:rtl/>
        </w:rPr>
        <w:t>.</w:t>
      </w:r>
    </w:p>
    <w:p w14:paraId="40A43170" w14:textId="77777777" w:rsidR="00A14FDA" w:rsidRDefault="00A14FDA" w:rsidP="00A14FDA">
      <w:pPr>
        <w:pStyle w:val="a7"/>
        <w:rPr>
          <w:rtl/>
        </w:rPr>
      </w:pPr>
      <w:bookmarkStart w:id="5231" w:name="_Toc144225281"/>
      <w:r>
        <w:rPr>
          <w:rFonts w:hint="cs"/>
          <w:rtl/>
        </w:rPr>
        <w:t>בי' הר"מ קזיס דחיוב מכב"פ רק בתיקון שאין בו מלאכה אחרת אך ק' מנופח בכלי זכוכית</w:t>
      </w:r>
      <w:bookmarkEnd w:id="5231"/>
    </w:p>
    <w:p w14:paraId="76096B7A" w14:textId="77777777" w:rsidR="00A14FDA" w:rsidRPr="002547F4" w:rsidRDefault="00A14FDA" w:rsidP="00BC7DC8">
      <w:pPr>
        <w:pStyle w:val="a3"/>
      </w:pPr>
      <w:r>
        <w:rPr>
          <w:rFonts w:hint="cs"/>
          <w:rtl/>
        </w:rPr>
        <w:t xml:space="preserve">אלא ביאר </w:t>
      </w:r>
      <w:r w:rsidRPr="00255628">
        <w:rPr>
          <w:rStyle w:val="aff4"/>
          <w:rFonts w:hint="cs"/>
          <w:vanish/>
          <w:rtl/>
        </w:rPr>
        <w:t>-</w:t>
      </w:r>
      <w:r w:rsidRPr="00255628">
        <w:rPr>
          <w:rStyle w:val="aff4"/>
          <w:rFonts w:hint="cs"/>
          <w:rtl/>
        </w:rPr>
        <w:t>המהר"ם קזיס</w:t>
      </w:r>
      <w:r w:rsidRPr="00255628">
        <w:rPr>
          <w:rStyle w:val="aff4"/>
          <w:rFonts w:hint="cs"/>
          <w:vanish/>
          <w:rtl/>
        </w:rPr>
        <w:t>-</w:t>
      </w:r>
      <w:r>
        <w:rPr>
          <w:rFonts w:hint="cs"/>
          <w:rtl/>
        </w:rPr>
        <w:t xml:space="preserve"> דבמעשה שיש בו חיוב מצד מלאכה אחרת, אין בו חיוב משום מכה בפטיש, ורק כשעושה תיקון ויפוי באופן שאינו כלול במלאכה אחרת חייב עליו משום מכה בפטיש, וכתב</w:t>
      </w:r>
      <w:r w:rsidRPr="00182F6A">
        <w:rPr>
          <w:b/>
          <w:bCs/>
          <w:rtl/>
        </w:rPr>
        <w:t xml:space="preserve"> </w:t>
      </w:r>
      <w:r>
        <w:rPr>
          <w:rFonts w:hint="cs"/>
          <w:b/>
          <w:bCs/>
          <w:rtl/>
        </w:rPr>
        <w:t>המהר"ם קזיס</w:t>
      </w:r>
      <w:r>
        <w:rPr>
          <w:rtl/>
        </w:rPr>
        <w:t xml:space="preserve"> </w:t>
      </w:r>
      <w:r>
        <w:rPr>
          <w:rFonts w:hint="cs"/>
          <w:rtl/>
        </w:rPr>
        <w:t xml:space="preserve">דהא דאיתא בגמ' לקמן </w:t>
      </w:r>
      <w:r w:rsidRPr="00C8052D">
        <w:rPr>
          <w:rStyle w:val="af2"/>
          <w:rFonts w:eastAsia="Guttman Hodes" w:hint="cs"/>
          <w:rtl/>
        </w:rPr>
        <w:t>(קד:)</w:t>
      </w:r>
      <w:r>
        <w:rPr>
          <w:rFonts w:hint="cs"/>
          <w:rtl/>
        </w:rPr>
        <w:t xml:space="preserve"> דהכותב אות אחת סמוך לחברתה או אורג חוט אחד והשלים ספר או בגד חייב, דאין בזה חיוב משום מכה בפטיש אלא חייב, אך הקשה</w:t>
      </w:r>
      <w:r w:rsidRPr="00193EE6">
        <w:rPr>
          <w:b/>
          <w:bCs/>
          <w:rtl/>
        </w:rPr>
        <w:t xml:space="preserve"> </w:t>
      </w:r>
      <w:r>
        <w:rPr>
          <w:rFonts w:hint="cs"/>
          <w:b/>
          <w:bCs/>
          <w:rtl/>
        </w:rPr>
        <w:t>המהר"ם קזיס</w:t>
      </w:r>
      <w:r>
        <w:rPr>
          <w:rtl/>
        </w:rPr>
        <w:t xml:space="preserve"> </w:t>
      </w:r>
      <w:r>
        <w:rPr>
          <w:rFonts w:hint="cs"/>
          <w:rtl/>
        </w:rPr>
        <w:t>דא"כ אמאי בנופח כלי זכוכית חייב משום מכה בפטיש, והא יש בזה חיוב בונה.</w:t>
      </w:r>
    </w:p>
    <w:p w14:paraId="626D26B2" w14:textId="77777777" w:rsidR="00A14FDA" w:rsidRPr="00734EEC" w:rsidRDefault="00A14FDA" w:rsidP="00A14FDA">
      <w:pPr>
        <w:pStyle w:val="a2"/>
      </w:pPr>
      <w:r w:rsidRPr="00734EEC">
        <w:rPr>
          <w:rtl/>
        </w:rPr>
        <w:t xml:space="preserve">ונ"ל שאין חיוב מכה בפטיש כשהמעשה שעושה הוא מלאכה מן המלאכות האחרות רק כשעושה מעשה שהוא תקון ויפוי דבר מה ואינו נכלל באחת משאר המלאכות בכה"ג חייב משום מכה בפטיש ומה שאמרו בפ' הבונה תנא כתב אות אחת והשלימה לספר ארג חוט א' והשלימו לבגד חייב אין חיובים אלו משום מכה בפטיש אלא משום כותב ומשום אורג וטעם חיובן דאע"ג דבעלמא אות א' וחוט א' לא </w:t>
      </w:r>
      <w:r w:rsidRPr="00734EEC">
        <w:rPr>
          <w:rFonts w:hint="cs"/>
          <w:rtl/>
        </w:rPr>
        <w:t>ח</w:t>
      </w:r>
      <w:r w:rsidRPr="00734EEC">
        <w:rPr>
          <w:rtl/>
        </w:rPr>
        <w:t xml:space="preserve">שיבי הכא </w:t>
      </w:r>
      <w:r w:rsidRPr="00734EEC">
        <w:rPr>
          <w:rFonts w:hint="cs"/>
          <w:rtl/>
        </w:rPr>
        <w:t>ח</w:t>
      </w:r>
      <w:r w:rsidRPr="00734EEC">
        <w:rPr>
          <w:rtl/>
        </w:rPr>
        <w:t xml:space="preserve">שיבי כיון שמשלים בהן הספר והבגד </w:t>
      </w:r>
      <w:r w:rsidRPr="00734EEC">
        <w:rPr>
          <w:rStyle w:val="afff7"/>
          <w:rtl/>
        </w:rPr>
        <w:t>ודומה למה שאמרו פרק המצניע הנוטל פי' שערות מלא פי הזוג חייב ופי' מלא פי הזוג שתים ואם ליקט לבנות מתוך שחורות אפ באחת חייב כיון שמקפיד על</w:t>
      </w:r>
      <w:r w:rsidRPr="00734EEC">
        <w:rPr>
          <w:rStyle w:val="afff7"/>
          <w:rFonts w:hint="cs"/>
          <w:rtl/>
        </w:rPr>
        <w:t>י</w:t>
      </w:r>
      <w:r w:rsidRPr="00734EEC">
        <w:rPr>
          <w:rStyle w:val="afff7"/>
          <w:rtl/>
        </w:rPr>
        <w:t>ו וכן מוכ</w:t>
      </w:r>
      <w:r w:rsidRPr="00734EEC">
        <w:rPr>
          <w:rStyle w:val="afff7"/>
          <w:rFonts w:hint="cs"/>
          <w:rtl/>
        </w:rPr>
        <w:t>ח</w:t>
      </w:r>
      <w:r w:rsidRPr="00734EEC">
        <w:rPr>
          <w:rStyle w:val="afff7"/>
          <w:rtl/>
        </w:rPr>
        <w:t xml:space="preserve"> ממאי דאמ' רב אשי על ברייתא דתנא ארג חוט א' והשלימו לבגד חייב דאפילו רבנן דפליגי אר' אליעזר דאמר דב</w:t>
      </w:r>
      <w:r w:rsidRPr="00734EEC">
        <w:rPr>
          <w:rStyle w:val="afff7"/>
          <w:rFonts w:hint="cs"/>
          <w:rtl/>
        </w:rPr>
        <w:t>ח</w:t>
      </w:r>
      <w:r w:rsidRPr="00734EEC">
        <w:rPr>
          <w:rStyle w:val="afff7"/>
          <w:rtl/>
        </w:rPr>
        <w:t>וט א' על האריג חייב ובעו על האריג נמי שני חוטין הכא מודו דבחוט א' מחייב דלהשלים שאני והביא לשון זה הרב המגיד וגם רבינו ישעיה ומדקאמר להשלים שאני משמע ד</w:t>
      </w:r>
      <w:r w:rsidRPr="00734EEC">
        <w:rPr>
          <w:rStyle w:val="afff7"/>
          <w:rFonts w:hint="cs"/>
          <w:rtl/>
        </w:rPr>
        <w:t>ח</w:t>
      </w:r>
      <w:r w:rsidRPr="00734EEC">
        <w:rPr>
          <w:rStyle w:val="afff7"/>
          <w:rtl/>
        </w:rPr>
        <w:t>יובא דידיה משום אורג הוא ושאני סוף הבגד מתחלתו ומאמצעיתו בשעורא דאורג שאילו באנו לפרש שמחייב משום מכה בפטיש ולא משום אורג לא שייך בזה לישנא דלהשלים שאני שהרי הוא חייב בזה משום אב אחר דהיינו משום מכה בפטיש ואין למכה בפטיש שעור וגם מדברי הרמב"ם שכתבם סתם בדין כותב ובדין אורג נר' שמפרש שחיובם משום כותב ומשום אורג הוא</w:t>
      </w:r>
      <w:r w:rsidRPr="00734EEC">
        <w:rPr>
          <w:rStyle w:val="afff7"/>
          <w:rFonts w:hint="cs"/>
          <w:rtl/>
        </w:rPr>
        <w:t>.</w:t>
      </w:r>
    </w:p>
    <w:p w14:paraId="107272C7" w14:textId="77777777" w:rsidR="00A14FDA" w:rsidRPr="00284C78" w:rsidRDefault="00A14FDA" w:rsidP="00A14FDA">
      <w:pPr>
        <w:pStyle w:val="afffff5"/>
      </w:pPr>
      <w:r w:rsidRPr="00284C78">
        <w:rPr>
          <w:rStyle w:val="afff7"/>
          <w:rtl/>
        </w:rPr>
        <w:t>ובפ' הבונה הביא רבינו ישעיה</w:t>
      </w:r>
      <w:r w:rsidRPr="00284C78">
        <w:rPr>
          <w:rStyle w:val="afff7"/>
          <w:rFonts w:hint="cs"/>
          <w:rtl/>
        </w:rPr>
        <w:t xml:space="preserve"> </w:t>
      </w:r>
      <w:r w:rsidRPr="00284C78">
        <w:rPr>
          <w:rStyle w:val="afff7"/>
          <w:rtl/>
        </w:rPr>
        <w:t>לשון א' מהגמ' שאמרו שם מסתת משום מאי מחייב רב אמר משום בונה ושמואל אמר משום מכה בפטיש ופי' על זה זל"ש פ רב סבר כל מלאכה שהיא לצורך הבנין חייב משום בונה ושמואל סבר כיון שהיא תלושה והסיתות זהו גמר מלאכתה חייב משום מכה בפטיש אבל כל מלאכה שעשה בה קודם סיתותה כגון</w:t>
      </w:r>
      <w:r w:rsidRPr="00284C78">
        <w:rPr>
          <w:rStyle w:val="afff7"/>
          <w:rFonts w:hint="cs"/>
          <w:rtl/>
        </w:rPr>
        <w:t xml:space="preserve"> </w:t>
      </w:r>
      <w:r w:rsidRPr="00284C78">
        <w:rPr>
          <w:rStyle w:val="afff7"/>
          <w:rtl/>
        </w:rPr>
        <w:t>מן ההר וריבועה שמסיר קרנותיה הבולטין</w:t>
      </w:r>
      <w:r w:rsidRPr="00284C78">
        <w:rPr>
          <w:rtl/>
        </w:rPr>
        <w:t xml:space="preserve"> </w:t>
      </w:r>
      <w:r w:rsidRPr="00284C78">
        <w:rPr>
          <w:rStyle w:val="afff7"/>
          <w:rtl/>
        </w:rPr>
        <w:t xml:space="preserve">ומכאן הוא בכלל בונה וה"ה כשהנגר מפסל את הנסר במעצד לעשות ממנו כלי ואח"כ מחליק פניו ברהיטני ואינו חסר אלא להברה ולעשות ממנה כלי פליגי בה נמי רב ושמואל דלרב הוי הכל תולדה </w:t>
      </w:r>
      <w:r w:rsidRPr="00284C78">
        <w:rPr>
          <w:rStyle w:val="afff7"/>
          <w:rFonts w:hint="cs"/>
          <w:rtl/>
        </w:rPr>
        <w:t>ד</w:t>
      </w:r>
      <w:r w:rsidRPr="00284C78">
        <w:rPr>
          <w:rStyle w:val="afff7"/>
          <w:rtl/>
        </w:rPr>
        <w:t>בונה ולשמואל כל מלאכת המעצד היא תולדה דבונה אך כשמחליק פניה היא תולדת מכה בפטיש מפני שנגמר מלאכת הנסר נפקא מינה שעושה שתי תולדות בהעלם אהד לדעת אם הם מעין מלאכה אחת או מעין שתי מלאכות</w:t>
      </w:r>
      <w:r w:rsidRPr="00284C78">
        <w:rPr>
          <w:rStyle w:val="afff7"/>
          <w:rFonts w:hint="cs"/>
          <w:rtl/>
        </w:rPr>
        <w:t>.</w:t>
      </w:r>
    </w:p>
    <w:p w14:paraId="11A9F64A" w14:textId="77777777" w:rsidR="00A14FDA" w:rsidRPr="00734EEC" w:rsidRDefault="00A14FDA" w:rsidP="00A14FDA">
      <w:pPr>
        <w:pStyle w:val="afff6"/>
      </w:pPr>
      <w:r w:rsidRPr="00734EEC">
        <w:rPr>
          <w:rtl/>
        </w:rPr>
        <w:t>עוד שם העושה נקב בלול של תרנגולים רב אמר משום בונה ושמואל אמר משום מכה בפטיש עייל שופתא בקופינא דמרא רב אמ' משום בונה ושמואל אמ' משום מכה בפטיש פי' לאחר שהכניס העץ שהוא בית יד של מרא בתוך חור ברזל תוקע בו יתד כדי לחברו ולהדקו יפה שלא יפול עכ"ל ומפשט דברים אלו נראה שרב מחייב בכולהו משום בונה ואינו מחייב בהן משום מכה בפטיש כיח שהוא בונה ממש ושמואל ס"ל דלא מחייב בהו משום בונה ולפיכך מחייב בהו משום מכה בפטיש וכן הוא דעת רבינו ישעיה שכתב דנפקא מינה למי שעושה שתי תולדות וכו' ולא כתב דנפקא מינה אי מחייב ח</w:t>
      </w:r>
      <w:r w:rsidRPr="00734EEC">
        <w:rPr>
          <w:rFonts w:hint="cs"/>
          <w:rtl/>
        </w:rPr>
        <w:t>ד</w:t>
      </w:r>
      <w:r w:rsidRPr="00734EEC">
        <w:rPr>
          <w:rtl/>
        </w:rPr>
        <w:t>א או תרתי</w:t>
      </w:r>
      <w:r w:rsidRPr="00734EEC">
        <w:rPr>
          <w:rFonts w:hint="cs"/>
          <w:rtl/>
        </w:rPr>
        <w:t>.</w:t>
      </w:r>
    </w:p>
    <w:p w14:paraId="405A3EFD" w14:textId="77777777" w:rsidR="00A14FDA" w:rsidRPr="00491E34" w:rsidRDefault="00A14FDA" w:rsidP="00A14FDA">
      <w:pPr>
        <w:pStyle w:val="afffff5"/>
        <w:rPr>
          <w:rtl/>
        </w:rPr>
      </w:pPr>
      <w:r w:rsidRPr="00491E34">
        <w:rPr>
          <w:rStyle w:val="afff7"/>
          <w:rtl/>
        </w:rPr>
        <w:t>וכן נראה מדברי רבינו זרחיה שכתב בפ' זה על מה שאמרו בגמ</w:t>
      </w:r>
      <w:r w:rsidRPr="00491E34">
        <w:rPr>
          <w:rStyle w:val="afff7"/>
          <w:rFonts w:hint="cs"/>
          <w:rtl/>
        </w:rPr>
        <w:t>'</w:t>
      </w:r>
      <w:r w:rsidRPr="00491E34">
        <w:rPr>
          <w:rStyle w:val="afff7"/>
          <w:rtl/>
        </w:rPr>
        <w:t xml:space="preserve"> האי מאן דעביד חביתא חייב שבע חטאות ומני</w:t>
      </w:r>
      <w:r w:rsidRPr="00491E34">
        <w:rPr>
          <w:rStyle w:val="afff7"/>
          <w:rFonts w:hint="cs"/>
          <w:rtl/>
        </w:rPr>
        <w:t xml:space="preserve"> להו התם ולא מנה בונה בכלל </w:t>
      </w:r>
      <w:r w:rsidRPr="00491E34">
        <w:rPr>
          <w:rStyle w:val="afff7"/>
          <w:rtl/>
        </w:rPr>
        <w:t>אבל בפ' הבונה כתב שיש בנין בכלים בעושה כלי ושראוי למנות בונה באלו הז' חטאות ולהסיר איזו מלאכה אחרת שמנה כאן וכתב שהששית משום מבעיר כשמבעיר האש בכבשן והשביעית משום מבשל כשמבשל ההבית מוסף עליו תנור שלאחר בישולו טח בטיט על גביו לחזק תומו והוי גמר מלאכה וחייב משום מכה בפטיש</w:t>
      </w:r>
      <w:r w:rsidRPr="00491E34">
        <w:rPr>
          <w:rtl/>
        </w:rPr>
        <w:t xml:space="preserve"> נר' מדבריו בהדיא דדווקא בטיחה של תנור שאין בו חיוב משום מלאכה אחרת שהרי כבר נעשה התנור ואין זה אלא תיקון בעלמא חייב עליה משום מכה בפטיש אבל בעשיית ההבית לא שייך לחייבו משום מכה בפטיש כי בישול שלה הוא גמר מלאכתה וכיון שחייב משום מבשל לא שייך בה תיובא דמכה בפטיש וגם לא שייך לחייבו משום מכה בפטיש בשום אחת מן המלאכות הקודמות לבישולה מטעמ' דאמרן אבל קשה לי מה שאמרו המנפח בכלי זכוכית חייב משום מכה בפטיש שהיה ראוי שיתחייב משום בונה כיון שעושה הכלי ולא משום מכה בפטיש</w:t>
      </w:r>
      <w:r w:rsidRPr="00491E34">
        <w:rPr>
          <w:rFonts w:hint="cs"/>
          <w:rtl/>
        </w:rPr>
        <w:t>.</w:t>
      </w:r>
    </w:p>
    <w:p w14:paraId="612F3C09" w14:textId="77777777" w:rsidR="00A14FDA" w:rsidRDefault="00A14FDA" w:rsidP="00A14FDA">
      <w:pPr>
        <w:pStyle w:val="1"/>
        <w:rPr>
          <w:rtl/>
        </w:rPr>
      </w:pPr>
      <w:bookmarkStart w:id="5232" w:name="_Toc144225282"/>
      <w:bookmarkStart w:id="5233" w:name="_Toc144224679"/>
      <w:r>
        <w:rPr>
          <w:rFonts w:hint="cs"/>
          <w:rtl/>
        </w:rPr>
        <w:t>בי' המהר"ם קזיס ברמב"ם דבמלאכה שחייב לפני הגמר חייב ב'</w:t>
      </w:r>
      <w:bookmarkEnd w:id="5232"/>
    </w:p>
    <w:p w14:paraId="6C1F1416" w14:textId="77777777" w:rsidR="00A14FDA" w:rsidRDefault="00A14FDA" w:rsidP="00A14FDA">
      <w:pPr>
        <w:pStyle w:val="afffff7"/>
        <w:rPr>
          <w:rtl/>
        </w:rPr>
      </w:pPr>
      <w:bookmarkStart w:id="5234" w:name="_Toc163506227"/>
      <w:r w:rsidRPr="00F63F14">
        <w:rPr>
          <w:rFonts w:hint="cs"/>
          <w:rtl/>
        </w:rPr>
        <w:t>חידושי רבינו משה קזיס שבת פ</w:t>
      </w:r>
      <w:r>
        <w:rPr>
          <w:rFonts w:hint="cs"/>
          <w:rtl/>
        </w:rPr>
        <w:t>"</w:t>
      </w:r>
      <w:r w:rsidRPr="00F63F14">
        <w:rPr>
          <w:rFonts w:hint="cs"/>
          <w:rtl/>
        </w:rPr>
        <w:t xml:space="preserve">ז ד"ה </w:t>
      </w:r>
      <w:r w:rsidRPr="00CA1D4D">
        <w:rPr>
          <w:rtl/>
        </w:rPr>
        <w:t>אבל הרמב"ם</w:t>
      </w:r>
      <w:bookmarkEnd w:id="5233"/>
      <w:bookmarkEnd w:id="5234"/>
      <w:r w:rsidRPr="00421A47">
        <w:rPr>
          <w:vanish/>
          <w:rtl/>
        </w:rPr>
        <w:t xml:space="preserve"> (ב)</w:t>
      </w:r>
    </w:p>
    <w:p w14:paraId="7F5282A1" w14:textId="77777777" w:rsidR="00A14FDA" w:rsidRDefault="00A14FDA" w:rsidP="00A14FDA">
      <w:pPr>
        <w:pStyle w:val="a7"/>
        <w:rPr>
          <w:rtl/>
        </w:rPr>
      </w:pPr>
      <w:bookmarkStart w:id="5235" w:name="_Toc144225283"/>
      <w:r>
        <w:rPr>
          <w:rFonts w:hint="cs"/>
          <w:rtl/>
        </w:rPr>
        <w:t>בי' המהר"ם קזיס ברמב"ם דבמלאכה אחרת חייב גם מכב"פ כשחיוב המלאכה היה לפני הגמר</w:t>
      </w:r>
      <w:bookmarkEnd w:id="5235"/>
      <w:r>
        <w:rPr>
          <w:rFonts w:hint="cs"/>
          <w:rtl/>
        </w:rPr>
        <w:t xml:space="preserve"> </w:t>
      </w:r>
    </w:p>
    <w:p w14:paraId="1B6A5765" w14:textId="57A73003" w:rsidR="00A14FDA" w:rsidRDefault="00A14FDA" w:rsidP="00BC7DC8">
      <w:pPr>
        <w:pStyle w:val="a3"/>
      </w:pPr>
      <w:bookmarkStart w:id="5236" w:name="_Ref144028509"/>
      <w:r>
        <w:rPr>
          <w:rFonts w:hint="cs"/>
          <w:rtl/>
        </w:rPr>
        <w:t>אך כתב</w:t>
      </w:r>
      <w:r>
        <w:rPr>
          <w:rtl/>
        </w:rPr>
        <w:t xml:space="preserve"> </w:t>
      </w:r>
      <w:r w:rsidRPr="009A1C65">
        <w:rPr>
          <w:b/>
          <w:bCs/>
          <w:rtl/>
        </w:rPr>
        <w:t>ה</w:t>
      </w:r>
      <w:r w:rsidRPr="009A1C65">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Ref144028509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מו)</w:t>
      </w:r>
      <w:r>
        <w:rPr>
          <w:b/>
          <w:bCs/>
          <w:vanish/>
          <w:rtl/>
        </w:rPr>
        <w:fldChar w:fldCharType="end"/>
      </w:r>
      <w:r w:rsidRPr="009A1C65">
        <w:rPr>
          <w:b/>
          <w:bCs/>
          <w:vanish/>
          <w:rtl/>
        </w:rPr>
        <w:t xml:space="preserve"> &gt;</w:t>
      </w:r>
      <w:r>
        <w:rPr>
          <w:rFonts w:hint="cs"/>
          <w:b/>
          <w:bCs/>
          <w:rtl/>
        </w:rPr>
        <w:t>מהר"ם קזיס</w:t>
      </w:r>
      <w:r w:rsidRPr="009A1C65">
        <w:rPr>
          <w:b/>
          <w:bCs/>
          <w:rtl/>
        </w:rPr>
        <w:t xml:space="preserve"> </w:t>
      </w:r>
      <w:r w:rsidRPr="00C8052D">
        <w:rPr>
          <w:rStyle w:val="af2"/>
          <w:rFonts w:eastAsia="Guttman Hodes"/>
          <w:rtl/>
        </w:rPr>
        <w:t>(</w:t>
      </w:r>
      <w:r w:rsidRPr="00C8052D">
        <w:rPr>
          <w:rStyle w:val="af2"/>
          <w:rFonts w:eastAsia="Guttman Hodes" w:hint="cs"/>
          <w:rtl/>
        </w:rPr>
        <w:t>עג. ד"ה אבל הרמב"ם</w:t>
      </w:r>
      <w:r w:rsidRPr="00C8052D">
        <w:rPr>
          <w:rStyle w:val="af2"/>
          <w:rFonts w:eastAsia="Guttman Hodes"/>
          <w:rtl/>
        </w:rPr>
        <w:t>)</w:t>
      </w:r>
      <w:r w:rsidRPr="009A1C65">
        <w:rPr>
          <w:vanish/>
          <w:rtl/>
        </w:rPr>
        <w:t>=</w:t>
      </w:r>
      <w:r>
        <w:rPr>
          <w:rtl/>
        </w:rPr>
        <w:t xml:space="preserve"> </w:t>
      </w:r>
      <w:r>
        <w:rPr>
          <w:rFonts w:hint="cs"/>
          <w:rtl/>
        </w:rPr>
        <w:t>דמדברי</w:t>
      </w:r>
      <w:r w:rsidRPr="009A1C65">
        <w:rPr>
          <w:b/>
          <w:bCs/>
          <w:rtl/>
        </w:rPr>
        <w:t xml:space="preserve"> </w:t>
      </w:r>
      <w:r>
        <w:rPr>
          <w:rFonts w:hint="cs"/>
          <w:b/>
          <w:bCs/>
          <w:rtl/>
        </w:rPr>
        <w:t>הרמב"ם</w:t>
      </w:r>
      <w:r>
        <w:rPr>
          <w:rFonts w:hint="cs"/>
          <w:rtl/>
        </w:rPr>
        <w:t xml:space="preserve"> </w:t>
      </w:r>
      <w:r w:rsidRPr="00C8052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Ref144154219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לג)</w:t>
      </w:r>
      <w:r>
        <w:rPr>
          <w:rStyle w:val="af2"/>
          <w:rFonts w:eastAsia="Guttman Hodes"/>
          <w:rtl/>
        </w:rPr>
        <w:fldChar w:fldCharType="end"/>
      </w:r>
      <w:r>
        <w:rPr>
          <w:rFonts w:hint="cs"/>
          <w:rtl/>
        </w:rPr>
        <w:t xml:space="preserve"> נראה דשייך חיוב מכה בפטיש אף כשחייב על מלאכה אחרת, ממ"ש דבעושה נקב בלול של תרנגולים דחייב משום בונה, ועוד כתב </w:t>
      </w:r>
      <w:r>
        <w:rPr>
          <w:rFonts w:hint="cs"/>
          <w:b/>
          <w:bCs/>
          <w:rtl/>
        </w:rPr>
        <w:t>הרמב"ם</w:t>
      </w:r>
      <w:r>
        <w:rPr>
          <w:rFonts w:hint="cs"/>
          <w:rtl/>
        </w:rPr>
        <w:t xml:space="preserve"> </w:t>
      </w:r>
      <w:r w:rsidRPr="00C8052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Ref144155988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לד)</w:t>
      </w:r>
      <w:r>
        <w:rPr>
          <w:rStyle w:val="af2"/>
          <w:rFonts w:eastAsia="Guttman Hodes"/>
          <w:rtl/>
        </w:rPr>
        <w:fldChar w:fldCharType="end"/>
      </w:r>
      <w:r>
        <w:rPr>
          <w:rFonts w:hint="cs"/>
          <w:rtl/>
        </w:rPr>
        <w:t xml:space="preserve"> דחייב משום מכה בפטיש, וביאר</w:t>
      </w:r>
      <w:r w:rsidRPr="001E1275">
        <w:rPr>
          <w:b/>
          <w:bCs/>
          <w:rtl/>
        </w:rPr>
        <w:t xml:space="preserve"> </w:t>
      </w:r>
      <w:r>
        <w:rPr>
          <w:rFonts w:hint="cs"/>
          <w:b/>
          <w:bCs/>
          <w:rtl/>
        </w:rPr>
        <w:t>הלח"מ</w:t>
      </w:r>
      <w:r>
        <w:rPr>
          <w:rtl/>
        </w:rPr>
        <w:t xml:space="preserve"> </w:t>
      </w:r>
      <w:r w:rsidRPr="00C8052D">
        <w:rPr>
          <w:rStyle w:val="af2"/>
          <w:rFonts w:eastAsia="Guttman Hodes" w:hint="cs"/>
          <w:rtl/>
        </w:rPr>
        <w:t>(עי' אות</w:t>
      </w:r>
      <w:r>
        <w:rPr>
          <w:rStyle w:val="af2"/>
          <w:rFonts w:eastAsia="Guttman Hodes" w:hint="cs"/>
          <w:rtl/>
        </w:rPr>
        <w:t xml:space="preserve">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Ref144154863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לה)</w:t>
      </w:r>
      <w:r>
        <w:rPr>
          <w:rStyle w:val="af2"/>
          <w:rFonts w:eastAsia="Guttman Hodes"/>
          <w:rtl/>
        </w:rPr>
        <w:fldChar w:fldCharType="end"/>
      </w:r>
      <w:r w:rsidRPr="00C8052D">
        <w:rPr>
          <w:rStyle w:val="af2"/>
          <w:rFonts w:eastAsia="Guttman Hodes" w:hint="cs"/>
          <w:rtl/>
        </w:rPr>
        <w:t xml:space="preserve"> </w:t>
      </w:r>
      <w:r>
        <w:rPr>
          <w:rFonts w:hint="cs"/>
          <w:rtl/>
        </w:rPr>
        <w:t>דחייב שתים דכוונת רב לומר דחייב גם משום בונה, אך כתב</w:t>
      </w:r>
      <w:r w:rsidRPr="001E1275">
        <w:rPr>
          <w:b/>
          <w:bCs/>
          <w:rtl/>
        </w:rPr>
        <w:t xml:space="preserve"> </w:t>
      </w:r>
      <w:r>
        <w:rPr>
          <w:rFonts w:hint="cs"/>
          <w:b/>
          <w:bCs/>
          <w:rtl/>
        </w:rPr>
        <w:t>המהר"ם קזיס</w:t>
      </w:r>
      <w:r>
        <w:rPr>
          <w:rtl/>
        </w:rPr>
        <w:t xml:space="preserve"> </w:t>
      </w:r>
      <w:r>
        <w:rPr>
          <w:rFonts w:hint="cs"/>
          <w:rtl/>
        </w:rPr>
        <w:t>דאפש"ל דאף לדעת</w:t>
      </w:r>
      <w:r w:rsidRPr="00212DB6">
        <w:rPr>
          <w:b/>
          <w:bCs/>
          <w:rtl/>
        </w:rPr>
        <w:t xml:space="preserve"> </w:t>
      </w:r>
      <w:r>
        <w:rPr>
          <w:rFonts w:hint="cs"/>
          <w:b/>
          <w:bCs/>
          <w:rtl/>
        </w:rPr>
        <w:t>הרמב"ם</w:t>
      </w:r>
      <w:r>
        <w:rPr>
          <w:rtl/>
        </w:rPr>
        <w:t xml:space="preserve"> </w:t>
      </w:r>
      <w:r>
        <w:rPr>
          <w:rFonts w:hint="cs"/>
          <w:rtl/>
        </w:rPr>
        <w:t>כ"מ דחייב שתים היינו באופן שהחיוב מצד המלאכה השניה היה גם לפני גמר המלאכה,.</w:t>
      </w:r>
    </w:p>
    <w:p w14:paraId="59A78FBD" w14:textId="77777777" w:rsidR="00A14FDA" w:rsidRPr="00BC7DC8" w:rsidRDefault="00A14FDA" w:rsidP="00A14FDA">
      <w:pPr>
        <w:pStyle w:val="afffffe"/>
        <w:rPr>
          <w:vanish/>
          <w:rtl/>
        </w:rPr>
      </w:pPr>
      <w:r w:rsidRPr="00BC7DC8">
        <w:rPr>
          <w:rFonts w:hint="cs"/>
          <w:vanish/>
          <w:rtl/>
        </w:rPr>
        <w:t xml:space="preserve">חידושי רבינו משה קזיס שבת פ"ז ד"ה </w:t>
      </w:r>
      <w:r w:rsidRPr="00BC7DC8">
        <w:rPr>
          <w:vanish/>
          <w:rtl/>
        </w:rPr>
        <w:t>אבל הרמב"ם</w:t>
      </w:r>
    </w:p>
    <w:p w14:paraId="0C421B88" w14:textId="77777777" w:rsidR="00A14FDA" w:rsidRDefault="00A14FDA" w:rsidP="00A14FDA">
      <w:pPr>
        <w:pStyle w:val="a2"/>
        <w:rPr>
          <w:rtl/>
        </w:rPr>
      </w:pPr>
      <w:r w:rsidRPr="00D87F8B">
        <w:rPr>
          <w:rtl/>
        </w:rPr>
        <w:t>אבל הרמב"ם נראה שסובר שכל</w:t>
      </w:r>
      <w:r w:rsidRPr="00D87F8B">
        <w:rPr>
          <w:rFonts w:hint="cs"/>
          <w:rtl/>
        </w:rPr>
        <w:t xml:space="preserve"> </w:t>
      </w:r>
      <w:r w:rsidRPr="00D87F8B">
        <w:rPr>
          <w:rtl/>
        </w:rPr>
        <w:t>מלאכה מן המלאכות אע"פ שהייב משום עשיית אותה המלאכה חייב ג"כ משום מכה בפטיש שהרי כתב בפ' עשירי העושה נקב בלול של תרנגולים חייב משום בונה ובפי ההוא כתב העושה נקב כל שהוא בין בעץ בין בבנין חייב משום מכה בפטיש ובריש פ' כ"ג כתב העושה נקב בלול של תרנגולים הייב משום מכה בפטיש וכתב בעל לחם משנה שהוא מפרש דרב אף משום בונה קאמר וה"ה דחייב גם משום מכה בפטיש כיון שהוא גמר מלאכה ופסק כרב דהלכתא כותיה באיסורי ואפשר שגם לדעת הרמב"ם לא שייך חיוב מכה בפטיש אלא כשגומר דבר שיש חיוב בעשייתו משום איזו מלאכה מן המלאכות קודם שיגמר</w:t>
      </w:r>
      <w:r>
        <w:rPr>
          <w:rFonts w:hint="cs"/>
          <w:rtl/>
        </w:rPr>
        <w:t>.</w:t>
      </w:r>
    </w:p>
    <w:p w14:paraId="5F26EA06" w14:textId="77777777" w:rsidR="00A14FDA" w:rsidRPr="00AC117E" w:rsidRDefault="00A14FDA" w:rsidP="00A14FDA">
      <w:pPr>
        <w:pStyle w:val="a7"/>
      </w:pPr>
      <w:bookmarkStart w:id="5237" w:name="_Toc144225284"/>
      <w:r>
        <w:rPr>
          <w:rFonts w:hint="cs"/>
          <w:rtl/>
        </w:rPr>
        <w:t>בי' המהר"ם קזיס דבמלאכה שחייב עליה רק בגמרה כמבעיר וצד ומוציא אין חיוב משום מכב"פ</w:t>
      </w:r>
      <w:bookmarkEnd w:id="5237"/>
    </w:p>
    <w:p w14:paraId="72ECDC2A" w14:textId="77777777" w:rsidR="00A14FDA" w:rsidRPr="009A1C65" w:rsidRDefault="00A14FDA" w:rsidP="00BC7DC8">
      <w:pPr>
        <w:pStyle w:val="a3"/>
      </w:pPr>
      <w:r>
        <w:rPr>
          <w:rFonts w:hint="cs"/>
          <w:rtl/>
        </w:rPr>
        <w:t xml:space="preserve">אבל באופן דהחיוב של המלאכה השניה הוא רק בגמר המלאכה, כתב </w:t>
      </w:r>
      <w:r w:rsidRPr="00255628">
        <w:rPr>
          <w:rStyle w:val="aff4"/>
          <w:rFonts w:hint="cs"/>
          <w:vanish/>
          <w:rtl/>
        </w:rPr>
        <w:t>-</w:t>
      </w:r>
      <w:r w:rsidRPr="00255628">
        <w:rPr>
          <w:rStyle w:val="aff4"/>
          <w:rFonts w:hint="cs"/>
          <w:rtl/>
        </w:rPr>
        <w:t>המהר"ם קזיס</w:t>
      </w:r>
      <w:r w:rsidRPr="00255628">
        <w:rPr>
          <w:rStyle w:val="aff4"/>
          <w:rFonts w:hint="cs"/>
          <w:vanish/>
          <w:rtl/>
        </w:rPr>
        <w:t>-</w:t>
      </w:r>
      <w:r>
        <w:rPr>
          <w:rFonts w:hint="cs"/>
          <w:rtl/>
        </w:rPr>
        <w:t xml:space="preserve"> דבכה"ג חייב רק משום המלאכה ולא משום מכה בפטיש בזה מיושב דבמדליק נר וצד צבי ומוציא מרשות לרשות אין חיוב מכה בפטיש, כיון דהחיוב במלאכה הוא רק בגמר, ואין בה כל חיוב קודם לכן כמו בבונה דחייב אף לפני גמר המלאכה.</w:t>
      </w:r>
      <w:bookmarkEnd w:id="5236"/>
    </w:p>
    <w:p w14:paraId="03C73E5C" w14:textId="77777777" w:rsidR="00A14FDA" w:rsidRPr="00D87F8B" w:rsidRDefault="00A14FDA" w:rsidP="00A14FDA">
      <w:pPr>
        <w:pStyle w:val="a2"/>
      </w:pPr>
      <w:r w:rsidRPr="00D87F8B">
        <w:rPr>
          <w:rtl/>
        </w:rPr>
        <w:t xml:space="preserve">אבל העושה מלאכה ומתחיל בה ואין החיוב משום אותה המלאכה בא עד גמר שלה כגון המדליק את הנר והצד צבי והמוציא מרשות לרשות לא שייך בה </w:t>
      </w:r>
      <w:r w:rsidRPr="00D87F8B">
        <w:rPr>
          <w:rFonts w:hint="cs"/>
          <w:rtl/>
        </w:rPr>
        <w:t>ח</w:t>
      </w:r>
      <w:r w:rsidRPr="00D87F8B">
        <w:rPr>
          <w:rtl/>
        </w:rPr>
        <w:t>יובא דמכה בפטיש</w:t>
      </w:r>
      <w:r w:rsidRPr="00D87F8B">
        <w:rPr>
          <w:rFonts w:hint="cs"/>
          <w:rtl/>
        </w:rPr>
        <w:t>.</w:t>
      </w:r>
    </w:p>
    <w:p w14:paraId="0DAFEFB8" w14:textId="77777777" w:rsidR="00A14FDA" w:rsidRDefault="00A14FDA" w:rsidP="00A14FDA">
      <w:pPr>
        <w:pStyle w:val="1"/>
        <w:rPr>
          <w:rtl/>
        </w:rPr>
      </w:pPr>
      <w:bookmarkStart w:id="5238" w:name="_Toc144225285"/>
      <w:r>
        <w:rPr>
          <w:rFonts w:hint="cs"/>
          <w:rtl/>
        </w:rPr>
        <w:t>בסתירת דברי היראים אי חיוב מכב"פ רק לאחר גמר המלאכה</w:t>
      </w:r>
      <w:bookmarkEnd w:id="5238"/>
    </w:p>
    <w:p w14:paraId="318C2456" w14:textId="77777777" w:rsidR="00A14FDA" w:rsidRDefault="00A14FDA" w:rsidP="00A14FDA">
      <w:pPr>
        <w:pStyle w:val="afffff7"/>
        <w:rPr>
          <w:rtl/>
        </w:rPr>
      </w:pPr>
      <w:bookmarkStart w:id="5239" w:name="_Toc144224680"/>
      <w:bookmarkStart w:id="5240" w:name="_Toc163506228"/>
      <w:r>
        <w:rPr>
          <w:rtl/>
        </w:rPr>
        <w:t>יראים סימן רע"ד</w:t>
      </w:r>
      <w:r w:rsidRPr="00F45C75">
        <w:rPr>
          <w:rtl/>
        </w:rPr>
        <w:t xml:space="preserve"> ד"ה הבונה</w:t>
      </w:r>
      <w:bookmarkEnd w:id="5239"/>
      <w:bookmarkEnd w:id="5240"/>
      <w:r w:rsidRPr="00421A47">
        <w:rPr>
          <w:vanish/>
          <w:rtl/>
        </w:rPr>
        <w:t xml:space="preserve"> (ב)</w:t>
      </w:r>
    </w:p>
    <w:p w14:paraId="685ABD73" w14:textId="77777777" w:rsidR="00A14FDA" w:rsidRDefault="00A14FDA" w:rsidP="00A14FDA">
      <w:pPr>
        <w:pStyle w:val="afffff7"/>
        <w:rPr>
          <w:rtl/>
        </w:rPr>
      </w:pPr>
      <w:bookmarkStart w:id="5241" w:name="_Toc144224681"/>
      <w:bookmarkStart w:id="5242" w:name="_Toc163506229"/>
      <w:r>
        <w:rPr>
          <w:rtl/>
        </w:rPr>
        <w:t>הגהות מרדכי שבת רמז תס</w:t>
      </w:r>
      <w:r>
        <w:rPr>
          <w:rFonts w:hint="cs"/>
          <w:rtl/>
        </w:rPr>
        <w:t>"</w:t>
      </w:r>
      <w:r>
        <w:rPr>
          <w:rtl/>
        </w:rPr>
        <w:t>א</w:t>
      </w:r>
      <w:bookmarkEnd w:id="5241"/>
      <w:bookmarkEnd w:id="5242"/>
      <w:r w:rsidRPr="00421A47">
        <w:rPr>
          <w:vanish/>
          <w:rtl/>
        </w:rPr>
        <w:t xml:space="preserve"> (ב)</w:t>
      </w:r>
    </w:p>
    <w:p w14:paraId="7C22C62E" w14:textId="77777777" w:rsidR="00A14FDA" w:rsidRDefault="00A14FDA" w:rsidP="00A14FDA">
      <w:pPr>
        <w:pStyle w:val="a7"/>
        <w:rPr>
          <w:rtl/>
        </w:rPr>
      </w:pPr>
      <w:bookmarkStart w:id="5243" w:name="_Toc144225286"/>
      <w:r>
        <w:rPr>
          <w:rFonts w:hint="cs"/>
          <w:rtl/>
        </w:rPr>
        <w:t>בי' היראים דרב מודה דאין בנין בכלים ואמר דבלא נגמרה מלאכתו אין גם חיוב משום מכב"פ</w:t>
      </w:r>
      <w:bookmarkEnd w:id="5243"/>
      <w:r>
        <w:rPr>
          <w:rFonts w:hint="cs"/>
          <w:rtl/>
        </w:rPr>
        <w:t xml:space="preserve"> </w:t>
      </w:r>
    </w:p>
    <w:p w14:paraId="5D19D802" w14:textId="0B0ECBC3" w:rsidR="00A14FDA" w:rsidRPr="0036277F" w:rsidRDefault="00A14FDA" w:rsidP="00BC7DC8">
      <w:pPr>
        <w:pStyle w:val="a3"/>
      </w:pPr>
      <w:bookmarkStart w:id="5244" w:name="_Ref143857616"/>
      <w:r>
        <w:rPr>
          <w:rFonts w:hint="cs"/>
          <w:rtl/>
        </w:rPr>
        <w:t xml:space="preserve">בהא דאמר רב דמעייל שופתא בקופינא חייב משום בונה, הביא </w:t>
      </w:r>
      <w:r w:rsidRPr="00255628">
        <w:rPr>
          <w:rStyle w:val="aff4"/>
          <w:rFonts w:hint="cs"/>
          <w:vanish/>
          <w:rtl/>
        </w:rPr>
        <w:t>-</w:t>
      </w:r>
      <w:r w:rsidRPr="00255628">
        <w:rPr>
          <w:rStyle w:val="aff4"/>
          <w:rFonts w:hint="cs"/>
          <w:rtl/>
        </w:rPr>
        <w:t>ה</w:t>
      </w:r>
      <w:r w:rsidRPr="00255628">
        <w:rPr>
          <w:rStyle w:val="aff4"/>
          <w:rFonts w:hint="cs"/>
          <w:vanish/>
          <w:rtl/>
        </w:rPr>
        <w:t xml:space="preserve">&lt;, </w:t>
      </w:r>
      <w:bookmarkStart w:id="5245" w:name="_Hlk144135113"/>
      <w:r w:rsidRPr="00255628">
        <w:rPr>
          <w:rStyle w:val="aff4"/>
          <w:vanish/>
          <w:rtl/>
        </w:rPr>
        <w:fldChar w:fldCharType="begin"/>
      </w:r>
      <w:r w:rsidRPr="00255628">
        <w:rPr>
          <w:rStyle w:val="aff4"/>
          <w:vanish/>
          <w:rtl/>
        </w:rPr>
        <w:instrText xml:space="preserve"> </w:instrText>
      </w:r>
      <w:r w:rsidRPr="00255628">
        <w:rPr>
          <w:rStyle w:val="aff4"/>
          <w:rFonts w:hint="cs"/>
          <w:vanish/>
        </w:rPr>
        <w:instrText>REF</w:instrText>
      </w:r>
      <w:r w:rsidRPr="00255628">
        <w:rPr>
          <w:rStyle w:val="aff4"/>
          <w:rFonts w:hint="cs"/>
          <w:vanish/>
          <w:rtl/>
        </w:rPr>
        <w:instrText xml:space="preserve"> _</w:instrText>
      </w:r>
      <w:r w:rsidRPr="00255628">
        <w:rPr>
          <w:rStyle w:val="aff4"/>
          <w:rFonts w:hint="cs"/>
          <w:vanish/>
        </w:rPr>
        <w:instrText>Ref143857616 \r \h</w:instrText>
      </w:r>
      <w:r w:rsidRPr="00255628">
        <w:rPr>
          <w:rStyle w:val="aff4"/>
          <w:vanish/>
          <w:rtl/>
        </w:rPr>
        <w:instrText xml:space="preserve"> </w:instrText>
      </w:r>
      <w:r w:rsidRPr="00255628">
        <w:rPr>
          <w:rStyle w:val="aff4"/>
          <w:vanish/>
          <w:rtl/>
        </w:rPr>
      </w:r>
      <w:r w:rsidRPr="00255628">
        <w:rPr>
          <w:rStyle w:val="aff4"/>
          <w:vanish/>
          <w:rtl/>
        </w:rPr>
        <w:fldChar w:fldCharType="separate"/>
      </w:r>
      <w:r w:rsidR="00D82181">
        <w:rPr>
          <w:rStyle w:val="aff4"/>
          <w:vanish/>
          <w:cs/>
        </w:rPr>
        <w:t>‎</w:t>
      </w:r>
      <w:r w:rsidR="00D82181">
        <w:rPr>
          <w:rStyle w:val="aff4"/>
          <w:vanish/>
          <w:rtl/>
        </w:rPr>
        <w:t>מח)</w:t>
      </w:r>
      <w:r w:rsidRPr="00255628">
        <w:rPr>
          <w:rStyle w:val="aff4"/>
          <w:vanish/>
          <w:rtl/>
        </w:rPr>
        <w:fldChar w:fldCharType="end"/>
      </w:r>
      <w:r w:rsidRPr="00255628">
        <w:rPr>
          <w:rStyle w:val="aff4"/>
          <w:rFonts w:hint="cs"/>
          <w:vanish/>
          <w:rtl/>
        </w:rPr>
        <w:t xml:space="preserve"> </w:t>
      </w:r>
      <w:bookmarkEnd w:id="5245"/>
      <w:r w:rsidRPr="00255628">
        <w:rPr>
          <w:rStyle w:val="aff4"/>
          <w:rFonts w:hint="cs"/>
          <w:vanish/>
          <w:rtl/>
        </w:rPr>
        <w:t>&gt;</w:t>
      </w:r>
      <w:r w:rsidRPr="00255628">
        <w:rPr>
          <w:rStyle w:val="aff4"/>
          <w:rFonts w:hint="cs"/>
          <w:rtl/>
        </w:rPr>
        <w:t>הג' מרדכי</w:t>
      </w:r>
      <w:r w:rsidRPr="00255628">
        <w:rPr>
          <w:rStyle w:val="aff4"/>
          <w:rFonts w:hint="cs"/>
          <w:vanish/>
          <w:rtl/>
        </w:rPr>
        <w:t>-</w:t>
      </w:r>
      <w:r>
        <w:rPr>
          <w:rFonts w:hint="cs"/>
          <w:rtl/>
        </w:rPr>
        <w:t xml:space="preserve"> </w:t>
      </w:r>
      <w:r w:rsidRPr="00C8052D">
        <w:rPr>
          <w:rStyle w:val="af2"/>
          <w:rFonts w:eastAsia="Guttman Hodes" w:hint="cs"/>
          <w:rtl/>
        </w:rPr>
        <w:t>(רמז תס"א)</w:t>
      </w:r>
      <w:r w:rsidRPr="00255628">
        <w:rPr>
          <w:rFonts w:hint="cs"/>
          <w:vanish/>
          <w:rtl/>
        </w:rPr>
        <w:t>=</w:t>
      </w:r>
      <w:r>
        <w:rPr>
          <w:rFonts w:hint="cs"/>
          <w:rtl/>
        </w:rPr>
        <w:t xml:space="preserve"> בשם </w:t>
      </w:r>
      <w:r w:rsidRPr="00255628">
        <w:rPr>
          <w:rStyle w:val="aff4"/>
          <w:rFonts w:hint="cs"/>
          <w:vanish/>
          <w:rtl/>
        </w:rPr>
        <w:t>-</w:t>
      </w:r>
      <w:r w:rsidRPr="00255628">
        <w:rPr>
          <w:rStyle w:val="aff4"/>
          <w:rFonts w:hint="cs"/>
          <w:rtl/>
        </w:rPr>
        <w:t>ה</w:t>
      </w:r>
      <w:r w:rsidRPr="00255628">
        <w:rPr>
          <w:rStyle w:val="aff4"/>
          <w:rFonts w:hint="cs"/>
          <w:vanish/>
          <w:rtl/>
        </w:rPr>
        <w:t>&lt; &gt;</w:t>
      </w:r>
      <w:r w:rsidRPr="00255628">
        <w:rPr>
          <w:rStyle w:val="aff4"/>
          <w:rFonts w:hint="cs"/>
          <w:rtl/>
        </w:rPr>
        <w:t>יראים</w:t>
      </w:r>
      <w:r w:rsidRPr="00255628">
        <w:rPr>
          <w:rStyle w:val="aff4"/>
          <w:rFonts w:hint="cs"/>
          <w:vanish/>
          <w:rtl/>
        </w:rPr>
        <w:t>-</w:t>
      </w:r>
      <w:r>
        <w:rPr>
          <w:rFonts w:hint="cs"/>
          <w:rtl/>
        </w:rPr>
        <w:t xml:space="preserve"> </w:t>
      </w:r>
      <w:r w:rsidRPr="00C8052D">
        <w:rPr>
          <w:rStyle w:val="af2"/>
          <w:rFonts w:eastAsia="Guttman Hodes" w:hint="cs"/>
          <w:rtl/>
        </w:rPr>
        <w:t>(סי' רע"ד</w:t>
      </w:r>
      <w:r>
        <w:rPr>
          <w:rStyle w:val="af2"/>
          <w:rFonts w:eastAsia="Guttman Hodes" w:hint="cs"/>
          <w:rtl/>
        </w:rPr>
        <w:t xml:space="preserve"> </w:t>
      </w:r>
      <w:bookmarkStart w:id="5246" w:name="_Hlk144135560"/>
      <w:r>
        <w:rPr>
          <w:rStyle w:val="af2"/>
          <w:rFonts w:eastAsia="Guttman Hodes" w:hint="cs"/>
          <w:rtl/>
        </w:rPr>
        <w:t xml:space="preserve">ד"ה הבונה, נד' בקובץ שיטות קמאי שבת ח"ב </w:t>
      </w:r>
      <w:r>
        <w:rPr>
          <w:rStyle w:val="af2"/>
          <w:rFonts w:eastAsia="Guttman Hodes" w:hint="cs"/>
          <w:rtl/>
        </w:rPr>
        <w:t>עמ' אלף נ"ז</w:t>
      </w:r>
      <w:bookmarkEnd w:id="5246"/>
      <w:r w:rsidRPr="00C8052D">
        <w:rPr>
          <w:rStyle w:val="af2"/>
          <w:rFonts w:eastAsia="Guttman Hodes" w:hint="cs"/>
          <w:rtl/>
        </w:rPr>
        <w:t>)</w:t>
      </w:r>
      <w:r w:rsidRPr="00255628">
        <w:rPr>
          <w:rFonts w:hint="cs"/>
          <w:vanish/>
          <w:rtl/>
        </w:rPr>
        <w:t>=</w:t>
      </w:r>
      <w:r>
        <w:rPr>
          <w:rFonts w:hint="cs"/>
          <w:rtl/>
        </w:rPr>
        <w:t xml:space="preserve"> דהקשה דא"כ מבואר דס"ל לרב דיש בנין בכלים, והא בגמ' לעיל </w:t>
      </w:r>
      <w:r w:rsidRPr="00C8052D">
        <w:rPr>
          <w:rStyle w:val="af2"/>
          <w:rFonts w:eastAsia="Guttman Hodes" w:hint="cs"/>
          <w:rtl/>
        </w:rPr>
        <w:t>(כט.)</w:t>
      </w:r>
      <w:r>
        <w:rPr>
          <w:rFonts w:hint="cs"/>
          <w:rtl/>
        </w:rPr>
        <w:t xml:space="preserve"> אמר רב דמסיקין בשברי כלים, ומבואר דאין סתירה בכלים וא"כ אין בנין בכלים, ותירץ </w:t>
      </w:r>
      <w:r w:rsidRPr="00255628">
        <w:rPr>
          <w:rStyle w:val="aff4"/>
          <w:rFonts w:hint="cs"/>
          <w:vanish/>
          <w:rtl/>
        </w:rPr>
        <w:t>-</w:t>
      </w:r>
      <w:r w:rsidRPr="00255628">
        <w:rPr>
          <w:rStyle w:val="aff4"/>
          <w:rFonts w:hint="cs"/>
          <w:rtl/>
        </w:rPr>
        <w:t>היראים</w:t>
      </w:r>
      <w:r w:rsidRPr="00255628">
        <w:rPr>
          <w:rStyle w:val="aff4"/>
          <w:rFonts w:hint="cs"/>
          <w:vanish/>
          <w:rtl/>
        </w:rPr>
        <w:t>-</w:t>
      </w:r>
      <w:r>
        <w:rPr>
          <w:rFonts w:hint="cs"/>
          <w:rtl/>
        </w:rPr>
        <w:t xml:space="preserve"> דאין כוונת רב לומר דבמעייל שופתא בקופינא חייב משום בונה, אלא דבא לאפוקי משמואל דמחייב במכה בפטיש, ואמר רב דעדיין יש מלאכת בנין בשופיתא דקופינא</w:t>
      </w:r>
      <w:bookmarkStart w:id="5247" w:name="_Hlk144135063"/>
      <w:r>
        <w:rPr>
          <w:rFonts w:hint="cs"/>
          <w:rtl/>
        </w:rPr>
        <w:t xml:space="preserve">, וכיון דהחיוב במכה בפטיש הוא רק כשנגמרה מלאכת הבנין, א"כ א"א לחייב בזה משום מכה בפטיש, </w:t>
      </w:r>
      <w:bookmarkEnd w:id="5247"/>
      <w:r>
        <w:rPr>
          <w:rFonts w:hint="cs"/>
          <w:rtl/>
        </w:rPr>
        <w:t xml:space="preserve">אך באמת אין בזה חיוב גם משום בונה כיון דס"ל לרב דאין בנין בכלים, ועי' במ"ש </w:t>
      </w:r>
      <w:r w:rsidRPr="007637C7">
        <w:rPr>
          <w:rStyle w:val="aff4"/>
          <w:rFonts w:hint="cs"/>
          <w:vanish/>
          <w:rtl/>
        </w:rPr>
        <w:t>-</w:t>
      </w:r>
      <w:r w:rsidRPr="007637C7">
        <w:rPr>
          <w:rStyle w:val="aff4"/>
          <w:rFonts w:hint="cs"/>
          <w:rtl/>
        </w:rPr>
        <w:t>ה</w:t>
      </w:r>
      <w:r w:rsidRPr="004A7E3D">
        <w:rPr>
          <w:rStyle w:val="aff4"/>
          <w:rFonts w:hint="cs"/>
          <w:vanish/>
          <w:rtl/>
        </w:rPr>
        <w:t>&lt; &gt;</w:t>
      </w:r>
      <w:r w:rsidRPr="007637C7">
        <w:rPr>
          <w:rStyle w:val="aff4"/>
          <w:rFonts w:hint="cs"/>
          <w:rtl/>
        </w:rPr>
        <w:t>אמרי בינה</w:t>
      </w:r>
      <w:r w:rsidRPr="007637C7">
        <w:rPr>
          <w:rStyle w:val="aff4"/>
          <w:rFonts w:hint="cs"/>
          <w:vanish/>
          <w:rtl/>
        </w:rPr>
        <w:t>-</w:t>
      </w:r>
      <w:r>
        <w:rPr>
          <w:rFonts w:hint="cs"/>
          <w:rtl/>
        </w:rPr>
        <w:t xml:space="preserve"> </w:t>
      </w:r>
      <w:r w:rsidRPr="00005901">
        <w:rPr>
          <w:rStyle w:val="af2"/>
          <w:rFonts w:eastAsia="Guttman Hodes" w:hint="cs"/>
          <w:rtl/>
        </w:rPr>
        <w:t xml:space="preserve">(עי' אות </w:t>
      </w:r>
      <w:r w:rsidRPr="00005901">
        <w:rPr>
          <w:rStyle w:val="af2"/>
          <w:rFonts w:eastAsia="Guttman Hodes"/>
          <w:rtl/>
        </w:rPr>
        <w:fldChar w:fldCharType="begin"/>
      </w:r>
      <w:r w:rsidRPr="00005901">
        <w:rPr>
          <w:rStyle w:val="af2"/>
          <w:rFonts w:eastAsia="Guttman Hodes"/>
          <w:rtl/>
        </w:rPr>
        <w:instrText xml:space="preserve"> </w:instrText>
      </w:r>
      <w:r w:rsidRPr="00005901">
        <w:rPr>
          <w:rStyle w:val="af2"/>
          <w:rFonts w:eastAsia="Guttman Hodes" w:hint="cs"/>
        </w:rPr>
        <w:instrText>REF</w:instrText>
      </w:r>
      <w:r w:rsidRPr="00005901">
        <w:rPr>
          <w:rStyle w:val="af2"/>
          <w:rFonts w:eastAsia="Guttman Hodes" w:hint="cs"/>
          <w:rtl/>
        </w:rPr>
        <w:instrText xml:space="preserve"> _</w:instrText>
      </w:r>
      <w:r w:rsidRPr="00005901">
        <w:rPr>
          <w:rStyle w:val="af2"/>
          <w:rFonts w:eastAsia="Guttman Hodes" w:hint="cs"/>
        </w:rPr>
        <w:instrText>Ref144200069 \r \h</w:instrText>
      </w:r>
      <w:r w:rsidRPr="00005901">
        <w:rPr>
          <w:rStyle w:val="af2"/>
          <w:rFonts w:eastAsia="Guttman Hodes"/>
          <w:rtl/>
        </w:rPr>
        <w:instrText xml:space="preserve"> </w:instrText>
      </w:r>
      <w:r w:rsidRPr="00005901">
        <w:rPr>
          <w:rStyle w:val="af2"/>
          <w:rFonts w:eastAsia="Guttman Hodes"/>
          <w:rtl/>
        </w:rPr>
      </w:r>
      <w:r w:rsidRPr="00005901">
        <w:rPr>
          <w:rStyle w:val="af2"/>
          <w:rFonts w:eastAsia="Guttman Hodes"/>
          <w:rtl/>
        </w:rPr>
        <w:fldChar w:fldCharType="separate"/>
      </w:r>
      <w:r w:rsidR="00D82181">
        <w:rPr>
          <w:rStyle w:val="af2"/>
          <w:rFonts w:eastAsia="Guttman Hodes"/>
          <w:cs/>
        </w:rPr>
        <w:t>‎</w:t>
      </w:r>
      <w:r w:rsidR="00D82181">
        <w:rPr>
          <w:rStyle w:val="af2"/>
          <w:rFonts w:eastAsia="Guttman Hodes"/>
          <w:rtl/>
        </w:rPr>
        <w:t>מב)</w:t>
      </w:r>
      <w:r w:rsidRPr="00005901">
        <w:rPr>
          <w:rStyle w:val="af2"/>
          <w:rFonts w:eastAsia="Guttman Hodes"/>
          <w:rtl/>
        </w:rPr>
        <w:fldChar w:fldCharType="end"/>
      </w:r>
      <w:r w:rsidRPr="004A7E3D">
        <w:rPr>
          <w:rFonts w:hint="cs"/>
          <w:vanish/>
          <w:rtl/>
        </w:rPr>
        <w:t>=</w:t>
      </w:r>
      <w:r>
        <w:rPr>
          <w:rFonts w:hint="cs"/>
          <w:rtl/>
        </w:rPr>
        <w:t xml:space="preserve"> </w:t>
      </w:r>
      <w:r w:rsidRPr="007637C7">
        <w:rPr>
          <w:rStyle w:val="aff4"/>
          <w:rFonts w:hint="cs"/>
          <w:vanish/>
          <w:rtl/>
        </w:rPr>
        <w:t>-</w:t>
      </w:r>
      <w:r w:rsidRPr="007637C7">
        <w:rPr>
          <w:rStyle w:val="aff4"/>
          <w:rFonts w:hint="cs"/>
          <w:rtl/>
        </w:rPr>
        <w:t>דהרמב"ם</w:t>
      </w:r>
      <w:r w:rsidRPr="007637C7">
        <w:rPr>
          <w:rStyle w:val="aff4"/>
          <w:rFonts w:hint="cs"/>
          <w:vanish/>
          <w:rtl/>
        </w:rPr>
        <w:t>-</w:t>
      </w:r>
      <w:r>
        <w:rPr>
          <w:rFonts w:hint="cs"/>
          <w:rtl/>
        </w:rPr>
        <w:t xml:space="preserve"> פליג על </w:t>
      </w:r>
      <w:r w:rsidRPr="007637C7">
        <w:rPr>
          <w:rStyle w:val="aff4"/>
          <w:rFonts w:hint="cs"/>
          <w:vanish/>
          <w:rtl/>
        </w:rPr>
        <w:t>-</w:t>
      </w:r>
      <w:r w:rsidRPr="007637C7">
        <w:rPr>
          <w:rStyle w:val="aff4"/>
          <w:rFonts w:hint="cs"/>
          <w:rtl/>
        </w:rPr>
        <w:t>היראים</w:t>
      </w:r>
      <w:r w:rsidRPr="007637C7">
        <w:rPr>
          <w:rStyle w:val="aff4"/>
          <w:rFonts w:hint="cs"/>
          <w:vanish/>
          <w:rtl/>
        </w:rPr>
        <w:t>-</w:t>
      </w:r>
      <w:r>
        <w:rPr>
          <w:rFonts w:hint="cs"/>
          <w:rtl/>
        </w:rPr>
        <w:t xml:space="preserve">, ובמ"ש </w:t>
      </w:r>
      <w:r w:rsidRPr="007637C7">
        <w:rPr>
          <w:rStyle w:val="aff4"/>
          <w:rFonts w:hint="cs"/>
          <w:vanish/>
          <w:rtl/>
        </w:rPr>
        <w:t>-</w:t>
      </w:r>
      <w:r w:rsidRPr="007637C7">
        <w:rPr>
          <w:rStyle w:val="aff4"/>
          <w:rFonts w:hint="cs"/>
          <w:rtl/>
        </w:rPr>
        <w:t>ה</w:t>
      </w:r>
      <w:r w:rsidRPr="004A7E3D">
        <w:rPr>
          <w:rStyle w:val="aff4"/>
          <w:rFonts w:hint="cs"/>
          <w:vanish/>
          <w:rtl/>
        </w:rPr>
        <w:t>&lt; &gt;</w:t>
      </w:r>
      <w:r w:rsidRPr="007637C7">
        <w:rPr>
          <w:rStyle w:val="aff4"/>
          <w:rFonts w:hint="cs"/>
          <w:rtl/>
        </w:rPr>
        <w:t>קהלות יעקב</w:t>
      </w:r>
      <w:r w:rsidRPr="007637C7">
        <w:rPr>
          <w:rStyle w:val="aff4"/>
          <w:rFonts w:hint="cs"/>
          <w:vanish/>
          <w:rtl/>
        </w:rPr>
        <w:t>-</w:t>
      </w:r>
      <w:r>
        <w:rPr>
          <w:rFonts w:hint="cs"/>
          <w:rtl/>
        </w:rPr>
        <w:t xml:space="preserve"> </w:t>
      </w:r>
      <w:r w:rsidRPr="00005901">
        <w:rPr>
          <w:rStyle w:val="af2"/>
          <w:rFonts w:eastAsia="Guttman Hodes" w:hint="cs"/>
          <w:rtl/>
        </w:rPr>
        <w:t xml:space="preserve">(עי' אות </w:t>
      </w:r>
      <w:r w:rsidRPr="00005901">
        <w:rPr>
          <w:rStyle w:val="af2"/>
          <w:rFonts w:eastAsia="Guttman Hodes"/>
          <w:rtl/>
        </w:rPr>
        <w:fldChar w:fldCharType="begin"/>
      </w:r>
      <w:r w:rsidRPr="00005901">
        <w:rPr>
          <w:rStyle w:val="af2"/>
          <w:rFonts w:eastAsia="Guttman Hodes"/>
          <w:rtl/>
        </w:rPr>
        <w:instrText xml:space="preserve"> </w:instrText>
      </w:r>
      <w:r w:rsidRPr="00005901">
        <w:rPr>
          <w:rStyle w:val="af2"/>
          <w:rFonts w:eastAsia="Guttman Hodes" w:hint="cs"/>
        </w:rPr>
        <w:instrText>REF</w:instrText>
      </w:r>
      <w:r w:rsidRPr="00005901">
        <w:rPr>
          <w:rStyle w:val="af2"/>
          <w:rFonts w:eastAsia="Guttman Hodes" w:hint="cs"/>
          <w:rtl/>
        </w:rPr>
        <w:instrText xml:space="preserve"> _</w:instrText>
      </w:r>
      <w:r w:rsidRPr="00005901">
        <w:rPr>
          <w:rStyle w:val="af2"/>
          <w:rFonts w:eastAsia="Guttman Hodes" w:hint="cs"/>
        </w:rPr>
        <w:instrText>Ref144201131 \r \h</w:instrText>
      </w:r>
      <w:r w:rsidRPr="00005901">
        <w:rPr>
          <w:rStyle w:val="af2"/>
          <w:rFonts w:eastAsia="Guttman Hodes"/>
          <w:rtl/>
        </w:rPr>
        <w:instrText xml:space="preserve"> </w:instrText>
      </w:r>
      <w:r w:rsidRPr="00005901">
        <w:rPr>
          <w:rStyle w:val="af2"/>
          <w:rFonts w:eastAsia="Guttman Hodes"/>
          <w:rtl/>
        </w:rPr>
      </w:r>
      <w:r w:rsidRPr="00005901">
        <w:rPr>
          <w:rStyle w:val="af2"/>
          <w:rFonts w:eastAsia="Guttman Hodes"/>
          <w:rtl/>
        </w:rPr>
        <w:fldChar w:fldCharType="separate"/>
      </w:r>
      <w:r w:rsidR="00D82181">
        <w:rPr>
          <w:rStyle w:val="af2"/>
          <w:rFonts w:eastAsia="Guttman Hodes"/>
          <w:cs/>
        </w:rPr>
        <w:t>‎</w:t>
      </w:r>
      <w:r w:rsidR="00D82181">
        <w:rPr>
          <w:rStyle w:val="af2"/>
          <w:rFonts w:eastAsia="Guttman Hodes"/>
          <w:rtl/>
        </w:rPr>
        <w:t>עא)</w:t>
      </w:r>
      <w:r w:rsidRPr="00005901">
        <w:rPr>
          <w:rStyle w:val="af2"/>
          <w:rFonts w:eastAsia="Guttman Hodes"/>
          <w:rtl/>
        </w:rPr>
        <w:fldChar w:fldCharType="end"/>
      </w:r>
      <w:r w:rsidRPr="003A0AA7">
        <w:rPr>
          <w:rFonts w:hint="cs"/>
          <w:rtl/>
        </w:rPr>
        <w:t xml:space="preserve"> </w:t>
      </w:r>
      <w:r w:rsidRPr="004A7E3D">
        <w:rPr>
          <w:rFonts w:hint="cs"/>
          <w:vanish/>
          <w:rtl/>
        </w:rPr>
        <w:t>=</w:t>
      </w:r>
      <w:r w:rsidRPr="00A66E20">
        <w:rPr>
          <w:rFonts w:hint="cs"/>
          <w:rtl/>
        </w:rPr>
        <w:t xml:space="preserve"> </w:t>
      </w:r>
      <w:r>
        <w:rPr>
          <w:rFonts w:hint="cs"/>
          <w:b/>
          <w:bCs/>
          <w:rtl/>
        </w:rPr>
        <w:t>ו</w:t>
      </w:r>
      <w:r w:rsidRPr="001752D1">
        <w:rPr>
          <w:b/>
          <w:bCs/>
          <w:rtl/>
        </w:rPr>
        <w:t>ה</w:t>
      </w:r>
      <w:r w:rsidRPr="004A7E3D">
        <w:rPr>
          <w:rFonts w:hint="cs"/>
          <w:b/>
          <w:bCs/>
          <w:vanish/>
          <w:rtl/>
        </w:rPr>
        <w:t>&lt; &gt;</w:t>
      </w:r>
      <w:r>
        <w:rPr>
          <w:rFonts w:hint="cs"/>
          <w:b/>
          <w:bCs/>
          <w:rtl/>
        </w:rPr>
        <w:t>דברי מרדכי</w:t>
      </w:r>
      <w:r w:rsidRPr="001752D1">
        <w:rPr>
          <w:b/>
          <w:bCs/>
          <w:rtl/>
        </w:rPr>
        <w:t xml:space="preserve"> </w:t>
      </w:r>
      <w:r>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Ref144117393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עז)</w:t>
      </w:r>
      <w:r>
        <w:rPr>
          <w:rStyle w:val="af2"/>
          <w:rFonts w:eastAsia="Guttman Hodes"/>
          <w:rtl/>
        </w:rPr>
        <w:fldChar w:fldCharType="end"/>
      </w:r>
      <w:r w:rsidRPr="003A0AA7">
        <w:rPr>
          <w:rFonts w:hint="cs"/>
          <w:rtl/>
        </w:rPr>
        <w:t xml:space="preserve"> </w:t>
      </w:r>
      <w:r w:rsidRPr="004A7E3D">
        <w:rPr>
          <w:rFonts w:hint="cs"/>
          <w:vanish/>
          <w:rtl/>
        </w:rPr>
        <w:t>=</w:t>
      </w:r>
      <w:r>
        <w:rPr>
          <w:rFonts w:hint="cs"/>
          <w:rtl/>
        </w:rPr>
        <w:t xml:space="preserve"> בדברי </w:t>
      </w:r>
      <w:r w:rsidRPr="007637C7">
        <w:rPr>
          <w:rStyle w:val="aff4"/>
          <w:rFonts w:hint="cs"/>
          <w:vanish/>
          <w:rtl/>
        </w:rPr>
        <w:t>-</w:t>
      </w:r>
      <w:r w:rsidRPr="007637C7">
        <w:rPr>
          <w:rStyle w:val="aff4"/>
          <w:rFonts w:hint="cs"/>
          <w:rtl/>
        </w:rPr>
        <w:t>היראים</w:t>
      </w:r>
      <w:r w:rsidRPr="007637C7">
        <w:rPr>
          <w:rStyle w:val="aff4"/>
          <w:rFonts w:hint="cs"/>
          <w:vanish/>
          <w:rtl/>
        </w:rPr>
        <w:t>-</w:t>
      </w:r>
      <w:r>
        <w:rPr>
          <w:rFonts w:hint="cs"/>
          <w:rtl/>
        </w:rPr>
        <w:t>.</w:t>
      </w:r>
      <w:bookmarkEnd w:id="5244"/>
    </w:p>
    <w:p w14:paraId="4380A3F6" w14:textId="77777777" w:rsidR="00A14FDA" w:rsidRPr="00BC7DC8" w:rsidRDefault="00A14FDA" w:rsidP="00A14FDA">
      <w:pPr>
        <w:pStyle w:val="afffffe"/>
        <w:rPr>
          <w:vanish/>
          <w:rtl/>
        </w:rPr>
      </w:pPr>
      <w:r w:rsidRPr="00BC7DC8">
        <w:rPr>
          <w:vanish/>
          <w:rtl/>
        </w:rPr>
        <w:t>יראים סימן רע"ד ד"ה הבונה</w:t>
      </w:r>
    </w:p>
    <w:p w14:paraId="391EE909" w14:textId="77777777" w:rsidR="00A14FDA" w:rsidRPr="00D87F8B" w:rsidRDefault="00A14FDA" w:rsidP="00A14FDA">
      <w:pPr>
        <w:pStyle w:val="a2"/>
        <w:rPr>
          <w:rtl/>
        </w:rPr>
      </w:pPr>
      <w:r w:rsidRPr="00D87F8B">
        <w:rPr>
          <w:rtl/>
        </w:rPr>
        <w:t>ובפ' במה מדליקין [כ"ט א'] אמרינן אמר רב יהודה אמר רב מסיקין בכלים ואין מסיקין בשברי כלים מסיקין בכלים אין לך סתירה גדולה מהסקה והא דאמרינן בהבונה [ק"ב ב'] עייל שופתא בקופינא דמרה רב אמר משום בונה ושמואל אמר משום מכה בפטיש אלמא סבירא ליה לרב יש בנין בכלים ואם יש בנין יש סתירה דחדא טעמא הוא כדאמרינן בכל הכלים [קכ"ב ב'] וא"כ קשיא דרב אדרב הא לא קשיא דבהבונה הכי פירושו רב אמר משום בונה פי' מרה זאת מחוסרת בנין בחסרון שופתא הלכך אין בו איסור מכה בפטיש שאינו נקרא מכה בפטיש אלא בדבר שאינו מחוסר בנין שהכאת פטיש הוא לאחר גמר בנין ולא אמר רב משום בונה לומר שיש חיוב בונה בדבר דהא אין סתירה ובנין בכלים ולא אמרינן משום בונה אלא להסירו מטעם מכה בפטיש [שהוא] לאחר בנין שלעולם בחסרון בנין לא תהיה מלאכת מכה בפטיש פי' בקוצר משום בונה אין בו אלא טעם בונה ומאותו בונה אין חיוב דאין בנין בכלים וכל הסוגיא נוח לפרשה אחר פירוש זה.</w:t>
      </w:r>
    </w:p>
    <w:p w14:paraId="71DEE1D9" w14:textId="77777777" w:rsidR="00A14FDA" w:rsidRPr="00BC7DC8" w:rsidRDefault="00A14FDA" w:rsidP="00A14FDA">
      <w:pPr>
        <w:pStyle w:val="afffffe"/>
        <w:rPr>
          <w:vanish/>
          <w:rtl/>
        </w:rPr>
      </w:pPr>
      <w:r w:rsidRPr="00BC7DC8">
        <w:rPr>
          <w:vanish/>
          <w:rtl/>
        </w:rPr>
        <w:t>הגהות מרדכי שבת רמז תס</w:t>
      </w:r>
      <w:r w:rsidRPr="00BC7DC8">
        <w:rPr>
          <w:rFonts w:hint="cs"/>
          <w:vanish/>
          <w:rtl/>
        </w:rPr>
        <w:t>"</w:t>
      </w:r>
      <w:r w:rsidRPr="00BC7DC8">
        <w:rPr>
          <w:vanish/>
          <w:rtl/>
        </w:rPr>
        <w:t>א</w:t>
      </w:r>
    </w:p>
    <w:p w14:paraId="0E8B2B09" w14:textId="77777777" w:rsidR="00A14FDA" w:rsidRPr="00806C89" w:rsidRDefault="00A14FDA" w:rsidP="00A14FDA">
      <w:pPr>
        <w:pStyle w:val="afffff5"/>
        <w:rPr>
          <w:rtl/>
        </w:rPr>
      </w:pPr>
      <w:r w:rsidRPr="00806C89">
        <w:rPr>
          <w:rtl/>
        </w:rPr>
        <w:t>[דף קב] ופי' רא"ם רב אמר משום בונה פירוש מרא זו מחוסרת [בנין] בחסרון שופתא הלכך אין בו משום מכה בפטיש שאינו נקרא מכה בפטיש אלא בדבר שאינו מחוסר [בנין] שהכאת הפטיש הוא לאחר גמר בנין ולא אמר רב משום בונה (*כלומר) [*לומר שהוא] חייב משום (*מכה בפטיש) [*בונה] דהא אין בנין [*בכלים] אלא להסירו מטעם מכה בפטיש שלעולם בחסרות בנין לא תהא מלאכת מכה</w:t>
      </w:r>
      <w:r w:rsidRPr="00806C89">
        <w:rPr>
          <w:rFonts w:hint="cs"/>
          <w:rtl/>
        </w:rPr>
        <w:t>.</w:t>
      </w:r>
    </w:p>
    <w:p w14:paraId="0BFEACA6" w14:textId="77777777" w:rsidR="00A14FDA" w:rsidRDefault="00A14FDA" w:rsidP="00A14FDA">
      <w:pPr>
        <w:pStyle w:val="afffff7"/>
        <w:rPr>
          <w:rtl/>
        </w:rPr>
      </w:pPr>
      <w:bookmarkStart w:id="5248" w:name="_Toc144224682"/>
      <w:bookmarkStart w:id="5249" w:name="_Toc163506230"/>
      <w:r w:rsidRPr="007C3C65">
        <w:rPr>
          <w:rtl/>
        </w:rPr>
        <w:t>טל אורות</w:t>
      </w:r>
      <w:r w:rsidRPr="0017289B">
        <w:rPr>
          <w:rFonts w:cs="David"/>
          <w:szCs w:val="22"/>
          <w:rtl/>
        </w:rPr>
        <w:t xml:space="preserve"> </w:t>
      </w:r>
      <w:r>
        <w:rPr>
          <w:rFonts w:hint="cs"/>
          <w:rtl/>
        </w:rPr>
        <w:t>הספרדי</w:t>
      </w:r>
      <w:r w:rsidRPr="0017289B">
        <w:rPr>
          <w:rFonts w:cs="David"/>
          <w:szCs w:val="22"/>
          <w:rtl/>
        </w:rPr>
        <w:t xml:space="preserve"> </w:t>
      </w:r>
      <w:r>
        <w:rPr>
          <w:rFonts w:hint="cs"/>
          <w:rtl/>
        </w:rPr>
        <w:t>ריש הבונה ד"ה והיותר מתמיה</w:t>
      </w:r>
      <w:bookmarkEnd w:id="5248"/>
      <w:bookmarkEnd w:id="5249"/>
      <w:r w:rsidRPr="00421A47">
        <w:rPr>
          <w:vanish/>
          <w:rtl/>
        </w:rPr>
        <w:t xml:space="preserve"> (ב)</w:t>
      </w:r>
    </w:p>
    <w:p w14:paraId="44320E82" w14:textId="77777777" w:rsidR="00A14FDA" w:rsidRDefault="00A14FDA" w:rsidP="00A14FDA">
      <w:pPr>
        <w:pStyle w:val="afffff7"/>
        <w:rPr>
          <w:rtl/>
        </w:rPr>
      </w:pPr>
      <w:bookmarkStart w:id="5250" w:name="_Toc144224683"/>
      <w:bookmarkStart w:id="5251" w:name="_Toc163506231"/>
      <w:r>
        <w:rPr>
          <w:rtl/>
        </w:rPr>
        <w:t xml:space="preserve">ספר יראים סימן רעד </w:t>
      </w:r>
      <w:r w:rsidRPr="009B0C1E">
        <w:rPr>
          <w:rtl/>
        </w:rPr>
        <w:t>ד"ה המכה בפטיש</w:t>
      </w:r>
      <w:bookmarkEnd w:id="5250"/>
      <w:bookmarkEnd w:id="5251"/>
      <w:r w:rsidRPr="00421A47">
        <w:rPr>
          <w:vanish/>
          <w:rtl/>
        </w:rPr>
        <w:t xml:space="preserve"> (ב)</w:t>
      </w:r>
    </w:p>
    <w:p w14:paraId="4F635F87" w14:textId="77777777" w:rsidR="00A14FDA" w:rsidRDefault="00A14FDA" w:rsidP="00A14FDA">
      <w:pPr>
        <w:pStyle w:val="a7"/>
        <w:rPr>
          <w:rtl/>
        </w:rPr>
      </w:pPr>
      <w:bookmarkStart w:id="5252" w:name="_Toc144225287"/>
      <w:r>
        <w:rPr>
          <w:rFonts w:hint="cs"/>
          <w:rtl/>
        </w:rPr>
        <w:t>קו' הטל אורות דהיראים עצמו מחייב במכב"פ בפותח בית הצואר אף שלא נגמרה מלאכת הבגד</w:t>
      </w:r>
      <w:bookmarkEnd w:id="5252"/>
    </w:p>
    <w:p w14:paraId="325490C4" w14:textId="2A70E5EB" w:rsidR="00A14FDA" w:rsidRPr="006C7CEE" w:rsidRDefault="00A14FDA" w:rsidP="00BC7DC8">
      <w:pPr>
        <w:pStyle w:val="a3"/>
      </w:pPr>
      <w:bookmarkStart w:id="5253" w:name="_Ref144151023"/>
      <w:r>
        <w:rPr>
          <w:rFonts w:hint="cs"/>
          <w:rtl/>
        </w:rPr>
        <w:t xml:space="preserve">במ"ש </w:t>
      </w:r>
      <w:r w:rsidRPr="007C3C65">
        <w:rPr>
          <w:rFonts w:hint="cs"/>
          <w:b/>
          <w:bCs/>
          <w:rtl/>
        </w:rPr>
        <w:t xml:space="preserve">היראים </w:t>
      </w:r>
      <w:r w:rsidRPr="005257B1">
        <w:rPr>
          <w:rStyle w:val="af2"/>
          <w:rFonts w:eastAsia="Guttman Hodes" w:hint="cs"/>
          <w:rtl/>
        </w:rPr>
        <w:t>(עי' אות</w:t>
      </w:r>
      <w:r w:rsidRPr="00D7025D">
        <w:rPr>
          <w:rStyle w:val="af2"/>
          <w:rFonts w:eastAsia="Guttman Hodes" w:hint="cs"/>
          <w:rtl/>
        </w:rPr>
        <w:t xml:space="preserve"> </w:t>
      </w:r>
      <w:r w:rsidRPr="00D7025D">
        <w:rPr>
          <w:rStyle w:val="af2"/>
          <w:rFonts w:eastAsia="Guttman Hodes"/>
          <w:rtl/>
        </w:rPr>
        <w:fldChar w:fldCharType="begin"/>
      </w:r>
      <w:r w:rsidRPr="00D7025D">
        <w:rPr>
          <w:rStyle w:val="af2"/>
          <w:rFonts w:eastAsia="Guttman Hodes"/>
          <w:rtl/>
        </w:rPr>
        <w:instrText xml:space="preserve"> </w:instrText>
      </w:r>
      <w:r w:rsidRPr="00D7025D">
        <w:rPr>
          <w:rStyle w:val="af2"/>
          <w:rFonts w:eastAsia="Guttman Hodes" w:hint="cs"/>
        </w:rPr>
        <w:instrText>REF</w:instrText>
      </w:r>
      <w:r w:rsidRPr="00D7025D">
        <w:rPr>
          <w:rStyle w:val="af2"/>
          <w:rFonts w:eastAsia="Guttman Hodes" w:hint="cs"/>
          <w:rtl/>
        </w:rPr>
        <w:instrText xml:space="preserve"> _</w:instrText>
      </w:r>
      <w:r w:rsidRPr="00D7025D">
        <w:rPr>
          <w:rStyle w:val="af2"/>
          <w:rFonts w:eastAsia="Guttman Hodes" w:hint="cs"/>
        </w:rPr>
        <w:instrText>Ref143857616 \r \h</w:instrText>
      </w:r>
      <w:r w:rsidRPr="00D7025D">
        <w:rPr>
          <w:rStyle w:val="af2"/>
          <w:rFonts w:eastAsia="Guttman Hodes"/>
          <w:rtl/>
        </w:rPr>
        <w:instrText xml:space="preserve"> </w:instrText>
      </w:r>
      <w:r w:rsidRPr="00D7025D">
        <w:rPr>
          <w:rStyle w:val="af2"/>
          <w:rFonts w:eastAsia="Guttman Hodes"/>
          <w:rtl/>
        </w:rPr>
      </w:r>
      <w:r w:rsidRPr="00D7025D">
        <w:rPr>
          <w:rStyle w:val="af2"/>
          <w:rFonts w:eastAsia="Guttman Hodes"/>
          <w:rtl/>
        </w:rPr>
        <w:fldChar w:fldCharType="separate"/>
      </w:r>
      <w:r w:rsidR="00D82181">
        <w:rPr>
          <w:rStyle w:val="af2"/>
          <w:rFonts w:eastAsia="Guttman Hodes"/>
          <w:cs/>
        </w:rPr>
        <w:t>‎</w:t>
      </w:r>
      <w:r w:rsidR="00D82181">
        <w:rPr>
          <w:rStyle w:val="af2"/>
          <w:rFonts w:eastAsia="Guttman Hodes"/>
          <w:rtl/>
        </w:rPr>
        <w:t>מח)</w:t>
      </w:r>
      <w:r w:rsidRPr="00D7025D">
        <w:rPr>
          <w:rStyle w:val="af2"/>
          <w:rFonts w:eastAsia="Guttman Hodes"/>
          <w:rtl/>
        </w:rPr>
        <w:fldChar w:fldCharType="end"/>
      </w:r>
      <w:r>
        <w:rPr>
          <w:rFonts w:hint="cs"/>
          <w:rtl/>
        </w:rPr>
        <w:t xml:space="preserve"> דחיוב במכה בפטיש הוא רק כשנגמרה מלאכת הבנין, ולכן במעייל שופתא בקופינא דמרא א"א לחייב בזה משום מכה בפטיש, הקשה</w:t>
      </w:r>
      <w:r>
        <w:rPr>
          <w:rtl/>
        </w:rPr>
        <w:t xml:space="preserve"> </w:t>
      </w:r>
      <w:r w:rsidRPr="008E3F47">
        <w:rPr>
          <w:b/>
          <w:bCs/>
          <w:rtl/>
        </w:rPr>
        <w:t>ה</w:t>
      </w:r>
      <w:r w:rsidRPr="008E3F47">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Ref144151023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מט)</w:t>
      </w:r>
      <w:r>
        <w:rPr>
          <w:b/>
          <w:bCs/>
          <w:vanish/>
          <w:rtl/>
        </w:rPr>
        <w:fldChar w:fldCharType="end"/>
      </w:r>
      <w:r w:rsidRPr="008E3F47">
        <w:rPr>
          <w:b/>
          <w:bCs/>
          <w:vanish/>
          <w:rtl/>
        </w:rPr>
        <w:t xml:space="preserve"> &gt;</w:t>
      </w:r>
      <w:r>
        <w:rPr>
          <w:rFonts w:hint="cs"/>
          <w:b/>
          <w:bCs/>
          <w:rtl/>
        </w:rPr>
        <w:t>טל אורות הספרדי</w:t>
      </w:r>
      <w:r w:rsidRPr="008E3F47">
        <w:rPr>
          <w:b/>
          <w:bCs/>
          <w:rtl/>
        </w:rPr>
        <w:t xml:space="preserve"> </w:t>
      </w:r>
      <w:r w:rsidRPr="008E3F47">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ריש הבונה ד"ה והיותר מתמיה</w:t>
      </w:r>
      <w:r w:rsidRPr="008E3F47">
        <w:rPr>
          <w:rFonts w:ascii="Calibri" w:eastAsia="Times New Roman" w:hAnsi="Calibri" w:cs="Guttman Rashi"/>
          <w:noProof w:val="0"/>
          <w:sz w:val="10"/>
          <w:szCs w:val="12"/>
          <w:rtl/>
        </w:rPr>
        <w:t>)</w:t>
      </w:r>
      <w:r w:rsidRPr="008E3F47">
        <w:rPr>
          <w:vanish/>
          <w:rtl/>
        </w:rPr>
        <w:t>=</w:t>
      </w:r>
      <w:r>
        <w:rPr>
          <w:rFonts w:hint="cs"/>
          <w:rtl/>
        </w:rPr>
        <w:t xml:space="preserve"> דהא לענין פותח בית הצואר ביאר</w:t>
      </w:r>
      <w:r>
        <w:rPr>
          <w:rtl/>
        </w:rPr>
        <w:t xml:space="preserve"> </w:t>
      </w:r>
      <w:r>
        <w:rPr>
          <w:rFonts w:hint="cs"/>
          <w:b/>
          <w:bCs/>
          <w:rtl/>
        </w:rPr>
        <w:t>ה</w:t>
      </w:r>
      <w:r w:rsidRPr="00D65108">
        <w:rPr>
          <w:b/>
          <w:bCs/>
          <w:vanish/>
          <w:rtl/>
        </w:rPr>
        <w:t>&lt; &gt;</w:t>
      </w:r>
      <w:r>
        <w:rPr>
          <w:rFonts w:hint="cs"/>
          <w:b/>
          <w:bCs/>
          <w:rtl/>
        </w:rPr>
        <w:t>יראים</w:t>
      </w:r>
      <w:r w:rsidRPr="00D65108">
        <w:rPr>
          <w:b/>
          <w:bCs/>
          <w:rtl/>
        </w:rPr>
        <w:t xml:space="preserve"> </w:t>
      </w:r>
      <w:r w:rsidRPr="00D65108">
        <w:rPr>
          <w:rFonts w:ascii="Calibri" w:eastAsia="Times New Roman" w:hAnsi="Calibri" w:cs="Guttman Rashi"/>
          <w:sz w:val="10"/>
          <w:szCs w:val="12"/>
          <w:rtl/>
        </w:rPr>
        <w:t>(</w:t>
      </w:r>
      <w:r>
        <w:rPr>
          <w:rFonts w:ascii="Calibri" w:eastAsia="Times New Roman" w:hAnsi="Calibri" w:cs="Guttman Rashi" w:hint="cs"/>
          <w:sz w:val="10"/>
          <w:szCs w:val="12"/>
          <w:rtl/>
        </w:rPr>
        <w:t>סי' רע"ד</w:t>
      </w:r>
      <w:r w:rsidRPr="003679CA">
        <w:rPr>
          <w:rFonts w:hint="cs"/>
          <w:rtl/>
        </w:rPr>
        <w:t xml:space="preserve"> </w:t>
      </w:r>
      <w:r>
        <w:rPr>
          <w:rStyle w:val="af2"/>
          <w:rFonts w:eastAsia="Guttman Hodes" w:hint="cs"/>
          <w:rtl/>
        </w:rPr>
        <w:t>ד"ה המכה בפטיש, נד' בקובץ שיטות קמאי שבת ח"ב עמ' אלף ק"כ</w:t>
      </w:r>
      <w:r w:rsidRPr="00D65108">
        <w:rPr>
          <w:rFonts w:ascii="Calibri" w:eastAsia="Times New Roman" w:hAnsi="Calibri" w:cs="Guttman Rashi"/>
          <w:sz w:val="10"/>
          <w:szCs w:val="12"/>
          <w:rtl/>
        </w:rPr>
        <w:t>)</w:t>
      </w:r>
      <w:r w:rsidRPr="00D65108">
        <w:rPr>
          <w:vanish/>
          <w:rtl/>
        </w:rPr>
        <w:t>=</w:t>
      </w:r>
      <w:r>
        <w:rPr>
          <w:rtl/>
        </w:rPr>
        <w:t xml:space="preserve"> </w:t>
      </w:r>
      <w:r>
        <w:rPr>
          <w:rFonts w:hint="cs"/>
          <w:rtl/>
        </w:rPr>
        <w:t>עצמו דחייב משום מכה בפטיש כיון דהבגד שהיה בבית הצואר היה שם מעיקרא וכשמסירו הוא נקרא מלאכת המלבוש אחר הבנין ולכן חייב משום מכה בפטיש, והא לדעת</w:t>
      </w:r>
      <w:r w:rsidRPr="006C7CEE">
        <w:rPr>
          <w:b/>
          <w:bCs/>
          <w:rtl/>
        </w:rPr>
        <w:t xml:space="preserve"> </w:t>
      </w:r>
      <w:r>
        <w:rPr>
          <w:rFonts w:hint="cs"/>
          <w:b/>
          <w:bCs/>
          <w:rtl/>
        </w:rPr>
        <w:t>היראים</w:t>
      </w:r>
      <w:r>
        <w:rPr>
          <w:rtl/>
        </w:rPr>
        <w:t xml:space="preserve"> </w:t>
      </w:r>
      <w:r>
        <w:rPr>
          <w:rFonts w:hint="cs"/>
          <w:rtl/>
        </w:rPr>
        <w:t xml:space="preserve">חיוב מכה </w:t>
      </w:r>
      <w:r w:rsidRPr="006C7CEE">
        <w:rPr>
          <w:rFonts w:hint="cs"/>
          <w:rtl/>
        </w:rPr>
        <w:t>בפטיש הוא</w:t>
      </w:r>
      <w:r>
        <w:rPr>
          <w:rFonts w:hint="cs"/>
          <w:rtl/>
        </w:rPr>
        <w:t xml:space="preserve"> רק לאחר גמר המאלכה, ובבית הצואר עדיין לא נגמרה המלאכה, דכ"ז שלא הסיר את בית הצואר אין לו שם מלבוש, ולא שייך בזה חיוב מכה בפטיש.</w:t>
      </w:r>
      <w:bookmarkEnd w:id="5253"/>
    </w:p>
    <w:p w14:paraId="7142770F" w14:textId="77777777" w:rsidR="00A14FDA" w:rsidRPr="00BC7DC8" w:rsidRDefault="00A14FDA" w:rsidP="00A14FDA">
      <w:pPr>
        <w:pStyle w:val="afffffe"/>
        <w:rPr>
          <w:vanish/>
          <w:rtl/>
        </w:rPr>
      </w:pPr>
      <w:r w:rsidRPr="00BC7DC8">
        <w:rPr>
          <w:vanish/>
          <w:rtl/>
        </w:rPr>
        <w:t>טל אורות</w:t>
      </w:r>
      <w:r w:rsidRPr="00BC7DC8">
        <w:rPr>
          <w:vanish/>
          <w:szCs w:val="22"/>
          <w:rtl/>
        </w:rPr>
        <w:t xml:space="preserve"> </w:t>
      </w:r>
      <w:r w:rsidRPr="00BC7DC8">
        <w:rPr>
          <w:rFonts w:hint="cs"/>
          <w:vanish/>
          <w:rtl/>
        </w:rPr>
        <w:t>הספרדי</w:t>
      </w:r>
      <w:r w:rsidRPr="00BC7DC8">
        <w:rPr>
          <w:vanish/>
          <w:szCs w:val="22"/>
          <w:rtl/>
        </w:rPr>
        <w:t xml:space="preserve"> </w:t>
      </w:r>
      <w:r w:rsidRPr="00BC7DC8">
        <w:rPr>
          <w:rFonts w:hint="cs"/>
          <w:vanish/>
          <w:rtl/>
        </w:rPr>
        <w:t>ריש הבונה ד"ה והיותר מתמיה</w:t>
      </w:r>
    </w:p>
    <w:p w14:paraId="1DDE5BB5" w14:textId="77777777" w:rsidR="00A14FDA" w:rsidRPr="00D87F8B" w:rsidRDefault="00A14FDA" w:rsidP="00A14FDA">
      <w:pPr>
        <w:pStyle w:val="a2"/>
        <w:rPr>
          <w:rtl/>
        </w:rPr>
      </w:pPr>
      <w:r w:rsidRPr="00D87F8B">
        <w:rPr>
          <w:rtl/>
        </w:rPr>
        <w:t xml:space="preserve">והיותר מתמיה אצלי על הרא"ם ז"ל על מה שפירש בדברי רב דאמר עייל שופתא בקופינא דמרא דאין בו איסור מכה בפטיש כיון דמרא זו מחוסרת בנין בחסרון שופתא ואין איסור מכה בפטיש אלא בדבר שאינו מחוסר בנין ולא אמר רב משום בונה אלא להסירו מטעם מכה שלעולם בחסרות בנין לא תהא מלאכת מכה בפטיש והוא עצמו ז"ל במלאכת מכה בפטיש גבי הא דאמר רב הפותח בית הצואר בשבת חייב חטאת פירש ז"ל דמשום מכה בפטיש הוא המתחייב דבהסרת חתיכת בגד בפתיחת בית הצואר היא נקראת מלבוש וחייב משום מכה בפטיש הרי הכא </w:t>
      </w:r>
      <w:r w:rsidRPr="00D87F8B">
        <w:rPr>
          <w:rFonts w:hint="cs"/>
          <w:rtl/>
        </w:rPr>
        <w:t>ד</w:t>
      </w:r>
      <w:r w:rsidRPr="00D87F8B">
        <w:rPr>
          <w:rtl/>
        </w:rPr>
        <w:t>חלוק זה מחוסר הסרת חתיכת בגד לפתיחת בית הצואר ולא נקרא</w:t>
      </w:r>
      <w:r w:rsidRPr="00D87F8B">
        <w:rPr>
          <w:rFonts w:hint="cs"/>
          <w:rtl/>
        </w:rPr>
        <w:t xml:space="preserve"> </w:t>
      </w:r>
      <w:r w:rsidRPr="00D87F8B">
        <w:rPr>
          <w:rtl/>
        </w:rPr>
        <w:t>מלבוש אלא בפתיחת בית הצואר ואמאי מתחייב משום מכה בפטיש הא אין מכה בפטיש אלא לאחר גמר מלאכה לשיטת הרא"ם והכא כיון הלא נקרא מלבוש אלא בפתיחת בית הצואר א"כ עדיין לא נגמרה מלאכתו ומאי משום מכה בפטיש איכא</w:t>
      </w:r>
      <w:r w:rsidRPr="00D87F8B">
        <w:rPr>
          <w:rFonts w:hint="cs"/>
          <w:rtl/>
        </w:rPr>
        <w:t>.</w:t>
      </w:r>
    </w:p>
    <w:p w14:paraId="7670FFE6" w14:textId="77777777" w:rsidR="00A14FDA" w:rsidRPr="00BC7DC8" w:rsidRDefault="00A14FDA" w:rsidP="00A14FDA">
      <w:pPr>
        <w:pStyle w:val="afffffe"/>
        <w:rPr>
          <w:vanish/>
          <w:rtl/>
        </w:rPr>
      </w:pPr>
      <w:r w:rsidRPr="00BC7DC8">
        <w:rPr>
          <w:vanish/>
          <w:rtl/>
        </w:rPr>
        <w:t>ספר יראים סימן רעד ד"ה המכה בפטיש</w:t>
      </w:r>
    </w:p>
    <w:p w14:paraId="68160FE4" w14:textId="77777777" w:rsidR="00A14FDA" w:rsidRDefault="00A14FDA" w:rsidP="00A14FDA">
      <w:pPr>
        <w:pStyle w:val="afffff5"/>
      </w:pPr>
      <w:r>
        <w:rPr>
          <w:rtl/>
        </w:rPr>
        <w:t xml:space="preserve">אמר רב יהודה אמר רב הפותח בית הצואר בשבת חייב חטאת פי' משום מכה בפטיש </w:t>
      </w:r>
      <w:r w:rsidRPr="00284C78">
        <w:rPr>
          <w:rtl/>
        </w:rPr>
        <w:t>ואמרינן מה בין זה למסיר מגופה מן החבית משום שזה חיבור פי' המגופה נתחברה לחבית לאחר שנגמרה ונעשית הלכך אין הסרת מגופת החבית גמר מלאכת החבית שהרי קודם חיבורה נגמרה וזה פתיחת בית הצואר אינו חיבור</w:t>
      </w:r>
      <w:r>
        <w:rPr>
          <w:rtl/>
        </w:rPr>
        <w:t xml:space="preserve"> פי' חתיכת בגד שמסיר משום לא נתחברה בו אלא מעיקרא הוא שם הלכך הסרת חתיכת בגד פתיחת בית הצואר היא נקראת מלאכת המלבוש לאחר בנין וחייב משום מכה בפטיש.</w:t>
      </w:r>
    </w:p>
    <w:p w14:paraId="316C890D" w14:textId="77777777" w:rsidR="00A14FDA" w:rsidRDefault="00A14FDA" w:rsidP="00A14FDA">
      <w:pPr>
        <w:pStyle w:val="afffff7"/>
        <w:rPr>
          <w:rtl/>
        </w:rPr>
      </w:pPr>
      <w:bookmarkStart w:id="5254" w:name="_Toc144224684"/>
      <w:bookmarkStart w:id="5255" w:name="_Toc163506232"/>
      <w:r>
        <w:rPr>
          <w:rtl/>
        </w:rPr>
        <w:t>הגהות מרדכי שבת פרק במה טומנין רמז תנז</w:t>
      </w:r>
      <w:bookmarkEnd w:id="5254"/>
      <w:bookmarkEnd w:id="5255"/>
      <w:r w:rsidRPr="00421A47">
        <w:rPr>
          <w:vanish/>
          <w:rtl/>
        </w:rPr>
        <w:t xml:space="preserve"> (ב)</w:t>
      </w:r>
    </w:p>
    <w:p w14:paraId="2BD28ECA" w14:textId="77777777" w:rsidR="00A14FDA" w:rsidRPr="009B0C1E" w:rsidRDefault="00A14FDA" w:rsidP="00A14FDA">
      <w:pPr>
        <w:pStyle w:val="a7"/>
        <w:rPr>
          <w:rtl/>
        </w:rPr>
      </w:pPr>
      <w:bookmarkStart w:id="5256" w:name="_Toc144225288"/>
      <w:r>
        <w:rPr>
          <w:rFonts w:hint="cs"/>
          <w:rtl/>
        </w:rPr>
        <w:t>קו' הטל אורות דההג' מרדכי כ' בפירוש בשם היראים דאף שלא נגמרה המלאכה חייב במכב"פ</w:t>
      </w:r>
      <w:bookmarkEnd w:id="5256"/>
    </w:p>
    <w:p w14:paraId="47BCB7C5" w14:textId="77777777" w:rsidR="00A14FDA" w:rsidRPr="005156DF" w:rsidRDefault="00A14FDA" w:rsidP="00BC7DC8">
      <w:pPr>
        <w:pStyle w:val="a3"/>
      </w:pPr>
      <w:r>
        <w:rPr>
          <w:rFonts w:hint="cs"/>
          <w:rtl/>
        </w:rPr>
        <w:t>ועוד הביא</w:t>
      </w:r>
      <w:r w:rsidRPr="005156DF">
        <w:rPr>
          <w:b/>
          <w:bCs/>
          <w:rtl/>
        </w:rPr>
        <w:t xml:space="preserve"> </w:t>
      </w:r>
      <w:r>
        <w:rPr>
          <w:rFonts w:hint="cs"/>
          <w:b/>
          <w:bCs/>
          <w:rtl/>
        </w:rPr>
        <w:t>הטל אורות הספרדי</w:t>
      </w:r>
      <w:r>
        <w:rPr>
          <w:rtl/>
        </w:rPr>
        <w:t xml:space="preserve"> </w:t>
      </w:r>
      <w:r>
        <w:rPr>
          <w:rFonts w:hint="cs"/>
          <w:rtl/>
        </w:rPr>
        <w:t xml:space="preserve">את דברי </w:t>
      </w:r>
      <w:r>
        <w:rPr>
          <w:rFonts w:hint="cs"/>
          <w:b/>
          <w:bCs/>
          <w:rtl/>
        </w:rPr>
        <w:t>ה</w:t>
      </w:r>
      <w:r w:rsidRPr="005156DF">
        <w:rPr>
          <w:b/>
          <w:bCs/>
          <w:vanish/>
          <w:rtl/>
        </w:rPr>
        <w:t>&lt; &gt;</w:t>
      </w:r>
      <w:r>
        <w:rPr>
          <w:rFonts w:hint="cs"/>
          <w:b/>
          <w:bCs/>
          <w:rtl/>
        </w:rPr>
        <w:t>הג' מרדכי</w:t>
      </w:r>
      <w:r w:rsidRPr="005156DF">
        <w:rPr>
          <w:b/>
          <w:bCs/>
          <w:rtl/>
        </w:rPr>
        <w:t xml:space="preserve"> </w:t>
      </w:r>
      <w:r w:rsidRPr="005156DF">
        <w:rPr>
          <w:rFonts w:ascii="Calibri" w:eastAsia="Times New Roman" w:hAnsi="Calibri" w:cs="Guttman Rashi"/>
          <w:sz w:val="10"/>
          <w:szCs w:val="12"/>
          <w:rtl/>
        </w:rPr>
        <w:t>(</w:t>
      </w:r>
      <w:r>
        <w:rPr>
          <w:rFonts w:ascii="Calibri" w:eastAsia="Times New Roman" w:hAnsi="Calibri" w:cs="Guttman Rashi" w:hint="cs"/>
          <w:sz w:val="10"/>
          <w:szCs w:val="12"/>
          <w:rtl/>
        </w:rPr>
        <w:t>סוף רמז תנ"ז</w:t>
      </w:r>
      <w:r w:rsidRPr="005156DF">
        <w:rPr>
          <w:rFonts w:ascii="Calibri" w:eastAsia="Times New Roman" w:hAnsi="Calibri" w:cs="Guttman Rashi"/>
          <w:sz w:val="10"/>
          <w:szCs w:val="12"/>
          <w:rtl/>
        </w:rPr>
        <w:t>)</w:t>
      </w:r>
      <w:r w:rsidRPr="005156DF">
        <w:rPr>
          <w:vanish/>
          <w:rtl/>
        </w:rPr>
        <w:t>=</w:t>
      </w:r>
      <w:r>
        <w:rPr>
          <w:rtl/>
        </w:rPr>
        <w:t xml:space="preserve"> </w:t>
      </w:r>
      <w:r>
        <w:rPr>
          <w:rFonts w:hint="cs"/>
          <w:rtl/>
        </w:rPr>
        <w:t>דכתב בשם</w:t>
      </w:r>
      <w:r w:rsidRPr="000663BE">
        <w:rPr>
          <w:b/>
          <w:bCs/>
          <w:rtl/>
        </w:rPr>
        <w:t xml:space="preserve"> </w:t>
      </w:r>
      <w:r>
        <w:rPr>
          <w:rFonts w:hint="cs"/>
          <w:b/>
          <w:bCs/>
          <w:rtl/>
        </w:rPr>
        <w:t>היראים</w:t>
      </w:r>
      <w:r>
        <w:rPr>
          <w:rtl/>
        </w:rPr>
        <w:t xml:space="preserve"> </w:t>
      </w:r>
      <w:r>
        <w:rPr>
          <w:rFonts w:hint="cs"/>
          <w:rtl/>
        </w:rPr>
        <w:t>בפירוש דלפני פתיחת בית הצואר לא נגמרה המלאכה ובפתיחתו נגמרה המלאכה, ומוכח דחיוב מכה בפטיש הוא אף באופן שלא נגמרה המלאכה כלל, והא בדעת רב ביאר</w:t>
      </w:r>
      <w:r w:rsidRPr="004E6ED4">
        <w:rPr>
          <w:b/>
          <w:bCs/>
          <w:rtl/>
        </w:rPr>
        <w:t xml:space="preserve"> </w:t>
      </w:r>
      <w:r>
        <w:rPr>
          <w:rFonts w:hint="cs"/>
          <w:b/>
          <w:bCs/>
          <w:rtl/>
        </w:rPr>
        <w:t>היראים</w:t>
      </w:r>
      <w:r>
        <w:rPr>
          <w:rtl/>
        </w:rPr>
        <w:t xml:space="preserve"> </w:t>
      </w:r>
      <w:r>
        <w:rPr>
          <w:rFonts w:hint="cs"/>
          <w:rtl/>
        </w:rPr>
        <w:t>דאין חיוב מכה בפטיש במעייל שופתא בקופינא כיון שלא נגמרה המלאכה, והא חיוב פתיחת בית הצואר הוא גם מימרא דרב, וא"כ קשיא דרב אדרב, והניח</w:t>
      </w:r>
      <w:r w:rsidRPr="004E6ED4">
        <w:rPr>
          <w:b/>
          <w:bCs/>
          <w:rtl/>
        </w:rPr>
        <w:t xml:space="preserve"> </w:t>
      </w:r>
      <w:r>
        <w:rPr>
          <w:rFonts w:hint="cs"/>
          <w:b/>
          <w:bCs/>
          <w:rtl/>
        </w:rPr>
        <w:t>הטל אורות</w:t>
      </w:r>
      <w:r>
        <w:rPr>
          <w:rtl/>
        </w:rPr>
        <w:t xml:space="preserve"> </w:t>
      </w:r>
      <w:r>
        <w:rPr>
          <w:rFonts w:hint="cs"/>
          <w:rtl/>
        </w:rPr>
        <w:t>בצ"ע, ועיי"ש במ"ש דאפש"ל דהוא פלוגתת ב' לישנות בדעת רב, אך מדפסק</w:t>
      </w:r>
      <w:r w:rsidRPr="005053B1">
        <w:rPr>
          <w:b/>
          <w:bCs/>
          <w:rtl/>
        </w:rPr>
        <w:t xml:space="preserve"> </w:t>
      </w:r>
      <w:r>
        <w:rPr>
          <w:rFonts w:hint="cs"/>
          <w:b/>
          <w:bCs/>
          <w:rtl/>
        </w:rPr>
        <w:t>היראים</w:t>
      </w:r>
      <w:r>
        <w:rPr>
          <w:rtl/>
        </w:rPr>
        <w:t xml:space="preserve"> </w:t>
      </w:r>
      <w:r>
        <w:rPr>
          <w:rFonts w:hint="cs"/>
          <w:rtl/>
        </w:rPr>
        <w:t>את ב' הלישנות מוכח דלא פליגי, ועיי"ש במה שתירץ.</w:t>
      </w:r>
    </w:p>
    <w:p w14:paraId="2DE2D8FC" w14:textId="77777777" w:rsidR="00A14FDA" w:rsidRPr="00D87F8B" w:rsidRDefault="00A14FDA" w:rsidP="00A14FDA">
      <w:pPr>
        <w:pStyle w:val="a2"/>
        <w:rPr>
          <w:rtl/>
        </w:rPr>
      </w:pPr>
      <w:r w:rsidRPr="00D87F8B">
        <w:rPr>
          <w:rtl/>
        </w:rPr>
        <w:t xml:space="preserve">ועיין להגהות המרדכי ז"ל בפרק איכא במה טומנין שכתב כן בשם הרא"ם ז"ל וזה לשונו שפותח בית הצואר עדיין לא </w:t>
      </w:r>
      <w:r w:rsidRPr="00D87F8B">
        <w:rPr>
          <w:rFonts w:hint="cs"/>
          <w:rtl/>
        </w:rPr>
        <w:t xml:space="preserve">נגמרה מלאכתו שצריך </w:t>
      </w:r>
      <w:r w:rsidRPr="00D87F8B">
        <w:rPr>
          <w:rtl/>
        </w:rPr>
        <w:t xml:space="preserve">לפתוח </w:t>
      </w:r>
      <w:r w:rsidRPr="00D87F8B">
        <w:rPr>
          <w:rFonts w:hint="cs"/>
          <w:rtl/>
        </w:rPr>
        <w:t>בית הצואר וכשפותח הוא גמר מלאכתו וחייב משום מכה בפטיש עד יעוי"ש הרי שאעפ"י שעדיין לא נגמרה המלאכה אפ"ה כשנגמרה חייב משום מכה בפטיש ואם איתא להאי פירושא דהרא"ם ז"ל דפירש דרב סובר דאין מכה בפטיש אלא לאחר גמר המלאכה א"כ בפותח בית הצואר שהיא ממירא דרב אמאי מתחייב משום מכה בפטיש כיון שעדיין לא נגמרה המלאכה וא"כ לדבריו קשה דרב אדרב, וכעת צ"ע.</w:t>
      </w:r>
    </w:p>
    <w:p w14:paraId="72AAFBE8" w14:textId="77777777" w:rsidR="00A14FDA" w:rsidRPr="00BC7DC8" w:rsidRDefault="00A14FDA" w:rsidP="00A14FDA">
      <w:pPr>
        <w:pStyle w:val="afffffe"/>
        <w:rPr>
          <w:vanish/>
          <w:rtl/>
        </w:rPr>
      </w:pPr>
      <w:r w:rsidRPr="00BC7DC8">
        <w:rPr>
          <w:vanish/>
          <w:rtl/>
        </w:rPr>
        <w:t>הגהות מרדכי שבת פרק במה טומנין רמז תנז</w:t>
      </w:r>
    </w:p>
    <w:p w14:paraId="248EF49C" w14:textId="77777777" w:rsidR="00A14FDA" w:rsidRPr="00806C89" w:rsidRDefault="00A14FDA" w:rsidP="00A14FDA">
      <w:pPr>
        <w:pStyle w:val="afffff5"/>
        <w:rPr>
          <w:rtl/>
        </w:rPr>
      </w:pPr>
      <w:r w:rsidRPr="00806C89">
        <w:rPr>
          <w:rtl/>
        </w:rPr>
        <w:t>ופי' [*רא"ם] (דאם) זה חיבור פי' מגופת חבית הואיל ונגמרה מלאכתו ואפי' אם יתיז ראשה אין בנין בכלים ואין חייב משום מכה בפטיש כי כבר נגמרה מלאכתו ופותח אינו חיבור שעדיין לא נגמרה מלאכתו שצריך לפתוח בית הצואר וכשפותח הוא גומר מלאכתו וחייב משום מכה בפטיש</w:t>
      </w:r>
      <w:r w:rsidRPr="00806C89">
        <w:rPr>
          <w:rFonts w:hint="cs"/>
          <w:rtl/>
        </w:rPr>
        <w:t>.</w:t>
      </w:r>
    </w:p>
    <w:p w14:paraId="1B4ACBEE" w14:textId="77777777" w:rsidR="00A14FDA" w:rsidRDefault="00A14FDA" w:rsidP="00A14FDA">
      <w:pPr>
        <w:pStyle w:val="afffff7"/>
        <w:rPr>
          <w:rtl/>
        </w:rPr>
      </w:pPr>
      <w:bookmarkStart w:id="5257" w:name="_Toc144224685"/>
      <w:bookmarkStart w:id="5258" w:name="_Toc163506233"/>
      <w:r>
        <w:rPr>
          <w:rtl/>
        </w:rPr>
        <w:t xml:space="preserve">ספר יראים סימן רעד </w:t>
      </w:r>
      <w:r w:rsidRPr="008C40E6">
        <w:rPr>
          <w:rtl/>
        </w:rPr>
        <w:t>ד"ה המכבה</w:t>
      </w:r>
      <w:bookmarkEnd w:id="5257"/>
      <w:bookmarkEnd w:id="5258"/>
      <w:r w:rsidRPr="00421A47">
        <w:rPr>
          <w:vanish/>
          <w:rtl/>
        </w:rPr>
        <w:t xml:space="preserve"> (ב)</w:t>
      </w:r>
    </w:p>
    <w:p w14:paraId="1F7E3956" w14:textId="77777777" w:rsidR="00A14FDA" w:rsidRDefault="00A14FDA" w:rsidP="00A14FDA">
      <w:pPr>
        <w:pStyle w:val="a7"/>
        <w:rPr>
          <w:rtl/>
        </w:rPr>
      </w:pPr>
      <w:bookmarkStart w:id="5259" w:name="_Toc144225289"/>
      <w:r>
        <w:rPr>
          <w:rFonts w:hint="cs"/>
          <w:rtl/>
        </w:rPr>
        <w:t>בי' היראים דהמכבה וחס על הפתילה חייב במכב"פ דהוא גומר בזה את מלאכת בנין הפתילה</w:t>
      </w:r>
      <w:bookmarkEnd w:id="5259"/>
    </w:p>
    <w:p w14:paraId="486A63D8" w14:textId="20539681" w:rsidR="00A14FDA" w:rsidRPr="008C40E6" w:rsidRDefault="00A14FDA" w:rsidP="00BC7DC8">
      <w:pPr>
        <w:pStyle w:val="a3"/>
        <w:rPr>
          <w:rStyle w:val="af"/>
          <w:rtl/>
        </w:rPr>
      </w:pPr>
      <w:bookmarkStart w:id="5260" w:name="_Ref144136808"/>
      <w:r>
        <w:rPr>
          <w:rFonts w:hint="cs"/>
          <w:rtl/>
        </w:rPr>
        <w:t xml:space="preserve">עוד כתב </w:t>
      </w:r>
      <w:r w:rsidRPr="00255628">
        <w:rPr>
          <w:rStyle w:val="aff4"/>
          <w:rFonts w:hint="cs"/>
          <w:vanish/>
          <w:rtl/>
        </w:rPr>
        <w:t>-</w:t>
      </w:r>
      <w:r w:rsidRPr="00255628">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Ref144136808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נא)</w:t>
      </w:r>
      <w:r>
        <w:rPr>
          <w:rStyle w:val="aff4"/>
          <w:vanish/>
          <w:rtl/>
        </w:rPr>
        <w:fldChar w:fldCharType="end"/>
      </w:r>
      <w:r>
        <w:rPr>
          <w:rStyle w:val="aff4"/>
          <w:rFonts w:hint="cs"/>
          <w:vanish/>
          <w:rtl/>
        </w:rPr>
        <w:t xml:space="preserve"> &gt;</w:t>
      </w:r>
      <w:r w:rsidRPr="00255628">
        <w:rPr>
          <w:rStyle w:val="aff4"/>
          <w:rFonts w:hint="cs"/>
          <w:rtl/>
        </w:rPr>
        <w:t>יראים</w:t>
      </w:r>
      <w:r w:rsidRPr="00255628">
        <w:rPr>
          <w:rStyle w:val="aff4"/>
          <w:rFonts w:hint="cs"/>
          <w:vanish/>
          <w:rtl/>
        </w:rPr>
        <w:t>-</w:t>
      </w:r>
      <w:r>
        <w:rPr>
          <w:rFonts w:hint="cs"/>
          <w:rtl/>
        </w:rPr>
        <w:t xml:space="preserve"> </w:t>
      </w:r>
      <w:r w:rsidRPr="00C8052D">
        <w:rPr>
          <w:rStyle w:val="af2"/>
          <w:rFonts w:eastAsia="Guttman Hodes" w:hint="cs"/>
          <w:rtl/>
        </w:rPr>
        <w:t>(סי' רע"ד</w:t>
      </w:r>
      <w:r>
        <w:rPr>
          <w:rStyle w:val="af2"/>
          <w:rFonts w:eastAsia="Guttman Hodes" w:hint="cs"/>
          <w:rtl/>
        </w:rPr>
        <w:t xml:space="preserve"> ד"ה המכבה, נד' בקובץ שיטות קמאי שבת ח"א עמ' תקל"ד</w:t>
      </w:r>
      <w:r w:rsidRPr="00C8052D">
        <w:rPr>
          <w:rStyle w:val="af2"/>
          <w:rFonts w:eastAsia="Guttman Hodes" w:hint="cs"/>
          <w:rtl/>
        </w:rPr>
        <w:t>)</w:t>
      </w:r>
      <w:bookmarkEnd w:id="5260"/>
      <w:r w:rsidRPr="00255628">
        <w:rPr>
          <w:rFonts w:hint="cs"/>
          <w:vanish/>
          <w:rtl/>
        </w:rPr>
        <w:t>=</w:t>
      </w:r>
      <w:r>
        <w:rPr>
          <w:rFonts w:hint="cs"/>
          <w:rtl/>
        </w:rPr>
        <w:t xml:space="preserve"> דהמכבה וחס על הפתילה שצריך להבהבה דהוא מתקן מנא וחייב משום מכה בפטיש, כיון שהוא גומר את מלאכת הכלי אחר הבנין שלו ואין בו חיוב בונה כיון דאין בנין בכלים. </w:t>
      </w:r>
      <w:r w:rsidRPr="008C40E6">
        <w:rPr>
          <w:rStyle w:val="af"/>
          <w:rFonts w:hint="cs"/>
          <w:rtl/>
        </w:rPr>
        <w:t>[ומבואר דחיוב מכה בפטיש הוא אף כשלא נגמרה המלאכה</w:t>
      </w:r>
      <w:r w:rsidRPr="005957AC">
        <w:rPr>
          <w:rStyle w:val="af"/>
          <w:rFonts w:hint="cs"/>
          <w:rtl/>
        </w:rPr>
        <w:t>].</w:t>
      </w:r>
    </w:p>
    <w:p w14:paraId="348539E0" w14:textId="77777777" w:rsidR="00A14FDA" w:rsidRPr="00BC7DC8" w:rsidRDefault="00A14FDA" w:rsidP="00A14FDA">
      <w:pPr>
        <w:pStyle w:val="afffffe"/>
        <w:rPr>
          <w:vanish/>
          <w:rtl/>
        </w:rPr>
      </w:pPr>
      <w:r w:rsidRPr="00BC7DC8">
        <w:rPr>
          <w:vanish/>
          <w:rtl/>
        </w:rPr>
        <w:t>ספר יראים סימן רעד ד"ה המכבה</w:t>
      </w:r>
    </w:p>
    <w:p w14:paraId="760A0922" w14:textId="77777777" w:rsidR="00A14FDA" w:rsidRPr="00D87F8B" w:rsidRDefault="00A14FDA" w:rsidP="00A14FDA">
      <w:pPr>
        <w:pStyle w:val="a2"/>
      </w:pPr>
      <w:r w:rsidRPr="00D87F8B">
        <w:rPr>
          <w:rtl/>
        </w:rPr>
        <w:t>ובמכבה בכוונתו לעשות פתילה כחס על הפתילה שצריך להבהבה אמרינן בבמה מדליקין [ל"א ב'] מודה ר"ש משום דמתקן מנא פי' מכה בפטיש גומר מלאכת הכלי לאחר בניינו ולא משום בונה דקיי"ל אין בנין בכלים.</w:t>
      </w:r>
    </w:p>
    <w:p w14:paraId="7A0D577B" w14:textId="77777777" w:rsidR="00A14FDA" w:rsidRDefault="00A14FDA" w:rsidP="00A14FDA">
      <w:pPr>
        <w:pStyle w:val="1"/>
        <w:rPr>
          <w:rtl/>
        </w:rPr>
      </w:pPr>
      <w:bookmarkStart w:id="5261" w:name="_Toc144225290"/>
      <w:r>
        <w:rPr>
          <w:rFonts w:hint="cs"/>
          <w:rtl/>
        </w:rPr>
        <w:t>ד' ר"ח והערוך דמכב"פ בלא מלאכה אחרת והיא מלאכה בפנ"ע</w:t>
      </w:r>
      <w:bookmarkEnd w:id="5261"/>
    </w:p>
    <w:p w14:paraId="6CE20CE1" w14:textId="77777777" w:rsidR="00A14FDA" w:rsidRDefault="00A14FDA" w:rsidP="00A14FDA">
      <w:pPr>
        <w:pStyle w:val="afffff7"/>
        <w:rPr>
          <w:rtl/>
        </w:rPr>
      </w:pPr>
      <w:bookmarkStart w:id="5262" w:name="_Toc144224686"/>
      <w:bookmarkStart w:id="5263" w:name="_Toc163506234"/>
      <w:r w:rsidRPr="00F63F14">
        <w:rPr>
          <w:rtl/>
        </w:rPr>
        <w:t>רבינו חננאל שבת ע"ה ע"ב</w:t>
      </w:r>
      <w:r>
        <w:rPr>
          <w:rFonts w:hint="cs"/>
          <w:rtl/>
        </w:rPr>
        <w:t xml:space="preserve"> ד"ה וכן הצר</w:t>
      </w:r>
      <w:bookmarkEnd w:id="5262"/>
      <w:bookmarkEnd w:id="5263"/>
      <w:r w:rsidRPr="00421A47">
        <w:rPr>
          <w:vanish/>
          <w:rtl/>
        </w:rPr>
        <w:t xml:space="preserve"> (ב)</w:t>
      </w:r>
    </w:p>
    <w:p w14:paraId="3715160A" w14:textId="77777777" w:rsidR="00A14FDA" w:rsidRDefault="00A14FDA" w:rsidP="00A14FDA">
      <w:pPr>
        <w:pStyle w:val="afffff7"/>
        <w:rPr>
          <w:rtl/>
        </w:rPr>
      </w:pPr>
      <w:bookmarkStart w:id="5264" w:name="_Toc144224687"/>
      <w:bookmarkStart w:id="5265" w:name="_Toc163506235"/>
      <w:r>
        <w:rPr>
          <w:rtl/>
        </w:rPr>
        <w:t>הערוך ערך צר ג שבת ע"ה ע"ב</w:t>
      </w:r>
      <w:r>
        <w:rPr>
          <w:rFonts w:hint="cs"/>
          <w:rtl/>
        </w:rPr>
        <w:t xml:space="preserve"> ד"ה אמר ר"ל</w:t>
      </w:r>
      <w:bookmarkEnd w:id="5264"/>
      <w:bookmarkEnd w:id="5265"/>
      <w:r w:rsidRPr="00421A47">
        <w:rPr>
          <w:vanish/>
          <w:rtl/>
        </w:rPr>
        <w:t xml:space="preserve"> (ב)</w:t>
      </w:r>
    </w:p>
    <w:p w14:paraId="3EFB52AD" w14:textId="77777777" w:rsidR="00A14FDA" w:rsidRDefault="00A14FDA" w:rsidP="00A14FDA">
      <w:pPr>
        <w:pStyle w:val="a7"/>
        <w:rPr>
          <w:rtl/>
        </w:rPr>
      </w:pPr>
      <w:bookmarkStart w:id="5266" w:name="_Toc144225291"/>
      <w:r>
        <w:rPr>
          <w:rFonts w:hint="cs"/>
          <w:rtl/>
        </w:rPr>
        <w:t>בי' ר"ח והערוך דהצר צורה חייב במכב"פ אבל ביש בה אותיות חייב בכותב ולא במכב"פ</w:t>
      </w:r>
      <w:bookmarkEnd w:id="5266"/>
    </w:p>
    <w:p w14:paraId="4A9F96E8" w14:textId="1E29C84A" w:rsidR="00A14FDA" w:rsidRPr="00C77C18" w:rsidRDefault="00A14FDA" w:rsidP="00BC7DC8">
      <w:pPr>
        <w:pStyle w:val="a3"/>
        <w:rPr>
          <w:rStyle w:val="af"/>
          <w:rtl/>
        </w:rPr>
      </w:pPr>
      <w:bookmarkStart w:id="5267" w:name="_Ref144117172"/>
      <w:r>
        <w:rPr>
          <w:rFonts w:hint="cs"/>
          <w:rtl/>
        </w:rPr>
        <w:t xml:space="preserve">בהא דאיתא בגמ' לעיל </w:t>
      </w:r>
      <w:r w:rsidRPr="009B7BEB">
        <w:rPr>
          <w:rStyle w:val="af2"/>
          <w:rFonts w:eastAsia="Guttman Hodes" w:hint="cs"/>
          <w:rtl/>
        </w:rPr>
        <w:t>(עה:)</w:t>
      </w:r>
      <w:r>
        <w:rPr>
          <w:rFonts w:hint="cs"/>
          <w:rtl/>
        </w:rPr>
        <w:t xml:space="preserve"> דהצר בכלי צורה חייב משום מכה בפטיש, כתבו</w:t>
      </w:r>
      <w:r>
        <w:rPr>
          <w:rtl/>
        </w:rPr>
        <w:t xml:space="preserve"> </w:t>
      </w:r>
      <w:r w:rsidRPr="00212B5C">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Ref144117172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נב)</w:t>
      </w:r>
      <w:r>
        <w:rPr>
          <w:b/>
          <w:bCs/>
          <w:vanish/>
          <w:rtl/>
        </w:rPr>
        <w:fldChar w:fldCharType="end"/>
      </w:r>
      <w:r w:rsidRPr="00212B5C">
        <w:rPr>
          <w:b/>
          <w:bCs/>
          <w:vanish/>
          <w:rtl/>
        </w:rPr>
        <w:t xml:space="preserve"> &gt;</w:t>
      </w:r>
      <w:r>
        <w:rPr>
          <w:rFonts w:hint="cs"/>
          <w:b/>
          <w:bCs/>
          <w:rtl/>
        </w:rPr>
        <w:t>ר"ח לעיל</w:t>
      </w:r>
      <w:r w:rsidRPr="00212B5C">
        <w:rPr>
          <w:b/>
          <w:bCs/>
          <w:rtl/>
        </w:rPr>
        <w:t xml:space="preserve"> </w:t>
      </w:r>
      <w:r w:rsidRPr="00212B5C">
        <w:rPr>
          <w:rFonts w:ascii="Calibri" w:eastAsia="Times New Roman" w:hAnsi="Calibri" w:cs="Guttman Rashi"/>
          <w:sz w:val="10"/>
          <w:szCs w:val="12"/>
          <w:rtl/>
        </w:rPr>
        <w:t>(</w:t>
      </w:r>
      <w:r>
        <w:rPr>
          <w:rFonts w:ascii="Calibri" w:eastAsia="Times New Roman" w:hAnsi="Calibri" w:cs="Guttman Rashi" w:hint="cs"/>
          <w:sz w:val="10"/>
          <w:szCs w:val="12"/>
          <w:rtl/>
        </w:rPr>
        <w:t>עה: ד"ה וכן הצר</w:t>
      </w:r>
      <w:r w:rsidRPr="00212B5C">
        <w:rPr>
          <w:rFonts w:ascii="Calibri" w:eastAsia="Times New Roman" w:hAnsi="Calibri" w:cs="Guttman Rashi"/>
          <w:sz w:val="10"/>
          <w:szCs w:val="12"/>
          <w:rtl/>
        </w:rPr>
        <w:t>)</w:t>
      </w:r>
      <w:r w:rsidRPr="00212B5C">
        <w:rPr>
          <w:vanish/>
          <w:rtl/>
        </w:rPr>
        <w:t>=</w:t>
      </w:r>
      <w:r>
        <w:rPr>
          <w:rtl/>
        </w:rPr>
        <w:t xml:space="preserve"> </w:t>
      </w:r>
      <w:r>
        <w:rPr>
          <w:rFonts w:hint="cs"/>
          <w:b/>
          <w:bCs/>
          <w:rtl/>
        </w:rPr>
        <w:t>וה</w:t>
      </w:r>
      <w:r w:rsidRPr="00D62FE4">
        <w:rPr>
          <w:b/>
          <w:bCs/>
          <w:vanish/>
          <w:rtl/>
        </w:rPr>
        <w:t>&lt; &gt;</w:t>
      </w:r>
      <w:r>
        <w:rPr>
          <w:rFonts w:hint="cs"/>
          <w:b/>
          <w:bCs/>
          <w:rtl/>
        </w:rPr>
        <w:t>ערוך</w:t>
      </w:r>
      <w:r w:rsidRPr="00D62FE4">
        <w:rPr>
          <w:b/>
          <w:bCs/>
          <w:rtl/>
        </w:rPr>
        <w:t xml:space="preserve"> </w:t>
      </w:r>
      <w:r w:rsidRPr="00D62FE4">
        <w:rPr>
          <w:rFonts w:ascii="Calibri" w:eastAsia="Times New Roman" w:hAnsi="Calibri" w:cs="Guttman Rashi"/>
          <w:sz w:val="10"/>
          <w:szCs w:val="12"/>
          <w:rtl/>
        </w:rPr>
        <w:t>(</w:t>
      </w:r>
      <w:r>
        <w:rPr>
          <w:rFonts w:ascii="Calibri" w:eastAsia="Times New Roman" w:hAnsi="Calibri" w:cs="Guttman Rashi" w:hint="cs"/>
          <w:sz w:val="10"/>
          <w:szCs w:val="12"/>
          <w:rtl/>
        </w:rPr>
        <w:t>ערך צר ג, נד' בסוף גמ' עוז והדר עה: אמר ר"ל</w:t>
      </w:r>
      <w:r w:rsidRPr="00D62FE4">
        <w:rPr>
          <w:rFonts w:ascii="Calibri" w:eastAsia="Times New Roman" w:hAnsi="Calibri" w:cs="Guttman Rashi"/>
          <w:sz w:val="10"/>
          <w:szCs w:val="12"/>
          <w:rtl/>
        </w:rPr>
        <w:t>)</w:t>
      </w:r>
      <w:r w:rsidRPr="00D62FE4">
        <w:rPr>
          <w:vanish/>
          <w:rtl/>
        </w:rPr>
        <w:t>=</w:t>
      </w:r>
      <w:r>
        <w:rPr>
          <w:rtl/>
        </w:rPr>
        <w:t xml:space="preserve"> </w:t>
      </w:r>
      <w:r>
        <w:rPr>
          <w:rFonts w:hint="cs"/>
          <w:rtl/>
        </w:rPr>
        <w:t>דהיינו דוקא באופן שאין אותיות בצורה, אבל אם יש בה אותיות חייב משום כותב,</w:t>
      </w:r>
      <w:r>
        <w:rPr>
          <w:rtl/>
        </w:rPr>
        <w:t xml:space="preserve"> </w:t>
      </w:r>
      <w:r>
        <w:rPr>
          <w:rFonts w:hint="cs"/>
          <w:rtl/>
        </w:rPr>
        <w:t xml:space="preserve">ומבואר דס"ל דחיוב מכה בפטיש הוא רק </w:t>
      </w:r>
      <w:r>
        <w:rPr>
          <w:rFonts w:hint="cs"/>
          <w:rtl/>
        </w:rPr>
        <w:lastRenderedPageBreak/>
        <w:t xml:space="preserve">באופן שאין בזה חיוב של מלאכה אחרת. </w:t>
      </w:r>
      <w:r w:rsidRPr="00C77C18">
        <w:rPr>
          <w:rStyle w:val="af"/>
          <w:rFonts w:hint="cs"/>
          <w:rtl/>
        </w:rPr>
        <w:t xml:space="preserve">[עי' בדברי </w:t>
      </w:r>
      <w:r w:rsidRPr="00C77C18">
        <w:rPr>
          <w:rStyle w:val="aff9"/>
          <w:rFonts w:hint="cs"/>
          <w:vanish/>
          <w:rtl/>
        </w:rPr>
        <w:t>-</w:t>
      </w:r>
      <w:r w:rsidRPr="00C77C18">
        <w:rPr>
          <w:rStyle w:val="aff9"/>
          <w:rFonts w:hint="cs"/>
          <w:rtl/>
        </w:rPr>
        <w:t>המאירי</w:t>
      </w:r>
      <w:r w:rsidRPr="00C77C18">
        <w:rPr>
          <w:rStyle w:val="aff9"/>
          <w:rFonts w:hint="cs"/>
          <w:vanish/>
          <w:rtl/>
        </w:rPr>
        <w:t>-</w:t>
      </w:r>
      <w:r>
        <w:rPr>
          <w:rStyle w:val="aff9"/>
          <w:rFonts w:hint="cs"/>
          <w:rtl/>
        </w:rPr>
        <w:t xml:space="preserve"> </w:t>
      </w:r>
      <w:r w:rsidRPr="00C8052D">
        <w:rPr>
          <w:rStyle w:val="af2"/>
          <w:rFonts w:eastAsia="Guttman Hodes" w:hint="cs"/>
          <w:rtl/>
        </w:rPr>
        <w:t>(</w:t>
      </w:r>
      <w:r w:rsidRPr="007F12C1">
        <w:rPr>
          <w:rStyle w:val="aff0"/>
          <w:rFonts w:hint="cs"/>
          <w:rtl/>
        </w:rPr>
        <w:t xml:space="preserve">עי' אות </w:t>
      </w:r>
      <w:r w:rsidRPr="007F12C1">
        <w:rPr>
          <w:rStyle w:val="aff0"/>
          <w:rtl/>
        </w:rPr>
        <w:fldChar w:fldCharType="begin"/>
      </w:r>
      <w:r w:rsidRPr="007F12C1">
        <w:rPr>
          <w:rStyle w:val="aff0"/>
          <w:rtl/>
        </w:rPr>
        <w:instrText xml:space="preserve"> </w:instrText>
      </w:r>
      <w:r w:rsidRPr="007F12C1">
        <w:rPr>
          <w:rStyle w:val="aff0"/>
          <w:rFonts w:hint="cs"/>
        </w:rPr>
        <w:instrText>REF</w:instrText>
      </w:r>
      <w:r w:rsidRPr="007F12C1">
        <w:rPr>
          <w:rStyle w:val="aff0"/>
          <w:rFonts w:hint="cs"/>
          <w:rtl/>
        </w:rPr>
        <w:instrText xml:space="preserve"> _</w:instrText>
      </w:r>
      <w:r w:rsidRPr="007F12C1">
        <w:rPr>
          <w:rStyle w:val="aff0"/>
          <w:rFonts w:hint="cs"/>
        </w:rPr>
        <w:instrText>Ref144151109 \r \h</w:instrText>
      </w:r>
      <w:r w:rsidRPr="007F12C1">
        <w:rPr>
          <w:rStyle w:val="aff0"/>
          <w:rtl/>
        </w:rPr>
        <w:instrText xml:space="preserve"> </w:instrText>
      </w:r>
      <w:r w:rsidRPr="007F12C1">
        <w:rPr>
          <w:rStyle w:val="aff0"/>
          <w:rtl/>
        </w:rPr>
      </w:r>
      <w:r w:rsidRPr="007F12C1">
        <w:rPr>
          <w:rStyle w:val="aff0"/>
          <w:rtl/>
        </w:rPr>
        <w:fldChar w:fldCharType="separate"/>
      </w:r>
      <w:r w:rsidR="00D82181">
        <w:rPr>
          <w:rStyle w:val="aff0"/>
          <w:cs/>
        </w:rPr>
        <w:t>‎</w:t>
      </w:r>
      <w:r w:rsidR="00D82181">
        <w:rPr>
          <w:rStyle w:val="aff0"/>
          <w:rtl/>
        </w:rPr>
        <w:t>לח)</w:t>
      </w:r>
      <w:r w:rsidRPr="007F12C1">
        <w:rPr>
          <w:rStyle w:val="aff0"/>
          <w:rtl/>
        </w:rPr>
        <w:fldChar w:fldCharType="end"/>
      </w:r>
      <w:r w:rsidRPr="007F12C1">
        <w:rPr>
          <w:rStyle w:val="aff0"/>
          <w:rFonts w:hint="cs"/>
          <w:rtl/>
        </w:rPr>
        <w:t xml:space="preserve"> </w:t>
      </w:r>
      <w:r w:rsidRPr="00C77C18">
        <w:rPr>
          <w:rStyle w:val="aff9"/>
          <w:rFonts w:hint="cs"/>
          <w:vanish/>
          <w:rtl/>
        </w:rPr>
        <w:t>-</w:t>
      </w:r>
      <w:r w:rsidRPr="00C77C18">
        <w:rPr>
          <w:rStyle w:val="aff9"/>
          <w:rFonts w:hint="cs"/>
          <w:rtl/>
        </w:rPr>
        <w:t>והיראים</w:t>
      </w:r>
      <w:r w:rsidRPr="00C77C18">
        <w:rPr>
          <w:rStyle w:val="aff9"/>
          <w:rFonts w:hint="cs"/>
          <w:vanish/>
          <w:rtl/>
        </w:rPr>
        <w:t>-</w:t>
      </w:r>
      <w:r w:rsidRPr="00C77C18">
        <w:rPr>
          <w:rStyle w:val="af"/>
          <w:rFonts w:hint="cs"/>
          <w:rtl/>
        </w:rPr>
        <w:t xml:space="preserve"> </w:t>
      </w:r>
      <w:r w:rsidRPr="00C77C18">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Ref143857616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מח)</w:t>
      </w:r>
      <w:r>
        <w:rPr>
          <w:rStyle w:val="aff0"/>
          <w:rtl/>
        </w:rPr>
        <w:fldChar w:fldCharType="end"/>
      </w:r>
      <w:r w:rsidRPr="005957AC">
        <w:rPr>
          <w:rStyle w:val="af"/>
          <w:rFonts w:hint="cs"/>
          <w:rtl/>
        </w:rPr>
        <w:t>].</w:t>
      </w:r>
      <w:bookmarkEnd w:id="5267"/>
    </w:p>
    <w:p w14:paraId="676D16E0" w14:textId="77777777" w:rsidR="00A14FDA" w:rsidRPr="00BC7DC8" w:rsidRDefault="00A14FDA" w:rsidP="00A14FDA">
      <w:pPr>
        <w:pStyle w:val="afffffe"/>
        <w:rPr>
          <w:vanish/>
          <w:rtl/>
        </w:rPr>
      </w:pPr>
      <w:r w:rsidRPr="00BC7DC8">
        <w:rPr>
          <w:vanish/>
          <w:rtl/>
        </w:rPr>
        <w:t>רבינו חננאל שבת ע"ה ע"ב</w:t>
      </w:r>
      <w:r w:rsidRPr="00BC7DC8">
        <w:rPr>
          <w:rFonts w:hint="cs"/>
          <w:vanish/>
          <w:rtl/>
        </w:rPr>
        <w:t xml:space="preserve"> ד"ה וכן הצר</w:t>
      </w:r>
    </w:p>
    <w:p w14:paraId="5F136BFC" w14:textId="77777777" w:rsidR="00A14FDA" w:rsidRPr="00D87F8B" w:rsidRDefault="00A14FDA" w:rsidP="00A14FDA">
      <w:pPr>
        <w:pStyle w:val="a2"/>
      </w:pPr>
      <w:r w:rsidRPr="00D87F8B">
        <w:rPr>
          <w:rtl/>
        </w:rPr>
        <w:t>וכן הצר בכלי צורה כל שהוא חייב משום מכה בפטיש. ואף על גב דפליג ר' ישמעאל (לקמן קג ב) ואמר עד שיצור כל הצורה יחידאה היא ואי ההיא צורה אית בה אותיות דמיקרו חייב משום כותב ואי לאו חייב משום מכה בפטיש</w:t>
      </w:r>
      <w:r w:rsidRPr="00D87F8B">
        <w:rPr>
          <w:rFonts w:hint="cs"/>
          <w:rtl/>
        </w:rPr>
        <w:t>.</w:t>
      </w:r>
    </w:p>
    <w:p w14:paraId="07228FDF" w14:textId="77777777" w:rsidR="00A14FDA" w:rsidRPr="00BC7DC8" w:rsidRDefault="00A14FDA" w:rsidP="00A14FDA">
      <w:pPr>
        <w:pStyle w:val="afffffe"/>
        <w:rPr>
          <w:vanish/>
          <w:rtl/>
        </w:rPr>
      </w:pPr>
      <w:r w:rsidRPr="00BC7DC8">
        <w:rPr>
          <w:vanish/>
          <w:rtl/>
        </w:rPr>
        <w:t>הערוך ערך צר ג שבת ע"ה ע"ב</w:t>
      </w:r>
      <w:r w:rsidRPr="00BC7DC8">
        <w:rPr>
          <w:rFonts w:hint="cs"/>
          <w:vanish/>
          <w:rtl/>
        </w:rPr>
        <w:t xml:space="preserve"> ד"ה אמר ר"ל</w:t>
      </w:r>
    </w:p>
    <w:p w14:paraId="53F61203" w14:textId="77777777" w:rsidR="00A14FDA" w:rsidRPr="00806C89" w:rsidRDefault="00A14FDA" w:rsidP="00A14FDA">
      <w:pPr>
        <w:pStyle w:val="afffff5"/>
        <w:rPr>
          <w:rtl/>
        </w:rPr>
      </w:pPr>
      <w:r w:rsidRPr="00806C89">
        <w:rPr>
          <w:rFonts w:hint="cs"/>
          <w:rtl/>
        </w:rPr>
        <w:t>א</w:t>
      </w:r>
      <w:r w:rsidRPr="00806C89">
        <w:rPr>
          <w:rtl/>
        </w:rPr>
        <w:t>מר ריש לקיש הצר בכלי צורה חייב משום מכה בפטיש - פי' אף על גב דפליג ר' שמעון בגמ' דפ' הבונה (לקמן ק"ג ע"ב) דתניא הצר בכלי צורה כל שהוא ר' שמעון אומר עד שיצור את כולו, כלומר עד שיצור את כל הצורה - יחידאה היא, ואי ההיא צורה אית בה אותיות דמקרו - חייב משום כותב ואי לא - חייב משום מכה בפטיש.</w:t>
      </w:r>
    </w:p>
    <w:p w14:paraId="221DD92E" w14:textId="77777777" w:rsidR="00A14FDA" w:rsidRDefault="00A14FDA" w:rsidP="00A14FDA">
      <w:pPr>
        <w:pStyle w:val="afffff7"/>
        <w:rPr>
          <w:rtl/>
        </w:rPr>
      </w:pPr>
      <w:bookmarkStart w:id="5268" w:name="_Toc144224688"/>
      <w:bookmarkStart w:id="5269" w:name="_Toc163506236"/>
      <w:r>
        <w:rPr>
          <w:rtl/>
        </w:rPr>
        <w:t>הערוך ערך פח א</w:t>
      </w:r>
      <w:r w:rsidRPr="00BD246D">
        <w:rPr>
          <w:rtl/>
        </w:rPr>
        <w:t xml:space="preserve"> </w:t>
      </w:r>
      <w:r>
        <w:rPr>
          <w:rtl/>
        </w:rPr>
        <w:t>שבת ע"ה ע"ב</w:t>
      </w:r>
      <w:r>
        <w:rPr>
          <w:rFonts w:hint="cs"/>
          <w:rtl/>
        </w:rPr>
        <w:t xml:space="preserve"> ד"ה המנפח</w:t>
      </w:r>
      <w:bookmarkEnd w:id="5268"/>
      <w:bookmarkEnd w:id="5269"/>
      <w:r w:rsidRPr="00421A47">
        <w:rPr>
          <w:vanish/>
          <w:rtl/>
        </w:rPr>
        <w:t xml:space="preserve"> (ב)</w:t>
      </w:r>
    </w:p>
    <w:p w14:paraId="6E217640" w14:textId="77777777" w:rsidR="00A14FDA" w:rsidRDefault="00A14FDA" w:rsidP="00A14FDA">
      <w:pPr>
        <w:pStyle w:val="afffff7"/>
        <w:rPr>
          <w:rtl/>
        </w:rPr>
      </w:pPr>
      <w:bookmarkStart w:id="5270" w:name="_Toc144224689"/>
      <w:bookmarkStart w:id="5271" w:name="_Toc163506237"/>
      <w:r>
        <w:rPr>
          <w:rtl/>
        </w:rPr>
        <w:t xml:space="preserve">הערוך </w:t>
      </w:r>
      <w:r w:rsidRPr="00BD246D">
        <w:rPr>
          <w:rtl/>
        </w:rPr>
        <w:t>ערך אקופי</w:t>
      </w:r>
      <w:r>
        <w:rPr>
          <w:rFonts w:hint="cs"/>
          <w:rtl/>
        </w:rPr>
        <w:t>,</w:t>
      </w:r>
      <w:r w:rsidRPr="00BD246D">
        <w:rPr>
          <w:rtl/>
        </w:rPr>
        <w:t xml:space="preserve"> </w:t>
      </w:r>
      <w:r>
        <w:rPr>
          <w:rtl/>
        </w:rPr>
        <w:t>שבת ע"ה ע"ב</w:t>
      </w:r>
      <w:r>
        <w:rPr>
          <w:rFonts w:hint="cs"/>
          <w:rtl/>
        </w:rPr>
        <w:t xml:space="preserve"> ד"ה האי</w:t>
      </w:r>
      <w:bookmarkEnd w:id="5270"/>
      <w:bookmarkEnd w:id="5271"/>
      <w:r w:rsidRPr="00421A47">
        <w:rPr>
          <w:vanish/>
          <w:rtl/>
        </w:rPr>
        <w:t xml:space="preserve"> (ב)</w:t>
      </w:r>
    </w:p>
    <w:p w14:paraId="14C26C77" w14:textId="77777777" w:rsidR="00A14FDA" w:rsidRDefault="00A14FDA" w:rsidP="00A14FDA">
      <w:pPr>
        <w:pStyle w:val="a7"/>
        <w:rPr>
          <w:rtl/>
        </w:rPr>
      </w:pPr>
      <w:bookmarkStart w:id="5272" w:name="_Toc144225292"/>
      <w:r>
        <w:rPr>
          <w:rFonts w:hint="cs"/>
          <w:rtl/>
        </w:rPr>
        <w:t>בי' הערוך דבכלי זכוכית מכב"פ דדמי לרידוד מתכת בפטיש ורק בגלימי כ' דהוא גמר מלאכה</w:t>
      </w:r>
      <w:bookmarkEnd w:id="5272"/>
    </w:p>
    <w:p w14:paraId="01C7C469" w14:textId="3C4D6CC8" w:rsidR="00A14FDA" w:rsidRPr="00262052" w:rsidRDefault="00A14FDA" w:rsidP="00BC7DC8">
      <w:pPr>
        <w:pStyle w:val="a3"/>
        <w:rPr>
          <w:rStyle w:val="af"/>
        </w:rPr>
      </w:pPr>
      <w:bookmarkStart w:id="5273" w:name="_Ref144117144"/>
      <w:r>
        <w:rPr>
          <w:rFonts w:hint="cs"/>
          <w:rtl/>
        </w:rPr>
        <w:t xml:space="preserve">בהא דאיתא בגמ' לעיל </w:t>
      </w:r>
      <w:r>
        <w:rPr>
          <w:rFonts w:ascii="Calibri" w:eastAsia="Times New Roman" w:hAnsi="Calibri" w:cs="Guttman Rashi" w:hint="cs"/>
          <w:sz w:val="10"/>
          <w:szCs w:val="12"/>
          <w:rtl/>
        </w:rPr>
        <w:t>(עה:)</w:t>
      </w:r>
      <w:r>
        <w:rPr>
          <w:rFonts w:hint="cs"/>
          <w:rtl/>
        </w:rPr>
        <w:t xml:space="preserve"> דהמנפח כלי זכוכית חייב משום מכה בפטיש, ביאר</w:t>
      </w:r>
      <w:r>
        <w:rPr>
          <w:rtl/>
        </w:rPr>
        <w:t xml:space="preserve"> </w:t>
      </w:r>
      <w:r w:rsidRPr="00326C43">
        <w:rPr>
          <w:b/>
          <w:bCs/>
          <w:rtl/>
        </w:rPr>
        <w:t>ה</w:t>
      </w:r>
      <w:r w:rsidRPr="00326C43">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Ref144117144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נג)</w:t>
      </w:r>
      <w:r>
        <w:rPr>
          <w:b/>
          <w:bCs/>
          <w:vanish/>
          <w:rtl/>
        </w:rPr>
        <w:fldChar w:fldCharType="end"/>
      </w:r>
      <w:r w:rsidRPr="00326C43">
        <w:rPr>
          <w:b/>
          <w:bCs/>
          <w:vanish/>
          <w:rtl/>
        </w:rPr>
        <w:t xml:space="preserve"> &gt;</w:t>
      </w:r>
      <w:r>
        <w:rPr>
          <w:rFonts w:hint="cs"/>
          <w:b/>
          <w:bCs/>
          <w:rtl/>
        </w:rPr>
        <w:t>ערוך</w:t>
      </w:r>
      <w:r w:rsidRPr="00326C43">
        <w:rPr>
          <w:b/>
          <w:bCs/>
          <w:rtl/>
        </w:rPr>
        <w:t xml:space="preserve"> </w:t>
      </w:r>
      <w:r w:rsidRPr="00326C43">
        <w:rPr>
          <w:rFonts w:ascii="Calibri" w:eastAsia="Times New Roman" w:hAnsi="Calibri" w:cs="Guttman Rashi"/>
          <w:sz w:val="10"/>
          <w:szCs w:val="12"/>
          <w:rtl/>
        </w:rPr>
        <w:t>(</w:t>
      </w:r>
      <w:r>
        <w:rPr>
          <w:rFonts w:ascii="Calibri" w:eastAsia="Times New Roman" w:hAnsi="Calibri" w:cs="Guttman Rashi" w:hint="cs"/>
          <w:sz w:val="10"/>
          <w:szCs w:val="12"/>
          <w:rtl/>
        </w:rPr>
        <w:t>ערך פח א, נד' בסוף גמ' עוז והדר עה: ד"ה המנפח</w:t>
      </w:r>
      <w:r w:rsidRPr="00326C43">
        <w:rPr>
          <w:rFonts w:ascii="Calibri" w:eastAsia="Times New Roman" w:hAnsi="Calibri" w:cs="Guttman Rashi"/>
          <w:sz w:val="10"/>
          <w:szCs w:val="12"/>
          <w:rtl/>
        </w:rPr>
        <w:t>)</w:t>
      </w:r>
      <w:r w:rsidRPr="00326C43">
        <w:rPr>
          <w:vanish/>
          <w:rtl/>
        </w:rPr>
        <w:t>=</w:t>
      </w:r>
      <w:r>
        <w:rPr>
          <w:rtl/>
        </w:rPr>
        <w:t xml:space="preserve"> </w:t>
      </w:r>
      <w:r>
        <w:rPr>
          <w:rFonts w:hint="cs"/>
          <w:rtl/>
        </w:rPr>
        <w:t>דכיון דבפטיש מרדדין את כלי מתכות כדי שיתרחבו, וכן הוא הניפוח בכלי זכוכית לכן אף בזה חייב משום מכה בפטיש,</w:t>
      </w:r>
      <w:r w:rsidRPr="007713CB">
        <w:rPr>
          <w:rFonts w:hint="cs"/>
          <w:rtl/>
        </w:rPr>
        <w:t xml:space="preserve"> </w:t>
      </w:r>
      <w:r>
        <w:rPr>
          <w:rFonts w:hint="cs"/>
          <w:rtl/>
        </w:rPr>
        <w:t xml:space="preserve">ולענין שקיל אקופי מגלימי ביאר </w:t>
      </w:r>
      <w:r w:rsidRPr="00326C43">
        <w:rPr>
          <w:b/>
          <w:bCs/>
          <w:rtl/>
        </w:rPr>
        <w:t>ה</w:t>
      </w:r>
      <w:r w:rsidRPr="00326C43">
        <w:rPr>
          <w:b/>
          <w:bCs/>
          <w:vanish/>
          <w:rtl/>
        </w:rPr>
        <w:t xml:space="preserve"> </w:t>
      </w:r>
      <w:r>
        <w:rPr>
          <w:rFonts w:hint="cs"/>
          <w:b/>
          <w:bCs/>
          <w:vanish/>
          <w:rtl/>
        </w:rPr>
        <w:t>&lt; &gt;</w:t>
      </w:r>
      <w:r>
        <w:rPr>
          <w:rFonts w:hint="cs"/>
          <w:b/>
          <w:bCs/>
          <w:rtl/>
        </w:rPr>
        <w:t>ערוך</w:t>
      </w:r>
      <w:r w:rsidRPr="007713CB">
        <w:rPr>
          <w:rFonts w:ascii="Calibri" w:eastAsia="Times New Roman" w:hAnsi="Calibri" w:cs="Guttman Rashi" w:hint="cs"/>
          <w:sz w:val="10"/>
          <w:szCs w:val="12"/>
          <w:rtl/>
        </w:rPr>
        <w:t xml:space="preserve"> </w:t>
      </w:r>
      <w:r>
        <w:rPr>
          <w:rFonts w:ascii="Calibri" w:eastAsia="Times New Roman" w:hAnsi="Calibri" w:cs="Guttman Rashi" w:hint="cs"/>
          <w:sz w:val="10"/>
          <w:szCs w:val="12"/>
          <w:rtl/>
        </w:rPr>
        <w:t>(ערך אקופי, נד' בסוף גמ' עוז והדר עה:ד"ה האי)</w:t>
      </w:r>
      <w:r>
        <w:rPr>
          <w:vanish/>
          <w:rtl/>
        </w:rPr>
        <w:t>=</w:t>
      </w:r>
      <w:r>
        <w:rPr>
          <w:rFonts w:hint="cs"/>
          <w:rtl/>
        </w:rPr>
        <w:t xml:space="preserve"> דכל דבר שהוא גמר מלאכה חייב עליו משום מכה בפטיש. </w:t>
      </w:r>
      <w:r w:rsidRPr="00262052">
        <w:rPr>
          <w:rStyle w:val="af"/>
          <w:rFonts w:hint="cs"/>
          <w:rtl/>
        </w:rPr>
        <w:t xml:space="preserve">[ומשמע דלענין כלי זכוכית לא ס"ל </w:t>
      </w:r>
      <w:r w:rsidRPr="00262052">
        <w:rPr>
          <w:rStyle w:val="aff9"/>
          <w:rFonts w:hint="cs"/>
          <w:vanish/>
          <w:rtl/>
        </w:rPr>
        <w:t>-</w:t>
      </w:r>
      <w:r>
        <w:rPr>
          <w:rStyle w:val="aff9"/>
          <w:rFonts w:hint="cs"/>
          <w:rtl/>
        </w:rPr>
        <w:t>ל</w:t>
      </w:r>
      <w:r w:rsidRPr="00262052">
        <w:rPr>
          <w:rStyle w:val="aff9"/>
          <w:rFonts w:hint="cs"/>
          <w:rtl/>
        </w:rPr>
        <w:t>ערוך</w:t>
      </w:r>
      <w:r w:rsidRPr="00262052">
        <w:rPr>
          <w:rStyle w:val="aff9"/>
          <w:rFonts w:hint="cs"/>
          <w:vanish/>
          <w:rtl/>
        </w:rPr>
        <w:t>-</w:t>
      </w:r>
      <w:r w:rsidRPr="00262052">
        <w:rPr>
          <w:rStyle w:val="af"/>
          <w:rFonts w:hint="cs"/>
          <w:rtl/>
        </w:rPr>
        <w:t xml:space="preserve"> כביאור </w:t>
      </w:r>
      <w:r w:rsidRPr="00262052">
        <w:rPr>
          <w:rStyle w:val="aff9"/>
          <w:rFonts w:hint="cs"/>
          <w:vanish/>
          <w:rtl/>
        </w:rPr>
        <w:t>-</w:t>
      </w:r>
      <w:r w:rsidRPr="00262052">
        <w:rPr>
          <w:rStyle w:val="aff9"/>
          <w:rFonts w:hint="cs"/>
          <w:rtl/>
        </w:rPr>
        <w:t>שאר הראשונים</w:t>
      </w:r>
      <w:r w:rsidRPr="00262052">
        <w:rPr>
          <w:rStyle w:val="aff9"/>
          <w:rFonts w:hint="cs"/>
          <w:vanish/>
          <w:rtl/>
        </w:rPr>
        <w:t>-</w:t>
      </w:r>
      <w:r w:rsidRPr="00262052">
        <w:rPr>
          <w:rStyle w:val="af"/>
          <w:rFonts w:hint="cs"/>
          <w:rtl/>
        </w:rPr>
        <w:t xml:space="preserve"> דהחיוב בזה הוא משום גמר מלאכה, כדביאר </w:t>
      </w:r>
      <w:r w:rsidRPr="00262052">
        <w:rPr>
          <w:rStyle w:val="aff9"/>
          <w:rFonts w:hint="cs"/>
          <w:vanish/>
          <w:rtl/>
        </w:rPr>
        <w:t>-</w:t>
      </w:r>
      <w:r w:rsidRPr="00262052">
        <w:rPr>
          <w:rStyle w:val="aff9"/>
          <w:rFonts w:hint="cs"/>
          <w:rtl/>
        </w:rPr>
        <w:t>הערוך</w:t>
      </w:r>
      <w:r w:rsidRPr="00262052">
        <w:rPr>
          <w:rStyle w:val="aff9"/>
          <w:rFonts w:hint="cs"/>
          <w:vanish/>
          <w:rtl/>
        </w:rPr>
        <w:t>-</w:t>
      </w:r>
      <w:r w:rsidRPr="00262052">
        <w:rPr>
          <w:rStyle w:val="af"/>
          <w:rFonts w:hint="cs"/>
          <w:rtl/>
        </w:rPr>
        <w:t xml:space="preserve"> לענין אקופי מגלימי, אלא דניפוח כלי זכוכית דמי למלאכת מכה בפטיש עצמו, וא"כ מבואר מדברי </w:t>
      </w:r>
      <w:r w:rsidRPr="00262052">
        <w:rPr>
          <w:rStyle w:val="aff9"/>
          <w:rFonts w:hint="cs"/>
          <w:vanish/>
          <w:rtl/>
        </w:rPr>
        <w:t>-</w:t>
      </w:r>
      <w:r w:rsidRPr="00262052">
        <w:rPr>
          <w:rStyle w:val="aff9"/>
          <w:rFonts w:hint="cs"/>
          <w:rtl/>
        </w:rPr>
        <w:t>הערוך</w:t>
      </w:r>
      <w:r w:rsidRPr="00262052">
        <w:rPr>
          <w:rStyle w:val="aff9"/>
          <w:rFonts w:hint="cs"/>
          <w:vanish/>
          <w:rtl/>
        </w:rPr>
        <w:t>-</w:t>
      </w:r>
      <w:r w:rsidRPr="00262052">
        <w:rPr>
          <w:rStyle w:val="af"/>
          <w:rFonts w:hint="cs"/>
          <w:rtl/>
        </w:rPr>
        <w:t xml:space="preserve"> דהכאת הפטיש עצמה היא מלאכה, וגמר מלאכה חייב עליו משום מכה בפטיש</w:t>
      </w:r>
      <w:r w:rsidRPr="005957AC">
        <w:rPr>
          <w:rStyle w:val="af"/>
          <w:rFonts w:hint="cs"/>
          <w:rtl/>
        </w:rPr>
        <w:t>].</w:t>
      </w:r>
      <w:bookmarkEnd w:id="5273"/>
    </w:p>
    <w:p w14:paraId="67C6A5F1" w14:textId="77777777" w:rsidR="00A14FDA" w:rsidRPr="00BC7DC8" w:rsidRDefault="00A14FDA" w:rsidP="00A14FDA">
      <w:pPr>
        <w:pStyle w:val="afffffe"/>
        <w:rPr>
          <w:vanish/>
          <w:rtl/>
        </w:rPr>
      </w:pPr>
      <w:r w:rsidRPr="00BC7DC8">
        <w:rPr>
          <w:vanish/>
          <w:rtl/>
        </w:rPr>
        <w:t>הערוך ערך פח א</w:t>
      </w:r>
      <w:r w:rsidRPr="00BC7DC8">
        <w:rPr>
          <w:rFonts w:hint="cs"/>
          <w:vanish/>
          <w:rtl/>
        </w:rPr>
        <w:t>,</w:t>
      </w:r>
      <w:r w:rsidRPr="00BC7DC8">
        <w:rPr>
          <w:vanish/>
          <w:rtl/>
        </w:rPr>
        <w:t xml:space="preserve"> שבת ע"ה ע"ב</w:t>
      </w:r>
      <w:r w:rsidRPr="00BC7DC8">
        <w:rPr>
          <w:rFonts w:hint="cs"/>
          <w:vanish/>
          <w:rtl/>
        </w:rPr>
        <w:t xml:space="preserve"> ד"ה המנפח</w:t>
      </w:r>
    </w:p>
    <w:p w14:paraId="4AD8F86D" w14:textId="77777777" w:rsidR="00A14FDA" w:rsidRPr="00D87F8B" w:rsidRDefault="00A14FDA" w:rsidP="00A14FDA">
      <w:pPr>
        <w:pStyle w:val="a2"/>
      </w:pPr>
      <w:r w:rsidRPr="00D87F8B">
        <w:rPr>
          <w:rtl/>
        </w:rPr>
        <w:t xml:space="preserve">המנפח בכל זכוכית - חייב משום מכה בפטיש - פי' למה חייב משום מכה בפטיש דבפטיש מרדדין כלי מתכות כדי שירווח, וניפוח בכלי זכוכית כן הוא. </w:t>
      </w:r>
    </w:p>
    <w:p w14:paraId="00BF5155" w14:textId="77777777" w:rsidR="00A14FDA" w:rsidRPr="00BC7DC8" w:rsidRDefault="00A14FDA" w:rsidP="00A14FDA">
      <w:pPr>
        <w:pStyle w:val="afffffe"/>
        <w:rPr>
          <w:vanish/>
          <w:rtl/>
        </w:rPr>
      </w:pPr>
      <w:r w:rsidRPr="00BC7DC8">
        <w:rPr>
          <w:vanish/>
          <w:rtl/>
        </w:rPr>
        <w:t>הערוך  ערך אקופי שבת ע"ה ע"ב</w:t>
      </w:r>
      <w:r w:rsidRPr="00BC7DC8">
        <w:rPr>
          <w:rFonts w:hint="cs"/>
          <w:vanish/>
          <w:rtl/>
        </w:rPr>
        <w:t xml:space="preserve"> ד"ה האי</w:t>
      </w:r>
    </w:p>
    <w:p w14:paraId="469FD44A" w14:textId="77777777" w:rsidR="00A14FDA" w:rsidRPr="00806C89" w:rsidRDefault="00A14FDA" w:rsidP="00A14FDA">
      <w:pPr>
        <w:pStyle w:val="afffff5"/>
        <w:rPr>
          <w:rtl/>
        </w:rPr>
      </w:pPr>
      <w:r w:rsidRPr="00806C89">
        <w:rPr>
          <w:rtl/>
        </w:rPr>
        <w:t xml:space="preserve">האי מאן דשקיל אקופיה מגלימיה חייב משם מכה בפטיש - פירוש אקופי כגון נימין הניתקין מן האריגה ונתלין בבגד או כחתיכת עצים קטנים הנסבכים בצמרן של בגדים חדשים וכשמשלים האומן מלאכתו כל ראשי נימין התלויין בו וכל קיסם וקליפה שנסתבכו בבד נוטלן, ונקראין אקופי ומנקה הבגד ודומה למנקב [למקנב] דתנינן בכמה מקומות, ואם נשארו כגון אלו בבגד ובעל הבגד קפיד עלייהו ושקיל להו בשבת - חייב משום מכה בפטיש, פירוש כל דבר שהוא גמר מלאכה נקרא מכה בפטיש. </w:t>
      </w:r>
    </w:p>
    <w:p w14:paraId="7C9FED60" w14:textId="77777777" w:rsidR="00A14FDA" w:rsidRPr="0003423F" w:rsidRDefault="00A14FDA" w:rsidP="00A14FDA">
      <w:pPr>
        <w:pStyle w:val="1"/>
      </w:pPr>
      <w:bookmarkStart w:id="5274" w:name="_Toc144225293"/>
      <w:r>
        <w:rPr>
          <w:rFonts w:hint="cs"/>
          <w:rtl/>
        </w:rPr>
        <w:t>בבי' רש"י דבנגמרת מאיליה אין חיוב מכה בפטיש</w:t>
      </w:r>
      <w:bookmarkEnd w:id="5274"/>
    </w:p>
    <w:p w14:paraId="1E628705" w14:textId="77777777" w:rsidR="00A14FDA" w:rsidRDefault="00A14FDA" w:rsidP="00A14FDA">
      <w:pPr>
        <w:pStyle w:val="afffff7"/>
        <w:rPr>
          <w:rtl/>
        </w:rPr>
      </w:pPr>
      <w:bookmarkStart w:id="5275" w:name="_Toc144224690"/>
      <w:bookmarkStart w:id="5276" w:name="_Toc163506238"/>
      <w:r>
        <w:rPr>
          <w:rtl/>
        </w:rPr>
        <w:t xml:space="preserve">מנחת חינוך מוסך השבת </w:t>
      </w:r>
      <w:r>
        <w:rPr>
          <w:rFonts w:hint="cs"/>
          <w:rtl/>
        </w:rPr>
        <w:t xml:space="preserve">האופה </w:t>
      </w:r>
      <w:r>
        <w:rPr>
          <w:rtl/>
        </w:rPr>
        <w:t xml:space="preserve">אות </w:t>
      </w:r>
      <w:r>
        <w:rPr>
          <w:rFonts w:hint="cs"/>
          <w:rtl/>
        </w:rPr>
        <w:t>ז ד"ה והנה</w:t>
      </w:r>
      <w:bookmarkEnd w:id="5275"/>
      <w:bookmarkEnd w:id="5276"/>
      <w:r w:rsidRPr="00421A47">
        <w:rPr>
          <w:vanish/>
          <w:rtl/>
        </w:rPr>
        <w:t xml:space="preserve"> (ב)</w:t>
      </w:r>
    </w:p>
    <w:p w14:paraId="44E28A21" w14:textId="77777777" w:rsidR="00A14FDA" w:rsidRDefault="00A14FDA" w:rsidP="00A14FDA">
      <w:pPr>
        <w:pStyle w:val="a7"/>
        <w:rPr>
          <w:rtl/>
        </w:rPr>
      </w:pPr>
      <w:bookmarkStart w:id="5277" w:name="_Toc144225294"/>
      <w:bookmarkStart w:id="5278" w:name="_Hlk143983346"/>
      <w:r>
        <w:rPr>
          <w:rFonts w:hint="cs"/>
          <w:rtl/>
        </w:rPr>
        <w:t>בי' המנ"ח ברש"י דמכב"פ במשכן היה כשהגמר בידי אדם ולא מאיליו משא"כ בבישול ואפיה</w:t>
      </w:r>
      <w:bookmarkEnd w:id="5277"/>
    </w:p>
    <w:p w14:paraId="41DA007C" w14:textId="1CF539C5" w:rsidR="00A14FDA" w:rsidRPr="00EF37FE" w:rsidRDefault="00A14FDA" w:rsidP="00BC7DC8">
      <w:pPr>
        <w:pStyle w:val="a3"/>
        <w:rPr>
          <w:rStyle w:val="af"/>
          <w:rtl/>
        </w:rPr>
      </w:pPr>
      <w:bookmarkStart w:id="5279" w:name="_Hlk144053503"/>
      <w:bookmarkStart w:id="5280" w:name="_Ref144025056"/>
      <w:r>
        <w:rPr>
          <w:rFonts w:hint="cs"/>
          <w:rtl/>
        </w:rPr>
        <w:t>במ"ש</w:t>
      </w:r>
      <w:bookmarkStart w:id="5281" w:name="_Hlk144048169"/>
      <w:r>
        <w:rPr>
          <w:rFonts w:hint="cs"/>
          <w:rtl/>
        </w:rPr>
        <w:t xml:space="preserve"> </w:t>
      </w:r>
      <w:r w:rsidRPr="00255628">
        <w:rPr>
          <w:rStyle w:val="aff4"/>
          <w:rFonts w:hint="cs"/>
          <w:vanish/>
          <w:rtl/>
        </w:rPr>
        <w:t>-</w:t>
      </w:r>
      <w:r w:rsidRPr="00255628">
        <w:rPr>
          <w:rStyle w:val="aff4"/>
          <w:rFonts w:hint="cs"/>
          <w:rtl/>
        </w:rPr>
        <w:t>רש"י לעיל</w:t>
      </w:r>
      <w:r w:rsidRPr="00255628">
        <w:rPr>
          <w:rStyle w:val="aff4"/>
          <w:rFonts w:hint="cs"/>
          <w:vanish/>
          <w:rtl/>
        </w:rPr>
        <w:t>-</w:t>
      </w:r>
      <w:r>
        <w:rPr>
          <w:rFonts w:hint="cs"/>
          <w:rtl/>
        </w:rPr>
        <w:t xml:space="preserve"> </w:t>
      </w:r>
      <w:r w:rsidRPr="00C8052D">
        <w:rPr>
          <w:rStyle w:val="af2"/>
          <w:rFonts w:eastAsia="Guttman Hodes" w:hint="cs"/>
          <w:rtl/>
        </w:rPr>
        <w:t>(</w:t>
      </w:r>
      <w:r w:rsidRPr="000148C6">
        <w:rPr>
          <w:rStyle w:val="af2"/>
          <w:rFonts w:eastAsia="Guttman Hodes" w:hint="cs"/>
          <w:rtl/>
        </w:rPr>
        <w:t xml:space="preserve">עי' </w:t>
      </w:r>
      <w:r>
        <w:rPr>
          <w:rStyle w:val="af2"/>
          <w:rFonts w:eastAsia="Guttman Hodes" w:hint="cs"/>
          <w:rtl/>
        </w:rPr>
        <w:t xml:space="preserve">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Ref144199731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יג)</w:t>
      </w:r>
      <w:r>
        <w:rPr>
          <w:rStyle w:val="af2"/>
          <w:rFonts w:eastAsia="Guttman Hodes"/>
          <w:rtl/>
        </w:rPr>
        <w:fldChar w:fldCharType="end"/>
      </w:r>
      <w:r>
        <w:rPr>
          <w:rFonts w:hint="cs"/>
          <w:rtl/>
        </w:rPr>
        <w:t xml:space="preserve"> </w:t>
      </w:r>
      <w:bookmarkEnd w:id="5281"/>
      <w:r>
        <w:rPr>
          <w:rFonts w:hint="cs"/>
          <w:rtl/>
        </w:rPr>
        <w:t xml:space="preserve">דבחביתא שנגמרת מאיליה בתנור אין בזה חיוב מכה בפטיש, </w:t>
      </w:r>
      <w:bookmarkEnd w:id="5279"/>
      <w:r>
        <w:rPr>
          <w:rFonts w:hint="cs"/>
          <w:rtl/>
        </w:rPr>
        <w:t xml:space="preserve">וא"כ בכל מבשל המלאכה נגמרת מאיליה, ביאר </w:t>
      </w:r>
      <w:r w:rsidRPr="00255628">
        <w:rPr>
          <w:rFonts w:hint="cs"/>
          <w:vanish/>
          <w:rtl/>
        </w:rPr>
        <w:t>-</w:t>
      </w:r>
      <w:r w:rsidRPr="00342153">
        <w:rPr>
          <w:rStyle w:val="aff4"/>
          <w:rFonts w:hint="cs"/>
          <w:rtl/>
        </w:rPr>
        <w:t>ה</w:t>
      </w:r>
      <w:r w:rsidRPr="00255628">
        <w:rPr>
          <w:rFonts w:hint="cs"/>
          <w:vanish/>
          <w:rtl/>
        </w:rPr>
        <w:t xml:space="preserve">&lt;, </w:t>
      </w:r>
      <w:r w:rsidRPr="00255628">
        <w:rPr>
          <w:vanish/>
          <w:rtl/>
        </w:rPr>
        <w:fldChar w:fldCharType="begin"/>
      </w:r>
      <w:r w:rsidRPr="00255628">
        <w:rPr>
          <w:vanish/>
          <w:rtl/>
        </w:rPr>
        <w:instrText xml:space="preserve"> </w:instrText>
      </w:r>
      <w:r w:rsidRPr="00255628">
        <w:rPr>
          <w:rFonts w:hint="cs"/>
          <w:vanish/>
        </w:rPr>
        <w:instrText>REF</w:instrText>
      </w:r>
      <w:r w:rsidRPr="00255628">
        <w:rPr>
          <w:rFonts w:hint="cs"/>
          <w:vanish/>
          <w:rtl/>
        </w:rPr>
        <w:instrText xml:space="preserve"> _</w:instrText>
      </w:r>
      <w:r w:rsidRPr="00255628">
        <w:rPr>
          <w:rFonts w:hint="cs"/>
          <w:vanish/>
        </w:rPr>
        <w:instrText>Ref144025056 \r \h</w:instrText>
      </w:r>
      <w:r w:rsidRPr="00255628">
        <w:rPr>
          <w:vanish/>
          <w:rtl/>
        </w:rPr>
        <w:instrText xml:space="preserve"> </w:instrText>
      </w:r>
      <w:r w:rsidRPr="00255628">
        <w:rPr>
          <w:vanish/>
          <w:rtl/>
        </w:rPr>
      </w:r>
      <w:r w:rsidRPr="00255628">
        <w:rPr>
          <w:vanish/>
          <w:rtl/>
        </w:rPr>
        <w:fldChar w:fldCharType="separate"/>
      </w:r>
      <w:r w:rsidR="00D82181">
        <w:rPr>
          <w:vanish/>
          <w:cs/>
        </w:rPr>
        <w:t>‎</w:t>
      </w:r>
      <w:r w:rsidR="00D82181">
        <w:rPr>
          <w:vanish/>
          <w:rtl/>
        </w:rPr>
        <w:t>נד)</w:t>
      </w:r>
      <w:r w:rsidRPr="00255628">
        <w:rPr>
          <w:vanish/>
          <w:rtl/>
        </w:rPr>
        <w:fldChar w:fldCharType="end"/>
      </w:r>
      <w:r w:rsidRPr="00255628">
        <w:rPr>
          <w:rFonts w:hint="cs"/>
          <w:vanish/>
          <w:rtl/>
        </w:rPr>
        <w:t xml:space="preserve"> &gt;</w:t>
      </w:r>
      <w:r w:rsidRPr="00342153">
        <w:rPr>
          <w:rStyle w:val="aff4"/>
          <w:rFonts w:hint="cs"/>
          <w:rtl/>
        </w:rPr>
        <w:t>מנחת חינוך</w:t>
      </w:r>
      <w:r w:rsidRPr="00255628">
        <w:rPr>
          <w:rFonts w:hint="cs"/>
          <w:vanish/>
          <w:rtl/>
        </w:rPr>
        <w:t>-</w:t>
      </w:r>
      <w:r>
        <w:rPr>
          <w:rFonts w:hint="cs"/>
          <w:rtl/>
        </w:rPr>
        <w:t xml:space="preserve"> </w:t>
      </w:r>
      <w:r w:rsidRPr="00C8052D">
        <w:rPr>
          <w:rStyle w:val="af2"/>
          <w:rFonts w:eastAsia="Guttman Hodes" w:hint="cs"/>
          <w:rtl/>
        </w:rPr>
        <w:t>(מוסך השבת האופה אות ז' ד"ה והנה)</w:t>
      </w:r>
      <w:r w:rsidRPr="00255628">
        <w:rPr>
          <w:rFonts w:hint="cs"/>
          <w:vanish/>
          <w:rtl/>
        </w:rPr>
        <w:t>=</w:t>
      </w:r>
      <w:r>
        <w:rPr>
          <w:rFonts w:hint="cs"/>
          <w:rtl/>
        </w:rPr>
        <w:t xml:space="preserve"> דאעפ"י דבבישול ואפיה חייב אף שהמלאכה נגמרת מאיליה, היינו כיון דכך היה דרך בישול במשכן, שהיו מעמידים את הסממנין על האש ומתבשלים מאליהם, אבל במכה בפטיש דהמלאכה במשכן הייתה נגמרת ע"י ההכאה בפטיש בשעת המעשה שלו, א"כ א"א לחייב באופן שהמלאכה נעשית מאיליה, דהא חיוב המלאכות הוא רק כמו שהיה במשכן.</w:t>
      </w:r>
      <w:bookmarkEnd w:id="5280"/>
      <w:r>
        <w:rPr>
          <w:rFonts w:hint="cs"/>
          <w:rtl/>
        </w:rPr>
        <w:t xml:space="preserve"> </w:t>
      </w:r>
      <w:r w:rsidRPr="00EF37FE">
        <w:rPr>
          <w:rStyle w:val="af"/>
          <w:rFonts w:hint="cs"/>
          <w:rtl/>
        </w:rPr>
        <w:t xml:space="preserve">[אבל בשאר מלאכות כתב </w:t>
      </w:r>
      <w:r w:rsidRPr="00EF37FE">
        <w:rPr>
          <w:rStyle w:val="aff9"/>
          <w:rFonts w:hint="cs"/>
          <w:vanish/>
          <w:rtl/>
        </w:rPr>
        <w:t>-</w:t>
      </w:r>
      <w:r w:rsidRPr="00EF37FE">
        <w:rPr>
          <w:rStyle w:val="aff9"/>
          <w:rFonts w:hint="cs"/>
          <w:rtl/>
        </w:rPr>
        <w:t>המנחת חינוך</w:t>
      </w:r>
      <w:r w:rsidRPr="00EF37FE">
        <w:rPr>
          <w:rStyle w:val="aff9"/>
          <w:rFonts w:hint="cs"/>
          <w:vanish/>
          <w:rtl/>
        </w:rPr>
        <w:t>-</w:t>
      </w:r>
      <w:r w:rsidRPr="00EF37FE">
        <w:rPr>
          <w:rStyle w:val="af"/>
          <w:rFonts w:hint="cs"/>
          <w:rtl/>
        </w:rPr>
        <w:t xml:space="preserve"> </w:t>
      </w:r>
      <w:r w:rsidRPr="00EF37FE">
        <w:rPr>
          <w:rStyle w:val="aff0"/>
          <w:rFonts w:hint="cs"/>
          <w:rtl/>
        </w:rPr>
        <w:t xml:space="preserve">(עי' אות </w:t>
      </w:r>
      <w:r w:rsidRPr="00EF37FE">
        <w:rPr>
          <w:rStyle w:val="aff0"/>
          <w:rtl/>
        </w:rPr>
        <w:fldChar w:fldCharType="begin"/>
      </w:r>
      <w:r w:rsidRPr="00EF37FE">
        <w:rPr>
          <w:rStyle w:val="aff0"/>
          <w:rtl/>
        </w:rPr>
        <w:instrText xml:space="preserve"> </w:instrText>
      </w:r>
      <w:r w:rsidRPr="00EF37FE">
        <w:rPr>
          <w:rStyle w:val="aff0"/>
          <w:rFonts w:hint="cs"/>
        </w:rPr>
        <w:instrText>REF</w:instrText>
      </w:r>
      <w:r w:rsidRPr="00EF37FE">
        <w:rPr>
          <w:rStyle w:val="aff0"/>
          <w:rFonts w:hint="cs"/>
          <w:rtl/>
        </w:rPr>
        <w:instrText xml:space="preserve"> _</w:instrText>
      </w:r>
      <w:r w:rsidRPr="00EF37FE">
        <w:rPr>
          <w:rStyle w:val="aff0"/>
          <w:rFonts w:hint="cs"/>
        </w:rPr>
        <w:instrText>Ref144154863 \r \h</w:instrText>
      </w:r>
      <w:r w:rsidRPr="00EF37FE">
        <w:rPr>
          <w:rStyle w:val="aff0"/>
          <w:rtl/>
        </w:rPr>
        <w:instrText xml:space="preserve"> </w:instrText>
      </w:r>
      <w:r w:rsidRPr="00EF37FE">
        <w:rPr>
          <w:rStyle w:val="aff0"/>
          <w:rtl/>
        </w:rPr>
      </w:r>
      <w:r w:rsidRPr="00EF37FE">
        <w:rPr>
          <w:rStyle w:val="aff0"/>
          <w:rtl/>
        </w:rPr>
        <w:fldChar w:fldCharType="separate"/>
      </w:r>
      <w:r w:rsidR="00D82181">
        <w:rPr>
          <w:rStyle w:val="aff0"/>
          <w:cs/>
        </w:rPr>
        <w:t>‎</w:t>
      </w:r>
      <w:r w:rsidR="00D82181">
        <w:rPr>
          <w:rStyle w:val="aff0"/>
          <w:rtl/>
        </w:rPr>
        <w:t>לה)</w:t>
      </w:r>
      <w:r w:rsidRPr="00EF37FE">
        <w:rPr>
          <w:rStyle w:val="aff0"/>
          <w:rtl/>
        </w:rPr>
        <w:fldChar w:fldCharType="end"/>
      </w:r>
      <w:r w:rsidRPr="00EF37FE">
        <w:rPr>
          <w:rStyle w:val="af"/>
          <w:rFonts w:hint="cs"/>
          <w:rtl/>
        </w:rPr>
        <w:t xml:space="preserve"> דחייב שתים, גם משום המלאכה וגם במכה בפטיש].</w:t>
      </w:r>
    </w:p>
    <w:p w14:paraId="63516F7C" w14:textId="77777777" w:rsidR="00A14FDA" w:rsidRPr="00BC7DC8" w:rsidRDefault="00A14FDA" w:rsidP="00A14FDA">
      <w:pPr>
        <w:pStyle w:val="afffffe"/>
        <w:rPr>
          <w:vanish/>
          <w:rtl/>
        </w:rPr>
      </w:pPr>
      <w:r w:rsidRPr="00BC7DC8">
        <w:rPr>
          <w:vanish/>
          <w:rtl/>
        </w:rPr>
        <w:t xml:space="preserve">מנחת חינוך מוסך השבת </w:t>
      </w:r>
      <w:r w:rsidRPr="00BC7DC8">
        <w:rPr>
          <w:rFonts w:hint="cs"/>
          <w:vanish/>
          <w:rtl/>
        </w:rPr>
        <w:t xml:space="preserve">האופה </w:t>
      </w:r>
      <w:r w:rsidRPr="00BC7DC8">
        <w:rPr>
          <w:vanish/>
          <w:rtl/>
        </w:rPr>
        <w:t xml:space="preserve">אות </w:t>
      </w:r>
      <w:r w:rsidRPr="00BC7DC8">
        <w:rPr>
          <w:rFonts w:hint="cs"/>
          <w:vanish/>
          <w:rtl/>
        </w:rPr>
        <w:t>ז ד"ה והנה</w:t>
      </w:r>
    </w:p>
    <w:p w14:paraId="462ECB1A" w14:textId="77777777" w:rsidR="00A14FDA" w:rsidRPr="00D87F8B" w:rsidRDefault="00A14FDA" w:rsidP="00A14FDA">
      <w:pPr>
        <w:pStyle w:val="a2"/>
        <w:rPr>
          <w:rtl/>
        </w:rPr>
      </w:pPr>
      <w:r w:rsidRPr="00D87F8B">
        <w:rPr>
          <w:rtl/>
        </w:rPr>
        <w:t>והנה לכאורה הי' נ"ל דמבשל כל א' עד שנעשו חרס וע"י שמצרפו בכבשן נתחזקו הו"ל גם כן מכה בפטיש דהו"ל גמר מלאכת הכלי אך רש"י כאן ד"ה תנור כ' דגבי חביתא א"ח משום מכה בפטיש דמאליו נגמרה מלאכתו בתנור וסברתו דמכה בפטיש א"ד לאפיה ובישול דאם הניח בתנור או שמעמיד איזה תבשיל שיתבשל אף דבשעת העמדה והנחה א"ח רק על אח"כ שנאפה ונתבשל מעצמה חייב כמבואר דהתירו לרדותה קודם שתאפה מ"מ במכה בפטיש אינו כן ודוקא אם בעשייתו נגמרה המלאכה אבל אם בשעת העשי' עדיין לא נגמרה המלאכה כמו כאן שנתנו בכבשן דבשעת נתינה לכבשן לא נגמרה ואח"כ נגמרה מאליה א"ח והוכיח מד"ז דחביתא דא"ח רק שבע וכו' ומשום מב"פ לא חשיב ע"כ כיון דמאליו נגמר א"ח והסברא לזה לכאורה נראה דמ"ש אך באמת מלאכת שבת ילפינן ממשכן והנה במשכן בישול סממנים הוא כדרך שמעמידין באור להתבשל ונתבשל ממילא כדרך העולם דא"י להתבשל ברגע שמעמיד אצל האור אם כן בשבת ג"כ כן אבל מב"פ דהי' במשכן עלי ידי הכאתו בפטיש נגמר המלאכה ע' פ' הבונה א"כ בשבת ג"כ צ"ל דוקא בעשייתו יהי' דוקא הגמר מלאכה אבל שם אינו תיכף בשעת עשייתו רק נגמרה אח"כ מאליו א"ח וא"ד למלאכת המשכן</w:t>
      </w:r>
      <w:r w:rsidRPr="00D87F8B">
        <w:rPr>
          <w:rFonts w:hint="cs"/>
          <w:rtl/>
        </w:rPr>
        <w:t>.</w:t>
      </w:r>
    </w:p>
    <w:p w14:paraId="0C32833C" w14:textId="77777777" w:rsidR="00A14FDA" w:rsidRDefault="00A14FDA" w:rsidP="00A14FDA">
      <w:pPr>
        <w:pStyle w:val="a7"/>
        <w:rPr>
          <w:rtl/>
        </w:rPr>
      </w:pPr>
      <w:bookmarkStart w:id="5282" w:name="_Toc144225295"/>
      <w:r>
        <w:rPr>
          <w:rFonts w:hint="cs"/>
          <w:rtl/>
        </w:rPr>
        <w:t>בי' המנ"ח דבמבשל שנגמר מאיליו אין חיוב אף משום מכב"פ ובבישול שנגמר במעשה חייב</w:t>
      </w:r>
      <w:bookmarkEnd w:id="5282"/>
    </w:p>
    <w:p w14:paraId="08E13FA9" w14:textId="77777777" w:rsidR="00A14FDA" w:rsidRDefault="00A14FDA" w:rsidP="00BC7DC8">
      <w:pPr>
        <w:pStyle w:val="a3"/>
        <w:rPr>
          <w:sz w:val="12"/>
          <w:szCs w:val="14"/>
          <w:rtl/>
        </w:rPr>
      </w:pPr>
      <w:bookmarkStart w:id="5283" w:name="_Ref144026109"/>
      <w:bookmarkStart w:id="5284" w:name="_Ref144153829"/>
      <w:r>
        <w:rPr>
          <w:rFonts w:hint="cs"/>
          <w:rtl/>
        </w:rPr>
        <w:t xml:space="preserve">וכתב </w:t>
      </w:r>
      <w:r w:rsidRPr="00255628">
        <w:rPr>
          <w:rStyle w:val="aff4"/>
          <w:rFonts w:hint="cs"/>
          <w:vanish/>
          <w:rtl/>
        </w:rPr>
        <w:t>-</w:t>
      </w:r>
      <w:r w:rsidRPr="00255628">
        <w:rPr>
          <w:rStyle w:val="aff4"/>
          <w:rFonts w:hint="cs"/>
          <w:rtl/>
        </w:rPr>
        <w:t>המנחת חינוך</w:t>
      </w:r>
      <w:r w:rsidRPr="00255628">
        <w:rPr>
          <w:rStyle w:val="aff4"/>
          <w:rFonts w:hint="cs"/>
          <w:vanish/>
          <w:rtl/>
        </w:rPr>
        <w:t>-</w:t>
      </w:r>
      <w:r>
        <w:rPr>
          <w:rFonts w:hint="cs"/>
          <w:rtl/>
        </w:rPr>
        <w:t xml:space="preserve"> דכיון דחיוב מכה בפטיש הוא רק באופן דגמר המלאכה נעשה במעשה שלו, א"כ בכל בישול שנגמר מאיליו אין חיוב מכה בפטיש, אבל אם המלאכה נגמרת יחד עם המעשה שלו חייב גם משום מכה בפטיש, וזהו הביאור בדברי </w:t>
      </w:r>
      <w:r w:rsidRPr="00255628">
        <w:rPr>
          <w:rStyle w:val="aff4"/>
          <w:rFonts w:hint="cs"/>
          <w:vanish/>
          <w:rtl/>
        </w:rPr>
        <w:t>-</w:t>
      </w:r>
      <w:r w:rsidRPr="00255628">
        <w:rPr>
          <w:rStyle w:val="aff4"/>
          <w:rFonts w:hint="cs"/>
          <w:rtl/>
        </w:rPr>
        <w:t>הלבוש</w:t>
      </w:r>
      <w:r w:rsidRPr="00255628">
        <w:rPr>
          <w:rStyle w:val="aff4"/>
          <w:rFonts w:hint="cs"/>
          <w:vanish/>
          <w:rtl/>
        </w:rPr>
        <w:t>-</w:t>
      </w:r>
      <w:r>
        <w:rPr>
          <w:rFonts w:hint="cs"/>
          <w:rtl/>
        </w:rPr>
        <w:t xml:space="preserve"> </w:t>
      </w:r>
      <w:r w:rsidRPr="00C8052D">
        <w:rPr>
          <w:rStyle w:val="af2"/>
          <w:rFonts w:eastAsia="Guttman Hodes" w:hint="cs"/>
          <w:rtl/>
        </w:rPr>
        <w:t>(סי' שי"ח ד')</w:t>
      </w:r>
      <w:r>
        <w:rPr>
          <w:rFonts w:hint="cs"/>
          <w:rtl/>
        </w:rPr>
        <w:t xml:space="preserve"> דכתב דהמדיח קולייס האיספנין חייב משום מכה בפטיש.</w:t>
      </w:r>
    </w:p>
    <w:p w14:paraId="4453E5F9" w14:textId="77777777" w:rsidR="00A14FDA" w:rsidRDefault="00A14FDA" w:rsidP="00A14FDA">
      <w:pPr>
        <w:pStyle w:val="a2"/>
      </w:pPr>
      <w:r w:rsidRPr="00D87F8B">
        <w:rPr>
          <w:rtl/>
        </w:rPr>
        <w:t>ובזה ניחא לי דלכאורה במבשל ואופה בנגמר לגמרי ולא כמב"ד לחוד ה"ל להתחייב משום מב"פ גם כן כי גם באוכלין שייך מב"פ כמבואר במקומו בס"ד והלבוש בסי' זה גבי קוליוס האספנין שהדחתן זהו גמר מלאכתן כ' דהחיוב משום מב"פ אך לפ"ד רש"י ניחא דשם בהדחה במעשה שעושה נגמר שייך מב"פ אבל בבישול לא שייך תיכף רק אח"כ כשעומד אצל האור ונגמר מאליו ל"ש מב"פ ובאמת אם יצויר בבישול ואפיה גם כן שיגמור בשעת העשיי' חייב משום מב"פ גם כן רק רוב אפי' ובישול אינו כן ל"ש מב"פ וז"פ. שו"ר בס' יד דוד בשבת שם שמביא בשם ס' הון עשיר כהלבוש ותמה עליו דלא מצינו מכה בפטיש באוכלין וחידוש שלא ראה דברי הלבוש ונ"ל ראי' לד' מר"ם פכ"ג מה' שבת שחשב שבותין דתיקון אוכלין תחת סוג מכה בפטיש ע"ש ובהמ"מ</w:t>
      </w:r>
      <w:r>
        <w:rPr>
          <w:rFonts w:hint="cs"/>
          <w:rtl/>
        </w:rPr>
        <w:t>.</w:t>
      </w:r>
    </w:p>
    <w:p w14:paraId="61AA6868" w14:textId="77777777" w:rsidR="00A14FDA" w:rsidRPr="00D94CDE" w:rsidRDefault="00A14FDA" w:rsidP="00A14FDA">
      <w:pPr>
        <w:pStyle w:val="a7"/>
      </w:pPr>
      <w:bookmarkStart w:id="5285" w:name="_Toc144225296"/>
      <w:r>
        <w:rPr>
          <w:rFonts w:hint="cs"/>
          <w:rtl/>
        </w:rPr>
        <w:t>קו' המנ"ח דבבי' הרא"ש בגמ' בביצה מוכח דאף בדבר שנגמר מאיליו יש חיוב מכב"פ</w:t>
      </w:r>
      <w:bookmarkEnd w:id="5285"/>
    </w:p>
    <w:p w14:paraId="61744DA6" w14:textId="31DB02D3" w:rsidR="00A14FDA" w:rsidRPr="0080506E" w:rsidRDefault="00A14FDA" w:rsidP="00BC7DC8">
      <w:pPr>
        <w:pStyle w:val="a3"/>
        <w:rPr>
          <w:rStyle w:val="af"/>
          <w:rtl/>
        </w:rPr>
      </w:pPr>
      <w:bookmarkStart w:id="5286" w:name="_Ref144220277"/>
      <w:r>
        <w:rPr>
          <w:rFonts w:hint="cs"/>
          <w:rtl/>
        </w:rPr>
        <w:t xml:space="preserve">אך הקשה </w:t>
      </w:r>
      <w:r w:rsidRPr="00255628">
        <w:rPr>
          <w:rStyle w:val="aff4"/>
          <w:rFonts w:hint="cs"/>
          <w:vanish/>
          <w:rtl/>
        </w:rPr>
        <w:t>-</w:t>
      </w:r>
      <w:r w:rsidRPr="00255628">
        <w:rPr>
          <w:rStyle w:val="aff4"/>
          <w:rFonts w:hint="cs"/>
          <w:rtl/>
        </w:rPr>
        <w:t>המנחת חינוך</w:t>
      </w:r>
      <w:r w:rsidRPr="00255628">
        <w:rPr>
          <w:rStyle w:val="aff4"/>
          <w:rFonts w:hint="cs"/>
          <w:vanish/>
          <w:rtl/>
        </w:rPr>
        <w:t>-</w:t>
      </w:r>
      <w:r>
        <w:rPr>
          <w:rFonts w:hint="cs"/>
          <w:rtl/>
        </w:rPr>
        <w:t xml:space="preserve"> דהא איתא בגמ' בביצה </w:t>
      </w:r>
      <w:r w:rsidRPr="00C8052D">
        <w:rPr>
          <w:rStyle w:val="af2"/>
          <w:rFonts w:eastAsia="Guttman Hodes" w:hint="cs"/>
          <w:rtl/>
        </w:rPr>
        <w:t>(לד.)</w:t>
      </w:r>
      <w:r>
        <w:rPr>
          <w:rFonts w:hint="cs"/>
          <w:rtl/>
        </w:rPr>
        <w:t xml:space="preserve"> דהשופת קדירה חדשה חייב משום ליבון רעפים, וביאר כתב </w:t>
      </w:r>
      <w:r w:rsidRPr="00255628">
        <w:rPr>
          <w:rStyle w:val="aff4"/>
          <w:rFonts w:hint="cs"/>
          <w:vanish/>
          <w:rtl/>
        </w:rPr>
        <w:t>-</w:t>
      </w:r>
      <w:r w:rsidRPr="00255628">
        <w:rPr>
          <w:rStyle w:val="aff4"/>
          <w:rFonts w:hint="cs"/>
          <w:rtl/>
        </w:rPr>
        <w:t>הרא"ש בביצה</w:t>
      </w:r>
      <w:r w:rsidRPr="00255628">
        <w:rPr>
          <w:rStyle w:val="aff4"/>
          <w:rFonts w:hint="cs"/>
          <w:vanish/>
          <w:rtl/>
        </w:rPr>
        <w:t>-</w:t>
      </w:r>
      <w:r>
        <w:rPr>
          <w:rFonts w:hint="cs"/>
          <w:rtl/>
        </w:rPr>
        <w:t xml:space="preserve"> </w:t>
      </w:r>
      <w:r w:rsidRPr="00C8052D">
        <w:rPr>
          <w:rStyle w:val="af2"/>
          <w:rFonts w:eastAsia="Guttman Hodes" w:hint="cs"/>
          <w:rtl/>
        </w:rPr>
        <w:t>(פ"ד סי' ט"ו)</w:t>
      </w:r>
      <w:r>
        <w:rPr>
          <w:rFonts w:hint="cs"/>
          <w:rtl/>
        </w:rPr>
        <w:t xml:space="preserve"> דחייב משום חיסום דהוא מכה בפטיש, ומבואר דאף בדבר שנגמר מאיליו יש חיוב מכה בפטיש, והניח </w:t>
      </w:r>
      <w:r w:rsidRPr="00255628">
        <w:rPr>
          <w:rStyle w:val="aff4"/>
          <w:rFonts w:hint="cs"/>
          <w:vanish/>
          <w:rtl/>
        </w:rPr>
        <w:t>-</w:t>
      </w:r>
      <w:r w:rsidRPr="00255628">
        <w:rPr>
          <w:rStyle w:val="aff4"/>
          <w:rFonts w:hint="cs"/>
          <w:rtl/>
        </w:rPr>
        <w:t xml:space="preserve"> המנחת חינוך</w:t>
      </w:r>
      <w:r w:rsidRPr="00255628">
        <w:rPr>
          <w:rStyle w:val="aff4"/>
          <w:rFonts w:hint="cs"/>
          <w:vanish/>
          <w:rtl/>
        </w:rPr>
        <w:t>-</w:t>
      </w:r>
      <w:r>
        <w:rPr>
          <w:rFonts w:hint="cs"/>
          <w:rtl/>
        </w:rPr>
        <w:t xml:space="preserve"> בצ"ע, ועי' במ"ש </w:t>
      </w:r>
      <w:r w:rsidRPr="007569D9">
        <w:rPr>
          <w:b/>
          <w:bCs/>
          <w:rtl/>
        </w:rPr>
        <w:t>ה</w:t>
      </w:r>
      <w:r w:rsidRPr="002A43A7">
        <w:rPr>
          <w:rFonts w:hint="cs"/>
          <w:b/>
          <w:bCs/>
          <w:vanish/>
          <w:rtl/>
        </w:rPr>
        <w:t>&lt; &gt;</w:t>
      </w:r>
      <w:r>
        <w:rPr>
          <w:rFonts w:hint="cs"/>
          <w:b/>
          <w:bCs/>
          <w:rtl/>
        </w:rPr>
        <w:t>קהלות יעקב</w:t>
      </w:r>
      <w:r w:rsidRPr="007569D9">
        <w:rPr>
          <w:b/>
          <w:bCs/>
          <w:rtl/>
        </w:rPr>
        <w:t xml:space="preserve"> </w:t>
      </w:r>
      <w:r>
        <w:rPr>
          <w:rStyle w:val="af2"/>
          <w:rFonts w:eastAsia="Guttman Hodes" w:hint="cs"/>
          <w:rtl/>
        </w:rPr>
        <w:t>(עי' אות</w:t>
      </w:r>
      <w:r w:rsidRPr="00F84158">
        <w:rPr>
          <w:rStyle w:val="af2"/>
          <w:rFonts w:eastAsia="Guttman Hodes" w:hint="cs"/>
          <w:rtl/>
        </w:rPr>
        <w:t xml:space="preserve"> </w:t>
      </w:r>
      <w:r>
        <w:rPr>
          <w:rStyle w:val="af2"/>
          <w:rFonts w:eastAsia="Guttman Hodes"/>
          <w:rtl/>
        </w:rPr>
        <w:fldChar w:fldCharType="begin"/>
      </w:r>
      <w:r>
        <w:rPr>
          <w:rStyle w:val="af2"/>
          <w:rFonts w:eastAsia="Guttman Hodes"/>
          <w:rtl/>
        </w:rPr>
        <w:instrText xml:space="preserve"> </w:instrText>
      </w:r>
      <w:r>
        <w:rPr>
          <w:rStyle w:val="af2"/>
          <w:rFonts w:eastAsia="Guttman Hodes"/>
        </w:rPr>
        <w:instrText>REF</w:instrText>
      </w:r>
      <w:r>
        <w:rPr>
          <w:rStyle w:val="af2"/>
          <w:rFonts w:eastAsia="Guttman Hodes"/>
          <w:rtl/>
        </w:rPr>
        <w:instrText xml:space="preserve"> _</w:instrText>
      </w:r>
      <w:r>
        <w:rPr>
          <w:rStyle w:val="af2"/>
          <w:rFonts w:eastAsia="Guttman Hodes"/>
        </w:rPr>
        <w:instrText>Ref144223945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עג)</w:t>
      </w:r>
      <w:r>
        <w:rPr>
          <w:rStyle w:val="af2"/>
          <w:rFonts w:eastAsia="Guttman Hodes"/>
          <w:rtl/>
        </w:rPr>
        <w:fldChar w:fldCharType="end"/>
      </w:r>
      <w:r w:rsidRPr="009D2D72">
        <w:rPr>
          <w:rFonts w:hint="cs"/>
          <w:vanish/>
          <w:rtl/>
        </w:rPr>
        <w:t>=</w:t>
      </w:r>
      <w:r w:rsidRPr="0016288D">
        <w:rPr>
          <w:rFonts w:hint="cs"/>
          <w:rtl/>
        </w:rPr>
        <w:t xml:space="preserve"> </w:t>
      </w:r>
      <w:r>
        <w:rPr>
          <w:rFonts w:hint="cs"/>
          <w:b/>
          <w:bCs/>
          <w:rtl/>
        </w:rPr>
        <w:t>ו</w:t>
      </w:r>
      <w:r w:rsidRPr="001752D1">
        <w:rPr>
          <w:b/>
          <w:bCs/>
          <w:rtl/>
        </w:rPr>
        <w:t>ה</w:t>
      </w:r>
      <w:r w:rsidRPr="002A43A7">
        <w:rPr>
          <w:rFonts w:hint="cs"/>
          <w:b/>
          <w:bCs/>
          <w:vanish/>
          <w:rtl/>
        </w:rPr>
        <w:t>&lt; &gt;</w:t>
      </w:r>
      <w:r>
        <w:rPr>
          <w:rFonts w:hint="cs"/>
          <w:b/>
          <w:bCs/>
          <w:rtl/>
        </w:rPr>
        <w:t>דברי מרדכי</w:t>
      </w:r>
      <w:r w:rsidRPr="001752D1">
        <w:rPr>
          <w:b/>
          <w:bCs/>
          <w:rtl/>
        </w:rPr>
        <w:t xml:space="preserve"> </w:t>
      </w:r>
      <w:r>
        <w:rPr>
          <w:rStyle w:val="af2"/>
          <w:rFonts w:eastAsia="Guttman Hodes" w:hint="cs"/>
          <w:rtl/>
        </w:rPr>
        <w:t xml:space="preserve">(עי' אות </w:t>
      </w:r>
      <w:r w:rsidRPr="00146318">
        <w:rPr>
          <w:rStyle w:val="af2"/>
          <w:rFonts w:eastAsia="Guttman Hodes"/>
          <w:rtl/>
        </w:rPr>
        <w:fldChar w:fldCharType="begin"/>
      </w:r>
      <w:r w:rsidRPr="00146318">
        <w:rPr>
          <w:rStyle w:val="af2"/>
          <w:rFonts w:eastAsia="Guttman Hodes"/>
          <w:rtl/>
        </w:rPr>
        <w:instrText xml:space="preserve"> </w:instrText>
      </w:r>
      <w:r w:rsidRPr="00146318">
        <w:rPr>
          <w:rStyle w:val="af2"/>
          <w:rFonts w:eastAsia="Guttman Hodes"/>
        </w:rPr>
        <w:instrText>REF</w:instrText>
      </w:r>
      <w:r w:rsidRPr="00146318">
        <w:rPr>
          <w:rStyle w:val="af2"/>
          <w:rFonts w:eastAsia="Guttman Hodes"/>
          <w:rtl/>
        </w:rPr>
        <w:instrText xml:space="preserve"> _</w:instrText>
      </w:r>
      <w:r w:rsidRPr="00146318">
        <w:rPr>
          <w:rStyle w:val="af2"/>
          <w:rFonts w:eastAsia="Guttman Hodes"/>
        </w:rPr>
        <w:instrText>Ref144117374 \r \h</w:instrText>
      </w:r>
      <w:r w:rsidRPr="00146318">
        <w:rPr>
          <w:rStyle w:val="af2"/>
          <w:rFonts w:eastAsia="Guttman Hodes"/>
          <w:rtl/>
        </w:rPr>
        <w:instrText xml:space="preserve"> </w:instrText>
      </w:r>
      <w:r w:rsidRPr="00146318">
        <w:rPr>
          <w:rStyle w:val="af2"/>
          <w:rFonts w:eastAsia="Guttman Hodes"/>
          <w:rtl/>
        </w:rPr>
      </w:r>
      <w:r w:rsidRPr="00146318">
        <w:rPr>
          <w:rStyle w:val="af2"/>
          <w:rFonts w:eastAsia="Guttman Hodes"/>
          <w:rtl/>
        </w:rPr>
        <w:fldChar w:fldCharType="separate"/>
      </w:r>
      <w:r w:rsidR="00D82181">
        <w:rPr>
          <w:rStyle w:val="af2"/>
          <w:rFonts w:eastAsia="Guttman Hodes"/>
          <w:cs/>
        </w:rPr>
        <w:t>‎</w:t>
      </w:r>
      <w:r w:rsidR="00D82181">
        <w:rPr>
          <w:rStyle w:val="af2"/>
          <w:rFonts w:eastAsia="Guttman Hodes"/>
          <w:rtl/>
        </w:rPr>
        <w:t>עה)</w:t>
      </w:r>
      <w:r w:rsidRPr="00146318">
        <w:rPr>
          <w:rStyle w:val="af2"/>
          <w:rFonts w:eastAsia="Guttman Hodes"/>
          <w:rtl/>
        </w:rPr>
        <w:fldChar w:fldCharType="end"/>
      </w:r>
      <w:r w:rsidRPr="009D2D72">
        <w:rPr>
          <w:rFonts w:hint="cs"/>
          <w:vanish/>
          <w:rtl/>
        </w:rPr>
        <w:t>=</w:t>
      </w:r>
      <w:r>
        <w:rPr>
          <w:rFonts w:hint="cs"/>
          <w:rtl/>
        </w:rPr>
        <w:t>.</w:t>
      </w:r>
      <w:bookmarkEnd w:id="5283"/>
      <w:r>
        <w:rPr>
          <w:rFonts w:hint="cs"/>
          <w:rtl/>
        </w:rPr>
        <w:t xml:space="preserve"> </w:t>
      </w:r>
      <w:r w:rsidRPr="0080506E">
        <w:rPr>
          <w:rStyle w:val="af"/>
          <w:rFonts w:hint="cs"/>
          <w:rtl/>
        </w:rPr>
        <w:t xml:space="preserve">[בדין מכה בפטיש באוכלין, עי' במ"ש </w:t>
      </w:r>
      <w:r w:rsidRPr="0080506E">
        <w:rPr>
          <w:rStyle w:val="aff9"/>
          <w:rFonts w:hint="cs"/>
          <w:vanish/>
          <w:rtl/>
        </w:rPr>
        <w:t>-</w:t>
      </w:r>
      <w:r w:rsidRPr="0080506E">
        <w:rPr>
          <w:rStyle w:val="aff9"/>
          <w:rFonts w:hint="cs"/>
          <w:rtl/>
        </w:rPr>
        <w:t>הביאור הלכה</w:t>
      </w:r>
      <w:r w:rsidRPr="0080506E">
        <w:rPr>
          <w:rStyle w:val="aff9"/>
          <w:rFonts w:hint="cs"/>
          <w:vanish/>
          <w:rtl/>
        </w:rPr>
        <w:t>-</w:t>
      </w:r>
      <w:r w:rsidRPr="0080506E">
        <w:rPr>
          <w:rStyle w:val="aff9"/>
          <w:rFonts w:hint="cs"/>
          <w:rtl/>
        </w:rPr>
        <w:t xml:space="preserve"> </w:t>
      </w:r>
      <w:r w:rsidRPr="0080506E">
        <w:rPr>
          <w:rStyle w:val="aff0"/>
          <w:rFonts w:hint="cs"/>
          <w:rtl/>
        </w:rPr>
        <w:t>(סי' שי"ח ד' ד"ה והדחתן)</w:t>
      </w:r>
      <w:r w:rsidRPr="005957AC">
        <w:rPr>
          <w:rStyle w:val="af"/>
          <w:rFonts w:hint="cs"/>
          <w:rtl/>
        </w:rPr>
        <w:t>].</w:t>
      </w:r>
      <w:bookmarkEnd w:id="5284"/>
      <w:bookmarkEnd w:id="5286"/>
    </w:p>
    <w:bookmarkEnd w:id="5278"/>
    <w:p w14:paraId="45D3BA69" w14:textId="77777777" w:rsidR="00A14FDA" w:rsidRPr="00D87F8B" w:rsidRDefault="00A14FDA" w:rsidP="00A14FDA">
      <w:pPr>
        <w:pStyle w:val="a2"/>
      </w:pPr>
      <w:r w:rsidRPr="00D87F8B">
        <w:rPr>
          <w:rtl/>
        </w:rPr>
        <w:t>אך לפ"ז איני מבין הסוגיא דמס' ביצה דל"ד גבי א' מביא האור וא' שופת הקדרה חייב ומקשה הש"ס שופת הקדרה מאי קעביד אר"ל הכא בקדרה חדשה עסקינן ומשום ליבון רעפים והנה לא אמר בכלי אדמה עסקינן דעל ידי שיתקשה ע"י אור חייב משום מבשל רק בקדרה חדשה דכבר נשרף בכבשן ול"ש מבשל עלח"מ כאן רק דהוי גמר מלאכה דחייב משום מב"פ ובאמת היאך שייך מב"פ בשופת הקדירה וכי תיכף נתחמם הקדרה אצל האור זה מן הנמנע רק כשמתחמם נגמר הכלי כמו בליבון רעפים ע"ש ואם כן למה יתחייב שופת הקדרה משום מב"פ הא מאלי' נגמר המלאכה ע' ברא"ש שכתב דהחיוב משום מב"פ והיאך סתם בשופת קדרה חייב משום מב"פ הא בשעת שפיתה לא נגמר עדיין רק אח"כ כשמתחמם מאוד א"כ למה יתחייב משום מב"פ לדעת רש"י וכעת צע"ג בזה</w:t>
      </w:r>
      <w:r w:rsidRPr="00D87F8B">
        <w:rPr>
          <w:rFonts w:hint="cs"/>
          <w:rtl/>
        </w:rPr>
        <w:t>.</w:t>
      </w:r>
    </w:p>
    <w:p w14:paraId="66A33791" w14:textId="77777777" w:rsidR="00A14FDA" w:rsidRDefault="00A14FDA" w:rsidP="00A14FDA">
      <w:pPr>
        <w:pStyle w:val="afffff7"/>
        <w:rPr>
          <w:rtl/>
        </w:rPr>
      </w:pPr>
      <w:bookmarkStart w:id="5287" w:name="_Toc144224691"/>
      <w:bookmarkStart w:id="5288" w:name="_Toc163506239"/>
      <w:r w:rsidRPr="00FD6B82">
        <w:rPr>
          <w:rtl/>
        </w:rPr>
        <w:t>אמרי בינה דיני שבת סימן כ</w:t>
      </w:r>
      <w:r w:rsidRPr="00FD6B82">
        <w:rPr>
          <w:rFonts w:hint="cs"/>
          <w:rtl/>
        </w:rPr>
        <w:t>"</w:t>
      </w:r>
      <w:r w:rsidRPr="00FD6B82">
        <w:rPr>
          <w:rtl/>
        </w:rPr>
        <w:t xml:space="preserve">א </w:t>
      </w:r>
      <w:r w:rsidRPr="00FD6B82">
        <w:rPr>
          <w:rFonts w:hint="cs"/>
          <w:rtl/>
        </w:rPr>
        <w:t xml:space="preserve">ד"ה </w:t>
      </w:r>
      <w:r w:rsidRPr="00FD6B82">
        <w:rPr>
          <w:rtl/>
        </w:rPr>
        <w:t>כתב הרמ"א</w:t>
      </w:r>
      <w:bookmarkEnd w:id="5287"/>
      <w:bookmarkEnd w:id="5288"/>
      <w:r w:rsidRPr="00421A47">
        <w:rPr>
          <w:vanish/>
          <w:rtl/>
        </w:rPr>
        <w:t xml:space="preserve"> (ב)</w:t>
      </w:r>
    </w:p>
    <w:p w14:paraId="1E97A552" w14:textId="77777777" w:rsidR="00A14FDA" w:rsidRDefault="00A14FDA" w:rsidP="00A14FDA">
      <w:pPr>
        <w:pStyle w:val="a7"/>
      </w:pPr>
      <w:bookmarkStart w:id="5289" w:name="_Toc144225297"/>
      <w:r>
        <w:rPr>
          <w:rFonts w:hint="cs"/>
          <w:rtl/>
        </w:rPr>
        <w:t>בי' האמרי בינה דלמאירי אין מכב"פ בבישול דחיוב מכב"פ אחר גמר המלאכה אך לרמב"ם ק'</w:t>
      </w:r>
      <w:bookmarkEnd w:id="5289"/>
    </w:p>
    <w:p w14:paraId="3AAE06FE" w14:textId="7C634227" w:rsidR="00A14FDA" w:rsidRDefault="00A14FDA" w:rsidP="00BC7DC8">
      <w:pPr>
        <w:pStyle w:val="a3"/>
      </w:pPr>
      <w:bookmarkStart w:id="5290" w:name="_Ref143877995"/>
      <w:r w:rsidRPr="00255628">
        <w:rPr>
          <w:rStyle w:val="aff4"/>
          <w:vanish/>
          <w:rtl/>
        </w:rPr>
        <w:t>-</w:t>
      </w:r>
      <w:r w:rsidRPr="00255628">
        <w:rPr>
          <w:rStyle w:val="aff4"/>
          <w:rFonts w:hint="cs"/>
          <w:rtl/>
        </w:rPr>
        <w:t>ו</w:t>
      </w:r>
      <w:r w:rsidRPr="00255628">
        <w:rPr>
          <w:rStyle w:val="aff4"/>
          <w:rtl/>
        </w:rPr>
        <w:t>ה</w:t>
      </w:r>
      <w:r w:rsidRPr="00255628">
        <w:rPr>
          <w:rStyle w:val="aff4"/>
          <w:rFonts w:hint="cs"/>
          <w:vanish/>
          <w:rtl/>
        </w:rPr>
        <w:t xml:space="preserve">&lt;, </w:t>
      </w:r>
      <w:r w:rsidRPr="00255628">
        <w:rPr>
          <w:rStyle w:val="aff4"/>
          <w:vanish/>
          <w:rtl/>
        </w:rPr>
        <w:fldChar w:fldCharType="begin"/>
      </w:r>
      <w:r w:rsidRPr="00255628">
        <w:rPr>
          <w:rStyle w:val="aff4"/>
          <w:vanish/>
          <w:rtl/>
        </w:rPr>
        <w:instrText xml:space="preserve"> </w:instrText>
      </w:r>
      <w:r w:rsidRPr="00255628">
        <w:rPr>
          <w:rStyle w:val="aff4"/>
          <w:rFonts w:hint="cs"/>
          <w:vanish/>
        </w:rPr>
        <w:instrText>REF</w:instrText>
      </w:r>
      <w:r w:rsidRPr="00255628">
        <w:rPr>
          <w:rStyle w:val="aff4"/>
          <w:rFonts w:hint="cs"/>
          <w:vanish/>
          <w:rtl/>
        </w:rPr>
        <w:instrText xml:space="preserve"> _</w:instrText>
      </w:r>
      <w:r w:rsidRPr="00255628">
        <w:rPr>
          <w:rStyle w:val="aff4"/>
          <w:rFonts w:hint="cs"/>
          <w:vanish/>
        </w:rPr>
        <w:instrText>Ref143877995 \r \h</w:instrText>
      </w:r>
      <w:r w:rsidRPr="00255628">
        <w:rPr>
          <w:rStyle w:val="aff4"/>
          <w:vanish/>
          <w:rtl/>
        </w:rPr>
        <w:instrText xml:space="preserve"> </w:instrText>
      </w:r>
      <w:r w:rsidRPr="00255628">
        <w:rPr>
          <w:rStyle w:val="aff4"/>
          <w:vanish/>
          <w:rtl/>
        </w:rPr>
      </w:r>
      <w:r w:rsidRPr="00255628">
        <w:rPr>
          <w:rStyle w:val="aff4"/>
          <w:vanish/>
          <w:rtl/>
        </w:rPr>
        <w:fldChar w:fldCharType="separate"/>
      </w:r>
      <w:r w:rsidR="00D82181">
        <w:rPr>
          <w:rStyle w:val="aff4"/>
          <w:vanish/>
          <w:cs/>
        </w:rPr>
        <w:t>‎</w:t>
      </w:r>
      <w:r w:rsidR="00D82181">
        <w:rPr>
          <w:rStyle w:val="aff4"/>
          <w:vanish/>
          <w:rtl/>
        </w:rPr>
        <w:t>נז)</w:t>
      </w:r>
      <w:r w:rsidRPr="00255628">
        <w:rPr>
          <w:rStyle w:val="aff4"/>
          <w:vanish/>
          <w:rtl/>
        </w:rPr>
        <w:fldChar w:fldCharType="end"/>
      </w:r>
      <w:r w:rsidRPr="00255628">
        <w:rPr>
          <w:rStyle w:val="aff4"/>
          <w:rFonts w:hint="cs"/>
          <w:vanish/>
          <w:rtl/>
        </w:rPr>
        <w:t xml:space="preserve"> &gt;</w:t>
      </w:r>
      <w:r w:rsidRPr="00255628">
        <w:rPr>
          <w:rStyle w:val="aff4"/>
          <w:rFonts w:hint="cs"/>
          <w:rtl/>
        </w:rPr>
        <w:t>אמרי בינה</w:t>
      </w:r>
      <w:r w:rsidRPr="00255628">
        <w:rPr>
          <w:rStyle w:val="aff4"/>
          <w:vanish/>
          <w:rtl/>
        </w:rPr>
        <w:t>-</w:t>
      </w:r>
      <w:r w:rsidRPr="00FD6B82">
        <w:rPr>
          <w:rtl/>
        </w:rPr>
        <w:t xml:space="preserve"> </w:t>
      </w:r>
      <w:r w:rsidRPr="00C8052D">
        <w:rPr>
          <w:rStyle w:val="af2"/>
          <w:rFonts w:eastAsia="Guttman Hodes"/>
          <w:rtl/>
        </w:rPr>
        <w:t xml:space="preserve">(שבת קד: </w:t>
      </w:r>
      <w:r w:rsidRPr="00C8052D">
        <w:rPr>
          <w:rStyle w:val="af2"/>
          <w:rFonts w:eastAsia="Guttman Hodes" w:hint="cs"/>
          <w:rtl/>
        </w:rPr>
        <w:t>סי' כ"א ד"ה כתב הרמ"א</w:t>
      </w:r>
      <w:r w:rsidRPr="00C8052D">
        <w:rPr>
          <w:rStyle w:val="af2"/>
          <w:rFonts w:eastAsia="Guttman Hodes"/>
          <w:rtl/>
        </w:rPr>
        <w:t>)</w:t>
      </w:r>
      <w:r w:rsidRPr="00255628">
        <w:rPr>
          <w:vanish/>
          <w:rtl/>
        </w:rPr>
        <w:t>=</w:t>
      </w:r>
      <w:r>
        <w:rPr>
          <w:rFonts w:hint="cs"/>
          <w:rtl/>
        </w:rPr>
        <w:t xml:space="preserve"> ביאר דהא דאין חיוב מכה בפטיש בכל אפיה ובישול כיון דכתב </w:t>
      </w:r>
      <w:r w:rsidRPr="00255628">
        <w:rPr>
          <w:rStyle w:val="aff4"/>
          <w:rFonts w:hint="cs"/>
          <w:vanish/>
          <w:rtl/>
        </w:rPr>
        <w:t>-</w:t>
      </w:r>
      <w:r w:rsidRPr="00255628">
        <w:rPr>
          <w:rStyle w:val="aff4"/>
          <w:rFonts w:hint="cs"/>
          <w:rtl/>
        </w:rPr>
        <w:t>המאירי לקמן</w:t>
      </w:r>
      <w:r w:rsidRPr="00255628">
        <w:rPr>
          <w:rStyle w:val="aff4"/>
          <w:rFonts w:hint="cs"/>
          <w:vanish/>
          <w:rtl/>
        </w:rPr>
        <w:t>-</w:t>
      </w:r>
      <w:r>
        <w:rPr>
          <w:rFonts w:hint="cs"/>
          <w:rtl/>
        </w:rPr>
        <w:t xml:space="preserve"> </w:t>
      </w:r>
      <w:r w:rsidRPr="00C8052D">
        <w:rPr>
          <w:rStyle w:val="af2"/>
          <w:rFonts w:eastAsia="Guttman Hodes" w:hint="cs"/>
          <w:rtl/>
        </w:rPr>
        <w:t xml:space="preserve">(עי' אות </w:t>
      </w:r>
      <w:r w:rsidRPr="00C8052D">
        <w:rPr>
          <w:rStyle w:val="af2"/>
          <w:rFonts w:eastAsia="Guttman Hodes"/>
          <w:rtl/>
        </w:rPr>
        <w:fldChar w:fldCharType="begin"/>
      </w:r>
      <w:r w:rsidRPr="00C8052D">
        <w:rPr>
          <w:rStyle w:val="af2"/>
          <w:rFonts w:eastAsia="Guttman Hodes"/>
          <w:rtl/>
        </w:rPr>
        <w:instrText xml:space="preserve"> </w:instrText>
      </w:r>
      <w:r w:rsidRPr="00C8052D">
        <w:rPr>
          <w:rStyle w:val="af2"/>
          <w:rFonts w:eastAsia="Guttman Hodes" w:hint="cs"/>
        </w:rPr>
        <w:instrText>REF</w:instrText>
      </w:r>
      <w:r w:rsidRPr="00C8052D">
        <w:rPr>
          <w:rStyle w:val="af2"/>
          <w:rFonts w:eastAsia="Guttman Hodes" w:hint="cs"/>
          <w:rtl/>
        </w:rPr>
        <w:instrText xml:space="preserve"> _</w:instrText>
      </w:r>
      <w:r w:rsidRPr="00C8052D">
        <w:rPr>
          <w:rStyle w:val="af2"/>
          <w:rFonts w:eastAsia="Guttman Hodes" w:hint="cs"/>
        </w:rPr>
        <w:instrText>Ref143877950 \r \h</w:instrText>
      </w:r>
      <w:r w:rsidRPr="00C8052D">
        <w:rPr>
          <w:rStyle w:val="af2"/>
          <w:rFonts w:eastAsia="Guttman Hodes"/>
          <w:rtl/>
        </w:rPr>
        <w:instrText xml:space="preserve"> </w:instrText>
      </w:r>
      <w:r w:rsidRPr="00C8052D">
        <w:rPr>
          <w:rStyle w:val="af2"/>
          <w:rFonts w:eastAsia="Guttman Hodes"/>
          <w:rtl/>
        </w:rPr>
      </w:r>
      <w:r w:rsidRPr="00C8052D">
        <w:rPr>
          <w:rStyle w:val="af2"/>
          <w:rFonts w:eastAsia="Guttman Hodes"/>
          <w:rtl/>
        </w:rPr>
        <w:fldChar w:fldCharType="separate"/>
      </w:r>
      <w:r w:rsidR="00D82181">
        <w:rPr>
          <w:rStyle w:val="af2"/>
          <w:rFonts w:eastAsia="Guttman Hodes"/>
          <w:cs/>
        </w:rPr>
        <w:t>‎</w:t>
      </w:r>
      <w:r w:rsidR="00D82181">
        <w:rPr>
          <w:rStyle w:val="af2"/>
          <w:rFonts w:eastAsia="Guttman Hodes"/>
          <w:rtl/>
        </w:rPr>
        <w:t>מא)</w:t>
      </w:r>
      <w:r w:rsidRPr="00C8052D">
        <w:rPr>
          <w:rStyle w:val="af2"/>
          <w:rFonts w:eastAsia="Guttman Hodes"/>
          <w:rtl/>
        </w:rPr>
        <w:fldChar w:fldCharType="end"/>
      </w:r>
      <w:r>
        <w:rPr>
          <w:rFonts w:hint="cs"/>
          <w:rtl/>
        </w:rPr>
        <w:t xml:space="preserve"> דחיוב מכה בפטיש הוא רק אחר שנגמרה המלאכה, לא שייך לחייב מבשל במכה בפטיש כיון דלא נגמרה המלאכה, אך הקשה </w:t>
      </w:r>
      <w:r w:rsidRPr="00255628">
        <w:rPr>
          <w:rStyle w:val="aff4"/>
          <w:rFonts w:hint="cs"/>
          <w:vanish/>
          <w:rtl/>
        </w:rPr>
        <w:t>-</w:t>
      </w:r>
      <w:r w:rsidRPr="00255628">
        <w:rPr>
          <w:rStyle w:val="aff4"/>
          <w:rFonts w:hint="cs"/>
          <w:rtl/>
        </w:rPr>
        <w:t>האמרי בינה</w:t>
      </w:r>
      <w:r w:rsidRPr="00255628">
        <w:rPr>
          <w:rStyle w:val="aff4"/>
          <w:rFonts w:hint="cs"/>
          <w:vanish/>
          <w:rtl/>
        </w:rPr>
        <w:t>-</w:t>
      </w:r>
      <w:r>
        <w:rPr>
          <w:rFonts w:hint="cs"/>
          <w:rtl/>
        </w:rPr>
        <w:t xml:space="preserve"> דלדעת </w:t>
      </w:r>
      <w:r w:rsidRPr="00255628">
        <w:rPr>
          <w:rStyle w:val="aff4"/>
          <w:rFonts w:hint="cs"/>
          <w:vanish/>
          <w:rtl/>
        </w:rPr>
        <w:t>-</w:t>
      </w:r>
      <w:r w:rsidRPr="00255628">
        <w:rPr>
          <w:rStyle w:val="aff4"/>
          <w:rFonts w:hint="cs"/>
          <w:rtl/>
        </w:rPr>
        <w:t>הרמב"ם</w:t>
      </w:r>
      <w:r w:rsidRPr="00255628">
        <w:rPr>
          <w:rStyle w:val="aff4"/>
          <w:rFonts w:hint="cs"/>
          <w:vanish/>
          <w:rtl/>
        </w:rPr>
        <w:t>-</w:t>
      </w:r>
      <w:r>
        <w:rPr>
          <w:rFonts w:hint="cs"/>
          <w:rtl/>
        </w:rPr>
        <w:t xml:space="preserve"> מבואר דחייב אף בכה"ג, ובבנין בכלים כתב </w:t>
      </w:r>
      <w:r w:rsidRPr="00255628">
        <w:rPr>
          <w:rStyle w:val="aff4"/>
          <w:rFonts w:hint="cs"/>
          <w:vanish/>
          <w:rtl/>
        </w:rPr>
        <w:t>-</w:t>
      </w:r>
      <w:r w:rsidRPr="00255628">
        <w:rPr>
          <w:rStyle w:val="aff4"/>
          <w:rFonts w:hint="cs"/>
          <w:rtl/>
        </w:rPr>
        <w:t>הלח"מ</w:t>
      </w:r>
      <w:r w:rsidRPr="00255628">
        <w:rPr>
          <w:rStyle w:val="aff4"/>
          <w:rFonts w:hint="cs"/>
          <w:vanish/>
          <w:rtl/>
        </w:rPr>
        <w:t>-</w:t>
      </w:r>
      <w:r>
        <w:rPr>
          <w:rFonts w:hint="cs"/>
          <w:rtl/>
        </w:rPr>
        <w:t xml:space="preserve"> </w:t>
      </w:r>
      <w:r w:rsidRPr="00C8052D">
        <w:rPr>
          <w:rStyle w:val="af2"/>
          <w:rFonts w:eastAsia="Guttman Hodes" w:hint="cs"/>
          <w:rtl/>
        </w:rPr>
        <w:t>(עי' אות</w:t>
      </w:r>
      <w:r>
        <w:rPr>
          <w:rStyle w:val="af2"/>
          <w:rFonts w:eastAsia="Guttman Hodes" w:hint="cs"/>
          <w:rtl/>
        </w:rPr>
        <w:t xml:space="preserve">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Ref144154863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לה)</w:t>
      </w:r>
      <w:r>
        <w:rPr>
          <w:rStyle w:val="af2"/>
          <w:rFonts w:eastAsia="Guttman Hodes"/>
          <w:rtl/>
        </w:rPr>
        <w:fldChar w:fldCharType="end"/>
      </w:r>
      <w:r w:rsidRPr="00C8052D">
        <w:rPr>
          <w:rStyle w:val="af2"/>
          <w:rFonts w:eastAsia="Guttman Hodes" w:hint="cs"/>
          <w:rtl/>
        </w:rPr>
        <w:t xml:space="preserve"> </w:t>
      </w:r>
      <w:r>
        <w:rPr>
          <w:rFonts w:hint="cs"/>
          <w:rtl/>
        </w:rPr>
        <w:t xml:space="preserve">דחייב שתים, וא"כ ה"ה במבשל דיתחייב שתים, וכתב </w:t>
      </w:r>
      <w:r w:rsidRPr="00255628">
        <w:rPr>
          <w:rStyle w:val="aff4"/>
          <w:rFonts w:hint="cs"/>
          <w:vanish/>
          <w:rtl/>
        </w:rPr>
        <w:t>-</w:t>
      </w:r>
      <w:r w:rsidRPr="00255628">
        <w:rPr>
          <w:rStyle w:val="aff4"/>
          <w:rFonts w:hint="cs"/>
          <w:rtl/>
        </w:rPr>
        <w:t>האמרי בינה</w:t>
      </w:r>
      <w:r w:rsidRPr="00255628">
        <w:rPr>
          <w:rStyle w:val="aff4"/>
          <w:rFonts w:hint="cs"/>
          <w:vanish/>
          <w:rtl/>
        </w:rPr>
        <w:t>-</w:t>
      </w:r>
      <w:r>
        <w:rPr>
          <w:rFonts w:hint="cs"/>
          <w:rtl/>
        </w:rPr>
        <w:t xml:space="preserve"> דא"כ צ"ל כדברי </w:t>
      </w:r>
      <w:r w:rsidRPr="00255628">
        <w:rPr>
          <w:rStyle w:val="aff4"/>
          <w:rFonts w:hint="cs"/>
          <w:vanish/>
          <w:rtl/>
        </w:rPr>
        <w:t>-</w:t>
      </w:r>
      <w:r w:rsidRPr="00255628">
        <w:rPr>
          <w:rStyle w:val="aff4"/>
          <w:rFonts w:hint="cs"/>
          <w:rtl/>
        </w:rPr>
        <w:t>המנחת חינוך</w:t>
      </w:r>
      <w:r w:rsidRPr="00255628">
        <w:rPr>
          <w:rStyle w:val="aff4"/>
          <w:rFonts w:hint="cs"/>
          <w:vanish/>
          <w:rtl/>
        </w:rPr>
        <w:t>-</w:t>
      </w:r>
      <w:r>
        <w:rPr>
          <w:rFonts w:hint="cs"/>
          <w:rtl/>
        </w:rPr>
        <w:t xml:space="preserve"> </w:t>
      </w:r>
      <w:r w:rsidRPr="00C8052D">
        <w:rPr>
          <w:rStyle w:val="af2"/>
          <w:rFonts w:eastAsia="Guttman Hodes" w:hint="cs"/>
          <w:rtl/>
        </w:rPr>
        <w:t xml:space="preserve">(עי' אות </w:t>
      </w:r>
      <w:r w:rsidRPr="00C8052D">
        <w:rPr>
          <w:rStyle w:val="af2"/>
          <w:rFonts w:eastAsia="Guttman Hodes"/>
          <w:rtl/>
        </w:rPr>
        <w:fldChar w:fldCharType="begin"/>
      </w:r>
      <w:r w:rsidRPr="00C8052D">
        <w:rPr>
          <w:rStyle w:val="af2"/>
          <w:rFonts w:eastAsia="Guttman Hodes"/>
          <w:rtl/>
        </w:rPr>
        <w:instrText xml:space="preserve"> </w:instrText>
      </w:r>
      <w:r w:rsidRPr="00C8052D">
        <w:rPr>
          <w:rStyle w:val="af2"/>
          <w:rFonts w:eastAsia="Guttman Hodes" w:hint="cs"/>
        </w:rPr>
        <w:instrText>REF</w:instrText>
      </w:r>
      <w:r w:rsidRPr="00C8052D">
        <w:rPr>
          <w:rStyle w:val="af2"/>
          <w:rFonts w:eastAsia="Guttman Hodes" w:hint="cs"/>
          <w:rtl/>
        </w:rPr>
        <w:instrText xml:space="preserve"> _</w:instrText>
      </w:r>
      <w:r w:rsidRPr="00C8052D">
        <w:rPr>
          <w:rStyle w:val="af2"/>
          <w:rFonts w:eastAsia="Guttman Hodes" w:hint="cs"/>
        </w:rPr>
        <w:instrText>Ref144025056 \r \h</w:instrText>
      </w:r>
      <w:r w:rsidRPr="00C8052D">
        <w:rPr>
          <w:rStyle w:val="af2"/>
          <w:rFonts w:eastAsia="Guttman Hodes"/>
          <w:rtl/>
        </w:rPr>
        <w:instrText xml:space="preserve"> </w:instrText>
      </w:r>
      <w:r w:rsidRPr="00C8052D">
        <w:rPr>
          <w:rStyle w:val="af2"/>
          <w:rFonts w:eastAsia="Guttman Hodes"/>
          <w:rtl/>
        </w:rPr>
      </w:r>
      <w:r w:rsidRPr="00C8052D">
        <w:rPr>
          <w:rStyle w:val="af2"/>
          <w:rFonts w:eastAsia="Guttman Hodes"/>
          <w:rtl/>
        </w:rPr>
        <w:fldChar w:fldCharType="separate"/>
      </w:r>
      <w:r w:rsidR="00D82181">
        <w:rPr>
          <w:rStyle w:val="af2"/>
          <w:rFonts w:eastAsia="Guttman Hodes"/>
          <w:cs/>
        </w:rPr>
        <w:t>‎</w:t>
      </w:r>
      <w:r w:rsidR="00D82181">
        <w:rPr>
          <w:rStyle w:val="af2"/>
          <w:rFonts w:eastAsia="Guttman Hodes"/>
          <w:rtl/>
        </w:rPr>
        <w:t>נד)</w:t>
      </w:r>
      <w:r w:rsidRPr="00C8052D">
        <w:rPr>
          <w:rStyle w:val="af2"/>
          <w:rFonts w:eastAsia="Guttman Hodes"/>
          <w:rtl/>
        </w:rPr>
        <w:fldChar w:fldCharType="end"/>
      </w:r>
      <w:r>
        <w:rPr>
          <w:rFonts w:hint="cs"/>
          <w:rtl/>
        </w:rPr>
        <w:t xml:space="preserve"> דבדבר שנגמר מאיליו לא שייך מכה בפטיש כדעת </w:t>
      </w:r>
      <w:r w:rsidRPr="00255628">
        <w:rPr>
          <w:rStyle w:val="aff4"/>
          <w:rFonts w:hint="cs"/>
          <w:vanish/>
          <w:rtl/>
        </w:rPr>
        <w:t>-</w:t>
      </w:r>
      <w:r w:rsidRPr="00255628">
        <w:rPr>
          <w:rStyle w:val="aff4"/>
          <w:rFonts w:hint="cs"/>
          <w:rtl/>
        </w:rPr>
        <w:t>רש"י לעיל</w:t>
      </w:r>
      <w:r w:rsidRPr="00255628">
        <w:rPr>
          <w:rStyle w:val="aff4"/>
          <w:rFonts w:hint="cs"/>
          <w:vanish/>
          <w:rtl/>
        </w:rPr>
        <w:t>-</w:t>
      </w:r>
      <w:r>
        <w:rPr>
          <w:rFonts w:hint="cs"/>
          <w:rtl/>
        </w:rPr>
        <w:t xml:space="preserve"> </w:t>
      </w:r>
      <w:r w:rsidRPr="00C8052D">
        <w:rPr>
          <w:rStyle w:val="af2"/>
          <w:rFonts w:eastAsia="Guttman Hodes" w:hint="cs"/>
          <w:rtl/>
        </w:rPr>
        <w:t>(</w:t>
      </w:r>
      <w:r w:rsidRPr="000148C6">
        <w:rPr>
          <w:rStyle w:val="af2"/>
          <w:rFonts w:eastAsia="Guttman Hodes" w:hint="cs"/>
          <w:rtl/>
        </w:rPr>
        <w:t xml:space="preserve">עי' </w:t>
      </w:r>
      <w:r>
        <w:rPr>
          <w:rStyle w:val="af2"/>
          <w:rFonts w:eastAsia="Guttman Hodes" w:hint="cs"/>
          <w:rtl/>
        </w:rPr>
        <w:t xml:space="preserve">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Ref144199731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יג)</w:t>
      </w:r>
      <w:r>
        <w:rPr>
          <w:rStyle w:val="af2"/>
          <w:rFonts w:eastAsia="Guttman Hodes"/>
          <w:rtl/>
        </w:rPr>
        <w:fldChar w:fldCharType="end"/>
      </w:r>
      <w:r>
        <w:rPr>
          <w:rFonts w:hint="cs"/>
          <w:rtl/>
        </w:rPr>
        <w:t xml:space="preserve">, אך צ"ע מדברי </w:t>
      </w:r>
      <w:r w:rsidRPr="00255628">
        <w:rPr>
          <w:rStyle w:val="aff4"/>
          <w:rFonts w:hint="cs"/>
          <w:vanish/>
          <w:rtl/>
        </w:rPr>
        <w:t>-</w:t>
      </w:r>
      <w:r w:rsidRPr="00255628">
        <w:rPr>
          <w:rStyle w:val="aff4"/>
          <w:rFonts w:hint="cs"/>
          <w:rtl/>
        </w:rPr>
        <w:t>הרא"ש בביצה</w:t>
      </w:r>
      <w:r w:rsidRPr="00255628">
        <w:rPr>
          <w:rStyle w:val="aff4"/>
          <w:rFonts w:hint="cs"/>
          <w:vanish/>
          <w:rtl/>
        </w:rPr>
        <w:t>-</w:t>
      </w:r>
      <w:r>
        <w:rPr>
          <w:rFonts w:hint="cs"/>
          <w:rtl/>
        </w:rPr>
        <w:t xml:space="preserve"> </w:t>
      </w:r>
      <w:bookmarkStart w:id="5291" w:name="_Hlk144048066"/>
      <w:r w:rsidRPr="00C8052D">
        <w:rPr>
          <w:rStyle w:val="af2"/>
          <w:rFonts w:eastAsia="Guttman Hodes" w:hint="cs"/>
          <w:rtl/>
        </w:rPr>
        <w:t>(עי' או</w:t>
      </w:r>
      <w:bookmarkEnd w:id="5291"/>
      <w:r>
        <w:rPr>
          <w:rStyle w:val="af2"/>
          <w:rFonts w:eastAsia="Guttman Hodes" w:hint="cs"/>
          <w:rtl/>
        </w:rPr>
        <w:t xml:space="preserve">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Ref144220277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נו)</w:t>
      </w:r>
      <w:r>
        <w:rPr>
          <w:rStyle w:val="af2"/>
          <w:rFonts w:eastAsia="Guttman Hodes"/>
          <w:rtl/>
        </w:rPr>
        <w:fldChar w:fldCharType="end"/>
      </w:r>
      <w:r>
        <w:rPr>
          <w:rFonts w:hint="cs"/>
          <w:rtl/>
        </w:rPr>
        <w:t>.</w:t>
      </w:r>
    </w:p>
    <w:p w14:paraId="414F0DB3" w14:textId="77777777" w:rsidR="00A14FDA" w:rsidRPr="00BC7DC8" w:rsidRDefault="00A14FDA" w:rsidP="00A14FDA">
      <w:pPr>
        <w:pStyle w:val="afffffe"/>
        <w:rPr>
          <w:vanish/>
          <w:rtl/>
        </w:rPr>
      </w:pPr>
      <w:r w:rsidRPr="00BC7DC8">
        <w:rPr>
          <w:vanish/>
          <w:rtl/>
        </w:rPr>
        <w:t>אמרי בינה דיני שבת סימן כ</w:t>
      </w:r>
      <w:r w:rsidRPr="00BC7DC8">
        <w:rPr>
          <w:rFonts w:hint="cs"/>
          <w:vanish/>
          <w:rtl/>
        </w:rPr>
        <w:t>"</w:t>
      </w:r>
      <w:r w:rsidRPr="00BC7DC8">
        <w:rPr>
          <w:vanish/>
          <w:rtl/>
        </w:rPr>
        <w:t xml:space="preserve">א </w:t>
      </w:r>
      <w:r w:rsidRPr="00BC7DC8">
        <w:rPr>
          <w:rFonts w:hint="cs"/>
          <w:vanish/>
          <w:rtl/>
        </w:rPr>
        <w:t xml:space="preserve">ד"ה </w:t>
      </w:r>
      <w:r w:rsidRPr="00BC7DC8">
        <w:rPr>
          <w:vanish/>
          <w:rtl/>
        </w:rPr>
        <w:t>כתב הרמ"א</w:t>
      </w:r>
    </w:p>
    <w:p w14:paraId="10CD5430" w14:textId="77777777" w:rsidR="00A14FDA" w:rsidRPr="00D87F8B" w:rsidRDefault="00A14FDA" w:rsidP="00A14FDA">
      <w:pPr>
        <w:pStyle w:val="a2"/>
        <w:rPr>
          <w:rtl/>
        </w:rPr>
      </w:pPr>
      <w:r w:rsidRPr="00D87F8B">
        <w:rPr>
          <w:rtl/>
        </w:rPr>
        <w:t xml:space="preserve">כתב הרמ"א (סי' שי"ח ס"ד) והה"ד כל דבר קשה שאינו ראוי לאכול כלל בלא שרי' דאסור לשרותו בשבת דהוי גמר מלאכ' וכ' המג"א הה"ד דבר מלוח שאין יכולין לאכלו כלל בלא הדחה ואיתא בגמרא דאם הדיח חייב ומבואר בלבוש אף על גב שאינו מבשל חייב משום מכה בפטיש. ועי' פ"מ יו"ד במ"ז (סי' ס"ח) בהא דהקשה הק"ע על הירושלמי דסובר דמבשל בשבת אינו חייב רק אם מהלך האש תחתיו מש"ס שבת (דף קמ"ה) הנז' הדיח חייב חטאת וכת' דשם חייב משום מכה בפטיש. מבואר מזה דדבר מאכל שאינו ראוי לאכול בלא תיקון המתקנו חייב משום מכה בפטיש. ובאמת מבואר בירושלמי שבת מובא בהגהות מרדכי (פ' י"א) ובמאירי שבת (דף ע"ד) דגם באוכלין שייך מכה בפטיש. ולכאורה יקשה א"כ כל מבשל בשבת יתחייב שתים משום מבשל ומשום מכה בפטיש. ומצאתי בס' המאירי סוף פי"ב משבת דהביא משם חכמי דורות להקשות בהא דאם ארג חוט אחד והשלים לבגד דחייב וכן בכתב אות אחת והשלים הספר דחשיב ככותב שתים וחייב יתחייב בה משום מכה בפטיש ג"כ כמו דאמרינן האי מאן דשקל אקופי מגלימיה חייב משום מכה בפטיש וכתב דוקא במלאכה שנשלמה כולה כגון שחצב אבן בהר ונתפרקה כולה ונשלמה מלאכת אבן אלא שלא נפלה וזה הכה בפטיש והפילה שנמצא המלאכה בגוף אותו דבר שכבר נשלמה וכן בשקל אקופי שהרי כולה עשויה אבל באלו לא נשלם הספר והבגד עדיין וכל שהוא עושה לצורך השלמה לא מקרי מכה בפטיש שאל"כ אף המלאכות שתחילתן וסופן בא כאחד כגון קציר וכיוצא בו הי' ראוי להתחייב בו משום מכה בפטיש עכ"ל. וכנרא' מדבריו דחיוב מלאכת מכה בפטיש הוא דוקא כשעוש' דבר אחר ההשלמ' אבל בעושה לצורך ההשלמה ל"ש מכה בפטיש אולם זה לשיטתו דפוסק כרב (דף </w:t>
      </w:r>
      <w:r w:rsidRPr="00D87F8B">
        <w:rPr>
          <w:rFonts w:hint="cs"/>
          <w:rtl/>
        </w:rPr>
        <w:t>ק</w:t>
      </w:r>
      <w:r w:rsidRPr="00D87F8B">
        <w:rPr>
          <w:rtl/>
        </w:rPr>
        <w:t>"ב ע"ב) בעושה נקב בלול של תרנגולים וכן בעייל שופתא בקופינא דמרא דיש בנין בעשיית כלי מתחילתו וממילא ליכא בו מכה בפטיש ולשמואל דסובר דחייב משום מכה בפטיש וכ"כ הרמב"ם (פכ"ג) משבת</w:t>
      </w:r>
      <w:r w:rsidRPr="00D87F8B">
        <w:rPr>
          <w:rFonts w:hint="cs"/>
          <w:rtl/>
        </w:rPr>
        <w:t>.</w:t>
      </w:r>
    </w:p>
    <w:bookmarkEnd w:id="5290"/>
    <w:p w14:paraId="302365D8" w14:textId="77777777" w:rsidR="00A14FDA" w:rsidRPr="00806C89" w:rsidRDefault="00A14FDA" w:rsidP="00A14FDA">
      <w:pPr>
        <w:pStyle w:val="afffff5"/>
        <w:rPr>
          <w:rtl/>
        </w:rPr>
      </w:pPr>
      <w:r w:rsidRPr="00806C89">
        <w:rPr>
          <w:rtl/>
        </w:rPr>
        <w:t>אך במבשל לא קש' להמבוא' ברש"י (דע"ד ע"ב) בהא דמאן דעביד חבית חייב משום שבע חטאות תנורא משום שמונה וכתב רש"י דגבי חבית ליכא משום מכה בפטיש דמאליה נגמרת מלאכתו בתנור. הרי דמכה בפטיש אינו מלאכה רק אם עוש' בידים אבל הנגמר בסיבתו ע"י דבר אחר אין כאן מלאכת מכה בפטיש והה"ד בישול דנגמר הדבר מאליו וקוליים האיספנין שהדחתן הוא גמר מלאכתן ע"כ דמיד על ידי הדחה נגמר מלאכתן שראויין לאכילה שלא ע"י שרייה. וכן בהא דאין עיבוד באוכלין בשבת (דף ע"ה ע"ב) א"ח משום מכה בפטיש משום דאח"כ נעשה ממילא. ובזה י"ל בהא דהקשה המל"מ (פי"א משבת) הא דצריך לדרוש תקרב במלח אף בשבת הא ליכא איסור דאורייתא במליחת בשר ולהנ"ל י"ל משום מלאכת מכה בפטיש והוי כמו תיקון מנא כיון דאין צריך שישהה הרבה רק מיד. אולם מש"ס יבמות (דף ל"ג) בזר ששימש בשבת במה מבואר דזה ל"ה כמלאכת מכה בפטיש ואף בהדס שענביו מרובין מעליו אם לקטן דהוי תיקון מנא כמבואר סוכ' (דף צ"ג) כתבו התו' דל"ה מלאכ' דאוריית' עכ"פ מבישול לא קשה כיון דמאליו נגמר ל"ה מכה בפטיש וכמ"ש רש"י בחביתא. אולם ברא"ש מס' ביצה (פ"ד אות ט"ו) כתב בקדרה חדשה ומשום ליבון רעפים נגעו בה והיינו משום חיסום דאיכא חיוב חטאת משום מכה בפטיש. הרי אף דמלאכת מכה בפטיש נעשית מאליה מ"מ חייב ודוחק לומר דשם נעשה החיסום מיד וצ"ע בזה.</w:t>
      </w:r>
    </w:p>
    <w:p w14:paraId="5906CFFB" w14:textId="77777777" w:rsidR="00A14FDA" w:rsidRDefault="00A14FDA" w:rsidP="00A14FDA">
      <w:pPr>
        <w:pStyle w:val="afffff7"/>
        <w:rPr>
          <w:rtl/>
        </w:rPr>
      </w:pPr>
      <w:bookmarkStart w:id="5292" w:name="_Toc144224692"/>
      <w:bookmarkStart w:id="5293" w:name="_Toc163506240"/>
      <w:r w:rsidRPr="00FD6B82">
        <w:rPr>
          <w:rtl/>
        </w:rPr>
        <w:t>מנחת שלמה תניינא סי</w:t>
      </w:r>
      <w:r>
        <w:rPr>
          <w:rFonts w:hint="cs"/>
          <w:rtl/>
        </w:rPr>
        <w:t>'</w:t>
      </w:r>
      <w:r w:rsidRPr="00FD6B82">
        <w:rPr>
          <w:rtl/>
        </w:rPr>
        <w:t xml:space="preserve"> מ</w:t>
      </w:r>
      <w:r>
        <w:rPr>
          <w:rFonts w:hint="cs"/>
          <w:rtl/>
        </w:rPr>
        <w:t>' ד"ה והנה טעמא</w:t>
      </w:r>
      <w:bookmarkEnd w:id="5292"/>
      <w:bookmarkEnd w:id="5293"/>
      <w:r w:rsidRPr="00421A47">
        <w:rPr>
          <w:vanish/>
          <w:rtl/>
        </w:rPr>
        <w:t xml:space="preserve"> (ב)</w:t>
      </w:r>
    </w:p>
    <w:p w14:paraId="7565B915" w14:textId="77777777" w:rsidR="00A14FDA" w:rsidRDefault="00A14FDA" w:rsidP="00A14FDA">
      <w:pPr>
        <w:pStyle w:val="a7"/>
        <w:rPr>
          <w:rtl/>
        </w:rPr>
      </w:pPr>
      <w:bookmarkStart w:id="5294" w:name="_Toc144225298"/>
      <w:r>
        <w:rPr>
          <w:rFonts w:hint="cs"/>
          <w:rtl/>
        </w:rPr>
        <w:t>בי' המנח"ש דבבישול המלאכה מתחילה מיד והחיוב רק במאב"ד ו בגמר לא היה מעשה כלל</w:t>
      </w:r>
      <w:bookmarkEnd w:id="5294"/>
    </w:p>
    <w:p w14:paraId="5A7A3FDB" w14:textId="6AA6EF89" w:rsidR="00A14FDA" w:rsidRPr="00D50DD1" w:rsidRDefault="00A14FDA" w:rsidP="00BC7DC8">
      <w:pPr>
        <w:pStyle w:val="a3"/>
        <w:rPr>
          <w:rtl/>
        </w:rPr>
      </w:pPr>
      <w:bookmarkStart w:id="5295" w:name="_Ref143979455"/>
      <w:r w:rsidRPr="00255628">
        <w:rPr>
          <w:rStyle w:val="aff4"/>
          <w:rFonts w:hint="cs"/>
          <w:vanish/>
          <w:rtl/>
        </w:rPr>
        <w:t>-</w:t>
      </w:r>
      <w:r w:rsidRPr="00255628">
        <w:rPr>
          <w:rStyle w:val="aff4"/>
          <w:rFonts w:hint="cs"/>
          <w:rtl/>
        </w:rPr>
        <w:t>וה</w:t>
      </w:r>
      <w:r w:rsidRPr="00255628">
        <w:rPr>
          <w:rStyle w:val="aff4"/>
          <w:rFonts w:hint="cs"/>
          <w:vanish/>
          <w:rtl/>
        </w:rPr>
        <w:t xml:space="preserve">&lt;, </w:t>
      </w:r>
      <w:r w:rsidRPr="00255628">
        <w:rPr>
          <w:rStyle w:val="aff4"/>
          <w:vanish/>
          <w:rtl/>
        </w:rPr>
        <w:fldChar w:fldCharType="begin"/>
      </w:r>
      <w:r w:rsidRPr="00255628">
        <w:rPr>
          <w:rStyle w:val="aff4"/>
          <w:vanish/>
          <w:rtl/>
        </w:rPr>
        <w:instrText xml:space="preserve"> </w:instrText>
      </w:r>
      <w:r w:rsidRPr="00255628">
        <w:rPr>
          <w:rStyle w:val="aff4"/>
          <w:rFonts w:hint="cs"/>
          <w:vanish/>
        </w:rPr>
        <w:instrText>REF</w:instrText>
      </w:r>
      <w:r w:rsidRPr="00255628">
        <w:rPr>
          <w:rStyle w:val="aff4"/>
          <w:rFonts w:hint="cs"/>
          <w:vanish/>
          <w:rtl/>
        </w:rPr>
        <w:instrText xml:space="preserve"> _</w:instrText>
      </w:r>
      <w:r w:rsidRPr="00255628">
        <w:rPr>
          <w:rStyle w:val="aff4"/>
          <w:rFonts w:hint="cs"/>
          <w:vanish/>
        </w:rPr>
        <w:instrText>Ref143979455 \r \h</w:instrText>
      </w:r>
      <w:r w:rsidRPr="00255628">
        <w:rPr>
          <w:rStyle w:val="aff4"/>
          <w:vanish/>
          <w:rtl/>
        </w:rPr>
        <w:instrText xml:space="preserve"> </w:instrText>
      </w:r>
      <w:r w:rsidRPr="00255628">
        <w:rPr>
          <w:rStyle w:val="aff4"/>
          <w:vanish/>
          <w:rtl/>
        </w:rPr>
      </w:r>
      <w:r w:rsidRPr="00255628">
        <w:rPr>
          <w:rStyle w:val="aff4"/>
          <w:vanish/>
          <w:rtl/>
        </w:rPr>
        <w:fldChar w:fldCharType="separate"/>
      </w:r>
      <w:r w:rsidR="00D82181">
        <w:rPr>
          <w:rStyle w:val="aff4"/>
          <w:vanish/>
          <w:cs/>
        </w:rPr>
        <w:t>‎</w:t>
      </w:r>
      <w:r w:rsidR="00D82181">
        <w:rPr>
          <w:rStyle w:val="aff4"/>
          <w:vanish/>
          <w:rtl/>
        </w:rPr>
        <w:t>נח)</w:t>
      </w:r>
      <w:r w:rsidRPr="00255628">
        <w:rPr>
          <w:rStyle w:val="aff4"/>
          <w:vanish/>
          <w:rtl/>
        </w:rPr>
        <w:fldChar w:fldCharType="end"/>
      </w:r>
      <w:r w:rsidRPr="00255628">
        <w:rPr>
          <w:rStyle w:val="aff4"/>
          <w:rFonts w:hint="cs"/>
          <w:vanish/>
          <w:rtl/>
        </w:rPr>
        <w:t xml:space="preserve"> &gt;</w:t>
      </w:r>
      <w:r w:rsidRPr="00255628">
        <w:rPr>
          <w:rStyle w:val="aff4"/>
          <w:rFonts w:hint="cs"/>
          <w:rtl/>
        </w:rPr>
        <w:t>מנחת שלמה</w:t>
      </w:r>
      <w:r w:rsidRPr="00255628">
        <w:rPr>
          <w:rStyle w:val="aff4"/>
          <w:rFonts w:hint="cs"/>
          <w:vanish/>
          <w:rtl/>
        </w:rPr>
        <w:t>-</w:t>
      </w:r>
      <w:r>
        <w:rPr>
          <w:rFonts w:hint="cs"/>
          <w:rtl/>
        </w:rPr>
        <w:t xml:space="preserve"> </w:t>
      </w:r>
      <w:r w:rsidRPr="00C8052D">
        <w:rPr>
          <w:rStyle w:val="af2"/>
          <w:rFonts w:eastAsia="Guttman Hodes" w:hint="cs"/>
          <w:rtl/>
        </w:rPr>
        <w:t>(תניינא סי' מ' ד"ה והנה טעמא)</w:t>
      </w:r>
      <w:r w:rsidRPr="00255628">
        <w:rPr>
          <w:rFonts w:hint="cs"/>
          <w:vanish/>
          <w:rtl/>
        </w:rPr>
        <w:t>=</w:t>
      </w:r>
      <w:r>
        <w:rPr>
          <w:rFonts w:hint="cs"/>
          <w:rtl/>
        </w:rPr>
        <w:t xml:space="preserve"> הוסיף לבאר דהחיוב במבשל הוא אעפ"י דהמאלכה אינה נגמרת מיד בהנחת הקדירה על האור, אעפ"י דהמלאכה נגמרת רק בבישול כמאכל בן דורסאי, מ"מ המלאכה מתחילה מיד בתחילת הבישול, משא"כ במכה בפטיש דעיקר המלאכה הוא בגמר, אבל כל המעשה שעשה לפני גמר המלאכה לא שייכא כלל למכה בפטיש, ולכן אם הגמר לא נעשה מיד במעשה שלו, א"א לחייב בזה משום מכה בפטיש, כדכתב </w:t>
      </w:r>
      <w:r w:rsidRPr="00255628">
        <w:rPr>
          <w:rStyle w:val="aff4"/>
          <w:rFonts w:hint="cs"/>
          <w:vanish/>
          <w:rtl/>
        </w:rPr>
        <w:t>-</w:t>
      </w:r>
      <w:r w:rsidRPr="00255628">
        <w:rPr>
          <w:rStyle w:val="aff4"/>
          <w:rFonts w:hint="cs"/>
          <w:rtl/>
        </w:rPr>
        <w:t>רש"י לעיל</w:t>
      </w:r>
      <w:r w:rsidRPr="00255628">
        <w:rPr>
          <w:rStyle w:val="aff4"/>
          <w:rFonts w:hint="cs"/>
          <w:vanish/>
          <w:rtl/>
        </w:rPr>
        <w:t>-</w:t>
      </w:r>
      <w:r>
        <w:rPr>
          <w:rFonts w:hint="cs"/>
          <w:rtl/>
        </w:rPr>
        <w:t xml:space="preserve"> </w:t>
      </w:r>
      <w:r w:rsidRPr="00C8052D">
        <w:rPr>
          <w:rStyle w:val="af2"/>
          <w:rFonts w:eastAsia="Guttman Hodes" w:hint="cs"/>
          <w:rtl/>
        </w:rPr>
        <w:t>(</w:t>
      </w:r>
      <w:r w:rsidRPr="000148C6">
        <w:rPr>
          <w:rStyle w:val="af2"/>
          <w:rFonts w:eastAsia="Guttman Hodes" w:hint="cs"/>
          <w:rtl/>
        </w:rPr>
        <w:t xml:space="preserve">עי' </w:t>
      </w:r>
      <w:r>
        <w:rPr>
          <w:rStyle w:val="af2"/>
          <w:rFonts w:eastAsia="Guttman Hodes" w:hint="cs"/>
          <w:rtl/>
        </w:rPr>
        <w:t xml:space="preserve">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Ref144199731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יג)</w:t>
      </w:r>
      <w:r>
        <w:rPr>
          <w:rStyle w:val="af2"/>
          <w:rFonts w:eastAsia="Guttman Hodes"/>
          <w:rtl/>
        </w:rPr>
        <w:fldChar w:fldCharType="end"/>
      </w:r>
      <w:r>
        <w:rPr>
          <w:rFonts w:hint="cs"/>
          <w:rtl/>
        </w:rPr>
        <w:t>, כיון דחשיב שלא התחיל את המלאכה כלל דהא בתחילת המלאכה לא עשה כל מעשה, וחיוב מלאכות הוא במעשה ולא בגרמא.</w:t>
      </w:r>
      <w:bookmarkEnd w:id="5295"/>
      <w:r>
        <w:rPr>
          <w:rFonts w:hint="cs"/>
          <w:rtl/>
        </w:rPr>
        <w:t xml:space="preserve"> </w:t>
      </w:r>
    </w:p>
    <w:p w14:paraId="1EF09DAF" w14:textId="77777777" w:rsidR="00A14FDA" w:rsidRPr="00BC7DC8" w:rsidRDefault="00A14FDA" w:rsidP="00A14FDA">
      <w:pPr>
        <w:pStyle w:val="afffffe"/>
        <w:rPr>
          <w:vanish/>
          <w:rtl/>
        </w:rPr>
      </w:pPr>
      <w:r w:rsidRPr="00BC7DC8">
        <w:rPr>
          <w:vanish/>
          <w:rtl/>
        </w:rPr>
        <w:t>מנחת שלמה תניינא סי</w:t>
      </w:r>
      <w:r w:rsidRPr="00BC7DC8">
        <w:rPr>
          <w:rFonts w:hint="cs"/>
          <w:vanish/>
          <w:rtl/>
        </w:rPr>
        <w:t>'</w:t>
      </w:r>
      <w:r w:rsidRPr="00BC7DC8">
        <w:rPr>
          <w:vanish/>
          <w:rtl/>
        </w:rPr>
        <w:t xml:space="preserve"> מ</w:t>
      </w:r>
      <w:r w:rsidRPr="00BC7DC8">
        <w:rPr>
          <w:rFonts w:hint="cs"/>
          <w:vanish/>
          <w:rtl/>
        </w:rPr>
        <w:t>' ד"ה והנה טעמא</w:t>
      </w:r>
    </w:p>
    <w:p w14:paraId="0FDE1659" w14:textId="77777777" w:rsidR="00A14FDA" w:rsidRPr="00D87F8B" w:rsidRDefault="00A14FDA" w:rsidP="00A14FDA">
      <w:pPr>
        <w:pStyle w:val="a2"/>
        <w:rPr>
          <w:rtl/>
        </w:rPr>
      </w:pPr>
      <w:r w:rsidRPr="00D87F8B">
        <w:rPr>
          <w:rtl/>
        </w:rPr>
        <w:t>והנה טעמא דמכ"ב לא דמי לאופה ומבשל דחייב אף שאין המלאכה נגמרת מיד עם הדבקת הפת בתנור או העמדת הקדרה על האור אלא נגמרת אח"כ ממילא ע"י האש, נראה דבאפיה ובשול אף שגמר החיוב הוא דוקא היכא שנתבשל כבר כמאב"ד ובאפיה עד כדי שיקרמו פניו, מ"מ גם הבשול והאפיה שלפני שיעור זה היינו נמי אופה ומבשל, ונמצא לפ"ז דתיכף עם מעשיו דהיינו העמדת הקדרה על התנור או הדבקת הפת בתנור מתחלת המלאכה להעשות תיכף, ולכך אף שגמר המלאכה נעשה רק לאחר זמן ממילא, מ"מ כיון שהוא התחיל בה היינו מלאכת מחשבת דאסרה תורה, משא"כ מכ"ב דעיקר המלאכה הוא רק הגמר שלבסוף, וכל מה שנעשה לפני זה לצורך ההשלמה אין זה כלל מכה בפטיש, ונמצא לפ"ז שאם המלאכה אינה נגמרת לגמרי מיד עם מעשיו הוי כאילו גם אינה מתחלת כלל להעשות תיכף, ולכך כיון דע"י מעשיו שעשה הוא לא אתחיל בה מידי היינו הא דאמרינן "עשיה" הוא דאסור הא גרמא שרי.</w:t>
      </w:r>
    </w:p>
    <w:p w14:paraId="560C0AA7" w14:textId="0D45F5AB" w:rsidR="00A14FDA" w:rsidRDefault="00A14FDA" w:rsidP="00A14FDA">
      <w:pPr>
        <w:pStyle w:val="afffff7"/>
        <w:rPr>
          <w:rtl/>
        </w:rPr>
      </w:pPr>
      <w:bookmarkStart w:id="5296" w:name="_Toc144224693"/>
      <w:bookmarkStart w:id="5297" w:name="_Toc163506241"/>
      <w:bookmarkEnd w:id="5003"/>
      <w:r>
        <w:rPr>
          <w:rtl/>
        </w:rPr>
        <w:t>שפת אמת שבת ע"ד ע"ב</w:t>
      </w:r>
      <w:r>
        <w:rPr>
          <w:rFonts w:hint="cs"/>
          <w:rtl/>
        </w:rPr>
        <w:t xml:space="preserve"> ד"ה אמר ר"א</w:t>
      </w:r>
      <w:bookmarkEnd w:id="5296"/>
      <w:bookmarkEnd w:id="5297"/>
      <w:r w:rsidRPr="00421A47">
        <w:rPr>
          <w:vanish/>
          <w:rtl/>
        </w:rPr>
        <w:t xml:space="preserve"> (ב)</w:t>
      </w:r>
    </w:p>
    <w:p w14:paraId="27019CF5" w14:textId="77777777" w:rsidR="00A14FDA" w:rsidRDefault="00A14FDA" w:rsidP="00A14FDA">
      <w:pPr>
        <w:pStyle w:val="a7"/>
        <w:rPr>
          <w:rtl/>
        </w:rPr>
      </w:pPr>
      <w:bookmarkStart w:id="5298" w:name="_Toc144225299"/>
      <w:r>
        <w:rPr>
          <w:rFonts w:hint="cs"/>
          <w:rtl/>
        </w:rPr>
        <w:t>בי' השפ"א דליראים והמאירי בחביתא אין מכב"פ דלא נגמרה המלאכה ורש"י ס"ל כרמב"ם</w:t>
      </w:r>
      <w:bookmarkEnd w:id="5298"/>
    </w:p>
    <w:p w14:paraId="03EF3940" w14:textId="69ECEA31" w:rsidR="00A14FDA" w:rsidRDefault="00A14FDA" w:rsidP="00BC7DC8">
      <w:pPr>
        <w:pStyle w:val="a3"/>
        <w:rPr>
          <w:rtl/>
        </w:rPr>
      </w:pPr>
      <w:bookmarkStart w:id="5299" w:name="_Ref144156268"/>
      <w:r>
        <w:rPr>
          <w:rFonts w:hint="cs"/>
          <w:rtl/>
        </w:rPr>
        <w:t xml:space="preserve">במ"ש </w:t>
      </w:r>
      <w:r w:rsidRPr="00C5187D">
        <w:rPr>
          <w:rStyle w:val="aff4"/>
          <w:rFonts w:hint="cs"/>
          <w:vanish/>
          <w:rtl/>
        </w:rPr>
        <w:t>-</w:t>
      </w:r>
      <w:r w:rsidRPr="00255628">
        <w:rPr>
          <w:rStyle w:val="aff4"/>
          <w:rFonts w:hint="cs"/>
          <w:rtl/>
        </w:rPr>
        <w:t>רש"י לעיל</w:t>
      </w:r>
      <w:r w:rsidRPr="00C5187D">
        <w:rPr>
          <w:rStyle w:val="aff4"/>
          <w:rFonts w:hint="cs"/>
          <w:vanish/>
          <w:rtl/>
        </w:rPr>
        <w:t>-</w:t>
      </w:r>
      <w:r>
        <w:rPr>
          <w:rFonts w:hint="cs"/>
          <w:rtl/>
        </w:rPr>
        <w:t xml:space="preserve"> </w:t>
      </w:r>
      <w:r w:rsidRPr="00C5187D">
        <w:rPr>
          <w:rStyle w:val="af2"/>
          <w:rFonts w:eastAsia="Guttman Hodes" w:hint="cs"/>
          <w:rtl/>
        </w:rPr>
        <w:t xml:space="preserve">(עי' אות </w:t>
      </w:r>
      <w:r w:rsidRPr="00C5187D">
        <w:rPr>
          <w:rStyle w:val="af2"/>
          <w:rFonts w:eastAsia="Guttman Hodes"/>
          <w:rtl/>
        </w:rPr>
        <w:fldChar w:fldCharType="begin"/>
      </w:r>
      <w:r w:rsidRPr="00C5187D">
        <w:rPr>
          <w:rStyle w:val="af2"/>
          <w:rFonts w:eastAsia="Guttman Hodes"/>
          <w:rtl/>
        </w:rPr>
        <w:instrText xml:space="preserve"> </w:instrText>
      </w:r>
      <w:r w:rsidRPr="00C5187D">
        <w:rPr>
          <w:rStyle w:val="af2"/>
          <w:rFonts w:eastAsia="Guttman Hodes" w:hint="cs"/>
        </w:rPr>
        <w:instrText>REF</w:instrText>
      </w:r>
      <w:r w:rsidRPr="00C5187D">
        <w:rPr>
          <w:rStyle w:val="af2"/>
          <w:rFonts w:eastAsia="Guttman Hodes" w:hint="cs"/>
          <w:rtl/>
        </w:rPr>
        <w:instrText xml:space="preserve"> _</w:instrText>
      </w:r>
      <w:r w:rsidRPr="00C5187D">
        <w:rPr>
          <w:rStyle w:val="af2"/>
          <w:rFonts w:eastAsia="Guttman Hodes" w:hint="cs"/>
        </w:rPr>
        <w:instrText>Ref144199731 \r \h</w:instrText>
      </w:r>
      <w:r w:rsidRPr="00C5187D">
        <w:rPr>
          <w:rStyle w:val="af2"/>
          <w:rFonts w:eastAsia="Guttman Hodes"/>
          <w:rtl/>
        </w:rPr>
        <w:instrText xml:space="preserve"> </w:instrText>
      </w:r>
      <w:r w:rsidRPr="00C5187D">
        <w:rPr>
          <w:rStyle w:val="af2"/>
          <w:rFonts w:eastAsia="Guttman Hodes"/>
          <w:rtl/>
        </w:rPr>
      </w:r>
      <w:r w:rsidRPr="00C5187D">
        <w:rPr>
          <w:rStyle w:val="af2"/>
          <w:rFonts w:eastAsia="Guttman Hodes"/>
          <w:rtl/>
        </w:rPr>
        <w:fldChar w:fldCharType="separate"/>
      </w:r>
      <w:r w:rsidR="00D82181">
        <w:rPr>
          <w:rStyle w:val="af2"/>
          <w:rFonts w:eastAsia="Guttman Hodes"/>
          <w:cs/>
        </w:rPr>
        <w:t>‎</w:t>
      </w:r>
      <w:r w:rsidR="00D82181">
        <w:rPr>
          <w:rStyle w:val="af2"/>
          <w:rFonts w:eastAsia="Guttman Hodes"/>
          <w:rtl/>
        </w:rPr>
        <w:t>יג)</w:t>
      </w:r>
      <w:r w:rsidRPr="00C5187D">
        <w:rPr>
          <w:rStyle w:val="af2"/>
          <w:rFonts w:eastAsia="Guttman Hodes"/>
          <w:rtl/>
        </w:rPr>
        <w:fldChar w:fldCharType="end"/>
      </w:r>
      <w:r>
        <w:rPr>
          <w:rFonts w:hint="cs"/>
          <w:rtl/>
        </w:rPr>
        <w:t xml:space="preserve"> דבחביתא שנגמרת מאיליה בתנור אין בזה חיוב מכה בפטיש, כתב</w:t>
      </w:r>
      <w:r>
        <w:rPr>
          <w:rtl/>
        </w:rPr>
        <w:t xml:space="preserve"> </w:t>
      </w:r>
      <w:r w:rsidRPr="00C5187D">
        <w:rPr>
          <w:b/>
          <w:bCs/>
          <w:rtl/>
        </w:rPr>
        <w:t>ה</w:t>
      </w:r>
      <w:r w:rsidRPr="00C5187D">
        <w:rPr>
          <w:b/>
          <w:bCs/>
          <w:vanish/>
          <w:rtl/>
        </w:rPr>
        <w:t xml:space="preserve"> </w:t>
      </w:r>
      <w:r w:rsidRPr="00C5187D">
        <w:rPr>
          <w:rFonts w:hint="cs"/>
          <w:b/>
          <w:bCs/>
          <w:vanish/>
          <w:rtl/>
        </w:rPr>
        <w:t xml:space="preserve">&lt;, </w:t>
      </w:r>
      <w:r w:rsidRPr="00C5187D">
        <w:rPr>
          <w:b/>
          <w:bCs/>
          <w:vanish/>
          <w:rtl/>
        </w:rPr>
        <w:fldChar w:fldCharType="begin"/>
      </w:r>
      <w:r w:rsidRPr="00C5187D">
        <w:rPr>
          <w:b/>
          <w:bCs/>
          <w:vanish/>
          <w:rtl/>
        </w:rPr>
        <w:instrText xml:space="preserve"> </w:instrText>
      </w:r>
      <w:r w:rsidRPr="00C5187D">
        <w:rPr>
          <w:rFonts w:hint="cs"/>
          <w:b/>
          <w:bCs/>
          <w:vanish/>
        </w:rPr>
        <w:instrText>REF</w:instrText>
      </w:r>
      <w:r w:rsidRPr="00C5187D">
        <w:rPr>
          <w:rFonts w:hint="cs"/>
          <w:b/>
          <w:bCs/>
          <w:vanish/>
          <w:rtl/>
        </w:rPr>
        <w:instrText xml:space="preserve"> _</w:instrText>
      </w:r>
      <w:r w:rsidRPr="00C5187D">
        <w:rPr>
          <w:rFonts w:hint="cs"/>
          <w:b/>
          <w:bCs/>
          <w:vanish/>
        </w:rPr>
        <w:instrText>Ref144156268 \r \h</w:instrText>
      </w:r>
      <w:r w:rsidRPr="00C5187D">
        <w:rPr>
          <w:b/>
          <w:bCs/>
          <w:vanish/>
          <w:rtl/>
        </w:rPr>
        <w:instrText xml:space="preserve"> </w:instrText>
      </w:r>
      <w:r w:rsidRPr="00C5187D">
        <w:rPr>
          <w:b/>
          <w:bCs/>
          <w:vanish/>
          <w:rtl/>
        </w:rPr>
      </w:r>
      <w:r w:rsidRPr="00C5187D">
        <w:rPr>
          <w:b/>
          <w:bCs/>
          <w:vanish/>
          <w:rtl/>
        </w:rPr>
        <w:fldChar w:fldCharType="separate"/>
      </w:r>
      <w:r w:rsidR="00D82181">
        <w:rPr>
          <w:b/>
          <w:bCs/>
          <w:vanish/>
          <w:cs/>
        </w:rPr>
        <w:t>‎</w:t>
      </w:r>
      <w:r w:rsidR="00D82181">
        <w:rPr>
          <w:b/>
          <w:bCs/>
          <w:vanish/>
          <w:rtl/>
        </w:rPr>
        <w:t>נט)</w:t>
      </w:r>
      <w:r w:rsidRPr="00C5187D">
        <w:rPr>
          <w:b/>
          <w:bCs/>
          <w:vanish/>
          <w:rtl/>
        </w:rPr>
        <w:fldChar w:fldCharType="end"/>
      </w:r>
      <w:r w:rsidRPr="00C5187D">
        <w:rPr>
          <w:rFonts w:hint="cs"/>
          <w:b/>
          <w:bCs/>
          <w:vanish/>
          <w:rtl/>
        </w:rPr>
        <w:t xml:space="preserve"> &gt;</w:t>
      </w:r>
      <w:r w:rsidRPr="00C5187D">
        <w:rPr>
          <w:rFonts w:hint="cs"/>
          <w:b/>
          <w:bCs/>
          <w:rtl/>
        </w:rPr>
        <w:t>שפת אמת לעיל</w:t>
      </w:r>
      <w:r w:rsidRPr="00C5187D">
        <w:rPr>
          <w:b/>
          <w:bCs/>
          <w:rtl/>
        </w:rPr>
        <w:t xml:space="preserve"> </w:t>
      </w:r>
      <w:r w:rsidRPr="00C5187D">
        <w:rPr>
          <w:rFonts w:ascii="Calibri" w:eastAsia="Times New Roman" w:hAnsi="Calibri" w:cs="Guttman Rashi"/>
          <w:noProof w:val="0"/>
          <w:sz w:val="10"/>
          <w:szCs w:val="12"/>
          <w:rtl/>
        </w:rPr>
        <w:t>(</w:t>
      </w:r>
      <w:r w:rsidRPr="00C5187D">
        <w:rPr>
          <w:rFonts w:ascii="Calibri" w:eastAsia="Times New Roman" w:hAnsi="Calibri" w:cs="Guttman Rashi" w:hint="cs"/>
          <w:noProof w:val="0"/>
          <w:sz w:val="10"/>
          <w:szCs w:val="12"/>
          <w:rtl/>
        </w:rPr>
        <w:t>עד: ד"ה אמר ר"א</w:t>
      </w:r>
      <w:r w:rsidRPr="00C5187D">
        <w:rPr>
          <w:rFonts w:ascii="Calibri" w:eastAsia="Times New Roman" w:hAnsi="Calibri" w:cs="Guttman Rashi"/>
          <w:noProof w:val="0"/>
          <w:sz w:val="10"/>
          <w:szCs w:val="12"/>
          <w:rtl/>
        </w:rPr>
        <w:t>)</w:t>
      </w:r>
      <w:r w:rsidRPr="00C5187D">
        <w:rPr>
          <w:vanish/>
          <w:rtl/>
        </w:rPr>
        <w:t>=</w:t>
      </w:r>
      <w:r>
        <w:rPr>
          <w:rFonts w:hint="cs"/>
          <w:rtl/>
        </w:rPr>
        <w:t xml:space="preserve"> דלולי דבריו עוד אפשר לבאר דחיוב מכה בפטיש הוא רק כשאין חיוב במלאכה מצד עצמה, אבל בחביתא דחייב על עצם המלאכה מדין מבשל, בכה"ג אין חיוב מכה בפטיש, </w:t>
      </w:r>
      <w:bookmarkStart w:id="5300" w:name="_Hlk144134997"/>
      <w:r>
        <w:rPr>
          <w:rFonts w:hint="cs"/>
          <w:rtl/>
        </w:rPr>
        <w:t>וכדביארו</w:t>
      </w:r>
      <w:r w:rsidRPr="00FD6B82">
        <w:rPr>
          <w:rtl/>
        </w:rPr>
        <w:t xml:space="preserve"> </w:t>
      </w:r>
      <w:r w:rsidRPr="00C5187D">
        <w:rPr>
          <w:rFonts w:hint="cs"/>
          <w:b/>
          <w:bCs/>
          <w:rtl/>
        </w:rPr>
        <w:t xml:space="preserve">היראים </w:t>
      </w:r>
      <w:r w:rsidRPr="00C5187D">
        <w:rPr>
          <w:rStyle w:val="af2"/>
          <w:rFonts w:eastAsia="Guttman Hodes" w:hint="cs"/>
          <w:rtl/>
        </w:rPr>
        <w:t xml:space="preserve">(עי' אות </w:t>
      </w:r>
      <w:r w:rsidRPr="00C5187D">
        <w:rPr>
          <w:rStyle w:val="af2"/>
          <w:rFonts w:eastAsia="Guttman Hodes"/>
          <w:rtl/>
        </w:rPr>
        <w:fldChar w:fldCharType="begin"/>
      </w:r>
      <w:r w:rsidRPr="00C5187D">
        <w:rPr>
          <w:rStyle w:val="af2"/>
          <w:rFonts w:eastAsia="Guttman Hodes"/>
          <w:rtl/>
        </w:rPr>
        <w:instrText xml:space="preserve"> </w:instrText>
      </w:r>
      <w:r w:rsidRPr="00C5187D">
        <w:rPr>
          <w:rStyle w:val="af2"/>
          <w:rFonts w:eastAsia="Guttman Hodes" w:hint="cs"/>
        </w:rPr>
        <w:instrText>REF</w:instrText>
      </w:r>
      <w:r w:rsidRPr="00C5187D">
        <w:rPr>
          <w:rStyle w:val="af2"/>
          <w:rFonts w:eastAsia="Guttman Hodes" w:hint="cs"/>
          <w:rtl/>
        </w:rPr>
        <w:instrText xml:space="preserve"> _</w:instrText>
      </w:r>
      <w:r w:rsidRPr="00C5187D">
        <w:rPr>
          <w:rStyle w:val="af2"/>
          <w:rFonts w:eastAsia="Guttman Hodes" w:hint="cs"/>
        </w:rPr>
        <w:instrText>Ref143857616 \r \h</w:instrText>
      </w:r>
      <w:r w:rsidRPr="00C5187D">
        <w:rPr>
          <w:rStyle w:val="af2"/>
          <w:rFonts w:eastAsia="Guttman Hodes"/>
          <w:rtl/>
        </w:rPr>
        <w:instrText xml:space="preserve"> </w:instrText>
      </w:r>
      <w:r w:rsidRPr="00C5187D">
        <w:rPr>
          <w:rStyle w:val="af2"/>
          <w:rFonts w:eastAsia="Guttman Hodes"/>
          <w:rtl/>
        </w:rPr>
      </w:r>
      <w:r w:rsidRPr="00C5187D">
        <w:rPr>
          <w:rStyle w:val="af2"/>
          <w:rFonts w:eastAsia="Guttman Hodes"/>
          <w:rtl/>
        </w:rPr>
        <w:fldChar w:fldCharType="separate"/>
      </w:r>
      <w:r w:rsidR="00D82181">
        <w:rPr>
          <w:rStyle w:val="af2"/>
          <w:rFonts w:eastAsia="Guttman Hodes"/>
          <w:cs/>
        </w:rPr>
        <w:t>‎</w:t>
      </w:r>
      <w:r w:rsidR="00D82181">
        <w:rPr>
          <w:rStyle w:val="af2"/>
          <w:rFonts w:eastAsia="Guttman Hodes"/>
          <w:rtl/>
        </w:rPr>
        <w:t>מח)</w:t>
      </w:r>
      <w:r w:rsidRPr="00C5187D">
        <w:rPr>
          <w:rStyle w:val="af2"/>
          <w:rFonts w:eastAsia="Guttman Hodes"/>
          <w:rtl/>
        </w:rPr>
        <w:fldChar w:fldCharType="end"/>
      </w:r>
      <w:r w:rsidRPr="00C5187D">
        <w:rPr>
          <w:rFonts w:hint="cs"/>
          <w:b/>
          <w:bCs/>
          <w:rtl/>
        </w:rPr>
        <w:t xml:space="preserve"> </w:t>
      </w:r>
      <w:bookmarkEnd w:id="5300"/>
      <w:r w:rsidRPr="00C5187D">
        <w:rPr>
          <w:rFonts w:hint="cs"/>
          <w:b/>
          <w:bCs/>
          <w:rtl/>
        </w:rPr>
        <w:t>והמאירי</w:t>
      </w:r>
      <w:r>
        <w:rPr>
          <w:rtl/>
        </w:rPr>
        <w:t xml:space="preserve"> </w:t>
      </w:r>
      <w:r w:rsidRPr="00C5187D">
        <w:rPr>
          <w:rStyle w:val="af2"/>
          <w:rFonts w:eastAsia="Guttman Hodes" w:hint="cs"/>
          <w:rtl/>
        </w:rPr>
        <w:t xml:space="preserve">(עי' אות </w:t>
      </w:r>
      <w:r w:rsidRPr="00C5187D">
        <w:rPr>
          <w:rStyle w:val="af2"/>
          <w:rFonts w:eastAsia="Guttman Hodes"/>
          <w:rtl/>
        </w:rPr>
        <w:fldChar w:fldCharType="begin"/>
      </w:r>
      <w:r w:rsidRPr="00C5187D">
        <w:rPr>
          <w:rStyle w:val="af2"/>
          <w:rFonts w:eastAsia="Guttman Hodes"/>
          <w:rtl/>
        </w:rPr>
        <w:instrText xml:space="preserve"> </w:instrText>
      </w:r>
      <w:r w:rsidRPr="00C5187D">
        <w:rPr>
          <w:rStyle w:val="af2"/>
          <w:rFonts w:eastAsia="Guttman Hodes" w:hint="cs"/>
        </w:rPr>
        <w:instrText>REF</w:instrText>
      </w:r>
      <w:r w:rsidRPr="00C5187D">
        <w:rPr>
          <w:rStyle w:val="af2"/>
          <w:rFonts w:eastAsia="Guttman Hodes" w:hint="cs"/>
          <w:rtl/>
        </w:rPr>
        <w:instrText xml:space="preserve"> _</w:instrText>
      </w:r>
      <w:r w:rsidRPr="00C5187D">
        <w:rPr>
          <w:rStyle w:val="af2"/>
          <w:rFonts w:eastAsia="Guttman Hodes" w:hint="cs"/>
        </w:rPr>
        <w:instrText>Ref144151109 \r \h</w:instrText>
      </w:r>
      <w:r w:rsidRPr="00C5187D">
        <w:rPr>
          <w:rStyle w:val="af2"/>
          <w:rFonts w:eastAsia="Guttman Hodes"/>
          <w:rtl/>
        </w:rPr>
        <w:instrText xml:space="preserve"> </w:instrText>
      </w:r>
      <w:r w:rsidRPr="00C5187D">
        <w:rPr>
          <w:rStyle w:val="af2"/>
          <w:rFonts w:eastAsia="Guttman Hodes"/>
          <w:rtl/>
        </w:rPr>
      </w:r>
      <w:r w:rsidRPr="00C5187D">
        <w:rPr>
          <w:rStyle w:val="af2"/>
          <w:rFonts w:eastAsia="Guttman Hodes"/>
          <w:rtl/>
        </w:rPr>
        <w:fldChar w:fldCharType="separate"/>
      </w:r>
      <w:r w:rsidR="00D82181">
        <w:rPr>
          <w:rStyle w:val="af2"/>
          <w:rFonts w:eastAsia="Guttman Hodes"/>
          <w:cs/>
        </w:rPr>
        <w:t>‎</w:t>
      </w:r>
      <w:r w:rsidR="00D82181">
        <w:rPr>
          <w:rStyle w:val="af2"/>
          <w:rFonts w:eastAsia="Guttman Hodes"/>
          <w:rtl/>
        </w:rPr>
        <w:t>לח)</w:t>
      </w:r>
      <w:r w:rsidRPr="00C5187D">
        <w:rPr>
          <w:rStyle w:val="af2"/>
          <w:rFonts w:eastAsia="Guttman Hodes"/>
          <w:rtl/>
        </w:rPr>
        <w:fldChar w:fldCharType="end"/>
      </w:r>
      <w:r>
        <w:rPr>
          <w:rFonts w:hint="cs"/>
          <w:rtl/>
        </w:rPr>
        <w:t>, וכתב</w:t>
      </w:r>
      <w:r w:rsidRPr="00C5187D">
        <w:rPr>
          <w:b/>
          <w:bCs/>
          <w:rtl/>
        </w:rPr>
        <w:t xml:space="preserve"> </w:t>
      </w:r>
      <w:r w:rsidRPr="00C5187D">
        <w:rPr>
          <w:rFonts w:hint="cs"/>
          <w:b/>
          <w:bCs/>
          <w:rtl/>
        </w:rPr>
        <w:t>השפת אמת</w:t>
      </w:r>
      <w:r>
        <w:rPr>
          <w:rtl/>
        </w:rPr>
        <w:t xml:space="preserve"> </w:t>
      </w:r>
      <w:r>
        <w:rPr>
          <w:rFonts w:hint="cs"/>
          <w:rtl/>
        </w:rPr>
        <w:t>דבדעת</w:t>
      </w:r>
      <w:r w:rsidRPr="00C5187D">
        <w:rPr>
          <w:b/>
          <w:bCs/>
          <w:rtl/>
        </w:rPr>
        <w:t xml:space="preserve"> </w:t>
      </w:r>
      <w:r w:rsidRPr="00C5187D">
        <w:rPr>
          <w:rFonts w:hint="cs"/>
          <w:b/>
          <w:bCs/>
          <w:rtl/>
        </w:rPr>
        <w:t>רש"י</w:t>
      </w:r>
      <w:r>
        <w:rPr>
          <w:rtl/>
        </w:rPr>
        <w:t xml:space="preserve"> </w:t>
      </w:r>
      <w:r>
        <w:rPr>
          <w:rFonts w:hint="cs"/>
          <w:rtl/>
        </w:rPr>
        <w:t>צ"ל דס"ל דשייך חיוב ב' מלאכות במכה בפטיש, וכדביאר</w:t>
      </w:r>
      <w:r w:rsidRPr="00C5187D">
        <w:rPr>
          <w:b/>
          <w:bCs/>
          <w:rtl/>
        </w:rPr>
        <w:t xml:space="preserve"> </w:t>
      </w:r>
      <w:r w:rsidRPr="00C5187D">
        <w:rPr>
          <w:rFonts w:hint="cs"/>
          <w:b/>
          <w:bCs/>
          <w:rtl/>
        </w:rPr>
        <w:t>הלח"מ</w:t>
      </w:r>
      <w:r>
        <w:rPr>
          <w:rtl/>
        </w:rPr>
        <w:t xml:space="preserve"> </w:t>
      </w:r>
      <w:r w:rsidRPr="00C5187D">
        <w:rPr>
          <w:rStyle w:val="af2"/>
          <w:rFonts w:eastAsia="Guttman Hodes" w:hint="cs"/>
          <w:rtl/>
        </w:rPr>
        <w:t xml:space="preserve">(עי' אות </w:t>
      </w:r>
      <w:r w:rsidRPr="00C5187D">
        <w:rPr>
          <w:rStyle w:val="af2"/>
          <w:rFonts w:eastAsia="Guttman Hodes"/>
          <w:rtl/>
        </w:rPr>
        <w:fldChar w:fldCharType="begin"/>
      </w:r>
      <w:r w:rsidRPr="00C5187D">
        <w:rPr>
          <w:rStyle w:val="af2"/>
          <w:rFonts w:eastAsia="Guttman Hodes"/>
          <w:rtl/>
        </w:rPr>
        <w:instrText xml:space="preserve"> </w:instrText>
      </w:r>
      <w:r w:rsidRPr="00C5187D">
        <w:rPr>
          <w:rStyle w:val="af2"/>
          <w:rFonts w:eastAsia="Guttman Hodes" w:hint="cs"/>
        </w:rPr>
        <w:instrText>REF</w:instrText>
      </w:r>
      <w:r w:rsidRPr="00C5187D">
        <w:rPr>
          <w:rStyle w:val="af2"/>
          <w:rFonts w:eastAsia="Guttman Hodes" w:hint="cs"/>
          <w:rtl/>
        </w:rPr>
        <w:instrText xml:space="preserve"> _</w:instrText>
      </w:r>
      <w:r w:rsidRPr="00C5187D">
        <w:rPr>
          <w:rStyle w:val="af2"/>
          <w:rFonts w:eastAsia="Guttman Hodes" w:hint="cs"/>
        </w:rPr>
        <w:instrText>Ref144154863 \r \h</w:instrText>
      </w:r>
      <w:r w:rsidRPr="00C5187D">
        <w:rPr>
          <w:rStyle w:val="af2"/>
          <w:rFonts w:eastAsia="Guttman Hodes"/>
          <w:rtl/>
        </w:rPr>
        <w:instrText xml:space="preserve"> </w:instrText>
      </w:r>
      <w:r w:rsidRPr="00C5187D">
        <w:rPr>
          <w:rStyle w:val="af2"/>
          <w:rFonts w:eastAsia="Guttman Hodes"/>
          <w:rtl/>
        </w:rPr>
      </w:r>
      <w:r w:rsidRPr="00C5187D">
        <w:rPr>
          <w:rStyle w:val="af2"/>
          <w:rFonts w:eastAsia="Guttman Hodes"/>
          <w:rtl/>
        </w:rPr>
        <w:fldChar w:fldCharType="separate"/>
      </w:r>
      <w:r w:rsidR="00D82181">
        <w:rPr>
          <w:rStyle w:val="af2"/>
          <w:rFonts w:eastAsia="Guttman Hodes"/>
          <w:cs/>
        </w:rPr>
        <w:t>‎</w:t>
      </w:r>
      <w:r w:rsidR="00D82181">
        <w:rPr>
          <w:rStyle w:val="af2"/>
          <w:rFonts w:eastAsia="Guttman Hodes"/>
          <w:rtl/>
        </w:rPr>
        <w:t>לה)</w:t>
      </w:r>
      <w:r w:rsidRPr="00C5187D">
        <w:rPr>
          <w:rStyle w:val="af2"/>
          <w:rFonts w:eastAsia="Guttman Hodes"/>
          <w:rtl/>
        </w:rPr>
        <w:fldChar w:fldCharType="end"/>
      </w:r>
      <w:r w:rsidRPr="00C5187D">
        <w:rPr>
          <w:rStyle w:val="af2"/>
          <w:rFonts w:eastAsia="Guttman Hodes" w:hint="cs"/>
          <w:rtl/>
        </w:rPr>
        <w:t xml:space="preserve"> </w:t>
      </w:r>
      <w:r>
        <w:rPr>
          <w:rFonts w:hint="cs"/>
          <w:rtl/>
        </w:rPr>
        <w:t>בדעת</w:t>
      </w:r>
      <w:r w:rsidRPr="00C5187D">
        <w:rPr>
          <w:b/>
          <w:bCs/>
          <w:rtl/>
        </w:rPr>
        <w:t xml:space="preserve"> </w:t>
      </w:r>
      <w:r w:rsidRPr="00C5187D">
        <w:rPr>
          <w:rFonts w:hint="cs"/>
          <w:b/>
          <w:bCs/>
          <w:rtl/>
        </w:rPr>
        <w:t>הרמב"ם</w:t>
      </w:r>
      <w:r>
        <w:rPr>
          <w:rFonts w:hint="cs"/>
          <w:rtl/>
        </w:rPr>
        <w:t>.</w:t>
      </w:r>
      <w:bookmarkEnd w:id="5299"/>
    </w:p>
    <w:p w14:paraId="0B74025A" w14:textId="77777777" w:rsidR="00A14FDA" w:rsidRPr="00BC7DC8" w:rsidRDefault="00A14FDA" w:rsidP="00A14FDA">
      <w:pPr>
        <w:pStyle w:val="afffffe"/>
        <w:rPr>
          <w:vanish/>
          <w:rtl/>
        </w:rPr>
      </w:pPr>
      <w:r w:rsidRPr="00BC7DC8">
        <w:rPr>
          <w:vanish/>
          <w:rtl/>
        </w:rPr>
        <w:t>שפת אמת שבת ע"ד ע"ב</w:t>
      </w:r>
      <w:r w:rsidRPr="00BC7DC8">
        <w:rPr>
          <w:rFonts w:hint="cs"/>
          <w:vanish/>
          <w:rtl/>
        </w:rPr>
        <w:t xml:space="preserve"> ד"ה אמר ר"א</w:t>
      </w:r>
    </w:p>
    <w:p w14:paraId="7C8AEFB6" w14:textId="77777777" w:rsidR="00A14FDA" w:rsidRPr="00D87F8B" w:rsidRDefault="00A14FDA" w:rsidP="00A14FDA">
      <w:pPr>
        <w:pStyle w:val="a2"/>
        <w:rPr>
          <w:rtl/>
        </w:rPr>
      </w:pPr>
      <w:r w:rsidRPr="00D87F8B">
        <w:rPr>
          <w:rtl/>
        </w:rPr>
        <w:t>שם בגמ' אמר ר"א כו' האי מאן דשדא סיכתא לאתונא חייב משום מבשל והא דלא מחייב ג"כ משום מכה בפטיש דגומר מלאכת היתד משום דפירש"י לקמן בהא דאמרי' דמאן דעבד תנורא חייב שמונה דחיוב מכה בפטיש אינו אלא כשעושה בידים ולא כשנגמר מאליו בתנור ולולי דבריו י"ל עוד דמכה בפטיש אינו חייב אלא היכא דמצד עצמו אינו מלאכה חייב משום דגומר הכלי אבל הכא דיש עלי' תורת מלאכה מצד עצמה משום מבשל לא מחייב משום מכה בפטיש ובזה יתיישב ג"כ לקמן בהא דתנור [וכן משמע לקמן (ק"ב ב) בפלוגתא דרב ושמואל במסתת ועושה נקב בלול ובמעייל שופתא בקופינא דמרא דלרב דמחייב משום בונה ליכא משום מכה בפטיש ע"ש וכ"כ המאירי לקמן סו"פ הבונה ע"ש וכ"מ ביראים (סי' ק"ב) דאפי' בכלי דפטור משום בונה מ"מ אין לחייב משום מכה בפטיש כיון שלא הי' נגמר מקודם אכן בלח"מ (פ"י מה"ש ה' י"ד) מפרש דלרב חייב משום בונה ומשום מכה בפטיש וכן צ"ל לשיטת רש"י הנ"ל]:</w:t>
      </w:r>
    </w:p>
    <w:p w14:paraId="791B2215" w14:textId="77777777" w:rsidR="00A14FDA" w:rsidRDefault="00A14FDA" w:rsidP="00A14FDA">
      <w:pPr>
        <w:pStyle w:val="a7"/>
        <w:rPr>
          <w:rtl/>
        </w:rPr>
      </w:pPr>
    </w:p>
    <w:p w14:paraId="20F78155" w14:textId="77777777" w:rsidR="00A14FDA" w:rsidRPr="00BA76A4" w:rsidRDefault="00A14FDA" w:rsidP="00BC7DC8">
      <w:pPr>
        <w:pStyle w:val="a3"/>
        <w:rPr>
          <w:rtl/>
        </w:rPr>
        <w:sectPr w:rsidR="00A14FDA" w:rsidRPr="00BA76A4" w:rsidSect="00F1706D">
          <w:footerReference w:type="default" r:id="rId175"/>
          <w:type w:val="continuous"/>
          <w:pgSz w:w="11906" w:h="16838"/>
          <w:pgMar w:top="720" w:right="720" w:bottom="720" w:left="720" w:header="283" w:footer="283" w:gutter="0"/>
          <w:cols w:num="2" w:space="567"/>
          <w:bidi/>
          <w:rtlGutter/>
        </w:sectPr>
      </w:pPr>
    </w:p>
    <w:p w14:paraId="52295D8A" w14:textId="77777777" w:rsidR="00A14FDA" w:rsidRDefault="00A14FDA" w:rsidP="00A14FDA">
      <w:pPr>
        <w:tabs>
          <w:tab w:val="left" w:pos="1163"/>
        </w:tabs>
        <w:spacing w:after="0" w:line="240" w:lineRule="auto"/>
        <w:jc w:val="center"/>
        <w:rPr>
          <w:rFonts w:eastAsia="Guttman Hodes" w:cs="Guttman Hodes"/>
          <w:noProof/>
          <w:sz w:val="18"/>
          <w:szCs w:val="18"/>
        </w:rPr>
      </w:pPr>
      <w:r>
        <w:rPr>
          <w:rFonts w:eastAsia="Guttman Hodes" w:cs="Guttman Hodes"/>
          <w:noProof/>
          <w:sz w:val="18"/>
          <w:szCs w:val="18"/>
        </w:rPr>
        <w:br w:type="page"/>
      </w:r>
    </w:p>
    <w:p w14:paraId="17F651CC" w14:textId="77777777" w:rsidR="00A14FDA" w:rsidRDefault="00A14FDA" w:rsidP="00A14FDA">
      <w:pPr>
        <w:tabs>
          <w:tab w:val="left" w:pos="1163"/>
        </w:tabs>
        <w:spacing w:after="0" w:line="240" w:lineRule="auto"/>
        <w:jc w:val="center"/>
      </w:pPr>
      <w:r>
        <w:rPr>
          <w:rFonts w:ascii="Guttman Hodes" w:eastAsia="Guttman Hodes" w:hAnsi="Guttman Hodes" w:cs="Guttman Hodes"/>
          <w:noProof/>
          <w:sz w:val="18"/>
          <w:szCs w:val="18"/>
        </w:rPr>
        <w:lastRenderedPageBreak/>
        <w:pict w14:anchorId="3A4B499C">
          <v:shape id="_x0000_i7848" type="#_x0000_t75" style="width:404.55pt;height:6.8pt" o:hrpct="0" o:hralign="center" o:hr="t">
            <v:imagedata r:id="rId36" o:title="BD14845_"/>
          </v:shape>
        </w:pict>
      </w:r>
    </w:p>
    <w:p w14:paraId="5FACD0B4" w14:textId="77777777" w:rsidR="00A14FDA" w:rsidRDefault="00A14FDA" w:rsidP="00A14FDA">
      <w:pPr>
        <w:pStyle w:val="affff5"/>
        <w:rPr>
          <w:rtl/>
        </w:rPr>
      </w:pPr>
      <w:bookmarkStart w:id="5301" w:name="_Toc144225300"/>
      <w:r>
        <w:rPr>
          <w:rFonts w:hint="cs"/>
          <w:rtl/>
        </w:rPr>
        <w:t>~</w:t>
      </w:r>
      <w:r>
        <w:rPr>
          <w:rFonts w:hint="cs"/>
          <w:noProof/>
          <w:rtl/>
        </w:rPr>
        <w:t>~~~~~~</w:t>
      </w:r>
      <w:r>
        <w:rPr>
          <w:rFonts w:hint="cs"/>
          <w:rtl/>
        </w:rPr>
        <w:t xml:space="preserve"> ביאורי ראשי הישיבות ~</w:t>
      </w:r>
      <w:r>
        <w:rPr>
          <w:rFonts w:hint="cs"/>
          <w:noProof/>
          <w:rtl/>
        </w:rPr>
        <w:t>~~~~</w:t>
      </w:r>
      <w:r>
        <w:rPr>
          <w:rFonts w:hint="cs"/>
          <w:rtl/>
        </w:rPr>
        <w:t>~~</w:t>
      </w:r>
      <w:bookmarkEnd w:id="5301"/>
      <w:r w:rsidRPr="0001175D">
        <w:rPr>
          <w:vanish/>
          <w:rtl/>
        </w:rPr>
        <w:t>&lt; #</w:t>
      </w:r>
      <w:r>
        <w:rPr>
          <w:vanish/>
          <w:rtl/>
        </w:rPr>
        <w:t>=</w:t>
      </w:r>
      <w:r w:rsidRPr="00362760">
        <w:rPr>
          <w:vanish/>
          <w:rtl/>
        </w:rPr>
        <w:t>&lt; # =</w:t>
      </w:r>
    </w:p>
    <w:p w14:paraId="03CF822E" w14:textId="77777777" w:rsidR="00A14FDA" w:rsidRPr="00110D58" w:rsidRDefault="00A14FDA" w:rsidP="00A14FDA">
      <w:pPr>
        <w:bidi w:val="0"/>
        <w:spacing w:after="0" w:line="360" w:lineRule="auto"/>
        <w:rPr>
          <w:rFonts w:eastAsia="Guttman Adii-Light" w:cs="Guttman Hodes"/>
          <w:b/>
          <w:bCs/>
          <w:sz w:val="18"/>
          <w:szCs w:val="28"/>
          <w:rtl/>
        </w:rPr>
        <w:sectPr w:rsidR="00A14FDA" w:rsidRPr="00110D58" w:rsidSect="00F1706D">
          <w:type w:val="continuous"/>
          <w:pgSz w:w="11906" w:h="16838"/>
          <w:pgMar w:top="720" w:right="720" w:bottom="720" w:left="720" w:header="283" w:footer="283" w:gutter="0"/>
          <w:cols w:space="720"/>
          <w:bidi/>
          <w:rtlGutter/>
        </w:sectPr>
      </w:pPr>
    </w:p>
    <w:p w14:paraId="4AC1CAB2" w14:textId="77777777" w:rsidR="00A14FDA" w:rsidRDefault="00A14FDA" w:rsidP="00A14FDA">
      <w:pPr>
        <w:pStyle w:val="affff5"/>
        <w:rPr>
          <w:rtl/>
        </w:rPr>
      </w:pPr>
      <w:bookmarkStart w:id="5302" w:name="_Toc144225301"/>
      <w:r>
        <w:rPr>
          <w:rFonts w:hint="cs"/>
          <w:rtl/>
        </w:rPr>
        <w:t>בגדר מכב"פ דתלי בחשיבות מעשה אומן</w:t>
      </w:r>
      <w:bookmarkEnd w:id="5302"/>
      <w:r w:rsidRPr="00362760">
        <w:rPr>
          <w:vanish/>
          <w:rtl/>
        </w:rPr>
        <w:t>&lt; # =</w:t>
      </w:r>
    </w:p>
    <w:p w14:paraId="0789DA0C" w14:textId="77777777" w:rsidR="00A14FDA" w:rsidRDefault="00A14FDA" w:rsidP="00A14FDA">
      <w:pPr>
        <w:pStyle w:val="1"/>
        <w:rPr>
          <w:rtl/>
        </w:rPr>
      </w:pPr>
      <w:bookmarkStart w:id="5303" w:name="_Toc144225302"/>
      <w:r>
        <w:rPr>
          <w:rFonts w:hint="cs"/>
          <w:rtl/>
        </w:rPr>
        <w:t>בי' האבהא"ז דהכאה בפטיש עצמה חשובה כשאין עוד מלאכה</w:t>
      </w:r>
      <w:bookmarkEnd w:id="5303"/>
    </w:p>
    <w:p w14:paraId="4E7EA77F" w14:textId="77777777" w:rsidR="00A14FDA" w:rsidRDefault="00A14FDA" w:rsidP="00A14FDA">
      <w:pPr>
        <w:pStyle w:val="afffff7"/>
        <w:rPr>
          <w:rtl/>
        </w:rPr>
      </w:pPr>
      <w:bookmarkStart w:id="5304" w:name="_Toc144224694"/>
      <w:bookmarkStart w:id="5305" w:name="_Toc163506242"/>
      <w:r w:rsidRPr="00F63F14">
        <w:rPr>
          <w:rFonts w:hint="cs"/>
          <w:rtl/>
        </w:rPr>
        <w:t>אבן האזל שבת פ"י הי"ז ד"ה והנה הרמב"ם</w:t>
      </w:r>
      <w:bookmarkEnd w:id="5304"/>
      <w:bookmarkEnd w:id="5305"/>
      <w:r w:rsidRPr="00421A47">
        <w:rPr>
          <w:vanish/>
          <w:rtl/>
        </w:rPr>
        <w:t xml:space="preserve"> (ב)</w:t>
      </w:r>
    </w:p>
    <w:p w14:paraId="6BEC8242" w14:textId="77777777" w:rsidR="00A14FDA" w:rsidRPr="00F63F14" w:rsidRDefault="00A14FDA" w:rsidP="00A14FDA">
      <w:pPr>
        <w:pStyle w:val="a7"/>
        <w:rPr>
          <w:rtl/>
        </w:rPr>
      </w:pPr>
      <w:r>
        <w:rPr>
          <w:rFonts w:hint="cs"/>
          <w:rtl/>
        </w:rPr>
        <w:t xml:space="preserve"> </w:t>
      </w:r>
      <w:bookmarkStart w:id="5306" w:name="_Toc144225303"/>
      <w:r>
        <w:rPr>
          <w:rFonts w:hint="cs"/>
          <w:rtl/>
        </w:rPr>
        <w:t>בי' האבהא"ז ברמב"ם דההכאה בפטיש עצמה היא המלאכה וגמר הוא תולדה ודלא כשא"ר</w:t>
      </w:r>
      <w:bookmarkEnd w:id="5306"/>
    </w:p>
    <w:p w14:paraId="6B4E16FC" w14:textId="3F024712" w:rsidR="00A14FDA" w:rsidRDefault="00A14FDA" w:rsidP="00BC7DC8">
      <w:pPr>
        <w:pStyle w:val="a3"/>
      </w:pPr>
      <w:bookmarkStart w:id="5307" w:name="_Ref143507531"/>
      <w:r>
        <w:rPr>
          <w:rFonts w:hint="cs"/>
          <w:rtl/>
        </w:rPr>
        <w:t xml:space="preserve">במה הקשו </w:t>
      </w:r>
      <w:r w:rsidRPr="00145F72">
        <w:rPr>
          <w:rStyle w:val="aff4"/>
          <w:rFonts w:hint="cs"/>
          <w:vanish/>
          <w:rtl/>
        </w:rPr>
        <w:t>-</w:t>
      </w:r>
      <w:r w:rsidRPr="001A2014">
        <w:rPr>
          <w:rStyle w:val="aff4"/>
          <w:rFonts w:hint="cs"/>
          <w:rtl/>
        </w:rPr>
        <w:t>הכס"מ</w:t>
      </w:r>
      <w:r w:rsidRPr="003F70F4">
        <w:rPr>
          <w:rStyle w:val="aff4"/>
          <w:rFonts w:hint="cs"/>
          <w:rtl/>
        </w:rPr>
        <w:t xml:space="preserve"> </w:t>
      </w:r>
      <w:r w:rsidRPr="001A2014">
        <w:rPr>
          <w:rStyle w:val="aff4"/>
          <w:rFonts w:hint="cs"/>
          <w:rtl/>
        </w:rPr>
        <w:t>והלח"מ</w:t>
      </w:r>
      <w:r w:rsidRPr="00145F72">
        <w:rPr>
          <w:rStyle w:val="aff4"/>
          <w:rFonts w:hint="cs"/>
          <w:vanish/>
          <w:rtl/>
        </w:rPr>
        <w:t>-</w:t>
      </w:r>
      <w:r>
        <w:rPr>
          <w:rFonts w:hint="cs"/>
          <w:rtl/>
        </w:rPr>
        <w:t xml:space="preserve"> </w:t>
      </w:r>
      <w:r w:rsidRPr="00C8052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Ref144151405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לד)</w:t>
      </w:r>
      <w:r>
        <w:rPr>
          <w:rStyle w:val="af2"/>
          <w:rFonts w:eastAsia="Guttman Hodes"/>
          <w:rtl/>
        </w:rPr>
        <w:fldChar w:fldCharType="end"/>
      </w:r>
      <w:r>
        <w:rPr>
          <w:rStyle w:val="af2"/>
          <w:rFonts w:eastAsia="Guttman Hodes" w:hint="cs"/>
          <w:rtl/>
        </w:rPr>
        <w:t xml:space="preserve"> </w:t>
      </w:r>
      <w:r>
        <w:rPr>
          <w:rFonts w:hint="cs"/>
          <w:rtl/>
        </w:rPr>
        <w:t xml:space="preserve">בסתירת דברי </w:t>
      </w:r>
      <w:r w:rsidRPr="00145F72">
        <w:rPr>
          <w:rStyle w:val="aff4"/>
          <w:rFonts w:hint="cs"/>
          <w:vanish/>
          <w:rtl/>
        </w:rPr>
        <w:t>-</w:t>
      </w:r>
      <w:r w:rsidRPr="001A2014">
        <w:rPr>
          <w:rStyle w:val="aff4"/>
          <w:rFonts w:hint="cs"/>
          <w:rtl/>
        </w:rPr>
        <w:t>הרמב"ם</w:t>
      </w:r>
      <w:r w:rsidRPr="00145F72">
        <w:rPr>
          <w:rStyle w:val="aff4"/>
          <w:rFonts w:hint="cs"/>
          <w:vanish/>
          <w:rtl/>
        </w:rPr>
        <w:t>-</w:t>
      </w:r>
      <w:r>
        <w:rPr>
          <w:rFonts w:hint="cs"/>
          <w:rtl/>
        </w:rPr>
        <w:t xml:space="preserve"> אי העושה נקב חייב משום בונה או משום מכה בפטיש, ובמה שתירץ </w:t>
      </w:r>
      <w:r w:rsidRPr="00255628">
        <w:rPr>
          <w:rStyle w:val="aff4"/>
          <w:rFonts w:hint="cs"/>
          <w:vanish/>
          <w:rtl/>
        </w:rPr>
        <w:t>-</w:t>
      </w:r>
      <w:r w:rsidRPr="00255628">
        <w:rPr>
          <w:rStyle w:val="aff4"/>
          <w:rFonts w:hint="cs"/>
          <w:rtl/>
        </w:rPr>
        <w:t>הלח"מ</w:t>
      </w:r>
      <w:r w:rsidRPr="00255628">
        <w:rPr>
          <w:rStyle w:val="aff4"/>
          <w:rFonts w:hint="cs"/>
          <w:vanish/>
          <w:rtl/>
        </w:rPr>
        <w:t>-</w:t>
      </w:r>
      <w:r>
        <w:rPr>
          <w:rFonts w:hint="cs"/>
          <w:rtl/>
        </w:rPr>
        <w:t xml:space="preserve"> </w:t>
      </w:r>
      <w:r w:rsidRPr="006C156B">
        <w:rPr>
          <w:rStyle w:val="af2"/>
          <w:rFonts w:eastAsia="Guttman Hodes" w:hint="cs"/>
          <w:rtl/>
        </w:rPr>
        <w:t xml:space="preserve">(עי' אות </w:t>
      </w:r>
      <w:r w:rsidRPr="006C156B">
        <w:rPr>
          <w:rStyle w:val="af2"/>
          <w:rFonts w:eastAsia="Guttman Hodes"/>
          <w:rtl/>
        </w:rPr>
        <w:fldChar w:fldCharType="begin"/>
      </w:r>
      <w:r w:rsidRPr="006C156B">
        <w:rPr>
          <w:rStyle w:val="af2"/>
          <w:rFonts w:eastAsia="Guttman Hodes"/>
          <w:rtl/>
        </w:rPr>
        <w:instrText xml:space="preserve"> </w:instrText>
      </w:r>
      <w:r w:rsidRPr="006C156B">
        <w:rPr>
          <w:rStyle w:val="af2"/>
          <w:rFonts w:eastAsia="Guttman Hodes" w:hint="cs"/>
        </w:rPr>
        <w:instrText>REF</w:instrText>
      </w:r>
      <w:r w:rsidRPr="006C156B">
        <w:rPr>
          <w:rStyle w:val="af2"/>
          <w:rFonts w:eastAsia="Guttman Hodes" w:hint="cs"/>
          <w:rtl/>
        </w:rPr>
        <w:instrText xml:space="preserve"> _</w:instrText>
      </w:r>
      <w:r w:rsidRPr="006C156B">
        <w:rPr>
          <w:rStyle w:val="af2"/>
          <w:rFonts w:eastAsia="Guttman Hodes" w:hint="cs"/>
        </w:rPr>
        <w:instrText>Ref144154863 \r \h</w:instrText>
      </w:r>
      <w:r w:rsidRPr="006C156B">
        <w:rPr>
          <w:rStyle w:val="af2"/>
          <w:rFonts w:eastAsia="Guttman Hodes"/>
          <w:rtl/>
        </w:rPr>
        <w:instrText xml:space="preserve"> </w:instrText>
      </w:r>
      <w:r w:rsidRPr="006C156B">
        <w:rPr>
          <w:rStyle w:val="af2"/>
          <w:rFonts w:eastAsia="Guttman Hodes"/>
          <w:rtl/>
        </w:rPr>
      </w:r>
      <w:r w:rsidRPr="006C156B">
        <w:rPr>
          <w:rStyle w:val="af2"/>
          <w:rFonts w:eastAsia="Guttman Hodes"/>
          <w:rtl/>
        </w:rPr>
        <w:fldChar w:fldCharType="separate"/>
      </w:r>
      <w:r w:rsidR="00D82181">
        <w:rPr>
          <w:rStyle w:val="af2"/>
          <w:rFonts w:eastAsia="Guttman Hodes"/>
          <w:cs/>
        </w:rPr>
        <w:t>‎</w:t>
      </w:r>
      <w:r w:rsidR="00D82181">
        <w:rPr>
          <w:rStyle w:val="af2"/>
          <w:rFonts w:eastAsia="Guttman Hodes"/>
          <w:rtl/>
        </w:rPr>
        <w:t>לה)</w:t>
      </w:r>
      <w:r w:rsidRPr="006C156B">
        <w:rPr>
          <w:rStyle w:val="af2"/>
          <w:rFonts w:eastAsia="Guttman Hodes"/>
          <w:rtl/>
        </w:rPr>
        <w:fldChar w:fldCharType="end"/>
      </w:r>
      <w:r>
        <w:rPr>
          <w:rFonts w:hint="cs"/>
          <w:rtl/>
        </w:rPr>
        <w:t xml:space="preserve"> דחייב שתים, כתב</w:t>
      </w:r>
      <w:r w:rsidRPr="00311A8A">
        <w:rPr>
          <w:rtl/>
        </w:rPr>
        <w:t xml:space="preserve"> </w:t>
      </w:r>
      <w:r w:rsidRPr="00255628">
        <w:rPr>
          <w:rStyle w:val="aff4"/>
          <w:vanish/>
          <w:rtl/>
        </w:rPr>
        <w:t>-</w:t>
      </w:r>
      <w:r w:rsidRPr="00255628">
        <w:rPr>
          <w:rStyle w:val="aff4"/>
          <w:rtl/>
        </w:rPr>
        <w:t>ה</w:t>
      </w:r>
      <w:r w:rsidRPr="00255628">
        <w:rPr>
          <w:rStyle w:val="aff4"/>
          <w:rFonts w:hint="cs"/>
          <w:vanish/>
          <w:rtl/>
        </w:rPr>
        <w:t xml:space="preserve">&lt;, </w:t>
      </w:r>
      <w:r w:rsidRPr="00255628">
        <w:rPr>
          <w:rStyle w:val="aff4"/>
          <w:vanish/>
          <w:rtl/>
        </w:rPr>
        <w:fldChar w:fldCharType="begin"/>
      </w:r>
      <w:r w:rsidRPr="00255628">
        <w:rPr>
          <w:rStyle w:val="aff4"/>
          <w:vanish/>
          <w:rtl/>
        </w:rPr>
        <w:instrText xml:space="preserve"> </w:instrText>
      </w:r>
      <w:r w:rsidRPr="00255628">
        <w:rPr>
          <w:rStyle w:val="aff4"/>
          <w:rFonts w:hint="cs"/>
          <w:vanish/>
        </w:rPr>
        <w:instrText>REF</w:instrText>
      </w:r>
      <w:r w:rsidRPr="00255628">
        <w:rPr>
          <w:rStyle w:val="aff4"/>
          <w:rFonts w:hint="cs"/>
          <w:vanish/>
          <w:rtl/>
        </w:rPr>
        <w:instrText xml:space="preserve"> _</w:instrText>
      </w:r>
      <w:r w:rsidRPr="00255628">
        <w:rPr>
          <w:rStyle w:val="aff4"/>
          <w:rFonts w:hint="cs"/>
          <w:vanish/>
        </w:rPr>
        <w:instrText>Ref143507531 \r \h</w:instrText>
      </w:r>
      <w:r w:rsidRPr="00255628">
        <w:rPr>
          <w:rStyle w:val="aff4"/>
          <w:vanish/>
          <w:rtl/>
        </w:rPr>
        <w:instrText xml:space="preserve"> </w:instrText>
      </w:r>
      <w:r w:rsidRPr="00255628">
        <w:rPr>
          <w:rStyle w:val="aff4"/>
          <w:vanish/>
          <w:rtl/>
        </w:rPr>
      </w:r>
      <w:r w:rsidRPr="00255628">
        <w:rPr>
          <w:rStyle w:val="aff4"/>
          <w:vanish/>
          <w:rtl/>
        </w:rPr>
        <w:fldChar w:fldCharType="separate"/>
      </w:r>
      <w:r w:rsidR="00D82181">
        <w:rPr>
          <w:rStyle w:val="aff4"/>
          <w:vanish/>
          <w:cs/>
        </w:rPr>
        <w:t>‎</w:t>
      </w:r>
      <w:r w:rsidR="00D82181">
        <w:rPr>
          <w:rStyle w:val="aff4"/>
          <w:vanish/>
          <w:rtl/>
        </w:rPr>
        <w:t>ס)</w:t>
      </w:r>
      <w:r w:rsidRPr="00255628">
        <w:rPr>
          <w:rStyle w:val="aff4"/>
          <w:vanish/>
          <w:rtl/>
        </w:rPr>
        <w:fldChar w:fldCharType="end"/>
      </w:r>
      <w:r w:rsidRPr="00255628">
        <w:rPr>
          <w:rStyle w:val="aff4"/>
          <w:rFonts w:hint="cs"/>
          <w:vanish/>
          <w:rtl/>
        </w:rPr>
        <w:t xml:space="preserve"> &gt;</w:t>
      </w:r>
      <w:r w:rsidRPr="00255628">
        <w:rPr>
          <w:rStyle w:val="aff4"/>
          <w:rtl/>
        </w:rPr>
        <w:t>אבן האזל</w:t>
      </w:r>
      <w:r w:rsidRPr="00255628">
        <w:rPr>
          <w:rStyle w:val="aff4"/>
          <w:vanish/>
          <w:rtl/>
        </w:rPr>
        <w:t>-</w:t>
      </w:r>
      <w:r w:rsidRPr="008074B8">
        <w:rPr>
          <w:rtl/>
        </w:rPr>
        <w:t xml:space="preserve"> </w:t>
      </w:r>
      <w:r w:rsidRPr="00C8052D">
        <w:rPr>
          <w:rStyle w:val="af2"/>
          <w:rFonts w:eastAsia="Guttman Hodes"/>
          <w:rtl/>
        </w:rPr>
        <w:t>(שבת פ"י הי"ז ד"ה והנה הרמב"ם)</w:t>
      </w:r>
      <w:r w:rsidRPr="00255628">
        <w:rPr>
          <w:vanish/>
          <w:rtl/>
        </w:rPr>
        <w:t>=</w:t>
      </w:r>
      <w:r>
        <w:rPr>
          <w:rFonts w:hint="cs"/>
          <w:rtl/>
        </w:rPr>
        <w:t xml:space="preserve"> </w:t>
      </w:r>
      <w:bookmarkEnd w:id="5307"/>
      <w:r>
        <w:rPr>
          <w:rFonts w:hint="cs"/>
          <w:rtl/>
        </w:rPr>
        <w:t>דדוחק לבאר כן בדברי רב דחייב אף משום בונה, אלא כתב</w:t>
      </w:r>
      <w:r>
        <w:rPr>
          <w:rtl/>
        </w:rPr>
        <w:t xml:space="preserve"> </w:t>
      </w:r>
      <w:r w:rsidRPr="004234A6">
        <w:rPr>
          <w:b/>
          <w:bCs/>
          <w:vanish/>
          <w:rtl/>
        </w:rPr>
        <w:t>&lt; &gt;</w:t>
      </w:r>
      <w:r>
        <w:rPr>
          <w:rFonts w:hint="cs"/>
          <w:b/>
          <w:bCs/>
          <w:rtl/>
        </w:rPr>
        <w:t>האבן האזל</w:t>
      </w:r>
      <w:r w:rsidRPr="004234A6">
        <w:rPr>
          <w:b/>
          <w:bCs/>
          <w:rtl/>
        </w:rPr>
        <w:t xml:space="preserve"> </w:t>
      </w:r>
      <w:r w:rsidRPr="00C8052D">
        <w:rPr>
          <w:rStyle w:val="af2"/>
          <w:rFonts w:eastAsia="Guttman Hodes"/>
          <w:rtl/>
        </w:rPr>
        <w:t>(</w:t>
      </w:r>
      <w:r w:rsidRPr="00C8052D">
        <w:rPr>
          <w:rStyle w:val="af2"/>
          <w:rFonts w:eastAsia="Guttman Hodes" w:hint="cs"/>
          <w:rtl/>
        </w:rPr>
        <w:t>שבת פ"י הי"ז ד"ה לכן נראה</w:t>
      </w:r>
      <w:r w:rsidRPr="00C8052D">
        <w:rPr>
          <w:rStyle w:val="af2"/>
          <w:rFonts w:eastAsia="Guttman Hodes"/>
          <w:rtl/>
        </w:rPr>
        <w:t>)</w:t>
      </w:r>
      <w:r w:rsidRPr="004234A6">
        <w:rPr>
          <w:vanish/>
          <w:rtl/>
        </w:rPr>
        <w:t>=</w:t>
      </w:r>
      <w:r>
        <w:rPr>
          <w:rtl/>
        </w:rPr>
        <w:t xml:space="preserve"> </w:t>
      </w:r>
      <w:r>
        <w:rPr>
          <w:rFonts w:hint="cs"/>
          <w:rtl/>
        </w:rPr>
        <w:t>דבעיקר הביאור במלאכת מכה בפטיש, פליג</w:t>
      </w:r>
      <w:r w:rsidRPr="003F6E41">
        <w:rPr>
          <w:b/>
          <w:bCs/>
          <w:rtl/>
        </w:rPr>
        <w:t xml:space="preserve"> </w:t>
      </w:r>
      <w:r>
        <w:rPr>
          <w:rFonts w:hint="cs"/>
          <w:b/>
          <w:bCs/>
          <w:rtl/>
        </w:rPr>
        <w:t xml:space="preserve">הרמב"ם </w:t>
      </w:r>
      <w:r>
        <w:rPr>
          <w:rFonts w:hint="cs"/>
          <w:rtl/>
        </w:rPr>
        <w:t xml:space="preserve">על </w:t>
      </w:r>
      <w:r w:rsidRPr="00255628">
        <w:rPr>
          <w:rStyle w:val="aff4"/>
          <w:rFonts w:hint="cs"/>
          <w:vanish/>
          <w:rtl/>
        </w:rPr>
        <w:t>-</w:t>
      </w:r>
      <w:r w:rsidRPr="00255628">
        <w:rPr>
          <w:rStyle w:val="aff4"/>
          <w:rFonts w:hint="cs"/>
          <w:rtl/>
        </w:rPr>
        <w:t>שאר הראשונים</w:t>
      </w:r>
      <w:r w:rsidRPr="00255628">
        <w:rPr>
          <w:rStyle w:val="aff4"/>
          <w:rFonts w:hint="cs"/>
          <w:vanish/>
          <w:rtl/>
        </w:rPr>
        <w:t>-</w:t>
      </w:r>
      <w:r>
        <w:rPr>
          <w:rFonts w:hint="cs"/>
          <w:rtl/>
        </w:rPr>
        <w:t xml:space="preserve"> דביארו דעיקר המלאכה היא גמר המלאכה, ונקראת מכה בפטיש כיון דכן דרך האומנים להכות בפטיש בגמר המלאכה, אבל לדעת</w:t>
      </w:r>
      <w:r w:rsidRPr="00D550D2">
        <w:rPr>
          <w:b/>
          <w:bCs/>
          <w:rtl/>
        </w:rPr>
        <w:t xml:space="preserve"> </w:t>
      </w:r>
      <w:r>
        <w:rPr>
          <w:rFonts w:hint="cs"/>
          <w:b/>
          <w:bCs/>
          <w:rtl/>
        </w:rPr>
        <w:t>הרמב"ם</w:t>
      </w:r>
      <w:r>
        <w:rPr>
          <w:rtl/>
        </w:rPr>
        <w:t xml:space="preserve"> </w:t>
      </w:r>
      <w:r>
        <w:rPr>
          <w:rFonts w:hint="cs"/>
          <w:rtl/>
        </w:rPr>
        <w:t xml:space="preserve">ההכאה בפטיש עצמה היא המלאכה, ואף כשמכה באמצע המלאכה הוי אב, וכן כל הכאה בפטיש על מסמר בכותל או על כלי הוא בכלל האב מלאכה, והא דאיתא בגמ' לעיל </w:t>
      </w:r>
      <w:r w:rsidRPr="00C8052D">
        <w:rPr>
          <w:rStyle w:val="af2"/>
          <w:rFonts w:eastAsia="Guttman Hodes" w:hint="cs"/>
          <w:rtl/>
        </w:rPr>
        <w:t>(עה:)</w:t>
      </w:r>
      <w:r>
        <w:rPr>
          <w:rFonts w:hint="cs"/>
          <w:rtl/>
        </w:rPr>
        <w:t xml:space="preserve"> דכל גמר מלאכה חייב משום מכה בפטיש, ביאר</w:t>
      </w:r>
      <w:r w:rsidRPr="00D550D2">
        <w:rPr>
          <w:b/>
          <w:bCs/>
          <w:rtl/>
        </w:rPr>
        <w:t xml:space="preserve"> </w:t>
      </w:r>
      <w:r>
        <w:rPr>
          <w:rFonts w:hint="cs"/>
          <w:b/>
          <w:bCs/>
          <w:rtl/>
        </w:rPr>
        <w:t>הרמב"ם</w:t>
      </w:r>
      <w:r>
        <w:rPr>
          <w:rtl/>
        </w:rPr>
        <w:t xml:space="preserve"> </w:t>
      </w:r>
      <w:r w:rsidRPr="00C8052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Ref143854981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לא)</w:t>
      </w:r>
      <w:r>
        <w:rPr>
          <w:rStyle w:val="af2"/>
          <w:rFonts w:eastAsia="Guttman Hodes"/>
          <w:rtl/>
        </w:rPr>
        <w:fldChar w:fldCharType="end"/>
      </w:r>
      <w:r>
        <w:rPr>
          <w:rFonts w:hint="cs"/>
          <w:rtl/>
        </w:rPr>
        <w:t xml:space="preserve"> דהוא תולדה דמכה בפטיש, כיון דדמי למלאכת האומן דגומר את המלאכה ע"י מכה בפטיש.</w:t>
      </w:r>
      <w:r>
        <w:rPr>
          <w:rtl/>
        </w:rPr>
        <w:t xml:space="preserve"> </w:t>
      </w:r>
      <w:r w:rsidRPr="00624EAA">
        <w:rPr>
          <w:rStyle w:val="af"/>
          <w:rFonts w:hint="cs"/>
          <w:rtl/>
        </w:rPr>
        <w:t xml:space="preserve">[וכן משמע </w:t>
      </w:r>
      <w:r w:rsidRPr="00624EAA">
        <w:rPr>
          <w:rStyle w:val="aff9"/>
          <w:rFonts w:hint="cs"/>
          <w:vanish/>
          <w:rtl/>
        </w:rPr>
        <w:t>-</w:t>
      </w:r>
      <w:r>
        <w:rPr>
          <w:rStyle w:val="aff9"/>
          <w:rFonts w:hint="cs"/>
          <w:rtl/>
        </w:rPr>
        <w:t>ב</w:t>
      </w:r>
      <w:r w:rsidRPr="00624EAA">
        <w:rPr>
          <w:rStyle w:val="aff9"/>
          <w:rFonts w:hint="cs"/>
          <w:rtl/>
        </w:rPr>
        <w:t>רמב"ם בפיהמ"ש</w:t>
      </w:r>
      <w:r w:rsidRPr="00624EAA">
        <w:rPr>
          <w:rStyle w:val="aff9"/>
          <w:rFonts w:hint="cs"/>
          <w:vanish/>
          <w:rtl/>
        </w:rPr>
        <w:t>-</w:t>
      </w:r>
      <w:r w:rsidRPr="00624EAA">
        <w:rPr>
          <w:rStyle w:val="af"/>
          <w:rFonts w:hint="cs"/>
          <w:rtl/>
        </w:rPr>
        <w:t xml:space="preserve"> </w:t>
      </w:r>
      <w:r w:rsidRPr="00624EAA">
        <w:rPr>
          <w:rStyle w:val="aff0"/>
          <w:rFonts w:hint="cs"/>
          <w:rtl/>
        </w:rPr>
        <w:t xml:space="preserve">(עי' אות </w:t>
      </w:r>
      <w:r w:rsidRPr="00624EAA">
        <w:rPr>
          <w:rStyle w:val="aff0"/>
          <w:rtl/>
        </w:rPr>
        <w:fldChar w:fldCharType="begin"/>
      </w:r>
      <w:r w:rsidRPr="00624EAA">
        <w:rPr>
          <w:rStyle w:val="aff0"/>
          <w:rtl/>
        </w:rPr>
        <w:instrText xml:space="preserve"> </w:instrText>
      </w:r>
      <w:r w:rsidRPr="00624EAA">
        <w:rPr>
          <w:rStyle w:val="aff0"/>
          <w:rFonts w:hint="cs"/>
        </w:rPr>
        <w:instrText>REF</w:instrText>
      </w:r>
      <w:r w:rsidRPr="00624EAA">
        <w:rPr>
          <w:rStyle w:val="aff0"/>
          <w:rFonts w:hint="cs"/>
          <w:rtl/>
        </w:rPr>
        <w:instrText xml:space="preserve"> _</w:instrText>
      </w:r>
      <w:r w:rsidRPr="00624EAA">
        <w:rPr>
          <w:rStyle w:val="aff0"/>
          <w:rFonts w:hint="cs"/>
        </w:rPr>
        <w:instrText>Ref144221755 \r \h</w:instrText>
      </w:r>
      <w:r w:rsidRPr="00624EAA">
        <w:rPr>
          <w:rStyle w:val="aff0"/>
          <w:rtl/>
        </w:rPr>
        <w:instrText xml:space="preserve"> </w:instrText>
      </w:r>
      <w:r w:rsidRPr="00624EAA">
        <w:rPr>
          <w:rStyle w:val="aff0"/>
          <w:rtl/>
        </w:rPr>
      </w:r>
      <w:r w:rsidRPr="00624EAA">
        <w:rPr>
          <w:rStyle w:val="aff0"/>
          <w:rtl/>
        </w:rPr>
        <w:fldChar w:fldCharType="separate"/>
      </w:r>
      <w:r w:rsidR="00D82181">
        <w:rPr>
          <w:rStyle w:val="aff0"/>
          <w:cs/>
        </w:rPr>
        <w:t>‎</w:t>
      </w:r>
      <w:r w:rsidR="00D82181">
        <w:rPr>
          <w:rStyle w:val="aff0"/>
          <w:rtl/>
        </w:rPr>
        <w:t>ח)</w:t>
      </w:r>
      <w:r w:rsidRPr="00624EAA">
        <w:rPr>
          <w:rStyle w:val="aff0"/>
          <w:rtl/>
        </w:rPr>
        <w:fldChar w:fldCharType="end"/>
      </w:r>
      <w:r w:rsidRPr="00624EAA">
        <w:rPr>
          <w:rStyle w:val="af"/>
          <w:rFonts w:hint="cs"/>
          <w:rtl/>
        </w:rPr>
        <w:t xml:space="preserve"> </w:t>
      </w:r>
      <w:r w:rsidRPr="00624EAA">
        <w:rPr>
          <w:rStyle w:val="aff9"/>
          <w:rFonts w:hint="cs"/>
          <w:vanish/>
          <w:rtl/>
        </w:rPr>
        <w:t>-</w:t>
      </w:r>
      <w:r w:rsidRPr="00624EAA">
        <w:rPr>
          <w:rStyle w:val="aff9"/>
          <w:rFonts w:hint="cs"/>
          <w:rtl/>
        </w:rPr>
        <w:t>ובמאירי</w:t>
      </w:r>
      <w:r w:rsidRPr="00624EAA">
        <w:rPr>
          <w:rStyle w:val="aff9"/>
          <w:rFonts w:hint="cs"/>
          <w:vanish/>
          <w:rtl/>
        </w:rPr>
        <w:t>-</w:t>
      </w:r>
      <w:r w:rsidRPr="00624EAA">
        <w:rPr>
          <w:rStyle w:val="af"/>
          <w:rFonts w:hint="cs"/>
          <w:rtl/>
        </w:rPr>
        <w:t xml:space="preserve"> </w:t>
      </w:r>
      <w:r w:rsidRPr="00624EAA">
        <w:rPr>
          <w:rStyle w:val="aff0"/>
          <w:rFonts w:hint="cs"/>
          <w:rtl/>
        </w:rPr>
        <w:t xml:space="preserve">(עי' אות </w:t>
      </w:r>
      <w:r w:rsidRPr="00624EAA">
        <w:rPr>
          <w:rStyle w:val="aff0"/>
          <w:rtl/>
        </w:rPr>
        <w:fldChar w:fldCharType="begin"/>
      </w:r>
      <w:r w:rsidRPr="00624EAA">
        <w:rPr>
          <w:rStyle w:val="aff0"/>
          <w:rtl/>
        </w:rPr>
        <w:instrText xml:space="preserve"> </w:instrText>
      </w:r>
      <w:r w:rsidRPr="00624EAA">
        <w:rPr>
          <w:rStyle w:val="aff0"/>
          <w:rFonts w:hint="cs"/>
        </w:rPr>
        <w:instrText>REF</w:instrText>
      </w:r>
      <w:r w:rsidRPr="00624EAA">
        <w:rPr>
          <w:rStyle w:val="aff0"/>
          <w:rFonts w:hint="cs"/>
          <w:rtl/>
        </w:rPr>
        <w:instrText xml:space="preserve"> _</w:instrText>
      </w:r>
      <w:r w:rsidRPr="00624EAA">
        <w:rPr>
          <w:rStyle w:val="aff0"/>
          <w:rFonts w:hint="cs"/>
        </w:rPr>
        <w:instrText>Ref143809651 \r \h</w:instrText>
      </w:r>
      <w:r w:rsidRPr="00624EAA">
        <w:rPr>
          <w:rStyle w:val="aff0"/>
          <w:rtl/>
        </w:rPr>
        <w:instrText xml:space="preserve"> </w:instrText>
      </w:r>
      <w:r w:rsidRPr="00624EAA">
        <w:rPr>
          <w:rStyle w:val="aff0"/>
          <w:rtl/>
        </w:rPr>
      </w:r>
      <w:r w:rsidRPr="00624EAA">
        <w:rPr>
          <w:rStyle w:val="aff0"/>
          <w:rtl/>
        </w:rPr>
        <w:fldChar w:fldCharType="separate"/>
      </w:r>
      <w:r w:rsidR="00D82181">
        <w:rPr>
          <w:rStyle w:val="aff0"/>
          <w:cs/>
        </w:rPr>
        <w:t>‎</w:t>
      </w:r>
      <w:r w:rsidR="00D82181">
        <w:rPr>
          <w:rStyle w:val="aff0"/>
          <w:rtl/>
        </w:rPr>
        <w:t>ט)</w:t>
      </w:r>
      <w:r w:rsidRPr="00624EAA">
        <w:rPr>
          <w:rStyle w:val="aff0"/>
          <w:rtl/>
        </w:rPr>
        <w:fldChar w:fldCharType="end"/>
      </w:r>
      <w:r w:rsidRPr="00624EAA">
        <w:rPr>
          <w:rStyle w:val="af"/>
          <w:rFonts w:hint="cs"/>
          <w:rtl/>
        </w:rPr>
        <w:t>].</w:t>
      </w:r>
    </w:p>
    <w:p w14:paraId="2DD4A8E0" w14:textId="77777777" w:rsidR="00A14FDA" w:rsidRPr="00BC7DC8" w:rsidRDefault="00A14FDA" w:rsidP="00A14FDA">
      <w:pPr>
        <w:pStyle w:val="afffffe"/>
        <w:rPr>
          <w:vanish/>
          <w:rtl/>
        </w:rPr>
      </w:pPr>
      <w:r w:rsidRPr="00BC7DC8">
        <w:rPr>
          <w:rFonts w:hint="cs"/>
          <w:vanish/>
          <w:rtl/>
        </w:rPr>
        <w:t>אבן האזל שבת פ"י הי"ז ד"ה והנה הרמב"ם</w:t>
      </w:r>
    </w:p>
    <w:p w14:paraId="525F5F6F" w14:textId="77777777" w:rsidR="00A14FDA" w:rsidRPr="00D87F8B" w:rsidRDefault="00A14FDA" w:rsidP="00A14FDA">
      <w:pPr>
        <w:pStyle w:val="a2"/>
        <w:rPr>
          <w:rtl/>
        </w:rPr>
      </w:pPr>
      <w:r w:rsidRPr="00D87F8B">
        <w:rPr>
          <w:rtl/>
        </w:rPr>
        <w:t>והנה הרמב"ם בפ"י הל' י"ד פסק שהעושה נקב בלול של תרנגולים חייב משום בונה, וכתב המ"מ שפסק כרב וכ' ע"ז הכ"מ ויש לתמוה שלקמן בסמוך כתב העושה נקב בין בעץ בין בבנין ה"ז תולדת מכה בפטיש ובר"פ כ"ג כתב העושה נקב שהוא עשוי להכניס האורה ולהוציא ההבל ה"ז חייב משום מכה בפטיש, ע"כ דבריו, וכתב הלח"מ דס"ל להרמב"ם דהא דפליגי רב ושמואל בעייל שופתא בקופינא דמרא דרב סבר משום בונה ושמואל סבר משום מכה בפטיש וכן בעושה נקב בלול של תרנגולים לאו דרב סבר דאינו חייב אלא משום בונה אלא דרב סבר דחייב אף משום בונה אבל אין ה"נ מודה דחייב משום מכה בפטיש נמי וה"נ אשכחן גבי משמר דרבה אמר משום בורר ור"ז אמר משום מרקד ופי' רש"י דרבה אף משום בורר ס"ל, אף דנשאר הלח"מ בפליאה על הרמב"ם דא"כ הו"ל למיתני דחייב שתים משום בונה ומשום מכה בפטיש עיין שם בלח"מ, והנה באמת קשים הדברים דאי חייב שתים משום בונה ומשום מכה בפטיש א"כ איך קאמר רב משום בונה דמשמע משום בונה לחוד ואינו חייב אלא אחת, ולא דמי להא דמשמר דהתם אינו חייב אלא אחת אי משום בורר או משום מרקד כמ"ש הלח"מ בעצמו משום דהכל מלאכה אחת ובאמת בורר גופא אי לא היה חשיב אב היה חייב משום מרקד וכן להיפוך כדמוכח בפ' כלל גדול דף ע"ג ע"ב אבל הכא אי חייב שתים לא הול"ל משום בונה אלא דחייב שתים.</w:t>
      </w:r>
    </w:p>
    <w:p w14:paraId="2FDCF8CC" w14:textId="77777777" w:rsidR="00A14FDA" w:rsidRPr="00806C89" w:rsidRDefault="00A14FDA" w:rsidP="00A14FDA">
      <w:pPr>
        <w:pStyle w:val="afffff5"/>
        <w:rPr>
          <w:rtl/>
        </w:rPr>
      </w:pPr>
      <w:r w:rsidRPr="00806C89">
        <w:rPr>
          <w:rtl/>
        </w:rPr>
        <w:t>לכן נראה ליישב דברי הרמב"ם בהקדם שנבאר פירושא דמלאכת מכה בפטיש לדעת הרמב"ם, דכל הראשונים משמע דס"ל דעיקר מלאכת מכה בפטיש הוא מלאכת גמר מלאכה, ורק דמיקרי מכה בפטיש משום דדרך האומן שמכה בפטיש בשעת גמר מלאכה, אכן באמת קשה הדבר מאד דנקט התנא דוקא השם דמכה בפטיש דאינו עיקר המלאכה ואם הכה בפטיש לפני גמר המלאכה פטור כדפי' רש"י להדיא במתני', אכן הרמב"ם נראה שהוא מפרש באופן אחר דזה לשון הרמב"ם בפ"י הל' ט"ז המכה בפטיש הכאה אחת חייב וכל העושה דבר שהוא גמר מלאכה ה"ז תולדה מכה בפטיש וחייב, כיצד המנפח בכלי זכוכית והצר בכלי צורה וכו' עיין שם הרי מבואר שלא הוצרך כלל בחיוב דמכה בפטיש שיהיה בשעת גמר מלאכה שהרי חלק אותם לשנים וכ' המכה בפטיש הכאה א' חייב וכל העושה דבר שהוא גמר מלאכה ה"ז תולדת מכה בפטיש וחייב, אלמא שהם שני דברים ואינם שייכים זה לזה ועוד שהרי הרמב"ם שינה מלשון הגמ', דבגמ' אמרינן בדף ע"ה רבה ור"ז דאמרי תרווייהו כל מידי דאית בה גמר מלאכה חייב משום מכה בפטיש ואפשר לפרש דהיינו דעיקרא דחיובא דמלאכת מכה בפטיש הוא גמר מלאכה אבל הרמב"ם הרי כתב וכל העושה דבר שהוא גמר מלאכה הוא תולדת מכה בפטיש, א"כ גמר מלאכה הוא תולדה ולא פירושא דמלאכת מכה בפטיש, לכן נראה דהרמב"ם מפרש מתני' כפשטה, דמכה בפטיש בעצמו היא מלאכה, וטעמא דמילתא דאחרי כל המלאכות השונה התנא דהם מלאכות נפרדים שיש בכל א' חשיבות מלאכה חשב לנו עוד מלאכה א' והוא מכה בפטיש והיינו מלאכת אומן שהמכה בפטיש הוא דבר השייך לאומן וחייבין עליו בשבת וזה גופה הוי חשיבותו שנקרא מלאכה בשביל זה, ולכן סתם הרמב"ם הדברים וכתב המכה בפטיש הכאה א' חייב, דהיינו שאין חילוק כלל אם הכה ע"ג מסמר בכותל או על גבי כלי כיון שהכה בפטיש זהו חשיבותו ומיקריא מלאכה, ואמרינן עלה בגמ' דכל מידי דאית בה גמר מלאכה חייב משום מכה בפטיש, והיינו דמידי דאית בה גמר מלאכה דמי למלאכת אומן וחייב משום מלאכת אומן ולכן האי מאן דשקיל אקופי מקופי מגלימא חייב משום מכה בפטיש וכן כל דכוותיה דכיון דהוי גמר המלאכה דמי למלאכת אומן וחייב עלה משום מלאכת מכה בפטיש.</w:t>
      </w:r>
    </w:p>
    <w:p w14:paraId="4B416AEC" w14:textId="77777777" w:rsidR="00A14FDA" w:rsidRDefault="00A14FDA" w:rsidP="00A14FDA">
      <w:pPr>
        <w:pStyle w:val="afffff7"/>
        <w:rPr>
          <w:rtl/>
        </w:rPr>
      </w:pPr>
      <w:bookmarkStart w:id="5308" w:name="_Toc144224695"/>
      <w:bookmarkStart w:id="5309" w:name="_Toc163506243"/>
      <w:r w:rsidRPr="00F63F14">
        <w:rPr>
          <w:rFonts w:hint="cs"/>
          <w:rtl/>
        </w:rPr>
        <w:t xml:space="preserve">אבן האזל שבת פ"י הי"ז ד"ה </w:t>
      </w:r>
      <w:r w:rsidRPr="008A2092">
        <w:rPr>
          <w:rtl/>
        </w:rPr>
        <w:t>ולכן</w:t>
      </w:r>
      <w:bookmarkEnd w:id="5308"/>
      <w:bookmarkEnd w:id="5309"/>
      <w:r w:rsidRPr="00421A47">
        <w:rPr>
          <w:vanish/>
          <w:rtl/>
        </w:rPr>
        <w:t xml:space="preserve"> (ב)</w:t>
      </w:r>
    </w:p>
    <w:p w14:paraId="27AFBE25" w14:textId="77777777" w:rsidR="00A14FDA" w:rsidRDefault="00A14FDA" w:rsidP="00A14FDA">
      <w:pPr>
        <w:pStyle w:val="a7"/>
        <w:rPr>
          <w:rtl/>
        </w:rPr>
      </w:pPr>
      <w:bookmarkStart w:id="5310" w:name="_Toc144225304"/>
      <w:r>
        <w:rPr>
          <w:rFonts w:hint="cs"/>
          <w:rtl/>
        </w:rPr>
        <w:t>בי' האבאה"ז דחשיבות המלאכה בהכאת הפטיש כיון דכך מלאכת אומן וכמבו' ברמב"ם במורסא</w:t>
      </w:r>
      <w:bookmarkEnd w:id="5310"/>
    </w:p>
    <w:p w14:paraId="1C1E6630" w14:textId="5E5F1A2D" w:rsidR="00A14FDA" w:rsidRDefault="00A14FDA" w:rsidP="00BC7DC8">
      <w:pPr>
        <w:pStyle w:val="a3"/>
      </w:pPr>
      <w:bookmarkStart w:id="5311" w:name="_Ref144117280"/>
      <w:r>
        <w:rPr>
          <w:rFonts w:hint="cs"/>
          <w:rtl/>
        </w:rPr>
        <w:t>וביאר</w:t>
      </w:r>
      <w:r>
        <w:rPr>
          <w:rtl/>
        </w:rPr>
        <w:t xml:space="preserve"> </w:t>
      </w:r>
      <w:r w:rsidRPr="00D9743A">
        <w:rPr>
          <w:b/>
          <w:bCs/>
          <w:rtl/>
        </w:rPr>
        <w:t>ה</w:t>
      </w:r>
      <w:r w:rsidRPr="00D9743A">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Ref144117280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סא)</w:t>
      </w:r>
      <w:r>
        <w:rPr>
          <w:b/>
          <w:bCs/>
          <w:vanish/>
          <w:rtl/>
        </w:rPr>
        <w:fldChar w:fldCharType="end"/>
      </w:r>
      <w:r w:rsidRPr="00D9743A">
        <w:rPr>
          <w:b/>
          <w:bCs/>
          <w:vanish/>
          <w:rtl/>
        </w:rPr>
        <w:t xml:space="preserve"> &gt;</w:t>
      </w:r>
      <w:r>
        <w:rPr>
          <w:rFonts w:hint="cs"/>
          <w:b/>
          <w:bCs/>
          <w:rtl/>
        </w:rPr>
        <w:t>אבן האזל</w:t>
      </w:r>
      <w:r w:rsidRPr="00D9743A">
        <w:rPr>
          <w:b/>
          <w:bCs/>
          <w:rtl/>
        </w:rPr>
        <w:t xml:space="preserve"> </w:t>
      </w:r>
      <w:r w:rsidRPr="00C8052D">
        <w:rPr>
          <w:rStyle w:val="af2"/>
          <w:rFonts w:eastAsia="Guttman Hodes"/>
          <w:rtl/>
        </w:rPr>
        <w:t>(</w:t>
      </w:r>
      <w:r w:rsidRPr="00C8052D">
        <w:rPr>
          <w:rStyle w:val="af2"/>
          <w:rFonts w:eastAsia="Guttman Hodes" w:hint="cs"/>
          <w:rtl/>
        </w:rPr>
        <w:t>שבת פ"י הי"ז ד"ה ולכן</w:t>
      </w:r>
      <w:r w:rsidRPr="00C8052D">
        <w:rPr>
          <w:rStyle w:val="af2"/>
          <w:rFonts w:eastAsia="Guttman Hodes"/>
          <w:rtl/>
        </w:rPr>
        <w:t>)</w:t>
      </w:r>
      <w:r w:rsidRPr="00D9743A">
        <w:rPr>
          <w:vanish/>
          <w:rtl/>
        </w:rPr>
        <w:t>=</w:t>
      </w:r>
      <w:r>
        <w:rPr>
          <w:rFonts w:hint="cs"/>
          <w:rtl/>
        </w:rPr>
        <w:t xml:space="preserve"> דהחשיבות של ההכאה בפטיש היא כיון דכך היא מלאכת האומן, ולכן במפיס מורסא כתב</w:t>
      </w:r>
      <w:r w:rsidRPr="00D64D61">
        <w:rPr>
          <w:b/>
          <w:bCs/>
          <w:rtl/>
        </w:rPr>
        <w:t xml:space="preserve"> </w:t>
      </w:r>
      <w:r>
        <w:rPr>
          <w:rFonts w:hint="cs"/>
          <w:b/>
          <w:bCs/>
          <w:rtl/>
        </w:rPr>
        <w:t>הרמב"ם</w:t>
      </w:r>
      <w:r>
        <w:rPr>
          <w:rtl/>
        </w:rPr>
        <w:t xml:space="preserve"> </w:t>
      </w:r>
      <w:r w:rsidRPr="00446E02">
        <w:rPr>
          <w:rStyle w:val="af2"/>
          <w:rFonts w:eastAsia="Guttman Hodes" w:hint="cs"/>
          <w:rtl/>
        </w:rPr>
        <w:t xml:space="preserve">(עי' אות </w:t>
      </w:r>
      <w:r w:rsidRPr="00446E02">
        <w:rPr>
          <w:rStyle w:val="af2"/>
          <w:rFonts w:eastAsia="Guttman Hodes"/>
          <w:rtl/>
        </w:rPr>
        <w:fldChar w:fldCharType="begin"/>
      </w:r>
      <w:r w:rsidRPr="00446E02">
        <w:rPr>
          <w:rStyle w:val="af2"/>
          <w:rFonts w:eastAsia="Guttman Hodes"/>
          <w:rtl/>
        </w:rPr>
        <w:instrText xml:space="preserve"> </w:instrText>
      </w:r>
      <w:r w:rsidRPr="00446E02">
        <w:rPr>
          <w:rStyle w:val="af2"/>
          <w:rFonts w:eastAsia="Guttman Hodes" w:hint="cs"/>
        </w:rPr>
        <w:instrText>REF</w:instrText>
      </w:r>
      <w:r w:rsidRPr="00446E02">
        <w:rPr>
          <w:rStyle w:val="af2"/>
          <w:rFonts w:eastAsia="Guttman Hodes" w:hint="cs"/>
          <w:rtl/>
        </w:rPr>
        <w:instrText xml:space="preserve"> _</w:instrText>
      </w:r>
      <w:r w:rsidRPr="00446E02">
        <w:rPr>
          <w:rStyle w:val="af2"/>
          <w:rFonts w:eastAsia="Guttman Hodes" w:hint="cs"/>
        </w:rPr>
        <w:instrText>Ref144117431 \r \h</w:instrText>
      </w:r>
      <w:r w:rsidRPr="00446E02">
        <w:rPr>
          <w:rStyle w:val="af2"/>
          <w:rFonts w:eastAsia="Guttman Hodes"/>
          <w:rtl/>
        </w:rPr>
        <w:instrText xml:space="preserve"> </w:instrText>
      </w:r>
      <w:r w:rsidRPr="00446E02">
        <w:rPr>
          <w:rStyle w:val="af2"/>
          <w:rFonts w:eastAsia="Guttman Hodes"/>
          <w:rtl/>
        </w:rPr>
      </w:r>
      <w:r w:rsidRPr="00446E02">
        <w:rPr>
          <w:rStyle w:val="af2"/>
          <w:rFonts w:eastAsia="Guttman Hodes"/>
          <w:rtl/>
        </w:rPr>
        <w:fldChar w:fldCharType="separate"/>
      </w:r>
      <w:r w:rsidR="00D82181">
        <w:rPr>
          <w:rStyle w:val="af2"/>
          <w:rFonts w:eastAsia="Guttman Hodes"/>
          <w:cs/>
        </w:rPr>
        <w:t>‎</w:t>
      </w:r>
      <w:r w:rsidR="00D82181">
        <w:rPr>
          <w:rStyle w:val="af2"/>
          <w:rFonts w:eastAsia="Guttman Hodes"/>
          <w:rtl/>
        </w:rPr>
        <w:t>לב)</w:t>
      </w:r>
      <w:r w:rsidRPr="00446E02">
        <w:rPr>
          <w:rStyle w:val="af2"/>
          <w:rFonts w:eastAsia="Guttman Hodes"/>
          <w:rtl/>
        </w:rPr>
        <w:fldChar w:fldCharType="end"/>
      </w:r>
      <w:r>
        <w:rPr>
          <w:rFonts w:hint="cs"/>
          <w:rtl/>
        </w:rPr>
        <w:t xml:space="preserve"> דחייב כיון שהוא מלאכת הרופא ולא כתב שהוא גמר מלאכה, דגדר המלאכה דמכה בפטיש הוא מלאכת האומן, ולא מחמת שהוא גמר מלאכה.</w:t>
      </w:r>
    </w:p>
    <w:p w14:paraId="5543039F" w14:textId="77777777" w:rsidR="00A14FDA" w:rsidRPr="00BC7DC8" w:rsidRDefault="00A14FDA" w:rsidP="00A14FDA">
      <w:pPr>
        <w:pStyle w:val="afffffe"/>
        <w:rPr>
          <w:vanish/>
          <w:rtl/>
        </w:rPr>
      </w:pPr>
      <w:r w:rsidRPr="00BC7DC8">
        <w:rPr>
          <w:rFonts w:hint="cs"/>
          <w:vanish/>
          <w:rtl/>
        </w:rPr>
        <w:t xml:space="preserve">אבן האזל שבת פ"י הי"ז ד"ה </w:t>
      </w:r>
      <w:r w:rsidRPr="00BC7DC8">
        <w:rPr>
          <w:vanish/>
          <w:rtl/>
        </w:rPr>
        <w:t>ולכן</w:t>
      </w:r>
    </w:p>
    <w:p w14:paraId="06EECFD8" w14:textId="77777777" w:rsidR="00A14FDA" w:rsidRDefault="00A14FDA" w:rsidP="00A14FDA">
      <w:pPr>
        <w:pStyle w:val="a2"/>
        <w:rPr>
          <w:rtl/>
        </w:rPr>
      </w:pPr>
      <w:r w:rsidRPr="00D87F8B">
        <w:rPr>
          <w:rtl/>
        </w:rPr>
        <w:t>ולכן גבי המפיס מורסא כתב הרמב"ם שזו היא מלאכת הרופא ולא דייק כלל לכתוב שהוא גמר מלאכה, אלא דכיון שהוא מלאכת הרופא הוי מלאכת אומן וחייב משום מכה בפטיש</w:t>
      </w:r>
      <w:r>
        <w:rPr>
          <w:rFonts w:hint="cs"/>
          <w:rtl/>
        </w:rPr>
        <w:t>.</w:t>
      </w:r>
    </w:p>
    <w:p w14:paraId="12A84639" w14:textId="77777777" w:rsidR="00A14FDA" w:rsidRPr="001A129C" w:rsidRDefault="00A14FDA" w:rsidP="00A14FDA">
      <w:pPr>
        <w:pStyle w:val="a7"/>
      </w:pPr>
      <w:bookmarkStart w:id="5312" w:name="_Toc144225305"/>
      <w:r>
        <w:rPr>
          <w:rFonts w:hint="cs"/>
          <w:rtl/>
        </w:rPr>
        <w:t>בי' האבהא"ז ברמב"ם דמעשה של מלאכה אחרת חשוב בעצמו</w:t>
      </w:r>
      <w:r w:rsidRPr="006604F4">
        <w:rPr>
          <w:rFonts w:hint="cs"/>
          <w:rtl/>
        </w:rPr>
        <w:t xml:space="preserve"> </w:t>
      </w:r>
      <w:r>
        <w:rPr>
          <w:rFonts w:hint="cs"/>
          <w:rtl/>
        </w:rPr>
        <w:t>וא"א לחייב גם בחשיבות אומן</w:t>
      </w:r>
      <w:bookmarkEnd w:id="5312"/>
    </w:p>
    <w:p w14:paraId="5C9AA763" w14:textId="11B061CE" w:rsidR="00A14FDA" w:rsidRDefault="00A14FDA" w:rsidP="00BC7DC8">
      <w:pPr>
        <w:pStyle w:val="a3"/>
        <w:rPr>
          <w:rtl/>
        </w:rPr>
      </w:pPr>
      <w:bookmarkStart w:id="5313" w:name="_Ref144222265"/>
      <w:r>
        <w:rPr>
          <w:rFonts w:hint="cs"/>
          <w:rtl/>
        </w:rPr>
        <w:t>והוסיף</w:t>
      </w:r>
      <w:r w:rsidRPr="005414CB">
        <w:rPr>
          <w:b/>
          <w:bCs/>
          <w:rtl/>
        </w:rPr>
        <w:t xml:space="preserve"> </w:t>
      </w:r>
      <w:r>
        <w:rPr>
          <w:rFonts w:hint="cs"/>
          <w:b/>
          <w:bCs/>
          <w:rtl/>
        </w:rPr>
        <w:t>האבן האזל</w:t>
      </w:r>
      <w:r>
        <w:rPr>
          <w:rtl/>
        </w:rPr>
        <w:t xml:space="preserve"> </w:t>
      </w:r>
      <w:r>
        <w:rPr>
          <w:rFonts w:hint="cs"/>
          <w:rtl/>
        </w:rPr>
        <w:t>דאין חשיבות האומן מחשיבה מלאכה בפנ"ע במקום שיש חיוב מחמת מלאכה אחרת, דבכה"ג חשיבות מלאכת האומן הוא מחמת המלאכה שעוסק בה, ולפי"ז לא שייך לחייב שתים מחמת בונה ומחמת מכה בפטיש,</w:t>
      </w:r>
      <w:r w:rsidRPr="00B04568">
        <w:rPr>
          <w:rStyle w:val="af"/>
          <w:rFonts w:hint="cs"/>
          <w:rtl/>
        </w:rPr>
        <w:t xml:space="preserve"> [כביאור </w:t>
      </w:r>
      <w:r w:rsidRPr="00FC3F5A">
        <w:rPr>
          <w:rStyle w:val="aff9"/>
          <w:rFonts w:hint="cs"/>
          <w:vanish/>
          <w:rtl/>
        </w:rPr>
        <w:t>-</w:t>
      </w:r>
      <w:r w:rsidRPr="00FC3F5A">
        <w:rPr>
          <w:rStyle w:val="aff9"/>
          <w:rFonts w:hint="cs"/>
          <w:rtl/>
        </w:rPr>
        <w:t>הלח"מ</w:t>
      </w:r>
      <w:r w:rsidRPr="00FC3F5A">
        <w:rPr>
          <w:rStyle w:val="aff9"/>
          <w:rFonts w:hint="cs"/>
          <w:vanish/>
          <w:rtl/>
        </w:rPr>
        <w:t>-</w:t>
      </w:r>
      <w:r w:rsidRPr="00B04568">
        <w:rPr>
          <w:rStyle w:val="af"/>
          <w:rFonts w:hint="cs"/>
          <w:rtl/>
        </w:rPr>
        <w:t xml:space="preserve"> </w:t>
      </w:r>
      <w:r w:rsidRPr="00FC3F5A">
        <w:rPr>
          <w:rStyle w:val="aff0"/>
          <w:rFonts w:hint="cs"/>
          <w:rtl/>
        </w:rPr>
        <w:t xml:space="preserve">(עי' אות </w:t>
      </w:r>
      <w:r w:rsidRPr="00FC3F5A">
        <w:rPr>
          <w:rStyle w:val="aff0"/>
          <w:rtl/>
        </w:rPr>
        <w:fldChar w:fldCharType="begin"/>
      </w:r>
      <w:r w:rsidRPr="00FC3F5A">
        <w:rPr>
          <w:rStyle w:val="aff0"/>
          <w:rtl/>
        </w:rPr>
        <w:instrText xml:space="preserve"> </w:instrText>
      </w:r>
      <w:r w:rsidRPr="00FC3F5A">
        <w:rPr>
          <w:rStyle w:val="aff0"/>
          <w:rFonts w:hint="cs"/>
        </w:rPr>
        <w:instrText>REF</w:instrText>
      </w:r>
      <w:r w:rsidRPr="00FC3F5A">
        <w:rPr>
          <w:rStyle w:val="aff0"/>
          <w:rFonts w:hint="cs"/>
          <w:rtl/>
        </w:rPr>
        <w:instrText xml:space="preserve"> _</w:instrText>
      </w:r>
      <w:r w:rsidRPr="00FC3F5A">
        <w:rPr>
          <w:rStyle w:val="aff0"/>
          <w:rFonts w:hint="cs"/>
        </w:rPr>
        <w:instrText>Ref144154863 \r \h</w:instrText>
      </w:r>
      <w:r w:rsidRPr="00FC3F5A">
        <w:rPr>
          <w:rStyle w:val="aff0"/>
          <w:rtl/>
        </w:rPr>
        <w:instrText xml:space="preserve"> </w:instrText>
      </w:r>
      <w:r w:rsidRPr="00FC3F5A">
        <w:rPr>
          <w:rStyle w:val="aff0"/>
          <w:rtl/>
        </w:rPr>
      </w:r>
      <w:r w:rsidRPr="00FC3F5A">
        <w:rPr>
          <w:rStyle w:val="aff0"/>
          <w:rtl/>
        </w:rPr>
        <w:fldChar w:fldCharType="separate"/>
      </w:r>
      <w:r w:rsidR="00D82181">
        <w:rPr>
          <w:rStyle w:val="aff0"/>
          <w:cs/>
        </w:rPr>
        <w:t>‎</w:t>
      </w:r>
      <w:r w:rsidR="00D82181">
        <w:rPr>
          <w:rStyle w:val="aff0"/>
          <w:rtl/>
        </w:rPr>
        <w:t>לה)</w:t>
      </w:r>
      <w:r w:rsidRPr="00FC3F5A">
        <w:rPr>
          <w:rStyle w:val="aff0"/>
          <w:rtl/>
        </w:rPr>
        <w:fldChar w:fldCharType="end"/>
      </w:r>
      <w:r w:rsidRPr="00B04568">
        <w:rPr>
          <w:rStyle w:val="af"/>
          <w:rFonts w:hint="cs"/>
          <w:rtl/>
        </w:rPr>
        <w:t xml:space="preserve"> </w:t>
      </w:r>
      <w:r w:rsidRPr="00FC3F5A">
        <w:rPr>
          <w:rStyle w:val="aff9"/>
          <w:rFonts w:hint="cs"/>
          <w:vanish/>
          <w:rtl/>
        </w:rPr>
        <w:t>-</w:t>
      </w:r>
      <w:r w:rsidRPr="00FC3F5A">
        <w:rPr>
          <w:rStyle w:val="aff9"/>
          <w:rFonts w:hint="cs"/>
          <w:rtl/>
        </w:rPr>
        <w:t>ברמב"ם</w:t>
      </w:r>
      <w:r w:rsidRPr="00FC3F5A">
        <w:rPr>
          <w:rStyle w:val="aff9"/>
          <w:rFonts w:hint="cs"/>
          <w:vanish/>
          <w:rtl/>
        </w:rPr>
        <w:t>-</w:t>
      </w:r>
      <w:r w:rsidRPr="00B04568">
        <w:rPr>
          <w:rStyle w:val="af"/>
          <w:rFonts w:hint="cs"/>
          <w:rtl/>
        </w:rPr>
        <w:t>],</w:t>
      </w:r>
      <w:r>
        <w:rPr>
          <w:rFonts w:hint="cs"/>
          <w:rtl/>
        </w:rPr>
        <w:t xml:space="preserve"> דאף שיש בהכאת הפטיש תוספת של חשיבות במעשה האומן, מ"מ לא עשה מעשה של ב' מלאכות וא"א לחייבו שתים, כעושה מעשה שכלול בו ב' מלאכות שונות.</w:t>
      </w:r>
      <w:bookmarkEnd w:id="5313"/>
    </w:p>
    <w:p w14:paraId="34146106" w14:textId="77777777" w:rsidR="00A14FDA" w:rsidRDefault="00A14FDA" w:rsidP="00A14FDA">
      <w:pPr>
        <w:pStyle w:val="a2"/>
      </w:pPr>
      <w:r w:rsidRPr="00D87F8B">
        <w:rPr>
          <w:rtl/>
        </w:rPr>
        <w:t>ולכן מיושב עכשיו שפיר, דלא שייך כלל לחיוב במלאכה אחת שתים משום בונה ומשום מכה בפטיש דכי שייך לחייב מעשה מלאכה א' משום שני חיובים, אלא אם במעשה האחת עשה באמת שני מלאכות נפרדים, כמו למשל אם קצר ונטע כאחת או שלש ואפה כאחת או כל שכמותם שבמעשה א' יעשה שני מלאכות אבל מכה בפטיש הא אמרינן דאינה מלאכה שיש בה חידוש פעולה ומלאכה מצד עצמה אלא דחשיבות מלאכת האומן מחשיב לזה מלאכה, דמלבד כל המלאכות שיש בכל א' חשיבות מלאכה ישנה עוד חשיבות הכאת פטיש וכן כל מלאכת אומן ג"כ מחשיב את המלאכה ונקרא עליו שם מלאכה וא"כ אם עשה אחת מן המלאכות באופן שיש ע"ז גם שם מלאכת אומן עכ"פ הא לא עשה שני מלאכות כלל ובשביל תוספות חשיבות לא יתחייב</w:t>
      </w:r>
      <w:r>
        <w:rPr>
          <w:rFonts w:hint="cs"/>
          <w:rtl/>
        </w:rPr>
        <w:t>.</w:t>
      </w:r>
    </w:p>
    <w:p w14:paraId="0CDAF7C7" w14:textId="77777777" w:rsidR="00A14FDA" w:rsidRPr="00AC44BC" w:rsidRDefault="00A14FDA" w:rsidP="00A14FDA">
      <w:pPr>
        <w:pStyle w:val="a7"/>
      </w:pPr>
      <w:bookmarkStart w:id="5314" w:name="_Toc144225306"/>
      <w:r>
        <w:rPr>
          <w:rFonts w:hint="cs"/>
          <w:rtl/>
        </w:rPr>
        <w:t>בי' האבהא"ז ברמב"ם דחיוב מכב"פ בנקב בבנין או בלול רק באופן שאין בו חיוב משום בונה</w:t>
      </w:r>
      <w:bookmarkEnd w:id="5314"/>
    </w:p>
    <w:p w14:paraId="4760438A" w14:textId="4593EB0D" w:rsidR="00A14FDA" w:rsidRPr="00D9743A" w:rsidRDefault="00A14FDA" w:rsidP="00BC7DC8">
      <w:pPr>
        <w:pStyle w:val="a3"/>
        <w:rPr>
          <w:rtl/>
        </w:rPr>
      </w:pPr>
      <w:bookmarkStart w:id="5315" w:name="_Ref144200709"/>
      <w:r>
        <w:rPr>
          <w:rFonts w:hint="cs"/>
          <w:rtl/>
        </w:rPr>
        <w:t>וכתב</w:t>
      </w:r>
      <w:r w:rsidRPr="00AB572F">
        <w:rPr>
          <w:b/>
          <w:bCs/>
          <w:rtl/>
        </w:rPr>
        <w:t xml:space="preserve"> </w:t>
      </w:r>
      <w:r>
        <w:rPr>
          <w:rFonts w:hint="cs"/>
          <w:b/>
          <w:bCs/>
          <w:rtl/>
        </w:rPr>
        <w:t>האבן האזל</w:t>
      </w:r>
      <w:r>
        <w:rPr>
          <w:rtl/>
        </w:rPr>
        <w:t xml:space="preserve"> </w:t>
      </w:r>
      <w:r>
        <w:rPr>
          <w:rFonts w:hint="cs"/>
          <w:rtl/>
        </w:rPr>
        <w:t>דמ"ש</w:t>
      </w:r>
      <w:r w:rsidRPr="00AB572F">
        <w:rPr>
          <w:b/>
          <w:bCs/>
          <w:rtl/>
        </w:rPr>
        <w:t xml:space="preserve"> </w:t>
      </w:r>
      <w:r>
        <w:rPr>
          <w:rFonts w:hint="cs"/>
          <w:b/>
          <w:bCs/>
          <w:rtl/>
        </w:rPr>
        <w:t>הרמב"ם</w:t>
      </w:r>
      <w:r>
        <w:rPr>
          <w:rtl/>
        </w:rPr>
        <w:t xml:space="preserve"> </w:t>
      </w:r>
      <w:r w:rsidRPr="00C8052D">
        <w:rPr>
          <w:rStyle w:val="af2"/>
          <w:rFonts w:eastAsia="Guttman Hodes" w:hint="cs"/>
          <w:rtl/>
        </w:rPr>
        <w:t xml:space="preserve">(עי' </w:t>
      </w:r>
      <w:r w:rsidRPr="002F4C9C">
        <w:rPr>
          <w:rStyle w:val="af2"/>
          <w:rFonts w:eastAsia="Guttman Hodes" w:hint="cs"/>
          <w:rtl/>
        </w:rPr>
        <w:t xml:space="preserve">אות </w:t>
      </w:r>
      <w:r w:rsidRPr="002F4C9C">
        <w:rPr>
          <w:rStyle w:val="af2"/>
          <w:rFonts w:eastAsia="Guttman Hodes"/>
          <w:rtl/>
        </w:rPr>
        <w:fldChar w:fldCharType="begin"/>
      </w:r>
      <w:r w:rsidRPr="002F4C9C">
        <w:rPr>
          <w:rStyle w:val="af2"/>
          <w:rFonts w:eastAsia="Guttman Hodes"/>
          <w:rtl/>
        </w:rPr>
        <w:instrText xml:space="preserve"> </w:instrText>
      </w:r>
      <w:r w:rsidRPr="002F4C9C">
        <w:rPr>
          <w:rStyle w:val="af2"/>
          <w:rFonts w:eastAsia="Guttman Hodes" w:hint="cs"/>
        </w:rPr>
        <w:instrText>REF</w:instrText>
      </w:r>
      <w:r w:rsidRPr="002F4C9C">
        <w:rPr>
          <w:rStyle w:val="af2"/>
          <w:rFonts w:eastAsia="Guttman Hodes" w:hint="cs"/>
          <w:rtl/>
        </w:rPr>
        <w:instrText xml:space="preserve"> _</w:instrText>
      </w:r>
      <w:r w:rsidRPr="002F4C9C">
        <w:rPr>
          <w:rStyle w:val="af2"/>
          <w:rFonts w:eastAsia="Guttman Hodes" w:hint="cs"/>
        </w:rPr>
        <w:instrText>Ref144151405 \r \h</w:instrText>
      </w:r>
      <w:r w:rsidRPr="002F4C9C">
        <w:rPr>
          <w:rStyle w:val="af2"/>
          <w:rFonts w:eastAsia="Guttman Hodes"/>
          <w:rtl/>
        </w:rPr>
        <w:instrText xml:space="preserve"> </w:instrText>
      </w:r>
      <w:r w:rsidRPr="002F4C9C">
        <w:rPr>
          <w:rStyle w:val="af2"/>
          <w:rFonts w:eastAsia="Guttman Hodes"/>
          <w:rtl/>
        </w:rPr>
      </w:r>
      <w:r w:rsidRPr="002F4C9C">
        <w:rPr>
          <w:rStyle w:val="af2"/>
          <w:rFonts w:eastAsia="Guttman Hodes"/>
          <w:rtl/>
        </w:rPr>
        <w:fldChar w:fldCharType="separate"/>
      </w:r>
      <w:r w:rsidR="00D82181">
        <w:rPr>
          <w:rStyle w:val="af2"/>
          <w:rFonts w:eastAsia="Guttman Hodes"/>
          <w:cs/>
        </w:rPr>
        <w:t>‎</w:t>
      </w:r>
      <w:r w:rsidR="00D82181">
        <w:rPr>
          <w:rStyle w:val="af2"/>
          <w:rFonts w:eastAsia="Guttman Hodes"/>
          <w:rtl/>
        </w:rPr>
        <w:t>לד)</w:t>
      </w:r>
      <w:r w:rsidRPr="002F4C9C">
        <w:rPr>
          <w:rStyle w:val="af2"/>
          <w:rFonts w:eastAsia="Guttman Hodes"/>
          <w:rtl/>
        </w:rPr>
        <w:fldChar w:fldCharType="end"/>
      </w:r>
      <w:r>
        <w:rPr>
          <w:rFonts w:hint="cs"/>
          <w:rtl/>
        </w:rPr>
        <w:t xml:space="preserve"> דבעושה נקב בעץ או במתכת או בבנין הוא תולדת מכה בפטיש, כוונתו לומר דבכל גמר מלאכה חייב משום מכה בפטיש, </w:t>
      </w:r>
      <w:r w:rsidRPr="00AC67C2">
        <w:rPr>
          <w:rStyle w:val="af"/>
          <w:rFonts w:hint="cs"/>
          <w:rtl/>
        </w:rPr>
        <w:t>[</w:t>
      </w:r>
      <w:r>
        <w:rPr>
          <w:rStyle w:val="af"/>
          <w:rFonts w:hint="cs"/>
          <w:rtl/>
        </w:rPr>
        <w:t>כ</w:t>
      </w:r>
      <w:r w:rsidRPr="00AC67C2">
        <w:rPr>
          <w:rStyle w:val="af"/>
          <w:rFonts w:hint="cs"/>
          <w:rtl/>
        </w:rPr>
        <w:t>שאין בו חיוב מלאכה אחרת]</w:t>
      </w:r>
      <w:r>
        <w:rPr>
          <w:rFonts w:hint="cs"/>
          <w:rtl/>
        </w:rPr>
        <w:t>, אלא דכיון דתנן דהקודח חייב והיינו אף בבנין, הוצרך</w:t>
      </w:r>
      <w:r w:rsidRPr="000D4ACC">
        <w:rPr>
          <w:b/>
          <w:bCs/>
          <w:rtl/>
        </w:rPr>
        <w:t xml:space="preserve"> </w:t>
      </w:r>
      <w:r>
        <w:rPr>
          <w:rFonts w:hint="cs"/>
          <w:b/>
          <w:bCs/>
          <w:rtl/>
        </w:rPr>
        <w:t>הרמב"ם</w:t>
      </w:r>
      <w:r>
        <w:rPr>
          <w:rtl/>
        </w:rPr>
        <w:t xml:space="preserve"> </w:t>
      </w:r>
      <w:r>
        <w:rPr>
          <w:rFonts w:hint="cs"/>
          <w:rtl/>
        </w:rPr>
        <w:t>לבאר דהיינו משום מכה בפטיש ולא משום בונה, וכן במ"ש</w:t>
      </w:r>
      <w:r w:rsidRPr="00AB572F">
        <w:rPr>
          <w:b/>
          <w:bCs/>
          <w:rtl/>
        </w:rPr>
        <w:t xml:space="preserve"> </w:t>
      </w:r>
      <w:r>
        <w:rPr>
          <w:rFonts w:hint="cs"/>
          <w:b/>
          <w:bCs/>
          <w:rtl/>
        </w:rPr>
        <w:t>הרמב"ם</w:t>
      </w:r>
      <w:r>
        <w:rPr>
          <w:rtl/>
        </w:rPr>
        <w:t xml:space="preserve"> </w:t>
      </w:r>
      <w:r w:rsidRPr="00C8052D">
        <w:rPr>
          <w:rStyle w:val="af2"/>
          <w:rFonts w:eastAsia="Guttman Hodes" w:hint="cs"/>
          <w:rtl/>
        </w:rPr>
        <w:t xml:space="preserve">(עי' </w:t>
      </w:r>
      <w:r w:rsidRPr="002F4C9C">
        <w:rPr>
          <w:rStyle w:val="af2"/>
          <w:rFonts w:eastAsia="Guttman Hodes" w:hint="cs"/>
          <w:rtl/>
        </w:rPr>
        <w:t xml:space="preserve">אות </w:t>
      </w:r>
      <w:r w:rsidRPr="002F4C9C">
        <w:rPr>
          <w:rStyle w:val="af2"/>
          <w:rFonts w:eastAsia="Guttman Hodes"/>
          <w:rtl/>
        </w:rPr>
        <w:fldChar w:fldCharType="begin"/>
      </w:r>
      <w:r w:rsidRPr="002F4C9C">
        <w:rPr>
          <w:rStyle w:val="af2"/>
          <w:rFonts w:eastAsia="Guttman Hodes"/>
          <w:rtl/>
        </w:rPr>
        <w:instrText xml:space="preserve"> </w:instrText>
      </w:r>
      <w:r w:rsidRPr="002F4C9C">
        <w:rPr>
          <w:rStyle w:val="af2"/>
          <w:rFonts w:eastAsia="Guttman Hodes" w:hint="cs"/>
        </w:rPr>
        <w:instrText>REF</w:instrText>
      </w:r>
      <w:r w:rsidRPr="002F4C9C">
        <w:rPr>
          <w:rStyle w:val="af2"/>
          <w:rFonts w:eastAsia="Guttman Hodes" w:hint="cs"/>
          <w:rtl/>
        </w:rPr>
        <w:instrText xml:space="preserve"> _</w:instrText>
      </w:r>
      <w:r w:rsidRPr="002F4C9C">
        <w:rPr>
          <w:rStyle w:val="af2"/>
          <w:rFonts w:eastAsia="Guttman Hodes" w:hint="cs"/>
        </w:rPr>
        <w:instrText>Ref144151405 \r \h</w:instrText>
      </w:r>
      <w:r w:rsidRPr="002F4C9C">
        <w:rPr>
          <w:rStyle w:val="af2"/>
          <w:rFonts w:eastAsia="Guttman Hodes"/>
          <w:rtl/>
        </w:rPr>
        <w:instrText xml:space="preserve"> </w:instrText>
      </w:r>
      <w:r w:rsidRPr="002F4C9C">
        <w:rPr>
          <w:rStyle w:val="af2"/>
          <w:rFonts w:eastAsia="Guttman Hodes"/>
          <w:rtl/>
        </w:rPr>
      </w:r>
      <w:r w:rsidRPr="002F4C9C">
        <w:rPr>
          <w:rStyle w:val="af2"/>
          <w:rFonts w:eastAsia="Guttman Hodes"/>
          <w:rtl/>
        </w:rPr>
        <w:fldChar w:fldCharType="separate"/>
      </w:r>
      <w:r w:rsidR="00D82181">
        <w:rPr>
          <w:rStyle w:val="af2"/>
          <w:rFonts w:eastAsia="Guttman Hodes"/>
          <w:cs/>
        </w:rPr>
        <w:t>‎</w:t>
      </w:r>
      <w:r w:rsidR="00D82181">
        <w:rPr>
          <w:rStyle w:val="af2"/>
          <w:rFonts w:eastAsia="Guttman Hodes"/>
          <w:rtl/>
        </w:rPr>
        <w:t>לד)</w:t>
      </w:r>
      <w:r w:rsidRPr="002F4C9C">
        <w:rPr>
          <w:rStyle w:val="af2"/>
          <w:rFonts w:eastAsia="Guttman Hodes"/>
          <w:rtl/>
        </w:rPr>
        <w:fldChar w:fldCharType="end"/>
      </w:r>
      <w:r>
        <w:rPr>
          <w:rFonts w:hint="cs"/>
          <w:rtl/>
        </w:rPr>
        <w:t xml:space="preserve"> דבעושה נקב בלול של תרנגולין דחייב משום מכה בפטיש כוונתו דבכלים א"א לחייב משום בונה דאין בנין בכלים, לכן הוצרך לבאר דבנקב דעשוי להכניס ולהוציא חייב משום מכה בפטיש, אף שאין בזה חיוב משום בונה.</w:t>
      </w:r>
      <w:bookmarkEnd w:id="5311"/>
      <w:bookmarkEnd w:id="5315"/>
    </w:p>
    <w:p w14:paraId="530BF274" w14:textId="77777777" w:rsidR="00A14FDA" w:rsidRPr="00D87F8B" w:rsidRDefault="00A14FDA" w:rsidP="00A14FDA">
      <w:pPr>
        <w:pStyle w:val="a2"/>
        <w:rPr>
          <w:rtl/>
        </w:rPr>
      </w:pPr>
      <w:r w:rsidRPr="00D87F8B">
        <w:rPr>
          <w:rtl/>
        </w:rPr>
        <w:t>ולכן שפיר בעייל שופתא בקופינא דמרא או העושה נקב בלול של תרנגולים אי חייב משום בונה לא שייך לחייבו ג"כ משום מכה בפטיש, ובאמת בכל מילי דמלאכת שבת אי הוי גמר מלאכה והוא עושה הגמר מלאכה יש לחייבו ג"כ משום מכה בפטיש, אלא דהרמב"ם רצה בזה להשמיענו שהעושה נקב בכל דבר בין בעץ בין במתכת בין בבנין בין בכלים ה"ז תולדת מכה בפטיש ומשום דתנן במתני' דהקודח חייב והיינו משום מכה בפטיש ונ"מ גם בעושה נקב בבנין אם לא התרו בו משום בונה אלא משום מכה בפטיש.</w:t>
      </w:r>
    </w:p>
    <w:p w14:paraId="0C612682" w14:textId="77777777" w:rsidR="00A14FDA" w:rsidRPr="00806C89" w:rsidRDefault="00A14FDA" w:rsidP="00A14FDA">
      <w:pPr>
        <w:pStyle w:val="afffff5"/>
        <w:rPr>
          <w:rtl/>
        </w:rPr>
      </w:pPr>
      <w:r w:rsidRPr="00806C89">
        <w:rPr>
          <w:rtl/>
        </w:rPr>
        <w:t>וכן לקמן בפ' כ"ג דאיירי לענין עושה נקב בחבית שהוא כלי וליכא לחיובי משום בונה, כתב ג"כ שהעושה נקב כ"ש שהוא עשוי להכניס האורה ולהוציא ההבל כמו לול של תרנגולים ה"ז חייב משום מכה בפטיש לפיכך וכו' והיינו דשם רצה לבאר דבעושה נקב בכלים דשם לא שייך לחיובי משום בונה דאין בנין בכלים וכנ"ל ואפילו בעושה כלי מחדש כמו שביארנו, ולכן לא נשאר אלא חיוב מכה בפטיש, ולכן כתב העושה נקב וכו' כמו בלול של תרנגולים, היינו נקב כזה שהוא עשוי להכניס ולהוציא, דבלול של תרנגולים יש ג"כ החיוב דמכה בפטיש וכנ"ל אלא דשם לא נצרך לזה כיון דאיכא נמי חיובא דבונה דהוי בונה ממש וכנ"ל.</w:t>
      </w:r>
    </w:p>
    <w:p w14:paraId="060EFEF4" w14:textId="77777777" w:rsidR="00A14FDA" w:rsidRDefault="00A14FDA" w:rsidP="00A14FDA">
      <w:pPr>
        <w:pStyle w:val="affff5"/>
        <w:rPr>
          <w:rtl/>
        </w:rPr>
      </w:pPr>
      <w:bookmarkStart w:id="5316" w:name="_Toc144225307"/>
      <w:r w:rsidRPr="00716C93">
        <w:rPr>
          <w:rFonts w:hint="cs"/>
          <w:rtl/>
        </w:rPr>
        <w:t>~~~~~~~~~~~~~~~~~~~~~~~~~~~~</w:t>
      </w:r>
      <w:bookmarkEnd w:id="5316"/>
      <w:r w:rsidRPr="00362760">
        <w:rPr>
          <w:vanish/>
          <w:rtl/>
        </w:rPr>
        <w:t>&lt; # =</w:t>
      </w:r>
    </w:p>
    <w:p w14:paraId="08579330" w14:textId="77777777" w:rsidR="00A14FDA" w:rsidRDefault="00A14FDA" w:rsidP="00A14FDA">
      <w:pPr>
        <w:pStyle w:val="affff5"/>
        <w:rPr>
          <w:rtl/>
        </w:rPr>
      </w:pPr>
      <w:bookmarkStart w:id="5317" w:name="_Toc144225308"/>
      <w:r>
        <w:rPr>
          <w:rFonts w:hint="cs"/>
          <w:rtl/>
        </w:rPr>
        <w:t>בבי' הירו' דבמקום אב אחר אין מכב"פ</w:t>
      </w:r>
      <w:bookmarkEnd w:id="5317"/>
      <w:r w:rsidRPr="00362760">
        <w:rPr>
          <w:vanish/>
          <w:rtl/>
        </w:rPr>
        <w:t>&lt; # =</w:t>
      </w:r>
    </w:p>
    <w:p w14:paraId="22B642ED" w14:textId="77777777" w:rsidR="00A14FDA" w:rsidRDefault="00A14FDA" w:rsidP="00A14FDA">
      <w:pPr>
        <w:pStyle w:val="1"/>
        <w:rPr>
          <w:rtl/>
        </w:rPr>
      </w:pPr>
      <w:bookmarkStart w:id="5318" w:name="_Toc144225309"/>
      <w:r>
        <w:rPr>
          <w:rFonts w:hint="cs"/>
          <w:rtl/>
        </w:rPr>
        <w:t>בי' החזו"י דמוכח בירו' דלא כמאירי וצ"ל דהיינו רק במקום אב</w:t>
      </w:r>
      <w:bookmarkEnd w:id="5318"/>
    </w:p>
    <w:p w14:paraId="45323133" w14:textId="77777777" w:rsidR="00A14FDA" w:rsidRDefault="00A14FDA" w:rsidP="00A14FDA">
      <w:pPr>
        <w:pStyle w:val="afffff7"/>
        <w:rPr>
          <w:rtl/>
        </w:rPr>
      </w:pPr>
      <w:bookmarkStart w:id="5319" w:name="_Toc144224696"/>
      <w:bookmarkStart w:id="5320" w:name="_Toc163506244"/>
      <w:r w:rsidRPr="00F63F14">
        <w:rPr>
          <w:rFonts w:hint="cs"/>
          <w:rtl/>
        </w:rPr>
        <w:t>חידושי חזון יחזקאל שבת ק"ד ע</w:t>
      </w:r>
      <w:r w:rsidRPr="00F63F14">
        <w:rPr>
          <w:rtl/>
        </w:rPr>
        <w:t>"</w:t>
      </w:r>
      <w:r w:rsidRPr="00F63F14">
        <w:rPr>
          <w:rFonts w:hint="cs"/>
          <w:rtl/>
        </w:rPr>
        <w:t>ב ד</w:t>
      </w:r>
      <w:r w:rsidRPr="00F63F14">
        <w:rPr>
          <w:rtl/>
        </w:rPr>
        <w:t>"</w:t>
      </w:r>
      <w:r w:rsidRPr="00F63F14">
        <w:rPr>
          <w:rFonts w:hint="cs"/>
          <w:rtl/>
        </w:rPr>
        <w:t>ה והא</w:t>
      </w:r>
      <w:bookmarkEnd w:id="5319"/>
      <w:bookmarkEnd w:id="5320"/>
      <w:r w:rsidRPr="00421A47">
        <w:rPr>
          <w:vanish/>
          <w:rtl/>
        </w:rPr>
        <w:t xml:space="preserve"> (ב)</w:t>
      </w:r>
    </w:p>
    <w:p w14:paraId="319646B9" w14:textId="77777777" w:rsidR="00A14FDA" w:rsidRDefault="00A14FDA" w:rsidP="00A14FDA">
      <w:pPr>
        <w:pStyle w:val="a7"/>
        <w:rPr>
          <w:rtl/>
        </w:rPr>
      </w:pPr>
      <w:bookmarkStart w:id="5321" w:name="_Toc144225310"/>
      <w:r>
        <w:rPr>
          <w:rFonts w:hint="cs"/>
          <w:rtl/>
        </w:rPr>
        <w:t>קו' החזון יחזקאל על המאירי דבירושלמי מוכח דאף כשמשלים את המלאכה עצמה יש מכב"פ</w:t>
      </w:r>
      <w:bookmarkEnd w:id="5321"/>
    </w:p>
    <w:p w14:paraId="6D23EED6" w14:textId="696A7454" w:rsidR="00A14FDA" w:rsidRPr="002916A6" w:rsidRDefault="00A14FDA" w:rsidP="00BC7DC8">
      <w:pPr>
        <w:pStyle w:val="a3"/>
      </w:pPr>
      <w:bookmarkStart w:id="5322" w:name="_Ref144117321"/>
      <w:r>
        <w:rPr>
          <w:rFonts w:hint="cs"/>
          <w:rtl/>
        </w:rPr>
        <w:t xml:space="preserve">במ"ש </w:t>
      </w:r>
      <w:r w:rsidRPr="00255628">
        <w:rPr>
          <w:rStyle w:val="aff4"/>
          <w:rFonts w:hint="cs"/>
          <w:vanish/>
          <w:rtl/>
        </w:rPr>
        <w:t>-</w:t>
      </w:r>
      <w:r w:rsidRPr="00255628">
        <w:rPr>
          <w:rStyle w:val="aff4"/>
          <w:rFonts w:hint="cs"/>
          <w:rtl/>
        </w:rPr>
        <w:t>המאירי לקמן</w:t>
      </w:r>
      <w:r w:rsidRPr="00255628">
        <w:rPr>
          <w:rStyle w:val="aff4"/>
          <w:rFonts w:hint="cs"/>
          <w:vanish/>
          <w:rtl/>
        </w:rPr>
        <w:t>-</w:t>
      </w:r>
      <w:r>
        <w:rPr>
          <w:rFonts w:hint="cs"/>
          <w:rtl/>
        </w:rPr>
        <w:t xml:space="preserve"> </w:t>
      </w:r>
      <w:r w:rsidRPr="00C8052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Ref144151109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לח)</w:t>
      </w:r>
      <w:r>
        <w:rPr>
          <w:rStyle w:val="af2"/>
          <w:rFonts w:eastAsia="Guttman Hodes"/>
          <w:rtl/>
        </w:rPr>
        <w:fldChar w:fldCharType="end"/>
      </w:r>
      <w:r>
        <w:rPr>
          <w:rFonts w:hint="cs"/>
          <w:rtl/>
        </w:rPr>
        <w:t xml:space="preserve"> דחיוב מכה בפטיש הוא רק אחר שנגמרה המלאכה בגוף הדבר, ולא בכתב אות אחת והשלים לספר, הקשה </w:t>
      </w:r>
      <w:r w:rsidRPr="00255628">
        <w:rPr>
          <w:rStyle w:val="aff4"/>
          <w:rFonts w:hint="cs"/>
          <w:vanish/>
          <w:rtl/>
        </w:rPr>
        <w:t>-</w:t>
      </w:r>
      <w:r w:rsidRPr="00255628">
        <w:rPr>
          <w:rStyle w:val="aff4"/>
          <w:rFonts w:hint="cs"/>
          <w:rtl/>
        </w:rPr>
        <w:t>ה</w:t>
      </w:r>
      <w:r w:rsidRPr="00255628">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Ref144117321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סד)</w:t>
      </w:r>
      <w:r>
        <w:rPr>
          <w:rStyle w:val="aff4"/>
          <w:vanish/>
          <w:rtl/>
        </w:rPr>
        <w:fldChar w:fldCharType="end"/>
      </w:r>
      <w:r w:rsidRPr="00255628">
        <w:rPr>
          <w:rStyle w:val="aff4"/>
          <w:rFonts w:hint="cs"/>
          <w:vanish/>
          <w:rtl/>
        </w:rPr>
        <w:t xml:space="preserve"> &gt;</w:t>
      </w:r>
      <w:r w:rsidRPr="00255628">
        <w:rPr>
          <w:rStyle w:val="aff4"/>
          <w:rFonts w:hint="cs"/>
          <w:rtl/>
        </w:rPr>
        <w:t>חזון יחזקאל</w:t>
      </w:r>
      <w:r w:rsidRPr="00255628">
        <w:rPr>
          <w:rStyle w:val="aff4"/>
          <w:rFonts w:hint="cs"/>
          <w:vanish/>
          <w:rtl/>
        </w:rPr>
        <w:t>-</w:t>
      </w:r>
      <w:r>
        <w:rPr>
          <w:rFonts w:hint="cs"/>
          <w:rtl/>
        </w:rPr>
        <w:t xml:space="preserve"> </w:t>
      </w:r>
      <w:r w:rsidRPr="00C8052D">
        <w:rPr>
          <w:rStyle w:val="af2"/>
          <w:rFonts w:eastAsia="Guttman Hodes" w:hint="cs"/>
          <w:rtl/>
        </w:rPr>
        <w:t>(חי' שבת קד: ד"ה והא, תוספתא פי"ב סוף ה"ה)</w:t>
      </w:r>
      <w:r w:rsidRPr="00255628">
        <w:rPr>
          <w:rFonts w:hint="cs"/>
          <w:vanish/>
          <w:rtl/>
        </w:rPr>
        <w:t>=</w:t>
      </w:r>
      <w:r>
        <w:rPr>
          <w:rFonts w:hint="cs"/>
          <w:rtl/>
        </w:rPr>
        <w:t xml:space="preserve"> דאיתא בירושלמי </w:t>
      </w:r>
      <w:r w:rsidRPr="00C8052D">
        <w:rPr>
          <w:rStyle w:val="af2"/>
          <w:rFonts w:eastAsia="Guttman Hodes" w:hint="cs"/>
          <w:rtl/>
        </w:rPr>
        <w:t>(פ"ז ה"ב, נא.)</w:t>
      </w:r>
      <w:r>
        <w:rPr>
          <w:rFonts w:hint="cs"/>
          <w:rtl/>
        </w:rPr>
        <w:t xml:space="preserve"> דחיסר בה אבר ובא אחר וגמרה חייב משום מכה בפטיש, והיינו כשהראשון צר צורה וחיסר ובא אחר והשלימו וגמר את הצורה ומבואר דאף שהשלים את המלאכה בגוף הדבר עצמו חייב משום מכה בפטיש. </w:t>
      </w:r>
      <w:r w:rsidRPr="00AC67C2">
        <w:rPr>
          <w:rStyle w:val="af"/>
          <w:rFonts w:hint="cs"/>
          <w:rtl/>
        </w:rPr>
        <w:t xml:space="preserve">[וכתב </w:t>
      </w:r>
      <w:r w:rsidRPr="00ED6903">
        <w:rPr>
          <w:rStyle w:val="af"/>
          <w:rFonts w:hint="cs"/>
          <w:vanish/>
          <w:rtl/>
        </w:rPr>
        <w:t>-</w:t>
      </w:r>
      <w:r w:rsidRPr="002F4C9C">
        <w:rPr>
          <w:rStyle w:val="aff9"/>
          <w:rFonts w:hint="cs"/>
          <w:rtl/>
        </w:rPr>
        <w:t>החזון יחזקאל</w:t>
      </w:r>
      <w:r w:rsidRPr="00FE2E1A">
        <w:rPr>
          <w:rStyle w:val="aff9"/>
          <w:rFonts w:hint="cs"/>
          <w:vanish/>
          <w:rtl/>
        </w:rPr>
        <w:t>-</w:t>
      </w:r>
      <w:r w:rsidRPr="00AC67C2">
        <w:rPr>
          <w:rStyle w:val="af"/>
          <w:rFonts w:hint="cs"/>
          <w:rtl/>
        </w:rPr>
        <w:t xml:space="preserve"> דהציון של </w:t>
      </w:r>
      <w:r w:rsidRPr="00ED6903">
        <w:rPr>
          <w:rStyle w:val="af"/>
          <w:rFonts w:hint="cs"/>
          <w:vanish/>
          <w:rtl/>
        </w:rPr>
        <w:t>-</w:t>
      </w:r>
      <w:r w:rsidRPr="003800FA">
        <w:rPr>
          <w:rStyle w:val="aff9"/>
          <w:rFonts w:hint="cs"/>
          <w:rtl/>
        </w:rPr>
        <w:t>העין משפט</w:t>
      </w:r>
      <w:r w:rsidRPr="00ED6903">
        <w:rPr>
          <w:rStyle w:val="af"/>
          <w:rFonts w:hint="cs"/>
          <w:vanish/>
          <w:rtl/>
        </w:rPr>
        <w:t>-</w:t>
      </w:r>
      <w:r w:rsidRPr="00AC67C2">
        <w:rPr>
          <w:rStyle w:val="af"/>
          <w:rFonts w:hint="cs"/>
          <w:rtl/>
        </w:rPr>
        <w:t xml:space="preserve"> על הירושלמי לדברי </w:t>
      </w:r>
      <w:r w:rsidRPr="00ED6903">
        <w:rPr>
          <w:rStyle w:val="af"/>
          <w:rFonts w:hint="cs"/>
          <w:vanish/>
          <w:rtl/>
        </w:rPr>
        <w:t>-</w:t>
      </w:r>
      <w:r w:rsidRPr="002F4C9C">
        <w:rPr>
          <w:rStyle w:val="aff9"/>
          <w:rFonts w:hint="cs"/>
          <w:rtl/>
        </w:rPr>
        <w:t>הרמב"ם</w:t>
      </w:r>
      <w:r w:rsidRPr="00FE2E1A">
        <w:rPr>
          <w:rStyle w:val="aff9"/>
          <w:rFonts w:hint="cs"/>
          <w:vanish/>
          <w:rtl/>
        </w:rPr>
        <w:t>-</w:t>
      </w:r>
      <w:r w:rsidRPr="00AC67C2">
        <w:rPr>
          <w:rStyle w:val="af"/>
          <w:rFonts w:hint="cs"/>
          <w:rtl/>
        </w:rPr>
        <w:t xml:space="preserve"> </w:t>
      </w:r>
      <w:r w:rsidRPr="00C8052D">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Ref143854981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לא)</w:t>
      </w:r>
      <w:r>
        <w:rPr>
          <w:rStyle w:val="aff0"/>
          <w:rtl/>
        </w:rPr>
        <w:fldChar w:fldCharType="end"/>
      </w:r>
      <w:r w:rsidRPr="00AC67C2">
        <w:rPr>
          <w:rStyle w:val="af"/>
          <w:rFonts w:hint="cs"/>
          <w:rtl/>
        </w:rPr>
        <w:t xml:space="preserve"> דמחייב בצר צורה אינו נכון, דהא </w:t>
      </w:r>
      <w:r w:rsidRPr="00ED6903">
        <w:rPr>
          <w:rStyle w:val="af"/>
          <w:rFonts w:hint="cs"/>
          <w:vanish/>
          <w:rtl/>
        </w:rPr>
        <w:t>-</w:t>
      </w:r>
      <w:r w:rsidRPr="002F4C9C">
        <w:rPr>
          <w:rStyle w:val="aff9"/>
          <w:rFonts w:hint="cs"/>
          <w:rtl/>
        </w:rPr>
        <w:t>הרמב"ם</w:t>
      </w:r>
      <w:r w:rsidRPr="00FE2E1A">
        <w:rPr>
          <w:rStyle w:val="aff9"/>
          <w:rFonts w:hint="cs"/>
          <w:vanish/>
          <w:rtl/>
        </w:rPr>
        <w:t>-</w:t>
      </w:r>
      <w:r w:rsidRPr="00AC67C2">
        <w:rPr>
          <w:rStyle w:val="af"/>
          <w:rFonts w:hint="cs"/>
          <w:rtl/>
        </w:rPr>
        <w:t xml:space="preserve"> מחייב במכה בפטיש אף בצר מקצת הצורה, והחיוב הוא מחמת גמר הכלי ולא מחמת גמר הצורה</w:t>
      </w:r>
      <w:r w:rsidRPr="005957AC">
        <w:rPr>
          <w:rStyle w:val="af"/>
          <w:rFonts w:hint="cs"/>
          <w:rtl/>
        </w:rPr>
        <w:t>].</w:t>
      </w:r>
      <w:bookmarkEnd w:id="5322"/>
    </w:p>
    <w:p w14:paraId="168E7A76" w14:textId="77777777" w:rsidR="00A14FDA" w:rsidRPr="00BC7DC8" w:rsidRDefault="00A14FDA" w:rsidP="00A14FDA">
      <w:pPr>
        <w:pStyle w:val="afffffe"/>
        <w:rPr>
          <w:vanish/>
          <w:rtl/>
        </w:rPr>
      </w:pPr>
      <w:r w:rsidRPr="00BC7DC8">
        <w:rPr>
          <w:rFonts w:hint="cs"/>
          <w:vanish/>
          <w:rtl/>
        </w:rPr>
        <w:t>חידושי חזון יחזקאל שבת ק"ד ע</w:t>
      </w:r>
      <w:r w:rsidRPr="00BC7DC8">
        <w:rPr>
          <w:vanish/>
          <w:rtl/>
        </w:rPr>
        <w:t>"</w:t>
      </w:r>
      <w:r w:rsidRPr="00BC7DC8">
        <w:rPr>
          <w:rFonts w:hint="cs"/>
          <w:vanish/>
          <w:rtl/>
        </w:rPr>
        <w:t>ב ד</w:t>
      </w:r>
      <w:r w:rsidRPr="00BC7DC8">
        <w:rPr>
          <w:vanish/>
          <w:rtl/>
        </w:rPr>
        <w:t>"</w:t>
      </w:r>
      <w:r w:rsidRPr="00BC7DC8">
        <w:rPr>
          <w:rFonts w:hint="cs"/>
          <w:vanish/>
          <w:rtl/>
        </w:rPr>
        <w:t>ה והא</w:t>
      </w:r>
    </w:p>
    <w:p w14:paraId="72FCB7F0" w14:textId="77777777" w:rsidR="00A14FDA" w:rsidRPr="00D87F8B" w:rsidRDefault="00A14FDA" w:rsidP="00A14FDA">
      <w:pPr>
        <w:pStyle w:val="a2"/>
        <w:rPr>
          <w:rtl/>
        </w:rPr>
      </w:pPr>
      <w:r w:rsidRPr="00D87F8B">
        <w:rPr>
          <w:rtl/>
        </w:rPr>
        <w:t>אך לכאורה נסתרה ס</w:t>
      </w:r>
      <w:r w:rsidRPr="00D87F8B">
        <w:rPr>
          <w:rFonts w:hint="cs"/>
          <w:rtl/>
        </w:rPr>
        <w:t>ב</w:t>
      </w:r>
      <w:r w:rsidRPr="00D87F8B">
        <w:rPr>
          <w:rtl/>
        </w:rPr>
        <w:t>רתו מהא שנאמר בתלמודא דמערבא בפרק כלל גדול הלכ</w:t>
      </w:r>
      <w:r w:rsidRPr="00D87F8B">
        <w:rPr>
          <w:rFonts w:hint="cs"/>
          <w:rtl/>
        </w:rPr>
        <w:t>ה</w:t>
      </w:r>
      <w:r w:rsidRPr="00D87F8B">
        <w:rPr>
          <w:rtl/>
        </w:rPr>
        <w:t xml:space="preserve"> ב </w:t>
      </w:r>
      <w:r w:rsidRPr="00D87F8B">
        <w:rPr>
          <w:rFonts w:hint="cs"/>
          <w:rtl/>
        </w:rPr>
        <w:t>"</w:t>
      </w:r>
      <w:r w:rsidRPr="00D87F8B">
        <w:rPr>
          <w:rtl/>
        </w:rPr>
        <w:t xml:space="preserve">חיסר בה אבר </w:t>
      </w:r>
      <w:r w:rsidRPr="00D87F8B">
        <w:rPr>
          <w:rFonts w:hint="cs"/>
          <w:rtl/>
        </w:rPr>
        <w:t>(</w:t>
      </w:r>
      <w:r w:rsidRPr="00D87F8B">
        <w:rPr>
          <w:rtl/>
        </w:rPr>
        <w:t>היינו הראשון אשר צר הצורה חיסר בה א</w:t>
      </w:r>
      <w:r w:rsidRPr="00D87F8B">
        <w:rPr>
          <w:rFonts w:hint="cs"/>
          <w:rtl/>
        </w:rPr>
        <w:t>בר)</w:t>
      </w:r>
      <w:r w:rsidRPr="00D87F8B">
        <w:rPr>
          <w:rtl/>
        </w:rPr>
        <w:t xml:space="preserve"> ובא</w:t>
      </w:r>
      <w:r w:rsidRPr="00D87F8B">
        <w:rPr>
          <w:rFonts w:hint="cs"/>
          <w:rtl/>
        </w:rPr>
        <w:t xml:space="preserve"> </w:t>
      </w:r>
      <w:r w:rsidRPr="00D87F8B">
        <w:rPr>
          <w:rtl/>
        </w:rPr>
        <w:t>אחר וגמרה ח</w:t>
      </w:r>
      <w:r w:rsidRPr="00D87F8B">
        <w:rPr>
          <w:rFonts w:hint="cs"/>
          <w:rtl/>
        </w:rPr>
        <w:t>יי</w:t>
      </w:r>
      <w:r w:rsidRPr="00D87F8B">
        <w:rPr>
          <w:rtl/>
        </w:rPr>
        <w:t>ב משום מכה בפטיש</w:t>
      </w:r>
      <w:r w:rsidRPr="00D87F8B">
        <w:rPr>
          <w:rFonts w:hint="cs"/>
          <w:rtl/>
        </w:rPr>
        <w:t>',</w:t>
      </w:r>
      <w:r w:rsidRPr="00D87F8B">
        <w:rPr>
          <w:rtl/>
        </w:rPr>
        <w:t xml:space="preserve"> הרי משמע </w:t>
      </w:r>
      <w:r w:rsidRPr="00D87F8B">
        <w:rPr>
          <w:rFonts w:hint="cs"/>
          <w:rtl/>
        </w:rPr>
        <w:t>מ</w:t>
      </w:r>
      <w:r w:rsidRPr="00D87F8B">
        <w:rPr>
          <w:rtl/>
        </w:rPr>
        <w:t>הכא אפילו אם ע</w:t>
      </w:r>
      <w:r w:rsidRPr="00D87F8B">
        <w:rPr>
          <w:rFonts w:hint="cs"/>
          <w:rtl/>
        </w:rPr>
        <w:t>ו</w:t>
      </w:r>
      <w:r w:rsidRPr="00D87F8B">
        <w:rPr>
          <w:rtl/>
        </w:rPr>
        <w:t xml:space="preserve">שה מלאכה </w:t>
      </w:r>
      <w:r w:rsidRPr="00D87F8B">
        <w:rPr>
          <w:rFonts w:hint="cs"/>
          <w:rtl/>
        </w:rPr>
        <w:t>ה</w:t>
      </w:r>
      <w:r w:rsidRPr="00D87F8B">
        <w:rPr>
          <w:rtl/>
        </w:rPr>
        <w:t>דרושה להשלמת גוף הדבר ה</w:t>
      </w:r>
      <w:r w:rsidRPr="00D87F8B">
        <w:rPr>
          <w:rFonts w:hint="cs"/>
          <w:rtl/>
        </w:rPr>
        <w:t>יי</w:t>
      </w:r>
      <w:r w:rsidRPr="00D87F8B">
        <w:rPr>
          <w:rtl/>
        </w:rPr>
        <w:t>נו לגמ</w:t>
      </w:r>
      <w:r w:rsidRPr="00D87F8B">
        <w:rPr>
          <w:rFonts w:hint="cs"/>
          <w:rtl/>
        </w:rPr>
        <w:t>ר</w:t>
      </w:r>
      <w:r w:rsidRPr="00D87F8B">
        <w:rPr>
          <w:rtl/>
        </w:rPr>
        <w:t xml:space="preserve"> הצורה כ</w:t>
      </w:r>
      <w:r w:rsidRPr="00D87F8B">
        <w:rPr>
          <w:rFonts w:hint="cs"/>
          <w:rtl/>
        </w:rPr>
        <w:t>יו</w:t>
      </w:r>
      <w:r w:rsidRPr="00D87F8B">
        <w:rPr>
          <w:rtl/>
        </w:rPr>
        <w:t>ן שיש בזה גמר מלאכה ח</w:t>
      </w:r>
      <w:r w:rsidRPr="00D87F8B">
        <w:rPr>
          <w:rFonts w:hint="cs"/>
          <w:rtl/>
        </w:rPr>
        <w:t>יי</w:t>
      </w:r>
      <w:r w:rsidRPr="00D87F8B">
        <w:rPr>
          <w:rtl/>
        </w:rPr>
        <w:t xml:space="preserve">ב משום מכה בפטיש </w:t>
      </w:r>
      <w:r w:rsidRPr="00D87F8B">
        <w:rPr>
          <w:rFonts w:hint="cs"/>
          <w:rtl/>
        </w:rPr>
        <w:t>(</w:t>
      </w:r>
      <w:r w:rsidRPr="00D87F8B">
        <w:rPr>
          <w:rtl/>
        </w:rPr>
        <w:t xml:space="preserve">מה שהראה שם </w:t>
      </w:r>
      <w:r w:rsidRPr="00D87F8B">
        <w:rPr>
          <w:rFonts w:hint="cs"/>
          <w:rtl/>
        </w:rPr>
        <w:t>ב</w:t>
      </w:r>
      <w:r w:rsidRPr="00D87F8B">
        <w:rPr>
          <w:rtl/>
        </w:rPr>
        <w:t>עין מש</w:t>
      </w:r>
      <w:r w:rsidRPr="00D87F8B">
        <w:rPr>
          <w:rFonts w:hint="cs"/>
          <w:rtl/>
        </w:rPr>
        <w:t>פ</w:t>
      </w:r>
      <w:r w:rsidRPr="00D87F8B">
        <w:rPr>
          <w:rtl/>
        </w:rPr>
        <w:t>ט דברי הירושלמי אלה בדברי הרמב"ם פ"י הטז אינו נ</w:t>
      </w:r>
      <w:r w:rsidRPr="00D87F8B">
        <w:rPr>
          <w:rFonts w:hint="cs"/>
          <w:rtl/>
        </w:rPr>
        <w:t>כ</w:t>
      </w:r>
      <w:r w:rsidRPr="00D87F8B">
        <w:rPr>
          <w:rtl/>
        </w:rPr>
        <w:t>ון דהת</w:t>
      </w:r>
      <w:r w:rsidRPr="00D87F8B">
        <w:rPr>
          <w:rFonts w:hint="cs"/>
          <w:rtl/>
        </w:rPr>
        <w:t>ם</w:t>
      </w:r>
      <w:r w:rsidRPr="00D87F8B">
        <w:rPr>
          <w:rtl/>
        </w:rPr>
        <w:t xml:space="preserve"> מיירי שהואצר מקצת צווה על הכלי </w:t>
      </w:r>
      <w:r w:rsidRPr="00D87F8B">
        <w:rPr>
          <w:rFonts w:hint="cs"/>
          <w:rtl/>
        </w:rPr>
        <w:t>וחייב</w:t>
      </w:r>
      <w:r w:rsidRPr="00D87F8B">
        <w:rPr>
          <w:rtl/>
        </w:rPr>
        <w:t xml:space="preserve"> משום מכה בפטיש על גמר כלי ולא משום גמר צורה</w:t>
      </w:r>
      <w:r w:rsidRPr="00D87F8B">
        <w:rPr>
          <w:rFonts w:hint="cs"/>
          <w:rtl/>
        </w:rPr>
        <w:t>).</w:t>
      </w:r>
    </w:p>
    <w:p w14:paraId="64295F6E" w14:textId="77777777" w:rsidR="00A14FDA" w:rsidRDefault="00A14FDA" w:rsidP="00A14FDA">
      <w:pPr>
        <w:pStyle w:val="a7"/>
        <w:rPr>
          <w:rtl/>
        </w:rPr>
      </w:pPr>
      <w:bookmarkStart w:id="5323" w:name="_Toc144225311"/>
      <w:r>
        <w:rPr>
          <w:rFonts w:hint="cs"/>
          <w:rtl/>
        </w:rPr>
        <w:t>בי' החזון יחזקאל דגמר מלאכה תולדת מכב"פ ובמקום שחייב על אב אחר א"א לחייב תולדה</w:t>
      </w:r>
      <w:bookmarkEnd w:id="5323"/>
    </w:p>
    <w:p w14:paraId="223EF8DF" w14:textId="2821D452" w:rsidR="00A14FDA" w:rsidRPr="00331776" w:rsidRDefault="00A14FDA" w:rsidP="00BC7DC8">
      <w:pPr>
        <w:pStyle w:val="a3"/>
        <w:rPr>
          <w:rtl/>
        </w:rPr>
      </w:pPr>
      <w:r>
        <w:rPr>
          <w:rFonts w:hint="cs"/>
          <w:rtl/>
        </w:rPr>
        <w:t xml:space="preserve">אלא כתב </w:t>
      </w:r>
      <w:r w:rsidRPr="00255628">
        <w:rPr>
          <w:rStyle w:val="aff4"/>
          <w:rFonts w:hint="cs"/>
          <w:vanish/>
          <w:rtl/>
        </w:rPr>
        <w:t>-</w:t>
      </w:r>
      <w:r w:rsidRPr="00255628">
        <w:rPr>
          <w:rStyle w:val="aff4"/>
          <w:rFonts w:hint="cs"/>
          <w:rtl/>
        </w:rPr>
        <w:t>החזון יחזקאל</w:t>
      </w:r>
      <w:r w:rsidRPr="00255628">
        <w:rPr>
          <w:rStyle w:val="aff4"/>
          <w:rFonts w:hint="cs"/>
          <w:vanish/>
          <w:rtl/>
        </w:rPr>
        <w:t>-</w:t>
      </w:r>
      <w:r>
        <w:rPr>
          <w:rFonts w:hint="cs"/>
          <w:rtl/>
        </w:rPr>
        <w:t xml:space="preserve"> דכיון דמבואר בירושלמי דאף בגמר המלאכה עצמה שייך לחייב משום מכה בפטיש, א"כ צ"ל דהביאור בהא דהכותב אות אחת והשלים לספר אינו חייב משום מכה בפטיש, הוא כדכתב </w:t>
      </w:r>
      <w:r w:rsidRPr="00255628">
        <w:rPr>
          <w:rStyle w:val="aff4"/>
          <w:rFonts w:hint="cs"/>
          <w:vanish/>
          <w:rtl/>
        </w:rPr>
        <w:t>-</w:t>
      </w:r>
      <w:r w:rsidRPr="00255628">
        <w:rPr>
          <w:rStyle w:val="aff4"/>
          <w:rFonts w:hint="cs"/>
          <w:rtl/>
        </w:rPr>
        <w:t>האו"ש</w:t>
      </w:r>
      <w:r w:rsidRPr="00255628">
        <w:rPr>
          <w:rStyle w:val="aff4"/>
          <w:rFonts w:hint="cs"/>
          <w:vanish/>
          <w:rtl/>
        </w:rPr>
        <w:t>-</w:t>
      </w:r>
      <w:r>
        <w:rPr>
          <w:rFonts w:hint="cs"/>
          <w:rtl/>
        </w:rPr>
        <w:t xml:space="preserve"> </w:t>
      </w:r>
      <w:r w:rsidRPr="00C8052D">
        <w:rPr>
          <w:rStyle w:val="af2"/>
          <w:rFonts w:eastAsia="Guttman Hodes" w:hint="cs"/>
          <w:rtl/>
        </w:rPr>
        <w:t>(שבת פ"ח הט"ו)</w:t>
      </w:r>
      <w:r>
        <w:rPr>
          <w:rFonts w:hint="cs"/>
          <w:rtl/>
        </w:rPr>
        <w:t xml:space="preserve"> דכל מעשה שאפשר לחייב בו על אב או על תולדה של אב אחר, חייב על האב, וכיון שבמלאכה זו אפשר לחייב באב דכותב, לכן אינו מתחייב בתולדה דמכה בפטיש, כמבואר </w:t>
      </w:r>
      <w:r w:rsidRPr="00255628">
        <w:rPr>
          <w:rStyle w:val="aff4"/>
          <w:rFonts w:hint="cs"/>
          <w:vanish/>
          <w:rtl/>
        </w:rPr>
        <w:t>-</w:t>
      </w:r>
      <w:r w:rsidRPr="00255628">
        <w:rPr>
          <w:rStyle w:val="aff4"/>
          <w:rFonts w:hint="cs"/>
          <w:rtl/>
        </w:rPr>
        <w:t>ברמב"ם</w:t>
      </w:r>
      <w:r w:rsidRPr="00255628">
        <w:rPr>
          <w:rStyle w:val="aff4"/>
          <w:rFonts w:hint="cs"/>
          <w:vanish/>
          <w:rtl/>
        </w:rPr>
        <w:t>-</w:t>
      </w:r>
      <w:r>
        <w:rPr>
          <w:rFonts w:hint="cs"/>
          <w:rtl/>
        </w:rPr>
        <w:t xml:space="preserve"> </w:t>
      </w:r>
      <w:r w:rsidRPr="00C8052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Ref143854981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לא)</w:t>
      </w:r>
      <w:r>
        <w:rPr>
          <w:rStyle w:val="af2"/>
          <w:rFonts w:eastAsia="Guttman Hodes"/>
          <w:rtl/>
        </w:rPr>
        <w:fldChar w:fldCharType="end"/>
      </w:r>
      <w:r>
        <w:rPr>
          <w:rFonts w:hint="cs"/>
          <w:rtl/>
        </w:rPr>
        <w:t xml:space="preserve"> דכל גמר מלאכה הוא תולדה דמכה בפטיש.</w:t>
      </w:r>
    </w:p>
    <w:p w14:paraId="64DE4ACB" w14:textId="77777777" w:rsidR="00A14FDA" w:rsidRPr="00D87F8B" w:rsidRDefault="00A14FDA" w:rsidP="00A14FDA">
      <w:pPr>
        <w:pStyle w:val="a2"/>
      </w:pPr>
      <w:r w:rsidRPr="00D87F8B">
        <w:rPr>
          <w:rFonts w:hint="cs"/>
          <w:rtl/>
        </w:rPr>
        <w:t xml:space="preserve"> וי</w:t>
      </w:r>
      <w:r w:rsidRPr="00D87F8B">
        <w:rPr>
          <w:rtl/>
        </w:rPr>
        <w:t xml:space="preserve">ש לומר דהא שכתב אות אחת והשלים את הספר וארג חוט אחד והשלים את הבגד אינו חייב משום מכה בפטיש היינו מטעם שכתוב באור שמח ה' שבת פ"ח הט"ו שהיכא בפעולה אחת יש לה יחס אל מלאכה שיתחייב משום משוס </w:t>
      </w:r>
      <w:r w:rsidRPr="00D87F8B">
        <w:rPr>
          <w:rFonts w:hint="cs"/>
          <w:rtl/>
        </w:rPr>
        <w:t>אב</w:t>
      </w:r>
      <w:r w:rsidRPr="00D87F8B">
        <w:rPr>
          <w:rtl/>
        </w:rPr>
        <w:t xml:space="preserve"> ויחס אל מלאכה אחרת משו</w:t>
      </w:r>
      <w:r w:rsidRPr="00D87F8B">
        <w:rPr>
          <w:rFonts w:hint="cs"/>
          <w:rtl/>
        </w:rPr>
        <w:t>ם</w:t>
      </w:r>
      <w:r w:rsidRPr="00D87F8B">
        <w:rPr>
          <w:rtl/>
        </w:rPr>
        <w:t xml:space="preserve"> תולדה ממנה המעשה מתיחס על האב ואינו חייב משום תולדה אתי שפיר </w:t>
      </w:r>
      <w:r w:rsidRPr="00D87F8B">
        <w:rPr>
          <w:rFonts w:hint="cs"/>
          <w:rtl/>
        </w:rPr>
        <w:t>נ</w:t>
      </w:r>
      <w:r w:rsidRPr="00D87F8B">
        <w:rPr>
          <w:rtl/>
        </w:rPr>
        <w:t xml:space="preserve">מי הכא שבכותב אות אחת והשלים את הספר חייב משום כותב שהוא אב ואינו חייב משום מכה בפטיש שהוה רק מטעם תולדת מכה בפטיש </w:t>
      </w:r>
      <w:r w:rsidRPr="00D87F8B">
        <w:rPr>
          <w:rFonts w:hint="cs"/>
          <w:rtl/>
        </w:rPr>
        <w:t>(</w:t>
      </w:r>
      <w:r w:rsidRPr="00D87F8B">
        <w:rPr>
          <w:rtl/>
        </w:rPr>
        <w:t>כדמוכח מדברי הרמב"ם שם בפ"י הט"ז</w:t>
      </w:r>
      <w:r w:rsidRPr="00D87F8B">
        <w:rPr>
          <w:rFonts w:hint="cs"/>
          <w:rtl/>
        </w:rPr>
        <w:t>).</w:t>
      </w:r>
    </w:p>
    <w:p w14:paraId="3EE82809" w14:textId="77777777" w:rsidR="00A14FDA" w:rsidRDefault="00A14FDA" w:rsidP="00A14FDA">
      <w:pPr>
        <w:pStyle w:val="affff5"/>
        <w:rPr>
          <w:rtl/>
        </w:rPr>
      </w:pPr>
      <w:bookmarkStart w:id="5324" w:name="_Toc144225312"/>
      <w:r w:rsidRPr="00716C93">
        <w:rPr>
          <w:rFonts w:hint="cs"/>
          <w:rtl/>
        </w:rPr>
        <w:t>~~~~~~~~~~~~~~~~~~~~~~~~~~~~</w:t>
      </w:r>
      <w:bookmarkEnd w:id="5324"/>
      <w:r w:rsidRPr="00362760">
        <w:rPr>
          <w:vanish/>
          <w:rtl/>
        </w:rPr>
        <w:t>&lt; # =</w:t>
      </w:r>
    </w:p>
    <w:p w14:paraId="6B54B663" w14:textId="77777777" w:rsidR="00A14FDA" w:rsidRDefault="00A14FDA" w:rsidP="00A14FDA">
      <w:pPr>
        <w:pStyle w:val="affff5"/>
        <w:rPr>
          <w:rtl/>
        </w:rPr>
      </w:pPr>
      <w:bookmarkStart w:id="5325" w:name="_Toc144225313"/>
      <w:r>
        <w:rPr>
          <w:rFonts w:hint="cs"/>
          <w:rtl/>
        </w:rPr>
        <w:t>בבי' רש"י דבנגמר מאיליו אין מכב"פ</w:t>
      </w:r>
      <w:bookmarkEnd w:id="5325"/>
      <w:r w:rsidRPr="00362760">
        <w:rPr>
          <w:vanish/>
          <w:rtl/>
        </w:rPr>
        <w:t>&lt; # =</w:t>
      </w:r>
    </w:p>
    <w:p w14:paraId="2BE5DAFE" w14:textId="77777777" w:rsidR="00A14FDA" w:rsidRPr="00A65234" w:rsidRDefault="00A14FDA" w:rsidP="00A14FDA">
      <w:pPr>
        <w:pStyle w:val="1"/>
      </w:pPr>
      <w:bookmarkStart w:id="5326" w:name="_Toc144225314"/>
      <w:r>
        <w:rPr>
          <w:rFonts w:hint="cs"/>
          <w:rtl/>
        </w:rPr>
        <w:t>בגדר חיוב</w:t>
      </w:r>
      <w:r w:rsidRPr="00F87AF1">
        <w:rPr>
          <w:rFonts w:hint="cs"/>
          <w:rtl/>
        </w:rPr>
        <w:t xml:space="preserve"> </w:t>
      </w:r>
      <w:r>
        <w:rPr>
          <w:rFonts w:hint="cs"/>
          <w:rtl/>
        </w:rPr>
        <w:t>מכב"פ ובבי' רש"י דבנגמרה מאליה ל"ה מכב"פ</w:t>
      </w:r>
      <w:bookmarkEnd w:id="5326"/>
    </w:p>
    <w:p w14:paraId="2C0F12D3" w14:textId="77777777" w:rsidR="00A14FDA" w:rsidRDefault="00A14FDA" w:rsidP="00A14FDA">
      <w:pPr>
        <w:pStyle w:val="afffff7"/>
        <w:rPr>
          <w:rtl/>
        </w:rPr>
      </w:pPr>
      <w:bookmarkStart w:id="5327" w:name="_Toc144224697"/>
      <w:bookmarkStart w:id="5328" w:name="_Toc163506245"/>
      <w:r>
        <w:rPr>
          <w:rFonts w:hint="cs"/>
          <w:rtl/>
        </w:rPr>
        <w:t>קהלות יעקב שבת סי' מ"א ד"ה אולם</w:t>
      </w:r>
      <w:bookmarkEnd w:id="5327"/>
      <w:bookmarkEnd w:id="5328"/>
      <w:r w:rsidRPr="00421A47">
        <w:rPr>
          <w:vanish/>
          <w:rtl/>
        </w:rPr>
        <w:t xml:space="preserve"> (ב)</w:t>
      </w:r>
    </w:p>
    <w:p w14:paraId="5951E63E" w14:textId="77777777" w:rsidR="00A14FDA" w:rsidRPr="0037093C" w:rsidRDefault="00A14FDA" w:rsidP="00A14FDA">
      <w:pPr>
        <w:pStyle w:val="a7"/>
      </w:pPr>
      <w:bookmarkStart w:id="5329" w:name="_Toc144225315"/>
      <w:r>
        <w:rPr>
          <w:rFonts w:hint="cs"/>
          <w:rtl/>
        </w:rPr>
        <w:t>בי' הקה"י ברא"ש דבחביתא לא איירי בנגמרה מאיליה אך ק' דמבשל בחמה יתחייב במכב"פ</w:t>
      </w:r>
      <w:bookmarkEnd w:id="5329"/>
    </w:p>
    <w:p w14:paraId="35FABE34" w14:textId="2160549B" w:rsidR="00A14FDA" w:rsidRDefault="00A14FDA" w:rsidP="00BC7DC8">
      <w:pPr>
        <w:pStyle w:val="a3"/>
        <w:rPr>
          <w:rtl/>
        </w:rPr>
      </w:pPr>
      <w:bookmarkStart w:id="5330" w:name="_Ref144117314"/>
      <w:r>
        <w:rPr>
          <w:rFonts w:hint="cs"/>
          <w:rtl/>
        </w:rPr>
        <w:t>במ"ש</w:t>
      </w:r>
      <w:r w:rsidRPr="0053729D">
        <w:rPr>
          <w:b/>
          <w:bCs/>
          <w:rtl/>
        </w:rPr>
        <w:t xml:space="preserve"> </w:t>
      </w:r>
      <w:r>
        <w:rPr>
          <w:rFonts w:hint="cs"/>
          <w:b/>
          <w:bCs/>
          <w:rtl/>
        </w:rPr>
        <w:t>המנחת חינוך</w:t>
      </w:r>
      <w:r>
        <w:rPr>
          <w:rtl/>
        </w:rPr>
        <w:t xml:space="preserve"> </w:t>
      </w:r>
      <w:r w:rsidRPr="00AE457E">
        <w:rPr>
          <w:rStyle w:val="af2"/>
          <w:rFonts w:eastAsia="Guttman Hodes" w:hint="cs"/>
          <w:rtl/>
        </w:rPr>
        <w:t xml:space="preserve">(עי' אות </w:t>
      </w:r>
      <w:r w:rsidRPr="00AE457E">
        <w:rPr>
          <w:rStyle w:val="af2"/>
          <w:rFonts w:eastAsia="Guttman Hodes"/>
          <w:rtl/>
        </w:rPr>
        <w:fldChar w:fldCharType="begin"/>
      </w:r>
      <w:r w:rsidRPr="00AE457E">
        <w:rPr>
          <w:rStyle w:val="af2"/>
          <w:rFonts w:eastAsia="Guttman Hodes"/>
          <w:rtl/>
        </w:rPr>
        <w:instrText xml:space="preserve"> </w:instrText>
      </w:r>
      <w:r w:rsidRPr="00AE457E">
        <w:rPr>
          <w:rStyle w:val="af2"/>
          <w:rFonts w:eastAsia="Guttman Hodes" w:hint="cs"/>
        </w:rPr>
        <w:instrText>REF</w:instrText>
      </w:r>
      <w:r w:rsidRPr="00AE457E">
        <w:rPr>
          <w:rStyle w:val="af2"/>
          <w:rFonts w:eastAsia="Guttman Hodes" w:hint="cs"/>
          <w:rtl/>
        </w:rPr>
        <w:instrText xml:space="preserve"> _</w:instrText>
      </w:r>
      <w:r w:rsidRPr="00AE457E">
        <w:rPr>
          <w:rStyle w:val="af2"/>
          <w:rFonts w:eastAsia="Guttman Hodes" w:hint="cs"/>
        </w:rPr>
        <w:instrText>Ref144025056 \r \h</w:instrText>
      </w:r>
      <w:r w:rsidRPr="00AE457E">
        <w:rPr>
          <w:rStyle w:val="af2"/>
          <w:rFonts w:eastAsia="Guttman Hodes"/>
          <w:rtl/>
        </w:rPr>
        <w:instrText xml:space="preserve"> </w:instrText>
      </w:r>
      <w:r w:rsidRPr="00AE457E">
        <w:rPr>
          <w:rStyle w:val="af2"/>
          <w:rFonts w:eastAsia="Guttman Hodes"/>
          <w:rtl/>
        </w:rPr>
      </w:r>
      <w:r w:rsidRPr="00AE457E">
        <w:rPr>
          <w:rStyle w:val="af2"/>
          <w:rFonts w:eastAsia="Guttman Hodes"/>
          <w:rtl/>
        </w:rPr>
        <w:fldChar w:fldCharType="separate"/>
      </w:r>
      <w:r w:rsidR="00D82181">
        <w:rPr>
          <w:rStyle w:val="af2"/>
          <w:rFonts w:eastAsia="Guttman Hodes"/>
          <w:cs/>
        </w:rPr>
        <w:t>‎</w:t>
      </w:r>
      <w:r w:rsidR="00D82181">
        <w:rPr>
          <w:rStyle w:val="af2"/>
          <w:rFonts w:eastAsia="Guttman Hodes"/>
          <w:rtl/>
        </w:rPr>
        <w:t>נד)</w:t>
      </w:r>
      <w:r w:rsidRPr="00AE457E">
        <w:rPr>
          <w:rStyle w:val="af2"/>
          <w:rFonts w:eastAsia="Guttman Hodes"/>
          <w:rtl/>
        </w:rPr>
        <w:fldChar w:fldCharType="end"/>
      </w:r>
      <w:r>
        <w:rPr>
          <w:rFonts w:hint="cs"/>
          <w:rtl/>
        </w:rPr>
        <w:t xml:space="preserve"> דהא דאין חיוב מכה בפטיש במבשל, הוא כיון דהמלאכה נגמרת מאיליה כדכתב </w:t>
      </w:r>
      <w:r w:rsidRPr="00255628">
        <w:rPr>
          <w:rStyle w:val="aff4"/>
          <w:rFonts w:hint="cs"/>
          <w:rtl/>
        </w:rPr>
        <w:t>רש"י לעיל</w:t>
      </w:r>
      <w:r w:rsidRPr="00255628">
        <w:rPr>
          <w:rStyle w:val="aff4"/>
          <w:rFonts w:hint="cs"/>
          <w:vanish/>
          <w:rtl/>
        </w:rPr>
        <w:t>-</w:t>
      </w:r>
      <w:r>
        <w:rPr>
          <w:rFonts w:hint="cs"/>
          <w:rtl/>
        </w:rPr>
        <w:t xml:space="preserve"> </w:t>
      </w:r>
      <w:r w:rsidRPr="00C8052D">
        <w:rPr>
          <w:rStyle w:val="af2"/>
          <w:rFonts w:eastAsia="Guttman Hodes" w:hint="cs"/>
          <w:rtl/>
        </w:rPr>
        <w:t xml:space="preserve">(עי' אות </w:t>
      </w:r>
      <w:r w:rsidRPr="00C8052D">
        <w:rPr>
          <w:rStyle w:val="af2"/>
          <w:rFonts w:eastAsia="Guttman Hodes"/>
          <w:rtl/>
        </w:rPr>
        <w:fldChar w:fldCharType="begin"/>
      </w:r>
      <w:r w:rsidRPr="00C8052D">
        <w:rPr>
          <w:rStyle w:val="af2"/>
          <w:rFonts w:eastAsia="Guttman Hodes"/>
          <w:rtl/>
        </w:rPr>
        <w:instrText xml:space="preserve"> </w:instrText>
      </w:r>
      <w:r w:rsidRPr="00C8052D">
        <w:rPr>
          <w:rStyle w:val="af2"/>
          <w:rFonts w:eastAsia="Guttman Hodes" w:hint="cs"/>
        </w:rPr>
        <w:instrText>REF</w:instrText>
      </w:r>
      <w:r w:rsidRPr="00C8052D">
        <w:rPr>
          <w:rStyle w:val="af2"/>
          <w:rFonts w:eastAsia="Guttman Hodes" w:hint="cs"/>
          <w:rtl/>
        </w:rPr>
        <w:instrText xml:space="preserve"> _</w:instrText>
      </w:r>
      <w:r w:rsidRPr="00C8052D">
        <w:rPr>
          <w:rStyle w:val="af2"/>
          <w:rFonts w:eastAsia="Guttman Hodes" w:hint="cs"/>
        </w:rPr>
        <w:instrText>Ref143793569 \r \h</w:instrText>
      </w:r>
      <w:r w:rsidRPr="00C8052D">
        <w:rPr>
          <w:rStyle w:val="af2"/>
          <w:rFonts w:eastAsia="Guttman Hodes"/>
          <w:rtl/>
        </w:rPr>
        <w:instrText xml:space="preserve"> </w:instrText>
      </w:r>
      <w:r w:rsidRPr="00C8052D">
        <w:rPr>
          <w:rStyle w:val="af2"/>
          <w:rFonts w:eastAsia="Guttman Hodes"/>
          <w:rtl/>
        </w:rPr>
      </w:r>
      <w:r w:rsidRPr="00C8052D">
        <w:rPr>
          <w:rStyle w:val="af2"/>
          <w:rFonts w:eastAsia="Guttman Hodes"/>
          <w:rtl/>
        </w:rPr>
        <w:fldChar w:fldCharType="separate"/>
      </w:r>
      <w:r w:rsidR="00D82181">
        <w:rPr>
          <w:rStyle w:val="af2"/>
          <w:rFonts w:eastAsia="Guttman Hodes"/>
          <w:cs/>
        </w:rPr>
        <w:t>‎</w:t>
      </w:r>
      <w:r w:rsidR="00D82181">
        <w:rPr>
          <w:rStyle w:val="af2"/>
          <w:rFonts w:eastAsia="Guttman Hodes"/>
          <w:rtl/>
        </w:rPr>
        <w:t>יג)</w:t>
      </w:r>
      <w:r w:rsidRPr="00C8052D">
        <w:rPr>
          <w:rStyle w:val="af2"/>
          <w:rFonts w:eastAsia="Guttman Hodes"/>
          <w:rtl/>
        </w:rPr>
        <w:fldChar w:fldCharType="end"/>
      </w:r>
      <w:r>
        <w:rPr>
          <w:rFonts w:hint="cs"/>
          <w:rtl/>
        </w:rPr>
        <w:t xml:space="preserve"> דבכה"ג אין חיוב מכה בפטיש, ובמה שהקשה </w:t>
      </w:r>
      <w:r>
        <w:rPr>
          <w:rFonts w:hint="cs"/>
          <w:b/>
          <w:bCs/>
          <w:rtl/>
        </w:rPr>
        <w:t>המנחת חינוך</w:t>
      </w:r>
      <w:r>
        <w:rPr>
          <w:rFonts w:hint="cs"/>
          <w:rtl/>
        </w:rPr>
        <w:t xml:space="preserve"> מדברי </w:t>
      </w:r>
      <w:r w:rsidRPr="00255628">
        <w:rPr>
          <w:rStyle w:val="aff4"/>
          <w:rFonts w:hint="cs"/>
          <w:rtl/>
        </w:rPr>
        <w:t>הרא"ש בביצה</w:t>
      </w:r>
      <w:r w:rsidRPr="00255628">
        <w:rPr>
          <w:rStyle w:val="aff4"/>
          <w:rFonts w:hint="cs"/>
          <w:vanish/>
          <w:rtl/>
        </w:rPr>
        <w:t>-</w:t>
      </w:r>
      <w:r>
        <w:rPr>
          <w:rFonts w:hint="cs"/>
          <w:rtl/>
        </w:rPr>
        <w:t xml:space="preserve"> </w:t>
      </w:r>
      <w:r w:rsidRPr="00C8052D">
        <w:rPr>
          <w:rStyle w:val="af2"/>
          <w:rFonts w:eastAsia="Guttman Hodes" w:hint="cs"/>
          <w:rtl/>
        </w:rPr>
        <w:t>(עי' או</w:t>
      </w:r>
      <w:r>
        <w:rPr>
          <w:rStyle w:val="af2"/>
          <w:rFonts w:eastAsia="Guttman Hodes" w:hint="cs"/>
          <w:rtl/>
        </w:rPr>
        <w:t xml:space="preserve">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Ref144220277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נו)</w:t>
      </w:r>
      <w:r>
        <w:rPr>
          <w:rStyle w:val="af2"/>
          <w:rFonts w:eastAsia="Guttman Hodes"/>
          <w:rtl/>
        </w:rPr>
        <w:fldChar w:fldCharType="end"/>
      </w:r>
      <w:r>
        <w:rPr>
          <w:rStyle w:val="af2"/>
          <w:rFonts w:eastAsia="Guttman Hodes" w:hint="cs"/>
          <w:rtl/>
        </w:rPr>
        <w:t xml:space="preserve"> </w:t>
      </w:r>
      <w:r>
        <w:rPr>
          <w:rFonts w:hint="cs"/>
          <w:rtl/>
        </w:rPr>
        <w:t xml:space="preserve">דמשמע דאף בנגמרת מאיליה חייב, כתב </w:t>
      </w:r>
      <w:r w:rsidRPr="007569D9">
        <w:rPr>
          <w:b/>
          <w:bCs/>
          <w:rtl/>
        </w:rPr>
        <w:t>ה</w:t>
      </w:r>
      <w:r w:rsidRPr="007569D9">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Ref144117314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סו)</w:t>
      </w:r>
      <w:r>
        <w:rPr>
          <w:b/>
          <w:bCs/>
          <w:vanish/>
          <w:rtl/>
        </w:rPr>
        <w:fldChar w:fldCharType="end"/>
      </w:r>
      <w:r w:rsidRPr="007569D9">
        <w:rPr>
          <w:b/>
          <w:bCs/>
          <w:vanish/>
          <w:rtl/>
        </w:rPr>
        <w:t xml:space="preserve"> &gt;</w:t>
      </w:r>
      <w:r>
        <w:rPr>
          <w:rFonts w:hint="cs"/>
          <w:b/>
          <w:bCs/>
          <w:rtl/>
        </w:rPr>
        <w:t>קהלות יעקב</w:t>
      </w:r>
      <w:r w:rsidRPr="007569D9">
        <w:rPr>
          <w:b/>
          <w:bCs/>
          <w:rtl/>
        </w:rPr>
        <w:t xml:space="preserve"> </w:t>
      </w:r>
      <w:r w:rsidRPr="00C8052D">
        <w:rPr>
          <w:rStyle w:val="af2"/>
          <w:rFonts w:eastAsia="Guttman Hodes"/>
          <w:rtl/>
        </w:rPr>
        <w:t>(</w:t>
      </w:r>
      <w:r w:rsidRPr="00C8052D">
        <w:rPr>
          <w:rStyle w:val="af2"/>
          <w:rFonts w:eastAsia="Guttman Hodes" w:hint="cs"/>
          <w:rtl/>
        </w:rPr>
        <w:t>שבת סי' מ"א ד"ה אולם הרא"ש</w:t>
      </w:r>
      <w:r w:rsidRPr="00C8052D">
        <w:rPr>
          <w:rStyle w:val="af2"/>
          <w:rFonts w:eastAsia="Guttman Hodes"/>
          <w:rtl/>
        </w:rPr>
        <w:t>)</w:t>
      </w:r>
      <w:r w:rsidRPr="007569D9">
        <w:rPr>
          <w:vanish/>
          <w:rtl/>
        </w:rPr>
        <w:t>=</w:t>
      </w:r>
      <w:r>
        <w:rPr>
          <w:rFonts w:hint="cs"/>
          <w:rtl/>
        </w:rPr>
        <w:t xml:space="preserve"> דצ"ל דס"ל</w:t>
      </w:r>
      <w:r w:rsidRPr="007569D9">
        <w:rPr>
          <w:b/>
          <w:bCs/>
          <w:rtl/>
        </w:rPr>
        <w:t xml:space="preserve"> </w:t>
      </w:r>
      <w:r>
        <w:rPr>
          <w:rFonts w:hint="cs"/>
          <w:b/>
          <w:bCs/>
          <w:rtl/>
        </w:rPr>
        <w:t>להרא"ש</w:t>
      </w:r>
      <w:r>
        <w:rPr>
          <w:rtl/>
        </w:rPr>
        <w:t xml:space="preserve"> </w:t>
      </w:r>
      <w:r>
        <w:rPr>
          <w:rFonts w:hint="cs"/>
          <w:rtl/>
        </w:rPr>
        <w:t xml:space="preserve">דהא דבחביתא בגמ' לעיל </w:t>
      </w:r>
      <w:r w:rsidRPr="00C8052D">
        <w:rPr>
          <w:rStyle w:val="af2"/>
          <w:rFonts w:eastAsia="Guttman Hodes" w:hint="cs"/>
          <w:rtl/>
        </w:rPr>
        <w:t>(עד:)</w:t>
      </w:r>
      <w:r>
        <w:rPr>
          <w:rFonts w:hint="cs"/>
          <w:rtl/>
        </w:rPr>
        <w:t xml:space="preserve"> אין חיוב משום מכה בפטיש, הוא כדביאר</w:t>
      </w:r>
      <w:r w:rsidRPr="00785B8B">
        <w:rPr>
          <w:b/>
          <w:bCs/>
          <w:rtl/>
        </w:rPr>
        <w:t xml:space="preserve"> </w:t>
      </w:r>
      <w:r>
        <w:rPr>
          <w:rFonts w:hint="cs"/>
          <w:b/>
          <w:bCs/>
          <w:rtl/>
        </w:rPr>
        <w:t>ר"ח</w:t>
      </w:r>
      <w:r>
        <w:rPr>
          <w:rtl/>
        </w:rPr>
        <w:t xml:space="preserve"> </w:t>
      </w:r>
      <w:r w:rsidRPr="00C8052D">
        <w:rPr>
          <w:rStyle w:val="af2"/>
          <w:rFonts w:eastAsia="Guttman Hodes" w:hint="cs"/>
          <w:rtl/>
        </w:rPr>
        <w:t>(</w:t>
      </w:r>
      <w:r>
        <w:rPr>
          <w:rStyle w:val="af2"/>
          <w:rFonts w:eastAsia="Guttman Hodes" w:hint="cs"/>
          <w:rtl/>
        </w:rPr>
        <w:t>עד: ד"ה אמר רבה</w:t>
      </w:r>
      <w:r w:rsidRPr="00C8052D">
        <w:rPr>
          <w:rStyle w:val="af2"/>
          <w:rFonts w:eastAsia="Guttman Hodes" w:hint="cs"/>
          <w:rtl/>
        </w:rPr>
        <w:t>)</w:t>
      </w:r>
      <w:r>
        <w:rPr>
          <w:rFonts w:hint="cs"/>
          <w:rtl/>
        </w:rPr>
        <w:t xml:space="preserve"> דבחביתא לא איירי כשנתן לתוך האור, אך הקשה</w:t>
      </w:r>
      <w:r w:rsidRPr="00785B8B">
        <w:rPr>
          <w:b/>
          <w:bCs/>
          <w:rtl/>
        </w:rPr>
        <w:t xml:space="preserve"> </w:t>
      </w:r>
      <w:r>
        <w:rPr>
          <w:rFonts w:hint="cs"/>
          <w:b/>
          <w:bCs/>
          <w:rtl/>
        </w:rPr>
        <w:t>הקהלות יעקב</w:t>
      </w:r>
      <w:r>
        <w:rPr>
          <w:rtl/>
        </w:rPr>
        <w:t xml:space="preserve"> </w:t>
      </w:r>
      <w:r>
        <w:rPr>
          <w:rFonts w:hint="cs"/>
          <w:rtl/>
        </w:rPr>
        <w:t xml:space="preserve">דאי בבישול שייך חיוב מכה בפטיש אף שהמלאכה נגמרת מאיליה, א"כ אמאי המבשל בחמה פטור, הא אף דמדין בישול א"א לחייב, מ"מ יתחייב משום מכה בפטיש, ועיי"ש במה </w:t>
      </w:r>
      <w:r>
        <w:rPr>
          <w:rFonts w:hint="cs"/>
          <w:rtl/>
        </w:rPr>
        <w:lastRenderedPageBreak/>
        <w:t xml:space="preserve">שהביא בזה את דברי </w:t>
      </w:r>
      <w:r w:rsidRPr="00556536">
        <w:rPr>
          <w:b/>
          <w:bCs/>
          <w:vanish/>
          <w:rtl/>
        </w:rPr>
        <w:t>&lt; &gt;</w:t>
      </w:r>
      <w:r>
        <w:rPr>
          <w:rFonts w:hint="cs"/>
          <w:b/>
          <w:bCs/>
          <w:rtl/>
        </w:rPr>
        <w:t>השביתת השבת</w:t>
      </w:r>
      <w:r w:rsidRPr="00556536">
        <w:rPr>
          <w:b/>
          <w:bCs/>
          <w:rtl/>
        </w:rPr>
        <w:t xml:space="preserve"> </w:t>
      </w:r>
      <w:r w:rsidRPr="00C8052D">
        <w:rPr>
          <w:rStyle w:val="af2"/>
          <w:rFonts w:eastAsia="Guttman Hodes"/>
          <w:rtl/>
        </w:rPr>
        <w:t>(</w:t>
      </w:r>
      <w:r w:rsidRPr="00C8052D">
        <w:rPr>
          <w:rStyle w:val="af2"/>
          <w:rFonts w:eastAsia="Guttman Hodes" w:hint="cs"/>
          <w:rtl/>
        </w:rPr>
        <w:t>הקדמה מעשה חושב א' סק"ג ד"ה ומכה בפטיש</w:t>
      </w:r>
      <w:r w:rsidRPr="00C8052D">
        <w:rPr>
          <w:rStyle w:val="af2"/>
          <w:rFonts w:eastAsia="Guttman Hodes"/>
          <w:rtl/>
        </w:rPr>
        <w:t>)</w:t>
      </w:r>
      <w:r w:rsidRPr="00556536">
        <w:rPr>
          <w:vanish/>
          <w:rtl/>
        </w:rPr>
        <w:t>=</w:t>
      </w:r>
      <w:r>
        <w:rPr>
          <w:rFonts w:hint="cs"/>
          <w:rtl/>
        </w:rPr>
        <w:t xml:space="preserve"> ובמה שדחה</w:t>
      </w:r>
      <w:r w:rsidRPr="00556536">
        <w:rPr>
          <w:b/>
          <w:bCs/>
          <w:rtl/>
        </w:rPr>
        <w:t xml:space="preserve"> </w:t>
      </w:r>
      <w:r>
        <w:rPr>
          <w:rFonts w:hint="cs"/>
          <w:b/>
          <w:bCs/>
          <w:rtl/>
        </w:rPr>
        <w:t>הקהלות יעקב</w:t>
      </w:r>
      <w:r>
        <w:rPr>
          <w:rtl/>
        </w:rPr>
        <w:t xml:space="preserve"> </w:t>
      </w:r>
      <w:r>
        <w:rPr>
          <w:rFonts w:hint="cs"/>
          <w:rtl/>
        </w:rPr>
        <w:t>את דבריו</w:t>
      </w:r>
      <w:bookmarkEnd w:id="5330"/>
      <w:r>
        <w:rPr>
          <w:rFonts w:hint="cs"/>
          <w:rtl/>
        </w:rPr>
        <w:t>.</w:t>
      </w:r>
    </w:p>
    <w:p w14:paraId="6F5F9705" w14:textId="77777777" w:rsidR="00A14FDA" w:rsidRPr="00284C78" w:rsidRDefault="00A14FDA" w:rsidP="00A14FDA">
      <w:pPr>
        <w:pStyle w:val="afffffffff8"/>
        <w:rPr>
          <w:vanish/>
          <w:rtl/>
        </w:rPr>
      </w:pPr>
      <w:r w:rsidRPr="00284C78">
        <w:rPr>
          <w:vanish/>
          <w:rtl/>
        </w:rPr>
        <w:t>.</w:t>
      </w:r>
    </w:p>
    <w:p w14:paraId="41319B9E" w14:textId="77777777" w:rsidR="00A14FDA" w:rsidRPr="00BC7DC8" w:rsidRDefault="00A14FDA" w:rsidP="00A14FDA">
      <w:pPr>
        <w:pStyle w:val="afffffe"/>
        <w:rPr>
          <w:vanish/>
          <w:rtl/>
        </w:rPr>
      </w:pPr>
      <w:r w:rsidRPr="00BC7DC8">
        <w:rPr>
          <w:rFonts w:hint="cs"/>
          <w:vanish/>
          <w:rtl/>
        </w:rPr>
        <w:t>קהלות יעקב שבת סי' מ"א ד"ה אולם</w:t>
      </w:r>
    </w:p>
    <w:p w14:paraId="272BDF88" w14:textId="77777777" w:rsidR="00A14FDA" w:rsidRPr="002C5098" w:rsidRDefault="00A14FDA" w:rsidP="00A14FDA">
      <w:pPr>
        <w:pStyle w:val="a2"/>
        <w:rPr>
          <w:rtl/>
        </w:rPr>
      </w:pPr>
      <w:r w:rsidRPr="00284C78">
        <w:rPr>
          <w:rStyle w:val="afffffffff9"/>
          <w:rFonts w:hint="cs"/>
          <w:rtl/>
        </w:rPr>
        <w:t>ירושלמי</w:t>
      </w:r>
      <w:r w:rsidRPr="00284C78">
        <w:rPr>
          <w:rStyle w:val="afffffffff9"/>
          <w:rtl/>
        </w:rPr>
        <w:t xml:space="preserve"> פ' כלל גדול הדא איתתא כד מערבא בחיטיא משום מרקדא כו' גמרה מלאכתה משום מכה בפטיש כו' ההן דשחק תומא כד מפרק ברישיא משום דש כו' גמר מלאכתו משום מכבפ"ט מבואר מכ"ז דגם באוכלין שייך מלאכת מכבפ"ט והקשו בזה מהא דהמבשל בחמה פטור ומותר לעיל דף ל"ט ואמאי נהי דמלאכת</w:t>
      </w:r>
      <w:r w:rsidRPr="00284C78">
        <w:rPr>
          <w:rStyle w:val="afffffffff9"/>
          <w:rFonts w:hint="cs"/>
          <w:rtl/>
        </w:rPr>
        <w:t xml:space="preserve"> </w:t>
      </w:r>
      <w:r w:rsidRPr="00284C78">
        <w:rPr>
          <w:rStyle w:val="afffffffff9"/>
          <w:rtl/>
        </w:rPr>
        <w:t>מבשל אין כאן מ"מ מתקן אוכל הוא וליחייב משום מכב"פ ותירצו ע"פ מש"כ רש"י ז"ל דע"ד גבי עביד חביתא ותנורא דמה שמניח הדבר בתנור ועי"ז נגמר מלאכתו לא חשיב מכב"פ כיון דנגמר מאליו ע"ש ד"ה תנור וא"כ מה"ט ליכא במבשל בחמה משום מכב"פ דהגמר נעשה מאליו עי' כ"ז במנ"ח</w:t>
      </w:r>
      <w:r w:rsidRPr="002C5098">
        <w:rPr>
          <w:rFonts w:hint="cs"/>
          <w:rtl/>
        </w:rPr>
        <w:t xml:space="preserve">. אולם </w:t>
      </w:r>
      <w:r w:rsidRPr="002C5098">
        <w:rPr>
          <w:rtl/>
        </w:rPr>
        <w:t>הרא"ש ז"ל בביצה דף ל"ד גבי הא דאמרי' שם הכא בקדירה חדשה ומשום ליבון רעפים נגעו בה פי' הרא"ש ז"ל דמחייב משום מכב"פ הרי דסובר שגם בנגמר מאליו ע"י האור שייך מכב"פ וסוגיא דשבת ע"ד גבי תלתא חביתא ותנורא יפרש הרא"ש ז"ל כפירוש הר"ח ז"ל דלא מיירי בנותן לתוך האור ומפרש באמת דא' מהני מלאכות מכב"פ וא"כ תיקשי לדידי' במבשל בחמה אמאי לא יתחייב עכ"פ מדין מכב"פ ובספר שביתת השבת בפתיחה תירץ דמאותו טעם עצמו דלא שייך בשול בחמה כדפירש"י ז"ל בדל"ט משום דאין דרך בשולו בכך מה"ט גופא ליכא מלאכת מכב"פ ג"כ כיון שאין דרך עשיית גמר מלאכה בתבשיל ע"י החמה ע"ש.</w:t>
      </w:r>
    </w:p>
    <w:p w14:paraId="592B23CB" w14:textId="77777777" w:rsidR="00A14FDA" w:rsidRPr="00284C78" w:rsidRDefault="00A14FDA" w:rsidP="00A14FDA">
      <w:pPr>
        <w:pStyle w:val="afffffffff8"/>
        <w:rPr>
          <w:vanish/>
          <w:rtl/>
        </w:rPr>
      </w:pPr>
      <w:r w:rsidRPr="00284C78">
        <w:rPr>
          <w:rFonts w:hint="cs"/>
          <w:vanish/>
          <w:rtl/>
        </w:rPr>
        <w:t xml:space="preserve">ויש </w:t>
      </w:r>
      <w:r w:rsidRPr="00284C78">
        <w:rPr>
          <w:vanish/>
          <w:rtl/>
        </w:rPr>
        <w:t>להעיר על תירוצו לפי המבואר בדברי רמב"ן ז"ל הלכות בכורות פ"ג גבי תולש את השער שכתב שם שאם אתה חושבו מלאכת גוזז הו"ל כלאחר יד ומשונה שאין דרך גזיזה ע"י תלישה אבל אם נחשב תולש השער מענין עוקר דבר מגידולו אין זה כלאחר יד שמלאכת עקירת דבר מגידולו דרכו ע"י תלישה ביד ע"ש ומוכח דענין אין דרכו בכך אין אנו משגיחים על אותה מעשה אם דרכו בכך אלא משגיחים על האב אם דרכו של האב בסגנון כזה והוא באמת חידוש גדול ולפ"ז ה"נ במבשל בחמה אם נחשבהו למלאכת מבשל שפיר אמרי' דאין דרך בישול בכך אבל אם נחשבהו מלאכת מכב"פ הרי בכלל מכב"פ דרך לגמור דברים ע"י החמה כמו ליבש כלי חרס וכיו"ב</w:t>
      </w:r>
      <w:r w:rsidRPr="00284C78">
        <w:rPr>
          <w:rFonts w:hint="cs"/>
          <w:vanish/>
          <w:rtl/>
        </w:rPr>
        <w:t xml:space="preserve"> </w:t>
      </w:r>
      <w:r w:rsidRPr="00284C78">
        <w:rPr>
          <w:vanish/>
          <w:rtl/>
        </w:rPr>
        <w:t>ושפיר יש לחייבו משום מכב"פ בגומר ע"י החמה ויש לפלפל בזה</w:t>
      </w:r>
      <w:r w:rsidRPr="00284C78">
        <w:rPr>
          <w:rFonts w:hint="cs"/>
          <w:vanish/>
          <w:rtl/>
        </w:rPr>
        <w:t>.</w:t>
      </w:r>
    </w:p>
    <w:p w14:paraId="67091635" w14:textId="77777777" w:rsidR="00A14FDA" w:rsidRDefault="00A14FDA" w:rsidP="00A14FDA">
      <w:pPr>
        <w:pStyle w:val="afffff7"/>
        <w:rPr>
          <w:rtl/>
        </w:rPr>
      </w:pPr>
      <w:bookmarkStart w:id="5331" w:name="_Toc144224698"/>
      <w:bookmarkStart w:id="5332" w:name="_Toc163506246"/>
      <w:r w:rsidRPr="002C5098">
        <w:rPr>
          <w:rFonts w:hint="cs"/>
          <w:rtl/>
        </w:rPr>
        <w:t>קהלות יעקב שבת סי' מ"א ד"ה והיה נלענ"ד</w:t>
      </w:r>
      <w:bookmarkEnd w:id="5331"/>
      <w:bookmarkEnd w:id="5332"/>
      <w:r w:rsidRPr="00421A47">
        <w:rPr>
          <w:vanish/>
          <w:rtl/>
        </w:rPr>
        <w:t xml:space="preserve"> (ב)</w:t>
      </w:r>
    </w:p>
    <w:p w14:paraId="62A5EBEF" w14:textId="77777777" w:rsidR="00A14FDA" w:rsidRPr="00804FE1" w:rsidRDefault="00A14FDA" w:rsidP="00A14FDA">
      <w:pPr>
        <w:pStyle w:val="a7"/>
      </w:pPr>
      <w:bookmarkStart w:id="5333" w:name="_Toc144225316"/>
      <w:r>
        <w:rPr>
          <w:rFonts w:hint="cs"/>
          <w:rtl/>
        </w:rPr>
        <w:t>בי' הקה"י דמכב"פ הוא בגמר דבר שהיה בו מלאכה בתחילה ולא במבשל בחמה דל"ה מלאכה</w:t>
      </w:r>
      <w:bookmarkEnd w:id="5333"/>
    </w:p>
    <w:p w14:paraId="12591342" w14:textId="4AFD9E56" w:rsidR="00A14FDA" w:rsidRPr="00DC0470" w:rsidRDefault="00A14FDA" w:rsidP="00BC7DC8">
      <w:pPr>
        <w:pStyle w:val="a3"/>
      </w:pPr>
      <w:bookmarkStart w:id="5334" w:name="_Ref144117330"/>
      <w:r>
        <w:rPr>
          <w:rFonts w:hint="cs"/>
          <w:rtl/>
        </w:rPr>
        <w:t>וכתב</w:t>
      </w:r>
      <w:r>
        <w:rPr>
          <w:rtl/>
        </w:rPr>
        <w:t xml:space="preserve"> </w:t>
      </w:r>
      <w:r w:rsidRPr="00DB0579">
        <w:rPr>
          <w:b/>
          <w:bCs/>
          <w:rtl/>
        </w:rPr>
        <w:t>ה</w:t>
      </w:r>
      <w:r w:rsidRPr="00DB0579">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Ref144117330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סז)</w:t>
      </w:r>
      <w:r>
        <w:rPr>
          <w:b/>
          <w:bCs/>
          <w:vanish/>
          <w:rtl/>
        </w:rPr>
        <w:fldChar w:fldCharType="end"/>
      </w:r>
      <w:r w:rsidRPr="00DB0579">
        <w:rPr>
          <w:b/>
          <w:bCs/>
          <w:vanish/>
          <w:rtl/>
        </w:rPr>
        <w:t xml:space="preserve"> &gt;</w:t>
      </w:r>
      <w:r>
        <w:rPr>
          <w:rFonts w:hint="cs"/>
          <w:b/>
          <w:bCs/>
          <w:rtl/>
        </w:rPr>
        <w:t>קהלות</w:t>
      </w:r>
      <w:r w:rsidRPr="00DB0579">
        <w:rPr>
          <w:rFonts w:hint="cs"/>
          <w:b/>
          <w:bCs/>
          <w:rtl/>
        </w:rPr>
        <w:t xml:space="preserve"> יעקב</w:t>
      </w:r>
      <w:r w:rsidRPr="00DB0579">
        <w:rPr>
          <w:b/>
          <w:bCs/>
          <w:rtl/>
        </w:rPr>
        <w:t xml:space="preserve"> </w:t>
      </w:r>
      <w:r w:rsidRPr="00C8052D">
        <w:rPr>
          <w:rStyle w:val="af2"/>
          <w:rFonts w:eastAsia="Guttman Hodes"/>
          <w:rtl/>
        </w:rPr>
        <w:t>(</w:t>
      </w:r>
      <w:r w:rsidRPr="00C8052D">
        <w:rPr>
          <w:rStyle w:val="af2"/>
          <w:rFonts w:eastAsia="Guttman Hodes" w:hint="cs"/>
          <w:rtl/>
        </w:rPr>
        <w:t>שבת סי' מ"א ד"ה והיה נלענ"ד</w:t>
      </w:r>
      <w:r w:rsidRPr="00C8052D">
        <w:rPr>
          <w:rStyle w:val="af2"/>
          <w:rFonts w:eastAsia="Guttman Hodes"/>
          <w:rtl/>
        </w:rPr>
        <w:t>)</w:t>
      </w:r>
      <w:r w:rsidRPr="00DB0579">
        <w:rPr>
          <w:vanish/>
          <w:rtl/>
        </w:rPr>
        <w:t>=</w:t>
      </w:r>
      <w:r>
        <w:rPr>
          <w:rtl/>
        </w:rPr>
        <w:t xml:space="preserve"> </w:t>
      </w:r>
      <w:r>
        <w:rPr>
          <w:rFonts w:hint="cs"/>
          <w:rtl/>
        </w:rPr>
        <w:t>דהיה אפש"ל דחיוב מכה בפטיש הוא דוקא באופן שעשה בתחילה מלאכה שיש עליה חיוב שבת, ואח"כ עשה גמר נוסף לאותה מלאכה, כשקיל אקופי מגילימי דגמר את מלאכת האריגה ואח"כ הוציא את הקשין, וכן לדעת</w:t>
      </w:r>
      <w:r w:rsidRPr="00DB0579">
        <w:rPr>
          <w:b/>
          <w:bCs/>
          <w:rtl/>
        </w:rPr>
        <w:t xml:space="preserve"> </w:t>
      </w:r>
      <w:r w:rsidRPr="00DB0579">
        <w:rPr>
          <w:rFonts w:hint="cs"/>
          <w:b/>
          <w:bCs/>
          <w:rtl/>
        </w:rPr>
        <w:t>התוס'</w:t>
      </w:r>
      <w:r>
        <w:rPr>
          <w:rtl/>
        </w:rPr>
        <w:t xml:space="preserve"> </w:t>
      </w:r>
      <w:r w:rsidRPr="00C8052D">
        <w:rPr>
          <w:rStyle w:val="af2"/>
          <w:rFonts w:eastAsia="Guttman Hodes" w:hint="cs"/>
          <w:rtl/>
        </w:rPr>
        <w:t>(</w:t>
      </w:r>
      <w:r w:rsidRPr="00791414">
        <w:rPr>
          <w:rStyle w:val="af2"/>
          <w:rFonts w:eastAsia="Guttman Hodes"/>
          <w:rtl/>
        </w:rPr>
        <w:t>ד"ה האי</w:t>
      </w:r>
      <w:r>
        <w:rPr>
          <w:rStyle w:val="af2"/>
          <w:rFonts w:eastAsia="Guttman Hodes" w:hint="cs"/>
          <w:rtl/>
        </w:rPr>
        <w:t>, הובא בסימן י"א אות ל')</w:t>
      </w:r>
      <w:r>
        <w:rPr>
          <w:rFonts w:hint="cs"/>
          <w:rtl/>
        </w:rPr>
        <w:t xml:space="preserve"> דבעושה כלי יש בנין בכלים, דאחר שגמר את מלאכת הבנין של הכלי, וחזר ועשה גמר דצר צורה, דבכה"ג חייב משום מכה בפטיש, אבל כשעושה גמר בדבר שאין בו חיוב מלאכה כלל, לא שייך בזה חיוב מכה בפטיש, ולכן במבשל בחמה שאין בו חיוב מלאכה, אין חיוב מכה בפטיש, וכתב</w:t>
      </w:r>
      <w:r w:rsidRPr="00DB0579">
        <w:rPr>
          <w:b/>
          <w:bCs/>
          <w:rtl/>
        </w:rPr>
        <w:t xml:space="preserve"> </w:t>
      </w:r>
      <w:r w:rsidRPr="00DB0579">
        <w:rPr>
          <w:rFonts w:hint="cs"/>
          <w:b/>
          <w:bCs/>
          <w:rtl/>
        </w:rPr>
        <w:t>ה</w:t>
      </w:r>
      <w:r>
        <w:rPr>
          <w:rFonts w:hint="cs"/>
          <w:b/>
          <w:bCs/>
          <w:rtl/>
        </w:rPr>
        <w:t>קהלות</w:t>
      </w:r>
      <w:r w:rsidRPr="00DB0579">
        <w:rPr>
          <w:rFonts w:hint="cs"/>
          <w:b/>
          <w:bCs/>
          <w:rtl/>
        </w:rPr>
        <w:t xml:space="preserve"> יעקב</w:t>
      </w:r>
      <w:r>
        <w:rPr>
          <w:rtl/>
        </w:rPr>
        <w:t xml:space="preserve"> </w:t>
      </w:r>
      <w:r>
        <w:rPr>
          <w:rFonts w:hint="cs"/>
          <w:rtl/>
        </w:rPr>
        <w:t xml:space="preserve">דאפש"ל דזהו הביאור בהא דאמרינן בגמ' לעיל </w:t>
      </w:r>
      <w:r w:rsidRPr="00C8052D">
        <w:rPr>
          <w:rStyle w:val="af2"/>
          <w:rFonts w:eastAsia="Guttman Hodes" w:hint="cs"/>
          <w:rtl/>
        </w:rPr>
        <w:t>(עה:)</w:t>
      </w:r>
      <w:r>
        <w:rPr>
          <w:rFonts w:hint="cs"/>
          <w:rtl/>
        </w:rPr>
        <w:t xml:space="preserve"> "</w:t>
      </w:r>
      <w:r>
        <w:rPr>
          <w:rtl/>
        </w:rPr>
        <w:t>כל מידי דאית ביה גמר מלאכה חייב משום מכה בפטיש</w:t>
      </w:r>
      <w:r>
        <w:rPr>
          <w:rFonts w:hint="cs"/>
          <w:rtl/>
        </w:rPr>
        <w:t>", דהיינו דוקא בדבר שהוא גמר "מלאכה", ולא בגמר בעלמא של דבר שאינו מלאכה.</w:t>
      </w:r>
      <w:bookmarkEnd w:id="5334"/>
    </w:p>
    <w:p w14:paraId="7E447FDF" w14:textId="77777777" w:rsidR="00A14FDA" w:rsidRPr="00BC7DC8" w:rsidRDefault="00A14FDA" w:rsidP="00A14FDA">
      <w:pPr>
        <w:pStyle w:val="afffffe"/>
        <w:rPr>
          <w:vanish/>
          <w:rtl/>
        </w:rPr>
      </w:pPr>
      <w:r w:rsidRPr="00BC7DC8">
        <w:rPr>
          <w:rFonts w:hint="cs"/>
          <w:vanish/>
          <w:rtl/>
        </w:rPr>
        <w:t>קהלות יעקב שבת סי' מ"א ד"ה והיה נלענ"ד</w:t>
      </w:r>
    </w:p>
    <w:p w14:paraId="24EA975B" w14:textId="77777777" w:rsidR="00A14FDA" w:rsidRPr="00D87F8B" w:rsidRDefault="00A14FDA" w:rsidP="00A14FDA">
      <w:pPr>
        <w:pStyle w:val="a2"/>
        <w:rPr>
          <w:rtl/>
        </w:rPr>
      </w:pPr>
      <w:r w:rsidRPr="00D87F8B">
        <w:rPr>
          <w:rFonts w:hint="cs"/>
          <w:rtl/>
        </w:rPr>
        <w:t xml:space="preserve">והיה </w:t>
      </w:r>
      <w:r w:rsidRPr="00D87F8B">
        <w:rPr>
          <w:rtl/>
        </w:rPr>
        <w:t xml:space="preserve">נלענ"ד דכל גדר מלאכת מכב"פ הוא כשגומר איזה מלאכה משאר ל"ח מלאכות שעשה מקודם לכן כגון האורג זהו מלאכה וכשנוטל הקשין ונימין זהו גמר למלאכת אריגה והוי מכב"פ וכן העושה כלי הוא בונה לפמש"כ התוס' דבעושה כל הכלי יש בונה עיין ר"פ הבונה וכשמצייר אח"כ ציורים הוא גמר מלאכת בונה והוי מכב"פ אבל כשעושה איזה דבר שאין בו שם מלאכה כלל י"ל דאין חושבין את הגמר למלאכת מכב"פ וי"ל שזהו פירוש הגמ' רבה ור"ז דאמרי תרווייהו כל מידי דאית בי' גמר </w:t>
      </w:r>
      <w:r w:rsidRPr="00D87F8B">
        <w:rPr>
          <w:rFonts w:hint="cs"/>
          <w:rtl/>
        </w:rPr>
        <w:t>"</w:t>
      </w:r>
      <w:r w:rsidRPr="00D87F8B">
        <w:rPr>
          <w:rtl/>
        </w:rPr>
        <w:t>מלאכה</w:t>
      </w:r>
      <w:r w:rsidRPr="00D87F8B">
        <w:rPr>
          <w:rFonts w:hint="cs"/>
          <w:rtl/>
        </w:rPr>
        <w:t>"</w:t>
      </w:r>
      <w:r w:rsidRPr="00D87F8B">
        <w:rPr>
          <w:rtl/>
        </w:rPr>
        <w:t xml:space="preserve"> חייב משום מכב"פ דהיינו גמר של איזו מלאכה משאר ל"ח מלאכות כנ"ל ולפ"ז הי' ניחא קושיא הנ"ל דבמבשל בחמה דליכא מלאכה לא שייך בגמרו מכב"פ</w:t>
      </w:r>
      <w:r w:rsidRPr="00D87F8B">
        <w:rPr>
          <w:rFonts w:hint="cs"/>
          <w:rtl/>
        </w:rPr>
        <w:t>.</w:t>
      </w:r>
    </w:p>
    <w:p w14:paraId="56BD55F3" w14:textId="77777777" w:rsidR="00A14FDA" w:rsidRDefault="00A14FDA" w:rsidP="00A14FDA">
      <w:pPr>
        <w:pStyle w:val="afffff7"/>
        <w:rPr>
          <w:rtl/>
        </w:rPr>
      </w:pPr>
      <w:bookmarkStart w:id="5335" w:name="_Toc144224699"/>
      <w:bookmarkStart w:id="5336" w:name="_Toc163506247"/>
      <w:r>
        <w:rPr>
          <w:rFonts w:hint="cs"/>
          <w:rtl/>
        </w:rPr>
        <w:t>קהלות יעקב שבת סי' מ"א ד"ה אבל זה</w:t>
      </w:r>
      <w:bookmarkEnd w:id="5335"/>
      <w:bookmarkEnd w:id="5336"/>
      <w:r w:rsidRPr="00421A47">
        <w:rPr>
          <w:vanish/>
          <w:rtl/>
        </w:rPr>
        <w:t xml:space="preserve"> (ב)</w:t>
      </w:r>
    </w:p>
    <w:p w14:paraId="38972797" w14:textId="77777777" w:rsidR="00A14FDA" w:rsidRPr="00804FE1" w:rsidRDefault="00A14FDA" w:rsidP="00A14FDA">
      <w:pPr>
        <w:pStyle w:val="a7"/>
      </w:pPr>
      <w:bookmarkStart w:id="5337" w:name="_Toc144225317"/>
      <w:r>
        <w:rPr>
          <w:rFonts w:hint="cs"/>
          <w:rtl/>
        </w:rPr>
        <w:t>דחיית הקה"י דלרשב"א אין בנין בכלים ויש מכב"פ ובמורסא אין מלאכה והוי מכב"פ וכ"מ בירו'</w:t>
      </w:r>
      <w:bookmarkEnd w:id="5337"/>
    </w:p>
    <w:p w14:paraId="19D69D4E" w14:textId="4943EB83" w:rsidR="00A14FDA" w:rsidRDefault="00A14FDA" w:rsidP="00BC7DC8">
      <w:pPr>
        <w:pStyle w:val="a3"/>
        <w:rPr>
          <w:rtl/>
        </w:rPr>
      </w:pPr>
      <w:bookmarkStart w:id="5338" w:name="_Ref144117341"/>
      <w:r>
        <w:rPr>
          <w:rFonts w:hint="cs"/>
          <w:rtl/>
        </w:rPr>
        <w:t>אך דחה</w:t>
      </w:r>
      <w:r>
        <w:rPr>
          <w:rtl/>
        </w:rPr>
        <w:t xml:space="preserve"> </w:t>
      </w:r>
      <w:r w:rsidRPr="00DB0579">
        <w:rPr>
          <w:b/>
          <w:bCs/>
          <w:rtl/>
        </w:rPr>
        <w:t>ה</w:t>
      </w:r>
      <w:r w:rsidRPr="00DB0579">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Ref144117341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סח)</w:t>
      </w:r>
      <w:r>
        <w:rPr>
          <w:b/>
          <w:bCs/>
          <w:vanish/>
          <w:rtl/>
        </w:rPr>
        <w:fldChar w:fldCharType="end"/>
      </w:r>
      <w:r w:rsidRPr="00DB0579">
        <w:rPr>
          <w:b/>
          <w:bCs/>
          <w:vanish/>
          <w:rtl/>
        </w:rPr>
        <w:t xml:space="preserve"> &gt;</w:t>
      </w:r>
      <w:r>
        <w:rPr>
          <w:rFonts w:hint="cs"/>
          <w:b/>
          <w:bCs/>
          <w:rtl/>
        </w:rPr>
        <w:t>קהלות</w:t>
      </w:r>
      <w:r w:rsidRPr="00DB0579">
        <w:rPr>
          <w:rFonts w:hint="cs"/>
          <w:b/>
          <w:bCs/>
          <w:rtl/>
        </w:rPr>
        <w:t xml:space="preserve"> יעקב</w:t>
      </w:r>
      <w:r w:rsidRPr="00DB0579">
        <w:rPr>
          <w:b/>
          <w:bCs/>
          <w:rtl/>
        </w:rPr>
        <w:t xml:space="preserve"> </w:t>
      </w:r>
      <w:r w:rsidRPr="00C8052D">
        <w:rPr>
          <w:rStyle w:val="af2"/>
          <w:rFonts w:eastAsia="Guttman Hodes"/>
          <w:rtl/>
        </w:rPr>
        <w:t>(</w:t>
      </w:r>
      <w:r w:rsidRPr="00C8052D">
        <w:rPr>
          <w:rStyle w:val="af2"/>
          <w:rFonts w:eastAsia="Guttman Hodes" w:hint="cs"/>
          <w:rtl/>
        </w:rPr>
        <w:t>שבת סי' מ"א ד"ה אבל זה</w:t>
      </w:r>
      <w:r w:rsidRPr="00C8052D">
        <w:rPr>
          <w:rStyle w:val="af2"/>
          <w:rFonts w:eastAsia="Guttman Hodes"/>
          <w:rtl/>
        </w:rPr>
        <w:t>)</w:t>
      </w:r>
      <w:r w:rsidRPr="00DB0579">
        <w:rPr>
          <w:vanish/>
          <w:rtl/>
        </w:rPr>
        <w:t>=</w:t>
      </w:r>
      <w:r>
        <w:rPr>
          <w:rtl/>
        </w:rPr>
        <w:t xml:space="preserve"> </w:t>
      </w:r>
      <w:r>
        <w:rPr>
          <w:rFonts w:hint="cs"/>
          <w:rtl/>
        </w:rPr>
        <w:t>דהא כתב</w:t>
      </w:r>
      <w:r w:rsidRPr="00DB0579">
        <w:rPr>
          <w:b/>
          <w:bCs/>
          <w:rtl/>
        </w:rPr>
        <w:t xml:space="preserve"> </w:t>
      </w:r>
      <w:r w:rsidRPr="00DB0579">
        <w:rPr>
          <w:rFonts w:hint="cs"/>
          <w:b/>
          <w:bCs/>
          <w:rtl/>
        </w:rPr>
        <w:t>ה</w:t>
      </w:r>
      <w:r>
        <w:rPr>
          <w:rFonts w:hint="cs"/>
          <w:b/>
          <w:bCs/>
          <w:rtl/>
        </w:rPr>
        <w:t>רשב"א</w:t>
      </w:r>
      <w:r>
        <w:rPr>
          <w:rtl/>
        </w:rPr>
        <w:t xml:space="preserve"> </w:t>
      </w:r>
      <w:r w:rsidRPr="00C8052D">
        <w:rPr>
          <w:rStyle w:val="af2"/>
          <w:rFonts w:eastAsia="Guttman Hodes" w:hint="cs"/>
          <w:rtl/>
        </w:rPr>
        <w:t>(</w:t>
      </w:r>
      <w:r>
        <w:rPr>
          <w:rStyle w:val="af2"/>
          <w:rFonts w:eastAsia="Guttman Hodes" w:hint="cs"/>
          <w:rtl/>
        </w:rPr>
        <w:t>ד"ה ורבינו האיי</w:t>
      </w:r>
      <w:r w:rsidRPr="00C8052D">
        <w:rPr>
          <w:rStyle w:val="af2"/>
          <w:rFonts w:eastAsia="Guttman Hodes" w:hint="cs"/>
          <w:rtl/>
        </w:rPr>
        <w:t>)</w:t>
      </w:r>
      <w:r>
        <w:rPr>
          <w:rFonts w:hint="cs"/>
          <w:rtl/>
        </w:rPr>
        <w:t xml:space="preserve"> בשם</w:t>
      </w:r>
      <w:r w:rsidRPr="00DB0579">
        <w:rPr>
          <w:b/>
          <w:bCs/>
          <w:rtl/>
        </w:rPr>
        <w:t xml:space="preserve"> </w:t>
      </w:r>
      <w:r>
        <w:rPr>
          <w:rFonts w:hint="cs"/>
          <w:b/>
          <w:bCs/>
          <w:rtl/>
        </w:rPr>
        <w:t>רב האי גאון ור"ח</w:t>
      </w:r>
      <w:r>
        <w:rPr>
          <w:rtl/>
        </w:rPr>
        <w:t xml:space="preserve"> </w:t>
      </w:r>
      <w:r>
        <w:rPr>
          <w:rFonts w:hint="cs"/>
          <w:rtl/>
        </w:rPr>
        <w:t>דאין בנין בכלים ואין בו כל חיוב מלאכה, ומ"מ חייב בזה משום מכה בפטיש, ומוכח דאף כשהגמר הוא אינו גמר של מלאכה שייך בו חיוב מכה בפטיש, וכן מוכח מדברי</w:t>
      </w:r>
      <w:r w:rsidRPr="00555F73">
        <w:rPr>
          <w:b/>
          <w:bCs/>
          <w:rtl/>
        </w:rPr>
        <w:t xml:space="preserve"> </w:t>
      </w:r>
      <w:r>
        <w:rPr>
          <w:rFonts w:hint="cs"/>
          <w:b/>
          <w:bCs/>
          <w:rtl/>
        </w:rPr>
        <w:t>הרמב"ם</w:t>
      </w:r>
      <w:r>
        <w:rPr>
          <w:rtl/>
        </w:rPr>
        <w:t xml:space="preserve"> </w:t>
      </w:r>
      <w:r w:rsidRPr="00C8052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Ref144117431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לב)</w:t>
      </w:r>
      <w:r>
        <w:rPr>
          <w:rStyle w:val="af2"/>
          <w:rFonts w:eastAsia="Guttman Hodes"/>
          <w:rtl/>
        </w:rPr>
        <w:fldChar w:fldCharType="end"/>
      </w:r>
      <w:r>
        <w:rPr>
          <w:rFonts w:hint="cs"/>
          <w:rtl/>
        </w:rPr>
        <w:t xml:space="preserve"> לענין מורסא דמחייב בעושה פתח משום מכה בפטיש, אף דס"ל שאין בזה כל חיוב מלאכה אחרת, וכשעושה לה פה אינו גומר את מלאכה שעשה קודם לכן, וכן מוכח מדברי הירושלמי </w:t>
      </w:r>
      <w:r w:rsidRPr="00C8052D">
        <w:rPr>
          <w:rStyle w:val="af2"/>
          <w:rFonts w:eastAsia="Guttman Hodes" w:hint="cs"/>
          <w:rtl/>
        </w:rPr>
        <w:t>(פ"ז ה"ב, מד.)</w:t>
      </w:r>
      <w:r>
        <w:rPr>
          <w:rFonts w:hint="cs"/>
          <w:rtl/>
        </w:rPr>
        <w:t xml:space="preserve"> דבכל תולדה שלא מצאו אב מלאכה לחייב בה, אמרו דהיא תולדת מכה בפטיש, ומוכח דהחיוב בזה הוא אף כשלא עשה כל מלאכה לפני הגמר של מכה בפטיש.</w:t>
      </w:r>
      <w:bookmarkEnd w:id="5338"/>
    </w:p>
    <w:p w14:paraId="595D7DD2" w14:textId="77777777" w:rsidR="00A14FDA" w:rsidRPr="00FA4A0E" w:rsidRDefault="00A14FDA" w:rsidP="00A14FDA">
      <w:pPr>
        <w:pStyle w:val="1"/>
      </w:pPr>
      <w:bookmarkStart w:id="5339" w:name="_Toc144225318"/>
      <w:r>
        <w:rPr>
          <w:rFonts w:hint="cs"/>
          <w:rtl/>
        </w:rPr>
        <w:t>בי' הקה"י דמעשה אחר מלאכה חייב בכ"ש ובלא"ה חייב בגמר</w:t>
      </w:r>
      <w:bookmarkEnd w:id="5339"/>
    </w:p>
    <w:p w14:paraId="72B0BBE0" w14:textId="77777777" w:rsidR="00A14FDA" w:rsidRPr="00BC7DC8" w:rsidRDefault="00A14FDA" w:rsidP="00A14FDA">
      <w:pPr>
        <w:pStyle w:val="afffffe"/>
        <w:rPr>
          <w:vanish/>
          <w:rtl/>
        </w:rPr>
      </w:pPr>
      <w:r w:rsidRPr="00BC7DC8">
        <w:rPr>
          <w:rFonts w:hint="cs"/>
          <w:vanish/>
          <w:rtl/>
        </w:rPr>
        <w:t>קהלות יעקב שבת סי' מ"א ד"ה אבל זה</w:t>
      </w:r>
    </w:p>
    <w:p w14:paraId="0124715F" w14:textId="77777777" w:rsidR="00A14FDA" w:rsidRPr="00D87F8B" w:rsidRDefault="00A14FDA" w:rsidP="00A14FDA">
      <w:pPr>
        <w:pStyle w:val="a2"/>
      </w:pPr>
      <w:r w:rsidRPr="00D87F8B">
        <w:rPr>
          <w:rFonts w:hint="cs"/>
          <w:rtl/>
        </w:rPr>
        <w:t xml:space="preserve">אבל </w:t>
      </w:r>
      <w:r w:rsidRPr="00D87F8B">
        <w:rPr>
          <w:rtl/>
        </w:rPr>
        <w:t>זה א"א להאמר להסוברים דאין בעשיית כלי משום בונה אפי' כשעושה כל הכלי עי' רשב"א ז"ל ר"פ הבונה בשם רב האי גאון ז"ל ובפיר"ח ז"ל שם יאין בכל עשיית הכלי שום מלאכה אחרת ומ"מ אמרינן דחייב משום מכב"פ אלמא דמכב"פ הוי אפי' כשאינו גמר לאיזו מלאכה מהל"ח מלאכות וכן מוכח ממש"כ הרמב"ם ז"ל דמפיס מורסה לעשות לה פה חייב משום מכב"פ אע"פ שלא עשה מלאכה אחרת ואין עשיית הפה המשך וגמר לחיזו</w:t>
      </w:r>
      <w:r w:rsidRPr="00D87F8B">
        <w:rPr>
          <w:rFonts w:hint="cs"/>
          <w:rtl/>
        </w:rPr>
        <w:t>ק</w:t>
      </w:r>
      <w:r w:rsidRPr="00D87F8B">
        <w:rPr>
          <w:rtl/>
        </w:rPr>
        <w:t xml:space="preserve"> מלאכה שלפניו וכן משמע בירושלמי פ' כלל גדול דאמרו התם דכל דבר שמצאו לה אב הוי תולדה דידי' ושלא מצאו לו אב עבדוה מכב"פ ומשמע דנחשב מכב"פ גם כשאיני גמר דאיזו מלאכה שעשה לפני זה</w:t>
      </w:r>
      <w:r w:rsidRPr="00D87F8B">
        <w:rPr>
          <w:rFonts w:hint="cs"/>
          <w:rtl/>
        </w:rPr>
        <w:t>.</w:t>
      </w:r>
    </w:p>
    <w:p w14:paraId="6E1DF9B0" w14:textId="77777777" w:rsidR="00A14FDA" w:rsidRDefault="00A14FDA" w:rsidP="00A14FDA">
      <w:pPr>
        <w:pStyle w:val="afffff7"/>
        <w:rPr>
          <w:rtl/>
        </w:rPr>
      </w:pPr>
      <w:bookmarkStart w:id="5340" w:name="_Toc144224700"/>
      <w:bookmarkStart w:id="5341" w:name="_Toc163506248"/>
      <w:r>
        <w:rPr>
          <w:rFonts w:hint="cs"/>
          <w:rtl/>
        </w:rPr>
        <w:t>קהלות יעקב שבת סי' מ"א ד"ה ומ"מ נראה</w:t>
      </w:r>
      <w:bookmarkEnd w:id="5340"/>
      <w:bookmarkEnd w:id="5341"/>
      <w:r w:rsidRPr="00421A47">
        <w:rPr>
          <w:vanish/>
          <w:rtl/>
        </w:rPr>
        <w:t xml:space="preserve"> (ב)</w:t>
      </w:r>
    </w:p>
    <w:p w14:paraId="0F00CD47" w14:textId="77777777" w:rsidR="00A14FDA" w:rsidRPr="00804FE1" w:rsidRDefault="00A14FDA" w:rsidP="00A14FDA">
      <w:pPr>
        <w:pStyle w:val="a7"/>
      </w:pPr>
      <w:bookmarkStart w:id="5342" w:name="_Toc144225319"/>
      <w:r>
        <w:rPr>
          <w:rFonts w:hint="cs"/>
          <w:rtl/>
        </w:rPr>
        <w:t>בי' הקה"י דבעשה מלאכה ומעשה נוסף דגמר כולו חשיב גמר וחייב במעשה זה אף בכ"ש</w:t>
      </w:r>
      <w:bookmarkEnd w:id="5342"/>
      <w:r>
        <w:rPr>
          <w:rFonts w:hint="cs"/>
          <w:rtl/>
        </w:rPr>
        <w:t xml:space="preserve"> </w:t>
      </w:r>
    </w:p>
    <w:p w14:paraId="2CCFD0DF" w14:textId="4888796D" w:rsidR="00A14FDA" w:rsidRDefault="00A14FDA" w:rsidP="00BC7DC8">
      <w:pPr>
        <w:pStyle w:val="a3"/>
      </w:pPr>
      <w:bookmarkStart w:id="5343" w:name="_Ref144117349"/>
      <w:r>
        <w:rPr>
          <w:rFonts w:hint="cs"/>
          <w:rtl/>
        </w:rPr>
        <w:t>וכתב</w:t>
      </w:r>
      <w:r>
        <w:rPr>
          <w:rtl/>
        </w:rPr>
        <w:t xml:space="preserve"> </w:t>
      </w:r>
      <w:r w:rsidRPr="00DB0579">
        <w:rPr>
          <w:b/>
          <w:bCs/>
          <w:rtl/>
        </w:rPr>
        <w:t>ה</w:t>
      </w:r>
      <w:r w:rsidRPr="00DB0579">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Ref144117349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סט)</w:t>
      </w:r>
      <w:r>
        <w:rPr>
          <w:b/>
          <w:bCs/>
          <w:vanish/>
          <w:rtl/>
        </w:rPr>
        <w:fldChar w:fldCharType="end"/>
      </w:r>
      <w:r w:rsidRPr="00DB0579">
        <w:rPr>
          <w:b/>
          <w:bCs/>
          <w:vanish/>
          <w:rtl/>
        </w:rPr>
        <w:t xml:space="preserve"> &gt;</w:t>
      </w:r>
      <w:r>
        <w:rPr>
          <w:rFonts w:hint="cs"/>
          <w:b/>
          <w:bCs/>
          <w:rtl/>
        </w:rPr>
        <w:t>קהלות</w:t>
      </w:r>
      <w:r w:rsidRPr="00DB0579">
        <w:rPr>
          <w:rFonts w:hint="cs"/>
          <w:b/>
          <w:bCs/>
          <w:rtl/>
        </w:rPr>
        <w:t xml:space="preserve"> יעקב</w:t>
      </w:r>
      <w:r w:rsidRPr="00DB0579">
        <w:rPr>
          <w:b/>
          <w:bCs/>
          <w:rtl/>
        </w:rPr>
        <w:t xml:space="preserve"> </w:t>
      </w:r>
      <w:r w:rsidRPr="00C8052D">
        <w:rPr>
          <w:rStyle w:val="af2"/>
          <w:rFonts w:eastAsia="Guttman Hodes"/>
          <w:rtl/>
        </w:rPr>
        <w:t>(</w:t>
      </w:r>
      <w:r w:rsidRPr="00C8052D">
        <w:rPr>
          <w:rStyle w:val="af2"/>
          <w:rFonts w:eastAsia="Guttman Hodes" w:hint="cs"/>
          <w:rtl/>
        </w:rPr>
        <w:t xml:space="preserve">שבת סי' מ"א ד"ה </w:t>
      </w:r>
      <w:r w:rsidRPr="00C8052D">
        <w:rPr>
          <w:rStyle w:val="af2"/>
          <w:rFonts w:eastAsia="Guttman Hodes"/>
          <w:rtl/>
        </w:rPr>
        <w:t>ומ"מ נראה)</w:t>
      </w:r>
      <w:r w:rsidRPr="00DB0579">
        <w:rPr>
          <w:vanish/>
          <w:rtl/>
        </w:rPr>
        <w:t>=</w:t>
      </w:r>
      <w:r>
        <w:rPr>
          <w:rtl/>
        </w:rPr>
        <w:t xml:space="preserve"> </w:t>
      </w:r>
      <w:r>
        <w:rPr>
          <w:rFonts w:hint="cs"/>
          <w:rtl/>
        </w:rPr>
        <w:t>דאפש"ל דבאמת באופן שעשה מעשה מאלכה, ואחר שגמר את המלאכה עשה גמר נוסף שתיקן את המלאכה שעשה קודם לכן, דבכה"ג כל המעשה שלו נחשב לגמר מלאכה, ואף כשעשה רק חלק מהגמר חייב עליו משום מכה בפטיש, כגון בשקיל אקופי מגלימי דחייב אף אם נטל רק את מקצת הקשין שבבגד, דכל המעשה של נטילת הקשין נחשב לגמר ותיקון של מלאכת האריגה, וא"כ על כל משהו שנוטל מהקשין יש חיוב מדין מכה בפטיש.</w:t>
      </w:r>
    </w:p>
    <w:p w14:paraId="3B8CB7B4" w14:textId="77777777" w:rsidR="00A14FDA" w:rsidRPr="00BC7DC8" w:rsidRDefault="00A14FDA" w:rsidP="00A14FDA">
      <w:pPr>
        <w:pStyle w:val="afffffe"/>
        <w:rPr>
          <w:vanish/>
          <w:rtl/>
        </w:rPr>
      </w:pPr>
      <w:r w:rsidRPr="00BC7DC8">
        <w:rPr>
          <w:rFonts w:hint="cs"/>
          <w:vanish/>
          <w:rtl/>
        </w:rPr>
        <w:t>קהלות יעקב שבת סי' מ"א ד"ה ומ"מ נראה</w:t>
      </w:r>
    </w:p>
    <w:p w14:paraId="2070532D" w14:textId="77777777" w:rsidR="00A14FDA" w:rsidRDefault="00A14FDA" w:rsidP="00A14FDA">
      <w:pPr>
        <w:pStyle w:val="a2"/>
        <w:rPr>
          <w:rtl/>
        </w:rPr>
      </w:pPr>
      <w:r w:rsidRPr="00D87F8B">
        <w:rPr>
          <w:rFonts w:hint="cs"/>
          <w:rtl/>
        </w:rPr>
        <w:t xml:space="preserve">ומ"מ </w:t>
      </w:r>
      <w:r w:rsidRPr="00D87F8B">
        <w:rPr>
          <w:rtl/>
        </w:rPr>
        <w:t>נראה שאפשר לקיים דברינו במקצת והוא דיסוד מלאכת מכב"פ עניני גמר מלאכה וכשהוא גמר תיקון למלאכה שלפניה אז כ</w:t>
      </w:r>
      <w:r w:rsidRPr="00D87F8B">
        <w:rPr>
          <w:rFonts w:hint="cs"/>
          <w:rtl/>
        </w:rPr>
        <w:t>ל</w:t>
      </w:r>
      <w:r w:rsidRPr="00D87F8B">
        <w:rPr>
          <w:rtl/>
        </w:rPr>
        <w:t xml:space="preserve"> המעשה נחשב </w:t>
      </w:r>
      <w:r w:rsidRPr="00D87F8B">
        <w:rPr>
          <w:rFonts w:hint="cs"/>
          <w:rtl/>
        </w:rPr>
        <w:t>"</w:t>
      </w:r>
      <w:r w:rsidRPr="00D87F8B">
        <w:rPr>
          <w:rtl/>
        </w:rPr>
        <w:t>גמר</w:t>
      </w:r>
      <w:r w:rsidRPr="00D87F8B">
        <w:rPr>
          <w:rFonts w:hint="cs"/>
          <w:rtl/>
        </w:rPr>
        <w:t>"</w:t>
      </w:r>
      <w:r w:rsidRPr="00D87F8B">
        <w:rPr>
          <w:rtl/>
        </w:rPr>
        <w:t xml:space="preserve"> והוי כל המעשה בשם מכב"פ אע"פ שלא גמר כל אותו תיקון האחרון אלא מקצתו כגון</w:t>
      </w:r>
      <w:r w:rsidRPr="00D87F8B">
        <w:rPr>
          <w:rFonts w:hint="cs"/>
          <w:rtl/>
        </w:rPr>
        <w:t xml:space="preserve"> </w:t>
      </w:r>
      <w:r w:rsidRPr="00D87F8B">
        <w:rPr>
          <w:rtl/>
        </w:rPr>
        <w:t>אירג דהוי מלאכה ונטילת הקשין הוי גמר התיקון ולפיכך הוי כל משהו ממעשה נטילת הקשין בשם מכב"פ ואע"פ שלא נטל אלא מקצת הקשין הוי מכב"פ שהרי הוא גמר נמלאכת האריגה</w:t>
      </w:r>
      <w:r>
        <w:rPr>
          <w:rFonts w:hint="cs"/>
          <w:rtl/>
        </w:rPr>
        <w:t>.</w:t>
      </w:r>
    </w:p>
    <w:p w14:paraId="1033B693" w14:textId="77777777" w:rsidR="00A14FDA" w:rsidRPr="00560A99" w:rsidRDefault="00A14FDA" w:rsidP="00A14FDA">
      <w:pPr>
        <w:pStyle w:val="a7"/>
      </w:pPr>
      <w:bookmarkStart w:id="5344" w:name="_Toc144225320"/>
      <w:r>
        <w:rPr>
          <w:rFonts w:hint="cs"/>
          <w:rtl/>
        </w:rPr>
        <w:t>בי' הקה"י דבמעשה שהוא רק גמר ולפני לא הייתה מלאכה החיוב במכ"פ רק בגמר את כולו</w:t>
      </w:r>
      <w:bookmarkEnd w:id="5344"/>
    </w:p>
    <w:p w14:paraId="2AEFD4FC" w14:textId="4436797B" w:rsidR="00A14FDA" w:rsidRPr="00DC0470" w:rsidRDefault="00A14FDA" w:rsidP="00BC7DC8">
      <w:pPr>
        <w:pStyle w:val="a3"/>
      </w:pPr>
      <w:r>
        <w:rPr>
          <w:rFonts w:hint="cs"/>
          <w:rtl/>
        </w:rPr>
        <w:t>אך כתב</w:t>
      </w:r>
      <w:r w:rsidRPr="00962873">
        <w:rPr>
          <w:b/>
          <w:bCs/>
          <w:rtl/>
        </w:rPr>
        <w:t xml:space="preserve"> </w:t>
      </w:r>
      <w:r>
        <w:rPr>
          <w:rFonts w:hint="cs"/>
          <w:b/>
          <w:bCs/>
          <w:rtl/>
        </w:rPr>
        <w:t>הקהלות יעקב</w:t>
      </w:r>
      <w:r>
        <w:rPr>
          <w:rtl/>
        </w:rPr>
        <w:t xml:space="preserve"> </w:t>
      </w:r>
      <w:r>
        <w:rPr>
          <w:rFonts w:hint="cs"/>
          <w:rtl/>
        </w:rPr>
        <w:t>דכשעשה מעשה של גמר בפנ"ע, ולא עשה כל מלאכה לפניו, כגון בעשה פתח למורסא לדעת</w:t>
      </w:r>
      <w:r w:rsidRPr="00885C71">
        <w:rPr>
          <w:b/>
          <w:bCs/>
          <w:rtl/>
        </w:rPr>
        <w:t xml:space="preserve"> </w:t>
      </w:r>
      <w:r>
        <w:rPr>
          <w:rFonts w:hint="cs"/>
          <w:b/>
          <w:bCs/>
          <w:rtl/>
        </w:rPr>
        <w:t>הרמב"ם</w:t>
      </w:r>
      <w:r>
        <w:rPr>
          <w:rtl/>
        </w:rPr>
        <w:t xml:space="preserve"> </w:t>
      </w:r>
      <w:r w:rsidRPr="00C8052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Ref144117431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לב)</w:t>
      </w:r>
      <w:r>
        <w:rPr>
          <w:rStyle w:val="af2"/>
          <w:rFonts w:eastAsia="Guttman Hodes"/>
          <w:rtl/>
        </w:rPr>
        <w:fldChar w:fldCharType="end"/>
      </w:r>
      <w:r>
        <w:rPr>
          <w:rFonts w:hint="cs"/>
          <w:rtl/>
        </w:rPr>
        <w:t xml:space="preserve"> דחייב בזה משום מכה בפטיש, דרק גמר הפתח חשיב מכה בפטיש, ואם גמר רק מקצתו אין בזה חיוב כלל, וכן לדעת </w:t>
      </w:r>
      <w:r w:rsidRPr="00DB0579">
        <w:rPr>
          <w:rFonts w:hint="cs"/>
          <w:b/>
          <w:bCs/>
          <w:rtl/>
        </w:rPr>
        <w:t>ה</w:t>
      </w:r>
      <w:r>
        <w:rPr>
          <w:rFonts w:hint="cs"/>
          <w:b/>
          <w:bCs/>
          <w:rtl/>
        </w:rPr>
        <w:t>רשב"א</w:t>
      </w:r>
      <w:r>
        <w:rPr>
          <w:rtl/>
        </w:rPr>
        <w:t xml:space="preserve"> </w:t>
      </w:r>
      <w:r w:rsidRPr="00C8052D">
        <w:rPr>
          <w:rStyle w:val="af2"/>
          <w:rFonts w:eastAsia="Guttman Hodes" w:hint="cs"/>
          <w:rtl/>
        </w:rPr>
        <w:t>(</w:t>
      </w:r>
      <w:r>
        <w:rPr>
          <w:rStyle w:val="af2"/>
          <w:rFonts w:eastAsia="Guttman Hodes" w:hint="cs"/>
          <w:rtl/>
        </w:rPr>
        <w:t>ד"ה ורבינו האיי)</w:t>
      </w:r>
      <w:r>
        <w:rPr>
          <w:rFonts w:hint="cs"/>
          <w:rtl/>
        </w:rPr>
        <w:t xml:space="preserve"> בשם</w:t>
      </w:r>
      <w:r w:rsidRPr="00DB0579">
        <w:rPr>
          <w:b/>
          <w:bCs/>
          <w:rtl/>
        </w:rPr>
        <w:t xml:space="preserve"> </w:t>
      </w:r>
      <w:r>
        <w:rPr>
          <w:rFonts w:hint="cs"/>
          <w:b/>
          <w:bCs/>
          <w:rtl/>
        </w:rPr>
        <w:t>רב האי גאון ור"ח</w:t>
      </w:r>
      <w:r>
        <w:rPr>
          <w:rtl/>
        </w:rPr>
        <w:t xml:space="preserve"> </w:t>
      </w:r>
      <w:r>
        <w:rPr>
          <w:rFonts w:hint="cs"/>
          <w:rtl/>
        </w:rPr>
        <w:t>דאין בנין בכלים וחייב משום מכה בפטיש, ג"כ החיוב הוא רק בגמר של כל הכלי ולא במקצתו.</w:t>
      </w:r>
      <w:bookmarkEnd w:id="5343"/>
    </w:p>
    <w:p w14:paraId="4DCA8822" w14:textId="77777777" w:rsidR="00A14FDA" w:rsidRPr="00D87F8B" w:rsidRDefault="00A14FDA" w:rsidP="00A14FDA">
      <w:pPr>
        <w:pStyle w:val="a2"/>
        <w:rPr>
          <w:rtl/>
        </w:rPr>
      </w:pPr>
      <w:r w:rsidRPr="00D87F8B">
        <w:rPr>
          <w:rtl/>
        </w:rPr>
        <w:t>אבל כשאין מלאכה לפניה אז אין לחשוב מעשה זו בשם גמר מלאכה אלא משהו האחרון שבו שזהו גמר של אותה פעולה והמפיס מורסא להרמב"ם ז"ל דהוי מכב"פ אינו חייב אנא כשיגמור כל הפה הדרוש שם אבל כשיעשה מקצתה ולא יגמור אין זה מכב"פ וכן העושה כלי להסוברים דליכא משום בונה לא יחשב מכב"פ אא"כ יגמור כל הכלי</w:t>
      </w:r>
      <w:r w:rsidRPr="00D87F8B">
        <w:rPr>
          <w:rFonts w:hint="cs"/>
          <w:rtl/>
        </w:rPr>
        <w:t>.</w:t>
      </w:r>
    </w:p>
    <w:p w14:paraId="6DD57038" w14:textId="77777777" w:rsidR="00A14FDA" w:rsidRDefault="00A14FDA" w:rsidP="00A14FDA">
      <w:pPr>
        <w:pStyle w:val="a7"/>
        <w:rPr>
          <w:rtl/>
        </w:rPr>
      </w:pPr>
      <w:bookmarkStart w:id="5345" w:name="_Toc144225321"/>
    </w:p>
    <w:p w14:paraId="303EF574" w14:textId="77777777" w:rsidR="00A14FDA" w:rsidRDefault="00A14FDA" w:rsidP="00A14FDA">
      <w:pPr>
        <w:pStyle w:val="a7"/>
        <w:rPr>
          <w:rtl/>
        </w:rPr>
      </w:pPr>
    </w:p>
    <w:p w14:paraId="7A5B2633" w14:textId="77777777" w:rsidR="00A14FDA" w:rsidRDefault="00A14FDA" w:rsidP="00A14FDA">
      <w:pPr>
        <w:pStyle w:val="a7"/>
        <w:rPr>
          <w:rtl/>
        </w:rPr>
      </w:pPr>
      <w:r>
        <w:rPr>
          <w:rFonts w:hint="cs"/>
          <w:rtl/>
        </w:rPr>
        <w:t>בי' הקה"י דכן מוכח מחיוב חק קפיזא דהוא רק בגמר המלאכה וזו הכוונה דמלאכתו מתקיימת</w:t>
      </w:r>
      <w:bookmarkEnd w:id="5345"/>
    </w:p>
    <w:p w14:paraId="15D5622C" w14:textId="77777777" w:rsidR="00A14FDA" w:rsidRDefault="00A14FDA" w:rsidP="00BC7DC8">
      <w:pPr>
        <w:pStyle w:val="a3"/>
        <w:rPr>
          <w:rtl/>
        </w:rPr>
      </w:pPr>
      <w:bookmarkStart w:id="5346" w:name="_Ref144201131"/>
      <w:r>
        <w:rPr>
          <w:rFonts w:hint="cs"/>
          <w:rtl/>
        </w:rPr>
        <w:t>וכתב</w:t>
      </w:r>
      <w:r w:rsidRPr="00CB61D8">
        <w:rPr>
          <w:b/>
          <w:bCs/>
          <w:rtl/>
        </w:rPr>
        <w:t xml:space="preserve"> </w:t>
      </w:r>
      <w:r>
        <w:rPr>
          <w:rFonts w:hint="cs"/>
          <w:b/>
          <w:bCs/>
          <w:rtl/>
        </w:rPr>
        <w:t>הקהלות יעקב</w:t>
      </w:r>
      <w:r>
        <w:rPr>
          <w:rtl/>
        </w:rPr>
        <w:t xml:space="preserve"> </w:t>
      </w:r>
      <w:r>
        <w:rPr>
          <w:rFonts w:hint="cs"/>
          <w:rtl/>
        </w:rPr>
        <w:t xml:space="preserve">דכן מוכח מהא דתנן </w:t>
      </w:r>
      <w:r w:rsidRPr="00CB61D8">
        <w:rPr>
          <w:rtl/>
        </w:rPr>
        <w:t xml:space="preserve">זה הכלל כל העושה מלאכה "ומלאכתו מתקיימת" </w:t>
      </w:r>
      <w:r>
        <w:rPr>
          <w:rFonts w:hint="cs"/>
          <w:rtl/>
        </w:rPr>
        <w:t>וביארה הגמ' דאתי</w:t>
      </w:r>
      <w:r w:rsidRPr="00CB61D8">
        <w:rPr>
          <w:rtl/>
        </w:rPr>
        <w:t xml:space="preserve"> לאתויי חק קפיזא בקבא</w:t>
      </w:r>
      <w:r>
        <w:rPr>
          <w:rFonts w:hint="cs"/>
          <w:rtl/>
        </w:rPr>
        <w:t xml:space="preserve">, וביאר </w:t>
      </w:r>
      <w:r w:rsidRPr="001A2014">
        <w:rPr>
          <w:rStyle w:val="aff4"/>
          <w:rFonts w:hint="cs"/>
          <w:vanish/>
          <w:rtl/>
        </w:rPr>
        <w:t>-</w:t>
      </w:r>
      <w:r w:rsidRPr="001A2014">
        <w:rPr>
          <w:rStyle w:val="aff4"/>
          <w:rFonts w:hint="cs"/>
          <w:rtl/>
        </w:rPr>
        <w:t>רש"י</w:t>
      </w:r>
      <w:r w:rsidRPr="001A2014">
        <w:rPr>
          <w:rStyle w:val="aff4"/>
          <w:rFonts w:hint="cs"/>
          <w:vanish/>
          <w:rtl/>
        </w:rPr>
        <w:t>-</w:t>
      </w:r>
      <w:r>
        <w:rPr>
          <w:rFonts w:hint="cs"/>
          <w:rtl/>
        </w:rPr>
        <w:t xml:space="preserve"> </w:t>
      </w:r>
      <w:r w:rsidRPr="00C8052D">
        <w:rPr>
          <w:rStyle w:val="af2"/>
          <w:rFonts w:eastAsia="Guttman Hodes" w:hint="cs"/>
          <w:rtl/>
        </w:rPr>
        <w:t>(קג. ד"ה דחק</w:t>
      </w:r>
      <w:r>
        <w:rPr>
          <w:rStyle w:val="af2"/>
          <w:rFonts w:eastAsia="Guttman Hodes" w:hint="cs"/>
          <w:rtl/>
        </w:rPr>
        <w:t>, הובא בסימן י"א אות נ"ג)</w:t>
      </w:r>
      <w:r>
        <w:rPr>
          <w:rFonts w:hint="cs"/>
          <w:rtl/>
        </w:rPr>
        <w:t xml:space="preserve"> דאף שכוונתו להוסיף ולחקוק בו, מ"מ חייב כיון שיש שמקיימין כן, ומבואר דאם עשה כלי עם ג' דפנות ולא עשה את הדופן הרביעית שא"א לקיים כך את הכלי, פטור מדין מכה בפטיש, ומוכח דכל שלא גמר את כל הדבר אין בו חיוב מכה בפטיש.</w:t>
      </w:r>
    </w:p>
    <w:p w14:paraId="3623FE56" w14:textId="77777777" w:rsidR="00A14FDA" w:rsidRDefault="00A14FDA" w:rsidP="00A14FDA">
      <w:pPr>
        <w:pStyle w:val="a2"/>
      </w:pPr>
      <w:r w:rsidRPr="00D87F8B">
        <w:rPr>
          <w:rtl/>
        </w:rPr>
        <w:t xml:space="preserve">כדמוכח מהא דתנן זה הכלל כל העושה מלאכה </w:t>
      </w:r>
      <w:r w:rsidRPr="00D87F8B">
        <w:rPr>
          <w:rFonts w:hint="cs"/>
          <w:rtl/>
        </w:rPr>
        <w:t>"ו</w:t>
      </w:r>
      <w:r w:rsidRPr="00D87F8B">
        <w:rPr>
          <w:rtl/>
        </w:rPr>
        <w:t>מלאכתו מתקיימת</w:t>
      </w:r>
      <w:r w:rsidRPr="00D87F8B">
        <w:rPr>
          <w:rFonts w:hint="cs"/>
          <w:rtl/>
        </w:rPr>
        <w:t>"</w:t>
      </w:r>
      <w:r w:rsidRPr="00D87F8B">
        <w:rPr>
          <w:rtl/>
        </w:rPr>
        <w:t xml:space="preserve"> ואמרינן התם לאתויי דחק קפיזא בקבא ופירש"י ז"ל דהוי מלאכה לפי שיש מקיימין כן דזהו דתנן ומלאכתו מתקיימת הא אילו עשה ד"מ ג' דפנות ב</w:t>
      </w:r>
      <w:r w:rsidRPr="00D87F8B">
        <w:rPr>
          <w:rFonts w:hint="cs"/>
          <w:rtl/>
        </w:rPr>
        <w:t>ל</w:t>
      </w:r>
      <w:r w:rsidRPr="00D87F8B">
        <w:rPr>
          <w:rtl/>
        </w:rPr>
        <w:t>א הרביעית שאין מקיימין כיו"ב לשם כלי הי' פטור משום שעדיין לא נגמרה מלאכתו ואין כאן מכב"פ שהוא גמר המלאכה אלמא דענין מכב"פ היא דוקא כשגומר כל הדבר</w:t>
      </w:r>
      <w:r>
        <w:rPr>
          <w:rFonts w:hint="cs"/>
          <w:rtl/>
        </w:rPr>
        <w:t>.</w:t>
      </w:r>
    </w:p>
    <w:p w14:paraId="1DE1069B" w14:textId="77777777" w:rsidR="00A14FDA" w:rsidRPr="006502C4" w:rsidRDefault="00A14FDA" w:rsidP="00A14FDA">
      <w:pPr>
        <w:pStyle w:val="a7"/>
      </w:pPr>
      <w:bookmarkStart w:id="5347" w:name="_Toc144225322"/>
      <w:r>
        <w:rPr>
          <w:rFonts w:hint="cs"/>
          <w:rtl/>
        </w:rPr>
        <w:t>בי' הקה"י דביראים מוכח דבמלאכה קודם חייב רק בגמר ובמסתת לרש"י אחר מלאכה חייב כ"ש</w:t>
      </w:r>
      <w:bookmarkEnd w:id="5347"/>
    </w:p>
    <w:p w14:paraId="5CC72839" w14:textId="16A6367C" w:rsidR="00A14FDA" w:rsidRPr="00CB61D8" w:rsidRDefault="00A14FDA" w:rsidP="00BC7DC8">
      <w:pPr>
        <w:pStyle w:val="a3"/>
      </w:pPr>
      <w:r>
        <w:rPr>
          <w:rFonts w:hint="cs"/>
          <w:rtl/>
        </w:rPr>
        <w:t>וכתב</w:t>
      </w:r>
      <w:r>
        <w:rPr>
          <w:rtl/>
        </w:rPr>
        <w:t xml:space="preserve"> </w:t>
      </w:r>
      <w:r w:rsidRPr="004205B2">
        <w:rPr>
          <w:b/>
          <w:bCs/>
          <w:rtl/>
        </w:rPr>
        <w:t>ה</w:t>
      </w:r>
      <w:r>
        <w:rPr>
          <w:rFonts w:hint="cs"/>
          <w:b/>
          <w:bCs/>
          <w:rtl/>
        </w:rPr>
        <w:t>קהלות</w:t>
      </w:r>
      <w:r w:rsidRPr="004205B2">
        <w:rPr>
          <w:rFonts w:hint="cs"/>
          <w:b/>
          <w:bCs/>
          <w:rtl/>
        </w:rPr>
        <w:t xml:space="preserve"> יעקב</w:t>
      </w:r>
      <w:r w:rsidRPr="004205B2">
        <w:rPr>
          <w:b/>
          <w:bCs/>
          <w:rtl/>
        </w:rPr>
        <w:t xml:space="preserve"> </w:t>
      </w:r>
      <w:r>
        <w:rPr>
          <w:rFonts w:hint="cs"/>
          <w:rtl/>
        </w:rPr>
        <w:t>דכן מבואר בדברי</w:t>
      </w:r>
      <w:r w:rsidRPr="000E22B9">
        <w:rPr>
          <w:b/>
          <w:bCs/>
          <w:rtl/>
        </w:rPr>
        <w:t xml:space="preserve"> </w:t>
      </w:r>
      <w:r>
        <w:rPr>
          <w:rFonts w:hint="cs"/>
          <w:b/>
          <w:bCs/>
          <w:rtl/>
        </w:rPr>
        <w:t>ההג' מרדכי</w:t>
      </w:r>
      <w:r>
        <w:rPr>
          <w:rtl/>
        </w:rPr>
        <w:t xml:space="preserve"> </w:t>
      </w:r>
      <w:r w:rsidRPr="00C8052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Ref143857616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מח)</w:t>
      </w:r>
      <w:r>
        <w:rPr>
          <w:rStyle w:val="af2"/>
          <w:rFonts w:eastAsia="Guttman Hodes"/>
          <w:rtl/>
        </w:rPr>
        <w:fldChar w:fldCharType="end"/>
      </w:r>
      <w:r>
        <w:rPr>
          <w:rFonts w:hint="cs"/>
          <w:rtl/>
        </w:rPr>
        <w:t xml:space="preserve"> בשם </w:t>
      </w:r>
      <w:r w:rsidRPr="007637C7">
        <w:rPr>
          <w:rStyle w:val="aff4"/>
          <w:rFonts w:hint="cs"/>
          <w:vanish/>
          <w:rtl/>
        </w:rPr>
        <w:t>-</w:t>
      </w:r>
      <w:r w:rsidRPr="007637C7">
        <w:rPr>
          <w:rStyle w:val="aff4"/>
          <w:rFonts w:hint="cs"/>
          <w:rtl/>
        </w:rPr>
        <w:t>היראים</w:t>
      </w:r>
      <w:r w:rsidRPr="007637C7">
        <w:rPr>
          <w:rStyle w:val="aff4"/>
          <w:rFonts w:hint="cs"/>
          <w:vanish/>
          <w:rtl/>
        </w:rPr>
        <w:t>-</w:t>
      </w:r>
      <w:r>
        <w:rPr>
          <w:rFonts w:hint="cs"/>
          <w:rtl/>
        </w:rPr>
        <w:t xml:space="preserve"> דכתב דכשלא נגמר הדבר אין בו חיוב מכה בפטיש, אמנם לענין מסתת וקודח מוכח בגמ' דלשמואל חייב משום מכה בפטיש אף בכל שהוא</w:t>
      </w:r>
      <w:bookmarkStart w:id="5348" w:name="_Hlk144053477"/>
      <w:r>
        <w:rPr>
          <w:rFonts w:hint="cs"/>
          <w:rtl/>
        </w:rPr>
        <w:t>, וביאר</w:t>
      </w:r>
      <w:r w:rsidRPr="00F40E2F">
        <w:rPr>
          <w:b/>
          <w:bCs/>
          <w:rtl/>
        </w:rPr>
        <w:t xml:space="preserve"> </w:t>
      </w:r>
      <w:r>
        <w:rPr>
          <w:rFonts w:hint="cs"/>
          <w:b/>
          <w:bCs/>
          <w:rtl/>
        </w:rPr>
        <w:t>רש"י</w:t>
      </w:r>
      <w:r>
        <w:rPr>
          <w:rtl/>
        </w:rPr>
        <w:t xml:space="preserve"> </w:t>
      </w:r>
      <w:r>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Ref144153066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יב)</w:t>
      </w:r>
      <w:r>
        <w:rPr>
          <w:rStyle w:val="af2"/>
          <w:rFonts w:eastAsia="Guttman Hodes"/>
          <w:rtl/>
        </w:rPr>
        <w:fldChar w:fldCharType="end"/>
      </w:r>
      <w:r w:rsidRPr="0009605C">
        <w:rPr>
          <w:rStyle w:val="af2"/>
          <w:rFonts w:eastAsia="Guttman Hodes" w:hint="cs"/>
          <w:rtl/>
        </w:rPr>
        <w:t xml:space="preserve"> </w:t>
      </w:r>
      <w:r>
        <w:rPr>
          <w:rFonts w:hint="cs"/>
          <w:rtl/>
        </w:rPr>
        <w:t xml:space="preserve">דחשיב גמר מלאכה כיון שבמקום שסיתת אינו מסתת עוד, אך עדיין קשה דהא לא נגמרה כל מלאכת האבן, </w:t>
      </w:r>
      <w:bookmarkEnd w:id="5348"/>
      <w:r>
        <w:rPr>
          <w:rFonts w:hint="cs"/>
          <w:rtl/>
        </w:rPr>
        <w:t>אלא כתב</w:t>
      </w:r>
      <w:r w:rsidRPr="004F7451">
        <w:rPr>
          <w:b/>
          <w:bCs/>
          <w:rtl/>
        </w:rPr>
        <w:t xml:space="preserve"> </w:t>
      </w:r>
      <w:r>
        <w:rPr>
          <w:rFonts w:hint="cs"/>
          <w:b/>
          <w:bCs/>
          <w:rtl/>
        </w:rPr>
        <w:t>הקהלות יעקב</w:t>
      </w:r>
      <w:r>
        <w:rPr>
          <w:rtl/>
        </w:rPr>
        <w:t xml:space="preserve"> </w:t>
      </w:r>
      <w:r>
        <w:rPr>
          <w:rFonts w:hint="cs"/>
          <w:rtl/>
        </w:rPr>
        <w:t>דמוכח דבדבר שעשה מלאכה קודם כמסתת שעקר את האבן מההר, חייב על הסיתות אף בכל שהוא דכל המלאכה נקראת מכה בפטיש, אבל בכלי שלא עשה בו כל מלאכה קודם לכן, החיוב דמכה בפטיש הוא רק בגמר של כל הכלי, באופן שיש שמקיימין כן, אך כתב</w:t>
      </w:r>
      <w:r w:rsidRPr="00E70EC1">
        <w:rPr>
          <w:b/>
          <w:bCs/>
          <w:rtl/>
        </w:rPr>
        <w:t xml:space="preserve"> </w:t>
      </w:r>
      <w:r>
        <w:rPr>
          <w:rFonts w:hint="cs"/>
          <w:b/>
          <w:bCs/>
          <w:rtl/>
        </w:rPr>
        <w:t>הקהלות יעקב</w:t>
      </w:r>
      <w:r>
        <w:rPr>
          <w:rtl/>
        </w:rPr>
        <w:t xml:space="preserve"> </w:t>
      </w:r>
      <w:r>
        <w:rPr>
          <w:rFonts w:hint="cs"/>
          <w:rtl/>
        </w:rPr>
        <w:t>דיש לעיין בזה.</w:t>
      </w:r>
      <w:bookmarkEnd w:id="5346"/>
    </w:p>
    <w:p w14:paraId="5F5EEA39" w14:textId="77777777" w:rsidR="00A14FDA" w:rsidRPr="00D87F8B" w:rsidRDefault="00A14FDA" w:rsidP="00A14FDA">
      <w:pPr>
        <w:pStyle w:val="a2"/>
      </w:pPr>
      <w:r w:rsidRPr="00D87F8B">
        <w:rPr>
          <w:rtl/>
        </w:rPr>
        <w:t>ועי' בהגהת מרדכי ז"ל פ' הבונה שכ' דכל שלא נגמר הדבר אין בו משום מכה בפטיש ע"ש</w:t>
      </w:r>
      <w:r w:rsidRPr="00D87F8B">
        <w:rPr>
          <w:rFonts w:hint="cs"/>
          <w:rtl/>
        </w:rPr>
        <w:t>.</w:t>
      </w:r>
    </w:p>
    <w:p w14:paraId="574C6C8A" w14:textId="77777777" w:rsidR="00A14FDA" w:rsidRPr="00806C89" w:rsidRDefault="00A14FDA" w:rsidP="00A14FDA">
      <w:pPr>
        <w:pStyle w:val="afffff5"/>
        <w:rPr>
          <w:rtl/>
        </w:rPr>
      </w:pPr>
      <w:r w:rsidRPr="00806C89">
        <w:rPr>
          <w:rFonts w:hint="cs"/>
          <w:rtl/>
        </w:rPr>
        <w:t xml:space="preserve">וקשה </w:t>
      </w:r>
      <w:r w:rsidRPr="00806C89">
        <w:rPr>
          <w:rtl/>
        </w:rPr>
        <w:t xml:space="preserve">טובא לכאו' מההיא דר"פ הבונה דהמסתת כל שהוא"' חייב ואמרינן בגמ' </w:t>
      </w:r>
      <w:r w:rsidRPr="00806C89">
        <w:rPr>
          <w:rFonts w:hint="cs"/>
          <w:rtl/>
        </w:rPr>
        <w:t>ש</w:t>
      </w:r>
      <w:r w:rsidRPr="00806C89">
        <w:rPr>
          <w:rtl/>
        </w:rPr>
        <w:t>מ</w:t>
      </w:r>
      <w:r w:rsidRPr="00806C89">
        <w:rPr>
          <w:rFonts w:hint="cs"/>
          <w:rtl/>
        </w:rPr>
        <w:t>ו</w:t>
      </w:r>
      <w:r w:rsidRPr="00806C89">
        <w:rPr>
          <w:rtl/>
        </w:rPr>
        <w:t xml:space="preserve">אל אמר משום מכב"פ הרי דאפי' בכל שהוא ולא גמר כולו הוי מכב"פ ורש"י ז"ל נתכוין לתרץ הא דחשיב את זה למלאכת מכב"פ והרי יסוד מכב"פ הוא </w:t>
      </w:r>
      <w:r w:rsidRPr="00806C89">
        <w:rPr>
          <w:rFonts w:hint="cs"/>
          <w:rtl/>
        </w:rPr>
        <w:t>"</w:t>
      </w:r>
      <w:r w:rsidRPr="00806C89">
        <w:rPr>
          <w:rtl/>
        </w:rPr>
        <w:t>גמר</w:t>
      </w:r>
      <w:r w:rsidRPr="00806C89">
        <w:rPr>
          <w:rFonts w:hint="cs"/>
          <w:rtl/>
        </w:rPr>
        <w:t>"</w:t>
      </w:r>
      <w:r w:rsidRPr="00806C89">
        <w:rPr>
          <w:rtl/>
        </w:rPr>
        <w:t xml:space="preserve"> מ</w:t>
      </w:r>
      <w:r w:rsidRPr="00806C89">
        <w:rPr>
          <w:rFonts w:hint="cs"/>
          <w:rtl/>
        </w:rPr>
        <w:t>ל</w:t>
      </w:r>
      <w:r w:rsidRPr="00806C89">
        <w:rPr>
          <w:rtl/>
        </w:rPr>
        <w:t xml:space="preserve">אכה וכתב דזה מחשב גמר כיון שבמקום </w:t>
      </w:r>
      <w:r w:rsidRPr="00806C89">
        <w:rPr>
          <w:rFonts w:hint="cs"/>
          <w:rtl/>
        </w:rPr>
        <w:t>זה</w:t>
      </w:r>
      <w:r w:rsidRPr="00806C89">
        <w:rPr>
          <w:rtl/>
        </w:rPr>
        <w:t xml:space="preserve"> ש</w:t>
      </w:r>
      <w:r w:rsidRPr="00806C89">
        <w:rPr>
          <w:rFonts w:hint="cs"/>
          <w:rtl/>
        </w:rPr>
        <w:t>ו</w:t>
      </w:r>
      <w:r w:rsidRPr="00806C89">
        <w:rPr>
          <w:rtl/>
        </w:rPr>
        <w:t>ב לא יצטרך להוסיף מלאכה ובודאי דזה מוכרח דהא בקודח כ"ש אמרי' בפ' הבונה דלא חשיב מכב"פ משום שאינו גמר מלאכה שאכת</w:t>
      </w:r>
      <w:r w:rsidRPr="00806C89">
        <w:rPr>
          <w:rFonts w:hint="cs"/>
          <w:rtl/>
        </w:rPr>
        <w:t>י</w:t>
      </w:r>
      <w:r w:rsidRPr="00806C89">
        <w:rPr>
          <w:rtl/>
        </w:rPr>
        <w:t xml:space="preserve"> צריך לנעוץ בו יתד ע"ש </w:t>
      </w:r>
      <w:r w:rsidRPr="00806C89">
        <w:rPr>
          <w:rFonts w:hint="cs"/>
          <w:rtl/>
        </w:rPr>
        <w:t>ו</w:t>
      </w:r>
      <w:r w:rsidRPr="00806C89">
        <w:rPr>
          <w:rtl/>
        </w:rPr>
        <w:t>בע"כ דמסתת חשיב גמ"מ הוא כדפירש"י ז"ל משום שבמקום זה נגמר התיקון אבל עכ"פ צ"ע דהא לא כל האבן נגמר אלא מקצתו והאיך הוי מכב"פ הא גבי חק קפיזא לא הוי מכב"פ אלא משום שכן מקיימים</w:t>
      </w:r>
      <w:r w:rsidRPr="00806C89">
        <w:rPr>
          <w:rFonts w:hint="cs"/>
          <w:rtl/>
        </w:rPr>
        <w:t xml:space="preserve"> </w:t>
      </w:r>
      <w:r w:rsidRPr="00806C89">
        <w:rPr>
          <w:rtl/>
        </w:rPr>
        <w:t>הא בשאינו עדיין ראוי ונגמר לתכליתו לא הוי מכב"פ.</w:t>
      </w:r>
    </w:p>
    <w:p w14:paraId="29ECD030" w14:textId="77777777" w:rsidR="00A14FDA" w:rsidRPr="00806C89" w:rsidRDefault="00A14FDA" w:rsidP="00A14FDA">
      <w:pPr>
        <w:pStyle w:val="afffff5"/>
        <w:rPr>
          <w:rtl/>
        </w:rPr>
      </w:pPr>
      <w:r w:rsidRPr="00806C89">
        <w:rPr>
          <w:rFonts w:hint="cs"/>
          <w:rtl/>
        </w:rPr>
        <w:t xml:space="preserve">ולכאורה </w:t>
      </w:r>
      <w:r w:rsidRPr="00806C89">
        <w:rPr>
          <w:rtl/>
        </w:rPr>
        <w:t>ע"כ דצריך לחלק כנ"ל והוא דבכלי כיון שאין לפני גמרו מלאכה אחרת אין נקרא גמר על עשייתו אא"כ גמר באופן שכבר מוכן וראוי לתכליתו ומשו"ה דוקח בחק קפיזא שכן מקיימין אבל במסתת את האבן שכבר נעשה בו מלאכה מקודם דהייני עקירת האבן ממקום חיבורו דהוי בונה כמש"כ המאירי ז"ל משו"ה כל חלק מהסיתות הוי בשם גמר מלאכה שהוא גמרו של מלאכה הקודמת וכמשנ"ת ואכתי צ"ע בזה</w:t>
      </w:r>
      <w:r w:rsidRPr="00806C89">
        <w:rPr>
          <w:rFonts w:hint="cs"/>
          <w:rtl/>
        </w:rPr>
        <w:t>.</w:t>
      </w:r>
    </w:p>
    <w:p w14:paraId="7CFB840C" w14:textId="77777777" w:rsidR="00A14FDA" w:rsidRPr="00804FE1" w:rsidRDefault="00A14FDA" w:rsidP="00A14FDA">
      <w:pPr>
        <w:pStyle w:val="a7"/>
      </w:pPr>
      <w:bookmarkStart w:id="5349" w:name="_Toc144225323"/>
      <w:r>
        <w:rPr>
          <w:rFonts w:hint="cs"/>
          <w:rtl/>
        </w:rPr>
        <w:t>בי' הקה"י ברא"ש דבמלאכה קודם אין מכב"פ בנגמר מאיליו ובלא עשה מלאכה לעולם חייב</w:t>
      </w:r>
      <w:bookmarkEnd w:id="5349"/>
    </w:p>
    <w:p w14:paraId="5805AC8E" w14:textId="75237FC1" w:rsidR="00A14FDA" w:rsidRPr="00DC0470" w:rsidRDefault="00A14FDA" w:rsidP="00BC7DC8">
      <w:pPr>
        <w:pStyle w:val="a3"/>
      </w:pPr>
      <w:bookmarkStart w:id="5350" w:name="_Ref144223945"/>
      <w:r>
        <w:rPr>
          <w:rFonts w:hint="cs"/>
          <w:rtl/>
        </w:rPr>
        <w:t>וכתב</w:t>
      </w:r>
      <w:r>
        <w:rPr>
          <w:rtl/>
        </w:rPr>
        <w:t xml:space="preserve"> </w:t>
      </w:r>
      <w:r w:rsidRPr="004205B2">
        <w:rPr>
          <w:b/>
          <w:bCs/>
          <w:rtl/>
        </w:rPr>
        <w:t>ה</w:t>
      </w:r>
      <w:r>
        <w:rPr>
          <w:rFonts w:hint="cs"/>
          <w:b/>
          <w:bCs/>
          <w:rtl/>
        </w:rPr>
        <w:t>קהלות</w:t>
      </w:r>
      <w:r w:rsidRPr="004205B2">
        <w:rPr>
          <w:rFonts w:hint="cs"/>
          <w:b/>
          <w:bCs/>
          <w:rtl/>
        </w:rPr>
        <w:t xml:space="preserve"> יעקב</w:t>
      </w:r>
      <w:r w:rsidRPr="004205B2">
        <w:rPr>
          <w:b/>
          <w:bCs/>
          <w:rtl/>
        </w:rPr>
        <w:t xml:space="preserve"> </w:t>
      </w:r>
      <w:r>
        <w:rPr>
          <w:rFonts w:hint="cs"/>
          <w:rtl/>
        </w:rPr>
        <w:t>דמ"מ לדעת</w:t>
      </w:r>
      <w:r w:rsidRPr="004205B2">
        <w:rPr>
          <w:b/>
          <w:bCs/>
          <w:rtl/>
        </w:rPr>
        <w:t xml:space="preserve"> </w:t>
      </w:r>
      <w:r w:rsidRPr="004205B2">
        <w:rPr>
          <w:rFonts w:hint="cs"/>
          <w:b/>
          <w:bCs/>
          <w:rtl/>
        </w:rPr>
        <w:t>הר</w:t>
      </w:r>
      <w:r>
        <w:rPr>
          <w:rFonts w:hint="cs"/>
          <w:b/>
          <w:bCs/>
          <w:rtl/>
        </w:rPr>
        <w:t>א</w:t>
      </w:r>
      <w:r w:rsidRPr="004205B2">
        <w:rPr>
          <w:rFonts w:hint="cs"/>
          <w:b/>
          <w:bCs/>
          <w:rtl/>
        </w:rPr>
        <w:t>"</w:t>
      </w:r>
      <w:r>
        <w:rPr>
          <w:rFonts w:hint="cs"/>
          <w:b/>
          <w:bCs/>
          <w:rtl/>
        </w:rPr>
        <w:t>ש בביצה</w:t>
      </w:r>
      <w:r>
        <w:rPr>
          <w:rtl/>
        </w:rPr>
        <w:t xml:space="preserve"> </w:t>
      </w:r>
      <w:r w:rsidRPr="00C8052D">
        <w:rPr>
          <w:rStyle w:val="af2"/>
          <w:rFonts w:eastAsia="Guttman Hodes" w:hint="cs"/>
          <w:rtl/>
        </w:rPr>
        <w:t>(עי' או</w:t>
      </w:r>
      <w:r>
        <w:rPr>
          <w:rStyle w:val="af2"/>
          <w:rFonts w:eastAsia="Guttman Hodes" w:hint="cs"/>
          <w:rtl/>
        </w:rPr>
        <w:t xml:space="preserve">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Ref144220277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נו)</w:t>
      </w:r>
      <w:r>
        <w:rPr>
          <w:rStyle w:val="af2"/>
          <w:rFonts w:eastAsia="Guttman Hodes"/>
          <w:rtl/>
        </w:rPr>
        <w:fldChar w:fldCharType="end"/>
      </w:r>
      <w:r>
        <w:rPr>
          <w:rStyle w:val="af2"/>
          <w:rFonts w:eastAsia="Guttman Hodes" w:hint="cs"/>
          <w:rtl/>
        </w:rPr>
        <w:t xml:space="preserve"> </w:t>
      </w:r>
      <w:r>
        <w:rPr>
          <w:rFonts w:hint="cs"/>
          <w:rtl/>
        </w:rPr>
        <w:t xml:space="preserve">דחייב בחיסום קדירה חדשה משום מכה בפטיש, אפש"ל דהוא מודה לדעת </w:t>
      </w:r>
      <w:r w:rsidRPr="00255628">
        <w:rPr>
          <w:rStyle w:val="aff4"/>
          <w:rFonts w:hint="cs"/>
          <w:rtl/>
        </w:rPr>
        <w:t>רש"י לעיל</w:t>
      </w:r>
      <w:r w:rsidRPr="00255628">
        <w:rPr>
          <w:rStyle w:val="aff4"/>
          <w:rFonts w:hint="cs"/>
          <w:vanish/>
          <w:rtl/>
        </w:rPr>
        <w:t>-</w:t>
      </w:r>
      <w:r>
        <w:rPr>
          <w:rFonts w:hint="cs"/>
          <w:rtl/>
        </w:rPr>
        <w:t xml:space="preserve"> </w:t>
      </w:r>
      <w:r w:rsidRPr="00C8052D">
        <w:rPr>
          <w:rStyle w:val="af2"/>
          <w:rFonts w:eastAsia="Guttman Hodes" w:hint="cs"/>
          <w:rtl/>
        </w:rPr>
        <w:t xml:space="preserve">(עי' אות </w:t>
      </w:r>
      <w:r w:rsidRPr="00C8052D">
        <w:rPr>
          <w:rStyle w:val="af2"/>
          <w:rFonts w:eastAsia="Guttman Hodes"/>
          <w:rtl/>
        </w:rPr>
        <w:fldChar w:fldCharType="begin"/>
      </w:r>
      <w:r w:rsidRPr="00C8052D">
        <w:rPr>
          <w:rStyle w:val="af2"/>
          <w:rFonts w:eastAsia="Guttman Hodes"/>
          <w:rtl/>
        </w:rPr>
        <w:instrText xml:space="preserve"> </w:instrText>
      </w:r>
      <w:r w:rsidRPr="00C8052D">
        <w:rPr>
          <w:rStyle w:val="af2"/>
          <w:rFonts w:eastAsia="Guttman Hodes" w:hint="cs"/>
        </w:rPr>
        <w:instrText>REF</w:instrText>
      </w:r>
      <w:r w:rsidRPr="00C8052D">
        <w:rPr>
          <w:rStyle w:val="af2"/>
          <w:rFonts w:eastAsia="Guttman Hodes" w:hint="cs"/>
          <w:rtl/>
        </w:rPr>
        <w:instrText xml:space="preserve"> _</w:instrText>
      </w:r>
      <w:r w:rsidRPr="00C8052D">
        <w:rPr>
          <w:rStyle w:val="af2"/>
          <w:rFonts w:eastAsia="Guttman Hodes" w:hint="cs"/>
        </w:rPr>
        <w:instrText>Ref143793569 \r \h</w:instrText>
      </w:r>
      <w:r w:rsidRPr="00C8052D">
        <w:rPr>
          <w:rStyle w:val="af2"/>
          <w:rFonts w:eastAsia="Guttman Hodes"/>
          <w:rtl/>
        </w:rPr>
        <w:instrText xml:space="preserve"> </w:instrText>
      </w:r>
      <w:r w:rsidRPr="00C8052D">
        <w:rPr>
          <w:rStyle w:val="af2"/>
          <w:rFonts w:eastAsia="Guttman Hodes"/>
          <w:rtl/>
        </w:rPr>
      </w:r>
      <w:r w:rsidRPr="00C8052D">
        <w:rPr>
          <w:rStyle w:val="af2"/>
          <w:rFonts w:eastAsia="Guttman Hodes"/>
          <w:rtl/>
        </w:rPr>
        <w:fldChar w:fldCharType="separate"/>
      </w:r>
      <w:r w:rsidR="00D82181">
        <w:rPr>
          <w:rStyle w:val="af2"/>
          <w:rFonts w:eastAsia="Guttman Hodes"/>
          <w:cs/>
        </w:rPr>
        <w:t>‎</w:t>
      </w:r>
      <w:r w:rsidR="00D82181">
        <w:rPr>
          <w:rStyle w:val="af2"/>
          <w:rFonts w:eastAsia="Guttman Hodes"/>
          <w:rtl/>
        </w:rPr>
        <w:t>יג)</w:t>
      </w:r>
      <w:r w:rsidRPr="00C8052D">
        <w:rPr>
          <w:rStyle w:val="af2"/>
          <w:rFonts w:eastAsia="Guttman Hodes"/>
          <w:rtl/>
        </w:rPr>
        <w:fldChar w:fldCharType="end"/>
      </w:r>
      <w:r>
        <w:rPr>
          <w:rFonts w:hint="cs"/>
          <w:rtl/>
        </w:rPr>
        <w:t xml:space="preserve"> דבמקום שהמלאכה נגמרת מאיליה אין חיוב מכה בפטיש, אך היינו בדבר שלא נעשית בו מלאכה מקודם לכן, דבזה צריך שהאדם עצמו יעשה את המעשה של הגמר מלאכה בכדי להתחייב במכה בפטיש, אבל בקדירה חדשה שעשה מלאכה קודם לכן, לדעת</w:t>
      </w:r>
      <w:r w:rsidRPr="001929F8">
        <w:rPr>
          <w:b/>
          <w:bCs/>
          <w:rtl/>
        </w:rPr>
        <w:t xml:space="preserve"> </w:t>
      </w:r>
      <w:r>
        <w:rPr>
          <w:rFonts w:hint="cs"/>
          <w:b/>
          <w:bCs/>
          <w:rtl/>
        </w:rPr>
        <w:t>הרא"ש</w:t>
      </w:r>
      <w:r>
        <w:rPr>
          <w:rtl/>
        </w:rPr>
        <w:t xml:space="preserve"> </w:t>
      </w:r>
      <w:r>
        <w:rPr>
          <w:rFonts w:hint="cs"/>
          <w:rtl/>
        </w:rPr>
        <w:t>דחייב משום בונה דיש בנין בכלים, א"כ החיסום שעשה אח"כ הוא גמר למלאכת הבנין, ובזה חייב משום מכה בפטיש אף בכל שהוא, וא"כ מיד בזמן שנתן את הקדירה ע"ג האש חייב משום מכה בפטיש, ואף שהמלאכה נגמרת אח"כ מאיליה חייב, וכתב</w:t>
      </w:r>
      <w:r w:rsidRPr="009179EC">
        <w:rPr>
          <w:b/>
          <w:bCs/>
          <w:rtl/>
        </w:rPr>
        <w:t xml:space="preserve"> </w:t>
      </w:r>
      <w:r>
        <w:rPr>
          <w:rFonts w:hint="cs"/>
          <w:b/>
          <w:bCs/>
          <w:rtl/>
        </w:rPr>
        <w:t>הקהלות יעקב</w:t>
      </w:r>
      <w:r>
        <w:rPr>
          <w:rtl/>
        </w:rPr>
        <w:t xml:space="preserve"> </w:t>
      </w:r>
      <w:r>
        <w:rPr>
          <w:rFonts w:hint="cs"/>
          <w:rtl/>
        </w:rPr>
        <w:t>דמ"מ לענין בישול בחמה שלא עשה בו מעשה מלאכה, אף לדעת</w:t>
      </w:r>
      <w:r w:rsidRPr="009179EC">
        <w:rPr>
          <w:b/>
          <w:bCs/>
          <w:rtl/>
        </w:rPr>
        <w:t xml:space="preserve"> </w:t>
      </w:r>
      <w:r>
        <w:rPr>
          <w:rFonts w:hint="cs"/>
          <w:b/>
          <w:bCs/>
          <w:rtl/>
        </w:rPr>
        <w:t>הרא"ש</w:t>
      </w:r>
      <w:r>
        <w:rPr>
          <w:rtl/>
        </w:rPr>
        <w:t xml:space="preserve"> </w:t>
      </w:r>
      <w:r>
        <w:rPr>
          <w:rFonts w:hint="cs"/>
          <w:rtl/>
        </w:rPr>
        <w:t>אין בזה חיוב מכה בפטיש, כיון שלא עשה מלאכה קודם, והמלאכה נעשית מאיליה, וחיוב מכה בפטיש בכה"ג הוא רק באופן שהאדם עשה את כל גמר המלאכה.</w:t>
      </w:r>
      <w:bookmarkEnd w:id="5350"/>
    </w:p>
    <w:p w14:paraId="6CB9A883" w14:textId="77777777" w:rsidR="00A14FDA" w:rsidRPr="00D87F8B" w:rsidRDefault="00A14FDA" w:rsidP="00A14FDA">
      <w:pPr>
        <w:pStyle w:val="a2"/>
        <w:rPr>
          <w:rtl/>
        </w:rPr>
      </w:pPr>
      <w:r w:rsidRPr="00D87F8B">
        <w:rPr>
          <w:rtl/>
        </w:rPr>
        <w:t xml:space="preserve">ועכ"פ בשיטת הרא"ש ז"ל י"ל דסובר הכי ולפ"ז י"ל דבעיקר היסוד שכ' רש"י ז"ל דכל היכא שהמלאכה נגמרת מאילי' אין זה מכב"פ דבעינן שהאדם יעשה הגמר בידים גם הרא"ש ז"ל </w:t>
      </w:r>
      <w:r w:rsidRPr="00D87F8B">
        <w:rPr>
          <w:rFonts w:hint="cs"/>
          <w:rtl/>
        </w:rPr>
        <w:t>מו</w:t>
      </w:r>
      <w:r w:rsidRPr="00D87F8B">
        <w:rPr>
          <w:rtl/>
        </w:rPr>
        <w:t>דה ומש"כ הרא"ש ז"</w:t>
      </w:r>
      <w:r w:rsidRPr="00D87F8B">
        <w:rPr>
          <w:rFonts w:hint="cs"/>
          <w:rtl/>
        </w:rPr>
        <w:t>ל</w:t>
      </w:r>
      <w:r w:rsidRPr="00D87F8B">
        <w:rPr>
          <w:rtl/>
        </w:rPr>
        <w:t xml:space="preserve"> בנותן קדירה חדשה על האש דחשיב מכב"פ היינו משום שהי' מקודם מלאכת עשיית כלי שהוא בונה לתוס' וא"כ כל מה שעשה אח"כ </w:t>
      </w:r>
      <w:r w:rsidRPr="00D87F8B">
        <w:rPr>
          <w:rFonts w:hint="cs"/>
          <w:rtl/>
        </w:rPr>
        <w:t>לג</w:t>
      </w:r>
      <w:r w:rsidRPr="00D87F8B">
        <w:rPr>
          <w:rtl/>
        </w:rPr>
        <w:t>מרו הוא מלאכת מכב"פ וגם נתינתו להתנור זהו גופא ממלאכת גמר שלו והנתינה לתנור הא עושה הוא בידים ותיכף בשעת נתינתו נעשה משהו מהגמר והוי עשיית חלק מהגמר בידים אבל במבשל בחמה שאין מלאכה לפניה נהי דגם בגומר דבר שאין מלאכה לפניה חשיב מכב"פ כמו שהוכחנו לעיל עכ"פ לא נחשב גמר אלא בגמרו כולו לגמרי וכיון שגמר הבישול נעשה מאליו בחמה אין זה האדם עושה הגמר וכמשנ"ת.</w:t>
      </w:r>
    </w:p>
    <w:p w14:paraId="29829D22" w14:textId="77777777" w:rsidR="00A14FDA" w:rsidRDefault="00A14FDA" w:rsidP="00A14FDA">
      <w:pPr>
        <w:pStyle w:val="afffff7"/>
        <w:rPr>
          <w:rtl/>
        </w:rPr>
      </w:pPr>
      <w:bookmarkStart w:id="5351" w:name="_Toc144224701"/>
      <w:bookmarkStart w:id="5352" w:name="_Toc163506249"/>
      <w:r>
        <w:rPr>
          <w:rFonts w:hint="cs"/>
          <w:rtl/>
        </w:rPr>
        <w:t>קהלות יעקב שבת סי' מ"א ד"ה וכן יש</w:t>
      </w:r>
      <w:bookmarkEnd w:id="5351"/>
      <w:bookmarkEnd w:id="5352"/>
      <w:r w:rsidRPr="00421A47">
        <w:rPr>
          <w:vanish/>
          <w:rtl/>
        </w:rPr>
        <w:t xml:space="preserve"> (ב)</w:t>
      </w:r>
    </w:p>
    <w:p w14:paraId="12D2D86D" w14:textId="77777777" w:rsidR="00A14FDA" w:rsidRPr="00804FE1" w:rsidRDefault="00A14FDA" w:rsidP="00A14FDA">
      <w:pPr>
        <w:pStyle w:val="a7"/>
      </w:pPr>
      <w:bookmarkStart w:id="5353" w:name="_Toc144225324"/>
      <w:r>
        <w:rPr>
          <w:rFonts w:hint="cs"/>
          <w:rtl/>
        </w:rPr>
        <w:t>בי' הקה"י דמדלא מחייב במכב"פ באות א' מוכח דבעשה מלאכה קודם החיוב הוא רק בגמר הכל</w:t>
      </w:r>
      <w:bookmarkEnd w:id="5353"/>
    </w:p>
    <w:p w14:paraId="3DC5947B" w14:textId="1CB91952" w:rsidR="00A14FDA" w:rsidRPr="00DC0470" w:rsidRDefault="00A14FDA" w:rsidP="00BC7DC8">
      <w:pPr>
        <w:pStyle w:val="a3"/>
      </w:pPr>
      <w:bookmarkStart w:id="5354" w:name="_Ref144117359"/>
      <w:r>
        <w:rPr>
          <w:rFonts w:hint="cs"/>
          <w:rtl/>
        </w:rPr>
        <w:t>וכתב</w:t>
      </w:r>
      <w:r>
        <w:rPr>
          <w:rtl/>
        </w:rPr>
        <w:t xml:space="preserve"> </w:t>
      </w:r>
      <w:r w:rsidRPr="00DB0579">
        <w:rPr>
          <w:b/>
          <w:bCs/>
          <w:rtl/>
        </w:rPr>
        <w:t>ה</w:t>
      </w:r>
      <w:r w:rsidRPr="00DB0579">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Ref144117359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עד)</w:t>
      </w:r>
      <w:r>
        <w:rPr>
          <w:b/>
          <w:bCs/>
          <w:vanish/>
          <w:rtl/>
        </w:rPr>
        <w:fldChar w:fldCharType="end"/>
      </w:r>
      <w:r w:rsidRPr="00DB0579">
        <w:rPr>
          <w:b/>
          <w:bCs/>
          <w:vanish/>
          <w:rtl/>
        </w:rPr>
        <w:t xml:space="preserve"> &gt;</w:t>
      </w:r>
      <w:r>
        <w:rPr>
          <w:rFonts w:hint="cs"/>
          <w:b/>
          <w:bCs/>
          <w:rtl/>
        </w:rPr>
        <w:t>קהלות</w:t>
      </w:r>
      <w:r w:rsidRPr="00DB0579">
        <w:rPr>
          <w:rFonts w:hint="cs"/>
          <w:b/>
          <w:bCs/>
          <w:rtl/>
        </w:rPr>
        <w:t xml:space="preserve"> יעקב</w:t>
      </w:r>
      <w:r w:rsidRPr="00DB0579">
        <w:rPr>
          <w:b/>
          <w:bCs/>
          <w:rtl/>
        </w:rPr>
        <w:t xml:space="preserve"> </w:t>
      </w:r>
      <w:r w:rsidRPr="00C8052D">
        <w:rPr>
          <w:rStyle w:val="af2"/>
          <w:rFonts w:eastAsia="Guttman Hodes"/>
          <w:rtl/>
        </w:rPr>
        <w:t>(</w:t>
      </w:r>
      <w:r w:rsidRPr="00C8052D">
        <w:rPr>
          <w:rStyle w:val="af2"/>
          <w:rFonts w:eastAsia="Guttman Hodes" w:hint="cs"/>
          <w:rtl/>
        </w:rPr>
        <w:t xml:space="preserve">שבת סי' מ"א ד"ה </w:t>
      </w:r>
      <w:r w:rsidRPr="00C8052D">
        <w:rPr>
          <w:rStyle w:val="af2"/>
          <w:rFonts w:eastAsia="Guttman Hodes"/>
          <w:rtl/>
        </w:rPr>
        <w:t>וכן יש)</w:t>
      </w:r>
      <w:r w:rsidRPr="00DB0579">
        <w:rPr>
          <w:vanish/>
          <w:rtl/>
        </w:rPr>
        <w:t>=</w:t>
      </w:r>
      <w:r>
        <w:rPr>
          <w:rtl/>
        </w:rPr>
        <w:t xml:space="preserve"> </w:t>
      </w:r>
      <w:r>
        <w:rPr>
          <w:rFonts w:hint="cs"/>
          <w:rtl/>
        </w:rPr>
        <w:t>דכן מוכח מהא דבמסתת חייב בכל שהוא כדביאר</w:t>
      </w:r>
      <w:r w:rsidRPr="00457CF1">
        <w:rPr>
          <w:b/>
          <w:bCs/>
          <w:rtl/>
        </w:rPr>
        <w:t xml:space="preserve"> </w:t>
      </w:r>
      <w:r>
        <w:rPr>
          <w:rFonts w:hint="cs"/>
          <w:b/>
          <w:bCs/>
          <w:rtl/>
        </w:rPr>
        <w:t>רש"י</w:t>
      </w:r>
      <w:r>
        <w:rPr>
          <w:rtl/>
        </w:rPr>
        <w:t xml:space="preserve"> </w:t>
      </w:r>
      <w:r w:rsidRPr="00C8052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Ref144153066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יב)</w:t>
      </w:r>
      <w:r>
        <w:rPr>
          <w:rStyle w:val="af2"/>
          <w:rFonts w:eastAsia="Guttman Hodes"/>
          <w:rtl/>
        </w:rPr>
        <w:fldChar w:fldCharType="end"/>
      </w:r>
      <w:r>
        <w:rPr>
          <w:rFonts w:hint="cs"/>
          <w:rtl/>
        </w:rPr>
        <w:t xml:space="preserve"> דאותו המקום שסיתת נגמרה מלאכתו, אף שלא סיתת את כל האבן, וא"כ יש להקשות דבכל כותב אות אחת יתחייב במכה בפטיש, דאף שאין בזה שיעור לחייב משום כותב, מ"מ כיון שהתיקון שעשה באות זו נגמר הוא בכלל מכה בפטיש, ואף דלדברי</w:t>
      </w:r>
      <w:r w:rsidRPr="00B447BE">
        <w:rPr>
          <w:b/>
          <w:bCs/>
          <w:rtl/>
        </w:rPr>
        <w:t xml:space="preserve"> </w:t>
      </w:r>
      <w:r>
        <w:rPr>
          <w:rFonts w:hint="cs"/>
          <w:b/>
          <w:bCs/>
          <w:rtl/>
        </w:rPr>
        <w:t>המאירי לקמן</w:t>
      </w:r>
      <w:r>
        <w:rPr>
          <w:rtl/>
        </w:rPr>
        <w:t xml:space="preserve"> </w:t>
      </w:r>
      <w:r>
        <w:rPr>
          <w:rFonts w:hint="cs"/>
          <w:rtl/>
        </w:rPr>
        <w:t>אין בזה חיוב מכה בפטיש כיון שלא גמר את מלאכת הכתיבה, מ"מ לדעת</w:t>
      </w:r>
      <w:r w:rsidRPr="00B447BE">
        <w:rPr>
          <w:b/>
          <w:bCs/>
          <w:rtl/>
        </w:rPr>
        <w:t xml:space="preserve"> </w:t>
      </w:r>
      <w:r>
        <w:rPr>
          <w:rFonts w:hint="cs"/>
          <w:b/>
          <w:bCs/>
          <w:rtl/>
        </w:rPr>
        <w:t>הי"מ במאירי לעיל</w:t>
      </w:r>
      <w:r>
        <w:rPr>
          <w:rtl/>
        </w:rPr>
        <w:t xml:space="preserve"> </w:t>
      </w:r>
      <w:r w:rsidRPr="00C8052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Ref144115688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כח)</w:t>
      </w:r>
      <w:r>
        <w:rPr>
          <w:rStyle w:val="af2"/>
          <w:rFonts w:eastAsia="Guttman Hodes"/>
          <w:rtl/>
        </w:rPr>
        <w:fldChar w:fldCharType="end"/>
      </w:r>
      <w:r>
        <w:rPr>
          <w:rFonts w:hint="cs"/>
          <w:rtl/>
        </w:rPr>
        <w:t xml:space="preserve"> דס"ל דבמסתת דחייב משום מכה בפטיש יש חיוב משום ממחק ומחתך, מבואר דחיוב מכה בפטיש שייך אף במעשה המלאכה עצמו, וא"כ אף בכותב אות אחת יתחייב משום מכה בפטיש, כיון דבאות זו אין מעשה שצריך להוסיף והוי גמר מלאכה כמסתת כל שהוא, אלא כתב</w:t>
      </w:r>
      <w:r w:rsidRPr="00962873">
        <w:rPr>
          <w:b/>
          <w:bCs/>
          <w:rtl/>
        </w:rPr>
        <w:t xml:space="preserve"> </w:t>
      </w:r>
      <w:r>
        <w:rPr>
          <w:rFonts w:hint="cs"/>
          <w:b/>
          <w:bCs/>
          <w:rtl/>
        </w:rPr>
        <w:t>הקהלות יעקב</w:t>
      </w:r>
      <w:r>
        <w:rPr>
          <w:rtl/>
        </w:rPr>
        <w:t xml:space="preserve"> </w:t>
      </w:r>
      <w:r>
        <w:rPr>
          <w:rFonts w:hint="cs"/>
          <w:rtl/>
        </w:rPr>
        <w:t xml:space="preserve">דמוכח דחיוב מכה בפטיש בכל שהוא אף כשלא </w:t>
      </w:r>
      <w:r>
        <w:rPr>
          <w:rFonts w:hint="cs"/>
          <w:rtl/>
        </w:rPr>
        <w:lastRenderedPageBreak/>
        <w:t xml:space="preserve">גמר את כל המלאכה, הוא דוקא כשעושה מעשה של גמר למלאכה קודמת שעשה כבר, ולכן במסתת שהמלאכה בתחילה הייתה עקירת האבן מההר, וכשעושה אח"כ מעשה גמר חייב בכל שהוא על כל סיתות אף שלא גמר את המלאכה בכל האבן, משא"כ בכותב שהוא עושה את המלאכה עצמה ואינו גומר מלאכה שעשה קודם, בכה"ג חיוב מכה בפטיש הוא רק כשגמר את כל המלאכה, ולא שייך לחייב בכותב אות אחת, אעפ"י שבאות הזו עצמה א"צ להוסיף מלאכה, ורק כשגומר את כל הספר שייך חיוב מכה בפטיש, לדעת </w:t>
      </w:r>
      <w:r>
        <w:rPr>
          <w:rFonts w:hint="cs"/>
          <w:b/>
          <w:bCs/>
          <w:rtl/>
        </w:rPr>
        <w:t>הי"מ במאירי לעיל</w:t>
      </w:r>
      <w:r>
        <w:rPr>
          <w:rFonts w:hint="cs"/>
          <w:rtl/>
        </w:rPr>
        <w:t>.</w:t>
      </w:r>
      <w:bookmarkStart w:id="5355" w:name="_Hlk144052966"/>
      <w:bookmarkEnd w:id="5354"/>
    </w:p>
    <w:p w14:paraId="5FDE0614" w14:textId="77777777" w:rsidR="00A14FDA" w:rsidRPr="00BC7DC8" w:rsidRDefault="00A14FDA" w:rsidP="00A14FDA">
      <w:pPr>
        <w:pStyle w:val="afffffe"/>
        <w:rPr>
          <w:vanish/>
          <w:rtl/>
        </w:rPr>
      </w:pPr>
      <w:r w:rsidRPr="00BC7DC8">
        <w:rPr>
          <w:rFonts w:hint="cs"/>
          <w:vanish/>
          <w:rtl/>
        </w:rPr>
        <w:t>קהלות יעקב שבת סי' מ"א ד"ה וכן יש</w:t>
      </w:r>
    </w:p>
    <w:p w14:paraId="639C0D79" w14:textId="77777777" w:rsidR="00A14FDA" w:rsidRPr="00D87F8B" w:rsidRDefault="00A14FDA" w:rsidP="00A14FDA">
      <w:pPr>
        <w:pStyle w:val="a2"/>
        <w:rPr>
          <w:rtl/>
        </w:rPr>
      </w:pPr>
      <w:r w:rsidRPr="00D87F8B">
        <w:rPr>
          <w:rFonts w:hint="cs"/>
          <w:rtl/>
        </w:rPr>
        <w:t xml:space="preserve">וכן </w:t>
      </w:r>
      <w:r w:rsidRPr="00D87F8B">
        <w:rPr>
          <w:rtl/>
        </w:rPr>
        <w:t xml:space="preserve">יש להוכיח עוד דלכאו' קשה בהא דהמסתת כל שהוא חייב דהוי מכב"פ משום שאותו מקום נגמר כדפי' רש"י ז"ל ואע"פ שכל האבן לא נגמר וא"כ הכותב אות אחת משל ספר נהי דלית בי' שיעור כתיבה מ"מ יתחייב משום מכב"פ שאותו חלק התיקון הא נגמר ומ"ש ממתקן כ"ש מהאבן והמאירי ז"ל ס"פ </w:t>
      </w:r>
      <w:r w:rsidRPr="00D87F8B">
        <w:rPr>
          <w:rFonts w:hint="cs"/>
          <w:rtl/>
        </w:rPr>
        <w:t>הב</w:t>
      </w:r>
      <w:r w:rsidRPr="00D87F8B">
        <w:rPr>
          <w:rtl/>
        </w:rPr>
        <w:t>ונה הקשה דבגומר את</w:t>
      </w:r>
      <w:r w:rsidRPr="00D87F8B">
        <w:rPr>
          <w:rFonts w:hint="cs"/>
          <w:rtl/>
        </w:rPr>
        <w:t xml:space="preserve"> </w:t>
      </w:r>
      <w:r w:rsidRPr="00D87F8B">
        <w:rPr>
          <w:rtl/>
        </w:rPr>
        <w:t>הספר יתחייב אפי' באות אחת האחרון משום מכב"פ דהוי גמ</w:t>
      </w:r>
      <w:r w:rsidRPr="00D87F8B">
        <w:rPr>
          <w:rFonts w:hint="cs"/>
          <w:rtl/>
        </w:rPr>
        <w:t>ר מלאכה</w:t>
      </w:r>
      <w:r w:rsidRPr="00D87F8B">
        <w:rPr>
          <w:rtl/>
        </w:rPr>
        <w:t xml:space="preserve"> ותירץ דכשעושה עצם המלאכה אין בה כלל מלאכת מכב"פ והכתיבה הא הוא עצם המלאכה מן הל"ח מלאכות ורק במתקן ועושה דבר שאין במעשה ז</w:t>
      </w:r>
      <w:r w:rsidRPr="00D87F8B">
        <w:rPr>
          <w:rFonts w:hint="cs"/>
          <w:rtl/>
        </w:rPr>
        <w:t>ו</w:t>
      </w:r>
      <w:r w:rsidRPr="00D87F8B">
        <w:rPr>
          <w:rtl/>
        </w:rPr>
        <w:t xml:space="preserve"> מלאה מהל"ח מלאכות אלא תוספת תיקון מיחשב מכב"פ ע"ש ובמאירי ז"ל גבי ממחק ומחתך הביא דעת האומרים דגם בעושה גוף המלאכה יש בו משום מכב"פ כשגומר המלאכה וא"כ לדידהו יקשה בכל כותב אות אחת אפי' אינו גמר הספר מ"מ גמר חלק מהדבר כיון שבמקום זה לא יחסר עוד מעשה וליחשב מכב"פ כמו המסתת כל שהוא מהאבן.</w:t>
      </w:r>
    </w:p>
    <w:p w14:paraId="74BDBD7C" w14:textId="77777777" w:rsidR="00A14FDA" w:rsidRPr="00806C89" w:rsidRDefault="00A14FDA" w:rsidP="00A14FDA">
      <w:pPr>
        <w:pStyle w:val="afffff5"/>
      </w:pPr>
      <w:r w:rsidRPr="00806C89">
        <w:rPr>
          <w:rFonts w:hint="cs"/>
          <w:rtl/>
        </w:rPr>
        <w:t xml:space="preserve">אע"כ </w:t>
      </w:r>
      <w:r w:rsidRPr="00806C89">
        <w:rPr>
          <w:rtl/>
        </w:rPr>
        <w:t>כמש</w:t>
      </w:r>
      <w:r w:rsidRPr="00806C89">
        <w:rPr>
          <w:rFonts w:hint="cs"/>
          <w:rtl/>
        </w:rPr>
        <w:t>"כ</w:t>
      </w:r>
      <w:r w:rsidRPr="00806C89">
        <w:rPr>
          <w:rtl/>
        </w:rPr>
        <w:t xml:space="preserve"> דבמסתת הוי על כל משהו שבסיתות בשם גמר כיון שהוא תיקון להאבן שנעשה בו מלאכת התלישה מקודם והוא גמר שלו אבל בכותב אות אין זה תיקון להאות הקודם אלא עשיית עכשיו דבר הצריך לו ואין כאן בשם גמר למלאכה הקודמת רק מעשה חדש לגמרי וע"כ א"א ליחשב זה בשם מכב"פ אא"כ עשה גמרו של הדבר כולו שא"צ להוסיף עוד כגון גומר כל הספר ואכתי צ' בכ"ז וכתבתי הדברים בלא עיון הראוי ורק להעיר והמעיין יבחר</w:t>
      </w:r>
      <w:r w:rsidRPr="00806C89">
        <w:rPr>
          <w:rFonts w:hint="cs"/>
          <w:rtl/>
        </w:rPr>
        <w:t>.</w:t>
      </w:r>
    </w:p>
    <w:p w14:paraId="2E1B38C8" w14:textId="77777777" w:rsidR="00A14FDA" w:rsidRPr="007A751D" w:rsidRDefault="00A14FDA" w:rsidP="00A14FDA">
      <w:pPr>
        <w:pStyle w:val="1"/>
        <w:rPr>
          <w:rtl/>
        </w:rPr>
      </w:pPr>
      <w:bookmarkStart w:id="5356" w:name="_Toc144225325"/>
      <w:bookmarkEnd w:id="5355"/>
      <w:r>
        <w:rPr>
          <w:rFonts w:hint="cs"/>
          <w:rtl/>
        </w:rPr>
        <w:t>בי' הדברי מרדכי דחיוב מכב"פ במעשה בפנ"ע ולא בנגמר לבד</w:t>
      </w:r>
      <w:bookmarkEnd w:id="5356"/>
      <w:r>
        <w:rPr>
          <w:rFonts w:hint="cs"/>
          <w:rtl/>
        </w:rPr>
        <w:t xml:space="preserve"> </w:t>
      </w:r>
    </w:p>
    <w:p w14:paraId="655E1883" w14:textId="77777777" w:rsidR="00A14FDA" w:rsidRDefault="00A14FDA" w:rsidP="00A14FDA">
      <w:pPr>
        <w:pStyle w:val="afffff7"/>
        <w:rPr>
          <w:rtl/>
        </w:rPr>
      </w:pPr>
      <w:bookmarkStart w:id="5357" w:name="_Toc144224702"/>
      <w:bookmarkStart w:id="5358" w:name="_Toc163506250"/>
      <w:r w:rsidRPr="00F63F14">
        <w:rPr>
          <w:rFonts w:hint="cs"/>
          <w:rtl/>
        </w:rPr>
        <w:t>דברי מרדכי שבת סי' י"ב</w:t>
      </w:r>
      <w:r>
        <w:rPr>
          <w:rFonts w:hint="cs"/>
          <w:rtl/>
        </w:rPr>
        <w:t xml:space="preserve"> סק"ב</w:t>
      </w:r>
      <w:bookmarkEnd w:id="5357"/>
      <w:bookmarkEnd w:id="5358"/>
      <w:r w:rsidRPr="00421A47">
        <w:rPr>
          <w:vanish/>
          <w:rtl/>
        </w:rPr>
        <w:t xml:space="preserve"> (ב)</w:t>
      </w:r>
    </w:p>
    <w:p w14:paraId="65DF3AD8" w14:textId="77777777" w:rsidR="00A14FDA" w:rsidRDefault="00A14FDA" w:rsidP="00A14FDA">
      <w:pPr>
        <w:pStyle w:val="a7"/>
        <w:rPr>
          <w:rtl/>
        </w:rPr>
      </w:pPr>
      <w:bookmarkStart w:id="5359" w:name="_Toc144225326"/>
      <w:r>
        <w:rPr>
          <w:rFonts w:hint="cs"/>
          <w:rtl/>
        </w:rPr>
        <w:t>בי' הדברי מרדכי דא"א לומר דבנגמר מאיליו אין מכב"פ כמשכן דהא כך היה הבישול במשכן</w:t>
      </w:r>
      <w:bookmarkEnd w:id="5359"/>
    </w:p>
    <w:p w14:paraId="3FE167D4" w14:textId="1166F54B" w:rsidR="00A14FDA" w:rsidRDefault="00A14FDA" w:rsidP="00BC7DC8">
      <w:pPr>
        <w:pStyle w:val="a3"/>
      </w:pPr>
      <w:bookmarkStart w:id="5360" w:name="_Ref144117374"/>
      <w:r>
        <w:rPr>
          <w:rFonts w:hint="cs"/>
          <w:rtl/>
        </w:rPr>
        <w:t>במ"ש</w:t>
      </w:r>
      <w:r>
        <w:rPr>
          <w:rtl/>
        </w:rPr>
        <w:t xml:space="preserve"> </w:t>
      </w:r>
      <w:r w:rsidRPr="00192ED3">
        <w:rPr>
          <w:b/>
          <w:bCs/>
          <w:rtl/>
        </w:rPr>
        <w:t>ה</w:t>
      </w:r>
      <w:r w:rsidRPr="00192ED3">
        <w:rPr>
          <w:rFonts w:hint="cs"/>
          <w:b/>
          <w:bCs/>
          <w:rtl/>
        </w:rPr>
        <w:t xml:space="preserve">מנחת חינוך </w:t>
      </w:r>
      <w:r w:rsidRPr="00C8052D">
        <w:rPr>
          <w:rStyle w:val="af2"/>
          <w:rFonts w:eastAsia="Guttman Hodes" w:hint="cs"/>
          <w:rtl/>
        </w:rPr>
        <w:t xml:space="preserve">(עי' אות </w:t>
      </w:r>
      <w:r w:rsidRPr="00C8052D">
        <w:rPr>
          <w:rStyle w:val="af2"/>
          <w:rFonts w:eastAsia="Guttman Hodes"/>
          <w:rtl/>
        </w:rPr>
        <w:fldChar w:fldCharType="begin"/>
      </w:r>
      <w:r w:rsidRPr="00C8052D">
        <w:rPr>
          <w:rStyle w:val="af2"/>
          <w:rFonts w:eastAsia="Guttman Hodes"/>
          <w:rtl/>
        </w:rPr>
        <w:instrText xml:space="preserve"> </w:instrText>
      </w:r>
      <w:r w:rsidRPr="00C8052D">
        <w:rPr>
          <w:rStyle w:val="af2"/>
          <w:rFonts w:eastAsia="Guttman Hodes" w:hint="cs"/>
        </w:rPr>
        <w:instrText>REF</w:instrText>
      </w:r>
      <w:r w:rsidRPr="00C8052D">
        <w:rPr>
          <w:rStyle w:val="af2"/>
          <w:rFonts w:eastAsia="Guttman Hodes" w:hint="cs"/>
          <w:rtl/>
        </w:rPr>
        <w:instrText xml:space="preserve"> _</w:instrText>
      </w:r>
      <w:r w:rsidRPr="00C8052D">
        <w:rPr>
          <w:rStyle w:val="af2"/>
          <w:rFonts w:eastAsia="Guttman Hodes" w:hint="cs"/>
        </w:rPr>
        <w:instrText>Ref144025056 \r \h</w:instrText>
      </w:r>
      <w:r w:rsidRPr="00C8052D">
        <w:rPr>
          <w:rStyle w:val="af2"/>
          <w:rFonts w:eastAsia="Guttman Hodes"/>
          <w:rtl/>
        </w:rPr>
        <w:instrText xml:space="preserve"> </w:instrText>
      </w:r>
      <w:r w:rsidRPr="00C8052D">
        <w:rPr>
          <w:rStyle w:val="af2"/>
          <w:rFonts w:eastAsia="Guttman Hodes"/>
          <w:rtl/>
        </w:rPr>
      </w:r>
      <w:r w:rsidRPr="00C8052D">
        <w:rPr>
          <w:rStyle w:val="af2"/>
          <w:rFonts w:eastAsia="Guttman Hodes"/>
          <w:rtl/>
        </w:rPr>
        <w:fldChar w:fldCharType="separate"/>
      </w:r>
      <w:r w:rsidR="00D82181">
        <w:rPr>
          <w:rStyle w:val="af2"/>
          <w:rFonts w:eastAsia="Guttman Hodes"/>
          <w:cs/>
        </w:rPr>
        <w:t>‎</w:t>
      </w:r>
      <w:r w:rsidR="00D82181">
        <w:rPr>
          <w:rStyle w:val="af2"/>
          <w:rFonts w:eastAsia="Guttman Hodes"/>
          <w:rtl/>
        </w:rPr>
        <w:t>נד)</w:t>
      </w:r>
      <w:r w:rsidRPr="00C8052D">
        <w:rPr>
          <w:rStyle w:val="af2"/>
          <w:rFonts w:eastAsia="Guttman Hodes"/>
          <w:rtl/>
        </w:rPr>
        <w:fldChar w:fldCharType="end"/>
      </w:r>
      <w:r>
        <w:rPr>
          <w:rFonts w:hint="cs"/>
          <w:rtl/>
        </w:rPr>
        <w:t xml:space="preserve"> דבדבר שנגמר מאיליו לא שייך מכה בפטיש לדעת </w:t>
      </w:r>
      <w:r w:rsidRPr="00255628">
        <w:rPr>
          <w:rStyle w:val="aff4"/>
          <w:rFonts w:hint="cs"/>
          <w:vanish/>
          <w:rtl/>
        </w:rPr>
        <w:t>-</w:t>
      </w:r>
      <w:r w:rsidRPr="00255628">
        <w:rPr>
          <w:rStyle w:val="aff4"/>
          <w:rFonts w:hint="cs"/>
          <w:rtl/>
        </w:rPr>
        <w:t>רש"י לעיל</w:t>
      </w:r>
      <w:r w:rsidRPr="00255628">
        <w:rPr>
          <w:rStyle w:val="aff4"/>
          <w:rFonts w:hint="cs"/>
          <w:vanish/>
          <w:rtl/>
        </w:rPr>
        <w:t>-</w:t>
      </w:r>
      <w:r>
        <w:rPr>
          <w:rFonts w:hint="cs"/>
          <w:rtl/>
        </w:rPr>
        <w:t xml:space="preserve"> </w:t>
      </w:r>
      <w:r w:rsidRPr="00C8052D">
        <w:rPr>
          <w:rStyle w:val="af2"/>
          <w:rFonts w:eastAsia="Guttman Hodes" w:hint="cs"/>
          <w:rtl/>
        </w:rPr>
        <w:t>(</w:t>
      </w:r>
      <w:r w:rsidRPr="000148C6">
        <w:rPr>
          <w:rStyle w:val="af2"/>
          <w:rFonts w:eastAsia="Guttman Hodes" w:hint="cs"/>
          <w:rtl/>
        </w:rPr>
        <w:t xml:space="preserve">עי' </w:t>
      </w:r>
      <w:r>
        <w:rPr>
          <w:rStyle w:val="af2"/>
          <w:rFonts w:eastAsia="Guttman Hodes" w:hint="cs"/>
          <w:rtl/>
        </w:rPr>
        <w:t xml:space="preserve">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Ref144199731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יג)</w:t>
      </w:r>
      <w:r>
        <w:rPr>
          <w:rStyle w:val="af2"/>
          <w:rFonts w:eastAsia="Guttman Hodes"/>
          <w:rtl/>
        </w:rPr>
        <w:fldChar w:fldCharType="end"/>
      </w:r>
      <w:r>
        <w:rPr>
          <w:rFonts w:hint="cs"/>
          <w:rtl/>
        </w:rPr>
        <w:t xml:space="preserve">, כיון דבמשכן מכה פטיש היה במעשה ולא בנגמר מאיליו, </w:t>
      </w:r>
      <w:r w:rsidRPr="00E81FA8">
        <w:rPr>
          <w:rStyle w:val="af"/>
          <w:rFonts w:hint="cs"/>
          <w:rtl/>
        </w:rPr>
        <w:t xml:space="preserve">[אך הקשה מדברי </w:t>
      </w:r>
      <w:r w:rsidRPr="00E81FA8">
        <w:rPr>
          <w:rStyle w:val="aff9"/>
          <w:rFonts w:hint="cs"/>
          <w:vanish/>
          <w:rtl/>
        </w:rPr>
        <w:t>-</w:t>
      </w:r>
      <w:r w:rsidRPr="00E81FA8">
        <w:rPr>
          <w:rStyle w:val="aff9"/>
          <w:rFonts w:hint="cs"/>
          <w:rtl/>
        </w:rPr>
        <w:t>הרא"ש בביצה</w:t>
      </w:r>
      <w:r w:rsidRPr="00E81FA8">
        <w:rPr>
          <w:rStyle w:val="aff9"/>
          <w:rFonts w:hint="cs"/>
          <w:vanish/>
          <w:rtl/>
        </w:rPr>
        <w:t>-</w:t>
      </w:r>
      <w:r w:rsidRPr="00E81FA8">
        <w:rPr>
          <w:rStyle w:val="af"/>
          <w:rFonts w:hint="cs"/>
          <w:rtl/>
        </w:rPr>
        <w:t xml:space="preserve"> </w:t>
      </w:r>
      <w:r w:rsidRPr="00E81FA8">
        <w:rPr>
          <w:rStyle w:val="aff0"/>
          <w:rFonts w:hint="cs"/>
          <w:rtl/>
        </w:rPr>
        <w:t xml:space="preserve">(עי' אות </w:t>
      </w:r>
      <w:r w:rsidRPr="00E81FA8">
        <w:rPr>
          <w:rStyle w:val="aff0"/>
          <w:rtl/>
        </w:rPr>
        <w:fldChar w:fldCharType="begin"/>
      </w:r>
      <w:r w:rsidRPr="00E81FA8">
        <w:rPr>
          <w:rStyle w:val="aff0"/>
          <w:rtl/>
        </w:rPr>
        <w:instrText xml:space="preserve"> </w:instrText>
      </w:r>
      <w:r w:rsidRPr="00E81FA8">
        <w:rPr>
          <w:rStyle w:val="aff0"/>
          <w:rFonts w:hint="cs"/>
        </w:rPr>
        <w:instrText>REF</w:instrText>
      </w:r>
      <w:r w:rsidRPr="00E81FA8">
        <w:rPr>
          <w:rStyle w:val="aff0"/>
          <w:rFonts w:hint="cs"/>
          <w:rtl/>
        </w:rPr>
        <w:instrText xml:space="preserve"> _</w:instrText>
      </w:r>
      <w:r w:rsidRPr="00E81FA8">
        <w:rPr>
          <w:rStyle w:val="aff0"/>
          <w:rFonts w:hint="cs"/>
        </w:rPr>
        <w:instrText>Ref144220277 \r \h</w:instrText>
      </w:r>
      <w:r w:rsidRPr="00E81FA8">
        <w:rPr>
          <w:rStyle w:val="aff0"/>
          <w:rtl/>
        </w:rPr>
        <w:instrText xml:space="preserve"> </w:instrText>
      </w:r>
      <w:r w:rsidRPr="00E81FA8">
        <w:rPr>
          <w:rStyle w:val="aff0"/>
          <w:rtl/>
        </w:rPr>
      </w:r>
      <w:r w:rsidRPr="00E81FA8">
        <w:rPr>
          <w:rStyle w:val="aff0"/>
          <w:rtl/>
        </w:rPr>
        <w:fldChar w:fldCharType="separate"/>
      </w:r>
      <w:r w:rsidR="00D82181">
        <w:rPr>
          <w:rStyle w:val="aff0"/>
          <w:cs/>
        </w:rPr>
        <w:t>‎</w:t>
      </w:r>
      <w:r w:rsidR="00D82181">
        <w:rPr>
          <w:rStyle w:val="aff0"/>
          <w:rtl/>
        </w:rPr>
        <w:t>נו)</w:t>
      </w:r>
      <w:r w:rsidRPr="00E81FA8">
        <w:rPr>
          <w:rStyle w:val="aff0"/>
          <w:rtl/>
        </w:rPr>
        <w:fldChar w:fldCharType="end"/>
      </w:r>
      <w:r w:rsidRPr="00E81FA8">
        <w:rPr>
          <w:rStyle w:val="af"/>
          <w:rFonts w:hint="cs"/>
          <w:rtl/>
        </w:rPr>
        <w:t xml:space="preserve"> דמבואר דאף בדבר שנגמר מאיליו שייך מכה בפטיש], </w:t>
      </w:r>
      <w:r>
        <w:rPr>
          <w:rFonts w:hint="cs"/>
          <w:rtl/>
        </w:rPr>
        <w:t>דחה</w:t>
      </w:r>
      <w:r>
        <w:rPr>
          <w:rtl/>
        </w:rPr>
        <w:t xml:space="preserve"> </w:t>
      </w:r>
      <w:r w:rsidRPr="001752D1">
        <w:rPr>
          <w:b/>
          <w:bCs/>
          <w:rtl/>
        </w:rPr>
        <w:t>ה</w:t>
      </w:r>
      <w:r w:rsidRPr="001752D1">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Ref144117374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עה)</w:t>
      </w:r>
      <w:r>
        <w:rPr>
          <w:b/>
          <w:bCs/>
          <w:vanish/>
          <w:rtl/>
        </w:rPr>
        <w:fldChar w:fldCharType="end"/>
      </w:r>
      <w:r w:rsidRPr="001752D1">
        <w:rPr>
          <w:b/>
          <w:bCs/>
          <w:vanish/>
          <w:rtl/>
        </w:rPr>
        <w:t xml:space="preserve"> &gt;</w:t>
      </w:r>
      <w:r>
        <w:rPr>
          <w:rFonts w:hint="cs"/>
          <w:b/>
          <w:bCs/>
          <w:rtl/>
        </w:rPr>
        <w:t>דברי מרדכי</w:t>
      </w:r>
      <w:r w:rsidRPr="001752D1">
        <w:rPr>
          <w:b/>
          <w:bCs/>
          <w:rtl/>
        </w:rPr>
        <w:t xml:space="preserve"> </w:t>
      </w:r>
      <w:r w:rsidRPr="00C8052D">
        <w:rPr>
          <w:rStyle w:val="af2"/>
          <w:rFonts w:eastAsia="Guttman Hodes"/>
          <w:rtl/>
        </w:rPr>
        <w:t>(</w:t>
      </w:r>
      <w:r w:rsidRPr="00C8052D">
        <w:rPr>
          <w:rStyle w:val="af2"/>
          <w:rFonts w:eastAsia="Guttman Hodes" w:hint="cs"/>
          <w:rtl/>
        </w:rPr>
        <w:t>סי' י"ב אות ב'</w:t>
      </w:r>
      <w:r w:rsidRPr="00C8052D">
        <w:rPr>
          <w:rStyle w:val="af2"/>
          <w:rFonts w:eastAsia="Guttman Hodes"/>
          <w:rtl/>
        </w:rPr>
        <w:t>)</w:t>
      </w:r>
      <w:r w:rsidRPr="001752D1">
        <w:rPr>
          <w:vanish/>
          <w:rtl/>
        </w:rPr>
        <w:t>=</w:t>
      </w:r>
      <w:r>
        <w:rPr>
          <w:rtl/>
        </w:rPr>
        <w:t xml:space="preserve"> </w:t>
      </w:r>
      <w:r>
        <w:rPr>
          <w:rFonts w:hint="cs"/>
          <w:rtl/>
        </w:rPr>
        <w:t xml:space="preserve">דאחר שמצינו במשכן דהחיוב באפיה ובישול הוא אף כשנגמר מאיליו, א"כ אפשר לחייב בזה אף משום מכה בפטיש, וכתב </w:t>
      </w:r>
      <w:r w:rsidRPr="00ED6903">
        <w:rPr>
          <w:rStyle w:val="aff4"/>
          <w:rFonts w:hint="cs"/>
          <w:vanish/>
          <w:rtl/>
        </w:rPr>
        <w:t>-</w:t>
      </w:r>
      <w:r w:rsidRPr="00D15220">
        <w:rPr>
          <w:rStyle w:val="aff4"/>
          <w:rFonts w:hint="cs"/>
          <w:rtl/>
        </w:rPr>
        <w:t>הדברי מרדכי</w:t>
      </w:r>
      <w:r w:rsidRPr="00ED6903">
        <w:rPr>
          <w:rStyle w:val="aff4"/>
          <w:rFonts w:hint="cs"/>
          <w:vanish/>
          <w:rtl/>
        </w:rPr>
        <w:t>-</w:t>
      </w:r>
      <w:r>
        <w:rPr>
          <w:rFonts w:hint="cs"/>
          <w:rtl/>
        </w:rPr>
        <w:t xml:space="preserve"> דהיה אפש"ל דס"ל </w:t>
      </w:r>
      <w:r w:rsidRPr="00ED6903">
        <w:rPr>
          <w:rStyle w:val="aff4"/>
          <w:rFonts w:hint="cs"/>
          <w:vanish/>
          <w:rtl/>
        </w:rPr>
        <w:t>-</w:t>
      </w:r>
      <w:r w:rsidRPr="00D15220">
        <w:rPr>
          <w:rStyle w:val="aff4"/>
          <w:rFonts w:hint="cs"/>
          <w:rtl/>
        </w:rPr>
        <w:t>לרש"י</w:t>
      </w:r>
      <w:r w:rsidRPr="00ED6903">
        <w:rPr>
          <w:rStyle w:val="aff4"/>
          <w:rFonts w:hint="cs"/>
          <w:vanish/>
          <w:rtl/>
        </w:rPr>
        <w:t>-</w:t>
      </w:r>
      <w:r>
        <w:rPr>
          <w:rFonts w:hint="cs"/>
          <w:rtl/>
        </w:rPr>
        <w:t xml:space="preserve"> כביאור </w:t>
      </w:r>
      <w:r w:rsidRPr="00ED6903">
        <w:rPr>
          <w:rStyle w:val="aff4"/>
          <w:rFonts w:hint="cs"/>
          <w:vanish/>
          <w:rtl/>
        </w:rPr>
        <w:t>-</w:t>
      </w:r>
      <w:r w:rsidRPr="00D15220">
        <w:rPr>
          <w:rStyle w:val="aff4"/>
          <w:rFonts w:hint="cs"/>
          <w:rtl/>
        </w:rPr>
        <w:t>המאירי</w:t>
      </w:r>
      <w:r w:rsidRPr="00ED6903">
        <w:rPr>
          <w:rStyle w:val="aff4"/>
          <w:rFonts w:hint="cs"/>
          <w:vanish/>
          <w:rtl/>
        </w:rPr>
        <w:t>-</w:t>
      </w:r>
      <w:r>
        <w:rPr>
          <w:rFonts w:hint="cs"/>
          <w:rtl/>
        </w:rPr>
        <w:t xml:space="preserve"> </w:t>
      </w:r>
      <w:r w:rsidRPr="00C8052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Ref144151109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לח)</w:t>
      </w:r>
      <w:r>
        <w:rPr>
          <w:rStyle w:val="af2"/>
          <w:rFonts w:eastAsia="Guttman Hodes"/>
          <w:rtl/>
        </w:rPr>
        <w:fldChar w:fldCharType="end"/>
      </w:r>
      <w:r>
        <w:rPr>
          <w:rFonts w:hint="cs"/>
          <w:rtl/>
        </w:rPr>
        <w:t xml:space="preserve"> </w:t>
      </w:r>
      <w:r w:rsidRPr="00ED6903">
        <w:rPr>
          <w:rStyle w:val="aff4"/>
          <w:rFonts w:hint="cs"/>
          <w:vanish/>
          <w:rtl/>
        </w:rPr>
        <w:t>-</w:t>
      </w:r>
      <w:r w:rsidRPr="00D15220">
        <w:rPr>
          <w:rStyle w:val="aff4"/>
          <w:rFonts w:hint="cs"/>
          <w:rtl/>
        </w:rPr>
        <w:t>והיראים</w:t>
      </w:r>
      <w:r w:rsidRPr="00ED6903">
        <w:rPr>
          <w:rStyle w:val="aff4"/>
          <w:rFonts w:hint="cs"/>
          <w:vanish/>
          <w:rtl/>
        </w:rPr>
        <w:t>-</w:t>
      </w:r>
      <w:r>
        <w:rPr>
          <w:rFonts w:hint="cs"/>
          <w:rtl/>
        </w:rPr>
        <w:t xml:space="preserve"> </w:t>
      </w:r>
      <w:r w:rsidRPr="00C8052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Ref143857616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מח)</w:t>
      </w:r>
      <w:r>
        <w:rPr>
          <w:rStyle w:val="af2"/>
          <w:rFonts w:eastAsia="Guttman Hodes"/>
          <w:rtl/>
        </w:rPr>
        <w:fldChar w:fldCharType="end"/>
      </w:r>
      <w:r>
        <w:rPr>
          <w:rFonts w:hint="cs"/>
          <w:rtl/>
        </w:rPr>
        <w:t xml:space="preserve"> דבמקום שלא נגמרה המלאכה עצמה אין חיוב מכה בפטיש, אך לא משמע כן בדברי </w:t>
      </w:r>
      <w:r w:rsidRPr="00ED6903">
        <w:rPr>
          <w:rStyle w:val="aff4"/>
          <w:rFonts w:hint="cs"/>
          <w:vanish/>
          <w:rtl/>
        </w:rPr>
        <w:t>-</w:t>
      </w:r>
      <w:r w:rsidRPr="00D15220">
        <w:rPr>
          <w:rStyle w:val="aff4"/>
          <w:rFonts w:hint="cs"/>
          <w:rtl/>
        </w:rPr>
        <w:t>רש"י</w:t>
      </w:r>
      <w:r w:rsidRPr="00ED6903">
        <w:rPr>
          <w:rStyle w:val="aff4"/>
          <w:rFonts w:hint="cs"/>
          <w:vanish/>
          <w:rtl/>
        </w:rPr>
        <w:t>-</w:t>
      </w:r>
      <w:r>
        <w:rPr>
          <w:rFonts w:hint="cs"/>
          <w:rtl/>
        </w:rPr>
        <w:t>.</w:t>
      </w:r>
      <w:bookmarkEnd w:id="5360"/>
    </w:p>
    <w:p w14:paraId="4559176B" w14:textId="77777777" w:rsidR="00A14FDA" w:rsidRPr="00BC7DC8" w:rsidRDefault="00A14FDA" w:rsidP="00A14FDA">
      <w:pPr>
        <w:pStyle w:val="afffffe"/>
        <w:rPr>
          <w:vanish/>
          <w:rtl/>
        </w:rPr>
      </w:pPr>
      <w:r w:rsidRPr="00BC7DC8">
        <w:rPr>
          <w:rFonts w:hint="cs"/>
          <w:vanish/>
          <w:rtl/>
        </w:rPr>
        <w:t>דברי מרדכי שבת סי' י"ב סק"ב</w:t>
      </w:r>
    </w:p>
    <w:p w14:paraId="05E430D4" w14:textId="77777777" w:rsidR="00A14FDA" w:rsidRPr="00D87F8B" w:rsidRDefault="00A14FDA" w:rsidP="00A14FDA">
      <w:pPr>
        <w:pStyle w:val="a2"/>
        <w:rPr>
          <w:rtl/>
        </w:rPr>
      </w:pPr>
      <w:r w:rsidRPr="00D87F8B">
        <w:rPr>
          <w:rtl/>
        </w:rPr>
        <w:t>ב</w:t>
      </w:r>
      <w:r w:rsidRPr="00D87F8B">
        <w:rPr>
          <w:rFonts w:hint="cs"/>
          <w:rtl/>
        </w:rPr>
        <w:t>) ונראה</w:t>
      </w:r>
      <w:r w:rsidRPr="00D87F8B">
        <w:rPr>
          <w:rtl/>
        </w:rPr>
        <w:t xml:space="preserve"> לתרץ קושית המנ"ח די"ל דאין הפירוש בדברי רש"י כמו שנקט המנ"ח לפרש באפיה ובישול חייב בכה"ג אלא דמעיקר הדין אע"פ שנעשה מאליו יש בזה משום מכה בפטיש וכדמשמע בגמ' ביצה הנ"ל והיה צריך להיות חייב דאין זה טעם לפטור ומש"כ המנ"ח דא"א לחייב בזה משום מכה בפטיש כיון שנעשה מאליו ולא היה כן במשכן ולא מצינו אלא באפיה ובישול משום שכך היה במשכן</w:t>
      </w:r>
      <w:r w:rsidRPr="00D87F8B">
        <w:rPr>
          <w:rFonts w:hint="cs"/>
          <w:rtl/>
        </w:rPr>
        <w:t xml:space="preserve"> </w:t>
      </w:r>
      <w:r w:rsidRPr="00D87F8B">
        <w:rPr>
          <w:rtl/>
        </w:rPr>
        <w:t>סברא זו אינה מכרעת די"ל דאחרי שמצינו במשכן במלאכת אפיה ובישול שהוא חייב אע"ג דהבישול והאפיה נעשה מאליו מ"מ חייב עלה דחשבינן כאילו הוא עשה זאת כמו"כ כל שהיא בכלל מלאכה ונעשה בכה"ג ע"י האש ג"כ חייב דמ"ל מלאכת אפיה ובישול מ"ל מלאכה אחרת ומשו"ה אם יש בצירוף של אש מלאכת מכה בפטיש חייב ולא אכפ"ל מה דנעשה מאליו דכך נעשית מלאכה שבאה ע"י האש</w:t>
      </w:r>
      <w:r w:rsidRPr="00D87F8B">
        <w:rPr>
          <w:rFonts w:hint="cs"/>
          <w:rtl/>
        </w:rPr>
        <w:t>.</w:t>
      </w:r>
    </w:p>
    <w:p w14:paraId="1E31D709" w14:textId="77777777" w:rsidR="00A14FDA" w:rsidRPr="00806C89" w:rsidRDefault="00A14FDA" w:rsidP="00A14FDA">
      <w:pPr>
        <w:pStyle w:val="afffff5"/>
        <w:rPr>
          <w:rtl/>
        </w:rPr>
      </w:pPr>
      <w:r w:rsidRPr="00806C89">
        <w:rPr>
          <w:rFonts w:hint="cs"/>
          <w:rtl/>
        </w:rPr>
        <w:t>אלא</w:t>
      </w:r>
      <w:r w:rsidRPr="00806C89">
        <w:rPr>
          <w:rtl/>
        </w:rPr>
        <w:t xml:space="preserve"> דהביאור בדברי רש"י י"ל בדרך אחרת ונקדים בזה יסוד במלאכת מכה בפטיש דמלאכת מכה בפטיש לא נאמר אלא כשעושה גמר מלאכה בפנ"ע אבל אם הגמר נעשה עם עשית המלאכה עצמה אין בזה דין מלאכת מכה בפטיש לחייב עלה הביאור בזה יתבאר להלן בדברינו וראיה לזה מלקמן ר"פ הבונה דנחלקו רב ושמואל במסתת אבן משום מאי חייב לרב חייב משום בונה ולשמואל משום מכה בפטיש וכן העושה נקב בלול של תרנגולים ועייל שופתא בקופינא דמרא דלרב חייב משום בונה ולשמואל משום מכה בפטיש וכתבו התוס' דשמואל ודאי פליג על רב ולא חייב משום בונה אבל לא מבואר אם רב פליג על שמואל ואינו חייב משום מכה בפטיש או דמודה דחייב משום מכה בפטיש רק דמוסיף גם משום בונה ועיין בלח"מ פ"י מהל' שבת הי"ד דכתב בשיטת הרמב"ם דרב מודה לשמואל דחייב משום מכה בפטיש אולם משום בונה אינו חייב אלא אחת ושמואל דחייב משום מכה בפטיש אי עביד בנין וחד מהנך חייב תרתי והיינו דהוקשה לו דמה נ"מ בפטיש או משום בונה הא עכ"פ חייב אחת ומה נ"מ משום מה ע"ז כתב הנ"מ הנ"ל אם בנה יחד עם חד מהנך ואם נימא דרב מודה לשמואל דחייב משום מכה בפטיש בפשוטו הו"ל לומר דנ"מ דלרב חייב שתיים בכל אלו ולשמואל אחת וכ"מ מפרש"י שם שכתב בהא דקאמר בגמ' בצריכותא די"ל דשמואל דווקא בהא פליג על רב דאין חייב משום בונה כתב רש"י ע"ז דהתרו בו משום בונה אינו חייב דלאו בנין הוא וכוונתו ג"כ שהוקשה לו דמה נ"מ הא בלא"ה חייב משום מכה בפטיש וע"ז כתב דנ"מ לענין התראה ומדלא כתב דנ"מ אם חייב שתים או לא מוכח להדיא דס"ל דאם חייב משום בונה אינו חייב משום מכה בפטיש מזה מוכח דלרב שהוא חייב משום בונה אין לחייב משום</w:t>
      </w:r>
      <w:r w:rsidRPr="00806C89">
        <w:rPr>
          <w:rFonts w:hint="cs"/>
          <w:rtl/>
        </w:rPr>
        <w:t xml:space="preserve"> </w:t>
      </w:r>
      <w:r w:rsidRPr="00806C89">
        <w:rPr>
          <w:rtl/>
        </w:rPr>
        <w:t>מכה בפטיש וכדברינו דאם עושה מלאכה אע"פ שיש בזה גם ענין גמר מלאכה אינו חייב משום מכה בפטיש והחיוב של מכה בפטיש אינו אלא כשעושה מעשה גמר מלאכה בפ"ע שעי"ז נגמר המלאכה.</w:t>
      </w:r>
    </w:p>
    <w:p w14:paraId="79133993" w14:textId="77777777" w:rsidR="00A14FDA" w:rsidRPr="00806C89" w:rsidRDefault="00A14FDA" w:rsidP="00A14FDA">
      <w:pPr>
        <w:pStyle w:val="afffff5"/>
      </w:pPr>
      <w:r w:rsidRPr="00806C89">
        <w:rPr>
          <w:rtl/>
        </w:rPr>
        <w:t>ג</w:t>
      </w:r>
      <w:r w:rsidRPr="00806C89">
        <w:rPr>
          <w:rFonts w:hint="cs"/>
          <w:rtl/>
        </w:rPr>
        <w:t>) והנה</w:t>
      </w:r>
      <w:r w:rsidRPr="00806C89">
        <w:rPr>
          <w:rtl/>
        </w:rPr>
        <w:t xml:space="preserve"> בהגהות מימוניות פ"י הי"ג כתב לתרץ קושית התוס' שהקשו שם בר"פ הבונה על דברי רב דקאמר דחייב משום בונה הרי קיי"ל דאין בנין בכלים ועיי"ש מה שתירצו וכתב בשם הרא"ם וז"ל ולא אמר רב הכא דלחייב משום בונה דאין בנין בכלים ואין סתירה בכלים אלא רב אמר כן לאפוקי מדשמואל דאמר חייב משום מכה בפטיש שאין חיוב מכה בפטיש אלא בדבר שהוא גמר מלאכה לפיכך אמר בונה כלומר עדיין חסר מידה זו בנין ואי"ל גמר מלאכה להתחייב משום מכה בפטיש עכ"ד ודבריו סתומין ואינן מבוארין ובהגהות מרדכי הביא ג"כ דברי הרא"ם והוסיף וז"ל שם בסו"ד אין בו משום מכה בפטיש שאין נקרא מכה בפטיש אלא בדבר שאינו מחוסר בנין שהכאת הפטיש הוא לאחר גמר הבנין וכונתו י"ל כש"נ דמכה בפטיש הוא מעשה שנעשה אחר גמר הדבר ואח"כ עושה עוד מעשה גמר וזה שנקרא מכה בפטיש משא"כ כשעושה מעשה הגמר אע"פ שיש בזה ג"כ הגמר של מכה בפטיש אינו חייב עלה דאי"ז בדין מעשה מכה בפטיש כמש"נ אכן יש בדברי הרא"ם חידוש יותר דאף דאמרינן אין בנין בכלים מ"מ סגי בזה כבר דא"א לחייב משום מכה בפטיש שוב הראוני שכ"כ המאירי סו"פ הבונה דף ק"ד ע"ב שעמד ע"ז עיי"ש שהקשה דלמה לא אמרינן בכל מלאכה שיהא חייב עליה גם משום מכה בפטיש כיון דיש בזה גם גמר מלאכה וכתב לתרץ כהנ"ל עיי"ש</w:t>
      </w:r>
      <w:r w:rsidRPr="00806C89">
        <w:rPr>
          <w:rFonts w:hint="cs"/>
          <w:rtl/>
        </w:rPr>
        <w:t>.</w:t>
      </w:r>
    </w:p>
    <w:p w14:paraId="7194BD47" w14:textId="77777777" w:rsidR="00A14FDA" w:rsidRPr="00806C89" w:rsidRDefault="00A14FDA" w:rsidP="00A14FDA">
      <w:pPr>
        <w:pStyle w:val="afffff5"/>
        <w:rPr>
          <w:rtl/>
        </w:rPr>
      </w:pPr>
      <w:r w:rsidRPr="00806C89">
        <w:rPr>
          <w:rFonts w:hint="cs"/>
          <w:rtl/>
        </w:rPr>
        <w:t xml:space="preserve">עכ"פ </w:t>
      </w:r>
      <w:r w:rsidRPr="00806C89">
        <w:rPr>
          <w:rtl/>
        </w:rPr>
        <w:t>מבואר מכ"ז דא"א לחייב משום מכה בפטיש כשעושה מלאכה אע"ג דיש בזה גמר מלאכה ג"כ ולפי"ז א"ש עיקר דברי רש"י מש"כ לעיל דף ע"ד דא"א לחייב בחביתא משום מכה בפטיש כיון דאין עושה גמר מלאכה בפ"ע אלא שזה נגמר עם המלאכה עצמה</w:t>
      </w:r>
      <w:r w:rsidRPr="00806C89">
        <w:rPr>
          <w:rFonts w:hint="cs"/>
          <w:rtl/>
        </w:rPr>
        <w:t>.</w:t>
      </w:r>
    </w:p>
    <w:p w14:paraId="722E36D0" w14:textId="77777777" w:rsidR="00A14FDA" w:rsidRPr="00806C89" w:rsidRDefault="00A14FDA" w:rsidP="00A14FDA">
      <w:pPr>
        <w:pStyle w:val="afffff5"/>
        <w:rPr>
          <w:rtl/>
        </w:rPr>
      </w:pPr>
      <w:r w:rsidRPr="00806C89">
        <w:rPr>
          <w:rtl/>
        </w:rPr>
        <w:t>ד</w:t>
      </w:r>
      <w:r w:rsidRPr="00806C89">
        <w:rPr>
          <w:rFonts w:hint="cs"/>
          <w:rtl/>
        </w:rPr>
        <w:t>) אולם</w:t>
      </w:r>
      <w:r w:rsidRPr="00806C89">
        <w:rPr>
          <w:rtl/>
        </w:rPr>
        <w:t xml:space="preserve"> לכאורה בדברי רש"י לא משמע דנחית לזה שהרי כתב דמשו"ה ליכא משום מכה</w:t>
      </w:r>
      <w:r w:rsidRPr="00806C89">
        <w:rPr>
          <w:rFonts w:hint="cs"/>
          <w:rtl/>
        </w:rPr>
        <w:t xml:space="preserve"> </w:t>
      </w:r>
      <w:r w:rsidRPr="00806C89">
        <w:rPr>
          <w:rtl/>
        </w:rPr>
        <w:t>בפטיש גבי חבית דמאליה נגמרה מלאכתו בתנור הרי משמע מדבריו שהטעם שאין כאן מכה בפטיש משום דנעשה מאליו כהמנ"ח הנ"ל אבל אם היה עושה זה בידים היה חייב משום מכה בפטיש ולכאורה אדרבה דברי רש"י הם סתירה למש"כ</w:t>
      </w:r>
      <w:r w:rsidRPr="00806C89">
        <w:rPr>
          <w:rFonts w:hint="cs"/>
          <w:rtl/>
        </w:rPr>
        <w:t>.</w:t>
      </w:r>
    </w:p>
    <w:p w14:paraId="71F9CAA9" w14:textId="77777777" w:rsidR="00A14FDA" w:rsidRDefault="00A14FDA" w:rsidP="00A14FDA">
      <w:pPr>
        <w:pStyle w:val="afffff7"/>
        <w:rPr>
          <w:rtl/>
        </w:rPr>
      </w:pPr>
      <w:bookmarkStart w:id="5361" w:name="_Toc144224703"/>
      <w:bookmarkStart w:id="5362" w:name="_Toc163506251"/>
      <w:r w:rsidRPr="00F63F14">
        <w:rPr>
          <w:rFonts w:hint="cs"/>
          <w:rtl/>
        </w:rPr>
        <w:t>דברי מרדכי שבת סי' י"ב</w:t>
      </w:r>
      <w:r>
        <w:rPr>
          <w:rFonts w:hint="cs"/>
          <w:rtl/>
        </w:rPr>
        <w:t xml:space="preserve"> סק"ד</w:t>
      </w:r>
      <w:bookmarkEnd w:id="5361"/>
      <w:bookmarkEnd w:id="5362"/>
      <w:r w:rsidRPr="00421A47">
        <w:rPr>
          <w:vanish/>
          <w:rtl/>
        </w:rPr>
        <w:t xml:space="preserve"> (ב)</w:t>
      </w:r>
    </w:p>
    <w:p w14:paraId="16E0B467" w14:textId="77777777" w:rsidR="00A14FDA" w:rsidRPr="00C1241E" w:rsidRDefault="00A14FDA" w:rsidP="00A14FDA">
      <w:pPr>
        <w:pStyle w:val="a7"/>
        <w:rPr>
          <w:rtl/>
        </w:rPr>
      </w:pPr>
      <w:bookmarkStart w:id="5363" w:name="_Toc144225327"/>
      <w:r>
        <w:rPr>
          <w:rFonts w:hint="cs"/>
          <w:rtl/>
        </w:rPr>
        <w:t>בי' הדברי מרדכי דחיוב מכב"פ רק במעשה בפנ"ע ולא בגמר מלאכה אחרת ובבישול אין מעשה</w:t>
      </w:r>
      <w:bookmarkEnd w:id="5363"/>
    </w:p>
    <w:p w14:paraId="45758266" w14:textId="50DCB0DA" w:rsidR="00A14FDA" w:rsidRPr="00FD56DD" w:rsidRDefault="00A14FDA" w:rsidP="00BC7DC8">
      <w:pPr>
        <w:pStyle w:val="a3"/>
        <w:rPr>
          <w:rtl/>
        </w:rPr>
      </w:pPr>
      <w:bookmarkStart w:id="5364" w:name="_Ref144117384"/>
      <w:r>
        <w:rPr>
          <w:rFonts w:hint="cs"/>
          <w:rtl/>
        </w:rPr>
        <w:t>אלא ביאר</w:t>
      </w:r>
      <w:r>
        <w:rPr>
          <w:rtl/>
        </w:rPr>
        <w:t xml:space="preserve"> </w:t>
      </w:r>
      <w:r w:rsidRPr="003B67F7">
        <w:rPr>
          <w:b/>
          <w:bCs/>
          <w:rtl/>
        </w:rPr>
        <w:t>ה</w:t>
      </w:r>
      <w:r w:rsidRPr="003B67F7">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Ref144117384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עו)</w:t>
      </w:r>
      <w:r>
        <w:rPr>
          <w:b/>
          <w:bCs/>
          <w:vanish/>
          <w:rtl/>
        </w:rPr>
        <w:fldChar w:fldCharType="end"/>
      </w:r>
      <w:r w:rsidRPr="003B67F7">
        <w:rPr>
          <w:b/>
          <w:bCs/>
          <w:vanish/>
          <w:rtl/>
        </w:rPr>
        <w:t xml:space="preserve"> &gt;</w:t>
      </w:r>
      <w:r w:rsidRPr="003B67F7">
        <w:rPr>
          <w:b/>
          <w:bCs/>
          <w:rtl/>
        </w:rPr>
        <w:t xml:space="preserve">דברי מרדכי </w:t>
      </w:r>
      <w:r w:rsidRPr="00C8052D">
        <w:rPr>
          <w:rStyle w:val="af2"/>
          <w:rFonts w:eastAsia="Guttman Hodes"/>
          <w:rtl/>
        </w:rPr>
        <w:t>(</w:t>
      </w:r>
      <w:r w:rsidRPr="00C8052D">
        <w:rPr>
          <w:rStyle w:val="af2"/>
          <w:rFonts w:eastAsia="Guttman Hodes" w:hint="cs"/>
          <w:rtl/>
        </w:rPr>
        <w:t>שבת סי' י"ב סק"ד</w:t>
      </w:r>
      <w:r w:rsidRPr="00C8052D">
        <w:rPr>
          <w:rStyle w:val="af2"/>
          <w:rFonts w:eastAsia="Guttman Hodes"/>
          <w:rtl/>
        </w:rPr>
        <w:t>)</w:t>
      </w:r>
      <w:r w:rsidRPr="003B67F7">
        <w:rPr>
          <w:vanish/>
          <w:rtl/>
        </w:rPr>
        <w:t>=</w:t>
      </w:r>
      <w:r>
        <w:rPr>
          <w:rtl/>
        </w:rPr>
        <w:t xml:space="preserve"> </w:t>
      </w:r>
      <w:r>
        <w:rPr>
          <w:rFonts w:hint="cs"/>
          <w:rtl/>
        </w:rPr>
        <w:t xml:space="preserve">דכל החיוב במכה בפטיש הוא רק כשעושה מעשה מיוחד של גמר בפנ"ע, אבל כשעושה גמר </w:t>
      </w:r>
      <w:r>
        <w:rPr>
          <w:rFonts w:hint="cs"/>
          <w:rtl/>
        </w:rPr>
        <w:t>של מלאכה אחרת אין בזה חיוב מכה בפטיש, ומ"מ הוקשה</w:t>
      </w:r>
      <w:r w:rsidRPr="00020C97">
        <w:rPr>
          <w:b/>
          <w:bCs/>
          <w:rtl/>
        </w:rPr>
        <w:t xml:space="preserve"> </w:t>
      </w:r>
      <w:r>
        <w:rPr>
          <w:rFonts w:hint="cs"/>
          <w:b/>
          <w:bCs/>
          <w:rtl/>
        </w:rPr>
        <w:t>לרש"י</w:t>
      </w:r>
      <w:r>
        <w:rPr>
          <w:rtl/>
        </w:rPr>
        <w:t xml:space="preserve"> </w:t>
      </w:r>
      <w:r>
        <w:rPr>
          <w:rFonts w:hint="cs"/>
          <w:rtl/>
        </w:rPr>
        <w:t xml:space="preserve">דבחבית יתחייב משום צירוף באש, דאף לאחר שנגמרה המלאכה יש גמר נוסף דהכלי מתקשה באש, כמבואר בגמ' בביצה </w:t>
      </w:r>
      <w:r w:rsidRPr="00C8052D">
        <w:rPr>
          <w:rStyle w:val="af2"/>
          <w:rFonts w:eastAsia="Guttman Hodes" w:hint="cs"/>
          <w:rtl/>
        </w:rPr>
        <w:t>(לד.)</w:t>
      </w:r>
      <w:r>
        <w:rPr>
          <w:rFonts w:hint="cs"/>
          <w:rtl/>
        </w:rPr>
        <w:t xml:space="preserve"> שהביא</w:t>
      </w:r>
      <w:r w:rsidRPr="00CA3DF9">
        <w:rPr>
          <w:b/>
          <w:bCs/>
          <w:rtl/>
        </w:rPr>
        <w:t xml:space="preserve"> </w:t>
      </w:r>
      <w:r>
        <w:rPr>
          <w:rFonts w:hint="cs"/>
          <w:b/>
          <w:bCs/>
          <w:rtl/>
        </w:rPr>
        <w:t>המנחת חינוך</w:t>
      </w:r>
      <w:r>
        <w:rPr>
          <w:rtl/>
        </w:rPr>
        <w:t xml:space="preserve"> </w:t>
      </w:r>
      <w:r w:rsidRPr="00C8052D">
        <w:rPr>
          <w:rStyle w:val="af2"/>
          <w:rFonts w:eastAsia="Guttman Hodes" w:hint="cs"/>
          <w:rtl/>
        </w:rPr>
        <w:t>(עי' או</w:t>
      </w:r>
      <w:r>
        <w:rPr>
          <w:rStyle w:val="af2"/>
          <w:rFonts w:eastAsia="Guttman Hodes" w:hint="cs"/>
          <w:rtl/>
        </w:rPr>
        <w:t xml:space="preserve">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Ref144220277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נו)</w:t>
      </w:r>
      <w:r>
        <w:rPr>
          <w:rStyle w:val="af2"/>
          <w:rFonts w:eastAsia="Guttman Hodes"/>
          <w:rtl/>
        </w:rPr>
        <w:fldChar w:fldCharType="end"/>
      </w:r>
      <w:r>
        <w:rPr>
          <w:rFonts w:hint="cs"/>
          <w:rtl/>
        </w:rPr>
        <w:t>, ועל הגמר הזה צריך להתחייב משום מכה בפטיש, דהוא גמר בפנ"ע, ולכן הוצרך</w:t>
      </w:r>
      <w:r w:rsidRPr="00ED07F2">
        <w:rPr>
          <w:b/>
          <w:bCs/>
          <w:rtl/>
        </w:rPr>
        <w:t xml:space="preserve"> </w:t>
      </w:r>
      <w:r>
        <w:rPr>
          <w:rFonts w:hint="cs"/>
          <w:b/>
          <w:bCs/>
          <w:rtl/>
        </w:rPr>
        <w:t>רש"י</w:t>
      </w:r>
      <w:r>
        <w:rPr>
          <w:rtl/>
        </w:rPr>
        <w:t xml:space="preserve"> </w:t>
      </w:r>
      <w:r>
        <w:rPr>
          <w:rFonts w:hint="cs"/>
          <w:rtl/>
        </w:rPr>
        <w:t>לבאר דהמלאכה נגמרת מאיליה בתנור, וא"כ הגמר של הצירוף אינו מעשה גמר בפנ"ע ולא שייך לחייב בזה משום מכה בפטיש, וכתב</w:t>
      </w:r>
      <w:r w:rsidRPr="00D6616C">
        <w:rPr>
          <w:b/>
          <w:bCs/>
          <w:rtl/>
        </w:rPr>
        <w:t xml:space="preserve"> </w:t>
      </w:r>
      <w:r>
        <w:rPr>
          <w:rFonts w:hint="cs"/>
          <w:b/>
          <w:bCs/>
          <w:rtl/>
        </w:rPr>
        <w:t>הדברי מרדכי</w:t>
      </w:r>
      <w:r>
        <w:rPr>
          <w:rtl/>
        </w:rPr>
        <w:t xml:space="preserve"> </w:t>
      </w:r>
      <w:r>
        <w:rPr>
          <w:rFonts w:hint="cs"/>
          <w:rtl/>
        </w:rPr>
        <w:t>דלפי"ז לא קשה על</w:t>
      </w:r>
      <w:r w:rsidRPr="00D6616C">
        <w:rPr>
          <w:b/>
          <w:bCs/>
          <w:rtl/>
        </w:rPr>
        <w:t xml:space="preserve"> </w:t>
      </w:r>
      <w:r>
        <w:rPr>
          <w:rFonts w:hint="cs"/>
          <w:b/>
          <w:bCs/>
          <w:rtl/>
        </w:rPr>
        <w:t>רש"י</w:t>
      </w:r>
      <w:r>
        <w:rPr>
          <w:rtl/>
        </w:rPr>
        <w:t xml:space="preserve"> </w:t>
      </w:r>
      <w:r>
        <w:rPr>
          <w:rFonts w:hint="cs"/>
          <w:rtl/>
        </w:rPr>
        <w:t>קושית</w:t>
      </w:r>
      <w:r w:rsidRPr="00A25921">
        <w:rPr>
          <w:b/>
          <w:bCs/>
          <w:rtl/>
        </w:rPr>
        <w:t xml:space="preserve"> </w:t>
      </w:r>
      <w:r>
        <w:rPr>
          <w:rFonts w:hint="cs"/>
          <w:b/>
          <w:bCs/>
          <w:rtl/>
        </w:rPr>
        <w:t>המנחת חינוך</w:t>
      </w:r>
      <w:r>
        <w:rPr>
          <w:rtl/>
        </w:rPr>
        <w:t xml:space="preserve"> </w:t>
      </w:r>
      <w:r w:rsidRPr="00C8052D">
        <w:rPr>
          <w:rStyle w:val="af2"/>
          <w:rFonts w:eastAsia="Guttman Hodes" w:hint="cs"/>
          <w:rtl/>
        </w:rPr>
        <w:t>(עי' או</w:t>
      </w:r>
      <w:r>
        <w:rPr>
          <w:rStyle w:val="af2"/>
          <w:rFonts w:eastAsia="Guttman Hodes" w:hint="cs"/>
          <w:rtl/>
        </w:rPr>
        <w:t xml:space="preserve">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Ref144220277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נו)</w:t>
      </w:r>
      <w:r>
        <w:rPr>
          <w:rStyle w:val="af2"/>
          <w:rFonts w:eastAsia="Guttman Hodes"/>
          <w:rtl/>
        </w:rPr>
        <w:fldChar w:fldCharType="end"/>
      </w:r>
      <w:r>
        <w:rPr>
          <w:rFonts w:hint="cs"/>
          <w:rtl/>
        </w:rPr>
        <w:t xml:space="preserve"> מהגמ' בביצה דברעפים הוא עושה מעשה של גמר בפנ"ע, ואף שהחיסום נעשה מאיליו, מ"מ יש בזה מעשה נוסף של גמר מלאכה, ולכן חייב משום מכה בפטיש.</w:t>
      </w:r>
      <w:bookmarkEnd w:id="5364"/>
    </w:p>
    <w:p w14:paraId="4818589F" w14:textId="77777777" w:rsidR="00A14FDA" w:rsidRPr="00BC7DC8" w:rsidRDefault="00A14FDA" w:rsidP="00A14FDA">
      <w:pPr>
        <w:pStyle w:val="afffffe"/>
        <w:rPr>
          <w:vanish/>
          <w:rtl/>
        </w:rPr>
      </w:pPr>
      <w:r w:rsidRPr="00BC7DC8">
        <w:rPr>
          <w:rFonts w:hint="cs"/>
          <w:vanish/>
          <w:rtl/>
        </w:rPr>
        <w:t>דברי מרדכי שבת סי' י"ב סק"ד</w:t>
      </w:r>
    </w:p>
    <w:p w14:paraId="690CB63C" w14:textId="77777777" w:rsidR="00A14FDA" w:rsidRPr="00D87F8B" w:rsidRDefault="00A14FDA" w:rsidP="00A14FDA">
      <w:pPr>
        <w:pStyle w:val="a2"/>
        <w:rPr>
          <w:rtl/>
        </w:rPr>
      </w:pPr>
      <w:r w:rsidRPr="00D87F8B">
        <w:rPr>
          <w:rFonts w:hint="cs"/>
          <w:rtl/>
        </w:rPr>
        <w:t xml:space="preserve">ונראה </w:t>
      </w:r>
      <w:r w:rsidRPr="00D87F8B">
        <w:rPr>
          <w:rtl/>
        </w:rPr>
        <w:t xml:space="preserve"> אחרי העיון דאי"ז סותר לדברינו ושפיר י"ל כדברינו הנ"ל דאין לחייבו משום מכה בפטיש כשעושה מעשה המלאכה יחד עם הגמר ומשום דמלאכת מכה בפטיש אינו חייב אלא כשיש מעשה גמר בפ"ע אלא דהוקשה לו לרש"י הרי יש כאן מעשה צירוף ע"י האש דאחרי שנתבשל ונעשה קשה יש בזה צרוף ע"י האש כמו ברעפים בהיסק ראשון שחייב ע"ז משום גמר מלאכה כהגמ' ביצה הנ"ל ויש פוסקים דס"ל דגם כלים ישנים יש בהם משום צירוף מפני שמתחזק יותר הרי דיש צירוף באש גם לאחר גמר הכלי ואף שבכה"ג יתכן שזה גם מדרבנן אבל חזינן שיש בזה ענין של צירוף מיוחד אחרי שנתקשה וא"כ הכא שע"י שהסיקה באש ונגמר הבישול ונתקשה הרי מועיל האש לצירוף הכלי ע"י ההיסק שאחרי הבישול כהיסק רעפים ולמה לא יתחייב ע"ז משום מכה בפטיש </w:t>
      </w:r>
      <w:r w:rsidRPr="00D87F8B">
        <w:rPr>
          <w:rFonts w:hint="cs"/>
          <w:rtl/>
        </w:rPr>
        <w:t>[</w:t>
      </w:r>
      <w:r w:rsidRPr="00D87F8B">
        <w:rPr>
          <w:rtl/>
        </w:rPr>
        <w:t>האומנם די"ל שהצירוף בא מיד עם גמר הבישול ביחד אבל יתכן לומר דהצירוף של הכלי הוא לעולם אחרי שנתקשה אפי' שנתקשה ע"י האש וכבר נגמר הבישול ודבר זה צ"ע</w:t>
      </w:r>
      <w:r w:rsidRPr="00D87F8B">
        <w:rPr>
          <w:rFonts w:hint="cs"/>
          <w:rtl/>
        </w:rPr>
        <w:t>]</w:t>
      </w:r>
    </w:p>
    <w:p w14:paraId="27B7F9E9" w14:textId="77777777" w:rsidR="00A14FDA" w:rsidRPr="00806C89" w:rsidRDefault="00A14FDA" w:rsidP="00A14FDA">
      <w:pPr>
        <w:pStyle w:val="afffff5"/>
        <w:rPr>
          <w:rtl/>
        </w:rPr>
      </w:pPr>
      <w:r w:rsidRPr="00806C89">
        <w:rPr>
          <w:rFonts w:hint="cs"/>
          <w:rtl/>
        </w:rPr>
        <w:t xml:space="preserve">וע"ז </w:t>
      </w:r>
      <w:r w:rsidRPr="00806C89">
        <w:rPr>
          <w:rtl/>
        </w:rPr>
        <w:t>כתב רש"י דמאליה נגמרה מלאכתו בתנור והיינו דאם היה מוסיף ומבעיר עכשיו את האש היה חייב משום מכה בפטיש כהגמ' ביצה הנ"ל אבל הכא לא עשה עכשיו שום מעשה בשעת הצירוף אלא דאנו רוצים לחייבו מצד מעשה העבירה שעשה שלא היה עדיין כלי אלא טיט וזו הי' מעשה בישול כי הרי חייב משום מבשל ומשו"ה א"א לחייב ג"כ עכשיו בשעת הצירוף והגמר מכח המעשה שעשה קודם כיון שהיה בזה משום מעשה בישול ג"כ ולמשנ"ת דאינו חייב על מכה בפטיש אא"כ עשה מעשה מיוחד של גמר א"א לחייבו על ההיסק האחרון שנעשה בכלי אחרי הבישול משום גמר מלאכה דאין כאן מעשה על מה לחייבו כיון דעל מעשה ראשון א"א לחייב והוי כאינו לגבי חיוב מכה בפטיש וזש"כ רש"י דא"א לחייב משום מכה בפטיש משום דמאליה נגמרה מלאכתו</w:t>
      </w:r>
      <w:r w:rsidRPr="00806C89">
        <w:rPr>
          <w:rFonts w:hint="cs"/>
          <w:rtl/>
        </w:rPr>
        <w:t xml:space="preserve"> </w:t>
      </w:r>
      <w:r w:rsidRPr="00806C89">
        <w:rPr>
          <w:rtl/>
        </w:rPr>
        <w:t>בתנור ואין כאן מעשה על מה לחייבו ומיושב היטב דברי רש"י וזה דלא כמו שפירש המנ"ח ז"ל את דברי רש"י ומיושב לפי"ז הסתירה מגמ' ביצה הנ"ל</w:t>
      </w:r>
      <w:r w:rsidRPr="00806C89">
        <w:rPr>
          <w:rFonts w:hint="cs"/>
          <w:rtl/>
        </w:rPr>
        <w:t>.</w:t>
      </w:r>
    </w:p>
    <w:p w14:paraId="57FB1884" w14:textId="77777777" w:rsidR="00A14FDA" w:rsidRDefault="00A14FDA" w:rsidP="00A14FDA">
      <w:pPr>
        <w:pStyle w:val="afffff7"/>
        <w:rPr>
          <w:rtl/>
        </w:rPr>
      </w:pPr>
      <w:bookmarkStart w:id="5365" w:name="_Toc144224704"/>
      <w:bookmarkStart w:id="5366" w:name="_Toc163506252"/>
      <w:r w:rsidRPr="00F63F14">
        <w:rPr>
          <w:rFonts w:hint="cs"/>
          <w:rtl/>
        </w:rPr>
        <w:t>דברי מרדכי שבת סי' י"ב</w:t>
      </w:r>
      <w:r>
        <w:rPr>
          <w:rFonts w:hint="cs"/>
          <w:rtl/>
        </w:rPr>
        <w:t xml:space="preserve"> סק"ה ד"ה האומנם</w:t>
      </w:r>
      <w:bookmarkEnd w:id="5365"/>
      <w:bookmarkEnd w:id="5366"/>
      <w:r w:rsidRPr="00421A47">
        <w:rPr>
          <w:vanish/>
          <w:rtl/>
        </w:rPr>
        <w:t xml:space="preserve"> (ב)</w:t>
      </w:r>
    </w:p>
    <w:p w14:paraId="56E8549F" w14:textId="77777777" w:rsidR="00A14FDA" w:rsidRDefault="00A14FDA" w:rsidP="00A14FDA">
      <w:pPr>
        <w:pStyle w:val="a7"/>
        <w:rPr>
          <w:rtl/>
        </w:rPr>
      </w:pPr>
      <w:bookmarkStart w:id="5367" w:name="_Toc144225328"/>
      <w:r>
        <w:rPr>
          <w:rFonts w:hint="cs"/>
          <w:rtl/>
        </w:rPr>
        <w:t>בי' הדברי מרדכי במאירי וביראים דמכב"פ רק במעשה גמר בפנ"ע וא"כ הוא רק אחר הבנין</w:t>
      </w:r>
      <w:bookmarkEnd w:id="5367"/>
    </w:p>
    <w:p w14:paraId="2A033B58" w14:textId="62F2489B" w:rsidR="00A14FDA" w:rsidRPr="00A514DD" w:rsidRDefault="00A14FDA" w:rsidP="00BC7DC8">
      <w:pPr>
        <w:pStyle w:val="a3"/>
      </w:pPr>
      <w:bookmarkStart w:id="5368" w:name="_Ref144117393"/>
      <w:r>
        <w:rPr>
          <w:rFonts w:hint="cs"/>
          <w:rtl/>
        </w:rPr>
        <w:t xml:space="preserve">אך כתב </w:t>
      </w:r>
      <w:r w:rsidRPr="00A514DD">
        <w:rPr>
          <w:b/>
          <w:bCs/>
          <w:rtl/>
        </w:rPr>
        <w:t>ה</w:t>
      </w:r>
      <w:r w:rsidRPr="00A514DD">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Ref144117393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עז)</w:t>
      </w:r>
      <w:r>
        <w:rPr>
          <w:b/>
          <w:bCs/>
          <w:vanish/>
          <w:rtl/>
        </w:rPr>
        <w:fldChar w:fldCharType="end"/>
      </w:r>
      <w:r w:rsidRPr="00A514DD">
        <w:rPr>
          <w:b/>
          <w:bCs/>
          <w:vanish/>
          <w:rtl/>
        </w:rPr>
        <w:t xml:space="preserve"> &gt;</w:t>
      </w:r>
      <w:r>
        <w:rPr>
          <w:rFonts w:hint="cs"/>
          <w:b/>
          <w:bCs/>
          <w:rtl/>
        </w:rPr>
        <w:t>דברי מרדכי</w:t>
      </w:r>
      <w:r w:rsidRPr="00A514DD">
        <w:rPr>
          <w:b/>
          <w:bCs/>
          <w:rtl/>
        </w:rPr>
        <w:t xml:space="preserve"> </w:t>
      </w:r>
      <w:r w:rsidRPr="00C8052D">
        <w:rPr>
          <w:rStyle w:val="af2"/>
          <w:rFonts w:eastAsia="Guttman Hodes"/>
          <w:rtl/>
        </w:rPr>
        <w:t>(</w:t>
      </w:r>
      <w:r w:rsidRPr="00C8052D">
        <w:rPr>
          <w:rStyle w:val="af2"/>
          <w:rFonts w:eastAsia="Guttman Hodes" w:hint="cs"/>
          <w:rtl/>
        </w:rPr>
        <w:t>שבת סי' י"ב סק"ה ד"ה האומנם</w:t>
      </w:r>
      <w:r w:rsidRPr="00C8052D">
        <w:rPr>
          <w:rStyle w:val="af2"/>
          <w:rFonts w:eastAsia="Guttman Hodes"/>
          <w:rtl/>
        </w:rPr>
        <w:t>)</w:t>
      </w:r>
      <w:r w:rsidRPr="00A514DD">
        <w:rPr>
          <w:vanish/>
          <w:rtl/>
        </w:rPr>
        <w:t>=</w:t>
      </w:r>
      <w:r>
        <w:rPr>
          <w:rtl/>
        </w:rPr>
        <w:t xml:space="preserve"> </w:t>
      </w:r>
      <w:r>
        <w:rPr>
          <w:rFonts w:hint="cs"/>
          <w:rtl/>
        </w:rPr>
        <w:t xml:space="preserve">דלדעת </w:t>
      </w:r>
      <w:r>
        <w:rPr>
          <w:rFonts w:hint="cs"/>
          <w:b/>
          <w:bCs/>
          <w:rtl/>
        </w:rPr>
        <w:t xml:space="preserve">היראים </w:t>
      </w:r>
      <w:r w:rsidRPr="00C8052D">
        <w:rPr>
          <w:rStyle w:val="af2"/>
          <w:rFonts w:eastAsia="Guttman Hodes" w:hint="cs"/>
          <w:rtl/>
        </w:rPr>
        <w:t>(</w:t>
      </w:r>
      <w:r w:rsidRPr="005257B1">
        <w:rPr>
          <w:rStyle w:val="af2"/>
          <w:rFonts w:eastAsia="Guttman Hodes" w:hint="cs"/>
          <w:rtl/>
        </w:rPr>
        <w:t>עי' אות</w:t>
      </w:r>
      <w:r w:rsidRPr="00D7025D">
        <w:rPr>
          <w:rStyle w:val="af2"/>
          <w:rFonts w:eastAsia="Guttman Hodes" w:hint="cs"/>
          <w:rtl/>
        </w:rPr>
        <w:t xml:space="preserve"> </w:t>
      </w:r>
      <w:r w:rsidRPr="00D7025D">
        <w:rPr>
          <w:rStyle w:val="af2"/>
          <w:rFonts w:eastAsia="Guttman Hodes"/>
          <w:rtl/>
        </w:rPr>
        <w:fldChar w:fldCharType="begin"/>
      </w:r>
      <w:r w:rsidRPr="00D7025D">
        <w:rPr>
          <w:rStyle w:val="af2"/>
          <w:rFonts w:eastAsia="Guttman Hodes"/>
          <w:rtl/>
        </w:rPr>
        <w:instrText xml:space="preserve"> </w:instrText>
      </w:r>
      <w:r w:rsidRPr="00D7025D">
        <w:rPr>
          <w:rStyle w:val="af2"/>
          <w:rFonts w:eastAsia="Guttman Hodes" w:hint="cs"/>
        </w:rPr>
        <w:instrText>REF</w:instrText>
      </w:r>
      <w:r w:rsidRPr="00D7025D">
        <w:rPr>
          <w:rStyle w:val="af2"/>
          <w:rFonts w:eastAsia="Guttman Hodes" w:hint="cs"/>
          <w:rtl/>
        </w:rPr>
        <w:instrText xml:space="preserve"> _</w:instrText>
      </w:r>
      <w:r w:rsidRPr="00D7025D">
        <w:rPr>
          <w:rStyle w:val="af2"/>
          <w:rFonts w:eastAsia="Guttman Hodes" w:hint="cs"/>
        </w:rPr>
        <w:instrText>Ref143857616 \r \h</w:instrText>
      </w:r>
      <w:r w:rsidRPr="00D7025D">
        <w:rPr>
          <w:rStyle w:val="af2"/>
          <w:rFonts w:eastAsia="Guttman Hodes"/>
          <w:rtl/>
        </w:rPr>
        <w:instrText xml:space="preserve"> </w:instrText>
      </w:r>
      <w:r w:rsidRPr="00D7025D">
        <w:rPr>
          <w:rStyle w:val="af2"/>
          <w:rFonts w:eastAsia="Guttman Hodes"/>
          <w:rtl/>
        </w:rPr>
      </w:r>
      <w:r w:rsidRPr="00D7025D">
        <w:rPr>
          <w:rStyle w:val="af2"/>
          <w:rFonts w:eastAsia="Guttman Hodes"/>
          <w:rtl/>
        </w:rPr>
        <w:fldChar w:fldCharType="separate"/>
      </w:r>
      <w:r w:rsidR="00D82181">
        <w:rPr>
          <w:rStyle w:val="af2"/>
          <w:rFonts w:eastAsia="Guttman Hodes"/>
          <w:cs/>
        </w:rPr>
        <w:t>‎</w:t>
      </w:r>
      <w:r w:rsidR="00D82181">
        <w:rPr>
          <w:rStyle w:val="af2"/>
          <w:rFonts w:eastAsia="Guttman Hodes"/>
          <w:rtl/>
        </w:rPr>
        <w:t>מח)</w:t>
      </w:r>
      <w:r w:rsidRPr="00D7025D">
        <w:rPr>
          <w:rStyle w:val="af2"/>
          <w:rFonts w:eastAsia="Guttman Hodes"/>
          <w:rtl/>
        </w:rPr>
        <w:fldChar w:fldCharType="end"/>
      </w:r>
      <w:r>
        <w:rPr>
          <w:rFonts w:hint="cs"/>
          <w:b/>
          <w:bCs/>
          <w:rtl/>
        </w:rPr>
        <w:t xml:space="preserve"> והמאירי</w:t>
      </w:r>
      <w:r>
        <w:rPr>
          <w:rtl/>
        </w:rPr>
        <w:t xml:space="preserve"> </w:t>
      </w:r>
      <w:r w:rsidRPr="00C8052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Ref144151109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לח)</w:t>
      </w:r>
      <w:r>
        <w:rPr>
          <w:rStyle w:val="af2"/>
          <w:rFonts w:eastAsia="Guttman Hodes"/>
          <w:rtl/>
        </w:rPr>
        <w:fldChar w:fldCharType="end"/>
      </w:r>
      <w:r>
        <w:rPr>
          <w:rFonts w:hint="cs"/>
          <w:rtl/>
        </w:rPr>
        <w:t xml:space="preserve"> דכתבו דחיוב מכה בפטיש הוא רק לאחר שנגמרה מלאכת הבנין, עדיין קשה מהגמ' בביצה על דברי </w:t>
      </w:r>
      <w:r w:rsidRPr="00255628">
        <w:rPr>
          <w:rStyle w:val="aff4"/>
          <w:rFonts w:hint="cs"/>
          <w:vanish/>
          <w:rtl/>
        </w:rPr>
        <w:t>-</w:t>
      </w:r>
      <w:r w:rsidRPr="00255628">
        <w:rPr>
          <w:rStyle w:val="aff4"/>
          <w:rFonts w:hint="cs"/>
          <w:rtl/>
        </w:rPr>
        <w:t>רש"י לעיל</w:t>
      </w:r>
      <w:r w:rsidRPr="00255628">
        <w:rPr>
          <w:rStyle w:val="aff4"/>
          <w:rFonts w:hint="cs"/>
          <w:vanish/>
          <w:rtl/>
        </w:rPr>
        <w:t>-</w:t>
      </w:r>
      <w:r>
        <w:rPr>
          <w:rFonts w:hint="cs"/>
          <w:rtl/>
        </w:rPr>
        <w:t xml:space="preserve"> </w:t>
      </w:r>
      <w:r w:rsidRPr="00C8052D">
        <w:rPr>
          <w:rStyle w:val="af2"/>
          <w:rFonts w:eastAsia="Guttman Hodes" w:hint="cs"/>
          <w:rtl/>
        </w:rPr>
        <w:t>(</w:t>
      </w:r>
      <w:r w:rsidRPr="000148C6">
        <w:rPr>
          <w:rStyle w:val="af2"/>
          <w:rFonts w:eastAsia="Guttman Hodes" w:hint="cs"/>
          <w:rtl/>
        </w:rPr>
        <w:t xml:space="preserve">עי' </w:t>
      </w:r>
      <w:r>
        <w:rPr>
          <w:rStyle w:val="af2"/>
          <w:rFonts w:eastAsia="Guttman Hodes" w:hint="cs"/>
          <w:rtl/>
        </w:rPr>
        <w:t xml:space="preserve">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Ref144199731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יג)</w:t>
      </w:r>
      <w:r>
        <w:rPr>
          <w:rStyle w:val="af2"/>
          <w:rFonts w:eastAsia="Guttman Hodes"/>
          <w:rtl/>
        </w:rPr>
        <w:fldChar w:fldCharType="end"/>
      </w:r>
      <w:r>
        <w:rPr>
          <w:rFonts w:hint="cs"/>
          <w:rtl/>
        </w:rPr>
        <w:t xml:space="preserve"> דבנגמרה מאיליה אין חיוב מכה בפטיש, דהא כיון דהצירוף הוא גמר בפנ"ע אחר שנגמרה המלאכה בחבית, א"כ צריך להתחייב בזה משום מכה בפטיש, וכתב</w:t>
      </w:r>
      <w:r w:rsidRPr="00B3139A">
        <w:rPr>
          <w:b/>
          <w:bCs/>
          <w:rtl/>
        </w:rPr>
        <w:t xml:space="preserve"> </w:t>
      </w:r>
      <w:r>
        <w:rPr>
          <w:rFonts w:hint="cs"/>
          <w:b/>
          <w:bCs/>
          <w:rtl/>
        </w:rPr>
        <w:t>הדברי מרדכי</w:t>
      </w:r>
      <w:r>
        <w:rPr>
          <w:rtl/>
        </w:rPr>
        <w:t xml:space="preserve"> </w:t>
      </w:r>
      <w:r>
        <w:rPr>
          <w:rFonts w:hint="cs"/>
          <w:rtl/>
        </w:rPr>
        <w:t>דצ"ל דכוונת</w:t>
      </w:r>
      <w:r w:rsidRPr="00B3139A">
        <w:rPr>
          <w:b/>
          <w:bCs/>
          <w:rtl/>
        </w:rPr>
        <w:t xml:space="preserve"> </w:t>
      </w:r>
      <w:r>
        <w:rPr>
          <w:rFonts w:hint="cs"/>
          <w:b/>
          <w:bCs/>
          <w:rtl/>
        </w:rPr>
        <w:t>היראים והמאירי</w:t>
      </w:r>
      <w:r>
        <w:rPr>
          <w:rtl/>
        </w:rPr>
        <w:t xml:space="preserve"> </w:t>
      </w:r>
      <w:r>
        <w:rPr>
          <w:rFonts w:hint="cs"/>
          <w:rtl/>
        </w:rPr>
        <w:t>היא ג"כ לומר דכל החיוב במכה בפטיש הוא רק כשעושה מעשה של גמר בפנ"ע, ולכן כתבו דהחיוב בזה הוא רק לאחר שנגמרה מלאכת הבנין, וע"ע במה שהאריך</w:t>
      </w:r>
      <w:r>
        <w:rPr>
          <w:rtl/>
        </w:rPr>
        <w:t xml:space="preserve"> </w:t>
      </w:r>
      <w:r>
        <w:rPr>
          <w:rFonts w:hint="cs"/>
          <w:b/>
          <w:bCs/>
          <w:rtl/>
        </w:rPr>
        <w:t>ה</w:t>
      </w:r>
      <w:r w:rsidRPr="009367DA">
        <w:rPr>
          <w:b/>
          <w:bCs/>
          <w:vanish/>
          <w:rtl/>
        </w:rPr>
        <w:t>&lt; &gt;</w:t>
      </w:r>
      <w:r>
        <w:rPr>
          <w:rFonts w:hint="cs"/>
          <w:b/>
          <w:bCs/>
          <w:rtl/>
        </w:rPr>
        <w:t>דברי מרדכי</w:t>
      </w:r>
      <w:r w:rsidRPr="009367DA">
        <w:rPr>
          <w:b/>
          <w:bCs/>
          <w:rtl/>
        </w:rPr>
        <w:t xml:space="preserve"> </w:t>
      </w:r>
      <w:r w:rsidRPr="00C8052D">
        <w:rPr>
          <w:rStyle w:val="af2"/>
          <w:rFonts w:eastAsia="Guttman Hodes"/>
          <w:rtl/>
        </w:rPr>
        <w:t>(</w:t>
      </w:r>
      <w:r w:rsidRPr="00C8052D">
        <w:rPr>
          <w:rStyle w:val="af2"/>
          <w:rFonts w:eastAsia="Guttman Hodes" w:hint="cs"/>
          <w:rtl/>
        </w:rPr>
        <w:t>שבת סי' י"ב סק"ו</w:t>
      </w:r>
      <w:r w:rsidRPr="00C8052D">
        <w:rPr>
          <w:rStyle w:val="af2"/>
          <w:rFonts w:eastAsia="Guttman Hodes"/>
          <w:rtl/>
        </w:rPr>
        <w:t>)</w:t>
      </w:r>
      <w:r w:rsidRPr="009367DA">
        <w:rPr>
          <w:vanish/>
          <w:rtl/>
        </w:rPr>
        <w:t>=</w:t>
      </w:r>
      <w:r>
        <w:rPr>
          <w:rFonts w:hint="cs"/>
          <w:rtl/>
        </w:rPr>
        <w:t xml:space="preserve"> בדברי</w:t>
      </w:r>
      <w:r w:rsidRPr="009367DA">
        <w:rPr>
          <w:b/>
          <w:bCs/>
          <w:rtl/>
        </w:rPr>
        <w:t xml:space="preserve"> </w:t>
      </w:r>
      <w:r>
        <w:rPr>
          <w:rFonts w:hint="cs"/>
          <w:b/>
          <w:bCs/>
          <w:rtl/>
        </w:rPr>
        <w:t>המרכה"מ</w:t>
      </w:r>
      <w:r>
        <w:rPr>
          <w:rtl/>
        </w:rPr>
        <w:t xml:space="preserve"> </w:t>
      </w:r>
      <w:r w:rsidRPr="00C8052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Ref144117260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לו)</w:t>
      </w:r>
      <w:r>
        <w:rPr>
          <w:rStyle w:val="af2"/>
          <w:rFonts w:eastAsia="Guttman Hodes"/>
          <w:rtl/>
        </w:rPr>
        <w:fldChar w:fldCharType="end"/>
      </w:r>
      <w:r>
        <w:rPr>
          <w:rFonts w:hint="cs"/>
          <w:rtl/>
        </w:rPr>
        <w:t xml:space="preserve"> אי שייך לחייב שתים משום מכה בפטיש ומשום מלאכה אחרת.</w:t>
      </w:r>
      <w:bookmarkEnd w:id="5368"/>
      <w:r>
        <w:rPr>
          <w:rFonts w:hint="cs"/>
          <w:rtl/>
        </w:rPr>
        <w:t xml:space="preserve"> </w:t>
      </w:r>
    </w:p>
    <w:p w14:paraId="590861CE" w14:textId="77777777" w:rsidR="00A14FDA" w:rsidRPr="00BC7DC8" w:rsidRDefault="00A14FDA" w:rsidP="00A14FDA">
      <w:pPr>
        <w:pStyle w:val="afffffe"/>
        <w:rPr>
          <w:vanish/>
          <w:rtl/>
        </w:rPr>
      </w:pPr>
      <w:r w:rsidRPr="00BC7DC8">
        <w:rPr>
          <w:rFonts w:hint="cs"/>
          <w:vanish/>
          <w:rtl/>
        </w:rPr>
        <w:t>דברי מרדכי שבת סי' י"ב סק"ה ד"ה האומנם</w:t>
      </w:r>
    </w:p>
    <w:p w14:paraId="319CF693" w14:textId="77777777" w:rsidR="00A14FDA" w:rsidRPr="00D87F8B" w:rsidRDefault="00A14FDA" w:rsidP="00A14FDA">
      <w:pPr>
        <w:pStyle w:val="a2"/>
        <w:rPr>
          <w:rtl/>
        </w:rPr>
      </w:pPr>
      <w:r w:rsidRPr="00D87F8B">
        <w:rPr>
          <w:rFonts w:hint="cs"/>
          <w:rtl/>
        </w:rPr>
        <w:t>האומנם</w:t>
      </w:r>
      <w:r w:rsidRPr="00D87F8B">
        <w:rPr>
          <w:rtl/>
        </w:rPr>
        <w:t xml:space="preserve"> דברי הראשונים שהבאנו שכתבו יסוד הך דבר דאין לחייב משום מכה בפטיש אלא אם הכאת הפטיש הוא לאחר גמר הבנין לכאורה נראה מפשטות דבריהם דכונתם לומר דמכה בפטיש צריך שיהא נעשה אחר גמר הדבר ואם נימא כן תירוצנו אינו מועיל ליישב דברי רש"י דהא כיון דהצירוף בא אחר הבישול שפיר יש לחייבו משום מכה בפטיש אכן נראה די"ל דכונתם ג"כ כש"נ דא"א לחייב משום מכה בפטיש אא"כ איכא מעשה בפנ"ע חוץ ממלאכה אחרת ומשו"ה לא יתכן מכה בפטיש אלא לאחר גמר המלאכה וזש"כ דאין לחייב משום מכה בפטיש אא"כ הוא לאחר גמר הבנין דאל"כ הוי זה מעשה אחד ועיין מש"כ עוד להלן ויתבאר דברינו יותר</w:t>
      </w:r>
      <w:r w:rsidRPr="00D87F8B">
        <w:rPr>
          <w:rFonts w:hint="cs"/>
          <w:rtl/>
        </w:rPr>
        <w:t>.</w:t>
      </w:r>
    </w:p>
    <w:p w14:paraId="6DAC3DF7" w14:textId="77777777" w:rsidR="00A14FDA" w:rsidRPr="002C5098" w:rsidRDefault="00A14FDA" w:rsidP="00A14FDA">
      <w:pPr>
        <w:pStyle w:val="afffff5"/>
        <w:rPr>
          <w:rtl/>
        </w:rPr>
      </w:pPr>
      <w:r w:rsidRPr="00284C78">
        <w:rPr>
          <w:rStyle w:val="afffffffff9"/>
          <w:rtl/>
        </w:rPr>
        <w:t>ו</w:t>
      </w:r>
      <w:r w:rsidRPr="00284C78">
        <w:rPr>
          <w:rStyle w:val="afffffffff9"/>
          <w:rFonts w:hint="cs"/>
          <w:rtl/>
        </w:rPr>
        <w:t>) הנה</w:t>
      </w:r>
      <w:r w:rsidRPr="00284C78">
        <w:rPr>
          <w:rStyle w:val="afffffffff9"/>
          <w:rtl/>
        </w:rPr>
        <w:t xml:space="preserve"> במה שהבאנו לעיל דברי הלח"מ שכתב בדעת הרמב"ם דלרב דס"ל דמסתת וכו' חייב משום בונה לא פליג על שמואל ומודה דחייב נמי משום מכה בפטיש אלא דס"ל דחייב גם משום בונה ראיתי במרכבת המשנה דדחה דבריו מטעם אחר דא"כ בכל הל"ח מלאכות היכא דהו"ל גמר מלאכה כמו האופה שהיא גמר מלאכת הפת והאורג יהא חייב משום מכה בפטיש והאמת הוא דלא דמי לזומר וצריך לעצים דחייב שתים משום שנמשך מפעולתו שני מלאכות זריעה וקצירה וכן החותה בגחלים שהוא מכבה ומבעיר וכה"ג הזורק חץ והרג אדם ועקר אילן חייב משום שוחט ומשום קוצר משא"כ העושה פעולה אחת הדומה למלאכה מל"ח מלאכות אע"פ שהיא גמ"ל אין לחייבו אף משום מכה בפטיש וכן מבואר בירושלמי פרק כלל גדול ריו"ח ור"ל עבדיו הוי בהדיא פירקא תלת שנין ופלג אפקי מיניה ארבעין חסר אחת תולדין על כל חדא וחדא מאן דאשכחן מסמך סמכין הא דלא אשכחן מסמך עבדני' משום מכה בפטיש עכ"ד וביאור ראיתו הוא דמה שכתב בסוף הא דלא אשכחן מסמך עבדני משום מכה בפטיש קשה דמאי קמ"ל בזה וע"כ דר"ל דאם מסמך לאב אין בו משום מכה בפטיש</w:t>
      </w:r>
      <w:r w:rsidRPr="002C5098">
        <w:rPr>
          <w:rFonts w:hint="cs"/>
          <w:rtl/>
        </w:rPr>
        <w:t>.</w:t>
      </w:r>
    </w:p>
    <w:p w14:paraId="03D22166" w14:textId="77777777" w:rsidR="00A14FDA" w:rsidRPr="002C5098" w:rsidRDefault="00A14FDA" w:rsidP="00A14FDA">
      <w:pPr>
        <w:pStyle w:val="a7"/>
        <w:rPr>
          <w:rtl/>
        </w:rPr>
      </w:pPr>
    </w:p>
    <w:p w14:paraId="2F57F27D" w14:textId="77777777" w:rsidR="00A14FDA" w:rsidRPr="00806C89" w:rsidRDefault="00A14FDA" w:rsidP="00A14FDA">
      <w:pPr>
        <w:pStyle w:val="a7"/>
        <w:rPr>
          <w:rtl/>
        </w:rPr>
        <w:sectPr w:rsidR="00A14FDA" w:rsidRPr="00806C89" w:rsidSect="00CA28B3">
          <w:footerReference w:type="default" r:id="rId176"/>
          <w:type w:val="continuous"/>
          <w:pgSz w:w="11906" w:h="16838"/>
          <w:pgMar w:top="720" w:right="720" w:bottom="720" w:left="720" w:header="283" w:footer="283" w:gutter="0"/>
          <w:cols w:num="2" w:space="567"/>
          <w:bidi/>
          <w:rtlGutter/>
        </w:sectPr>
      </w:pPr>
    </w:p>
    <w:p w14:paraId="5BFE743C" w14:textId="77777777" w:rsidR="00A14FDA" w:rsidRPr="008E1B37" w:rsidRDefault="00A14FDA" w:rsidP="00A14FDA">
      <w:pPr>
        <w:pStyle w:val="a7"/>
        <w:rPr>
          <w:rtl/>
        </w:rPr>
      </w:pPr>
    </w:p>
    <w:p w14:paraId="4BBDFEEF" w14:textId="6BC32960" w:rsidR="00A14FDA" w:rsidRPr="00A14FDA" w:rsidRDefault="00A14FDA" w:rsidP="00A14FDA">
      <w:pPr>
        <w:keepNext/>
        <w:keepLines/>
        <w:spacing w:after="0" w:line="240" w:lineRule="auto"/>
        <w:jc w:val="center"/>
        <w:outlineLvl w:val="1"/>
        <w:rPr>
          <w:rFonts w:eastAsia="Guttman Adii-Light"/>
          <w:b/>
          <w:bCs/>
          <w:sz w:val="18"/>
          <w:szCs w:val="28"/>
        </w:rPr>
      </w:pPr>
    </w:p>
    <w:p w14:paraId="420FC51F" w14:textId="52CAE10D" w:rsidR="00A14FDA" w:rsidRPr="00224A5A" w:rsidRDefault="00A14FDA" w:rsidP="00A14FDA">
      <w:pPr>
        <w:pStyle w:val="TOC7"/>
        <w:rPr>
          <w:rFonts w:ascii="Guttman Adii-Light" w:eastAsia="Guttman Adii-Light" w:hAnsi="Guttman Adii-Light"/>
          <w:b/>
          <w:bCs/>
          <w:sz w:val="18"/>
          <w:szCs w:val="28"/>
          <w:rtl/>
        </w:rPr>
        <w:sectPr w:rsidR="00A14FDA" w:rsidRPr="00224A5A" w:rsidSect="00CA28B3">
          <w:footerReference w:type="default" r:id="rId177"/>
          <w:type w:val="continuous"/>
          <w:pgSz w:w="11906" w:h="16838"/>
          <w:pgMar w:top="720" w:right="720" w:bottom="720" w:left="720" w:header="283" w:footer="283" w:gutter="0"/>
          <w:cols w:num="3" w:space="113"/>
          <w:bidi/>
          <w:rtlGutter/>
        </w:sectPr>
      </w:pPr>
    </w:p>
    <w:p w14:paraId="41103825" w14:textId="77777777" w:rsidR="003E1AA3" w:rsidRPr="00224A5A" w:rsidRDefault="003E1AA3" w:rsidP="00355EBB">
      <w:pPr>
        <w:pStyle w:val="af9"/>
        <w:rPr>
          <w:rtl/>
        </w:rPr>
      </w:pPr>
      <w:bookmarkStart w:id="5369" w:name="_Hlk144283755"/>
      <w:r>
        <w:rPr>
          <w:rFonts w:hint="cs"/>
          <w:rtl/>
        </w:rPr>
        <w:lastRenderedPageBreak/>
        <w:t>סימן י</w:t>
      </w:r>
      <w:r>
        <w:rPr>
          <w:rtl/>
        </w:rPr>
        <w:t>"</w:t>
      </w:r>
      <w:r>
        <w:rPr>
          <w:rFonts w:hint="cs"/>
          <w:rtl/>
        </w:rPr>
        <w:t>ג</w:t>
      </w:r>
    </w:p>
    <w:p w14:paraId="2646BFE8" w14:textId="77777777" w:rsidR="003E1AA3" w:rsidRPr="006E6B9C" w:rsidRDefault="003E1AA3" w:rsidP="00355EBB">
      <w:pPr>
        <w:pStyle w:val="af9"/>
        <w:rPr>
          <w:rtl/>
        </w:rPr>
      </w:pPr>
      <w:r w:rsidRPr="008F4A22">
        <w:rPr>
          <w:rtl/>
        </w:rPr>
        <w:t>ב</w:t>
      </w:r>
      <w:r>
        <w:rPr>
          <w:rFonts w:hint="cs"/>
          <w:rtl/>
        </w:rPr>
        <w:t>ענין בנין בכלים (א')</w:t>
      </w:r>
    </w:p>
    <w:p w14:paraId="033CE04E" w14:textId="77777777" w:rsidR="003E1AA3" w:rsidRPr="00224A5A" w:rsidRDefault="003E1AA3" w:rsidP="003E1AA3">
      <w:pPr>
        <w:keepNext/>
        <w:keepLines/>
        <w:spacing w:after="0" w:line="240" w:lineRule="auto"/>
        <w:jc w:val="center"/>
        <w:outlineLvl w:val="1"/>
        <w:rPr>
          <w:rFonts w:ascii="FrankRuehl" w:eastAsia="Guttman Adii-Light" w:hAnsi="FrankRuehl" w:cs="Guttman Hodes"/>
          <w:b/>
          <w:bCs/>
          <w:noProof/>
          <w:sz w:val="24"/>
          <w:szCs w:val="24"/>
          <w:rtl/>
        </w:rPr>
        <w:sectPr w:rsidR="003E1AA3" w:rsidRPr="00224A5A" w:rsidSect="00BC7DC8">
          <w:headerReference w:type="default" r:id="rId178"/>
          <w:footerReference w:type="default" r:id="rId179"/>
          <w:headerReference w:type="first" r:id="rId180"/>
          <w:footerReference w:type="first" r:id="rId181"/>
          <w:type w:val="oddPage"/>
          <w:pgSz w:w="11906" w:h="16838"/>
          <w:pgMar w:top="720" w:right="720" w:bottom="720" w:left="720" w:header="283" w:footer="283" w:gutter="0"/>
          <w:cols w:space="113"/>
          <w:bidi/>
          <w:rtlGutter/>
          <w:docGrid w:linePitch="299"/>
        </w:sectPr>
      </w:pPr>
      <w:r w:rsidRPr="00224A5A">
        <w:rPr>
          <w:rFonts w:ascii="FrankRuehl" w:eastAsia="Guttman Adii-Light" w:hAnsi="FrankRuehl" w:cs="Guttman Hodes"/>
          <w:b/>
          <w:bCs/>
          <w:noProof/>
          <w:sz w:val="24"/>
          <w:szCs w:val="24"/>
          <w:rtl/>
        </w:rPr>
        <w:t>~~~~~~~</w:t>
      </w:r>
      <w:r w:rsidRPr="00224A5A">
        <w:rPr>
          <w:rFonts w:ascii="FrankRuehl" w:eastAsia="Guttman Adii-Light" w:hAnsi="FrankRuehl" w:cs="Guttman Hodes" w:hint="cs"/>
          <w:b/>
          <w:bCs/>
          <w:noProof/>
          <w:sz w:val="24"/>
          <w:szCs w:val="24"/>
          <w:rtl/>
        </w:rPr>
        <w:t xml:space="preserve"> תוכן הענייני</w:t>
      </w:r>
      <w:r w:rsidRPr="00224A5A">
        <w:rPr>
          <w:rFonts w:ascii="FrankRuehl" w:eastAsia="Guttman Adii-Light" w:hAnsi="FrankRuehl" w:cs="Guttman Hodes" w:hint="eastAsia"/>
          <w:b/>
          <w:bCs/>
          <w:noProof/>
          <w:sz w:val="24"/>
          <w:szCs w:val="24"/>
          <w:rtl/>
        </w:rPr>
        <w:t>ם</w:t>
      </w:r>
      <w:r w:rsidRPr="00224A5A">
        <w:rPr>
          <w:rFonts w:ascii="FrankRuehl" w:eastAsia="Guttman Adii-Light" w:hAnsi="FrankRuehl" w:cs="Guttman Hodes" w:hint="cs"/>
          <w:b/>
          <w:bCs/>
          <w:noProof/>
          <w:sz w:val="24"/>
          <w:szCs w:val="24"/>
          <w:rtl/>
        </w:rPr>
        <w:t xml:space="preserve"> </w:t>
      </w:r>
      <w:r w:rsidRPr="00224A5A">
        <w:rPr>
          <w:rFonts w:ascii="FrankRuehl" w:eastAsia="Guttman Adii-Light" w:hAnsi="FrankRuehl" w:cs="Guttman Hodes"/>
          <w:b/>
          <w:bCs/>
          <w:noProof/>
          <w:sz w:val="24"/>
          <w:szCs w:val="24"/>
          <w:rtl/>
        </w:rPr>
        <w:t>~~~~~~~</w:t>
      </w:r>
    </w:p>
    <w:p w14:paraId="5175CC94" w14:textId="77777777" w:rsidR="003E1AA3" w:rsidRDefault="003E1AA3" w:rsidP="003E1AA3">
      <w:pPr>
        <w:pStyle w:val="TOC1"/>
        <w:rPr>
          <w:rFonts w:asciiTheme="minorHAnsi" w:hAnsiTheme="minorHAnsi" w:cstheme="minorBidi"/>
          <w:b w:val="0"/>
          <w:bCs w:val="0"/>
          <w:caps w:val="0"/>
          <w:sz w:val="22"/>
          <w:szCs w:val="22"/>
          <w:rtl/>
        </w:rPr>
      </w:pPr>
      <w:r w:rsidRPr="00224A5A">
        <w:rPr>
          <w:rtl/>
        </w:rPr>
        <w:fldChar w:fldCharType="begin"/>
      </w:r>
      <w:r w:rsidRPr="00224A5A">
        <w:rPr>
          <w:rtl/>
        </w:rPr>
        <w:instrText xml:space="preserve"> </w:instrText>
      </w:r>
      <w:r w:rsidRPr="00224A5A">
        <w:rPr>
          <w:rFonts w:hint="cs"/>
        </w:rPr>
        <w:instrText>TOC</w:instrText>
      </w:r>
      <w:r w:rsidRPr="00224A5A">
        <w:rPr>
          <w:rFonts w:hint="cs"/>
          <w:rtl/>
        </w:rPr>
        <w:instrText xml:space="preserve"> \</w:instrText>
      </w:r>
      <w:r w:rsidRPr="00224A5A">
        <w:rPr>
          <w:rFonts w:hint="cs"/>
        </w:rPr>
        <w:instrText>n \p " " \h \z \t</w:instrText>
      </w:r>
      <w:r w:rsidRPr="00224A5A">
        <w:rPr>
          <w:rFonts w:hint="cs"/>
          <w:rtl/>
        </w:rPr>
        <w:instrText xml:space="preserve"> "כותרת 1,2,כות קט,3,כות מק פנ,1"</w:instrText>
      </w:r>
      <w:r w:rsidRPr="00224A5A">
        <w:rPr>
          <w:rtl/>
        </w:rPr>
        <w:instrText xml:space="preserve"> </w:instrText>
      </w:r>
      <w:r w:rsidRPr="00224A5A">
        <w:rPr>
          <w:rtl/>
        </w:rPr>
        <w:fldChar w:fldCharType="separate"/>
      </w:r>
      <w:hyperlink w:anchor="_Toc145233880" w:history="1">
        <w:r w:rsidRPr="0054718A">
          <w:rPr>
            <w:rStyle w:val="Hyperlink"/>
            <w:rtl/>
          </w:rPr>
          <w:t>ד' רש"י והיראים דקיי"ל דאין בנין בכלים</w:t>
        </w:r>
      </w:hyperlink>
    </w:p>
    <w:p w14:paraId="2F36251B" w14:textId="445FD83D" w:rsidR="003E1AA3" w:rsidRPr="007B2E60" w:rsidRDefault="003E1AA3" w:rsidP="003E1AA3">
      <w:pPr>
        <w:pStyle w:val="afffffffff0"/>
        <w:rPr>
          <w:rFonts w:eastAsia="Times New Roman"/>
          <w:rtl/>
        </w:rPr>
      </w:pPr>
      <w:r w:rsidRPr="007B2E60">
        <w:rPr>
          <w:rFonts w:eastAsia="Times New Roman"/>
          <w:b/>
          <w:bCs/>
          <w:rtl/>
        </w:rPr>
        <w:fldChar w:fldCharType="begin"/>
      </w:r>
      <w:r w:rsidRPr="007B2E60">
        <w:rPr>
          <w:rFonts w:eastAsia="Times New Roman"/>
          <w:b/>
          <w:bCs/>
          <w:rtl/>
        </w:rPr>
        <w:instrText xml:space="preserve"> </w:instrText>
      </w:r>
      <w:r w:rsidRPr="007B2E60">
        <w:rPr>
          <w:rFonts w:eastAsia="Times New Roman"/>
          <w:b/>
          <w:bCs/>
        </w:rPr>
        <w:instrText>REF</w:instrText>
      </w:r>
      <w:r w:rsidRPr="007B2E60">
        <w:rPr>
          <w:rFonts w:eastAsia="Times New Roman"/>
          <w:b/>
          <w:bCs/>
          <w:rtl/>
        </w:rPr>
        <w:instrText xml:space="preserve"> _</w:instrText>
      </w:r>
      <w:r w:rsidRPr="007B2E60">
        <w:rPr>
          <w:rFonts w:eastAsia="Times New Roman"/>
          <w:b/>
          <w:bCs/>
        </w:rPr>
        <w:instrText>Ref143720580 \r \h</w:instrText>
      </w:r>
      <w:r w:rsidRPr="007B2E60">
        <w:rPr>
          <w:rFonts w:eastAsia="Times New Roman"/>
          <w:b/>
          <w:bCs/>
          <w:rtl/>
        </w:rPr>
        <w:instrText xml:space="preserve">  \* </w:instrText>
      </w:r>
      <w:r w:rsidRPr="007B2E60">
        <w:rPr>
          <w:rFonts w:eastAsia="Times New Roman"/>
          <w:b/>
          <w:bCs/>
        </w:rPr>
        <w:instrText>MERGEFORMAT</w:instrText>
      </w:r>
      <w:r w:rsidRPr="007B2E60">
        <w:rPr>
          <w:rFonts w:eastAsia="Times New Roman"/>
          <w:b/>
          <w:bCs/>
          <w:rtl/>
        </w:rPr>
        <w:instrText xml:space="preserve"> </w:instrText>
      </w:r>
      <w:r w:rsidRPr="007B2E60">
        <w:rPr>
          <w:rFonts w:eastAsia="Times New Roman"/>
          <w:b/>
          <w:bCs/>
          <w:rtl/>
        </w:rPr>
      </w:r>
      <w:r w:rsidRPr="007B2E60">
        <w:rPr>
          <w:rFonts w:eastAsia="Times New Roman"/>
          <w:b/>
          <w:bCs/>
          <w:rtl/>
        </w:rPr>
        <w:fldChar w:fldCharType="separate"/>
      </w:r>
      <w:r w:rsidR="00D82181">
        <w:rPr>
          <w:rFonts w:eastAsia="Times New Roman"/>
          <w:b/>
          <w:bCs/>
          <w:cs/>
        </w:rPr>
        <w:t>‎</w:t>
      </w:r>
      <w:r w:rsidR="00D82181">
        <w:rPr>
          <w:rFonts w:eastAsia="Times New Roman"/>
          <w:b/>
          <w:bCs/>
          <w:rtl/>
        </w:rPr>
        <w:t>א)</w:t>
      </w:r>
      <w:r w:rsidRPr="007B2E60">
        <w:rPr>
          <w:rFonts w:eastAsia="Times New Roman"/>
          <w:b/>
          <w:bCs/>
          <w:rtl/>
        </w:rPr>
        <w:fldChar w:fldCharType="end"/>
      </w:r>
      <w:r w:rsidRPr="007B2E60">
        <w:rPr>
          <w:rFonts w:eastAsia="Times New Roman"/>
          <w:b/>
          <w:bCs/>
          <w:rtl/>
        </w:rPr>
        <w:t xml:space="preserve"> </w:t>
      </w:r>
      <w:r w:rsidRPr="007B2E60">
        <w:rPr>
          <w:rFonts w:eastAsia="Times New Roman"/>
          <w:rtl/>
        </w:rPr>
        <w:t xml:space="preserve">רש"י לעיל </w:t>
      </w:r>
      <w:r w:rsidRPr="007B2E60">
        <w:rPr>
          <w:rFonts w:eastAsia="Times New Roman"/>
          <w:sz w:val="8"/>
          <w:szCs w:val="10"/>
          <w:rtl/>
        </w:rPr>
        <w:t>(מז. ד"ה חייב</w:t>
      </w:r>
      <w:r w:rsidRPr="00D6711C">
        <w:rPr>
          <w:rFonts w:eastAsia="Times New Roman"/>
          <w:b/>
          <w:bCs/>
          <w:sz w:val="8"/>
          <w:szCs w:val="10"/>
          <w:rtl/>
        </w:rPr>
        <w:t>, עד: ד"ה ואי)</w:t>
      </w:r>
      <w:r w:rsidRPr="007B2E60">
        <w:rPr>
          <w:rFonts w:eastAsia="Times New Roman"/>
          <w:rtl/>
        </w:rPr>
        <w:t xml:space="preserve"> </w:t>
      </w:r>
      <w:r w:rsidRPr="007B2E60">
        <w:rPr>
          <w:rFonts w:eastAsia="Times New Roman" w:hint="cs"/>
          <w:rtl/>
        </w:rPr>
        <w:t xml:space="preserve">רש"י לקמן </w:t>
      </w:r>
      <w:r w:rsidRPr="007B2E60">
        <w:rPr>
          <w:rFonts w:eastAsia="Times New Roman" w:hint="cs"/>
          <w:sz w:val="8"/>
          <w:szCs w:val="10"/>
          <w:rtl/>
        </w:rPr>
        <w:t>(קכב: ד"ה גזירה)</w:t>
      </w:r>
      <w:r w:rsidRPr="007B2E60">
        <w:rPr>
          <w:rFonts w:eastAsia="Times New Roman"/>
          <w:rtl/>
        </w:rPr>
        <w:t xml:space="preserve"> </w:t>
      </w:r>
      <w:r w:rsidRPr="007B2E60">
        <w:rPr>
          <w:rFonts w:eastAsia="Times New Roman" w:hint="cs"/>
          <w:rtl/>
        </w:rPr>
        <w:t>רש"י</w:t>
      </w:r>
      <w:r w:rsidRPr="007B2E60">
        <w:rPr>
          <w:rFonts w:ascii="Guttman Hodes" w:eastAsia="Guttman Hodes" w:hAnsi="Guttman Hodes" w:cs="Guttman Hodes" w:hint="cs"/>
          <w:b/>
          <w:bCs/>
          <w:noProof/>
          <w:sz w:val="18"/>
          <w:szCs w:val="18"/>
          <w:rtl/>
        </w:rPr>
        <w:t xml:space="preserve"> </w:t>
      </w:r>
      <w:r w:rsidRPr="007B2E60">
        <w:rPr>
          <w:rFonts w:eastAsia="Times New Roman" w:hint="cs"/>
          <w:rtl/>
        </w:rPr>
        <w:t xml:space="preserve">לעיל </w:t>
      </w:r>
      <w:r w:rsidRPr="007B2E60">
        <w:rPr>
          <w:rFonts w:eastAsia="Times New Roman" w:hint="cs"/>
          <w:sz w:val="8"/>
          <w:szCs w:val="10"/>
          <w:rtl/>
        </w:rPr>
        <w:t>(מח. ד"ה חייב)</w:t>
      </w:r>
      <w:r w:rsidRPr="007B2E60">
        <w:rPr>
          <w:rFonts w:eastAsia="Times New Roman"/>
          <w:rtl/>
        </w:rPr>
        <w:t xml:space="preserve"> </w:t>
      </w:r>
      <w:r w:rsidRPr="007B2E60">
        <w:rPr>
          <w:rFonts w:eastAsia="Times New Roman" w:hint="cs"/>
          <w:rtl/>
        </w:rPr>
        <w:t xml:space="preserve">רש"י לקמן </w:t>
      </w:r>
      <w:r w:rsidRPr="007B2E60">
        <w:rPr>
          <w:rFonts w:eastAsia="Times New Roman" w:hint="cs"/>
          <w:sz w:val="8"/>
          <w:szCs w:val="10"/>
          <w:rtl/>
        </w:rPr>
        <w:t>(קכד: ד"ה לא יספות)</w:t>
      </w:r>
      <w:r w:rsidRPr="00D6711C">
        <w:rPr>
          <w:rFonts w:eastAsia="Times New Roman"/>
          <w:b/>
          <w:bCs/>
          <w:rtl/>
        </w:rPr>
        <w:t>,</w:t>
      </w:r>
      <w:r w:rsidRPr="00D6711C">
        <w:rPr>
          <w:rFonts w:eastAsia="Times New Roman" w:hint="cs"/>
          <w:b/>
          <w:bCs/>
          <w:rtl/>
        </w:rPr>
        <w:t xml:space="preserve"> </w:t>
      </w:r>
      <w:r w:rsidRPr="00D6711C">
        <w:rPr>
          <w:rFonts w:eastAsia="Times New Roman"/>
          <w:b/>
          <w:bCs/>
          <w:rtl/>
        </w:rPr>
        <w:fldChar w:fldCharType="begin"/>
      </w:r>
      <w:r w:rsidRPr="00D6711C">
        <w:rPr>
          <w:rFonts w:eastAsia="Times New Roman"/>
          <w:b/>
          <w:bCs/>
          <w:rtl/>
        </w:rPr>
        <w:instrText xml:space="preserve"> </w:instrText>
      </w:r>
      <w:r w:rsidRPr="00D6711C">
        <w:rPr>
          <w:rFonts w:eastAsia="Times New Roman" w:hint="cs"/>
          <w:b/>
          <w:bCs/>
        </w:rPr>
        <w:instrText>REF</w:instrText>
      </w:r>
      <w:r w:rsidRPr="00D6711C">
        <w:rPr>
          <w:rFonts w:eastAsia="Times New Roman" w:hint="cs"/>
          <w:b/>
          <w:bCs/>
          <w:rtl/>
        </w:rPr>
        <w:instrText xml:space="preserve"> _</w:instrText>
      </w:r>
      <w:r w:rsidRPr="00D6711C">
        <w:rPr>
          <w:rFonts w:eastAsia="Times New Roman" w:hint="cs"/>
          <w:b/>
          <w:bCs/>
        </w:rPr>
        <w:instrText>Ref143720755 \r \h</w:instrText>
      </w:r>
      <w:r w:rsidRPr="00D6711C">
        <w:rPr>
          <w:rFonts w:eastAsia="Times New Roman"/>
          <w:b/>
          <w:bCs/>
          <w:rtl/>
        </w:rPr>
        <w:instrText xml:space="preserve">  \* </w:instrText>
      </w:r>
      <w:r w:rsidRPr="00D6711C">
        <w:rPr>
          <w:rFonts w:eastAsia="Times New Roman"/>
          <w:b/>
          <w:bCs/>
        </w:rPr>
        <w:instrText>MERGEFORMAT</w:instrText>
      </w:r>
      <w:r w:rsidRPr="00D6711C">
        <w:rPr>
          <w:rFonts w:eastAsia="Times New Roman"/>
          <w:b/>
          <w:bCs/>
          <w:rtl/>
        </w:rPr>
        <w:instrText xml:space="preserve"> </w:instrText>
      </w:r>
      <w:r w:rsidRPr="00D6711C">
        <w:rPr>
          <w:rFonts w:eastAsia="Times New Roman"/>
          <w:b/>
          <w:bCs/>
          <w:rtl/>
        </w:rPr>
      </w:r>
      <w:r w:rsidRPr="00D6711C">
        <w:rPr>
          <w:rFonts w:eastAsia="Times New Roman"/>
          <w:b/>
          <w:bCs/>
          <w:rtl/>
        </w:rPr>
        <w:fldChar w:fldCharType="separate"/>
      </w:r>
      <w:r w:rsidR="00D82181">
        <w:rPr>
          <w:rFonts w:eastAsia="Times New Roman"/>
          <w:b/>
          <w:bCs/>
          <w:cs/>
        </w:rPr>
        <w:t>‎</w:t>
      </w:r>
      <w:r w:rsidR="00D82181">
        <w:rPr>
          <w:rFonts w:eastAsia="Times New Roman"/>
          <w:b/>
          <w:bCs/>
          <w:rtl/>
        </w:rPr>
        <w:t>טו)</w:t>
      </w:r>
      <w:r w:rsidRPr="00D6711C">
        <w:rPr>
          <w:rFonts w:eastAsia="Times New Roman"/>
          <w:b/>
          <w:bCs/>
          <w:rtl/>
        </w:rPr>
        <w:fldChar w:fldCharType="end"/>
      </w:r>
      <w:r w:rsidRPr="007B2E60">
        <w:rPr>
          <w:rFonts w:eastAsia="Times New Roman" w:hint="cs"/>
          <w:b/>
          <w:bCs/>
          <w:rtl/>
        </w:rPr>
        <w:t xml:space="preserve"> </w:t>
      </w:r>
      <w:r w:rsidRPr="007B2E60">
        <w:rPr>
          <w:rFonts w:eastAsia="Times New Roman" w:hint="cs"/>
          <w:rtl/>
        </w:rPr>
        <w:t xml:space="preserve">רש"י בביצה </w:t>
      </w:r>
      <w:r w:rsidRPr="007B2E60">
        <w:rPr>
          <w:rFonts w:eastAsia="Times New Roman" w:hint="cs"/>
          <w:sz w:val="8"/>
          <w:szCs w:val="10"/>
          <w:rtl/>
        </w:rPr>
        <w:t>(יא: ד"ה דאין)</w:t>
      </w:r>
      <w:r w:rsidRPr="00D6711C">
        <w:rPr>
          <w:rFonts w:eastAsia="Times New Roman"/>
          <w:b/>
          <w:bCs/>
          <w:rtl/>
        </w:rPr>
        <w:t>,</w:t>
      </w:r>
      <w:r w:rsidRPr="00D6711C">
        <w:rPr>
          <w:rFonts w:eastAsia="Times New Roman" w:hint="cs"/>
          <w:b/>
          <w:bCs/>
          <w:rtl/>
        </w:rPr>
        <w:t xml:space="preserve"> </w:t>
      </w:r>
      <w:r w:rsidRPr="00D6711C">
        <w:rPr>
          <w:rFonts w:eastAsia="Times New Roman"/>
          <w:b/>
          <w:bCs/>
          <w:rtl/>
        </w:rPr>
        <w:fldChar w:fldCharType="begin"/>
      </w:r>
      <w:r w:rsidRPr="00D6711C">
        <w:rPr>
          <w:rFonts w:eastAsia="Times New Roman"/>
          <w:b/>
          <w:bCs/>
          <w:rtl/>
        </w:rPr>
        <w:instrText xml:space="preserve"> </w:instrText>
      </w:r>
      <w:r w:rsidRPr="00D6711C">
        <w:rPr>
          <w:rFonts w:eastAsia="Times New Roman" w:hint="cs"/>
          <w:b/>
          <w:bCs/>
        </w:rPr>
        <w:instrText>REF</w:instrText>
      </w:r>
      <w:r w:rsidRPr="00D6711C">
        <w:rPr>
          <w:rFonts w:eastAsia="Times New Roman" w:hint="cs"/>
          <w:b/>
          <w:bCs/>
          <w:rtl/>
        </w:rPr>
        <w:instrText xml:space="preserve"> _</w:instrText>
      </w:r>
      <w:r w:rsidRPr="00D6711C">
        <w:rPr>
          <w:rFonts w:eastAsia="Times New Roman" w:hint="cs"/>
          <w:b/>
          <w:bCs/>
        </w:rPr>
        <w:instrText>Ref144375101 \r \h</w:instrText>
      </w:r>
      <w:r w:rsidRPr="00D6711C">
        <w:rPr>
          <w:rFonts w:eastAsia="Times New Roman"/>
          <w:b/>
          <w:bCs/>
          <w:rtl/>
        </w:rPr>
        <w:instrText xml:space="preserve">  \* </w:instrText>
      </w:r>
      <w:r w:rsidRPr="00D6711C">
        <w:rPr>
          <w:rFonts w:eastAsia="Times New Roman"/>
          <w:b/>
          <w:bCs/>
        </w:rPr>
        <w:instrText>MERGEFORMAT</w:instrText>
      </w:r>
      <w:r w:rsidRPr="00D6711C">
        <w:rPr>
          <w:rFonts w:eastAsia="Times New Roman"/>
          <w:b/>
          <w:bCs/>
          <w:rtl/>
        </w:rPr>
        <w:instrText xml:space="preserve"> </w:instrText>
      </w:r>
      <w:r w:rsidRPr="00D6711C">
        <w:rPr>
          <w:rFonts w:eastAsia="Times New Roman"/>
          <w:b/>
          <w:bCs/>
          <w:rtl/>
        </w:rPr>
      </w:r>
      <w:r w:rsidRPr="00D6711C">
        <w:rPr>
          <w:rFonts w:eastAsia="Times New Roman"/>
          <w:b/>
          <w:bCs/>
          <w:rtl/>
        </w:rPr>
        <w:fldChar w:fldCharType="separate"/>
      </w:r>
      <w:r w:rsidR="00D82181">
        <w:rPr>
          <w:rFonts w:eastAsia="Times New Roman"/>
          <w:b/>
          <w:bCs/>
          <w:cs/>
        </w:rPr>
        <w:t>‎</w:t>
      </w:r>
      <w:r w:rsidR="00D82181">
        <w:rPr>
          <w:rFonts w:eastAsia="Times New Roman"/>
          <w:b/>
          <w:bCs/>
          <w:rtl/>
        </w:rPr>
        <w:t>ג)</w:t>
      </w:r>
      <w:r w:rsidRPr="00D6711C">
        <w:rPr>
          <w:rFonts w:eastAsia="Times New Roman"/>
          <w:b/>
          <w:bCs/>
          <w:rtl/>
        </w:rPr>
        <w:fldChar w:fldCharType="end"/>
      </w:r>
      <w:r w:rsidRPr="007B2E60">
        <w:rPr>
          <w:rFonts w:eastAsia="Times New Roman" w:hint="cs"/>
          <w:b/>
          <w:bCs/>
          <w:rtl/>
        </w:rPr>
        <w:t xml:space="preserve"> </w:t>
      </w:r>
      <w:r w:rsidRPr="007B2E60">
        <w:rPr>
          <w:rFonts w:eastAsia="Times New Roman" w:hint="cs"/>
          <w:rtl/>
        </w:rPr>
        <w:t>רש"י בביצה</w:t>
      </w:r>
      <w:r w:rsidRPr="007B2E60">
        <w:rPr>
          <w:rFonts w:ascii="Guttman Hodes" w:eastAsia="Guttman Hodes" w:hAnsi="Guttman Hodes" w:cs="Guttman Hodes" w:hint="cs"/>
          <w:b/>
          <w:bCs/>
          <w:noProof/>
          <w:sz w:val="18"/>
          <w:szCs w:val="18"/>
          <w:rtl/>
        </w:rPr>
        <w:t xml:space="preserve"> </w:t>
      </w:r>
      <w:r w:rsidRPr="007B2E60">
        <w:rPr>
          <w:rFonts w:eastAsia="Times New Roman" w:hint="cs"/>
          <w:sz w:val="8"/>
          <w:szCs w:val="10"/>
          <w:rtl/>
        </w:rPr>
        <w:t>(כב. ד"ה יש תורת)</w:t>
      </w:r>
      <w:r w:rsidRPr="007B2E60">
        <w:rPr>
          <w:rFonts w:eastAsia="Times New Roman"/>
          <w:rtl/>
        </w:rPr>
        <w:t xml:space="preserve"> </w:t>
      </w:r>
      <w:r w:rsidRPr="007B2E60">
        <w:rPr>
          <w:rFonts w:eastAsia="Times New Roman" w:hint="cs"/>
          <w:rtl/>
        </w:rPr>
        <w:t>רש"י</w:t>
      </w:r>
      <w:r w:rsidRPr="007B2E60">
        <w:rPr>
          <w:rFonts w:ascii="Guttman Hodes" w:eastAsia="Guttman Hodes" w:hAnsi="Guttman Hodes" w:cs="Guttman Hodes" w:hint="cs"/>
          <w:b/>
          <w:bCs/>
          <w:noProof/>
          <w:sz w:val="18"/>
          <w:szCs w:val="18"/>
          <w:rtl/>
        </w:rPr>
        <w:t xml:space="preserve"> </w:t>
      </w:r>
      <w:r w:rsidRPr="007B2E60">
        <w:rPr>
          <w:rFonts w:eastAsia="Times New Roman" w:hint="cs"/>
          <w:rtl/>
        </w:rPr>
        <w:t xml:space="preserve">בביצה </w:t>
      </w:r>
      <w:r w:rsidRPr="007B2E60">
        <w:rPr>
          <w:rFonts w:eastAsia="Times New Roman" w:hint="cs"/>
          <w:sz w:val="8"/>
          <w:szCs w:val="10"/>
          <w:rtl/>
        </w:rPr>
        <w:t>(כב. ד"ה אין תורת)</w:t>
      </w:r>
      <w:r w:rsidRPr="00D6711C">
        <w:rPr>
          <w:rFonts w:eastAsia="Times New Roman"/>
          <w:b/>
          <w:bCs/>
          <w:rtl/>
        </w:rPr>
        <w:t xml:space="preserve">, </w:t>
      </w:r>
      <w:r w:rsidRPr="00D6711C">
        <w:rPr>
          <w:rFonts w:eastAsia="Times New Roman"/>
          <w:b/>
          <w:bCs/>
          <w:rtl/>
        </w:rPr>
        <w:fldChar w:fldCharType="begin"/>
      </w:r>
      <w:r w:rsidRPr="00D6711C">
        <w:rPr>
          <w:rFonts w:eastAsia="Times New Roman"/>
          <w:b/>
          <w:bCs/>
          <w:rtl/>
        </w:rPr>
        <w:instrText xml:space="preserve"> </w:instrText>
      </w:r>
      <w:r w:rsidRPr="00D6711C">
        <w:rPr>
          <w:rFonts w:eastAsia="Times New Roman"/>
          <w:b/>
          <w:bCs/>
        </w:rPr>
        <w:instrText>REF</w:instrText>
      </w:r>
      <w:r w:rsidRPr="00D6711C">
        <w:rPr>
          <w:rFonts w:eastAsia="Times New Roman"/>
          <w:b/>
          <w:bCs/>
          <w:rtl/>
        </w:rPr>
        <w:instrText xml:space="preserve"> _</w:instrText>
      </w:r>
      <w:r w:rsidRPr="00D6711C">
        <w:rPr>
          <w:rFonts w:eastAsia="Times New Roman"/>
          <w:b/>
          <w:bCs/>
        </w:rPr>
        <w:instrText>Ref144585342 \r \h</w:instrText>
      </w:r>
      <w:r w:rsidRPr="00D6711C">
        <w:rPr>
          <w:rFonts w:eastAsia="Times New Roman"/>
          <w:b/>
          <w:bCs/>
          <w:rtl/>
        </w:rPr>
        <w:instrText xml:space="preserve">  \* </w:instrText>
      </w:r>
      <w:r w:rsidRPr="00D6711C">
        <w:rPr>
          <w:rFonts w:eastAsia="Times New Roman"/>
          <w:b/>
          <w:bCs/>
        </w:rPr>
        <w:instrText>MERGEFORMAT</w:instrText>
      </w:r>
      <w:r w:rsidRPr="00D6711C">
        <w:rPr>
          <w:rFonts w:eastAsia="Times New Roman"/>
          <w:b/>
          <w:bCs/>
          <w:rtl/>
        </w:rPr>
        <w:instrText xml:space="preserve"> </w:instrText>
      </w:r>
      <w:r w:rsidRPr="00D6711C">
        <w:rPr>
          <w:rFonts w:eastAsia="Times New Roman"/>
          <w:b/>
          <w:bCs/>
          <w:rtl/>
        </w:rPr>
      </w:r>
      <w:r w:rsidRPr="00D6711C">
        <w:rPr>
          <w:rFonts w:eastAsia="Times New Roman"/>
          <w:b/>
          <w:bCs/>
          <w:rtl/>
        </w:rPr>
        <w:fldChar w:fldCharType="separate"/>
      </w:r>
      <w:r w:rsidR="00D82181">
        <w:rPr>
          <w:rFonts w:eastAsia="Times New Roman"/>
          <w:b/>
          <w:bCs/>
          <w:cs/>
        </w:rPr>
        <w:t>‎</w:t>
      </w:r>
      <w:r w:rsidR="00D82181">
        <w:rPr>
          <w:rFonts w:eastAsia="Times New Roman"/>
          <w:b/>
          <w:bCs/>
          <w:rtl/>
        </w:rPr>
        <w:t>ד)</w:t>
      </w:r>
      <w:r w:rsidRPr="00D6711C">
        <w:rPr>
          <w:rFonts w:eastAsia="Times New Roman"/>
          <w:b/>
          <w:bCs/>
          <w:rtl/>
        </w:rPr>
        <w:fldChar w:fldCharType="end"/>
      </w:r>
      <w:r w:rsidRPr="007B2E60">
        <w:rPr>
          <w:rFonts w:eastAsia="Times New Roman"/>
          <w:b/>
          <w:bCs/>
          <w:rtl/>
        </w:rPr>
        <w:t xml:space="preserve"> </w:t>
      </w:r>
      <w:r w:rsidRPr="007B2E60">
        <w:rPr>
          <w:rFonts w:eastAsia="Times New Roman" w:hint="cs"/>
          <w:rtl/>
        </w:rPr>
        <w:t>גר"א</w:t>
      </w:r>
      <w:r w:rsidRPr="007B2E60">
        <w:rPr>
          <w:rFonts w:eastAsia="Times New Roman"/>
          <w:rtl/>
        </w:rPr>
        <w:t xml:space="preserve"> </w:t>
      </w:r>
      <w:r w:rsidRPr="007B2E60">
        <w:rPr>
          <w:rFonts w:eastAsia="Times New Roman"/>
          <w:sz w:val="8"/>
          <w:szCs w:val="10"/>
          <w:rtl/>
        </w:rPr>
        <w:t>(</w:t>
      </w:r>
      <w:r w:rsidRPr="007B2E60">
        <w:rPr>
          <w:rFonts w:eastAsia="Times New Roman" w:hint="cs"/>
          <w:sz w:val="8"/>
          <w:szCs w:val="10"/>
          <w:rtl/>
        </w:rPr>
        <w:t>סי' שי"ד סק"ד</w:t>
      </w:r>
      <w:r w:rsidRPr="007B2E60">
        <w:rPr>
          <w:rFonts w:eastAsia="Times New Roman"/>
          <w:sz w:val="8"/>
          <w:szCs w:val="10"/>
          <w:rtl/>
        </w:rPr>
        <w:t>)</w:t>
      </w:r>
      <w:r w:rsidRPr="00D6711C">
        <w:rPr>
          <w:rFonts w:eastAsia="Times New Roman"/>
          <w:b/>
          <w:bCs/>
          <w:rtl/>
        </w:rPr>
        <w:t>,</w:t>
      </w:r>
      <w:r w:rsidRPr="00D6711C">
        <w:rPr>
          <w:rFonts w:eastAsia="Times New Roman" w:hint="cs"/>
          <w:b/>
          <w:bCs/>
          <w:rtl/>
        </w:rPr>
        <w:t xml:space="preserve"> </w:t>
      </w:r>
      <w:r w:rsidRPr="00D6711C">
        <w:rPr>
          <w:rFonts w:eastAsia="Times New Roman"/>
          <w:b/>
          <w:bCs/>
          <w:rtl/>
        </w:rPr>
        <w:fldChar w:fldCharType="begin"/>
      </w:r>
      <w:r w:rsidRPr="00D6711C">
        <w:rPr>
          <w:rFonts w:eastAsia="Times New Roman"/>
          <w:b/>
          <w:bCs/>
          <w:rtl/>
        </w:rPr>
        <w:instrText xml:space="preserve"> </w:instrText>
      </w:r>
      <w:r w:rsidRPr="00D6711C">
        <w:rPr>
          <w:rFonts w:eastAsia="Times New Roman" w:hint="cs"/>
          <w:b/>
          <w:bCs/>
        </w:rPr>
        <w:instrText>REF</w:instrText>
      </w:r>
      <w:r w:rsidRPr="00D6711C">
        <w:rPr>
          <w:rFonts w:eastAsia="Times New Roman" w:hint="cs"/>
          <w:b/>
          <w:bCs/>
          <w:rtl/>
        </w:rPr>
        <w:instrText xml:space="preserve"> _</w:instrText>
      </w:r>
      <w:r w:rsidRPr="00D6711C">
        <w:rPr>
          <w:rFonts w:eastAsia="Times New Roman" w:hint="cs"/>
          <w:b/>
          <w:bCs/>
        </w:rPr>
        <w:instrText>Ref144375113 \r \h</w:instrText>
      </w:r>
      <w:r w:rsidRPr="00D6711C">
        <w:rPr>
          <w:rFonts w:eastAsia="Times New Roman"/>
          <w:b/>
          <w:bCs/>
          <w:rtl/>
        </w:rPr>
        <w:instrText xml:space="preserve">  \* </w:instrText>
      </w:r>
      <w:r w:rsidRPr="00D6711C">
        <w:rPr>
          <w:rFonts w:eastAsia="Times New Roman"/>
          <w:b/>
          <w:bCs/>
        </w:rPr>
        <w:instrText>MERGEFORMAT</w:instrText>
      </w:r>
      <w:r w:rsidRPr="00D6711C">
        <w:rPr>
          <w:rFonts w:eastAsia="Times New Roman"/>
          <w:b/>
          <w:bCs/>
          <w:rtl/>
        </w:rPr>
        <w:instrText xml:space="preserve"> </w:instrText>
      </w:r>
      <w:r w:rsidRPr="00D6711C">
        <w:rPr>
          <w:rFonts w:eastAsia="Times New Roman"/>
          <w:b/>
          <w:bCs/>
          <w:rtl/>
        </w:rPr>
      </w:r>
      <w:r w:rsidRPr="00D6711C">
        <w:rPr>
          <w:rFonts w:eastAsia="Times New Roman"/>
          <w:b/>
          <w:bCs/>
          <w:rtl/>
        </w:rPr>
        <w:fldChar w:fldCharType="separate"/>
      </w:r>
      <w:r w:rsidR="00D82181">
        <w:rPr>
          <w:rFonts w:eastAsia="Times New Roman"/>
          <w:b/>
          <w:bCs/>
          <w:cs/>
        </w:rPr>
        <w:t>‎</w:t>
      </w:r>
      <w:r w:rsidR="00D82181">
        <w:rPr>
          <w:rFonts w:eastAsia="Times New Roman"/>
          <w:b/>
          <w:bCs/>
          <w:rtl/>
        </w:rPr>
        <w:t>ה)</w:t>
      </w:r>
      <w:r w:rsidRPr="00D6711C">
        <w:rPr>
          <w:rFonts w:eastAsia="Times New Roman"/>
          <w:b/>
          <w:bCs/>
          <w:rtl/>
        </w:rPr>
        <w:fldChar w:fldCharType="end"/>
      </w:r>
      <w:r w:rsidRPr="007B2E60">
        <w:rPr>
          <w:rFonts w:eastAsia="Times New Roman" w:hint="cs"/>
          <w:b/>
          <w:bCs/>
          <w:rtl/>
        </w:rPr>
        <w:t xml:space="preserve"> </w:t>
      </w:r>
      <w:r w:rsidRPr="007B2E60">
        <w:rPr>
          <w:rFonts w:eastAsia="Times New Roman" w:hint="cs"/>
          <w:rtl/>
        </w:rPr>
        <w:t>רש"י</w:t>
      </w:r>
      <w:r w:rsidRPr="007B2E60">
        <w:rPr>
          <w:rFonts w:ascii="Guttman Hodes" w:eastAsia="Guttman Hodes" w:hAnsi="Guttman Hodes" w:cs="Guttman Hodes" w:hint="cs"/>
          <w:b/>
          <w:bCs/>
          <w:noProof/>
          <w:sz w:val="18"/>
          <w:szCs w:val="18"/>
          <w:rtl/>
        </w:rPr>
        <w:t xml:space="preserve"> </w:t>
      </w:r>
      <w:r w:rsidRPr="007B2E60">
        <w:rPr>
          <w:rFonts w:eastAsia="Times New Roman" w:hint="cs"/>
          <w:rtl/>
        </w:rPr>
        <w:t xml:space="preserve">לקמן </w:t>
      </w:r>
      <w:r w:rsidRPr="007B2E60">
        <w:rPr>
          <w:rFonts w:eastAsia="Times New Roman" w:hint="cs"/>
          <w:sz w:val="8"/>
          <w:szCs w:val="10"/>
          <w:rtl/>
        </w:rPr>
        <w:t>(קלח: ד"ה שמא יתקע)</w:t>
      </w:r>
      <w:r w:rsidRPr="007B2E60">
        <w:rPr>
          <w:rFonts w:eastAsia="Times New Roman"/>
          <w:rtl/>
        </w:rPr>
        <w:t xml:space="preserve"> </w:t>
      </w:r>
      <w:r w:rsidRPr="007B2E60">
        <w:rPr>
          <w:rFonts w:eastAsia="Times New Roman" w:hint="cs"/>
          <w:rtl/>
        </w:rPr>
        <w:t xml:space="preserve">רש"י בעירובין </w:t>
      </w:r>
      <w:r w:rsidRPr="007B2E60">
        <w:rPr>
          <w:rFonts w:eastAsia="Times New Roman" w:hint="cs"/>
          <w:sz w:val="8"/>
          <w:szCs w:val="10"/>
          <w:rtl/>
        </w:rPr>
        <w:t>(קב: ד"ה והעליון)</w:t>
      </w:r>
      <w:r w:rsidRPr="00D6711C">
        <w:rPr>
          <w:rFonts w:eastAsia="Times New Roman"/>
          <w:b/>
          <w:bCs/>
          <w:rtl/>
        </w:rPr>
        <w:t xml:space="preserve">, </w:t>
      </w:r>
      <w:r w:rsidRPr="00D6711C">
        <w:rPr>
          <w:rFonts w:eastAsia="Times New Roman"/>
          <w:b/>
          <w:bCs/>
          <w:rtl/>
        </w:rPr>
        <w:fldChar w:fldCharType="begin"/>
      </w:r>
      <w:r w:rsidRPr="00D6711C">
        <w:rPr>
          <w:rFonts w:eastAsia="Times New Roman"/>
          <w:b/>
          <w:bCs/>
          <w:rtl/>
        </w:rPr>
        <w:instrText xml:space="preserve"> </w:instrText>
      </w:r>
      <w:r w:rsidRPr="00D6711C">
        <w:rPr>
          <w:rFonts w:eastAsia="Times New Roman"/>
          <w:b/>
          <w:bCs/>
        </w:rPr>
        <w:instrText>REF</w:instrText>
      </w:r>
      <w:r w:rsidRPr="00D6711C">
        <w:rPr>
          <w:rFonts w:eastAsia="Times New Roman"/>
          <w:b/>
          <w:bCs/>
          <w:rtl/>
        </w:rPr>
        <w:instrText xml:space="preserve"> _</w:instrText>
      </w:r>
      <w:r w:rsidRPr="00D6711C">
        <w:rPr>
          <w:rFonts w:eastAsia="Times New Roman"/>
          <w:b/>
          <w:bCs/>
        </w:rPr>
        <w:instrText>Ref144632222 \r \h</w:instrText>
      </w:r>
      <w:r w:rsidRPr="00D6711C">
        <w:rPr>
          <w:rFonts w:eastAsia="Times New Roman"/>
          <w:b/>
          <w:bCs/>
          <w:rtl/>
        </w:rPr>
        <w:instrText xml:space="preserve">  \* </w:instrText>
      </w:r>
      <w:r w:rsidRPr="00D6711C">
        <w:rPr>
          <w:rFonts w:eastAsia="Times New Roman"/>
          <w:b/>
          <w:bCs/>
        </w:rPr>
        <w:instrText>MERGEFORMAT</w:instrText>
      </w:r>
      <w:r w:rsidRPr="00D6711C">
        <w:rPr>
          <w:rFonts w:eastAsia="Times New Roman"/>
          <w:b/>
          <w:bCs/>
          <w:rtl/>
        </w:rPr>
        <w:instrText xml:space="preserve"> </w:instrText>
      </w:r>
      <w:r w:rsidRPr="00D6711C">
        <w:rPr>
          <w:rFonts w:eastAsia="Times New Roman"/>
          <w:b/>
          <w:bCs/>
          <w:rtl/>
        </w:rPr>
      </w:r>
      <w:r w:rsidRPr="00D6711C">
        <w:rPr>
          <w:rFonts w:eastAsia="Times New Roman"/>
          <w:b/>
          <w:bCs/>
          <w:rtl/>
        </w:rPr>
        <w:fldChar w:fldCharType="separate"/>
      </w:r>
      <w:r w:rsidR="00D82181">
        <w:rPr>
          <w:rFonts w:eastAsia="Times New Roman"/>
          <w:b/>
          <w:bCs/>
          <w:cs/>
        </w:rPr>
        <w:t>‎</w:t>
      </w:r>
      <w:r w:rsidR="00D82181">
        <w:rPr>
          <w:rFonts w:eastAsia="Times New Roman"/>
          <w:b/>
          <w:bCs/>
          <w:rtl/>
        </w:rPr>
        <w:t>ו)</w:t>
      </w:r>
      <w:r w:rsidRPr="00D6711C">
        <w:rPr>
          <w:rFonts w:eastAsia="Times New Roman"/>
          <w:b/>
          <w:bCs/>
          <w:rtl/>
        </w:rPr>
        <w:fldChar w:fldCharType="end"/>
      </w:r>
      <w:r w:rsidRPr="007B2E60">
        <w:rPr>
          <w:rFonts w:eastAsia="Times New Roman"/>
          <w:b/>
          <w:bCs/>
          <w:rtl/>
        </w:rPr>
        <w:t xml:space="preserve"> </w:t>
      </w:r>
      <w:r w:rsidRPr="007B2E60">
        <w:rPr>
          <w:rFonts w:eastAsia="Times New Roman" w:hint="cs"/>
          <w:rtl/>
        </w:rPr>
        <w:t>טל אורות הספרדי</w:t>
      </w:r>
      <w:r w:rsidRPr="007B2E60">
        <w:rPr>
          <w:rFonts w:eastAsia="Times New Roman"/>
          <w:rtl/>
        </w:rPr>
        <w:t xml:space="preserve"> </w:t>
      </w:r>
      <w:r w:rsidRPr="007B2E60">
        <w:rPr>
          <w:rFonts w:eastAsia="Times New Roman"/>
          <w:sz w:val="8"/>
          <w:szCs w:val="10"/>
          <w:rtl/>
        </w:rPr>
        <w:t>(</w:t>
      </w:r>
      <w:r w:rsidRPr="007B2E60">
        <w:rPr>
          <w:rFonts w:eastAsia="Times New Roman" w:hint="cs"/>
          <w:sz w:val="8"/>
          <w:szCs w:val="10"/>
          <w:rtl/>
        </w:rPr>
        <w:t>מלאכת בונה ד"ה אך מדברי</w:t>
      </w:r>
      <w:r w:rsidRPr="007B2E60">
        <w:rPr>
          <w:rFonts w:eastAsia="Times New Roman"/>
          <w:sz w:val="8"/>
          <w:szCs w:val="10"/>
          <w:rtl/>
        </w:rPr>
        <w:t>)</w:t>
      </w:r>
      <w:r w:rsidRPr="00D6711C">
        <w:rPr>
          <w:rFonts w:eastAsia="Times New Roman"/>
          <w:b/>
          <w:bCs/>
          <w:rtl/>
        </w:rPr>
        <w:t>,</w:t>
      </w:r>
      <w:r w:rsidRPr="00D6711C">
        <w:rPr>
          <w:rFonts w:eastAsia="Times New Roman" w:hint="cs"/>
          <w:b/>
          <w:bCs/>
          <w:rtl/>
        </w:rPr>
        <w:t xml:space="preserve"> </w:t>
      </w:r>
      <w:r w:rsidRPr="00D6711C">
        <w:rPr>
          <w:rFonts w:eastAsia="Times New Roman"/>
          <w:b/>
          <w:bCs/>
          <w:rtl/>
        </w:rPr>
        <w:fldChar w:fldCharType="begin"/>
      </w:r>
      <w:r w:rsidRPr="00D6711C">
        <w:rPr>
          <w:rFonts w:eastAsia="Times New Roman"/>
          <w:b/>
          <w:bCs/>
          <w:rtl/>
        </w:rPr>
        <w:instrText xml:space="preserve"> </w:instrText>
      </w:r>
      <w:r w:rsidRPr="00D6711C">
        <w:rPr>
          <w:rFonts w:eastAsia="Times New Roman" w:hint="cs"/>
          <w:b/>
          <w:bCs/>
        </w:rPr>
        <w:instrText>REF</w:instrText>
      </w:r>
      <w:r w:rsidRPr="00D6711C">
        <w:rPr>
          <w:rFonts w:eastAsia="Times New Roman" w:hint="cs"/>
          <w:b/>
          <w:bCs/>
          <w:rtl/>
        </w:rPr>
        <w:instrText xml:space="preserve"> _</w:instrText>
      </w:r>
      <w:r w:rsidRPr="00D6711C">
        <w:rPr>
          <w:rFonts w:eastAsia="Times New Roman" w:hint="cs"/>
          <w:b/>
          <w:bCs/>
        </w:rPr>
        <w:instrText>Ref143857616 \r \h</w:instrText>
      </w:r>
      <w:r w:rsidRPr="00D6711C">
        <w:rPr>
          <w:rFonts w:eastAsia="Times New Roman"/>
          <w:b/>
          <w:bCs/>
          <w:rtl/>
        </w:rPr>
        <w:instrText xml:space="preserve">  \* </w:instrText>
      </w:r>
      <w:r w:rsidRPr="00D6711C">
        <w:rPr>
          <w:rFonts w:eastAsia="Times New Roman"/>
          <w:b/>
          <w:bCs/>
        </w:rPr>
        <w:instrText>MERGEFORMAT</w:instrText>
      </w:r>
      <w:r w:rsidRPr="00D6711C">
        <w:rPr>
          <w:rFonts w:eastAsia="Times New Roman"/>
          <w:b/>
          <w:bCs/>
          <w:rtl/>
        </w:rPr>
        <w:instrText xml:space="preserve"> </w:instrText>
      </w:r>
      <w:r w:rsidRPr="00D6711C">
        <w:rPr>
          <w:rFonts w:eastAsia="Times New Roman"/>
          <w:b/>
          <w:bCs/>
          <w:rtl/>
        </w:rPr>
      </w:r>
      <w:r w:rsidRPr="00D6711C">
        <w:rPr>
          <w:rFonts w:eastAsia="Times New Roman"/>
          <w:b/>
          <w:bCs/>
          <w:rtl/>
        </w:rPr>
        <w:fldChar w:fldCharType="separate"/>
      </w:r>
      <w:r w:rsidR="00D82181">
        <w:rPr>
          <w:rFonts w:eastAsia="Times New Roman"/>
          <w:b/>
          <w:bCs/>
          <w:cs/>
        </w:rPr>
        <w:t>‎</w:t>
      </w:r>
      <w:r w:rsidR="00D82181">
        <w:rPr>
          <w:rFonts w:eastAsia="Times New Roman"/>
          <w:b/>
          <w:bCs/>
          <w:rtl/>
        </w:rPr>
        <w:t>מח)</w:t>
      </w:r>
      <w:r w:rsidRPr="00D6711C">
        <w:rPr>
          <w:rFonts w:eastAsia="Times New Roman"/>
          <w:b/>
          <w:bCs/>
          <w:rtl/>
        </w:rPr>
        <w:fldChar w:fldCharType="end"/>
      </w:r>
      <w:r w:rsidRPr="007B2E60">
        <w:rPr>
          <w:rFonts w:eastAsia="Times New Roman" w:hint="cs"/>
          <w:b/>
          <w:bCs/>
          <w:rtl/>
        </w:rPr>
        <w:t xml:space="preserve"> </w:t>
      </w:r>
      <w:r w:rsidRPr="007B2E60">
        <w:rPr>
          <w:rFonts w:eastAsia="Times New Roman"/>
          <w:rtl/>
        </w:rPr>
        <w:t>יראים</w:t>
      </w:r>
      <w:r w:rsidRPr="007B2E60">
        <w:rPr>
          <w:rFonts w:eastAsia="Times New Roman" w:hint="cs"/>
          <w:rtl/>
        </w:rPr>
        <w:t xml:space="preserve"> </w:t>
      </w:r>
      <w:r w:rsidRPr="007B2E60">
        <w:rPr>
          <w:rFonts w:eastAsia="Times New Roman" w:hint="cs"/>
          <w:sz w:val="8"/>
          <w:szCs w:val="10"/>
          <w:rtl/>
        </w:rPr>
        <w:t>(סי' רע"ד ד"ה ה</w:t>
      </w:r>
      <w:r w:rsidRPr="00D6711C">
        <w:rPr>
          <w:rStyle w:val="afffffffff3"/>
          <w:rFonts w:hint="cs"/>
          <w:rtl/>
        </w:rPr>
        <w:t>בונה, נד' בקובץ שיטות קמאי שבת ח"ב עמ' אלף נ"ז)</w:t>
      </w:r>
      <w:r w:rsidRPr="00D6711C">
        <w:rPr>
          <w:rStyle w:val="afffffffff3"/>
          <w:rtl/>
        </w:rPr>
        <w:t xml:space="preserve"> </w:t>
      </w:r>
      <w:r w:rsidRPr="007B2E60">
        <w:rPr>
          <w:rFonts w:eastAsia="Times New Roman" w:hint="cs"/>
          <w:rtl/>
        </w:rPr>
        <w:t>הג' מיימוניות</w:t>
      </w:r>
      <w:r w:rsidRPr="007B2E60">
        <w:rPr>
          <w:rFonts w:eastAsia="Times New Roman"/>
          <w:rtl/>
        </w:rPr>
        <w:t xml:space="preserve"> </w:t>
      </w:r>
      <w:r w:rsidRPr="007B2E60">
        <w:rPr>
          <w:rFonts w:eastAsia="Times New Roman"/>
          <w:sz w:val="8"/>
          <w:szCs w:val="10"/>
          <w:rtl/>
        </w:rPr>
        <w:t>(</w:t>
      </w:r>
      <w:r w:rsidRPr="007B2E60">
        <w:rPr>
          <w:rFonts w:eastAsia="Times New Roman" w:hint="cs"/>
          <w:sz w:val="8"/>
          <w:szCs w:val="10"/>
          <w:rtl/>
        </w:rPr>
        <w:t>שבת פכ"ג אות א'</w:t>
      </w:r>
      <w:r w:rsidRPr="007B2E60">
        <w:rPr>
          <w:rFonts w:eastAsia="Times New Roman"/>
          <w:sz w:val="8"/>
          <w:szCs w:val="10"/>
          <w:rtl/>
        </w:rPr>
        <w:t>)</w:t>
      </w:r>
      <w:r w:rsidRPr="00D6711C">
        <w:rPr>
          <w:rFonts w:eastAsia="Times New Roman"/>
          <w:b/>
          <w:bCs/>
          <w:rtl/>
        </w:rPr>
        <w:t>,</w:t>
      </w:r>
      <w:r w:rsidRPr="00D6711C">
        <w:rPr>
          <w:rFonts w:eastAsia="Times New Roman" w:hint="cs"/>
          <w:b/>
          <w:bCs/>
          <w:rtl/>
        </w:rPr>
        <w:t xml:space="preserve"> </w:t>
      </w:r>
      <w:r w:rsidRPr="00D6711C">
        <w:rPr>
          <w:rFonts w:eastAsia="Times New Roman"/>
          <w:b/>
          <w:bCs/>
          <w:rtl/>
        </w:rPr>
        <w:fldChar w:fldCharType="begin"/>
      </w:r>
      <w:r w:rsidRPr="00D6711C">
        <w:rPr>
          <w:rFonts w:eastAsia="Times New Roman"/>
          <w:b/>
          <w:bCs/>
          <w:rtl/>
        </w:rPr>
        <w:instrText xml:space="preserve"> </w:instrText>
      </w:r>
      <w:r w:rsidRPr="00D6711C">
        <w:rPr>
          <w:rFonts w:eastAsia="Times New Roman" w:hint="cs"/>
          <w:b/>
          <w:bCs/>
        </w:rPr>
        <w:instrText>REF</w:instrText>
      </w:r>
      <w:r w:rsidRPr="00D6711C">
        <w:rPr>
          <w:rFonts w:eastAsia="Times New Roman" w:hint="cs"/>
          <w:b/>
          <w:bCs/>
          <w:rtl/>
        </w:rPr>
        <w:instrText xml:space="preserve"> _</w:instrText>
      </w:r>
      <w:r w:rsidRPr="00D6711C">
        <w:rPr>
          <w:rFonts w:eastAsia="Times New Roman" w:hint="cs"/>
          <w:b/>
          <w:bCs/>
        </w:rPr>
        <w:instrText>Ref144452869 \r \h</w:instrText>
      </w:r>
      <w:r w:rsidRPr="00D6711C">
        <w:rPr>
          <w:rFonts w:eastAsia="Times New Roman"/>
          <w:b/>
          <w:bCs/>
          <w:rtl/>
        </w:rPr>
        <w:instrText xml:space="preserve">  \* </w:instrText>
      </w:r>
      <w:r w:rsidRPr="00D6711C">
        <w:rPr>
          <w:rFonts w:eastAsia="Times New Roman"/>
          <w:b/>
          <w:bCs/>
        </w:rPr>
        <w:instrText>MERGEFORMAT</w:instrText>
      </w:r>
      <w:r w:rsidRPr="00D6711C">
        <w:rPr>
          <w:rFonts w:eastAsia="Times New Roman"/>
          <w:b/>
          <w:bCs/>
          <w:rtl/>
        </w:rPr>
        <w:instrText xml:space="preserve"> </w:instrText>
      </w:r>
      <w:r w:rsidRPr="00D6711C">
        <w:rPr>
          <w:rFonts w:eastAsia="Times New Roman"/>
          <w:b/>
          <w:bCs/>
          <w:rtl/>
        </w:rPr>
      </w:r>
      <w:r w:rsidRPr="00D6711C">
        <w:rPr>
          <w:rFonts w:eastAsia="Times New Roman"/>
          <w:b/>
          <w:bCs/>
          <w:rtl/>
        </w:rPr>
        <w:fldChar w:fldCharType="separate"/>
      </w:r>
      <w:r w:rsidR="00D82181">
        <w:rPr>
          <w:rFonts w:eastAsia="Times New Roman"/>
          <w:b/>
          <w:bCs/>
          <w:cs/>
        </w:rPr>
        <w:t>‎</w:t>
      </w:r>
      <w:r w:rsidR="00D82181">
        <w:rPr>
          <w:rFonts w:eastAsia="Times New Roman"/>
          <w:b/>
          <w:bCs/>
          <w:rtl/>
        </w:rPr>
        <w:t>ט)</w:t>
      </w:r>
      <w:r w:rsidRPr="00D6711C">
        <w:rPr>
          <w:rFonts w:eastAsia="Times New Roman"/>
          <w:b/>
          <w:bCs/>
          <w:rtl/>
        </w:rPr>
        <w:fldChar w:fldCharType="end"/>
      </w:r>
      <w:r w:rsidRPr="007B2E60">
        <w:rPr>
          <w:rFonts w:eastAsia="Times New Roman" w:hint="cs"/>
          <w:b/>
          <w:bCs/>
          <w:rtl/>
        </w:rPr>
        <w:t xml:space="preserve"> </w:t>
      </w:r>
      <w:r w:rsidRPr="007B2E60">
        <w:rPr>
          <w:rFonts w:eastAsia="Times New Roman"/>
          <w:rtl/>
        </w:rPr>
        <w:t>הג' מרדכי</w:t>
      </w:r>
      <w:r w:rsidRPr="007B2E60">
        <w:rPr>
          <w:rFonts w:eastAsia="Times New Roman" w:hint="cs"/>
          <w:rtl/>
        </w:rPr>
        <w:t xml:space="preserve"> </w:t>
      </w:r>
      <w:r w:rsidRPr="007B2E60">
        <w:rPr>
          <w:rFonts w:eastAsia="Times New Roman" w:hint="cs"/>
          <w:sz w:val="8"/>
          <w:szCs w:val="10"/>
          <w:rtl/>
        </w:rPr>
        <w:t>(רמז תס"א)</w:t>
      </w:r>
      <w:r w:rsidRPr="007B2E60">
        <w:rPr>
          <w:rFonts w:eastAsia="Times New Roman" w:hint="cs"/>
          <w:rtl/>
        </w:rPr>
        <w:t xml:space="preserve"> בשם היראים</w:t>
      </w:r>
      <w:r w:rsidRPr="007B2E60">
        <w:rPr>
          <w:rFonts w:eastAsia="Times New Roman"/>
          <w:rtl/>
        </w:rPr>
        <w:t xml:space="preserve"> </w:t>
      </w:r>
      <w:r w:rsidRPr="007B2E60">
        <w:rPr>
          <w:rFonts w:eastAsia="Times New Roman" w:hint="cs"/>
          <w:rtl/>
        </w:rPr>
        <w:t>הג' מימוניות</w:t>
      </w:r>
      <w:r w:rsidRPr="007B2E60">
        <w:rPr>
          <w:rFonts w:eastAsia="Times New Roman"/>
          <w:rtl/>
        </w:rPr>
        <w:t xml:space="preserve"> </w:t>
      </w:r>
      <w:r w:rsidRPr="007B2E60">
        <w:rPr>
          <w:rFonts w:eastAsia="Times New Roman"/>
          <w:sz w:val="8"/>
          <w:szCs w:val="10"/>
          <w:rtl/>
        </w:rPr>
        <w:t>(</w:t>
      </w:r>
      <w:r w:rsidRPr="007B2E60">
        <w:rPr>
          <w:rFonts w:eastAsia="Times New Roman" w:hint="cs"/>
          <w:sz w:val="8"/>
          <w:szCs w:val="10"/>
          <w:rtl/>
        </w:rPr>
        <w:t>שבת פ"י הי"ג</w:t>
      </w:r>
      <w:r w:rsidRPr="007B2E60">
        <w:rPr>
          <w:rFonts w:eastAsia="Times New Roman"/>
          <w:sz w:val="8"/>
          <w:szCs w:val="10"/>
          <w:rtl/>
        </w:rPr>
        <w:t>)</w:t>
      </w:r>
      <w:r w:rsidRPr="007B2E60">
        <w:rPr>
          <w:rFonts w:eastAsia="Times New Roman"/>
          <w:rtl/>
        </w:rPr>
        <w:t xml:space="preserve"> </w:t>
      </w:r>
      <w:r w:rsidRPr="007B2E60">
        <w:rPr>
          <w:rFonts w:eastAsia="Times New Roman" w:hint="cs"/>
          <w:rtl/>
        </w:rPr>
        <w:t>טל</w:t>
      </w:r>
      <w:r w:rsidRPr="007B2E60">
        <w:rPr>
          <w:rFonts w:ascii="Guttman Hodes" w:eastAsia="Guttman Hodes" w:hAnsi="Guttman Hodes" w:cs="Guttman Hodes" w:hint="cs"/>
          <w:b/>
          <w:bCs/>
          <w:noProof/>
          <w:rtl/>
        </w:rPr>
        <w:t xml:space="preserve"> </w:t>
      </w:r>
      <w:r w:rsidRPr="007B2E60">
        <w:rPr>
          <w:rFonts w:eastAsia="Times New Roman" w:hint="cs"/>
          <w:rtl/>
        </w:rPr>
        <w:t>אורות</w:t>
      </w:r>
      <w:r w:rsidRPr="007B2E60">
        <w:rPr>
          <w:rFonts w:ascii="Guttman Hodes" w:eastAsia="Guttman Hodes" w:hAnsi="Guttman Hodes" w:cs="Guttman Hodes" w:hint="cs"/>
          <w:b/>
          <w:bCs/>
          <w:noProof/>
          <w:rtl/>
        </w:rPr>
        <w:t xml:space="preserve"> </w:t>
      </w:r>
      <w:r w:rsidRPr="007B2E60">
        <w:rPr>
          <w:rFonts w:eastAsia="Times New Roman" w:hint="cs"/>
          <w:rtl/>
        </w:rPr>
        <w:t xml:space="preserve">הספרדי </w:t>
      </w:r>
      <w:r w:rsidRPr="007B2E60">
        <w:rPr>
          <w:rFonts w:eastAsia="Times New Roman" w:hint="cs"/>
          <w:sz w:val="8"/>
          <w:szCs w:val="10"/>
          <w:rtl/>
        </w:rPr>
        <w:t>(בונה ד"ה והנה סבור הייתי)</w:t>
      </w:r>
      <w:r w:rsidRPr="00D6711C">
        <w:rPr>
          <w:rFonts w:eastAsia="Times New Roman"/>
          <w:b/>
          <w:bCs/>
          <w:rtl/>
        </w:rPr>
        <w:t xml:space="preserve">, </w:t>
      </w:r>
      <w:r w:rsidRPr="00D6711C">
        <w:rPr>
          <w:rFonts w:eastAsia="Times New Roman"/>
          <w:b/>
          <w:bCs/>
          <w:rtl/>
        </w:rPr>
        <w:fldChar w:fldCharType="begin"/>
      </w:r>
      <w:r w:rsidRPr="00D6711C">
        <w:rPr>
          <w:rFonts w:eastAsia="Times New Roman"/>
          <w:b/>
          <w:bCs/>
          <w:rtl/>
        </w:rPr>
        <w:instrText xml:space="preserve"> </w:instrText>
      </w:r>
      <w:r w:rsidRPr="00D6711C">
        <w:rPr>
          <w:rFonts w:eastAsia="Times New Roman"/>
          <w:b/>
          <w:bCs/>
        </w:rPr>
        <w:instrText>REF</w:instrText>
      </w:r>
      <w:r w:rsidRPr="00D6711C">
        <w:rPr>
          <w:rFonts w:eastAsia="Times New Roman"/>
          <w:b/>
          <w:bCs/>
          <w:rtl/>
        </w:rPr>
        <w:instrText xml:space="preserve"> _</w:instrText>
      </w:r>
      <w:r w:rsidRPr="00D6711C">
        <w:rPr>
          <w:rFonts w:eastAsia="Times New Roman"/>
          <w:b/>
          <w:bCs/>
        </w:rPr>
        <w:instrText>Ref144634510 \r \h</w:instrText>
      </w:r>
      <w:r w:rsidRPr="00D6711C">
        <w:rPr>
          <w:rFonts w:eastAsia="Times New Roman"/>
          <w:b/>
          <w:bCs/>
          <w:rtl/>
        </w:rPr>
        <w:instrText xml:space="preserve">  \* </w:instrText>
      </w:r>
      <w:r w:rsidRPr="00D6711C">
        <w:rPr>
          <w:rFonts w:eastAsia="Times New Roman"/>
          <w:b/>
          <w:bCs/>
        </w:rPr>
        <w:instrText>MERGEFORMAT</w:instrText>
      </w:r>
      <w:r w:rsidRPr="00D6711C">
        <w:rPr>
          <w:rFonts w:eastAsia="Times New Roman"/>
          <w:b/>
          <w:bCs/>
          <w:rtl/>
        </w:rPr>
        <w:instrText xml:space="preserve"> </w:instrText>
      </w:r>
      <w:r w:rsidRPr="00D6711C">
        <w:rPr>
          <w:rFonts w:eastAsia="Times New Roman"/>
          <w:b/>
          <w:bCs/>
          <w:rtl/>
        </w:rPr>
      </w:r>
      <w:r w:rsidRPr="00D6711C">
        <w:rPr>
          <w:rFonts w:eastAsia="Times New Roman"/>
          <w:b/>
          <w:bCs/>
          <w:rtl/>
        </w:rPr>
        <w:fldChar w:fldCharType="separate"/>
      </w:r>
      <w:r w:rsidR="00D82181">
        <w:rPr>
          <w:rFonts w:eastAsia="Times New Roman"/>
          <w:b/>
          <w:bCs/>
          <w:cs/>
        </w:rPr>
        <w:t>‎</w:t>
      </w:r>
      <w:r w:rsidR="00D82181">
        <w:rPr>
          <w:rFonts w:eastAsia="Times New Roman"/>
          <w:b/>
          <w:bCs/>
          <w:rtl/>
        </w:rPr>
        <w:t>י)</w:t>
      </w:r>
      <w:r w:rsidRPr="00D6711C">
        <w:rPr>
          <w:rFonts w:eastAsia="Times New Roman"/>
          <w:b/>
          <w:bCs/>
          <w:rtl/>
        </w:rPr>
        <w:fldChar w:fldCharType="end"/>
      </w:r>
      <w:r w:rsidRPr="007B2E60">
        <w:rPr>
          <w:rFonts w:eastAsia="Times New Roman"/>
          <w:b/>
          <w:bCs/>
          <w:rtl/>
        </w:rPr>
        <w:t xml:space="preserve"> </w:t>
      </w:r>
      <w:r w:rsidRPr="007B2E60">
        <w:rPr>
          <w:rFonts w:eastAsia="Times New Roman" w:hint="cs"/>
          <w:rtl/>
        </w:rPr>
        <w:t>גר"א</w:t>
      </w:r>
      <w:r w:rsidRPr="007B2E60">
        <w:rPr>
          <w:rFonts w:eastAsia="Times New Roman"/>
          <w:rtl/>
        </w:rPr>
        <w:t xml:space="preserve"> </w:t>
      </w:r>
      <w:r w:rsidRPr="007B2E60">
        <w:rPr>
          <w:rFonts w:eastAsia="Times New Roman"/>
          <w:sz w:val="8"/>
          <w:szCs w:val="10"/>
          <w:rtl/>
        </w:rPr>
        <w:t>(</w:t>
      </w:r>
      <w:r w:rsidRPr="007B2E60">
        <w:rPr>
          <w:rFonts w:eastAsia="Times New Roman" w:hint="cs"/>
          <w:sz w:val="8"/>
          <w:szCs w:val="10"/>
          <w:rtl/>
        </w:rPr>
        <w:t>סי' שי"ד סק"ד</w:t>
      </w:r>
      <w:r w:rsidRPr="007B2E60">
        <w:rPr>
          <w:rFonts w:eastAsia="Times New Roman"/>
          <w:sz w:val="8"/>
          <w:szCs w:val="10"/>
          <w:rtl/>
        </w:rPr>
        <w:t>)</w:t>
      </w:r>
      <w:r w:rsidRPr="007B2E60">
        <w:rPr>
          <w:rFonts w:eastAsia="Times New Roman"/>
          <w:rtl/>
        </w:rPr>
        <w:t xml:space="preserve"> </w:t>
      </w:r>
      <w:r w:rsidRPr="007B2E60">
        <w:rPr>
          <w:rFonts w:eastAsia="Times New Roman" w:hint="cs"/>
          <w:rtl/>
        </w:rPr>
        <w:t>מג"א</w:t>
      </w:r>
      <w:r w:rsidRPr="007B2E60">
        <w:rPr>
          <w:rFonts w:eastAsia="Times New Roman"/>
          <w:rtl/>
        </w:rPr>
        <w:t xml:space="preserve"> </w:t>
      </w:r>
      <w:r w:rsidRPr="007B2E60">
        <w:rPr>
          <w:rFonts w:eastAsia="Times New Roman"/>
          <w:sz w:val="8"/>
          <w:szCs w:val="10"/>
          <w:rtl/>
        </w:rPr>
        <w:t>(</w:t>
      </w:r>
      <w:r w:rsidRPr="007B2E60">
        <w:rPr>
          <w:rFonts w:eastAsia="Times New Roman" w:hint="cs"/>
          <w:sz w:val="8"/>
          <w:szCs w:val="10"/>
          <w:rtl/>
        </w:rPr>
        <w:t>סי' תק"א סקי"ג</w:t>
      </w:r>
      <w:r w:rsidRPr="007B2E60">
        <w:rPr>
          <w:rFonts w:eastAsia="Times New Roman"/>
          <w:sz w:val="8"/>
          <w:szCs w:val="10"/>
          <w:rtl/>
        </w:rPr>
        <w:t>)</w:t>
      </w:r>
      <w:r w:rsidRPr="007B2E60">
        <w:rPr>
          <w:rFonts w:eastAsia="Times New Roman"/>
          <w:rtl/>
        </w:rPr>
        <w:t xml:space="preserve"> </w:t>
      </w:r>
      <w:r w:rsidRPr="007B2E60">
        <w:rPr>
          <w:rFonts w:eastAsia="Times New Roman" w:hint="cs"/>
          <w:rtl/>
        </w:rPr>
        <w:t>טל אורות הקדמון</w:t>
      </w:r>
      <w:r w:rsidRPr="007B2E60">
        <w:rPr>
          <w:rFonts w:eastAsia="Times New Roman"/>
          <w:rtl/>
        </w:rPr>
        <w:t xml:space="preserve"> </w:t>
      </w:r>
      <w:r w:rsidRPr="007B2E60">
        <w:rPr>
          <w:rFonts w:eastAsia="Times New Roman"/>
          <w:sz w:val="8"/>
          <w:szCs w:val="10"/>
          <w:rtl/>
        </w:rPr>
        <w:t>(</w:t>
      </w:r>
      <w:r w:rsidRPr="007B2E60">
        <w:rPr>
          <w:rFonts w:eastAsia="Times New Roman" w:hint="cs"/>
          <w:sz w:val="8"/>
          <w:szCs w:val="10"/>
          <w:rtl/>
        </w:rPr>
        <w:t>מלאכת בונה ד"ה ולעניות</w:t>
      </w:r>
      <w:r w:rsidRPr="007B2E60">
        <w:rPr>
          <w:rFonts w:eastAsia="Times New Roman"/>
          <w:sz w:val="8"/>
          <w:szCs w:val="10"/>
          <w:rtl/>
        </w:rPr>
        <w:t>)</w:t>
      </w:r>
      <w:r w:rsidRPr="007B2E60">
        <w:rPr>
          <w:rFonts w:eastAsia="Times New Roman"/>
          <w:rtl/>
        </w:rPr>
        <w:t xml:space="preserve"> </w:t>
      </w:r>
      <w:r w:rsidRPr="007B2E60">
        <w:rPr>
          <w:rFonts w:eastAsia="Times New Roman" w:hint="cs"/>
          <w:rtl/>
        </w:rPr>
        <w:t>או"ש</w:t>
      </w:r>
      <w:r w:rsidRPr="007B2E60">
        <w:rPr>
          <w:rFonts w:eastAsia="Times New Roman"/>
          <w:rtl/>
        </w:rPr>
        <w:t xml:space="preserve"> </w:t>
      </w:r>
      <w:r w:rsidRPr="007B2E60">
        <w:rPr>
          <w:rFonts w:eastAsia="Times New Roman"/>
          <w:sz w:val="8"/>
          <w:szCs w:val="10"/>
          <w:rtl/>
        </w:rPr>
        <w:t>(</w:t>
      </w:r>
      <w:r w:rsidRPr="007B2E60">
        <w:rPr>
          <w:rFonts w:eastAsia="Times New Roman" w:hint="cs"/>
          <w:sz w:val="8"/>
          <w:szCs w:val="10"/>
          <w:rtl/>
        </w:rPr>
        <w:t>שבת פכ"ג ה"ב</w:t>
      </w:r>
      <w:r w:rsidRPr="007B2E60">
        <w:rPr>
          <w:rFonts w:eastAsia="Times New Roman"/>
          <w:sz w:val="8"/>
          <w:szCs w:val="10"/>
          <w:rtl/>
        </w:rPr>
        <w:t>)</w:t>
      </w:r>
      <w:r w:rsidRPr="007B2E60">
        <w:rPr>
          <w:rFonts w:eastAsia="Times New Roman"/>
          <w:rtl/>
        </w:rPr>
        <w:t>.</w:t>
      </w:r>
    </w:p>
    <w:p w14:paraId="4B3A5766" w14:textId="77777777" w:rsidR="003E1AA3" w:rsidRDefault="003E1AA3" w:rsidP="003E1AA3">
      <w:pPr>
        <w:pStyle w:val="TOC2"/>
        <w:rPr>
          <w:rFonts w:cstheme="minorBidi"/>
          <w:b w:val="0"/>
          <w:bCs w:val="0"/>
          <w:sz w:val="22"/>
          <w:szCs w:val="22"/>
          <w:rtl/>
        </w:rPr>
      </w:pPr>
      <w:hyperlink w:anchor="_Toc145233881" w:history="1">
        <w:r w:rsidRPr="0054718A">
          <w:rPr>
            <w:rStyle w:val="Hyperlink"/>
            <w:rtl/>
          </w:rPr>
          <w:t>בי' רש"י דאין בנין בכלים והחיוב מדין מכב"פ ורק לרב הוי בנין</w:t>
        </w:r>
      </w:hyperlink>
    </w:p>
    <w:p w14:paraId="1837AEB0" w14:textId="77777777" w:rsidR="003E1AA3" w:rsidRPr="00ED704E" w:rsidRDefault="003E1AA3" w:rsidP="00AD16A0">
      <w:pPr>
        <w:pStyle w:val="TOC3"/>
        <w:numPr>
          <w:ilvl w:val="0"/>
          <w:numId w:val="32"/>
        </w:numPr>
        <w:rPr>
          <w:rFonts w:asciiTheme="minorHAnsi" w:eastAsiaTheme="minorEastAsia" w:hAnsiTheme="minorHAnsi" w:cstheme="minorBidi"/>
          <w:sz w:val="22"/>
          <w:szCs w:val="22"/>
          <w:rtl/>
        </w:rPr>
      </w:pPr>
      <w:hyperlink w:anchor="_Toc145233882" w:history="1">
        <w:r w:rsidRPr="0054718A">
          <w:rPr>
            <w:rStyle w:val="Hyperlink"/>
            <w:rtl/>
          </w:rPr>
          <w:t>בי' רש"י דאין בנין בכלים במטה של טרסיים וחביתא ודלתות כלים ובונה כלי חייב במכב"פ</w:t>
        </w:r>
      </w:hyperlink>
    </w:p>
    <w:p w14:paraId="2B35461E" w14:textId="77777777" w:rsidR="003E1AA3" w:rsidRDefault="003E1AA3" w:rsidP="00ED704E">
      <w:pPr>
        <w:pStyle w:val="TOC3"/>
        <w:rPr>
          <w:rFonts w:asciiTheme="minorHAnsi" w:eastAsiaTheme="minorEastAsia" w:hAnsiTheme="minorHAnsi" w:cstheme="minorBidi"/>
          <w:sz w:val="22"/>
          <w:szCs w:val="22"/>
          <w:rtl/>
        </w:rPr>
      </w:pPr>
      <w:hyperlink w:anchor="_Toc145233883" w:history="1">
        <w:r w:rsidRPr="0054718A">
          <w:rPr>
            <w:rStyle w:val="Hyperlink"/>
            <w:rtl/>
          </w:rPr>
          <w:t>בי' רש"י בביצה דרק בבתים שייך חיוב בונה בכ"ש אבל עשיית כלי וגמירתו היא משום מכב"פ</w:t>
        </w:r>
      </w:hyperlink>
    </w:p>
    <w:p w14:paraId="35CFBEDF" w14:textId="77777777" w:rsidR="003E1AA3" w:rsidRDefault="003E1AA3" w:rsidP="00ED704E">
      <w:pPr>
        <w:pStyle w:val="TOC3"/>
        <w:rPr>
          <w:rFonts w:asciiTheme="minorHAnsi" w:eastAsiaTheme="minorEastAsia" w:hAnsiTheme="minorHAnsi" w:cstheme="minorBidi"/>
          <w:sz w:val="22"/>
          <w:szCs w:val="22"/>
          <w:rtl/>
        </w:rPr>
      </w:pPr>
      <w:hyperlink w:anchor="_Toc145233884" w:history="1">
        <w:r w:rsidRPr="0054718A">
          <w:rPr>
            <w:rStyle w:val="Hyperlink"/>
            <w:rtl/>
          </w:rPr>
          <w:t>בי' רש"י בביצה דלב"ה מלאכה בכלים היא רק באב בפנ"ע כמחתך אבל בבנין א"א לחייב בכלי</w:t>
        </w:r>
      </w:hyperlink>
    </w:p>
    <w:p w14:paraId="7DDA3FE8" w14:textId="77777777" w:rsidR="003E1AA3" w:rsidRDefault="003E1AA3" w:rsidP="00ED704E">
      <w:pPr>
        <w:pStyle w:val="TOC3"/>
        <w:rPr>
          <w:rFonts w:asciiTheme="minorHAnsi" w:eastAsiaTheme="minorEastAsia" w:hAnsiTheme="minorHAnsi" w:cstheme="minorBidi"/>
          <w:sz w:val="22"/>
          <w:szCs w:val="22"/>
          <w:rtl/>
        </w:rPr>
      </w:pPr>
      <w:hyperlink w:anchor="_Toc145233885" w:history="1">
        <w:r w:rsidRPr="0054718A">
          <w:rPr>
            <w:rStyle w:val="Hyperlink"/>
            <w:rtl/>
          </w:rPr>
          <w:t>בי' הגר"א ברש"י דקיי"ל כרבא דאין בנין בכלים אך בדעת רב מודה רש"י דס"ל דיש בנין בכלים</w:t>
        </w:r>
      </w:hyperlink>
    </w:p>
    <w:p w14:paraId="38D2B1C0" w14:textId="77777777" w:rsidR="003E1AA3" w:rsidRDefault="003E1AA3" w:rsidP="00ED704E">
      <w:pPr>
        <w:pStyle w:val="TOC3"/>
        <w:rPr>
          <w:rFonts w:asciiTheme="minorHAnsi" w:eastAsiaTheme="minorEastAsia" w:hAnsiTheme="minorHAnsi" w:cstheme="minorBidi"/>
          <w:sz w:val="22"/>
          <w:szCs w:val="22"/>
          <w:rtl/>
        </w:rPr>
      </w:pPr>
      <w:hyperlink w:anchor="_Toc145233886" w:history="1">
        <w:r w:rsidRPr="0054718A">
          <w:rPr>
            <w:rStyle w:val="Hyperlink"/>
            <w:rtl/>
          </w:rPr>
          <w:t>בי' רש"י בדברי רב בכירה שנשמטה א' מירכותיה דיש בנין בכלים וכ"כ רש"י בברייתא בעירובין</w:t>
        </w:r>
      </w:hyperlink>
    </w:p>
    <w:p w14:paraId="05F9E001" w14:textId="77777777" w:rsidR="003E1AA3" w:rsidRDefault="003E1AA3" w:rsidP="00ED704E">
      <w:pPr>
        <w:pStyle w:val="TOC3"/>
        <w:rPr>
          <w:rFonts w:asciiTheme="minorHAnsi" w:eastAsiaTheme="minorEastAsia" w:hAnsiTheme="minorHAnsi" w:cstheme="minorBidi"/>
          <w:sz w:val="22"/>
          <w:szCs w:val="22"/>
          <w:rtl/>
        </w:rPr>
      </w:pPr>
      <w:hyperlink w:anchor="_Toc145233887" w:history="1">
        <w:r w:rsidRPr="0054718A">
          <w:rPr>
            <w:rStyle w:val="Hyperlink"/>
            <w:rtl/>
          </w:rPr>
          <w:t>בי' הטל אורות ברש"י דאף בדעת רב ס"ל דאין בנין בכלים במטה של טרסיים וקשה מרב בסוגיין</w:t>
        </w:r>
      </w:hyperlink>
    </w:p>
    <w:p w14:paraId="5E134441" w14:textId="77777777" w:rsidR="003E1AA3" w:rsidRDefault="003E1AA3" w:rsidP="00ED704E">
      <w:pPr>
        <w:pStyle w:val="TOC3"/>
        <w:rPr>
          <w:rFonts w:asciiTheme="minorHAnsi" w:eastAsiaTheme="minorEastAsia" w:hAnsiTheme="minorHAnsi" w:cstheme="minorBidi"/>
          <w:sz w:val="22"/>
          <w:szCs w:val="22"/>
          <w:rtl/>
        </w:rPr>
      </w:pPr>
      <w:hyperlink w:anchor="_Toc145233888" w:history="1">
        <w:r w:rsidRPr="0054718A">
          <w:rPr>
            <w:rStyle w:val="Hyperlink"/>
            <w:rtl/>
          </w:rPr>
          <w:t>בי' הטל אורות דמוכח ברש"י דאף בעושה כלי אין בנין ובמטה של טרסיים כ' להלכה ולא ברב</w:t>
        </w:r>
      </w:hyperlink>
    </w:p>
    <w:p w14:paraId="242E4CCE" w14:textId="77777777" w:rsidR="003E1AA3" w:rsidRDefault="003E1AA3" w:rsidP="003E1AA3">
      <w:pPr>
        <w:pStyle w:val="TOC2"/>
        <w:rPr>
          <w:rFonts w:cstheme="minorBidi"/>
          <w:b w:val="0"/>
          <w:bCs w:val="0"/>
          <w:sz w:val="22"/>
          <w:szCs w:val="22"/>
          <w:rtl/>
        </w:rPr>
      </w:pPr>
      <w:hyperlink w:anchor="_Toc145233889" w:history="1">
        <w:r w:rsidRPr="0054718A">
          <w:rPr>
            <w:rStyle w:val="Hyperlink"/>
            <w:rtl/>
          </w:rPr>
          <w:t>בי' היראים דאף רב מודה דאין בנין וסתירה בכלים ונח' במכב"פ</w:t>
        </w:r>
      </w:hyperlink>
    </w:p>
    <w:p w14:paraId="1F45307D" w14:textId="77777777" w:rsidR="003E1AA3" w:rsidRDefault="003E1AA3" w:rsidP="00ED704E">
      <w:pPr>
        <w:pStyle w:val="TOC3"/>
        <w:rPr>
          <w:rFonts w:asciiTheme="minorHAnsi" w:eastAsiaTheme="minorEastAsia" w:hAnsiTheme="minorHAnsi" w:cstheme="minorBidi"/>
          <w:sz w:val="22"/>
          <w:szCs w:val="22"/>
          <w:rtl/>
        </w:rPr>
      </w:pPr>
      <w:hyperlink w:anchor="_Toc145233890" w:history="1">
        <w:r w:rsidRPr="0054718A">
          <w:rPr>
            <w:rStyle w:val="Hyperlink"/>
            <w:rtl/>
          </w:rPr>
          <w:t>בי' היראים דאין סתירה בכלים ומותר לשבור תיבה וליטול דלתות כלי ולשבור חבית ולהסיק כלי</w:t>
        </w:r>
      </w:hyperlink>
    </w:p>
    <w:p w14:paraId="3C61E0FC" w14:textId="77777777" w:rsidR="003E1AA3" w:rsidRDefault="003E1AA3" w:rsidP="00ED704E">
      <w:pPr>
        <w:pStyle w:val="TOC3"/>
        <w:rPr>
          <w:rFonts w:asciiTheme="minorHAnsi" w:eastAsiaTheme="minorEastAsia" w:hAnsiTheme="minorHAnsi" w:cstheme="minorBidi"/>
          <w:sz w:val="22"/>
          <w:szCs w:val="22"/>
          <w:rtl/>
        </w:rPr>
      </w:pPr>
      <w:hyperlink w:anchor="_Toc145233891" w:history="1">
        <w:r w:rsidRPr="0054718A">
          <w:rPr>
            <w:rStyle w:val="Hyperlink"/>
            <w:rtl/>
          </w:rPr>
          <w:t>בי' היראים דרב מודה דאין בנין בכלים ואמר דבלא נגמרה מלאכתו אין חיוב אף משום מכב"פ</w:t>
        </w:r>
      </w:hyperlink>
    </w:p>
    <w:p w14:paraId="1200F885" w14:textId="77777777" w:rsidR="003E1AA3" w:rsidRDefault="003E1AA3" w:rsidP="00ED704E">
      <w:pPr>
        <w:pStyle w:val="TOC3"/>
        <w:rPr>
          <w:rFonts w:asciiTheme="minorHAnsi" w:eastAsiaTheme="minorEastAsia" w:hAnsiTheme="minorHAnsi" w:cstheme="minorBidi"/>
          <w:sz w:val="22"/>
          <w:szCs w:val="22"/>
          <w:rtl/>
        </w:rPr>
      </w:pPr>
      <w:hyperlink w:anchor="_Toc145233892" w:history="1">
        <w:r w:rsidRPr="0054718A">
          <w:rPr>
            <w:rStyle w:val="Hyperlink"/>
            <w:rtl/>
          </w:rPr>
          <w:t>בי' האחרונים דהא דמסיקין בכלים אין בזה סותר דהוא גרמא או רפוי או דבביעור ל"ש סתירה</w:t>
        </w:r>
      </w:hyperlink>
    </w:p>
    <w:p w14:paraId="4A4AB90B" w14:textId="77777777" w:rsidR="003E1AA3" w:rsidRDefault="003E1AA3" w:rsidP="003E1AA3">
      <w:pPr>
        <w:pStyle w:val="TOC1"/>
        <w:rPr>
          <w:rFonts w:asciiTheme="minorHAnsi" w:hAnsiTheme="minorHAnsi" w:cstheme="minorBidi"/>
          <w:b w:val="0"/>
          <w:bCs w:val="0"/>
          <w:caps w:val="0"/>
          <w:sz w:val="22"/>
          <w:szCs w:val="22"/>
          <w:rtl/>
        </w:rPr>
      </w:pPr>
      <w:hyperlink w:anchor="_Toc145233893" w:history="1">
        <w:r w:rsidRPr="0054718A">
          <w:rPr>
            <w:rStyle w:val="Hyperlink"/>
            <w:rtl/>
          </w:rPr>
          <w:t>הסוברים דלרב ושמואל יש בנין בכלים</w:t>
        </w:r>
      </w:hyperlink>
    </w:p>
    <w:p w14:paraId="2FA9B3B6" w14:textId="004BD7A7" w:rsidR="003E1AA3" w:rsidRPr="00EC2B00" w:rsidRDefault="003E1AA3" w:rsidP="003E1AA3">
      <w:pPr>
        <w:pStyle w:val="afffffffff0"/>
        <w:rPr>
          <w:rtl/>
        </w:rPr>
      </w:pPr>
      <w:r w:rsidRPr="00D6711C">
        <w:rPr>
          <w:b/>
          <w:bCs/>
          <w:rtl/>
        </w:rPr>
        <w:fldChar w:fldCharType="begin"/>
      </w:r>
      <w:r w:rsidRPr="00D6711C">
        <w:rPr>
          <w:b/>
          <w:bCs/>
          <w:rtl/>
        </w:rPr>
        <w:instrText xml:space="preserve"> </w:instrText>
      </w:r>
      <w:r w:rsidRPr="00D6711C">
        <w:rPr>
          <w:rFonts w:hint="cs"/>
          <w:b/>
          <w:bCs/>
        </w:rPr>
        <w:instrText>REF</w:instrText>
      </w:r>
      <w:r w:rsidRPr="00D6711C">
        <w:rPr>
          <w:rFonts w:hint="cs"/>
          <w:b/>
          <w:bCs/>
          <w:rtl/>
        </w:rPr>
        <w:instrText xml:space="preserve"> _</w:instrText>
      </w:r>
      <w:r w:rsidRPr="00D6711C">
        <w:rPr>
          <w:rFonts w:hint="cs"/>
          <w:b/>
          <w:bCs/>
        </w:rPr>
        <w:instrText>Ref143771806 \r \h</w:instrText>
      </w:r>
      <w:r w:rsidRPr="00D6711C">
        <w:rPr>
          <w:b/>
          <w:bCs/>
          <w:rtl/>
        </w:rPr>
        <w:instrText xml:space="preserve">  \* </w:instrText>
      </w:r>
      <w:r w:rsidRPr="00D6711C">
        <w:rPr>
          <w:b/>
          <w:bCs/>
        </w:rPr>
        <w:instrText>MERGEFORMAT</w:instrText>
      </w:r>
      <w:r w:rsidRPr="00D6711C">
        <w:rPr>
          <w:b/>
          <w:bCs/>
          <w:rtl/>
        </w:rPr>
        <w:instrText xml:space="preserve"> </w:instrText>
      </w:r>
      <w:r w:rsidRPr="00D6711C">
        <w:rPr>
          <w:b/>
          <w:bCs/>
          <w:rtl/>
        </w:rPr>
      </w:r>
      <w:r w:rsidRPr="00D6711C">
        <w:rPr>
          <w:b/>
          <w:bCs/>
          <w:rtl/>
        </w:rPr>
        <w:fldChar w:fldCharType="separate"/>
      </w:r>
      <w:r w:rsidR="00D82181">
        <w:rPr>
          <w:b/>
          <w:bCs/>
          <w:cs/>
        </w:rPr>
        <w:t>‎</w:t>
      </w:r>
      <w:r w:rsidR="00D82181">
        <w:rPr>
          <w:b/>
          <w:bCs/>
          <w:rtl/>
        </w:rPr>
        <w:t>יא)</w:t>
      </w:r>
      <w:r w:rsidRPr="00D6711C">
        <w:rPr>
          <w:b/>
          <w:bCs/>
          <w:rtl/>
        </w:rPr>
        <w:fldChar w:fldCharType="end"/>
      </w:r>
      <w:r w:rsidRPr="00D6711C">
        <w:rPr>
          <w:rFonts w:hint="cs"/>
          <w:b/>
          <w:bCs/>
          <w:rtl/>
        </w:rPr>
        <w:t xml:space="preserve"> </w:t>
      </w:r>
      <w:r w:rsidRPr="00592319">
        <w:rPr>
          <w:rFonts w:hint="cs"/>
          <w:rtl/>
        </w:rPr>
        <w:t>ר"ח</w:t>
      </w:r>
      <w:r w:rsidRPr="00EC2B00">
        <w:rPr>
          <w:rFonts w:hint="cs"/>
          <w:rtl/>
        </w:rPr>
        <w:t xml:space="preserve"> </w:t>
      </w:r>
      <w:r w:rsidRPr="00EC2B00">
        <w:rPr>
          <w:rStyle w:val="afffffffff3"/>
          <w:rFonts w:hint="cs"/>
          <w:rtl/>
        </w:rPr>
        <w:t>(ד"ה וכן מכניס)</w:t>
      </w:r>
      <w:r w:rsidRPr="00D6711C">
        <w:rPr>
          <w:b/>
          <w:bCs/>
          <w:rtl/>
        </w:rPr>
        <w:t>,</w:t>
      </w:r>
      <w:r w:rsidRPr="00D6711C">
        <w:rPr>
          <w:rFonts w:hint="cs"/>
          <w:b/>
          <w:bCs/>
          <w:rtl/>
        </w:rPr>
        <w:t xml:space="preserve"> </w:t>
      </w:r>
      <w:r w:rsidRPr="00D6711C">
        <w:rPr>
          <w:b/>
          <w:bCs/>
          <w:rtl/>
        </w:rPr>
        <w:fldChar w:fldCharType="begin"/>
      </w:r>
      <w:r w:rsidRPr="00D6711C">
        <w:rPr>
          <w:b/>
          <w:bCs/>
          <w:rtl/>
        </w:rPr>
        <w:instrText xml:space="preserve"> </w:instrText>
      </w:r>
      <w:r w:rsidRPr="00D6711C">
        <w:rPr>
          <w:rFonts w:hint="cs"/>
          <w:b/>
          <w:bCs/>
        </w:rPr>
        <w:instrText>REF</w:instrText>
      </w:r>
      <w:r w:rsidRPr="00D6711C">
        <w:rPr>
          <w:rFonts w:hint="cs"/>
          <w:b/>
          <w:bCs/>
          <w:rtl/>
        </w:rPr>
        <w:instrText xml:space="preserve"> _</w:instrText>
      </w:r>
      <w:r w:rsidRPr="00D6711C">
        <w:rPr>
          <w:rFonts w:hint="cs"/>
          <w:b/>
          <w:bCs/>
        </w:rPr>
        <w:instrText>Ref144326832 \r \h</w:instrText>
      </w:r>
      <w:r w:rsidRPr="00D6711C">
        <w:rPr>
          <w:b/>
          <w:bCs/>
          <w:rtl/>
        </w:rPr>
        <w:instrText xml:space="preserve">  \* </w:instrText>
      </w:r>
      <w:r w:rsidRPr="00D6711C">
        <w:rPr>
          <w:b/>
          <w:bCs/>
        </w:rPr>
        <w:instrText>MERGEFORMAT</w:instrText>
      </w:r>
      <w:r w:rsidRPr="00D6711C">
        <w:rPr>
          <w:b/>
          <w:bCs/>
          <w:rtl/>
        </w:rPr>
        <w:instrText xml:space="preserve"> </w:instrText>
      </w:r>
      <w:r w:rsidRPr="00D6711C">
        <w:rPr>
          <w:b/>
          <w:bCs/>
          <w:rtl/>
        </w:rPr>
      </w:r>
      <w:r w:rsidRPr="00D6711C">
        <w:rPr>
          <w:b/>
          <w:bCs/>
          <w:rtl/>
        </w:rPr>
        <w:fldChar w:fldCharType="separate"/>
      </w:r>
      <w:r w:rsidR="00D82181">
        <w:rPr>
          <w:b/>
          <w:bCs/>
          <w:cs/>
        </w:rPr>
        <w:t>‎</w:t>
      </w:r>
      <w:r w:rsidR="00D82181">
        <w:rPr>
          <w:b/>
          <w:bCs/>
          <w:rtl/>
        </w:rPr>
        <w:t>יב)</w:t>
      </w:r>
      <w:r w:rsidRPr="00D6711C">
        <w:rPr>
          <w:b/>
          <w:bCs/>
          <w:rtl/>
        </w:rPr>
        <w:fldChar w:fldCharType="end"/>
      </w:r>
      <w:r w:rsidRPr="00EC2B00">
        <w:rPr>
          <w:rFonts w:hint="cs"/>
          <w:b/>
          <w:bCs/>
          <w:rtl/>
        </w:rPr>
        <w:t xml:space="preserve"> </w:t>
      </w:r>
      <w:r w:rsidRPr="00EC2B00">
        <w:rPr>
          <w:rFonts w:hint="cs"/>
          <w:rtl/>
        </w:rPr>
        <w:t>רשב"א</w:t>
      </w:r>
      <w:r w:rsidRPr="00EC2B00">
        <w:rPr>
          <w:rtl/>
        </w:rPr>
        <w:t xml:space="preserve"> </w:t>
      </w:r>
      <w:r w:rsidRPr="00EC2B00">
        <w:rPr>
          <w:rStyle w:val="afffffffff3"/>
          <w:rFonts w:hint="cs"/>
          <w:rtl/>
        </w:rPr>
        <w:t>(ד"ה ורבינו האיי)</w:t>
      </w:r>
      <w:r w:rsidRPr="00D6711C">
        <w:rPr>
          <w:b/>
          <w:bCs/>
          <w:rtl/>
        </w:rPr>
        <w:t>,</w:t>
      </w:r>
      <w:r w:rsidRPr="00D6711C">
        <w:rPr>
          <w:rFonts w:hint="cs"/>
          <w:b/>
          <w:bCs/>
          <w:rtl/>
        </w:rPr>
        <w:t xml:space="preserve"> </w:t>
      </w:r>
      <w:r w:rsidRPr="00D6711C">
        <w:rPr>
          <w:b/>
          <w:bCs/>
          <w:rtl/>
        </w:rPr>
        <w:fldChar w:fldCharType="begin"/>
      </w:r>
      <w:r w:rsidRPr="00D6711C">
        <w:rPr>
          <w:b/>
          <w:bCs/>
          <w:rtl/>
        </w:rPr>
        <w:instrText xml:space="preserve"> </w:instrText>
      </w:r>
      <w:r w:rsidRPr="00D6711C">
        <w:rPr>
          <w:rFonts w:hint="cs"/>
          <w:b/>
          <w:bCs/>
        </w:rPr>
        <w:instrText>REF</w:instrText>
      </w:r>
      <w:r w:rsidRPr="00D6711C">
        <w:rPr>
          <w:rFonts w:hint="cs"/>
          <w:b/>
          <w:bCs/>
          <w:rtl/>
        </w:rPr>
        <w:instrText xml:space="preserve"> _</w:instrText>
      </w:r>
      <w:r w:rsidRPr="00D6711C">
        <w:rPr>
          <w:rFonts w:hint="cs"/>
          <w:b/>
          <w:bCs/>
        </w:rPr>
        <w:instrText>Ref144324318 \r \h</w:instrText>
      </w:r>
      <w:r w:rsidRPr="00D6711C">
        <w:rPr>
          <w:b/>
          <w:bCs/>
          <w:rtl/>
        </w:rPr>
        <w:instrText xml:space="preserve">  \* </w:instrText>
      </w:r>
      <w:r w:rsidRPr="00D6711C">
        <w:rPr>
          <w:b/>
          <w:bCs/>
        </w:rPr>
        <w:instrText>MERGEFORMAT</w:instrText>
      </w:r>
      <w:r w:rsidRPr="00D6711C">
        <w:rPr>
          <w:b/>
          <w:bCs/>
          <w:rtl/>
        </w:rPr>
        <w:instrText xml:space="preserve"> </w:instrText>
      </w:r>
      <w:r w:rsidRPr="00D6711C">
        <w:rPr>
          <w:b/>
          <w:bCs/>
          <w:rtl/>
        </w:rPr>
      </w:r>
      <w:r w:rsidRPr="00D6711C">
        <w:rPr>
          <w:b/>
          <w:bCs/>
          <w:rtl/>
        </w:rPr>
        <w:fldChar w:fldCharType="separate"/>
      </w:r>
      <w:r w:rsidR="00D82181">
        <w:rPr>
          <w:b/>
          <w:bCs/>
          <w:cs/>
        </w:rPr>
        <w:t>‎</w:t>
      </w:r>
      <w:r w:rsidR="00D82181">
        <w:rPr>
          <w:b/>
          <w:bCs/>
          <w:rtl/>
        </w:rPr>
        <w:t>יג)</w:t>
      </w:r>
      <w:r w:rsidRPr="00D6711C">
        <w:rPr>
          <w:b/>
          <w:bCs/>
          <w:rtl/>
        </w:rPr>
        <w:fldChar w:fldCharType="end"/>
      </w:r>
      <w:r w:rsidRPr="00592319">
        <w:rPr>
          <w:rFonts w:hint="cs"/>
          <w:rtl/>
        </w:rPr>
        <w:t xml:space="preserve"> רמב"ן במלחמות</w:t>
      </w:r>
      <w:r w:rsidRPr="00EC2B00">
        <w:rPr>
          <w:rFonts w:hint="cs"/>
          <w:rtl/>
        </w:rPr>
        <w:t xml:space="preserve"> </w:t>
      </w:r>
      <w:r w:rsidRPr="00EC2B00">
        <w:rPr>
          <w:rStyle w:val="afffffffff3"/>
          <w:rFonts w:hint="cs"/>
          <w:rtl/>
        </w:rPr>
        <w:t>(ל"ז. מדה"ר ד"ה אמר הכותב אעפ"י</w:t>
      </w:r>
      <w:r w:rsidRPr="00D6711C">
        <w:rPr>
          <w:rStyle w:val="afffffffff3"/>
          <w:rFonts w:hint="cs"/>
          <w:b/>
          <w:bCs/>
          <w:rtl/>
        </w:rPr>
        <w:t>, מהדו' עוז והדר עמ' ק"ד)</w:t>
      </w:r>
      <w:r>
        <w:rPr>
          <w:rtl/>
        </w:rPr>
        <w:t xml:space="preserve"> </w:t>
      </w:r>
      <w:r w:rsidRPr="00592319">
        <w:rPr>
          <w:rFonts w:hint="cs"/>
          <w:rtl/>
        </w:rPr>
        <w:t>רי"ף</w:t>
      </w:r>
      <w:r w:rsidRPr="00EC2B00">
        <w:rPr>
          <w:rFonts w:hint="cs"/>
          <w:rtl/>
        </w:rPr>
        <w:t xml:space="preserve"> </w:t>
      </w:r>
      <w:r w:rsidRPr="00EC2B00">
        <w:rPr>
          <w:rStyle w:val="afffffffff3"/>
          <w:rFonts w:hint="cs"/>
          <w:rtl/>
        </w:rPr>
        <w:t>(ל"ז. מדה"ר</w:t>
      </w:r>
      <w:r w:rsidRPr="00D6711C">
        <w:rPr>
          <w:rStyle w:val="afffffffff3"/>
          <w:rFonts w:hint="cs"/>
          <w:b/>
          <w:bCs/>
          <w:rtl/>
        </w:rPr>
        <w:t>, מהדו' עוז והדר עמ' ק"ד)</w:t>
      </w:r>
      <w:r w:rsidRPr="00D6711C">
        <w:rPr>
          <w:b/>
          <w:bCs/>
          <w:rtl/>
        </w:rPr>
        <w:t>,</w:t>
      </w:r>
      <w:r w:rsidRPr="00D6711C">
        <w:rPr>
          <w:rFonts w:hint="cs"/>
          <w:b/>
          <w:bCs/>
          <w:rtl/>
        </w:rPr>
        <w:t xml:space="preserve"> </w:t>
      </w:r>
      <w:r w:rsidRPr="00D6711C">
        <w:rPr>
          <w:b/>
          <w:bCs/>
          <w:rtl/>
        </w:rPr>
        <w:fldChar w:fldCharType="begin"/>
      </w:r>
      <w:r w:rsidRPr="00D6711C">
        <w:rPr>
          <w:b/>
          <w:bCs/>
          <w:rtl/>
        </w:rPr>
        <w:instrText xml:space="preserve"> </w:instrText>
      </w:r>
      <w:r w:rsidRPr="00D6711C">
        <w:rPr>
          <w:rFonts w:hint="cs"/>
          <w:b/>
          <w:bCs/>
        </w:rPr>
        <w:instrText>REF</w:instrText>
      </w:r>
      <w:r w:rsidRPr="00D6711C">
        <w:rPr>
          <w:rFonts w:hint="cs"/>
          <w:b/>
          <w:bCs/>
          <w:rtl/>
        </w:rPr>
        <w:instrText xml:space="preserve"> _</w:instrText>
      </w:r>
      <w:r w:rsidRPr="00D6711C">
        <w:rPr>
          <w:rFonts w:hint="cs"/>
          <w:b/>
          <w:bCs/>
        </w:rPr>
        <w:instrText>Ref144932153 \r \h</w:instrText>
      </w:r>
      <w:r w:rsidRPr="00D6711C">
        <w:rPr>
          <w:b/>
          <w:bCs/>
          <w:rtl/>
        </w:rPr>
        <w:instrText xml:space="preserve">  \* </w:instrText>
      </w:r>
      <w:r w:rsidRPr="00D6711C">
        <w:rPr>
          <w:b/>
          <w:bCs/>
        </w:rPr>
        <w:instrText>MERGEFORMAT</w:instrText>
      </w:r>
      <w:r w:rsidRPr="00D6711C">
        <w:rPr>
          <w:b/>
          <w:bCs/>
          <w:rtl/>
        </w:rPr>
        <w:instrText xml:space="preserve"> </w:instrText>
      </w:r>
      <w:r w:rsidRPr="00D6711C">
        <w:rPr>
          <w:b/>
          <w:bCs/>
          <w:rtl/>
        </w:rPr>
      </w:r>
      <w:r w:rsidRPr="00D6711C">
        <w:rPr>
          <w:b/>
          <w:bCs/>
          <w:rtl/>
        </w:rPr>
        <w:fldChar w:fldCharType="separate"/>
      </w:r>
      <w:r w:rsidR="00D82181">
        <w:rPr>
          <w:b/>
          <w:bCs/>
          <w:cs/>
        </w:rPr>
        <w:t>‎</w:t>
      </w:r>
      <w:r w:rsidR="00D82181">
        <w:rPr>
          <w:b/>
          <w:bCs/>
          <w:rtl/>
        </w:rPr>
        <w:t>טז)</w:t>
      </w:r>
      <w:r w:rsidRPr="00D6711C">
        <w:rPr>
          <w:b/>
          <w:bCs/>
          <w:rtl/>
        </w:rPr>
        <w:fldChar w:fldCharType="end"/>
      </w:r>
      <w:r w:rsidRPr="00EC2B00">
        <w:rPr>
          <w:rFonts w:hint="cs"/>
          <w:b/>
          <w:bCs/>
          <w:rtl/>
        </w:rPr>
        <w:t xml:space="preserve"> </w:t>
      </w:r>
      <w:r w:rsidRPr="00EC2B00">
        <w:rPr>
          <w:rFonts w:hint="cs"/>
          <w:rtl/>
        </w:rPr>
        <w:t>חי' המיוחסים לר"ן</w:t>
      </w:r>
      <w:r w:rsidRPr="00EC2B00">
        <w:rPr>
          <w:rtl/>
        </w:rPr>
        <w:t xml:space="preserve"> </w:t>
      </w:r>
      <w:r w:rsidRPr="00EC2B00">
        <w:rPr>
          <w:rStyle w:val="afffffffff3"/>
          <w:rtl/>
        </w:rPr>
        <w:t>(</w:t>
      </w:r>
      <w:r w:rsidRPr="00EC2B00">
        <w:rPr>
          <w:rStyle w:val="afffffffff3"/>
          <w:rFonts w:hint="cs"/>
          <w:rtl/>
        </w:rPr>
        <w:t>ד"ה האי</w:t>
      </w:r>
      <w:r w:rsidRPr="00EC2B00">
        <w:rPr>
          <w:rStyle w:val="afffffffff3"/>
          <w:rtl/>
        </w:rPr>
        <w:t>)</w:t>
      </w:r>
      <w:r w:rsidRPr="00D6711C">
        <w:rPr>
          <w:b/>
          <w:bCs/>
          <w:rtl/>
        </w:rPr>
        <w:t>,</w:t>
      </w:r>
      <w:r w:rsidRPr="00D6711C">
        <w:rPr>
          <w:rFonts w:hint="cs"/>
          <w:b/>
          <w:bCs/>
          <w:rtl/>
        </w:rPr>
        <w:t xml:space="preserve"> </w:t>
      </w:r>
      <w:r w:rsidRPr="00D6711C">
        <w:rPr>
          <w:b/>
          <w:bCs/>
          <w:rtl/>
        </w:rPr>
        <w:fldChar w:fldCharType="begin"/>
      </w:r>
      <w:r w:rsidRPr="00D6711C">
        <w:rPr>
          <w:b/>
          <w:bCs/>
          <w:rtl/>
        </w:rPr>
        <w:instrText xml:space="preserve"> </w:instrText>
      </w:r>
      <w:r w:rsidRPr="00D6711C">
        <w:rPr>
          <w:rFonts w:hint="cs"/>
          <w:b/>
          <w:bCs/>
        </w:rPr>
        <w:instrText>REF</w:instrText>
      </w:r>
      <w:r w:rsidRPr="00D6711C">
        <w:rPr>
          <w:rFonts w:hint="cs"/>
          <w:b/>
          <w:bCs/>
          <w:rtl/>
        </w:rPr>
        <w:instrText xml:space="preserve"> _</w:instrText>
      </w:r>
      <w:r w:rsidRPr="00D6711C">
        <w:rPr>
          <w:rFonts w:hint="cs"/>
          <w:b/>
          <w:bCs/>
        </w:rPr>
        <w:instrText>Ref145018368 \r \h</w:instrText>
      </w:r>
      <w:r w:rsidRPr="00D6711C">
        <w:rPr>
          <w:b/>
          <w:bCs/>
          <w:rtl/>
        </w:rPr>
        <w:instrText xml:space="preserve">  \* </w:instrText>
      </w:r>
      <w:r w:rsidRPr="00D6711C">
        <w:rPr>
          <w:b/>
          <w:bCs/>
        </w:rPr>
        <w:instrText>MERGEFORMAT</w:instrText>
      </w:r>
      <w:r w:rsidRPr="00D6711C">
        <w:rPr>
          <w:b/>
          <w:bCs/>
          <w:rtl/>
        </w:rPr>
        <w:instrText xml:space="preserve"> </w:instrText>
      </w:r>
      <w:r w:rsidRPr="00D6711C">
        <w:rPr>
          <w:b/>
          <w:bCs/>
          <w:rtl/>
        </w:rPr>
      </w:r>
      <w:r w:rsidRPr="00D6711C">
        <w:rPr>
          <w:b/>
          <w:bCs/>
          <w:rtl/>
        </w:rPr>
        <w:fldChar w:fldCharType="separate"/>
      </w:r>
      <w:r w:rsidR="00D82181">
        <w:rPr>
          <w:b/>
          <w:bCs/>
          <w:cs/>
        </w:rPr>
        <w:t>‎</w:t>
      </w:r>
      <w:r w:rsidR="00D82181">
        <w:rPr>
          <w:b/>
          <w:bCs/>
          <w:rtl/>
        </w:rPr>
        <w:t>יז)</w:t>
      </w:r>
      <w:r w:rsidRPr="00D6711C">
        <w:rPr>
          <w:b/>
          <w:bCs/>
          <w:rtl/>
        </w:rPr>
        <w:fldChar w:fldCharType="end"/>
      </w:r>
      <w:r w:rsidRPr="00EC2B00">
        <w:rPr>
          <w:rFonts w:hint="cs"/>
          <w:b/>
          <w:bCs/>
          <w:rtl/>
        </w:rPr>
        <w:t xml:space="preserve"> </w:t>
      </w:r>
      <w:r w:rsidRPr="00EC2B00">
        <w:rPr>
          <w:rFonts w:hint="cs"/>
          <w:rtl/>
        </w:rPr>
        <w:t>ר"ן לעיל</w:t>
      </w:r>
      <w:r w:rsidRPr="00EC2B00">
        <w:rPr>
          <w:rtl/>
        </w:rPr>
        <w:t xml:space="preserve"> </w:t>
      </w:r>
      <w:r w:rsidRPr="00EC2B00">
        <w:rPr>
          <w:rStyle w:val="afffffffff3"/>
          <w:rtl/>
        </w:rPr>
        <w:t>(</w:t>
      </w:r>
      <w:r w:rsidRPr="00EC2B00">
        <w:rPr>
          <w:rStyle w:val="afffffffff3"/>
          <w:rFonts w:hint="cs"/>
          <w:rtl/>
        </w:rPr>
        <w:t>מז. ד"ה הא</w:t>
      </w:r>
      <w:r w:rsidRPr="00EC2B00">
        <w:rPr>
          <w:rStyle w:val="afffffffff3"/>
          <w:rtl/>
        </w:rPr>
        <w:t>)</w:t>
      </w:r>
      <w:r w:rsidRPr="00D6711C">
        <w:rPr>
          <w:b/>
          <w:bCs/>
          <w:rtl/>
        </w:rPr>
        <w:t>,</w:t>
      </w:r>
      <w:r w:rsidRPr="00D6711C">
        <w:rPr>
          <w:rFonts w:hint="cs"/>
          <w:b/>
          <w:bCs/>
          <w:rtl/>
        </w:rPr>
        <w:t xml:space="preserve"> </w:t>
      </w:r>
      <w:r w:rsidRPr="00D6711C">
        <w:rPr>
          <w:b/>
          <w:bCs/>
          <w:rtl/>
        </w:rPr>
        <w:fldChar w:fldCharType="begin"/>
      </w:r>
      <w:r w:rsidRPr="00D6711C">
        <w:rPr>
          <w:b/>
          <w:bCs/>
          <w:rtl/>
        </w:rPr>
        <w:instrText xml:space="preserve"> </w:instrText>
      </w:r>
      <w:r w:rsidRPr="00D6711C">
        <w:rPr>
          <w:rFonts w:hint="cs"/>
          <w:b/>
          <w:bCs/>
        </w:rPr>
        <w:instrText>REF</w:instrText>
      </w:r>
      <w:r w:rsidRPr="00D6711C">
        <w:rPr>
          <w:rFonts w:hint="cs"/>
          <w:b/>
          <w:bCs/>
          <w:rtl/>
        </w:rPr>
        <w:instrText xml:space="preserve"> _</w:instrText>
      </w:r>
      <w:r w:rsidRPr="00D6711C">
        <w:rPr>
          <w:rFonts w:hint="cs"/>
          <w:b/>
          <w:bCs/>
        </w:rPr>
        <w:instrText>Ref145018901 \r \h</w:instrText>
      </w:r>
      <w:r w:rsidRPr="00D6711C">
        <w:rPr>
          <w:b/>
          <w:bCs/>
          <w:rtl/>
        </w:rPr>
        <w:instrText xml:space="preserve">  \* </w:instrText>
      </w:r>
      <w:r w:rsidRPr="00D6711C">
        <w:rPr>
          <w:b/>
          <w:bCs/>
        </w:rPr>
        <w:instrText>MERGEFORMAT</w:instrText>
      </w:r>
      <w:r w:rsidRPr="00D6711C">
        <w:rPr>
          <w:b/>
          <w:bCs/>
          <w:rtl/>
        </w:rPr>
        <w:instrText xml:space="preserve"> </w:instrText>
      </w:r>
      <w:r w:rsidRPr="00D6711C">
        <w:rPr>
          <w:b/>
          <w:bCs/>
          <w:rtl/>
        </w:rPr>
      </w:r>
      <w:r w:rsidRPr="00D6711C">
        <w:rPr>
          <w:b/>
          <w:bCs/>
          <w:rtl/>
        </w:rPr>
        <w:fldChar w:fldCharType="separate"/>
      </w:r>
      <w:r w:rsidR="00D82181">
        <w:rPr>
          <w:b/>
          <w:bCs/>
          <w:cs/>
        </w:rPr>
        <w:t>‎</w:t>
      </w:r>
      <w:r w:rsidR="00D82181">
        <w:rPr>
          <w:b/>
          <w:bCs/>
          <w:rtl/>
        </w:rPr>
        <w:t>יט)</w:t>
      </w:r>
      <w:r w:rsidRPr="00D6711C">
        <w:rPr>
          <w:b/>
          <w:bCs/>
          <w:rtl/>
        </w:rPr>
        <w:fldChar w:fldCharType="end"/>
      </w:r>
      <w:r w:rsidRPr="00EC2B00">
        <w:rPr>
          <w:rFonts w:hint="cs"/>
          <w:b/>
          <w:bCs/>
          <w:rtl/>
        </w:rPr>
        <w:t xml:space="preserve"> </w:t>
      </w:r>
      <w:r w:rsidRPr="00EC2B00">
        <w:rPr>
          <w:rFonts w:hint="cs"/>
          <w:rtl/>
        </w:rPr>
        <w:t>ר"ן לעיל</w:t>
      </w:r>
      <w:r w:rsidRPr="00EC2B00">
        <w:rPr>
          <w:rtl/>
        </w:rPr>
        <w:t xml:space="preserve"> </w:t>
      </w:r>
      <w:r w:rsidRPr="00EC2B00">
        <w:rPr>
          <w:rStyle w:val="afffffffff3"/>
          <w:rtl/>
        </w:rPr>
        <w:t>(</w:t>
      </w:r>
      <w:r w:rsidRPr="00EC2B00">
        <w:rPr>
          <w:rStyle w:val="afffffffff3"/>
          <w:rFonts w:hint="cs"/>
          <w:rtl/>
        </w:rPr>
        <w:t>מז. ד"ה ולענין הלכה</w:t>
      </w:r>
      <w:r w:rsidRPr="00EC2B00">
        <w:rPr>
          <w:rStyle w:val="afffffffff3"/>
          <w:rtl/>
        </w:rPr>
        <w:t>)</w:t>
      </w:r>
      <w:r w:rsidRPr="00EC2B00">
        <w:rPr>
          <w:rtl/>
        </w:rPr>
        <w:t>.</w:t>
      </w:r>
    </w:p>
    <w:p w14:paraId="1C60295B" w14:textId="77777777" w:rsidR="003E1AA3" w:rsidRDefault="003E1AA3" w:rsidP="003E1AA3">
      <w:pPr>
        <w:pStyle w:val="TOC2"/>
        <w:rPr>
          <w:rFonts w:cstheme="minorBidi"/>
          <w:b w:val="0"/>
          <w:bCs w:val="0"/>
          <w:sz w:val="22"/>
          <w:szCs w:val="22"/>
          <w:rtl/>
        </w:rPr>
      </w:pPr>
      <w:hyperlink w:anchor="_Toc145233894" w:history="1">
        <w:r w:rsidRPr="0054718A">
          <w:rPr>
            <w:rStyle w:val="Hyperlink"/>
            <w:rtl/>
          </w:rPr>
          <w:t>בי' ר"ח ורה"ג דקיי"ל כרב ושמואל דיש בנין בכלים</w:t>
        </w:r>
      </w:hyperlink>
    </w:p>
    <w:p w14:paraId="301F528A" w14:textId="77777777" w:rsidR="003E1AA3" w:rsidRDefault="003E1AA3" w:rsidP="00ED704E">
      <w:pPr>
        <w:pStyle w:val="TOC3"/>
        <w:rPr>
          <w:rFonts w:asciiTheme="minorHAnsi" w:eastAsiaTheme="minorEastAsia" w:hAnsiTheme="minorHAnsi" w:cstheme="minorBidi"/>
          <w:sz w:val="22"/>
          <w:szCs w:val="22"/>
          <w:rtl/>
        </w:rPr>
      </w:pPr>
      <w:hyperlink w:anchor="_Toc145233895" w:history="1">
        <w:r w:rsidRPr="0054718A">
          <w:rPr>
            <w:rStyle w:val="Hyperlink"/>
            <w:rtl/>
          </w:rPr>
          <w:t>בי' ר"ח דרב ס"ל במעייל שופתא דחייב משום בונה וכן מבו' לעיל במטה של טרסיים וכן קיי"ל</w:t>
        </w:r>
      </w:hyperlink>
    </w:p>
    <w:p w14:paraId="3CAE40BD" w14:textId="77777777" w:rsidR="003E1AA3" w:rsidRDefault="003E1AA3" w:rsidP="00ED704E">
      <w:pPr>
        <w:pStyle w:val="TOC3"/>
        <w:rPr>
          <w:rFonts w:asciiTheme="minorHAnsi" w:eastAsiaTheme="minorEastAsia" w:hAnsiTheme="minorHAnsi" w:cstheme="minorBidi"/>
          <w:sz w:val="22"/>
          <w:szCs w:val="22"/>
          <w:rtl/>
        </w:rPr>
      </w:pPr>
      <w:hyperlink w:anchor="_Toc145233896" w:history="1">
        <w:r w:rsidRPr="0054718A">
          <w:rPr>
            <w:rStyle w:val="Hyperlink"/>
            <w:rtl/>
          </w:rPr>
          <w:t>בי' רה"ג דלרב יש בנין בכלים וכן ס"ל בדעת ב"ה ורק זקיפה ל"ה בנין וכן דעת ריו"ח וכן קיי"ל</w:t>
        </w:r>
      </w:hyperlink>
    </w:p>
    <w:p w14:paraId="03F66CE1" w14:textId="77777777" w:rsidR="003E1AA3" w:rsidRDefault="003E1AA3" w:rsidP="003E1AA3">
      <w:pPr>
        <w:pStyle w:val="TOC2"/>
        <w:rPr>
          <w:rFonts w:cstheme="minorBidi"/>
          <w:b w:val="0"/>
          <w:bCs w:val="0"/>
          <w:sz w:val="22"/>
          <w:szCs w:val="22"/>
          <w:rtl/>
        </w:rPr>
      </w:pPr>
      <w:hyperlink w:anchor="_Toc145233897" w:history="1">
        <w:r w:rsidRPr="0054718A">
          <w:rPr>
            <w:rStyle w:val="Hyperlink"/>
            <w:rtl/>
          </w:rPr>
          <w:t>בי' הרמב"ן ברי"ף דלרב ושמואל יש בנין בכלים אך קיי"ל כרבא</w:t>
        </w:r>
      </w:hyperlink>
    </w:p>
    <w:p w14:paraId="1FBB9B87" w14:textId="77777777" w:rsidR="003E1AA3" w:rsidRDefault="003E1AA3" w:rsidP="00ED704E">
      <w:pPr>
        <w:pStyle w:val="TOC3"/>
        <w:rPr>
          <w:rFonts w:asciiTheme="minorHAnsi" w:eastAsiaTheme="minorEastAsia" w:hAnsiTheme="minorHAnsi" w:cstheme="minorBidi"/>
          <w:sz w:val="22"/>
          <w:szCs w:val="22"/>
          <w:rtl/>
        </w:rPr>
      </w:pPr>
      <w:hyperlink w:anchor="_Toc145233898" w:history="1">
        <w:r w:rsidRPr="0054718A">
          <w:rPr>
            <w:rStyle w:val="Hyperlink"/>
            <w:rtl/>
          </w:rPr>
          <w:t>בי' הרמב"ן ברי"ף דמוכח במטה של טרסיים דלשמואל יש בנין בכלים ונח' בדרך בנין בשופתא</w:t>
        </w:r>
      </w:hyperlink>
    </w:p>
    <w:p w14:paraId="7B4A4ED3" w14:textId="77777777" w:rsidR="003E1AA3" w:rsidRDefault="003E1AA3" w:rsidP="00ED704E">
      <w:pPr>
        <w:pStyle w:val="TOC3"/>
        <w:rPr>
          <w:rFonts w:asciiTheme="minorHAnsi" w:eastAsiaTheme="minorEastAsia" w:hAnsiTheme="minorHAnsi" w:cstheme="minorBidi"/>
          <w:sz w:val="22"/>
          <w:szCs w:val="22"/>
          <w:rtl/>
        </w:rPr>
      </w:pPr>
      <w:hyperlink w:anchor="_Toc145233899" w:history="1">
        <w:r w:rsidRPr="0054718A">
          <w:rPr>
            <w:rStyle w:val="Hyperlink"/>
            <w:rtl/>
          </w:rPr>
          <w:t>בי' הרמב"ן דבירו' מבו' דלשמואל יש בנין כב"ה וכן קיי"ל ודלא כת"ק דרשב"ג דאין בנין בכלים</w:t>
        </w:r>
      </w:hyperlink>
    </w:p>
    <w:p w14:paraId="6CBEEB1D" w14:textId="77777777" w:rsidR="003E1AA3" w:rsidRDefault="003E1AA3" w:rsidP="00ED704E">
      <w:pPr>
        <w:pStyle w:val="TOC3"/>
        <w:rPr>
          <w:rFonts w:asciiTheme="minorHAnsi" w:eastAsiaTheme="minorEastAsia" w:hAnsiTheme="minorHAnsi" w:cstheme="minorBidi"/>
          <w:sz w:val="22"/>
          <w:szCs w:val="22"/>
          <w:rtl/>
        </w:rPr>
      </w:pPr>
      <w:hyperlink w:anchor="_Toc145233900" w:history="1">
        <w:r w:rsidRPr="0054718A">
          <w:rPr>
            <w:rStyle w:val="Hyperlink"/>
            <w:rtl/>
          </w:rPr>
          <w:t>בי' הרמב"ן ברי"ף דלא קיי"ל כריו"ח ולא פסק כרב או שמואל ואף לד' שמואל אין בנין בכלים</w:t>
        </w:r>
      </w:hyperlink>
    </w:p>
    <w:p w14:paraId="734E981D" w14:textId="77777777" w:rsidR="003E1AA3" w:rsidRDefault="003E1AA3" w:rsidP="00ED704E">
      <w:pPr>
        <w:pStyle w:val="TOC3"/>
        <w:rPr>
          <w:rFonts w:asciiTheme="minorHAnsi" w:eastAsiaTheme="minorEastAsia" w:hAnsiTheme="minorHAnsi" w:cstheme="minorBidi"/>
          <w:sz w:val="22"/>
          <w:szCs w:val="22"/>
          <w:rtl/>
        </w:rPr>
      </w:pPr>
      <w:hyperlink w:anchor="_Toc145233901" w:history="1">
        <w:r w:rsidRPr="0054718A">
          <w:rPr>
            <w:rStyle w:val="Hyperlink"/>
            <w:rtl/>
          </w:rPr>
          <w:t>בי' הרא"ה דאף לשמואל יש בנין מדלא נח' בכל כלים וכדמו' במטה וכן לריו"ח אך קיי"ל כרבא</w:t>
        </w:r>
      </w:hyperlink>
    </w:p>
    <w:p w14:paraId="292E95FC" w14:textId="77777777" w:rsidR="003E1AA3" w:rsidRDefault="003E1AA3" w:rsidP="00ED704E">
      <w:pPr>
        <w:pStyle w:val="TOC3"/>
        <w:rPr>
          <w:rFonts w:asciiTheme="minorHAnsi" w:eastAsiaTheme="minorEastAsia" w:hAnsiTheme="minorHAnsi" w:cstheme="minorBidi"/>
          <w:sz w:val="22"/>
          <w:szCs w:val="22"/>
          <w:rtl/>
        </w:rPr>
      </w:pPr>
      <w:hyperlink w:anchor="_Toc145233902" w:history="1">
        <w:r w:rsidRPr="0054718A">
          <w:rPr>
            <w:rStyle w:val="Hyperlink"/>
            <w:rtl/>
          </w:rPr>
          <w:t>בי' הי"מ בר"ן דלרב ושמואל יש בנין בכלים ולר"א ור"ה אין בנין בכלים ותוקע חייב במכב"פ</w:t>
        </w:r>
      </w:hyperlink>
    </w:p>
    <w:p w14:paraId="7B3CAB5A" w14:textId="77777777" w:rsidR="003E1AA3" w:rsidRDefault="003E1AA3" w:rsidP="00ED704E">
      <w:pPr>
        <w:pStyle w:val="TOC3"/>
        <w:rPr>
          <w:rFonts w:asciiTheme="minorHAnsi" w:eastAsiaTheme="minorEastAsia" w:hAnsiTheme="minorHAnsi" w:cstheme="minorBidi"/>
          <w:sz w:val="22"/>
          <w:szCs w:val="22"/>
          <w:rtl/>
        </w:rPr>
      </w:pPr>
      <w:hyperlink w:anchor="_Toc145233903" w:history="1">
        <w:r w:rsidRPr="0054718A">
          <w:rPr>
            <w:rStyle w:val="Hyperlink"/>
            <w:rtl/>
          </w:rPr>
          <w:t>בי' הר"ן דמוכח בשופתא דלרב יש בנין בכלים ושמואל ס"ל דשופתא ולול לא הוי דרך בנין</w:t>
        </w:r>
      </w:hyperlink>
    </w:p>
    <w:p w14:paraId="61868E7C" w14:textId="77777777" w:rsidR="003E1AA3" w:rsidRDefault="003E1AA3" w:rsidP="00ED704E">
      <w:pPr>
        <w:pStyle w:val="TOC3"/>
        <w:rPr>
          <w:rFonts w:asciiTheme="minorHAnsi" w:eastAsiaTheme="minorEastAsia" w:hAnsiTheme="minorHAnsi" w:cstheme="minorBidi"/>
          <w:sz w:val="22"/>
          <w:szCs w:val="22"/>
          <w:rtl/>
        </w:rPr>
      </w:pPr>
      <w:hyperlink w:anchor="_Toc145233904" w:history="1">
        <w:r w:rsidRPr="0054718A">
          <w:rPr>
            <w:rStyle w:val="Hyperlink"/>
            <w:rtl/>
          </w:rPr>
          <w:t>בי' הר"ן ברי"ף דקיי"ל כרבא דאין בנין בכלים ולא כריו"ח ורב ושמואל דיש בנין בכלים</w:t>
        </w:r>
      </w:hyperlink>
    </w:p>
    <w:p w14:paraId="02150F61" w14:textId="77777777" w:rsidR="003E1AA3" w:rsidRDefault="003E1AA3" w:rsidP="003E1AA3">
      <w:pPr>
        <w:pStyle w:val="TOC1"/>
        <w:rPr>
          <w:rFonts w:asciiTheme="minorHAnsi" w:hAnsiTheme="minorHAnsi" w:cstheme="minorBidi"/>
          <w:b w:val="0"/>
          <w:bCs w:val="0"/>
          <w:caps w:val="0"/>
          <w:sz w:val="22"/>
          <w:szCs w:val="22"/>
          <w:rtl/>
        </w:rPr>
      </w:pPr>
      <w:hyperlink w:anchor="_Toc145233905" w:history="1">
        <w:r w:rsidRPr="0054718A">
          <w:rPr>
            <w:rStyle w:val="Hyperlink"/>
            <w:rtl/>
          </w:rPr>
          <w:t>ד' התוס' דעושה כלי בתחילה הוי בונה</w:t>
        </w:r>
      </w:hyperlink>
    </w:p>
    <w:p w14:paraId="7CFBB807" w14:textId="1728DF7D" w:rsidR="003E1AA3" w:rsidRPr="00EC2B00" w:rsidRDefault="003E1AA3" w:rsidP="003E1AA3">
      <w:pPr>
        <w:pStyle w:val="afffffffff0"/>
        <w:rPr>
          <w:rtl/>
        </w:rPr>
      </w:pPr>
      <w:r w:rsidRPr="00D6711C">
        <w:rPr>
          <w:b/>
          <w:bCs/>
          <w:rtl/>
        </w:rPr>
        <w:fldChar w:fldCharType="begin"/>
      </w:r>
      <w:r w:rsidRPr="00D6711C">
        <w:rPr>
          <w:b/>
          <w:bCs/>
          <w:rtl/>
        </w:rPr>
        <w:instrText xml:space="preserve"> </w:instrText>
      </w:r>
      <w:r w:rsidRPr="00D6711C">
        <w:rPr>
          <w:rFonts w:hint="cs"/>
          <w:b/>
          <w:bCs/>
        </w:rPr>
        <w:instrText>REF</w:instrText>
      </w:r>
      <w:r w:rsidRPr="00D6711C">
        <w:rPr>
          <w:rFonts w:hint="cs"/>
          <w:b/>
          <w:bCs/>
          <w:rtl/>
        </w:rPr>
        <w:instrText xml:space="preserve"> _</w:instrText>
      </w:r>
      <w:r w:rsidRPr="00D6711C">
        <w:rPr>
          <w:rFonts w:hint="cs"/>
          <w:b/>
          <w:bCs/>
        </w:rPr>
        <w:instrText>Ref143771934 \r \h</w:instrText>
      </w:r>
      <w:r w:rsidRPr="00D6711C">
        <w:rPr>
          <w:b/>
          <w:bCs/>
          <w:rtl/>
        </w:rPr>
        <w:instrText xml:space="preserve">  \* </w:instrText>
      </w:r>
      <w:r w:rsidRPr="00D6711C">
        <w:rPr>
          <w:b/>
          <w:bCs/>
        </w:rPr>
        <w:instrText>MERGEFORMAT</w:instrText>
      </w:r>
      <w:r w:rsidRPr="00D6711C">
        <w:rPr>
          <w:b/>
          <w:bCs/>
          <w:rtl/>
        </w:rPr>
        <w:instrText xml:space="preserve"> </w:instrText>
      </w:r>
      <w:r w:rsidRPr="00D6711C">
        <w:rPr>
          <w:b/>
          <w:bCs/>
          <w:rtl/>
        </w:rPr>
      </w:r>
      <w:r w:rsidRPr="00D6711C">
        <w:rPr>
          <w:b/>
          <w:bCs/>
          <w:rtl/>
        </w:rPr>
        <w:fldChar w:fldCharType="separate"/>
      </w:r>
      <w:r w:rsidR="00D82181">
        <w:rPr>
          <w:b/>
          <w:bCs/>
          <w:cs/>
        </w:rPr>
        <w:t>‎</w:t>
      </w:r>
      <w:r w:rsidR="00D82181">
        <w:rPr>
          <w:b/>
          <w:bCs/>
          <w:rtl/>
        </w:rPr>
        <w:t>כ)</w:t>
      </w:r>
      <w:r w:rsidRPr="00D6711C">
        <w:rPr>
          <w:b/>
          <w:bCs/>
          <w:rtl/>
        </w:rPr>
        <w:fldChar w:fldCharType="end"/>
      </w:r>
      <w:r w:rsidRPr="00D6711C">
        <w:rPr>
          <w:rFonts w:hint="cs"/>
          <w:b/>
          <w:bCs/>
          <w:rtl/>
        </w:rPr>
        <w:t xml:space="preserve"> </w:t>
      </w:r>
      <w:r w:rsidRPr="00592319">
        <w:rPr>
          <w:rFonts w:hint="cs"/>
          <w:rtl/>
        </w:rPr>
        <w:t>ר"י בתוס'</w:t>
      </w:r>
      <w:r w:rsidRPr="00EC2B00">
        <w:rPr>
          <w:rFonts w:hint="cs"/>
          <w:rtl/>
        </w:rPr>
        <w:t xml:space="preserve"> </w:t>
      </w:r>
      <w:r w:rsidRPr="00EC2B00">
        <w:rPr>
          <w:rStyle w:val="afffffffff3"/>
          <w:rFonts w:hint="cs"/>
          <w:rtl/>
        </w:rPr>
        <w:t>(ד"ה האי)</w:t>
      </w:r>
      <w:r w:rsidRPr="00D6711C">
        <w:rPr>
          <w:b/>
          <w:bCs/>
          <w:rtl/>
        </w:rPr>
        <w:t>,</w:t>
      </w:r>
      <w:r w:rsidRPr="00D6711C">
        <w:rPr>
          <w:rFonts w:hint="cs"/>
          <w:b/>
          <w:bCs/>
          <w:rtl/>
        </w:rPr>
        <w:t xml:space="preserve"> </w:t>
      </w:r>
      <w:r w:rsidRPr="00D6711C">
        <w:rPr>
          <w:b/>
          <w:bCs/>
          <w:rtl/>
        </w:rPr>
        <w:fldChar w:fldCharType="begin"/>
      </w:r>
      <w:r w:rsidRPr="00D6711C">
        <w:rPr>
          <w:b/>
          <w:bCs/>
          <w:rtl/>
        </w:rPr>
        <w:instrText xml:space="preserve"> </w:instrText>
      </w:r>
      <w:r w:rsidRPr="00D6711C">
        <w:rPr>
          <w:rFonts w:hint="cs"/>
          <w:b/>
          <w:bCs/>
        </w:rPr>
        <w:instrText>REF</w:instrText>
      </w:r>
      <w:r w:rsidRPr="00D6711C">
        <w:rPr>
          <w:rFonts w:hint="cs"/>
          <w:b/>
          <w:bCs/>
          <w:rtl/>
        </w:rPr>
        <w:instrText xml:space="preserve"> _</w:instrText>
      </w:r>
      <w:r w:rsidRPr="00D6711C">
        <w:rPr>
          <w:rFonts w:hint="cs"/>
          <w:b/>
          <w:bCs/>
        </w:rPr>
        <w:instrText>Ref144829094 \r \h</w:instrText>
      </w:r>
      <w:r w:rsidRPr="00D6711C">
        <w:rPr>
          <w:b/>
          <w:bCs/>
          <w:rtl/>
        </w:rPr>
        <w:instrText xml:space="preserve">  \* </w:instrText>
      </w:r>
      <w:r w:rsidRPr="00D6711C">
        <w:rPr>
          <w:b/>
          <w:bCs/>
        </w:rPr>
        <w:instrText>MERGEFORMAT</w:instrText>
      </w:r>
      <w:r w:rsidRPr="00D6711C">
        <w:rPr>
          <w:b/>
          <w:bCs/>
          <w:rtl/>
        </w:rPr>
        <w:instrText xml:space="preserve"> </w:instrText>
      </w:r>
      <w:r w:rsidRPr="00D6711C">
        <w:rPr>
          <w:b/>
          <w:bCs/>
          <w:rtl/>
        </w:rPr>
      </w:r>
      <w:r w:rsidRPr="00D6711C">
        <w:rPr>
          <w:b/>
          <w:bCs/>
          <w:rtl/>
        </w:rPr>
        <w:fldChar w:fldCharType="separate"/>
      </w:r>
      <w:r w:rsidR="00D82181">
        <w:rPr>
          <w:b/>
          <w:bCs/>
          <w:cs/>
        </w:rPr>
        <w:t>‎</w:t>
      </w:r>
      <w:r w:rsidR="00D82181">
        <w:rPr>
          <w:b/>
          <w:bCs/>
          <w:rtl/>
        </w:rPr>
        <w:t>כא)</w:t>
      </w:r>
      <w:r w:rsidRPr="00D6711C">
        <w:rPr>
          <w:b/>
          <w:bCs/>
          <w:rtl/>
        </w:rPr>
        <w:fldChar w:fldCharType="end"/>
      </w:r>
      <w:r w:rsidRPr="00EC2B00">
        <w:rPr>
          <w:rFonts w:hint="cs"/>
          <w:b/>
          <w:bCs/>
          <w:rtl/>
        </w:rPr>
        <w:t xml:space="preserve"> </w:t>
      </w:r>
      <w:r w:rsidRPr="00EC2B00">
        <w:rPr>
          <w:rFonts w:hint="cs"/>
          <w:rtl/>
        </w:rPr>
        <w:t>תוס' הרא"ש</w:t>
      </w:r>
      <w:r w:rsidRPr="00EC2B00">
        <w:rPr>
          <w:rtl/>
        </w:rPr>
        <w:t xml:space="preserve"> </w:t>
      </w:r>
      <w:r w:rsidRPr="00EC2B00">
        <w:rPr>
          <w:rStyle w:val="afffffffff3"/>
          <w:rtl/>
        </w:rPr>
        <w:t>(</w:t>
      </w:r>
      <w:r w:rsidRPr="00EC2B00">
        <w:rPr>
          <w:rStyle w:val="afffffffff3"/>
          <w:rFonts w:hint="cs"/>
          <w:rtl/>
        </w:rPr>
        <w:t>ד"ה עייל</w:t>
      </w:r>
      <w:r w:rsidRPr="00EC2B00">
        <w:rPr>
          <w:rStyle w:val="afffffffff3"/>
          <w:rtl/>
        </w:rPr>
        <w:t>)</w:t>
      </w:r>
      <w:r>
        <w:rPr>
          <w:rtl/>
        </w:rPr>
        <w:t>.</w:t>
      </w:r>
      <w:r w:rsidRPr="00EC2B00">
        <w:rPr>
          <w:b/>
          <w:bCs/>
          <w:rtl/>
        </w:rPr>
        <w:t xml:space="preserve"> </w:t>
      </w:r>
      <w:r w:rsidRPr="00EC2B00">
        <w:rPr>
          <w:b/>
          <w:bCs/>
          <w:rtl/>
        </w:rPr>
        <w:fldChar w:fldCharType="begin"/>
      </w:r>
      <w:r w:rsidRPr="00EC2B00">
        <w:rPr>
          <w:b/>
          <w:bCs/>
          <w:rtl/>
        </w:rPr>
        <w:instrText xml:space="preserve"> </w:instrText>
      </w:r>
      <w:r w:rsidRPr="00EC2B00">
        <w:rPr>
          <w:b/>
          <w:bCs/>
        </w:rPr>
        <w:instrText>REF</w:instrText>
      </w:r>
      <w:r w:rsidRPr="00EC2B00">
        <w:rPr>
          <w:b/>
          <w:bCs/>
          <w:rtl/>
        </w:rPr>
        <w:instrText xml:space="preserve"> _</w:instrText>
      </w:r>
      <w:r w:rsidRPr="00EC2B00">
        <w:rPr>
          <w:b/>
          <w:bCs/>
        </w:rPr>
        <w:instrText>Ref144286018 \r \h</w:instrText>
      </w:r>
      <w:r w:rsidRPr="00EC2B00">
        <w:rPr>
          <w:b/>
          <w:bCs/>
          <w:rtl/>
        </w:rPr>
        <w:instrText xml:space="preserve">  \* </w:instrText>
      </w:r>
      <w:r w:rsidRPr="00EC2B00">
        <w:rPr>
          <w:b/>
          <w:bCs/>
        </w:rPr>
        <w:instrText>MERGEFORMAT</w:instrText>
      </w:r>
      <w:r w:rsidRPr="00EC2B00">
        <w:rPr>
          <w:b/>
          <w:bCs/>
          <w:rtl/>
        </w:rPr>
        <w:instrText xml:space="preserve"> </w:instrText>
      </w:r>
      <w:r w:rsidRPr="00EC2B00">
        <w:rPr>
          <w:b/>
          <w:bCs/>
          <w:rtl/>
        </w:rPr>
      </w:r>
      <w:r w:rsidRPr="00EC2B00">
        <w:rPr>
          <w:b/>
          <w:bCs/>
          <w:rtl/>
        </w:rPr>
        <w:fldChar w:fldCharType="separate"/>
      </w:r>
      <w:r w:rsidR="00D82181">
        <w:rPr>
          <w:b/>
          <w:bCs/>
          <w:cs/>
        </w:rPr>
        <w:t>‎</w:t>
      </w:r>
      <w:r w:rsidR="00D82181">
        <w:rPr>
          <w:b/>
          <w:bCs/>
          <w:rtl/>
        </w:rPr>
        <w:t>כב)</w:t>
      </w:r>
      <w:r w:rsidRPr="00EC2B00">
        <w:rPr>
          <w:b/>
          <w:bCs/>
          <w:rtl/>
        </w:rPr>
        <w:fldChar w:fldCharType="end"/>
      </w:r>
      <w:r>
        <w:rPr>
          <w:b/>
          <w:bCs/>
          <w:rtl/>
        </w:rPr>
        <w:t xml:space="preserve"> </w:t>
      </w:r>
      <w:r w:rsidRPr="00EC2B00">
        <w:rPr>
          <w:rFonts w:hint="cs"/>
          <w:rtl/>
        </w:rPr>
        <w:t xml:space="preserve">תוס' בביצה </w:t>
      </w:r>
      <w:r w:rsidRPr="00EC2B00">
        <w:rPr>
          <w:rStyle w:val="afffffffff3"/>
          <w:rtl/>
        </w:rPr>
        <w:t>(</w:t>
      </w:r>
      <w:r w:rsidRPr="00EC2B00">
        <w:rPr>
          <w:rStyle w:val="afffffffff3"/>
          <w:rFonts w:hint="cs"/>
          <w:rtl/>
        </w:rPr>
        <w:t>יא: ד"ה מהו</w:t>
      </w:r>
      <w:r w:rsidRPr="00EC2B00">
        <w:rPr>
          <w:rStyle w:val="afffffffff3"/>
          <w:rtl/>
        </w:rPr>
        <w:t>)</w:t>
      </w:r>
      <w:r w:rsidRPr="00D6711C">
        <w:rPr>
          <w:b/>
          <w:bCs/>
          <w:rtl/>
        </w:rPr>
        <w:t xml:space="preserve">, </w:t>
      </w:r>
      <w:r w:rsidRPr="00D6711C">
        <w:rPr>
          <w:b/>
          <w:bCs/>
          <w:rtl/>
        </w:rPr>
        <w:fldChar w:fldCharType="begin"/>
      </w:r>
      <w:r w:rsidRPr="00D6711C">
        <w:rPr>
          <w:b/>
          <w:bCs/>
          <w:rtl/>
        </w:rPr>
        <w:instrText xml:space="preserve"> </w:instrText>
      </w:r>
      <w:r w:rsidRPr="00D6711C">
        <w:rPr>
          <w:b/>
          <w:bCs/>
        </w:rPr>
        <w:instrText>REF</w:instrText>
      </w:r>
      <w:r w:rsidRPr="00D6711C">
        <w:rPr>
          <w:b/>
          <w:bCs/>
          <w:rtl/>
        </w:rPr>
        <w:instrText xml:space="preserve"> _</w:instrText>
      </w:r>
      <w:r w:rsidRPr="00D6711C">
        <w:rPr>
          <w:b/>
          <w:bCs/>
        </w:rPr>
        <w:instrText>Ref144325248 \r \h</w:instrText>
      </w:r>
      <w:r w:rsidRPr="00D6711C">
        <w:rPr>
          <w:b/>
          <w:bCs/>
          <w:rtl/>
        </w:rPr>
        <w:instrText xml:space="preserve">  \* </w:instrText>
      </w:r>
      <w:r w:rsidRPr="00D6711C">
        <w:rPr>
          <w:b/>
          <w:bCs/>
        </w:rPr>
        <w:instrText>MERGEFORMAT</w:instrText>
      </w:r>
      <w:r w:rsidRPr="00D6711C">
        <w:rPr>
          <w:b/>
          <w:bCs/>
          <w:rtl/>
        </w:rPr>
        <w:instrText xml:space="preserve"> </w:instrText>
      </w:r>
      <w:r w:rsidRPr="00D6711C">
        <w:rPr>
          <w:b/>
          <w:bCs/>
          <w:rtl/>
        </w:rPr>
      </w:r>
      <w:r w:rsidRPr="00D6711C">
        <w:rPr>
          <w:b/>
          <w:bCs/>
          <w:rtl/>
        </w:rPr>
        <w:fldChar w:fldCharType="separate"/>
      </w:r>
      <w:r w:rsidR="00D82181">
        <w:rPr>
          <w:b/>
          <w:bCs/>
          <w:cs/>
        </w:rPr>
        <w:t>‎</w:t>
      </w:r>
      <w:r w:rsidR="00D82181">
        <w:rPr>
          <w:b/>
          <w:bCs/>
          <w:rtl/>
        </w:rPr>
        <w:t>כג)</w:t>
      </w:r>
      <w:r w:rsidRPr="00D6711C">
        <w:rPr>
          <w:b/>
          <w:bCs/>
          <w:rtl/>
        </w:rPr>
        <w:fldChar w:fldCharType="end"/>
      </w:r>
      <w:r w:rsidRPr="00EC2B00">
        <w:rPr>
          <w:b/>
          <w:bCs/>
          <w:rtl/>
        </w:rPr>
        <w:t xml:space="preserve"> </w:t>
      </w:r>
      <w:r w:rsidRPr="00EC2B00">
        <w:rPr>
          <w:rFonts w:hint="cs"/>
          <w:rtl/>
        </w:rPr>
        <w:t>רשב"א</w:t>
      </w:r>
      <w:r w:rsidRPr="00EC2B00">
        <w:rPr>
          <w:rtl/>
        </w:rPr>
        <w:t xml:space="preserve"> </w:t>
      </w:r>
      <w:r w:rsidRPr="00EC2B00">
        <w:rPr>
          <w:rStyle w:val="afffffffff3"/>
          <w:rtl/>
        </w:rPr>
        <w:t>(</w:t>
      </w:r>
      <w:r w:rsidRPr="00EC2B00">
        <w:rPr>
          <w:rStyle w:val="afffffffff3"/>
          <w:rFonts w:hint="cs"/>
          <w:rtl/>
        </w:rPr>
        <w:t>ד"ה האי</w:t>
      </w:r>
      <w:r w:rsidRPr="00EC2B00">
        <w:rPr>
          <w:rStyle w:val="afffffffff3"/>
          <w:rtl/>
        </w:rPr>
        <w:t>)</w:t>
      </w:r>
      <w:r w:rsidRPr="00D6711C">
        <w:rPr>
          <w:b/>
          <w:bCs/>
          <w:rtl/>
        </w:rPr>
        <w:t xml:space="preserve">, </w:t>
      </w:r>
      <w:r w:rsidRPr="00D6711C">
        <w:rPr>
          <w:b/>
          <w:bCs/>
          <w:rtl/>
        </w:rPr>
        <w:fldChar w:fldCharType="begin"/>
      </w:r>
      <w:r w:rsidRPr="00D6711C">
        <w:rPr>
          <w:b/>
          <w:bCs/>
          <w:rtl/>
        </w:rPr>
        <w:instrText xml:space="preserve"> </w:instrText>
      </w:r>
      <w:r w:rsidRPr="00D6711C">
        <w:rPr>
          <w:b/>
          <w:bCs/>
        </w:rPr>
        <w:instrText>REF</w:instrText>
      </w:r>
      <w:r w:rsidRPr="00D6711C">
        <w:rPr>
          <w:b/>
          <w:bCs/>
          <w:rtl/>
        </w:rPr>
        <w:instrText xml:space="preserve"> _</w:instrText>
      </w:r>
      <w:r w:rsidRPr="00D6711C">
        <w:rPr>
          <w:b/>
          <w:bCs/>
        </w:rPr>
        <w:instrText>Ref144327763 \r \h</w:instrText>
      </w:r>
      <w:r w:rsidRPr="00D6711C">
        <w:rPr>
          <w:b/>
          <w:bCs/>
          <w:rtl/>
        </w:rPr>
        <w:instrText xml:space="preserve">  \* </w:instrText>
      </w:r>
      <w:r w:rsidRPr="00D6711C">
        <w:rPr>
          <w:b/>
          <w:bCs/>
        </w:rPr>
        <w:instrText>MERGEFORMAT</w:instrText>
      </w:r>
      <w:r w:rsidRPr="00D6711C">
        <w:rPr>
          <w:b/>
          <w:bCs/>
          <w:rtl/>
        </w:rPr>
        <w:instrText xml:space="preserve"> </w:instrText>
      </w:r>
      <w:r w:rsidRPr="00D6711C">
        <w:rPr>
          <w:b/>
          <w:bCs/>
          <w:rtl/>
        </w:rPr>
      </w:r>
      <w:r w:rsidRPr="00D6711C">
        <w:rPr>
          <w:b/>
          <w:bCs/>
          <w:rtl/>
        </w:rPr>
        <w:fldChar w:fldCharType="separate"/>
      </w:r>
      <w:r w:rsidR="00D82181">
        <w:rPr>
          <w:b/>
          <w:bCs/>
          <w:cs/>
        </w:rPr>
        <w:t>‎</w:t>
      </w:r>
      <w:r w:rsidR="00D82181">
        <w:rPr>
          <w:b/>
          <w:bCs/>
          <w:rtl/>
        </w:rPr>
        <w:t>כו)</w:t>
      </w:r>
      <w:r w:rsidRPr="00D6711C">
        <w:rPr>
          <w:b/>
          <w:bCs/>
          <w:rtl/>
        </w:rPr>
        <w:fldChar w:fldCharType="end"/>
      </w:r>
      <w:r w:rsidRPr="00EC2B00">
        <w:rPr>
          <w:b/>
          <w:bCs/>
          <w:rtl/>
        </w:rPr>
        <w:t xml:space="preserve"> </w:t>
      </w:r>
      <w:r w:rsidRPr="00EC2B00">
        <w:rPr>
          <w:rFonts w:hint="cs"/>
          <w:rtl/>
        </w:rPr>
        <w:t>ריטב"א</w:t>
      </w:r>
      <w:r w:rsidRPr="00EC2B00">
        <w:rPr>
          <w:rtl/>
        </w:rPr>
        <w:t xml:space="preserve"> </w:t>
      </w:r>
      <w:r w:rsidRPr="00EC2B00">
        <w:rPr>
          <w:rStyle w:val="afffffffff3"/>
          <w:rtl/>
        </w:rPr>
        <w:t>(</w:t>
      </w:r>
      <w:r w:rsidRPr="00EC2B00">
        <w:rPr>
          <w:rStyle w:val="afffffffff3"/>
          <w:rFonts w:hint="cs"/>
          <w:rtl/>
        </w:rPr>
        <w:t>ד"ה עייל</w:t>
      </w:r>
      <w:r w:rsidRPr="00EC2B00">
        <w:rPr>
          <w:rStyle w:val="afffffffff3"/>
          <w:rtl/>
        </w:rPr>
        <w:t>)</w:t>
      </w:r>
      <w:r w:rsidRPr="00D6711C">
        <w:rPr>
          <w:b/>
          <w:bCs/>
          <w:rtl/>
        </w:rPr>
        <w:t xml:space="preserve">, </w:t>
      </w:r>
      <w:r w:rsidRPr="00D6711C">
        <w:rPr>
          <w:b/>
          <w:bCs/>
          <w:rtl/>
        </w:rPr>
        <w:fldChar w:fldCharType="begin"/>
      </w:r>
      <w:r w:rsidRPr="00D6711C">
        <w:rPr>
          <w:b/>
          <w:bCs/>
          <w:rtl/>
        </w:rPr>
        <w:instrText xml:space="preserve"> </w:instrText>
      </w:r>
      <w:r w:rsidRPr="00D6711C">
        <w:rPr>
          <w:b/>
          <w:bCs/>
        </w:rPr>
        <w:instrText>REF</w:instrText>
      </w:r>
      <w:r w:rsidRPr="00D6711C">
        <w:rPr>
          <w:b/>
          <w:bCs/>
          <w:rtl/>
        </w:rPr>
        <w:instrText xml:space="preserve"> _</w:instrText>
      </w:r>
      <w:r w:rsidRPr="00D6711C">
        <w:rPr>
          <w:b/>
          <w:bCs/>
        </w:rPr>
        <w:instrText>Ref144714942 \r \h</w:instrText>
      </w:r>
      <w:r w:rsidRPr="00D6711C">
        <w:rPr>
          <w:b/>
          <w:bCs/>
          <w:rtl/>
        </w:rPr>
        <w:instrText xml:space="preserve">  \* </w:instrText>
      </w:r>
      <w:r w:rsidRPr="00D6711C">
        <w:rPr>
          <w:b/>
          <w:bCs/>
        </w:rPr>
        <w:instrText>MERGEFORMAT</w:instrText>
      </w:r>
      <w:r w:rsidRPr="00D6711C">
        <w:rPr>
          <w:b/>
          <w:bCs/>
          <w:rtl/>
        </w:rPr>
        <w:instrText xml:space="preserve"> </w:instrText>
      </w:r>
      <w:r w:rsidRPr="00D6711C">
        <w:rPr>
          <w:b/>
          <w:bCs/>
          <w:rtl/>
        </w:rPr>
      </w:r>
      <w:r w:rsidRPr="00D6711C">
        <w:rPr>
          <w:b/>
          <w:bCs/>
          <w:rtl/>
        </w:rPr>
        <w:fldChar w:fldCharType="separate"/>
      </w:r>
      <w:r w:rsidR="00D82181">
        <w:rPr>
          <w:b/>
          <w:bCs/>
          <w:cs/>
        </w:rPr>
        <w:t>‎</w:t>
      </w:r>
      <w:r w:rsidR="00D82181">
        <w:rPr>
          <w:b/>
          <w:bCs/>
          <w:rtl/>
        </w:rPr>
        <w:t>כז)</w:t>
      </w:r>
      <w:r w:rsidRPr="00D6711C">
        <w:rPr>
          <w:b/>
          <w:bCs/>
          <w:rtl/>
        </w:rPr>
        <w:fldChar w:fldCharType="end"/>
      </w:r>
      <w:r w:rsidRPr="00EC2B00">
        <w:rPr>
          <w:b/>
          <w:bCs/>
          <w:rtl/>
        </w:rPr>
        <w:t xml:space="preserve"> </w:t>
      </w:r>
      <w:r w:rsidRPr="00EC2B00">
        <w:rPr>
          <w:rFonts w:hint="cs"/>
          <w:rtl/>
        </w:rPr>
        <w:t>גר"א</w:t>
      </w:r>
      <w:r w:rsidRPr="00EC2B00">
        <w:rPr>
          <w:rtl/>
        </w:rPr>
        <w:t xml:space="preserve"> </w:t>
      </w:r>
      <w:r w:rsidRPr="00EC2B00">
        <w:rPr>
          <w:rStyle w:val="afffffffff3"/>
          <w:rtl/>
        </w:rPr>
        <w:t>(</w:t>
      </w:r>
      <w:r w:rsidRPr="00EC2B00">
        <w:rPr>
          <w:rStyle w:val="afffffffff3"/>
          <w:rFonts w:hint="cs"/>
          <w:rtl/>
        </w:rPr>
        <w:t>סי' שי"ד סק"ב</w:t>
      </w:r>
      <w:r w:rsidRPr="00EC2B00">
        <w:rPr>
          <w:rStyle w:val="afffffffff3"/>
          <w:rtl/>
        </w:rPr>
        <w:t>)</w:t>
      </w:r>
      <w:r w:rsidRPr="00D6711C">
        <w:rPr>
          <w:b/>
          <w:bCs/>
          <w:rtl/>
        </w:rPr>
        <w:t xml:space="preserve">, </w:t>
      </w:r>
      <w:r w:rsidRPr="00D6711C">
        <w:rPr>
          <w:b/>
          <w:bCs/>
          <w:rtl/>
        </w:rPr>
        <w:fldChar w:fldCharType="begin"/>
      </w:r>
      <w:r w:rsidRPr="00D6711C">
        <w:rPr>
          <w:b/>
          <w:bCs/>
          <w:rtl/>
        </w:rPr>
        <w:instrText xml:space="preserve"> </w:instrText>
      </w:r>
      <w:r w:rsidRPr="00D6711C">
        <w:rPr>
          <w:b/>
          <w:bCs/>
        </w:rPr>
        <w:instrText>REF</w:instrText>
      </w:r>
      <w:r w:rsidRPr="00D6711C">
        <w:rPr>
          <w:b/>
          <w:bCs/>
          <w:rtl/>
        </w:rPr>
        <w:instrText xml:space="preserve"> _</w:instrText>
      </w:r>
      <w:r w:rsidRPr="00D6711C">
        <w:rPr>
          <w:b/>
          <w:bCs/>
        </w:rPr>
        <w:instrText>Ref144671047 \r \h</w:instrText>
      </w:r>
      <w:r w:rsidRPr="00D6711C">
        <w:rPr>
          <w:b/>
          <w:bCs/>
          <w:rtl/>
        </w:rPr>
        <w:instrText xml:space="preserve">  \* </w:instrText>
      </w:r>
      <w:r w:rsidRPr="00D6711C">
        <w:rPr>
          <w:b/>
          <w:bCs/>
        </w:rPr>
        <w:instrText>MERGEFORMAT</w:instrText>
      </w:r>
      <w:r w:rsidRPr="00D6711C">
        <w:rPr>
          <w:b/>
          <w:bCs/>
          <w:rtl/>
        </w:rPr>
        <w:instrText xml:space="preserve"> </w:instrText>
      </w:r>
      <w:r w:rsidRPr="00D6711C">
        <w:rPr>
          <w:b/>
          <w:bCs/>
          <w:rtl/>
        </w:rPr>
      </w:r>
      <w:r w:rsidRPr="00D6711C">
        <w:rPr>
          <w:b/>
          <w:bCs/>
          <w:rtl/>
        </w:rPr>
        <w:fldChar w:fldCharType="separate"/>
      </w:r>
      <w:r w:rsidR="00D82181">
        <w:rPr>
          <w:b/>
          <w:bCs/>
          <w:cs/>
        </w:rPr>
        <w:t>‎</w:t>
      </w:r>
      <w:r w:rsidR="00D82181">
        <w:rPr>
          <w:b/>
          <w:bCs/>
          <w:rtl/>
        </w:rPr>
        <w:t>כט)</w:t>
      </w:r>
      <w:r w:rsidRPr="00D6711C">
        <w:rPr>
          <w:b/>
          <w:bCs/>
          <w:rtl/>
        </w:rPr>
        <w:fldChar w:fldCharType="end"/>
      </w:r>
      <w:r>
        <w:rPr>
          <w:b/>
          <w:bCs/>
          <w:rtl/>
        </w:rPr>
        <w:t xml:space="preserve"> </w:t>
      </w:r>
      <w:r w:rsidRPr="00EC2B00">
        <w:rPr>
          <w:rtl/>
        </w:rPr>
        <w:t>ה</w:t>
      </w:r>
      <w:r w:rsidRPr="00EC2B00">
        <w:rPr>
          <w:rFonts w:hint="cs"/>
          <w:rtl/>
        </w:rPr>
        <w:t>גרי"א ספקטור בשו"ת באר יצחק</w:t>
      </w:r>
      <w:r w:rsidRPr="00EC2B00">
        <w:rPr>
          <w:rtl/>
        </w:rPr>
        <w:t xml:space="preserve"> </w:t>
      </w:r>
      <w:r w:rsidRPr="00EC2B00">
        <w:rPr>
          <w:rStyle w:val="afffffffff3"/>
          <w:rtl/>
        </w:rPr>
        <w:t>(</w:t>
      </w:r>
      <w:r w:rsidRPr="00EC2B00">
        <w:rPr>
          <w:rStyle w:val="afffffffff3"/>
          <w:rFonts w:hint="cs"/>
          <w:rtl/>
        </w:rPr>
        <w:t>או"ח סי' י"ג ענף ב' ד"ה אכן לכאורה</w:t>
      </w:r>
      <w:r w:rsidRPr="00EC2B00">
        <w:rPr>
          <w:rStyle w:val="afffffffff3"/>
          <w:rtl/>
        </w:rPr>
        <w:t>)</w:t>
      </w:r>
      <w:r w:rsidRPr="00D6711C">
        <w:rPr>
          <w:b/>
          <w:bCs/>
          <w:rtl/>
        </w:rPr>
        <w:t xml:space="preserve">, </w:t>
      </w:r>
      <w:r w:rsidRPr="00D6711C">
        <w:rPr>
          <w:b/>
          <w:bCs/>
          <w:rtl/>
        </w:rPr>
        <w:fldChar w:fldCharType="begin"/>
      </w:r>
      <w:r w:rsidRPr="00D6711C">
        <w:rPr>
          <w:b/>
          <w:bCs/>
          <w:rtl/>
        </w:rPr>
        <w:instrText xml:space="preserve"> </w:instrText>
      </w:r>
      <w:r w:rsidRPr="00D6711C">
        <w:rPr>
          <w:b/>
          <w:bCs/>
        </w:rPr>
        <w:instrText>REF</w:instrText>
      </w:r>
      <w:r w:rsidRPr="00D6711C">
        <w:rPr>
          <w:b/>
          <w:bCs/>
          <w:rtl/>
        </w:rPr>
        <w:instrText xml:space="preserve"> _</w:instrText>
      </w:r>
      <w:r w:rsidRPr="00D6711C">
        <w:rPr>
          <w:b/>
          <w:bCs/>
        </w:rPr>
        <w:instrText>Ref144671038 \r \h</w:instrText>
      </w:r>
      <w:r w:rsidRPr="00D6711C">
        <w:rPr>
          <w:b/>
          <w:bCs/>
          <w:rtl/>
        </w:rPr>
        <w:instrText xml:space="preserve">  \* </w:instrText>
      </w:r>
      <w:r w:rsidRPr="00D6711C">
        <w:rPr>
          <w:b/>
          <w:bCs/>
        </w:rPr>
        <w:instrText>MERGEFORMAT</w:instrText>
      </w:r>
      <w:r w:rsidRPr="00D6711C">
        <w:rPr>
          <w:b/>
          <w:bCs/>
          <w:rtl/>
        </w:rPr>
        <w:instrText xml:space="preserve"> </w:instrText>
      </w:r>
      <w:r w:rsidRPr="00D6711C">
        <w:rPr>
          <w:b/>
          <w:bCs/>
          <w:rtl/>
        </w:rPr>
      </w:r>
      <w:r w:rsidRPr="00D6711C">
        <w:rPr>
          <w:b/>
          <w:bCs/>
          <w:rtl/>
        </w:rPr>
        <w:fldChar w:fldCharType="separate"/>
      </w:r>
      <w:r w:rsidR="00D82181">
        <w:rPr>
          <w:b/>
          <w:bCs/>
          <w:cs/>
        </w:rPr>
        <w:t>‎</w:t>
      </w:r>
      <w:r w:rsidR="00D82181">
        <w:rPr>
          <w:b/>
          <w:bCs/>
          <w:rtl/>
        </w:rPr>
        <w:t>ל)</w:t>
      </w:r>
      <w:r w:rsidRPr="00D6711C">
        <w:rPr>
          <w:b/>
          <w:bCs/>
          <w:rtl/>
        </w:rPr>
        <w:fldChar w:fldCharType="end"/>
      </w:r>
      <w:r>
        <w:rPr>
          <w:b/>
          <w:bCs/>
          <w:rtl/>
        </w:rPr>
        <w:t xml:space="preserve"> </w:t>
      </w:r>
      <w:r w:rsidRPr="00EC2B00">
        <w:rPr>
          <w:rtl/>
        </w:rPr>
        <w:t>ה</w:t>
      </w:r>
      <w:r w:rsidRPr="00EC2B00">
        <w:rPr>
          <w:rFonts w:hint="cs"/>
          <w:rtl/>
        </w:rPr>
        <w:t>גרי"א ספקטור בשו"ת באר יצחק</w:t>
      </w:r>
      <w:r w:rsidRPr="00EC2B00">
        <w:rPr>
          <w:rtl/>
        </w:rPr>
        <w:t xml:space="preserve"> </w:t>
      </w:r>
      <w:r w:rsidRPr="00EC2B00">
        <w:rPr>
          <w:rStyle w:val="afffffffff3"/>
          <w:rtl/>
        </w:rPr>
        <w:t>(</w:t>
      </w:r>
      <w:r w:rsidRPr="00EC2B00">
        <w:rPr>
          <w:rStyle w:val="afffffffff3"/>
          <w:rFonts w:hint="cs"/>
          <w:rtl/>
        </w:rPr>
        <w:t>או"ח סי' י"ג ענף ב' ד"ה ונחזור</w:t>
      </w:r>
      <w:r w:rsidRPr="00EC2B00">
        <w:rPr>
          <w:rStyle w:val="afffffffff3"/>
          <w:rtl/>
        </w:rPr>
        <w:t>)</w:t>
      </w:r>
      <w:r w:rsidRPr="00D6711C">
        <w:rPr>
          <w:b/>
          <w:bCs/>
          <w:rtl/>
        </w:rPr>
        <w:t>,</w:t>
      </w:r>
      <w:r w:rsidRPr="00D6711C">
        <w:rPr>
          <w:rFonts w:hint="cs"/>
          <w:b/>
          <w:bCs/>
          <w:rtl/>
        </w:rPr>
        <w:t xml:space="preserve"> </w:t>
      </w:r>
      <w:r w:rsidRPr="00D6711C">
        <w:rPr>
          <w:b/>
          <w:bCs/>
          <w:rtl/>
        </w:rPr>
        <w:fldChar w:fldCharType="begin"/>
      </w:r>
      <w:r w:rsidRPr="00D6711C">
        <w:rPr>
          <w:b/>
          <w:bCs/>
          <w:rtl/>
        </w:rPr>
        <w:instrText xml:space="preserve"> </w:instrText>
      </w:r>
      <w:r w:rsidRPr="00D6711C">
        <w:rPr>
          <w:rFonts w:hint="cs"/>
          <w:b/>
          <w:bCs/>
        </w:rPr>
        <w:instrText>REF</w:instrText>
      </w:r>
      <w:r w:rsidRPr="00D6711C">
        <w:rPr>
          <w:rFonts w:hint="cs"/>
          <w:b/>
          <w:bCs/>
          <w:rtl/>
        </w:rPr>
        <w:instrText xml:space="preserve"> _</w:instrText>
      </w:r>
      <w:r w:rsidRPr="00D6711C">
        <w:rPr>
          <w:rFonts w:hint="cs"/>
          <w:b/>
          <w:bCs/>
        </w:rPr>
        <w:instrText>Ref143421195 \r \h</w:instrText>
      </w:r>
      <w:r w:rsidRPr="00D6711C">
        <w:rPr>
          <w:b/>
          <w:bCs/>
          <w:rtl/>
        </w:rPr>
        <w:instrText xml:space="preserve">  \* </w:instrText>
      </w:r>
      <w:r w:rsidRPr="00D6711C">
        <w:rPr>
          <w:b/>
          <w:bCs/>
        </w:rPr>
        <w:instrText>MERGEFORMAT</w:instrText>
      </w:r>
      <w:r w:rsidRPr="00D6711C">
        <w:rPr>
          <w:b/>
          <w:bCs/>
          <w:rtl/>
        </w:rPr>
        <w:instrText xml:space="preserve"> </w:instrText>
      </w:r>
      <w:r w:rsidRPr="00D6711C">
        <w:rPr>
          <w:b/>
          <w:bCs/>
          <w:rtl/>
        </w:rPr>
      </w:r>
      <w:r w:rsidRPr="00D6711C">
        <w:rPr>
          <w:b/>
          <w:bCs/>
          <w:rtl/>
        </w:rPr>
        <w:fldChar w:fldCharType="separate"/>
      </w:r>
      <w:r w:rsidR="00D82181">
        <w:rPr>
          <w:b/>
          <w:bCs/>
          <w:cs/>
        </w:rPr>
        <w:t>‎</w:t>
      </w:r>
      <w:r w:rsidR="00D82181">
        <w:rPr>
          <w:b/>
          <w:bCs/>
          <w:rtl/>
        </w:rPr>
        <w:t>ל)</w:t>
      </w:r>
      <w:r w:rsidRPr="00D6711C">
        <w:rPr>
          <w:b/>
          <w:bCs/>
          <w:rtl/>
        </w:rPr>
        <w:fldChar w:fldCharType="end"/>
      </w:r>
      <w:r w:rsidRPr="00592319">
        <w:rPr>
          <w:rFonts w:hint="cs"/>
          <w:rtl/>
        </w:rPr>
        <w:t xml:space="preserve"> תוס' לעיל</w:t>
      </w:r>
      <w:r w:rsidRPr="00EC2B00">
        <w:rPr>
          <w:rFonts w:hint="cs"/>
          <w:rtl/>
        </w:rPr>
        <w:t xml:space="preserve"> </w:t>
      </w:r>
      <w:r w:rsidRPr="00EC2B00">
        <w:rPr>
          <w:rStyle w:val="afffffffff3"/>
          <w:rFonts w:hint="cs"/>
          <w:rtl/>
        </w:rPr>
        <w:t>(עד: ד"ה חביתא)</w:t>
      </w:r>
      <w:r w:rsidRPr="00D6711C">
        <w:rPr>
          <w:b/>
          <w:bCs/>
          <w:rtl/>
        </w:rPr>
        <w:t>,</w:t>
      </w:r>
      <w:r w:rsidRPr="00D6711C">
        <w:rPr>
          <w:rFonts w:hint="cs"/>
          <w:b/>
          <w:bCs/>
          <w:rtl/>
        </w:rPr>
        <w:t xml:space="preserve"> </w:t>
      </w:r>
      <w:r w:rsidRPr="00D6711C">
        <w:rPr>
          <w:b/>
          <w:bCs/>
          <w:rtl/>
        </w:rPr>
        <w:fldChar w:fldCharType="begin"/>
      </w:r>
      <w:r w:rsidRPr="00D6711C">
        <w:rPr>
          <w:b/>
          <w:bCs/>
          <w:rtl/>
        </w:rPr>
        <w:instrText xml:space="preserve"> </w:instrText>
      </w:r>
      <w:r w:rsidRPr="00D6711C">
        <w:rPr>
          <w:rFonts w:hint="cs"/>
          <w:b/>
          <w:bCs/>
        </w:rPr>
        <w:instrText>REF</w:instrText>
      </w:r>
      <w:r w:rsidRPr="00D6711C">
        <w:rPr>
          <w:rFonts w:hint="cs"/>
          <w:b/>
          <w:bCs/>
          <w:rtl/>
        </w:rPr>
        <w:instrText xml:space="preserve"> _</w:instrText>
      </w:r>
      <w:r w:rsidRPr="00D6711C">
        <w:rPr>
          <w:rFonts w:hint="cs"/>
          <w:b/>
          <w:bCs/>
        </w:rPr>
        <w:instrText>Ref143549634 \r \h</w:instrText>
      </w:r>
      <w:r w:rsidRPr="00D6711C">
        <w:rPr>
          <w:b/>
          <w:bCs/>
          <w:rtl/>
        </w:rPr>
        <w:instrText xml:space="preserve">  \* </w:instrText>
      </w:r>
      <w:r w:rsidRPr="00D6711C">
        <w:rPr>
          <w:b/>
          <w:bCs/>
        </w:rPr>
        <w:instrText>MERGEFORMAT</w:instrText>
      </w:r>
      <w:r w:rsidRPr="00D6711C">
        <w:rPr>
          <w:b/>
          <w:bCs/>
          <w:rtl/>
        </w:rPr>
        <w:instrText xml:space="preserve"> </w:instrText>
      </w:r>
      <w:r w:rsidRPr="00D6711C">
        <w:rPr>
          <w:b/>
          <w:bCs/>
          <w:rtl/>
        </w:rPr>
      </w:r>
      <w:r w:rsidRPr="00D6711C">
        <w:rPr>
          <w:b/>
          <w:bCs/>
          <w:rtl/>
        </w:rPr>
        <w:fldChar w:fldCharType="separate"/>
      </w:r>
      <w:r w:rsidR="00D82181">
        <w:rPr>
          <w:b/>
          <w:bCs/>
          <w:cs/>
        </w:rPr>
        <w:t>‎</w:t>
      </w:r>
      <w:r w:rsidR="00D82181">
        <w:rPr>
          <w:b/>
          <w:bCs/>
          <w:rtl/>
        </w:rPr>
        <w:t>לא)</w:t>
      </w:r>
      <w:r w:rsidRPr="00D6711C">
        <w:rPr>
          <w:b/>
          <w:bCs/>
          <w:rtl/>
        </w:rPr>
        <w:fldChar w:fldCharType="end"/>
      </w:r>
      <w:r w:rsidRPr="00592319">
        <w:rPr>
          <w:rFonts w:hint="cs"/>
          <w:rtl/>
        </w:rPr>
        <w:t xml:space="preserve"> נצי"ב</w:t>
      </w:r>
      <w:r w:rsidRPr="00EC2B00">
        <w:rPr>
          <w:rFonts w:hint="cs"/>
          <w:rtl/>
        </w:rPr>
        <w:t xml:space="preserve"> </w:t>
      </w:r>
      <w:r w:rsidRPr="00EC2B00">
        <w:rPr>
          <w:rStyle w:val="afffffffff3"/>
          <w:rFonts w:hint="cs"/>
          <w:rtl/>
        </w:rPr>
        <w:t>(נז. ד"ה במשנה)</w:t>
      </w:r>
      <w:r>
        <w:rPr>
          <w:rtl/>
        </w:rPr>
        <w:t xml:space="preserve"> </w:t>
      </w:r>
      <w:r w:rsidRPr="00592319">
        <w:rPr>
          <w:rFonts w:hint="cs"/>
          <w:rtl/>
        </w:rPr>
        <w:t>קרבן העדה</w:t>
      </w:r>
      <w:r w:rsidRPr="00EC2B00">
        <w:rPr>
          <w:rFonts w:hint="cs"/>
          <w:rtl/>
        </w:rPr>
        <w:t xml:space="preserve"> </w:t>
      </w:r>
      <w:r w:rsidRPr="00EC2B00">
        <w:rPr>
          <w:rStyle w:val="afffffffff3"/>
          <w:rFonts w:hint="cs"/>
          <w:rtl/>
        </w:rPr>
        <w:t>(פ"ז ה"ב</w:t>
      </w:r>
      <w:r w:rsidRPr="00D6711C">
        <w:rPr>
          <w:rStyle w:val="afffffffff3"/>
          <w:rFonts w:hint="cs"/>
          <w:b/>
          <w:bCs/>
          <w:rtl/>
        </w:rPr>
        <w:t>, נב: ד"ה הנופח)</w:t>
      </w:r>
      <w:r w:rsidRPr="00D6711C">
        <w:rPr>
          <w:b/>
          <w:bCs/>
          <w:rtl/>
        </w:rPr>
        <w:t>,</w:t>
      </w:r>
      <w:r w:rsidRPr="00D6711C">
        <w:rPr>
          <w:rFonts w:hint="cs"/>
          <w:b/>
          <w:bCs/>
          <w:rtl/>
        </w:rPr>
        <w:t xml:space="preserve"> </w:t>
      </w:r>
      <w:r w:rsidRPr="00D6711C">
        <w:rPr>
          <w:b/>
          <w:bCs/>
          <w:rtl/>
        </w:rPr>
        <w:fldChar w:fldCharType="begin"/>
      </w:r>
      <w:r w:rsidRPr="00D6711C">
        <w:rPr>
          <w:b/>
          <w:bCs/>
          <w:rtl/>
        </w:rPr>
        <w:instrText xml:space="preserve"> </w:instrText>
      </w:r>
      <w:r w:rsidRPr="00D6711C">
        <w:rPr>
          <w:rFonts w:hint="cs"/>
          <w:b/>
          <w:bCs/>
        </w:rPr>
        <w:instrText>REF</w:instrText>
      </w:r>
      <w:r w:rsidRPr="00D6711C">
        <w:rPr>
          <w:rFonts w:hint="cs"/>
          <w:b/>
          <w:bCs/>
          <w:rtl/>
        </w:rPr>
        <w:instrText xml:space="preserve"> _</w:instrText>
      </w:r>
      <w:r w:rsidRPr="00D6711C">
        <w:rPr>
          <w:rFonts w:hint="cs"/>
          <w:b/>
          <w:bCs/>
        </w:rPr>
        <w:instrText>Ref143423627 \r \h</w:instrText>
      </w:r>
      <w:r w:rsidRPr="00D6711C">
        <w:rPr>
          <w:b/>
          <w:bCs/>
          <w:rtl/>
        </w:rPr>
        <w:instrText xml:space="preserve">  \* </w:instrText>
      </w:r>
      <w:r w:rsidRPr="00D6711C">
        <w:rPr>
          <w:b/>
          <w:bCs/>
        </w:rPr>
        <w:instrText>MERGEFORMAT</w:instrText>
      </w:r>
      <w:r w:rsidRPr="00D6711C">
        <w:rPr>
          <w:b/>
          <w:bCs/>
          <w:rtl/>
        </w:rPr>
        <w:instrText xml:space="preserve"> </w:instrText>
      </w:r>
      <w:r w:rsidRPr="00D6711C">
        <w:rPr>
          <w:b/>
          <w:bCs/>
          <w:rtl/>
        </w:rPr>
      </w:r>
      <w:r w:rsidRPr="00D6711C">
        <w:rPr>
          <w:b/>
          <w:bCs/>
          <w:rtl/>
        </w:rPr>
        <w:fldChar w:fldCharType="separate"/>
      </w:r>
      <w:r w:rsidR="00D82181">
        <w:rPr>
          <w:b/>
          <w:bCs/>
          <w:cs/>
        </w:rPr>
        <w:t>‎</w:t>
      </w:r>
      <w:r w:rsidR="00D82181">
        <w:rPr>
          <w:b/>
          <w:bCs/>
          <w:rtl/>
        </w:rPr>
        <w:t>לב)</w:t>
      </w:r>
      <w:r w:rsidRPr="00D6711C">
        <w:rPr>
          <w:b/>
          <w:bCs/>
          <w:rtl/>
        </w:rPr>
        <w:fldChar w:fldCharType="end"/>
      </w:r>
      <w:r w:rsidRPr="00592319">
        <w:rPr>
          <w:rFonts w:hint="cs"/>
          <w:rtl/>
        </w:rPr>
        <w:t xml:space="preserve"> פנ"י לעיל</w:t>
      </w:r>
      <w:r w:rsidRPr="00EC2B00">
        <w:rPr>
          <w:rFonts w:hint="cs"/>
          <w:rtl/>
        </w:rPr>
        <w:t xml:space="preserve"> </w:t>
      </w:r>
      <w:r w:rsidRPr="00EC2B00">
        <w:rPr>
          <w:rStyle w:val="afffffffff3"/>
          <w:rFonts w:hint="cs"/>
          <w:rtl/>
        </w:rPr>
        <w:t>(עד: על תוד"ה חביתא)</w:t>
      </w:r>
      <w:r w:rsidRPr="00D6711C">
        <w:rPr>
          <w:b/>
          <w:bCs/>
          <w:rtl/>
        </w:rPr>
        <w:t>,</w:t>
      </w:r>
      <w:r w:rsidRPr="00D6711C">
        <w:rPr>
          <w:rFonts w:hint="cs"/>
          <w:b/>
          <w:bCs/>
          <w:rtl/>
        </w:rPr>
        <w:t xml:space="preserve"> </w:t>
      </w:r>
      <w:r w:rsidRPr="00D6711C">
        <w:rPr>
          <w:b/>
          <w:bCs/>
          <w:rtl/>
        </w:rPr>
        <w:fldChar w:fldCharType="begin"/>
      </w:r>
      <w:r w:rsidRPr="00D6711C">
        <w:rPr>
          <w:b/>
          <w:bCs/>
          <w:rtl/>
        </w:rPr>
        <w:instrText xml:space="preserve"> </w:instrText>
      </w:r>
      <w:r w:rsidRPr="00D6711C">
        <w:rPr>
          <w:rFonts w:hint="cs"/>
          <w:b/>
          <w:bCs/>
        </w:rPr>
        <w:instrText>REF</w:instrText>
      </w:r>
      <w:r w:rsidRPr="00D6711C">
        <w:rPr>
          <w:rFonts w:hint="cs"/>
          <w:b/>
          <w:bCs/>
          <w:rtl/>
        </w:rPr>
        <w:instrText xml:space="preserve"> _</w:instrText>
      </w:r>
      <w:r w:rsidRPr="00D6711C">
        <w:rPr>
          <w:rFonts w:hint="cs"/>
          <w:b/>
          <w:bCs/>
        </w:rPr>
        <w:instrText>Ref141956430 \r \h</w:instrText>
      </w:r>
      <w:r w:rsidRPr="00D6711C">
        <w:rPr>
          <w:b/>
          <w:bCs/>
          <w:rtl/>
        </w:rPr>
        <w:instrText xml:space="preserve">  \* </w:instrText>
      </w:r>
      <w:r w:rsidRPr="00D6711C">
        <w:rPr>
          <w:b/>
          <w:bCs/>
        </w:rPr>
        <w:instrText>MERGEFORMAT</w:instrText>
      </w:r>
      <w:r w:rsidRPr="00D6711C">
        <w:rPr>
          <w:b/>
          <w:bCs/>
          <w:rtl/>
        </w:rPr>
        <w:instrText xml:space="preserve"> </w:instrText>
      </w:r>
      <w:r w:rsidRPr="00D6711C">
        <w:rPr>
          <w:b/>
          <w:bCs/>
          <w:rtl/>
        </w:rPr>
      </w:r>
      <w:r w:rsidRPr="00D6711C">
        <w:rPr>
          <w:b/>
          <w:bCs/>
          <w:rtl/>
        </w:rPr>
        <w:fldChar w:fldCharType="separate"/>
      </w:r>
      <w:r w:rsidR="00D82181">
        <w:rPr>
          <w:b/>
          <w:bCs/>
          <w:cs/>
        </w:rPr>
        <w:t>‎</w:t>
      </w:r>
      <w:r w:rsidR="00D82181">
        <w:rPr>
          <w:b/>
          <w:bCs/>
          <w:rtl/>
        </w:rPr>
        <w:t>כה)</w:t>
      </w:r>
      <w:r w:rsidRPr="00D6711C">
        <w:rPr>
          <w:b/>
          <w:bCs/>
          <w:rtl/>
        </w:rPr>
        <w:fldChar w:fldCharType="end"/>
      </w:r>
      <w:r w:rsidRPr="00592319">
        <w:rPr>
          <w:rFonts w:hint="cs"/>
          <w:rtl/>
        </w:rPr>
        <w:t xml:space="preserve"> רמב"ם</w:t>
      </w:r>
      <w:r w:rsidRPr="00EC2B00">
        <w:rPr>
          <w:rFonts w:hint="cs"/>
          <w:rtl/>
        </w:rPr>
        <w:t xml:space="preserve"> </w:t>
      </w:r>
      <w:r w:rsidRPr="00EC2B00">
        <w:rPr>
          <w:rStyle w:val="afffffffff3"/>
          <w:rFonts w:hint="cs"/>
          <w:rtl/>
        </w:rPr>
        <w:t>(שבת פ"י הי"ג)</w:t>
      </w:r>
      <w:r>
        <w:rPr>
          <w:rtl/>
        </w:rPr>
        <w:t xml:space="preserve"> </w:t>
      </w:r>
      <w:r w:rsidRPr="00592319">
        <w:rPr>
          <w:rFonts w:hint="cs"/>
          <w:rtl/>
        </w:rPr>
        <w:t>מ"מ</w:t>
      </w:r>
      <w:r w:rsidRPr="00EC2B00">
        <w:rPr>
          <w:rFonts w:hint="cs"/>
          <w:rtl/>
        </w:rPr>
        <w:t xml:space="preserve"> </w:t>
      </w:r>
      <w:r w:rsidRPr="00EC2B00">
        <w:rPr>
          <w:rStyle w:val="afffffffff3"/>
          <w:rFonts w:hint="cs"/>
          <w:rtl/>
        </w:rPr>
        <w:t>(שבת פ"י הי"ג)</w:t>
      </w:r>
      <w:r w:rsidRPr="00D6711C">
        <w:rPr>
          <w:b/>
          <w:bCs/>
          <w:rtl/>
        </w:rPr>
        <w:t>,</w:t>
      </w:r>
      <w:r w:rsidRPr="00D6711C">
        <w:rPr>
          <w:rFonts w:hint="cs"/>
          <w:b/>
          <w:bCs/>
          <w:rtl/>
        </w:rPr>
        <w:t xml:space="preserve"> </w:t>
      </w:r>
      <w:r w:rsidRPr="00D6711C">
        <w:rPr>
          <w:b/>
          <w:bCs/>
          <w:rtl/>
        </w:rPr>
        <w:fldChar w:fldCharType="begin"/>
      </w:r>
      <w:r w:rsidRPr="00D6711C">
        <w:rPr>
          <w:b/>
          <w:bCs/>
          <w:rtl/>
        </w:rPr>
        <w:instrText xml:space="preserve"> </w:instrText>
      </w:r>
      <w:r w:rsidRPr="00D6711C">
        <w:rPr>
          <w:rFonts w:hint="cs"/>
          <w:b/>
          <w:bCs/>
        </w:rPr>
        <w:instrText>REF</w:instrText>
      </w:r>
      <w:r w:rsidRPr="00D6711C">
        <w:rPr>
          <w:rFonts w:hint="cs"/>
          <w:b/>
          <w:bCs/>
          <w:rtl/>
        </w:rPr>
        <w:instrText xml:space="preserve"> _</w:instrText>
      </w:r>
      <w:r w:rsidRPr="00D6711C">
        <w:rPr>
          <w:rFonts w:hint="cs"/>
          <w:b/>
          <w:bCs/>
        </w:rPr>
        <w:instrText>Ref143594396 \r \h</w:instrText>
      </w:r>
      <w:r w:rsidRPr="00D6711C">
        <w:rPr>
          <w:b/>
          <w:bCs/>
          <w:rtl/>
        </w:rPr>
        <w:instrText xml:space="preserve">  \* </w:instrText>
      </w:r>
      <w:r w:rsidRPr="00D6711C">
        <w:rPr>
          <w:b/>
          <w:bCs/>
        </w:rPr>
        <w:instrText>MERGEFORMAT</w:instrText>
      </w:r>
      <w:r w:rsidRPr="00D6711C">
        <w:rPr>
          <w:b/>
          <w:bCs/>
          <w:rtl/>
        </w:rPr>
        <w:instrText xml:space="preserve"> </w:instrText>
      </w:r>
      <w:r w:rsidRPr="00D6711C">
        <w:rPr>
          <w:b/>
          <w:bCs/>
          <w:rtl/>
        </w:rPr>
      </w:r>
      <w:r w:rsidRPr="00D6711C">
        <w:rPr>
          <w:b/>
          <w:bCs/>
          <w:rtl/>
        </w:rPr>
        <w:fldChar w:fldCharType="separate"/>
      </w:r>
      <w:r w:rsidR="00D82181">
        <w:rPr>
          <w:b/>
          <w:bCs/>
          <w:cs/>
        </w:rPr>
        <w:t>‎</w:t>
      </w:r>
      <w:r w:rsidR="00D82181">
        <w:rPr>
          <w:b/>
          <w:bCs/>
          <w:rtl/>
        </w:rPr>
        <w:t>כו)</w:t>
      </w:r>
      <w:r w:rsidRPr="00D6711C">
        <w:rPr>
          <w:b/>
          <w:bCs/>
          <w:rtl/>
        </w:rPr>
        <w:fldChar w:fldCharType="end"/>
      </w:r>
      <w:r w:rsidRPr="00592319">
        <w:rPr>
          <w:rFonts w:hint="cs"/>
          <w:rtl/>
        </w:rPr>
        <w:t xml:space="preserve"> או"ש</w:t>
      </w:r>
      <w:r w:rsidRPr="00EC2B00">
        <w:rPr>
          <w:rFonts w:hint="cs"/>
          <w:rtl/>
        </w:rPr>
        <w:t xml:space="preserve"> </w:t>
      </w:r>
      <w:r w:rsidRPr="00EC2B00">
        <w:rPr>
          <w:rStyle w:val="afffffffff3"/>
          <w:rFonts w:hint="cs"/>
          <w:rtl/>
        </w:rPr>
        <w:t xml:space="preserve">(שבת פ"י הי"ב סוד"ה </w:t>
      </w:r>
      <w:r w:rsidRPr="00EC2B00">
        <w:rPr>
          <w:rStyle w:val="afffffffff3"/>
          <w:rtl/>
        </w:rPr>
        <w:t>וכבר כתבתי</w:t>
      </w:r>
      <w:r w:rsidRPr="00EC2B00">
        <w:rPr>
          <w:rStyle w:val="afffffffff3"/>
          <w:rFonts w:hint="cs"/>
          <w:rtl/>
        </w:rPr>
        <w:t>)</w:t>
      </w:r>
      <w:r w:rsidRPr="00EC2B00">
        <w:rPr>
          <w:rFonts w:hint="cs"/>
          <w:rtl/>
        </w:rPr>
        <w:t>.</w:t>
      </w:r>
    </w:p>
    <w:p w14:paraId="5FCFE2CC" w14:textId="77777777" w:rsidR="003E1AA3" w:rsidRDefault="003E1AA3" w:rsidP="003E1AA3">
      <w:pPr>
        <w:pStyle w:val="TOC2"/>
        <w:rPr>
          <w:rFonts w:cstheme="minorBidi"/>
          <w:b w:val="0"/>
          <w:bCs w:val="0"/>
          <w:sz w:val="22"/>
          <w:szCs w:val="22"/>
          <w:rtl/>
        </w:rPr>
      </w:pPr>
      <w:hyperlink w:anchor="_Toc145233906" w:history="1">
        <w:r w:rsidRPr="0054718A">
          <w:rPr>
            <w:rStyle w:val="Hyperlink"/>
            <w:rtl/>
          </w:rPr>
          <w:t>בי' התוס' דאין בנין בכלים בכלי שהתפרק אך עושה כלי בונה</w:t>
        </w:r>
      </w:hyperlink>
    </w:p>
    <w:p w14:paraId="453C9F6D" w14:textId="77777777" w:rsidR="003E1AA3" w:rsidRDefault="003E1AA3" w:rsidP="00ED704E">
      <w:pPr>
        <w:pStyle w:val="TOC3"/>
        <w:rPr>
          <w:rFonts w:asciiTheme="minorHAnsi" w:eastAsiaTheme="minorEastAsia" w:hAnsiTheme="minorHAnsi" w:cstheme="minorBidi"/>
          <w:sz w:val="22"/>
          <w:szCs w:val="22"/>
          <w:rtl/>
        </w:rPr>
      </w:pPr>
      <w:hyperlink w:anchor="_Toc145233907" w:history="1">
        <w:r w:rsidRPr="0054718A">
          <w:rPr>
            <w:rStyle w:val="Hyperlink"/>
            <w:rtl/>
          </w:rPr>
          <w:t>בי' התוס' דרק במחזיר חוליות שאינו חיזוק ואומנות אין בנין בכלים אבל בונה כלי גמור הוי בונה</w:t>
        </w:r>
      </w:hyperlink>
    </w:p>
    <w:p w14:paraId="41BCE0FB" w14:textId="77777777" w:rsidR="003E1AA3" w:rsidRDefault="003E1AA3" w:rsidP="00ED704E">
      <w:pPr>
        <w:pStyle w:val="TOC3"/>
        <w:rPr>
          <w:rFonts w:asciiTheme="minorHAnsi" w:eastAsiaTheme="minorEastAsia" w:hAnsiTheme="minorHAnsi" w:cstheme="minorBidi"/>
          <w:sz w:val="22"/>
          <w:szCs w:val="22"/>
          <w:rtl/>
        </w:rPr>
      </w:pPr>
      <w:hyperlink w:anchor="_Toc145233908" w:history="1">
        <w:r w:rsidRPr="0054718A">
          <w:rPr>
            <w:rStyle w:val="Hyperlink"/>
            <w:rtl/>
          </w:rPr>
          <w:t>בי' התורא"ש דחוליות בנין ארעי דאינו אומנות וחיזוק ובקרקע הוי קבוע ואומנות קבוע אף בכלי</w:t>
        </w:r>
      </w:hyperlink>
    </w:p>
    <w:p w14:paraId="060FC27F" w14:textId="77777777" w:rsidR="003E1AA3" w:rsidRDefault="003E1AA3" w:rsidP="00ED704E">
      <w:pPr>
        <w:pStyle w:val="TOC3"/>
        <w:rPr>
          <w:rFonts w:asciiTheme="minorHAnsi" w:eastAsiaTheme="minorEastAsia" w:hAnsiTheme="minorHAnsi" w:cstheme="minorBidi"/>
          <w:sz w:val="22"/>
          <w:szCs w:val="22"/>
          <w:rtl/>
        </w:rPr>
      </w:pPr>
      <w:hyperlink w:anchor="_Toc145233909" w:history="1">
        <w:r w:rsidRPr="0054718A">
          <w:rPr>
            <w:rStyle w:val="Hyperlink"/>
            <w:rtl/>
          </w:rPr>
          <w:t>בי' התוס' בביצה דבמהדק ומפרק אין בנין ובעושה כלי חייב במכב"פ או בונה כמו דחייב בקרקע</w:t>
        </w:r>
      </w:hyperlink>
    </w:p>
    <w:p w14:paraId="25A5364A" w14:textId="77777777" w:rsidR="003E1AA3" w:rsidRDefault="003E1AA3" w:rsidP="00ED704E">
      <w:pPr>
        <w:pStyle w:val="TOC3"/>
        <w:rPr>
          <w:rFonts w:asciiTheme="minorHAnsi" w:eastAsiaTheme="minorEastAsia" w:hAnsiTheme="minorHAnsi" w:cstheme="minorBidi"/>
          <w:sz w:val="22"/>
          <w:szCs w:val="22"/>
          <w:rtl/>
        </w:rPr>
      </w:pPr>
      <w:hyperlink w:anchor="_Toc145233910" w:history="1">
        <w:r w:rsidRPr="0054718A">
          <w:rPr>
            <w:rStyle w:val="Hyperlink"/>
            <w:rtl/>
          </w:rPr>
          <w:t>קו' הרשב"א איך מחייב רב בבונה הא לב"ה אין בנין ועוד דאי אין בנין בכלים כ"ש מגבן באוכל</w:t>
        </w:r>
      </w:hyperlink>
    </w:p>
    <w:p w14:paraId="4E20788B" w14:textId="77777777" w:rsidR="003E1AA3" w:rsidRDefault="003E1AA3" w:rsidP="00ED704E">
      <w:pPr>
        <w:pStyle w:val="TOC3"/>
        <w:rPr>
          <w:rFonts w:asciiTheme="minorHAnsi" w:eastAsiaTheme="minorEastAsia" w:hAnsiTheme="minorHAnsi" w:cstheme="minorBidi"/>
          <w:sz w:val="22"/>
          <w:szCs w:val="22"/>
          <w:rtl/>
        </w:rPr>
      </w:pPr>
      <w:hyperlink w:anchor="_Toc145233911" w:history="1">
        <w:r w:rsidRPr="0054718A">
          <w:rPr>
            <w:rStyle w:val="Hyperlink"/>
            <w:rtl/>
          </w:rPr>
          <w:t>בי' הרשב"א בתוס' דעושה כלי בתחילה ל"ה בנין בכלים דלא היה כלי כלל ואין בנין גדול מזה</w:t>
        </w:r>
      </w:hyperlink>
    </w:p>
    <w:p w14:paraId="4EBD4729" w14:textId="77777777" w:rsidR="003E1AA3" w:rsidRDefault="003E1AA3" w:rsidP="00ED704E">
      <w:pPr>
        <w:pStyle w:val="TOC3"/>
        <w:rPr>
          <w:rFonts w:asciiTheme="minorHAnsi" w:eastAsiaTheme="minorEastAsia" w:hAnsiTheme="minorHAnsi" w:cstheme="minorBidi"/>
          <w:sz w:val="22"/>
          <w:szCs w:val="22"/>
          <w:rtl/>
        </w:rPr>
      </w:pPr>
      <w:hyperlink w:anchor="_Toc145233912" w:history="1">
        <w:r w:rsidRPr="0054718A">
          <w:rPr>
            <w:rStyle w:val="Hyperlink"/>
            <w:rtl/>
          </w:rPr>
          <w:t>בי' הרשב"א דבחביתא עושה כלי מחדש ובונה וכן בשופתא אך לשמואל הוי דבר מועט ולא בנין</w:t>
        </w:r>
      </w:hyperlink>
    </w:p>
    <w:p w14:paraId="4E5FC17E" w14:textId="77777777" w:rsidR="003E1AA3" w:rsidRDefault="003E1AA3" w:rsidP="00ED704E">
      <w:pPr>
        <w:pStyle w:val="TOC3"/>
        <w:rPr>
          <w:rFonts w:asciiTheme="minorHAnsi" w:eastAsiaTheme="minorEastAsia" w:hAnsiTheme="minorHAnsi" w:cstheme="minorBidi"/>
          <w:sz w:val="22"/>
          <w:szCs w:val="22"/>
          <w:rtl/>
        </w:rPr>
      </w:pPr>
      <w:hyperlink w:anchor="_Toc145233913" w:history="1">
        <w:r w:rsidRPr="0054718A">
          <w:rPr>
            <w:rStyle w:val="Hyperlink"/>
            <w:rtl/>
          </w:rPr>
          <w:t>בי' הריטב"א דיש בנין גמור בכלים וכסותם חור בקרש תלוש ואף מגבן הו"א דבונה כעושה כלי</w:t>
        </w:r>
      </w:hyperlink>
    </w:p>
    <w:p w14:paraId="4A8ED132" w14:textId="77777777" w:rsidR="003E1AA3" w:rsidRDefault="003E1AA3" w:rsidP="00ED704E">
      <w:pPr>
        <w:pStyle w:val="TOC3"/>
        <w:rPr>
          <w:rFonts w:asciiTheme="minorHAnsi" w:eastAsiaTheme="minorEastAsia" w:hAnsiTheme="minorHAnsi" w:cstheme="minorBidi"/>
          <w:sz w:val="22"/>
          <w:szCs w:val="22"/>
          <w:rtl/>
        </w:rPr>
      </w:pPr>
      <w:hyperlink w:anchor="_Toc145233914" w:history="1">
        <w:r w:rsidRPr="0054718A">
          <w:rPr>
            <w:rStyle w:val="Hyperlink"/>
            <w:rtl/>
          </w:rPr>
          <w:t>בי' הגר"א דהתוס' מודו לרמב"ן דהחזרת כלי במעשה אומן הוי בונה ולכן מנורה ומטה הוי בונה</w:t>
        </w:r>
      </w:hyperlink>
    </w:p>
    <w:p w14:paraId="63FC3D82" w14:textId="77777777" w:rsidR="003E1AA3" w:rsidRDefault="003E1AA3" w:rsidP="00ED704E">
      <w:pPr>
        <w:pStyle w:val="TOC3"/>
        <w:rPr>
          <w:rFonts w:asciiTheme="minorHAnsi" w:eastAsiaTheme="minorEastAsia" w:hAnsiTheme="minorHAnsi" w:cstheme="minorBidi"/>
          <w:sz w:val="22"/>
          <w:szCs w:val="22"/>
          <w:rtl/>
        </w:rPr>
      </w:pPr>
      <w:hyperlink w:anchor="_Toc145233915" w:history="1">
        <w:r w:rsidRPr="0054718A">
          <w:rPr>
            <w:rStyle w:val="Hyperlink"/>
            <w:rtl/>
          </w:rPr>
          <w:t>בי' הגר"א דלתוס' כמו דעושה כלי מחדש הוי בונה ה"ה סותר כלי גמור כמבו' בתוס' בעירובין</w:t>
        </w:r>
      </w:hyperlink>
    </w:p>
    <w:p w14:paraId="5ED095F7" w14:textId="77777777" w:rsidR="003E1AA3" w:rsidRDefault="003E1AA3" w:rsidP="003E1AA3">
      <w:pPr>
        <w:pStyle w:val="TOC2"/>
        <w:rPr>
          <w:rFonts w:cstheme="minorBidi"/>
          <w:b w:val="0"/>
          <w:bCs w:val="0"/>
          <w:sz w:val="22"/>
          <w:szCs w:val="22"/>
          <w:rtl/>
        </w:rPr>
      </w:pPr>
      <w:hyperlink w:anchor="_Toc145233916" w:history="1">
        <w:r w:rsidRPr="0054718A">
          <w:rPr>
            <w:rStyle w:val="Hyperlink"/>
            <w:rtl/>
          </w:rPr>
          <w:t>בי' הגרי"א ספקטור דבונה במגבן תלוי בדין בנין בכלים</w:t>
        </w:r>
      </w:hyperlink>
    </w:p>
    <w:p w14:paraId="03161A99" w14:textId="77777777" w:rsidR="003E1AA3" w:rsidRDefault="003E1AA3" w:rsidP="00ED704E">
      <w:pPr>
        <w:pStyle w:val="TOC3"/>
        <w:rPr>
          <w:rFonts w:asciiTheme="minorHAnsi" w:eastAsiaTheme="minorEastAsia" w:hAnsiTheme="minorHAnsi" w:cstheme="minorBidi"/>
          <w:sz w:val="22"/>
          <w:szCs w:val="22"/>
          <w:rtl/>
        </w:rPr>
      </w:pPr>
      <w:hyperlink w:anchor="_Toc145233917" w:history="1">
        <w:r w:rsidRPr="0054718A">
          <w:rPr>
            <w:rStyle w:val="Hyperlink"/>
            <w:rtl/>
          </w:rPr>
          <w:t>בי' הבאר יצחק דלרש"י והיראים דאין בנין בכלים ודאי דמגבן ל"ה בונה ור"א כב"ש דיש בנין</w:t>
        </w:r>
      </w:hyperlink>
    </w:p>
    <w:p w14:paraId="02070859" w14:textId="77777777" w:rsidR="003E1AA3" w:rsidRDefault="003E1AA3" w:rsidP="00ED704E">
      <w:pPr>
        <w:pStyle w:val="TOC3"/>
        <w:rPr>
          <w:rFonts w:asciiTheme="minorHAnsi" w:eastAsiaTheme="minorEastAsia" w:hAnsiTheme="minorHAnsi" w:cstheme="minorBidi"/>
          <w:sz w:val="22"/>
          <w:szCs w:val="22"/>
          <w:rtl/>
        </w:rPr>
      </w:pPr>
      <w:hyperlink w:anchor="_Toc145233918" w:history="1">
        <w:r w:rsidRPr="0054718A">
          <w:rPr>
            <w:rStyle w:val="Hyperlink"/>
            <w:rtl/>
          </w:rPr>
          <w:t>בי' הבאר יצחק דהירושלמי דמגבן הוי לש כרש"י דאין בנין בכלים ובגמ' לעיל אפש"ל כתוס'</w:t>
        </w:r>
      </w:hyperlink>
    </w:p>
    <w:p w14:paraId="1050874A" w14:textId="77777777" w:rsidR="003E1AA3" w:rsidRDefault="003E1AA3" w:rsidP="003E1AA3">
      <w:pPr>
        <w:pStyle w:val="TOC2"/>
        <w:rPr>
          <w:rFonts w:cstheme="minorBidi"/>
          <w:b w:val="0"/>
          <w:bCs w:val="0"/>
          <w:sz w:val="22"/>
          <w:szCs w:val="22"/>
          <w:rtl/>
        </w:rPr>
      </w:pPr>
      <w:hyperlink w:anchor="_Toc145233919" w:history="1">
        <w:r w:rsidRPr="0054718A">
          <w:rPr>
            <w:rStyle w:val="Hyperlink"/>
            <w:rtl/>
          </w:rPr>
          <w:t>בי' הפנ"י ברש"י ותוס' דעושה כלי מחדש וא"צ מלאכה הוי בונה</w:t>
        </w:r>
      </w:hyperlink>
    </w:p>
    <w:p w14:paraId="7C62D02F" w14:textId="77777777" w:rsidR="003E1AA3" w:rsidRDefault="003E1AA3" w:rsidP="00ED704E">
      <w:pPr>
        <w:pStyle w:val="TOC3"/>
        <w:rPr>
          <w:rFonts w:asciiTheme="minorHAnsi" w:eastAsiaTheme="minorEastAsia" w:hAnsiTheme="minorHAnsi" w:cstheme="minorBidi"/>
          <w:sz w:val="22"/>
          <w:szCs w:val="22"/>
          <w:rtl/>
        </w:rPr>
      </w:pPr>
      <w:hyperlink w:anchor="_Toc145233920" w:history="1">
        <w:r w:rsidRPr="0054718A">
          <w:rPr>
            <w:rStyle w:val="Hyperlink"/>
            <w:rtl/>
          </w:rPr>
          <w:t>בי' רש"י דבחביתא אין בונה דאין בנין בכלים ובי' תוס' והראשונים דעושה כלי מחדש הוי בונה</w:t>
        </w:r>
      </w:hyperlink>
    </w:p>
    <w:p w14:paraId="75D9A504" w14:textId="77777777" w:rsidR="003E1AA3" w:rsidRDefault="003E1AA3" w:rsidP="00ED704E">
      <w:pPr>
        <w:pStyle w:val="TOC3"/>
        <w:rPr>
          <w:rFonts w:asciiTheme="minorHAnsi" w:eastAsiaTheme="minorEastAsia" w:hAnsiTheme="minorHAnsi" w:cstheme="minorBidi"/>
          <w:sz w:val="22"/>
          <w:szCs w:val="22"/>
          <w:rtl/>
        </w:rPr>
      </w:pPr>
      <w:hyperlink w:anchor="_Toc145233921" w:history="1">
        <w:r w:rsidRPr="0054718A">
          <w:rPr>
            <w:rStyle w:val="Hyperlink"/>
            <w:rtl/>
          </w:rPr>
          <w:t>קו' התוס' דאמאי הנופח כלי זכוכית ל"ה בונה ובי' הנצי"ב דהירושלמי פליג וס"ל דהוי בונה</w:t>
        </w:r>
      </w:hyperlink>
    </w:p>
    <w:p w14:paraId="399C73BA" w14:textId="77777777" w:rsidR="003E1AA3" w:rsidRDefault="003E1AA3" w:rsidP="00ED704E">
      <w:pPr>
        <w:pStyle w:val="TOC3"/>
        <w:rPr>
          <w:rFonts w:asciiTheme="minorHAnsi" w:eastAsiaTheme="minorEastAsia" w:hAnsiTheme="minorHAnsi" w:cstheme="minorBidi"/>
          <w:sz w:val="22"/>
          <w:szCs w:val="22"/>
          <w:rtl/>
        </w:rPr>
      </w:pPr>
      <w:hyperlink w:anchor="_Toc145233922" w:history="1">
        <w:r w:rsidRPr="0054718A">
          <w:rPr>
            <w:rStyle w:val="Hyperlink"/>
            <w:rtl/>
          </w:rPr>
          <w:t>בי' הפנ"י דאף רש"י מודה דעושה כלי מחדש הוי בונה אך היינו דוקא כשנגמרה המלאכה בזה</w:t>
        </w:r>
      </w:hyperlink>
    </w:p>
    <w:p w14:paraId="4210885A" w14:textId="77777777" w:rsidR="003E1AA3" w:rsidRDefault="003E1AA3" w:rsidP="003E1AA3">
      <w:pPr>
        <w:pStyle w:val="TOC2"/>
        <w:rPr>
          <w:rFonts w:cstheme="minorBidi"/>
          <w:b w:val="0"/>
          <w:bCs w:val="0"/>
          <w:sz w:val="22"/>
          <w:szCs w:val="22"/>
          <w:rtl/>
        </w:rPr>
      </w:pPr>
      <w:hyperlink w:anchor="_Toc145233923" w:history="1">
        <w:r w:rsidRPr="0054718A">
          <w:rPr>
            <w:rStyle w:val="Hyperlink"/>
            <w:rtl/>
          </w:rPr>
          <w:t>בי' המ"מ ברמב"ם דעושה כלי מתחילתו בונה ול"ה בנין בכלים</w:t>
        </w:r>
      </w:hyperlink>
    </w:p>
    <w:p w14:paraId="0F4BC01C" w14:textId="77777777" w:rsidR="003E1AA3" w:rsidRDefault="003E1AA3" w:rsidP="00ED704E">
      <w:pPr>
        <w:pStyle w:val="TOC3"/>
        <w:rPr>
          <w:rFonts w:asciiTheme="minorHAnsi" w:eastAsiaTheme="minorEastAsia" w:hAnsiTheme="minorHAnsi" w:cstheme="minorBidi"/>
          <w:sz w:val="22"/>
          <w:szCs w:val="22"/>
          <w:rtl/>
        </w:rPr>
      </w:pPr>
      <w:hyperlink w:anchor="_Toc145233924" w:history="1">
        <w:r w:rsidRPr="0054718A">
          <w:rPr>
            <w:rStyle w:val="Hyperlink"/>
            <w:rtl/>
          </w:rPr>
          <w:t>בי' הרמב"ם דאוהל קבוע תולדה דבונה וכן העושה כלי אדמה ובי' המ"מ דעושה כלי מתחילתו</w:t>
        </w:r>
      </w:hyperlink>
    </w:p>
    <w:p w14:paraId="6815BCB9" w14:textId="77777777" w:rsidR="003E1AA3" w:rsidRDefault="003E1AA3" w:rsidP="00ED704E">
      <w:pPr>
        <w:pStyle w:val="TOC3"/>
        <w:rPr>
          <w:rFonts w:asciiTheme="minorHAnsi" w:eastAsiaTheme="minorEastAsia" w:hAnsiTheme="minorHAnsi" w:cstheme="minorBidi"/>
          <w:sz w:val="22"/>
          <w:szCs w:val="22"/>
          <w:rtl/>
        </w:rPr>
      </w:pPr>
      <w:hyperlink w:anchor="_Toc145233925" w:history="1">
        <w:r w:rsidRPr="0054718A">
          <w:rPr>
            <w:rStyle w:val="Hyperlink"/>
            <w:rtl/>
          </w:rPr>
          <w:t>בי' האו"ש דמבו' בירושלמי דגודל כלי צורה בונה והיינו כעושה כלי אך ק' מהירו' דכלי זכוכית</w:t>
        </w:r>
      </w:hyperlink>
    </w:p>
    <w:p w14:paraId="24F5FB25" w14:textId="77777777" w:rsidR="003E1AA3" w:rsidRDefault="003E1AA3" w:rsidP="003E1AA3">
      <w:pPr>
        <w:pStyle w:val="TOC1"/>
        <w:rPr>
          <w:rFonts w:asciiTheme="minorHAnsi" w:hAnsiTheme="minorHAnsi" w:cstheme="minorBidi"/>
          <w:b w:val="0"/>
          <w:bCs w:val="0"/>
          <w:caps w:val="0"/>
          <w:sz w:val="22"/>
          <w:szCs w:val="22"/>
          <w:rtl/>
        </w:rPr>
      </w:pPr>
      <w:hyperlink w:anchor="_Toc145233926" w:history="1">
        <w:r w:rsidRPr="0054718A">
          <w:rPr>
            <w:rStyle w:val="Hyperlink"/>
            <w:rtl/>
          </w:rPr>
          <w:t>ד' הרמב"ן דהחזרת אומן הוי בונה בכלי</w:t>
        </w:r>
      </w:hyperlink>
    </w:p>
    <w:p w14:paraId="0BB0908A" w14:textId="5B424E55" w:rsidR="003E1AA3" w:rsidRPr="00EC2B00" w:rsidRDefault="003E1AA3" w:rsidP="003E1AA3">
      <w:pPr>
        <w:pStyle w:val="afffffffff0"/>
        <w:rPr>
          <w:rtl/>
        </w:rPr>
      </w:pPr>
      <w:r w:rsidRPr="00EC2B00">
        <w:rPr>
          <w:rtl/>
        </w:rPr>
        <w:fldChar w:fldCharType="begin"/>
      </w:r>
      <w:r w:rsidRPr="00EC2B00">
        <w:rPr>
          <w:rtl/>
        </w:rPr>
        <w:instrText xml:space="preserve"> </w:instrText>
      </w:r>
      <w:r w:rsidRPr="00EC2B00">
        <w:rPr>
          <w:rFonts w:hint="cs"/>
        </w:rPr>
        <w:instrText>REF</w:instrText>
      </w:r>
      <w:r w:rsidRPr="00EC2B00">
        <w:rPr>
          <w:rFonts w:hint="cs"/>
          <w:rtl/>
        </w:rPr>
        <w:instrText xml:space="preserve"> _</w:instrText>
      </w:r>
      <w:r w:rsidRPr="00EC2B00">
        <w:rPr>
          <w:rFonts w:hint="cs"/>
        </w:rPr>
        <w:instrText>Ref145019915 \r \h</w:instrText>
      </w:r>
      <w:r w:rsidRPr="00EC2B00">
        <w:rPr>
          <w:rtl/>
        </w:rPr>
        <w:instrText xml:space="preserve">  \* </w:instrText>
      </w:r>
      <w:r w:rsidRPr="00EC2B00">
        <w:instrText>MERGEFORMAT</w:instrText>
      </w:r>
      <w:r w:rsidRPr="00EC2B00">
        <w:rPr>
          <w:rtl/>
        </w:rPr>
        <w:instrText xml:space="preserve"> </w:instrText>
      </w:r>
      <w:r w:rsidRPr="00EC2B00">
        <w:rPr>
          <w:rtl/>
        </w:rPr>
      </w:r>
      <w:r w:rsidRPr="00EC2B00">
        <w:rPr>
          <w:rtl/>
        </w:rPr>
        <w:fldChar w:fldCharType="separate"/>
      </w:r>
      <w:r w:rsidR="00D82181">
        <w:rPr>
          <w:cs/>
        </w:rPr>
        <w:t>‎</w:t>
      </w:r>
      <w:r w:rsidR="00D82181">
        <w:rPr>
          <w:rtl/>
        </w:rPr>
        <w:t>לו)</w:t>
      </w:r>
      <w:r w:rsidRPr="00EC2B00">
        <w:rPr>
          <w:rtl/>
        </w:rPr>
        <w:fldChar w:fldCharType="end"/>
      </w:r>
      <w:r>
        <w:rPr>
          <w:rFonts w:hint="cs"/>
          <w:rtl/>
        </w:rPr>
        <w:t xml:space="preserve"> </w:t>
      </w:r>
      <w:r w:rsidRPr="00EC2B00">
        <w:rPr>
          <w:rFonts w:hint="cs"/>
          <w:rtl/>
        </w:rPr>
        <w:t xml:space="preserve">רמב"ן </w:t>
      </w:r>
      <w:r w:rsidRPr="00EC2B00">
        <w:rPr>
          <w:rStyle w:val="afffffffff3"/>
          <w:rFonts w:hint="cs"/>
          <w:rtl/>
        </w:rPr>
        <w:t>(ד"ה רב)</w:t>
      </w:r>
      <w:r w:rsidRPr="00D6711C">
        <w:rPr>
          <w:b/>
          <w:bCs/>
          <w:rtl/>
        </w:rPr>
        <w:t>,</w:t>
      </w:r>
      <w:r w:rsidRPr="00D6711C">
        <w:rPr>
          <w:rFonts w:hint="cs"/>
          <w:b/>
          <w:bCs/>
          <w:rtl/>
        </w:rPr>
        <w:t xml:space="preserve"> </w:t>
      </w:r>
      <w:r w:rsidRPr="00D6711C">
        <w:rPr>
          <w:b/>
          <w:bCs/>
          <w:rtl/>
        </w:rPr>
        <w:fldChar w:fldCharType="begin"/>
      </w:r>
      <w:r w:rsidRPr="00D6711C">
        <w:rPr>
          <w:b/>
          <w:bCs/>
          <w:rtl/>
        </w:rPr>
        <w:instrText xml:space="preserve"> </w:instrText>
      </w:r>
      <w:r w:rsidRPr="00D6711C">
        <w:rPr>
          <w:rFonts w:hint="cs"/>
          <w:b/>
          <w:bCs/>
        </w:rPr>
        <w:instrText>REF</w:instrText>
      </w:r>
      <w:r w:rsidRPr="00D6711C">
        <w:rPr>
          <w:rFonts w:hint="cs"/>
          <w:b/>
          <w:bCs/>
          <w:rtl/>
        </w:rPr>
        <w:instrText xml:space="preserve"> _</w:instrText>
      </w:r>
      <w:r w:rsidRPr="00D6711C">
        <w:rPr>
          <w:rFonts w:hint="cs"/>
          <w:b/>
          <w:bCs/>
        </w:rPr>
        <w:instrText>Ref145235417 \r \h</w:instrText>
      </w:r>
      <w:r w:rsidRPr="00D6711C">
        <w:rPr>
          <w:b/>
          <w:bCs/>
          <w:rtl/>
        </w:rPr>
        <w:instrText xml:space="preserve">  \* </w:instrText>
      </w:r>
      <w:r w:rsidRPr="00D6711C">
        <w:rPr>
          <w:b/>
          <w:bCs/>
        </w:rPr>
        <w:instrText>MERGEFORMAT</w:instrText>
      </w:r>
      <w:r w:rsidRPr="00D6711C">
        <w:rPr>
          <w:b/>
          <w:bCs/>
          <w:rtl/>
        </w:rPr>
        <w:instrText xml:space="preserve"> </w:instrText>
      </w:r>
      <w:r w:rsidRPr="00D6711C">
        <w:rPr>
          <w:b/>
          <w:bCs/>
          <w:rtl/>
        </w:rPr>
      </w:r>
      <w:r w:rsidRPr="00D6711C">
        <w:rPr>
          <w:b/>
          <w:bCs/>
          <w:rtl/>
        </w:rPr>
        <w:fldChar w:fldCharType="separate"/>
      </w:r>
      <w:r w:rsidR="00D82181">
        <w:rPr>
          <w:b/>
          <w:bCs/>
          <w:cs/>
        </w:rPr>
        <w:t>‎</w:t>
      </w:r>
      <w:r w:rsidR="00D82181">
        <w:rPr>
          <w:b/>
          <w:bCs/>
          <w:rtl/>
        </w:rPr>
        <w:t>לז)</w:t>
      </w:r>
      <w:r w:rsidRPr="00D6711C">
        <w:rPr>
          <w:b/>
          <w:bCs/>
          <w:rtl/>
        </w:rPr>
        <w:fldChar w:fldCharType="end"/>
      </w:r>
      <w:r w:rsidRPr="00592319">
        <w:rPr>
          <w:rFonts w:hint="cs"/>
          <w:rtl/>
        </w:rPr>
        <w:t xml:space="preserve"> ר"ן</w:t>
      </w:r>
      <w:r w:rsidRPr="00EC2B00">
        <w:rPr>
          <w:rFonts w:hint="cs"/>
          <w:rtl/>
        </w:rPr>
        <w:t xml:space="preserve"> </w:t>
      </w:r>
      <w:r w:rsidRPr="00EC2B00">
        <w:rPr>
          <w:rStyle w:val="afffffffff3"/>
          <w:rFonts w:hint="cs"/>
          <w:rtl/>
        </w:rPr>
        <w:t>(ד"ה רב)</w:t>
      </w:r>
      <w:r w:rsidRPr="00D6711C">
        <w:rPr>
          <w:b/>
          <w:bCs/>
          <w:rtl/>
        </w:rPr>
        <w:t>,</w:t>
      </w:r>
      <w:r w:rsidRPr="00D6711C">
        <w:rPr>
          <w:rFonts w:hint="cs"/>
          <w:b/>
          <w:bCs/>
          <w:rtl/>
        </w:rPr>
        <w:t xml:space="preserve"> </w:t>
      </w:r>
      <w:r w:rsidRPr="00D6711C">
        <w:rPr>
          <w:b/>
          <w:bCs/>
          <w:rtl/>
        </w:rPr>
        <w:fldChar w:fldCharType="begin"/>
      </w:r>
      <w:r w:rsidRPr="00D6711C">
        <w:rPr>
          <w:b/>
          <w:bCs/>
          <w:rtl/>
        </w:rPr>
        <w:instrText xml:space="preserve"> </w:instrText>
      </w:r>
      <w:r w:rsidRPr="00D6711C">
        <w:rPr>
          <w:rFonts w:hint="cs"/>
          <w:b/>
          <w:bCs/>
        </w:rPr>
        <w:instrText>REF</w:instrText>
      </w:r>
      <w:r w:rsidRPr="00D6711C">
        <w:rPr>
          <w:rFonts w:hint="cs"/>
          <w:b/>
          <w:bCs/>
          <w:rtl/>
        </w:rPr>
        <w:instrText xml:space="preserve"> _</w:instrText>
      </w:r>
      <w:r w:rsidRPr="00D6711C">
        <w:rPr>
          <w:rFonts w:hint="cs"/>
          <w:b/>
          <w:bCs/>
        </w:rPr>
        <w:instrText>Ref144307040 \r \h</w:instrText>
      </w:r>
      <w:r w:rsidRPr="00D6711C">
        <w:rPr>
          <w:b/>
          <w:bCs/>
          <w:rtl/>
        </w:rPr>
        <w:instrText xml:space="preserve">  \* </w:instrText>
      </w:r>
      <w:r w:rsidRPr="00D6711C">
        <w:rPr>
          <w:b/>
          <w:bCs/>
        </w:rPr>
        <w:instrText>MERGEFORMAT</w:instrText>
      </w:r>
      <w:r w:rsidRPr="00D6711C">
        <w:rPr>
          <w:b/>
          <w:bCs/>
          <w:rtl/>
        </w:rPr>
        <w:instrText xml:space="preserve"> </w:instrText>
      </w:r>
      <w:r w:rsidRPr="00D6711C">
        <w:rPr>
          <w:b/>
          <w:bCs/>
          <w:rtl/>
        </w:rPr>
      </w:r>
      <w:r w:rsidRPr="00D6711C">
        <w:rPr>
          <w:b/>
          <w:bCs/>
          <w:rtl/>
        </w:rPr>
        <w:fldChar w:fldCharType="separate"/>
      </w:r>
      <w:r w:rsidR="00D82181">
        <w:rPr>
          <w:b/>
          <w:bCs/>
          <w:cs/>
        </w:rPr>
        <w:t>‎</w:t>
      </w:r>
      <w:r w:rsidR="00D82181">
        <w:rPr>
          <w:b/>
          <w:bCs/>
          <w:rtl/>
        </w:rPr>
        <w:t>לח)</w:t>
      </w:r>
      <w:r w:rsidRPr="00D6711C">
        <w:rPr>
          <w:b/>
          <w:bCs/>
          <w:rtl/>
        </w:rPr>
        <w:fldChar w:fldCharType="end"/>
      </w:r>
      <w:r w:rsidRPr="00592319">
        <w:rPr>
          <w:rFonts w:hint="cs"/>
          <w:rtl/>
        </w:rPr>
        <w:t xml:space="preserve"> רמב"ן</w:t>
      </w:r>
      <w:r w:rsidRPr="00EC2B00">
        <w:rPr>
          <w:rFonts w:hint="cs"/>
          <w:rtl/>
        </w:rPr>
        <w:t xml:space="preserve"> </w:t>
      </w:r>
      <w:r w:rsidRPr="00EC2B00">
        <w:rPr>
          <w:rStyle w:val="afffffffff3"/>
          <w:rFonts w:hint="cs"/>
          <w:rtl/>
        </w:rPr>
        <w:t>(ד"ה ומשמע)</w:t>
      </w:r>
      <w:r w:rsidRPr="00D6711C">
        <w:rPr>
          <w:b/>
          <w:bCs/>
          <w:rtl/>
        </w:rPr>
        <w:t>,</w:t>
      </w:r>
      <w:r w:rsidRPr="00D6711C">
        <w:rPr>
          <w:rFonts w:hint="cs"/>
          <w:b/>
          <w:bCs/>
          <w:rtl/>
        </w:rPr>
        <w:t xml:space="preserve"> </w:t>
      </w:r>
      <w:r w:rsidRPr="00D6711C">
        <w:rPr>
          <w:b/>
          <w:bCs/>
          <w:rtl/>
        </w:rPr>
        <w:fldChar w:fldCharType="begin"/>
      </w:r>
      <w:r w:rsidRPr="00D6711C">
        <w:rPr>
          <w:b/>
          <w:bCs/>
          <w:rtl/>
        </w:rPr>
        <w:instrText xml:space="preserve"> </w:instrText>
      </w:r>
      <w:r w:rsidRPr="00D6711C">
        <w:rPr>
          <w:rFonts w:hint="cs"/>
          <w:b/>
          <w:bCs/>
        </w:rPr>
        <w:instrText>REF</w:instrText>
      </w:r>
      <w:r w:rsidRPr="00D6711C">
        <w:rPr>
          <w:rFonts w:hint="cs"/>
          <w:b/>
          <w:bCs/>
          <w:rtl/>
        </w:rPr>
        <w:instrText xml:space="preserve"> _</w:instrText>
      </w:r>
      <w:r w:rsidRPr="00D6711C">
        <w:rPr>
          <w:rFonts w:hint="cs"/>
          <w:b/>
          <w:bCs/>
        </w:rPr>
        <w:instrText>Ref145016827 \r \h</w:instrText>
      </w:r>
      <w:r w:rsidRPr="00D6711C">
        <w:rPr>
          <w:b/>
          <w:bCs/>
          <w:rtl/>
        </w:rPr>
        <w:instrText xml:space="preserve">  \* </w:instrText>
      </w:r>
      <w:r w:rsidRPr="00D6711C">
        <w:rPr>
          <w:b/>
          <w:bCs/>
        </w:rPr>
        <w:instrText>MERGEFORMAT</w:instrText>
      </w:r>
      <w:r w:rsidRPr="00D6711C">
        <w:rPr>
          <w:b/>
          <w:bCs/>
          <w:rtl/>
        </w:rPr>
        <w:instrText xml:space="preserve"> </w:instrText>
      </w:r>
      <w:r w:rsidRPr="00D6711C">
        <w:rPr>
          <w:b/>
          <w:bCs/>
          <w:rtl/>
        </w:rPr>
      </w:r>
      <w:r w:rsidRPr="00D6711C">
        <w:rPr>
          <w:b/>
          <w:bCs/>
          <w:rtl/>
        </w:rPr>
        <w:fldChar w:fldCharType="separate"/>
      </w:r>
      <w:r w:rsidR="00D82181">
        <w:rPr>
          <w:b/>
          <w:bCs/>
          <w:cs/>
        </w:rPr>
        <w:t>‎</w:t>
      </w:r>
      <w:r w:rsidR="00D82181">
        <w:rPr>
          <w:b/>
          <w:bCs/>
          <w:rtl/>
        </w:rPr>
        <w:t>לט)</w:t>
      </w:r>
      <w:r w:rsidRPr="00D6711C">
        <w:rPr>
          <w:b/>
          <w:bCs/>
          <w:rtl/>
        </w:rPr>
        <w:fldChar w:fldCharType="end"/>
      </w:r>
      <w:r w:rsidRPr="00592319">
        <w:rPr>
          <w:rFonts w:hint="cs"/>
          <w:rtl/>
        </w:rPr>
        <w:t xml:space="preserve"> רשב"א</w:t>
      </w:r>
      <w:r w:rsidRPr="00EC2B00">
        <w:rPr>
          <w:rFonts w:hint="cs"/>
          <w:rtl/>
        </w:rPr>
        <w:t xml:space="preserve"> </w:t>
      </w:r>
      <w:r w:rsidRPr="00EC2B00">
        <w:rPr>
          <w:rStyle w:val="afffffffff3"/>
          <w:rtl/>
        </w:rPr>
        <w:t>(</w:t>
      </w:r>
      <w:r w:rsidRPr="00EC2B00">
        <w:rPr>
          <w:rStyle w:val="afffffffff3"/>
          <w:rFonts w:hint="cs"/>
          <w:rtl/>
        </w:rPr>
        <w:t>ד"ה האי</w:t>
      </w:r>
      <w:r w:rsidRPr="00EC2B00">
        <w:rPr>
          <w:rStyle w:val="afffffffff3"/>
          <w:rtl/>
        </w:rPr>
        <w:t>)</w:t>
      </w:r>
      <w:r w:rsidRPr="00EC2B00">
        <w:rPr>
          <w:rtl/>
        </w:rPr>
        <w:t>.</w:t>
      </w:r>
    </w:p>
    <w:p w14:paraId="0FA5A64C" w14:textId="77777777" w:rsidR="003E1AA3" w:rsidRDefault="003E1AA3" w:rsidP="003E1AA3">
      <w:pPr>
        <w:pStyle w:val="TOC2"/>
        <w:rPr>
          <w:rFonts w:cstheme="minorBidi"/>
          <w:b w:val="0"/>
          <w:bCs w:val="0"/>
          <w:sz w:val="22"/>
          <w:szCs w:val="22"/>
          <w:rtl/>
        </w:rPr>
      </w:pPr>
      <w:hyperlink w:anchor="_Toc145233927" w:history="1">
        <w:r w:rsidRPr="0054718A">
          <w:rPr>
            <w:rStyle w:val="Hyperlink"/>
            <w:rtl/>
          </w:rPr>
          <w:t>בי' הרמב"ן דעושה כלי וכלי מפורק שצריך אומן להחזירו בונה</w:t>
        </w:r>
      </w:hyperlink>
    </w:p>
    <w:p w14:paraId="60E972DF" w14:textId="77777777" w:rsidR="003E1AA3" w:rsidRDefault="003E1AA3" w:rsidP="00ED704E">
      <w:pPr>
        <w:pStyle w:val="TOC3"/>
        <w:rPr>
          <w:rFonts w:asciiTheme="minorHAnsi" w:eastAsiaTheme="minorEastAsia" w:hAnsiTheme="minorHAnsi" w:cstheme="minorBidi"/>
          <w:sz w:val="22"/>
          <w:szCs w:val="22"/>
          <w:rtl/>
        </w:rPr>
      </w:pPr>
      <w:hyperlink w:anchor="_Toc145233928" w:history="1">
        <w:r w:rsidRPr="0054718A">
          <w:rPr>
            <w:rStyle w:val="Hyperlink"/>
            <w:rtl/>
          </w:rPr>
          <w:t>בי' הרמב"ן דעושה ומתקן כלי בתחילה אין בנין גדול מזה דבלא היה כלי אינו בכלל בנין בכלים</w:t>
        </w:r>
      </w:hyperlink>
    </w:p>
    <w:p w14:paraId="76E8B6DD" w14:textId="77777777" w:rsidR="003E1AA3" w:rsidRDefault="003E1AA3" w:rsidP="00ED704E">
      <w:pPr>
        <w:pStyle w:val="TOC3"/>
        <w:rPr>
          <w:rFonts w:asciiTheme="minorHAnsi" w:eastAsiaTheme="minorEastAsia" w:hAnsiTheme="minorHAnsi" w:cstheme="minorBidi"/>
          <w:sz w:val="22"/>
          <w:szCs w:val="22"/>
          <w:rtl/>
        </w:rPr>
      </w:pPr>
      <w:hyperlink w:anchor="_Toc145233929" w:history="1">
        <w:r w:rsidRPr="0054718A">
          <w:rPr>
            <w:rStyle w:val="Hyperlink"/>
            <w:rtl/>
          </w:rPr>
          <w:t>בי' הרמב"ן דכלי מפורק שצריך אומן להחזירו כמנורה דחוליות ובחביתא הוי בונה וכ"מ בירו'</w:t>
        </w:r>
      </w:hyperlink>
    </w:p>
    <w:p w14:paraId="58BC4507" w14:textId="77777777" w:rsidR="003E1AA3" w:rsidRDefault="003E1AA3" w:rsidP="00ED704E">
      <w:pPr>
        <w:pStyle w:val="TOC3"/>
        <w:rPr>
          <w:rFonts w:asciiTheme="minorHAnsi" w:eastAsiaTheme="minorEastAsia" w:hAnsiTheme="minorHAnsi" w:cstheme="minorBidi"/>
          <w:sz w:val="22"/>
          <w:szCs w:val="22"/>
          <w:rtl/>
        </w:rPr>
      </w:pPr>
      <w:hyperlink w:anchor="_Toc145233930" w:history="1">
        <w:r w:rsidRPr="0054718A">
          <w:rPr>
            <w:rStyle w:val="Hyperlink"/>
            <w:rtl/>
          </w:rPr>
          <w:t>דחיית הרמב"ן לרש"י דהתוקע בדלתות אינו חייב משום מכב"פ כרש"י אלא הוי בונה אף בכלים</w:t>
        </w:r>
      </w:hyperlink>
    </w:p>
    <w:p w14:paraId="49B10A6A" w14:textId="77777777" w:rsidR="003E1AA3" w:rsidRDefault="003E1AA3" w:rsidP="00ED704E">
      <w:pPr>
        <w:pStyle w:val="TOC3"/>
        <w:rPr>
          <w:rFonts w:asciiTheme="minorHAnsi" w:eastAsiaTheme="minorEastAsia" w:hAnsiTheme="minorHAnsi" w:cstheme="minorBidi"/>
          <w:sz w:val="22"/>
          <w:szCs w:val="22"/>
          <w:rtl/>
        </w:rPr>
      </w:pPr>
      <w:hyperlink w:anchor="_Toc145233931" w:history="1">
        <w:r w:rsidRPr="0054718A">
          <w:rPr>
            <w:rStyle w:val="Hyperlink"/>
            <w:rtl/>
          </w:rPr>
          <w:t>בי' הרשב"א ברמב"ן דבמנורה צריך אומן והוי בונה ולכן גזרו אך לרי"ף לדידן אין איסור במנורה</w:t>
        </w:r>
      </w:hyperlink>
    </w:p>
    <w:p w14:paraId="27E95B6D" w14:textId="77777777" w:rsidR="003E1AA3" w:rsidRDefault="003E1AA3" w:rsidP="003E1AA3">
      <w:pPr>
        <w:pStyle w:val="TOC1"/>
        <w:rPr>
          <w:rFonts w:asciiTheme="minorHAnsi" w:hAnsiTheme="minorHAnsi" w:cstheme="minorBidi"/>
          <w:b w:val="0"/>
          <w:bCs w:val="0"/>
          <w:caps w:val="0"/>
          <w:sz w:val="22"/>
          <w:szCs w:val="22"/>
          <w:rtl/>
        </w:rPr>
      </w:pPr>
      <w:hyperlink w:anchor="_Toc145233932" w:history="1">
        <w:r w:rsidRPr="0054718A">
          <w:rPr>
            <w:rStyle w:val="Hyperlink"/>
            <w:rtl/>
          </w:rPr>
          <w:t>בי' הבעה"מ דרק כלי ע"ג כלי ל"ה בנין</w:t>
        </w:r>
      </w:hyperlink>
    </w:p>
    <w:p w14:paraId="3E65330C" w14:textId="0F0381FF" w:rsidR="003E1AA3" w:rsidRPr="00EC2B00" w:rsidRDefault="003E1AA3" w:rsidP="003E1AA3">
      <w:pPr>
        <w:pStyle w:val="afffffffff0"/>
        <w:rPr>
          <w:rtl/>
        </w:rPr>
      </w:pPr>
      <w:r w:rsidRPr="00D6711C">
        <w:rPr>
          <w:b/>
          <w:bCs/>
          <w:rtl/>
        </w:rPr>
        <w:fldChar w:fldCharType="begin"/>
      </w:r>
      <w:r w:rsidRPr="00D6711C">
        <w:rPr>
          <w:b/>
          <w:bCs/>
          <w:rtl/>
        </w:rPr>
        <w:instrText xml:space="preserve"> </w:instrText>
      </w:r>
      <w:r w:rsidRPr="00D6711C">
        <w:rPr>
          <w:rFonts w:hint="cs"/>
          <w:b/>
          <w:bCs/>
        </w:rPr>
        <w:instrText>REF</w:instrText>
      </w:r>
      <w:r w:rsidRPr="00D6711C">
        <w:rPr>
          <w:rFonts w:hint="cs"/>
          <w:b/>
          <w:bCs/>
          <w:rtl/>
        </w:rPr>
        <w:instrText xml:space="preserve"> _</w:instrText>
      </w:r>
      <w:r w:rsidRPr="00D6711C">
        <w:rPr>
          <w:rFonts w:hint="cs"/>
          <w:b/>
          <w:bCs/>
        </w:rPr>
        <w:instrText>Ref144309330 \r \h</w:instrText>
      </w:r>
      <w:r w:rsidRPr="00D6711C">
        <w:rPr>
          <w:b/>
          <w:bCs/>
          <w:rtl/>
        </w:rPr>
        <w:instrText xml:space="preserve">  \* </w:instrText>
      </w:r>
      <w:r w:rsidRPr="00D6711C">
        <w:rPr>
          <w:b/>
          <w:bCs/>
        </w:rPr>
        <w:instrText>MERGEFORMAT</w:instrText>
      </w:r>
      <w:r w:rsidRPr="00D6711C">
        <w:rPr>
          <w:b/>
          <w:bCs/>
          <w:rtl/>
        </w:rPr>
        <w:instrText xml:space="preserve"> </w:instrText>
      </w:r>
      <w:r w:rsidRPr="00D6711C">
        <w:rPr>
          <w:b/>
          <w:bCs/>
          <w:rtl/>
        </w:rPr>
      </w:r>
      <w:r w:rsidRPr="00D6711C">
        <w:rPr>
          <w:b/>
          <w:bCs/>
          <w:rtl/>
        </w:rPr>
        <w:fldChar w:fldCharType="separate"/>
      </w:r>
      <w:r w:rsidR="00D82181">
        <w:rPr>
          <w:b/>
          <w:bCs/>
          <w:cs/>
        </w:rPr>
        <w:t>‎</w:t>
      </w:r>
      <w:r w:rsidR="00D82181">
        <w:rPr>
          <w:b/>
          <w:bCs/>
          <w:rtl/>
        </w:rPr>
        <w:t>מ)</w:t>
      </w:r>
      <w:r w:rsidRPr="00D6711C">
        <w:rPr>
          <w:b/>
          <w:bCs/>
          <w:rtl/>
        </w:rPr>
        <w:fldChar w:fldCharType="end"/>
      </w:r>
      <w:r w:rsidRPr="00D6711C">
        <w:rPr>
          <w:rFonts w:hint="cs"/>
          <w:b/>
          <w:bCs/>
          <w:rtl/>
        </w:rPr>
        <w:t xml:space="preserve"> </w:t>
      </w:r>
      <w:r w:rsidRPr="003C24C3">
        <w:rPr>
          <w:rFonts w:hint="cs"/>
          <w:rtl/>
        </w:rPr>
        <w:t>בעה"מ</w:t>
      </w:r>
      <w:r w:rsidRPr="00EC2B00">
        <w:rPr>
          <w:rFonts w:hint="cs"/>
          <w:rtl/>
        </w:rPr>
        <w:t xml:space="preserve"> </w:t>
      </w:r>
      <w:r w:rsidRPr="00EC2B00">
        <w:rPr>
          <w:rStyle w:val="afffffffff3"/>
          <w:rFonts w:hint="cs"/>
          <w:rtl/>
        </w:rPr>
        <w:t>(ל"ז. מדה"ר ד"ה עייל</w:t>
      </w:r>
      <w:r w:rsidRPr="00D6711C">
        <w:rPr>
          <w:rStyle w:val="afffffffff3"/>
          <w:rFonts w:hint="cs"/>
          <w:b/>
          <w:bCs/>
          <w:rtl/>
        </w:rPr>
        <w:t>,</w:t>
      </w:r>
      <w:r w:rsidRPr="00D6711C">
        <w:rPr>
          <w:rStyle w:val="afffffffff3"/>
          <w:rFonts w:hint="cs"/>
          <w:rtl/>
        </w:rPr>
        <w:t xml:space="preserve"> מהדו' עוז והדר עמ' ק"ד)</w:t>
      </w:r>
      <w:r w:rsidRPr="00D6711C">
        <w:rPr>
          <w:rFonts w:hint="cs"/>
          <w:rtl/>
        </w:rPr>
        <w:t>.</w:t>
      </w:r>
    </w:p>
    <w:p w14:paraId="4B643404" w14:textId="77777777" w:rsidR="003E1AA3" w:rsidRDefault="003E1AA3" w:rsidP="003E1AA3">
      <w:pPr>
        <w:pStyle w:val="TOC2"/>
        <w:rPr>
          <w:rFonts w:cstheme="minorBidi"/>
          <w:b w:val="0"/>
          <w:bCs w:val="0"/>
          <w:sz w:val="22"/>
          <w:szCs w:val="22"/>
          <w:rtl/>
        </w:rPr>
      </w:pPr>
      <w:hyperlink w:anchor="_Toc145233933" w:history="1">
        <w:r w:rsidRPr="0054718A">
          <w:rPr>
            <w:rStyle w:val="Hyperlink"/>
            <w:rtl/>
          </w:rPr>
          <w:t>בי' הבעה"מ דחיבור ב' כלים ל"ה בונה אך בונה מיעוט כלי חייב</w:t>
        </w:r>
      </w:hyperlink>
    </w:p>
    <w:p w14:paraId="5E2C636E" w14:textId="77777777" w:rsidR="003E1AA3" w:rsidRDefault="003E1AA3" w:rsidP="00ED704E">
      <w:pPr>
        <w:pStyle w:val="TOC3"/>
        <w:rPr>
          <w:rFonts w:asciiTheme="minorHAnsi" w:eastAsiaTheme="minorEastAsia" w:hAnsiTheme="minorHAnsi" w:cstheme="minorBidi"/>
          <w:sz w:val="22"/>
          <w:szCs w:val="22"/>
          <w:rtl/>
        </w:rPr>
      </w:pPr>
      <w:hyperlink w:anchor="_Toc145233934" w:history="1">
        <w:r w:rsidRPr="0054718A">
          <w:rPr>
            <w:rStyle w:val="Hyperlink"/>
            <w:rtl/>
          </w:rPr>
          <w:t>בי' הבעה"מ דאין בנין בכלים רק בב' כלים זה ע"ג זה כשידה תיבה ומגדל וחיבור ב' מנורות</w:t>
        </w:r>
      </w:hyperlink>
    </w:p>
    <w:p w14:paraId="67EF54F7" w14:textId="77777777" w:rsidR="003E1AA3" w:rsidRDefault="003E1AA3" w:rsidP="00ED704E">
      <w:pPr>
        <w:pStyle w:val="TOC3"/>
        <w:rPr>
          <w:rFonts w:asciiTheme="minorHAnsi" w:eastAsiaTheme="minorEastAsia" w:hAnsiTheme="minorHAnsi" w:cstheme="minorBidi"/>
          <w:sz w:val="22"/>
          <w:szCs w:val="22"/>
          <w:rtl/>
        </w:rPr>
      </w:pPr>
      <w:hyperlink w:anchor="_Toc145233935" w:history="1">
        <w:r w:rsidRPr="0054718A">
          <w:rPr>
            <w:rStyle w:val="Hyperlink"/>
            <w:rtl/>
          </w:rPr>
          <w:t>בי' הבעה"מ דבבונה כלי א' או רובו לכו"ע הוי בנין ובשופתא לשמואל דבר מועט ל"ה דרך בנין</w:t>
        </w:r>
      </w:hyperlink>
    </w:p>
    <w:p w14:paraId="639B780C" w14:textId="77777777" w:rsidR="003E1AA3" w:rsidRDefault="003E1AA3" w:rsidP="00ED704E">
      <w:pPr>
        <w:pStyle w:val="TOC3"/>
        <w:rPr>
          <w:rFonts w:asciiTheme="minorHAnsi" w:eastAsiaTheme="minorEastAsia" w:hAnsiTheme="minorHAnsi" w:cstheme="minorBidi"/>
          <w:sz w:val="22"/>
          <w:szCs w:val="22"/>
          <w:rtl/>
        </w:rPr>
      </w:pPr>
      <w:hyperlink w:anchor="_Toc145233936" w:history="1">
        <w:r w:rsidRPr="0054718A">
          <w:rPr>
            <w:rStyle w:val="Hyperlink"/>
            <w:rtl/>
          </w:rPr>
          <w:t>ד' הי"מ בבעה"מ שיש מחלוקת בכל בנין בכלים אי הוי בנין וקיי"ל כרבא דמתיר</w:t>
        </w:r>
      </w:hyperlink>
    </w:p>
    <w:p w14:paraId="5E5948E9" w14:textId="77777777" w:rsidR="003E1AA3" w:rsidRDefault="003E1AA3" w:rsidP="003E1AA3">
      <w:pPr>
        <w:pStyle w:val="TOC1"/>
        <w:rPr>
          <w:rFonts w:asciiTheme="minorHAnsi" w:hAnsiTheme="minorHAnsi" w:cstheme="minorBidi"/>
          <w:b w:val="0"/>
          <w:bCs w:val="0"/>
          <w:caps w:val="0"/>
          <w:sz w:val="22"/>
          <w:szCs w:val="22"/>
          <w:rtl/>
        </w:rPr>
      </w:pPr>
      <w:hyperlink w:anchor="_Toc145233937" w:history="1">
        <w:r w:rsidRPr="0054718A">
          <w:rPr>
            <w:rStyle w:val="Hyperlink"/>
            <w:rtl/>
          </w:rPr>
          <w:t>ד' הרי"ד דתיקון הצריך אומן הוי בונה</w:t>
        </w:r>
      </w:hyperlink>
    </w:p>
    <w:p w14:paraId="224F09B5" w14:textId="0ACE899E" w:rsidR="003E1AA3" w:rsidRPr="00EC2B00" w:rsidRDefault="003E1AA3" w:rsidP="003E1AA3">
      <w:pPr>
        <w:pStyle w:val="afffffffff0"/>
        <w:rPr>
          <w:rtl/>
        </w:rPr>
      </w:pPr>
      <w:r w:rsidRPr="00B55F53">
        <w:rPr>
          <w:b/>
          <w:bCs/>
          <w:rtl/>
        </w:rPr>
        <w:fldChar w:fldCharType="begin"/>
      </w:r>
      <w:r w:rsidRPr="00B55F53">
        <w:rPr>
          <w:b/>
          <w:bCs/>
          <w:rtl/>
        </w:rPr>
        <w:instrText xml:space="preserve"> </w:instrText>
      </w:r>
      <w:r w:rsidRPr="00B55F53">
        <w:rPr>
          <w:rFonts w:hint="cs"/>
          <w:b/>
          <w:bCs/>
        </w:rPr>
        <w:instrText>REF</w:instrText>
      </w:r>
      <w:r w:rsidRPr="00B55F53">
        <w:rPr>
          <w:rFonts w:hint="cs"/>
          <w:b/>
          <w:bCs/>
          <w:rtl/>
        </w:rPr>
        <w:instrText xml:space="preserve"> _</w:instrText>
      </w:r>
      <w:r w:rsidRPr="00B55F53">
        <w:rPr>
          <w:rFonts w:hint="cs"/>
          <w:b/>
          <w:bCs/>
        </w:rPr>
        <w:instrText>Ref144843303 \r \h</w:instrText>
      </w:r>
      <w:r w:rsidRPr="00B55F53">
        <w:rPr>
          <w:b/>
          <w:bCs/>
          <w:rtl/>
        </w:rPr>
        <w:instrText xml:space="preserve">  \* </w:instrText>
      </w:r>
      <w:r w:rsidRPr="00B55F53">
        <w:rPr>
          <w:b/>
          <w:bCs/>
        </w:rPr>
        <w:instrText>MERGEFORMAT</w:instrText>
      </w:r>
      <w:r w:rsidRPr="00B55F53">
        <w:rPr>
          <w:b/>
          <w:bCs/>
          <w:rtl/>
        </w:rPr>
        <w:instrText xml:space="preserve"> </w:instrText>
      </w:r>
      <w:r w:rsidRPr="00B55F53">
        <w:rPr>
          <w:b/>
          <w:bCs/>
          <w:rtl/>
        </w:rPr>
      </w:r>
      <w:r w:rsidRPr="00B55F53">
        <w:rPr>
          <w:b/>
          <w:bCs/>
          <w:rtl/>
        </w:rPr>
        <w:fldChar w:fldCharType="separate"/>
      </w:r>
      <w:r w:rsidR="00D82181">
        <w:rPr>
          <w:b/>
          <w:bCs/>
          <w:cs/>
        </w:rPr>
        <w:t>‎</w:t>
      </w:r>
      <w:r w:rsidR="00D82181">
        <w:rPr>
          <w:b/>
          <w:bCs/>
          <w:rtl/>
        </w:rPr>
        <w:t>מג)</w:t>
      </w:r>
      <w:r w:rsidRPr="00B55F53">
        <w:rPr>
          <w:b/>
          <w:bCs/>
          <w:rtl/>
        </w:rPr>
        <w:fldChar w:fldCharType="end"/>
      </w:r>
      <w:r w:rsidRPr="00B55F53">
        <w:rPr>
          <w:rFonts w:hint="cs"/>
          <w:b/>
          <w:bCs/>
          <w:rtl/>
        </w:rPr>
        <w:t xml:space="preserve"> </w:t>
      </w:r>
      <w:r w:rsidRPr="00EC2B00">
        <w:rPr>
          <w:rFonts w:hint="cs"/>
          <w:rtl/>
        </w:rPr>
        <w:t>פסקי הרי"ד</w:t>
      </w:r>
      <w:r w:rsidRPr="00EC2B00">
        <w:rPr>
          <w:rtl/>
        </w:rPr>
        <w:t xml:space="preserve"> </w:t>
      </w:r>
      <w:r w:rsidRPr="00EC2B00">
        <w:rPr>
          <w:rStyle w:val="afffffffff3"/>
          <w:rtl/>
        </w:rPr>
        <w:t>(</w:t>
      </w:r>
      <w:r w:rsidRPr="00EC2B00">
        <w:rPr>
          <w:rStyle w:val="afffffffff3"/>
          <w:rFonts w:hint="cs"/>
          <w:rtl/>
        </w:rPr>
        <w:t>לה. ד"ה רבה</w:t>
      </w:r>
      <w:r w:rsidRPr="00EC2B00">
        <w:rPr>
          <w:rStyle w:val="afffffffff3"/>
          <w:rtl/>
        </w:rPr>
        <w:t>)</w:t>
      </w:r>
      <w:r w:rsidRPr="00D6711C">
        <w:rPr>
          <w:b/>
          <w:bCs/>
          <w:rtl/>
        </w:rPr>
        <w:t>,</w:t>
      </w:r>
      <w:r w:rsidRPr="00D6711C">
        <w:rPr>
          <w:rFonts w:hint="cs"/>
          <w:b/>
          <w:bCs/>
          <w:rtl/>
        </w:rPr>
        <w:t xml:space="preserve"> </w:t>
      </w:r>
      <w:r w:rsidRPr="00D6711C">
        <w:rPr>
          <w:b/>
          <w:bCs/>
          <w:rtl/>
        </w:rPr>
        <w:fldChar w:fldCharType="begin"/>
      </w:r>
      <w:r w:rsidRPr="00D6711C">
        <w:rPr>
          <w:b/>
          <w:bCs/>
          <w:rtl/>
        </w:rPr>
        <w:instrText xml:space="preserve"> </w:instrText>
      </w:r>
      <w:r w:rsidRPr="00D6711C">
        <w:rPr>
          <w:rFonts w:hint="cs"/>
          <w:b/>
          <w:bCs/>
        </w:rPr>
        <w:instrText>REF</w:instrText>
      </w:r>
      <w:r w:rsidRPr="00D6711C">
        <w:rPr>
          <w:rFonts w:hint="cs"/>
          <w:b/>
          <w:bCs/>
          <w:rtl/>
        </w:rPr>
        <w:instrText xml:space="preserve"> _</w:instrText>
      </w:r>
      <w:r w:rsidRPr="00D6711C">
        <w:rPr>
          <w:rFonts w:hint="cs"/>
          <w:b/>
          <w:bCs/>
        </w:rPr>
        <w:instrText>Ref144897507 \r \h</w:instrText>
      </w:r>
      <w:r w:rsidRPr="00D6711C">
        <w:rPr>
          <w:b/>
          <w:bCs/>
          <w:rtl/>
        </w:rPr>
        <w:instrText xml:space="preserve">  \* </w:instrText>
      </w:r>
      <w:r w:rsidRPr="00D6711C">
        <w:rPr>
          <w:b/>
          <w:bCs/>
        </w:rPr>
        <w:instrText>MERGEFORMAT</w:instrText>
      </w:r>
      <w:r w:rsidRPr="00D6711C">
        <w:rPr>
          <w:b/>
          <w:bCs/>
          <w:rtl/>
        </w:rPr>
        <w:instrText xml:space="preserve"> </w:instrText>
      </w:r>
      <w:r w:rsidRPr="00D6711C">
        <w:rPr>
          <w:b/>
          <w:bCs/>
          <w:rtl/>
        </w:rPr>
      </w:r>
      <w:r w:rsidRPr="00D6711C">
        <w:rPr>
          <w:b/>
          <w:bCs/>
          <w:rtl/>
        </w:rPr>
        <w:fldChar w:fldCharType="separate"/>
      </w:r>
      <w:r w:rsidR="00D82181">
        <w:rPr>
          <w:b/>
          <w:bCs/>
          <w:cs/>
        </w:rPr>
        <w:t>‎</w:t>
      </w:r>
      <w:r w:rsidR="00D82181">
        <w:rPr>
          <w:b/>
          <w:bCs/>
          <w:rtl/>
        </w:rPr>
        <w:t>מד)</w:t>
      </w:r>
      <w:r w:rsidRPr="00D6711C">
        <w:rPr>
          <w:b/>
          <w:bCs/>
          <w:rtl/>
        </w:rPr>
        <w:fldChar w:fldCharType="end"/>
      </w:r>
      <w:r w:rsidRPr="00EC2B00">
        <w:rPr>
          <w:rFonts w:hint="cs"/>
          <w:b/>
          <w:bCs/>
          <w:rtl/>
        </w:rPr>
        <w:t xml:space="preserve"> </w:t>
      </w:r>
      <w:r w:rsidRPr="00EC2B00">
        <w:rPr>
          <w:rFonts w:hint="cs"/>
          <w:rtl/>
        </w:rPr>
        <w:t>רבינו משה קזיס</w:t>
      </w:r>
      <w:r w:rsidRPr="00EC2B00">
        <w:rPr>
          <w:rtl/>
        </w:rPr>
        <w:t xml:space="preserve"> </w:t>
      </w:r>
      <w:r w:rsidRPr="00EC2B00">
        <w:rPr>
          <w:rStyle w:val="afffffffff3"/>
          <w:rtl/>
        </w:rPr>
        <w:t>(</w:t>
      </w:r>
      <w:r w:rsidRPr="00EC2B00">
        <w:rPr>
          <w:rStyle w:val="afffffffff3"/>
          <w:rFonts w:hint="cs"/>
          <w:rtl/>
        </w:rPr>
        <w:t>ריש פרק חבית ד"ה ומצאתי שכתב</w:t>
      </w:r>
      <w:r w:rsidRPr="00EC2B00">
        <w:rPr>
          <w:rStyle w:val="afffffffff3"/>
          <w:rtl/>
        </w:rPr>
        <w:t>)</w:t>
      </w:r>
      <w:r w:rsidRPr="00D6711C">
        <w:rPr>
          <w:b/>
          <w:bCs/>
          <w:rtl/>
        </w:rPr>
        <w:t xml:space="preserve">, </w:t>
      </w:r>
      <w:r w:rsidRPr="00D6711C">
        <w:rPr>
          <w:b/>
          <w:bCs/>
          <w:rtl/>
        </w:rPr>
        <w:fldChar w:fldCharType="begin"/>
      </w:r>
      <w:r w:rsidRPr="00D6711C">
        <w:rPr>
          <w:b/>
          <w:bCs/>
          <w:rtl/>
        </w:rPr>
        <w:instrText xml:space="preserve"> </w:instrText>
      </w:r>
      <w:r w:rsidRPr="00D6711C">
        <w:rPr>
          <w:b/>
          <w:bCs/>
        </w:rPr>
        <w:instrText>REF</w:instrText>
      </w:r>
      <w:r w:rsidRPr="00D6711C">
        <w:rPr>
          <w:b/>
          <w:bCs/>
          <w:rtl/>
        </w:rPr>
        <w:instrText xml:space="preserve"> _</w:instrText>
      </w:r>
      <w:r w:rsidRPr="00D6711C">
        <w:rPr>
          <w:b/>
          <w:bCs/>
        </w:rPr>
        <w:instrText>Ref144757968 \r \h</w:instrText>
      </w:r>
      <w:r w:rsidRPr="00D6711C">
        <w:rPr>
          <w:b/>
          <w:bCs/>
          <w:rtl/>
        </w:rPr>
        <w:instrText xml:space="preserve">  \* </w:instrText>
      </w:r>
      <w:r w:rsidRPr="00D6711C">
        <w:rPr>
          <w:b/>
          <w:bCs/>
        </w:rPr>
        <w:instrText>MERGEFORMAT</w:instrText>
      </w:r>
      <w:r w:rsidRPr="00D6711C">
        <w:rPr>
          <w:b/>
          <w:bCs/>
          <w:rtl/>
        </w:rPr>
        <w:instrText xml:space="preserve"> </w:instrText>
      </w:r>
      <w:r w:rsidRPr="00D6711C">
        <w:rPr>
          <w:b/>
          <w:bCs/>
          <w:rtl/>
        </w:rPr>
      </w:r>
      <w:r w:rsidRPr="00D6711C">
        <w:rPr>
          <w:b/>
          <w:bCs/>
          <w:rtl/>
        </w:rPr>
        <w:fldChar w:fldCharType="separate"/>
      </w:r>
      <w:r w:rsidR="00D82181">
        <w:rPr>
          <w:b/>
          <w:bCs/>
          <w:cs/>
        </w:rPr>
        <w:t>‎</w:t>
      </w:r>
      <w:r w:rsidR="00D82181">
        <w:rPr>
          <w:b/>
          <w:bCs/>
          <w:rtl/>
        </w:rPr>
        <w:t>מה)</w:t>
      </w:r>
      <w:r w:rsidRPr="00D6711C">
        <w:rPr>
          <w:b/>
          <w:bCs/>
          <w:rtl/>
        </w:rPr>
        <w:fldChar w:fldCharType="end"/>
      </w:r>
      <w:r w:rsidRPr="00EC2B00">
        <w:rPr>
          <w:b/>
          <w:bCs/>
          <w:rtl/>
        </w:rPr>
        <w:t xml:space="preserve"> </w:t>
      </w:r>
      <w:r w:rsidRPr="00EC2B00">
        <w:rPr>
          <w:rFonts w:hint="cs"/>
          <w:rtl/>
        </w:rPr>
        <w:t>תוס' רי"ד בעירובין</w:t>
      </w:r>
      <w:r w:rsidRPr="00EC2B00">
        <w:rPr>
          <w:rtl/>
        </w:rPr>
        <w:t xml:space="preserve"> </w:t>
      </w:r>
      <w:r w:rsidRPr="00EC2B00">
        <w:rPr>
          <w:rStyle w:val="afffffffff3"/>
          <w:rtl/>
        </w:rPr>
        <w:t>(</w:t>
      </w:r>
      <w:r w:rsidRPr="00EC2B00">
        <w:rPr>
          <w:rStyle w:val="afffffffff3"/>
          <w:rFonts w:hint="cs"/>
          <w:rtl/>
        </w:rPr>
        <w:t>לה. ד"ה פיסקא</w:t>
      </w:r>
      <w:r w:rsidRPr="00EC2B00">
        <w:rPr>
          <w:rStyle w:val="afffffffff3"/>
          <w:rtl/>
        </w:rPr>
        <w:t>)</w:t>
      </w:r>
      <w:r>
        <w:rPr>
          <w:rtl/>
        </w:rPr>
        <w:t xml:space="preserve"> </w:t>
      </w:r>
      <w:r w:rsidRPr="00EC2B00">
        <w:rPr>
          <w:rFonts w:hint="cs"/>
          <w:rtl/>
        </w:rPr>
        <w:t>תוס' רי"ד בעירובין</w:t>
      </w:r>
      <w:r w:rsidRPr="00EC2B00">
        <w:rPr>
          <w:rtl/>
        </w:rPr>
        <w:t xml:space="preserve"> </w:t>
      </w:r>
      <w:r w:rsidRPr="00EC2B00">
        <w:rPr>
          <w:rStyle w:val="afffffffff3"/>
          <w:rtl/>
        </w:rPr>
        <w:t>(</w:t>
      </w:r>
      <w:r w:rsidRPr="00EC2B00">
        <w:rPr>
          <w:rStyle w:val="afffffffff3"/>
          <w:rFonts w:hint="cs"/>
          <w:rtl/>
        </w:rPr>
        <w:t>לה. ד"ה פיסקא</w:t>
      </w:r>
      <w:r w:rsidRPr="00EC2B00">
        <w:rPr>
          <w:rStyle w:val="afffffffff3"/>
          <w:rtl/>
        </w:rPr>
        <w:t>)</w:t>
      </w:r>
      <w:r w:rsidRPr="00D6711C">
        <w:rPr>
          <w:b/>
          <w:bCs/>
          <w:rtl/>
        </w:rPr>
        <w:t xml:space="preserve">, </w:t>
      </w:r>
      <w:r w:rsidRPr="00D6711C">
        <w:rPr>
          <w:b/>
          <w:bCs/>
          <w:rtl/>
        </w:rPr>
        <w:fldChar w:fldCharType="begin"/>
      </w:r>
      <w:r w:rsidRPr="00D6711C">
        <w:rPr>
          <w:b/>
          <w:bCs/>
          <w:rtl/>
        </w:rPr>
        <w:instrText xml:space="preserve"> </w:instrText>
      </w:r>
      <w:r w:rsidRPr="00D6711C">
        <w:rPr>
          <w:b/>
          <w:bCs/>
        </w:rPr>
        <w:instrText>REF</w:instrText>
      </w:r>
      <w:r w:rsidRPr="00D6711C">
        <w:rPr>
          <w:b/>
          <w:bCs/>
          <w:rtl/>
        </w:rPr>
        <w:instrText xml:space="preserve"> _</w:instrText>
      </w:r>
      <w:r w:rsidRPr="00D6711C">
        <w:rPr>
          <w:b/>
          <w:bCs/>
        </w:rPr>
        <w:instrText>Ref144830591 \r \h</w:instrText>
      </w:r>
      <w:r w:rsidRPr="00D6711C">
        <w:rPr>
          <w:b/>
          <w:bCs/>
          <w:rtl/>
        </w:rPr>
        <w:instrText xml:space="preserve">  \* </w:instrText>
      </w:r>
      <w:r w:rsidRPr="00D6711C">
        <w:rPr>
          <w:b/>
          <w:bCs/>
        </w:rPr>
        <w:instrText>MERGEFORMAT</w:instrText>
      </w:r>
      <w:r w:rsidRPr="00D6711C">
        <w:rPr>
          <w:b/>
          <w:bCs/>
          <w:rtl/>
        </w:rPr>
        <w:instrText xml:space="preserve"> </w:instrText>
      </w:r>
      <w:r w:rsidRPr="00D6711C">
        <w:rPr>
          <w:b/>
          <w:bCs/>
          <w:rtl/>
        </w:rPr>
      </w:r>
      <w:r w:rsidRPr="00D6711C">
        <w:rPr>
          <w:b/>
          <w:bCs/>
          <w:rtl/>
        </w:rPr>
        <w:fldChar w:fldCharType="separate"/>
      </w:r>
      <w:r w:rsidR="00D82181">
        <w:rPr>
          <w:b/>
          <w:bCs/>
          <w:cs/>
        </w:rPr>
        <w:t>‎</w:t>
      </w:r>
      <w:r w:rsidR="00D82181">
        <w:rPr>
          <w:b/>
          <w:bCs/>
          <w:rtl/>
        </w:rPr>
        <w:t>מו)</w:t>
      </w:r>
      <w:r w:rsidRPr="00D6711C">
        <w:rPr>
          <w:b/>
          <w:bCs/>
          <w:rtl/>
        </w:rPr>
        <w:fldChar w:fldCharType="end"/>
      </w:r>
      <w:r w:rsidRPr="00EC2B00">
        <w:rPr>
          <w:b/>
          <w:bCs/>
          <w:rtl/>
        </w:rPr>
        <w:t xml:space="preserve"> </w:t>
      </w:r>
      <w:r w:rsidRPr="00EC2B00">
        <w:rPr>
          <w:rFonts w:hint="cs"/>
          <w:rtl/>
        </w:rPr>
        <w:t>תוס' רי"ד בעירובין</w:t>
      </w:r>
      <w:r w:rsidRPr="00EC2B00">
        <w:rPr>
          <w:rtl/>
        </w:rPr>
        <w:t xml:space="preserve"> </w:t>
      </w:r>
      <w:r w:rsidRPr="00EC2B00">
        <w:rPr>
          <w:rStyle w:val="afffffffff3"/>
          <w:rtl/>
        </w:rPr>
        <w:t>(</w:t>
      </w:r>
      <w:r w:rsidRPr="00EC2B00">
        <w:rPr>
          <w:rStyle w:val="afffffffff3"/>
          <w:rFonts w:hint="cs"/>
          <w:rtl/>
        </w:rPr>
        <w:t>לה. ד"ה וקשיא לי</w:t>
      </w:r>
      <w:r w:rsidRPr="00EC2B00">
        <w:rPr>
          <w:rStyle w:val="afffffffff3"/>
          <w:rtl/>
        </w:rPr>
        <w:t>)</w:t>
      </w:r>
      <w:r w:rsidRPr="00D6711C">
        <w:rPr>
          <w:b/>
          <w:bCs/>
          <w:rtl/>
        </w:rPr>
        <w:t xml:space="preserve">, </w:t>
      </w:r>
      <w:r w:rsidRPr="00D6711C">
        <w:rPr>
          <w:b/>
          <w:bCs/>
          <w:rtl/>
        </w:rPr>
        <w:fldChar w:fldCharType="begin"/>
      </w:r>
      <w:r w:rsidRPr="00D6711C">
        <w:rPr>
          <w:b/>
          <w:bCs/>
          <w:rtl/>
        </w:rPr>
        <w:instrText xml:space="preserve"> </w:instrText>
      </w:r>
      <w:r w:rsidRPr="00D6711C">
        <w:rPr>
          <w:b/>
          <w:bCs/>
        </w:rPr>
        <w:instrText>REF</w:instrText>
      </w:r>
      <w:r w:rsidRPr="00D6711C">
        <w:rPr>
          <w:b/>
          <w:bCs/>
          <w:rtl/>
        </w:rPr>
        <w:instrText xml:space="preserve"> _</w:instrText>
      </w:r>
      <w:r w:rsidRPr="00D6711C">
        <w:rPr>
          <w:b/>
          <w:bCs/>
        </w:rPr>
        <w:instrText>Ref144759617 \r \h</w:instrText>
      </w:r>
      <w:r w:rsidRPr="00D6711C">
        <w:rPr>
          <w:b/>
          <w:bCs/>
          <w:rtl/>
        </w:rPr>
        <w:instrText xml:space="preserve">  \* </w:instrText>
      </w:r>
      <w:r w:rsidRPr="00D6711C">
        <w:rPr>
          <w:b/>
          <w:bCs/>
        </w:rPr>
        <w:instrText>MERGEFORMAT</w:instrText>
      </w:r>
      <w:r w:rsidRPr="00D6711C">
        <w:rPr>
          <w:b/>
          <w:bCs/>
          <w:rtl/>
        </w:rPr>
        <w:instrText xml:space="preserve"> </w:instrText>
      </w:r>
      <w:r w:rsidRPr="00D6711C">
        <w:rPr>
          <w:b/>
          <w:bCs/>
          <w:rtl/>
        </w:rPr>
      </w:r>
      <w:r w:rsidRPr="00D6711C">
        <w:rPr>
          <w:b/>
          <w:bCs/>
          <w:rtl/>
        </w:rPr>
        <w:fldChar w:fldCharType="separate"/>
      </w:r>
      <w:r w:rsidR="00D82181">
        <w:rPr>
          <w:b/>
          <w:bCs/>
          <w:cs/>
        </w:rPr>
        <w:t>‎</w:t>
      </w:r>
      <w:r w:rsidR="00D82181">
        <w:rPr>
          <w:b/>
          <w:bCs/>
          <w:rtl/>
        </w:rPr>
        <w:t>מח)</w:t>
      </w:r>
      <w:r w:rsidRPr="00D6711C">
        <w:rPr>
          <w:b/>
          <w:bCs/>
          <w:rtl/>
        </w:rPr>
        <w:fldChar w:fldCharType="end"/>
      </w:r>
      <w:r w:rsidRPr="00EC2B00">
        <w:rPr>
          <w:b/>
          <w:bCs/>
          <w:rtl/>
        </w:rPr>
        <w:t xml:space="preserve"> </w:t>
      </w:r>
      <w:r w:rsidRPr="003C24C3">
        <w:rPr>
          <w:rFonts w:hint="cs"/>
          <w:rtl/>
        </w:rPr>
        <w:t>תוס' רי"ד בעירובין</w:t>
      </w:r>
      <w:r w:rsidRPr="00EC2B00">
        <w:rPr>
          <w:rtl/>
        </w:rPr>
        <w:t xml:space="preserve"> </w:t>
      </w:r>
      <w:r w:rsidRPr="00EC2B00">
        <w:rPr>
          <w:rStyle w:val="afffffffff3"/>
          <w:rtl/>
        </w:rPr>
        <w:t>(</w:t>
      </w:r>
      <w:r w:rsidRPr="00EC2B00">
        <w:rPr>
          <w:rStyle w:val="afffffffff3"/>
          <w:rFonts w:hint="cs"/>
          <w:rtl/>
        </w:rPr>
        <w:t>לה. ד"ה ונראה לי לתרץ</w:t>
      </w:r>
      <w:r w:rsidRPr="00EC2B00">
        <w:rPr>
          <w:rStyle w:val="afffffffff3"/>
          <w:rtl/>
        </w:rPr>
        <w:t>)</w:t>
      </w:r>
      <w:r>
        <w:rPr>
          <w:rtl/>
        </w:rPr>
        <w:t xml:space="preserve"> </w:t>
      </w:r>
      <w:r w:rsidRPr="00EC2B00">
        <w:rPr>
          <w:rFonts w:hint="cs"/>
          <w:rtl/>
        </w:rPr>
        <w:t>פסקי הרי"ד</w:t>
      </w:r>
      <w:r w:rsidRPr="00EC2B00">
        <w:rPr>
          <w:rtl/>
        </w:rPr>
        <w:t xml:space="preserve"> </w:t>
      </w:r>
      <w:r w:rsidRPr="00EC2B00">
        <w:rPr>
          <w:rFonts w:hint="cs"/>
          <w:rtl/>
        </w:rPr>
        <w:t xml:space="preserve">בסוגיין </w:t>
      </w:r>
      <w:r w:rsidRPr="00EC2B00">
        <w:rPr>
          <w:rStyle w:val="afffffffff3"/>
          <w:rtl/>
        </w:rPr>
        <w:t>(</w:t>
      </w:r>
      <w:r w:rsidRPr="00EC2B00">
        <w:rPr>
          <w:rStyle w:val="afffffffff3"/>
          <w:rFonts w:hint="cs"/>
          <w:rtl/>
        </w:rPr>
        <w:t>ד"ה ומאי</w:t>
      </w:r>
      <w:r w:rsidRPr="00EC2B00">
        <w:rPr>
          <w:rStyle w:val="afffffffff3"/>
          <w:rtl/>
        </w:rPr>
        <w:t>)</w:t>
      </w:r>
      <w:r w:rsidRPr="00D6711C">
        <w:rPr>
          <w:b/>
          <w:bCs/>
          <w:rtl/>
        </w:rPr>
        <w:t xml:space="preserve">, </w:t>
      </w:r>
      <w:r w:rsidRPr="00D6711C">
        <w:rPr>
          <w:b/>
          <w:bCs/>
          <w:rtl/>
        </w:rPr>
        <w:fldChar w:fldCharType="begin"/>
      </w:r>
      <w:r w:rsidRPr="00D6711C">
        <w:rPr>
          <w:b/>
          <w:bCs/>
          <w:rtl/>
        </w:rPr>
        <w:instrText xml:space="preserve"> </w:instrText>
      </w:r>
      <w:r w:rsidRPr="00D6711C">
        <w:rPr>
          <w:b/>
          <w:bCs/>
        </w:rPr>
        <w:instrText>REF</w:instrText>
      </w:r>
      <w:r w:rsidRPr="00D6711C">
        <w:rPr>
          <w:b/>
          <w:bCs/>
          <w:rtl/>
        </w:rPr>
        <w:instrText xml:space="preserve"> _</w:instrText>
      </w:r>
      <w:r w:rsidRPr="00D6711C">
        <w:rPr>
          <w:b/>
          <w:bCs/>
        </w:rPr>
        <w:instrText>Ref144803620 \r \h</w:instrText>
      </w:r>
      <w:r w:rsidRPr="00D6711C">
        <w:rPr>
          <w:b/>
          <w:bCs/>
          <w:rtl/>
        </w:rPr>
        <w:instrText xml:space="preserve">  \* </w:instrText>
      </w:r>
      <w:r w:rsidRPr="00D6711C">
        <w:rPr>
          <w:b/>
          <w:bCs/>
        </w:rPr>
        <w:instrText>MERGEFORMAT</w:instrText>
      </w:r>
      <w:r w:rsidRPr="00D6711C">
        <w:rPr>
          <w:b/>
          <w:bCs/>
          <w:rtl/>
        </w:rPr>
        <w:instrText xml:space="preserve"> </w:instrText>
      </w:r>
      <w:r w:rsidRPr="00D6711C">
        <w:rPr>
          <w:b/>
          <w:bCs/>
          <w:rtl/>
        </w:rPr>
      </w:r>
      <w:r w:rsidRPr="00D6711C">
        <w:rPr>
          <w:b/>
          <w:bCs/>
          <w:rtl/>
        </w:rPr>
        <w:fldChar w:fldCharType="separate"/>
      </w:r>
      <w:r w:rsidR="00D82181">
        <w:rPr>
          <w:b/>
          <w:bCs/>
          <w:cs/>
        </w:rPr>
        <w:t>‎</w:t>
      </w:r>
      <w:r w:rsidR="00D82181">
        <w:rPr>
          <w:b/>
          <w:bCs/>
          <w:rtl/>
        </w:rPr>
        <w:t>נא)</w:t>
      </w:r>
      <w:r w:rsidRPr="00D6711C">
        <w:rPr>
          <w:b/>
          <w:bCs/>
          <w:rtl/>
        </w:rPr>
        <w:fldChar w:fldCharType="end"/>
      </w:r>
      <w:r w:rsidRPr="00EC2B00">
        <w:rPr>
          <w:b/>
          <w:bCs/>
          <w:rtl/>
        </w:rPr>
        <w:t xml:space="preserve"> </w:t>
      </w:r>
      <w:r w:rsidRPr="00EC2B00">
        <w:rPr>
          <w:rFonts w:hint="cs"/>
          <w:rtl/>
        </w:rPr>
        <w:t>תוס' רי"ד בעירובין</w:t>
      </w:r>
      <w:r w:rsidRPr="00EC2B00">
        <w:rPr>
          <w:rtl/>
        </w:rPr>
        <w:t xml:space="preserve"> </w:t>
      </w:r>
      <w:r w:rsidRPr="00EC2B00">
        <w:rPr>
          <w:rStyle w:val="afffffffff3"/>
          <w:rtl/>
        </w:rPr>
        <w:t>(</w:t>
      </w:r>
      <w:r w:rsidRPr="00EC2B00">
        <w:rPr>
          <w:rStyle w:val="afffffffff3"/>
          <w:rFonts w:hint="cs"/>
          <w:rtl/>
        </w:rPr>
        <w:t>לה. ד"ה מ"מ</w:t>
      </w:r>
      <w:r w:rsidRPr="00EC2B00">
        <w:rPr>
          <w:rStyle w:val="afffffffff3"/>
          <w:rtl/>
        </w:rPr>
        <w:t>)</w:t>
      </w:r>
      <w:r w:rsidRPr="00D6711C">
        <w:rPr>
          <w:b/>
          <w:bCs/>
          <w:rtl/>
        </w:rPr>
        <w:t>,</w:t>
      </w:r>
      <w:r w:rsidRPr="00D6711C">
        <w:rPr>
          <w:rFonts w:hint="cs"/>
          <w:b/>
          <w:bCs/>
          <w:rtl/>
        </w:rPr>
        <w:t xml:space="preserve"> </w:t>
      </w:r>
      <w:r w:rsidRPr="00D6711C">
        <w:rPr>
          <w:b/>
          <w:bCs/>
          <w:rtl/>
        </w:rPr>
        <w:fldChar w:fldCharType="begin"/>
      </w:r>
      <w:r w:rsidRPr="00D6711C">
        <w:rPr>
          <w:b/>
          <w:bCs/>
          <w:rtl/>
        </w:rPr>
        <w:instrText xml:space="preserve"> </w:instrText>
      </w:r>
      <w:r w:rsidRPr="00D6711C">
        <w:rPr>
          <w:rFonts w:hint="cs"/>
          <w:b/>
          <w:bCs/>
        </w:rPr>
        <w:instrText>REF</w:instrText>
      </w:r>
      <w:r w:rsidRPr="00D6711C">
        <w:rPr>
          <w:rFonts w:hint="cs"/>
          <w:b/>
          <w:bCs/>
          <w:rtl/>
        </w:rPr>
        <w:instrText xml:space="preserve"> _</w:instrText>
      </w:r>
      <w:r w:rsidRPr="00D6711C">
        <w:rPr>
          <w:rFonts w:hint="cs"/>
          <w:b/>
          <w:bCs/>
        </w:rPr>
        <w:instrText>Ref144803657 \r \h</w:instrText>
      </w:r>
      <w:r w:rsidRPr="00D6711C">
        <w:rPr>
          <w:b/>
          <w:bCs/>
          <w:rtl/>
        </w:rPr>
        <w:instrText xml:space="preserve">  \* </w:instrText>
      </w:r>
      <w:r w:rsidRPr="00D6711C">
        <w:rPr>
          <w:b/>
          <w:bCs/>
        </w:rPr>
        <w:instrText>MERGEFORMAT</w:instrText>
      </w:r>
      <w:r w:rsidRPr="00D6711C">
        <w:rPr>
          <w:b/>
          <w:bCs/>
          <w:rtl/>
        </w:rPr>
        <w:instrText xml:space="preserve"> </w:instrText>
      </w:r>
      <w:r w:rsidRPr="00D6711C">
        <w:rPr>
          <w:b/>
          <w:bCs/>
          <w:rtl/>
        </w:rPr>
      </w:r>
      <w:r w:rsidRPr="00D6711C">
        <w:rPr>
          <w:b/>
          <w:bCs/>
          <w:rtl/>
        </w:rPr>
        <w:fldChar w:fldCharType="separate"/>
      </w:r>
      <w:r w:rsidR="00D82181">
        <w:rPr>
          <w:b/>
          <w:bCs/>
          <w:cs/>
        </w:rPr>
        <w:t>‎</w:t>
      </w:r>
      <w:r w:rsidR="00D82181">
        <w:rPr>
          <w:b/>
          <w:bCs/>
          <w:rtl/>
        </w:rPr>
        <w:t>נב)</w:t>
      </w:r>
      <w:r w:rsidRPr="00D6711C">
        <w:rPr>
          <w:b/>
          <w:bCs/>
          <w:rtl/>
        </w:rPr>
        <w:fldChar w:fldCharType="end"/>
      </w:r>
      <w:r w:rsidRPr="00EC2B00">
        <w:rPr>
          <w:rFonts w:hint="cs"/>
          <w:b/>
          <w:bCs/>
          <w:rtl/>
        </w:rPr>
        <w:t xml:space="preserve"> </w:t>
      </w:r>
      <w:r w:rsidRPr="00EC2B00">
        <w:rPr>
          <w:rFonts w:hint="cs"/>
          <w:rtl/>
        </w:rPr>
        <w:t>תוס' רי"ד בעירובין</w:t>
      </w:r>
      <w:r w:rsidRPr="00EC2B00">
        <w:rPr>
          <w:rtl/>
        </w:rPr>
        <w:t xml:space="preserve"> </w:t>
      </w:r>
      <w:r w:rsidRPr="00EC2B00">
        <w:rPr>
          <w:rStyle w:val="afffffffff3"/>
          <w:rtl/>
        </w:rPr>
        <w:t>(</w:t>
      </w:r>
      <w:r w:rsidRPr="00EC2B00">
        <w:rPr>
          <w:rStyle w:val="afffffffff3"/>
          <w:rFonts w:hint="cs"/>
          <w:rtl/>
        </w:rPr>
        <w:t xml:space="preserve">לה. ד"ה </w:t>
      </w:r>
      <w:r w:rsidRPr="00EC2B00">
        <w:rPr>
          <w:rStyle w:val="afffffffff3"/>
          <w:rtl/>
        </w:rPr>
        <w:t>ומפני שפתרון)</w:t>
      </w:r>
      <w:r>
        <w:rPr>
          <w:rtl/>
        </w:rPr>
        <w:t xml:space="preserve"> </w:t>
      </w:r>
      <w:r w:rsidRPr="00EC2B00">
        <w:rPr>
          <w:rFonts w:hint="cs"/>
          <w:rtl/>
        </w:rPr>
        <w:t>פסקי הרי"ד</w:t>
      </w:r>
      <w:r w:rsidRPr="00EC2B00">
        <w:rPr>
          <w:rtl/>
        </w:rPr>
        <w:t xml:space="preserve"> </w:t>
      </w:r>
      <w:r w:rsidRPr="00EC2B00">
        <w:rPr>
          <w:rFonts w:hint="cs"/>
          <w:rtl/>
        </w:rPr>
        <w:t xml:space="preserve">לעיל </w:t>
      </w:r>
      <w:r w:rsidRPr="00EC2B00">
        <w:rPr>
          <w:rStyle w:val="afffffffff3"/>
          <w:rtl/>
        </w:rPr>
        <w:t>(</w:t>
      </w:r>
      <w:r w:rsidRPr="00EC2B00">
        <w:rPr>
          <w:rStyle w:val="afffffffff3"/>
          <w:rFonts w:hint="cs"/>
          <w:rtl/>
        </w:rPr>
        <w:t>מז. ד"ה לוי</w:t>
      </w:r>
      <w:r w:rsidRPr="00EC2B00">
        <w:rPr>
          <w:rStyle w:val="afffffffff3"/>
          <w:rtl/>
        </w:rPr>
        <w:t>)</w:t>
      </w:r>
      <w:r>
        <w:rPr>
          <w:rtl/>
        </w:rPr>
        <w:t xml:space="preserve"> </w:t>
      </w:r>
      <w:r w:rsidRPr="00EC2B00">
        <w:rPr>
          <w:rFonts w:hint="cs"/>
          <w:rtl/>
        </w:rPr>
        <w:t>תוס' רי"ד בעירובין</w:t>
      </w:r>
      <w:r w:rsidRPr="00EC2B00">
        <w:rPr>
          <w:rtl/>
        </w:rPr>
        <w:t xml:space="preserve"> </w:t>
      </w:r>
      <w:r w:rsidRPr="00EC2B00">
        <w:rPr>
          <w:rStyle w:val="afffffffff3"/>
          <w:rtl/>
        </w:rPr>
        <w:t>(</w:t>
      </w:r>
      <w:r w:rsidRPr="00EC2B00">
        <w:rPr>
          <w:rStyle w:val="afffffffff3"/>
          <w:rFonts w:hint="cs"/>
          <w:rtl/>
        </w:rPr>
        <w:t>לה. ד"ה והמורה פירש</w:t>
      </w:r>
      <w:r w:rsidRPr="00EC2B00">
        <w:rPr>
          <w:rStyle w:val="afffffffff3"/>
          <w:rtl/>
        </w:rPr>
        <w:t>)</w:t>
      </w:r>
      <w:r w:rsidRPr="00EC2B00">
        <w:rPr>
          <w:rtl/>
        </w:rPr>
        <w:t>.</w:t>
      </w:r>
    </w:p>
    <w:p w14:paraId="4D343048" w14:textId="77777777" w:rsidR="003E1AA3" w:rsidRDefault="003E1AA3" w:rsidP="003E1AA3">
      <w:pPr>
        <w:pStyle w:val="TOC2"/>
        <w:rPr>
          <w:rFonts w:cstheme="minorBidi"/>
          <w:b w:val="0"/>
          <w:bCs w:val="0"/>
          <w:sz w:val="22"/>
          <w:szCs w:val="22"/>
          <w:rtl/>
        </w:rPr>
      </w:pPr>
      <w:hyperlink w:anchor="_Toc145233938" w:history="1">
        <w:r w:rsidRPr="0054718A">
          <w:rPr>
            <w:rStyle w:val="Hyperlink"/>
            <w:rtl/>
          </w:rPr>
          <w:t>בי' פסקי הרי"ד דכלי גדול שא"צ אומן נח' בעירובין אי הוי בונה</w:t>
        </w:r>
      </w:hyperlink>
    </w:p>
    <w:p w14:paraId="662D1797" w14:textId="77777777" w:rsidR="003E1AA3" w:rsidRDefault="003E1AA3" w:rsidP="00ED704E">
      <w:pPr>
        <w:pStyle w:val="TOC3"/>
        <w:rPr>
          <w:rFonts w:asciiTheme="minorHAnsi" w:eastAsiaTheme="minorEastAsia" w:hAnsiTheme="minorHAnsi" w:cstheme="minorBidi"/>
          <w:sz w:val="22"/>
          <w:szCs w:val="22"/>
          <w:rtl/>
        </w:rPr>
      </w:pPr>
      <w:hyperlink w:anchor="_Toc145233939" w:history="1">
        <w:r w:rsidRPr="0054718A">
          <w:rPr>
            <w:rStyle w:val="Hyperlink"/>
            <w:rtl/>
          </w:rPr>
          <w:t>בי' פסקי הרי"ד דכלי גדול שא"צ אומן לשוברו נח' ת"ק ור"א אי הוי כאוהל ויש בנין וסתירה</w:t>
        </w:r>
      </w:hyperlink>
    </w:p>
    <w:p w14:paraId="6AEEE919" w14:textId="77777777" w:rsidR="003E1AA3" w:rsidRDefault="003E1AA3" w:rsidP="00ED704E">
      <w:pPr>
        <w:pStyle w:val="TOC3"/>
        <w:rPr>
          <w:rFonts w:asciiTheme="minorHAnsi" w:eastAsiaTheme="minorEastAsia" w:hAnsiTheme="minorHAnsi" w:cstheme="minorBidi"/>
          <w:sz w:val="22"/>
          <w:szCs w:val="22"/>
          <w:rtl/>
        </w:rPr>
      </w:pPr>
      <w:hyperlink w:anchor="_Toc145233940" w:history="1">
        <w:r w:rsidRPr="0054718A">
          <w:rPr>
            <w:rStyle w:val="Hyperlink"/>
            <w:rtl/>
          </w:rPr>
          <w:t>בי' המהר"ם קזיס בפסקי הרי"ד דבמעשה אומן אין חילוק בין כלי גדול לקטן וזה הבי' בשופתא</w:t>
        </w:r>
      </w:hyperlink>
    </w:p>
    <w:p w14:paraId="6A715DD7" w14:textId="77777777" w:rsidR="003E1AA3" w:rsidRDefault="003E1AA3" w:rsidP="003E1AA3">
      <w:pPr>
        <w:pStyle w:val="TOC2"/>
        <w:rPr>
          <w:rFonts w:cstheme="minorBidi"/>
          <w:b w:val="0"/>
          <w:bCs w:val="0"/>
          <w:sz w:val="22"/>
          <w:szCs w:val="22"/>
          <w:rtl/>
        </w:rPr>
      </w:pPr>
      <w:hyperlink w:anchor="_Toc145233941" w:history="1">
        <w:r w:rsidRPr="0054718A">
          <w:rPr>
            <w:rStyle w:val="Hyperlink"/>
            <w:rtl/>
          </w:rPr>
          <w:t>בי' התורי"ד דכלי גדול ל"ה כלי רק לטומאה אך לשבת הוי כלי</w:t>
        </w:r>
      </w:hyperlink>
    </w:p>
    <w:p w14:paraId="1A29E164" w14:textId="77777777" w:rsidR="003E1AA3" w:rsidRDefault="003E1AA3" w:rsidP="00ED704E">
      <w:pPr>
        <w:pStyle w:val="TOC3"/>
        <w:rPr>
          <w:rFonts w:asciiTheme="minorHAnsi" w:eastAsiaTheme="minorEastAsia" w:hAnsiTheme="minorHAnsi" w:cstheme="minorBidi"/>
          <w:sz w:val="22"/>
          <w:szCs w:val="22"/>
          <w:rtl/>
        </w:rPr>
      </w:pPr>
      <w:hyperlink w:anchor="_Toc145233942" w:history="1">
        <w:r w:rsidRPr="0054718A">
          <w:rPr>
            <w:rStyle w:val="Hyperlink"/>
            <w:rtl/>
          </w:rPr>
          <w:t>בי' התורי"ד בעירובין דכלי גדול לטומאה ל"ה כלי וכמחובר אך הוי כלי לשבת כיון דמטלטל</w:t>
        </w:r>
      </w:hyperlink>
    </w:p>
    <w:p w14:paraId="53B87C77" w14:textId="77777777" w:rsidR="003E1AA3" w:rsidRDefault="003E1AA3" w:rsidP="003E1AA3">
      <w:pPr>
        <w:pStyle w:val="TOC2"/>
        <w:rPr>
          <w:rFonts w:cstheme="minorBidi"/>
          <w:b w:val="0"/>
          <w:bCs w:val="0"/>
          <w:sz w:val="22"/>
          <w:szCs w:val="22"/>
          <w:rtl/>
        </w:rPr>
      </w:pPr>
      <w:hyperlink w:anchor="_Toc145233943" w:history="1">
        <w:r w:rsidRPr="0054718A">
          <w:rPr>
            <w:rStyle w:val="Hyperlink"/>
            <w:rtl/>
          </w:rPr>
          <w:t>בי' התורי"ד דאין בנין בכלים ותיקון הצריך אומן אף הדיוט בונה</w:t>
        </w:r>
      </w:hyperlink>
    </w:p>
    <w:p w14:paraId="678BB17A" w14:textId="77777777" w:rsidR="003E1AA3" w:rsidRDefault="003E1AA3" w:rsidP="00ED704E">
      <w:pPr>
        <w:pStyle w:val="TOC3"/>
        <w:rPr>
          <w:rFonts w:asciiTheme="minorHAnsi" w:eastAsiaTheme="minorEastAsia" w:hAnsiTheme="minorHAnsi" w:cstheme="minorBidi"/>
          <w:sz w:val="22"/>
          <w:szCs w:val="22"/>
          <w:rtl/>
        </w:rPr>
      </w:pPr>
      <w:hyperlink w:anchor="_Toc145233944" w:history="1">
        <w:r w:rsidRPr="0054718A">
          <w:rPr>
            <w:rStyle w:val="Hyperlink"/>
            <w:rtl/>
          </w:rPr>
          <w:t>קו' התורי"ד דבעירובין ובביצה בתריסין ובחותמות ובדלתות כלים לקמן מבו' דאין בנין בכלים</w:t>
        </w:r>
      </w:hyperlink>
    </w:p>
    <w:p w14:paraId="752483C3" w14:textId="77777777" w:rsidR="003E1AA3" w:rsidRDefault="003E1AA3" w:rsidP="00ED704E">
      <w:pPr>
        <w:pStyle w:val="TOC3"/>
        <w:rPr>
          <w:rFonts w:asciiTheme="minorHAnsi" w:eastAsiaTheme="minorEastAsia" w:hAnsiTheme="minorHAnsi" w:cstheme="minorBidi"/>
          <w:sz w:val="22"/>
          <w:szCs w:val="22"/>
          <w:rtl/>
        </w:rPr>
      </w:pPr>
      <w:hyperlink w:anchor="_Toc145233945" w:history="1">
        <w:r w:rsidRPr="0054718A">
          <w:rPr>
            <w:rStyle w:val="Hyperlink"/>
            <w:rtl/>
          </w:rPr>
          <w:t>קו' התורי"ד דברב בשופתא ובדברי רב ושמואל במטה של טרסיים מבו' דיש בנין בכלים</w:t>
        </w:r>
      </w:hyperlink>
    </w:p>
    <w:p w14:paraId="14DFC601" w14:textId="77777777" w:rsidR="003E1AA3" w:rsidRDefault="003E1AA3" w:rsidP="00ED704E">
      <w:pPr>
        <w:pStyle w:val="TOC3"/>
        <w:rPr>
          <w:rFonts w:asciiTheme="minorHAnsi" w:eastAsiaTheme="minorEastAsia" w:hAnsiTheme="minorHAnsi" w:cstheme="minorBidi"/>
          <w:sz w:val="22"/>
          <w:szCs w:val="22"/>
          <w:rtl/>
        </w:rPr>
      </w:pPr>
      <w:hyperlink w:anchor="_Toc145233946" w:history="1">
        <w:r w:rsidRPr="0054718A">
          <w:rPr>
            <w:rStyle w:val="Hyperlink"/>
            <w:rtl/>
          </w:rPr>
          <w:t>תי' התורי"ד דתיקון כלי שצריך אומן הוי בונה אף כשהדיוט תיקן דאל"ה כל אומן יתקן בשבת</w:t>
        </w:r>
      </w:hyperlink>
    </w:p>
    <w:p w14:paraId="67BBD912" w14:textId="77777777" w:rsidR="003E1AA3" w:rsidRDefault="003E1AA3" w:rsidP="00ED704E">
      <w:pPr>
        <w:pStyle w:val="TOC3"/>
        <w:rPr>
          <w:rFonts w:asciiTheme="minorHAnsi" w:eastAsiaTheme="minorEastAsia" w:hAnsiTheme="minorHAnsi" w:cstheme="minorBidi"/>
          <w:sz w:val="22"/>
          <w:szCs w:val="22"/>
          <w:rtl/>
        </w:rPr>
      </w:pPr>
      <w:hyperlink w:anchor="_Toc145233947" w:history="1">
        <w:r w:rsidRPr="0054718A">
          <w:rPr>
            <w:rStyle w:val="Hyperlink"/>
            <w:rtl/>
          </w:rPr>
          <w:t>בי' התורי"ד דשופתא דמרא ומטה של טרסיים וקני מנורה וכו' צריכים אומן ולכן הוי בונה</w:t>
        </w:r>
      </w:hyperlink>
    </w:p>
    <w:p w14:paraId="2C837709" w14:textId="77777777" w:rsidR="003E1AA3" w:rsidRDefault="003E1AA3" w:rsidP="00ED704E">
      <w:pPr>
        <w:pStyle w:val="TOC3"/>
        <w:rPr>
          <w:rFonts w:asciiTheme="minorHAnsi" w:eastAsiaTheme="minorEastAsia" w:hAnsiTheme="minorHAnsi" w:cstheme="minorBidi"/>
          <w:sz w:val="22"/>
          <w:szCs w:val="22"/>
          <w:rtl/>
        </w:rPr>
      </w:pPr>
      <w:hyperlink w:anchor="_Toc145233948" w:history="1">
        <w:r w:rsidRPr="0054718A">
          <w:rPr>
            <w:rStyle w:val="Hyperlink"/>
            <w:rtl/>
          </w:rPr>
          <w:t>בי' התורי"ד דלשמואל חיוב בונה הוא רק בכלי פרקים ולא בשופתא דהוא פרק א' כחוקק בבקעת</w:t>
        </w:r>
      </w:hyperlink>
    </w:p>
    <w:p w14:paraId="4A7A5289" w14:textId="77777777" w:rsidR="003E1AA3" w:rsidRDefault="003E1AA3" w:rsidP="00ED704E">
      <w:pPr>
        <w:pStyle w:val="TOC3"/>
        <w:rPr>
          <w:rFonts w:asciiTheme="minorHAnsi" w:eastAsiaTheme="minorEastAsia" w:hAnsiTheme="minorHAnsi" w:cstheme="minorBidi"/>
          <w:sz w:val="22"/>
          <w:szCs w:val="22"/>
          <w:rtl/>
        </w:rPr>
      </w:pPr>
      <w:hyperlink w:anchor="_Toc145233949" w:history="1">
        <w:r w:rsidRPr="0054718A">
          <w:rPr>
            <w:rStyle w:val="Hyperlink"/>
            <w:rtl/>
          </w:rPr>
          <w:t>בי' התורי"ד דבתיקון כלי שא"צ אומן כדלתות שידה אין בנין בכלים ואף מחזיר כשא"צ לתקוע</w:t>
        </w:r>
      </w:hyperlink>
    </w:p>
    <w:p w14:paraId="51BD296F" w14:textId="77777777" w:rsidR="003E1AA3" w:rsidRDefault="003E1AA3" w:rsidP="00ED704E">
      <w:pPr>
        <w:pStyle w:val="TOC3"/>
        <w:rPr>
          <w:rFonts w:asciiTheme="minorHAnsi" w:eastAsiaTheme="minorEastAsia" w:hAnsiTheme="minorHAnsi" w:cstheme="minorBidi"/>
          <w:sz w:val="22"/>
          <w:szCs w:val="22"/>
          <w:rtl/>
        </w:rPr>
      </w:pPr>
      <w:hyperlink w:anchor="_Toc145233950" w:history="1">
        <w:r w:rsidRPr="0054718A">
          <w:rPr>
            <w:rStyle w:val="Hyperlink"/>
            <w:rtl/>
          </w:rPr>
          <w:t>בי' התורי"ד דבצריך אומן וא"צ אומנות דקה פטור ורשב"ג מתיר תקיעה ברפוי או רק רפוי גמור</w:t>
        </w:r>
      </w:hyperlink>
    </w:p>
    <w:p w14:paraId="60EB7518" w14:textId="77777777" w:rsidR="003E1AA3" w:rsidRDefault="003E1AA3" w:rsidP="003E1AA3">
      <w:pPr>
        <w:pStyle w:val="TOC1"/>
        <w:rPr>
          <w:rFonts w:asciiTheme="minorHAnsi" w:hAnsiTheme="minorHAnsi" w:cstheme="minorBidi"/>
          <w:b w:val="0"/>
          <w:bCs w:val="0"/>
          <w:caps w:val="0"/>
          <w:sz w:val="22"/>
          <w:szCs w:val="22"/>
          <w:rtl/>
        </w:rPr>
      </w:pPr>
      <w:hyperlink w:anchor="_Toc145233951" w:history="1">
        <w:r w:rsidRPr="0054718A">
          <w:rPr>
            <w:rStyle w:val="Hyperlink"/>
            <w:rtl/>
          </w:rPr>
          <w:t>ד' הסוברים דבכלי קטן יש בנין וסתירה</w:t>
        </w:r>
      </w:hyperlink>
    </w:p>
    <w:p w14:paraId="43F7F787" w14:textId="57BA7EAB" w:rsidR="003E1AA3" w:rsidRPr="00EC2B00" w:rsidRDefault="003E1AA3" w:rsidP="003E1AA3">
      <w:pPr>
        <w:pStyle w:val="afffffffff0"/>
        <w:rPr>
          <w:rtl/>
        </w:rPr>
      </w:pPr>
      <w:r w:rsidRPr="00EC2B00">
        <w:rPr>
          <w:rtl/>
        </w:rPr>
        <w:fldChar w:fldCharType="begin"/>
      </w:r>
      <w:r w:rsidRPr="00EC2B00">
        <w:rPr>
          <w:rtl/>
        </w:rPr>
        <w:instrText xml:space="preserve"> </w:instrText>
      </w:r>
      <w:r w:rsidRPr="00EC2B00">
        <w:rPr>
          <w:rFonts w:hint="cs"/>
        </w:rPr>
        <w:instrText>REF</w:instrText>
      </w:r>
      <w:r w:rsidRPr="00EC2B00">
        <w:rPr>
          <w:rFonts w:hint="cs"/>
          <w:rtl/>
        </w:rPr>
        <w:instrText xml:space="preserve"> _</w:instrText>
      </w:r>
      <w:r w:rsidRPr="00EC2B00">
        <w:rPr>
          <w:rFonts w:hint="cs"/>
        </w:rPr>
        <w:instrText>Ref144808791 \r \h</w:instrText>
      </w:r>
      <w:r w:rsidRPr="00EC2B00">
        <w:rPr>
          <w:rtl/>
        </w:rPr>
        <w:instrText xml:space="preserve">  \* </w:instrText>
      </w:r>
      <w:r w:rsidRPr="00EC2B00">
        <w:instrText>MERGEFORMAT</w:instrText>
      </w:r>
      <w:r w:rsidRPr="00EC2B00">
        <w:rPr>
          <w:rtl/>
        </w:rPr>
        <w:instrText xml:space="preserve"> </w:instrText>
      </w:r>
      <w:r w:rsidRPr="00EC2B00">
        <w:rPr>
          <w:rtl/>
        </w:rPr>
      </w:r>
      <w:r w:rsidRPr="00EC2B00">
        <w:rPr>
          <w:rtl/>
        </w:rPr>
        <w:fldChar w:fldCharType="separate"/>
      </w:r>
      <w:r w:rsidR="00D82181">
        <w:rPr>
          <w:cs/>
        </w:rPr>
        <w:t>‎</w:t>
      </w:r>
      <w:r w:rsidR="00D82181" w:rsidRPr="00D82181">
        <w:rPr>
          <w:b/>
          <w:bCs/>
          <w:rtl/>
        </w:rPr>
        <w:t>נג)</w:t>
      </w:r>
      <w:r w:rsidRPr="00EC2B00">
        <w:rPr>
          <w:rtl/>
        </w:rPr>
        <w:fldChar w:fldCharType="end"/>
      </w:r>
      <w:r w:rsidRPr="00EC2B00">
        <w:rPr>
          <w:rFonts w:hint="cs"/>
          <w:rtl/>
        </w:rPr>
        <w:t xml:space="preserve"> רש"י לקמן</w:t>
      </w:r>
      <w:r w:rsidRPr="00EC2B00">
        <w:rPr>
          <w:rtl/>
        </w:rPr>
        <w:t xml:space="preserve"> </w:t>
      </w:r>
      <w:r w:rsidRPr="00EC2B00">
        <w:rPr>
          <w:rStyle w:val="afffffffff3"/>
          <w:rtl/>
        </w:rPr>
        <w:t>(</w:t>
      </w:r>
      <w:r w:rsidRPr="00EC2B00">
        <w:rPr>
          <w:rStyle w:val="afffffffff3"/>
          <w:rFonts w:hint="cs"/>
          <w:rtl/>
        </w:rPr>
        <w:t>קמו. ד"ה שובר</w:t>
      </w:r>
      <w:r w:rsidRPr="00EC2B00">
        <w:rPr>
          <w:rStyle w:val="afffffffff3"/>
          <w:rtl/>
        </w:rPr>
        <w:t>)</w:t>
      </w:r>
      <w:r>
        <w:rPr>
          <w:rtl/>
        </w:rPr>
        <w:t xml:space="preserve"> </w:t>
      </w:r>
      <w:r w:rsidRPr="00EC2B00">
        <w:rPr>
          <w:rFonts w:hint="cs"/>
          <w:rtl/>
        </w:rPr>
        <w:t>רשב"א לקמן</w:t>
      </w:r>
      <w:r w:rsidRPr="00EC2B00">
        <w:rPr>
          <w:rtl/>
        </w:rPr>
        <w:t xml:space="preserve"> </w:t>
      </w:r>
      <w:r w:rsidRPr="00EC2B00">
        <w:rPr>
          <w:rStyle w:val="afffffffff3"/>
          <w:rtl/>
        </w:rPr>
        <w:t>(</w:t>
      </w:r>
      <w:r w:rsidRPr="00EC2B00">
        <w:rPr>
          <w:rStyle w:val="afffffffff3"/>
          <w:rFonts w:hint="cs"/>
          <w:rtl/>
        </w:rPr>
        <w:t>קמו. ד"ה שובר</w:t>
      </w:r>
      <w:r w:rsidRPr="00EC2B00">
        <w:rPr>
          <w:rStyle w:val="afffffffff3"/>
          <w:rtl/>
        </w:rPr>
        <w:t>)</w:t>
      </w:r>
      <w:r>
        <w:rPr>
          <w:rtl/>
        </w:rPr>
        <w:t xml:space="preserve"> </w:t>
      </w:r>
      <w:r w:rsidRPr="00EC2B00">
        <w:rPr>
          <w:rFonts w:hint="cs"/>
          <w:rtl/>
        </w:rPr>
        <w:t>ר"ן לקמן</w:t>
      </w:r>
      <w:r w:rsidRPr="00EC2B00">
        <w:rPr>
          <w:rtl/>
        </w:rPr>
        <w:t xml:space="preserve"> </w:t>
      </w:r>
      <w:r w:rsidRPr="00EC2B00">
        <w:rPr>
          <w:rStyle w:val="afffffffff3"/>
          <w:rtl/>
        </w:rPr>
        <w:t>(</w:t>
      </w:r>
      <w:r w:rsidRPr="00EC2B00">
        <w:rPr>
          <w:rStyle w:val="afffffffff3"/>
          <w:rFonts w:hint="cs"/>
          <w:rtl/>
        </w:rPr>
        <w:t>קמו. ד"ה שובר</w:t>
      </w:r>
      <w:r w:rsidRPr="00EC2B00">
        <w:rPr>
          <w:rStyle w:val="afffffffff3"/>
          <w:rtl/>
        </w:rPr>
        <w:t>)</w:t>
      </w:r>
      <w:r w:rsidRPr="00D6711C">
        <w:rPr>
          <w:b/>
          <w:bCs/>
          <w:rtl/>
        </w:rPr>
        <w:t>,</w:t>
      </w:r>
      <w:r w:rsidRPr="00D6711C">
        <w:rPr>
          <w:rFonts w:hint="cs"/>
          <w:b/>
          <w:bCs/>
          <w:rtl/>
        </w:rPr>
        <w:t xml:space="preserve"> </w:t>
      </w:r>
      <w:r w:rsidRPr="00D6711C">
        <w:rPr>
          <w:b/>
          <w:bCs/>
          <w:rtl/>
        </w:rPr>
        <w:fldChar w:fldCharType="begin"/>
      </w:r>
      <w:r w:rsidRPr="00D6711C">
        <w:rPr>
          <w:b/>
          <w:bCs/>
          <w:rtl/>
        </w:rPr>
        <w:instrText xml:space="preserve"> </w:instrText>
      </w:r>
      <w:r w:rsidRPr="00D6711C">
        <w:rPr>
          <w:rFonts w:hint="cs"/>
          <w:b/>
          <w:bCs/>
        </w:rPr>
        <w:instrText>REF</w:instrText>
      </w:r>
      <w:r w:rsidRPr="00D6711C">
        <w:rPr>
          <w:rFonts w:hint="cs"/>
          <w:b/>
          <w:bCs/>
          <w:rtl/>
        </w:rPr>
        <w:instrText xml:space="preserve"> _</w:instrText>
      </w:r>
      <w:r w:rsidRPr="00D6711C">
        <w:rPr>
          <w:rFonts w:hint="cs"/>
          <w:b/>
          <w:bCs/>
        </w:rPr>
        <w:instrText>Ref145061049 \r \h</w:instrText>
      </w:r>
      <w:r w:rsidRPr="00D6711C">
        <w:rPr>
          <w:b/>
          <w:bCs/>
          <w:rtl/>
        </w:rPr>
        <w:instrText xml:space="preserve">  \* </w:instrText>
      </w:r>
      <w:r w:rsidRPr="00D6711C">
        <w:rPr>
          <w:b/>
          <w:bCs/>
        </w:rPr>
        <w:instrText>MERGEFORMAT</w:instrText>
      </w:r>
      <w:r w:rsidRPr="00D6711C">
        <w:rPr>
          <w:b/>
          <w:bCs/>
          <w:rtl/>
        </w:rPr>
        <w:instrText xml:space="preserve"> </w:instrText>
      </w:r>
      <w:r w:rsidRPr="00D6711C">
        <w:rPr>
          <w:b/>
          <w:bCs/>
          <w:rtl/>
        </w:rPr>
      </w:r>
      <w:r w:rsidRPr="00D6711C">
        <w:rPr>
          <w:b/>
          <w:bCs/>
          <w:rtl/>
        </w:rPr>
        <w:fldChar w:fldCharType="separate"/>
      </w:r>
      <w:r w:rsidR="00D82181">
        <w:rPr>
          <w:b/>
          <w:bCs/>
          <w:cs/>
        </w:rPr>
        <w:t>‎</w:t>
      </w:r>
      <w:r w:rsidR="00D82181">
        <w:rPr>
          <w:b/>
          <w:bCs/>
          <w:rtl/>
        </w:rPr>
        <w:t>נד)</w:t>
      </w:r>
      <w:r w:rsidRPr="00D6711C">
        <w:rPr>
          <w:b/>
          <w:bCs/>
          <w:rtl/>
        </w:rPr>
        <w:fldChar w:fldCharType="end"/>
      </w:r>
      <w:r w:rsidRPr="00EC2B00">
        <w:rPr>
          <w:rFonts w:hint="cs"/>
          <w:b/>
          <w:bCs/>
          <w:rtl/>
        </w:rPr>
        <w:t xml:space="preserve"> </w:t>
      </w:r>
      <w:r w:rsidRPr="00EC2B00">
        <w:rPr>
          <w:rFonts w:hint="cs"/>
          <w:rtl/>
        </w:rPr>
        <w:t>רש"י בעירובין</w:t>
      </w:r>
      <w:r w:rsidRPr="00EC2B00">
        <w:rPr>
          <w:rtl/>
        </w:rPr>
        <w:t xml:space="preserve"> </w:t>
      </w:r>
      <w:r w:rsidRPr="00EC2B00">
        <w:rPr>
          <w:rStyle w:val="afffffffff3"/>
          <w:rtl/>
        </w:rPr>
        <w:t>(</w:t>
      </w:r>
      <w:r w:rsidRPr="00EC2B00">
        <w:rPr>
          <w:rStyle w:val="afffffffff3"/>
          <w:rFonts w:hint="cs"/>
          <w:rtl/>
        </w:rPr>
        <w:t>לה. ד"ה ומתניתין</w:t>
      </w:r>
      <w:r w:rsidRPr="00EC2B00">
        <w:rPr>
          <w:rStyle w:val="afffffffff3"/>
          <w:rtl/>
        </w:rPr>
        <w:t>)</w:t>
      </w:r>
      <w:r w:rsidRPr="00D6711C">
        <w:rPr>
          <w:b/>
          <w:bCs/>
          <w:rtl/>
        </w:rPr>
        <w:t>,</w:t>
      </w:r>
      <w:r w:rsidRPr="00D6711C">
        <w:rPr>
          <w:rFonts w:hint="cs"/>
          <w:b/>
          <w:bCs/>
          <w:rtl/>
        </w:rPr>
        <w:t xml:space="preserve"> </w:t>
      </w:r>
      <w:r w:rsidRPr="00D6711C">
        <w:rPr>
          <w:b/>
          <w:bCs/>
          <w:rtl/>
        </w:rPr>
        <w:fldChar w:fldCharType="begin"/>
      </w:r>
      <w:r w:rsidRPr="00D6711C">
        <w:rPr>
          <w:b/>
          <w:bCs/>
          <w:rtl/>
        </w:rPr>
        <w:instrText xml:space="preserve"> </w:instrText>
      </w:r>
      <w:r w:rsidRPr="00D6711C">
        <w:rPr>
          <w:rFonts w:hint="cs"/>
          <w:b/>
          <w:bCs/>
        </w:rPr>
        <w:instrText>REF</w:instrText>
      </w:r>
      <w:r w:rsidRPr="00D6711C">
        <w:rPr>
          <w:rFonts w:hint="cs"/>
          <w:b/>
          <w:bCs/>
          <w:rtl/>
        </w:rPr>
        <w:instrText xml:space="preserve"> _</w:instrText>
      </w:r>
      <w:r w:rsidRPr="00D6711C">
        <w:rPr>
          <w:rFonts w:hint="cs"/>
          <w:b/>
          <w:bCs/>
        </w:rPr>
        <w:instrText>Ref144808810 \r \h</w:instrText>
      </w:r>
      <w:r w:rsidRPr="00D6711C">
        <w:rPr>
          <w:b/>
          <w:bCs/>
          <w:rtl/>
        </w:rPr>
        <w:instrText xml:space="preserve">  \* </w:instrText>
      </w:r>
      <w:r w:rsidRPr="00D6711C">
        <w:rPr>
          <w:b/>
          <w:bCs/>
        </w:rPr>
        <w:instrText>MERGEFORMAT</w:instrText>
      </w:r>
      <w:r w:rsidRPr="00D6711C">
        <w:rPr>
          <w:b/>
          <w:bCs/>
          <w:rtl/>
        </w:rPr>
        <w:instrText xml:space="preserve"> </w:instrText>
      </w:r>
      <w:r w:rsidRPr="00D6711C">
        <w:rPr>
          <w:b/>
          <w:bCs/>
          <w:rtl/>
        </w:rPr>
      </w:r>
      <w:r w:rsidRPr="00D6711C">
        <w:rPr>
          <w:b/>
          <w:bCs/>
          <w:rtl/>
        </w:rPr>
        <w:fldChar w:fldCharType="separate"/>
      </w:r>
      <w:r w:rsidR="00D82181">
        <w:rPr>
          <w:b/>
          <w:bCs/>
          <w:cs/>
        </w:rPr>
        <w:t>‎</w:t>
      </w:r>
      <w:r w:rsidR="00D82181">
        <w:rPr>
          <w:b/>
          <w:bCs/>
          <w:rtl/>
        </w:rPr>
        <w:t>נה)</w:t>
      </w:r>
      <w:r w:rsidRPr="00D6711C">
        <w:rPr>
          <w:b/>
          <w:bCs/>
          <w:rtl/>
        </w:rPr>
        <w:fldChar w:fldCharType="end"/>
      </w:r>
      <w:r w:rsidRPr="00EC2B00">
        <w:rPr>
          <w:rFonts w:hint="cs"/>
          <w:b/>
          <w:bCs/>
          <w:rtl/>
        </w:rPr>
        <w:t xml:space="preserve"> </w:t>
      </w:r>
      <w:r w:rsidRPr="00EC2B00">
        <w:rPr>
          <w:rFonts w:hint="cs"/>
          <w:rtl/>
        </w:rPr>
        <w:t>טל אורות הספרדי</w:t>
      </w:r>
      <w:r w:rsidRPr="00EC2B00">
        <w:rPr>
          <w:rtl/>
        </w:rPr>
        <w:t xml:space="preserve"> </w:t>
      </w:r>
      <w:r w:rsidRPr="00EC2B00">
        <w:rPr>
          <w:rStyle w:val="afffffffff3"/>
          <w:rtl/>
        </w:rPr>
        <w:t>(</w:t>
      </w:r>
      <w:r w:rsidRPr="00EC2B00">
        <w:rPr>
          <w:rStyle w:val="afffffffff3"/>
          <w:rFonts w:hint="cs"/>
          <w:rtl/>
        </w:rPr>
        <w:t>מלאכת בונה ד"ה אך קשה</w:t>
      </w:r>
      <w:r w:rsidRPr="00EC2B00">
        <w:rPr>
          <w:rStyle w:val="afffffffff3"/>
          <w:rtl/>
        </w:rPr>
        <w:t>)</w:t>
      </w:r>
      <w:r>
        <w:rPr>
          <w:rtl/>
        </w:rPr>
        <w:t xml:space="preserve"> </w:t>
      </w:r>
      <w:r w:rsidRPr="00EC2B00">
        <w:rPr>
          <w:rFonts w:hint="cs"/>
          <w:rtl/>
        </w:rPr>
        <w:t>אגרות משה</w:t>
      </w:r>
      <w:r w:rsidRPr="00EC2B00">
        <w:rPr>
          <w:rtl/>
        </w:rPr>
        <w:t xml:space="preserve"> </w:t>
      </w:r>
      <w:r w:rsidRPr="00EC2B00">
        <w:rPr>
          <w:rStyle w:val="afffffffff3"/>
          <w:rtl/>
        </w:rPr>
        <w:t>(</w:t>
      </w:r>
      <w:r w:rsidRPr="00EC2B00">
        <w:rPr>
          <w:rStyle w:val="afffffffff3"/>
          <w:rFonts w:hint="cs"/>
          <w:rtl/>
        </w:rPr>
        <w:t>או"ח ח"א סי' קכ"ב ענף א' ד"ה והנכון</w:t>
      </w:r>
      <w:r w:rsidRPr="00EC2B00">
        <w:rPr>
          <w:rStyle w:val="afffffffff3"/>
          <w:rtl/>
        </w:rPr>
        <w:t xml:space="preserve"> לע"ד דהא)</w:t>
      </w:r>
      <w:r w:rsidRPr="00D6711C">
        <w:rPr>
          <w:b/>
          <w:bCs/>
          <w:rtl/>
        </w:rPr>
        <w:t>,</w:t>
      </w:r>
      <w:r w:rsidRPr="00D6711C">
        <w:rPr>
          <w:rFonts w:hint="cs"/>
          <w:b/>
          <w:bCs/>
          <w:rtl/>
        </w:rPr>
        <w:t xml:space="preserve"> </w:t>
      </w:r>
      <w:r w:rsidRPr="00D6711C">
        <w:rPr>
          <w:b/>
          <w:bCs/>
          <w:rtl/>
        </w:rPr>
        <w:fldChar w:fldCharType="begin"/>
      </w:r>
      <w:r w:rsidRPr="00D6711C">
        <w:rPr>
          <w:b/>
          <w:bCs/>
          <w:rtl/>
        </w:rPr>
        <w:instrText xml:space="preserve"> </w:instrText>
      </w:r>
      <w:r w:rsidRPr="00D6711C">
        <w:rPr>
          <w:rFonts w:hint="cs"/>
          <w:b/>
          <w:bCs/>
        </w:rPr>
        <w:instrText>REF</w:instrText>
      </w:r>
      <w:r w:rsidRPr="00D6711C">
        <w:rPr>
          <w:rFonts w:hint="cs"/>
          <w:b/>
          <w:bCs/>
          <w:rtl/>
        </w:rPr>
        <w:instrText xml:space="preserve"> _</w:instrText>
      </w:r>
      <w:r w:rsidRPr="00D6711C">
        <w:rPr>
          <w:rFonts w:hint="cs"/>
          <w:b/>
          <w:bCs/>
        </w:rPr>
        <w:instrText>Ref144928353 \r \h</w:instrText>
      </w:r>
      <w:r w:rsidRPr="00D6711C">
        <w:rPr>
          <w:b/>
          <w:bCs/>
          <w:rtl/>
        </w:rPr>
        <w:instrText xml:space="preserve">  \* </w:instrText>
      </w:r>
      <w:r w:rsidRPr="00D6711C">
        <w:rPr>
          <w:b/>
          <w:bCs/>
        </w:rPr>
        <w:instrText>MERGEFORMAT</w:instrText>
      </w:r>
      <w:r w:rsidRPr="00D6711C">
        <w:rPr>
          <w:b/>
          <w:bCs/>
          <w:rtl/>
        </w:rPr>
        <w:instrText xml:space="preserve"> </w:instrText>
      </w:r>
      <w:r w:rsidRPr="00D6711C">
        <w:rPr>
          <w:b/>
          <w:bCs/>
          <w:rtl/>
        </w:rPr>
      </w:r>
      <w:r w:rsidRPr="00D6711C">
        <w:rPr>
          <w:b/>
          <w:bCs/>
          <w:rtl/>
        </w:rPr>
        <w:fldChar w:fldCharType="separate"/>
      </w:r>
      <w:r w:rsidR="00D82181">
        <w:rPr>
          <w:b/>
          <w:bCs/>
          <w:cs/>
        </w:rPr>
        <w:t>‎</w:t>
      </w:r>
      <w:r w:rsidR="00D82181">
        <w:rPr>
          <w:b/>
          <w:bCs/>
          <w:rtl/>
        </w:rPr>
        <w:t>נו)</w:t>
      </w:r>
      <w:r w:rsidRPr="00D6711C">
        <w:rPr>
          <w:b/>
          <w:bCs/>
          <w:rtl/>
        </w:rPr>
        <w:fldChar w:fldCharType="end"/>
      </w:r>
      <w:r w:rsidRPr="00EC2B00">
        <w:rPr>
          <w:rFonts w:hint="cs"/>
          <w:b/>
          <w:bCs/>
          <w:rtl/>
        </w:rPr>
        <w:t xml:space="preserve"> </w:t>
      </w:r>
      <w:r w:rsidRPr="00EC2B00">
        <w:rPr>
          <w:rFonts w:hint="cs"/>
          <w:rtl/>
        </w:rPr>
        <w:t>גר"א</w:t>
      </w:r>
      <w:r w:rsidRPr="00EC2B00">
        <w:rPr>
          <w:rtl/>
        </w:rPr>
        <w:t xml:space="preserve"> </w:t>
      </w:r>
      <w:r w:rsidRPr="00EC2B00">
        <w:rPr>
          <w:rStyle w:val="afffffffff3"/>
          <w:rtl/>
        </w:rPr>
        <w:t>(</w:t>
      </w:r>
      <w:r w:rsidRPr="00EC2B00">
        <w:rPr>
          <w:rStyle w:val="afffffffff3"/>
          <w:rFonts w:hint="cs"/>
          <w:rtl/>
        </w:rPr>
        <w:t>סי' שי"ד סק"ד</w:t>
      </w:r>
      <w:r w:rsidRPr="00EC2B00">
        <w:rPr>
          <w:rStyle w:val="afffffffff3"/>
          <w:rtl/>
        </w:rPr>
        <w:t>)</w:t>
      </w:r>
      <w:r w:rsidRPr="00D6711C">
        <w:rPr>
          <w:b/>
          <w:bCs/>
          <w:rtl/>
        </w:rPr>
        <w:t xml:space="preserve">, </w:t>
      </w:r>
      <w:r w:rsidRPr="00D6711C">
        <w:rPr>
          <w:b/>
          <w:bCs/>
          <w:rtl/>
        </w:rPr>
        <w:fldChar w:fldCharType="begin"/>
      </w:r>
      <w:r w:rsidRPr="00D6711C">
        <w:rPr>
          <w:b/>
          <w:bCs/>
          <w:rtl/>
        </w:rPr>
        <w:instrText xml:space="preserve"> </w:instrText>
      </w:r>
      <w:r w:rsidRPr="00D6711C">
        <w:rPr>
          <w:b/>
          <w:bCs/>
        </w:rPr>
        <w:instrText>REF</w:instrText>
      </w:r>
      <w:r w:rsidRPr="00D6711C">
        <w:rPr>
          <w:b/>
          <w:bCs/>
          <w:rtl/>
        </w:rPr>
        <w:instrText xml:space="preserve"> _</w:instrText>
      </w:r>
      <w:r w:rsidRPr="00D6711C">
        <w:rPr>
          <w:b/>
          <w:bCs/>
        </w:rPr>
        <w:instrText>Ref144755111 \r \h</w:instrText>
      </w:r>
      <w:r w:rsidRPr="00D6711C">
        <w:rPr>
          <w:b/>
          <w:bCs/>
          <w:rtl/>
        </w:rPr>
        <w:instrText xml:space="preserve">  \* </w:instrText>
      </w:r>
      <w:r w:rsidRPr="00D6711C">
        <w:rPr>
          <w:b/>
          <w:bCs/>
        </w:rPr>
        <w:instrText>MERGEFORMAT</w:instrText>
      </w:r>
      <w:r w:rsidRPr="00D6711C">
        <w:rPr>
          <w:b/>
          <w:bCs/>
          <w:rtl/>
        </w:rPr>
        <w:instrText xml:space="preserve"> </w:instrText>
      </w:r>
      <w:r w:rsidRPr="00D6711C">
        <w:rPr>
          <w:b/>
          <w:bCs/>
          <w:rtl/>
        </w:rPr>
      </w:r>
      <w:r w:rsidRPr="00D6711C">
        <w:rPr>
          <w:b/>
          <w:bCs/>
          <w:rtl/>
        </w:rPr>
        <w:fldChar w:fldCharType="separate"/>
      </w:r>
      <w:r w:rsidR="00D82181">
        <w:rPr>
          <w:b/>
          <w:bCs/>
          <w:cs/>
        </w:rPr>
        <w:t>‎</w:t>
      </w:r>
      <w:r w:rsidR="00D82181">
        <w:rPr>
          <w:b/>
          <w:bCs/>
          <w:rtl/>
        </w:rPr>
        <w:t>נז)</w:t>
      </w:r>
      <w:r w:rsidRPr="00D6711C">
        <w:rPr>
          <w:b/>
          <w:bCs/>
          <w:rtl/>
        </w:rPr>
        <w:fldChar w:fldCharType="end"/>
      </w:r>
      <w:r w:rsidRPr="00EC2B00">
        <w:rPr>
          <w:b/>
          <w:bCs/>
          <w:rtl/>
        </w:rPr>
        <w:t xml:space="preserve"> </w:t>
      </w:r>
      <w:r w:rsidRPr="00EC2B00">
        <w:rPr>
          <w:rFonts w:hint="cs"/>
          <w:rtl/>
        </w:rPr>
        <w:t>שלטי הגבורים לקמן</w:t>
      </w:r>
      <w:r w:rsidRPr="00EC2B00">
        <w:rPr>
          <w:rtl/>
        </w:rPr>
        <w:t xml:space="preserve"> </w:t>
      </w:r>
      <w:r w:rsidRPr="00EC2B00">
        <w:rPr>
          <w:rStyle w:val="afffffffff3"/>
          <w:rtl/>
        </w:rPr>
        <w:t>(</w:t>
      </w:r>
      <w:r w:rsidRPr="00EC2B00">
        <w:rPr>
          <w:rStyle w:val="afffffffff3"/>
          <w:rFonts w:hint="cs"/>
          <w:rtl/>
        </w:rPr>
        <w:t>סא: מדה"ר אות א'</w:t>
      </w:r>
      <w:r w:rsidRPr="00D6711C">
        <w:rPr>
          <w:rStyle w:val="afffffffff3"/>
          <w:rFonts w:hint="cs"/>
          <w:b/>
          <w:bCs/>
          <w:rtl/>
        </w:rPr>
        <w:t>, מהדו' עוז והדר עמ' קע"א</w:t>
      </w:r>
      <w:r w:rsidRPr="00D6711C">
        <w:rPr>
          <w:rStyle w:val="afffffffff3"/>
          <w:b/>
          <w:bCs/>
          <w:rtl/>
        </w:rPr>
        <w:t>)</w:t>
      </w:r>
      <w:r w:rsidRPr="00D6711C">
        <w:rPr>
          <w:b/>
          <w:bCs/>
          <w:rtl/>
        </w:rPr>
        <w:t>,</w:t>
      </w:r>
      <w:r w:rsidRPr="00D6711C">
        <w:rPr>
          <w:rFonts w:hint="cs"/>
          <w:b/>
          <w:bCs/>
          <w:rtl/>
        </w:rPr>
        <w:t xml:space="preserve"> </w:t>
      </w:r>
      <w:r w:rsidRPr="00D6711C">
        <w:rPr>
          <w:b/>
          <w:bCs/>
          <w:rtl/>
        </w:rPr>
        <w:fldChar w:fldCharType="begin"/>
      </w:r>
      <w:r w:rsidRPr="00D6711C">
        <w:rPr>
          <w:b/>
          <w:bCs/>
          <w:rtl/>
        </w:rPr>
        <w:instrText xml:space="preserve"> </w:instrText>
      </w:r>
      <w:r w:rsidRPr="00D6711C">
        <w:rPr>
          <w:rFonts w:hint="cs"/>
          <w:b/>
          <w:bCs/>
        </w:rPr>
        <w:instrText>REF</w:instrText>
      </w:r>
      <w:r w:rsidRPr="00D6711C">
        <w:rPr>
          <w:rFonts w:hint="cs"/>
          <w:b/>
          <w:bCs/>
          <w:rtl/>
        </w:rPr>
        <w:instrText xml:space="preserve"> _</w:instrText>
      </w:r>
      <w:r w:rsidRPr="00D6711C">
        <w:rPr>
          <w:rFonts w:hint="cs"/>
          <w:b/>
          <w:bCs/>
        </w:rPr>
        <w:instrText>Ref144802736 \r \h</w:instrText>
      </w:r>
      <w:r w:rsidRPr="00D6711C">
        <w:rPr>
          <w:b/>
          <w:bCs/>
          <w:rtl/>
        </w:rPr>
        <w:instrText xml:space="preserve">  \* </w:instrText>
      </w:r>
      <w:r w:rsidRPr="00D6711C">
        <w:rPr>
          <w:b/>
          <w:bCs/>
        </w:rPr>
        <w:instrText>MERGEFORMAT</w:instrText>
      </w:r>
      <w:r w:rsidRPr="00D6711C">
        <w:rPr>
          <w:b/>
          <w:bCs/>
          <w:rtl/>
        </w:rPr>
        <w:instrText xml:space="preserve"> </w:instrText>
      </w:r>
      <w:r w:rsidRPr="00D6711C">
        <w:rPr>
          <w:b/>
          <w:bCs/>
          <w:rtl/>
        </w:rPr>
      </w:r>
      <w:r w:rsidRPr="00D6711C">
        <w:rPr>
          <w:b/>
          <w:bCs/>
          <w:rtl/>
        </w:rPr>
        <w:fldChar w:fldCharType="separate"/>
      </w:r>
      <w:r w:rsidR="00D82181">
        <w:rPr>
          <w:b/>
          <w:bCs/>
          <w:cs/>
        </w:rPr>
        <w:t>‎</w:t>
      </w:r>
      <w:r w:rsidR="00D82181">
        <w:rPr>
          <w:b/>
          <w:bCs/>
          <w:rtl/>
        </w:rPr>
        <w:t>נח)</w:t>
      </w:r>
      <w:r w:rsidRPr="00D6711C">
        <w:rPr>
          <w:b/>
          <w:bCs/>
          <w:rtl/>
        </w:rPr>
        <w:fldChar w:fldCharType="end"/>
      </w:r>
      <w:r w:rsidRPr="00EC2B00">
        <w:rPr>
          <w:rFonts w:hint="cs"/>
          <w:b/>
          <w:bCs/>
          <w:rtl/>
        </w:rPr>
        <w:t xml:space="preserve"> </w:t>
      </w:r>
      <w:r w:rsidRPr="003C24C3">
        <w:rPr>
          <w:rFonts w:hint="cs"/>
          <w:rtl/>
        </w:rPr>
        <w:t>טל אורות הספרדי</w:t>
      </w:r>
      <w:r w:rsidRPr="00EC2B00">
        <w:rPr>
          <w:rtl/>
        </w:rPr>
        <w:t xml:space="preserve"> </w:t>
      </w:r>
      <w:r w:rsidRPr="00EC2B00">
        <w:rPr>
          <w:rStyle w:val="afffffffff3"/>
          <w:rtl/>
        </w:rPr>
        <w:t>(</w:t>
      </w:r>
      <w:r w:rsidRPr="00EC2B00">
        <w:rPr>
          <w:rStyle w:val="afffffffff3"/>
          <w:rFonts w:hint="cs"/>
          <w:rtl/>
        </w:rPr>
        <w:t>מלאכת בונה ד"ה</w:t>
      </w:r>
      <w:r w:rsidRPr="00EC2B00">
        <w:rPr>
          <w:rStyle w:val="afffffffff3"/>
          <w:rtl/>
        </w:rPr>
        <w:t xml:space="preserve"> ומן האמור בזה)</w:t>
      </w:r>
      <w:r w:rsidRPr="00D6711C">
        <w:rPr>
          <w:b/>
          <w:bCs/>
          <w:rtl/>
        </w:rPr>
        <w:t xml:space="preserve">, </w:t>
      </w:r>
      <w:r w:rsidRPr="00D6711C">
        <w:rPr>
          <w:b/>
          <w:bCs/>
          <w:rtl/>
        </w:rPr>
        <w:fldChar w:fldCharType="begin"/>
      </w:r>
      <w:r w:rsidRPr="00D6711C">
        <w:rPr>
          <w:b/>
          <w:bCs/>
          <w:rtl/>
        </w:rPr>
        <w:instrText xml:space="preserve"> </w:instrText>
      </w:r>
      <w:r w:rsidRPr="00D6711C">
        <w:rPr>
          <w:b/>
          <w:bCs/>
        </w:rPr>
        <w:instrText>REF</w:instrText>
      </w:r>
      <w:r w:rsidRPr="00D6711C">
        <w:rPr>
          <w:b/>
          <w:bCs/>
          <w:rtl/>
        </w:rPr>
        <w:instrText xml:space="preserve"> _</w:instrText>
      </w:r>
      <w:r w:rsidRPr="00D6711C">
        <w:rPr>
          <w:b/>
          <w:bCs/>
        </w:rPr>
        <w:instrText>Ref144743203 \r \h</w:instrText>
      </w:r>
      <w:r w:rsidRPr="00D6711C">
        <w:rPr>
          <w:b/>
          <w:bCs/>
          <w:rtl/>
        </w:rPr>
        <w:instrText xml:space="preserve">  \* </w:instrText>
      </w:r>
      <w:r w:rsidRPr="00D6711C">
        <w:rPr>
          <w:b/>
          <w:bCs/>
        </w:rPr>
        <w:instrText>MERGEFORMAT</w:instrText>
      </w:r>
      <w:r w:rsidRPr="00D6711C">
        <w:rPr>
          <w:b/>
          <w:bCs/>
          <w:rtl/>
        </w:rPr>
        <w:instrText xml:space="preserve"> </w:instrText>
      </w:r>
      <w:r w:rsidRPr="00D6711C">
        <w:rPr>
          <w:b/>
          <w:bCs/>
          <w:rtl/>
        </w:rPr>
      </w:r>
      <w:r w:rsidRPr="00D6711C">
        <w:rPr>
          <w:b/>
          <w:bCs/>
          <w:rtl/>
        </w:rPr>
        <w:fldChar w:fldCharType="separate"/>
      </w:r>
      <w:r w:rsidR="00D82181">
        <w:rPr>
          <w:b/>
          <w:bCs/>
          <w:cs/>
        </w:rPr>
        <w:t>‎</w:t>
      </w:r>
      <w:r w:rsidR="00D82181">
        <w:rPr>
          <w:b/>
          <w:bCs/>
          <w:rtl/>
        </w:rPr>
        <w:t>נט)</w:t>
      </w:r>
      <w:r w:rsidRPr="00D6711C">
        <w:rPr>
          <w:b/>
          <w:bCs/>
          <w:rtl/>
        </w:rPr>
        <w:fldChar w:fldCharType="end"/>
      </w:r>
      <w:r w:rsidRPr="00EC2B00">
        <w:rPr>
          <w:b/>
          <w:bCs/>
          <w:rtl/>
        </w:rPr>
        <w:t xml:space="preserve"> </w:t>
      </w:r>
      <w:r w:rsidRPr="00EC2B00">
        <w:rPr>
          <w:rFonts w:hint="cs"/>
          <w:rtl/>
        </w:rPr>
        <w:t>ר"ן על הרי"ף בביצה</w:t>
      </w:r>
      <w:r w:rsidRPr="00EC2B00">
        <w:rPr>
          <w:rtl/>
        </w:rPr>
        <w:t xml:space="preserve"> </w:t>
      </w:r>
      <w:r w:rsidRPr="00EC2B00">
        <w:rPr>
          <w:rStyle w:val="afffffffff3"/>
          <w:rtl/>
        </w:rPr>
        <w:t>(</w:t>
      </w:r>
      <w:r w:rsidRPr="00EC2B00">
        <w:rPr>
          <w:rStyle w:val="afffffffff3"/>
          <w:rFonts w:hint="cs"/>
          <w:rtl/>
        </w:rPr>
        <w:t>יט. מדה"ר ד"ה ואע"ג</w:t>
      </w:r>
      <w:r w:rsidRPr="00EC2B00">
        <w:rPr>
          <w:rStyle w:val="afffffffff3"/>
          <w:rtl/>
        </w:rPr>
        <w:t>)</w:t>
      </w:r>
      <w:r w:rsidRPr="00D6711C">
        <w:rPr>
          <w:b/>
          <w:bCs/>
          <w:rtl/>
        </w:rPr>
        <w:t xml:space="preserve">, </w:t>
      </w:r>
      <w:r w:rsidRPr="00D6711C">
        <w:rPr>
          <w:b/>
          <w:bCs/>
          <w:rtl/>
        </w:rPr>
        <w:fldChar w:fldCharType="begin"/>
      </w:r>
      <w:r w:rsidRPr="00D6711C">
        <w:rPr>
          <w:b/>
          <w:bCs/>
          <w:rtl/>
        </w:rPr>
        <w:instrText xml:space="preserve"> </w:instrText>
      </w:r>
      <w:r w:rsidRPr="00D6711C">
        <w:rPr>
          <w:b/>
          <w:bCs/>
        </w:rPr>
        <w:instrText>REF</w:instrText>
      </w:r>
      <w:r w:rsidRPr="00D6711C">
        <w:rPr>
          <w:b/>
          <w:bCs/>
          <w:rtl/>
        </w:rPr>
        <w:instrText xml:space="preserve"> _</w:instrText>
      </w:r>
      <w:r w:rsidRPr="00D6711C">
        <w:rPr>
          <w:b/>
          <w:bCs/>
        </w:rPr>
        <w:instrText>Ref144652408 \r \h</w:instrText>
      </w:r>
      <w:r w:rsidRPr="00D6711C">
        <w:rPr>
          <w:b/>
          <w:bCs/>
          <w:rtl/>
        </w:rPr>
        <w:instrText xml:space="preserve">  \* </w:instrText>
      </w:r>
      <w:r w:rsidRPr="00D6711C">
        <w:rPr>
          <w:b/>
          <w:bCs/>
        </w:rPr>
        <w:instrText>MERGEFORMAT</w:instrText>
      </w:r>
      <w:r w:rsidRPr="00D6711C">
        <w:rPr>
          <w:b/>
          <w:bCs/>
          <w:rtl/>
        </w:rPr>
        <w:instrText xml:space="preserve"> </w:instrText>
      </w:r>
      <w:r w:rsidRPr="00D6711C">
        <w:rPr>
          <w:b/>
          <w:bCs/>
          <w:rtl/>
        </w:rPr>
      </w:r>
      <w:r w:rsidRPr="00D6711C">
        <w:rPr>
          <w:b/>
          <w:bCs/>
          <w:rtl/>
        </w:rPr>
        <w:fldChar w:fldCharType="separate"/>
      </w:r>
      <w:r w:rsidR="00D82181">
        <w:rPr>
          <w:b/>
          <w:bCs/>
          <w:cs/>
        </w:rPr>
        <w:t>‎</w:t>
      </w:r>
      <w:r w:rsidR="00D82181">
        <w:rPr>
          <w:b/>
          <w:bCs/>
          <w:rtl/>
        </w:rPr>
        <w:t>ס)</w:t>
      </w:r>
      <w:r w:rsidRPr="00D6711C">
        <w:rPr>
          <w:b/>
          <w:bCs/>
          <w:rtl/>
        </w:rPr>
        <w:fldChar w:fldCharType="end"/>
      </w:r>
      <w:r w:rsidRPr="00EC2B00">
        <w:rPr>
          <w:b/>
          <w:bCs/>
          <w:rtl/>
        </w:rPr>
        <w:t xml:space="preserve"> </w:t>
      </w:r>
      <w:r w:rsidRPr="00EC2B00">
        <w:rPr>
          <w:rFonts w:hint="cs"/>
          <w:rtl/>
        </w:rPr>
        <w:t>תוס' לקמן</w:t>
      </w:r>
      <w:r w:rsidRPr="00EC2B00">
        <w:rPr>
          <w:rtl/>
        </w:rPr>
        <w:t xml:space="preserve"> </w:t>
      </w:r>
      <w:r w:rsidRPr="00EC2B00">
        <w:rPr>
          <w:rStyle w:val="afffffffff3"/>
          <w:rtl/>
        </w:rPr>
        <w:t>(</w:t>
      </w:r>
      <w:r w:rsidRPr="00EC2B00">
        <w:rPr>
          <w:rStyle w:val="afffffffff3"/>
          <w:rFonts w:hint="cs"/>
          <w:rtl/>
        </w:rPr>
        <w:t>קמו. ד"ה שובר</w:t>
      </w:r>
      <w:r w:rsidRPr="00EC2B00">
        <w:rPr>
          <w:rStyle w:val="afffffffff3"/>
          <w:rtl/>
        </w:rPr>
        <w:t>)</w:t>
      </w:r>
      <w:r>
        <w:rPr>
          <w:rtl/>
        </w:rPr>
        <w:t xml:space="preserve"> </w:t>
      </w:r>
      <w:r w:rsidRPr="00EC2B00">
        <w:rPr>
          <w:rFonts w:hint="cs"/>
          <w:rtl/>
        </w:rPr>
        <w:t>תוס' בעירובין</w:t>
      </w:r>
      <w:r w:rsidRPr="00EC2B00">
        <w:rPr>
          <w:rtl/>
        </w:rPr>
        <w:t xml:space="preserve"> </w:t>
      </w:r>
      <w:r w:rsidRPr="00EC2B00">
        <w:rPr>
          <w:rStyle w:val="afffffffff3"/>
          <w:rtl/>
        </w:rPr>
        <w:t>(</w:t>
      </w:r>
      <w:r w:rsidRPr="00EC2B00">
        <w:rPr>
          <w:rStyle w:val="afffffffff3"/>
          <w:rFonts w:hint="cs"/>
          <w:rtl/>
        </w:rPr>
        <w:t>לד: ד"ה ואמאי</w:t>
      </w:r>
      <w:r w:rsidRPr="00EC2B00">
        <w:rPr>
          <w:rStyle w:val="afffffffff3"/>
          <w:rtl/>
        </w:rPr>
        <w:t>)</w:t>
      </w:r>
      <w:r>
        <w:rPr>
          <w:rtl/>
        </w:rPr>
        <w:t xml:space="preserve"> </w:t>
      </w:r>
      <w:r w:rsidRPr="00EC2B00">
        <w:rPr>
          <w:rFonts w:hint="cs"/>
          <w:rtl/>
        </w:rPr>
        <w:t>ריטב"א לקמן</w:t>
      </w:r>
      <w:r w:rsidRPr="00EC2B00">
        <w:rPr>
          <w:rtl/>
        </w:rPr>
        <w:t xml:space="preserve"> </w:t>
      </w:r>
      <w:r w:rsidRPr="00EC2B00">
        <w:rPr>
          <w:rStyle w:val="afffffffff3"/>
          <w:rtl/>
        </w:rPr>
        <w:t>(</w:t>
      </w:r>
      <w:r w:rsidRPr="00EC2B00">
        <w:rPr>
          <w:rStyle w:val="afffffffff3"/>
          <w:rFonts w:hint="cs"/>
          <w:rtl/>
        </w:rPr>
        <w:t>קמו. ד"ה ובתוספות</w:t>
      </w:r>
      <w:r w:rsidRPr="00EC2B00">
        <w:rPr>
          <w:rStyle w:val="afffffffff3"/>
          <w:rtl/>
        </w:rPr>
        <w:t>)</w:t>
      </w:r>
      <w:r>
        <w:rPr>
          <w:rtl/>
        </w:rPr>
        <w:t xml:space="preserve"> </w:t>
      </w:r>
      <w:r w:rsidRPr="00EC2B00">
        <w:rPr>
          <w:rFonts w:hint="cs"/>
          <w:rtl/>
        </w:rPr>
        <w:t>רשב"א לקמן</w:t>
      </w:r>
      <w:r w:rsidRPr="00EC2B00">
        <w:rPr>
          <w:rtl/>
        </w:rPr>
        <w:t xml:space="preserve"> </w:t>
      </w:r>
      <w:r w:rsidRPr="00EC2B00">
        <w:rPr>
          <w:rStyle w:val="afffffffff3"/>
          <w:rtl/>
        </w:rPr>
        <w:t>(</w:t>
      </w:r>
      <w:r w:rsidRPr="00EC2B00">
        <w:rPr>
          <w:rStyle w:val="afffffffff3"/>
          <w:rFonts w:hint="cs"/>
          <w:rtl/>
        </w:rPr>
        <w:t>קמו. ד"ה ובתוספות</w:t>
      </w:r>
      <w:r w:rsidRPr="00EC2B00">
        <w:rPr>
          <w:rStyle w:val="afffffffff3"/>
          <w:rtl/>
        </w:rPr>
        <w:t>)</w:t>
      </w:r>
      <w:r>
        <w:rPr>
          <w:rtl/>
        </w:rPr>
        <w:t xml:space="preserve"> </w:t>
      </w:r>
      <w:r w:rsidRPr="003C24C3">
        <w:rPr>
          <w:rFonts w:hint="cs"/>
          <w:rtl/>
        </w:rPr>
        <w:t>ר"ן בעירובין</w:t>
      </w:r>
      <w:r w:rsidRPr="00EC2B00">
        <w:rPr>
          <w:rtl/>
        </w:rPr>
        <w:t xml:space="preserve"> </w:t>
      </w:r>
      <w:r w:rsidRPr="00EC2B00">
        <w:rPr>
          <w:rStyle w:val="afffffffff3"/>
          <w:rtl/>
        </w:rPr>
        <w:t>(</w:t>
      </w:r>
      <w:r w:rsidRPr="00EC2B00">
        <w:rPr>
          <w:rStyle w:val="afffffffff3"/>
          <w:rFonts w:hint="cs"/>
          <w:rtl/>
        </w:rPr>
        <w:t>לד: ד"ה הכא</w:t>
      </w:r>
      <w:r w:rsidRPr="00EC2B00">
        <w:rPr>
          <w:rStyle w:val="afffffffff3"/>
          <w:rtl/>
        </w:rPr>
        <w:t>)</w:t>
      </w:r>
      <w:r w:rsidRPr="00D6711C">
        <w:rPr>
          <w:b/>
          <w:bCs/>
          <w:rtl/>
        </w:rPr>
        <w:t>,</w:t>
      </w:r>
      <w:r w:rsidRPr="00D6711C">
        <w:rPr>
          <w:rFonts w:hint="cs"/>
          <w:b/>
          <w:bCs/>
          <w:rtl/>
        </w:rPr>
        <w:t xml:space="preserve"> </w:t>
      </w:r>
      <w:r w:rsidRPr="00D6711C">
        <w:rPr>
          <w:b/>
          <w:bCs/>
          <w:rtl/>
        </w:rPr>
        <w:fldChar w:fldCharType="begin"/>
      </w:r>
      <w:r w:rsidRPr="00D6711C">
        <w:rPr>
          <w:b/>
          <w:bCs/>
          <w:rtl/>
        </w:rPr>
        <w:instrText xml:space="preserve"> </w:instrText>
      </w:r>
      <w:r w:rsidRPr="00D6711C">
        <w:rPr>
          <w:rFonts w:hint="cs"/>
          <w:b/>
          <w:bCs/>
        </w:rPr>
        <w:instrText>REF</w:instrText>
      </w:r>
      <w:r w:rsidRPr="00D6711C">
        <w:rPr>
          <w:rFonts w:hint="cs"/>
          <w:b/>
          <w:bCs/>
          <w:rtl/>
        </w:rPr>
        <w:instrText xml:space="preserve"> _</w:instrText>
      </w:r>
      <w:r w:rsidRPr="00D6711C">
        <w:rPr>
          <w:rFonts w:hint="cs"/>
          <w:b/>
          <w:bCs/>
        </w:rPr>
        <w:instrText>Ref144930166 \r \h</w:instrText>
      </w:r>
      <w:r w:rsidRPr="00D6711C">
        <w:rPr>
          <w:b/>
          <w:bCs/>
          <w:rtl/>
        </w:rPr>
        <w:instrText xml:space="preserve">  \* </w:instrText>
      </w:r>
      <w:r w:rsidRPr="00D6711C">
        <w:rPr>
          <w:b/>
          <w:bCs/>
        </w:rPr>
        <w:instrText>MERGEFORMAT</w:instrText>
      </w:r>
      <w:r w:rsidRPr="00D6711C">
        <w:rPr>
          <w:b/>
          <w:bCs/>
          <w:rtl/>
        </w:rPr>
        <w:instrText xml:space="preserve"> </w:instrText>
      </w:r>
      <w:r w:rsidRPr="00D6711C">
        <w:rPr>
          <w:b/>
          <w:bCs/>
          <w:rtl/>
        </w:rPr>
      </w:r>
      <w:r w:rsidRPr="00D6711C">
        <w:rPr>
          <w:b/>
          <w:bCs/>
          <w:rtl/>
        </w:rPr>
        <w:fldChar w:fldCharType="separate"/>
      </w:r>
      <w:r w:rsidR="00D82181">
        <w:rPr>
          <w:b/>
          <w:bCs/>
          <w:cs/>
        </w:rPr>
        <w:t>‎</w:t>
      </w:r>
      <w:r w:rsidR="00D82181">
        <w:rPr>
          <w:b/>
          <w:bCs/>
          <w:rtl/>
        </w:rPr>
        <w:t>סא)</w:t>
      </w:r>
      <w:r w:rsidRPr="00D6711C">
        <w:rPr>
          <w:b/>
          <w:bCs/>
          <w:rtl/>
        </w:rPr>
        <w:fldChar w:fldCharType="end"/>
      </w:r>
      <w:r w:rsidRPr="003C24C3">
        <w:rPr>
          <w:rFonts w:hint="cs"/>
          <w:rtl/>
        </w:rPr>
        <w:t xml:space="preserve"> רשב"א לקמן </w:t>
      </w:r>
      <w:r w:rsidRPr="00EC2B00">
        <w:rPr>
          <w:rStyle w:val="afffffffff3"/>
          <w:rtl/>
        </w:rPr>
        <w:t>(</w:t>
      </w:r>
      <w:r w:rsidRPr="00EC2B00">
        <w:rPr>
          <w:rStyle w:val="afffffffff3"/>
          <w:rFonts w:hint="cs"/>
          <w:rtl/>
        </w:rPr>
        <w:t>קמו. ד"ה ואף</w:t>
      </w:r>
      <w:r w:rsidRPr="00EC2B00">
        <w:rPr>
          <w:rStyle w:val="afffffffff3"/>
          <w:rtl/>
        </w:rPr>
        <w:t>)</w:t>
      </w:r>
      <w:r>
        <w:rPr>
          <w:rtl/>
        </w:rPr>
        <w:t xml:space="preserve"> </w:t>
      </w:r>
      <w:r w:rsidRPr="00EC2B00">
        <w:rPr>
          <w:rFonts w:hint="cs"/>
          <w:rtl/>
        </w:rPr>
        <w:t xml:space="preserve">רשב"א בעירובין </w:t>
      </w:r>
      <w:r w:rsidRPr="00EC2B00">
        <w:rPr>
          <w:rStyle w:val="afffffffff3"/>
          <w:rtl/>
        </w:rPr>
        <w:t>(</w:t>
      </w:r>
      <w:r w:rsidRPr="00EC2B00">
        <w:rPr>
          <w:rStyle w:val="afffffffff3"/>
          <w:rFonts w:hint="cs"/>
          <w:rtl/>
        </w:rPr>
        <w:t>לד: ד"ה הכא</w:t>
      </w:r>
      <w:r w:rsidRPr="00EC2B00">
        <w:rPr>
          <w:rStyle w:val="afffffffff3"/>
          <w:rtl/>
        </w:rPr>
        <w:t>)</w:t>
      </w:r>
      <w:r>
        <w:rPr>
          <w:rtl/>
        </w:rPr>
        <w:t xml:space="preserve"> </w:t>
      </w:r>
      <w:r w:rsidRPr="00EC2B00">
        <w:rPr>
          <w:rFonts w:hint="cs"/>
          <w:rtl/>
        </w:rPr>
        <w:t>ריטב"א בעירובין</w:t>
      </w:r>
      <w:r w:rsidRPr="00EC2B00">
        <w:rPr>
          <w:rtl/>
        </w:rPr>
        <w:t xml:space="preserve"> </w:t>
      </w:r>
      <w:r w:rsidRPr="00EC2B00">
        <w:rPr>
          <w:rStyle w:val="afffffffff3"/>
          <w:rtl/>
        </w:rPr>
        <w:t>(</w:t>
      </w:r>
      <w:r w:rsidRPr="00EC2B00">
        <w:rPr>
          <w:rStyle w:val="afffffffff3"/>
          <w:rFonts w:hint="cs"/>
          <w:rtl/>
        </w:rPr>
        <w:t>לה. ד"ה ואיכא</w:t>
      </w:r>
      <w:r w:rsidRPr="00EC2B00">
        <w:rPr>
          <w:rStyle w:val="afffffffff3"/>
          <w:rtl/>
        </w:rPr>
        <w:t>)</w:t>
      </w:r>
      <w:r w:rsidRPr="00EC2B00">
        <w:rPr>
          <w:rFonts w:hint="cs"/>
          <w:rtl/>
        </w:rPr>
        <w:t xml:space="preserve"> בשם</w:t>
      </w:r>
      <w:r w:rsidRPr="00EC2B00">
        <w:rPr>
          <w:rtl/>
        </w:rPr>
        <w:t xml:space="preserve"> </w:t>
      </w:r>
      <w:r w:rsidRPr="003C24C3">
        <w:rPr>
          <w:rFonts w:hint="cs"/>
          <w:rtl/>
        </w:rPr>
        <w:t>הריב"א</w:t>
      </w:r>
      <w:r>
        <w:rPr>
          <w:rtl/>
        </w:rPr>
        <w:t xml:space="preserve"> </w:t>
      </w:r>
      <w:r w:rsidRPr="003C24C3">
        <w:rPr>
          <w:rFonts w:hint="cs"/>
          <w:rtl/>
        </w:rPr>
        <w:t>ר"ן לקמן</w:t>
      </w:r>
      <w:r w:rsidRPr="00EC2B00">
        <w:rPr>
          <w:rtl/>
        </w:rPr>
        <w:t xml:space="preserve"> </w:t>
      </w:r>
      <w:r w:rsidRPr="00EC2B00">
        <w:rPr>
          <w:rStyle w:val="afffffffff3"/>
          <w:rtl/>
        </w:rPr>
        <w:t>(</w:t>
      </w:r>
      <w:r w:rsidRPr="00EC2B00">
        <w:rPr>
          <w:rStyle w:val="afffffffff3"/>
          <w:rFonts w:hint="cs"/>
          <w:rtl/>
        </w:rPr>
        <w:t>קמו. ד"ה שובר</w:t>
      </w:r>
      <w:r w:rsidRPr="00EC2B00">
        <w:rPr>
          <w:rStyle w:val="afffffffff3"/>
          <w:rtl/>
        </w:rPr>
        <w:t>)</w:t>
      </w:r>
      <w:r w:rsidRPr="00D6711C">
        <w:rPr>
          <w:b/>
          <w:bCs/>
          <w:rtl/>
        </w:rPr>
        <w:t>,</w:t>
      </w:r>
      <w:r w:rsidRPr="00D6711C">
        <w:rPr>
          <w:rFonts w:hint="cs"/>
          <w:b/>
          <w:bCs/>
          <w:rtl/>
        </w:rPr>
        <w:t xml:space="preserve"> </w:t>
      </w:r>
      <w:r w:rsidRPr="00D6711C">
        <w:rPr>
          <w:b/>
          <w:bCs/>
          <w:rtl/>
        </w:rPr>
        <w:fldChar w:fldCharType="begin"/>
      </w:r>
      <w:r w:rsidRPr="00D6711C">
        <w:rPr>
          <w:b/>
          <w:bCs/>
          <w:rtl/>
        </w:rPr>
        <w:instrText xml:space="preserve"> </w:instrText>
      </w:r>
      <w:r w:rsidRPr="00D6711C">
        <w:rPr>
          <w:rFonts w:hint="cs"/>
          <w:b/>
          <w:bCs/>
        </w:rPr>
        <w:instrText>REF</w:instrText>
      </w:r>
      <w:r w:rsidRPr="00D6711C">
        <w:rPr>
          <w:rFonts w:hint="cs"/>
          <w:b/>
          <w:bCs/>
          <w:rtl/>
        </w:rPr>
        <w:instrText xml:space="preserve"> _</w:instrText>
      </w:r>
      <w:r w:rsidRPr="00D6711C">
        <w:rPr>
          <w:rFonts w:hint="cs"/>
          <w:b/>
          <w:bCs/>
        </w:rPr>
        <w:instrText>Ref144655887 \r \h</w:instrText>
      </w:r>
      <w:r w:rsidRPr="00D6711C">
        <w:rPr>
          <w:b/>
          <w:bCs/>
          <w:rtl/>
        </w:rPr>
        <w:instrText xml:space="preserve">  \* </w:instrText>
      </w:r>
      <w:r w:rsidRPr="00D6711C">
        <w:rPr>
          <w:b/>
          <w:bCs/>
        </w:rPr>
        <w:instrText>MERGEFORMAT</w:instrText>
      </w:r>
      <w:r w:rsidRPr="00D6711C">
        <w:rPr>
          <w:b/>
          <w:bCs/>
          <w:rtl/>
        </w:rPr>
        <w:instrText xml:space="preserve"> </w:instrText>
      </w:r>
      <w:r w:rsidRPr="00D6711C">
        <w:rPr>
          <w:b/>
          <w:bCs/>
          <w:rtl/>
        </w:rPr>
      </w:r>
      <w:r w:rsidRPr="00D6711C">
        <w:rPr>
          <w:b/>
          <w:bCs/>
          <w:rtl/>
        </w:rPr>
        <w:fldChar w:fldCharType="separate"/>
      </w:r>
      <w:r w:rsidR="00D82181">
        <w:rPr>
          <w:b/>
          <w:bCs/>
          <w:cs/>
        </w:rPr>
        <w:t>‎</w:t>
      </w:r>
      <w:r w:rsidR="00D82181">
        <w:rPr>
          <w:b/>
          <w:bCs/>
          <w:rtl/>
        </w:rPr>
        <w:t>סג)</w:t>
      </w:r>
      <w:r w:rsidRPr="00D6711C">
        <w:rPr>
          <w:b/>
          <w:bCs/>
          <w:rtl/>
        </w:rPr>
        <w:fldChar w:fldCharType="end"/>
      </w:r>
      <w:r w:rsidRPr="00EC2B00">
        <w:rPr>
          <w:rFonts w:hint="cs"/>
          <w:b/>
          <w:bCs/>
          <w:rtl/>
        </w:rPr>
        <w:t xml:space="preserve"> </w:t>
      </w:r>
      <w:r w:rsidRPr="00EC2B00">
        <w:rPr>
          <w:rFonts w:hint="cs"/>
          <w:rtl/>
        </w:rPr>
        <w:t>טל אורות הספרדי</w:t>
      </w:r>
      <w:r w:rsidRPr="00EC2B00">
        <w:rPr>
          <w:rtl/>
        </w:rPr>
        <w:t xml:space="preserve"> </w:t>
      </w:r>
      <w:r w:rsidRPr="00EC2B00">
        <w:rPr>
          <w:rStyle w:val="afffffffff3"/>
          <w:rtl/>
        </w:rPr>
        <w:t>(</w:t>
      </w:r>
      <w:r w:rsidRPr="00EC2B00">
        <w:rPr>
          <w:rStyle w:val="afffffffff3"/>
          <w:rFonts w:hint="cs"/>
          <w:rtl/>
        </w:rPr>
        <w:t>מלאכת בונה ד"ה נראה דלפי</w:t>
      </w:r>
      <w:r w:rsidRPr="00EC2B00">
        <w:rPr>
          <w:rStyle w:val="afffffffff3"/>
          <w:rtl/>
        </w:rPr>
        <w:t>)</w:t>
      </w:r>
      <w:r w:rsidRPr="00EC2B00">
        <w:rPr>
          <w:rtl/>
        </w:rPr>
        <w:t>.</w:t>
      </w:r>
    </w:p>
    <w:p w14:paraId="1ADFDFC5" w14:textId="77777777" w:rsidR="003E1AA3" w:rsidRDefault="003E1AA3" w:rsidP="003E1AA3">
      <w:pPr>
        <w:pStyle w:val="TOC2"/>
        <w:rPr>
          <w:rFonts w:cstheme="minorBidi"/>
          <w:b w:val="0"/>
          <w:bCs w:val="0"/>
          <w:sz w:val="22"/>
          <w:szCs w:val="22"/>
          <w:rtl/>
        </w:rPr>
      </w:pPr>
      <w:hyperlink w:anchor="_Toc145233952" w:history="1">
        <w:r w:rsidRPr="0054718A">
          <w:rPr>
            <w:rStyle w:val="Hyperlink"/>
            <w:rtl/>
          </w:rPr>
          <w:t xml:space="preserve">בי' הרשב"א ברש"י דבכלי גדול כאוהל מודה </w:t>
        </w:r>
        <w:r>
          <w:rPr>
            <w:rStyle w:val="Hyperlink"/>
            <w:rFonts w:hint="cs"/>
            <w:rtl/>
          </w:rPr>
          <w:t>שיש</w:t>
        </w:r>
        <w:r w:rsidRPr="0054718A">
          <w:rPr>
            <w:rStyle w:val="Hyperlink"/>
            <w:rtl/>
          </w:rPr>
          <w:t xml:space="preserve"> בנין וסתירה</w:t>
        </w:r>
      </w:hyperlink>
    </w:p>
    <w:p w14:paraId="1998475C" w14:textId="77777777" w:rsidR="003E1AA3" w:rsidRDefault="003E1AA3" w:rsidP="00ED704E">
      <w:pPr>
        <w:pStyle w:val="TOC3"/>
        <w:rPr>
          <w:rFonts w:asciiTheme="minorHAnsi" w:eastAsiaTheme="minorEastAsia" w:hAnsiTheme="minorHAnsi" w:cstheme="minorBidi"/>
          <w:sz w:val="22"/>
          <w:szCs w:val="22"/>
          <w:rtl/>
        </w:rPr>
      </w:pPr>
      <w:hyperlink w:anchor="_Toc145233953" w:history="1">
        <w:r w:rsidRPr="0054718A">
          <w:rPr>
            <w:rStyle w:val="Hyperlink"/>
            <w:rtl/>
          </w:rPr>
          <w:t>בי' רש"י דמותר לשבור חבית לאכול גרוגרות מדין מקלקל ובי' הרשב"א דלצורך שבת התירו</w:t>
        </w:r>
      </w:hyperlink>
    </w:p>
    <w:p w14:paraId="01F65025" w14:textId="77777777" w:rsidR="003E1AA3" w:rsidRDefault="003E1AA3" w:rsidP="00ED704E">
      <w:pPr>
        <w:pStyle w:val="TOC3"/>
        <w:rPr>
          <w:rFonts w:asciiTheme="minorHAnsi" w:eastAsiaTheme="minorEastAsia" w:hAnsiTheme="minorHAnsi" w:cstheme="minorBidi"/>
          <w:sz w:val="22"/>
          <w:szCs w:val="22"/>
          <w:rtl/>
        </w:rPr>
      </w:pPr>
      <w:hyperlink w:anchor="_Toc145233954" w:history="1">
        <w:r w:rsidRPr="0054718A">
          <w:rPr>
            <w:rStyle w:val="Hyperlink"/>
            <w:rtl/>
          </w:rPr>
          <w:t>בי' הרשב"א והר"ן ברש"י דבמגדל גדול יש סתירה דל"ה כלי והיתר חבית בקטנה דל"ה סתירה</w:t>
        </w:r>
      </w:hyperlink>
    </w:p>
    <w:p w14:paraId="616D4600" w14:textId="77777777" w:rsidR="003E1AA3" w:rsidRDefault="003E1AA3" w:rsidP="00ED704E">
      <w:pPr>
        <w:pStyle w:val="TOC3"/>
        <w:rPr>
          <w:rFonts w:asciiTheme="minorHAnsi" w:eastAsiaTheme="minorEastAsia" w:hAnsiTheme="minorHAnsi" w:cstheme="minorBidi"/>
          <w:sz w:val="22"/>
          <w:szCs w:val="22"/>
          <w:rtl/>
        </w:rPr>
      </w:pPr>
      <w:hyperlink w:anchor="_Toc145233955" w:history="1">
        <w:r w:rsidRPr="0054718A">
          <w:rPr>
            <w:rStyle w:val="Hyperlink"/>
            <w:rtl/>
          </w:rPr>
          <w:t>קו' הטל אורות דמשמע ברש"י דבאינו מקלקל יש סתירה בחבית אף דס"ל דאין בנין בכלים</w:t>
        </w:r>
      </w:hyperlink>
    </w:p>
    <w:p w14:paraId="38234E70" w14:textId="77777777" w:rsidR="003E1AA3" w:rsidRDefault="003E1AA3" w:rsidP="00ED704E">
      <w:pPr>
        <w:pStyle w:val="TOC3"/>
        <w:rPr>
          <w:rFonts w:asciiTheme="minorHAnsi" w:eastAsiaTheme="minorEastAsia" w:hAnsiTheme="minorHAnsi" w:cstheme="minorBidi"/>
          <w:sz w:val="22"/>
          <w:szCs w:val="22"/>
          <w:rtl/>
        </w:rPr>
      </w:pPr>
      <w:hyperlink w:anchor="_Toc145233956" w:history="1">
        <w:r w:rsidRPr="0054718A">
          <w:rPr>
            <w:rStyle w:val="Hyperlink"/>
            <w:rtl/>
          </w:rPr>
          <w:t>בי' הגר"א ברש"י דאין בנין בכלים ולכן הגמ' בעירובין איירי במגדל גדול ולהו"א איירי באבן</w:t>
        </w:r>
      </w:hyperlink>
    </w:p>
    <w:p w14:paraId="3D84E066" w14:textId="77777777" w:rsidR="003E1AA3" w:rsidRDefault="003E1AA3" w:rsidP="00ED704E">
      <w:pPr>
        <w:pStyle w:val="TOC3"/>
        <w:rPr>
          <w:rFonts w:asciiTheme="minorHAnsi" w:eastAsiaTheme="minorEastAsia" w:hAnsiTheme="minorHAnsi" w:cstheme="minorBidi"/>
          <w:sz w:val="22"/>
          <w:szCs w:val="22"/>
          <w:rtl/>
        </w:rPr>
      </w:pPr>
      <w:hyperlink w:anchor="_Toc145233957" w:history="1">
        <w:r w:rsidRPr="0054718A">
          <w:rPr>
            <w:rStyle w:val="Hyperlink"/>
            <w:rtl/>
          </w:rPr>
          <w:t>בי' השלה"ג ברש"י דבכלי גדול יש בנין ובקטן אין ואף בסותר ע"מ לעשות כלי פטור דלא כדרך</w:t>
        </w:r>
      </w:hyperlink>
    </w:p>
    <w:p w14:paraId="2DA18E5C" w14:textId="77777777" w:rsidR="003E1AA3" w:rsidRDefault="003E1AA3" w:rsidP="00ED704E">
      <w:pPr>
        <w:pStyle w:val="TOC3"/>
        <w:rPr>
          <w:rFonts w:asciiTheme="minorHAnsi" w:eastAsiaTheme="minorEastAsia" w:hAnsiTheme="minorHAnsi" w:cstheme="minorBidi"/>
          <w:sz w:val="22"/>
          <w:szCs w:val="22"/>
          <w:rtl/>
        </w:rPr>
      </w:pPr>
      <w:hyperlink w:anchor="_Toc145233958" w:history="1">
        <w:r w:rsidRPr="0054718A">
          <w:rPr>
            <w:rStyle w:val="Hyperlink"/>
            <w:rtl/>
          </w:rPr>
          <w:t>קו' הטל אורות על השלה"ג דמנליה דמתכוין לכלי פטור ואף אי בונה שלא כדרך חייב במכב"פ</w:t>
        </w:r>
      </w:hyperlink>
    </w:p>
    <w:p w14:paraId="29DF2914" w14:textId="77777777" w:rsidR="003E1AA3" w:rsidRDefault="003E1AA3" w:rsidP="00ED704E">
      <w:pPr>
        <w:pStyle w:val="TOC3"/>
        <w:rPr>
          <w:rFonts w:asciiTheme="minorHAnsi" w:eastAsiaTheme="minorEastAsia" w:hAnsiTheme="minorHAnsi" w:cstheme="minorBidi"/>
          <w:sz w:val="22"/>
          <w:szCs w:val="22"/>
          <w:rtl/>
        </w:rPr>
      </w:pPr>
      <w:hyperlink w:anchor="_Toc145233959" w:history="1">
        <w:r w:rsidRPr="0054718A">
          <w:rPr>
            <w:rStyle w:val="Hyperlink"/>
            <w:rtl/>
          </w:rPr>
          <w:t>בי' הר"ן בביצה דבשובר חבית בכוונה לכלי אין איסור דאו' דאי"ז דרך ולכן בלא מכוון מותר</w:t>
        </w:r>
      </w:hyperlink>
    </w:p>
    <w:p w14:paraId="7137ACF2" w14:textId="77777777" w:rsidR="003E1AA3" w:rsidRDefault="003E1AA3" w:rsidP="003E1AA3">
      <w:pPr>
        <w:pStyle w:val="TOC2"/>
        <w:rPr>
          <w:rFonts w:cstheme="minorBidi"/>
          <w:b w:val="0"/>
          <w:bCs w:val="0"/>
          <w:sz w:val="22"/>
          <w:szCs w:val="22"/>
          <w:rtl/>
        </w:rPr>
      </w:pPr>
      <w:hyperlink w:anchor="_Toc145233960" w:history="1">
        <w:r w:rsidRPr="0054718A">
          <w:rPr>
            <w:rStyle w:val="Hyperlink"/>
            <w:rtl/>
          </w:rPr>
          <w:t>התי' הא' בתוס' ובראשונים דרק בכלי גדול הוי בנין</w:t>
        </w:r>
      </w:hyperlink>
    </w:p>
    <w:p w14:paraId="7FF2A118" w14:textId="77777777" w:rsidR="003E1AA3" w:rsidRDefault="003E1AA3" w:rsidP="00ED704E">
      <w:pPr>
        <w:pStyle w:val="TOC3"/>
        <w:rPr>
          <w:rFonts w:asciiTheme="minorHAnsi" w:eastAsiaTheme="minorEastAsia" w:hAnsiTheme="minorHAnsi" w:cstheme="minorBidi"/>
          <w:sz w:val="22"/>
          <w:szCs w:val="22"/>
          <w:rtl/>
        </w:rPr>
      </w:pPr>
      <w:hyperlink w:anchor="_Toc145233961" w:history="1">
        <w:r w:rsidRPr="0054718A">
          <w:rPr>
            <w:rStyle w:val="Hyperlink"/>
            <w:rtl/>
          </w:rPr>
          <w:t>קו' התוס' דאמאי שובר חבית לאכול גרוגרות דאין סתירה בכלים ומ"ש ממגדל דאסור לסותרו</w:t>
        </w:r>
      </w:hyperlink>
    </w:p>
    <w:p w14:paraId="1A1B0630" w14:textId="77777777" w:rsidR="003E1AA3" w:rsidRDefault="003E1AA3" w:rsidP="00ED704E">
      <w:pPr>
        <w:pStyle w:val="TOC3"/>
        <w:rPr>
          <w:rFonts w:asciiTheme="minorHAnsi" w:eastAsiaTheme="minorEastAsia" w:hAnsiTheme="minorHAnsi" w:cstheme="minorBidi"/>
          <w:sz w:val="22"/>
          <w:szCs w:val="22"/>
          <w:rtl/>
        </w:rPr>
      </w:pPr>
      <w:hyperlink w:anchor="_Toc145233962" w:history="1">
        <w:r w:rsidRPr="0054718A">
          <w:rPr>
            <w:rStyle w:val="Hyperlink"/>
            <w:rtl/>
          </w:rPr>
          <w:t>התי' הא' בתוס' בעירובין וברשב"א ובריטב"א ובר"ן דבמגדל גדול יש סתירה ובכלי קטן אין</w:t>
        </w:r>
      </w:hyperlink>
    </w:p>
    <w:p w14:paraId="19C92BA4" w14:textId="77777777" w:rsidR="003E1AA3" w:rsidRDefault="003E1AA3" w:rsidP="00ED704E">
      <w:pPr>
        <w:pStyle w:val="TOC3"/>
        <w:rPr>
          <w:rFonts w:asciiTheme="minorHAnsi" w:eastAsiaTheme="minorEastAsia" w:hAnsiTheme="minorHAnsi" w:cstheme="minorBidi"/>
          <w:sz w:val="22"/>
          <w:szCs w:val="22"/>
          <w:rtl/>
        </w:rPr>
      </w:pPr>
      <w:hyperlink w:anchor="_Toc145233963" w:history="1">
        <w:r w:rsidRPr="0054718A">
          <w:rPr>
            <w:rStyle w:val="Hyperlink"/>
            <w:rtl/>
          </w:rPr>
          <w:t>בי' הריטב"א דמדהו"א דמגבן בונה כ"ש בכלי גדול כאוהל דבונה ולמסקנא אין בנין באוכלין</w:t>
        </w:r>
      </w:hyperlink>
    </w:p>
    <w:p w14:paraId="559C0200" w14:textId="77777777" w:rsidR="003E1AA3" w:rsidRDefault="003E1AA3" w:rsidP="00ED704E">
      <w:pPr>
        <w:pStyle w:val="TOC3"/>
        <w:rPr>
          <w:rFonts w:asciiTheme="minorHAnsi" w:eastAsiaTheme="minorEastAsia" w:hAnsiTheme="minorHAnsi" w:cstheme="minorBidi"/>
          <w:sz w:val="22"/>
          <w:szCs w:val="22"/>
          <w:rtl/>
        </w:rPr>
      </w:pPr>
      <w:hyperlink w:anchor="_Toc145233964" w:history="1">
        <w:r w:rsidRPr="0054718A">
          <w:rPr>
            <w:rStyle w:val="Hyperlink"/>
            <w:rtl/>
          </w:rPr>
          <w:t>דחיית הריטב"א דכלי של חוליות אין בו בנין אף בגדול ובחיבור גמור אף בשופתא דקטן הוי בנין</w:t>
        </w:r>
      </w:hyperlink>
    </w:p>
    <w:p w14:paraId="5D05A885" w14:textId="77777777" w:rsidR="003E1AA3" w:rsidRDefault="003E1AA3" w:rsidP="003E1AA3">
      <w:pPr>
        <w:pStyle w:val="TOC1"/>
        <w:rPr>
          <w:rFonts w:asciiTheme="minorHAnsi" w:hAnsiTheme="minorHAnsi" w:cstheme="minorBidi"/>
          <w:b w:val="0"/>
          <w:bCs w:val="0"/>
          <w:caps w:val="0"/>
          <w:sz w:val="22"/>
          <w:szCs w:val="22"/>
          <w:rtl/>
        </w:rPr>
      </w:pPr>
      <w:hyperlink w:anchor="_Toc145233965" w:history="1">
        <w:r w:rsidRPr="0054718A">
          <w:rPr>
            <w:rStyle w:val="Hyperlink"/>
            <w:rtl/>
          </w:rPr>
          <w:t>ד' הסוברים דבכל כלי גמור יש סתירה</w:t>
        </w:r>
      </w:hyperlink>
    </w:p>
    <w:p w14:paraId="3D1ECD15" w14:textId="2D85C58F" w:rsidR="003E1AA3" w:rsidRPr="00EC2B00" w:rsidRDefault="003E1AA3" w:rsidP="003E1AA3">
      <w:pPr>
        <w:pStyle w:val="afffffffff0"/>
      </w:pPr>
      <w:r w:rsidRPr="00E311F3">
        <w:rPr>
          <w:b/>
          <w:bCs/>
          <w:rtl/>
        </w:rPr>
        <w:fldChar w:fldCharType="begin"/>
      </w:r>
      <w:r w:rsidRPr="00E311F3">
        <w:rPr>
          <w:b/>
          <w:bCs/>
          <w:rtl/>
        </w:rPr>
        <w:instrText xml:space="preserve"> </w:instrText>
      </w:r>
      <w:r w:rsidRPr="00E311F3">
        <w:rPr>
          <w:rFonts w:hint="cs"/>
          <w:b/>
          <w:bCs/>
        </w:rPr>
        <w:instrText>REF</w:instrText>
      </w:r>
      <w:r w:rsidRPr="00E311F3">
        <w:rPr>
          <w:rFonts w:hint="cs"/>
          <w:b/>
          <w:bCs/>
          <w:rtl/>
        </w:rPr>
        <w:instrText xml:space="preserve"> _</w:instrText>
      </w:r>
      <w:r w:rsidRPr="00E311F3">
        <w:rPr>
          <w:rFonts w:hint="cs"/>
          <w:b/>
          <w:bCs/>
        </w:rPr>
        <w:instrText>Ref145187459 \r \h</w:instrText>
      </w:r>
      <w:r w:rsidRPr="00E311F3">
        <w:rPr>
          <w:b/>
          <w:bCs/>
          <w:rtl/>
        </w:rPr>
        <w:instrText xml:space="preserve">  \* </w:instrText>
      </w:r>
      <w:r w:rsidRPr="00E311F3">
        <w:rPr>
          <w:b/>
          <w:bCs/>
        </w:rPr>
        <w:instrText>MERGEFORMAT</w:instrText>
      </w:r>
      <w:r w:rsidRPr="00E311F3">
        <w:rPr>
          <w:b/>
          <w:bCs/>
          <w:rtl/>
        </w:rPr>
        <w:instrText xml:space="preserve"> </w:instrText>
      </w:r>
      <w:r w:rsidRPr="00E311F3">
        <w:rPr>
          <w:b/>
          <w:bCs/>
          <w:rtl/>
        </w:rPr>
      </w:r>
      <w:r w:rsidRPr="00E311F3">
        <w:rPr>
          <w:b/>
          <w:bCs/>
          <w:rtl/>
        </w:rPr>
        <w:fldChar w:fldCharType="separate"/>
      </w:r>
      <w:r w:rsidR="00D82181">
        <w:rPr>
          <w:b/>
          <w:bCs/>
          <w:cs/>
        </w:rPr>
        <w:t>‎</w:t>
      </w:r>
      <w:r w:rsidR="00D82181">
        <w:rPr>
          <w:b/>
          <w:bCs/>
          <w:rtl/>
        </w:rPr>
        <w:t>סד)</w:t>
      </w:r>
      <w:r w:rsidRPr="00E311F3">
        <w:rPr>
          <w:b/>
          <w:bCs/>
          <w:rtl/>
        </w:rPr>
        <w:fldChar w:fldCharType="end"/>
      </w:r>
      <w:r w:rsidRPr="00E311F3">
        <w:rPr>
          <w:rFonts w:hint="cs"/>
          <w:b/>
          <w:bCs/>
          <w:rtl/>
        </w:rPr>
        <w:t xml:space="preserve"> </w:t>
      </w:r>
      <w:r w:rsidRPr="00EC2B00">
        <w:rPr>
          <w:rFonts w:hint="cs"/>
          <w:rtl/>
        </w:rPr>
        <w:t xml:space="preserve">תוס' בעירובין בתי' הב' </w:t>
      </w:r>
      <w:r w:rsidRPr="00EC2B00">
        <w:rPr>
          <w:rStyle w:val="afffffffff3"/>
          <w:rtl/>
        </w:rPr>
        <w:t>(</w:t>
      </w:r>
      <w:r w:rsidRPr="00EC2B00">
        <w:rPr>
          <w:rStyle w:val="afffffffff3"/>
          <w:rFonts w:hint="cs"/>
          <w:rtl/>
        </w:rPr>
        <w:t>לד: ד"ה ואמאי</w:t>
      </w:r>
      <w:r w:rsidRPr="00EC2B00">
        <w:rPr>
          <w:rStyle w:val="afffffffff3"/>
          <w:rtl/>
        </w:rPr>
        <w:t>)</w:t>
      </w:r>
      <w:r w:rsidRPr="00D6711C">
        <w:rPr>
          <w:b/>
          <w:bCs/>
          <w:rtl/>
        </w:rPr>
        <w:t>,</w:t>
      </w:r>
      <w:r w:rsidRPr="00D6711C">
        <w:rPr>
          <w:rFonts w:hint="cs"/>
          <w:b/>
          <w:bCs/>
          <w:rtl/>
        </w:rPr>
        <w:t xml:space="preserve"> </w:t>
      </w:r>
      <w:r w:rsidRPr="00D6711C">
        <w:rPr>
          <w:b/>
          <w:bCs/>
          <w:rtl/>
        </w:rPr>
        <w:fldChar w:fldCharType="begin"/>
      </w:r>
      <w:r w:rsidRPr="00D6711C">
        <w:rPr>
          <w:b/>
          <w:bCs/>
          <w:rtl/>
        </w:rPr>
        <w:instrText xml:space="preserve"> </w:instrText>
      </w:r>
      <w:r w:rsidRPr="00D6711C">
        <w:rPr>
          <w:rFonts w:hint="cs"/>
          <w:b/>
          <w:bCs/>
        </w:rPr>
        <w:instrText>REF</w:instrText>
      </w:r>
      <w:r w:rsidRPr="00D6711C">
        <w:rPr>
          <w:rFonts w:hint="cs"/>
          <w:b/>
          <w:bCs/>
          <w:rtl/>
        </w:rPr>
        <w:instrText xml:space="preserve"> _</w:instrText>
      </w:r>
      <w:r w:rsidRPr="00D6711C">
        <w:rPr>
          <w:rFonts w:hint="cs"/>
          <w:b/>
          <w:bCs/>
        </w:rPr>
        <w:instrText>Ref144655080 \r \h</w:instrText>
      </w:r>
      <w:r w:rsidRPr="00D6711C">
        <w:rPr>
          <w:b/>
          <w:bCs/>
          <w:rtl/>
        </w:rPr>
        <w:instrText xml:space="preserve">  \* </w:instrText>
      </w:r>
      <w:r w:rsidRPr="00D6711C">
        <w:rPr>
          <w:b/>
          <w:bCs/>
        </w:rPr>
        <w:instrText>MERGEFORMAT</w:instrText>
      </w:r>
      <w:r w:rsidRPr="00D6711C">
        <w:rPr>
          <w:b/>
          <w:bCs/>
          <w:rtl/>
        </w:rPr>
        <w:instrText xml:space="preserve"> </w:instrText>
      </w:r>
      <w:r w:rsidRPr="00D6711C">
        <w:rPr>
          <w:b/>
          <w:bCs/>
          <w:rtl/>
        </w:rPr>
      </w:r>
      <w:r w:rsidRPr="00D6711C">
        <w:rPr>
          <w:b/>
          <w:bCs/>
          <w:rtl/>
        </w:rPr>
        <w:fldChar w:fldCharType="separate"/>
      </w:r>
      <w:r w:rsidR="00D82181">
        <w:rPr>
          <w:b/>
          <w:bCs/>
          <w:cs/>
        </w:rPr>
        <w:t>‎</w:t>
      </w:r>
      <w:r w:rsidR="00D82181">
        <w:rPr>
          <w:b/>
          <w:bCs/>
          <w:rtl/>
        </w:rPr>
        <w:t>סה)</w:t>
      </w:r>
      <w:r w:rsidRPr="00D6711C">
        <w:rPr>
          <w:b/>
          <w:bCs/>
          <w:rtl/>
        </w:rPr>
        <w:fldChar w:fldCharType="end"/>
      </w:r>
      <w:r w:rsidRPr="00EC2B00">
        <w:rPr>
          <w:rFonts w:hint="cs"/>
          <w:b/>
          <w:bCs/>
          <w:rtl/>
        </w:rPr>
        <w:t xml:space="preserve"> </w:t>
      </w:r>
      <w:r w:rsidRPr="00EC2B00">
        <w:rPr>
          <w:rFonts w:hint="cs"/>
          <w:rtl/>
        </w:rPr>
        <w:t>תוס' לקמן</w:t>
      </w:r>
      <w:r w:rsidRPr="00EC2B00">
        <w:rPr>
          <w:rtl/>
        </w:rPr>
        <w:t xml:space="preserve"> </w:t>
      </w:r>
      <w:r w:rsidRPr="00EC2B00">
        <w:rPr>
          <w:rStyle w:val="afffffffff3"/>
          <w:rtl/>
        </w:rPr>
        <w:t>(</w:t>
      </w:r>
      <w:r w:rsidRPr="00EC2B00">
        <w:rPr>
          <w:rStyle w:val="afffffffff3"/>
          <w:rFonts w:hint="cs"/>
          <w:rtl/>
        </w:rPr>
        <w:t>קמו. ד"ה שובר</w:t>
      </w:r>
      <w:r w:rsidRPr="00EC2B00">
        <w:rPr>
          <w:rStyle w:val="afffffffff3"/>
          <w:rtl/>
        </w:rPr>
        <w:t>)</w:t>
      </w:r>
      <w:r>
        <w:rPr>
          <w:rtl/>
        </w:rPr>
        <w:t xml:space="preserve"> </w:t>
      </w:r>
      <w:r w:rsidRPr="00EC2B00">
        <w:rPr>
          <w:rFonts w:hint="cs"/>
          <w:rtl/>
        </w:rPr>
        <w:t xml:space="preserve">רשב"א בעירובין </w:t>
      </w:r>
      <w:r w:rsidRPr="00EC2B00">
        <w:rPr>
          <w:rStyle w:val="afffffffff3"/>
          <w:rtl/>
        </w:rPr>
        <w:t>(</w:t>
      </w:r>
      <w:r w:rsidRPr="00EC2B00">
        <w:rPr>
          <w:rStyle w:val="afffffffff3"/>
          <w:rFonts w:hint="cs"/>
          <w:rtl/>
        </w:rPr>
        <w:t>לד: ד"ה הכא</w:t>
      </w:r>
      <w:r w:rsidRPr="00EC2B00">
        <w:rPr>
          <w:rStyle w:val="afffffffff3"/>
          <w:rtl/>
        </w:rPr>
        <w:t>)</w:t>
      </w:r>
      <w:r>
        <w:rPr>
          <w:rtl/>
        </w:rPr>
        <w:t xml:space="preserve"> </w:t>
      </w:r>
      <w:r w:rsidRPr="00EC2B00">
        <w:rPr>
          <w:rFonts w:hint="cs"/>
          <w:rtl/>
        </w:rPr>
        <w:t>ריטב"א בעירובין</w:t>
      </w:r>
      <w:r w:rsidRPr="00EC2B00">
        <w:rPr>
          <w:rtl/>
        </w:rPr>
        <w:t xml:space="preserve"> </w:t>
      </w:r>
      <w:r w:rsidRPr="00EC2B00">
        <w:rPr>
          <w:rStyle w:val="afffffffff3"/>
          <w:rtl/>
        </w:rPr>
        <w:t>(</w:t>
      </w:r>
      <w:r w:rsidRPr="00EC2B00">
        <w:rPr>
          <w:rStyle w:val="afffffffff3"/>
          <w:rFonts w:hint="cs"/>
          <w:rtl/>
        </w:rPr>
        <w:t>לה. ד"ה ואיכא</w:t>
      </w:r>
      <w:r w:rsidRPr="00EC2B00">
        <w:rPr>
          <w:rStyle w:val="afffffffff3"/>
          <w:rtl/>
        </w:rPr>
        <w:t>)</w:t>
      </w:r>
      <w:r w:rsidRPr="00EC2B00">
        <w:rPr>
          <w:rFonts w:hint="cs"/>
          <w:rtl/>
        </w:rPr>
        <w:t xml:space="preserve"> בשם</w:t>
      </w:r>
      <w:r w:rsidRPr="00EC2B00">
        <w:rPr>
          <w:rtl/>
        </w:rPr>
        <w:t xml:space="preserve"> </w:t>
      </w:r>
      <w:r w:rsidRPr="00EC2B00">
        <w:rPr>
          <w:rFonts w:hint="cs"/>
          <w:rtl/>
        </w:rPr>
        <w:t>ר"י</w:t>
      </w:r>
      <w:r>
        <w:rPr>
          <w:rtl/>
        </w:rPr>
        <w:t xml:space="preserve"> </w:t>
      </w:r>
      <w:r w:rsidRPr="003C24C3">
        <w:rPr>
          <w:rFonts w:hint="cs"/>
          <w:rtl/>
        </w:rPr>
        <w:t>רשב"א לקמן</w:t>
      </w:r>
      <w:r w:rsidRPr="00EC2B00">
        <w:rPr>
          <w:rtl/>
        </w:rPr>
        <w:t xml:space="preserve"> </w:t>
      </w:r>
      <w:r w:rsidRPr="00EC2B00">
        <w:rPr>
          <w:rStyle w:val="afffffffff3"/>
          <w:rtl/>
        </w:rPr>
        <w:t>(</w:t>
      </w:r>
      <w:r w:rsidRPr="00EC2B00">
        <w:rPr>
          <w:rStyle w:val="afffffffff3"/>
          <w:rFonts w:hint="cs"/>
          <w:rtl/>
        </w:rPr>
        <w:t>קמו. ד"ה ואף</w:t>
      </w:r>
      <w:r w:rsidRPr="00EC2B00">
        <w:rPr>
          <w:rStyle w:val="afffffffff3"/>
          <w:rtl/>
        </w:rPr>
        <w:t>)</w:t>
      </w:r>
      <w:r w:rsidRPr="00D6711C">
        <w:rPr>
          <w:b/>
          <w:bCs/>
          <w:rtl/>
        </w:rPr>
        <w:t>,</w:t>
      </w:r>
      <w:r w:rsidRPr="00D6711C">
        <w:rPr>
          <w:rFonts w:hint="cs"/>
          <w:b/>
          <w:bCs/>
          <w:rtl/>
        </w:rPr>
        <w:t xml:space="preserve"> </w:t>
      </w:r>
      <w:r w:rsidRPr="00D6711C">
        <w:rPr>
          <w:b/>
          <w:bCs/>
          <w:rtl/>
        </w:rPr>
        <w:fldChar w:fldCharType="begin"/>
      </w:r>
      <w:r w:rsidRPr="00D6711C">
        <w:rPr>
          <w:b/>
          <w:bCs/>
          <w:rtl/>
        </w:rPr>
        <w:instrText xml:space="preserve"> </w:instrText>
      </w:r>
      <w:r w:rsidRPr="00D6711C">
        <w:rPr>
          <w:rFonts w:hint="cs"/>
          <w:b/>
          <w:bCs/>
        </w:rPr>
        <w:instrText>REF</w:instrText>
      </w:r>
      <w:r w:rsidRPr="00D6711C">
        <w:rPr>
          <w:rFonts w:hint="cs"/>
          <w:b/>
          <w:bCs/>
          <w:rtl/>
        </w:rPr>
        <w:instrText xml:space="preserve"> _</w:instrText>
      </w:r>
      <w:r w:rsidRPr="00D6711C">
        <w:rPr>
          <w:rFonts w:hint="cs"/>
          <w:b/>
          <w:bCs/>
        </w:rPr>
        <w:instrText>Ref144654706 \r \h</w:instrText>
      </w:r>
      <w:r w:rsidRPr="00D6711C">
        <w:rPr>
          <w:b/>
          <w:bCs/>
          <w:rtl/>
        </w:rPr>
        <w:instrText xml:space="preserve">  \* </w:instrText>
      </w:r>
      <w:r w:rsidRPr="00D6711C">
        <w:rPr>
          <w:b/>
          <w:bCs/>
        </w:rPr>
        <w:instrText>MERGEFORMAT</w:instrText>
      </w:r>
      <w:r w:rsidRPr="00D6711C">
        <w:rPr>
          <w:b/>
          <w:bCs/>
          <w:rtl/>
        </w:rPr>
        <w:instrText xml:space="preserve"> </w:instrText>
      </w:r>
      <w:r w:rsidRPr="00D6711C">
        <w:rPr>
          <w:b/>
          <w:bCs/>
          <w:rtl/>
        </w:rPr>
      </w:r>
      <w:r w:rsidRPr="00D6711C">
        <w:rPr>
          <w:b/>
          <w:bCs/>
          <w:rtl/>
        </w:rPr>
        <w:fldChar w:fldCharType="separate"/>
      </w:r>
      <w:r w:rsidR="00D82181">
        <w:rPr>
          <w:b/>
          <w:bCs/>
          <w:cs/>
        </w:rPr>
        <w:t>‎</w:t>
      </w:r>
      <w:r w:rsidR="00D82181">
        <w:rPr>
          <w:b/>
          <w:bCs/>
          <w:rtl/>
        </w:rPr>
        <w:t>סו)</w:t>
      </w:r>
      <w:r w:rsidRPr="00D6711C">
        <w:rPr>
          <w:b/>
          <w:bCs/>
          <w:rtl/>
        </w:rPr>
        <w:fldChar w:fldCharType="end"/>
      </w:r>
      <w:r>
        <w:rPr>
          <w:rFonts w:hint="cs"/>
          <w:b/>
          <w:bCs/>
          <w:rtl/>
        </w:rPr>
        <w:t xml:space="preserve"> </w:t>
      </w:r>
      <w:r w:rsidRPr="00EC2B00">
        <w:rPr>
          <w:rFonts w:hint="cs"/>
          <w:rtl/>
        </w:rPr>
        <w:t>תוס' הרא"ש בעירובין</w:t>
      </w:r>
      <w:r w:rsidRPr="00EC2B00">
        <w:rPr>
          <w:rtl/>
        </w:rPr>
        <w:t xml:space="preserve"> </w:t>
      </w:r>
      <w:r w:rsidRPr="00EC2B00">
        <w:rPr>
          <w:rStyle w:val="afffffffff3"/>
          <w:rtl/>
        </w:rPr>
        <w:t>(</w:t>
      </w:r>
      <w:r w:rsidRPr="00EC2B00">
        <w:rPr>
          <w:rStyle w:val="afffffffff3"/>
          <w:rFonts w:hint="cs"/>
          <w:rtl/>
        </w:rPr>
        <w:t>לד: ד"ה הכא</w:t>
      </w:r>
      <w:r w:rsidRPr="00EC2B00">
        <w:rPr>
          <w:rStyle w:val="afffffffff3"/>
          <w:rtl/>
        </w:rPr>
        <w:t>)</w:t>
      </w:r>
      <w:r>
        <w:rPr>
          <w:rtl/>
        </w:rPr>
        <w:t xml:space="preserve"> </w:t>
      </w:r>
      <w:r w:rsidRPr="00EC2B00">
        <w:rPr>
          <w:rFonts w:hint="cs"/>
          <w:rtl/>
        </w:rPr>
        <w:t xml:space="preserve">תוס' רבינו פרץ בעירובין </w:t>
      </w:r>
      <w:r w:rsidRPr="00EC2B00">
        <w:rPr>
          <w:rStyle w:val="afffffffff3"/>
          <w:rtl/>
        </w:rPr>
        <w:t>(</w:t>
      </w:r>
      <w:r w:rsidRPr="00EC2B00">
        <w:rPr>
          <w:rStyle w:val="afffffffff3"/>
          <w:rFonts w:hint="cs"/>
          <w:rtl/>
        </w:rPr>
        <w:t>לד: סוד"ה הכא</w:t>
      </w:r>
      <w:r w:rsidRPr="00EC2B00">
        <w:rPr>
          <w:rStyle w:val="afffffffff3"/>
          <w:rtl/>
        </w:rPr>
        <w:t>)</w:t>
      </w:r>
      <w:r w:rsidRPr="00D6711C">
        <w:rPr>
          <w:b/>
          <w:bCs/>
          <w:rtl/>
        </w:rPr>
        <w:t xml:space="preserve">, </w:t>
      </w:r>
      <w:r w:rsidRPr="00D6711C">
        <w:rPr>
          <w:b/>
          <w:bCs/>
          <w:rtl/>
        </w:rPr>
        <w:fldChar w:fldCharType="begin"/>
      </w:r>
      <w:r w:rsidRPr="00D6711C">
        <w:rPr>
          <w:b/>
          <w:bCs/>
          <w:rtl/>
        </w:rPr>
        <w:instrText xml:space="preserve"> </w:instrText>
      </w:r>
      <w:r w:rsidRPr="00D6711C">
        <w:rPr>
          <w:b/>
          <w:bCs/>
        </w:rPr>
        <w:instrText>REF</w:instrText>
      </w:r>
      <w:r w:rsidRPr="00D6711C">
        <w:rPr>
          <w:b/>
          <w:bCs/>
          <w:rtl/>
        </w:rPr>
        <w:instrText xml:space="preserve"> _</w:instrText>
      </w:r>
      <w:r w:rsidRPr="00D6711C">
        <w:rPr>
          <w:b/>
          <w:bCs/>
        </w:rPr>
        <w:instrText>Ref144714943 \r \h</w:instrText>
      </w:r>
      <w:r w:rsidRPr="00D6711C">
        <w:rPr>
          <w:b/>
          <w:bCs/>
          <w:rtl/>
        </w:rPr>
        <w:instrText xml:space="preserve">  \* </w:instrText>
      </w:r>
      <w:r w:rsidRPr="00D6711C">
        <w:rPr>
          <w:b/>
          <w:bCs/>
        </w:rPr>
        <w:instrText>MERGEFORMAT</w:instrText>
      </w:r>
      <w:r w:rsidRPr="00D6711C">
        <w:rPr>
          <w:b/>
          <w:bCs/>
          <w:rtl/>
        </w:rPr>
        <w:instrText xml:space="preserve"> </w:instrText>
      </w:r>
      <w:r w:rsidRPr="00D6711C">
        <w:rPr>
          <w:b/>
          <w:bCs/>
          <w:rtl/>
        </w:rPr>
      </w:r>
      <w:r w:rsidRPr="00D6711C">
        <w:rPr>
          <w:b/>
          <w:bCs/>
          <w:rtl/>
        </w:rPr>
        <w:fldChar w:fldCharType="separate"/>
      </w:r>
      <w:r w:rsidR="00D82181">
        <w:rPr>
          <w:b/>
          <w:bCs/>
          <w:cs/>
        </w:rPr>
        <w:t>‎</w:t>
      </w:r>
      <w:r w:rsidR="00D82181">
        <w:rPr>
          <w:b/>
          <w:bCs/>
          <w:rtl/>
        </w:rPr>
        <w:t>סח)</w:t>
      </w:r>
      <w:r w:rsidRPr="00D6711C">
        <w:rPr>
          <w:b/>
          <w:bCs/>
          <w:rtl/>
        </w:rPr>
        <w:fldChar w:fldCharType="end"/>
      </w:r>
      <w:r w:rsidRPr="00EC2B00">
        <w:rPr>
          <w:b/>
          <w:bCs/>
          <w:rtl/>
        </w:rPr>
        <w:t xml:space="preserve"> </w:t>
      </w:r>
      <w:r w:rsidRPr="00EC2B00">
        <w:rPr>
          <w:rFonts w:hint="cs"/>
          <w:rtl/>
        </w:rPr>
        <w:t>ב"י</w:t>
      </w:r>
      <w:r w:rsidRPr="00EC2B00">
        <w:rPr>
          <w:rtl/>
        </w:rPr>
        <w:t xml:space="preserve"> </w:t>
      </w:r>
      <w:r w:rsidRPr="00EC2B00">
        <w:rPr>
          <w:rStyle w:val="afffffffff3"/>
          <w:rtl/>
        </w:rPr>
        <w:t>(</w:t>
      </w:r>
      <w:r w:rsidRPr="00EC2B00">
        <w:rPr>
          <w:rStyle w:val="afffffffff3"/>
          <w:rFonts w:hint="cs"/>
          <w:rtl/>
        </w:rPr>
        <w:t>סי' שי"ד א' ד"ה והר"ן</w:t>
      </w:r>
      <w:r w:rsidRPr="00EC2B00">
        <w:rPr>
          <w:rStyle w:val="afffffffff3"/>
          <w:rtl/>
        </w:rPr>
        <w:t>)</w:t>
      </w:r>
      <w:r w:rsidRPr="00D6711C">
        <w:rPr>
          <w:b/>
          <w:bCs/>
          <w:rtl/>
        </w:rPr>
        <w:t>,</w:t>
      </w:r>
      <w:r w:rsidRPr="00D6711C">
        <w:rPr>
          <w:rFonts w:hint="cs"/>
          <w:b/>
          <w:bCs/>
          <w:rtl/>
        </w:rPr>
        <w:t xml:space="preserve"> </w:t>
      </w:r>
      <w:r w:rsidRPr="00D6711C">
        <w:rPr>
          <w:b/>
          <w:bCs/>
          <w:rtl/>
        </w:rPr>
        <w:fldChar w:fldCharType="begin"/>
      </w:r>
      <w:r w:rsidRPr="00D6711C">
        <w:rPr>
          <w:b/>
          <w:bCs/>
          <w:rtl/>
        </w:rPr>
        <w:instrText xml:space="preserve"> </w:instrText>
      </w:r>
      <w:r w:rsidRPr="00D6711C">
        <w:rPr>
          <w:rFonts w:hint="cs"/>
          <w:b/>
          <w:bCs/>
        </w:rPr>
        <w:instrText>REF</w:instrText>
      </w:r>
      <w:r w:rsidRPr="00D6711C">
        <w:rPr>
          <w:rFonts w:hint="cs"/>
          <w:b/>
          <w:bCs/>
          <w:rtl/>
        </w:rPr>
        <w:instrText xml:space="preserve"> _</w:instrText>
      </w:r>
      <w:r w:rsidRPr="00D6711C">
        <w:rPr>
          <w:rFonts w:hint="cs"/>
          <w:b/>
          <w:bCs/>
        </w:rPr>
        <w:instrText>Ref145190641 \r \h</w:instrText>
      </w:r>
      <w:r w:rsidRPr="00D6711C">
        <w:rPr>
          <w:b/>
          <w:bCs/>
          <w:rtl/>
        </w:rPr>
        <w:instrText xml:space="preserve">  \* </w:instrText>
      </w:r>
      <w:r w:rsidRPr="00D6711C">
        <w:rPr>
          <w:b/>
          <w:bCs/>
        </w:rPr>
        <w:instrText>MERGEFORMAT</w:instrText>
      </w:r>
      <w:r w:rsidRPr="00D6711C">
        <w:rPr>
          <w:b/>
          <w:bCs/>
          <w:rtl/>
        </w:rPr>
        <w:instrText xml:space="preserve"> </w:instrText>
      </w:r>
      <w:r w:rsidRPr="00D6711C">
        <w:rPr>
          <w:b/>
          <w:bCs/>
          <w:rtl/>
        </w:rPr>
      </w:r>
      <w:r w:rsidRPr="00D6711C">
        <w:rPr>
          <w:b/>
          <w:bCs/>
          <w:rtl/>
        </w:rPr>
        <w:fldChar w:fldCharType="separate"/>
      </w:r>
      <w:r w:rsidR="00D82181">
        <w:rPr>
          <w:b/>
          <w:bCs/>
          <w:cs/>
        </w:rPr>
        <w:t>‎</w:t>
      </w:r>
      <w:r w:rsidR="00D82181">
        <w:rPr>
          <w:b/>
          <w:bCs/>
          <w:rtl/>
        </w:rPr>
        <w:t>סט)</w:t>
      </w:r>
      <w:r w:rsidRPr="00D6711C">
        <w:rPr>
          <w:b/>
          <w:bCs/>
          <w:rtl/>
        </w:rPr>
        <w:fldChar w:fldCharType="end"/>
      </w:r>
      <w:r w:rsidRPr="00EC2B00">
        <w:rPr>
          <w:rFonts w:hint="cs"/>
          <w:b/>
          <w:bCs/>
          <w:rtl/>
        </w:rPr>
        <w:t xml:space="preserve"> </w:t>
      </w:r>
      <w:r w:rsidRPr="00EC2B00">
        <w:rPr>
          <w:rFonts w:hint="cs"/>
          <w:rtl/>
        </w:rPr>
        <w:t>אגרות משה</w:t>
      </w:r>
      <w:r w:rsidRPr="00EC2B00">
        <w:rPr>
          <w:rtl/>
        </w:rPr>
        <w:t xml:space="preserve"> </w:t>
      </w:r>
      <w:r w:rsidRPr="00EC2B00">
        <w:rPr>
          <w:rStyle w:val="afffffffff3"/>
          <w:rtl/>
        </w:rPr>
        <w:t>(</w:t>
      </w:r>
      <w:r w:rsidRPr="00EC2B00">
        <w:rPr>
          <w:rStyle w:val="afffffffff3"/>
          <w:rFonts w:hint="cs"/>
          <w:rtl/>
        </w:rPr>
        <w:t xml:space="preserve">או"ח ח"א סי' קכ"ב ענף ה' ד"ה </w:t>
      </w:r>
      <w:r w:rsidRPr="00EC2B00">
        <w:rPr>
          <w:rStyle w:val="afffffffff3"/>
          <w:rtl/>
        </w:rPr>
        <w:t>והנכון לע"ד)</w:t>
      </w:r>
      <w:r w:rsidRPr="00D6711C">
        <w:rPr>
          <w:b/>
          <w:bCs/>
          <w:rtl/>
        </w:rPr>
        <w:t>,</w:t>
      </w:r>
      <w:r w:rsidRPr="00D6711C">
        <w:rPr>
          <w:rFonts w:hint="cs"/>
          <w:b/>
          <w:bCs/>
          <w:rtl/>
        </w:rPr>
        <w:t xml:space="preserve"> </w:t>
      </w:r>
      <w:r w:rsidRPr="00D6711C">
        <w:rPr>
          <w:b/>
          <w:bCs/>
          <w:rtl/>
        </w:rPr>
        <w:fldChar w:fldCharType="begin"/>
      </w:r>
      <w:r w:rsidRPr="00D6711C">
        <w:rPr>
          <w:b/>
          <w:bCs/>
          <w:rtl/>
        </w:rPr>
        <w:instrText xml:space="preserve"> </w:instrText>
      </w:r>
      <w:r w:rsidRPr="00D6711C">
        <w:rPr>
          <w:rFonts w:hint="cs"/>
          <w:b/>
          <w:bCs/>
        </w:rPr>
        <w:instrText>REF</w:instrText>
      </w:r>
      <w:r w:rsidRPr="00D6711C">
        <w:rPr>
          <w:rFonts w:hint="cs"/>
          <w:b/>
          <w:bCs/>
          <w:rtl/>
        </w:rPr>
        <w:instrText xml:space="preserve"> _</w:instrText>
      </w:r>
      <w:r w:rsidRPr="00D6711C">
        <w:rPr>
          <w:rFonts w:hint="cs"/>
          <w:b/>
          <w:bCs/>
        </w:rPr>
        <w:instrText>Ref145189104 \r \h</w:instrText>
      </w:r>
      <w:r w:rsidRPr="00D6711C">
        <w:rPr>
          <w:b/>
          <w:bCs/>
          <w:rtl/>
        </w:rPr>
        <w:instrText xml:space="preserve">  \* </w:instrText>
      </w:r>
      <w:r w:rsidRPr="00D6711C">
        <w:rPr>
          <w:b/>
          <w:bCs/>
        </w:rPr>
        <w:instrText>MERGEFORMAT</w:instrText>
      </w:r>
      <w:r w:rsidRPr="00D6711C">
        <w:rPr>
          <w:b/>
          <w:bCs/>
          <w:rtl/>
        </w:rPr>
        <w:instrText xml:space="preserve"> </w:instrText>
      </w:r>
      <w:r w:rsidRPr="00D6711C">
        <w:rPr>
          <w:b/>
          <w:bCs/>
          <w:rtl/>
        </w:rPr>
      </w:r>
      <w:r w:rsidRPr="00D6711C">
        <w:rPr>
          <w:b/>
          <w:bCs/>
          <w:rtl/>
        </w:rPr>
        <w:fldChar w:fldCharType="separate"/>
      </w:r>
      <w:r w:rsidR="00D82181">
        <w:rPr>
          <w:b/>
          <w:bCs/>
          <w:cs/>
        </w:rPr>
        <w:t>‎</w:t>
      </w:r>
      <w:r w:rsidR="00D82181">
        <w:rPr>
          <w:b/>
          <w:bCs/>
          <w:rtl/>
        </w:rPr>
        <w:t>ע)</w:t>
      </w:r>
      <w:r w:rsidRPr="00D6711C">
        <w:rPr>
          <w:b/>
          <w:bCs/>
          <w:rtl/>
        </w:rPr>
        <w:fldChar w:fldCharType="end"/>
      </w:r>
      <w:r w:rsidRPr="00EC2B00">
        <w:rPr>
          <w:rFonts w:hint="cs"/>
          <w:b/>
          <w:bCs/>
          <w:rtl/>
        </w:rPr>
        <w:t xml:space="preserve"> </w:t>
      </w:r>
      <w:r w:rsidRPr="00EC2B00">
        <w:rPr>
          <w:rFonts w:hint="cs"/>
          <w:rtl/>
        </w:rPr>
        <w:t>מהר"ם קזיס</w:t>
      </w:r>
      <w:r w:rsidRPr="00EC2B00">
        <w:rPr>
          <w:rtl/>
        </w:rPr>
        <w:t xml:space="preserve"> </w:t>
      </w:r>
      <w:r w:rsidRPr="00EC2B00">
        <w:rPr>
          <w:rStyle w:val="afffffffff3"/>
          <w:rtl/>
        </w:rPr>
        <w:t>(</w:t>
      </w:r>
      <w:r w:rsidRPr="00EC2B00">
        <w:rPr>
          <w:rStyle w:val="afffffffff3"/>
          <w:rFonts w:hint="cs"/>
          <w:rtl/>
        </w:rPr>
        <w:t>ריש פרק חבית סוד"ה ולבאר דין זה</w:t>
      </w:r>
      <w:r w:rsidRPr="00EC2B00">
        <w:rPr>
          <w:rStyle w:val="afffffffff3"/>
          <w:rtl/>
        </w:rPr>
        <w:t>)</w:t>
      </w:r>
      <w:r w:rsidRPr="00D6711C">
        <w:rPr>
          <w:b/>
          <w:bCs/>
          <w:rtl/>
        </w:rPr>
        <w:t xml:space="preserve">, </w:t>
      </w:r>
      <w:r w:rsidRPr="00D6711C">
        <w:rPr>
          <w:b/>
          <w:bCs/>
          <w:rtl/>
        </w:rPr>
        <w:fldChar w:fldCharType="begin"/>
      </w:r>
      <w:r w:rsidRPr="00D6711C">
        <w:rPr>
          <w:b/>
          <w:bCs/>
          <w:rtl/>
        </w:rPr>
        <w:instrText xml:space="preserve"> </w:instrText>
      </w:r>
      <w:r w:rsidRPr="00D6711C">
        <w:rPr>
          <w:b/>
          <w:bCs/>
        </w:rPr>
        <w:instrText>REF</w:instrText>
      </w:r>
      <w:r w:rsidRPr="00D6711C">
        <w:rPr>
          <w:b/>
          <w:bCs/>
          <w:rtl/>
        </w:rPr>
        <w:instrText xml:space="preserve"> _</w:instrText>
      </w:r>
      <w:r w:rsidRPr="00D6711C">
        <w:rPr>
          <w:b/>
          <w:bCs/>
        </w:rPr>
        <w:instrText>Ref144719798 \r \h</w:instrText>
      </w:r>
      <w:r w:rsidRPr="00D6711C">
        <w:rPr>
          <w:b/>
          <w:bCs/>
          <w:rtl/>
        </w:rPr>
        <w:instrText xml:space="preserve">  \* </w:instrText>
      </w:r>
      <w:r w:rsidRPr="00D6711C">
        <w:rPr>
          <w:b/>
          <w:bCs/>
        </w:rPr>
        <w:instrText>MERGEFORMAT</w:instrText>
      </w:r>
      <w:r w:rsidRPr="00D6711C">
        <w:rPr>
          <w:b/>
          <w:bCs/>
          <w:rtl/>
        </w:rPr>
        <w:instrText xml:space="preserve"> </w:instrText>
      </w:r>
      <w:r w:rsidRPr="00D6711C">
        <w:rPr>
          <w:b/>
          <w:bCs/>
          <w:rtl/>
        </w:rPr>
      </w:r>
      <w:r w:rsidRPr="00D6711C">
        <w:rPr>
          <w:b/>
          <w:bCs/>
          <w:rtl/>
        </w:rPr>
        <w:fldChar w:fldCharType="separate"/>
      </w:r>
      <w:r w:rsidR="00D82181">
        <w:rPr>
          <w:b/>
          <w:bCs/>
          <w:cs/>
        </w:rPr>
        <w:t>‎</w:t>
      </w:r>
      <w:r w:rsidR="00D82181">
        <w:rPr>
          <w:b/>
          <w:bCs/>
          <w:rtl/>
        </w:rPr>
        <w:t>עא)</w:t>
      </w:r>
      <w:r w:rsidRPr="00D6711C">
        <w:rPr>
          <w:b/>
          <w:bCs/>
          <w:rtl/>
        </w:rPr>
        <w:fldChar w:fldCharType="end"/>
      </w:r>
      <w:r w:rsidRPr="00EC2B00">
        <w:rPr>
          <w:b/>
          <w:bCs/>
          <w:rtl/>
        </w:rPr>
        <w:t xml:space="preserve"> </w:t>
      </w:r>
      <w:r w:rsidRPr="00EC2B00">
        <w:rPr>
          <w:rFonts w:hint="cs"/>
          <w:rtl/>
        </w:rPr>
        <w:t>תהלה לדוד</w:t>
      </w:r>
      <w:r w:rsidRPr="00EC2B00">
        <w:rPr>
          <w:rtl/>
        </w:rPr>
        <w:t xml:space="preserve"> </w:t>
      </w:r>
      <w:r w:rsidRPr="00EC2B00">
        <w:rPr>
          <w:rStyle w:val="afffffffff3"/>
          <w:rtl/>
        </w:rPr>
        <w:t>(</w:t>
      </w:r>
      <w:r w:rsidRPr="00EC2B00">
        <w:rPr>
          <w:rStyle w:val="afffffffff3"/>
          <w:rFonts w:hint="cs"/>
          <w:rtl/>
        </w:rPr>
        <w:t>סי' שי"ד סק"א</w:t>
      </w:r>
      <w:r w:rsidRPr="00EC2B00">
        <w:rPr>
          <w:rStyle w:val="afffffffff3"/>
          <w:rtl/>
        </w:rPr>
        <w:t>)</w:t>
      </w:r>
      <w:r>
        <w:rPr>
          <w:rtl/>
        </w:rPr>
        <w:t xml:space="preserve"> </w:t>
      </w:r>
      <w:r w:rsidRPr="00EC2B00">
        <w:rPr>
          <w:rFonts w:hint="cs"/>
          <w:rtl/>
        </w:rPr>
        <w:t>רמב"ם</w:t>
      </w:r>
      <w:r w:rsidRPr="00EC2B00">
        <w:rPr>
          <w:rtl/>
        </w:rPr>
        <w:t xml:space="preserve"> </w:t>
      </w:r>
      <w:r w:rsidRPr="00EC2B00">
        <w:rPr>
          <w:rStyle w:val="afffffffff3"/>
          <w:rtl/>
        </w:rPr>
        <w:t>(</w:t>
      </w:r>
      <w:r w:rsidRPr="00EC2B00">
        <w:rPr>
          <w:rStyle w:val="afffffffff3"/>
          <w:rFonts w:hint="cs"/>
          <w:rtl/>
        </w:rPr>
        <w:t>שבת פ"י הט"ו</w:t>
      </w:r>
      <w:r w:rsidRPr="00EC2B00">
        <w:rPr>
          <w:rStyle w:val="afffffffff3"/>
          <w:rtl/>
        </w:rPr>
        <w:t>)</w:t>
      </w:r>
      <w:r w:rsidRPr="00D6711C">
        <w:rPr>
          <w:b/>
          <w:bCs/>
          <w:rtl/>
        </w:rPr>
        <w:t xml:space="preserve">, </w:t>
      </w:r>
      <w:r w:rsidRPr="00D6711C">
        <w:rPr>
          <w:b/>
          <w:bCs/>
          <w:rtl/>
        </w:rPr>
        <w:fldChar w:fldCharType="begin"/>
      </w:r>
      <w:r w:rsidRPr="00D6711C">
        <w:rPr>
          <w:b/>
          <w:bCs/>
          <w:rtl/>
        </w:rPr>
        <w:instrText xml:space="preserve"> </w:instrText>
      </w:r>
      <w:r w:rsidRPr="00D6711C">
        <w:rPr>
          <w:b/>
          <w:bCs/>
        </w:rPr>
        <w:instrText>REF</w:instrText>
      </w:r>
      <w:r w:rsidRPr="00D6711C">
        <w:rPr>
          <w:b/>
          <w:bCs/>
          <w:rtl/>
        </w:rPr>
        <w:instrText xml:space="preserve"> _</w:instrText>
      </w:r>
      <w:r w:rsidRPr="00D6711C">
        <w:rPr>
          <w:b/>
          <w:bCs/>
        </w:rPr>
        <w:instrText>Ref144722387 \r \h</w:instrText>
      </w:r>
      <w:r w:rsidRPr="00D6711C">
        <w:rPr>
          <w:b/>
          <w:bCs/>
          <w:rtl/>
        </w:rPr>
        <w:instrText xml:space="preserve">  \* </w:instrText>
      </w:r>
      <w:r w:rsidRPr="00D6711C">
        <w:rPr>
          <w:b/>
          <w:bCs/>
        </w:rPr>
        <w:instrText>MERGEFORMAT</w:instrText>
      </w:r>
      <w:r w:rsidRPr="00D6711C">
        <w:rPr>
          <w:b/>
          <w:bCs/>
          <w:rtl/>
        </w:rPr>
        <w:instrText xml:space="preserve"> </w:instrText>
      </w:r>
      <w:r w:rsidRPr="00D6711C">
        <w:rPr>
          <w:b/>
          <w:bCs/>
          <w:rtl/>
        </w:rPr>
      </w:r>
      <w:r w:rsidRPr="00D6711C">
        <w:rPr>
          <w:b/>
          <w:bCs/>
          <w:rtl/>
        </w:rPr>
        <w:fldChar w:fldCharType="separate"/>
      </w:r>
      <w:r w:rsidR="00D82181">
        <w:rPr>
          <w:b/>
          <w:bCs/>
          <w:cs/>
        </w:rPr>
        <w:t>‎</w:t>
      </w:r>
      <w:r w:rsidR="00D82181">
        <w:rPr>
          <w:b/>
          <w:bCs/>
          <w:rtl/>
        </w:rPr>
        <w:t>עד)</w:t>
      </w:r>
      <w:r w:rsidRPr="00D6711C">
        <w:rPr>
          <w:b/>
          <w:bCs/>
          <w:rtl/>
        </w:rPr>
        <w:fldChar w:fldCharType="end"/>
      </w:r>
      <w:r w:rsidRPr="00EC2B00">
        <w:rPr>
          <w:b/>
          <w:bCs/>
          <w:rtl/>
        </w:rPr>
        <w:t xml:space="preserve"> </w:t>
      </w:r>
      <w:r w:rsidRPr="00EC2B00">
        <w:rPr>
          <w:rFonts w:hint="cs"/>
          <w:rtl/>
        </w:rPr>
        <w:t>לבוש</w:t>
      </w:r>
      <w:r w:rsidRPr="00EC2B00">
        <w:rPr>
          <w:rtl/>
        </w:rPr>
        <w:t xml:space="preserve"> </w:t>
      </w:r>
      <w:r w:rsidRPr="00EC2B00">
        <w:rPr>
          <w:rStyle w:val="afffffffff3"/>
          <w:rtl/>
        </w:rPr>
        <w:t>(</w:t>
      </w:r>
      <w:r w:rsidRPr="00EC2B00">
        <w:rPr>
          <w:rStyle w:val="afffffffff3"/>
          <w:rFonts w:hint="cs"/>
          <w:rtl/>
        </w:rPr>
        <w:t>סי' שי"ד א'</w:t>
      </w:r>
      <w:r w:rsidRPr="00EC2B00">
        <w:rPr>
          <w:rStyle w:val="afffffffff3"/>
          <w:rtl/>
        </w:rPr>
        <w:t>)</w:t>
      </w:r>
      <w:r w:rsidRPr="00D6711C">
        <w:rPr>
          <w:b/>
          <w:bCs/>
          <w:rtl/>
        </w:rPr>
        <w:t xml:space="preserve">, </w:t>
      </w:r>
      <w:r w:rsidRPr="00D6711C">
        <w:rPr>
          <w:b/>
          <w:bCs/>
          <w:rtl/>
        </w:rPr>
        <w:fldChar w:fldCharType="begin"/>
      </w:r>
      <w:r w:rsidRPr="00D6711C">
        <w:rPr>
          <w:b/>
          <w:bCs/>
          <w:rtl/>
        </w:rPr>
        <w:instrText xml:space="preserve"> </w:instrText>
      </w:r>
      <w:r w:rsidRPr="00D6711C">
        <w:rPr>
          <w:b/>
          <w:bCs/>
        </w:rPr>
        <w:instrText>REF</w:instrText>
      </w:r>
      <w:r w:rsidRPr="00D6711C">
        <w:rPr>
          <w:b/>
          <w:bCs/>
          <w:rtl/>
        </w:rPr>
        <w:instrText xml:space="preserve"> _</w:instrText>
      </w:r>
      <w:r w:rsidRPr="00D6711C">
        <w:rPr>
          <w:b/>
          <w:bCs/>
        </w:rPr>
        <w:instrText>Ref144721012 \r \h</w:instrText>
      </w:r>
      <w:r w:rsidRPr="00D6711C">
        <w:rPr>
          <w:b/>
          <w:bCs/>
          <w:rtl/>
        </w:rPr>
        <w:instrText xml:space="preserve">  \* </w:instrText>
      </w:r>
      <w:r w:rsidRPr="00D6711C">
        <w:rPr>
          <w:b/>
          <w:bCs/>
        </w:rPr>
        <w:instrText>MERGEFORMAT</w:instrText>
      </w:r>
      <w:r w:rsidRPr="00D6711C">
        <w:rPr>
          <w:b/>
          <w:bCs/>
          <w:rtl/>
        </w:rPr>
        <w:instrText xml:space="preserve"> </w:instrText>
      </w:r>
      <w:r w:rsidRPr="00D6711C">
        <w:rPr>
          <w:b/>
          <w:bCs/>
          <w:rtl/>
        </w:rPr>
      </w:r>
      <w:r w:rsidRPr="00D6711C">
        <w:rPr>
          <w:b/>
          <w:bCs/>
          <w:rtl/>
        </w:rPr>
        <w:fldChar w:fldCharType="separate"/>
      </w:r>
      <w:r w:rsidR="00D82181">
        <w:rPr>
          <w:b/>
          <w:bCs/>
          <w:cs/>
        </w:rPr>
        <w:t>‎</w:t>
      </w:r>
      <w:r w:rsidR="00D82181">
        <w:rPr>
          <w:b/>
          <w:bCs/>
          <w:rtl/>
        </w:rPr>
        <w:t>עו)</w:t>
      </w:r>
      <w:r w:rsidRPr="00D6711C">
        <w:rPr>
          <w:b/>
          <w:bCs/>
          <w:rtl/>
        </w:rPr>
        <w:fldChar w:fldCharType="end"/>
      </w:r>
      <w:r w:rsidRPr="00EC2B00">
        <w:rPr>
          <w:b/>
          <w:bCs/>
          <w:rtl/>
        </w:rPr>
        <w:t xml:space="preserve"> </w:t>
      </w:r>
      <w:r w:rsidRPr="00EC2B00">
        <w:rPr>
          <w:rFonts w:hint="cs"/>
          <w:rtl/>
        </w:rPr>
        <w:t>פרמ"ג</w:t>
      </w:r>
      <w:r w:rsidRPr="00EC2B00">
        <w:rPr>
          <w:rtl/>
        </w:rPr>
        <w:t xml:space="preserve"> </w:t>
      </w:r>
      <w:r w:rsidRPr="00EC2B00">
        <w:rPr>
          <w:rStyle w:val="afffffffff3"/>
          <w:rtl/>
        </w:rPr>
        <w:t>(</w:t>
      </w:r>
      <w:r w:rsidRPr="00EC2B00">
        <w:rPr>
          <w:rStyle w:val="afffffffff3"/>
          <w:rFonts w:hint="cs"/>
          <w:rtl/>
        </w:rPr>
        <w:t>סי' שי"ד משב"ז סק"א ד"ה ואגב גררא</w:t>
      </w:r>
      <w:r w:rsidRPr="00EC2B00">
        <w:rPr>
          <w:rStyle w:val="afffffffff3"/>
          <w:rtl/>
        </w:rPr>
        <w:t>)</w:t>
      </w:r>
      <w:r>
        <w:rPr>
          <w:rtl/>
        </w:rPr>
        <w:t xml:space="preserve"> </w:t>
      </w:r>
      <w:r w:rsidRPr="00EC2B00">
        <w:rPr>
          <w:rFonts w:hint="cs"/>
          <w:rtl/>
        </w:rPr>
        <w:t>אבני נזר</w:t>
      </w:r>
      <w:r w:rsidRPr="00EC2B00">
        <w:rPr>
          <w:rtl/>
        </w:rPr>
        <w:t xml:space="preserve"> </w:t>
      </w:r>
      <w:r w:rsidRPr="00EC2B00">
        <w:rPr>
          <w:rStyle w:val="afffffffff3"/>
          <w:rtl/>
        </w:rPr>
        <w:t>(</w:t>
      </w:r>
      <w:r w:rsidRPr="00EC2B00">
        <w:rPr>
          <w:rStyle w:val="afffffffff3"/>
          <w:rFonts w:hint="cs"/>
          <w:rtl/>
        </w:rPr>
        <w:t>סי' רי"ב ג'</w:t>
      </w:r>
      <w:r w:rsidRPr="00EC2B00">
        <w:rPr>
          <w:rStyle w:val="afffffffff3"/>
          <w:rtl/>
        </w:rPr>
        <w:t>)</w:t>
      </w:r>
      <w:r>
        <w:rPr>
          <w:rtl/>
        </w:rPr>
        <w:t xml:space="preserve"> </w:t>
      </w:r>
      <w:r w:rsidRPr="00EC2B00">
        <w:rPr>
          <w:rFonts w:hint="cs"/>
          <w:rtl/>
        </w:rPr>
        <w:t>אגרות משה</w:t>
      </w:r>
      <w:r w:rsidRPr="00EC2B00">
        <w:rPr>
          <w:rtl/>
        </w:rPr>
        <w:t xml:space="preserve"> </w:t>
      </w:r>
      <w:r w:rsidRPr="00EC2B00">
        <w:rPr>
          <w:rStyle w:val="afffffffff3"/>
          <w:rtl/>
        </w:rPr>
        <w:t>(</w:t>
      </w:r>
      <w:r w:rsidRPr="00EC2B00">
        <w:rPr>
          <w:rStyle w:val="afffffffff3"/>
          <w:rFonts w:hint="cs"/>
          <w:rtl/>
        </w:rPr>
        <w:t>או"ח ח"א סי' קכ"ב ענף א' ד"ה הנה בשבת</w:t>
      </w:r>
      <w:r w:rsidRPr="00EC2B00">
        <w:rPr>
          <w:rStyle w:val="afffffffff3"/>
          <w:rtl/>
        </w:rPr>
        <w:t>)</w:t>
      </w:r>
      <w:r w:rsidRPr="00D6711C">
        <w:rPr>
          <w:b/>
          <w:bCs/>
          <w:rtl/>
        </w:rPr>
        <w:t xml:space="preserve">, </w:t>
      </w:r>
      <w:r w:rsidRPr="00D6711C">
        <w:rPr>
          <w:b/>
          <w:bCs/>
          <w:rtl/>
        </w:rPr>
        <w:fldChar w:fldCharType="begin"/>
      </w:r>
      <w:r w:rsidRPr="00D6711C">
        <w:rPr>
          <w:b/>
          <w:bCs/>
          <w:rtl/>
        </w:rPr>
        <w:instrText xml:space="preserve"> </w:instrText>
      </w:r>
      <w:r w:rsidRPr="00D6711C">
        <w:rPr>
          <w:b/>
          <w:bCs/>
        </w:rPr>
        <w:instrText>REF</w:instrText>
      </w:r>
      <w:r w:rsidRPr="00D6711C">
        <w:rPr>
          <w:b/>
          <w:bCs/>
          <w:rtl/>
        </w:rPr>
        <w:instrText xml:space="preserve"> _</w:instrText>
      </w:r>
      <w:r w:rsidRPr="00D6711C">
        <w:rPr>
          <w:b/>
          <w:bCs/>
        </w:rPr>
        <w:instrText>Ref144723791 \r \h</w:instrText>
      </w:r>
      <w:r w:rsidRPr="00D6711C">
        <w:rPr>
          <w:b/>
          <w:bCs/>
          <w:rtl/>
        </w:rPr>
        <w:instrText xml:space="preserve">  \* </w:instrText>
      </w:r>
      <w:r w:rsidRPr="00D6711C">
        <w:rPr>
          <w:b/>
          <w:bCs/>
        </w:rPr>
        <w:instrText>MERGEFORMAT</w:instrText>
      </w:r>
      <w:r w:rsidRPr="00D6711C">
        <w:rPr>
          <w:b/>
          <w:bCs/>
          <w:rtl/>
        </w:rPr>
        <w:instrText xml:space="preserve"> </w:instrText>
      </w:r>
      <w:r w:rsidRPr="00D6711C">
        <w:rPr>
          <w:b/>
          <w:bCs/>
          <w:rtl/>
        </w:rPr>
      </w:r>
      <w:r w:rsidRPr="00D6711C">
        <w:rPr>
          <w:b/>
          <w:bCs/>
          <w:rtl/>
        </w:rPr>
        <w:fldChar w:fldCharType="separate"/>
      </w:r>
      <w:r w:rsidR="00D82181">
        <w:rPr>
          <w:b/>
          <w:bCs/>
          <w:cs/>
        </w:rPr>
        <w:t>‎</w:t>
      </w:r>
      <w:r w:rsidR="00D82181">
        <w:rPr>
          <w:b/>
          <w:bCs/>
          <w:rtl/>
        </w:rPr>
        <w:t>עז)</w:t>
      </w:r>
      <w:r w:rsidRPr="00D6711C">
        <w:rPr>
          <w:b/>
          <w:bCs/>
          <w:rtl/>
        </w:rPr>
        <w:fldChar w:fldCharType="end"/>
      </w:r>
      <w:r w:rsidRPr="00EC2B00">
        <w:rPr>
          <w:b/>
          <w:bCs/>
          <w:rtl/>
        </w:rPr>
        <w:t xml:space="preserve"> </w:t>
      </w:r>
      <w:r w:rsidRPr="00EC2B00">
        <w:rPr>
          <w:rFonts w:hint="cs"/>
          <w:rtl/>
        </w:rPr>
        <w:t>פרמ"ג</w:t>
      </w:r>
      <w:r w:rsidRPr="00EC2B00">
        <w:rPr>
          <w:rtl/>
        </w:rPr>
        <w:t xml:space="preserve"> </w:t>
      </w:r>
      <w:r w:rsidRPr="00EC2B00">
        <w:rPr>
          <w:rStyle w:val="afffffffff3"/>
          <w:rtl/>
        </w:rPr>
        <w:t>(</w:t>
      </w:r>
      <w:r w:rsidRPr="00EC2B00">
        <w:rPr>
          <w:rStyle w:val="afffffffff3"/>
          <w:rFonts w:hint="cs"/>
          <w:rtl/>
        </w:rPr>
        <w:t>סי' שי"ד משב"ז סק"א ד"ה והנה בלבוש</w:t>
      </w:r>
      <w:r w:rsidRPr="00EC2B00">
        <w:rPr>
          <w:rStyle w:val="afffffffff3"/>
          <w:rtl/>
        </w:rPr>
        <w:t>)</w:t>
      </w:r>
      <w:r w:rsidRPr="00D6711C">
        <w:rPr>
          <w:b/>
          <w:bCs/>
          <w:rtl/>
        </w:rPr>
        <w:t>,</w:t>
      </w:r>
      <w:r w:rsidRPr="00D6711C">
        <w:rPr>
          <w:rFonts w:hint="cs"/>
          <w:b/>
          <w:bCs/>
          <w:rtl/>
        </w:rPr>
        <w:t xml:space="preserve"> </w:t>
      </w:r>
      <w:r w:rsidRPr="00D6711C">
        <w:rPr>
          <w:b/>
          <w:bCs/>
          <w:rtl/>
        </w:rPr>
        <w:fldChar w:fldCharType="begin"/>
      </w:r>
      <w:r w:rsidRPr="00D6711C">
        <w:rPr>
          <w:b/>
          <w:bCs/>
          <w:rtl/>
        </w:rPr>
        <w:instrText xml:space="preserve"> </w:instrText>
      </w:r>
      <w:r w:rsidRPr="00D6711C">
        <w:rPr>
          <w:rFonts w:hint="cs"/>
          <w:b/>
          <w:bCs/>
        </w:rPr>
        <w:instrText>REF</w:instrText>
      </w:r>
      <w:r w:rsidRPr="00D6711C">
        <w:rPr>
          <w:rFonts w:hint="cs"/>
          <w:b/>
          <w:bCs/>
          <w:rtl/>
        </w:rPr>
        <w:instrText xml:space="preserve"> _</w:instrText>
      </w:r>
      <w:r w:rsidRPr="00D6711C">
        <w:rPr>
          <w:rFonts w:hint="cs"/>
          <w:b/>
          <w:bCs/>
        </w:rPr>
        <w:instrText>Ref144826841 \r \h</w:instrText>
      </w:r>
      <w:r w:rsidRPr="00D6711C">
        <w:rPr>
          <w:b/>
          <w:bCs/>
          <w:rtl/>
        </w:rPr>
        <w:instrText xml:space="preserve">  \* </w:instrText>
      </w:r>
      <w:r w:rsidRPr="00D6711C">
        <w:rPr>
          <w:b/>
          <w:bCs/>
        </w:rPr>
        <w:instrText>MERGEFORMAT</w:instrText>
      </w:r>
      <w:r w:rsidRPr="00D6711C">
        <w:rPr>
          <w:b/>
          <w:bCs/>
          <w:rtl/>
        </w:rPr>
        <w:instrText xml:space="preserve"> </w:instrText>
      </w:r>
      <w:r w:rsidRPr="00D6711C">
        <w:rPr>
          <w:b/>
          <w:bCs/>
          <w:rtl/>
        </w:rPr>
      </w:r>
      <w:r w:rsidRPr="00D6711C">
        <w:rPr>
          <w:b/>
          <w:bCs/>
          <w:rtl/>
        </w:rPr>
        <w:fldChar w:fldCharType="separate"/>
      </w:r>
      <w:r w:rsidR="00D82181">
        <w:rPr>
          <w:b/>
          <w:bCs/>
          <w:cs/>
        </w:rPr>
        <w:t>‎</w:t>
      </w:r>
      <w:r w:rsidR="00D82181">
        <w:rPr>
          <w:b/>
          <w:bCs/>
          <w:rtl/>
        </w:rPr>
        <w:t>עח)</w:t>
      </w:r>
      <w:r w:rsidRPr="00D6711C">
        <w:rPr>
          <w:b/>
          <w:bCs/>
          <w:rtl/>
        </w:rPr>
        <w:fldChar w:fldCharType="end"/>
      </w:r>
      <w:r w:rsidRPr="00EC2B00">
        <w:rPr>
          <w:rFonts w:hint="cs"/>
          <w:b/>
          <w:bCs/>
          <w:rtl/>
        </w:rPr>
        <w:t xml:space="preserve"> </w:t>
      </w:r>
      <w:r w:rsidRPr="00EC2B00">
        <w:rPr>
          <w:rFonts w:hint="cs"/>
          <w:rtl/>
        </w:rPr>
        <w:t>אגרות משה</w:t>
      </w:r>
      <w:r w:rsidRPr="00EC2B00">
        <w:rPr>
          <w:rtl/>
        </w:rPr>
        <w:t xml:space="preserve"> </w:t>
      </w:r>
      <w:r w:rsidRPr="00EC2B00">
        <w:rPr>
          <w:rStyle w:val="afffffffff3"/>
          <w:rtl/>
        </w:rPr>
        <w:t>(</w:t>
      </w:r>
      <w:r w:rsidRPr="00EC2B00">
        <w:rPr>
          <w:rStyle w:val="afffffffff3"/>
          <w:rFonts w:hint="cs"/>
          <w:rtl/>
        </w:rPr>
        <w:t xml:space="preserve">או"ח ח"א סי' קכ"ב ענף ה' ד"ה </w:t>
      </w:r>
      <w:r w:rsidRPr="00EC2B00">
        <w:rPr>
          <w:rStyle w:val="afffffffff3"/>
          <w:rtl/>
        </w:rPr>
        <w:t>והנכון לע"ד)</w:t>
      </w:r>
      <w:r w:rsidRPr="00D6711C">
        <w:rPr>
          <w:b/>
          <w:bCs/>
          <w:rtl/>
        </w:rPr>
        <w:t xml:space="preserve">, </w:t>
      </w:r>
      <w:r w:rsidRPr="00D6711C">
        <w:rPr>
          <w:b/>
          <w:bCs/>
          <w:rtl/>
        </w:rPr>
        <w:fldChar w:fldCharType="begin"/>
      </w:r>
      <w:r w:rsidRPr="00D6711C">
        <w:rPr>
          <w:b/>
          <w:bCs/>
          <w:rtl/>
        </w:rPr>
        <w:instrText xml:space="preserve"> </w:instrText>
      </w:r>
      <w:r w:rsidRPr="00D6711C">
        <w:rPr>
          <w:b/>
          <w:bCs/>
        </w:rPr>
        <w:instrText>REF</w:instrText>
      </w:r>
      <w:r w:rsidRPr="00D6711C">
        <w:rPr>
          <w:b/>
          <w:bCs/>
          <w:rtl/>
        </w:rPr>
        <w:instrText xml:space="preserve"> _</w:instrText>
      </w:r>
      <w:r w:rsidRPr="00D6711C">
        <w:rPr>
          <w:b/>
          <w:bCs/>
        </w:rPr>
        <w:instrText>Ref144830592 \r \h</w:instrText>
      </w:r>
      <w:r w:rsidRPr="00D6711C">
        <w:rPr>
          <w:b/>
          <w:bCs/>
          <w:rtl/>
        </w:rPr>
        <w:instrText xml:space="preserve">  \* </w:instrText>
      </w:r>
      <w:r w:rsidRPr="00D6711C">
        <w:rPr>
          <w:b/>
          <w:bCs/>
        </w:rPr>
        <w:instrText>MERGEFORMAT</w:instrText>
      </w:r>
      <w:r w:rsidRPr="00D6711C">
        <w:rPr>
          <w:b/>
          <w:bCs/>
          <w:rtl/>
        </w:rPr>
        <w:instrText xml:space="preserve"> </w:instrText>
      </w:r>
      <w:r w:rsidRPr="00D6711C">
        <w:rPr>
          <w:b/>
          <w:bCs/>
          <w:rtl/>
        </w:rPr>
      </w:r>
      <w:r w:rsidRPr="00D6711C">
        <w:rPr>
          <w:b/>
          <w:bCs/>
          <w:rtl/>
        </w:rPr>
        <w:fldChar w:fldCharType="separate"/>
      </w:r>
      <w:r w:rsidR="00D82181">
        <w:rPr>
          <w:b/>
          <w:bCs/>
          <w:cs/>
        </w:rPr>
        <w:t>‎</w:t>
      </w:r>
      <w:r w:rsidR="00D82181">
        <w:rPr>
          <w:b/>
          <w:bCs/>
          <w:rtl/>
        </w:rPr>
        <w:t>פא)</w:t>
      </w:r>
      <w:r w:rsidRPr="00D6711C">
        <w:rPr>
          <w:b/>
          <w:bCs/>
          <w:rtl/>
        </w:rPr>
        <w:fldChar w:fldCharType="end"/>
      </w:r>
      <w:r w:rsidRPr="00EC2B00">
        <w:rPr>
          <w:b/>
          <w:bCs/>
          <w:rtl/>
        </w:rPr>
        <w:t xml:space="preserve"> </w:t>
      </w:r>
      <w:r w:rsidRPr="00EC2B00">
        <w:rPr>
          <w:rFonts w:hint="cs"/>
          <w:rtl/>
        </w:rPr>
        <w:t>אגרות משה</w:t>
      </w:r>
      <w:r w:rsidRPr="00EC2B00">
        <w:rPr>
          <w:rtl/>
        </w:rPr>
        <w:t xml:space="preserve"> </w:t>
      </w:r>
      <w:r w:rsidRPr="00EC2B00">
        <w:rPr>
          <w:rStyle w:val="afffffffff3"/>
          <w:rtl/>
        </w:rPr>
        <w:t>(</w:t>
      </w:r>
      <w:r w:rsidRPr="00EC2B00">
        <w:rPr>
          <w:rStyle w:val="afffffffff3"/>
          <w:rFonts w:hint="cs"/>
          <w:rtl/>
        </w:rPr>
        <w:t>או"ח ח"א סי' קכ"ב ענף ה' ד"ה ולפ"ז הוא</w:t>
      </w:r>
      <w:r w:rsidRPr="00EC2B00">
        <w:rPr>
          <w:rStyle w:val="afffffffff3"/>
          <w:rtl/>
        </w:rPr>
        <w:t>)</w:t>
      </w:r>
      <w:r w:rsidRPr="00D6711C">
        <w:rPr>
          <w:b/>
          <w:bCs/>
          <w:rtl/>
        </w:rPr>
        <w:t xml:space="preserve">, </w:t>
      </w:r>
      <w:r w:rsidRPr="00D6711C">
        <w:rPr>
          <w:b/>
          <w:bCs/>
          <w:rtl/>
        </w:rPr>
        <w:fldChar w:fldCharType="begin"/>
      </w:r>
      <w:r w:rsidRPr="00D6711C">
        <w:rPr>
          <w:b/>
          <w:bCs/>
          <w:rtl/>
        </w:rPr>
        <w:instrText xml:space="preserve"> </w:instrText>
      </w:r>
      <w:r w:rsidRPr="00D6711C">
        <w:rPr>
          <w:b/>
          <w:bCs/>
        </w:rPr>
        <w:instrText>REF</w:instrText>
      </w:r>
      <w:r w:rsidRPr="00D6711C">
        <w:rPr>
          <w:b/>
          <w:bCs/>
          <w:rtl/>
        </w:rPr>
        <w:instrText xml:space="preserve"> _</w:instrText>
      </w:r>
      <w:r w:rsidRPr="00D6711C">
        <w:rPr>
          <w:b/>
          <w:bCs/>
        </w:rPr>
        <w:instrText>Ref144830299 \r \h</w:instrText>
      </w:r>
      <w:r w:rsidRPr="00D6711C">
        <w:rPr>
          <w:b/>
          <w:bCs/>
          <w:rtl/>
        </w:rPr>
        <w:instrText xml:space="preserve">  \* </w:instrText>
      </w:r>
      <w:r w:rsidRPr="00D6711C">
        <w:rPr>
          <w:b/>
          <w:bCs/>
        </w:rPr>
        <w:instrText>MERGEFORMAT</w:instrText>
      </w:r>
      <w:r w:rsidRPr="00D6711C">
        <w:rPr>
          <w:b/>
          <w:bCs/>
          <w:rtl/>
        </w:rPr>
        <w:instrText xml:space="preserve"> </w:instrText>
      </w:r>
      <w:r w:rsidRPr="00D6711C">
        <w:rPr>
          <w:b/>
          <w:bCs/>
          <w:rtl/>
        </w:rPr>
      </w:r>
      <w:r w:rsidRPr="00D6711C">
        <w:rPr>
          <w:b/>
          <w:bCs/>
          <w:rtl/>
        </w:rPr>
        <w:fldChar w:fldCharType="separate"/>
      </w:r>
      <w:r w:rsidR="00D82181">
        <w:rPr>
          <w:b/>
          <w:bCs/>
          <w:cs/>
        </w:rPr>
        <w:t>‎</w:t>
      </w:r>
      <w:r w:rsidR="00D82181">
        <w:rPr>
          <w:b/>
          <w:bCs/>
          <w:rtl/>
        </w:rPr>
        <w:t>פג)</w:t>
      </w:r>
      <w:r w:rsidRPr="00D6711C">
        <w:rPr>
          <w:b/>
          <w:bCs/>
          <w:rtl/>
        </w:rPr>
        <w:fldChar w:fldCharType="end"/>
      </w:r>
      <w:r w:rsidRPr="00EC2B00">
        <w:rPr>
          <w:b/>
          <w:bCs/>
          <w:rtl/>
        </w:rPr>
        <w:t xml:space="preserve"> </w:t>
      </w:r>
      <w:r w:rsidRPr="00EC2B00">
        <w:rPr>
          <w:rFonts w:hint="cs"/>
          <w:rtl/>
        </w:rPr>
        <w:t>חזו"א</w:t>
      </w:r>
      <w:r w:rsidRPr="00EC2B00">
        <w:rPr>
          <w:rtl/>
        </w:rPr>
        <w:t xml:space="preserve"> </w:t>
      </w:r>
      <w:r w:rsidRPr="00EC2B00">
        <w:rPr>
          <w:rStyle w:val="afffffffff3"/>
          <w:rtl/>
        </w:rPr>
        <w:t>(</w:t>
      </w:r>
      <w:r w:rsidRPr="00EC2B00">
        <w:rPr>
          <w:rStyle w:val="afffffffff3"/>
          <w:rFonts w:hint="cs"/>
          <w:rtl/>
        </w:rPr>
        <w:t>סי' נ"א סק"א</w:t>
      </w:r>
      <w:r w:rsidRPr="00EC2B00">
        <w:rPr>
          <w:rStyle w:val="afffffffff3"/>
          <w:rtl/>
        </w:rPr>
        <w:t>)</w:t>
      </w:r>
      <w:r w:rsidRPr="00D6711C">
        <w:rPr>
          <w:b/>
          <w:bCs/>
          <w:rtl/>
        </w:rPr>
        <w:t xml:space="preserve">, </w:t>
      </w:r>
      <w:r w:rsidRPr="00D6711C">
        <w:rPr>
          <w:b/>
          <w:bCs/>
          <w:rtl/>
        </w:rPr>
        <w:fldChar w:fldCharType="begin"/>
      </w:r>
      <w:r w:rsidRPr="00D6711C">
        <w:rPr>
          <w:b/>
          <w:bCs/>
          <w:rtl/>
        </w:rPr>
        <w:instrText xml:space="preserve"> </w:instrText>
      </w:r>
      <w:r w:rsidRPr="00D6711C">
        <w:rPr>
          <w:b/>
          <w:bCs/>
        </w:rPr>
        <w:instrText>REF</w:instrText>
      </w:r>
      <w:r w:rsidRPr="00D6711C">
        <w:rPr>
          <w:b/>
          <w:bCs/>
          <w:rtl/>
        </w:rPr>
        <w:instrText xml:space="preserve"> _</w:instrText>
      </w:r>
      <w:r w:rsidRPr="00D6711C">
        <w:rPr>
          <w:b/>
          <w:bCs/>
        </w:rPr>
        <w:instrText>Ref144454330 \r \h</w:instrText>
      </w:r>
      <w:r w:rsidRPr="00D6711C">
        <w:rPr>
          <w:b/>
          <w:bCs/>
          <w:rtl/>
        </w:rPr>
        <w:instrText xml:space="preserve">  \* </w:instrText>
      </w:r>
      <w:r w:rsidRPr="00D6711C">
        <w:rPr>
          <w:b/>
          <w:bCs/>
        </w:rPr>
        <w:instrText>MERGEFORMAT</w:instrText>
      </w:r>
      <w:r w:rsidRPr="00D6711C">
        <w:rPr>
          <w:b/>
          <w:bCs/>
          <w:rtl/>
        </w:rPr>
        <w:instrText xml:space="preserve"> </w:instrText>
      </w:r>
      <w:r w:rsidRPr="00D6711C">
        <w:rPr>
          <w:b/>
          <w:bCs/>
          <w:rtl/>
        </w:rPr>
      </w:r>
      <w:r w:rsidRPr="00D6711C">
        <w:rPr>
          <w:b/>
          <w:bCs/>
          <w:rtl/>
        </w:rPr>
        <w:fldChar w:fldCharType="separate"/>
      </w:r>
      <w:r w:rsidR="00D82181">
        <w:rPr>
          <w:b/>
          <w:bCs/>
          <w:cs/>
        </w:rPr>
        <w:t>‎</w:t>
      </w:r>
      <w:r w:rsidR="00D82181">
        <w:rPr>
          <w:b/>
          <w:bCs/>
          <w:rtl/>
        </w:rPr>
        <w:t>פד)</w:t>
      </w:r>
      <w:r w:rsidRPr="00D6711C">
        <w:rPr>
          <w:b/>
          <w:bCs/>
          <w:rtl/>
        </w:rPr>
        <w:fldChar w:fldCharType="end"/>
      </w:r>
      <w:r w:rsidRPr="00EC2B00">
        <w:rPr>
          <w:b/>
          <w:bCs/>
          <w:rtl/>
        </w:rPr>
        <w:t xml:space="preserve"> </w:t>
      </w:r>
      <w:r w:rsidRPr="00EC2B00">
        <w:rPr>
          <w:rFonts w:hint="cs"/>
          <w:rtl/>
        </w:rPr>
        <w:t>רא"ש בעירובין</w:t>
      </w:r>
      <w:r w:rsidRPr="00EC2B00">
        <w:rPr>
          <w:rtl/>
        </w:rPr>
        <w:t xml:space="preserve"> </w:t>
      </w:r>
      <w:r w:rsidRPr="00EC2B00">
        <w:rPr>
          <w:rStyle w:val="afffffffff3"/>
          <w:rtl/>
        </w:rPr>
        <w:t>(</w:t>
      </w:r>
      <w:r w:rsidRPr="00EC2B00">
        <w:rPr>
          <w:rStyle w:val="afffffffff3"/>
          <w:rFonts w:hint="cs"/>
          <w:rtl/>
        </w:rPr>
        <w:t>פ"ג סי' ה'</w:t>
      </w:r>
      <w:r w:rsidRPr="00EC2B00">
        <w:rPr>
          <w:rStyle w:val="afffffffff3"/>
          <w:rtl/>
        </w:rPr>
        <w:t>)</w:t>
      </w:r>
      <w:r>
        <w:rPr>
          <w:rtl/>
        </w:rPr>
        <w:t xml:space="preserve"> </w:t>
      </w:r>
      <w:r w:rsidRPr="00E311F3">
        <w:rPr>
          <w:rFonts w:hint="cs"/>
          <w:rtl/>
        </w:rPr>
        <w:t>אגרות</w:t>
      </w:r>
      <w:r w:rsidRPr="00EC2B00">
        <w:rPr>
          <w:rStyle w:val="aff9"/>
          <w:rFonts w:ascii="David" w:eastAsiaTheme="minorEastAsia" w:hAnsi="David" w:cs="David" w:hint="cs"/>
          <w:i/>
          <w:iCs/>
          <w:rtl/>
        </w:rPr>
        <w:t xml:space="preserve"> </w:t>
      </w:r>
      <w:r w:rsidRPr="00E311F3">
        <w:rPr>
          <w:rFonts w:hint="cs"/>
          <w:rtl/>
        </w:rPr>
        <w:t>משה</w:t>
      </w:r>
      <w:r w:rsidRPr="00EC2B00">
        <w:rPr>
          <w:rStyle w:val="af"/>
          <w:rFonts w:ascii="David" w:eastAsiaTheme="minorEastAsia" w:hAnsi="David" w:cs="David"/>
          <w:bCs/>
          <w:sz w:val="16"/>
          <w:szCs w:val="16"/>
          <w:rtl/>
        </w:rPr>
        <w:t xml:space="preserve"> </w:t>
      </w:r>
      <w:r w:rsidRPr="00EC2B00">
        <w:rPr>
          <w:rStyle w:val="afffffffff3"/>
          <w:rtl/>
        </w:rPr>
        <w:t>(</w:t>
      </w:r>
      <w:r w:rsidRPr="00EC2B00">
        <w:rPr>
          <w:rStyle w:val="afffffffff3"/>
          <w:rFonts w:hint="cs"/>
          <w:rtl/>
        </w:rPr>
        <w:t>או"ח ח"א סי' קכ"ב ענף ד' ד"ה אבל התוס'</w:t>
      </w:r>
      <w:r w:rsidRPr="00EC2B00">
        <w:rPr>
          <w:rStyle w:val="afffffffff3"/>
          <w:rtl/>
        </w:rPr>
        <w:t>)</w:t>
      </w:r>
      <w:r w:rsidRPr="00D6711C">
        <w:rPr>
          <w:b/>
          <w:bCs/>
          <w:rtl/>
        </w:rPr>
        <w:t xml:space="preserve">, </w:t>
      </w:r>
      <w:r w:rsidRPr="00D6711C">
        <w:rPr>
          <w:b/>
          <w:bCs/>
          <w:rtl/>
        </w:rPr>
        <w:fldChar w:fldCharType="begin"/>
      </w:r>
      <w:r w:rsidRPr="00D6711C">
        <w:rPr>
          <w:b/>
          <w:bCs/>
          <w:rtl/>
        </w:rPr>
        <w:instrText xml:space="preserve"> </w:instrText>
      </w:r>
      <w:r w:rsidRPr="00D6711C">
        <w:rPr>
          <w:b/>
          <w:bCs/>
        </w:rPr>
        <w:instrText>REF</w:instrText>
      </w:r>
      <w:r w:rsidRPr="00D6711C">
        <w:rPr>
          <w:b/>
          <w:bCs/>
          <w:rtl/>
        </w:rPr>
        <w:instrText xml:space="preserve"> _</w:instrText>
      </w:r>
      <w:r w:rsidRPr="00D6711C">
        <w:rPr>
          <w:b/>
          <w:bCs/>
        </w:rPr>
        <w:instrText>Ref144742015 \r \h</w:instrText>
      </w:r>
      <w:r w:rsidRPr="00D6711C">
        <w:rPr>
          <w:b/>
          <w:bCs/>
          <w:rtl/>
        </w:rPr>
        <w:instrText xml:space="preserve">  \* </w:instrText>
      </w:r>
      <w:r w:rsidRPr="00D6711C">
        <w:rPr>
          <w:b/>
          <w:bCs/>
        </w:rPr>
        <w:instrText>MERGEFORMAT</w:instrText>
      </w:r>
      <w:r w:rsidRPr="00D6711C">
        <w:rPr>
          <w:b/>
          <w:bCs/>
          <w:rtl/>
        </w:rPr>
        <w:instrText xml:space="preserve"> </w:instrText>
      </w:r>
      <w:r w:rsidRPr="00D6711C">
        <w:rPr>
          <w:b/>
          <w:bCs/>
          <w:rtl/>
        </w:rPr>
      </w:r>
      <w:r w:rsidRPr="00D6711C">
        <w:rPr>
          <w:b/>
          <w:bCs/>
          <w:rtl/>
        </w:rPr>
        <w:fldChar w:fldCharType="separate"/>
      </w:r>
      <w:r w:rsidR="00D82181">
        <w:rPr>
          <w:b/>
          <w:bCs/>
          <w:cs/>
        </w:rPr>
        <w:t>‎</w:t>
      </w:r>
      <w:r w:rsidR="00D82181">
        <w:rPr>
          <w:b/>
          <w:bCs/>
          <w:rtl/>
        </w:rPr>
        <w:t>פו)</w:t>
      </w:r>
      <w:r w:rsidRPr="00D6711C">
        <w:rPr>
          <w:b/>
          <w:bCs/>
          <w:rtl/>
        </w:rPr>
        <w:fldChar w:fldCharType="end"/>
      </w:r>
      <w:r w:rsidRPr="00EC2B00">
        <w:rPr>
          <w:b/>
          <w:bCs/>
          <w:rtl/>
        </w:rPr>
        <w:t xml:space="preserve"> </w:t>
      </w:r>
      <w:r w:rsidRPr="00EC2B00">
        <w:rPr>
          <w:rFonts w:hint="cs"/>
          <w:rtl/>
        </w:rPr>
        <w:t>רא"ש לקמן</w:t>
      </w:r>
      <w:r w:rsidRPr="00EC2B00">
        <w:rPr>
          <w:rtl/>
        </w:rPr>
        <w:t xml:space="preserve"> </w:t>
      </w:r>
      <w:r w:rsidRPr="00EC2B00">
        <w:rPr>
          <w:rStyle w:val="afffffffff3"/>
          <w:rtl/>
        </w:rPr>
        <w:t>(</w:t>
      </w:r>
      <w:r w:rsidRPr="00EC2B00">
        <w:rPr>
          <w:rStyle w:val="afffffffff3"/>
          <w:rFonts w:hint="cs"/>
          <w:rtl/>
        </w:rPr>
        <w:t>פכ"ב סי' ו'</w:t>
      </w:r>
      <w:r w:rsidRPr="00EC2B00">
        <w:rPr>
          <w:rStyle w:val="afffffffff3"/>
          <w:rtl/>
        </w:rPr>
        <w:t>)</w:t>
      </w:r>
      <w:r>
        <w:rPr>
          <w:rtl/>
        </w:rPr>
        <w:t xml:space="preserve"> </w:t>
      </w:r>
      <w:r w:rsidRPr="00E311F3">
        <w:rPr>
          <w:rFonts w:hint="cs"/>
          <w:rtl/>
        </w:rPr>
        <w:t>תפארת</w:t>
      </w:r>
      <w:r w:rsidRPr="00EC2B00">
        <w:rPr>
          <w:rStyle w:val="aff9"/>
          <w:rFonts w:ascii="David" w:eastAsiaTheme="minorEastAsia" w:hAnsi="David" w:cs="David" w:hint="cs"/>
          <w:i/>
          <w:iCs/>
          <w:rtl/>
        </w:rPr>
        <w:t xml:space="preserve"> </w:t>
      </w:r>
      <w:r w:rsidRPr="00E311F3">
        <w:rPr>
          <w:rFonts w:hint="cs"/>
          <w:rtl/>
        </w:rPr>
        <w:t>שמואל</w:t>
      </w:r>
      <w:r w:rsidRPr="00EC2B00">
        <w:rPr>
          <w:rFonts w:hint="cs"/>
          <w:rtl/>
        </w:rPr>
        <w:t xml:space="preserve"> </w:t>
      </w:r>
      <w:r w:rsidRPr="00EC2B00">
        <w:rPr>
          <w:rStyle w:val="afffffffff3"/>
          <w:rFonts w:hint="cs"/>
          <w:rtl/>
        </w:rPr>
        <w:t>(אות א')</w:t>
      </w:r>
      <w:r>
        <w:rPr>
          <w:rtl/>
        </w:rPr>
        <w:t xml:space="preserve"> </w:t>
      </w:r>
      <w:r w:rsidRPr="00E311F3">
        <w:rPr>
          <w:rFonts w:hint="cs"/>
          <w:rtl/>
        </w:rPr>
        <w:t>קרבן</w:t>
      </w:r>
      <w:r w:rsidRPr="00EC2B00">
        <w:rPr>
          <w:rStyle w:val="aff9"/>
          <w:rFonts w:ascii="David" w:eastAsiaTheme="minorEastAsia" w:hAnsi="David" w:cs="David" w:hint="cs"/>
          <w:i/>
          <w:iCs/>
          <w:rtl/>
        </w:rPr>
        <w:t xml:space="preserve"> </w:t>
      </w:r>
      <w:r w:rsidRPr="00E311F3">
        <w:rPr>
          <w:rFonts w:hint="cs"/>
          <w:rtl/>
        </w:rPr>
        <w:t>נתנאל</w:t>
      </w:r>
      <w:r w:rsidRPr="00EC2B00">
        <w:rPr>
          <w:rFonts w:hint="cs"/>
          <w:rtl/>
        </w:rPr>
        <w:t xml:space="preserve"> </w:t>
      </w:r>
      <w:r w:rsidRPr="00EC2B00">
        <w:rPr>
          <w:rStyle w:val="afffffffff3"/>
          <w:rFonts w:hint="cs"/>
          <w:rtl/>
        </w:rPr>
        <w:t>(אות ג')</w:t>
      </w:r>
      <w:r w:rsidRPr="00D6711C">
        <w:rPr>
          <w:b/>
          <w:bCs/>
          <w:rtl/>
        </w:rPr>
        <w:t xml:space="preserve">, </w:t>
      </w:r>
      <w:r w:rsidRPr="00D6711C">
        <w:rPr>
          <w:b/>
          <w:bCs/>
          <w:rtl/>
        </w:rPr>
        <w:fldChar w:fldCharType="begin"/>
      </w:r>
      <w:r w:rsidRPr="00D6711C">
        <w:rPr>
          <w:b/>
          <w:bCs/>
          <w:rtl/>
        </w:rPr>
        <w:instrText xml:space="preserve"> </w:instrText>
      </w:r>
      <w:r w:rsidRPr="00D6711C">
        <w:rPr>
          <w:b/>
          <w:bCs/>
        </w:rPr>
        <w:instrText>REF</w:instrText>
      </w:r>
      <w:r w:rsidRPr="00D6711C">
        <w:rPr>
          <w:b/>
          <w:bCs/>
          <w:rtl/>
        </w:rPr>
        <w:instrText xml:space="preserve"> _</w:instrText>
      </w:r>
      <w:r w:rsidRPr="00D6711C">
        <w:rPr>
          <w:b/>
          <w:bCs/>
        </w:rPr>
        <w:instrText>Ref144634486 \r \h</w:instrText>
      </w:r>
      <w:r w:rsidRPr="00D6711C">
        <w:rPr>
          <w:b/>
          <w:bCs/>
          <w:rtl/>
        </w:rPr>
        <w:instrText xml:space="preserve">  \* </w:instrText>
      </w:r>
      <w:r w:rsidRPr="00D6711C">
        <w:rPr>
          <w:b/>
          <w:bCs/>
        </w:rPr>
        <w:instrText>MERGEFORMAT</w:instrText>
      </w:r>
      <w:r w:rsidRPr="00D6711C">
        <w:rPr>
          <w:b/>
          <w:bCs/>
          <w:rtl/>
        </w:rPr>
        <w:instrText xml:space="preserve"> </w:instrText>
      </w:r>
      <w:r w:rsidRPr="00D6711C">
        <w:rPr>
          <w:b/>
          <w:bCs/>
          <w:rtl/>
        </w:rPr>
      </w:r>
      <w:r w:rsidRPr="00D6711C">
        <w:rPr>
          <w:b/>
          <w:bCs/>
          <w:rtl/>
        </w:rPr>
        <w:fldChar w:fldCharType="separate"/>
      </w:r>
      <w:r w:rsidR="00D82181">
        <w:rPr>
          <w:b/>
          <w:bCs/>
          <w:cs/>
        </w:rPr>
        <w:t>‎</w:t>
      </w:r>
      <w:r w:rsidR="00D82181">
        <w:rPr>
          <w:b/>
          <w:bCs/>
          <w:rtl/>
        </w:rPr>
        <w:t>פז)</w:t>
      </w:r>
      <w:r w:rsidRPr="00D6711C">
        <w:rPr>
          <w:b/>
          <w:bCs/>
          <w:rtl/>
        </w:rPr>
        <w:fldChar w:fldCharType="end"/>
      </w:r>
      <w:r w:rsidRPr="00EC2B00">
        <w:rPr>
          <w:b/>
          <w:bCs/>
          <w:rtl/>
        </w:rPr>
        <w:t xml:space="preserve"> </w:t>
      </w:r>
      <w:r w:rsidRPr="00EC2B00">
        <w:rPr>
          <w:rFonts w:hint="cs"/>
          <w:rtl/>
        </w:rPr>
        <w:t>רא"ש לקמן</w:t>
      </w:r>
      <w:r w:rsidRPr="00EC2B00">
        <w:rPr>
          <w:rtl/>
        </w:rPr>
        <w:t xml:space="preserve"> </w:t>
      </w:r>
      <w:r w:rsidRPr="00EC2B00">
        <w:rPr>
          <w:rStyle w:val="afffffffff3"/>
          <w:rtl/>
        </w:rPr>
        <w:t>(</w:t>
      </w:r>
      <w:r w:rsidRPr="00EC2B00">
        <w:rPr>
          <w:rStyle w:val="afffffffff3"/>
          <w:rFonts w:hint="cs"/>
          <w:rtl/>
        </w:rPr>
        <w:t>פי"ז סי' א'</w:t>
      </w:r>
      <w:r w:rsidRPr="00EC2B00">
        <w:rPr>
          <w:rStyle w:val="afffffffff3"/>
          <w:rtl/>
        </w:rPr>
        <w:t>)</w:t>
      </w:r>
      <w:r>
        <w:rPr>
          <w:rtl/>
        </w:rPr>
        <w:t xml:space="preserve"> </w:t>
      </w:r>
      <w:r w:rsidRPr="00EC2B00">
        <w:rPr>
          <w:rFonts w:hint="cs"/>
          <w:rtl/>
        </w:rPr>
        <w:t>תוס' הרא"ש בעירובין</w:t>
      </w:r>
      <w:r w:rsidRPr="00EC2B00">
        <w:rPr>
          <w:rtl/>
        </w:rPr>
        <w:t xml:space="preserve"> </w:t>
      </w:r>
      <w:r w:rsidRPr="00EC2B00">
        <w:rPr>
          <w:rStyle w:val="afffffffff3"/>
          <w:rtl/>
        </w:rPr>
        <w:t>(</w:t>
      </w:r>
      <w:r w:rsidRPr="00EC2B00">
        <w:rPr>
          <w:rStyle w:val="afffffffff3"/>
          <w:rFonts w:hint="cs"/>
          <w:rtl/>
        </w:rPr>
        <w:t>קב: סוד"ה מחזירין</w:t>
      </w:r>
      <w:r w:rsidRPr="00EC2B00">
        <w:rPr>
          <w:rStyle w:val="afffffffff3"/>
          <w:rtl/>
        </w:rPr>
        <w:t>)</w:t>
      </w:r>
      <w:r w:rsidRPr="00D6711C">
        <w:rPr>
          <w:b/>
          <w:bCs/>
          <w:rtl/>
        </w:rPr>
        <w:t xml:space="preserve">, </w:t>
      </w:r>
      <w:r w:rsidRPr="00D6711C">
        <w:rPr>
          <w:b/>
          <w:bCs/>
          <w:rtl/>
        </w:rPr>
        <w:fldChar w:fldCharType="begin"/>
      </w:r>
      <w:r w:rsidRPr="00D6711C">
        <w:rPr>
          <w:b/>
          <w:bCs/>
          <w:rtl/>
        </w:rPr>
        <w:instrText xml:space="preserve"> </w:instrText>
      </w:r>
      <w:r w:rsidRPr="00D6711C">
        <w:rPr>
          <w:b/>
          <w:bCs/>
        </w:rPr>
        <w:instrText>REF</w:instrText>
      </w:r>
      <w:r w:rsidRPr="00D6711C">
        <w:rPr>
          <w:b/>
          <w:bCs/>
          <w:rtl/>
        </w:rPr>
        <w:instrText xml:space="preserve"> _</w:instrText>
      </w:r>
      <w:r w:rsidRPr="00D6711C">
        <w:rPr>
          <w:b/>
          <w:bCs/>
        </w:rPr>
        <w:instrText>Ref144742066 \r \h</w:instrText>
      </w:r>
      <w:r w:rsidRPr="00D6711C">
        <w:rPr>
          <w:b/>
          <w:bCs/>
          <w:rtl/>
        </w:rPr>
        <w:instrText xml:space="preserve">  \* </w:instrText>
      </w:r>
      <w:r w:rsidRPr="00D6711C">
        <w:rPr>
          <w:b/>
          <w:bCs/>
        </w:rPr>
        <w:instrText>MERGEFORMAT</w:instrText>
      </w:r>
      <w:r w:rsidRPr="00D6711C">
        <w:rPr>
          <w:b/>
          <w:bCs/>
          <w:rtl/>
        </w:rPr>
        <w:instrText xml:space="preserve"> </w:instrText>
      </w:r>
      <w:r w:rsidRPr="00D6711C">
        <w:rPr>
          <w:b/>
          <w:bCs/>
          <w:rtl/>
        </w:rPr>
      </w:r>
      <w:r w:rsidRPr="00D6711C">
        <w:rPr>
          <w:b/>
          <w:bCs/>
          <w:rtl/>
        </w:rPr>
        <w:fldChar w:fldCharType="separate"/>
      </w:r>
      <w:r w:rsidR="00D82181">
        <w:rPr>
          <w:b/>
          <w:bCs/>
          <w:cs/>
        </w:rPr>
        <w:t>‎</w:t>
      </w:r>
      <w:r w:rsidR="00D82181">
        <w:rPr>
          <w:b/>
          <w:bCs/>
          <w:rtl/>
        </w:rPr>
        <w:t>פח)</w:t>
      </w:r>
      <w:r w:rsidRPr="00D6711C">
        <w:rPr>
          <w:b/>
          <w:bCs/>
          <w:rtl/>
        </w:rPr>
        <w:fldChar w:fldCharType="end"/>
      </w:r>
      <w:r w:rsidRPr="00EC2B00">
        <w:rPr>
          <w:b/>
          <w:bCs/>
          <w:rtl/>
        </w:rPr>
        <w:t xml:space="preserve"> </w:t>
      </w:r>
      <w:r w:rsidRPr="00EC2B00">
        <w:rPr>
          <w:rFonts w:hint="cs"/>
          <w:rtl/>
        </w:rPr>
        <w:t>פרמ"ג</w:t>
      </w:r>
      <w:r w:rsidRPr="00EC2B00">
        <w:rPr>
          <w:rtl/>
        </w:rPr>
        <w:t xml:space="preserve"> </w:t>
      </w:r>
      <w:r w:rsidRPr="00EC2B00">
        <w:rPr>
          <w:rStyle w:val="afffffffff3"/>
          <w:rtl/>
        </w:rPr>
        <w:t>(</w:t>
      </w:r>
      <w:r w:rsidRPr="00EC2B00">
        <w:rPr>
          <w:rStyle w:val="afffffffff3"/>
          <w:rFonts w:hint="cs"/>
          <w:rtl/>
        </w:rPr>
        <w:t>סי' שי"ד משב"ז סק"א ד"ה ועיין רא"ש</w:t>
      </w:r>
      <w:r w:rsidRPr="00EC2B00">
        <w:rPr>
          <w:rStyle w:val="afffffffff3"/>
          <w:rtl/>
        </w:rPr>
        <w:t>)</w:t>
      </w:r>
      <w:r>
        <w:rPr>
          <w:rtl/>
        </w:rPr>
        <w:t xml:space="preserve"> </w:t>
      </w:r>
    </w:p>
    <w:p w14:paraId="61AE8581" w14:textId="77777777" w:rsidR="003E1AA3" w:rsidRDefault="003E1AA3" w:rsidP="003E1AA3">
      <w:pPr>
        <w:pStyle w:val="TOC2"/>
        <w:rPr>
          <w:rFonts w:cstheme="minorBidi"/>
          <w:b w:val="0"/>
          <w:bCs w:val="0"/>
          <w:sz w:val="22"/>
          <w:szCs w:val="22"/>
          <w:rtl/>
        </w:rPr>
      </w:pPr>
      <w:hyperlink w:anchor="_Toc145233966" w:history="1">
        <w:r w:rsidRPr="0054718A">
          <w:rPr>
            <w:rStyle w:val="Hyperlink"/>
            <w:rtl/>
          </w:rPr>
          <w:t>התי' הב' בתוס' דבכלי גמור יש סתירה והיתר חבית במוסתקי</w:t>
        </w:r>
      </w:hyperlink>
    </w:p>
    <w:p w14:paraId="7F448EC2" w14:textId="77777777" w:rsidR="003E1AA3" w:rsidRDefault="003E1AA3" w:rsidP="00ED704E">
      <w:pPr>
        <w:pStyle w:val="TOC3"/>
        <w:rPr>
          <w:rFonts w:asciiTheme="minorHAnsi" w:eastAsiaTheme="minorEastAsia" w:hAnsiTheme="minorHAnsi" w:cstheme="minorBidi"/>
          <w:sz w:val="22"/>
          <w:szCs w:val="22"/>
          <w:rtl/>
        </w:rPr>
      </w:pPr>
      <w:hyperlink w:anchor="_Toc145233967" w:history="1">
        <w:r w:rsidRPr="0054718A">
          <w:rPr>
            <w:rStyle w:val="Hyperlink"/>
            <w:rtl/>
          </w:rPr>
          <w:t>התי' הב' בתוס' בעירובין דבכלי כשופתא יש בנין וסתירה ובדלתות אין סתירה וה"ה במוסתקי</w:t>
        </w:r>
      </w:hyperlink>
    </w:p>
    <w:p w14:paraId="0425B412" w14:textId="77777777" w:rsidR="003E1AA3" w:rsidRDefault="003E1AA3" w:rsidP="00ED704E">
      <w:pPr>
        <w:pStyle w:val="TOC3"/>
        <w:rPr>
          <w:rFonts w:asciiTheme="minorHAnsi" w:eastAsiaTheme="minorEastAsia" w:hAnsiTheme="minorHAnsi" w:cstheme="minorBidi"/>
          <w:sz w:val="22"/>
          <w:szCs w:val="22"/>
          <w:rtl/>
        </w:rPr>
      </w:pPr>
      <w:hyperlink w:anchor="_Toc145233968" w:history="1">
        <w:r w:rsidRPr="0054718A">
          <w:rPr>
            <w:rStyle w:val="Hyperlink"/>
            <w:rtl/>
          </w:rPr>
          <w:t>בי' הרשב"א והריטב"א בתוס' דמוסתקי ככלי חוליות שאין בו בנין וסתירה וכלי שלם אסור כמרא</w:t>
        </w:r>
      </w:hyperlink>
    </w:p>
    <w:p w14:paraId="3579D94D" w14:textId="77777777" w:rsidR="003E1AA3" w:rsidRDefault="003E1AA3" w:rsidP="00ED704E">
      <w:pPr>
        <w:pStyle w:val="TOC3"/>
        <w:rPr>
          <w:rFonts w:asciiTheme="minorHAnsi" w:eastAsiaTheme="minorEastAsia" w:hAnsiTheme="minorHAnsi" w:cstheme="minorBidi"/>
          <w:sz w:val="22"/>
          <w:szCs w:val="22"/>
          <w:rtl/>
        </w:rPr>
      </w:pPr>
      <w:hyperlink w:anchor="_Toc145233969" w:history="1">
        <w:r w:rsidRPr="0054718A">
          <w:rPr>
            <w:rStyle w:val="Hyperlink"/>
            <w:rtl/>
          </w:rPr>
          <w:t>בי' תורא"ש ותור"פ דבסתירה חשובה ובנין חשוב יש בנין וסתירה בכלי ומוסתקי וחוליות מותר</w:t>
        </w:r>
      </w:hyperlink>
    </w:p>
    <w:p w14:paraId="1E9232BF" w14:textId="77777777" w:rsidR="003E1AA3" w:rsidRDefault="003E1AA3" w:rsidP="00ED704E">
      <w:pPr>
        <w:pStyle w:val="TOC3"/>
        <w:rPr>
          <w:rFonts w:asciiTheme="minorHAnsi" w:eastAsiaTheme="minorEastAsia" w:hAnsiTheme="minorHAnsi" w:cstheme="minorBidi"/>
          <w:sz w:val="22"/>
          <w:szCs w:val="22"/>
          <w:rtl/>
        </w:rPr>
      </w:pPr>
      <w:hyperlink w:anchor="_Toc145233970" w:history="1">
        <w:r w:rsidRPr="0054718A">
          <w:rPr>
            <w:rStyle w:val="Hyperlink"/>
            <w:rtl/>
          </w:rPr>
          <w:t>בי' התורא"ש דעושה את כל הכלי או מתקנו תיקון גמור הוי בונה ובעירובין איירי בקטיר או דלת</w:t>
        </w:r>
      </w:hyperlink>
    </w:p>
    <w:p w14:paraId="69B17FB5" w14:textId="77777777" w:rsidR="003E1AA3" w:rsidRDefault="003E1AA3" w:rsidP="003E1AA3">
      <w:pPr>
        <w:rPr>
          <w:rtl/>
        </w:rPr>
      </w:pPr>
    </w:p>
    <w:p w14:paraId="597D370B" w14:textId="77777777" w:rsidR="003E1AA3" w:rsidRPr="008548D9" w:rsidRDefault="003E1AA3" w:rsidP="003E1AA3">
      <w:pPr>
        <w:rPr>
          <w:rtl/>
        </w:rPr>
      </w:pPr>
    </w:p>
    <w:p w14:paraId="33B5773D" w14:textId="77777777" w:rsidR="003E1AA3" w:rsidRDefault="003E1AA3" w:rsidP="003E1AA3">
      <w:pPr>
        <w:pStyle w:val="TOC2"/>
        <w:rPr>
          <w:rFonts w:cstheme="minorBidi"/>
          <w:b w:val="0"/>
          <w:bCs w:val="0"/>
          <w:sz w:val="22"/>
          <w:szCs w:val="22"/>
          <w:rtl/>
        </w:rPr>
      </w:pPr>
      <w:hyperlink w:anchor="_Toc145233971" w:history="1">
        <w:r w:rsidRPr="0054718A">
          <w:rPr>
            <w:rStyle w:val="Hyperlink"/>
            <w:rtl/>
          </w:rPr>
          <w:t>בי' הב"י בסתירת הר"ן אי יש בונה בעשיית כלי או בכלי גדול</w:t>
        </w:r>
      </w:hyperlink>
    </w:p>
    <w:p w14:paraId="53AC3B9F" w14:textId="77777777" w:rsidR="003E1AA3" w:rsidRDefault="003E1AA3" w:rsidP="00ED704E">
      <w:pPr>
        <w:pStyle w:val="TOC3"/>
        <w:rPr>
          <w:rFonts w:asciiTheme="minorHAnsi" w:eastAsiaTheme="minorEastAsia" w:hAnsiTheme="minorHAnsi" w:cstheme="minorBidi"/>
          <w:sz w:val="22"/>
          <w:szCs w:val="22"/>
          <w:rtl/>
        </w:rPr>
      </w:pPr>
      <w:hyperlink w:anchor="_Toc145233972" w:history="1">
        <w:r w:rsidRPr="0054718A">
          <w:rPr>
            <w:rStyle w:val="Hyperlink"/>
            <w:rtl/>
          </w:rPr>
          <w:t>בי' הב"י בר"ן דכלי קטן ל"ה בונה ובשופתא בקופינא דצריך מעשה אומן הוי בונה ודלא כתוס'</w:t>
        </w:r>
      </w:hyperlink>
    </w:p>
    <w:p w14:paraId="11782226" w14:textId="77777777" w:rsidR="003E1AA3" w:rsidRDefault="003E1AA3" w:rsidP="00ED704E">
      <w:pPr>
        <w:pStyle w:val="TOC3"/>
        <w:rPr>
          <w:rFonts w:asciiTheme="minorHAnsi" w:eastAsiaTheme="minorEastAsia" w:hAnsiTheme="minorHAnsi" w:cstheme="minorBidi"/>
          <w:sz w:val="22"/>
          <w:szCs w:val="22"/>
          <w:rtl/>
        </w:rPr>
      </w:pPr>
      <w:hyperlink w:anchor="_Toc145233973" w:history="1">
        <w:r w:rsidRPr="0054718A">
          <w:rPr>
            <w:rStyle w:val="Hyperlink"/>
            <w:rtl/>
          </w:rPr>
          <w:t>בי' האגרו"מ בב"י דהק' סתירה בדברי הר"ן דאי בעושה כלי הוי בונה אמאי סתירה בקטן מותרת</w:t>
        </w:r>
      </w:hyperlink>
    </w:p>
    <w:p w14:paraId="48C2C80C" w14:textId="77777777" w:rsidR="003E1AA3" w:rsidRDefault="003E1AA3" w:rsidP="00ED704E">
      <w:pPr>
        <w:pStyle w:val="TOC3"/>
        <w:rPr>
          <w:rFonts w:asciiTheme="minorHAnsi" w:eastAsiaTheme="minorEastAsia" w:hAnsiTheme="minorHAnsi" w:cstheme="minorBidi"/>
          <w:sz w:val="22"/>
          <w:szCs w:val="22"/>
          <w:rtl/>
        </w:rPr>
      </w:pPr>
      <w:hyperlink w:anchor="_Toc145233974" w:history="1">
        <w:r w:rsidRPr="0054718A">
          <w:rPr>
            <w:rStyle w:val="Hyperlink"/>
            <w:rtl/>
          </w:rPr>
          <w:t>בי' המהר"ם קזיס בב"י דלרי"ד ולר"ן כל שצריך מעשה אומן בונה בין בכלי קטן ובין בכלי גדול</w:t>
        </w:r>
      </w:hyperlink>
    </w:p>
    <w:p w14:paraId="73814FB2" w14:textId="77777777" w:rsidR="003E1AA3" w:rsidRDefault="003E1AA3" w:rsidP="00ED704E">
      <w:pPr>
        <w:pStyle w:val="TOC3"/>
        <w:rPr>
          <w:rFonts w:asciiTheme="minorHAnsi" w:eastAsiaTheme="minorEastAsia" w:hAnsiTheme="minorHAnsi" w:cstheme="minorBidi"/>
          <w:sz w:val="22"/>
          <w:szCs w:val="22"/>
          <w:rtl/>
        </w:rPr>
      </w:pPr>
      <w:hyperlink w:anchor="_Toc145233975" w:history="1">
        <w:r w:rsidRPr="0054718A">
          <w:rPr>
            <w:rStyle w:val="Hyperlink"/>
            <w:rtl/>
          </w:rPr>
          <w:t>קו' התהל"ד בב"י דאי חייב בעושה כלי מתחילה אף בקטן ה"ה בסותר חייב ומה ההיתר בחבית</w:t>
        </w:r>
      </w:hyperlink>
    </w:p>
    <w:p w14:paraId="42DB499D" w14:textId="77777777" w:rsidR="003E1AA3" w:rsidRDefault="003E1AA3" w:rsidP="00ED704E">
      <w:pPr>
        <w:pStyle w:val="TOC3"/>
        <w:rPr>
          <w:rFonts w:asciiTheme="minorHAnsi" w:eastAsiaTheme="minorEastAsia" w:hAnsiTheme="minorHAnsi" w:cstheme="minorBidi"/>
          <w:sz w:val="22"/>
          <w:szCs w:val="22"/>
          <w:rtl/>
        </w:rPr>
      </w:pPr>
      <w:hyperlink w:anchor="_Toc145233976" w:history="1">
        <w:r w:rsidRPr="0054718A">
          <w:rPr>
            <w:rStyle w:val="Hyperlink"/>
            <w:rtl/>
          </w:rPr>
          <w:t>בי' התהל"ד בר"ן דמה שחילק בין כלי גדול לכלי קטן הוא לי"מ דס"ל כרש"י דאין בנין בכלים</w:t>
        </w:r>
      </w:hyperlink>
    </w:p>
    <w:p w14:paraId="71A3DFE1" w14:textId="77777777" w:rsidR="003E1AA3" w:rsidRDefault="003E1AA3" w:rsidP="00ED704E">
      <w:pPr>
        <w:pStyle w:val="TOC3"/>
        <w:rPr>
          <w:rFonts w:asciiTheme="minorHAnsi" w:eastAsiaTheme="minorEastAsia" w:hAnsiTheme="minorHAnsi" w:cstheme="minorBidi"/>
          <w:sz w:val="22"/>
          <w:szCs w:val="22"/>
          <w:rtl/>
        </w:rPr>
      </w:pPr>
      <w:hyperlink w:anchor="_Toc145233977" w:history="1">
        <w:r w:rsidRPr="0054718A">
          <w:rPr>
            <w:rStyle w:val="Hyperlink"/>
            <w:rtl/>
          </w:rPr>
          <w:t>בי' התהל"ד ברמב"ם דקיי"ל דיש בנין בכלים וכל סותר חייב אך האו"ז מתיר דאין בנין בכלים</w:t>
        </w:r>
      </w:hyperlink>
    </w:p>
    <w:p w14:paraId="36D09E65" w14:textId="77777777" w:rsidR="003E1AA3" w:rsidRDefault="003E1AA3" w:rsidP="00ED704E">
      <w:pPr>
        <w:pStyle w:val="TOC3"/>
        <w:rPr>
          <w:rFonts w:asciiTheme="minorHAnsi" w:eastAsiaTheme="minorEastAsia" w:hAnsiTheme="minorHAnsi" w:cstheme="minorBidi"/>
          <w:sz w:val="22"/>
          <w:szCs w:val="22"/>
          <w:rtl/>
        </w:rPr>
      </w:pPr>
      <w:hyperlink w:anchor="_Toc145233978" w:history="1">
        <w:r w:rsidRPr="0054718A">
          <w:rPr>
            <w:rStyle w:val="Hyperlink"/>
            <w:rtl/>
          </w:rPr>
          <w:t>בי' הלבוש דל"ש לשון בנין וסתירה ואילו עשיית כלי ושבירתו הם תולדה ובזה יש אופני היתר</w:t>
        </w:r>
      </w:hyperlink>
    </w:p>
    <w:p w14:paraId="7C5952A4" w14:textId="77777777" w:rsidR="003E1AA3" w:rsidRDefault="003E1AA3" w:rsidP="00ED704E">
      <w:pPr>
        <w:pStyle w:val="TOC3"/>
        <w:rPr>
          <w:rFonts w:asciiTheme="minorHAnsi" w:eastAsiaTheme="minorEastAsia" w:hAnsiTheme="minorHAnsi" w:cstheme="minorBidi"/>
          <w:sz w:val="22"/>
          <w:szCs w:val="22"/>
          <w:rtl/>
        </w:rPr>
      </w:pPr>
      <w:hyperlink w:anchor="_Toc145233979" w:history="1">
        <w:r w:rsidRPr="0054718A">
          <w:rPr>
            <w:rStyle w:val="Hyperlink"/>
            <w:rtl/>
          </w:rPr>
          <w:t>בי' הלבוש דכלי גדול כאוהל יש בו בנין ובקטן ההיתר בחבית במוסתקי דאי"ז בנין וסתירה ממש</w:t>
        </w:r>
      </w:hyperlink>
    </w:p>
    <w:p w14:paraId="09C46880" w14:textId="77777777" w:rsidR="003E1AA3" w:rsidRDefault="003E1AA3" w:rsidP="00ED704E">
      <w:pPr>
        <w:pStyle w:val="TOC3"/>
        <w:rPr>
          <w:rFonts w:asciiTheme="minorHAnsi" w:eastAsiaTheme="minorEastAsia" w:hAnsiTheme="minorHAnsi" w:cstheme="minorBidi"/>
          <w:sz w:val="22"/>
          <w:szCs w:val="22"/>
          <w:rtl/>
        </w:rPr>
      </w:pPr>
      <w:hyperlink w:anchor="_Toc145233980" w:history="1">
        <w:r w:rsidRPr="0054718A">
          <w:rPr>
            <w:rStyle w:val="Hyperlink"/>
            <w:rtl/>
          </w:rPr>
          <w:t>בי' הפרמ"ג בר"ן דבכלי גדול הוא אב דסותר ואין היתר ובקטן הוא תולדה וצורך מתיר במקלקל</w:t>
        </w:r>
      </w:hyperlink>
    </w:p>
    <w:p w14:paraId="4EE9A0FC" w14:textId="77777777" w:rsidR="003E1AA3" w:rsidRDefault="003E1AA3" w:rsidP="00ED704E">
      <w:pPr>
        <w:pStyle w:val="TOC3"/>
        <w:rPr>
          <w:rFonts w:asciiTheme="minorHAnsi" w:eastAsiaTheme="minorEastAsia" w:hAnsiTheme="minorHAnsi" w:cstheme="minorBidi"/>
          <w:sz w:val="22"/>
          <w:szCs w:val="22"/>
          <w:rtl/>
        </w:rPr>
      </w:pPr>
      <w:hyperlink w:anchor="_Toc145233981" w:history="1">
        <w:r w:rsidRPr="0054718A">
          <w:rPr>
            <w:rStyle w:val="Hyperlink"/>
            <w:rtl/>
          </w:rPr>
          <w:t>בי' הפרמ"ג בר"ן עפ"י הלבוש דההיתר בכלי קטן רק במוסתקי ולא בכלי שלם</w:t>
        </w:r>
      </w:hyperlink>
    </w:p>
    <w:p w14:paraId="73D1BD02" w14:textId="77777777" w:rsidR="003E1AA3" w:rsidRDefault="003E1AA3" w:rsidP="003E1AA3">
      <w:pPr>
        <w:pStyle w:val="TOC2"/>
        <w:rPr>
          <w:rFonts w:cstheme="minorBidi"/>
          <w:b w:val="0"/>
          <w:bCs w:val="0"/>
          <w:sz w:val="22"/>
          <w:szCs w:val="22"/>
          <w:rtl/>
        </w:rPr>
      </w:pPr>
      <w:hyperlink w:anchor="_Toc145233982" w:history="1">
        <w:r w:rsidRPr="0054718A">
          <w:rPr>
            <w:rStyle w:val="Hyperlink"/>
            <w:rtl/>
          </w:rPr>
          <w:t>יסוד האגרו"מ בחילוק בין בנין לסתירה בכלים דתלוי בשם כלי</w:t>
        </w:r>
      </w:hyperlink>
    </w:p>
    <w:p w14:paraId="504CF148" w14:textId="77777777" w:rsidR="003E1AA3" w:rsidRDefault="003E1AA3" w:rsidP="00ED704E">
      <w:pPr>
        <w:pStyle w:val="TOC3"/>
        <w:rPr>
          <w:rFonts w:asciiTheme="minorHAnsi" w:eastAsiaTheme="minorEastAsia" w:hAnsiTheme="minorHAnsi" w:cstheme="minorBidi"/>
          <w:sz w:val="22"/>
          <w:szCs w:val="22"/>
          <w:rtl/>
        </w:rPr>
      </w:pPr>
      <w:hyperlink w:anchor="_Toc145233983" w:history="1">
        <w:r w:rsidRPr="0054718A">
          <w:rPr>
            <w:rStyle w:val="Hyperlink"/>
            <w:rtl/>
          </w:rPr>
          <w:t>בי' האגרו"מ בב"י בד' הר"ן דבדבר שיש לו שם כלי אין חיוב בונה ורק עושה כלי מתחילה בונה</w:t>
        </w:r>
      </w:hyperlink>
    </w:p>
    <w:p w14:paraId="32D1453A" w14:textId="77777777" w:rsidR="003E1AA3" w:rsidRDefault="003E1AA3" w:rsidP="00ED704E">
      <w:pPr>
        <w:pStyle w:val="TOC3"/>
        <w:rPr>
          <w:rFonts w:asciiTheme="minorHAnsi" w:eastAsiaTheme="minorEastAsia" w:hAnsiTheme="minorHAnsi" w:cstheme="minorBidi"/>
          <w:sz w:val="22"/>
          <w:szCs w:val="22"/>
          <w:rtl/>
        </w:rPr>
      </w:pPr>
      <w:hyperlink w:anchor="_Toc145233984" w:history="1">
        <w:r w:rsidRPr="0054718A">
          <w:rPr>
            <w:rStyle w:val="Hyperlink"/>
            <w:rtl/>
          </w:rPr>
          <w:t>בי' האגרו"מ דבקרקע כל משהו חשוב אבל בדבר שיש שם כלי אין חשיבות בנין דהיה כבר כלי</w:t>
        </w:r>
      </w:hyperlink>
    </w:p>
    <w:p w14:paraId="21599565" w14:textId="77777777" w:rsidR="003E1AA3" w:rsidRDefault="003E1AA3" w:rsidP="00ED704E">
      <w:pPr>
        <w:pStyle w:val="TOC3"/>
        <w:rPr>
          <w:rFonts w:asciiTheme="minorHAnsi" w:eastAsiaTheme="minorEastAsia" w:hAnsiTheme="minorHAnsi" w:cstheme="minorBidi"/>
          <w:sz w:val="22"/>
          <w:szCs w:val="22"/>
          <w:rtl/>
        </w:rPr>
      </w:pPr>
      <w:hyperlink w:anchor="_Toc145233985" w:history="1">
        <w:r w:rsidRPr="0054718A">
          <w:rPr>
            <w:rStyle w:val="Hyperlink"/>
            <w:rtl/>
          </w:rPr>
          <w:t>בי' האגרו"מ בב"י בד' הר"ן דבעושה כלי מתחילה חידש שם כלי וה"ה בצריך אומן ולכן הוי בנין</w:t>
        </w:r>
      </w:hyperlink>
    </w:p>
    <w:p w14:paraId="04C4F692" w14:textId="77777777" w:rsidR="003E1AA3" w:rsidRDefault="003E1AA3" w:rsidP="00ED704E">
      <w:pPr>
        <w:pStyle w:val="TOC3"/>
        <w:rPr>
          <w:rFonts w:asciiTheme="minorHAnsi" w:eastAsiaTheme="minorEastAsia" w:hAnsiTheme="minorHAnsi" w:cstheme="minorBidi"/>
          <w:sz w:val="22"/>
          <w:szCs w:val="22"/>
          <w:rtl/>
        </w:rPr>
      </w:pPr>
      <w:hyperlink w:anchor="_Toc145233986" w:history="1">
        <w:r w:rsidRPr="0054718A">
          <w:rPr>
            <w:rStyle w:val="Hyperlink"/>
            <w:rtl/>
          </w:rPr>
          <w:t>בי' האגרו"מ דכל סתירת כלי בדבר שיש לו שם כלי ואין בזה סתירה ול"ד לעושה כלי בתחילה</w:t>
        </w:r>
      </w:hyperlink>
    </w:p>
    <w:p w14:paraId="1333FF55" w14:textId="77777777" w:rsidR="003E1AA3" w:rsidRDefault="003E1AA3" w:rsidP="00ED704E">
      <w:pPr>
        <w:pStyle w:val="TOC3"/>
        <w:rPr>
          <w:rFonts w:asciiTheme="minorHAnsi" w:eastAsiaTheme="minorEastAsia" w:hAnsiTheme="minorHAnsi" w:cstheme="minorBidi"/>
          <w:sz w:val="22"/>
          <w:szCs w:val="22"/>
          <w:rtl/>
        </w:rPr>
      </w:pPr>
      <w:hyperlink w:anchor="_Toc145233987" w:history="1">
        <w:r w:rsidRPr="0054718A">
          <w:rPr>
            <w:rStyle w:val="Hyperlink"/>
            <w:rtl/>
          </w:rPr>
          <w:t>בי' האגרו"מ דאי יש בנין בכלים א"כ אף כשיש שם כלי יש בנין וה"ה דיש סתירה בשם כלי</w:t>
        </w:r>
      </w:hyperlink>
    </w:p>
    <w:p w14:paraId="4CD70D83" w14:textId="77777777" w:rsidR="003E1AA3" w:rsidRDefault="003E1AA3" w:rsidP="00ED704E">
      <w:pPr>
        <w:pStyle w:val="TOC3"/>
        <w:rPr>
          <w:rFonts w:asciiTheme="minorHAnsi" w:eastAsiaTheme="minorEastAsia" w:hAnsiTheme="minorHAnsi" w:cstheme="minorBidi"/>
          <w:sz w:val="22"/>
          <w:szCs w:val="22"/>
          <w:rtl/>
        </w:rPr>
      </w:pPr>
      <w:hyperlink w:anchor="_Toc145233988" w:history="1">
        <w:r w:rsidRPr="0054718A">
          <w:rPr>
            <w:rStyle w:val="Hyperlink"/>
            <w:rtl/>
          </w:rPr>
          <w:t>בי' החזו"א דבסתירה שלא כדרך ל"ה מעשה גמור ודמי לבניןשאינו גמור דמותר בכלים לתוס'</w:t>
        </w:r>
      </w:hyperlink>
    </w:p>
    <w:p w14:paraId="712E25D1" w14:textId="77777777" w:rsidR="003E1AA3" w:rsidRDefault="003E1AA3" w:rsidP="003E1AA3">
      <w:pPr>
        <w:pStyle w:val="TOC2"/>
        <w:rPr>
          <w:rFonts w:cstheme="minorBidi"/>
          <w:b w:val="0"/>
          <w:bCs w:val="0"/>
          <w:sz w:val="22"/>
          <w:szCs w:val="22"/>
          <w:rtl/>
        </w:rPr>
      </w:pPr>
      <w:hyperlink w:anchor="_Toc145233989" w:history="1">
        <w:r w:rsidRPr="0054718A">
          <w:rPr>
            <w:rStyle w:val="Hyperlink"/>
            <w:rtl/>
          </w:rPr>
          <w:t>קו' הפרמ"ג בסתירת דברי הרא"ש אי יש סתירה בכלי שלם קטן</w:t>
        </w:r>
      </w:hyperlink>
    </w:p>
    <w:p w14:paraId="126DAADB" w14:textId="77777777" w:rsidR="003E1AA3" w:rsidRDefault="003E1AA3" w:rsidP="00ED704E">
      <w:pPr>
        <w:pStyle w:val="TOC3"/>
        <w:rPr>
          <w:rFonts w:asciiTheme="minorHAnsi" w:eastAsiaTheme="minorEastAsia" w:hAnsiTheme="minorHAnsi" w:cstheme="minorBidi"/>
          <w:sz w:val="22"/>
          <w:szCs w:val="22"/>
          <w:rtl/>
        </w:rPr>
      </w:pPr>
      <w:hyperlink w:anchor="_Toc145233990" w:history="1">
        <w:r w:rsidRPr="0054718A">
          <w:rPr>
            <w:rStyle w:val="Hyperlink"/>
            <w:rtl/>
          </w:rPr>
          <w:t>בי' הרא"ש בעירובין דעושה כלי או מתקנו תיקון גמור בונה ול"ד לחוליות והיתר חבית במוסתקי</w:t>
        </w:r>
      </w:hyperlink>
    </w:p>
    <w:p w14:paraId="144044A4" w14:textId="77777777" w:rsidR="003E1AA3" w:rsidRDefault="003E1AA3" w:rsidP="00ED704E">
      <w:pPr>
        <w:pStyle w:val="TOC3"/>
        <w:rPr>
          <w:rFonts w:asciiTheme="minorHAnsi" w:eastAsiaTheme="minorEastAsia" w:hAnsiTheme="minorHAnsi" w:cstheme="minorBidi"/>
          <w:sz w:val="22"/>
          <w:szCs w:val="22"/>
          <w:rtl/>
        </w:rPr>
      </w:pPr>
      <w:hyperlink w:anchor="_Toc145233991" w:history="1">
        <w:r w:rsidRPr="0054718A">
          <w:rPr>
            <w:rStyle w:val="Hyperlink"/>
            <w:rtl/>
          </w:rPr>
          <w:t>בי' הרא"ש בעירובין דהיתר סתירה במגדל הוא בקשור או בדלת ולא בשובר כלי גמור</w:t>
        </w:r>
      </w:hyperlink>
    </w:p>
    <w:p w14:paraId="0095FA16" w14:textId="77777777" w:rsidR="003E1AA3" w:rsidRDefault="003E1AA3" w:rsidP="00ED704E">
      <w:pPr>
        <w:pStyle w:val="TOC3"/>
        <w:rPr>
          <w:rFonts w:asciiTheme="minorHAnsi" w:eastAsiaTheme="minorEastAsia" w:hAnsiTheme="minorHAnsi" w:cstheme="minorBidi"/>
          <w:sz w:val="22"/>
          <w:szCs w:val="22"/>
          <w:rtl/>
        </w:rPr>
      </w:pPr>
      <w:hyperlink w:anchor="_Toc145233992" w:history="1">
        <w:r w:rsidRPr="0054718A">
          <w:rPr>
            <w:rStyle w:val="Hyperlink"/>
            <w:rtl/>
          </w:rPr>
          <w:t>בי' הרא"ש לקמן דלרבנן שובר חבית גמורה ל"ה סותר מדאו' וכדמוכח במגדל בגמ' בעירובין</w:t>
        </w:r>
      </w:hyperlink>
    </w:p>
    <w:p w14:paraId="14A7BB71" w14:textId="77777777" w:rsidR="003E1AA3" w:rsidRDefault="003E1AA3" w:rsidP="00ED704E">
      <w:pPr>
        <w:pStyle w:val="TOC3"/>
        <w:rPr>
          <w:rFonts w:asciiTheme="minorHAnsi" w:eastAsiaTheme="minorEastAsia" w:hAnsiTheme="minorHAnsi" w:cstheme="minorBidi"/>
          <w:sz w:val="22"/>
          <w:szCs w:val="22"/>
          <w:rtl/>
        </w:rPr>
      </w:pPr>
      <w:hyperlink w:anchor="_Toc145233993" w:history="1">
        <w:r w:rsidRPr="0054718A">
          <w:rPr>
            <w:rStyle w:val="Hyperlink"/>
            <w:rtl/>
          </w:rPr>
          <w:t>בי' הרא"ש לקמן והתורא"ש בעירובין דבדלתות כלים אין בנין וסתירה ותוקע חייב משום מכב"פ</w:t>
        </w:r>
      </w:hyperlink>
    </w:p>
    <w:p w14:paraId="01CEA04B" w14:textId="77777777" w:rsidR="003E1AA3" w:rsidRDefault="003E1AA3" w:rsidP="00ED704E">
      <w:pPr>
        <w:pStyle w:val="TOC3"/>
        <w:rPr>
          <w:rFonts w:asciiTheme="minorHAnsi" w:eastAsiaTheme="minorEastAsia" w:hAnsiTheme="minorHAnsi" w:cstheme="minorBidi"/>
          <w:sz w:val="22"/>
          <w:szCs w:val="22"/>
          <w:rtl/>
        </w:rPr>
      </w:pPr>
      <w:hyperlink w:anchor="_Toc145233994" w:history="1">
        <w:r w:rsidRPr="0054718A">
          <w:rPr>
            <w:rStyle w:val="Hyperlink"/>
            <w:rtl/>
          </w:rPr>
          <w:t>קו' הפרמ"ג דבעירובין בי' הרא"ש כתוס' דיש איסור סתירה בכלים</w:t>
        </w:r>
        <w:r w:rsidRPr="0054718A">
          <w:rPr>
            <w:rStyle w:val="Hyperlink"/>
            <w:rtl/>
          </w:rPr>
          <w:t xml:space="preserve"> </w:t>
        </w:r>
        <w:r w:rsidRPr="0054718A">
          <w:rPr>
            <w:rStyle w:val="Hyperlink"/>
            <w:rtl/>
          </w:rPr>
          <w:t>ולקמן כרשב"א דבקטן מותר</w:t>
        </w:r>
      </w:hyperlink>
    </w:p>
    <w:p w14:paraId="6EE80BBD" w14:textId="77777777" w:rsidR="003E1AA3" w:rsidRDefault="003E1AA3" w:rsidP="003E1AA3">
      <w:pPr>
        <w:keepNext/>
        <w:keepLines/>
        <w:spacing w:after="0" w:line="240" w:lineRule="auto"/>
        <w:jc w:val="center"/>
        <w:outlineLvl w:val="1"/>
        <w:rPr>
          <w:rFonts w:eastAsiaTheme="minorHAnsi" w:cs="Guttman Hodes"/>
          <w:b/>
          <w:bCs/>
          <w:noProof/>
          <w:sz w:val="14"/>
          <w:szCs w:val="14"/>
          <w:rtl/>
        </w:rPr>
        <w:sectPr w:rsidR="003E1AA3" w:rsidSect="00CA28B3">
          <w:headerReference w:type="even" r:id="rId182"/>
          <w:headerReference w:type="default" r:id="rId183"/>
          <w:footerReference w:type="even" r:id="rId184"/>
          <w:footerReference w:type="default" r:id="rId185"/>
          <w:headerReference w:type="first" r:id="rId186"/>
          <w:footerReference w:type="first" r:id="rId187"/>
          <w:type w:val="continuous"/>
          <w:pgSz w:w="11906" w:h="16838"/>
          <w:pgMar w:top="720" w:right="720" w:bottom="720" w:left="720" w:header="283" w:footer="283" w:gutter="0"/>
          <w:cols w:num="2" w:space="113"/>
          <w:titlePg/>
          <w:bidi/>
          <w:rtlGutter/>
          <w:docGrid w:linePitch="299"/>
        </w:sectPr>
      </w:pPr>
      <w:r w:rsidRPr="00224A5A">
        <w:rPr>
          <w:rFonts w:eastAsiaTheme="minorHAnsi" w:cs="Guttman Hodes"/>
          <w:b/>
          <w:bCs/>
          <w:noProof/>
          <w:sz w:val="14"/>
          <w:szCs w:val="14"/>
          <w:rtl/>
        </w:rPr>
        <w:fldChar w:fldCharType="end"/>
      </w:r>
    </w:p>
    <w:p w14:paraId="5717337B" w14:textId="77777777" w:rsidR="003E1AA3" w:rsidRPr="009A5D92" w:rsidRDefault="003E1AA3" w:rsidP="003E1AA3">
      <w:pPr>
        <w:pStyle w:val="afffffffff0"/>
        <w:rPr>
          <w:rtl/>
        </w:rPr>
      </w:pPr>
    </w:p>
    <w:p w14:paraId="301ED884" w14:textId="77777777" w:rsidR="003E1AA3" w:rsidRPr="00224A5A" w:rsidRDefault="003E1AA3" w:rsidP="003E1AA3">
      <w:pPr>
        <w:keepNext/>
        <w:keepLines/>
        <w:spacing w:after="0" w:line="240" w:lineRule="auto"/>
        <w:jc w:val="center"/>
        <w:outlineLvl w:val="1"/>
        <w:rPr>
          <w:rFonts w:ascii="FrankRuehl" w:eastAsia="Guttman Adii-Light" w:hAnsi="FrankRuehl" w:cs="Guttman Hodes"/>
          <w:b/>
          <w:bCs/>
          <w:noProof/>
          <w:sz w:val="24"/>
          <w:szCs w:val="24"/>
          <w:rtl/>
        </w:rPr>
        <w:sectPr w:rsidR="003E1AA3" w:rsidRPr="00224A5A" w:rsidSect="00CA28B3">
          <w:type w:val="continuous"/>
          <w:pgSz w:w="11906" w:h="16838"/>
          <w:pgMar w:top="720" w:right="720" w:bottom="720" w:left="720" w:header="283" w:footer="283" w:gutter="0"/>
          <w:cols w:num="2" w:space="113"/>
          <w:titlePg/>
          <w:bidi/>
          <w:rtlGutter/>
          <w:docGrid w:linePitch="299"/>
        </w:sectPr>
      </w:pPr>
    </w:p>
    <w:p w14:paraId="2A6509D6" w14:textId="77777777" w:rsidR="003E1AA3" w:rsidRPr="00224A5A" w:rsidRDefault="003E1AA3" w:rsidP="003E1AA3">
      <w:pPr>
        <w:spacing w:before="240" w:after="0" w:line="360" w:lineRule="auto"/>
        <w:jc w:val="center"/>
        <w:outlineLvl w:val="1"/>
        <w:rPr>
          <w:rFonts w:ascii="Guttman Adii-Light" w:eastAsia="Guttman Adii-Light" w:hAnsi="Guttman Adii-Light" w:cs="Guttman Hodes"/>
          <w:b/>
          <w:bCs/>
          <w:sz w:val="18"/>
          <w:szCs w:val="28"/>
          <w:rtl/>
        </w:rPr>
        <w:sectPr w:rsidR="003E1AA3" w:rsidRPr="00224A5A" w:rsidSect="00CA28B3">
          <w:pgSz w:w="11906" w:h="16838"/>
          <w:pgMar w:top="720" w:right="720" w:bottom="720" w:left="720" w:header="283" w:footer="283" w:gutter="0"/>
          <w:cols w:space="720"/>
          <w:bidi/>
          <w:rtlGutter/>
          <w:docGrid w:linePitch="299"/>
        </w:sectPr>
      </w:pPr>
      <w:r w:rsidRPr="00224A5A">
        <w:rPr>
          <w:rFonts w:ascii="Guttman Adii-Light" w:eastAsia="Guttman Adii-Light" w:hAnsi="Guttman Adii-Light" w:cs="Guttman Hodes" w:hint="cs"/>
          <w:b/>
          <w:bCs/>
          <w:sz w:val="18"/>
          <w:szCs w:val="28"/>
          <w:rtl/>
        </w:rPr>
        <w:lastRenderedPageBreak/>
        <w:t>~~~</w:t>
      </w:r>
      <w:r w:rsidRPr="00224A5A">
        <w:rPr>
          <w:rFonts w:ascii="Guttman Adii-Light" w:eastAsia="Guttman Adii-Light" w:hAnsi="Guttman Adii-Light" w:cs="Guttman Hodes"/>
          <w:b/>
          <w:bCs/>
          <w:noProof/>
          <w:sz w:val="18"/>
          <w:szCs w:val="28"/>
          <w:rtl/>
        </w:rPr>
        <w:t>~~</w:t>
      </w:r>
      <w:r w:rsidRPr="00224A5A">
        <w:rPr>
          <w:rFonts w:ascii="Guttman Adii-Light" w:eastAsia="Guttman Adii-Light" w:hAnsi="Guttman Adii-Light" w:cs="Guttman Hodes" w:hint="cs"/>
          <w:b/>
          <w:bCs/>
          <w:sz w:val="18"/>
          <w:szCs w:val="28"/>
          <w:rtl/>
        </w:rPr>
        <w:t>~~ מראי מקומות וביאורים ~~~</w:t>
      </w:r>
      <w:r w:rsidRPr="00224A5A">
        <w:rPr>
          <w:rFonts w:ascii="Guttman Adii-Light" w:eastAsia="Guttman Adii-Light" w:hAnsi="Guttman Adii-Light" w:cs="Guttman Hodes"/>
          <w:b/>
          <w:bCs/>
          <w:noProof/>
          <w:sz w:val="18"/>
          <w:szCs w:val="28"/>
          <w:rtl/>
        </w:rPr>
        <w:t>~~</w:t>
      </w:r>
      <w:r w:rsidRPr="00224A5A">
        <w:rPr>
          <w:rFonts w:ascii="Guttman Adii-Light" w:eastAsia="Guttman Adii-Light" w:hAnsi="Guttman Adii-Light" w:cs="Guttman Hodes" w:hint="cs"/>
          <w:b/>
          <w:bCs/>
          <w:sz w:val="18"/>
          <w:szCs w:val="28"/>
          <w:rtl/>
        </w:rPr>
        <w:t>~~</w:t>
      </w:r>
    </w:p>
    <w:p w14:paraId="01370DF8" w14:textId="77777777" w:rsidR="003E1AA3" w:rsidRDefault="003E1AA3" w:rsidP="003E1AA3">
      <w:pPr>
        <w:pStyle w:val="affff5"/>
        <w:rPr>
          <w:rtl/>
        </w:rPr>
      </w:pPr>
      <w:bookmarkStart w:id="5370" w:name="_Toc145233880"/>
      <w:r>
        <w:rPr>
          <w:rFonts w:hint="cs"/>
          <w:rtl/>
        </w:rPr>
        <w:t>ד' רש"י והיראים דקיי"ל דאין בנין בכלים</w:t>
      </w:r>
      <w:bookmarkEnd w:id="5370"/>
      <w:r w:rsidRPr="0033376C">
        <w:rPr>
          <w:vanish/>
          <w:rtl/>
        </w:rPr>
        <w:t>&lt; # =</w:t>
      </w:r>
    </w:p>
    <w:p w14:paraId="381F918D" w14:textId="77777777" w:rsidR="003E1AA3" w:rsidRPr="00224A5A" w:rsidRDefault="003E1AA3" w:rsidP="003E1AA3">
      <w:pPr>
        <w:pStyle w:val="1"/>
        <w:rPr>
          <w:rtl/>
        </w:rPr>
      </w:pPr>
      <w:bookmarkStart w:id="5371" w:name="_Toc145233881"/>
      <w:bookmarkStart w:id="5372" w:name="_Hlk144283794"/>
      <w:r w:rsidRPr="00224A5A">
        <w:rPr>
          <w:rFonts w:hint="cs"/>
          <w:rtl/>
        </w:rPr>
        <w:t xml:space="preserve">בי' </w:t>
      </w:r>
      <w:r>
        <w:rPr>
          <w:rFonts w:hint="cs"/>
          <w:rtl/>
        </w:rPr>
        <w:t>רש"י דאין בנין בכלים והחיוב מדין מכב"פ ורק לרב הוי בנין</w:t>
      </w:r>
      <w:bookmarkEnd w:id="5371"/>
    </w:p>
    <w:p w14:paraId="2E1F9961" w14:textId="77777777" w:rsidR="003E1AA3" w:rsidRPr="00FC269C" w:rsidRDefault="003E1AA3" w:rsidP="003E1AA3">
      <w:pPr>
        <w:pStyle w:val="afffff7"/>
        <w:rPr>
          <w:rtl/>
        </w:rPr>
      </w:pPr>
      <w:bookmarkStart w:id="5373" w:name="_Toc145233995"/>
      <w:bookmarkStart w:id="5374" w:name="_Toc163506253"/>
      <w:r w:rsidRPr="00FC269C">
        <w:rPr>
          <w:rtl/>
        </w:rPr>
        <w:t>רש"י שבת מ"ז ע"א ד"ה חייב</w:t>
      </w:r>
      <w:bookmarkEnd w:id="5373"/>
      <w:bookmarkEnd w:id="5374"/>
    </w:p>
    <w:p w14:paraId="0D4BE44D" w14:textId="77777777" w:rsidR="003E1AA3" w:rsidRDefault="003E1AA3" w:rsidP="003E1AA3">
      <w:pPr>
        <w:pStyle w:val="afffffffff6"/>
        <w:rPr>
          <w:rtl/>
        </w:rPr>
      </w:pPr>
      <w:r>
        <w:rPr>
          <w:rtl/>
        </w:rPr>
        <w:t>רש"י שבת ע"ד ע"ב ד"ה ואי</w:t>
      </w:r>
    </w:p>
    <w:p w14:paraId="33820B15" w14:textId="77777777" w:rsidR="003E1AA3" w:rsidRPr="00FC269C" w:rsidRDefault="003E1AA3" w:rsidP="003E1AA3">
      <w:pPr>
        <w:pStyle w:val="afffff7"/>
        <w:rPr>
          <w:rtl/>
        </w:rPr>
      </w:pPr>
      <w:bookmarkStart w:id="5375" w:name="_Toc145233996"/>
      <w:bookmarkStart w:id="5376" w:name="_Toc163506254"/>
      <w:r w:rsidRPr="00FC269C">
        <w:rPr>
          <w:rtl/>
        </w:rPr>
        <w:t>רש"י שבת קכ"ב ע"ב</w:t>
      </w:r>
      <w:r w:rsidRPr="00FC269C">
        <w:rPr>
          <w:rFonts w:hint="cs"/>
          <w:rtl/>
        </w:rPr>
        <w:t xml:space="preserve"> ד"ה גזירה</w:t>
      </w:r>
      <w:bookmarkEnd w:id="5375"/>
      <w:bookmarkEnd w:id="5376"/>
    </w:p>
    <w:p w14:paraId="1EEFE572" w14:textId="77777777" w:rsidR="003E1AA3" w:rsidRPr="00FC269C" w:rsidRDefault="003E1AA3" w:rsidP="003E1AA3">
      <w:pPr>
        <w:pStyle w:val="afffff7"/>
        <w:rPr>
          <w:rtl/>
        </w:rPr>
      </w:pPr>
      <w:bookmarkStart w:id="5377" w:name="_Toc145233997"/>
      <w:bookmarkStart w:id="5378" w:name="_Toc163506255"/>
      <w:r w:rsidRPr="00FC269C">
        <w:rPr>
          <w:rtl/>
        </w:rPr>
        <w:t>רש"י שבת מ"ח ע"א</w:t>
      </w:r>
      <w:r w:rsidRPr="00FC269C">
        <w:rPr>
          <w:rFonts w:hint="cs"/>
          <w:rtl/>
        </w:rPr>
        <w:t xml:space="preserve"> ד"ה חייב</w:t>
      </w:r>
      <w:bookmarkEnd w:id="5377"/>
      <w:bookmarkEnd w:id="5378"/>
    </w:p>
    <w:p w14:paraId="7441FE75" w14:textId="77777777" w:rsidR="003E1AA3" w:rsidRPr="00FC269C" w:rsidRDefault="003E1AA3" w:rsidP="003E1AA3">
      <w:pPr>
        <w:pStyle w:val="afffff7"/>
        <w:rPr>
          <w:rtl/>
        </w:rPr>
      </w:pPr>
      <w:bookmarkStart w:id="5379" w:name="_Toc145233998"/>
      <w:bookmarkStart w:id="5380" w:name="_Toc163506256"/>
      <w:r w:rsidRPr="00FC269C">
        <w:rPr>
          <w:rtl/>
        </w:rPr>
        <w:t>רש"י שבת קכ"ד ע"ב</w:t>
      </w:r>
      <w:r w:rsidRPr="00FC269C">
        <w:rPr>
          <w:rFonts w:hint="cs"/>
          <w:rtl/>
        </w:rPr>
        <w:t xml:space="preserve"> ד"ה לא יספות</w:t>
      </w:r>
      <w:bookmarkEnd w:id="5379"/>
      <w:bookmarkEnd w:id="5380"/>
    </w:p>
    <w:p w14:paraId="22CBC99D" w14:textId="77777777" w:rsidR="003E1AA3" w:rsidRDefault="003E1AA3" w:rsidP="003E1AA3">
      <w:pPr>
        <w:pStyle w:val="a7"/>
        <w:rPr>
          <w:rtl/>
        </w:rPr>
      </w:pPr>
      <w:bookmarkStart w:id="5381" w:name="_Toc145233882"/>
      <w:r>
        <w:rPr>
          <w:rFonts w:hint="cs"/>
          <w:rtl/>
        </w:rPr>
        <w:t>בי' רש"י דאין בנין בכלים במטה של טרסיים וחביתא ודלתות כלים ובונה כלי חייב במכב"פ</w:t>
      </w:r>
      <w:bookmarkEnd w:id="5381"/>
    </w:p>
    <w:p w14:paraId="7F02504B" w14:textId="1C1BB303" w:rsidR="003E1AA3" w:rsidRPr="00637014" w:rsidRDefault="003E1AA3" w:rsidP="00AD16A0">
      <w:pPr>
        <w:pStyle w:val="a3"/>
        <w:numPr>
          <w:ilvl w:val="0"/>
          <w:numId w:val="30"/>
        </w:numPr>
        <w:rPr>
          <w:rStyle w:val="af"/>
        </w:rPr>
      </w:pPr>
      <w:bookmarkStart w:id="5382" w:name="_Ref143720580"/>
      <w:bookmarkStart w:id="5383" w:name="_Ref144285261"/>
      <w:bookmarkStart w:id="5384" w:name="_Ref144585311"/>
      <w:bookmarkStart w:id="5385" w:name="_Ref145186884"/>
      <w:r>
        <w:rPr>
          <w:rtl/>
        </w:rPr>
        <w:t xml:space="preserve">בחיוב מחזיר מטה של טרסיים בגמ' לעיל </w:t>
      </w:r>
      <w:r w:rsidRPr="00BC7DC8">
        <w:rPr>
          <w:rStyle w:val="af2"/>
          <w:rFonts w:eastAsia="Guttman Hodes"/>
          <w:rtl/>
        </w:rPr>
        <w:t>(מז.)</w:t>
      </w:r>
      <w:r>
        <w:rPr>
          <w:rtl/>
        </w:rPr>
        <w:t xml:space="preserve">, ובחיוב חביתא </w:t>
      </w:r>
      <w:r>
        <w:rPr>
          <w:rFonts w:hint="cs"/>
          <w:rtl/>
        </w:rPr>
        <w:t xml:space="preserve">ותנורא וחלתא </w:t>
      </w:r>
      <w:r>
        <w:rPr>
          <w:rtl/>
        </w:rPr>
        <w:t xml:space="preserve">בגמ' לעיל </w:t>
      </w:r>
      <w:r w:rsidRPr="00BC7DC8">
        <w:rPr>
          <w:rStyle w:val="af2"/>
          <w:rFonts w:eastAsia="Guttman Hodes"/>
          <w:rtl/>
        </w:rPr>
        <w:t>(עד:)</w:t>
      </w:r>
      <w:r>
        <w:rPr>
          <w:rtl/>
        </w:rPr>
        <w:t xml:space="preserve">, כתב </w:t>
      </w:r>
      <w:r w:rsidRPr="00BC7DC8">
        <w:rPr>
          <w:vanish/>
          <w:rtl/>
        </w:rPr>
        <w:t xml:space="preserve">&lt;, </w:t>
      </w:r>
      <w:r w:rsidRPr="00BC7DC8">
        <w:rPr>
          <w:vanish/>
          <w:rtl/>
        </w:rPr>
        <w:fldChar w:fldCharType="begin"/>
      </w:r>
      <w:r w:rsidRPr="00BC7DC8">
        <w:rPr>
          <w:vanish/>
          <w:rtl/>
        </w:rPr>
        <w:instrText xml:space="preserve"> </w:instrText>
      </w:r>
      <w:r w:rsidRPr="00BC7DC8">
        <w:rPr>
          <w:vanish/>
        </w:rPr>
        <w:instrText>REF</w:instrText>
      </w:r>
      <w:r w:rsidRPr="00BC7DC8">
        <w:rPr>
          <w:vanish/>
          <w:rtl/>
        </w:rPr>
        <w:instrText xml:space="preserve"> _</w:instrText>
      </w:r>
      <w:r w:rsidRPr="00BC7DC8">
        <w:rPr>
          <w:vanish/>
        </w:rPr>
        <w:instrText>Ref143720580 \r \h</w:instrText>
      </w:r>
      <w:r w:rsidRPr="00BC7DC8">
        <w:rPr>
          <w:vanish/>
          <w:rtl/>
        </w:rPr>
        <w:instrText xml:space="preserve">  \* </w:instrText>
      </w:r>
      <w:r w:rsidRPr="00BC7DC8">
        <w:rPr>
          <w:vanish/>
        </w:rPr>
        <w:instrText>MERGEFORMAT</w:instrText>
      </w:r>
      <w:r w:rsidRPr="00BC7DC8">
        <w:rPr>
          <w:vanish/>
          <w:rtl/>
        </w:rPr>
        <w:instrText xml:space="preserve"> </w:instrText>
      </w:r>
      <w:r w:rsidRPr="00030A4D">
        <w:rPr>
          <w:vanish/>
          <w:rtl/>
        </w:rPr>
      </w:r>
      <w:r w:rsidRPr="00BC7DC8">
        <w:rPr>
          <w:vanish/>
          <w:rtl/>
        </w:rPr>
        <w:fldChar w:fldCharType="separate"/>
      </w:r>
      <w:r w:rsidR="00D82181">
        <w:rPr>
          <w:vanish/>
          <w:cs/>
        </w:rPr>
        <w:t>‎</w:t>
      </w:r>
      <w:r w:rsidR="00D82181">
        <w:rPr>
          <w:vanish/>
          <w:rtl/>
        </w:rPr>
        <w:t>א)</w:t>
      </w:r>
      <w:r w:rsidRPr="00BC7DC8">
        <w:rPr>
          <w:vanish/>
          <w:rtl/>
        </w:rPr>
        <w:fldChar w:fldCharType="end"/>
      </w:r>
      <w:r w:rsidRPr="00BC7DC8">
        <w:rPr>
          <w:vanish/>
          <w:rtl/>
        </w:rPr>
        <w:t xml:space="preserve"> &gt;</w:t>
      </w:r>
      <w:r w:rsidRPr="00BC7DC8">
        <w:rPr>
          <w:rStyle w:val="aff4"/>
          <w:vanish/>
          <w:rtl/>
        </w:rPr>
        <w:t>-</w:t>
      </w:r>
      <w:r w:rsidRPr="00ED6CBD">
        <w:rPr>
          <w:rStyle w:val="aff4"/>
          <w:rtl/>
        </w:rPr>
        <w:t>רש"י לעיל</w:t>
      </w:r>
      <w:r w:rsidRPr="00BC7DC8">
        <w:rPr>
          <w:rStyle w:val="aff4"/>
          <w:vanish/>
          <w:rtl/>
        </w:rPr>
        <w:t>-</w:t>
      </w:r>
      <w:r>
        <w:rPr>
          <w:rtl/>
        </w:rPr>
        <w:t xml:space="preserve"> </w:t>
      </w:r>
      <w:r w:rsidRPr="00BC7DC8">
        <w:rPr>
          <w:rStyle w:val="af2"/>
          <w:rFonts w:eastAsia="Guttman Hodes"/>
          <w:rtl/>
        </w:rPr>
        <w:t>(מז. ד"ה חייב, עד: ד"ה ואי)</w:t>
      </w:r>
      <w:r w:rsidRPr="00BC7DC8">
        <w:rPr>
          <w:vanish/>
          <w:rtl/>
        </w:rPr>
        <w:t>=</w:t>
      </w:r>
      <w:r>
        <w:rPr>
          <w:rtl/>
        </w:rPr>
        <w:t xml:space="preserve"> דאין </w:t>
      </w:r>
      <w:r>
        <w:rPr>
          <w:rFonts w:hint="cs"/>
          <w:rtl/>
        </w:rPr>
        <w:t xml:space="preserve">בזה </w:t>
      </w:r>
      <w:r>
        <w:rPr>
          <w:rtl/>
        </w:rPr>
        <w:t>חיוב משום בונה כיון דאין בנין בכלים</w:t>
      </w:r>
      <w:r>
        <w:rPr>
          <w:rFonts w:hint="cs"/>
          <w:rtl/>
        </w:rPr>
        <w:t>, והחיוב הוא משום מכה בפטיש</w:t>
      </w:r>
      <w:bookmarkEnd w:id="5382"/>
      <w:r>
        <w:rPr>
          <w:rFonts w:hint="cs"/>
          <w:rtl/>
        </w:rPr>
        <w:t xml:space="preserve">, </w:t>
      </w:r>
      <w:r w:rsidRPr="00030A4D">
        <w:rPr>
          <w:rStyle w:val="af"/>
          <w:rFonts w:hint="cs"/>
          <w:rtl/>
        </w:rPr>
        <w:t>[ובחבית לא שייך לחייב בזה דנגמרת מאליה בתנור]</w:t>
      </w:r>
      <w:r>
        <w:rPr>
          <w:rStyle w:val="af"/>
          <w:rFonts w:hint="cs"/>
          <w:rtl/>
        </w:rPr>
        <w:t xml:space="preserve">, </w:t>
      </w:r>
      <w:r>
        <w:rPr>
          <w:rFonts w:hint="cs"/>
          <w:rtl/>
        </w:rPr>
        <w:t xml:space="preserve">וכן בהא דאמר רבא בגמ' לקמן </w:t>
      </w:r>
      <w:r w:rsidRPr="00BC7DC8">
        <w:rPr>
          <w:rStyle w:val="af2"/>
          <w:rFonts w:eastAsia="Guttman Hodes" w:hint="cs"/>
          <w:rtl/>
        </w:rPr>
        <w:t>(קכב:)</w:t>
      </w:r>
      <w:r>
        <w:rPr>
          <w:rFonts w:hint="cs"/>
          <w:rtl/>
        </w:rPr>
        <w:t xml:space="preserve"> דבלתות הכלים אין בנין וסתירה בכלים, ואסור להחזירם מגזירה שמא יתקע, כתב </w:t>
      </w:r>
      <w:r w:rsidRPr="00BC7DC8">
        <w:rPr>
          <w:rFonts w:hint="cs"/>
          <w:vanish/>
          <w:rtl/>
        </w:rPr>
        <w:t>&lt; &gt;</w:t>
      </w:r>
      <w:r w:rsidRPr="00BC7DC8">
        <w:rPr>
          <w:rStyle w:val="aff4"/>
          <w:rFonts w:hint="cs"/>
          <w:vanish/>
          <w:rtl/>
        </w:rPr>
        <w:t>-</w:t>
      </w:r>
      <w:r w:rsidRPr="00ED6CBD">
        <w:rPr>
          <w:rStyle w:val="aff4"/>
          <w:rFonts w:hint="cs"/>
          <w:rtl/>
        </w:rPr>
        <w:t>רש"י לקמן</w:t>
      </w:r>
      <w:r w:rsidRPr="00BC7DC8">
        <w:rPr>
          <w:rStyle w:val="aff4"/>
          <w:rFonts w:hint="cs"/>
          <w:vanish/>
          <w:rtl/>
        </w:rPr>
        <w:t>-</w:t>
      </w:r>
      <w:r>
        <w:rPr>
          <w:rFonts w:hint="cs"/>
          <w:rtl/>
        </w:rPr>
        <w:t xml:space="preserve"> </w:t>
      </w:r>
      <w:r w:rsidRPr="00BC7DC8">
        <w:rPr>
          <w:rStyle w:val="af2"/>
          <w:rFonts w:eastAsia="Guttman Hodes" w:hint="cs"/>
          <w:rtl/>
        </w:rPr>
        <w:t>(קכב: ד"ה גזירה)</w:t>
      </w:r>
      <w:r w:rsidRPr="00BC7DC8">
        <w:rPr>
          <w:rFonts w:hint="cs"/>
          <w:vanish/>
          <w:rtl/>
        </w:rPr>
        <w:t>=</w:t>
      </w:r>
      <w:r>
        <w:rPr>
          <w:rFonts w:hint="cs"/>
          <w:rtl/>
        </w:rPr>
        <w:t xml:space="preserve"> דאי תקע בחזקה בסכין ויתדות הוא גמר מלאכה וחייב משום מכה בפטיש, וכן בהא דאמרינן בגמ' לעיל </w:t>
      </w:r>
      <w:r w:rsidRPr="00BC7DC8">
        <w:rPr>
          <w:rStyle w:val="af2"/>
          <w:rFonts w:eastAsia="Guttman Hodes" w:hint="cs"/>
          <w:rtl/>
        </w:rPr>
        <w:t>(מח.)</w:t>
      </w:r>
      <w:r>
        <w:rPr>
          <w:rFonts w:hint="cs"/>
          <w:rtl/>
        </w:rPr>
        <w:t xml:space="preserve"> דהפותח בית הצואר חייב חטאת, כתב </w:t>
      </w:r>
      <w:r w:rsidRPr="00BC7DC8">
        <w:rPr>
          <w:rFonts w:hint="cs"/>
          <w:vanish/>
          <w:rtl/>
        </w:rPr>
        <w:t>&lt; &gt;</w:t>
      </w:r>
      <w:r w:rsidRPr="00BC7DC8">
        <w:rPr>
          <w:rStyle w:val="aff4"/>
          <w:rFonts w:hint="cs"/>
          <w:vanish/>
          <w:rtl/>
        </w:rPr>
        <w:t>-</w:t>
      </w:r>
      <w:r w:rsidRPr="00ED6CBD">
        <w:rPr>
          <w:rStyle w:val="aff4"/>
          <w:rFonts w:hint="cs"/>
          <w:rtl/>
        </w:rPr>
        <w:t>רש"י לעיל</w:t>
      </w:r>
      <w:r w:rsidRPr="00BC7DC8">
        <w:rPr>
          <w:rStyle w:val="aff4"/>
          <w:rFonts w:hint="cs"/>
          <w:vanish/>
          <w:rtl/>
        </w:rPr>
        <w:t>-</w:t>
      </w:r>
      <w:r>
        <w:rPr>
          <w:rFonts w:hint="cs"/>
          <w:rtl/>
        </w:rPr>
        <w:t xml:space="preserve"> </w:t>
      </w:r>
      <w:r w:rsidRPr="00BC7DC8">
        <w:rPr>
          <w:rStyle w:val="af2"/>
          <w:rFonts w:eastAsia="Guttman Hodes" w:hint="cs"/>
          <w:rtl/>
        </w:rPr>
        <w:t>(מח. ד"ה חייב)</w:t>
      </w:r>
      <w:r w:rsidRPr="00BC7DC8">
        <w:rPr>
          <w:rFonts w:hint="cs"/>
          <w:vanish/>
          <w:rtl/>
        </w:rPr>
        <w:t>=</w:t>
      </w:r>
      <w:r>
        <w:rPr>
          <w:rFonts w:hint="cs"/>
          <w:rtl/>
        </w:rPr>
        <w:t xml:space="preserve"> דעי"ז הוא עושה כלי וחייב משום מכה בפטיש דהוא גמר מלאכה, וכן בהא דאמרינן בגמ' לקמן </w:t>
      </w:r>
      <w:r w:rsidRPr="00BC7DC8">
        <w:rPr>
          <w:rStyle w:val="af2"/>
          <w:rFonts w:eastAsia="Guttman Hodes" w:hint="cs"/>
          <w:rtl/>
        </w:rPr>
        <w:t>(קכד:)</w:t>
      </w:r>
      <w:r>
        <w:rPr>
          <w:rFonts w:hint="cs"/>
          <w:rtl/>
        </w:rPr>
        <w:t xml:space="preserve"> דאסור ליטל שבר מחבית שנשברה ולתקנו לכיסוי כלי, כתב </w:t>
      </w:r>
      <w:r w:rsidRPr="00BC7DC8">
        <w:rPr>
          <w:rFonts w:hint="cs"/>
          <w:vanish/>
          <w:rtl/>
        </w:rPr>
        <w:t>&lt; &gt;</w:t>
      </w:r>
      <w:r w:rsidRPr="00BC7DC8">
        <w:rPr>
          <w:rStyle w:val="aff4"/>
          <w:rFonts w:hint="cs"/>
          <w:vanish/>
          <w:rtl/>
        </w:rPr>
        <w:t>-</w:t>
      </w:r>
      <w:r w:rsidRPr="00ED6CBD">
        <w:rPr>
          <w:rStyle w:val="aff4"/>
          <w:rFonts w:hint="cs"/>
          <w:rtl/>
        </w:rPr>
        <w:t>רש"י לקמן</w:t>
      </w:r>
      <w:r w:rsidRPr="00BC7DC8">
        <w:rPr>
          <w:rStyle w:val="aff4"/>
          <w:rFonts w:hint="cs"/>
          <w:vanish/>
          <w:rtl/>
        </w:rPr>
        <w:t>-</w:t>
      </w:r>
      <w:r>
        <w:rPr>
          <w:rFonts w:hint="cs"/>
          <w:rtl/>
        </w:rPr>
        <w:t xml:space="preserve"> </w:t>
      </w:r>
      <w:r w:rsidRPr="00BC7DC8">
        <w:rPr>
          <w:rStyle w:val="af2"/>
          <w:rFonts w:eastAsia="Guttman Hodes" w:hint="cs"/>
          <w:rtl/>
        </w:rPr>
        <w:t>(קכד: ד"ה לא יספות)</w:t>
      </w:r>
      <w:r w:rsidRPr="00BC7DC8">
        <w:rPr>
          <w:rFonts w:hint="cs"/>
          <w:vanish/>
          <w:rtl/>
        </w:rPr>
        <w:t>=</w:t>
      </w:r>
      <w:r>
        <w:rPr>
          <w:rFonts w:hint="cs"/>
          <w:rtl/>
        </w:rPr>
        <w:t xml:space="preserve"> דכשמתקנו הוא עושה כלי וחייב משום מכה בפטיש</w:t>
      </w:r>
      <w:bookmarkEnd w:id="5383"/>
      <w:r>
        <w:rPr>
          <w:rFonts w:hint="cs"/>
          <w:rtl/>
        </w:rPr>
        <w:t xml:space="preserve">. </w:t>
      </w:r>
      <w:r w:rsidRPr="00637014">
        <w:rPr>
          <w:rStyle w:val="af"/>
          <w:rFonts w:hint="cs"/>
          <w:rtl/>
        </w:rPr>
        <w:t xml:space="preserve">[ועי' במה שביארו </w:t>
      </w:r>
      <w:r w:rsidRPr="00637014">
        <w:rPr>
          <w:rStyle w:val="aff9"/>
          <w:rFonts w:hint="cs"/>
          <w:rtl/>
        </w:rPr>
        <w:t>הרשב"א והר"ן</w:t>
      </w:r>
      <w:r w:rsidRPr="00637014">
        <w:rPr>
          <w:rStyle w:val="af"/>
          <w:rFonts w:hint="cs"/>
          <w:rtl/>
        </w:rPr>
        <w:t xml:space="preserve"> בדברי </w:t>
      </w:r>
      <w:r w:rsidRPr="00637014">
        <w:rPr>
          <w:rStyle w:val="aff9"/>
          <w:rFonts w:hint="cs"/>
          <w:rtl/>
        </w:rPr>
        <w:t>רש"י בעירובין</w:t>
      </w:r>
      <w:r w:rsidRPr="00637014">
        <w:rPr>
          <w:rStyle w:val="af"/>
          <w:rFonts w:hint="cs"/>
          <w:rtl/>
        </w:rPr>
        <w:t xml:space="preserve"> </w:t>
      </w:r>
      <w:r w:rsidRPr="00637014">
        <w:rPr>
          <w:rStyle w:val="aff0"/>
          <w:rFonts w:hint="cs"/>
          <w:rtl/>
        </w:rPr>
        <w:t xml:space="preserve">(עי' אות </w:t>
      </w:r>
      <w:r w:rsidRPr="00637014">
        <w:rPr>
          <w:rStyle w:val="aff0"/>
          <w:rtl/>
        </w:rPr>
        <w:fldChar w:fldCharType="begin"/>
      </w:r>
      <w:r w:rsidRPr="00637014">
        <w:rPr>
          <w:rStyle w:val="aff0"/>
          <w:rtl/>
        </w:rPr>
        <w:instrText xml:space="preserve"> </w:instrText>
      </w:r>
      <w:r w:rsidRPr="00637014">
        <w:rPr>
          <w:rStyle w:val="aff0"/>
          <w:rFonts w:hint="cs"/>
        </w:rPr>
        <w:instrText>REF</w:instrText>
      </w:r>
      <w:r w:rsidRPr="00637014">
        <w:rPr>
          <w:rStyle w:val="aff0"/>
          <w:rFonts w:hint="cs"/>
          <w:rtl/>
        </w:rPr>
        <w:instrText xml:space="preserve"> _</w:instrText>
      </w:r>
      <w:r w:rsidRPr="00637014">
        <w:rPr>
          <w:rStyle w:val="aff0"/>
          <w:rFonts w:hint="cs"/>
        </w:rPr>
        <w:instrText>Ref145061049 \r \h</w:instrText>
      </w:r>
      <w:r w:rsidRPr="00637014">
        <w:rPr>
          <w:rStyle w:val="aff0"/>
          <w:rtl/>
        </w:rPr>
        <w:instrText xml:space="preserve"> </w:instrText>
      </w:r>
      <w:r w:rsidRPr="00637014">
        <w:rPr>
          <w:rStyle w:val="aff0"/>
          <w:rtl/>
        </w:rPr>
      </w:r>
      <w:r w:rsidRPr="00637014">
        <w:rPr>
          <w:rStyle w:val="aff0"/>
          <w:rtl/>
        </w:rPr>
        <w:fldChar w:fldCharType="separate"/>
      </w:r>
      <w:r w:rsidR="00D82181">
        <w:rPr>
          <w:rStyle w:val="aff0"/>
          <w:cs/>
        </w:rPr>
        <w:t>‎</w:t>
      </w:r>
      <w:r w:rsidR="00D82181">
        <w:rPr>
          <w:rStyle w:val="aff0"/>
          <w:rtl/>
        </w:rPr>
        <w:t>נד)</w:t>
      </w:r>
      <w:r w:rsidRPr="00637014">
        <w:rPr>
          <w:rStyle w:val="aff0"/>
          <w:rtl/>
        </w:rPr>
        <w:fldChar w:fldCharType="end"/>
      </w:r>
      <w:r w:rsidRPr="00637014">
        <w:rPr>
          <w:rStyle w:val="af"/>
          <w:rFonts w:hint="cs"/>
          <w:rtl/>
        </w:rPr>
        <w:t xml:space="preserve"> דהא דאין בנין בכלים הוא רק בכלי קטן שאין בו בנין וסתירה, אבל בכלי גדול כאוהל </w:t>
      </w:r>
      <w:bookmarkEnd w:id="5384"/>
      <w:r w:rsidRPr="00637014">
        <w:rPr>
          <w:rStyle w:val="af"/>
          <w:rFonts w:hint="cs"/>
          <w:rtl/>
        </w:rPr>
        <w:t>יש בנין בכלים].</w:t>
      </w:r>
      <w:bookmarkEnd w:id="5385"/>
    </w:p>
    <w:p w14:paraId="16CF394C" w14:textId="77777777" w:rsidR="003E1AA3" w:rsidRPr="00BC7DC8" w:rsidRDefault="003E1AA3" w:rsidP="003E1AA3">
      <w:pPr>
        <w:pStyle w:val="afffffe"/>
        <w:rPr>
          <w:vanish/>
          <w:rtl/>
        </w:rPr>
      </w:pPr>
      <w:r w:rsidRPr="00BC7DC8">
        <w:rPr>
          <w:vanish/>
          <w:rtl/>
        </w:rPr>
        <w:t>רש"י שבת מ"ז ע"א ד"ה חייב</w:t>
      </w:r>
    </w:p>
    <w:p w14:paraId="26D5C964" w14:textId="77777777" w:rsidR="003E1AA3" w:rsidRPr="0018388A" w:rsidRDefault="003E1AA3" w:rsidP="003E1AA3">
      <w:pPr>
        <w:pStyle w:val="a2"/>
        <w:tabs>
          <w:tab w:val="num" w:pos="284"/>
        </w:tabs>
        <w:rPr>
          <w:rtl/>
        </w:rPr>
      </w:pPr>
      <w:r w:rsidRPr="0018388A">
        <w:rPr>
          <w:rtl/>
        </w:rPr>
        <w:t>חייב חטאת - הוא תחלתו וגמרו, ונמצא עושה כלי, וחייב משום מכה בפטיש - אב לכל גומרי מלאכה, ולא משום בנין - דאין בנין בכלים.</w:t>
      </w:r>
    </w:p>
    <w:p w14:paraId="729BBE51" w14:textId="77777777" w:rsidR="003E1AA3" w:rsidRPr="00BC7DC8" w:rsidRDefault="003E1AA3" w:rsidP="003E1AA3">
      <w:pPr>
        <w:pStyle w:val="afffffe"/>
        <w:rPr>
          <w:vanish/>
          <w:rtl/>
        </w:rPr>
      </w:pPr>
      <w:r w:rsidRPr="00BC7DC8">
        <w:rPr>
          <w:vanish/>
          <w:rtl/>
        </w:rPr>
        <w:t>רש"י שבת ע"ד ע"ב ד"ה ואי</w:t>
      </w:r>
    </w:p>
    <w:p w14:paraId="5BE12415" w14:textId="77777777" w:rsidR="003E1AA3" w:rsidRPr="002E340A" w:rsidRDefault="003E1AA3" w:rsidP="003E1AA3">
      <w:pPr>
        <w:pStyle w:val="afffff5"/>
        <w:rPr>
          <w:rtl/>
        </w:rPr>
      </w:pPr>
      <w:r w:rsidRPr="002E340A">
        <w:rPr>
          <w:rtl/>
        </w:rPr>
        <w:t>ומשום בונה ליכא לחיוביה לא בחבית ולא בתנור ולא בכוורת, דאין בנין בכלים</w:t>
      </w:r>
      <w:r w:rsidRPr="002E340A">
        <w:rPr>
          <w:rFonts w:hint="cs"/>
          <w:rtl/>
        </w:rPr>
        <w:t>.</w:t>
      </w:r>
    </w:p>
    <w:p w14:paraId="673220CE" w14:textId="77777777" w:rsidR="003E1AA3" w:rsidRPr="00BC7DC8" w:rsidRDefault="003E1AA3" w:rsidP="003E1AA3">
      <w:pPr>
        <w:pStyle w:val="afffffe"/>
        <w:rPr>
          <w:vanish/>
          <w:rtl/>
        </w:rPr>
      </w:pPr>
      <w:r w:rsidRPr="00BC7DC8">
        <w:rPr>
          <w:vanish/>
          <w:rtl/>
        </w:rPr>
        <w:t>רש"י שבת קכ"ב ע"ב</w:t>
      </w:r>
      <w:r w:rsidRPr="00BC7DC8">
        <w:rPr>
          <w:rFonts w:hint="cs"/>
          <w:vanish/>
          <w:rtl/>
        </w:rPr>
        <w:t xml:space="preserve"> ד"ה גזירה</w:t>
      </w:r>
    </w:p>
    <w:p w14:paraId="09215D40" w14:textId="77777777" w:rsidR="003E1AA3" w:rsidRPr="002E340A" w:rsidRDefault="003E1AA3" w:rsidP="003E1AA3">
      <w:pPr>
        <w:pStyle w:val="afffff5"/>
        <w:rPr>
          <w:rtl/>
        </w:rPr>
      </w:pPr>
      <w:r w:rsidRPr="002E340A">
        <w:rPr>
          <w:rtl/>
        </w:rPr>
        <w:t>גזירה שמא יתקע - בחזקה בסכין ויתדות, והוה ליה גמר מלאכה וחייב משום מכה בפטיש.</w:t>
      </w:r>
    </w:p>
    <w:p w14:paraId="60030EA1" w14:textId="77777777" w:rsidR="003E1AA3" w:rsidRPr="00BC7DC8" w:rsidRDefault="003E1AA3" w:rsidP="003E1AA3">
      <w:pPr>
        <w:pStyle w:val="afffffe"/>
        <w:rPr>
          <w:vanish/>
          <w:rtl/>
        </w:rPr>
      </w:pPr>
      <w:r w:rsidRPr="00BC7DC8">
        <w:rPr>
          <w:vanish/>
          <w:rtl/>
        </w:rPr>
        <w:t>רש"י שבת מ"ח ע"א</w:t>
      </w:r>
      <w:r w:rsidRPr="00BC7DC8">
        <w:rPr>
          <w:rFonts w:hint="cs"/>
          <w:vanish/>
          <w:rtl/>
        </w:rPr>
        <w:t xml:space="preserve"> ד"ה חייב</w:t>
      </w:r>
    </w:p>
    <w:p w14:paraId="70552109" w14:textId="77777777" w:rsidR="003E1AA3" w:rsidRPr="002E340A" w:rsidRDefault="003E1AA3" w:rsidP="003E1AA3">
      <w:pPr>
        <w:pStyle w:val="afffff5"/>
        <w:rPr>
          <w:rtl/>
        </w:rPr>
      </w:pPr>
      <w:r w:rsidRPr="002E340A">
        <w:rPr>
          <w:rtl/>
        </w:rPr>
        <w:t>חייב חטאת - דהשתא קמשוי ליה מנא, וחייב משום מכה בפטיש, והיינו גמר מלאכה.</w:t>
      </w:r>
    </w:p>
    <w:p w14:paraId="0CE13B5A" w14:textId="77777777" w:rsidR="003E1AA3" w:rsidRPr="00BC7DC8" w:rsidRDefault="003E1AA3" w:rsidP="003E1AA3">
      <w:pPr>
        <w:pStyle w:val="afffffe"/>
        <w:rPr>
          <w:vanish/>
          <w:rtl/>
        </w:rPr>
      </w:pPr>
      <w:r w:rsidRPr="00BC7DC8">
        <w:rPr>
          <w:vanish/>
          <w:rtl/>
        </w:rPr>
        <w:t>רש"י שבת קכ"ד ע"ב</w:t>
      </w:r>
      <w:r w:rsidRPr="00BC7DC8">
        <w:rPr>
          <w:rFonts w:hint="cs"/>
          <w:vanish/>
          <w:rtl/>
        </w:rPr>
        <w:t xml:space="preserve"> ד"ה לא יספות</w:t>
      </w:r>
    </w:p>
    <w:p w14:paraId="37AEA085" w14:textId="77777777" w:rsidR="003E1AA3" w:rsidRPr="002E340A" w:rsidRDefault="003E1AA3" w:rsidP="003E1AA3">
      <w:pPr>
        <w:pStyle w:val="afffff5"/>
        <w:rPr>
          <w:rtl/>
        </w:rPr>
      </w:pPr>
      <w:r w:rsidRPr="002E340A">
        <w:rPr>
          <w:rtl/>
        </w:rPr>
        <w:t>לא יספות - יתקן, להתיר בליטותיו ועוקציו בשבת, דעביד כלי והוי מכה בפטיש.</w:t>
      </w:r>
    </w:p>
    <w:p w14:paraId="4150EA54" w14:textId="77777777" w:rsidR="003E1AA3" w:rsidRPr="00FC269C" w:rsidRDefault="003E1AA3" w:rsidP="003E1AA3">
      <w:pPr>
        <w:pStyle w:val="afffff7"/>
        <w:rPr>
          <w:rtl/>
        </w:rPr>
      </w:pPr>
      <w:bookmarkStart w:id="5386" w:name="_Toc145233999"/>
      <w:bookmarkStart w:id="5387" w:name="_Toc163506257"/>
      <w:r w:rsidRPr="00FC269C">
        <w:rPr>
          <w:rtl/>
        </w:rPr>
        <w:t>רש"י ביצה י"א ע"ב</w:t>
      </w:r>
      <w:r w:rsidRPr="00FC269C">
        <w:rPr>
          <w:rFonts w:hint="cs"/>
          <w:rtl/>
        </w:rPr>
        <w:t xml:space="preserve"> ד"ה דאין</w:t>
      </w:r>
      <w:bookmarkEnd w:id="5386"/>
      <w:bookmarkEnd w:id="5387"/>
    </w:p>
    <w:p w14:paraId="583A7474" w14:textId="77777777" w:rsidR="003E1AA3" w:rsidRDefault="003E1AA3" w:rsidP="003E1AA3">
      <w:pPr>
        <w:pStyle w:val="a7"/>
        <w:rPr>
          <w:rtl/>
        </w:rPr>
      </w:pPr>
      <w:bookmarkStart w:id="5388" w:name="_Toc145233883"/>
      <w:r>
        <w:rPr>
          <w:rFonts w:hint="cs"/>
          <w:rtl/>
        </w:rPr>
        <w:t>בי' רש"י בביצה דרק בבתים שייך חיוב בונה בכ"ש אבל עשיית כלי וגמירתו היא משום מכב"פ</w:t>
      </w:r>
      <w:bookmarkEnd w:id="5388"/>
    </w:p>
    <w:p w14:paraId="55925B1C" w14:textId="77E37DC5" w:rsidR="003E1AA3" w:rsidRPr="0077738B" w:rsidRDefault="003E1AA3" w:rsidP="00BC7DC8">
      <w:pPr>
        <w:pStyle w:val="a3"/>
        <w:rPr>
          <w:rtl/>
        </w:rPr>
      </w:pPr>
      <w:r>
        <w:rPr>
          <w:rFonts w:hint="cs"/>
          <w:rtl/>
        </w:rPr>
        <w:t xml:space="preserve">ובהא דאמרינן בגמ' בביצה </w:t>
      </w:r>
      <w:r w:rsidRPr="00C962CD">
        <w:rPr>
          <w:rStyle w:val="af2"/>
          <w:rFonts w:eastAsia="Guttman Hodes" w:hint="cs"/>
          <w:rtl/>
        </w:rPr>
        <w:t>(יא:)</w:t>
      </w:r>
      <w:r>
        <w:rPr>
          <w:rFonts w:hint="cs"/>
          <w:rtl/>
        </w:rPr>
        <w:t xml:space="preserve"> דלב"ה מותר להחזיר תריסין של תיבות החנויות ביו"ט, כיון דאין בנין וסתירה בכלים, ביאר </w:t>
      </w:r>
      <w:r w:rsidRPr="00030A4D">
        <w:rPr>
          <w:rFonts w:hint="cs"/>
          <w:vanish/>
          <w:rtl/>
        </w:rPr>
        <w:t xml:space="preserve">&lt;, </w:t>
      </w:r>
      <w:r w:rsidRPr="00030A4D">
        <w:rPr>
          <w:vanish/>
          <w:rtl/>
        </w:rPr>
        <w:fldChar w:fldCharType="begin"/>
      </w:r>
      <w:r w:rsidRPr="00030A4D">
        <w:rPr>
          <w:vanish/>
          <w:rtl/>
        </w:rPr>
        <w:instrText xml:space="preserve"> </w:instrText>
      </w:r>
      <w:r w:rsidRPr="00030A4D">
        <w:rPr>
          <w:rFonts w:hint="cs"/>
          <w:vanish/>
        </w:rPr>
        <w:instrText>REF</w:instrText>
      </w:r>
      <w:r w:rsidRPr="00030A4D">
        <w:rPr>
          <w:rFonts w:hint="cs"/>
          <w:vanish/>
          <w:rtl/>
        </w:rPr>
        <w:instrText xml:space="preserve"> _</w:instrText>
      </w:r>
      <w:r w:rsidRPr="00030A4D">
        <w:rPr>
          <w:rFonts w:hint="cs"/>
          <w:vanish/>
        </w:rPr>
        <w:instrText>Ref143720755 \r \h</w:instrText>
      </w:r>
      <w:r w:rsidRPr="00030A4D">
        <w:rPr>
          <w:vanish/>
          <w:rtl/>
        </w:rPr>
        <w:instrText xml:space="preserve"> </w:instrText>
      </w:r>
      <w:r w:rsidRPr="00030A4D">
        <w:rPr>
          <w:vanish/>
          <w:rtl/>
        </w:rPr>
      </w:r>
      <w:r w:rsidRPr="00030A4D">
        <w:rPr>
          <w:vanish/>
          <w:rtl/>
        </w:rPr>
        <w:fldChar w:fldCharType="separate"/>
      </w:r>
      <w:r w:rsidR="00D82181">
        <w:rPr>
          <w:vanish/>
          <w:cs/>
        </w:rPr>
        <w:t>‎</w:t>
      </w:r>
      <w:r w:rsidR="00D82181">
        <w:rPr>
          <w:vanish/>
          <w:rtl/>
        </w:rPr>
        <w:t>טו)</w:t>
      </w:r>
      <w:r w:rsidRPr="00030A4D">
        <w:rPr>
          <w:vanish/>
          <w:rtl/>
        </w:rPr>
        <w:fldChar w:fldCharType="end"/>
      </w:r>
      <w:r w:rsidRPr="00030A4D">
        <w:rPr>
          <w:rFonts w:hint="cs"/>
          <w:vanish/>
          <w:rtl/>
        </w:rPr>
        <w:t xml:space="preserve"> &gt;</w:t>
      </w:r>
      <w:r w:rsidRPr="00030A4D">
        <w:rPr>
          <w:rStyle w:val="aff4"/>
          <w:rFonts w:hint="cs"/>
          <w:vanish/>
          <w:rtl/>
        </w:rPr>
        <w:t>-</w:t>
      </w:r>
      <w:r w:rsidRPr="00ED6CBD">
        <w:rPr>
          <w:rStyle w:val="aff4"/>
          <w:rFonts w:hint="cs"/>
          <w:rtl/>
        </w:rPr>
        <w:t>רש"י בביצה</w:t>
      </w:r>
      <w:r w:rsidRPr="00030A4D">
        <w:rPr>
          <w:rStyle w:val="aff4"/>
          <w:rFonts w:hint="cs"/>
          <w:vanish/>
          <w:rtl/>
        </w:rPr>
        <w:t>-</w:t>
      </w:r>
      <w:r>
        <w:rPr>
          <w:rFonts w:hint="cs"/>
          <w:rtl/>
        </w:rPr>
        <w:t xml:space="preserve"> </w:t>
      </w:r>
      <w:r w:rsidRPr="00C962CD">
        <w:rPr>
          <w:rStyle w:val="af2"/>
          <w:rFonts w:eastAsia="Guttman Hodes" w:hint="cs"/>
          <w:rtl/>
        </w:rPr>
        <w:t>(יא: ד"ה דאין)</w:t>
      </w:r>
      <w:r w:rsidRPr="00030A4D">
        <w:rPr>
          <w:rFonts w:hint="cs"/>
          <w:vanish/>
          <w:rtl/>
        </w:rPr>
        <w:t>=</w:t>
      </w:r>
      <w:r>
        <w:rPr>
          <w:rFonts w:hint="cs"/>
          <w:rtl/>
        </w:rPr>
        <w:t xml:space="preserve"> דרק בבתים אפשר לחייב בנין כל שהוא, וחיוב עשיית כלי וגמירתו הוא משום מכה בפטיש שהוא החיוב בכל גמר מלאכה, אבל בהחזרת תריסין א"א לחייב משום בונה, כיון דהא דתנן בסוגיין דהבונה חייב בכל שהוא היינו דוקא בבתים.</w:t>
      </w:r>
    </w:p>
    <w:p w14:paraId="6ABE1A42" w14:textId="77777777" w:rsidR="003E1AA3" w:rsidRPr="00BC7DC8" w:rsidRDefault="003E1AA3" w:rsidP="003E1AA3">
      <w:pPr>
        <w:pStyle w:val="afffffe"/>
        <w:rPr>
          <w:vanish/>
          <w:rtl/>
        </w:rPr>
      </w:pPr>
      <w:r w:rsidRPr="00BC7DC8">
        <w:rPr>
          <w:vanish/>
          <w:rtl/>
        </w:rPr>
        <w:t>רש"י ביצה י"א ע"ב</w:t>
      </w:r>
      <w:r w:rsidRPr="00BC7DC8">
        <w:rPr>
          <w:rFonts w:hint="cs"/>
          <w:vanish/>
          <w:rtl/>
        </w:rPr>
        <w:t xml:space="preserve"> ד"ה דאין</w:t>
      </w:r>
    </w:p>
    <w:p w14:paraId="1A02550F" w14:textId="77777777" w:rsidR="003E1AA3" w:rsidRPr="00FC2169" w:rsidRDefault="003E1AA3" w:rsidP="003E1AA3">
      <w:pPr>
        <w:pStyle w:val="a2"/>
        <w:tabs>
          <w:tab w:val="num" w:pos="284"/>
        </w:tabs>
        <w:rPr>
          <w:rtl/>
        </w:rPr>
      </w:pPr>
      <w:bookmarkStart w:id="5389" w:name="_Hlk144587928"/>
      <w:r w:rsidRPr="0018388A">
        <w:rPr>
          <w:rtl/>
        </w:rPr>
        <w:t>דאין בנין בכלים - אין איסור בנין וסתירה בכלים, אלא בבתים דנחייב בבנין כל דהו, והעושה כלי או גומרו ביום טוב או בשבת - משום מכה בפטיש הוא דמחייב, שהוא חיוב לכל גמר מלאכה</w:t>
      </w:r>
      <w:r w:rsidRPr="0018388A">
        <w:rPr>
          <w:rFonts w:hint="cs"/>
          <w:rtl/>
        </w:rPr>
        <w:t>,</w:t>
      </w:r>
      <w:r w:rsidRPr="00FC2169">
        <w:rPr>
          <w:rStyle w:val="afff7"/>
          <w:rtl/>
        </w:rPr>
        <w:t xml:space="preserve"> או אם הוא דבר שהוא מחליקו - חייב משום ממחק, ואם צריך קצוע - </w:t>
      </w:r>
      <w:r w:rsidRPr="00FC2169">
        <w:rPr>
          <w:rStyle w:val="afff7"/>
          <w:rFonts w:hint="cs"/>
          <w:rtl/>
        </w:rPr>
        <w:t>,,</w:t>
      </w:r>
      <w:r w:rsidRPr="00FC2169">
        <w:rPr>
          <w:rStyle w:val="afff7"/>
          <w:rtl/>
        </w:rPr>
        <w:t>חייב משום מחתך, וכן אורג או מסך או תופר,</w:t>
      </w:r>
      <w:r w:rsidRPr="00FC2169">
        <w:rPr>
          <w:rtl/>
        </w:rPr>
        <w:t xml:space="preserve"> אבל בנין וסתירה - לא שייך בהו לאחיובי בסלוק וחזרה, דהא דתנן (שבת קב, ב): הבונה כל שהוא - בבתים תנן</w:t>
      </w:r>
      <w:r w:rsidRPr="00FC2169">
        <w:rPr>
          <w:rFonts w:hint="cs"/>
          <w:rtl/>
        </w:rPr>
        <w:t>.</w:t>
      </w:r>
    </w:p>
    <w:p w14:paraId="6685D652" w14:textId="77777777" w:rsidR="003E1AA3" w:rsidRPr="00FC269C" w:rsidRDefault="003E1AA3" w:rsidP="003E1AA3">
      <w:pPr>
        <w:pStyle w:val="afffff7"/>
        <w:rPr>
          <w:rtl/>
        </w:rPr>
      </w:pPr>
      <w:bookmarkStart w:id="5390" w:name="_Toc145234000"/>
      <w:bookmarkStart w:id="5391" w:name="_Toc163506258"/>
      <w:bookmarkEnd w:id="5389"/>
      <w:r w:rsidRPr="00FC269C">
        <w:rPr>
          <w:rtl/>
        </w:rPr>
        <w:t>רש"י ביצה כ"ב ע"א</w:t>
      </w:r>
      <w:r w:rsidRPr="00FC269C">
        <w:rPr>
          <w:rFonts w:hint="cs"/>
          <w:rtl/>
        </w:rPr>
        <w:t xml:space="preserve"> ד"ה יש תורת</w:t>
      </w:r>
      <w:bookmarkEnd w:id="5390"/>
      <w:bookmarkEnd w:id="5391"/>
    </w:p>
    <w:p w14:paraId="377BF8A2" w14:textId="77777777" w:rsidR="003E1AA3" w:rsidRPr="00FC2169" w:rsidRDefault="003E1AA3" w:rsidP="003E1AA3">
      <w:pPr>
        <w:pStyle w:val="afffffffff6"/>
        <w:rPr>
          <w:rtl/>
        </w:rPr>
      </w:pPr>
      <w:r w:rsidRPr="00FC2169">
        <w:rPr>
          <w:rtl/>
        </w:rPr>
        <w:t>רש"י ביצה כ"ב ע"א</w:t>
      </w:r>
      <w:r w:rsidRPr="00FC2169">
        <w:rPr>
          <w:rFonts w:hint="cs"/>
          <w:rtl/>
        </w:rPr>
        <w:t xml:space="preserve"> ד"ה אין תורת</w:t>
      </w:r>
    </w:p>
    <w:p w14:paraId="29FE2775" w14:textId="77777777" w:rsidR="003E1AA3" w:rsidRDefault="003E1AA3" w:rsidP="003E1AA3">
      <w:pPr>
        <w:pStyle w:val="a7"/>
        <w:rPr>
          <w:rtl/>
        </w:rPr>
      </w:pPr>
      <w:bookmarkStart w:id="5392" w:name="_Toc145233884"/>
      <w:r>
        <w:rPr>
          <w:rFonts w:hint="cs"/>
          <w:rtl/>
        </w:rPr>
        <w:t>בי' רש"י בביצה דלב"ה מלאכה בכלים היא רק באב בפנ"ע כמחתך אבל בבנין א"א לחייב בכלי</w:t>
      </w:r>
      <w:bookmarkEnd w:id="5392"/>
    </w:p>
    <w:p w14:paraId="163C8DB8" w14:textId="21ED458E" w:rsidR="003E1AA3" w:rsidRPr="004C7881" w:rsidRDefault="003E1AA3" w:rsidP="00BC7DC8">
      <w:pPr>
        <w:pStyle w:val="a3"/>
        <w:rPr>
          <w:rtl/>
        </w:rPr>
      </w:pPr>
      <w:bookmarkStart w:id="5393" w:name="_Ref144375101"/>
      <w:bookmarkStart w:id="5394" w:name="_Hlk144240193"/>
      <w:r>
        <w:rPr>
          <w:rFonts w:hint="cs"/>
          <w:rtl/>
        </w:rPr>
        <w:t xml:space="preserve">ובהא דאמרינן בגמ' </w:t>
      </w:r>
      <w:bookmarkStart w:id="5395" w:name="_Hlk144669957"/>
      <w:r>
        <w:rPr>
          <w:rFonts w:hint="cs"/>
          <w:rtl/>
        </w:rPr>
        <w:t xml:space="preserve">בביצה </w:t>
      </w:r>
      <w:r w:rsidRPr="00C962CD">
        <w:rPr>
          <w:rStyle w:val="af2"/>
          <w:rFonts w:eastAsia="Guttman Hodes" w:hint="cs"/>
          <w:rtl/>
        </w:rPr>
        <w:t>(כב.)</w:t>
      </w:r>
      <w:r>
        <w:rPr>
          <w:rFonts w:hint="cs"/>
          <w:rtl/>
        </w:rPr>
        <w:t xml:space="preserve"> דב"ש אוסרים לזקוף מנורה של חוליות, </w:t>
      </w:r>
      <w:bookmarkEnd w:id="5395"/>
      <w:r>
        <w:rPr>
          <w:rFonts w:hint="cs"/>
          <w:rtl/>
        </w:rPr>
        <w:t xml:space="preserve">דמיחזי כבונה וס"ל דיש תורת בנין בכלים, ביאר </w:t>
      </w:r>
      <w:r w:rsidRPr="00030A4D">
        <w:rPr>
          <w:rFonts w:hint="cs"/>
          <w:vanish/>
          <w:rtl/>
        </w:rPr>
        <w:t xml:space="preserve">&lt;, </w:t>
      </w:r>
      <w:r>
        <w:rPr>
          <w:vanish/>
          <w:rtl/>
        </w:rPr>
        <w:fldChar w:fldCharType="begin"/>
      </w:r>
      <w:r>
        <w:rPr>
          <w:vanish/>
          <w:rtl/>
        </w:rPr>
        <w:instrText xml:space="preserve"> </w:instrText>
      </w:r>
      <w:r>
        <w:rPr>
          <w:rFonts w:hint="cs"/>
          <w:vanish/>
        </w:rPr>
        <w:instrText>REF</w:instrText>
      </w:r>
      <w:r>
        <w:rPr>
          <w:rFonts w:hint="cs"/>
          <w:vanish/>
          <w:rtl/>
        </w:rPr>
        <w:instrText xml:space="preserve"> _</w:instrText>
      </w:r>
      <w:r>
        <w:rPr>
          <w:rFonts w:hint="cs"/>
          <w:vanish/>
        </w:rPr>
        <w:instrText>Ref144375101 \r \h</w:instrText>
      </w:r>
      <w:r>
        <w:rPr>
          <w:vanish/>
          <w:rtl/>
        </w:rPr>
        <w:instrText xml:space="preserve"> </w:instrText>
      </w:r>
      <w:r>
        <w:rPr>
          <w:vanish/>
          <w:rtl/>
        </w:rPr>
      </w:r>
      <w:r>
        <w:rPr>
          <w:vanish/>
          <w:rtl/>
        </w:rPr>
        <w:fldChar w:fldCharType="separate"/>
      </w:r>
      <w:r w:rsidR="00D82181">
        <w:rPr>
          <w:vanish/>
          <w:cs/>
        </w:rPr>
        <w:t>‎</w:t>
      </w:r>
      <w:r w:rsidR="00D82181">
        <w:rPr>
          <w:vanish/>
          <w:rtl/>
        </w:rPr>
        <w:t>ג)</w:t>
      </w:r>
      <w:r>
        <w:rPr>
          <w:vanish/>
          <w:rtl/>
        </w:rPr>
        <w:fldChar w:fldCharType="end"/>
      </w:r>
      <w:r w:rsidRPr="00030A4D">
        <w:rPr>
          <w:rFonts w:hint="cs"/>
          <w:vanish/>
          <w:rtl/>
        </w:rPr>
        <w:t xml:space="preserve"> &gt;-</w:t>
      </w:r>
      <w:r w:rsidRPr="00F867F5">
        <w:rPr>
          <w:rStyle w:val="aff4"/>
          <w:rFonts w:hint="cs"/>
          <w:rtl/>
        </w:rPr>
        <w:t>רש"י בביצה</w:t>
      </w:r>
      <w:r w:rsidRPr="00030A4D">
        <w:rPr>
          <w:rStyle w:val="aff4"/>
          <w:rFonts w:hint="cs"/>
          <w:vanish/>
          <w:rtl/>
        </w:rPr>
        <w:t>-</w:t>
      </w:r>
      <w:r w:rsidRPr="00ED6CBD">
        <w:rPr>
          <w:rStyle w:val="aff4"/>
          <w:rFonts w:hint="cs"/>
          <w:rtl/>
        </w:rPr>
        <w:t xml:space="preserve"> </w:t>
      </w:r>
      <w:r w:rsidRPr="00C962CD">
        <w:rPr>
          <w:rStyle w:val="af2"/>
          <w:rFonts w:eastAsia="Guttman Hodes" w:hint="cs"/>
          <w:rtl/>
        </w:rPr>
        <w:t>(כב. ד"ה יש תורת)</w:t>
      </w:r>
      <w:r w:rsidRPr="00F867F5">
        <w:rPr>
          <w:rFonts w:hint="cs"/>
          <w:vanish/>
          <w:rtl/>
        </w:rPr>
        <w:t>=</w:t>
      </w:r>
      <w:r w:rsidRPr="00F867F5">
        <w:rPr>
          <w:rFonts w:hint="cs"/>
          <w:rtl/>
        </w:rPr>
        <w:t xml:space="preserve"> דהחיוב בבונה הוא בכל שהוא, ובדעת ב"ה דמתירים כיון דס"ל דאין תורת בנין בכלים, ביאר</w:t>
      </w:r>
      <w:r w:rsidRPr="00ED6CBD">
        <w:rPr>
          <w:rStyle w:val="aff4"/>
          <w:rFonts w:hint="cs"/>
          <w:rtl/>
        </w:rPr>
        <w:t xml:space="preserve"> </w:t>
      </w:r>
      <w:r w:rsidRPr="00030A4D">
        <w:rPr>
          <w:rStyle w:val="aff4"/>
          <w:rFonts w:hint="cs"/>
          <w:vanish/>
          <w:rtl/>
        </w:rPr>
        <w:t>&lt; &gt;-</w:t>
      </w:r>
      <w:r w:rsidRPr="00F867F5">
        <w:rPr>
          <w:rStyle w:val="aff4"/>
          <w:rFonts w:hint="cs"/>
          <w:rtl/>
        </w:rPr>
        <w:t>רש"י בביצה</w:t>
      </w:r>
      <w:r w:rsidRPr="00030A4D">
        <w:rPr>
          <w:rFonts w:hint="cs"/>
          <w:vanish/>
          <w:rtl/>
        </w:rPr>
        <w:t>-</w:t>
      </w:r>
      <w:r>
        <w:rPr>
          <w:rFonts w:hint="cs"/>
          <w:rtl/>
        </w:rPr>
        <w:t xml:space="preserve"> </w:t>
      </w:r>
      <w:r w:rsidRPr="00C962CD">
        <w:rPr>
          <w:rStyle w:val="af2"/>
          <w:rFonts w:eastAsia="Guttman Hodes" w:hint="cs"/>
          <w:rtl/>
        </w:rPr>
        <w:t>(כב. ד"ה אין תורת)</w:t>
      </w:r>
      <w:r w:rsidRPr="00030A4D">
        <w:rPr>
          <w:rFonts w:hint="cs"/>
          <w:vanish/>
          <w:rtl/>
        </w:rPr>
        <w:t>=</w:t>
      </w:r>
      <w:r>
        <w:rPr>
          <w:rFonts w:hint="cs"/>
          <w:rtl/>
        </w:rPr>
        <w:t xml:space="preserve"> דהחיוב בכלים הוא רק כשעשה מלאכה כמחתך או אורג או תופר דהם אבות בפנ"ע, אבל כשמחזיר חוליות דאין בזה אב מלאכה ואפשר לחייב רק משום בנין מותר, כיון דבונה הוא רק בבתים ואוהלים.</w:t>
      </w:r>
      <w:bookmarkEnd w:id="5393"/>
    </w:p>
    <w:bookmarkEnd w:id="5394"/>
    <w:p w14:paraId="2C1599FF" w14:textId="77777777" w:rsidR="003E1AA3" w:rsidRPr="00BC7DC8" w:rsidRDefault="003E1AA3" w:rsidP="003E1AA3">
      <w:pPr>
        <w:pStyle w:val="afffffe"/>
        <w:rPr>
          <w:vanish/>
          <w:rtl/>
        </w:rPr>
      </w:pPr>
      <w:r w:rsidRPr="00BC7DC8">
        <w:rPr>
          <w:vanish/>
          <w:rtl/>
        </w:rPr>
        <w:t>רש"י ביצה כ"ב ע"א</w:t>
      </w:r>
      <w:r w:rsidRPr="00BC7DC8">
        <w:rPr>
          <w:rFonts w:hint="cs"/>
          <w:vanish/>
          <w:rtl/>
        </w:rPr>
        <w:t xml:space="preserve"> ד"הה יש תורת</w:t>
      </w:r>
    </w:p>
    <w:p w14:paraId="53C1906C" w14:textId="77777777" w:rsidR="003E1AA3" w:rsidRPr="008548D9" w:rsidRDefault="003E1AA3" w:rsidP="003E1AA3">
      <w:pPr>
        <w:pStyle w:val="a7"/>
        <w:rPr>
          <w:rtl/>
        </w:rPr>
      </w:pPr>
    </w:p>
    <w:p w14:paraId="43CE4F55" w14:textId="77777777" w:rsidR="003E1AA3" w:rsidRPr="0018388A" w:rsidRDefault="003E1AA3" w:rsidP="003E1AA3">
      <w:pPr>
        <w:pStyle w:val="a2"/>
        <w:tabs>
          <w:tab w:val="num" w:pos="284"/>
        </w:tabs>
        <w:rPr>
          <w:rtl/>
        </w:rPr>
      </w:pPr>
      <w:r w:rsidRPr="0018388A">
        <w:rPr>
          <w:rtl/>
        </w:rPr>
        <w:t>יש תורת בנין בכלים - ובונה חייב בכל שהוא.</w:t>
      </w:r>
    </w:p>
    <w:p w14:paraId="5CC65063" w14:textId="77777777" w:rsidR="003E1AA3" w:rsidRPr="00BC7DC8" w:rsidRDefault="003E1AA3" w:rsidP="003E1AA3">
      <w:pPr>
        <w:pStyle w:val="afffffe"/>
        <w:rPr>
          <w:vanish/>
          <w:rtl/>
        </w:rPr>
      </w:pPr>
      <w:r w:rsidRPr="00BC7DC8">
        <w:rPr>
          <w:vanish/>
          <w:rtl/>
        </w:rPr>
        <w:t>רש"י ביצה כ"ב ע"א</w:t>
      </w:r>
      <w:r w:rsidRPr="00BC7DC8">
        <w:rPr>
          <w:rFonts w:hint="cs"/>
          <w:vanish/>
          <w:rtl/>
        </w:rPr>
        <w:t xml:space="preserve"> ד"ה אין תורת</w:t>
      </w:r>
    </w:p>
    <w:p w14:paraId="3F06BE02" w14:textId="77777777" w:rsidR="003E1AA3" w:rsidRPr="002E340A" w:rsidRDefault="003E1AA3" w:rsidP="003E1AA3">
      <w:pPr>
        <w:pStyle w:val="afffff5"/>
        <w:rPr>
          <w:rtl/>
        </w:rPr>
      </w:pPr>
      <w:r w:rsidRPr="002E340A">
        <w:rPr>
          <w:rtl/>
        </w:rPr>
        <w:t>אין תורת בנין בכלים - ואינו חייב אלא אם כן עשה בו מלאכה, כגון ממחק או מחתך או אורג או תופר שהן אבות מלאכות לעצמם, אבל חזרת חליות, שאין בה אלא משום בנין - אין בונה אלא בבתים ואהלים.</w:t>
      </w:r>
    </w:p>
    <w:p w14:paraId="00B4169E" w14:textId="77777777" w:rsidR="003E1AA3" w:rsidRPr="00FC269C" w:rsidRDefault="003E1AA3" w:rsidP="003E1AA3">
      <w:pPr>
        <w:pStyle w:val="afffff7"/>
        <w:rPr>
          <w:rtl/>
        </w:rPr>
      </w:pPr>
      <w:bookmarkStart w:id="5396" w:name="_Toc145234001"/>
      <w:bookmarkStart w:id="5397" w:name="_Hlk144585029"/>
      <w:bookmarkStart w:id="5398" w:name="_Hlk143721953"/>
      <w:bookmarkStart w:id="5399" w:name="_Toc163506259"/>
      <w:r w:rsidRPr="00FC269C">
        <w:rPr>
          <w:rtl/>
        </w:rPr>
        <w:t xml:space="preserve">באור הגר"א </w:t>
      </w:r>
      <w:r w:rsidRPr="00FC269C">
        <w:rPr>
          <w:rFonts w:hint="cs"/>
          <w:rtl/>
        </w:rPr>
        <w:t>או"ח סי'</w:t>
      </w:r>
      <w:r w:rsidRPr="00FC269C">
        <w:rPr>
          <w:rtl/>
        </w:rPr>
        <w:t xml:space="preserve"> שי</w:t>
      </w:r>
      <w:r w:rsidRPr="00FC269C">
        <w:rPr>
          <w:rFonts w:hint="cs"/>
          <w:rtl/>
        </w:rPr>
        <w:t>"ד סק"ד</w:t>
      </w:r>
      <w:bookmarkEnd w:id="5396"/>
      <w:bookmarkEnd w:id="5399"/>
    </w:p>
    <w:p w14:paraId="17D44E3E" w14:textId="77777777" w:rsidR="003E1AA3" w:rsidRDefault="003E1AA3" w:rsidP="003E1AA3">
      <w:pPr>
        <w:pStyle w:val="a7"/>
        <w:rPr>
          <w:rtl/>
        </w:rPr>
      </w:pPr>
      <w:bookmarkStart w:id="5400" w:name="_Toc145233885"/>
      <w:r>
        <w:rPr>
          <w:rFonts w:hint="cs"/>
          <w:rtl/>
        </w:rPr>
        <w:t>בי' הגר"א ברש"י דקיי"ל כרבא דאין בנין בכלים אך בדעת רב מודה רש"י דס"ל דיש בנין בכלים</w:t>
      </w:r>
      <w:bookmarkEnd w:id="5400"/>
      <w:r>
        <w:rPr>
          <w:rFonts w:hint="cs"/>
          <w:rtl/>
        </w:rPr>
        <w:t xml:space="preserve"> </w:t>
      </w:r>
    </w:p>
    <w:p w14:paraId="46CA65C2" w14:textId="2C888358" w:rsidR="003E1AA3" w:rsidRDefault="003E1AA3" w:rsidP="00BC7DC8">
      <w:pPr>
        <w:pStyle w:val="a3"/>
      </w:pPr>
      <w:bookmarkStart w:id="5401" w:name="_Ref144585342"/>
      <w:r>
        <w:rPr>
          <w:rFonts w:hint="cs"/>
          <w:rtl/>
        </w:rPr>
        <w:t>כתב</w:t>
      </w:r>
      <w:r>
        <w:rPr>
          <w:rtl/>
        </w:rPr>
        <w:t xml:space="preserve"> </w:t>
      </w:r>
      <w:r w:rsidRPr="002E6A43">
        <w:rPr>
          <w:b/>
          <w:bCs/>
          <w:rtl/>
        </w:rPr>
        <w:t>ה</w:t>
      </w:r>
      <w:r w:rsidRPr="00A53847">
        <w:rPr>
          <w:b/>
          <w:bCs/>
          <w:vanish/>
          <w:rtl/>
        </w:rPr>
        <w:t xml:space="preserve"> &lt;, </w:t>
      </w:r>
      <w:r w:rsidRPr="00A53847">
        <w:rPr>
          <w:vanish/>
          <w:rtl/>
        </w:rPr>
        <w:fldChar w:fldCharType="begin"/>
      </w:r>
      <w:r w:rsidRPr="00A53847">
        <w:rPr>
          <w:vanish/>
          <w:rtl/>
        </w:rPr>
        <w:instrText xml:space="preserve"> </w:instrText>
      </w:r>
      <w:r w:rsidRPr="00A53847">
        <w:rPr>
          <w:vanish/>
        </w:rPr>
        <w:instrText>REF</w:instrText>
      </w:r>
      <w:r w:rsidRPr="00A53847">
        <w:rPr>
          <w:vanish/>
          <w:rtl/>
        </w:rPr>
        <w:instrText xml:space="preserve"> _</w:instrText>
      </w:r>
      <w:r w:rsidRPr="00A53847">
        <w:rPr>
          <w:vanish/>
        </w:rPr>
        <w:instrText>Ref144585342 \r \h</w:instrText>
      </w:r>
      <w:r w:rsidRPr="00A53847">
        <w:rPr>
          <w:vanish/>
          <w:rtl/>
        </w:rPr>
        <w:instrText xml:space="preserve"> </w:instrText>
      </w:r>
      <w:r w:rsidRPr="00A53847">
        <w:rPr>
          <w:vanish/>
          <w:rtl/>
        </w:rPr>
      </w:r>
      <w:r w:rsidRPr="00A53847">
        <w:rPr>
          <w:vanish/>
          <w:rtl/>
        </w:rPr>
        <w:fldChar w:fldCharType="separate"/>
      </w:r>
      <w:r w:rsidR="00D82181">
        <w:rPr>
          <w:vanish/>
          <w:cs/>
        </w:rPr>
        <w:t>‎</w:t>
      </w:r>
      <w:r w:rsidR="00D82181">
        <w:rPr>
          <w:vanish/>
          <w:rtl/>
        </w:rPr>
        <w:t>ד)</w:t>
      </w:r>
      <w:r w:rsidRPr="00A53847">
        <w:rPr>
          <w:vanish/>
          <w:rtl/>
        </w:rPr>
        <w:fldChar w:fldCharType="end"/>
      </w:r>
      <w:r w:rsidRPr="00A53847">
        <w:rPr>
          <w:b/>
          <w:bCs/>
          <w:vanish/>
          <w:rtl/>
        </w:rPr>
        <w:t xml:space="preserve"> &gt;</w:t>
      </w:r>
      <w:r w:rsidRPr="002E6A43">
        <w:rPr>
          <w:rFonts w:hint="cs"/>
          <w:b/>
          <w:bCs/>
          <w:rtl/>
        </w:rPr>
        <w:t>גר"א</w:t>
      </w:r>
      <w:r w:rsidRPr="002E6A43">
        <w:rPr>
          <w:b/>
          <w:bCs/>
          <w:rtl/>
        </w:rPr>
        <w:t xml:space="preserve"> </w:t>
      </w:r>
      <w:r w:rsidRPr="00A53847">
        <w:rPr>
          <w:rFonts w:ascii="Calibri" w:eastAsia="Times New Roman" w:hAnsi="Calibri" w:cs="Guttman Rashi"/>
          <w:noProof w:val="0"/>
          <w:sz w:val="10"/>
          <w:szCs w:val="12"/>
          <w:rtl/>
        </w:rPr>
        <w:t>(</w:t>
      </w:r>
      <w:r w:rsidRPr="00A53847">
        <w:rPr>
          <w:rFonts w:ascii="Calibri" w:eastAsia="Times New Roman" w:hAnsi="Calibri" w:cs="Guttman Rashi" w:hint="cs"/>
          <w:noProof w:val="0"/>
          <w:sz w:val="10"/>
          <w:szCs w:val="12"/>
          <w:rtl/>
        </w:rPr>
        <w:t>סי' שי"ד סק"ד</w:t>
      </w:r>
      <w:r w:rsidRPr="00A53847">
        <w:rPr>
          <w:rFonts w:ascii="Calibri" w:eastAsia="Times New Roman" w:hAnsi="Calibri" w:cs="Guttman Rashi"/>
          <w:noProof w:val="0"/>
          <w:sz w:val="10"/>
          <w:szCs w:val="12"/>
          <w:rtl/>
        </w:rPr>
        <w:t>)</w:t>
      </w:r>
      <w:r w:rsidRPr="00A53847">
        <w:rPr>
          <w:vanish/>
          <w:rtl/>
        </w:rPr>
        <w:t>=</w:t>
      </w:r>
      <w:r>
        <w:rPr>
          <w:rtl/>
        </w:rPr>
        <w:t xml:space="preserve"> </w:t>
      </w:r>
      <w:r>
        <w:rPr>
          <w:rFonts w:hint="cs"/>
          <w:rtl/>
        </w:rPr>
        <w:t>דאעפ"י דשיטת</w:t>
      </w:r>
      <w:r>
        <w:rPr>
          <w:rtl/>
        </w:rPr>
        <w:t xml:space="preserve"> </w:t>
      </w:r>
      <w:r w:rsidRPr="002E6A43">
        <w:rPr>
          <w:rFonts w:hint="cs"/>
          <w:b/>
          <w:bCs/>
          <w:rtl/>
        </w:rPr>
        <w:t>רש"י</w:t>
      </w:r>
      <w:r>
        <w:rPr>
          <w:rtl/>
        </w:rPr>
        <w:t xml:space="preserve"> </w:t>
      </w:r>
      <w:r>
        <w:rPr>
          <w:rFonts w:hint="cs"/>
          <w:rtl/>
        </w:rPr>
        <w:t>דאין בנין בכלים, מ"מ בדעת רב מודה</w:t>
      </w:r>
      <w:r>
        <w:rPr>
          <w:rtl/>
        </w:rPr>
        <w:t xml:space="preserve"> </w:t>
      </w:r>
      <w:r w:rsidRPr="002E6A43">
        <w:rPr>
          <w:rFonts w:hint="cs"/>
          <w:b/>
          <w:bCs/>
          <w:rtl/>
        </w:rPr>
        <w:t>רש"י</w:t>
      </w:r>
      <w:r>
        <w:rPr>
          <w:rtl/>
        </w:rPr>
        <w:t xml:space="preserve"> </w:t>
      </w:r>
      <w:r>
        <w:rPr>
          <w:rFonts w:hint="cs"/>
          <w:rtl/>
        </w:rPr>
        <w:t>דס"ל דיש בנין בכלים, אך להלכה קיי"ל כרבא בגמ' לקמן</w:t>
      </w:r>
      <w:r>
        <w:rPr>
          <w:rtl/>
        </w:rPr>
        <w:t xml:space="preserve"> </w:t>
      </w:r>
      <w:r w:rsidRPr="00A53847">
        <w:rPr>
          <w:rFonts w:ascii="Calibri" w:eastAsia="Times New Roman" w:hAnsi="Calibri" w:cs="Guttman Rashi"/>
          <w:noProof w:val="0"/>
          <w:sz w:val="10"/>
          <w:szCs w:val="12"/>
          <w:rtl/>
        </w:rPr>
        <w:t>(</w:t>
      </w:r>
      <w:r w:rsidRPr="00A53847">
        <w:rPr>
          <w:rFonts w:ascii="Calibri" w:eastAsia="Times New Roman" w:hAnsi="Calibri" w:cs="Guttman Rashi" w:hint="cs"/>
          <w:noProof w:val="0"/>
          <w:sz w:val="10"/>
          <w:szCs w:val="12"/>
          <w:rtl/>
        </w:rPr>
        <w:t>קכב:</w:t>
      </w:r>
      <w:r w:rsidRPr="00A53847">
        <w:rPr>
          <w:rFonts w:ascii="Calibri" w:eastAsia="Times New Roman" w:hAnsi="Calibri" w:cs="Guttman Rashi"/>
          <w:noProof w:val="0"/>
          <w:sz w:val="10"/>
          <w:szCs w:val="12"/>
          <w:rtl/>
        </w:rPr>
        <w:t>)</w:t>
      </w:r>
      <w:r>
        <w:rPr>
          <w:rtl/>
        </w:rPr>
        <w:t xml:space="preserve"> </w:t>
      </w:r>
      <w:r>
        <w:rPr>
          <w:rFonts w:hint="cs"/>
          <w:rtl/>
        </w:rPr>
        <w:t>דאין בנין בכלים, ובשופתא בקופינא דמרא קיי"ל כשמואל דחייב משום מכה בפטיש, דהא ריו"ח ס"ל כוותיה, ולכן ביאר</w:t>
      </w:r>
      <w:r>
        <w:rPr>
          <w:rtl/>
        </w:rPr>
        <w:t xml:space="preserve"> </w:t>
      </w:r>
      <w:r>
        <w:rPr>
          <w:rFonts w:hint="cs"/>
          <w:b/>
          <w:bCs/>
          <w:rtl/>
        </w:rPr>
        <w:t>רש"י</w:t>
      </w:r>
      <w:r w:rsidRPr="00A53847">
        <w:rPr>
          <w:rFonts w:ascii="Calibri" w:eastAsia="Times New Roman" w:hAnsi="Calibri" w:cs="Guttman Rashi" w:hint="cs"/>
          <w:noProof w:val="0"/>
          <w:sz w:val="10"/>
          <w:szCs w:val="12"/>
          <w:rtl/>
        </w:rPr>
        <w:t xml:space="preserve"> </w:t>
      </w:r>
      <w:r w:rsidRPr="00A53847">
        <w:rPr>
          <w:rFonts w:ascii="Calibri" w:eastAsia="Times New Roman" w:hAnsi="Calibri" w:cs="Guttman Rashi"/>
          <w:noProof w:val="0"/>
          <w:sz w:val="10"/>
          <w:szCs w:val="12"/>
          <w:rtl/>
        </w:rPr>
        <w:t xml:space="preserve">(עי' אות </w:t>
      </w:r>
      <w:r w:rsidRPr="00A53847">
        <w:rPr>
          <w:rFonts w:ascii="Calibri" w:eastAsia="Times New Roman" w:hAnsi="Calibri" w:cs="Guttman Rashi"/>
          <w:noProof w:val="0"/>
          <w:sz w:val="10"/>
          <w:szCs w:val="12"/>
          <w:rtl/>
        </w:rPr>
        <w:fldChar w:fldCharType="begin"/>
      </w:r>
      <w:r w:rsidRPr="00A53847">
        <w:rPr>
          <w:rFonts w:ascii="Calibri" w:eastAsia="Times New Roman" w:hAnsi="Calibri" w:cs="Guttman Rashi"/>
          <w:noProof w:val="0"/>
          <w:sz w:val="10"/>
          <w:szCs w:val="12"/>
          <w:rtl/>
        </w:rPr>
        <w:instrText xml:space="preserve"> </w:instrText>
      </w:r>
      <w:r w:rsidRPr="00A53847">
        <w:rPr>
          <w:rFonts w:ascii="Calibri" w:eastAsia="Times New Roman" w:hAnsi="Calibri" w:cs="Guttman Rashi"/>
          <w:noProof w:val="0"/>
          <w:sz w:val="10"/>
          <w:szCs w:val="12"/>
        </w:rPr>
        <w:instrText>REF</w:instrText>
      </w:r>
      <w:r w:rsidRPr="00A53847">
        <w:rPr>
          <w:rFonts w:ascii="Calibri" w:eastAsia="Times New Roman" w:hAnsi="Calibri" w:cs="Guttman Rashi"/>
          <w:noProof w:val="0"/>
          <w:sz w:val="10"/>
          <w:szCs w:val="12"/>
          <w:rtl/>
        </w:rPr>
        <w:instrText xml:space="preserve"> _</w:instrText>
      </w:r>
      <w:r w:rsidRPr="00A53847">
        <w:rPr>
          <w:rFonts w:ascii="Calibri" w:eastAsia="Times New Roman" w:hAnsi="Calibri" w:cs="Guttman Rashi"/>
          <w:noProof w:val="0"/>
          <w:sz w:val="10"/>
          <w:szCs w:val="12"/>
        </w:rPr>
        <w:instrText>Ref144585311 \r \h</w:instrText>
      </w:r>
      <w:r w:rsidRPr="00A53847">
        <w:rPr>
          <w:rFonts w:ascii="Calibri" w:eastAsia="Times New Roman" w:hAnsi="Calibri" w:cs="Guttman Rashi"/>
          <w:noProof w:val="0"/>
          <w:sz w:val="10"/>
          <w:szCs w:val="12"/>
          <w:rtl/>
        </w:rPr>
        <w:instrText xml:space="preserve"> </w:instrText>
      </w:r>
      <w:r w:rsidRPr="00A53847">
        <w:rPr>
          <w:rFonts w:ascii="Calibri" w:eastAsia="Times New Roman" w:hAnsi="Calibri" w:cs="Guttman Rashi"/>
          <w:noProof w:val="0"/>
          <w:sz w:val="10"/>
          <w:szCs w:val="12"/>
          <w:rtl/>
        </w:rPr>
      </w:r>
      <w:r w:rsidRPr="00A53847">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א)</w:t>
      </w:r>
      <w:r w:rsidRPr="00A53847">
        <w:rPr>
          <w:rFonts w:ascii="Calibri" w:eastAsia="Times New Roman" w:hAnsi="Calibri" w:cs="Guttman Rashi"/>
          <w:noProof w:val="0"/>
          <w:sz w:val="10"/>
          <w:szCs w:val="12"/>
          <w:rtl/>
        </w:rPr>
        <w:fldChar w:fldCharType="end"/>
      </w:r>
      <w:r>
        <w:rPr>
          <w:rtl/>
        </w:rPr>
        <w:t xml:space="preserve"> </w:t>
      </w:r>
      <w:r>
        <w:rPr>
          <w:rFonts w:hint="cs"/>
          <w:rtl/>
        </w:rPr>
        <w:t>בכמה מקומות דהחיוב בכלים הוא מדין מכה בפטיש.</w:t>
      </w:r>
      <w:bookmarkEnd w:id="5401"/>
    </w:p>
    <w:p w14:paraId="5DAEA286" w14:textId="77777777" w:rsidR="003E1AA3" w:rsidRPr="00BC7DC8" w:rsidRDefault="003E1AA3" w:rsidP="003E1AA3">
      <w:pPr>
        <w:pStyle w:val="afffffe"/>
        <w:rPr>
          <w:vanish/>
          <w:rtl/>
        </w:rPr>
      </w:pPr>
      <w:r w:rsidRPr="00BC7DC8">
        <w:rPr>
          <w:vanish/>
          <w:rtl/>
        </w:rPr>
        <w:t xml:space="preserve">באור הגר"א </w:t>
      </w:r>
      <w:r w:rsidRPr="00BC7DC8">
        <w:rPr>
          <w:rFonts w:hint="cs"/>
          <w:vanish/>
          <w:rtl/>
        </w:rPr>
        <w:t>או"ח סי'</w:t>
      </w:r>
      <w:r w:rsidRPr="00BC7DC8">
        <w:rPr>
          <w:vanish/>
          <w:rtl/>
        </w:rPr>
        <w:t xml:space="preserve"> שי</w:t>
      </w:r>
      <w:r w:rsidRPr="00BC7DC8">
        <w:rPr>
          <w:rFonts w:hint="cs"/>
          <w:vanish/>
          <w:rtl/>
        </w:rPr>
        <w:t>"ד סק"ד</w:t>
      </w:r>
    </w:p>
    <w:p w14:paraId="0F9DC526" w14:textId="77777777" w:rsidR="003E1AA3" w:rsidRPr="0018388A" w:rsidRDefault="003E1AA3" w:rsidP="003E1AA3">
      <w:pPr>
        <w:pStyle w:val="a2"/>
        <w:tabs>
          <w:tab w:val="num" w:pos="284"/>
        </w:tabs>
        <w:rPr>
          <w:rtl/>
        </w:rPr>
      </w:pPr>
      <w:r w:rsidRPr="0018388A">
        <w:rPr>
          <w:rtl/>
        </w:rPr>
        <w:t>ורש"י אזיל לשיטתיה דס"ל דאין בנין וסתירה בכלים לעולם כמ"ש בשבת ע"ז /ע"ד/ ב' וע"ש ברש"י וההיא דר"פ הבונה רב ס"ל דיש בנין בכלים אבל לדידן דקי"ל כרבא קכג ב' קי"ל כשמואל דאמר משום מכה בפטיש דר' יוחנן שם ס"ל כוותיה וכן פי' רש"י שם מז א' וקכ"ב ב' משום מכה בפטיש וכן ההיא דחוליות מ"ו א' ודשידה עירובין ק"ב ב' הכל כפי' משום מכה בפטיש וכן מ' בשבת ע"ח ב' המנפח בכלי</w:t>
      </w:r>
      <w:r w:rsidRPr="0018388A">
        <w:rPr>
          <w:rFonts w:hint="cs"/>
          <w:rtl/>
        </w:rPr>
        <w:t>.</w:t>
      </w:r>
      <w:r w:rsidRPr="0018388A">
        <w:rPr>
          <w:rtl/>
        </w:rPr>
        <w:t xml:space="preserve"> </w:t>
      </w:r>
    </w:p>
    <w:p w14:paraId="32A10DCF" w14:textId="77777777" w:rsidR="003E1AA3" w:rsidRPr="00FC269C" w:rsidRDefault="003E1AA3" w:rsidP="003E1AA3">
      <w:pPr>
        <w:pStyle w:val="afffff7"/>
        <w:rPr>
          <w:rtl/>
        </w:rPr>
      </w:pPr>
      <w:bookmarkStart w:id="5402" w:name="_Toc145234002"/>
      <w:bookmarkStart w:id="5403" w:name="_Toc163506260"/>
      <w:bookmarkEnd w:id="5397"/>
      <w:r w:rsidRPr="00FC269C">
        <w:rPr>
          <w:rtl/>
        </w:rPr>
        <w:t xml:space="preserve">רש"י שבת קל"ח ע"ב ד"ה </w:t>
      </w:r>
      <w:r w:rsidRPr="00FC269C">
        <w:rPr>
          <w:rFonts w:hint="cs"/>
          <w:rtl/>
        </w:rPr>
        <w:t>שמא יתקע</w:t>
      </w:r>
      <w:bookmarkEnd w:id="5402"/>
      <w:bookmarkEnd w:id="5403"/>
    </w:p>
    <w:p w14:paraId="679B9138" w14:textId="77777777" w:rsidR="003E1AA3" w:rsidRPr="00FC269C" w:rsidRDefault="003E1AA3" w:rsidP="003E1AA3">
      <w:pPr>
        <w:pStyle w:val="afffff7"/>
        <w:rPr>
          <w:rtl/>
        </w:rPr>
      </w:pPr>
      <w:bookmarkStart w:id="5404" w:name="_Toc145234003"/>
      <w:bookmarkStart w:id="5405" w:name="_Toc163506261"/>
      <w:r w:rsidRPr="00FC269C">
        <w:rPr>
          <w:rtl/>
        </w:rPr>
        <w:t>רש"י עירובין ק"ב ע"ב</w:t>
      </w:r>
      <w:r w:rsidRPr="00FC269C">
        <w:rPr>
          <w:rFonts w:hint="cs"/>
          <w:rtl/>
        </w:rPr>
        <w:t xml:space="preserve"> ד"ה והעליון</w:t>
      </w:r>
      <w:bookmarkEnd w:id="5404"/>
      <w:bookmarkEnd w:id="5405"/>
    </w:p>
    <w:p w14:paraId="561EF513" w14:textId="77777777" w:rsidR="003E1AA3" w:rsidRDefault="003E1AA3" w:rsidP="003E1AA3">
      <w:pPr>
        <w:pStyle w:val="a7"/>
        <w:rPr>
          <w:rtl/>
        </w:rPr>
      </w:pPr>
      <w:bookmarkStart w:id="5406" w:name="_Toc145233886"/>
      <w:r>
        <w:rPr>
          <w:rFonts w:hint="cs"/>
          <w:rtl/>
        </w:rPr>
        <w:t>בי' רש"י בדברי רב בכירה שנשמטה א' מירכותיה דיש בנין בכלים וכ"כ רש"י בברייתא בעירובין</w:t>
      </w:r>
      <w:bookmarkEnd w:id="5406"/>
    </w:p>
    <w:p w14:paraId="7CACAAAC" w14:textId="4AE61903" w:rsidR="003E1AA3" w:rsidRPr="00D30767" w:rsidRDefault="003E1AA3" w:rsidP="00BC7DC8">
      <w:pPr>
        <w:pStyle w:val="a3"/>
        <w:rPr>
          <w:rtl/>
        </w:rPr>
      </w:pPr>
      <w:bookmarkStart w:id="5407" w:name="_Ref144375113"/>
      <w:r>
        <w:rPr>
          <w:rFonts w:hint="cs"/>
          <w:rtl/>
        </w:rPr>
        <w:t>וע"ע בדברי</w:t>
      </w:r>
      <w:r>
        <w:rPr>
          <w:rtl/>
        </w:rPr>
        <w:t xml:space="preserve"> </w:t>
      </w:r>
      <w:r>
        <w:rPr>
          <w:rFonts w:hint="cs"/>
          <w:b/>
          <w:bCs/>
          <w:rtl/>
        </w:rPr>
        <w:t>רש"י</w:t>
      </w:r>
      <w:r>
        <w:rPr>
          <w:rtl/>
        </w:rPr>
        <w:t xml:space="preserve"> </w:t>
      </w:r>
      <w:r>
        <w:rPr>
          <w:rFonts w:hint="cs"/>
          <w:rtl/>
        </w:rPr>
        <w:t xml:space="preserve">דכתב בדעת רב דחייב משום בונה, דבגמ' לקמן </w:t>
      </w:r>
      <w:r w:rsidRPr="00C962CD">
        <w:rPr>
          <w:rStyle w:val="af2"/>
          <w:rFonts w:eastAsia="Guttman Hodes" w:hint="cs"/>
          <w:rtl/>
        </w:rPr>
        <w:t>(קלח:)</w:t>
      </w:r>
      <w:r>
        <w:rPr>
          <w:rFonts w:hint="cs"/>
          <w:rtl/>
        </w:rPr>
        <w:t xml:space="preserve"> דאמר דכירה שנשמטה אחת מירכותיה אסור לטלטלה, גזירה שמא יתקע, כתב </w:t>
      </w:r>
      <w:r w:rsidRPr="00030A4D">
        <w:rPr>
          <w:rFonts w:hint="cs"/>
          <w:vanish/>
          <w:rtl/>
        </w:rPr>
        <w:t xml:space="preserve">&lt;, </w:t>
      </w:r>
      <w:r>
        <w:rPr>
          <w:vanish/>
          <w:rtl/>
        </w:rPr>
        <w:fldChar w:fldCharType="begin"/>
      </w:r>
      <w:r>
        <w:rPr>
          <w:vanish/>
          <w:rtl/>
        </w:rPr>
        <w:instrText xml:space="preserve"> </w:instrText>
      </w:r>
      <w:r>
        <w:rPr>
          <w:rFonts w:hint="cs"/>
          <w:vanish/>
        </w:rPr>
        <w:instrText>REF</w:instrText>
      </w:r>
      <w:r>
        <w:rPr>
          <w:rFonts w:hint="cs"/>
          <w:vanish/>
          <w:rtl/>
        </w:rPr>
        <w:instrText xml:space="preserve"> _</w:instrText>
      </w:r>
      <w:r>
        <w:rPr>
          <w:rFonts w:hint="cs"/>
          <w:vanish/>
        </w:rPr>
        <w:instrText>Ref144375113 \r \h</w:instrText>
      </w:r>
      <w:r>
        <w:rPr>
          <w:vanish/>
          <w:rtl/>
        </w:rPr>
        <w:instrText xml:space="preserve"> </w:instrText>
      </w:r>
      <w:r>
        <w:rPr>
          <w:vanish/>
          <w:rtl/>
        </w:rPr>
      </w:r>
      <w:r>
        <w:rPr>
          <w:vanish/>
          <w:rtl/>
        </w:rPr>
        <w:fldChar w:fldCharType="separate"/>
      </w:r>
      <w:r w:rsidR="00D82181">
        <w:rPr>
          <w:vanish/>
          <w:cs/>
        </w:rPr>
        <w:t>‎</w:t>
      </w:r>
      <w:r w:rsidR="00D82181">
        <w:rPr>
          <w:vanish/>
          <w:rtl/>
        </w:rPr>
        <w:t>ה)</w:t>
      </w:r>
      <w:r>
        <w:rPr>
          <w:vanish/>
          <w:rtl/>
        </w:rPr>
        <w:fldChar w:fldCharType="end"/>
      </w:r>
      <w:r w:rsidRPr="00030A4D">
        <w:rPr>
          <w:rFonts w:hint="cs"/>
          <w:vanish/>
          <w:rtl/>
        </w:rPr>
        <w:t xml:space="preserve"> &gt;</w:t>
      </w:r>
      <w:r w:rsidRPr="00030A4D">
        <w:rPr>
          <w:rStyle w:val="aff4"/>
          <w:rFonts w:hint="cs"/>
          <w:vanish/>
          <w:rtl/>
        </w:rPr>
        <w:t>-</w:t>
      </w:r>
      <w:r w:rsidRPr="00ED6CBD">
        <w:rPr>
          <w:rStyle w:val="aff4"/>
          <w:rFonts w:hint="cs"/>
          <w:rtl/>
        </w:rPr>
        <w:t>רש"י לקמן</w:t>
      </w:r>
      <w:r w:rsidRPr="00030A4D">
        <w:rPr>
          <w:rStyle w:val="aff4"/>
          <w:rFonts w:hint="cs"/>
          <w:vanish/>
          <w:rtl/>
        </w:rPr>
        <w:t>-</w:t>
      </w:r>
      <w:r>
        <w:rPr>
          <w:rFonts w:hint="cs"/>
          <w:rtl/>
        </w:rPr>
        <w:t xml:space="preserve"> </w:t>
      </w:r>
      <w:r w:rsidRPr="00C962CD">
        <w:rPr>
          <w:rStyle w:val="af2"/>
          <w:rFonts w:eastAsia="Guttman Hodes" w:hint="cs"/>
          <w:rtl/>
        </w:rPr>
        <w:t>(קלח: ד"ה שמא יתקע)</w:t>
      </w:r>
      <w:r w:rsidRPr="00030A4D">
        <w:rPr>
          <w:rFonts w:hint="cs"/>
          <w:vanish/>
          <w:rtl/>
        </w:rPr>
        <w:t>=</w:t>
      </w:r>
      <w:r>
        <w:rPr>
          <w:rFonts w:hint="cs"/>
          <w:rtl/>
        </w:rPr>
        <w:t xml:space="preserve"> דאם יתקע את הרגל בחוזק הוא בונה, וכן בהא דתניא בגמ' בעירובין </w:t>
      </w:r>
      <w:r w:rsidRPr="00C962CD">
        <w:rPr>
          <w:rStyle w:val="af2"/>
          <w:rFonts w:eastAsia="Guttman Hodes" w:hint="cs"/>
          <w:rtl/>
        </w:rPr>
        <w:t>(קב:)</w:t>
      </w:r>
      <w:r>
        <w:rPr>
          <w:rFonts w:hint="cs"/>
          <w:rtl/>
        </w:rPr>
        <w:t xml:space="preserve"> דדלת שידה תיבה ומגדל שנשמט ממנה גם הציר העליון אסור להחזירה, כתב </w:t>
      </w:r>
      <w:r w:rsidRPr="00030A4D">
        <w:rPr>
          <w:rFonts w:hint="cs"/>
          <w:vanish/>
          <w:rtl/>
        </w:rPr>
        <w:t>&lt; &gt;</w:t>
      </w:r>
      <w:r w:rsidRPr="00030A4D">
        <w:rPr>
          <w:rStyle w:val="aff4"/>
          <w:rFonts w:hint="cs"/>
          <w:vanish/>
          <w:rtl/>
        </w:rPr>
        <w:t>-</w:t>
      </w:r>
      <w:r w:rsidRPr="00ED6CBD">
        <w:rPr>
          <w:rStyle w:val="aff4"/>
          <w:rFonts w:hint="cs"/>
          <w:rtl/>
        </w:rPr>
        <w:t>רש"י בעירובין</w:t>
      </w:r>
      <w:r w:rsidRPr="00030A4D">
        <w:rPr>
          <w:rStyle w:val="aff4"/>
          <w:rFonts w:hint="cs"/>
          <w:vanish/>
          <w:rtl/>
        </w:rPr>
        <w:t>-</w:t>
      </w:r>
      <w:r>
        <w:rPr>
          <w:rFonts w:hint="cs"/>
          <w:rtl/>
        </w:rPr>
        <w:t xml:space="preserve"> </w:t>
      </w:r>
      <w:r w:rsidRPr="00C962CD">
        <w:rPr>
          <w:rStyle w:val="af2"/>
          <w:rFonts w:eastAsia="Guttman Hodes" w:hint="cs"/>
          <w:rtl/>
        </w:rPr>
        <w:t>(קב: ד"ה והעליון)</w:t>
      </w:r>
      <w:r w:rsidRPr="00030A4D">
        <w:rPr>
          <w:rFonts w:hint="cs"/>
          <w:vanish/>
          <w:rtl/>
        </w:rPr>
        <w:t>=</w:t>
      </w:r>
      <w:r>
        <w:rPr>
          <w:rFonts w:hint="cs"/>
          <w:rtl/>
        </w:rPr>
        <w:t xml:space="preserve"> דאחר שהציר העלין יצא נופלת כל הדלת, והחזרתו היא כבונה, וביאר </w:t>
      </w:r>
      <w:r w:rsidRPr="00030A4D">
        <w:rPr>
          <w:rStyle w:val="aff4"/>
          <w:rFonts w:hint="cs"/>
          <w:vanish/>
          <w:rtl/>
        </w:rPr>
        <w:t>-</w:t>
      </w:r>
      <w:r w:rsidRPr="00ED6CBD">
        <w:rPr>
          <w:rStyle w:val="aff4"/>
          <w:rFonts w:hint="cs"/>
          <w:rtl/>
        </w:rPr>
        <w:t>רש"י בעירובין</w:t>
      </w:r>
      <w:r w:rsidRPr="00030A4D">
        <w:rPr>
          <w:rStyle w:val="aff4"/>
          <w:rFonts w:hint="cs"/>
          <w:vanish/>
          <w:rtl/>
        </w:rPr>
        <w:t>-</w:t>
      </w:r>
      <w:r>
        <w:rPr>
          <w:rFonts w:hint="cs"/>
          <w:rtl/>
        </w:rPr>
        <w:t xml:space="preserve"> דהברייתא ס"ל שיש בנין בכלים, והוסיף </w:t>
      </w:r>
      <w:r>
        <w:rPr>
          <w:rFonts w:hint="cs"/>
          <w:b/>
          <w:bCs/>
          <w:rtl/>
        </w:rPr>
        <w:t>רש"י</w:t>
      </w:r>
      <w:r>
        <w:rPr>
          <w:rtl/>
        </w:rPr>
        <w:t xml:space="preserve"> </w:t>
      </w:r>
      <w:r>
        <w:rPr>
          <w:rFonts w:hint="cs"/>
          <w:rtl/>
        </w:rPr>
        <w:t>דהוא כבונה ממש.</w:t>
      </w:r>
      <w:bookmarkEnd w:id="5407"/>
    </w:p>
    <w:p w14:paraId="071C8159" w14:textId="77777777" w:rsidR="003E1AA3" w:rsidRPr="00BC7DC8" w:rsidRDefault="003E1AA3" w:rsidP="003E1AA3">
      <w:pPr>
        <w:pStyle w:val="afffffe"/>
        <w:rPr>
          <w:vanish/>
          <w:rtl/>
        </w:rPr>
      </w:pPr>
      <w:r w:rsidRPr="00BC7DC8">
        <w:rPr>
          <w:vanish/>
          <w:rtl/>
        </w:rPr>
        <w:t xml:space="preserve">רש"י שבת קל"ח ע"ב ד"ה </w:t>
      </w:r>
      <w:r w:rsidRPr="00BC7DC8">
        <w:rPr>
          <w:rFonts w:hint="cs"/>
          <w:vanish/>
          <w:rtl/>
        </w:rPr>
        <w:t>שמא יתקע</w:t>
      </w:r>
    </w:p>
    <w:p w14:paraId="6B9AE65B" w14:textId="77777777" w:rsidR="003E1AA3" w:rsidRPr="0018388A" w:rsidRDefault="003E1AA3" w:rsidP="003E1AA3">
      <w:pPr>
        <w:pStyle w:val="a2"/>
        <w:tabs>
          <w:tab w:val="num" w:pos="284"/>
        </w:tabs>
        <w:rPr>
          <w:rtl/>
        </w:rPr>
      </w:pPr>
      <w:r w:rsidRPr="0018388A">
        <w:rPr>
          <w:rtl/>
        </w:rPr>
        <w:t>שמא יתקע - כשמחבר לה הרגל יתקענה בחוזק והוי בונה, אבל (תנא קמא) היכא דלא נשמטה אלא אחת - לא חייש למתקע כולי האי.</w:t>
      </w:r>
    </w:p>
    <w:p w14:paraId="308425A6" w14:textId="77777777" w:rsidR="003E1AA3" w:rsidRPr="00BC7DC8" w:rsidRDefault="003E1AA3" w:rsidP="003E1AA3">
      <w:pPr>
        <w:pStyle w:val="afffffe"/>
        <w:rPr>
          <w:vanish/>
          <w:rtl/>
        </w:rPr>
      </w:pPr>
      <w:r w:rsidRPr="00BC7DC8">
        <w:rPr>
          <w:vanish/>
          <w:rtl/>
        </w:rPr>
        <w:t>רש"י עירובין ק"ב ע"ב</w:t>
      </w:r>
      <w:r w:rsidRPr="00BC7DC8">
        <w:rPr>
          <w:rFonts w:hint="cs"/>
          <w:vanish/>
          <w:rtl/>
        </w:rPr>
        <w:t xml:space="preserve"> ד"ה והעליון</w:t>
      </w:r>
    </w:p>
    <w:p w14:paraId="58A51D0E" w14:textId="77777777" w:rsidR="003E1AA3" w:rsidRPr="002E340A" w:rsidRDefault="003E1AA3" w:rsidP="003E1AA3">
      <w:pPr>
        <w:pStyle w:val="afffff5"/>
        <w:rPr>
          <w:rtl/>
        </w:rPr>
      </w:pPr>
      <w:r w:rsidRPr="002E340A">
        <w:rPr>
          <w:rtl/>
        </w:rPr>
        <w:t>והעליון כאן וכאן אסור - דכיון שיצא העליון - כולו נופל, והוי כבונה, וקא סבר: יש בנין בכלי</w:t>
      </w:r>
      <w:r w:rsidRPr="002E340A">
        <w:rPr>
          <w:rFonts w:hint="cs"/>
          <w:rtl/>
        </w:rPr>
        <w:t>.</w:t>
      </w:r>
    </w:p>
    <w:p w14:paraId="5158946D" w14:textId="77777777" w:rsidR="003E1AA3" w:rsidRPr="002E340A" w:rsidRDefault="003E1AA3" w:rsidP="003E1AA3">
      <w:pPr>
        <w:pStyle w:val="afffff5"/>
        <w:rPr>
          <w:rtl/>
        </w:rPr>
      </w:pPr>
      <w:r w:rsidRPr="002E340A">
        <w:rPr>
          <w:rtl/>
        </w:rPr>
        <w:t>והעליון כאן וכאן אסור להחזיר - דהוי כבונה ממש.</w:t>
      </w:r>
    </w:p>
    <w:p w14:paraId="4E42FA7B" w14:textId="77777777" w:rsidR="003E1AA3" w:rsidRPr="00FC269C" w:rsidRDefault="003E1AA3" w:rsidP="003E1AA3">
      <w:pPr>
        <w:pStyle w:val="afffff7"/>
        <w:rPr>
          <w:rtl/>
        </w:rPr>
      </w:pPr>
      <w:bookmarkStart w:id="5408" w:name="_Toc145234004"/>
      <w:bookmarkStart w:id="5409" w:name="_Toc163506262"/>
      <w:r w:rsidRPr="00FC269C">
        <w:rPr>
          <w:rFonts w:hint="cs"/>
          <w:rtl/>
        </w:rPr>
        <w:t>טל אורות הספרדי מלאכת בונה ד"ה אך מדברי</w:t>
      </w:r>
      <w:bookmarkEnd w:id="5408"/>
      <w:bookmarkEnd w:id="5409"/>
    </w:p>
    <w:p w14:paraId="7A901533" w14:textId="77777777" w:rsidR="003E1AA3" w:rsidRDefault="003E1AA3" w:rsidP="003E1AA3">
      <w:pPr>
        <w:pStyle w:val="a7"/>
        <w:rPr>
          <w:rtl/>
        </w:rPr>
      </w:pPr>
      <w:bookmarkStart w:id="5410" w:name="_Toc145233887"/>
      <w:r>
        <w:rPr>
          <w:rFonts w:hint="cs"/>
          <w:rtl/>
        </w:rPr>
        <w:t>בי' הטל אורות ברש"י דאף בדעת רב ס"ל דאין בנין בכלים במטה של טרסיים וקשה מרב בסוגיין</w:t>
      </w:r>
      <w:bookmarkEnd w:id="5410"/>
    </w:p>
    <w:p w14:paraId="048A418A" w14:textId="24EDD37A" w:rsidR="003E1AA3" w:rsidRDefault="003E1AA3" w:rsidP="00BC7DC8">
      <w:pPr>
        <w:pStyle w:val="a3"/>
      </w:pPr>
      <w:bookmarkStart w:id="5411" w:name="_Ref144632222"/>
      <w:r>
        <w:rPr>
          <w:rFonts w:hint="cs"/>
          <w:rtl/>
        </w:rPr>
        <w:t xml:space="preserve">כתב </w:t>
      </w:r>
      <w:r w:rsidRPr="005960B8">
        <w:rPr>
          <w:b/>
          <w:bCs/>
          <w:rtl/>
        </w:rPr>
        <w:t>ה</w:t>
      </w:r>
      <w:r w:rsidRPr="005960B8">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Ref144632222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ו)</w:t>
      </w:r>
      <w:r>
        <w:rPr>
          <w:b/>
          <w:bCs/>
          <w:vanish/>
          <w:rtl/>
        </w:rPr>
        <w:fldChar w:fldCharType="end"/>
      </w:r>
      <w:r w:rsidRPr="005960B8">
        <w:rPr>
          <w:b/>
          <w:bCs/>
          <w:vanish/>
          <w:rtl/>
        </w:rPr>
        <w:t xml:space="preserve"> &gt;</w:t>
      </w:r>
      <w:r>
        <w:rPr>
          <w:rFonts w:hint="cs"/>
          <w:b/>
          <w:bCs/>
          <w:rtl/>
        </w:rPr>
        <w:t>טל אורות הספרדי</w:t>
      </w:r>
      <w:r w:rsidRPr="005960B8">
        <w:rPr>
          <w:b/>
          <w:bCs/>
          <w:rtl/>
        </w:rPr>
        <w:t xml:space="preserve"> </w:t>
      </w:r>
      <w:r w:rsidRPr="005960B8">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מלאכת בונה ד"ה אך מדברי</w:t>
      </w:r>
      <w:r w:rsidRPr="005960B8">
        <w:rPr>
          <w:rFonts w:ascii="Calibri" w:eastAsia="Times New Roman" w:hAnsi="Calibri" w:cs="Guttman Rashi"/>
          <w:noProof w:val="0"/>
          <w:sz w:val="10"/>
          <w:szCs w:val="12"/>
          <w:rtl/>
        </w:rPr>
        <w:t>)</w:t>
      </w:r>
      <w:r w:rsidRPr="005960B8">
        <w:rPr>
          <w:vanish/>
          <w:rtl/>
        </w:rPr>
        <w:t>=</w:t>
      </w:r>
      <w:r>
        <w:rPr>
          <w:rFonts w:hint="cs"/>
          <w:rtl/>
        </w:rPr>
        <w:t xml:space="preserve"> דמבואר מדברי</w:t>
      </w:r>
      <w:r>
        <w:rPr>
          <w:rtl/>
        </w:rPr>
        <w:t xml:space="preserve"> </w:t>
      </w:r>
      <w:r>
        <w:rPr>
          <w:rFonts w:hint="cs"/>
          <w:b/>
          <w:bCs/>
          <w:rtl/>
        </w:rPr>
        <w:t>רש"י</w:t>
      </w:r>
      <w:r>
        <w:rPr>
          <w:rtl/>
        </w:rPr>
        <w:t xml:space="preserve"> </w:t>
      </w:r>
      <w:r>
        <w:rPr>
          <w:rFonts w:hint="cs"/>
          <w:rtl/>
        </w:rPr>
        <w:t xml:space="preserve">דס"ל דבכל ענין אין בנין בכלים, דהא בהא דאמרו רב ושמואל דהמחזיר מטה של טרסיים חייב חטאת, </w:t>
      </w:r>
      <w:r>
        <w:rPr>
          <w:rtl/>
        </w:rPr>
        <w:t xml:space="preserve">כתב </w:t>
      </w:r>
      <w:r w:rsidRPr="00030A4D">
        <w:rPr>
          <w:rStyle w:val="aff4"/>
          <w:vanish/>
          <w:rtl/>
        </w:rPr>
        <w:t>-</w:t>
      </w:r>
      <w:r w:rsidRPr="00ED6CBD">
        <w:rPr>
          <w:rStyle w:val="aff4"/>
          <w:rtl/>
        </w:rPr>
        <w:t>רש"י לעיל</w:t>
      </w:r>
      <w:r w:rsidRPr="00030A4D">
        <w:rPr>
          <w:rStyle w:val="aff4"/>
          <w:vanish/>
          <w:rtl/>
        </w:rPr>
        <w:t>-</w:t>
      </w:r>
      <w:r>
        <w:rPr>
          <w:rtl/>
        </w:rPr>
        <w:t xml:space="preserve"> </w:t>
      </w:r>
      <w:r>
        <w:rPr>
          <w:rStyle w:val="af2"/>
          <w:rFonts w:eastAsia="Guttman Hodes" w:hint="cs"/>
          <w:rtl/>
        </w:rPr>
        <w:t xml:space="preserve">(עי' </w:t>
      </w:r>
      <w:r w:rsidRPr="00DC5DA1">
        <w:rPr>
          <w:rStyle w:val="af2"/>
          <w:rFonts w:eastAsia="Guttman Hodes" w:hint="cs"/>
          <w:rtl/>
        </w:rPr>
        <w:t xml:space="preserve">אות </w:t>
      </w:r>
      <w:r w:rsidRPr="00DC5DA1">
        <w:rPr>
          <w:rStyle w:val="af2"/>
          <w:rFonts w:eastAsia="Guttman Hodes"/>
          <w:rtl/>
        </w:rPr>
        <w:fldChar w:fldCharType="begin"/>
      </w:r>
      <w:r w:rsidRPr="00DC5DA1">
        <w:rPr>
          <w:rStyle w:val="af2"/>
          <w:rFonts w:eastAsia="Guttman Hodes"/>
          <w:rtl/>
        </w:rPr>
        <w:instrText xml:space="preserve"> </w:instrText>
      </w:r>
      <w:r w:rsidRPr="00DC5DA1">
        <w:rPr>
          <w:rStyle w:val="af2"/>
          <w:rFonts w:eastAsia="Guttman Hodes"/>
        </w:rPr>
        <w:instrText>REF</w:instrText>
      </w:r>
      <w:r w:rsidRPr="00DC5DA1">
        <w:rPr>
          <w:rStyle w:val="af2"/>
          <w:rFonts w:eastAsia="Guttman Hodes"/>
          <w:rtl/>
        </w:rPr>
        <w:instrText xml:space="preserve"> _</w:instrText>
      </w:r>
      <w:r w:rsidRPr="00DC5DA1">
        <w:rPr>
          <w:rStyle w:val="af2"/>
          <w:rFonts w:eastAsia="Guttman Hodes"/>
        </w:rPr>
        <w:instrText>Ref143720580 \r \h</w:instrText>
      </w:r>
      <w:r w:rsidRPr="00DC5DA1">
        <w:rPr>
          <w:rStyle w:val="af2"/>
          <w:rFonts w:eastAsia="Guttman Hodes"/>
          <w:rtl/>
        </w:rPr>
        <w:instrText xml:space="preserve">  \* </w:instrText>
      </w:r>
      <w:r w:rsidRPr="00DC5DA1">
        <w:rPr>
          <w:rStyle w:val="af2"/>
          <w:rFonts w:eastAsia="Guttman Hodes"/>
        </w:rPr>
        <w:instrText>MERGEFORMAT</w:instrText>
      </w:r>
      <w:r w:rsidRPr="00DC5DA1">
        <w:rPr>
          <w:rStyle w:val="af2"/>
          <w:rFonts w:eastAsia="Guttman Hodes"/>
          <w:rtl/>
        </w:rPr>
        <w:instrText xml:space="preserve"> </w:instrText>
      </w:r>
      <w:r w:rsidRPr="00DC5DA1">
        <w:rPr>
          <w:rStyle w:val="af2"/>
          <w:rFonts w:eastAsia="Guttman Hodes"/>
          <w:rtl/>
        </w:rPr>
      </w:r>
      <w:r w:rsidRPr="00DC5DA1">
        <w:rPr>
          <w:rStyle w:val="af2"/>
          <w:rFonts w:eastAsia="Guttman Hodes"/>
          <w:rtl/>
        </w:rPr>
        <w:fldChar w:fldCharType="separate"/>
      </w:r>
      <w:r w:rsidR="00D82181">
        <w:rPr>
          <w:rStyle w:val="af2"/>
          <w:rFonts w:eastAsia="Guttman Hodes"/>
          <w:cs/>
        </w:rPr>
        <w:t>‎</w:t>
      </w:r>
      <w:r w:rsidR="00D82181">
        <w:rPr>
          <w:rStyle w:val="af2"/>
          <w:rFonts w:eastAsia="Guttman Hodes"/>
          <w:rtl/>
        </w:rPr>
        <w:t>א)</w:t>
      </w:r>
      <w:r w:rsidRPr="00DC5DA1">
        <w:rPr>
          <w:rStyle w:val="af2"/>
          <w:rFonts w:eastAsia="Guttman Hodes"/>
          <w:rtl/>
        </w:rPr>
        <w:fldChar w:fldCharType="end"/>
      </w:r>
      <w:r>
        <w:rPr>
          <w:rFonts w:hint="cs"/>
          <w:rtl/>
        </w:rPr>
        <w:t xml:space="preserve"> ד</w:t>
      </w:r>
      <w:r>
        <w:rPr>
          <w:rtl/>
        </w:rPr>
        <w:t xml:space="preserve">אין </w:t>
      </w:r>
      <w:r>
        <w:rPr>
          <w:rFonts w:hint="cs"/>
          <w:rtl/>
        </w:rPr>
        <w:t xml:space="preserve">בזה </w:t>
      </w:r>
      <w:r>
        <w:rPr>
          <w:rtl/>
        </w:rPr>
        <w:t>חיוב משום בונה כיון דאין בנין בכלים</w:t>
      </w:r>
      <w:r>
        <w:rPr>
          <w:rFonts w:hint="cs"/>
          <w:rtl/>
        </w:rPr>
        <w:t>, והחיוב הוא משום מכה בפטיש, ומבואר דאף בדעת רב ס"ל</w:t>
      </w:r>
      <w:r>
        <w:rPr>
          <w:rtl/>
        </w:rPr>
        <w:t xml:space="preserve"> </w:t>
      </w:r>
      <w:r>
        <w:rPr>
          <w:rFonts w:hint="cs"/>
          <w:b/>
          <w:bCs/>
          <w:rtl/>
        </w:rPr>
        <w:t>לרש"י</w:t>
      </w:r>
      <w:r>
        <w:rPr>
          <w:rtl/>
        </w:rPr>
        <w:t xml:space="preserve"> </w:t>
      </w:r>
      <w:r>
        <w:rPr>
          <w:rFonts w:hint="cs"/>
          <w:rtl/>
        </w:rPr>
        <w:t>דאין בנין בכלים, והקשה</w:t>
      </w:r>
      <w:r>
        <w:rPr>
          <w:rtl/>
        </w:rPr>
        <w:t xml:space="preserve"> </w:t>
      </w:r>
      <w:r>
        <w:rPr>
          <w:rFonts w:hint="cs"/>
          <w:b/>
          <w:bCs/>
          <w:rtl/>
        </w:rPr>
        <w:t>הטל אורות הספרדי</w:t>
      </w:r>
      <w:r>
        <w:rPr>
          <w:rtl/>
        </w:rPr>
        <w:t xml:space="preserve"> </w:t>
      </w:r>
      <w:r>
        <w:rPr>
          <w:rFonts w:hint="cs"/>
          <w:rtl/>
        </w:rPr>
        <w:t xml:space="preserve">דהא בסוגיין ס"ל לרב להדיא דיש בנין בכלים לענין מעייל שופתא בקופינא דמרא, וכן </w:t>
      </w:r>
      <w:r w:rsidRPr="00AF61D5">
        <w:rPr>
          <w:rFonts w:hint="cs"/>
          <w:rtl/>
        </w:rPr>
        <w:t xml:space="preserve">איתא בירושלמי </w:t>
      </w:r>
      <w:r w:rsidRPr="00C962CD">
        <w:rPr>
          <w:rStyle w:val="af2"/>
          <w:rFonts w:eastAsia="Guttman Hodes" w:hint="cs"/>
          <w:rtl/>
        </w:rPr>
        <w:t>(פי"ב ה"א, סח.)</w:t>
      </w:r>
      <w:r w:rsidRPr="00AF61D5">
        <w:rPr>
          <w:rFonts w:hint="cs"/>
          <w:rtl/>
        </w:rPr>
        <w:t xml:space="preserve"> דאמר רב ירמיה בשם רב דהמרכיב מיטה של גילה חייב משום בונה</w:t>
      </w:r>
      <w:r>
        <w:rPr>
          <w:rFonts w:hint="cs"/>
          <w:rtl/>
        </w:rPr>
        <w:t>,</w:t>
      </w:r>
      <w:r>
        <w:rPr>
          <w:rtl/>
        </w:rPr>
        <w:t xml:space="preserve"> </w:t>
      </w:r>
      <w:r w:rsidRPr="00741A29">
        <w:rPr>
          <w:sz w:val="12"/>
          <w:szCs w:val="14"/>
          <w:rtl/>
        </w:rPr>
        <w:t>[</w:t>
      </w:r>
      <w:r>
        <w:rPr>
          <w:rFonts w:hint="cs"/>
          <w:sz w:val="12"/>
          <w:szCs w:val="14"/>
          <w:rtl/>
        </w:rPr>
        <w:t xml:space="preserve">וכן הביאו </w:t>
      </w:r>
      <w:r w:rsidRPr="00741A29">
        <w:rPr>
          <w:rStyle w:val="aff9"/>
          <w:rFonts w:hint="cs"/>
          <w:rtl/>
        </w:rPr>
        <w:t>הרמב"ן</w:t>
      </w:r>
      <w:r>
        <w:rPr>
          <w:rFonts w:hint="cs"/>
          <w:sz w:val="12"/>
          <w:szCs w:val="14"/>
          <w:rtl/>
        </w:rPr>
        <w:t xml:space="preserve"> </w:t>
      </w:r>
      <w:r w:rsidRPr="00741A29">
        <w:rPr>
          <w:rStyle w:val="aff9"/>
          <w:rFonts w:hint="cs"/>
          <w:rtl/>
        </w:rPr>
        <w:t>במלחמות</w:t>
      </w:r>
      <w:r>
        <w:rPr>
          <w:rFonts w:hint="cs"/>
          <w:sz w:val="12"/>
          <w:szCs w:val="14"/>
          <w:rtl/>
        </w:rPr>
        <w:t xml:space="preserve"> </w:t>
      </w:r>
      <w:r w:rsidRPr="00741A29">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Ref144634411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יד)</w:t>
      </w:r>
      <w:r>
        <w:rPr>
          <w:rStyle w:val="aff0"/>
          <w:rtl/>
        </w:rPr>
        <w:fldChar w:fldCharType="end"/>
      </w:r>
      <w:r>
        <w:rPr>
          <w:rFonts w:hint="cs"/>
          <w:sz w:val="12"/>
          <w:szCs w:val="14"/>
          <w:rtl/>
        </w:rPr>
        <w:t xml:space="preserve"> </w:t>
      </w:r>
      <w:r>
        <w:rPr>
          <w:rStyle w:val="aff9"/>
          <w:rFonts w:hint="cs"/>
          <w:rtl/>
        </w:rPr>
        <w:t xml:space="preserve">וההג' מרדכי </w:t>
      </w:r>
      <w:r w:rsidRPr="00741A29">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Ref144634403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ט)</w:t>
      </w:r>
      <w:r>
        <w:rPr>
          <w:rStyle w:val="aff0"/>
          <w:rtl/>
        </w:rPr>
        <w:fldChar w:fldCharType="end"/>
      </w:r>
      <w:r>
        <w:rPr>
          <w:rFonts w:hint="cs"/>
          <w:sz w:val="12"/>
          <w:szCs w:val="14"/>
          <w:rtl/>
        </w:rPr>
        <w:t xml:space="preserve"> מהירושלמי</w:t>
      </w:r>
      <w:r w:rsidRPr="00741A29">
        <w:rPr>
          <w:sz w:val="12"/>
          <w:szCs w:val="14"/>
          <w:rtl/>
        </w:rPr>
        <w:t>]</w:t>
      </w:r>
      <w:r>
        <w:rPr>
          <w:rFonts w:hint="cs"/>
          <w:sz w:val="12"/>
          <w:szCs w:val="14"/>
          <w:rtl/>
        </w:rPr>
        <w:t>,</w:t>
      </w:r>
      <w:r>
        <w:rPr>
          <w:rtl/>
        </w:rPr>
        <w:t xml:space="preserve"> </w:t>
      </w:r>
      <w:r>
        <w:rPr>
          <w:rFonts w:hint="cs"/>
          <w:rtl/>
        </w:rPr>
        <w:t>ומוכח דס"ל לרב דיש בנין בכלים, וקשיא דרב אדרב.</w:t>
      </w:r>
    </w:p>
    <w:p w14:paraId="4700EFEC" w14:textId="77777777" w:rsidR="003E1AA3" w:rsidRPr="00BC7DC8" w:rsidRDefault="003E1AA3" w:rsidP="003E1AA3">
      <w:pPr>
        <w:pStyle w:val="afffffe"/>
        <w:rPr>
          <w:vanish/>
          <w:rtl/>
        </w:rPr>
      </w:pPr>
      <w:r w:rsidRPr="00BC7DC8">
        <w:rPr>
          <w:rFonts w:hint="cs"/>
          <w:vanish/>
          <w:rtl/>
        </w:rPr>
        <w:t>טל אורות הספרדי מלאכת בונה ד"ה אך מדברי</w:t>
      </w:r>
    </w:p>
    <w:p w14:paraId="0A0111B2" w14:textId="77777777" w:rsidR="003E1AA3" w:rsidRPr="0018388A" w:rsidRDefault="003E1AA3" w:rsidP="003E1AA3">
      <w:pPr>
        <w:pStyle w:val="a2"/>
        <w:tabs>
          <w:tab w:val="num" w:pos="284"/>
        </w:tabs>
      </w:pPr>
      <w:r w:rsidRPr="0018388A">
        <w:rPr>
          <w:rtl/>
        </w:rPr>
        <w:t>אך מדברי רש"י ז"ל מוכח דסובר דאין בנין בכלים ואין סתירה בכלים בשום ענין כלל ואפילו אליבא דרב ושמואל משמע מדבריו דלית להו בנין וסתירה בכלים שהרי בההיא דרב ושמואל דאמרי המחזיר מטה של טרסיים חייב חטאת</w:t>
      </w:r>
      <w:r w:rsidRPr="0018388A">
        <w:rPr>
          <w:rFonts w:hint="cs"/>
          <w:rtl/>
        </w:rPr>
        <w:t>,</w:t>
      </w:r>
      <w:r w:rsidRPr="0018388A">
        <w:rPr>
          <w:rtl/>
        </w:rPr>
        <w:t xml:space="preserve"> </w:t>
      </w:r>
      <w:r w:rsidRPr="0018388A">
        <w:rPr>
          <w:rFonts w:hint="cs"/>
          <w:rtl/>
        </w:rPr>
        <w:t>[</w:t>
      </w:r>
      <w:r w:rsidRPr="0018388A">
        <w:rPr>
          <w:rtl/>
        </w:rPr>
        <w:t>פירש</w:t>
      </w:r>
      <w:r w:rsidRPr="0018388A">
        <w:rPr>
          <w:rFonts w:hint="cs"/>
          <w:rtl/>
        </w:rPr>
        <w:t>]</w:t>
      </w:r>
      <w:r w:rsidRPr="0018388A">
        <w:rPr>
          <w:rtl/>
        </w:rPr>
        <w:t xml:space="preserve"> חייב חטאת הוא תחילתו וגומרו</w:t>
      </w:r>
      <w:r w:rsidRPr="0018388A">
        <w:rPr>
          <w:rFonts w:hint="cs"/>
          <w:rtl/>
        </w:rPr>
        <w:t xml:space="preserve"> ונמצא עושה כלי וחייב משום מכה בפטיש אף לכל</w:t>
      </w:r>
      <w:r w:rsidRPr="0018388A">
        <w:rPr>
          <w:rtl/>
        </w:rPr>
        <w:t xml:space="preserve"> גומרי מלאכה </w:t>
      </w:r>
      <w:r w:rsidRPr="0018388A">
        <w:rPr>
          <w:rFonts w:hint="cs"/>
          <w:rtl/>
        </w:rPr>
        <w:t>ולא משום בנין דאין בנין בכלים עד כאן, מפורש בהדיא מדברי דאף רב ושמואל סבירא להו דאין בנין בכלים ואין סתירה בכלים דהא אליביה דרב ושמואל אמרה למלתיה.</w:t>
      </w:r>
    </w:p>
    <w:p w14:paraId="66108EC9" w14:textId="77777777" w:rsidR="003E1AA3" w:rsidRPr="002E340A" w:rsidRDefault="003E1AA3" w:rsidP="003E1AA3">
      <w:pPr>
        <w:pStyle w:val="afffff5"/>
        <w:rPr>
          <w:rtl/>
        </w:rPr>
      </w:pPr>
      <w:r w:rsidRPr="002E340A">
        <w:rPr>
          <w:rFonts w:hint="cs"/>
          <w:rtl/>
        </w:rPr>
        <w:t>ואני בריה קלה נוראות נפאלתי עליו דהא רב ס"ל דיש בנין בכלים כדאיתא בפרק הבונה עייל שופתא בקופינא דמרא, רב אמר משום בונה וגם בירושלמי אמרינן רבי ירמיה בשם רב המרכיב מטה של גילא חייב משום בונה, הרי דמן הירושלמי ומן הגמרא דילן מוכח דרב ס"ל דיש בנין וסתירה בכלים ולפי דבריו קשה דרב אדרב.</w:t>
      </w:r>
    </w:p>
    <w:p w14:paraId="2442ACE8" w14:textId="77777777" w:rsidR="003E1AA3" w:rsidRPr="00340A76" w:rsidRDefault="003E1AA3" w:rsidP="003E1AA3">
      <w:pPr>
        <w:pStyle w:val="a7"/>
        <w:rPr>
          <w:rtl/>
        </w:rPr>
      </w:pPr>
      <w:bookmarkStart w:id="5412" w:name="_Toc145233888"/>
      <w:r>
        <w:rPr>
          <w:rFonts w:hint="cs"/>
          <w:rtl/>
        </w:rPr>
        <w:t>בי' הטל אורות דמוכח ברש"י דאף בעושה כלי אין בנין ובמטה של טרסיים כ' להלכה ולא ברב</w:t>
      </w:r>
      <w:bookmarkEnd w:id="5412"/>
    </w:p>
    <w:p w14:paraId="2CF00BBC" w14:textId="4C7F9A51" w:rsidR="003E1AA3" w:rsidRPr="005960B8" w:rsidRDefault="003E1AA3" w:rsidP="00BC7DC8">
      <w:pPr>
        <w:pStyle w:val="a3"/>
        <w:rPr>
          <w:rtl/>
        </w:rPr>
      </w:pPr>
      <w:r>
        <w:rPr>
          <w:rFonts w:hint="cs"/>
          <w:rtl/>
        </w:rPr>
        <w:t>וכתב</w:t>
      </w:r>
      <w:r>
        <w:rPr>
          <w:rtl/>
        </w:rPr>
        <w:t xml:space="preserve"> </w:t>
      </w:r>
      <w:r>
        <w:rPr>
          <w:rFonts w:hint="cs"/>
          <w:b/>
          <w:bCs/>
          <w:rtl/>
        </w:rPr>
        <w:t>הטל אורות הספרדי</w:t>
      </w:r>
      <w:r>
        <w:rPr>
          <w:rtl/>
        </w:rPr>
        <w:t xml:space="preserve"> </w:t>
      </w:r>
      <w:r>
        <w:rPr>
          <w:rFonts w:hint="cs"/>
          <w:rtl/>
        </w:rPr>
        <w:t xml:space="preserve">דא"א לומר דס"ל </w:t>
      </w:r>
      <w:r>
        <w:rPr>
          <w:rFonts w:hint="cs"/>
          <w:b/>
          <w:bCs/>
          <w:rtl/>
        </w:rPr>
        <w:t>לרש"י</w:t>
      </w:r>
      <w:r>
        <w:rPr>
          <w:rtl/>
        </w:rPr>
        <w:t xml:space="preserve"> </w:t>
      </w:r>
      <w:r>
        <w:rPr>
          <w:rFonts w:hint="cs"/>
          <w:rtl/>
        </w:rPr>
        <w:t xml:space="preserve">כדביארו </w:t>
      </w:r>
      <w:r>
        <w:rPr>
          <w:rFonts w:hint="cs"/>
          <w:b/>
          <w:bCs/>
          <w:rtl/>
        </w:rPr>
        <w:t>התוס'</w:t>
      </w:r>
      <w:r>
        <w:rPr>
          <w:rtl/>
        </w:rPr>
        <w:t xml:space="preserve"> </w:t>
      </w:r>
      <w:r w:rsidRPr="00CA003E">
        <w:rPr>
          <w:rFonts w:ascii="Calibri" w:eastAsia="Times New Roman" w:hAnsi="Calibri" w:cs="Guttman Rashi"/>
          <w:noProof w:val="0"/>
          <w:sz w:val="10"/>
          <w:szCs w:val="12"/>
          <w:rtl/>
        </w:rPr>
        <w:t xml:space="preserve">(עי' 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Pr>
        <w:instrText>REF</w:instrText>
      </w:r>
      <w:r>
        <w:rPr>
          <w:rFonts w:ascii="Calibri" w:eastAsia="Times New Roman" w:hAnsi="Calibri" w:cs="Guttman Rashi"/>
          <w:noProof w:val="0"/>
          <w:sz w:val="10"/>
          <w:szCs w:val="12"/>
          <w:rtl/>
        </w:rPr>
        <w:instrText xml:space="preserve"> _</w:instrText>
      </w:r>
      <w:r>
        <w:rPr>
          <w:rFonts w:ascii="Calibri" w:eastAsia="Times New Roman" w:hAnsi="Calibri" w:cs="Guttman Rashi"/>
          <w:noProof w:val="0"/>
          <w:sz w:val="10"/>
          <w:szCs w:val="12"/>
        </w:rPr>
        <w:instrText>Ref144829094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כא)</w:t>
      </w:r>
      <w:r>
        <w:rPr>
          <w:rFonts w:ascii="Calibri" w:eastAsia="Times New Roman" w:hAnsi="Calibri" w:cs="Guttman Rashi"/>
          <w:noProof w:val="0"/>
          <w:sz w:val="10"/>
          <w:szCs w:val="12"/>
          <w:rtl/>
        </w:rPr>
        <w:fldChar w:fldCharType="end"/>
      </w:r>
      <w:r>
        <w:rPr>
          <w:rtl/>
        </w:rPr>
        <w:t xml:space="preserve"> </w:t>
      </w:r>
      <w:r>
        <w:rPr>
          <w:rFonts w:hint="cs"/>
          <w:b/>
          <w:bCs/>
          <w:rtl/>
        </w:rPr>
        <w:t>והמ"מ</w:t>
      </w:r>
      <w:r>
        <w:rPr>
          <w:rtl/>
        </w:rPr>
        <w:t xml:space="preserve"> </w:t>
      </w:r>
      <w:r w:rsidRPr="00CA003E">
        <w:rPr>
          <w:rFonts w:ascii="Calibri" w:eastAsia="Times New Roman" w:hAnsi="Calibri" w:cs="Guttman Rashi"/>
          <w:noProof w:val="0"/>
          <w:sz w:val="10"/>
          <w:szCs w:val="12"/>
          <w:rtl/>
        </w:rPr>
        <w:t xml:space="preserve">(עי' 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Pr>
        <w:instrText>REF</w:instrText>
      </w:r>
      <w:r>
        <w:rPr>
          <w:rFonts w:ascii="Calibri" w:eastAsia="Times New Roman" w:hAnsi="Calibri" w:cs="Guttman Rashi"/>
          <w:noProof w:val="0"/>
          <w:sz w:val="10"/>
          <w:szCs w:val="12"/>
          <w:rtl/>
        </w:rPr>
        <w:instrText xml:space="preserve"> _</w:instrText>
      </w:r>
      <w:r>
        <w:rPr>
          <w:rFonts w:ascii="Calibri" w:eastAsia="Times New Roman" w:hAnsi="Calibri" w:cs="Guttman Rashi"/>
          <w:noProof w:val="0"/>
          <w:sz w:val="10"/>
          <w:szCs w:val="12"/>
        </w:rPr>
        <w:instrText>Ref143549459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כה)</w:t>
      </w:r>
      <w:r>
        <w:rPr>
          <w:rFonts w:ascii="Calibri" w:eastAsia="Times New Roman" w:hAnsi="Calibri" w:cs="Guttman Rashi"/>
          <w:noProof w:val="0"/>
          <w:sz w:val="10"/>
          <w:szCs w:val="12"/>
          <w:rtl/>
        </w:rPr>
        <w:fldChar w:fldCharType="end"/>
      </w:r>
      <w:r>
        <w:rPr>
          <w:rtl/>
        </w:rPr>
        <w:t xml:space="preserve"> </w:t>
      </w:r>
      <w:r>
        <w:rPr>
          <w:rFonts w:hint="cs"/>
          <w:rtl/>
        </w:rPr>
        <w:t xml:space="preserve">בדעת </w:t>
      </w:r>
      <w:r>
        <w:rPr>
          <w:rFonts w:hint="cs"/>
          <w:b/>
          <w:bCs/>
          <w:rtl/>
        </w:rPr>
        <w:t>הרמב"ם</w:t>
      </w:r>
      <w:r>
        <w:rPr>
          <w:rtl/>
        </w:rPr>
        <w:t xml:space="preserve"> </w:t>
      </w:r>
      <w:r>
        <w:rPr>
          <w:rFonts w:hint="cs"/>
          <w:rtl/>
        </w:rPr>
        <w:t xml:space="preserve">דבעושה כלי מחדש יש בנין בכלים, ובכלי שהתפרק אין בנין בכלים, דהא אף לענין חביתא </w:t>
      </w:r>
      <w:r>
        <w:rPr>
          <w:rtl/>
        </w:rPr>
        <w:t xml:space="preserve">כתב </w:t>
      </w:r>
      <w:r w:rsidRPr="00030A4D">
        <w:rPr>
          <w:rStyle w:val="aff4"/>
          <w:vanish/>
          <w:rtl/>
        </w:rPr>
        <w:t>-</w:t>
      </w:r>
      <w:r w:rsidRPr="00ED6CBD">
        <w:rPr>
          <w:rStyle w:val="aff4"/>
          <w:rtl/>
        </w:rPr>
        <w:t>רש"י לעיל</w:t>
      </w:r>
      <w:r w:rsidRPr="00030A4D">
        <w:rPr>
          <w:rStyle w:val="aff4"/>
          <w:vanish/>
          <w:rtl/>
        </w:rPr>
        <w:t>-</w:t>
      </w:r>
      <w:r>
        <w:rPr>
          <w:rtl/>
        </w:rPr>
        <w:t xml:space="preserve"> </w:t>
      </w:r>
      <w:r>
        <w:rPr>
          <w:rStyle w:val="af2"/>
          <w:rFonts w:eastAsia="Guttman Hodes" w:hint="cs"/>
          <w:rtl/>
        </w:rPr>
        <w:t xml:space="preserve">(עי' </w:t>
      </w:r>
      <w:r w:rsidRPr="00DC5DA1">
        <w:rPr>
          <w:rStyle w:val="af2"/>
          <w:rFonts w:eastAsia="Guttman Hodes" w:hint="cs"/>
          <w:rtl/>
        </w:rPr>
        <w:t xml:space="preserve">אות </w:t>
      </w:r>
      <w:r w:rsidRPr="00DC5DA1">
        <w:rPr>
          <w:rStyle w:val="af2"/>
          <w:rFonts w:eastAsia="Guttman Hodes"/>
          <w:rtl/>
        </w:rPr>
        <w:fldChar w:fldCharType="begin"/>
      </w:r>
      <w:r w:rsidRPr="00DC5DA1">
        <w:rPr>
          <w:rStyle w:val="af2"/>
          <w:rFonts w:eastAsia="Guttman Hodes"/>
          <w:rtl/>
        </w:rPr>
        <w:instrText xml:space="preserve"> </w:instrText>
      </w:r>
      <w:r w:rsidRPr="00DC5DA1">
        <w:rPr>
          <w:rStyle w:val="af2"/>
          <w:rFonts w:eastAsia="Guttman Hodes"/>
        </w:rPr>
        <w:instrText>REF</w:instrText>
      </w:r>
      <w:r w:rsidRPr="00DC5DA1">
        <w:rPr>
          <w:rStyle w:val="af2"/>
          <w:rFonts w:eastAsia="Guttman Hodes"/>
          <w:rtl/>
        </w:rPr>
        <w:instrText xml:space="preserve"> _</w:instrText>
      </w:r>
      <w:r w:rsidRPr="00DC5DA1">
        <w:rPr>
          <w:rStyle w:val="af2"/>
          <w:rFonts w:eastAsia="Guttman Hodes"/>
        </w:rPr>
        <w:instrText>Ref143720580 \r \h</w:instrText>
      </w:r>
      <w:r w:rsidRPr="00DC5DA1">
        <w:rPr>
          <w:rStyle w:val="af2"/>
          <w:rFonts w:eastAsia="Guttman Hodes"/>
          <w:rtl/>
        </w:rPr>
        <w:instrText xml:space="preserve">  \* </w:instrText>
      </w:r>
      <w:r w:rsidRPr="00DC5DA1">
        <w:rPr>
          <w:rStyle w:val="af2"/>
          <w:rFonts w:eastAsia="Guttman Hodes"/>
        </w:rPr>
        <w:instrText>MERGEFORMAT</w:instrText>
      </w:r>
      <w:r w:rsidRPr="00DC5DA1">
        <w:rPr>
          <w:rStyle w:val="af2"/>
          <w:rFonts w:eastAsia="Guttman Hodes"/>
          <w:rtl/>
        </w:rPr>
        <w:instrText xml:space="preserve"> </w:instrText>
      </w:r>
      <w:r w:rsidRPr="00DC5DA1">
        <w:rPr>
          <w:rStyle w:val="af2"/>
          <w:rFonts w:eastAsia="Guttman Hodes"/>
          <w:rtl/>
        </w:rPr>
      </w:r>
      <w:r w:rsidRPr="00DC5DA1">
        <w:rPr>
          <w:rStyle w:val="af2"/>
          <w:rFonts w:eastAsia="Guttman Hodes"/>
          <w:rtl/>
        </w:rPr>
        <w:fldChar w:fldCharType="separate"/>
      </w:r>
      <w:r w:rsidR="00D82181">
        <w:rPr>
          <w:rStyle w:val="af2"/>
          <w:rFonts w:eastAsia="Guttman Hodes"/>
          <w:cs/>
        </w:rPr>
        <w:t>‎</w:t>
      </w:r>
      <w:r w:rsidR="00D82181">
        <w:rPr>
          <w:rStyle w:val="af2"/>
          <w:rFonts w:eastAsia="Guttman Hodes"/>
          <w:rtl/>
        </w:rPr>
        <w:t>א)</w:t>
      </w:r>
      <w:r w:rsidRPr="00DC5DA1">
        <w:rPr>
          <w:rStyle w:val="af2"/>
          <w:rFonts w:eastAsia="Guttman Hodes"/>
          <w:rtl/>
        </w:rPr>
        <w:fldChar w:fldCharType="end"/>
      </w:r>
      <w:r>
        <w:rPr>
          <w:rFonts w:hint="cs"/>
          <w:rtl/>
        </w:rPr>
        <w:t xml:space="preserve"> ד</w:t>
      </w:r>
      <w:r>
        <w:rPr>
          <w:rtl/>
        </w:rPr>
        <w:t xml:space="preserve">אין </w:t>
      </w:r>
      <w:r>
        <w:rPr>
          <w:rFonts w:hint="cs"/>
          <w:rtl/>
        </w:rPr>
        <w:t xml:space="preserve">בזה </w:t>
      </w:r>
      <w:r>
        <w:rPr>
          <w:rtl/>
        </w:rPr>
        <w:t>חיוב משום בונה כיון דאין בנין בכלים</w:t>
      </w:r>
      <w:r>
        <w:rPr>
          <w:rFonts w:hint="cs"/>
          <w:rtl/>
        </w:rPr>
        <w:t xml:space="preserve">, וכן ביאר </w:t>
      </w:r>
      <w:r w:rsidRPr="00030A4D">
        <w:rPr>
          <w:rStyle w:val="aff4"/>
          <w:rFonts w:hint="cs"/>
          <w:vanish/>
          <w:rtl/>
        </w:rPr>
        <w:t>-</w:t>
      </w:r>
      <w:r w:rsidRPr="00ED6CBD">
        <w:rPr>
          <w:rStyle w:val="aff4"/>
          <w:rFonts w:hint="cs"/>
          <w:rtl/>
        </w:rPr>
        <w:t>רש"י בביצה</w:t>
      </w:r>
      <w:r w:rsidRPr="00030A4D">
        <w:rPr>
          <w:rStyle w:val="aff4"/>
          <w:rFonts w:hint="cs"/>
          <w:vanish/>
          <w:rtl/>
        </w:rPr>
        <w:t>-</w:t>
      </w:r>
      <w:r>
        <w:rPr>
          <w:rFonts w:hint="cs"/>
          <w:rtl/>
        </w:rPr>
        <w:t xml:space="preserve"> </w:t>
      </w:r>
      <w:r>
        <w:rPr>
          <w:rStyle w:val="af2"/>
          <w:rFonts w:eastAsia="Guttman Hodes" w:hint="cs"/>
          <w:rtl/>
        </w:rPr>
        <w:t xml:space="preserve">(עי' </w:t>
      </w:r>
      <w:r w:rsidRPr="001A1852">
        <w:rPr>
          <w:rStyle w:val="af2"/>
          <w:rFonts w:eastAsia="Guttman Hodes" w:hint="cs"/>
          <w:rtl/>
        </w:rPr>
        <w:t xml:space="preserve">אות </w:t>
      </w:r>
      <w:r w:rsidRPr="001A1852">
        <w:rPr>
          <w:rStyle w:val="af2"/>
          <w:rFonts w:eastAsia="Guttman Hodes"/>
          <w:rtl/>
        </w:rPr>
        <w:fldChar w:fldCharType="begin"/>
      </w:r>
      <w:r w:rsidRPr="001A1852">
        <w:rPr>
          <w:rStyle w:val="af2"/>
          <w:rFonts w:eastAsia="Guttman Hodes"/>
          <w:rtl/>
        </w:rPr>
        <w:instrText xml:space="preserve"> </w:instrText>
      </w:r>
      <w:r w:rsidRPr="001A1852">
        <w:rPr>
          <w:rStyle w:val="af2"/>
          <w:rFonts w:eastAsia="Guttman Hodes" w:hint="cs"/>
        </w:rPr>
        <w:instrText>REF</w:instrText>
      </w:r>
      <w:r w:rsidRPr="001A1852">
        <w:rPr>
          <w:rStyle w:val="af2"/>
          <w:rFonts w:eastAsia="Guttman Hodes" w:hint="cs"/>
          <w:rtl/>
        </w:rPr>
        <w:instrText xml:space="preserve"> _</w:instrText>
      </w:r>
      <w:r w:rsidRPr="001A1852">
        <w:rPr>
          <w:rStyle w:val="af2"/>
          <w:rFonts w:eastAsia="Guttman Hodes" w:hint="cs"/>
        </w:rPr>
        <w:instrText>Ref143720755 \r \h</w:instrText>
      </w:r>
      <w:r w:rsidRPr="001A1852">
        <w:rPr>
          <w:rStyle w:val="af2"/>
          <w:rFonts w:eastAsia="Guttman Hodes"/>
          <w:rtl/>
        </w:rPr>
        <w:instrText xml:space="preserve"> </w:instrText>
      </w:r>
      <w:r w:rsidRPr="001A1852">
        <w:rPr>
          <w:rStyle w:val="af2"/>
          <w:rFonts w:eastAsia="Guttman Hodes"/>
          <w:rtl/>
        </w:rPr>
      </w:r>
      <w:r w:rsidRPr="001A1852">
        <w:rPr>
          <w:rStyle w:val="af2"/>
          <w:rFonts w:eastAsia="Guttman Hodes"/>
          <w:rtl/>
        </w:rPr>
        <w:fldChar w:fldCharType="separate"/>
      </w:r>
      <w:r w:rsidR="00D82181">
        <w:rPr>
          <w:rStyle w:val="af2"/>
          <w:rFonts w:eastAsia="Guttman Hodes"/>
          <w:cs/>
        </w:rPr>
        <w:t>‎</w:t>
      </w:r>
      <w:r w:rsidR="00D82181">
        <w:rPr>
          <w:rStyle w:val="af2"/>
          <w:rFonts w:eastAsia="Guttman Hodes"/>
          <w:rtl/>
        </w:rPr>
        <w:t>טו)</w:t>
      </w:r>
      <w:r w:rsidRPr="001A1852">
        <w:rPr>
          <w:rStyle w:val="af2"/>
          <w:rFonts w:eastAsia="Guttman Hodes"/>
          <w:rtl/>
        </w:rPr>
        <w:fldChar w:fldCharType="end"/>
      </w:r>
      <w:r>
        <w:rPr>
          <w:rFonts w:hint="cs"/>
          <w:rtl/>
        </w:rPr>
        <w:t xml:space="preserve"> דרק בבתים אפשר לחייב בנין ולא בכלים, ומוכח דלדעת</w:t>
      </w:r>
      <w:r>
        <w:rPr>
          <w:rtl/>
        </w:rPr>
        <w:t xml:space="preserve"> </w:t>
      </w:r>
      <w:r>
        <w:rPr>
          <w:rFonts w:hint="cs"/>
          <w:b/>
          <w:bCs/>
          <w:rtl/>
        </w:rPr>
        <w:t>רש"י</w:t>
      </w:r>
      <w:r>
        <w:rPr>
          <w:rtl/>
        </w:rPr>
        <w:t xml:space="preserve"> </w:t>
      </w:r>
      <w:r>
        <w:rPr>
          <w:rFonts w:hint="cs"/>
          <w:rtl/>
        </w:rPr>
        <w:t>אין בנין בכלים כלל, וכתב</w:t>
      </w:r>
      <w:r>
        <w:rPr>
          <w:rtl/>
        </w:rPr>
        <w:t xml:space="preserve"> </w:t>
      </w:r>
      <w:r>
        <w:rPr>
          <w:rFonts w:hint="cs"/>
          <w:b/>
          <w:bCs/>
          <w:rtl/>
        </w:rPr>
        <w:t>הטל אורות הספרדי</w:t>
      </w:r>
      <w:r>
        <w:rPr>
          <w:rtl/>
        </w:rPr>
        <w:t xml:space="preserve"> </w:t>
      </w:r>
      <w:r>
        <w:rPr>
          <w:rFonts w:hint="cs"/>
          <w:rtl/>
        </w:rPr>
        <w:t xml:space="preserve">דצ"ל דמ"ש </w:t>
      </w:r>
      <w:r w:rsidRPr="00030A4D">
        <w:rPr>
          <w:rStyle w:val="aff4"/>
          <w:vanish/>
          <w:rtl/>
        </w:rPr>
        <w:t>-</w:t>
      </w:r>
      <w:r w:rsidRPr="00ED6CBD">
        <w:rPr>
          <w:rStyle w:val="aff4"/>
          <w:rtl/>
        </w:rPr>
        <w:t>רש"י לעיל</w:t>
      </w:r>
      <w:r w:rsidRPr="00030A4D">
        <w:rPr>
          <w:rStyle w:val="aff4"/>
          <w:vanish/>
          <w:rtl/>
        </w:rPr>
        <w:t>-</w:t>
      </w:r>
      <w:r>
        <w:rPr>
          <w:rtl/>
        </w:rPr>
        <w:t xml:space="preserve"> </w:t>
      </w:r>
      <w:r>
        <w:rPr>
          <w:rStyle w:val="af2"/>
          <w:rFonts w:eastAsia="Guttman Hodes" w:hint="cs"/>
          <w:rtl/>
        </w:rPr>
        <w:t xml:space="preserve">(עי' </w:t>
      </w:r>
      <w:r w:rsidRPr="00DC5DA1">
        <w:rPr>
          <w:rStyle w:val="af2"/>
          <w:rFonts w:eastAsia="Guttman Hodes" w:hint="cs"/>
          <w:rtl/>
        </w:rPr>
        <w:t xml:space="preserve">אות </w:t>
      </w:r>
      <w:r w:rsidRPr="00DC5DA1">
        <w:rPr>
          <w:rStyle w:val="af2"/>
          <w:rFonts w:eastAsia="Guttman Hodes"/>
          <w:rtl/>
        </w:rPr>
        <w:fldChar w:fldCharType="begin"/>
      </w:r>
      <w:r w:rsidRPr="00DC5DA1">
        <w:rPr>
          <w:rStyle w:val="af2"/>
          <w:rFonts w:eastAsia="Guttman Hodes"/>
          <w:rtl/>
        </w:rPr>
        <w:instrText xml:space="preserve"> </w:instrText>
      </w:r>
      <w:r w:rsidRPr="00DC5DA1">
        <w:rPr>
          <w:rStyle w:val="af2"/>
          <w:rFonts w:eastAsia="Guttman Hodes"/>
        </w:rPr>
        <w:instrText>REF</w:instrText>
      </w:r>
      <w:r w:rsidRPr="00DC5DA1">
        <w:rPr>
          <w:rStyle w:val="af2"/>
          <w:rFonts w:eastAsia="Guttman Hodes"/>
          <w:rtl/>
        </w:rPr>
        <w:instrText xml:space="preserve"> _</w:instrText>
      </w:r>
      <w:r w:rsidRPr="00DC5DA1">
        <w:rPr>
          <w:rStyle w:val="af2"/>
          <w:rFonts w:eastAsia="Guttman Hodes"/>
        </w:rPr>
        <w:instrText>Ref143720580 \r \h</w:instrText>
      </w:r>
      <w:r w:rsidRPr="00DC5DA1">
        <w:rPr>
          <w:rStyle w:val="af2"/>
          <w:rFonts w:eastAsia="Guttman Hodes"/>
          <w:rtl/>
        </w:rPr>
        <w:instrText xml:space="preserve">  \* </w:instrText>
      </w:r>
      <w:r w:rsidRPr="00DC5DA1">
        <w:rPr>
          <w:rStyle w:val="af2"/>
          <w:rFonts w:eastAsia="Guttman Hodes"/>
        </w:rPr>
        <w:instrText>MERGEFORMAT</w:instrText>
      </w:r>
      <w:r w:rsidRPr="00DC5DA1">
        <w:rPr>
          <w:rStyle w:val="af2"/>
          <w:rFonts w:eastAsia="Guttman Hodes"/>
          <w:rtl/>
        </w:rPr>
        <w:instrText xml:space="preserve"> </w:instrText>
      </w:r>
      <w:r w:rsidRPr="00DC5DA1">
        <w:rPr>
          <w:rStyle w:val="af2"/>
          <w:rFonts w:eastAsia="Guttman Hodes"/>
          <w:rtl/>
        </w:rPr>
      </w:r>
      <w:r w:rsidRPr="00DC5DA1">
        <w:rPr>
          <w:rStyle w:val="af2"/>
          <w:rFonts w:eastAsia="Guttman Hodes"/>
          <w:rtl/>
        </w:rPr>
        <w:fldChar w:fldCharType="separate"/>
      </w:r>
      <w:r w:rsidR="00D82181">
        <w:rPr>
          <w:rStyle w:val="af2"/>
          <w:rFonts w:eastAsia="Guttman Hodes"/>
          <w:cs/>
        </w:rPr>
        <w:t>‎</w:t>
      </w:r>
      <w:r w:rsidR="00D82181">
        <w:rPr>
          <w:rStyle w:val="af2"/>
          <w:rFonts w:eastAsia="Guttman Hodes"/>
          <w:rtl/>
        </w:rPr>
        <w:t>א)</w:t>
      </w:r>
      <w:r w:rsidRPr="00DC5DA1">
        <w:rPr>
          <w:rStyle w:val="af2"/>
          <w:rFonts w:eastAsia="Guttman Hodes"/>
          <w:rtl/>
        </w:rPr>
        <w:fldChar w:fldCharType="end"/>
      </w:r>
      <w:r>
        <w:rPr>
          <w:rFonts w:hint="cs"/>
          <w:rtl/>
        </w:rPr>
        <w:t xml:space="preserve"> לענין מטה של טרסיים דאין בזה חיוב בונה, אף דכ"כ בדברי רב, מ"מ ביאר את הדין אליבא דהלכתא דקיי"ל כרבא בגמ' לקמן</w:t>
      </w:r>
      <w:r>
        <w:rPr>
          <w:rtl/>
        </w:rPr>
        <w:t xml:space="preserve"> </w:t>
      </w:r>
      <w:r w:rsidRPr="00A45D4C">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קכב:</w:t>
      </w:r>
      <w:r w:rsidRPr="00A45D4C">
        <w:rPr>
          <w:rFonts w:ascii="Calibri" w:eastAsia="Times New Roman" w:hAnsi="Calibri" w:cs="Guttman Rashi"/>
          <w:noProof w:val="0"/>
          <w:sz w:val="10"/>
          <w:szCs w:val="12"/>
          <w:rtl/>
        </w:rPr>
        <w:t>)</w:t>
      </w:r>
      <w:r>
        <w:rPr>
          <w:rtl/>
        </w:rPr>
        <w:t xml:space="preserve"> </w:t>
      </w:r>
      <w:r>
        <w:rPr>
          <w:rFonts w:hint="cs"/>
          <w:rtl/>
        </w:rPr>
        <w:t>דאין בנין בכלים, ולא ביאר כן לדעת רב דס"ל דיש בנין בכלים.</w:t>
      </w:r>
      <w:bookmarkEnd w:id="5411"/>
    </w:p>
    <w:p w14:paraId="0FFF01C4" w14:textId="77777777" w:rsidR="003E1AA3" w:rsidRPr="0018388A" w:rsidRDefault="003E1AA3" w:rsidP="003E1AA3">
      <w:pPr>
        <w:pStyle w:val="a2"/>
        <w:tabs>
          <w:tab w:val="num" w:pos="284"/>
        </w:tabs>
      </w:pPr>
      <w:r w:rsidRPr="0018388A">
        <w:rPr>
          <w:rFonts w:hint="cs"/>
          <w:rtl/>
        </w:rPr>
        <w:t xml:space="preserve">וליכא למימר דהוא ז"ל סובר כמו שחילקו התוס' ז"ל והר"ן בריש הבונה והרב המגיד בפ"י מהלכות שבת הי"ג דכי אמרינן הכי דאין בנין וסתירה בכלים ה"מ בכלי שנתפרק כגון מנורה של חוליות אבל עושה כלי מתחילתו לא מיקרי בנין בכלים אלא עושה כלי מיקרי ומחייב משום בונה, דהא ליתא, דרש"י ס"ל סובר דאין בנין וסתירה בכלים בשם וענין כלל ואפילו בעושה כלי מתחילתו שהרי בפרק כלל גדול (עד:) גבי מה שאמרו שם האי מאן דעביד חביתא ותנורה וחלתא וכו' ככתב וז"ל ומשום בונה ליכא לחיוביה לא בחבית ולא בתנור ולא בכוורת ומכוח דאפילו בעושה כלי מתחיתו ס"ל דלכא לחיובי מושם בונה דאין בנין וסתירה בכלים, גם בפרקא קמא דביצה דף י"א ע"ב כתב וז"ל </w:t>
      </w:r>
      <w:r w:rsidRPr="0018388A">
        <w:rPr>
          <w:rtl/>
        </w:rPr>
        <w:t>אין בנין בכלים אין איסור בנין וסתירה בכלים, אלא בבתים דנחייב בבנין כל דהו, והעושה כלי או גומרו ביום טוב או בשבת - משום מכה בפטיש הוא דמחייב, שהוא חיוב לכל גמר מלאכה</w:t>
      </w:r>
      <w:r w:rsidRPr="0018388A">
        <w:rPr>
          <w:rFonts w:hint="cs"/>
          <w:rtl/>
        </w:rPr>
        <w:t>,</w:t>
      </w:r>
      <w:r w:rsidRPr="0018388A">
        <w:rPr>
          <w:rtl/>
        </w:rPr>
        <w:t xml:space="preserve"> או אם הוא דבר שהוא מחליקו - חייב משום ממחק, ואם צריך קצוע - </w:t>
      </w:r>
      <w:r w:rsidRPr="0018388A">
        <w:rPr>
          <w:rFonts w:hint="cs"/>
          <w:rtl/>
        </w:rPr>
        <w:t>,,</w:t>
      </w:r>
      <w:r w:rsidRPr="0018388A">
        <w:rPr>
          <w:rtl/>
        </w:rPr>
        <w:t>חייב משום מחתך, וכן אורג או מסך או תופר, אבל בנין וסתירה - לא שייך בהו לאחיובי בסלוק וחזרה, דהא דתנן (שבת קב, ב): הבונה כל שהוא - בבתים תנן</w:t>
      </w:r>
      <w:r w:rsidRPr="0018388A">
        <w:rPr>
          <w:rFonts w:hint="cs"/>
          <w:rtl/>
        </w:rPr>
        <w:t xml:space="preserve"> עכ"ל יעוי"ש.</w:t>
      </w:r>
    </w:p>
    <w:p w14:paraId="44F38735" w14:textId="77777777" w:rsidR="003E1AA3" w:rsidRPr="002E340A" w:rsidRDefault="003E1AA3" w:rsidP="003E1AA3">
      <w:pPr>
        <w:pStyle w:val="afffff5"/>
        <w:rPr>
          <w:rtl/>
        </w:rPr>
      </w:pPr>
      <w:r w:rsidRPr="002E340A">
        <w:rPr>
          <w:rtl/>
        </w:rPr>
        <w:t>ודברים אלו ברור מללו דל"ל לרש"י ז"ל בנין וסתירה אלא בבתים דוקא ולא בכלים ומוכח בהדאי מדבריו דל"ל לרש"י חילוק זה שחילקו הראשונים ז"ל שהבאנו לעיל, כי על כן כי היכי דלא תקשי דרב אדרב צריכין אנו למשכוני נפשין ולפרש בדברי רש"י ז"ל כיון דהוא ז"ל קים ליה דהלכתא כמ"ד דאין בנין וסתירה בכלים בשום ענין אלא בבתים דוקא כדאיתא בריש כל הכלים גבי ההיא דתניא דלת של שידה תיבה ומגדל נוטלין ולא מחזירין ומפרש רבא ט</w:t>
      </w:r>
      <w:r w:rsidRPr="002E340A">
        <w:rPr>
          <w:rFonts w:hint="cs"/>
          <w:rtl/>
        </w:rPr>
        <w:t>ע</w:t>
      </w:r>
      <w:r w:rsidRPr="002E340A">
        <w:rPr>
          <w:rtl/>
        </w:rPr>
        <w:t>מ</w:t>
      </w:r>
      <w:r w:rsidRPr="002E340A">
        <w:rPr>
          <w:rFonts w:hint="cs"/>
          <w:rtl/>
        </w:rPr>
        <w:t>א</w:t>
      </w:r>
      <w:r w:rsidRPr="002E340A">
        <w:rPr>
          <w:rtl/>
        </w:rPr>
        <w:t xml:space="preserve"> משום דקא סבר דאין בנין וסתירה בכ</w:t>
      </w:r>
      <w:r w:rsidRPr="002E340A">
        <w:rPr>
          <w:rFonts w:hint="cs"/>
          <w:rtl/>
        </w:rPr>
        <w:t>ל</w:t>
      </w:r>
      <w:r w:rsidRPr="002E340A">
        <w:rPr>
          <w:rtl/>
        </w:rPr>
        <w:t xml:space="preserve">ים ועיין במרדכי פרק הבונה שכתב דמכאן הביא ראיה הרא"ם ז"ל דאין בנין וסתירה בכלים כיון דרבא ס"ל הכי אמור מעתה דה"נ ס"ל לרש"י ז"ל דהלכתא כרבא דאמר דאין בנין בכלים, לכן צ"ל דהא דמפרש רש"י ז"ל בסוף פרק כירה לאו אליביה דרב אמרה למלתיה דהא רב ס"ל דיש בנין בכלים כדאיתא בפרק הבונה אלא ה"ק דהא דאמר רב חייב חטאת צ"ל אליבא דהלכתא דמשום מכה בפטיש הוא דמחייב ולא משום בנין דאין בנין וסתירה בכלים ולאפוקי מההיא דרב דס"ל דיש בנין וסתירה בכלים קאמר הכי דלית הלכתא כותיה דרב אלא כמאן דבר דאין בנין וסתירה בכלים אלא בבתים דוקא וכדאמרן. </w:t>
      </w:r>
    </w:p>
    <w:p w14:paraId="4D96CF46" w14:textId="77777777" w:rsidR="003E1AA3" w:rsidRDefault="003E1AA3" w:rsidP="003E1AA3">
      <w:pPr>
        <w:pStyle w:val="a7"/>
        <w:rPr>
          <w:rtl/>
        </w:rPr>
      </w:pPr>
      <w:bookmarkStart w:id="5413" w:name="_Toc145233889"/>
    </w:p>
    <w:p w14:paraId="2D9A9429" w14:textId="77777777" w:rsidR="003E1AA3" w:rsidRDefault="003E1AA3" w:rsidP="003E1AA3">
      <w:pPr>
        <w:pStyle w:val="1"/>
        <w:rPr>
          <w:rtl/>
        </w:rPr>
      </w:pPr>
      <w:r>
        <w:rPr>
          <w:rFonts w:hint="cs"/>
          <w:rtl/>
        </w:rPr>
        <w:t>בי' היראים דאף רב מודה דאין בנין וסתירה בכלים ונח' במכב"פ</w:t>
      </w:r>
      <w:bookmarkEnd w:id="5413"/>
    </w:p>
    <w:p w14:paraId="1E32B9AB" w14:textId="77777777" w:rsidR="003E1AA3" w:rsidRPr="00C405E5" w:rsidRDefault="003E1AA3" w:rsidP="003E1AA3">
      <w:pPr>
        <w:keepNext/>
        <w:keepLines/>
        <w:spacing w:after="0" w:line="240" w:lineRule="auto"/>
        <w:ind w:left="-284"/>
        <w:jc w:val="both"/>
        <w:outlineLvl w:val="1"/>
        <w:rPr>
          <w:rFonts w:ascii="FrankRuehl" w:eastAsia="Guttman Hodes" w:hAnsi="FrankRuehl" w:cs="Guttman Rashi"/>
          <w:bCs/>
          <w:noProof/>
          <w:sz w:val="16"/>
          <w:szCs w:val="16"/>
        </w:rPr>
      </w:pPr>
      <w:r w:rsidRPr="00C405E5">
        <w:rPr>
          <w:rFonts w:ascii="FrankRuehl" w:eastAsia="Guttman Hodes" w:hAnsi="FrankRuehl" w:cs="Guttman Rashi" w:hint="cs"/>
          <w:bCs/>
          <w:noProof/>
          <w:sz w:val="16"/>
          <w:szCs w:val="16"/>
          <w:rtl/>
        </w:rPr>
        <w:t>יראים סימן רע"ד ד"ה הבונה</w:t>
      </w:r>
    </w:p>
    <w:p w14:paraId="1B09A79F" w14:textId="77777777" w:rsidR="003E1AA3" w:rsidRPr="00FC269C" w:rsidRDefault="003E1AA3" w:rsidP="003E1AA3">
      <w:pPr>
        <w:pStyle w:val="afffff7"/>
        <w:rPr>
          <w:rtl/>
        </w:rPr>
      </w:pPr>
      <w:bookmarkStart w:id="5414" w:name="_Toc145234005"/>
      <w:bookmarkStart w:id="5415" w:name="_Toc163506263"/>
      <w:r w:rsidRPr="00FC269C">
        <w:rPr>
          <w:rtl/>
        </w:rPr>
        <w:t>הגהות מיימוניות שבת פכ"ג ה"ב</w:t>
      </w:r>
      <w:bookmarkEnd w:id="5414"/>
      <w:bookmarkEnd w:id="5415"/>
    </w:p>
    <w:p w14:paraId="5C7031B6" w14:textId="77777777" w:rsidR="003E1AA3" w:rsidRPr="00C405E5" w:rsidRDefault="003E1AA3" w:rsidP="003E1AA3">
      <w:pPr>
        <w:pStyle w:val="a7"/>
        <w:rPr>
          <w:rtl/>
        </w:rPr>
      </w:pPr>
      <w:bookmarkStart w:id="5416" w:name="_Toc145233890"/>
      <w:r w:rsidRPr="00C405E5">
        <w:rPr>
          <w:rFonts w:hint="cs"/>
          <w:rtl/>
        </w:rPr>
        <w:t xml:space="preserve">בי' היראים </w:t>
      </w:r>
      <w:r>
        <w:rPr>
          <w:rFonts w:hint="cs"/>
          <w:rtl/>
        </w:rPr>
        <w:t>דאין סתירה בכלים ומותר לשבור תיבה וליטול דלתות כלי ולשבור חבית ולהסיק כלי</w:t>
      </w:r>
      <w:bookmarkEnd w:id="5416"/>
    </w:p>
    <w:p w14:paraId="573000BC" w14:textId="50AFFFC8" w:rsidR="003E1AA3" w:rsidRDefault="003E1AA3" w:rsidP="00BC7DC8">
      <w:pPr>
        <w:pStyle w:val="a3"/>
      </w:pPr>
      <w:bookmarkStart w:id="5417" w:name="_Ref144585332"/>
      <w:bookmarkStart w:id="5418" w:name="_Ref145186915"/>
      <w:r>
        <w:rPr>
          <w:rFonts w:hint="cs"/>
          <w:rtl/>
        </w:rPr>
        <w:lastRenderedPageBreak/>
        <w:t>כתב</w:t>
      </w:r>
      <w:r w:rsidRPr="00C405E5">
        <w:rPr>
          <w:rFonts w:hint="cs"/>
          <w:rtl/>
        </w:rPr>
        <w:t xml:space="preserve"> </w:t>
      </w:r>
      <w:r w:rsidRPr="00C405E5">
        <w:rPr>
          <w:b/>
          <w:bCs/>
          <w:vanish/>
          <w:rtl/>
        </w:rPr>
        <w:t>-</w:t>
      </w:r>
      <w:r w:rsidRPr="00C405E5">
        <w:rPr>
          <w:b/>
          <w:bCs/>
          <w:rtl/>
        </w:rPr>
        <w:t>ה</w:t>
      </w:r>
      <w:r>
        <w:rPr>
          <w:rFonts w:hint="cs"/>
          <w:b/>
          <w:bCs/>
          <w:vanish/>
          <w:rtl/>
        </w:rPr>
        <w:t xml:space="preserve">&lt;, </w:t>
      </w:r>
      <w:r>
        <w:rPr>
          <w:b/>
          <w:bCs/>
          <w:vanish/>
          <w:rtl/>
        </w:rPr>
        <w:fldChar w:fldCharType="begin"/>
      </w:r>
      <w:r>
        <w:rPr>
          <w:b/>
          <w:bCs/>
          <w:vanish/>
          <w:rtl/>
        </w:rPr>
        <w:instrText xml:space="preserve"> </w:instrText>
      </w:r>
      <w:r>
        <w:rPr>
          <w:rFonts w:hint="cs"/>
          <w:b/>
          <w:bCs/>
          <w:vanish/>
        </w:rPr>
        <w:instrText>REF</w:instrText>
      </w:r>
      <w:r>
        <w:rPr>
          <w:rFonts w:hint="cs"/>
          <w:b/>
          <w:bCs/>
          <w:vanish/>
          <w:rtl/>
        </w:rPr>
        <w:instrText xml:space="preserve"> _</w:instrText>
      </w:r>
      <w:r>
        <w:rPr>
          <w:rFonts w:hint="cs"/>
          <w:b/>
          <w:bCs/>
          <w:vanish/>
        </w:rPr>
        <w:instrText>Ref143857616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מח)</w:t>
      </w:r>
      <w:r>
        <w:rPr>
          <w:b/>
          <w:bCs/>
          <w:vanish/>
          <w:rtl/>
        </w:rPr>
        <w:fldChar w:fldCharType="end"/>
      </w:r>
      <w:r>
        <w:rPr>
          <w:rFonts w:hint="cs"/>
          <w:b/>
          <w:bCs/>
          <w:vanish/>
          <w:rtl/>
        </w:rPr>
        <w:t xml:space="preserve"> &gt;</w:t>
      </w:r>
      <w:r w:rsidRPr="00C405E5">
        <w:rPr>
          <w:b/>
          <w:bCs/>
          <w:rtl/>
        </w:rPr>
        <w:t>יראים</w:t>
      </w:r>
      <w:r w:rsidRPr="00C405E5">
        <w:rPr>
          <w:b/>
          <w:bCs/>
          <w:vanish/>
          <w:rtl/>
        </w:rPr>
        <w:t>-</w:t>
      </w:r>
      <w:r w:rsidRPr="00C405E5">
        <w:rPr>
          <w:rFonts w:hint="cs"/>
          <w:rtl/>
        </w:rPr>
        <w:t xml:space="preserve"> </w:t>
      </w:r>
      <w:r w:rsidRPr="00C962CD">
        <w:rPr>
          <w:rStyle w:val="af2"/>
          <w:rFonts w:eastAsia="Guttman Hodes" w:hint="cs"/>
          <w:rtl/>
        </w:rPr>
        <w:t>(סי' רע"ד ד"ה הבונה, נד' בקובץ שיטות קמאי שבת ח"ב עמ' אלף נ"ז)</w:t>
      </w:r>
      <w:r w:rsidRPr="00C405E5">
        <w:rPr>
          <w:rFonts w:hint="cs"/>
          <w:vanish/>
          <w:rtl/>
        </w:rPr>
        <w:t>=</w:t>
      </w:r>
      <w:r w:rsidRPr="00C405E5">
        <w:rPr>
          <w:rFonts w:hint="cs"/>
          <w:rtl/>
        </w:rPr>
        <w:t xml:space="preserve"> </w:t>
      </w:r>
      <w:r>
        <w:rPr>
          <w:rFonts w:hint="cs"/>
          <w:rtl/>
        </w:rPr>
        <w:t>דאם נאבד מפתח של תיבה מותר לשבור אותה בשבת לפותחה, כיון דאין בנין וסתירה בכלים, כדאיתא בגמ' לקמן</w:t>
      </w:r>
      <w:r>
        <w:rPr>
          <w:rtl/>
        </w:rPr>
        <w:t xml:space="preserve"> </w:t>
      </w:r>
      <w:r w:rsidRPr="001738C2">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קכב.</w:t>
      </w:r>
      <w:r w:rsidRPr="001738C2">
        <w:rPr>
          <w:rFonts w:ascii="Calibri" w:eastAsia="Times New Roman" w:hAnsi="Calibri" w:cs="Guttman Rashi"/>
          <w:noProof w:val="0"/>
          <w:sz w:val="10"/>
          <w:szCs w:val="12"/>
          <w:rtl/>
        </w:rPr>
        <w:t>)</w:t>
      </w:r>
      <w:r>
        <w:rPr>
          <w:rtl/>
        </w:rPr>
        <w:t xml:space="preserve"> </w:t>
      </w:r>
      <w:r>
        <w:rPr>
          <w:rFonts w:hint="cs"/>
          <w:rtl/>
        </w:rPr>
        <w:t xml:space="preserve">דלכן מותר ליטול דלתות של שידה תיבה ומגדל, וכן איתא בגמ' לקמן </w:t>
      </w:r>
      <w:r w:rsidRPr="00896D0E">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כט.</w:t>
      </w:r>
      <w:r w:rsidRPr="00896D0E">
        <w:rPr>
          <w:rFonts w:ascii="Calibri" w:eastAsia="Times New Roman" w:hAnsi="Calibri" w:cs="Guttman Rashi"/>
          <w:noProof w:val="0"/>
          <w:sz w:val="10"/>
          <w:szCs w:val="12"/>
          <w:rtl/>
        </w:rPr>
        <w:t>)</w:t>
      </w:r>
      <w:r>
        <w:rPr>
          <w:rtl/>
        </w:rPr>
        <w:t xml:space="preserve"> </w:t>
      </w:r>
      <w:r>
        <w:rPr>
          <w:rFonts w:hint="cs"/>
          <w:rtl/>
        </w:rPr>
        <w:t>דמותר לשבור חבית לאכול ממנה גרוגרות, ותניא דחותמות שבכלים מפקיע וחותך, וכן מבואר</w:t>
      </w:r>
      <w:r w:rsidRPr="00C405E5">
        <w:rPr>
          <w:rFonts w:hint="cs"/>
          <w:rtl/>
        </w:rPr>
        <w:t xml:space="preserve"> בגמ' לעיל </w:t>
      </w:r>
      <w:r w:rsidRPr="00C962CD">
        <w:rPr>
          <w:rStyle w:val="af2"/>
          <w:rFonts w:eastAsia="Guttman Hodes" w:hint="cs"/>
          <w:rtl/>
        </w:rPr>
        <w:t>(כט.)</w:t>
      </w:r>
      <w:r w:rsidRPr="00C405E5">
        <w:rPr>
          <w:rFonts w:hint="cs"/>
          <w:rtl/>
        </w:rPr>
        <w:t xml:space="preserve"> </w:t>
      </w:r>
      <w:r>
        <w:rPr>
          <w:rFonts w:hint="cs"/>
          <w:rtl/>
        </w:rPr>
        <w:t>ד</w:t>
      </w:r>
      <w:r w:rsidRPr="00C405E5">
        <w:rPr>
          <w:rFonts w:hint="cs"/>
          <w:rtl/>
        </w:rPr>
        <w:t xml:space="preserve">אמר רב דמסיקין בכלים, ומבואר דאין סתירה בכלים </w:t>
      </w:r>
      <w:r>
        <w:rPr>
          <w:rFonts w:hint="cs"/>
          <w:rtl/>
        </w:rPr>
        <w:t>דאין סתירה גדולה מהסקה</w:t>
      </w:r>
      <w:bookmarkEnd w:id="5417"/>
      <w:r>
        <w:rPr>
          <w:rFonts w:hint="cs"/>
          <w:rtl/>
        </w:rPr>
        <w:t>, וכ"כ</w:t>
      </w:r>
      <w:r>
        <w:rPr>
          <w:rtl/>
        </w:rPr>
        <w:t xml:space="preserve"> </w:t>
      </w:r>
      <w:r w:rsidRPr="00DF042D">
        <w:rPr>
          <w:b/>
          <w:bCs/>
          <w:rtl/>
        </w:rPr>
        <w:t>ה</w:t>
      </w:r>
      <w:r>
        <w:rPr>
          <w:rFonts w:hint="cs"/>
          <w:b/>
          <w:bCs/>
          <w:vanish/>
          <w:rtl/>
        </w:rPr>
        <w:t>&lt; &gt;</w:t>
      </w:r>
      <w:r w:rsidRPr="00DF042D">
        <w:rPr>
          <w:rFonts w:hint="cs"/>
          <w:b/>
          <w:bCs/>
          <w:rtl/>
        </w:rPr>
        <w:t>הג' מיימוניות</w:t>
      </w:r>
      <w:r w:rsidRPr="00DF042D">
        <w:rPr>
          <w:b/>
          <w:bCs/>
          <w:rtl/>
        </w:rPr>
        <w:t xml:space="preserve"> </w:t>
      </w:r>
      <w:r w:rsidRPr="00DF042D">
        <w:rPr>
          <w:rFonts w:ascii="Calibri" w:eastAsia="Times New Roman" w:hAnsi="Calibri" w:cs="Guttman Rashi"/>
          <w:noProof w:val="0"/>
          <w:sz w:val="10"/>
          <w:szCs w:val="12"/>
          <w:rtl/>
        </w:rPr>
        <w:t>(</w:t>
      </w:r>
      <w:r w:rsidRPr="00DF042D">
        <w:rPr>
          <w:rFonts w:ascii="Calibri" w:eastAsia="Times New Roman" w:hAnsi="Calibri" w:cs="Guttman Rashi" w:hint="cs"/>
          <w:noProof w:val="0"/>
          <w:sz w:val="10"/>
          <w:szCs w:val="12"/>
          <w:rtl/>
        </w:rPr>
        <w:t>שבת פכ"ג אות א'</w:t>
      </w:r>
      <w:r w:rsidRPr="00DF042D">
        <w:rPr>
          <w:rFonts w:ascii="Calibri" w:eastAsia="Times New Roman" w:hAnsi="Calibri" w:cs="Guttman Rashi"/>
          <w:noProof w:val="0"/>
          <w:sz w:val="10"/>
          <w:szCs w:val="12"/>
          <w:rtl/>
        </w:rPr>
        <w:t>)</w:t>
      </w:r>
      <w:r w:rsidRPr="00DF042D">
        <w:rPr>
          <w:vanish/>
          <w:rtl/>
        </w:rPr>
        <w:t>=</w:t>
      </w:r>
      <w:r>
        <w:rPr>
          <w:rFonts w:hint="cs"/>
          <w:rtl/>
        </w:rPr>
        <w:t>,</w:t>
      </w:r>
      <w:r w:rsidRPr="00BB1552">
        <w:rPr>
          <w:rFonts w:hint="cs"/>
          <w:rtl/>
        </w:rPr>
        <w:t xml:space="preserve"> </w:t>
      </w:r>
      <w:r>
        <w:rPr>
          <w:rFonts w:hint="cs"/>
          <w:rtl/>
        </w:rPr>
        <w:t>והוסיף</w:t>
      </w:r>
      <w:r>
        <w:rPr>
          <w:rtl/>
        </w:rPr>
        <w:t xml:space="preserve"> </w:t>
      </w:r>
      <w:r>
        <w:rPr>
          <w:rFonts w:hint="cs"/>
          <w:rtl/>
        </w:rPr>
        <w:t>דכן דעת</w:t>
      </w:r>
      <w:r>
        <w:rPr>
          <w:rtl/>
        </w:rPr>
        <w:t xml:space="preserve"> </w:t>
      </w:r>
      <w:r w:rsidRPr="00030101">
        <w:rPr>
          <w:rFonts w:hint="cs"/>
          <w:b/>
          <w:bCs/>
          <w:rtl/>
        </w:rPr>
        <w:t>רש"י</w:t>
      </w:r>
      <w:r>
        <w:rPr>
          <w:rtl/>
        </w:rPr>
        <w:t xml:space="preserve"> </w:t>
      </w:r>
      <w:r w:rsidRPr="00030101">
        <w:rPr>
          <w:rFonts w:ascii="Calibri" w:eastAsia="Times New Roman" w:hAnsi="Calibri" w:cs="Guttman Rashi"/>
          <w:noProof w:val="0"/>
          <w:sz w:val="10"/>
          <w:szCs w:val="12"/>
          <w:rtl/>
        </w:rPr>
        <w:t xml:space="preserve">(עי' 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Pr>
        <w:instrText>REF</w:instrText>
      </w:r>
      <w:r>
        <w:rPr>
          <w:rFonts w:ascii="Calibri" w:eastAsia="Times New Roman" w:hAnsi="Calibri" w:cs="Guttman Rashi"/>
          <w:noProof w:val="0"/>
          <w:sz w:val="10"/>
          <w:szCs w:val="12"/>
          <w:rtl/>
        </w:rPr>
        <w:instrText xml:space="preserve"> _</w:instrText>
      </w:r>
      <w:r>
        <w:rPr>
          <w:rFonts w:ascii="Calibri" w:eastAsia="Times New Roman" w:hAnsi="Calibri" w:cs="Guttman Rashi"/>
          <w:noProof w:val="0"/>
          <w:sz w:val="10"/>
          <w:szCs w:val="12"/>
        </w:rPr>
        <w:instrText>Ref144585311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א)</w:t>
      </w:r>
      <w:r>
        <w:rPr>
          <w:rFonts w:ascii="Calibri" w:eastAsia="Times New Roman" w:hAnsi="Calibri" w:cs="Guttman Rashi"/>
          <w:noProof w:val="0"/>
          <w:sz w:val="10"/>
          <w:szCs w:val="12"/>
          <w:rtl/>
        </w:rPr>
        <w:fldChar w:fldCharType="end"/>
      </w:r>
      <w:r>
        <w:rPr>
          <w:rFonts w:ascii="Calibri" w:eastAsia="Times New Roman" w:hAnsi="Calibri" w:cs="Guttman Rashi" w:hint="cs"/>
          <w:noProof w:val="0"/>
          <w:sz w:val="10"/>
          <w:szCs w:val="12"/>
          <w:rtl/>
        </w:rPr>
        <w:t xml:space="preserve"> </w:t>
      </w:r>
      <w:r w:rsidRPr="00C329A3">
        <w:rPr>
          <w:rFonts w:hint="cs"/>
          <w:rtl/>
        </w:rPr>
        <w:t xml:space="preserve">דאין בנין בכלים, וכן </w:t>
      </w:r>
      <w:r>
        <w:rPr>
          <w:rFonts w:hint="cs"/>
          <w:rtl/>
        </w:rPr>
        <w:t xml:space="preserve">מוכח בגמ' בביצה </w:t>
      </w:r>
      <w:r w:rsidRPr="00030101">
        <w:rPr>
          <w:rStyle w:val="af2"/>
          <w:rFonts w:eastAsia="Guttman Hodes" w:hint="cs"/>
          <w:rtl/>
        </w:rPr>
        <w:t>(כב.)</w:t>
      </w:r>
      <w:r>
        <w:rPr>
          <w:rFonts w:hint="cs"/>
          <w:rtl/>
        </w:rPr>
        <w:t xml:space="preserve"> דלב"ה מותר לזקוף מנורה של חוליות.</w:t>
      </w:r>
      <w:bookmarkEnd w:id="5418"/>
    </w:p>
    <w:p w14:paraId="67992288" w14:textId="77777777" w:rsidR="003E1AA3" w:rsidRPr="00BC7DC8" w:rsidRDefault="003E1AA3" w:rsidP="003E1AA3">
      <w:pPr>
        <w:pStyle w:val="afffffe"/>
        <w:rPr>
          <w:vanish/>
        </w:rPr>
      </w:pPr>
      <w:r w:rsidRPr="00BC7DC8">
        <w:rPr>
          <w:rFonts w:hint="cs"/>
          <w:vanish/>
          <w:rtl/>
        </w:rPr>
        <w:t>יראים סימן רע"ד ד"ה הבונה</w:t>
      </w:r>
    </w:p>
    <w:p w14:paraId="78CEAD5E" w14:textId="77777777" w:rsidR="003E1AA3" w:rsidRPr="0018388A" w:rsidRDefault="003E1AA3" w:rsidP="003E1AA3">
      <w:pPr>
        <w:pStyle w:val="a2"/>
        <w:tabs>
          <w:tab w:val="num" w:pos="284"/>
        </w:tabs>
        <w:rPr>
          <w:rtl/>
        </w:rPr>
      </w:pPr>
      <w:r w:rsidRPr="0018388A">
        <w:rPr>
          <w:rtl/>
        </w:rPr>
        <w:t>ואם נאבד מפתח תיבה והוא צריך לפותחה בשבת ישבר לכתחילה ואין בדבר חשש איסור שאין בנין וסתירה בכלים כדתניא בתחילת כל הכלים [קכ"ב ב'] דלת של שידה תיבה ומגדל נוטלין ומפרש רבא טעמא משום דקסבר אין בנין בכלים ואין סתירה בכלים דתנן בחבית שנשברה [קמ"ו א'] שובר אדם את החבית לאכול ממנה גרוגרות ותניא חותמות שבכלים מתיר ומפקיע וחותך</w:t>
      </w:r>
      <w:r w:rsidRPr="0018388A">
        <w:rPr>
          <w:rFonts w:hint="cs"/>
          <w:rtl/>
        </w:rPr>
        <w:t xml:space="preserve"> </w:t>
      </w:r>
      <w:r w:rsidRPr="0018388A">
        <w:rPr>
          <w:rtl/>
        </w:rPr>
        <w:t>ובפ' במה מדליקין [כ"ט א'] אמרינן אמר רב יהודה אמר רב מסיקין בכלים ואין מסיקין בשברי כלים מסיקין בכלים אין לך סתירה גדולה מהסקה</w:t>
      </w:r>
      <w:r w:rsidRPr="0018388A">
        <w:rPr>
          <w:rFonts w:hint="cs"/>
          <w:rtl/>
        </w:rPr>
        <w:t>.</w:t>
      </w:r>
    </w:p>
    <w:p w14:paraId="2BDDF9EB" w14:textId="77777777" w:rsidR="003E1AA3" w:rsidRPr="00BC7DC8" w:rsidRDefault="003E1AA3" w:rsidP="003E1AA3">
      <w:pPr>
        <w:pStyle w:val="afffffe"/>
        <w:rPr>
          <w:vanish/>
          <w:rtl/>
        </w:rPr>
      </w:pPr>
      <w:r w:rsidRPr="00BC7DC8">
        <w:rPr>
          <w:vanish/>
          <w:rtl/>
        </w:rPr>
        <w:t>הגהות מיימוניות שבת פכ"ג ה"ב</w:t>
      </w:r>
    </w:p>
    <w:p w14:paraId="7DC96F21" w14:textId="77777777" w:rsidR="003E1AA3" w:rsidRDefault="003E1AA3" w:rsidP="003E1AA3">
      <w:pPr>
        <w:pStyle w:val="afffff5"/>
        <w:rPr>
          <w:rtl/>
        </w:rPr>
      </w:pPr>
      <w:r w:rsidRPr="0018388A">
        <w:rPr>
          <w:rtl/>
        </w:rPr>
        <w:t xml:space="preserve">מכאן הורה מהר"ם שאם נאבד מפתח התיבה והוא צריך לפותחה לצורך השבת ישברנה לכתחילה ואין בדבר חשש איסור וכן משמע מההיא דפרק המביא כדי יין חותמות שבקרקע מתיר ומפקיע וחותך וכן בריש כל הכלים אמר רבא אין בנין בכלים וכן מדאמר רב יהודה אמר רב בפ' במה מדליקין מסיקין בכלים ואין סתירה גדולה מהסקה </w:t>
      </w:r>
      <w:r w:rsidRPr="00477499">
        <w:rPr>
          <w:rStyle w:val="afff7"/>
          <w:rtl/>
        </w:rPr>
        <w:t>והא דאמר רב בפרק הבונה עייל שופתא בקופינא דמרא חייב משום בונה לא קשיא כאשר פירש לעיל בהג"ה פרק י' בהלכתא י"ג ע"כ</w:t>
      </w:r>
      <w:r w:rsidRPr="00477499">
        <w:rPr>
          <w:rStyle w:val="afff7"/>
          <w:rFonts w:hint="cs"/>
          <w:rtl/>
        </w:rPr>
        <w:t xml:space="preserve">. </w:t>
      </w:r>
      <w:r w:rsidRPr="0018388A">
        <w:rPr>
          <w:rtl/>
        </w:rPr>
        <w:t>וכ"כ רש"י בפ' במה טומנין גבי מטה של טרסיים שאין בנין בכלים וכן בפרק כלל גדול האי מאן דעביד חלתא כו' אבל משום בונה לא איחייב לא בחבית לא בתנור ולא בכוורת דאין בנין בכלים. וכן נ"ל ראיה מהא דפ' ב' דביצה גבי אין זוקפין את המנורה דקאמר הכא במנורה של חוליות כו' דב"ש סברי יש בנין בכלים וב"ה סברי אין בנין בכלים וכן בהל' יום טוב פ"ד</w:t>
      </w:r>
      <w:r>
        <w:rPr>
          <w:rFonts w:hint="cs"/>
          <w:rtl/>
        </w:rPr>
        <w:t>.</w:t>
      </w:r>
    </w:p>
    <w:p w14:paraId="33B93F1F" w14:textId="77777777" w:rsidR="003E1AA3" w:rsidRPr="00FC269C" w:rsidRDefault="003E1AA3" w:rsidP="003E1AA3">
      <w:pPr>
        <w:pStyle w:val="afffff7"/>
        <w:rPr>
          <w:rtl/>
        </w:rPr>
      </w:pPr>
      <w:bookmarkStart w:id="5419" w:name="_Toc145234006"/>
      <w:bookmarkStart w:id="5420" w:name="_Toc163506264"/>
      <w:r w:rsidRPr="00FC269C">
        <w:rPr>
          <w:rFonts w:hint="cs"/>
          <w:rtl/>
        </w:rPr>
        <w:t>הגהות מרדכי שבת רמז תס"א</w:t>
      </w:r>
      <w:bookmarkEnd w:id="5419"/>
      <w:bookmarkEnd w:id="5420"/>
    </w:p>
    <w:p w14:paraId="64B76519" w14:textId="77777777" w:rsidR="003E1AA3" w:rsidRPr="00FC269C" w:rsidRDefault="003E1AA3" w:rsidP="003E1AA3">
      <w:pPr>
        <w:pStyle w:val="afffff7"/>
        <w:rPr>
          <w:rtl/>
        </w:rPr>
      </w:pPr>
      <w:bookmarkStart w:id="5421" w:name="_Toc145234007"/>
      <w:bookmarkStart w:id="5422" w:name="_Toc163506265"/>
      <w:r w:rsidRPr="00FC269C">
        <w:rPr>
          <w:rtl/>
        </w:rPr>
        <w:t>הגהות מיימוניות שבת פ"י הי"ג</w:t>
      </w:r>
      <w:bookmarkEnd w:id="5421"/>
      <w:bookmarkEnd w:id="5422"/>
    </w:p>
    <w:p w14:paraId="6AAE4BF1" w14:textId="77777777" w:rsidR="003E1AA3" w:rsidRPr="00C405E5" w:rsidRDefault="003E1AA3" w:rsidP="003E1AA3">
      <w:pPr>
        <w:pStyle w:val="a7"/>
        <w:rPr>
          <w:rtl/>
        </w:rPr>
      </w:pPr>
      <w:bookmarkStart w:id="5423" w:name="_Toc145233891"/>
      <w:r w:rsidRPr="00C405E5">
        <w:rPr>
          <w:rFonts w:hint="cs"/>
          <w:rtl/>
        </w:rPr>
        <w:t xml:space="preserve">בי' היראים דרב מודה דאין בנין בכלים ואמר דבלא נגמרה מלאכתו אין חיוב </w:t>
      </w:r>
      <w:r>
        <w:rPr>
          <w:rFonts w:hint="cs"/>
          <w:rtl/>
        </w:rPr>
        <w:t xml:space="preserve">אף </w:t>
      </w:r>
      <w:r w:rsidRPr="00C405E5">
        <w:rPr>
          <w:rFonts w:hint="cs"/>
          <w:rtl/>
        </w:rPr>
        <w:t>משום מכב"פ</w:t>
      </w:r>
      <w:bookmarkEnd w:id="5423"/>
      <w:r w:rsidRPr="00C405E5">
        <w:rPr>
          <w:rFonts w:hint="cs"/>
          <w:rtl/>
        </w:rPr>
        <w:t xml:space="preserve"> </w:t>
      </w:r>
    </w:p>
    <w:p w14:paraId="3BA450EA" w14:textId="5857EEB0" w:rsidR="003E1AA3" w:rsidRPr="00ED0CE4" w:rsidRDefault="003E1AA3" w:rsidP="00BC7DC8">
      <w:pPr>
        <w:pStyle w:val="a3"/>
        <w:rPr>
          <w:rtl/>
        </w:rPr>
      </w:pPr>
      <w:bookmarkStart w:id="5424" w:name="_Ref144452869"/>
      <w:bookmarkStart w:id="5425" w:name="_Ref144634403"/>
      <w:r>
        <w:rPr>
          <w:rFonts w:hint="cs"/>
          <w:rtl/>
        </w:rPr>
        <w:t xml:space="preserve">אך הביא </w:t>
      </w:r>
      <w:r w:rsidRPr="00C405E5">
        <w:rPr>
          <w:b/>
          <w:bCs/>
          <w:vanish/>
          <w:rtl/>
        </w:rPr>
        <w:t>-</w:t>
      </w:r>
      <w:r w:rsidRPr="00C405E5">
        <w:rPr>
          <w:b/>
          <w:bCs/>
          <w:rtl/>
        </w:rPr>
        <w:t>ה</w:t>
      </w:r>
      <w:r>
        <w:rPr>
          <w:rFonts w:hint="cs"/>
          <w:b/>
          <w:bCs/>
          <w:vanish/>
          <w:rtl/>
        </w:rPr>
        <w:t xml:space="preserve">&lt;, </w:t>
      </w:r>
      <w:r>
        <w:rPr>
          <w:b/>
          <w:bCs/>
          <w:vanish/>
          <w:rtl/>
        </w:rPr>
        <w:fldChar w:fldCharType="begin"/>
      </w:r>
      <w:r>
        <w:rPr>
          <w:b/>
          <w:bCs/>
          <w:vanish/>
          <w:rtl/>
        </w:rPr>
        <w:instrText xml:space="preserve"> </w:instrText>
      </w:r>
      <w:r>
        <w:rPr>
          <w:rFonts w:hint="cs"/>
          <w:b/>
          <w:bCs/>
          <w:vanish/>
        </w:rPr>
        <w:instrText>REF</w:instrText>
      </w:r>
      <w:r>
        <w:rPr>
          <w:rFonts w:hint="cs"/>
          <w:b/>
          <w:bCs/>
          <w:vanish/>
          <w:rtl/>
        </w:rPr>
        <w:instrText xml:space="preserve"> _</w:instrText>
      </w:r>
      <w:r>
        <w:rPr>
          <w:rFonts w:hint="cs"/>
          <w:b/>
          <w:bCs/>
          <w:vanish/>
        </w:rPr>
        <w:instrText>Ref144452869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ט)</w:t>
      </w:r>
      <w:r>
        <w:rPr>
          <w:b/>
          <w:bCs/>
          <w:vanish/>
          <w:rtl/>
        </w:rPr>
        <w:fldChar w:fldCharType="end"/>
      </w:r>
      <w:r>
        <w:rPr>
          <w:rFonts w:hint="cs"/>
          <w:b/>
          <w:bCs/>
          <w:vanish/>
          <w:rtl/>
        </w:rPr>
        <w:t xml:space="preserve"> &gt;</w:t>
      </w:r>
      <w:r w:rsidRPr="00C405E5">
        <w:rPr>
          <w:b/>
          <w:bCs/>
          <w:rtl/>
        </w:rPr>
        <w:t>הג' מרדכי</w:t>
      </w:r>
      <w:r w:rsidRPr="00C405E5">
        <w:rPr>
          <w:b/>
          <w:bCs/>
          <w:vanish/>
          <w:rtl/>
        </w:rPr>
        <w:t>-</w:t>
      </w:r>
      <w:r w:rsidRPr="00C405E5">
        <w:rPr>
          <w:rFonts w:hint="cs"/>
          <w:rtl/>
        </w:rPr>
        <w:t xml:space="preserve"> </w:t>
      </w:r>
      <w:r w:rsidRPr="00D83FDE">
        <w:rPr>
          <w:rStyle w:val="af2"/>
          <w:rFonts w:eastAsia="Guttman Hodes" w:hint="cs"/>
          <w:rtl/>
        </w:rPr>
        <w:t>(רמז תס"א)</w:t>
      </w:r>
      <w:r w:rsidRPr="00C405E5">
        <w:rPr>
          <w:rFonts w:hint="cs"/>
          <w:rtl/>
        </w:rPr>
        <w:t xml:space="preserve"> בשם </w:t>
      </w:r>
      <w:r w:rsidRPr="00F8180D">
        <w:rPr>
          <w:rFonts w:hint="cs"/>
          <w:b/>
          <w:bCs/>
          <w:rtl/>
        </w:rPr>
        <w:t>היראים</w:t>
      </w:r>
      <w:r w:rsidRPr="00C405E5">
        <w:rPr>
          <w:rFonts w:hint="cs"/>
          <w:vanish/>
          <w:rtl/>
        </w:rPr>
        <w:t>=</w:t>
      </w:r>
      <w:r>
        <w:rPr>
          <w:rtl/>
        </w:rPr>
        <w:t xml:space="preserve"> </w:t>
      </w:r>
      <w:r>
        <w:rPr>
          <w:rFonts w:hint="cs"/>
          <w:rtl/>
        </w:rPr>
        <w:t>דהקשה</w:t>
      </w:r>
      <w:r>
        <w:rPr>
          <w:rtl/>
        </w:rPr>
        <w:t xml:space="preserve"> </w:t>
      </w:r>
      <w:r>
        <w:rPr>
          <w:rFonts w:hint="cs"/>
          <w:rtl/>
        </w:rPr>
        <w:t>ד</w:t>
      </w:r>
      <w:r w:rsidRPr="00C405E5">
        <w:rPr>
          <w:rFonts w:hint="cs"/>
          <w:rtl/>
        </w:rPr>
        <w:t xml:space="preserve">הא אמר רב דמעייל שופתא בקופינא חייב משום בונה, </w:t>
      </w:r>
      <w:r>
        <w:rPr>
          <w:rFonts w:hint="cs"/>
          <w:rtl/>
        </w:rPr>
        <w:t>ו</w:t>
      </w:r>
      <w:r w:rsidRPr="00C405E5">
        <w:rPr>
          <w:rFonts w:hint="cs"/>
          <w:rtl/>
        </w:rPr>
        <w:t>א"כ מבואר דס"ל לרב דיש בנין בכלים</w:t>
      </w:r>
      <w:r w:rsidRPr="008F0D24">
        <w:rPr>
          <w:rFonts w:hint="cs"/>
          <w:rtl/>
        </w:rPr>
        <w:t xml:space="preserve"> </w:t>
      </w:r>
      <w:r w:rsidRPr="00C405E5">
        <w:rPr>
          <w:rFonts w:hint="cs"/>
          <w:rtl/>
        </w:rPr>
        <w:t xml:space="preserve">וא"כ </w:t>
      </w:r>
      <w:r>
        <w:rPr>
          <w:rFonts w:hint="cs"/>
          <w:rtl/>
        </w:rPr>
        <w:t>יש גם סתירה</w:t>
      </w:r>
      <w:r w:rsidRPr="00C405E5">
        <w:rPr>
          <w:rFonts w:hint="cs"/>
          <w:rtl/>
        </w:rPr>
        <w:t xml:space="preserve"> בכלים</w:t>
      </w:r>
      <w:r>
        <w:rPr>
          <w:rFonts w:hint="cs"/>
          <w:rtl/>
        </w:rPr>
        <w:t xml:space="preserve"> דלשניהם יש טעם אחד, וכ"כ</w:t>
      </w:r>
      <w:r>
        <w:rPr>
          <w:rtl/>
        </w:rPr>
        <w:t xml:space="preserve"> </w:t>
      </w:r>
      <w:r>
        <w:rPr>
          <w:rFonts w:hint="cs"/>
          <w:b/>
          <w:bCs/>
          <w:rtl/>
        </w:rPr>
        <w:t>ההג' מרדכי</w:t>
      </w:r>
      <w:r w:rsidRPr="004A0726">
        <w:rPr>
          <w:b/>
          <w:bCs/>
          <w:rtl/>
        </w:rPr>
        <w:t xml:space="preserve"> </w:t>
      </w:r>
      <w:r>
        <w:rPr>
          <w:rFonts w:hint="cs"/>
          <w:rtl/>
        </w:rPr>
        <w:t>בשם</w:t>
      </w:r>
      <w:r>
        <w:rPr>
          <w:rtl/>
        </w:rPr>
        <w:t xml:space="preserve"> </w:t>
      </w:r>
      <w:r>
        <w:rPr>
          <w:rFonts w:hint="cs"/>
          <w:b/>
          <w:bCs/>
          <w:rtl/>
        </w:rPr>
        <w:t>ר"ח</w:t>
      </w:r>
      <w:r>
        <w:rPr>
          <w:rFonts w:hint="cs"/>
          <w:rtl/>
        </w:rPr>
        <w:t xml:space="preserve"> דהא דרב מחייב בשופתא דקופינא משום בונה הוא כיון דס"ל דיש בנין בכלים, ו</w:t>
      </w:r>
      <w:r w:rsidRPr="00AF61D5">
        <w:rPr>
          <w:rFonts w:hint="cs"/>
          <w:rtl/>
        </w:rPr>
        <w:t xml:space="preserve">כן איתא בירושלמי </w:t>
      </w:r>
      <w:r w:rsidRPr="00C962CD">
        <w:rPr>
          <w:rStyle w:val="af2"/>
          <w:rFonts w:eastAsia="Guttman Hodes" w:hint="cs"/>
          <w:rtl/>
        </w:rPr>
        <w:t>(פי"ב ה"א, סח.)</w:t>
      </w:r>
      <w:r w:rsidRPr="00AF61D5">
        <w:rPr>
          <w:rFonts w:hint="cs"/>
          <w:rtl/>
        </w:rPr>
        <w:t xml:space="preserve"> דאמר רב ירמיה בשם רב דהמרכיב מיטה של גילה חייב משום בונה,</w:t>
      </w:r>
      <w:r>
        <w:rPr>
          <w:rFonts w:hint="cs"/>
          <w:rtl/>
        </w:rPr>
        <w:t xml:space="preserve"> וקיי"ל כרב, וכן מבואר בגמ' לעיל</w:t>
      </w:r>
      <w:r>
        <w:rPr>
          <w:rtl/>
        </w:rPr>
        <w:t xml:space="preserve"> </w:t>
      </w:r>
      <w:r w:rsidRPr="00C92A19">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מז:</w:t>
      </w:r>
      <w:r w:rsidRPr="00C92A19">
        <w:rPr>
          <w:rFonts w:ascii="Calibri" w:eastAsia="Times New Roman" w:hAnsi="Calibri" w:cs="Guttman Rashi"/>
          <w:noProof w:val="0"/>
          <w:sz w:val="10"/>
          <w:szCs w:val="12"/>
          <w:rtl/>
        </w:rPr>
        <w:t>)</w:t>
      </w:r>
      <w:r>
        <w:rPr>
          <w:rtl/>
        </w:rPr>
        <w:t xml:space="preserve"> </w:t>
      </w:r>
      <w:r>
        <w:rPr>
          <w:rFonts w:hint="cs"/>
          <w:rtl/>
        </w:rPr>
        <w:t>דבמטה של גללניתא הוא בנין מן הצד, ומשמע שיש בנין בזה</w:t>
      </w:r>
      <w:r w:rsidRPr="00C405E5">
        <w:rPr>
          <w:rFonts w:hint="cs"/>
          <w:rtl/>
        </w:rPr>
        <w:t xml:space="preserve">, </w:t>
      </w:r>
      <w:r>
        <w:rPr>
          <w:rFonts w:hint="cs"/>
          <w:rtl/>
        </w:rPr>
        <w:t xml:space="preserve">וכתב </w:t>
      </w:r>
      <w:r>
        <w:rPr>
          <w:rFonts w:hint="cs"/>
          <w:b/>
          <w:bCs/>
          <w:rtl/>
        </w:rPr>
        <w:t>ההג' מרדכי</w:t>
      </w:r>
      <w:r w:rsidRPr="004A0726">
        <w:rPr>
          <w:b/>
          <w:bCs/>
          <w:rtl/>
        </w:rPr>
        <w:t xml:space="preserve"> </w:t>
      </w:r>
      <w:r>
        <w:rPr>
          <w:rFonts w:hint="cs"/>
          <w:rtl/>
        </w:rPr>
        <w:t>דא"כ קשיא דרב אדרב,</w:t>
      </w:r>
      <w:r w:rsidRPr="00C405E5">
        <w:rPr>
          <w:rFonts w:hint="cs"/>
          <w:rtl/>
        </w:rPr>
        <w:t xml:space="preserve"> ותירץ </w:t>
      </w:r>
      <w:r>
        <w:rPr>
          <w:rFonts w:hint="cs"/>
          <w:b/>
          <w:bCs/>
          <w:rtl/>
        </w:rPr>
        <w:t>ההג' מרדכי</w:t>
      </w:r>
      <w:r w:rsidRPr="004A0726">
        <w:rPr>
          <w:b/>
          <w:bCs/>
          <w:rtl/>
        </w:rPr>
        <w:t xml:space="preserve"> </w:t>
      </w:r>
      <w:r w:rsidRPr="00C405E5">
        <w:rPr>
          <w:rFonts w:hint="cs"/>
          <w:rtl/>
        </w:rPr>
        <w:t xml:space="preserve">בשם </w:t>
      </w:r>
      <w:r w:rsidRPr="00F8180D">
        <w:rPr>
          <w:b/>
          <w:bCs/>
          <w:vanish/>
          <w:rtl/>
        </w:rPr>
        <w:t>-</w:t>
      </w:r>
      <w:r w:rsidRPr="00F8180D">
        <w:rPr>
          <w:b/>
          <w:bCs/>
          <w:rtl/>
        </w:rPr>
        <w:t>היראים</w:t>
      </w:r>
      <w:r w:rsidRPr="00F8180D">
        <w:rPr>
          <w:b/>
          <w:bCs/>
          <w:vanish/>
          <w:rtl/>
        </w:rPr>
        <w:t>-</w:t>
      </w:r>
      <w:r w:rsidRPr="00C405E5">
        <w:rPr>
          <w:rFonts w:hint="cs"/>
          <w:rtl/>
        </w:rPr>
        <w:t xml:space="preserve"> דאין כוונת רב לומר דבמעייל שופתא בקופינא חייב משום בונה, אלא דבא לאפוקי משמואל דמחייב במכה בפטיש, ואמר רב דעדיין יש מלאכת בנין בשופיתא דקופינא, וכיון דהחיוב במכה בפטיש הוא רק כשנגמרה מלאכת הבנין, א"כ א"א לחייב בזה משום מכה בפטיש, אך באמת אין בזה חיוב גם משום בונה כיון דס"ל לרב דאין בנין בכלים</w:t>
      </w:r>
      <w:r>
        <w:rPr>
          <w:rFonts w:hint="cs"/>
          <w:rtl/>
        </w:rPr>
        <w:t>, וכן הביא</w:t>
      </w:r>
      <w:r>
        <w:rPr>
          <w:rtl/>
        </w:rPr>
        <w:t xml:space="preserve"> </w:t>
      </w:r>
      <w:r w:rsidRPr="00CE0DD3">
        <w:rPr>
          <w:rFonts w:hint="cs"/>
          <w:b/>
          <w:bCs/>
          <w:rtl/>
        </w:rPr>
        <w:t>ה</w:t>
      </w:r>
      <w:r w:rsidRPr="00CE0DD3">
        <w:rPr>
          <w:b/>
          <w:bCs/>
          <w:vanish/>
          <w:rtl/>
        </w:rPr>
        <w:t>&lt; &gt;</w:t>
      </w:r>
      <w:r w:rsidRPr="00CE0DD3">
        <w:rPr>
          <w:rFonts w:hint="cs"/>
          <w:b/>
          <w:bCs/>
          <w:rtl/>
        </w:rPr>
        <w:t>הג' מימוניות</w:t>
      </w:r>
      <w:r w:rsidRPr="00CE0DD3">
        <w:rPr>
          <w:b/>
          <w:bCs/>
          <w:rtl/>
        </w:rPr>
        <w:t xml:space="preserve"> </w:t>
      </w:r>
      <w:r w:rsidRPr="00CE0DD3">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שבת פ"י הי"ג</w:t>
      </w:r>
      <w:r w:rsidRPr="00CE0DD3">
        <w:rPr>
          <w:rFonts w:ascii="Calibri" w:eastAsia="Times New Roman" w:hAnsi="Calibri" w:cs="Guttman Rashi"/>
          <w:noProof w:val="0"/>
          <w:sz w:val="10"/>
          <w:szCs w:val="12"/>
          <w:rtl/>
        </w:rPr>
        <w:t>)</w:t>
      </w:r>
      <w:r w:rsidRPr="00CE0DD3">
        <w:rPr>
          <w:vanish/>
          <w:rtl/>
        </w:rPr>
        <w:t>=</w:t>
      </w:r>
      <w:r w:rsidRPr="00CE0DD3">
        <w:rPr>
          <w:rFonts w:hint="cs"/>
          <w:rtl/>
        </w:rPr>
        <w:t xml:space="preserve"> </w:t>
      </w:r>
      <w:r w:rsidRPr="00C405E5">
        <w:rPr>
          <w:rFonts w:hint="cs"/>
          <w:rtl/>
        </w:rPr>
        <w:t xml:space="preserve">בשם </w:t>
      </w:r>
      <w:r w:rsidRPr="00F8180D">
        <w:rPr>
          <w:rFonts w:hint="cs"/>
          <w:b/>
          <w:bCs/>
          <w:rtl/>
        </w:rPr>
        <w:t>היראים</w:t>
      </w:r>
      <w:r>
        <w:rPr>
          <w:rStyle w:val="afff0"/>
          <w:rtl/>
        </w:rPr>
        <w:footnoteReference w:id="15"/>
      </w:r>
      <w:r>
        <w:rPr>
          <w:rFonts w:hint="cs"/>
          <w:rtl/>
        </w:rPr>
        <w:t>.</w:t>
      </w:r>
      <w:bookmarkEnd w:id="5424"/>
      <w:r w:rsidRPr="00A53847">
        <w:rPr>
          <w:szCs w:val="14"/>
          <w:rtl/>
        </w:rPr>
        <w:t xml:space="preserve"> </w:t>
      </w:r>
      <w:r w:rsidRPr="00A53847">
        <w:rPr>
          <w:sz w:val="12"/>
          <w:szCs w:val="14"/>
          <w:rtl/>
        </w:rPr>
        <w:t>[</w:t>
      </w:r>
      <w:r>
        <w:rPr>
          <w:rFonts w:hint="cs"/>
          <w:sz w:val="12"/>
          <w:szCs w:val="14"/>
          <w:rtl/>
        </w:rPr>
        <w:t xml:space="preserve">וע"ע במ"ש </w:t>
      </w:r>
      <w:r w:rsidRPr="00A53847">
        <w:rPr>
          <w:rStyle w:val="aff9"/>
          <w:rFonts w:hint="cs"/>
          <w:rtl/>
        </w:rPr>
        <w:t>ה</w:t>
      </w:r>
      <w:r w:rsidRPr="00A53847">
        <w:rPr>
          <w:rStyle w:val="aff9"/>
          <w:rFonts w:hint="cs"/>
          <w:vanish/>
          <w:rtl/>
        </w:rPr>
        <w:t>&lt; &gt;</w:t>
      </w:r>
      <w:r w:rsidRPr="00A53847">
        <w:rPr>
          <w:rStyle w:val="aff9"/>
          <w:rFonts w:hint="cs"/>
          <w:rtl/>
        </w:rPr>
        <w:t>טל אורות ה</w:t>
      </w:r>
      <w:r>
        <w:rPr>
          <w:rStyle w:val="aff9"/>
          <w:rFonts w:hint="cs"/>
          <w:rtl/>
        </w:rPr>
        <w:t>ספרדי</w:t>
      </w:r>
      <w:r>
        <w:rPr>
          <w:rFonts w:hint="cs"/>
          <w:sz w:val="12"/>
          <w:szCs w:val="14"/>
          <w:rtl/>
        </w:rPr>
        <w:t xml:space="preserve"> </w:t>
      </w:r>
      <w:r w:rsidRPr="00A53847">
        <w:rPr>
          <w:rStyle w:val="aff0"/>
          <w:rFonts w:hint="cs"/>
          <w:rtl/>
        </w:rPr>
        <w:t>(בונה ד"ה והנה סבור הייתי)</w:t>
      </w:r>
      <w:r w:rsidRPr="00A53847">
        <w:rPr>
          <w:rFonts w:hint="cs"/>
          <w:vanish/>
          <w:sz w:val="12"/>
          <w:szCs w:val="14"/>
          <w:rtl/>
        </w:rPr>
        <w:t>=</w:t>
      </w:r>
      <w:r>
        <w:rPr>
          <w:rFonts w:hint="cs"/>
          <w:sz w:val="12"/>
          <w:szCs w:val="14"/>
          <w:rtl/>
        </w:rPr>
        <w:t xml:space="preserve"> דהיה אפש"ל דאף </w:t>
      </w:r>
      <w:r w:rsidRPr="00A53847">
        <w:rPr>
          <w:rStyle w:val="aff9"/>
          <w:rFonts w:hint="cs"/>
          <w:rtl/>
        </w:rPr>
        <w:t>רש"י</w:t>
      </w:r>
      <w:r>
        <w:rPr>
          <w:rFonts w:hint="cs"/>
          <w:sz w:val="12"/>
          <w:szCs w:val="14"/>
          <w:rtl/>
        </w:rPr>
        <w:t xml:space="preserve"> ס"ל </w:t>
      </w:r>
      <w:r w:rsidRPr="00A53847">
        <w:rPr>
          <w:rStyle w:val="aff9"/>
          <w:rFonts w:hint="cs"/>
          <w:rtl/>
        </w:rPr>
        <w:t>כיראים</w:t>
      </w:r>
      <w:r>
        <w:rPr>
          <w:rFonts w:hint="cs"/>
          <w:sz w:val="12"/>
          <w:szCs w:val="14"/>
          <w:rtl/>
        </w:rPr>
        <w:t xml:space="preserve"> אך דחה דביאור </w:t>
      </w:r>
      <w:r w:rsidRPr="00A53847">
        <w:rPr>
          <w:rStyle w:val="aff9"/>
          <w:rFonts w:hint="cs"/>
          <w:rtl/>
        </w:rPr>
        <w:t>היראים</w:t>
      </w:r>
      <w:r>
        <w:rPr>
          <w:rFonts w:hint="cs"/>
          <w:sz w:val="12"/>
          <w:szCs w:val="14"/>
          <w:rtl/>
        </w:rPr>
        <w:t xml:space="preserve"> דחוק טובא</w:t>
      </w:r>
      <w:r w:rsidRPr="00A53847">
        <w:rPr>
          <w:sz w:val="12"/>
          <w:szCs w:val="14"/>
          <w:rtl/>
        </w:rPr>
        <w:t>]</w:t>
      </w:r>
      <w:r>
        <w:rPr>
          <w:rFonts w:hint="cs"/>
          <w:sz w:val="12"/>
          <w:szCs w:val="14"/>
          <w:rtl/>
        </w:rPr>
        <w:t>.</w:t>
      </w:r>
      <w:bookmarkEnd w:id="5425"/>
      <w:r>
        <w:rPr>
          <w:rtl/>
        </w:rPr>
        <w:t xml:space="preserve"> </w:t>
      </w:r>
    </w:p>
    <w:p w14:paraId="29C0FE38" w14:textId="77777777" w:rsidR="003E1AA3" w:rsidRPr="00BC7DC8" w:rsidRDefault="003E1AA3" w:rsidP="003E1AA3">
      <w:pPr>
        <w:pStyle w:val="afffffe"/>
        <w:rPr>
          <w:vanish/>
          <w:rtl/>
        </w:rPr>
      </w:pPr>
      <w:r w:rsidRPr="00BC7DC8">
        <w:rPr>
          <w:rFonts w:hint="cs"/>
          <w:vanish/>
          <w:rtl/>
        </w:rPr>
        <w:t>הגהות מרדכי שבת רמז תס"א</w:t>
      </w:r>
    </w:p>
    <w:p w14:paraId="6BE582AF" w14:textId="77777777" w:rsidR="003E1AA3" w:rsidRPr="002E340A" w:rsidRDefault="003E1AA3" w:rsidP="003E1AA3">
      <w:pPr>
        <w:pStyle w:val="a2"/>
        <w:tabs>
          <w:tab w:val="num" w:pos="284"/>
        </w:tabs>
        <w:rPr>
          <w:rtl/>
        </w:rPr>
      </w:pPr>
      <w:r w:rsidRPr="002E340A">
        <w:rPr>
          <w:rtl/>
        </w:rPr>
        <w:t>[דף קב] עייל שופתא בקופינא דמרא רב אמר חייב משום בונה פר"ח קי"ל יש בנין בכלים כרב ובירושלמי גרס (*בשם) [*התם. מ"י] ר' ירמיה [*בשם רב. מ"י] המרכיב מטה של גילא חייב משום בונה וקי"ל הלכתא כוותיה דרב וכן בסוף כירה [לעיל דף מז ב] גבי מטה גללניתא בנין מן הצד הוא משמע דיש בו משום בנין וקשה דהא רב גופיה סבר פרק במה מדליקין [לעיל דף כט א] אין סתירה בכלים דקאמר מסיקין בכלים ואין לך סתירה גדולה מזו וה"ה דאין בנין בכלים ופי' רא"ם רב אמר משום בונה פירוש מרא זו מחוסרת [בנין] בחסרון שופתא הלכך אין בו משום מכה בפטיש שאינו נקרא מכה בפטיש אלא בדבר שאינו מחוסר [בנין] שהכאת הפטיש הוא לאחר גמר בנין ולא אמר רב משום בונה (*כלומר) [*לומר שהוא] חייב משום (*מכה בפטיש) [*בונה] דהא אין בנין [*בכלים] אלא להסירו מטעם מכה בפטיש שלעולם בחסרות בנין לא תהא מלאכת מכה בפטיש</w:t>
      </w:r>
      <w:r w:rsidRPr="002E340A">
        <w:rPr>
          <w:rFonts w:hint="cs"/>
          <w:rtl/>
        </w:rPr>
        <w:t>.</w:t>
      </w:r>
    </w:p>
    <w:p w14:paraId="5ED35355" w14:textId="77777777" w:rsidR="003E1AA3" w:rsidRPr="00BC7DC8" w:rsidRDefault="003E1AA3" w:rsidP="003E1AA3">
      <w:pPr>
        <w:pStyle w:val="afffffe"/>
        <w:rPr>
          <w:vanish/>
        </w:rPr>
      </w:pPr>
      <w:bookmarkStart w:id="5426" w:name="_Ref144714944"/>
      <w:r w:rsidRPr="00BC7DC8">
        <w:rPr>
          <w:rFonts w:hint="cs"/>
          <w:vanish/>
          <w:rtl/>
        </w:rPr>
        <w:t>יראים סימן רע"ד ד"ה הבונה</w:t>
      </w:r>
    </w:p>
    <w:p w14:paraId="6C30C31C" w14:textId="77777777" w:rsidR="003E1AA3" w:rsidRDefault="003E1AA3" w:rsidP="003E1AA3">
      <w:pPr>
        <w:pStyle w:val="afffff5"/>
        <w:rPr>
          <w:rtl/>
        </w:rPr>
      </w:pPr>
      <w:r w:rsidRPr="0018388A">
        <w:rPr>
          <w:rFonts w:hint="cs"/>
          <w:rtl/>
        </w:rPr>
        <w:t xml:space="preserve"> </w:t>
      </w:r>
      <w:r w:rsidRPr="0018388A">
        <w:rPr>
          <w:rtl/>
        </w:rPr>
        <w:t>והא דאמרינן בהבונה [ק"ב ב'] עייל שופתא בקופינא דמרה רב אמר משום בונה ושמואל אמר משום מכה בפטיש אלמא סבירא ליה לרב יש בנין בכלים ואם יש בנין יש סתירה דחדא טעמא הוא כדאמרינן בכל הכלים [קכ"ב ב'] וא"כ קשיא דרב אדרב הא לא קשיא דבהבונה הכי פירושו רב אמר משום בונה פי' מרה זאת מחוסרת בנין בחסרון שופתא הלכך אין בו איסור מכה בפטיש שאינו נקרא מכה בפטיש אלא בדבר שאינו מחוסר בנין שהכאת פטיש הוא לאחר גמר בנין ולא אמר רב משום בונה לומר שיש חיוב בונה בדבר דהא אין סתירה ובנין בכלים ולא אמרינן משום בונה אלא להסירו מטעם מכה בפטיש [שהוא] לאחר בנין שלעולם בחסרון בנין לא תהיה מלאכת מכה בפטיש פי' בקוצר משום בונה אין בו אלא טעם בונה ומאותו בונה אין חיוב דאין בנין בכלים וכל הסוגיא נוח לפרשה אחר פירוש זה.</w:t>
      </w:r>
    </w:p>
    <w:p w14:paraId="25BA0435" w14:textId="77777777" w:rsidR="003E1AA3" w:rsidRPr="00BC7DC8" w:rsidRDefault="003E1AA3" w:rsidP="003E1AA3">
      <w:pPr>
        <w:pStyle w:val="afffffe"/>
        <w:rPr>
          <w:vanish/>
          <w:rtl/>
        </w:rPr>
      </w:pPr>
      <w:r w:rsidRPr="00BC7DC8">
        <w:rPr>
          <w:vanish/>
          <w:rtl/>
        </w:rPr>
        <w:t>הגהות מיימוניות שבת פ"י הי"ג</w:t>
      </w:r>
    </w:p>
    <w:p w14:paraId="6C40229E" w14:textId="77777777" w:rsidR="003E1AA3" w:rsidRPr="002E340A" w:rsidRDefault="003E1AA3" w:rsidP="003E1AA3">
      <w:pPr>
        <w:pStyle w:val="afffff5"/>
      </w:pPr>
      <w:r w:rsidRPr="002E340A">
        <w:rPr>
          <w:rtl/>
        </w:rPr>
        <w:t>ובהבונה נמי גרסי' האי מאן דעייל שופתא בקופינא דמרא רב אמר חייב משום בונה וכ"פ התוס' וכן ס"ה ודלא כרא"מ שכתב דלא אמר רב הכי לחייבו משום בונה דאין בנין בכלים ואין סתירה בכלים אלא רב אמר כן לאפוקי מדשמואל דאמר חייב משום מכה בפטיש שאין חיוב מכה בפטיש אלא בדבר שהוא גמר מלאכה לפיכך אמר בונה כלומר עדיין חסר מדה זו בנין ואין זה גמר מלאכה להתחייב משום מכה בפטיש ע"כ דבריו. ודברי התוס' על בנין בכלים תמצא לקמן בפרק כ"ג בה' ב':</w:t>
      </w:r>
    </w:p>
    <w:p w14:paraId="737CFE88" w14:textId="77777777" w:rsidR="003E1AA3" w:rsidRPr="00FC269C" w:rsidRDefault="003E1AA3" w:rsidP="003E1AA3">
      <w:pPr>
        <w:pStyle w:val="afffff7"/>
        <w:rPr>
          <w:rtl/>
        </w:rPr>
      </w:pPr>
      <w:bookmarkStart w:id="5427" w:name="_Toc145234008"/>
      <w:bookmarkStart w:id="5428" w:name="_Toc163506266"/>
      <w:bookmarkEnd w:id="5426"/>
      <w:r w:rsidRPr="00FC269C">
        <w:rPr>
          <w:rtl/>
        </w:rPr>
        <w:t xml:space="preserve">באור הגר"א </w:t>
      </w:r>
      <w:r w:rsidRPr="00FC269C">
        <w:rPr>
          <w:rFonts w:hint="cs"/>
          <w:rtl/>
        </w:rPr>
        <w:t>או"ח סי'</w:t>
      </w:r>
      <w:r w:rsidRPr="00FC269C">
        <w:rPr>
          <w:rtl/>
        </w:rPr>
        <w:t xml:space="preserve"> שי</w:t>
      </w:r>
      <w:r w:rsidRPr="00FC269C">
        <w:rPr>
          <w:rFonts w:hint="cs"/>
          <w:rtl/>
        </w:rPr>
        <w:t>"ד סק"ד</w:t>
      </w:r>
      <w:bookmarkEnd w:id="5427"/>
      <w:bookmarkEnd w:id="5428"/>
    </w:p>
    <w:p w14:paraId="1D3DA06B" w14:textId="77777777" w:rsidR="003E1AA3" w:rsidRPr="00FC269C" w:rsidRDefault="003E1AA3" w:rsidP="003E1AA3">
      <w:pPr>
        <w:pStyle w:val="afffff7"/>
        <w:rPr>
          <w:rtl/>
        </w:rPr>
      </w:pPr>
      <w:bookmarkStart w:id="5429" w:name="_Toc145234009"/>
      <w:bookmarkStart w:id="5430" w:name="_Toc163506267"/>
      <w:r w:rsidRPr="00FC269C">
        <w:rPr>
          <w:rtl/>
        </w:rPr>
        <w:t>מגן אברהם סי</w:t>
      </w:r>
      <w:r w:rsidRPr="00FC269C">
        <w:rPr>
          <w:rFonts w:hint="cs"/>
          <w:rtl/>
        </w:rPr>
        <w:t>'</w:t>
      </w:r>
      <w:r w:rsidRPr="00FC269C">
        <w:rPr>
          <w:rtl/>
        </w:rPr>
        <w:t xml:space="preserve"> תק</w:t>
      </w:r>
      <w:r w:rsidRPr="00FC269C">
        <w:rPr>
          <w:rFonts w:hint="cs"/>
          <w:rtl/>
        </w:rPr>
        <w:t>"</w:t>
      </w:r>
      <w:r w:rsidRPr="00FC269C">
        <w:rPr>
          <w:rtl/>
        </w:rPr>
        <w:t>א ס"ק יג</w:t>
      </w:r>
      <w:bookmarkEnd w:id="5429"/>
      <w:bookmarkEnd w:id="5430"/>
    </w:p>
    <w:p w14:paraId="603FE9D5" w14:textId="77777777" w:rsidR="003E1AA3" w:rsidRPr="00FC269C" w:rsidRDefault="003E1AA3" w:rsidP="003E1AA3">
      <w:pPr>
        <w:pStyle w:val="afffff7"/>
        <w:rPr>
          <w:rtl/>
        </w:rPr>
      </w:pPr>
      <w:bookmarkStart w:id="5431" w:name="_Toc145234010"/>
      <w:bookmarkStart w:id="5432" w:name="_Toc163506268"/>
      <w:r w:rsidRPr="00FC269C">
        <w:rPr>
          <w:rFonts w:hint="cs"/>
          <w:rtl/>
        </w:rPr>
        <w:t>טל אורות הקדמון מלאכת בונה ד"ה ולעניות</w:t>
      </w:r>
      <w:bookmarkEnd w:id="5431"/>
      <w:bookmarkEnd w:id="5432"/>
    </w:p>
    <w:p w14:paraId="0EFA7CBB" w14:textId="77777777" w:rsidR="003E1AA3" w:rsidRPr="00FC269C" w:rsidRDefault="003E1AA3" w:rsidP="003E1AA3">
      <w:pPr>
        <w:pStyle w:val="afffff7"/>
        <w:rPr>
          <w:rtl/>
        </w:rPr>
      </w:pPr>
      <w:bookmarkStart w:id="5433" w:name="_Toc145234011"/>
      <w:bookmarkStart w:id="5434" w:name="_Toc163506269"/>
      <w:r w:rsidRPr="00FC269C">
        <w:rPr>
          <w:rtl/>
        </w:rPr>
        <w:t>אור שמח שבת פכ"ג ה"ב</w:t>
      </w:r>
      <w:bookmarkEnd w:id="5433"/>
      <w:bookmarkEnd w:id="5434"/>
    </w:p>
    <w:p w14:paraId="3A8FB813" w14:textId="77777777" w:rsidR="003E1AA3" w:rsidRDefault="003E1AA3" w:rsidP="003E1AA3">
      <w:pPr>
        <w:pStyle w:val="a7"/>
        <w:rPr>
          <w:rtl/>
        </w:rPr>
      </w:pPr>
      <w:bookmarkStart w:id="5435" w:name="_Toc145233892"/>
      <w:r>
        <w:rPr>
          <w:rFonts w:hint="cs"/>
          <w:rtl/>
        </w:rPr>
        <w:t>בי' האחרונים דהא דמסיקין בכלים אין בזה סותר דהוא גרמא או רפוי או דבביעור ל"ש סתירה</w:t>
      </w:r>
      <w:bookmarkEnd w:id="5435"/>
    </w:p>
    <w:p w14:paraId="369575D6" w14:textId="0ABFCF70" w:rsidR="003E1AA3" w:rsidRPr="001F6111" w:rsidRDefault="003E1AA3" w:rsidP="00BC7DC8">
      <w:pPr>
        <w:pStyle w:val="a3"/>
        <w:rPr>
          <w:rtl/>
        </w:rPr>
      </w:pPr>
      <w:bookmarkStart w:id="5436" w:name="_Ref144634510"/>
      <w:r>
        <w:rPr>
          <w:rFonts w:hint="cs"/>
          <w:rtl/>
        </w:rPr>
        <w:t xml:space="preserve">במה שהקשה </w:t>
      </w:r>
      <w:r>
        <w:rPr>
          <w:rFonts w:hint="cs"/>
          <w:b/>
          <w:bCs/>
          <w:rtl/>
        </w:rPr>
        <w:t>היראים</w:t>
      </w:r>
      <w:r>
        <w:rPr>
          <w:rtl/>
        </w:rPr>
        <w:t xml:space="preserve"> </w:t>
      </w:r>
      <w:r w:rsidRPr="00FE13FB">
        <w:rPr>
          <w:rFonts w:ascii="Calibri" w:eastAsia="Times New Roman" w:hAnsi="Calibri" w:cs="Guttman Rashi"/>
          <w:noProof w:val="0"/>
          <w:sz w:val="10"/>
          <w:szCs w:val="12"/>
          <w:rtl/>
        </w:rPr>
        <w:t xml:space="preserve">(עי' 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Pr>
        <w:instrText>REF</w:instrText>
      </w:r>
      <w:r>
        <w:rPr>
          <w:rFonts w:ascii="Calibri" w:eastAsia="Times New Roman" w:hAnsi="Calibri" w:cs="Guttman Rashi"/>
          <w:noProof w:val="0"/>
          <w:sz w:val="10"/>
          <w:szCs w:val="12"/>
          <w:rtl/>
        </w:rPr>
        <w:instrText xml:space="preserve"> _</w:instrText>
      </w:r>
      <w:r>
        <w:rPr>
          <w:rFonts w:ascii="Calibri" w:eastAsia="Times New Roman" w:hAnsi="Calibri" w:cs="Guttman Rashi"/>
          <w:noProof w:val="0"/>
          <w:sz w:val="10"/>
          <w:szCs w:val="12"/>
        </w:rPr>
        <w:instrText>Ref145186915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ח)</w:t>
      </w:r>
      <w:r>
        <w:rPr>
          <w:rFonts w:ascii="Calibri" w:eastAsia="Times New Roman" w:hAnsi="Calibri" w:cs="Guttman Rashi"/>
          <w:noProof w:val="0"/>
          <w:sz w:val="10"/>
          <w:szCs w:val="12"/>
          <w:rtl/>
        </w:rPr>
        <w:fldChar w:fldCharType="end"/>
      </w:r>
      <w:r>
        <w:rPr>
          <w:rtl/>
        </w:rPr>
        <w:t xml:space="preserve"> </w:t>
      </w:r>
      <w:r>
        <w:rPr>
          <w:rFonts w:hint="cs"/>
          <w:rtl/>
        </w:rPr>
        <w:t>דהא דהתיר רב להסיק בכלים, ומבואר דס"ל דאין בנין בכלים, וקשיא דרב אדרב, תירץ</w:t>
      </w:r>
      <w:r>
        <w:rPr>
          <w:rtl/>
        </w:rPr>
        <w:t xml:space="preserve"> </w:t>
      </w:r>
      <w:r w:rsidRPr="00B13EC8">
        <w:rPr>
          <w:b/>
          <w:bCs/>
          <w:rtl/>
        </w:rPr>
        <w:t>ה</w:t>
      </w:r>
      <w:r w:rsidRPr="001F6111">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Ref144634510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י)</w:t>
      </w:r>
      <w:r>
        <w:rPr>
          <w:b/>
          <w:bCs/>
          <w:vanish/>
          <w:rtl/>
        </w:rPr>
        <w:fldChar w:fldCharType="end"/>
      </w:r>
      <w:r w:rsidRPr="001F6111">
        <w:rPr>
          <w:b/>
          <w:bCs/>
          <w:vanish/>
          <w:rtl/>
        </w:rPr>
        <w:t xml:space="preserve"> &gt;</w:t>
      </w:r>
      <w:r w:rsidRPr="00B13EC8">
        <w:rPr>
          <w:rFonts w:hint="cs"/>
          <w:b/>
          <w:bCs/>
          <w:rtl/>
        </w:rPr>
        <w:t>גר"א</w:t>
      </w:r>
      <w:r w:rsidRPr="00B13EC8">
        <w:rPr>
          <w:b/>
          <w:bCs/>
          <w:rtl/>
        </w:rPr>
        <w:t xml:space="preserve"> </w:t>
      </w:r>
      <w:r w:rsidRPr="00B13EC8">
        <w:rPr>
          <w:rFonts w:ascii="Calibri" w:eastAsia="Times New Roman" w:hAnsi="Calibri" w:cs="Guttman Rashi"/>
          <w:noProof w:val="0"/>
          <w:sz w:val="10"/>
          <w:szCs w:val="12"/>
          <w:rtl/>
        </w:rPr>
        <w:t>(</w:t>
      </w:r>
      <w:r w:rsidRPr="00B13EC8">
        <w:rPr>
          <w:rFonts w:ascii="Calibri" w:eastAsia="Times New Roman" w:hAnsi="Calibri" w:cs="Guttman Rashi" w:hint="cs"/>
          <w:noProof w:val="0"/>
          <w:sz w:val="10"/>
          <w:szCs w:val="12"/>
          <w:rtl/>
        </w:rPr>
        <w:t>סי' שי"ד סק"ד</w:t>
      </w:r>
      <w:r w:rsidRPr="00B13EC8">
        <w:rPr>
          <w:rFonts w:ascii="Calibri" w:eastAsia="Times New Roman" w:hAnsi="Calibri" w:cs="Guttman Rashi"/>
          <w:noProof w:val="0"/>
          <w:sz w:val="10"/>
          <w:szCs w:val="12"/>
          <w:rtl/>
        </w:rPr>
        <w:t>)</w:t>
      </w:r>
      <w:r w:rsidRPr="00B13EC8">
        <w:rPr>
          <w:vanish/>
          <w:rtl/>
        </w:rPr>
        <w:t>=</w:t>
      </w:r>
      <w:r>
        <w:rPr>
          <w:rtl/>
        </w:rPr>
        <w:t xml:space="preserve"> </w:t>
      </w:r>
      <w:r>
        <w:rPr>
          <w:rFonts w:hint="cs"/>
          <w:rtl/>
        </w:rPr>
        <w:t>דהסקה הוא סתירה ע"י גרמא, וגרמא שאני כמבואר בגמ' לקמן</w:t>
      </w:r>
      <w:r>
        <w:rPr>
          <w:rtl/>
        </w:rPr>
        <w:t xml:space="preserve"> </w:t>
      </w:r>
      <w:r w:rsidRPr="00B13EC8">
        <w:rPr>
          <w:rFonts w:ascii="Calibri" w:eastAsia="Times New Roman" w:hAnsi="Calibri" w:cs="Guttman Rashi"/>
          <w:noProof w:val="0"/>
          <w:sz w:val="10"/>
          <w:szCs w:val="12"/>
          <w:rtl/>
        </w:rPr>
        <w:t>(</w:t>
      </w:r>
      <w:r w:rsidRPr="00B13EC8">
        <w:rPr>
          <w:rFonts w:ascii="Calibri" w:eastAsia="Times New Roman" w:hAnsi="Calibri" w:cs="Guttman Rashi" w:hint="cs"/>
          <w:noProof w:val="0"/>
          <w:sz w:val="10"/>
          <w:szCs w:val="12"/>
          <w:rtl/>
        </w:rPr>
        <w:t>קכ:</w:t>
      </w:r>
      <w:r w:rsidRPr="00B13EC8">
        <w:rPr>
          <w:rFonts w:ascii="Calibri" w:eastAsia="Times New Roman" w:hAnsi="Calibri" w:cs="Guttman Rashi"/>
          <w:noProof w:val="0"/>
          <w:sz w:val="10"/>
          <w:szCs w:val="12"/>
          <w:rtl/>
        </w:rPr>
        <w:t>)</w:t>
      </w:r>
      <w:r>
        <w:rPr>
          <w:rFonts w:hint="cs"/>
          <w:rtl/>
        </w:rPr>
        <w:t xml:space="preserve"> לענין גרם כיבוי, </w:t>
      </w:r>
      <w:r>
        <w:rPr>
          <w:rFonts w:hint="cs"/>
          <w:b/>
          <w:bCs/>
          <w:rtl/>
        </w:rPr>
        <w:t>ו</w:t>
      </w:r>
      <w:r w:rsidRPr="001F6111">
        <w:rPr>
          <w:b/>
          <w:bCs/>
          <w:rtl/>
        </w:rPr>
        <w:t>ה</w:t>
      </w:r>
      <w:r>
        <w:rPr>
          <w:rFonts w:hint="cs"/>
          <w:b/>
          <w:bCs/>
          <w:vanish/>
          <w:rtl/>
        </w:rPr>
        <w:t>&lt; &gt;</w:t>
      </w:r>
      <w:r>
        <w:rPr>
          <w:rFonts w:hint="cs"/>
          <w:b/>
          <w:bCs/>
          <w:rtl/>
        </w:rPr>
        <w:t>מג"א</w:t>
      </w:r>
      <w:r w:rsidRPr="001F6111">
        <w:rPr>
          <w:b/>
          <w:bCs/>
          <w:rtl/>
        </w:rPr>
        <w:t xml:space="preserve"> </w:t>
      </w:r>
      <w:r w:rsidRPr="001F6111">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סי' תק"א סקי"ג</w:t>
      </w:r>
      <w:r w:rsidRPr="001F6111">
        <w:rPr>
          <w:rFonts w:ascii="Calibri" w:eastAsia="Times New Roman" w:hAnsi="Calibri" w:cs="Guttman Rashi"/>
          <w:noProof w:val="0"/>
          <w:sz w:val="10"/>
          <w:szCs w:val="12"/>
          <w:rtl/>
        </w:rPr>
        <w:t>)</w:t>
      </w:r>
      <w:r w:rsidRPr="001F6111">
        <w:rPr>
          <w:vanish/>
          <w:rtl/>
        </w:rPr>
        <w:t>=</w:t>
      </w:r>
      <w:r>
        <w:rPr>
          <w:rtl/>
        </w:rPr>
        <w:t xml:space="preserve"> </w:t>
      </w:r>
      <w:r>
        <w:rPr>
          <w:rFonts w:hint="cs"/>
          <w:rtl/>
        </w:rPr>
        <w:t>הביא</w:t>
      </w:r>
      <w:r>
        <w:rPr>
          <w:rtl/>
        </w:rPr>
        <w:t xml:space="preserve"> </w:t>
      </w:r>
      <w:r>
        <w:rPr>
          <w:rFonts w:hint="cs"/>
          <w:rtl/>
        </w:rPr>
        <w:t>את דברי</w:t>
      </w:r>
      <w:r>
        <w:rPr>
          <w:rtl/>
        </w:rPr>
        <w:t xml:space="preserve"> </w:t>
      </w:r>
      <w:r>
        <w:rPr>
          <w:rFonts w:hint="cs"/>
          <w:b/>
          <w:bCs/>
          <w:rtl/>
        </w:rPr>
        <w:t>ה</w:t>
      </w:r>
      <w:r w:rsidRPr="00FE13FB">
        <w:rPr>
          <w:rFonts w:hint="cs"/>
          <w:b/>
          <w:bCs/>
          <w:vanish/>
          <w:rtl/>
        </w:rPr>
        <w:t>&lt; &gt;</w:t>
      </w:r>
      <w:r>
        <w:rPr>
          <w:rFonts w:hint="cs"/>
          <w:b/>
          <w:bCs/>
          <w:rtl/>
        </w:rPr>
        <w:t>טל אורות הקדמון</w:t>
      </w:r>
      <w:r>
        <w:rPr>
          <w:b/>
          <w:bCs/>
          <w:rtl/>
        </w:rPr>
        <w:t xml:space="preserve"> </w:t>
      </w:r>
      <w:r w:rsidRPr="00FE13FB">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מלאכת בונה ד"ה ולעניות</w:t>
      </w:r>
      <w:r w:rsidRPr="00FE13FB">
        <w:rPr>
          <w:rFonts w:ascii="Calibri" w:eastAsia="Times New Roman" w:hAnsi="Calibri" w:cs="Guttman Rashi"/>
          <w:noProof w:val="0"/>
          <w:sz w:val="10"/>
          <w:szCs w:val="12"/>
          <w:rtl/>
        </w:rPr>
        <w:t>)</w:t>
      </w:r>
      <w:r w:rsidRPr="00FE13FB">
        <w:rPr>
          <w:rFonts w:ascii="Calibri" w:eastAsia="Times New Roman" w:hAnsi="Calibri" w:cs="Guttman Rashi" w:hint="cs"/>
          <w:noProof w:val="0"/>
          <w:vanish/>
          <w:sz w:val="10"/>
          <w:szCs w:val="12"/>
          <w:rtl/>
        </w:rPr>
        <w:t>=</w:t>
      </w:r>
      <w:r>
        <w:rPr>
          <w:rtl/>
        </w:rPr>
        <w:t xml:space="preserve"> </w:t>
      </w:r>
      <w:r>
        <w:rPr>
          <w:rFonts w:hint="cs"/>
          <w:rtl/>
        </w:rPr>
        <w:t xml:space="preserve">דתירץ דאיירי בכלי רפוי, דבכה"ג אין בנין בכלים, כדכתבו </w:t>
      </w:r>
      <w:r>
        <w:rPr>
          <w:rStyle w:val="aff4"/>
          <w:rFonts w:hint="cs"/>
          <w:rtl/>
        </w:rPr>
        <w:t>התוס'</w:t>
      </w:r>
      <w:r>
        <w:rPr>
          <w:rtl/>
        </w:rPr>
        <w:t xml:space="preserve"> </w:t>
      </w:r>
      <w:r w:rsidRPr="00B908BC">
        <w:rPr>
          <w:rFonts w:ascii="Calibri" w:eastAsia="Times New Roman" w:hAnsi="Calibri" w:cs="Guttman Rashi"/>
          <w:noProof w:val="0"/>
          <w:sz w:val="10"/>
          <w:szCs w:val="12"/>
          <w:rtl/>
        </w:rPr>
        <w:t xml:space="preserve">(עי' </w:t>
      </w:r>
      <w:r w:rsidRPr="00CA003E">
        <w:rPr>
          <w:rFonts w:ascii="Calibri" w:eastAsia="Times New Roman" w:hAnsi="Calibri" w:cs="Guttman Rashi"/>
          <w:noProof w:val="0"/>
          <w:sz w:val="10"/>
          <w:szCs w:val="12"/>
          <w:rtl/>
        </w:rPr>
        <w:t xml:space="preserve">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Pr>
        <w:instrText>REF</w:instrText>
      </w:r>
      <w:r>
        <w:rPr>
          <w:rFonts w:ascii="Calibri" w:eastAsia="Times New Roman" w:hAnsi="Calibri" w:cs="Guttman Rashi"/>
          <w:noProof w:val="0"/>
          <w:sz w:val="10"/>
          <w:szCs w:val="12"/>
          <w:rtl/>
        </w:rPr>
        <w:instrText xml:space="preserve"> _</w:instrText>
      </w:r>
      <w:r>
        <w:rPr>
          <w:rFonts w:ascii="Calibri" w:eastAsia="Times New Roman" w:hAnsi="Calibri" w:cs="Guttman Rashi"/>
          <w:noProof w:val="0"/>
          <w:sz w:val="10"/>
          <w:szCs w:val="12"/>
        </w:rPr>
        <w:instrText>Ref144829094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כא)</w:t>
      </w:r>
      <w:r>
        <w:rPr>
          <w:rFonts w:ascii="Calibri" w:eastAsia="Times New Roman" w:hAnsi="Calibri" w:cs="Guttman Rashi"/>
          <w:noProof w:val="0"/>
          <w:sz w:val="10"/>
          <w:szCs w:val="12"/>
          <w:rtl/>
        </w:rPr>
        <w:fldChar w:fldCharType="end"/>
      </w:r>
      <w:r>
        <w:rPr>
          <w:rtl/>
        </w:rPr>
        <w:t xml:space="preserve"> </w:t>
      </w:r>
      <w:r>
        <w:rPr>
          <w:rFonts w:hint="cs"/>
          <w:b/>
          <w:bCs/>
          <w:rtl/>
        </w:rPr>
        <w:t>והמ"מ</w:t>
      </w:r>
      <w:r>
        <w:rPr>
          <w:rtl/>
        </w:rPr>
        <w:t xml:space="preserve"> </w:t>
      </w:r>
      <w:r w:rsidRPr="00B908BC">
        <w:rPr>
          <w:rFonts w:ascii="Calibri" w:eastAsia="Times New Roman" w:hAnsi="Calibri" w:cs="Guttman Rashi"/>
          <w:noProof w:val="0"/>
          <w:sz w:val="10"/>
          <w:szCs w:val="12"/>
          <w:rtl/>
        </w:rPr>
        <w:t xml:space="preserve">(עי' </w:t>
      </w:r>
      <w:r w:rsidRPr="00CA003E">
        <w:rPr>
          <w:rFonts w:ascii="Calibri" w:eastAsia="Times New Roman" w:hAnsi="Calibri" w:cs="Guttman Rashi"/>
          <w:noProof w:val="0"/>
          <w:sz w:val="10"/>
          <w:szCs w:val="12"/>
          <w:rtl/>
        </w:rPr>
        <w:t xml:space="preserve">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Pr>
        <w:instrText>REF</w:instrText>
      </w:r>
      <w:r>
        <w:rPr>
          <w:rFonts w:ascii="Calibri" w:eastAsia="Times New Roman" w:hAnsi="Calibri" w:cs="Guttman Rashi"/>
          <w:noProof w:val="0"/>
          <w:sz w:val="10"/>
          <w:szCs w:val="12"/>
          <w:rtl/>
        </w:rPr>
        <w:instrText xml:space="preserve"> _</w:instrText>
      </w:r>
      <w:r>
        <w:rPr>
          <w:rFonts w:ascii="Calibri" w:eastAsia="Times New Roman" w:hAnsi="Calibri" w:cs="Guttman Rashi"/>
          <w:noProof w:val="0"/>
          <w:sz w:val="10"/>
          <w:szCs w:val="12"/>
        </w:rPr>
        <w:instrText>Ref143549459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כה)</w:t>
      </w:r>
      <w:r>
        <w:rPr>
          <w:rFonts w:ascii="Calibri" w:eastAsia="Times New Roman" w:hAnsi="Calibri" w:cs="Guttman Rashi"/>
          <w:noProof w:val="0"/>
          <w:sz w:val="10"/>
          <w:szCs w:val="12"/>
          <w:rtl/>
        </w:rPr>
        <w:fldChar w:fldCharType="end"/>
      </w:r>
      <w:r>
        <w:rPr>
          <w:rtl/>
        </w:rPr>
        <w:t xml:space="preserve"> </w:t>
      </w:r>
      <w:r>
        <w:rPr>
          <w:rFonts w:hint="cs"/>
          <w:rtl/>
        </w:rPr>
        <w:t>בדעת</w:t>
      </w:r>
      <w:r>
        <w:rPr>
          <w:rtl/>
        </w:rPr>
        <w:t xml:space="preserve"> </w:t>
      </w:r>
      <w:r>
        <w:rPr>
          <w:rFonts w:hint="cs"/>
          <w:b/>
          <w:bCs/>
          <w:rtl/>
        </w:rPr>
        <w:t>הרמב"ם</w:t>
      </w:r>
      <w:r>
        <w:rPr>
          <w:rtl/>
        </w:rPr>
        <w:t xml:space="preserve"> </w:t>
      </w:r>
      <w:r>
        <w:rPr>
          <w:rFonts w:hint="cs"/>
          <w:rtl/>
        </w:rPr>
        <w:t>דרק בעושה כלי מתחילה אמרינן דיש בנין בכלים, אבל ברפוי קיי"ל כרשב"ג דאין בנין בכלים, ודחה</w:t>
      </w:r>
      <w:r>
        <w:rPr>
          <w:rtl/>
        </w:rPr>
        <w:t xml:space="preserve"> </w:t>
      </w:r>
      <w:r>
        <w:rPr>
          <w:rFonts w:hint="cs"/>
          <w:b/>
          <w:bCs/>
          <w:rtl/>
        </w:rPr>
        <w:t>המג"א</w:t>
      </w:r>
      <w:r>
        <w:rPr>
          <w:rtl/>
        </w:rPr>
        <w:t xml:space="preserve"> </w:t>
      </w:r>
      <w:r>
        <w:rPr>
          <w:rFonts w:hint="cs"/>
          <w:rtl/>
        </w:rPr>
        <w:t>דאף דמותר לשמוט כלי רפוי, מ"מ אסור לשוברו לגמרי, אלא ביאר</w:t>
      </w:r>
      <w:r>
        <w:rPr>
          <w:rtl/>
        </w:rPr>
        <w:t xml:space="preserve"> </w:t>
      </w:r>
      <w:r>
        <w:rPr>
          <w:rFonts w:hint="cs"/>
          <w:b/>
          <w:bCs/>
          <w:rtl/>
        </w:rPr>
        <w:t>המג"א</w:t>
      </w:r>
      <w:r>
        <w:rPr>
          <w:rtl/>
        </w:rPr>
        <w:t xml:space="preserve"> </w:t>
      </w:r>
      <w:r>
        <w:rPr>
          <w:rFonts w:hint="cs"/>
          <w:rtl/>
        </w:rPr>
        <w:t xml:space="preserve">דהא דמסיקין בכלים הוא מדין דהותרה הבערה ביו"ט, וה"ה דסתירה הותרה, </w:t>
      </w:r>
      <w:r>
        <w:rPr>
          <w:rFonts w:hint="cs"/>
          <w:b/>
          <w:bCs/>
          <w:rtl/>
        </w:rPr>
        <w:t>ו</w:t>
      </w:r>
      <w:r w:rsidRPr="0000579D">
        <w:rPr>
          <w:b/>
          <w:bCs/>
          <w:rtl/>
        </w:rPr>
        <w:t>ה</w:t>
      </w:r>
      <w:r w:rsidRPr="0000579D">
        <w:rPr>
          <w:b/>
          <w:bCs/>
          <w:vanish/>
          <w:rtl/>
        </w:rPr>
        <w:t xml:space="preserve"> </w:t>
      </w:r>
      <w:r>
        <w:rPr>
          <w:rFonts w:hint="cs"/>
          <w:b/>
          <w:bCs/>
          <w:vanish/>
          <w:rtl/>
        </w:rPr>
        <w:t>&lt; &gt;</w:t>
      </w:r>
      <w:r>
        <w:rPr>
          <w:rFonts w:hint="cs"/>
          <w:b/>
          <w:bCs/>
          <w:rtl/>
        </w:rPr>
        <w:t>או"ש</w:t>
      </w:r>
      <w:r w:rsidRPr="0000579D">
        <w:rPr>
          <w:b/>
          <w:bCs/>
          <w:rtl/>
        </w:rPr>
        <w:t xml:space="preserve"> </w:t>
      </w:r>
      <w:r w:rsidRPr="0000579D">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שבת פכ"ג ה"ב</w:t>
      </w:r>
      <w:r w:rsidRPr="0000579D">
        <w:rPr>
          <w:rFonts w:ascii="Calibri" w:eastAsia="Times New Roman" w:hAnsi="Calibri" w:cs="Guttman Rashi"/>
          <w:noProof w:val="0"/>
          <w:sz w:val="10"/>
          <w:szCs w:val="12"/>
          <w:rtl/>
        </w:rPr>
        <w:t>)</w:t>
      </w:r>
      <w:r w:rsidRPr="0000579D">
        <w:rPr>
          <w:vanish/>
          <w:rtl/>
        </w:rPr>
        <w:t>=</w:t>
      </w:r>
      <w:r>
        <w:rPr>
          <w:rtl/>
        </w:rPr>
        <w:t xml:space="preserve"> </w:t>
      </w:r>
      <w:r>
        <w:rPr>
          <w:rFonts w:hint="cs"/>
          <w:rtl/>
        </w:rPr>
        <w:t>תירץ</w:t>
      </w:r>
      <w:r>
        <w:rPr>
          <w:rtl/>
        </w:rPr>
        <w:t xml:space="preserve"> </w:t>
      </w:r>
      <w:r>
        <w:rPr>
          <w:rFonts w:hint="cs"/>
          <w:rtl/>
        </w:rPr>
        <w:t>דכיון שהוא מבער את הכלי לגמרי, לא שייך לומר דהוא סותר את הכלי, דהא א"א לומר דהמבעיר ספר יתחייב משום מוחק.</w:t>
      </w:r>
      <w:bookmarkEnd w:id="5436"/>
    </w:p>
    <w:p w14:paraId="1ED670C8" w14:textId="77777777" w:rsidR="003E1AA3" w:rsidRPr="00BC7DC8" w:rsidRDefault="003E1AA3" w:rsidP="003E1AA3">
      <w:pPr>
        <w:pStyle w:val="afffffe"/>
        <w:rPr>
          <w:vanish/>
          <w:rtl/>
        </w:rPr>
      </w:pPr>
      <w:r w:rsidRPr="00BC7DC8">
        <w:rPr>
          <w:vanish/>
          <w:rtl/>
        </w:rPr>
        <w:t xml:space="preserve">באור הגר"א </w:t>
      </w:r>
      <w:r w:rsidRPr="00BC7DC8">
        <w:rPr>
          <w:rFonts w:hint="cs"/>
          <w:vanish/>
          <w:rtl/>
        </w:rPr>
        <w:t>או"ח סי'</w:t>
      </w:r>
      <w:r w:rsidRPr="00BC7DC8">
        <w:rPr>
          <w:vanish/>
          <w:rtl/>
        </w:rPr>
        <w:t xml:space="preserve"> שי</w:t>
      </w:r>
      <w:r w:rsidRPr="00BC7DC8">
        <w:rPr>
          <w:rFonts w:hint="cs"/>
          <w:vanish/>
          <w:rtl/>
        </w:rPr>
        <w:t>"ד סק"ד</w:t>
      </w:r>
    </w:p>
    <w:p w14:paraId="23B15A90" w14:textId="77777777" w:rsidR="003E1AA3" w:rsidRPr="0018388A" w:rsidRDefault="003E1AA3" w:rsidP="003E1AA3">
      <w:pPr>
        <w:pStyle w:val="a2"/>
        <w:tabs>
          <w:tab w:val="num" w:pos="284"/>
        </w:tabs>
        <w:rPr>
          <w:rtl/>
        </w:rPr>
      </w:pPr>
      <w:r w:rsidRPr="0018388A">
        <w:rPr>
          <w:rtl/>
        </w:rPr>
        <w:t xml:space="preserve">ומה שהקשה בהגמ"ר דרב אהדדי דקאמר מסיקין בכלים י"ל דגרמא מותר כמ"ש בפט"ז. </w:t>
      </w:r>
    </w:p>
    <w:p w14:paraId="65EBF8BD" w14:textId="77777777" w:rsidR="003E1AA3" w:rsidRPr="00BC7DC8" w:rsidRDefault="003E1AA3" w:rsidP="003E1AA3">
      <w:pPr>
        <w:pStyle w:val="afffffe"/>
        <w:rPr>
          <w:vanish/>
          <w:rtl/>
        </w:rPr>
      </w:pPr>
      <w:r w:rsidRPr="00BC7DC8">
        <w:rPr>
          <w:vanish/>
          <w:rtl/>
        </w:rPr>
        <w:t>מגן אברהם סי</w:t>
      </w:r>
      <w:r w:rsidRPr="00BC7DC8">
        <w:rPr>
          <w:rFonts w:hint="cs"/>
          <w:vanish/>
          <w:rtl/>
        </w:rPr>
        <w:t>'</w:t>
      </w:r>
      <w:r w:rsidRPr="00BC7DC8">
        <w:rPr>
          <w:vanish/>
          <w:rtl/>
        </w:rPr>
        <w:t xml:space="preserve"> תק</w:t>
      </w:r>
      <w:r w:rsidRPr="00BC7DC8">
        <w:rPr>
          <w:rFonts w:hint="cs"/>
          <w:vanish/>
          <w:rtl/>
        </w:rPr>
        <w:t>"</w:t>
      </w:r>
      <w:r w:rsidRPr="00BC7DC8">
        <w:rPr>
          <w:vanish/>
          <w:rtl/>
        </w:rPr>
        <w:t>א ס"ק יג</w:t>
      </w:r>
    </w:p>
    <w:p w14:paraId="28B24DDE" w14:textId="77777777" w:rsidR="003E1AA3" w:rsidRPr="002E340A" w:rsidRDefault="003E1AA3" w:rsidP="003E1AA3">
      <w:pPr>
        <w:pStyle w:val="afffff5"/>
      </w:pPr>
      <w:r w:rsidRPr="002E340A">
        <w:rPr>
          <w:rtl/>
        </w:rPr>
        <w:t>שלמים. הרא"ם בס' יראים דייק מזה דאפי' סתירה גמורה לא שייך בכלים ולדידן דקי"ל דיש סתירה גמורה בכלי' (כמ"ש סי' שי"ד) צ"ל מיירי בכלי רפוי (ט"א) וצ"ע דאע"ג דמותר לשמוט כלי רפוי מ"מ אסור לשברו לגמרי ועוד דעכו"ם שחקק קב בבקעת לאו רפוי הוא וא"כ למה לי טעמא דנולד ול"נ דקושיא מעיקרא ליכ' דהבער' גופה אב מלאכ' היא והותרה לצורך ה"ה סתירה ונהי דאסור לבקע כלי לצורך אוכל נפש היינו משום דמלאכ' בפ"ע היא ואפש' דמות' לבקעו כמו שהתירו ביקוע עצים בס"א דהא סותר אינו חייב אלא א"כ עושה לבנות ואם כן לצורך שרי לגמרי כנ"ל ועל כל פנים צ"ל שאין לו עצים דאם לא כן עבר על בל תשחית כדאיתא בשבת דף קכ"ט, עץ שמחתין בו האש שנשבר אסור להסיקו דה"ל נולד (יש"ש גמרא) ודוקא שהי' מיוחד לכך:</w:t>
      </w:r>
    </w:p>
    <w:p w14:paraId="5B620401" w14:textId="77777777" w:rsidR="003E1AA3" w:rsidRPr="00BC7DC8" w:rsidRDefault="003E1AA3" w:rsidP="003E1AA3">
      <w:pPr>
        <w:pStyle w:val="afffffe"/>
        <w:rPr>
          <w:vanish/>
          <w:rtl/>
        </w:rPr>
      </w:pPr>
      <w:r w:rsidRPr="00BC7DC8">
        <w:rPr>
          <w:rFonts w:hint="cs"/>
          <w:vanish/>
          <w:rtl/>
        </w:rPr>
        <w:t>טל אורות הקדמון מלאכת בונה ד"ה ולעניות</w:t>
      </w:r>
    </w:p>
    <w:p w14:paraId="5A4089B5" w14:textId="77777777" w:rsidR="003E1AA3" w:rsidRPr="002E340A" w:rsidRDefault="003E1AA3" w:rsidP="003E1AA3">
      <w:pPr>
        <w:pStyle w:val="afffff5"/>
      </w:pPr>
      <w:r w:rsidRPr="002E340A">
        <w:rPr>
          <w:rFonts w:hint="cs"/>
          <w:rtl/>
        </w:rPr>
        <w:t>ו</w:t>
      </w:r>
      <w:r w:rsidRPr="002E340A">
        <w:rPr>
          <w:rtl/>
        </w:rPr>
        <w:t>ל</w:t>
      </w:r>
      <w:r w:rsidRPr="002E340A">
        <w:rPr>
          <w:rFonts w:hint="cs"/>
          <w:rtl/>
        </w:rPr>
        <w:t>ע</w:t>
      </w:r>
      <w:r w:rsidRPr="002E340A">
        <w:rPr>
          <w:rtl/>
        </w:rPr>
        <w:t>ני</w:t>
      </w:r>
      <w:r w:rsidRPr="002E340A">
        <w:rPr>
          <w:rFonts w:hint="cs"/>
          <w:rtl/>
        </w:rPr>
        <w:t>ו</w:t>
      </w:r>
      <w:r w:rsidRPr="002E340A">
        <w:rPr>
          <w:rtl/>
        </w:rPr>
        <w:t>ת דעתי לא קשה מידי מרב אדרב דאיכא לחלק כפירוש התוספות וסמ"ג דלעיל וכמו שמחלק הרמ</w:t>
      </w:r>
      <w:r w:rsidRPr="002E340A">
        <w:rPr>
          <w:rFonts w:hint="cs"/>
          <w:rtl/>
        </w:rPr>
        <w:t>ב</w:t>
      </w:r>
      <w:r w:rsidRPr="002E340A">
        <w:rPr>
          <w:rtl/>
        </w:rPr>
        <w:t xml:space="preserve">"ם כפרק כ"ב </w:t>
      </w:r>
      <w:r w:rsidRPr="002E340A">
        <w:rPr>
          <w:rFonts w:hint="cs"/>
          <w:rtl/>
        </w:rPr>
        <w:t>(</w:t>
      </w:r>
      <w:r w:rsidRPr="002E340A">
        <w:rPr>
          <w:rtl/>
        </w:rPr>
        <w:t>הכ</w:t>
      </w:r>
      <w:r w:rsidRPr="002E340A">
        <w:rPr>
          <w:rFonts w:hint="cs"/>
          <w:rtl/>
        </w:rPr>
        <w:t>"</w:t>
      </w:r>
      <w:r w:rsidRPr="002E340A">
        <w:rPr>
          <w:rtl/>
        </w:rPr>
        <w:t>ו</w:t>
      </w:r>
      <w:r w:rsidRPr="002E340A">
        <w:rPr>
          <w:rFonts w:hint="cs"/>
          <w:rtl/>
        </w:rPr>
        <w:t>)</w:t>
      </w:r>
      <w:r w:rsidRPr="002E340A">
        <w:rPr>
          <w:rtl/>
        </w:rPr>
        <w:t xml:space="preserve"> וז"ל אין מ</w:t>
      </w:r>
      <w:r w:rsidRPr="002E340A">
        <w:rPr>
          <w:rFonts w:hint="cs"/>
          <w:rtl/>
        </w:rPr>
        <w:t>ח</w:t>
      </w:r>
      <w:r w:rsidRPr="002E340A">
        <w:rPr>
          <w:rtl/>
        </w:rPr>
        <w:t xml:space="preserve">זירין מנורה של חוליות ולא כסא המפוצל ולא שולחן המפוצל וכיוצא בהן מפני שנראה כבונה ואם החזיר פטור שאין בנין וכו' </w:t>
      </w:r>
      <w:r w:rsidRPr="002E340A">
        <w:rPr>
          <w:rFonts w:hint="cs"/>
          <w:rtl/>
        </w:rPr>
        <w:t>ד</w:t>
      </w:r>
      <w:r w:rsidRPr="002E340A">
        <w:rPr>
          <w:rtl/>
        </w:rPr>
        <w:t xml:space="preserve">אם היה רפוי מותר להחזירו עכ"ל ופירש מגיד משנה מפורש בגמרא </w:t>
      </w:r>
      <w:r w:rsidRPr="002E340A">
        <w:rPr>
          <w:rFonts w:hint="cs"/>
          <w:rtl/>
        </w:rPr>
        <w:t>(</w:t>
      </w:r>
      <w:r w:rsidRPr="002E340A">
        <w:rPr>
          <w:rtl/>
        </w:rPr>
        <w:t>מז</w:t>
      </w:r>
      <w:r w:rsidRPr="002E340A">
        <w:rPr>
          <w:rFonts w:hint="cs"/>
          <w:rtl/>
        </w:rPr>
        <w:t>:)</w:t>
      </w:r>
      <w:r w:rsidRPr="002E340A">
        <w:rPr>
          <w:rtl/>
        </w:rPr>
        <w:t xml:space="preserve"> והלכות </w:t>
      </w:r>
      <w:r w:rsidRPr="002E340A">
        <w:rPr>
          <w:rFonts w:hint="cs"/>
          <w:rtl/>
        </w:rPr>
        <w:t>(</w:t>
      </w:r>
      <w:r w:rsidRPr="002E340A">
        <w:rPr>
          <w:rtl/>
        </w:rPr>
        <w:t>כא</w:t>
      </w:r>
      <w:r w:rsidRPr="002E340A">
        <w:rPr>
          <w:rFonts w:hint="cs"/>
          <w:rtl/>
        </w:rPr>
        <w:t>:)</w:t>
      </w:r>
      <w:r w:rsidRPr="002E340A">
        <w:rPr>
          <w:rtl/>
        </w:rPr>
        <w:t xml:space="preserve"> כר' שמעון בן גמליאל דאמר אם היה רפוי מותר כיון שאין צריך כח ואמנות עכ</w:t>
      </w:r>
      <w:r w:rsidRPr="002E340A">
        <w:rPr>
          <w:rFonts w:hint="cs"/>
          <w:rtl/>
        </w:rPr>
        <w:t>"</w:t>
      </w:r>
      <w:r w:rsidRPr="002E340A">
        <w:rPr>
          <w:rtl/>
        </w:rPr>
        <w:t>ל ואם כן הא דאמר רב יהודה אמר רב מסיקין בכלים מיירי כשהיה רפוי ודו</w:t>
      </w:r>
      <w:r w:rsidRPr="002E340A">
        <w:rPr>
          <w:rFonts w:hint="cs"/>
          <w:rtl/>
        </w:rPr>
        <w:t>"</w:t>
      </w:r>
      <w:r w:rsidRPr="002E340A">
        <w:rPr>
          <w:rtl/>
        </w:rPr>
        <w:t>ק</w:t>
      </w:r>
      <w:r w:rsidRPr="002E340A">
        <w:rPr>
          <w:rFonts w:hint="cs"/>
          <w:rtl/>
        </w:rPr>
        <w:t>.</w:t>
      </w:r>
    </w:p>
    <w:p w14:paraId="78EFBB71" w14:textId="77777777" w:rsidR="003E1AA3" w:rsidRPr="00BC7DC8" w:rsidRDefault="003E1AA3" w:rsidP="003E1AA3">
      <w:pPr>
        <w:pStyle w:val="afffffe"/>
        <w:rPr>
          <w:vanish/>
          <w:rtl/>
        </w:rPr>
      </w:pPr>
      <w:r w:rsidRPr="00BC7DC8">
        <w:rPr>
          <w:vanish/>
          <w:rtl/>
        </w:rPr>
        <w:t>אור שמח שבת פכ"ג ה"ב</w:t>
      </w:r>
    </w:p>
    <w:p w14:paraId="1FF6E453" w14:textId="77777777" w:rsidR="003E1AA3" w:rsidRPr="002E340A" w:rsidRDefault="003E1AA3" w:rsidP="003E1AA3">
      <w:pPr>
        <w:pStyle w:val="afffff5"/>
        <w:rPr>
          <w:rtl/>
        </w:rPr>
      </w:pPr>
      <w:r w:rsidRPr="002E340A">
        <w:rPr>
          <w:rtl/>
        </w:rPr>
        <w:t>הגמה"מ אות א', וכן מדאמר רב יהודא כו' מסיקין בכלים ע"ש.</w:t>
      </w:r>
    </w:p>
    <w:p w14:paraId="5DA20ACF" w14:textId="77777777" w:rsidR="003E1AA3" w:rsidRPr="002E340A" w:rsidRDefault="003E1AA3" w:rsidP="003E1AA3">
      <w:pPr>
        <w:pStyle w:val="afffff5"/>
      </w:pPr>
      <w:r w:rsidRPr="002E340A">
        <w:rPr>
          <w:rtl/>
        </w:rPr>
        <w:t>ולפלא איך שייך זה לסתירה, כיון שמבערו לגמרי, ואף דאשכחן להירושלמי במקטיר אימורין דמחייב משום מבשל, אף על גב שמבערן לגמרי, יעוין פרק במה מדליקין (שבת פ"ב) הלכה ה', הא מפרש תמן מה בישול יש כאן, מכיון שהוא רוצה בעיכולן כמבשל הוא, וטעמא, דאיברים שצלאן והעלן ע"ג המזבח אין בהם משום ריח ניחוח, וצריך להיות נעכל ע"ג המזבח, ובשרירי חצות עושה בהן עיכול, אבל כאן במבעיר שיקרא סותר לא שמענו, והוי כמבעיר ספר האם נאמר דחייב משום מוחק, ולדוגמא אשכחן (פסחים פד, ב) דשורף בעצמות אין בו משום שבירת עצם בפסח, דשורף אינו שובר, כמו כן אינו סותר לענין שבת, ויפלא, ויעוין מגן אברהם סימן תק"א.</w:t>
      </w:r>
    </w:p>
    <w:p w14:paraId="2C858C0E" w14:textId="77777777" w:rsidR="003E1AA3" w:rsidRDefault="003E1AA3" w:rsidP="003E1AA3">
      <w:pPr>
        <w:pStyle w:val="affff5"/>
        <w:rPr>
          <w:rtl/>
        </w:rPr>
      </w:pPr>
      <w:bookmarkStart w:id="5437" w:name="_Toc145233893"/>
      <w:r>
        <w:rPr>
          <w:rFonts w:hint="cs"/>
          <w:rtl/>
        </w:rPr>
        <w:t>הסוברים דלרב ושמואל יש בנין בכלים</w:t>
      </w:r>
      <w:bookmarkEnd w:id="5437"/>
      <w:r>
        <w:rPr>
          <w:rFonts w:hint="cs"/>
          <w:rtl/>
        </w:rPr>
        <w:t xml:space="preserve"> </w:t>
      </w:r>
      <w:r w:rsidRPr="0033376C">
        <w:rPr>
          <w:vanish/>
          <w:rtl/>
        </w:rPr>
        <w:t>&lt; # =</w:t>
      </w:r>
    </w:p>
    <w:p w14:paraId="1A5ABB4C" w14:textId="77777777" w:rsidR="003E1AA3" w:rsidRPr="002060A1" w:rsidRDefault="003E1AA3" w:rsidP="003E1AA3">
      <w:pPr>
        <w:pStyle w:val="1"/>
        <w:rPr>
          <w:rtl/>
        </w:rPr>
      </w:pPr>
      <w:bookmarkStart w:id="5438" w:name="_Toc145233894"/>
      <w:r>
        <w:rPr>
          <w:rFonts w:hint="cs"/>
          <w:rtl/>
        </w:rPr>
        <w:t>בי' ר"ח ורה"ג דקיי"ל כרב ושמואל דיש בנין בכלים</w:t>
      </w:r>
      <w:bookmarkEnd w:id="5438"/>
    </w:p>
    <w:p w14:paraId="25D00DA8" w14:textId="77777777" w:rsidR="003E1AA3" w:rsidRPr="00FC269C" w:rsidRDefault="003E1AA3" w:rsidP="003E1AA3">
      <w:pPr>
        <w:pStyle w:val="afffff7"/>
        <w:rPr>
          <w:rtl/>
        </w:rPr>
      </w:pPr>
      <w:bookmarkStart w:id="5439" w:name="_Toc145234012"/>
      <w:bookmarkStart w:id="5440" w:name="_Toc163506270"/>
      <w:bookmarkEnd w:id="5398"/>
      <w:r w:rsidRPr="00FC269C">
        <w:rPr>
          <w:rtl/>
        </w:rPr>
        <w:t>רבינו חננאל שבת ק"ג ע"ב</w:t>
      </w:r>
      <w:r w:rsidRPr="00FC269C">
        <w:rPr>
          <w:rFonts w:hint="cs"/>
          <w:rtl/>
        </w:rPr>
        <w:t xml:space="preserve"> ד"ה וכן מכניס</w:t>
      </w:r>
      <w:bookmarkEnd w:id="5439"/>
      <w:bookmarkEnd w:id="5440"/>
    </w:p>
    <w:p w14:paraId="39A89E9A" w14:textId="77777777" w:rsidR="003E1AA3" w:rsidRDefault="003E1AA3" w:rsidP="003E1AA3">
      <w:pPr>
        <w:pStyle w:val="a7"/>
        <w:rPr>
          <w:rtl/>
        </w:rPr>
      </w:pPr>
      <w:bookmarkStart w:id="5441" w:name="_Toc145233895"/>
      <w:r>
        <w:rPr>
          <w:rFonts w:hint="cs"/>
          <w:rtl/>
        </w:rPr>
        <w:t>בי' ר"ח דרב ס"ל במעייל שופתא דחייב משום בונה וכן מבו' לעיל במטה של טרסיים וכן קיי"ל</w:t>
      </w:r>
      <w:bookmarkEnd w:id="5441"/>
    </w:p>
    <w:p w14:paraId="14D9591B" w14:textId="54191EDC" w:rsidR="003E1AA3" w:rsidRPr="00D16DC6" w:rsidRDefault="003E1AA3" w:rsidP="00BC7DC8">
      <w:pPr>
        <w:pStyle w:val="a3"/>
        <w:rPr>
          <w:rtl/>
        </w:rPr>
      </w:pPr>
      <w:bookmarkStart w:id="5442" w:name="_Ref143771806"/>
      <w:r>
        <w:rPr>
          <w:rFonts w:hint="cs"/>
          <w:rtl/>
        </w:rPr>
        <w:t xml:space="preserve">בדעת רב דמחייב במעייל שופתא בקופינא משום בונה, ביאר </w:t>
      </w:r>
      <w:r w:rsidRPr="00030A4D">
        <w:rPr>
          <w:rFonts w:hint="cs"/>
          <w:vanish/>
          <w:rtl/>
        </w:rPr>
        <w:t xml:space="preserve">&lt;, </w:t>
      </w:r>
      <w:r w:rsidRPr="00030A4D">
        <w:rPr>
          <w:vanish/>
          <w:rtl/>
        </w:rPr>
        <w:fldChar w:fldCharType="begin"/>
      </w:r>
      <w:r w:rsidRPr="00030A4D">
        <w:rPr>
          <w:vanish/>
          <w:rtl/>
        </w:rPr>
        <w:instrText xml:space="preserve"> </w:instrText>
      </w:r>
      <w:r w:rsidRPr="00030A4D">
        <w:rPr>
          <w:rFonts w:hint="cs"/>
          <w:vanish/>
        </w:rPr>
        <w:instrText>REF</w:instrText>
      </w:r>
      <w:r w:rsidRPr="00030A4D">
        <w:rPr>
          <w:rFonts w:hint="cs"/>
          <w:vanish/>
          <w:rtl/>
        </w:rPr>
        <w:instrText xml:space="preserve"> _</w:instrText>
      </w:r>
      <w:r w:rsidRPr="00030A4D">
        <w:rPr>
          <w:rFonts w:hint="cs"/>
          <w:vanish/>
        </w:rPr>
        <w:instrText>Ref143771806 \r \h</w:instrText>
      </w:r>
      <w:r w:rsidRPr="00030A4D">
        <w:rPr>
          <w:vanish/>
          <w:rtl/>
        </w:rPr>
        <w:instrText xml:space="preserve"> </w:instrText>
      </w:r>
      <w:r w:rsidRPr="00030A4D">
        <w:rPr>
          <w:vanish/>
          <w:rtl/>
        </w:rPr>
      </w:r>
      <w:r w:rsidRPr="00030A4D">
        <w:rPr>
          <w:vanish/>
          <w:rtl/>
        </w:rPr>
        <w:fldChar w:fldCharType="separate"/>
      </w:r>
      <w:r w:rsidR="00D82181">
        <w:rPr>
          <w:vanish/>
          <w:cs/>
        </w:rPr>
        <w:t>‎</w:t>
      </w:r>
      <w:r w:rsidR="00D82181">
        <w:rPr>
          <w:vanish/>
          <w:rtl/>
        </w:rPr>
        <w:t>יא)</w:t>
      </w:r>
      <w:r w:rsidRPr="00030A4D">
        <w:rPr>
          <w:vanish/>
          <w:rtl/>
        </w:rPr>
        <w:fldChar w:fldCharType="end"/>
      </w:r>
      <w:r w:rsidRPr="00030A4D">
        <w:rPr>
          <w:rFonts w:hint="cs"/>
          <w:vanish/>
          <w:rtl/>
        </w:rPr>
        <w:t xml:space="preserve"> &gt;</w:t>
      </w:r>
      <w:r w:rsidRPr="00030A4D">
        <w:rPr>
          <w:rStyle w:val="aff4"/>
          <w:rFonts w:hint="cs"/>
          <w:vanish/>
          <w:rtl/>
        </w:rPr>
        <w:t>-</w:t>
      </w:r>
      <w:r w:rsidRPr="00ED6CBD">
        <w:rPr>
          <w:rStyle w:val="aff4"/>
          <w:rFonts w:hint="cs"/>
          <w:rtl/>
        </w:rPr>
        <w:t>ר"ח</w:t>
      </w:r>
      <w:r w:rsidRPr="00030A4D">
        <w:rPr>
          <w:rStyle w:val="aff4"/>
          <w:rFonts w:hint="cs"/>
          <w:vanish/>
          <w:rtl/>
        </w:rPr>
        <w:t>-</w:t>
      </w:r>
      <w:r>
        <w:rPr>
          <w:rFonts w:hint="cs"/>
          <w:rtl/>
        </w:rPr>
        <w:t xml:space="preserve"> </w:t>
      </w:r>
      <w:r w:rsidRPr="00C962CD">
        <w:rPr>
          <w:rStyle w:val="af2"/>
          <w:rFonts w:eastAsia="Guttman Hodes" w:hint="cs"/>
          <w:rtl/>
        </w:rPr>
        <w:t>(ד"ה וכן מכניס)</w:t>
      </w:r>
      <w:r w:rsidRPr="00030A4D">
        <w:rPr>
          <w:rFonts w:hint="cs"/>
          <w:vanish/>
          <w:rtl/>
        </w:rPr>
        <w:t>=</w:t>
      </w:r>
      <w:r>
        <w:rPr>
          <w:rFonts w:hint="cs"/>
          <w:rtl/>
        </w:rPr>
        <w:t xml:space="preserve"> דס"ל דיש בנין בכלים, ושמואל דמחייב משום מכה בפטיש ס"ל דאין בנין בכלים, והביא </w:t>
      </w:r>
      <w:r w:rsidRPr="00030A4D">
        <w:rPr>
          <w:rStyle w:val="aff4"/>
          <w:rFonts w:hint="cs"/>
          <w:vanish/>
          <w:rtl/>
        </w:rPr>
        <w:t>-</w:t>
      </w:r>
      <w:r w:rsidRPr="00ED6CBD">
        <w:rPr>
          <w:rStyle w:val="aff4"/>
          <w:rFonts w:hint="cs"/>
          <w:rtl/>
        </w:rPr>
        <w:t>ר"ח</w:t>
      </w:r>
      <w:r w:rsidRPr="00030A4D">
        <w:rPr>
          <w:rStyle w:val="aff4"/>
          <w:rFonts w:hint="cs"/>
          <w:vanish/>
          <w:rtl/>
        </w:rPr>
        <w:t>-</w:t>
      </w:r>
      <w:r>
        <w:rPr>
          <w:rFonts w:hint="cs"/>
          <w:rtl/>
        </w:rPr>
        <w:t xml:space="preserve"> דבגמ' לעיל </w:t>
      </w:r>
      <w:r w:rsidRPr="00C962CD">
        <w:rPr>
          <w:rStyle w:val="af2"/>
          <w:rFonts w:eastAsia="Guttman Hodes" w:hint="cs"/>
          <w:rtl/>
        </w:rPr>
        <w:t>(מז.)</w:t>
      </w:r>
      <w:r>
        <w:rPr>
          <w:rFonts w:hint="cs"/>
          <w:rtl/>
        </w:rPr>
        <w:t xml:space="preserve"> מבואר כרב דיש בנין בכלים במיטה של טרסיים דבתקע בחוזק חייב וברפוי מותר, ופשיטא לרבנן בתראי דהחיוב הוא משום בונה, וכתב </w:t>
      </w:r>
      <w:r w:rsidRPr="00030A4D">
        <w:rPr>
          <w:rStyle w:val="aff4"/>
          <w:rFonts w:hint="cs"/>
          <w:vanish/>
          <w:rtl/>
        </w:rPr>
        <w:t>-</w:t>
      </w:r>
      <w:r w:rsidRPr="00ED6CBD">
        <w:rPr>
          <w:rStyle w:val="aff4"/>
          <w:rFonts w:hint="cs"/>
          <w:rtl/>
        </w:rPr>
        <w:t>ר"ח</w:t>
      </w:r>
      <w:r w:rsidRPr="00030A4D">
        <w:rPr>
          <w:rStyle w:val="aff4"/>
          <w:rFonts w:hint="cs"/>
          <w:vanish/>
          <w:rtl/>
        </w:rPr>
        <w:t>-</w:t>
      </w:r>
      <w:r>
        <w:rPr>
          <w:rFonts w:hint="cs"/>
          <w:rtl/>
        </w:rPr>
        <w:t xml:space="preserve"> דקיי"ל כרב דחייב משום בונה בג' המחלוקות דרב ושמואל.</w:t>
      </w:r>
      <w:bookmarkEnd w:id="5442"/>
    </w:p>
    <w:p w14:paraId="713C2E82" w14:textId="77777777" w:rsidR="003E1AA3" w:rsidRPr="00BC7DC8" w:rsidRDefault="003E1AA3" w:rsidP="003E1AA3">
      <w:pPr>
        <w:pStyle w:val="afffffe"/>
        <w:rPr>
          <w:vanish/>
          <w:rtl/>
        </w:rPr>
      </w:pPr>
      <w:r w:rsidRPr="00BC7DC8">
        <w:rPr>
          <w:vanish/>
          <w:rtl/>
        </w:rPr>
        <w:t>רבינו חננאל שבת ק"ג ע"ב</w:t>
      </w:r>
      <w:r w:rsidRPr="00BC7DC8">
        <w:rPr>
          <w:rFonts w:hint="cs"/>
          <w:vanish/>
          <w:rtl/>
        </w:rPr>
        <w:t xml:space="preserve"> ד"ה וכן מכניס</w:t>
      </w:r>
    </w:p>
    <w:p w14:paraId="2CD118EE" w14:textId="77777777" w:rsidR="003E1AA3" w:rsidRPr="00FC2169" w:rsidRDefault="003E1AA3" w:rsidP="003E1AA3">
      <w:pPr>
        <w:pStyle w:val="a2"/>
        <w:tabs>
          <w:tab w:val="num" w:pos="284"/>
        </w:tabs>
        <w:rPr>
          <w:rtl/>
        </w:rPr>
      </w:pPr>
      <w:r w:rsidRPr="0018388A">
        <w:rPr>
          <w:rtl/>
        </w:rPr>
        <w:t xml:space="preserve">וכן מכניס ידי הקורדום (בעשהו) אף על פי שכלי הוא רב סבר דיש בנין בכלים ושמואל סבר אין בנין בכלים </w:t>
      </w:r>
      <w:r w:rsidRPr="00FC2169">
        <w:rPr>
          <w:rStyle w:val="afff7"/>
          <w:rtl/>
        </w:rPr>
        <w:t xml:space="preserve">וגרסינן בכלל גדול משום דרבי יהושע כן כי המסתת חייב משום מכה בפטיש כשמואל ומותבינן לשמואל מהא דתניא הקודח כל שהוא חייב בשלמא לרב דאמר משום בונה היינו דחייב הקודח דמחזי כמי שעושה חור בכותל כדי לבנות שם בנין ותולדת בנין הוא. אלא לשמואל דמחייב הנוקב משום מכה בפטיש שהוא גמר מלאכ' מאי [גמר] מלאכה איכא בקודח והלא הנוקב צריך לקבוע באותו [הנקב] מסמר נמצאת קביעת המסמר הוא הגמר מלאכה ומשני כגון שקדח ברימצא פי' במקדח והניח המקדח במקום שקדח במסמר קבוע באותו העץ שקדח כדי לחזקו שזהו גמר מלאכתו </w:t>
      </w:r>
      <w:r w:rsidRPr="00FC2169">
        <w:rPr>
          <w:rtl/>
        </w:rPr>
        <w:t>ואשכחן סוגיא דשמעתא בענין המחזיר מטה של טרסיים בשבת (לעיל ד' מז) כרב דסבר עיולי שופתא בקופינא והוא יד הקורדום בנקבו שהוא כ</w:t>
      </w:r>
      <w:r w:rsidRPr="00FC2169">
        <w:rPr>
          <w:rtl/>
        </w:rPr>
        <w:tab/>
        <w:t>החזרת מלבנות המטה ורב ושמואל דאמרי תרווייהו [התם] המחזיר מטה של טרסיים בשבת חייב חטאת ומותבינן [מהא] המחזיר קנה מנורה בשבת חייב חטאת קנה של ציידין לא יחזיר ואם החזיר פטור. ר' הימאי אמר המרכיב קרן עגולה חייב קרן פשוטה פטור ופרקינן הוא דאמר כי האי תנא מלבנות המטה וכרעי המטה ולוחים של סקבס לא יחזיר ואם החזיר פטור אבל אסור לא יתקע ואם תקע חייב רשבג"א אם היה רפוי מותר ופשיטא לרבנן בתראי דהני כולהו משום בונה אינון. ומשום הכי מתרינן במן דעביד להו דאמרינן בי רב חמא הואי ההוא מטה גוליתא דהוו מהדרי ליה בשבתא. א"ל ההוא מרבנן לרב חמא מ"ט שריין דמשום בנין מן הצד הוא ונהי דאיסורא דאורייתא ליכא איסורא מדרבנן [מיהא] איכא א"ל אנא כרבן שמעון ב"ג סברי לי דאמר אם היה רפוי מותר וגרסינן בירושלמי קנה מנורה למה הוא חייב. ר' אבהו בש"ר יוחנן ורב הונא תרווייהו אמרו משום בונה וקי"ל בהני כולהו כרב</w:t>
      </w:r>
      <w:r w:rsidRPr="00FC2169">
        <w:rPr>
          <w:rFonts w:hint="cs"/>
          <w:rtl/>
        </w:rPr>
        <w:t>.</w:t>
      </w:r>
    </w:p>
    <w:p w14:paraId="6CB624EC" w14:textId="77777777" w:rsidR="003E1AA3" w:rsidRPr="00FC269C" w:rsidRDefault="003E1AA3" w:rsidP="003E1AA3">
      <w:pPr>
        <w:pStyle w:val="afffff7"/>
        <w:rPr>
          <w:rtl/>
        </w:rPr>
      </w:pPr>
      <w:bookmarkStart w:id="5443" w:name="_Toc145234013"/>
      <w:bookmarkStart w:id="5444" w:name="_Toc163506271"/>
      <w:r w:rsidRPr="00FC269C">
        <w:rPr>
          <w:rtl/>
        </w:rPr>
        <w:t>חדושי הרשב"א שבת ק"ב ע"ב</w:t>
      </w:r>
      <w:r w:rsidRPr="00FC269C">
        <w:rPr>
          <w:rFonts w:hint="cs"/>
          <w:rtl/>
        </w:rPr>
        <w:t xml:space="preserve"> ד"ה ורבינו האיי</w:t>
      </w:r>
      <w:bookmarkEnd w:id="5443"/>
      <w:bookmarkEnd w:id="5444"/>
    </w:p>
    <w:p w14:paraId="22B34FFF" w14:textId="77777777" w:rsidR="003E1AA3" w:rsidRPr="00FC2169" w:rsidRDefault="003E1AA3" w:rsidP="003E1AA3">
      <w:pPr>
        <w:pStyle w:val="a7"/>
        <w:rPr>
          <w:rtl/>
        </w:rPr>
      </w:pPr>
      <w:bookmarkStart w:id="5445" w:name="_Toc145233896"/>
      <w:r w:rsidRPr="00FC2169">
        <w:rPr>
          <w:rFonts w:hint="cs"/>
          <w:rtl/>
        </w:rPr>
        <w:t>בי' רה"ג דלרב יש בנין בכלים וכן ס"ל בדעת ב"ה ורק זקיפה ל"ה בנין וכן דעת ריו"ח וכן קיי"ל</w:t>
      </w:r>
      <w:bookmarkEnd w:id="5445"/>
    </w:p>
    <w:p w14:paraId="5410B098" w14:textId="50D73197" w:rsidR="003E1AA3" w:rsidRDefault="003E1AA3" w:rsidP="00BC7DC8">
      <w:pPr>
        <w:pStyle w:val="a3"/>
        <w:rPr>
          <w:rtl/>
        </w:rPr>
      </w:pPr>
      <w:bookmarkStart w:id="5446" w:name="_Ref144326832"/>
      <w:r>
        <w:rPr>
          <w:rFonts w:hint="cs"/>
          <w:rtl/>
        </w:rPr>
        <w:t xml:space="preserve">וכן הביא </w:t>
      </w:r>
      <w:r w:rsidRPr="002466FD">
        <w:rPr>
          <w:rFonts w:hint="cs"/>
          <w:b/>
          <w:bCs/>
          <w:rtl/>
        </w:rPr>
        <w:t>ה</w:t>
      </w:r>
      <w:r w:rsidRPr="002466FD">
        <w:rPr>
          <w:rFonts w:hint="cs"/>
          <w:b/>
          <w:bCs/>
          <w:vanish/>
          <w:rtl/>
        </w:rPr>
        <w:t xml:space="preserve">&lt;, </w:t>
      </w:r>
      <w:r w:rsidRPr="002466FD">
        <w:rPr>
          <w:b/>
          <w:bCs/>
          <w:vanish/>
          <w:rtl/>
        </w:rPr>
        <w:fldChar w:fldCharType="begin"/>
      </w:r>
      <w:r w:rsidRPr="002466FD">
        <w:rPr>
          <w:b/>
          <w:bCs/>
          <w:vanish/>
          <w:rtl/>
        </w:rPr>
        <w:instrText xml:space="preserve"> </w:instrText>
      </w:r>
      <w:r w:rsidRPr="002466FD">
        <w:rPr>
          <w:rFonts w:hint="cs"/>
          <w:b/>
          <w:bCs/>
          <w:vanish/>
        </w:rPr>
        <w:instrText>REF</w:instrText>
      </w:r>
      <w:r w:rsidRPr="002466FD">
        <w:rPr>
          <w:rFonts w:hint="cs"/>
          <w:b/>
          <w:bCs/>
          <w:vanish/>
          <w:rtl/>
        </w:rPr>
        <w:instrText xml:space="preserve"> _</w:instrText>
      </w:r>
      <w:r w:rsidRPr="002466FD">
        <w:rPr>
          <w:rFonts w:hint="cs"/>
          <w:b/>
          <w:bCs/>
          <w:vanish/>
        </w:rPr>
        <w:instrText>Ref144326832 \r \h</w:instrText>
      </w:r>
      <w:r w:rsidRPr="002466FD">
        <w:rPr>
          <w:b/>
          <w:bCs/>
          <w:vanish/>
          <w:rtl/>
        </w:rPr>
        <w:instrText xml:space="preserve">  \* </w:instrText>
      </w:r>
      <w:r w:rsidRPr="002466FD">
        <w:rPr>
          <w:b/>
          <w:bCs/>
          <w:vanish/>
        </w:rPr>
        <w:instrText>MERGEFORMAT</w:instrText>
      </w:r>
      <w:r w:rsidRPr="002466FD">
        <w:rPr>
          <w:b/>
          <w:bCs/>
          <w:vanish/>
          <w:rtl/>
        </w:rPr>
        <w:instrText xml:space="preserve"> </w:instrText>
      </w:r>
      <w:r w:rsidRPr="002466FD">
        <w:rPr>
          <w:b/>
          <w:bCs/>
          <w:vanish/>
          <w:rtl/>
        </w:rPr>
      </w:r>
      <w:r w:rsidRPr="002466FD">
        <w:rPr>
          <w:b/>
          <w:bCs/>
          <w:vanish/>
          <w:rtl/>
        </w:rPr>
        <w:fldChar w:fldCharType="separate"/>
      </w:r>
      <w:r w:rsidR="00D82181">
        <w:rPr>
          <w:b/>
          <w:bCs/>
          <w:vanish/>
          <w:cs/>
        </w:rPr>
        <w:t>‎</w:t>
      </w:r>
      <w:r w:rsidR="00D82181">
        <w:rPr>
          <w:b/>
          <w:bCs/>
          <w:vanish/>
          <w:rtl/>
        </w:rPr>
        <w:t>יב)</w:t>
      </w:r>
      <w:r w:rsidRPr="002466FD">
        <w:rPr>
          <w:b/>
          <w:bCs/>
          <w:vanish/>
          <w:rtl/>
        </w:rPr>
        <w:fldChar w:fldCharType="end"/>
      </w:r>
      <w:r w:rsidRPr="002466FD">
        <w:rPr>
          <w:rFonts w:hint="cs"/>
          <w:b/>
          <w:bCs/>
          <w:vanish/>
          <w:rtl/>
        </w:rPr>
        <w:t xml:space="preserve"> &gt;</w:t>
      </w:r>
      <w:r w:rsidRPr="002466FD">
        <w:rPr>
          <w:rFonts w:hint="cs"/>
          <w:b/>
          <w:bCs/>
          <w:rtl/>
        </w:rPr>
        <w:t>רשב"א</w:t>
      </w:r>
      <w:r>
        <w:rPr>
          <w:rtl/>
        </w:rPr>
        <w:t xml:space="preserve"> </w:t>
      </w:r>
      <w:r w:rsidRPr="002466FD">
        <w:rPr>
          <w:rStyle w:val="af2"/>
          <w:rFonts w:eastAsia="Guttman Hodes" w:hint="cs"/>
          <w:rtl/>
        </w:rPr>
        <w:t>(ד"ה ורבינו האיי)</w:t>
      </w:r>
      <w:r w:rsidRPr="002466FD">
        <w:rPr>
          <w:rFonts w:hint="cs"/>
          <w:vanish/>
          <w:rtl/>
        </w:rPr>
        <w:t>=</w:t>
      </w:r>
      <w:r>
        <w:rPr>
          <w:rFonts w:hint="cs"/>
          <w:rtl/>
        </w:rPr>
        <w:t xml:space="preserve"> בשם</w:t>
      </w:r>
      <w:r w:rsidRPr="002466FD">
        <w:rPr>
          <w:b/>
          <w:bCs/>
          <w:rtl/>
        </w:rPr>
        <w:t xml:space="preserve"> </w:t>
      </w:r>
      <w:r w:rsidRPr="002466FD">
        <w:rPr>
          <w:rFonts w:hint="cs"/>
          <w:b/>
          <w:bCs/>
          <w:rtl/>
        </w:rPr>
        <w:t>רב האי גאון</w:t>
      </w:r>
      <w:bookmarkEnd w:id="5446"/>
      <w:r>
        <w:rPr>
          <w:rFonts w:hint="cs"/>
          <w:rtl/>
        </w:rPr>
        <w:t xml:space="preserve"> דכתב דרב מחייב בבונה דס"ל דיש בנין בכלים, וכתב </w:t>
      </w:r>
      <w:r w:rsidRPr="002466FD">
        <w:rPr>
          <w:rStyle w:val="aff4"/>
          <w:rFonts w:hint="cs"/>
          <w:vanish/>
          <w:rtl/>
        </w:rPr>
        <w:t>-</w:t>
      </w:r>
      <w:r w:rsidRPr="00C07E8C">
        <w:rPr>
          <w:rStyle w:val="aff4"/>
          <w:rFonts w:hint="cs"/>
          <w:rtl/>
        </w:rPr>
        <w:t>הרשב"א</w:t>
      </w:r>
      <w:r w:rsidRPr="002466FD">
        <w:rPr>
          <w:rStyle w:val="aff4"/>
          <w:rFonts w:hint="cs"/>
          <w:vanish/>
          <w:rtl/>
        </w:rPr>
        <w:t>-</w:t>
      </w:r>
      <w:r>
        <w:rPr>
          <w:rFonts w:hint="cs"/>
          <w:rtl/>
        </w:rPr>
        <w:t xml:space="preserve"> דא"כ צ"ל דלרב הא דהתירו ב"ה לזקוף מנורה ביו"ט אינו כיון דס"ל דאין בנין בכלים, כדאיתא בגמ' בביצה </w:t>
      </w:r>
      <w:r w:rsidRPr="002466FD">
        <w:rPr>
          <w:rStyle w:val="af2"/>
          <w:rFonts w:eastAsia="Guttman Hodes" w:hint="cs"/>
          <w:rtl/>
        </w:rPr>
        <w:t>(כא.)</w:t>
      </w:r>
      <w:r>
        <w:rPr>
          <w:rFonts w:hint="cs"/>
          <w:rtl/>
        </w:rPr>
        <w:t xml:space="preserve">, אלא דאף לב"ה יש בנין בכלים וס"ל דזקיפת מנורה אינו בנין כיון שלא התפרקה, וכן דעת ריו"ח בגמ' לעיל </w:t>
      </w:r>
      <w:r w:rsidRPr="002466FD">
        <w:rPr>
          <w:rStyle w:val="af2"/>
          <w:rFonts w:eastAsia="Guttman Hodes" w:hint="cs"/>
          <w:rtl/>
        </w:rPr>
        <w:t>(מו.)</w:t>
      </w:r>
      <w:r>
        <w:rPr>
          <w:rFonts w:hint="cs"/>
          <w:rtl/>
        </w:rPr>
        <w:t xml:space="preserve"> דיש בנין בכלים, ולכן אסר לטלטל בשבת מנורה של חוליות שמא תתפרק ויחזירה, </w:t>
      </w:r>
      <w:r w:rsidRPr="00A30C58">
        <w:rPr>
          <w:rStyle w:val="af"/>
          <w:rFonts w:hint="cs"/>
          <w:rtl/>
        </w:rPr>
        <w:t>[וכדכתב</w:t>
      </w:r>
      <w:r>
        <w:rPr>
          <w:rFonts w:hint="cs"/>
          <w:rtl/>
        </w:rPr>
        <w:t xml:space="preserve"> </w:t>
      </w:r>
      <w:r w:rsidRPr="002466FD">
        <w:rPr>
          <w:rStyle w:val="aff9"/>
          <w:rFonts w:hint="cs"/>
          <w:vanish/>
          <w:rtl/>
        </w:rPr>
        <w:t>-</w:t>
      </w:r>
      <w:r w:rsidRPr="00D12047">
        <w:rPr>
          <w:rStyle w:val="aff9"/>
          <w:rFonts w:hint="cs"/>
          <w:rtl/>
        </w:rPr>
        <w:t>הרשב"א</w:t>
      </w:r>
      <w:r w:rsidRPr="002466FD">
        <w:rPr>
          <w:rStyle w:val="aff9"/>
          <w:rFonts w:hint="cs"/>
          <w:vanish/>
          <w:rtl/>
        </w:rPr>
        <w:t>-</w:t>
      </w:r>
      <w:r>
        <w:rPr>
          <w:rFonts w:hint="cs"/>
          <w:rtl/>
        </w:rPr>
        <w:t xml:space="preserve"> </w:t>
      </w:r>
      <w:r>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Ref145016827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לט)</w:t>
      </w:r>
      <w:r>
        <w:rPr>
          <w:rStyle w:val="aff0"/>
          <w:rtl/>
        </w:rPr>
        <w:fldChar w:fldCharType="end"/>
      </w:r>
      <w:r>
        <w:rPr>
          <w:rStyle w:val="aff0"/>
          <w:rFonts w:hint="cs"/>
          <w:rtl/>
        </w:rPr>
        <w:t xml:space="preserve"> </w:t>
      </w:r>
      <w:r w:rsidRPr="00A30C58">
        <w:rPr>
          <w:rStyle w:val="af"/>
          <w:rFonts w:hint="cs"/>
          <w:rtl/>
        </w:rPr>
        <w:t>דלכן השמיטה</w:t>
      </w:r>
      <w:r>
        <w:rPr>
          <w:rFonts w:hint="cs"/>
          <w:rtl/>
        </w:rPr>
        <w:t xml:space="preserve"> </w:t>
      </w:r>
      <w:r w:rsidRPr="002466FD">
        <w:rPr>
          <w:rStyle w:val="aff9"/>
          <w:rFonts w:hint="cs"/>
          <w:vanish/>
          <w:rtl/>
        </w:rPr>
        <w:t>-</w:t>
      </w:r>
      <w:r w:rsidRPr="00D12047">
        <w:rPr>
          <w:rStyle w:val="aff9"/>
          <w:rFonts w:hint="cs"/>
          <w:rtl/>
        </w:rPr>
        <w:t>הרי"ף</w:t>
      </w:r>
      <w:r w:rsidRPr="002466FD">
        <w:rPr>
          <w:rStyle w:val="aff9"/>
          <w:rFonts w:hint="cs"/>
          <w:vanish/>
          <w:rtl/>
        </w:rPr>
        <w:t>-</w:t>
      </w:r>
      <w:r w:rsidRPr="00A30C58">
        <w:rPr>
          <w:rStyle w:val="af"/>
          <w:rFonts w:hint="cs"/>
          <w:rtl/>
        </w:rPr>
        <w:t>],</w:t>
      </w:r>
      <w:r>
        <w:rPr>
          <w:rFonts w:hint="cs"/>
          <w:rtl/>
        </w:rPr>
        <w:t xml:space="preserve"> וכתב </w:t>
      </w:r>
      <w:r w:rsidRPr="002466FD">
        <w:rPr>
          <w:rStyle w:val="aff4"/>
          <w:rFonts w:hint="cs"/>
          <w:vanish/>
          <w:rtl/>
        </w:rPr>
        <w:t>-</w:t>
      </w:r>
      <w:r w:rsidRPr="00C07E8C">
        <w:rPr>
          <w:rStyle w:val="aff4"/>
          <w:rFonts w:hint="cs"/>
          <w:rtl/>
        </w:rPr>
        <w:t>הרשב"א</w:t>
      </w:r>
      <w:r w:rsidRPr="002466FD">
        <w:rPr>
          <w:rStyle w:val="aff4"/>
          <w:rFonts w:hint="cs"/>
          <w:vanish/>
          <w:rtl/>
        </w:rPr>
        <w:t>-</w:t>
      </w:r>
      <w:r>
        <w:rPr>
          <w:rFonts w:hint="cs"/>
          <w:rtl/>
        </w:rPr>
        <w:t xml:space="preserve"> דזהו הביאור בהא דאמרינן בגמ' בביצה</w:t>
      </w:r>
      <w:r w:rsidRPr="00E51945">
        <w:rPr>
          <w:rStyle w:val="af2"/>
          <w:rFonts w:eastAsia="Guttman Hodes" w:hint="cs"/>
          <w:rtl/>
        </w:rPr>
        <w:t xml:space="preserve"> (י.) </w:t>
      </w:r>
      <w:r>
        <w:rPr>
          <w:rFonts w:hint="cs"/>
          <w:rtl/>
        </w:rPr>
        <w:t xml:space="preserve">מוחלפת השיטה, אך כתב </w:t>
      </w:r>
      <w:r w:rsidRPr="002466FD">
        <w:rPr>
          <w:rStyle w:val="aff4"/>
          <w:rFonts w:hint="cs"/>
          <w:vanish/>
          <w:rtl/>
        </w:rPr>
        <w:t>-</w:t>
      </w:r>
      <w:r w:rsidRPr="00C07E8C">
        <w:rPr>
          <w:rStyle w:val="aff4"/>
          <w:rFonts w:hint="cs"/>
          <w:rtl/>
        </w:rPr>
        <w:t>הרשב"א</w:t>
      </w:r>
      <w:r w:rsidRPr="002466FD">
        <w:rPr>
          <w:rStyle w:val="aff4"/>
          <w:rFonts w:hint="cs"/>
          <w:vanish/>
          <w:rtl/>
        </w:rPr>
        <w:t>-</w:t>
      </w:r>
      <w:r>
        <w:rPr>
          <w:rFonts w:hint="cs"/>
          <w:rtl/>
        </w:rPr>
        <w:t xml:space="preserve"> דלדידן קיי"ל דאין בנין בכלים וזוהי דעת ב"ה, ודלא </w:t>
      </w:r>
      <w:r w:rsidRPr="002466FD">
        <w:rPr>
          <w:rStyle w:val="aff4"/>
          <w:rFonts w:hint="cs"/>
          <w:vanish/>
          <w:rtl/>
        </w:rPr>
        <w:t>-</w:t>
      </w:r>
      <w:r w:rsidRPr="00C07E8C">
        <w:rPr>
          <w:rStyle w:val="aff4"/>
          <w:rFonts w:hint="cs"/>
          <w:rtl/>
        </w:rPr>
        <w:t>כרב האי גאון</w:t>
      </w:r>
      <w:r w:rsidRPr="002466FD">
        <w:rPr>
          <w:rStyle w:val="aff4"/>
          <w:rFonts w:hint="cs"/>
          <w:vanish/>
          <w:rtl/>
        </w:rPr>
        <w:t>-</w:t>
      </w:r>
      <w:r>
        <w:rPr>
          <w:rFonts w:hint="cs"/>
          <w:rtl/>
        </w:rPr>
        <w:t>.</w:t>
      </w:r>
    </w:p>
    <w:p w14:paraId="1F539196" w14:textId="77777777" w:rsidR="003E1AA3" w:rsidRPr="00BC7DC8" w:rsidRDefault="003E1AA3" w:rsidP="003E1AA3">
      <w:pPr>
        <w:pStyle w:val="afffffe"/>
        <w:rPr>
          <w:vanish/>
          <w:rtl/>
        </w:rPr>
      </w:pPr>
      <w:r w:rsidRPr="00BC7DC8">
        <w:rPr>
          <w:vanish/>
          <w:rtl/>
        </w:rPr>
        <w:t>חדושי הרשב"א שבת ק"ב ע"ב</w:t>
      </w:r>
      <w:r w:rsidRPr="00BC7DC8">
        <w:rPr>
          <w:rFonts w:hint="cs"/>
          <w:vanish/>
          <w:rtl/>
        </w:rPr>
        <w:t xml:space="preserve"> ד"ה ורבינו האיי</w:t>
      </w:r>
    </w:p>
    <w:p w14:paraId="6404DD37" w14:textId="77777777" w:rsidR="003E1AA3" w:rsidRPr="0018388A" w:rsidRDefault="003E1AA3" w:rsidP="003E1AA3">
      <w:pPr>
        <w:pStyle w:val="a2"/>
        <w:tabs>
          <w:tab w:val="num" w:pos="284"/>
        </w:tabs>
      </w:pPr>
      <w:r w:rsidRPr="0018388A">
        <w:rPr>
          <w:rtl/>
        </w:rPr>
        <w:t>ורבינו האיי גאון ז"ל כתב רב אמר משום בונה ואף על גב דכלי הוא קסבר רב יש בנין בכלים, ולפי זה הא דתנן התם (ביצה כ"א ב' עיין שם) בית הלל מתירין, כלומר לזקוף את המנורה, ומפרשינן בגמרא דביש בנין בכלים או אין בנין בכלים פליגי, לית ליה לרב הכין אלא קסבר דאפילו בית הלל סבירא להו יש בנין בכלים והא דשרו זקיפת המנורה היינו משום דלא מיחזי להו זקיפתה בלחוד כבנין כיון שלא נתפרקה כלל, והכין נמי סבירא ליה לרבי יוחנן (לעיל מ"ו א') במה שאסר לטלטל את המנורה בשבת, והיינו נמי דקאמר התם בפרק קמא דביצה גבי מתניתין דתריסין מוחלפת השיטה, אבל אנן דקיימא לן אין בנין בכלים מפרשינן טעמא דבית הלל משום דאין בנין בכלים.</w:t>
      </w:r>
    </w:p>
    <w:p w14:paraId="29A769E3" w14:textId="77777777" w:rsidR="003E1AA3" w:rsidRDefault="003E1AA3" w:rsidP="003E1AA3">
      <w:pPr>
        <w:pStyle w:val="1"/>
        <w:rPr>
          <w:rtl/>
        </w:rPr>
      </w:pPr>
      <w:bookmarkStart w:id="5447" w:name="_Toc145233897"/>
      <w:r>
        <w:rPr>
          <w:rFonts w:hint="cs"/>
          <w:rtl/>
        </w:rPr>
        <w:t>בי' הרמב"ן ברי"ף דלרב ושמואל יש בנין בכלים אך קיי"ל כרבא</w:t>
      </w:r>
      <w:bookmarkEnd w:id="5447"/>
    </w:p>
    <w:p w14:paraId="1695FA51" w14:textId="77777777" w:rsidR="003E1AA3" w:rsidRPr="00AF61D5" w:rsidRDefault="003E1AA3" w:rsidP="003E1AA3">
      <w:pPr>
        <w:keepNext/>
        <w:keepLines/>
        <w:spacing w:after="0" w:line="240" w:lineRule="auto"/>
        <w:ind w:left="-284"/>
        <w:jc w:val="both"/>
        <w:outlineLvl w:val="1"/>
        <w:rPr>
          <w:rFonts w:ascii="FrankRuehl" w:eastAsia="Guttman Hodes" w:hAnsi="FrankRuehl" w:cs="Guttman Rashi"/>
          <w:bCs/>
          <w:noProof/>
          <w:sz w:val="16"/>
          <w:szCs w:val="16"/>
        </w:rPr>
      </w:pPr>
      <w:r w:rsidRPr="00AF61D5">
        <w:rPr>
          <w:rFonts w:ascii="FrankRuehl" w:eastAsia="Guttman Hodes" w:hAnsi="FrankRuehl" w:cs="Guttman Rashi" w:hint="cs"/>
          <w:bCs/>
          <w:noProof/>
          <w:sz w:val="16"/>
          <w:szCs w:val="16"/>
          <w:rtl/>
        </w:rPr>
        <w:t>מלחמת ה' שבת ל"ז ע"א מדה"ר ד"ה אמר הכותב אעפ"י</w:t>
      </w:r>
    </w:p>
    <w:p w14:paraId="12B0A888" w14:textId="77777777" w:rsidR="003E1AA3" w:rsidRPr="00AF61D5" w:rsidRDefault="003E1AA3" w:rsidP="003E1AA3">
      <w:pPr>
        <w:pStyle w:val="a7"/>
      </w:pPr>
      <w:bookmarkStart w:id="5448" w:name="_Toc145233898"/>
      <w:r>
        <w:rPr>
          <w:rFonts w:hint="cs"/>
          <w:rtl/>
        </w:rPr>
        <w:t>בי' הרמב"ן ברי"ף דמוכח במטה של טרסיים דלשמואל יש בנין בכלים ונח' בדרך בנין בשופתא</w:t>
      </w:r>
      <w:bookmarkEnd w:id="5448"/>
    </w:p>
    <w:p w14:paraId="1E3E183D" w14:textId="206EFEAD" w:rsidR="003E1AA3" w:rsidRPr="00AF61D5" w:rsidRDefault="003E1AA3" w:rsidP="00BC7DC8">
      <w:pPr>
        <w:pStyle w:val="a3"/>
        <w:rPr>
          <w:rtl/>
        </w:rPr>
      </w:pPr>
      <w:bookmarkStart w:id="5449" w:name="_Ref144324318"/>
      <w:r w:rsidRPr="00AF61D5">
        <w:rPr>
          <w:rFonts w:hint="cs"/>
          <w:rtl/>
        </w:rPr>
        <w:t xml:space="preserve">כתב </w:t>
      </w:r>
      <w:r w:rsidRPr="00E24FB9">
        <w:rPr>
          <w:rStyle w:val="aff4"/>
          <w:rFonts w:hint="cs"/>
          <w:vanish/>
          <w:rtl/>
        </w:rPr>
        <w:t>-</w:t>
      </w:r>
      <w:r w:rsidRPr="00C07E8C">
        <w:rPr>
          <w:rStyle w:val="aff4"/>
          <w:rFonts w:hint="cs"/>
          <w:rtl/>
        </w:rPr>
        <w:t>ה</w:t>
      </w:r>
      <w:r w:rsidRPr="00D12047">
        <w:rPr>
          <w:rStyle w:val="aff4"/>
          <w:rFonts w:hint="cs"/>
          <w:vanish/>
          <w:rtl/>
        </w:rPr>
        <w:t xml:space="preserve">&lt;, </w:t>
      </w:r>
      <w:r w:rsidRPr="00D12047">
        <w:rPr>
          <w:rStyle w:val="aff4"/>
          <w:vanish/>
          <w:rtl/>
        </w:rPr>
        <w:fldChar w:fldCharType="begin"/>
      </w:r>
      <w:r w:rsidRPr="00D12047">
        <w:rPr>
          <w:rStyle w:val="aff4"/>
          <w:vanish/>
          <w:rtl/>
        </w:rPr>
        <w:instrText xml:space="preserve"> </w:instrText>
      </w:r>
      <w:r w:rsidRPr="00D12047">
        <w:rPr>
          <w:rStyle w:val="aff4"/>
          <w:rFonts w:hint="cs"/>
          <w:vanish/>
        </w:rPr>
        <w:instrText>REF</w:instrText>
      </w:r>
      <w:r w:rsidRPr="00D12047">
        <w:rPr>
          <w:rStyle w:val="aff4"/>
          <w:rFonts w:hint="cs"/>
          <w:vanish/>
          <w:rtl/>
        </w:rPr>
        <w:instrText xml:space="preserve"> _</w:instrText>
      </w:r>
      <w:r w:rsidRPr="00D12047">
        <w:rPr>
          <w:rStyle w:val="aff4"/>
          <w:rFonts w:hint="cs"/>
          <w:vanish/>
        </w:rPr>
        <w:instrText>Ref144324318 \r \h</w:instrText>
      </w:r>
      <w:r w:rsidRPr="00D12047">
        <w:rPr>
          <w:rStyle w:val="aff4"/>
          <w:vanish/>
          <w:rtl/>
        </w:rPr>
        <w:instrText xml:space="preserve"> </w:instrText>
      </w:r>
      <w:r w:rsidRPr="00D12047">
        <w:rPr>
          <w:rStyle w:val="aff4"/>
          <w:vanish/>
          <w:rtl/>
        </w:rPr>
      </w:r>
      <w:r w:rsidRPr="00D12047">
        <w:rPr>
          <w:rStyle w:val="aff4"/>
          <w:vanish/>
          <w:rtl/>
        </w:rPr>
        <w:fldChar w:fldCharType="separate"/>
      </w:r>
      <w:r w:rsidR="00D82181">
        <w:rPr>
          <w:rStyle w:val="aff4"/>
          <w:vanish/>
          <w:cs/>
        </w:rPr>
        <w:t>‎</w:t>
      </w:r>
      <w:r w:rsidR="00D82181">
        <w:rPr>
          <w:rStyle w:val="aff4"/>
          <w:vanish/>
          <w:rtl/>
        </w:rPr>
        <w:t>יג)</w:t>
      </w:r>
      <w:r w:rsidRPr="00D12047">
        <w:rPr>
          <w:rStyle w:val="aff4"/>
          <w:vanish/>
          <w:rtl/>
        </w:rPr>
        <w:fldChar w:fldCharType="end"/>
      </w:r>
      <w:r w:rsidRPr="00D12047">
        <w:rPr>
          <w:rStyle w:val="aff4"/>
          <w:rFonts w:hint="cs"/>
          <w:vanish/>
          <w:rtl/>
        </w:rPr>
        <w:t xml:space="preserve"> &gt;</w:t>
      </w:r>
      <w:r w:rsidRPr="00C07E8C">
        <w:rPr>
          <w:rStyle w:val="aff4"/>
          <w:rFonts w:hint="cs"/>
          <w:rtl/>
        </w:rPr>
        <w:t>רמב"ן במלחמות</w:t>
      </w:r>
      <w:r w:rsidRPr="00E24FB9">
        <w:rPr>
          <w:rStyle w:val="aff4"/>
          <w:rFonts w:hint="cs"/>
          <w:vanish/>
          <w:rtl/>
        </w:rPr>
        <w:t>-</w:t>
      </w:r>
      <w:r w:rsidRPr="00AF61D5">
        <w:rPr>
          <w:rFonts w:hint="cs"/>
          <w:rtl/>
        </w:rPr>
        <w:t xml:space="preserve"> </w:t>
      </w:r>
      <w:r w:rsidRPr="00C962CD">
        <w:rPr>
          <w:rStyle w:val="af2"/>
          <w:rFonts w:eastAsia="Guttman Hodes" w:hint="cs"/>
          <w:rtl/>
        </w:rPr>
        <w:t>(ל"ז. מדה"ר ד"ה אמר הכותב אעפ"י, מהדו' עוז והדר עמ' ק"ד)</w:t>
      </w:r>
      <w:r w:rsidRPr="00D12047">
        <w:rPr>
          <w:rFonts w:hint="cs"/>
          <w:vanish/>
          <w:rtl/>
        </w:rPr>
        <w:t>=</w:t>
      </w:r>
      <w:r w:rsidRPr="00AF61D5">
        <w:rPr>
          <w:rFonts w:hint="cs"/>
          <w:rtl/>
        </w:rPr>
        <w:t xml:space="preserve"> בדעת </w:t>
      </w:r>
      <w:r w:rsidRPr="00E24FB9">
        <w:rPr>
          <w:rStyle w:val="aff4"/>
          <w:rFonts w:hint="cs"/>
          <w:vanish/>
          <w:rtl/>
        </w:rPr>
        <w:t>-</w:t>
      </w:r>
      <w:r w:rsidRPr="00C07E8C">
        <w:rPr>
          <w:rStyle w:val="aff4"/>
          <w:rFonts w:hint="cs"/>
          <w:rtl/>
        </w:rPr>
        <w:t>ה</w:t>
      </w:r>
      <w:r w:rsidRPr="00D12047">
        <w:rPr>
          <w:rStyle w:val="aff4"/>
          <w:rFonts w:hint="cs"/>
          <w:vanish/>
          <w:rtl/>
        </w:rPr>
        <w:t>&lt; &gt;</w:t>
      </w:r>
      <w:r w:rsidRPr="00C07E8C">
        <w:rPr>
          <w:rStyle w:val="aff4"/>
          <w:rFonts w:hint="cs"/>
          <w:rtl/>
        </w:rPr>
        <w:t>רי"ף</w:t>
      </w:r>
      <w:r w:rsidRPr="00E24FB9">
        <w:rPr>
          <w:rStyle w:val="aff4"/>
          <w:rFonts w:hint="cs"/>
          <w:vanish/>
          <w:rtl/>
        </w:rPr>
        <w:t>-</w:t>
      </w:r>
      <w:r w:rsidRPr="00AF61D5">
        <w:rPr>
          <w:rFonts w:hint="cs"/>
          <w:rtl/>
        </w:rPr>
        <w:t xml:space="preserve"> </w:t>
      </w:r>
      <w:r w:rsidRPr="00C962CD">
        <w:rPr>
          <w:rStyle w:val="af2"/>
          <w:rFonts w:eastAsia="Guttman Hodes" w:hint="cs"/>
          <w:rtl/>
        </w:rPr>
        <w:t>(ל"ז. מדה"ר, מהדו' עוז והדר עמ' ק"ד)</w:t>
      </w:r>
      <w:r w:rsidRPr="00D12047">
        <w:rPr>
          <w:rFonts w:hint="cs"/>
          <w:vanish/>
          <w:rtl/>
        </w:rPr>
        <w:t>=</w:t>
      </w:r>
      <w:r w:rsidRPr="00AF61D5">
        <w:rPr>
          <w:rFonts w:hint="cs"/>
          <w:rtl/>
        </w:rPr>
        <w:t xml:space="preserve"> דבין לרב ובין לשמואל ס"ל דיש בנין בכלים, ונחלקו לענין שופתא בקופינא אי הוא דרך בנין, כמו דנחלקו לענין מסתת, וכתב </w:t>
      </w:r>
      <w:r w:rsidRPr="00E24FB9">
        <w:rPr>
          <w:rStyle w:val="aff4"/>
          <w:rFonts w:hint="cs"/>
          <w:vanish/>
          <w:rtl/>
        </w:rPr>
        <w:t>-</w:t>
      </w:r>
      <w:r w:rsidRPr="00C07E8C">
        <w:rPr>
          <w:rStyle w:val="aff4"/>
          <w:rFonts w:hint="cs"/>
          <w:rtl/>
        </w:rPr>
        <w:t>הרמב"ן במלחמות</w:t>
      </w:r>
      <w:r w:rsidRPr="00E24FB9">
        <w:rPr>
          <w:rStyle w:val="aff4"/>
          <w:rFonts w:hint="cs"/>
          <w:vanish/>
          <w:rtl/>
        </w:rPr>
        <w:t>-</w:t>
      </w:r>
      <w:r w:rsidRPr="00AF61D5">
        <w:rPr>
          <w:rFonts w:hint="cs"/>
          <w:rtl/>
        </w:rPr>
        <w:t xml:space="preserve"> דכן מוכח מהא דאמרו רב ושמואל בגמ' לעיל </w:t>
      </w:r>
      <w:r w:rsidRPr="00C962CD">
        <w:rPr>
          <w:rStyle w:val="af2"/>
          <w:rFonts w:eastAsia="Guttman Hodes" w:hint="cs"/>
          <w:rtl/>
        </w:rPr>
        <w:t>(מז.)</w:t>
      </w:r>
      <w:r w:rsidRPr="00AF61D5">
        <w:rPr>
          <w:rFonts w:hint="cs"/>
          <w:rtl/>
        </w:rPr>
        <w:t xml:space="preserve"> דהמחזיר מטה של טרסיים בשבת חייב חטאת בין בתוקע ובין שלא בתוקע, ומוכח דהחיוב הוא כיון דיש בנין בכלים.</w:t>
      </w:r>
      <w:bookmarkEnd w:id="5449"/>
      <w:r w:rsidRPr="00AF61D5">
        <w:rPr>
          <w:rFonts w:hint="cs"/>
          <w:rtl/>
        </w:rPr>
        <w:t xml:space="preserve"> </w:t>
      </w:r>
    </w:p>
    <w:p w14:paraId="4F34A3CA" w14:textId="77777777" w:rsidR="003E1AA3" w:rsidRPr="0018388A" w:rsidRDefault="003E1AA3" w:rsidP="003E1AA3">
      <w:pPr>
        <w:pStyle w:val="a2"/>
        <w:tabs>
          <w:tab w:val="num" w:pos="284"/>
        </w:tabs>
        <w:rPr>
          <w:rtl/>
        </w:rPr>
      </w:pPr>
      <w:r w:rsidRPr="0018388A">
        <w:rPr>
          <w:rtl/>
        </w:rPr>
        <w:t>כתוב בספר המאור עייל שופתא בקופינא דמרא רב אמר משום בונה כו' עד ואין טעם זה מספיק כל הצורך לתקן דברי הרב אלפסי ז"ל כו':</w:t>
      </w:r>
    </w:p>
    <w:p w14:paraId="317C6F19" w14:textId="77777777" w:rsidR="003E1AA3" w:rsidRPr="002E340A" w:rsidRDefault="003E1AA3" w:rsidP="003E1AA3">
      <w:pPr>
        <w:pStyle w:val="afffff5"/>
        <w:rPr>
          <w:rtl/>
        </w:rPr>
      </w:pPr>
      <w:r w:rsidRPr="002E340A">
        <w:rPr>
          <w:rtl/>
        </w:rPr>
        <w:t>אמר הכותב אף על פי שהדברים הללו אינן מתחוורין מן הגמרא ויש בהם מקום למחלוקת וכבר נמי דבר בהם רב חננאל הרבה חייבין אנו לברר בהן כוונת רבינו ז"ל והנכון בזה דרב ושמואל תרוייהו ס"ל יש בנין בכלים ולא נחלקו בשופתא דקופינא אלא ביש בנין בכך כמו שנחלקו במסתת את האבן עצמה והא ראיה בזה שהן אמרו המחזיר מטה של טרסיים בשבת חייב חטאת בין בתוקע בין בשלא תקע והיינו משום בנין בכלים.</w:t>
      </w:r>
    </w:p>
    <w:p w14:paraId="0DBEEF72" w14:textId="77777777" w:rsidR="003E1AA3" w:rsidRPr="00AF61D5" w:rsidRDefault="003E1AA3" w:rsidP="003E1AA3">
      <w:pPr>
        <w:pStyle w:val="a7"/>
      </w:pPr>
      <w:bookmarkStart w:id="5450" w:name="_Toc145233899"/>
      <w:r>
        <w:rPr>
          <w:rFonts w:hint="cs"/>
          <w:rtl/>
        </w:rPr>
        <w:t>בי' הרמב"ן דבירו' מבו' דלשמואל יש בנין כב"ה וכן קיי"ל ודלא כת"ק דרשב"ג דאין בנין בכלים</w:t>
      </w:r>
      <w:bookmarkEnd w:id="5450"/>
    </w:p>
    <w:p w14:paraId="70F4A853" w14:textId="77777777" w:rsidR="003E1AA3" w:rsidRDefault="003E1AA3" w:rsidP="00BC7DC8">
      <w:pPr>
        <w:pStyle w:val="a3"/>
        <w:rPr>
          <w:rStyle w:val="af"/>
          <w:sz w:val="18"/>
          <w:szCs w:val="18"/>
          <w:rtl/>
        </w:rPr>
      </w:pPr>
      <w:bookmarkStart w:id="5451" w:name="_Ref144634411"/>
      <w:r w:rsidRPr="00AF61D5">
        <w:rPr>
          <w:rFonts w:hint="cs"/>
          <w:rtl/>
        </w:rPr>
        <w:t>וכתב</w:t>
      </w:r>
      <w:r>
        <w:rPr>
          <w:rFonts w:hint="cs"/>
          <w:rtl/>
        </w:rPr>
        <w:t xml:space="preserve"> </w:t>
      </w:r>
      <w:r w:rsidRPr="00E24FB9">
        <w:rPr>
          <w:rStyle w:val="aff4"/>
          <w:rFonts w:hint="cs"/>
          <w:vanish/>
          <w:rtl/>
        </w:rPr>
        <w:t>-</w:t>
      </w:r>
      <w:r w:rsidRPr="00C07E8C">
        <w:rPr>
          <w:rStyle w:val="aff4"/>
          <w:rFonts w:hint="cs"/>
          <w:rtl/>
        </w:rPr>
        <w:t>הרמב"ן במלחמות</w:t>
      </w:r>
      <w:r w:rsidRPr="00E24FB9">
        <w:rPr>
          <w:rStyle w:val="aff4"/>
          <w:rFonts w:hint="cs"/>
          <w:vanish/>
          <w:rtl/>
        </w:rPr>
        <w:t>-</w:t>
      </w:r>
      <w:r w:rsidRPr="00AF61D5">
        <w:rPr>
          <w:rFonts w:hint="cs"/>
          <w:rtl/>
        </w:rPr>
        <w:t xml:space="preserve"> </w:t>
      </w:r>
      <w:bookmarkStart w:id="5452" w:name="_Hlk144413239"/>
      <w:r w:rsidRPr="00AF61D5">
        <w:rPr>
          <w:rFonts w:hint="cs"/>
          <w:rtl/>
        </w:rPr>
        <w:t xml:space="preserve">דכן איתא בירושלמי </w:t>
      </w:r>
      <w:r w:rsidRPr="00C962CD">
        <w:rPr>
          <w:rStyle w:val="af2"/>
          <w:rFonts w:eastAsia="Guttman Hodes" w:hint="cs"/>
          <w:rtl/>
        </w:rPr>
        <w:t>(פי"ב ה"א, סח.)</w:t>
      </w:r>
      <w:r w:rsidRPr="00AF61D5">
        <w:rPr>
          <w:rFonts w:hint="cs"/>
          <w:rtl/>
        </w:rPr>
        <w:t xml:space="preserve"> דאמר רב ירמיה בשם רב דהמרכיב מיטה של גילה חייב משום בונה, </w:t>
      </w:r>
      <w:bookmarkEnd w:id="5452"/>
      <w:r w:rsidRPr="00AF61D5">
        <w:rPr>
          <w:rFonts w:hint="cs"/>
          <w:rtl/>
        </w:rPr>
        <w:t xml:space="preserve">וביאר </w:t>
      </w:r>
      <w:r w:rsidRPr="00E24FB9">
        <w:rPr>
          <w:rStyle w:val="aff4"/>
          <w:rFonts w:hint="cs"/>
          <w:vanish/>
          <w:rtl/>
        </w:rPr>
        <w:t>-</w:t>
      </w:r>
      <w:r w:rsidRPr="00C07E8C">
        <w:rPr>
          <w:rStyle w:val="aff4"/>
          <w:rFonts w:hint="cs"/>
          <w:rtl/>
        </w:rPr>
        <w:t>הרמב"ן במלחמות</w:t>
      </w:r>
      <w:r w:rsidRPr="00E24FB9">
        <w:rPr>
          <w:rStyle w:val="aff4"/>
          <w:rFonts w:hint="cs"/>
          <w:vanish/>
          <w:rtl/>
        </w:rPr>
        <w:t>-</w:t>
      </w:r>
      <w:r w:rsidRPr="00AF61D5">
        <w:rPr>
          <w:rFonts w:hint="cs"/>
          <w:rtl/>
        </w:rPr>
        <w:t xml:space="preserve"> דהיינו מטה של טרסיים, ועוד אמרינן בירושלמי דהחזרת שולחן של פרקים תלויה בפלוגתת ת"ק ורשב"ג, וא"כ מבואר דרב ושמואל דחייבו במחזיר מטה של טרסיים הוא כיון דס"ל דיש בנין בכלים, ויש סתירה בכלים, </w:t>
      </w:r>
      <w:r w:rsidRPr="00D206F9">
        <w:rPr>
          <w:rStyle w:val="af"/>
          <w:rFonts w:hint="cs"/>
          <w:rtl/>
        </w:rPr>
        <w:t>[ולכן אף ברפוי אסור],</w:t>
      </w:r>
      <w:r w:rsidRPr="00AF61D5">
        <w:rPr>
          <w:rFonts w:hint="cs"/>
          <w:rtl/>
        </w:rPr>
        <w:t xml:space="preserve"> אבל ת"ק בברייתא לעיל </w:t>
      </w:r>
      <w:r w:rsidRPr="00C962CD">
        <w:rPr>
          <w:rStyle w:val="af2"/>
          <w:rFonts w:eastAsia="Guttman Hodes" w:hint="cs"/>
          <w:rtl/>
        </w:rPr>
        <w:t>(מז:)</w:t>
      </w:r>
      <w:r w:rsidRPr="00AF61D5">
        <w:rPr>
          <w:rFonts w:hint="cs"/>
          <w:rtl/>
        </w:rPr>
        <w:t xml:space="preserve"> דס"ל דהמחזיר הוא פטור אבל אסור, ורק בתוקע חייב חטאת, היינו כיון דס"ל דאין בנין בכלים, </w:t>
      </w:r>
      <w:r w:rsidRPr="00FC1118">
        <w:rPr>
          <w:rStyle w:val="af"/>
          <w:rFonts w:hint="cs"/>
          <w:rtl/>
        </w:rPr>
        <w:t>[ובתוקע הוא גמר מלאכה וחייב משום מכה בפטיש, וכן דעת רשב"ג וקיי"ל כוותיה, דמתיר להחזיר אף ברפוי]</w:t>
      </w:r>
      <w:r>
        <w:rPr>
          <w:rStyle w:val="af"/>
          <w:rFonts w:hint="cs"/>
          <w:rtl/>
        </w:rPr>
        <w:t>.</w:t>
      </w:r>
      <w:r w:rsidRPr="00FC1118">
        <w:rPr>
          <w:rStyle w:val="af"/>
          <w:rFonts w:hint="cs"/>
          <w:rtl/>
        </w:rPr>
        <w:t xml:space="preserve"> </w:t>
      </w:r>
    </w:p>
    <w:p w14:paraId="74EA7607" w14:textId="77777777" w:rsidR="003E1AA3" w:rsidRDefault="003E1AA3" w:rsidP="003E1AA3">
      <w:pPr>
        <w:pStyle w:val="a2"/>
        <w:tabs>
          <w:tab w:val="num" w:pos="284"/>
        </w:tabs>
      </w:pPr>
      <w:r w:rsidRPr="0018388A">
        <w:rPr>
          <w:rtl/>
        </w:rPr>
        <w:t>וכך מפורש בירושל' רבי ירמיה בשם רב המרכיב מטה של גולה חייב משום בונה פי' מטה של גולה מטה גללניתא והיינו מטה של טרסיים עוד אמרו שם רב המנונא הורי לריש גלותא להתיר שלחן של פרקים בשבת אמרין הונא בר חייא הוה עמיה שמע ר"י ואמר מאן דהורי ליה לא יליף ולא שמש אמר רבי שמאי מאן דהורי ליה כרשב"ג הורי דתניא לוחין שבספינה ושבעריסי נקליטי המטה ורגל השולחן ויד הסכין שפירשו ה"ז לא יחזיר ואם החזיר ה"ז פטור ואם תקע ה"ז חייב רשב"ג אומר אם היו רפויין נוטל ומחזיר ושם פירשו תקוען זה הוא גמר מלאכתן ועוד אמרו לדברי המחייב קנה ומנורה למה הוא חייב ר' אבוה בשם ר' יוחנן ורב הונא תרוייהו אמרו משום בונה ומכאן נלמוד דרך הסוגיא שבגמרא שלנו דלרב ושמואל דמחייבי במחזיר מטה של טרסיים יש בנין בכלים ויש סתירה בכלים הלכך אפי' ברפוי אסור כי ההיא דאמרי' התם מי איכא מידי דבכלים חייב חטאת וביד מותר לכתחלה ולתנא דמלבנות המטה דאמר פטור אבל אסור אין בנין בכלים ואם תקע חייב חטאת משום דתקוען הוא גמר מלאכה וחייב משום מכה בפטיש וכן לרשב"ג וקיי"ל כותיה</w:t>
      </w:r>
      <w:r>
        <w:rPr>
          <w:rFonts w:hint="cs"/>
          <w:rtl/>
        </w:rPr>
        <w:t>.</w:t>
      </w:r>
    </w:p>
    <w:p w14:paraId="61BEF0BD" w14:textId="77777777" w:rsidR="003E1AA3" w:rsidRDefault="003E1AA3" w:rsidP="003E1AA3">
      <w:pPr>
        <w:pStyle w:val="a7"/>
        <w:rPr>
          <w:rtl/>
        </w:rPr>
      </w:pPr>
      <w:bookmarkStart w:id="5453" w:name="_Toc145233900"/>
      <w:r>
        <w:rPr>
          <w:rFonts w:hint="cs"/>
          <w:rtl/>
        </w:rPr>
        <w:t>בי' הרמב"ן ברי"ף דלא קיי"ל כריו"ח ולא פסק כרב או שמואל ואף לד' שמואל אין בנין בכלים</w:t>
      </w:r>
      <w:bookmarkEnd w:id="5453"/>
    </w:p>
    <w:p w14:paraId="752668C9" w14:textId="77777777" w:rsidR="003E1AA3" w:rsidRPr="009E6D26" w:rsidRDefault="003E1AA3" w:rsidP="00BC7DC8">
      <w:pPr>
        <w:pStyle w:val="a3"/>
      </w:pPr>
      <w:r w:rsidRPr="00AF61D5">
        <w:rPr>
          <w:rFonts w:hint="cs"/>
          <w:rtl/>
        </w:rPr>
        <w:t>וכתב</w:t>
      </w:r>
      <w:r>
        <w:rPr>
          <w:rFonts w:hint="cs"/>
          <w:rtl/>
        </w:rPr>
        <w:t xml:space="preserve"> </w:t>
      </w:r>
      <w:r w:rsidRPr="00E24FB9">
        <w:rPr>
          <w:rStyle w:val="aff4"/>
          <w:rFonts w:hint="cs"/>
          <w:vanish/>
          <w:rtl/>
        </w:rPr>
        <w:t>-</w:t>
      </w:r>
      <w:r w:rsidRPr="00C07E8C">
        <w:rPr>
          <w:rStyle w:val="aff4"/>
          <w:rFonts w:hint="cs"/>
          <w:rtl/>
        </w:rPr>
        <w:t>הרמב"ן</w:t>
      </w:r>
      <w:r w:rsidRPr="00AF61D5">
        <w:rPr>
          <w:rFonts w:hint="cs"/>
          <w:rtl/>
        </w:rPr>
        <w:t xml:space="preserve"> </w:t>
      </w:r>
      <w:r w:rsidRPr="00C07E8C">
        <w:rPr>
          <w:rStyle w:val="aff4"/>
          <w:rFonts w:hint="cs"/>
          <w:rtl/>
        </w:rPr>
        <w:t>במלחמות</w:t>
      </w:r>
      <w:r w:rsidRPr="00E24FB9">
        <w:rPr>
          <w:rStyle w:val="aff4"/>
          <w:rFonts w:hint="cs"/>
          <w:vanish/>
          <w:rtl/>
        </w:rPr>
        <w:t>-</w:t>
      </w:r>
      <w:r w:rsidRPr="00AF61D5">
        <w:rPr>
          <w:rFonts w:hint="cs"/>
          <w:rtl/>
        </w:rPr>
        <w:t xml:space="preserve"> </w:t>
      </w:r>
      <w:r>
        <w:rPr>
          <w:rFonts w:hint="cs"/>
          <w:rtl/>
        </w:rPr>
        <w:t>ד</w:t>
      </w:r>
      <w:r w:rsidRPr="00AF61D5">
        <w:rPr>
          <w:rFonts w:hint="cs"/>
          <w:rtl/>
        </w:rPr>
        <w:t xml:space="preserve">לא קיי"ל כריו"ח דאוסר במנורה של חוליות, אלא כב"ה דהתירו בגמ' בביצה </w:t>
      </w:r>
      <w:r w:rsidRPr="00C962CD">
        <w:rPr>
          <w:rStyle w:val="af2"/>
          <w:rFonts w:eastAsia="Guttman Hodes" w:hint="cs"/>
          <w:rtl/>
        </w:rPr>
        <w:t>(כב.)</w:t>
      </w:r>
      <w:r w:rsidRPr="00CE39B0">
        <w:rPr>
          <w:rFonts w:hint="cs"/>
          <w:rtl/>
        </w:rPr>
        <w:t xml:space="preserve"> </w:t>
      </w:r>
      <w:r w:rsidRPr="00AF61D5">
        <w:rPr>
          <w:rFonts w:hint="cs"/>
          <w:rtl/>
        </w:rPr>
        <w:t xml:space="preserve">לזקוף מנורה של חוליות </w:t>
      </w:r>
      <w:r w:rsidRPr="00AF61D5">
        <w:rPr>
          <w:rFonts w:hint="cs"/>
          <w:rtl/>
        </w:rPr>
        <w:lastRenderedPageBreak/>
        <w:t xml:space="preserve">דאין בנין בכלים, וכן מסקנת רבא בגמ' לקמן </w:t>
      </w:r>
      <w:r w:rsidRPr="00C962CD">
        <w:rPr>
          <w:rStyle w:val="af2"/>
          <w:rFonts w:eastAsia="Guttman Hodes" w:hint="cs"/>
          <w:rtl/>
        </w:rPr>
        <w:t>(קכב:)</w:t>
      </w:r>
      <w:bookmarkEnd w:id="5451"/>
      <w:r>
        <w:rPr>
          <w:rStyle w:val="afff0"/>
          <w:rtl/>
        </w:rPr>
        <w:footnoteReference w:id="16"/>
      </w:r>
      <w:r>
        <w:rPr>
          <w:rFonts w:hint="cs"/>
          <w:rtl/>
        </w:rPr>
        <w:t>,</w:t>
      </w:r>
      <w:r w:rsidRPr="00E912B1">
        <w:rPr>
          <w:rFonts w:hint="cs"/>
          <w:rtl/>
        </w:rPr>
        <w:t xml:space="preserve"> </w:t>
      </w:r>
      <w:r>
        <w:rPr>
          <w:rFonts w:hint="cs"/>
          <w:rtl/>
        </w:rPr>
        <w:t xml:space="preserve">ובמה שהביא </w:t>
      </w:r>
      <w:r w:rsidRPr="00E24FB9">
        <w:rPr>
          <w:rStyle w:val="aff4"/>
          <w:rFonts w:hint="cs"/>
          <w:vanish/>
          <w:rtl/>
        </w:rPr>
        <w:t>-</w:t>
      </w:r>
      <w:r w:rsidRPr="00C07E8C">
        <w:rPr>
          <w:rStyle w:val="aff4"/>
          <w:rFonts w:hint="cs"/>
          <w:rtl/>
        </w:rPr>
        <w:t>הרי"ף</w:t>
      </w:r>
      <w:r w:rsidRPr="00E24FB9">
        <w:rPr>
          <w:rStyle w:val="aff4"/>
          <w:rFonts w:hint="cs"/>
          <w:vanish/>
          <w:rtl/>
        </w:rPr>
        <w:t>-</w:t>
      </w:r>
      <w:r w:rsidRPr="00AF61D5">
        <w:rPr>
          <w:rFonts w:hint="cs"/>
          <w:rtl/>
        </w:rPr>
        <w:t xml:space="preserve"> </w:t>
      </w:r>
      <w:r w:rsidRPr="00C962CD">
        <w:rPr>
          <w:rStyle w:val="af2"/>
          <w:rFonts w:eastAsia="Guttman Hodes" w:hint="cs"/>
          <w:rtl/>
        </w:rPr>
        <w:t>(ל"ז. מדה"ר, מהדו' עוז והדר עמ' ק"ד)</w:t>
      </w:r>
      <w:r>
        <w:rPr>
          <w:rFonts w:hint="cs"/>
          <w:rtl/>
        </w:rPr>
        <w:t xml:space="preserve"> את פלוגתת רב ושמואל בשופתא דקופינא, כתב </w:t>
      </w:r>
      <w:r w:rsidRPr="00E24FB9">
        <w:rPr>
          <w:rStyle w:val="aff4"/>
          <w:rFonts w:hint="cs"/>
          <w:vanish/>
          <w:rtl/>
        </w:rPr>
        <w:t>-</w:t>
      </w:r>
      <w:r w:rsidRPr="00C07E8C">
        <w:rPr>
          <w:rStyle w:val="aff4"/>
          <w:rFonts w:hint="cs"/>
          <w:rtl/>
        </w:rPr>
        <w:t>הרמב"ן במלחמות</w:t>
      </w:r>
      <w:r w:rsidRPr="00E24FB9">
        <w:rPr>
          <w:rStyle w:val="aff4"/>
          <w:rFonts w:hint="cs"/>
          <w:vanish/>
          <w:rtl/>
        </w:rPr>
        <w:t>-</w:t>
      </w:r>
      <w:r>
        <w:rPr>
          <w:rFonts w:hint="cs"/>
          <w:rtl/>
        </w:rPr>
        <w:t xml:space="preserve"> דאין כוונתו לפסוק בה הלכה, אלא דבאיסורי קיי"ל כרב ולא פסק כשמואל דאין בנין בכלים כיון דאף שמואל עצמו לא חייב במכה בפטיש מחמת דאין בנין בכלים, וכוונת </w:t>
      </w:r>
      <w:r w:rsidRPr="00E24FB9">
        <w:rPr>
          <w:rStyle w:val="aff4"/>
          <w:rFonts w:hint="cs"/>
          <w:vanish/>
          <w:rtl/>
        </w:rPr>
        <w:t>-</w:t>
      </w:r>
      <w:r w:rsidRPr="00C07E8C">
        <w:rPr>
          <w:rStyle w:val="aff4"/>
          <w:rFonts w:hint="cs"/>
          <w:rtl/>
        </w:rPr>
        <w:t>הרי"ף</w:t>
      </w:r>
      <w:r w:rsidRPr="00E24FB9">
        <w:rPr>
          <w:rStyle w:val="aff4"/>
          <w:rFonts w:hint="cs"/>
          <w:vanish/>
          <w:rtl/>
        </w:rPr>
        <w:t>-</w:t>
      </w:r>
      <w:r>
        <w:rPr>
          <w:rFonts w:hint="cs"/>
          <w:rtl/>
        </w:rPr>
        <w:t xml:space="preserve"> לומר דלכו"ע חייב בזה.</w:t>
      </w:r>
    </w:p>
    <w:p w14:paraId="5D8ED6F6" w14:textId="77777777" w:rsidR="003E1AA3" w:rsidRPr="0018388A" w:rsidRDefault="003E1AA3" w:rsidP="003E1AA3">
      <w:pPr>
        <w:pStyle w:val="a2"/>
        <w:tabs>
          <w:tab w:val="num" w:pos="284"/>
        </w:tabs>
        <w:rPr>
          <w:rtl/>
        </w:rPr>
      </w:pPr>
      <w:r w:rsidRPr="0018388A">
        <w:rPr>
          <w:rtl/>
        </w:rPr>
        <w:t>מעתה אין הלכה כר' יוחנן במנורה של חוליות דהא אפי' להחזיר ברפוי מותר אלא הלכה כב"ה דאמרי ביום טוב זוקפין את המנורה וכר' יצחק בר ביסנא דאוקמא במנורה של חוליות ואפ"ה שריא דאין בנין בכלים וה"ה לשבת ורבא נמי הכי אסיק בפרק כל הכלים דאין בנין בכלים ואין סתירה בכלים.</w:t>
      </w:r>
      <w:r w:rsidRPr="00085565">
        <w:rPr>
          <w:rStyle w:val="afff7"/>
          <w:rtl/>
        </w:rPr>
        <w:t>ואלמלא שכתב רבינו ז"ל אותה ברייתא דלת של שידה ושל מגדל נוטלין ולא מחזירין הייתי אומר אתיא כת"ק דמלבנות המטה אבל לרשב"ג אם היו רפוי מותר עכשיו שכתבה הוא למדנו שגזרו בדלתות משום שדרכו ליתקע וכן אמרו בתריסי חנויות שיש להם ציר מן הצד אסור וזו שאמרו שם ביום טוב מהו דתימא טעמייהו דב"ה משום דאין בנין בכלים ואין סתירה בכלים ואפי' דבתים נמי קמ"ל הותרו סופן משום תחלתן דחנויות אין דבתים לא משום גזירה אטו מן הצד היא והיא גופא גזרה משום שמא יתקע גם זו הסברא נרמזת שם בהלכות</w:t>
      </w:r>
      <w:r w:rsidRPr="00085565">
        <w:rPr>
          <w:rStyle w:val="afff7"/>
          <w:rFonts w:hint="cs"/>
          <w:rtl/>
        </w:rPr>
        <w:t>.</w:t>
      </w:r>
      <w:r>
        <w:rPr>
          <w:rStyle w:val="afff7"/>
          <w:rFonts w:hint="cs"/>
          <w:rtl/>
        </w:rPr>
        <w:t xml:space="preserve"> </w:t>
      </w:r>
      <w:r w:rsidRPr="0018388A">
        <w:rPr>
          <w:rtl/>
        </w:rPr>
        <w:t>אבל מה שכתב פלוגתא דרב ושמואל לא פסק בה והלכה כרב באיסורי ולא הכריע בה כשמואל דאין בנין בכלים משום דשמואל גופיה לאו מה"ט נסיב לה אלא ללמד על חיובו כתבה סתם ובמסתת השמיטה שכבר כתבו פ' כלל גדול משמיה דר' יהושע בן לוי משום מכה בפטיש:</w:t>
      </w:r>
    </w:p>
    <w:p w14:paraId="4BD98398" w14:textId="77777777" w:rsidR="003E1AA3" w:rsidRPr="00FC269C" w:rsidRDefault="003E1AA3" w:rsidP="003E1AA3">
      <w:pPr>
        <w:pStyle w:val="afffff7"/>
      </w:pPr>
      <w:bookmarkStart w:id="5454" w:name="_Toc145234014"/>
      <w:bookmarkStart w:id="5455" w:name="_Toc163506272"/>
      <w:r w:rsidRPr="00FC269C">
        <w:rPr>
          <w:rtl/>
        </w:rPr>
        <w:t xml:space="preserve">חדושי הר"ן </w:t>
      </w:r>
      <w:r w:rsidRPr="00FC269C">
        <w:rPr>
          <w:rFonts w:hint="cs"/>
          <w:rtl/>
        </w:rPr>
        <w:t xml:space="preserve">- </w:t>
      </w:r>
      <w:r w:rsidRPr="00FC269C">
        <w:rPr>
          <w:rtl/>
        </w:rPr>
        <w:t>מיוחס לו שבת ק"ב ע"ב</w:t>
      </w:r>
      <w:r w:rsidRPr="00FC269C">
        <w:rPr>
          <w:rFonts w:hint="cs"/>
          <w:rtl/>
        </w:rPr>
        <w:t xml:space="preserve"> ד"ה האי</w:t>
      </w:r>
      <w:bookmarkStart w:id="5456" w:name="_Ref144375088"/>
      <w:bookmarkEnd w:id="5454"/>
      <w:bookmarkEnd w:id="5455"/>
    </w:p>
    <w:p w14:paraId="729A2B18" w14:textId="77777777" w:rsidR="003E1AA3" w:rsidRDefault="003E1AA3" w:rsidP="003E1AA3">
      <w:pPr>
        <w:pStyle w:val="a7"/>
      </w:pPr>
      <w:bookmarkStart w:id="5457" w:name="_Toc145233901"/>
      <w:r>
        <w:rPr>
          <w:rFonts w:hint="cs"/>
          <w:rtl/>
        </w:rPr>
        <w:t>בי' הרא"ה דאף לשמואל יש בנין מדלא נח' בכל כלים וכדמו' במטה וכן לריו"ח אך קיי"ל כרבא</w:t>
      </w:r>
      <w:bookmarkEnd w:id="5457"/>
    </w:p>
    <w:p w14:paraId="1F741F7F" w14:textId="2A35ED3C" w:rsidR="003E1AA3" w:rsidRPr="00B85C86" w:rsidRDefault="003E1AA3" w:rsidP="00BC7DC8">
      <w:pPr>
        <w:pStyle w:val="a3"/>
        <w:rPr>
          <w:rtl/>
        </w:rPr>
      </w:pPr>
      <w:bookmarkStart w:id="5458" w:name="_Ref144932153"/>
      <w:r>
        <w:rPr>
          <w:rFonts w:hint="cs"/>
          <w:rtl/>
        </w:rPr>
        <w:t>וכ"כ</w:t>
      </w:r>
      <w:r>
        <w:rPr>
          <w:rtl/>
        </w:rPr>
        <w:t xml:space="preserve"> </w:t>
      </w:r>
      <w:r w:rsidRPr="004468EE">
        <w:rPr>
          <w:rFonts w:hint="cs"/>
          <w:b/>
          <w:bCs/>
          <w:rtl/>
        </w:rPr>
        <w:t>ב</w:t>
      </w:r>
      <w:r>
        <w:rPr>
          <w:rFonts w:hint="cs"/>
          <w:b/>
          <w:bCs/>
          <w:vanish/>
          <w:rtl/>
        </w:rPr>
        <w:t xml:space="preserve">&lt;, </w:t>
      </w:r>
      <w:r>
        <w:rPr>
          <w:b/>
          <w:bCs/>
          <w:vanish/>
          <w:rtl/>
        </w:rPr>
        <w:fldChar w:fldCharType="begin"/>
      </w:r>
      <w:r>
        <w:rPr>
          <w:b/>
          <w:bCs/>
          <w:vanish/>
          <w:rtl/>
        </w:rPr>
        <w:instrText xml:space="preserve"> </w:instrText>
      </w:r>
      <w:r>
        <w:rPr>
          <w:rFonts w:hint="cs"/>
          <w:b/>
          <w:bCs/>
          <w:vanish/>
        </w:rPr>
        <w:instrText>REF</w:instrText>
      </w:r>
      <w:r>
        <w:rPr>
          <w:rFonts w:hint="cs"/>
          <w:b/>
          <w:bCs/>
          <w:vanish/>
          <w:rtl/>
        </w:rPr>
        <w:instrText xml:space="preserve"> _</w:instrText>
      </w:r>
      <w:r>
        <w:rPr>
          <w:rFonts w:hint="cs"/>
          <w:b/>
          <w:bCs/>
          <w:vanish/>
        </w:rPr>
        <w:instrText>Ref144932153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טז)</w:t>
      </w:r>
      <w:r>
        <w:rPr>
          <w:b/>
          <w:bCs/>
          <w:vanish/>
          <w:rtl/>
        </w:rPr>
        <w:fldChar w:fldCharType="end"/>
      </w:r>
      <w:r>
        <w:rPr>
          <w:rFonts w:hint="cs"/>
          <w:b/>
          <w:bCs/>
          <w:vanish/>
          <w:rtl/>
        </w:rPr>
        <w:t xml:space="preserve"> &gt;</w:t>
      </w:r>
      <w:r w:rsidRPr="004468EE">
        <w:rPr>
          <w:rFonts w:hint="cs"/>
          <w:b/>
          <w:bCs/>
          <w:rtl/>
        </w:rPr>
        <w:t>חי' המיוחסים לר"ן</w:t>
      </w:r>
      <w:r w:rsidRPr="004468EE">
        <w:rPr>
          <w:b/>
          <w:bCs/>
          <w:rtl/>
        </w:rPr>
        <w:t xml:space="preserve"> </w:t>
      </w:r>
      <w:r w:rsidRPr="004468EE">
        <w:rPr>
          <w:rFonts w:ascii="Calibri" w:eastAsia="Times New Roman" w:hAnsi="Calibri" w:cs="Guttman Rashi"/>
          <w:noProof w:val="0"/>
          <w:sz w:val="10"/>
          <w:szCs w:val="12"/>
          <w:rtl/>
        </w:rPr>
        <w:t>(</w:t>
      </w:r>
      <w:r w:rsidRPr="004468EE">
        <w:rPr>
          <w:rFonts w:ascii="Calibri" w:eastAsia="Times New Roman" w:hAnsi="Calibri" w:cs="Guttman Rashi" w:hint="cs"/>
          <w:noProof w:val="0"/>
          <w:sz w:val="10"/>
          <w:szCs w:val="12"/>
          <w:rtl/>
        </w:rPr>
        <w:t>ד"ה האי</w:t>
      </w:r>
      <w:r w:rsidRPr="004468EE">
        <w:rPr>
          <w:rFonts w:ascii="Calibri" w:eastAsia="Times New Roman" w:hAnsi="Calibri" w:cs="Guttman Rashi"/>
          <w:noProof w:val="0"/>
          <w:sz w:val="10"/>
          <w:szCs w:val="12"/>
          <w:rtl/>
        </w:rPr>
        <w:t>)</w:t>
      </w:r>
      <w:r w:rsidRPr="004468EE">
        <w:rPr>
          <w:vanish/>
          <w:rtl/>
        </w:rPr>
        <w:t>=</w:t>
      </w:r>
      <w:r>
        <w:rPr>
          <w:rtl/>
        </w:rPr>
        <w:t xml:space="preserve"> </w:t>
      </w:r>
      <w:r>
        <w:rPr>
          <w:rFonts w:hint="cs"/>
          <w:rtl/>
        </w:rPr>
        <w:t>בשם</w:t>
      </w:r>
      <w:r>
        <w:rPr>
          <w:rtl/>
        </w:rPr>
        <w:t xml:space="preserve"> </w:t>
      </w:r>
      <w:r w:rsidRPr="004468EE">
        <w:rPr>
          <w:rFonts w:hint="cs"/>
          <w:b/>
          <w:bCs/>
          <w:rtl/>
        </w:rPr>
        <w:t>הרא"ה</w:t>
      </w:r>
      <w:r>
        <w:rPr>
          <w:rtl/>
        </w:rPr>
        <w:t xml:space="preserve"> </w:t>
      </w:r>
      <w:r>
        <w:rPr>
          <w:rFonts w:hint="cs"/>
          <w:rtl/>
        </w:rPr>
        <w:t>דשמואל מודה לרב דיש בנין בכלים בכלים</w:t>
      </w:r>
      <w:r w:rsidRPr="00F612D0">
        <w:rPr>
          <w:rStyle w:val="af2"/>
          <w:rFonts w:eastAsia="Guttman Hodes" w:hint="cs"/>
          <w:rtl/>
        </w:rPr>
        <w:t xml:space="preserve"> </w:t>
      </w:r>
      <w:r>
        <w:rPr>
          <w:rStyle w:val="af2"/>
          <w:rFonts w:eastAsia="Guttman Hodes" w:hint="cs"/>
          <w:rtl/>
        </w:rPr>
        <w:t>(</w:t>
      </w:r>
      <w:r w:rsidRPr="00F612D0">
        <w:rPr>
          <w:rStyle w:val="af2"/>
          <w:rFonts w:eastAsia="Guttman Hodes" w:hint="cs"/>
          <w:rtl/>
        </w:rPr>
        <w:t>שאינם</w:t>
      </w:r>
      <w:r>
        <w:rPr>
          <w:rStyle w:val="af2"/>
          <w:rFonts w:eastAsia="Guttman Hodes" w:hint="cs"/>
          <w:rtl/>
        </w:rPr>
        <w:t>)</w:t>
      </w:r>
      <w:r>
        <w:rPr>
          <w:rStyle w:val="afff0"/>
          <w:rtl/>
        </w:rPr>
        <w:footnoteReference w:id="17"/>
      </w:r>
      <w:r w:rsidRPr="00F612D0">
        <w:rPr>
          <w:rFonts w:hint="cs"/>
          <w:rtl/>
        </w:rPr>
        <w:t xml:space="preserve"> </w:t>
      </w:r>
      <w:r>
        <w:rPr>
          <w:rFonts w:hint="cs"/>
          <w:rtl/>
        </w:rPr>
        <w:t>של חוליות, דאי ס"ל דאין בנין בכלים כלל א"כ היה לו לחלוק על רב בכל כלים ולא רק בשופתא דקופינא, וכתב</w:t>
      </w:r>
      <w:r>
        <w:rPr>
          <w:rtl/>
        </w:rPr>
        <w:t xml:space="preserve"> </w:t>
      </w:r>
      <w:r w:rsidRPr="004468EE">
        <w:rPr>
          <w:rFonts w:hint="cs"/>
          <w:b/>
          <w:bCs/>
          <w:rtl/>
        </w:rPr>
        <w:t>בחי' המיוחסים לר"ן</w:t>
      </w:r>
      <w:r>
        <w:rPr>
          <w:rtl/>
        </w:rPr>
        <w:t xml:space="preserve"> </w:t>
      </w:r>
      <w:r>
        <w:rPr>
          <w:rFonts w:hint="cs"/>
          <w:rtl/>
        </w:rPr>
        <w:t>דכן מוכח בגמ' לעיל</w:t>
      </w:r>
      <w:r>
        <w:rPr>
          <w:rtl/>
        </w:rPr>
        <w:t xml:space="preserve"> </w:t>
      </w:r>
      <w:r w:rsidRPr="004468EE">
        <w:rPr>
          <w:rFonts w:ascii="Calibri" w:eastAsia="Times New Roman" w:hAnsi="Calibri" w:cs="Guttman Rashi"/>
          <w:noProof w:val="0"/>
          <w:sz w:val="10"/>
          <w:szCs w:val="12"/>
          <w:rtl/>
        </w:rPr>
        <w:t>(</w:t>
      </w:r>
      <w:r w:rsidRPr="004468EE">
        <w:rPr>
          <w:rFonts w:ascii="Calibri" w:eastAsia="Times New Roman" w:hAnsi="Calibri" w:cs="Guttman Rashi" w:hint="cs"/>
          <w:noProof w:val="0"/>
          <w:sz w:val="10"/>
          <w:szCs w:val="12"/>
          <w:rtl/>
        </w:rPr>
        <w:t>מז.</w:t>
      </w:r>
      <w:r w:rsidRPr="004468EE">
        <w:rPr>
          <w:rFonts w:ascii="Calibri" w:eastAsia="Times New Roman" w:hAnsi="Calibri" w:cs="Guttman Rashi"/>
          <w:noProof w:val="0"/>
          <w:sz w:val="10"/>
          <w:szCs w:val="12"/>
          <w:rtl/>
        </w:rPr>
        <w:t>)</w:t>
      </w:r>
      <w:r>
        <w:rPr>
          <w:rtl/>
        </w:rPr>
        <w:t xml:space="preserve"> </w:t>
      </w:r>
      <w:r>
        <w:rPr>
          <w:rFonts w:hint="cs"/>
          <w:rtl/>
        </w:rPr>
        <w:t xml:space="preserve">במטה של טרסיים, </w:t>
      </w:r>
      <w:r w:rsidRPr="004C794E">
        <w:rPr>
          <w:rStyle w:val="af"/>
          <w:rFonts w:hint="cs"/>
          <w:rtl/>
        </w:rPr>
        <w:t>[דרב ושמואל אסרי להחזירה],</w:t>
      </w:r>
      <w:r>
        <w:rPr>
          <w:rFonts w:hint="cs"/>
          <w:rtl/>
        </w:rPr>
        <w:t xml:space="preserve"> וריו"ח בגמ' לעיל</w:t>
      </w:r>
      <w:r>
        <w:rPr>
          <w:rtl/>
        </w:rPr>
        <w:t xml:space="preserve"> </w:t>
      </w:r>
      <w:r w:rsidRPr="004468EE">
        <w:rPr>
          <w:rFonts w:ascii="Calibri" w:eastAsia="Times New Roman" w:hAnsi="Calibri" w:cs="Guttman Rashi"/>
          <w:noProof w:val="0"/>
          <w:sz w:val="10"/>
          <w:szCs w:val="12"/>
          <w:rtl/>
        </w:rPr>
        <w:t>(</w:t>
      </w:r>
      <w:r w:rsidRPr="004468EE">
        <w:rPr>
          <w:rFonts w:ascii="Calibri" w:eastAsia="Times New Roman" w:hAnsi="Calibri" w:cs="Guttman Rashi" w:hint="cs"/>
          <w:noProof w:val="0"/>
          <w:sz w:val="10"/>
          <w:szCs w:val="12"/>
          <w:rtl/>
        </w:rPr>
        <w:t>מו.</w:t>
      </w:r>
      <w:r w:rsidRPr="004468EE">
        <w:rPr>
          <w:rFonts w:ascii="Calibri" w:eastAsia="Times New Roman" w:hAnsi="Calibri" w:cs="Guttman Rashi"/>
          <w:noProof w:val="0"/>
          <w:sz w:val="10"/>
          <w:szCs w:val="12"/>
          <w:rtl/>
        </w:rPr>
        <w:t>)</w:t>
      </w:r>
      <w:r>
        <w:rPr>
          <w:rtl/>
        </w:rPr>
        <w:t xml:space="preserve"> </w:t>
      </w:r>
      <w:r>
        <w:rPr>
          <w:rFonts w:hint="cs"/>
          <w:rtl/>
        </w:rPr>
        <w:t xml:space="preserve">דג"כ ס"ל דיש בנין בכלים, אך כתב </w:t>
      </w:r>
      <w:r w:rsidRPr="004468EE">
        <w:rPr>
          <w:rFonts w:hint="cs"/>
          <w:b/>
          <w:bCs/>
          <w:rtl/>
        </w:rPr>
        <w:t>בחי' המיוחסים לר"ן</w:t>
      </w:r>
      <w:r>
        <w:rPr>
          <w:rFonts w:hint="cs"/>
          <w:rtl/>
        </w:rPr>
        <w:t xml:space="preserve"> דלהלכה קיי"ל דאין בנין בכלים, והביא דכן ביאר </w:t>
      </w:r>
      <w:r w:rsidRPr="004468EE">
        <w:rPr>
          <w:rFonts w:hint="cs"/>
          <w:b/>
          <w:bCs/>
          <w:rtl/>
        </w:rPr>
        <w:t>הרמב"ן במלחמות</w:t>
      </w:r>
      <w:r>
        <w:rPr>
          <w:rtl/>
        </w:rPr>
        <w:t xml:space="preserve"> </w:t>
      </w:r>
      <w:r w:rsidRPr="004C794E">
        <w:rPr>
          <w:rStyle w:val="af2"/>
          <w:rFonts w:eastAsia="Guttman Hodes" w:hint="cs"/>
          <w:rtl/>
        </w:rPr>
        <w:t>(</w:t>
      </w:r>
      <w:r w:rsidRPr="00861CD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Ref144324318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יג)</w:t>
      </w:r>
      <w:r>
        <w:rPr>
          <w:rStyle w:val="af2"/>
          <w:rFonts w:eastAsia="Guttman Hodes"/>
          <w:rtl/>
        </w:rPr>
        <w:fldChar w:fldCharType="end"/>
      </w:r>
      <w:r>
        <w:rPr>
          <w:rFonts w:hint="cs"/>
          <w:rtl/>
        </w:rPr>
        <w:t xml:space="preserve"> בדעת</w:t>
      </w:r>
      <w:r>
        <w:rPr>
          <w:rtl/>
        </w:rPr>
        <w:t xml:space="preserve"> </w:t>
      </w:r>
      <w:r w:rsidRPr="004468EE">
        <w:rPr>
          <w:rFonts w:hint="cs"/>
          <w:b/>
          <w:bCs/>
          <w:rtl/>
        </w:rPr>
        <w:t>הרי"ף</w:t>
      </w:r>
      <w:r>
        <w:rPr>
          <w:rFonts w:hint="cs"/>
          <w:rtl/>
        </w:rPr>
        <w:t xml:space="preserve">, אך </w:t>
      </w:r>
      <w:r w:rsidRPr="004468EE">
        <w:rPr>
          <w:rFonts w:hint="cs"/>
          <w:b/>
          <w:bCs/>
          <w:rtl/>
        </w:rPr>
        <w:t>הרמב"ן</w:t>
      </w:r>
      <w:r>
        <w:rPr>
          <w:rtl/>
        </w:rPr>
        <w:t xml:space="preserve"> </w:t>
      </w:r>
      <w:r>
        <w:rPr>
          <w:rFonts w:hint="cs"/>
          <w:rtl/>
        </w:rPr>
        <w:t>עצמו חילק בין כלים שיש בהם בנין לכלים שאין בהם בנין.</w:t>
      </w:r>
      <w:bookmarkEnd w:id="5456"/>
      <w:bookmarkEnd w:id="5458"/>
    </w:p>
    <w:p w14:paraId="44E914A4" w14:textId="77777777" w:rsidR="003E1AA3" w:rsidRPr="00BC7DC8" w:rsidRDefault="003E1AA3" w:rsidP="003E1AA3">
      <w:pPr>
        <w:pStyle w:val="afffffe"/>
        <w:rPr>
          <w:vanish/>
          <w:rtl/>
        </w:rPr>
      </w:pPr>
      <w:r w:rsidRPr="00BC7DC8">
        <w:rPr>
          <w:vanish/>
          <w:rtl/>
        </w:rPr>
        <w:t xml:space="preserve">חדושי הר"ן </w:t>
      </w:r>
      <w:r w:rsidRPr="00BC7DC8">
        <w:rPr>
          <w:rFonts w:hint="cs"/>
          <w:vanish/>
          <w:rtl/>
        </w:rPr>
        <w:t xml:space="preserve">- </w:t>
      </w:r>
      <w:r w:rsidRPr="00BC7DC8">
        <w:rPr>
          <w:vanish/>
          <w:rtl/>
        </w:rPr>
        <w:t>מיוחס לו שבת ק"ב ע"ב</w:t>
      </w:r>
      <w:r w:rsidRPr="00BC7DC8">
        <w:rPr>
          <w:rFonts w:hint="cs"/>
          <w:vanish/>
          <w:rtl/>
        </w:rPr>
        <w:t xml:space="preserve"> ד"ה האי</w:t>
      </w:r>
    </w:p>
    <w:p w14:paraId="3CC9B8B0" w14:textId="77777777" w:rsidR="003E1AA3" w:rsidRPr="00FC2169" w:rsidRDefault="003E1AA3" w:rsidP="003E1AA3">
      <w:pPr>
        <w:pStyle w:val="a2"/>
        <w:tabs>
          <w:tab w:val="num" w:pos="284"/>
        </w:tabs>
        <w:rPr>
          <w:rtl/>
        </w:rPr>
      </w:pPr>
      <w:r w:rsidRPr="0018388A">
        <w:rPr>
          <w:rtl/>
        </w:rPr>
        <w:t xml:space="preserve">האי מאן דעייל שופתא וכו' ושמואל אמר משום מכה בפטיש. פי' דס"ל דאין דרך בנין בכך אבל בעיקר דינא מודה לי' דיש בנין בכלים וכגון כלים </w:t>
      </w:r>
      <w:r w:rsidRPr="0018388A">
        <w:rPr>
          <w:rFonts w:hint="cs"/>
          <w:rtl/>
        </w:rPr>
        <w:t>(</w:t>
      </w:r>
      <w:r w:rsidRPr="0018388A">
        <w:rPr>
          <w:rtl/>
        </w:rPr>
        <w:t>שאינן</w:t>
      </w:r>
      <w:r w:rsidRPr="0018388A">
        <w:rPr>
          <w:rFonts w:hint="cs"/>
          <w:rtl/>
        </w:rPr>
        <w:t xml:space="preserve"> - לכאו' הוא ט"ס)</w:t>
      </w:r>
      <w:r w:rsidRPr="0018388A">
        <w:rPr>
          <w:rtl/>
        </w:rPr>
        <w:t xml:space="preserve"> של חוליות דאי לא ליפליג בשאר כלים דעלמא. והכי מוכח בשלהי פרק כירה גבי מטה של טרסיים, ולית הלכתא כותייהו ולא כר' יוחנן דסבר לה הכין בפר' כירה אלא קי"ל אין בנין בכלים כדאסיקנא בפרק כל הכלים כן דעת הרא"ה ז"ל, וכן נראה דעת הרי"ף ז"ל אלא שרמב"ן ז"ל חילק בין כלים וכלים</w:t>
      </w:r>
      <w:r w:rsidRPr="00FC2169">
        <w:rPr>
          <w:rStyle w:val="afff7"/>
          <w:rtl/>
        </w:rPr>
        <w:t>, ולפי דברי הרי"ף והרא"ה ז"ל כיון דליתא לדרב בשיפתא בקופינא מסתברא דהלכתא כשמואל בכולהו דכולהו משום מכה בפטיש וכדאמרי' נמי בעא מיני' רב נתן בר הושעיא מר' יוחנן מסתת משום מאי מיחייב אחוי לי' בידי' משום מכה בפטיש וכן פסק הרא"ה ז"ל:</w:t>
      </w:r>
    </w:p>
    <w:p w14:paraId="21BEFB00" w14:textId="77777777" w:rsidR="003E1AA3" w:rsidRPr="00FC269C" w:rsidRDefault="003E1AA3" w:rsidP="003E1AA3">
      <w:pPr>
        <w:pStyle w:val="afffff7"/>
        <w:rPr>
          <w:rtl/>
        </w:rPr>
      </w:pPr>
      <w:bookmarkStart w:id="5459" w:name="_Toc145234015"/>
      <w:bookmarkStart w:id="5460" w:name="_Toc163506273"/>
      <w:r w:rsidRPr="00FC269C">
        <w:rPr>
          <w:rtl/>
        </w:rPr>
        <w:t>חדושי הר"ן שבת מ"ז ע"א</w:t>
      </w:r>
      <w:r w:rsidRPr="00FC269C">
        <w:rPr>
          <w:rFonts w:hint="cs"/>
          <w:rtl/>
        </w:rPr>
        <w:t xml:space="preserve"> ד"ה הא</w:t>
      </w:r>
      <w:bookmarkEnd w:id="5459"/>
      <w:bookmarkEnd w:id="5460"/>
    </w:p>
    <w:p w14:paraId="36AFF848" w14:textId="77777777" w:rsidR="003E1AA3" w:rsidRDefault="003E1AA3" w:rsidP="003E1AA3">
      <w:pPr>
        <w:pStyle w:val="a7"/>
        <w:rPr>
          <w:rtl/>
        </w:rPr>
      </w:pPr>
      <w:bookmarkStart w:id="5461" w:name="_Toc145233902"/>
      <w:r>
        <w:rPr>
          <w:rFonts w:hint="cs"/>
          <w:rtl/>
        </w:rPr>
        <w:t>בי' הי"מ בר"ן דלרב ושמואל יש בנין בכלים ולר"א ור"ה אין בנין בכלים ותוקע חייב במכב"פ</w:t>
      </w:r>
      <w:bookmarkEnd w:id="5461"/>
      <w:r>
        <w:rPr>
          <w:rFonts w:hint="cs"/>
          <w:rtl/>
        </w:rPr>
        <w:t xml:space="preserve"> </w:t>
      </w:r>
    </w:p>
    <w:p w14:paraId="17D4AE5C" w14:textId="724988B1" w:rsidR="003E1AA3" w:rsidRDefault="003E1AA3" w:rsidP="00BC7DC8">
      <w:pPr>
        <w:pStyle w:val="a3"/>
      </w:pPr>
      <w:bookmarkStart w:id="5462" w:name="_Ref145018368"/>
      <w:bookmarkStart w:id="5463" w:name="_Ref145235955"/>
      <w:r>
        <w:rPr>
          <w:rFonts w:hint="cs"/>
          <w:rtl/>
        </w:rPr>
        <w:t>וכ"כ</w:t>
      </w:r>
      <w:r>
        <w:rPr>
          <w:rtl/>
        </w:rPr>
        <w:t xml:space="preserve"> </w:t>
      </w:r>
      <w:r w:rsidRPr="002E33B7">
        <w:rPr>
          <w:b/>
          <w:bCs/>
          <w:rtl/>
        </w:rPr>
        <w:t>ה</w:t>
      </w:r>
      <w:r w:rsidRPr="002E33B7">
        <w:rPr>
          <w:b/>
          <w:bCs/>
          <w:vanish/>
          <w:rtl/>
        </w:rPr>
        <w:t xml:space="preserve"> </w:t>
      </w:r>
      <w:r>
        <w:rPr>
          <w:rFonts w:hint="cs"/>
          <w:b/>
          <w:bCs/>
          <w:vanish/>
          <w:rtl/>
        </w:rPr>
        <w:t xml:space="preserve">&lt;, </w:t>
      </w:r>
      <w:r>
        <w:rPr>
          <w:b/>
          <w:bCs/>
          <w:vanish/>
          <w:rtl/>
        </w:rPr>
        <w:fldChar w:fldCharType="begin"/>
      </w:r>
      <w:r>
        <w:rPr>
          <w:b/>
          <w:bCs/>
          <w:vanish/>
          <w:rtl/>
        </w:rPr>
        <w:instrText xml:space="preserve"> </w:instrText>
      </w:r>
      <w:r>
        <w:rPr>
          <w:rFonts w:hint="cs"/>
          <w:b/>
          <w:bCs/>
          <w:vanish/>
        </w:rPr>
        <w:instrText>REF</w:instrText>
      </w:r>
      <w:r>
        <w:rPr>
          <w:rFonts w:hint="cs"/>
          <w:b/>
          <w:bCs/>
          <w:vanish/>
          <w:rtl/>
        </w:rPr>
        <w:instrText xml:space="preserve"> _</w:instrText>
      </w:r>
      <w:r>
        <w:rPr>
          <w:rFonts w:hint="cs"/>
          <w:b/>
          <w:bCs/>
          <w:vanish/>
        </w:rPr>
        <w:instrText>Ref145018368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יז)</w:t>
      </w:r>
      <w:r>
        <w:rPr>
          <w:b/>
          <w:bCs/>
          <w:vanish/>
          <w:rtl/>
        </w:rPr>
        <w:fldChar w:fldCharType="end"/>
      </w:r>
      <w:r>
        <w:rPr>
          <w:rFonts w:hint="cs"/>
          <w:b/>
          <w:bCs/>
          <w:vanish/>
          <w:rtl/>
        </w:rPr>
        <w:t xml:space="preserve"> &gt;</w:t>
      </w:r>
      <w:r>
        <w:rPr>
          <w:rFonts w:hint="cs"/>
          <w:b/>
          <w:bCs/>
          <w:rtl/>
        </w:rPr>
        <w:t>ר"ן לעיל</w:t>
      </w:r>
      <w:r w:rsidRPr="002E33B7">
        <w:rPr>
          <w:b/>
          <w:bCs/>
          <w:rtl/>
        </w:rPr>
        <w:t xml:space="preserve"> </w:t>
      </w:r>
      <w:r w:rsidRPr="002E33B7">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מז. ד"ה הא</w:t>
      </w:r>
      <w:r w:rsidRPr="002E33B7">
        <w:rPr>
          <w:rFonts w:ascii="Calibri" w:eastAsia="Times New Roman" w:hAnsi="Calibri" w:cs="Guttman Rashi"/>
          <w:noProof w:val="0"/>
          <w:sz w:val="10"/>
          <w:szCs w:val="12"/>
          <w:rtl/>
        </w:rPr>
        <w:t>)</w:t>
      </w:r>
      <w:r w:rsidRPr="002E33B7">
        <w:rPr>
          <w:vanish/>
          <w:rtl/>
        </w:rPr>
        <w:t>=</w:t>
      </w:r>
      <w:r>
        <w:rPr>
          <w:rtl/>
        </w:rPr>
        <w:t xml:space="preserve"> </w:t>
      </w:r>
      <w:r>
        <w:rPr>
          <w:rFonts w:hint="cs"/>
          <w:rtl/>
        </w:rPr>
        <w:t>בשם</w:t>
      </w:r>
      <w:r>
        <w:rPr>
          <w:rtl/>
        </w:rPr>
        <w:t xml:space="preserve"> </w:t>
      </w:r>
      <w:r>
        <w:rPr>
          <w:rFonts w:hint="cs"/>
          <w:b/>
          <w:bCs/>
          <w:rtl/>
        </w:rPr>
        <w:t>אחרים</w:t>
      </w:r>
      <w:r>
        <w:rPr>
          <w:rtl/>
        </w:rPr>
        <w:t xml:space="preserve"> </w:t>
      </w:r>
      <w:r>
        <w:rPr>
          <w:rFonts w:hint="cs"/>
          <w:rtl/>
        </w:rPr>
        <w:t>דביארו דהא דרב ושמואל מחייבים חטאת במיטה של טרסיים אף בלא תוקע דס"ל דיש בנין בכלים,</w:t>
      </w:r>
      <w:r w:rsidRPr="00CD7253">
        <w:rPr>
          <w:rFonts w:hint="cs"/>
          <w:rtl/>
        </w:rPr>
        <w:t xml:space="preserve"> </w:t>
      </w:r>
      <w:r>
        <w:rPr>
          <w:rFonts w:hint="cs"/>
          <w:rtl/>
        </w:rPr>
        <w:t xml:space="preserve">ורבי אבא ורב הונא דמחייבים רק בתוקע </w:t>
      </w:r>
      <w:r w:rsidRPr="00042144">
        <w:rPr>
          <w:rFonts w:hint="cs"/>
          <w:rtl/>
        </w:rPr>
        <w:t xml:space="preserve">משום מכה בפטיש הוא כיון דס"ל דאין בנין בכלים, עי' במה שביאר </w:t>
      </w:r>
      <w:r w:rsidRPr="002E33B7">
        <w:rPr>
          <w:b/>
          <w:bCs/>
          <w:rtl/>
        </w:rPr>
        <w:t>ה</w:t>
      </w:r>
      <w:r>
        <w:rPr>
          <w:rFonts w:hint="cs"/>
          <w:b/>
          <w:bCs/>
          <w:rtl/>
        </w:rPr>
        <w:t xml:space="preserve">ר"ן </w:t>
      </w:r>
      <w:bookmarkEnd w:id="5462"/>
      <w:r w:rsidRPr="005A2E7F">
        <w:rPr>
          <w:sz w:val="12"/>
          <w:szCs w:val="14"/>
          <w:rtl/>
        </w:rPr>
        <w:t>[</w:t>
      </w:r>
      <w:r>
        <w:rPr>
          <w:rFonts w:hint="cs"/>
          <w:sz w:val="12"/>
          <w:szCs w:val="14"/>
          <w:rtl/>
        </w:rPr>
        <w:t>אי"ה יובאו דבריו בהמשך</w:t>
      </w:r>
      <w:r w:rsidRPr="005A2E7F">
        <w:rPr>
          <w:sz w:val="12"/>
          <w:szCs w:val="14"/>
          <w:rtl/>
        </w:rPr>
        <w:t>]</w:t>
      </w:r>
      <w:r w:rsidRPr="00042144">
        <w:rPr>
          <w:rFonts w:hint="cs"/>
          <w:rtl/>
        </w:rPr>
        <w:t xml:space="preserve"> </w:t>
      </w:r>
      <w:r>
        <w:rPr>
          <w:rFonts w:hint="cs"/>
          <w:rtl/>
        </w:rPr>
        <w:t>לפי"ז את הגמ' לעיל</w:t>
      </w:r>
      <w:r w:rsidRPr="00042144">
        <w:rPr>
          <w:rFonts w:hint="cs"/>
          <w:rtl/>
        </w:rPr>
        <w:t xml:space="preserve"> באריכות</w:t>
      </w:r>
      <w:r>
        <w:rPr>
          <w:rFonts w:hint="cs"/>
          <w:rtl/>
        </w:rPr>
        <w:t>.</w:t>
      </w:r>
      <w:bookmarkEnd w:id="5463"/>
      <w:r>
        <w:t xml:space="preserve"> </w:t>
      </w:r>
    </w:p>
    <w:p w14:paraId="5531CED8" w14:textId="77777777" w:rsidR="003E1AA3" w:rsidRPr="00BC7DC8" w:rsidRDefault="003E1AA3" w:rsidP="003E1AA3">
      <w:pPr>
        <w:pStyle w:val="afffffe"/>
        <w:rPr>
          <w:vanish/>
          <w:rtl/>
        </w:rPr>
      </w:pPr>
      <w:r w:rsidRPr="00BC7DC8">
        <w:rPr>
          <w:vanish/>
          <w:rtl/>
        </w:rPr>
        <w:t>חדושי הר"ן שבת מ"ז ע"א</w:t>
      </w:r>
      <w:r w:rsidRPr="00BC7DC8">
        <w:rPr>
          <w:rFonts w:hint="cs"/>
          <w:vanish/>
          <w:rtl/>
        </w:rPr>
        <w:t xml:space="preserve"> ד"ה הא</w:t>
      </w:r>
    </w:p>
    <w:p w14:paraId="72D922FC" w14:textId="77777777" w:rsidR="003E1AA3" w:rsidRPr="0018388A" w:rsidRDefault="003E1AA3" w:rsidP="003E1AA3">
      <w:pPr>
        <w:pStyle w:val="a2"/>
        <w:tabs>
          <w:tab w:val="num" w:pos="284"/>
        </w:tabs>
        <w:rPr>
          <w:rtl/>
        </w:rPr>
      </w:pPr>
      <w:r w:rsidRPr="0018388A">
        <w:rPr>
          <w:rtl/>
        </w:rPr>
        <w:t xml:space="preserve">ואחרים פירשו דרו"ש אפילו בלא תקע מחייבי דס"ל יש בנין בכלים ויש סתירה בכלים ומש"ה פרכינן מינה שפיר לר' אבא ולרב הונא בר חייא </w:t>
      </w:r>
      <w:r>
        <w:rPr>
          <w:rFonts w:hint="cs"/>
          <w:rtl/>
        </w:rPr>
        <w:t xml:space="preserve">וכו', </w:t>
      </w:r>
      <w:r w:rsidRPr="0018388A">
        <w:rPr>
          <w:rtl/>
        </w:rPr>
        <w:t xml:space="preserve">ואינהו סבירא להו דאין בנין בכלים ואין סתירה בכלים ומשום הכי בשתקע דוקא הוא דאיכא איסורא דאורייתא משום מכה בפטיש </w:t>
      </w:r>
      <w:r>
        <w:rPr>
          <w:rFonts w:hint="cs"/>
          <w:rtl/>
        </w:rPr>
        <w:t>וכו'.</w:t>
      </w:r>
    </w:p>
    <w:p w14:paraId="0F201AAE" w14:textId="77777777" w:rsidR="003E1AA3" w:rsidRDefault="003E1AA3" w:rsidP="003E1AA3">
      <w:pPr>
        <w:pStyle w:val="a7"/>
      </w:pPr>
      <w:bookmarkStart w:id="5464" w:name="_Toc145233903"/>
      <w:r>
        <w:rPr>
          <w:rFonts w:hint="cs"/>
          <w:rtl/>
        </w:rPr>
        <w:t>בי' הר"ן דמוכח בשופתא דלרב יש בנין בכלים ושמואל ס"ל דשופתא ולול לא הוי דרך בנין</w:t>
      </w:r>
      <w:bookmarkEnd w:id="5464"/>
    </w:p>
    <w:p w14:paraId="5DAC45DF" w14:textId="6C50616C" w:rsidR="003E1AA3" w:rsidRPr="000D050A" w:rsidRDefault="003E1AA3" w:rsidP="00BC7DC8">
      <w:pPr>
        <w:pStyle w:val="a3"/>
      </w:pPr>
      <w:r>
        <w:rPr>
          <w:rFonts w:hint="cs"/>
          <w:rtl/>
        </w:rPr>
        <w:t>והוסיף</w:t>
      </w:r>
      <w:r>
        <w:rPr>
          <w:rtl/>
        </w:rPr>
        <w:t xml:space="preserve"> </w:t>
      </w:r>
      <w:r>
        <w:rPr>
          <w:rFonts w:hint="cs"/>
          <w:b/>
          <w:bCs/>
          <w:rtl/>
        </w:rPr>
        <w:t>הר"ן לעיל</w:t>
      </w:r>
      <w:r>
        <w:rPr>
          <w:rtl/>
        </w:rPr>
        <w:t xml:space="preserve"> </w:t>
      </w:r>
      <w:r>
        <w:rPr>
          <w:rFonts w:hint="cs"/>
          <w:rtl/>
        </w:rPr>
        <w:t>דכן מוכח מהא דרב בסוגיין ס"ל להדיא דיש בנין בכלים מדמחייב בבונה בשופתא דקופינא, ואף שמואל דמחייב רק במכה בפטיש אינו מחמת דס"ל דאין בנין בכלים, אלא דאינו דרך בנין, וכדמוכח מהא דפליג שמואל אף בנקב בלול של תרנגולין דהוא מחובר לקרקע, כמבואר בגמ' לקמן</w:t>
      </w:r>
      <w:r>
        <w:rPr>
          <w:rtl/>
        </w:rPr>
        <w:t xml:space="preserve"> </w:t>
      </w:r>
      <w:r w:rsidRPr="003B2880">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קכב:</w:t>
      </w:r>
      <w:r w:rsidRPr="003B2880">
        <w:rPr>
          <w:rFonts w:ascii="Calibri" w:eastAsia="Times New Roman" w:hAnsi="Calibri" w:cs="Guttman Rashi"/>
          <w:noProof w:val="0"/>
          <w:sz w:val="10"/>
          <w:szCs w:val="12"/>
          <w:rtl/>
        </w:rPr>
        <w:t>)</w:t>
      </w:r>
      <w:r>
        <w:rPr>
          <w:rFonts w:hint="cs"/>
          <w:rtl/>
        </w:rPr>
        <w:t>,</w:t>
      </w:r>
      <w:r>
        <w:rPr>
          <w:rtl/>
        </w:rPr>
        <w:t xml:space="preserve"> </w:t>
      </w:r>
      <w:r>
        <w:rPr>
          <w:rFonts w:hint="cs"/>
          <w:rtl/>
        </w:rPr>
        <w:t>וא"כ א"א לומר דנחלקו אי יש בנין בכלים, ומבואר דנחלקו בדרך בנין ואף לשמואל יש בנין בכלים ולכן רב ושמואל מחייבי חטאת</w:t>
      </w:r>
      <w:r w:rsidRPr="000E67AA">
        <w:rPr>
          <w:rFonts w:hint="cs"/>
          <w:rtl/>
        </w:rPr>
        <w:t xml:space="preserve"> </w:t>
      </w:r>
      <w:r>
        <w:rPr>
          <w:rFonts w:hint="cs"/>
          <w:rtl/>
        </w:rPr>
        <w:t>במטה של טרסיים, וכתב</w:t>
      </w:r>
      <w:r>
        <w:rPr>
          <w:rtl/>
        </w:rPr>
        <w:t xml:space="preserve"> </w:t>
      </w:r>
      <w:r>
        <w:rPr>
          <w:rFonts w:hint="cs"/>
          <w:b/>
          <w:bCs/>
          <w:rtl/>
        </w:rPr>
        <w:t>הר"ן</w:t>
      </w:r>
      <w:r>
        <w:rPr>
          <w:rtl/>
        </w:rPr>
        <w:t xml:space="preserve"> </w:t>
      </w:r>
      <w:r>
        <w:rPr>
          <w:rFonts w:hint="cs"/>
          <w:rtl/>
        </w:rPr>
        <w:t>דמקצת ביאור זה כתב</w:t>
      </w:r>
      <w:r>
        <w:rPr>
          <w:rtl/>
        </w:rPr>
        <w:t xml:space="preserve"> </w:t>
      </w:r>
      <w:r>
        <w:rPr>
          <w:rFonts w:hint="cs"/>
          <w:b/>
          <w:bCs/>
          <w:rtl/>
        </w:rPr>
        <w:t>הבעה"מ</w:t>
      </w:r>
      <w:r>
        <w:rPr>
          <w:rFonts w:hint="cs"/>
          <w:rtl/>
        </w:rPr>
        <w:t xml:space="preserve"> </w:t>
      </w:r>
      <w:r w:rsidRPr="00A90D52">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Ref145225581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מ)</w:t>
      </w:r>
      <w:r>
        <w:rPr>
          <w:rStyle w:val="af2"/>
          <w:rFonts w:eastAsia="Guttman Hodes"/>
          <w:rtl/>
        </w:rPr>
        <w:fldChar w:fldCharType="end"/>
      </w:r>
      <w:r>
        <w:rPr>
          <w:rFonts w:hint="cs"/>
          <w:rtl/>
        </w:rPr>
        <w:t xml:space="preserve"> ומקצתו כתב</w:t>
      </w:r>
      <w:r>
        <w:rPr>
          <w:rtl/>
        </w:rPr>
        <w:t xml:space="preserve"> </w:t>
      </w:r>
      <w:r>
        <w:rPr>
          <w:rFonts w:hint="cs"/>
          <w:b/>
          <w:bCs/>
          <w:rtl/>
        </w:rPr>
        <w:t xml:space="preserve">הרמב"ן במלחמות </w:t>
      </w:r>
      <w:r w:rsidRPr="00A90D52">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Ref144324318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יג)</w:t>
      </w:r>
      <w:r>
        <w:rPr>
          <w:rStyle w:val="af2"/>
          <w:rFonts w:eastAsia="Guttman Hodes"/>
          <w:rtl/>
        </w:rPr>
        <w:fldChar w:fldCharType="end"/>
      </w:r>
      <w:r>
        <w:rPr>
          <w:rFonts w:hint="cs"/>
          <w:rtl/>
        </w:rPr>
        <w:t>.</w:t>
      </w:r>
      <w:r>
        <w:rPr>
          <w:rtl/>
        </w:rPr>
        <w:t xml:space="preserve"> </w:t>
      </w:r>
    </w:p>
    <w:p w14:paraId="350172D9" w14:textId="77777777" w:rsidR="003E1AA3" w:rsidRPr="0018388A" w:rsidRDefault="003E1AA3" w:rsidP="003E1AA3">
      <w:pPr>
        <w:pStyle w:val="a2"/>
        <w:tabs>
          <w:tab w:val="num" w:pos="284"/>
        </w:tabs>
      </w:pPr>
      <w:r w:rsidRPr="0018388A">
        <w:rPr>
          <w:rtl/>
        </w:rPr>
        <w:t>ותדע לך דהא רב שמעי' ליה בהדיא לקמן דס"ל יש בנין בכלים דאמרי' התם עייל שופתא בקופי' דמרה רב אמר משום בונה אלמא ס"ל דיש בנין ושמואל דפליג נמי התם ואמר משום מכה בפטיש לאו דלא ס"ל אין בנין בכלים אלא משום דס"ל דכה"ג לאו דרך בנין הוא ותדע לך דבכה"ג פליג נמי בעושה נקב קטן בלול של תרנוגלין דרב אמר משום בונה ושמואל אמר משום מכה בפטיש והא ודאי מאן דפליג עליה בלול של תרנוגלין לאו משום דאין בנין בכלים הוא דפליג דהא מחובר לקרקע היא וכדאיתא בריש פרק כל הכלים אלא משום דס"ל דבכה"ג לאו דרך בנין היא, דעייל שופתא בקופא דמרא משום הכי נמי פליג אבל ביש בנין בכלים כרב ס"ל ומשום הכי שוו תרוייהו במחזיר מטה של טרסיים בשבת דחייב חטאת ופי' זה מקצתו כתוב בספר המאור ומקצתו בספר המלחמות.</w:t>
      </w:r>
    </w:p>
    <w:p w14:paraId="139FCBD2" w14:textId="77777777" w:rsidR="003E1AA3" w:rsidRPr="00FC269C" w:rsidRDefault="003E1AA3" w:rsidP="003E1AA3">
      <w:pPr>
        <w:pStyle w:val="afffff7"/>
        <w:rPr>
          <w:rtl/>
        </w:rPr>
      </w:pPr>
      <w:bookmarkStart w:id="5465" w:name="_Toc145234016"/>
      <w:bookmarkStart w:id="5466" w:name="_Toc163506274"/>
      <w:r w:rsidRPr="00FC269C">
        <w:rPr>
          <w:rtl/>
        </w:rPr>
        <w:t>חדושי הר"ן שבת מ"ז ע"א</w:t>
      </w:r>
      <w:r w:rsidRPr="00FC269C">
        <w:rPr>
          <w:rFonts w:hint="cs"/>
          <w:rtl/>
        </w:rPr>
        <w:t xml:space="preserve"> ד"ה ולענין הלכה</w:t>
      </w:r>
      <w:bookmarkEnd w:id="5465"/>
      <w:bookmarkEnd w:id="5466"/>
    </w:p>
    <w:p w14:paraId="745AFAB9" w14:textId="77777777" w:rsidR="003E1AA3" w:rsidRDefault="003E1AA3" w:rsidP="003E1AA3">
      <w:pPr>
        <w:pStyle w:val="a7"/>
        <w:rPr>
          <w:rtl/>
        </w:rPr>
      </w:pPr>
      <w:bookmarkStart w:id="5467" w:name="_Toc145233904"/>
      <w:r>
        <w:rPr>
          <w:rFonts w:hint="cs"/>
          <w:rtl/>
        </w:rPr>
        <w:t>בי' הר"ן ברי"ף דקיי"ל כרבא דאין בנין בכלים ולא כריו"ח ורב ושמואל דיש בנין בכלים</w:t>
      </w:r>
      <w:bookmarkEnd w:id="5467"/>
    </w:p>
    <w:p w14:paraId="61517754" w14:textId="0A8200FD" w:rsidR="003E1AA3" w:rsidRPr="00ED4ECA" w:rsidRDefault="003E1AA3" w:rsidP="00BC7DC8">
      <w:pPr>
        <w:pStyle w:val="a3"/>
        <w:rPr>
          <w:rtl/>
        </w:rPr>
      </w:pPr>
      <w:bookmarkStart w:id="5468" w:name="_Ref145018901"/>
      <w:r>
        <w:rPr>
          <w:rFonts w:hint="cs"/>
          <w:rtl/>
        </w:rPr>
        <w:t>וכתב</w:t>
      </w:r>
      <w:r>
        <w:rPr>
          <w:rtl/>
        </w:rPr>
        <w:t xml:space="preserve"> </w:t>
      </w:r>
      <w:r w:rsidRPr="00F36CA5">
        <w:rPr>
          <w:b/>
          <w:bCs/>
          <w:rtl/>
        </w:rPr>
        <w:t>ה</w:t>
      </w:r>
      <w:r>
        <w:rPr>
          <w:rFonts w:hint="cs"/>
          <w:b/>
          <w:bCs/>
          <w:vanish/>
          <w:rtl/>
        </w:rPr>
        <w:t xml:space="preserve">&lt;, </w:t>
      </w:r>
      <w:r>
        <w:rPr>
          <w:b/>
          <w:bCs/>
          <w:vanish/>
          <w:rtl/>
        </w:rPr>
        <w:fldChar w:fldCharType="begin"/>
      </w:r>
      <w:r>
        <w:rPr>
          <w:b/>
          <w:bCs/>
          <w:vanish/>
          <w:rtl/>
        </w:rPr>
        <w:instrText xml:space="preserve"> </w:instrText>
      </w:r>
      <w:r>
        <w:rPr>
          <w:rFonts w:hint="cs"/>
          <w:b/>
          <w:bCs/>
          <w:vanish/>
        </w:rPr>
        <w:instrText>REF</w:instrText>
      </w:r>
      <w:r>
        <w:rPr>
          <w:rFonts w:hint="cs"/>
          <w:b/>
          <w:bCs/>
          <w:vanish/>
          <w:rtl/>
        </w:rPr>
        <w:instrText xml:space="preserve"> _</w:instrText>
      </w:r>
      <w:r>
        <w:rPr>
          <w:rFonts w:hint="cs"/>
          <w:b/>
          <w:bCs/>
          <w:vanish/>
        </w:rPr>
        <w:instrText>Ref145018901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יט)</w:t>
      </w:r>
      <w:r>
        <w:rPr>
          <w:b/>
          <w:bCs/>
          <w:vanish/>
          <w:rtl/>
        </w:rPr>
        <w:fldChar w:fldCharType="end"/>
      </w:r>
      <w:r>
        <w:rPr>
          <w:rFonts w:hint="cs"/>
          <w:b/>
          <w:bCs/>
          <w:vanish/>
          <w:rtl/>
        </w:rPr>
        <w:t xml:space="preserve"> &gt;</w:t>
      </w:r>
      <w:r w:rsidRPr="00F36CA5">
        <w:rPr>
          <w:rFonts w:hint="cs"/>
          <w:b/>
          <w:bCs/>
          <w:rtl/>
        </w:rPr>
        <w:t>ר"ן לעיל</w:t>
      </w:r>
      <w:r w:rsidRPr="00F36CA5">
        <w:rPr>
          <w:b/>
          <w:bCs/>
          <w:rtl/>
        </w:rPr>
        <w:t xml:space="preserve"> </w:t>
      </w:r>
      <w:r w:rsidRPr="00F36CA5">
        <w:rPr>
          <w:rFonts w:ascii="Calibri" w:eastAsia="Times New Roman" w:hAnsi="Calibri" w:cs="Guttman Rashi"/>
          <w:noProof w:val="0"/>
          <w:sz w:val="10"/>
          <w:szCs w:val="12"/>
          <w:rtl/>
        </w:rPr>
        <w:t>(</w:t>
      </w:r>
      <w:r w:rsidRPr="00F36CA5">
        <w:rPr>
          <w:rFonts w:ascii="Calibri" w:eastAsia="Times New Roman" w:hAnsi="Calibri" w:cs="Guttman Rashi" w:hint="cs"/>
          <w:noProof w:val="0"/>
          <w:sz w:val="10"/>
          <w:szCs w:val="12"/>
          <w:rtl/>
        </w:rPr>
        <w:t>מז. ד"ה ולענין הלכה</w:t>
      </w:r>
      <w:r w:rsidRPr="00F36CA5">
        <w:rPr>
          <w:rFonts w:ascii="Calibri" w:eastAsia="Times New Roman" w:hAnsi="Calibri" w:cs="Guttman Rashi"/>
          <w:noProof w:val="0"/>
          <w:sz w:val="10"/>
          <w:szCs w:val="12"/>
          <w:rtl/>
        </w:rPr>
        <w:t>)</w:t>
      </w:r>
      <w:r w:rsidRPr="00F36CA5">
        <w:rPr>
          <w:vanish/>
          <w:rtl/>
        </w:rPr>
        <w:t>=</w:t>
      </w:r>
      <w:r>
        <w:rPr>
          <w:rtl/>
        </w:rPr>
        <w:t xml:space="preserve"> </w:t>
      </w:r>
      <w:r>
        <w:rPr>
          <w:rFonts w:hint="cs"/>
          <w:rtl/>
        </w:rPr>
        <w:t xml:space="preserve">דלהלכה קיי"ל כגמ' בביצה </w:t>
      </w:r>
      <w:r w:rsidRPr="00F36CA5">
        <w:rPr>
          <w:rFonts w:ascii="Calibri" w:eastAsia="Times New Roman" w:hAnsi="Calibri" w:cs="Guttman Rashi"/>
          <w:noProof w:val="0"/>
          <w:sz w:val="10"/>
          <w:szCs w:val="12"/>
          <w:rtl/>
        </w:rPr>
        <w:t>(</w:t>
      </w:r>
      <w:r w:rsidRPr="00F36CA5">
        <w:rPr>
          <w:rFonts w:ascii="Calibri" w:eastAsia="Times New Roman" w:hAnsi="Calibri" w:cs="Guttman Rashi" w:hint="cs"/>
          <w:noProof w:val="0"/>
          <w:sz w:val="10"/>
          <w:szCs w:val="12"/>
          <w:rtl/>
        </w:rPr>
        <w:t>כא:</w:t>
      </w:r>
      <w:r w:rsidRPr="00F36CA5">
        <w:rPr>
          <w:rFonts w:ascii="Calibri" w:eastAsia="Times New Roman" w:hAnsi="Calibri" w:cs="Guttman Rashi"/>
          <w:noProof w:val="0"/>
          <w:sz w:val="10"/>
          <w:szCs w:val="12"/>
          <w:rtl/>
        </w:rPr>
        <w:t>)</w:t>
      </w:r>
      <w:r>
        <w:rPr>
          <w:rFonts w:hint="cs"/>
          <w:rtl/>
        </w:rPr>
        <w:t xml:space="preserve"> דאין בנין בכלים, וכן דעת רבא דהוא בתראה בגמ' לעיל </w:t>
      </w:r>
      <w:r w:rsidRPr="00F36CA5">
        <w:rPr>
          <w:rFonts w:ascii="Calibri" w:eastAsia="Times New Roman" w:hAnsi="Calibri" w:cs="Guttman Rashi"/>
          <w:noProof w:val="0"/>
          <w:sz w:val="10"/>
          <w:szCs w:val="12"/>
          <w:rtl/>
        </w:rPr>
        <w:t>(</w:t>
      </w:r>
      <w:r w:rsidRPr="00F36CA5">
        <w:rPr>
          <w:rFonts w:ascii="Calibri" w:eastAsia="Times New Roman" w:hAnsi="Calibri" w:cs="Guttman Rashi" w:hint="cs"/>
          <w:noProof w:val="0"/>
          <w:sz w:val="10"/>
          <w:szCs w:val="12"/>
          <w:rtl/>
        </w:rPr>
        <w:t>מז:</w:t>
      </w:r>
      <w:r w:rsidRPr="00F36CA5">
        <w:rPr>
          <w:rFonts w:ascii="Calibri" w:eastAsia="Times New Roman" w:hAnsi="Calibri" w:cs="Guttman Rashi"/>
          <w:noProof w:val="0"/>
          <w:sz w:val="10"/>
          <w:szCs w:val="12"/>
          <w:rtl/>
        </w:rPr>
        <w:t>)</w:t>
      </w:r>
      <w:r>
        <w:rPr>
          <w:rtl/>
        </w:rPr>
        <w:t xml:space="preserve"> </w:t>
      </w:r>
      <w:r>
        <w:rPr>
          <w:rFonts w:hint="cs"/>
          <w:rtl/>
        </w:rPr>
        <w:t>דאמר דס"ל כרשב"ג דמתיר ברפוי, וכתב</w:t>
      </w:r>
      <w:r>
        <w:rPr>
          <w:rtl/>
        </w:rPr>
        <w:t xml:space="preserve"> </w:t>
      </w:r>
      <w:r w:rsidRPr="00F36CA5">
        <w:rPr>
          <w:rFonts w:hint="cs"/>
          <w:b/>
          <w:bCs/>
          <w:rtl/>
        </w:rPr>
        <w:t>הר"ן</w:t>
      </w:r>
      <w:r>
        <w:rPr>
          <w:rtl/>
        </w:rPr>
        <w:t xml:space="preserve"> </w:t>
      </w:r>
      <w:r>
        <w:rPr>
          <w:rFonts w:hint="cs"/>
          <w:rtl/>
        </w:rPr>
        <w:t>דמשמע דריו"ח בגמ' לעיל</w:t>
      </w:r>
      <w:r>
        <w:rPr>
          <w:rtl/>
        </w:rPr>
        <w:t xml:space="preserve"> </w:t>
      </w:r>
      <w:r w:rsidRPr="00F36CA5">
        <w:rPr>
          <w:rFonts w:ascii="Calibri" w:eastAsia="Times New Roman" w:hAnsi="Calibri" w:cs="Guttman Rashi"/>
          <w:noProof w:val="0"/>
          <w:sz w:val="10"/>
          <w:szCs w:val="12"/>
          <w:rtl/>
        </w:rPr>
        <w:t>(</w:t>
      </w:r>
      <w:r w:rsidRPr="00F36CA5">
        <w:rPr>
          <w:rFonts w:ascii="Calibri" w:eastAsia="Times New Roman" w:hAnsi="Calibri" w:cs="Guttman Rashi" w:hint="cs"/>
          <w:noProof w:val="0"/>
          <w:sz w:val="10"/>
          <w:szCs w:val="12"/>
          <w:rtl/>
        </w:rPr>
        <w:t>מו.</w:t>
      </w:r>
      <w:r w:rsidRPr="00F36CA5">
        <w:rPr>
          <w:rFonts w:ascii="Calibri" w:eastAsia="Times New Roman" w:hAnsi="Calibri" w:cs="Guttman Rashi"/>
          <w:noProof w:val="0"/>
          <w:sz w:val="10"/>
          <w:szCs w:val="12"/>
          <w:rtl/>
        </w:rPr>
        <w:t>)</w:t>
      </w:r>
      <w:r w:rsidRPr="00F36CA5">
        <w:rPr>
          <w:rFonts w:ascii="Calibri" w:eastAsia="Times New Roman" w:hAnsi="Calibri" w:cs="Guttman Rashi" w:hint="cs"/>
          <w:noProof w:val="0"/>
          <w:sz w:val="10"/>
          <w:szCs w:val="12"/>
          <w:rtl/>
        </w:rPr>
        <w:t xml:space="preserve"> </w:t>
      </w:r>
      <w:r>
        <w:rPr>
          <w:rFonts w:hint="cs"/>
          <w:rtl/>
        </w:rPr>
        <w:t>ס"ל דיש בנין בכלים, מדאסר לטלטל אף מנורה דאית בה חידקי אטו מנורה של חוליות, וכרב ושמואל דס"ל דבמנורה של חוליות יש איסור דאו' אף בלא תקע, ולכן אמר ריו"ח דגזרו בחידקי אטו של חוליות, ולכן השמיט</w:t>
      </w:r>
      <w:r>
        <w:rPr>
          <w:rtl/>
        </w:rPr>
        <w:t xml:space="preserve"> </w:t>
      </w:r>
      <w:r w:rsidRPr="00F36CA5">
        <w:rPr>
          <w:rFonts w:hint="cs"/>
          <w:b/>
          <w:bCs/>
          <w:rtl/>
        </w:rPr>
        <w:t>הרי"ף</w:t>
      </w:r>
      <w:r>
        <w:rPr>
          <w:rtl/>
        </w:rPr>
        <w:t xml:space="preserve"> </w:t>
      </w:r>
      <w:r>
        <w:rPr>
          <w:rFonts w:hint="cs"/>
          <w:rtl/>
        </w:rPr>
        <w:t xml:space="preserve">את דברי ריו"ח, ועי' במה שהוסיף </w:t>
      </w:r>
      <w:r w:rsidRPr="00F36CA5">
        <w:rPr>
          <w:rFonts w:hint="cs"/>
          <w:b/>
          <w:bCs/>
          <w:rtl/>
        </w:rPr>
        <w:t>הר"ן</w:t>
      </w:r>
      <w:r>
        <w:rPr>
          <w:rFonts w:hint="cs"/>
          <w:rtl/>
        </w:rPr>
        <w:t xml:space="preserve"> </w:t>
      </w:r>
      <w:r w:rsidRPr="005A2E7F">
        <w:rPr>
          <w:sz w:val="12"/>
          <w:szCs w:val="14"/>
          <w:rtl/>
        </w:rPr>
        <w:t>[</w:t>
      </w:r>
      <w:r>
        <w:rPr>
          <w:rFonts w:hint="cs"/>
          <w:sz w:val="12"/>
          <w:szCs w:val="14"/>
          <w:rtl/>
        </w:rPr>
        <w:t>אי"ה יובאו דבריו בהמשך</w:t>
      </w:r>
      <w:r w:rsidRPr="005A2E7F">
        <w:rPr>
          <w:sz w:val="12"/>
          <w:szCs w:val="14"/>
          <w:rtl/>
        </w:rPr>
        <w:t>]</w:t>
      </w:r>
      <w:r>
        <w:rPr>
          <w:rFonts w:hint="cs"/>
          <w:rtl/>
        </w:rPr>
        <w:t xml:space="preserve"> לבאר בזה.</w:t>
      </w:r>
      <w:bookmarkEnd w:id="5468"/>
    </w:p>
    <w:p w14:paraId="0D5BAF8E" w14:textId="77777777" w:rsidR="003E1AA3" w:rsidRPr="00BC7DC8" w:rsidRDefault="003E1AA3" w:rsidP="003E1AA3">
      <w:pPr>
        <w:pStyle w:val="afffffe"/>
        <w:rPr>
          <w:vanish/>
          <w:rtl/>
        </w:rPr>
      </w:pPr>
      <w:r w:rsidRPr="00BC7DC8">
        <w:rPr>
          <w:vanish/>
          <w:rtl/>
        </w:rPr>
        <w:t>חדושי הר"ן שבת מ"ז ע"א</w:t>
      </w:r>
      <w:r w:rsidRPr="00BC7DC8">
        <w:rPr>
          <w:rFonts w:hint="cs"/>
          <w:vanish/>
          <w:rtl/>
        </w:rPr>
        <w:t xml:space="preserve"> ד"ה ולענין הלכה</w:t>
      </w:r>
    </w:p>
    <w:p w14:paraId="116A8C7E" w14:textId="77777777" w:rsidR="003E1AA3" w:rsidRPr="0018388A" w:rsidRDefault="003E1AA3" w:rsidP="003E1AA3">
      <w:pPr>
        <w:pStyle w:val="a2"/>
        <w:tabs>
          <w:tab w:val="num" w:pos="284"/>
        </w:tabs>
        <w:rPr>
          <w:rtl/>
        </w:rPr>
      </w:pPr>
      <w:r w:rsidRPr="0018388A">
        <w:rPr>
          <w:rtl/>
        </w:rPr>
        <w:t xml:space="preserve">ולענין הלכה כיון דסוגיין בפרק יום טוב שחל דאין בנין בכלים ורבא נמי דבתרא הוא אמר אנא כרשב"ג ס"ל דאם היה רפוי מותר נקטי' הכי דאין בנין בכלים ואין סתירה בכלים ומשמע דר' יוחנן נמי דאסר לטלטל כל מנורה בין גדולה בין קטנה דאית בה חדקי כרב ושמואל ס"ל דסברי דיש בנין בכלים וכיון דבשל חוליות איכא איסורא דאורייתא אף על פי שלא תקע </w:t>
      </w:r>
      <w:r w:rsidRPr="002154AF">
        <w:rPr>
          <w:rStyle w:val="afff7"/>
          <w:rtl/>
        </w:rPr>
        <w:t>בדאית בה חדקי נמי גזרינן אטו של חוליות וההיא דפרק שני דביצה דשרו ב"ה בדאית בה חדקי מתרץ ר' יוחנן (משום) [דמשום] שמחת יום טוב לא גזרי ב"ה אטו של חוליות</w:t>
      </w:r>
      <w:r w:rsidRPr="0018388A">
        <w:rPr>
          <w:rtl/>
        </w:rPr>
        <w:t xml:space="preserve"> הלכך לדידן דקי"ל דאין בנין בכלים ואין סתירה בכלים לא מיבעיא בדאית בה חדקי דשרי אלא לטלטל מנורה של חוליות נמי שרי וזהו טעמו של הרב אלפסי ז"ל שהשמיטה מן ההלכות וכמו שכתבתי למעלה</w:t>
      </w:r>
      <w:r w:rsidRPr="0018388A">
        <w:rPr>
          <w:rFonts w:hint="cs"/>
          <w:rtl/>
        </w:rPr>
        <w:t>.</w:t>
      </w:r>
    </w:p>
    <w:p w14:paraId="3F9C7033" w14:textId="77777777" w:rsidR="003E1AA3" w:rsidRDefault="003E1AA3" w:rsidP="003E1AA3">
      <w:pPr>
        <w:pStyle w:val="affff5"/>
        <w:rPr>
          <w:rtl/>
        </w:rPr>
      </w:pPr>
      <w:bookmarkStart w:id="5469" w:name="_Toc145233905"/>
      <w:r>
        <w:rPr>
          <w:rFonts w:hint="cs"/>
          <w:rtl/>
        </w:rPr>
        <w:t>ד' התוס' דעושה כלי בתחילה הוי בונה</w:t>
      </w:r>
      <w:bookmarkEnd w:id="5469"/>
      <w:r w:rsidRPr="0033376C">
        <w:rPr>
          <w:vanish/>
          <w:rtl/>
        </w:rPr>
        <w:t>&lt; # =</w:t>
      </w:r>
    </w:p>
    <w:p w14:paraId="6F8937BB" w14:textId="77777777" w:rsidR="003E1AA3" w:rsidRPr="004704D9" w:rsidRDefault="003E1AA3" w:rsidP="003E1AA3">
      <w:pPr>
        <w:pStyle w:val="1"/>
      </w:pPr>
      <w:bookmarkStart w:id="5470" w:name="_Toc145233906"/>
      <w:r>
        <w:rPr>
          <w:rFonts w:hint="cs"/>
          <w:rtl/>
        </w:rPr>
        <w:t>בי' התוס' דאין בנין בכלים בכלי שהתפרק אך עושה כלי בונה</w:t>
      </w:r>
      <w:bookmarkEnd w:id="5470"/>
    </w:p>
    <w:p w14:paraId="7E2BEDA7" w14:textId="77777777" w:rsidR="003E1AA3" w:rsidRPr="00FC269C" w:rsidRDefault="003E1AA3" w:rsidP="003E1AA3">
      <w:pPr>
        <w:pStyle w:val="afffff7"/>
        <w:rPr>
          <w:rtl/>
        </w:rPr>
      </w:pPr>
      <w:bookmarkStart w:id="5471" w:name="_Toc145234017"/>
      <w:bookmarkStart w:id="5472" w:name="_Toc163506275"/>
      <w:r w:rsidRPr="00FC269C">
        <w:rPr>
          <w:rtl/>
        </w:rPr>
        <w:t>תוספות שבת ק"ב ע"ב</w:t>
      </w:r>
      <w:r w:rsidRPr="00FC269C">
        <w:rPr>
          <w:rFonts w:hint="cs"/>
          <w:rtl/>
        </w:rPr>
        <w:t xml:space="preserve"> ד"ה האי</w:t>
      </w:r>
      <w:bookmarkEnd w:id="5471"/>
      <w:bookmarkEnd w:id="5472"/>
    </w:p>
    <w:p w14:paraId="76490F15" w14:textId="77777777" w:rsidR="003E1AA3" w:rsidRPr="00FC269C" w:rsidRDefault="003E1AA3" w:rsidP="003E1AA3">
      <w:pPr>
        <w:pStyle w:val="afffff7"/>
        <w:rPr>
          <w:rtl/>
        </w:rPr>
      </w:pPr>
      <w:bookmarkStart w:id="5473" w:name="_Toc145234018"/>
      <w:bookmarkStart w:id="5474" w:name="_Toc163506276"/>
      <w:r w:rsidRPr="00FC269C">
        <w:rPr>
          <w:rtl/>
        </w:rPr>
        <w:t>תוספות הרא"ש שבת ק"ב ע"ב</w:t>
      </w:r>
      <w:r w:rsidRPr="00FC269C">
        <w:rPr>
          <w:rFonts w:hint="cs"/>
          <w:rtl/>
        </w:rPr>
        <w:t xml:space="preserve"> ד"ה עייל</w:t>
      </w:r>
      <w:bookmarkEnd w:id="5473"/>
      <w:bookmarkEnd w:id="5474"/>
    </w:p>
    <w:p w14:paraId="6BD49CBA" w14:textId="77777777" w:rsidR="003E1AA3" w:rsidRDefault="003E1AA3" w:rsidP="003E1AA3">
      <w:pPr>
        <w:pStyle w:val="a7"/>
        <w:rPr>
          <w:rtl/>
        </w:rPr>
      </w:pPr>
      <w:bookmarkStart w:id="5475" w:name="_Toc145233907"/>
      <w:r>
        <w:rPr>
          <w:rFonts w:hint="cs"/>
          <w:rtl/>
        </w:rPr>
        <w:t>בי' התוס' דרק במחזיר חוליות שאינו חיזוק ואומנות אין בנין בכלים אבל בונה כלי גמור הוי בונה</w:t>
      </w:r>
      <w:bookmarkEnd w:id="5475"/>
    </w:p>
    <w:p w14:paraId="568D6E66" w14:textId="3A2C4D25" w:rsidR="003E1AA3" w:rsidRPr="003C0B6E" w:rsidRDefault="003E1AA3" w:rsidP="00BC7DC8">
      <w:pPr>
        <w:pStyle w:val="a3"/>
        <w:rPr>
          <w:rStyle w:val="af"/>
          <w:rtl/>
        </w:rPr>
      </w:pPr>
      <w:bookmarkStart w:id="5476" w:name="_Ref143771934"/>
      <w:bookmarkStart w:id="5477" w:name="_Ref144327769"/>
      <w:r>
        <w:rPr>
          <w:rFonts w:hint="cs"/>
          <w:rtl/>
        </w:rPr>
        <w:t xml:space="preserve">בהא דאמר רב דבמעייל שופתא בקופינא חייב משום בונה, </w:t>
      </w:r>
      <w:r w:rsidRPr="006A5830">
        <w:rPr>
          <w:rStyle w:val="aff4"/>
          <w:rFonts w:hint="cs"/>
          <w:vanish/>
          <w:rtl/>
        </w:rPr>
        <w:t>-</w:t>
      </w:r>
      <w:r>
        <w:rPr>
          <w:rFonts w:hint="cs"/>
          <w:rtl/>
        </w:rPr>
        <w:t xml:space="preserve">כתב </w:t>
      </w:r>
      <w:r w:rsidRPr="006A5830">
        <w:rPr>
          <w:rStyle w:val="aff4"/>
          <w:rFonts w:hint="cs"/>
          <w:vanish/>
          <w:rtl/>
        </w:rPr>
        <w:t xml:space="preserve">&lt;, </w:t>
      </w:r>
      <w:r w:rsidRPr="006A5830">
        <w:rPr>
          <w:rStyle w:val="aff4"/>
          <w:vanish/>
          <w:rtl/>
        </w:rPr>
        <w:fldChar w:fldCharType="begin"/>
      </w:r>
      <w:r w:rsidRPr="006A5830">
        <w:rPr>
          <w:rStyle w:val="aff4"/>
          <w:vanish/>
          <w:rtl/>
        </w:rPr>
        <w:instrText xml:space="preserve"> </w:instrText>
      </w:r>
      <w:r w:rsidRPr="006A5830">
        <w:rPr>
          <w:rStyle w:val="aff4"/>
          <w:rFonts w:hint="cs"/>
          <w:vanish/>
        </w:rPr>
        <w:instrText>REF</w:instrText>
      </w:r>
      <w:r w:rsidRPr="006A5830">
        <w:rPr>
          <w:rStyle w:val="aff4"/>
          <w:rFonts w:hint="cs"/>
          <w:vanish/>
          <w:rtl/>
        </w:rPr>
        <w:instrText xml:space="preserve"> _</w:instrText>
      </w:r>
      <w:r w:rsidRPr="006A5830">
        <w:rPr>
          <w:rStyle w:val="aff4"/>
          <w:rFonts w:hint="cs"/>
          <w:vanish/>
        </w:rPr>
        <w:instrText>Ref143771934 \r \h</w:instrText>
      </w:r>
      <w:r w:rsidRPr="006A5830">
        <w:rPr>
          <w:rStyle w:val="aff4"/>
          <w:vanish/>
          <w:rtl/>
        </w:rPr>
        <w:instrText xml:space="preserve"> </w:instrText>
      </w:r>
      <w:r w:rsidRPr="006A5830">
        <w:rPr>
          <w:rStyle w:val="aff4"/>
          <w:vanish/>
          <w:rtl/>
        </w:rPr>
      </w:r>
      <w:r w:rsidRPr="006A5830">
        <w:rPr>
          <w:rStyle w:val="aff4"/>
          <w:vanish/>
          <w:rtl/>
        </w:rPr>
        <w:fldChar w:fldCharType="separate"/>
      </w:r>
      <w:r w:rsidR="00D82181">
        <w:rPr>
          <w:rStyle w:val="aff4"/>
          <w:vanish/>
          <w:cs/>
        </w:rPr>
        <w:t>‎</w:t>
      </w:r>
      <w:r w:rsidR="00D82181">
        <w:rPr>
          <w:rStyle w:val="aff4"/>
          <w:vanish/>
          <w:rtl/>
        </w:rPr>
        <w:t>כ)</w:t>
      </w:r>
      <w:r w:rsidRPr="006A5830">
        <w:rPr>
          <w:rStyle w:val="aff4"/>
          <w:vanish/>
          <w:rtl/>
        </w:rPr>
        <w:fldChar w:fldCharType="end"/>
      </w:r>
      <w:r w:rsidRPr="006A5830">
        <w:rPr>
          <w:rStyle w:val="aff4"/>
          <w:rFonts w:hint="cs"/>
          <w:vanish/>
          <w:rtl/>
        </w:rPr>
        <w:t xml:space="preserve"> &gt;-</w:t>
      </w:r>
      <w:r>
        <w:rPr>
          <w:rStyle w:val="aff4"/>
          <w:rFonts w:hint="cs"/>
          <w:rtl/>
        </w:rPr>
        <w:t>ר"י ב</w:t>
      </w:r>
      <w:r w:rsidRPr="00013089">
        <w:rPr>
          <w:rStyle w:val="aff4"/>
          <w:rFonts w:hint="cs"/>
          <w:rtl/>
        </w:rPr>
        <w:t>תוס'</w:t>
      </w:r>
      <w:r w:rsidRPr="006A5830">
        <w:rPr>
          <w:rStyle w:val="aff4"/>
          <w:rFonts w:hint="cs"/>
          <w:vanish/>
          <w:rtl/>
        </w:rPr>
        <w:t>-</w:t>
      </w:r>
      <w:r>
        <w:rPr>
          <w:rFonts w:hint="cs"/>
          <w:rtl/>
        </w:rPr>
        <w:t xml:space="preserve"> </w:t>
      </w:r>
      <w:r w:rsidRPr="00C962CD">
        <w:rPr>
          <w:rStyle w:val="af2"/>
          <w:rFonts w:eastAsia="Guttman Hodes" w:hint="cs"/>
          <w:rtl/>
        </w:rPr>
        <w:t>(ד"ה האי)</w:t>
      </w:r>
      <w:r w:rsidRPr="006A5830">
        <w:rPr>
          <w:rFonts w:hint="cs"/>
          <w:vanish/>
          <w:rtl/>
        </w:rPr>
        <w:t>=</w:t>
      </w:r>
      <w:r>
        <w:rPr>
          <w:rFonts w:hint="cs"/>
          <w:rtl/>
        </w:rPr>
        <w:t xml:space="preserve"> דהא דקיי"ל דאין בנין בכלים, היינו דהמחזיר בתי תריסין או מנורה של חוליות, אבל בבנין גמור אין חילוק בין קרקע לכלים, כמבואר בגמ' לעיל </w:t>
      </w:r>
      <w:r w:rsidRPr="00C962CD">
        <w:rPr>
          <w:rStyle w:val="af2"/>
          <w:rFonts w:eastAsia="Guttman Hodes" w:hint="cs"/>
          <w:rtl/>
        </w:rPr>
        <w:t>(מז.)</w:t>
      </w:r>
      <w:r>
        <w:rPr>
          <w:rFonts w:hint="cs"/>
          <w:rtl/>
        </w:rPr>
        <w:t xml:space="preserve"> דהתוקע מיטה של טרסיים והמחזיר קני מנורה וכן בקרן עגולה חייב, ורק במקום שאין בו חיזוק ואומנות אמרינן דרק בקרקע יש בנין ולא </w:t>
      </w:r>
      <w:r w:rsidRPr="00876130">
        <w:rPr>
          <w:rFonts w:hint="cs"/>
          <w:rtl/>
        </w:rPr>
        <w:t>בכלים</w:t>
      </w:r>
      <w:bookmarkEnd w:id="5476"/>
      <w:r>
        <w:rPr>
          <w:rFonts w:hint="cs"/>
          <w:rtl/>
        </w:rPr>
        <w:t>.</w:t>
      </w:r>
      <w:r w:rsidRPr="003C0B6E">
        <w:rPr>
          <w:rStyle w:val="af"/>
          <w:rFonts w:hint="cs"/>
          <w:rtl/>
        </w:rPr>
        <w:t xml:space="preserve"> [אך הקשו</w:t>
      </w:r>
      <w:r w:rsidRPr="003C0B6E">
        <w:rPr>
          <w:rStyle w:val="af"/>
          <w:rtl/>
        </w:rPr>
        <w:t xml:space="preserve"> </w:t>
      </w:r>
      <w:r w:rsidRPr="003C0B6E">
        <w:rPr>
          <w:rStyle w:val="aff9"/>
          <w:rFonts w:hint="cs"/>
          <w:rtl/>
        </w:rPr>
        <w:t>התוס'</w:t>
      </w:r>
      <w:r w:rsidRPr="003C0B6E">
        <w:rPr>
          <w:rStyle w:val="af"/>
          <w:rtl/>
        </w:rPr>
        <w:t xml:space="preserve"> </w:t>
      </w:r>
      <w:r w:rsidRPr="003C0B6E">
        <w:rPr>
          <w:rStyle w:val="af"/>
          <w:rFonts w:hint="cs"/>
          <w:rtl/>
        </w:rPr>
        <w:t>דהא בגמ' בעירובין</w:t>
      </w:r>
      <w:r w:rsidRPr="003C0B6E">
        <w:rPr>
          <w:rStyle w:val="af"/>
          <w:rtl/>
        </w:rPr>
        <w:t xml:space="preserve"> </w:t>
      </w:r>
      <w:r w:rsidRPr="003C0B6E">
        <w:rPr>
          <w:rStyle w:val="aff0"/>
          <w:rtl/>
        </w:rPr>
        <w:t>(</w:t>
      </w:r>
      <w:r w:rsidRPr="003C0B6E">
        <w:rPr>
          <w:rStyle w:val="aff0"/>
          <w:rFonts w:hint="cs"/>
          <w:rtl/>
        </w:rPr>
        <w:t>לה.</w:t>
      </w:r>
      <w:r w:rsidRPr="003C0B6E">
        <w:rPr>
          <w:rStyle w:val="aff0"/>
          <w:rtl/>
        </w:rPr>
        <w:t>)</w:t>
      </w:r>
      <w:r w:rsidRPr="003C0B6E">
        <w:rPr>
          <w:rStyle w:val="af"/>
          <w:rFonts w:hint="cs"/>
          <w:rtl/>
        </w:rPr>
        <w:t xml:space="preserve"> אמרינן דהנותן עירובו במגדל של עץ ונאבד המפתח, למ"ד דאין בנין בכלים מותר לשוברו, ומשמע דאף בכלי גמור אין בנין בכלים, ותירצו</w:t>
      </w:r>
      <w:r w:rsidRPr="003C0B6E">
        <w:rPr>
          <w:rStyle w:val="af"/>
          <w:rtl/>
        </w:rPr>
        <w:t xml:space="preserve"> </w:t>
      </w:r>
      <w:r w:rsidRPr="003C0B6E">
        <w:rPr>
          <w:rStyle w:val="aff9"/>
          <w:rFonts w:hint="cs"/>
          <w:rtl/>
        </w:rPr>
        <w:t>התוס'</w:t>
      </w:r>
      <w:r w:rsidRPr="003C0B6E">
        <w:rPr>
          <w:rStyle w:val="aff9"/>
          <w:rtl/>
        </w:rPr>
        <w:t xml:space="preserve"> </w:t>
      </w:r>
      <w:r w:rsidRPr="003C0B6E">
        <w:rPr>
          <w:rStyle w:val="af"/>
          <w:rFonts w:hint="cs"/>
          <w:rtl/>
        </w:rPr>
        <w:t>דאיירי במגדל שקשור במיתנא דיכול לנתק את הקשר ואין בו איסור סותר, ואף דבתחילת הסוגיא משמע דאיירי במגדל גמור, הוא כיון דהו"א דא"א לקחת את העירוב בלי שיסתור לגמרי את המגדל].</w:t>
      </w:r>
    </w:p>
    <w:p w14:paraId="0AD12F60" w14:textId="77777777" w:rsidR="003E1AA3" w:rsidRPr="00BC7DC8" w:rsidRDefault="003E1AA3" w:rsidP="003E1AA3">
      <w:pPr>
        <w:pStyle w:val="afffffe"/>
        <w:rPr>
          <w:vanish/>
          <w:rtl/>
        </w:rPr>
      </w:pPr>
      <w:bookmarkStart w:id="5478" w:name="_Ref144828686"/>
      <w:r w:rsidRPr="00BC7DC8">
        <w:rPr>
          <w:vanish/>
          <w:rtl/>
        </w:rPr>
        <w:t>תוספות שבת ק"ב ע"ב</w:t>
      </w:r>
      <w:r w:rsidRPr="00BC7DC8">
        <w:rPr>
          <w:rFonts w:hint="cs"/>
          <w:vanish/>
          <w:rtl/>
        </w:rPr>
        <w:t xml:space="preserve"> ד"ה האי</w:t>
      </w:r>
    </w:p>
    <w:p w14:paraId="16133412" w14:textId="77777777" w:rsidR="003E1AA3" w:rsidRPr="00724853" w:rsidRDefault="003E1AA3" w:rsidP="003E1AA3">
      <w:pPr>
        <w:pStyle w:val="a2"/>
        <w:tabs>
          <w:tab w:val="num" w:pos="284"/>
        </w:tabs>
        <w:rPr>
          <w:rStyle w:val="afff7"/>
          <w:rtl/>
        </w:rPr>
      </w:pPr>
      <w:r w:rsidRPr="0018388A">
        <w:rPr>
          <w:rtl/>
        </w:rPr>
        <w:t>האי מאן דעייל שופתא בקופינא רב אמר חייב משום בונה - ואף על גב דקי"ל אין בנין בכלים אור"י דהיינו דווקא בהחזרת בתי תריסין או במנורה של חוליות אבל בנין גמור מיחייב בכלים כמו בקרקע כדאמרי' בס"פ כירה (לעיל דף מז.) גבי מטה של טרסיים אם תקע חייב חטאת ומחזיר קני מנורה חייב חטאת וקרן עגולה ואין חילוק בין כלים לקרקע אלא במקום שאין חיזוק ואומנות דבכלי לא חשיב בנין ובקרקע חשיב בנין</w:t>
      </w:r>
      <w:r w:rsidRPr="003C0B6E">
        <w:rPr>
          <w:rtl/>
        </w:rPr>
        <w:t xml:space="preserve"> </w:t>
      </w:r>
      <w:r w:rsidRPr="00724853">
        <w:rPr>
          <w:rStyle w:val="afff7"/>
          <w:rtl/>
        </w:rPr>
        <w:t>ובפ' בכל מערבין (עירובין דף לה.) גבי נתנו במגדל דמוקי לה רבה ורב יוסף במגדל של עץ דמ"ס כלי הוא ואין בנין בכלים ומ"ס אהל הוא התם מיירי במנעול וקטיר במיתנא כדמסיק אביי לבסוף ולא הוצרכו לפרש משום דפשיטא דבהכי איירי דבע"א יש סתירה ובנין בכלים וכן משמע מדמוקי אביי במנעול וקטיר במיתנא דהוי כמו חותמות שבכלים הא לאו הכי אסור ובריש סוגיא דפריך ואמאי הוא במקום אחד ועירובו במקום אחר הוא אף על גב דסתם מגדל של עץ הוא דהוי כלי כדמוכח בכמה דוכתי מעיקרא הוה סבר דאיירי שאי אפשר לקחת העירוב אלא על ידי סתירה גמורה.</w:t>
      </w:r>
    </w:p>
    <w:p w14:paraId="79C140DF" w14:textId="77777777" w:rsidR="003E1AA3" w:rsidRPr="0099695D" w:rsidRDefault="003E1AA3" w:rsidP="003E1AA3">
      <w:pPr>
        <w:pStyle w:val="a7"/>
      </w:pPr>
      <w:bookmarkStart w:id="5479" w:name="_Toc145233908"/>
      <w:r>
        <w:rPr>
          <w:rFonts w:hint="cs"/>
          <w:rtl/>
        </w:rPr>
        <w:t>בי' התורא"ש דחוליות בנין ארעי דאינו אומנות וחיזוק ובקרקע הוי קבוע ואומנות קבוע אף בכלי</w:t>
      </w:r>
      <w:bookmarkEnd w:id="5479"/>
    </w:p>
    <w:p w14:paraId="05E29CE8" w14:textId="0FB197F7" w:rsidR="003E1AA3" w:rsidRDefault="003E1AA3" w:rsidP="00BC7DC8">
      <w:pPr>
        <w:pStyle w:val="a3"/>
        <w:rPr>
          <w:rtl/>
        </w:rPr>
      </w:pPr>
      <w:bookmarkStart w:id="5480" w:name="_Ref144829094"/>
      <w:r>
        <w:rPr>
          <w:rFonts w:hint="cs"/>
          <w:rtl/>
        </w:rPr>
        <w:t xml:space="preserve">והוסיף </w:t>
      </w:r>
      <w:r>
        <w:rPr>
          <w:rFonts w:hint="cs"/>
          <w:b/>
          <w:bCs/>
          <w:rtl/>
        </w:rPr>
        <w:t>ה</w:t>
      </w:r>
      <w:r>
        <w:rPr>
          <w:rFonts w:hint="cs"/>
          <w:b/>
          <w:bCs/>
          <w:vanish/>
          <w:rtl/>
        </w:rPr>
        <w:t xml:space="preserve">&lt;, </w:t>
      </w:r>
      <w:r>
        <w:rPr>
          <w:b/>
          <w:bCs/>
          <w:vanish/>
          <w:rtl/>
        </w:rPr>
        <w:fldChar w:fldCharType="begin"/>
      </w:r>
      <w:r>
        <w:rPr>
          <w:b/>
          <w:bCs/>
          <w:vanish/>
          <w:rtl/>
        </w:rPr>
        <w:instrText xml:space="preserve"> </w:instrText>
      </w:r>
      <w:r>
        <w:rPr>
          <w:rFonts w:hint="cs"/>
          <w:b/>
          <w:bCs/>
          <w:vanish/>
        </w:rPr>
        <w:instrText>REF</w:instrText>
      </w:r>
      <w:r>
        <w:rPr>
          <w:rFonts w:hint="cs"/>
          <w:b/>
          <w:bCs/>
          <w:vanish/>
          <w:rtl/>
        </w:rPr>
        <w:instrText xml:space="preserve"> _</w:instrText>
      </w:r>
      <w:r>
        <w:rPr>
          <w:rFonts w:hint="cs"/>
          <w:b/>
          <w:bCs/>
          <w:vanish/>
        </w:rPr>
        <w:instrText>Ref144829094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כא)</w:t>
      </w:r>
      <w:r>
        <w:rPr>
          <w:b/>
          <w:bCs/>
          <w:vanish/>
          <w:rtl/>
        </w:rPr>
        <w:fldChar w:fldCharType="end"/>
      </w:r>
      <w:r>
        <w:rPr>
          <w:rFonts w:hint="cs"/>
          <w:b/>
          <w:bCs/>
          <w:vanish/>
          <w:rtl/>
        </w:rPr>
        <w:t xml:space="preserve"> &gt;</w:t>
      </w:r>
      <w:r>
        <w:rPr>
          <w:rFonts w:hint="cs"/>
          <w:b/>
          <w:bCs/>
          <w:rtl/>
        </w:rPr>
        <w:t>תוס' הרא"ש</w:t>
      </w:r>
      <w:r w:rsidRPr="005C1A85">
        <w:rPr>
          <w:b/>
          <w:bCs/>
          <w:rtl/>
        </w:rPr>
        <w:t xml:space="preserve"> </w:t>
      </w:r>
      <w:r w:rsidRPr="005C1A85">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ד"ה עייל</w:t>
      </w:r>
      <w:r w:rsidRPr="005C1A85">
        <w:rPr>
          <w:rFonts w:ascii="Calibri" w:eastAsia="Times New Roman" w:hAnsi="Calibri" w:cs="Guttman Rashi"/>
          <w:noProof w:val="0"/>
          <w:sz w:val="10"/>
          <w:szCs w:val="12"/>
          <w:rtl/>
        </w:rPr>
        <w:t>)</w:t>
      </w:r>
      <w:r w:rsidRPr="005C1A85">
        <w:rPr>
          <w:vanish/>
          <w:rtl/>
        </w:rPr>
        <w:t>=</w:t>
      </w:r>
      <w:r>
        <w:rPr>
          <w:rtl/>
        </w:rPr>
        <w:t xml:space="preserve"> </w:t>
      </w:r>
      <w:r>
        <w:rPr>
          <w:rFonts w:hint="cs"/>
          <w:rtl/>
        </w:rPr>
        <w:t>לבאר דמנורה של חוליות והחזרת תריסין הוא בנין עראי שאינו אומנות וחיזוק, ולכן אינו נחשב לבנין בכלים, ורק ע"ג קרקע אף בנין ארעי חשיב בנין, אבל במקום שיש אומנות ותיקון גמור חייב בבונה אף בכלים, ושופתא בקופינא דמרא הוא בנין קבוע.</w:t>
      </w:r>
      <w:bookmarkEnd w:id="5477"/>
      <w:bookmarkEnd w:id="5478"/>
      <w:bookmarkEnd w:id="5480"/>
    </w:p>
    <w:p w14:paraId="61AA275A" w14:textId="77777777" w:rsidR="003E1AA3" w:rsidRPr="00BC7DC8" w:rsidRDefault="003E1AA3" w:rsidP="003E1AA3">
      <w:pPr>
        <w:pStyle w:val="afffffe"/>
        <w:rPr>
          <w:vanish/>
          <w:rtl/>
        </w:rPr>
      </w:pPr>
      <w:r w:rsidRPr="00BC7DC8">
        <w:rPr>
          <w:vanish/>
          <w:rtl/>
        </w:rPr>
        <w:t>תוספות הרא"ש שבת ק"ב ע"ב</w:t>
      </w:r>
      <w:r w:rsidRPr="00BC7DC8">
        <w:rPr>
          <w:rFonts w:hint="cs"/>
          <w:vanish/>
          <w:rtl/>
        </w:rPr>
        <w:t xml:space="preserve"> ד"ה עייל</w:t>
      </w:r>
    </w:p>
    <w:p w14:paraId="57B494F1" w14:textId="77777777" w:rsidR="003E1AA3" w:rsidRPr="0018388A" w:rsidRDefault="003E1AA3" w:rsidP="003E1AA3">
      <w:pPr>
        <w:pStyle w:val="a2"/>
        <w:tabs>
          <w:tab w:val="num" w:pos="284"/>
        </w:tabs>
        <w:rPr>
          <w:rtl/>
        </w:rPr>
      </w:pPr>
      <w:r w:rsidRPr="0018388A">
        <w:rPr>
          <w:rtl/>
        </w:rPr>
        <w:t>עייל שופתא בקופינא דמרא רב אמר חייב משום בונה, ואף על גב דקיימא לן דאין בנין בכלים ה"מ כגון בהחזרת מנורה של חוליות או בהחזרת תריסין דהוי בנין עראי דאין בו אומנות וחיזוק אבל מקום שיש אומנות ותיקון גמור מחייב בכלים כמו בקרקע, והכי נמי אמרינן לעיל בסוף כירה גבי מטה של תרסיים אם תקע חייב חטאת מחזיר קני מנורה בשבת חייב חטאת קרן עגולה חייב, ואין בין כלים לקרקע אלא בנין עראי דבכלים לא חשיב בנין ובקרקע חשיב בנין, ושופתא בקופינא דמרא הוה בנין קבוע.</w:t>
      </w:r>
    </w:p>
    <w:p w14:paraId="45C2B4F2" w14:textId="77777777" w:rsidR="003E1AA3" w:rsidRPr="00FC269C" w:rsidRDefault="003E1AA3" w:rsidP="003E1AA3">
      <w:pPr>
        <w:pStyle w:val="afffff7"/>
        <w:rPr>
          <w:rtl/>
        </w:rPr>
      </w:pPr>
      <w:bookmarkStart w:id="5481" w:name="_Toc145234019"/>
      <w:bookmarkStart w:id="5482" w:name="_Toc163506277"/>
      <w:r w:rsidRPr="00FC269C">
        <w:rPr>
          <w:rtl/>
        </w:rPr>
        <w:t>תוספות ביצה י"א ע"ב</w:t>
      </w:r>
      <w:r w:rsidRPr="00FC269C">
        <w:rPr>
          <w:rFonts w:hint="cs"/>
          <w:rtl/>
        </w:rPr>
        <w:t xml:space="preserve"> ד"ה מהו</w:t>
      </w:r>
      <w:bookmarkEnd w:id="5481"/>
      <w:bookmarkEnd w:id="5482"/>
    </w:p>
    <w:p w14:paraId="59A4881F" w14:textId="77777777" w:rsidR="003E1AA3" w:rsidRDefault="003E1AA3" w:rsidP="003E1AA3">
      <w:pPr>
        <w:pStyle w:val="a7"/>
        <w:rPr>
          <w:rtl/>
        </w:rPr>
      </w:pPr>
      <w:bookmarkStart w:id="5483" w:name="_Toc145233909"/>
      <w:r>
        <w:rPr>
          <w:rFonts w:hint="cs"/>
          <w:rtl/>
        </w:rPr>
        <w:t>בי' התוס' בביצה דבמהדק ומפרק אין בנין ובעושה כלי חייב במכב"פ או בונה כמו דחייב בקרקע</w:t>
      </w:r>
      <w:bookmarkEnd w:id="5483"/>
    </w:p>
    <w:p w14:paraId="1806EFCC" w14:textId="00E71C03" w:rsidR="003E1AA3" w:rsidRPr="00C035D0" w:rsidRDefault="003E1AA3" w:rsidP="00BC7DC8">
      <w:pPr>
        <w:pStyle w:val="a3"/>
        <w:rPr>
          <w:rtl/>
        </w:rPr>
      </w:pPr>
      <w:bookmarkStart w:id="5484" w:name="_Ref144286018"/>
      <w:r>
        <w:rPr>
          <w:rFonts w:hint="cs"/>
          <w:rtl/>
        </w:rPr>
        <w:t>וכ"כ</w:t>
      </w:r>
      <w:r w:rsidRPr="00C035D0">
        <w:rPr>
          <w:b/>
          <w:bCs/>
          <w:rtl/>
        </w:rPr>
        <w:t xml:space="preserve"> ה</w:t>
      </w:r>
      <w:r w:rsidRPr="00C035D0">
        <w:rPr>
          <w:b/>
          <w:bCs/>
          <w:vanish/>
          <w:rtl/>
        </w:rPr>
        <w:t xml:space="preserve">&lt;. </w:t>
      </w:r>
      <w:r w:rsidRPr="00C035D0">
        <w:rPr>
          <w:b/>
          <w:bCs/>
          <w:vanish/>
          <w:rtl/>
        </w:rPr>
        <w:fldChar w:fldCharType="begin"/>
      </w:r>
      <w:r w:rsidRPr="00C035D0">
        <w:rPr>
          <w:b/>
          <w:bCs/>
          <w:vanish/>
          <w:rtl/>
        </w:rPr>
        <w:instrText xml:space="preserve"> </w:instrText>
      </w:r>
      <w:r w:rsidRPr="00C035D0">
        <w:rPr>
          <w:b/>
          <w:bCs/>
          <w:vanish/>
        </w:rPr>
        <w:instrText>REF</w:instrText>
      </w:r>
      <w:r w:rsidRPr="00C035D0">
        <w:rPr>
          <w:b/>
          <w:bCs/>
          <w:vanish/>
          <w:rtl/>
        </w:rPr>
        <w:instrText xml:space="preserve"> _</w:instrText>
      </w:r>
      <w:r w:rsidRPr="00C035D0">
        <w:rPr>
          <w:b/>
          <w:bCs/>
          <w:vanish/>
        </w:rPr>
        <w:instrText>Ref144286018 \r \h</w:instrText>
      </w:r>
      <w:r w:rsidRPr="00C035D0">
        <w:rPr>
          <w:b/>
          <w:bCs/>
          <w:vanish/>
          <w:rtl/>
        </w:rPr>
        <w:instrText xml:space="preserve"> </w:instrText>
      </w:r>
      <w:r w:rsidRPr="00C035D0">
        <w:rPr>
          <w:b/>
          <w:bCs/>
          <w:vanish/>
          <w:rtl/>
        </w:rPr>
      </w:r>
      <w:r w:rsidRPr="00C035D0">
        <w:rPr>
          <w:b/>
          <w:bCs/>
          <w:vanish/>
          <w:rtl/>
        </w:rPr>
        <w:fldChar w:fldCharType="separate"/>
      </w:r>
      <w:r w:rsidR="00D82181">
        <w:rPr>
          <w:b/>
          <w:bCs/>
          <w:vanish/>
          <w:cs/>
        </w:rPr>
        <w:t>‎</w:t>
      </w:r>
      <w:r w:rsidR="00D82181">
        <w:rPr>
          <w:b/>
          <w:bCs/>
          <w:vanish/>
          <w:rtl/>
        </w:rPr>
        <w:t>כב)</w:t>
      </w:r>
      <w:r w:rsidRPr="00C035D0">
        <w:rPr>
          <w:b/>
          <w:bCs/>
          <w:vanish/>
          <w:rtl/>
        </w:rPr>
        <w:fldChar w:fldCharType="end"/>
      </w:r>
      <w:r w:rsidRPr="00C035D0">
        <w:rPr>
          <w:b/>
          <w:bCs/>
          <w:vanish/>
          <w:rtl/>
        </w:rPr>
        <w:t xml:space="preserve"> &gt; </w:t>
      </w:r>
      <w:r>
        <w:rPr>
          <w:rFonts w:hint="cs"/>
          <w:b/>
          <w:bCs/>
          <w:rtl/>
        </w:rPr>
        <w:t xml:space="preserve">תוס' בביצה </w:t>
      </w:r>
      <w:r w:rsidRPr="00C962CD">
        <w:rPr>
          <w:rStyle w:val="af2"/>
          <w:rFonts w:eastAsia="Guttman Hodes"/>
          <w:rtl/>
        </w:rPr>
        <w:t>(</w:t>
      </w:r>
      <w:r w:rsidRPr="00C962CD">
        <w:rPr>
          <w:rStyle w:val="af2"/>
          <w:rFonts w:eastAsia="Guttman Hodes" w:hint="cs"/>
          <w:rtl/>
        </w:rPr>
        <w:t>יא: ד"ה מהו</w:t>
      </w:r>
      <w:r w:rsidRPr="00C962CD">
        <w:rPr>
          <w:rStyle w:val="af2"/>
          <w:rFonts w:eastAsia="Guttman Hodes"/>
          <w:rtl/>
        </w:rPr>
        <w:t>)</w:t>
      </w:r>
      <w:bookmarkEnd w:id="5484"/>
      <w:r w:rsidRPr="00C035D0">
        <w:rPr>
          <w:vanish/>
          <w:rtl/>
        </w:rPr>
        <w:t>=</w:t>
      </w:r>
      <w:r>
        <w:rPr>
          <w:rtl/>
        </w:rPr>
        <w:t xml:space="preserve"> </w:t>
      </w:r>
      <w:r>
        <w:rPr>
          <w:rFonts w:hint="cs"/>
          <w:rtl/>
        </w:rPr>
        <w:t>דהא דקיי"ל דאין בנין וסתירה בכלים, היינו במהדק ומפרק, אבל בעושה כלי חייב משום מכה בפטיש, או משום בונה כשבונה ע"ג הקרקע כדאיתא בגמ' בסוגיין.</w:t>
      </w:r>
      <w:r w:rsidRPr="00724853">
        <w:rPr>
          <w:rStyle w:val="af"/>
          <w:rFonts w:hint="cs"/>
          <w:rtl/>
        </w:rPr>
        <w:t xml:space="preserve"> [אך הקשו</w:t>
      </w:r>
      <w:r w:rsidRPr="00724853">
        <w:rPr>
          <w:rStyle w:val="af"/>
          <w:rtl/>
        </w:rPr>
        <w:t xml:space="preserve"> </w:t>
      </w:r>
      <w:r w:rsidRPr="00724853">
        <w:rPr>
          <w:rStyle w:val="aff9"/>
          <w:rFonts w:hint="cs"/>
          <w:rtl/>
        </w:rPr>
        <w:t>התוס'</w:t>
      </w:r>
      <w:r w:rsidRPr="00724853">
        <w:rPr>
          <w:rStyle w:val="af"/>
          <w:rtl/>
        </w:rPr>
        <w:t xml:space="preserve"> </w:t>
      </w:r>
      <w:r w:rsidRPr="00724853">
        <w:rPr>
          <w:rStyle w:val="af"/>
          <w:rFonts w:hint="cs"/>
          <w:rtl/>
        </w:rPr>
        <w:t>דאמאי התירו ב"ה בגמ' בביצה</w:t>
      </w:r>
      <w:r w:rsidRPr="00724853">
        <w:rPr>
          <w:rStyle w:val="af"/>
          <w:rtl/>
        </w:rPr>
        <w:t xml:space="preserve"> </w:t>
      </w:r>
      <w:r w:rsidRPr="00724853">
        <w:rPr>
          <w:rStyle w:val="aff0"/>
          <w:rtl/>
        </w:rPr>
        <w:t>(</w:t>
      </w:r>
      <w:r w:rsidRPr="00724853">
        <w:rPr>
          <w:rStyle w:val="aff0"/>
          <w:rFonts w:hint="cs"/>
          <w:rtl/>
        </w:rPr>
        <w:t>יא:</w:t>
      </w:r>
      <w:r w:rsidRPr="00724853">
        <w:rPr>
          <w:rStyle w:val="aff0"/>
          <w:rtl/>
        </w:rPr>
        <w:t>)</w:t>
      </w:r>
      <w:r w:rsidRPr="00724853">
        <w:rPr>
          <w:rStyle w:val="af"/>
          <w:rtl/>
        </w:rPr>
        <w:t xml:space="preserve"> </w:t>
      </w:r>
      <w:r w:rsidRPr="00724853">
        <w:rPr>
          <w:rStyle w:val="af"/>
          <w:rFonts w:hint="cs"/>
          <w:rtl/>
        </w:rPr>
        <w:t>להחזיר תריסין רק משום שמחת יו"ט, והא קיי"ל דאין בנין בכלים, ותירצו</w:t>
      </w:r>
      <w:r w:rsidRPr="00724853">
        <w:rPr>
          <w:rStyle w:val="af"/>
          <w:rtl/>
        </w:rPr>
        <w:t xml:space="preserve"> </w:t>
      </w:r>
      <w:r w:rsidRPr="00724853">
        <w:rPr>
          <w:rStyle w:val="aff9"/>
          <w:rFonts w:hint="cs"/>
          <w:rtl/>
        </w:rPr>
        <w:t>התוס'</w:t>
      </w:r>
      <w:r w:rsidRPr="00724853">
        <w:rPr>
          <w:rStyle w:val="af"/>
          <w:rtl/>
        </w:rPr>
        <w:t xml:space="preserve"> </w:t>
      </w:r>
      <w:r w:rsidRPr="00724853">
        <w:rPr>
          <w:rStyle w:val="af"/>
          <w:rFonts w:hint="cs"/>
          <w:rtl/>
        </w:rPr>
        <w:t>דמ"מ אסרו במהדק שמא יתקע].</w:t>
      </w:r>
    </w:p>
    <w:p w14:paraId="5D2A131D" w14:textId="77777777" w:rsidR="003E1AA3" w:rsidRPr="00BC7DC8" w:rsidRDefault="003E1AA3" w:rsidP="003E1AA3">
      <w:pPr>
        <w:pStyle w:val="afffffe"/>
        <w:rPr>
          <w:vanish/>
          <w:rtl/>
        </w:rPr>
      </w:pPr>
      <w:r w:rsidRPr="00BC7DC8">
        <w:rPr>
          <w:vanish/>
          <w:rtl/>
        </w:rPr>
        <w:t>תוספות ביצה י"א ע"ב</w:t>
      </w:r>
      <w:r w:rsidRPr="00BC7DC8">
        <w:rPr>
          <w:rFonts w:hint="cs"/>
          <w:vanish/>
          <w:rtl/>
        </w:rPr>
        <w:t xml:space="preserve"> ד"ה מהו</w:t>
      </w:r>
    </w:p>
    <w:p w14:paraId="322C2D9B" w14:textId="77777777" w:rsidR="003E1AA3" w:rsidRDefault="003E1AA3" w:rsidP="003E1AA3">
      <w:pPr>
        <w:pStyle w:val="a2"/>
        <w:tabs>
          <w:tab w:val="num" w:pos="284"/>
        </w:tabs>
        <w:rPr>
          <w:rtl/>
        </w:rPr>
      </w:pPr>
      <w:r w:rsidRPr="0018388A">
        <w:rPr>
          <w:rtl/>
        </w:rPr>
        <w:t xml:space="preserve">מהו דתימא טעמייהו דב"ה דאין בנין וסתירה כו' - דקי"ל אין בנין וסתירה כשהוא מהדק ומפרק כי אם בעושה כלי שהוא חייב משום מכה בפטיש או בבונה על גבי קרקע כדאמרינן בשבת (דף קב:) הבונה כל שהוא חייב קמ"ל </w:t>
      </w:r>
      <w:r w:rsidRPr="00724853">
        <w:rPr>
          <w:rStyle w:val="afff7"/>
          <w:rtl/>
        </w:rPr>
        <w:t>ותימה הא קיימא לן אין בנין וסתירה בכלים י"ל מ"מ אסור שמא יתקע.</w:t>
      </w:r>
    </w:p>
    <w:p w14:paraId="63DE66A1" w14:textId="77777777" w:rsidR="003E1AA3" w:rsidRPr="00FC269C" w:rsidRDefault="003E1AA3" w:rsidP="003E1AA3">
      <w:pPr>
        <w:pStyle w:val="afffff7"/>
        <w:rPr>
          <w:rtl/>
        </w:rPr>
      </w:pPr>
      <w:bookmarkStart w:id="5485" w:name="_Toc145234020"/>
      <w:bookmarkStart w:id="5486" w:name="_Toc163506278"/>
      <w:r w:rsidRPr="00FC269C">
        <w:rPr>
          <w:rtl/>
        </w:rPr>
        <w:t>חדושי הרשב"א שבת ק"ב ע"ב</w:t>
      </w:r>
      <w:r w:rsidRPr="00FC269C">
        <w:rPr>
          <w:rFonts w:hint="cs"/>
          <w:rtl/>
        </w:rPr>
        <w:t xml:space="preserve"> ד"ה האי</w:t>
      </w:r>
      <w:bookmarkEnd w:id="5485"/>
      <w:bookmarkEnd w:id="5486"/>
    </w:p>
    <w:p w14:paraId="661407BA" w14:textId="77777777" w:rsidR="003E1AA3" w:rsidRDefault="003E1AA3" w:rsidP="003E1AA3">
      <w:pPr>
        <w:pStyle w:val="a7"/>
        <w:rPr>
          <w:rtl/>
        </w:rPr>
      </w:pPr>
      <w:bookmarkStart w:id="5487" w:name="_Toc145233910"/>
      <w:r>
        <w:rPr>
          <w:rFonts w:hint="cs"/>
          <w:rtl/>
        </w:rPr>
        <w:t>קו' הרשב"א איך מחייב רב בבונה הא לב"ה אין בנין ועוד דאי אין בנין בכלים כ"ש מגבן באוכל</w:t>
      </w:r>
      <w:bookmarkEnd w:id="5487"/>
    </w:p>
    <w:p w14:paraId="29795139" w14:textId="1C916C22" w:rsidR="003E1AA3" w:rsidRPr="0079485F" w:rsidRDefault="003E1AA3" w:rsidP="00BC7DC8">
      <w:pPr>
        <w:pStyle w:val="a3"/>
      </w:pPr>
      <w:bookmarkStart w:id="5488" w:name="_Ref144325248"/>
      <w:bookmarkStart w:id="5489" w:name="_Ref145234551"/>
      <w:r w:rsidRPr="007E5510">
        <w:rPr>
          <w:rFonts w:hint="cs"/>
          <w:rtl/>
        </w:rPr>
        <w:t>וכן הקשה</w:t>
      </w:r>
      <w:r>
        <w:rPr>
          <w:rFonts w:hint="cs"/>
          <w:rtl/>
        </w:rPr>
        <w:t xml:space="preserve"> </w:t>
      </w:r>
      <w:r w:rsidRPr="00DB7A68">
        <w:rPr>
          <w:b/>
          <w:bCs/>
          <w:rtl/>
        </w:rPr>
        <w:t>ה</w:t>
      </w:r>
      <w:r w:rsidRPr="00DB7A68">
        <w:rPr>
          <w:b/>
          <w:bCs/>
          <w:vanish/>
          <w:rtl/>
        </w:rPr>
        <w:t xml:space="preserve"> &lt;, </w:t>
      </w:r>
      <w:r w:rsidRPr="00DB7A68">
        <w:rPr>
          <w:b/>
          <w:bCs/>
          <w:vanish/>
          <w:rtl/>
        </w:rPr>
        <w:fldChar w:fldCharType="begin"/>
      </w:r>
      <w:r w:rsidRPr="00DB7A68">
        <w:rPr>
          <w:b/>
          <w:bCs/>
          <w:vanish/>
          <w:rtl/>
        </w:rPr>
        <w:instrText xml:space="preserve"> </w:instrText>
      </w:r>
      <w:r w:rsidRPr="00DB7A68">
        <w:rPr>
          <w:b/>
          <w:bCs/>
          <w:vanish/>
        </w:rPr>
        <w:instrText>REF</w:instrText>
      </w:r>
      <w:r w:rsidRPr="00DB7A68">
        <w:rPr>
          <w:b/>
          <w:bCs/>
          <w:vanish/>
          <w:rtl/>
        </w:rPr>
        <w:instrText xml:space="preserve"> _</w:instrText>
      </w:r>
      <w:r w:rsidRPr="00DB7A68">
        <w:rPr>
          <w:b/>
          <w:bCs/>
          <w:vanish/>
        </w:rPr>
        <w:instrText>Ref144325248 \r \h</w:instrText>
      </w:r>
      <w:r w:rsidRPr="00DB7A68">
        <w:rPr>
          <w:b/>
          <w:bCs/>
          <w:vanish/>
          <w:rtl/>
        </w:rPr>
        <w:instrText xml:space="preserve"> </w:instrText>
      </w:r>
      <w:r w:rsidRPr="00DB7A68">
        <w:rPr>
          <w:b/>
          <w:bCs/>
          <w:vanish/>
          <w:rtl/>
        </w:rPr>
      </w:r>
      <w:r w:rsidRPr="00DB7A68">
        <w:rPr>
          <w:b/>
          <w:bCs/>
          <w:vanish/>
          <w:rtl/>
        </w:rPr>
        <w:fldChar w:fldCharType="separate"/>
      </w:r>
      <w:r w:rsidR="00D82181">
        <w:rPr>
          <w:b/>
          <w:bCs/>
          <w:vanish/>
          <w:cs/>
        </w:rPr>
        <w:t>‎</w:t>
      </w:r>
      <w:r w:rsidR="00D82181">
        <w:rPr>
          <w:b/>
          <w:bCs/>
          <w:vanish/>
          <w:rtl/>
        </w:rPr>
        <w:t>כג)</w:t>
      </w:r>
      <w:r w:rsidRPr="00DB7A68">
        <w:rPr>
          <w:b/>
          <w:bCs/>
          <w:vanish/>
          <w:rtl/>
        </w:rPr>
        <w:fldChar w:fldCharType="end"/>
      </w:r>
      <w:r w:rsidRPr="00DB7A68">
        <w:rPr>
          <w:b/>
          <w:bCs/>
          <w:vanish/>
          <w:rtl/>
        </w:rPr>
        <w:t xml:space="preserve"> &gt;</w:t>
      </w:r>
      <w:r w:rsidRPr="00DB7A68">
        <w:rPr>
          <w:rFonts w:hint="cs"/>
          <w:b/>
          <w:bCs/>
          <w:rtl/>
        </w:rPr>
        <w:t>רשב"א</w:t>
      </w:r>
      <w:r w:rsidRPr="00DB7A68">
        <w:rPr>
          <w:b/>
          <w:bCs/>
          <w:rtl/>
        </w:rPr>
        <w:t xml:space="preserve"> </w:t>
      </w:r>
      <w:r w:rsidRPr="00C962CD">
        <w:rPr>
          <w:rStyle w:val="af2"/>
          <w:rFonts w:eastAsia="Guttman Hodes"/>
          <w:rtl/>
        </w:rPr>
        <w:t>(</w:t>
      </w:r>
      <w:r w:rsidRPr="00C962CD">
        <w:rPr>
          <w:rStyle w:val="af2"/>
          <w:rFonts w:eastAsia="Guttman Hodes" w:hint="cs"/>
          <w:rtl/>
        </w:rPr>
        <w:t>ד"ה האי</w:t>
      </w:r>
      <w:r w:rsidRPr="00C962CD">
        <w:rPr>
          <w:rStyle w:val="af2"/>
          <w:rFonts w:eastAsia="Guttman Hodes"/>
          <w:rtl/>
        </w:rPr>
        <w:t>)</w:t>
      </w:r>
      <w:r w:rsidRPr="00DB7A68">
        <w:rPr>
          <w:vanish/>
          <w:rtl/>
        </w:rPr>
        <w:t>=</w:t>
      </w:r>
      <w:r>
        <w:rPr>
          <w:rFonts w:hint="cs"/>
          <w:rtl/>
        </w:rPr>
        <w:t xml:space="preserve"> </w:t>
      </w:r>
      <w:bookmarkEnd w:id="5488"/>
      <w:r>
        <w:rPr>
          <w:rFonts w:hint="cs"/>
          <w:rtl/>
        </w:rPr>
        <w:t xml:space="preserve">דהאיך מחייב רב בבונה והא אמרינן בגמ' בביצה </w:t>
      </w:r>
      <w:r w:rsidRPr="00C962CD">
        <w:rPr>
          <w:rStyle w:val="af2"/>
          <w:rFonts w:eastAsia="Guttman Hodes" w:hint="cs"/>
          <w:rtl/>
        </w:rPr>
        <w:t>(כב.)</w:t>
      </w:r>
      <w:r>
        <w:rPr>
          <w:rFonts w:hint="cs"/>
          <w:rtl/>
        </w:rPr>
        <w:t xml:space="preserve"> דאין בנין בכלים, ועוד הקשה </w:t>
      </w:r>
      <w:r w:rsidRPr="00E24FB9">
        <w:rPr>
          <w:rStyle w:val="aff4"/>
          <w:rFonts w:hint="cs"/>
          <w:vanish/>
          <w:rtl/>
        </w:rPr>
        <w:t>-</w:t>
      </w:r>
      <w:r w:rsidRPr="00C07E8C">
        <w:rPr>
          <w:rStyle w:val="aff4"/>
          <w:rFonts w:hint="cs"/>
          <w:rtl/>
        </w:rPr>
        <w:t>הרשב"א</w:t>
      </w:r>
      <w:r w:rsidRPr="00E24FB9">
        <w:rPr>
          <w:rStyle w:val="aff4"/>
          <w:rFonts w:hint="cs"/>
          <w:vanish/>
          <w:rtl/>
        </w:rPr>
        <w:t>-</w:t>
      </w:r>
      <w:r>
        <w:rPr>
          <w:rFonts w:hint="cs"/>
          <w:rtl/>
        </w:rPr>
        <w:t xml:space="preserve"> דהא דאיתא בגמ' לעיל </w:t>
      </w:r>
      <w:r w:rsidRPr="00C962CD">
        <w:rPr>
          <w:rStyle w:val="af2"/>
          <w:rFonts w:eastAsia="Guttman Hodes" w:hint="cs"/>
          <w:rtl/>
        </w:rPr>
        <w:t>(צה.)</w:t>
      </w:r>
      <w:r>
        <w:rPr>
          <w:rFonts w:hint="cs"/>
          <w:rtl/>
        </w:rPr>
        <w:t xml:space="preserve"> דמגבן חייב משום בונה, והא כיון דאין בנין בכלים היאך אפש"ל שיש בנין באוכלין.</w:t>
      </w:r>
      <w:bookmarkEnd w:id="5489"/>
    </w:p>
    <w:p w14:paraId="2E2DCBB4" w14:textId="77777777" w:rsidR="003E1AA3" w:rsidRPr="00BC7DC8" w:rsidRDefault="003E1AA3" w:rsidP="003E1AA3">
      <w:pPr>
        <w:pStyle w:val="afffffe"/>
        <w:rPr>
          <w:vanish/>
          <w:rtl/>
        </w:rPr>
      </w:pPr>
      <w:r w:rsidRPr="00BC7DC8">
        <w:rPr>
          <w:vanish/>
          <w:rtl/>
        </w:rPr>
        <w:t>חדושי הרשב"א שבת ק"ב ע"ב</w:t>
      </w:r>
      <w:r w:rsidRPr="00BC7DC8">
        <w:rPr>
          <w:rFonts w:hint="cs"/>
          <w:vanish/>
          <w:rtl/>
        </w:rPr>
        <w:t xml:space="preserve"> ד"ה האי</w:t>
      </w:r>
    </w:p>
    <w:p w14:paraId="2DEC839F" w14:textId="77777777" w:rsidR="003E1AA3" w:rsidRPr="0018388A" w:rsidRDefault="003E1AA3" w:rsidP="003E1AA3">
      <w:pPr>
        <w:pStyle w:val="a2"/>
        <w:tabs>
          <w:tab w:val="num" w:pos="284"/>
        </w:tabs>
        <w:rPr>
          <w:rtl/>
        </w:rPr>
      </w:pPr>
      <w:r w:rsidRPr="0018388A">
        <w:rPr>
          <w:rtl/>
        </w:rPr>
        <w:t>האי מאן דעייל שופתא בקופינא רב אמר חייב משום בונה. איכא למידק והא אין בנין בכלים כדאמרינן בפרק שני דביצה (כ"ב א')</w:t>
      </w:r>
      <w:r w:rsidRPr="0018388A">
        <w:rPr>
          <w:rFonts w:hint="cs"/>
          <w:rtl/>
        </w:rPr>
        <w:t xml:space="preserve">, וכו', </w:t>
      </w:r>
      <w:r w:rsidRPr="0018388A">
        <w:rPr>
          <w:rtl/>
        </w:rPr>
        <w:t>ובזה ניחא לי הא דאמרינן לעיל בפרק המצניע (צ"ה א') דמגבן חייב משום בונה, ואם אין בנין בכלים היאך אפשר שיש בנין באוכלין</w:t>
      </w:r>
      <w:r w:rsidRPr="0018388A">
        <w:rPr>
          <w:rFonts w:hint="cs"/>
          <w:rtl/>
        </w:rPr>
        <w:t>.</w:t>
      </w:r>
    </w:p>
    <w:p w14:paraId="65822C52" w14:textId="77777777" w:rsidR="003E1AA3" w:rsidRDefault="003E1AA3" w:rsidP="003E1AA3">
      <w:pPr>
        <w:pStyle w:val="a7"/>
        <w:rPr>
          <w:rtl/>
        </w:rPr>
      </w:pPr>
      <w:bookmarkStart w:id="5490" w:name="_Toc145233911"/>
      <w:r>
        <w:rPr>
          <w:rFonts w:hint="cs"/>
          <w:rtl/>
        </w:rPr>
        <w:t>בי' הרשב"א בתוס' דעושה כלי בתחילה ל"ה בנין בכלים דלא היה כלי כלל ואין בנין גדול מזה</w:t>
      </w:r>
      <w:bookmarkEnd w:id="5490"/>
    </w:p>
    <w:p w14:paraId="4DEB4385" w14:textId="7849ACA9" w:rsidR="003E1AA3" w:rsidRDefault="003E1AA3" w:rsidP="00BC7DC8">
      <w:pPr>
        <w:pStyle w:val="a3"/>
      </w:pPr>
      <w:r w:rsidRPr="00E64A63">
        <w:rPr>
          <w:rFonts w:hint="cs"/>
          <w:rtl/>
        </w:rPr>
        <w:t>ו</w:t>
      </w:r>
      <w:r>
        <w:rPr>
          <w:rFonts w:hint="cs"/>
          <w:rtl/>
        </w:rPr>
        <w:t xml:space="preserve">כן </w:t>
      </w:r>
      <w:r w:rsidRPr="00E64A63">
        <w:rPr>
          <w:rFonts w:hint="cs"/>
          <w:rtl/>
        </w:rPr>
        <w:t xml:space="preserve">הביא </w:t>
      </w:r>
      <w:r w:rsidRPr="00E24FB9">
        <w:rPr>
          <w:rStyle w:val="aff4"/>
          <w:rFonts w:hint="cs"/>
          <w:vanish/>
          <w:rtl/>
        </w:rPr>
        <w:t>-</w:t>
      </w:r>
      <w:r w:rsidRPr="00C07E8C">
        <w:rPr>
          <w:rStyle w:val="aff4"/>
          <w:rFonts w:hint="cs"/>
          <w:rtl/>
        </w:rPr>
        <w:t>הרשב"א</w:t>
      </w:r>
      <w:r w:rsidRPr="00E24FB9">
        <w:rPr>
          <w:rStyle w:val="aff4"/>
          <w:rFonts w:hint="cs"/>
          <w:vanish/>
          <w:rtl/>
        </w:rPr>
        <w:t>-</w:t>
      </w:r>
      <w:r w:rsidRPr="00E64A63">
        <w:rPr>
          <w:rFonts w:hint="cs"/>
          <w:rtl/>
        </w:rPr>
        <w:t xml:space="preserve"> ב</w:t>
      </w:r>
      <w:r w:rsidRPr="00E64A63">
        <w:rPr>
          <w:rStyle w:val="aff4"/>
          <w:rFonts w:hint="cs"/>
          <w:rtl/>
        </w:rPr>
        <w:t>שם</w:t>
      </w:r>
      <w:r w:rsidRPr="00E64A63">
        <w:rPr>
          <w:rStyle w:val="aff4"/>
          <w:rtl/>
        </w:rPr>
        <w:t xml:space="preserve"> </w:t>
      </w:r>
      <w:r w:rsidRPr="006D50FE">
        <w:rPr>
          <w:rStyle w:val="aff4"/>
          <w:vanish/>
          <w:rtl/>
        </w:rPr>
        <w:t>-</w:t>
      </w:r>
      <w:r w:rsidRPr="00E64A63">
        <w:rPr>
          <w:rStyle w:val="aff4"/>
          <w:rFonts w:hint="cs"/>
          <w:rtl/>
        </w:rPr>
        <w:t>י"מ</w:t>
      </w:r>
      <w:r w:rsidRPr="00E64A63">
        <w:rPr>
          <w:rFonts w:hint="cs"/>
          <w:rtl/>
        </w:rPr>
        <w:t xml:space="preserve"> </w:t>
      </w:r>
      <w:r w:rsidRPr="00E64A63">
        <w:rPr>
          <w:sz w:val="12"/>
          <w:szCs w:val="14"/>
          <w:rtl/>
        </w:rPr>
        <w:t>[</w:t>
      </w:r>
      <w:r w:rsidRPr="00D12047">
        <w:rPr>
          <w:rStyle w:val="aff9"/>
          <w:rFonts w:hint="cs"/>
          <w:vanish/>
          <w:rtl/>
        </w:rPr>
        <w:t>-</w:t>
      </w:r>
      <w:r w:rsidRPr="00D12047">
        <w:rPr>
          <w:rStyle w:val="aff9"/>
          <w:rFonts w:hint="cs"/>
          <w:rtl/>
        </w:rPr>
        <w:t>תוס'</w:t>
      </w:r>
      <w:r w:rsidRPr="00D12047">
        <w:rPr>
          <w:rStyle w:val="aff9"/>
          <w:rFonts w:hint="cs"/>
          <w:vanish/>
          <w:rtl/>
        </w:rPr>
        <w:t>-</w:t>
      </w:r>
      <w:r w:rsidRPr="00E64A63">
        <w:rPr>
          <w:rFonts w:hint="cs"/>
          <w:sz w:val="12"/>
          <w:szCs w:val="14"/>
          <w:rtl/>
        </w:rPr>
        <w:t xml:space="preserve"> </w:t>
      </w:r>
      <w:r w:rsidRPr="00C962CD">
        <w:rPr>
          <w:rStyle w:val="aff0"/>
          <w:rFonts w:hint="cs"/>
          <w:rtl/>
        </w:rPr>
        <w:t>(</w:t>
      </w:r>
      <w:r w:rsidRPr="00953B42">
        <w:rPr>
          <w:rStyle w:val="aff0"/>
          <w:rFonts w:hint="cs"/>
          <w:rtl/>
        </w:rPr>
        <w:t xml:space="preserve">עי' </w:t>
      </w:r>
      <w:r w:rsidRPr="00953B42">
        <w:rPr>
          <w:rStyle w:val="aff0"/>
          <w:rtl/>
        </w:rPr>
        <w:t xml:space="preserve">אות </w:t>
      </w:r>
      <w:r w:rsidRPr="00953B42">
        <w:rPr>
          <w:rStyle w:val="aff0"/>
          <w:rtl/>
        </w:rPr>
        <w:fldChar w:fldCharType="begin"/>
      </w:r>
      <w:r w:rsidRPr="00953B42">
        <w:rPr>
          <w:rStyle w:val="aff0"/>
          <w:rtl/>
        </w:rPr>
        <w:instrText xml:space="preserve"> </w:instrText>
      </w:r>
      <w:r w:rsidRPr="00953B42">
        <w:rPr>
          <w:rStyle w:val="aff0"/>
        </w:rPr>
        <w:instrText>REF</w:instrText>
      </w:r>
      <w:r w:rsidRPr="00953B42">
        <w:rPr>
          <w:rStyle w:val="aff0"/>
          <w:rtl/>
        </w:rPr>
        <w:instrText xml:space="preserve"> _</w:instrText>
      </w:r>
      <w:r w:rsidRPr="00953B42">
        <w:rPr>
          <w:rStyle w:val="aff0"/>
        </w:rPr>
        <w:instrText>Ref144829094 \r \h</w:instrText>
      </w:r>
      <w:r w:rsidRPr="00953B42">
        <w:rPr>
          <w:rStyle w:val="aff0"/>
          <w:rtl/>
        </w:rPr>
        <w:instrText xml:space="preserve"> </w:instrText>
      </w:r>
      <w:r w:rsidRPr="00953B42">
        <w:rPr>
          <w:rStyle w:val="aff0"/>
          <w:rtl/>
        </w:rPr>
      </w:r>
      <w:r w:rsidRPr="00953B42">
        <w:rPr>
          <w:rStyle w:val="aff0"/>
          <w:rtl/>
        </w:rPr>
        <w:fldChar w:fldCharType="separate"/>
      </w:r>
      <w:r w:rsidR="00D82181">
        <w:rPr>
          <w:rStyle w:val="aff0"/>
          <w:cs/>
        </w:rPr>
        <w:t>‎</w:t>
      </w:r>
      <w:r w:rsidR="00D82181">
        <w:rPr>
          <w:rStyle w:val="aff0"/>
          <w:rtl/>
        </w:rPr>
        <w:t>כא)</w:t>
      </w:r>
      <w:r w:rsidRPr="00953B42">
        <w:rPr>
          <w:rStyle w:val="aff0"/>
          <w:rtl/>
        </w:rPr>
        <w:fldChar w:fldCharType="end"/>
      </w:r>
      <w:r w:rsidRPr="00E64A63">
        <w:rPr>
          <w:sz w:val="12"/>
          <w:szCs w:val="14"/>
          <w:rtl/>
        </w:rPr>
        <w:t>]</w:t>
      </w:r>
      <w:r w:rsidRPr="00E64A63">
        <w:rPr>
          <w:rtl/>
        </w:rPr>
        <w:t xml:space="preserve"> </w:t>
      </w:r>
      <w:r w:rsidRPr="00E64A63">
        <w:rPr>
          <w:rFonts w:hint="cs"/>
          <w:rtl/>
        </w:rPr>
        <w:t>ד</w:t>
      </w:r>
      <w:r>
        <w:rPr>
          <w:rFonts w:hint="cs"/>
          <w:rtl/>
        </w:rPr>
        <w:t>תירצו ד</w:t>
      </w:r>
      <w:r w:rsidRPr="00E64A63">
        <w:rPr>
          <w:rFonts w:hint="cs"/>
          <w:rtl/>
        </w:rPr>
        <w:t xml:space="preserve">רק בכלי שהתפרק כמנורה של חוליות אמרינן דאין בנין בכלים, וכדהתירו ב"ה בגמ' בביצה בזקיפת מנורה ביו"ט, אבל העושה כלי בתחילה אין לך בנין גדול </w:t>
      </w:r>
      <w:r>
        <w:rPr>
          <w:rFonts w:hint="cs"/>
          <w:rtl/>
        </w:rPr>
        <w:t>ג</w:t>
      </w:r>
      <w:r w:rsidRPr="00E64A63">
        <w:rPr>
          <w:rFonts w:hint="cs"/>
          <w:rtl/>
        </w:rPr>
        <w:t>דול מזה, וביאר</w:t>
      </w:r>
      <w:r w:rsidRPr="00E64A63">
        <w:rPr>
          <w:rtl/>
        </w:rPr>
        <w:t xml:space="preserve"> </w:t>
      </w:r>
      <w:r w:rsidRPr="00E24FB9">
        <w:rPr>
          <w:rStyle w:val="aff4"/>
          <w:vanish/>
          <w:rtl/>
        </w:rPr>
        <w:t>-</w:t>
      </w:r>
      <w:r w:rsidRPr="00C07E8C">
        <w:rPr>
          <w:rStyle w:val="aff4"/>
          <w:rFonts w:hint="cs"/>
          <w:rtl/>
        </w:rPr>
        <w:t>הרשב"א</w:t>
      </w:r>
      <w:r w:rsidRPr="00E24FB9">
        <w:rPr>
          <w:rStyle w:val="aff4"/>
          <w:rFonts w:hint="cs"/>
          <w:vanish/>
          <w:rtl/>
        </w:rPr>
        <w:t>-</w:t>
      </w:r>
      <w:r w:rsidRPr="00E64A63">
        <w:rPr>
          <w:rFonts w:hint="cs"/>
          <w:rtl/>
        </w:rPr>
        <w:t xml:space="preserve"> דבכה"ג אי"ז נקרא בנין בכלים דלא היה כאן כלי כלל והוא עשה אותו</w:t>
      </w:r>
      <w:r>
        <w:rPr>
          <w:rFonts w:hint="cs"/>
          <w:rtl/>
        </w:rPr>
        <w:t xml:space="preserve">, וכתב </w:t>
      </w:r>
      <w:r w:rsidRPr="00E24FB9">
        <w:rPr>
          <w:rStyle w:val="aff4"/>
          <w:rFonts w:hint="cs"/>
          <w:vanish/>
          <w:rtl/>
        </w:rPr>
        <w:t>-</w:t>
      </w:r>
      <w:r w:rsidRPr="00C07E8C">
        <w:rPr>
          <w:rStyle w:val="aff4"/>
          <w:rFonts w:hint="cs"/>
          <w:rtl/>
        </w:rPr>
        <w:t>הרשב"א</w:t>
      </w:r>
      <w:r w:rsidRPr="00E24FB9">
        <w:rPr>
          <w:rStyle w:val="aff4"/>
          <w:rFonts w:hint="cs"/>
          <w:vanish/>
          <w:rtl/>
        </w:rPr>
        <w:t>-</w:t>
      </w:r>
      <w:r>
        <w:rPr>
          <w:rFonts w:hint="cs"/>
          <w:rtl/>
        </w:rPr>
        <w:t xml:space="preserve"> דלפי"ז מבואר דאף מגבן חשיב בונה, דהוא כעושה כלי מתחילתו.</w:t>
      </w:r>
    </w:p>
    <w:p w14:paraId="558A1736" w14:textId="77777777" w:rsidR="003E1AA3" w:rsidRPr="00BC7DC8" w:rsidRDefault="003E1AA3" w:rsidP="003E1AA3">
      <w:pPr>
        <w:pStyle w:val="afffffe"/>
        <w:rPr>
          <w:vanish/>
          <w:rtl/>
        </w:rPr>
      </w:pPr>
      <w:r w:rsidRPr="00BC7DC8">
        <w:rPr>
          <w:vanish/>
          <w:rtl/>
        </w:rPr>
        <w:t>חדושי הרשב"א שבת ק"ב ע"ב</w:t>
      </w:r>
      <w:r w:rsidRPr="00BC7DC8">
        <w:rPr>
          <w:rFonts w:hint="cs"/>
          <w:vanish/>
          <w:rtl/>
        </w:rPr>
        <w:t xml:space="preserve"> ד"ה האי</w:t>
      </w:r>
    </w:p>
    <w:p w14:paraId="2DA960EA" w14:textId="77777777" w:rsidR="003E1AA3" w:rsidRPr="0018388A" w:rsidRDefault="003E1AA3" w:rsidP="003E1AA3">
      <w:pPr>
        <w:pStyle w:val="a2"/>
        <w:tabs>
          <w:tab w:val="num" w:pos="284"/>
        </w:tabs>
        <w:rPr>
          <w:rtl/>
        </w:rPr>
      </w:pPr>
      <w:r w:rsidRPr="0018388A">
        <w:rPr>
          <w:rtl/>
        </w:rPr>
        <w:t>ויש מפרשים דכי אמרינן אין בנין וסתירה בכלים הני מילי בכלי שנתפרק כגון מנורה של חוליות וכדשרו בית הלל לזקוף את המנורה ביום טוב, אבל לעשות כלי לכתחלה אין לך בנין גדול מזה ואין זה נקרא בנין בכלים שהרי אינו כלי אלא עושה כלי</w:t>
      </w:r>
      <w:r w:rsidRPr="0018388A">
        <w:rPr>
          <w:rFonts w:hint="cs"/>
          <w:rtl/>
        </w:rPr>
        <w:t xml:space="preserve">, </w:t>
      </w:r>
      <w:r w:rsidRPr="0018388A">
        <w:rPr>
          <w:rtl/>
        </w:rPr>
        <w:t>ובזה ניחא לי הא דאמרינן לעיל בפרק המצניע (צ"ה א') דמגבן חייב משום בונה, ואם אין בנין בכלים היאך אפשר שיש בנין באוכלין</w:t>
      </w:r>
      <w:r w:rsidRPr="0018388A">
        <w:rPr>
          <w:rFonts w:hint="cs"/>
          <w:rtl/>
        </w:rPr>
        <w:t xml:space="preserve">. </w:t>
      </w:r>
      <w:r w:rsidRPr="0018388A">
        <w:rPr>
          <w:rtl/>
        </w:rPr>
        <w:t>אלא שהעושה דבר מתחלתו חייב משום שהוא עושה כלי והוא הבונה</w:t>
      </w:r>
      <w:r w:rsidRPr="0018388A">
        <w:rPr>
          <w:rFonts w:hint="cs"/>
          <w:rtl/>
        </w:rPr>
        <w:t>.</w:t>
      </w:r>
    </w:p>
    <w:p w14:paraId="55F7B2DE" w14:textId="77777777" w:rsidR="003E1AA3" w:rsidRPr="009B733B" w:rsidRDefault="003E1AA3" w:rsidP="003E1AA3">
      <w:pPr>
        <w:pStyle w:val="a7"/>
      </w:pPr>
      <w:bookmarkStart w:id="5491" w:name="_Toc145233912"/>
      <w:r>
        <w:rPr>
          <w:rFonts w:hint="cs"/>
          <w:rtl/>
        </w:rPr>
        <w:t>בי' הרשב"א דבחביתא עושה כלי מחדש ובונה וכן בשופתא אך לשמואל הוי דבר מועט ולא בנין</w:t>
      </w:r>
      <w:bookmarkEnd w:id="5491"/>
    </w:p>
    <w:p w14:paraId="1A95E1E4" w14:textId="77777777" w:rsidR="003E1AA3" w:rsidRPr="000C6B0E" w:rsidRDefault="003E1AA3" w:rsidP="00BC7DC8">
      <w:pPr>
        <w:pStyle w:val="a3"/>
      </w:pPr>
      <w:r>
        <w:rPr>
          <w:rFonts w:hint="cs"/>
          <w:rtl/>
        </w:rPr>
        <w:t xml:space="preserve">וכתב </w:t>
      </w:r>
      <w:r w:rsidRPr="00E24FB9">
        <w:rPr>
          <w:rStyle w:val="aff4"/>
          <w:rFonts w:hint="cs"/>
          <w:vanish/>
          <w:rtl/>
        </w:rPr>
        <w:t>-</w:t>
      </w:r>
      <w:r w:rsidRPr="00C07E8C">
        <w:rPr>
          <w:rStyle w:val="aff4"/>
          <w:rFonts w:hint="cs"/>
          <w:rtl/>
        </w:rPr>
        <w:t>הרשב"א</w:t>
      </w:r>
      <w:r w:rsidRPr="00E24FB9">
        <w:rPr>
          <w:rStyle w:val="aff4"/>
          <w:rFonts w:hint="cs"/>
          <w:vanish/>
          <w:rtl/>
        </w:rPr>
        <w:t>-</w:t>
      </w:r>
      <w:r>
        <w:rPr>
          <w:rFonts w:hint="cs"/>
          <w:rtl/>
        </w:rPr>
        <w:t xml:space="preserve"> דכיון דבעשיית כלי מחדש יש בנין בכלים, א"כ ה</w:t>
      </w:r>
      <w:r>
        <w:rPr>
          <w:rtl/>
        </w:rPr>
        <w:t xml:space="preserve">חיוב </w:t>
      </w:r>
      <w:r>
        <w:rPr>
          <w:rFonts w:hint="cs"/>
          <w:rtl/>
        </w:rPr>
        <w:t>ב</w:t>
      </w:r>
      <w:r>
        <w:rPr>
          <w:rtl/>
        </w:rPr>
        <w:t xml:space="preserve">חביתא </w:t>
      </w:r>
      <w:r>
        <w:rPr>
          <w:rFonts w:hint="cs"/>
          <w:rtl/>
        </w:rPr>
        <w:t xml:space="preserve">ותנורא וחלתא </w:t>
      </w:r>
      <w:r>
        <w:rPr>
          <w:rtl/>
        </w:rPr>
        <w:t xml:space="preserve">בגמ' לעיל </w:t>
      </w:r>
      <w:r w:rsidRPr="00C962CD">
        <w:rPr>
          <w:rStyle w:val="af2"/>
          <w:rFonts w:eastAsia="Guttman Hodes"/>
          <w:rtl/>
        </w:rPr>
        <w:t>(עד:)</w:t>
      </w:r>
      <w:r>
        <w:rPr>
          <w:rFonts w:hint="cs"/>
          <w:rtl/>
        </w:rPr>
        <w:t xml:space="preserve"> הוא גם משום בונה</w:t>
      </w:r>
      <w:r>
        <w:rPr>
          <w:rtl/>
        </w:rPr>
        <w:t xml:space="preserve">, </w:t>
      </w:r>
      <w:r>
        <w:rPr>
          <w:rFonts w:hint="cs"/>
          <w:rtl/>
        </w:rPr>
        <w:t xml:space="preserve">והא דפליג שמואל על רב במעייל שופתא בקופינא דמרא אף דעושה </w:t>
      </w:r>
      <w:r>
        <w:rPr>
          <w:rFonts w:hint="cs"/>
          <w:rtl/>
        </w:rPr>
        <w:lastRenderedPageBreak/>
        <w:t>כלי מחדש, מ"מ ס"ל לשמואל דהוא דבר מועט שאין בו בנין, ולכן החיוב שלו הוא רק בגמר מלאכה משום מכה בפטיש.</w:t>
      </w:r>
    </w:p>
    <w:p w14:paraId="0307A93F" w14:textId="77777777" w:rsidR="003E1AA3" w:rsidRPr="0018388A" w:rsidRDefault="003E1AA3" w:rsidP="003E1AA3">
      <w:pPr>
        <w:pStyle w:val="a2"/>
        <w:tabs>
          <w:tab w:val="num" w:pos="284"/>
        </w:tabs>
        <w:rPr>
          <w:rtl/>
        </w:rPr>
      </w:pPr>
      <w:r w:rsidRPr="0018388A">
        <w:rPr>
          <w:rtl/>
        </w:rPr>
        <w:t>ולפי הסברא הזאת הא דאמרינן במאן דעביד חלתא שהוא חייב שלש עשרה חטאות כדאיתא בפרק כלל גדול (ע"ד ב'), חד מינייהו משום בונה והכין איתא בירושלמי (פ"ז ה"ב), והא דפליג הכא שמואל ואמר משום מכה בפטיש משום דסבירא ליה דבדבר מועט כזה ליכא בנין אלא משום גמר מלאכה דהיינו מכה בפטיש.</w:t>
      </w:r>
    </w:p>
    <w:p w14:paraId="57F478F4" w14:textId="77777777" w:rsidR="003E1AA3" w:rsidRPr="00FC269C" w:rsidRDefault="003E1AA3" w:rsidP="003E1AA3">
      <w:pPr>
        <w:pStyle w:val="afffff7"/>
        <w:rPr>
          <w:rtl/>
        </w:rPr>
      </w:pPr>
      <w:bookmarkStart w:id="5492" w:name="_Toc145234021"/>
      <w:bookmarkStart w:id="5493" w:name="_Toc163506279"/>
      <w:r w:rsidRPr="00FC269C">
        <w:rPr>
          <w:rtl/>
        </w:rPr>
        <w:t>חדושי הריטב"א שבת ק"ב ע"ב</w:t>
      </w:r>
      <w:r w:rsidRPr="00FC269C">
        <w:rPr>
          <w:rFonts w:hint="cs"/>
          <w:rtl/>
        </w:rPr>
        <w:t xml:space="preserve"> ד"ה עייל</w:t>
      </w:r>
      <w:bookmarkEnd w:id="5492"/>
      <w:bookmarkEnd w:id="5493"/>
    </w:p>
    <w:p w14:paraId="58D102C8" w14:textId="77777777" w:rsidR="003E1AA3" w:rsidRDefault="003E1AA3" w:rsidP="003E1AA3">
      <w:pPr>
        <w:pStyle w:val="a7"/>
        <w:rPr>
          <w:rtl/>
        </w:rPr>
      </w:pPr>
      <w:bookmarkStart w:id="5494" w:name="_Toc145233913"/>
      <w:r>
        <w:rPr>
          <w:rFonts w:hint="cs"/>
          <w:rtl/>
        </w:rPr>
        <w:t>בי' הריטב"א דיש בנין גמור בכלים וכסותם חור בקרש תלוש ואף מגבן הו"א דבונה כעושה כלי</w:t>
      </w:r>
      <w:bookmarkEnd w:id="5494"/>
    </w:p>
    <w:p w14:paraId="656490D7" w14:textId="19809278" w:rsidR="003E1AA3" w:rsidRPr="00080B7C" w:rsidRDefault="003E1AA3" w:rsidP="00BC7DC8">
      <w:pPr>
        <w:pStyle w:val="a3"/>
        <w:rPr>
          <w:rtl/>
        </w:rPr>
      </w:pPr>
      <w:bookmarkStart w:id="5495" w:name="_Ref144327763"/>
      <w:r>
        <w:rPr>
          <w:rFonts w:hint="cs"/>
          <w:rtl/>
        </w:rPr>
        <w:t xml:space="preserve">והוסיף </w:t>
      </w:r>
      <w:r w:rsidRPr="008641EC">
        <w:rPr>
          <w:b/>
          <w:bCs/>
          <w:rtl/>
        </w:rPr>
        <w:t>ה</w:t>
      </w:r>
      <w:r w:rsidRPr="008641EC">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Ref144327763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כו)</w:t>
      </w:r>
      <w:r>
        <w:rPr>
          <w:b/>
          <w:bCs/>
          <w:vanish/>
          <w:rtl/>
        </w:rPr>
        <w:fldChar w:fldCharType="end"/>
      </w:r>
      <w:r w:rsidRPr="008641EC">
        <w:rPr>
          <w:b/>
          <w:bCs/>
          <w:vanish/>
          <w:rtl/>
        </w:rPr>
        <w:t xml:space="preserve"> &gt;</w:t>
      </w:r>
      <w:r w:rsidRPr="008641EC">
        <w:rPr>
          <w:rFonts w:hint="cs"/>
          <w:b/>
          <w:bCs/>
          <w:rtl/>
        </w:rPr>
        <w:t>ריטב"א</w:t>
      </w:r>
      <w:r w:rsidRPr="008641EC">
        <w:rPr>
          <w:b/>
          <w:bCs/>
          <w:rtl/>
        </w:rPr>
        <w:t xml:space="preserve"> </w:t>
      </w:r>
      <w:r w:rsidRPr="00C962CD">
        <w:rPr>
          <w:rStyle w:val="af2"/>
          <w:rFonts w:eastAsia="Guttman Hodes"/>
          <w:rtl/>
        </w:rPr>
        <w:t>(</w:t>
      </w:r>
      <w:r w:rsidRPr="00C962CD">
        <w:rPr>
          <w:rStyle w:val="af2"/>
          <w:rFonts w:eastAsia="Guttman Hodes" w:hint="cs"/>
          <w:rtl/>
        </w:rPr>
        <w:t>ד"ה עייל</w:t>
      </w:r>
      <w:r w:rsidRPr="00C962CD">
        <w:rPr>
          <w:rStyle w:val="af2"/>
          <w:rFonts w:eastAsia="Guttman Hodes"/>
          <w:rtl/>
        </w:rPr>
        <w:t>)</w:t>
      </w:r>
      <w:r w:rsidRPr="008641EC">
        <w:rPr>
          <w:vanish/>
          <w:rtl/>
        </w:rPr>
        <w:t>=</w:t>
      </w:r>
      <w:r>
        <w:rPr>
          <w:rFonts w:hint="cs"/>
          <w:rtl/>
        </w:rPr>
        <w:t xml:space="preserve"> עמ"ש </w:t>
      </w:r>
      <w:r w:rsidRPr="00E24FB9">
        <w:rPr>
          <w:rStyle w:val="aff4"/>
          <w:rFonts w:hint="cs"/>
          <w:vanish/>
          <w:rtl/>
        </w:rPr>
        <w:t>-</w:t>
      </w:r>
      <w:r w:rsidRPr="00C07E8C">
        <w:rPr>
          <w:rStyle w:val="aff4"/>
          <w:rFonts w:hint="cs"/>
          <w:rtl/>
        </w:rPr>
        <w:t>התוס'</w:t>
      </w:r>
      <w:r w:rsidRPr="00E24FB9">
        <w:rPr>
          <w:rStyle w:val="aff4"/>
          <w:rFonts w:hint="cs"/>
          <w:vanish/>
          <w:rtl/>
        </w:rPr>
        <w:t>-</w:t>
      </w:r>
      <w:r>
        <w:rPr>
          <w:rFonts w:hint="cs"/>
          <w:rtl/>
        </w:rPr>
        <w:t xml:space="preserve"> </w:t>
      </w:r>
      <w:r w:rsidRPr="00C962CD">
        <w:rPr>
          <w:rStyle w:val="af2"/>
          <w:rFonts w:eastAsia="Guttman Hodes" w:hint="cs"/>
          <w:rtl/>
        </w:rPr>
        <w:t xml:space="preserve">(עי' אות </w:t>
      </w:r>
      <w:r w:rsidRPr="00C962CD">
        <w:rPr>
          <w:rStyle w:val="af2"/>
          <w:rFonts w:eastAsia="Guttman Hodes"/>
          <w:rtl/>
        </w:rPr>
        <w:fldChar w:fldCharType="begin"/>
      </w:r>
      <w:r w:rsidRPr="00C962CD">
        <w:rPr>
          <w:rStyle w:val="af2"/>
          <w:rFonts w:eastAsia="Guttman Hodes"/>
          <w:rtl/>
        </w:rPr>
        <w:instrText xml:space="preserve"> </w:instrText>
      </w:r>
      <w:r w:rsidRPr="00C962CD">
        <w:rPr>
          <w:rStyle w:val="af2"/>
          <w:rFonts w:eastAsia="Guttman Hodes" w:hint="cs"/>
        </w:rPr>
        <w:instrText>REF</w:instrText>
      </w:r>
      <w:r w:rsidRPr="00C962CD">
        <w:rPr>
          <w:rStyle w:val="af2"/>
          <w:rFonts w:eastAsia="Guttman Hodes" w:hint="cs"/>
          <w:rtl/>
        </w:rPr>
        <w:instrText xml:space="preserve"> _</w:instrText>
      </w:r>
      <w:r w:rsidRPr="00C962CD">
        <w:rPr>
          <w:rStyle w:val="af2"/>
          <w:rFonts w:eastAsia="Guttman Hodes" w:hint="cs"/>
        </w:rPr>
        <w:instrText>Ref144327769 \r \h</w:instrText>
      </w:r>
      <w:r w:rsidRPr="00C962CD">
        <w:rPr>
          <w:rStyle w:val="af2"/>
          <w:rFonts w:eastAsia="Guttman Hodes"/>
          <w:rtl/>
        </w:rPr>
        <w:instrText xml:space="preserve"> </w:instrText>
      </w:r>
      <w:r w:rsidRPr="00C962CD">
        <w:rPr>
          <w:rStyle w:val="af2"/>
          <w:rFonts w:eastAsia="Guttman Hodes"/>
          <w:rtl/>
        </w:rPr>
      </w:r>
      <w:r w:rsidRPr="00C962CD">
        <w:rPr>
          <w:rStyle w:val="af2"/>
          <w:rFonts w:eastAsia="Guttman Hodes"/>
          <w:rtl/>
        </w:rPr>
        <w:fldChar w:fldCharType="separate"/>
      </w:r>
      <w:r w:rsidR="00D82181">
        <w:rPr>
          <w:rStyle w:val="af2"/>
          <w:rFonts w:eastAsia="Guttman Hodes"/>
          <w:cs/>
        </w:rPr>
        <w:t>‎</w:t>
      </w:r>
      <w:r w:rsidR="00D82181">
        <w:rPr>
          <w:rStyle w:val="af2"/>
          <w:rFonts w:eastAsia="Guttman Hodes"/>
          <w:rtl/>
        </w:rPr>
        <w:t>כ)</w:t>
      </w:r>
      <w:r w:rsidRPr="00C962CD">
        <w:rPr>
          <w:rStyle w:val="af2"/>
          <w:rFonts w:eastAsia="Guttman Hodes"/>
          <w:rtl/>
        </w:rPr>
        <w:fldChar w:fldCharType="end"/>
      </w:r>
      <w:r>
        <w:rPr>
          <w:rFonts w:hint="cs"/>
          <w:rtl/>
        </w:rPr>
        <w:t xml:space="preserve"> דבבנין גמור אין חילוק בין קרקע לכלים, דזהו הביאור בחיוב בונה במטיף אבר לקרש שנפל בו דרנא דסותמו, דהחיוב בונה הוא אף כשהקרש תלוש, וחייב כעושה כלי מתחילתו, ואף במגבן יש הו"א בגמ' לעיל </w:t>
      </w:r>
      <w:r w:rsidRPr="00C962CD">
        <w:rPr>
          <w:rStyle w:val="af2"/>
          <w:rFonts w:eastAsia="Guttman Hodes" w:hint="cs"/>
          <w:rtl/>
        </w:rPr>
        <w:t>(צה.)</w:t>
      </w:r>
      <w:r>
        <w:rPr>
          <w:rFonts w:hint="cs"/>
          <w:rtl/>
        </w:rPr>
        <w:t xml:space="preserve"> דחייב משום בונה, ודחתה הגמ' רק כיון דאין דרך בנין באוכלין, אבל בבנין של כלי מתחילתו אין כל ספק שיש בו בנין, וכדביאר </w:t>
      </w:r>
      <w:r w:rsidRPr="00E24FB9">
        <w:rPr>
          <w:rStyle w:val="aff4"/>
          <w:rFonts w:hint="cs"/>
          <w:vanish/>
          <w:rtl/>
        </w:rPr>
        <w:t>-</w:t>
      </w:r>
      <w:r w:rsidRPr="00C07E8C">
        <w:rPr>
          <w:rStyle w:val="aff4"/>
          <w:rFonts w:hint="cs"/>
          <w:rtl/>
        </w:rPr>
        <w:t>הריטב"א לעיל</w:t>
      </w:r>
      <w:r w:rsidRPr="00E24FB9">
        <w:rPr>
          <w:rStyle w:val="aff4"/>
          <w:rFonts w:hint="cs"/>
          <w:vanish/>
          <w:rtl/>
        </w:rPr>
        <w:t>-</w:t>
      </w:r>
      <w:r>
        <w:rPr>
          <w:rFonts w:hint="cs"/>
          <w:rtl/>
        </w:rPr>
        <w:t xml:space="preserve"> </w:t>
      </w:r>
      <w:r w:rsidRPr="00C962CD">
        <w:rPr>
          <w:rStyle w:val="af2"/>
          <w:rFonts w:eastAsia="Guttman Hodes" w:hint="cs"/>
          <w:rtl/>
        </w:rPr>
        <w:t>(</w:t>
      </w:r>
      <w:r>
        <w:rPr>
          <w:rStyle w:val="af2"/>
          <w:rFonts w:eastAsia="Guttman Hodes" w:hint="cs"/>
          <w:rtl/>
        </w:rPr>
        <w:t>עד: ד"ה האי</w:t>
      </w:r>
      <w:r w:rsidRPr="00C962CD">
        <w:rPr>
          <w:rStyle w:val="af2"/>
          <w:rFonts w:eastAsia="Guttman Hodes" w:hint="cs"/>
          <w:rtl/>
        </w:rPr>
        <w:t>)</w:t>
      </w:r>
      <w:r>
        <w:rPr>
          <w:rFonts w:hint="cs"/>
          <w:rtl/>
        </w:rPr>
        <w:t xml:space="preserve"> לענין חביתא, </w:t>
      </w:r>
      <w:r w:rsidRPr="00517FA8">
        <w:rPr>
          <w:rStyle w:val="af"/>
          <w:rFonts w:hint="cs"/>
          <w:rtl/>
        </w:rPr>
        <w:t xml:space="preserve">[וכתב </w:t>
      </w:r>
      <w:r w:rsidRPr="00517FA8">
        <w:rPr>
          <w:rStyle w:val="aff9"/>
          <w:rFonts w:hint="cs"/>
          <w:vanish/>
          <w:rtl/>
        </w:rPr>
        <w:t>-</w:t>
      </w:r>
      <w:r w:rsidRPr="00517FA8">
        <w:rPr>
          <w:rStyle w:val="aff9"/>
          <w:rFonts w:hint="cs"/>
          <w:rtl/>
        </w:rPr>
        <w:t>הריטב"א דהרמב"ן</w:t>
      </w:r>
      <w:r w:rsidRPr="00517FA8">
        <w:rPr>
          <w:rStyle w:val="aff9"/>
          <w:rFonts w:hint="cs"/>
          <w:vanish/>
          <w:rtl/>
        </w:rPr>
        <w:t>-</w:t>
      </w:r>
      <w:r w:rsidRPr="00517FA8">
        <w:rPr>
          <w:rStyle w:val="af"/>
          <w:rFonts w:hint="cs"/>
          <w:rtl/>
        </w:rPr>
        <w:t xml:space="preserve"> </w:t>
      </w:r>
      <w:r w:rsidRPr="00517FA8">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Ref145225650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לז)</w:t>
      </w:r>
      <w:r>
        <w:rPr>
          <w:rStyle w:val="aff0"/>
          <w:rtl/>
        </w:rPr>
        <w:fldChar w:fldCharType="end"/>
      </w:r>
      <w:r w:rsidRPr="00517FA8">
        <w:rPr>
          <w:rStyle w:val="af"/>
          <w:rFonts w:hint="cs"/>
          <w:rtl/>
        </w:rPr>
        <w:t xml:space="preserve"> הוסיף דאף בכלי שהתפרק וצריך אומן יש בנין לכו"ע, כיון דפנים חדשות באו לכאן]</w:t>
      </w:r>
      <w:bookmarkEnd w:id="5495"/>
      <w:r>
        <w:rPr>
          <w:rStyle w:val="af"/>
          <w:rFonts w:hint="cs"/>
          <w:rtl/>
        </w:rPr>
        <w:t>,</w:t>
      </w:r>
      <w:r w:rsidRPr="00974C40">
        <w:rPr>
          <w:rFonts w:hint="cs"/>
          <w:rtl/>
        </w:rPr>
        <w:t xml:space="preserve"> </w:t>
      </w:r>
      <w:r>
        <w:rPr>
          <w:rFonts w:hint="cs"/>
          <w:rtl/>
        </w:rPr>
        <w:t>ועי' במה שהקשה</w:t>
      </w:r>
      <w:r>
        <w:rPr>
          <w:rtl/>
        </w:rPr>
        <w:t xml:space="preserve"> </w:t>
      </w:r>
      <w:r w:rsidRPr="002A5D02">
        <w:rPr>
          <w:b/>
          <w:bCs/>
          <w:rtl/>
        </w:rPr>
        <w:t>ה</w:t>
      </w:r>
      <w:r w:rsidRPr="002A5D02">
        <w:rPr>
          <w:rFonts w:hint="cs"/>
          <w:b/>
          <w:bCs/>
          <w:rtl/>
        </w:rPr>
        <w:t>ריטב"א</w:t>
      </w:r>
      <w:r w:rsidRPr="002A5D02">
        <w:rPr>
          <w:b/>
          <w:bCs/>
          <w:rtl/>
        </w:rPr>
        <w:t xml:space="preserve"> </w:t>
      </w:r>
      <w:r w:rsidRPr="005A2E7F">
        <w:rPr>
          <w:sz w:val="12"/>
          <w:szCs w:val="14"/>
          <w:rtl/>
        </w:rPr>
        <w:t>[</w:t>
      </w:r>
      <w:r>
        <w:rPr>
          <w:rFonts w:hint="cs"/>
          <w:sz w:val="12"/>
          <w:szCs w:val="14"/>
          <w:rtl/>
        </w:rPr>
        <w:t>אי"ה יובאו דבריו בהמשך</w:t>
      </w:r>
      <w:r w:rsidRPr="005A2E7F">
        <w:rPr>
          <w:sz w:val="12"/>
          <w:szCs w:val="14"/>
          <w:rtl/>
        </w:rPr>
        <w:t>]</w:t>
      </w:r>
      <w:r w:rsidRPr="00974C40">
        <w:rPr>
          <w:rtl/>
        </w:rPr>
        <w:t xml:space="preserve"> </w:t>
      </w:r>
      <w:r>
        <w:rPr>
          <w:rFonts w:hint="cs"/>
          <w:rtl/>
        </w:rPr>
        <w:t>בדברי רב ושמואל.</w:t>
      </w:r>
    </w:p>
    <w:p w14:paraId="5E156E4E" w14:textId="77777777" w:rsidR="003E1AA3" w:rsidRPr="00BC7DC8" w:rsidRDefault="003E1AA3" w:rsidP="003E1AA3">
      <w:pPr>
        <w:pStyle w:val="afffffe"/>
        <w:rPr>
          <w:vanish/>
          <w:rtl/>
        </w:rPr>
      </w:pPr>
      <w:r w:rsidRPr="00BC7DC8">
        <w:rPr>
          <w:vanish/>
          <w:rtl/>
        </w:rPr>
        <w:t>חדושי הריטב"א שבת ק"ב ע"ב</w:t>
      </w:r>
      <w:r w:rsidRPr="00BC7DC8">
        <w:rPr>
          <w:rFonts w:hint="cs"/>
          <w:vanish/>
          <w:rtl/>
        </w:rPr>
        <w:t xml:space="preserve"> ד"ה עייל</w:t>
      </w:r>
    </w:p>
    <w:p w14:paraId="77359D3E" w14:textId="77777777" w:rsidR="003E1AA3" w:rsidRPr="0018388A" w:rsidRDefault="003E1AA3" w:rsidP="003E1AA3">
      <w:pPr>
        <w:pStyle w:val="a2"/>
        <w:tabs>
          <w:tab w:val="num" w:pos="284"/>
        </w:tabs>
        <w:rPr>
          <w:rtl/>
        </w:rPr>
      </w:pPr>
      <w:r w:rsidRPr="0018388A">
        <w:rPr>
          <w:rtl/>
        </w:rPr>
        <w:t xml:space="preserve">עייל שופתא בקופינא דמרה אמר רב חייב משום בונה. יש מקשים דהא קיי"ל דאין בנין בכלים כדתנן במסכת יום טוב (ביצה כ"א ב') בית שמאי אומרים אין זוקפים את המנורה ביום טוב ובית הלל מתירים ואמרינן בגמ' דקא מיפלגי ביש בנין בכלים או אין בנין בכלים, ותירצו דהתם בכלי של חוליות שהוא עשוי כבר אלא שנתפרק דסברי ב"ה שאין בחזרת פרקיו משום בנין אבל עושה כלי בתחלתו כגון זה ודאי בנין גמור הוא, ולעיל אמרינן דקרש שנפל בו דרנא מטיף לתוכה אבר וסותמו, וההיא אפי' כשהקרש תלוש קאמר, ולא עוד אלא שאפי' במגבן הוה ס"ד שיש משום בונה (עי' לעיל צ"ה א') אלא שדחו בגמרא שאין דרך בנין באוכלים, אבל בנין של כלי אין ספק שיש בו משום בנין, וזה פשוט, וכדכתיבנא בפ' כלל גדול (ע"ד ב') גבי האי מאן דעביד חביתא, וכן פירשו בתוספות, </w:t>
      </w:r>
      <w:r w:rsidRPr="00517FA8">
        <w:rPr>
          <w:rStyle w:val="afff7"/>
          <w:rtl/>
        </w:rPr>
        <w:t>ועוד הוסיף רבינו הגדול ז"ל שאפילו בכלי של חוליות שנתפרק אם הוא צריך אומן להחזירו פנים חדשות באו לכאן, ודכולי עלמא יש בחזרתו משום בנין.</w:t>
      </w:r>
    </w:p>
    <w:p w14:paraId="5EDE5DD7" w14:textId="77777777" w:rsidR="003E1AA3" w:rsidRPr="00FC269C" w:rsidRDefault="003E1AA3" w:rsidP="003E1AA3">
      <w:pPr>
        <w:pStyle w:val="afffff7"/>
        <w:rPr>
          <w:rtl/>
        </w:rPr>
      </w:pPr>
      <w:bookmarkStart w:id="5496" w:name="_Toc145234022"/>
      <w:bookmarkStart w:id="5497" w:name="_Toc163506280"/>
      <w:r w:rsidRPr="00FC269C">
        <w:rPr>
          <w:rtl/>
        </w:rPr>
        <w:t xml:space="preserve">באור הגר"א </w:t>
      </w:r>
      <w:r w:rsidRPr="00FC269C">
        <w:rPr>
          <w:rFonts w:hint="cs"/>
          <w:rtl/>
        </w:rPr>
        <w:t>או"ח סי' שי"ד סק"ב</w:t>
      </w:r>
      <w:bookmarkEnd w:id="5496"/>
      <w:bookmarkEnd w:id="5497"/>
    </w:p>
    <w:p w14:paraId="13C2E6F0" w14:textId="77777777" w:rsidR="003E1AA3" w:rsidRDefault="003E1AA3" w:rsidP="003E1AA3">
      <w:pPr>
        <w:pStyle w:val="a7"/>
        <w:rPr>
          <w:rtl/>
        </w:rPr>
      </w:pPr>
      <w:bookmarkStart w:id="5498" w:name="_Toc145233914"/>
      <w:r>
        <w:rPr>
          <w:rFonts w:hint="cs"/>
          <w:rtl/>
        </w:rPr>
        <w:t>בי' הגר"א דהתוס' מודו לרמב"ן דהחזרת כלי במעשה אומן הוי בונה ולכן מנורה ומטה הוי בונה</w:t>
      </w:r>
      <w:bookmarkEnd w:id="5498"/>
    </w:p>
    <w:p w14:paraId="372232E5" w14:textId="144DFED1" w:rsidR="003E1AA3" w:rsidRDefault="003E1AA3" w:rsidP="00BC7DC8">
      <w:pPr>
        <w:pStyle w:val="a3"/>
      </w:pPr>
      <w:bookmarkStart w:id="5499" w:name="_Ref144714942"/>
      <w:r>
        <w:rPr>
          <w:rFonts w:hint="cs"/>
          <w:rtl/>
        </w:rPr>
        <w:t xml:space="preserve">במ"ש </w:t>
      </w:r>
      <w:r w:rsidRPr="009422F1">
        <w:rPr>
          <w:rFonts w:hint="cs"/>
          <w:b/>
          <w:bCs/>
          <w:rtl/>
        </w:rPr>
        <w:t>התוס'</w:t>
      </w:r>
      <w:r>
        <w:rPr>
          <w:rtl/>
        </w:rPr>
        <w:t xml:space="preserve"> </w:t>
      </w:r>
      <w:r w:rsidRPr="009422F1">
        <w:rPr>
          <w:rFonts w:ascii="Calibri" w:eastAsia="Times New Roman" w:hAnsi="Calibri" w:cs="Guttman Rashi"/>
          <w:noProof w:val="0"/>
          <w:sz w:val="10"/>
          <w:szCs w:val="12"/>
          <w:rtl/>
        </w:rPr>
        <w:t xml:space="preserve">(עי' </w:t>
      </w:r>
      <w:r w:rsidRPr="00CA003E">
        <w:rPr>
          <w:rFonts w:ascii="Calibri" w:eastAsia="Times New Roman" w:hAnsi="Calibri" w:cs="Guttman Rashi"/>
          <w:noProof w:val="0"/>
          <w:sz w:val="10"/>
          <w:szCs w:val="12"/>
          <w:rtl/>
        </w:rPr>
        <w:t xml:space="preserve">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Pr>
        <w:instrText>REF</w:instrText>
      </w:r>
      <w:r>
        <w:rPr>
          <w:rFonts w:ascii="Calibri" w:eastAsia="Times New Roman" w:hAnsi="Calibri" w:cs="Guttman Rashi"/>
          <w:noProof w:val="0"/>
          <w:sz w:val="10"/>
          <w:szCs w:val="12"/>
          <w:rtl/>
        </w:rPr>
        <w:instrText xml:space="preserve"> _</w:instrText>
      </w:r>
      <w:r>
        <w:rPr>
          <w:rFonts w:ascii="Calibri" w:eastAsia="Times New Roman" w:hAnsi="Calibri" w:cs="Guttman Rashi"/>
          <w:noProof w:val="0"/>
          <w:sz w:val="10"/>
          <w:szCs w:val="12"/>
        </w:rPr>
        <w:instrText>Ref144829094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כא)</w:t>
      </w:r>
      <w:r>
        <w:rPr>
          <w:rFonts w:ascii="Calibri" w:eastAsia="Times New Roman" w:hAnsi="Calibri" w:cs="Guttman Rashi"/>
          <w:noProof w:val="0"/>
          <w:sz w:val="10"/>
          <w:szCs w:val="12"/>
          <w:rtl/>
        </w:rPr>
        <w:fldChar w:fldCharType="end"/>
      </w:r>
      <w:r>
        <w:rPr>
          <w:rtl/>
        </w:rPr>
        <w:t xml:space="preserve"> </w:t>
      </w:r>
      <w:r>
        <w:rPr>
          <w:rFonts w:hint="cs"/>
          <w:rtl/>
        </w:rPr>
        <w:t>דבעושה כלי מחדש הוי בונה כתב</w:t>
      </w:r>
      <w:r>
        <w:rPr>
          <w:rtl/>
        </w:rPr>
        <w:t xml:space="preserve"> </w:t>
      </w:r>
      <w:r w:rsidRPr="009422F1">
        <w:rPr>
          <w:b/>
          <w:bCs/>
          <w:rtl/>
        </w:rPr>
        <w:t>ה</w:t>
      </w:r>
      <w:r w:rsidRPr="009422F1">
        <w:rPr>
          <w:b/>
          <w:bCs/>
          <w:vanish/>
          <w:rtl/>
        </w:rPr>
        <w:t xml:space="preserve"> &lt;, </w:t>
      </w:r>
      <w:r w:rsidRPr="009422F1">
        <w:rPr>
          <w:b/>
          <w:bCs/>
          <w:vanish/>
          <w:rtl/>
        </w:rPr>
        <w:fldChar w:fldCharType="begin"/>
      </w:r>
      <w:r w:rsidRPr="009422F1">
        <w:rPr>
          <w:b/>
          <w:bCs/>
          <w:vanish/>
          <w:rtl/>
        </w:rPr>
        <w:instrText xml:space="preserve"> </w:instrText>
      </w:r>
      <w:r w:rsidRPr="009422F1">
        <w:rPr>
          <w:b/>
          <w:bCs/>
          <w:vanish/>
        </w:rPr>
        <w:instrText>REF</w:instrText>
      </w:r>
      <w:r w:rsidRPr="009422F1">
        <w:rPr>
          <w:b/>
          <w:bCs/>
          <w:vanish/>
          <w:rtl/>
        </w:rPr>
        <w:instrText xml:space="preserve"> _</w:instrText>
      </w:r>
      <w:r w:rsidRPr="009422F1">
        <w:rPr>
          <w:b/>
          <w:bCs/>
          <w:vanish/>
        </w:rPr>
        <w:instrText>Ref144714942 \r \h</w:instrText>
      </w:r>
      <w:r w:rsidRPr="009422F1">
        <w:rPr>
          <w:b/>
          <w:bCs/>
          <w:vanish/>
          <w:rtl/>
        </w:rPr>
        <w:instrText xml:space="preserve"> </w:instrText>
      </w:r>
      <w:r w:rsidRPr="009422F1">
        <w:rPr>
          <w:b/>
          <w:bCs/>
          <w:vanish/>
          <w:rtl/>
        </w:rPr>
      </w:r>
      <w:r w:rsidRPr="009422F1">
        <w:rPr>
          <w:b/>
          <w:bCs/>
          <w:vanish/>
          <w:rtl/>
        </w:rPr>
        <w:fldChar w:fldCharType="separate"/>
      </w:r>
      <w:r w:rsidR="00D82181">
        <w:rPr>
          <w:b/>
          <w:bCs/>
          <w:vanish/>
          <w:cs/>
        </w:rPr>
        <w:t>‎</w:t>
      </w:r>
      <w:r w:rsidR="00D82181">
        <w:rPr>
          <w:b/>
          <w:bCs/>
          <w:vanish/>
          <w:rtl/>
        </w:rPr>
        <w:t>כז)</w:t>
      </w:r>
      <w:r w:rsidRPr="009422F1">
        <w:rPr>
          <w:b/>
          <w:bCs/>
          <w:vanish/>
          <w:rtl/>
        </w:rPr>
        <w:fldChar w:fldCharType="end"/>
      </w:r>
      <w:r w:rsidRPr="009422F1">
        <w:rPr>
          <w:b/>
          <w:bCs/>
          <w:vanish/>
          <w:rtl/>
        </w:rPr>
        <w:t xml:space="preserve"> &gt;</w:t>
      </w:r>
      <w:r w:rsidRPr="009422F1">
        <w:rPr>
          <w:rFonts w:hint="cs"/>
          <w:b/>
          <w:bCs/>
          <w:rtl/>
        </w:rPr>
        <w:t>גר"א</w:t>
      </w:r>
      <w:r w:rsidRPr="009422F1">
        <w:rPr>
          <w:b/>
          <w:bCs/>
          <w:rtl/>
        </w:rPr>
        <w:t xml:space="preserve"> </w:t>
      </w:r>
      <w:r w:rsidRPr="009422F1">
        <w:rPr>
          <w:rFonts w:ascii="Calibri" w:eastAsia="Times New Roman" w:hAnsi="Calibri" w:cs="Guttman Rashi"/>
          <w:noProof w:val="0"/>
          <w:sz w:val="10"/>
          <w:szCs w:val="12"/>
          <w:rtl/>
        </w:rPr>
        <w:t>(</w:t>
      </w:r>
      <w:r w:rsidRPr="009422F1">
        <w:rPr>
          <w:rFonts w:ascii="Calibri" w:eastAsia="Times New Roman" w:hAnsi="Calibri" w:cs="Guttman Rashi" w:hint="cs"/>
          <w:noProof w:val="0"/>
          <w:sz w:val="10"/>
          <w:szCs w:val="12"/>
          <w:rtl/>
        </w:rPr>
        <w:t>סי' שי"ד סק"ב</w:t>
      </w:r>
      <w:r w:rsidRPr="009422F1">
        <w:rPr>
          <w:rFonts w:ascii="Calibri" w:eastAsia="Times New Roman" w:hAnsi="Calibri" w:cs="Guttman Rashi"/>
          <w:noProof w:val="0"/>
          <w:sz w:val="10"/>
          <w:szCs w:val="12"/>
          <w:rtl/>
        </w:rPr>
        <w:t>)</w:t>
      </w:r>
      <w:r w:rsidRPr="009422F1">
        <w:rPr>
          <w:vanish/>
          <w:rtl/>
        </w:rPr>
        <w:t>=</w:t>
      </w:r>
      <w:r>
        <w:rPr>
          <w:rtl/>
        </w:rPr>
        <w:t xml:space="preserve"> </w:t>
      </w:r>
      <w:r>
        <w:rPr>
          <w:rFonts w:hint="cs"/>
          <w:rtl/>
        </w:rPr>
        <w:t>דלדעת</w:t>
      </w:r>
      <w:r>
        <w:rPr>
          <w:rtl/>
        </w:rPr>
        <w:t xml:space="preserve"> </w:t>
      </w:r>
      <w:r w:rsidRPr="009422F1">
        <w:rPr>
          <w:rFonts w:hint="cs"/>
          <w:b/>
          <w:bCs/>
          <w:rtl/>
        </w:rPr>
        <w:t>התוס'</w:t>
      </w:r>
      <w:r w:rsidRPr="00F96D5F">
        <w:rPr>
          <w:rFonts w:hint="cs"/>
          <w:rtl/>
        </w:rPr>
        <w:t xml:space="preserve"> </w:t>
      </w:r>
      <w:r>
        <w:rPr>
          <w:rFonts w:hint="cs"/>
          <w:rtl/>
        </w:rPr>
        <w:t xml:space="preserve">אף בכלי שצריך להחזירו כל שהוא מעשה אומן הוי בנין, </w:t>
      </w:r>
      <w:r w:rsidRPr="009422F1">
        <w:rPr>
          <w:sz w:val="12"/>
          <w:szCs w:val="14"/>
          <w:rtl/>
        </w:rPr>
        <w:t>[</w:t>
      </w:r>
      <w:r w:rsidRPr="009422F1">
        <w:rPr>
          <w:rFonts w:hint="cs"/>
          <w:sz w:val="12"/>
          <w:szCs w:val="14"/>
          <w:rtl/>
        </w:rPr>
        <w:t xml:space="preserve">כביאור </w:t>
      </w:r>
      <w:r w:rsidRPr="00F24B8D">
        <w:rPr>
          <w:rStyle w:val="aff9"/>
          <w:rFonts w:hint="cs"/>
          <w:rtl/>
        </w:rPr>
        <w:t>הרמב"ן</w:t>
      </w:r>
      <w:r w:rsidRPr="009422F1">
        <w:rPr>
          <w:rFonts w:hint="cs"/>
          <w:sz w:val="12"/>
          <w:szCs w:val="14"/>
          <w:rtl/>
        </w:rPr>
        <w:t xml:space="preserve"> </w:t>
      </w:r>
      <w:r w:rsidRPr="00F24B8D">
        <w:rPr>
          <w:rStyle w:val="aff0"/>
          <w:rFonts w:hint="cs"/>
          <w:rtl/>
        </w:rPr>
        <w:t xml:space="preserve">(עי' </w:t>
      </w:r>
      <w:r w:rsidRPr="00517FA8">
        <w:rPr>
          <w:rStyle w:val="aff0"/>
          <w:rFonts w:hint="cs"/>
          <w:rtl/>
        </w:rPr>
        <w:t xml:space="preserve">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Ref145225650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לז)</w:t>
      </w:r>
      <w:r>
        <w:rPr>
          <w:rStyle w:val="aff0"/>
          <w:rtl/>
        </w:rPr>
        <w:fldChar w:fldCharType="end"/>
      </w:r>
      <w:r w:rsidRPr="009422F1">
        <w:rPr>
          <w:sz w:val="12"/>
          <w:szCs w:val="14"/>
          <w:rtl/>
        </w:rPr>
        <w:t>]</w:t>
      </w:r>
      <w:r w:rsidRPr="009422F1">
        <w:rPr>
          <w:rFonts w:hint="cs"/>
          <w:sz w:val="12"/>
          <w:szCs w:val="14"/>
          <w:rtl/>
        </w:rPr>
        <w:t>,</w:t>
      </w:r>
      <w:r>
        <w:rPr>
          <w:rtl/>
        </w:rPr>
        <w:t xml:space="preserve"> </w:t>
      </w:r>
      <w:r>
        <w:rPr>
          <w:rFonts w:hint="cs"/>
          <w:rtl/>
        </w:rPr>
        <w:t xml:space="preserve">וכתב </w:t>
      </w:r>
      <w:r w:rsidRPr="009422F1">
        <w:rPr>
          <w:rFonts w:hint="cs"/>
          <w:b/>
          <w:bCs/>
          <w:rtl/>
        </w:rPr>
        <w:t>הגר"א</w:t>
      </w:r>
      <w:r>
        <w:rPr>
          <w:rtl/>
        </w:rPr>
        <w:t xml:space="preserve"> </w:t>
      </w:r>
      <w:r>
        <w:rPr>
          <w:rFonts w:hint="cs"/>
          <w:rtl/>
        </w:rPr>
        <w:t>דכן מבואר בהא דאמר ריו"ח בגמ' לעיל</w:t>
      </w:r>
      <w:r>
        <w:rPr>
          <w:rtl/>
        </w:rPr>
        <w:t xml:space="preserve"> </w:t>
      </w:r>
      <w:r w:rsidRPr="009422F1">
        <w:rPr>
          <w:rFonts w:ascii="Calibri" w:eastAsia="Times New Roman" w:hAnsi="Calibri" w:cs="Guttman Rashi"/>
          <w:noProof w:val="0"/>
          <w:sz w:val="10"/>
          <w:szCs w:val="12"/>
          <w:rtl/>
        </w:rPr>
        <w:t>(</w:t>
      </w:r>
      <w:r w:rsidRPr="009422F1">
        <w:rPr>
          <w:rFonts w:ascii="Calibri" w:eastAsia="Times New Roman" w:hAnsi="Calibri" w:cs="Guttman Rashi" w:hint="cs"/>
          <w:noProof w:val="0"/>
          <w:sz w:val="10"/>
          <w:szCs w:val="12"/>
          <w:rtl/>
        </w:rPr>
        <w:t>מו.</w:t>
      </w:r>
      <w:r w:rsidRPr="009422F1">
        <w:rPr>
          <w:rFonts w:ascii="Calibri" w:eastAsia="Times New Roman" w:hAnsi="Calibri" w:cs="Guttman Rashi"/>
          <w:noProof w:val="0"/>
          <w:sz w:val="10"/>
          <w:szCs w:val="12"/>
          <w:rtl/>
        </w:rPr>
        <w:t>)</w:t>
      </w:r>
      <w:r w:rsidRPr="009422F1">
        <w:rPr>
          <w:rFonts w:ascii="Calibri" w:eastAsia="Times New Roman" w:hAnsi="Calibri" w:cs="Guttman Rashi" w:hint="cs"/>
          <w:noProof w:val="0"/>
          <w:sz w:val="10"/>
          <w:szCs w:val="12"/>
          <w:rtl/>
        </w:rPr>
        <w:t xml:space="preserve"> </w:t>
      </w:r>
      <w:r>
        <w:rPr>
          <w:rFonts w:hint="cs"/>
          <w:rtl/>
        </w:rPr>
        <w:t>דאסור לטלטל מנורה של חוליות, וציין</w:t>
      </w:r>
      <w:r>
        <w:rPr>
          <w:rtl/>
        </w:rPr>
        <w:t xml:space="preserve"> </w:t>
      </w:r>
      <w:r w:rsidRPr="009422F1">
        <w:rPr>
          <w:rFonts w:hint="cs"/>
          <w:b/>
          <w:bCs/>
          <w:rtl/>
        </w:rPr>
        <w:t xml:space="preserve">הגר"א </w:t>
      </w:r>
      <w:r>
        <w:rPr>
          <w:rFonts w:hint="cs"/>
          <w:rtl/>
        </w:rPr>
        <w:t>לדברי</w:t>
      </w:r>
      <w:r>
        <w:rPr>
          <w:rtl/>
        </w:rPr>
        <w:t xml:space="preserve"> </w:t>
      </w:r>
      <w:r w:rsidRPr="009422F1">
        <w:rPr>
          <w:rFonts w:hint="cs"/>
          <w:b/>
          <w:bCs/>
          <w:rtl/>
        </w:rPr>
        <w:t>התוס' לעיל</w:t>
      </w:r>
      <w:r>
        <w:rPr>
          <w:rtl/>
        </w:rPr>
        <w:t xml:space="preserve"> </w:t>
      </w:r>
      <w:r w:rsidRPr="00296262">
        <w:rPr>
          <w:rFonts w:ascii="Calibri" w:eastAsia="Times New Roman" w:hAnsi="Calibri" w:cs="Guttman Rashi"/>
          <w:noProof w:val="0"/>
          <w:sz w:val="10"/>
          <w:szCs w:val="12"/>
          <w:rtl/>
        </w:rPr>
        <w:t>(</w:t>
      </w:r>
      <w:r w:rsidRPr="00296262">
        <w:rPr>
          <w:rFonts w:ascii="Calibri" w:eastAsia="Times New Roman" w:hAnsi="Calibri" w:cs="Guttman Rashi" w:hint="cs"/>
          <w:noProof w:val="0"/>
          <w:sz w:val="10"/>
          <w:szCs w:val="12"/>
          <w:rtl/>
        </w:rPr>
        <w:t>מו. ד"ה דחוליות</w:t>
      </w:r>
      <w:r w:rsidRPr="00296262">
        <w:rPr>
          <w:rFonts w:ascii="Calibri" w:eastAsia="Times New Roman" w:hAnsi="Calibri" w:cs="Guttman Rashi"/>
          <w:noProof w:val="0"/>
          <w:sz w:val="10"/>
          <w:szCs w:val="12"/>
          <w:rtl/>
        </w:rPr>
        <w:t>)</w:t>
      </w:r>
      <w:r w:rsidRPr="009422F1">
        <w:rPr>
          <w:sz w:val="12"/>
          <w:szCs w:val="14"/>
          <w:rtl/>
        </w:rPr>
        <w:t xml:space="preserve"> [</w:t>
      </w:r>
      <w:r w:rsidRPr="009422F1">
        <w:rPr>
          <w:rFonts w:hint="cs"/>
          <w:sz w:val="12"/>
          <w:szCs w:val="14"/>
          <w:rtl/>
        </w:rPr>
        <w:t>דכתבו</w:t>
      </w:r>
      <w:r w:rsidRPr="00F96D55">
        <w:rPr>
          <w:rtl/>
        </w:rPr>
        <w:t xml:space="preserve"> </w:t>
      </w:r>
      <w:r w:rsidRPr="009422F1">
        <w:rPr>
          <w:sz w:val="12"/>
          <w:szCs w:val="14"/>
          <w:rtl/>
        </w:rPr>
        <w:t xml:space="preserve">דהא </w:t>
      </w:r>
      <w:r w:rsidRPr="009422F1">
        <w:rPr>
          <w:rFonts w:hint="cs"/>
          <w:sz w:val="12"/>
          <w:szCs w:val="14"/>
          <w:rtl/>
        </w:rPr>
        <w:t>ד</w:t>
      </w:r>
      <w:r w:rsidRPr="009422F1">
        <w:rPr>
          <w:sz w:val="12"/>
          <w:szCs w:val="14"/>
          <w:rtl/>
        </w:rPr>
        <w:t xml:space="preserve">בגמ' בביצה </w:t>
      </w:r>
      <w:r w:rsidRPr="00F96D55">
        <w:rPr>
          <w:rStyle w:val="aff0"/>
          <w:rtl/>
        </w:rPr>
        <w:t>(כא:)</w:t>
      </w:r>
      <w:r w:rsidRPr="009422F1">
        <w:rPr>
          <w:sz w:val="12"/>
          <w:szCs w:val="14"/>
          <w:rtl/>
        </w:rPr>
        <w:t xml:space="preserve"> מבואר דב"ה מתירים לזקוף מנורה של חוליות איירי במנורה של חוליות שהם מחוברות ולא מתפרקות, ורק אפשר להטותם או לזוקפם ולכן מותר</w:t>
      </w:r>
      <w:r>
        <w:rPr>
          <w:rFonts w:hint="cs"/>
          <w:sz w:val="12"/>
          <w:szCs w:val="14"/>
          <w:rtl/>
        </w:rPr>
        <w:t>, אי"ה יובאו דבריהם בהמשך</w:t>
      </w:r>
      <w:r w:rsidRPr="005A2E7F">
        <w:rPr>
          <w:sz w:val="12"/>
          <w:szCs w:val="14"/>
          <w:rtl/>
        </w:rPr>
        <w:t>]</w:t>
      </w:r>
      <w:r>
        <w:rPr>
          <w:rFonts w:hint="cs"/>
          <w:sz w:val="12"/>
          <w:szCs w:val="14"/>
          <w:rtl/>
        </w:rPr>
        <w:t>,</w:t>
      </w:r>
      <w:r>
        <w:rPr>
          <w:rtl/>
        </w:rPr>
        <w:t xml:space="preserve"> </w:t>
      </w:r>
      <w:r>
        <w:rPr>
          <w:rFonts w:hint="cs"/>
          <w:rtl/>
        </w:rPr>
        <w:t>וכן ציין</w:t>
      </w:r>
      <w:r>
        <w:rPr>
          <w:rtl/>
        </w:rPr>
        <w:t xml:space="preserve"> </w:t>
      </w:r>
      <w:r w:rsidRPr="009422F1">
        <w:rPr>
          <w:rFonts w:hint="cs"/>
          <w:b/>
          <w:bCs/>
          <w:rtl/>
        </w:rPr>
        <w:t>הגר"א</w:t>
      </w:r>
      <w:r>
        <w:rPr>
          <w:rtl/>
        </w:rPr>
        <w:t xml:space="preserve"> </w:t>
      </w:r>
      <w:r>
        <w:rPr>
          <w:rFonts w:hint="cs"/>
          <w:rtl/>
        </w:rPr>
        <w:t xml:space="preserve">לגמ' לעיל </w:t>
      </w:r>
      <w:r w:rsidRPr="009422F1">
        <w:rPr>
          <w:rFonts w:ascii="Calibri" w:eastAsia="Times New Roman" w:hAnsi="Calibri" w:cs="Guttman Rashi"/>
          <w:noProof w:val="0"/>
          <w:sz w:val="10"/>
          <w:szCs w:val="12"/>
          <w:rtl/>
        </w:rPr>
        <w:t>(</w:t>
      </w:r>
      <w:r w:rsidRPr="009422F1">
        <w:rPr>
          <w:rFonts w:ascii="Calibri" w:eastAsia="Times New Roman" w:hAnsi="Calibri" w:cs="Guttman Rashi" w:hint="cs"/>
          <w:noProof w:val="0"/>
          <w:sz w:val="10"/>
          <w:szCs w:val="12"/>
          <w:rtl/>
        </w:rPr>
        <w:t>מז.,:</w:t>
      </w:r>
      <w:r w:rsidRPr="009422F1">
        <w:rPr>
          <w:rFonts w:ascii="Calibri" w:eastAsia="Times New Roman" w:hAnsi="Calibri" w:cs="Guttman Rashi"/>
          <w:noProof w:val="0"/>
          <w:sz w:val="10"/>
          <w:szCs w:val="12"/>
          <w:rtl/>
        </w:rPr>
        <w:t>)</w:t>
      </w:r>
      <w:r>
        <w:rPr>
          <w:rtl/>
        </w:rPr>
        <w:t xml:space="preserve"> </w:t>
      </w:r>
      <w:r>
        <w:rPr>
          <w:rFonts w:hint="cs"/>
          <w:rtl/>
        </w:rPr>
        <w:t>בדין החזרת מטה של טרסיים.</w:t>
      </w:r>
    </w:p>
    <w:p w14:paraId="36074D64" w14:textId="77777777" w:rsidR="003E1AA3" w:rsidRPr="00BC7DC8" w:rsidRDefault="003E1AA3" w:rsidP="003E1AA3">
      <w:pPr>
        <w:pStyle w:val="afffffe"/>
        <w:rPr>
          <w:vanish/>
          <w:rtl/>
        </w:rPr>
      </w:pPr>
      <w:r w:rsidRPr="00BC7DC8">
        <w:rPr>
          <w:vanish/>
          <w:rtl/>
        </w:rPr>
        <w:t xml:space="preserve">באור הגר"א </w:t>
      </w:r>
      <w:r w:rsidRPr="00BC7DC8">
        <w:rPr>
          <w:rFonts w:hint="cs"/>
          <w:vanish/>
          <w:rtl/>
        </w:rPr>
        <w:t>או"ח סי' שי"ד סק"ב</w:t>
      </w:r>
    </w:p>
    <w:p w14:paraId="5130B2C5" w14:textId="77777777" w:rsidR="003E1AA3" w:rsidRPr="0018388A" w:rsidRDefault="003E1AA3" w:rsidP="003E1AA3">
      <w:pPr>
        <w:pStyle w:val="a2"/>
        <w:tabs>
          <w:tab w:val="num" w:pos="284"/>
        </w:tabs>
        <w:rPr>
          <w:rtl/>
        </w:rPr>
      </w:pPr>
      <w:r w:rsidRPr="0018388A">
        <w:rPr>
          <w:rtl/>
        </w:rPr>
        <w:t>וה"מ שאינו. דבנין מחדש הוי בונה כמ"ש ע"ז /ע"ד/ ב' וק"ב ב' וע' תוס' שם ושם ואפילו החזרת הכלי אם הוא מעשה אומן כמ"ש מ"ו א' וע"ש בתוס' ומ"ז א' ב'</w:t>
      </w:r>
      <w:r w:rsidRPr="0018388A">
        <w:rPr>
          <w:rFonts w:hint="cs"/>
          <w:rtl/>
        </w:rPr>
        <w:t>.</w:t>
      </w:r>
    </w:p>
    <w:p w14:paraId="5447074E" w14:textId="77777777" w:rsidR="003E1AA3" w:rsidRPr="00C67630" w:rsidRDefault="003E1AA3" w:rsidP="003E1AA3">
      <w:pPr>
        <w:pStyle w:val="a7"/>
      </w:pPr>
      <w:bookmarkStart w:id="5500" w:name="_Toc145233915"/>
      <w:r>
        <w:rPr>
          <w:rFonts w:hint="cs"/>
          <w:rtl/>
        </w:rPr>
        <w:t>בי' הגר"א דלתוס' כמו דעושה כלי מחדש הוי בונה ה"ה סותר כלי גמור כמבו' בתוס' בעירובין</w:t>
      </w:r>
      <w:bookmarkEnd w:id="5500"/>
    </w:p>
    <w:p w14:paraId="43F03013" w14:textId="14C551E3" w:rsidR="003E1AA3" w:rsidRPr="00F52C5D" w:rsidRDefault="003E1AA3" w:rsidP="00BC7DC8">
      <w:pPr>
        <w:pStyle w:val="a3"/>
        <w:rPr>
          <w:rtl/>
        </w:rPr>
      </w:pPr>
      <w:r>
        <w:rPr>
          <w:rFonts w:hint="cs"/>
          <w:rtl/>
        </w:rPr>
        <w:t>וכתב</w:t>
      </w:r>
      <w:r>
        <w:rPr>
          <w:rtl/>
        </w:rPr>
        <w:t xml:space="preserve"> </w:t>
      </w:r>
      <w:r w:rsidRPr="009422F1">
        <w:rPr>
          <w:rFonts w:hint="cs"/>
          <w:b/>
          <w:bCs/>
          <w:rtl/>
        </w:rPr>
        <w:t>הגר"א</w:t>
      </w:r>
      <w:r>
        <w:rPr>
          <w:rtl/>
        </w:rPr>
        <w:t xml:space="preserve"> </w:t>
      </w:r>
      <w:r>
        <w:rPr>
          <w:rFonts w:hint="cs"/>
          <w:rtl/>
        </w:rPr>
        <w:t>דלדעת</w:t>
      </w:r>
      <w:r>
        <w:rPr>
          <w:rtl/>
        </w:rPr>
        <w:t xml:space="preserve"> </w:t>
      </w:r>
      <w:r w:rsidRPr="009422F1">
        <w:rPr>
          <w:rFonts w:hint="cs"/>
          <w:b/>
          <w:bCs/>
          <w:rtl/>
        </w:rPr>
        <w:t>התוס'</w:t>
      </w:r>
      <w:r>
        <w:rPr>
          <w:rtl/>
        </w:rPr>
        <w:t xml:space="preserve"> </w:t>
      </w:r>
      <w:r>
        <w:rPr>
          <w:rFonts w:hint="cs"/>
          <w:rtl/>
        </w:rPr>
        <w:t>כמו דהעושה כלי מחדש הוי בנין, ה"ה בסתירת כלי גמור, כדכתבו</w:t>
      </w:r>
      <w:r>
        <w:rPr>
          <w:rtl/>
        </w:rPr>
        <w:t xml:space="preserve"> </w:t>
      </w:r>
      <w:r w:rsidRPr="009422F1">
        <w:rPr>
          <w:rFonts w:hint="cs"/>
          <w:b/>
          <w:bCs/>
          <w:rtl/>
        </w:rPr>
        <w:t>בתוס' בעירובין</w:t>
      </w:r>
      <w:r>
        <w:rPr>
          <w:rtl/>
        </w:rPr>
        <w:t xml:space="preserve"> </w:t>
      </w:r>
      <w:r w:rsidRPr="009422F1">
        <w:rPr>
          <w:rFonts w:ascii="Calibri" w:eastAsia="Times New Roman" w:hAnsi="Calibri" w:cs="Guttman Rashi"/>
          <w:noProof w:val="0"/>
          <w:sz w:val="10"/>
          <w:szCs w:val="12"/>
          <w:rtl/>
        </w:rPr>
        <w:t xml:space="preserve">(עי' 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Pr>
        <w:instrText>REF</w:instrText>
      </w:r>
      <w:r>
        <w:rPr>
          <w:rFonts w:ascii="Calibri" w:eastAsia="Times New Roman" w:hAnsi="Calibri" w:cs="Guttman Rashi"/>
          <w:noProof w:val="0"/>
          <w:sz w:val="10"/>
          <w:szCs w:val="12"/>
          <w:rtl/>
        </w:rPr>
        <w:instrText xml:space="preserve"> _</w:instrText>
      </w:r>
      <w:r>
        <w:rPr>
          <w:rFonts w:ascii="Calibri" w:eastAsia="Times New Roman" w:hAnsi="Calibri" w:cs="Guttman Rashi"/>
          <w:noProof w:val="0"/>
          <w:sz w:val="10"/>
          <w:szCs w:val="12"/>
        </w:rPr>
        <w:instrText>Ref145187459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סד)</w:t>
      </w:r>
      <w:r>
        <w:rPr>
          <w:rFonts w:ascii="Calibri" w:eastAsia="Times New Roman" w:hAnsi="Calibri" w:cs="Guttman Rashi"/>
          <w:noProof w:val="0"/>
          <w:sz w:val="10"/>
          <w:szCs w:val="12"/>
          <w:rtl/>
        </w:rPr>
        <w:fldChar w:fldCharType="end"/>
      </w:r>
      <w:r>
        <w:rPr>
          <w:rFonts w:hint="cs"/>
          <w:rtl/>
        </w:rPr>
        <w:t>.</w:t>
      </w:r>
      <w:bookmarkEnd w:id="5499"/>
    </w:p>
    <w:p w14:paraId="70712297" w14:textId="77777777" w:rsidR="003E1AA3" w:rsidRPr="0018388A" w:rsidRDefault="003E1AA3" w:rsidP="003E1AA3">
      <w:pPr>
        <w:pStyle w:val="a2"/>
        <w:tabs>
          <w:tab w:val="num" w:pos="284"/>
        </w:tabs>
        <w:rPr>
          <w:rtl/>
        </w:rPr>
      </w:pPr>
      <w:r w:rsidRPr="0018388A">
        <w:rPr>
          <w:rtl/>
        </w:rPr>
        <w:t>וכן סתירה כמ"ש בערובין ל"ד ב' ואמאי הוא כו' ומשני במגדל של לבנים ש"מ דקס"ד של עץ וכן שם ל"ה א' במנעול קטיר כו' אבל בפותחת לא וע' תוס' שם ושם:</w:t>
      </w:r>
    </w:p>
    <w:p w14:paraId="3F48E4F4" w14:textId="77777777" w:rsidR="003E1AA3" w:rsidRDefault="003E1AA3" w:rsidP="003E1AA3">
      <w:pPr>
        <w:pStyle w:val="1"/>
        <w:rPr>
          <w:rtl/>
        </w:rPr>
      </w:pPr>
      <w:bookmarkStart w:id="5501" w:name="_Toc145233916"/>
      <w:bookmarkStart w:id="5502" w:name="_Toc143614363"/>
      <w:bookmarkStart w:id="5503" w:name="_Toc145222980"/>
      <w:bookmarkStart w:id="5504" w:name="_Toc145223163"/>
      <w:bookmarkStart w:id="5505" w:name="_Toc143620481"/>
      <w:bookmarkStart w:id="5506" w:name="_Toc145198445"/>
      <w:bookmarkStart w:id="5507" w:name="_Toc145223229"/>
      <w:r>
        <w:rPr>
          <w:rFonts w:hint="cs"/>
          <w:rtl/>
        </w:rPr>
        <w:t>בי' הגרי"א ספקטור דבונה במגבן תלוי בדין בנין בכלים</w:t>
      </w:r>
      <w:bookmarkEnd w:id="5501"/>
    </w:p>
    <w:p w14:paraId="6A844645" w14:textId="77777777" w:rsidR="003E1AA3" w:rsidRPr="00FC269C" w:rsidRDefault="003E1AA3" w:rsidP="003E1AA3">
      <w:pPr>
        <w:pStyle w:val="afffff7"/>
        <w:rPr>
          <w:rtl/>
        </w:rPr>
      </w:pPr>
      <w:bookmarkStart w:id="5508" w:name="_Toc145234023"/>
      <w:bookmarkStart w:id="5509" w:name="_Toc163506281"/>
      <w:r w:rsidRPr="00FC269C">
        <w:rPr>
          <w:rtl/>
        </w:rPr>
        <w:t xml:space="preserve">שו"ת באר יצחק </w:t>
      </w:r>
      <w:r w:rsidRPr="00FC269C">
        <w:rPr>
          <w:rFonts w:hint="cs"/>
          <w:rtl/>
        </w:rPr>
        <w:t xml:space="preserve">או"ח </w:t>
      </w:r>
      <w:r w:rsidRPr="00FC269C">
        <w:rPr>
          <w:rtl/>
        </w:rPr>
        <w:t>סי</w:t>
      </w:r>
      <w:r w:rsidRPr="00FC269C">
        <w:rPr>
          <w:rFonts w:hint="cs"/>
          <w:rtl/>
        </w:rPr>
        <w:t xml:space="preserve">' </w:t>
      </w:r>
      <w:r w:rsidRPr="00FC269C">
        <w:rPr>
          <w:rtl/>
        </w:rPr>
        <w:t>י</w:t>
      </w:r>
      <w:r w:rsidRPr="00FC269C">
        <w:rPr>
          <w:rFonts w:hint="cs"/>
          <w:rtl/>
        </w:rPr>
        <w:t>"</w:t>
      </w:r>
      <w:r w:rsidRPr="00FC269C">
        <w:rPr>
          <w:rtl/>
        </w:rPr>
        <w:t>ג</w:t>
      </w:r>
      <w:r w:rsidRPr="00FC269C">
        <w:rPr>
          <w:rFonts w:hint="cs"/>
          <w:rtl/>
        </w:rPr>
        <w:t xml:space="preserve"> ענף ב' ד"ה אכן לכאורה</w:t>
      </w:r>
      <w:bookmarkEnd w:id="5508"/>
      <w:bookmarkEnd w:id="5509"/>
    </w:p>
    <w:p w14:paraId="6F88B8E7" w14:textId="77777777" w:rsidR="003E1AA3" w:rsidRDefault="003E1AA3" w:rsidP="003E1AA3">
      <w:pPr>
        <w:pStyle w:val="a7"/>
        <w:rPr>
          <w:rtl/>
        </w:rPr>
      </w:pPr>
      <w:bookmarkStart w:id="5510" w:name="_Toc145233917"/>
      <w:r>
        <w:rPr>
          <w:rFonts w:hint="cs"/>
          <w:rtl/>
        </w:rPr>
        <w:t>בי' הבאר יצחק דלרש"י והיראים דאין בנין בכלים ודאי דמגבן ל"ה בונה ור"א כב"ש דיש בנין</w:t>
      </w:r>
      <w:bookmarkEnd w:id="5510"/>
    </w:p>
    <w:p w14:paraId="6B2A6F13" w14:textId="382FB07D" w:rsidR="003E1AA3" w:rsidRPr="007E0046" w:rsidRDefault="003E1AA3" w:rsidP="00BC7DC8">
      <w:pPr>
        <w:pStyle w:val="a3"/>
        <w:rPr>
          <w:rtl/>
        </w:rPr>
      </w:pPr>
      <w:bookmarkStart w:id="5511" w:name="_Ref144671047"/>
      <w:r>
        <w:rPr>
          <w:rFonts w:hint="cs"/>
          <w:rtl/>
        </w:rPr>
        <w:t>כתב</w:t>
      </w:r>
      <w:r>
        <w:rPr>
          <w:rtl/>
        </w:rPr>
        <w:t xml:space="preserve"> </w:t>
      </w:r>
      <w:r w:rsidRPr="007E0046">
        <w:rPr>
          <w:b/>
          <w:bCs/>
          <w:vanish/>
          <w:rtl/>
        </w:rPr>
        <w:t xml:space="preserve">&lt;,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Ref144671047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כט)</w:t>
      </w:r>
      <w:r>
        <w:rPr>
          <w:b/>
          <w:bCs/>
          <w:vanish/>
          <w:rtl/>
        </w:rPr>
        <w:fldChar w:fldCharType="end"/>
      </w:r>
      <w:r w:rsidRPr="007E0046">
        <w:rPr>
          <w:b/>
          <w:bCs/>
          <w:vanish/>
          <w:rtl/>
        </w:rPr>
        <w:t xml:space="preserve"> &gt;</w:t>
      </w:r>
      <w:r w:rsidRPr="00962B40">
        <w:rPr>
          <w:b/>
          <w:bCs/>
          <w:rtl/>
        </w:rPr>
        <w:t xml:space="preserve"> </w:t>
      </w:r>
      <w:r w:rsidRPr="007E0046">
        <w:rPr>
          <w:b/>
          <w:bCs/>
          <w:rtl/>
        </w:rPr>
        <w:t>ה</w:t>
      </w:r>
      <w:r>
        <w:rPr>
          <w:rFonts w:hint="cs"/>
          <w:b/>
          <w:bCs/>
          <w:rtl/>
        </w:rPr>
        <w:t>גרי"א ספקטור בשו"ת באר יצחק</w:t>
      </w:r>
      <w:r w:rsidRPr="007E0046">
        <w:rPr>
          <w:b/>
          <w:bCs/>
          <w:rtl/>
        </w:rPr>
        <w:t xml:space="preserve"> </w:t>
      </w:r>
      <w:r w:rsidRPr="007E0046">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או"ח סי' י"ג ענף ב' ד"ה אכן לכאורה</w:t>
      </w:r>
      <w:r w:rsidRPr="007E0046">
        <w:rPr>
          <w:rFonts w:ascii="Calibri" w:eastAsia="Times New Roman" w:hAnsi="Calibri" w:cs="Guttman Rashi"/>
          <w:noProof w:val="0"/>
          <w:sz w:val="10"/>
          <w:szCs w:val="12"/>
          <w:rtl/>
        </w:rPr>
        <w:t>)</w:t>
      </w:r>
      <w:r w:rsidRPr="007E0046">
        <w:rPr>
          <w:vanish/>
          <w:rtl/>
        </w:rPr>
        <w:t>=</w:t>
      </w:r>
      <w:r>
        <w:rPr>
          <w:rtl/>
        </w:rPr>
        <w:t xml:space="preserve"> </w:t>
      </w:r>
      <w:r>
        <w:rPr>
          <w:rFonts w:hint="cs"/>
          <w:rtl/>
        </w:rPr>
        <w:t>דלדעת</w:t>
      </w:r>
      <w:r>
        <w:rPr>
          <w:rtl/>
        </w:rPr>
        <w:t xml:space="preserve"> </w:t>
      </w:r>
      <w:r>
        <w:rPr>
          <w:rFonts w:hint="cs"/>
          <w:b/>
          <w:bCs/>
          <w:rtl/>
        </w:rPr>
        <w:t xml:space="preserve">רש"י </w:t>
      </w:r>
      <w:r w:rsidRPr="007E0046">
        <w:rPr>
          <w:rFonts w:ascii="Calibri" w:eastAsia="Times New Roman" w:hAnsi="Calibri" w:cs="Guttman Rashi"/>
          <w:noProof w:val="0"/>
          <w:sz w:val="10"/>
          <w:szCs w:val="12"/>
          <w:rtl/>
        </w:rPr>
        <w:t xml:space="preserve">(עי' 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Pr>
        <w:instrText>REF</w:instrText>
      </w:r>
      <w:r>
        <w:rPr>
          <w:rFonts w:ascii="Calibri" w:eastAsia="Times New Roman" w:hAnsi="Calibri" w:cs="Guttman Rashi"/>
          <w:noProof w:val="0"/>
          <w:sz w:val="10"/>
          <w:szCs w:val="12"/>
          <w:rtl/>
        </w:rPr>
        <w:instrText xml:space="preserve"> _</w:instrText>
      </w:r>
      <w:r>
        <w:rPr>
          <w:rFonts w:ascii="Calibri" w:eastAsia="Times New Roman" w:hAnsi="Calibri" w:cs="Guttman Rashi"/>
          <w:noProof w:val="0"/>
          <w:sz w:val="10"/>
          <w:szCs w:val="12"/>
        </w:rPr>
        <w:instrText>Ref145186884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א)</w:t>
      </w:r>
      <w:r>
        <w:rPr>
          <w:rFonts w:ascii="Calibri" w:eastAsia="Times New Roman" w:hAnsi="Calibri" w:cs="Guttman Rashi"/>
          <w:noProof w:val="0"/>
          <w:sz w:val="10"/>
          <w:szCs w:val="12"/>
          <w:rtl/>
        </w:rPr>
        <w:fldChar w:fldCharType="end"/>
      </w:r>
      <w:r>
        <w:rPr>
          <w:rtl/>
        </w:rPr>
        <w:t xml:space="preserve"> </w:t>
      </w:r>
      <w:r>
        <w:rPr>
          <w:rFonts w:hint="cs"/>
          <w:b/>
          <w:bCs/>
          <w:rtl/>
        </w:rPr>
        <w:t>והיראים</w:t>
      </w:r>
      <w:r>
        <w:rPr>
          <w:rtl/>
        </w:rPr>
        <w:t xml:space="preserve"> </w:t>
      </w:r>
      <w:r w:rsidRPr="007E0046">
        <w:rPr>
          <w:rFonts w:ascii="Calibri" w:eastAsia="Times New Roman" w:hAnsi="Calibri" w:cs="Guttman Rashi"/>
          <w:noProof w:val="0"/>
          <w:sz w:val="10"/>
          <w:szCs w:val="12"/>
          <w:rtl/>
        </w:rPr>
        <w:t xml:space="preserve">(עי' 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Pr>
        <w:instrText>REF</w:instrText>
      </w:r>
      <w:r>
        <w:rPr>
          <w:rFonts w:ascii="Calibri" w:eastAsia="Times New Roman" w:hAnsi="Calibri" w:cs="Guttman Rashi"/>
          <w:noProof w:val="0"/>
          <w:sz w:val="10"/>
          <w:szCs w:val="12"/>
          <w:rtl/>
        </w:rPr>
        <w:instrText xml:space="preserve"> _</w:instrText>
      </w:r>
      <w:r>
        <w:rPr>
          <w:rFonts w:ascii="Calibri" w:eastAsia="Times New Roman" w:hAnsi="Calibri" w:cs="Guttman Rashi"/>
          <w:noProof w:val="0"/>
          <w:sz w:val="10"/>
          <w:szCs w:val="12"/>
        </w:rPr>
        <w:instrText>Ref145186915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ח)</w:t>
      </w:r>
      <w:r>
        <w:rPr>
          <w:rFonts w:ascii="Calibri" w:eastAsia="Times New Roman" w:hAnsi="Calibri" w:cs="Guttman Rashi"/>
          <w:noProof w:val="0"/>
          <w:sz w:val="10"/>
          <w:szCs w:val="12"/>
          <w:rtl/>
        </w:rPr>
        <w:fldChar w:fldCharType="end"/>
      </w:r>
      <w:r>
        <w:rPr>
          <w:rtl/>
        </w:rPr>
        <w:t xml:space="preserve"> </w:t>
      </w:r>
      <w:r>
        <w:rPr>
          <w:rFonts w:hint="cs"/>
          <w:rtl/>
        </w:rPr>
        <w:t xml:space="preserve">דאין בנין בכלים כלל, א"כ א"א לומר דמגבן חייב משום בונה, דכיון דרק במחובר לקרקע הוי בנין ולא בכלים, כ"ש דאין בנין באוכלין, </w:t>
      </w:r>
      <w:r w:rsidRPr="00811614">
        <w:rPr>
          <w:rStyle w:val="af"/>
          <w:rFonts w:hint="cs"/>
          <w:rtl/>
        </w:rPr>
        <w:t xml:space="preserve">[כדכתב </w:t>
      </w:r>
      <w:r w:rsidRPr="00811614">
        <w:rPr>
          <w:rStyle w:val="aff9"/>
          <w:rFonts w:hint="cs"/>
          <w:rtl/>
        </w:rPr>
        <w:t>הרשב"א</w:t>
      </w:r>
      <w:r w:rsidRPr="00811614">
        <w:rPr>
          <w:rStyle w:val="af"/>
          <w:rFonts w:hint="cs"/>
          <w:rtl/>
        </w:rPr>
        <w:t xml:space="preserve"> </w:t>
      </w:r>
      <w:r w:rsidRPr="00811614">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Ref145234551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כג)</w:t>
      </w:r>
      <w:r>
        <w:rPr>
          <w:rStyle w:val="aff0"/>
          <w:rtl/>
        </w:rPr>
        <w:fldChar w:fldCharType="end"/>
      </w:r>
      <w:r w:rsidRPr="00811614">
        <w:rPr>
          <w:rStyle w:val="af"/>
          <w:rFonts w:hint="cs"/>
          <w:rtl/>
        </w:rPr>
        <w:t>],</w:t>
      </w:r>
      <w:r>
        <w:rPr>
          <w:rFonts w:hint="cs"/>
          <w:rtl/>
        </w:rPr>
        <w:t xml:space="preserve"> ולפי"ז צ"ל דר"א דס"ל בגמ' לעיל</w:t>
      </w:r>
      <w:r>
        <w:rPr>
          <w:rtl/>
        </w:rPr>
        <w:t xml:space="preserve"> </w:t>
      </w:r>
      <w:r w:rsidRPr="00232E10">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צה.</w:t>
      </w:r>
      <w:r w:rsidRPr="00232E10">
        <w:rPr>
          <w:rFonts w:ascii="Calibri" w:eastAsia="Times New Roman" w:hAnsi="Calibri" w:cs="Guttman Rashi"/>
          <w:noProof w:val="0"/>
          <w:sz w:val="10"/>
          <w:szCs w:val="12"/>
          <w:rtl/>
        </w:rPr>
        <w:t>)</w:t>
      </w:r>
      <w:r>
        <w:rPr>
          <w:rtl/>
        </w:rPr>
        <w:t xml:space="preserve"> </w:t>
      </w:r>
      <w:r>
        <w:rPr>
          <w:rFonts w:hint="cs"/>
          <w:rtl/>
        </w:rPr>
        <w:t>דמגבן חייב משום בונה, הוא כיון דהוא מתלמידי ב"ש דס"ל בגמ' בביצה</w:t>
      </w:r>
      <w:r>
        <w:rPr>
          <w:rtl/>
        </w:rPr>
        <w:t xml:space="preserve"> </w:t>
      </w:r>
      <w:r w:rsidRPr="00232E10">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כב.</w:t>
      </w:r>
      <w:r w:rsidRPr="00232E10">
        <w:rPr>
          <w:rFonts w:ascii="Calibri" w:eastAsia="Times New Roman" w:hAnsi="Calibri" w:cs="Guttman Rashi"/>
          <w:noProof w:val="0"/>
          <w:sz w:val="10"/>
          <w:szCs w:val="12"/>
          <w:rtl/>
        </w:rPr>
        <w:t>)</w:t>
      </w:r>
      <w:r>
        <w:rPr>
          <w:rtl/>
        </w:rPr>
        <w:t xml:space="preserve"> </w:t>
      </w:r>
      <w:r>
        <w:rPr>
          <w:rFonts w:hint="cs"/>
          <w:rtl/>
        </w:rPr>
        <w:t>דיש בנין בכלים, ורבנן דפליגי עליה ס"ל כב"ה</w:t>
      </w:r>
      <w:bookmarkEnd w:id="5511"/>
      <w:r>
        <w:rPr>
          <w:rFonts w:hint="cs"/>
          <w:rtl/>
        </w:rPr>
        <w:t xml:space="preserve">. </w:t>
      </w:r>
    </w:p>
    <w:p w14:paraId="55F4212A" w14:textId="77777777" w:rsidR="003E1AA3" w:rsidRPr="00BC7DC8" w:rsidRDefault="003E1AA3" w:rsidP="003E1AA3">
      <w:pPr>
        <w:pStyle w:val="afffffe"/>
        <w:rPr>
          <w:vanish/>
          <w:rtl/>
        </w:rPr>
      </w:pPr>
      <w:r w:rsidRPr="00BC7DC8">
        <w:rPr>
          <w:vanish/>
          <w:rtl/>
        </w:rPr>
        <w:t xml:space="preserve">שו"ת באר יצחק </w:t>
      </w:r>
      <w:r w:rsidRPr="00BC7DC8">
        <w:rPr>
          <w:rFonts w:hint="cs"/>
          <w:vanish/>
          <w:rtl/>
        </w:rPr>
        <w:t xml:space="preserve">או"ח </w:t>
      </w:r>
      <w:r w:rsidRPr="00BC7DC8">
        <w:rPr>
          <w:vanish/>
          <w:rtl/>
        </w:rPr>
        <w:t>סימן יג</w:t>
      </w:r>
      <w:r w:rsidRPr="00BC7DC8">
        <w:rPr>
          <w:rFonts w:hint="cs"/>
          <w:vanish/>
          <w:rtl/>
        </w:rPr>
        <w:t xml:space="preserve"> ענף ב'</w:t>
      </w:r>
      <w:r w:rsidRPr="00BC7DC8">
        <w:rPr>
          <w:vanish/>
          <w:rtl/>
        </w:rPr>
        <w:t xml:space="preserve"> ד"ה אכן לכאורה</w:t>
      </w:r>
    </w:p>
    <w:p w14:paraId="11A92C71" w14:textId="77777777" w:rsidR="003E1AA3" w:rsidRPr="0018388A" w:rsidRDefault="003E1AA3" w:rsidP="003E1AA3">
      <w:pPr>
        <w:pStyle w:val="a2"/>
        <w:tabs>
          <w:tab w:val="num" w:pos="284"/>
        </w:tabs>
        <w:rPr>
          <w:rtl/>
        </w:rPr>
      </w:pPr>
      <w:r w:rsidRPr="0018388A">
        <w:rPr>
          <w:rtl/>
        </w:rPr>
        <w:t xml:space="preserve">אכן לכאורה יש לסתור מש"כ בכוונת הירושלמי דס"ל דבנין מותר ביום טוב מן התורה מדין מתוך שהותר לגבן דהוי בונה, דנהי דבש"ס דילן מבואר דמגבן חייב משום בונה, אמנם בירושלמי בשבת (פ"ז ה"ב) בסופו איתא דמגבן חייב משום לש, א"כ אין שייך לומר מתוך להתיר בנין ביום טוב מה"ת, ונ"ל בזה דלכן אמרו בש"ס ירושלמי לחייב במגבן רק משום לש משום שי"ל שזה תלוי בפלוגתא דאי יש בנין בכלים, משום דאי אין בנין בכלים רק במחובר לקרקע כש"כ דאין לחייב באוכלין משום בונה, אך לפמש"כ התוס' בשבת (דף ק"ב ע"ב) ד"ה האי מאן כו' דבנין גמור יש בנין בכלים, יש לומר דמגבן הוי בנין גמור, ובאמת לשיטת היראים המובא בכ"מ (פ"י מהלכות שבת הי"א) דאף בנין גמור ג"כ אין בנין בכלים וכן כתב הר"ן בריש פרק הבונה בשם יש מפרשים דרב דס"ל דעל שיפתא בקופינא דמרא דחייב משום בונה משום דס"ל יש בנין בכלים, ולא מחלקי בין בנין גמור לבנין שאינו גמור, וכן הוא שיטת רש"י בשבת (דף ע"ד) בחביתא וחלתא דאין חייב משום בנין דאין בנין בכלים [והתוס' שם ד"ה חביתא ותנורה פליגי על רש"י משום דבנין גמור שייך אף בכלים וכשיטתם, והא דשבת (דף י"ז) במחזיר מטה של טרסיים דחייב חטאת היינו משום מכה בפטיש כדפי' רש"י שם], ולשיטתם מוכח דמגבן אינו חייב משום בונה משום דאין בנין רק במחובר לקרקע, ומוכח מזה כשיטת הסוברין דרבנן דפליגי על ר"א וס"ל דאחד זה ואחד זה אינו אלא משום שבות דקאי גם על המגבן, וכמש"כ הרב המגיד בשמם כנ"ל. </w:t>
      </w:r>
    </w:p>
    <w:p w14:paraId="221A98E9" w14:textId="77777777" w:rsidR="003E1AA3" w:rsidRPr="002E340A" w:rsidRDefault="003E1AA3" w:rsidP="003E1AA3">
      <w:pPr>
        <w:pStyle w:val="afffff5"/>
        <w:rPr>
          <w:rtl/>
        </w:rPr>
      </w:pPr>
      <w:r w:rsidRPr="002E340A">
        <w:rPr>
          <w:rtl/>
        </w:rPr>
        <w:t xml:space="preserve">ויש לומר לפ"ז דהא דפליגי ר"א ורבנן בשבת במגבן דר"א ס"ל דחייב משום בונה וחכמים ס"ל דאינו אלא משום שבות, היינו משום דמבואר בביצה (דף כ"ב) דב"ש ס"ל יש בנין בכלים וב"ה ס"ל אין בנין בכלים, וכיון דמבואר בשבת (דף ק"ל) דר"א שמותי הוא ומתלמידי ב"ש וס"ל בכל מקום כב"ש, וכיון דס"ל יש בנין בכלים ה"ה דיש בנין במגבן, וחכמים ס"ל כב"ה דאין בנין בכלים רק במחובר ממילא ה"ה באוכלין לא שייך בנין ולכן מגבן אינו אלא משום שבות, כן י"ל להך שיטה דס"ל דאי אין בנין בכלים דגם בנין גמור אין בו משום בנין בכלים, אכן בעירובין (דף ל"ה) מבואר דרבה ורב יוסף ס"ל דת"ק סבר כלי הוא ואין בנין בכלים ור"א ס"ל אהל אבל אי הוי כלי הוי ס"ל לר"א ג"כ אין בנין בכלים, ועיין בתוס' שם ד"ה ומתני' במאי מוקי לה כו'. </w:t>
      </w:r>
    </w:p>
    <w:p w14:paraId="7168DC69" w14:textId="77777777" w:rsidR="003E1AA3" w:rsidRPr="00FC269C" w:rsidRDefault="003E1AA3" w:rsidP="003E1AA3">
      <w:pPr>
        <w:pStyle w:val="afffff7"/>
        <w:rPr>
          <w:rtl/>
        </w:rPr>
      </w:pPr>
      <w:bookmarkStart w:id="5512" w:name="_Toc145234024"/>
      <w:bookmarkStart w:id="5513" w:name="_Toc163506282"/>
      <w:r w:rsidRPr="00FC269C">
        <w:rPr>
          <w:rtl/>
        </w:rPr>
        <w:t xml:space="preserve">שו"ת באר יצחק </w:t>
      </w:r>
      <w:r w:rsidRPr="00FC269C">
        <w:rPr>
          <w:rFonts w:hint="cs"/>
          <w:rtl/>
        </w:rPr>
        <w:t xml:space="preserve">או"ח </w:t>
      </w:r>
      <w:r w:rsidRPr="00FC269C">
        <w:rPr>
          <w:rtl/>
        </w:rPr>
        <w:t>סי</w:t>
      </w:r>
      <w:r w:rsidRPr="00FC269C">
        <w:rPr>
          <w:rFonts w:hint="cs"/>
          <w:rtl/>
        </w:rPr>
        <w:t xml:space="preserve">' </w:t>
      </w:r>
      <w:r w:rsidRPr="00FC269C">
        <w:rPr>
          <w:rtl/>
        </w:rPr>
        <w:t>י</w:t>
      </w:r>
      <w:r w:rsidRPr="00FC269C">
        <w:rPr>
          <w:rFonts w:hint="cs"/>
          <w:rtl/>
        </w:rPr>
        <w:t>"</w:t>
      </w:r>
      <w:r w:rsidRPr="00FC269C">
        <w:rPr>
          <w:rtl/>
        </w:rPr>
        <w:t>ג</w:t>
      </w:r>
      <w:r w:rsidRPr="00FC269C">
        <w:rPr>
          <w:rFonts w:hint="cs"/>
          <w:rtl/>
        </w:rPr>
        <w:t xml:space="preserve"> ענף ב' ד"ה ונחזור</w:t>
      </w:r>
      <w:bookmarkEnd w:id="5512"/>
      <w:bookmarkEnd w:id="5513"/>
    </w:p>
    <w:p w14:paraId="5EDCAA12" w14:textId="77777777" w:rsidR="003E1AA3" w:rsidRDefault="003E1AA3" w:rsidP="003E1AA3">
      <w:pPr>
        <w:pStyle w:val="a7"/>
        <w:rPr>
          <w:rtl/>
        </w:rPr>
      </w:pPr>
      <w:bookmarkStart w:id="5514" w:name="_Toc145233918"/>
      <w:r>
        <w:rPr>
          <w:rFonts w:hint="cs"/>
          <w:rtl/>
        </w:rPr>
        <w:t>בי' הבאר יצחק דהירושלמי דמגבן הוי לש כרש"י דאין בנין בכלים ובגמ' לעיל אפש"ל כתוס'</w:t>
      </w:r>
      <w:bookmarkEnd w:id="5514"/>
    </w:p>
    <w:p w14:paraId="52754D2E" w14:textId="645D8328" w:rsidR="003E1AA3" w:rsidRPr="00E328EE" w:rsidRDefault="003E1AA3" w:rsidP="00BC7DC8">
      <w:pPr>
        <w:pStyle w:val="a3"/>
        <w:rPr>
          <w:rtl/>
        </w:rPr>
      </w:pPr>
      <w:bookmarkStart w:id="5515" w:name="_Ref144671038"/>
      <w:r>
        <w:rPr>
          <w:rFonts w:hint="cs"/>
          <w:rtl/>
        </w:rPr>
        <w:t>וכתב</w:t>
      </w:r>
      <w:r>
        <w:rPr>
          <w:rtl/>
        </w:rPr>
        <w:t xml:space="preserve"> </w:t>
      </w:r>
      <w:r w:rsidRPr="007E0046">
        <w:rPr>
          <w:b/>
          <w:bCs/>
          <w:vanish/>
          <w:rtl/>
        </w:rPr>
        <w:t xml:space="preserve">&lt;,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Ref144671038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ל)</w:t>
      </w:r>
      <w:r>
        <w:rPr>
          <w:b/>
          <w:bCs/>
          <w:vanish/>
          <w:rtl/>
        </w:rPr>
        <w:fldChar w:fldCharType="end"/>
      </w:r>
      <w:r w:rsidRPr="007E0046">
        <w:rPr>
          <w:b/>
          <w:bCs/>
          <w:vanish/>
          <w:rtl/>
        </w:rPr>
        <w:t xml:space="preserve"> &gt;</w:t>
      </w:r>
      <w:r w:rsidRPr="00F36E03">
        <w:rPr>
          <w:b/>
          <w:bCs/>
          <w:rtl/>
        </w:rPr>
        <w:t xml:space="preserve"> </w:t>
      </w:r>
      <w:r w:rsidRPr="007E0046">
        <w:rPr>
          <w:b/>
          <w:bCs/>
          <w:rtl/>
        </w:rPr>
        <w:t>ה</w:t>
      </w:r>
      <w:r>
        <w:rPr>
          <w:rFonts w:hint="cs"/>
          <w:b/>
          <w:bCs/>
          <w:rtl/>
        </w:rPr>
        <w:t>גרי"א ספקטור בשו"ת באר יצחק</w:t>
      </w:r>
      <w:r w:rsidRPr="007E0046">
        <w:rPr>
          <w:b/>
          <w:bCs/>
          <w:rtl/>
        </w:rPr>
        <w:t xml:space="preserve"> </w:t>
      </w:r>
      <w:r w:rsidRPr="007E0046">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או"ח סי' י"ג ענף ב' ד"ה ונחזור</w:t>
      </w:r>
      <w:r w:rsidRPr="007E0046">
        <w:rPr>
          <w:rFonts w:ascii="Calibri" w:eastAsia="Times New Roman" w:hAnsi="Calibri" w:cs="Guttman Rashi"/>
          <w:noProof w:val="0"/>
          <w:sz w:val="10"/>
          <w:szCs w:val="12"/>
          <w:rtl/>
        </w:rPr>
        <w:t>)</w:t>
      </w:r>
      <w:r w:rsidRPr="007E0046">
        <w:rPr>
          <w:vanish/>
          <w:rtl/>
        </w:rPr>
        <w:t>=</w:t>
      </w:r>
      <w:r>
        <w:rPr>
          <w:rtl/>
        </w:rPr>
        <w:t xml:space="preserve"> </w:t>
      </w:r>
      <w:r>
        <w:rPr>
          <w:rFonts w:hint="cs"/>
          <w:rtl/>
        </w:rPr>
        <w:t>ד</w:t>
      </w:r>
      <w:bookmarkEnd w:id="5515"/>
      <w:r>
        <w:rPr>
          <w:rFonts w:hint="cs"/>
          <w:rtl/>
        </w:rPr>
        <w:t>בזה מבואר הא דאיתא בירושלמי</w:t>
      </w:r>
      <w:r>
        <w:rPr>
          <w:rtl/>
        </w:rPr>
        <w:t xml:space="preserve"> </w:t>
      </w:r>
      <w:r w:rsidRPr="00BE6E48">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פ"ז ה"ב, נב:</w:t>
      </w:r>
      <w:r w:rsidRPr="00BE6E48">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 xml:space="preserve"> </w:t>
      </w:r>
      <w:r>
        <w:rPr>
          <w:rFonts w:hint="cs"/>
          <w:rtl/>
        </w:rPr>
        <w:t>דהמגבן חייב משום לש, ודלא כגמ' לעיל</w:t>
      </w:r>
      <w:r>
        <w:rPr>
          <w:rtl/>
        </w:rPr>
        <w:t xml:space="preserve"> </w:t>
      </w:r>
      <w:r w:rsidRPr="00BE6E48">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צה.</w:t>
      </w:r>
      <w:r w:rsidRPr="00BE6E48">
        <w:rPr>
          <w:rFonts w:ascii="Calibri" w:eastAsia="Times New Roman" w:hAnsi="Calibri" w:cs="Guttman Rashi"/>
          <w:noProof w:val="0"/>
          <w:sz w:val="10"/>
          <w:szCs w:val="12"/>
          <w:rtl/>
        </w:rPr>
        <w:t>)</w:t>
      </w:r>
      <w:r>
        <w:rPr>
          <w:rtl/>
        </w:rPr>
        <w:t xml:space="preserve"> </w:t>
      </w:r>
      <w:r>
        <w:rPr>
          <w:rFonts w:hint="cs"/>
          <w:rtl/>
        </w:rPr>
        <w:t>דלר"א חייב משום בונה, כיון דהירושלמי ס"ל דאין בנין בכלים כלל כדעת</w:t>
      </w:r>
      <w:r>
        <w:rPr>
          <w:rtl/>
        </w:rPr>
        <w:t xml:space="preserve"> </w:t>
      </w:r>
      <w:r>
        <w:rPr>
          <w:rFonts w:hint="cs"/>
          <w:b/>
          <w:bCs/>
          <w:rtl/>
        </w:rPr>
        <w:t>רש"י והיראים</w:t>
      </w:r>
      <w:r>
        <w:rPr>
          <w:rtl/>
        </w:rPr>
        <w:t xml:space="preserve"> </w:t>
      </w:r>
      <w:r>
        <w:rPr>
          <w:rFonts w:hint="cs"/>
          <w:rtl/>
        </w:rPr>
        <w:t>וא"כ כ"ש דמגבן אינו בנין, אבל בבבלי אפשר לבאר כדעת</w:t>
      </w:r>
      <w:r>
        <w:rPr>
          <w:rtl/>
        </w:rPr>
        <w:t xml:space="preserve"> </w:t>
      </w:r>
      <w:r>
        <w:rPr>
          <w:rFonts w:hint="cs"/>
          <w:b/>
          <w:bCs/>
          <w:rtl/>
        </w:rPr>
        <w:t>התוס'</w:t>
      </w:r>
      <w:r>
        <w:rPr>
          <w:rtl/>
        </w:rPr>
        <w:t xml:space="preserve"> </w:t>
      </w:r>
      <w:r w:rsidRPr="00374D09">
        <w:rPr>
          <w:rFonts w:ascii="Calibri" w:eastAsia="Times New Roman" w:hAnsi="Calibri" w:cs="Guttman Rashi"/>
          <w:noProof w:val="0"/>
          <w:sz w:val="10"/>
          <w:szCs w:val="12"/>
          <w:rtl/>
        </w:rPr>
        <w:t xml:space="preserve">(עי' </w:t>
      </w:r>
      <w:r w:rsidRPr="00CA003E">
        <w:rPr>
          <w:rFonts w:ascii="Calibri" w:eastAsia="Times New Roman" w:hAnsi="Calibri" w:cs="Guttman Rashi"/>
          <w:noProof w:val="0"/>
          <w:sz w:val="10"/>
          <w:szCs w:val="12"/>
          <w:rtl/>
        </w:rPr>
        <w:t xml:space="preserve">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Pr>
        <w:instrText>REF</w:instrText>
      </w:r>
      <w:r>
        <w:rPr>
          <w:rFonts w:ascii="Calibri" w:eastAsia="Times New Roman" w:hAnsi="Calibri" w:cs="Guttman Rashi"/>
          <w:noProof w:val="0"/>
          <w:sz w:val="10"/>
          <w:szCs w:val="12"/>
          <w:rtl/>
        </w:rPr>
        <w:instrText xml:space="preserve"> _</w:instrText>
      </w:r>
      <w:r>
        <w:rPr>
          <w:rFonts w:ascii="Calibri" w:eastAsia="Times New Roman" w:hAnsi="Calibri" w:cs="Guttman Rashi"/>
          <w:noProof w:val="0"/>
          <w:sz w:val="10"/>
          <w:szCs w:val="12"/>
        </w:rPr>
        <w:instrText>Ref144829094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כא)</w:t>
      </w:r>
      <w:r>
        <w:rPr>
          <w:rFonts w:ascii="Calibri" w:eastAsia="Times New Roman" w:hAnsi="Calibri" w:cs="Guttman Rashi"/>
          <w:noProof w:val="0"/>
          <w:sz w:val="10"/>
          <w:szCs w:val="12"/>
          <w:rtl/>
        </w:rPr>
        <w:fldChar w:fldCharType="end"/>
      </w:r>
      <w:r>
        <w:rPr>
          <w:rtl/>
        </w:rPr>
        <w:t xml:space="preserve"> </w:t>
      </w:r>
      <w:r>
        <w:rPr>
          <w:rFonts w:hint="cs"/>
          <w:rtl/>
        </w:rPr>
        <w:t>דבבנין גמור יש בנין בכלים וא"כ אף באוכלין שייך בנין בבנין גמור.</w:t>
      </w:r>
    </w:p>
    <w:p w14:paraId="791EB2FA" w14:textId="77777777" w:rsidR="003E1AA3" w:rsidRPr="00BC7DC8" w:rsidRDefault="003E1AA3" w:rsidP="003E1AA3">
      <w:pPr>
        <w:pStyle w:val="afffffe"/>
        <w:rPr>
          <w:vanish/>
          <w:rtl/>
        </w:rPr>
      </w:pPr>
      <w:r w:rsidRPr="00BC7DC8">
        <w:rPr>
          <w:vanish/>
          <w:rtl/>
        </w:rPr>
        <w:t xml:space="preserve">שו"ת באר יצחק או"ח סי' י"ג </w:t>
      </w:r>
      <w:r w:rsidRPr="00BC7DC8">
        <w:rPr>
          <w:rFonts w:hint="cs"/>
          <w:vanish/>
          <w:rtl/>
        </w:rPr>
        <w:t>ענף ב'</w:t>
      </w:r>
      <w:r w:rsidRPr="00BC7DC8">
        <w:rPr>
          <w:vanish/>
          <w:rtl/>
        </w:rPr>
        <w:t xml:space="preserve"> ד"ה ונחזור</w:t>
      </w:r>
    </w:p>
    <w:p w14:paraId="29C515C9" w14:textId="77777777" w:rsidR="003E1AA3" w:rsidRPr="0018388A" w:rsidRDefault="003E1AA3" w:rsidP="003E1AA3">
      <w:pPr>
        <w:pStyle w:val="a2"/>
        <w:tabs>
          <w:tab w:val="num" w:pos="284"/>
        </w:tabs>
        <w:rPr>
          <w:rtl/>
        </w:rPr>
      </w:pPr>
      <w:r w:rsidRPr="0018388A">
        <w:rPr>
          <w:rtl/>
        </w:rPr>
        <w:t xml:space="preserve">נחזור לעניננו במש"כ דיש לדון דאי יש בנין בכלים אז שייך במגבן לחייב משום בונה אבל אי אין בנין בכלים אז לא שייך לחייב בו משום בונה ולכן י"ל דהירושלמי דס"ל דבמגבן אין שייך בונה רק משום לש, משום דס"ל להירושלמי כסברת הכ"מ בשם היראים וכשיטת רש"י דאף בנין גמור אין בו משום בנין בכלים לכן ה"ה דאין בו משום בנין באוכלים, משא"כ הש"ס דילן ס"ל דבנין גמור הוי בו משום בנין אף בכלים וכמ"ש התוס' הנ"ל, לכן חייב משום בנין אף באוכלין, ואף דאין באוכלין משום תיקון כלי כמבואר בביצה (ל"ג ע"ב) עכ"ז משום בנין שייך אף באוכלין כדמוכח בש"ס דילן. </w:t>
      </w:r>
    </w:p>
    <w:p w14:paraId="08E18854" w14:textId="77777777" w:rsidR="003E1AA3" w:rsidRPr="004335FF" w:rsidRDefault="003E1AA3" w:rsidP="003E1AA3">
      <w:pPr>
        <w:pStyle w:val="1"/>
        <w:rPr>
          <w:rtl/>
        </w:rPr>
      </w:pPr>
      <w:bookmarkStart w:id="5516" w:name="_Toc145233919"/>
      <w:r>
        <w:rPr>
          <w:rFonts w:hint="cs"/>
          <w:rtl/>
        </w:rPr>
        <w:t>בי' הפנ"י ברש"י ותוס' דעושה כלי מחדש וא"צ מלאכה הוי בונה</w:t>
      </w:r>
      <w:bookmarkEnd w:id="5502"/>
      <w:bookmarkEnd w:id="5503"/>
      <w:bookmarkEnd w:id="5504"/>
      <w:bookmarkEnd w:id="5516"/>
    </w:p>
    <w:p w14:paraId="4F37BCDB" w14:textId="77777777" w:rsidR="003E1AA3" w:rsidRPr="00FC269C" w:rsidRDefault="003E1AA3" w:rsidP="003E1AA3">
      <w:pPr>
        <w:pStyle w:val="afffff7"/>
        <w:rPr>
          <w:rtl/>
        </w:rPr>
      </w:pPr>
      <w:bookmarkStart w:id="5517" w:name="_Toc143620477"/>
      <w:bookmarkStart w:id="5518" w:name="_Toc145198441"/>
      <w:bookmarkStart w:id="5519" w:name="_Toc145223225"/>
      <w:bookmarkStart w:id="5520" w:name="_Toc145234025"/>
      <w:bookmarkStart w:id="5521" w:name="_Toc143614364"/>
      <w:bookmarkStart w:id="5522" w:name="_Toc163506283"/>
      <w:r w:rsidRPr="00FC269C">
        <w:rPr>
          <w:rtl/>
        </w:rPr>
        <w:t>תוספות שבת ע"ד ע"ב</w:t>
      </w:r>
      <w:r w:rsidRPr="00FC269C">
        <w:rPr>
          <w:rFonts w:hint="cs"/>
          <w:rtl/>
        </w:rPr>
        <w:t xml:space="preserve"> ד"ה חביתא</w:t>
      </w:r>
      <w:bookmarkEnd w:id="5517"/>
      <w:bookmarkEnd w:id="5518"/>
      <w:bookmarkEnd w:id="5519"/>
      <w:bookmarkEnd w:id="5520"/>
      <w:bookmarkEnd w:id="5522"/>
    </w:p>
    <w:p w14:paraId="2854FC32" w14:textId="77777777" w:rsidR="003E1AA3" w:rsidRDefault="003E1AA3" w:rsidP="003E1AA3">
      <w:pPr>
        <w:pStyle w:val="a7"/>
        <w:rPr>
          <w:rtl/>
        </w:rPr>
      </w:pPr>
      <w:bookmarkStart w:id="5523" w:name="_Toc145222981"/>
      <w:bookmarkStart w:id="5524" w:name="_Toc145223164"/>
      <w:bookmarkStart w:id="5525" w:name="_Toc145233920"/>
      <w:r>
        <w:rPr>
          <w:rFonts w:hint="cs"/>
          <w:rtl/>
        </w:rPr>
        <w:t>בי' רש"י דבחביתא אין בונה דאין בנין בכלים ובי' תוס' והראשונים דעושה כלי מחדש הוי בונה</w:t>
      </w:r>
      <w:bookmarkEnd w:id="5521"/>
      <w:bookmarkEnd w:id="5523"/>
      <w:bookmarkEnd w:id="5524"/>
      <w:bookmarkEnd w:id="5525"/>
    </w:p>
    <w:p w14:paraId="5F5BCD73" w14:textId="11E1B614" w:rsidR="003E1AA3" w:rsidRPr="00876130" w:rsidRDefault="003E1AA3" w:rsidP="00BC7DC8">
      <w:pPr>
        <w:pStyle w:val="a3"/>
        <w:rPr>
          <w:rtl/>
        </w:rPr>
      </w:pPr>
      <w:bookmarkStart w:id="5526" w:name="_Ref145234586"/>
      <w:r>
        <w:rPr>
          <w:rFonts w:hint="cs"/>
          <w:rtl/>
        </w:rPr>
        <w:t xml:space="preserve">בהא דאיתא בגמ' לעיל </w:t>
      </w:r>
      <w:r w:rsidRPr="00C962CD">
        <w:rPr>
          <w:rStyle w:val="af2"/>
          <w:rFonts w:eastAsia="Guttman Hodes" w:hint="cs"/>
          <w:rtl/>
        </w:rPr>
        <w:t>(עד:)</w:t>
      </w:r>
      <w:r>
        <w:rPr>
          <w:rFonts w:hint="cs"/>
          <w:rtl/>
        </w:rPr>
        <w:t xml:space="preserve"> דהעושה חביתא ותנורא וחלתא חייב, עי' במ"ש </w:t>
      </w:r>
      <w:r w:rsidRPr="00B90D00">
        <w:rPr>
          <w:rStyle w:val="aff4"/>
          <w:rFonts w:hint="cs"/>
          <w:vanish/>
          <w:rtl/>
        </w:rPr>
        <w:t>-</w:t>
      </w:r>
      <w:r w:rsidRPr="00C56FA9">
        <w:rPr>
          <w:rStyle w:val="aff4"/>
          <w:rFonts w:hint="cs"/>
          <w:rtl/>
        </w:rPr>
        <w:t>רש"י לעיל</w:t>
      </w:r>
      <w:r w:rsidRPr="00B90D00">
        <w:rPr>
          <w:rStyle w:val="aff4"/>
          <w:rFonts w:hint="cs"/>
          <w:vanish/>
          <w:rtl/>
        </w:rPr>
        <w:t>-</w:t>
      </w:r>
      <w:r>
        <w:rPr>
          <w:rFonts w:hint="cs"/>
          <w:rtl/>
        </w:rPr>
        <w:t xml:space="preserve"> </w:t>
      </w:r>
      <w:r>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Ref145186884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א)</w:t>
      </w:r>
      <w:r>
        <w:rPr>
          <w:rStyle w:val="af2"/>
          <w:rFonts w:eastAsia="Guttman Hodes"/>
          <w:rtl/>
        </w:rPr>
        <w:fldChar w:fldCharType="end"/>
      </w:r>
      <w:r>
        <w:rPr>
          <w:rFonts w:hint="cs"/>
          <w:rtl/>
        </w:rPr>
        <w:t xml:space="preserve"> דאין בזה חיוב בונה כיון דאין בנין בכלים, ודחו </w:t>
      </w:r>
      <w:r w:rsidRPr="00B90D00">
        <w:rPr>
          <w:rStyle w:val="aff4"/>
          <w:rFonts w:hint="cs"/>
          <w:vanish/>
          <w:rtl/>
        </w:rPr>
        <w:t>-</w:t>
      </w:r>
      <w:r w:rsidRPr="00C56FA9">
        <w:rPr>
          <w:rStyle w:val="aff4"/>
          <w:rFonts w:hint="cs"/>
          <w:rtl/>
        </w:rPr>
        <w:t>ה</w:t>
      </w:r>
      <w:r w:rsidRPr="00775F15">
        <w:rPr>
          <w:rStyle w:val="aff4"/>
          <w:rFonts w:hint="cs"/>
          <w:vanish/>
          <w:rtl/>
        </w:rPr>
        <w:t xml:space="preserve">&lt;, </w:t>
      </w:r>
      <w:r w:rsidRPr="00775F15">
        <w:rPr>
          <w:rStyle w:val="aff4"/>
          <w:vanish/>
          <w:rtl/>
        </w:rPr>
        <w:fldChar w:fldCharType="begin"/>
      </w:r>
      <w:r w:rsidRPr="00775F15">
        <w:rPr>
          <w:rStyle w:val="aff4"/>
          <w:vanish/>
          <w:rtl/>
        </w:rPr>
        <w:instrText xml:space="preserve"> </w:instrText>
      </w:r>
      <w:r w:rsidRPr="00775F15">
        <w:rPr>
          <w:rStyle w:val="aff4"/>
          <w:rFonts w:hint="cs"/>
          <w:vanish/>
        </w:rPr>
        <w:instrText>REF</w:instrText>
      </w:r>
      <w:r w:rsidRPr="00775F15">
        <w:rPr>
          <w:rStyle w:val="aff4"/>
          <w:rFonts w:hint="cs"/>
          <w:vanish/>
          <w:rtl/>
        </w:rPr>
        <w:instrText xml:space="preserve"> _</w:instrText>
      </w:r>
      <w:r w:rsidRPr="00775F15">
        <w:rPr>
          <w:rStyle w:val="aff4"/>
          <w:rFonts w:hint="cs"/>
          <w:vanish/>
        </w:rPr>
        <w:instrText>Ref143421195 \r \h</w:instrText>
      </w:r>
      <w:r w:rsidRPr="00775F15">
        <w:rPr>
          <w:rStyle w:val="aff4"/>
          <w:vanish/>
          <w:rtl/>
        </w:rPr>
        <w:instrText xml:space="preserve"> </w:instrText>
      </w:r>
      <w:r>
        <w:rPr>
          <w:rStyle w:val="aff4"/>
          <w:vanish/>
          <w:rtl/>
        </w:rPr>
        <w:instrText xml:space="preserve"> \* </w:instrText>
      </w:r>
      <w:r>
        <w:rPr>
          <w:rStyle w:val="aff4"/>
          <w:vanish/>
        </w:rPr>
        <w:instrText>MERGEFORMAT</w:instrText>
      </w:r>
      <w:r>
        <w:rPr>
          <w:rStyle w:val="aff4"/>
          <w:vanish/>
          <w:rtl/>
        </w:rPr>
        <w:instrText xml:space="preserve"> </w:instrText>
      </w:r>
      <w:r w:rsidRPr="00775F15">
        <w:rPr>
          <w:rStyle w:val="aff4"/>
          <w:vanish/>
          <w:rtl/>
        </w:rPr>
      </w:r>
      <w:r w:rsidRPr="00775F15">
        <w:rPr>
          <w:rStyle w:val="aff4"/>
          <w:vanish/>
          <w:rtl/>
        </w:rPr>
        <w:fldChar w:fldCharType="separate"/>
      </w:r>
      <w:r w:rsidR="00D82181">
        <w:rPr>
          <w:rStyle w:val="aff4"/>
          <w:vanish/>
          <w:cs/>
        </w:rPr>
        <w:t>‎</w:t>
      </w:r>
      <w:r w:rsidR="00D82181">
        <w:rPr>
          <w:rStyle w:val="aff4"/>
          <w:vanish/>
          <w:rtl/>
        </w:rPr>
        <w:t>ל)</w:t>
      </w:r>
      <w:r w:rsidRPr="00775F15">
        <w:rPr>
          <w:rStyle w:val="aff4"/>
          <w:vanish/>
          <w:rtl/>
        </w:rPr>
        <w:fldChar w:fldCharType="end"/>
      </w:r>
      <w:r w:rsidRPr="00775F15">
        <w:rPr>
          <w:rStyle w:val="aff4"/>
          <w:rFonts w:hint="cs"/>
          <w:vanish/>
          <w:rtl/>
        </w:rPr>
        <w:t xml:space="preserve"> &gt;</w:t>
      </w:r>
      <w:r w:rsidRPr="00C56FA9">
        <w:rPr>
          <w:rStyle w:val="aff4"/>
          <w:rFonts w:hint="cs"/>
          <w:rtl/>
        </w:rPr>
        <w:t>תוס' לעיל</w:t>
      </w:r>
      <w:r w:rsidRPr="00B90D00">
        <w:rPr>
          <w:rStyle w:val="aff4"/>
          <w:rFonts w:hint="cs"/>
          <w:vanish/>
          <w:rtl/>
        </w:rPr>
        <w:t>-</w:t>
      </w:r>
      <w:r>
        <w:rPr>
          <w:rFonts w:hint="cs"/>
          <w:rtl/>
        </w:rPr>
        <w:t xml:space="preserve"> </w:t>
      </w:r>
      <w:r w:rsidRPr="00C962CD">
        <w:rPr>
          <w:rStyle w:val="af2"/>
          <w:rFonts w:eastAsia="Guttman Hodes" w:hint="cs"/>
          <w:rtl/>
        </w:rPr>
        <w:t>(עד: ד"ה חביתא)</w:t>
      </w:r>
      <w:r w:rsidRPr="00B90D00">
        <w:rPr>
          <w:rFonts w:hint="cs"/>
          <w:vanish/>
          <w:rtl/>
        </w:rPr>
        <w:t>=</w:t>
      </w:r>
      <w:r>
        <w:rPr>
          <w:rFonts w:hint="cs"/>
          <w:rtl/>
        </w:rPr>
        <w:t xml:space="preserve"> דהא דאין בנין בכלים הוא רק במחזיר מטה ומנורה של חוליות, אבל בעושה את כל הכלי חייב משום בונה, כדאיתא בסוגיין דהמחבר יד לקרדום הוי בונה, וכן ביאר </w:t>
      </w:r>
      <w:r w:rsidRPr="001B1FAC">
        <w:rPr>
          <w:rStyle w:val="aff4"/>
          <w:rFonts w:hint="cs"/>
          <w:vanish/>
          <w:rtl/>
        </w:rPr>
        <w:t>-</w:t>
      </w:r>
      <w:r w:rsidRPr="00DB1D3B">
        <w:rPr>
          <w:rStyle w:val="aff4"/>
          <w:rFonts w:hint="cs"/>
          <w:rtl/>
        </w:rPr>
        <w:t>המ"מ</w:t>
      </w:r>
      <w:r w:rsidRPr="001B1FAC">
        <w:rPr>
          <w:rStyle w:val="aff4"/>
          <w:rFonts w:hint="cs"/>
          <w:vanish/>
          <w:rtl/>
        </w:rPr>
        <w:t>-</w:t>
      </w:r>
      <w:r>
        <w:rPr>
          <w:rFonts w:hint="cs"/>
          <w:rtl/>
        </w:rPr>
        <w:t xml:space="preserve"> </w:t>
      </w:r>
      <w:r>
        <w:rPr>
          <w:rStyle w:val="af2"/>
          <w:rFonts w:eastAsia="Guttman Hodes" w:hint="cs"/>
          <w:rtl/>
        </w:rPr>
        <w:t>(עי</w:t>
      </w:r>
      <w:r>
        <w:rPr>
          <w:rStyle w:val="af2"/>
          <w:rFonts w:eastAsia="Guttman Hodes"/>
          <w:rtl/>
        </w:rPr>
        <w:t>'</w:t>
      </w:r>
      <w:r w:rsidRPr="00C962CD">
        <w:rPr>
          <w:rStyle w:val="af2"/>
          <w:rFonts w:eastAsia="Guttman Hodes" w:hint="cs"/>
          <w:rtl/>
        </w:rPr>
        <w:t xml:space="preserve">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Ref143549459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כה)</w:t>
      </w:r>
      <w:r>
        <w:rPr>
          <w:rStyle w:val="af2"/>
          <w:rFonts w:eastAsia="Guttman Hodes"/>
          <w:rtl/>
        </w:rPr>
        <w:fldChar w:fldCharType="end"/>
      </w:r>
      <w:r w:rsidRPr="00ED6CBD">
        <w:rPr>
          <w:rStyle w:val="af2"/>
          <w:rFonts w:eastAsia="Guttman Hodes" w:hint="cs"/>
          <w:rtl/>
        </w:rPr>
        <w:t xml:space="preserve"> </w:t>
      </w:r>
      <w:r w:rsidRPr="00E15303">
        <w:rPr>
          <w:rFonts w:hint="cs"/>
          <w:rtl/>
        </w:rPr>
        <w:t xml:space="preserve">בדעת </w:t>
      </w:r>
      <w:r w:rsidRPr="00E15303">
        <w:rPr>
          <w:rStyle w:val="aff4"/>
          <w:rFonts w:hint="cs"/>
          <w:vanish/>
          <w:rtl/>
        </w:rPr>
        <w:t>-</w:t>
      </w:r>
      <w:r w:rsidRPr="00E15303">
        <w:rPr>
          <w:rStyle w:val="aff4"/>
          <w:rFonts w:hint="cs"/>
          <w:rtl/>
        </w:rPr>
        <w:t>הרמב"ם</w:t>
      </w:r>
      <w:bookmarkEnd w:id="5526"/>
      <w:r w:rsidRPr="00E15303">
        <w:rPr>
          <w:rStyle w:val="aff4"/>
          <w:rFonts w:hint="cs"/>
          <w:vanish/>
          <w:rtl/>
        </w:rPr>
        <w:t>-</w:t>
      </w:r>
      <w:r>
        <w:rPr>
          <w:rFonts w:hint="cs"/>
          <w:rtl/>
        </w:rPr>
        <w:t xml:space="preserve"> </w:t>
      </w:r>
    </w:p>
    <w:p w14:paraId="5FE592F6" w14:textId="77777777" w:rsidR="003E1AA3" w:rsidRPr="00BC7DC8" w:rsidRDefault="003E1AA3" w:rsidP="003E1AA3">
      <w:pPr>
        <w:pStyle w:val="afffffe"/>
        <w:rPr>
          <w:vanish/>
          <w:rtl/>
        </w:rPr>
      </w:pPr>
      <w:r w:rsidRPr="00BC7DC8">
        <w:rPr>
          <w:vanish/>
          <w:rtl/>
        </w:rPr>
        <w:t>תוספות שבת ע"ד ע"ב</w:t>
      </w:r>
      <w:r w:rsidRPr="00BC7DC8">
        <w:rPr>
          <w:rFonts w:hint="cs"/>
          <w:vanish/>
          <w:rtl/>
        </w:rPr>
        <w:t xml:space="preserve"> ד"ה חביתא</w:t>
      </w:r>
    </w:p>
    <w:p w14:paraId="0543CD93" w14:textId="77777777" w:rsidR="003E1AA3" w:rsidRPr="002E340A" w:rsidRDefault="003E1AA3" w:rsidP="003E1AA3">
      <w:pPr>
        <w:pStyle w:val="a2"/>
        <w:tabs>
          <w:tab w:val="num" w:pos="284"/>
        </w:tabs>
        <w:rPr>
          <w:rtl/>
        </w:rPr>
      </w:pPr>
      <w:r w:rsidRPr="002E340A">
        <w:rPr>
          <w:rtl/>
        </w:rPr>
        <w:t>חביתא ותנורא וחלתא - פי' רש"י דמשום בונה לא מיחייב דאין בנין בכלים ואין נראה דדוקא במחזיר מטה ומנורה של חוליות אמרי' דאין בנין בכלים אבל כשעושה לגמרי כל הכלי מיחייב משום בונה דאמרינן בריש הבונה (לקמן דף קב:) האי מאן דעייל שופתא בקופינא דמרא חייב משום בונה.</w:t>
      </w:r>
    </w:p>
    <w:p w14:paraId="15322A97" w14:textId="77777777" w:rsidR="003E1AA3" w:rsidRPr="00FC269C" w:rsidRDefault="003E1AA3" w:rsidP="003E1AA3">
      <w:pPr>
        <w:pStyle w:val="afffff7"/>
        <w:rPr>
          <w:rtl/>
        </w:rPr>
      </w:pPr>
      <w:bookmarkStart w:id="5527" w:name="_Toc143620479"/>
      <w:bookmarkStart w:id="5528" w:name="_Toc145198443"/>
      <w:bookmarkStart w:id="5529" w:name="_Toc145223227"/>
      <w:bookmarkStart w:id="5530" w:name="_Toc145234026"/>
      <w:bookmarkStart w:id="5531" w:name="_Toc143614365"/>
      <w:bookmarkStart w:id="5532" w:name="_Toc163506284"/>
      <w:r w:rsidRPr="00FC269C">
        <w:rPr>
          <w:rtl/>
        </w:rPr>
        <w:t>מרומי שדה שבת נ"ז ע"א</w:t>
      </w:r>
      <w:r w:rsidRPr="00FC269C">
        <w:rPr>
          <w:rFonts w:hint="cs"/>
          <w:rtl/>
        </w:rPr>
        <w:t xml:space="preserve"> ד"ה במשנה</w:t>
      </w:r>
      <w:bookmarkEnd w:id="5527"/>
      <w:bookmarkEnd w:id="5528"/>
      <w:bookmarkEnd w:id="5529"/>
      <w:bookmarkEnd w:id="5530"/>
      <w:bookmarkEnd w:id="5532"/>
    </w:p>
    <w:p w14:paraId="4098A072" w14:textId="77777777" w:rsidR="003E1AA3" w:rsidRPr="00FC269C" w:rsidRDefault="003E1AA3" w:rsidP="003E1AA3">
      <w:pPr>
        <w:pStyle w:val="afffff7"/>
        <w:rPr>
          <w:rtl/>
        </w:rPr>
      </w:pPr>
      <w:bookmarkStart w:id="5533" w:name="_Toc143620480"/>
      <w:bookmarkStart w:id="5534" w:name="_Toc145198444"/>
      <w:bookmarkStart w:id="5535" w:name="_Toc145223228"/>
      <w:bookmarkStart w:id="5536" w:name="_Toc145234027"/>
      <w:bookmarkStart w:id="5537" w:name="_Toc163506285"/>
      <w:r w:rsidRPr="00FC269C">
        <w:rPr>
          <w:rtl/>
        </w:rPr>
        <w:t>קרבן העדה שבת פ"ז ה</w:t>
      </w:r>
      <w:r w:rsidRPr="00FC269C">
        <w:rPr>
          <w:rFonts w:hint="cs"/>
          <w:rtl/>
        </w:rPr>
        <w:t>"</w:t>
      </w:r>
      <w:r w:rsidRPr="00FC269C">
        <w:rPr>
          <w:rtl/>
        </w:rPr>
        <w:t>ב</w:t>
      </w:r>
      <w:r w:rsidRPr="00FC269C">
        <w:rPr>
          <w:rFonts w:hint="cs"/>
          <w:rtl/>
        </w:rPr>
        <w:t xml:space="preserve"> ד"ה הנופח</w:t>
      </w:r>
      <w:bookmarkEnd w:id="5533"/>
      <w:bookmarkEnd w:id="5534"/>
      <w:bookmarkEnd w:id="5535"/>
      <w:bookmarkEnd w:id="5536"/>
      <w:bookmarkEnd w:id="5537"/>
    </w:p>
    <w:p w14:paraId="3A501B18" w14:textId="77777777" w:rsidR="003E1AA3" w:rsidRDefault="003E1AA3" w:rsidP="003E1AA3">
      <w:pPr>
        <w:pStyle w:val="a7"/>
        <w:rPr>
          <w:rtl/>
        </w:rPr>
      </w:pPr>
      <w:bookmarkStart w:id="5538" w:name="_Toc145222982"/>
      <w:bookmarkStart w:id="5539" w:name="_Toc145223165"/>
      <w:bookmarkStart w:id="5540" w:name="_Toc145233921"/>
      <w:r>
        <w:rPr>
          <w:rFonts w:hint="cs"/>
          <w:rtl/>
        </w:rPr>
        <w:t>קו' התוס' דאמאי הנופח כלי זכוכית ל"ה בונה ובי' הנצי"ב דהירושלמי פליג וס"ל דהוי בונה</w:t>
      </w:r>
      <w:bookmarkEnd w:id="5531"/>
      <w:bookmarkEnd w:id="5538"/>
      <w:bookmarkEnd w:id="5539"/>
      <w:bookmarkEnd w:id="5540"/>
    </w:p>
    <w:p w14:paraId="2E2C2DDA" w14:textId="3A57EC49" w:rsidR="003E1AA3" w:rsidRPr="00C577D6" w:rsidRDefault="003E1AA3" w:rsidP="00BC7DC8">
      <w:pPr>
        <w:pStyle w:val="a3"/>
        <w:rPr>
          <w:rtl/>
        </w:rPr>
      </w:pPr>
      <w:r>
        <w:rPr>
          <w:rFonts w:hint="cs"/>
          <w:rtl/>
        </w:rPr>
        <w:t xml:space="preserve">אך הקשו </w:t>
      </w:r>
      <w:r w:rsidRPr="001A2014">
        <w:rPr>
          <w:rStyle w:val="aff4"/>
          <w:rFonts w:hint="cs"/>
          <w:vanish/>
          <w:rtl/>
        </w:rPr>
        <w:t>-</w:t>
      </w:r>
      <w:r w:rsidRPr="001A2014">
        <w:rPr>
          <w:rStyle w:val="aff4"/>
          <w:rFonts w:hint="cs"/>
          <w:rtl/>
        </w:rPr>
        <w:t>התוס'</w:t>
      </w:r>
      <w:r w:rsidRPr="00C56FA9">
        <w:rPr>
          <w:rStyle w:val="aff4"/>
          <w:rFonts w:hint="cs"/>
          <w:rtl/>
        </w:rPr>
        <w:t xml:space="preserve"> לעיל</w:t>
      </w:r>
      <w:r w:rsidRPr="00B90D00">
        <w:rPr>
          <w:rStyle w:val="aff4"/>
          <w:rFonts w:hint="cs"/>
          <w:vanish/>
          <w:rtl/>
        </w:rPr>
        <w:t>-</w:t>
      </w:r>
      <w:r>
        <w:rPr>
          <w:rFonts w:hint="cs"/>
          <w:rtl/>
        </w:rPr>
        <w:t xml:space="preserve"> דאיתא בגמ' לעיל </w:t>
      </w:r>
      <w:r w:rsidRPr="00C962CD">
        <w:rPr>
          <w:rStyle w:val="af2"/>
          <w:rFonts w:eastAsia="Guttman Hodes" w:hint="cs"/>
          <w:rtl/>
        </w:rPr>
        <w:t>(עה:)</w:t>
      </w:r>
      <w:r>
        <w:rPr>
          <w:rFonts w:hint="cs"/>
          <w:rtl/>
        </w:rPr>
        <w:t xml:space="preserve"> דהמנפח כלי זכוכית חייב משום מכה בפטיש, ומשמע דאין בזה חיוב בונה, הביא </w:t>
      </w:r>
      <w:r w:rsidRPr="001B1FAC">
        <w:rPr>
          <w:rStyle w:val="aff4"/>
          <w:rFonts w:hint="cs"/>
          <w:vanish/>
          <w:rtl/>
        </w:rPr>
        <w:t>-</w:t>
      </w:r>
      <w:r w:rsidRPr="00DB1D3B">
        <w:rPr>
          <w:rStyle w:val="aff4"/>
          <w:rFonts w:hint="cs"/>
          <w:rtl/>
        </w:rPr>
        <w:t>ה</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Ref143549634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לא)</w:t>
      </w:r>
      <w:r w:rsidRPr="00FF7D8F">
        <w:rPr>
          <w:rStyle w:val="aff4"/>
          <w:vanish/>
          <w:rtl/>
        </w:rPr>
        <w:fldChar w:fldCharType="end"/>
      </w:r>
      <w:r w:rsidRPr="00FF7D8F">
        <w:rPr>
          <w:rStyle w:val="aff4"/>
          <w:rFonts w:hint="cs"/>
          <w:vanish/>
          <w:rtl/>
        </w:rPr>
        <w:t xml:space="preserve"> &gt;</w:t>
      </w:r>
      <w:r w:rsidRPr="00DB1D3B">
        <w:rPr>
          <w:rStyle w:val="aff4"/>
          <w:rFonts w:hint="cs"/>
          <w:rtl/>
        </w:rPr>
        <w:t>נצי"ב</w:t>
      </w:r>
      <w:r w:rsidRPr="001B1FAC">
        <w:rPr>
          <w:rStyle w:val="aff4"/>
          <w:rFonts w:hint="cs"/>
          <w:vanish/>
          <w:rtl/>
        </w:rPr>
        <w:t>-</w:t>
      </w:r>
      <w:r>
        <w:rPr>
          <w:rFonts w:hint="cs"/>
          <w:rtl/>
        </w:rPr>
        <w:t xml:space="preserve"> </w:t>
      </w:r>
      <w:r w:rsidRPr="00C962CD">
        <w:rPr>
          <w:rStyle w:val="af2"/>
          <w:rFonts w:eastAsia="Guttman Hodes" w:hint="cs"/>
          <w:rtl/>
        </w:rPr>
        <w:t>(נז. ד"ה במשנה)</w:t>
      </w:r>
      <w:r w:rsidRPr="001B1FAC">
        <w:rPr>
          <w:rFonts w:hint="cs"/>
          <w:vanish/>
          <w:rtl/>
        </w:rPr>
        <w:t>=</w:t>
      </w:r>
      <w:r>
        <w:rPr>
          <w:rFonts w:hint="cs"/>
          <w:rtl/>
        </w:rPr>
        <w:t xml:space="preserve"> דבאמת בירושלמי </w:t>
      </w:r>
      <w:r w:rsidRPr="00C962CD">
        <w:rPr>
          <w:rStyle w:val="af2"/>
          <w:rFonts w:eastAsia="Guttman Hodes"/>
          <w:rtl/>
        </w:rPr>
        <w:t>(פ"ז ה"ב, נב:, מהדו' עוז והדר סד</w:t>
      </w:r>
      <w:r w:rsidRPr="00C962CD">
        <w:rPr>
          <w:rStyle w:val="af2"/>
          <w:rFonts w:eastAsia="Guttman Hodes" w:hint="cs"/>
          <w:rtl/>
        </w:rPr>
        <w:t>:</w:t>
      </w:r>
      <w:r w:rsidRPr="00C962CD">
        <w:rPr>
          <w:rStyle w:val="af2"/>
          <w:rFonts w:eastAsia="Guttman Hodes"/>
          <w:rtl/>
        </w:rPr>
        <w:t>)</w:t>
      </w:r>
      <w:r w:rsidRPr="00BB34F5">
        <w:rPr>
          <w:rtl/>
        </w:rPr>
        <w:t xml:space="preserve"> </w:t>
      </w:r>
      <w:r>
        <w:rPr>
          <w:rFonts w:hint="cs"/>
          <w:rtl/>
        </w:rPr>
        <w:t xml:space="preserve">איתא דחייב משום בונה ודלא כבבלי, וביאר </w:t>
      </w:r>
      <w:r w:rsidRPr="001B1FAC">
        <w:rPr>
          <w:rStyle w:val="aff4"/>
          <w:rFonts w:hint="cs"/>
          <w:vanish/>
          <w:rtl/>
        </w:rPr>
        <w:t>-</w:t>
      </w:r>
      <w:r w:rsidRPr="00DB1D3B">
        <w:rPr>
          <w:rStyle w:val="aff4"/>
          <w:rFonts w:hint="cs"/>
          <w:rtl/>
        </w:rPr>
        <w:t>ה</w:t>
      </w:r>
      <w:r w:rsidRPr="00FF7D8F">
        <w:rPr>
          <w:rStyle w:val="aff4"/>
          <w:rFonts w:hint="cs"/>
          <w:vanish/>
          <w:rtl/>
        </w:rPr>
        <w:t>&lt; &gt;</w:t>
      </w:r>
      <w:r w:rsidRPr="00DB1D3B">
        <w:rPr>
          <w:rStyle w:val="aff4"/>
          <w:rFonts w:hint="cs"/>
          <w:rtl/>
        </w:rPr>
        <w:t>קרבן העדה</w:t>
      </w:r>
      <w:r w:rsidRPr="001B1FAC">
        <w:rPr>
          <w:rStyle w:val="aff4"/>
          <w:rFonts w:hint="cs"/>
          <w:vanish/>
          <w:rtl/>
        </w:rPr>
        <w:t>-</w:t>
      </w:r>
      <w:r>
        <w:rPr>
          <w:rFonts w:hint="cs"/>
          <w:rtl/>
        </w:rPr>
        <w:t xml:space="preserve"> </w:t>
      </w:r>
      <w:r w:rsidRPr="00C962CD">
        <w:rPr>
          <w:rStyle w:val="af2"/>
          <w:rFonts w:eastAsia="Guttman Hodes" w:hint="cs"/>
          <w:rtl/>
        </w:rPr>
        <w:t>(פ"ז ה"ב, נב: ד"ה הנופח)</w:t>
      </w:r>
      <w:r w:rsidRPr="001B1FAC">
        <w:rPr>
          <w:rFonts w:hint="cs"/>
          <w:vanish/>
          <w:rtl/>
        </w:rPr>
        <w:t>=</w:t>
      </w:r>
      <w:r>
        <w:rPr>
          <w:rFonts w:hint="cs"/>
          <w:rtl/>
        </w:rPr>
        <w:t xml:space="preserve"> דהחיוב הוא בתחילת עשיית הכלי דעיקר הווית הכלי היא ע"י שנופח, ועי' במה שביאר בזה </w:t>
      </w:r>
      <w:r w:rsidRPr="001B1FAC">
        <w:rPr>
          <w:rStyle w:val="aff4"/>
          <w:rFonts w:hint="cs"/>
          <w:vanish/>
          <w:rtl/>
        </w:rPr>
        <w:t>-</w:t>
      </w:r>
      <w:r>
        <w:rPr>
          <w:rStyle w:val="aff4"/>
          <w:rFonts w:hint="cs"/>
          <w:rtl/>
        </w:rPr>
        <w:t>האחרונים</w:t>
      </w:r>
      <w:r w:rsidRPr="001B1FAC">
        <w:rPr>
          <w:rStyle w:val="aff4"/>
          <w:rFonts w:hint="cs"/>
          <w:vanish/>
          <w:rtl/>
        </w:rPr>
        <w:t>-</w:t>
      </w:r>
      <w:r>
        <w:rPr>
          <w:rFonts w:hint="cs"/>
          <w:rtl/>
        </w:rPr>
        <w:t xml:space="preserve"> </w:t>
      </w:r>
      <w:r w:rsidRPr="005A2E7F">
        <w:rPr>
          <w:sz w:val="12"/>
          <w:szCs w:val="14"/>
          <w:rtl/>
        </w:rPr>
        <w:t>[</w:t>
      </w:r>
      <w:r>
        <w:rPr>
          <w:rFonts w:hint="cs"/>
          <w:sz w:val="12"/>
          <w:szCs w:val="14"/>
          <w:rtl/>
        </w:rPr>
        <w:t>אי"ה יובאו דבריהם בהמשך</w:t>
      </w:r>
      <w:r w:rsidRPr="005A2E7F">
        <w:rPr>
          <w:sz w:val="12"/>
          <w:szCs w:val="14"/>
          <w:rtl/>
        </w:rPr>
        <w:t>]</w:t>
      </w:r>
      <w:r>
        <w:rPr>
          <w:rFonts w:hint="cs"/>
          <w:rtl/>
        </w:rPr>
        <w:t xml:space="preserve"> בדעת </w:t>
      </w:r>
      <w:r w:rsidRPr="001B1FAC">
        <w:rPr>
          <w:rStyle w:val="aff4"/>
          <w:rFonts w:hint="cs"/>
          <w:vanish/>
          <w:rtl/>
        </w:rPr>
        <w:t>-</w:t>
      </w:r>
      <w:r w:rsidRPr="009961C0">
        <w:rPr>
          <w:rStyle w:val="aff4"/>
          <w:rFonts w:hint="cs"/>
          <w:rtl/>
        </w:rPr>
        <w:t>התוס' ו</w:t>
      </w:r>
      <w:r w:rsidRPr="00DB1D3B">
        <w:rPr>
          <w:rStyle w:val="aff4"/>
          <w:rFonts w:hint="cs"/>
          <w:rtl/>
        </w:rPr>
        <w:t>הרמב"ם</w:t>
      </w:r>
      <w:r w:rsidRPr="001B1FAC">
        <w:rPr>
          <w:rStyle w:val="aff4"/>
          <w:rFonts w:hint="cs"/>
          <w:vanish/>
          <w:rtl/>
        </w:rPr>
        <w:t>-</w:t>
      </w:r>
      <w:r>
        <w:rPr>
          <w:rFonts w:hint="cs"/>
          <w:rtl/>
        </w:rPr>
        <w:t xml:space="preserve"> בדין קיבוץ חלקים ובמנפח כלי זכוכית. </w:t>
      </w:r>
    </w:p>
    <w:p w14:paraId="6FE7DEA2" w14:textId="77777777" w:rsidR="003E1AA3" w:rsidRPr="00BC7DC8" w:rsidRDefault="003E1AA3" w:rsidP="003E1AA3">
      <w:pPr>
        <w:pStyle w:val="afffffe"/>
        <w:rPr>
          <w:vanish/>
          <w:rtl/>
        </w:rPr>
      </w:pPr>
      <w:r w:rsidRPr="00BC7DC8">
        <w:rPr>
          <w:vanish/>
          <w:rtl/>
        </w:rPr>
        <w:t>תוספות שבת ע"ד ע"ב</w:t>
      </w:r>
      <w:r w:rsidRPr="00BC7DC8">
        <w:rPr>
          <w:rFonts w:hint="cs"/>
          <w:vanish/>
          <w:rtl/>
        </w:rPr>
        <w:t xml:space="preserve"> ד"ה חביתא</w:t>
      </w:r>
    </w:p>
    <w:p w14:paraId="2D54CFE9" w14:textId="77777777" w:rsidR="003E1AA3" w:rsidRPr="0018388A" w:rsidRDefault="003E1AA3" w:rsidP="003E1AA3">
      <w:pPr>
        <w:pStyle w:val="a2"/>
        <w:tabs>
          <w:tab w:val="num" w:pos="284"/>
        </w:tabs>
        <w:rPr>
          <w:rtl/>
        </w:rPr>
      </w:pPr>
      <w:r w:rsidRPr="0018388A">
        <w:rPr>
          <w:rtl/>
        </w:rPr>
        <w:t>וצ"ע דלא ליקשי ממנפח בכלי זכוכית דסוף פרקין.</w:t>
      </w:r>
    </w:p>
    <w:p w14:paraId="29B8D638" w14:textId="77777777" w:rsidR="003E1AA3" w:rsidRPr="00BC7DC8" w:rsidRDefault="003E1AA3" w:rsidP="003E1AA3">
      <w:pPr>
        <w:pStyle w:val="afffffe"/>
        <w:rPr>
          <w:vanish/>
          <w:rtl/>
        </w:rPr>
      </w:pPr>
      <w:r w:rsidRPr="00BC7DC8">
        <w:rPr>
          <w:vanish/>
          <w:rtl/>
        </w:rPr>
        <w:t>מרומי שדה שבת נ"ז ע"א</w:t>
      </w:r>
      <w:r w:rsidRPr="00BC7DC8">
        <w:rPr>
          <w:rFonts w:hint="cs"/>
          <w:vanish/>
          <w:rtl/>
        </w:rPr>
        <w:t xml:space="preserve"> ד"ה במשנה</w:t>
      </w:r>
    </w:p>
    <w:p w14:paraId="32FEDB24" w14:textId="77777777" w:rsidR="003E1AA3" w:rsidRPr="002E340A" w:rsidRDefault="003E1AA3" w:rsidP="003E1AA3">
      <w:pPr>
        <w:pStyle w:val="afffff5"/>
        <w:rPr>
          <w:rtl/>
        </w:rPr>
      </w:pPr>
      <w:r w:rsidRPr="002E340A">
        <w:rPr>
          <w:rtl/>
        </w:rPr>
        <w:t xml:space="preserve">והתוס' דף ע"ד ב' ד"ה חביתא כתבו דהעושה לגמרי כל הכלי מיחייב משום בונה כו'. ונשארו בצ"ע דלא ליקשי מהא דמנפח בכלי זכוכית. אבל בדף ק"ב ב' ד"ה האי כתבו שאינו חייב משום בונה, אלא במקום שיש חיזוק ואומנות. א"כ י"ל דמנפח בכלי זכוכית אין בו מעשה אומנות, ואין בו משום בונה. והנה הירושלמי בפ' כלל גדול ס"ל בשם רשב"ל, דהמנפח בכלי זכוכית, והגדל כלי צורה והיינו חותל של תמרים, חייב משום בונה. והשתא להירושלמי דקולע חותל של תמרים יש בו משום בונה, ומכ"מ מותר לסתור, וה"ה בקליעת שער. אבל לתלמוד שלנו דהמנפח בכלי זכוכית אין בו משום בונה, וה"ה הגדל כלי צורה. ולא אסור אלא משום מכה בפטיש, וזה לא שייך בסתירה. וא"כ אין ראיה לקליעת שער, דהא ע"כ לרבנן דומה לבונה: </w:t>
      </w:r>
    </w:p>
    <w:p w14:paraId="7629C1C7" w14:textId="77777777" w:rsidR="003E1AA3" w:rsidRPr="00BC7DC8" w:rsidRDefault="003E1AA3" w:rsidP="003E1AA3">
      <w:pPr>
        <w:pStyle w:val="afffffe"/>
        <w:rPr>
          <w:vanish/>
          <w:rtl/>
        </w:rPr>
      </w:pPr>
      <w:r w:rsidRPr="00BC7DC8">
        <w:rPr>
          <w:vanish/>
          <w:rtl/>
        </w:rPr>
        <w:t>קרבן העדה שבת פ"ז ה</w:t>
      </w:r>
      <w:r w:rsidRPr="00BC7DC8">
        <w:rPr>
          <w:rFonts w:hint="cs"/>
          <w:vanish/>
          <w:rtl/>
        </w:rPr>
        <w:t>"</w:t>
      </w:r>
      <w:r w:rsidRPr="00BC7DC8">
        <w:rPr>
          <w:vanish/>
          <w:rtl/>
        </w:rPr>
        <w:t>ב</w:t>
      </w:r>
      <w:r w:rsidRPr="00BC7DC8">
        <w:rPr>
          <w:rFonts w:hint="cs"/>
          <w:vanish/>
          <w:rtl/>
        </w:rPr>
        <w:t xml:space="preserve"> ד"ה הנופח</w:t>
      </w:r>
    </w:p>
    <w:p w14:paraId="3AFBD6FF" w14:textId="77777777" w:rsidR="003E1AA3" w:rsidRPr="002E340A" w:rsidRDefault="003E1AA3" w:rsidP="003E1AA3">
      <w:pPr>
        <w:pStyle w:val="afffff5"/>
        <w:rPr>
          <w:rtl/>
        </w:rPr>
      </w:pPr>
      <w:r w:rsidRPr="002E340A">
        <w:rPr>
          <w:rtl/>
        </w:rPr>
        <w:t xml:space="preserve">הנופח כלי זכוכית. ובנפיחה זו הם נעשים גדולים והיינו בתחלת עשיית כלי זכוכית שעיקר הוויתו ע"י הנפיחה: </w:t>
      </w:r>
    </w:p>
    <w:p w14:paraId="6A73B719" w14:textId="77777777" w:rsidR="003E1AA3" w:rsidRPr="00FC269C" w:rsidRDefault="003E1AA3" w:rsidP="003E1AA3">
      <w:pPr>
        <w:pStyle w:val="afffff7"/>
        <w:rPr>
          <w:rtl/>
        </w:rPr>
      </w:pPr>
      <w:bookmarkStart w:id="5541" w:name="_Toc145234028"/>
      <w:bookmarkStart w:id="5542" w:name="_Toc163506286"/>
      <w:r w:rsidRPr="00FC269C">
        <w:rPr>
          <w:rtl/>
        </w:rPr>
        <w:t>פני יהושע שבת ע"ד ע"ב</w:t>
      </w:r>
      <w:r w:rsidRPr="00FC269C">
        <w:rPr>
          <w:rFonts w:hint="cs"/>
          <w:rtl/>
        </w:rPr>
        <w:t xml:space="preserve"> על תוד"ה חביתא</w:t>
      </w:r>
      <w:bookmarkStart w:id="5543" w:name="_Toc145019599"/>
      <w:bookmarkEnd w:id="5505"/>
      <w:bookmarkEnd w:id="5506"/>
      <w:bookmarkEnd w:id="5507"/>
      <w:bookmarkEnd w:id="5541"/>
      <w:bookmarkEnd w:id="5542"/>
    </w:p>
    <w:p w14:paraId="74441857" w14:textId="77777777" w:rsidR="003E1AA3" w:rsidRDefault="003E1AA3" w:rsidP="003E1AA3">
      <w:pPr>
        <w:pStyle w:val="a7"/>
        <w:rPr>
          <w:rtl/>
        </w:rPr>
      </w:pPr>
      <w:bookmarkStart w:id="5544" w:name="_Toc143614366"/>
      <w:bookmarkStart w:id="5545" w:name="_Toc145222983"/>
      <w:bookmarkStart w:id="5546" w:name="_Toc145223166"/>
      <w:bookmarkStart w:id="5547" w:name="_Toc145233922"/>
      <w:r>
        <w:rPr>
          <w:rFonts w:hint="cs"/>
          <w:rtl/>
        </w:rPr>
        <w:t>בי' הפנ"י דאף רש"י מודה דעושה כלי מחדש הוי בונה אך היינו דוקא כשנגמרה המלאכה בזה</w:t>
      </w:r>
      <w:bookmarkEnd w:id="5544"/>
      <w:bookmarkEnd w:id="5545"/>
      <w:bookmarkEnd w:id="5546"/>
      <w:bookmarkEnd w:id="5547"/>
    </w:p>
    <w:p w14:paraId="7366AEC6" w14:textId="67E331A0" w:rsidR="003E1AA3" w:rsidRDefault="003E1AA3" w:rsidP="00BC7DC8">
      <w:pPr>
        <w:pStyle w:val="a3"/>
        <w:rPr>
          <w:rtl/>
        </w:rPr>
      </w:pPr>
      <w:r>
        <w:rPr>
          <w:rFonts w:hint="cs"/>
          <w:rtl/>
        </w:rPr>
        <w:t xml:space="preserve">כתב </w:t>
      </w:r>
      <w:r w:rsidRPr="00B90D00">
        <w:rPr>
          <w:rStyle w:val="aff4"/>
          <w:rFonts w:hint="cs"/>
          <w:vanish/>
          <w:rtl/>
        </w:rPr>
        <w:t>-</w:t>
      </w:r>
      <w:r w:rsidRPr="00C56FA9">
        <w:rPr>
          <w:rStyle w:val="aff4"/>
          <w:rFonts w:hint="cs"/>
          <w:rtl/>
        </w:rPr>
        <w:t>ה</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Ref143423627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לב)</w:t>
      </w:r>
      <w:r w:rsidRPr="00FF7D8F">
        <w:rPr>
          <w:rStyle w:val="aff4"/>
          <w:vanish/>
          <w:rtl/>
        </w:rPr>
        <w:fldChar w:fldCharType="end"/>
      </w:r>
      <w:r w:rsidRPr="00FF7D8F">
        <w:rPr>
          <w:rStyle w:val="aff4"/>
          <w:rFonts w:hint="cs"/>
          <w:vanish/>
          <w:rtl/>
        </w:rPr>
        <w:t xml:space="preserve"> &gt;</w:t>
      </w:r>
      <w:r w:rsidRPr="00C56FA9">
        <w:rPr>
          <w:rStyle w:val="aff4"/>
          <w:rFonts w:hint="cs"/>
          <w:rtl/>
        </w:rPr>
        <w:t>פנ"י לעיל</w:t>
      </w:r>
      <w:r w:rsidRPr="00B90D00">
        <w:rPr>
          <w:rStyle w:val="aff4"/>
          <w:rFonts w:hint="cs"/>
          <w:vanish/>
          <w:rtl/>
        </w:rPr>
        <w:t>-</w:t>
      </w:r>
      <w:r>
        <w:rPr>
          <w:rFonts w:hint="cs"/>
          <w:rtl/>
        </w:rPr>
        <w:t xml:space="preserve"> </w:t>
      </w:r>
      <w:r w:rsidRPr="00C962CD">
        <w:rPr>
          <w:rStyle w:val="af2"/>
          <w:rFonts w:eastAsia="Guttman Hodes" w:hint="cs"/>
          <w:rtl/>
        </w:rPr>
        <w:t>(עד: על תוד"ה חביתא)</w:t>
      </w:r>
      <w:r w:rsidRPr="00B90D00">
        <w:rPr>
          <w:rFonts w:hint="cs"/>
          <w:vanish/>
          <w:rtl/>
        </w:rPr>
        <w:t>=</w:t>
      </w:r>
      <w:r>
        <w:rPr>
          <w:rFonts w:hint="cs"/>
          <w:rtl/>
        </w:rPr>
        <w:t xml:space="preserve"> דנראה לומר דאף לדעת </w:t>
      </w:r>
      <w:r w:rsidRPr="00B90D00">
        <w:rPr>
          <w:rStyle w:val="aff4"/>
          <w:rFonts w:hint="cs"/>
          <w:vanish/>
          <w:rtl/>
        </w:rPr>
        <w:t>-</w:t>
      </w:r>
      <w:r w:rsidRPr="00C56FA9">
        <w:rPr>
          <w:rStyle w:val="aff4"/>
          <w:rFonts w:hint="cs"/>
          <w:rtl/>
        </w:rPr>
        <w:t>רש"י</w:t>
      </w:r>
      <w:r w:rsidRPr="00B90D00">
        <w:rPr>
          <w:rStyle w:val="aff4"/>
          <w:rFonts w:hint="cs"/>
          <w:vanish/>
          <w:rtl/>
        </w:rPr>
        <w:t>-</w:t>
      </w:r>
      <w:r>
        <w:rPr>
          <w:rFonts w:hint="cs"/>
          <w:rtl/>
        </w:rPr>
        <w:t xml:space="preserve"> </w:t>
      </w:r>
      <w:r w:rsidRPr="00371918">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Ref145186884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א)</w:t>
      </w:r>
      <w:r>
        <w:rPr>
          <w:rStyle w:val="af2"/>
          <w:rFonts w:eastAsia="Guttman Hodes"/>
          <w:rtl/>
        </w:rPr>
        <w:fldChar w:fldCharType="end"/>
      </w:r>
      <w:r>
        <w:rPr>
          <w:rFonts w:hint="cs"/>
          <w:rtl/>
        </w:rPr>
        <w:t xml:space="preserve"> יש חיוב בונה בעושה כלי גמור בשבת, ולא שייך לומר שיש אמורא דחולק בזה, דזה עיקר מלאכת המשכן, אלא דחיוב בונה הוא רק כלי שתחילת וגמר המלאכה נעשים כאחד, כמעייל שופתא בקופינא דמרא, אבל בתנורא וחביתא וחלתא שיש בהם עוד מלאכות, ועד שאינו גומר את כל המלאכה אינם ראויים כלל, לכן אין בהם חיוב בונה </w:t>
      </w:r>
      <w:r w:rsidRPr="00B90D00">
        <w:rPr>
          <w:rStyle w:val="aff4"/>
          <w:rFonts w:hint="cs"/>
          <w:vanish/>
          <w:rtl/>
        </w:rPr>
        <w:t>-</w:t>
      </w:r>
      <w:r w:rsidRPr="00C56FA9">
        <w:rPr>
          <w:rStyle w:val="aff4"/>
          <w:rFonts w:hint="cs"/>
          <w:rtl/>
        </w:rPr>
        <w:t>לרש"י</w:t>
      </w:r>
      <w:r w:rsidRPr="00B90D00">
        <w:rPr>
          <w:rStyle w:val="aff4"/>
          <w:rFonts w:hint="cs"/>
          <w:vanish/>
          <w:rtl/>
        </w:rPr>
        <w:t>-</w:t>
      </w:r>
      <w:r>
        <w:rPr>
          <w:rFonts w:hint="cs"/>
          <w:rtl/>
        </w:rPr>
        <w:t xml:space="preserve">, ודמו לארון ושולחן במשכן שיש בהם עוד מלאכות, וכתב </w:t>
      </w:r>
      <w:r w:rsidRPr="00B90D00">
        <w:rPr>
          <w:rStyle w:val="aff4"/>
          <w:rFonts w:hint="cs"/>
          <w:vanish/>
          <w:rtl/>
        </w:rPr>
        <w:t>-</w:t>
      </w:r>
      <w:r w:rsidRPr="00C56FA9">
        <w:rPr>
          <w:rStyle w:val="aff4"/>
          <w:rFonts w:hint="cs"/>
          <w:rtl/>
        </w:rPr>
        <w:t>הפנ"י</w:t>
      </w:r>
      <w:r w:rsidRPr="00B90D00">
        <w:rPr>
          <w:rStyle w:val="aff4"/>
          <w:rFonts w:hint="cs"/>
          <w:vanish/>
          <w:rtl/>
        </w:rPr>
        <w:t>-</w:t>
      </w:r>
      <w:r>
        <w:rPr>
          <w:rFonts w:hint="cs"/>
          <w:rtl/>
        </w:rPr>
        <w:t xml:space="preserve"> דלכן אמרינן בירושלמי </w:t>
      </w:r>
      <w:r w:rsidRPr="00C962CD">
        <w:rPr>
          <w:rStyle w:val="af2"/>
          <w:rFonts w:eastAsia="Guttman Hodes"/>
          <w:rtl/>
        </w:rPr>
        <w:t>(פ"ז ה"ב</w:t>
      </w:r>
      <w:r w:rsidRPr="00C962CD">
        <w:rPr>
          <w:rStyle w:val="af2"/>
          <w:rFonts w:eastAsia="Guttman Hodes" w:hint="cs"/>
          <w:rtl/>
        </w:rPr>
        <w:t>, נב:, מהדו' עוז והדר סד.</w:t>
      </w:r>
      <w:r w:rsidRPr="00C962CD">
        <w:rPr>
          <w:rStyle w:val="af2"/>
          <w:rFonts w:eastAsia="Guttman Hodes"/>
          <w:rtl/>
        </w:rPr>
        <w:t>)</w:t>
      </w:r>
      <w:r>
        <w:rPr>
          <w:rFonts w:hint="cs"/>
          <w:rtl/>
        </w:rPr>
        <w:t xml:space="preserve"> דהבנין במשכן הוא באדנים, ולא אמרינן דהבנין היה במזבח ובשולחן.</w:t>
      </w:r>
    </w:p>
    <w:p w14:paraId="454BD4CB" w14:textId="77777777" w:rsidR="003E1AA3" w:rsidRPr="00FC2169" w:rsidRDefault="003E1AA3" w:rsidP="003E1AA3">
      <w:pPr>
        <w:pStyle w:val="a2"/>
        <w:tabs>
          <w:tab w:val="num" w:pos="284"/>
        </w:tabs>
        <w:rPr>
          <w:rtl/>
        </w:rPr>
      </w:pPr>
      <w:r w:rsidRPr="0018388A">
        <w:rPr>
          <w:rtl/>
        </w:rPr>
        <w:t xml:space="preserve">בתוספות בד"ה חביתא ותנורא וחלתא פירש"י דמשום בונה לא מחייב וכו' ואין נראה דדוקא במחזיר וכו' עד סוף הדיבור. </w:t>
      </w:r>
      <w:r w:rsidRPr="00FC2169">
        <w:rPr>
          <w:rStyle w:val="afff7"/>
          <w:rtl/>
        </w:rPr>
        <w:t>עמ"ש מורי זקיני ז"ל בזה ליישב שיטת רש"י ע"פ הסוגיא דר"פ הבונה [דף ק"ב ע"ב] בהאי דעייל שופתא בקופינא דמרא ע"ש שנראה מדבריו דלרש"י רבא פליג אהך דרב דלקמן</w:t>
      </w:r>
      <w:r w:rsidRPr="00FC2169">
        <w:rPr>
          <w:rtl/>
        </w:rPr>
        <w:t xml:space="preserve">. אמנם לענ"ד בלא"ה כמו זר נחשב לומר דשום תנא או אמורא סבר דבעושה כלי גמור בשבת לא יתחייב משום מלאכה דהא ודאי מלאכה חשובה היא ובמשכן נמי הוי חשיבא טובא בעשיית ארון ומזבח ומנורה וכל כלי משכן. ולכאורה אדרבה עיקר מלאכת מחשבת דכתיב במשכן אהנך מלאכות קאי שצריך חכמה יתירה שנשתבח בהם בצלאל </w:t>
      </w:r>
      <w:r w:rsidRPr="00FC2169">
        <w:rPr>
          <w:rStyle w:val="afff7"/>
          <w:rtl/>
        </w:rPr>
        <w:t>ואהליאב דבכל הנך מלאכות השנויים במשנה לא אשכחן ע"י בצלאל ואהליאב בעצמן זולת בישול הסמנין ומכה בפטיש וכיוצא בהן דאפילו מלאכת אריגה וטוייה משמע בסמוך שנעשו על ידי נשים חכמות לב. וכה"ג קשיא לי על סוגיית ירושלמי דשמעתין [סוף הלכה ב'] ובר"פ הבונה [ריש הלכה א'] דקאמר מה בנין היה במשכן ומהדר לאשכוחי שהיו נותנין הקרשים לתוך אדנים ובהא נמי שקיל וטרי התם דכיון דאדנים כלים הוו כמו בנין ע"ג כלים דפטור וא"כ לשיטת התוס' דיש בנין בכלים גמורין וכדפרישית דמסברא נמי מילתא דפשיטא היא בפשיטות הו"ל למימר בירושלמי דאשכחן בנין במשכן בארון ושלחן וכל כלי משכן.</w:t>
      </w:r>
    </w:p>
    <w:p w14:paraId="092F5B1F" w14:textId="77777777" w:rsidR="003E1AA3" w:rsidRPr="00376323" w:rsidRDefault="003E1AA3" w:rsidP="003E1AA3">
      <w:pPr>
        <w:pStyle w:val="afffff5"/>
        <w:rPr>
          <w:rStyle w:val="afff7"/>
          <w:rtl/>
        </w:rPr>
      </w:pPr>
      <w:r w:rsidRPr="002E340A">
        <w:rPr>
          <w:rtl/>
        </w:rPr>
        <w:t>לכך נראה לענ"ד דלרש"י נמי עיקר פלוגתא דאין בנין בכלים היינו דומיא דמטה ומנורה של חוליות או אפילו בכה"ג דעייל שופתא בקופינא דמרא דמחייב ליה רב משום בונה משום דתחלת מלאכה וגמר מלאכה נעשין כאחד ומש"ה לרב חייב משום בונה ולשמואל משום מכה בפטיש משא"כ בשאר כלים גמורין שאין מלאכתן נעשית כאחת כי הנך דשמעתין בחביתא ותנורא וחלתא שצריכין לכמה מלאכות וכל כמה שלא נגמר מלאכתן לא חזי למידי לעיקר תשמישן עד שתגמר מלאכתן לגמרי מש"ה לא מחייב בהו משום בנין אלא משום מכה בפטיש היכא דשייך כמו שפי' רש"י לאפוקי חביתא שגמר מלאכתו נעשה מאיליו וא"כ לפי"ז אתי שפיר נמי סוגיית הירושלמי דבארון ושלחן וכל כלי משכן לא שייך בהו חיובא דבונה כיון דלא חזי לתשמישן אלא כשתגמר מלאכתן ואהאי שעתא ודאי מחייב משום מכה בפטיש</w:t>
      </w:r>
      <w:r w:rsidRPr="002E340A">
        <w:rPr>
          <w:rFonts w:hint="cs"/>
          <w:rtl/>
        </w:rPr>
        <w:t>.</w:t>
      </w:r>
      <w:r w:rsidRPr="002E340A">
        <w:rPr>
          <w:rtl/>
        </w:rPr>
        <w:t xml:space="preserve"> </w:t>
      </w:r>
      <w:r w:rsidRPr="00376323">
        <w:rPr>
          <w:rStyle w:val="afff7"/>
          <w:rtl/>
        </w:rPr>
        <w:t>ועיקר מלאכת מחשבת דמשכן אפילו בארון ושלחן וכיוצא בהן נמי בכה"ג איירי כגון רדידת הטסין ואפילו בדופני הארון והשולחן וכיוצא בהן שהיו של עץ נמי שייך גמר מלאכה בחליקת העצי שטים שיהא ראויין למלאכתן כשיעורן דבכה"ג אמרינן לקמן [דף ק"ב ע"ב] המסתת את האבן חייב משום מכה בפטיש וא"כ מהאי טעמא גופא איכא למימר דאפילו בכלים גמורין בכה"ג איכא למ"ד אין בנין בכלים דכיון שלא נעשו כלים גמורין אלא עם גמר מלאכתן מש"ה לא מחייב משום בונה אלא משום מכה בפטיש ודוקא בכה"ג דעייל שופתא בקופינא דמרא ועושה נקב בלול של תרנגולין מחייב רב [שם] משום בונה כיון שתחלת מלאכתן וגמר מלאכתן באין כאחד והיינו נמי טעמא דמגופת חבית כדפרישית לעיל בפרק במה טומנין (דף מ"ח ע"ב ד"ה תוס' ד"ה וכי) ע"ש:</w:t>
      </w:r>
    </w:p>
    <w:p w14:paraId="78C772E6" w14:textId="77777777" w:rsidR="003E1AA3" w:rsidRPr="00125CF3" w:rsidRDefault="003E1AA3" w:rsidP="003E1AA3">
      <w:pPr>
        <w:pStyle w:val="1"/>
        <w:rPr>
          <w:rtl/>
        </w:rPr>
      </w:pPr>
      <w:bookmarkStart w:id="5548" w:name="_Toc145233923"/>
      <w:r>
        <w:rPr>
          <w:rFonts w:hint="cs"/>
          <w:rtl/>
        </w:rPr>
        <w:t>בי' המ"מ ברמב"ם דעושה כלי מתחילתו בונה ול"ה בנין בכלים</w:t>
      </w:r>
      <w:bookmarkEnd w:id="5548"/>
      <w:r>
        <w:rPr>
          <w:rFonts w:hint="cs"/>
          <w:rtl/>
        </w:rPr>
        <w:t xml:space="preserve"> </w:t>
      </w:r>
    </w:p>
    <w:p w14:paraId="168FDC11" w14:textId="77777777" w:rsidR="003E1AA3" w:rsidRDefault="003E1AA3" w:rsidP="003E1AA3">
      <w:pPr>
        <w:pStyle w:val="afffff7"/>
        <w:rPr>
          <w:rtl/>
        </w:rPr>
      </w:pPr>
      <w:bookmarkStart w:id="5549" w:name="_Toc145234029"/>
      <w:bookmarkStart w:id="5550" w:name="_Toc163506287"/>
      <w:r>
        <w:rPr>
          <w:rtl/>
        </w:rPr>
        <w:t>רמב"ם שבת פ"י הי"ג</w:t>
      </w:r>
      <w:bookmarkEnd w:id="5549"/>
      <w:bookmarkEnd w:id="5550"/>
    </w:p>
    <w:p w14:paraId="27FA2B0E" w14:textId="77777777" w:rsidR="003E1AA3" w:rsidRDefault="003E1AA3" w:rsidP="003E1AA3">
      <w:pPr>
        <w:pStyle w:val="afffff7"/>
        <w:rPr>
          <w:rtl/>
        </w:rPr>
      </w:pPr>
      <w:bookmarkStart w:id="5551" w:name="_Toc145234030"/>
      <w:bookmarkStart w:id="5552" w:name="_Toc163506288"/>
      <w:r>
        <w:rPr>
          <w:rtl/>
        </w:rPr>
        <w:t>מגיד משנה שבת פ"י הי"ג</w:t>
      </w:r>
      <w:bookmarkEnd w:id="5551"/>
      <w:bookmarkEnd w:id="5552"/>
    </w:p>
    <w:p w14:paraId="43527860" w14:textId="77777777" w:rsidR="003E1AA3" w:rsidRPr="007B38EE" w:rsidRDefault="003E1AA3" w:rsidP="003E1AA3">
      <w:pPr>
        <w:pStyle w:val="a7"/>
      </w:pPr>
      <w:bookmarkStart w:id="5553" w:name="_Toc145233924"/>
      <w:r>
        <w:rPr>
          <w:rFonts w:hint="cs"/>
          <w:rtl/>
        </w:rPr>
        <w:t>בי' הרמב"ם דאוהל קבוע תולדה דבונה וכן העושה כלי אדמה ובי' המ"מ דעושה כלי מתחילתו</w:t>
      </w:r>
      <w:bookmarkEnd w:id="5553"/>
    </w:p>
    <w:p w14:paraId="4DE0CEDE" w14:textId="5A2470CB" w:rsidR="003E1AA3" w:rsidRDefault="003E1AA3" w:rsidP="00BC7DC8">
      <w:pPr>
        <w:pStyle w:val="a3"/>
      </w:pPr>
      <w:r>
        <w:rPr>
          <w:rFonts w:hint="cs"/>
          <w:rtl/>
        </w:rPr>
        <w:t xml:space="preserve">כתב </w:t>
      </w:r>
      <w:r w:rsidRPr="001A2014">
        <w:rPr>
          <w:rStyle w:val="aff4"/>
          <w:rFonts w:hint="cs"/>
          <w:vanish/>
          <w:rtl/>
        </w:rPr>
        <w:t>-</w:t>
      </w:r>
      <w:r w:rsidRPr="001A2014">
        <w:rPr>
          <w:rStyle w:val="aff4"/>
          <w:rFonts w:hint="cs"/>
          <w:rtl/>
        </w:rPr>
        <w:t>ה</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Ref141956430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כה)</w:t>
      </w:r>
      <w:r w:rsidRPr="00FF7D8F">
        <w:rPr>
          <w:rStyle w:val="aff4"/>
          <w:vanish/>
          <w:rtl/>
        </w:rPr>
        <w:fldChar w:fldCharType="end"/>
      </w:r>
      <w:r w:rsidRPr="00FF7D8F">
        <w:rPr>
          <w:rStyle w:val="aff4"/>
          <w:rFonts w:hint="cs"/>
          <w:vanish/>
          <w:rtl/>
        </w:rPr>
        <w:t xml:space="preserve"> &gt;</w:t>
      </w:r>
      <w:r w:rsidRPr="001A2014">
        <w:rPr>
          <w:rStyle w:val="aff4"/>
          <w:rFonts w:hint="cs"/>
          <w:rtl/>
        </w:rPr>
        <w:t>רמב"ם</w:t>
      </w:r>
      <w:r w:rsidRPr="001A2014">
        <w:rPr>
          <w:rStyle w:val="aff4"/>
          <w:rFonts w:hint="cs"/>
          <w:vanish/>
          <w:rtl/>
        </w:rPr>
        <w:t>-</w:t>
      </w:r>
      <w:r>
        <w:rPr>
          <w:rFonts w:hint="cs"/>
          <w:rtl/>
        </w:rPr>
        <w:t xml:space="preserve"> </w:t>
      </w:r>
      <w:r w:rsidRPr="00DB1D3B">
        <w:rPr>
          <w:rStyle w:val="af2"/>
          <w:rFonts w:eastAsia="Guttman Hodes" w:hint="cs"/>
          <w:rtl/>
        </w:rPr>
        <w:t>(שבת פ"י הי"ג)</w:t>
      </w:r>
      <w:r w:rsidRPr="001A2014">
        <w:rPr>
          <w:rFonts w:hint="cs"/>
          <w:vanish/>
          <w:rtl/>
        </w:rPr>
        <w:t>=</w:t>
      </w:r>
      <w:r>
        <w:rPr>
          <w:rFonts w:hint="cs"/>
          <w:rtl/>
        </w:rPr>
        <w:t xml:space="preserve"> דהעושה אוהל קבוע הוא תולדה דבונה וחייב, וכן העושה כלי אדמה כתנור וחבית לפני ששרפם דהוא תולדת בונה, וביאר </w:t>
      </w:r>
      <w:r w:rsidRPr="00EF4E3F">
        <w:rPr>
          <w:rStyle w:val="aff4"/>
          <w:rFonts w:hint="cs"/>
          <w:vanish/>
          <w:rtl/>
        </w:rPr>
        <w:t>-</w:t>
      </w:r>
      <w:r w:rsidRPr="00013089">
        <w:rPr>
          <w:rStyle w:val="aff4"/>
          <w:rFonts w:hint="cs"/>
          <w:rtl/>
        </w:rPr>
        <w:t>ה</w:t>
      </w:r>
      <w:r w:rsidRPr="00FF7D8F">
        <w:rPr>
          <w:rStyle w:val="aff4"/>
          <w:rFonts w:hint="cs"/>
          <w:vanish/>
          <w:rtl/>
        </w:rPr>
        <w:t>&lt; &gt;</w:t>
      </w:r>
      <w:r w:rsidRPr="00013089">
        <w:rPr>
          <w:rStyle w:val="aff4"/>
          <w:rFonts w:hint="cs"/>
          <w:rtl/>
        </w:rPr>
        <w:t>מ"מ</w:t>
      </w:r>
      <w:r w:rsidRPr="00EF4E3F">
        <w:rPr>
          <w:rStyle w:val="aff4"/>
          <w:rFonts w:hint="cs"/>
          <w:vanish/>
          <w:rtl/>
        </w:rPr>
        <w:t>-</w:t>
      </w:r>
      <w:r>
        <w:rPr>
          <w:rFonts w:hint="cs"/>
          <w:rtl/>
        </w:rPr>
        <w:t xml:space="preserve"> </w:t>
      </w:r>
      <w:r w:rsidRPr="00DB1D3B">
        <w:rPr>
          <w:rStyle w:val="af2"/>
          <w:rFonts w:eastAsia="Guttman Hodes" w:hint="cs"/>
          <w:rtl/>
        </w:rPr>
        <w:t>(שבת פ"י הי"ג)</w:t>
      </w:r>
      <w:r w:rsidRPr="00EF4E3F">
        <w:rPr>
          <w:rFonts w:hint="cs"/>
          <w:vanish/>
          <w:rtl/>
        </w:rPr>
        <w:t>=</w:t>
      </w:r>
      <w:r>
        <w:rPr>
          <w:rFonts w:hint="cs"/>
          <w:rtl/>
        </w:rPr>
        <w:t xml:space="preserve"> דמקור דברי </w:t>
      </w:r>
      <w:r w:rsidRPr="00D56DF6">
        <w:rPr>
          <w:rStyle w:val="aff4"/>
          <w:rFonts w:hint="cs"/>
          <w:vanish/>
          <w:rtl/>
        </w:rPr>
        <w:t>-</w:t>
      </w:r>
      <w:r w:rsidRPr="00C56FA9">
        <w:rPr>
          <w:rStyle w:val="aff4"/>
          <w:rFonts w:hint="cs"/>
          <w:rtl/>
        </w:rPr>
        <w:t>הרמב"ם</w:t>
      </w:r>
      <w:r w:rsidRPr="00D56DF6">
        <w:rPr>
          <w:rStyle w:val="aff4"/>
          <w:rFonts w:hint="cs"/>
          <w:vanish/>
          <w:rtl/>
        </w:rPr>
        <w:t>-</w:t>
      </w:r>
      <w:r>
        <w:rPr>
          <w:rFonts w:hint="cs"/>
          <w:rtl/>
        </w:rPr>
        <w:t xml:space="preserve"> הוא מדינא דחביתא בגמ' לעיל </w:t>
      </w:r>
      <w:r w:rsidRPr="00DB1D3B">
        <w:rPr>
          <w:rStyle w:val="af2"/>
          <w:rFonts w:eastAsia="Guttman Hodes" w:hint="cs"/>
          <w:rtl/>
        </w:rPr>
        <w:t>(עד:)</w:t>
      </w:r>
      <w:r>
        <w:rPr>
          <w:rFonts w:hint="cs"/>
          <w:rtl/>
        </w:rPr>
        <w:t xml:space="preserve">, והא דאמרינן דאין בנין בכלים הוא רק בכלים שהתפרקו ומחזירם, אבל העושה כלי מתחילתו אין לך בנין גדול מזה, ולא נקרא בנין בכלים אלא עושה כלי, וכן דעת </w:t>
      </w:r>
      <w:r w:rsidRPr="00EF4E3F">
        <w:rPr>
          <w:rStyle w:val="aff4"/>
          <w:rFonts w:hint="cs"/>
          <w:vanish/>
          <w:rtl/>
        </w:rPr>
        <w:t>-</w:t>
      </w:r>
      <w:r w:rsidRPr="00013089">
        <w:rPr>
          <w:rStyle w:val="aff4"/>
          <w:rFonts w:hint="cs"/>
          <w:rtl/>
        </w:rPr>
        <w:t>התוס'</w:t>
      </w:r>
      <w:r w:rsidRPr="00EF4E3F">
        <w:rPr>
          <w:rStyle w:val="aff4"/>
          <w:rFonts w:hint="cs"/>
          <w:vanish/>
          <w:rtl/>
        </w:rPr>
        <w:t>-</w:t>
      </w:r>
      <w:r>
        <w:rPr>
          <w:rFonts w:hint="cs"/>
          <w:rtl/>
        </w:rPr>
        <w:t xml:space="preserve"> </w:t>
      </w:r>
      <w:r w:rsidRPr="00DB1D3B">
        <w:rPr>
          <w:rStyle w:val="af2"/>
          <w:rFonts w:eastAsia="Guttman Hodes" w:hint="cs"/>
          <w:rtl/>
        </w:rPr>
        <w:t xml:space="preserve">(עי' אות </w:t>
      </w:r>
      <w:r w:rsidRPr="00DB1D3B">
        <w:rPr>
          <w:rStyle w:val="af2"/>
          <w:rFonts w:eastAsia="Guttman Hodes"/>
          <w:rtl/>
        </w:rPr>
        <w:fldChar w:fldCharType="begin"/>
      </w:r>
      <w:r w:rsidRPr="00DB1D3B">
        <w:rPr>
          <w:rStyle w:val="af2"/>
          <w:rFonts w:eastAsia="Guttman Hodes"/>
          <w:rtl/>
        </w:rPr>
        <w:instrText xml:space="preserve"> </w:instrText>
      </w:r>
      <w:r w:rsidRPr="00DB1D3B">
        <w:rPr>
          <w:rStyle w:val="af2"/>
          <w:rFonts w:eastAsia="Guttman Hodes" w:hint="cs"/>
        </w:rPr>
        <w:instrText>REF</w:instrText>
      </w:r>
      <w:r w:rsidRPr="00DB1D3B">
        <w:rPr>
          <w:rStyle w:val="af2"/>
          <w:rFonts w:eastAsia="Guttman Hodes" w:hint="cs"/>
          <w:rtl/>
        </w:rPr>
        <w:instrText xml:space="preserve"> _</w:instrText>
      </w:r>
      <w:r w:rsidRPr="00DB1D3B">
        <w:rPr>
          <w:rStyle w:val="af2"/>
          <w:rFonts w:eastAsia="Guttman Hodes" w:hint="cs"/>
        </w:rPr>
        <w:instrText>Ref143421447 \r \h</w:instrText>
      </w:r>
      <w:r w:rsidRPr="00DB1D3B">
        <w:rPr>
          <w:rStyle w:val="af2"/>
          <w:rFonts w:eastAsia="Guttman Hodes"/>
          <w:rtl/>
        </w:rPr>
        <w:instrText xml:space="preserve"> </w:instrText>
      </w:r>
      <w:r w:rsidRPr="00DB1D3B">
        <w:rPr>
          <w:rStyle w:val="af2"/>
          <w:rFonts w:eastAsia="Guttman Hodes"/>
          <w:rtl/>
        </w:rPr>
      </w:r>
      <w:r w:rsidRPr="00DB1D3B">
        <w:rPr>
          <w:rStyle w:val="af2"/>
          <w:rFonts w:eastAsia="Guttman Hodes"/>
          <w:rtl/>
        </w:rPr>
        <w:fldChar w:fldCharType="separate"/>
      </w:r>
      <w:r w:rsidR="00D82181">
        <w:rPr>
          <w:rStyle w:val="af2"/>
          <w:rFonts w:eastAsia="Guttman Hodes"/>
          <w:cs/>
        </w:rPr>
        <w:t>‎</w:t>
      </w:r>
      <w:r w:rsidR="00D82181">
        <w:rPr>
          <w:rStyle w:val="af2"/>
          <w:rFonts w:eastAsia="Guttman Hodes"/>
          <w:rtl/>
        </w:rPr>
        <w:t>ל)</w:t>
      </w:r>
      <w:r w:rsidRPr="00DB1D3B">
        <w:rPr>
          <w:rStyle w:val="af2"/>
          <w:rFonts w:eastAsia="Guttman Hodes"/>
          <w:rtl/>
        </w:rPr>
        <w:fldChar w:fldCharType="end"/>
      </w:r>
      <w:r>
        <w:rPr>
          <w:rFonts w:hint="cs"/>
          <w:rtl/>
        </w:rPr>
        <w:t xml:space="preserve">, וע"ע במ"ש </w:t>
      </w:r>
      <w:r w:rsidRPr="00EF4E3F">
        <w:rPr>
          <w:rStyle w:val="aff4"/>
          <w:rFonts w:hint="cs"/>
          <w:vanish/>
          <w:rtl/>
        </w:rPr>
        <w:t>-</w:t>
      </w:r>
      <w:r>
        <w:rPr>
          <w:rStyle w:val="aff4"/>
          <w:rFonts w:hint="cs"/>
          <w:rtl/>
        </w:rPr>
        <w:t>הרמב"ם</w:t>
      </w:r>
      <w:r w:rsidRPr="00EF4E3F">
        <w:rPr>
          <w:rStyle w:val="aff4"/>
          <w:rFonts w:hint="cs"/>
          <w:vanish/>
          <w:rtl/>
        </w:rPr>
        <w:t>-</w:t>
      </w:r>
      <w:r>
        <w:rPr>
          <w:rFonts w:hint="cs"/>
          <w:rtl/>
        </w:rPr>
        <w:t xml:space="preserve"> </w:t>
      </w:r>
      <w:r>
        <w:rPr>
          <w:rFonts w:hint="cs"/>
          <w:sz w:val="12"/>
          <w:szCs w:val="14"/>
          <w:rtl/>
        </w:rPr>
        <w:t>אי"ה יובאו דבריו בהמשך</w:t>
      </w:r>
      <w:r w:rsidRPr="005A2E7F">
        <w:rPr>
          <w:sz w:val="12"/>
          <w:szCs w:val="14"/>
          <w:rtl/>
        </w:rPr>
        <w:t>]</w:t>
      </w:r>
      <w:r>
        <w:rPr>
          <w:rtl/>
        </w:rPr>
        <w:t xml:space="preserve"> </w:t>
      </w:r>
      <w:r>
        <w:rPr>
          <w:rFonts w:hint="cs"/>
          <w:rtl/>
        </w:rPr>
        <w:t xml:space="preserve">בדין בנין בכלים, ובמה שביארו </w:t>
      </w:r>
      <w:r w:rsidRPr="00EF4E3F">
        <w:rPr>
          <w:rStyle w:val="aff4"/>
          <w:rFonts w:hint="cs"/>
          <w:vanish/>
          <w:rtl/>
        </w:rPr>
        <w:t>-</w:t>
      </w:r>
      <w:r w:rsidRPr="00EE7219">
        <w:rPr>
          <w:rStyle w:val="aff4"/>
          <w:rFonts w:hint="cs"/>
          <w:rtl/>
        </w:rPr>
        <w:t>הא</w:t>
      </w:r>
      <w:r>
        <w:rPr>
          <w:rStyle w:val="aff4"/>
          <w:rFonts w:hint="cs"/>
          <w:rtl/>
        </w:rPr>
        <w:t>חרונים</w:t>
      </w:r>
      <w:r w:rsidRPr="00EF4E3F">
        <w:rPr>
          <w:rStyle w:val="aff4"/>
          <w:rFonts w:hint="cs"/>
          <w:vanish/>
          <w:rtl/>
        </w:rPr>
        <w:t>-</w:t>
      </w:r>
      <w:r>
        <w:rPr>
          <w:rFonts w:hint="cs"/>
          <w:rtl/>
        </w:rPr>
        <w:t xml:space="preserve"> </w:t>
      </w:r>
      <w:r>
        <w:rPr>
          <w:rFonts w:hint="cs"/>
          <w:sz w:val="12"/>
          <w:szCs w:val="14"/>
          <w:rtl/>
        </w:rPr>
        <w:t>[אי"ה יובאו דבריהם בהמשך</w:t>
      </w:r>
      <w:r w:rsidRPr="005A2E7F">
        <w:rPr>
          <w:sz w:val="12"/>
          <w:szCs w:val="14"/>
          <w:rtl/>
        </w:rPr>
        <w:t>]</w:t>
      </w:r>
      <w:r>
        <w:rPr>
          <w:rtl/>
        </w:rPr>
        <w:t xml:space="preserve"> </w:t>
      </w:r>
      <w:r>
        <w:rPr>
          <w:rFonts w:hint="cs"/>
          <w:rtl/>
        </w:rPr>
        <w:t xml:space="preserve">בזה </w:t>
      </w:r>
    </w:p>
    <w:p w14:paraId="446D0C3D" w14:textId="77777777" w:rsidR="003E1AA3" w:rsidRPr="00BC7DC8" w:rsidRDefault="003E1AA3" w:rsidP="003E1AA3">
      <w:pPr>
        <w:pStyle w:val="afffffe"/>
        <w:rPr>
          <w:vanish/>
          <w:rtl/>
        </w:rPr>
      </w:pPr>
      <w:r w:rsidRPr="00BC7DC8">
        <w:rPr>
          <w:vanish/>
          <w:rtl/>
        </w:rPr>
        <w:t>רמב"ם שבת פ"י הי"ג</w:t>
      </w:r>
    </w:p>
    <w:p w14:paraId="267B6816" w14:textId="77777777" w:rsidR="003E1AA3" w:rsidRPr="00B55238" w:rsidRDefault="003E1AA3" w:rsidP="003E1AA3">
      <w:pPr>
        <w:pStyle w:val="a2"/>
        <w:tabs>
          <w:tab w:val="num" w:pos="284"/>
        </w:tabs>
      </w:pPr>
      <w:r w:rsidRPr="00B55238">
        <w:rPr>
          <w:rtl/>
        </w:rPr>
        <w:t>העושה אוהל קבוע הרי זה תולדת בונה וחייב</w:t>
      </w:r>
      <w:r w:rsidRPr="00B55238">
        <w:rPr>
          <w:rFonts w:hint="cs"/>
          <w:rtl/>
        </w:rPr>
        <w:t xml:space="preserve">, </w:t>
      </w:r>
      <w:r w:rsidRPr="00B55238">
        <w:rPr>
          <w:rtl/>
        </w:rPr>
        <w:t>וכן העושה כלי אדמה כגון תנור וחבית קודם שישרפו הרי זה תולדת בונה וחייב</w:t>
      </w:r>
      <w:r w:rsidRPr="00B55238">
        <w:rPr>
          <w:rFonts w:hint="cs"/>
          <w:rtl/>
        </w:rPr>
        <w:t>.</w:t>
      </w:r>
    </w:p>
    <w:p w14:paraId="6754EB5B" w14:textId="77777777" w:rsidR="003E1AA3" w:rsidRPr="00BC7DC8" w:rsidRDefault="003E1AA3" w:rsidP="003E1AA3">
      <w:pPr>
        <w:pStyle w:val="afffffe"/>
        <w:rPr>
          <w:vanish/>
          <w:rtl/>
        </w:rPr>
      </w:pPr>
      <w:r w:rsidRPr="00BC7DC8">
        <w:rPr>
          <w:vanish/>
          <w:rtl/>
        </w:rPr>
        <w:t>מגיד משנה שבת פ"י הי"ג</w:t>
      </w:r>
    </w:p>
    <w:p w14:paraId="3FD5FA52" w14:textId="77777777" w:rsidR="003E1AA3" w:rsidRPr="00954231" w:rsidRDefault="003E1AA3" w:rsidP="003E1AA3">
      <w:pPr>
        <w:pStyle w:val="afffff5"/>
        <w:rPr>
          <w:rtl/>
        </w:rPr>
      </w:pPr>
      <w:r w:rsidRPr="00954231">
        <w:rPr>
          <w:rtl/>
        </w:rPr>
        <w:t>וכן העושה וכו'. פ' כלל גדול (שם ע"ד:) אמר אביי האי מאן דעביד חביתא חייב ז' חטאות תנורא חייב ח' חטאות ואחד מהם הוא בונה. וכן פירשו הגאונים ז"ל וכן הוא בירושלמי. והענין שאע"פ שאמרו אין בנין בכלים זהו בכלים שנתפרקו להחזירן כמו שנתבאר פרק כ"ב. אבל העושה כלי מתחלתו אין לך בנין גדול מזה ואין נקרא זה בנין בכלים שהרי אינו כלי אלא עושה כלי. והשמועות מוכיחות כן כמ"ש הגאונים ז"ל ועיקר:</w:t>
      </w:r>
    </w:p>
    <w:p w14:paraId="0EF0E3B9" w14:textId="77777777" w:rsidR="003E1AA3" w:rsidRPr="005B4CAC" w:rsidRDefault="003E1AA3" w:rsidP="003E1AA3">
      <w:pPr>
        <w:pStyle w:val="afffff7"/>
        <w:rPr>
          <w:rtl/>
        </w:rPr>
      </w:pPr>
      <w:bookmarkStart w:id="5554" w:name="_Toc145234031"/>
      <w:bookmarkStart w:id="5555" w:name="_Toc163506289"/>
      <w:r w:rsidRPr="005B4CAC">
        <w:rPr>
          <w:rtl/>
        </w:rPr>
        <w:t>אור שמח שבת פ"י הי"ב</w:t>
      </w:r>
      <w:r w:rsidRPr="005B4CAC">
        <w:rPr>
          <w:rFonts w:hint="cs"/>
          <w:rtl/>
        </w:rPr>
        <w:t xml:space="preserve"> ד"ה </w:t>
      </w:r>
      <w:r w:rsidRPr="005B4CAC">
        <w:rPr>
          <w:rtl/>
        </w:rPr>
        <w:t>וכבר כתבתי</w:t>
      </w:r>
      <w:bookmarkEnd w:id="5554"/>
      <w:bookmarkEnd w:id="5555"/>
    </w:p>
    <w:p w14:paraId="4A5CF212" w14:textId="77777777" w:rsidR="003E1AA3" w:rsidRDefault="003E1AA3" w:rsidP="003E1AA3">
      <w:pPr>
        <w:pStyle w:val="a7"/>
        <w:rPr>
          <w:rtl/>
        </w:rPr>
      </w:pPr>
      <w:bookmarkStart w:id="5556" w:name="_Toc145233925"/>
      <w:r>
        <w:rPr>
          <w:rFonts w:hint="cs"/>
          <w:rtl/>
        </w:rPr>
        <w:t>בי' האו"ש דמבו' בירושלמי דגודל כלי צורה בונה והיינו כעושה כלי אך ק' מהירו' דכלי זכוכית</w:t>
      </w:r>
      <w:bookmarkEnd w:id="5556"/>
    </w:p>
    <w:p w14:paraId="6ABF696A" w14:textId="15B703B3" w:rsidR="003E1AA3" w:rsidRDefault="003E1AA3" w:rsidP="00BC7DC8">
      <w:pPr>
        <w:pStyle w:val="a3"/>
        <w:rPr>
          <w:rtl/>
        </w:rPr>
      </w:pPr>
      <w:r>
        <w:rPr>
          <w:rFonts w:hint="cs"/>
          <w:rtl/>
        </w:rPr>
        <w:t xml:space="preserve">וכתב </w:t>
      </w:r>
      <w:r w:rsidRPr="00C67D8B">
        <w:rPr>
          <w:rStyle w:val="aff4"/>
          <w:rFonts w:hint="cs"/>
          <w:vanish/>
          <w:rtl/>
        </w:rPr>
        <w:t>-</w:t>
      </w:r>
      <w:r w:rsidRPr="001A2014">
        <w:rPr>
          <w:rStyle w:val="aff4"/>
          <w:rFonts w:hint="cs"/>
          <w:rtl/>
        </w:rPr>
        <w:t>ה</w:t>
      </w:r>
      <w:r w:rsidRPr="00C67D8B">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Ref143594396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כו)</w:t>
      </w:r>
      <w:r>
        <w:rPr>
          <w:rStyle w:val="aff4"/>
          <w:vanish/>
          <w:rtl/>
        </w:rPr>
        <w:fldChar w:fldCharType="end"/>
      </w:r>
      <w:r w:rsidRPr="00C67D8B">
        <w:rPr>
          <w:rStyle w:val="aff4"/>
          <w:rFonts w:hint="cs"/>
          <w:vanish/>
          <w:rtl/>
        </w:rPr>
        <w:t xml:space="preserve"> &gt;</w:t>
      </w:r>
      <w:r w:rsidRPr="001A2014">
        <w:rPr>
          <w:rStyle w:val="aff4"/>
          <w:rFonts w:hint="cs"/>
          <w:rtl/>
        </w:rPr>
        <w:t>או"ש</w:t>
      </w:r>
      <w:r w:rsidRPr="00C67D8B">
        <w:rPr>
          <w:rStyle w:val="aff4"/>
          <w:rFonts w:hint="cs"/>
          <w:vanish/>
          <w:rtl/>
        </w:rPr>
        <w:t>-</w:t>
      </w:r>
      <w:r>
        <w:rPr>
          <w:rFonts w:hint="cs"/>
          <w:rtl/>
        </w:rPr>
        <w:t xml:space="preserve"> </w:t>
      </w:r>
      <w:r w:rsidRPr="00C67D8B">
        <w:rPr>
          <w:rStyle w:val="af2"/>
          <w:rFonts w:eastAsia="Guttman Hodes" w:hint="cs"/>
          <w:rtl/>
        </w:rPr>
        <w:t xml:space="preserve">(שבת פ"י הי"ב סוד"ה </w:t>
      </w:r>
      <w:r w:rsidRPr="00C67D8B">
        <w:rPr>
          <w:rStyle w:val="af2"/>
          <w:rFonts w:eastAsia="Guttman Hodes"/>
          <w:rtl/>
        </w:rPr>
        <w:t>וכבר כתבתי</w:t>
      </w:r>
      <w:r w:rsidRPr="00C67D8B">
        <w:rPr>
          <w:rStyle w:val="af2"/>
          <w:rFonts w:eastAsia="Guttman Hodes" w:hint="cs"/>
          <w:rtl/>
        </w:rPr>
        <w:t>)</w:t>
      </w:r>
      <w:r w:rsidRPr="00C67D8B">
        <w:rPr>
          <w:rFonts w:hint="cs"/>
          <w:vanish/>
          <w:rtl/>
        </w:rPr>
        <w:t>=</w:t>
      </w:r>
      <w:r>
        <w:rPr>
          <w:rFonts w:hint="cs"/>
          <w:rtl/>
        </w:rPr>
        <w:t xml:space="preserve"> דמ"ש </w:t>
      </w:r>
      <w:r w:rsidRPr="00C67D8B">
        <w:rPr>
          <w:rStyle w:val="aff4"/>
          <w:rFonts w:hint="cs"/>
          <w:vanish/>
          <w:rtl/>
        </w:rPr>
        <w:t>-</w:t>
      </w:r>
      <w:r w:rsidRPr="001A2014">
        <w:rPr>
          <w:rStyle w:val="aff4"/>
          <w:rFonts w:hint="cs"/>
          <w:rtl/>
        </w:rPr>
        <w:t>המ"מ</w:t>
      </w:r>
      <w:r w:rsidRPr="00C67D8B">
        <w:rPr>
          <w:rStyle w:val="aff4"/>
          <w:rFonts w:hint="cs"/>
          <w:vanish/>
          <w:rtl/>
        </w:rPr>
        <w:t>-</w:t>
      </w:r>
      <w:r>
        <w:rPr>
          <w:rFonts w:hint="cs"/>
          <w:rtl/>
        </w:rPr>
        <w:t xml:space="preserve"> דכן איתא בירושלמי, היינו כדאיתא בירושלמי </w:t>
      </w:r>
      <w:r w:rsidRPr="00C67D8B">
        <w:rPr>
          <w:rStyle w:val="af2"/>
          <w:rFonts w:eastAsia="Guttman Hodes"/>
          <w:rtl/>
        </w:rPr>
        <w:t>(פ"ז ה"ב</w:t>
      </w:r>
      <w:r w:rsidRPr="00C67D8B">
        <w:rPr>
          <w:rStyle w:val="af2"/>
          <w:rFonts w:eastAsia="Guttman Hodes" w:hint="cs"/>
          <w:rtl/>
        </w:rPr>
        <w:t>, נב:, מהדו' עוז והדר סד.)</w:t>
      </w:r>
      <w:r>
        <w:rPr>
          <w:rFonts w:hint="cs"/>
          <w:rtl/>
        </w:rPr>
        <w:t xml:space="preserve"> דהגודל </w:t>
      </w:r>
      <w:r>
        <w:rPr>
          <w:rFonts w:hint="cs"/>
          <w:rtl/>
        </w:rPr>
        <w:lastRenderedPageBreak/>
        <w:t xml:space="preserve">כלי צורה הוי בונה, אך הקשה </w:t>
      </w:r>
      <w:r w:rsidRPr="00C67D8B">
        <w:rPr>
          <w:rStyle w:val="aff4"/>
          <w:rFonts w:hint="cs"/>
          <w:vanish/>
          <w:rtl/>
        </w:rPr>
        <w:t>-</w:t>
      </w:r>
      <w:r w:rsidRPr="001A2014">
        <w:rPr>
          <w:rStyle w:val="aff4"/>
          <w:rFonts w:hint="cs"/>
          <w:rtl/>
        </w:rPr>
        <w:t>האו"ש</w:t>
      </w:r>
      <w:r w:rsidRPr="00C67D8B">
        <w:rPr>
          <w:rStyle w:val="aff4"/>
          <w:rFonts w:hint="cs"/>
          <w:vanish/>
          <w:rtl/>
        </w:rPr>
        <w:t>-</w:t>
      </w:r>
      <w:r>
        <w:rPr>
          <w:rFonts w:hint="cs"/>
          <w:rtl/>
        </w:rPr>
        <w:t xml:space="preserve"> דאיתא בירושלמי דהנופח בכלי זכוכית הוי בונה, כדהקשו </w:t>
      </w:r>
      <w:r w:rsidRPr="001A2014">
        <w:rPr>
          <w:rStyle w:val="aff4"/>
          <w:rFonts w:hint="cs"/>
          <w:vanish/>
          <w:rtl/>
        </w:rPr>
        <w:t>-</w:t>
      </w:r>
      <w:r w:rsidRPr="001A2014">
        <w:rPr>
          <w:rStyle w:val="aff4"/>
          <w:rFonts w:hint="cs"/>
          <w:rtl/>
        </w:rPr>
        <w:t>התוס'</w:t>
      </w:r>
      <w:r w:rsidRPr="001A2014">
        <w:rPr>
          <w:rStyle w:val="aff4"/>
          <w:rFonts w:hint="cs"/>
          <w:vanish/>
          <w:rtl/>
        </w:rPr>
        <w:t>-</w:t>
      </w:r>
      <w:r>
        <w:rPr>
          <w:rFonts w:hint="cs"/>
          <w:rtl/>
        </w:rPr>
        <w:t xml:space="preserve"> </w:t>
      </w:r>
      <w:r w:rsidRPr="00DB1D3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Ref143549634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לא)</w:t>
      </w:r>
      <w:r>
        <w:rPr>
          <w:rStyle w:val="af2"/>
          <w:rFonts w:eastAsia="Guttman Hodes"/>
          <w:rtl/>
        </w:rPr>
        <w:fldChar w:fldCharType="end"/>
      </w:r>
      <w:r>
        <w:rPr>
          <w:rFonts w:hint="cs"/>
          <w:rtl/>
        </w:rPr>
        <w:t>,</w:t>
      </w:r>
      <w:r w:rsidRPr="00197B44">
        <w:rPr>
          <w:rFonts w:hint="cs"/>
          <w:rtl/>
        </w:rPr>
        <w:t xml:space="preserve"> </w:t>
      </w:r>
      <w:r>
        <w:rPr>
          <w:rFonts w:hint="cs"/>
          <w:rtl/>
        </w:rPr>
        <w:t xml:space="preserve">ואילו בגמ' לעיל </w:t>
      </w:r>
      <w:r w:rsidRPr="00C67D8B">
        <w:rPr>
          <w:rStyle w:val="af2"/>
          <w:rFonts w:eastAsia="Guttman Hodes" w:hint="cs"/>
          <w:rtl/>
        </w:rPr>
        <w:t>(עה:)</w:t>
      </w:r>
      <w:r>
        <w:rPr>
          <w:rFonts w:hint="cs"/>
          <w:rtl/>
        </w:rPr>
        <w:t xml:space="preserve"> איתא דהמנפח כלי זכוכית חייב משום מכה בפטיש, ומשמע דאין בזה חיוב בונה.</w:t>
      </w:r>
    </w:p>
    <w:p w14:paraId="4C3BEF48" w14:textId="77777777" w:rsidR="003E1AA3" w:rsidRPr="00BC7DC8" w:rsidRDefault="003E1AA3" w:rsidP="003E1AA3">
      <w:pPr>
        <w:pStyle w:val="afffffe"/>
        <w:rPr>
          <w:vanish/>
          <w:rtl/>
        </w:rPr>
      </w:pPr>
      <w:r w:rsidRPr="00BC7DC8">
        <w:rPr>
          <w:vanish/>
          <w:rtl/>
        </w:rPr>
        <w:t>אור שמח שבת פ"י הי"ב</w:t>
      </w:r>
      <w:r w:rsidRPr="00BC7DC8">
        <w:rPr>
          <w:rFonts w:hint="cs"/>
          <w:vanish/>
          <w:rtl/>
        </w:rPr>
        <w:t xml:space="preserve"> ד"ה </w:t>
      </w:r>
      <w:r w:rsidRPr="00BC7DC8">
        <w:rPr>
          <w:vanish/>
          <w:rtl/>
        </w:rPr>
        <w:t>וכבר כתבתי</w:t>
      </w:r>
    </w:p>
    <w:p w14:paraId="32578CF3" w14:textId="77777777" w:rsidR="003E1AA3" w:rsidRPr="00B55238" w:rsidRDefault="003E1AA3" w:rsidP="003E1AA3">
      <w:pPr>
        <w:pStyle w:val="a2"/>
        <w:tabs>
          <w:tab w:val="num" w:pos="284"/>
        </w:tabs>
        <w:rPr>
          <w:rtl/>
        </w:rPr>
      </w:pPr>
      <w:r w:rsidRPr="00B55238">
        <w:rPr>
          <w:rtl/>
        </w:rPr>
        <w:t>והמגיד הביא ראיה מירושלמי (פ"ז ה"ב) דמפורש דהגודל כלי צורה חייב משום בונה, האמנם דבירושלמי אמר גבי הנופח בכלי זכוכית חייב משום בונה, ובבלי קאמר (שם עה, ב) הנופח בכלי זכוכית חייב משום מכה בפטיש, והתוספות (שם) העירו מהנופח בכלי זכוכית, ולא העירו מהירושלמי ודו"ק.</w:t>
      </w:r>
    </w:p>
    <w:p w14:paraId="63C7206A" w14:textId="77777777" w:rsidR="003E1AA3" w:rsidRDefault="003E1AA3" w:rsidP="003E1AA3">
      <w:pPr>
        <w:pStyle w:val="affff5"/>
        <w:rPr>
          <w:rtl/>
        </w:rPr>
      </w:pPr>
      <w:bookmarkStart w:id="5557" w:name="_Toc145233926"/>
      <w:bookmarkEnd w:id="5543"/>
      <w:r>
        <w:rPr>
          <w:rFonts w:hint="cs"/>
          <w:rtl/>
        </w:rPr>
        <w:t>ד' הרמב"ן דהחזרת אומן הוי בונה בכלי</w:t>
      </w:r>
      <w:bookmarkEnd w:id="5557"/>
      <w:r w:rsidRPr="0033376C">
        <w:rPr>
          <w:vanish/>
          <w:rtl/>
        </w:rPr>
        <w:t>&lt; # =</w:t>
      </w:r>
    </w:p>
    <w:p w14:paraId="6933700D" w14:textId="77777777" w:rsidR="003E1AA3" w:rsidRPr="008E07FB" w:rsidRDefault="003E1AA3" w:rsidP="003E1AA3">
      <w:pPr>
        <w:pStyle w:val="1"/>
        <w:rPr>
          <w:rtl/>
        </w:rPr>
      </w:pPr>
      <w:bookmarkStart w:id="5558" w:name="_Toc145233927"/>
      <w:r>
        <w:rPr>
          <w:rFonts w:hint="cs"/>
          <w:rtl/>
        </w:rPr>
        <w:t>בי' הרמב"ן דעושה כלי וכלי מפורק שצריך אומן להחזירו בונה</w:t>
      </w:r>
      <w:bookmarkEnd w:id="5558"/>
    </w:p>
    <w:p w14:paraId="755E91FD" w14:textId="77777777" w:rsidR="003E1AA3" w:rsidRPr="00BC7DC8" w:rsidRDefault="003E1AA3" w:rsidP="003E1AA3">
      <w:pPr>
        <w:pStyle w:val="afffffe"/>
        <w:rPr>
          <w:vanish/>
        </w:rPr>
      </w:pPr>
      <w:r w:rsidRPr="00BC7DC8">
        <w:rPr>
          <w:rFonts w:hint="cs"/>
          <w:vanish/>
          <w:rtl/>
        </w:rPr>
        <w:t>חדושי הרמב"ן שבת ק"ב ע"ב ד"ה רב</w:t>
      </w:r>
    </w:p>
    <w:p w14:paraId="48138CFF" w14:textId="77777777" w:rsidR="003E1AA3" w:rsidRPr="00F05D34" w:rsidRDefault="003E1AA3" w:rsidP="003E1AA3">
      <w:pPr>
        <w:pStyle w:val="a7"/>
        <w:rPr>
          <w:rtl/>
        </w:rPr>
      </w:pPr>
      <w:bookmarkStart w:id="5559" w:name="_Toc145233928"/>
      <w:r>
        <w:rPr>
          <w:rFonts w:hint="cs"/>
          <w:rtl/>
        </w:rPr>
        <w:t>בי' הרמב"ן דעושה ומתקן כלי בתחילה אין בנין גדול מזה דבלא היה כלי אינו בכלל בנין בכלים</w:t>
      </w:r>
      <w:bookmarkEnd w:id="5559"/>
    </w:p>
    <w:p w14:paraId="3114F6AB" w14:textId="3E002742" w:rsidR="003E1AA3" w:rsidRPr="00F05D34" w:rsidRDefault="003E1AA3" w:rsidP="00BC7DC8">
      <w:pPr>
        <w:pStyle w:val="a3"/>
      </w:pPr>
      <w:bookmarkStart w:id="5560" w:name="_Ref144287527"/>
      <w:bookmarkStart w:id="5561" w:name="_Ref145019915"/>
      <w:r w:rsidRPr="00F05D34">
        <w:rPr>
          <w:rFonts w:hint="cs"/>
          <w:rtl/>
        </w:rPr>
        <w:t>הקשה</w:t>
      </w:r>
      <w:r w:rsidRPr="00F05D34">
        <w:rPr>
          <w:rFonts w:hint="cs"/>
          <w:b/>
          <w:bCs/>
          <w:rtl/>
        </w:rPr>
        <w:t xml:space="preserve"> ה</w:t>
      </w:r>
      <w:r>
        <w:rPr>
          <w:rFonts w:hint="cs"/>
          <w:b/>
          <w:bCs/>
          <w:vanish/>
          <w:rtl/>
        </w:rPr>
        <w:t xml:space="preserve">&lt;, </w:t>
      </w:r>
      <w:r>
        <w:rPr>
          <w:b/>
          <w:bCs/>
          <w:vanish/>
          <w:rtl/>
        </w:rPr>
        <w:fldChar w:fldCharType="begin"/>
      </w:r>
      <w:r>
        <w:rPr>
          <w:b/>
          <w:bCs/>
          <w:vanish/>
          <w:rtl/>
        </w:rPr>
        <w:instrText xml:space="preserve"> </w:instrText>
      </w:r>
      <w:r>
        <w:rPr>
          <w:rFonts w:hint="cs"/>
          <w:b/>
          <w:bCs/>
          <w:vanish/>
        </w:rPr>
        <w:instrText>REF</w:instrText>
      </w:r>
      <w:r>
        <w:rPr>
          <w:rFonts w:hint="cs"/>
          <w:b/>
          <w:bCs/>
          <w:vanish/>
          <w:rtl/>
        </w:rPr>
        <w:instrText xml:space="preserve"> _</w:instrText>
      </w:r>
      <w:r>
        <w:rPr>
          <w:rFonts w:hint="cs"/>
          <w:b/>
          <w:bCs/>
          <w:vanish/>
        </w:rPr>
        <w:instrText>Ref145019915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לו)</w:t>
      </w:r>
      <w:r>
        <w:rPr>
          <w:b/>
          <w:bCs/>
          <w:vanish/>
          <w:rtl/>
        </w:rPr>
        <w:fldChar w:fldCharType="end"/>
      </w:r>
      <w:r>
        <w:rPr>
          <w:rFonts w:hint="cs"/>
          <w:b/>
          <w:bCs/>
          <w:vanish/>
          <w:rtl/>
        </w:rPr>
        <w:t xml:space="preserve"> &gt;</w:t>
      </w:r>
      <w:r w:rsidRPr="00F05D34">
        <w:rPr>
          <w:rFonts w:hint="cs"/>
          <w:b/>
          <w:bCs/>
          <w:vanish/>
          <w:rtl/>
        </w:rPr>
        <w:t xml:space="preserve"> </w:t>
      </w:r>
      <w:r w:rsidRPr="00F05D34">
        <w:rPr>
          <w:rFonts w:hint="cs"/>
          <w:b/>
          <w:bCs/>
          <w:rtl/>
        </w:rPr>
        <w:t xml:space="preserve">רמב"ן </w:t>
      </w:r>
      <w:r w:rsidRPr="00C962CD">
        <w:rPr>
          <w:rStyle w:val="af2"/>
          <w:rFonts w:eastAsia="Guttman Hodes" w:hint="cs"/>
          <w:rtl/>
        </w:rPr>
        <w:t>(ד"ה רב)</w:t>
      </w:r>
      <w:bookmarkEnd w:id="5560"/>
      <w:r w:rsidRPr="00F05D34">
        <w:rPr>
          <w:rFonts w:hint="cs"/>
          <w:vanish/>
          <w:rtl/>
        </w:rPr>
        <w:t>=</w:t>
      </w:r>
      <w:r w:rsidRPr="00F05D34">
        <w:rPr>
          <w:rFonts w:hint="cs"/>
          <w:rtl/>
        </w:rPr>
        <w:t xml:space="preserve"> על דברי רב דמחייב בשופתא דקופינא משום בונה, דהא קיי"ל בביצה </w:t>
      </w:r>
      <w:r w:rsidRPr="00C962CD">
        <w:rPr>
          <w:rStyle w:val="af2"/>
          <w:rFonts w:eastAsia="Guttman Hodes" w:hint="cs"/>
          <w:rtl/>
        </w:rPr>
        <w:t>(כב.)</w:t>
      </w:r>
      <w:r w:rsidRPr="00F05D34">
        <w:rPr>
          <w:rFonts w:hint="cs"/>
          <w:rtl/>
        </w:rPr>
        <w:t xml:space="preserve"> דאין בנין בכלים, ותירץ </w:t>
      </w:r>
      <w:r w:rsidRPr="00F05D34">
        <w:rPr>
          <w:b/>
          <w:bCs/>
          <w:rtl/>
        </w:rPr>
        <w:t xml:space="preserve">הרמב"ן </w:t>
      </w:r>
      <w:r w:rsidRPr="00F05D34">
        <w:rPr>
          <w:rFonts w:hint="cs"/>
          <w:rtl/>
        </w:rPr>
        <w:t xml:space="preserve">דהא דאין בנין בכלים, היינו בכלי מפורק כמנורה של חוליות, אבל בעשיית כלי או מתקן כלי מתחילתו יש בנין כיון דאין לך בנין גדול מזה, וביאר </w:t>
      </w:r>
      <w:r w:rsidRPr="00F05D34">
        <w:rPr>
          <w:b/>
          <w:bCs/>
          <w:rtl/>
        </w:rPr>
        <w:t xml:space="preserve">הרמב"ן </w:t>
      </w:r>
      <w:r w:rsidRPr="00F05D34">
        <w:rPr>
          <w:rFonts w:hint="cs"/>
          <w:rtl/>
        </w:rPr>
        <w:t>דבנין בכלים היינו בדבר שהוא כלי ועושה בו מעשה בנין, אבל בדבר שלא היה כלי לא שייך בו לשון בנין בכלים, אלא הוא נקרא עושה כלי.</w:t>
      </w:r>
      <w:bookmarkEnd w:id="5561"/>
    </w:p>
    <w:p w14:paraId="0C47C468" w14:textId="77777777" w:rsidR="003E1AA3" w:rsidRPr="00371918" w:rsidRDefault="003E1AA3" w:rsidP="003E1AA3">
      <w:pPr>
        <w:keepNext/>
        <w:keepLines/>
        <w:spacing w:after="0" w:line="240" w:lineRule="auto"/>
        <w:ind w:left="-284"/>
        <w:jc w:val="both"/>
        <w:outlineLvl w:val="1"/>
        <w:rPr>
          <w:rFonts w:ascii="David" w:eastAsia="Guttman Hodes" w:hAnsi="David" w:cs="David"/>
          <w:bCs/>
          <w:noProof/>
          <w:vanish/>
          <w:sz w:val="16"/>
          <w:szCs w:val="16"/>
        </w:rPr>
      </w:pPr>
      <w:r w:rsidRPr="00371918">
        <w:rPr>
          <w:rFonts w:ascii="David" w:eastAsia="Guttman Hodes" w:hAnsi="David" w:cs="David" w:hint="cs"/>
          <w:bCs/>
          <w:noProof/>
          <w:vanish/>
          <w:sz w:val="16"/>
          <w:szCs w:val="16"/>
          <w:rtl/>
        </w:rPr>
        <w:t>חדושי הרמב"ן שבת ק"ב ע"ב ד"ה רב</w:t>
      </w:r>
    </w:p>
    <w:p w14:paraId="38468BCB" w14:textId="77777777" w:rsidR="003E1AA3" w:rsidRPr="0018388A" w:rsidRDefault="003E1AA3" w:rsidP="003E1AA3">
      <w:pPr>
        <w:pStyle w:val="a2"/>
        <w:tabs>
          <w:tab w:val="num" w:pos="284"/>
        </w:tabs>
      </w:pPr>
      <w:r w:rsidRPr="0018388A">
        <w:rPr>
          <w:rtl/>
        </w:rPr>
        <w:t>רב אמר חייב משום בונה. קשיא להו לרבוותא ז"ל והא אמרי' במס' ביצה (כ"ב א') אין בנין בכלים ואין סתירה בכלים, ויש לנו לתרץ דכי אמרי' אין בנין בכלים ה"מ בכלי שנתפרק כגון מנורה של חליות אבל הכא עושה כלי או מתקן כלי מתחלתו אין לך בנין גדול מזה ואין זה נקרא בנין בכלים שהרי אינו כלי אבל עושה כלי מיקרי.</w:t>
      </w:r>
    </w:p>
    <w:p w14:paraId="056DC590" w14:textId="77777777" w:rsidR="003E1AA3" w:rsidRPr="00F05D34" w:rsidRDefault="003E1AA3" w:rsidP="003E1AA3">
      <w:pPr>
        <w:pStyle w:val="a7"/>
        <w:rPr>
          <w:rtl/>
        </w:rPr>
      </w:pPr>
      <w:bookmarkStart w:id="5562" w:name="_Toc145233929"/>
      <w:r>
        <w:rPr>
          <w:rFonts w:hint="cs"/>
          <w:rtl/>
        </w:rPr>
        <w:t>בי' הרמב"ן דכלי מפורק שצריך אומן להחזירו כמנורה דחוליות ובחביתא הוי בונה וכ"מ בירו'</w:t>
      </w:r>
      <w:bookmarkEnd w:id="5562"/>
    </w:p>
    <w:p w14:paraId="5F40DE7B" w14:textId="629FE782" w:rsidR="003E1AA3" w:rsidRDefault="003E1AA3" w:rsidP="00BC7DC8">
      <w:pPr>
        <w:pStyle w:val="a3"/>
      </w:pPr>
      <w:bookmarkStart w:id="5563" w:name="_Ref145235471"/>
      <w:bookmarkStart w:id="5564" w:name="_Ref145235417"/>
      <w:bookmarkStart w:id="5565" w:name="_Ref145225650"/>
      <w:r w:rsidRPr="00F05D34">
        <w:rPr>
          <w:rFonts w:hint="cs"/>
          <w:rtl/>
        </w:rPr>
        <w:t xml:space="preserve">והוסיף </w:t>
      </w:r>
      <w:r w:rsidRPr="00F05D34">
        <w:rPr>
          <w:b/>
          <w:bCs/>
          <w:rtl/>
        </w:rPr>
        <w:t xml:space="preserve">הרמב"ן </w:t>
      </w:r>
      <w:r w:rsidRPr="00F05D34">
        <w:rPr>
          <w:rFonts w:hint="cs"/>
          <w:rtl/>
        </w:rPr>
        <w:t xml:space="preserve">דלפי"ז אפש"ל דאף בכלי מפורק שייך חיוב בונה כשצריך אומן להחזירו, דכיון שהוא מפורק והדיוט אינו יכול להחזירו, אין לו תורת כלי, וכשהחזירו האומן חשיב כעושה כלי מתחילתו, וכתב </w:t>
      </w:r>
      <w:r w:rsidRPr="00F05D34">
        <w:rPr>
          <w:b/>
          <w:bCs/>
          <w:rtl/>
        </w:rPr>
        <w:t xml:space="preserve">הרמב"ן </w:t>
      </w:r>
      <w:r w:rsidRPr="00F05D34">
        <w:rPr>
          <w:rFonts w:hint="cs"/>
          <w:rtl/>
        </w:rPr>
        <w:t xml:space="preserve">דזהו הביאור בהא דאיתא בגמ' לעיל </w:t>
      </w:r>
      <w:r w:rsidRPr="00C962CD">
        <w:rPr>
          <w:rStyle w:val="af2"/>
          <w:rFonts w:eastAsia="Guttman Hodes" w:hint="cs"/>
          <w:rtl/>
        </w:rPr>
        <w:t>(מו.)</w:t>
      </w:r>
      <w:r w:rsidRPr="00F05D34">
        <w:rPr>
          <w:rFonts w:hint="cs"/>
          <w:rtl/>
        </w:rPr>
        <w:t xml:space="preserve"> דגזרו לטלטל מנורה של חוליות שמא תפול ותתפרק לגמרי ויחזירנה, </w:t>
      </w:r>
      <w:r w:rsidRPr="008267A7">
        <w:rPr>
          <w:rStyle w:val="af"/>
          <w:rFonts w:hint="cs"/>
          <w:rtl/>
        </w:rPr>
        <w:t>[ע"י אומן],</w:t>
      </w:r>
      <w:r w:rsidRPr="00F05D34">
        <w:rPr>
          <w:rFonts w:hint="cs"/>
          <w:rtl/>
        </w:rPr>
        <w:t xml:space="preserve"> דבכה"ג הוא כעושה כלי מתחילה בשבת</w:t>
      </w:r>
      <w:r>
        <w:rPr>
          <w:rFonts w:hint="cs"/>
          <w:rtl/>
        </w:rPr>
        <w:t>,</w:t>
      </w:r>
      <w:r w:rsidRPr="009F52D3">
        <w:rPr>
          <w:rFonts w:hint="cs"/>
          <w:rtl/>
        </w:rPr>
        <w:t xml:space="preserve"> </w:t>
      </w:r>
      <w:r>
        <w:rPr>
          <w:rFonts w:hint="cs"/>
          <w:rtl/>
        </w:rPr>
        <w:t xml:space="preserve">וכ"כ </w:t>
      </w:r>
      <w:r w:rsidRPr="00D956BD">
        <w:rPr>
          <w:rStyle w:val="aff4"/>
          <w:rFonts w:hint="cs"/>
          <w:rtl/>
        </w:rPr>
        <w:t>ה</w:t>
      </w:r>
      <w:r w:rsidRPr="00D956BD">
        <w:rPr>
          <w:rStyle w:val="aff4"/>
          <w:rFonts w:hint="cs"/>
          <w:vanish/>
          <w:rtl/>
        </w:rPr>
        <w:t xml:space="preserve">&lt;, </w:t>
      </w:r>
      <w:r w:rsidRPr="00D956BD">
        <w:rPr>
          <w:rStyle w:val="aff4"/>
          <w:vanish/>
          <w:rtl/>
        </w:rPr>
        <w:fldChar w:fldCharType="begin"/>
      </w:r>
      <w:r w:rsidRPr="00D956BD">
        <w:rPr>
          <w:rStyle w:val="aff4"/>
          <w:vanish/>
          <w:rtl/>
        </w:rPr>
        <w:instrText xml:space="preserve"> </w:instrText>
      </w:r>
      <w:r w:rsidRPr="00D956BD">
        <w:rPr>
          <w:rStyle w:val="aff4"/>
          <w:rFonts w:hint="cs"/>
          <w:vanish/>
        </w:rPr>
        <w:instrText>REF</w:instrText>
      </w:r>
      <w:r w:rsidRPr="00D956BD">
        <w:rPr>
          <w:rStyle w:val="aff4"/>
          <w:rFonts w:hint="cs"/>
          <w:vanish/>
          <w:rtl/>
        </w:rPr>
        <w:instrText xml:space="preserve"> _</w:instrText>
      </w:r>
      <w:r w:rsidRPr="00D956BD">
        <w:rPr>
          <w:rStyle w:val="aff4"/>
          <w:rFonts w:hint="cs"/>
          <w:vanish/>
        </w:rPr>
        <w:instrText>Ref145235417 \r \h</w:instrText>
      </w:r>
      <w:r w:rsidRPr="00D956BD">
        <w:rPr>
          <w:rStyle w:val="aff4"/>
          <w:vanish/>
          <w:rtl/>
        </w:rPr>
        <w:instrText xml:space="preserve"> </w:instrText>
      </w:r>
      <w:r>
        <w:rPr>
          <w:rStyle w:val="aff4"/>
          <w:vanish/>
          <w:rtl/>
        </w:rPr>
        <w:instrText xml:space="preserve"> \* </w:instrText>
      </w:r>
      <w:r>
        <w:rPr>
          <w:rStyle w:val="aff4"/>
          <w:vanish/>
        </w:rPr>
        <w:instrText>MERGEFORMAT</w:instrText>
      </w:r>
      <w:r>
        <w:rPr>
          <w:rStyle w:val="aff4"/>
          <w:vanish/>
          <w:rtl/>
        </w:rPr>
        <w:instrText xml:space="preserve"> </w:instrText>
      </w:r>
      <w:r w:rsidRPr="00D956BD">
        <w:rPr>
          <w:rStyle w:val="aff4"/>
          <w:vanish/>
          <w:rtl/>
        </w:rPr>
      </w:r>
      <w:r w:rsidRPr="00D956BD">
        <w:rPr>
          <w:rStyle w:val="aff4"/>
          <w:vanish/>
          <w:rtl/>
        </w:rPr>
        <w:fldChar w:fldCharType="separate"/>
      </w:r>
      <w:r w:rsidR="00D82181">
        <w:rPr>
          <w:rStyle w:val="aff4"/>
          <w:vanish/>
          <w:cs/>
        </w:rPr>
        <w:t>‎</w:t>
      </w:r>
      <w:r w:rsidR="00D82181">
        <w:rPr>
          <w:rStyle w:val="aff4"/>
          <w:vanish/>
          <w:rtl/>
        </w:rPr>
        <w:t>לז)</w:t>
      </w:r>
      <w:r w:rsidRPr="00D956BD">
        <w:rPr>
          <w:rStyle w:val="aff4"/>
          <w:vanish/>
          <w:rtl/>
        </w:rPr>
        <w:fldChar w:fldCharType="end"/>
      </w:r>
      <w:r w:rsidRPr="00D956BD">
        <w:rPr>
          <w:rStyle w:val="aff4"/>
          <w:rFonts w:hint="cs"/>
          <w:vanish/>
          <w:rtl/>
        </w:rPr>
        <w:t xml:space="preserve"> &gt;</w:t>
      </w:r>
      <w:r w:rsidRPr="00D956BD">
        <w:rPr>
          <w:rStyle w:val="aff4"/>
          <w:rFonts w:hint="cs"/>
          <w:rtl/>
        </w:rPr>
        <w:t>ר"ן</w:t>
      </w:r>
      <w:r>
        <w:rPr>
          <w:rFonts w:hint="cs"/>
          <w:rtl/>
        </w:rPr>
        <w:t xml:space="preserve"> </w:t>
      </w:r>
      <w:r w:rsidRPr="00D956BD">
        <w:rPr>
          <w:rStyle w:val="af2"/>
          <w:rFonts w:eastAsia="Guttman Hodes" w:hint="cs"/>
          <w:rtl/>
        </w:rPr>
        <w:t>(ד"ה רב)</w:t>
      </w:r>
      <w:r w:rsidRPr="00D956BD">
        <w:rPr>
          <w:rFonts w:hint="cs"/>
          <w:vanish/>
          <w:rtl/>
        </w:rPr>
        <w:t>=</w:t>
      </w:r>
      <w:r>
        <w:rPr>
          <w:rFonts w:hint="cs"/>
          <w:rtl/>
        </w:rPr>
        <w:t xml:space="preserve">. </w:t>
      </w:r>
      <w:r w:rsidRPr="00D14EFE">
        <w:rPr>
          <w:rStyle w:val="af"/>
          <w:rFonts w:hint="cs"/>
          <w:rtl/>
        </w:rPr>
        <w:t>[ועי' במה שביאר</w:t>
      </w:r>
      <w:r>
        <w:rPr>
          <w:rFonts w:hint="cs"/>
          <w:rtl/>
        </w:rPr>
        <w:t xml:space="preserve"> </w:t>
      </w:r>
      <w:r w:rsidRPr="00D14EFE">
        <w:rPr>
          <w:rStyle w:val="aff9"/>
          <w:rFonts w:hint="cs"/>
          <w:rtl/>
        </w:rPr>
        <w:t>הרמב"ן</w:t>
      </w:r>
      <w:r>
        <w:rPr>
          <w:rtl/>
        </w:rPr>
        <w:t xml:space="preserve"> </w:t>
      </w:r>
      <w:r w:rsidRPr="00D14EFE">
        <w:rPr>
          <w:rStyle w:val="aff0"/>
          <w:rtl/>
        </w:rPr>
        <w:t>(</w:t>
      </w:r>
      <w:r w:rsidRPr="00D14EFE">
        <w:rPr>
          <w:rStyle w:val="aff0"/>
          <w:rFonts w:hint="cs"/>
          <w:rtl/>
        </w:rPr>
        <w:t>עי' בהערה</w:t>
      </w:r>
      <w:r w:rsidRPr="00D14EFE">
        <w:rPr>
          <w:rStyle w:val="aff0"/>
          <w:rtl/>
        </w:rPr>
        <w:t>)</w:t>
      </w:r>
      <w:r>
        <w:rPr>
          <w:rStyle w:val="afff0"/>
          <w:rtl/>
        </w:rPr>
        <w:footnoteReference w:id="18"/>
      </w:r>
      <w:r>
        <w:rPr>
          <w:rFonts w:hint="cs"/>
          <w:rtl/>
        </w:rPr>
        <w:t xml:space="preserve"> </w:t>
      </w:r>
      <w:r w:rsidRPr="00D14EFE">
        <w:rPr>
          <w:rStyle w:val="af"/>
          <w:rFonts w:hint="cs"/>
          <w:rtl/>
        </w:rPr>
        <w:t>לפי"ז בדין החזרת תריסין]</w:t>
      </w:r>
      <w:r>
        <w:rPr>
          <w:rStyle w:val="af"/>
          <w:rFonts w:hint="cs"/>
          <w:rtl/>
        </w:rPr>
        <w:t>.</w:t>
      </w:r>
      <w:bookmarkEnd w:id="5563"/>
      <w:r>
        <w:rPr>
          <w:rFonts w:hint="cs"/>
          <w:rtl/>
        </w:rPr>
        <w:t xml:space="preserve"> </w:t>
      </w:r>
      <w:bookmarkEnd w:id="5564"/>
    </w:p>
    <w:p w14:paraId="56A4053A" w14:textId="77777777" w:rsidR="003E1AA3" w:rsidRDefault="003E1AA3" w:rsidP="003E1AA3">
      <w:pPr>
        <w:pStyle w:val="a2"/>
        <w:tabs>
          <w:tab w:val="num" w:pos="284"/>
        </w:tabs>
      </w:pPr>
      <w:bookmarkStart w:id="5566" w:name="_Toc145222960"/>
      <w:bookmarkStart w:id="5567" w:name="_Toc145223759"/>
      <w:r w:rsidRPr="0018388A">
        <w:rPr>
          <w:rtl/>
        </w:rPr>
        <w:t>ואפשר לפי דעת זו שכל כלי שצריך אומן בחזרתו מיחייב עליה משום בונה דהו"ל כעושה כלי מתחלתו שהרי משעה שנתפרק ואין ההדיוט יכול להחזירו בטל מתורת כלי, והיינו דגזרי' בפ' כירה (מ"ו א') במנורה של חוליות ואסרינן לה אפי' לטלטלה גזירה משום שמא תפול ותתפרק לגמרי ויחזירנה ונמצא עושה כלי בתחלה בשבת</w:t>
      </w:r>
      <w:r>
        <w:rPr>
          <w:rFonts w:hint="cs"/>
          <w:rtl/>
        </w:rPr>
        <w:t>.</w:t>
      </w:r>
      <w:r w:rsidRPr="0018388A">
        <w:rPr>
          <w:rtl/>
        </w:rPr>
        <w:t xml:space="preserve"> </w:t>
      </w:r>
    </w:p>
    <w:p w14:paraId="6D69552A" w14:textId="77777777" w:rsidR="003E1AA3" w:rsidRPr="00F05D34" w:rsidRDefault="003E1AA3" w:rsidP="003E1AA3">
      <w:pPr>
        <w:pStyle w:val="afffff7"/>
        <w:rPr>
          <w:rtl/>
        </w:rPr>
      </w:pPr>
      <w:bookmarkStart w:id="5568" w:name="_Toc145234032"/>
      <w:bookmarkStart w:id="5569" w:name="_Toc163506290"/>
      <w:r w:rsidRPr="00F05D34">
        <w:rPr>
          <w:rFonts w:hint="cs"/>
          <w:rtl/>
        </w:rPr>
        <w:t>חדושי הרמב"ן שבת ק"ב ע"ב ד"ה ומשמע</w:t>
      </w:r>
      <w:bookmarkEnd w:id="5568"/>
      <w:bookmarkEnd w:id="5569"/>
    </w:p>
    <w:p w14:paraId="7CF516F4" w14:textId="77777777" w:rsidR="003E1AA3" w:rsidRPr="00F05D34" w:rsidRDefault="003E1AA3" w:rsidP="003E1AA3">
      <w:pPr>
        <w:pStyle w:val="a7"/>
        <w:rPr>
          <w:rtl/>
        </w:rPr>
      </w:pPr>
      <w:bookmarkStart w:id="5570" w:name="_Toc145233930"/>
      <w:r>
        <w:rPr>
          <w:rFonts w:hint="cs"/>
          <w:rtl/>
        </w:rPr>
        <w:t>דחיית הרמב"ן לרש"י דהתוקע בדלתות אינו חייב משום מכב"פ כרש"י אלא הוי בונה אף בכלים</w:t>
      </w:r>
      <w:bookmarkEnd w:id="5566"/>
      <w:bookmarkEnd w:id="5567"/>
      <w:bookmarkEnd w:id="5570"/>
    </w:p>
    <w:p w14:paraId="617E81A7" w14:textId="11BC2312" w:rsidR="003E1AA3" w:rsidRPr="002A014D" w:rsidRDefault="003E1AA3" w:rsidP="00BC7DC8">
      <w:pPr>
        <w:pStyle w:val="a3"/>
        <w:rPr>
          <w:rtl/>
        </w:rPr>
      </w:pPr>
      <w:bookmarkStart w:id="5571" w:name="_Ref144307040"/>
      <w:r>
        <w:rPr>
          <w:rFonts w:hint="cs"/>
          <w:rtl/>
        </w:rPr>
        <w:t>והביא</w:t>
      </w:r>
      <w:r w:rsidRPr="00F05D34">
        <w:rPr>
          <w:rFonts w:hint="cs"/>
          <w:rtl/>
        </w:rPr>
        <w:t xml:space="preserve"> </w:t>
      </w:r>
      <w:r w:rsidRPr="00E24FB9">
        <w:rPr>
          <w:rStyle w:val="aff4"/>
          <w:rFonts w:hint="cs"/>
          <w:vanish/>
          <w:rtl/>
        </w:rPr>
        <w:t>-</w:t>
      </w:r>
      <w:r w:rsidRPr="00C07E8C">
        <w:rPr>
          <w:rStyle w:val="aff4"/>
          <w:rFonts w:hint="cs"/>
          <w:rtl/>
        </w:rPr>
        <w:t>ה</w:t>
      </w:r>
      <w:r w:rsidRPr="00D12047">
        <w:rPr>
          <w:rStyle w:val="aff4"/>
          <w:rFonts w:hint="cs"/>
          <w:vanish/>
          <w:rtl/>
        </w:rPr>
        <w:t xml:space="preserve">&lt;, </w:t>
      </w:r>
      <w:r w:rsidRPr="00D12047">
        <w:rPr>
          <w:rStyle w:val="aff4"/>
          <w:vanish/>
          <w:rtl/>
        </w:rPr>
        <w:fldChar w:fldCharType="begin"/>
      </w:r>
      <w:r w:rsidRPr="00D12047">
        <w:rPr>
          <w:rStyle w:val="aff4"/>
          <w:vanish/>
          <w:rtl/>
        </w:rPr>
        <w:instrText xml:space="preserve"> </w:instrText>
      </w:r>
      <w:r w:rsidRPr="00D12047">
        <w:rPr>
          <w:rStyle w:val="aff4"/>
          <w:rFonts w:hint="cs"/>
          <w:vanish/>
        </w:rPr>
        <w:instrText>REF</w:instrText>
      </w:r>
      <w:r w:rsidRPr="00D12047">
        <w:rPr>
          <w:rStyle w:val="aff4"/>
          <w:rFonts w:hint="cs"/>
          <w:vanish/>
          <w:rtl/>
        </w:rPr>
        <w:instrText xml:space="preserve"> _</w:instrText>
      </w:r>
      <w:r w:rsidRPr="00D12047">
        <w:rPr>
          <w:rStyle w:val="aff4"/>
          <w:rFonts w:hint="cs"/>
          <w:vanish/>
        </w:rPr>
        <w:instrText>Ref144307040 \r \h</w:instrText>
      </w:r>
      <w:r w:rsidRPr="00D12047">
        <w:rPr>
          <w:rStyle w:val="aff4"/>
          <w:vanish/>
          <w:rtl/>
        </w:rPr>
        <w:instrText xml:space="preserve"> </w:instrText>
      </w:r>
      <w:r>
        <w:rPr>
          <w:rStyle w:val="aff4"/>
          <w:vanish/>
          <w:rtl/>
        </w:rPr>
        <w:instrText xml:space="preserve"> \* </w:instrText>
      </w:r>
      <w:r>
        <w:rPr>
          <w:rStyle w:val="aff4"/>
          <w:vanish/>
        </w:rPr>
        <w:instrText>MERGEFORMAT</w:instrText>
      </w:r>
      <w:r>
        <w:rPr>
          <w:rStyle w:val="aff4"/>
          <w:vanish/>
          <w:rtl/>
        </w:rPr>
        <w:instrText xml:space="preserve"> </w:instrText>
      </w:r>
      <w:r w:rsidRPr="00D12047">
        <w:rPr>
          <w:rStyle w:val="aff4"/>
          <w:vanish/>
          <w:rtl/>
        </w:rPr>
      </w:r>
      <w:r w:rsidRPr="00D12047">
        <w:rPr>
          <w:rStyle w:val="aff4"/>
          <w:vanish/>
          <w:rtl/>
        </w:rPr>
        <w:fldChar w:fldCharType="separate"/>
      </w:r>
      <w:r w:rsidR="00D82181">
        <w:rPr>
          <w:rStyle w:val="aff4"/>
          <w:vanish/>
          <w:cs/>
        </w:rPr>
        <w:t>‎</w:t>
      </w:r>
      <w:r w:rsidR="00D82181">
        <w:rPr>
          <w:rStyle w:val="aff4"/>
          <w:vanish/>
          <w:rtl/>
        </w:rPr>
        <w:t>לח)</w:t>
      </w:r>
      <w:r w:rsidRPr="00D12047">
        <w:rPr>
          <w:rStyle w:val="aff4"/>
          <w:vanish/>
          <w:rtl/>
        </w:rPr>
        <w:fldChar w:fldCharType="end"/>
      </w:r>
      <w:r w:rsidRPr="00D12047">
        <w:rPr>
          <w:rStyle w:val="aff4"/>
          <w:rFonts w:hint="cs"/>
          <w:vanish/>
          <w:rtl/>
        </w:rPr>
        <w:t xml:space="preserve"> &gt;</w:t>
      </w:r>
      <w:r w:rsidRPr="00C07E8C">
        <w:rPr>
          <w:rStyle w:val="aff4"/>
          <w:rFonts w:hint="cs"/>
          <w:rtl/>
        </w:rPr>
        <w:t>רמב"ן</w:t>
      </w:r>
      <w:r w:rsidRPr="00E24FB9">
        <w:rPr>
          <w:rStyle w:val="aff4"/>
          <w:rFonts w:hint="cs"/>
          <w:vanish/>
          <w:rtl/>
        </w:rPr>
        <w:t>-</w:t>
      </w:r>
      <w:r>
        <w:rPr>
          <w:rFonts w:hint="cs"/>
          <w:rtl/>
        </w:rPr>
        <w:t xml:space="preserve"> </w:t>
      </w:r>
      <w:r w:rsidRPr="00C962CD">
        <w:rPr>
          <w:rStyle w:val="af2"/>
          <w:rFonts w:eastAsia="Guttman Hodes" w:hint="cs"/>
          <w:rtl/>
        </w:rPr>
        <w:t>(ד"ה ומשמע)</w:t>
      </w:r>
      <w:r w:rsidRPr="00D12047">
        <w:rPr>
          <w:rFonts w:hint="cs"/>
          <w:vanish/>
          <w:rtl/>
        </w:rPr>
        <w:t>=</w:t>
      </w:r>
      <w:r>
        <w:rPr>
          <w:rFonts w:hint="cs"/>
          <w:rtl/>
        </w:rPr>
        <w:t xml:space="preserve"> את דברי </w:t>
      </w:r>
      <w:r w:rsidRPr="00623396">
        <w:rPr>
          <w:rFonts w:hint="cs"/>
          <w:b/>
          <w:bCs/>
          <w:vanish/>
          <w:rtl/>
        </w:rPr>
        <w:t>-</w:t>
      </w:r>
      <w:r w:rsidRPr="00623396">
        <w:rPr>
          <w:rFonts w:hint="cs"/>
          <w:b/>
          <w:bCs/>
          <w:rtl/>
        </w:rPr>
        <w:t>רש"י לקמן</w:t>
      </w:r>
      <w:r w:rsidRPr="00623396">
        <w:rPr>
          <w:rFonts w:hint="cs"/>
          <w:b/>
          <w:bCs/>
          <w:vanish/>
          <w:rtl/>
        </w:rPr>
        <w:t>-</w:t>
      </w:r>
      <w:r w:rsidRPr="00623396">
        <w:rPr>
          <w:rFonts w:hint="cs"/>
          <w:rtl/>
        </w:rPr>
        <w:t xml:space="preserve"> </w:t>
      </w:r>
      <w:r w:rsidRPr="00C962C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Ref145186884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א)</w:t>
      </w:r>
      <w:r>
        <w:rPr>
          <w:rStyle w:val="af2"/>
          <w:rFonts w:eastAsia="Guttman Hodes"/>
          <w:rtl/>
        </w:rPr>
        <w:fldChar w:fldCharType="end"/>
      </w:r>
      <w:r>
        <w:rPr>
          <w:rFonts w:hint="cs"/>
          <w:rtl/>
        </w:rPr>
        <w:t xml:space="preserve"> דביאר דהאיסור להחזיר דלתות הכלים גזירה שמא יתקע, הוא כיון</w:t>
      </w:r>
      <w:r w:rsidRPr="00623396">
        <w:rPr>
          <w:rFonts w:hint="cs"/>
          <w:rtl/>
        </w:rPr>
        <w:t xml:space="preserve"> דאי תקע בחזקה בסכין ויתדות הוא גמר מלאכה וחייב משום מכה בפטיש, </w:t>
      </w:r>
      <w:r>
        <w:rPr>
          <w:rFonts w:hint="cs"/>
          <w:rtl/>
        </w:rPr>
        <w:t xml:space="preserve">ודחה </w:t>
      </w:r>
      <w:r w:rsidRPr="00E24FB9">
        <w:rPr>
          <w:rStyle w:val="aff4"/>
          <w:rFonts w:hint="cs"/>
          <w:vanish/>
          <w:rtl/>
        </w:rPr>
        <w:t>-</w:t>
      </w:r>
      <w:r w:rsidRPr="00C07E8C">
        <w:rPr>
          <w:rStyle w:val="aff4"/>
          <w:rFonts w:hint="cs"/>
          <w:rtl/>
        </w:rPr>
        <w:t>הרמב"ן</w:t>
      </w:r>
      <w:r w:rsidRPr="00E24FB9">
        <w:rPr>
          <w:rStyle w:val="aff4"/>
          <w:rFonts w:hint="cs"/>
          <w:vanish/>
          <w:rtl/>
        </w:rPr>
        <w:t>-</w:t>
      </w:r>
      <w:r>
        <w:rPr>
          <w:rFonts w:hint="cs"/>
          <w:rtl/>
        </w:rPr>
        <w:t xml:space="preserve"> דחייב משום בונה דבזה לא אמרינן דאין בנין בכלים</w:t>
      </w:r>
      <w:bookmarkEnd w:id="5571"/>
      <w:r>
        <w:rPr>
          <w:rFonts w:hint="cs"/>
          <w:rtl/>
        </w:rPr>
        <w:t>,</w:t>
      </w:r>
      <w:r w:rsidRPr="003535B9">
        <w:rPr>
          <w:rFonts w:hint="cs"/>
          <w:rtl/>
        </w:rPr>
        <w:t xml:space="preserve"> </w:t>
      </w:r>
      <w:r>
        <w:rPr>
          <w:rFonts w:hint="cs"/>
          <w:rtl/>
        </w:rPr>
        <w:t xml:space="preserve">וכתב </w:t>
      </w:r>
      <w:r w:rsidRPr="00E24FB9">
        <w:rPr>
          <w:rStyle w:val="aff4"/>
          <w:rFonts w:hint="cs"/>
          <w:vanish/>
          <w:rtl/>
        </w:rPr>
        <w:t>-</w:t>
      </w:r>
      <w:r w:rsidRPr="00C07E8C">
        <w:rPr>
          <w:rStyle w:val="aff4"/>
          <w:rFonts w:hint="cs"/>
          <w:rtl/>
        </w:rPr>
        <w:t>הרמב"ן</w:t>
      </w:r>
      <w:r w:rsidRPr="00E24FB9">
        <w:rPr>
          <w:rStyle w:val="aff4"/>
          <w:rFonts w:hint="cs"/>
          <w:vanish/>
          <w:rtl/>
        </w:rPr>
        <w:t>-</w:t>
      </w:r>
      <w:r>
        <w:rPr>
          <w:rFonts w:hint="cs"/>
          <w:rtl/>
        </w:rPr>
        <w:t xml:space="preserve"> </w:t>
      </w:r>
      <w:r w:rsidRPr="00C962CD">
        <w:rPr>
          <w:rStyle w:val="af2"/>
          <w:rFonts w:eastAsia="Guttman Hodes" w:hint="cs"/>
          <w:rtl/>
        </w:rPr>
        <w:t>(</w:t>
      </w:r>
      <w:r>
        <w:rPr>
          <w:rStyle w:val="af2"/>
          <w:rFonts w:eastAsia="Guttman Hodes" w:hint="cs"/>
          <w:rtl/>
        </w:rPr>
        <w:t>סו</w:t>
      </w:r>
      <w:r w:rsidRPr="00C962CD">
        <w:rPr>
          <w:rStyle w:val="af2"/>
          <w:rFonts w:eastAsia="Guttman Hodes" w:hint="cs"/>
          <w:rtl/>
        </w:rPr>
        <w:t>ד"ה ומשמע)</w:t>
      </w:r>
      <w:r>
        <w:rPr>
          <w:rFonts w:hint="cs"/>
          <w:rtl/>
        </w:rPr>
        <w:t xml:space="preserve"> דלפי"ז הא דאמרינן בגמ' לעיל </w:t>
      </w:r>
      <w:r w:rsidRPr="00C962CD">
        <w:rPr>
          <w:rStyle w:val="af2"/>
          <w:rFonts w:eastAsia="Guttman Hodes" w:hint="cs"/>
          <w:rtl/>
        </w:rPr>
        <w:t>(עד:)</w:t>
      </w:r>
      <w:r>
        <w:rPr>
          <w:rFonts w:hint="cs"/>
          <w:rtl/>
        </w:rPr>
        <w:t xml:space="preserve"> דבחביתא חייב י"ג חטאות אחד מהם הוא בונה, </w:t>
      </w:r>
      <w:r w:rsidRPr="00D058F2">
        <w:rPr>
          <w:rStyle w:val="af"/>
          <w:rFonts w:hint="cs"/>
          <w:rtl/>
        </w:rPr>
        <w:t>[</w:t>
      </w:r>
      <w:r w:rsidRPr="00233995">
        <w:rPr>
          <w:rStyle w:val="aff9"/>
          <w:rFonts w:hint="cs"/>
          <w:rtl/>
        </w:rPr>
        <w:t>כתוס'</w:t>
      </w:r>
      <w:r>
        <w:rPr>
          <w:rStyle w:val="af"/>
          <w:rFonts w:hint="cs"/>
          <w:rtl/>
        </w:rPr>
        <w:t xml:space="preserve"> </w:t>
      </w:r>
      <w:r w:rsidRPr="00233995">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Ref145234586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לא)</w:t>
      </w:r>
      <w:r>
        <w:rPr>
          <w:rStyle w:val="aff0"/>
          <w:rtl/>
        </w:rPr>
        <w:fldChar w:fldCharType="end"/>
      </w:r>
      <w:r>
        <w:rPr>
          <w:rStyle w:val="af"/>
          <w:rFonts w:hint="cs"/>
          <w:rtl/>
        </w:rPr>
        <w:t xml:space="preserve"> ו</w:t>
      </w:r>
      <w:r w:rsidRPr="00D058F2">
        <w:rPr>
          <w:rStyle w:val="af"/>
          <w:rFonts w:hint="cs"/>
          <w:rtl/>
        </w:rPr>
        <w:t xml:space="preserve">לא </w:t>
      </w:r>
      <w:r w:rsidRPr="00D12047">
        <w:rPr>
          <w:rStyle w:val="aff9"/>
          <w:rFonts w:hint="cs"/>
          <w:vanish/>
          <w:rtl/>
        </w:rPr>
        <w:t>-</w:t>
      </w:r>
      <w:r w:rsidRPr="00D12047">
        <w:rPr>
          <w:rStyle w:val="aff9"/>
          <w:rFonts w:hint="cs"/>
          <w:rtl/>
        </w:rPr>
        <w:t>כרש"י</w:t>
      </w:r>
      <w:r w:rsidRPr="00D12047">
        <w:rPr>
          <w:rStyle w:val="aff9"/>
          <w:rFonts w:hint="cs"/>
          <w:vanish/>
          <w:rtl/>
        </w:rPr>
        <w:t>-</w:t>
      </w:r>
      <w:r>
        <w:rPr>
          <w:rFonts w:hint="cs"/>
          <w:rtl/>
        </w:rPr>
        <w:t xml:space="preserve"> </w:t>
      </w:r>
      <w:r w:rsidRPr="002A014D">
        <w:rPr>
          <w:rStyle w:val="af"/>
          <w:rFonts w:hint="cs"/>
          <w:rtl/>
        </w:rPr>
        <w:t>דכתב דהוא מכה בפטיש],</w:t>
      </w:r>
      <w:r w:rsidRPr="00D106C4">
        <w:rPr>
          <w:rStyle w:val="af"/>
          <w:rFonts w:hint="cs"/>
          <w:b/>
          <w:bCs/>
          <w:rtl/>
        </w:rPr>
        <w:t xml:space="preserve"> </w:t>
      </w:r>
      <w:r w:rsidRPr="002A014D">
        <w:rPr>
          <w:rFonts w:hint="cs"/>
          <w:rtl/>
        </w:rPr>
        <w:t xml:space="preserve">דבכה"ג לא אמרינן דאין בנין בכלים, וכן איתא בירושלמי </w:t>
      </w:r>
      <w:r w:rsidRPr="002A014D">
        <w:rPr>
          <w:rStyle w:val="af2"/>
          <w:rFonts w:eastAsia="Guttman Hodes" w:hint="cs"/>
          <w:rtl/>
        </w:rPr>
        <w:t>(פ"ז ה"ב, נא.)</w:t>
      </w:r>
      <w:r w:rsidRPr="002A014D">
        <w:rPr>
          <w:rFonts w:hint="cs"/>
          <w:rtl/>
        </w:rPr>
        <w:t xml:space="preserve">, וציין </w:t>
      </w:r>
      <w:r w:rsidRPr="002A014D">
        <w:rPr>
          <w:rStyle w:val="aff4"/>
          <w:rFonts w:hint="cs"/>
          <w:vanish/>
          <w:rtl/>
        </w:rPr>
        <w:t>-</w:t>
      </w:r>
      <w:r w:rsidRPr="002A014D">
        <w:rPr>
          <w:rStyle w:val="aff4"/>
          <w:rFonts w:hint="cs"/>
          <w:rtl/>
        </w:rPr>
        <w:t>הרמב"ן</w:t>
      </w:r>
      <w:r w:rsidRPr="002A014D">
        <w:rPr>
          <w:rStyle w:val="aff4"/>
          <w:rFonts w:hint="cs"/>
          <w:vanish/>
          <w:rtl/>
        </w:rPr>
        <w:t>-</w:t>
      </w:r>
      <w:r w:rsidRPr="002A014D">
        <w:rPr>
          <w:rFonts w:hint="cs"/>
          <w:rtl/>
        </w:rPr>
        <w:t xml:space="preserve"> למה שביאר </w:t>
      </w:r>
      <w:r w:rsidRPr="002A014D">
        <w:rPr>
          <w:rStyle w:val="aff4"/>
          <w:rFonts w:hint="cs"/>
          <w:vanish/>
          <w:rtl/>
        </w:rPr>
        <w:t>-</w:t>
      </w:r>
      <w:r w:rsidRPr="002A014D">
        <w:rPr>
          <w:rStyle w:val="aff4"/>
          <w:rFonts w:hint="cs"/>
          <w:rtl/>
        </w:rPr>
        <w:t>הרמב"ן במלחמות</w:t>
      </w:r>
      <w:r w:rsidRPr="002A014D">
        <w:rPr>
          <w:rStyle w:val="aff4"/>
          <w:rFonts w:hint="cs"/>
          <w:vanish/>
          <w:rtl/>
        </w:rPr>
        <w:t>-</w:t>
      </w:r>
      <w:r w:rsidRPr="002A014D">
        <w:rPr>
          <w:rFonts w:hint="cs"/>
          <w:rtl/>
        </w:rPr>
        <w:t xml:space="preserve"> </w:t>
      </w:r>
      <w:r w:rsidRPr="002A014D">
        <w:rPr>
          <w:rStyle w:val="af2"/>
          <w:rFonts w:eastAsia="Guttman Hodes" w:hint="cs"/>
          <w:rtl/>
        </w:rPr>
        <w:t xml:space="preserve">(עי' אות </w:t>
      </w:r>
      <w:r w:rsidRPr="002A014D">
        <w:rPr>
          <w:rStyle w:val="af2"/>
          <w:rFonts w:eastAsia="Guttman Hodes"/>
          <w:rtl/>
        </w:rPr>
        <w:fldChar w:fldCharType="begin"/>
      </w:r>
      <w:r w:rsidRPr="002A014D">
        <w:rPr>
          <w:rStyle w:val="af2"/>
          <w:rFonts w:eastAsia="Guttman Hodes"/>
          <w:rtl/>
        </w:rPr>
        <w:instrText xml:space="preserve"> </w:instrText>
      </w:r>
      <w:r w:rsidRPr="002A014D">
        <w:rPr>
          <w:rStyle w:val="af2"/>
          <w:rFonts w:eastAsia="Guttman Hodes" w:hint="cs"/>
        </w:rPr>
        <w:instrText>REF</w:instrText>
      </w:r>
      <w:r w:rsidRPr="002A014D">
        <w:rPr>
          <w:rStyle w:val="af2"/>
          <w:rFonts w:eastAsia="Guttman Hodes" w:hint="cs"/>
          <w:rtl/>
        </w:rPr>
        <w:instrText xml:space="preserve"> _</w:instrText>
      </w:r>
      <w:r w:rsidRPr="002A014D">
        <w:rPr>
          <w:rStyle w:val="af2"/>
          <w:rFonts w:eastAsia="Guttman Hodes" w:hint="cs"/>
        </w:rPr>
        <w:instrText>Ref144324318 \r \h</w:instrText>
      </w:r>
      <w:r w:rsidRPr="002A014D">
        <w:rPr>
          <w:rStyle w:val="af2"/>
          <w:rFonts w:eastAsia="Guttman Hodes"/>
          <w:rtl/>
        </w:rPr>
        <w:instrText xml:space="preserve"> </w:instrText>
      </w:r>
      <w:r w:rsidRPr="002A014D">
        <w:rPr>
          <w:rStyle w:val="af2"/>
          <w:rFonts w:eastAsia="Guttman Hodes"/>
          <w:rtl/>
        </w:rPr>
      </w:r>
      <w:r w:rsidRPr="002A014D">
        <w:rPr>
          <w:rStyle w:val="af2"/>
          <w:rFonts w:eastAsia="Guttman Hodes"/>
          <w:rtl/>
        </w:rPr>
        <w:fldChar w:fldCharType="separate"/>
      </w:r>
      <w:r w:rsidR="00D82181">
        <w:rPr>
          <w:rStyle w:val="af2"/>
          <w:rFonts w:eastAsia="Guttman Hodes"/>
          <w:cs/>
        </w:rPr>
        <w:t>‎</w:t>
      </w:r>
      <w:r w:rsidR="00D82181">
        <w:rPr>
          <w:rStyle w:val="af2"/>
          <w:rFonts w:eastAsia="Guttman Hodes"/>
          <w:rtl/>
        </w:rPr>
        <w:t>יג)</w:t>
      </w:r>
      <w:r w:rsidRPr="002A014D">
        <w:rPr>
          <w:rStyle w:val="af2"/>
          <w:rFonts w:eastAsia="Guttman Hodes"/>
          <w:rtl/>
        </w:rPr>
        <w:fldChar w:fldCharType="end"/>
      </w:r>
      <w:r w:rsidRPr="002A014D">
        <w:rPr>
          <w:rFonts w:hint="cs"/>
          <w:rtl/>
        </w:rPr>
        <w:t xml:space="preserve"> וכתב דהוא ביאור טוב יותר.</w:t>
      </w:r>
    </w:p>
    <w:p w14:paraId="4D40DCFA" w14:textId="77777777" w:rsidR="003E1AA3" w:rsidRPr="00BC7DC8" w:rsidRDefault="003E1AA3" w:rsidP="003E1AA3">
      <w:pPr>
        <w:pStyle w:val="afffffe"/>
        <w:rPr>
          <w:vanish/>
          <w:rtl/>
        </w:rPr>
      </w:pPr>
      <w:r w:rsidRPr="00BC7DC8">
        <w:rPr>
          <w:rFonts w:hint="cs"/>
          <w:vanish/>
          <w:rtl/>
        </w:rPr>
        <w:t>חדושי הרמב"ן שבת ק"ב ע"ב ד"ה ומשמע</w:t>
      </w:r>
    </w:p>
    <w:p w14:paraId="4C6A3F95" w14:textId="77777777" w:rsidR="003E1AA3" w:rsidRPr="00D106C4" w:rsidRDefault="003E1AA3" w:rsidP="003E1AA3">
      <w:pPr>
        <w:pStyle w:val="a7"/>
        <w:rPr>
          <w:rtl/>
        </w:rPr>
      </w:pPr>
    </w:p>
    <w:p w14:paraId="23160C06" w14:textId="77777777" w:rsidR="003E1AA3" w:rsidRPr="0018388A" w:rsidRDefault="003E1AA3" w:rsidP="003E1AA3">
      <w:pPr>
        <w:pStyle w:val="a2"/>
        <w:tabs>
          <w:tab w:val="num" w:pos="284"/>
        </w:tabs>
      </w:pPr>
      <w:r w:rsidRPr="0018388A">
        <w:rPr>
          <w:rtl/>
        </w:rPr>
        <w:t>ומשמע לי נמי דכל היכי דתקע ביתידות וסיכין חייב משום בונה, והיינו דאמרי' בפ' כל הכלים (קכ"ב ב') גזירה שמא יתקע כלומר ומחייב משום בונה ולא כמו שפי' רש"י ז"ל משום מכה בפטיש</w:t>
      </w:r>
      <w:bookmarkEnd w:id="5565"/>
      <w:r>
        <w:rPr>
          <w:rFonts w:hint="cs"/>
          <w:rtl/>
        </w:rPr>
        <w:t xml:space="preserve">, וכו', </w:t>
      </w:r>
      <w:r w:rsidRPr="0018388A">
        <w:rPr>
          <w:rtl/>
        </w:rPr>
        <w:t>ולפי מה שכתבנו הא דאמרי' (ע"ד ב') דמאן דעביד חלתא חייב י"ג חטאות חד מינייהו משום בונה וכך אמרו בירושלמי. ועוד יש לי בירור טוב יותר מזה בס' המלחמות.</w:t>
      </w:r>
    </w:p>
    <w:p w14:paraId="1FD8144E" w14:textId="77777777" w:rsidR="003E1AA3" w:rsidRPr="00FC269C" w:rsidRDefault="003E1AA3" w:rsidP="003E1AA3">
      <w:pPr>
        <w:pStyle w:val="afffff7"/>
        <w:rPr>
          <w:rtl/>
        </w:rPr>
      </w:pPr>
      <w:bookmarkStart w:id="5572" w:name="_Toc145234033"/>
      <w:bookmarkStart w:id="5573" w:name="_Ref144327086"/>
      <w:bookmarkStart w:id="5574" w:name="_Toc163506291"/>
      <w:r w:rsidRPr="00FC269C">
        <w:rPr>
          <w:rtl/>
        </w:rPr>
        <w:t>חדושי הרשב"א שבת ק"ב ע"ב</w:t>
      </w:r>
      <w:r w:rsidRPr="00FC269C">
        <w:rPr>
          <w:rFonts w:hint="cs"/>
          <w:rtl/>
        </w:rPr>
        <w:t xml:space="preserve"> ד"ה האי</w:t>
      </w:r>
      <w:bookmarkEnd w:id="5572"/>
      <w:bookmarkEnd w:id="5574"/>
    </w:p>
    <w:p w14:paraId="3F8FAACF" w14:textId="77777777" w:rsidR="003E1AA3" w:rsidRPr="005B171C" w:rsidRDefault="003E1AA3" w:rsidP="003E1AA3">
      <w:pPr>
        <w:pStyle w:val="a7"/>
      </w:pPr>
      <w:bookmarkStart w:id="5575" w:name="_Toc145233931"/>
      <w:r>
        <w:rPr>
          <w:rFonts w:hint="cs"/>
          <w:rtl/>
        </w:rPr>
        <w:t>בי' הרשב"א ברמב"ן דבמנורה צריך אומן והוי בונה ולכן גזרו אך לרי"ף לדידן אין איסור במנורה</w:t>
      </w:r>
      <w:bookmarkEnd w:id="5575"/>
    </w:p>
    <w:p w14:paraId="0598A311" w14:textId="286EF318" w:rsidR="003E1AA3" w:rsidRDefault="003E1AA3" w:rsidP="00BC7DC8">
      <w:pPr>
        <w:pStyle w:val="a3"/>
      </w:pPr>
      <w:bookmarkStart w:id="5576" w:name="_Ref145016827"/>
      <w:r>
        <w:rPr>
          <w:rStyle w:val="aff4"/>
          <w:rFonts w:hint="cs"/>
          <w:rtl/>
        </w:rPr>
        <w:t>ו</w:t>
      </w:r>
      <w:r w:rsidRPr="00C07E8C">
        <w:rPr>
          <w:rStyle w:val="aff4"/>
          <w:rFonts w:hint="cs"/>
          <w:rtl/>
        </w:rPr>
        <w:t>ה</w:t>
      </w:r>
      <w:r w:rsidRPr="002F70B4">
        <w:rPr>
          <w:rStyle w:val="aff4"/>
          <w:rFonts w:hint="cs"/>
          <w:vanish/>
          <w:rtl/>
        </w:rPr>
        <w:t xml:space="preserve">&lt;, </w:t>
      </w:r>
      <w:r w:rsidRPr="002F70B4">
        <w:rPr>
          <w:rStyle w:val="aff4"/>
          <w:vanish/>
          <w:rtl/>
        </w:rPr>
        <w:fldChar w:fldCharType="begin"/>
      </w:r>
      <w:r w:rsidRPr="002F70B4">
        <w:rPr>
          <w:rStyle w:val="aff4"/>
          <w:vanish/>
          <w:rtl/>
        </w:rPr>
        <w:instrText xml:space="preserve"> </w:instrText>
      </w:r>
      <w:r w:rsidRPr="002F70B4">
        <w:rPr>
          <w:rStyle w:val="aff4"/>
          <w:rFonts w:hint="cs"/>
          <w:vanish/>
        </w:rPr>
        <w:instrText>REF</w:instrText>
      </w:r>
      <w:r w:rsidRPr="002F70B4">
        <w:rPr>
          <w:rStyle w:val="aff4"/>
          <w:rFonts w:hint="cs"/>
          <w:vanish/>
          <w:rtl/>
        </w:rPr>
        <w:instrText xml:space="preserve"> _</w:instrText>
      </w:r>
      <w:r w:rsidRPr="002F70B4">
        <w:rPr>
          <w:rStyle w:val="aff4"/>
          <w:rFonts w:hint="cs"/>
          <w:vanish/>
        </w:rPr>
        <w:instrText>Ref145016827 \r \h</w:instrText>
      </w:r>
      <w:r w:rsidRPr="002F70B4">
        <w:rPr>
          <w:rStyle w:val="aff4"/>
          <w:vanish/>
          <w:rtl/>
        </w:rPr>
        <w:instrText xml:space="preserve"> </w:instrText>
      </w:r>
      <w:r>
        <w:rPr>
          <w:rStyle w:val="aff4"/>
          <w:vanish/>
          <w:rtl/>
        </w:rPr>
        <w:instrText xml:space="preserve"> \* </w:instrText>
      </w:r>
      <w:r>
        <w:rPr>
          <w:rStyle w:val="aff4"/>
          <w:vanish/>
        </w:rPr>
        <w:instrText>MERGEFORMAT</w:instrText>
      </w:r>
      <w:r>
        <w:rPr>
          <w:rStyle w:val="aff4"/>
          <w:vanish/>
          <w:rtl/>
        </w:rPr>
        <w:instrText xml:space="preserve"> </w:instrText>
      </w:r>
      <w:r w:rsidRPr="002F70B4">
        <w:rPr>
          <w:rStyle w:val="aff4"/>
          <w:vanish/>
          <w:rtl/>
        </w:rPr>
      </w:r>
      <w:r w:rsidRPr="002F70B4">
        <w:rPr>
          <w:rStyle w:val="aff4"/>
          <w:vanish/>
          <w:rtl/>
        </w:rPr>
        <w:fldChar w:fldCharType="separate"/>
      </w:r>
      <w:r w:rsidR="00D82181">
        <w:rPr>
          <w:rStyle w:val="aff4"/>
          <w:vanish/>
          <w:cs/>
        </w:rPr>
        <w:t>‎</w:t>
      </w:r>
      <w:r w:rsidR="00D82181">
        <w:rPr>
          <w:rStyle w:val="aff4"/>
          <w:vanish/>
          <w:rtl/>
        </w:rPr>
        <w:t>לט)</w:t>
      </w:r>
      <w:r w:rsidRPr="002F70B4">
        <w:rPr>
          <w:rStyle w:val="aff4"/>
          <w:vanish/>
          <w:rtl/>
        </w:rPr>
        <w:fldChar w:fldCharType="end"/>
      </w:r>
      <w:r w:rsidRPr="002F70B4">
        <w:rPr>
          <w:rStyle w:val="aff4"/>
          <w:rFonts w:hint="cs"/>
          <w:vanish/>
          <w:rtl/>
        </w:rPr>
        <w:t xml:space="preserve"> &gt;</w:t>
      </w:r>
      <w:r w:rsidRPr="00C07E8C">
        <w:rPr>
          <w:rStyle w:val="aff4"/>
          <w:rFonts w:hint="cs"/>
          <w:rtl/>
        </w:rPr>
        <w:t>רשב"א</w:t>
      </w:r>
      <w:r w:rsidRPr="00E24FB9">
        <w:rPr>
          <w:rStyle w:val="aff4"/>
          <w:rFonts w:hint="cs"/>
          <w:vanish/>
          <w:rtl/>
        </w:rPr>
        <w:t>-</w:t>
      </w:r>
      <w:r w:rsidRPr="002F70B4">
        <w:rPr>
          <w:rFonts w:hint="cs"/>
          <w:rtl/>
        </w:rPr>
        <w:t xml:space="preserve"> </w:t>
      </w:r>
      <w:r w:rsidRPr="00C962CD">
        <w:rPr>
          <w:rStyle w:val="af2"/>
          <w:rFonts w:eastAsia="Guttman Hodes"/>
          <w:rtl/>
        </w:rPr>
        <w:t>(</w:t>
      </w:r>
      <w:r w:rsidRPr="00C962CD">
        <w:rPr>
          <w:rStyle w:val="af2"/>
          <w:rFonts w:eastAsia="Guttman Hodes" w:hint="cs"/>
          <w:rtl/>
        </w:rPr>
        <w:t>ד"ה האי</w:t>
      </w:r>
      <w:r w:rsidRPr="00C962CD">
        <w:rPr>
          <w:rStyle w:val="af2"/>
          <w:rFonts w:eastAsia="Guttman Hodes"/>
          <w:rtl/>
        </w:rPr>
        <w:t>)</w:t>
      </w:r>
      <w:r w:rsidRPr="00DB7A68">
        <w:rPr>
          <w:vanish/>
          <w:rtl/>
        </w:rPr>
        <w:t>=</w:t>
      </w:r>
      <w:r>
        <w:rPr>
          <w:rFonts w:hint="cs"/>
          <w:rtl/>
        </w:rPr>
        <w:t xml:space="preserve"> הביא את דברי </w:t>
      </w:r>
      <w:r w:rsidRPr="00E24FB9">
        <w:rPr>
          <w:rStyle w:val="aff4"/>
          <w:rFonts w:hint="cs"/>
          <w:vanish/>
          <w:rtl/>
        </w:rPr>
        <w:t>-</w:t>
      </w:r>
      <w:r w:rsidRPr="00C07E8C">
        <w:rPr>
          <w:rStyle w:val="aff4"/>
          <w:rFonts w:hint="cs"/>
          <w:rtl/>
        </w:rPr>
        <w:t>הרמב"ן</w:t>
      </w:r>
      <w:r w:rsidRPr="00E24FB9">
        <w:rPr>
          <w:rStyle w:val="aff4"/>
          <w:rFonts w:hint="cs"/>
          <w:vanish/>
          <w:rtl/>
        </w:rPr>
        <w:t>-</w:t>
      </w:r>
      <w:r>
        <w:rPr>
          <w:rFonts w:hint="cs"/>
          <w:rtl/>
        </w:rPr>
        <w:t xml:space="preserve"> </w:t>
      </w:r>
      <w:r w:rsidRPr="00C962CD">
        <w:rPr>
          <w:rStyle w:val="af2"/>
          <w:rFonts w:eastAsia="Guttman Hodes" w:hint="cs"/>
          <w:rtl/>
        </w:rPr>
        <w:t xml:space="preserve">(עי' </w:t>
      </w:r>
      <w:r w:rsidRPr="00BE2719">
        <w:rPr>
          <w:rStyle w:val="af2"/>
          <w:rFonts w:eastAsia="Guttman Rashi" w:hint="cs"/>
          <w:rtl/>
        </w:rPr>
        <w:t xml:space="preserve">אות </w:t>
      </w:r>
      <w:r w:rsidRPr="00BE2719">
        <w:rPr>
          <w:rStyle w:val="af2"/>
          <w:rFonts w:eastAsia="Guttman Rashi"/>
          <w:rtl/>
        </w:rPr>
        <w:fldChar w:fldCharType="begin"/>
      </w:r>
      <w:r w:rsidRPr="00BE2719">
        <w:rPr>
          <w:rStyle w:val="af2"/>
          <w:rFonts w:eastAsia="Guttman Rashi"/>
          <w:rtl/>
        </w:rPr>
        <w:instrText xml:space="preserve"> </w:instrText>
      </w:r>
      <w:r w:rsidRPr="00BE2719">
        <w:rPr>
          <w:rStyle w:val="af2"/>
          <w:rFonts w:eastAsia="Guttman Rashi" w:hint="cs"/>
        </w:rPr>
        <w:instrText>REF</w:instrText>
      </w:r>
      <w:r w:rsidRPr="00BE2719">
        <w:rPr>
          <w:rStyle w:val="af2"/>
          <w:rFonts w:eastAsia="Guttman Rashi" w:hint="cs"/>
          <w:rtl/>
        </w:rPr>
        <w:instrText xml:space="preserve"> _</w:instrText>
      </w:r>
      <w:r w:rsidRPr="00BE2719">
        <w:rPr>
          <w:rStyle w:val="af2"/>
          <w:rFonts w:eastAsia="Guttman Rashi" w:hint="cs"/>
        </w:rPr>
        <w:instrText>Ref145225650 \r \h</w:instrText>
      </w:r>
      <w:r w:rsidRPr="00BE2719">
        <w:rPr>
          <w:rStyle w:val="af2"/>
          <w:rFonts w:eastAsia="Guttman Rashi"/>
          <w:rtl/>
        </w:rPr>
        <w:instrText xml:space="preserve"> </w:instrText>
      </w:r>
      <w:r w:rsidRPr="00BE2719">
        <w:rPr>
          <w:rStyle w:val="af2"/>
          <w:rFonts w:eastAsia="Guttman Rashi"/>
          <w:rtl/>
        </w:rPr>
      </w:r>
      <w:r w:rsidRPr="00BE2719">
        <w:rPr>
          <w:rStyle w:val="af2"/>
          <w:rFonts w:eastAsia="Guttman Rashi"/>
          <w:rtl/>
        </w:rPr>
        <w:fldChar w:fldCharType="separate"/>
      </w:r>
      <w:r w:rsidR="00D82181">
        <w:rPr>
          <w:rStyle w:val="af2"/>
          <w:rFonts w:eastAsia="Guttman Rashi"/>
          <w:cs/>
        </w:rPr>
        <w:t>‎</w:t>
      </w:r>
      <w:r w:rsidR="00D82181">
        <w:rPr>
          <w:rStyle w:val="af2"/>
          <w:rFonts w:eastAsia="Guttman Rashi"/>
          <w:rtl/>
        </w:rPr>
        <w:t>לז)</w:t>
      </w:r>
      <w:r w:rsidRPr="00BE2719">
        <w:rPr>
          <w:rStyle w:val="af2"/>
          <w:rFonts w:eastAsia="Guttman Rashi"/>
          <w:rtl/>
        </w:rPr>
        <w:fldChar w:fldCharType="end"/>
      </w:r>
      <w:r>
        <w:rPr>
          <w:rFonts w:hint="cs"/>
          <w:rtl/>
        </w:rPr>
        <w:t xml:space="preserve"> דכתב דכלי שהתפרק שצריך אומן להחזירו חייב בבונה דהוא כעושה כלי בתחילה דבטל ממנו תורת כלי, וזהו הביאור בגזירה בגמ' לעיל </w:t>
      </w:r>
      <w:r w:rsidRPr="00C962CD">
        <w:rPr>
          <w:rStyle w:val="af2"/>
          <w:rFonts w:eastAsia="Guttman Hodes" w:hint="cs"/>
          <w:rtl/>
        </w:rPr>
        <w:t>(מו.)</w:t>
      </w:r>
      <w:r>
        <w:rPr>
          <w:rFonts w:hint="cs"/>
          <w:rtl/>
        </w:rPr>
        <w:t xml:space="preserve"> </w:t>
      </w:r>
      <w:r>
        <w:rPr>
          <w:rFonts w:hint="cs"/>
          <w:rtl/>
        </w:rPr>
        <w:t xml:space="preserve">בטלטול מנורה של חוליות שמא תתפרק ויחזירה, אך כתב </w:t>
      </w:r>
      <w:r w:rsidRPr="00E24FB9">
        <w:rPr>
          <w:rStyle w:val="aff4"/>
          <w:rFonts w:hint="cs"/>
          <w:vanish/>
          <w:rtl/>
        </w:rPr>
        <w:t>-</w:t>
      </w:r>
      <w:r w:rsidRPr="00C07E8C">
        <w:rPr>
          <w:rStyle w:val="aff4"/>
          <w:rFonts w:hint="cs"/>
          <w:rtl/>
        </w:rPr>
        <w:t>הרשב"א</w:t>
      </w:r>
      <w:r w:rsidRPr="00E24FB9">
        <w:rPr>
          <w:rStyle w:val="aff4"/>
          <w:rFonts w:hint="cs"/>
          <w:vanish/>
          <w:rtl/>
        </w:rPr>
        <w:t>-</w:t>
      </w:r>
      <w:r>
        <w:rPr>
          <w:rFonts w:hint="cs"/>
          <w:rtl/>
        </w:rPr>
        <w:t xml:space="preserve"> דכיון </w:t>
      </w:r>
      <w:r w:rsidRPr="00E24FB9">
        <w:rPr>
          <w:rStyle w:val="aff4"/>
          <w:rFonts w:hint="cs"/>
          <w:vanish/>
          <w:rtl/>
        </w:rPr>
        <w:t>-</w:t>
      </w:r>
      <w:r w:rsidRPr="00C07E8C">
        <w:rPr>
          <w:rStyle w:val="aff4"/>
          <w:rFonts w:hint="cs"/>
          <w:rtl/>
        </w:rPr>
        <w:t>דהרי"ף</w:t>
      </w:r>
      <w:r w:rsidRPr="00E24FB9">
        <w:rPr>
          <w:rStyle w:val="aff4"/>
          <w:rFonts w:hint="cs"/>
          <w:vanish/>
          <w:rtl/>
        </w:rPr>
        <w:t>-</w:t>
      </w:r>
      <w:r>
        <w:rPr>
          <w:rFonts w:hint="cs"/>
          <w:rtl/>
        </w:rPr>
        <w:t xml:space="preserve"> השמיט את הגזירה במנורה של חוליות, משמע דס"ל דהגזירה היא רק למ"ד דיש בנין בכלים.</w:t>
      </w:r>
      <w:bookmarkEnd w:id="5576"/>
    </w:p>
    <w:p w14:paraId="4BB46AD0" w14:textId="77777777" w:rsidR="003E1AA3" w:rsidRPr="00BC7DC8" w:rsidRDefault="003E1AA3" w:rsidP="003E1AA3">
      <w:pPr>
        <w:pStyle w:val="afffffe"/>
        <w:rPr>
          <w:vanish/>
          <w:rtl/>
        </w:rPr>
      </w:pPr>
      <w:r w:rsidRPr="00BC7DC8">
        <w:rPr>
          <w:vanish/>
          <w:rtl/>
        </w:rPr>
        <w:t>חדושי הרשב"א שבת ק"ב ע"ב</w:t>
      </w:r>
      <w:r w:rsidRPr="00BC7DC8">
        <w:rPr>
          <w:rFonts w:hint="cs"/>
          <w:vanish/>
          <w:rtl/>
        </w:rPr>
        <w:t xml:space="preserve"> ד"ה האי</w:t>
      </w:r>
    </w:p>
    <w:p w14:paraId="63728AC5" w14:textId="77777777" w:rsidR="003E1AA3" w:rsidRPr="0018388A" w:rsidRDefault="003E1AA3" w:rsidP="003E1AA3">
      <w:pPr>
        <w:pStyle w:val="a2"/>
        <w:tabs>
          <w:tab w:val="num" w:pos="284"/>
        </w:tabs>
        <w:rPr>
          <w:rtl/>
        </w:rPr>
      </w:pPr>
      <w:r w:rsidRPr="0018388A">
        <w:rPr>
          <w:rtl/>
        </w:rPr>
        <w:t>ולפי זה כתב הרמב"ן ז"ל דאפשר שכל כלי שצריך אומן בחזרתו מיחייב משום בונה דהוה ליה כעושה כלי מתחלתו שהרי משעה שנתפרק ואין ההדיוט יכול להחזירו בטל מתורת כלי, והיינו דגזרינן בפרק כירה (מ"ו א') במנורה של חוליות ואסרינן לה אפילו לטלטל גזירה שמא תפול ותתפרק לגמרי ויחזירנה ונמצא עושה כלי בתחילה, אבל אין נראה כן דעת הרב אלפסי ז"ל לפי שהשמיטה מן ההלכות לומר שאינה הלכה דאזלא כמאן דאמר יש בנין בכלים, ובמקומה (שם) כתבתיה, וכן בפרק קמא דמסכת ביצה (י' א') גבי תריסי חנויות בסייעתא דשמיא</w:t>
      </w:r>
      <w:r w:rsidRPr="0018388A">
        <w:rPr>
          <w:rFonts w:hint="cs"/>
          <w:rtl/>
        </w:rPr>
        <w:t>.</w:t>
      </w:r>
    </w:p>
    <w:p w14:paraId="3C42A645" w14:textId="77777777" w:rsidR="003E1AA3" w:rsidRDefault="003E1AA3" w:rsidP="003E1AA3">
      <w:pPr>
        <w:pStyle w:val="affff5"/>
        <w:rPr>
          <w:rtl/>
        </w:rPr>
      </w:pPr>
      <w:bookmarkStart w:id="5577" w:name="_Toc145233932"/>
      <w:bookmarkEnd w:id="5573"/>
      <w:r w:rsidRPr="000030E1">
        <w:rPr>
          <w:rFonts w:hint="cs"/>
          <w:rtl/>
        </w:rPr>
        <w:t>בי' הבעה"מ</w:t>
      </w:r>
      <w:r>
        <w:rPr>
          <w:rFonts w:hint="cs"/>
          <w:rtl/>
        </w:rPr>
        <w:t xml:space="preserve"> דרק כלי ע"ג כלי ל"ה בנין</w:t>
      </w:r>
      <w:bookmarkEnd w:id="5577"/>
      <w:r w:rsidRPr="0033376C">
        <w:rPr>
          <w:vanish/>
          <w:rtl/>
        </w:rPr>
        <w:t>&lt; # =</w:t>
      </w:r>
    </w:p>
    <w:p w14:paraId="63F184D3" w14:textId="77777777" w:rsidR="003E1AA3" w:rsidRPr="000030E1" w:rsidRDefault="003E1AA3" w:rsidP="003E1AA3">
      <w:pPr>
        <w:pStyle w:val="1"/>
        <w:rPr>
          <w:rtl/>
        </w:rPr>
      </w:pPr>
      <w:bookmarkStart w:id="5578" w:name="_Toc145233933"/>
      <w:r w:rsidRPr="000030E1">
        <w:rPr>
          <w:rFonts w:hint="cs"/>
          <w:rtl/>
        </w:rPr>
        <w:t>בי' הבעה"מ</w:t>
      </w:r>
      <w:r>
        <w:rPr>
          <w:rFonts w:hint="cs"/>
          <w:rtl/>
        </w:rPr>
        <w:t xml:space="preserve"> דחיבור ב' כלים ל"ה בונה אך בונה מיעוט כלי חייב</w:t>
      </w:r>
      <w:bookmarkEnd w:id="5578"/>
    </w:p>
    <w:p w14:paraId="438171BD" w14:textId="77777777" w:rsidR="003E1AA3" w:rsidRPr="00CE39B0" w:rsidRDefault="003E1AA3" w:rsidP="003E1AA3">
      <w:pPr>
        <w:keepNext/>
        <w:keepLines/>
        <w:spacing w:after="0" w:line="240" w:lineRule="auto"/>
        <w:ind w:left="-284"/>
        <w:jc w:val="both"/>
        <w:outlineLvl w:val="1"/>
        <w:rPr>
          <w:rFonts w:ascii="FrankRuehl" w:eastAsia="Guttman Hodes" w:hAnsi="FrankRuehl" w:cs="Guttman Rashi"/>
          <w:bCs/>
          <w:noProof/>
          <w:sz w:val="16"/>
          <w:szCs w:val="16"/>
        </w:rPr>
      </w:pPr>
      <w:r w:rsidRPr="00CE39B0">
        <w:rPr>
          <w:rFonts w:ascii="FrankRuehl" w:eastAsia="Guttman Hodes" w:hAnsi="FrankRuehl" w:cs="Guttman Rashi" w:hint="cs"/>
          <w:bCs/>
          <w:noProof/>
          <w:sz w:val="16"/>
          <w:szCs w:val="16"/>
          <w:rtl/>
        </w:rPr>
        <w:t>בעל המאור שבת ל"ז ע"א מדה"ר</w:t>
      </w:r>
    </w:p>
    <w:p w14:paraId="57F52664" w14:textId="77777777" w:rsidR="003E1AA3" w:rsidRPr="00CE39B0" w:rsidRDefault="003E1AA3" w:rsidP="003E1AA3">
      <w:pPr>
        <w:pStyle w:val="a7"/>
        <w:rPr>
          <w:rtl/>
        </w:rPr>
      </w:pPr>
      <w:bookmarkStart w:id="5579" w:name="_Toc145233934"/>
      <w:r>
        <w:rPr>
          <w:rFonts w:hint="cs"/>
          <w:rtl/>
        </w:rPr>
        <w:t>בי' הבעה"מ דאין בנין בכלים רק בב' כלים זה ע"ג זה כשידה תיבה ומגדל וחיבור ב' מנורות</w:t>
      </w:r>
      <w:bookmarkEnd w:id="5579"/>
    </w:p>
    <w:p w14:paraId="72CEB626" w14:textId="538F1C18" w:rsidR="003E1AA3" w:rsidRDefault="003E1AA3" w:rsidP="00BC7DC8">
      <w:pPr>
        <w:pStyle w:val="a3"/>
      </w:pPr>
      <w:bookmarkStart w:id="5580" w:name="_Ref145225581"/>
      <w:bookmarkStart w:id="5581" w:name="_Ref144309330"/>
      <w:r w:rsidRPr="00CE39B0">
        <w:rPr>
          <w:rFonts w:hint="cs"/>
          <w:rtl/>
        </w:rPr>
        <w:t xml:space="preserve">בהא דאמר רב דעייל שופתא בקופינא דמרא חייב משום בונה, הקשה </w:t>
      </w:r>
      <w:r w:rsidRPr="00E24FB9">
        <w:rPr>
          <w:rStyle w:val="aff4"/>
          <w:rFonts w:hint="cs"/>
          <w:vanish/>
          <w:rtl/>
        </w:rPr>
        <w:t>-</w:t>
      </w:r>
      <w:r w:rsidRPr="00C07E8C">
        <w:rPr>
          <w:rStyle w:val="aff4"/>
          <w:rFonts w:hint="cs"/>
          <w:rtl/>
        </w:rPr>
        <w:t>ה</w:t>
      </w:r>
      <w:r w:rsidRPr="00D12047">
        <w:rPr>
          <w:rStyle w:val="aff4"/>
          <w:rFonts w:hint="cs"/>
          <w:vanish/>
          <w:rtl/>
        </w:rPr>
        <w:t xml:space="preserve">&lt;, </w:t>
      </w:r>
      <w:r w:rsidRPr="00D12047">
        <w:rPr>
          <w:rStyle w:val="aff4"/>
          <w:vanish/>
          <w:rtl/>
        </w:rPr>
        <w:fldChar w:fldCharType="begin"/>
      </w:r>
      <w:r w:rsidRPr="00D12047">
        <w:rPr>
          <w:rStyle w:val="aff4"/>
          <w:vanish/>
          <w:rtl/>
        </w:rPr>
        <w:instrText xml:space="preserve"> </w:instrText>
      </w:r>
      <w:r w:rsidRPr="00D12047">
        <w:rPr>
          <w:rStyle w:val="aff4"/>
          <w:rFonts w:hint="cs"/>
          <w:vanish/>
        </w:rPr>
        <w:instrText>REF</w:instrText>
      </w:r>
      <w:r w:rsidRPr="00D12047">
        <w:rPr>
          <w:rStyle w:val="aff4"/>
          <w:rFonts w:hint="cs"/>
          <w:vanish/>
          <w:rtl/>
        </w:rPr>
        <w:instrText xml:space="preserve"> _</w:instrText>
      </w:r>
      <w:r w:rsidRPr="00D12047">
        <w:rPr>
          <w:rStyle w:val="aff4"/>
          <w:rFonts w:hint="cs"/>
          <w:vanish/>
        </w:rPr>
        <w:instrText>Ref144309330 \r \h</w:instrText>
      </w:r>
      <w:r w:rsidRPr="00D12047">
        <w:rPr>
          <w:rStyle w:val="aff4"/>
          <w:vanish/>
          <w:rtl/>
        </w:rPr>
        <w:instrText xml:space="preserve"> </w:instrText>
      </w:r>
      <w:r w:rsidRPr="00D12047">
        <w:rPr>
          <w:rStyle w:val="aff4"/>
          <w:vanish/>
          <w:rtl/>
        </w:rPr>
      </w:r>
      <w:r w:rsidRPr="00D12047">
        <w:rPr>
          <w:rStyle w:val="aff4"/>
          <w:vanish/>
          <w:rtl/>
        </w:rPr>
        <w:fldChar w:fldCharType="separate"/>
      </w:r>
      <w:r w:rsidR="00D82181">
        <w:rPr>
          <w:rStyle w:val="aff4"/>
          <w:vanish/>
          <w:cs/>
        </w:rPr>
        <w:t>‎</w:t>
      </w:r>
      <w:r w:rsidR="00D82181">
        <w:rPr>
          <w:rStyle w:val="aff4"/>
          <w:vanish/>
          <w:rtl/>
        </w:rPr>
        <w:t>מ)</w:t>
      </w:r>
      <w:r w:rsidRPr="00D12047">
        <w:rPr>
          <w:rStyle w:val="aff4"/>
          <w:vanish/>
          <w:rtl/>
        </w:rPr>
        <w:fldChar w:fldCharType="end"/>
      </w:r>
      <w:r w:rsidRPr="00D12047">
        <w:rPr>
          <w:rStyle w:val="aff4"/>
          <w:rFonts w:hint="cs"/>
          <w:vanish/>
          <w:rtl/>
        </w:rPr>
        <w:t xml:space="preserve"> &gt;</w:t>
      </w:r>
      <w:r w:rsidRPr="00C07E8C">
        <w:rPr>
          <w:rStyle w:val="aff4"/>
          <w:rFonts w:hint="cs"/>
          <w:rtl/>
        </w:rPr>
        <w:t>בעה"מ</w:t>
      </w:r>
      <w:r w:rsidRPr="00E24FB9">
        <w:rPr>
          <w:rStyle w:val="aff4"/>
          <w:rFonts w:hint="cs"/>
          <w:vanish/>
          <w:rtl/>
        </w:rPr>
        <w:t>-</w:t>
      </w:r>
      <w:r w:rsidRPr="00CE39B0">
        <w:rPr>
          <w:rFonts w:hint="cs"/>
          <w:rtl/>
        </w:rPr>
        <w:t xml:space="preserve"> </w:t>
      </w:r>
      <w:r w:rsidRPr="00C962CD">
        <w:rPr>
          <w:rStyle w:val="af2"/>
          <w:rFonts w:eastAsia="Guttman Hodes" w:hint="cs"/>
          <w:rtl/>
        </w:rPr>
        <w:t>(ל"ז. מדה"ר ד"ה עייל, מהדו' עוז והדר עמ' ק"ד)</w:t>
      </w:r>
      <w:r w:rsidRPr="00D12047">
        <w:rPr>
          <w:rFonts w:hint="cs"/>
          <w:vanish/>
          <w:rtl/>
        </w:rPr>
        <w:t>=</w:t>
      </w:r>
      <w:r w:rsidRPr="00CE39B0">
        <w:rPr>
          <w:rFonts w:hint="cs"/>
          <w:rtl/>
        </w:rPr>
        <w:t xml:space="preserve"> דהא קיי"ל בכל הש"ס דאין בנין בכלים, וביאר </w:t>
      </w:r>
      <w:r w:rsidRPr="00E24FB9">
        <w:rPr>
          <w:rStyle w:val="aff4"/>
          <w:rFonts w:hint="cs"/>
          <w:vanish/>
          <w:rtl/>
        </w:rPr>
        <w:t>-</w:t>
      </w:r>
      <w:r w:rsidRPr="00C07E8C">
        <w:rPr>
          <w:rStyle w:val="aff4"/>
          <w:rFonts w:hint="cs"/>
          <w:rtl/>
        </w:rPr>
        <w:t>הבעה"מ</w:t>
      </w:r>
      <w:r w:rsidRPr="00E24FB9">
        <w:rPr>
          <w:rStyle w:val="aff4"/>
          <w:rFonts w:hint="cs"/>
          <w:vanish/>
          <w:rtl/>
        </w:rPr>
        <w:t>-</w:t>
      </w:r>
      <w:r w:rsidRPr="00CE39B0">
        <w:rPr>
          <w:rFonts w:hint="cs"/>
          <w:rtl/>
        </w:rPr>
        <w:t xml:space="preserve"> דהא דאין בנין בכלים הוא דוקא בב' כלים זה ע"ג זה, כשידה תיבה ומגדל בגמ' לקמן </w:t>
      </w:r>
      <w:r w:rsidRPr="00C962CD">
        <w:rPr>
          <w:rStyle w:val="af2"/>
          <w:rFonts w:eastAsia="Guttman Hodes" w:hint="cs"/>
          <w:rtl/>
        </w:rPr>
        <w:t>(קכב:)</w:t>
      </w:r>
      <w:r w:rsidRPr="00CE39B0">
        <w:rPr>
          <w:rFonts w:hint="cs"/>
          <w:rtl/>
        </w:rPr>
        <w:t xml:space="preserve"> דהדרך לעשות כלי למעלה ולמטה, וכן הזוקף מנורה ביו"ט בגמ' בביצה </w:t>
      </w:r>
      <w:r w:rsidRPr="00C962CD">
        <w:rPr>
          <w:rStyle w:val="af2"/>
          <w:rFonts w:eastAsia="Guttman Hodes" w:hint="cs"/>
          <w:rtl/>
        </w:rPr>
        <w:t>(כב.)</w:t>
      </w:r>
      <w:r w:rsidRPr="00CE39B0">
        <w:rPr>
          <w:rFonts w:hint="cs"/>
          <w:rtl/>
        </w:rPr>
        <w:t>, כיון שלפעמים מחברים ב' מנורות קטנות למנורה אחת גדולה</w:t>
      </w:r>
      <w:r>
        <w:rPr>
          <w:rFonts w:hint="cs"/>
          <w:rtl/>
        </w:rPr>
        <w:t>.</w:t>
      </w:r>
      <w:bookmarkEnd w:id="5580"/>
    </w:p>
    <w:p w14:paraId="7F2EB840" w14:textId="77777777" w:rsidR="003E1AA3" w:rsidRPr="0018388A" w:rsidRDefault="003E1AA3" w:rsidP="003E1AA3">
      <w:pPr>
        <w:pStyle w:val="a2"/>
        <w:tabs>
          <w:tab w:val="num" w:pos="284"/>
        </w:tabs>
        <w:rPr>
          <w:rtl/>
        </w:rPr>
      </w:pPr>
      <w:r w:rsidRPr="0018388A">
        <w:rPr>
          <w:rtl/>
        </w:rPr>
        <w:t>עייל שופתא בקופינא דמרא רב אמר משום בונה וסוגיין בכולי תלמודא אין בנין בכלים ואנן כך קבלנו כי אמרי' אין בנין בכלים ה"מ בשני כלים זה על גבי זה כגון שידה תיבה ומגדל שהוזכרו בענין הזה בפרק כל הכלים שדרך בני אדם לעשותם תחתיים שניים ושלישים וכן זקיפת המנורה ביום טוב דאוקימנא במס' יום טוב בפ' יום טוב במנורה של חוליות שפעמים שמחברין ב' קטנות ועושין מהן אחת גדולה</w:t>
      </w:r>
      <w:r w:rsidRPr="0018388A">
        <w:rPr>
          <w:rFonts w:hint="cs"/>
          <w:rtl/>
        </w:rPr>
        <w:t>.</w:t>
      </w:r>
    </w:p>
    <w:p w14:paraId="3E5F778C" w14:textId="77777777" w:rsidR="003E1AA3" w:rsidRPr="003318CF" w:rsidRDefault="003E1AA3" w:rsidP="003E1AA3">
      <w:pPr>
        <w:pStyle w:val="a7"/>
      </w:pPr>
      <w:bookmarkStart w:id="5582" w:name="_Toc145233935"/>
      <w:r>
        <w:rPr>
          <w:rFonts w:hint="cs"/>
          <w:rtl/>
        </w:rPr>
        <w:t>בי' הבעה"מ דבבונה כלי א' או רובו לכו"ע הוי בנין ובשופתא לשמואל דבר מועט ל"ה דרך בנין</w:t>
      </w:r>
      <w:bookmarkEnd w:id="5582"/>
    </w:p>
    <w:p w14:paraId="6F79F8EB" w14:textId="77777777" w:rsidR="003E1AA3" w:rsidRPr="00CE39B0" w:rsidRDefault="003E1AA3" w:rsidP="00BC7DC8">
      <w:pPr>
        <w:pStyle w:val="a3"/>
        <w:rPr>
          <w:rtl/>
        </w:rPr>
      </w:pPr>
      <w:r w:rsidRPr="00CE39B0">
        <w:rPr>
          <w:rFonts w:hint="cs"/>
          <w:rtl/>
        </w:rPr>
        <w:t xml:space="preserve">אך כתב </w:t>
      </w:r>
      <w:r w:rsidRPr="00E24FB9">
        <w:rPr>
          <w:rStyle w:val="aff4"/>
          <w:rFonts w:hint="cs"/>
          <w:vanish/>
          <w:rtl/>
        </w:rPr>
        <w:t>-</w:t>
      </w:r>
      <w:r w:rsidRPr="00C07E8C">
        <w:rPr>
          <w:rStyle w:val="aff4"/>
          <w:rFonts w:hint="cs"/>
          <w:rtl/>
        </w:rPr>
        <w:t>הבעה"מ</w:t>
      </w:r>
      <w:r w:rsidRPr="00E24FB9">
        <w:rPr>
          <w:rStyle w:val="aff4"/>
          <w:rFonts w:hint="cs"/>
          <w:vanish/>
          <w:rtl/>
        </w:rPr>
        <w:t>-</w:t>
      </w:r>
      <w:r w:rsidRPr="00CE39B0">
        <w:rPr>
          <w:rFonts w:hint="cs"/>
          <w:rtl/>
        </w:rPr>
        <w:t xml:space="preserve"> דבבונה כלי אחד לכו"ע אמרינן דיש בנין בכלים כדברי רב, ואף שמואל דפליג הוא רק בשופתא דמרא דאי"ז דרך בנין כיון שהוא דבר מועט, אבל בעושה את כל הכלי או את רובו בדרך של בנין, כגון שמניח נסר ע"ג נסר וכדומה, לכו"ע יש בזה בנין בכלים, והוסיף </w:t>
      </w:r>
      <w:r w:rsidRPr="00E24FB9">
        <w:rPr>
          <w:rStyle w:val="aff4"/>
          <w:rFonts w:hint="cs"/>
          <w:vanish/>
          <w:rtl/>
        </w:rPr>
        <w:t>-</w:t>
      </w:r>
      <w:r w:rsidRPr="00C07E8C">
        <w:rPr>
          <w:rStyle w:val="aff4"/>
          <w:rFonts w:hint="cs"/>
          <w:rtl/>
        </w:rPr>
        <w:t>הבעה"מ</w:t>
      </w:r>
      <w:r w:rsidRPr="00E24FB9">
        <w:rPr>
          <w:rStyle w:val="aff4"/>
          <w:rFonts w:hint="cs"/>
          <w:vanish/>
          <w:rtl/>
        </w:rPr>
        <w:t>-</w:t>
      </w:r>
      <w:r w:rsidRPr="00CE39B0">
        <w:rPr>
          <w:rFonts w:hint="cs"/>
          <w:rtl/>
        </w:rPr>
        <w:t xml:space="preserve"> דהא דאמרינן בגמ' לעיל </w:t>
      </w:r>
      <w:r w:rsidRPr="00C962CD">
        <w:rPr>
          <w:rStyle w:val="af2"/>
          <w:rFonts w:eastAsia="Guttman Hodes" w:hint="cs"/>
          <w:rtl/>
        </w:rPr>
        <w:t>(עד:)</w:t>
      </w:r>
      <w:r w:rsidRPr="00CE39B0">
        <w:rPr>
          <w:rFonts w:hint="cs"/>
          <w:rtl/>
        </w:rPr>
        <w:t xml:space="preserve"> דבחביתא חייב ז' ובחלתא חייב י"א אחד מהם הוא בונה.</w:t>
      </w:r>
      <w:bookmarkEnd w:id="5581"/>
    </w:p>
    <w:p w14:paraId="354F3F04" w14:textId="77777777" w:rsidR="003E1AA3" w:rsidRPr="0018388A" w:rsidRDefault="003E1AA3" w:rsidP="003E1AA3">
      <w:pPr>
        <w:pStyle w:val="a2"/>
        <w:tabs>
          <w:tab w:val="num" w:pos="284"/>
        </w:tabs>
      </w:pPr>
      <w:r w:rsidRPr="0018388A">
        <w:rPr>
          <w:rtl/>
        </w:rPr>
        <w:t>אבל בכלי אחד ד"ה יש בנין כרב דאמר חייב משום בונה וע"כ לא פליג עליה שמואל ואמר שאין דרך בנין בכך אלא בשופתא דקופינא שהוא דבר מועט אבל בעשיית כולו או רובו בדרך בנין שישים נסר ע"ג נסר או כיוצא בזה ד"ה יש בה משום בנין ושבע חטאות דחביתא וי"א דחלתא דמנינן להו למאן דאית ליה הדין סברא מפיק חדא מינייהו ומעיילי תותיה משום בונה.</w:t>
      </w:r>
    </w:p>
    <w:p w14:paraId="3C3148CE" w14:textId="77777777" w:rsidR="003E1AA3" w:rsidRPr="00CE39B0" w:rsidRDefault="003E1AA3" w:rsidP="003E1AA3">
      <w:pPr>
        <w:pStyle w:val="a7"/>
        <w:rPr>
          <w:rtl/>
        </w:rPr>
      </w:pPr>
      <w:bookmarkStart w:id="5583" w:name="_Toc145233936"/>
      <w:r>
        <w:rPr>
          <w:rFonts w:hint="cs"/>
          <w:rtl/>
        </w:rPr>
        <w:t>ד' הי"מ בבעה"מ שיש מחלוקת בכל בנין בכלים אי הוי בנין וקיי"ל כרבא דמתיר</w:t>
      </w:r>
      <w:bookmarkEnd w:id="5583"/>
    </w:p>
    <w:p w14:paraId="49C2E432" w14:textId="77777777" w:rsidR="003E1AA3" w:rsidRPr="00CE39B0" w:rsidRDefault="003E1AA3" w:rsidP="00BC7DC8">
      <w:pPr>
        <w:pStyle w:val="a3"/>
        <w:rPr>
          <w:rtl/>
        </w:rPr>
      </w:pPr>
      <w:r>
        <w:rPr>
          <w:rFonts w:hint="cs"/>
          <w:rtl/>
        </w:rPr>
        <w:t xml:space="preserve">אך </w:t>
      </w:r>
      <w:r w:rsidRPr="00CE39B0">
        <w:rPr>
          <w:rFonts w:hint="cs"/>
          <w:rtl/>
        </w:rPr>
        <w:t xml:space="preserve">הביא </w:t>
      </w:r>
      <w:r w:rsidRPr="00E24FB9">
        <w:rPr>
          <w:rStyle w:val="aff4"/>
          <w:rFonts w:hint="cs"/>
          <w:vanish/>
          <w:rtl/>
        </w:rPr>
        <w:t>-</w:t>
      </w:r>
      <w:r w:rsidRPr="00C07E8C">
        <w:rPr>
          <w:rStyle w:val="aff4"/>
          <w:rFonts w:hint="cs"/>
          <w:rtl/>
        </w:rPr>
        <w:t>הבעה"מ</w:t>
      </w:r>
      <w:r w:rsidRPr="00E24FB9">
        <w:rPr>
          <w:rStyle w:val="aff4"/>
          <w:rFonts w:hint="cs"/>
          <w:vanish/>
          <w:rtl/>
        </w:rPr>
        <w:t>-</w:t>
      </w:r>
      <w:r w:rsidRPr="00CE39B0">
        <w:rPr>
          <w:rFonts w:hint="cs"/>
          <w:rtl/>
        </w:rPr>
        <w:t xml:space="preserve"> בשם </w:t>
      </w:r>
      <w:r w:rsidRPr="00E24FB9">
        <w:rPr>
          <w:rStyle w:val="aff4"/>
          <w:rFonts w:hint="cs"/>
          <w:vanish/>
          <w:rtl/>
        </w:rPr>
        <w:t>-</w:t>
      </w:r>
      <w:r w:rsidRPr="00C07E8C">
        <w:rPr>
          <w:rStyle w:val="aff4"/>
          <w:rFonts w:hint="cs"/>
          <w:rtl/>
        </w:rPr>
        <w:t>י"מ</w:t>
      </w:r>
      <w:r w:rsidRPr="00E24FB9">
        <w:rPr>
          <w:rStyle w:val="aff4"/>
          <w:rFonts w:hint="cs"/>
          <w:vanish/>
          <w:rtl/>
        </w:rPr>
        <w:t>-</w:t>
      </w:r>
      <w:r w:rsidRPr="00CE39B0">
        <w:rPr>
          <w:rFonts w:hint="cs"/>
          <w:rtl/>
        </w:rPr>
        <w:t xml:space="preserve"> ד</w:t>
      </w:r>
      <w:r>
        <w:rPr>
          <w:rFonts w:hint="cs"/>
          <w:rtl/>
        </w:rPr>
        <w:t xml:space="preserve">בכל בנין בכלים </w:t>
      </w:r>
      <w:r w:rsidRPr="00CE39B0">
        <w:rPr>
          <w:rFonts w:hint="cs"/>
          <w:rtl/>
        </w:rPr>
        <w:t>הוא מחלוקת אי יש בנין בכלים</w:t>
      </w:r>
      <w:r>
        <w:rPr>
          <w:rFonts w:hint="cs"/>
          <w:rtl/>
        </w:rPr>
        <w:t>,</w:t>
      </w:r>
      <w:r w:rsidRPr="00CE39B0">
        <w:rPr>
          <w:rFonts w:hint="cs"/>
          <w:rtl/>
        </w:rPr>
        <w:t xml:space="preserve"> </w:t>
      </w:r>
      <w:r>
        <w:rPr>
          <w:rFonts w:hint="cs"/>
          <w:rtl/>
        </w:rPr>
        <w:t>דל</w:t>
      </w:r>
      <w:r w:rsidRPr="00CE39B0">
        <w:rPr>
          <w:rFonts w:hint="cs"/>
          <w:rtl/>
        </w:rPr>
        <w:t xml:space="preserve">גמ' לעיל </w:t>
      </w:r>
      <w:r w:rsidRPr="00C962CD">
        <w:rPr>
          <w:rStyle w:val="af2"/>
          <w:rFonts w:eastAsia="Guttman Hodes" w:hint="cs"/>
          <w:rtl/>
        </w:rPr>
        <w:t>(עד:)</w:t>
      </w:r>
      <w:r>
        <w:rPr>
          <w:rStyle w:val="af2"/>
          <w:rFonts w:eastAsia="Guttman Hodes" w:hint="cs"/>
          <w:rtl/>
        </w:rPr>
        <w:t xml:space="preserve"> </w:t>
      </w:r>
      <w:r w:rsidRPr="00CE39B0">
        <w:rPr>
          <w:rFonts w:hint="cs"/>
          <w:rtl/>
        </w:rPr>
        <w:t>בחביתא וחלתא</w:t>
      </w:r>
      <w:r>
        <w:rPr>
          <w:rFonts w:hint="cs"/>
          <w:rtl/>
        </w:rPr>
        <w:t xml:space="preserve"> יש בנין בכלים</w:t>
      </w:r>
      <w:r w:rsidRPr="00CE39B0">
        <w:rPr>
          <w:rFonts w:hint="cs"/>
          <w:rtl/>
        </w:rPr>
        <w:t xml:space="preserve">, והגמ' בביצה </w:t>
      </w:r>
      <w:r w:rsidRPr="00C962CD">
        <w:rPr>
          <w:rStyle w:val="af2"/>
          <w:rFonts w:eastAsia="Guttman Hodes" w:hint="cs"/>
          <w:rtl/>
        </w:rPr>
        <w:t>(כב.)</w:t>
      </w:r>
      <w:r w:rsidRPr="00CE39B0">
        <w:rPr>
          <w:rFonts w:hint="cs"/>
          <w:rtl/>
        </w:rPr>
        <w:t xml:space="preserve"> היא כמ"ד דאין בנין בכלים, </w:t>
      </w:r>
      <w:r w:rsidRPr="009D01EE">
        <w:rPr>
          <w:rStyle w:val="af"/>
          <w:rFonts w:hint="cs"/>
          <w:rtl/>
        </w:rPr>
        <w:t>[ועי' במ"ש</w:t>
      </w:r>
      <w:r>
        <w:rPr>
          <w:rStyle w:val="af"/>
          <w:rFonts w:hint="cs"/>
          <w:rtl/>
        </w:rPr>
        <w:t xml:space="preserve"> </w:t>
      </w:r>
      <w:r w:rsidRPr="009D01EE">
        <w:rPr>
          <w:rStyle w:val="aff9"/>
          <w:rFonts w:hint="cs"/>
          <w:vanish/>
          <w:rtl/>
        </w:rPr>
        <w:t>-</w:t>
      </w:r>
      <w:r w:rsidRPr="009D01EE">
        <w:rPr>
          <w:rStyle w:val="aff9"/>
          <w:rFonts w:hint="cs"/>
          <w:rtl/>
        </w:rPr>
        <w:t>הבעה"מ</w:t>
      </w:r>
      <w:r w:rsidRPr="009D01EE">
        <w:rPr>
          <w:rStyle w:val="aff9"/>
          <w:rFonts w:hint="cs"/>
          <w:vanish/>
          <w:rtl/>
        </w:rPr>
        <w:t>-</w:t>
      </w:r>
      <w:r w:rsidRPr="009D01EE">
        <w:rPr>
          <w:rStyle w:val="af"/>
          <w:rFonts w:hint="cs"/>
          <w:rtl/>
        </w:rPr>
        <w:t xml:space="preserve"> לפי"ז בדין מנורה דאית בה חידקי</w:t>
      </w:r>
      <w:r>
        <w:rPr>
          <w:rFonts w:hint="cs"/>
          <w:sz w:val="12"/>
          <w:szCs w:val="14"/>
          <w:rtl/>
        </w:rPr>
        <w:t>, אי"ה יובאו דבריו בהמשך</w:t>
      </w:r>
      <w:r w:rsidRPr="009D01EE">
        <w:rPr>
          <w:rStyle w:val="af"/>
          <w:rFonts w:hint="cs"/>
          <w:rtl/>
        </w:rPr>
        <w:t xml:space="preserve">] </w:t>
      </w:r>
      <w:r w:rsidRPr="00CE39B0">
        <w:rPr>
          <w:rFonts w:hint="cs"/>
          <w:rtl/>
        </w:rPr>
        <w:t xml:space="preserve">וכתב </w:t>
      </w:r>
      <w:r w:rsidRPr="00E24FB9">
        <w:rPr>
          <w:rStyle w:val="aff4"/>
          <w:rFonts w:hint="cs"/>
          <w:vanish/>
          <w:rtl/>
        </w:rPr>
        <w:t>-</w:t>
      </w:r>
      <w:r w:rsidRPr="00C07E8C">
        <w:rPr>
          <w:rStyle w:val="aff4"/>
          <w:rFonts w:hint="cs"/>
          <w:rtl/>
        </w:rPr>
        <w:t>הבעה"מ</w:t>
      </w:r>
      <w:r w:rsidRPr="00E24FB9">
        <w:rPr>
          <w:rStyle w:val="aff4"/>
          <w:rFonts w:hint="cs"/>
          <w:vanish/>
          <w:rtl/>
        </w:rPr>
        <w:t>-</w:t>
      </w:r>
      <w:r w:rsidRPr="00CE39B0">
        <w:rPr>
          <w:rFonts w:hint="cs"/>
          <w:rtl/>
        </w:rPr>
        <w:t xml:space="preserve"> דלפי"ז נחלקו אביי ורבא בגמ' לקמן </w:t>
      </w:r>
      <w:r w:rsidRPr="00C962CD">
        <w:rPr>
          <w:rStyle w:val="af2"/>
          <w:rFonts w:eastAsia="Guttman Hodes" w:hint="cs"/>
          <w:rtl/>
        </w:rPr>
        <w:t>(קכב:)</w:t>
      </w:r>
      <w:r w:rsidRPr="00CE39B0">
        <w:rPr>
          <w:rFonts w:hint="cs"/>
          <w:rtl/>
        </w:rPr>
        <w:t xml:space="preserve"> אי יש בנין בכלים, וקיי"ל כרבא דאין בנין בכלים.</w:t>
      </w:r>
    </w:p>
    <w:p w14:paraId="54B93871" w14:textId="77777777" w:rsidR="003E1AA3" w:rsidRPr="0018388A" w:rsidRDefault="003E1AA3" w:rsidP="003E1AA3">
      <w:pPr>
        <w:pStyle w:val="a2"/>
        <w:tabs>
          <w:tab w:val="num" w:pos="284"/>
        </w:tabs>
      </w:pPr>
      <w:r w:rsidRPr="0018388A">
        <w:rPr>
          <w:rtl/>
        </w:rPr>
        <w:t xml:space="preserve">ואית דבעו למימר פלוגתא אינון וההיא דאמרינן במס' יום טוב אזלא כמ"ד אין בנין בכלים </w:t>
      </w:r>
      <w:r w:rsidRPr="009D01EE">
        <w:rPr>
          <w:rStyle w:val="afff7"/>
          <w:rtl/>
        </w:rPr>
        <w:t>אבל למ"ד יש בנין בכלים מוקים לה לההיא במנורה דאית בה חדקי כגון חוליות דב"ש סברי גזרינן משום מנורה של חוליות וב"ה סברי לא גזרינן ביום טוב כיון דמנורה צורך יום טוב הוא ור' יוחנן דאסר במנורה דאית בה חדקי כעין חוליות לטלטלה בשבת כדאי' בפ' כירה סבר לה כמ"ד יש בנין בכלים לפיכך החמיר בה אפי' בקטנה דאית בה חדקי</w:t>
      </w:r>
      <w:r w:rsidRPr="0018388A">
        <w:rPr>
          <w:rtl/>
        </w:rPr>
        <w:t xml:space="preserve"> ובפ' כל הכלים היא פלוגתא דאביי ורבא וכיון דקי"ל כרבא דהוא בתרא </w:t>
      </w:r>
      <w:r w:rsidRPr="009D01EE">
        <w:rPr>
          <w:rStyle w:val="afff7"/>
          <w:rFonts w:hint="cs"/>
          <w:rtl/>
        </w:rPr>
        <w:t>ור' יוסי (הגלילי) [גלילאה] איקלע לאתריה דר' יוסי בר' חנינא וטלטל מנרתא לפיכך לא חש לה הרי"ף לכתוב פלוגתא דר' יוחנן וריש לקיש במנורה בפ' כירה ואין טעם זה מספיק כל הצורך לתקן דברי הרי"ף ז"ל כיון דחוליות בין גדולה בין קטנה אסור לטלטלה בשבת וכן גדולה דאית ביה חדקי היה לו לכתוב ולפרש דבר זה.</w:t>
      </w:r>
    </w:p>
    <w:p w14:paraId="60B71E91" w14:textId="77777777" w:rsidR="003E1AA3" w:rsidRDefault="003E1AA3" w:rsidP="003E1AA3">
      <w:pPr>
        <w:pStyle w:val="a7"/>
        <w:rPr>
          <w:rtl/>
        </w:rPr>
      </w:pPr>
      <w:bookmarkStart w:id="5584" w:name="_Toc145019568"/>
      <w:bookmarkStart w:id="5585" w:name="_Toc145233937"/>
    </w:p>
    <w:p w14:paraId="6C1C8082" w14:textId="77777777" w:rsidR="003E1AA3" w:rsidRDefault="003E1AA3" w:rsidP="003E1AA3">
      <w:pPr>
        <w:pStyle w:val="a7"/>
        <w:rPr>
          <w:rtl/>
        </w:rPr>
      </w:pPr>
    </w:p>
    <w:p w14:paraId="1C7AE148" w14:textId="77777777" w:rsidR="003E1AA3" w:rsidRDefault="003E1AA3" w:rsidP="003E1AA3">
      <w:pPr>
        <w:pStyle w:val="a7"/>
        <w:rPr>
          <w:rtl/>
        </w:rPr>
      </w:pPr>
    </w:p>
    <w:p w14:paraId="312149EB" w14:textId="77777777" w:rsidR="003E1AA3" w:rsidRPr="00D106C4" w:rsidRDefault="003E1AA3" w:rsidP="003E1AA3">
      <w:pPr>
        <w:pStyle w:val="a7"/>
        <w:rPr>
          <w:rtl/>
        </w:rPr>
      </w:pPr>
    </w:p>
    <w:p w14:paraId="651D9024" w14:textId="77777777" w:rsidR="003E1AA3" w:rsidRDefault="003E1AA3" w:rsidP="003E1AA3">
      <w:pPr>
        <w:pStyle w:val="affff5"/>
        <w:rPr>
          <w:rtl/>
        </w:rPr>
      </w:pPr>
      <w:r>
        <w:rPr>
          <w:rFonts w:hint="cs"/>
          <w:rtl/>
        </w:rPr>
        <w:t>ד' הרי"ד</w:t>
      </w:r>
      <w:bookmarkEnd w:id="5584"/>
      <w:r>
        <w:rPr>
          <w:rFonts w:hint="cs"/>
          <w:rtl/>
        </w:rPr>
        <w:t xml:space="preserve"> דתיקון הצריך אומן הוי בונה</w:t>
      </w:r>
      <w:bookmarkEnd w:id="5585"/>
      <w:r w:rsidRPr="0033376C">
        <w:rPr>
          <w:vanish/>
          <w:rtl/>
        </w:rPr>
        <w:t>&lt; # =</w:t>
      </w:r>
    </w:p>
    <w:p w14:paraId="3A2F91C4" w14:textId="77777777" w:rsidR="003E1AA3" w:rsidRPr="00A45DDD" w:rsidRDefault="003E1AA3" w:rsidP="003E1AA3">
      <w:pPr>
        <w:pStyle w:val="1"/>
        <w:rPr>
          <w:rtl/>
        </w:rPr>
      </w:pPr>
      <w:bookmarkStart w:id="5586" w:name="_Toc145019569"/>
      <w:bookmarkStart w:id="5587" w:name="_Toc145233938"/>
      <w:r>
        <w:rPr>
          <w:rFonts w:hint="cs"/>
          <w:rtl/>
        </w:rPr>
        <w:lastRenderedPageBreak/>
        <w:t xml:space="preserve">בי' </w:t>
      </w:r>
      <w:bookmarkEnd w:id="5586"/>
      <w:r>
        <w:rPr>
          <w:rFonts w:hint="cs"/>
          <w:rtl/>
        </w:rPr>
        <w:t>פסקי הרי"ד דכלי גדול שא"צ אומן נח' בעירובין אי הוי בונה</w:t>
      </w:r>
      <w:bookmarkEnd w:id="5587"/>
    </w:p>
    <w:p w14:paraId="4DF7DA21" w14:textId="77777777" w:rsidR="003E1AA3" w:rsidRPr="00FC269C" w:rsidRDefault="003E1AA3" w:rsidP="003E1AA3">
      <w:pPr>
        <w:pStyle w:val="afffff7"/>
        <w:rPr>
          <w:rtl/>
        </w:rPr>
      </w:pPr>
      <w:bookmarkStart w:id="5588" w:name="_Toc145234034"/>
      <w:bookmarkStart w:id="5589" w:name="_Toc163506292"/>
      <w:r w:rsidRPr="00FC269C">
        <w:rPr>
          <w:rtl/>
        </w:rPr>
        <w:t xml:space="preserve">פסקי רי"ד עירובין </w:t>
      </w:r>
      <w:r w:rsidRPr="00FC269C">
        <w:rPr>
          <w:rFonts w:hint="cs"/>
          <w:rtl/>
        </w:rPr>
        <w:t xml:space="preserve">ל"ה </w:t>
      </w:r>
      <w:r w:rsidRPr="00FC269C">
        <w:rPr>
          <w:rtl/>
        </w:rPr>
        <w:t>ע</w:t>
      </w:r>
      <w:r w:rsidRPr="00FC269C">
        <w:rPr>
          <w:rFonts w:hint="cs"/>
          <w:rtl/>
        </w:rPr>
        <w:t>"</w:t>
      </w:r>
      <w:r w:rsidRPr="00FC269C">
        <w:rPr>
          <w:rtl/>
        </w:rPr>
        <w:t>א</w:t>
      </w:r>
      <w:r w:rsidRPr="00FC269C">
        <w:rPr>
          <w:rFonts w:hint="cs"/>
          <w:rtl/>
        </w:rPr>
        <w:t xml:space="preserve"> ד"ה רבה</w:t>
      </w:r>
      <w:bookmarkEnd w:id="5588"/>
      <w:bookmarkEnd w:id="5589"/>
    </w:p>
    <w:p w14:paraId="3877FA3B" w14:textId="77777777" w:rsidR="003E1AA3" w:rsidRDefault="003E1AA3" w:rsidP="003E1AA3">
      <w:pPr>
        <w:pStyle w:val="a7"/>
        <w:rPr>
          <w:rtl/>
        </w:rPr>
      </w:pPr>
      <w:bookmarkStart w:id="5590" w:name="_Toc145019570"/>
      <w:bookmarkStart w:id="5591" w:name="_Toc145233939"/>
      <w:r>
        <w:rPr>
          <w:rFonts w:hint="cs"/>
          <w:rtl/>
        </w:rPr>
        <w:t>בי' פסקי הרי"ד דכלי גדול שא"צ אומן לשוברו נח' ת"ק ור"א אי הוי כאוהל ויש בנין וסתירה</w:t>
      </w:r>
      <w:bookmarkEnd w:id="5590"/>
      <w:bookmarkEnd w:id="5591"/>
    </w:p>
    <w:p w14:paraId="6DC785E5" w14:textId="518F2E0A" w:rsidR="003E1AA3" w:rsidRPr="002C51C8" w:rsidRDefault="003E1AA3" w:rsidP="00BC7DC8">
      <w:pPr>
        <w:pStyle w:val="a3"/>
        <w:rPr>
          <w:rtl/>
        </w:rPr>
      </w:pPr>
      <w:bookmarkStart w:id="5592" w:name="_Ref144843303"/>
      <w:r>
        <w:rPr>
          <w:rFonts w:hint="cs"/>
          <w:rtl/>
        </w:rPr>
        <w:t>כתב</w:t>
      </w:r>
      <w:r>
        <w:rPr>
          <w:rtl/>
        </w:rPr>
        <w:t xml:space="preserve"> </w:t>
      </w:r>
      <w:r w:rsidRPr="00F722E6">
        <w:rPr>
          <w:rFonts w:hint="cs"/>
          <w:b/>
          <w:bCs/>
          <w:rtl/>
        </w:rPr>
        <w:t>ב</w:t>
      </w:r>
      <w:r w:rsidRPr="00F722E6">
        <w:rPr>
          <w:rFonts w:hint="cs"/>
          <w:b/>
          <w:bCs/>
          <w:vanish/>
          <w:rtl/>
        </w:rPr>
        <w:t xml:space="preserve">&lt;, </w:t>
      </w:r>
      <w:bookmarkStart w:id="5593" w:name="_Hlk144843366"/>
      <w:r w:rsidRPr="00F722E6">
        <w:rPr>
          <w:b/>
          <w:bCs/>
          <w:vanish/>
          <w:rtl/>
        </w:rPr>
        <w:fldChar w:fldCharType="begin"/>
      </w:r>
      <w:r w:rsidRPr="00F722E6">
        <w:rPr>
          <w:b/>
          <w:bCs/>
          <w:vanish/>
          <w:rtl/>
        </w:rPr>
        <w:instrText xml:space="preserve"> </w:instrText>
      </w:r>
      <w:r w:rsidRPr="00F722E6">
        <w:rPr>
          <w:rFonts w:hint="cs"/>
          <w:b/>
          <w:bCs/>
          <w:vanish/>
        </w:rPr>
        <w:instrText>REF</w:instrText>
      </w:r>
      <w:r w:rsidRPr="00F722E6">
        <w:rPr>
          <w:rFonts w:hint="cs"/>
          <w:b/>
          <w:bCs/>
          <w:vanish/>
          <w:rtl/>
        </w:rPr>
        <w:instrText xml:space="preserve"> _</w:instrText>
      </w:r>
      <w:r w:rsidRPr="00F722E6">
        <w:rPr>
          <w:rFonts w:hint="cs"/>
          <w:b/>
          <w:bCs/>
          <w:vanish/>
        </w:rPr>
        <w:instrText>Ref144843303 \r \h</w:instrText>
      </w:r>
      <w:r w:rsidRPr="00F722E6">
        <w:rPr>
          <w:b/>
          <w:bCs/>
          <w:vanish/>
          <w:rtl/>
        </w:rPr>
        <w:instrText xml:space="preserve"> </w:instrText>
      </w:r>
      <w:r>
        <w:rPr>
          <w:b/>
          <w:bCs/>
          <w:vanish/>
          <w:rtl/>
        </w:rPr>
        <w:instrText xml:space="preserve"> \* </w:instrText>
      </w:r>
      <w:r>
        <w:rPr>
          <w:b/>
          <w:bCs/>
          <w:vanish/>
        </w:rPr>
        <w:instrText>MERGEFORMAT</w:instrText>
      </w:r>
      <w:r>
        <w:rPr>
          <w:b/>
          <w:bCs/>
          <w:vanish/>
          <w:rtl/>
        </w:rPr>
        <w:instrText xml:space="preserve"> </w:instrText>
      </w:r>
      <w:r w:rsidRPr="00F722E6">
        <w:rPr>
          <w:b/>
          <w:bCs/>
          <w:vanish/>
          <w:rtl/>
        </w:rPr>
      </w:r>
      <w:r w:rsidRPr="00F722E6">
        <w:rPr>
          <w:b/>
          <w:bCs/>
          <w:vanish/>
          <w:rtl/>
        </w:rPr>
        <w:fldChar w:fldCharType="separate"/>
      </w:r>
      <w:r w:rsidR="00D82181">
        <w:rPr>
          <w:b/>
          <w:bCs/>
          <w:vanish/>
          <w:cs/>
        </w:rPr>
        <w:t>‎</w:t>
      </w:r>
      <w:r w:rsidR="00D82181">
        <w:rPr>
          <w:b/>
          <w:bCs/>
          <w:vanish/>
          <w:rtl/>
        </w:rPr>
        <w:t>מג)</w:t>
      </w:r>
      <w:r w:rsidRPr="00F722E6">
        <w:rPr>
          <w:b/>
          <w:bCs/>
          <w:vanish/>
          <w:rtl/>
        </w:rPr>
        <w:fldChar w:fldCharType="end"/>
      </w:r>
      <w:bookmarkEnd w:id="5593"/>
      <w:r w:rsidRPr="00F722E6">
        <w:rPr>
          <w:rFonts w:hint="cs"/>
          <w:b/>
          <w:bCs/>
          <w:vanish/>
          <w:rtl/>
        </w:rPr>
        <w:t xml:space="preserve"> &gt;</w:t>
      </w:r>
      <w:r w:rsidRPr="00F722E6">
        <w:rPr>
          <w:rFonts w:hint="cs"/>
          <w:b/>
          <w:bCs/>
          <w:rtl/>
        </w:rPr>
        <w:t>פסקי הרי"ד</w:t>
      </w:r>
      <w:r w:rsidRPr="00F722E6">
        <w:rPr>
          <w:b/>
          <w:bCs/>
          <w:rtl/>
        </w:rPr>
        <w:t xml:space="preserve"> </w:t>
      </w:r>
      <w:r w:rsidRPr="00F722E6">
        <w:rPr>
          <w:rFonts w:ascii="Calibri" w:eastAsia="Times New Roman" w:hAnsi="Calibri" w:cs="Guttman Rashi"/>
          <w:noProof w:val="0"/>
          <w:sz w:val="10"/>
          <w:szCs w:val="12"/>
          <w:rtl/>
        </w:rPr>
        <w:t>(</w:t>
      </w:r>
      <w:r w:rsidRPr="00F722E6">
        <w:rPr>
          <w:rFonts w:ascii="Calibri" w:eastAsia="Times New Roman" w:hAnsi="Calibri" w:cs="Guttman Rashi" w:hint="cs"/>
          <w:noProof w:val="0"/>
          <w:sz w:val="10"/>
          <w:szCs w:val="12"/>
          <w:rtl/>
        </w:rPr>
        <w:t>לה. ד"ה רבה</w:t>
      </w:r>
      <w:r w:rsidRPr="00F722E6">
        <w:rPr>
          <w:rFonts w:ascii="Calibri" w:eastAsia="Times New Roman" w:hAnsi="Calibri" w:cs="Guttman Rashi"/>
          <w:noProof w:val="0"/>
          <w:sz w:val="10"/>
          <w:szCs w:val="12"/>
          <w:rtl/>
        </w:rPr>
        <w:t>)</w:t>
      </w:r>
      <w:r w:rsidRPr="00F722E6">
        <w:rPr>
          <w:vanish/>
          <w:rtl/>
        </w:rPr>
        <w:t>=</w:t>
      </w:r>
      <w:r>
        <w:rPr>
          <w:rtl/>
        </w:rPr>
        <w:t xml:space="preserve"> </w:t>
      </w:r>
      <w:r>
        <w:rPr>
          <w:rFonts w:hint="cs"/>
          <w:rtl/>
        </w:rPr>
        <w:t>דבמגדל של עץ שמחזיק מ' סאה, וא"צ כלי אומנות לשוברו, דנחלקו ת"ק ור"א אם הוא כאוהל, דיצא מתורת כלי דאינו מקבל טומאה, והוא כקרקע דיש בה בנין וסתירה אף במעשה הדיוט, או דחשיב ככלי.</w:t>
      </w:r>
      <w:bookmarkEnd w:id="5592"/>
    </w:p>
    <w:p w14:paraId="1A688194" w14:textId="77777777" w:rsidR="003E1AA3" w:rsidRPr="00BC7DC8" w:rsidRDefault="003E1AA3" w:rsidP="003E1AA3">
      <w:pPr>
        <w:pStyle w:val="afffffe"/>
        <w:rPr>
          <w:vanish/>
          <w:rtl/>
        </w:rPr>
      </w:pPr>
      <w:r w:rsidRPr="00BC7DC8">
        <w:rPr>
          <w:vanish/>
          <w:rtl/>
        </w:rPr>
        <w:t xml:space="preserve">פסקי רי"ד עירובין </w:t>
      </w:r>
      <w:r w:rsidRPr="00BC7DC8">
        <w:rPr>
          <w:rFonts w:hint="cs"/>
          <w:vanish/>
          <w:rtl/>
        </w:rPr>
        <w:t xml:space="preserve">ל"ה </w:t>
      </w:r>
      <w:r w:rsidRPr="00BC7DC8">
        <w:rPr>
          <w:vanish/>
          <w:rtl/>
        </w:rPr>
        <w:t>ע</w:t>
      </w:r>
      <w:r w:rsidRPr="00BC7DC8">
        <w:rPr>
          <w:rFonts w:hint="cs"/>
          <w:vanish/>
          <w:rtl/>
        </w:rPr>
        <w:t>"</w:t>
      </w:r>
      <w:r w:rsidRPr="00BC7DC8">
        <w:rPr>
          <w:vanish/>
          <w:rtl/>
        </w:rPr>
        <w:t>א</w:t>
      </w:r>
      <w:r w:rsidRPr="00BC7DC8">
        <w:rPr>
          <w:rFonts w:hint="cs"/>
          <w:vanish/>
          <w:rtl/>
        </w:rPr>
        <w:t xml:space="preserve"> ד"ה רבה</w:t>
      </w:r>
    </w:p>
    <w:p w14:paraId="363FC715" w14:textId="77777777" w:rsidR="003E1AA3" w:rsidRPr="0018388A" w:rsidRDefault="003E1AA3" w:rsidP="003E1AA3">
      <w:pPr>
        <w:pStyle w:val="a2"/>
        <w:tabs>
          <w:tab w:val="num" w:pos="284"/>
        </w:tabs>
      </w:pPr>
      <w:r w:rsidRPr="0018388A">
        <w:rPr>
          <w:rtl/>
        </w:rPr>
        <w:t>רבה ורב יוסף דאמרי תרויהו הכא במגדל שלעץ עסיק', מר סבר כלי הוא ואין בניין וסתירה בכלים. פירוש כגון שלא היה צריך כלי אומנות לשברו. ומר סבר אהל הוא. פי' מפני שהוא מחזיק מ' סאה בלח, שהן כורים ביבש, ויצא מתורת כלי ואינו מקבל טומאה וחשיב כקרקע ויש בניין וסתירה בקרקע אפילו במעשה הדיוט שאינו צריך מעשה אומן.</w:t>
      </w:r>
    </w:p>
    <w:p w14:paraId="47C552EF" w14:textId="77777777" w:rsidR="003E1AA3" w:rsidRPr="00FC269C" w:rsidRDefault="003E1AA3" w:rsidP="003E1AA3">
      <w:pPr>
        <w:pStyle w:val="afffff7"/>
        <w:rPr>
          <w:rtl/>
        </w:rPr>
      </w:pPr>
      <w:bookmarkStart w:id="5594" w:name="_Toc145234035"/>
      <w:bookmarkStart w:id="5595" w:name="_Toc163506293"/>
      <w:r w:rsidRPr="00FC269C">
        <w:rPr>
          <w:rFonts w:hint="cs"/>
          <w:rtl/>
        </w:rPr>
        <w:t xml:space="preserve">חידושי רבינו משה קזיס פרק חבית ד"ה </w:t>
      </w:r>
      <w:r w:rsidRPr="00FC269C">
        <w:rPr>
          <w:rtl/>
        </w:rPr>
        <w:t>ומצאתי שכתב</w:t>
      </w:r>
      <w:bookmarkEnd w:id="5594"/>
      <w:bookmarkEnd w:id="5595"/>
    </w:p>
    <w:p w14:paraId="780B80A6" w14:textId="77777777" w:rsidR="003E1AA3" w:rsidRDefault="003E1AA3" w:rsidP="003E1AA3">
      <w:pPr>
        <w:pStyle w:val="a7"/>
        <w:rPr>
          <w:rtl/>
        </w:rPr>
      </w:pPr>
      <w:bookmarkStart w:id="5596" w:name="_Toc145019571"/>
      <w:bookmarkStart w:id="5597" w:name="_Toc145233940"/>
      <w:r>
        <w:rPr>
          <w:rFonts w:hint="cs"/>
          <w:rtl/>
        </w:rPr>
        <w:t>בי' המהר"ם קזיס בפסקי הרי"ד דבמעשה אומן אין חילוק בין כלי גדול לקטן וזה הבי' בשופתא</w:t>
      </w:r>
      <w:bookmarkEnd w:id="5596"/>
      <w:bookmarkEnd w:id="5597"/>
    </w:p>
    <w:p w14:paraId="6C535ABC" w14:textId="71D2B7EE" w:rsidR="003E1AA3" w:rsidRPr="00EA34F7" w:rsidRDefault="003E1AA3" w:rsidP="00BC7DC8">
      <w:pPr>
        <w:pStyle w:val="a3"/>
        <w:rPr>
          <w:rStyle w:val="af"/>
          <w:sz w:val="18"/>
          <w:szCs w:val="18"/>
        </w:rPr>
      </w:pPr>
      <w:bookmarkStart w:id="5598" w:name="_Ref144897507"/>
      <w:r>
        <w:rPr>
          <w:rFonts w:hint="cs"/>
          <w:rtl/>
        </w:rPr>
        <w:t>וכתב</w:t>
      </w:r>
      <w:r>
        <w:rPr>
          <w:rtl/>
        </w:rPr>
        <w:t xml:space="preserve"> </w:t>
      </w:r>
      <w:r>
        <w:rPr>
          <w:rFonts w:hint="cs"/>
          <w:b/>
          <w:bCs/>
          <w:vanish/>
          <w:rtl/>
        </w:rPr>
        <w:t xml:space="preserve">&lt;, </w:t>
      </w:r>
      <w:r>
        <w:rPr>
          <w:b/>
          <w:bCs/>
          <w:vanish/>
          <w:rtl/>
        </w:rPr>
        <w:fldChar w:fldCharType="begin"/>
      </w:r>
      <w:r>
        <w:rPr>
          <w:b/>
          <w:bCs/>
          <w:vanish/>
          <w:rtl/>
        </w:rPr>
        <w:instrText xml:space="preserve"> </w:instrText>
      </w:r>
      <w:r>
        <w:rPr>
          <w:rFonts w:hint="cs"/>
          <w:b/>
          <w:bCs/>
          <w:vanish/>
        </w:rPr>
        <w:instrText>REF</w:instrText>
      </w:r>
      <w:r>
        <w:rPr>
          <w:rFonts w:hint="cs"/>
          <w:b/>
          <w:bCs/>
          <w:vanish/>
          <w:rtl/>
        </w:rPr>
        <w:instrText xml:space="preserve"> _</w:instrText>
      </w:r>
      <w:r>
        <w:rPr>
          <w:rFonts w:hint="cs"/>
          <w:b/>
          <w:bCs/>
          <w:vanish/>
        </w:rPr>
        <w:instrText>Ref144897507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מד)</w:t>
      </w:r>
      <w:r>
        <w:rPr>
          <w:b/>
          <w:bCs/>
          <w:vanish/>
          <w:rtl/>
        </w:rPr>
        <w:fldChar w:fldCharType="end"/>
      </w:r>
      <w:r>
        <w:rPr>
          <w:rFonts w:hint="cs"/>
          <w:b/>
          <w:bCs/>
          <w:vanish/>
          <w:rtl/>
        </w:rPr>
        <w:t xml:space="preserve"> &gt;</w:t>
      </w:r>
      <w:r>
        <w:rPr>
          <w:rFonts w:hint="cs"/>
          <w:b/>
          <w:bCs/>
          <w:rtl/>
        </w:rPr>
        <w:t>רבינו משה קזיס</w:t>
      </w:r>
      <w:r w:rsidRPr="00244AE6">
        <w:rPr>
          <w:rtl/>
        </w:rPr>
        <w:t xml:space="preserve"> </w:t>
      </w:r>
      <w:r w:rsidRPr="004C6502">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ריש פרק חבית ד"ה ומצאתי שכתב</w:t>
      </w:r>
      <w:r w:rsidRPr="004C6502">
        <w:rPr>
          <w:rFonts w:ascii="Calibri" w:eastAsia="Times New Roman" w:hAnsi="Calibri" w:cs="Guttman Rashi"/>
          <w:noProof w:val="0"/>
          <w:sz w:val="10"/>
          <w:szCs w:val="12"/>
          <w:rtl/>
        </w:rPr>
        <w:t>)</w:t>
      </w:r>
      <w:r w:rsidRPr="004C6502">
        <w:rPr>
          <w:vanish/>
          <w:rtl/>
        </w:rPr>
        <w:t>=</w:t>
      </w:r>
      <w:r>
        <w:rPr>
          <w:rtl/>
        </w:rPr>
        <w:t xml:space="preserve"> </w:t>
      </w:r>
      <w:r>
        <w:rPr>
          <w:rFonts w:hint="cs"/>
          <w:rtl/>
        </w:rPr>
        <w:t>דמבואר מדברי</w:t>
      </w:r>
      <w:r>
        <w:rPr>
          <w:rFonts w:hint="cs"/>
          <w:b/>
          <w:bCs/>
          <w:rtl/>
        </w:rPr>
        <w:t xml:space="preserve"> פסקי הרי"ד בעירובין</w:t>
      </w:r>
      <w:r w:rsidRPr="00234FC7">
        <w:rPr>
          <w:rStyle w:val="af2"/>
          <w:rFonts w:eastAsia="Guttman Hodes"/>
          <w:rtl/>
        </w:rPr>
        <w:t xml:space="preserve"> (</w:t>
      </w:r>
      <w:r w:rsidRPr="00AD49C0">
        <w:rPr>
          <w:rStyle w:val="af2"/>
          <w:rFonts w:eastAsia="Guttman Hodes"/>
          <w:rtl/>
        </w:rPr>
        <w:t xml:space="preserve">עי' אות </w:t>
      </w:r>
      <w:r w:rsidRPr="00AD49C0">
        <w:rPr>
          <w:rStyle w:val="af2"/>
          <w:rFonts w:eastAsia="Guttman Hodes"/>
          <w:rtl/>
        </w:rPr>
        <w:fldChar w:fldCharType="begin"/>
      </w:r>
      <w:r w:rsidRPr="00AD49C0">
        <w:rPr>
          <w:rStyle w:val="af2"/>
          <w:rFonts w:eastAsia="Guttman Hodes"/>
          <w:rtl/>
        </w:rPr>
        <w:instrText xml:space="preserve"> </w:instrText>
      </w:r>
      <w:r w:rsidRPr="00AD49C0">
        <w:rPr>
          <w:rStyle w:val="af2"/>
          <w:rFonts w:eastAsia="Guttman Hodes" w:hint="cs"/>
        </w:rPr>
        <w:instrText>REF</w:instrText>
      </w:r>
      <w:r w:rsidRPr="00AD49C0">
        <w:rPr>
          <w:rStyle w:val="af2"/>
          <w:rFonts w:eastAsia="Guttman Hodes" w:hint="cs"/>
          <w:rtl/>
        </w:rPr>
        <w:instrText xml:space="preserve"> _</w:instrText>
      </w:r>
      <w:r w:rsidRPr="00AD49C0">
        <w:rPr>
          <w:rStyle w:val="af2"/>
          <w:rFonts w:eastAsia="Guttman Hodes" w:hint="cs"/>
        </w:rPr>
        <w:instrText>Ref144843303 \r \h</w:instrText>
      </w:r>
      <w:r w:rsidRPr="00AD49C0">
        <w:rPr>
          <w:rStyle w:val="af2"/>
          <w:rFonts w:eastAsia="Guttman Hodes"/>
          <w:rtl/>
        </w:rPr>
        <w:instrText xml:space="preserve">  \* </w:instrText>
      </w:r>
      <w:r w:rsidRPr="00AD49C0">
        <w:rPr>
          <w:rStyle w:val="af2"/>
          <w:rFonts w:eastAsia="Guttman Hodes"/>
        </w:rPr>
        <w:instrText>MERGEFORMAT</w:instrText>
      </w:r>
      <w:r w:rsidRPr="00AD49C0">
        <w:rPr>
          <w:rStyle w:val="af2"/>
          <w:rFonts w:eastAsia="Guttman Hodes"/>
          <w:rtl/>
        </w:rPr>
        <w:instrText xml:space="preserve"> </w:instrText>
      </w:r>
      <w:r w:rsidRPr="00AD49C0">
        <w:rPr>
          <w:rStyle w:val="af2"/>
          <w:rFonts w:eastAsia="Guttman Hodes"/>
          <w:rtl/>
        </w:rPr>
      </w:r>
      <w:r w:rsidRPr="00AD49C0">
        <w:rPr>
          <w:rStyle w:val="af2"/>
          <w:rFonts w:eastAsia="Guttman Hodes"/>
          <w:rtl/>
        </w:rPr>
        <w:fldChar w:fldCharType="separate"/>
      </w:r>
      <w:r w:rsidR="00D82181">
        <w:rPr>
          <w:rStyle w:val="af2"/>
          <w:rFonts w:eastAsia="Guttman Hodes"/>
          <w:cs/>
        </w:rPr>
        <w:t>‎</w:t>
      </w:r>
      <w:r w:rsidR="00D82181">
        <w:rPr>
          <w:rStyle w:val="af2"/>
          <w:rFonts w:eastAsia="Guttman Hodes"/>
          <w:rtl/>
        </w:rPr>
        <w:t>מג)</w:t>
      </w:r>
      <w:r w:rsidRPr="00AD49C0">
        <w:rPr>
          <w:rStyle w:val="af2"/>
          <w:rFonts w:eastAsia="Guttman Hodes"/>
          <w:rtl/>
        </w:rPr>
        <w:fldChar w:fldCharType="end"/>
      </w:r>
      <w:r w:rsidRPr="00234FC7">
        <w:rPr>
          <w:rStyle w:val="af2"/>
          <w:rFonts w:eastAsia="Guttman Hodes"/>
          <w:rtl/>
        </w:rPr>
        <w:t xml:space="preserve"> </w:t>
      </w:r>
      <w:r>
        <w:rPr>
          <w:rFonts w:hint="cs"/>
          <w:rtl/>
        </w:rPr>
        <w:t xml:space="preserve">דבבנין וסתירה של אומן אין חילוק בין כלי גדול לכלי קטן, דכל כלי שצריך מעשה אומן הוי בונה, וא"כ לא קשה מהא דאמר רב דמעייל שופתא בקופינא דמרא הוא בונה. </w:t>
      </w:r>
      <w:r w:rsidRPr="00E741BF">
        <w:rPr>
          <w:rStyle w:val="af"/>
          <w:rFonts w:hint="cs"/>
          <w:rtl/>
        </w:rPr>
        <w:t>[כיון דהוא מעשה אומן]</w:t>
      </w:r>
      <w:r>
        <w:rPr>
          <w:rStyle w:val="af"/>
          <w:rFonts w:hint="cs"/>
          <w:rtl/>
        </w:rPr>
        <w:t>.</w:t>
      </w:r>
    </w:p>
    <w:bookmarkEnd w:id="5598"/>
    <w:p w14:paraId="54CCD701" w14:textId="77777777" w:rsidR="003E1AA3" w:rsidRPr="00BC7DC8" w:rsidRDefault="003E1AA3" w:rsidP="003E1AA3">
      <w:pPr>
        <w:pStyle w:val="afffffe"/>
        <w:rPr>
          <w:vanish/>
          <w:rtl/>
        </w:rPr>
      </w:pPr>
      <w:r w:rsidRPr="00BC7DC8">
        <w:rPr>
          <w:rFonts w:hint="cs"/>
          <w:vanish/>
          <w:rtl/>
        </w:rPr>
        <w:t xml:space="preserve">חידושי רבינו משה קזיס פרק חבית ד"ה </w:t>
      </w:r>
      <w:r w:rsidRPr="00BC7DC8">
        <w:rPr>
          <w:vanish/>
          <w:rtl/>
        </w:rPr>
        <w:t>ומצאתי שכתב</w:t>
      </w:r>
    </w:p>
    <w:p w14:paraId="5161332E" w14:textId="77777777" w:rsidR="003E1AA3" w:rsidRPr="00B77E87" w:rsidRDefault="003E1AA3" w:rsidP="003E1AA3">
      <w:pPr>
        <w:pStyle w:val="a2"/>
        <w:tabs>
          <w:tab w:val="num" w:pos="284"/>
        </w:tabs>
        <w:rPr>
          <w:rtl/>
        </w:rPr>
      </w:pPr>
      <w:r w:rsidRPr="00B77E87">
        <w:rPr>
          <w:rtl/>
        </w:rPr>
        <w:t>ומצאתי שכתב רבינו ישעיה בפ' בכל מערבין</w:t>
      </w:r>
      <w:r w:rsidRPr="00B77E87">
        <w:rPr>
          <w:rFonts w:hint="cs"/>
          <w:rtl/>
        </w:rPr>
        <w:t xml:space="preserve"> זל"ש נתנו </w:t>
      </w:r>
      <w:r w:rsidRPr="00B77E87">
        <w:rPr>
          <w:rtl/>
        </w:rPr>
        <w:t>במגדל ואבד המפת</w:t>
      </w:r>
      <w:r w:rsidRPr="00B77E87">
        <w:rPr>
          <w:rFonts w:hint="cs"/>
          <w:rtl/>
        </w:rPr>
        <w:t xml:space="preserve">ח </w:t>
      </w:r>
      <w:r w:rsidRPr="00B77E87">
        <w:rPr>
          <w:rtl/>
        </w:rPr>
        <w:t>הרי זה עירוב ואמאי הוא במקום אחד ועירובו במקום אחר הוא רב ושמואל דאמרי תרוייהו הכא במגדל של בנין באוירא דליבני עסקי' פ לבינים מסודרות זו על זו בלי טיט שאין מלאכה בסתירה זו ואינו אסור אלא משום שבות ותייק הוא רבי דאמר כל דבר שהוא משום שבות לא גזרו עליו כל בין השמשות ור' אליעזר ס"ל כרבנן דגזרו עליו בין השמשות הלכך אם אין ידוע שהמפתח במקומו אינו עירוב רבה ורב יוסף דאמרי תרוייהו הכא במגדל של עץ עסק מדסבר כלי הוא פי' מפני שהוא מחזיק ארבעים סאה בלח שהם כוריים ביבש ויצא מתורת כלי ואינו מקבל טומאה ותשיב כקרקע ויש בנין וסתירה בקרקע אפילו במעשה הדיוט ואינו צריך מעשה אומן עכ"ל ולפי זה אין חילוק בין כלי גדול לכלי קטן אלא בבנין וסתירה של מעשה הדיוט אבל בשל מעשה אומן גם בכלי קט</w:t>
      </w:r>
      <w:r w:rsidRPr="00B77E87">
        <w:rPr>
          <w:rFonts w:hint="cs"/>
          <w:rtl/>
        </w:rPr>
        <w:t>ן</w:t>
      </w:r>
      <w:r w:rsidRPr="00B77E87">
        <w:rPr>
          <w:rtl/>
        </w:rPr>
        <w:t xml:space="preserve"> שייך בנין וסתירה ולא תקשי ההיא דעייל שופתא בקופינא דמרה</w:t>
      </w:r>
      <w:r w:rsidRPr="00B77E87">
        <w:rPr>
          <w:rFonts w:hint="cs"/>
          <w:rtl/>
        </w:rPr>
        <w:t>.</w:t>
      </w:r>
    </w:p>
    <w:p w14:paraId="18F5422E" w14:textId="77777777" w:rsidR="003E1AA3" w:rsidRPr="00A45DDD" w:rsidRDefault="003E1AA3" w:rsidP="003E1AA3">
      <w:pPr>
        <w:pStyle w:val="1"/>
        <w:rPr>
          <w:rtl/>
        </w:rPr>
      </w:pPr>
      <w:bookmarkStart w:id="5599" w:name="_Toc145233941"/>
      <w:r>
        <w:rPr>
          <w:rFonts w:hint="cs"/>
          <w:rtl/>
        </w:rPr>
        <w:t>בי' התורי"ד דכלי גדול ל"ה כלי רק לטומאה אך לשבת הוי כלי</w:t>
      </w:r>
      <w:bookmarkEnd w:id="5599"/>
    </w:p>
    <w:p w14:paraId="13F8A9B8" w14:textId="77777777" w:rsidR="003E1AA3" w:rsidRPr="00FC269C" w:rsidRDefault="003E1AA3" w:rsidP="003E1AA3">
      <w:pPr>
        <w:pStyle w:val="afffff7"/>
        <w:rPr>
          <w:rtl/>
        </w:rPr>
      </w:pPr>
      <w:bookmarkStart w:id="5600" w:name="_Toc145234036"/>
      <w:bookmarkStart w:id="5601" w:name="_Toc163506294"/>
      <w:r w:rsidRPr="00FC269C">
        <w:rPr>
          <w:rtl/>
        </w:rPr>
        <w:t>תוספות רי"ד עירובין ל"ה ע"א</w:t>
      </w:r>
      <w:r w:rsidRPr="00FC269C">
        <w:rPr>
          <w:rFonts w:hint="cs"/>
          <w:rtl/>
        </w:rPr>
        <w:t xml:space="preserve"> ד"ה פיסקא</w:t>
      </w:r>
      <w:bookmarkEnd w:id="5600"/>
      <w:bookmarkEnd w:id="5601"/>
    </w:p>
    <w:p w14:paraId="4593A480" w14:textId="77777777" w:rsidR="003E1AA3" w:rsidRPr="00FC269C" w:rsidRDefault="003E1AA3" w:rsidP="003E1AA3">
      <w:pPr>
        <w:pStyle w:val="afffff7"/>
        <w:rPr>
          <w:rtl/>
        </w:rPr>
      </w:pPr>
      <w:bookmarkStart w:id="5602" w:name="_Toc145234037"/>
      <w:bookmarkStart w:id="5603" w:name="_Toc163506295"/>
      <w:r w:rsidRPr="00FC269C">
        <w:rPr>
          <w:rtl/>
        </w:rPr>
        <w:t>תוספות רי"ד עירובין ל"ה ע"א</w:t>
      </w:r>
      <w:r w:rsidRPr="00FC269C">
        <w:rPr>
          <w:rFonts w:hint="cs"/>
          <w:rtl/>
        </w:rPr>
        <w:t xml:space="preserve"> ד"ה אבל המורה</w:t>
      </w:r>
      <w:bookmarkEnd w:id="5602"/>
      <w:bookmarkEnd w:id="5603"/>
    </w:p>
    <w:p w14:paraId="4C1AA63B" w14:textId="77777777" w:rsidR="003E1AA3" w:rsidRDefault="003E1AA3" w:rsidP="003E1AA3">
      <w:pPr>
        <w:pStyle w:val="a7"/>
        <w:rPr>
          <w:rtl/>
        </w:rPr>
      </w:pPr>
      <w:bookmarkStart w:id="5604" w:name="_Toc145019572"/>
      <w:bookmarkStart w:id="5605" w:name="_Toc145233942"/>
      <w:r>
        <w:rPr>
          <w:rFonts w:hint="cs"/>
          <w:rtl/>
        </w:rPr>
        <w:t>בי' התורי"ד בעירובין דכלי גדול לטומאה ל"ה כלי וכמחובר אך הוי כלי לשבת כיון דמטלטל</w:t>
      </w:r>
      <w:bookmarkEnd w:id="5604"/>
      <w:bookmarkEnd w:id="5605"/>
    </w:p>
    <w:p w14:paraId="3567F635" w14:textId="337856A0" w:rsidR="003E1AA3" w:rsidRPr="001627FE" w:rsidRDefault="003E1AA3" w:rsidP="00BC7DC8">
      <w:pPr>
        <w:pStyle w:val="a3"/>
        <w:rPr>
          <w:rtl/>
        </w:rPr>
      </w:pPr>
      <w:bookmarkStart w:id="5606" w:name="_Ref144757968"/>
      <w:r>
        <w:rPr>
          <w:rFonts w:hint="cs"/>
          <w:rtl/>
        </w:rPr>
        <w:t>אבל</w:t>
      </w:r>
      <w:r>
        <w:rPr>
          <w:rtl/>
        </w:rPr>
        <w:t xml:space="preserve"> </w:t>
      </w:r>
      <w:r>
        <w:rPr>
          <w:rFonts w:hint="cs"/>
          <w:b/>
          <w:bCs/>
          <w:rtl/>
        </w:rPr>
        <w:t>ב</w:t>
      </w:r>
      <w:r w:rsidRPr="00E3183C">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Ref144757968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מה)</w:t>
      </w:r>
      <w:r>
        <w:rPr>
          <w:b/>
          <w:bCs/>
          <w:vanish/>
          <w:rtl/>
        </w:rPr>
        <w:fldChar w:fldCharType="end"/>
      </w:r>
      <w:r w:rsidRPr="00E3183C">
        <w:rPr>
          <w:b/>
          <w:bCs/>
          <w:vanish/>
          <w:rtl/>
        </w:rPr>
        <w:t xml:space="preserve"> &gt;</w:t>
      </w:r>
      <w:r>
        <w:rPr>
          <w:rFonts w:hint="cs"/>
          <w:b/>
          <w:bCs/>
          <w:rtl/>
        </w:rPr>
        <w:t>תוס' רי"ד בעירובין</w:t>
      </w:r>
      <w:r w:rsidRPr="00E3183C">
        <w:rPr>
          <w:b/>
          <w:bCs/>
          <w:rtl/>
        </w:rPr>
        <w:t xml:space="preserve"> </w:t>
      </w:r>
      <w:r w:rsidRPr="00E3183C">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לה. ד"ה פיסקא</w:t>
      </w:r>
      <w:r w:rsidRPr="00E3183C">
        <w:rPr>
          <w:rFonts w:ascii="Calibri" w:eastAsia="Times New Roman" w:hAnsi="Calibri" w:cs="Guttman Rashi"/>
          <w:noProof w:val="0"/>
          <w:sz w:val="10"/>
          <w:szCs w:val="12"/>
          <w:rtl/>
        </w:rPr>
        <w:t>)</w:t>
      </w:r>
      <w:r w:rsidRPr="00E3183C">
        <w:rPr>
          <w:vanish/>
          <w:rtl/>
        </w:rPr>
        <w:t>=</w:t>
      </w:r>
      <w:r>
        <w:rPr>
          <w:rtl/>
        </w:rPr>
        <w:t xml:space="preserve"> </w:t>
      </w:r>
      <w:r>
        <w:rPr>
          <w:rFonts w:hint="cs"/>
          <w:rtl/>
        </w:rPr>
        <w:t>כתב</w:t>
      </w:r>
      <w:r>
        <w:rPr>
          <w:rtl/>
        </w:rPr>
        <w:t xml:space="preserve"> </w:t>
      </w:r>
      <w:r>
        <w:rPr>
          <w:rFonts w:hint="cs"/>
          <w:rtl/>
        </w:rPr>
        <w:t xml:space="preserve">דהא דכלי המחזיק מ' סאה אינו כלי, היינו דוקא לענין טומאה דיצא מתורת כלי ויש לו שם אוהל, ולכן חשיב כמחובר לקרקע דאינו מקבל טומאה, אבל לענין שבת כיון דהוא מטלטל תורת כלי עליו, וכיון דאין בנין בכלים מותר לסותרו ולשברו, אך הביא </w:t>
      </w:r>
      <w:r w:rsidRPr="00E3183C">
        <w:rPr>
          <w:b/>
          <w:bCs/>
          <w:rtl/>
        </w:rPr>
        <w:t>ה</w:t>
      </w:r>
      <w:r>
        <w:rPr>
          <w:rFonts w:hint="cs"/>
          <w:b/>
          <w:bCs/>
          <w:vanish/>
          <w:rtl/>
        </w:rPr>
        <w:t>&lt; &gt;</w:t>
      </w:r>
      <w:r>
        <w:rPr>
          <w:rFonts w:hint="cs"/>
          <w:b/>
          <w:bCs/>
          <w:rtl/>
        </w:rPr>
        <w:t>תוס' רי"ד בעירובין</w:t>
      </w:r>
      <w:r w:rsidRPr="00E3183C">
        <w:rPr>
          <w:b/>
          <w:bCs/>
          <w:rtl/>
        </w:rPr>
        <w:t xml:space="preserve"> </w:t>
      </w:r>
      <w:r w:rsidRPr="00E3183C">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לה. ד"ה פיסקא</w:t>
      </w:r>
      <w:r w:rsidRPr="00E3183C">
        <w:rPr>
          <w:rFonts w:ascii="Calibri" w:eastAsia="Times New Roman" w:hAnsi="Calibri" w:cs="Guttman Rashi"/>
          <w:noProof w:val="0"/>
          <w:sz w:val="10"/>
          <w:szCs w:val="12"/>
          <w:rtl/>
        </w:rPr>
        <w:t>)</w:t>
      </w:r>
      <w:bookmarkEnd w:id="5606"/>
      <w:r w:rsidRPr="00E3183C">
        <w:rPr>
          <w:vanish/>
          <w:rtl/>
        </w:rPr>
        <w:t>=</w:t>
      </w:r>
      <w:r>
        <w:rPr>
          <w:rFonts w:hint="cs"/>
          <w:rtl/>
        </w:rPr>
        <w:t xml:space="preserve"> את דברי</w:t>
      </w:r>
      <w:r>
        <w:rPr>
          <w:rtl/>
        </w:rPr>
        <w:t xml:space="preserve"> </w:t>
      </w:r>
      <w:r>
        <w:rPr>
          <w:rFonts w:hint="cs"/>
          <w:b/>
          <w:bCs/>
          <w:rtl/>
        </w:rPr>
        <w:t>רש"י בעירובין</w:t>
      </w:r>
      <w:r>
        <w:rPr>
          <w:rtl/>
        </w:rPr>
        <w:t xml:space="preserve"> </w:t>
      </w:r>
      <w:r w:rsidRPr="0019631A">
        <w:rPr>
          <w:rFonts w:ascii="Calibri" w:eastAsia="Times New Roman" w:hAnsi="Calibri" w:cs="Guttman Rashi"/>
          <w:noProof w:val="0"/>
          <w:sz w:val="10"/>
          <w:szCs w:val="12"/>
          <w:rtl/>
        </w:rPr>
        <w:t xml:space="preserve">(עי' </w:t>
      </w:r>
      <w:r w:rsidRPr="00144209">
        <w:rPr>
          <w:rStyle w:val="af2"/>
          <w:rFonts w:eastAsia="Guttman Hodes"/>
          <w:rtl/>
        </w:rPr>
        <w:t xml:space="preserve">אות </w:t>
      </w:r>
      <w:r w:rsidRPr="00144209">
        <w:rPr>
          <w:rStyle w:val="af2"/>
          <w:rFonts w:eastAsia="Guttman Hodes"/>
          <w:rtl/>
        </w:rPr>
        <w:fldChar w:fldCharType="begin"/>
      </w:r>
      <w:r w:rsidRPr="00144209">
        <w:rPr>
          <w:rStyle w:val="af2"/>
          <w:rFonts w:eastAsia="Guttman Hodes"/>
          <w:rtl/>
        </w:rPr>
        <w:instrText xml:space="preserve"> </w:instrText>
      </w:r>
      <w:r w:rsidRPr="00144209">
        <w:rPr>
          <w:rStyle w:val="af2"/>
          <w:rFonts w:eastAsia="Guttman Hodes" w:hint="cs"/>
        </w:rPr>
        <w:instrText>REF</w:instrText>
      </w:r>
      <w:r w:rsidRPr="00144209">
        <w:rPr>
          <w:rStyle w:val="af2"/>
          <w:rFonts w:eastAsia="Guttman Hodes" w:hint="cs"/>
          <w:rtl/>
        </w:rPr>
        <w:instrText xml:space="preserve"> _</w:instrText>
      </w:r>
      <w:r w:rsidRPr="00144209">
        <w:rPr>
          <w:rStyle w:val="af2"/>
          <w:rFonts w:eastAsia="Guttman Hodes" w:hint="cs"/>
        </w:rPr>
        <w:instrText>Ref144658314 \r \h</w:instrText>
      </w:r>
      <w:r w:rsidRPr="00144209">
        <w:rPr>
          <w:rStyle w:val="af2"/>
          <w:rFonts w:eastAsia="Guttman Hodes"/>
          <w:rtl/>
        </w:rPr>
        <w:instrText xml:space="preserve"> </w:instrText>
      </w:r>
      <w:r w:rsidRPr="00144209">
        <w:rPr>
          <w:rStyle w:val="af2"/>
          <w:rFonts w:eastAsia="Guttman Hodes"/>
          <w:rtl/>
        </w:rPr>
      </w:r>
      <w:r w:rsidRPr="00144209">
        <w:rPr>
          <w:rStyle w:val="af2"/>
          <w:rFonts w:eastAsia="Guttman Hodes"/>
          <w:rtl/>
        </w:rPr>
        <w:fldChar w:fldCharType="separate"/>
      </w:r>
      <w:r w:rsidR="00D82181">
        <w:rPr>
          <w:rStyle w:val="af2"/>
          <w:rFonts w:eastAsia="Guttman Hodes"/>
          <w:cs/>
        </w:rPr>
        <w:t>‎</w:t>
      </w:r>
      <w:r w:rsidR="00D82181">
        <w:rPr>
          <w:rStyle w:val="af2"/>
          <w:rFonts w:eastAsia="Guttman Hodes"/>
          <w:rtl/>
        </w:rPr>
        <w:t>נד)</w:t>
      </w:r>
      <w:r w:rsidRPr="00144209">
        <w:rPr>
          <w:rStyle w:val="af2"/>
          <w:rFonts w:eastAsia="Guttman Hodes"/>
          <w:rtl/>
        </w:rPr>
        <w:fldChar w:fldCharType="end"/>
      </w:r>
      <w:r>
        <w:rPr>
          <w:rtl/>
        </w:rPr>
        <w:t xml:space="preserve"> </w:t>
      </w:r>
      <w:r>
        <w:rPr>
          <w:rFonts w:hint="cs"/>
          <w:rtl/>
        </w:rPr>
        <w:t>דביאר דהאיסור לסתור את מגדל הוא רק במגדל גדול שמחזיק מ' סאה, דלכו"ע הוא כאוהל, ודחה</w:t>
      </w:r>
      <w:r>
        <w:rPr>
          <w:rtl/>
        </w:rPr>
        <w:t xml:space="preserve"> </w:t>
      </w:r>
      <w:r>
        <w:rPr>
          <w:rFonts w:hint="cs"/>
          <w:b/>
          <w:bCs/>
          <w:rtl/>
        </w:rPr>
        <w:t>התוס' רי"ד</w:t>
      </w:r>
      <w:r>
        <w:rPr>
          <w:rtl/>
        </w:rPr>
        <w:t xml:space="preserve"> </w:t>
      </w:r>
      <w:r>
        <w:rPr>
          <w:rFonts w:hint="cs"/>
          <w:rtl/>
        </w:rPr>
        <w:t>דמ"מ כיון שהוא בר היסט חשיב ככלי, ועוד דאמר רבא בגמ' לקמן</w:t>
      </w:r>
      <w:r>
        <w:rPr>
          <w:rtl/>
        </w:rPr>
        <w:t xml:space="preserve"> </w:t>
      </w:r>
      <w:r w:rsidRPr="00DE6072">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קכב:</w:t>
      </w:r>
      <w:r w:rsidRPr="00DE6072">
        <w:rPr>
          <w:rFonts w:ascii="Calibri" w:eastAsia="Times New Roman" w:hAnsi="Calibri" w:cs="Guttman Rashi"/>
          <w:noProof w:val="0"/>
          <w:sz w:val="10"/>
          <w:szCs w:val="12"/>
          <w:rtl/>
        </w:rPr>
        <w:t>)</w:t>
      </w:r>
      <w:r>
        <w:rPr>
          <w:rtl/>
        </w:rPr>
        <w:t xml:space="preserve"> </w:t>
      </w:r>
      <w:r>
        <w:rPr>
          <w:rFonts w:hint="cs"/>
          <w:rtl/>
        </w:rPr>
        <w:t>דדלתות של שידה תיבה ומגדל נוטלין ולא מחזירין כיון דאין בנין בכלים, ומוכח דאף שהם כלים גדולם ומחזיקין מ' סאה, מ"מ תורת כלי עליהם לענין שבת, ועיי"ש במה שביאר לפי"ז</w:t>
      </w:r>
      <w:r>
        <w:rPr>
          <w:rtl/>
        </w:rPr>
        <w:t xml:space="preserve"> </w:t>
      </w:r>
      <w:r>
        <w:rPr>
          <w:rFonts w:hint="cs"/>
          <w:b/>
          <w:bCs/>
          <w:rtl/>
        </w:rPr>
        <w:t>התוס' רי"ד</w:t>
      </w:r>
      <w:r>
        <w:rPr>
          <w:rtl/>
        </w:rPr>
        <w:t xml:space="preserve"> </w:t>
      </w:r>
      <w:r>
        <w:rPr>
          <w:rFonts w:hint="cs"/>
          <w:rtl/>
        </w:rPr>
        <w:t xml:space="preserve">את הגמ' בעירובין. </w:t>
      </w:r>
    </w:p>
    <w:p w14:paraId="705D21BF" w14:textId="77777777" w:rsidR="003E1AA3" w:rsidRPr="00BC7DC8" w:rsidRDefault="003E1AA3" w:rsidP="003E1AA3">
      <w:pPr>
        <w:pStyle w:val="afffffe"/>
        <w:rPr>
          <w:vanish/>
          <w:rtl/>
        </w:rPr>
      </w:pPr>
      <w:r w:rsidRPr="00BC7DC8">
        <w:rPr>
          <w:vanish/>
          <w:rtl/>
        </w:rPr>
        <w:t>תוספות רי"ד עירובין ל"ה ע"א</w:t>
      </w:r>
      <w:r w:rsidRPr="00BC7DC8">
        <w:rPr>
          <w:rFonts w:hint="cs"/>
          <w:vanish/>
          <w:rtl/>
        </w:rPr>
        <w:t xml:space="preserve"> ד"ה פיסקא</w:t>
      </w:r>
    </w:p>
    <w:p w14:paraId="3FE49C11" w14:textId="77777777" w:rsidR="003E1AA3" w:rsidRPr="0018388A" w:rsidRDefault="003E1AA3" w:rsidP="003E1AA3">
      <w:pPr>
        <w:pStyle w:val="a2"/>
        <w:tabs>
          <w:tab w:val="num" w:pos="284"/>
        </w:tabs>
        <w:rPr>
          <w:rtl/>
        </w:rPr>
      </w:pPr>
      <w:r w:rsidRPr="0018388A">
        <w:rPr>
          <w:rtl/>
        </w:rPr>
        <w:t>פיסקא נתנו במגדל רבה ורב יוסף דאמרי תרווייהו הכא במגדל של עץ עסקינן מ"ס כלי הוא ואין בנין וסתירה בכלים ומ"ס אוהל הוא פי' סתם מגדל גדול הוא ומחזיק ארבעים סאה בלח שאינו מקבל טומאה מ"ס אוהל הוא שכיון שיצא מתורת כלי תורת אוהל עליו וכמחובר לקרקע דמי ואסור לשברו ומ"ס אף על גב דיצא מתורת כלי הנ"מ לענין טומאה אבל לענין שבת תורת כלי עליו דהא מטלטל היא ואין בנין בכלים ויכול לשברו וליטול עירובו.</w:t>
      </w:r>
    </w:p>
    <w:p w14:paraId="4043FF6F" w14:textId="77777777" w:rsidR="003E1AA3" w:rsidRPr="00BC7DC8" w:rsidRDefault="003E1AA3" w:rsidP="003E1AA3">
      <w:pPr>
        <w:pStyle w:val="afffffe"/>
        <w:rPr>
          <w:vanish/>
          <w:rtl/>
        </w:rPr>
      </w:pPr>
      <w:r w:rsidRPr="00BC7DC8">
        <w:rPr>
          <w:vanish/>
          <w:rtl/>
        </w:rPr>
        <w:t>תוספות רי"ד עירובין ל"ה ע"א</w:t>
      </w:r>
      <w:r w:rsidRPr="00BC7DC8">
        <w:rPr>
          <w:rFonts w:hint="cs"/>
          <w:vanish/>
          <w:rtl/>
        </w:rPr>
        <w:t xml:space="preserve"> ד"ה אבל המורה</w:t>
      </w:r>
    </w:p>
    <w:p w14:paraId="0BAB1534" w14:textId="77777777" w:rsidR="003E1AA3" w:rsidRPr="002E340A" w:rsidRDefault="003E1AA3" w:rsidP="003E1AA3">
      <w:pPr>
        <w:pStyle w:val="afffff5"/>
      </w:pPr>
      <w:r w:rsidRPr="002E340A">
        <w:rPr>
          <w:rtl/>
        </w:rPr>
        <w:t>אבל המורה פירש ומתני' דעירוב במאי מוקמינן לה דהא לכ"ע אי גדול היא אוהל היא ואמאי עירובו עירוב ואי קטן שאינו מחזיק מ' סאה בלח כלי הוא ומ"ט דר"א ואינו נ"ל מה שאמר דאי גדול הוא לכ"ע אוהל הוא דאדרבה אף על פי שהיא גדול אמרן אוהל וניסט טמא אלמא בכלי היא חשוב ותו דתניא בפ' כל הכלים דלת של שדה ושל תיבה ושל מגדל נוטלין ולא מחזירין ואסקה רבא נוטלין דאין בנין וסתירה בכלים ולא מחזירין גזירה שמא יתקע אלמא אפילו באלו שהן כלים גדולים שהן מחזיקין מ' סאה אמרינן שתורת כלי עליהן לענין שבת</w:t>
      </w:r>
      <w:r w:rsidRPr="002E340A">
        <w:rPr>
          <w:rFonts w:hint="cs"/>
          <w:rtl/>
        </w:rPr>
        <w:t>.</w:t>
      </w:r>
    </w:p>
    <w:p w14:paraId="3D591121" w14:textId="77777777" w:rsidR="003E1AA3" w:rsidRDefault="003E1AA3" w:rsidP="003E1AA3">
      <w:pPr>
        <w:pStyle w:val="afffff7"/>
        <w:rPr>
          <w:rtl/>
        </w:rPr>
      </w:pPr>
    </w:p>
    <w:p w14:paraId="1CF30365" w14:textId="77777777" w:rsidR="003E1AA3" w:rsidRPr="00A45DDD" w:rsidRDefault="003E1AA3" w:rsidP="003E1AA3">
      <w:pPr>
        <w:pStyle w:val="1"/>
        <w:rPr>
          <w:rtl/>
        </w:rPr>
      </w:pPr>
      <w:bookmarkStart w:id="5607" w:name="_Toc145221987"/>
      <w:bookmarkStart w:id="5608" w:name="_Toc145233943"/>
      <w:r>
        <w:rPr>
          <w:rFonts w:hint="cs"/>
          <w:rtl/>
        </w:rPr>
        <w:t>בי' התורי"ד</w:t>
      </w:r>
      <w:bookmarkEnd w:id="5607"/>
      <w:r>
        <w:rPr>
          <w:rFonts w:hint="cs"/>
          <w:rtl/>
        </w:rPr>
        <w:t xml:space="preserve"> דאין בנין בכלים ותיקון הצריך אומן אף הדיוט בונה</w:t>
      </w:r>
      <w:bookmarkEnd w:id="5608"/>
    </w:p>
    <w:p w14:paraId="31D5FC74" w14:textId="77777777" w:rsidR="003E1AA3" w:rsidRPr="00FC269C" w:rsidRDefault="003E1AA3" w:rsidP="003E1AA3">
      <w:pPr>
        <w:pStyle w:val="afffff7"/>
        <w:rPr>
          <w:rtl/>
        </w:rPr>
      </w:pPr>
      <w:bookmarkStart w:id="5609" w:name="_Toc145234038"/>
      <w:bookmarkStart w:id="5610" w:name="_Toc163506296"/>
      <w:r w:rsidRPr="00FC269C">
        <w:rPr>
          <w:rtl/>
        </w:rPr>
        <w:t>תוספות רי"ד עירובין ל"ה ע"א</w:t>
      </w:r>
      <w:r w:rsidRPr="00FC269C">
        <w:rPr>
          <w:rFonts w:hint="cs"/>
          <w:rtl/>
        </w:rPr>
        <w:t xml:space="preserve"> ד"ה </w:t>
      </w:r>
      <w:r w:rsidRPr="00FC269C">
        <w:rPr>
          <w:rtl/>
        </w:rPr>
        <w:t>וקשיא לי</w:t>
      </w:r>
      <w:bookmarkEnd w:id="5609"/>
      <w:bookmarkEnd w:id="5610"/>
    </w:p>
    <w:p w14:paraId="7942C1E8" w14:textId="77777777" w:rsidR="003E1AA3" w:rsidRDefault="003E1AA3" w:rsidP="003E1AA3">
      <w:pPr>
        <w:pStyle w:val="a7"/>
        <w:rPr>
          <w:rtl/>
        </w:rPr>
      </w:pPr>
      <w:bookmarkStart w:id="5611" w:name="_Toc145019573"/>
      <w:bookmarkStart w:id="5612" w:name="_Toc145233944"/>
      <w:r>
        <w:rPr>
          <w:rFonts w:hint="cs"/>
          <w:rtl/>
        </w:rPr>
        <w:t>קו' התורי"ד דבעירובין ובביצה בתריסין ובחותמות ובדלתות כלים לקמן מבו' דאין בנין בכלים</w:t>
      </w:r>
      <w:bookmarkEnd w:id="5611"/>
      <w:bookmarkEnd w:id="5612"/>
    </w:p>
    <w:p w14:paraId="1115E456" w14:textId="559F7349" w:rsidR="003E1AA3" w:rsidRDefault="003E1AA3" w:rsidP="00BC7DC8">
      <w:pPr>
        <w:pStyle w:val="a3"/>
      </w:pPr>
      <w:bookmarkStart w:id="5613" w:name="_Ref144830591"/>
      <w:r>
        <w:rPr>
          <w:rFonts w:hint="cs"/>
          <w:rtl/>
        </w:rPr>
        <w:t>אך הקשה</w:t>
      </w:r>
      <w:r>
        <w:rPr>
          <w:rtl/>
        </w:rPr>
        <w:t xml:space="preserve"> </w:t>
      </w:r>
      <w:r w:rsidRPr="003E717A">
        <w:rPr>
          <w:b/>
          <w:bCs/>
          <w:rtl/>
        </w:rPr>
        <w:t>ה</w:t>
      </w:r>
      <w:r w:rsidRPr="003E717A">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Ref144830591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מו)</w:t>
      </w:r>
      <w:r>
        <w:rPr>
          <w:b/>
          <w:bCs/>
          <w:vanish/>
          <w:rtl/>
        </w:rPr>
        <w:fldChar w:fldCharType="end"/>
      </w:r>
      <w:r w:rsidRPr="003E717A">
        <w:rPr>
          <w:b/>
          <w:bCs/>
          <w:vanish/>
          <w:rtl/>
        </w:rPr>
        <w:t xml:space="preserve"> &gt;</w:t>
      </w:r>
      <w:r w:rsidRPr="003E717A">
        <w:rPr>
          <w:rFonts w:hint="cs"/>
          <w:b/>
          <w:bCs/>
          <w:rtl/>
        </w:rPr>
        <w:t>תוס' רי"ד בעירובין</w:t>
      </w:r>
      <w:r w:rsidRPr="003E717A">
        <w:rPr>
          <w:b/>
          <w:bCs/>
          <w:rtl/>
        </w:rPr>
        <w:t xml:space="preserve"> </w:t>
      </w:r>
      <w:r w:rsidRPr="003E717A">
        <w:rPr>
          <w:rFonts w:ascii="Calibri" w:eastAsia="Times New Roman" w:hAnsi="Calibri" w:cs="Guttman Rashi"/>
          <w:noProof w:val="0"/>
          <w:sz w:val="10"/>
          <w:szCs w:val="12"/>
          <w:rtl/>
        </w:rPr>
        <w:t>(</w:t>
      </w:r>
      <w:r w:rsidRPr="003E717A">
        <w:rPr>
          <w:rFonts w:ascii="Calibri" w:eastAsia="Times New Roman" w:hAnsi="Calibri" w:cs="Guttman Rashi" w:hint="cs"/>
          <w:noProof w:val="0"/>
          <w:sz w:val="10"/>
          <w:szCs w:val="12"/>
          <w:rtl/>
        </w:rPr>
        <w:t>לה. ד"ה וקשיא לי</w:t>
      </w:r>
      <w:r w:rsidRPr="003E717A">
        <w:rPr>
          <w:rFonts w:ascii="Calibri" w:eastAsia="Times New Roman" w:hAnsi="Calibri" w:cs="Guttman Rashi"/>
          <w:noProof w:val="0"/>
          <w:sz w:val="10"/>
          <w:szCs w:val="12"/>
          <w:rtl/>
        </w:rPr>
        <w:t>)</w:t>
      </w:r>
      <w:r w:rsidRPr="003E717A">
        <w:rPr>
          <w:vanish/>
          <w:rtl/>
        </w:rPr>
        <w:t>=</w:t>
      </w:r>
      <w:r>
        <w:rPr>
          <w:rtl/>
        </w:rPr>
        <w:t xml:space="preserve"> </w:t>
      </w:r>
      <w:r>
        <w:rPr>
          <w:rFonts w:hint="cs"/>
          <w:rtl/>
        </w:rPr>
        <w:t>דהא אמרי רב ורב יוסף בגמ' בעירובין</w:t>
      </w:r>
      <w:r>
        <w:rPr>
          <w:rtl/>
        </w:rPr>
        <w:t xml:space="preserve"> </w:t>
      </w:r>
      <w:r w:rsidRPr="003E717A">
        <w:rPr>
          <w:rFonts w:ascii="Calibri" w:eastAsia="Times New Roman" w:hAnsi="Calibri" w:cs="Guttman Rashi"/>
          <w:noProof w:val="0"/>
          <w:sz w:val="10"/>
          <w:szCs w:val="12"/>
          <w:rtl/>
        </w:rPr>
        <w:t>(</w:t>
      </w:r>
      <w:r w:rsidRPr="003E717A">
        <w:rPr>
          <w:rFonts w:ascii="Calibri" w:eastAsia="Times New Roman" w:hAnsi="Calibri" w:cs="Guttman Rashi" w:hint="cs"/>
          <w:noProof w:val="0"/>
          <w:sz w:val="10"/>
          <w:szCs w:val="12"/>
          <w:rtl/>
        </w:rPr>
        <w:t>לה.</w:t>
      </w:r>
      <w:r w:rsidRPr="003E717A">
        <w:rPr>
          <w:rFonts w:ascii="Calibri" w:eastAsia="Times New Roman" w:hAnsi="Calibri" w:cs="Guttman Rashi"/>
          <w:noProof w:val="0"/>
          <w:sz w:val="10"/>
          <w:szCs w:val="12"/>
          <w:rtl/>
        </w:rPr>
        <w:t>)</w:t>
      </w:r>
      <w:r>
        <w:rPr>
          <w:rtl/>
        </w:rPr>
        <w:t xml:space="preserve"> </w:t>
      </w:r>
      <w:r>
        <w:rPr>
          <w:rFonts w:hint="cs"/>
          <w:rtl/>
        </w:rPr>
        <w:t>דאין בנין בכלים ואין סתירה בכלים, וכן מבואר בגמ' בביצה</w:t>
      </w:r>
      <w:r>
        <w:rPr>
          <w:rtl/>
        </w:rPr>
        <w:t xml:space="preserve"> </w:t>
      </w:r>
      <w:r w:rsidRPr="003E717A">
        <w:rPr>
          <w:rFonts w:ascii="Calibri" w:eastAsia="Times New Roman" w:hAnsi="Calibri" w:cs="Guttman Rashi"/>
          <w:noProof w:val="0"/>
          <w:sz w:val="10"/>
          <w:szCs w:val="12"/>
          <w:rtl/>
        </w:rPr>
        <w:t>(</w:t>
      </w:r>
      <w:r w:rsidRPr="003E717A">
        <w:rPr>
          <w:rFonts w:ascii="Calibri" w:eastAsia="Times New Roman" w:hAnsi="Calibri" w:cs="Guttman Rashi" w:hint="cs"/>
          <w:noProof w:val="0"/>
          <w:sz w:val="10"/>
          <w:szCs w:val="12"/>
          <w:rtl/>
        </w:rPr>
        <w:t>כא:</w:t>
      </w:r>
      <w:r w:rsidRPr="003E717A">
        <w:rPr>
          <w:rFonts w:ascii="Calibri" w:eastAsia="Times New Roman" w:hAnsi="Calibri" w:cs="Guttman Rashi"/>
          <w:noProof w:val="0"/>
          <w:sz w:val="10"/>
          <w:szCs w:val="12"/>
          <w:rtl/>
        </w:rPr>
        <w:t>)</w:t>
      </w:r>
      <w:r>
        <w:rPr>
          <w:rtl/>
        </w:rPr>
        <w:t xml:space="preserve"> </w:t>
      </w:r>
      <w:r>
        <w:rPr>
          <w:rFonts w:hint="cs"/>
          <w:rtl/>
        </w:rPr>
        <w:t>דלב"ש יש בנין בכלים ולב"ה אין בנין בכלים, וכן אמר שמואל בגמ' בביצה</w:t>
      </w:r>
      <w:r>
        <w:rPr>
          <w:rtl/>
        </w:rPr>
        <w:t xml:space="preserve"> </w:t>
      </w:r>
      <w:r w:rsidRPr="003E717A">
        <w:rPr>
          <w:rFonts w:ascii="Calibri" w:eastAsia="Times New Roman" w:hAnsi="Calibri" w:cs="Guttman Rashi"/>
          <w:noProof w:val="0"/>
          <w:sz w:val="10"/>
          <w:szCs w:val="12"/>
          <w:rtl/>
        </w:rPr>
        <w:t>(</w:t>
      </w:r>
      <w:r w:rsidRPr="003E717A">
        <w:rPr>
          <w:rFonts w:ascii="Calibri" w:eastAsia="Times New Roman" w:hAnsi="Calibri" w:cs="Guttman Rashi" w:hint="cs"/>
          <w:noProof w:val="0"/>
          <w:sz w:val="10"/>
          <w:szCs w:val="12"/>
          <w:rtl/>
        </w:rPr>
        <w:t>לא:</w:t>
      </w:r>
      <w:r w:rsidRPr="003E717A">
        <w:rPr>
          <w:rFonts w:ascii="Calibri" w:eastAsia="Times New Roman" w:hAnsi="Calibri" w:cs="Guttman Rashi"/>
          <w:noProof w:val="0"/>
          <w:sz w:val="10"/>
          <w:szCs w:val="12"/>
          <w:rtl/>
        </w:rPr>
        <w:t>)</w:t>
      </w:r>
      <w:r>
        <w:rPr>
          <w:rtl/>
        </w:rPr>
        <w:t xml:space="preserve"> </w:t>
      </w:r>
      <w:r>
        <w:rPr>
          <w:rFonts w:hint="cs"/>
          <w:rtl/>
        </w:rPr>
        <w:t>דחותמות שבקרקע מתיר, וחותמות בכלים מפקיע וחותך, ומבואר דאין בנין וסתירה בכלים, וכן אמר רבא בגמ' לקמן</w:t>
      </w:r>
      <w:r>
        <w:rPr>
          <w:rtl/>
        </w:rPr>
        <w:t xml:space="preserve"> </w:t>
      </w:r>
      <w:r w:rsidRPr="003E717A">
        <w:rPr>
          <w:rFonts w:ascii="Calibri" w:eastAsia="Times New Roman" w:hAnsi="Calibri" w:cs="Guttman Rashi"/>
          <w:noProof w:val="0"/>
          <w:sz w:val="10"/>
          <w:szCs w:val="12"/>
          <w:rtl/>
        </w:rPr>
        <w:t>(</w:t>
      </w:r>
      <w:r w:rsidRPr="003E717A">
        <w:rPr>
          <w:rFonts w:ascii="Calibri" w:eastAsia="Times New Roman" w:hAnsi="Calibri" w:cs="Guttman Rashi" w:hint="cs"/>
          <w:noProof w:val="0"/>
          <w:sz w:val="10"/>
          <w:szCs w:val="12"/>
          <w:rtl/>
        </w:rPr>
        <w:t>קכב:</w:t>
      </w:r>
      <w:r w:rsidRPr="003E717A">
        <w:rPr>
          <w:rFonts w:ascii="Calibri" w:eastAsia="Times New Roman" w:hAnsi="Calibri" w:cs="Guttman Rashi"/>
          <w:noProof w:val="0"/>
          <w:sz w:val="10"/>
          <w:szCs w:val="12"/>
          <w:rtl/>
        </w:rPr>
        <w:t>)</w:t>
      </w:r>
      <w:r>
        <w:rPr>
          <w:rtl/>
        </w:rPr>
        <w:t xml:space="preserve"> </w:t>
      </w:r>
      <w:r>
        <w:rPr>
          <w:rFonts w:hint="cs"/>
          <w:rtl/>
        </w:rPr>
        <w:t>דדלתות שידה תיבה ומגדל נוטלין כיון דאין בנין בכלים, אבל לא מחזירין מגזירה שמא יתקע.</w:t>
      </w:r>
      <w:bookmarkEnd w:id="5613"/>
    </w:p>
    <w:p w14:paraId="0FE55EE2" w14:textId="77777777" w:rsidR="003E1AA3" w:rsidRPr="00BC7DC8" w:rsidRDefault="003E1AA3" w:rsidP="003E1AA3">
      <w:pPr>
        <w:pStyle w:val="afffffe"/>
        <w:rPr>
          <w:vanish/>
          <w:rtl/>
        </w:rPr>
      </w:pPr>
      <w:r w:rsidRPr="00BC7DC8">
        <w:rPr>
          <w:vanish/>
          <w:rtl/>
        </w:rPr>
        <w:t>תוספות רי"ד עירובין ל"ה ע"א</w:t>
      </w:r>
      <w:r w:rsidRPr="00BC7DC8">
        <w:rPr>
          <w:rFonts w:hint="cs"/>
          <w:vanish/>
          <w:rtl/>
        </w:rPr>
        <w:t xml:space="preserve"> ד"ה </w:t>
      </w:r>
      <w:r w:rsidRPr="00BC7DC8">
        <w:rPr>
          <w:vanish/>
          <w:rtl/>
        </w:rPr>
        <w:t>וקשיא לי</w:t>
      </w:r>
    </w:p>
    <w:p w14:paraId="6D75BAF2" w14:textId="77777777" w:rsidR="003E1AA3" w:rsidRPr="0018388A" w:rsidRDefault="003E1AA3" w:rsidP="003E1AA3">
      <w:pPr>
        <w:pStyle w:val="a2"/>
        <w:tabs>
          <w:tab w:val="num" w:pos="284"/>
        </w:tabs>
        <w:rPr>
          <w:rtl/>
        </w:rPr>
      </w:pPr>
      <w:r w:rsidRPr="0018388A">
        <w:rPr>
          <w:rtl/>
        </w:rPr>
        <w:t>וקשיא לי טובא דהכא אמרי רבה ורב יוסף אין בנין בכלים ואין סתירה בכלים וה"נ אמרי' בפ"ב דיו"ט בה' אין זוקפין את המנורה ביום טוב ודאי קעביד א"ר יצחק ביסנא הכא במנורה של חליות עסקי' משום דמחזי כי בונה דב"ש סברי יש בנין בכלים ויש סתירה בכלים וב"ה סברי אין בנין בכלים ואין סתירה בכלים ובפ' המביא כדי יין אמר שמואל מתיר אבל לא מפקיע ולא חותך ושבכלים מתיר ומפקיע וחותך אחד שבת ואחד יום טוב פי' בקרקע דיש בנין וסתירה דוקא להתיר מותר כגון שאינו קשר של קיימא אבל אם אינו יכול להתיר אינו מפקיע בידו ואינו חותך בסכין דהוי כי סותר אבל של כלים דאין בנין וסתירה בכלים מפקיע וחותך</w:t>
      </w:r>
      <w:r w:rsidRPr="0018388A">
        <w:rPr>
          <w:rFonts w:hint="cs"/>
          <w:rtl/>
        </w:rPr>
        <w:t xml:space="preserve">. </w:t>
      </w:r>
      <w:r w:rsidRPr="0018388A">
        <w:rPr>
          <w:rtl/>
        </w:rPr>
        <w:t>ובשבת בריש פ' כל הכלים נמי אמרי' ת"ר דלת של שדה ושל תיבה ושל מגדל נוטלין ולא מחזירין ואסקה רבא לעולם קסבר אין בנין בכלים ואין סתירה בכלים ומש"ה נוטלין והא דתניא ולא מחזירין גזירה שמא יתקע מכל הני מוכח דאין בנין וסתירה בכלים</w:t>
      </w:r>
      <w:r w:rsidRPr="0018388A">
        <w:rPr>
          <w:rFonts w:hint="cs"/>
          <w:rtl/>
        </w:rPr>
        <w:t>.</w:t>
      </w:r>
    </w:p>
    <w:p w14:paraId="5891D49E" w14:textId="77777777" w:rsidR="003E1AA3" w:rsidRPr="00677EDA" w:rsidRDefault="003E1AA3" w:rsidP="003E1AA3">
      <w:pPr>
        <w:pStyle w:val="a7"/>
      </w:pPr>
      <w:bookmarkStart w:id="5614" w:name="_Toc145019574"/>
      <w:bookmarkStart w:id="5615" w:name="_Toc145233945"/>
      <w:r>
        <w:rPr>
          <w:rFonts w:hint="cs"/>
          <w:rtl/>
        </w:rPr>
        <w:t>קו' התורי"ד דברב בשופתא ובדברי רב ושמואל במטה של טרסיים מבו' דיש בנין בכלים</w:t>
      </w:r>
      <w:bookmarkEnd w:id="5614"/>
      <w:bookmarkEnd w:id="5615"/>
    </w:p>
    <w:p w14:paraId="6D96913B" w14:textId="77777777" w:rsidR="003E1AA3" w:rsidRPr="000B1358" w:rsidRDefault="003E1AA3" w:rsidP="00BC7DC8">
      <w:pPr>
        <w:pStyle w:val="a3"/>
        <w:rPr>
          <w:rtl/>
        </w:rPr>
      </w:pPr>
      <w:r>
        <w:rPr>
          <w:rFonts w:hint="cs"/>
          <w:rtl/>
        </w:rPr>
        <w:t>והקשה</w:t>
      </w:r>
      <w:r>
        <w:rPr>
          <w:rtl/>
        </w:rPr>
        <w:t xml:space="preserve"> </w:t>
      </w:r>
      <w:r w:rsidRPr="003E717A">
        <w:rPr>
          <w:rFonts w:hint="cs"/>
          <w:b/>
          <w:bCs/>
          <w:rtl/>
        </w:rPr>
        <w:t>התוס' רי"ד</w:t>
      </w:r>
      <w:r>
        <w:rPr>
          <w:rFonts w:hint="cs"/>
          <w:b/>
          <w:bCs/>
          <w:rtl/>
        </w:rPr>
        <w:t xml:space="preserve"> בעירובין</w:t>
      </w:r>
      <w:r>
        <w:rPr>
          <w:rtl/>
        </w:rPr>
        <w:t xml:space="preserve"> </w:t>
      </w:r>
      <w:r>
        <w:rPr>
          <w:rFonts w:hint="cs"/>
          <w:rtl/>
        </w:rPr>
        <w:t>דבדברי רב בסוגיין מבואר דיש בנין בכלים, דחייב רב במעייל שופתא בקופינא דמרא משום בונה, דהיאך שביק כב"ה וסבר כב"ש, וכן מבואר בגמ' לעיל</w:t>
      </w:r>
      <w:r>
        <w:rPr>
          <w:rtl/>
        </w:rPr>
        <w:t xml:space="preserve"> </w:t>
      </w:r>
      <w:r w:rsidRPr="003E717A">
        <w:rPr>
          <w:rFonts w:ascii="Calibri" w:eastAsia="Times New Roman" w:hAnsi="Calibri" w:cs="Guttman Rashi"/>
          <w:sz w:val="10"/>
          <w:szCs w:val="12"/>
          <w:rtl/>
        </w:rPr>
        <w:t>(</w:t>
      </w:r>
      <w:r w:rsidRPr="003E717A">
        <w:rPr>
          <w:rFonts w:ascii="Calibri" w:eastAsia="Times New Roman" w:hAnsi="Calibri" w:cs="Guttman Rashi" w:hint="cs"/>
          <w:sz w:val="10"/>
          <w:szCs w:val="12"/>
          <w:rtl/>
        </w:rPr>
        <w:t>מז.</w:t>
      </w:r>
      <w:r w:rsidRPr="003E717A">
        <w:rPr>
          <w:rFonts w:ascii="Calibri" w:eastAsia="Times New Roman" w:hAnsi="Calibri" w:cs="Guttman Rashi"/>
          <w:sz w:val="10"/>
          <w:szCs w:val="12"/>
          <w:rtl/>
        </w:rPr>
        <w:t>)</w:t>
      </w:r>
      <w:r>
        <w:rPr>
          <w:rtl/>
        </w:rPr>
        <w:t xml:space="preserve"> </w:t>
      </w:r>
      <w:r>
        <w:rPr>
          <w:rFonts w:hint="cs"/>
          <w:rtl/>
        </w:rPr>
        <w:t xml:space="preserve">לענין מטה של טרסיים דיש בנין בכלים, ואף שמואל מחייב חטאת בזה, כרב דס"ל דיש בנין בכלים, אעפ"י דלענין מעייל שופתא בקופינא דמרא אמר דחייב משום מכה בפטיש. </w:t>
      </w:r>
    </w:p>
    <w:p w14:paraId="444E6A7C" w14:textId="77777777" w:rsidR="003E1AA3" w:rsidRPr="0018388A" w:rsidRDefault="003E1AA3" w:rsidP="003E1AA3">
      <w:pPr>
        <w:pStyle w:val="a2"/>
        <w:tabs>
          <w:tab w:val="num" w:pos="284"/>
        </w:tabs>
      </w:pPr>
      <w:r w:rsidRPr="0018388A">
        <w:rPr>
          <w:rtl/>
        </w:rPr>
        <w:t>ובריש פ' הבונה אמרי' עייל שופתא בקופינא דמרא רב אמר משום בונה ושמואל אמר משום מכה בפטיש אלמא דקסבר רב דיש בנין בכלים והיכי שביק ב"ה וסבר כב"ש ובשלהי פ' כירה נמי אמרינן אשכחינהו לוי בר שמואל לר' אבא ולרב הונא בר חייא דקיימי אפיתחא דבי רב יהודא אמר להו מה הוא להחזיר מטה של טרסיים בשבת לא הוה בידייהו אתי שאלוה לרב יהודה אמר להו רב ושמואל דאמרי תרווייהו המחזיר מטה של טרסיים בשבת חייב חטאת מיתבי המחזיר קני המנורה בשבת חייב חטאת וקנה של סיידין לא יחזיר ואם החזיר פטור אבל אסור ר' סימאי אומר קרן עגולה חייב חטאת בפשוטה פטור היא דאמר כי האי תנא דתניא מלבנות המטה וכרעי המטה ולוחין של סקבים לא יחזור ואם החזיר פטור לא יתקע ואם תקע חייב חטאת רשב"ג אומר אם הי' רפוי מותר בי רב חמא הואי מטה גללניתא דהוי מהדרי לי' בשבתא אמרו ליה רבנן לרב חמא מאי דעתך דבנין מן הצד הוא נהי דאיסורא דאורייתא ליכא איסורא דרבנן מיהא איכא אמר להו אנא כרשב"ג ס"ל דאמר אם הי' רפוי מותר אלא מוכח מהכא דיש בנין בכלים ואפילו שמואל נמי ס"ל הכי ומחייב חטאת כרב</w:t>
      </w:r>
      <w:r w:rsidRPr="0018388A">
        <w:rPr>
          <w:rFonts w:hint="cs"/>
          <w:rtl/>
        </w:rPr>
        <w:t>.</w:t>
      </w:r>
    </w:p>
    <w:p w14:paraId="0F58002D" w14:textId="77777777" w:rsidR="003E1AA3" w:rsidRPr="00FC269C" w:rsidRDefault="003E1AA3" w:rsidP="003E1AA3">
      <w:pPr>
        <w:pStyle w:val="afffff7"/>
        <w:rPr>
          <w:rtl/>
        </w:rPr>
      </w:pPr>
      <w:bookmarkStart w:id="5616" w:name="_Toc145234039"/>
      <w:bookmarkStart w:id="5617" w:name="_Toc163506297"/>
      <w:r w:rsidRPr="00FC269C">
        <w:rPr>
          <w:rtl/>
        </w:rPr>
        <w:t>תוספות רי"ד עירובין ל"ה ע"א</w:t>
      </w:r>
      <w:r w:rsidRPr="00FC269C">
        <w:rPr>
          <w:rFonts w:hint="cs"/>
          <w:rtl/>
        </w:rPr>
        <w:t xml:space="preserve"> ד"ה </w:t>
      </w:r>
      <w:r w:rsidRPr="00FC269C">
        <w:rPr>
          <w:rtl/>
        </w:rPr>
        <w:t>ונ</w:t>
      </w:r>
      <w:r w:rsidRPr="00FC269C">
        <w:rPr>
          <w:rFonts w:hint="cs"/>
          <w:rtl/>
        </w:rPr>
        <w:t>ראה לי</w:t>
      </w:r>
      <w:r w:rsidRPr="00FC269C">
        <w:rPr>
          <w:rtl/>
        </w:rPr>
        <w:t xml:space="preserve"> לתרץ</w:t>
      </w:r>
      <w:bookmarkEnd w:id="5616"/>
      <w:bookmarkEnd w:id="5617"/>
    </w:p>
    <w:p w14:paraId="3E0B6BC1" w14:textId="77777777" w:rsidR="003E1AA3" w:rsidRPr="00D22385" w:rsidRDefault="003E1AA3" w:rsidP="003E1AA3">
      <w:pPr>
        <w:pStyle w:val="a7"/>
        <w:rPr>
          <w:rtl/>
        </w:rPr>
      </w:pPr>
      <w:bookmarkStart w:id="5618" w:name="_Toc145019575"/>
      <w:bookmarkStart w:id="5619" w:name="_Toc145233946"/>
      <w:r>
        <w:rPr>
          <w:rFonts w:hint="cs"/>
          <w:rtl/>
        </w:rPr>
        <w:t>תי' התורי"ד דתיקון כלי שצריך אומן הוי בונה אף כשהדיוט תיקן דאל"ה כל אומן יתקן בשבת</w:t>
      </w:r>
      <w:bookmarkEnd w:id="5618"/>
      <w:bookmarkEnd w:id="5619"/>
    </w:p>
    <w:p w14:paraId="5731A7CC" w14:textId="3D3D20C7" w:rsidR="003E1AA3" w:rsidRDefault="003E1AA3" w:rsidP="00BC7DC8">
      <w:pPr>
        <w:pStyle w:val="a3"/>
      </w:pPr>
      <w:bookmarkStart w:id="5620" w:name="_Ref144759617"/>
      <w:r>
        <w:rPr>
          <w:rFonts w:hint="cs"/>
          <w:rtl/>
        </w:rPr>
        <w:t>ותירץ</w:t>
      </w:r>
      <w:r>
        <w:rPr>
          <w:rtl/>
        </w:rPr>
        <w:t xml:space="preserve"> </w:t>
      </w:r>
      <w:r w:rsidRPr="00987ADC">
        <w:rPr>
          <w:rStyle w:val="aff4"/>
          <w:rtl/>
        </w:rPr>
        <w:t>ה</w:t>
      </w:r>
      <w:r w:rsidRPr="00CD71B1">
        <w:rPr>
          <w:b/>
          <w:vanish/>
          <w:rtl/>
        </w:rPr>
        <w:t xml:space="preserve"> &lt;, </w:t>
      </w:r>
      <w:r>
        <w:rPr>
          <w:b/>
          <w:vanish/>
          <w:rtl/>
        </w:rPr>
        <w:fldChar w:fldCharType="begin"/>
      </w:r>
      <w:r>
        <w:rPr>
          <w:b/>
          <w:vanish/>
          <w:rtl/>
        </w:rPr>
        <w:instrText xml:space="preserve"> </w:instrText>
      </w:r>
      <w:r>
        <w:rPr>
          <w:b/>
          <w:vanish/>
        </w:rPr>
        <w:instrText>REF</w:instrText>
      </w:r>
      <w:r>
        <w:rPr>
          <w:b/>
          <w:vanish/>
          <w:rtl/>
        </w:rPr>
        <w:instrText xml:space="preserve"> _</w:instrText>
      </w:r>
      <w:r>
        <w:rPr>
          <w:b/>
          <w:vanish/>
        </w:rPr>
        <w:instrText>Ref144759617 \r \h</w:instrText>
      </w:r>
      <w:r>
        <w:rPr>
          <w:b/>
          <w:vanish/>
          <w:rtl/>
        </w:rPr>
        <w:instrText xml:space="preserve"> </w:instrText>
      </w:r>
      <w:r>
        <w:rPr>
          <w:b/>
          <w:vanish/>
          <w:rtl/>
        </w:rPr>
      </w:r>
      <w:r>
        <w:rPr>
          <w:b/>
          <w:vanish/>
          <w:rtl/>
        </w:rPr>
        <w:fldChar w:fldCharType="separate"/>
      </w:r>
      <w:r w:rsidR="00D82181">
        <w:rPr>
          <w:b/>
          <w:vanish/>
          <w:cs/>
        </w:rPr>
        <w:t>‎</w:t>
      </w:r>
      <w:r w:rsidR="00D82181">
        <w:rPr>
          <w:b/>
          <w:vanish/>
          <w:rtl/>
        </w:rPr>
        <w:t>מח)</w:t>
      </w:r>
      <w:r>
        <w:rPr>
          <w:b/>
          <w:vanish/>
          <w:rtl/>
        </w:rPr>
        <w:fldChar w:fldCharType="end"/>
      </w:r>
      <w:r w:rsidRPr="00CD71B1">
        <w:rPr>
          <w:b/>
          <w:vanish/>
          <w:rtl/>
        </w:rPr>
        <w:t xml:space="preserve"> &gt;</w:t>
      </w:r>
      <w:r w:rsidRPr="00987ADC">
        <w:rPr>
          <w:rStyle w:val="aff4"/>
          <w:rFonts w:hint="cs"/>
          <w:rtl/>
        </w:rPr>
        <w:t>תוס' רי"ד בעירובין</w:t>
      </w:r>
      <w:r w:rsidRPr="00CD71B1">
        <w:rPr>
          <w:b/>
          <w:rtl/>
        </w:rPr>
        <w:t xml:space="preserve"> </w:t>
      </w:r>
      <w:r w:rsidRPr="00CD71B1">
        <w:rPr>
          <w:rFonts w:ascii="Calibri" w:eastAsia="Times New Roman" w:hAnsi="Calibri" w:cs="Guttman Rashi"/>
          <w:bCs/>
          <w:noProof w:val="0"/>
          <w:sz w:val="10"/>
          <w:szCs w:val="12"/>
          <w:rtl/>
        </w:rPr>
        <w:t>(</w:t>
      </w:r>
      <w:r>
        <w:rPr>
          <w:rFonts w:ascii="Calibri" w:eastAsia="Times New Roman" w:hAnsi="Calibri" w:cs="Guttman Rashi" w:hint="cs"/>
          <w:bCs/>
          <w:noProof w:val="0"/>
          <w:sz w:val="10"/>
          <w:szCs w:val="12"/>
          <w:rtl/>
        </w:rPr>
        <w:t>לה. ד"ה ונראה לי לתר</w:t>
      </w:r>
      <w:r w:rsidRPr="00FC00FA">
        <w:rPr>
          <w:rStyle w:val="af2"/>
          <w:rFonts w:eastAsia="Guttman Hodes" w:hint="cs"/>
          <w:rtl/>
        </w:rPr>
        <w:t>ץ</w:t>
      </w:r>
      <w:r w:rsidRPr="00FC00FA">
        <w:rPr>
          <w:rStyle w:val="af2"/>
          <w:rFonts w:eastAsia="Guttman Hodes"/>
          <w:rtl/>
        </w:rPr>
        <w:t>)</w:t>
      </w:r>
      <w:bookmarkEnd w:id="5620"/>
      <w:r w:rsidRPr="00CD71B1">
        <w:rPr>
          <w:vanish/>
          <w:rtl/>
        </w:rPr>
        <w:t>=</w:t>
      </w:r>
      <w:r>
        <w:rPr>
          <w:rtl/>
        </w:rPr>
        <w:t xml:space="preserve"> </w:t>
      </w:r>
      <w:r>
        <w:rPr>
          <w:rFonts w:hint="cs"/>
          <w:rtl/>
        </w:rPr>
        <w:t>דתיקון כלי שהוא מעשה אומן חייב משום בונה, אף כשהדיוט עושה אותו, וכתב</w:t>
      </w:r>
      <w:r>
        <w:rPr>
          <w:rtl/>
        </w:rPr>
        <w:t xml:space="preserve"> </w:t>
      </w:r>
      <w:r>
        <w:rPr>
          <w:rFonts w:hint="cs"/>
          <w:b/>
          <w:bCs/>
          <w:rtl/>
        </w:rPr>
        <w:t>התוס' רי"ד</w:t>
      </w:r>
      <w:r>
        <w:rPr>
          <w:rtl/>
        </w:rPr>
        <w:t xml:space="preserve"> </w:t>
      </w:r>
      <w:r>
        <w:rPr>
          <w:rFonts w:hint="cs"/>
          <w:rtl/>
        </w:rPr>
        <w:t>דודאי דבכה"ג יש בנין בכלים דאל"ה כל אומן יתקן כלים בשבת</w:t>
      </w:r>
      <w:r>
        <w:rPr>
          <w:rStyle w:val="afff0"/>
          <w:rtl/>
        </w:rPr>
        <w:footnoteReference w:id="19"/>
      </w:r>
      <w:r>
        <w:rPr>
          <w:rFonts w:hint="cs"/>
          <w:rtl/>
        </w:rPr>
        <w:t>.</w:t>
      </w:r>
    </w:p>
    <w:p w14:paraId="26FF3166" w14:textId="77777777" w:rsidR="003E1AA3" w:rsidRPr="00BC7DC8" w:rsidRDefault="003E1AA3" w:rsidP="003E1AA3">
      <w:pPr>
        <w:pStyle w:val="afffffe"/>
        <w:rPr>
          <w:vanish/>
        </w:rPr>
      </w:pPr>
      <w:r w:rsidRPr="00BC7DC8">
        <w:rPr>
          <w:vanish/>
          <w:rtl/>
        </w:rPr>
        <w:t>תוספות רי"ד עירובין ל"ה ע"א</w:t>
      </w:r>
      <w:r w:rsidRPr="00BC7DC8">
        <w:rPr>
          <w:rFonts w:hint="cs"/>
          <w:vanish/>
          <w:rtl/>
        </w:rPr>
        <w:t xml:space="preserve"> ד"ה </w:t>
      </w:r>
      <w:r w:rsidRPr="00BC7DC8">
        <w:rPr>
          <w:vanish/>
          <w:rtl/>
        </w:rPr>
        <w:t>ונ</w:t>
      </w:r>
      <w:r w:rsidRPr="00BC7DC8">
        <w:rPr>
          <w:rFonts w:hint="cs"/>
          <w:vanish/>
          <w:rtl/>
        </w:rPr>
        <w:t>ראה לי</w:t>
      </w:r>
      <w:r w:rsidRPr="00BC7DC8">
        <w:rPr>
          <w:vanish/>
          <w:rtl/>
        </w:rPr>
        <w:t xml:space="preserve"> לתרץ </w:t>
      </w:r>
    </w:p>
    <w:p w14:paraId="2716EC4D" w14:textId="77777777" w:rsidR="003E1AA3" w:rsidRDefault="003E1AA3" w:rsidP="003E1AA3">
      <w:pPr>
        <w:pStyle w:val="a2"/>
        <w:tabs>
          <w:tab w:val="num" w:pos="284"/>
        </w:tabs>
        <w:rPr>
          <w:rtl/>
        </w:rPr>
      </w:pPr>
      <w:r w:rsidRPr="0018388A">
        <w:rPr>
          <w:rtl/>
        </w:rPr>
        <w:t>ונ"ל לתרץ דודאי כל תיקון הכלים שהוא מעשה אומן אף על פי שההדיוט עושה אותו אסור משום בונה וחייב עליו חטאת ובכי האי גוונא ודאי אמרי' דיש בנין בכלים שאם גם בזה נרצה לומר דאין בנין בכלים א"כ כל אומן יתקן כלים בשבת</w:t>
      </w:r>
      <w:r>
        <w:rPr>
          <w:rFonts w:hint="cs"/>
          <w:rtl/>
        </w:rPr>
        <w:t>.</w:t>
      </w:r>
    </w:p>
    <w:p w14:paraId="3573FC12" w14:textId="77777777" w:rsidR="003E1AA3" w:rsidRPr="00A62239" w:rsidRDefault="003E1AA3" w:rsidP="003E1AA3">
      <w:pPr>
        <w:pStyle w:val="a7"/>
      </w:pPr>
      <w:bookmarkStart w:id="5621" w:name="_Toc145019576"/>
      <w:bookmarkStart w:id="5622" w:name="_Toc145233947"/>
      <w:r>
        <w:rPr>
          <w:rFonts w:hint="cs"/>
          <w:rtl/>
        </w:rPr>
        <w:t>בי' התורי"ד דשופתא דמרא ומטה של טרסיים וקני מנורה וכו' צריכים אומן ולכן הוי בונה</w:t>
      </w:r>
      <w:bookmarkEnd w:id="5621"/>
      <w:bookmarkEnd w:id="5622"/>
    </w:p>
    <w:p w14:paraId="3D9A1DEC" w14:textId="77777777" w:rsidR="003E1AA3" w:rsidRDefault="003E1AA3" w:rsidP="00BC7DC8">
      <w:pPr>
        <w:pStyle w:val="a3"/>
        <w:rPr>
          <w:rtl/>
        </w:rPr>
      </w:pPr>
      <w:r>
        <w:rPr>
          <w:rFonts w:hint="cs"/>
          <w:rtl/>
        </w:rPr>
        <w:t xml:space="preserve">וכתב </w:t>
      </w:r>
      <w:r w:rsidRPr="00987ADC">
        <w:rPr>
          <w:rStyle w:val="aff4"/>
          <w:rtl/>
        </w:rPr>
        <w:t>ה</w:t>
      </w:r>
      <w:r w:rsidRPr="00987ADC">
        <w:rPr>
          <w:rStyle w:val="aff4"/>
          <w:rFonts w:hint="cs"/>
          <w:rtl/>
        </w:rPr>
        <w:t>תוס' רי"ד בעירובין</w:t>
      </w:r>
      <w:r w:rsidRPr="00CD71B1">
        <w:rPr>
          <w:b/>
          <w:rtl/>
        </w:rPr>
        <w:t xml:space="preserve"> </w:t>
      </w:r>
      <w:r>
        <w:rPr>
          <w:rFonts w:hint="cs"/>
          <w:rtl/>
        </w:rPr>
        <w:t>דלכן אמר רב דבמעייל שופתא בקופינא דמרא חייב משום בונה, כיון דבלא השופתא הכלי אינו עומד והקתא נשלפת ממרא</w:t>
      </w:r>
      <w:r>
        <w:rPr>
          <w:rStyle w:val="afff0"/>
          <w:rtl/>
        </w:rPr>
        <w:footnoteReference w:id="20"/>
      </w:r>
      <w:r>
        <w:rPr>
          <w:rFonts w:hint="cs"/>
          <w:rtl/>
        </w:rPr>
        <w:t>, וכן במטה של טרסיים דהיא עשויה פרקים פרקים שמחברים אותם, ואין מפרקים אותם בכל יום וצריך אומן לחברם, וכן בכל האופנים בגמ' לעיל</w:t>
      </w:r>
      <w:r>
        <w:rPr>
          <w:rtl/>
        </w:rPr>
        <w:t xml:space="preserve"> </w:t>
      </w:r>
      <w:r w:rsidRPr="00CC22EA">
        <w:rPr>
          <w:rFonts w:ascii="Calibri" w:eastAsia="Times New Roman" w:hAnsi="Calibri" w:cs="Guttman Rashi"/>
          <w:sz w:val="10"/>
          <w:szCs w:val="12"/>
          <w:rtl/>
        </w:rPr>
        <w:t>(</w:t>
      </w:r>
      <w:r>
        <w:rPr>
          <w:rFonts w:ascii="Calibri" w:eastAsia="Times New Roman" w:hAnsi="Calibri" w:cs="Guttman Rashi" w:hint="cs"/>
          <w:sz w:val="10"/>
          <w:szCs w:val="12"/>
          <w:rtl/>
        </w:rPr>
        <w:t>מז.</w:t>
      </w:r>
      <w:r w:rsidRPr="00CC22EA">
        <w:rPr>
          <w:rFonts w:ascii="Calibri" w:eastAsia="Times New Roman" w:hAnsi="Calibri" w:cs="Guttman Rashi"/>
          <w:sz w:val="10"/>
          <w:szCs w:val="12"/>
          <w:rtl/>
        </w:rPr>
        <w:t>)</w:t>
      </w:r>
      <w:r>
        <w:rPr>
          <w:rtl/>
        </w:rPr>
        <w:t xml:space="preserve"> </w:t>
      </w:r>
      <w:r>
        <w:rPr>
          <w:rFonts w:hint="cs"/>
          <w:rtl/>
        </w:rPr>
        <w:t>ב</w:t>
      </w:r>
      <w:r w:rsidRPr="00753A9D">
        <w:rPr>
          <w:rtl/>
        </w:rPr>
        <w:t>קני מנורה וקרן עגולה ומלבנות המטה וכרעי המטה ולוחין של סק</w:t>
      </w:r>
      <w:r>
        <w:rPr>
          <w:rFonts w:hint="cs"/>
          <w:rtl/>
        </w:rPr>
        <w:t>יבס, דכולם הם מעשה אומן וחייב משום בונה.</w:t>
      </w:r>
    </w:p>
    <w:p w14:paraId="5C7AC957" w14:textId="77777777" w:rsidR="003E1AA3" w:rsidRDefault="003E1AA3" w:rsidP="003E1AA3">
      <w:pPr>
        <w:pStyle w:val="a2"/>
        <w:tabs>
          <w:tab w:val="num" w:pos="284"/>
        </w:tabs>
      </w:pPr>
      <w:r w:rsidRPr="0018388A">
        <w:rPr>
          <w:rtl/>
        </w:rPr>
        <w:t>ומש"ה אמר רב עייל שופתי' בקופינא דמרא חייב משום בונה דהוא מעשה אומן דאי לאו האי שופתא לא הוה קאי והוה מישתליף קתא ממרא וכן נמי מטה של טרסיים שהיא עשוי' פרקים פרקים כמו אל</w:t>
      </w:r>
      <w:r w:rsidRPr="0018388A">
        <w:rPr>
          <w:rFonts w:hint="cs"/>
          <w:rtl/>
        </w:rPr>
        <w:t>ה</w:t>
      </w:r>
      <w:r w:rsidRPr="0018388A">
        <w:rPr>
          <w:rtl/>
        </w:rPr>
        <w:t xml:space="preserve"> המטות שלנו ומחברין אותן ואינן מפרקין אותן בכל יום וצריך מעשה אומן לחברם וכן נמי קני מנורה וקרן עגולה ומלבנות המטה וכרעי המטה ולוחין של סקבים כל אלה הם מעשה אומן ומחייבין משום בונה וליכא מאן דפליג עלייהו</w:t>
      </w:r>
      <w:r>
        <w:rPr>
          <w:rFonts w:hint="cs"/>
          <w:rtl/>
        </w:rPr>
        <w:t>.</w:t>
      </w:r>
    </w:p>
    <w:p w14:paraId="6D8AE9F1" w14:textId="77777777" w:rsidR="003E1AA3" w:rsidRPr="00303F35" w:rsidRDefault="003E1AA3" w:rsidP="003E1AA3">
      <w:pPr>
        <w:pStyle w:val="a7"/>
      </w:pPr>
      <w:bookmarkStart w:id="5623" w:name="_Toc145019577"/>
      <w:bookmarkStart w:id="5624" w:name="_Toc145233948"/>
      <w:r>
        <w:rPr>
          <w:rFonts w:hint="cs"/>
          <w:rtl/>
        </w:rPr>
        <w:t>בי' התורי"ד דלשמואל חיוב בונה הוא רק בכלי פרקים ולא בשופתא דהוא פרק א' כחוקק בבקעת</w:t>
      </w:r>
      <w:bookmarkEnd w:id="5623"/>
      <w:bookmarkEnd w:id="5624"/>
    </w:p>
    <w:p w14:paraId="053DAC81" w14:textId="77777777" w:rsidR="003E1AA3" w:rsidRPr="00CD71B1" w:rsidRDefault="003E1AA3" w:rsidP="00BC7DC8">
      <w:pPr>
        <w:pStyle w:val="a3"/>
      </w:pPr>
      <w:r>
        <w:rPr>
          <w:rFonts w:hint="cs"/>
          <w:rtl/>
        </w:rPr>
        <w:t>וביאר</w:t>
      </w:r>
      <w:r>
        <w:rPr>
          <w:rtl/>
        </w:rPr>
        <w:t xml:space="preserve"> </w:t>
      </w:r>
      <w:r>
        <w:rPr>
          <w:rFonts w:hint="cs"/>
          <w:b/>
          <w:bCs/>
          <w:rtl/>
        </w:rPr>
        <w:t>התוס' רי"ד בעירובין</w:t>
      </w:r>
      <w:r>
        <w:rPr>
          <w:rtl/>
        </w:rPr>
        <w:t xml:space="preserve"> </w:t>
      </w:r>
      <w:r>
        <w:rPr>
          <w:rFonts w:hint="cs"/>
          <w:rtl/>
        </w:rPr>
        <w:t>דהא דפליג שמואל במעייל שופתא בקופינא דמרא, הוא כיון דס"ל דבונה שייך רק בחיבור כלי של פרקים, אבל העושה כלי מפרק אחד, כל המלאכה שיש בו היא מכה בפטיש, כחוקק קב בבקעת וכדומה, ורב מודה לו בקב בבקעת, אבל בשופתא ס"ל דדמי לקני מנורה וחייב בבונה, אך כתב</w:t>
      </w:r>
      <w:r>
        <w:rPr>
          <w:rtl/>
        </w:rPr>
        <w:t xml:space="preserve"> </w:t>
      </w:r>
      <w:r>
        <w:rPr>
          <w:rFonts w:hint="cs"/>
          <w:b/>
          <w:bCs/>
          <w:rtl/>
        </w:rPr>
        <w:t>התוס' רי"ד בעירובין</w:t>
      </w:r>
      <w:r>
        <w:rPr>
          <w:rtl/>
        </w:rPr>
        <w:t xml:space="preserve"> </w:t>
      </w:r>
      <w:r>
        <w:rPr>
          <w:rFonts w:hint="cs"/>
          <w:rtl/>
        </w:rPr>
        <w:t>דבין לרב ובין לשמואל יש תורת בנין בכלים, וכן ביאר</w:t>
      </w:r>
      <w:r>
        <w:rPr>
          <w:rtl/>
        </w:rPr>
        <w:t xml:space="preserve"> </w:t>
      </w:r>
      <w:r>
        <w:rPr>
          <w:rFonts w:hint="cs"/>
          <w:b/>
          <w:bCs/>
          <w:rtl/>
        </w:rPr>
        <w:t>ב</w:t>
      </w:r>
      <w:r w:rsidRPr="00D51313">
        <w:rPr>
          <w:b/>
          <w:bCs/>
          <w:vanish/>
          <w:rtl/>
        </w:rPr>
        <w:t>&lt; &gt;</w:t>
      </w:r>
      <w:r>
        <w:rPr>
          <w:rFonts w:hint="cs"/>
          <w:b/>
          <w:bCs/>
          <w:rtl/>
        </w:rPr>
        <w:t>פסקי הרי"ד</w:t>
      </w:r>
      <w:r w:rsidRPr="00D51313">
        <w:rPr>
          <w:b/>
          <w:bCs/>
          <w:rtl/>
        </w:rPr>
        <w:t xml:space="preserve"> </w:t>
      </w:r>
      <w:r>
        <w:rPr>
          <w:rFonts w:hint="cs"/>
          <w:b/>
          <w:bCs/>
          <w:rtl/>
        </w:rPr>
        <w:t xml:space="preserve">בסוגיין </w:t>
      </w:r>
      <w:r w:rsidRPr="00D51313">
        <w:rPr>
          <w:rFonts w:ascii="Calibri" w:eastAsia="Times New Roman" w:hAnsi="Calibri" w:cs="Guttman Rashi"/>
          <w:sz w:val="10"/>
          <w:szCs w:val="12"/>
          <w:rtl/>
        </w:rPr>
        <w:t>(</w:t>
      </w:r>
      <w:r>
        <w:rPr>
          <w:rFonts w:ascii="Calibri" w:eastAsia="Times New Roman" w:hAnsi="Calibri" w:cs="Guttman Rashi" w:hint="cs"/>
          <w:sz w:val="10"/>
          <w:szCs w:val="12"/>
          <w:rtl/>
        </w:rPr>
        <w:t>ד"ה ומאי</w:t>
      </w:r>
      <w:r w:rsidRPr="00D51313">
        <w:rPr>
          <w:rFonts w:ascii="Calibri" w:eastAsia="Times New Roman" w:hAnsi="Calibri" w:cs="Guttman Rashi"/>
          <w:sz w:val="10"/>
          <w:szCs w:val="12"/>
          <w:rtl/>
        </w:rPr>
        <w:t>)</w:t>
      </w:r>
      <w:r w:rsidRPr="00D51313">
        <w:rPr>
          <w:vanish/>
          <w:rtl/>
        </w:rPr>
        <w:t>=</w:t>
      </w:r>
      <w:r>
        <w:rPr>
          <w:rFonts w:hint="cs"/>
          <w:rtl/>
        </w:rPr>
        <w:t>.</w:t>
      </w:r>
    </w:p>
    <w:p w14:paraId="2A0F7E59" w14:textId="77777777" w:rsidR="003E1AA3" w:rsidRPr="0018388A" w:rsidRDefault="003E1AA3" w:rsidP="003E1AA3">
      <w:pPr>
        <w:pStyle w:val="a2"/>
        <w:tabs>
          <w:tab w:val="num" w:pos="284"/>
        </w:tabs>
      </w:pPr>
      <w:r w:rsidRPr="0018388A">
        <w:rPr>
          <w:rtl/>
        </w:rPr>
        <w:t>ושמואל דפליג עלי' רב בשופתא דקופינא דמרא לאו משום דס"ל דאין בנין בכלים היכא דצריך מעשה אומן שהרי גם הוא מחייב חטאת דמה לי משום בונה מה לי משום מכה בפטיש חייב חטאת היא אלא טעמא דשמואל כדפרישית התם במהדורא בתרא דקסבר לא דמי לבונה אלא כשמחבר הכלי פרקים פרקים דומיא דקני מנורה ומלבנות וכרעי המטה אבל כלי העשוי מפרק אחד כל מלאכה שאתה עושה בו אינו אלא משום מכה בפטיש כגון החוקק קב בבקעת וכיוצא בו ורב סבר בודאי חקיקת קב הוא מכה בפטיש אבל שופתא בקופינא דמרא דמי למחזיר קני מנורה ומשום מחזיר חייב ומשום בונה מחייב מ"מ שניהן מודים שיש תורת בנין בכלים</w:t>
      </w:r>
      <w:r w:rsidRPr="0018388A">
        <w:rPr>
          <w:rFonts w:hint="cs"/>
          <w:rtl/>
        </w:rPr>
        <w:t>.</w:t>
      </w:r>
    </w:p>
    <w:p w14:paraId="2F6ED9A0" w14:textId="77777777" w:rsidR="003E1AA3" w:rsidRPr="00FC269C" w:rsidRDefault="003E1AA3" w:rsidP="003E1AA3">
      <w:pPr>
        <w:pStyle w:val="afffff7"/>
        <w:rPr>
          <w:rtl/>
        </w:rPr>
      </w:pPr>
      <w:bookmarkStart w:id="5625" w:name="_Toc145234040"/>
      <w:bookmarkStart w:id="5626" w:name="_Toc163506298"/>
      <w:r w:rsidRPr="00FC269C">
        <w:rPr>
          <w:rtl/>
        </w:rPr>
        <w:t>תוספות רי"ד עירובין ל"ה ע"א</w:t>
      </w:r>
      <w:r w:rsidRPr="00FC269C">
        <w:rPr>
          <w:rFonts w:hint="cs"/>
          <w:rtl/>
        </w:rPr>
        <w:t xml:space="preserve"> ד"ה מ"מ</w:t>
      </w:r>
      <w:bookmarkEnd w:id="5625"/>
      <w:bookmarkEnd w:id="5626"/>
      <w:r w:rsidRPr="00FC269C">
        <w:rPr>
          <w:rtl/>
        </w:rPr>
        <w:t xml:space="preserve"> </w:t>
      </w:r>
    </w:p>
    <w:p w14:paraId="4A9F98EE" w14:textId="77777777" w:rsidR="003E1AA3" w:rsidRDefault="003E1AA3" w:rsidP="003E1AA3">
      <w:pPr>
        <w:pStyle w:val="a7"/>
        <w:rPr>
          <w:rtl/>
        </w:rPr>
      </w:pPr>
      <w:bookmarkStart w:id="5627" w:name="_Toc145019578"/>
      <w:bookmarkStart w:id="5628" w:name="_Toc145233949"/>
      <w:r>
        <w:rPr>
          <w:rFonts w:hint="cs"/>
          <w:rtl/>
        </w:rPr>
        <w:t>בי' התורי"ד דבתיקון כלי שא"צ אומן כדלתות שידה אין בנין בכלים ואף מחזיר כשא"צ לתקוע</w:t>
      </w:r>
      <w:bookmarkEnd w:id="5627"/>
      <w:bookmarkEnd w:id="5628"/>
    </w:p>
    <w:p w14:paraId="67BAB913" w14:textId="66A13009" w:rsidR="003E1AA3" w:rsidRDefault="003E1AA3" w:rsidP="00BC7DC8">
      <w:pPr>
        <w:pStyle w:val="a3"/>
      </w:pPr>
      <w:bookmarkStart w:id="5629" w:name="_Ref144803620"/>
      <w:r>
        <w:rPr>
          <w:rFonts w:hint="cs"/>
          <w:rtl/>
        </w:rPr>
        <w:t>אבל בדבר שא"צ מעשה אומן, כתב</w:t>
      </w:r>
      <w:r>
        <w:rPr>
          <w:rtl/>
        </w:rPr>
        <w:t xml:space="preserve"> </w:t>
      </w:r>
      <w:r w:rsidRPr="0076391A">
        <w:rPr>
          <w:b/>
          <w:bCs/>
          <w:rtl/>
        </w:rPr>
        <w:t>ה</w:t>
      </w:r>
      <w:r w:rsidRPr="0076391A">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Ref144803620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נא)</w:t>
      </w:r>
      <w:r>
        <w:rPr>
          <w:b/>
          <w:bCs/>
          <w:vanish/>
          <w:rtl/>
        </w:rPr>
        <w:fldChar w:fldCharType="end"/>
      </w:r>
      <w:r w:rsidRPr="0076391A">
        <w:rPr>
          <w:b/>
          <w:bCs/>
          <w:vanish/>
          <w:rtl/>
        </w:rPr>
        <w:t xml:space="preserve"> &gt;</w:t>
      </w:r>
      <w:r>
        <w:rPr>
          <w:rFonts w:hint="cs"/>
          <w:b/>
          <w:bCs/>
          <w:rtl/>
        </w:rPr>
        <w:t>תוס' רי"ד בעירובין</w:t>
      </w:r>
      <w:r w:rsidRPr="0076391A">
        <w:rPr>
          <w:b/>
          <w:bCs/>
          <w:rtl/>
        </w:rPr>
        <w:t xml:space="preserve"> </w:t>
      </w:r>
      <w:r w:rsidRPr="0076391A">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לה. ד"ה מ"מ</w:t>
      </w:r>
      <w:r w:rsidRPr="0076391A">
        <w:rPr>
          <w:rFonts w:ascii="Calibri" w:eastAsia="Times New Roman" w:hAnsi="Calibri" w:cs="Guttman Rashi"/>
          <w:noProof w:val="0"/>
          <w:sz w:val="10"/>
          <w:szCs w:val="12"/>
          <w:rtl/>
        </w:rPr>
        <w:t>)</w:t>
      </w:r>
      <w:r w:rsidRPr="0076391A">
        <w:rPr>
          <w:vanish/>
          <w:rtl/>
        </w:rPr>
        <w:t>=</w:t>
      </w:r>
      <w:r>
        <w:rPr>
          <w:rtl/>
        </w:rPr>
        <w:t xml:space="preserve"> </w:t>
      </w:r>
      <w:r>
        <w:rPr>
          <w:rFonts w:hint="cs"/>
          <w:rtl/>
        </w:rPr>
        <w:t>דבזה יש חילוק בין כלים לקרקע, כגון בדלתות של שידה תיבה ומגדל, דכ"א יכול לסלקם ולהחזירם, דבקרקע חייב משום בונה וסותר אף שא"צ מעשה אומן, ובכלים מותר ליטול ואף להחזיר כשא"צ תקיעה מותר, כדאמר רבא דאין בנין בכלים, אבל אם הם מסומרים דצריך מעשה אומן בכה"ג אמרינן דיש בנין בכלים, ולכן לענין מטה של טרסיים אמר שמואל דחייב.</w:t>
      </w:r>
      <w:bookmarkEnd w:id="5629"/>
    </w:p>
    <w:p w14:paraId="015B0D36" w14:textId="77777777" w:rsidR="003E1AA3" w:rsidRPr="0018388A" w:rsidRDefault="003E1AA3" w:rsidP="003E1AA3">
      <w:pPr>
        <w:pStyle w:val="a2"/>
        <w:tabs>
          <w:tab w:val="num" w:pos="284"/>
        </w:tabs>
        <w:rPr>
          <w:rtl/>
        </w:rPr>
      </w:pPr>
      <w:r w:rsidRPr="0018388A">
        <w:rPr>
          <w:rtl/>
        </w:rPr>
        <w:t>אבל בדבר שא"צ מעשה אומן כגון דלת של שדה ושל תיבה ושל מגדל שכל אדם יכול לסלקם ולהחזירם בזה ודאי יש חילוק בין כלים לקרקע שדלת הבית אף על פי שכל אדם יכול לסלקו ולהחזירו המסלקו בשבת חייב משום סותר והמחזירן חייב משום בונה ואף על פי שא"צ מעשה אומן כדאמרינן בפ"ק דיו"ט גבי תריסי חניות שאם יש להן ציר מן הצד דכ"ע ל"פ דחייב חטאת מפני שדומין לדלתות הבית שיש להן ציר מן הצד אבל דלת שדה תיבה ומגדל מותר ליטול וגם להחזיר אם א"צ לתקוע שאין בנין בכלים ומש"ה התיר רבא ואמר אין בנין וסתירה בכלים בדרך שא"צ מעשה אומן כמו שיש בקרקע אבל אם הי' מסומר יפה שהי' צריך לכלי אומנות ליטול מסמרותיו והוא מעשה אומן אסור אפי' בכלים כדפרישית לעיל ומנורה דפליגי בה ב"ש וב"ה בכל יום היו מפרקין חליותי' וזוקפין אותן ולא הי' צריך מעשה אומן ולא לתקוע ומש"ה אמרו ב"ה דאין בנין בכלים ולהפקיע ולחתוך החותמות נמי אין בהן מעשה אומן ומש"ה מחלק שמואל בין כלים לקרקע אבל לעולם כל דבר הצריך מעשה אומן יש בנין בכלים ומש"ה אמרי רב ושמואל דמחזיר מטה של טרסיים בשבת חייב חטאת</w:t>
      </w:r>
      <w:r w:rsidRPr="0018388A">
        <w:rPr>
          <w:rFonts w:hint="cs"/>
          <w:rtl/>
        </w:rPr>
        <w:t>.</w:t>
      </w:r>
    </w:p>
    <w:p w14:paraId="1D167509" w14:textId="77777777" w:rsidR="003E1AA3" w:rsidRPr="00FC269C" w:rsidRDefault="003E1AA3" w:rsidP="003E1AA3">
      <w:pPr>
        <w:pStyle w:val="afffff7"/>
        <w:rPr>
          <w:rtl/>
        </w:rPr>
      </w:pPr>
      <w:bookmarkStart w:id="5630" w:name="_Toc145234041"/>
      <w:bookmarkStart w:id="5631" w:name="_Toc163506299"/>
      <w:r w:rsidRPr="00FC269C">
        <w:rPr>
          <w:rtl/>
        </w:rPr>
        <w:t>תוספות רי"ד עירובין ל"ה ע"א</w:t>
      </w:r>
      <w:r w:rsidRPr="00FC269C">
        <w:rPr>
          <w:rFonts w:hint="cs"/>
          <w:rtl/>
        </w:rPr>
        <w:t xml:space="preserve"> ד"ה ומפני שפתרון</w:t>
      </w:r>
      <w:bookmarkEnd w:id="5630"/>
      <w:bookmarkEnd w:id="5631"/>
    </w:p>
    <w:p w14:paraId="01949864" w14:textId="77777777" w:rsidR="003E1AA3" w:rsidRPr="00AD1DBC" w:rsidRDefault="003E1AA3" w:rsidP="003E1AA3">
      <w:pPr>
        <w:pStyle w:val="a7"/>
        <w:rPr>
          <w:rtl/>
        </w:rPr>
      </w:pPr>
      <w:bookmarkStart w:id="5632" w:name="_Toc145019579"/>
      <w:bookmarkStart w:id="5633" w:name="_Toc145233950"/>
      <w:r>
        <w:rPr>
          <w:rFonts w:hint="cs"/>
          <w:rtl/>
        </w:rPr>
        <w:t>בי' התורי"ד דבצריך אומן וא"צ אומנות דקה פטור ורשב"ג מתיר תקיעה ברפוי או רק רפוי גמור</w:t>
      </w:r>
      <w:bookmarkEnd w:id="5632"/>
      <w:bookmarkEnd w:id="5633"/>
    </w:p>
    <w:p w14:paraId="3CA6E332" w14:textId="5442D6A6" w:rsidR="003E1AA3" w:rsidRPr="0076391A" w:rsidRDefault="003E1AA3" w:rsidP="00BC7DC8">
      <w:pPr>
        <w:pStyle w:val="a3"/>
      </w:pPr>
      <w:bookmarkStart w:id="5634" w:name="_Ref144803657"/>
      <w:r>
        <w:rPr>
          <w:rFonts w:hint="cs"/>
          <w:rtl/>
        </w:rPr>
        <w:t>ועיי"ש במה שביאר</w:t>
      </w:r>
      <w:r>
        <w:rPr>
          <w:rtl/>
        </w:rPr>
        <w:t xml:space="preserve"> </w:t>
      </w:r>
      <w:r>
        <w:rPr>
          <w:rFonts w:hint="cs"/>
          <w:b/>
          <w:bCs/>
          <w:rtl/>
        </w:rPr>
        <w:t>ה</w:t>
      </w:r>
      <w:r>
        <w:rPr>
          <w:rFonts w:hint="cs"/>
          <w:b/>
          <w:bCs/>
          <w:vanish/>
          <w:rtl/>
        </w:rPr>
        <w:t xml:space="preserve">&lt;, </w:t>
      </w:r>
      <w:r>
        <w:rPr>
          <w:b/>
          <w:bCs/>
          <w:vanish/>
          <w:rtl/>
        </w:rPr>
        <w:fldChar w:fldCharType="begin"/>
      </w:r>
      <w:r>
        <w:rPr>
          <w:b/>
          <w:bCs/>
          <w:vanish/>
          <w:rtl/>
        </w:rPr>
        <w:instrText xml:space="preserve"> </w:instrText>
      </w:r>
      <w:r>
        <w:rPr>
          <w:rFonts w:hint="cs"/>
          <w:b/>
          <w:bCs/>
          <w:vanish/>
        </w:rPr>
        <w:instrText>REF</w:instrText>
      </w:r>
      <w:r>
        <w:rPr>
          <w:rFonts w:hint="cs"/>
          <w:b/>
          <w:bCs/>
          <w:vanish/>
          <w:rtl/>
        </w:rPr>
        <w:instrText xml:space="preserve"> _</w:instrText>
      </w:r>
      <w:r>
        <w:rPr>
          <w:rFonts w:hint="cs"/>
          <w:b/>
          <w:bCs/>
          <w:vanish/>
        </w:rPr>
        <w:instrText>Ref144803657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נב)</w:t>
      </w:r>
      <w:r>
        <w:rPr>
          <w:b/>
          <w:bCs/>
          <w:vanish/>
          <w:rtl/>
        </w:rPr>
        <w:fldChar w:fldCharType="end"/>
      </w:r>
      <w:r>
        <w:rPr>
          <w:rFonts w:hint="cs"/>
          <w:b/>
          <w:bCs/>
          <w:vanish/>
          <w:rtl/>
        </w:rPr>
        <w:t xml:space="preserve"> &gt;</w:t>
      </w:r>
      <w:r>
        <w:rPr>
          <w:rFonts w:hint="cs"/>
          <w:b/>
          <w:bCs/>
          <w:rtl/>
        </w:rPr>
        <w:t>תוס' רי"ד בעירובין</w:t>
      </w:r>
      <w:r>
        <w:rPr>
          <w:rtl/>
        </w:rPr>
        <w:t xml:space="preserve"> </w:t>
      </w:r>
      <w:r w:rsidRPr="00827E29">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 xml:space="preserve">לה. ד"ה </w:t>
      </w:r>
      <w:r w:rsidRPr="00827E29">
        <w:rPr>
          <w:rFonts w:ascii="Calibri" w:eastAsia="Times New Roman" w:hAnsi="Calibri" w:cs="Guttman Rashi"/>
          <w:noProof w:val="0"/>
          <w:sz w:val="10"/>
          <w:szCs w:val="12"/>
          <w:rtl/>
        </w:rPr>
        <w:t>ומפני שפתרון)</w:t>
      </w:r>
      <w:r w:rsidRPr="0076391A">
        <w:rPr>
          <w:vanish/>
          <w:rtl/>
        </w:rPr>
        <w:t>=</w:t>
      </w:r>
      <w:r>
        <w:rPr>
          <w:rtl/>
        </w:rPr>
        <w:t xml:space="preserve"> </w:t>
      </w:r>
      <w:r>
        <w:rPr>
          <w:rFonts w:hint="cs"/>
          <w:rtl/>
        </w:rPr>
        <w:t>את הגמ' לעיל</w:t>
      </w:r>
      <w:r>
        <w:rPr>
          <w:rtl/>
        </w:rPr>
        <w:t xml:space="preserve"> </w:t>
      </w:r>
      <w:r w:rsidRPr="00827E29">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מז.</w:t>
      </w:r>
      <w:r w:rsidRPr="00827E29">
        <w:rPr>
          <w:rFonts w:ascii="Calibri" w:eastAsia="Times New Roman" w:hAnsi="Calibri" w:cs="Guttman Rashi"/>
          <w:noProof w:val="0"/>
          <w:sz w:val="10"/>
          <w:szCs w:val="12"/>
          <w:rtl/>
        </w:rPr>
        <w:t>)</w:t>
      </w:r>
      <w:r>
        <w:rPr>
          <w:rtl/>
        </w:rPr>
        <w:t xml:space="preserve"> </w:t>
      </w:r>
      <w:r>
        <w:rPr>
          <w:rFonts w:hint="cs"/>
          <w:rtl/>
        </w:rPr>
        <w:t xml:space="preserve">בדין מטה של טרסיים, דבכל הכלים שצריך מעשה אומן להחזיר ולהדק יפה, יש חיוב בונה מדאו', ובקנה של סיידין פטור אבל אסור, ובקרן פשוטה אף שצריך אומן מ"מ כיון שא"צ אומנות דקה ג"כ פטור, ולכן מקשה הגמ' דאף במטה של טרסיים א"צ אומנות דקה, ואמאי חייבו רב ושמואל חטאת, ותירצה הגמ' </w:t>
      </w:r>
      <w:r>
        <w:rPr>
          <w:rFonts w:hint="cs"/>
          <w:rtl/>
        </w:rPr>
        <w:lastRenderedPageBreak/>
        <w:t>דס"ל כברייתא דמלבנות המטה דאוסר להחזיר אף בלא תקיעה גזירה שמא יתקע ויעשה מעשה אומנות, ואם תקע כן חייב חטאת, ורשב"ג מתיר אף בתקיעה ברפוי, אבל ת"ק אוסר בזה שמא יתקע במעשה אומן, ועוד ביאר</w:t>
      </w:r>
      <w:r>
        <w:rPr>
          <w:rtl/>
        </w:rPr>
        <w:t xml:space="preserve"> </w:t>
      </w:r>
      <w:r>
        <w:rPr>
          <w:rFonts w:hint="cs"/>
          <w:b/>
          <w:bCs/>
          <w:rtl/>
        </w:rPr>
        <w:t>התוס' רי"ד בעירובין</w:t>
      </w:r>
      <w:r>
        <w:rPr>
          <w:rtl/>
        </w:rPr>
        <w:t xml:space="preserve"> </w:t>
      </w:r>
      <w:r>
        <w:rPr>
          <w:rFonts w:hint="cs"/>
          <w:rtl/>
        </w:rPr>
        <w:t>דרשב"ג לא מתיר תקיעה כלל, ורק להחזיר ברפוי מותר כיון דלא יבוא לתקוע, דהתקיעה אינה מועילה לו, ומטה גללניתא היא מטה שמתפרק כל יום וא</w:t>
      </w:r>
      <w:r w:rsidRPr="00AA2C43">
        <w:rPr>
          <w:rFonts w:hint="cs"/>
          <w:rtl/>
        </w:rPr>
        <w:t>"</w:t>
      </w:r>
      <w:r>
        <w:rPr>
          <w:rFonts w:hint="cs"/>
          <w:rtl/>
        </w:rPr>
        <w:t>צ מעשה אומן לחברה, ורבנן דאסרו ס</w:t>
      </w:r>
      <w:r w:rsidRPr="00AA2C43">
        <w:rPr>
          <w:rtl/>
        </w:rPr>
        <w:t>"</w:t>
      </w:r>
      <w:r>
        <w:rPr>
          <w:rFonts w:hint="cs"/>
          <w:rtl/>
        </w:rPr>
        <w:t>ל כת</w:t>
      </w:r>
      <w:r w:rsidRPr="00AA2C43">
        <w:rPr>
          <w:rtl/>
        </w:rPr>
        <w:t>"</w:t>
      </w:r>
      <w:r>
        <w:rPr>
          <w:rFonts w:hint="cs"/>
          <w:rtl/>
        </w:rPr>
        <w:t>ק דאוסר להחזיר אף כשא</w:t>
      </w:r>
      <w:r w:rsidRPr="00AA2C43">
        <w:rPr>
          <w:rtl/>
        </w:rPr>
        <w:t>"</w:t>
      </w:r>
      <w:r>
        <w:rPr>
          <w:rFonts w:hint="cs"/>
          <w:rtl/>
        </w:rPr>
        <w:t>צ מעשה אומן, ורב חמא דמתיר ס</w:t>
      </w:r>
      <w:r w:rsidRPr="00AA2C43">
        <w:rPr>
          <w:rtl/>
        </w:rPr>
        <w:t>"</w:t>
      </w:r>
      <w:r>
        <w:rPr>
          <w:rFonts w:hint="cs"/>
          <w:rtl/>
        </w:rPr>
        <w:t>ל כרשב</w:t>
      </w:r>
      <w:r w:rsidRPr="00AA2C43">
        <w:rPr>
          <w:rtl/>
        </w:rPr>
        <w:t>"</w:t>
      </w:r>
      <w:r>
        <w:rPr>
          <w:rFonts w:hint="cs"/>
          <w:rtl/>
        </w:rPr>
        <w:t>ג דברפוי מותר כיון דאף אם יתקע לא מהני דאינה מהודקת יפה, וכן ביאר</w:t>
      </w:r>
      <w:r>
        <w:rPr>
          <w:rtl/>
        </w:rPr>
        <w:t xml:space="preserve"> </w:t>
      </w:r>
      <w:r>
        <w:rPr>
          <w:rFonts w:hint="cs"/>
          <w:b/>
          <w:bCs/>
          <w:rtl/>
        </w:rPr>
        <w:t>ב</w:t>
      </w:r>
      <w:r w:rsidRPr="00D51313">
        <w:rPr>
          <w:b/>
          <w:bCs/>
          <w:vanish/>
          <w:rtl/>
        </w:rPr>
        <w:t>&lt; &gt;</w:t>
      </w:r>
      <w:r>
        <w:rPr>
          <w:rFonts w:hint="cs"/>
          <w:b/>
          <w:bCs/>
          <w:rtl/>
        </w:rPr>
        <w:t>פסקי הרי"ד</w:t>
      </w:r>
      <w:r w:rsidRPr="00D51313">
        <w:rPr>
          <w:b/>
          <w:bCs/>
          <w:rtl/>
        </w:rPr>
        <w:t xml:space="preserve"> </w:t>
      </w:r>
      <w:r>
        <w:rPr>
          <w:rFonts w:hint="cs"/>
          <w:b/>
          <w:bCs/>
          <w:rtl/>
        </w:rPr>
        <w:t xml:space="preserve">לעיל </w:t>
      </w:r>
      <w:r w:rsidRPr="00D51313">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מז. ד"ה לוי</w:t>
      </w:r>
      <w:r w:rsidRPr="00D51313">
        <w:rPr>
          <w:rFonts w:ascii="Calibri" w:eastAsia="Times New Roman" w:hAnsi="Calibri" w:cs="Guttman Rashi"/>
          <w:noProof w:val="0"/>
          <w:sz w:val="10"/>
          <w:szCs w:val="12"/>
          <w:rtl/>
        </w:rPr>
        <w:t>)</w:t>
      </w:r>
      <w:r w:rsidRPr="00D51313">
        <w:rPr>
          <w:vanish/>
          <w:rtl/>
        </w:rPr>
        <w:t>=</w:t>
      </w:r>
      <w:r>
        <w:rPr>
          <w:rFonts w:hint="cs"/>
          <w:rtl/>
        </w:rPr>
        <w:t xml:space="preserve">, וע"ע במה שהקשה </w:t>
      </w:r>
      <w:r>
        <w:rPr>
          <w:rFonts w:hint="cs"/>
          <w:b/>
          <w:bCs/>
          <w:rtl/>
        </w:rPr>
        <w:t>ה</w:t>
      </w:r>
      <w:r w:rsidRPr="00827E29">
        <w:rPr>
          <w:rFonts w:hint="cs"/>
          <w:b/>
          <w:bCs/>
          <w:vanish/>
          <w:rtl/>
        </w:rPr>
        <w:t>&lt; &gt;</w:t>
      </w:r>
      <w:r>
        <w:rPr>
          <w:rFonts w:hint="cs"/>
          <w:b/>
          <w:bCs/>
          <w:rtl/>
        </w:rPr>
        <w:t>תוס' רי"ד בעירובין</w:t>
      </w:r>
      <w:r>
        <w:rPr>
          <w:rtl/>
        </w:rPr>
        <w:t xml:space="preserve"> </w:t>
      </w:r>
      <w:r w:rsidRPr="00827E29">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לה. ד"ה והמורה פירש</w:t>
      </w:r>
      <w:r w:rsidRPr="00827E29">
        <w:rPr>
          <w:rFonts w:ascii="Calibri" w:eastAsia="Times New Roman" w:hAnsi="Calibri" w:cs="Guttman Rashi"/>
          <w:noProof w:val="0"/>
          <w:sz w:val="10"/>
          <w:szCs w:val="12"/>
          <w:rtl/>
        </w:rPr>
        <w:t>)</w:t>
      </w:r>
      <w:r w:rsidRPr="0076391A">
        <w:rPr>
          <w:vanish/>
          <w:rtl/>
        </w:rPr>
        <w:t>=</w:t>
      </w:r>
      <w:r>
        <w:rPr>
          <w:rFonts w:hint="cs"/>
          <w:rtl/>
        </w:rPr>
        <w:t xml:space="preserve"> על דברי</w:t>
      </w:r>
      <w:r>
        <w:rPr>
          <w:rtl/>
        </w:rPr>
        <w:t xml:space="preserve"> </w:t>
      </w:r>
      <w:r>
        <w:rPr>
          <w:rFonts w:hint="cs"/>
          <w:b/>
          <w:bCs/>
          <w:rtl/>
        </w:rPr>
        <w:t>רש"י</w:t>
      </w:r>
      <w:r>
        <w:rPr>
          <w:rtl/>
        </w:rPr>
        <w:t xml:space="preserve"> </w:t>
      </w:r>
      <w:r w:rsidRPr="00D2678C">
        <w:rPr>
          <w:rFonts w:ascii="Calibri" w:eastAsia="Times New Roman" w:hAnsi="Calibri" w:cs="Guttman Rashi"/>
          <w:noProof w:val="0"/>
          <w:sz w:val="10"/>
          <w:szCs w:val="12"/>
          <w:rtl/>
        </w:rPr>
        <w:t xml:space="preserve">(עי' 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Pr>
        <w:instrText>REF</w:instrText>
      </w:r>
      <w:r>
        <w:rPr>
          <w:rFonts w:ascii="Calibri" w:eastAsia="Times New Roman" w:hAnsi="Calibri" w:cs="Guttman Rashi"/>
          <w:noProof w:val="0"/>
          <w:sz w:val="10"/>
          <w:szCs w:val="12"/>
          <w:rtl/>
        </w:rPr>
        <w:instrText xml:space="preserve"> _</w:instrText>
      </w:r>
      <w:r>
        <w:rPr>
          <w:rFonts w:ascii="Calibri" w:eastAsia="Times New Roman" w:hAnsi="Calibri" w:cs="Guttman Rashi"/>
          <w:noProof w:val="0"/>
          <w:sz w:val="10"/>
          <w:szCs w:val="12"/>
        </w:rPr>
        <w:instrText>Ref145186884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א)</w:t>
      </w:r>
      <w:r>
        <w:rPr>
          <w:rFonts w:ascii="Calibri" w:eastAsia="Times New Roman" w:hAnsi="Calibri" w:cs="Guttman Rashi"/>
          <w:noProof w:val="0"/>
          <w:sz w:val="10"/>
          <w:szCs w:val="12"/>
          <w:rtl/>
        </w:rPr>
        <w:fldChar w:fldCharType="end"/>
      </w:r>
      <w:r>
        <w:rPr>
          <w:rtl/>
        </w:rPr>
        <w:t xml:space="preserve"> </w:t>
      </w:r>
      <w:r>
        <w:rPr>
          <w:rFonts w:hint="cs"/>
          <w:rtl/>
        </w:rPr>
        <w:t>דביאר דרב ושמואל חייבו במטה של טרסיים מדין מכה בפטיש.</w:t>
      </w:r>
      <w:bookmarkEnd w:id="5634"/>
    </w:p>
    <w:p w14:paraId="6966D376" w14:textId="77777777" w:rsidR="003E1AA3" w:rsidRPr="00BC7DC8" w:rsidRDefault="003E1AA3" w:rsidP="003E1AA3">
      <w:pPr>
        <w:pStyle w:val="afffffe"/>
        <w:rPr>
          <w:vanish/>
          <w:rtl/>
        </w:rPr>
      </w:pPr>
      <w:r w:rsidRPr="00BC7DC8">
        <w:rPr>
          <w:vanish/>
          <w:rtl/>
        </w:rPr>
        <w:t>תוספות רי"ד עירובין ל"ה ע"א</w:t>
      </w:r>
      <w:r w:rsidRPr="00BC7DC8">
        <w:rPr>
          <w:rFonts w:hint="cs"/>
          <w:vanish/>
          <w:rtl/>
        </w:rPr>
        <w:t xml:space="preserve"> ד"ה ומפני שפתרון</w:t>
      </w:r>
    </w:p>
    <w:p w14:paraId="28CB3ED8" w14:textId="77777777" w:rsidR="003E1AA3" w:rsidRPr="0018388A" w:rsidRDefault="003E1AA3" w:rsidP="003E1AA3">
      <w:pPr>
        <w:pStyle w:val="a2"/>
        <w:tabs>
          <w:tab w:val="num" w:pos="284"/>
        </w:tabs>
        <w:rPr>
          <w:rtl/>
        </w:rPr>
      </w:pPr>
      <w:r w:rsidRPr="0018388A">
        <w:rPr>
          <w:rtl/>
        </w:rPr>
        <w:t xml:space="preserve">ומפני שפתרון המורה לא נ"ל באותה השיטה באתי לפרשה כולה מיתיבי המחזיר קני מנורה בשבת חייב חטאת פי' קני מנורה עומדין מחוברין תמיד ואין דרכן להתפרק ולהתחבר כמו מנורה של </w:t>
      </w:r>
      <w:r w:rsidRPr="0018388A">
        <w:rPr>
          <w:rFonts w:hint="cs"/>
          <w:rtl/>
        </w:rPr>
        <w:t>חו</w:t>
      </w:r>
      <w:r w:rsidRPr="0018388A">
        <w:rPr>
          <w:rtl/>
        </w:rPr>
        <w:t>ליות דפליגי בה ב"ש וב"ה וצריך מעשה אומן להחזירם ולהדקם יפה שלא יפלו הלכך חייב חטאת משום בונה וקנה של סיידין פטור אבל אסור פי' מפני שאינו עומד מחובר תמיד שהסייד מפרקו ומחברו כפי מה שצריך לו בשעת מלאכתו ר' סימאי אמר קרן עגולה טמאה קרן פשוטה טהורה פי' שתיהן צריכות מעשה אומן אלא שקרן עגולה צריכה אומנות יפה יותר מקרן פשוטה ומקרן פשוטה מקשה לו דאע"ג דצריכה מעשה אומן כיון שהיא פשוטה וא"צ אומנות דקה פטור ומטה של טרסיים נמי פשוטה היא ואמאי מחייבי חטאת רב ושמואל ומתרץ אינהו דאמר כי האי תנא דאמר דמלבנות וכרעי המטה שנתפרקו לא יחזירום בשבת אפילו בלא תקיעה גזירה שמא יתקע ויעשה מעשה אומנות ואם תקע שעשה מעשה אומן חייב חטאת ורשב"ג הי' מתיר אפי' לתקוע אם הי' רפוי שאפי' ע"י תקיעה אינו מתהדק ומתחבר יפה אלא עוד נופל ומתפרק ות"ק הי' אוסר מדרבנן זו התקיעה שמא יעשה תקיעה של אומנות או יש לפרש דרשב"ג לא התיר לתקוע כלל אלא להחזיר אם הי' רפוי דכיון דהוא רפוי לא אתי למיתקע משום דלא מהניא ליה תקיעה ות"ק אסר להחזיר בכל ולא חילק ומטה גללניתא דהוה בי רב חמי' מתפרקת היתה תמיד ולא היה צריך בחיבורה מעשה אומן ורבנן דבעי למיסרה ליה הוו סברי כת"ק דאסר להחזיר אפי' בלא מעשה אומנות ואיהו סבר כרשב"ג דאמר אם הי' רפוי והיא היתה רפוי' שאף ע"י תקיעה לא היתה מהדקת יפה</w:t>
      </w:r>
      <w:r w:rsidRPr="0018388A">
        <w:rPr>
          <w:rFonts w:hint="cs"/>
          <w:rtl/>
        </w:rPr>
        <w:t>.</w:t>
      </w:r>
    </w:p>
    <w:p w14:paraId="1836AA4E" w14:textId="77777777" w:rsidR="003E1AA3" w:rsidRPr="002E340A" w:rsidRDefault="003E1AA3" w:rsidP="003E1AA3">
      <w:pPr>
        <w:pStyle w:val="afffff5"/>
        <w:rPr>
          <w:rtl/>
        </w:rPr>
      </w:pPr>
      <w:r w:rsidRPr="002E340A">
        <w:rPr>
          <w:rtl/>
        </w:rPr>
        <w:t>והמורה פירש במטה של טרסיים שמחייבין רב ושמואל חטאת משום מכה בפטיש ולאו משום בנין בכלים וקשיא ליה משופתא בקופינא דמרא דאמר רב משום בונה א"ו היכא אמרינן אין בנין בכלים בדרך שאינו צריך מעשה אומן כדפרישית אבל בדרך הצריך מעשה אומן יש בנין בכלים והתיובתא פירש לר' אבא ורב הונא בר חייא דאמר כי האי תנא כרשב"ג דמתיר לכתחלה ואינו נ"ל כלל דאינהו לא הוה בידייהו ולא אמרי מידי והיכי מותבינן להו אלו הוי ידעי לה להא מתניתא הוה פשטי מינה ותו דעבדי' למטה של טרסיים שהיתה רפוי' ואי הכי הוי מחייבי רב ושמואל חטאת והא אפי' ת"ק דרשב"ג לא אמר אלא מדרבנן ואם החזיר פטור הילכך אין פנים לפתרון זה ומה שפירשתי נראה לי עיקר: [מהדות"נ]</w:t>
      </w:r>
      <w:r w:rsidRPr="002E340A">
        <w:rPr>
          <w:rFonts w:hint="cs"/>
          <w:rtl/>
        </w:rPr>
        <w:t>.</w:t>
      </w:r>
    </w:p>
    <w:p w14:paraId="043030E8" w14:textId="77777777" w:rsidR="003E1AA3" w:rsidRDefault="003E1AA3" w:rsidP="003E1AA3">
      <w:pPr>
        <w:pStyle w:val="affff5"/>
        <w:rPr>
          <w:rtl/>
        </w:rPr>
      </w:pPr>
      <w:bookmarkStart w:id="5635" w:name="_Toc145233951"/>
      <w:r>
        <w:rPr>
          <w:rFonts w:hint="cs"/>
          <w:rtl/>
        </w:rPr>
        <w:t>ד' הסוברים דבכלי קטן יש בנין וסתירה</w:t>
      </w:r>
      <w:bookmarkEnd w:id="5635"/>
      <w:r w:rsidRPr="0033376C">
        <w:rPr>
          <w:vanish/>
          <w:rtl/>
        </w:rPr>
        <w:t>&lt; # =</w:t>
      </w:r>
    </w:p>
    <w:p w14:paraId="47D0DB18" w14:textId="77777777" w:rsidR="003E1AA3" w:rsidRDefault="003E1AA3" w:rsidP="003E1AA3">
      <w:pPr>
        <w:pStyle w:val="1"/>
        <w:rPr>
          <w:rtl/>
        </w:rPr>
      </w:pPr>
      <w:bookmarkStart w:id="5636" w:name="_Toc145019581"/>
      <w:bookmarkStart w:id="5637" w:name="_Toc145233952"/>
      <w:r>
        <w:rPr>
          <w:rFonts w:hint="cs"/>
          <w:rtl/>
        </w:rPr>
        <w:t>בי' הרשב"א ברש"י</w:t>
      </w:r>
      <w:bookmarkEnd w:id="5636"/>
      <w:r>
        <w:rPr>
          <w:rFonts w:hint="cs"/>
          <w:rtl/>
        </w:rPr>
        <w:t xml:space="preserve"> דבכלי גדול כאוהל מודה שיש בנין וסתירה</w:t>
      </w:r>
      <w:bookmarkEnd w:id="5637"/>
    </w:p>
    <w:p w14:paraId="32720501" w14:textId="77777777" w:rsidR="003E1AA3" w:rsidRPr="00FC269C" w:rsidRDefault="003E1AA3" w:rsidP="003E1AA3">
      <w:pPr>
        <w:pStyle w:val="afffff7"/>
        <w:rPr>
          <w:rtl/>
        </w:rPr>
      </w:pPr>
      <w:bookmarkStart w:id="5638" w:name="_Toc145234042"/>
      <w:bookmarkStart w:id="5639" w:name="_Toc163506300"/>
      <w:r w:rsidRPr="00FC269C">
        <w:rPr>
          <w:rtl/>
        </w:rPr>
        <w:t>רש"י שבת קמ"ו ע"א</w:t>
      </w:r>
      <w:r w:rsidRPr="00FC269C">
        <w:rPr>
          <w:rFonts w:hint="cs"/>
          <w:rtl/>
        </w:rPr>
        <w:t xml:space="preserve"> ד"ה שובר</w:t>
      </w:r>
      <w:bookmarkEnd w:id="5638"/>
      <w:bookmarkEnd w:id="5639"/>
    </w:p>
    <w:p w14:paraId="5B36D6AC" w14:textId="77777777" w:rsidR="003E1AA3" w:rsidRPr="00FC269C" w:rsidRDefault="003E1AA3" w:rsidP="003E1AA3">
      <w:pPr>
        <w:pStyle w:val="afffff7"/>
        <w:rPr>
          <w:rtl/>
        </w:rPr>
      </w:pPr>
      <w:bookmarkStart w:id="5640" w:name="_Toc145234043"/>
      <w:bookmarkStart w:id="5641" w:name="_Toc163506301"/>
      <w:r w:rsidRPr="00FC269C">
        <w:rPr>
          <w:rtl/>
        </w:rPr>
        <w:t>חדושי הרשב"א שבת קמ"ו ע"א</w:t>
      </w:r>
      <w:r w:rsidRPr="00FC269C">
        <w:rPr>
          <w:rFonts w:hint="cs"/>
          <w:rtl/>
        </w:rPr>
        <w:t xml:space="preserve"> ד"ה שובר</w:t>
      </w:r>
      <w:bookmarkEnd w:id="5640"/>
      <w:bookmarkEnd w:id="5641"/>
    </w:p>
    <w:p w14:paraId="61D6601F" w14:textId="77777777" w:rsidR="003E1AA3" w:rsidRPr="00FC269C" w:rsidRDefault="003E1AA3" w:rsidP="003E1AA3">
      <w:pPr>
        <w:pStyle w:val="afffff7"/>
        <w:rPr>
          <w:rtl/>
        </w:rPr>
      </w:pPr>
      <w:bookmarkStart w:id="5642" w:name="_Toc145234044"/>
      <w:bookmarkStart w:id="5643" w:name="_Toc163506302"/>
      <w:r w:rsidRPr="00FC269C">
        <w:rPr>
          <w:rtl/>
        </w:rPr>
        <w:t>חדושי הר"ן שבת קמ"ו ע"א</w:t>
      </w:r>
      <w:r w:rsidRPr="00FC269C">
        <w:rPr>
          <w:rFonts w:hint="cs"/>
          <w:rtl/>
        </w:rPr>
        <w:t xml:space="preserve"> ד</w:t>
      </w:r>
      <w:r w:rsidRPr="00FC269C">
        <w:rPr>
          <w:rFonts w:cs="David" w:hint="cs"/>
          <w:rtl/>
        </w:rPr>
        <w:t>"</w:t>
      </w:r>
      <w:r w:rsidRPr="00FC269C">
        <w:rPr>
          <w:rFonts w:hint="cs"/>
          <w:rtl/>
        </w:rPr>
        <w:t>ה שובר</w:t>
      </w:r>
      <w:bookmarkEnd w:id="5642"/>
      <w:bookmarkEnd w:id="5643"/>
    </w:p>
    <w:p w14:paraId="783264B8" w14:textId="77777777" w:rsidR="003E1AA3" w:rsidRDefault="003E1AA3" w:rsidP="003E1AA3">
      <w:pPr>
        <w:pStyle w:val="a7"/>
        <w:rPr>
          <w:rtl/>
        </w:rPr>
      </w:pPr>
      <w:bookmarkStart w:id="5644" w:name="_Toc145019582"/>
      <w:bookmarkStart w:id="5645" w:name="_Toc145233953"/>
      <w:r>
        <w:rPr>
          <w:rFonts w:hint="cs"/>
          <w:rtl/>
        </w:rPr>
        <w:t xml:space="preserve">בי' רש"י דמותר לשבור חבית לאכול גרוגרות מדין מקלקל ובי' הרשב"א </w:t>
      </w:r>
      <w:bookmarkEnd w:id="5644"/>
      <w:r>
        <w:rPr>
          <w:rFonts w:hint="cs"/>
          <w:rtl/>
        </w:rPr>
        <w:t>דלצורך שבת התירו</w:t>
      </w:r>
      <w:bookmarkEnd w:id="5645"/>
    </w:p>
    <w:p w14:paraId="404ED06B" w14:textId="3FB208E2" w:rsidR="003E1AA3" w:rsidRDefault="003E1AA3" w:rsidP="00BC7DC8">
      <w:pPr>
        <w:pStyle w:val="a3"/>
      </w:pPr>
      <w:bookmarkStart w:id="5646" w:name="_Ref144808791"/>
      <w:bookmarkStart w:id="5647" w:name="_Ref144634463"/>
      <w:r>
        <w:rPr>
          <w:rFonts w:hint="cs"/>
          <w:rtl/>
        </w:rPr>
        <w:t>בהא דתנן לקמן</w:t>
      </w:r>
      <w:r>
        <w:rPr>
          <w:rtl/>
        </w:rPr>
        <w:t xml:space="preserve"> </w:t>
      </w:r>
      <w:r w:rsidRPr="00166B1D">
        <w:rPr>
          <w:rFonts w:ascii="Calibri" w:eastAsia="Times New Roman" w:hAnsi="Calibri" w:cs="Guttman Rashi"/>
          <w:noProof w:val="0"/>
          <w:sz w:val="10"/>
          <w:szCs w:val="12"/>
          <w:rtl/>
        </w:rPr>
        <w:t>(</w:t>
      </w:r>
      <w:r w:rsidRPr="00166B1D">
        <w:rPr>
          <w:rFonts w:ascii="Calibri" w:eastAsia="Times New Roman" w:hAnsi="Calibri" w:cs="Guttman Rashi" w:hint="cs"/>
          <w:noProof w:val="0"/>
          <w:sz w:val="10"/>
          <w:szCs w:val="12"/>
          <w:rtl/>
        </w:rPr>
        <w:t>קמו.</w:t>
      </w:r>
      <w:r w:rsidRPr="00166B1D">
        <w:rPr>
          <w:rFonts w:ascii="Calibri" w:eastAsia="Times New Roman" w:hAnsi="Calibri" w:cs="Guttman Rashi"/>
          <w:noProof w:val="0"/>
          <w:sz w:val="10"/>
          <w:szCs w:val="12"/>
          <w:rtl/>
        </w:rPr>
        <w:t>)</w:t>
      </w:r>
      <w:r w:rsidRPr="00166B1D">
        <w:rPr>
          <w:rFonts w:ascii="Calibri" w:eastAsia="Times New Roman" w:hAnsi="Calibri" w:cs="Guttman Rashi" w:hint="cs"/>
          <w:noProof w:val="0"/>
          <w:sz w:val="10"/>
          <w:szCs w:val="12"/>
          <w:rtl/>
        </w:rPr>
        <w:t xml:space="preserve"> </w:t>
      </w:r>
      <w:r>
        <w:rPr>
          <w:rFonts w:hint="cs"/>
          <w:rtl/>
        </w:rPr>
        <w:t>דשובר אדם חבית לאכול ממנה גרוגרות, ובלבד שלא יתכוין לעשות כלי, כתב</w:t>
      </w:r>
      <w:r>
        <w:rPr>
          <w:rtl/>
        </w:rPr>
        <w:t xml:space="preserve"> </w:t>
      </w:r>
      <w:r>
        <w:rPr>
          <w:rFonts w:hint="cs"/>
          <w:b/>
          <w:bCs/>
          <w:vanish/>
          <w:rtl/>
        </w:rPr>
        <w:t xml:space="preserve">&lt;, </w:t>
      </w:r>
      <w:r>
        <w:rPr>
          <w:b/>
          <w:bCs/>
          <w:vanish/>
          <w:rtl/>
        </w:rPr>
        <w:fldChar w:fldCharType="begin"/>
      </w:r>
      <w:r>
        <w:rPr>
          <w:b/>
          <w:bCs/>
          <w:vanish/>
          <w:rtl/>
        </w:rPr>
        <w:instrText xml:space="preserve"> </w:instrText>
      </w:r>
      <w:r>
        <w:rPr>
          <w:rFonts w:hint="cs"/>
          <w:b/>
          <w:bCs/>
          <w:vanish/>
        </w:rPr>
        <w:instrText>REF</w:instrText>
      </w:r>
      <w:r>
        <w:rPr>
          <w:rFonts w:hint="cs"/>
          <w:b/>
          <w:bCs/>
          <w:vanish/>
          <w:rtl/>
        </w:rPr>
        <w:instrText xml:space="preserve"> _</w:instrText>
      </w:r>
      <w:r>
        <w:rPr>
          <w:rFonts w:hint="cs"/>
          <w:b/>
          <w:bCs/>
          <w:vanish/>
        </w:rPr>
        <w:instrText>Ref144808791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נג)</w:t>
      </w:r>
      <w:r>
        <w:rPr>
          <w:b/>
          <w:bCs/>
          <w:vanish/>
          <w:rtl/>
        </w:rPr>
        <w:fldChar w:fldCharType="end"/>
      </w:r>
      <w:r>
        <w:rPr>
          <w:rFonts w:hint="cs"/>
          <w:b/>
          <w:bCs/>
          <w:vanish/>
          <w:rtl/>
        </w:rPr>
        <w:t xml:space="preserve"> &gt;</w:t>
      </w:r>
      <w:r w:rsidRPr="00166B1D">
        <w:rPr>
          <w:rFonts w:hint="cs"/>
          <w:b/>
          <w:bCs/>
          <w:rtl/>
        </w:rPr>
        <w:t>רש"י לקמן</w:t>
      </w:r>
      <w:r w:rsidRPr="00166B1D">
        <w:rPr>
          <w:b/>
          <w:bCs/>
          <w:rtl/>
        </w:rPr>
        <w:t xml:space="preserve"> </w:t>
      </w:r>
      <w:r w:rsidRPr="00166B1D">
        <w:rPr>
          <w:rFonts w:ascii="Calibri" w:eastAsia="Times New Roman" w:hAnsi="Calibri" w:cs="Guttman Rashi"/>
          <w:noProof w:val="0"/>
          <w:sz w:val="10"/>
          <w:szCs w:val="12"/>
          <w:rtl/>
        </w:rPr>
        <w:t>(</w:t>
      </w:r>
      <w:r w:rsidRPr="00166B1D">
        <w:rPr>
          <w:rFonts w:ascii="Calibri" w:eastAsia="Times New Roman" w:hAnsi="Calibri" w:cs="Guttman Rashi" w:hint="cs"/>
          <w:noProof w:val="0"/>
          <w:sz w:val="10"/>
          <w:szCs w:val="12"/>
          <w:rtl/>
        </w:rPr>
        <w:t>קמו. ד"ה שובר</w:t>
      </w:r>
      <w:r w:rsidRPr="00166B1D">
        <w:rPr>
          <w:rFonts w:ascii="Calibri" w:eastAsia="Times New Roman" w:hAnsi="Calibri" w:cs="Guttman Rashi"/>
          <w:noProof w:val="0"/>
          <w:sz w:val="10"/>
          <w:szCs w:val="12"/>
          <w:rtl/>
        </w:rPr>
        <w:t>)</w:t>
      </w:r>
      <w:r w:rsidRPr="00166B1D">
        <w:rPr>
          <w:vanish/>
          <w:rtl/>
        </w:rPr>
        <w:t>=</w:t>
      </w:r>
      <w:r>
        <w:rPr>
          <w:rtl/>
        </w:rPr>
        <w:t xml:space="preserve"> </w:t>
      </w:r>
      <w:r>
        <w:rPr>
          <w:rFonts w:hint="cs"/>
          <w:rtl/>
        </w:rPr>
        <w:t>דהוא מקלקל ואין במקלקל שום איסור שבת, והקשו</w:t>
      </w:r>
      <w:r>
        <w:rPr>
          <w:rtl/>
        </w:rPr>
        <w:t xml:space="preserve"> </w:t>
      </w:r>
      <w:r w:rsidRPr="00166B1D">
        <w:rPr>
          <w:rFonts w:hint="cs"/>
          <w:b/>
          <w:bCs/>
          <w:rtl/>
        </w:rPr>
        <w:t>ה</w:t>
      </w:r>
      <w:r w:rsidRPr="00166B1D">
        <w:rPr>
          <w:b/>
          <w:bCs/>
          <w:vanish/>
          <w:rtl/>
        </w:rPr>
        <w:t>&lt; &gt;</w:t>
      </w:r>
      <w:r w:rsidRPr="00166B1D">
        <w:rPr>
          <w:rFonts w:hint="cs"/>
          <w:b/>
          <w:bCs/>
          <w:rtl/>
        </w:rPr>
        <w:t>רשב"א לקמן</w:t>
      </w:r>
      <w:r w:rsidRPr="00166B1D">
        <w:rPr>
          <w:b/>
          <w:bCs/>
          <w:rtl/>
        </w:rPr>
        <w:t xml:space="preserve"> </w:t>
      </w:r>
      <w:r w:rsidRPr="00166B1D">
        <w:rPr>
          <w:rFonts w:ascii="Calibri" w:eastAsia="Times New Roman" w:hAnsi="Calibri" w:cs="Guttman Rashi"/>
          <w:noProof w:val="0"/>
          <w:sz w:val="10"/>
          <w:szCs w:val="12"/>
          <w:rtl/>
        </w:rPr>
        <w:t>(</w:t>
      </w:r>
      <w:r w:rsidRPr="00166B1D">
        <w:rPr>
          <w:rFonts w:ascii="Calibri" w:eastAsia="Times New Roman" w:hAnsi="Calibri" w:cs="Guttman Rashi" w:hint="cs"/>
          <w:noProof w:val="0"/>
          <w:sz w:val="10"/>
          <w:szCs w:val="12"/>
          <w:rtl/>
        </w:rPr>
        <w:t>קמו. ד"ה שובר</w:t>
      </w:r>
      <w:r w:rsidRPr="00166B1D">
        <w:rPr>
          <w:rFonts w:ascii="Calibri" w:eastAsia="Times New Roman" w:hAnsi="Calibri" w:cs="Guttman Rashi"/>
          <w:noProof w:val="0"/>
          <w:sz w:val="10"/>
          <w:szCs w:val="12"/>
          <w:rtl/>
        </w:rPr>
        <w:t>)</w:t>
      </w:r>
      <w:r w:rsidRPr="00166B1D">
        <w:rPr>
          <w:vanish/>
          <w:rtl/>
        </w:rPr>
        <w:t>=</w:t>
      </w:r>
      <w:r w:rsidRPr="00017951">
        <w:rPr>
          <w:rFonts w:hint="cs"/>
          <w:b/>
          <w:bCs/>
          <w:rtl/>
        </w:rPr>
        <w:t xml:space="preserve"> </w:t>
      </w:r>
      <w:r>
        <w:rPr>
          <w:rFonts w:hint="cs"/>
          <w:b/>
          <w:bCs/>
          <w:rtl/>
        </w:rPr>
        <w:t>ו</w:t>
      </w:r>
      <w:r w:rsidRPr="00166B1D">
        <w:rPr>
          <w:rFonts w:hint="cs"/>
          <w:b/>
          <w:bCs/>
          <w:rtl/>
        </w:rPr>
        <w:t>ה</w:t>
      </w:r>
      <w:r w:rsidRPr="00166B1D">
        <w:rPr>
          <w:b/>
          <w:bCs/>
          <w:vanish/>
          <w:rtl/>
        </w:rPr>
        <w:t>&lt; &gt;</w:t>
      </w:r>
      <w:r w:rsidRPr="00166B1D">
        <w:rPr>
          <w:rFonts w:hint="cs"/>
          <w:b/>
          <w:bCs/>
          <w:rtl/>
        </w:rPr>
        <w:t>ר"</w:t>
      </w:r>
      <w:r>
        <w:rPr>
          <w:rFonts w:hint="cs"/>
          <w:b/>
          <w:bCs/>
          <w:rtl/>
        </w:rPr>
        <w:t>ן</w:t>
      </w:r>
      <w:r w:rsidRPr="00166B1D">
        <w:rPr>
          <w:rFonts w:hint="cs"/>
          <w:b/>
          <w:bCs/>
          <w:rtl/>
        </w:rPr>
        <w:t xml:space="preserve"> לקמן</w:t>
      </w:r>
      <w:r w:rsidRPr="00166B1D">
        <w:rPr>
          <w:b/>
          <w:bCs/>
          <w:rtl/>
        </w:rPr>
        <w:t xml:space="preserve"> </w:t>
      </w:r>
      <w:r w:rsidRPr="00166B1D">
        <w:rPr>
          <w:rFonts w:ascii="Calibri" w:eastAsia="Times New Roman" w:hAnsi="Calibri" w:cs="Guttman Rashi"/>
          <w:noProof w:val="0"/>
          <w:sz w:val="10"/>
          <w:szCs w:val="12"/>
          <w:rtl/>
        </w:rPr>
        <w:t>(</w:t>
      </w:r>
      <w:r w:rsidRPr="00166B1D">
        <w:rPr>
          <w:rFonts w:ascii="Calibri" w:eastAsia="Times New Roman" w:hAnsi="Calibri" w:cs="Guttman Rashi" w:hint="cs"/>
          <w:noProof w:val="0"/>
          <w:sz w:val="10"/>
          <w:szCs w:val="12"/>
          <w:rtl/>
        </w:rPr>
        <w:t>קמו. ד"ה שובר</w:t>
      </w:r>
      <w:r w:rsidRPr="00166B1D">
        <w:rPr>
          <w:rFonts w:ascii="Calibri" w:eastAsia="Times New Roman" w:hAnsi="Calibri" w:cs="Guttman Rashi"/>
          <w:noProof w:val="0"/>
          <w:sz w:val="10"/>
          <w:szCs w:val="12"/>
          <w:rtl/>
        </w:rPr>
        <w:t>)</w:t>
      </w:r>
      <w:r w:rsidRPr="00166B1D">
        <w:rPr>
          <w:vanish/>
          <w:rtl/>
        </w:rPr>
        <w:t>=</w:t>
      </w:r>
      <w:r>
        <w:rPr>
          <w:rtl/>
        </w:rPr>
        <w:t xml:space="preserve"> </w:t>
      </w:r>
      <w:r>
        <w:rPr>
          <w:rFonts w:hint="cs"/>
          <w:rtl/>
        </w:rPr>
        <w:t>דמ"מ מקלקל אסור מדרבנן,</w:t>
      </w:r>
      <w:r w:rsidRPr="00073CB6">
        <w:rPr>
          <w:rFonts w:hint="cs"/>
          <w:rtl/>
        </w:rPr>
        <w:t xml:space="preserve"> </w:t>
      </w:r>
      <w:r>
        <w:rPr>
          <w:rFonts w:hint="cs"/>
          <w:rtl/>
        </w:rPr>
        <w:t xml:space="preserve">ותירצו </w:t>
      </w:r>
      <w:r w:rsidRPr="00166B1D">
        <w:rPr>
          <w:rFonts w:hint="cs"/>
          <w:b/>
          <w:bCs/>
          <w:rtl/>
        </w:rPr>
        <w:t>הרשב"א</w:t>
      </w:r>
      <w:r>
        <w:rPr>
          <w:rFonts w:hint="cs"/>
          <w:b/>
          <w:bCs/>
          <w:rtl/>
        </w:rPr>
        <w:t xml:space="preserve"> והר"ן</w:t>
      </w:r>
      <w:r>
        <w:rPr>
          <w:rFonts w:hint="cs"/>
          <w:rtl/>
        </w:rPr>
        <w:t xml:space="preserve"> דלצורך שבת התירו לכתחילה.</w:t>
      </w:r>
      <w:bookmarkEnd w:id="5646"/>
    </w:p>
    <w:p w14:paraId="2A9E702A" w14:textId="77777777" w:rsidR="003E1AA3" w:rsidRPr="00BC7DC8" w:rsidRDefault="003E1AA3" w:rsidP="003E1AA3">
      <w:pPr>
        <w:pStyle w:val="afffffe"/>
        <w:rPr>
          <w:vanish/>
          <w:rtl/>
        </w:rPr>
      </w:pPr>
      <w:bookmarkStart w:id="5648" w:name="_Ref144808735"/>
      <w:r w:rsidRPr="00BC7DC8">
        <w:rPr>
          <w:vanish/>
          <w:rtl/>
        </w:rPr>
        <w:t>רש"י שבת קמ"ו ע"א</w:t>
      </w:r>
      <w:r w:rsidRPr="00BC7DC8">
        <w:rPr>
          <w:rFonts w:hint="cs"/>
          <w:vanish/>
          <w:rtl/>
        </w:rPr>
        <w:t xml:space="preserve"> ד"ה שובר</w:t>
      </w:r>
    </w:p>
    <w:p w14:paraId="1B41C630" w14:textId="77777777" w:rsidR="003E1AA3" w:rsidRPr="0018388A" w:rsidRDefault="003E1AA3" w:rsidP="003E1AA3">
      <w:pPr>
        <w:pStyle w:val="a2"/>
        <w:tabs>
          <w:tab w:val="num" w:pos="284"/>
        </w:tabs>
        <w:rPr>
          <w:rtl/>
        </w:rPr>
      </w:pPr>
      <w:r w:rsidRPr="0018388A">
        <w:rPr>
          <w:rtl/>
        </w:rPr>
        <w:t>שובר אדם חבית - מליאה גרוגרות בסכין או בסייף, לאכול ממנה גרוגרות, דאין במקלקל שום איסור בשבת.</w:t>
      </w:r>
    </w:p>
    <w:p w14:paraId="455CEB7D" w14:textId="77777777" w:rsidR="003E1AA3" w:rsidRPr="00BC7DC8" w:rsidRDefault="003E1AA3" w:rsidP="003E1AA3">
      <w:pPr>
        <w:pStyle w:val="afffffe"/>
        <w:rPr>
          <w:vanish/>
          <w:rtl/>
        </w:rPr>
      </w:pPr>
      <w:r w:rsidRPr="00BC7DC8">
        <w:rPr>
          <w:vanish/>
          <w:rtl/>
        </w:rPr>
        <w:t>חדושי הרשב"א שבת קמ"ו ע"א</w:t>
      </w:r>
      <w:r w:rsidRPr="00BC7DC8">
        <w:rPr>
          <w:rFonts w:hint="cs"/>
          <w:vanish/>
          <w:rtl/>
        </w:rPr>
        <w:t xml:space="preserve"> ד"ה שובר</w:t>
      </w:r>
    </w:p>
    <w:p w14:paraId="18C30243" w14:textId="77777777" w:rsidR="003E1AA3" w:rsidRPr="00537EB8" w:rsidRDefault="003E1AA3" w:rsidP="003E1AA3">
      <w:pPr>
        <w:pStyle w:val="afffff5"/>
        <w:rPr>
          <w:rtl/>
        </w:rPr>
      </w:pPr>
      <w:r w:rsidRPr="002E340A">
        <w:rPr>
          <w:rtl/>
        </w:rPr>
        <w:t>מתניתין שובר אדם את החבית לאכול ממנה גרוגרות. פירש רש"י ז"ל משום שאין במקלקל שום איסור שבת, ואינו מחוור בעיני, דאי משום מקלקל, לכתחלה היכי שרי</w:t>
      </w:r>
      <w:r w:rsidRPr="002E340A">
        <w:rPr>
          <w:rFonts w:hint="cs"/>
          <w:rtl/>
        </w:rPr>
        <w:t>.</w:t>
      </w:r>
      <w:r w:rsidRPr="000A6A6A">
        <w:rPr>
          <w:rtl/>
        </w:rPr>
        <w:t xml:space="preserve"> </w:t>
      </w:r>
      <w:r w:rsidRPr="00537EB8">
        <w:rPr>
          <w:rtl/>
        </w:rPr>
        <w:t>וי"ל כיון דבעלמא במקלקל פטור אבל אסור הכא משום צורך שבת מותר לכתחלה</w:t>
      </w:r>
      <w:r w:rsidRPr="00537EB8">
        <w:rPr>
          <w:rFonts w:hint="cs"/>
          <w:rtl/>
        </w:rPr>
        <w:t xml:space="preserve"> וכו'.</w:t>
      </w:r>
    </w:p>
    <w:p w14:paraId="0C3A94BE" w14:textId="77777777" w:rsidR="003E1AA3" w:rsidRPr="002E340A" w:rsidRDefault="003E1AA3" w:rsidP="003E1AA3">
      <w:pPr>
        <w:pStyle w:val="afffff5"/>
        <w:rPr>
          <w:rtl/>
        </w:rPr>
      </w:pPr>
    </w:p>
    <w:p w14:paraId="3E68ECAE" w14:textId="77777777" w:rsidR="003E1AA3" w:rsidRPr="00BC7DC8" w:rsidRDefault="003E1AA3" w:rsidP="003E1AA3">
      <w:pPr>
        <w:pStyle w:val="afffffe"/>
        <w:rPr>
          <w:vanish/>
          <w:rtl/>
        </w:rPr>
      </w:pPr>
      <w:r w:rsidRPr="00BC7DC8">
        <w:rPr>
          <w:vanish/>
          <w:rtl/>
        </w:rPr>
        <w:t>חדושי הר"ן שבת קמ"ו ע"א</w:t>
      </w:r>
      <w:r w:rsidRPr="00BC7DC8">
        <w:rPr>
          <w:rFonts w:hint="cs"/>
          <w:vanish/>
          <w:rtl/>
        </w:rPr>
        <w:t xml:space="preserve"> ד"ה שובר</w:t>
      </w:r>
    </w:p>
    <w:p w14:paraId="5A4C96C4" w14:textId="77777777" w:rsidR="003E1AA3" w:rsidRPr="002E340A" w:rsidRDefault="003E1AA3" w:rsidP="003E1AA3">
      <w:pPr>
        <w:pStyle w:val="afffff5"/>
        <w:rPr>
          <w:rtl/>
        </w:rPr>
      </w:pPr>
      <w:r w:rsidRPr="002E340A">
        <w:rPr>
          <w:rtl/>
        </w:rPr>
        <w:t>מתני' שובר אדם את החבית לאכול ממנה גרוגרו'. פרש"י ז"ל דאין במקלקל שום אסור שבת ולא נהירא דנהי דכל המקלקלין פטורין איסורא מיהא איכא</w:t>
      </w:r>
      <w:r w:rsidRPr="002E340A">
        <w:rPr>
          <w:rFonts w:hint="cs"/>
          <w:rtl/>
        </w:rPr>
        <w:t>.</w:t>
      </w:r>
      <w:r w:rsidRPr="00073CB6">
        <w:rPr>
          <w:rtl/>
        </w:rPr>
        <w:t xml:space="preserve"> </w:t>
      </w:r>
      <w:r w:rsidRPr="002E340A">
        <w:rPr>
          <w:rtl/>
        </w:rPr>
        <w:t>אלא היינו טעמא דכיון דבעלמא מקלקל פטור אבל אסור משום צורך שבת שרי לכתחילה</w:t>
      </w:r>
    </w:p>
    <w:p w14:paraId="4740C8F3" w14:textId="77777777" w:rsidR="003E1AA3" w:rsidRPr="00BF6B07" w:rsidRDefault="003E1AA3" w:rsidP="003E1AA3">
      <w:pPr>
        <w:pStyle w:val="afffff7"/>
        <w:rPr>
          <w:rtl/>
        </w:rPr>
      </w:pPr>
      <w:bookmarkStart w:id="5649" w:name="_Toc145234045"/>
      <w:bookmarkStart w:id="5650" w:name="_Toc145019583"/>
      <w:bookmarkStart w:id="5651" w:name="_Toc163506303"/>
      <w:r w:rsidRPr="00BF6B07">
        <w:rPr>
          <w:rtl/>
        </w:rPr>
        <w:t>חדושי הרשב"א שבת קמ"ו ע"א</w:t>
      </w:r>
      <w:r w:rsidRPr="00BF6B07">
        <w:rPr>
          <w:rFonts w:hint="cs"/>
          <w:rtl/>
        </w:rPr>
        <w:t xml:space="preserve"> ד"ה ואף</w:t>
      </w:r>
      <w:bookmarkEnd w:id="5649"/>
      <w:bookmarkEnd w:id="5651"/>
    </w:p>
    <w:p w14:paraId="1B69F3C3" w14:textId="77777777" w:rsidR="003E1AA3" w:rsidRPr="00FC269C" w:rsidRDefault="003E1AA3" w:rsidP="003E1AA3">
      <w:pPr>
        <w:pStyle w:val="afffff7"/>
        <w:rPr>
          <w:rtl/>
        </w:rPr>
      </w:pPr>
      <w:bookmarkStart w:id="5652" w:name="_Toc145234046"/>
      <w:bookmarkStart w:id="5653" w:name="_Toc163506304"/>
      <w:r w:rsidRPr="00FC269C">
        <w:rPr>
          <w:rtl/>
        </w:rPr>
        <w:t>רש"י עירובין ל"ה ע"א ד"ה ומתניתין</w:t>
      </w:r>
      <w:bookmarkEnd w:id="5652"/>
      <w:bookmarkEnd w:id="5653"/>
    </w:p>
    <w:p w14:paraId="4AB93F61" w14:textId="77777777" w:rsidR="003E1AA3" w:rsidRDefault="003E1AA3" w:rsidP="003E1AA3">
      <w:pPr>
        <w:pStyle w:val="a7"/>
        <w:rPr>
          <w:rtl/>
        </w:rPr>
      </w:pPr>
      <w:bookmarkStart w:id="5654" w:name="_Toc145019590"/>
      <w:bookmarkStart w:id="5655" w:name="_Toc145233954"/>
      <w:r>
        <w:rPr>
          <w:rFonts w:hint="cs"/>
          <w:rtl/>
        </w:rPr>
        <w:t>בי' הרשב"א והר"ן ברש"י דבמגדל גדול יש סתירה דל"ה כלי</w:t>
      </w:r>
      <w:bookmarkEnd w:id="5654"/>
      <w:r w:rsidRPr="00A8501D">
        <w:rPr>
          <w:rFonts w:hint="cs"/>
          <w:rtl/>
        </w:rPr>
        <w:t xml:space="preserve"> </w:t>
      </w:r>
      <w:r>
        <w:rPr>
          <w:rFonts w:hint="cs"/>
          <w:rtl/>
        </w:rPr>
        <w:t>והיתר חבית בקטנה דל"ה סתירה</w:t>
      </w:r>
      <w:bookmarkEnd w:id="5655"/>
    </w:p>
    <w:p w14:paraId="3FC14747" w14:textId="26962156" w:rsidR="003E1AA3" w:rsidRDefault="003E1AA3" w:rsidP="00BC7DC8">
      <w:pPr>
        <w:pStyle w:val="a3"/>
      </w:pPr>
      <w:bookmarkStart w:id="5656" w:name="_Ref145061049"/>
      <w:bookmarkStart w:id="5657" w:name="_Ref144658314"/>
      <w:r>
        <w:rPr>
          <w:rFonts w:hint="cs"/>
          <w:rtl/>
        </w:rPr>
        <w:t xml:space="preserve">אך כתבו </w:t>
      </w:r>
      <w:r w:rsidRPr="00166B1D">
        <w:rPr>
          <w:rFonts w:hint="cs"/>
          <w:b/>
          <w:bCs/>
          <w:rtl/>
        </w:rPr>
        <w:t xml:space="preserve">הרשב"א </w:t>
      </w:r>
      <w:r>
        <w:rPr>
          <w:rFonts w:hint="cs"/>
          <w:b/>
          <w:bCs/>
          <w:rtl/>
        </w:rPr>
        <w:t>והר"ן לקמן</w:t>
      </w:r>
      <w:r>
        <w:rPr>
          <w:rtl/>
        </w:rPr>
        <w:t xml:space="preserve"> </w:t>
      </w:r>
      <w:r>
        <w:rPr>
          <w:rFonts w:hint="cs"/>
          <w:rtl/>
        </w:rPr>
        <w:t>דההיתר הוא רק בכלי קטן שאין בו בנין וסתירה, אבל בכלי גדול אסור כדאיתא בגמ' בעירובין</w:t>
      </w:r>
      <w:r>
        <w:rPr>
          <w:rtl/>
        </w:rPr>
        <w:t xml:space="preserve"> </w:t>
      </w:r>
      <w:r w:rsidRPr="006A6902">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לה.</w:t>
      </w:r>
      <w:r w:rsidRPr="006A6902">
        <w:rPr>
          <w:rFonts w:ascii="Calibri" w:eastAsia="Times New Roman" w:hAnsi="Calibri" w:cs="Guttman Rashi"/>
          <w:noProof w:val="0"/>
          <w:sz w:val="10"/>
          <w:szCs w:val="12"/>
          <w:rtl/>
        </w:rPr>
        <w:t>)</w:t>
      </w:r>
      <w:r>
        <w:rPr>
          <w:rtl/>
        </w:rPr>
        <w:t xml:space="preserve"> </w:t>
      </w:r>
      <w:r>
        <w:rPr>
          <w:rFonts w:hint="cs"/>
          <w:rtl/>
        </w:rPr>
        <w:t>דבמגדל שיש בו עירוב ואבד המפתח דאסור לשוברו וביאר</w:t>
      </w:r>
      <w:r>
        <w:rPr>
          <w:rtl/>
        </w:rPr>
        <w:t xml:space="preserve"> </w:t>
      </w:r>
      <w:r>
        <w:rPr>
          <w:rFonts w:hint="cs"/>
          <w:b/>
          <w:bCs/>
          <w:vanish/>
          <w:rtl/>
        </w:rPr>
        <w:t xml:space="preserve">&lt;, </w:t>
      </w:r>
      <w:r>
        <w:rPr>
          <w:b/>
          <w:bCs/>
          <w:vanish/>
          <w:rtl/>
        </w:rPr>
        <w:fldChar w:fldCharType="begin"/>
      </w:r>
      <w:r>
        <w:rPr>
          <w:b/>
          <w:bCs/>
          <w:vanish/>
          <w:rtl/>
        </w:rPr>
        <w:instrText xml:space="preserve"> </w:instrText>
      </w:r>
      <w:r>
        <w:rPr>
          <w:rFonts w:hint="cs"/>
          <w:b/>
          <w:bCs/>
          <w:vanish/>
        </w:rPr>
        <w:instrText>REF</w:instrText>
      </w:r>
      <w:r>
        <w:rPr>
          <w:rFonts w:hint="cs"/>
          <w:b/>
          <w:bCs/>
          <w:vanish/>
          <w:rtl/>
        </w:rPr>
        <w:instrText xml:space="preserve"> _</w:instrText>
      </w:r>
      <w:r>
        <w:rPr>
          <w:rFonts w:hint="cs"/>
          <w:b/>
          <w:bCs/>
          <w:vanish/>
        </w:rPr>
        <w:instrText>Ref145061049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נד)</w:t>
      </w:r>
      <w:r>
        <w:rPr>
          <w:b/>
          <w:bCs/>
          <w:vanish/>
          <w:rtl/>
        </w:rPr>
        <w:fldChar w:fldCharType="end"/>
      </w:r>
      <w:r>
        <w:rPr>
          <w:rFonts w:hint="cs"/>
          <w:b/>
          <w:bCs/>
          <w:vanish/>
          <w:rtl/>
        </w:rPr>
        <w:t xml:space="preserve"> &gt;</w:t>
      </w:r>
      <w:r w:rsidRPr="00BC4F21">
        <w:rPr>
          <w:rFonts w:hint="cs"/>
          <w:b/>
          <w:bCs/>
          <w:rtl/>
        </w:rPr>
        <w:t>רש"י בעירובין</w:t>
      </w:r>
      <w:r>
        <w:rPr>
          <w:rtl/>
        </w:rPr>
        <w:t xml:space="preserve"> </w:t>
      </w:r>
      <w:r w:rsidRPr="00BC4F21">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לה. ד"ה ומתניתין</w:t>
      </w:r>
      <w:r w:rsidRPr="00BC4F21">
        <w:rPr>
          <w:rFonts w:ascii="Calibri" w:eastAsia="Times New Roman" w:hAnsi="Calibri" w:cs="Guttman Rashi"/>
          <w:noProof w:val="0"/>
          <w:sz w:val="10"/>
          <w:szCs w:val="12"/>
          <w:rtl/>
        </w:rPr>
        <w:t>)</w:t>
      </w:r>
      <w:r w:rsidRPr="009568DC">
        <w:rPr>
          <w:vanish/>
          <w:rtl/>
        </w:rPr>
        <w:t>=</w:t>
      </w:r>
      <w:r>
        <w:rPr>
          <w:rFonts w:hint="cs"/>
          <w:rtl/>
        </w:rPr>
        <w:t xml:space="preserve"> דהאיסור לסתור את מגדל הוא רק במגדל גדול, </w:t>
      </w:r>
      <w:r w:rsidRPr="00867253">
        <w:rPr>
          <w:rStyle w:val="af"/>
          <w:rFonts w:hint="cs"/>
          <w:rtl/>
        </w:rPr>
        <w:t xml:space="preserve">[אף דס"ל </w:t>
      </w:r>
      <w:r w:rsidRPr="00867253">
        <w:rPr>
          <w:rStyle w:val="aff9"/>
          <w:rFonts w:hint="cs"/>
          <w:rtl/>
        </w:rPr>
        <w:t>לרש"י</w:t>
      </w:r>
      <w:r w:rsidRPr="00867253">
        <w:rPr>
          <w:rStyle w:val="af"/>
          <w:rFonts w:hint="cs"/>
          <w:rtl/>
        </w:rPr>
        <w:t xml:space="preserve"> </w:t>
      </w:r>
      <w:r w:rsidRPr="00867253">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Ref144585311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א)</w:t>
      </w:r>
      <w:r>
        <w:rPr>
          <w:rStyle w:val="aff0"/>
          <w:rtl/>
        </w:rPr>
        <w:fldChar w:fldCharType="end"/>
      </w:r>
      <w:r w:rsidRPr="00867253">
        <w:rPr>
          <w:rStyle w:val="aff0"/>
          <w:rFonts w:hint="cs"/>
          <w:rtl/>
        </w:rPr>
        <w:t xml:space="preserve"> </w:t>
      </w:r>
      <w:r w:rsidRPr="00867253">
        <w:rPr>
          <w:rStyle w:val="af"/>
          <w:rFonts w:hint="cs"/>
          <w:rtl/>
        </w:rPr>
        <w:t>דאין בנין בכלים],</w:t>
      </w:r>
      <w:r w:rsidRPr="000A7DCD">
        <w:rPr>
          <w:rFonts w:hint="cs"/>
          <w:rtl/>
        </w:rPr>
        <w:t xml:space="preserve"> </w:t>
      </w:r>
      <w:r>
        <w:rPr>
          <w:rFonts w:hint="cs"/>
          <w:rtl/>
        </w:rPr>
        <w:t xml:space="preserve">אבל במגדל קטן לא שייכא בנין וסתירה כלל, וכתבו </w:t>
      </w:r>
      <w:r w:rsidRPr="00BC4F21">
        <w:rPr>
          <w:rFonts w:hint="cs"/>
          <w:b/>
          <w:bCs/>
          <w:rtl/>
        </w:rPr>
        <w:t>הרשב"א</w:t>
      </w:r>
      <w:r>
        <w:rPr>
          <w:rFonts w:hint="cs"/>
          <w:b/>
          <w:bCs/>
          <w:rtl/>
        </w:rPr>
        <w:t xml:space="preserve"> והר"ן</w:t>
      </w:r>
      <w:r w:rsidRPr="00BC4F21">
        <w:rPr>
          <w:rFonts w:hint="cs"/>
          <w:b/>
          <w:bCs/>
          <w:rtl/>
        </w:rPr>
        <w:t xml:space="preserve"> </w:t>
      </w:r>
      <w:r>
        <w:rPr>
          <w:rFonts w:hint="cs"/>
          <w:rtl/>
        </w:rPr>
        <w:t>דלכן התירו בגמ' לקמן לשבור חבית, וכן מוכח בכל הסוגיא בעירובין דאין בנין וסתירה בכלים, והאיסור בסתירת המגדל הוא כיון שהוא גדול ואין לו דין כלי</w:t>
      </w:r>
      <w:r w:rsidRPr="00926A53">
        <w:rPr>
          <w:rFonts w:hint="cs"/>
          <w:rtl/>
        </w:rPr>
        <w:t xml:space="preserve">, </w:t>
      </w:r>
      <w:r w:rsidRPr="00867253">
        <w:rPr>
          <w:rStyle w:val="af"/>
          <w:rFonts w:hint="cs"/>
          <w:rtl/>
        </w:rPr>
        <w:t>[</w:t>
      </w:r>
      <w:r>
        <w:rPr>
          <w:rStyle w:val="af"/>
          <w:rFonts w:hint="cs"/>
          <w:rtl/>
        </w:rPr>
        <w:t>וכ"כ</w:t>
      </w:r>
      <w:r w:rsidRPr="00867253">
        <w:rPr>
          <w:rStyle w:val="af"/>
          <w:rFonts w:hint="cs"/>
          <w:rtl/>
        </w:rPr>
        <w:t xml:space="preserve"> </w:t>
      </w:r>
      <w:r>
        <w:rPr>
          <w:rStyle w:val="aff9"/>
          <w:rFonts w:hint="cs"/>
          <w:rtl/>
        </w:rPr>
        <w:t>התוס' בעירובין בתי' הא'</w:t>
      </w:r>
      <w:r w:rsidRPr="00867253">
        <w:rPr>
          <w:rStyle w:val="af"/>
          <w:rFonts w:hint="cs"/>
          <w:rtl/>
        </w:rPr>
        <w:t xml:space="preserve"> </w:t>
      </w:r>
      <w:r w:rsidRPr="00867253">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Ref145187348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סא)</w:t>
      </w:r>
      <w:r>
        <w:rPr>
          <w:rStyle w:val="aff0"/>
          <w:rtl/>
        </w:rPr>
        <w:fldChar w:fldCharType="end"/>
      </w:r>
      <w:r w:rsidRPr="00867253">
        <w:rPr>
          <w:rStyle w:val="af"/>
          <w:rFonts w:hint="cs"/>
          <w:rtl/>
        </w:rPr>
        <w:t>],</w:t>
      </w:r>
      <w:r>
        <w:rPr>
          <w:rFonts w:hint="cs"/>
          <w:rtl/>
        </w:rPr>
        <w:t xml:space="preserve"> ועי' במה שביאר</w:t>
      </w:r>
      <w:r>
        <w:rPr>
          <w:rtl/>
        </w:rPr>
        <w:t xml:space="preserve"> </w:t>
      </w:r>
      <w:r>
        <w:rPr>
          <w:rFonts w:hint="cs"/>
          <w:b/>
          <w:bCs/>
          <w:rtl/>
        </w:rPr>
        <w:t>הפרמ"ג</w:t>
      </w:r>
      <w:r>
        <w:rPr>
          <w:rtl/>
        </w:rPr>
        <w:t xml:space="preserve"> </w:t>
      </w:r>
      <w:r w:rsidRPr="000235AB">
        <w:rPr>
          <w:rFonts w:ascii="Calibri" w:eastAsia="Times New Roman" w:hAnsi="Calibri" w:cs="Guttman Rashi"/>
          <w:noProof w:val="0"/>
          <w:sz w:val="10"/>
          <w:szCs w:val="12"/>
          <w:rtl/>
        </w:rPr>
        <w:t xml:space="preserve">(עי' 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Pr>
        <w:instrText>REF</w:instrText>
      </w:r>
      <w:r>
        <w:rPr>
          <w:rFonts w:ascii="Calibri" w:eastAsia="Times New Roman" w:hAnsi="Calibri" w:cs="Guttman Rashi"/>
          <w:noProof w:val="0"/>
          <w:sz w:val="10"/>
          <w:szCs w:val="12"/>
          <w:rtl/>
        </w:rPr>
        <w:instrText xml:space="preserve"> _</w:instrText>
      </w:r>
      <w:r>
        <w:rPr>
          <w:rFonts w:ascii="Calibri" w:eastAsia="Times New Roman" w:hAnsi="Calibri" w:cs="Guttman Rashi"/>
          <w:noProof w:val="0"/>
          <w:sz w:val="10"/>
          <w:szCs w:val="12"/>
        </w:rPr>
        <w:instrText>Ref144721012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עו)</w:t>
      </w:r>
      <w:r>
        <w:rPr>
          <w:rFonts w:ascii="Calibri" w:eastAsia="Times New Roman" w:hAnsi="Calibri" w:cs="Guttman Rashi"/>
          <w:noProof w:val="0"/>
          <w:sz w:val="10"/>
          <w:szCs w:val="12"/>
          <w:rtl/>
        </w:rPr>
        <w:fldChar w:fldCharType="end"/>
      </w:r>
      <w:r>
        <w:rPr>
          <w:rtl/>
        </w:rPr>
        <w:t xml:space="preserve"> </w:t>
      </w:r>
      <w:r>
        <w:rPr>
          <w:rFonts w:hint="cs"/>
          <w:rtl/>
        </w:rPr>
        <w:t xml:space="preserve">בדברי </w:t>
      </w:r>
      <w:r>
        <w:rPr>
          <w:rFonts w:hint="cs"/>
          <w:b/>
          <w:bCs/>
          <w:rtl/>
        </w:rPr>
        <w:t>רש"י</w:t>
      </w:r>
      <w:r>
        <w:rPr>
          <w:rFonts w:hint="cs"/>
          <w:rtl/>
        </w:rPr>
        <w:t xml:space="preserve">, וע'"ע במה שביארו </w:t>
      </w:r>
      <w:r w:rsidRPr="006C4249">
        <w:rPr>
          <w:rStyle w:val="aff4"/>
          <w:rFonts w:hint="cs"/>
          <w:rtl/>
        </w:rPr>
        <w:t>הב"י</w:t>
      </w:r>
      <w:r>
        <w:rPr>
          <w:rFonts w:hint="cs"/>
          <w:rtl/>
        </w:rPr>
        <w:t xml:space="preserve"> </w:t>
      </w:r>
      <w:r w:rsidRPr="00600932">
        <w:rPr>
          <w:rStyle w:val="af2"/>
          <w:rFonts w:eastAsia="Guttman Hodes" w:hint="cs"/>
          <w:rtl/>
        </w:rPr>
        <w:t xml:space="preserve">(עי' אות </w:t>
      </w:r>
      <w:r w:rsidRPr="00600932">
        <w:rPr>
          <w:rStyle w:val="af2"/>
          <w:rFonts w:eastAsia="Guttman Hodes"/>
          <w:rtl/>
        </w:rPr>
        <w:fldChar w:fldCharType="begin"/>
      </w:r>
      <w:r w:rsidRPr="00600932">
        <w:rPr>
          <w:rStyle w:val="af2"/>
          <w:rFonts w:eastAsia="Guttman Hodes"/>
          <w:rtl/>
        </w:rPr>
        <w:instrText xml:space="preserve"> </w:instrText>
      </w:r>
      <w:r w:rsidRPr="00600932">
        <w:rPr>
          <w:rStyle w:val="af2"/>
          <w:rFonts w:eastAsia="Guttman Hodes" w:hint="cs"/>
        </w:rPr>
        <w:instrText>REF</w:instrText>
      </w:r>
      <w:r w:rsidRPr="00600932">
        <w:rPr>
          <w:rStyle w:val="af2"/>
          <w:rFonts w:eastAsia="Guttman Hodes" w:hint="cs"/>
          <w:rtl/>
        </w:rPr>
        <w:instrText xml:space="preserve"> _</w:instrText>
      </w:r>
      <w:r w:rsidRPr="00600932">
        <w:rPr>
          <w:rStyle w:val="af2"/>
          <w:rFonts w:eastAsia="Guttman Hodes" w:hint="cs"/>
        </w:rPr>
        <w:instrText>Ref145235599 \r \h</w:instrText>
      </w:r>
      <w:r w:rsidRPr="00600932">
        <w:rPr>
          <w:rStyle w:val="af2"/>
          <w:rFonts w:eastAsia="Guttman Hodes"/>
          <w:rtl/>
        </w:rPr>
        <w:instrText xml:space="preserve"> </w:instrText>
      </w:r>
      <w:r w:rsidRPr="00600932">
        <w:rPr>
          <w:rStyle w:val="af2"/>
          <w:rFonts w:eastAsia="Guttman Hodes"/>
          <w:rtl/>
        </w:rPr>
      </w:r>
      <w:r w:rsidRPr="00600932">
        <w:rPr>
          <w:rStyle w:val="af2"/>
          <w:rFonts w:eastAsia="Guttman Hodes"/>
          <w:rtl/>
        </w:rPr>
        <w:fldChar w:fldCharType="separate"/>
      </w:r>
      <w:r w:rsidR="00D82181">
        <w:rPr>
          <w:rStyle w:val="af2"/>
          <w:rFonts w:eastAsia="Guttman Hodes"/>
          <w:cs/>
        </w:rPr>
        <w:t>‎</w:t>
      </w:r>
      <w:r w:rsidR="00D82181">
        <w:rPr>
          <w:rStyle w:val="af2"/>
          <w:rFonts w:eastAsia="Guttman Hodes"/>
          <w:rtl/>
        </w:rPr>
        <w:t>סח)</w:t>
      </w:r>
      <w:r w:rsidRPr="00600932">
        <w:rPr>
          <w:rStyle w:val="af2"/>
          <w:rFonts w:eastAsia="Guttman Hodes"/>
          <w:rtl/>
        </w:rPr>
        <w:fldChar w:fldCharType="end"/>
      </w:r>
      <w:r>
        <w:rPr>
          <w:rFonts w:hint="cs"/>
          <w:rtl/>
        </w:rPr>
        <w:t xml:space="preserve"> </w:t>
      </w:r>
      <w:r w:rsidRPr="006C4249">
        <w:rPr>
          <w:rStyle w:val="aff4"/>
          <w:rFonts w:hint="cs"/>
          <w:rtl/>
        </w:rPr>
        <w:t>והפרמ"ג</w:t>
      </w:r>
      <w:r>
        <w:rPr>
          <w:rFonts w:hint="cs"/>
          <w:rtl/>
        </w:rPr>
        <w:t xml:space="preserve"> </w:t>
      </w:r>
      <w:r w:rsidRPr="00600932">
        <w:rPr>
          <w:rStyle w:val="af2"/>
          <w:rFonts w:eastAsia="Guttman Hodes" w:hint="cs"/>
          <w:rtl/>
        </w:rPr>
        <w:t xml:space="preserve">(עי' אות </w:t>
      </w:r>
      <w:r w:rsidRPr="00600932">
        <w:rPr>
          <w:rStyle w:val="af2"/>
          <w:rFonts w:eastAsia="Guttman Hodes"/>
          <w:rtl/>
        </w:rPr>
        <w:fldChar w:fldCharType="begin"/>
      </w:r>
      <w:r w:rsidRPr="00600932">
        <w:rPr>
          <w:rStyle w:val="af2"/>
          <w:rFonts w:eastAsia="Guttman Hodes"/>
          <w:rtl/>
        </w:rPr>
        <w:instrText xml:space="preserve"> </w:instrText>
      </w:r>
      <w:r w:rsidRPr="00600932">
        <w:rPr>
          <w:rStyle w:val="af2"/>
          <w:rFonts w:eastAsia="Guttman Hodes" w:hint="cs"/>
        </w:rPr>
        <w:instrText>REF</w:instrText>
      </w:r>
      <w:r w:rsidRPr="00600932">
        <w:rPr>
          <w:rStyle w:val="af2"/>
          <w:rFonts w:eastAsia="Guttman Hodes" w:hint="cs"/>
          <w:rtl/>
        </w:rPr>
        <w:instrText xml:space="preserve"> _</w:instrText>
      </w:r>
      <w:r w:rsidRPr="00600932">
        <w:rPr>
          <w:rStyle w:val="af2"/>
          <w:rFonts w:eastAsia="Guttman Hodes" w:hint="cs"/>
        </w:rPr>
        <w:instrText>Ref144721012 \r \h</w:instrText>
      </w:r>
      <w:r w:rsidRPr="00600932">
        <w:rPr>
          <w:rStyle w:val="af2"/>
          <w:rFonts w:eastAsia="Guttman Hodes"/>
          <w:rtl/>
        </w:rPr>
        <w:instrText xml:space="preserve"> </w:instrText>
      </w:r>
      <w:r w:rsidRPr="00600932">
        <w:rPr>
          <w:rStyle w:val="af2"/>
          <w:rFonts w:eastAsia="Guttman Hodes"/>
          <w:rtl/>
        </w:rPr>
      </w:r>
      <w:r w:rsidRPr="00600932">
        <w:rPr>
          <w:rStyle w:val="af2"/>
          <w:rFonts w:eastAsia="Guttman Hodes"/>
          <w:rtl/>
        </w:rPr>
        <w:fldChar w:fldCharType="separate"/>
      </w:r>
      <w:r w:rsidR="00D82181">
        <w:rPr>
          <w:rStyle w:val="af2"/>
          <w:rFonts w:eastAsia="Guttman Hodes"/>
          <w:cs/>
        </w:rPr>
        <w:t>‎</w:t>
      </w:r>
      <w:r w:rsidR="00D82181">
        <w:rPr>
          <w:rStyle w:val="af2"/>
          <w:rFonts w:eastAsia="Guttman Hodes"/>
          <w:rtl/>
        </w:rPr>
        <w:t>עו)</w:t>
      </w:r>
      <w:r w:rsidRPr="00600932">
        <w:rPr>
          <w:rStyle w:val="af2"/>
          <w:rFonts w:eastAsia="Guttman Hodes"/>
          <w:rtl/>
        </w:rPr>
        <w:fldChar w:fldCharType="end"/>
      </w:r>
      <w:r w:rsidRPr="00600932">
        <w:rPr>
          <w:rStyle w:val="af2"/>
          <w:rFonts w:eastAsia="Guttman Hodes" w:hint="cs"/>
          <w:rtl/>
        </w:rPr>
        <w:t xml:space="preserve"> </w:t>
      </w:r>
      <w:r>
        <w:rPr>
          <w:rFonts w:hint="cs"/>
          <w:rtl/>
        </w:rPr>
        <w:t xml:space="preserve">בדברי </w:t>
      </w:r>
      <w:r w:rsidRPr="006C4249">
        <w:rPr>
          <w:rStyle w:val="aff4"/>
          <w:rFonts w:hint="cs"/>
          <w:rtl/>
        </w:rPr>
        <w:t>הר"ן</w:t>
      </w:r>
      <w:r>
        <w:rPr>
          <w:rFonts w:hint="cs"/>
          <w:rtl/>
        </w:rPr>
        <w:t>.</w:t>
      </w:r>
      <w:bookmarkEnd w:id="5656"/>
    </w:p>
    <w:bookmarkEnd w:id="5657"/>
    <w:p w14:paraId="74D83CDE" w14:textId="77777777" w:rsidR="003E1AA3" w:rsidRPr="00BC7DC8" w:rsidRDefault="003E1AA3" w:rsidP="003E1AA3">
      <w:pPr>
        <w:pStyle w:val="afffffe"/>
        <w:rPr>
          <w:vanish/>
          <w:rtl/>
        </w:rPr>
      </w:pPr>
      <w:r w:rsidRPr="00BC7DC8">
        <w:rPr>
          <w:vanish/>
          <w:rtl/>
        </w:rPr>
        <w:t>חדושי הרשב"א שבת קמ"ו ע"א</w:t>
      </w:r>
      <w:r w:rsidRPr="00BC7DC8">
        <w:rPr>
          <w:rFonts w:hint="cs"/>
          <w:vanish/>
          <w:rtl/>
        </w:rPr>
        <w:t xml:space="preserve"> ד"ה ואף</w:t>
      </w:r>
    </w:p>
    <w:p w14:paraId="26A3F4D4" w14:textId="77777777" w:rsidR="003E1AA3" w:rsidRPr="0018388A" w:rsidRDefault="003E1AA3" w:rsidP="003E1AA3">
      <w:pPr>
        <w:pStyle w:val="a2"/>
        <w:tabs>
          <w:tab w:val="num" w:pos="284"/>
        </w:tabs>
        <w:rPr>
          <w:rtl/>
        </w:rPr>
      </w:pPr>
      <w:r w:rsidRPr="0018388A">
        <w:rPr>
          <w:rtl/>
        </w:rPr>
        <w:t>וכן פירש רש"י ז"ל שם בעירובין (ל"ה א'), וכן מוכחא כל אותה סוגיא ששם דאין בנין בכלים ואין סתירה בכלים ומותר לשוברו, אלא טעמא דמגדל משום דאין לו דין כלי.</w:t>
      </w:r>
    </w:p>
    <w:p w14:paraId="7AF43D4F" w14:textId="77777777" w:rsidR="003E1AA3" w:rsidRPr="00BC7DC8" w:rsidRDefault="003E1AA3" w:rsidP="003E1AA3">
      <w:pPr>
        <w:pStyle w:val="afffffe"/>
        <w:rPr>
          <w:vanish/>
          <w:rtl/>
        </w:rPr>
      </w:pPr>
      <w:r w:rsidRPr="00BC7DC8">
        <w:rPr>
          <w:vanish/>
          <w:rtl/>
        </w:rPr>
        <w:t>רש"י עירובין ל"ה ע"א</w:t>
      </w:r>
      <w:r w:rsidRPr="00BC7DC8">
        <w:rPr>
          <w:rFonts w:hint="cs"/>
          <w:vanish/>
          <w:rtl/>
        </w:rPr>
        <w:t xml:space="preserve"> ד"ה ומתניתין</w:t>
      </w:r>
    </w:p>
    <w:p w14:paraId="06E0E6CE" w14:textId="77777777" w:rsidR="003E1AA3" w:rsidRPr="002E340A" w:rsidRDefault="003E1AA3" w:rsidP="003E1AA3">
      <w:pPr>
        <w:pStyle w:val="afffff5"/>
        <w:rPr>
          <w:rtl/>
        </w:rPr>
      </w:pPr>
      <w:r w:rsidRPr="002E340A">
        <w:rPr>
          <w:rtl/>
        </w:rPr>
        <w:t xml:space="preserve">ומתניתין - דעירוב במאי מוקמינן לה, דהא לכולי עלמא אי גדול הוא - אהל הוא, ואמאי עירובו עירוב, אי קטן שאינו מחזיק ארבעים סאה בלח - כלי הוא, ומאי טעמא דר' אליעזר </w:t>
      </w:r>
    </w:p>
    <w:bookmarkEnd w:id="5650"/>
    <w:p w14:paraId="7D031DE9" w14:textId="77777777" w:rsidR="003E1AA3" w:rsidRPr="00BC7DC8" w:rsidRDefault="003E1AA3" w:rsidP="003E1AA3">
      <w:pPr>
        <w:pStyle w:val="afffffe"/>
        <w:rPr>
          <w:vanish/>
          <w:rtl/>
        </w:rPr>
      </w:pPr>
      <w:r w:rsidRPr="00BC7DC8">
        <w:rPr>
          <w:vanish/>
          <w:rtl/>
        </w:rPr>
        <w:t>חדושי הר"ן שבת קמ"ו ע"א</w:t>
      </w:r>
      <w:r w:rsidRPr="00BC7DC8">
        <w:rPr>
          <w:rFonts w:hint="cs"/>
          <w:vanish/>
          <w:rtl/>
        </w:rPr>
        <w:t xml:space="preserve"> ד"ה שובר</w:t>
      </w:r>
    </w:p>
    <w:p w14:paraId="7B9F72DF" w14:textId="77777777" w:rsidR="003E1AA3" w:rsidRPr="002E340A" w:rsidRDefault="003E1AA3" w:rsidP="003E1AA3">
      <w:pPr>
        <w:pStyle w:val="afffff5"/>
        <w:rPr>
          <w:rtl/>
        </w:rPr>
      </w:pPr>
      <w:r w:rsidRPr="002E340A">
        <w:rPr>
          <w:rtl/>
        </w:rPr>
        <w:t>מיהו כי שרי דוקא בכלי קטן דלא שייך ביה בנין וסתירה אבל גדול לא והראיה מדתנן בפרק בכל מערבין נתנו במגדל ואבד המפתח עירובו עירוב רבי אליעזר אומר אם אין ידוע שהמפתח ממקומו אין עירובו עירוב ואוקימנא פלוגתייהו במגדל של עץ דקטיר במתנא ובעי סכינא למפסקיה ורבנן סברי כל הכלים ניטלין בשבת לצורך גופן ורבי אליעזר סבר לה כרבי נחמיה דאמר אין כלי ניטל אלא דרך תשמישו הא לאו הכי אפילו רבנן מודו דאין עירובו עירוב ולא שרינן לשבור את המגדל והיינו טעמא דהתם משום דבמגדל גדול עסקינן דהוי כאהל ושייך ביה בנין וסתירה הא במגדל קטן לא שייכא ביה בנין וסתירה וה"ט דשרינן הכא בחבית וכן פרש"י ז"ל בעירובין וכ"מ סוגיא דהתם:</w:t>
      </w:r>
    </w:p>
    <w:p w14:paraId="2F06BF56" w14:textId="77777777" w:rsidR="003E1AA3" w:rsidRPr="00FC269C" w:rsidRDefault="003E1AA3" w:rsidP="003E1AA3">
      <w:pPr>
        <w:pStyle w:val="afffff7"/>
        <w:rPr>
          <w:rtl/>
        </w:rPr>
      </w:pPr>
      <w:bookmarkStart w:id="5658" w:name="_Toc145234047"/>
      <w:bookmarkStart w:id="5659" w:name="_Toc163506305"/>
      <w:r w:rsidRPr="00FC269C">
        <w:rPr>
          <w:rFonts w:hint="cs"/>
          <w:rtl/>
        </w:rPr>
        <w:t>טל אורות הספרדי מלאכת בונה ד"ה אך קשה</w:t>
      </w:r>
      <w:bookmarkEnd w:id="5658"/>
      <w:bookmarkEnd w:id="5659"/>
    </w:p>
    <w:p w14:paraId="30E7167E" w14:textId="77777777" w:rsidR="003E1AA3" w:rsidRPr="00017951" w:rsidRDefault="003E1AA3" w:rsidP="003E1AA3">
      <w:pPr>
        <w:pStyle w:val="a7"/>
        <w:rPr>
          <w:rtl/>
        </w:rPr>
      </w:pPr>
      <w:bookmarkStart w:id="5660" w:name="_Toc145019584"/>
      <w:bookmarkStart w:id="5661" w:name="_Toc145233955"/>
      <w:r>
        <w:rPr>
          <w:rFonts w:hint="cs"/>
          <w:rtl/>
        </w:rPr>
        <w:t>קו' הטל אורות דמשמע ברש"י דבאינו מקלקל יש סתירה בחבית אף דס"ל דאין בנין בכלים</w:t>
      </w:r>
      <w:bookmarkEnd w:id="5660"/>
      <w:bookmarkEnd w:id="5661"/>
    </w:p>
    <w:p w14:paraId="2C56A7DB" w14:textId="2C7A1FE9" w:rsidR="003E1AA3" w:rsidRPr="00EC2E2B" w:rsidRDefault="003E1AA3" w:rsidP="00BC7DC8">
      <w:pPr>
        <w:pStyle w:val="a3"/>
        <w:rPr>
          <w:rtl/>
        </w:rPr>
      </w:pPr>
      <w:bookmarkStart w:id="5662" w:name="_Ref144808810"/>
      <w:r>
        <w:rPr>
          <w:rFonts w:hint="cs"/>
          <w:rtl/>
        </w:rPr>
        <w:t>והקשה</w:t>
      </w:r>
      <w:r>
        <w:rPr>
          <w:rtl/>
        </w:rPr>
        <w:t xml:space="preserve"> </w:t>
      </w:r>
      <w:r w:rsidRPr="00EC2E2B">
        <w:rPr>
          <w:b/>
          <w:bCs/>
          <w:rtl/>
        </w:rPr>
        <w:t>ה</w:t>
      </w:r>
      <w:r>
        <w:rPr>
          <w:rFonts w:hint="cs"/>
          <w:b/>
          <w:bCs/>
          <w:vanish/>
          <w:rtl/>
        </w:rPr>
        <w:t xml:space="preserve">&lt;, </w:t>
      </w:r>
      <w:r>
        <w:rPr>
          <w:b/>
          <w:bCs/>
          <w:vanish/>
          <w:rtl/>
        </w:rPr>
        <w:fldChar w:fldCharType="begin"/>
      </w:r>
      <w:r>
        <w:rPr>
          <w:b/>
          <w:bCs/>
          <w:vanish/>
          <w:rtl/>
        </w:rPr>
        <w:instrText xml:space="preserve"> </w:instrText>
      </w:r>
      <w:r>
        <w:rPr>
          <w:rFonts w:hint="cs"/>
          <w:b/>
          <w:bCs/>
          <w:vanish/>
        </w:rPr>
        <w:instrText>REF</w:instrText>
      </w:r>
      <w:r>
        <w:rPr>
          <w:rFonts w:hint="cs"/>
          <w:b/>
          <w:bCs/>
          <w:vanish/>
          <w:rtl/>
        </w:rPr>
        <w:instrText xml:space="preserve"> _</w:instrText>
      </w:r>
      <w:r>
        <w:rPr>
          <w:rFonts w:hint="cs"/>
          <w:b/>
          <w:bCs/>
          <w:vanish/>
        </w:rPr>
        <w:instrText>Ref144808810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נה)</w:t>
      </w:r>
      <w:r>
        <w:rPr>
          <w:b/>
          <w:bCs/>
          <w:vanish/>
          <w:rtl/>
        </w:rPr>
        <w:fldChar w:fldCharType="end"/>
      </w:r>
      <w:r>
        <w:rPr>
          <w:rFonts w:hint="cs"/>
          <w:b/>
          <w:bCs/>
          <w:vanish/>
          <w:rtl/>
        </w:rPr>
        <w:t xml:space="preserve"> &gt;</w:t>
      </w:r>
      <w:r>
        <w:rPr>
          <w:rFonts w:hint="cs"/>
          <w:b/>
          <w:bCs/>
          <w:rtl/>
        </w:rPr>
        <w:t>טל אורות הספרדי</w:t>
      </w:r>
      <w:r w:rsidRPr="00EC2E2B">
        <w:rPr>
          <w:b/>
          <w:bCs/>
          <w:rtl/>
        </w:rPr>
        <w:t xml:space="preserve"> </w:t>
      </w:r>
      <w:r w:rsidRPr="00EC2E2B">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מלאכת בונה ד"ה אך קשה</w:t>
      </w:r>
      <w:r w:rsidRPr="00EC2E2B">
        <w:rPr>
          <w:rFonts w:ascii="Calibri" w:eastAsia="Times New Roman" w:hAnsi="Calibri" w:cs="Guttman Rashi"/>
          <w:noProof w:val="0"/>
          <w:sz w:val="10"/>
          <w:szCs w:val="12"/>
          <w:rtl/>
        </w:rPr>
        <w:t>)</w:t>
      </w:r>
      <w:r w:rsidRPr="00EC2E2B">
        <w:rPr>
          <w:vanish/>
          <w:rtl/>
        </w:rPr>
        <w:t>=</w:t>
      </w:r>
      <w:r>
        <w:rPr>
          <w:rtl/>
        </w:rPr>
        <w:t xml:space="preserve"> </w:t>
      </w:r>
      <w:r>
        <w:rPr>
          <w:rFonts w:hint="cs"/>
          <w:rtl/>
        </w:rPr>
        <w:t>דמשמע מדברי</w:t>
      </w:r>
      <w:r>
        <w:rPr>
          <w:rtl/>
        </w:rPr>
        <w:t xml:space="preserve"> </w:t>
      </w:r>
      <w:r>
        <w:rPr>
          <w:rFonts w:hint="cs"/>
          <w:b/>
          <w:bCs/>
          <w:rtl/>
        </w:rPr>
        <w:t>רש"י לקמן</w:t>
      </w:r>
      <w:r>
        <w:rPr>
          <w:rtl/>
        </w:rPr>
        <w:t xml:space="preserve"> </w:t>
      </w:r>
      <w:r w:rsidRPr="00A7279D">
        <w:rPr>
          <w:rStyle w:val="af2"/>
          <w:rFonts w:eastAsia="Guttman Hodes" w:hint="cs"/>
          <w:rtl/>
        </w:rPr>
        <w:t xml:space="preserve">(עי' אות </w:t>
      </w:r>
      <w:r w:rsidRPr="00A7279D">
        <w:rPr>
          <w:rStyle w:val="af2"/>
          <w:rFonts w:eastAsia="Guttman Hodes"/>
          <w:rtl/>
        </w:rPr>
        <w:fldChar w:fldCharType="begin"/>
      </w:r>
      <w:r w:rsidRPr="00A7279D">
        <w:rPr>
          <w:rStyle w:val="af2"/>
          <w:rFonts w:eastAsia="Guttman Hodes"/>
          <w:rtl/>
        </w:rPr>
        <w:instrText xml:space="preserve"> </w:instrText>
      </w:r>
      <w:r w:rsidRPr="00A7279D">
        <w:rPr>
          <w:rStyle w:val="af2"/>
          <w:rFonts w:eastAsia="Guttman Hodes" w:hint="cs"/>
        </w:rPr>
        <w:instrText>REF</w:instrText>
      </w:r>
      <w:r w:rsidRPr="00A7279D">
        <w:rPr>
          <w:rStyle w:val="af2"/>
          <w:rFonts w:eastAsia="Guttman Hodes" w:hint="cs"/>
          <w:rtl/>
        </w:rPr>
        <w:instrText xml:space="preserve"> _</w:instrText>
      </w:r>
      <w:r w:rsidRPr="00A7279D">
        <w:rPr>
          <w:rStyle w:val="af2"/>
          <w:rFonts w:eastAsia="Guttman Hodes" w:hint="cs"/>
        </w:rPr>
        <w:instrText>Ref144808791 \r \h</w:instrText>
      </w:r>
      <w:r w:rsidRPr="00A7279D">
        <w:rPr>
          <w:rStyle w:val="af2"/>
          <w:rFonts w:eastAsia="Guttman Hodes"/>
          <w:rtl/>
        </w:rPr>
        <w:instrText xml:space="preserve"> </w:instrText>
      </w:r>
      <w:r w:rsidRPr="00A7279D">
        <w:rPr>
          <w:rStyle w:val="af2"/>
          <w:rFonts w:eastAsia="Guttman Hodes"/>
          <w:rtl/>
        </w:rPr>
      </w:r>
      <w:r w:rsidRPr="00A7279D">
        <w:rPr>
          <w:rStyle w:val="af2"/>
          <w:rFonts w:eastAsia="Guttman Hodes"/>
          <w:rtl/>
        </w:rPr>
        <w:fldChar w:fldCharType="separate"/>
      </w:r>
      <w:r w:rsidR="00D82181">
        <w:rPr>
          <w:rStyle w:val="af2"/>
          <w:rFonts w:eastAsia="Guttman Hodes"/>
          <w:cs/>
        </w:rPr>
        <w:t>‎</w:t>
      </w:r>
      <w:r w:rsidR="00D82181">
        <w:rPr>
          <w:rStyle w:val="af2"/>
          <w:rFonts w:eastAsia="Guttman Hodes"/>
          <w:rtl/>
        </w:rPr>
        <w:t>נג)</w:t>
      </w:r>
      <w:r w:rsidRPr="00A7279D">
        <w:rPr>
          <w:rStyle w:val="af2"/>
          <w:rFonts w:eastAsia="Guttman Hodes"/>
          <w:rtl/>
        </w:rPr>
        <w:fldChar w:fldCharType="end"/>
      </w:r>
      <w:r>
        <w:rPr>
          <w:rFonts w:hint="cs"/>
          <w:rtl/>
        </w:rPr>
        <w:t xml:space="preserve"> דאי אינו מקלקל שייך סתירה בחבית, והא ס"ל</w:t>
      </w:r>
      <w:r>
        <w:rPr>
          <w:rtl/>
        </w:rPr>
        <w:t xml:space="preserve"> </w:t>
      </w:r>
      <w:r>
        <w:rPr>
          <w:rFonts w:hint="cs"/>
          <w:b/>
          <w:bCs/>
          <w:rtl/>
        </w:rPr>
        <w:t>לרש"י</w:t>
      </w:r>
      <w:r>
        <w:rPr>
          <w:rtl/>
        </w:rPr>
        <w:t xml:space="preserve"> </w:t>
      </w:r>
      <w:r w:rsidRPr="00A06022">
        <w:rPr>
          <w:rStyle w:val="af2"/>
          <w:rFonts w:eastAsia="Guttman Hodes" w:hint="cs"/>
          <w:rtl/>
        </w:rPr>
        <w:t xml:space="preserve">(עי' אות </w:t>
      </w:r>
      <w:r w:rsidRPr="00A06022">
        <w:rPr>
          <w:rStyle w:val="af2"/>
          <w:rFonts w:eastAsia="Guttman Hodes"/>
          <w:rtl/>
        </w:rPr>
        <w:fldChar w:fldCharType="begin"/>
      </w:r>
      <w:r w:rsidRPr="00A06022">
        <w:rPr>
          <w:rStyle w:val="af2"/>
          <w:rFonts w:eastAsia="Guttman Hodes"/>
          <w:rtl/>
        </w:rPr>
        <w:instrText xml:space="preserve"> </w:instrText>
      </w:r>
      <w:r w:rsidRPr="00A06022">
        <w:rPr>
          <w:rStyle w:val="af2"/>
          <w:rFonts w:eastAsia="Guttman Hodes" w:hint="cs"/>
        </w:rPr>
        <w:instrText>REF</w:instrText>
      </w:r>
      <w:r w:rsidRPr="00A06022">
        <w:rPr>
          <w:rStyle w:val="af2"/>
          <w:rFonts w:eastAsia="Guttman Hodes" w:hint="cs"/>
          <w:rtl/>
        </w:rPr>
        <w:instrText xml:space="preserve"> _</w:instrText>
      </w:r>
      <w:r w:rsidRPr="00A06022">
        <w:rPr>
          <w:rStyle w:val="af2"/>
          <w:rFonts w:eastAsia="Guttman Hodes" w:hint="cs"/>
        </w:rPr>
        <w:instrText>Ref144585311 \r \h</w:instrText>
      </w:r>
      <w:r w:rsidRPr="00A06022">
        <w:rPr>
          <w:rStyle w:val="af2"/>
          <w:rFonts w:eastAsia="Guttman Hodes"/>
          <w:rtl/>
        </w:rPr>
        <w:instrText xml:space="preserve"> </w:instrText>
      </w:r>
      <w:r w:rsidRPr="00A06022">
        <w:rPr>
          <w:rStyle w:val="af2"/>
          <w:rFonts w:eastAsia="Guttman Hodes"/>
          <w:rtl/>
        </w:rPr>
      </w:r>
      <w:r w:rsidRPr="00A06022">
        <w:rPr>
          <w:rStyle w:val="af2"/>
          <w:rFonts w:eastAsia="Guttman Hodes"/>
          <w:rtl/>
        </w:rPr>
        <w:fldChar w:fldCharType="separate"/>
      </w:r>
      <w:r w:rsidR="00D82181">
        <w:rPr>
          <w:rStyle w:val="af2"/>
          <w:rFonts w:eastAsia="Guttman Hodes"/>
          <w:cs/>
        </w:rPr>
        <w:t>‎</w:t>
      </w:r>
      <w:r w:rsidR="00D82181">
        <w:rPr>
          <w:rStyle w:val="af2"/>
          <w:rFonts w:eastAsia="Guttman Hodes"/>
          <w:rtl/>
        </w:rPr>
        <w:t>א)</w:t>
      </w:r>
      <w:r w:rsidRPr="00A06022">
        <w:rPr>
          <w:rStyle w:val="af2"/>
          <w:rFonts w:eastAsia="Guttman Hodes"/>
          <w:rtl/>
        </w:rPr>
        <w:fldChar w:fldCharType="end"/>
      </w:r>
      <w:r>
        <w:rPr>
          <w:rFonts w:hint="cs"/>
          <w:rtl/>
        </w:rPr>
        <w:t xml:space="preserve"> דאין בנין וסתירה בכלים, ותירץ</w:t>
      </w:r>
      <w:r w:rsidRPr="00262846">
        <w:rPr>
          <w:rFonts w:hint="cs"/>
          <w:b/>
          <w:bCs/>
          <w:rtl/>
        </w:rPr>
        <w:t xml:space="preserve"> </w:t>
      </w:r>
      <w:r>
        <w:rPr>
          <w:rFonts w:hint="cs"/>
          <w:b/>
          <w:bCs/>
          <w:rtl/>
        </w:rPr>
        <w:t>הטל אורות הספרדי</w:t>
      </w:r>
      <w:r>
        <w:rPr>
          <w:rtl/>
        </w:rPr>
        <w:t xml:space="preserve"> </w:t>
      </w:r>
      <w:r>
        <w:rPr>
          <w:rFonts w:hint="cs"/>
          <w:rtl/>
        </w:rPr>
        <w:t>דכוונת</w:t>
      </w:r>
      <w:r>
        <w:rPr>
          <w:rtl/>
        </w:rPr>
        <w:t xml:space="preserve"> </w:t>
      </w:r>
      <w:r>
        <w:rPr>
          <w:rFonts w:hint="cs"/>
          <w:b/>
          <w:bCs/>
          <w:rtl/>
        </w:rPr>
        <w:t>רש"י</w:t>
      </w:r>
      <w:r>
        <w:rPr>
          <w:rFonts w:hint="cs"/>
          <w:rtl/>
        </w:rPr>
        <w:t xml:space="preserve"> לומר דאם אינו מקלקל היינו באופן דהוא סותר ע"מ לבנות, ובזה בבתים חייב מדין סותר, אבל בכלים היה מתחייב מדין מכה בפטיש, וע"ע במ"ש בזה </w:t>
      </w:r>
      <w:r>
        <w:rPr>
          <w:rFonts w:hint="cs"/>
          <w:b/>
          <w:bCs/>
          <w:rtl/>
        </w:rPr>
        <w:t>ה</w:t>
      </w:r>
      <w:r w:rsidRPr="004C4A87">
        <w:rPr>
          <w:b/>
          <w:bCs/>
          <w:vanish/>
          <w:rtl/>
        </w:rPr>
        <w:t>&lt; &gt;</w:t>
      </w:r>
      <w:r>
        <w:rPr>
          <w:rFonts w:hint="cs"/>
          <w:b/>
          <w:bCs/>
          <w:rtl/>
        </w:rPr>
        <w:t>אגרות משה</w:t>
      </w:r>
      <w:r w:rsidRPr="004C4A87">
        <w:rPr>
          <w:b/>
          <w:bCs/>
          <w:rtl/>
        </w:rPr>
        <w:t xml:space="preserve"> </w:t>
      </w:r>
      <w:r w:rsidRPr="004C4A87">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או"ח ח"א סי' קכ"ב ענף א' ד"ה והנכון</w:t>
      </w:r>
      <w:r w:rsidRPr="00A04DD6">
        <w:rPr>
          <w:rtl/>
        </w:rPr>
        <w:t xml:space="preserve"> </w:t>
      </w:r>
      <w:r w:rsidRPr="00A04DD6">
        <w:rPr>
          <w:rFonts w:ascii="Calibri" w:eastAsia="Times New Roman" w:hAnsi="Calibri" w:cs="Guttman Rashi"/>
          <w:noProof w:val="0"/>
          <w:sz w:val="10"/>
          <w:szCs w:val="12"/>
          <w:rtl/>
        </w:rPr>
        <w:t>לע"ד דהא</w:t>
      </w:r>
      <w:r w:rsidRPr="004C4A87">
        <w:rPr>
          <w:rFonts w:ascii="Calibri" w:eastAsia="Times New Roman" w:hAnsi="Calibri" w:cs="Guttman Rashi"/>
          <w:noProof w:val="0"/>
          <w:sz w:val="10"/>
          <w:szCs w:val="12"/>
          <w:rtl/>
        </w:rPr>
        <w:t>)</w:t>
      </w:r>
      <w:r w:rsidRPr="004C4A87">
        <w:rPr>
          <w:vanish/>
          <w:rtl/>
        </w:rPr>
        <w:t>=</w:t>
      </w:r>
      <w:r>
        <w:rPr>
          <w:rFonts w:hint="cs"/>
          <w:rtl/>
        </w:rPr>
        <w:t>.</w:t>
      </w:r>
      <w:bookmarkEnd w:id="5662"/>
      <w:r>
        <w:rPr>
          <w:rFonts w:hint="cs"/>
          <w:rtl/>
        </w:rPr>
        <w:t xml:space="preserve"> </w:t>
      </w:r>
    </w:p>
    <w:p w14:paraId="13724C5C" w14:textId="77777777" w:rsidR="003E1AA3" w:rsidRPr="00BC7DC8" w:rsidRDefault="003E1AA3" w:rsidP="003E1AA3">
      <w:pPr>
        <w:pStyle w:val="afffffe"/>
        <w:rPr>
          <w:vanish/>
          <w:rtl/>
        </w:rPr>
      </w:pPr>
      <w:r w:rsidRPr="00BC7DC8">
        <w:rPr>
          <w:rFonts w:hint="cs"/>
          <w:vanish/>
          <w:rtl/>
        </w:rPr>
        <w:t>טל אורות הספרדי מלאכת בונה ד"ה אך קשה</w:t>
      </w:r>
    </w:p>
    <w:p w14:paraId="22E82A0F" w14:textId="77777777" w:rsidR="003E1AA3" w:rsidRPr="0018388A" w:rsidRDefault="003E1AA3" w:rsidP="003E1AA3">
      <w:pPr>
        <w:pStyle w:val="a2"/>
        <w:tabs>
          <w:tab w:val="num" w:pos="284"/>
        </w:tabs>
        <w:rPr>
          <w:rtl/>
        </w:rPr>
      </w:pPr>
      <w:r w:rsidRPr="0018388A">
        <w:rPr>
          <w:rtl/>
        </w:rPr>
        <w:t>אך קשה לרש"י ז"ל מהא דתנן בפרק חבית דף קמ"ו שובר אדם את החבית לאכול ממנה גרוגרות ובלבד שלא יתכוין לעשות כלי עד כאן ופירש רש"י ז"ל דאין במקלקל שום איסור שבת, יעוי"ש והקשו עליו הרשב"א והר"ן ז"ל דאפי' שהוא מקלקל מי שרי לכתחילה והא איכא משום שבות דרבנן, ותירצו כיון דב</w:t>
      </w:r>
      <w:r w:rsidRPr="0018388A">
        <w:rPr>
          <w:rFonts w:hint="cs"/>
          <w:rtl/>
        </w:rPr>
        <w:t>ע</w:t>
      </w:r>
      <w:r w:rsidRPr="0018388A">
        <w:rPr>
          <w:rtl/>
        </w:rPr>
        <w:t>למא מקלקל פטור אבל אסור הכא משום צורך שבת מותר לכתחילה יעוי"ש נראה מדברי רש"י ז"ל דמה שהתירו לשבו</w:t>
      </w:r>
      <w:r w:rsidRPr="0018388A">
        <w:rPr>
          <w:rFonts w:hint="cs"/>
          <w:rtl/>
        </w:rPr>
        <w:t>ר</w:t>
      </w:r>
      <w:r w:rsidRPr="0018388A">
        <w:rPr>
          <w:rtl/>
        </w:rPr>
        <w:t xml:space="preserve"> החבית בשבת, היינו מטעמא שהוא מקלקל ש"מ שאם הסתירה או השבירה היא ע"מ לתקן הכלי הא ודאי דאיכא סתירה מן התורה</w:t>
      </w:r>
      <w:r w:rsidRPr="0018388A">
        <w:rPr>
          <w:rFonts w:hint="cs"/>
          <w:rtl/>
        </w:rPr>
        <w:t xml:space="preserve"> </w:t>
      </w:r>
      <w:r w:rsidRPr="0018388A">
        <w:rPr>
          <w:rtl/>
        </w:rPr>
        <w:t>וחייב משום סותר ע"מ לבנות וכיון דיש סתירה יש בנין דהא בהא תליא דחד טעמא הוא הרי שמעינן ממתני' דיש בנין וסתירה בכלים וליכא מאן דפליג עליה, ואמאי הא אין בנין וסתירה בכלים בשום ענין כדאמרן.</w:t>
      </w:r>
    </w:p>
    <w:p w14:paraId="3FA2439C" w14:textId="77777777" w:rsidR="003E1AA3" w:rsidRPr="002E340A" w:rsidRDefault="003E1AA3" w:rsidP="003E1AA3">
      <w:pPr>
        <w:pStyle w:val="afffff5"/>
        <w:rPr>
          <w:rtl/>
        </w:rPr>
      </w:pPr>
      <w:r w:rsidRPr="002E340A">
        <w:rPr>
          <w:rtl/>
        </w:rPr>
        <w:t>וי"ל דהא קמן דכבר כתבנו לעיל דרש"י ז"ל סובר דכל העושה כלי בשבת או ביו"ט משום מכה בפטיש הוא דמחייב דלא שייך בהו בנין וסתירה אלא בבתים דוקא וכדפירש בפרקא קמא דביצה יעויי"ש וכין שכן ס"ל דכי אמרינן סותר ע"מ לבנות דחייב היינו כשסותר בבתים שהוא כמחובר דוקא כיון דשייך בהו בנין, אבל בסותר ע"מ לתקן בכלים, כיון דאין בנין וסתירה בכלים, אינו מחייב אלא משום מכה בפטיש הוא דמתחייב ולא משום בנין וסתירה כלל, וא"כ מתניתין נמי לאו משום בנין וסתירה נקיט לה אלא משום מכה בפטיש תני לה.</w:t>
      </w:r>
    </w:p>
    <w:p w14:paraId="4F08A06C" w14:textId="77777777" w:rsidR="003E1AA3" w:rsidRPr="00FC269C" w:rsidRDefault="003E1AA3" w:rsidP="003E1AA3">
      <w:pPr>
        <w:pStyle w:val="afffff7"/>
        <w:rPr>
          <w:rtl/>
        </w:rPr>
      </w:pPr>
      <w:bookmarkStart w:id="5663" w:name="_Toc145234048"/>
      <w:bookmarkStart w:id="5664" w:name="_Toc163506306"/>
      <w:r w:rsidRPr="00FC269C">
        <w:rPr>
          <w:rtl/>
        </w:rPr>
        <w:t xml:space="preserve">באור הגר"א </w:t>
      </w:r>
      <w:r w:rsidRPr="00FC269C">
        <w:rPr>
          <w:rFonts w:hint="cs"/>
          <w:rtl/>
        </w:rPr>
        <w:t>או"ח סי' שי"ד סק"ד</w:t>
      </w:r>
      <w:bookmarkEnd w:id="5663"/>
      <w:bookmarkEnd w:id="5664"/>
    </w:p>
    <w:p w14:paraId="18FF2687" w14:textId="77777777" w:rsidR="003E1AA3" w:rsidRPr="002E340A" w:rsidRDefault="003E1AA3" w:rsidP="003E1AA3">
      <w:pPr>
        <w:pStyle w:val="a7"/>
        <w:rPr>
          <w:rtl/>
        </w:rPr>
      </w:pPr>
      <w:bookmarkStart w:id="5665" w:name="_Toc145019592"/>
      <w:bookmarkStart w:id="5666" w:name="_Toc145233956"/>
      <w:r>
        <w:rPr>
          <w:rFonts w:hint="cs"/>
          <w:rtl/>
        </w:rPr>
        <w:t>בי' הגר"א ברש"י דאין בנין בכלים ולכן הגמ' בעירובין איירי במגדל גדול ולהו"א איירי באבן</w:t>
      </w:r>
      <w:bookmarkEnd w:id="5665"/>
      <w:bookmarkEnd w:id="5666"/>
    </w:p>
    <w:p w14:paraId="0F75D3F9" w14:textId="7FD4580C" w:rsidR="003E1AA3" w:rsidRPr="000C7B08" w:rsidRDefault="003E1AA3" w:rsidP="00BC7DC8">
      <w:pPr>
        <w:pStyle w:val="a3"/>
        <w:rPr>
          <w:rtl/>
        </w:rPr>
      </w:pPr>
      <w:bookmarkStart w:id="5667" w:name="_Ref144928353"/>
      <w:r>
        <w:rPr>
          <w:rFonts w:hint="cs"/>
          <w:rtl/>
        </w:rPr>
        <w:t xml:space="preserve">וביאר </w:t>
      </w:r>
      <w:r>
        <w:rPr>
          <w:rFonts w:hint="cs"/>
          <w:b/>
          <w:bCs/>
          <w:rtl/>
        </w:rPr>
        <w:t>ה</w:t>
      </w:r>
      <w:r w:rsidRPr="00A44E81">
        <w:rPr>
          <w:rFonts w:hint="cs"/>
          <w:b/>
          <w:bCs/>
          <w:vanish/>
          <w:rtl/>
        </w:rPr>
        <w:t xml:space="preserve">&lt;, </w:t>
      </w:r>
      <w:r w:rsidRPr="00A44E81">
        <w:rPr>
          <w:b/>
          <w:bCs/>
          <w:vanish/>
          <w:rtl/>
        </w:rPr>
        <w:fldChar w:fldCharType="begin"/>
      </w:r>
      <w:r w:rsidRPr="00A44E81">
        <w:rPr>
          <w:b/>
          <w:bCs/>
          <w:vanish/>
          <w:rtl/>
        </w:rPr>
        <w:instrText xml:space="preserve"> </w:instrText>
      </w:r>
      <w:r w:rsidRPr="00A44E81">
        <w:rPr>
          <w:rFonts w:hint="cs"/>
          <w:b/>
          <w:bCs/>
          <w:vanish/>
        </w:rPr>
        <w:instrText>REF</w:instrText>
      </w:r>
      <w:r w:rsidRPr="00A44E81">
        <w:rPr>
          <w:rFonts w:hint="cs"/>
          <w:b/>
          <w:bCs/>
          <w:vanish/>
          <w:rtl/>
        </w:rPr>
        <w:instrText xml:space="preserve"> _</w:instrText>
      </w:r>
      <w:r w:rsidRPr="00A44E81">
        <w:rPr>
          <w:rFonts w:hint="cs"/>
          <w:b/>
          <w:bCs/>
          <w:vanish/>
        </w:rPr>
        <w:instrText>Ref144928353 \r \h</w:instrText>
      </w:r>
      <w:r w:rsidRPr="00A44E81">
        <w:rPr>
          <w:b/>
          <w:bCs/>
          <w:vanish/>
          <w:rtl/>
        </w:rPr>
        <w:instrText xml:space="preserve"> </w:instrText>
      </w:r>
      <w:r>
        <w:rPr>
          <w:b/>
          <w:bCs/>
          <w:vanish/>
          <w:rtl/>
        </w:rPr>
        <w:instrText xml:space="preserve"> \* </w:instrText>
      </w:r>
      <w:r>
        <w:rPr>
          <w:b/>
          <w:bCs/>
          <w:vanish/>
        </w:rPr>
        <w:instrText>MERGEFORMAT</w:instrText>
      </w:r>
      <w:r>
        <w:rPr>
          <w:b/>
          <w:bCs/>
          <w:vanish/>
          <w:rtl/>
        </w:rPr>
        <w:instrText xml:space="preserve"> </w:instrText>
      </w:r>
      <w:r w:rsidRPr="00A44E81">
        <w:rPr>
          <w:b/>
          <w:bCs/>
          <w:vanish/>
          <w:rtl/>
        </w:rPr>
      </w:r>
      <w:r w:rsidRPr="00A44E81">
        <w:rPr>
          <w:b/>
          <w:bCs/>
          <w:vanish/>
          <w:rtl/>
        </w:rPr>
        <w:fldChar w:fldCharType="separate"/>
      </w:r>
      <w:r w:rsidR="00D82181">
        <w:rPr>
          <w:b/>
          <w:bCs/>
          <w:vanish/>
          <w:cs/>
        </w:rPr>
        <w:t>‎</w:t>
      </w:r>
      <w:r w:rsidR="00D82181">
        <w:rPr>
          <w:b/>
          <w:bCs/>
          <w:vanish/>
          <w:rtl/>
        </w:rPr>
        <w:t>נו)</w:t>
      </w:r>
      <w:r w:rsidRPr="00A44E81">
        <w:rPr>
          <w:b/>
          <w:bCs/>
          <w:vanish/>
          <w:rtl/>
        </w:rPr>
        <w:fldChar w:fldCharType="end"/>
      </w:r>
      <w:r w:rsidRPr="00A44E81">
        <w:rPr>
          <w:rFonts w:hint="cs"/>
          <w:b/>
          <w:bCs/>
          <w:vanish/>
          <w:rtl/>
        </w:rPr>
        <w:t xml:space="preserve"> &gt;</w:t>
      </w:r>
      <w:r>
        <w:rPr>
          <w:rFonts w:hint="cs"/>
          <w:b/>
          <w:bCs/>
          <w:rtl/>
        </w:rPr>
        <w:t>גר"א</w:t>
      </w:r>
      <w:r>
        <w:rPr>
          <w:rtl/>
        </w:rPr>
        <w:t xml:space="preserve"> </w:t>
      </w:r>
      <w:r w:rsidRPr="00BC4F21">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סי' שי"ד סק"ד</w:t>
      </w:r>
      <w:r w:rsidRPr="00BC4F21">
        <w:rPr>
          <w:rFonts w:ascii="Calibri" w:eastAsia="Times New Roman" w:hAnsi="Calibri" w:cs="Guttman Rashi"/>
          <w:noProof w:val="0"/>
          <w:sz w:val="10"/>
          <w:szCs w:val="12"/>
          <w:rtl/>
        </w:rPr>
        <w:t>)</w:t>
      </w:r>
      <w:r w:rsidRPr="009568DC">
        <w:rPr>
          <w:vanish/>
          <w:rtl/>
        </w:rPr>
        <w:t>=</w:t>
      </w:r>
      <w:r>
        <w:rPr>
          <w:rFonts w:hint="cs"/>
          <w:rtl/>
        </w:rPr>
        <w:t xml:space="preserve"> דמ"ש </w:t>
      </w:r>
      <w:r>
        <w:rPr>
          <w:rFonts w:hint="cs"/>
          <w:b/>
          <w:bCs/>
          <w:rtl/>
        </w:rPr>
        <w:t>הרשב"א</w:t>
      </w:r>
      <w:r>
        <w:rPr>
          <w:rtl/>
        </w:rPr>
        <w:t xml:space="preserve"> </w:t>
      </w:r>
      <w:r w:rsidRPr="00F94992">
        <w:rPr>
          <w:rFonts w:ascii="Calibri" w:eastAsia="Times New Roman" w:hAnsi="Calibri" w:cs="Guttman Rashi"/>
          <w:noProof w:val="0"/>
          <w:sz w:val="10"/>
          <w:szCs w:val="12"/>
          <w:rtl/>
        </w:rPr>
        <w:t xml:space="preserve">(עי' 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Pr>
        <w:instrText>REF</w:instrText>
      </w:r>
      <w:r>
        <w:rPr>
          <w:rFonts w:ascii="Calibri" w:eastAsia="Times New Roman" w:hAnsi="Calibri" w:cs="Guttman Rashi"/>
          <w:noProof w:val="0"/>
          <w:sz w:val="10"/>
          <w:szCs w:val="12"/>
          <w:rtl/>
        </w:rPr>
        <w:instrText xml:space="preserve"> _</w:instrText>
      </w:r>
      <w:r>
        <w:rPr>
          <w:rFonts w:ascii="Calibri" w:eastAsia="Times New Roman" w:hAnsi="Calibri" w:cs="Guttman Rashi"/>
          <w:noProof w:val="0"/>
          <w:sz w:val="10"/>
          <w:szCs w:val="12"/>
        </w:rPr>
        <w:instrText>Ref145061049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נד)</w:t>
      </w:r>
      <w:r>
        <w:rPr>
          <w:rFonts w:ascii="Calibri" w:eastAsia="Times New Roman" w:hAnsi="Calibri" w:cs="Guttman Rashi"/>
          <w:noProof w:val="0"/>
          <w:sz w:val="10"/>
          <w:szCs w:val="12"/>
          <w:rtl/>
        </w:rPr>
        <w:fldChar w:fldCharType="end"/>
      </w:r>
      <w:r>
        <w:rPr>
          <w:rtl/>
        </w:rPr>
        <w:t xml:space="preserve"> </w:t>
      </w:r>
      <w:r>
        <w:rPr>
          <w:rFonts w:hint="cs"/>
          <w:rtl/>
        </w:rPr>
        <w:t>בדעת</w:t>
      </w:r>
      <w:r>
        <w:rPr>
          <w:rtl/>
        </w:rPr>
        <w:t xml:space="preserve"> </w:t>
      </w:r>
      <w:r>
        <w:rPr>
          <w:rFonts w:hint="cs"/>
          <w:b/>
          <w:bCs/>
          <w:rtl/>
        </w:rPr>
        <w:t>רש"י</w:t>
      </w:r>
      <w:r>
        <w:rPr>
          <w:rFonts w:hint="cs"/>
          <w:rtl/>
        </w:rPr>
        <w:t xml:space="preserve">, דאיירי במגדל גדול, וכדביארו </w:t>
      </w:r>
      <w:r>
        <w:rPr>
          <w:rFonts w:hint="cs"/>
          <w:b/>
          <w:bCs/>
          <w:rtl/>
        </w:rPr>
        <w:t>התוס' בעירובין בתי' הא'</w:t>
      </w:r>
      <w:r>
        <w:rPr>
          <w:rtl/>
        </w:rPr>
        <w:t xml:space="preserve"> </w:t>
      </w:r>
      <w:r w:rsidRPr="00F94992">
        <w:rPr>
          <w:rFonts w:ascii="Calibri" w:eastAsia="Times New Roman" w:hAnsi="Calibri" w:cs="Guttman Rashi"/>
          <w:noProof w:val="0"/>
          <w:sz w:val="10"/>
          <w:szCs w:val="12"/>
          <w:rtl/>
        </w:rPr>
        <w:t xml:space="preserve">(עי' 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Pr>
        <w:instrText>REF</w:instrText>
      </w:r>
      <w:r>
        <w:rPr>
          <w:rFonts w:ascii="Calibri" w:eastAsia="Times New Roman" w:hAnsi="Calibri" w:cs="Guttman Rashi"/>
          <w:noProof w:val="0"/>
          <w:sz w:val="10"/>
          <w:szCs w:val="12"/>
          <w:rtl/>
        </w:rPr>
        <w:instrText xml:space="preserve"> _</w:instrText>
      </w:r>
      <w:r>
        <w:rPr>
          <w:rFonts w:ascii="Calibri" w:eastAsia="Times New Roman" w:hAnsi="Calibri" w:cs="Guttman Rashi"/>
          <w:noProof w:val="0"/>
          <w:sz w:val="10"/>
          <w:szCs w:val="12"/>
        </w:rPr>
        <w:instrText>Ref145187348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סא)</w:t>
      </w:r>
      <w:r>
        <w:rPr>
          <w:rFonts w:ascii="Calibri" w:eastAsia="Times New Roman" w:hAnsi="Calibri" w:cs="Guttman Rashi"/>
          <w:noProof w:val="0"/>
          <w:sz w:val="10"/>
          <w:szCs w:val="12"/>
          <w:rtl/>
        </w:rPr>
        <w:fldChar w:fldCharType="end"/>
      </w:r>
      <w:r>
        <w:rPr>
          <w:rtl/>
        </w:rPr>
        <w:t xml:space="preserve"> </w:t>
      </w:r>
      <w:r>
        <w:rPr>
          <w:rFonts w:hint="cs"/>
          <w:rtl/>
        </w:rPr>
        <w:t>היינו כיון דס"ל</w:t>
      </w:r>
      <w:r>
        <w:rPr>
          <w:rtl/>
        </w:rPr>
        <w:t xml:space="preserve"> </w:t>
      </w:r>
      <w:r>
        <w:rPr>
          <w:rFonts w:hint="cs"/>
          <w:b/>
          <w:bCs/>
          <w:rtl/>
        </w:rPr>
        <w:t>לרש"י</w:t>
      </w:r>
      <w:r>
        <w:rPr>
          <w:rtl/>
        </w:rPr>
        <w:t xml:space="preserve"> </w:t>
      </w:r>
      <w:r w:rsidRPr="00A874C0">
        <w:rPr>
          <w:rFonts w:ascii="Calibri" w:eastAsia="Times New Roman" w:hAnsi="Calibri" w:cs="Guttman Rashi"/>
          <w:noProof w:val="0"/>
          <w:sz w:val="10"/>
          <w:szCs w:val="12"/>
          <w:rtl/>
        </w:rPr>
        <w:t xml:space="preserve">(עי' 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Pr>
        <w:instrText>REF</w:instrText>
      </w:r>
      <w:r>
        <w:rPr>
          <w:rFonts w:ascii="Calibri" w:eastAsia="Times New Roman" w:hAnsi="Calibri" w:cs="Guttman Rashi"/>
          <w:noProof w:val="0"/>
          <w:sz w:val="10"/>
          <w:szCs w:val="12"/>
          <w:rtl/>
        </w:rPr>
        <w:instrText xml:space="preserve"> _</w:instrText>
      </w:r>
      <w:r>
        <w:rPr>
          <w:rFonts w:ascii="Calibri" w:eastAsia="Times New Roman" w:hAnsi="Calibri" w:cs="Guttman Rashi"/>
          <w:noProof w:val="0"/>
          <w:sz w:val="10"/>
          <w:szCs w:val="12"/>
        </w:rPr>
        <w:instrText>Ref145186884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א)</w:t>
      </w:r>
      <w:r>
        <w:rPr>
          <w:rFonts w:ascii="Calibri" w:eastAsia="Times New Roman" w:hAnsi="Calibri" w:cs="Guttman Rashi"/>
          <w:noProof w:val="0"/>
          <w:sz w:val="10"/>
          <w:szCs w:val="12"/>
          <w:rtl/>
        </w:rPr>
        <w:fldChar w:fldCharType="end"/>
      </w:r>
      <w:r>
        <w:rPr>
          <w:rtl/>
        </w:rPr>
        <w:t xml:space="preserve"> </w:t>
      </w:r>
      <w:r>
        <w:rPr>
          <w:rFonts w:hint="cs"/>
          <w:rtl/>
        </w:rPr>
        <w:t>דלעולם אין בנין וסתירה בכלים, ורק בדעת רב ביאר</w:t>
      </w:r>
      <w:r>
        <w:rPr>
          <w:rtl/>
        </w:rPr>
        <w:t xml:space="preserve"> </w:t>
      </w:r>
      <w:r w:rsidRPr="002E6A43">
        <w:rPr>
          <w:rFonts w:hint="cs"/>
          <w:b/>
          <w:bCs/>
          <w:rtl/>
        </w:rPr>
        <w:t>רש"י</w:t>
      </w:r>
      <w:r>
        <w:rPr>
          <w:rtl/>
        </w:rPr>
        <w:t xml:space="preserve"> </w:t>
      </w:r>
      <w:r>
        <w:rPr>
          <w:rFonts w:hint="cs"/>
          <w:rtl/>
        </w:rPr>
        <w:t>דס"ל דיש בנין בכלים, אך להלכה קיי"ל כרבא בגמ' לקמן</w:t>
      </w:r>
      <w:r>
        <w:rPr>
          <w:rtl/>
        </w:rPr>
        <w:t xml:space="preserve"> </w:t>
      </w:r>
      <w:r w:rsidRPr="00A53847">
        <w:rPr>
          <w:rFonts w:ascii="Calibri" w:eastAsia="Times New Roman" w:hAnsi="Calibri" w:cs="Guttman Rashi"/>
          <w:noProof w:val="0"/>
          <w:sz w:val="10"/>
          <w:szCs w:val="12"/>
          <w:rtl/>
        </w:rPr>
        <w:t>(</w:t>
      </w:r>
      <w:r w:rsidRPr="00A53847">
        <w:rPr>
          <w:rFonts w:ascii="Calibri" w:eastAsia="Times New Roman" w:hAnsi="Calibri" w:cs="Guttman Rashi" w:hint="cs"/>
          <w:noProof w:val="0"/>
          <w:sz w:val="10"/>
          <w:szCs w:val="12"/>
          <w:rtl/>
        </w:rPr>
        <w:t>קכב:</w:t>
      </w:r>
      <w:r w:rsidRPr="00A53847">
        <w:rPr>
          <w:rFonts w:ascii="Calibri" w:eastAsia="Times New Roman" w:hAnsi="Calibri" w:cs="Guttman Rashi"/>
          <w:noProof w:val="0"/>
          <w:sz w:val="10"/>
          <w:szCs w:val="12"/>
          <w:rtl/>
        </w:rPr>
        <w:t>)</w:t>
      </w:r>
      <w:r>
        <w:rPr>
          <w:rtl/>
        </w:rPr>
        <w:t xml:space="preserve"> </w:t>
      </w:r>
      <w:r>
        <w:rPr>
          <w:rFonts w:hint="cs"/>
          <w:rtl/>
        </w:rPr>
        <w:t>דאין בנין בכלים, והוסיף</w:t>
      </w:r>
      <w:r>
        <w:rPr>
          <w:rtl/>
        </w:rPr>
        <w:t xml:space="preserve"> </w:t>
      </w:r>
      <w:r>
        <w:rPr>
          <w:rFonts w:hint="cs"/>
          <w:b/>
          <w:bCs/>
          <w:rtl/>
        </w:rPr>
        <w:t>הגר"א</w:t>
      </w:r>
      <w:r>
        <w:rPr>
          <w:rtl/>
        </w:rPr>
        <w:t xml:space="preserve"> </w:t>
      </w:r>
      <w:r>
        <w:rPr>
          <w:rFonts w:hint="cs"/>
          <w:rtl/>
        </w:rPr>
        <w:t>דהא דהו"א בגמ' בעירובין</w:t>
      </w:r>
      <w:r>
        <w:rPr>
          <w:rtl/>
        </w:rPr>
        <w:t xml:space="preserve"> </w:t>
      </w:r>
      <w:r w:rsidRPr="00AF20C8">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לה.</w:t>
      </w:r>
      <w:r w:rsidRPr="00AF20C8">
        <w:rPr>
          <w:rFonts w:ascii="Calibri" w:eastAsia="Times New Roman" w:hAnsi="Calibri" w:cs="Guttman Rashi"/>
          <w:noProof w:val="0"/>
          <w:sz w:val="10"/>
          <w:szCs w:val="12"/>
          <w:rtl/>
        </w:rPr>
        <w:t>)</w:t>
      </w:r>
      <w:r>
        <w:rPr>
          <w:rtl/>
        </w:rPr>
        <w:t xml:space="preserve"> </w:t>
      </w:r>
      <w:r>
        <w:rPr>
          <w:rFonts w:hint="cs"/>
          <w:rtl/>
        </w:rPr>
        <w:t>דיש איסור סתירה במגדל, צ"ל דאיירי במגדל של אבן כדאיתא בירושלמי בעירובין</w:t>
      </w:r>
      <w:r>
        <w:rPr>
          <w:rtl/>
        </w:rPr>
        <w:t xml:space="preserve"> </w:t>
      </w:r>
      <w:r w:rsidRPr="0094725C">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פ"ג ה"ג, כב.</w:t>
      </w:r>
      <w:r w:rsidRPr="0094725C">
        <w:rPr>
          <w:rFonts w:ascii="Calibri" w:eastAsia="Times New Roman" w:hAnsi="Calibri" w:cs="Guttman Rashi"/>
          <w:noProof w:val="0"/>
          <w:sz w:val="10"/>
          <w:szCs w:val="12"/>
          <w:rtl/>
        </w:rPr>
        <w:t>)</w:t>
      </w:r>
      <w:r>
        <w:rPr>
          <w:rtl/>
        </w:rPr>
        <w:t xml:space="preserve"> </w:t>
      </w:r>
      <w:r>
        <w:rPr>
          <w:rFonts w:hint="cs"/>
          <w:rtl/>
        </w:rPr>
        <w:t>שהביאו</w:t>
      </w:r>
      <w:r>
        <w:rPr>
          <w:rtl/>
        </w:rPr>
        <w:t xml:space="preserve"> </w:t>
      </w:r>
      <w:r>
        <w:rPr>
          <w:rFonts w:hint="cs"/>
          <w:b/>
          <w:bCs/>
          <w:rtl/>
        </w:rPr>
        <w:t>התוס'</w:t>
      </w:r>
      <w:r>
        <w:rPr>
          <w:rtl/>
        </w:rPr>
        <w:t xml:space="preserve"> </w:t>
      </w:r>
      <w:r w:rsidRPr="00FE6C50">
        <w:rPr>
          <w:rFonts w:ascii="Calibri" w:eastAsia="Times New Roman" w:hAnsi="Calibri" w:cs="Guttman Rashi"/>
          <w:noProof w:val="0"/>
          <w:sz w:val="10"/>
          <w:szCs w:val="12"/>
          <w:rtl/>
        </w:rPr>
        <w:t xml:space="preserve">(עי' 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Pr>
        <w:instrText>REF</w:instrText>
      </w:r>
      <w:r>
        <w:rPr>
          <w:rFonts w:ascii="Calibri" w:eastAsia="Times New Roman" w:hAnsi="Calibri" w:cs="Guttman Rashi"/>
          <w:noProof w:val="0"/>
          <w:sz w:val="10"/>
          <w:szCs w:val="12"/>
          <w:rtl/>
        </w:rPr>
        <w:instrText xml:space="preserve"> _</w:instrText>
      </w:r>
      <w:r>
        <w:rPr>
          <w:rFonts w:ascii="Calibri" w:eastAsia="Times New Roman" w:hAnsi="Calibri" w:cs="Guttman Rashi"/>
          <w:noProof w:val="0"/>
          <w:sz w:val="10"/>
          <w:szCs w:val="12"/>
        </w:rPr>
        <w:instrText>Ref144654706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סו)</w:t>
      </w:r>
      <w:r>
        <w:rPr>
          <w:rFonts w:ascii="Calibri" w:eastAsia="Times New Roman" w:hAnsi="Calibri" w:cs="Guttman Rashi"/>
          <w:noProof w:val="0"/>
          <w:sz w:val="10"/>
          <w:szCs w:val="12"/>
          <w:rtl/>
        </w:rPr>
        <w:fldChar w:fldCharType="end"/>
      </w:r>
      <w:r>
        <w:rPr>
          <w:rtl/>
        </w:rPr>
        <w:t xml:space="preserve"> </w:t>
      </w:r>
      <w:r>
        <w:rPr>
          <w:rFonts w:hint="cs"/>
          <w:rtl/>
        </w:rPr>
        <w:t>והירושלמי מסייע</w:t>
      </w:r>
      <w:r>
        <w:rPr>
          <w:rtl/>
        </w:rPr>
        <w:t xml:space="preserve"> </w:t>
      </w:r>
      <w:r>
        <w:rPr>
          <w:rFonts w:hint="cs"/>
          <w:rtl/>
        </w:rPr>
        <w:t xml:space="preserve">לביאור </w:t>
      </w:r>
      <w:r>
        <w:rPr>
          <w:rFonts w:hint="cs"/>
          <w:b/>
          <w:bCs/>
          <w:rtl/>
        </w:rPr>
        <w:t>רש"י</w:t>
      </w:r>
      <w:r>
        <w:rPr>
          <w:rFonts w:hint="cs"/>
          <w:rtl/>
        </w:rPr>
        <w:t>, דרק בכה"ג אין בנין וסתירה בכלים.</w:t>
      </w:r>
      <w:bookmarkEnd w:id="5667"/>
    </w:p>
    <w:p w14:paraId="3651C383" w14:textId="77777777" w:rsidR="003E1AA3" w:rsidRPr="00BC7DC8" w:rsidRDefault="003E1AA3" w:rsidP="003E1AA3">
      <w:pPr>
        <w:pStyle w:val="afffffe"/>
        <w:rPr>
          <w:vanish/>
          <w:rtl/>
        </w:rPr>
      </w:pPr>
      <w:r w:rsidRPr="00BC7DC8">
        <w:rPr>
          <w:vanish/>
          <w:rtl/>
        </w:rPr>
        <w:t xml:space="preserve">באור הגר"א </w:t>
      </w:r>
      <w:r w:rsidRPr="00BC7DC8">
        <w:rPr>
          <w:rFonts w:hint="cs"/>
          <w:vanish/>
          <w:rtl/>
        </w:rPr>
        <w:t>או"ח סי' שי"ד סק"ד</w:t>
      </w:r>
    </w:p>
    <w:p w14:paraId="79C63A13" w14:textId="77777777" w:rsidR="003E1AA3" w:rsidRPr="00FC269C" w:rsidRDefault="003E1AA3" w:rsidP="003E1AA3">
      <w:pPr>
        <w:pStyle w:val="a2"/>
        <w:tabs>
          <w:tab w:val="num" w:pos="284"/>
        </w:tabs>
        <w:rPr>
          <w:rStyle w:val="afff7"/>
          <w:rtl/>
        </w:rPr>
      </w:pPr>
      <w:r w:rsidRPr="002E340A">
        <w:rPr>
          <w:rtl/>
        </w:rPr>
        <w:t xml:space="preserve">שאינה מחזקת. דתוס' בערובין שם תי' בתי' ראשון דההיא דערובין במגדול גדול עסקינן וכן כ' שם רש"י ור"ן וכ"כ רשב"א וכ' דכן מוכיח סוגיא דשם וכ' בא"ז שאינה מחזקת כו' וכ"כ רש"י שם ל"ה א' ד"ה ומתני' וכמש"ש ל' ב' וע"ש רש"י ד"ה שמיה כו' וכמ"ש בפ' ט"ו דכלים ופ"ח דאהלות ובאהל כ"ע ל"פ כמ"ש בעירובין שם ורש"י אזיל לשיטתיה דס"ל דאין בנין וסתירה בכלים לעולם כמ"ש בשבת ע"ז /ע"ד/ ב' וע"ש ברש"י </w:t>
      </w:r>
      <w:r w:rsidRPr="00AF20C8">
        <w:rPr>
          <w:rtl/>
        </w:rPr>
        <w:t>וההיא דר"פ הבונה רב ס"ל דיש בנין בכלים אבל לדידן דקי"ל כרבא קכג ב' קי"ל כשמואל דאמר משום מכה בפטיש דר' יוחנן שם ס"ל כוותיה וכן פי' רש"י שם מז א'</w:t>
      </w:r>
      <w:r w:rsidRPr="002E340A">
        <w:rPr>
          <w:rStyle w:val="afff7"/>
          <w:rtl/>
        </w:rPr>
        <w:t xml:space="preserve"> וקכ"ב ב' משום מכה בפטיש וכן ההיא דחוליות מ"ו א' ודשידה עירובין ק"ב ב' הכל כפי' משום מכה בפטיש וכן מ' בשבת ע"ח ב' המנפח בכלי כו' ומה שהקשה בהגמ"ר דרב אהדדי דקאמר מסיקין בכלים י"ל דגרמא מותר כמ"ש בפט"ז.</w:t>
      </w:r>
      <w:r w:rsidRPr="002E340A">
        <w:rPr>
          <w:rtl/>
        </w:rPr>
        <w:t xml:space="preserve"> וההיא דערובין קס"ד דמיירי במגדל של אבן כמ"ש תוס' בשם ירושלמי והירושלמי מסייע לרש"י ומ"ש שם במנעול קטיר במיתנא פרש"י שם במגדל גדול ובאהל ודאי יש סתירה כמ"ש </w:t>
      </w:r>
      <w:r w:rsidRPr="00FC269C">
        <w:rPr>
          <w:rStyle w:val="afff7"/>
          <w:rtl/>
        </w:rPr>
        <w:t>שם ובר מן דין צ"ל במיתנא משום ובעי סכינא למפסקיה כו' אבל בשל עץ אפי' לר' נחמיה מותר וההיא די"ט דמוקים במוסתקי אדרבא משם מוכח דאין בנין מדפריך לר"א משום גזירה ולא משום סתירה לס"ד דלא איירי במוסתקי ומ"ש ובלבד שלא יתכוין היינו משום מכה בפטיש כנ"ל ועתוס' שם ושבת ק"ב ב' וקמ"ז א':.</w:t>
      </w:r>
    </w:p>
    <w:p w14:paraId="44AEE1AA" w14:textId="77777777" w:rsidR="003E1AA3" w:rsidRDefault="003E1AA3" w:rsidP="003E1AA3">
      <w:pPr>
        <w:pStyle w:val="afffff7"/>
        <w:rPr>
          <w:rtl/>
        </w:rPr>
      </w:pPr>
      <w:bookmarkStart w:id="5668" w:name="_Toc145234049"/>
      <w:bookmarkStart w:id="5669" w:name="_Toc163506307"/>
      <w:r w:rsidRPr="00FC269C">
        <w:rPr>
          <w:rtl/>
        </w:rPr>
        <w:t>שלטי הגבורים שבת ס"א ע"ב</w:t>
      </w:r>
      <w:r w:rsidRPr="00FC269C">
        <w:rPr>
          <w:rFonts w:hint="cs"/>
          <w:rtl/>
        </w:rPr>
        <w:t xml:space="preserve"> מדה"ר</w:t>
      </w:r>
      <w:bookmarkEnd w:id="5668"/>
      <w:bookmarkEnd w:id="5669"/>
    </w:p>
    <w:p w14:paraId="04140CDB" w14:textId="77777777" w:rsidR="003E1AA3" w:rsidRPr="008741DC" w:rsidRDefault="003E1AA3" w:rsidP="003E1AA3">
      <w:pPr>
        <w:pStyle w:val="a7"/>
        <w:rPr>
          <w:rtl/>
        </w:rPr>
      </w:pPr>
      <w:bookmarkStart w:id="5670" w:name="_Toc145233957"/>
      <w:r>
        <w:rPr>
          <w:rFonts w:hint="cs"/>
          <w:rtl/>
        </w:rPr>
        <w:t>בי' השלה"ג ברש"י דבכלי גדול יש בנין ובקטן אין ואף בסותר ע"מ לעשות כלי פטור דלא כדרך</w:t>
      </w:r>
      <w:bookmarkEnd w:id="5670"/>
    </w:p>
    <w:p w14:paraId="103DD5B9" w14:textId="474B2FED" w:rsidR="003E1AA3" w:rsidRDefault="003E1AA3" w:rsidP="00BC7DC8">
      <w:pPr>
        <w:pStyle w:val="a3"/>
      </w:pPr>
      <w:bookmarkStart w:id="5671" w:name="_Ref144755111"/>
      <w:bookmarkStart w:id="5672" w:name="_Ref144802805"/>
      <w:r>
        <w:rPr>
          <w:rFonts w:hint="cs"/>
          <w:rtl/>
        </w:rPr>
        <w:t xml:space="preserve">וכ"כ </w:t>
      </w:r>
      <w:r w:rsidRPr="009E0E3D">
        <w:rPr>
          <w:b/>
          <w:bCs/>
          <w:rtl/>
        </w:rPr>
        <w:t>ה</w:t>
      </w:r>
      <w:r w:rsidRPr="009E0E3D">
        <w:rPr>
          <w:b/>
          <w:bCs/>
          <w:vanish/>
          <w:rtl/>
        </w:rPr>
        <w:t xml:space="preserve"> &lt;, </w:t>
      </w:r>
      <w:r w:rsidRPr="009E0E3D">
        <w:rPr>
          <w:b/>
          <w:bCs/>
          <w:vanish/>
          <w:rtl/>
        </w:rPr>
        <w:fldChar w:fldCharType="begin"/>
      </w:r>
      <w:r w:rsidRPr="009E0E3D">
        <w:rPr>
          <w:b/>
          <w:bCs/>
          <w:vanish/>
          <w:rtl/>
        </w:rPr>
        <w:instrText xml:space="preserve"> </w:instrText>
      </w:r>
      <w:r w:rsidRPr="009E0E3D">
        <w:rPr>
          <w:b/>
          <w:bCs/>
          <w:vanish/>
        </w:rPr>
        <w:instrText>REF</w:instrText>
      </w:r>
      <w:r w:rsidRPr="009E0E3D">
        <w:rPr>
          <w:b/>
          <w:bCs/>
          <w:vanish/>
          <w:rtl/>
        </w:rPr>
        <w:instrText xml:space="preserve"> _</w:instrText>
      </w:r>
      <w:r w:rsidRPr="009E0E3D">
        <w:rPr>
          <w:b/>
          <w:bCs/>
          <w:vanish/>
        </w:rPr>
        <w:instrText>Ref144755111 \r \h</w:instrText>
      </w:r>
      <w:r w:rsidRPr="009E0E3D">
        <w:rPr>
          <w:b/>
          <w:bCs/>
          <w:vanish/>
          <w:rtl/>
        </w:rPr>
        <w:instrText xml:space="preserve"> </w:instrText>
      </w:r>
      <w:r w:rsidRPr="009E0E3D">
        <w:rPr>
          <w:b/>
          <w:bCs/>
          <w:vanish/>
          <w:rtl/>
        </w:rPr>
      </w:r>
      <w:r w:rsidRPr="009E0E3D">
        <w:rPr>
          <w:b/>
          <w:bCs/>
          <w:vanish/>
          <w:rtl/>
        </w:rPr>
        <w:fldChar w:fldCharType="separate"/>
      </w:r>
      <w:r w:rsidR="00D82181">
        <w:rPr>
          <w:b/>
          <w:bCs/>
          <w:vanish/>
          <w:cs/>
        </w:rPr>
        <w:t>‎</w:t>
      </w:r>
      <w:r w:rsidR="00D82181">
        <w:rPr>
          <w:b/>
          <w:bCs/>
          <w:vanish/>
          <w:rtl/>
        </w:rPr>
        <w:t>נז)</w:t>
      </w:r>
      <w:r w:rsidRPr="009E0E3D">
        <w:rPr>
          <w:b/>
          <w:bCs/>
          <w:vanish/>
          <w:rtl/>
        </w:rPr>
        <w:fldChar w:fldCharType="end"/>
      </w:r>
      <w:r w:rsidRPr="009E0E3D">
        <w:rPr>
          <w:b/>
          <w:bCs/>
          <w:vanish/>
          <w:rtl/>
        </w:rPr>
        <w:t xml:space="preserve"> &gt;</w:t>
      </w:r>
      <w:r w:rsidRPr="009E0E3D">
        <w:rPr>
          <w:rFonts w:hint="cs"/>
          <w:b/>
          <w:bCs/>
          <w:rtl/>
        </w:rPr>
        <w:t>שלטי הגבורים לקמן</w:t>
      </w:r>
      <w:r w:rsidRPr="009E0E3D">
        <w:rPr>
          <w:b/>
          <w:bCs/>
          <w:rtl/>
        </w:rPr>
        <w:t xml:space="preserve"> </w:t>
      </w:r>
      <w:r w:rsidRPr="009E0E3D">
        <w:rPr>
          <w:rFonts w:ascii="Calibri" w:eastAsia="Times New Roman" w:hAnsi="Calibri" w:cs="Guttman Rashi"/>
          <w:noProof w:val="0"/>
          <w:sz w:val="10"/>
          <w:szCs w:val="12"/>
          <w:rtl/>
        </w:rPr>
        <w:t>(</w:t>
      </w:r>
      <w:r w:rsidRPr="009E0E3D">
        <w:rPr>
          <w:rFonts w:ascii="Calibri" w:eastAsia="Times New Roman" w:hAnsi="Calibri" w:cs="Guttman Rashi" w:hint="cs"/>
          <w:noProof w:val="0"/>
          <w:sz w:val="10"/>
          <w:szCs w:val="12"/>
          <w:rtl/>
        </w:rPr>
        <w:t>סא: מדה"ר אות א', מהדו' עוז והדר עמ' קע"א</w:t>
      </w:r>
      <w:r w:rsidRPr="009E0E3D">
        <w:rPr>
          <w:rFonts w:ascii="Calibri" w:eastAsia="Times New Roman" w:hAnsi="Calibri" w:cs="Guttman Rashi"/>
          <w:noProof w:val="0"/>
          <w:sz w:val="10"/>
          <w:szCs w:val="12"/>
          <w:rtl/>
        </w:rPr>
        <w:t>)</w:t>
      </w:r>
      <w:r w:rsidRPr="009E0E3D">
        <w:rPr>
          <w:vanish/>
          <w:rtl/>
        </w:rPr>
        <w:t>=</w:t>
      </w:r>
      <w:r>
        <w:rPr>
          <w:rtl/>
        </w:rPr>
        <w:t xml:space="preserve"> </w:t>
      </w:r>
      <w:r>
        <w:rPr>
          <w:rFonts w:hint="cs"/>
          <w:rtl/>
        </w:rPr>
        <w:t>דאף לדעת</w:t>
      </w:r>
      <w:r>
        <w:rPr>
          <w:rtl/>
        </w:rPr>
        <w:t xml:space="preserve"> </w:t>
      </w:r>
      <w:r w:rsidRPr="009E0E3D">
        <w:rPr>
          <w:rFonts w:hint="cs"/>
          <w:b/>
          <w:bCs/>
          <w:rtl/>
        </w:rPr>
        <w:t>רש"י</w:t>
      </w:r>
      <w:r>
        <w:rPr>
          <w:rtl/>
        </w:rPr>
        <w:t xml:space="preserve"> </w:t>
      </w:r>
      <w:r>
        <w:rPr>
          <w:rFonts w:hint="cs"/>
          <w:rtl/>
        </w:rPr>
        <w:t xml:space="preserve">הא דאין בנין בכלים הוא רק בכלי קטן, ובגמ' לעיל </w:t>
      </w:r>
      <w:r w:rsidRPr="009E0E3D">
        <w:rPr>
          <w:rFonts w:ascii="Calibri" w:eastAsia="Times New Roman" w:hAnsi="Calibri" w:cs="Guttman Rashi"/>
          <w:noProof w:val="0"/>
          <w:sz w:val="10"/>
          <w:szCs w:val="12"/>
          <w:rtl/>
        </w:rPr>
        <w:t>(</w:t>
      </w:r>
      <w:r w:rsidRPr="009E0E3D">
        <w:rPr>
          <w:rFonts w:ascii="Calibri" w:eastAsia="Times New Roman" w:hAnsi="Calibri" w:cs="Guttman Rashi" w:hint="cs"/>
          <w:noProof w:val="0"/>
          <w:sz w:val="10"/>
          <w:szCs w:val="12"/>
          <w:rtl/>
        </w:rPr>
        <w:t>עד:</w:t>
      </w:r>
      <w:r w:rsidRPr="009E0E3D">
        <w:rPr>
          <w:rFonts w:ascii="Calibri" w:eastAsia="Times New Roman" w:hAnsi="Calibri" w:cs="Guttman Rashi"/>
          <w:noProof w:val="0"/>
          <w:sz w:val="10"/>
          <w:szCs w:val="12"/>
          <w:rtl/>
        </w:rPr>
        <w:t>)</w:t>
      </w:r>
      <w:r>
        <w:rPr>
          <w:rtl/>
        </w:rPr>
        <w:t xml:space="preserve"> </w:t>
      </w:r>
      <w:r>
        <w:rPr>
          <w:rFonts w:hint="cs"/>
          <w:rtl/>
        </w:rPr>
        <w:t>דכתב</w:t>
      </w:r>
      <w:r>
        <w:rPr>
          <w:rtl/>
        </w:rPr>
        <w:t xml:space="preserve"> </w:t>
      </w:r>
      <w:r>
        <w:rPr>
          <w:rFonts w:hint="cs"/>
          <w:b/>
          <w:bCs/>
          <w:rtl/>
        </w:rPr>
        <w:t>רש"י</w:t>
      </w:r>
      <w:r>
        <w:rPr>
          <w:rtl/>
        </w:rPr>
        <w:t xml:space="preserve"> </w:t>
      </w:r>
      <w:r>
        <w:rPr>
          <w:rFonts w:hint="cs"/>
          <w:rtl/>
        </w:rPr>
        <w:t>דבחביתא אין בנין בכלים</w:t>
      </w:r>
      <w:r>
        <w:rPr>
          <w:rtl/>
        </w:rPr>
        <w:t xml:space="preserve"> </w:t>
      </w:r>
      <w:r>
        <w:rPr>
          <w:rFonts w:hint="cs"/>
          <w:rtl/>
        </w:rPr>
        <w:t>צ"ל דאיירי בחבית קטנה, אבל בכלי שמחזיק מ' סאה, מודה</w:t>
      </w:r>
      <w:r>
        <w:rPr>
          <w:rtl/>
        </w:rPr>
        <w:t xml:space="preserve"> </w:t>
      </w:r>
      <w:r w:rsidRPr="009E0E3D">
        <w:rPr>
          <w:rFonts w:hint="cs"/>
          <w:b/>
          <w:bCs/>
          <w:rtl/>
        </w:rPr>
        <w:t>רש"י</w:t>
      </w:r>
      <w:r>
        <w:rPr>
          <w:rtl/>
        </w:rPr>
        <w:t xml:space="preserve"> </w:t>
      </w:r>
      <w:r>
        <w:rPr>
          <w:rFonts w:hint="cs"/>
          <w:rtl/>
        </w:rPr>
        <w:t>דאף לדידן יש בנין בכלים,</w:t>
      </w:r>
      <w:r w:rsidRPr="00617EE4">
        <w:rPr>
          <w:rFonts w:hint="cs"/>
          <w:rtl/>
        </w:rPr>
        <w:t xml:space="preserve"> </w:t>
      </w:r>
      <w:r>
        <w:rPr>
          <w:rFonts w:hint="cs"/>
          <w:rtl/>
        </w:rPr>
        <w:t>והא דאיתא בירושלמי בעירובין</w:t>
      </w:r>
      <w:r>
        <w:rPr>
          <w:rtl/>
        </w:rPr>
        <w:t xml:space="preserve"> </w:t>
      </w:r>
      <w:r w:rsidRPr="009E0E3D">
        <w:rPr>
          <w:rFonts w:ascii="Calibri" w:eastAsia="Times New Roman" w:hAnsi="Calibri" w:cs="Guttman Rashi"/>
          <w:noProof w:val="0"/>
          <w:sz w:val="10"/>
          <w:szCs w:val="12"/>
          <w:rtl/>
        </w:rPr>
        <w:t>(</w:t>
      </w:r>
      <w:r w:rsidRPr="009E0E3D">
        <w:rPr>
          <w:rFonts w:ascii="Calibri" w:eastAsia="Times New Roman" w:hAnsi="Calibri" w:cs="Guttman Rashi" w:hint="cs"/>
          <w:noProof w:val="0"/>
          <w:sz w:val="10"/>
          <w:szCs w:val="12"/>
          <w:rtl/>
        </w:rPr>
        <w:t>פ"ג ה"ג, כב.</w:t>
      </w:r>
      <w:r w:rsidRPr="009E0E3D">
        <w:rPr>
          <w:rFonts w:ascii="Calibri" w:eastAsia="Times New Roman" w:hAnsi="Calibri" w:cs="Guttman Rashi"/>
          <w:noProof w:val="0"/>
          <w:sz w:val="10"/>
          <w:szCs w:val="12"/>
          <w:rtl/>
        </w:rPr>
        <w:t>)</w:t>
      </w:r>
      <w:r>
        <w:rPr>
          <w:rtl/>
        </w:rPr>
        <w:t xml:space="preserve"> </w:t>
      </w:r>
      <w:r>
        <w:rPr>
          <w:rFonts w:hint="cs"/>
          <w:rtl/>
        </w:rPr>
        <w:t>שהביאו</w:t>
      </w:r>
      <w:r>
        <w:rPr>
          <w:rtl/>
        </w:rPr>
        <w:t xml:space="preserve"> </w:t>
      </w:r>
      <w:r w:rsidRPr="009E0E3D">
        <w:rPr>
          <w:rFonts w:hint="cs"/>
          <w:b/>
          <w:bCs/>
          <w:rtl/>
        </w:rPr>
        <w:t>התוס'</w:t>
      </w:r>
      <w:r>
        <w:rPr>
          <w:rtl/>
        </w:rPr>
        <w:t xml:space="preserve"> </w:t>
      </w:r>
      <w:r w:rsidRPr="009E0E3D">
        <w:rPr>
          <w:rFonts w:ascii="Calibri" w:eastAsia="Times New Roman" w:hAnsi="Calibri" w:cs="Guttman Rashi"/>
          <w:noProof w:val="0"/>
          <w:sz w:val="10"/>
          <w:szCs w:val="12"/>
          <w:rtl/>
        </w:rPr>
        <w:t xml:space="preserve">(עי' אות </w:t>
      </w:r>
      <w:r w:rsidRPr="009E0E3D">
        <w:rPr>
          <w:rFonts w:ascii="Calibri" w:eastAsia="Times New Roman" w:hAnsi="Calibri" w:cs="Guttman Rashi"/>
          <w:noProof w:val="0"/>
          <w:sz w:val="10"/>
          <w:szCs w:val="12"/>
          <w:rtl/>
        </w:rPr>
        <w:fldChar w:fldCharType="begin"/>
      </w:r>
      <w:r w:rsidRPr="009E0E3D">
        <w:rPr>
          <w:rFonts w:ascii="Calibri" w:eastAsia="Times New Roman" w:hAnsi="Calibri" w:cs="Guttman Rashi"/>
          <w:noProof w:val="0"/>
          <w:sz w:val="10"/>
          <w:szCs w:val="12"/>
          <w:rtl/>
        </w:rPr>
        <w:instrText xml:space="preserve"> </w:instrText>
      </w:r>
      <w:r w:rsidRPr="009E0E3D">
        <w:rPr>
          <w:rFonts w:ascii="Calibri" w:eastAsia="Times New Roman" w:hAnsi="Calibri" w:cs="Guttman Rashi"/>
          <w:noProof w:val="0"/>
          <w:sz w:val="10"/>
          <w:szCs w:val="12"/>
        </w:rPr>
        <w:instrText>REF</w:instrText>
      </w:r>
      <w:r w:rsidRPr="009E0E3D">
        <w:rPr>
          <w:rFonts w:ascii="Calibri" w:eastAsia="Times New Roman" w:hAnsi="Calibri" w:cs="Guttman Rashi"/>
          <w:noProof w:val="0"/>
          <w:sz w:val="10"/>
          <w:szCs w:val="12"/>
          <w:rtl/>
        </w:rPr>
        <w:instrText xml:space="preserve"> _</w:instrText>
      </w:r>
      <w:r w:rsidRPr="009E0E3D">
        <w:rPr>
          <w:rFonts w:ascii="Calibri" w:eastAsia="Times New Roman" w:hAnsi="Calibri" w:cs="Guttman Rashi"/>
          <w:noProof w:val="0"/>
          <w:sz w:val="10"/>
          <w:szCs w:val="12"/>
        </w:rPr>
        <w:instrText>Ref144654706 \r \h</w:instrText>
      </w:r>
      <w:r w:rsidRPr="009E0E3D">
        <w:rPr>
          <w:rFonts w:ascii="Calibri" w:eastAsia="Times New Roman" w:hAnsi="Calibri" w:cs="Guttman Rashi"/>
          <w:noProof w:val="0"/>
          <w:sz w:val="10"/>
          <w:szCs w:val="12"/>
          <w:rtl/>
        </w:rPr>
        <w:instrText xml:space="preserve"> </w:instrText>
      </w:r>
      <w:r w:rsidRPr="009E0E3D">
        <w:rPr>
          <w:rFonts w:ascii="Calibri" w:eastAsia="Times New Roman" w:hAnsi="Calibri" w:cs="Guttman Rashi"/>
          <w:noProof w:val="0"/>
          <w:sz w:val="10"/>
          <w:szCs w:val="12"/>
          <w:rtl/>
        </w:rPr>
      </w:r>
      <w:r w:rsidRPr="009E0E3D">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סו)</w:t>
      </w:r>
      <w:r w:rsidRPr="009E0E3D">
        <w:rPr>
          <w:rFonts w:ascii="Calibri" w:eastAsia="Times New Roman" w:hAnsi="Calibri" w:cs="Guttman Rashi"/>
          <w:noProof w:val="0"/>
          <w:sz w:val="10"/>
          <w:szCs w:val="12"/>
          <w:rtl/>
        </w:rPr>
        <w:fldChar w:fldCharType="end"/>
      </w:r>
      <w:r>
        <w:rPr>
          <w:rtl/>
        </w:rPr>
        <w:t xml:space="preserve"> </w:t>
      </w:r>
      <w:r>
        <w:rPr>
          <w:rFonts w:hint="cs"/>
          <w:rtl/>
        </w:rPr>
        <w:t>דאיירי במגדל של אבן הוא מסייע</w:t>
      </w:r>
      <w:r>
        <w:rPr>
          <w:rtl/>
        </w:rPr>
        <w:t xml:space="preserve"> </w:t>
      </w:r>
      <w:r>
        <w:rPr>
          <w:rFonts w:hint="cs"/>
          <w:rtl/>
        </w:rPr>
        <w:t xml:space="preserve">לביאור </w:t>
      </w:r>
      <w:r w:rsidRPr="009E0E3D">
        <w:rPr>
          <w:rFonts w:hint="cs"/>
          <w:b/>
          <w:bCs/>
          <w:rtl/>
        </w:rPr>
        <w:t>רש"י</w:t>
      </w:r>
      <w:bookmarkStart w:id="5673" w:name="_Hlk144755567"/>
      <w:r>
        <w:rPr>
          <w:rFonts w:hint="cs"/>
          <w:rtl/>
        </w:rPr>
        <w:t>, דרק בכה"ג אין בנין וסתירה בכלים</w:t>
      </w:r>
      <w:bookmarkEnd w:id="5673"/>
      <w:r>
        <w:rPr>
          <w:rFonts w:hint="cs"/>
          <w:rtl/>
        </w:rPr>
        <w:t xml:space="preserve">, והוסיף </w:t>
      </w:r>
      <w:r w:rsidRPr="009E0E3D">
        <w:rPr>
          <w:rFonts w:hint="cs"/>
          <w:b/>
          <w:bCs/>
          <w:rtl/>
        </w:rPr>
        <w:t>השלטי גבורים</w:t>
      </w:r>
      <w:r>
        <w:rPr>
          <w:rFonts w:hint="cs"/>
          <w:rtl/>
        </w:rPr>
        <w:t xml:space="preserve"> דמ"ש </w:t>
      </w:r>
      <w:r w:rsidRPr="009E0E3D">
        <w:rPr>
          <w:rFonts w:hint="cs"/>
          <w:b/>
          <w:bCs/>
          <w:rtl/>
        </w:rPr>
        <w:t>רש"י לקמן</w:t>
      </w:r>
      <w:r w:rsidRPr="009E0E3D">
        <w:rPr>
          <w:b/>
          <w:bCs/>
          <w:rtl/>
        </w:rPr>
        <w:t xml:space="preserve"> </w:t>
      </w:r>
      <w:r w:rsidRPr="009E0E3D">
        <w:rPr>
          <w:rFonts w:ascii="Calibri" w:eastAsia="Times New Roman" w:hAnsi="Calibri" w:cs="Guttman Rashi" w:hint="cs"/>
          <w:noProof w:val="0"/>
          <w:sz w:val="10"/>
          <w:szCs w:val="12"/>
          <w:rtl/>
        </w:rPr>
        <w:t xml:space="preserve">(עי' 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hint="cs"/>
          <w:noProof w:val="0"/>
          <w:sz w:val="10"/>
          <w:szCs w:val="12"/>
        </w:rPr>
        <w:instrText>REF</w:instrText>
      </w:r>
      <w:r>
        <w:rPr>
          <w:rFonts w:ascii="Calibri" w:eastAsia="Times New Roman" w:hAnsi="Calibri" w:cs="Guttman Rashi" w:hint="cs"/>
          <w:noProof w:val="0"/>
          <w:sz w:val="10"/>
          <w:szCs w:val="12"/>
          <w:rtl/>
        </w:rPr>
        <w:instrText xml:space="preserve"> _</w:instrText>
      </w:r>
      <w:r>
        <w:rPr>
          <w:rFonts w:ascii="Calibri" w:eastAsia="Times New Roman" w:hAnsi="Calibri" w:cs="Guttman Rashi" w:hint="cs"/>
          <w:noProof w:val="0"/>
          <w:sz w:val="10"/>
          <w:szCs w:val="12"/>
        </w:rPr>
        <w:instrText>Ref144808791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נג)</w:t>
      </w:r>
      <w:r>
        <w:rPr>
          <w:rFonts w:ascii="Calibri" w:eastAsia="Times New Roman" w:hAnsi="Calibri" w:cs="Guttman Rashi"/>
          <w:noProof w:val="0"/>
          <w:sz w:val="10"/>
          <w:szCs w:val="12"/>
          <w:rtl/>
        </w:rPr>
        <w:fldChar w:fldCharType="end"/>
      </w:r>
      <w:r w:rsidRPr="009E0E3D">
        <w:rPr>
          <w:rFonts w:ascii="Calibri" w:eastAsia="Times New Roman" w:hAnsi="Calibri" w:cs="Guttman Rashi" w:hint="cs"/>
          <w:noProof w:val="0"/>
          <w:sz w:val="10"/>
          <w:szCs w:val="12"/>
          <w:rtl/>
        </w:rPr>
        <w:t xml:space="preserve"> </w:t>
      </w:r>
      <w:r>
        <w:rPr>
          <w:rFonts w:hint="cs"/>
          <w:rtl/>
        </w:rPr>
        <w:t>דההיתר במתני' לקמן</w:t>
      </w:r>
      <w:r>
        <w:rPr>
          <w:rtl/>
        </w:rPr>
        <w:t xml:space="preserve"> </w:t>
      </w:r>
      <w:r w:rsidRPr="009E0E3D">
        <w:rPr>
          <w:rFonts w:ascii="Calibri" w:eastAsia="Times New Roman" w:hAnsi="Calibri" w:cs="Guttman Rashi"/>
          <w:noProof w:val="0"/>
          <w:sz w:val="10"/>
          <w:szCs w:val="12"/>
          <w:rtl/>
        </w:rPr>
        <w:t>(</w:t>
      </w:r>
      <w:r w:rsidRPr="009E0E3D">
        <w:rPr>
          <w:rFonts w:ascii="Calibri" w:eastAsia="Times New Roman" w:hAnsi="Calibri" w:cs="Guttman Rashi" w:hint="cs"/>
          <w:noProof w:val="0"/>
          <w:sz w:val="10"/>
          <w:szCs w:val="12"/>
          <w:rtl/>
        </w:rPr>
        <w:t>קמו.</w:t>
      </w:r>
      <w:r w:rsidRPr="009E0E3D">
        <w:rPr>
          <w:rFonts w:ascii="Calibri" w:eastAsia="Times New Roman" w:hAnsi="Calibri" w:cs="Guttman Rashi"/>
          <w:noProof w:val="0"/>
          <w:sz w:val="10"/>
          <w:szCs w:val="12"/>
          <w:rtl/>
        </w:rPr>
        <w:t>)</w:t>
      </w:r>
      <w:r w:rsidRPr="009E0E3D">
        <w:rPr>
          <w:rFonts w:ascii="Calibri" w:eastAsia="Times New Roman" w:hAnsi="Calibri" w:cs="Guttman Rashi" w:hint="cs"/>
          <w:noProof w:val="0"/>
          <w:sz w:val="10"/>
          <w:szCs w:val="12"/>
          <w:rtl/>
        </w:rPr>
        <w:t xml:space="preserve"> </w:t>
      </w:r>
      <w:r>
        <w:rPr>
          <w:rFonts w:hint="cs"/>
          <w:rtl/>
        </w:rPr>
        <w:t>דשובר אדם חבית לאכול ממנה גרוגרות, ובלבד שלא יתכוין לעשות כלי, כיון דהוא מקלקל ואין במקלקל שום איסור שבת, כתב</w:t>
      </w:r>
      <w:r>
        <w:rPr>
          <w:rtl/>
        </w:rPr>
        <w:t xml:space="preserve"> </w:t>
      </w:r>
      <w:bookmarkEnd w:id="5671"/>
      <w:r>
        <w:rPr>
          <w:rFonts w:hint="cs"/>
          <w:rtl/>
        </w:rPr>
        <w:t>דמבואר דס"ל</w:t>
      </w:r>
      <w:r>
        <w:rPr>
          <w:rtl/>
        </w:rPr>
        <w:t xml:space="preserve"> </w:t>
      </w:r>
      <w:r w:rsidRPr="009E0E3D">
        <w:rPr>
          <w:rFonts w:hint="cs"/>
          <w:b/>
          <w:bCs/>
          <w:rtl/>
        </w:rPr>
        <w:t>לרש"י</w:t>
      </w:r>
      <w:r>
        <w:rPr>
          <w:rtl/>
        </w:rPr>
        <w:t xml:space="preserve"> </w:t>
      </w:r>
      <w:r>
        <w:rPr>
          <w:rFonts w:hint="cs"/>
          <w:rtl/>
        </w:rPr>
        <w:t xml:space="preserve">דאין חילוק בין חבית שלימה למוסתקי, </w:t>
      </w:r>
      <w:r w:rsidRPr="00044575">
        <w:rPr>
          <w:rStyle w:val="af"/>
          <w:rFonts w:hint="cs"/>
          <w:rtl/>
        </w:rPr>
        <w:t xml:space="preserve">[כדחילקו </w:t>
      </w:r>
      <w:r w:rsidRPr="00044575">
        <w:rPr>
          <w:rStyle w:val="aff9"/>
          <w:rFonts w:hint="cs"/>
          <w:rtl/>
        </w:rPr>
        <w:t>התוס' לקמן ובעירובין בתי' הב'</w:t>
      </w:r>
      <w:r w:rsidRPr="00044575">
        <w:rPr>
          <w:rStyle w:val="af"/>
          <w:rFonts w:hint="cs"/>
          <w:rtl/>
        </w:rPr>
        <w:t xml:space="preserve"> </w:t>
      </w:r>
      <w:r w:rsidRPr="00044575">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Ref145187459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סד)</w:t>
      </w:r>
      <w:r>
        <w:rPr>
          <w:rStyle w:val="aff0"/>
          <w:rtl/>
        </w:rPr>
        <w:fldChar w:fldCharType="end"/>
      </w:r>
      <w:r w:rsidRPr="00044575">
        <w:rPr>
          <w:rStyle w:val="af"/>
          <w:rFonts w:hint="cs"/>
          <w:rtl/>
        </w:rPr>
        <w:t>],</w:t>
      </w:r>
      <w:r>
        <w:rPr>
          <w:rFonts w:hint="cs"/>
          <w:rtl/>
        </w:rPr>
        <w:t xml:space="preserve"> כיון דס"ל </w:t>
      </w:r>
      <w:r w:rsidRPr="009E0E3D">
        <w:rPr>
          <w:rFonts w:hint="cs"/>
          <w:b/>
          <w:bCs/>
          <w:rtl/>
        </w:rPr>
        <w:t>לרש"י</w:t>
      </w:r>
      <w:r>
        <w:rPr>
          <w:rtl/>
        </w:rPr>
        <w:t xml:space="preserve"> </w:t>
      </w:r>
      <w:r w:rsidRPr="009E0E3D">
        <w:rPr>
          <w:rStyle w:val="af2"/>
          <w:rFonts w:eastAsia="Guttman Hodes" w:hint="cs"/>
          <w:rtl/>
        </w:rPr>
        <w:t xml:space="preserve">(עי' אות </w:t>
      </w:r>
      <w:r w:rsidRPr="009E0E3D">
        <w:rPr>
          <w:rStyle w:val="af2"/>
          <w:rFonts w:eastAsia="Guttman Hodes"/>
          <w:rtl/>
        </w:rPr>
        <w:fldChar w:fldCharType="begin"/>
      </w:r>
      <w:r w:rsidRPr="009E0E3D">
        <w:rPr>
          <w:rStyle w:val="af2"/>
          <w:rFonts w:eastAsia="Guttman Hodes"/>
          <w:rtl/>
        </w:rPr>
        <w:instrText xml:space="preserve"> </w:instrText>
      </w:r>
      <w:r w:rsidRPr="009E0E3D">
        <w:rPr>
          <w:rStyle w:val="af2"/>
          <w:rFonts w:eastAsia="Guttman Hodes"/>
        </w:rPr>
        <w:instrText>REF</w:instrText>
      </w:r>
      <w:r w:rsidRPr="009E0E3D">
        <w:rPr>
          <w:rStyle w:val="af2"/>
          <w:rFonts w:eastAsia="Guttman Hodes"/>
          <w:rtl/>
        </w:rPr>
        <w:instrText xml:space="preserve"> _</w:instrText>
      </w:r>
      <w:r w:rsidRPr="009E0E3D">
        <w:rPr>
          <w:rStyle w:val="af2"/>
          <w:rFonts w:eastAsia="Guttman Hodes"/>
        </w:rPr>
        <w:instrText>Ref143720580 \r \h</w:instrText>
      </w:r>
      <w:r w:rsidRPr="009E0E3D">
        <w:rPr>
          <w:rStyle w:val="af2"/>
          <w:rFonts w:eastAsia="Guttman Hodes"/>
          <w:rtl/>
        </w:rPr>
        <w:instrText xml:space="preserve">  \* </w:instrText>
      </w:r>
      <w:r w:rsidRPr="009E0E3D">
        <w:rPr>
          <w:rStyle w:val="af2"/>
          <w:rFonts w:eastAsia="Guttman Hodes"/>
        </w:rPr>
        <w:instrText>MERGEFORMAT</w:instrText>
      </w:r>
      <w:r w:rsidRPr="009E0E3D">
        <w:rPr>
          <w:rStyle w:val="af2"/>
          <w:rFonts w:eastAsia="Guttman Hodes"/>
          <w:rtl/>
        </w:rPr>
        <w:instrText xml:space="preserve"> </w:instrText>
      </w:r>
      <w:r w:rsidRPr="009E0E3D">
        <w:rPr>
          <w:rStyle w:val="af2"/>
          <w:rFonts w:eastAsia="Guttman Hodes"/>
          <w:rtl/>
        </w:rPr>
      </w:r>
      <w:r w:rsidRPr="009E0E3D">
        <w:rPr>
          <w:rStyle w:val="af2"/>
          <w:rFonts w:eastAsia="Guttman Hodes"/>
          <w:rtl/>
        </w:rPr>
        <w:fldChar w:fldCharType="separate"/>
      </w:r>
      <w:r w:rsidR="00D82181">
        <w:rPr>
          <w:rStyle w:val="af2"/>
          <w:rFonts w:eastAsia="Guttman Hodes"/>
          <w:cs/>
        </w:rPr>
        <w:t>‎</w:t>
      </w:r>
      <w:r w:rsidR="00D82181">
        <w:rPr>
          <w:rStyle w:val="af2"/>
          <w:rFonts w:eastAsia="Guttman Hodes"/>
          <w:rtl/>
        </w:rPr>
        <w:t>א)</w:t>
      </w:r>
      <w:r w:rsidRPr="009E0E3D">
        <w:rPr>
          <w:rStyle w:val="af2"/>
          <w:rFonts w:eastAsia="Guttman Hodes"/>
          <w:rtl/>
        </w:rPr>
        <w:fldChar w:fldCharType="end"/>
      </w:r>
      <w:r>
        <w:rPr>
          <w:rFonts w:hint="cs"/>
          <w:rtl/>
        </w:rPr>
        <w:t xml:space="preserve"> דאין בנין וסתירה בכלים,</w:t>
      </w:r>
      <w:r>
        <w:rPr>
          <w:rtl/>
        </w:rPr>
        <w:t xml:space="preserve"> </w:t>
      </w:r>
      <w:r>
        <w:rPr>
          <w:rFonts w:hint="cs"/>
          <w:rtl/>
        </w:rPr>
        <w:t xml:space="preserve">לכן אף אם כוונתו לעשות כלי בשבירת החבית אין בזה איסור דאו', דהוא עושה כלי שלא כדרכו, </w:t>
      </w:r>
      <w:r w:rsidRPr="00BF204E">
        <w:rPr>
          <w:rStyle w:val="af"/>
          <w:rFonts w:hint="cs"/>
          <w:rtl/>
        </w:rPr>
        <w:t>[וכ"כ</w:t>
      </w:r>
      <w:r w:rsidRPr="00BF204E">
        <w:rPr>
          <w:rStyle w:val="af"/>
          <w:rtl/>
        </w:rPr>
        <w:t xml:space="preserve"> </w:t>
      </w:r>
      <w:r w:rsidRPr="00BF204E">
        <w:rPr>
          <w:rStyle w:val="aff9"/>
          <w:rtl/>
        </w:rPr>
        <w:t>ה</w:t>
      </w:r>
      <w:r w:rsidRPr="00BF204E">
        <w:rPr>
          <w:rStyle w:val="aff9"/>
          <w:rFonts w:hint="cs"/>
          <w:rtl/>
        </w:rPr>
        <w:t>ר"ן על הרי"ף בביצה</w:t>
      </w:r>
      <w:r w:rsidRPr="00BF204E">
        <w:rPr>
          <w:rStyle w:val="af"/>
          <w:rtl/>
        </w:rPr>
        <w:t xml:space="preserve"> </w:t>
      </w:r>
      <w:r w:rsidRPr="00BF204E">
        <w:rPr>
          <w:rStyle w:val="aff0"/>
          <w:rFonts w:hint="cs"/>
          <w:rtl/>
        </w:rPr>
        <w:t xml:space="preserve">(עי' אות </w:t>
      </w:r>
      <w:r w:rsidRPr="00BF204E">
        <w:rPr>
          <w:rStyle w:val="aff0"/>
          <w:rtl/>
        </w:rPr>
        <w:fldChar w:fldCharType="begin"/>
      </w:r>
      <w:r w:rsidRPr="00BF204E">
        <w:rPr>
          <w:rStyle w:val="aff0"/>
          <w:rtl/>
        </w:rPr>
        <w:instrText xml:space="preserve"> </w:instrText>
      </w:r>
      <w:r w:rsidRPr="00BF204E">
        <w:rPr>
          <w:rStyle w:val="aff0"/>
        </w:rPr>
        <w:instrText>REF</w:instrText>
      </w:r>
      <w:r w:rsidRPr="00BF204E">
        <w:rPr>
          <w:rStyle w:val="aff0"/>
          <w:rtl/>
        </w:rPr>
        <w:instrText xml:space="preserve"> _</w:instrText>
      </w:r>
      <w:r w:rsidRPr="00BF204E">
        <w:rPr>
          <w:rStyle w:val="aff0"/>
        </w:rPr>
        <w:instrText>Ref144743203 \r \h</w:instrText>
      </w:r>
      <w:r w:rsidRPr="00BF204E">
        <w:rPr>
          <w:rStyle w:val="aff0"/>
          <w:rtl/>
        </w:rPr>
        <w:instrText xml:space="preserve"> </w:instrText>
      </w:r>
      <w:r w:rsidRPr="00BF204E">
        <w:rPr>
          <w:rStyle w:val="aff0"/>
          <w:rtl/>
        </w:rPr>
      </w:r>
      <w:r w:rsidRPr="00BF204E">
        <w:rPr>
          <w:rStyle w:val="aff0"/>
          <w:rtl/>
        </w:rPr>
        <w:fldChar w:fldCharType="separate"/>
      </w:r>
      <w:r w:rsidR="00D82181">
        <w:rPr>
          <w:rStyle w:val="aff0"/>
          <w:cs/>
        </w:rPr>
        <w:t>‎</w:t>
      </w:r>
      <w:r w:rsidR="00D82181">
        <w:rPr>
          <w:rStyle w:val="aff0"/>
          <w:rtl/>
        </w:rPr>
        <w:t>נט)</w:t>
      </w:r>
      <w:r w:rsidRPr="00BF204E">
        <w:rPr>
          <w:rStyle w:val="aff0"/>
          <w:rtl/>
        </w:rPr>
        <w:fldChar w:fldCharType="end"/>
      </w:r>
      <w:r w:rsidRPr="00BF204E">
        <w:rPr>
          <w:rStyle w:val="af"/>
          <w:rFonts w:hint="cs"/>
          <w:rtl/>
        </w:rPr>
        <w:t>],</w:t>
      </w:r>
      <w:r>
        <w:rPr>
          <w:rFonts w:hint="cs"/>
          <w:rtl/>
        </w:rPr>
        <w:t xml:space="preserve"> וא"כ האיסור כשמתכוין הוא רק מדרבנן.</w:t>
      </w:r>
    </w:p>
    <w:p w14:paraId="2F3CDB79" w14:textId="77777777" w:rsidR="003E1AA3" w:rsidRPr="00BC7DC8" w:rsidRDefault="003E1AA3" w:rsidP="003E1AA3">
      <w:pPr>
        <w:pStyle w:val="afffffe"/>
        <w:rPr>
          <w:vanish/>
          <w:rtl/>
        </w:rPr>
      </w:pPr>
      <w:r w:rsidRPr="00BC7DC8">
        <w:rPr>
          <w:vanish/>
          <w:rtl/>
        </w:rPr>
        <w:t>שלטי הגבורים שבת ס"א ע"ב</w:t>
      </w:r>
      <w:r w:rsidRPr="00BC7DC8">
        <w:rPr>
          <w:rFonts w:hint="cs"/>
          <w:vanish/>
          <w:rtl/>
        </w:rPr>
        <w:t xml:space="preserve"> מדה"ר אות א'</w:t>
      </w:r>
    </w:p>
    <w:p w14:paraId="4CBC6C73" w14:textId="77777777" w:rsidR="003E1AA3" w:rsidRPr="0018388A" w:rsidRDefault="003E1AA3" w:rsidP="003E1AA3">
      <w:pPr>
        <w:pStyle w:val="a2"/>
        <w:tabs>
          <w:tab w:val="num" w:pos="284"/>
        </w:tabs>
      </w:pPr>
      <w:r w:rsidRPr="0018388A">
        <w:rPr>
          <w:rtl/>
        </w:rPr>
        <w:t>ומיהו צריך שיהא הכלי קטן שלא יחזיק מ' סאה כולו אבל אם היה הכלי גדול דגם לדידן שייך בנין וסתירה בהו כדמוכח בר"ן שם פשיטא שהוא אסור לשבר אותה ולפ"ז צ"ל דהא דפי' רש"י גבי מאן דעביד חביתא בשבת פרק כלל גדול דאינו חייב משום בונה דליכא בנין וסתירה בכלים מיירי בכלים קטנים ובירושלמי שהביאו התוספות משמע כפי' רש"י</w:t>
      </w:r>
      <w:r w:rsidRPr="0018388A">
        <w:rPr>
          <w:rFonts w:hint="cs"/>
          <w:rtl/>
        </w:rPr>
        <w:t>.</w:t>
      </w:r>
    </w:p>
    <w:p w14:paraId="73995A28" w14:textId="77777777" w:rsidR="003E1AA3" w:rsidRDefault="003E1AA3" w:rsidP="003E1AA3">
      <w:pPr>
        <w:pStyle w:val="afffff5"/>
      </w:pPr>
      <w:r w:rsidRPr="0018388A">
        <w:rPr>
          <w:rtl/>
        </w:rPr>
        <w:t>לפי' רש"י ל"ש אם היא שלמה ל"ש אם היא עשויה מחתיכות בכל ענין שרי לשבור אותה כדי להוציא ממנה היין או הגרוגרות ובלבד שלא יתכוין לעשותה כלי ונ"ל טעמו דכיון דלדידיה אין בנין וסתירה בכלים ואפי' אי הוא עביד כלי בשבירתו בכוונה לא היה איסור אלא מדרבנן דהא שלא כדרכו היה עושה הלכך כי לא מכוין שרי אפי' מדרבנן</w:t>
      </w:r>
      <w:r>
        <w:rPr>
          <w:rFonts w:hint="cs"/>
          <w:rtl/>
        </w:rPr>
        <w:t>.</w:t>
      </w:r>
    </w:p>
    <w:p w14:paraId="5D249D53" w14:textId="77777777" w:rsidR="003E1AA3" w:rsidRPr="00FC269C" w:rsidRDefault="003E1AA3" w:rsidP="003E1AA3">
      <w:pPr>
        <w:pStyle w:val="afffff7"/>
        <w:rPr>
          <w:rtl/>
        </w:rPr>
      </w:pPr>
      <w:bookmarkStart w:id="5674" w:name="_Toc145234050"/>
      <w:bookmarkStart w:id="5675" w:name="_Toc163506308"/>
      <w:r w:rsidRPr="00FC269C">
        <w:rPr>
          <w:rFonts w:hint="cs"/>
          <w:rtl/>
        </w:rPr>
        <w:t xml:space="preserve">טל אורות הספרדי מלאכת בונה ד"ה </w:t>
      </w:r>
      <w:r w:rsidRPr="00FC269C">
        <w:rPr>
          <w:rtl/>
        </w:rPr>
        <w:t>ומן האמור בזה</w:t>
      </w:r>
      <w:bookmarkEnd w:id="5674"/>
      <w:bookmarkEnd w:id="5675"/>
    </w:p>
    <w:p w14:paraId="60B46F76" w14:textId="77777777" w:rsidR="003E1AA3" w:rsidRDefault="003E1AA3" w:rsidP="003E1AA3">
      <w:pPr>
        <w:pStyle w:val="a7"/>
        <w:rPr>
          <w:rtl/>
        </w:rPr>
      </w:pPr>
      <w:bookmarkStart w:id="5676" w:name="_Toc145233958"/>
      <w:r>
        <w:rPr>
          <w:rFonts w:hint="cs"/>
          <w:rtl/>
        </w:rPr>
        <w:t>קו' הטל אורות על השלה"ג דמנליה דמתכוין לכלי פטור ואף אי בונה שלא כדרך חייב במכב"פ</w:t>
      </w:r>
      <w:bookmarkEnd w:id="5676"/>
    </w:p>
    <w:p w14:paraId="0524FACE" w14:textId="78DC40B1" w:rsidR="003E1AA3" w:rsidRDefault="003E1AA3" w:rsidP="00BC7DC8">
      <w:pPr>
        <w:pStyle w:val="a3"/>
        <w:rPr>
          <w:rtl/>
        </w:rPr>
      </w:pPr>
      <w:bookmarkStart w:id="5677" w:name="_Ref144802736"/>
      <w:r>
        <w:rPr>
          <w:rFonts w:hint="cs"/>
          <w:rtl/>
        </w:rPr>
        <w:t xml:space="preserve">והקשה </w:t>
      </w:r>
      <w:r w:rsidRPr="0084706C">
        <w:rPr>
          <w:rStyle w:val="aff4"/>
          <w:rtl/>
        </w:rPr>
        <w:t>ה</w:t>
      </w:r>
      <w:r w:rsidRPr="005960B8">
        <w:rPr>
          <w:vanish/>
          <w:rtl/>
        </w:rPr>
        <w:t xml:space="preserve"> </w:t>
      </w:r>
      <w:r>
        <w:rPr>
          <w:rFonts w:hint="cs"/>
          <w:vanish/>
          <w:rtl/>
        </w:rPr>
        <w:t xml:space="preserve">&lt;, </w:t>
      </w:r>
      <w:r>
        <w:rPr>
          <w:vanish/>
          <w:rtl/>
        </w:rPr>
        <w:fldChar w:fldCharType="begin"/>
      </w:r>
      <w:r>
        <w:rPr>
          <w:vanish/>
          <w:rtl/>
        </w:rPr>
        <w:instrText xml:space="preserve"> </w:instrText>
      </w:r>
      <w:r>
        <w:rPr>
          <w:rFonts w:hint="cs"/>
          <w:vanish/>
        </w:rPr>
        <w:instrText>REF</w:instrText>
      </w:r>
      <w:r>
        <w:rPr>
          <w:rFonts w:hint="cs"/>
          <w:vanish/>
          <w:rtl/>
        </w:rPr>
        <w:instrText xml:space="preserve"> _</w:instrText>
      </w:r>
      <w:r>
        <w:rPr>
          <w:rFonts w:hint="cs"/>
          <w:vanish/>
        </w:rPr>
        <w:instrText>Ref144802736 \r \h</w:instrText>
      </w:r>
      <w:r>
        <w:rPr>
          <w:vanish/>
          <w:rtl/>
        </w:rPr>
        <w:instrText xml:space="preserve"> </w:instrText>
      </w:r>
      <w:r>
        <w:rPr>
          <w:vanish/>
          <w:rtl/>
        </w:rPr>
      </w:r>
      <w:r>
        <w:rPr>
          <w:vanish/>
          <w:rtl/>
        </w:rPr>
        <w:fldChar w:fldCharType="separate"/>
      </w:r>
      <w:r w:rsidR="00D82181">
        <w:rPr>
          <w:vanish/>
          <w:cs/>
        </w:rPr>
        <w:t>‎</w:t>
      </w:r>
      <w:r w:rsidR="00D82181">
        <w:rPr>
          <w:vanish/>
          <w:rtl/>
        </w:rPr>
        <w:t>נח)</w:t>
      </w:r>
      <w:r>
        <w:rPr>
          <w:vanish/>
          <w:rtl/>
        </w:rPr>
        <w:fldChar w:fldCharType="end"/>
      </w:r>
      <w:r>
        <w:rPr>
          <w:rFonts w:hint="cs"/>
          <w:vanish/>
          <w:rtl/>
        </w:rPr>
        <w:t xml:space="preserve"> &gt;</w:t>
      </w:r>
      <w:r w:rsidRPr="0084706C">
        <w:rPr>
          <w:rStyle w:val="aff4"/>
          <w:rFonts w:hint="cs"/>
          <w:rtl/>
        </w:rPr>
        <w:t>טל אורות הספרדי</w:t>
      </w:r>
      <w:r w:rsidRPr="005960B8">
        <w:rPr>
          <w:rtl/>
        </w:rPr>
        <w:t xml:space="preserve"> </w:t>
      </w:r>
      <w:r w:rsidRPr="005960B8">
        <w:rPr>
          <w:rFonts w:ascii="Calibri" w:eastAsia="Times New Roman" w:hAnsi="Calibri" w:cs="Guttman Rashi"/>
          <w:sz w:val="10"/>
          <w:szCs w:val="12"/>
          <w:rtl/>
        </w:rPr>
        <w:t>(</w:t>
      </w:r>
      <w:r>
        <w:rPr>
          <w:rFonts w:ascii="Calibri" w:eastAsia="Times New Roman" w:hAnsi="Calibri" w:cs="Guttman Rashi" w:hint="cs"/>
          <w:sz w:val="10"/>
          <w:szCs w:val="12"/>
          <w:rtl/>
        </w:rPr>
        <w:t>מלאכת בונה ד"ה</w:t>
      </w:r>
      <w:r w:rsidRPr="00D059AE">
        <w:rPr>
          <w:rFonts w:ascii="Calibri" w:eastAsia="Times New Roman" w:hAnsi="Calibri" w:cs="Guttman Rashi"/>
          <w:sz w:val="10"/>
          <w:szCs w:val="12"/>
          <w:rtl/>
        </w:rPr>
        <w:t xml:space="preserve"> ומן האמור בזה</w:t>
      </w:r>
      <w:r w:rsidRPr="005960B8">
        <w:rPr>
          <w:rFonts w:ascii="Calibri" w:eastAsia="Times New Roman" w:hAnsi="Calibri" w:cs="Guttman Rashi"/>
          <w:sz w:val="10"/>
          <w:szCs w:val="12"/>
          <w:rtl/>
        </w:rPr>
        <w:t>)</w:t>
      </w:r>
      <w:bookmarkEnd w:id="5677"/>
      <w:r w:rsidRPr="005960B8">
        <w:rPr>
          <w:vanish/>
          <w:rtl/>
        </w:rPr>
        <w:t>=</w:t>
      </w:r>
      <w:r>
        <w:rPr>
          <w:rFonts w:hint="cs"/>
          <w:rtl/>
        </w:rPr>
        <w:t xml:space="preserve"> על</w:t>
      </w:r>
      <w:r>
        <w:rPr>
          <w:rtl/>
        </w:rPr>
        <w:t xml:space="preserve"> </w:t>
      </w:r>
      <w:r>
        <w:rPr>
          <w:rFonts w:hint="cs"/>
          <w:b/>
          <w:bCs/>
          <w:rtl/>
        </w:rPr>
        <w:t>השלטי הגבורים</w:t>
      </w:r>
      <w:r>
        <w:rPr>
          <w:b/>
          <w:bCs/>
          <w:rtl/>
        </w:rPr>
        <w:t xml:space="preserve"> </w:t>
      </w:r>
      <w:r w:rsidRPr="002641FB">
        <w:rPr>
          <w:rFonts w:ascii="Calibri" w:eastAsia="Times New Roman" w:hAnsi="Calibri" w:cs="Guttman Rashi"/>
          <w:noProof w:val="0"/>
          <w:sz w:val="10"/>
          <w:szCs w:val="12"/>
          <w:rtl/>
        </w:rPr>
        <w:t xml:space="preserve">(עי' 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Pr>
        <w:instrText>REF</w:instrText>
      </w:r>
      <w:r>
        <w:rPr>
          <w:rFonts w:ascii="Calibri" w:eastAsia="Times New Roman" w:hAnsi="Calibri" w:cs="Guttman Rashi"/>
          <w:noProof w:val="0"/>
          <w:sz w:val="10"/>
          <w:szCs w:val="12"/>
          <w:rtl/>
        </w:rPr>
        <w:instrText xml:space="preserve"> _</w:instrText>
      </w:r>
      <w:r>
        <w:rPr>
          <w:rFonts w:ascii="Calibri" w:eastAsia="Times New Roman" w:hAnsi="Calibri" w:cs="Guttman Rashi"/>
          <w:noProof w:val="0"/>
          <w:sz w:val="10"/>
          <w:szCs w:val="12"/>
        </w:rPr>
        <w:instrText>Ref144802805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נז)</w:t>
      </w:r>
      <w:r>
        <w:rPr>
          <w:rFonts w:ascii="Calibri" w:eastAsia="Times New Roman" w:hAnsi="Calibri" w:cs="Guttman Rashi"/>
          <w:noProof w:val="0"/>
          <w:sz w:val="10"/>
          <w:szCs w:val="12"/>
          <w:rtl/>
        </w:rPr>
        <w:fldChar w:fldCharType="end"/>
      </w:r>
      <w:r>
        <w:rPr>
          <w:b/>
          <w:bCs/>
          <w:rtl/>
        </w:rPr>
        <w:t xml:space="preserve"> </w:t>
      </w:r>
      <w:r>
        <w:rPr>
          <w:rFonts w:hint="cs"/>
          <w:rtl/>
        </w:rPr>
        <w:t>דמנליה</w:t>
      </w:r>
      <w:r>
        <w:rPr>
          <w:rtl/>
        </w:rPr>
        <w:t xml:space="preserve"> </w:t>
      </w:r>
      <w:r>
        <w:rPr>
          <w:rFonts w:hint="cs"/>
          <w:b/>
          <w:bCs/>
          <w:rtl/>
        </w:rPr>
        <w:t>דלרש"י</w:t>
      </w:r>
      <w:r>
        <w:rPr>
          <w:rtl/>
        </w:rPr>
        <w:t xml:space="preserve"> </w:t>
      </w:r>
      <w:r>
        <w:rPr>
          <w:rFonts w:hint="cs"/>
          <w:rtl/>
        </w:rPr>
        <w:t>בעושה כלי בכוונה אסור רק מדרבנן, הא אף אם אין בזה חיוב בונה, מ"מ יתחייב מדין מכה בפטיש, ועוד דאמאי הוצרך</w:t>
      </w:r>
      <w:r>
        <w:rPr>
          <w:rtl/>
        </w:rPr>
        <w:t xml:space="preserve"> </w:t>
      </w:r>
      <w:r>
        <w:rPr>
          <w:rFonts w:hint="cs"/>
          <w:b/>
          <w:bCs/>
          <w:rtl/>
        </w:rPr>
        <w:t>רש"י לקמן</w:t>
      </w:r>
      <w:r>
        <w:rPr>
          <w:rtl/>
        </w:rPr>
        <w:t xml:space="preserve"> </w:t>
      </w:r>
      <w:r w:rsidRPr="00111F43">
        <w:rPr>
          <w:rFonts w:ascii="Calibri" w:eastAsia="Times New Roman" w:hAnsi="Calibri" w:cs="Guttman Rashi"/>
          <w:noProof w:val="0"/>
          <w:sz w:val="10"/>
          <w:szCs w:val="12"/>
          <w:rtl/>
        </w:rPr>
        <w:t xml:space="preserve">(עי' 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Pr>
        <w:instrText>REF</w:instrText>
      </w:r>
      <w:r>
        <w:rPr>
          <w:rFonts w:ascii="Calibri" w:eastAsia="Times New Roman" w:hAnsi="Calibri" w:cs="Guttman Rashi"/>
          <w:noProof w:val="0"/>
          <w:sz w:val="10"/>
          <w:szCs w:val="12"/>
          <w:rtl/>
        </w:rPr>
        <w:instrText xml:space="preserve"> _</w:instrText>
      </w:r>
      <w:r>
        <w:rPr>
          <w:rFonts w:ascii="Calibri" w:eastAsia="Times New Roman" w:hAnsi="Calibri" w:cs="Guttman Rashi"/>
          <w:noProof w:val="0"/>
          <w:sz w:val="10"/>
          <w:szCs w:val="12"/>
        </w:rPr>
        <w:instrText>Ref144808791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נג)</w:t>
      </w:r>
      <w:r>
        <w:rPr>
          <w:rFonts w:ascii="Calibri" w:eastAsia="Times New Roman" w:hAnsi="Calibri" w:cs="Guttman Rashi"/>
          <w:noProof w:val="0"/>
          <w:sz w:val="10"/>
          <w:szCs w:val="12"/>
          <w:rtl/>
        </w:rPr>
        <w:fldChar w:fldCharType="end"/>
      </w:r>
      <w:r>
        <w:rPr>
          <w:rtl/>
        </w:rPr>
        <w:t xml:space="preserve"> </w:t>
      </w:r>
      <w:r>
        <w:rPr>
          <w:rFonts w:hint="cs"/>
          <w:rtl/>
        </w:rPr>
        <w:t xml:space="preserve">לומר דפטור מדין מקלקל, הא אף אם אינו מקלקל דעושה כלי בכוונה בשבירתו ג"כ פטור לפי </w:t>
      </w:r>
      <w:r>
        <w:rPr>
          <w:rFonts w:hint="cs"/>
          <w:b/>
          <w:bCs/>
          <w:rtl/>
        </w:rPr>
        <w:t>השלטי הגבורים</w:t>
      </w:r>
      <w:r>
        <w:rPr>
          <w:b/>
          <w:bCs/>
          <w:rtl/>
        </w:rPr>
        <w:t xml:space="preserve"> </w:t>
      </w:r>
      <w:r>
        <w:rPr>
          <w:rFonts w:hint="cs"/>
          <w:rtl/>
        </w:rPr>
        <w:t xml:space="preserve">כיון דאינו עושה כדרך, אלא מוכח דודאי דחייב בזה מדאו', ואף דאין בנין וסתירה בכלים, מ"מ חייב מדין מכה בפטיש. </w:t>
      </w:r>
    </w:p>
    <w:p w14:paraId="76B66AC1" w14:textId="77777777" w:rsidR="003E1AA3" w:rsidRPr="00BC7DC8" w:rsidRDefault="003E1AA3" w:rsidP="003E1AA3">
      <w:pPr>
        <w:pStyle w:val="afffffe"/>
        <w:rPr>
          <w:vanish/>
          <w:rtl/>
        </w:rPr>
      </w:pPr>
      <w:r w:rsidRPr="00BC7DC8">
        <w:rPr>
          <w:rFonts w:hint="cs"/>
          <w:vanish/>
          <w:rtl/>
        </w:rPr>
        <w:t xml:space="preserve">טל אורות הספרדי מלאכת בונה ד"ה </w:t>
      </w:r>
      <w:r w:rsidRPr="00BC7DC8">
        <w:rPr>
          <w:vanish/>
          <w:rtl/>
        </w:rPr>
        <w:t>ומן האמור בזה</w:t>
      </w:r>
    </w:p>
    <w:p w14:paraId="4F2A579D" w14:textId="77777777" w:rsidR="003E1AA3" w:rsidRPr="0018388A" w:rsidRDefault="003E1AA3" w:rsidP="003E1AA3">
      <w:pPr>
        <w:pStyle w:val="a2"/>
        <w:tabs>
          <w:tab w:val="num" w:pos="284"/>
        </w:tabs>
        <w:rPr>
          <w:rtl/>
        </w:rPr>
      </w:pPr>
      <w:r w:rsidRPr="0018388A">
        <w:rPr>
          <w:rtl/>
        </w:rPr>
        <w:t>ומן האמור בזה, חזות קשה הוגד לי עמ"ש הרב שלטי גבורים שם בפרק חבית וז"ל לפי' רש"י ל"ש אם היא שלמה ל"ש אם היא עשויה מחתיכות בכל ענין שרי לשבור אותה כדי להוציא ממנה היין או הגרוגרות ובלבד שלא יתכוין לעשותה כלי ונ"ל טעמו דכיון דלדידיה אין בנין וסתירה בכלים ואפי' אי הוא עביד כלי בשבירתו בכוונה לא היה איסור אלא מדרבנן דהא שלא כדרכו היה עושה הלכך כי לא מכוין שרי אפי' מדרבנן, עכ"ל.</w:t>
      </w:r>
    </w:p>
    <w:p w14:paraId="266FF249" w14:textId="77777777" w:rsidR="003E1AA3" w:rsidRDefault="003E1AA3" w:rsidP="003E1AA3">
      <w:pPr>
        <w:pStyle w:val="afffff5"/>
        <w:rPr>
          <w:rtl/>
        </w:rPr>
      </w:pPr>
      <w:r w:rsidRPr="002E340A">
        <w:rPr>
          <w:rtl/>
        </w:rPr>
        <w:t>ואנכי איש צעיר לא ידעתי מאין לו דרש"י ז"ל סובר דאפילו אם הוא עביד כלי בשבירתו בכונה דליכא איסור אלא מדרבנן אם משום דס"ל דאין בנין וסתירה בכלים מה בכך נהי דלא מתחייב משום בנין מ"מ הא איכא חיובא משום מכה בפטיש וכדכתיבנא לעיל, ועוד</w:t>
      </w:r>
      <w:r>
        <w:rPr>
          <w:rtl/>
        </w:rPr>
        <w:t xml:space="preserve"> </w:t>
      </w:r>
      <w:r w:rsidRPr="002E340A">
        <w:rPr>
          <w:rtl/>
        </w:rPr>
        <w:t>לפי דבריו למה הוצרך רש"י ז"ל לפרש דאין במקלקל שום איסור שבת, הא אפילו אינו מקלקל ועביד כלי בשבירתו בכונה שרי, אלא ודאי דאי עביד כלי בשבירתו בכונה איכא חיובא מן התורה ואעפ"י דליכא חיובא משום בונה דאין בנין וסתירה בכלים הא מיהא איכא חיובא משום מכה בפטיש כאמור ודבריו צריכים לי עיון.</w:t>
      </w:r>
    </w:p>
    <w:p w14:paraId="2FAEA29A" w14:textId="77777777" w:rsidR="003E1AA3" w:rsidRPr="00FC269C" w:rsidRDefault="003E1AA3" w:rsidP="003E1AA3">
      <w:pPr>
        <w:pStyle w:val="afffff7"/>
        <w:rPr>
          <w:rtl/>
        </w:rPr>
      </w:pPr>
      <w:bookmarkStart w:id="5678" w:name="_Toc145234051"/>
      <w:bookmarkStart w:id="5679" w:name="_Toc145019585"/>
      <w:bookmarkStart w:id="5680" w:name="_Toc163506309"/>
      <w:bookmarkEnd w:id="5647"/>
      <w:bookmarkEnd w:id="5648"/>
      <w:bookmarkEnd w:id="5672"/>
      <w:r w:rsidRPr="00FC269C">
        <w:rPr>
          <w:rtl/>
        </w:rPr>
        <w:t>ר"ן על הרי"ף ביצה י"ט ע"א</w:t>
      </w:r>
      <w:r w:rsidRPr="00FC269C">
        <w:rPr>
          <w:rFonts w:hint="cs"/>
          <w:rtl/>
        </w:rPr>
        <w:t xml:space="preserve"> מדה"ר ד"ה ואע"ג</w:t>
      </w:r>
      <w:bookmarkEnd w:id="5678"/>
      <w:bookmarkEnd w:id="5680"/>
    </w:p>
    <w:p w14:paraId="59A0BDBE" w14:textId="77777777" w:rsidR="003E1AA3" w:rsidRDefault="003E1AA3" w:rsidP="003E1AA3">
      <w:pPr>
        <w:pStyle w:val="a7"/>
        <w:rPr>
          <w:rtl/>
        </w:rPr>
      </w:pPr>
      <w:bookmarkStart w:id="5681" w:name="_Toc145019598"/>
      <w:bookmarkStart w:id="5682" w:name="_Toc145233959"/>
      <w:r>
        <w:rPr>
          <w:rFonts w:hint="cs"/>
          <w:rtl/>
        </w:rPr>
        <w:t>בי' הר"ן בביצה דבשובר חבית בכוונה לכלי אין איסור דאו' דאי"ז דרך ולכן בלא מכוון מותר</w:t>
      </w:r>
      <w:bookmarkEnd w:id="5681"/>
      <w:bookmarkEnd w:id="5682"/>
    </w:p>
    <w:p w14:paraId="069C0D06" w14:textId="29B50D25" w:rsidR="003E1AA3" w:rsidRPr="005A4B5A" w:rsidRDefault="003E1AA3" w:rsidP="00BC7DC8">
      <w:pPr>
        <w:pStyle w:val="a3"/>
        <w:rPr>
          <w:rtl/>
        </w:rPr>
      </w:pPr>
      <w:bookmarkStart w:id="5683" w:name="_Ref144743203"/>
      <w:r>
        <w:rPr>
          <w:rFonts w:hint="cs"/>
          <w:rtl/>
        </w:rPr>
        <w:t>וע"ע במ"ש</w:t>
      </w:r>
      <w:r>
        <w:rPr>
          <w:rtl/>
        </w:rPr>
        <w:t xml:space="preserve"> </w:t>
      </w:r>
      <w:r w:rsidRPr="00F00038">
        <w:rPr>
          <w:b/>
          <w:bCs/>
          <w:rtl/>
        </w:rPr>
        <w:t>ה</w:t>
      </w:r>
      <w:r w:rsidRPr="00F00038">
        <w:rPr>
          <w:b/>
          <w:bCs/>
          <w:vanish/>
          <w:rtl/>
        </w:rPr>
        <w:t xml:space="preserve"> &lt;, </w:t>
      </w:r>
      <w:r w:rsidRPr="00F00038">
        <w:rPr>
          <w:b/>
          <w:bCs/>
          <w:vanish/>
          <w:rtl/>
        </w:rPr>
        <w:fldChar w:fldCharType="begin"/>
      </w:r>
      <w:r w:rsidRPr="00F00038">
        <w:rPr>
          <w:b/>
          <w:bCs/>
          <w:vanish/>
          <w:rtl/>
        </w:rPr>
        <w:instrText xml:space="preserve"> </w:instrText>
      </w:r>
      <w:r w:rsidRPr="00F00038">
        <w:rPr>
          <w:b/>
          <w:bCs/>
          <w:vanish/>
        </w:rPr>
        <w:instrText>REF</w:instrText>
      </w:r>
      <w:r w:rsidRPr="00F00038">
        <w:rPr>
          <w:b/>
          <w:bCs/>
          <w:vanish/>
          <w:rtl/>
        </w:rPr>
        <w:instrText xml:space="preserve"> _</w:instrText>
      </w:r>
      <w:r w:rsidRPr="00F00038">
        <w:rPr>
          <w:b/>
          <w:bCs/>
          <w:vanish/>
        </w:rPr>
        <w:instrText>Ref144743203 \r \h</w:instrText>
      </w:r>
      <w:r w:rsidRPr="00F00038">
        <w:rPr>
          <w:b/>
          <w:bCs/>
          <w:vanish/>
          <w:rtl/>
        </w:rPr>
        <w:instrText xml:space="preserve"> </w:instrText>
      </w:r>
      <w:r w:rsidRPr="00F00038">
        <w:rPr>
          <w:b/>
          <w:bCs/>
          <w:vanish/>
          <w:rtl/>
        </w:rPr>
      </w:r>
      <w:r w:rsidRPr="00F00038">
        <w:rPr>
          <w:b/>
          <w:bCs/>
          <w:vanish/>
          <w:rtl/>
        </w:rPr>
        <w:fldChar w:fldCharType="separate"/>
      </w:r>
      <w:r w:rsidR="00D82181">
        <w:rPr>
          <w:b/>
          <w:bCs/>
          <w:vanish/>
          <w:cs/>
        </w:rPr>
        <w:t>‎</w:t>
      </w:r>
      <w:r w:rsidR="00D82181">
        <w:rPr>
          <w:b/>
          <w:bCs/>
          <w:vanish/>
          <w:rtl/>
        </w:rPr>
        <w:t>נט)</w:t>
      </w:r>
      <w:r w:rsidRPr="00F00038">
        <w:rPr>
          <w:b/>
          <w:bCs/>
          <w:vanish/>
          <w:rtl/>
        </w:rPr>
        <w:fldChar w:fldCharType="end"/>
      </w:r>
      <w:r w:rsidRPr="00F00038">
        <w:rPr>
          <w:b/>
          <w:bCs/>
          <w:vanish/>
          <w:rtl/>
        </w:rPr>
        <w:t xml:space="preserve"> &gt;</w:t>
      </w:r>
      <w:r w:rsidRPr="00F00038">
        <w:rPr>
          <w:rFonts w:hint="cs"/>
          <w:b/>
          <w:bCs/>
          <w:rtl/>
        </w:rPr>
        <w:t>ר"ן על הרי"ף בביצה</w:t>
      </w:r>
      <w:r w:rsidRPr="00F00038">
        <w:rPr>
          <w:b/>
          <w:bCs/>
          <w:rtl/>
        </w:rPr>
        <w:t xml:space="preserve"> </w:t>
      </w:r>
      <w:r w:rsidRPr="00F00038">
        <w:rPr>
          <w:rFonts w:ascii="Calibri" w:eastAsia="Times New Roman" w:hAnsi="Calibri" w:cs="Guttman Rashi"/>
          <w:noProof w:val="0"/>
          <w:sz w:val="10"/>
          <w:szCs w:val="12"/>
          <w:rtl/>
        </w:rPr>
        <w:t>(</w:t>
      </w:r>
      <w:r w:rsidRPr="00F00038">
        <w:rPr>
          <w:rFonts w:ascii="Calibri" w:eastAsia="Times New Roman" w:hAnsi="Calibri" w:cs="Guttman Rashi" w:hint="cs"/>
          <w:noProof w:val="0"/>
          <w:sz w:val="10"/>
          <w:szCs w:val="12"/>
          <w:rtl/>
        </w:rPr>
        <w:t>יט. מדה"ר ד"ה ואע"ג</w:t>
      </w:r>
      <w:r w:rsidRPr="00F00038">
        <w:rPr>
          <w:rFonts w:ascii="Calibri" w:eastAsia="Times New Roman" w:hAnsi="Calibri" w:cs="Guttman Rashi"/>
          <w:noProof w:val="0"/>
          <w:sz w:val="10"/>
          <w:szCs w:val="12"/>
          <w:rtl/>
        </w:rPr>
        <w:t>)</w:t>
      </w:r>
      <w:r w:rsidRPr="00F00038">
        <w:rPr>
          <w:vanish/>
          <w:rtl/>
        </w:rPr>
        <w:t>=</w:t>
      </w:r>
      <w:r>
        <w:rPr>
          <w:rtl/>
        </w:rPr>
        <w:t xml:space="preserve"> </w:t>
      </w:r>
      <w:r>
        <w:rPr>
          <w:rFonts w:hint="cs"/>
          <w:rtl/>
        </w:rPr>
        <w:t>דהשובר חבית אף כשכוונתו לעשות כלי אין בזה איסור דאו', כיון דהוא עושה כלי שלא כדרכו, ולכן כשאינו מתכוין מותר לכתחילה.</w:t>
      </w:r>
      <w:bookmarkEnd w:id="5683"/>
    </w:p>
    <w:p w14:paraId="2BAC6158" w14:textId="77777777" w:rsidR="003E1AA3" w:rsidRPr="00BC7DC8" w:rsidRDefault="003E1AA3" w:rsidP="003E1AA3">
      <w:pPr>
        <w:pStyle w:val="afffffe"/>
        <w:rPr>
          <w:vanish/>
          <w:rtl/>
        </w:rPr>
      </w:pPr>
      <w:r w:rsidRPr="00BC7DC8">
        <w:rPr>
          <w:vanish/>
          <w:rtl/>
        </w:rPr>
        <w:t>ר"ן על הרי"ף ביצה י"ט ע"א</w:t>
      </w:r>
      <w:r w:rsidRPr="00BC7DC8">
        <w:rPr>
          <w:rFonts w:hint="cs"/>
          <w:vanish/>
          <w:rtl/>
        </w:rPr>
        <w:t xml:space="preserve"> מדה"ר ד"ה ואע"ג</w:t>
      </w:r>
    </w:p>
    <w:p w14:paraId="0F1F2F5C" w14:textId="77777777" w:rsidR="003E1AA3" w:rsidRDefault="003E1AA3" w:rsidP="003E1AA3">
      <w:pPr>
        <w:pStyle w:val="a2"/>
        <w:tabs>
          <w:tab w:val="num" w:pos="284"/>
        </w:tabs>
        <w:rPr>
          <w:rtl/>
        </w:rPr>
      </w:pPr>
      <w:r w:rsidRPr="00536DA0">
        <w:rPr>
          <w:rStyle w:val="afff7"/>
          <w:rtl/>
        </w:rPr>
        <w:t>ואף על גב דחזיא לקתתא דנרגא וחציני. שהיה קשה וראוי לעשות ממנו בית יד לקרדום ולפסל שקורין דולדורה והוא היה שוברן להריח ואמרי' בגמ' דהא אתיא אליבא דרבנן דאמרי דאחד זה ואחד זה אינו אלא משום שבות דסברי דאפי' בקוטם קיסם לחצות בו שיניו ליכא אלא איסור דרבנן משום דסבירא להו דכל עשיית כלי שלא כדרכו לא מיתסר אלא מדרבנן ומש"ה כי לא מכוין לעשיית כלי דהיינו להריח בו שרי אפי' לכתחלה</w:t>
      </w:r>
      <w:r w:rsidRPr="0018388A">
        <w:rPr>
          <w:rtl/>
        </w:rPr>
        <w:t xml:space="preserve"> והיינו נמי טעמא דמתני' דשובר אדם את החבית לאכול ממנה גרוגרות משום דאי נמי מכוין לעשות כלי לא מיתסר אלא מדרבנן כיון שהוא עושה כלי בשבירה בלבד שלא כדרכו ומשום הכי כי לא מכוין שרי אפי' לכתחלה </w:t>
      </w:r>
      <w:r w:rsidRPr="0018388A">
        <w:rPr>
          <w:rFonts w:hint="cs"/>
          <w:rtl/>
        </w:rPr>
        <w:t>וכו'.</w:t>
      </w:r>
    </w:p>
    <w:p w14:paraId="3A688D5A" w14:textId="77777777" w:rsidR="003E1AA3" w:rsidRPr="009E65CD" w:rsidRDefault="003E1AA3" w:rsidP="003E1AA3">
      <w:pPr>
        <w:pStyle w:val="1"/>
      </w:pPr>
      <w:bookmarkStart w:id="5684" w:name="_Toc145233960"/>
      <w:bookmarkEnd w:id="5679"/>
      <w:r>
        <w:rPr>
          <w:rFonts w:hint="cs"/>
          <w:rtl/>
        </w:rPr>
        <w:t>התי' הא' בתוס' ובראשונים דרק בכלי גדול הוי בנין</w:t>
      </w:r>
      <w:bookmarkEnd w:id="5684"/>
    </w:p>
    <w:p w14:paraId="5803809F" w14:textId="77777777" w:rsidR="003E1AA3" w:rsidRPr="00FC269C" w:rsidRDefault="003E1AA3" w:rsidP="003E1AA3">
      <w:pPr>
        <w:pStyle w:val="afffff7"/>
        <w:rPr>
          <w:rtl/>
        </w:rPr>
      </w:pPr>
      <w:bookmarkStart w:id="5685" w:name="_Toc145234052"/>
      <w:bookmarkStart w:id="5686" w:name="_Toc163506310"/>
      <w:r w:rsidRPr="00FC269C">
        <w:rPr>
          <w:rtl/>
        </w:rPr>
        <w:t>תוספות שבת קמ"ו ע"א</w:t>
      </w:r>
      <w:r w:rsidRPr="00FC269C">
        <w:rPr>
          <w:rFonts w:hint="cs"/>
          <w:rtl/>
        </w:rPr>
        <w:t xml:space="preserve"> ד"ה שובר</w:t>
      </w:r>
      <w:bookmarkEnd w:id="5685"/>
      <w:bookmarkEnd w:id="5686"/>
    </w:p>
    <w:p w14:paraId="196A462E" w14:textId="77777777" w:rsidR="003E1AA3" w:rsidRPr="00FC269C" w:rsidRDefault="003E1AA3" w:rsidP="003E1AA3">
      <w:pPr>
        <w:pStyle w:val="afffff7"/>
        <w:rPr>
          <w:rtl/>
        </w:rPr>
      </w:pPr>
      <w:bookmarkStart w:id="5687" w:name="_Toc145234053"/>
      <w:bookmarkStart w:id="5688" w:name="_Toc163506311"/>
      <w:r w:rsidRPr="00FC269C">
        <w:rPr>
          <w:rtl/>
        </w:rPr>
        <w:t>תוספות עירובין ל"ד ע"ב</w:t>
      </w:r>
      <w:r w:rsidRPr="00FC269C">
        <w:rPr>
          <w:rFonts w:hint="cs"/>
          <w:rtl/>
        </w:rPr>
        <w:t xml:space="preserve"> ד"ה ואמאי</w:t>
      </w:r>
      <w:bookmarkEnd w:id="5687"/>
      <w:bookmarkEnd w:id="5688"/>
    </w:p>
    <w:p w14:paraId="1D131433" w14:textId="77777777" w:rsidR="003E1AA3" w:rsidRDefault="003E1AA3" w:rsidP="003E1AA3">
      <w:pPr>
        <w:pStyle w:val="afffff7"/>
        <w:rPr>
          <w:rtl/>
        </w:rPr>
      </w:pPr>
      <w:bookmarkStart w:id="5689" w:name="_Toc145234054"/>
      <w:bookmarkStart w:id="5690" w:name="_Toc145019586"/>
      <w:bookmarkStart w:id="5691" w:name="_Toc163506312"/>
      <w:r>
        <w:rPr>
          <w:rtl/>
        </w:rPr>
        <w:t>חדושי הרשב"א שבת קמ"ו ע"א</w:t>
      </w:r>
      <w:r>
        <w:rPr>
          <w:rFonts w:hint="cs"/>
          <w:rtl/>
        </w:rPr>
        <w:t xml:space="preserve"> ד"ה </w:t>
      </w:r>
      <w:r>
        <w:rPr>
          <w:rtl/>
        </w:rPr>
        <w:t>ובתוספות</w:t>
      </w:r>
      <w:bookmarkEnd w:id="5689"/>
      <w:bookmarkEnd w:id="5691"/>
    </w:p>
    <w:p w14:paraId="7FFAB8EC" w14:textId="77777777" w:rsidR="003E1AA3" w:rsidRDefault="003E1AA3" w:rsidP="003E1AA3">
      <w:pPr>
        <w:pStyle w:val="afffff7"/>
        <w:rPr>
          <w:rtl/>
        </w:rPr>
      </w:pPr>
      <w:bookmarkStart w:id="5692" w:name="_Toc145234055"/>
      <w:bookmarkStart w:id="5693" w:name="_Toc163506313"/>
      <w:r>
        <w:rPr>
          <w:rtl/>
        </w:rPr>
        <w:t>חדושי הריטב"א שבת קמ"ו ע"א</w:t>
      </w:r>
      <w:r w:rsidRPr="0038592B">
        <w:rPr>
          <w:rFonts w:hint="cs"/>
          <w:rtl/>
        </w:rPr>
        <w:t xml:space="preserve"> </w:t>
      </w:r>
      <w:r>
        <w:rPr>
          <w:rFonts w:hint="cs"/>
          <w:rtl/>
        </w:rPr>
        <w:t xml:space="preserve">ד"ה </w:t>
      </w:r>
      <w:r>
        <w:rPr>
          <w:rtl/>
        </w:rPr>
        <w:t>ובתוספות</w:t>
      </w:r>
      <w:bookmarkEnd w:id="5692"/>
      <w:bookmarkEnd w:id="5693"/>
    </w:p>
    <w:p w14:paraId="5095321D" w14:textId="77777777" w:rsidR="003E1AA3" w:rsidRPr="00FC269C" w:rsidRDefault="003E1AA3" w:rsidP="003E1AA3">
      <w:pPr>
        <w:pStyle w:val="afffff7"/>
        <w:rPr>
          <w:rtl/>
        </w:rPr>
      </w:pPr>
      <w:bookmarkStart w:id="5694" w:name="_Toc145234056"/>
      <w:bookmarkStart w:id="5695" w:name="_Toc163506314"/>
      <w:r w:rsidRPr="00FC269C">
        <w:rPr>
          <w:rtl/>
        </w:rPr>
        <w:t>חדושי הר"ן עירובין ל"ד ע"ב</w:t>
      </w:r>
      <w:r w:rsidRPr="00FC269C">
        <w:rPr>
          <w:rFonts w:hint="cs"/>
          <w:rtl/>
        </w:rPr>
        <w:t xml:space="preserve"> ד"ה הכא</w:t>
      </w:r>
      <w:bookmarkEnd w:id="5694"/>
      <w:bookmarkEnd w:id="5695"/>
    </w:p>
    <w:p w14:paraId="06B07075" w14:textId="77777777" w:rsidR="003E1AA3" w:rsidRDefault="003E1AA3" w:rsidP="003E1AA3">
      <w:pPr>
        <w:pStyle w:val="a7"/>
        <w:rPr>
          <w:rtl/>
        </w:rPr>
      </w:pPr>
      <w:bookmarkStart w:id="5696" w:name="_Toc145233961"/>
      <w:r>
        <w:rPr>
          <w:rFonts w:hint="cs"/>
          <w:rtl/>
        </w:rPr>
        <w:t>קו' התוס' דאמאי שובר חבית לאכול גרוגרות דאין סתירה בכלים ומ"ש ממגדל דאסור לסותרו</w:t>
      </w:r>
      <w:bookmarkEnd w:id="5690"/>
      <w:bookmarkEnd w:id="5696"/>
    </w:p>
    <w:p w14:paraId="39D6FDE3" w14:textId="1457CE2A" w:rsidR="003E1AA3" w:rsidRDefault="003E1AA3" w:rsidP="00BC7DC8">
      <w:pPr>
        <w:pStyle w:val="a3"/>
        <w:rPr>
          <w:rtl/>
        </w:rPr>
      </w:pPr>
      <w:bookmarkStart w:id="5697" w:name="_Ref144652408"/>
      <w:r>
        <w:rPr>
          <w:rFonts w:hint="cs"/>
          <w:rtl/>
        </w:rPr>
        <w:lastRenderedPageBreak/>
        <w:t>בהא דתנן לקמן</w:t>
      </w:r>
      <w:r>
        <w:rPr>
          <w:rtl/>
        </w:rPr>
        <w:t xml:space="preserve"> </w:t>
      </w:r>
      <w:r w:rsidRPr="00677FA0">
        <w:rPr>
          <w:rFonts w:ascii="Calibri" w:eastAsia="Times New Roman" w:hAnsi="Calibri" w:cs="Guttman Rashi"/>
          <w:noProof w:val="0"/>
          <w:sz w:val="10"/>
          <w:szCs w:val="12"/>
          <w:rtl/>
        </w:rPr>
        <w:t>(</w:t>
      </w:r>
      <w:r w:rsidRPr="00677FA0">
        <w:rPr>
          <w:rFonts w:ascii="Calibri" w:eastAsia="Times New Roman" w:hAnsi="Calibri" w:cs="Guttman Rashi" w:hint="cs"/>
          <w:noProof w:val="0"/>
          <w:sz w:val="10"/>
          <w:szCs w:val="12"/>
          <w:rtl/>
        </w:rPr>
        <w:t>קמו.</w:t>
      </w:r>
      <w:r w:rsidRPr="00677FA0">
        <w:rPr>
          <w:rFonts w:ascii="Calibri" w:eastAsia="Times New Roman" w:hAnsi="Calibri" w:cs="Guttman Rashi"/>
          <w:noProof w:val="0"/>
          <w:sz w:val="10"/>
          <w:szCs w:val="12"/>
          <w:rtl/>
        </w:rPr>
        <w:t>)</w:t>
      </w:r>
      <w:r>
        <w:rPr>
          <w:rtl/>
        </w:rPr>
        <w:t xml:space="preserve"> </w:t>
      </w:r>
      <w:r>
        <w:rPr>
          <w:rFonts w:hint="cs"/>
          <w:rtl/>
        </w:rPr>
        <w:t>דשובר חבית בשבת לאכול ממנה גרוגרות, הקשו</w:t>
      </w:r>
      <w:r>
        <w:rPr>
          <w:rtl/>
        </w:rPr>
        <w:t xml:space="preserve"> </w:t>
      </w:r>
      <w:r w:rsidRPr="00677FA0">
        <w:rPr>
          <w:b/>
          <w:bCs/>
          <w:rtl/>
        </w:rPr>
        <w:t>ה</w:t>
      </w:r>
      <w:r w:rsidRPr="00677FA0">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Ref144652408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ס)</w:t>
      </w:r>
      <w:r>
        <w:rPr>
          <w:b/>
          <w:bCs/>
          <w:vanish/>
          <w:rtl/>
        </w:rPr>
        <w:fldChar w:fldCharType="end"/>
      </w:r>
      <w:r w:rsidRPr="00677FA0">
        <w:rPr>
          <w:b/>
          <w:bCs/>
          <w:vanish/>
          <w:rtl/>
        </w:rPr>
        <w:t xml:space="preserve"> &gt;</w:t>
      </w:r>
      <w:r w:rsidRPr="00677FA0">
        <w:rPr>
          <w:rFonts w:hint="cs"/>
          <w:b/>
          <w:bCs/>
          <w:rtl/>
        </w:rPr>
        <w:t>תוס' לקמן</w:t>
      </w:r>
      <w:r w:rsidRPr="00677FA0">
        <w:rPr>
          <w:b/>
          <w:bCs/>
          <w:rtl/>
        </w:rPr>
        <w:t xml:space="preserve"> </w:t>
      </w:r>
      <w:r w:rsidRPr="00677FA0">
        <w:rPr>
          <w:rFonts w:ascii="Calibri" w:eastAsia="Times New Roman" w:hAnsi="Calibri" w:cs="Guttman Rashi"/>
          <w:noProof w:val="0"/>
          <w:sz w:val="10"/>
          <w:szCs w:val="12"/>
          <w:rtl/>
        </w:rPr>
        <w:t>(</w:t>
      </w:r>
      <w:r w:rsidRPr="00677FA0">
        <w:rPr>
          <w:rFonts w:ascii="Calibri" w:eastAsia="Times New Roman" w:hAnsi="Calibri" w:cs="Guttman Rashi" w:hint="cs"/>
          <w:noProof w:val="0"/>
          <w:sz w:val="10"/>
          <w:szCs w:val="12"/>
          <w:rtl/>
        </w:rPr>
        <w:t>קמו. ד"ה שובר</w:t>
      </w:r>
      <w:r w:rsidRPr="00677FA0">
        <w:rPr>
          <w:rFonts w:ascii="Calibri" w:eastAsia="Times New Roman" w:hAnsi="Calibri" w:cs="Guttman Rashi"/>
          <w:noProof w:val="0"/>
          <w:sz w:val="10"/>
          <w:szCs w:val="12"/>
          <w:rtl/>
        </w:rPr>
        <w:t>)</w:t>
      </w:r>
      <w:r w:rsidRPr="00677FA0">
        <w:rPr>
          <w:vanish/>
          <w:rtl/>
        </w:rPr>
        <w:t>=</w:t>
      </w:r>
      <w:r>
        <w:rPr>
          <w:rtl/>
        </w:rPr>
        <w:t xml:space="preserve"> </w:t>
      </w:r>
      <w:r>
        <w:rPr>
          <w:rFonts w:hint="cs"/>
          <w:b/>
          <w:bCs/>
          <w:rtl/>
        </w:rPr>
        <w:t>וה</w:t>
      </w:r>
      <w:r w:rsidRPr="00935E54">
        <w:rPr>
          <w:b/>
          <w:bCs/>
          <w:vanish/>
          <w:rtl/>
        </w:rPr>
        <w:t>&lt; &gt;</w:t>
      </w:r>
      <w:r>
        <w:rPr>
          <w:rFonts w:hint="cs"/>
          <w:b/>
          <w:bCs/>
          <w:rtl/>
        </w:rPr>
        <w:t>תוס' בעירובין</w:t>
      </w:r>
      <w:r w:rsidRPr="00935E54">
        <w:rPr>
          <w:b/>
          <w:bCs/>
          <w:rtl/>
        </w:rPr>
        <w:t xml:space="preserve"> </w:t>
      </w:r>
      <w:r w:rsidRPr="00935E54">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לד: ד"ה ואמאי</w:t>
      </w:r>
      <w:r w:rsidRPr="00935E54">
        <w:rPr>
          <w:rFonts w:ascii="Calibri" w:eastAsia="Times New Roman" w:hAnsi="Calibri" w:cs="Guttman Rashi"/>
          <w:noProof w:val="0"/>
          <w:sz w:val="10"/>
          <w:szCs w:val="12"/>
          <w:rtl/>
        </w:rPr>
        <w:t>)</w:t>
      </w:r>
      <w:r w:rsidRPr="00935E54">
        <w:rPr>
          <w:vanish/>
          <w:rtl/>
        </w:rPr>
        <w:t>=</w:t>
      </w:r>
      <w:r>
        <w:rPr>
          <w:rtl/>
        </w:rPr>
        <w:t xml:space="preserve"> </w:t>
      </w:r>
      <w:r>
        <w:rPr>
          <w:rFonts w:hint="cs"/>
          <w:b/>
          <w:bCs/>
          <w:rtl/>
        </w:rPr>
        <w:t>וה</w:t>
      </w:r>
      <w:r w:rsidRPr="00935E54">
        <w:rPr>
          <w:b/>
          <w:bCs/>
          <w:vanish/>
          <w:rtl/>
        </w:rPr>
        <w:t>&lt; &gt;</w:t>
      </w:r>
      <w:r>
        <w:rPr>
          <w:rFonts w:hint="cs"/>
          <w:b/>
          <w:bCs/>
          <w:rtl/>
        </w:rPr>
        <w:t>ריטב"א לקמן</w:t>
      </w:r>
      <w:r w:rsidRPr="00935E54">
        <w:rPr>
          <w:b/>
          <w:bCs/>
          <w:rtl/>
        </w:rPr>
        <w:t xml:space="preserve"> </w:t>
      </w:r>
      <w:r w:rsidRPr="00935E54">
        <w:rPr>
          <w:rFonts w:ascii="Calibri" w:eastAsia="Times New Roman" w:hAnsi="Calibri" w:cs="Guttman Rashi"/>
          <w:noProof w:val="0"/>
          <w:sz w:val="10"/>
          <w:szCs w:val="12"/>
          <w:rtl/>
        </w:rPr>
        <w:t>(</w:t>
      </w:r>
      <w:r w:rsidRPr="00677FA0">
        <w:rPr>
          <w:rFonts w:ascii="Calibri" w:eastAsia="Times New Roman" w:hAnsi="Calibri" w:cs="Guttman Rashi" w:hint="cs"/>
          <w:noProof w:val="0"/>
          <w:sz w:val="10"/>
          <w:szCs w:val="12"/>
          <w:rtl/>
        </w:rPr>
        <w:t xml:space="preserve">קמו. </w:t>
      </w:r>
      <w:r>
        <w:rPr>
          <w:rFonts w:ascii="Calibri" w:eastAsia="Times New Roman" w:hAnsi="Calibri" w:cs="Guttman Rashi" w:hint="cs"/>
          <w:noProof w:val="0"/>
          <w:sz w:val="10"/>
          <w:szCs w:val="12"/>
          <w:rtl/>
        </w:rPr>
        <w:t>ד"ה ובתוספות</w:t>
      </w:r>
      <w:r w:rsidRPr="00935E54">
        <w:rPr>
          <w:rFonts w:ascii="Calibri" w:eastAsia="Times New Roman" w:hAnsi="Calibri" w:cs="Guttman Rashi"/>
          <w:noProof w:val="0"/>
          <w:sz w:val="10"/>
          <w:szCs w:val="12"/>
          <w:rtl/>
        </w:rPr>
        <w:t>)</w:t>
      </w:r>
      <w:r w:rsidRPr="00935E54">
        <w:rPr>
          <w:vanish/>
          <w:rtl/>
        </w:rPr>
        <w:t>=</w:t>
      </w:r>
      <w:r>
        <w:rPr>
          <w:rtl/>
        </w:rPr>
        <w:t xml:space="preserve"> </w:t>
      </w:r>
      <w:r>
        <w:rPr>
          <w:rFonts w:hint="cs"/>
          <w:b/>
          <w:bCs/>
          <w:rtl/>
        </w:rPr>
        <w:t>וה</w:t>
      </w:r>
      <w:r w:rsidRPr="00935E54">
        <w:rPr>
          <w:b/>
          <w:bCs/>
          <w:vanish/>
          <w:rtl/>
        </w:rPr>
        <w:t>&lt; &gt;</w:t>
      </w:r>
      <w:r>
        <w:rPr>
          <w:rFonts w:hint="cs"/>
          <w:b/>
          <w:bCs/>
          <w:rtl/>
        </w:rPr>
        <w:t>רשב"א לקמן</w:t>
      </w:r>
      <w:r w:rsidRPr="00935E54">
        <w:rPr>
          <w:b/>
          <w:bCs/>
          <w:rtl/>
        </w:rPr>
        <w:t xml:space="preserve"> </w:t>
      </w:r>
      <w:r w:rsidRPr="00935E54">
        <w:rPr>
          <w:rFonts w:ascii="Calibri" w:eastAsia="Times New Roman" w:hAnsi="Calibri" w:cs="Guttman Rashi"/>
          <w:noProof w:val="0"/>
          <w:sz w:val="10"/>
          <w:szCs w:val="12"/>
          <w:rtl/>
        </w:rPr>
        <w:t>(</w:t>
      </w:r>
      <w:r w:rsidRPr="00677FA0">
        <w:rPr>
          <w:rFonts w:ascii="Calibri" w:eastAsia="Times New Roman" w:hAnsi="Calibri" w:cs="Guttman Rashi" w:hint="cs"/>
          <w:noProof w:val="0"/>
          <w:sz w:val="10"/>
          <w:szCs w:val="12"/>
          <w:rtl/>
        </w:rPr>
        <w:t xml:space="preserve">קמו. </w:t>
      </w:r>
      <w:r>
        <w:rPr>
          <w:rFonts w:ascii="Calibri" w:eastAsia="Times New Roman" w:hAnsi="Calibri" w:cs="Guttman Rashi" w:hint="cs"/>
          <w:noProof w:val="0"/>
          <w:sz w:val="10"/>
          <w:szCs w:val="12"/>
          <w:rtl/>
        </w:rPr>
        <w:t>ד"ה ובתוספות</w:t>
      </w:r>
      <w:r w:rsidRPr="00935E54">
        <w:rPr>
          <w:rFonts w:ascii="Calibri" w:eastAsia="Times New Roman" w:hAnsi="Calibri" w:cs="Guttman Rashi"/>
          <w:noProof w:val="0"/>
          <w:sz w:val="10"/>
          <w:szCs w:val="12"/>
          <w:rtl/>
        </w:rPr>
        <w:t>)</w:t>
      </w:r>
      <w:r w:rsidRPr="00935E54">
        <w:rPr>
          <w:vanish/>
          <w:rtl/>
        </w:rPr>
        <w:t>=</w:t>
      </w:r>
      <w:r>
        <w:rPr>
          <w:rtl/>
        </w:rPr>
        <w:t xml:space="preserve"> </w:t>
      </w:r>
      <w:r>
        <w:rPr>
          <w:rStyle w:val="aff4"/>
          <w:rFonts w:hint="cs"/>
          <w:rtl/>
        </w:rPr>
        <w:t>ו</w:t>
      </w:r>
      <w:r w:rsidRPr="00904958">
        <w:rPr>
          <w:rStyle w:val="aff4"/>
          <w:rFonts w:hint="cs"/>
          <w:rtl/>
        </w:rPr>
        <w:t>ה</w:t>
      </w:r>
      <w:r w:rsidRPr="00AC72FB">
        <w:rPr>
          <w:vanish/>
          <w:rtl/>
        </w:rPr>
        <w:t>&lt; &gt;</w:t>
      </w:r>
      <w:r w:rsidRPr="00904958">
        <w:rPr>
          <w:rStyle w:val="aff4"/>
          <w:rFonts w:hint="cs"/>
          <w:rtl/>
        </w:rPr>
        <w:t>ר"ן בעירובין</w:t>
      </w:r>
      <w:r w:rsidRPr="009568DC">
        <w:rPr>
          <w:rtl/>
        </w:rPr>
        <w:t xml:space="preserve"> </w:t>
      </w:r>
      <w:r w:rsidRPr="00AC72FB">
        <w:rPr>
          <w:rFonts w:ascii="Calibri" w:eastAsia="Times New Roman" w:hAnsi="Calibri" w:cs="Guttman Rashi"/>
          <w:noProof w:val="0"/>
          <w:sz w:val="10"/>
          <w:szCs w:val="12"/>
          <w:rtl/>
        </w:rPr>
        <w:t>(</w:t>
      </w:r>
      <w:r w:rsidRPr="00AC72FB">
        <w:rPr>
          <w:rFonts w:ascii="Calibri" w:eastAsia="Times New Roman" w:hAnsi="Calibri" w:cs="Guttman Rashi" w:hint="cs"/>
          <w:noProof w:val="0"/>
          <w:sz w:val="10"/>
          <w:szCs w:val="12"/>
          <w:rtl/>
        </w:rPr>
        <w:t>לד: ד"ה הכא</w:t>
      </w:r>
      <w:r w:rsidRPr="00AC72FB">
        <w:rPr>
          <w:rFonts w:ascii="Calibri" w:eastAsia="Times New Roman" w:hAnsi="Calibri" w:cs="Guttman Rashi"/>
          <w:noProof w:val="0"/>
          <w:sz w:val="10"/>
          <w:szCs w:val="12"/>
          <w:rtl/>
        </w:rPr>
        <w:t>)</w:t>
      </w:r>
      <w:r w:rsidRPr="00AC72FB">
        <w:rPr>
          <w:vanish/>
          <w:rtl/>
        </w:rPr>
        <w:t>=</w:t>
      </w:r>
      <w:r>
        <w:rPr>
          <w:rFonts w:hint="cs"/>
          <w:rtl/>
        </w:rPr>
        <w:t xml:space="preserve"> דהא מבואר בגמ' בעירובין</w:t>
      </w:r>
      <w:r>
        <w:rPr>
          <w:rtl/>
        </w:rPr>
        <w:t xml:space="preserve"> </w:t>
      </w:r>
      <w:r w:rsidRPr="00677FA0">
        <w:rPr>
          <w:rFonts w:ascii="Calibri" w:eastAsia="Times New Roman" w:hAnsi="Calibri" w:cs="Guttman Rashi"/>
          <w:noProof w:val="0"/>
          <w:sz w:val="10"/>
          <w:szCs w:val="12"/>
          <w:rtl/>
        </w:rPr>
        <w:t>(</w:t>
      </w:r>
      <w:r w:rsidRPr="00677FA0">
        <w:rPr>
          <w:rFonts w:ascii="Calibri" w:eastAsia="Times New Roman" w:hAnsi="Calibri" w:cs="Guttman Rashi" w:hint="cs"/>
          <w:noProof w:val="0"/>
          <w:sz w:val="10"/>
          <w:szCs w:val="12"/>
          <w:rtl/>
        </w:rPr>
        <w:t>לד:</w:t>
      </w:r>
      <w:r w:rsidRPr="00677FA0">
        <w:rPr>
          <w:rFonts w:ascii="Calibri" w:eastAsia="Times New Roman" w:hAnsi="Calibri" w:cs="Guttman Rashi"/>
          <w:noProof w:val="0"/>
          <w:sz w:val="10"/>
          <w:szCs w:val="12"/>
          <w:rtl/>
        </w:rPr>
        <w:t>)</w:t>
      </w:r>
      <w:r>
        <w:rPr>
          <w:rtl/>
        </w:rPr>
        <w:t xml:space="preserve"> </w:t>
      </w:r>
      <w:r>
        <w:rPr>
          <w:rFonts w:hint="cs"/>
          <w:rtl/>
        </w:rPr>
        <w:t>דהנותן עירוב במגדל של עץ ואבד המפתח, דאסור לשבור את המגדל, ומ"ש מחבית דמותר לשוברה, ואמרינן דאין בנין וסתירה בכלים.</w:t>
      </w:r>
    </w:p>
    <w:p w14:paraId="07D6CEF3" w14:textId="77777777" w:rsidR="003E1AA3" w:rsidRPr="00BC7DC8" w:rsidRDefault="003E1AA3" w:rsidP="003E1AA3">
      <w:pPr>
        <w:pStyle w:val="afffffe"/>
        <w:rPr>
          <w:vanish/>
          <w:rtl/>
        </w:rPr>
      </w:pPr>
      <w:r w:rsidRPr="00BC7DC8">
        <w:rPr>
          <w:vanish/>
          <w:rtl/>
        </w:rPr>
        <w:t>תוספות שבת קמ"ו ע"א</w:t>
      </w:r>
      <w:r w:rsidRPr="00BC7DC8">
        <w:rPr>
          <w:rFonts w:hint="cs"/>
          <w:vanish/>
          <w:rtl/>
        </w:rPr>
        <w:t xml:space="preserve"> ד"ה שובר</w:t>
      </w:r>
    </w:p>
    <w:p w14:paraId="56CDFFD1" w14:textId="77777777" w:rsidR="003E1AA3" w:rsidRPr="00FC2169" w:rsidRDefault="003E1AA3" w:rsidP="003E1AA3">
      <w:pPr>
        <w:pStyle w:val="a2"/>
        <w:tabs>
          <w:tab w:val="num" w:pos="284"/>
        </w:tabs>
        <w:rPr>
          <w:rtl/>
        </w:rPr>
      </w:pPr>
      <w:r w:rsidRPr="0018388A">
        <w:rPr>
          <w:rtl/>
        </w:rPr>
        <w:t>שובר אדם את החבית לאכול הימנה גרוגרות - בגמרא מוקי לה בדרוסות לרבי נחמיה אבל לרבנן דרבי נחמיה שרי אפילו מפורדות ותימה לרבי מהא דתנן בפרק בכל מערבין (עירובין דף לד: ושם) גבי עירוב נתנו במגדל ונועל בפניו ואבד המפתח הרי זה עירוב ופריך בגמרא אמאי הוא במקום אחד ועירובו במקום אחר הוא ומשני רב ושמואל דאמרי תרווייהו הכא במגדל של בנין עסקינן ור"מ היא כו' ואמאי מבעי ליה לאוקמא הכי ומעיקרא נמי מאי קאמר והלא יכול לשבר ולפתוח את המגדל וליטול את העירוב כי היכי דהכא שרי לשבר החבית וליטול הגרוגרות ואם באת לחלק בין נטילת העירוב לנטילת הגרוגרות א"כ קשה היכי מוקי לה התם כר' מאיר</w:t>
      </w:r>
      <w:r>
        <w:rPr>
          <w:rFonts w:hint="cs"/>
          <w:rtl/>
        </w:rPr>
        <w:t>.</w:t>
      </w:r>
    </w:p>
    <w:p w14:paraId="37DBCFF7" w14:textId="77777777" w:rsidR="003E1AA3" w:rsidRPr="00BC7DC8" w:rsidRDefault="003E1AA3" w:rsidP="003E1AA3">
      <w:pPr>
        <w:pStyle w:val="afffffe"/>
        <w:rPr>
          <w:vanish/>
          <w:rtl/>
        </w:rPr>
      </w:pPr>
      <w:r w:rsidRPr="00BC7DC8">
        <w:rPr>
          <w:vanish/>
          <w:rtl/>
        </w:rPr>
        <w:t>תוספות עירובין ל"ד ע"ב</w:t>
      </w:r>
      <w:r w:rsidRPr="00BC7DC8">
        <w:rPr>
          <w:rFonts w:hint="cs"/>
          <w:vanish/>
          <w:rtl/>
        </w:rPr>
        <w:t xml:space="preserve"> ד"ה ואמאי</w:t>
      </w:r>
    </w:p>
    <w:p w14:paraId="06C604CF" w14:textId="77777777" w:rsidR="003E1AA3" w:rsidRDefault="003E1AA3" w:rsidP="003E1AA3">
      <w:pPr>
        <w:pStyle w:val="afffff5"/>
        <w:rPr>
          <w:rtl/>
        </w:rPr>
      </w:pPr>
      <w:r w:rsidRPr="002E340A">
        <w:rPr>
          <w:rtl/>
        </w:rPr>
        <w:t>ואמאי הוא במקום אחד ועירובו במקום אחר - וא"ת והא השתא ס"ד דבמגדל עץ איירי דהוי כלי מדקא משני הכא במגדל של לבנים עסקינן ועוד דסתם מגדל שבהש"ס של עץ וא"כ מאי פריך הרי מותר לשבר את הכלי וליטול מה שבתוכו כדתנן בפ' חבית (שבת דף קמו.) שובר אדם את החבית ליטול ממנה גרוגרות וטעמא כדאמר בסמוך משום דאין בנין וסתירה בכלים</w:t>
      </w:r>
      <w:r>
        <w:rPr>
          <w:rFonts w:hint="cs"/>
          <w:rtl/>
        </w:rPr>
        <w:t>.</w:t>
      </w:r>
    </w:p>
    <w:p w14:paraId="75B33703" w14:textId="77777777" w:rsidR="003E1AA3" w:rsidRPr="00BC7DC8" w:rsidRDefault="003E1AA3" w:rsidP="003E1AA3">
      <w:pPr>
        <w:pStyle w:val="afffffe"/>
        <w:rPr>
          <w:vanish/>
          <w:rtl/>
        </w:rPr>
      </w:pPr>
      <w:r w:rsidRPr="00BC7DC8">
        <w:rPr>
          <w:vanish/>
          <w:rtl/>
        </w:rPr>
        <w:t>חדושי הרשב"א שבת קמ"ו ע"א</w:t>
      </w:r>
      <w:r w:rsidRPr="00BC7DC8">
        <w:rPr>
          <w:rFonts w:hint="cs"/>
          <w:vanish/>
          <w:rtl/>
        </w:rPr>
        <w:t xml:space="preserve"> ד"ה </w:t>
      </w:r>
      <w:r w:rsidRPr="00BC7DC8">
        <w:rPr>
          <w:vanish/>
          <w:rtl/>
        </w:rPr>
        <w:t>ובתוספות</w:t>
      </w:r>
    </w:p>
    <w:p w14:paraId="775268AB" w14:textId="77777777" w:rsidR="003E1AA3" w:rsidRDefault="003E1AA3" w:rsidP="003E1AA3">
      <w:pPr>
        <w:pStyle w:val="afffff5"/>
        <w:rPr>
          <w:rtl/>
        </w:rPr>
      </w:pPr>
      <w:r>
        <w:rPr>
          <w:rtl/>
        </w:rPr>
        <w:t>ובתוספות הקשו על משנתינו דהכא מההיא דתנן בעירובין בפרק בכל מערבין (ל"ד ב') נתנו במגדל ואבד המפתח עירובו עירוב רבי אליעזר אומר אם אין ידוע שהמפתח במקומו אין עירובו עירוב, ואוקימנא פלוגתייהו במגדל של עץ דקטיר במתנא ובעי סכינא למיפסקיה, ורבנן סברי כל הכלים ניטלין בשבת לצורך גופן ורבי אליעזר סבר כר' נחמיה דאמר אין כלי ניטל אלא לצורך תשמישו ואפילו טלית ואפילו תרוד, הא לאו הכי אפילו רבנן מודו דאין עירובו עירוב דהוא במקום אחד ועירובו במקום אחר, ולא שרי לשבור את המגדל</w:t>
      </w:r>
      <w:r>
        <w:rPr>
          <w:rFonts w:hint="cs"/>
          <w:rtl/>
        </w:rPr>
        <w:t>.</w:t>
      </w:r>
    </w:p>
    <w:p w14:paraId="2F866E9E" w14:textId="77777777" w:rsidR="003E1AA3" w:rsidRPr="00BC7DC8" w:rsidRDefault="003E1AA3" w:rsidP="003E1AA3">
      <w:pPr>
        <w:pStyle w:val="afffffe"/>
        <w:rPr>
          <w:vanish/>
          <w:rtl/>
        </w:rPr>
      </w:pPr>
      <w:r w:rsidRPr="00BC7DC8">
        <w:rPr>
          <w:vanish/>
          <w:rtl/>
        </w:rPr>
        <w:t>חדושי הריטב"א שבת קמ"ו ע"א</w:t>
      </w:r>
      <w:r w:rsidRPr="00BC7DC8">
        <w:rPr>
          <w:rFonts w:hint="cs"/>
          <w:vanish/>
          <w:rtl/>
        </w:rPr>
        <w:t xml:space="preserve"> ד"ה </w:t>
      </w:r>
      <w:r w:rsidRPr="00BC7DC8">
        <w:rPr>
          <w:vanish/>
          <w:rtl/>
        </w:rPr>
        <w:t>ובתוספות</w:t>
      </w:r>
    </w:p>
    <w:p w14:paraId="534E7F09" w14:textId="77777777" w:rsidR="003E1AA3" w:rsidRPr="002E340A" w:rsidRDefault="003E1AA3" w:rsidP="003E1AA3">
      <w:pPr>
        <w:pStyle w:val="afffff5"/>
        <w:rPr>
          <w:rtl/>
        </w:rPr>
      </w:pPr>
      <w:r>
        <w:rPr>
          <w:rtl/>
        </w:rPr>
        <w:t>והביא ראיה לפירוש זה דהא במסכת עירובין פרק בכל מערבין (ל"ד ב') קתני נתנו במגדל ואבד המפתח עירובו עירוב ורבי אלעזר אומר אם אין ידוע שהמפתח במקומו אין עירובו עירוב, ואוקימנא פלוגתייהו במגדל של עץ דקטיר במתנא ובעי סכינא למפסקיה, ורבנן סברי כל הכלים ניטלים בשבת לצורך גופם, ורבי אלעזר סבר כרבי נחמיה שאין כלי ניטל אלא לצורך תשמישו, הא לאו הכי אפילו רבנן מודו דאין עירובו עירוב דהוה ליה הוא במקום אחד ועירובו במקום אחר דלא שרינן לשבור את הדלת לצורך העירוב, ואמאי דהא הכא שרינן לשבור את החבית כדי להוציא ממנה גרוגרות</w:t>
      </w:r>
      <w:r w:rsidRPr="002E340A">
        <w:rPr>
          <w:rFonts w:hint="cs"/>
          <w:rtl/>
        </w:rPr>
        <w:t>.</w:t>
      </w:r>
    </w:p>
    <w:p w14:paraId="056C5BBB" w14:textId="77777777" w:rsidR="003E1AA3" w:rsidRPr="00BC7DC8" w:rsidRDefault="003E1AA3" w:rsidP="003E1AA3">
      <w:pPr>
        <w:pStyle w:val="afffffe"/>
        <w:rPr>
          <w:vanish/>
          <w:rtl/>
        </w:rPr>
      </w:pPr>
      <w:bookmarkStart w:id="5698" w:name="_Toc145019587"/>
      <w:r w:rsidRPr="00BC7DC8">
        <w:rPr>
          <w:vanish/>
          <w:rtl/>
        </w:rPr>
        <w:t>חדושי הר"ן עירובין ל"ד ע"ב</w:t>
      </w:r>
      <w:r w:rsidRPr="00BC7DC8">
        <w:rPr>
          <w:rFonts w:hint="cs"/>
          <w:vanish/>
          <w:rtl/>
        </w:rPr>
        <w:t xml:space="preserve"> ד"ה הכא</w:t>
      </w:r>
    </w:p>
    <w:p w14:paraId="2907D825" w14:textId="77777777" w:rsidR="003E1AA3" w:rsidRPr="002E340A" w:rsidRDefault="003E1AA3" w:rsidP="003E1AA3">
      <w:pPr>
        <w:pStyle w:val="afffff5"/>
        <w:rPr>
          <w:rtl/>
        </w:rPr>
      </w:pPr>
      <w:r w:rsidRPr="002E340A">
        <w:rPr>
          <w:rtl/>
        </w:rPr>
        <w:t>גמ'. הכא במגדל של בנין עסיקינן. וא"ת אדרבה אי הוי מגדל של עץ ניחא טפי דהא קיימא לן דאין בנין בכלים ואין סתירה בכלים, וכדתנן שובר אדם את החבית לאכל ממנה גרוגרות; י"ל דהאי מגדל כלי גדול הוא, ולא אמרו שובר אלא בכלים קטנים כחבית וכיוצא בה שאדם רגיל ליחדן לפירות אבל בכלים גדולים לא.</w:t>
      </w:r>
    </w:p>
    <w:p w14:paraId="2CFBDAA9" w14:textId="77777777" w:rsidR="003E1AA3" w:rsidRPr="00FC269C" w:rsidRDefault="003E1AA3" w:rsidP="003E1AA3">
      <w:pPr>
        <w:pStyle w:val="afffff7"/>
        <w:rPr>
          <w:rtl/>
        </w:rPr>
      </w:pPr>
      <w:bookmarkStart w:id="5699" w:name="_Toc145234057"/>
      <w:bookmarkStart w:id="5700" w:name="_Toc163506315"/>
      <w:bookmarkEnd w:id="5697"/>
      <w:bookmarkEnd w:id="5698"/>
      <w:r w:rsidRPr="00FC269C">
        <w:rPr>
          <w:rtl/>
        </w:rPr>
        <w:t>חדושי הרשב"א שבת קמ"ו ע"א</w:t>
      </w:r>
      <w:r w:rsidRPr="00FC269C">
        <w:rPr>
          <w:rFonts w:hint="cs"/>
          <w:rtl/>
        </w:rPr>
        <w:t xml:space="preserve"> ד"ה ואף</w:t>
      </w:r>
      <w:bookmarkEnd w:id="5699"/>
      <w:bookmarkEnd w:id="5700"/>
    </w:p>
    <w:p w14:paraId="5500495B" w14:textId="77777777" w:rsidR="003E1AA3" w:rsidRPr="00FC2169" w:rsidRDefault="003E1AA3" w:rsidP="003E1AA3">
      <w:pPr>
        <w:pStyle w:val="afffff7"/>
        <w:rPr>
          <w:rtl/>
        </w:rPr>
      </w:pPr>
      <w:bookmarkStart w:id="5701" w:name="_Toc145234058"/>
      <w:bookmarkStart w:id="5702" w:name="_Toc163506316"/>
      <w:r w:rsidRPr="00FC2169">
        <w:rPr>
          <w:rtl/>
        </w:rPr>
        <w:t>חדושי הריטב"א עירובין ל"ה ע"א</w:t>
      </w:r>
      <w:r w:rsidRPr="00FC2169">
        <w:rPr>
          <w:rFonts w:hint="cs"/>
          <w:rtl/>
        </w:rPr>
        <w:t xml:space="preserve"> ד"ה ואיכא</w:t>
      </w:r>
      <w:bookmarkEnd w:id="5701"/>
      <w:bookmarkEnd w:id="5702"/>
    </w:p>
    <w:p w14:paraId="070AF83C" w14:textId="77777777" w:rsidR="003E1AA3" w:rsidRPr="00FC269C" w:rsidRDefault="003E1AA3" w:rsidP="003E1AA3">
      <w:pPr>
        <w:pStyle w:val="afffff7"/>
        <w:rPr>
          <w:rtl/>
        </w:rPr>
      </w:pPr>
      <w:bookmarkStart w:id="5703" w:name="_Toc145234059"/>
      <w:bookmarkStart w:id="5704" w:name="_Toc163506317"/>
      <w:r w:rsidRPr="00FC269C">
        <w:rPr>
          <w:rtl/>
        </w:rPr>
        <w:t>חדושי הר"ן שבת קמ"ו ע"א</w:t>
      </w:r>
      <w:r w:rsidRPr="00FC269C">
        <w:rPr>
          <w:rFonts w:hint="cs"/>
          <w:rtl/>
        </w:rPr>
        <w:t xml:space="preserve"> ד"ה שובר</w:t>
      </w:r>
      <w:bookmarkEnd w:id="5703"/>
      <w:bookmarkEnd w:id="5704"/>
    </w:p>
    <w:p w14:paraId="4AE1D6E9" w14:textId="77777777" w:rsidR="003E1AA3" w:rsidRDefault="003E1AA3" w:rsidP="003E1AA3">
      <w:pPr>
        <w:pStyle w:val="a7"/>
        <w:rPr>
          <w:rtl/>
        </w:rPr>
      </w:pPr>
      <w:bookmarkStart w:id="5705" w:name="_Toc145019588"/>
      <w:bookmarkStart w:id="5706" w:name="_Toc145233962"/>
      <w:r>
        <w:rPr>
          <w:rFonts w:hint="cs"/>
          <w:rtl/>
        </w:rPr>
        <w:t>התי' הא' בתוס' בעירובין וברשב"א ובריטב"א ובר"ן דבמגדל גדול יש סתירה ובכלי קטן אין</w:t>
      </w:r>
      <w:bookmarkEnd w:id="5705"/>
      <w:bookmarkEnd w:id="5706"/>
    </w:p>
    <w:p w14:paraId="54FE7C90" w14:textId="6025932E" w:rsidR="003E1AA3" w:rsidRDefault="003E1AA3" w:rsidP="00BC7DC8">
      <w:pPr>
        <w:pStyle w:val="a3"/>
        <w:rPr>
          <w:rtl/>
        </w:rPr>
      </w:pPr>
      <w:bookmarkStart w:id="5707" w:name="_Ref145187348"/>
      <w:bookmarkStart w:id="5708" w:name="_Ref144930166"/>
      <w:r>
        <w:rPr>
          <w:rFonts w:hint="cs"/>
          <w:rtl/>
        </w:rPr>
        <w:t>ותירצו</w:t>
      </w:r>
      <w:r>
        <w:rPr>
          <w:rtl/>
        </w:rPr>
        <w:t xml:space="preserve"> </w:t>
      </w:r>
      <w:r w:rsidRPr="00AC72FB">
        <w:rPr>
          <w:rFonts w:hint="cs"/>
          <w:b/>
          <w:bCs/>
          <w:rtl/>
        </w:rPr>
        <w:t>התוס' בעירובין בתי' הא'</w:t>
      </w:r>
      <w:r w:rsidRPr="003C4F59">
        <w:rPr>
          <w:rFonts w:hint="cs"/>
          <w:rtl/>
        </w:rPr>
        <w:t xml:space="preserve"> ד</w:t>
      </w:r>
      <w:r>
        <w:rPr>
          <w:rFonts w:hint="cs"/>
          <w:rtl/>
        </w:rPr>
        <w:t xml:space="preserve">הגמ' בעירובין הבינה דאיירי במגדל גדול ששייך בו בנין וסתירה, דאי איירי במגדל קטן לא היה חולק ר"א, </w:t>
      </w:r>
      <w:bookmarkStart w:id="5709" w:name="_Ref144928875"/>
      <w:r>
        <w:rPr>
          <w:rFonts w:hint="cs"/>
          <w:rtl/>
        </w:rPr>
        <w:t>וכן ביארו</w:t>
      </w:r>
      <w:r>
        <w:rPr>
          <w:rtl/>
        </w:rPr>
        <w:t xml:space="preserve"> </w:t>
      </w:r>
      <w:r w:rsidRPr="00904958">
        <w:rPr>
          <w:rStyle w:val="aff4"/>
          <w:rFonts w:hint="cs"/>
          <w:rtl/>
        </w:rPr>
        <w:t>ה</w:t>
      </w:r>
      <w:r w:rsidRPr="00AC72FB">
        <w:rPr>
          <w:rStyle w:val="aff4"/>
          <w:rFonts w:hint="cs"/>
          <w:vanish/>
          <w:rtl/>
        </w:rPr>
        <w:t xml:space="preserve">&lt;, </w:t>
      </w:r>
      <w:r w:rsidRPr="00AC72FB">
        <w:rPr>
          <w:rStyle w:val="aff4"/>
          <w:vanish/>
          <w:rtl/>
        </w:rPr>
        <w:fldChar w:fldCharType="begin"/>
      </w:r>
      <w:r w:rsidRPr="00AC72FB">
        <w:rPr>
          <w:rStyle w:val="aff4"/>
          <w:vanish/>
          <w:rtl/>
        </w:rPr>
        <w:instrText xml:space="preserve"> </w:instrText>
      </w:r>
      <w:r w:rsidRPr="00AC72FB">
        <w:rPr>
          <w:rStyle w:val="aff4"/>
          <w:rFonts w:hint="cs"/>
          <w:vanish/>
        </w:rPr>
        <w:instrText>REF</w:instrText>
      </w:r>
      <w:r w:rsidRPr="00AC72FB">
        <w:rPr>
          <w:rStyle w:val="aff4"/>
          <w:rFonts w:hint="cs"/>
          <w:vanish/>
          <w:rtl/>
        </w:rPr>
        <w:instrText xml:space="preserve"> _</w:instrText>
      </w:r>
      <w:r w:rsidRPr="00AC72FB">
        <w:rPr>
          <w:rStyle w:val="aff4"/>
          <w:rFonts w:hint="cs"/>
          <w:vanish/>
        </w:rPr>
        <w:instrText>Ref144930166 \r \h</w:instrText>
      </w:r>
      <w:r w:rsidRPr="00AC72FB">
        <w:rPr>
          <w:rStyle w:val="aff4"/>
          <w:vanish/>
          <w:rtl/>
        </w:rPr>
        <w:instrText xml:space="preserve"> </w:instrText>
      </w:r>
      <w:r>
        <w:rPr>
          <w:rStyle w:val="aff4"/>
          <w:vanish/>
          <w:rtl/>
        </w:rPr>
        <w:instrText xml:space="preserve"> \* </w:instrText>
      </w:r>
      <w:r>
        <w:rPr>
          <w:rStyle w:val="aff4"/>
          <w:vanish/>
        </w:rPr>
        <w:instrText>MERGEFORMAT</w:instrText>
      </w:r>
      <w:r>
        <w:rPr>
          <w:rStyle w:val="aff4"/>
          <w:vanish/>
          <w:rtl/>
        </w:rPr>
        <w:instrText xml:space="preserve"> </w:instrText>
      </w:r>
      <w:r w:rsidRPr="00AC72FB">
        <w:rPr>
          <w:rStyle w:val="aff4"/>
          <w:vanish/>
          <w:rtl/>
        </w:rPr>
      </w:r>
      <w:r w:rsidRPr="00AC72FB">
        <w:rPr>
          <w:rStyle w:val="aff4"/>
          <w:vanish/>
          <w:rtl/>
        </w:rPr>
        <w:fldChar w:fldCharType="separate"/>
      </w:r>
      <w:r w:rsidR="00D82181">
        <w:rPr>
          <w:rStyle w:val="aff4"/>
          <w:vanish/>
          <w:cs/>
        </w:rPr>
        <w:t>‎</w:t>
      </w:r>
      <w:r w:rsidR="00D82181">
        <w:rPr>
          <w:rStyle w:val="aff4"/>
          <w:vanish/>
          <w:rtl/>
        </w:rPr>
        <w:t>סא)</w:t>
      </w:r>
      <w:r w:rsidRPr="00AC72FB">
        <w:rPr>
          <w:rStyle w:val="aff4"/>
          <w:vanish/>
          <w:rtl/>
        </w:rPr>
        <w:fldChar w:fldCharType="end"/>
      </w:r>
      <w:r w:rsidRPr="00AC72FB">
        <w:rPr>
          <w:rStyle w:val="aff4"/>
          <w:rFonts w:hint="cs"/>
          <w:vanish/>
          <w:rtl/>
        </w:rPr>
        <w:t xml:space="preserve"> &gt;</w:t>
      </w:r>
      <w:r w:rsidRPr="00904958">
        <w:rPr>
          <w:rStyle w:val="aff4"/>
          <w:rFonts w:hint="cs"/>
          <w:rtl/>
        </w:rPr>
        <w:t xml:space="preserve">רשב"א לקמן </w:t>
      </w:r>
      <w:r w:rsidRPr="00AC72FB">
        <w:rPr>
          <w:rFonts w:ascii="Calibri" w:eastAsia="Times New Roman" w:hAnsi="Calibri" w:cs="Guttman Rashi"/>
          <w:noProof w:val="0"/>
          <w:sz w:val="10"/>
          <w:szCs w:val="12"/>
          <w:rtl/>
        </w:rPr>
        <w:t>(</w:t>
      </w:r>
      <w:r w:rsidRPr="00AC72FB">
        <w:rPr>
          <w:rFonts w:ascii="Calibri" w:eastAsia="Times New Roman" w:hAnsi="Calibri" w:cs="Guttman Rashi" w:hint="cs"/>
          <w:noProof w:val="0"/>
          <w:sz w:val="10"/>
          <w:szCs w:val="12"/>
          <w:rtl/>
        </w:rPr>
        <w:t>קמו. ד"ה ואף</w:t>
      </w:r>
      <w:r w:rsidRPr="00AC72FB">
        <w:rPr>
          <w:rFonts w:ascii="Calibri" w:eastAsia="Times New Roman" w:hAnsi="Calibri" w:cs="Guttman Rashi"/>
          <w:noProof w:val="0"/>
          <w:sz w:val="10"/>
          <w:szCs w:val="12"/>
          <w:rtl/>
        </w:rPr>
        <w:t>)</w:t>
      </w:r>
      <w:r w:rsidRPr="00AC72FB">
        <w:rPr>
          <w:vanish/>
          <w:rtl/>
        </w:rPr>
        <w:t>=</w:t>
      </w:r>
      <w:r>
        <w:rPr>
          <w:rtl/>
        </w:rPr>
        <w:t xml:space="preserve"> </w:t>
      </w:r>
      <w:r w:rsidRPr="00904958">
        <w:rPr>
          <w:rStyle w:val="aff4"/>
          <w:rFonts w:hint="cs"/>
          <w:rtl/>
        </w:rPr>
        <w:t>ו</w:t>
      </w:r>
      <w:r>
        <w:rPr>
          <w:rStyle w:val="aff4"/>
          <w:rFonts w:hint="cs"/>
          <w:rtl/>
        </w:rPr>
        <w:t>ה</w:t>
      </w:r>
      <w:r w:rsidRPr="00F60ADB">
        <w:rPr>
          <w:rFonts w:hint="cs"/>
          <w:b/>
          <w:bCs/>
          <w:vanish/>
          <w:rtl/>
        </w:rPr>
        <w:t>&lt; &gt;</w:t>
      </w:r>
      <w:r w:rsidRPr="0054340F">
        <w:rPr>
          <w:rFonts w:hint="cs"/>
          <w:b/>
          <w:bCs/>
          <w:rtl/>
        </w:rPr>
        <w:t xml:space="preserve">רשב"א בעירובין </w:t>
      </w:r>
      <w:r w:rsidRPr="0054340F">
        <w:rPr>
          <w:rFonts w:ascii="Calibri" w:eastAsia="Times New Roman" w:hAnsi="Calibri" w:cs="Guttman Rashi"/>
          <w:noProof w:val="0"/>
          <w:sz w:val="10"/>
          <w:szCs w:val="12"/>
          <w:rtl/>
        </w:rPr>
        <w:t>(</w:t>
      </w:r>
      <w:r w:rsidRPr="0054340F">
        <w:rPr>
          <w:rFonts w:ascii="Calibri" w:eastAsia="Times New Roman" w:hAnsi="Calibri" w:cs="Guttman Rashi" w:hint="cs"/>
          <w:noProof w:val="0"/>
          <w:sz w:val="10"/>
          <w:szCs w:val="12"/>
          <w:rtl/>
        </w:rPr>
        <w:t>לד: ד"ה הכא</w:t>
      </w:r>
      <w:r w:rsidRPr="0054340F">
        <w:rPr>
          <w:rFonts w:ascii="Calibri" w:eastAsia="Times New Roman" w:hAnsi="Calibri" w:cs="Guttman Rashi"/>
          <w:noProof w:val="0"/>
          <w:sz w:val="10"/>
          <w:szCs w:val="12"/>
          <w:rtl/>
        </w:rPr>
        <w:t>)</w:t>
      </w:r>
      <w:r w:rsidRPr="0054340F">
        <w:rPr>
          <w:vanish/>
          <w:rtl/>
        </w:rPr>
        <w:t>=</w:t>
      </w:r>
      <w:r>
        <w:rPr>
          <w:rFonts w:hint="cs"/>
          <w:rtl/>
        </w:rPr>
        <w:t xml:space="preserve"> </w:t>
      </w:r>
      <w:r w:rsidRPr="00904958">
        <w:rPr>
          <w:rStyle w:val="aff4"/>
          <w:rFonts w:hint="cs"/>
          <w:rtl/>
        </w:rPr>
        <w:t>וה</w:t>
      </w:r>
      <w:r w:rsidRPr="00666754">
        <w:rPr>
          <w:vanish/>
          <w:rtl/>
        </w:rPr>
        <w:t xml:space="preserve"> </w:t>
      </w:r>
      <w:r w:rsidRPr="0054340F">
        <w:rPr>
          <w:rFonts w:hint="cs"/>
          <w:b/>
          <w:bCs/>
          <w:vanish/>
          <w:rtl/>
        </w:rPr>
        <w:t>&lt; &gt;</w:t>
      </w:r>
      <w:r w:rsidRPr="0054340F">
        <w:rPr>
          <w:rFonts w:hint="cs"/>
          <w:b/>
          <w:bCs/>
          <w:rtl/>
        </w:rPr>
        <w:t>ריטב"א בעירובין</w:t>
      </w:r>
      <w:r w:rsidRPr="0054340F">
        <w:rPr>
          <w:b/>
          <w:bCs/>
          <w:rtl/>
        </w:rPr>
        <w:t xml:space="preserve"> </w:t>
      </w:r>
      <w:r w:rsidRPr="0054340F">
        <w:rPr>
          <w:rFonts w:ascii="Calibri" w:eastAsia="Times New Roman" w:hAnsi="Calibri" w:cs="Guttman Rashi"/>
          <w:noProof w:val="0"/>
          <w:sz w:val="10"/>
          <w:szCs w:val="12"/>
          <w:rtl/>
        </w:rPr>
        <w:t>(</w:t>
      </w:r>
      <w:r w:rsidRPr="0054340F">
        <w:rPr>
          <w:rFonts w:ascii="Calibri" w:eastAsia="Times New Roman" w:hAnsi="Calibri" w:cs="Guttman Rashi" w:hint="cs"/>
          <w:noProof w:val="0"/>
          <w:sz w:val="10"/>
          <w:szCs w:val="12"/>
          <w:rtl/>
        </w:rPr>
        <w:t>לה. ד"ה ואיכא</w:t>
      </w:r>
      <w:r w:rsidRPr="0054340F">
        <w:rPr>
          <w:rFonts w:ascii="Calibri" w:eastAsia="Times New Roman" w:hAnsi="Calibri" w:cs="Guttman Rashi"/>
          <w:noProof w:val="0"/>
          <w:sz w:val="10"/>
          <w:szCs w:val="12"/>
          <w:rtl/>
        </w:rPr>
        <w:t>)</w:t>
      </w:r>
      <w:r>
        <w:rPr>
          <w:rFonts w:hint="cs"/>
          <w:rtl/>
        </w:rPr>
        <w:t xml:space="preserve"> בשם</w:t>
      </w:r>
      <w:r>
        <w:rPr>
          <w:rtl/>
        </w:rPr>
        <w:t xml:space="preserve"> </w:t>
      </w:r>
      <w:r w:rsidRPr="00904958">
        <w:rPr>
          <w:rStyle w:val="aff4"/>
          <w:rFonts w:hint="cs"/>
          <w:rtl/>
        </w:rPr>
        <w:t>הריב"א</w:t>
      </w:r>
      <w:r w:rsidRPr="0054340F">
        <w:rPr>
          <w:vanish/>
          <w:rtl/>
        </w:rPr>
        <w:t>=</w:t>
      </w:r>
      <w:r>
        <w:rPr>
          <w:rtl/>
        </w:rPr>
        <w:t xml:space="preserve"> </w:t>
      </w:r>
      <w:r>
        <w:rPr>
          <w:rFonts w:hint="cs"/>
          <w:rtl/>
        </w:rPr>
        <w:t>דבנותן עירובו במגדל איירי במגדל גדול שהוא כאוהל ויש בו בנין וסתירה, אבל במגדל קטן אין סתירה כלל וזהו ההיתר בסתירת חבית, וכ"כ</w:t>
      </w:r>
      <w:r>
        <w:rPr>
          <w:rtl/>
        </w:rPr>
        <w:t xml:space="preserve"> </w:t>
      </w:r>
      <w:r w:rsidRPr="00904958">
        <w:rPr>
          <w:rStyle w:val="aff4"/>
          <w:rFonts w:hint="cs"/>
          <w:rtl/>
        </w:rPr>
        <w:t>ה</w:t>
      </w:r>
      <w:r w:rsidRPr="00AC72FB">
        <w:rPr>
          <w:vanish/>
          <w:rtl/>
        </w:rPr>
        <w:t>&lt; &gt;</w:t>
      </w:r>
      <w:r w:rsidRPr="00904958">
        <w:rPr>
          <w:rStyle w:val="aff4"/>
          <w:rFonts w:hint="cs"/>
          <w:rtl/>
        </w:rPr>
        <w:t>ר"ן לקמן</w:t>
      </w:r>
      <w:r w:rsidRPr="009568DC">
        <w:rPr>
          <w:rtl/>
        </w:rPr>
        <w:t xml:space="preserve"> </w:t>
      </w:r>
      <w:r w:rsidRPr="00AC72FB">
        <w:rPr>
          <w:rFonts w:ascii="Calibri" w:eastAsia="Times New Roman" w:hAnsi="Calibri" w:cs="Guttman Rashi"/>
          <w:noProof w:val="0"/>
          <w:sz w:val="10"/>
          <w:szCs w:val="12"/>
          <w:rtl/>
        </w:rPr>
        <w:t>(</w:t>
      </w:r>
      <w:r w:rsidRPr="00AC72FB">
        <w:rPr>
          <w:rFonts w:ascii="Calibri" w:eastAsia="Times New Roman" w:hAnsi="Calibri" w:cs="Guttman Rashi" w:hint="cs"/>
          <w:noProof w:val="0"/>
          <w:sz w:val="10"/>
          <w:szCs w:val="12"/>
          <w:rtl/>
        </w:rPr>
        <w:t>קמו. ד"ה שובר</w:t>
      </w:r>
      <w:r w:rsidRPr="00AC72FB">
        <w:rPr>
          <w:rFonts w:ascii="Calibri" w:eastAsia="Times New Roman" w:hAnsi="Calibri" w:cs="Guttman Rashi"/>
          <w:noProof w:val="0"/>
          <w:sz w:val="10"/>
          <w:szCs w:val="12"/>
          <w:rtl/>
        </w:rPr>
        <w:t>)</w:t>
      </w:r>
      <w:r w:rsidRPr="0054340F">
        <w:rPr>
          <w:vanish/>
          <w:rtl/>
        </w:rPr>
        <w:t>=</w:t>
      </w:r>
      <w:r w:rsidRPr="005D01F0">
        <w:rPr>
          <w:rFonts w:hint="cs"/>
          <w:rtl/>
        </w:rPr>
        <w:t xml:space="preserve"> </w:t>
      </w:r>
      <w:r w:rsidRPr="00904958">
        <w:rPr>
          <w:rStyle w:val="aff4"/>
          <w:rFonts w:hint="cs"/>
          <w:rtl/>
        </w:rPr>
        <w:t>ובעירובין</w:t>
      </w:r>
      <w:r>
        <w:rPr>
          <w:rFonts w:hint="cs"/>
          <w:rtl/>
        </w:rPr>
        <w:t xml:space="preserve">, וכתבו </w:t>
      </w:r>
      <w:r w:rsidRPr="00BC4F21">
        <w:rPr>
          <w:rFonts w:hint="cs"/>
          <w:b/>
          <w:bCs/>
          <w:rtl/>
        </w:rPr>
        <w:t>הרשב"א</w:t>
      </w:r>
      <w:r>
        <w:rPr>
          <w:rFonts w:hint="cs"/>
          <w:b/>
          <w:bCs/>
          <w:rtl/>
        </w:rPr>
        <w:t xml:space="preserve"> והר"ן</w:t>
      </w:r>
      <w:r>
        <w:rPr>
          <w:rFonts w:hint="cs"/>
          <w:rtl/>
        </w:rPr>
        <w:t xml:space="preserve"> דכן דעת </w:t>
      </w:r>
      <w:r>
        <w:rPr>
          <w:rFonts w:hint="cs"/>
          <w:b/>
          <w:bCs/>
          <w:rtl/>
        </w:rPr>
        <w:t>רש"י</w:t>
      </w:r>
      <w:r>
        <w:rPr>
          <w:rtl/>
        </w:rPr>
        <w:t xml:space="preserve"> </w:t>
      </w:r>
      <w:r w:rsidRPr="00BE2CC1">
        <w:rPr>
          <w:rFonts w:ascii="Calibri" w:eastAsia="Times New Roman" w:hAnsi="Calibri" w:cs="Guttman Rashi"/>
          <w:noProof w:val="0"/>
          <w:sz w:val="10"/>
          <w:szCs w:val="12"/>
          <w:rtl/>
        </w:rPr>
        <w:t xml:space="preserve">(עי' 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Pr>
        <w:instrText>REF</w:instrText>
      </w:r>
      <w:r>
        <w:rPr>
          <w:rFonts w:ascii="Calibri" w:eastAsia="Times New Roman" w:hAnsi="Calibri" w:cs="Guttman Rashi"/>
          <w:noProof w:val="0"/>
          <w:sz w:val="10"/>
          <w:szCs w:val="12"/>
          <w:rtl/>
        </w:rPr>
        <w:instrText xml:space="preserve"> _</w:instrText>
      </w:r>
      <w:r>
        <w:rPr>
          <w:rFonts w:ascii="Calibri" w:eastAsia="Times New Roman" w:hAnsi="Calibri" w:cs="Guttman Rashi"/>
          <w:noProof w:val="0"/>
          <w:sz w:val="10"/>
          <w:szCs w:val="12"/>
        </w:rPr>
        <w:instrText>Ref145061049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נד)</w:t>
      </w:r>
      <w:r>
        <w:rPr>
          <w:rFonts w:ascii="Calibri" w:eastAsia="Times New Roman" w:hAnsi="Calibri" w:cs="Guttman Rashi"/>
          <w:noProof w:val="0"/>
          <w:sz w:val="10"/>
          <w:szCs w:val="12"/>
          <w:rtl/>
        </w:rPr>
        <w:fldChar w:fldCharType="end"/>
      </w:r>
      <w:r>
        <w:rPr>
          <w:rFonts w:hint="cs"/>
          <w:rtl/>
        </w:rPr>
        <w:t>.</w:t>
      </w:r>
      <w:bookmarkEnd w:id="5707"/>
    </w:p>
    <w:p w14:paraId="41FD8AF0" w14:textId="77777777" w:rsidR="003E1AA3" w:rsidRPr="00BC7DC8" w:rsidRDefault="003E1AA3" w:rsidP="003E1AA3">
      <w:pPr>
        <w:pStyle w:val="afffffe"/>
        <w:rPr>
          <w:vanish/>
          <w:rtl/>
        </w:rPr>
      </w:pPr>
      <w:r w:rsidRPr="00BC7DC8">
        <w:rPr>
          <w:vanish/>
          <w:rtl/>
        </w:rPr>
        <w:t>תוספות עירובין ל"ד ע"ב</w:t>
      </w:r>
      <w:r w:rsidRPr="00BC7DC8">
        <w:rPr>
          <w:rFonts w:hint="cs"/>
          <w:vanish/>
          <w:rtl/>
        </w:rPr>
        <w:t xml:space="preserve"> ד"ה ואמאי</w:t>
      </w:r>
    </w:p>
    <w:p w14:paraId="36C7DEDF" w14:textId="77777777" w:rsidR="003E1AA3" w:rsidRDefault="003E1AA3" w:rsidP="003E1AA3">
      <w:pPr>
        <w:pStyle w:val="a2"/>
        <w:tabs>
          <w:tab w:val="num" w:pos="284"/>
        </w:tabs>
      </w:pPr>
      <w:r w:rsidRPr="00972B3D">
        <w:rPr>
          <w:rtl/>
        </w:rPr>
        <w:t>וי"ל דמשמע ליה במגדל גדול דשייך ביה בנין וסתירה דאי בקטן דהוי כלי מ"ט דר"א דפליג</w:t>
      </w:r>
      <w:r>
        <w:rPr>
          <w:rFonts w:hint="cs"/>
          <w:rtl/>
        </w:rPr>
        <w:t>.</w:t>
      </w:r>
    </w:p>
    <w:p w14:paraId="2CBDE801" w14:textId="77777777" w:rsidR="003E1AA3" w:rsidRPr="00BC7DC8" w:rsidRDefault="003E1AA3" w:rsidP="003E1AA3">
      <w:pPr>
        <w:pStyle w:val="afffffe"/>
        <w:rPr>
          <w:vanish/>
          <w:rtl/>
        </w:rPr>
      </w:pPr>
      <w:r w:rsidRPr="00BC7DC8">
        <w:rPr>
          <w:vanish/>
          <w:rtl/>
        </w:rPr>
        <w:t>חדושי הרשב"א שבת קמ"ו ע"א</w:t>
      </w:r>
      <w:r w:rsidRPr="00BC7DC8">
        <w:rPr>
          <w:rFonts w:hint="cs"/>
          <w:vanish/>
          <w:rtl/>
        </w:rPr>
        <w:t xml:space="preserve"> ד"ה ואף</w:t>
      </w:r>
    </w:p>
    <w:p w14:paraId="0C7A43C9" w14:textId="77777777" w:rsidR="003E1AA3" w:rsidRPr="002E340A" w:rsidRDefault="003E1AA3" w:rsidP="003E1AA3">
      <w:pPr>
        <w:pStyle w:val="afffff5"/>
        <w:rPr>
          <w:rtl/>
        </w:rPr>
      </w:pPr>
      <w:r w:rsidRPr="002E340A">
        <w:rPr>
          <w:rtl/>
        </w:rPr>
        <w:t>אבל בנותן עירובו במגדל היינו טעמא משום דהתם במגדל גדול מיירי דהוי כמו אהל ושייך ביה בנין וסתירה, הא במגדל קטן לא שייך ביה טעמא דבנין וסתירה והיינו טעמא דחבית.</w:t>
      </w:r>
    </w:p>
    <w:p w14:paraId="49872C31" w14:textId="77777777" w:rsidR="003E1AA3" w:rsidRPr="00BC7DC8" w:rsidRDefault="003E1AA3" w:rsidP="003E1AA3">
      <w:pPr>
        <w:pStyle w:val="afffffe"/>
        <w:rPr>
          <w:vanish/>
          <w:rtl/>
        </w:rPr>
      </w:pPr>
      <w:r w:rsidRPr="00BC7DC8">
        <w:rPr>
          <w:vanish/>
          <w:rtl/>
        </w:rPr>
        <w:t>חדושי הרשב"א עירובין ל"ד ע"ב</w:t>
      </w:r>
      <w:r w:rsidRPr="00BC7DC8">
        <w:rPr>
          <w:rFonts w:hint="cs"/>
          <w:vanish/>
          <w:rtl/>
        </w:rPr>
        <w:t xml:space="preserve"> ד"ה הכא</w:t>
      </w:r>
    </w:p>
    <w:p w14:paraId="61B73A27" w14:textId="77777777" w:rsidR="003E1AA3" w:rsidRPr="002E340A" w:rsidRDefault="003E1AA3" w:rsidP="003E1AA3">
      <w:pPr>
        <w:pStyle w:val="afffff5"/>
      </w:pPr>
      <w:r w:rsidRPr="002E340A">
        <w:rPr>
          <w:rtl/>
        </w:rPr>
        <w:t>אלא הכא מגדל כלי גדול הוא ולא אמרו שובר אלא כלים קטנים כחבית וכיוצא בה שאדם רגיל ליחדן לפירות אבל גדולים הרי הם כאהלים לענין זה</w:t>
      </w:r>
      <w:r w:rsidRPr="002E340A">
        <w:rPr>
          <w:rFonts w:hint="cs"/>
          <w:rtl/>
        </w:rPr>
        <w:t>, וכו'</w:t>
      </w:r>
      <w:r w:rsidRPr="002E340A">
        <w:rPr>
          <w:rtl/>
        </w:rPr>
        <w:t xml:space="preserve"> וריב"א ז"ל כן העמידה לההיא דחבית בכלים קטנים והא דהכא דמשמע דיש בנין וסתירה בכלים גדולים, והוא הנכון לענין כל השמועות:</w:t>
      </w:r>
    </w:p>
    <w:p w14:paraId="4D3EC8A7" w14:textId="77777777" w:rsidR="003E1AA3" w:rsidRPr="00BC7DC8" w:rsidRDefault="003E1AA3" w:rsidP="003E1AA3">
      <w:pPr>
        <w:pStyle w:val="afffffe"/>
        <w:rPr>
          <w:vanish/>
          <w:rtl/>
        </w:rPr>
      </w:pPr>
      <w:r w:rsidRPr="00BC7DC8">
        <w:rPr>
          <w:vanish/>
          <w:rtl/>
        </w:rPr>
        <w:t>חדושי הר"ן שבת קמ"ו ע"א</w:t>
      </w:r>
      <w:r w:rsidRPr="00BC7DC8">
        <w:rPr>
          <w:rFonts w:hint="cs"/>
          <w:vanish/>
          <w:rtl/>
        </w:rPr>
        <w:t xml:space="preserve"> ד"ה שובר</w:t>
      </w:r>
    </w:p>
    <w:p w14:paraId="7CA48A60" w14:textId="77777777" w:rsidR="003E1AA3" w:rsidRPr="002E340A" w:rsidRDefault="003E1AA3" w:rsidP="003E1AA3">
      <w:pPr>
        <w:pStyle w:val="afffff5"/>
        <w:rPr>
          <w:rtl/>
        </w:rPr>
      </w:pPr>
      <w:r w:rsidRPr="002E340A">
        <w:rPr>
          <w:rtl/>
        </w:rPr>
        <w:t>והיינו טעמא דהתם משום דבמגדל גדול עסקינן דהוי כאהל ושייך ביה בנין וסתירה הא במגדל קטן לא שייכא ביה בנין וסתירה וה"ט דשרינן הכא בחבית וכן פרש"י ז"ל בעירובין וכ"מ סוגיא דהתם:</w:t>
      </w:r>
    </w:p>
    <w:p w14:paraId="4F5D91AA" w14:textId="77777777" w:rsidR="003E1AA3" w:rsidRPr="00BC7DC8" w:rsidRDefault="003E1AA3" w:rsidP="003E1AA3">
      <w:pPr>
        <w:pStyle w:val="afffffe"/>
        <w:rPr>
          <w:vanish/>
          <w:rtl/>
        </w:rPr>
      </w:pPr>
      <w:r w:rsidRPr="00BC7DC8">
        <w:rPr>
          <w:vanish/>
          <w:rtl/>
        </w:rPr>
        <w:t>חדושי הר"ן עירובין ל"ד ע"ב</w:t>
      </w:r>
      <w:r w:rsidRPr="00BC7DC8">
        <w:rPr>
          <w:rFonts w:hint="cs"/>
          <w:vanish/>
          <w:rtl/>
        </w:rPr>
        <w:t xml:space="preserve"> ד"ה הכא</w:t>
      </w:r>
    </w:p>
    <w:p w14:paraId="53AA0C49" w14:textId="77777777" w:rsidR="003E1AA3" w:rsidRPr="002E340A" w:rsidRDefault="003E1AA3" w:rsidP="003E1AA3">
      <w:pPr>
        <w:pStyle w:val="afffff5"/>
        <w:rPr>
          <w:rtl/>
        </w:rPr>
      </w:pPr>
      <w:r w:rsidRPr="002E340A">
        <w:rPr>
          <w:rtl/>
        </w:rPr>
        <w:t>י"ל דהאי מגדל כלי גדול הוא, ולא אמרו שובר אלא בכלים קטנים כחבית וכיוצא בה שאדם רגיל ליחדן לפירות אבל בכלים גדולים לא.</w:t>
      </w:r>
    </w:p>
    <w:p w14:paraId="3DA62B14" w14:textId="77777777" w:rsidR="003E1AA3" w:rsidRPr="00BC7DC8" w:rsidRDefault="003E1AA3" w:rsidP="003E1AA3">
      <w:pPr>
        <w:pStyle w:val="afffffe"/>
        <w:rPr>
          <w:vanish/>
          <w:rtl/>
        </w:rPr>
      </w:pPr>
      <w:r w:rsidRPr="00BC7DC8">
        <w:rPr>
          <w:vanish/>
          <w:rtl/>
        </w:rPr>
        <w:t>חדושי הריטב"א עירובין ל"ה ע"א</w:t>
      </w:r>
      <w:r w:rsidRPr="00BC7DC8">
        <w:rPr>
          <w:rFonts w:hint="cs"/>
          <w:vanish/>
          <w:rtl/>
        </w:rPr>
        <w:t xml:space="preserve"> ד"ה ואיכא</w:t>
      </w:r>
    </w:p>
    <w:p w14:paraId="2ACF80F3" w14:textId="77777777" w:rsidR="003E1AA3" w:rsidRDefault="003E1AA3" w:rsidP="003E1AA3">
      <w:pPr>
        <w:pStyle w:val="afffff5"/>
        <w:rPr>
          <w:rtl/>
        </w:rPr>
      </w:pPr>
      <w:r w:rsidRPr="002E340A">
        <w:rPr>
          <w:rtl/>
        </w:rPr>
        <w:t>תירץ ריב"א ז"ל דהתם בכלים קטנים כגון חבית אבל בכלים גדולים שמחזיקים מ' סאה או יותר יש בהם בנין וסתירה כאהל,</w:t>
      </w:r>
      <w:r w:rsidRPr="002E340A">
        <w:rPr>
          <w:rFonts w:hint="cs"/>
          <w:rtl/>
        </w:rPr>
        <w:t xml:space="preserve"> וכו'</w:t>
      </w:r>
      <w:r>
        <w:rPr>
          <w:rFonts w:hint="cs"/>
          <w:rtl/>
        </w:rPr>
        <w:t>.</w:t>
      </w:r>
    </w:p>
    <w:p w14:paraId="7592A638" w14:textId="77777777" w:rsidR="003E1AA3" w:rsidRPr="00B66C31" w:rsidRDefault="003E1AA3" w:rsidP="003E1AA3">
      <w:pPr>
        <w:pStyle w:val="a7"/>
      </w:pPr>
      <w:bookmarkStart w:id="5710" w:name="_Toc145019589"/>
      <w:bookmarkStart w:id="5711" w:name="_Toc145233963"/>
      <w:r>
        <w:rPr>
          <w:rFonts w:hint="cs"/>
          <w:rtl/>
        </w:rPr>
        <w:t>בי' הריטב"א דמדהו"א דמגבן בונה כ"ש בכלי גדול כאוהל דבונה ולמסקנא אין בנין באוכלין</w:t>
      </w:r>
      <w:bookmarkEnd w:id="5710"/>
      <w:bookmarkEnd w:id="5711"/>
    </w:p>
    <w:p w14:paraId="15FF982D" w14:textId="77777777" w:rsidR="003E1AA3" w:rsidRDefault="003E1AA3" w:rsidP="00BC7DC8">
      <w:pPr>
        <w:pStyle w:val="a3"/>
      </w:pPr>
      <w:r>
        <w:rPr>
          <w:rFonts w:hint="cs"/>
          <w:rtl/>
        </w:rPr>
        <w:t xml:space="preserve">וכתב </w:t>
      </w:r>
      <w:r w:rsidRPr="00904958">
        <w:rPr>
          <w:rStyle w:val="aff4"/>
          <w:rFonts w:hint="cs"/>
          <w:rtl/>
        </w:rPr>
        <w:t>הריטב</w:t>
      </w:r>
      <w:r w:rsidRPr="00E66011">
        <w:rPr>
          <w:rStyle w:val="aff4"/>
          <w:rFonts w:hint="cs"/>
          <w:rtl/>
        </w:rPr>
        <w:t>"א בעירובין</w:t>
      </w:r>
      <w:r>
        <w:rPr>
          <w:rFonts w:hint="cs"/>
          <w:rtl/>
        </w:rPr>
        <w:t xml:space="preserve"> דכן מוכח מהא דהו"א בגמ' לעיל</w:t>
      </w:r>
      <w:r>
        <w:rPr>
          <w:rtl/>
        </w:rPr>
        <w:t xml:space="preserve"> </w:t>
      </w:r>
      <w:r w:rsidRPr="00AC72FB">
        <w:rPr>
          <w:rFonts w:ascii="Calibri" w:eastAsia="Times New Roman" w:hAnsi="Calibri" w:cs="Guttman Rashi"/>
          <w:noProof w:val="0"/>
          <w:sz w:val="10"/>
          <w:szCs w:val="12"/>
          <w:rtl/>
        </w:rPr>
        <w:t>(</w:t>
      </w:r>
      <w:r w:rsidRPr="00AC72FB">
        <w:rPr>
          <w:rFonts w:ascii="Calibri" w:eastAsia="Times New Roman" w:hAnsi="Calibri" w:cs="Guttman Rashi" w:hint="cs"/>
          <w:noProof w:val="0"/>
          <w:sz w:val="10"/>
          <w:szCs w:val="12"/>
          <w:rtl/>
        </w:rPr>
        <w:t>צה.</w:t>
      </w:r>
      <w:r w:rsidRPr="00AC72FB">
        <w:rPr>
          <w:rFonts w:ascii="Calibri" w:eastAsia="Times New Roman" w:hAnsi="Calibri" w:cs="Guttman Rashi"/>
          <w:noProof w:val="0"/>
          <w:sz w:val="10"/>
          <w:szCs w:val="12"/>
          <w:rtl/>
        </w:rPr>
        <w:t>)</w:t>
      </w:r>
      <w:r>
        <w:rPr>
          <w:rtl/>
        </w:rPr>
        <w:t xml:space="preserve"> </w:t>
      </w:r>
      <w:r>
        <w:rPr>
          <w:rFonts w:hint="cs"/>
          <w:rtl/>
        </w:rPr>
        <w:t>דהמגבן חייב משום בונה, וכ"ש בכלי גדול כאוהל שיש בו בנין וסתירה, והא דאי"ז נשאר למסקנא הוא רק כיון דאין בנין באוכלין.</w:t>
      </w:r>
      <w:bookmarkEnd w:id="5708"/>
      <w:bookmarkEnd w:id="5709"/>
    </w:p>
    <w:p w14:paraId="097DA422" w14:textId="77777777" w:rsidR="003E1AA3" w:rsidRPr="002E340A" w:rsidRDefault="003E1AA3" w:rsidP="003E1AA3">
      <w:pPr>
        <w:pStyle w:val="a2"/>
        <w:tabs>
          <w:tab w:val="num" w:pos="284"/>
        </w:tabs>
        <w:rPr>
          <w:rtl/>
        </w:rPr>
      </w:pPr>
      <w:bookmarkStart w:id="5712" w:name="_Hlk144655057"/>
      <w:r w:rsidRPr="002E340A">
        <w:rPr>
          <w:rtl/>
        </w:rPr>
        <w:t>ובודאי דמאי דאמר מרן ז"ל דבמה שהוא חיבור גמור דינו כאהל להיות בו בנין</w:t>
      </w:r>
      <w:r w:rsidRPr="00E66011">
        <w:rPr>
          <w:rtl/>
        </w:rPr>
        <w:t xml:space="preserve"> </w:t>
      </w:r>
      <w:r w:rsidRPr="002E340A">
        <w:rPr>
          <w:rtl/>
        </w:rPr>
        <w:t>וסתירה דין אמת הוא שאפילו במגבן הוה ס"ד התם לומר שיש בונה אלמלא דהוו אוכלין וכדפרישית בפרק הבונה</w:t>
      </w:r>
      <w:r w:rsidRPr="002E340A">
        <w:rPr>
          <w:rFonts w:hint="cs"/>
          <w:rtl/>
        </w:rPr>
        <w:t>.</w:t>
      </w:r>
    </w:p>
    <w:p w14:paraId="340E5F27" w14:textId="77777777" w:rsidR="003E1AA3" w:rsidRDefault="003E1AA3" w:rsidP="003E1AA3">
      <w:pPr>
        <w:pStyle w:val="a7"/>
        <w:rPr>
          <w:rtl/>
        </w:rPr>
      </w:pPr>
      <w:bookmarkStart w:id="5713" w:name="_Toc145019591"/>
      <w:bookmarkStart w:id="5714" w:name="_Toc145233964"/>
      <w:bookmarkEnd w:id="5712"/>
      <w:r>
        <w:rPr>
          <w:rFonts w:hint="cs"/>
          <w:rtl/>
        </w:rPr>
        <w:t>דחיית הריטב"א דכלי של חוליות אין בו בנין אף בגדול ובחיבור גמור אף בשופתא דקטן הוי בנין</w:t>
      </w:r>
      <w:bookmarkEnd w:id="5713"/>
      <w:bookmarkEnd w:id="5714"/>
    </w:p>
    <w:p w14:paraId="26653ADA" w14:textId="0C7AA89A" w:rsidR="003E1AA3" w:rsidRDefault="003E1AA3" w:rsidP="00BC7DC8">
      <w:pPr>
        <w:pStyle w:val="a3"/>
        <w:rPr>
          <w:rtl/>
        </w:rPr>
      </w:pPr>
      <w:bookmarkStart w:id="5715" w:name="_Ref144655887"/>
      <w:r>
        <w:rPr>
          <w:rFonts w:hint="cs"/>
          <w:rtl/>
        </w:rPr>
        <w:t xml:space="preserve">אך דחה </w:t>
      </w:r>
      <w:r>
        <w:rPr>
          <w:rFonts w:hint="cs"/>
          <w:b/>
          <w:bCs/>
          <w:rtl/>
        </w:rPr>
        <w:t>הריטב"א בעירובין</w:t>
      </w:r>
      <w:r>
        <w:rPr>
          <w:rFonts w:hint="cs"/>
          <w:rtl/>
        </w:rPr>
        <w:t xml:space="preserve"> את ביאור</w:t>
      </w:r>
      <w:r>
        <w:rPr>
          <w:rtl/>
        </w:rPr>
        <w:t xml:space="preserve"> </w:t>
      </w:r>
      <w:r>
        <w:rPr>
          <w:rFonts w:hint="cs"/>
          <w:b/>
          <w:bCs/>
          <w:rtl/>
        </w:rPr>
        <w:t>הריב"א</w:t>
      </w:r>
      <w:r>
        <w:rPr>
          <w:rtl/>
        </w:rPr>
        <w:t xml:space="preserve"> </w:t>
      </w:r>
      <w:r w:rsidRPr="00A701A7">
        <w:rPr>
          <w:rFonts w:ascii="Calibri" w:eastAsia="Times New Roman" w:hAnsi="Calibri" w:cs="Guttman Rashi"/>
          <w:noProof w:val="0"/>
          <w:sz w:val="10"/>
          <w:szCs w:val="12"/>
          <w:rtl/>
        </w:rPr>
        <w:t xml:space="preserve">(עי' 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Pr>
        <w:instrText>REF</w:instrText>
      </w:r>
      <w:r>
        <w:rPr>
          <w:rFonts w:ascii="Calibri" w:eastAsia="Times New Roman" w:hAnsi="Calibri" w:cs="Guttman Rashi"/>
          <w:noProof w:val="0"/>
          <w:sz w:val="10"/>
          <w:szCs w:val="12"/>
          <w:rtl/>
        </w:rPr>
        <w:instrText xml:space="preserve"> _</w:instrText>
      </w:r>
      <w:r>
        <w:rPr>
          <w:rFonts w:ascii="Calibri" w:eastAsia="Times New Roman" w:hAnsi="Calibri" w:cs="Guttman Rashi"/>
          <w:noProof w:val="0"/>
          <w:sz w:val="10"/>
          <w:szCs w:val="12"/>
        </w:rPr>
        <w:instrText>Ref145187348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סא)</w:t>
      </w:r>
      <w:r>
        <w:rPr>
          <w:rFonts w:ascii="Calibri" w:eastAsia="Times New Roman" w:hAnsi="Calibri" w:cs="Guttman Rashi"/>
          <w:noProof w:val="0"/>
          <w:sz w:val="10"/>
          <w:szCs w:val="12"/>
          <w:rtl/>
        </w:rPr>
        <w:fldChar w:fldCharType="end"/>
      </w:r>
      <w:r>
        <w:rPr>
          <w:rtl/>
        </w:rPr>
        <w:t xml:space="preserve"> </w:t>
      </w:r>
      <w:r>
        <w:rPr>
          <w:rFonts w:hint="cs"/>
          <w:rtl/>
        </w:rPr>
        <w:t>דכל כלי שהוא של חוליות אין בו בנין אף בכלי גדול, כתריסי החנויות לדעת ב"ה בגמ' בביצה, וכ"ש בכלי שהוא חיבור גמור דיש בו בנין אף כשהוא כלי קטן, כמו במעייל שופתא בקופינא דמרא, אלא ביאר</w:t>
      </w:r>
      <w:r>
        <w:rPr>
          <w:rtl/>
        </w:rPr>
        <w:t xml:space="preserve"> </w:t>
      </w:r>
      <w:r>
        <w:rPr>
          <w:rFonts w:hint="cs"/>
          <w:b/>
          <w:bCs/>
          <w:rtl/>
        </w:rPr>
        <w:t>הריטב"א בעירובין</w:t>
      </w:r>
      <w:r>
        <w:rPr>
          <w:rtl/>
        </w:rPr>
        <w:t xml:space="preserve"> </w:t>
      </w:r>
      <w:r>
        <w:rPr>
          <w:rFonts w:hint="cs"/>
          <w:rtl/>
        </w:rPr>
        <w:t xml:space="preserve">דההיתר לשבור חבית הוא כיון דאיירי בחבית של חרס דאינו סותר ע"מ לבנות, ועי' במה שהקשה </w:t>
      </w:r>
      <w:r w:rsidRPr="005960B8">
        <w:rPr>
          <w:b/>
          <w:bCs/>
          <w:rtl/>
        </w:rPr>
        <w:t>ה</w:t>
      </w:r>
      <w:r w:rsidRPr="005960B8">
        <w:rPr>
          <w:b/>
          <w:bCs/>
          <w:vanish/>
          <w:rtl/>
        </w:rPr>
        <w:t xml:space="preserve"> </w:t>
      </w:r>
      <w:r>
        <w:rPr>
          <w:rFonts w:hint="cs"/>
          <w:b/>
          <w:bCs/>
          <w:vanish/>
          <w:rtl/>
        </w:rPr>
        <w:t xml:space="preserve">&lt;, </w:t>
      </w:r>
      <w:r>
        <w:rPr>
          <w:b/>
          <w:bCs/>
          <w:vanish/>
          <w:rtl/>
        </w:rPr>
        <w:fldChar w:fldCharType="begin"/>
      </w:r>
      <w:r>
        <w:rPr>
          <w:b/>
          <w:bCs/>
          <w:vanish/>
          <w:rtl/>
        </w:rPr>
        <w:instrText xml:space="preserve"> </w:instrText>
      </w:r>
      <w:r>
        <w:rPr>
          <w:rFonts w:hint="cs"/>
          <w:b/>
          <w:bCs/>
          <w:vanish/>
        </w:rPr>
        <w:instrText>REF</w:instrText>
      </w:r>
      <w:r>
        <w:rPr>
          <w:rFonts w:hint="cs"/>
          <w:b/>
          <w:bCs/>
          <w:vanish/>
          <w:rtl/>
        </w:rPr>
        <w:instrText xml:space="preserve"> _</w:instrText>
      </w:r>
      <w:r>
        <w:rPr>
          <w:rFonts w:hint="cs"/>
          <w:b/>
          <w:bCs/>
          <w:vanish/>
        </w:rPr>
        <w:instrText>Ref144655887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סג)</w:t>
      </w:r>
      <w:r>
        <w:rPr>
          <w:b/>
          <w:bCs/>
          <w:vanish/>
          <w:rtl/>
        </w:rPr>
        <w:fldChar w:fldCharType="end"/>
      </w:r>
      <w:r>
        <w:rPr>
          <w:rFonts w:hint="cs"/>
          <w:b/>
          <w:bCs/>
          <w:vanish/>
          <w:rtl/>
        </w:rPr>
        <w:t xml:space="preserve"> &gt;</w:t>
      </w:r>
      <w:r>
        <w:rPr>
          <w:rFonts w:hint="cs"/>
          <w:b/>
          <w:bCs/>
          <w:rtl/>
        </w:rPr>
        <w:t>טל אורות הספרדי</w:t>
      </w:r>
      <w:r w:rsidRPr="005960B8">
        <w:rPr>
          <w:b/>
          <w:bCs/>
          <w:rtl/>
        </w:rPr>
        <w:t xml:space="preserve"> </w:t>
      </w:r>
      <w:r w:rsidRPr="005960B8">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מלאכת בונה ד"ה נראה דלפי</w:t>
      </w:r>
      <w:r w:rsidRPr="005960B8">
        <w:rPr>
          <w:rFonts w:ascii="Calibri" w:eastAsia="Times New Roman" w:hAnsi="Calibri" w:cs="Guttman Rashi"/>
          <w:noProof w:val="0"/>
          <w:sz w:val="10"/>
          <w:szCs w:val="12"/>
          <w:rtl/>
        </w:rPr>
        <w:t>)</w:t>
      </w:r>
      <w:r w:rsidRPr="005960B8">
        <w:rPr>
          <w:vanish/>
          <w:rtl/>
        </w:rPr>
        <w:t>=</w:t>
      </w:r>
      <w:r>
        <w:rPr>
          <w:rFonts w:hint="cs"/>
          <w:rtl/>
        </w:rPr>
        <w:t xml:space="preserve"> על ביאור</w:t>
      </w:r>
      <w:r w:rsidRPr="00A32FA6">
        <w:rPr>
          <w:rFonts w:hint="cs"/>
          <w:b/>
          <w:bCs/>
          <w:rtl/>
        </w:rPr>
        <w:t xml:space="preserve"> </w:t>
      </w:r>
      <w:r>
        <w:rPr>
          <w:rFonts w:hint="cs"/>
          <w:b/>
          <w:bCs/>
          <w:rtl/>
        </w:rPr>
        <w:t>הריטב"א בעירובין</w:t>
      </w:r>
      <w:bookmarkEnd w:id="5715"/>
      <w:r>
        <w:rPr>
          <w:rFonts w:hint="cs"/>
          <w:rtl/>
        </w:rPr>
        <w:t xml:space="preserve"> דא"כ בכל כלי שיש בו בנין וסתירה יש בנין בכלים, ודלא כרבא בגמ' לקמן</w:t>
      </w:r>
      <w:r>
        <w:rPr>
          <w:rtl/>
        </w:rPr>
        <w:t xml:space="preserve"> </w:t>
      </w:r>
      <w:r w:rsidRPr="00A32FA6">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קכב:</w:t>
      </w:r>
      <w:r w:rsidRPr="00A32FA6">
        <w:rPr>
          <w:rFonts w:ascii="Calibri" w:eastAsia="Times New Roman" w:hAnsi="Calibri" w:cs="Guttman Rashi"/>
          <w:noProof w:val="0"/>
          <w:sz w:val="10"/>
          <w:szCs w:val="12"/>
          <w:rtl/>
        </w:rPr>
        <w:t>)</w:t>
      </w:r>
      <w:r>
        <w:rPr>
          <w:rFonts w:hint="cs"/>
          <w:rtl/>
        </w:rPr>
        <w:t>.</w:t>
      </w:r>
    </w:p>
    <w:p w14:paraId="148F9550" w14:textId="77777777" w:rsidR="003E1AA3" w:rsidRPr="0018388A" w:rsidRDefault="003E1AA3" w:rsidP="003E1AA3">
      <w:pPr>
        <w:pStyle w:val="a2"/>
        <w:tabs>
          <w:tab w:val="num" w:pos="284"/>
        </w:tabs>
        <w:rPr>
          <w:rtl/>
        </w:rPr>
      </w:pPr>
      <w:r w:rsidRPr="0018388A">
        <w:rPr>
          <w:rtl/>
        </w:rPr>
        <w:t>וגם פירוש ריב"א ז"ל אינו נראה נכון דכל שהוא כלי של חוליות כגון תריסי חנויות אפילו הם כלים גדולים אין בהם בנין וסתירה לב"ה דקיי"ל כותייהו, וכל שהן חיבור גמור אפילו בכלים קטנים יש בהם בנין וסתירה דומיא דההיא דקופינא דמרא.</w:t>
      </w:r>
    </w:p>
    <w:p w14:paraId="635FE8EA" w14:textId="77777777" w:rsidR="003E1AA3" w:rsidRPr="002E340A" w:rsidRDefault="003E1AA3" w:rsidP="003E1AA3">
      <w:pPr>
        <w:pStyle w:val="afffff5"/>
        <w:rPr>
          <w:rtl/>
        </w:rPr>
      </w:pPr>
      <w:r w:rsidRPr="002E340A">
        <w:rPr>
          <w:rtl/>
        </w:rPr>
        <w:t>אבל הנכון בעיני דבחבית ליכא למימר סתירה דאורייתא דהא סתמה של חרס וסותר שלא ע"מ לבנות הוא, ואי משום שבות דרבנן כיון דלעין יפה מכוין ודומה למקלקל שרי בשלא נתכוין לעשות כלי, ומיהו אכתי ק"ל לרבה ורב יוסף היכי ס"ד דפליגי ביש בנין וסתירה כיון שחיבורם הוא חיבור גמור, ואפשר דאינהו הוו מוקמי לה בשל חוליות ואפ"ה ס"ל לרבי אלעזר דכיון דכלים גדולים הם יש בהם בנין וסתירה, כנ"ל, וכן פירשתי לפני רבינו ז"ל.</w:t>
      </w:r>
    </w:p>
    <w:p w14:paraId="71774474" w14:textId="77777777" w:rsidR="003E1AA3" w:rsidRDefault="003E1AA3" w:rsidP="003E1AA3">
      <w:pPr>
        <w:pStyle w:val="affff5"/>
        <w:rPr>
          <w:rtl/>
        </w:rPr>
      </w:pPr>
      <w:bookmarkStart w:id="5716" w:name="_Toc145233965"/>
      <w:bookmarkStart w:id="5717" w:name="_Toc145019593"/>
      <w:r>
        <w:rPr>
          <w:rFonts w:hint="cs"/>
          <w:rtl/>
        </w:rPr>
        <w:t>ד' הסוברים דבכל כלי גמור יש סתירה</w:t>
      </w:r>
      <w:bookmarkEnd w:id="5716"/>
      <w:r>
        <w:rPr>
          <w:rFonts w:hint="cs"/>
          <w:rtl/>
        </w:rPr>
        <w:t xml:space="preserve"> </w:t>
      </w:r>
      <w:r w:rsidRPr="0033376C">
        <w:rPr>
          <w:vanish/>
          <w:rtl/>
        </w:rPr>
        <w:t>&lt; # =</w:t>
      </w:r>
    </w:p>
    <w:p w14:paraId="078A021E" w14:textId="77777777" w:rsidR="003E1AA3" w:rsidRDefault="003E1AA3" w:rsidP="003E1AA3">
      <w:pPr>
        <w:pStyle w:val="1"/>
        <w:rPr>
          <w:rtl/>
        </w:rPr>
      </w:pPr>
      <w:bookmarkStart w:id="5718" w:name="_Toc145233966"/>
      <w:r>
        <w:rPr>
          <w:rFonts w:hint="cs"/>
          <w:rtl/>
        </w:rPr>
        <w:t>התי' הב' בתוס' דבכלי גמור יש סתירה והיתר חבית במוסתקי</w:t>
      </w:r>
      <w:bookmarkEnd w:id="5717"/>
      <w:bookmarkEnd w:id="5718"/>
    </w:p>
    <w:p w14:paraId="547FE2A2" w14:textId="77777777" w:rsidR="003E1AA3" w:rsidRPr="00066B86" w:rsidRDefault="003E1AA3" w:rsidP="003E1AA3">
      <w:pPr>
        <w:pStyle w:val="afffff7"/>
        <w:rPr>
          <w:rtl/>
        </w:rPr>
      </w:pPr>
      <w:bookmarkStart w:id="5719" w:name="_Toc145234060"/>
      <w:bookmarkStart w:id="5720" w:name="_Toc145019595"/>
      <w:bookmarkStart w:id="5721" w:name="_Toc163506318"/>
      <w:r w:rsidRPr="00066B86">
        <w:rPr>
          <w:rtl/>
        </w:rPr>
        <w:t>תוספות עירובין ל"ד ע"ב</w:t>
      </w:r>
      <w:r w:rsidRPr="00066B86">
        <w:rPr>
          <w:rFonts w:hint="cs"/>
          <w:rtl/>
        </w:rPr>
        <w:t xml:space="preserve"> ד"ה ואמאי</w:t>
      </w:r>
      <w:bookmarkEnd w:id="5719"/>
      <w:bookmarkEnd w:id="5721"/>
    </w:p>
    <w:p w14:paraId="4926415C" w14:textId="77777777" w:rsidR="003E1AA3" w:rsidRPr="00C21FCC" w:rsidRDefault="003E1AA3" w:rsidP="003E1AA3">
      <w:pPr>
        <w:pStyle w:val="a7"/>
        <w:rPr>
          <w:rtl/>
        </w:rPr>
      </w:pPr>
      <w:bookmarkStart w:id="5722" w:name="_Toc145233967"/>
      <w:r>
        <w:rPr>
          <w:rFonts w:hint="cs"/>
          <w:rtl/>
        </w:rPr>
        <w:t>התי' הב' בתוס' בעירובין דבכלי כשופתא יש בנין וסתירה ובדלתות אין סתירה וה"ה במוסתקי</w:t>
      </w:r>
      <w:bookmarkEnd w:id="5720"/>
      <w:bookmarkEnd w:id="5722"/>
    </w:p>
    <w:p w14:paraId="5BA63E76" w14:textId="0AE53CBB" w:rsidR="003E1AA3" w:rsidRDefault="003E1AA3" w:rsidP="00BC7DC8">
      <w:pPr>
        <w:pStyle w:val="a3"/>
        <w:rPr>
          <w:rtl/>
        </w:rPr>
      </w:pPr>
      <w:bookmarkStart w:id="5723" w:name="_Ref145187459"/>
      <w:r>
        <w:rPr>
          <w:rFonts w:hint="cs"/>
          <w:rtl/>
        </w:rPr>
        <w:t>ועוד תירצו</w:t>
      </w:r>
      <w:r>
        <w:rPr>
          <w:rtl/>
        </w:rPr>
        <w:t xml:space="preserve"> </w:t>
      </w:r>
      <w:r>
        <w:rPr>
          <w:rFonts w:hint="cs"/>
          <w:b/>
          <w:bCs/>
          <w:rtl/>
        </w:rPr>
        <w:t>ה</w:t>
      </w:r>
      <w:r w:rsidRPr="00414F75">
        <w:rPr>
          <w:rFonts w:hint="cs"/>
          <w:b/>
          <w:bCs/>
          <w:vanish/>
          <w:rtl/>
        </w:rPr>
        <w:t xml:space="preserve">&lt;, </w:t>
      </w:r>
      <w:r>
        <w:rPr>
          <w:b/>
          <w:bCs/>
          <w:vanish/>
          <w:rtl/>
        </w:rPr>
        <w:fldChar w:fldCharType="begin"/>
      </w:r>
      <w:r>
        <w:rPr>
          <w:b/>
          <w:bCs/>
          <w:vanish/>
          <w:rtl/>
        </w:rPr>
        <w:instrText xml:space="preserve"> </w:instrText>
      </w:r>
      <w:r>
        <w:rPr>
          <w:rFonts w:hint="cs"/>
          <w:b/>
          <w:bCs/>
          <w:vanish/>
        </w:rPr>
        <w:instrText>REF</w:instrText>
      </w:r>
      <w:r>
        <w:rPr>
          <w:rFonts w:hint="cs"/>
          <w:b/>
          <w:bCs/>
          <w:vanish/>
          <w:rtl/>
        </w:rPr>
        <w:instrText xml:space="preserve"> _</w:instrText>
      </w:r>
      <w:r>
        <w:rPr>
          <w:rFonts w:hint="cs"/>
          <w:b/>
          <w:bCs/>
          <w:vanish/>
        </w:rPr>
        <w:instrText>Ref145187459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סד)</w:t>
      </w:r>
      <w:r>
        <w:rPr>
          <w:b/>
          <w:bCs/>
          <w:vanish/>
          <w:rtl/>
        </w:rPr>
        <w:fldChar w:fldCharType="end"/>
      </w:r>
      <w:r w:rsidRPr="00414F75">
        <w:rPr>
          <w:rFonts w:hint="cs"/>
          <w:b/>
          <w:bCs/>
          <w:vanish/>
          <w:rtl/>
        </w:rPr>
        <w:t xml:space="preserve"> &gt;</w:t>
      </w:r>
      <w:r>
        <w:rPr>
          <w:rFonts w:hint="cs"/>
          <w:b/>
          <w:bCs/>
          <w:rtl/>
        </w:rPr>
        <w:t xml:space="preserve">תוס' בעירובין בתי' הב' </w:t>
      </w:r>
      <w:r w:rsidRPr="00935E54">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לד: ד"ה ואמאי</w:t>
      </w:r>
      <w:r w:rsidRPr="00935E54">
        <w:rPr>
          <w:rFonts w:ascii="Calibri" w:eastAsia="Times New Roman" w:hAnsi="Calibri" w:cs="Guttman Rashi"/>
          <w:noProof w:val="0"/>
          <w:sz w:val="10"/>
          <w:szCs w:val="12"/>
          <w:rtl/>
        </w:rPr>
        <w:t>)</w:t>
      </w:r>
      <w:r w:rsidRPr="00414F75">
        <w:rPr>
          <w:rFonts w:hint="cs"/>
          <w:vanish/>
          <w:rtl/>
        </w:rPr>
        <w:t>=</w:t>
      </w:r>
      <w:r w:rsidRPr="003C4F59">
        <w:rPr>
          <w:rFonts w:hint="cs"/>
          <w:rtl/>
        </w:rPr>
        <w:t xml:space="preserve"> דאף בכלי</w:t>
      </w:r>
      <w:r>
        <w:rPr>
          <w:rFonts w:hint="cs"/>
          <w:rtl/>
        </w:rPr>
        <w:t>ם</w:t>
      </w:r>
      <w:r w:rsidRPr="003C4F59">
        <w:rPr>
          <w:rFonts w:hint="cs"/>
          <w:rtl/>
        </w:rPr>
        <w:t xml:space="preserve"> </w:t>
      </w:r>
      <w:r>
        <w:rPr>
          <w:rFonts w:hint="cs"/>
          <w:rtl/>
        </w:rPr>
        <w:t>יש בנין וסתירה כמבואר בגמ' בסוגיין דמעייל שופתא בקופינא דמרא לרב חייב משום בונה, וכתבו</w:t>
      </w:r>
      <w:r>
        <w:rPr>
          <w:rtl/>
        </w:rPr>
        <w:t xml:space="preserve"> </w:t>
      </w:r>
      <w:r>
        <w:rPr>
          <w:rFonts w:hint="cs"/>
          <w:b/>
          <w:bCs/>
          <w:rtl/>
        </w:rPr>
        <w:t>התוס' בעירובין</w:t>
      </w:r>
      <w:r>
        <w:rPr>
          <w:rtl/>
        </w:rPr>
        <w:t xml:space="preserve"> </w:t>
      </w:r>
      <w:r>
        <w:rPr>
          <w:rFonts w:hint="cs"/>
          <w:rtl/>
        </w:rPr>
        <w:t>דהא דאמרינן בגמ' בעירובין</w:t>
      </w:r>
      <w:r>
        <w:rPr>
          <w:rtl/>
        </w:rPr>
        <w:t xml:space="preserve"> </w:t>
      </w:r>
      <w:r w:rsidRPr="00835BEC">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לה.</w:t>
      </w:r>
      <w:r w:rsidRPr="00835BEC">
        <w:rPr>
          <w:rFonts w:ascii="Calibri" w:eastAsia="Times New Roman" w:hAnsi="Calibri" w:cs="Guttman Rashi"/>
          <w:noProof w:val="0"/>
          <w:sz w:val="10"/>
          <w:szCs w:val="12"/>
          <w:rtl/>
        </w:rPr>
        <w:t>)</w:t>
      </w:r>
      <w:r>
        <w:rPr>
          <w:rtl/>
        </w:rPr>
        <w:t xml:space="preserve"> </w:t>
      </w:r>
      <w:r>
        <w:rPr>
          <w:rFonts w:hint="cs"/>
          <w:rtl/>
        </w:rPr>
        <w:t xml:space="preserve">דאין בנין וסתירה בכלים, היינו בכלים שאמרו בהם דנוטלין ולא מחזירין, </w:t>
      </w:r>
      <w:r w:rsidRPr="00014030">
        <w:rPr>
          <w:rStyle w:val="af"/>
          <w:rFonts w:hint="cs"/>
          <w:rtl/>
        </w:rPr>
        <w:t xml:space="preserve">[בגמ' לקמן </w:t>
      </w:r>
      <w:r w:rsidRPr="00014030">
        <w:rPr>
          <w:rStyle w:val="aff0"/>
          <w:rFonts w:hint="cs"/>
          <w:rtl/>
        </w:rPr>
        <w:t xml:space="preserve">(קכב:) </w:t>
      </w:r>
      <w:r w:rsidRPr="00014030">
        <w:rPr>
          <w:rStyle w:val="af"/>
          <w:rFonts w:hint="cs"/>
          <w:rtl/>
        </w:rPr>
        <w:t>בדלתות שידה תיבה ומגדל],</w:t>
      </w:r>
      <w:r>
        <w:rPr>
          <w:rFonts w:hint="cs"/>
          <w:rtl/>
        </w:rPr>
        <w:t xml:space="preserve"> דאין בהם בנין וסתירה גמורים, או כמסקנת הגמ' בעירובין דאיירי בקשור בחבל דמותר לחותכו וא"צ לשבור את המגדל, אבל בכל כלי כתבו </w:t>
      </w:r>
      <w:r>
        <w:rPr>
          <w:rFonts w:hint="cs"/>
          <w:b/>
          <w:bCs/>
          <w:rtl/>
        </w:rPr>
        <w:t>התוס' בעירובין</w:t>
      </w:r>
      <w:r>
        <w:rPr>
          <w:rFonts w:hint="cs"/>
          <w:rtl/>
        </w:rPr>
        <w:t xml:space="preserve"> דאסור לשברו דיש סתירה ובנין בכלים, ובחבית בגמ' לקמן</w:t>
      </w:r>
      <w:r>
        <w:rPr>
          <w:rtl/>
        </w:rPr>
        <w:t xml:space="preserve"> </w:t>
      </w:r>
      <w:r w:rsidRPr="00764230">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קמו.</w:t>
      </w:r>
      <w:r w:rsidRPr="00764230">
        <w:rPr>
          <w:rFonts w:ascii="Calibri" w:eastAsia="Times New Roman" w:hAnsi="Calibri" w:cs="Guttman Rashi"/>
          <w:noProof w:val="0"/>
          <w:sz w:val="10"/>
          <w:szCs w:val="12"/>
          <w:rtl/>
        </w:rPr>
        <w:t>)</w:t>
      </w:r>
      <w:r>
        <w:rPr>
          <w:rtl/>
        </w:rPr>
        <w:t xml:space="preserve"> </w:t>
      </w:r>
      <w:r>
        <w:rPr>
          <w:rFonts w:hint="cs"/>
          <w:rtl/>
        </w:rPr>
        <w:t>איירי במוסתקי.</w:t>
      </w:r>
      <w:bookmarkEnd w:id="5723"/>
    </w:p>
    <w:p w14:paraId="13B71F1E" w14:textId="77777777" w:rsidR="003E1AA3" w:rsidRPr="00BC7DC8" w:rsidRDefault="003E1AA3" w:rsidP="003E1AA3">
      <w:pPr>
        <w:pStyle w:val="afffffe"/>
        <w:rPr>
          <w:vanish/>
          <w:rtl/>
        </w:rPr>
      </w:pPr>
      <w:r w:rsidRPr="00BC7DC8">
        <w:rPr>
          <w:vanish/>
          <w:rtl/>
        </w:rPr>
        <w:t>תוספות עירובין ל"ד ע"ב</w:t>
      </w:r>
      <w:r w:rsidRPr="00BC7DC8">
        <w:rPr>
          <w:rFonts w:hint="cs"/>
          <w:vanish/>
          <w:rtl/>
        </w:rPr>
        <w:t xml:space="preserve"> ד"ה ואמאי</w:t>
      </w:r>
    </w:p>
    <w:p w14:paraId="73318B1A" w14:textId="77777777" w:rsidR="003E1AA3" w:rsidRPr="001348C3" w:rsidRDefault="003E1AA3" w:rsidP="003E1AA3">
      <w:pPr>
        <w:pStyle w:val="a2"/>
        <w:tabs>
          <w:tab w:val="num" w:pos="284"/>
        </w:tabs>
      </w:pPr>
      <w:r w:rsidRPr="001348C3">
        <w:rPr>
          <w:rtl/>
        </w:rPr>
        <w:t>ועוד דבכלי נמי שייך בנין וסתירה כדאמר בהבונה (שם דף קב.) האי מאן דעייל שופתא בקופינא דמרא חייב משום בונה והא דקאמר בסמוך דמר סבר כלי הוא ואין בנין בכלים כו' היינו בהנהו דאמר נוטלין אבל לא מחזירין דלא הוי בנין וסתירה גמורה או כדמוקי במסקנא במנעול קטיר במיתנא ומדמוקי לה בקטיר במיתנא משמע דווקא בהכי שרי אבל לשבר הכלי ולקלקלו אסור דשפיר שייך בנין וסתירה בכלים והא דשרי לשבר החבית הא מוקי לה בביצה פרק המביא (דף לג:) במוסתקי פירוש חתיכות המדובקות יחד ואף על גב דאליבא דרבי אליעזר דאמר קטמו להריח בו פטור אבל אסור מוקי לה במוסתקי דפריך ולית ליה לר"א שובר אדם את החבית וכו' לרבנן נמי צריך לאוקומא הכי דמודים אי הוה חייב חטאת לחצות בו שיניו דהוי אסור בקטמו להריח והא דבעי לרב ששת בפרק חבית (שבת דף קמו.) מהו למברז חביתא בבורטיא במוסתקי איירי ומיהו בירושלמי קאמר אמתני' דהכא הדא דתימא במגדל של אבן אבל במגדל של עץ נעשה כשובר את החבית ליטול ממנה גרוגרות משמע דבלא מוסתקי נמי שרי בכלי של עץ.</w:t>
      </w:r>
    </w:p>
    <w:p w14:paraId="4EB2500B" w14:textId="77777777" w:rsidR="003E1AA3" w:rsidRDefault="003E1AA3" w:rsidP="003E1AA3">
      <w:pPr>
        <w:pStyle w:val="afffff7"/>
        <w:rPr>
          <w:rtl/>
        </w:rPr>
      </w:pPr>
      <w:bookmarkStart w:id="5724" w:name="_Toc145234061"/>
      <w:bookmarkStart w:id="5725" w:name="_Toc163506319"/>
      <w:r w:rsidRPr="00066B86">
        <w:rPr>
          <w:rtl/>
        </w:rPr>
        <w:t>תוספות שבת קמ"ו ע"א</w:t>
      </w:r>
      <w:r w:rsidRPr="00066B86">
        <w:rPr>
          <w:rFonts w:hint="cs"/>
          <w:rtl/>
        </w:rPr>
        <w:t xml:space="preserve"> </w:t>
      </w:r>
      <w:r>
        <w:rPr>
          <w:rFonts w:hint="cs"/>
          <w:rtl/>
        </w:rPr>
        <w:t>ד"</w:t>
      </w:r>
      <w:r w:rsidRPr="00066B86">
        <w:rPr>
          <w:rFonts w:hint="cs"/>
          <w:rtl/>
        </w:rPr>
        <w:t>ה שובר</w:t>
      </w:r>
      <w:bookmarkEnd w:id="5724"/>
      <w:bookmarkEnd w:id="5725"/>
    </w:p>
    <w:p w14:paraId="29B5898B" w14:textId="77777777" w:rsidR="003E1AA3" w:rsidRPr="00FC269C" w:rsidRDefault="003E1AA3" w:rsidP="003E1AA3">
      <w:pPr>
        <w:pStyle w:val="afffff7"/>
        <w:rPr>
          <w:rtl/>
        </w:rPr>
      </w:pPr>
      <w:bookmarkStart w:id="5726" w:name="_Toc145234062"/>
      <w:bookmarkStart w:id="5727" w:name="_Toc163506320"/>
      <w:r w:rsidRPr="00FC269C">
        <w:rPr>
          <w:rtl/>
        </w:rPr>
        <w:t>חדושי הרשב"א עירובין ל"ד ע"ב</w:t>
      </w:r>
      <w:r w:rsidRPr="00FC269C">
        <w:rPr>
          <w:rFonts w:hint="cs"/>
          <w:rtl/>
        </w:rPr>
        <w:t xml:space="preserve"> ד"ה הכא.</w:t>
      </w:r>
      <w:bookmarkEnd w:id="5726"/>
      <w:bookmarkEnd w:id="5727"/>
    </w:p>
    <w:p w14:paraId="346A6147" w14:textId="77777777" w:rsidR="003E1AA3" w:rsidRPr="00FC269C" w:rsidRDefault="003E1AA3" w:rsidP="003E1AA3">
      <w:pPr>
        <w:pStyle w:val="afffff7"/>
        <w:rPr>
          <w:rtl/>
        </w:rPr>
      </w:pPr>
      <w:bookmarkStart w:id="5728" w:name="_Toc145234063"/>
      <w:bookmarkStart w:id="5729" w:name="_Toc163506321"/>
      <w:r w:rsidRPr="00FC269C">
        <w:rPr>
          <w:rtl/>
        </w:rPr>
        <w:t>חדושי הריטב"א עירובין ל"ה ע"א</w:t>
      </w:r>
      <w:r w:rsidRPr="00FC269C">
        <w:rPr>
          <w:rFonts w:hint="cs"/>
          <w:rtl/>
        </w:rPr>
        <w:t xml:space="preserve"> ד"ה ואיכא</w:t>
      </w:r>
      <w:bookmarkEnd w:id="5728"/>
      <w:bookmarkEnd w:id="5729"/>
    </w:p>
    <w:p w14:paraId="7022BB14" w14:textId="77777777" w:rsidR="003E1AA3" w:rsidRPr="0054340F" w:rsidRDefault="003E1AA3" w:rsidP="003E1AA3">
      <w:pPr>
        <w:pStyle w:val="a7"/>
        <w:rPr>
          <w:rtl/>
        </w:rPr>
      </w:pPr>
      <w:bookmarkStart w:id="5730" w:name="_Toc145019594"/>
      <w:bookmarkStart w:id="5731" w:name="_Toc145233968"/>
      <w:r>
        <w:rPr>
          <w:rFonts w:hint="cs"/>
          <w:rtl/>
        </w:rPr>
        <w:t>בי' הרשב"א והריטב"א בתוס' דמוסתקי ככלי חוליות שאין בו בנין וסתירה וכלי שלם אסור כמרא</w:t>
      </w:r>
      <w:bookmarkEnd w:id="5730"/>
      <w:bookmarkEnd w:id="5731"/>
    </w:p>
    <w:p w14:paraId="7F6FE9BE" w14:textId="7BD09350" w:rsidR="003E1AA3" w:rsidRPr="005E2596" w:rsidRDefault="003E1AA3" w:rsidP="00BC7DC8">
      <w:pPr>
        <w:pStyle w:val="a3"/>
        <w:rPr>
          <w:rtl/>
        </w:rPr>
      </w:pPr>
      <w:bookmarkStart w:id="5732" w:name="_Ref144655080"/>
      <w:r>
        <w:rPr>
          <w:rFonts w:hint="cs"/>
          <w:rtl/>
        </w:rPr>
        <w:t xml:space="preserve">וכעי"ז תירצו </w:t>
      </w:r>
      <w:r w:rsidRPr="00677FA0">
        <w:rPr>
          <w:rFonts w:hint="cs"/>
          <w:b/>
          <w:bCs/>
          <w:rtl/>
        </w:rPr>
        <w:t>ה</w:t>
      </w:r>
      <w:r w:rsidRPr="00414F75">
        <w:rPr>
          <w:rFonts w:hint="cs"/>
          <w:b/>
          <w:bCs/>
          <w:vanish/>
          <w:rtl/>
        </w:rPr>
        <w:t xml:space="preserve">&lt;, </w:t>
      </w:r>
      <w:r w:rsidRPr="005122AA">
        <w:rPr>
          <w:b/>
          <w:bCs/>
          <w:vanish/>
          <w:rtl/>
        </w:rPr>
        <w:fldChar w:fldCharType="begin"/>
      </w:r>
      <w:r w:rsidRPr="005122AA">
        <w:rPr>
          <w:b/>
          <w:bCs/>
          <w:vanish/>
          <w:rtl/>
        </w:rPr>
        <w:instrText xml:space="preserve"> </w:instrText>
      </w:r>
      <w:r w:rsidRPr="005122AA">
        <w:rPr>
          <w:rFonts w:hint="cs"/>
          <w:b/>
          <w:bCs/>
          <w:vanish/>
        </w:rPr>
        <w:instrText>REF</w:instrText>
      </w:r>
      <w:r w:rsidRPr="005122AA">
        <w:rPr>
          <w:rFonts w:hint="cs"/>
          <w:b/>
          <w:bCs/>
          <w:vanish/>
          <w:rtl/>
        </w:rPr>
        <w:instrText xml:space="preserve"> _</w:instrText>
      </w:r>
      <w:r w:rsidRPr="005122AA">
        <w:rPr>
          <w:rFonts w:hint="cs"/>
          <w:b/>
          <w:bCs/>
          <w:vanish/>
        </w:rPr>
        <w:instrText>Ref144655080 \r \h</w:instrText>
      </w:r>
      <w:r w:rsidRPr="005122AA">
        <w:rPr>
          <w:b/>
          <w:bCs/>
          <w:vanish/>
          <w:rtl/>
        </w:rPr>
        <w:instrText xml:space="preserve">  \* </w:instrText>
      </w:r>
      <w:r w:rsidRPr="005122AA">
        <w:rPr>
          <w:b/>
          <w:bCs/>
          <w:vanish/>
        </w:rPr>
        <w:instrText>MERGEFORMAT</w:instrText>
      </w:r>
      <w:r w:rsidRPr="005122AA">
        <w:rPr>
          <w:b/>
          <w:bCs/>
          <w:vanish/>
          <w:rtl/>
        </w:rPr>
        <w:instrText xml:space="preserve"> </w:instrText>
      </w:r>
      <w:r w:rsidRPr="005122AA">
        <w:rPr>
          <w:b/>
          <w:bCs/>
          <w:vanish/>
          <w:rtl/>
        </w:rPr>
      </w:r>
      <w:r w:rsidRPr="005122AA">
        <w:rPr>
          <w:b/>
          <w:bCs/>
          <w:vanish/>
          <w:rtl/>
        </w:rPr>
        <w:fldChar w:fldCharType="separate"/>
      </w:r>
      <w:r w:rsidR="00D82181">
        <w:rPr>
          <w:b/>
          <w:bCs/>
          <w:vanish/>
          <w:cs/>
        </w:rPr>
        <w:t>‎</w:t>
      </w:r>
      <w:r w:rsidR="00D82181">
        <w:rPr>
          <w:b/>
          <w:bCs/>
          <w:vanish/>
          <w:rtl/>
        </w:rPr>
        <w:t>סה)</w:t>
      </w:r>
      <w:r w:rsidRPr="005122AA">
        <w:rPr>
          <w:b/>
          <w:bCs/>
          <w:vanish/>
          <w:rtl/>
        </w:rPr>
        <w:fldChar w:fldCharType="end"/>
      </w:r>
      <w:r w:rsidRPr="005122AA">
        <w:rPr>
          <w:rFonts w:hint="cs"/>
          <w:b/>
          <w:bCs/>
          <w:vanish/>
          <w:rtl/>
        </w:rPr>
        <w:t xml:space="preserve"> &gt;</w:t>
      </w:r>
      <w:r w:rsidRPr="00677FA0">
        <w:rPr>
          <w:rFonts w:hint="cs"/>
          <w:b/>
          <w:bCs/>
          <w:rtl/>
        </w:rPr>
        <w:t>תוס' לקמן</w:t>
      </w:r>
      <w:r>
        <w:rPr>
          <w:rtl/>
        </w:rPr>
        <w:t xml:space="preserve"> </w:t>
      </w:r>
      <w:r w:rsidRPr="00677FA0">
        <w:rPr>
          <w:rFonts w:ascii="Calibri" w:eastAsia="Times New Roman" w:hAnsi="Calibri" w:cs="Guttman Rashi"/>
          <w:noProof w:val="0"/>
          <w:sz w:val="10"/>
          <w:szCs w:val="12"/>
          <w:rtl/>
        </w:rPr>
        <w:t>(</w:t>
      </w:r>
      <w:r w:rsidRPr="00677FA0">
        <w:rPr>
          <w:rFonts w:ascii="Calibri" w:eastAsia="Times New Roman" w:hAnsi="Calibri" w:cs="Guttman Rashi" w:hint="cs"/>
          <w:noProof w:val="0"/>
          <w:sz w:val="10"/>
          <w:szCs w:val="12"/>
          <w:rtl/>
        </w:rPr>
        <w:t>קמו. ד"ה שובר</w:t>
      </w:r>
      <w:r w:rsidRPr="00677FA0">
        <w:rPr>
          <w:rFonts w:ascii="Calibri" w:eastAsia="Times New Roman" w:hAnsi="Calibri" w:cs="Guttman Rashi"/>
          <w:noProof w:val="0"/>
          <w:sz w:val="10"/>
          <w:szCs w:val="12"/>
          <w:rtl/>
        </w:rPr>
        <w:t>)</w:t>
      </w:r>
      <w:r w:rsidRPr="00677FA0">
        <w:rPr>
          <w:vanish/>
          <w:rtl/>
        </w:rPr>
        <w:t>=</w:t>
      </w:r>
      <w:r>
        <w:rPr>
          <w:rtl/>
        </w:rPr>
        <w:t xml:space="preserve"> </w:t>
      </w:r>
      <w:r>
        <w:rPr>
          <w:rFonts w:hint="cs"/>
          <w:rtl/>
        </w:rPr>
        <w:t>דמבואר בגמ' בביצה</w:t>
      </w:r>
      <w:r>
        <w:rPr>
          <w:rtl/>
        </w:rPr>
        <w:t xml:space="preserve"> </w:t>
      </w:r>
      <w:r w:rsidRPr="00677FA0">
        <w:rPr>
          <w:rFonts w:ascii="Calibri" w:eastAsia="Times New Roman" w:hAnsi="Calibri" w:cs="Guttman Rashi"/>
          <w:noProof w:val="0"/>
          <w:sz w:val="10"/>
          <w:szCs w:val="12"/>
          <w:rtl/>
        </w:rPr>
        <w:t>(</w:t>
      </w:r>
      <w:r w:rsidRPr="00677FA0">
        <w:rPr>
          <w:rFonts w:ascii="Calibri" w:eastAsia="Times New Roman" w:hAnsi="Calibri" w:cs="Guttman Rashi" w:hint="cs"/>
          <w:noProof w:val="0"/>
          <w:sz w:val="10"/>
          <w:szCs w:val="12"/>
          <w:rtl/>
        </w:rPr>
        <w:t>לג:</w:t>
      </w:r>
      <w:r w:rsidRPr="00677FA0">
        <w:rPr>
          <w:rFonts w:ascii="Calibri" w:eastAsia="Times New Roman" w:hAnsi="Calibri" w:cs="Guttman Rashi"/>
          <w:noProof w:val="0"/>
          <w:sz w:val="10"/>
          <w:szCs w:val="12"/>
          <w:rtl/>
        </w:rPr>
        <w:t>)</w:t>
      </w:r>
      <w:r>
        <w:rPr>
          <w:rtl/>
        </w:rPr>
        <w:t xml:space="preserve"> </w:t>
      </w:r>
      <w:r>
        <w:rPr>
          <w:rFonts w:hint="cs"/>
          <w:rtl/>
        </w:rPr>
        <w:t>דההיתר בשבירת חבית הוא כיון דאיירי</w:t>
      </w:r>
      <w:r w:rsidRPr="00193D5F">
        <w:rPr>
          <w:rFonts w:hint="cs"/>
          <w:rtl/>
        </w:rPr>
        <w:t xml:space="preserve"> </w:t>
      </w:r>
      <w:r>
        <w:rPr>
          <w:rFonts w:hint="cs"/>
          <w:rtl/>
        </w:rPr>
        <w:t xml:space="preserve">בחבית דמוסתקי </w:t>
      </w:r>
      <w:r w:rsidRPr="00193D5F">
        <w:rPr>
          <w:rStyle w:val="af"/>
          <w:rFonts w:hint="cs"/>
          <w:rtl/>
        </w:rPr>
        <w:t>[וכדביאר</w:t>
      </w:r>
      <w:r w:rsidRPr="00193D5F">
        <w:rPr>
          <w:rStyle w:val="af"/>
          <w:rtl/>
        </w:rPr>
        <w:t xml:space="preserve"> </w:t>
      </w:r>
      <w:r w:rsidRPr="00193D5F">
        <w:rPr>
          <w:rStyle w:val="aff9"/>
          <w:rFonts w:hint="cs"/>
          <w:rtl/>
        </w:rPr>
        <w:t>רש"י בביצה</w:t>
      </w:r>
      <w:r w:rsidRPr="00193D5F">
        <w:rPr>
          <w:rStyle w:val="af"/>
          <w:rtl/>
        </w:rPr>
        <w:t xml:space="preserve"> </w:t>
      </w:r>
      <w:r w:rsidRPr="004A64F7">
        <w:rPr>
          <w:rStyle w:val="aff0"/>
          <w:rtl/>
        </w:rPr>
        <w:t>(</w:t>
      </w:r>
      <w:r w:rsidRPr="00193D5F">
        <w:rPr>
          <w:rStyle w:val="aff0"/>
          <w:rFonts w:hint="cs"/>
          <w:rtl/>
        </w:rPr>
        <w:t>לג: ד"ה במוסתקי</w:t>
      </w:r>
      <w:r w:rsidRPr="00193D5F">
        <w:rPr>
          <w:rStyle w:val="aff0"/>
          <w:rtl/>
        </w:rPr>
        <w:t xml:space="preserve">) </w:t>
      </w:r>
      <w:r w:rsidRPr="00193D5F">
        <w:rPr>
          <w:rStyle w:val="af"/>
          <w:rFonts w:hint="cs"/>
          <w:rtl/>
        </w:rPr>
        <w:t xml:space="preserve">דהוא חבית שבורה שהדביקו אותה, וכיון שהיא גרועה אינו חס עליה ולא חיישינן שיתכוין לעשות כלי], </w:t>
      </w:r>
      <w:r>
        <w:rPr>
          <w:rFonts w:hint="cs"/>
          <w:rtl/>
        </w:rPr>
        <w:t xml:space="preserve">והוסיף </w:t>
      </w:r>
      <w:r w:rsidRPr="0054340F">
        <w:rPr>
          <w:rFonts w:hint="cs"/>
          <w:b/>
          <w:bCs/>
          <w:rtl/>
        </w:rPr>
        <w:t>ה</w:t>
      </w:r>
      <w:r>
        <w:rPr>
          <w:rFonts w:hint="cs"/>
          <w:b/>
          <w:bCs/>
          <w:vanish/>
          <w:rtl/>
        </w:rPr>
        <w:t>&lt; &gt;</w:t>
      </w:r>
      <w:r w:rsidRPr="0054340F">
        <w:rPr>
          <w:b/>
          <w:bCs/>
          <w:vanish/>
          <w:rtl/>
        </w:rPr>
        <w:t xml:space="preserve"> </w:t>
      </w:r>
      <w:r w:rsidRPr="0054340F">
        <w:rPr>
          <w:rFonts w:hint="cs"/>
          <w:b/>
          <w:bCs/>
          <w:rtl/>
        </w:rPr>
        <w:t xml:space="preserve">רשב"א בעירובין </w:t>
      </w:r>
      <w:r w:rsidRPr="0054340F">
        <w:rPr>
          <w:rFonts w:ascii="Calibri" w:eastAsia="Times New Roman" w:hAnsi="Calibri" w:cs="Guttman Rashi"/>
          <w:noProof w:val="0"/>
          <w:sz w:val="10"/>
          <w:szCs w:val="12"/>
          <w:rtl/>
        </w:rPr>
        <w:t>(</w:t>
      </w:r>
      <w:r w:rsidRPr="0054340F">
        <w:rPr>
          <w:rFonts w:ascii="Calibri" w:eastAsia="Times New Roman" w:hAnsi="Calibri" w:cs="Guttman Rashi" w:hint="cs"/>
          <w:noProof w:val="0"/>
          <w:sz w:val="10"/>
          <w:szCs w:val="12"/>
          <w:rtl/>
        </w:rPr>
        <w:t>לד: ד"ה הכא</w:t>
      </w:r>
      <w:r w:rsidRPr="0054340F">
        <w:rPr>
          <w:rFonts w:ascii="Calibri" w:eastAsia="Times New Roman" w:hAnsi="Calibri" w:cs="Guttman Rashi"/>
          <w:noProof w:val="0"/>
          <w:sz w:val="10"/>
          <w:szCs w:val="12"/>
          <w:rtl/>
        </w:rPr>
        <w:t>)</w:t>
      </w:r>
      <w:r w:rsidRPr="0054340F">
        <w:rPr>
          <w:vanish/>
          <w:rtl/>
        </w:rPr>
        <w:t>=</w:t>
      </w:r>
      <w:r>
        <w:rPr>
          <w:rFonts w:hint="cs"/>
          <w:rtl/>
        </w:rPr>
        <w:t xml:space="preserve"> דדמי לכלי של חוליות שאין בו בנין וסתירה, וכן הוסיף </w:t>
      </w:r>
      <w:r w:rsidRPr="0054340F">
        <w:rPr>
          <w:b/>
          <w:bCs/>
          <w:rtl/>
        </w:rPr>
        <w:t>ה</w:t>
      </w:r>
      <w:r w:rsidRPr="0054340F">
        <w:rPr>
          <w:rFonts w:hint="cs"/>
          <w:b/>
          <w:bCs/>
          <w:vanish/>
          <w:rtl/>
        </w:rPr>
        <w:t>&lt; &gt;</w:t>
      </w:r>
      <w:r w:rsidRPr="0054340F">
        <w:rPr>
          <w:rFonts w:hint="cs"/>
          <w:b/>
          <w:bCs/>
          <w:rtl/>
        </w:rPr>
        <w:t>ריטב"א בעירובין</w:t>
      </w:r>
      <w:r w:rsidRPr="0054340F">
        <w:rPr>
          <w:b/>
          <w:bCs/>
          <w:rtl/>
        </w:rPr>
        <w:t xml:space="preserve"> </w:t>
      </w:r>
      <w:r w:rsidRPr="0054340F">
        <w:rPr>
          <w:rFonts w:ascii="Calibri" w:eastAsia="Times New Roman" w:hAnsi="Calibri" w:cs="Guttman Rashi"/>
          <w:noProof w:val="0"/>
          <w:sz w:val="10"/>
          <w:szCs w:val="12"/>
          <w:rtl/>
        </w:rPr>
        <w:t>(</w:t>
      </w:r>
      <w:r w:rsidRPr="0054340F">
        <w:rPr>
          <w:rFonts w:ascii="Calibri" w:eastAsia="Times New Roman" w:hAnsi="Calibri" w:cs="Guttman Rashi" w:hint="cs"/>
          <w:noProof w:val="0"/>
          <w:sz w:val="10"/>
          <w:szCs w:val="12"/>
          <w:rtl/>
        </w:rPr>
        <w:t>לה. ד"ה ואיכא</w:t>
      </w:r>
      <w:r w:rsidRPr="0054340F">
        <w:rPr>
          <w:rFonts w:ascii="Calibri" w:eastAsia="Times New Roman" w:hAnsi="Calibri" w:cs="Guttman Rashi"/>
          <w:noProof w:val="0"/>
          <w:sz w:val="10"/>
          <w:szCs w:val="12"/>
          <w:rtl/>
        </w:rPr>
        <w:t>)</w:t>
      </w:r>
      <w:r>
        <w:rPr>
          <w:rFonts w:hint="cs"/>
          <w:rtl/>
        </w:rPr>
        <w:t xml:space="preserve"> בשם</w:t>
      </w:r>
      <w:r>
        <w:rPr>
          <w:rtl/>
        </w:rPr>
        <w:t xml:space="preserve"> </w:t>
      </w:r>
      <w:r w:rsidRPr="0054340F">
        <w:rPr>
          <w:rFonts w:hint="cs"/>
          <w:b/>
          <w:bCs/>
          <w:rtl/>
        </w:rPr>
        <w:t>ר"י</w:t>
      </w:r>
      <w:r w:rsidRPr="0054340F">
        <w:rPr>
          <w:vanish/>
          <w:rtl/>
        </w:rPr>
        <w:t>=</w:t>
      </w:r>
      <w:r>
        <w:rPr>
          <w:rtl/>
        </w:rPr>
        <w:t xml:space="preserve"> </w:t>
      </w:r>
      <w:r>
        <w:rPr>
          <w:rFonts w:hint="cs"/>
          <w:rtl/>
        </w:rPr>
        <w:t>דבגמ' לקמן איירי בחבית דמוסתקי שהיא כמנורה של חוליות ומטה של טרסיים ותריסי החנויות, דאין בהם בנין וסתירה, אבל בכלי שלם דאינו כלי של חוליות, והחיבור שלו הוא חיבור גמור במסמרים וכדומה, יש בו בנין וסתירה, כדאיתא בגמ' בסוגיין דמעייל שופתא בקופינא דמרא חייב משום בונה, כיון דהוא חיבור גמור, אך הביאו</w:t>
      </w:r>
      <w:r>
        <w:rPr>
          <w:rtl/>
        </w:rPr>
        <w:t xml:space="preserve"> </w:t>
      </w:r>
      <w:r>
        <w:rPr>
          <w:rFonts w:hint="cs"/>
          <w:b/>
          <w:bCs/>
          <w:rtl/>
        </w:rPr>
        <w:t>התוס' לקמן ובעירובין</w:t>
      </w:r>
      <w:r>
        <w:rPr>
          <w:rtl/>
        </w:rPr>
        <w:t xml:space="preserve"> </w:t>
      </w:r>
      <w:r>
        <w:rPr>
          <w:rFonts w:hint="cs"/>
          <w:rtl/>
        </w:rPr>
        <w:t>דאיתא בירושלמי בעירובין</w:t>
      </w:r>
      <w:r>
        <w:rPr>
          <w:rtl/>
        </w:rPr>
        <w:t xml:space="preserve"> </w:t>
      </w:r>
      <w:r w:rsidRPr="0094725C">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פ"ג ה"ג, כב.</w:t>
      </w:r>
      <w:r w:rsidRPr="0094725C">
        <w:rPr>
          <w:rFonts w:ascii="Calibri" w:eastAsia="Times New Roman" w:hAnsi="Calibri" w:cs="Guttman Rashi"/>
          <w:noProof w:val="0"/>
          <w:sz w:val="10"/>
          <w:szCs w:val="12"/>
          <w:rtl/>
        </w:rPr>
        <w:t>)</w:t>
      </w:r>
      <w:r>
        <w:rPr>
          <w:rtl/>
        </w:rPr>
        <w:t xml:space="preserve"> </w:t>
      </w:r>
      <w:r>
        <w:rPr>
          <w:rFonts w:hint="cs"/>
          <w:rtl/>
        </w:rPr>
        <w:t>דמגדל של עץ מותר לשוברו אף שאינו מוסתקי, ועי' במה שהקשה</w:t>
      </w:r>
      <w:r>
        <w:rPr>
          <w:rtl/>
        </w:rPr>
        <w:t xml:space="preserve"> </w:t>
      </w:r>
      <w:r w:rsidRPr="00904958">
        <w:rPr>
          <w:rStyle w:val="aff4"/>
          <w:rtl/>
        </w:rPr>
        <w:t>ה</w:t>
      </w:r>
      <w:r w:rsidRPr="000175A6">
        <w:rPr>
          <w:rStyle w:val="aff4"/>
          <w:rFonts w:hint="cs"/>
          <w:vanish/>
          <w:rtl/>
        </w:rPr>
        <w:t>&lt; &gt;</w:t>
      </w:r>
      <w:r w:rsidRPr="00904958">
        <w:rPr>
          <w:rStyle w:val="aff4"/>
          <w:rFonts w:hint="cs"/>
          <w:rtl/>
        </w:rPr>
        <w:t>רשב"א לקמן</w:t>
      </w:r>
      <w:r w:rsidRPr="00BC4F21">
        <w:rPr>
          <w:rtl/>
        </w:rPr>
        <w:t xml:space="preserve"> </w:t>
      </w:r>
      <w:r w:rsidRPr="00BC4F21">
        <w:rPr>
          <w:rFonts w:ascii="Calibri" w:eastAsia="Times New Roman" w:hAnsi="Calibri" w:cs="Guttman Rashi"/>
          <w:noProof w:val="0"/>
          <w:sz w:val="10"/>
          <w:szCs w:val="12"/>
          <w:rtl/>
        </w:rPr>
        <w:t>(</w:t>
      </w:r>
      <w:r w:rsidRPr="00BC4F21">
        <w:rPr>
          <w:rFonts w:ascii="Calibri" w:eastAsia="Times New Roman" w:hAnsi="Calibri" w:cs="Guttman Rashi" w:hint="cs"/>
          <w:noProof w:val="0"/>
          <w:sz w:val="10"/>
          <w:szCs w:val="12"/>
          <w:rtl/>
        </w:rPr>
        <w:t>קמו. ד"ה ואף</w:t>
      </w:r>
      <w:r w:rsidRPr="00BC4F21">
        <w:rPr>
          <w:rFonts w:ascii="Calibri" w:eastAsia="Times New Roman" w:hAnsi="Calibri" w:cs="Guttman Rashi"/>
          <w:noProof w:val="0"/>
          <w:sz w:val="10"/>
          <w:szCs w:val="12"/>
          <w:rtl/>
        </w:rPr>
        <w:t>)</w:t>
      </w:r>
      <w:r w:rsidRPr="00BC4F21">
        <w:rPr>
          <w:vanish/>
          <w:rtl/>
        </w:rPr>
        <w:t>=</w:t>
      </w:r>
      <w:r>
        <w:rPr>
          <w:rtl/>
        </w:rPr>
        <w:t xml:space="preserve"> </w:t>
      </w:r>
      <w:r w:rsidRPr="00904958">
        <w:rPr>
          <w:rStyle w:val="aff4"/>
          <w:rFonts w:hint="cs"/>
          <w:rtl/>
        </w:rPr>
        <w:t>ובעירובין</w:t>
      </w:r>
      <w:r w:rsidRPr="00BC4F21">
        <w:rPr>
          <w:rFonts w:hint="cs"/>
          <w:rtl/>
        </w:rPr>
        <w:t xml:space="preserve"> </w:t>
      </w:r>
      <w:r>
        <w:rPr>
          <w:rFonts w:hint="cs"/>
          <w:rtl/>
        </w:rPr>
        <w:t>על ביאור</w:t>
      </w:r>
      <w:r>
        <w:rPr>
          <w:rtl/>
        </w:rPr>
        <w:t xml:space="preserve"> </w:t>
      </w:r>
      <w:r w:rsidRPr="00904958">
        <w:rPr>
          <w:rStyle w:val="aff4"/>
          <w:rFonts w:hint="cs"/>
          <w:rtl/>
        </w:rPr>
        <w:t>התוס'</w:t>
      </w:r>
      <w:r>
        <w:rPr>
          <w:rFonts w:hint="cs"/>
          <w:rtl/>
        </w:rPr>
        <w:t>.</w:t>
      </w:r>
      <w:bookmarkEnd w:id="5732"/>
    </w:p>
    <w:p w14:paraId="03672B6B" w14:textId="77777777" w:rsidR="003E1AA3" w:rsidRPr="00BC7DC8" w:rsidRDefault="003E1AA3" w:rsidP="003E1AA3">
      <w:pPr>
        <w:pStyle w:val="afffffe"/>
        <w:rPr>
          <w:vanish/>
          <w:rtl/>
        </w:rPr>
      </w:pPr>
      <w:r w:rsidRPr="00BC7DC8">
        <w:rPr>
          <w:vanish/>
          <w:rtl/>
        </w:rPr>
        <w:t>תוספות שבת קמ"ו ע"א</w:t>
      </w:r>
      <w:r w:rsidRPr="00BC7DC8">
        <w:rPr>
          <w:rFonts w:hint="cs"/>
          <w:vanish/>
          <w:rtl/>
        </w:rPr>
        <w:t xml:space="preserve"> ד"ה שובר</w:t>
      </w:r>
    </w:p>
    <w:p w14:paraId="27F9520F" w14:textId="77777777" w:rsidR="003E1AA3" w:rsidRPr="00FC2169" w:rsidRDefault="003E1AA3" w:rsidP="003E1AA3">
      <w:pPr>
        <w:pStyle w:val="a2"/>
        <w:tabs>
          <w:tab w:val="num" w:pos="284"/>
        </w:tabs>
        <w:rPr>
          <w:rtl/>
        </w:rPr>
      </w:pPr>
      <w:r w:rsidRPr="0018388A">
        <w:rPr>
          <w:rtl/>
        </w:rPr>
        <w:t xml:space="preserve">ונראה דהתם אסור לשבר את המגדל והכא דשרי לשבר את החבית משום דמיירי במוסתקי כדמוקי לה בביצה פרק המביא כדי יין (דף לג: ושם) ומפ' רש"י התם דהיינו חבית שבורה ומדבקין שבריה בשרף של עץ שעושה ממנו זפת וקורין ריישנ"א ומש"ה דוקא חבית שרי דמחמת גריעותו לא חייס עליה וליכא למיחש שמא יתכוין לעשות כלי וכן כולה שמעתא דהכא במוסתקי </w:t>
      </w:r>
      <w:r w:rsidRPr="00FC2169">
        <w:rPr>
          <w:rStyle w:val="afff7"/>
          <w:rtl/>
        </w:rPr>
        <w:t>ואף על גב דהתם בביצה לא מוקמינן הכי אלא לר"א דפריך ולית ליה לר"א הא דתנן שובר אדם את החבית כו' ועלה משני מתני' במוסתקי מ"מ אפילו לרבנן מיבעי לאוקמי הכי דרבנן לא פליגי אדר"א דקאמר לא יקטמנו פי' לא יקטום את ההדס להריח בו אלא משום דאיהו סבירא ליה דבקטימת קיסם חייב חטאת כשקוטמו לחצות בו שיניו וא"כ אי לא מוקמינן לה במוסתקי עלייהו איכא למיפרך ולית להו הא דתנן כו' הלכך מיבעי לן למימר דאליבא דכולהו מיירי מתניתין במוסתקי והשתא אתיא שמעתא שפיר, מ"ר.</w:t>
      </w:r>
      <w:r w:rsidRPr="00CB5EB7">
        <w:rPr>
          <w:rtl/>
        </w:rPr>
        <w:t xml:space="preserve"> </w:t>
      </w:r>
      <w:r w:rsidRPr="002E340A">
        <w:rPr>
          <w:rtl/>
        </w:rPr>
        <w:t>ובגמ' ירושלמי בפרק בכל מערבין מצאתי הדא דתימא במגדל של אבן אבל במגדל של עץ נעשה כשובר החבית לאכול ממנה גרוגרות.</w:t>
      </w:r>
    </w:p>
    <w:p w14:paraId="22CDC70B" w14:textId="77777777" w:rsidR="003E1AA3" w:rsidRPr="00BC7DC8" w:rsidRDefault="003E1AA3" w:rsidP="003E1AA3">
      <w:pPr>
        <w:pStyle w:val="afffffe"/>
        <w:rPr>
          <w:vanish/>
          <w:rtl/>
        </w:rPr>
      </w:pPr>
      <w:r w:rsidRPr="00BC7DC8">
        <w:rPr>
          <w:vanish/>
          <w:rtl/>
        </w:rPr>
        <w:t>תוספות עירובין ל"ד ע"ב</w:t>
      </w:r>
      <w:r w:rsidRPr="00BC7DC8">
        <w:rPr>
          <w:rFonts w:hint="cs"/>
          <w:vanish/>
          <w:rtl/>
        </w:rPr>
        <w:t xml:space="preserve"> ד"ה ואמאי</w:t>
      </w:r>
    </w:p>
    <w:p w14:paraId="4B59B04F" w14:textId="77777777" w:rsidR="003E1AA3" w:rsidRPr="001348C3" w:rsidRDefault="003E1AA3" w:rsidP="003E1AA3">
      <w:pPr>
        <w:pStyle w:val="afffff5"/>
      </w:pPr>
      <w:r w:rsidRPr="001348C3">
        <w:rPr>
          <w:rtl/>
        </w:rPr>
        <w:t>ומיהו בירושלמי קאמר אמתני' דהכא הדא דתימא במגדל של אבן אבל במגדל של עץ נעשה כשובר את החבית ליטול ממנה גרוגרות משמע דבלא מוסתקי נמי שרי בכלי של עץ.</w:t>
      </w:r>
    </w:p>
    <w:p w14:paraId="4ACDB332" w14:textId="77777777" w:rsidR="003E1AA3" w:rsidRPr="00BC7DC8" w:rsidRDefault="003E1AA3" w:rsidP="003E1AA3">
      <w:pPr>
        <w:pStyle w:val="afffffe"/>
        <w:rPr>
          <w:vanish/>
          <w:rtl/>
        </w:rPr>
      </w:pPr>
      <w:r w:rsidRPr="00BC7DC8">
        <w:rPr>
          <w:vanish/>
          <w:rtl/>
        </w:rPr>
        <w:t>חדושי הרשב"א עירובין ל"ד ע"ב</w:t>
      </w:r>
      <w:r w:rsidRPr="00BC7DC8">
        <w:rPr>
          <w:rFonts w:hint="cs"/>
          <w:vanish/>
          <w:rtl/>
        </w:rPr>
        <w:t xml:space="preserve"> ד"ה הכא</w:t>
      </w:r>
    </w:p>
    <w:p w14:paraId="50605F9A" w14:textId="77777777" w:rsidR="003E1AA3" w:rsidRDefault="003E1AA3" w:rsidP="003E1AA3">
      <w:pPr>
        <w:pStyle w:val="afffff5"/>
        <w:rPr>
          <w:rtl/>
        </w:rPr>
      </w:pPr>
      <w:r w:rsidRPr="002E340A">
        <w:rPr>
          <w:rtl/>
        </w:rPr>
        <w:t>ויש מי שתירץ דההיא דחבית דוקא בשל חוליות ומחוברת במוסתקי וכדמוקי לה ביום טוב [לג ב'], ואינו מחוור בעיני שאין הסוגיא שלשם מוכחת כן במסקנא אליבא דהלכתא, וכן הסוגיא שבפרק חבית, וכבר הארכתי בה בפרק חבית בס"ד</w:t>
      </w:r>
      <w:r>
        <w:rPr>
          <w:rFonts w:hint="cs"/>
          <w:rtl/>
        </w:rPr>
        <w:t>.</w:t>
      </w:r>
    </w:p>
    <w:p w14:paraId="1C407A01" w14:textId="77777777" w:rsidR="003E1AA3" w:rsidRPr="00BC7DC8" w:rsidRDefault="003E1AA3" w:rsidP="003E1AA3">
      <w:pPr>
        <w:pStyle w:val="afffffe"/>
        <w:rPr>
          <w:vanish/>
          <w:rtl/>
        </w:rPr>
      </w:pPr>
      <w:r w:rsidRPr="00BC7DC8">
        <w:rPr>
          <w:vanish/>
          <w:rtl/>
        </w:rPr>
        <w:t>חדושי הרשב"א שבת קמ"ו ע"א</w:t>
      </w:r>
      <w:r w:rsidRPr="00BC7DC8">
        <w:rPr>
          <w:rFonts w:hint="cs"/>
          <w:vanish/>
          <w:rtl/>
        </w:rPr>
        <w:t xml:space="preserve"> ד"ה ואף</w:t>
      </w:r>
    </w:p>
    <w:p w14:paraId="709530C8" w14:textId="77777777" w:rsidR="003E1AA3" w:rsidRPr="000505FB" w:rsidRDefault="003E1AA3" w:rsidP="003E1AA3">
      <w:pPr>
        <w:pStyle w:val="afffff5"/>
        <w:rPr>
          <w:rStyle w:val="afff7"/>
          <w:rFonts w:ascii="David" w:hAnsi="David" w:cs="David"/>
          <w:color w:val="auto"/>
          <w:sz w:val="22"/>
          <w:szCs w:val="22"/>
          <w:rtl/>
        </w:rPr>
      </w:pPr>
      <w:r w:rsidRPr="00376323">
        <w:rPr>
          <w:rStyle w:val="afff7"/>
          <w:rtl/>
        </w:rPr>
        <w:t>ואף פירוש זה אינו מחוור בעיני מדאמרינן בגמ' דבעו מיניה מרב ששת מהו למיברז חביתא בבורטיא לפיתחא קא מכוין ואסור או דלמא לעין יפה קא מכוין ושרי, ובודאי מיברז חביתא בגופה דחביתא משמע ואפ"ה כל דלא מכוין לפיתחא שרי, ועוד דאם איתא הא דאמרי רבה בר רב הונא ורבין בריה דרב אדא (ביצה ל"ג ב') כי הוינן בי רב יהודה הוה מפשח ויהיב לנא אלוותא אלוותא אף על גב דחזיא לקתתא דנגרי וחציני כמאן תרמייה, והתם אוקימנא להא כרבנן, והתם מדמינן ההיא להא דחבית ולא מתוקמא לעולם אלא כרב יהודה, אלא דמשום דלא תיקשי מתניתין לרבי אליעזר, כלומר דלא נימא דלית ליה לרבי אליעזר מתניתין דשובר את החבית, איצטריך לדחוקה ולאוקמה למתניתין במוסתקי, אבל ההיא דאלוותא אלוותא לעולם רבנן ולא רבי אליעזר, ואם איתא דמתניתין לרבנן נמי דוקא במוסתקי, דרב יהודה כמאן, אלא נראה דבין כך ובין כך לרבנן שרי, דלעין יפה קא מכוין</w:t>
      </w:r>
      <w:r w:rsidRPr="00376323">
        <w:rPr>
          <w:rStyle w:val="afff7"/>
          <w:rFonts w:hint="cs"/>
          <w:rtl/>
        </w:rPr>
        <w:t>.</w:t>
      </w:r>
    </w:p>
    <w:p w14:paraId="267D603E" w14:textId="77777777" w:rsidR="003E1AA3" w:rsidRPr="00BC7DC8" w:rsidRDefault="003E1AA3" w:rsidP="003E1AA3">
      <w:pPr>
        <w:pStyle w:val="afffffe"/>
        <w:rPr>
          <w:vanish/>
          <w:rtl/>
        </w:rPr>
      </w:pPr>
      <w:r w:rsidRPr="00BC7DC8">
        <w:rPr>
          <w:vanish/>
          <w:rtl/>
        </w:rPr>
        <w:t>חדושי הריטב"א עירובין ל"ה ע"א</w:t>
      </w:r>
      <w:r w:rsidRPr="00BC7DC8">
        <w:rPr>
          <w:rFonts w:hint="cs"/>
          <w:vanish/>
          <w:rtl/>
        </w:rPr>
        <w:t xml:space="preserve"> ד"ה ואיכא</w:t>
      </w:r>
    </w:p>
    <w:p w14:paraId="32E20078" w14:textId="77777777" w:rsidR="003E1AA3" w:rsidRPr="002E340A" w:rsidRDefault="003E1AA3" w:rsidP="003E1AA3">
      <w:pPr>
        <w:pStyle w:val="afffff5"/>
        <w:rPr>
          <w:rtl/>
        </w:rPr>
      </w:pPr>
      <w:r w:rsidRPr="002E340A">
        <w:rPr>
          <w:rtl/>
        </w:rPr>
        <w:t>ור"י ז"ל תירץ דשניא ההיא דחבית דמיירי בשל מוצטאקי כדאוקימנא במסכת יום טוב (ביצה ל"ג ב'), וכיון דכן הויא לה כמנורה של חוליות ומטה של טרסיים ותריסי חנויות שאין בהם בנין וסתירה, אבל במה שהוא כלי שלם כלומר שאינו של חוליות וחיבורו חיבור גמור במסמרים וכיוצא בו יש בו בנין וסתירה וכדאמרינן התם (שבת ק"ב ב') עייל שופתא בקופינא דמרא חייב משום בונה מפני שחיבורו חיבור גמור ע"כ.</w:t>
      </w:r>
    </w:p>
    <w:p w14:paraId="2338BC2F" w14:textId="77777777" w:rsidR="003E1AA3" w:rsidRPr="00FC269C" w:rsidRDefault="003E1AA3" w:rsidP="003E1AA3">
      <w:pPr>
        <w:pStyle w:val="afffff7"/>
        <w:rPr>
          <w:rtl/>
        </w:rPr>
      </w:pPr>
      <w:bookmarkStart w:id="5733" w:name="_Toc145234064"/>
      <w:bookmarkStart w:id="5734" w:name="_Toc163506322"/>
      <w:r w:rsidRPr="00FC269C">
        <w:rPr>
          <w:rtl/>
        </w:rPr>
        <w:t>תוספות הרא"ש עירובין ל"ד ע"ב</w:t>
      </w:r>
      <w:r w:rsidRPr="00FC269C">
        <w:rPr>
          <w:rFonts w:hint="cs"/>
          <w:rtl/>
        </w:rPr>
        <w:t xml:space="preserve"> ד"ה הכא</w:t>
      </w:r>
      <w:bookmarkEnd w:id="5733"/>
      <w:bookmarkEnd w:id="5734"/>
    </w:p>
    <w:p w14:paraId="52982094" w14:textId="77777777" w:rsidR="003E1AA3" w:rsidRPr="00FC269C" w:rsidRDefault="003E1AA3" w:rsidP="003E1AA3">
      <w:pPr>
        <w:pStyle w:val="afffff7"/>
        <w:rPr>
          <w:rtl/>
        </w:rPr>
      </w:pPr>
      <w:bookmarkStart w:id="5735" w:name="_Toc145234065"/>
      <w:bookmarkStart w:id="5736" w:name="_Toc163506323"/>
      <w:r w:rsidRPr="00FC269C">
        <w:rPr>
          <w:rtl/>
        </w:rPr>
        <w:t>תוספות רבינו פרץ עירובין ל"ד ע"ב</w:t>
      </w:r>
      <w:r w:rsidRPr="00FC269C">
        <w:rPr>
          <w:rFonts w:hint="cs"/>
          <w:rtl/>
        </w:rPr>
        <w:t xml:space="preserve"> ד"ה הכא</w:t>
      </w:r>
      <w:bookmarkEnd w:id="5735"/>
      <w:bookmarkEnd w:id="5736"/>
    </w:p>
    <w:p w14:paraId="3126AEE0" w14:textId="77777777" w:rsidR="003E1AA3" w:rsidRPr="00433AE8" w:rsidRDefault="003E1AA3" w:rsidP="003E1AA3">
      <w:pPr>
        <w:pStyle w:val="a7"/>
        <w:rPr>
          <w:rtl/>
        </w:rPr>
      </w:pPr>
      <w:bookmarkStart w:id="5737" w:name="_Toc145019596"/>
      <w:bookmarkStart w:id="5738" w:name="_Toc145233969"/>
      <w:r>
        <w:rPr>
          <w:rFonts w:hint="cs"/>
          <w:rtl/>
        </w:rPr>
        <w:t>בי' תורא"ש ותור"פ דבסתירה חשובה ובנין חשוב יש בנין וסתירה בכלי ומוסתקי וחוליות מותר</w:t>
      </w:r>
      <w:bookmarkEnd w:id="5737"/>
      <w:bookmarkEnd w:id="5738"/>
    </w:p>
    <w:p w14:paraId="340F8A70" w14:textId="088A9BE3" w:rsidR="003E1AA3" w:rsidRDefault="003E1AA3" w:rsidP="00BC7DC8">
      <w:pPr>
        <w:pStyle w:val="a3"/>
      </w:pPr>
      <w:bookmarkStart w:id="5739" w:name="_Ref144654706"/>
      <w:r>
        <w:rPr>
          <w:rFonts w:hint="cs"/>
          <w:rtl/>
        </w:rPr>
        <w:t xml:space="preserve">וכ"כ </w:t>
      </w:r>
      <w:r>
        <w:rPr>
          <w:rFonts w:hint="cs"/>
          <w:b/>
          <w:bCs/>
          <w:rtl/>
        </w:rPr>
        <w:t>ה</w:t>
      </w:r>
      <w:r>
        <w:rPr>
          <w:rFonts w:hint="cs"/>
          <w:b/>
          <w:bCs/>
          <w:vanish/>
          <w:rtl/>
        </w:rPr>
        <w:t xml:space="preserve">&lt;, </w:t>
      </w:r>
      <w:r>
        <w:rPr>
          <w:b/>
          <w:bCs/>
          <w:vanish/>
          <w:rtl/>
        </w:rPr>
        <w:fldChar w:fldCharType="begin"/>
      </w:r>
      <w:r>
        <w:rPr>
          <w:b/>
          <w:bCs/>
          <w:vanish/>
          <w:rtl/>
        </w:rPr>
        <w:instrText xml:space="preserve"> </w:instrText>
      </w:r>
      <w:r>
        <w:rPr>
          <w:rFonts w:hint="cs"/>
          <w:b/>
          <w:bCs/>
          <w:vanish/>
        </w:rPr>
        <w:instrText>REF</w:instrText>
      </w:r>
      <w:r>
        <w:rPr>
          <w:rFonts w:hint="cs"/>
          <w:b/>
          <w:bCs/>
          <w:vanish/>
          <w:rtl/>
        </w:rPr>
        <w:instrText xml:space="preserve"> _</w:instrText>
      </w:r>
      <w:r>
        <w:rPr>
          <w:rFonts w:hint="cs"/>
          <w:b/>
          <w:bCs/>
          <w:vanish/>
        </w:rPr>
        <w:instrText>Ref144654706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סו)</w:t>
      </w:r>
      <w:r>
        <w:rPr>
          <w:b/>
          <w:bCs/>
          <w:vanish/>
          <w:rtl/>
        </w:rPr>
        <w:fldChar w:fldCharType="end"/>
      </w:r>
      <w:r>
        <w:rPr>
          <w:rFonts w:hint="cs"/>
          <w:b/>
          <w:bCs/>
          <w:vanish/>
          <w:rtl/>
        </w:rPr>
        <w:t xml:space="preserve"> &gt;</w:t>
      </w:r>
      <w:r w:rsidRPr="00942EB1">
        <w:rPr>
          <w:b/>
          <w:bCs/>
          <w:vanish/>
          <w:rtl/>
        </w:rPr>
        <w:t xml:space="preserve"> </w:t>
      </w:r>
      <w:r w:rsidRPr="006E3BC8">
        <w:rPr>
          <w:rFonts w:hint="cs"/>
          <w:b/>
          <w:bCs/>
          <w:rtl/>
        </w:rPr>
        <w:t>תוס' הרא"ש בעירובין</w:t>
      </w:r>
      <w:r w:rsidRPr="006E3BC8">
        <w:rPr>
          <w:b/>
          <w:bCs/>
          <w:rtl/>
        </w:rPr>
        <w:t xml:space="preserve"> </w:t>
      </w:r>
      <w:r w:rsidRPr="006E3BC8">
        <w:rPr>
          <w:rFonts w:ascii="Calibri" w:eastAsia="Times New Roman" w:hAnsi="Calibri" w:cs="Guttman Rashi"/>
          <w:noProof w:val="0"/>
          <w:sz w:val="10"/>
          <w:szCs w:val="12"/>
          <w:rtl/>
        </w:rPr>
        <w:t>(</w:t>
      </w:r>
      <w:r w:rsidRPr="006E3BC8">
        <w:rPr>
          <w:rFonts w:ascii="Calibri" w:eastAsia="Times New Roman" w:hAnsi="Calibri" w:cs="Guttman Rashi" w:hint="cs"/>
          <w:noProof w:val="0"/>
          <w:sz w:val="10"/>
          <w:szCs w:val="12"/>
          <w:rtl/>
        </w:rPr>
        <w:t>לד: ד"ה הכא</w:t>
      </w:r>
      <w:r w:rsidRPr="006E3BC8">
        <w:rPr>
          <w:rFonts w:ascii="Calibri" w:eastAsia="Times New Roman" w:hAnsi="Calibri" w:cs="Guttman Rashi"/>
          <w:noProof w:val="0"/>
          <w:sz w:val="10"/>
          <w:szCs w:val="12"/>
          <w:rtl/>
        </w:rPr>
        <w:t>)</w:t>
      </w:r>
      <w:r w:rsidRPr="006E3BC8">
        <w:rPr>
          <w:vanish/>
          <w:rtl/>
        </w:rPr>
        <w:t>=</w:t>
      </w:r>
      <w:r>
        <w:rPr>
          <w:rtl/>
        </w:rPr>
        <w:t xml:space="preserve"> </w:t>
      </w:r>
      <w:r>
        <w:rPr>
          <w:rFonts w:hint="cs"/>
          <w:b/>
          <w:bCs/>
          <w:rtl/>
        </w:rPr>
        <w:t>וה</w:t>
      </w:r>
      <w:r w:rsidRPr="00497D29">
        <w:rPr>
          <w:rFonts w:hint="cs"/>
          <w:b/>
          <w:bCs/>
          <w:vanish/>
          <w:rtl/>
        </w:rPr>
        <w:t>&lt; &gt;</w:t>
      </w:r>
      <w:r w:rsidRPr="00942EB1">
        <w:rPr>
          <w:rFonts w:hint="cs"/>
          <w:b/>
          <w:bCs/>
          <w:rtl/>
        </w:rPr>
        <w:t xml:space="preserve">תוס' רבינו פרץ בעירובין </w:t>
      </w:r>
      <w:r w:rsidRPr="00942EB1">
        <w:rPr>
          <w:rFonts w:ascii="Calibri" w:eastAsia="Times New Roman" w:hAnsi="Calibri" w:cs="Guttman Rashi"/>
          <w:noProof w:val="0"/>
          <w:sz w:val="10"/>
          <w:szCs w:val="12"/>
          <w:rtl/>
        </w:rPr>
        <w:t>(</w:t>
      </w:r>
      <w:r w:rsidRPr="00942EB1">
        <w:rPr>
          <w:rFonts w:ascii="Calibri" w:eastAsia="Times New Roman" w:hAnsi="Calibri" w:cs="Guttman Rashi" w:hint="cs"/>
          <w:noProof w:val="0"/>
          <w:sz w:val="10"/>
          <w:szCs w:val="12"/>
          <w:rtl/>
        </w:rPr>
        <w:t>לד: סוד"ה הכא</w:t>
      </w:r>
      <w:r w:rsidRPr="00942EB1">
        <w:rPr>
          <w:rFonts w:ascii="Calibri" w:eastAsia="Times New Roman" w:hAnsi="Calibri" w:cs="Guttman Rashi"/>
          <w:noProof w:val="0"/>
          <w:sz w:val="10"/>
          <w:szCs w:val="12"/>
          <w:rtl/>
        </w:rPr>
        <w:t>)</w:t>
      </w:r>
      <w:r w:rsidRPr="00942EB1">
        <w:rPr>
          <w:vanish/>
          <w:rtl/>
        </w:rPr>
        <w:t>=</w:t>
      </w:r>
      <w:r>
        <w:rPr>
          <w:rtl/>
        </w:rPr>
        <w:t xml:space="preserve"> </w:t>
      </w:r>
      <w:r>
        <w:rPr>
          <w:rFonts w:hint="cs"/>
          <w:rtl/>
        </w:rPr>
        <w:t xml:space="preserve">דבחבית דוקא במוסתקי אין חשש שיעשה כלי מותר, והוסיף </w:t>
      </w:r>
      <w:r>
        <w:rPr>
          <w:rFonts w:hint="cs"/>
          <w:b/>
          <w:bCs/>
          <w:rtl/>
        </w:rPr>
        <w:t>ה</w:t>
      </w:r>
      <w:r w:rsidRPr="00942EB1">
        <w:rPr>
          <w:rFonts w:hint="cs"/>
          <w:b/>
          <w:bCs/>
          <w:rtl/>
        </w:rPr>
        <w:t xml:space="preserve">תוס' רבינו פרץ </w:t>
      </w:r>
      <w:r>
        <w:rPr>
          <w:rFonts w:hint="cs"/>
          <w:rtl/>
        </w:rPr>
        <w:t>לבאר דבסתירה חשובה ובבנין חשוב ודאי דיש בנין וסתירה בכלים, ולכן במעייל שופתא בקופינא דמרא וכן במגדל יש בנין וסתירה בכלים, וכן הוסיף</w:t>
      </w:r>
      <w:r w:rsidRPr="00F83E50">
        <w:rPr>
          <w:rFonts w:hint="cs"/>
          <w:b/>
          <w:bCs/>
          <w:rtl/>
        </w:rPr>
        <w:t xml:space="preserve"> </w:t>
      </w:r>
      <w:r>
        <w:rPr>
          <w:rFonts w:hint="cs"/>
          <w:b/>
          <w:bCs/>
          <w:rtl/>
        </w:rPr>
        <w:t>ה</w:t>
      </w:r>
      <w:r w:rsidRPr="006E3BC8">
        <w:rPr>
          <w:rFonts w:hint="cs"/>
          <w:b/>
          <w:bCs/>
          <w:rtl/>
        </w:rPr>
        <w:t>תוס' הרא"ש</w:t>
      </w:r>
      <w:bookmarkStart w:id="5740" w:name="_Ref144654124"/>
      <w:r>
        <w:rPr>
          <w:rFonts w:hint="cs"/>
          <w:rtl/>
        </w:rPr>
        <w:t xml:space="preserve"> דבכלי גמור יש בו בנין, כדמוכח בגמ' בסוגיין דבמעייל שופתא בקופינא דמרא חייב משום בונה לרב, </w:t>
      </w:r>
      <w:r w:rsidRPr="009F3D49">
        <w:rPr>
          <w:rStyle w:val="af"/>
          <w:rFonts w:hint="cs"/>
          <w:rtl/>
        </w:rPr>
        <w:t xml:space="preserve">[וביאר </w:t>
      </w:r>
      <w:r w:rsidRPr="009F3D49">
        <w:rPr>
          <w:rStyle w:val="aff9"/>
          <w:rFonts w:hint="cs"/>
          <w:rtl/>
        </w:rPr>
        <w:t>התוס' הרא"ש</w:t>
      </w:r>
      <w:r w:rsidRPr="009F3D49">
        <w:rPr>
          <w:rStyle w:val="af"/>
          <w:rFonts w:hint="cs"/>
          <w:rtl/>
        </w:rPr>
        <w:t xml:space="preserve"> דהוא בין לרבנן ובין לר"א, דבתיקון שיש בו בנין מודו רבנן דחייב חטאת, ולכן בחבית דאינה מוסתקי ויש בה בנין אף לרבנן אסור</w:t>
      </w:r>
      <w:r>
        <w:rPr>
          <w:rStyle w:val="af"/>
          <w:rFonts w:hint="cs"/>
          <w:rtl/>
        </w:rPr>
        <w:t xml:space="preserve">, ועי' במה שהקשה </w:t>
      </w:r>
      <w:r w:rsidRPr="009F3D49">
        <w:rPr>
          <w:rStyle w:val="aff9"/>
          <w:rFonts w:hint="cs"/>
          <w:rtl/>
        </w:rPr>
        <w:t>הפרמ"ג</w:t>
      </w:r>
      <w:r>
        <w:rPr>
          <w:rStyle w:val="af"/>
          <w:rFonts w:hint="cs"/>
          <w:rtl/>
        </w:rPr>
        <w:t xml:space="preserve"> </w:t>
      </w:r>
      <w:r w:rsidRPr="009F3D49">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Ref145233511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פח)</w:t>
      </w:r>
      <w:r>
        <w:rPr>
          <w:rStyle w:val="aff0"/>
          <w:rtl/>
        </w:rPr>
        <w:fldChar w:fldCharType="end"/>
      </w:r>
      <w:r>
        <w:rPr>
          <w:rStyle w:val="af"/>
          <w:rFonts w:hint="cs"/>
          <w:rtl/>
        </w:rPr>
        <w:t xml:space="preserve"> בסתירת דברי </w:t>
      </w:r>
      <w:r w:rsidRPr="009F3D49">
        <w:rPr>
          <w:rStyle w:val="aff9"/>
          <w:rFonts w:hint="cs"/>
          <w:rtl/>
        </w:rPr>
        <w:t>הרא"ש</w:t>
      </w:r>
      <w:r w:rsidRPr="009F3D49">
        <w:rPr>
          <w:rStyle w:val="af"/>
          <w:rFonts w:hint="cs"/>
          <w:rtl/>
        </w:rPr>
        <w:t>],</w:t>
      </w:r>
      <w:r>
        <w:rPr>
          <w:rFonts w:hint="cs"/>
          <w:rtl/>
        </w:rPr>
        <w:t xml:space="preserve"> וכתב </w:t>
      </w:r>
      <w:r>
        <w:rPr>
          <w:rFonts w:hint="cs"/>
          <w:b/>
          <w:bCs/>
          <w:rtl/>
        </w:rPr>
        <w:t>ה</w:t>
      </w:r>
      <w:r w:rsidRPr="006E3BC8">
        <w:rPr>
          <w:rFonts w:hint="cs"/>
          <w:b/>
          <w:bCs/>
          <w:rtl/>
        </w:rPr>
        <w:t>תוס' הרא"ש</w:t>
      </w:r>
      <w:r>
        <w:rPr>
          <w:rFonts w:hint="cs"/>
          <w:rtl/>
        </w:rPr>
        <w:t xml:space="preserve"> דהוא דלא כדביאר</w:t>
      </w:r>
      <w:r>
        <w:rPr>
          <w:rtl/>
        </w:rPr>
        <w:t xml:space="preserve"> </w:t>
      </w:r>
      <w:r w:rsidRPr="006E3BC8">
        <w:rPr>
          <w:rFonts w:hint="cs"/>
          <w:b/>
          <w:bCs/>
          <w:rtl/>
        </w:rPr>
        <w:t>רש"י לעיל</w:t>
      </w:r>
      <w:r>
        <w:rPr>
          <w:rtl/>
        </w:rPr>
        <w:t xml:space="preserve"> </w:t>
      </w:r>
      <w:r w:rsidRPr="006E3BC8">
        <w:rPr>
          <w:rFonts w:ascii="Calibri" w:eastAsia="Times New Roman" w:hAnsi="Calibri" w:cs="Guttman Rashi"/>
          <w:noProof w:val="0"/>
          <w:sz w:val="10"/>
          <w:szCs w:val="12"/>
          <w:rtl/>
        </w:rPr>
        <w:t xml:space="preserve">(עי' 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Pr>
        <w:instrText>REF</w:instrText>
      </w:r>
      <w:r>
        <w:rPr>
          <w:rFonts w:ascii="Calibri" w:eastAsia="Times New Roman" w:hAnsi="Calibri" w:cs="Guttman Rashi"/>
          <w:noProof w:val="0"/>
          <w:sz w:val="10"/>
          <w:szCs w:val="12"/>
          <w:rtl/>
        </w:rPr>
        <w:instrText xml:space="preserve"> _</w:instrText>
      </w:r>
      <w:r>
        <w:rPr>
          <w:rFonts w:ascii="Calibri" w:eastAsia="Times New Roman" w:hAnsi="Calibri" w:cs="Guttman Rashi"/>
          <w:noProof w:val="0"/>
          <w:sz w:val="10"/>
          <w:szCs w:val="12"/>
        </w:rPr>
        <w:instrText>Ref145186884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א)</w:t>
      </w:r>
      <w:r>
        <w:rPr>
          <w:rFonts w:ascii="Calibri" w:eastAsia="Times New Roman" w:hAnsi="Calibri" w:cs="Guttman Rashi"/>
          <w:noProof w:val="0"/>
          <w:sz w:val="10"/>
          <w:szCs w:val="12"/>
          <w:rtl/>
        </w:rPr>
        <w:fldChar w:fldCharType="end"/>
      </w:r>
      <w:r>
        <w:rPr>
          <w:rtl/>
        </w:rPr>
        <w:t xml:space="preserve"> </w:t>
      </w:r>
      <w:r>
        <w:rPr>
          <w:rFonts w:hint="cs"/>
          <w:rtl/>
        </w:rPr>
        <w:t xml:space="preserve">לענין חביתא דאין בנין בכלים, אלא דבכלי גמור יש בנין וסתירה, והא דאמרינן דאין בנין בכלים הוא רק בכלי שהתפרק כמחזיר מנורה ומתנורה של חוליות, וכן בגמ' בביצה </w:t>
      </w:r>
      <w:r w:rsidRPr="006E3BC8">
        <w:rPr>
          <w:rFonts w:ascii="Calibri" w:eastAsia="Times New Roman" w:hAnsi="Calibri" w:cs="Guttman Rashi" w:hint="cs"/>
          <w:noProof w:val="0"/>
          <w:sz w:val="10"/>
          <w:szCs w:val="12"/>
          <w:rtl/>
        </w:rPr>
        <w:t>(יא:</w:t>
      </w:r>
      <w:r w:rsidRPr="006E3BC8">
        <w:rPr>
          <w:rFonts w:ascii="Calibri" w:eastAsia="Times New Roman" w:hAnsi="Calibri" w:cs="Guttman Rashi"/>
          <w:noProof w:val="0"/>
          <w:sz w:val="10"/>
          <w:szCs w:val="12"/>
          <w:rtl/>
        </w:rPr>
        <w:t>)</w:t>
      </w:r>
      <w:r>
        <w:rPr>
          <w:rFonts w:hint="cs"/>
          <w:rtl/>
        </w:rPr>
        <w:t xml:space="preserve"> בהחזרת תריסין וכן בגמ' בביצה </w:t>
      </w:r>
      <w:r w:rsidRPr="006E3BC8">
        <w:rPr>
          <w:rStyle w:val="af2"/>
          <w:rFonts w:eastAsia="Guttman Hodes" w:hint="cs"/>
          <w:rtl/>
        </w:rPr>
        <w:t>(כב.)</w:t>
      </w:r>
      <w:r>
        <w:rPr>
          <w:rFonts w:hint="cs"/>
          <w:rtl/>
        </w:rPr>
        <w:t xml:space="preserve"> בזקיפת מנורה של חוליות.</w:t>
      </w:r>
    </w:p>
    <w:bookmarkEnd w:id="5739"/>
    <w:bookmarkEnd w:id="5740"/>
    <w:p w14:paraId="533EB3F7" w14:textId="77777777" w:rsidR="003E1AA3" w:rsidRPr="00BC7DC8" w:rsidRDefault="003E1AA3" w:rsidP="003E1AA3">
      <w:pPr>
        <w:pStyle w:val="afffffe"/>
        <w:rPr>
          <w:vanish/>
          <w:rtl/>
        </w:rPr>
      </w:pPr>
      <w:r w:rsidRPr="00BC7DC8">
        <w:rPr>
          <w:vanish/>
          <w:rtl/>
        </w:rPr>
        <w:t>תוספות רבינו פרץ עירובין ל"ד ע"ב</w:t>
      </w:r>
      <w:r w:rsidRPr="00BC7DC8">
        <w:rPr>
          <w:rFonts w:hint="cs"/>
          <w:vanish/>
          <w:rtl/>
        </w:rPr>
        <w:t xml:space="preserve"> ד"ה הכא</w:t>
      </w:r>
    </w:p>
    <w:p w14:paraId="278AFD4C" w14:textId="77777777" w:rsidR="003E1AA3" w:rsidRPr="00537EB8" w:rsidRDefault="003E1AA3" w:rsidP="003E1AA3">
      <w:pPr>
        <w:pStyle w:val="a2"/>
        <w:tabs>
          <w:tab w:val="num" w:pos="284"/>
        </w:tabs>
        <w:rPr>
          <w:rtl/>
        </w:rPr>
      </w:pPr>
      <w:r w:rsidRPr="00537EB8">
        <w:rPr>
          <w:rtl/>
        </w:rPr>
        <w:t>ויש לומר דבפ' המביא [ביצה ל"ג, ב'] מוקי לה במוסתקי, פי' חבית של חתיכות דבוקות בזפת, אבל ודאי בסתירה חשובה ובנין חשוב שייך שפיר בכלים, וגם בשבת מוכח הכי, דקאמר האי מאן דעייל שופתא בקופינא דמרה חייב משום בונה, ואמאי חייב משום בונה והלא אין בנין בכלים, אלא ודאי צריך לומר דחייב משום בונה משום דהוא בנין חשוב, כדאפרש התם בע"ה.</w:t>
      </w:r>
    </w:p>
    <w:p w14:paraId="1A241C09" w14:textId="77777777" w:rsidR="003E1AA3" w:rsidRPr="00BC7DC8" w:rsidRDefault="003E1AA3" w:rsidP="003E1AA3">
      <w:pPr>
        <w:pStyle w:val="afffffe"/>
        <w:rPr>
          <w:vanish/>
          <w:rtl/>
        </w:rPr>
      </w:pPr>
      <w:r w:rsidRPr="00BC7DC8">
        <w:rPr>
          <w:vanish/>
          <w:rtl/>
        </w:rPr>
        <w:t>תוספות הרא"ש עירובין ל"ד ע"ב</w:t>
      </w:r>
      <w:r w:rsidRPr="00BC7DC8">
        <w:rPr>
          <w:rFonts w:hint="cs"/>
          <w:vanish/>
          <w:rtl/>
        </w:rPr>
        <w:t xml:space="preserve"> ד"ה הכא</w:t>
      </w:r>
    </w:p>
    <w:p w14:paraId="76544D6C" w14:textId="77777777" w:rsidR="003E1AA3" w:rsidRPr="002E340A" w:rsidRDefault="003E1AA3" w:rsidP="003E1AA3">
      <w:pPr>
        <w:pStyle w:val="afffff5"/>
      </w:pPr>
      <w:r w:rsidRPr="002E340A">
        <w:rPr>
          <w:rtl/>
        </w:rPr>
        <w:t>וי"ל במסכת י"ט מוקי לה במוסתקי פי' שברי כלי המדובקות בזפת דמחמת גריעותו לא חיישינן שיתכוון לעשות כלי, דאע"ג דהתם לא מוקי לה במוסתקי אלא לר' אליעזר מיהו אפי' לרבנן מבעי ליה לאוקומי הכי, דרבנן לא פליגי עליה דר' אליעזר דקאמר ולא להריח בו אלא משום דאיהו סבירא ליה דבקטימת קיסם לחצוץ בו שיניו חייב חטאת ורבנן נמי אי הוו מחייבי הוו מודו דאסור לקטום ולהריח, הלכך בתקון כלי דשייך ביה בנין מודו רבנן דאסור לשבר את החבית לאכול ממנה גרוגרות אי לאו דאיירי במוסתקי דבנין גמור וסתירה גמורה שייך שפיר בכלי כדאמרינן בריש הבונה האי מאן דעייל שופתא בקופינא דמרא חייב משום בונה, ולא כמו שפרש"י בפרק כלל גדול גבי מאן דעביד חביתא ותנורא וחלתא דמשום בונה לא מיחייב משום דאין בנין בכלים, והא דאמרינן בכל דוכתא אין בנין בכלים היינו דוקא כעין החזרת מנורה ומנורה של חוליות דפרק כירה וההיא דמסכת י"ט פ"ק ופ"ב</w:t>
      </w:r>
      <w:r w:rsidRPr="002E340A">
        <w:rPr>
          <w:rFonts w:hint="cs"/>
          <w:rtl/>
        </w:rPr>
        <w:t>.</w:t>
      </w:r>
    </w:p>
    <w:p w14:paraId="1B2B255E" w14:textId="77777777" w:rsidR="003E1AA3" w:rsidRDefault="003E1AA3" w:rsidP="003E1AA3">
      <w:pPr>
        <w:pStyle w:val="a7"/>
        <w:rPr>
          <w:rtl/>
        </w:rPr>
      </w:pPr>
      <w:bookmarkStart w:id="5741" w:name="_Toc145019597"/>
      <w:bookmarkStart w:id="5742" w:name="_Toc145233970"/>
      <w:r>
        <w:rPr>
          <w:rFonts w:hint="cs"/>
          <w:rtl/>
        </w:rPr>
        <w:t>בי' התורא"ש דעושה את כל הכלי או מתקנו תיקון גמור הוי בונה ובעירובין איירי בקטיר או דלת</w:t>
      </w:r>
      <w:bookmarkEnd w:id="5741"/>
      <w:bookmarkEnd w:id="5742"/>
    </w:p>
    <w:p w14:paraId="614547CF" w14:textId="495C9542" w:rsidR="003E1AA3" w:rsidRPr="00557F13" w:rsidRDefault="003E1AA3" w:rsidP="00BC7DC8">
      <w:pPr>
        <w:pStyle w:val="a3"/>
        <w:rPr>
          <w:rtl/>
        </w:rPr>
      </w:pPr>
      <w:bookmarkStart w:id="5743" w:name="_Ref145233412"/>
      <w:r>
        <w:rPr>
          <w:rFonts w:hint="cs"/>
          <w:rtl/>
        </w:rPr>
        <w:t>וכתב</w:t>
      </w:r>
      <w:r w:rsidRPr="006E3BC8">
        <w:rPr>
          <w:b/>
          <w:bCs/>
          <w:rtl/>
        </w:rPr>
        <w:t xml:space="preserve"> </w:t>
      </w:r>
      <w:r w:rsidRPr="006E3BC8">
        <w:rPr>
          <w:rFonts w:hint="cs"/>
          <w:b/>
          <w:bCs/>
          <w:rtl/>
        </w:rPr>
        <w:t>התוס' הרא"ש בעירובין</w:t>
      </w:r>
      <w:r>
        <w:rPr>
          <w:rFonts w:hint="cs"/>
          <w:rtl/>
        </w:rPr>
        <w:t xml:space="preserve"> דבעושה את כל הכלי או שמתקנו בתיקון גמור חייב משום בונה, והא דאמרינן במסקנת הגמ' בעירובין</w:t>
      </w:r>
      <w:r>
        <w:rPr>
          <w:rtl/>
        </w:rPr>
        <w:t xml:space="preserve"> </w:t>
      </w:r>
      <w:r w:rsidRPr="006E3BC8">
        <w:rPr>
          <w:rFonts w:ascii="Calibri" w:eastAsia="Times New Roman" w:hAnsi="Calibri" w:cs="Guttman Rashi"/>
          <w:noProof w:val="0"/>
          <w:sz w:val="10"/>
          <w:szCs w:val="12"/>
          <w:rtl/>
        </w:rPr>
        <w:t>(</w:t>
      </w:r>
      <w:r w:rsidRPr="006E3BC8">
        <w:rPr>
          <w:rFonts w:ascii="Calibri" w:eastAsia="Times New Roman" w:hAnsi="Calibri" w:cs="Guttman Rashi" w:hint="cs"/>
          <w:noProof w:val="0"/>
          <w:sz w:val="10"/>
          <w:szCs w:val="12"/>
          <w:rtl/>
        </w:rPr>
        <w:t>לה.</w:t>
      </w:r>
      <w:r w:rsidRPr="006E3BC8">
        <w:rPr>
          <w:rFonts w:ascii="Calibri" w:eastAsia="Times New Roman" w:hAnsi="Calibri" w:cs="Guttman Rashi"/>
          <w:noProof w:val="0"/>
          <w:sz w:val="10"/>
          <w:szCs w:val="12"/>
          <w:rtl/>
        </w:rPr>
        <w:t>)</w:t>
      </w:r>
      <w:r>
        <w:rPr>
          <w:rtl/>
        </w:rPr>
        <w:t xml:space="preserve"> </w:t>
      </w:r>
      <w:r>
        <w:rPr>
          <w:rFonts w:hint="cs"/>
          <w:rtl/>
        </w:rPr>
        <w:t>דאין בנין בכלים היינו לתירוץ הגמ' דאיירי בקשור שמותר לחותכו, או בנטילת דלת, כדאיתא בגמ' לקמן</w:t>
      </w:r>
      <w:r>
        <w:rPr>
          <w:rtl/>
        </w:rPr>
        <w:t xml:space="preserve"> </w:t>
      </w:r>
      <w:r w:rsidRPr="006E3BC8">
        <w:rPr>
          <w:rFonts w:ascii="Calibri" w:eastAsia="Times New Roman" w:hAnsi="Calibri" w:cs="Guttman Rashi"/>
          <w:noProof w:val="0"/>
          <w:sz w:val="10"/>
          <w:szCs w:val="12"/>
          <w:rtl/>
        </w:rPr>
        <w:t>(</w:t>
      </w:r>
      <w:r w:rsidRPr="006E3BC8">
        <w:rPr>
          <w:rFonts w:ascii="Calibri" w:eastAsia="Times New Roman" w:hAnsi="Calibri" w:cs="Guttman Rashi" w:hint="cs"/>
          <w:noProof w:val="0"/>
          <w:sz w:val="10"/>
          <w:szCs w:val="12"/>
          <w:rtl/>
        </w:rPr>
        <w:t>קכב:</w:t>
      </w:r>
      <w:r w:rsidRPr="006E3BC8">
        <w:rPr>
          <w:rFonts w:ascii="Calibri" w:eastAsia="Times New Roman" w:hAnsi="Calibri" w:cs="Guttman Rashi"/>
          <w:noProof w:val="0"/>
          <w:sz w:val="10"/>
          <w:szCs w:val="12"/>
          <w:rtl/>
        </w:rPr>
        <w:t>)</w:t>
      </w:r>
      <w:r w:rsidRPr="006E3BC8">
        <w:rPr>
          <w:rFonts w:ascii="Calibri" w:eastAsia="Times New Roman" w:hAnsi="Calibri" w:cs="Guttman Rashi" w:hint="cs"/>
          <w:noProof w:val="0"/>
          <w:sz w:val="10"/>
          <w:szCs w:val="12"/>
          <w:rtl/>
        </w:rPr>
        <w:t xml:space="preserve"> </w:t>
      </w:r>
      <w:r>
        <w:rPr>
          <w:rFonts w:hint="cs"/>
          <w:rtl/>
        </w:rPr>
        <w:t>דדלתות שידה תיבה ומגדל נוטלין אבל לא מחזירין, גזירה שמא יתקע, והוסיף</w:t>
      </w:r>
      <w:r w:rsidRPr="006E3BC8">
        <w:rPr>
          <w:rFonts w:hint="cs"/>
          <w:b/>
          <w:bCs/>
          <w:rtl/>
        </w:rPr>
        <w:t xml:space="preserve"> התוס' הרא"ש בעירובין</w:t>
      </w:r>
      <w:r>
        <w:rPr>
          <w:rFonts w:hint="cs"/>
          <w:rtl/>
        </w:rPr>
        <w:t xml:space="preserve"> דמשמע בגמ' בעירובין דבמגדל של עץ מותר רק לחתוך את החבל, אבל אסור לקלקל את הכלי ולשוברו, וע"ע במה שהקשה </w:t>
      </w:r>
      <w:r w:rsidRPr="008C6750">
        <w:rPr>
          <w:rStyle w:val="aff4"/>
          <w:rFonts w:hint="cs"/>
          <w:rtl/>
        </w:rPr>
        <w:t>הפרמ"ג</w:t>
      </w:r>
      <w:r>
        <w:rPr>
          <w:rFonts w:hint="cs"/>
          <w:rtl/>
        </w:rPr>
        <w:t xml:space="preserve"> </w:t>
      </w:r>
      <w:r w:rsidRPr="008C6750">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Ref145233511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פח)</w:t>
      </w:r>
      <w:r>
        <w:rPr>
          <w:rStyle w:val="af2"/>
          <w:rFonts w:eastAsia="Guttman Hodes"/>
          <w:rtl/>
        </w:rPr>
        <w:fldChar w:fldCharType="end"/>
      </w:r>
      <w:r>
        <w:rPr>
          <w:rFonts w:hint="cs"/>
          <w:rtl/>
        </w:rPr>
        <w:t xml:space="preserve"> בסתירת דברי </w:t>
      </w:r>
      <w:r w:rsidRPr="008C6750">
        <w:rPr>
          <w:rStyle w:val="aff4"/>
          <w:rFonts w:hint="cs"/>
          <w:rtl/>
        </w:rPr>
        <w:t>הרא"ש</w:t>
      </w:r>
      <w:r>
        <w:rPr>
          <w:rFonts w:hint="cs"/>
          <w:rtl/>
        </w:rPr>
        <w:t>.</w:t>
      </w:r>
      <w:bookmarkEnd w:id="5743"/>
    </w:p>
    <w:p w14:paraId="39E0C709" w14:textId="77777777" w:rsidR="003E1AA3" w:rsidRPr="0018388A" w:rsidRDefault="003E1AA3" w:rsidP="003E1AA3">
      <w:pPr>
        <w:pStyle w:val="a2"/>
        <w:tabs>
          <w:tab w:val="num" w:pos="284"/>
        </w:tabs>
      </w:pPr>
      <w:r w:rsidRPr="0018388A">
        <w:rPr>
          <w:rtl/>
        </w:rPr>
        <w:t>אבל כשעושה כל הכלי או תיקון גמור מיחייב שפיר משום בונה, והא דאמרי רבה ורב יוסף במגדל של עץ עסקינן משום דאין בנין בכלים היינו כדמוקי לה במנעול וקטיר במיתנא אי נמי בנטילת דלת כדקתני בריש כל הכלים דלת של שדה תיבה ומגדל נוטלין אבל לא מחזירין גזרה שמא יתקע ומשמע נמי דוקא במיתנא אבל לקלקל הכלי ולסותרו אסור.</w:t>
      </w:r>
    </w:p>
    <w:p w14:paraId="7F408141" w14:textId="77777777" w:rsidR="003E1AA3" w:rsidRPr="009B4C4C" w:rsidRDefault="003E1AA3" w:rsidP="003E1AA3">
      <w:pPr>
        <w:pStyle w:val="1"/>
        <w:rPr>
          <w:rtl/>
        </w:rPr>
      </w:pPr>
      <w:bookmarkStart w:id="5744" w:name="_Toc145233971"/>
      <w:r>
        <w:rPr>
          <w:rFonts w:hint="cs"/>
          <w:rtl/>
        </w:rPr>
        <w:t>בי' הב"י בסתירת הר"ן אי יש בונה בעשיית כלי או בכלי גדול</w:t>
      </w:r>
      <w:bookmarkEnd w:id="5744"/>
    </w:p>
    <w:p w14:paraId="68AB8469" w14:textId="77777777" w:rsidR="003E1AA3" w:rsidRPr="00FC269C" w:rsidRDefault="003E1AA3" w:rsidP="003E1AA3">
      <w:pPr>
        <w:pStyle w:val="afffff7"/>
        <w:rPr>
          <w:rtl/>
        </w:rPr>
      </w:pPr>
      <w:bookmarkStart w:id="5745" w:name="_Toc145234066"/>
      <w:bookmarkStart w:id="5746" w:name="_Toc163506324"/>
      <w:r w:rsidRPr="00FC269C">
        <w:rPr>
          <w:rtl/>
        </w:rPr>
        <w:t xml:space="preserve">בית יוסף </w:t>
      </w:r>
      <w:r w:rsidRPr="00FC269C">
        <w:rPr>
          <w:rFonts w:hint="cs"/>
          <w:rtl/>
        </w:rPr>
        <w:t>או"ח</w:t>
      </w:r>
      <w:r w:rsidRPr="00FC269C">
        <w:rPr>
          <w:rtl/>
        </w:rPr>
        <w:t xml:space="preserve"> סימן שי</w:t>
      </w:r>
      <w:r w:rsidRPr="00FC269C">
        <w:rPr>
          <w:rFonts w:hint="cs"/>
          <w:rtl/>
        </w:rPr>
        <w:t>"ד א' ד"ה והר"ן</w:t>
      </w:r>
      <w:bookmarkEnd w:id="5745"/>
      <w:bookmarkEnd w:id="5746"/>
    </w:p>
    <w:p w14:paraId="17039C45" w14:textId="77777777" w:rsidR="003E1AA3" w:rsidRDefault="003E1AA3" w:rsidP="003E1AA3">
      <w:pPr>
        <w:pStyle w:val="a7"/>
        <w:rPr>
          <w:rtl/>
        </w:rPr>
      </w:pPr>
      <w:bookmarkStart w:id="5747" w:name="_Toc145233972"/>
      <w:r>
        <w:rPr>
          <w:rFonts w:hint="cs"/>
          <w:rtl/>
        </w:rPr>
        <w:t>בי' הב"י בר"ן דכלי קטן ל"ה בונה ובשופתא בקופינא דצריך מעשה אומן הוי בונה ודלא כתוס'</w:t>
      </w:r>
      <w:bookmarkEnd w:id="5747"/>
    </w:p>
    <w:p w14:paraId="008EBAAB" w14:textId="076C0671" w:rsidR="003E1AA3" w:rsidRDefault="003E1AA3" w:rsidP="00BC7DC8">
      <w:pPr>
        <w:pStyle w:val="a3"/>
      </w:pPr>
      <w:bookmarkStart w:id="5748" w:name="_Ref145235599"/>
      <w:bookmarkStart w:id="5749" w:name="_Ref144714943"/>
      <w:r>
        <w:rPr>
          <w:rFonts w:hint="cs"/>
          <w:rtl/>
        </w:rPr>
        <w:t>וכתב</w:t>
      </w:r>
      <w:r>
        <w:rPr>
          <w:rtl/>
        </w:rPr>
        <w:t xml:space="preserve"> </w:t>
      </w:r>
      <w:r w:rsidRPr="00A96522">
        <w:rPr>
          <w:b/>
          <w:bCs/>
          <w:rtl/>
        </w:rPr>
        <w:t>ה</w:t>
      </w:r>
      <w:r w:rsidRPr="00A96522">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Ref144714943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סח)</w:t>
      </w:r>
      <w:r>
        <w:rPr>
          <w:b/>
          <w:bCs/>
          <w:vanish/>
          <w:rtl/>
        </w:rPr>
        <w:fldChar w:fldCharType="end"/>
      </w:r>
      <w:r w:rsidRPr="00A96522">
        <w:rPr>
          <w:b/>
          <w:bCs/>
          <w:vanish/>
          <w:rtl/>
        </w:rPr>
        <w:t xml:space="preserve"> &gt;</w:t>
      </w:r>
      <w:r w:rsidRPr="00A96522">
        <w:rPr>
          <w:rFonts w:hint="cs"/>
          <w:b/>
          <w:bCs/>
          <w:rtl/>
        </w:rPr>
        <w:t>ב"י</w:t>
      </w:r>
      <w:r w:rsidRPr="00A96522">
        <w:rPr>
          <w:b/>
          <w:bCs/>
          <w:rtl/>
        </w:rPr>
        <w:t xml:space="preserve"> </w:t>
      </w:r>
      <w:r w:rsidRPr="00A96522">
        <w:rPr>
          <w:rFonts w:ascii="Calibri" w:eastAsia="Times New Roman" w:hAnsi="Calibri" w:cs="Guttman Rashi"/>
          <w:noProof w:val="0"/>
          <w:sz w:val="10"/>
          <w:szCs w:val="12"/>
          <w:rtl/>
        </w:rPr>
        <w:t>(</w:t>
      </w:r>
      <w:r w:rsidRPr="00A96522">
        <w:rPr>
          <w:rFonts w:ascii="Calibri" w:eastAsia="Times New Roman" w:hAnsi="Calibri" w:cs="Guttman Rashi" w:hint="cs"/>
          <w:noProof w:val="0"/>
          <w:sz w:val="10"/>
          <w:szCs w:val="12"/>
          <w:rtl/>
        </w:rPr>
        <w:t>סי' שי"ד א' ד"ה והר"ן</w:t>
      </w:r>
      <w:r w:rsidRPr="00A96522">
        <w:rPr>
          <w:rFonts w:ascii="Calibri" w:eastAsia="Times New Roman" w:hAnsi="Calibri" w:cs="Guttman Rashi"/>
          <w:noProof w:val="0"/>
          <w:sz w:val="10"/>
          <w:szCs w:val="12"/>
          <w:rtl/>
        </w:rPr>
        <w:t>)</w:t>
      </w:r>
      <w:r w:rsidRPr="00A96522">
        <w:rPr>
          <w:vanish/>
          <w:rtl/>
        </w:rPr>
        <w:t>=</w:t>
      </w:r>
      <w:r>
        <w:rPr>
          <w:rtl/>
        </w:rPr>
        <w:t xml:space="preserve"> </w:t>
      </w:r>
      <w:r>
        <w:rPr>
          <w:rFonts w:hint="cs"/>
          <w:rtl/>
        </w:rPr>
        <w:t>דמדברי</w:t>
      </w:r>
      <w:r>
        <w:rPr>
          <w:rtl/>
        </w:rPr>
        <w:t xml:space="preserve"> </w:t>
      </w:r>
      <w:bookmarkStart w:id="5750" w:name="_Hlk145188726"/>
      <w:r>
        <w:rPr>
          <w:rFonts w:hint="cs"/>
          <w:b/>
          <w:bCs/>
          <w:rtl/>
        </w:rPr>
        <w:t xml:space="preserve">התוס' בעירובין בתי' הב' </w:t>
      </w:r>
      <w:r w:rsidRPr="00A96522">
        <w:rPr>
          <w:rFonts w:ascii="Calibri" w:eastAsia="Times New Roman" w:hAnsi="Calibri" w:cs="Guttman Rashi"/>
          <w:noProof w:val="0"/>
          <w:sz w:val="10"/>
          <w:szCs w:val="12"/>
          <w:rtl/>
        </w:rPr>
        <w:t xml:space="preserve">(עי' </w:t>
      </w:r>
      <w:r w:rsidRPr="00993CF3">
        <w:rPr>
          <w:rStyle w:val="af2"/>
          <w:rFonts w:eastAsia="Guttman Hodes"/>
          <w:rtl/>
        </w:rPr>
        <w:t>אות</w:t>
      </w:r>
      <w:r>
        <w:rPr>
          <w:rStyle w:val="af2"/>
          <w:rFonts w:eastAsia="Guttman Hodes" w:hint="cs"/>
          <w:rtl/>
        </w:rPr>
        <w:t xml:space="preserve"> </w:t>
      </w:r>
      <w:r w:rsidRPr="00993CF3">
        <w:rPr>
          <w:rStyle w:val="af2"/>
          <w:rFonts w:eastAsia="Guttman Hodes"/>
          <w:rtl/>
        </w:rPr>
        <w:fldChar w:fldCharType="begin"/>
      </w:r>
      <w:r w:rsidRPr="00993CF3">
        <w:rPr>
          <w:rStyle w:val="af2"/>
          <w:rFonts w:eastAsia="Guttman Hodes"/>
          <w:rtl/>
        </w:rPr>
        <w:instrText xml:space="preserve"> </w:instrText>
      </w:r>
      <w:r w:rsidRPr="00993CF3">
        <w:rPr>
          <w:rStyle w:val="af2"/>
          <w:rFonts w:eastAsia="Guttman Hodes" w:hint="cs"/>
        </w:rPr>
        <w:instrText>REF</w:instrText>
      </w:r>
      <w:r w:rsidRPr="00993CF3">
        <w:rPr>
          <w:rStyle w:val="af2"/>
          <w:rFonts w:eastAsia="Guttman Hodes" w:hint="cs"/>
          <w:rtl/>
        </w:rPr>
        <w:instrText xml:space="preserve"> _</w:instrText>
      </w:r>
      <w:r w:rsidRPr="00993CF3">
        <w:rPr>
          <w:rStyle w:val="af2"/>
          <w:rFonts w:eastAsia="Guttman Hodes" w:hint="cs"/>
        </w:rPr>
        <w:instrText>Ref145187459 \r \h</w:instrText>
      </w:r>
      <w:r w:rsidRPr="00993CF3">
        <w:rPr>
          <w:rStyle w:val="af2"/>
          <w:rFonts w:eastAsia="Guttman Hodes"/>
          <w:rtl/>
        </w:rPr>
        <w:instrText xml:space="preserve"> </w:instrText>
      </w:r>
      <w:r w:rsidRPr="00993CF3">
        <w:rPr>
          <w:rStyle w:val="af2"/>
          <w:rFonts w:eastAsia="Guttman Hodes"/>
          <w:rtl/>
        </w:rPr>
      </w:r>
      <w:r w:rsidRPr="00993CF3">
        <w:rPr>
          <w:rStyle w:val="af2"/>
          <w:rFonts w:eastAsia="Guttman Hodes"/>
          <w:rtl/>
        </w:rPr>
        <w:fldChar w:fldCharType="separate"/>
      </w:r>
      <w:r w:rsidR="00D82181">
        <w:rPr>
          <w:rStyle w:val="af2"/>
          <w:rFonts w:eastAsia="Guttman Hodes"/>
          <w:cs/>
        </w:rPr>
        <w:t>‎</w:t>
      </w:r>
      <w:r w:rsidR="00D82181">
        <w:rPr>
          <w:rStyle w:val="af2"/>
          <w:rFonts w:eastAsia="Guttman Hodes"/>
          <w:rtl/>
        </w:rPr>
        <w:t>סד)</w:t>
      </w:r>
      <w:r w:rsidRPr="00993CF3">
        <w:rPr>
          <w:rStyle w:val="af2"/>
          <w:rFonts w:eastAsia="Guttman Hodes"/>
          <w:rtl/>
        </w:rPr>
        <w:fldChar w:fldCharType="end"/>
      </w:r>
      <w:r>
        <w:rPr>
          <w:rFonts w:hint="cs"/>
          <w:rtl/>
        </w:rPr>
        <w:t xml:space="preserve"> </w:t>
      </w:r>
      <w:bookmarkEnd w:id="5750"/>
      <w:r>
        <w:rPr>
          <w:rFonts w:hint="cs"/>
          <w:rtl/>
        </w:rPr>
        <w:t xml:space="preserve">דהעמידו את ההיתר בשבירת חבית, מבואר דלא ניחא להו במה שתירצו </w:t>
      </w:r>
      <w:r w:rsidRPr="00A96522">
        <w:rPr>
          <w:rFonts w:hint="cs"/>
          <w:b/>
          <w:bCs/>
          <w:rtl/>
        </w:rPr>
        <w:t>התוס' בעירובין</w:t>
      </w:r>
      <w:r>
        <w:rPr>
          <w:rtl/>
        </w:rPr>
        <w:t xml:space="preserve"> </w:t>
      </w:r>
      <w:r w:rsidRPr="00993CF3">
        <w:rPr>
          <w:rStyle w:val="aff4"/>
          <w:rFonts w:hint="cs"/>
          <w:rtl/>
        </w:rPr>
        <w:t>בתירוץ ה</w:t>
      </w:r>
      <w:r>
        <w:rPr>
          <w:rFonts w:hint="cs"/>
          <w:b/>
          <w:bCs/>
          <w:rtl/>
        </w:rPr>
        <w:t xml:space="preserve">א' </w:t>
      </w:r>
      <w:r w:rsidRPr="00A96522">
        <w:rPr>
          <w:rFonts w:ascii="Calibri" w:eastAsia="Times New Roman" w:hAnsi="Calibri" w:cs="Guttman Rashi"/>
          <w:noProof w:val="0"/>
          <w:sz w:val="10"/>
          <w:szCs w:val="12"/>
          <w:rtl/>
        </w:rPr>
        <w:t xml:space="preserve">(עי' 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Pr>
        <w:instrText>REF</w:instrText>
      </w:r>
      <w:r>
        <w:rPr>
          <w:rFonts w:ascii="Calibri" w:eastAsia="Times New Roman" w:hAnsi="Calibri" w:cs="Guttman Rashi"/>
          <w:noProof w:val="0"/>
          <w:sz w:val="10"/>
          <w:szCs w:val="12"/>
          <w:rtl/>
        </w:rPr>
        <w:instrText xml:space="preserve"> _</w:instrText>
      </w:r>
      <w:r>
        <w:rPr>
          <w:rFonts w:ascii="Calibri" w:eastAsia="Times New Roman" w:hAnsi="Calibri" w:cs="Guttman Rashi"/>
          <w:noProof w:val="0"/>
          <w:sz w:val="10"/>
          <w:szCs w:val="12"/>
        </w:rPr>
        <w:instrText>Ref145187348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סא)</w:t>
      </w:r>
      <w:r>
        <w:rPr>
          <w:rFonts w:ascii="Calibri" w:eastAsia="Times New Roman" w:hAnsi="Calibri" w:cs="Guttman Rashi"/>
          <w:noProof w:val="0"/>
          <w:sz w:val="10"/>
          <w:szCs w:val="12"/>
          <w:rtl/>
        </w:rPr>
        <w:fldChar w:fldCharType="end"/>
      </w:r>
      <w:r w:rsidRPr="00993CF3">
        <w:rPr>
          <w:rFonts w:hint="cs"/>
          <w:rtl/>
        </w:rPr>
        <w:t xml:space="preserve"> </w:t>
      </w:r>
      <w:r>
        <w:rPr>
          <w:rFonts w:hint="cs"/>
          <w:rtl/>
        </w:rPr>
        <w:t xml:space="preserve">דבכלי קטן יש </w:t>
      </w:r>
      <w:r>
        <w:rPr>
          <w:rFonts w:hint="cs"/>
          <w:rtl/>
        </w:rPr>
        <w:lastRenderedPageBreak/>
        <w:t>בנין וסתירה, כדתירץ</w:t>
      </w:r>
      <w:r>
        <w:rPr>
          <w:rtl/>
        </w:rPr>
        <w:t xml:space="preserve"> </w:t>
      </w:r>
      <w:r w:rsidRPr="00A96522">
        <w:rPr>
          <w:rFonts w:hint="cs"/>
          <w:b/>
          <w:bCs/>
          <w:rtl/>
        </w:rPr>
        <w:t>הר"ן</w:t>
      </w:r>
      <w:r>
        <w:rPr>
          <w:rtl/>
        </w:rPr>
        <w:t xml:space="preserve"> </w:t>
      </w:r>
      <w:r w:rsidRPr="00A96522">
        <w:rPr>
          <w:rFonts w:ascii="Calibri" w:eastAsia="Times New Roman" w:hAnsi="Calibri" w:cs="Guttman Rashi"/>
          <w:noProof w:val="0"/>
          <w:sz w:val="10"/>
          <w:szCs w:val="12"/>
          <w:rtl/>
        </w:rPr>
        <w:t xml:space="preserve">(עי' 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Pr>
        <w:instrText>REF</w:instrText>
      </w:r>
      <w:r>
        <w:rPr>
          <w:rFonts w:ascii="Calibri" w:eastAsia="Times New Roman" w:hAnsi="Calibri" w:cs="Guttman Rashi"/>
          <w:noProof w:val="0"/>
          <w:sz w:val="10"/>
          <w:szCs w:val="12"/>
          <w:rtl/>
        </w:rPr>
        <w:instrText xml:space="preserve"> _</w:instrText>
      </w:r>
      <w:r>
        <w:rPr>
          <w:rFonts w:ascii="Calibri" w:eastAsia="Times New Roman" w:hAnsi="Calibri" w:cs="Guttman Rashi"/>
          <w:noProof w:val="0"/>
          <w:sz w:val="10"/>
          <w:szCs w:val="12"/>
        </w:rPr>
        <w:instrText>Ref145061049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נד)</w:t>
      </w:r>
      <w:r>
        <w:rPr>
          <w:rFonts w:ascii="Calibri" w:eastAsia="Times New Roman" w:hAnsi="Calibri" w:cs="Guttman Rashi"/>
          <w:noProof w:val="0"/>
          <w:sz w:val="10"/>
          <w:szCs w:val="12"/>
          <w:rtl/>
        </w:rPr>
        <w:fldChar w:fldCharType="end"/>
      </w:r>
      <w:r>
        <w:rPr>
          <w:rFonts w:hint="cs"/>
          <w:rtl/>
        </w:rPr>
        <w:t xml:space="preserve">, וכדכתבו </w:t>
      </w:r>
      <w:r>
        <w:rPr>
          <w:rFonts w:hint="cs"/>
          <w:b/>
          <w:bCs/>
          <w:rtl/>
        </w:rPr>
        <w:t>התוס' בעירובין בתי' הא'</w:t>
      </w:r>
      <w:r>
        <w:rPr>
          <w:rFonts w:hint="cs"/>
          <w:rtl/>
        </w:rPr>
        <w:t xml:space="preserve"> </w:t>
      </w:r>
      <w:r w:rsidRPr="00A96522">
        <w:rPr>
          <w:rFonts w:ascii="Calibri" w:eastAsia="Times New Roman" w:hAnsi="Calibri" w:cs="Guttman Rashi"/>
          <w:noProof w:val="0"/>
          <w:sz w:val="10"/>
          <w:szCs w:val="12"/>
          <w:rtl/>
        </w:rPr>
        <w:t xml:space="preserve">(עי' 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Pr>
        <w:instrText>REF</w:instrText>
      </w:r>
      <w:r>
        <w:rPr>
          <w:rFonts w:ascii="Calibri" w:eastAsia="Times New Roman" w:hAnsi="Calibri" w:cs="Guttman Rashi"/>
          <w:noProof w:val="0"/>
          <w:sz w:val="10"/>
          <w:szCs w:val="12"/>
          <w:rtl/>
        </w:rPr>
        <w:instrText xml:space="preserve"> _</w:instrText>
      </w:r>
      <w:r>
        <w:rPr>
          <w:rFonts w:ascii="Calibri" w:eastAsia="Times New Roman" w:hAnsi="Calibri" w:cs="Guttman Rashi"/>
          <w:noProof w:val="0"/>
          <w:sz w:val="10"/>
          <w:szCs w:val="12"/>
        </w:rPr>
        <w:instrText>Ref145187348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סא)</w:t>
      </w:r>
      <w:r>
        <w:rPr>
          <w:rFonts w:ascii="Calibri" w:eastAsia="Times New Roman" w:hAnsi="Calibri" w:cs="Guttman Rashi"/>
          <w:noProof w:val="0"/>
          <w:sz w:val="10"/>
          <w:szCs w:val="12"/>
          <w:rtl/>
        </w:rPr>
        <w:fldChar w:fldCharType="end"/>
      </w:r>
      <w:r>
        <w:rPr>
          <w:rFonts w:hint="cs"/>
          <w:rtl/>
        </w:rPr>
        <w:t xml:space="preserve"> דמוכח בגמ' בסוגיין לענין מעייל שופתא בקופינא דמרא דאף בכלי קטן יש בנין, ובדעת </w:t>
      </w:r>
      <w:r w:rsidRPr="00A96522">
        <w:rPr>
          <w:rFonts w:hint="cs"/>
          <w:b/>
          <w:bCs/>
          <w:rtl/>
        </w:rPr>
        <w:t>הר"ן</w:t>
      </w:r>
      <w:r>
        <w:rPr>
          <w:rtl/>
        </w:rPr>
        <w:t xml:space="preserve"> </w:t>
      </w:r>
      <w:r>
        <w:rPr>
          <w:rFonts w:hint="cs"/>
          <w:rtl/>
        </w:rPr>
        <w:t>דנשאר למסקנא בתירוץ דבכלי קטן יש בנין וסתירה, ביאר</w:t>
      </w:r>
      <w:r>
        <w:rPr>
          <w:rtl/>
        </w:rPr>
        <w:t xml:space="preserve"> </w:t>
      </w:r>
      <w:r w:rsidRPr="00A96522">
        <w:rPr>
          <w:rFonts w:hint="cs"/>
          <w:b/>
          <w:bCs/>
          <w:rtl/>
        </w:rPr>
        <w:t>הב"י</w:t>
      </w:r>
      <w:r>
        <w:rPr>
          <w:rtl/>
        </w:rPr>
        <w:t xml:space="preserve"> </w:t>
      </w:r>
      <w:r>
        <w:rPr>
          <w:rFonts w:hint="cs"/>
          <w:rtl/>
        </w:rPr>
        <w:t>דלא הוקשה לו משופתא בקופינא דמרא, כיון דס"ל</w:t>
      </w:r>
      <w:r>
        <w:rPr>
          <w:rtl/>
        </w:rPr>
        <w:t xml:space="preserve"> </w:t>
      </w:r>
      <w:r w:rsidRPr="00A96522">
        <w:rPr>
          <w:rFonts w:hint="cs"/>
          <w:b/>
          <w:bCs/>
          <w:rtl/>
        </w:rPr>
        <w:t>להר"ן</w:t>
      </w:r>
      <w:r>
        <w:rPr>
          <w:rtl/>
        </w:rPr>
        <w:t xml:space="preserve"> </w:t>
      </w:r>
      <w:r>
        <w:rPr>
          <w:rFonts w:hint="cs"/>
          <w:rtl/>
        </w:rPr>
        <w:t>דהא דאין בנין בכלים הוא בכלי שהתפרק וא"צ אומן להחזירו,</w:t>
      </w:r>
      <w:r>
        <w:rPr>
          <w:rtl/>
        </w:rPr>
        <w:t xml:space="preserve"> </w:t>
      </w:r>
      <w:r w:rsidRPr="00A96522">
        <w:rPr>
          <w:sz w:val="12"/>
          <w:szCs w:val="14"/>
          <w:rtl/>
        </w:rPr>
        <w:t>[</w:t>
      </w:r>
      <w:r w:rsidRPr="00A96522">
        <w:rPr>
          <w:rFonts w:hint="cs"/>
          <w:sz w:val="12"/>
          <w:szCs w:val="14"/>
          <w:rtl/>
        </w:rPr>
        <w:t xml:space="preserve">כביאור </w:t>
      </w:r>
      <w:r w:rsidRPr="00F24B8D">
        <w:rPr>
          <w:rStyle w:val="aff9"/>
          <w:rFonts w:hint="cs"/>
          <w:rtl/>
        </w:rPr>
        <w:t>הרמב"ן</w:t>
      </w:r>
      <w:r w:rsidRPr="00A96522">
        <w:rPr>
          <w:rFonts w:hint="cs"/>
          <w:sz w:val="12"/>
          <w:szCs w:val="14"/>
          <w:rtl/>
        </w:rPr>
        <w:t xml:space="preserve"> </w:t>
      </w:r>
      <w:r w:rsidRPr="00F24B8D">
        <w:rPr>
          <w:rStyle w:val="aff0"/>
          <w:rFonts w:hint="cs"/>
          <w:rtl/>
        </w:rPr>
        <w:t xml:space="preserve">(עי' </w:t>
      </w:r>
      <w:r w:rsidRPr="00517FA8">
        <w:rPr>
          <w:rStyle w:val="aff0"/>
          <w:rFonts w:hint="cs"/>
          <w:rtl/>
        </w:rPr>
        <w:t xml:space="preserve">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Ref145225650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לז)</w:t>
      </w:r>
      <w:r>
        <w:rPr>
          <w:rStyle w:val="aff0"/>
          <w:rtl/>
        </w:rPr>
        <w:fldChar w:fldCharType="end"/>
      </w:r>
      <w:r w:rsidRPr="00A96522">
        <w:rPr>
          <w:sz w:val="12"/>
          <w:szCs w:val="14"/>
          <w:rtl/>
        </w:rPr>
        <w:t>]</w:t>
      </w:r>
      <w:r w:rsidRPr="00A96522">
        <w:rPr>
          <w:rFonts w:hint="cs"/>
          <w:sz w:val="12"/>
          <w:szCs w:val="14"/>
          <w:rtl/>
        </w:rPr>
        <w:t>,</w:t>
      </w:r>
      <w:r>
        <w:rPr>
          <w:rtl/>
        </w:rPr>
        <w:t xml:space="preserve"> </w:t>
      </w:r>
      <w:r>
        <w:rPr>
          <w:rFonts w:hint="cs"/>
          <w:rtl/>
        </w:rPr>
        <w:t>אבל בעושה כלי מתחילתו או כלי שהתפרק וצריך אומן להחזירו אי"ז נקרא בנין בכלים, אלא נקרא עושה כלי מתחילתו דחייב משום בונה, וכדביאר</w:t>
      </w:r>
      <w:r>
        <w:rPr>
          <w:rtl/>
        </w:rPr>
        <w:t xml:space="preserve"> </w:t>
      </w:r>
      <w:r w:rsidRPr="00A96522">
        <w:rPr>
          <w:rFonts w:hint="cs"/>
          <w:b/>
          <w:bCs/>
          <w:rtl/>
        </w:rPr>
        <w:t>הר"ן בסוגיין</w:t>
      </w:r>
      <w:r>
        <w:rPr>
          <w:rtl/>
        </w:rPr>
        <w:t xml:space="preserve"> </w:t>
      </w:r>
      <w:r w:rsidRPr="00A96522">
        <w:rPr>
          <w:rFonts w:ascii="Calibri" w:eastAsia="Times New Roman" w:hAnsi="Calibri" w:cs="Guttman Rashi"/>
          <w:noProof w:val="0"/>
          <w:sz w:val="10"/>
          <w:szCs w:val="12"/>
          <w:rtl/>
        </w:rPr>
        <w:t xml:space="preserve">(עי' </w:t>
      </w:r>
      <w:r w:rsidRPr="009F52D3">
        <w:rPr>
          <w:rStyle w:val="af2"/>
          <w:rFonts w:eastAsia="Guttman Hodes"/>
          <w:rtl/>
        </w:rPr>
        <w:t xml:space="preserve">אות </w:t>
      </w:r>
      <w:r w:rsidRPr="009F52D3">
        <w:rPr>
          <w:rStyle w:val="af2"/>
          <w:rtl/>
        </w:rPr>
        <w:fldChar w:fldCharType="begin"/>
      </w:r>
      <w:r w:rsidRPr="009F52D3">
        <w:rPr>
          <w:rStyle w:val="af2"/>
          <w:rFonts w:eastAsia="Guttman Hodes"/>
          <w:rtl/>
        </w:rPr>
        <w:instrText xml:space="preserve"> </w:instrText>
      </w:r>
      <w:r w:rsidRPr="009F52D3">
        <w:rPr>
          <w:rStyle w:val="af2"/>
          <w:rFonts w:eastAsia="Guttman Hodes" w:hint="cs"/>
        </w:rPr>
        <w:instrText>REF</w:instrText>
      </w:r>
      <w:r w:rsidRPr="009F52D3">
        <w:rPr>
          <w:rStyle w:val="af2"/>
          <w:rFonts w:eastAsia="Guttman Hodes" w:hint="cs"/>
          <w:rtl/>
        </w:rPr>
        <w:instrText xml:space="preserve"> _</w:instrText>
      </w:r>
      <w:r w:rsidRPr="009F52D3">
        <w:rPr>
          <w:rStyle w:val="af2"/>
          <w:rFonts w:eastAsia="Guttman Hodes" w:hint="cs"/>
        </w:rPr>
        <w:instrText>Ref145235471 \r \h</w:instrText>
      </w:r>
      <w:r w:rsidRPr="009F52D3">
        <w:rPr>
          <w:rStyle w:val="af2"/>
          <w:rFonts w:eastAsia="Guttman Hodes"/>
          <w:rtl/>
        </w:rPr>
        <w:instrText xml:space="preserve"> </w:instrText>
      </w:r>
      <w:r w:rsidRPr="009F52D3">
        <w:rPr>
          <w:rStyle w:val="af2"/>
          <w:rFonts w:eastAsia="Guttman Hodes"/>
          <w:rtl/>
        </w:rPr>
      </w:r>
      <w:r w:rsidRPr="009F52D3">
        <w:rPr>
          <w:rStyle w:val="af2"/>
          <w:rtl/>
        </w:rPr>
        <w:fldChar w:fldCharType="separate"/>
      </w:r>
      <w:r w:rsidR="00D82181">
        <w:rPr>
          <w:rStyle w:val="af2"/>
          <w:rFonts w:eastAsia="Guttman Hodes"/>
          <w:cs/>
        </w:rPr>
        <w:t>‎</w:t>
      </w:r>
      <w:r w:rsidR="00D82181">
        <w:rPr>
          <w:rStyle w:val="af2"/>
          <w:rFonts w:eastAsia="Guttman Hodes"/>
          <w:rtl/>
        </w:rPr>
        <w:t>לז)</w:t>
      </w:r>
      <w:r w:rsidRPr="009F52D3">
        <w:rPr>
          <w:rStyle w:val="af2"/>
          <w:rFonts w:eastAsia="Guttman Hodes"/>
          <w:rtl/>
        </w:rPr>
        <w:fldChar w:fldCharType="end"/>
      </w:r>
      <w:r>
        <w:rPr>
          <w:rFonts w:hint="cs"/>
          <w:rtl/>
        </w:rPr>
        <w:t xml:space="preserve"> </w:t>
      </w:r>
      <w:r w:rsidRPr="00A96522">
        <w:rPr>
          <w:rFonts w:hint="cs"/>
          <w:b/>
          <w:bCs/>
          <w:rtl/>
        </w:rPr>
        <w:t>ולקמן</w:t>
      </w:r>
      <w:r>
        <w:rPr>
          <w:rtl/>
        </w:rPr>
        <w:t xml:space="preserve"> </w:t>
      </w:r>
      <w:r w:rsidRPr="00A96522">
        <w:rPr>
          <w:rFonts w:ascii="Calibri" w:eastAsia="Times New Roman" w:hAnsi="Calibri" w:cs="Guttman Rashi"/>
          <w:noProof w:val="0"/>
          <w:sz w:val="10"/>
          <w:szCs w:val="12"/>
          <w:rtl/>
        </w:rPr>
        <w:t xml:space="preserve">(עי' 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Pr>
        <w:instrText>REF</w:instrText>
      </w:r>
      <w:r>
        <w:rPr>
          <w:rFonts w:ascii="Calibri" w:eastAsia="Times New Roman" w:hAnsi="Calibri" w:cs="Guttman Rashi"/>
          <w:noProof w:val="0"/>
          <w:sz w:val="10"/>
          <w:szCs w:val="12"/>
          <w:rtl/>
        </w:rPr>
        <w:instrText xml:space="preserve"> _</w:instrText>
      </w:r>
      <w:r>
        <w:rPr>
          <w:rFonts w:ascii="Calibri" w:eastAsia="Times New Roman" w:hAnsi="Calibri" w:cs="Guttman Rashi"/>
          <w:noProof w:val="0"/>
          <w:sz w:val="10"/>
          <w:szCs w:val="12"/>
        </w:rPr>
        <w:instrText>Ref145061049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נד)</w:t>
      </w:r>
      <w:r>
        <w:rPr>
          <w:rFonts w:ascii="Calibri" w:eastAsia="Times New Roman" w:hAnsi="Calibri" w:cs="Guttman Rashi"/>
          <w:noProof w:val="0"/>
          <w:sz w:val="10"/>
          <w:szCs w:val="12"/>
          <w:rtl/>
        </w:rPr>
        <w:fldChar w:fldCharType="end"/>
      </w:r>
      <w:r>
        <w:rPr>
          <w:rtl/>
        </w:rPr>
        <w:t xml:space="preserve"> </w:t>
      </w:r>
      <w:r>
        <w:rPr>
          <w:rFonts w:hint="cs"/>
          <w:rtl/>
        </w:rPr>
        <w:t>וכ"כ</w:t>
      </w:r>
      <w:r>
        <w:rPr>
          <w:rtl/>
        </w:rPr>
        <w:t xml:space="preserve"> </w:t>
      </w:r>
      <w:r w:rsidRPr="00A96522">
        <w:rPr>
          <w:rFonts w:hint="cs"/>
          <w:b/>
          <w:bCs/>
          <w:rtl/>
        </w:rPr>
        <w:t>המ"מ</w:t>
      </w:r>
      <w:r>
        <w:rPr>
          <w:rtl/>
        </w:rPr>
        <w:t xml:space="preserve"> </w:t>
      </w:r>
      <w:r w:rsidRPr="00A96522">
        <w:rPr>
          <w:rFonts w:ascii="Calibri" w:eastAsia="Times New Roman" w:hAnsi="Calibri" w:cs="Guttman Rashi"/>
          <w:noProof w:val="0"/>
          <w:sz w:val="10"/>
          <w:szCs w:val="12"/>
          <w:rtl/>
        </w:rPr>
        <w:t xml:space="preserve">(עי' </w:t>
      </w:r>
      <w:r w:rsidRPr="00CA003E">
        <w:rPr>
          <w:rFonts w:ascii="Calibri" w:eastAsia="Times New Roman" w:hAnsi="Calibri" w:cs="Guttman Rashi"/>
          <w:noProof w:val="0"/>
          <w:sz w:val="10"/>
          <w:szCs w:val="12"/>
          <w:rtl/>
        </w:rPr>
        <w:t xml:space="preserve">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Pr>
        <w:instrText>REF</w:instrText>
      </w:r>
      <w:r>
        <w:rPr>
          <w:rFonts w:ascii="Calibri" w:eastAsia="Times New Roman" w:hAnsi="Calibri" w:cs="Guttman Rashi"/>
          <w:noProof w:val="0"/>
          <w:sz w:val="10"/>
          <w:szCs w:val="12"/>
          <w:rtl/>
        </w:rPr>
        <w:instrText xml:space="preserve"> _</w:instrText>
      </w:r>
      <w:r>
        <w:rPr>
          <w:rFonts w:ascii="Calibri" w:eastAsia="Times New Roman" w:hAnsi="Calibri" w:cs="Guttman Rashi"/>
          <w:noProof w:val="0"/>
          <w:sz w:val="10"/>
          <w:szCs w:val="12"/>
        </w:rPr>
        <w:instrText>Ref143549459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כה)</w:t>
      </w:r>
      <w:r>
        <w:rPr>
          <w:rFonts w:ascii="Calibri" w:eastAsia="Times New Roman" w:hAnsi="Calibri" w:cs="Guttman Rashi"/>
          <w:noProof w:val="0"/>
          <w:sz w:val="10"/>
          <w:szCs w:val="12"/>
          <w:rtl/>
        </w:rPr>
        <w:fldChar w:fldCharType="end"/>
      </w:r>
      <w:r>
        <w:rPr>
          <w:rFonts w:hint="cs"/>
          <w:rtl/>
        </w:rPr>
        <w:t xml:space="preserve">, </w:t>
      </w:r>
      <w:bookmarkStart w:id="5751" w:name="_Hlk144717913"/>
      <w:r>
        <w:rPr>
          <w:rFonts w:hint="cs"/>
          <w:rtl/>
        </w:rPr>
        <w:t xml:space="preserve">והביא </w:t>
      </w:r>
      <w:r>
        <w:rPr>
          <w:rFonts w:hint="cs"/>
          <w:b/>
          <w:bCs/>
          <w:rtl/>
        </w:rPr>
        <w:t>הב"י</w:t>
      </w:r>
      <w:r>
        <w:rPr>
          <w:rtl/>
        </w:rPr>
        <w:t xml:space="preserve"> </w:t>
      </w:r>
      <w:r>
        <w:rPr>
          <w:rFonts w:hint="cs"/>
          <w:rtl/>
        </w:rPr>
        <w:t xml:space="preserve">את דברי </w:t>
      </w:r>
      <w:r>
        <w:rPr>
          <w:rFonts w:hint="cs"/>
          <w:b/>
          <w:bCs/>
          <w:rtl/>
        </w:rPr>
        <w:t>התרומת הדשן</w:t>
      </w:r>
      <w:r>
        <w:rPr>
          <w:b/>
          <w:bCs/>
          <w:rtl/>
        </w:rPr>
        <w:t xml:space="preserve"> </w:t>
      </w:r>
      <w:r w:rsidRPr="00490A06">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סי' ס"ה</w:t>
      </w:r>
      <w:r w:rsidRPr="00490A06">
        <w:rPr>
          <w:rFonts w:ascii="Calibri" w:eastAsia="Times New Roman" w:hAnsi="Calibri" w:cs="Guttman Rashi"/>
          <w:noProof w:val="0"/>
          <w:sz w:val="10"/>
          <w:szCs w:val="12"/>
          <w:rtl/>
        </w:rPr>
        <w:t>)</w:t>
      </w:r>
      <w:r>
        <w:rPr>
          <w:rtl/>
        </w:rPr>
        <w:t xml:space="preserve"> </w:t>
      </w:r>
      <w:r>
        <w:rPr>
          <w:rFonts w:hint="cs"/>
          <w:rtl/>
        </w:rPr>
        <w:t xml:space="preserve">בשם </w:t>
      </w:r>
      <w:r>
        <w:rPr>
          <w:rFonts w:hint="cs"/>
          <w:b/>
          <w:bCs/>
          <w:rtl/>
        </w:rPr>
        <w:t>האו"ז</w:t>
      </w:r>
      <w:r>
        <w:rPr>
          <w:rtl/>
        </w:rPr>
        <w:t xml:space="preserve"> </w:t>
      </w:r>
      <w:r>
        <w:rPr>
          <w:rFonts w:ascii="Calibri" w:eastAsia="Times New Roman" w:hAnsi="Calibri" w:cs="Guttman Rashi" w:hint="cs"/>
          <w:noProof w:val="0"/>
          <w:sz w:val="10"/>
          <w:szCs w:val="12"/>
          <w:rtl/>
        </w:rPr>
        <w:t>(</w:t>
      </w:r>
      <w:r w:rsidRPr="00204C76">
        <w:rPr>
          <w:rFonts w:ascii="Calibri" w:eastAsia="Times New Roman" w:hAnsi="Calibri" w:cs="Guttman Rashi"/>
          <w:noProof w:val="0"/>
          <w:sz w:val="10"/>
          <w:szCs w:val="12"/>
          <w:rtl/>
        </w:rPr>
        <w:t>ח"ב סי' ע</w:t>
      </w:r>
      <w:r>
        <w:rPr>
          <w:rFonts w:ascii="Calibri" w:eastAsia="Times New Roman" w:hAnsi="Calibri" w:cs="Guttman Rashi" w:hint="cs"/>
          <w:noProof w:val="0"/>
          <w:sz w:val="10"/>
          <w:szCs w:val="12"/>
          <w:rtl/>
        </w:rPr>
        <w:t>"</w:t>
      </w:r>
      <w:r w:rsidRPr="00204C76">
        <w:rPr>
          <w:rFonts w:ascii="Calibri" w:eastAsia="Times New Roman" w:hAnsi="Calibri" w:cs="Guttman Rashi"/>
          <w:noProof w:val="0"/>
          <w:sz w:val="10"/>
          <w:szCs w:val="12"/>
          <w:rtl/>
        </w:rPr>
        <w:t>ח</w:t>
      </w:r>
      <w:r>
        <w:rPr>
          <w:rFonts w:ascii="Calibri" w:eastAsia="Times New Roman" w:hAnsi="Calibri" w:cs="Guttman Rashi" w:hint="cs"/>
          <w:noProof w:val="0"/>
          <w:sz w:val="10"/>
          <w:szCs w:val="12"/>
          <w:rtl/>
        </w:rPr>
        <w:t xml:space="preserve">) </w:t>
      </w:r>
      <w:r>
        <w:rPr>
          <w:rFonts w:hint="cs"/>
          <w:rtl/>
        </w:rPr>
        <w:t>דכתב דחבית גדולה היינו שיש בה מ' סאה, וכתב</w:t>
      </w:r>
      <w:r>
        <w:rPr>
          <w:rtl/>
        </w:rPr>
        <w:t xml:space="preserve"> </w:t>
      </w:r>
      <w:r>
        <w:rPr>
          <w:rFonts w:hint="cs"/>
          <w:b/>
          <w:bCs/>
          <w:rtl/>
        </w:rPr>
        <w:t>הב"י</w:t>
      </w:r>
      <w:r>
        <w:rPr>
          <w:rtl/>
        </w:rPr>
        <w:t xml:space="preserve"> </w:t>
      </w:r>
      <w:r>
        <w:rPr>
          <w:rFonts w:hint="cs"/>
          <w:rtl/>
        </w:rPr>
        <w:t>דאפש"ל דזו כוונת</w:t>
      </w:r>
      <w:r>
        <w:rPr>
          <w:rtl/>
        </w:rPr>
        <w:t xml:space="preserve"> </w:t>
      </w:r>
      <w:r>
        <w:rPr>
          <w:rFonts w:hint="cs"/>
          <w:b/>
          <w:bCs/>
          <w:rtl/>
        </w:rPr>
        <w:t>הר"ן</w:t>
      </w:r>
      <w:r>
        <w:rPr>
          <w:rFonts w:hint="cs"/>
          <w:rtl/>
        </w:rPr>
        <w:t xml:space="preserve"> בכלי גדול.</w:t>
      </w:r>
      <w:bookmarkEnd w:id="5748"/>
    </w:p>
    <w:bookmarkEnd w:id="5749"/>
    <w:bookmarkEnd w:id="5751"/>
    <w:p w14:paraId="7E9BDD0D" w14:textId="77777777" w:rsidR="003E1AA3" w:rsidRPr="00BC7DC8" w:rsidRDefault="003E1AA3" w:rsidP="003E1AA3">
      <w:pPr>
        <w:pStyle w:val="afffffe"/>
        <w:rPr>
          <w:vanish/>
          <w:rtl/>
        </w:rPr>
      </w:pPr>
      <w:r w:rsidRPr="00BC7DC8">
        <w:rPr>
          <w:vanish/>
          <w:rtl/>
        </w:rPr>
        <w:t xml:space="preserve">בית יוסף </w:t>
      </w:r>
      <w:r w:rsidRPr="00BC7DC8">
        <w:rPr>
          <w:rFonts w:hint="cs"/>
          <w:vanish/>
          <w:rtl/>
        </w:rPr>
        <w:t>או"ח</w:t>
      </w:r>
      <w:r w:rsidRPr="00BC7DC8">
        <w:rPr>
          <w:vanish/>
          <w:rtl/>
        </w:rPr>
        <w:t xml:space="preserve"> סימן שי</w:t>
      </w:r>
      <w:r w:rsidRPr="00BC7DC8">
        <w:rPr>
          <w:rFonts w:hint="cs"/>
          <w:vanish/>
          <w:rtl/>
        </w:rPr>
        <w:t>"ד א' ד"ה והר"ן</w:t>
      </w:r>
    </w:p>
    <w:p w14:paraId="3C7C3F00" w14:textId="77777777" w:rsidR="003E1AA3" w:rsidRPr="0018388A" w:rsidRDefault="003E1AA3" w:rsidP="003E1AA3">
      <w:pPr>
        <w:pStyle w:val="a2"/>
        <w:tabs>
          <w:tab w:val="num" w:pos="284"/>
        </w:tabs>
        <w:rPr>
          <w:rtl/>
        </w:rPr>
      </w:pPr>
      <w:r w:rsidRPr="0018388A">
        <w:rPr>
          <w:rtl/>
        </w:rPr>
        <w:t>) והר"ן בפרק חבית (סא: ד"ה מתני' שובר) תירץ בענין אחר דלא שרינן שבירת חבית אלא בכלי קטן כגון חבית דלא שייך ביה בנין וסתירה אבל בכלי גדול לא ומשום הכי פרכינן בעירובין אנתנו במגדל הוא במקום אחד ועירובו במקום אחר הוא משום דבמגדל גדול עסקינן דהוי כאוהל ושייך ביה בנין וסתירה הא במגדל קטן לא שייך ביה בנין וסתירה ושרי וכן פירש רש"י בעירובין (לה. ד"ה ומתני') וכן מוכחת סוגיא דהתם עכ"ל וגם תירוץ זה הזכירו התוספות בפרק בכל מערבין (לד: ד"ה ואמאי) אלא שנראה שלא סמכו עליו משום ההיא דמאן דעייל שופתא בקופינא דמרא חייב משום בונה אף על גב דכלי קטן הוא. ולהר"ן שסמך על תירוץ זה איכא לתרוצי דכי אמרינן אין בנין וסתירה בכלים הני מילי בכלי שנתפרק ואין צריך אומן בחזרתו אבל עושה כלי מתחלתו אי נמי כלי שנתפרק וצריך אומן בחזרתו כל שהחזירו לא מיקרי בנין בכלים אלא עושה כלי מיקרי ומיחייב משום בונה וכן כתב הוא ז"ל בריש פרק הבונה (לז. ד"ה ומקשו) ובריש פרק כל הכלים (מז. ד"ה ת"ר דלת) וכן כתב הרב המגיד בפרק י' (הי"ג):</w:t>
      </w:r>
      <w:r w:rsidRPr="0018388A">
        <w:rPr>
          <w:rFonts w:hint="cs"/>
          <w:rtl/>
        </w:rPr>
        <w:t xml:space="preserve"> וכו' </w:t>
      </w:r>
      <w:r w:rsidRPr="0018388A">
        <w:rPr>
          <w:rtl/>
        </w:rPr>
        <w:t>וכתוב בתרומת הדשן סימן ס"ה בשם אור זרוע (ח"ב סי' עח אות יב יח.) דהא דשובר את החבית לאכול ממנה גרוגרות איירי בחבית שאינה מחזקת ארבעים סאה דהוי כלי ואין סתירה בכלים. ואפשר דלהר"ן נמי לא מיקרי כלי גדול אלא אם כן הוא מחזיק ארבעים סאה:</w:t>
      </w:r>
    </w:p>
    <w:p w14:paraId="0589AB03" w14:textId="77777777" w:rsidR="003E1AA3" w:rsidRPr="00EB1AB6" w:rsidRDefault="003E1AA3" w:rsidP="003E1AA3">
      <w:pPr>
        <w:pStyle w:val="afffff7"/>
        <w:rPr>
          <w:rtl/>
        </w:rPr>
      </w:pPr>
      <w:bookmarkStart w:id="5752" w:name="_Toc145234067"/>
      <w:bookmarkStart w:id="5753" w:name="_Hlk144717712"/>
      <w:bookmarkStart w:id="5754" w:name="_Toc163506325"/>
      <w:r w:rsidRPr="00EB1AB6">
        <w:rPr>
          <w:rtl/>
        </w:rPr>
        <w:t xml:space="preserve">שו"ת אגרות משה </w:t>
      </w:r>
      <w:r w:rsidRPr="00EB1AB6">
        <w:rPr>
          <w:rFonts w:hint="cs"/>
          <w:rtl/>
        </w:rPr>
        <w:t>או"ח ח"א סי'</w:t>
      </w:r>
      <w:r w:rsidRPr="00EB1AB6">
        <w:rPr>
          <w:rtl/>
        </w:rPr>
        <w:t xml:space="preserve"> קכ</w:t>
      </w:r>
      <w:r w:rsidRPr="00EB1AB6">
        <w:rPr>
          <w:rFonts w:hint="cs"/>
          <w:rtl/>
        </w:rPr>
        <w:t>"</w:t>
      </w:r>
      <w:r w:rsidRPr="00EB1AB6">
        <w:rPr>
          <w:rtl/>
        </w:rPr>
        <w:t>ב</w:t>
      </w:r>
      <w:r w:rsidRPr="00EB1AB6">
        <w:rPr>
          <w:rFonts w:hint="cs"/>
          <w:rtl/>
        </w:rPr>
        <w:t xml:space="preserve"> ענף ה' ד"ה </w:t>
      </w:r>
      <w:r w:rsidRPr="00EB1AB6">
        <w:rPr>
          <w:rtl/>
        </w:rPr>
        <w:t>והנכון לע"ד</w:t>
      </w:r>
      <w:bookmarkEnd w:id="5752"/>
      <w:bookmarkEnd w:id="5754"/>
    </w:p>
    <w:p w14:paraId="0D72348F" w14:textId="77777777" w:rsidR="003E1AA3" w:rsidRPr="00EB1AB6" w:rsidRDefault="003E1AA3" w:rsidP="003E1AA3">
      <w:pPr>
        <w:pStyle w:val="a7"/>
        <w:rPr>
          <w:rtl/>
        </w:rPr>
      </w:pPr>
      <w:bookmarkStart w:id="5755" w:name="_Toc145233973"/>
      <w:r>
        <w:rPr>
          <w:rFonts w:hint="cs"/>
          <w:rtl/>
        </w:rPr>
        <w:t>בי' האגרו"מ בב"י דהק' סתירה בדברי הר"ן דאי בעושה כלי הוי בונה אמאי סתירה בקטן מותרת</w:t>
      </w:r>
      <w:bookmarkEnd w:id="5755"/>
    </w:p>
    <w:p w14:paraId="71571AB4" w14:textId="0B1F4EEB" w:rsidR="003E1AA3" w:rsidRPr="00EB1AB6" w:rsidRDefault="003E1AA3" w:rsidP="00BC7DC8">
      <w:pPr>
        <w:pStyle w:val="a3"/>
        <w:rPr>
          <w:rtl/>
        </w:rPr>
      </w:pPr>
      <w:bookmarkStart w:id="5756" w:name="_Ref145190641"/>
      <w:r w:rsidRPr="00EB1AB6">
        <w:rPr>
          <w:rFonts w:hint="cs"/>
          <w:rtl/>
        </w:rPr>
        <w:t xml:space="preserve">וביאר </w:t>
      </w:r>
      <w:r w:rsidRPr="00370735">
        <w:rPr>
          <w:rFonts w:hint="cs"/>
          <w:b/>
          <w:bCs/>
          <w:rtl/>
        </w:rPr>
        <w:t>ה</w:t>
      </w:r>
      <w:r w:rsidRPr="00370735">
        <w:rPr>
          <w:rFonts w:hint="cs"/>
          <w:b/>
          <w:bCs/>
          <w:vanish/>
          <w:rtl/>
        </w:rPr>
        <w:t xml:space="preserve">&lt;, </w:t>
      </w:r>
      <w:r w:rsidRPr="00370735">
        <w:rPr>
          <w:b/>
          <w:bCs/>
          <w:vanish/>
          <w:rtl/>
        </w:rPr>
        <w:fldChar w:fldCharType="begin"/>
      </w:r>
      <w:r w:rsidRPr="00370735">
        <w:rPr>
          <w:b/>
          <w:bCs/>
          <w:vanish/>
          <w:rtl/>
        </w:rPr>
        <w:instrText xml:space="preserve"> </w:instrText>
      </w:r>
      <w:r w:rsidRPr="00370735">
        <w:rPr>
          <w:rFonts w:hint="cs"/>
          <w:b/>
          <w:bCs/>
          <w:vanish/>
        </w:rPr>
        <w:instrText>REF</w:instrText>
      </w:r>
      <w:r w:rsidRPr="00370735">
        <w:rPr>
          <w:rFonts w:hint="cs"/>
          <w:b/>
          <w:bCs/>
          <w:vanish/>
          <w:rtl/>
        </w:rPr>
        <w:instrText xml:space="preserve"> _</w:instrText>
      </w:r>
      <w:r w:rsidRPr="00370735">
        <w:rPr>
          <w:rFonts w:hint="cs"/>
          <w:b/>
          <w:bCs/>
          <w:vanish/>
        </w:rPr>
        <w:instrText>Ref145190641 \r \h</w:instrText>
      </w:r>
      <w:r w:rsidRPr="00370735">
        <w:rPr>
          <w:b/>
          <w:bCs/>
          <w:vanish/>
          <w:rtl/>
        </w:rPr>
        <w:instrText xml:space="preserve">  \* </w:instrText>
      </w:r>
      <w:r w:rsidRPr="00370735">
        <w:rPr>
          <w:b/>
          <w:bCs/>
          <w:vanish/>
        </w:rPr>
        <w:instrText>MERGEFORMAT</w:instrText>
      </w:r>
      <w:r w:rsidRPr="00370735">
        <w:rPr>
          <w:b/>
          <w:bCs/>
          <w:vanish/>
          <w:rtl/>
        </w:rPr>
        <w:instrText xml:space="preserve"> </w:instrText>
      </w:r>
      <w:r w:rsidRPr="00370735">
        <w:rPr>
          <w:b/>
          <w:bCs/>
          <w:vanish/>
          <w:rtl/>
        </w:rPr>
      </w:r>
      <w:r w:rsidRPr="00370735">
        <w:rPr>
          <w:b/>
          <w:bCs/>
          <w:vanish/>
          <w:rtl/>
        </w:rPr>
        <w:fldChar w:fldCharType="separate"/>
      </w:r>
      <w:r w:rsidR="00D82181">
        <w:rPr>
          <w:b/>
          <w:bCs/>
          <w:vanish/>
          <w:cs/>
        </w:rPr>
        <w:t>‎</w:t>
      </w:r>
      <w:r w:rsidR="00D82181">
        <w:rPr>
          <w:b/>
          <w:bCs/>
          <w:vanish/>
          <w:rtl/>
        </w:rPr>
        <w:t>סט)</w:t>
      </w:r>
      <w:r w:rsidRPr="00370735">
        <w:rPr>
          <w:b/>
          <w:bCs/>
          <w:vanish/>
          <w:rtl/>
        </w:rPr>
        <w:fldChar w:fldCharType="end"/>
      </w:r>
      <w:r w:rsidRPr="00370735">
        <w:rPr>
          <w:rFonts w:hint="cs"/>
          <w:b/>
          <w:bCs/>
          <w:vanish/>
          <w:rtl/>
        </w:rPr>
        <w:t xml:space="preserve"> &gt;</w:t>
      </w:r>
      <w:r w:rsidRPr="00370735">
        <w:rPr>
          <w:rFonts w:hint="cs"/>
          <w:b/>
          <w:bCs/>
          <w:rtl/>
        </w:rPr>
        <w:t>אגרות משה</w:t>
      </w:r>
      <w:r w:rsidRPr="00370735">
        <w:rPr>
          <w:b/>
          <w:bCs/>
          <w:rtl/>
        </w:rPr>
        <w:t xml:space="preserve"> </w:t>
      </w:r>
      <w:r w:rsidRPr="00370735">
        <w:rPr>
          <w:rStyle w:val="af2"/>
          <w:rFonts w:eastAsia="Guttman Hodes"/>
          <w:rtl/>
        </w:rPr>
        <w:t>(</w:t>
      </w:r>
      <w:r w:rsidRPr="00370735">
        <w:rPr>
          <w:rStyle w:val="af2"/>
          <w:rFonts w:eastAsia="Guttman Hodes" w:hint="cs"/>
          <w:rtl/>
        </w:rPr>
        <w:t xml:space="preserve">או"ח ח"א סי' קכ"ב ענף ה' ד"ה </w:t>
      </w:r>
      <w:r w:rsidRPr="00370735">
        <w:rPr>
          <w:rStyle w:val="af2"/>
          <w:rFonts w:eastAsia="Guttman Hodes"/>
          <w:rtl/>
        </w:rPr>
        <w:t>והנכון לע"ד)</w:t>
      </w:r>
      <w:r w:rsidRPr="005E0226">
        <w:rPr>
          <w:vanish/>
          <w:rtl/>
        </w:rPr>
        <w:t>=</w:t>
      </w:r>
      <w:r w:rsidRPr="00370735">
        <w:rPr>
          <w:rStyle w:val="af2"/>
          <w:rFonts w:eastAsia="Guttman Hodes" w:hint="cs"/>
          <w:rtl/>
        </w:rPr>
        <w:t xml:space="preserve"> </w:t>
      </w:r>
      <w:r w:rsidRPr="00EB1AB6">
        <w:rPr>
          <w:rFonts w:hint="cs"/>
          <w:rtl/>
        </w:rPr>
        <w:t>דכוונת</w:t>
      </w:r>
      <w:r w:rsidRPr="00EB1AB6">
        <w:rPr>
          <w:rtl/>
        </w:rPr>
        <w:t xml:space="preserve"> </w:t>
      </w:r>
      <w:r w:rsidRPr="00370735">
        <w:rPr>
          <w:rFonts w:hint="cs"/>
          <w:b/>
          <w:bCs/>
          <w:rtl/>
        </w:rPr>
        <w:t>הב"י</w:t>
      </w:r>
      <w:r w:rsidRPr="00EB1AB6">
        <w:rPr>
          <w:rFonts w:hint="cs"/>
          <w:rtl/>
        </w:rPr>
        <w:t xml:space="preserve"> </w:t>
      </w:r>
      <w:r w:rsidRPr="00370735">
        <w:rPr>
          <w:rStyle w:val="af2"/>
          <w:rFonts w:eastAsia="Guttman Hode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rPr>
        <w:instrText>REF</w:instrText>
      </w:r>
      <w:r>
        <w:rPr>
          <w:rStyle w:val="af2"/>
          <w:rFonts w:eastAsia="Guttman Hodes"/>
          <w:rtl/>
        </w:rPr>
        <w:instrText xml:space="preserve"> _</w:instrText>
      </w:r>
      <w:r>
        <w:rPr>
          <w:rStyle w:val="af2"/>
          <w:rFonts w:eastAsia="Guttman Hodes"/>
        </w:rPr>
        <w:instrText>Ref145235599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סח)</w:t>
      </w:r>
      <w:r>
        <w:rPr>
          <w:rStyle w:val="af2"/>
          <w:rFonts w:eastAsia="Guttman Hodes"/>
          <w:rtl/>
        </w:rPr>
        <w:fldChar w:fldCharType="end"/>
      </w:r>
      <w:r w:rsidRPr="00EB1AB6">
        <w:rPr>
          <w:rtl/>
        </w:rPr>
        <w:t xml:space="preserve"> </w:t>
      </w:r>
      <w:r w:rsidRPr="00EB1AB6">
        <w:rPr>
          <w:rFonts w:hint="cs"/>
          <w:rtl/>
        </w:rPr>
        <w:t>להקשות סתירה בדברי</w:t>
      </w:r>
      <w:r w:rsidRPr="00EB1AB6">
        <w:rPr>
          <w:rtl/>
        </w:rPr>
        <w:t xml:space="preserve"> </w:t>
      </w:r>
      <w:r w:rsidRPr="00370735">
        <w:rPr>
          <w:rFonts w:hint="cs"/>
          <w:b/>
          <w:bCs/>
          <w:rtl/>
        </w:rPr>
        <w:t>הר"ן</w:t>
      </w:r>
      <w:r w:rsidRPr="00EB1AB6">
        <w:rPr>
          <w:rFonts w:hint="cs"/>
          <w:rtl/>
        </w:rPr>
        <w:t>, דכיון דס"ל</w:t>
      </w:r>
      <w:r w:rsidRPr="00EB1AB6">
        <w:rPr>
          <w:rtl/>
        </w:rPr>
        <w:t xml:space="preserve"> </w:t>
      </w:r>
      <w:r w:rsidRPr="00370735">
        <w:rPr>
          <w:rFonts w:hint="cs"/>
          <w:b/>
          <w:bCs/>
          <w:rtl/>
        </w:rPr>
        <w:t>להר"ן בסוגיין</w:t>
      </w:r>
      <w:r w:rsidRPr="00EB1AB6">
        <w:rPr>
          <w:rtl/>
        </w:rPr>
        <w:t xml:space="preserve"> </w:t>
      </w:r>
      <w:r w:rsidRPr="00370735">
        <w:rPr>
          <w:rStyle w:val="af2"/>
          <w:rFonts w:eastAsia="Guttman Hode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rPr>
        <w:instrText>REF</w:instrText>
      </w:r>
      <w:r>
        <w:rPr>
          <w:rStyle w:val="af2"/>
          <w:rFonts w:eastAsia="Guttman Hodes"/>
          <w:rtl/>
        </w:rPr>
        <w:instrText xml:space="preserve"> _</w:instrText>
      </w:r>
      <w:r>
        <w:rPr>
          <w:rStyle w:val="af2"/>
          <w:rFonts w:eastAsia="Guttman Hodes"/>
        </w:rPr>
        <w:instrText>Ref145235471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לז)</w:t>
      </w:r>
      <w:r>
        <w:rPr>
          <w:rStyle w:val="af2"/>
          <w:rFonts w:eastAsia="Guttman Hodes"/>
          <w:rtl/>
        </w:rPr>
        <w:fldChar w:fldCharType="end"/>
      </w:r>
      <w:r w:rsidRPr="00EB1AB6">
        <w:rPr>
          <w:rtl/>
        </w:rPr>
        <w:t xml:space="preserve"> </w:t>
      </w:r>
      <w:r w:rsidRPr="00EB1AB6">
        <w:rPr>
          <w:rFonts w:hint="cs"/>
          <w:rtl/>
        </w:rPr>
        <w:t>דיש בנין וסתירה בכלים, כדעת</w:t>
      </w:r>
      <w:r w:rsidRPr="00EB1AB6">
        <w:rPr>
          <w:rtl/>
        </w:rPr>
        <w:t xml:space="preserve"> </w:t>
      </w:r>
      <w:r w:rsidRPr="00370735">
        <w:rPr>
          <w:rFonts w:hint="cs"/>
          <w:b/>
          <w:bCs/>
          <w:rtl/>
        </w:rPr>
        <w:t>התוס'</w:t>
      </w:r>
      <w:r w:rsidRPr="00EB1AB6">
        <w:rPr>
          <w:rtl/>
        </w:rPr>
        <w:t xml:space="preserve"> </w:t>
      </w:r>
      <w:r w:rsidRPr="00370735">
        <w:rPr>
          <w:rFonts w:ascii="Calibri" w:eastAsia="Times New Roman" w:hAnsi="Calibri" w:cs="Guttman Rashi"/>
          <w:noProof w:val="0"/>
          <w:sz w:val="10"/>
          <w:szCs w:val="12"/>
          <w:rtl/>
        </w:rPr>
        <w:t xml:space="preserve">(עי' </w:t>
      </w:r>
      <w:r w:rsidRPr="00CA003E">
        <w:rPr>
          <w:rFonts w:ascii="Calibri" w:eastAsia="Times New Roman" w:hAnsi="Calibri" w:cs="Guttman Rashi"/>
          <w:noProof w:val="0"/>
          <w:sz w:val="10"/>
          <w:szCs w:val="12"/>
          <w:rtl/>
        </w:rPr>
        <w:t xml:space="preserve">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Pr>
        <w:instrText>REF</w:instrText>
      </w:r>
      <w:r>
        <w:rPr>
          <w:rFonts w:ascii="Calibri" w:eastAsia="Times New Roman" w:hAnsi="Calibri" w:cs="Guttman Rashi"/>
          <w:noProof w:val="0"/>
          <w:sz w:val="10"/>
          <w:szCs w:val="12"/>
          <w:rtl/>
        </w:rPr>
        <w:instrText xml:space="preserve"> _</w:instrText>
      </w:r>
      <w:r>
        <w:rPr>
          <w:rFonts w:ascii="Calibri" w:eastAsia="Times New Roman" w:hAnsi="Calibri" w:cs="Guttman Rashi"/>
          <w:noProof w:val="0"/>
          <w:sz w:val="10"/>
          <w:szCs w:val="12"/>
        </w:rPr>
        <w:instrText>Ref144829094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כא)</w:t>
      </w:r>
      <w:r>
        <w:rPr>
          <w:rFonts w:ascii="Calibri" w:eastAsia="Times New Roman" w:hAnsi="Calibri" w:cs="Guttman Rashi"/>
          <w:noProof w:val="0"/>
          <w:sz w:val="10"/>
          <w:szCs w:val="12"/>
          <w:rtl/>
        </w:rPr>
        <w:fldChar w:fldCharType="end"/>
      </w:r>
      <w:r w:rsidRPr="00EB1AB6">
        <w:rPr>
          <w:rFonts w:hint="cs"/>
          <w:rtl/>
        </w:rPr>
        <w:t xml:space="preserve"> דבעושה כלי מתחילתו הוי בונה, א"כ היאך כתב</w:t>
      </w:r>
      <w:r w:rsidRPr="00370735">
        <w:rPr>
          <w:rFonts w:hint="cs"/>
          <w:b/>
          <w:bCs/>
          <w:rtl/>
        </w:rPr>
        <w:t xml:space="preserve"> הר"ן לקמן</w:t>
      </w:r>
      <w:r w:rsidRPr="00EB1AB6">
        <w:rPr>
          <w:rtl/>
        </w:rPr>
        <w:t xml:space="preserve"> </w:t>
      </w:r>
      <w:r w:rsidRPr="00370735">
        <w:rPr>
          <w:rStyle w:val="af2"/>
          <w:rFonts w:eastAsia="Guttman Hode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rPr>
        <w:instrText>REF</w:instrText>
      </w:r>
      <w:r>
        <w:rPr>
          <w:rStyle w:val="af2"/>
          <w:rFonts w:eastAsia="Guttman Hodes"/>
          <w:rtl/>
        </w:rPr>
        <w:instrText xml:space="preserve"> _</w:instrText>
      </w:r>
      <w:r>
        <w:rPr>
          <w:rStyle w:val="af2"/>
          <w:rFonts w:eastAsia="Guttman Hodes"/>
        </w:rPr>
        <w:instrText>Ref145061049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נד)</w:t>
      </w:r>
      <w:r>
        <w:rPr>
          <w:rStyle w:val="af2"/>
          <w:rFonts w:eastAsia="Guttman Hodes"/>
          <w:rtl/>
        </w:rPr>
        <w:fldChar w:fldCharType="end"/>
      </w:r>
      <w:r w:rsidRPr="00EB1AB6">
        <w:rPr>
          <w:rtl/>
        </w:rPr>
        <w:t xml:space="preserve"> </w:t>
      </w:r>
      <w:r w:rsidRPr="00EB1AB6">
        <w:rPr>
          <w:rFonts w:hint="cs"/>
          <w:rtl/>
        </w:rPr>
        <w:t>שיש חילוק בין כלי גדול לכלי קטן, ובכלי קטן אינו סותר, ועי' במה שביאר</w:t>
      </w:r>
      <w:r w:rsidRPr="00EB1AB6">
        <w:rPr>
          <w:rtl/>
        </w:rPr>
        <w:t xml:space="preserve"> </w:t>
      </w:r>
      <w:r w:rsidRPr="00370735">
        <w:rPr>
          <w:rFonts w:hint="cs"/>
          <w:b/>
          <w:bCs/>
          <w:rtl/>
        </w:rPr>
        <w:t>האגרות משה</w:t>
      </w:r>
      <w:r w:rsidRPr="00EB1AB6">
        <w:rPr>
          <w:rtl/>
        </w:rPr>
        <w:t xml:space="preserve"> </w:t>
      </w:r>
      <w:r w:rsidRPr="00370735">
        <w:rPr>
          <w:rStyle w:val="af2"/>
          <w:rFonts w:eastAsia="Guttman Hode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rPr>
        <w:instrText>REF</w:instrText>
      </w:r>
      <w:r>
        <w:rPr>
          <w:rStyle w:val="af2"/>
          <w:rFonts w:eastAsia="Guttman Hodes"/>
          <w:rtl/>
        </w:rPr>
        <w:instrText xml:space="preserve"> _</w:instrText>
      </w:r>
      <w:r>
        <w:rPr>
          <w:rStyle w:val="af2"/>
          <w:rFonts w:eastAsia="Guttman Hodes"/>
        </w:rPr>
        <w:instrText>Ref144826841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עח)</w:t>
      </w:r>
      <w:r>
        <w:rPr>
          <w:rStyle w:val="af2"/>
          <w:rFonts w:eastAsia="Guttman Hodes"/>
          <w:rtl/>
        </w:rPr>
        <w:fldChar w:fldCharType="end"/>
      </w:r>
      <w:r w:rsidRPr="00370735">
        <w:rPr>
          <w:rStyle w:val="af2"/>
          <w:rFonts w:eastAsia="Guttman Hodes" w:hint="cs"/>
          <w:rtl/>
        </w:rPr>
        <w:t xml:space="preserve"> </w:t>
      </w:r>
      <w:r w:rsidRPr="00EB1AB6">
        <w:rPr>
          <w:rFonts w:hint="cs"/>
          <w:rtl/>
        </w:rPr>
        <w:t>בתירוץ</w:t>
      </w:r>
      <w:r>
        <w:rPr>
          <w:rFonts w:hint="cs"/>
          <w:rtl/>
        </w:rPr>
        <w:t xml:space="preserve"> </w:t>
      </w:r>
      <w:r w:rsidRPr="00370735">
        <w:rPr>
          <w:rFonts w:hint="cs"/>
          <w:b/>
          <w:bCs/>
          <w:rtl/>
        </w:rPr>
        <w:t>הב"י</w:t>
      </w:r>
      <w:r w:rsidRPr="00EB1AB6">
        <w:rPr>
          <w:rFonts w:hint="cs"/>
          <w:rtl/>
        </w:rPr>
        <w:t>.</w:t>
      </w:r>
      <w:bookmarkEnd w:id="5756"/>
    </w:p>
    <w:p w14:paraId="35A8538B" w14:textId="77777777" w:rsidR="003E1AA3" w:rsidRPr="00BC7DC8" w:rsidRDefault="003E1AA3" w:rsidP="003E1AA3">
      <w:pPr>
        <w:pStyle w:val="afffffe"/>
        <w:rPr>
          <w:vanish/>
          <w:rtl/>
        </w:rPr>
      </w:pPr>
      <w:r w:rsidRPr="00BC7DC8">
        <w:rPr>
          <w:rFonts w:hint="cs"/>
          <w:vanish/>
          <w:rtl/>
        </w:rPr>
        <w:t xml:space="preserve"> </w:t>
      </w:r>
      <w:r w:rsidRPr="00BC7DC8">
        <w:rPr>
          <w:vanish/>
          <w:rtl/>
        </w:rPr>
        <w:t xml:space="preserve">שו"ת אגרות משה </w:t>
      </w:r>
      <w:r w:rsidRPr="00BC7DC8">
        <w:rPr>
          <w:rFonts w:hint="cs"/>
          <w:vanish/>
          <w:rtl/>
        </w:rPr>
        <w:t>או"ח ח"א סי'</w:t>
      </w:r>
      <w:r w:rsidRPr="00BC7DC8">
        <w:rPr>
          <w:vanish/>
          <w:rtl/>
        </w:rPr>
        <w:t xml:space="preserve"> קכ</w:t>
      </w:r>
      <w:r w:rsidRPr="00BC7DC8">
        <w:rPr>
          <w:rFonts w:hint="cs"/>
          <w:vanish/>
          <w:rtl/>
        </w:rPr>
        <w:t>"</w:t>
      </w:r>
      <w:r w:rsidRPr="00BC7DC8">
        <w:rPr>
          <w:vanish/>
          <w:rtl/>
        </w:rPr>
        <w:t>ב</w:t>
      </w:r>
      <w:r w:rsidRPr="00BC7DC8">
        <w:rPr>
          <w:rFonts w:hint="cs"/>
          <w:vanish/>
          <w:rtl/>
        </w:rPr>
        <w:t xml:space="preserve"> ענף ה' ד"ה </w:t>
      </w:r>
      <w:r w:rsidRPr="00BC7DC8">
        <w:rPr>
          <w:vanish/>
          <w:rtl/>
        </w:rPr>
        <w:t>והנכון לע"ד</w:t>
      </w:r>
    </w:p>
    <w:p w14:paraId="1599C18F" w14:textId="77777777" w:rsidR="003E1AA3" w:rsidRPr="00EB1AB6" w:rsidRDefault="003E1AA3" w:rsidP="003E1AA3">
      <w:pPr>
        <w:pStyle w:val="a2"/>
        <w:tabs>
          <w:tab w:val="num" w:pos="284"/>
        </w:tabs>
        <w:rPr>
          <w:rtl/>
        </w:rPr>
      </w:pPr>
      <w:r w:rsidRPr="00EB1AB6">
        <w:rPr>
          <w:rtl/>
        </w:rPr>
        <w:t xml:space="preserve">והנכון לע"ד דהא גם על הר"ן קשה דגם הוא סובר דיש בנין בכלים כדאיתא בדבריו ר"פ הבונה א"כ איך מותר בכלי קטן הא אוסר בכלי גדול מטעם דיש סתירה א"כ גם בקטן הרי כיון שיש בנין יש סתירה ואיך כתב בכאן דאין סתירה בקטן וסותר דברי עצמו ועיין בב"י שהקשה זה. </w:t>
      </w:r>
    </w:p>
    <w:p w14:paraId="46A3380E" w14:textId="77777777" w:rsidR="003E1AA3" w:rsidRDefault="003E1AA3" w:rsidP="003E1AA3">
      <w:pPr>
        <w:pStyle w:val="afffff7"/>
        <w:rPr>
          <w:rtl/>
        </w:rPr>
      </w:pPr>
      <w:bookmarkStart w:id="5757" w:name="_Toc145234068"/>
      <w:bookmarkStart w:id="5758" w:name="_Toc163506326"/>
      <w:r>
        <w:rPr>
          <w:rFonts w:hint="cs"/>
          <w:rtl/>
        </w:rPr>
        <w:t>חידושי רבינו משה קזיס פרק חבית ד"ה ולבאר דין זה</w:t>
      </w:r>
      <w:bookmarkEnd w:id="5757"/>
      <w:bookmarkEnd w:id="5758"/>
    </w:p>
    <w:p w14:paraId="7EAA5842" w14:textId="77777777" w:rsidR="003E1AA3" w:rsidRDefault="003E1AA3" w:rsidP="003E1AA3">
      <w:pPr>
        <w:pStyle w:val="a7"/>
        <w:rPr>
          <w:rtl/>
        </w:rPr>
      </w:pPr>
      <w:bookmarkStart w:id="5759" w:name="_Toc145233974"/>
      <w:r>
        <w:rPr>
          <w:rFonts w:hint="cs"/>
          <w:rtl/>
        </w:rPr>
        <w:t>בי' המהר"ם קזיס בב"י דלרי"ד ולר"ן כל שצריך מעשה אומן בונה בין בכלי קטן ובין בכלי גדול</w:t>
      </w:r>
      <w:bookmarkEnd w:id="5759"/>
    </w:p>
    <w:p w14:paraId="6808E0BF" w14:textId="2B360036" w:rsidR="003E1AA3" w:rsidRPr="004C6502" w:rsidRDefault="003E1AA3" w:rsidP="00BC7DC8">
      <w:pPr>
        <w:pStyle w:val="a3"/>
        <w:rPr>
          <w:rtl/>
        </w:rPr>
      </w:pPr>
      <w:bookmarkStart w:id="5760" w:name="_Ref145189104"/>
      <w:r>
        <w:rPr>
          <w:rFonts w:hint="cs"/>
          <w:rtl/>
        </w:rPr>
        <w:t>וכתב</w:t>
      </w:r>
      <w:r>
        <w:rPr>
          <w:rtl/>
        </w:rPr>
        <w:t xml:space="preserve"> </w:t>
      </w:r>
      <w:r w:rsidRPr="0035184F">
        <w:rPr>
          <w:rFonts w:hint="cs"/>
          <w:b/>
          <w:bCs/>
          <w:rtl/>
        </w:rPr>
        <w:t>ה</w:t>
      </w:r>
      <w:r>
        <w:rPr>
          <w:rFonts w:hint="cs"/>
          <w:b/>
          <w:bCs/>
          <w:vanish/>
          <w:rtl/>
        </w:rPr>
        <w:t xml:space="preserve">&lt;, </w:t>
      </w:r>
      <w:r>
        <w:rPr>
          <w:b/>
          <w:bCs/>
          <w:vanish/>
          <w:rtl/>
        </w:rPr>
        <w:fldChar w:fldCharType="begin"/>
      </w:r>
      <w:r>
        <w:rPr>
          <w:b/>
          <w:bCs/>
          <w:vanish/>
          <w:rtl/>
        </w:rPr>
        <w:instrText xml:space="preserve"> </w:instrText>
      </w:r>
      <w:r>
        <w:rPr>
          <w:rFonts w:hint="cs"/>
          <w:b/>
          <w:bCs/>
          <w:vanish/>
        </w:rPr>
        <w:instrText>REF</w:instrText>
      </w:r>
      <w:r>
        <w:rPr>
          <w:rFonts w:hint="cs"/>
          <w:b/>
          <w:bCs/>
          <w:vanish/>
          <w:rtl/>
        </w:rPr>
        <w:instrText xml:space="preserve"> _</w:instrText>
      </w:r>
      <w:r>
        <w:rPr>
          <w:rFonts w:hint="cs"/>
          <w:b/>
          <w:bCs/>
          <w:vanish/>
        </w:rPr>
        <w:instrText>Ref145189104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ע)</w:t>
      </w:r>
      <w:r>
        <w:rPr>
          <w:b/>
          <w:bCs/>
          <w:vanish/>
          <w:rtl/>
        </w:rPr>
        <w:fldChar w:fldCharType="end"/>
      </w:r>
      <w:r>
        <w:rPr>
          <w:rFonts w:hint="cs"/>
          <w:b/>
          <w:bCs/>
          <w:vanish/>
          <w:rtl/>
        </w:rPr>
        <w:t xml:space="preserve"> &gt;</w:t>
      </w:r>
      <w:r w:rsidRPr="0035184F">
        <w:rPr>
          <w:rFonts w:hint="cs"/>
          <w:b/>
          <w:bCs/>
          <w:rtl/>
        </w:rPr>
        <w:t>מהר"ם קזיס</w:t>
      </w:r>
      <w:r w:rsidRPr="0035184F">
        <w:rPr>
          <w:b/>
          <w:bCs/>
          <w:rtl/>
        </w:rPr>
        <w:t xml:space="preserve"> </w:t>
      </w:r>
      <w:r w:rsidRPr="0035184F">
        <w:rPr>
          <w:rFonts w:ascii="Calibri" w:eastAsia="Times New Roman" w:hAnsi="Calibri" w:cs="Guttman Rashi"/>
          <w:noProof w:val="0"/>
          <w:sz w:val="10"/>
          <w:szCs w:val="12"/>
          <w:rtl/>
        </w:rPr>
        <w:t>(</w:t>
      </w:r>
      <w:r w:rsidRPr="0035184F">
        <w:rPr>
          <w:rFonts w:ascii="Calibri" w:eastAsia="Times New Roman" w:hAnsi="Calibri" w:cs="Guttman Rashi" w:hint="cs"/>
          <w:noProof w:val="0"/>
          <w:sz w:val="10"/>
          <w:szCs w:val="12"/>
          <w:rtl/>
        </w:rPr>
        <w:t>ריש פרק חבית סוד"ה ולבאר דין זה</w:t>
      </w:r>
      <w:r w:rsidRPr="0035184F">
        <w:rPr>
          <w:rFonts w:ascii="Calibri" w:eastAsia="Times New Roman" w:hAnsi="Calibri" w:cs="Guttman Rashi"/>
          <w:noProof w:val="0"/>
          <w:sz w:val="10"/>
          <w:szCs w:val="12"/>
          <w:rtl/>
        </w:rPr>
        <w:t>)</w:t>
      </w:r>
      <w:r w:rsidRPr="0035184F">
        <w:rPr>
          <w:vanish/>
          <w:rtl/>
        </w:rPr>
        <w:t>=</w:t>
      </w:r>
      <w:r>
        <w:rPr>
          <w:rtl/>
        </w:rPr>
        <w:t xml:space="preserve"> </w:t>
      </w:r>
      <w:r>
        <w:rPr>
          <w:rFonts w:hint="cs"/>
          <w:rtl/>
        </w:rPr>
        <w:t>דתירוץ</w:t>
      </w:r>
      <w:r>
        <w:rPr>
          <w:rtl/>
        </w:rPr>
        <w:t xml:space="preserve"> </w:t>
      </w:r>
      <w:r w:rsidRPr="0035184F">
        <w:rPr>
          <w:rFonts w:hint="cs"/>
          <w:b/>
          <w:bCs/>
          <w:rtl/>
        </w:rPr>
        <w:t>הב"י</w:t>
      </w:r>
      <w:r>
        <w:rPr>
          <w:rtl/>
        </w:rPr>
        <w:t xml:space="preserve"> </w:t>
      </w:r>
      <w:r>
        <w:rPr>
          <w:rFonts w:hint="cs"/>
          <w:rtl/>
        </w:rPr>
        <w:t xml:space="preserve">אינו מובן, </w:t>
      </w:r>
      <w:bookmarkStart w:id="5761" w:name="_Ref144843736"/>
      <w:r>
        <w:rPr>
          <w:rFonts w:hint="cs"/>
          <w:rtl/>
        </w:rPr>
        <w:t>והביא</w:t>
      </w:r>
      <w:r w:rsidRPr="0035184F">
        <w:rPr>
          <w:b/>
          <w:bCs/>
          <w:vanish/>
          <w:rtl/>
        </w:rPr>
        <w:t xml:space="preserve"> </w:t>
      </w:r>
      <w:r w:rsidRPr="0035184F">
        <w:rPr>
          <w:rFonts w:hint="cs"/>
          <w:b/>
          <w:bCs/>
          <w:rtl/>
        </w:rPr>
        <w:t>המהר"ם קזיס</w:t>
      </w:r>
      <w:r w:rsidRPr="0035184F">
        <w:rPr>
          <w:b/>
          <w:bCs/>
          <w:rtl/>
        </w:rPr>
        <w:t xml:space="preserve"> </w:t>
      </w:r>
      <w:r>
        <w:rPr>
          <w:rFonts w:hint="cs"/>
          <w:rtl/>
        </w:rPr>
        <w:t>את דברי</w:t>
      </w:r>
      <w:r>
        <w:rPr>
          <w:rtl/>
        </w:rPr>
        <w:t xml:space="preserve"> </w:t>
      </w:r>
      <w:r>
        <w:rPr>
          <w:rFonts w:hint="cs"/>
          <w:b/>
          <w:bCs/>
          <w:rtl/>
        </w:rPr>
        <w:t>ה</w:t>
      </w:r>
      <w:r w:rsidRPr="0035184F">
        <w:rPr>
          <w:rFonts w:hint="cs"/>
          <w:b/>
          <w:bCs/>
          <w:rtl/>
        </w:rPr>
        <w:t>פסקי הרי"ד בעירובין</w:t>
      </w:r>
      <w:r w:rsidRPr="0035184F">
        <w:rPr>
          <w:rStyle w:val="af2"/>
          <w:rFonts w:eastAsia="Guttman Hodes"/>
          <w:rtl/>
        </w:rPr>
        <w:t xml:space="preserve"> (עי' אות </w:t>
      </w:r>
      <w:r w:rsidRPr="0035184F">
        <w:rPr>
          <w:rStyle w:val="af2"/>
          <w:rFonts w:eastAsia="Guttman Hodes"/>
          <w:rtl/>
        </w:rPr>
        <w:fldChar w:fldCharType="begin"/>
      </w:r>
      <w:r w:rsidRPr="0035184F">
        <w:rPr>
          <w:rStyle w:val="af2"/>
          <w:rFonts w:eastAsia="Guttman Hodes"/>
          <w:rtl/>
        </w:rPr>
        <w:instrText xml:space="preserve"> </w:instrText>
      </w:r>
      <w:r w:rsidRPr="0035184F">
        <w:rPr>
          <w:rStyle w:val="af2"/>
          <w:rFonts w:eastAsia="Guttman Hodes" w:hint="cs"/>
        </w:rPr>
        <w:instrText>REF</w:instrText>
      </w:r>
      <w:r w:rsidRPr="0035184F">
        <w:rPr>
          <w:rStyle w:val="af2"/>
          <w:rFonts w:eastAsia="Guttman Hodes" w:hint="cs"/>
          <w:rtl/>
        </w:rPr>
        <w:instrText xml:space="preserve"> _</w:instrText>
      </w:r>
      <w:r w:rsidRPr="0035184F">
        <w:rPr>
          <w:rStyle w:val="af2"/>
          <w:rFonts w:eastAsia="Guttman Hodes" w:hint="cs"/>
        </w:rPr>
        <w:instrText>Ref144843303 \r \h</w:instrText>
      </w:r>
      <w:r w:rsidRPr="0035184F">
        <w:rPr>
          <w:rStyle w:val="af2"/>
          <w:rFonts w:eastAsia="Guttman Hodes"/>
          <w:rtl/>
        </w:rPr>
        <w:instrText xml:space="preserve">  \* </w:instrText>
      </w:r>
      <w:r w:rsidRPr="0035184F">
        <w:rPr>
          <w:rStyle w:val="af2"/>
          <w:rFonts w:eastAsia="Guttman Hodes"/>
        </w:rPr>
        <w:instrText>MERGEFORMAT</w:instrText>
      </w:r>
      <w:r w:rsidRPr="0035184F">
        <w:rPr>
          <w:rStyle w:val="af2"/>
          <w:rFonts w:eastAsia="Guttman Hodes"/>
          <w:rtl/>
        </w:rPr>
        <w:instrText xml:space="preserve"> </w:instrText>
      </w:r>
      <w:r w:rsidRPr="0035184F">
        <w:rPr>
          <w:rStyle w:val="af2"/>
          <w:rFonts w:eastAsia="Guttman Hodes"/>
          <w:rtl/>
        </w:rPr>
      </w:r>
      <w:r w:rsidRPr="0035184F">
        <w:rPr>
          <w:rStyle w:val="af2"/>
          <w:rFonts w:eastAsia="Guttman Hodes"/>
          <w:rtl/>
        </w:rPr>
        <w:fldChar w:fldCharType="separate"/>
      </w:r>
      <w:r w:rsidR="00D82181">
        <w:rPr>
          <w:rStyle w:val="af2"/>
          <w:rFonts w:eastAsia="Guttman Hodes"/>
          <w:cs/>
        </w:rPr>
        <w:t>‎</w:t>
      </w:r>
      <w:r w:rsidR="00D82181">
        <w:rPr>
          <w:rStyle w:val="af2"/>
          <w:rFonts w:eastAsia="Guttman Hodes"/>
          <w:rtl/>
        </w:rPr>
        <w:t>מג)</w:t>
      </w:r>
      <w:r w:rsidRPr="0035184F">
        <w:rPr>
          <w:rStyle w:val="af2"/>
          <w:rFonts w:eastAsia="Guttman Hodes"/>
          <w:rtl/>
        </w:rPr>
        <w:fldChar w:fldCharType="end"/>
      </w:r>
      <w:r w:rsidRPr="0035184F">
        <w:rPr>
          <w:rStyle w:val="af2"/>
          <w:rFonts w:eastAsia="Guttman Hodes"/>
          <w:rtl/>
        </w:rPr>
        <w:t xml:space="preserve"> </w:t>
      </w:r>
      <w:r>
        <w:rPr>
          <w:rFonts w:hint="cs"/>
          <w:rtl/>
        </w:rPr>
        <w:t>דכל החילוק בין כלי גדול לכלי קטן הוא במעשה הדיוט, וכתב</w:t>
      </w:r>
      <w:r>
        <w:rPr>
          <w:rtl/>
        </w:rPr>
        <w:t xml:space="preserve"> </w:t>
      </w:r>
      <w:r w:rsidRPr="0035184F">
        <w:rPr>
          <w:rFonts w:hint="cs"/>
          <w:b/>
          <w:bCs/>
          <w:rtl/>
        </w:rPr>
        <w:t>רבינו משה קזיס</w:t>
      </w:r>
      <w:r w:rsidRPr="0035184F">
        <w:rPr>
          <w:b/>
          <w:bCs/>
          <w:rtl/>
        </w:rPr>
        <w:t xml:space="preserve"> </w:t>
      </w:r>
      <w:r>
        <w:rPr>
          <w:rFonts w:hint="cs"/>
          <w:rtl/>
        </w:rPr>
        <w:t xml:space="preserve">דמבואר מדבריו דבבנין וסתירה של אומן אין חילוק בין כלי גדול לכלי קטן, דכל כלי שצריך מעשה אומן הוי בונה, וא"כ לא קשה מהא דאמר רב דמעייל שופתא בקופינא דמרא הוא בונה, </w:t>
      </w:r>
      <w:r w:rsidRPr="00E741BF">
        <w:rPr>
          <w:rStyle w:val="af"/>
          <w:rFonts w:hint="cs"/>
          <w:rtl/>
        </w:rPr>
        <w:t>[כיון דהוא מעשה אומן],</w:t>
      </w:r>
      <w:r>
        <w:rPr>
          <w:rFonts w:hint="cs"/>
          <w:rtl/>
        </w:rPr>
        <w:t xml:space="preserve"> וכתב </w:t>
      </w:r>
      <w:r w:rsidRPr="0035184F">
        <w:rPr>
          <w:rFonts w:hint="cs"/>
          <w:b/>
          <w:bCs/>
          <w:rtl/>
        </w:rPr>
        <w:t>המהר"ם קזיס</w:t>
      </w:r>
      <w:r w:rsidRPr="0035184F">
        <w:rPr>
          <w:b/>
          <w:bCs/>
          <w:rtl/>
        </w:rPr>
        <w:t xml:space="preserve"> </w:t>
      </w:r>
      <w:bookmarkEnd w:id="5761"/>
      <w:r>
        <w:rPr>
          <w:rFonts w:hint="cs"/>
          <w:rtl/>
        </w:rPr>
        <w:t>דא"כ אפש"ל דזו גם כוונת</w:t>
      </w:r>
      <w:r>
        <w:rPr>
          <w:rtl/>
        </w:rPr>
        <w:t xml:space="preserve"> </w:t>
      </w:r>
      <w:r w:rsidRPr="0035184F">
        <w:rPr>
          <w:rFonts w:hint="cs"/>
          <w:b/>
          <w:bCs/>
          <w:rtl/>
        </w:rPr>
        <w:t>הב"י</w:t>
      </w:r>
      <w:r>
        <w:rPr>
          <w:rtl/>
        </w:rPr>
        <w:t xml:space="preserve"> </w:t>
      </w:r>
      <w:r>
        <w:rPr>
          <w:rFonts w:hint="cs"/>
          <w:rtl/>
        </w:rPr>
        <w:t>לתרץ את קושית</w:t>
      </w:r>
      <w:r>
        <w:rPr>
          <w:rtl/>
        </w:rPr>
        <w:t xml:space="preserve"> </w:t>
      </w:r>
      <w:r w:rsidRPr="0035184F">
        <w:rPr>
          <w:rFonts w:hint="cs"/>
          <w:b/>
          <w:bCs/>
          <w:rtl/>
        </w:rPr>
        <w:t xml:space="preserve">התוס' בעירובין בתי' הב' </w:t>
      </w:r>
      <w:r w:rsidRPr="0035184F">
        <w:rPr>
          <w:rFonts w:ascii="Calibri" w:eastAsia="Times New Roman" w:hAnsi="Calibri" w:cs="Guttman Rashi"/>
          <w:noProof w:val="0"/>
          <w:sz w:val="10"/>
          <w:szCs w:val="12"/>
          <w:rtl/>
        </w:rPr>
        <w:t xml:space="preserve">(עי' </w:t>
      </w:r>
      <w:r w:rsidRPr="00993CF3">
        <w:rPr>
          <w:rStyle w:val="af2"/>
          <w:rFonts w:eastAsia="Guttman Hodes"/>
          <w:rtl/>
        </w:rPr>
        <w:t>אות</w:t>
      </w:r>
      <w:r w:rsidRPr="0035184F">
        <w:rPr>
          <w:rStyle w:val="af2"/>
          <w:rFonts w:eastAsia="Guttman Hodes" w:hint="cs"/>
          <w:rtl/>
        </w:rPr>
        <w:t xml:space="preserve"> </w:t>
      </w:r>
      <w:r w:rsidRPr="0035184F">
        <w:rPr>
          <w:rStyle w:val="af2"/>
          <w:rFonts w:eastAsia="Guttman Hodes"/>
          <w:rtl/>
        </w:rPr>
        <w:fldChar w:fldCharType="begin"/>
      </w:r>
      <w:r w:rsidRPr="0035184F">
        <w:rPr>
          <w:rStyle w:val="af2"/>
          <w:rFonts w:eastAsia="Guttman Hodes"/>
          <w:rtl/>
        </w:rPr>
        <w:instrText xml:space="preserve"> </w:instrText>
      </w:r>
      <w:r w:rsidRPr="0035184F">
        <w:rPr>
          <w:rStyle w:val="af2"/>
          <w:rFonts w:eastAsia="Guttman Hodes" w:hint="cs"/>
        </w:rPr>
        <w:instrText>REF</w:instrText>
      </w:r>
      <w:r w:rsidRPr="0035184F">
        <w:rPr>
          <w:rStyle w:val="af2"/>
          <w:rFonts w:eastAsia="Guttman Hodes" w:hint="cs"/>
          <w:rtl/>
        </w:rPr>
        <w:instrText xml:space="preserve"> _</w:instrText>
      </w:r>
      <w:r w:rsidRPr="0035184F">
        <w:rPr>
          <w:rStyle w:val="af2"/>
          <w:rFonts w:eastAsia="Guttman Hodes" w:hint="cs"/>
        </w:rPr>
        <w:instrText>Ref145187459 \r \h</w:instrText>
      </w:r>
      <w:r w:rsidRPr="0035184F">
        <w:rPr>
          <w:rStyle w:val="af2"/>
          <w:rFonts w:eastAsia="Guttman Hodes"/>
          <w:rtl/>
        </w:rPr>
        <w:instrText xml:space="preserve"> </w:instrText>
      </w:r>
      <w:r w:rsidRPr="0035184F">
        <w:rPr>
          <w:rStyle w:val="af2"/>
          <w:rFonts w:eastAsia="Guttman Hodes"/>
          <w:rtl/>
        </w:rPr>
      </w:r>
      <w:r w:rsidRPr="0035184F">
        <w:rPr>
          <w:rStyle w:val="af2"/>
          <w:rFonts w:eastAsia="Guttman Hodes"/>
          <w:rtl/>
        </w:rPr>
        <w:fldChar w:fldCharType="separate"/>
      </w:r>
      <w:r w:rsidR="00D82181">
        <w:rPr>
          <w:rStyle w:val="af2"/>
          <w:rFonts w:eastAsia="Guttman Hodes"/>
          <w:cs/>
        </w:rPr>
        <w:t>‎</w:t>
      </w:r>
      <w:r w:rsidR="00D82181">
        <w:rPr>
          <w:rStyle w:val="af2"/>
          <w:rFonts w:eastAsia="Guttman Hodes"/>
          <w:rtl/>
        </w:rPr>
        <w:t>סד)</w:t>
      </w:r>
      <w:r w:rsidRPr="0035184F">
        <w:rPr>
          <w:rStyle w:val="af2"/>
          <w:rFonts w:eastAsia="Guttman Hodes"/>
          <w:rtl/>
        </w:rPr>
        <w:fldChar w:fldCharType="end"/>
      </w:r>
      <w:r>
        <w:rPr>
          <w:rFonts w:hint="cs"/>
          <w:rtl/>
        </w:rPr>
        <w:t xml:space="preserve"> מהא דמעייל שופתא בקופינא דמרא הוי בונה אעפ"י דהוא כלי קטן, וביאר </w:t>
      </w:r>
      <w:r w:rsidRPr="0035184F">
        <w:rPr>
          <w:rFonts w:hint="cs"/>
          <w:b/>
          <w:bCs/>
          <w:rtl/>
        </w:rPr>
        <w:t>הב"י</w:t>
      </w:r>
      <w:r>
        <w:rPr>
          <w:rtl/>
        </w:rPr>
        <w:t xml:space="preserve"> </w:t>
      </w:r>
      <w:r>
        <w:rPr>
          <w:rFonts w:hint="cs"/>
          <w:rtl/>
        </w:rPr>
        <w:t xml:space="preserve">דבדבר שצריך מעשה אומן אין חילוק בין כלי גדול לקטן, ורק במעשה הדיוט יש חילוק בזה, ולכן כתב </w:t>
      </w:r>
      <w:r w:rsidRPr="0035184F">
        <w:rPr>
          <w:rFonts w:hint="cs"/>
          <w:b/>
          <w:bCs/>
          <w:rtl/>
        </w:rPr>
        <w:t>הב"י</w:t>
      </w:r>
      <w:r>
        <w:rPr>
          <w:rFonts w:hint="cs"/>
          <w:rtl/>
        </w:rPr>
        <w:t xml:space="preserve"> דאפש"ל דזו כוונת</w:t>
      </w:r>
      <w:r>
        <w:rPr>
          <w:rtl/>
        </w:rPr>
        <w:t xml:space="preserve"> </w:t>
      </w:r>
      <w:r w:rsidRPr="0035184F">
        <w:rPr>
          <w:rFonts w:hint="cs"/>
          <w:b/>
          <w:bCs/>
          <w:rtl/>
        </w:rPr>
        <w:t>הר"ן</w:t>
      </w:r>
      <w:r>
        <w:rPr>
          <w:rtl/>
        </w:rPr>
        <w:t xml:space="preserve"> </w:t>
      </w:r>
      <w:r>
        <w:rPr>
          <w:rFonts w:hint="cs"/>
          <w:rtl/>
        </w:rPr>
        <w:t xml:space="preserve">לתרץ את קושית </w:t>
      </w:r>
      <w:r w:rsidRPr="008D406C">
        <w:rPr>
          <w:rStyle w:val="aff4"/>
          <w:rFonts w:hint="cs"/>
          <w:rtl/>
        </w:rPr>
        <w:t>התוס'</w:t>
      </w:r>
      <w:r>
        <w:rPr>
          <w:rFonts w:hint="cs"/>
          <w:rtl/>
        </w:rPr>
        <w:t>, ולכן ס"ל דיש חילוק בין כלי גדול לכלי קטן.</w:t>
      </w:r>
      <w:bookmarkEnd w:id="5760"/>
    </w:p>
    <w:p w14:paraId="37A2FA7F" w14:textId="77777777" w:rsidR="003E1AA3" w:rsidRPr="00BC7DC8" w:rsidRDefault="003E1AA3" w:rsidP="003E1AA3">
      <w:pPr>
        <w:pStyle w:val="afffffe"/>
        <w:rPr>
          <w:vanish/>
          <w:rtl/>
        </w:rPr>
      </w:pPr>
      <w:r w:rsidRPr="00BC7DC8">
        <w:rPr>
          <w:rFonts w:hint="cs"/>
          <w:vanish/>
          <w:rtl/>
        </w:rPr>
        <w:t>חידושי רבינו משה קזיס פרק חבית ד"ה ולבאר דין זה</w:t>
      </w:r>
    </w:p>
    <w:p w14:paraId="02709E53" w14:textId="77777777" w:rsidR="003E1AA3" w:rsidRDefault="003E1AA3" w:rsidP="003E1AA3">
      <w:pPr>
        <w:pStyle w:val="a2"/>
        <w:tabs>
          <w:tab w:val="num" w:pos="284"/>
        </w:tabs>
        <w:rPr>
          <w:rtl/>
        </w:rPr>
      </w:pPr>
      <w:r w:rsidRPr="00D60028">
        <w:rPr>
          <w:rtl/>
        </w:rPr>
        <w:t>ועל מה שחילק הר</w:t>
      </w:r>
      <w:r>
        <w:rPr>
          <w:rFonts w:hint="cs"/>
          <w:rtl/>
        </w:rPr>
        <w:t>"</w:t>
      </w:r>
      <w:r w:rsidRPr="00D60028">
        <w:rPr>
          <w:rtl/>
        </w:rPr>
        <w:t>ן בין כלי גדול לכלי קטן כתב הבית יוסף ס</w:t>
      </w:r>
      <w:r>
        <w:rPr>
          <w:rFonts w:hint="cs"/>
          <w:rtl/>
        </w:rPr>
        <w:t>י'</w:t>
      </w:r>
      <w:r w:rsidRPr="00D60028">
        <w:rPr>
          <w:rtl/>
        </w:rPr>
        <w:t xml:space="preserve"> שי</w:t>
      </w:r>
      <w:r>
        <w:rPr>
          <w:rFonts w:hint="cs"/>
          <w:rtl/>
        </w:rPr>
        <w:t>"</w:t>
      </w:r>
      <w:r w:rsidRPr="00D60028">
        <w:rPr>
          <w:rtl/>
        </w:rPr>
        <w:t>ד שהקשו בתוס' על חילוק זה שהרי אמרו עייל שופתא בקופינא דמרה חייב משום בונה והתם כלי קטן הוא והבית יוסף כתב לתרץ קושיא זו ולא הבנתי תירוצו</w:t>
      </w:r>
      <w:r>
        <w:rPr>
          <w:rFonts w:hint="cs"/>
          <w:rtl/>
        </w:rPr>
        <w:t>.</w:t>
      </w:r>
    </w:p>
    <w:bookmarkEnd w:id="5753"/>
    <w:p w14:paraId="357694DE" w14:textId="77777777" w:rsidR="003E1AA3" w:rsidRDefault="003E1AA3" w:rsidP="003E1AA3">
      <w:pPr>
        <w:pStyle w:val="afffff5"/>
        <w:rPr>
          <w:rtl/>
        </w:rPr>
      </w:pPr>
      <w:r w:rsidRPr="00D60028">
        <w:rPr>
          <w:rtl/>
        </w:rPr>
        <w:t>ומצאתי שכתב רבינו ישעיה בפ' בכל מערבין</w:t>
      </w:r>
      <w:r>
        <w:rPr>
          <w:rFonts w:hint="cs"/>
          <w:rtl/>
        </w:rPr>
        <w:t xml:space="preserve"> זל"ש נתנו </w:t>
      </w:r>
      <w:r w:rsidRPr="001A3C4F">
        <w:rPr>
          <w:rtl/>
        </w:rPr>
        <w:t>במגדל ואבד המפת</w:t>
      </w:r>
      <w:r>
        <w:rPr>
          <w:rFonts w:hint="cs"/>
          <w:rtl/>
        </w:rPr>
        <w:t xml:space="preserve">ח </w:t>
      </w:r>
      <w:r w:rsidRPr="001A3C4F">
        <w:rPr>
          <w:rtl/>
        </w:rPr>
        <w:t>הרי זה עירוב ואמאי הוא במקום אחד ועירובו במקום אחר הוא רב ושמואל דאמרי תרוייהו הכא במגדל של בנין באוירא דליבני עסקי' פ לבינים מסודרות זו על זו בלי טיט שאין מלאכה בסתירה זו ואינו אסור אלא משום שבות ותייק הוא רבי דאמר כל דבר שהוא משום שבות לא גזרו עליו כל בין השמשות ור' אליעזר ס"ל כרבנן דגזרו עליו בין השמשות הלכך אם אין ידוע שהמפתח במקומו אינו עירוב רבה ורב יוסף דאמרי תרוייהו הכא במגדל של עץ עסק מדסבר כלי הוא פי' מפני שהוא מחזיק ארבעים סאה בלח שהם כוריים ביבש ויצא מתורת כלי ואינו מקבל טומאה ותשיב כקרקע ויש בנין וסתירה בקרקע אפילו במעשה הדיוט ואינו צריך מעשה אומן עכ"ל ולפי זה אין חילוק בין כלי גדול לכלי קטן אלא בבנין וסתירה של מעשה הדיוט אבל בשל מעשה אומן גם בכלי קט</w:t>
      </w:r>
      <w:r>
        <w:rPr>
          <w:rFonts w:hint="cs"/>
          <w:rtl/>
        </w:rPr>
        <w:t>ן</w:t>
      </w:r>
      <w:r w:rsidRPr="001A3C4F">
        <w:rPr>
          <w:rtl/>
        </w:rPr>
        <w:t xml:space="preserve"> שייך בנין וסתירה ולא תקשי ההיא דעייל שופתא בקופינא דמרה</w:t>
      </w:r>
      <w:r>
        <w:rPr>
          <w:rFonts w:hint="cs"/>
          <w:rtl/>
        </w:rPr>
        <w:t>,</w:t>
      </w:r>
      <w:r w:rsidRPr="0035184F">
        <w:rPr>
          <w:rtl/>
        </w:rPr>
        <w:t xml:space="preserve"> </w:t>
      </w:r>
      <w:r w:rsidRPr="001A3C4F">
        <w:rPr>
          <w:rtl/>
        </w:rPr>
        <w:t>ואפשר שזהו ג"כ דעת הר"ן וכוונת הבית יוסף בתירוץ קושיית התוס' ומכאן יצא לו להר"ן החילוק שמחלק בין כלי קטן לכלי גדול דגדול נמי חשוב כלי ומותר לשברו ליטול</w:t>
      </w:r>
      <w:r w:rsidRPr="00C74741">
        <w:rPr>
          <w:rtl/>
        </w:rPr>
        <w:t xml:space="preserve"> האוכלין שבתוכו</w:t>
      </w:r>
      <w:r>
        <w:rPr>
          <w:rFonts w:hint="cs"/>
          <w:rtl/>
        </w:rPr>
        <w:t>.</w:t>
      </w:r>
    </w:p>
    <w:p w14:paraId="2139E3C4" w14:textId="77777777" w:rsidR="003E1AA3" w:rsidRPr="00FC269C" w:rsidRDefault="003E1AA3" w:rsidP="003E1AA3">
      <w:pPr>
        <w:pStyle w:val="afffff7"/>
        <w:rPr>
          <w:rtl/>
        </w:rPr>
      </w:pPr>
      <w:bookmarkStart w:id="5762" w:name="_Toc145234069"/>
      <w:bookmarkStart w:id="5763" w:name="_Toc163506327"/>
      <w:r w:rsidRPr="00FC269C">
        <w:rPr>
          <w:rFonts w:hint="cs"/>
          <w:rtl/>
        </w:rPr>
        <w:t>ת</w:t>
      </w:r>
      <w:r w:rsidRPr="00FC269C">
        <w:rPr>
          <w:rtl/>
        </w:rPr>
        <w:t>הלה לדוד או"ח סי' שי</w:t>
      </w:r>
      <w:r w:rsidRPr="00FC269C">
        <w:rPr>
          <w:rFonts w:hint="cs"/>
          <w:rtl/>
        </w:rPr>
        <w:t>"</w:t>
      </w:r>
      <w:r w:rsidRPr="00FC269C">
        <w:rPr>
          <w:rtl/>
        </w:rPr>
        <w:t>ד</w:t>
      </w:r>
      <w:r w:rsidRPr="00FC269C">
        <w:rPr>
          <w:rFonts w:hint="cs"/>
          <w:rtl/>
        </w:rPr>
        <w:t xml:space="preserve"> סק"א</w:t>
      </w:r>
      <w:bookmarkEnd w:id="5762"/>
      <w:bookmarkEnd w:id="5763"/>
    </w:p>
    <w:p w14:paraId="44E39BE3" w14:textId="77777777" w:rsidR="003E1AA3" w:rsidRDefault="003E1AA3" w:rsidP="003E1AA3">
      <w:pPr>
        <w:pStyle w:val="a7"/>
        <w:rPr>
          <w:rtl/>
        </w:rPr>
      </w:pPr>
      <w:bookmarkStart w:id="5764" w:name="_Toc145233975"/>
      <w:r>
        <w:rPr>
          <w:rFonts w:hint="cs"/>
          <w:rtl/>
        </w:rPr>
        <w:t>קו' התהל"ד בב"י דאי חייב בעושה כלי מתחילה אף בקטן ה"ה בסותר חייב ומה ההיתר בחבית</w:t>
      </w:r>
      <w:bookmarkEnd w:id="5764"/>
    </w:p>
    <w:p w14:paraId="6AE02A74" w14:textId="201212AF" w:rsidR="003E1AA3" w:rsidRDefault="003E1AA3" w:rsidP="00BC7DC8">
      <w:pPr>
        <w:pStyle w:val="a3"/>
      </w:pPr>
      <w:bookmarkStart w:id="5765" w:name="_Ref144719798"/>
      <w:r>
        <w:rPr>
          <w:rFonts w:hint="cs"/>
          <w:b/>
          <w:bCs/>
          <w:rtl/>
        </w:rPr>
        <w:t>ו</w:t>
      </w:r>
      <w:r w:rsidRPr="005E0226">
        <w:rPr>
          <w:b/>
          <w:bCs/>
          <w:rtl/>
        </w:rPr>
        <w:t>ה</w:t>
      </w:r>
      <w:r w:rsidRPr="005E0226">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Ref144719798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עא)</w:t>
      </w:r>
      <w:r>
        <w:rPr>
          <w:b/>
          <w:bCs/>
          <w:vanish/>
          <w:rtl/>
        </w:rPr>
        <w:fldChar w:fldCharType="end"/>
      </w:r>
      <w:r w:rsidRPr="005E0226">
        <w:rPr>
          <w:b/>
          <w:bCs/>
          <w:vanish/>
          <w:rtl/>
        </w:rPr>
        <w:t xml:space="preserve"> &gt;</w:t>
      </w:r>
      <w:r>
        <w:rPr>
          <w:rFonts w:hint="cs"/>
          <w:b/>
          <w:bCs/>
          <w:rtl/>
        </w:rPr>
        <w:t>תהלה לדוד</w:t>
      </w:r>
      <w:r w:rsidRPr="005E0226">
        <w:rPr>
          <w:b/>
          <w:bCs/>
          <w:rtl/>
        </w:rPr>
        <w:t xml:space="preserve"> </w:t>
      </w:r>
      <w:r w:rsidRPr="005E0226">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סי' שי"ד סק"א</w:t>
      </w:r>
      <w:r w:rsidRPr="005E0226">
        <w:rPr>
          <w:rFonts w:ascii="Calibri" w:eastAsia="Times New Roman" w:hAnsi="Calibri" w:cs="Guttman Rashi"/>
          <w:noProof w:val="0"/>
          <w:sz w:val="10"/>
          <w:szCs w:val="12"/>
          <w:rtl/>
        </w:rPr>
        <w:t>)</w:t>
      </w:r>
      <w:r w:rsidRPr="005E0226">
        <w:rPr>
          <w:vanish/>
          <w:rtl/>
        </w:rPr>
        <w:t>=</w:t>
      </w:r>
      <w:r>
        <w:rPr>
          <w:rtl/>
        </w:rPr>
        <w:t xml:space="preserve"> </w:t>
      </w:r>
      <w:r>
        <w:rPr>
          <w:rFonts w:hint="cs"/>
          <w:rtl/>
        </w:rPr>
        <w:t xml:space="preserve">הקשה על </w:t>
      </w:r>
      <w:r>
        <w:rPr>
          <w:rFonts w:hint="cs"/>
          <w:b/>
          <w:bCs/>
          <w:rtl/>
        </w:rPr>
        <w:t>הב"י</w:t>
      </w:r>
      <w:r>
        <w:rPr>
          <w:rtl/>
        </w:rPr>
        <w:t xml:space="preserve"> </w:t>
      </w:r>
      <w:r w:rsidRPr="005E0226">
        <w:rPr>
          <w:rFonts w:ascii="Calibri" w:eastAsia="Times New Roman" w:hAnsi="Calibri" w:cs="Guttman Rashi"/>
          <w:noProof w:val="0"/>
          <w:sz w:val="10"/>
          <w:szCs w:val="12"/>
          <w:rtl/>
        </w:rPr>
        <w:t xml:space="preserve">(עי' 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Pr>
        <w:instrText>REF</w:instrText>
      </w:r>
      <w:r>
        <w:rPr>
          <w:rFonts w:ascii="Calibri" w:eastAsia="Times New Roman" w:hAnsi="Calibri" w:cs="Guttman Rashi"/>
          <w:noProof w:val="0"/>
          <w:sz w:val="10"/>
          <w:szCs w:val="12"/>
          <w:rtl/>
        </w:rPr>
        <w:instrText xml:space="preserve"> _</w:instrText>
      </w:r>
      <w:r>
        <w:rPr>
          <w:rFonts w:ascii="Calibri" w:eastAsia="Times New Roman" w:hAnsi="Calibri" w:cs="Guttman Rashi"/>
          <w:noProof w:val="0"/>
          <w:sz w:val="10"/>
          <w:szCs w:val="12"/>
        </w:rPr>
        <w:instrText>Ref145235599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סח)</w:t>
      </w:r>
      <w:r>
        <w:rPr>
          <w:rFonts w:ascii="Calibri" w:eastAsia="Times New Roman" w:hAnsi="Calibri" w:cs="Guttman Rashi"/>
          <w:noProof w:val="0"/>
          <w:sz w:val="10"/>
          <w:szCs w:val="12"/>
          <w:rtl/>
        </w:rPr>
        <w:fldChar w:fldCharType="end"/>
      </w:r>
      <w:r>
        <w:rPr>
          <w:rtl/>
        </w:rPr>
        <w:t xml:space="preserve"> </w:t>
      </w:r>
      <w:r>
        <w:rPr>
          <w:rFonts w:hint="cs"/>
          <w:rtl/>
        </w:rPr>
        <w:t xml:space="preserve">דאם העושה כלי מתחילה חייב משום בונה, א"כ הסותר כלי חייב משום סותר. </w:t>
      </w:r>
      <w:r w:rsidRPr="004F526E">
        <w:rPr>
          <w:rStyle w:val="af"/>
          <w:rFonts w:hint="cs"/>
          <w:rtl/>
        </w:rPr>
        <w:t>[וא"כ היאך כתב</w:t>
      </w:r>
      <w:r w:rsidRPr="004F526E">
        <w:rPr>
          <w:rStyle w:val="af"/>
          <w:rtl/>
        </w:rPr>
        <w:t xml:space="preserve"> </w:t>
      </w:r>
      <w:r w:rsidRPr="004F526E">
        <w:rPr>
          <w:rStyle w:val="aff9"/>
          <w:rFonts w:hint="cs"/>
          <w:rtl/>
        </w:rPr>
        <w:t>הר"ן</w:t>
      </w:r>
      <w:r w:rsidRPr="004F526E">
        <w:rPr>
          <w:rStyle w:val="af"/>
          <w:rtl/>
        </w:rPr>
        <w:t xml:space="preserve"> </w:t>
      </w:r>
      <w:r w:rsidRPr="004F526E">
        <w:rPr>
          <w:rStyle w:val="af"/>
          <w:rFonts w:hint="cs"/>
          <w:rtl/>
        </w:rPr>
        <w:t>דמותר לשבור חבית כיון שהיא חבית קטנה הא מ"מ סתירתה היא סתירה גמורה]</w:t>
      </w:r>
      <w:r>
        <w:rPr>
          <w:rStyle w:val="af"/>
          <w:rFonts w:hint="cs"/>
          <w:rtl/>
        </w:rPr>
        <w:t>.</w:t>
      </w:r>
      <w:r>
        <w:rPr>
          <w:rFonts w:hint="cs"/>
          <w:rtl/>
        </w:rPr>
        <w:t xml:space="preserve"> </w:t>
      </w:r>
    </w:p>
    <w:p w14:paraId="34C99FEC" w14:textId="77777777" w:rsidR="003E1AA3" w:rsidRPr="00BC7DC8" w:rsidRDefault="003E1AA3" w:rsidP="003E1AA3">
      <w:pPr>
        <w:pStyle w:val="afffffe"/>
        <w:rPr>
          <w:vanish/>
          <w:rtl/>
        </w:rPr>
      </w:pPr>
      <w:r w:rsidRPr="00BC7DC8">
        <w:rPr>
          <w:rFonts w:hint="cs"/>
          <w:vanish/>
          <w:rtl/>
        </w:rPr>
        <w:t>ת</w:t>
      </w:r>
      <w:r w:rsidRPr="00BC7DC8">
        <w:rPr>
          <w:vanish/>
          <w:rtl/>
        </w:rPr>
        <w:t xml:space="preserve">הלה לדוד או"ח סי' </w:t>
      </w:r>
      <w:r w:rsidRPr="00BC7DC8">
        <w:rPr>
          <w:rFonts w:hint="cs"/>
          <w:vanish/>
          <w:rtl/>
        </w:rPr>
        <w:t>יש"</w:t>
      </w:r>
      <w:r w:rsidRPr="00BC7DC8">
        <w:rPr>
          <w:vanish/>
          <w:rtl/>
        </w:rPr>
        <w:t>ד</w:t>
      </w:r>
      <w:r w:rsidRPr="00BC7DC8">
        <w:rPr>
          <w:rFonts w:hint="cs"/>
          <w:vanish/>
          <w:rtl/>
        </w:rPr>
        <w:t xml:space="preserve"> סק"א</w:t>
      </w:r>
    </w:p>
    <w:p w14:paraId="3608FD46" w14:textId="77777777" w:rsidR="003E1AA3" w:rsidRPr="00D106C4" w:rsidRDefault="003E1AA3" w:rsidP="003E1AA3">
      <w:pPr>
        <w:pStyle w:val="a7"/>
        <w:rPr>
          <w:rtl/>
        </w:rPr>
      </w:pPr>
    </w:p>
    <w:p w14:paraId="11E9266C" w14:textId="77777777" w:rsidR="003E1AA3" w:rsidRDefault="003E1AA3" w:rsidP="003E1AA3">
      <w:pPr>
        <w:pStyle w:val="a2"/>
        <w:tabs>
          <w:tab w:val="num" w:pos="284"/>
        </w:tabs>
        <w:rPr>
          <w:rtl/>
        </w:rPr>
      </w:pPr>
      <w:r w:rsidRPr="0018388A">
        <w:rPr>
          <w:rtl/>
        </w:rPr>
        <w:t>ולא זכיתי להכין ד</w:t>
      </w:r>
      <w:r w:rsidRPr="0018388A">
        <w:rPr>
          <w:rFonts w:hint="cs"/>
          <w:rtl/>
        </w:rPr>
        <w:t>ב</w:t>
      </w:r>
      <w:r w:rsidRPr="0018388A">
        <w:rPr>
          <w:rtl/>
        </w:rPr>
        <w:t xml:space="preserve">ריו דאם עושה כלי </w:t>
      </w:r>
      <w:r w:rsidRPr="0018388A">
        <w:rPr>
          <w:rFonts w:hint="cs"/>
          <w:rtl/>
        </w:rPr>
        <w:t>חייב</w:t>
      </w:r>
      <w:r w:rsidRPr="0018388A">
        <w:rPr>
          <w:rtl/>
        </w:rPr>
        <w:t xml:space="preserve"> משו</w:t>
      </w:r>
      <w:r w:rsidRPr="0018388A">
        <w:rPr>
          <w:rFonts w:hint="cs"/>
          <w:rtl/>
        </w:rPr>
        <w:t>ם</w:t>
      </w:r>
      <w:r w:rsidRPr="0018388A">
        <w:rPr>
          <w:rtl/>
        </w:rPr>
        <w:t xml:space="preserve"> בונה השו</w:t>
      </w:r>
      <w:r>
        <w:rPr>
          <w:rFonts w:hint="cs"/>
          <w:rtl/>
        </w:rPr>
        <w:t>ב</w:t>
      </w:r>
      <w:r w:rsidRPr="0018388A">
        <w:rPr>
          <w:rtl/>
        </w:rPr>
        <w:t xml:space="preserve">רה </w:t>
      </w:r>
      <w:r w:rsidRPr="0018388A">
        <w:rPr>
          <w:rFonts w:hint="cs"/>
          <w:rtl/>
        </w:rPr>
        <w:t>חייב</w:t>
      </w:r>
      <w:r w:rsidRPr="0018388A">
        <w:rPr>
          <w:rtl/>
        </w:rPr>
        <w:t xml:space="preserve"> משו</w:t>
      </w:r>
      <w:r w:rsidRPr="0018388A">
        <w:rPr>
          <w:rFonts w:hint="cs"/>
          <w:rtl/>
        </w:rPr>
        <w:t>ם</w:t>
      </w:r>
      <w:r w:rsidRPr="0018388A">
        <w:rPr>
          <w:rtl/>
        </w:rPr>
        <w:t xml:space="preserve"> סותר</w:t>
      </w:r>
      <w:r>
        <w:rPr>
          <w:rFonts w:hint="cs"/>
          <w:rtl/>
        </w:rPr>
        <w:t>.</w:t>
      </w:r>
    </w:p>
    <w:p w14:paraId="3873B55B" w14:textId="77777777" w:rsidR="003E1AA3" w:rsidRPr="00BD671E" w:rsidRDefault="003E1AA3" w:rsidP="003E1AA3">
      <w:pPr>
        <w:pStyle w:val="a7"/>
      </w:pPr>
      <w:bookmarkStart w:id="5766" w:name="_Toc145233976"/>
      <w:r>
        <w:rPr>
          <w:rFonts w:hint="cs"/>
          <w:rtl/>
        </w:rPr>
        <w:t>בי' התהל"ד בר"ן דמה שחילק בין כלי גדול לכלי קטן הוא לי"מ דס"ל כרש"י דאין בנין בכלים</w:t>
      </w:r>
      <w:bookmarkEnd w:id="5766"/>
    </w:p>
    <w:p w14:paraId="4A013FC5" w14:textId="6B729034" w:rsidR="003E1AA3" w:rsidRDefault="003E1AA3" w:rsidP="00BC7DC8">
      <w:pPr>
        <w:pStyle w:val="a3"/>
      </w:pPr>
      <w:r>
        <w:rPr>
          <w:rFonts w:hint="cs"/>
          <w:rtl/>
        </w:rPr>
        <w:t>אלא כתב</w:t>
      </w:r>
      <w:r>
        <w:rPr>
          <w:rtl/>
        </w:rPr>
        <w:t xml:space="preserve"> </w:t>
      </w:r>
      <w:r>
        <w:rPr>
          <w:rFonts w:hint="cs"/>
          <w:b/>
          <w:bCs/>
          <w:rtl/>
        </w:rPr>
        <w:t>התהלה לדוד</w:t>
      </w:r>
      <w:r>
        <w:rPr>
          <w:rtl/>
        </w:rPr>
        <w:t xml:space="preserve"> </w:t>
      </w:r>
      <w:r>
        <w:rPr>
          <w:rFonts w:hint="cs"/>
          <w:rtl/>
        </w:rPr>
        <w:t>דלכאו' צ"ל דמ"ש</w:t>
      </w:r>
      <w:r>
        <w:rPr>
          <w:rtl/>
        </w:rPr>
        <w:t xml:space="preserve"> </w:t>
      </w:r>
      <w:r>
        <w:rPr>
          <w:rFonts w:hint="cs"/>
          <w:b/>
          <w:bCs/>
          <w:rtl/>
        </w:rPr>
        <w:t>הר"ן</w:t>
      </w:r>
      <w:r>
        <w:rPr>
          <w:b/>
          <w:bCs/>
          <w:rtl/>
        </w:rPr>
        <w:t xml:space="preserve"> </w:t>
      </w:r>
      <w:r w:rsidRPr="00260DC9">
        <w:rPr>
          <w:rFonts w:ascii="Calibri" w:eastAsia="Times New Roman" w:hAnsi="Calibri" w:cs="Guttman Rashi"/>
          <w:sz w:val="10"/>
          <w:szCs w:val="12"/>
          <w:rtl/>
        </w:rPr>
        <w:t xml:space="preserve">(עי' </w:t>
      </w:r>
      <w:r w:rsidRPr="00370735">
        <w:rPr>
          <w:rStyle w:val="af2"/>
          <w:rFonts w:eastAsia="Guttman Hodes"/>
          <w:rtl/>
        </w:rPr>
        <w:t xml:space="preserve">אות </w:t>
      </w:r>
      <w:r>
        <w:rPr>
          <w:rStyle w:val="af2"/>
          <w:rFonts w:eastAsia="Guttman Hodes"/>
          <w:rtl/>
        </w:rPr>
        <w:fldChar w:fldCharType="begin"/>
      </w:r>
      <w:r>
        <w:rPr>
          <w:rStyle w:val="af2"/>
          <w:rFonts w:eastAsia="Guttman Hodes"/>
          <w:rtl/>
        </w:rPr>
        <w:instrText xml:space="preserve"> </w:instrText>
      </w:r>
      <w:r>
        <w:rPr>
          <w:rStyle w:val="af2"/>
          <w:rFonts w:eastAsia="Guttman Hodes"/>
        </w:rPr>
        <w:instrText>REF</w:instrText>
      </w:r>
      <w:r>
        <w:rPr>
          <w:rStyle w:val="af2"/>
          <w:rFonts w:eastAsia="Guttman Hodes"/>
          <w:rtl/>
        </w:rPr>
        <w:instrText xml:space="preserve"> _</w:instrText>
      </w:r>
      <w:r>
        <w:rPr>
          <w:rStyle w:val="af2"/>
          <w:rFonts w:eastAsia="Guttman Hodes"/>
        </w:rPr>
        <w:instrText>Ref145061049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נד)</w:t>
      </w:r>
      <w:r>
        <w:rPr>
          <w:rStyle w:val="af2"/>
          <w:rFonts w:eastAsia="Guttman Hodes"/>
          <w:rtl/>
        </w:rPr>
        <w:fldChar w:fldCharType="end"/>
      </w:r>
      <w:r>
        <w:rPr>
          <w:b/>
          <w:bCs/>
          <w:rtl/>
        </w:rPr>
        <w:t xml:space="preserve"> </w:t>
      </w:r>
      <w:r>
        <w:rPr>
          <w:rFonts w:hint="cs"/>
          <w:rtl/>
        </w:rPr>
        <w:t>דבכלי קטן אין סתירה, היינו לדעת</w:t>
      </w:r>
      <w:r>
        <w:rPr>
          <w:rtl/>
        </w:rPr>
        <w:t xml:space="preserve"> </w:t>
      </w:r>
      <w:r>
        <w:rPr>
          <w:rFonts w:hint="cs"/>
          <w:b/>
          <w:bCs/>
          <w:rtl/>
        </w:rPr>
        <w:t>הי"מ</w:t>
      </w:r>
      <w:r w:rsidRPr="00D514AA">
        <w:rPr>
          <w:rFonts w:hint="cs"/>
          <w:rtl/>
        </w:rPr>
        <w:t xml:space="preserve"> שהביא</w:t>
      </w:r>
      <w:r>
        <w:rPr>
          <w:rFonts w:hint="cs"/>
          <w:b/>
          <w:bCs/>
          <w:rtl/>
        </w:rPr>
        <w:t xml:space="preserve"> הר"ן</w:t>
      </w:r>
      <w:r>
        <w:rPr>
          <w:rtl/>
        </w:rPr>
        <w:t xml:space="preserve"> </w:t>
      </w:r>
      <w:r w:rsidRPr="00260DC9">
        <w:rPr>
          <w:rFonts w:ascii="Calibri" w:eastAsia="Times New Roman" w:hAnsi="Calibri" w:cs="Guttman Rashi"/>
          <w:sz w:val="10"/>
          <w:szCs w:val="12"/>
          <w:rtl/>
        </w:rPr>
        <w:t xml:space="preserve">(עי' אות </w:t>
      </w:r>
      <w:r>
        <w:rPr>
          <w:rFonts w:ascii="Calibri" w:eastAsia="Times New Roman" w:hAnsi="Calibri" w:cs="Guttman Rashi"/>
          <w:sz w:val="10"/>
          <w:szCs w:val="12"/>
          <w:rtl/>
        </w:rPr>
        <w:fldChar w:fldCharType="begin"/>
      </w:r>
      <w:r>
        <w:rPr>
          <w:rFonts w:ascii="Calibri" w:eastAsia="Times New Roman" w:hAnsi="Calibri" w:cs="Guttman Rashi"/>
          <w:sz w:val="10"/>
          <w:szCs w:val="12"/>
          <w:rtl/>
        </w:rPr>
        <w:instrText xml:space="preserve"> </w:instrText>
      </w:r>
      <w:r>
        <w:rPr>
          <w:rFonts w:ascii="Calibri" w:eastAsia="Times New Roman" w:hAnsi="Calibri" w:cs="Guttman Rashi"/>
          <w:sz w:val="10"/>
          <w:szCs w:val="12"/>
        </w:rPr>
        <w:instrText>REF</w:instrText>
      </w:r>
      <w:r>
        <w:rPr>
          <w:rFonts w:ascii="Calibri" w:eastAsia="Times New Roman" w:hAnsi="Calibri" w:cs="Guttman Rashi"/>
          <w:sz w:val="10"/>
          <w:szCs w:val="12"/>
          <w:rtl/>
        </w:rPr>
        <w:instrText xml:space="preserve"> _</w:instrText>
      </w:r>
      <w:r>
        <w:rPr>
          <w:rFonts w:ascii="Calibri" w:eastAsia="Times New Roman" w:hAnsi="Calibri" w:cs="Guttman Rashi"/>
          <w:sz w:val="10"/>
          <w:szCs w:val="12"/>
        </w:rPr>
        <w:instrText>Ref145235955 \r \h</w:instrText>
      </w:r>
      <w:r>
        <w:rPr>
          <w:rFonts w:ascii="Calibri" w:eastAsia="Times New Roman" w:hAnsi="Calibri" w:cs="Guttman Rashi"/>
          <w:sz w:val="10"/>
          <w:szCs w:val="12"/>
          <w:rtl/>
        </w:rPr>
        <w:instrText xml:space="preserve"> </w:instrText>
      </w:r>
      <w:r>
        <w:rPr>
          <w:rFonts w:ascii="Calibri" w:eastAsia="Times New Roman" w:hAnsi="Calibri" w:cs="Guttman Rashi"/>
          <w:sz w:val="10"/>
          <w:szCs w:val="12"/>
          <w:rtl/>
        </w:rPr>
      </w:r>
      <w:r>
        <w:rPr>
          <w:rFonts w:ascii="Calibri" w:eastAsia="Times New Roman" w:hAnsi="Calibri" w:cs="Guttman Rashi"/>
          <w:sz w:val="10"/>
          <w:szCs w:val="12"/>
          <w:rtl/>
        </w:rPr>
        <w:fldChar w:fldCharType="separate"/>
      </w:r>
      <w:r w:rsidR="00D82181">
        <w:rPr>
          <w:rFonts w:ascii="Calibri" w:eastAsia="Times New Roman" w:hAnsi="Calibri" w:cs="Guttman Rashi"/>
          <w:sz w:val="10"/>
          <w:szCs w:val="12"/>
          <w:cs/>
        </w:rPr>
        <w:t>‎</w:t>
      </w:r>
      <w:r w:rsidR="00D82181">
        <w:rPr>
          <w:rFonts w:ascii="Calibri" w:eastAsia="Times New Roman" w:hAnsi="Calibri" w:cs="Guttman Rashi"/>
          <w:sz w:val="10"/>
          <w:szCs w:val="12"/>
          <w:rtl/>
        </w:rPr>
        <w:t>יז)</w:t>
      </w:r>
      <w:r>
        <w:rPr>
          <w:rFonts w:ascii="Calibri" w:eastAsia="Times New Roman" w:hAnsi="Calibri" w:cs="Guttman Rashi"/>
          <w:sz w:val="10"/>
          <w:szCs w:val="12"/>
          <w:rtl/>
        </w:rPr>
        <w:fldChar w:fldCharType="end"/>
      </w:r>
      <w:r>
        <w:rPr>
          <w:rtl/>
        </w:rPr>
        <w:t xml:space="preserve"> </w:t>
      </w:r>
      <w:r>
        <w:rPr>
          <w:rFonts w:hint="cs"/>
          <w:rtl/>
        </w:rPr>
        <w:t xml:space="preserve">דלא קיי"ל כרב דס"ל דיש בנין בכלים ומחייב במעייל שופתא בקופינא משום בונה, אלא קיי"ל דאין בנין בכלים, </w:t>
      </w:r>
      <w:r w:rsidRPr="000B5A66">
        <w:rPr>
          <w:rStyle w:val="af"/>
          <w:rFonts w:hint="cs"/>
          <w:rtl/>
        </w:rPr>
        <w:t xml:space="preserve">[כדעת </w:t>
      </w:r>
      <w:r w:rsidRPr="000B5A66">
        <w:rPr>
          <w:rStyle w:val="aff9"/>
          <w:rFonts w:hint="cs"/>
          <w:rtl/>
        </w:rPr>
        <w:t>רש"י</w:t>
      </w:r>
      <w:r w:rsidRPr="000B5A66">
        <w:rPr>
          <w:rStyle w:val="af"/>
          <w:rFonts w:hint="cs"/>
          <w:rtl/>
        </w:rPr>
        <w:t xml:space="preserve"> </w:t>
      </w:r>
      <w:r w:rsidRPr="000B5A66">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Ref145186884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א)</w:t>
      </w:r>
      <w:r>
        <w:rPr>
          <w:rStyle w:val="aff0"/>
          <w:rtl/>
        </w:rPr>
        <w:fldChar w:fldCharType="end"/>
      </w:r>
      <w:r w:rsidRPr="000B5A66">
        <w:rPr>
          <w:rStyle w:val="af"/>
          <w:rFonts w:hint="cs"/>
          <w:rtl/>
        </w:rPr>
        <w:t>],</w:t>
      </w:r>
      <w:r>
        <w:rPr>
          <w:rFonts w:hint="cs"/>
          <w:rtl/>
        </w:rPr>
        <w:t xml:space="preserve"> והחיוב במעייל שופתא הוא מדין מכה בפטיש, ולכן הסותר כלי פטור.</w:t>
      </w:r>
    </w:p>
    <w:p w14:paraId="2CF84EFF" w14:textId="77777777" w:rsidR="003E1AA3" w:rsidRDefault="003E1AA3" w:rsidP="003E1AA3">
      <w:pPr>
        <w:pStyle w:val="a2"/>
        <w:tabs>
          <w:tab w:val="num" w:pos="284"/>
        </w:tabs>
        <w:rPr>
          <w:rtl/>
        </w:rPr>
      </w:pPr>
      <w:r w:rsidRPr="0018388A">
        <w:rPr>
          <w:rtl/>
        </w:rPr>
        <w:t xml:space="preserve">ולולא דמסתפינא אמינא דמ"ש הר"ן ז"ל </w:t>
      </w:r>
      <w:r w:rsidRPr="0018388A">
        <w:rPr>
          <w:rFonts w:hint="cs"/>
          <w:rtl/>
        </w:rPr>
        <w:t>ב</w:t>
      </w:r>
      <w:r w:rsidRPr="0018388A">
        <w:rPr>
          <w:rtl/>
        </w:rPr>
        <w:t xml:space="preserve">פ' </w:t>
      </w:r>
      <w:r w:rsidRPr="0018388A">
        <w:rPr>
          <w:rFonts w:hint="cs"/>
          <w:rtl/>
        </w:rPr>
        <w:t>חב</w:t>
      </w:r>
      <w:r w:rsidRPr="0018388A">
        <w:rPr>
          <w:rtl/>
        </w:rPr>
        <w:t>ית הוא לשיטת האחרים שכתב הר"ן ז"ל בריש הבונה דלא קי"ל כרב בעייל שופתא בקופינא דמרא דרב ס"ל יש בנין בכלי</w:t>
      </w:r>
      <w:r w:rsidRPr="0018388A">
        <w:rPr>
          <w:rFonts w:hint="cs"/>
          <w:rtl/>
        </w:rPr>
        <w:t>ם</w:t>
      </w:r>
      <w:r w:rsidRPr="0018388A">
        <w:rPr>
          <w:rtl/>
        </w:rPr>
        <w:t xml:space="preserve"> ואנן ס"ל אין בנין</w:t>
      </w:r>
      <w:r w:rsidRPr="0018388A">
        <w:rPr>
          <w:rFonts w:hint="cs"/>
          <w:rtl/>
        </w:rPr>
        <w:t>,</w:t>
      </w:r>
      <w:r w:rsidRPr="0018388A">
        <w:rPr>
          <w:rtl/>
        </w:rPr>
        <w:t xml:space="preserve"> ועייל שופ</w:t>
      </w:r>
      <w:r w:rsidRPr="0018388A">
        <w:rPr>
          <w:rFonts w:hint="cs"/>
          <w:rtl/>
        </w:rPr>
        <w:t>ת</w:t>
      </w:r>
      <w:r w:rsidRPr="0018388A">
        <w:rPr>
          <w:rtl/>
        </w:rPr>
        <w:t xml:space="preserve">א כקופינא דמרא אינו </w:t>
      </w:r>
      <w:r w:rsidRPr="0018388A">
        <w:rPr>
          <w:rFonts w:hint="cs"/>
          <w:rtl/>
        </w:rPr>
        <w:t xml:space="preserve">חייב </w:t>
      </w:r>
      <w:r w:rsidRPr="0018388A">
        <w:rPr>
          <w:rtl/>
        </w:rPr>
        <w:t>אלא משו</w:t>
      </w:r>
      <w:r w:rsidRPr="0018388A">
        <w:rPr>
          <w:rFonts w:hint="cs"/>
          <w:rtl/>
        </w:rPr>
        <w:t>ם</w:t>
      </w:r>
      <w:r w:rsidRPr="0018388A">
        <w:rPr>
          <w:rtl/>
        </w:rPr>
        <w:t xml:space="preserve"> מכה </w:t>
      </w:r>
      <w:r w:rsidRPr="0018388A">
        <w:rPr>
          <w:rFonts w:hint="cs"/>
          <w:rtl/>
        </w:rPr>
        <w:t>ב</w:t>
      </w:r>
      <w:r w:rsidRPr="0018388A">
        <w:rPr>
          <w:rtl/>
        </w:rPr>
        <w:t>פטיש ולכן הסו</w:t>
      </w:r>
      <w:r w:rsidRPr="0018388A">
        <w:rPr>
          <w:rFonts w:hint="cs"/>
          <w:rtl/>
        </w:rPr>
        <w:t>ת</w:t>
      </w:r>
      <w:r w:rsidRPr="0018388A">
        <w:rPr>
          <w:rtl/>
        </w:rPr>
        <w:t>ר פטור</w:t>
      </w:r>
      <w:r>
        <w:rPr>
          <w:rFonts w:hint="cs"/>
          <w:rtl/>
        </w:rPr>
        <w:t>.</w:t>
      </w:r>
    </w:p>
    <w:p w14:paraId="4CFB4BBA" w14:textId="77777777" w:rsidR="003E1AA3" w:rsidRDefault="003E1AA3" w:rsidP="003E1AA3">
      <w:pPr>
        <w:pStyle w:val="afffff7"/>
        <w:rPr>
          <w:rtl/>
        </w:rPr>
      </w:pPr>
      <w:bookmarkStart w:id="5767" w:name="_Toc145234070"/>
      <w:bookmarkStart w:id="5768" w:name="_Toc163506328"/>
      <w:r w:rsidRPr="00FC269C">
        <w:rPr>
          <w:rtl/>
        </w:rPr>
        <w:t>רמב"ם שבת פ"י הט"ו</w:t>
      </w:r>
      <w:bookmarkEnd w:id="5767"/>
      <w:bookmarkEnd w:id="5768"/>
    </w:p>
    <w:p w14:paraId="5F94F629" w14:textId="77777777" w:rsidR="003E1AA3" w:rsidRPr="00FF6F65" w:rsidRDefault="003E1AA3" w:rsidP="003E1AA3">
      <w:pPr>
        <w:pStyle w:val="a7"/>
        <w:rPr>
          <w:rtl/>
        </w:rPr>
      </w:pPr>
      <w:bookmarkStart w:id="5769" w:name="_Toc145233977"/>
      <w:r>
        <w:rPr>
          <w:rFonts w:hint="cs"/>
          <w:rtl/>
        </w:rPr>
        <w:t>בי' התהל"ד ברמב"ם דקיי"ל דיש בנין בכלים וכל סותר חייב אך האו"ז מתיר דאין בנין בכלים</w:t>
      </w:r>
      <w:bookmarkEnd w:id="5769"/>
    </w:p>
    <w:p w14:paraId="70B469B2" w14:textId="1E261A3C" w:rsidR="003E1AA3" w:rsidRPr="005E0226" w:rsidRDefault="003E1AA3" w:rsidP="00BC7DC8">
      <w:pPr>
        <w:pStyle w:val="a3"/>
        <w:rPr>
          <w:rtl/>
        </w:rPr>
      </w:pPr>
      <w:r>
        <w:rPr>
          <w:rFonts w:hint="cs"/>
          <w:rtl/>
        </w:rPr>
        <w:t>אך כתב</w:t>
      </w:r>
      <w:r>
        <w:rPr>
          <w:rtl/>
        </w:rPr>
        <w:t xml:space="preserve"> </w:t>
      </w:r>
      <w:r>
        <w:rPr>
          <w:rFonts w:hint="cs"/>
          <w:b/>
          <w:bCs/>
          <w:rtl/>
        </w:rPr>
        <w:t>התהלה לדוד</w:t>
      </w:r>
      <w:r>
        <w:rPr>
          <w:rtl/>
        </w:rPr>
        <w:t xml:space="preserve"> </w:t>
      </w:r>
      <w:r>
        <w:rPr>
          <w:rFonts w:hint="cs"/>
          <w:rtl/>
        </w:rPr>
        <w:t>דלדעת</w:t>
      </w:r>
      <w:r>
        <w:rPr>
          <w:rtl/>
        </w:rPr>
        <w:t xml:space="preserve"> </w:t>
      </w:r>
      <w:r>
        <w:rPr>
          <w:rFonts w:hint="cs"/>
          <w:b/>
          <w:bCs/>
          <w:rtl/>
        </w:rPr>
        <w:t>הרמב"ם</w:t>
      </w:r>
      <w:r>
        <w:rPr>
          <w:rtl/>
        </w:rPr>
        <w:t xml:space="preserve"> </w:t>
      </w:r>
      <w:r w:rsidRPr="00673483">
        <w:rPr>
          <w:rFonts w:ascii="Calibri" w:eastAsia="Times New Roman" w:hAnsi="Calibri" w:cs="Guttman Rashi"/>
          <w:noProof w:val="0"/>
          <w:sz w:val="10"/>
          <w:szCs w:val="12"/>
          <w:rtl/>
        </w:rPr>
        <w:t>(</w:t>
      </w:r>
      <w:r w:rsidRPr="00DB1D3B">
        <w:rPr>
          <w:rStyle w:val="af2"/>
          <w:rFonts w:eastAsia="Guttman Hodes" w:hint="cs"/>
          <w:rtl/>
        </w:rPr>
        <w:t>שבת פ"י הי"ג)</w:t>
      </w:r>
      <w:r w:rsidRPr="001A2014">
        <w:rPr>
          <w:rFonts w:hint="cs"/>
          <w:vanish/>
          <w:rtl/>
        </w:rPr>
        <w:t>=</w:t>
      </w:r>
      <w:r>
        <w:rPr>
          <w:rFonts w:hint="cs"/>
          <w:rtl/>
        </w:rPr>
        <w:t xml:space="preserve"> דפסק כרב דמעייל שופתא בקופינא דמרא חייב משום בונה, </w:t>
      </w:r>
      <w:r w:rsidRPr="000A1EBC">
        <w:rPr>
          <w:rStyle w:val="af"/>
          <w:rFonts w:hint="cs"/>
          <w:rtl/>
        </w:rPr>
        <w:t xml:space="preserve">[וכדביאר </w:t>
      </w:r>
      <w:r w:rsidRPr="000A1EBC">
        <w:rPr>
          <w:rStyle w:val="aff9"/>
          <w:rFonts w:hint="cs"/>
          <w:rtl/>
        </w:rPr>
        <w:t>המ"מ</w:t>
      </w:r>
      <w:r w:rsidRPr="000A1EBC">
        <w:rPr>
          <w:rStyle w:val="af"/>
          <w:rFonts w:hint="cs"/>
          <w:rtl/>
        </w:rPr>
        <w:t xml:space="preserve"> </w:t>
      </w:r>
      <w:r w:rsidRPr="000A1EBC">
        <w:rPr>
          <w:rStyle w:val="aff0"/>
          <w:rFonts w:hint="cs"/>
          <w:rtl/>
        </w:rPr>
        <w:t>(</w:t>
      </w:r>
      <w:r w:rsidRPr="00D81C5D">
        <w:rPr>
          <w:rStyle w:val="aff0"/>
          <w:rFonts w:hint="cs"/>
          <w:rtl/>
        </w:rPr>
        <w:t xml:space="preserve">עי' </w:t>
      </w:r>
      <w:r w:rsidRPr="00D81C5D">
        <w:rPr>
          <w:rStyle w:val="aff0"/>
          <w:rtl/>
        </w:rPr>
        <w:t xml:space="preserve">אות </w:t>
      </w:r>
      <w:r w:rsidRPr="00D81C5D">
        <w:rPr>
          <w:rStyle w:val="aff0"/>
          <w:rtl/>
        </w:rPr>
        <w:fldChar w:fldCharType="begin"/>
      </w:r>
      <w:r w:rsidRPr="00D81C5D">
        <w:rPr>
          <w:rStyle w:val="aff0"/>
          <w:rtl/>
        </w:rPr>
        <w:instrText xml:space="preserve"> </w:instrText>
      </w:r>
      <w:r w:rsidRPr="00D81C5D">
        <w:rPr>
          <w:rStyle w:val="aff0"/>
        </w:rPr>
        <w:instrText>REF</w:instrText>
      </w:r>
      <w:r w:rsidRPr="00D81C5D">
        <w:rPr>
          <w:rStyle w:val="aff0"/>
          <w:rtl/>
        </w:rPr>
        <w:instrText xml:space="preserve"> _</w:instrText>
      </w:r>
      <w:r w:rsidRPr="00D81C5D">
        <w:rPr>
          <w:rStyle w:val="aff0"/>
        </w:rPr>
        <w:instrText>Ref143549459 \r \h</w:instrText>
      </w:r>
      <w:r w:rsidRPr="00D81C5D">
        <w:rPr>
          <w:rStyle w:val="aff0"/>
          <w:rtl/>
        </w:rPr>
        <w:instrText xml:space="preserve"> </w:instrText>
      </w:r>
      <w:r w:rsidRPr="00D81C5D">
        <w:rPr>
          <w:rStyle w:val="aff0"/>
          <w:rtl/>
        </w:rPr>
      </w:r>
      <w:r w:rsidRPr="00D81C5D">
        <w:rPr>
          <w:rStyle w:val="aff0"/>
          <w:rtl/>
        </w:rPr>
        <w:fldChar w:fldCharType="separate"/>
      </w:r>
      <w:r w:rsidR="00D82181">
        <w:rPr>
          <w:rStyle w:val="aff0"/>
          <w:cs/>
        </w:rPr>
        <w:t>‎</w:t>
      </w:r>
      <w:r w:rsidR="00D82181">
        <w:rPr>
          <w:rStyle w:val="aff0"/>
          <w:rtl/>
        </w:rPr>
        <w:t>כה)</w:t>
      </w:r>
      <w:r w:rsidRPr="00D81C5D">
        <w:rPr>
          <w:rStyle w:val="aff0"/>
          <w:rtl/>
        </w:rPr>
        <w:fldChar w:fldCharType="end"/>
      </w:r>
      <w:r w:rsidRPr="000A1EBC">
        <w:rPr>
          <w:rStyle w:val="af"/>
          <w:rFonts w:hint="cs"/>
          <w:rtl/>
        </w:rPr>
        <w:t xml:space="preserve"> דבעושה כלי מתחילתו אמרינן דיש בנין בכלים],</w:t>
      </w:r>
      <w:r>
        <w:rPr>
          <w:rFonts w:hint="cs"/>
          <w:rtl/>
        </w:rPr>
        <w:t xml:space="preserve"> א"כ גם הסותר כלי חייב, ולכן כתב</w:t>
      </w:r>
      <w:r>
        <w:rPr>
          <w:rtl/>
        </w:rPr>
        <w:t xml:space="preserve"> </w:t>
      </w:r>
      <w:r w:rsidRPr="0080186E">
        <w:rPr>
          <w:b/>
          <w:bCs/>
          <w:rtl/>
        </w:rPr>
        <w:t>ה</w:t>
      </w:r>
      <w:r>
        <w:rPr>
          <w:rFonts w:hint="cs"/>
          <w:b/>
          <w:bCs/>
          <w:vanish/>
          <w:rtl/>
        </w:rPr>
        <w:t>&lt; &gt;</w:t>
      </w:r>
      <w:r>
        <w:rPr>
          <w:rFonts w:hint="cs"/>
          <w:b/>
          <w:bCs/>
          <w:rtl/>
        </w:rPr>
        <w:t>רמב"ם</w:t>
      </w:r>
      <w:r w:rsidRPr="0080186E">
        <w:rPr>
          <w:b/>
          <w:bCs/>
          <w:rtl/>
        </w:rPr>
        <w:t xml:space="preserve"> </w:t>
      </w:r>
      <w:r w:rsidRPr="0080186E">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שבת פ"י הט"ו</w:t>
      </w:r>
      <w:r w:rsidRPr="0080186E">
        <w:rPr>
          <w:rFonts w:ascii="Calibri" w:eastAsia="Times New Roman" w:hAnsi="Calibri" w:cs="Guttman Rashi"/>
          <w:noProof w:val="0"/>
          <w:sz w:val="10"/>
          <w:szCs w:val="12"/>
          <w:rtl/>
        </w:rPr>
        <w:t>)</w:t>
      </w:r>
      <w:r w:rsidRPr="0080186E">
        <w:rPr>
          <w:vanish/>
          <w:rtl/>
        </w:rPr>
        <w:t>=</w:t>
      </w:r>
      <w:r>
        <w:rPr>
          <w:rtl/>
        </w:rPr>
        <w:t xml:space="preserve"> </w:t>
      </w:r>
      <w:r>
        <w:rPr>
          <w:rFonts w:hint="cs"/>
          <w:rtl/>
        </w:rPr>
        <w:t>דהמפרק עץ תקוע הוא תולדת סותר, וא"כ ודאי דהסותר כלי שלם מתחייב משום סותר, אך הביא</w:t>
      </w:r>
      <w:r>
        <w:rPr>
          <w:rtl/>
        </w:rPr>
        <w:t xml:space="preserve"> </w:t>
      </w:r>
      <w:r>
        <w:rPr>
          <w:rFonts w:hint="cs"/>
          <w:b/>
          <w:bCs/>
          <w:rtl/>
        </w:rPr>
        <w:t>התהלה לדוד</w:t>
      </w:r>
      <w:r>
        <w:rPr>
          <w:rFonts w:hint="cs"/>
          <w:rtl/>
        </w:rPr>
        <w:t xml:space="preserve"> את דברי</w:t>
      </w:r>
      <w:r>
        <w:rPr>
          <w:rtl/>
        </w:rPr>
        <w:t xml:space="preserve"> </w:t>
      </w:r>
      <w:r>
        <w:rPr>
          <w:rFonts w:hint="cs"/>
          <w:b/>
          <w:bCs/>
          <w:rtl/>
        </w:rPr>
        <w:t>האו"ז</w:t>
      </w:r>
      <w:r>
        <w:rPr>
          <w:rtl/>
        </w:rPr>
        <w:t xml:space="preserve"> </w:t>
      </w:r>
      <w:r w:rsidRPr="00C231C7">
        <w:rPr>
          <w:rFonts w:ascii="Calibri" w:eastAsia="Times New Roman" w:hAnsi="Calibri" w:cs="Guttman Rashi"/>
          <w:noProof w:val="0"/>
          <w:sz w:val="10"/>
          <w:szCs w:val="12"/>
          <w:rtl/>
        </w:rPr>
        <w:t>(</w:t>
      </w:r>
      <w:r w:rsidRPr="00204C76">
        <w:rPr>
          <w:rStyle w:val="af2"/>
          <w:rFonts w:eastAsia="Guttman Hodes"/>
          <w:rtl/>
        </w:rPr>
        <w:t>ח"ב סי' עח</w:t>
      </w:r>
      <w:r w:rsidRPr="00C231C7">
        <w:rPr>
          <w:rFonts w:ascii="Calibri" w:eastAsia="Times New Roman" w:hAnsi="Calibri" w:cs="Guttman Rashi"/>
          <w:noProof w:val="0"/>
          <w:sz w:val="10"/>
          <w:szCs w:val="12"/>
          <w:rtl/>
        </w:rPr>
        <w:t>)</w:t>
      </w:r>
      <w:r>
        <w:rPr>
          <w:rtl/>
        </w:rPr>
        <w:t xml:space="preserve"> </w:t>
      </w:r>
      <w:r>
        <w:rPr>
          <w:rFonts w:hint="cs"/>
          <w:rtl/>
        </w:rPr>
        <w:t>דמתיר לסתור כלי שלם, כיון דס"ל כדעת</w:t>
      </w:r>
      <w:r>
        <w:rPr>
          <w:rtl/>
        </w:rPr>
        <w:t xml:space="preserve"> </w:t>
      </w:r>
      <w:r>
        <w:rPr>
          <w:rFonts w:hint="cs"/>
          <w:b/>
          <w:bCs/>
          <w:rtl/>
        </w:rPr>
        <w:t>היראים</w:t>
      </w:r>
      <w:r>
        <w:rPr>
          <w:rtl/>
        </w:rPr>
        <w:t xml:space="preserve"> </w:t>
      </w:r>
      <w:r w:rsidRPr="00C231C7">
        <w:rPr>
          <w:rFonts w:ascii="Calibri" w:eastAsia="Times New Roman" w:hAnsi="Calibri" w:cs="Guttman Rashi"/>
          <w:noProof w:val="0"/>
          <w:sz w:val="10"/>
          <w:szCs w:val="12"/>
          <w:rtl/>
        </w:rPr>
        <w:t xml:space="preserve">(עי' 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Pr>
        <w:instrText>REF</w:instrText>
      </w:r>
      <w:r>
        <w:rPr>
          <w:rFonts w:ascii="Calibri" w:eastAsia="Times New Roman" w:hAnsi="Calibri" w:cs="Guttman Rashi"/>
          <w:noProof w:val="0"/>
          <w:sz w:val="10"/>
          <w:szCs w:val="12"/>
          <w:rtl/>
        </w:rPr>
        <w:instrText xml:space="preserve"> _</w:instrText>
      </w:r>
      <w:r>
        <w:rPr>
          <w:rFonts w:ascii="Calibri" w:eastAsia="Times New Roman" w:hAnsi="Calibri" w:cs="Guttman Rashi"/>
          <w:noProof w:val="0"/>
          <w:sz w:val="10"/>
          <w:szCs w:val="12"/>
        </w:rPr>
        <w:instrText>Ref145186915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ח)</w:t>
      </w:r>
      <w:r>
        <w:rPr>
          <w:rFonts w:ascii="Calibri" w:eastAsia="Times New Roman" w:hAnsi="Calibri" w:cs="Guttman Rashi"/>
          <w:noProof w:val="0"/>
          <w:sz w:val="10"/>
          <w:szCs w:val="12"/>
          <w:rtl/>
        </w:rPr>
        <w:fldChar w:fldCharType="end"/>
      </w:r>
      <w:r>
        <w:rPr>
          <w:rtl/>
        </w:rPr>
        <w:t xml:space="preserve"> </w:t>
      </w:r>
      <w:r>
        <w:rPr>
          <w:rFonts w:hint="cs"/>
          <w:rtl/>
        </w:rPr>
        <w:t>דאין בנין וסתירה בכלים אף בכלי שלם.</w:t>
      </w:r>
      <w:bookmarkEnd w:id="5765"/>
    </w:p>
    <w:p w14:paraId="5447B398" w14:textId="77777777" w:rsidR="003E1AA3" w:rsidRPr="0018388A" w:rsidRDefault="003E1AA3" w:rsidP="003E1AA3">
      <w:pPr>
        <w:pStyle w:val="a2"/>
        <w:tabs>
          <w:tab w:val="num" w:pos="284"/>
        </w:tabs>
        <w:rPr>
          <w:rtl/>
        </w:rPr>
      </w:pPr>
      <w:r w:rsidRPr="0018388A">
        <w:rPr>
          <w:rtl/>
        </w:rPr>
        <w:t>אבל הרמב"ם ז"ל דפסק כרב</w:t>
      </w:r>
      <w:r w:rsidRPr="0018388A">
        <w:rPr>
          <w:rFonts w:hint="cs"/>
          <w:rtl/>
        </w:rPr>
        <w:t xml:space="preserve"> </w:t>
      </w:r>
      <w:r w:rsidRPr="0018388A">
        <w:rPr>
          <w:rtl/>
        </w:rPr>
        <w:t>ולכן</w:t>
      </w:r>
      <w:r w:rsidRPr="0018388A">
        <w:rPr>
          <w:rFonts w:hint="cs"/>
          <w:rtl/>
        </w:rPr>
        <w:t xml:space="preserve"> פסק </w:t>
      </w:r>
      <w:r w:rsidRPr="0018388A">
        <w:rPr>
          <w:rtl/>
        </w:rPr>
        <w:t>דגם הסו</w:t>
      </w:r>
      <w:r w:rsidRPr="0018388A">
        <w:rPr>
          <w:rFonts w:hint="cs"/>
          <w:rtl/>
        </w:rPr>
        <w:t>ת</w:t>
      </w:r>
      <w:r w:rsidRPr="0018388A">
        <w:rPr>
          <w:rtl/>
        </w:rPr>
        <w:t xml:space="preserve">ר </w:t>
      </w:r>
      <w:r w:rsidRPr="0018388A">
        <w:rPr>
          <w:rFonts w:hint="cs"/>
          <w:rtl/>
        </w:rPr>
        <w:t>חייב</w:t>
      </w:r>
      <w:r w:rsidRPr="0018388A">
        <w:rPr>
          <w:rtl/>
        </w:rPr>
        <w:t xml:space="preserve"> כמ"ש איך א"ל דשו</w:t>
      </w:r>
      <w:r w:rsidRPr="0018388A">
        <w:rPr>
          <w:rFonts w:hint="cs"/>
          <w:rtl/>
        </w:rPr>
        <w:t>ב</w:t>
      </w:r>
      <w:r w:rsidRPr="0018388A">
        <w:rPr>
          <w:rtl/>
        </w:rPr>
        <w:t>ר כלי שלם לא ית</w:t>
      </w:r>
      <w:r w:rsidRPr="0018388A">
        <w:rPr>
          <w:rFonts w:hint="cs"/>
          <w:rtl/>
        </w:rPr>
        <w:t>ח</w:t>
      </w:r>
      <w:r w:rsidRPr="0018388A">
        <w:rPr>
          <w:rtl/>
        </w:rPr>
        <w:t>יי</w:t>
      </w:r>
      <w:r w:rsidRPr="0018388A">
        <w:rPr>
          <w:rFonts w:hint="cs"/>
          <w:rtl/>
        </w:rPr>
        <w:t>ב</w:t>
      </w:r>
      <w:r w:rsidRPr="0018388A">
        <w:rPr>
          <w:rtl/>
        </w:rPr>
        <w:t xml:space="preserve"> משו</w:t>
      </w:r>
      <w:r w:rsidRPr="0018388A">
        <w:rPr>
          <w:rFonts w:hint="cs"/>
          <w:rtl/>
        </w:rPr>
        <w:t>ם</w:t>
      </w:r>
      <w:r w:rsidRPr="0018388A">
        <w:rPr>
          <w:rtl/>
        </w:rPr>
        <w:t xml:space="preserve"> סו</w:t>
      </w:r>
      <w:r w:rsidRPr="0018388A">
        <w:rPr>
          <w:rFonts w:hint="cs"/>
          <w:rtl/>
        </w:rPr>
        <w:t>ת</w:t>
      </w:r>
      <w:r w:rsidRPr="0018388A">
        <w:rPr>
          <w:rtl/>
        </w:rPr>
        <w:t>ר ואמת דמצא</w:t>
      </w:r>
      <w:r w:rsidRPr="0018388A">
        <w:rPr>
          <w:rFonts w:hint="cs"/>
          <w:rtl/>
        </w:rPr>
        <w:t>ת</w:t>
      </w:r>
      <w:r w:rsidRPr="0018388A">
        <w:rPr>
          <w:rtl/>
        </w:rPr>
        <w:t xml:space="preserve">י </w:t>
      </w:r>
      <w:r w:rsidRPr="0018388A">
        <w:rPr>
          <w:rFonts w:hint="cs"/>
          <w:rtl/>
        </w:rPr>
        <w:t>ב</w:t>
      </w:r>
      <w:r w:rsidRPr="0018388A">
        <w:rPr>
          <w:rtl/>
        </w:rPr>
        <w:t>א"ז סי' ע"</w:t>
      </w:r>
      <w:r w:rsidRPr="0018388A">
        <w:rPr>
          <w:rFonts w:hint="cs"/>
          <w:rtl/>
        </w:rPr>
        <w:t>ח</w:t>
      </w:r>
      <w:r w:rsidRPr="0018388A">
        <w:rPr>
          <w:rtl/>
        </w:rPr>
        <w:t xml:space="preserve"> אות יב</w:t>
      </w:r>
      <w:r w:rsidRPr="0018388A">
        <w:rPr>
          <w:rFonts w:hint="cs"/>
          <w:rtl/>
        </w:rPr>
        <w:t xml:space="preserve"> </w:t>
      </w:r>
      <w:r w:rsidRPr="0018388A">
        <w:rPr>
          <w:rtl/>
        </w:rPr>
        <w:t>דמתיר בשלימה וס"ל כהרא"</w:t>
      </w:r>
      <w:r w:rsidRPr="0018388A">
        <w:rPr>
          <w:rFonts w:hint="cs"/>
          <w:rtl/>
        </w:rPr>
        <w:t>ם</w:t>
      </w:r>
      <w:r w:rsidRPr="0018388A">
        <w:rPr>
          <w:rtl/>
        </w:rPr>
        <w:t xml:space="preserve"> ז"ל דאין </w:t>
      </w:r>
      <w:r w:rsidRPr="0018388A">
        <w:rPr>
          <w:rFonts w:hint="cs"/>
          <w:rtl/>
        </w:rPr>
        <w:t>ב</w:t>
      </w:r>
      <w:r w:rsidRPr="0018388A">
        <w:rPr>
          <w:rtl/>
        </w:rPr>
        <w:t xml:space="preserve">נין וסתירה אף </w:t>
      </w:r>
      <w:r w:rsidRPr="0018388A">
        <w:rPr>
          <w:rFonts w:hint="cs"/>
          <w:rtl/>
        </w:rPr>
        <w:t>ב</w:t>
      </w:r>
      <w:r w:rsidRPr="0018388A">
        <w:rPr>
          <w:rtl/>
        </w:rPr>
        <w:t>כלי שלם וה</w:t>
      </w:r>
      <w:r w:rsidRPr="0018388A">
        <w:rPr>
          <w:rFonts w:hint="cs"/>
          <w:rtl/>
        </w:rPr>
        <w:t>ב</w:t>
      </w:r>
      <w:r w:rsidRPr="0018388A">
        <w:rPr>
          <w:rtl/>
        </w:rPr>
        <w:t>יאו הד"מ כקיצור כסק"א ואעפ"כ לא ידע</w:t>
      </w:r>
      <w:r w:rsidRPr="0018388A">
        <w:rPr>
          <w:rFonts w:hint="cs"/>
          <w:rtl/>
        </w:rPr>
        <w:t>ת</w:t>
      </w:r>
      <w:r w:rsidRPr="0018388A">
        <w:rPr>
          <w:rtl/>
        </w:rPr>
        <w:t>י א</w:t>
      </w:r>
      <w:r w:rsidRPr="0018388A">
        <w:rPr>
          <w:rFonts w:hint="cs"/>
          <w:rtl/>
        </w:rPr>
        <w:t>ם</w:t>
      </w:r>
      <w:r w:rsidRPr="0018388A">
        <w:rPr>
          <w:rtl/>
        </w:rPr>
        <w:t xml:space="preserve"> אפשר לזוז מפסק הטוש"ע וע"י עכו"</w:t>
      </w:r>
      <w:r w:rsidRPr="0018388A">
        <w:rPr>
          <w:rFonts w:hint="cs"/>
          <w:rtl/>
        </w:rPr>
        <w:t>ם</w:t>
      </w:r>
      <w:r w:rsidRPr="0018388A">
        <w:rPr>
          <w:rtl/>
        </w:rPr>
        <w:t xml:space="preserve"> יש לה</w:t>
      </w:r>
      <w:r w:rsidRPr="0018388A">
        <w:rPr>
          <w:rFonts w:hint="cs"/>
          <w:rtl/>
        </w:rPr>
        <w:t>ת</w:t>
      </w:r>
      <w:r w:rsidRPr="0018388A">
        <w:rPr>
          <w:rtl/>
        </w:rPr>
        <w:t>יר כמ</w:t>
      </w:r>
      <w:r w:rsidRPr="0018388A">
        <w:rPr>
          <w:rFonts w:hint="cs"/>
          <w:rtl/>
        </w:rPr>
        <w:t xml:space="preserve">ו </w:t>
      </w:r>
      <w:r w:rsidRPr="0018388A">
        <w:rPr>
          <w:rtl/>
        </w:rPr>
        <w:t>ש</w:t>
      </w:r>
      <w:r w:rsidRPr="0018388A">
        <w:rPr>
          <w:rFonts w:hint="cs"/>
          <w:rtl/>
        </w:rPr>
        <w:t>יתבאר</w:t>
      </w:r>
      <w:r w:rsidRPr="0018388A">
        <w:rPr>
          <w:rtl/>
        </w:rPr>
        <w:t xml:space="preserve"> </w:t>
      </w:r>
      <w:r w:rsidRPr="0018388A">
        <w:rPr>
          <w:rFonts w:hint="cs"/>
          <w:rtl/>
        </w:rPr>
        <w:t>ב</w:t>
      </w:r>
      <w:r w:rsidRPr="0018388A">
        <w:rPr>
          <w:rtl/>
        </w:rPr>
        <w:t>ס"ז</w:t>
      </w:r>
      <w:r w:rsidRPr="0018388A">
        <w:rPr>
          <w:rFonts w:hint="cs"/>
          <w:rtl/>
        </w:rPr>
        <w:t>.</w:t>
      </w:r>
    </w:p>
    <w:p w14:paraId="5DC1B7A4" w14:textId="77777777" w:rsidR="003E1AA3" w:rsidRPr="00BC7DC8" w:rsidRDefault="003E1AA3" w:rsidP="003E1AA3">
      <w:pPr>
        <w:pStyle w:val="afffffe"/>
        <w:rPr>
          <w:vanish/>
          <w:rtl/>
        </w:rPr>
      </w:pPr>
      <w:r w:rsidRPr="00BC7DC8">
        <w:rPr>
          <w:vanish/>
          <w:rtl/>
        </w:rPr>
        <w:t>רמב"ם שבת פ"י הט"ו</w:t>
      </w:r>
    </w:p>
    <w:p w14:paraId="6BAEFE38" w14:textId="77777777" w:rsidR="003E1AA3" w:rsidRPr="002E340A" w:rsidRDefault="003E1AA3" w:rsidP="003E1AA3">
      <w:pPr>
        <w:pStyle w:val="afffff5"/>
      </w:pPr>
      <w:r w:rsidRPr="002E340A">
        <w:rPr>
          <w:rFonts w:hint="cs"/>
          <w:rtl/>
        </w:rPr>
        <w:t xml:space="preserve">או </w:t>
      </w:r>
      <w:r w:rsidRPr="002E340A">
        <w:rPr>
          <w:rtl/>
        </w:rPr>
        <w:t xml:space="preserve">שפרק עץ תקוע הרי זה תולדת סותר וחייב והוא שיתכוין לתקן. </w:t>
      </w:r>
    </w:p>
    <w:p w14:paraId="335B9CE9" w14:textId="77777777" w:rsidR="003E1AA3" w:rsidRPr="00FC269C" w:rsidRDefault="003E1AA3" w:rsidP="003E1AA3">
      <w:pPr>
        <w:pStyle w:val="afffff7"/>
        <w:rPr>
          <w:rtl/>
        </w:rPr>
      </w:pPr>
      <w:bookmarkStart w:id="5770" w:name="_Toc145234071"/>
      <w:bookmarkStart w:id="5771" w:name="_Hlk144674232"/>
      <w:bookmarkStart w:id="5772" w:name="_Toc163506329"/>
      <w:r w:rsidRPr="00FC269C">
        <w:rPr>
          <w:rtl/>
        </w:rPr>
        <w:t xml:space="preserve">לבוש </w:t>
      </w:r>
      <w:r w:rsidRPr="00FC269C">
        <w:rPr>
          <w:rFonts w:hint="cs"/>
          <w:rtl/>
        </w:rPr>
        <w:t>או"ח</w:t>
      </w:r>
      <w:r w:rsidRPr="00FC269C">
        <w:rPr>
          <w:rtl/>
        </w:rPr>
        <w:t xml:space="preserve"> סי</w:t>
      </w:r>
      <w:r w:rsidRPr="00FC269C">
        <w:rPr>
          <w:rFonts w:hint="cs"/>
          <w:rtl/>
        </w:rPr>
        <w:t xml:space="preserve">' </w:t>
      </w:r>
      <w:r w:rsidRPr="00FC269C">
        <w:rPr>
          <w:rtl/>
        </w:rPr>
        <w:t>שי</w:t>
      </w:r>
      <w:r w:rsidRPr="00FC269C">
        <w:rPr>
          <w:rFonts w:hint="cs"/>
          <w:rtl/>
        </w:rPr>
        <w:t>"</w:t>
      </w:r>
      <w:r w:rsidRPr="00FC269C">
        <w:rPr>
          <w:rtl/>
        </w:rPr>
        <w:t>ד סעיף א</w:t>
      </w:r>
      <w:bookmarkEnd w:id="5770"/>
      <w:bookmarkEnd w:id="5772"/>
    </w:p>
    <w:p w14:paraId="5C9F6624" w14:textId="77777777" w:rsidR="003E1AA3" w:rsidRDefault="003E1AA3" w:rsidP="003E1AA3">
      <w:pPr>
        <w:pStyle w:val="a7"/>
        <w:rPr>
          <w:rtl/>
        </w:rPr>
      </w:pPr>
      <w:bookmarkStart w:id="5773" w:name="_Toc145233978"/>
      <w:r>
        <w:rPr>
          <w:rFonts w:hint="cs"/>
          <w:rtl/>
        </w:rPr>
        <w:t>בי' הלבוש דל"ש לשון בנין וסתירה ואילו עשיית כלי ושבירתו הם תולדה ובזה יש אופני היתר</w:t>
      </w:r>
      <w:bookmarkEnd w:id="5773"/>
    </w:p>
    <w:p w14:paraId="6A1E6890" w14:textId="5DEABFA2" w:rsidR="003E1AA3" w:rsidRDefault="003E1AA3" w:rsidP="00BC7DC8">
      <w:pPr>
        <w:pStyle w:val="a3"/>
      </w:pPr>
      <w:bookmarkStart w:id="5774" w:name="_Ref144722387"/>
      <w:r>
        <w:rPr>
          <w:rFonts w:hint="cs"/>
          <w:rtl/>
        </w:rPr>
        <w:t>כתב</w:t>
      </w:r>
      <w:r>
        <w:rPr>
          <w:rtl/>
        </w:rPr>
        <w:t xml:space="preserve"> </w:t>
      </w:r>
      <w:bookmarkStart w:id="5775" w:name="_Hlk144722466"/>
      <w:r w:rsidRPr="00066B86">
        <w:rPr>
          <w:b/>
          <w:bCs/>
          <w:rtl/>
        </w:rPr>
        <w:t>ה</w:t>
      </w:r>
      <w:r w:rsidRPr="00066B86">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Ref144722387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עד)</w:t>
      </w:r>
      <w:r>
        <w:rPr>
          <w:b/>
          <w:bCs/>
          <w:vanish/>
          <w:rtl/>
        </w:rPr>
        <w:fldChar w:fldCharType="end"/>
      </w:r>
      <w:r w:rsidRPr="00066B86">
        <w:rPr>
          <w:b/>
          <w:bCs/>
          <w:vanish/>
          <w:rtl/>
        </w:rPr>
        <w:t xml:space="preserve"> &gt;</w:t>
      </w:r>
      <w:r w:rsidRPr="00066B86">
        <w:rPr>
          <w:rFonts w:hint="cs"/>
          <w:b/>
          <w:bCs/>
          <w:rtl/>
        </w:rPr>
        <w:t>לבוש</w:t>
      </w:r>
      <w:r w:rsidRPr="00066B86">
        <w:rPr>
          <w:b/>
          <w:bCs/>
          <w:rtl/>
        </w:rPr>
        <w:t xml:space="preserve"> </w:t>
      </w:r>
      <w:r w:rsidRPr="00066B86">
        <w:rPr>
          <w:rFonts w:ascii="Calibri" w:eastAsia="Times New Roman" w:hAnsi="Calibri" w:cs="Guttman Rashi"/>
          <w:noProof w:val="0"/>
          <w:sz w:val="10"/>
          <w:szCs w:val="12"/>
          <w:rtl/>
        </w:rPr>
        <w:t>(</w:t>
      </w:r>
      <w:r w:rsidRPr="00066B86">
        <w:rPr>
          <w:rFonts w:ascii="Calibri" w:eastAsia="Times New Roman" w:hAnsi="Calibri" w:cs="Guttman Rashi" w:hint="cs"/>
          <w:noProof w:val="0"/>
          <w:sz w:val="10"/>
          <w:szCs w:val="12"/>
          <w:rtl/>
        </w:rPr>
        <w:t>סי' שי"ד א'</w:t>
      </w:r>
      <w:r w:rsidRPr="00066B86">
        <w:rPr>
          <w:rFonts w:ascii="Calibri" w:eastAsia="Times New Roman" w:hAnsi="Calibri" w:cs="Guttman Rashi"/>
          <w:noProof w:val="0"/>
          <w:sz w:val="10"/>
          <w:szCs w:val="12"/>
          <w:rtl/>
        </w:rPr>
        <w:t>)</w:t>
      </w:r>
      <w:r w:rsidRPr="00066B86">
        <w:rPr>
          <w:vanish/>
          <w:rtl/>
        </w:rPr>
        <w:t>=</w:t>
      </w:r>
      <w:r>
        <w:rPr>
          <w:rtl/>
        </w:rPr>
        <w:t xml:space="preserve"> </w:t>
      </w:r>
      <w:bookmarkEnd w:id="5775"/>
      <w:r>
        <w:rPr>
          <w:rFonts w:hint="cs"/>
          <w:rtl/>
        </w:rPr>
        <w:t>דבכלים לא שייך לשון בנין וסתירה, אלא תיקון כלי ועשייתו או שבירתו, וביאר</w:t>
      </w:r>
      <w:r>
        <w:rPr>
          <w:rtl/>
        </w:rPr>
        <w:t xml:space="preserve"> </w:t>
      </w:r>
      <w:r w:rsidRPr="00066B86">
        <w:rPr>
          <w:rFonts w:hint="cs"/>
          <w:b/>
          <w:bCs/>
          <w:rtl/>
        </w:rPr>
        <w:t>הלבוש</w:t>
      </w:r>
      <w:r>
        <w:rPr>
          <w:rtl/>
        </w:rPr>
        <w:t xml:space="preserve"> </w:t>
      </w:r>
      <w:r>
        <w:rPr>
          <w:rFonts w:hint="cs"/>
          <w:rtl/>
        </w:rPr>
        <w:t>דבונה וסותר שניהם אבות מלאכות ולא שייך שיהיה בהם היתר בשבת, אבל עשיית כלי גמור ושבירת כלי גמור הם תולדה, ועשיית או שבירת כלי שאינו גמור אינה בכלל בונה וסותר, ויש אופנים דמותר לעשות כן לכתחילה.</w:t>
      </w:r>
    </w:p>
    <w:bookmarkEnd w:id="5774"/>
    <w:p w14:paraId="2B9E5553" w14:textId="77777777" w:rsidR="003E1AA3" w:rsidRPr="00BC7DC8" w:rsidRDefault="003E1AA3" w:rsidP="003E1AA3">
      <w:pPr>
        <w:pStyle w:val="afffffe"/>
        <w:rPr>
          <w:vanish/>
          <w:rtl/>
        </w:rPr>
      </w:pPr>
      <w:r w:rsidRPr="00BC7DC8">
        <w:rPr>
          <w:vanish/>
          <w:rtl/>
        </w:rPr>
        <w:t xml:space="preserve">לבוש </w:t>
      </w:r>
      <w:r w:rsidRPr="00BC7DC8">
        <w:rPr>
          <w:rFonts w:hint="cs"/>
          <w:vanish/>
          <w:rtl/>
        </w:rPr>
        <w:t>או"ח</w:t>
      </w:r>
      <w:r w:rsidRPr="00BC7DC8">
        <w:rPr>
          <w:vanish/>
          <w:rtl/>
        </w:rPr>
        <w:t xml:space="preserve"> סי</w:t>
      </w:r>
      <w:r w:rsidRPr="00BC7DC8">
        <w:rPr>
          <w:rFonts w:hint="cs"/>
          <w:vanish/>
          <w:rtl/>
        </w:rPr>
        <w:t>'</w:t>
      </w:r>
      <w:r w:rsidRPr="00BC7DC8">
        <w:rPr>
          <w:vanish/>
          <w:rtl/>
        </w:rPr>
        <w:t xml:space="preserve"> שי</w:t>
      </w:r>
      <w:r w:rsidRPr="00BC7DC8">
        <w:rPr>
          <w:rFonts w:hint="cs"/>
          <w:vanish/>
          <w:rtl/>
        </w:rPr>
        <w:t>"</w:t>
      </w:r>
      <w:r w:rsidRPr="00BC7DC8">
        <w:rPr>
          <w:vanish/>
          <w:rtl/>
        </w:rPr>
        <w:t>ד סעיף א</w:t>
      </w:r>
    </w:p>
    <w:p w14:paraId="743C120A" w14:textId="77777777" w:rsidR="003E1AA3" w:rsidRDefault="003E1AA3" w:rsidP="003E1AA3">
      <w:pPr>
        <w:pStyle w:val="a2"/>
        <w:tabs>
          <w:tab w:val="num" w:pos="284"/>
        </w:tabs>
        <w:rPr>
          <w:rtl/>
        </w:rPr>
      </w:pPr>
      <w:r w:rsidRPr="0018388A">
        <w:rPr>
          <w:rtl/>
        </w:rPr>
        <w:t>בכלים אין נופל בהן לומר בנין או סתירה, אלא תיקון כלי או עשייתם או שבירתם, ונפ"מ דבנין או סתירה שניהם הם אבות מלאכות ואי אפשר להיות בהן שום צד היתר בשבת, אבל בעשייה או בשבירה, אף על גב דבעשיית כלי גמור ושבירת כלי גמור ודאי יש בהם ג"כ משום בנין וסתירה שהם אב מלאכה, והעשייה ושבירת הכלים הם תולדות דבנין וסתירה מן התורה וחייבים עליהם כמו על האב, אבל עשייה ושבירה שאינן עשיה ושבירה גמורה אין בה משום אב מלאכה, ולפעמים יש בה צד היתר לעשותם בשבת כמו שיתבאר בעזה"י</w:t>
      </w:r>
      <w:r>
        <w:rPr>
          <w:rFonts w:hint="cs"/>
          <w:rtl/>
        </w:rPr>
        <w:t>.</w:t>
      </w:r>
    </w:p>
    <w:p w14:paraId="3F8CEF03" w14:textId="77777777" w:rsidR="003E1AA3" w:rsidRPr="00FC5D92" w:rsidRDefault="003E1AA3" w:rsidP="003E1AA3">
      <w:pPr>
        <w:pStyle w:val="a7"/>
      </w:pPr>
      <w:bookmarkStart w:id="5776" w:name="_Toc145233979"/>
      <w:r>
        <w:rPr>
          <w:rFonts w:hint="cs"/>
          <w:rtl/>
        </w:rPr>
        <w:t>בי' הלבוש דכלי גדול כאוהל יש בו בנין ובקטן ההיתר בחבית במוסתקי דאי"ז בנין וסתירה ממש</w:t>
      </w:r>
      <w:bookmarkEnd w:id="5776"/>
    </w:p>
    <w:p w14:paraId="1CBA16CA" w14:textId="77777777" w:rsidR="003E1AA3" w:rsidRPr="00304028" w:rsidRDefault="003E1AA3" w:rsidP="00BC7DC8">
      <w:pPr>
        <w:pStyle w:val="a3"/>
        <w:rPr>
          <w:rtl/>
        </w:rPr>
      </w:pPr>
      <w:r>
        <w:rPr>
          <w:rFonts w:hint="cs"/>
          <w:rtl/>
        </w:rPr>
        <w:t>וביאר</w:t>
      </w:r>
      <w:r>
        <w:rPr>
          <w:rtl/>
        </w:rPr>
        <w:t xml:space="preserve"> </w:t>
      </w:r>
      <w:r w:rsidRPr="00066B86">
        <w:rPr>
          <w:rFonts w:hint="cs"/>
          <w:b/>
          <w:bCs/>
          <w:rtl/>
        </w:rPr>
        <w:t>הלבוש</w:t>
      </w:r>
      <w:r>
        <w:rPr>
          <w:rtl/>
        </w:rPr>
        <w:t xml:space="preserve"> </w:t>
      </w:r>
      <w:r>
        <w:rPr>
          <w:rFonts w:hint="cs"/>
          <w:rtl/>
        </w:rPr>
        <w:t>דחבית גדולה מ' סאה שהיא כאוהל יש בה בנין וסתירה גמורים, אבל בפחות ממ' סאה דינה ככלי ובמוסתקי דנשברה החבית ודיבק את שבריה אי"ז בנין ממש ואם שברה אח"כ לא חשיב שובר כלי, ולכן לצורך שבת מותר לשוברה, כשאינו מתכוין לעשות נקב יפה, אבל בחבית שלמה אסור לשוברה כלל.</w:t>
      </w:r>
    </w:p>
    <w:p w14:paraId="2A090EEA" w14:textId="77777777" w:rsidR="003E1AA3" w:rsidRPr="0018388A" w:rsidRDefault="003E1AA3" w:rsidP="003E1AA3">
      <w:pPr>
        <w:pStyle w:val="a2"/>
        <w:tabs>
          <w:tab w:val="num" w:pos="284"/>
        </w:tabs>
        <w:rPr>
          <w:rtl/>
        </w:rPr>
      </w:pPr>
      <w:r w:rsidRPr="0018388A">
        <w:rPr>
          <w:rtl/>
        </w:rPr>
        <w:t>כיצד, כגון חבית שאינה מחזקת ארבעים סאה, שאם היא מחזקת ארבעים סאה הוי אהל ויש בה בנין וסתירה, אבל בפחות שם כלי עליה. אם נשברה ודיבק שבריה בזפת, אין הדיבוק הזה דיבוק גמור ואינו בנין ממש, ואם יחזור וישבור אותו הדיבוק ג"כ אינו שבירה גמורה: * הג"ה ועיין לקמן סימן תקי"ט סעיף א': לפיכך אם יש דבר בחבית שהוא צריך לו לשבת התירו לשברה וליקח מתוכה מה שהוא צריך לשבת, ובלבד שלא יכוין לנוקבה נקב יפה שיהיה לה לפתח והוה ליה מתקן מנא בשבת. אבל אם היא שלימה אסור לשברה אפילו בענין שאינו עושה כלי</w:t>
      </w:r>
      <w:r w:rsidRPr="0018388A">
        <w:rPr>
          <w:rFonts w:hint="cs"/>
          <w:rtl/>
        </w:rPr>
        <w:t xml:space="preserve"> וכו'</w:t>
      </w:r>
      <w:r w:rsidRPr="0018388A">
        <w:rPr>
          <w:rtl/>
        </w:rPr>
        <w:t>.</w:t>
      </w:r>
    </w:p>
    <w:p w14:paraId="388DDE15" w14:textId="77777777" w:rsidR="003E1AA3" w:rsidRPr="00FC269C" w:rsidRDefault="003E1AA3" w:rsidP="003E1AA3">
      <w:pPr>
        <w:pStyle w:val="afffff7"/>
        <w:rPr>
          <w:rtl/>
        </w:rPr>
      </w:pPr>
      <w:bookmarkStart w:id="5777" w:name="_Toc145234072"/>
      <w:bookmarkStart w:id="5778" w:name="_Toc163506330"/>
      <w:r w:rsidRPr="00FC269C">
        <w:rPr>
          <w:rtl/>
        </w:rPr>
        <w:t xml:space="preserve">פרי מגדים </w:t>
      </w:r>
      <w:r w:rsidRPr="00FC269C">
        <w:rPr>
          <w:rFonts w:hint="cs"/>
          <w:rtl/>
        </w:rPr>
        <w:t>או"ח</w:t>
      </w:r>
      <w:r w:rsidRPr="00FC269C">
        <w:rPr>
          <w:rtl/>
        </w:rPr>
        <w:t xml:space="preserve"> משבצות זהב סי</w:t>
      </w:r>
      <w:r w:rsidRPr="00FC269C">
        <w:rPr>
          <w:rFonts w:hint="cs"/>
          <w:rtl/>
        </w:rPr>
        <w:t>'</w:t>
      </w:r>
      <w:r w:rsidRPr="00FC269C">
        <w:rPr>
          <w:rtl/>
        </w:rPr>
        <w:t xml:space="preserve"> שי</w:t>
      </w:r>
      <w:r w:rsidRPr="00FC269C">
        <w:rPr>
          <w:rFonts w:hint="cs"/>
          <w:rtl/>
        </w:rPr>
        <w:t>"</w:t>
      </w:r>
      <w:r w:rsidRPr="00FC269C">
        <w:rPr>
          <w:rtl/>
        </w:rPr>
        <w:t>ד סק"</w:t>
      </w:r>
      <w:r w:rsidRPr="00FC269C">
        <w:rPr>
          <w:rFonts w:hint="cs"/>
          <w:rtl/>
        </w:rPr>
        <w:t>א</w:t>
      </w:r>
      <w:r w:rsidRPr="00FC269C">
        <w:rPr>
          <w:rtl/>
        </w:rPr>
        <w:t xml:space="preserve"> </w:t>
      </w:r>
      <w:r w:rsidRPr="00FC269C">
        <w:rPr>
          <w:rFonts w:hint="cs"/>
          <w:rtl/>
        </w:rPr>
        <w:t>ד"ה</w:t>
      </w:r>
      <w:r w:rsidRPr="00FC269C">
        <w:rPr>
          <w:rtl/>
        </w:rPr>
        <w:t xml:space="preserve"> ואגב גררא</w:t>
      </w:r>
      <w:bookmarkEnd w:id="5777"/>
      <w:bookmarkEnd w:id="5778"/>
    </w:p>
    <w:p w14:paraId="358D9283" w14:textId="77777777" w:rsidR="003E1AA3" w:rsidRDefault="003E1AA3" w:rsidP="003E1AA3">
      <w:pPr>
        <w:pStyle w:val="a7"/>
        <w:rPr>
          <w:rtl/>
        </w:rPr>
      </w:pPr>
      <w:bookmarkStart w:id="5779" w:name="_Toc145233980"/>
      <w:r>
        <w:rPr>
          <w:rFonts w:hint="cs"/>
          <w:rtl/>
        </w:rPr>
        <w:t>בי' הפרמ"ג בר"ן דבכלי גדול הוא אב דסותר ואין היתר ובקטן הוא תולדה וצורך מתיר</w:t>
      </w:r>
      <w:r w:rsidRPr="009732CE">
        <w:rPr>
          <w:rFonts w:hint="cs"/>
          <w:rtl/>
        </w:rPr>
        <w:t xml:space="preserve"> </w:t>
      </w:r>
      <w:r>
        <w:rPr>
          <w:rFonts w:hint="cs"/>
          <w:rtl/>
        </w:rPr>
        <w:t>במקלקל</w:t>
      </w:r>
      <w:bookmarkEnd w:id="5779"/>
    </w:p>
    <w:p w14:paraId="133A7EFD" w14:textId="6C62724D" w:rsidR="003E1AA3" w:rsidRPr="00827603" w:rsidRDefault="003E1AA3" w:rsidP="00BC7DC8">
      <w:pPr>
        <w:pStyle w:val="a3"/>
        <w:rPr>
          <w:rtl/>
        </w:rPr>
      </w:pPr>
      <w:bookmarkStart w:id="5780" w:name="_Ref144721012"/>
      <w:r>
        <w:rPr>
          <w:rFonts w:hint="cs"/>
          <w:rtl/>
        </w:rPr>
        <w:t>במ"ש</w:t>
      </w:r>
      <w:r>
        <w:rPr>
          <w:rtl/>
        </w:rPr>
        <w:t xml:space="preserve"> </w:t>
      </w:r>
      <w:r w:rsidRPr="003A2FC3">
        <w:rPr>
          <w:rFonts w:hint="cs"/>
          <w:b/>
          <w:bCs/>
          <w:rtl/>
        </w:rPr>
        <w:t>הר"ן</w:t>
      </w:r>
      <w:r>
        <w:rPr>
          <w:rFonts w:ascii="Calibri" w:eastAsia="Times New Roman" w:hAnsi="Calibri" w:cs="Guttman Rashi" w:hint="cs"/>
          <w:noProof w:val="0"/>
          <w:sz w:val="10"/>
          <w:szCs w:val="12"/>
          <w:rtl/>
        </w:rPr>
        <w:t xml:space="preserve"> (עי' </w:t>
      </w:r>
      <w:r w:rsidRPr="00370735">
        <w:rPr>
          <w:rStyle w:val="af2"/>
          <w:rFonts w:eastAsia="Guttman Hodes"/>
          <w:rtl/>
        </w:rPr>
        <w:t xml:space="preserve">אות </w:t>
      </w:r>
      <w:r>
        <w:rPr>
          <w:rStyle w:val="af2"/>
          <w:rFonts w:eastAsia="Guttman Hodes"/>
          <w:rtl/>
        </w:rPr>
        <w:fldChar w:fldCharType="begin"/>
      </w:r>
      <w:r>
        <w:rPr>
          <w:rStyle w:val="af2"/>
          <w:rFonts w:eastAsia="Guttman Hodes"/>
          <w:rtl/>
        </w:rPr>
        <w:instrText xml:space="preserve"> </w:instrText>
      </w:r>
      <w:r>
        <w:rPr>
          <w:rStyle w:val="af2"/>
          <w:rFonts w:eastAsia="Guttman Hodes"/>
        </w:rPr>
        <w:instrText>REF</w:instrText>
      </w:r>
      <w:r>
        <w:rPr>
          <w:rStyle w:val="af2"/>
          <w:rFonts w:eastAsia="Guttman Hodes"/>
          <w:rtl/>
        </w:rPr>
        <w:instrText xml:space="preserve"> _</w:instrText>
      </w:r>
      <w:r>
        <w:rPr>
          <w:rStyle w:val="af2"/>
          <w:rFonts w:eastAsia="Guttman Hodes"/>
        </w:rPr>
        <w:instrText>Ref145061049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נד)</w:t>
      </w:r>
      <w:r>
        <w:rPr>
          <w:rStyle w:val="af2"/>
          <w:rFonts w:eastAsia="Guttman Hodes"/>
          <w:rtl/>
        </w:rPr>
        <w:fldChar w:fldCharType="end"/>
      </w:r>
      <w:r>
        <w:rPr>
          <w:rFonts w:hint="cs"/>
          <w:rtl/>
        </w:rPr>
        <w:t xml:space="preserve"> דבנותן עירובו במגדל איירי במגדל גדול שהוא כאוהל ויש בו בנין וסתירה, אבל במגדל קטן אין סתירה כלל וזהו ההיתר בסתירת חבית, הקשה</w:t>
      </w:r>
      <w:r>
        <w:rPr>
          <w:rtl/>
        </w:rPr>
        <w:t xml:space="preserve"> </w:t>
      </w:r>
      <w:r w:rsidRPr="003A2FC3">
        <w:rPr>
          <w:b/>
          <w:bCs/>
          <w:rtl/>
        </w:rPr>
        <w:t>ה</w:t>
      </w:r>
      <w:r w:rsidRPr="003A2FC3">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Ref144721012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עו)</w:t>
      </w:r>
      <w:r>
        <w:rPr>
          <w:b/>
          <w:bCs/>
          <w:vanish/>
          <w:rtl/>
        </w:rPr>
        <w:fldChar w:fldCharType="end"/>
      </w:r>
      <w:r w:rsidRPr="003A2FC3">
        <w:rPr>
          <w:b/>
          <w:bCs/>
          <w:vanish/>
          <w:rtl/>
        </w:rPr>
        <w:t xml:space="preserve"> &gt;</w:t>
      </w:r>
      <w:r w:rsidRPr="003A2FC3">
        <w:rPr>
          <w:rFonts w:hint="cs"/>
          <w:b/>
          <w:bCs/>
          <w:rtl/>
        </w:rPr>
        <w:t>פרמ"ג</w:t>
      </w:r>
      <w:r w:rsidRPr="003A2FC3">
        <w:rPr>
          <w:b/>
          <w:bCs/>
          <w:rtl/>
        </w:rPr>
        <w:t xml:space="preserve"> </w:t>
      </w:r>
      <w:r w:rsidRPr="003A2FC3">
        <w:rPr>
          <w:rFonts w:ascii="Calibri" w:eastAsia="Times New Roman" w:hAnsi="Calibri" w:cs="Guttman Rashi"/>
          <w:noProof w:val="0"/>
          <w:sz w:val="10"/>
          <w:szCs w:val="12"/>
          <w:rtl/>
        </w:rPr>
        <w:t>(</w:t>
      </w:r>
      <w:r w:rsidRPr="003A2FC3">
        <w:rPr>
          <w:rFonts w:ascii="Calibri" w:eastAsia="Times New Roman" w:hAnsi="Calibri" w:cs="Guttman Rashi" w:hint="cs"/>
          <w:noProof w:val="0"/>
          <w:sz w:val="10"/>
          <w:szCs w:val="12"/>
          <w:rtl/>
        </w:rPr>
        <w:t xml:space="preserve">סי' שי"ד </w:t>
      </w:r>
      <w:r>
        <w:rPr>
          <w:rFonts w:ascii="Calibri" w:eastAsia="Times New Roman" w:hAnsi="Calibri" w:cs="Guttman Rashi" w:hint="cs"/>
          <w:noProof w:val="0"/>
          <w:sz w:val="10"/>
          <w:szCs w:val="12"/>
          <w:rtl/>
        </w:rPr>
        <w:t xml:space="preserve">משב"ז </w:t>
      </w:r>
      <w:r w:rsidRPr="003A2FC3">
        <w:rPr>
          <w:rFonts w:ascii="Calibri" w:eastAsia="Times New Roman" w:hAnsi="Calibri" w:cs="Guttman Rashi" w:hint="cs"/>
          <w:noProof w:val="0"/>
          <w:sz w:val="10"/>
          <w:szCs w:val="12"/>
          <w:rtl/>
        </w:rPr>
        <w:t>סק"א ד"ה ואגב גררא</w:t>
      </w:r>
      <w:r w:rsidRPr="003A2FC3">
        <w:rPr>
          <w:rFonts w:ascii="Calibri" w:eastAsia="Times New Roman" w:hAnsi="Calibri" w:cs="Guttman Rashi"/>
          <w:noProof w:val="0"/>
          <w:sz w:val="10"/>
          <w:szCs w:val="12"/>
          <w:rtl/>
        </w:rPr>
        <w:t>)</w:t>
      </w:r>
      <w:r w:rsidRPr="003A2FC3">
        <w:rPr>
          <w:vanish/>
          <w:rtl/>
        </w:rPr>
        <w:t>=</w:t>
      </w:r>
      <w:r>
        <w:rPr>
          <w:rtl/>
        </w:rPr>
        <w:t xml:space="preserve"> </w:t>
      </w:r>
      <w:r>
        <w:rPr>
          <w:rFonts w:hint="cs"/>
          <w:rtl/>
        </w:rPr>
        <w:t>דמה החילוק בין כלי גדול לכלי קטן, הא אי ההיתר הוא מדין מקלקל א"כ אף בכלי גדול מותר דחיוב סותר הוא רק בע"מ לבנות, ואי אמרינן דכיון דשובר את החבית ע"מ לאכול ממנה גרוגרות לא חשיב מקלקל, א"כ אמאי מותר בקטן, וכתב</w:t>
      </w:r>
      <w:r>
        <w:rPr>
          <w:rtl/>
        </w:rPr>
        <w:t xml:space="preserve"> </w:t>
      </w:r>
      <w:r w:rsidRPr="003A2FC3">
        <w:rPr>
          <w:rFonts w:hint="cs"/>
          <w:b/>
          <w:bCs/>
          <w:rtl/>
        </w:rPr>
        <w:t>הפרמ"ג</w:t>
      </w:r>
      <w:r>
        <w:rPr>
          <w:rtl/>
        </w:rPr>
        <w:t xml:space="preserve"> </w:t>
      </w:r>
      <w:r>
        <w:rPr>
          <w:rFonts w:hint="cs"/>
          <w:rtl/>
        </w:rPr>
        <w:t>דצ"ל דבתחילת דבריו הביא</w:t>
      </w:r>
      <w:r>
        <w:rPr>
          <w:rtl/>
        </w:rPr>
        <w:t xml:space="preserve"> </w:t>
      </w:r>
      <w:r w:rsidRPr="003A2FC3">
        <w:rPr>
          <w:rFonts w:hint="cs"/>
          <w:b/>
          <w:bCs/>
          <w:rtl/>
        </w:rPr>
        <w:t>הר"ן</w:t>
      </w:r>
      <w:r>
        <w:rPr>
          <w:rtl/>
        </w:rPr>
        <w:t xml:space="preserve"> </w:t>
      </w:r>
      <w:r>
        <w:rPr>
          <w:rFonts w:hint="cs"/>
          <w:rtl/>
        </w:rPr>
        <w:t>את ביאור</w:t>
      </w:r>
      <w:r>
        <w:rPr>
          <w:rtl/>
        </w:rPr>
        <w:t xml:space="preserve"> </w:t>
      </w:r>
      <w:r w:rsidRPr="003A2FC3">
        <w:rPr>
          <w:rFonts w:hint="cs"/>
          <w:b/>
          <w:bCs/>
          <w:rtl/>
        </w:rPr>
        <w:t>רש"י</w:t>
      </w:r>
      <w:r>
        <w:rPr>
          <w:rtl/>
        </w:rPr>
        <w:t xml:space="preserve"> </w:t>
      </w:r>
      <w:r w:rsidRPr="003A2FC3">
        <w:rPr>
          <w:rFonts w:ascii="Calibri" w:eastAsia="Times New Roman" w:hAnsi="Calibri" w:cs="Guttman Rashi"/>
          <w:noProof w:val="0"/>
          <w:sz w:val="10"/>
          <w:szCs w:val="12"/>
          <w:rtl/>
        </w:rPr>
        <w:t xml:space="preserve">(עי' 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Pr>
        <w:instrText>REF</w:instrText>
      </w:r>
      <w:r>
        <w:rPr>
          <w:rFonts w:ascii="Calibri" w:eastAsia="Times New Roman" w:hAnsi="Calibri" w:cs="Guttman Rashi"/>
          <w:noProof w:val="0"/>
          <w:sz w:val="10"/>
          <w:szCs w:val="12"/>
          <w:rtl/>
        </w:rPr>
        <w:instrText xml:space="preserve"> _</w:instrText>
      </w:r>
      <w:r>
        <w:rPr>
          <w:rFonts w:ascii="Calibri" w:eastAsia="Times New Roman" w:hAnsi="Calibri" w:cs="Guttman Rashi"/>
          <w:noProof w:val="0"/>
          <w:sz w:val="10"/>
          <w:szCs w:val="12"/>
        </w:rPr>
        <w:instrText>Ref144808791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נג)</w:t>
      </w:r>
      <w:r>
        <w:rPr>
          <w:rFonts w:ascii="Calibri" w:eastAsia="Times New Roman" w:hAnsi="Calibri" w:cs="Guttman Rashi"/>
          <w:noProof w:val="0"/>
          <w:sz w:val="10"/>
          <w:szCs w:val="12"/>
          <w:rtl/>
        </w:rPr>
        <w:fldChar w:fldCharType="end"/>
      </w:r>
      <w:r>
        <w:rPr>
          <w:rtl/>
        </w:rPr>
        <w:t xml:space="preserve"> </w:t>
      </w:r>
      <w:r>
        <w:rPr>
          <w:rFonts w:hint="cs"/>
          <w:rtl/>
        </w:rPr>
        <w:t>דמותר מדין מקלקל, ואח"כ ביאר דההיתר הוא מטעם אחר כיון דבכלי קטן אין בנין בכלים, אבל בגדול יש בנין בכלים, וכתב</w:t>
      </w:r>
      <w:r>
        <w:rPr>
          <w:rtl/>
        </w:rPr>
        <w:t xml:space="preserve"> </w:t>
      </w:r>
      <w:r w:rsidRPr="003A2FC3">
        <w:rPr>
          <w:rFonts w:hint="cs"/>
          <w:b/>
          <w:bCs/>
          <w:rtl/>
        </w:rPr>
        <w:t>הפרמ"ג</w:t>
      </w:r>
      <w:r>
        <w:rPr>
          <w:rtl/>
        </w:rPr>
        <w:t xml:space="preserve"> </w:t>
      </w:r>
      <w:r>
        <w:rPr>
          <w:rFonts w:hint="cs"/>
          <w:rtl/>
        </w:rPr>
        <w:t>דאפש"ל דבכלי גדול הוא אב מלאכה דבונה וסותר, ולכן אף במקלקל לא התירו בו לצורך שבת, ובכלי קטן הוא רק תולדה דעשיית כלי ושבירתו אינה בנין ממש אלא תולדה דבונה וסותר, ולכן במקלקל לצורך שבת התירו, אך כתב</w:t>
      </w:r>
      <w:r>
        <w:rPr>
          <w:rtl/>
        </w:rPr>
        <w:t xml:space="preserve"> </w:t>
      </w:r>
      <w:r w:rsidRPr="003A2FC3">
        <w:rPr>
          <w:rFonts w:hint="cs"/>
          <w:b/>
          <w:bCs/>
          <w:rtl/>
        </w:rPr>
        <w:t>הפרמ"ג</w:t>
      </w:r>
      <w:r>
        <w:rPr>
          <w:rtl/>
        </w:rPr>
        <w:t xml:space="preserve"> </w:t>
      </w:r>
      <w:r>
        <w:rPr>
          <w:rFonts w:hint="cs"/>
          <w:rtl/>
        </w:rPr>
        <w:t>דהוא דוחק, ועי' במ"ש בזה</w:t>
      </w:r>
      <w:r>
        <w:rPr>
          <w:rtl/>
        </w:rPr>
        <w:t xml:space="preserve"> </w:t>
      </w:r>
      <w:r w:rsidRPr="00154589">
        <w:rPr>
          <w:b/>
          <w:bCs/>
          <w:rtl/>
        </w:rPr>
        <w:t>ה</w:t>
      </w:r>
      <w:r>
        <w:rPr>
          <w:rFonts w:hint="cs"/>
          <w:b/>
          <w:bCs/>
          <w:vanish/>
          <w:rtl/>
        </w:rPr>
        <w:t>&lt; &gt;</w:t>
      </w:r>
      <w:r>
        <w:rPr>
          <w:rFonts w:hint="cs"/>
          <w:b/>
          <w:bCs/>
          <w:rtl/>
        </w:rPr>
        <w:t>אבני נזר</w:t>
      </w:r>
      <w:r w:rsidRPr="00154589">
        <w:rPr>
          <w:b/>
          <w:bCs/>
          <w:rtl/>
        </w:rPr>
        <w:t xml:space="preserve"> </w:t>
      </w:r>
      <w:r w:rsidRPr="00154589">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סי' רי"ב ג'</w:t>
      </w:r>
      <w:r w:rsidRPr="00154589">
        <w:rPr>
          <w:rFonts w:ascii="Calibri" w:eastAsia="Times New Roman" w:hAnsi="Calibri" w:cs="Guttman Rashi"/>
          <w:noProof w:val="0"/>
          <w:sz w:val="10"/>
          <w:szCs w:val="12"/>
          <w:rtl/>
        </w:rPr>
        <w:t>)</w:t>
      </w:r>
      <w:r w:rsidRPr="00154589">
        <w:rPr>
          <w:vanish/>
          <w:rtl/>
        </w:rPr>
        <w:t>=</w:t>
      </w:r>
      <w:r w:rsidRPr="009F08D5">
        <w:rPr>
          <w:rFonts w:hint="cs"/>
          <w:rtl/>
        </w:rPr>
        <w:t xml:space="preserve"> </w:t>
      </w:r>
      <w:r>
        <w:rPr>
          <w:rFonts w:hint="cs"/>
          <w:rtl/>
        </w:rPr>
        <w:t>וע"ע ב</w:t>
      </w:r>
      <w:r w:rsidRPr="006C2BD9">
        <w:rPr>
          <w:b/>
          <w:bCs/>
          <w:vanish/>
          <w:rtl/>
        </w:rPr>
        <w:t>&lt; &gt;</w:t>
      </w:r>
      <w:r w:rsidRPr="009F08D5">
        <w:rPr>
          <w:rFonts w:hint="cs"/>
          <w:b/>
          <w:bCs/>
          <w:rtl/>
        </w:rPr>
        <w:t>אגרות משה</w:t>
      </w:r>
      <w:r w:rsidRPr="009F08D5">
        <w:rPr>
          <w:b/>
          <w:bCs/>
          <w:rtl/>
        </w:rPr>
        <w:t xml:space="preserve"> </w:t>
      </w:r>
      <w:r w:rsidRPr="006C2BD9">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או"ח ח"א סי' קכ"ב ענף א' ד"ה הנה בשבת</w:t>
      </w:r>
      <w:r w:rsidRPr="006C2BD9">
        <w:rPr>
          <w:rFonts w:ascii="Calibri" w:eastAsia="Times New Roman" w:hAnsi="Calibri" w:cs="Guttman Rashi"/>
          <w:noProof w:val="0"/>
          <w:sz w:val="10"/>
          <w:szCs w:val="12"/>
          <w:rtl/>
        </w:rPr>
        <w:t>)</w:t>
      </w:r>
      <w:r w:rsidRPr="006C2BD9">
        <w:rPr>
          <w:vanish/>
          <w:rtl/>
        </w:rPr>
        <w:t>=</w:t>
      </w:r>
      <w:r>
        <w:rPr>
          <w:rFonts w:hint="cs"/>
          <w:rtl/>
        </w:rPr>
        <w:t xml:space="preserve"> במה שהוסיף להקשות</w:t>
      </w:r>
      <w:r>
        <w:rPr>
          <w:rtl/>
        </w:rPr>
        <w:t xml:space="preserve"> </w:t>
      </w:r>
      <w:r>
        <w:rPr>
          <w:rFonts w:hint="cs"/>
          <w:rtl/>
        </w:rPr>
        <w:t>על דברי</w:t>
      </w:r>
      <w:r>
        <w:rPr>
          <w:rtl/>
        </w:rPr>
        <w:t xml:space="preserve"> </w:t>
      </w:r>
      <w:r>
        <w:rPr>
          <w:rFonts w:hint="cs"/>
          <w:b/>
          <w:bCs/>
          <w:rtl/>
        </w:rPr>
        <w:t>רש"י והר"ן</w:t>
      </w:r>
      <w:r>
        <w:rPr>
          <w:rFonts w:hint="cs"/>
          <w:rtl/>
        </w:rPr>
        <w:t>.</w:t>
      </w:r>
      <w:bookmarkEnd w:id="5780"/>
    </w:p>
    <w:p w14:paraId="462669C1" w14:textId="77777777" w:rsidR="003E1AA3" w:rsidRPr="00BC7DC8" w:rsidRDefault="003E1AA3" w:rsidP="003E1AA3">
      <w:pPr>
        <w:pStyle w:val="afffffe"/>
        <w:rPr>
          <w:vanish/>
          <w:rtl/>
        </w:rPr>
      </w:pPr>
      <w:r w:rsidRPr="00BC7DC8">
        <w:rPr>
          <w:vanish/>
          <w:rtl/>
        </w:rPr>
        <w:t xml:space="preserve">פרי מגדים </w:t>
      </w:r>
      <w:r w:rsidRPr="00BC7DC8">
        <w:rPr>
          <w:rFonts w:hint="cs"/>
          <w:vanish/>
          <w:rtl/>
        </w:rPr>
        <w:t>או"ח</w:t>
      </w:r>
      <w:r w:rsidRPr="00BC7DC8">
        <w:rPr>
          <w:vanish/>
          <w:rtl/>
        </w:rPr>
        <w:t xml:space="preserve"> משבצות זהב סי</w:t>
      </w:r>
      <w:r w:rsidRPr="00BC7DC8">
        <w:rPr>
          <w:rFonts w:hint="cs"/>
          <w:vanish/>
          <w:rtl/>
        </w:rPr>
        <w:t>'</w:t>
      </w:r>
      <w:r w:rsidRPr="00BC7DC8">
        <w:rPr>
          <w:vanish/>
          <w:rtl/>
        </w:rPr>
        <w:t xml:space="preserve"> שי</w:t>
      </w:r>
      <w:r w:rsidRPr="00BC7DC8">
        <w:rPr>
          <w:rFonts w:hint="cs"/>
          <w:vanish/>
          <w:rtl/>
        </w:rPr>
        <w:t>"</w:t>
      </w:r>
      <w:r w:rsidRPr="00BC7DC8">
        <w:rPr>
          <w:vanish/>
          <w:rtl/>
        </w:rPr>
        <w:t>ד סק"</w:t>
      </w:r>
      <w:r w:rsidRPr="00BC7DC8">
        <w:rPr>
          <w:rFonts w:hint="cs"/>
          <w:vanish/>
          <w:rtl/>
        </w:rPr>
        <w:t>א</w:t>
      </w:r>
      <w:r w:rsidRPr="00BC7DC8">
        <w:rPr>
          <w:vanish/>
          <w:rtl/>
        </w:rPr>
        <w:t xml:space="preserve"> </w:t>
      </w:r>
      <w:r w:rsidRPr="00BC7DC8">
        <w:rPr>
          <w:rFonts w:hint="cs"/>
          <w:vanish/>
          <w:rtl/>
        </w:rPr>
        <w:t>ד"הה</w:t>
      </w:r>
      <w:r w:rsidRPr="00BC7DC8">
        <w:rPr>
          <w:vanish/>
          <w:rtl/>
        </w:rPr>
        <w:t xml:space="preserve"> ואגב גררא</w:t>
      </w:r>
    </w:p>
    <w:p w14:paraId="4AB3F3A5" w14:textId="77777777" w:rsidR="003E1AA3" w:rsidRPr="00D106C4" w:rsidRDefault="003E1AA3" w:rsidP="003E1AA3">
      <w:pPr>
        <w:pStyle w:val="a7"/>
        <w:rPr>
          <w:rtl/>
        </w:rPr>
      </w:pPr>
    </w:p>
    <w:p w14:paraId="7496D54F" w14:textId="77777777" w:rsidR="003E1AA3" w:rsidRPr="0018388A" w:rsidRDefault="003E1AA3" w:rsidP="003E1AA3">
      <w:pPr>
        <w:pStyle w:val="a2"/>
        <w:tabs>
          <w:tab w:val="num" w:pos="284"/>
        </w:tabs>
      </w:pPr>
      <w:r w:rsidRPr="0018388A">
        <w:rPr>
          <w:rFonts w:hint="cs"/>
          <w:rtl/>
        </w:rPr>
        <w:t>ו</w:t>
      </w:r>
      <w:r w:rsidRPr="0018388A">
        <w:rPr>
          <w:rtl/>
        </w:rPr>
        <w:t>אגב גררא ראיתי להזכיר קצת בקצרה, הנה הר"ן ז"ל [שבת סא, ב ד"ה מתני'] פירש דשובר חבית מיירי בשלימה, וקטן שאין מחזיק ארבעים סאה לית ביה בנין וסתירה, הא גדול אסור. ולא הבינותי, דאם הטעם דמקלקל פטור, ומותר משום צורך שבת, הוא הדין גדול, דסותר אין חייב אלא על מנת לבנות על כל פנים, עיין שבת ל"א ב', וכן פסק הר"מ ז"ל פרק עשירי הלכה ט"ו מהלכות שבת, ואם כן גדול נמי כל דרך השחתה פטור, ומשום צורך שבת שרינן. ואם נאמר דמקלקל על מנת לתקן הוא, לאכול הימנו, לא חשיב מקלקל, כמו הקורע בחמתו וכדומה [שבת קה, ב], אם כן קטן אמאי שרי משום מקלקל כמו שכתב שם הר"ן ז"ל. אפשר מתחלה כתב פירוש רש"י [שם קמו, א ד"ה שובר], ואחר כך כתב מיהו, הוא פירושו, דלאו משום מקלקל הוא, אלא הטעם בקטן אין בנין בכלים אבל גדול כו', וצ"ע. ויש לפרש דבגדול הוה אב מלאכה בונה וסותר, לא התירו משום צורך שבת אף מקלקל, מה שאין כן בקטן דהוה רק תולדה עשיית כלי ושבירתה, לא החמירו במקלקל לצורך שבת. גם זה דוחק.</w:t>
      </w:r>
    </w:p>
    <w:p w14:paraId="598225C5" w14:textId="77777777" w:rsidR="003E1AA3" w:rsidRPr="00FC269C" w:rsidRDefault="003E1AA3" w:rsidP="003E1AA3">
      <w:pPr>
        <w:pStyle w:val="afffff7"/>
        <w:rPr>
          <w:rtl/>
        </w:rPr>
      </w:pPr>
      <w:bookmarkStart w:id="5781" w:name="_Toc145234073"/>
      <w:bookmarkStart w:id="5782" w:name="_Toc163506331"/>
      <w:r w:rsidRPr="00FC269C">
        <w:rPr>
          <w:rtl/>
        </w:rPr>
        <w:t xml:space="preserve">פרי מגדים </w:t>
      </w:r>
      <w:r w:rsidRPr="00FC269C">
        <w:rPr>
          <w:rFonts w:hint="cs"/>
          <w:rtl/>
        </w:rPr>
        <w:t>או"ח</w:t>
      </w:r>
      <w:r w:rsidRPr="00FC269C">
        <w:rPr>
          <w:rtl/>
        </w:rPr>
        <w:t xml:space="preserve"> משבצות זהב סי</w:t>
      </w:r>
      <w:r w:rsidRPr="00FC269C">
        <w:rPr>
          <w:rFonts w:hint="cs"/>
          <w:rtl/>
        </w:rPr>
        <w:t>'</w:t>
      </w:r>
      <w:r w:rsidRPr="00FC269C">
        <w:rPr>
          <w:rtl/>
        </w:rPr>
        <w:t xml:space="preserve"> שי</w:t>
      </w:r>
      <w:r w:rsidRPr="00FC269C">
        <w:rPr>
          <w:rFonts w:hint="cs"/>
          <w:rtl/>
        </w:rPr>
        <w:t>"</w:t>
      </w:r>
      <w:r w:rsidRPr="00FC269C">
        <w:rPr>
          <w:rtl/>
        </w:rPr>
        <w:t>ד סק"</w:t>
      </w:r>
      <w:r w:rsidRPr="00FC269C">
        <w:rPr>
          <w:rFonts w:hint="cs"/>
          <w:rtl/>
        </w:rPr>
        <w:t>א</w:t>
      </w:r>
      <w:r w:rsidRPr="00FC269C">
        <w:rPr>
          <w:rtl/>
        </w:rPr>
        <w:t xml:space="preserve"> </w:t>
      </w:r>
      <w:r w:rsidRPr="00FC269C">
        <w:rPr>
          <w:rFonts w:hint="cs"/>
          <w:rtl/>
        </w:rPr>
        <w:t>ד"ה</w:t>
      </w:r>
      <w:r w:rsidRPr="00FC269C">
        <w:rPr>
          <w:rtl/>
        </w:rPr>
        <w:t xml:space="preserve"> והנה בלבוש</w:t>
      </w:r>
      <w:bookmarkEnd w:id="5781"/>
      <w:bookmarkEnd w:id="5782"/>
    </w:p>
    <w:p w14:paraId="70EFC9F5" w14:textId="77777777" w:rsidR="003E1AA3" w:rsidRDefault="003E1AA3" w:rsidP="003E1AA3">
      <w:pPr>
        <w:pStyle w:val="a7"/>
        <w:rPr>
          <w:rtl/>
        </w:rPr>
      </w:pPr>
      <w:bookmarkStart w:id="5783" w:name="_Toc145233981"/>
      <w:r>
        <w:rPr>
          <w:rFonts w:hint="cs"/>
          <w:rtl/>
        </w:rPr>
        <w:t>בי' הפרמ"ג בר"ן עפ"י הלבוש דההיתר בכלי קטן רק במוסתקי ולא בכלי שלם</w:t>
      </w:r>
      <w:bookmarkEnd w:id="5783"/>
    </w:p>
    <w:p w14:paraId="3A23C293" w14:textId="422F8A39" w:rsidR="003E1AA3" w:rsidRPr="006704AD" w:rsidRDefault="003E1AA3" w:rsidP="00BC7DC8">
      <w:pPr>
        <w:pStyle w:val="a3"/>
        <w:rPr>
          <w:rtl/>
        </w:rPr>
      </w:pPr>
      <w:bookmarkStart w:id="5784" w:name="_Ref144723791"/>
      <w:r>
        <w:rPr>
          <w:rFonts w:hint="cs"/>
          <w:rtl/>
        </w:rPr>
        <w:t>והביא</w:t>
      </w:r>
      <w:r>
        <w:rPr>
          <w:rtl/>
        </w:rPr>
        <w:t xml:space="preserve"> </w:t>
      </w:r>
      <w:r w:rsidRPr="006704AD">
        <w:rPr>
          <w:b/>
          <w:bCs/>
          <w:rtl/>
        </w:rPr>
        <w:t>ה</w:t>
      </w:r>
      <w:r w:rsidRPr="006704AD">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Ref144723791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עז)</w:t>
      </w:r>
      <w:r>
        <w:rPr>
          <w:b/>
          <w:bCs/>
          <w:vanish/>
          <w:rtl/>
        </w:rPr>
        <w:fldChar w:fldCharType="end"/>
      </w:r>
      <w:r w:rsidRPr="006704AD">
        <w:rPr>
          <w:b/>
          <w:bCs/>
          <w:vanish/>
          <w:rtl/>
        </w:rPr>
        <w:t xml:space="preserve"> &gt;</w:t>
      </w:r>
      <w:r>
        <w:rPr>
          <w:rFonts w:hint="cs"/>
          <w:b/>
          <w:bCs/>
          <w:rtl/>
        </w:rPr>
        <w:t>פרמ"ג</w:t>
      </w:r>
      <w:r w:rsidRPr="006704AD">
        <w:rPr>
          <w:b/>
          <w:bCs/>
          <w:rtl/>
        </w:rPr>
        <w:t xml:space="preserve"> </w:t>
      </w:r>
      <w:r w:rsidRPr="006704AD">
        <w:rPr>
          <w:rFonts w:ascii="Calibri" w:eastAsia="Times New Roman" w:hAnsi="Calibri" w:cs="Guttman Rashi"/>
          <w:sz w:val="10"/>
          <w:szCs w:val="12"/>
          <w:rtl/>
        </w:rPr>
        <w:t>(</w:t>
      </w:r>
      <w:r>
        <w:rPr>
          <w:rFonts w:ascii="Calibri" w:eastAsia="Times New Roman" w:hAnsi="Calibri" w:cs="Guttman Rashi" w:hint="cs"/>
          <w:sz w:val="10"/>
          <w:szCs w:val="12"/>
          <w:rtl/>
        </w:rPr>
        <w:t>סי' שי"ד משב"ז סק"א ד"ה והנה בלבוש</w:t>
      </w:r>
      <w:r w:rsidRPr="006704AD">
        <w:rPr>
          <w:rFonts w:ascii="Calibri" w:eastAsia="Times New Roman" w:hAnsi="Calibri" w:cs="Guttman Rashi"/>
          <w:sz w:val="10"/>
          <w:szCs w:val="12"/>
          <w:rtl/>
        </w:rPr>
        <w:t>)</w:t>
      </w:r>
      <w:r w:rsidRPr="006704AD">
        <w:rPr>
          <w:vanish/>
          <w:rtl/>
        </w:rPr>
        <w:t>=</w:t>
      </w:r>
      <w:r>
        <w:rPr>
          <w:rtl/>
        </w:rPr>
        <w:t xml:space="preserve"> </w:t>
      </w:r>
      <w:r>
        <w:rPr>
          <w:rFonts w:hint="cs"/>
          <w:rtl/>
        </w:rPr>
        <w:t xml:space="preserve">את דברי </w:t>
      </w:r>
      <w:r>
        <w:rPr>
          <w:rFonts w:hint="cs"/>
          <w:b/>
          <w:bCs/>
          <w:rtl/>
        </w:rPr>
        <w:t>ה</w:t>
      </w:r>
      <w:r w:rsidRPr="00066B86">
        <w:rPr>
          <w:rFonts w:hint="cs"/>
          <w:b/>
          <w:bCs/>
          <w:rtl/>
        </w:rPr>
        <w:t>לבוש</w:t>
      </w:r>
      <w:r w:rsidRPr="00066B86">
        <w:rPr>
          <w:b/>
          <w:bCs/>
          <w:rtl/>
        </w:rPr>
        <w:t xml:space="preserve"> </w:t>
      </w:r>
      <w:r>
        <w:rPr>
          <w:rFonts w:ascii="Calibri" w:eastAsia="Times New Roman" w:hAnsi="Calibri" w:cs="Guttman Rashi" w:hint="cs"/>
          <w:sz w:val="10"/>
          <w:szCs w:val="12"/>
          <w:rtl/>
        </w:rPr>
        <w:t xml:space="preserve">(עי' </w:t>
      </w:r>
      <w:r w:rsidRPr="00C93700">
        <w:rPr>
          <w:rStyle w:val="af2"/>
          <w:rFonts w:eastAsia="Guttman Hodes" w:hint="cs"/>
          <w:rtl/>
        </w:rPr>
        <w:t xml:space="preserve">אות </w:t>
      </w:r>
      <w:r w:rsidRPr="00C93700">
        <w:rPr>
          <w:rStyle w:val="af2"/>
          <w:rFonts w:eastAsia="Guttman Hodes"/>
          <w:rtl/>
        </w:rPr>
        <w:t>סט)</w:t>
      </w:r>
      <w:r>
        <w:rPr>
          <w:rFonts w:ascii="Calibri" w:eastAsia="Times New Roman" w:hAnsi="Calibri" w:cs="Guttman Rashi" w:hint="cs"/>
          <w:sz w:val="10"/>
          <w:szCs w:val="12"/>
          <w:rtl/>
        </w:rPr>
        <w:t xml:space="preserve"> </w:t>
      </w:r>
      <w:r>
        <w:rPr>
          <w:rFonts w:hint="cs"/>
          <w:rtl/>
        </w:rPr>
        <w:t xml:space="preserve">דכתב דבכלי קטן לא שייך לשון בונה וסותר אלא תיקון ועשיית כלי ושבירתו, ובמוסתקי לא חשיב שובר כלי, </w:t>
      </w:r>
      <w:r w:rsidRPr="006A6C9F">
        <w:rPr>
          <w:rStyle w:val="af"/>
          <w:rFonts w:hint="cs"/>
          <w:rtl/>
        </w:rPr>
        <w:t>[והיינו דכל ההיתר בשובר כלי קטן הוא רק במוסתקי],</w:t>
      </w:r>
      <w:r>
        <w:rPr>
          <w:rFonts w:hint="cs"/>
          <w:rtl/>
        </w:rPr>
        <w:t xml:space="preserve"> וכתב</w:t>
      </w:r>
      <w:r>
        <w:rPr>
          <w:rtl/>
        </w:rPr>
        <w:t xml:space="preserve"> </w:t>
      </w:r>
      <w:r>
        <w:rPr>
          <w:rFonts w:hint="cs"/>
          <w:b/>
          <w:bCs/>
          <w:rtl/>
        </w:rPr>
        <w:t>הפרמ"ג</w:t>
      </w:r>
      <w:r>
        <w:rPr>
          <w:rtl/>
        </w:rPr>
        <w:t xml:space="preserve"> </w:t>
      </w:r>
      <w:r>
        <w:rPr>
          <w:rFonts w:hint="cs"/>
          <w:rtl/>
        </w:rPr>
        <w:t>דאפש"ל דזו כוונת</w:t>
      </w:r>
      <w:r>
        <w:rPr>
          <w:rtl/>
        </w:rPr>
        <w:t xml:space="preserve"> </w:t>
      </w:r>
      <w:r>
        <w:rPr>
          <w:rFonts w:hint="cs"/>
          <w:b/>
          <w:bCs/>
          <w:rtl/>
        </w:rPr>
        <w:t>הר"ן</w:t>
      </w:r>
      <w:r>
        <w:rPr>
          <w:rtl/>
        </w:rPr>
        <w:t xml:space="preserve"> </w:t>
      </w:r>
      <w:r>
        <w:rPr>
          <w:rFonts w:hint="cs"/>
          <w:rtl/>
        </w:rPr>
        <w:t>דההיתר דמוסתקי הוא בכלי קטן, וכתב</w:t>
      </w:r>
      <w:r w:rsidRPr="00FE034C">
        <w:rPr>
          <w:rFonts w:hint="cs"/>
          <w:b/>
          <w:bCs/>
          <w:rtl/>
        </w:rPr>
        <w:t xml:space="preserve"> </w:t>
      </w:r>
      <w:r>
        <w:rPr>
          <w:rFonts w:hint="cs"/>
          <w:b/>
          <w:bCs/>
          <w:rtl/>
        </w:rPr>
        <w:t>הפרמ"ג</w:t>
      </w:r>
      <w:r>
        <w:rPr>
          <w:rFonts w:hint="cs"/>
          <w:rtl/>
        </w:rPr>
        <w:t xml:space="preserve"> דצ"ל כן אעפ"י דלענין כלי קטן לא כתב </w:t>
      </w:r>
      <w:r w:rsidRPr="00FE034C">
        <w:rPr>
          <w:rStyle w:val="aff4"/>
          <w:rFonts w:hint="cs"/>
          <w:rtl/>
        </w:rPr>
        <w:t>הר"ן</w:t>
      </w:r>
      <w:r>
        <w:rPr>
          <w:rtl/>
        </w:rPr>
        <w:t xml:space="preserve"> </w:t>
      </w:r>
      <w:r>
        <w:rPr>
          <w:rFonts w:hint="cs"/>
          <w:rtl/>
        </w:rPr>
        <w:t>את ההיתר דמוסתקי, ובזה תירץ</w:t>
      </w:r>
      <w:r>
        <w:rPr>
          <w:rtl/>
        </w:rPr>
        <w:t xml:space="preserve"> </w:t>
      </w:r>
      <w:r>
        <w:rPr>
          <w:rFonts w:hint="cs"/>
          <w:b/>
          <w:bCs/>
          <w:rtl/>
        </w:rPr>
        <w:t>הפרמ"ג</w:t>
      </w:r>
      <w:r>
        <w:rPr>
          <w:rtl/>
        </w:rPr>
        <w:t xml:space="preserve"> </w:t>
      </w:r>
      <w:r>
        <w:rPr>
          <w:rFonts w:hint="cs"/>
          <w:rtl/>
        </w:rPr>
        <w:t>את קושית</w:t>
      </w:r>
      <w:r>
        <w:rPr>
          <w:rtl/>
        </w:rPr>
        <w:t xml:space="preserve"> </w:t>
      </w:r>
      <w:r>
        <w:rPr>
          <w:rFonts w:hint="cs"/>
          <w:b/>
          <w:bCs/>
          <w:rtl/>
        </w:rPr>
        <w:t>הב"י</w:t>
      </w:r>
      <w:r>
        <w:rPr>
          <w:rtl/>
        </w:rPr>
        <w:t xml:space="preserve"> </w:t>
      </w:r>
      <w:r w:rsidRPr="00CA18CB">
        <w:rPr>
          <w:rFonts w:ascii="Calibri" w:eastAsia="Times New Roman" w:hAnsi="Calibri" w:cs="Guttman Rashi"/>
          <w:sz w:val="10"/>
          <w:szCs w:val="12"/>
          <w:rtl/>
        </w:rPr>
        <w:t xml:space="preserve">(עי' אות </w:t>
      </w:r>
      <w:r>
        <w:rPr>
          <w:rFonts w:ascii="Calibri" w:eastAsia="Times New Roman" w:hAnsi="Calibri" w:cs="Guttman Rashi"/>
          <w:sz w:val="10"/>
          <w:szCs w:val="12"/>
          <w:rtl/>
        </w:rPr>
        <w:fldChar w:fldCharType="begin"/>
      </w:r>
      <w:r>
        <w:rPr>
          <w:rFonts w:ascii="Calibri" w:eastAsia="Times New Roman" w:hAnsi="Calibri" w:cs="Guttman Rashi"/>
          <w:sz w:val="10"/>
          <w:szCs w:val="12"/>
          <w:rtl/>
        </w:rPr>
        <w:instrText xml:space="preserve"> </w:instrText>
      </w:r>
      <w:r>
        <w:rPr>
          <w:rFonts w:ascii="Calibri" w:eastAsia="Times New Roman" w:hAnsi="Calibri" w:cs="Guttman Rashi"/>
          <w:sz w:val="10"/>
          <w:szCs w:val="12"/>
        </w:rPr>
        <w:instrText>REF</w:instrText>
      </w:r>
      <w:r>
        <w:rPr>
          <w:rFonts w:ascii="Calibri" w:eastAsia="Times New Roman" w:hAnsi="Calibri" w:cs="Guttman Rashi"/>
          <w:sz w:val="10"/>
          <w:szCs w:val="12"/>
          <w:rtl/>
        </w:rPr>
        <w:instrText xml:space="preserve"> _</w:instrText>
      </w:r>
      <w:r>
        <w:rPr>
          <w:rFonts w:ascii="Calibri" w:eastAsia="Times New Roman" w:hAnsi="Calibri" w:cs="Guttman Rashi"/>
          <w:sz w:val="10"/>
          <w:szCs w:val="12"/>
        </w:rPr>
        <w:instrText>Ref145235599 \r \h</w:instrText>
      </w:r>
      <w:r>
        <w:rPr>
          <w:rFonts w:ascii="Calibri" w:eastAsia="Times New Roman" w:hAnsi="Calibri" w:cs="Guttman Rashi"/>
          <w:sz w:val="10"/>
          <w:szCs w:val="12"/>
          <w:rtl/>
        </w:rPr>
        <w:instrText xml:space="preserve"> </w:instrText>
      </w:r>
      <w:r>
        <w:rPr>
          <w:rFonts w:ascii="Calibri" w:eastAsia="Times New Roman" w:hAnsi="Calibri" w:cs="Guttman Rashi"/>
          <w:sz w:val="10"/>
          <w:szCs w:val="12"/>
          <w:rtl/>
        </w:rPr>
      </w:r>
      <w:r>
        <w:rPr>
          <w:rFonts w:ascii="Calibri" w:eastAsia="Times New Roman" w:hAnsi="Calibri" w:cs="Guttman Rashi"/>
          <w:sz w:val="10"/>
          <w:szCs w:val="12"/>
          <w:rtl/>
        </w:rPr>
        <w:fldChar w:fldCharType="separate"/>
      </w:r>
      <w:r w:rsidR="00D82181">
        <w:rPr>
          <w:rFonts w:ascii="Calibri" w:eastAsia="Times New Roman" w:hAnsi="Calibri" w:cs="Guttman Rashi"/>
          <w:sz w:val="10"/>
          <w:szCs w:val="12"/>
          <w:cs/>
        </w:rPr>
        <w:t>‎</w:t>
      </w:r>
      <w:r w:rsidR="00D82181">
        <w:rPr>
          <w:rFonts w:ascii="Calibri" w:eastAsia="Times New Roman" w:hAnsi="Calibri" w:cs="Guttman Rashi"/>
          <w:sz w:val="10"/>
          <w:szCs w:val="12"/>
          <w:rtl/>
        </w:rPr>
        <w:t>סח)</w:t>
      </w:r>
      <w:r>
        <w:rPr>
          <w:rFonts w:ascii="Calibri" w:eastAsia="Times New Roman" w:hAnsi="Calibri" w:cs="Guttman Rashi"/>
          <w:sz w:val="10"/>
          <w:szCs w:val="12"/>
          <w:rtl/>
        </w:rPr>
        <w:fldChar w:fldCharType="end"/>
      </w:r>
      <w:r>
        <w:rPr>
          <w:rtl/>
        </w:rPr>
        <w:t xml:space="preserve"> </w:t>
      </w:r>
      <w:r>
        <w:rPr>
          <w:rFonts w:hint="cs"/>
          <w:rtl/>
        </w:rPr>
        <w:t>בדברי</w:t>
      </w:r>
      <w:r>
        <w:rPr>
          <w:rtl/>
        </w:rPr>
        <w:t xml:space="preserve"> </w:t>
      </w:r>
      <w:r>
        <w:rPr>
          <w:rFonts w:hint="cs"/>
          <w:b/>
          <w:bCs/>
          <w:rtl/>
        </w:rPr>
        <w:t>הר"ן</w:t>
      </w:r>
      <w:r>
        <w:rPr>
          <w:rFonts w:hint="cs"/>
          <w:rtl/>
        </w:rPr>
        <w:t>,</w:t>
      </w:r>
      <w:r>
        <w:rPr>
          <w:rtl/>
        </w:rPr>
        <w:t xml:space="preserve"> </w:t>
      </w:r>
      <w:r>
        <w:rPr>
          <w:rFonts w:hint="cs"/>
          <w:rtl/>
        </w:rPr>
        <w:t xml:space="preserve">דמ"ש </w:t>
      </w:r>
      <w:r w:rsidRPr="00FE034C">
        <w:rPr>
          <w:rStyle w:val="aff4"/>
          <w:rFonts w:hint="cs"/>
          <w:rtl/>
        </w:rPr>
        <w:t>הר"ן</w:t>
      </w:r>
      <w:r>
        <w:rPr>
          <w:rtl/>
        </w:rPr>
        <w:t xml:space="preserve"> </w:t>
      </w:r>
      <w:r>
        <w:rPr>
          <w:rFonts w:hint="cs"/>
          <w:rtl/>
        </w:rPr>
        <w:t xml:space="preserve">דבכלי </w:t>
      </w:r>
      <w:r>
        <w:rPr>
          <w:rFonts w:hint="cs"/>
          <w:rtl/>
        </w:rPr>
        <w:lastRenderedPageBreak/>
        <w:t>קטן מותר היינו דוקא במוסתקי, והניח</w:t>
      </w:r>
      <w:r>
        <w:rPr>
          <w:rtl/>
        </w:rPr>
        <w:t xml:space="preserve"> </w:t>
      </w:r>
      <w:r>
        <w:rPr>
          <w:rFonts w:hint="cs"/>
          <w:b/>
          <w:bCs/>
          <w:rtl/>
        </w:rPr>
        <w:t>הפרמ"ג</w:t>
      </w:r>
      <w:r>
        <w:rPr>
          <w:rtl/>
        </w:rPr>
        <w:t xml:space="preserve"> </w:t>
      </w:r>
      <w:r>
        <w:rPr>
          <w:rFonts w:hint="cs"/>
          <w:rtl/>
        </w:rPr>
        <w:t>בצ"ע, ועיי"ש במ"ש</w:t>
      </w:r>
      <w:r>
        <w:rPr>
          <w:rtl/>
        </w:rPr>
        <w:t xml:space="preserve"> </w:t>
      </w:r>
      <w:r>
        <w:rPr>
          <w:rFonts w:hint="cs"/>
          <w:b/>
          <w:bCs/>
          <w:rtl/>
        </w:rPr>
        <w:t>הפרמ"ג</w:t>
      </w:r>
      <w:r>
        <w:rPr>
          <w:rtl/>
        </w:rPr>
        <w:t xml:space="preserve"> </w:t>
      </w:r>
      <w:r>
        <w:rPr>
          <w:rFonts w:hint="cs"/>
          <w:rtl/>
        </w:rPr>
        <w:t>דכן משמע מדברי</w:t>
      </w:r>
      <w:r>
        <w:rPr>
          <w:rtl/>
        </w:rPr>
        <w:t xml:space="preserve"> </w:t>
      </w:r>
      <w:r>
        <w:rPr>
          <w:rFonts w:hint="cs"/>
          <w:b/>
          <w:bCs/>
          <w:rtl/>
        </w:rPr>
        <w:t>הרמ"א</w:t>
      </w:r>
      <w:r>
        <w:rPr>
          <w:b/>
          <w:bCs/>
          <w:rtl/>
        </w:rPr>
        <w:t xml:space="preserve"> </w:t>
      </w:r>
      <w:r w:rsidRPr="00B573B0">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סי' שי"ד א'</w:t>
      </w:r>
      <w:r w:rsidRPr="00B573B0">
        <w:rPr>
          <w:rFonts w:ascii="Calibri" w:eastAsia="Times New Roman" w:hAnsi="Calibri" w:cs="Guttman Rashi"/>
          <w:noProof w:val="0"/>
          <w:sz w:val="10"/>
          <w:szCs w:val="12"/>
          <w:rtl/>
        </w:rPr>
        <w:t>)</w:t>
      </w:r>
      <w:r>
        <w:rPr>
          <w:rFonts w:hint="cs"/>
          <w:rtl/>
        </w:rPr>
        <w:t>.</w:t>
      </w:r>
      <w:bookmarkEnd w:id="5784"/>
    </w:p>
    <w:p w14:paraId="08EC63F0" w14:textId="77777777" w:rsidR="003E1AA3" w:rsidRPr="00BC7DC8" w:rsidRDefault="003E1AA3" w:rsidP="003E1AA3">
      <w:pPr>
        <w:pStyle w:val="afffffe"/>
        <w:rPr>
          <w:vanish/>
          <w:rtl/>
        </w:rPr>
      </w:pPr>
      <w:r w:rsidRPr="00BC7DC8">
        <w:rPr>
          <w:vanish/>
          <w:rtl/>
        </w:rPr>
        <w:t xml:space="preserve">פרי מגדים </w:t>
      </w:r>
      <w:r w:rsidRPr="00BC7DC8">
        <w:rPr>
          <w:rFonts w:hint="cs"/>
          <w:vanish/>
          <w:rtl/>
        </w:rPr>
        <w:t>או"ח</w:t>
      </w:r>
      <w:r w:rsidRPr="00BC7DC8">
        <w:rPr>
          <w:vanish/>
          <w:rtl/>
        </w:rPr>
        <w:t xml:space="preserve"> משבצות זהב סי</w:t>
      </w:r>
      <w:r w:rsidRPr="00BC7DC8">
        <w:rPr>
          <w:rFonts w:hint="cs"/>
          <w:vanish/>
          <w:rtl/>
        </w:rPr>
        <w:t>'</w:t>
      </w:r>
      <w:r w:rsidRPr="00BC7DC8">
        <w:rPr>
          <w:vanish/>
          <w:rtl/>
        </w:rPr>
        <w:t xml:space="preserve"> שי</w:t>
      </w:r>
      <w:r w:rsidRPr="00BC7DC8">
        <w:rPr>
          <w:rFonts w:hint="cs"/>
          <w:vanish/>
          <w:rtl/>
        </w:rPr>
        <w:t>"</w:t>
      </w:r>
      <w:r w:rsidRPr="00BC7DC8">
        <w:rPr>
          <w:vanish/>
          <w:rtl/>
        </w:rPr>
        <w:t>ד סק"</w:t>
      </w:r>
      <w:r w:rsidRPr="00BC7DC8">
        <w:rPr>
          <w:rFonts w:hint="cs"/>
          <w:vanish/>
          <w:rtl/>
        </w:rPr>
        <w:t>א</w:t>
      </w:r>
      <w:r w:rsidRPr="00BC7DC8">
        <w:rPr>
          <w:vanish/>
          <w:rtl/>
        </w:rPr>
        <w:t xml:space="preserve"> </w:t>
      </w:r>
      <w:r w:rsidRPr="00BC7DC8">
        <w:rPr>
          <w:rFonts w:hint="cs"/>
          <w:vanish/>
          <w:rtl/>
        </w:rPr>
        <w:t>ד"ה</w:t>
      </w:r>
      <w:r w:rsidRPr="00BC7DC8">
        <w:rPr>
          <w:vanish/>
          <w:rtl/>
        </w:rPr>
        <w:t xml:space="preserve"> והנה בלבוש</w:t>
      </w:r>
    </w:p>
    <w:p w14:paraId="6FC29C31" w14:textId="77777777" w:rsidR="003E1AA3" w:rsidRPr="0018388A" w:rsidRDefault="003E1AA3" w:rsidP="003E1AA3">
      <w:pPr>
        <w:pStyle w:val="a2"/>
        <w:tabs>
          <w:tab w:val="num" w:pos="284"/>
        </w:tabs>
      </w:pPr>
      <w:r w:rsidRPr="0018388A">
        <w:rPr>
          <w:rtl/>
        </w:rPr>
        <w:t>והנה בלבוש [סעיף א] אסברה לן דבכלי קטן לא שייך בנין וסתירה, כי אם קורא לה שם תיקון ועשיית כלי או שבירתה. הלכך בחביות שאין מחזיק ארבעים סאה, אם שלימה ושובר אותה הרי שבירת כלי ותולדה דבונה וסותר, אבל דיבק בזפת אין זה שבירת כלי, ואם מחברה בזפת אין זה עשיית כלי, ואין צורך אומנות לזה, ומשום הכי שרי לצורך שבת. אבל חבית גדולה מחזיק ארבעים סאה שייך ביה בנין, דהוה אהל, ואף אין צריך אומנות מחייב משום בונה וסותר. ואפשר זה יהיה דברי הר"ן ז"ל, עם שלא הזכיר מוסתקי בקטן. ועיין ב"י [עמוד שנא ד"ה והר"ן] מה שכתב בשם הר"ן ז"ל (בשופינא) [בקופינא] דמרא, מה שכתב הר"ן ז"ל ריש הונה [שם לז, א ד"ה ומקשו] וכל הכלים [שם מז, א ד"ה ת"ר], אם כן בקטן נמי בהכרח במוסתקי, וצ"ע.</w:t>
      </w:r>
    </w:p>
    <w:p w14:paraId="17EEF1E0" w14:textId="77777777" w:rsidR="003E1AA3" w:rsidRDefault="003E1AA3" w:rsidP="003E1AA3">
      <w:pPr>
        <w:pStyle w:val="1"/>
        <w:rPr>
          <w:rtl/>
        </w:rPr>
      </w:pPr>
      <w:bookmarkStart w:id="5785" w:name="_Toc145233982"/>
      <w:r>
        <w:rPr>
          <w:rFonts w:hint="cs"/>
          <w:rtl/>
        </w:rPr>
        <w:t>יסוד האגרו"מ בחילוק בין בנין לסתירה בכלים דתלוי בשם כלי</w:t>
      </w:r>
      <w:bookmarkEnd w:id="5785"/>
    </w:p>
    <w:p w14:paraId="44C1CB68" w14:textId="77777777" w:rsidR="003E1AA3" w:rsidRDefault="003E1AA3" w:rsidP="003E1AA3">
      <w:pPr>
        <w:pStyle w:val="a7"/>
        <w:rPr>
          <w:rtl/>
        </w:rPr>
      </w:pPr>
      <w:bookmarkStart w:id="5786" w:name="_Toc145233983"/>
      <w:r>
        <w:rPr>
          <w:rFonts w:hint="cs"/>
          <w:rtl/>
        </w:rPr>
        <w:t>בי' האגרו"מ בב"י בד' הר"ן דבדבר שיש לו שם כלי אין חיוב בונה ורק עושה כלי מתחילה בונה</w:t>
      </w:r>
      <w:bookmarkEnd w:id="5786"/>
    </w:p>
    <w:p w14:paraId="59A534FD" w14:textId="505C990A" w:rsidR="003E1AA3" w:rsidRPr="00F42AA1" w:rsidRDefault="003E1AA3" w:rsidP="00BC7DC8">
      <w:pPr>
        <w:pStyle w:val="a3"/>
        <w:rPr>
          <w:rtl/>
        </w:rPr>
      </w:pPr>
      <w:bookmarkStart w:id="5787" w:name="_Ref144826841"/>
      <w:r>
        <w:rPr>
          <w:rFonts w:hint="cs"/>
          <w:rtl/>
        </w:rPr>
        <w:t>ו</w:t>
      </w:r>
      <w:r w:rsidRPr="00F42AA1">
        <w:rPr>
          <w:rFonts w:hint="cs"/>
          <w:b/>
          <w:bCs/>
          <w:rtl/>
        </w:rPr>
        <w:t>ה</w:t>
      </w:r>
      <w:r>
        <w:rPr>
          <w:rFonts w:hint="cs"/>
          <w:b/>
          <w:bCs/>
          <w:vanish/>
          <w:rtl/>
        </w:rPr>
        <w:t xml:space="preserve">&lt;, </w:t>
      </w:r>
      <w:r>
        <w:rPr>
          <w:b/>
          <w:bCs/>
          <w:vanish/>
          <w:rtl/>
        </w:rPr>
        <w:fldChar w:fldCharType="begin"/>
      </w:r>
      <w:r>
        <w:rPr>
          <w:b/>
          <w:bCs/>
          <w:vanish/>
          <w:rtl/>
        </w:rPr>
        <w:instrText xml:space="preserve"> </w:instrText>
      </w:r>
      <w:r>
        <w:rPr>
          <w:rFonts w:hint="cs"/>
          <w:b/>
          <w:bCs/>
          <w:vanish/>
        </w:rPr>
        <w:instrText>REF</w:instrText>
      </w:r>
      <w:r>
        <w:rPr>
          <w:rFonts w:hint="cs"/>
          <w:b/>
          <w:bCs/>
          <w:vanish/>
          <w:rtl/>
        </w:rPr>
        <w:instrText xml:space="preserve"> _</w:instrText>
      </w:r>
      <w:r>
        <w:rPr>
          <w:rFonts w:hint="cs"/>
          <w:b/>
          <w:bCs/>
          <w:vanish/>
        </w:rPr>
        <w:instrText>Ref144826841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עח)</w:t>
      </w:r>
      <w:r>
        <w:rPr>
          <w:b/>
          <w:bCs/>
          <w:vanish/>
          <w:rtl/>
        </w:rPr>
        <w:fldChar w:fldCharType="end"/>
      </w:r>
      <w:r>
        <w:rPr>
          <w:rFonts w:hint="cs"/>
          <w:b/>
          <w:bCs/>
          <w:vanish/>
          <w:rtl/>
        </w:rPr>
        <w:t xml:space="preserve"> &gt;</w:t>
      </w:r>
      <w:r w:rsidRPr="00F42AA1">
        <w:rPr>
          <w:rFonts w:hint="cs"/>
          <w:b/>
          <w:bCs/>
          <w:rtl/>
        </w:rPr>
        <w:t>אגרות משה</w:t>
      </w:r>
      <w:r w:rsidRPr="00F42AA1">
        <w:rPr>
          <w:b/>
          <w:bCs/>
          <w:rtl/>
        </w:rPr>
        <w:t xml:space="preserve"> </w:t>
      </w:r>
      <w:r w:rsidRPr="00F42AA1">
        <w:rPr>
          <w:rStyle w:val="af2"/>
          <w:rFonts w:eastAsia="Guttman Hodes"/>
          <w:rtl/>
        </w:rPr>
        <w:t>(</w:t>
      </w:r>
      <w:r w:rsidRPr="00F42AA1">
        <w:rPr>
          <w:rStyle w:val="af2"/>
          <w:rFonts w:eastAsia="Guttman Hodes" w:hint="cs"/>
          <w:rtl/>
        </w:rPr>
        <w:t xml:space="preserve">או"ח ח"א סי' קכ"ב ענף ה' ד"ה </w:t>
      </w:r>
      <w:r w:rsidRPr="00F42AA1">
        <w:rPr>
          <w:rStyle w:val="af2"/>
          <w:rFonts w:eastAsia="Guttman Hodes"/>
          <w:rtl/>
        </w:rPr>
        <w:t>והנכון לע"ד)</w:t>
      </w:r>
      <w:r w:rsidRPr="003A2FC3">
        <w:rPr>
          <w:vanish/>
          <w:rtl/>
        </w:rPr>
        <w:t>=</w:t>
      </w:r>
      <w:r w:rsidRPr="00F42AA1">
        <w:rPr>
          <w:rStyle w:val="af2"/>
          <w:rFonts w:eastAsia="Guttman Hodes" w:hint="cs"/>
          <w:rtl/>
        </w:rPr>
        <w:t xml:space="preserve"> </w:t>
      </w:r>
      <w:r>
        <w:rPr>
          <w:rFonts w:hint="cs"/>
          <w:rtl/>
        </w:rPr>
        <w:t>ביאר את תירוץ</w:t>
      </w:r>
      <w:r w:rsidRPr="00F42AA1">
        <w:rPr>
          <w:rtl/>
        </w:rPr>
        <w:t xml:space="preserve"> </w:t>
      </w:r>
      <w:r w:rsidRPr="00F42AA1">
        <w:rPr>
          <w:rFonts w:hint="cs"/>
          <w:b/>
          <w:bCs/>
          <w:rtl/>
        </w:rPr>
        <w:t>הב"י</w:t>
      </w:r>
      <w:r w:rsidRPr="00F42AA1">
        <w:rPr>
          <w:rFonts w:hint="cs"/>
          <w:rtl/>
        </w:rPr>
        <w:t xml:space="preserve"> </w:t>
      </w:r>
      <w:r w:rsidRPr="00F42AA1">
        <w:rPr>
          <w:rStyle w:val="af2"/>
          <w:rFonts w:eastAsia="Guttman Hode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rPr>
        <w:instrText>REF</w:instrText>
      </w:r>
      <w:r>
        <w:rPr>
          <w:rStyle w:val="af2"/>
          <w:rFonts w:eastAsia="Guttman Hodes"/>
          <w:rtl/>
        </w:rPr>
        <w:instrText xml:space="preserve"> _</w:instrText>
      </w:r>
      <w:r>
        <w:rPr>
          <w:rStyle w:val="af2"/>
          <w:rFonts w:eastAsia="Guttman Hodes"/>
        </w:rPr>
        <w:instrText>Ref145235599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סח)</w:t>
      </w:r>
      <w:r>
        <w:rPr>
          <w:rStyle w:val="af2"/>
          <w:rFonts w:eastAsia="Guttman Hodes"/>
          <w:rtl/>
        </w:rPr>
        <w:fldChar w:fldCharType="end"/>
      </w:r>
      <w:r w:rsidRPr="00F42AA1">
        <w:rPr>
          <w:rtl/>
        </w:rPr>
        <w:t xml:space="preserve"> </w:t>
      </w:r>
      <w:r w:rsidRPr="00F42AA1">
        <w:rPr>
          <w:rFonts w:hint="cs"/>
          <w:rtl/>
        </w:rPr>
        <w:t>בדעת</w:t>
      </w:r>
      <w:r w:rsidRPr="00F42AA1">
        <w:rPr>
          <w:rtl/>
        </w:rPr>
        <w:t xml:space="preserve"> </w:t>
      </w:r>
      <w:r w:rsidRPr="00F42AA1">
        <w:rPr>
          <w:rFonts w:hint="cs"/>
          <w:b/>
          <w:bCs/>
          <w:rtl/>
        </w:rPr>
        <w:t>הר"ן</w:t>
      </w:r>
      <w:r w:rsidRPr="00F42AA1">
        <w:rPr>
          <w:rtl/>
        </w:rPr>
        <w:t xml:space="preserve"> </w:t>
      </w:r>
      <w:r w:rsidRPr="00F42AA1">
        <w:rPr>
          <w:rStyle w:val="af2"/>
          <w:rFonts w:eastAsia="Guttman Hode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rPr>
        <w:instrText>REF</w:instrText>
      </w:r>
      <w:r>
        <w:rPr>
          <w:rStyle w:val="af2"/>
          <w:rFonts w:eastAsia="Guttman Hodes"/>
          <w:rtl/>
        </w:rPr>
        <w:instrText xml:space="preserve"> _</w:instrText>
      </w:r>
      <w:r>
        <w:rPr>
          <w:rStyle w:val="af2"/>
          <w:rFonts w:eastAsia="Guttman Hodes"/>
        </w:rPr>
        <w:instrText>Ref145061049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נד)</w:t>
      </w:r>
      <w:r>
        <w:rPr>
          <w:rStyle w:val="af2"/>
          <w:rFonts w:eastAsia="Guttman Hodes"/>
          <w:rtl/>
        </w:rPr>
        <w:fldChar w:fldCharType="end"/>
      </w:r>
      <w:r w:rsidRPr="00F42AA1">
        <w:rPr>
          <w:rtl/>
        </w:rPr>
        <w:t xml:space="preserve"> </w:t>
      </w:r>
      <w:r w:rsidRPr="00F42AA1">
        <w:rPr>
          <w:rFonts w:hint="cs"/>
          <w:rtl/>
        </w:rPr>
        <w:t>דאי</w:t>
      </w:r>
      <w:r>
        <w:rPr>
          <w:rFonts w:hint="cs"/>
          <w:rtl/>
        </w:rPr>
        <w:t>ן כוונתו ל</w:t>
      </w:r>
      <w:r w:rsidRPr="00F42AA1">
        <w:rPr>
          <w:rFonts w:hint="cs"/>
          <w:rtl/>
        </w:rPr>
        <w:t xml:space="preserve">חלק בין </w:t>
      </w:r>
      <w:r>
        <w:rPr>
          <w:rFonts w:hint="cs"/>
          <w:rtl/>
        </w:rPr>
        <w:t>בנין גמור בכלי לבין סתירה גרועה, אלא דס"ל</w:t>
      </w:r>
      <w:r>
        <w:rPr>
          <w:rtl/>
        </w:rPr>
        <w:t xml:space="preserve"> </w:t>
      </w:r>
      <w:r>
        <w:rPr>
          <w:rFonts w:hint="cs"/>
          <w:b/>
          <w:bCs/>
          <w:rtl/>
        </w:rPr>
        <w:t>להר"ן</w:t>
      </w:r>
      <w:r>
        <w:rPr>
          <w:rtl/>
        </w:rPr>
        <w:t xml:space="preserve"> </w:t>
      </w:r>
      <w:r>
        <w:rPr>
          <w:rFonts w:hint="cs"/>
          <w:rtl/>
        </w:rPr>
        <w:t>דדבר שכבר יש לו שם כלי והתפרק וא"צ אומן להחזירו, דבכה"ג אמרינן דאין בנין בכלים, כיון דעדיין שם הכלי עליו, וה"ה בכלי שמוסיף עליו דשם כלי עליו, וא"א לחייבו מדין בונה כיון דכל העשייה שלו היא בכלים ובזה אמרינן דאין בנין בכלים, אבל כשעושה את הכלי מתחילתו, א"כ העשייה שלו אינה בכלי כלל, ולא שייך לומר בזה אין בנין בכלים, דהוא בונה כלי ולכן חייב משם בונה, וכתב</w:t>
      </w:r>
      <w:r>
        <w:rPr>
          <w:rtl/>
        </w:rPr>
        <w:t xml:space="preserve"> </w:t>
      </w:r>
      <w:r>
        <w:rPr>
          <w:rFonts w:hint="cs"/>
          <w:b/>
          <w:bCs/>
          <w:rtl/>
        </w:rPr>
        <w:t>האגרות משה</w:t>
      </w:r>
      <w:r>
        <w:rPr>
          <w:rtl/>
        </w:rPr>
        <w:t xml:space="preserve"> </w:t>
      </w:r>
      <w:r>
        <w:rPr>
          <w:rFonts w:hint="cs"/>
          <w:rtl/>
        </w:rPr>
        <w:t>דביאור זה כמעט מפורש בדברי</w:t>
      </w:r>
      <w:r>
        <w:rPr>
          <w:rtl/>
        </w:rPr>
        <w:t xml:space="preserve"> </w:t>
      </w:r>
      <w:r>
        <w:rPr>
          <w:rFonts w:hint="cs"/>
          <w:b/>
          <w:bCs/>
          <w:rtl/>
        </w:rPr>
        <w:t>הר"ן</w:t>
      </w:r>
      <w:r>
        <w:rPr>
          <w:rtl/>
        </w:rPr>
        <w:t xml:space="preserve"> </w:t>
      </w:r>
      <w:r w:rsidRPr="00375950">
        <w:rPr>
          <w:rFonts w:ascii="Calibri" w:eastAsia="Times New Roman" w:hAnsi="Calibri" w:cs="Guttman Rashi"/>
          <w:noProof w:val="0"/>
          <w:sz w:val="10"/>
          <w:szCs w:val="12"/>
          <w:rtl/>
        </w:rPr>
        <w:t xml:space="preserve">(עי' 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Pr>
        <w:instrText>REF</w:instrText>
      </w:r>
      <w:r>
        <w:rPr>
          <w:rFonts w:ascii="Calibri" w:eastAsia="Times New Roman" w:hAnsi="Calibri" w:cs="Guttman Rashi"/>
          <w:noProof w:val="0"/>
          <w:sz w:val="10"/>
          <w:szCs w:val="12"/>
          <w:rtl/>
        </w:rPr>
        <w:instrText xml:space="preserve"> _</w:instrText>
      </w:r>
      <w:r>
        <w:rPr>
          <w:rFonts w:ascii="Calibri" w:eastAsia="Times New Roman" w:hAnsi="Calibri" w:cs="Guttman Rashi"/>
          <w:noProof w:val="0"/>
          <w:sz w:val="10"/>
          <w:szCs w:val="12"/>
        </w:rPr>
        <w:instrText>Ref145061049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נד)</w:t>
      </w:r>
      <w:r>
        <w:rPr>
          <w:rFonts w:ascii="Calibri" w:eastAsia="Times New Roman" w:hAnsi="Calibri" w:cs="Guttman Rashi"/>
          <w:noProof w:val="0"/>
          <w:sz w:val="10"/>
          <w:szCs w:val="12"/>
          <w:rtl/>
        </w:rPr>
        <w:fldChar w:fldCharType="end"/>
      </w:r>
      <w:r>
        <w:rPr>
          <w:rtl/>
        </w:rPr>
        <w:t xml:space="preserve"> </w:t>
      </w:r>
      <w:r>
        <w:rPr>
          <w:rFonts w:hint="cs"/>
          <w:rtl/>
        </w:rPr>
        <w:t>ויותר משמע כן בדברי</w:t>
      </w:r>
      <w:r>
        <w:rPr>
          <w:rtl/>
        </w:rPr>
        <w:t xml:space="preserve"> </w:t>
      </w:r>
      <w:r>
        <w:rPr>
          <w:rFonts w:hint="cs"/>
          <w:b/>
          <w:bCs/>
          <w:rtl/>
        </w:rPr>
        <w:t>המ"מ</w:t>
      </w:r>
      <w:r>
        <w:rPr>
          <w:rtl/>
        </w:rPr>
        <w:t xml:space="preserve"> </w:t>
      </w:r>
      <w:r w:rsidRPr="00375950">
        <w:rPr>
          <w:rFonts w:ascii="Calibri" w:eastAsia="Times New Roman" w:hAnsi="Calibri" w:cs="Guttman Rashi"/>
          <w:noProof w:val="0"/>
          <w:sz w:val="10"/>
          <w:szCs w:val="12"/>
          <w:rtl/>
        </w:rPr>
        <w:t xml:space="preserve">(עי' </w:t>
      </w:r>
      <w:r w:rsidRPr="00CA003E">
        <w:rPr>
          <w:rFonts w:ascii="Calibri" w:eastAsia="Times New Roman" w:hAnsi="Calibri" w:cs="Guttman Rashi"/>
          <w:noProof w:val="0"/>
          <w:sz w:val="10"/>
          <w:szCs w:val="12"/>
          <w:rtl/>
        </w:rPr>
        <w:t xml:space="preserve">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Pr>
        <w:instrText>REF</w:instrText>
      </w:r>
      <w:r>
        <w:rPr>
          <w:rFonts w:ascii="Calibri" w:eastAsia="Times New Roman" w:hAnsi="Calibri" w:cs="Guttman Rashi"/>
          <w:noProof w:val="0"/>
          <w:sz w:val="10"/>
          <w:szCs w:val="12"/>
          <w:rtl/>
        </w:rPr>
        <w:instrText xml:space="preserve"> _</w:instrText>
      </w:r>
      <w:r>
        <w:rPr>
          <w:rFonts w:ascii="Calibri" w:eastAsia="Times New Roman" w:hAnsi="Calibri" w:cs="Guttman Rashi"/>
          <w:noProof w:val="0"/>
          <w:sz w:val="10"/>
          <w:szCs w:val="12"/>
        </w:rPr>
        <w:instrText>Ref143549459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כה)</w:t>
      </w:r>
      <w:r>
        <w:rPr>
          <w:rFonts w:ascii="Calibri" w:eastAsia="Times New Roman" w:hAnsi="Calibri" w:cs="Guttman Rashi"/>
          <w:noProof w:val="0"/>
          <w:sz w:val="10"/>
          <w:szCs w:val="12"/>
          <w:rtl/>
        </w:rPr>
        <w:fldChar w:fldCharType="end"/>
      </w:r>
      <w:r>
        <w:rPr>
          <w:rtl/>
        </w:rPr>
        <w:t xml:space="preserve"> </w:t>
      </w:r>
      <w:r>
        <w:rPr>
          <w:rFonts w:hint="cs"/>
          <w:rtl/>
        </w:rPr>
        <w:t>דכתב דעושה כלי מתחילתו אין לך בנין גדול מזה, ולא נקרא בנין בכלים, כיון שאינו כלי אלא עושה כלי.</w:t>
      </w:r>
      <w:bookmarkEnd w:id="5787"/>
    </w:p>
    <w:p w14:paraId="31EEB071" w14:textId="77777777" w:rsidR="003E1AA3" w:rsidRPr="00BC7DC8" w:rsidRDefault="003E1AA3" w:rsidP="003E1AA3">
      <w:pPr>
        <w:pStyle w:val="afffffe"/>
        <w:rPr>
          <w:vanish/>
          <w:rtl/>
        </w:rPr>
      </w:pPr>
      <w:r w:rsidRPr="00BC7DC8">
        <w:rPr>
          <w:rFonts w:hint="cs"/>
          <w:vanish/>
          <w:rtl/>
        </w:rPr>
        <w:t xml:space="preserve"> </w:t>
      </w:r>
      <w:r w:rsidRPr="00BC7DC8">
        <w:rPr>
          <w:vanish/>
          <w:rtl/>
        </w:rPr>
        <w:t xml:space="preserve">שו"ת אגרות משה </w:t>
      </w:r>
      <w:r w:rsidRPr="00BC7DC8">
        <w:rPr>
          <w:rFonts w:hint="cs"/>
          <w:vanish/>
          <w:rtl/>
        </w:rPr>
        <w:t>או"ח ח"א סי'</w:t>
      </w:r>
      <w:r w:rsidRPr="00BC7DC8">
        <w:rPr>
          <w:vanish/>
          <w:rtl/>
        </w:rPr>
        <w:t xml:space="preserve"> קכ</w:t>
      </w:r>
      <w:r w:rsidRPr="00BC7DC8">
        <w:rPr>
          <w:rFonts w:hint="cs"/>
          <w:vanish/>
          <w:rtl/>
        </w:rPr>
        <w:t>"</w:t>
      </w:r>
      <w:r w:rsidRPr="00BC7DC8">
        <w:rPr>
          <w:vanish/>
          <w:rtl/>
        </w:rPr>
        <w:t>ב</w:t>
      </w:r>
      <w:r w:rsidRPr="00BC7DC8">
        <w:rPr>
          <w:rFonts w:hint="cs"/>
          <w:vanish/>
          <w:rtl/>
        </w:rPr>
        <w:t xml:space="preserve"> ענף ה' ד"ה </w:t>
      </w:r>
      <w:r w:rsidRPr="00BC7DC8">
        <w:rPr>
          <w:vanish/>
          <w:rtl/>
        </w:rPr>
        <w:t>והנכון לע"ד</w:t>
      </w:r>
    </w:p>
    <w:p w14:paraId="2CF3B36C" w14:textId="77777777" w:rsidR="003E1AA3" w:rsidRPr="0018388A" w:rsidRDefault="003E1AA3" w:rsidP="003E1AA3">
      <w:pPr>
        <w:pStyle w:val="a2"/>
        <w:tabs>
          <w:tab w:val="num" w:pos="284"/>
        </w:tabs>
        <w:rPr>
          <w:rtl/>
        </w:rPr>
      </w:pPr>
      <w:r w:rsidRPr="0018388A">
        <w:rPr>
          <w:rtl/>
        </w:rPr>
        <w:t xml:space="preserve">והנכון לע"ד דהא </w:t>
      </w:r>
      <w:bookmarkEnd w:id="5771"/>
      <w:r w:rsidRPr="0018388A">
        <w:rPr>
          <w:rtl/>
        </w:rPr>
        <w:t>גם על הר"ן קשה דגם הוא סובר דיש בנין בכלים כדאיתא בדבריו ר"פ הבונה א"כ איך מותר בכלי קטן הא אוסר בכלי גדול מטעם דיש סתירה א"כ גם בקטן הרי כיון שיש בנין יש סתירה ואיך כתב בכאן דאין סתירה בקטן וסותר דברי עצמו ועיין בב"י שהקשה זה ותירץ שהר"ן מחלק בפ' הבונה דבעושה כלי מתחלתו או כלי שנתפרק וצריך אומן בחזרתו לא מיקרי בנין בכלים אלא עושה כלי מיקרי ומיחייב משום בונה אבל בכלי שנתפרק וא"צ אומן בחזרתו אין בנין בכלים והביא כן גם מהמ"מ פ"י הי"ג. ולכאורה אינו מובן במה מחולקין דברי הר"ן מדברי התוס' שלהתוס' א"א לחלק בין גדול לקטן בשלם ולהר"ן יש לחלק, וצריך לומר בכוונתו שהר"ן אינו מחלק בין בנין גמור וסתירה גמורה לבנין וסתירה גרועה, אלא רק בין אם הוא כבר כלי לעשיית כלי, דמפרש שמה שאמרו אין בנין בכלים הוא בדוקא אחר שכבר הוא בשם כלי כגון בנתפרקו וא"צ אומן דעדיין שם כלי עליו וה"ה אם מוסיף בו אינו חייב משום בונה דכיון דהוא כלי נמצא שעשייתו הוא בכלים וע"ז אמרו אין בנין בכלים אבל בעושה כלי מתחלתו הרי אינו עושה בכלי דהא עדיין ליכא כלי לא מיקרי בנין בכלים אלא הוא בונה כלי וחייב משום בונה וזהו כמעט מפורש בדברי הר"ן שם ויותר מפורש זה בדברי המ"מ שכתב אבל העושה כלי מתחלתו אין לך בנין גדול מזה ואין נקרא זה בנין בכלים שהרי אינו כלי אלא עושה כלי עיין שם</w:t>
      </w:r>
      <w:r w:rsidRPr="0018388A">
        <w:rPr>
          <w:rFonts w:hint="cs"/>
          <w:rtl/>
        </w:rPr>
        <w:t>.</w:t>
      </w:r>
    </w:p>
    <w:p w14:paraId="1C36FDF1" w14:textId="77777777" w:rsidR="003E1AA3" w:rsidRDefault="003E1AA3" w:rsidP="003E1AA3">
      <w:pPr>
        <w:pStyle w:val="a7"/>
        <w:rPr>
          <w:rtl/>
        </w:rPr>
      </w:pPr>
      <w:bookmarkStart w:id="5788" w:name="_Toc145233984"/>
      <w:r>
        <w:rPr>
          <w:rFonts w:hint="cs"/>
          <w:rtl/>
        </w:rPr>
        <w:t>בי' האגרו"מ דבקרקע כל משהו חשוב אבל בדבר שיש שם כלי אין חשיבות בנין דהיה כבר כלי</w:t>
      </w:r>
      <w:bookmarkEnd w:id="5788"/>
    </w:p>
    <w:p w14:paraId="04B8D9E0" w14:textId="77777777" w:rsidR="003E1AA3" w:rsidRDefault="003E1AA3" w:rsidP="00BC7DC8">
      <w:pPr>
        <w:pStyle w:val="a3"/>
      </w:pPr>
      <w:r>
        <w:rPr>
          <w:rFonts w:hint="cs"/>
          <w:rtl/>
        </w:rPr>
        <w:t>וביאר</w:t>
      </w:r>
      <w:r>
        <w:rPr>
          <w:rtl/>
        </w:rPr>
        <w:t xml:space="preserve"> </w:t>
      </w:r>
      <w:r>
        <w:rPr>
          <w:rFonts w:hint="cs"/>
          <w:b/>
          <w:bCs/>
          <w:rtl/>
        </w:rPr>
        <w:t>האגרות משה</w:t>
      </w:r>
      <w:r>
        <w:rPr>
          <w:rtl/>
        </w:rPr>
        <w:t xml:space="preserve"> </w:t>
      </w:r>
      <w:r>
        <w:rPr>
          <w:rFonts w:hint="cs"/>
          <w:rtl/>
        </w:rPr>
        <w:t>דבבנין בקרקע יש חשיבות לכל משהו שבונה, דכיון שהוא לוקח דבר שהיה מטלטל וחברו לקרקע שיהיה קבוע, יש לזה חשיבות של מלאכה, וה"ה באוהל גדול דחשיב כקבוע מחמת גודלו, דכל משהו שהוא מוסיף עליו הוא מוסיף לקביעות, אבל בכלי קטן שאינו קבוע, כשמוסיף עליו אין לזה חשיבות של מלאכה, דמה שהוסיף על הכלי היה מטלטל לפני המלאכה, וגם לאחריה עדיין הוא נשאר דבר המטלטל, ולכלי היה שם כלי קודם לכן.</w:t>
      </w:r>
    </w:p>
    <w:p w14:paraId="428B1940" w14:textId="77777777" w:rsidR="003E1AA3" w:rsidRDefault="003E1AA3" w:rsidP="003E1AA3">
      <w:pPr>
        <w:pStyle w:val="a2"/>
        <w:tabs>
          <w:tab w:val="num" w:pos="284"/>
        </w:tabs>
        <w:rPr>
          <w:rtl/>
        </w:rPr>
      </w:pPr>
      <w:r w:rsidRPr="0018388A">
        <w:rPr>
          <w:rtl/>
        </w:rPr>
        <w:t>והטעם אולי משום דבקרקע יש חשיבות מלאכה דבונה בכל משהו שעושה שמדבר המיטלטל מחברו להיות קבוע, וכן הוא בכלי גדול שנחשב אהל ודבר קבוע מחמת גודלו הוי כל משהו שמוסיף בנין וכשנוטל הוא סותר בכל משהו שסותר הקביעות שעשה אבל בכלים קטנים שאין קבועין אין שום חשיבות מלאכה על מה שמוסיף אף שנקבע לכלי שלא נתחדש איזה חשיבות על הדבר שהרי הוא מיטלטל כמתחלה וגם אין חשיבות מלאכה על מעשיו מאחר שבלא מעשיו נמי היה בשם כלי</w:t>
      </w:r>
      <w:r>
        <w:rPr>
          <w:rFonts w:hint="cs"/>
          <w:rtl/>
        </w:rPr>
        <w:t>.</w:t>
      </w:r>
    </w:p>
    <w:p w14:paraId="6D5492E6" w14:textId="77777777" w:rsidR="003E1AA3" w:rsidRPr="008614F8" w:rsidRDefault="003E1AA3" w:rsidP="003E1AA3">
      <w:pPr>
        <w:pStyle w:val="a7"/>
      </w:pPr>
      <w:bookmarkStart w:id="5789" w:name="_Toc145233985"/>
      <w:r>
        <w:rPr>
          <w:rFonts w:hint="cs"/>
          <w:rtl/>
        </w:rPr>
        <w:t>בי' האגרו"מ בב"י בד' הר"ן דבעושה כלי מתחילה חידש שם כלי וה"ה בצריך אומן ולכן הוי בנין</w:t>
      </w:r>
      <w:bookmarkEnd w:id="5789"/>
    </w:p>
    <w:p w14:paraId="60947BE9" w14:textId="77777777" w:rsidR="003E1AA3" w:rsidRPr="00030DB4" w:rsidRDefault="003E1AA3" w:rsidP="00BC7DC8">
      <w:pPr>
        <w:pStyle w:val="a3"/>
      </w:pPr>
      <w:r>
        <w:rPr>
          <w:rFonts w:hint="cs"/>
          <w:rtl/>
        </w:rPr>
        <w:t>אבל בעושה כלי מתחילה, ביאר</w:t>
      </w:r>
      <w:r>
        <w:rPr>
          <w:rtl/>
        </w:rPr>
        <w:t xml:space="preserve"> </w:t>
      </w:r>
      <w:r>
        <w:rPr>
          <w:rFonts w:hint="cs"/>
          <w:b/>
          <w:bCs/>
          <w:rtl/>
        </w:rPr>
        <w:t>האגרות משה</w:t>
      </w:r>
      <w:r>
        <w:rPr>
          <w:rtl/>
        </w:rPr>
        <w:t xml:space="preserve"> </w:t>
      </w:r>
      <w:r>
        <w:rPr>
          <w:rFonts w:hint="cs"/>
          <w:rtl/>
        </w:rPr>
        <w:t>דיש בזה חשיבות מלאכה גדולה, דע"י מעשיו נתחדש שם כלי ואין לך בנין גדול מזה, וה"ה בכלי שהתפרק וצריך אומן להחזירו, וכתב</w:t>
      </w:r>
      <w:r>
        <w:rPr>
          <w:rtl/>
        </w:rPr>
        <w:t xml:space="preserve"> </w:t>
      </w:r>
      <w:r>
        <w:rPr>
          <w:rFonts w:hint="cs"/>
          <w:b/>
          <w:bCs/>
          <w:rtl/>
        </w:rPr>
        <w:t>האגרות משה</w:t>
      </w:r>
      <w:r>
        <w:rPr>
          <w:rtl/>
        </w:rPr>
        <w:t xml:space="preserve"> </w:t>
      </w:r>
      <w:r>
        <w:rPr>
          <w:rFonts w:hint="cs"/>
          <w:rtl/>
        </w:rPr>
        <w:t>דעיקר גדר החיוב לדעת</w:t>
      </w:r>
      <w:r>
        <w:rPr>
          <w:rtl/>
        </w:rPr>
        <w:t xml:space="preserve"> </w:t>
      </w:r>
      <w:r>
        <w:rPr>
          <w:rFonts w:hint="cs"/>
          <w:b/>
          <w:bCs/>
          <w:rtl/>
        </w:rPr>
        <w:t>המ"מ והר"ן</w:t>
      </w:r>
      <w:r>
        <w:rPr>
          <w:rtl/>
        </w:rPr>
        <w:t xml:space="preserve"> </w:t>
      </w:r>
      <w:r>
        <w:rPr>
          <w:rFonts w:hint="cs"/>
          <w:rtl/>
        </w:rPr>
        <w:t xml:space="preserve">הוא דהא דאין בנין בכלים הוא בדבר שיש לו כבר שם כלי, אבל כשעושה כלי ע"י המעשים שלו הוי בנין. </w:t>
      </w:r>
    </w:p>
    <w:p w14:paraId="3B628B50" w14:textId="77777777" w:rsidR="003E1AA3" w:rsidRPr="0018388A" w:rsidRDefault="003E1AA3" w:rsidP="003E1AA3">
      <w:pPr>
        <w:pStyle w:val="a2"/>
        <w:tabs>
          <w:tab w:val="num" w:pos="284"/>
        </w:tabs>
        <w:rPr>
          <w:rtl/>
        </w:rPr>
      </w:pPr>
      <w:r w:rsidRPr="0018388A">
        <w:rPr>
          <w:rtl/>
        </w:rPr>
        <w:t xml:space="preserve">אבל היכא שבמעשיו נעשה בשם כלי כגון בעשה כלי מתחלתו או שנתפרק באופן שצריך אומן להחזירו שבטל מתורת כלי הרי יש כאן חשיבות מלאכה גדולה על מעשיו שהרי ממעשיו נעשה כלי ואין לך בנין גדול מזה, עכ"פ איך שנימא בטעם הדבר הא סברי הר"ן והמ"מ שרק בונה בכלים שישנם כבר בשם כלים אמרינן דאין בנין בכלים אבל בעושה בשם כלי במעשיו עתה יש בנין. </w:t>
      </w:r>
    </w:p>
    <w:p w14:paraId="4E874498" w14:textId="77777777" w:rsidR="003E1AA3" w:rsidRPr="00FC269C" w:rsidRDefault="003E1AA3" w:rsidP="003E1AA3">
      <w:pPr>
        <w:pStyle w:val="afffff7"/>
        <w:rPr>
          <w:rtl/>
        </w:rPr>
      </w:pPr>
      <w:bookmarkStart w:id="5790" w:name="_Toc145234074"/>
      <w:bookmarkStart w:id="5791" w:name="_Toc163506332"/>
      <w:r w:rsidRPr="00FC269C">
        <w:rPr>
          <w:rtl/>
        </w:rPr>
        <w:t xml:space="preserve">שו"ת אגרות משה </w:t>
      </w:r>
      <w:r w:rsidRPr="00FC269C">
        <w:rPr>
          <w:rFonts w:hint="cs"/>
          <w:rtl/>
        </w:rPr>
        <w:t>או"ח ח"א סי'</w:t>
      </w:r>
      <w:r w:rsidRPr="00FC269C">
        <w:rPr>
          <w:rtl/>
        </w:rPr>
        <w:t xml:space="preserve"> קכ</w:t>
      </w:r>
      <w:r w:rsidRPr="00FC269C">
        <w:rPr>
          <w:rFonts w:hint="cs"/>
          <w:rtl/>
        </w:rPr>
        <w:t>"</w:t>
      </w:r>
      <w:r w:rsidRPr="00FC269C">
        <w:rPr>
          <w:rtl/>
        </w:rPr>
        <w:t>ב</w:t>
      </w:r>
      <w:r w:rsidRPr="00FC269C">
        <w:rPr>
          <w:rFonts w:hint="cs"/>
          <w:rtl/>
        </w:rPr>
        <w:t xml:space="preserve"> ענף ה' ד"ה </w:t>
      </w:r>
      <w:r w:rsidRPr="00FC269C">
        <w:rPr>
          <w:rtl/>
        </w:rPr>
        <w:t>ולפ"ז הוא</w:t>
      </w:r>
      <w:bookmarkEnd w:id="5790"/>
      <w:bookmarkEnd w:id="5791"/>
    </w:p>
    <w:p w14:paraId="365F4E77" w14:textId="77777777" w:rsidR="003E1AA3" w:rsidRPr="00533606" w:rsidRDefault="003E1AA3" w:rsidP="003E1AA3">
      <w:pPr>
        <w:pStyle w:val="a7"/>
        <w:rPr>
          <w:rtl/>
        </w:rPr>
      </w:pPr>
      <w:bookmarkStart w:id="5792" w:name="_Toc145233986"/>
      <w:r>
        <w:rPr>
          <w:rFonts w:hint="cs"/>
          <w:rtl/>
        </w:rPr>
        <w:t>בי' האגרו"מ דכל סתירת כלי בדבר שיש לו שם כלי ואין בזה סתירה ול"ד לעושה כלי בתחילה</w:t>
      </w:r>
      <w:bookmarkEnd w:id="5792"/>
    </w:p>
    <w:p w14:paraId="0151FD82" w14:textId="2B2B190F" w:rsidR="003E1AA3" w:rsidRDefault="003E1AA3" w:rsidP="00BC7DC8">
      <w:pPr>
        <w:pStyle w:val="a3"/>
      </w:pPr>
      <w:bookmarkStart w:id="5793" w:name="_Ref144830592"/>
      <w:r w:rsidRPr="00533606">
        <w:rPr>
          <w:rFonts w:hint="cs"/>
          <w:rtl/>
        </w:rPr>
        <w:t>וכתב</w:t>
      </w:r>
      <w:r w:rsidRPr="00533606">
        <w:rPr>
          <w:rtl/>
        </w:rPr>
        <w:t xml:space="preserve"> </w:t>
      </w:r>
      <w:r w:rsidRPr="00533606">
        <w:rPr>
          <w:b/>
          <w:bCs/>
          <w:rtl/>
        </w:rPr>
        <w:t>ה</w:t>
      </w:r>
      <w:r w:rsidRPr="00533606">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Ref144830592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פא)</w:t>
      </w:r>
      <w:r>
        <w:rPr>
          <w:b/>
          <w:bCs/>
          <w:vanish/>
          <w:rtl/>
        </w:rPr>
        <w:fldChar w:fldCharType="end"/>
      </w:r>
      <w:r w:rsidRPr="00533606">
        <w:rPr>
          <w:b/>
          <w:bCs/>
          <w:vanish/>
          <w:rtl/>
        </w:rPr>
        <w:t xml:space="preserve"> &gt;</w:t>
      </w:r>
      <w:r w:rsidRPr="00533606">
        <w:rPr>
          <w:rFonts w:hint="cs"/>
          <w:b/>
          <w:bCs/>
          <w:rtl/>
        </w:rPr>
        <w:t>אגרות משה</w:t>
      </w:r>
      <w:r w:rsidRPr="00533606">
        <w:rPr>
          <w:b/>
          <w:bCs/>
          <w:rtl/>
        </w:rPr>
        <w:t xml:space="preserve"> </w:t>
      </w:r>
      <w:r w:rsidRPr="00533606">
        <w:rPr>
          <w:rFonts w:ascii="Calibri" w:eastAsia="Times New Roman" w:hAnsi="Calibri" w:cs="Guttman Rashi"/>
          <w:noProof w:val="0"/>
          <w:sz w:val="10"/>
          <w:szCs w:val="12"/>
          <w:rtl/>
        </w:rPr>
        <w:t>(</w:t>
      </w:r>
      <w:r w:rsidRPr="00533606">
        <w:rPr>
          <w:rFonts w:ascii="Calibri" w:eastAsia="Times New Roman" w:hAnsi="Calibri" w:cs="Guttman Rashi" w:hint="cs"/>
          <w:noProof w:val="0"/>
          <w:sz w:val="10"/>
          <w:szCs w:val="12"/>
          <w:rtl/>
        </w:rPr>
        <w:t>או"ח ח"א סי' קכ"ב ענף ה' ד"ה ולפ"ז הוא</w:t>
      </w:r>
      <w:r w:rsidRPr="00533606">
        <w:rPr>
          <w:rFonts w:ascii="Calibri" w:eastAsia="Times New Roman" w:hAnsi="Calibri" w:cs="Guttman Rashi"/>
          <w:noProof w:val="0"/>
          <w:sz w:val="10"/>
          <w:szCs w:val="12"/>
          <w:rtl/>
        </w:rPr>
        <w:t>)</w:t>
      </w:r>
      <w:r w:rsidRPr="00533606">
        <w:rPr>
          <w:vanish/>
          <w:rtl/>
        </w:rPr>
        <w:t>=</w:t>
      </w:r>
      <w:r w:rsidRPr="00533606">
        <w:rPr>
          <w:rtl/>
        </w:rPr>
        <w:t xml:space="preserve"> </w:t>
      </w:r>
      <w:r w:rsidRPr="00533606">
        <w:rPr>
          <w:rFonts w:hint="cs"/>
          <w:rtl/>
        </w:rPr>
        <w:t xml:space="preserve">דלפי"ז מבואר היטב החילוק בין בנין לסתירה, </w:t>
      </w:r>
      <w:r>
        <w:rPr>
          <w:rFonts w:hint="cs"/>
          <w:rtl/>
        </w:rPr>
        <w:t>לדעת</w:t>
      </w:r>
      <w:r w:rsidRPr="00533606">
        <w:rPr>
          <w:rtl/>
        </w:rPr>
        <w:t xml:space="preserve"> </w:t>
      </w:r>
      <w:r w:rsidRPr="00533606">
        <w:rPr>
          <w:rFonts w:hint="cs"/>
          <w:b/>
          <w:bCs/>
          <w:rtl/>
        </w:rPr>
        <w:t>הר"ן</w:t>
      </w:r>
      <w:r w:rsidRPr="00533606">
        <w:rPr>
          <w:rtl/>
        </w:rPr>
        <w:t xml:space="preserve"> </w:t>
      </w:r>
      <w:r w:rsidRPr="00533606">
        <w:rPr>
          <w:rFonts w:ascii="Calibri" w:eastAsia="Times New Roman" w:hAnsi="Calibri" w:cs="Guttman Rashi"/>
          <w:noProof w:val="0"/>
          <w:sz w:val="10"/>
          <w:szCs w:val="12"/>
          <w:rtl/>
        </w:rPr>
        <w:t xml:space="preserve">(עי' </w:t>
      </w:r>
      <w:r w:rsidRPr="00370735">
        <w:rPr>
          <w:rStyle w:val="af2"/>
          <w:rFonts w:eastAsia="Guttman Hodes"/>
          <w:rtl/>
        </w:rPr>
        <w:t xml:space="preserve">אות </w:t>
      </w:r>
      <w:r>
        <w:rPr>
          <w:rStyle w:val="af2"/>
          <w:rFonts w:eastAsia="Guttman Hodes"/>
          <w:rtl/>
        </w:rPr>
        <w:fldChar w:fldCharType="begin"/>
      </w:r>
      <w:r>
        <w:rPr>
          <w:rStyle w:val="af2"/>
          <w:rFonts w:eastAsia="Guttman Hodes"/>
          <w:rtl/>
        </w:rPr>
        <w:instrText xml:space="preserve"> </w:instrText>
      </w:r>
      <w:r>
        <w:rPr>
          <w:rStyle w:val="af2"/>
          <w:rFonts w:eastAsia="Guttman Hodes"/>
        </w:rPr>
        <w:instrText>REF</w:instrText>
      </w:r>
      <w:r>
        <w:rPr>
          <w:rStyle w:val="af2"/>
          <w:rFonts w:eastAsia="Guttman Hodes"/>
          <w:rtl/>
        </w:rPr>
        <w:instrText xml:space="preserve"> _</w:instrText>
      </w:r>
      <w:r>
        <w:rPr>
          <w:rStyle w:val="af2"/>
          <w:rFonts w:eastAsia="Guttman Hodes"/>
        </w:rPr>
        <w:instrText>Ref145061049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נד)</w:t>
      </w:r>
      <w:r>
        <w:rPr>
          <w:rStyle w:val="af2"/>
          <w:rFonts w:eastAsia="Guttman Hodes"/>
          <w:rtl/>
        </w:rPr>
        <w:fldChar w:fldCharType="end"/>
      </w:r>
      <w:r>
        <w:rPr>
          <w:rFonts w:hint="cs"/>
          <w:b/>
          <w:bCs/>
          <w:rtl/>
        </w:rPr>
        <w:t xml:space="preserve"> ו</w:t>
      </w:r>
      <w:r w:rsidRPr="00533606">
        <w:rPr>
          <w:rFonts w:hint="cs"/>
          <w:b/>
          <w:bCs/>
          <w:rtl/>
        </w:rPr>
        <w:t>המ"מ</w:t>
      </w:r>
      <w:r w:rsidRPr="00533606">
        <w:rPr>
          <w:rtl/>
        </w:rPr>
        <w:t xml:space="preserve"> </w:t>
      </w:r>
      <w:r w:rsidRPr="00533606">
        <w:rPr>
          <w:rFonts w:ascii="Calibri" w:eastAsia="Times New Roman" w:hAnsi="Calibri" w:cs="Guttman Rashi"/>
          <w:noProof w:val="0"/>
          <w:sz w:val="10"/>
          <w:szCs w:val="12"/>
          <w:rtl/>
        </w:rPr>
        <w:t xml:space="preserve">(עי' </w:t>
      </w:r>
      <w:r w:rsidRPr="00CA003E">
        <w:rPr>
          <w:rFonts w:ascii="Calibri" w:eastAsia="Times New Roman" w:hAnsi="Calibri" w:cs="Guttman Rashi"/>
          <w:noProof w:val="0"/>
          <w:sz w:val="10"/>
          <w:szCs w:val="12"/>
          <w:rtl/>
        </w:rPr>
        <w:t xml:space="preserve">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Pr>
        <w:instrText>REF</w:instrText>
      </w:r>
      <w:r>
        <w:rPr>
          <w:rFonts w:ascii="Calibri" w:eastAsia="Times New Roman" w:hAnsi="Calibri" w:cs="Guttman Rashi"/>
          <w:noProof w:val="0"/>
          <w:sz w:val="10"/>
          <w:szCs w:val="12"/>
          <w:rtl/>
        </w:rPr>
        <w:instrText xml:space="preserve"> _</w:instrText>
      </w:r>
      <w:r>
        <w:rPr>
          <w:rFonts w:ascii="Calibri" w:eastAsia="Times New Roman" w:hAnsi="Calibri" w:cs="Guttman Rashi"/>
          <w:noProof w:val="0"/>
          <w:sz w:val="10"/>
          <w:szCs w:val="12"/>
        </w:rPr>
        <w:instrText>Ref143549459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כה)</w:t>
      </w:r>
      <w:r>
        <w:rPr>
          <w:rFonts w:ascii="Calibri" w:eastAsia="Times New Roman" w:hAnsi="Calibri" w:cs="Guttman Rashi"/>
          <w:noProof w:val="0"/>
          <w:sz w:val="10"/>
          <w:szCs w:val="12"/>
          <w:rtl/>
        </w:rPr>
        <w:fldChar w:fldCharType="end"/>
      </w:r>
      <w:r>
        <w:rPr>
          <w:rFonts w:hint="cs"/>
          <w:rtl/>
        </w:rPr>
        <w:t xml:space="preserve">, </w:t>
      </w:r>
      <w:r w:rsidRPr="00533606">
        <w:rPr>
          <w:rFonts w:hint="cs"/>
          <w:rtl/>
        </w:rPr>
        <w:t>דכל מה שאפשר לחייב בעושה כלי, היינו כיון דבתחילה לא היה כאן כלי, ובמע</w:t>
      </w:r>
      <w:r>
        <w:rPr>
          <w:rFonts w:hint="cs"/>
          <w:rtl/>
        </w:rPr>
        <w:t>שה שלו עשה כלי, אבל בסתירת כלי א"א לומר דאינו בכלל סתירה בכלים, דהא היה לו בתחילה כבר שם כלי, ובכל סתירה המעשה שלו היה בכלי וא"א לומר שיש לה חשיבות מלאכה, ועוד דלעולם הוא בכלל מקלקל.</w:t>
      </w:r>
    </w:p>
    <w:p w14:paraId="41770246" w14:textId="77777777" w:rsidR="003E1AA3" w:rsidRPr="00BC7DC8" w:rsidRDefault="003E1AA3" w:rsidP="003E1AA3">
      <w:pPr>
        <w:pStyle w:val="afffffe"/>
        <w:rPr>
          <w:vanish/>
          <w:rtl/>
        </w:rPr>
      </w:pPr>
      <w:r w:rsidRPr="00BC7DC8">
        <w:rPr>
          <w:vanish/>
          <w:rtl/>
        </w:rPr>
        <w:t xml:space="preserve">שו"ת אגרות משה </w:t>
      </w:r>
      <w:r w:rsidRPr="00BC7DC8">
        <w:rPr>
          <w:rFonts w:hint="cs"/>
          <w:vanish/>
          <w:rtl/>
        </w:rPr>
        <w:t>או"ח ח"א סי'</w:t>
      </w:r>
      <w:r w:rsidRPr="00BC7DC8">
        <w:rPr>
          <w:vanish/>
          <w:rtl/>
        </w:rPr>
        <w:t xml:space="preserve"> קכ</w:t>
      </w:r>
      <w:r w:rsidRPr="00BC7DC8">
        <w:rPr>
          <w:rFonts w:hint="cs"/>
          <w:vanish/>
          <w:rtl/>
        </w:rPr>
        <w:t>"</w:t>
      </w:r>
      <w:r w:rsidRPr="00BC7DC8">
        <w:rPr>
          <w:vanish/>
          <w:rtl/>
        </w:rPr>
        <w:t>ב</w:t>
      </w:r>
      <w:r w:rsidRPr="00BC7DC8">
        <w:rPr>
          <w:rFonts w:hint="cs"/>
          <w:vanish/>
          <w:rtl/>
        </w:rPr>
        <w:t xml:space="preserve"> ענף ה' ד"ה </w:t>
      </w:r>
      <w:r w:rsidRPr="00BC7DC8">
        <w:rPr>
          <w:vanish/>
          <w:rtl/>
        </w:rPr>
        <w:t>ולפ"ז הוא</w:t>
      </w:r>
    </w:p>
    <w:p w14:paraId="0D9F0B0E" w14:textId="77777777" w:rsidR="003E1AA3" w:rsidRDefault="003E1AA3" w:rsidP="003E1AA3">
      <w:pPr>
        <w:pStyle w:val="a2"/>
        <w:tabs>
          <w:tab w:val="num" w:pos="284"/>
        </w:tabs>
        <w:rPr>
          <w:rtl/>
        </w:rPr>
      </w:pPr>
      <w:r w:rsidRPr="0018388A">
        <w:rPr>
          <w:rtl/>
        </w:rPr>
        <w:t>ולפ"ז הוא רק בבונה אבל בסתירה ליכא כלל אופן שיחייב בסתירת כלים דהא בעת שסותר היה כלי ונמצא שסתירתו היתה בכלים ואין סתירה בכלים, וגם להטעם שכתבתי אין שייך בסתירה דבהדבר ודאי אין חשיבות מלאכה דהוא מקלקל וכל חיוב במלאכה דסותר הוא משום שצריך לו לבנות כלי אחר וכדומה שג"כ אינו חשיבות על מעשיו מה שנעשה סתור מזה לכן אין בסותר כלי מלאכת סותר. עכ"פ איך שיהיה בטעם הדבר הא סברי דהלשון מדוייק דבכלים אין סתירה וכל סתירת כלים הרי הוא בכלי וא"כ נמצא שאף שבעושה כלי יש בנין מ"מ בסותר כלי אין סתירה</w:t>
      </w:r>
      <w:r>
        <w:rPr>
          <w:rFonts w:hint="cs"/>
          <w:rtl/>
        </w:rPr>
        <w:t>.</w:t>
      </w:r>
    </w:p>
    <w:p w14:paraId="2977CBF0" w14:textId="77777777" w:rsidR="003E1AA3" w:rsidRPr="00323B9E" w:rsidRDefault="003E1AA3" w:rsidP="003E1AA3">
      <w:pPr>
        <w:pStyle w:val="a7"/>
      </w:pPr>
      <w:bookmarkStart w:id="5794" w:name="_Toc145233987"/>
      <w:r>
        <w:rPr>
          <w:rFonts w:hint="cs"/>
          <w:rtl/>
        </w:rPr>
        <w:t>בי' האגרו"מ דאי יש בנין בכלים א"כ אף כשיש שם כלי יש בנין וה"ה דיש סתירה בשם כלי</w:t>
      </w:r>
      <w:bookmarkEnd w:id="5794"/>
    </w:p>
    <w:p w14:paraId="73D78456" w14:textId="77777777" w:rsidR="003E1AA3" w:rsidRPr="00E87BFF" w:rsidRDefault="003E1AA3" w:rsidP="00BC7DC8">
      <w:pPr>
        <w:pStyle w:val="a3"/>
        <w:rPr>
          <w:rtl/>
        </w:rPr>
      </w:pPr>
      <w:r>
        <w:rPr>
          <w:rFonts w:hint="cs"/>
          <w:rtl/>
        </w:rPr>
        <w:t>וכתב</w:t>
      </w:r>
      <w:r>
        <w:rPr>
          <w:rtl/>
        </w:rPr>
        <w:t xml:space="preserve"> </w:t>
      </w:r>
      <w:r>
        <w:rPr>
          <w:rFonts w:hint="cs"/>
          <w:b/>
          <w:bCs/>
          <w:rtl/>
        </w:rPr>
        <w:t>האגרות משה</w:t>
      </w:r>
      <w:r>
        <w:rPr>
          <w:rtl/>
        </w:rPr>
        <w:t xml:space="preserve"> </w:t>
      </w:r>
      <w:r>
        <w:rPr>
          <w:rFonts w:hint="cs"/>
          <w:rtl/>
        </w:rPr>
        <w:t>דלא דמי להא דאמרינן בגמ' לקמן</w:t>
      </w:r>
      <w:r>
        <w:rPr>
          <w:rtl/>
        </w:rPr>
        <w:t xml:space="preserve"> </w:t>
      </w:r>
      <w:r w:rsidRPr="00EB5103">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קכב:</w:t>
      </w:r>
      <w:r w:rsidRPr="00EB5103">
        <w:rPr>
          <w:rFonts w:ascii="Calibri" w:eastAsia="Times New Roman" w:hAnsi="Calibri" w:cs="Guttman Rashi"/>
          <w:noProof w:val="0"/>
          <w:sz w:val="10"/>
          <w:szCs w:val="12"/>
          <w:rtl/>
        </w:rPr>
        <w:t>)</w:t>
      </w:r>
      <w:r>
        <w:rPr>
          <w:rtl/>
        </w:rPr>
        <w:t xml:space="preserve"> </w:t>
      </w:r>
      <w:r>
        <w:rPr>
          <w:rFonts w:hint="cs"/>
          <w:rtl/>
        </w:rPr>
        <w:t xml:space="preserve">דאם יש בנין בכלים יש סתירה בכלים, דכוונת הגמ' לומר דאי אמרינן דבדלתות הכלים יש בנין א"כ אף בדבר שיש לו שם כלי יש בונה, ולכן שייך גם סתירה בכלים, דאף שהיה לו שם כלי קודם חשיב סותר, אבל אי אמרינן דאין בנין בכלים, א"כ מבואר דלא שייך בנין בדבר שיש לו שם כלי, וא"כ אף דבעשיית כלי יש בנין, היינו דוקא </w:t>
      </w:r>
      <w:r>
        <w:rPr>
          <w:rFonts w:hint="cs"/>
          <w:rtl/>
        </w:rPr>
        <w:t>כיון דבעשייה עדיין לא היה לו שם כלי, אבל בסתירת כלי דמתחילה כבר היה לו שם כלי, אמרינן דאין סתירה בכלים, וכתב</w:t>
      </w:r>
      <w:r>
        <w:rPr>
          <w:rtl/>
        </w:rPr>
        <w:t xml:space="preserve"> </w:t>
      </w:r>
      <w:r>
        <w:rPr>
          <w:rFonts w:hint="cs"/>
          <w:b/>
          <w:bCs/>
          <w:rtl/>
        </w:rPr>
        <w:t>האגרות משה</w:t>
      </w:r>
      <w:r>
        <w:rPr>
          <w:rtl/>
        </w:rPr>
        <w:t xml:space="preserve"> </w:t>
      </w:r>
      <w:r>
        <w:rPr>
          <w:rFonts w:hint="cs"/>
          <w:rtl/>
        </w:rPr>
        <w:t>דזו כוונת</w:t>
      </w:r>
      <w:r>
        <w:rPr>
          <w:rtl/>
        </w:rPr>
        <w:t xml:space="preserve"> </w:t>
      </w:r>
      <w:r>
        <w:rPr>
          <w:rFonts w:hint="cs"/>
          <w:b/>
          <w:bCs/>
          <w:rtl/>
        </w:rPr>
        <w:t>הב"י</w:t>
      </w:r>
      <w:r>
        <w:rPr>
          <w:rFonts w:hint="cs"/>
          <w:rtl/>
        </w:rPr>
        <w:t xml:space="preserve"> בביאור דברי</w:t>
      </w:r>
      <w:r>
        <w:rPr>
          <w:rtl/>
        </w:rPr>
        <w:t xml:space="preserve"> </w:t>
      </w:r>
      <w:r>
        <w:rPr>
          <w:rFonts w:hint="cs"/>
          <w:b/>
          <w:bCs/>
          <w:rtl/>
        </w:rPr>
        <w:t>הר"ן</w:t>
      </w:r>
      <w:r>
        <w:rPr>
          <w:rFonts w:hint="cs"/>
          <w:rtl/>
        </w:rPr>
        <w:t>.</w:t>
      </w:r>
      <w:bookmarkEnd w:id="5793"/>
    </w:p>
    <w:p w14:paraId="2DFCC264" w14:textId="77777777" w:rsidR="003E1AA3" w:rsidRPr="0018388A" w:rsidRDefault="003E1AA3" w:rsidP="003E1AA3">
      <w:pPr>
        <w:pStyle w:val="a2"/>
        <w:tabs>
          <w:tab w:val="num" w:pos="284"/>
        </w:tabs>
        <w:rPr>
          <w:rtl/>
        </w:rPr>
      </w:pPr>
      <w:r w:rsidRPr="0018388A">
        <w:rPr>
          <w:rtl/>
        </w:rPr>
        <w:t xml:space="preserve">ול"ד להא דאמר /שבת/ בדף קכ"ב אי יש בנין בכלים יש סתירה בכלים, דודאי אי אמרינן דיש בנין גם בכלים דהפירוש הוא שאף שהוא כבר בשם כלי יש בנין במה שהוסיף בהו בחזרת הדלת דאיירי שם יש גם סתירה בנטילת הדלת דמלאכות בונה וסותר תלויין זה בזה אבל כשאמרינן אין בנין בכלים הרי אין גם סתירה אך שבעשיית כלי יש בנין משום דעדיין אינו בכלים אין שייך זה בסתירה דהרי הוא בכלים, וזה פשוט לשיטת הר"ן והמ"מ. </w:t>
      </w:r>
    </w:p>
    <w:p w14:paraId="54BA4693" w14:textId="77777777" w:rsidR="003E1AA3" w:rsidRPr="002E340A" w:rsidRDefault="003E1AA3" w:rsidP="003E1AA3">
      <w:pPr>
        <w:pStyle w:val="afffff5"/>
        <w:rPr>
          <w:rtl/>
        </w:rPr>
      </w:pPr>
      <w:r w:rsidRPr="002E340A">
        <w:rPr>
          <w:rtl/>
        </w:rPr>
        <w:t xml:space="preserve">ולכן ניחא מה שמותר לשבור החבית אף שלימה אם היא קטנה ואין כאן מלאכת סותר כדכתב הר"ן בשבת, אבל לנקוב יפה שיהא לפתח אף שבונה לא יהיה מחמת דבכלי הוא מ"מ יהיה אסור מצד מכה בפטיש והיה לן לגזור לאסור גם לשבור לר"א ואוקים ר' אשי לר"א במוסתקי דבשלימה יהיה אסור מדרבנן אבל לרבנן הוא עשיית כלי כלאחר יד ואסור רק מדרבנן אף שיתכוין לנקב יפה ולכן לא גזרו אף בשלימה כדכתב הר"ן בביצה, זהו שיטת הר"ן והוא כוונת הב"י שלכאורה לא מובן כלל מה תירץ בזה ולמה שבארתי הוא נכון מאד. </w:t>
      </w:r>
    </w:p>
    <w:p w14:paraId="093263DA" w14:textId="77777777" w:rsidR="003E1AA3" w:rsidRPr="00FC269C" w:rsidRDefault="003E1AA3" w:rsidP="003E1AA3">
      <w:pPr>
        <w:pStyle w:val="afffff7"/>
        <w:rPr>
          <w:rtl/>
        </w:rPr>
      </w:pPr>
      <w:bookmarkStart w:id="5795" w:name="_Toc145234075"/>
      <w:bookmarkStart w:id="5796" w:name="_Toc163506333"/>
      <w:r w:rsidRPr="00FC269C">
        <w:rPr>
          <w:rtl/>
        </w:rPr>
        <w:t xml:space="preserve">חזון איש </w:t>
      </w:r>
      <w:r w:rsidRPr="00FC269C">
        <w:rPr>
          <w:rFonts w:hint="cs"/>
          <w:rtl/>
        </w:rPr>
        <w:t>או"ח סי'</w:t>
      </w:r>
      <w:r w:rsidRPr="00FC269C">
        <w:rPr>
          <w:rtl/>
        </w:rPr>
        <w:t xml:space="preserve"> נ</w:t>
      </w:r>
      <w:r w:rsidRPr="00FC269C">
        <w:rPr>
          <w:rFonts w:hint="cs"/>
          <w:rtl/>
        </w:rPr>
        <w:t>"</w:t>
      </w:r>
      <w:r w:rsidRPr="00FC269C">
        <w:rPr>
          <w:rtl/>
        </w:rPr>
        <w:t xml:space="preserve">א </w:t>
      </w:r>
      <w:r w:rsidRPr="00FC269C">
        <w:rPr>
          <w:rFonts w:hint="cs"/>
          <w:rtl/>
        </w:rPr>
        <w:t>סק"א</w:t>
      </w:r>
      <w:bookmarkEnd w:id="5795"/>
      <w:bookmarkEnd w:id="5796"/>
      <w:r w:rsidRPr="00FC269C">
        <w:rPr>
          <w:rtl/>
        </w:rPr>
        <w:t xml:space="preserve"> </w:t>
      </w:r>
    </w:p>
    <w:p w14:paraId="6D2D4BA1" w14:textId="77777777" w:rsidR="003E1AA3" w:rsidRDefault="003E1AA3" w:rsidP="003E1AA3">
      <w:pPr>
        <w:pStyle w:val="a7"/>
        <w:rPr>
          <w:rtl/>
        </w:rPr>
      </w:pPr>
      <w:bookmarkStart w:id="5797" w:name="_Toc145233988"/>
      <w:r>
        <w:rPr>
          <w:rFonts w:hint="cs"/>
          <w:rtl/>
        </w:rPr>
        <w:t>בי' החזו"א דבסתירה שלא כדרך ל"ה מעשה גמור ודמי לבניןשאינו גמור דמותר בכלים לתוס'</w:t>
      </w:r>
      <w:bookmarkEnd w:id="5797"/>
    </w:p>
    <w:p w14:paraId="7DBB4A7C" w14:textId="5D99FF1E" w:rsidR="003E1AA3" w:rsidRPr="00BA42FD" w:rsidRDefault="003E1AA3" w:rsidP="00BC7DC8">
      <w:pPr>
        <w:pStyle w:val="a3"/>
        <w:rPr>
          <w:rtl/>
        </w:rPr>
      </w:pPr>
      <w:bookmarkStart w:id="5798" w:name="_Ref144830299"/>
      <w:r>
        <w:rPr>
          <w:rFonts w:hint="cs"/>
          <w:rtl/>
        </w:rPr>
        <w:t>כתב</w:t>
      </w:r>
      <w:r>
        <w:rPr>
          <w:rtl/>
        </w:rPr>
        <w:t xml:space="preserve"> </w:t>
      </w:r>
      <w:r w:rsidRPr="00C819DF">
        <w:rPr>
          <w:b/>
          <w:bCs/>
          <w:rtl/>
        </w:rPr>
        <w:t>ה</w:t>
      </w:r>
      <w:r w:rsidRPr="00C819DF">
        <w:rPr>
          <w:b/>
          <w:bCs/>
          <w:vanish/>
          <w:rtl/>
        </w:rPr>
        <w:t xml:space="preserve"> &lt;, </w:t>
      </w:r>
      <w:r w:rsidRPr="00C819DF">
        <w:rPr>
          <w:b/>
          <w:bCs/>
          <w:vanish/>
          <w:rtl/>
        </w:rPr>
        <w:fldChar w:fldCharType="begin"/>
      </w:r>
      <w:r w:rsidRPr="00C819DF">
        <w:rPr>
          <w:b/>
          <w:bCs/>
          <w:vanish/>
          <w:rtl/>
        </w:rPr>
        <w:instrText xml:space="preserve"> </w:instrText>
      </w:r>
      <w:r w:rsidRPr="00C819DF">
        <w:rPr>
          <w:b/>
          <w:bCs/>
          <w:vanish/>
        </w:rPr>
        <w:instrText>REF</w:instrText>
      </w:r>
      <w:r w:rsidRPr="00C819DF">
        <w:rPr>
          <w:b/>
          <w:bCs/>
          <w:vanish/>
          <w:rtl/>
        </w:rPr>
        <w:instrText xml:space="preserve"> _</w:instrText>
      </w:r>
      <w:r w:rsidRPr="00C819DF">
        <w:rPr>
          <w:b/>
          <w:bCs/>
          <w:vanish/>
        </w:rPr>
        <w:instrText>Ref144830299 \r \h</w:instrText>
      </w:r>
      <w:r w:rsidRPr="00C819DF">
        <w:rPr>
          <w:b/>
          <w:bCs/>
          <w:vanish/>
          <w:rtl/>
        </w:rPr>
        <w:instrText xml:space="preserve"> </w:instrText>
      </w:r>
      <w:r w:rsidRPr="00C819DF">
        <w:rPr>
          <w:b/>
          <w:bCs/>
          <w:vanish/>
          <w:rtl/>
        </w:rPr>
      </w:r>
      <w:r w:rsidRPr="00C819DF">
        <w:rPr>
          <w:b/>
          <w:bCs/>
          <w:vanish/>
          <w:rtl/>
        </w:rPr>
        <w:fldChar w:fldCharType="separate"/>
      </w:r>
      <w:r w:rsidR="00D82181">
        <w:rPr>
          <w:b/>
          <w:bCs/>
          <w:vanish/>
          <w:cs/>
        </w:rPr>
        <w:t>‎</w:t>
      </w:r>
      <w:r w:rsidR="00D82181">
        <w:rPr>
          <w:b/>
          <w:bCs/>
          <w:vanish/>
          <w:rtl/>
        </w:rPr>
        <w:t>פג)</w:t>
      </w:r>
      <w:r w:rsidRPr="00C819DF">
        <w:rPr>
          <w:b/>
          <w:bCs/>
          <w:vanish/>
          <w:rtl/>
        </w:rPr>
        <w:fldChar w:fldCharType="end"/>
      </w:r>
      <w:r w:rsidRPr="00C819DF">
        <w:rPr>
          <w:b/>
          <w:bCs/>
          <w:vanish/>
          <w:rtl/>
        </w:rPr>
        <w:t xml:space="preserve"> &gt;</w:t>
      </w:r>
      <w:r w:rsidRPr="00C819DF">
        <w:rPr>
          <w:rFonts w:hint="cs"/>
          <w:b/>
          <w:bCs/>
          <w:rtl/>
        </w:rPr>
        <w:t>חזו"א</w:t>
      </w:r>
      <w:r w:rsidRPr="00C819DF">
        <w:rPr>
          <w:b/>
          <w:bCs/>
          <w:rtl/>
        </w:rPr>
        <w:t xml:space="preserve"> </w:t>
      </w:r>
      <w:r w:rsidRPr="00C819DF">
        <w:rPr>
          <w:rFonts w:ascii="Calibri" w:eastAsia="Times New Roman" w:hAnsi="Calibri" w:cs="Guttman Rashi"/>
          <w:noProof w:val="0"/>
          <w:sz w:val="10"/>
          <w:szCs w:val="12"/>
          <w:rtl/>
        </w:rPr>
        <w:t>(</w:t>
      </w:r>
      <w:r w:rsidRPr="00C819DF">
        <w:rPr>
          <w:rFonts w:ascii="Calibri" w:eastAsia="Times New Roman" w:hAnsi="Calibri" w:cs="Guttman Rashi" w:hint="cs"/>
          <w:noProof w:val="0"/>
          <w:sz w:val="10"/>
          <w:szCs w:val="12"/>
          <w:rtl/>
        </w:rPr>
        <w:t>סי' נ"א סק"א</w:t>
      </w:r>
      <w:r w:rsidRPr="00C819DF">
        <w:rPr>
          <w:rFonts w:ascii="Calibri" w:eastAsia="Times New Roman" w:hAnsi="Calibri" w:cs="Guttman Rashi"/>
          <w:noProof w:val="0"/>
          <w:sz w:val="10"/>
          <w:szCs w:val="12"/>
          <w:rtl/>
        </w:rPr>
        <w:t>)</w:t>
      </w:r>
      <w:r w:rsidRPr="00C819DF">
        <w:rPr>
          <w:vanish/>
          <w:rtl/>
        </w:rPr>
        <w:t>=</w:t>
      </w:r>
      <w:r>
        <w:rPr>
          <w:rtl/>
        </w:rPr>
        <w:t xml:space="preserve"> </w:t>
      </w:r>
      <w:r>
        <w:rPr>
          <w:rFonts w:hint="cs"/>
          <w:rtl/>
        </w:rPr>
        <w:t>דהא דמותר לשבור חבית ליטול גרוגרות, כשאינו מכוון לעשות כלי, היינו כיון דהוא דרך שבירה ואין איסור סותר, ואעפ"י דבסותר שלא ע"מ לבנות אסור מדרבנן, מ"מ הכא דאין בנין וסתירה בכלים מותר לכתחילה, וכתב</w:t>
      </w:r>
      <w:r>
        <w:rPr>
          <w:rtl/>
        </w:rPr>
        <w:t xml:space="preserve"> </w:t>
      </w:r>
      <w:r w:rsidRPr="00C819DF">
        <w:rPr>
          <w:rFonts w:hint="cs"/>
          <w:b/>
          <w:bCs/>
          <w:rtl/>
        </w:rPr>
        <w:t>החזו"א</w:t>
      </w:r>
      <w:r>
        <w:rPr>
          <w:rtl/>
        </w:rPr>
        <w:t xml:space="preserve"> </w:t>
      </w:r>
      <w:r>
        <w:rPr>
          <w:rFonts w:hint="cs"/>
          <w:rtl/>
        </w:rPr>
        <w:t>דאעפ"י דכתבו</w:t>
      </w:r>
      <w:r>
        <w:rPr>
          <w:rtl/>
        </w:rPr>
        <w:t xml:space="preserve"> </w:t>
      </w:r>
      <w:r w:rsidRPr="00C819DF">
        <w:rPr>
          <w:rFonts w:hint="cs"/>
          <w:b/>
          <w:bCs/>
          <w:rtl/>
        </w:rPr>
        <w:t>התוס'</w:t>
      </w:r>
      <w:r>
        <w:rPr>
          <w:rtl/>
        </w:rPr>
        <w:t xml:space="preserve"> </w:t>
      </w:r>
      <w:r w:rsidRPr="00C819DF">
        <w:rPr>
          <w:rFonts w:ascii="Calibri" w:eastAsia="Times New Roman" w:hAnsi="Calibri" w:cs="Guttman Rashi"/>
          <w:noProof w:val="0"/>
          <w:sz w:val="10"/>
          <w:szCs w:val="12"/>
          <w:rtl/>
        </w:rPr>
        <w:t xml:space="preserve">(עי' </w:t>
      </w:r>
      <w:r w:rsidRPr="00CA003E">
        <w:rPr>
          <w:rFonts w:ascii="Calibri" w:eastAsia="Times New Roman" w:hAnsi="Calibri" w:cs="Guttman Rashi"/>
          <w:noProof w:val="0"/>
          <w:sz w:val="10"/>
          <w:szCs w:val="12"/>
          <w:rtl/>
        </w:rPr>
        <w:t xml:space="preserve">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Pr>
        <w:instrText>REF</w:instrText>
      </w:r>
      <w:r>
        <w:rPr>
          <w:rFonts w:ascii="Calibri" w:eastAsia="Times New Roman" w:hAnsi="Calibri" w:cs="Guttman Rashi"/>
          <w:noProof w:val="0"/>
          <w:sz w:val="10"/>
          <w:szCs w:val="12"/>
          <w:rtl/>
        </w:rPr>
        <w:instrText xml:space="preserve"> _</w:instrText>
      </w:r>
      <w:r>
        <w:rPr>
          <w:rFonts w:ascii="Calibri" w:eastAsia="Times New Roman" w:hAnsi="Calibri" w:cs="Guttman Rashi"/>
          <w:noProof w:val="0"/>
          <w:sz w:val="10"/>
          <w:szCs w:val="12"/>
        </w:rPr>
        <w:instrText>Ref144829094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כא)</w:t>
      </w:r>
      <w:r>
        <w:rPr>
          <w:rFonts w:ascii="Calibri" w:eastAsia="Times New Roman" w:hAnsi="Calibri" w:cs="Guttman Rashi"/>
          <w:noProof w:val="0"/>
          <w:sz w:val="10"/>
          <w:szCs w:val="12"/>
          <w:rtl/>
        </w:rPr>
        <w:fldChar w:fldCharType="end"/>
      </w:r>
      <w:r>
        <w:rPr>
          <w:rtl/>
        </w:rPr>
        <w:t xml:space="preserve"> </w:t>
      </w:r>
      <w:r>
        <w:rPr>
          <w:rFonts w:hint="cs"/>
          <w:rtl/>
        </w:rPr>
        <w:t xml:space="preserve">דבעשיית כלי יש בנין בכלים, וא"כ אף לענין סתירה יש סתירה בכלים וחשיב סתירה, מ"מ כמו דבכלים האיסור הוא רק בבנין ומעשה גמור, ולא בהחזרת תריסין בגמ' בביצה </w:t>
      </w:r>
      <w:r w:rsidRPr="00C819DF">
        <w:rPr>
          <w:rFonts w:ascii="Calibri" w:eastAsia="Times New Roman" w:hAnsi="Calibri" w:cs="Guttman Rashi"/>
          <w:noProof w:val="0"/>
          <w:sz w:val="10"/>
          <w:szCs w:val="12"/>
          <w:rtl/>
        </w:rPr>
        <w:t>(</w:t>
      </w:r>
      <w:r w:rsidRPr="00C819DF">
        <w:rPr>
          <w:rFonts w:ascii="Calibri" w:eastAsia="Times New Roman" w:hAnsi="Calibri" w:cs="Guttman Rashi" w:hint="cs"/>
          <w:noProof w:val="0"/>
          <w:sz w:val="10"/>
          <w:szCs w:val="12"/>
          <w:rtl/>
        </w:rPr>
        <w:t>יא:</w:t>
      </w:r>
      <w:r w:rsidRPr="00C819DF">
        <w:rPr>
          <w:rFonts w:ascii="Calibri" w:eastAsia="Times New Roman" w:hAnsi="Calibri" w:cs="Guttman Rashi"/>
          <w:noProof w:val="0"/>
          <w:sz w:val="10"/>
          <w:szCs w:val="12"/>
          <w:rtl/>
        </w:rPr>
        <w:t>)</w:t>
      </w:r>
      <w:r>
        <w:rPr>
          <w:rtl/>
        </w:rPr>
        <w:t xml:space="preserve"> </w:t>
      </w:r>
      <w:r>
        <w:rPr>
          <w:rFonts w:hint="cs"/>
          <w:rtl/>
        </w:rPr>
        <w:t>והפקעת חותמות</w:t>
      </w:r>
      <w:r w:rsidRPr="0063390F">
        <w:rPr>
          <w:rFonts w:hint="cs"/>
          <w:rtl/>
        </w:rPr>
        <w:t xml:space="preserve"> </w:t>
      </w:r>
      <w:r>
        <w:rPr>
          <w:rFonts w:hint="cs"/>
          <w:rtl/>
        </w:rPr>
        <w:t xml:space="preserve">בגמ' בביצה </w:t>
      </w:r>
      <w:r w:rsidRPr="00C819DF">
        <w:rPr>
          <w:rFonts w:ascii="Calibri" w:eastAsia="Times New Roman" w:hAnsi="Calibri" w:cs="Guttman Rashi"/>
          <w:noProof w:val="0"/>
          <w:sz w:val="10"/>
          <w:szCs w:val="12"/>
          <w:rtl/>
        </w:rPr>
        <w:t>(</w:t>
      </w:r>
      <w:r w:rsidRPr="00C819DF">
        <w:rPr>
          <w:rFonts w:ascii="Calibri" w:eastAsia="Times New Roman" w:hAnsi="Calibri" w:cs="Guttman Rashi" w:hint="cs"/>
          <w:noProof w:val="0"/>
          <w:sz w:val="10"/>
          <w:szCs w:val="12"/>
          <w:rtl/>
        </w:rPr>
        <w:t>לא:</w:t>
      </w:r>
      <w:r w:rsidRPr="00C819DF">
        <w:rPr>
          <w:rFonts w:ascii="Calibri" w:eastAsia="Times New Roman" w:hAnsi="Calibri" w:cs="Guttman Rashi"/>
          <w:noProof w:val="0"/>
          <w:sz w:val="10"/>
          <w:szCs w:val="12"/>
          <w:rtl/>
        </w:rPr>
        <w:t>)</w:t>
      </w:r>
      <w:r>
        <w:rPr>
          <w:rFonts w:hint="cs"/>
          <w:rtl/>
        </w:rPr>
        <w:t>, ה"ה בסתירה דשבירה שלא כדרך אי"ז נחשב מלאכה בכלים, וכן מוכח להדיא בגמ' בעירובין</w:t>
      </w:r>
      <w:r>
        <w:rPr>
          <w:rtl/>
        </w:rPr>
        <w:t xml:space="preserve"> </w:t>
      </w:r>
      <w:r w:rsidRPr="00C819DF">
        <w:rPr>
          <w:rFonts w:ascii="Calibri" w:eastAsia="Times New Roman" w:hAnsi="Calibri" w:cs="Guttman Rashi"/>
          <w:noProof w:val="0"/>
          <w:sz w:val="10"/>
          <w:szCs w:val="12"/>
          <w:rtl/>
        </w:rPr>
        <w:t>(</w:t>
      </w:r>
      <w:r w:rsidRPr="00C819DF">
        <w:rPr>
          <w:rFonts w:ascii="Calibri" w:eastAsia="Times New Roman" w:hAnsi="Calibri" w:cs="Guttman Rashi" w:hint="cs"/>
          <w:noProof w:val="0"/>
          <w:sz w:val="10"/>
          <w:szCs w:val="12"/>
          <w:rtl/>
        </w:rPr>
        <w:t>לה.</w:t>
      </w:r>
      <w:r w:rsidRPr="00C819DF">
        <w:rPr>
          <w:rFonts w:ascii="Calibri" w:eastAsia="Times New Roman" w:hAnsi="Calibri" w:cs="Guttman Rashi"/>
          <w:noProof w:val="0"/>
          <w:sz w:val="10"/>
          <w:szCs w:val="12"/>
          <w:rtl/>
        </w:rPr>
        <w:t>)</w:t>
      </w:r>
      <w:r>
        <w:rPr>
          <w:rtl/>
        </w:rPr>
        <w:t xml:space="preserve"> </w:t>
      </w:r>
      <w:r>
        <w:rPr>
          <w:rFonts w:hint="cs"/>
          <w:rtl/>
        </w:rPr>
        <w:t>דמותר לשבור מגדל של עץ כיון דאין בנין וסתירה בכלים, וכתב</w:t>
      </w:r>
      <w:r>
        <w:rPr>
          <w:rtl/>
        </w:rPr>
        <w:t xml:space="preserve"> </w:t>
      </w:r>
      <w:r w:rsidRPr="00C819DF">
        <w:rPr>
          <w:rFonts w:hint="cs"/>
          <w:b/>
          <w:bCs/>
          <w:rtl/>
        </w:rPr>
        <w:t>החזו"א</w:t>
      </w:r>
      <w:r>
        <w:rPr>
          <w:rtl/>
        </w:rPr>
        <w:t xml:space="preserve"> </w:t>
      </w:r>
      <w:r>
        <w:rPr>
          <w:rFonts w:hint="cs"/>
          <w:rtl/>
        </w:rPr>
        <w:t>דהא דהגמ' בביצה</w:t>
      </w:r>
      <w:r>
        <w:rPr>
          <w:rtl/>
        </w:rPr>
        <w:t xml:space="preserve"> </w:t>
      </w:r>
      <w:r w:rsidRPr="00C819DF">
        <w:rPr>
          <w:rFonts w:ascii="Calibri" w:eastAsia="Times New Roman" w:hAnsi="Calibri" w:cs="Guttman Rashi"/>
          <w:noProof w:val="0"/>
          <w:sz w:val="10"/>
          <w:szCs w:val="12"/>
          <w:rtl/>
        </w:rPr>
        <w:t>(</w:t>
      </w:r>
      <w:r w:rsidRPr="00C819DF">
        <w:rPr>
          <w:rFonts w:ascii="Calibri" w:eastAsia="Times New Roman" w:hAnsi="Calibri" w:cs="Guttman Rashi" w:hint="cs"/>
          <w:noProof w:val="0"/>
          <w:sz w:val="10"/>
          <w:szCs w:val="12"/>
          <w:rtl/>
        </w:rPr>
        <w:t>לג:</w:t>
      </w:r>
      <w:r w:rsidRPr="00C819DF">
        <w:rPr>
          <w:rFonts w:ascii="Calibri" w:eastAsia="Times New Roman" w:hAnsi="Calibri" w:cs="Guttman Rashi"/>
          <w:noProof w:val="0"/>
          <w:sz w:val="10"/>
          <w:szCs w:val="12"/>
          <w:rtl/>
        </w:rPr>
        <w:t>)</w:t>
      </w:r>
      <w:r>
        <w:rPr>
          <w:rtl/>
        </w:rPr>
        <w:t xml:space="preserve"> </w:t>
      </w:r>
      <w:r>
        <w:rPr>
          <w:rFonts w:hint="cs"/>
          <w:rtl/>
        </w:rPr>
        <w:t>העמידה במוסתקי הוא כיון דאם מתכוין לעשות נקב יפה יש בזה בנין דאו', לכן אסרו בלא מוסתקי אף דאין בזה סתירה מדאו'.</w:t>
      </w:r>
      <w:bookmarkEnd w:id="5798"/>
    </w:p>
    <w:p w14:paraId="15255F93" w14:textId="77777777" w:rsidR="003E1AA3" w:rsidRPr="00BC7DC8" w:rsidRDefault="003E1AA3" w:rsidP="003E1AA3">
      <w:pPr>
        <w:pStyle w:val="afffffe"/>
        <w:rPr>
          <w:vanish/>
          <w:rtl/>
        </w:rPr>
      </w:pPr>
      <w:r w:rsidRPr="00BC7DC8">
        <w:rPr>
          <w:vanish/>
          <w:rtl/>
        </w:rPr>
        <w:t xml:space="preserve">חזון איש </w:t>
      </w:r>
      <w:r w:rsidRPr="00BC7DC8">
        <w:rPr>
          <w:rFonts w:hint="cs"/>
          <w:vanish/>
          <w:rtl/>
        </w:rPr>
        <w:t>או"ח סי'</w:t>
      </w:r>
      <w:r w:rsidRPr="00BC7DC8">
        <w:rPr>
          <w:vanish/>
          <w:rtl/>
        </w:rPr>
        <w:t xml:space="preserve"> נ</w:t>
      </w:r>
      <w:r w:rsidRPr="00BC7DC8">
        <w:rPr>
          <w:rFonts w:hint="cs"/>
          <w:vanish/>
          <w:rtl/>
        </w:rPr>
        <w:t>"</w:t>
      </w:r>
      <w:r w:rsidRPr="00BC7DC8">
        <w:rPr>
          <w:vanish/>
          <w:rtl/>
        </w:rPr>
        <w:t xml:space="preserve">א </w:t>
      </w:r>
      <w:r w:rsidRPr="00BC7DC8">
        <w:rPr>
          <w:rFonts w:hint="cs"/>
          <w:vanish/>
          <w:rtl/>
        </w:rPr>
        <w:t>סק"א</w:t>
      </w:r>
      <w:r w:rsidRPr="00BC7DC8">
        <w:rPr>
          <w:vanish/>
          <w:rtl/>
        </w:rPr>
        <w:t xml:space="preserve"> </w:t>
      </w:r>
    </w:p>
    <w:p w14:paraId="55D04CDD" w14:textId="77777777" w:rsidR="003E1AA3" w:rsidRPr="0018388A" w:rsidRDefault="003E1AA3" w:rsidP="003E1AA3">
      <w:pPr>
        <w:pStyle w:val="a2"/>
        <w:tabs>
          <w:tab w:val="num" w:pos="284"/>
        </w:tabs>
      </w:pPr>
      <w:r w:rsidRPr="0018388A">
        <w:rPr>
          <w:rtl/>
        </w:rPr>
        <w:t>שבת קמ"ו א' מתני' שובר אדם את החבית ליטול הימנו גרוגרות ובלבד שלא כו', דרך שבירה אין כאן איסור סתירה, אע"ג דסותר שלא ע"מ לבנות נמי איכא שבות, הכא משום דאין בנין וסתירה בכלים מותר לכתחלה, ואע"ג דבעשיית כלי ממש שייך בנין גם בכלים וכמש"כ תו' לעיל ק"ב ב' ד"ה האי, וא"כ גם סתירת כלי דין הוא דחשיבא סתירה, מ"מ מותר בכלים דכמו דלא חשיב בנין בכלים בהחזרת תריסין ביצה י"א ב' ובהפקעת חותמות שם ל"א ב' אע"ג דבמחובר תרויהו אסירי וע"כ דבכלים לא חייל שם בנין אלא במעשה גמור, ה"נ בסתירה דרך שבירה להוציא מה שבתוכה לא חייל שם מלאכה על זה בכלים והיינו דין חותך ומפקיע ולא אסרינן משום מלאכת סתירה, והכי אמרינן בהדיא עירובין ל"ה א' במגדל של עץ דמותר לשברו משום שאין בנין וסתירה בכלים, ומיהו דוקא שאינו מדקדק בשבירתה אבל אם מדקדק שיתהוה נקב יפה, בזה יש איסור בנין דעושה פתח והיינו דתנן ובלבד שלא יתכוין לעשות כלי, ובגמ' ביצה ל"ג ב' מסקינן דלא הותר רק במוסתקי, ומיהו מבואר בגמ' שם דמשום מלאכת סותר ליכא, אלא כיון שאם מדקדק לעשות נקב יפה איכא משום בונה מה"ת, ראוי לאסור אף בשובר דלמא ידקדק ולפיכך מוקי לה במוסתקי.</w:t>
      </w:r>
      <w:r>
        <w:rPr>
          <w:rtl/>
        </w:rPr>
        <w:t xml:space="preserve"> </w:t>
      </w:r>
    </w:p>
    <w:p w14:paraId="3321988C" w14:textId="77777777" w:rsidR="003E1AA3" w:rsidRDefault="003E1AA3" w:rsidP="003E1AA3">
      <w:pPr>
        <w:pStyle w:val="1"/>
        <w:rPr>
          <w:rtl/>
        </w:rPr>
      </w:pPr>
      <w:bookmarkStart w:id="5799" w:name="_Toc145019600"/>
      <w:bookmarkStart w:id="5800" w:name="_Toc145233989"/>
      <w:r>
        <w:rPr>
          <w:rFonts w:hint="cs"/>
          <w:rtl/>
        </w:rPr>
        <w:t>קו' הפרמ"ג בסתירת דברי הרא"ש</w:t>
      </w:r>
      <w:bookmarkEnd w:id="5799"/>
      <w:r>
        <w:rPr>
          <w:rFonts w:hint="cs"/>
          <w:rtl/>
        </w:rPr>
        <w:t xml:space="preserve"> אי יש סתירה בכלי שלם קטן</w:t>
      </w:r>
      <w:bookmarkEnd w:id="5800"/>
    </w:p>
    <w:p w14:paraId="2AE5F9AB" w14:textId="77777777" w:rsidR="003E1AA3" w:rsidRPr="00FC269C" w:rsidRDefault="003E1AA3" w:rsidP="003E1AA3">
      <w:pPr>
        <w:pStyle w:val="afffff7"/>
        <w:rPr>
          <w:rtl/>
        </w:rPr>
      </w:pPr>
      <w:bookmarkStart w:id="5801" w:name="_Toc145234076"/>
      <w:bookmarkStart w:id="5802" w:name="_Toc163506334"/>
      <w:r w:rsidRPr="00FC269C">
        <w:rPr>
          <w:rtl/>
        </w:rPr>
        <w:t>רא"ש עירובין פ</w:t>
      </w:r>
      <w:r w:rsidRPr="00FC269C">
        <w:rPr>
          <w:rFonts w:hint="cs"/>
          <w:rtl/>
        </w:rPr>
        <w:t>"</w:t>
      </w:r>
      <w:r w:rsidRPr="00FC269C">
        <w:rPr>
          <w:rtl/>
        </w:rPr>
        <w:t>ג סי</w:t>
      </w:r>
      <w:r w:rsidRPr="00FC269C">
        <w:rPr>
          <w:rFonts w:hint="cs"/>
          <w:rtl/>
        </w:rPr>
        <w:t>'</w:t>
      </w:r>
      <w:r w:rsidRPr="00FC269C">
        <w:rPr>
          <w:rtl/>
        </w:rPr>
        <w:t xml:space="preserve"> ה</w:t>
      </w:r>
      <w:r w:rsidRPr="00FC269C">
        <w:rPr>
          <w:rFonts w:hint="cs"/>
          <w:rtl/>
        </w:rPr>
        <w:t>'</w:t>
      </w:r>
      <w:bookmarkEnd w:id="5801"/>
      <w:bookmarkEnd w:id="5802"/>
    </w:p>
    <w:p w14:paraId="53A7E18C" w14:textId="77777777" w:rsidR="003E1AA3" w:rsidRDefault="003E1AA3" w:rsidP="003E1AA3">
      <w:pPr>
        <w:pStyle w:val="a7"/>
        <w:rPr>
          <w:rtl/>
        </w:rPr>
      </w:pPr>
      <w:bookmarkStart w:id="5803" w:name="_Toc145019601"/>
      <w:bookmarkStart w:id="5804" w:name="_Toc145233990"/>
      <w:r>
        <w:rPr>
          <w:rFonts w:hint="cs"/>
          <w:rtl/>
        </w:rPr>
        <w:t>בי' הרא"ש בעירובין דעושה כלי או מתקנו תיקון גמור בונה ול"ד לחוליות והיתר חבית במוסתקי</w:t>
      </w:r>
      <w:bookmarkEnd w:id="5803"/>
      <w:bookmarkEnd w:id="5804"/>
    </w:p>
    <w:p w14:paraId="6A849C30" w14:textId="34AD662F" w:rsidR="003E1AA3" w:rsidRDefault="003E1AA3" w:rsidP="00BC7DC8">
      <w:pPr>
        <w:pStyle w:val="a3"/>
        <w:rPr>
          <w:rtl/>
        </w:rPr>
      </w:pPr>
      <w:bookmarkStart w:id="5805" w:name="_Hlk144740563"/>
      <w:bookmarkStart w:id="5806" w:name="_Ref144454330"/>
      <w:r>
        <w:rPr>
          <w:rFonts w:hint="cs"/>
          <w:rtl/>
        </w:rPr>
        <w:t>כתב</w:t>
      </w:r>
      <w:r>
        <w:rPr>
          <w:rtl/>
        </w:rPr>
        <w:t xml:space="preserve"> </w:t>
      </w:r>
      <w:r w:rsidRPr="002466FD">
        <w:rPr>
          <w:b/>
          <w:bCs/>
          <w:rtl/>
        </w:rPr>
        <w:t>ה</w:t>
      </w:r>
      <w:r w:rsidRPr="002466FD">
        <w:rPr>
          <w:b/>
          <w:bCs/>
          <w:vanish/>
          <w:rtl/>
        </w:rPr>
        <w:t xml:space="preserve"> &lt;, </w:t>
      </w:r>
      <w:r w:rsidRPr="002466FD">
        <w:rPr>
          <w:b/>
          <w:bCs/>
          <w:vanish/>
          <w:rtl/>
        </w:rPr>
        <w:fldChar w:fldCharType="begin"/>
      </w:r>
      <w:r w:rsidRPr="002466FD">
        <w:rPr>
          <w:b/>
          <w:bCs/>
          <w:vanish/>
          <w:rtl/>
        </w:rPr>
        <w:instrText xml:space="preserve"> </w:instrText>
      </w:r>
      <w:r w:rsidRPr="002466FD">
        <w:rPr>
          <w:b/>
          <w:bCs/>
          <w:vanish/>
        </w:rPr>
        <w:instrText>REF</w:instrText>
      </w:r>
      <w:r w:rsidRPr="002466FD">
        <w:rPr>
          <w:b/>
          <w:bCs/>
          <w:vanish/>
          <w:rtl/>
        </w:rPr>
        <w:instrText xml:space="preserve"> _</w:instrText>
      </w:r>
      <w:r w:rsidRPr="002466FD">
        <w:rPr>
          <w:b/>
          <w:bCs/>
          <w:vanish/>
        </w:rPr>
        <w:instrText>Ref144454330 \r \h</w:instrText>
      </w:r>
      <w:r w:rsidRPr="002466FD">
        <w:rPr>
          <w:b/>
          <w:bCs/>
          <w:vanish/>
          <w:rtl/>
        </w:rPr>
        <w:instrText xml:space="preserve"> </w:instrText>
      </w:r>
      <w:r w:rsidRPr="002466FD">
        <w:rPr>
          <w:b/>
          <w:bCs/>
          <w:vanish/>
          <w:rtl/>
        </w:rPr>
      </w:r>
      <w:r w:rsidRPr="002466FD">
        <w:rPr>
          <w:b/>
          <w:bCs/>
          <w:vanish/>
          <w:rtl/>
        </w:rPr>
        <w:fldChar w:fldCharType="separate"/>
      </w:r>
      <w:r w:rsidR="00D82181">
        <w:rPr>
          <w:b/>
          <w:bCs/>
          <w:vanish/>
          <w:cs/>
        </w:rPr>
        <w:t>‎</w:t>
      </w:r>
      <w:r w:rsidR="00D82181">
        <w:rPr>
          <w:b/>
          <w:bCs/>
          <w:vanish/>
          <w:rtl/>
        </w:rPr>
        <w:t>פד)</w:t>
      </w:r>
      <w:r w:rsidRPr="002466FD">
        <w:rPr>
          <w:b/>
          <w:bCs/>
          <w:vanish/>
          <w:rtl/>
        </w:rPr>
        <w:fldChar w:fldCharType="end"/>
      </w:r>
      <w:r w:rsidRPr="002466FD">
        <w:rPr>
          <w:b/>
          <w:bCs/>
          <w:vanish/>
          <w:rtl/>
        </w:rPr>
        <w:t xml:space="preserve"> &gt;</w:t>
      </w:r>
      <w:r w:rsidRPr="002466FD">
        <w:rPr>
          <w:rFonts w:hint="cs"/>
          <w:b/>
          <w:bCs/>
          <w:rtl/>
        </w:rPr>
        <w:t>רא"ש בעירובין</w:t>
      </w:r>
      <w:r w:rsidRPr="002466FD">
        <w:rPr>
          <w:b/>
          <w:bCs/>
          <w:rtl/>
        </w:rPr>
        <w:t xml:space="preserve"> </w:t>
      </w:r>
      <w:r w:rsidRPr="002466FD">
        <w:rPr>
          <w:rFonts w:ascii="Calibri" w:eastAsia="Times New Roman" w:hAnsi="Calibri" w:cs="Guttman Rashi"/>
          <w:noProof w:val="0"/>
          <w:sz w:val="10"/>
          <w:szCs w:val="12"/>
          <w:rtl/>
        </w:rPr>
        <w:t>(</w:t>
      </w:r>
      <w:r w:rsidRPr="002466FD">
        <w:rPr>
          <w:rFonts w:ascii="Calibri" w:eastAsia="Times New Roman" w:hAnsi="Calibri" w:cs="Guttman Rashi" w:hint="cs"/>
          <w:noProof w:val="0"/>
          <w:sz w:val="10"/>
          <w:szCs w:val="12"/>
          <w:rtl/>
        </w:rPr>
        <w:t>פ"ג סי' ה'</w:t>
      </w:r>
      <w:r w:rsidRPr="002466FD">
        <w:rPr>
          <w:rFonts w:ascii="Calibri" w:eastAsia="Times New Roman" w:hAnsi="Calibri" w:cs="Guttman Rashi"/>
          <w:noProof w:val="0"/>
          <w:sz w:val="10"/>
          <w:szCs w:val="12"/>
          <w:rtl/>
        </w:rPr>
        <w:t>)</w:t>
      </w:r>
      <w:r w:rsidRPr="002466FD">
        <w:rPr>
          <w:vanish/>
          <w:rtl/>
        </w:rPr>
        <w:t>=</w:t>
      </w:r>
      <w:r>
        <w:rPr>
          <w:rtl/>
        </w:rPr>
        <w:t xml:space="preserve"> </w:t>
      </w:r>
      <w:r>
        <w:rPr>
          <w:rFonts w:hint="cs"/>
          <w:b/>
          <w:bCs/>
          <w:rtl/>
        </w:rPr>
        <w:t>והתוס' ה</w:t>
      </w:r>
      <w:r w:rsidRPr="002466FD">
        <w:rPr>
          <w:rFonts w:hint="cs"/>
          <w:b/>
          <w:bCs/>
          <w:rtl/>
        </w:rPr>
        <w:t>רא"ש בעירובין</w:t>
      </w:r>
      <w:r w:rsidRPr="002466FD">
        <w:rPr>
          <w:b/>
          <w:bCs/>
          <w:rtl/>
        </w:rPr>
        <w:t xml:space="preserve"> </w:t>
      </w:r>
      <w:r w:rsidRPr="002466FD">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 xml:space="preserve">עי' </w:t>
      </w:r>
      <w:r w:rsidRPr="00C62726">
        <w:rPr>
          <w:rStyle w:val="af2"/>
          <w:rFonts w:eastAsia="Guttman Hodes" w:hint="cs"/>
          <w:rtl/>
        </w:rPr>
        <w:t xml:space="preserve">אות </w:t>
      </w:r>
      <w:r w:rsidRPr="00C62726">
        <w:rPr>
          <w:rStyle w:val="af2"/>
          <w:rtl/>
        </w:rPr>
        <w:fldChar w:fldCharType="begin"/>
      </w:r>
      <w:r w:rsidRPr="00C62726">
        <w:rPr>
          <w:rStyle w:val="af2"/>
          <w:rFonts w:eastAsia="Guttman Hodes"/>
          <w:rtl/>
        </w:rPr>
        <w:instrText xml:space="preserve"> </w:instrText>
      </w:r>
      <w:r w:rsidRPr="00C62726">
        <w:rPr>
          <w:rStyle w:val="af2"/>
          <w:rFonts w:eastAsia="Guttman Hodes"/>
        </w:rPr>
        <w:instrText>REF</w:instrText>
      </w:r>
      <w:r w:rsidRPr="00C62726">
        <w:rPr>
          <w:rStyle w:val="af2"/>
          <w:rFonts w:eastAsia="Guttman Hodes"/>
          <w:rtl/>
        </w:rPr>
        <w:instrText xml:space="preserve"> _</w:instrText>
      </w:r>
      <w:r w:rsidRPr="00C62726">
        <w:rPr>
          <w:rStyle w:val="af2"/>
          <w:rFonts w:eastAsia="Guttman Hodes"/>
        </w:rPr>
        <w:instrText>Ref145233412 \r \h</w:instrText>
      </w:r>
      <w:r w:rsidRPr="00C62726">
        <w:rPr>
          <w:rStyle w:val="af2"/>
          <w:rFonts w:eastAsia="Guttman Hodes"/>
          <w:rtl/>
        </w:rPr>
        <w:instrText xml:space="preserve"> </w:instrText>
      </w:r>
      <w:r w:rsidRPr="00C62726">
        <w:rPr>
          <w:rStyle w:val="af2"/>
          <w:rFonts w:eastAsia="Guttman Hodes"/>
          <w:rtl/>
        </w:rPr>
      </w:r>
      <w:r w:rsidRPr="00C62726">
        <w:rPr>
          <w:rStyle w:val="af2"/>
          <w:rtl/>
        </w:rPr>
        <w:fldChar w:fldCharType="separate"/>
      </w:r>
      <w:r w:rsidR="00D82181">
        <w:rPr>
          <w:rStyle w:val="af2"/>
          <w:rFonts w:eastAsia="Guttman Hodes"/>
          <w:cs/>
        </w:rPr>
        <w:t>‎</w:t>
      </w:r>
      <w:r w:rsidR="00D82181">
        <w:rPr>
          <w:rStyle w:val="af2"/>
          <w:rFonts w:eastAsia="Guttman Hodes"/>
          <w:rtl/>
        </w:rPr>
        <w:t>סז)</w:t>
      </w:r>
      <w:r w:rsidRPr="00C62726">
        <w:rPr>
          <w:rStyle w:val="af2"/>
          <w:rFonts w:eastAsia="Guttman Hodes"/>
          <w:rtl/>
        </w:rPr>
        <w:fldChar w:fldCharType="end"/>
      </w:r>
      <w:r>
        <w:rPr>
          <w:rtl/>
        </w:rPr>
        <w:t xml:space="preserve"> </w:t>
      </w:r>
      <w:r>
        <w:rPr>
          <w:rFonts w:hint="cs"/>
          <w:rtl/>
        </w:rPr>
        <w:t xml:space="preserve">דבנין גמור שייך אף בכלים, בעושה את כל הכלי או במתקנו תיקון גמור, ולכן אסור לשבור מגדל של עץ </w:t>
      </w:r>
      <w:r w:rsidRPr="007C5210">
        <w:rPr>
          <w:rFonts w:hint="cs"/>
          <w:rtl/>
        </w:rPr>
        <w:t>שמא יתכוון לתקנו לכלי, ו</w:t>
      </w:r>
      <w:r>
        <w:rPr>
          <w:rFonts w:hint="cs"/>
          <w:rtl/>
        </w:rPr>
        <w:t>הא דאיתא בגמ' לקמן</w:t>
      </w:r>
      <w:r>
        <w:rPr>
          <w:rtl/>
        </w:rPr>
        <w:t xml:space="preserve"> </w:t>
      </w:r>
      <w:r w:rsidRPr="002466FD">
        <w:rPr>
          <w:rFonts w:ascii="Calibri" w:eastAsia="Times New Roman" w:hAnsi="Calibri" w:cs="Guttman Rashi"/>
          <w:noProof w:val="0"/>
          <w:sz w:val="10"/>
          <w:szCs w:val="12"/>
          <w:rtl/>
        </w:rPr>
        <w:t>(</w:t>
      </w:r>
      <w:r w:rsidRPr="002466FD">
        <w:rPr>
          <w:rFonts w:ascii="Calibri" w:eastAsia="Times New Roman" w:hAnsi="Calibri" w:cs="Guttman Rashi" w:hint="cs"/>
          <w:noProof w:val="0"/>
          <w:sz w:val="10"/>
          <w:szCs w:val="12"/>
          <w:rtl/>
        </w:rPr>
        <w:t>קמו.</w:t>
      </w:r>
      <w:r w:rsidRPr="002466FD">
        <w:rPr>
          <w:rFonts w:ascii="Calibri" w:eastAsia="Times New Roman" w:hAnsi="Calibri" w:cs="Guttman Rashi"/>
          <w:noProof w:val="0"/>
          <w:sz w:val="10"/>
          <w:szCs w:val="12"/>
          <w:rtl/>
        </w:rPr>
        <w:t>)</w:t>
      </w:r>
      <w:r>
        <w:rPr>
          <w:rtl/>
        </w:rPr>
        <w:t xml:space="preserve"> </w:t>
      </w:r>
      <w:r>
        <w:rPr>
          <w:rFonts w:hint="cs"/>
          <w:rtl/>
        </w:rPr>
        <w:t xml:space="preserve">דמותר לשבור חבית, היינו </w:t>
      </w:r>
      <w:r w:rsidRPr="007C5210">
        <w:rPr>
          <w:rFonts w:hint="cs"/>
          <w:rtl/>
        </w:rPr>
        <w:t xml:space="preserve">במוסתקי </w:t>
      </w:r>
      <w:bookmarkEnd w:id="5805"/>
      <w:r>
        <w:rPr>
          <w:rFonts w:hint="cs"/>
          <w:rtl/>
        </w:rPr>
        <w:t>כדאיתא בגמ' בביצה</w:t>
      </w:r>
      <w:r>
        <w:rPr>
          <w:rtl/>
        </w:rPr>
        <w:t xml:space="preserve"> </w:t>
      </w:r>
      <w:r w:rsidRPr="002466FD">
        <w:rPr>
          <w:rFonts w:ascii="Calibri" w:eastAsia="Times New Roman" w:hAnsi="Calibri" w:cs="Guttman Rashi"/>
          <w:noProof w:val="0"/>
          <w:sz w:val="10"/>
          <w:szCs w:val="12"/>
          <w:rtl/>
        </w:rPr>
        <w:t>(</w:t>
      </w:r>
      <w:r w:rsidRPr="002466FD">
        <w:rPr>
          <w:rFonts w:ascii="Calibri" w:eastAsia="Times New Roman" w:hAnsi="Calibri" w:cs="Guttman Rashi" w:hint="cs"/>
          <w:noProof w:val="0"/>
          <w:sz w:val="10"/>
          <w:szCs w:val="12"/>
          <w:rtl/>
        </w:rPr>
        <w:t>לג:</w:t>
      </w:r>
      <w:r w:rsidRPr="002466FD">
        <w:rPr>
          <w:rFonts w:ascii="Calibri" w:eastAsia="Times New Roman" w:hAnsi="Calibri" w:cs="Guttman Rashi"/>
          <w:noProof w:val="0"/>
          <w:sz w:val="10"/>
          <w:szCs w:val="12"/>
          <w:rtl/>
        </w:rPr>
        <w:t>)</w:t>
      </w:r>
      <w:r>
        <w:rPr>
          <w:rtl/>
        </w:rPr>
        <w:t xml:space="preserve"> </w:t>
      </w:r>
      <w:r>
        <w:rPr>
          <w:rFonts w:hint="cs"/>
          <w:rtl/>
        </w:rPr>
        <w:t>וכדביאר</w:t>
      </w:r>
      <w:r>
        <w:rPr>
          <w:rtl/>
        </w:rPr>
        <w:t xml:space="preserve"> </w:t>
      </w:r>
      <w:r w:rsidRPr="002466FD">
        <w:rPr>
          <w:rFonts w:hint="cs"/>
          <w:b/>
          <w:bCs/>
          <w:rtl/>
        </w:rPr>
        <w:t>רש"י בביצה</w:t>
      </w:r>
      <w:r>
        <w:rPr>
          <w:rtl/>
        </w:rPr>
        <w:t xml:space="preserve"> </w:t>
      </w:r>
      <w:r w:rsidRPr="002466FD">
        <w:rPr>
          <w:rFonts w:ascii="Calibri" w:eastAsia="Times New Roman" w:hAnsi="Calibri" w:cs="Guttman Rashi"/>
          <w:noProof w:val="0"/>
          <w:sz w:val="10"/>
          <w:szCs w:val="12"/>
          <w:rtl/>
        </w:rPr>
        <w:t>(</w:t>
      </w:r>
      <w:r w:rsidRPr="002466FD">
        <w:rPr>
          <w:rFonts w:ascii="Calibri" w:eastAsia="Times New Roman" w:hAnsi="Calibri" w:cs="Guttman Rashi" w:hint="cs"/>
          <w:noProof w:val="0"/>
          <w:sz w:val="10"/>
          <w:szCs w:val="12"/>
          <w:rtl/>
        </w:rPr>
        <w:t>לג: ד"ה במוסתקי</w:t>
      </w:r>
      <w:r w:rsidRPr="002466FD">
        <w:rPr>
          <w:rFonts w:ascii="Calibri" w:eastAsia="Times New Roman" w:hAnsi="Calibri" w:cs="Guttman Rashi"/>
          <w:noProof w:val="0"/>
          <w:sz w:val="10"/>
          <w:szCs w:val="12"/>
          <w:rtl/>
        </w:rPr>
        <w:t>)</w:t>
      </w:r>
      <w:r>
        <w:rPr>
          <w:rtl/>
        </w:rPr>
        <w:t xml:space="preserve"> </w:t>
      </w:r>
      <w:r w:rsidRPr="007C5210">
        <w:rPr>
          <w:rFonts w:hint="cs"/>
          <w:rtl/>
        </w:rPr>
        <w:t>ד</w:t>
      </w:r>
      <w:r>
        <w:rPr>
          <w:rFonts w:hint="cs"/>
          <w:rtl/>
        </w:rPr>
        <w:t>הוא חבית מודבקת, וכיון ד</w:t>
      </w:r>
      <w:r w:rsidRPr="007C5210">
        <w:rPr>
          <w:rFonts w:hint="cs"/>
          <w:rtl/>
        </w:rPr>
        <w:t>גריעה אין חשש שיתקן כלי ומותר, ולכן ח</w:t>
      </w:r>
      <w:r>
        <w:rPr>
          <w:rFonts w:hint="cs"/>
          <w:rtl/>
        </w:rPr>
        <w:t xml:space="preserve">ייב רב בבונה במעייל שופתא בקופינא דמרא, ודלא </w:t>
      </w:r>
      <w:r w:rsidRPr="002466FD">
        <w:rPr>
          <w:rFonts w:hint="cs"/>
          <w:b/>
          <w:bCs/>
          <w:rtl/>
        </w:rPr>
        <w:t>כרש"י לעיל</w:t>
      </w:r>
      <w:r>
        <w:rPr>
          <w:rtl/>
        </w:rPr>
        <w:t xml:space="preserve"> </w:t>
      </w:r>
      <w:r w:rsidRPr="002466FD">
        <w:rPr>
          <w:rFonts w:ascii="Calibri" w:eastAsia="Times New Roman" w:hAnsi="Calibri" w:cs="Guttman Rashi"/>
          <w:noProof w:val="0"/>
          <w:sz w:val="10"/>
          <w:szCs w:val="12"/>
          <w:rtl/>
        </w:rPr>
        <w:t xml:space="preserve">(עי' </w:t>
      </w:r>
      <w:r>
        <w:rPr>
          <w:rStyle w:val="af2"/>
          <w:rFonts w:eastAsia="Guttman Hodes" w:hint="cs"/>
          <w:rtl/>
        </w:rPr>
        <w:t xml:space="preserve">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Ref145186884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א)</w:t>
      </w:r>
      <w:r>
        <w:rPr>
          <w:rStyle w:val="af2"/>
          <w:rFonts w:eastAsia="Guttman Hodes"/>
          <w:rtl/>
        </w:rPr>
        <w:fldChar w:fldCharType="end"/>
      </w:r>
      <w:r w:rsidRPr="002466FD">
        <w:rPr>
          <w:rFonts w:ascii="Calibri" w:eastAsia="Times New Roman" w:hAnsi="Calibri" w:cs="Guttman Rashi" w:hint="cs"/>
          <w:noProof w:val="0"/>
          <w:sz w:val="10"/>
          <w:szCs w:val="12"/>
          <w:rtl/>
        </w:rPr>
        <w:t xml:space="preserve"> </w:t>
      </w:r>
      <w:r>
        <w:rPr>
          <w:rFonts w:hint="cs"/>
          <w:rtl/>
        </w:rPr>
        <w:t>דכתב לענין דאין בנין בכלים אף בחביתא דעושה כלי בתחילה, וכתב</w:t>
      </w:r>
      <w:r>
        <w:rPr>
          <w:rtl/>
        </w:rPr>
        <w:t xml:space="preserve"> </w:t>
      </w:r>
      <w:r w:rsidRPr="002466FD">
        <w:rPr>
          <w:rFonts w:hint="cs"/>
          <w:b/>
          <w:bCs/>
          <w:rtl/>
        </w:rPr>
        <w:t>הרא"ש בעירובין</w:t>
      </w:r>
      <w:r>
        <w:rPr>
          <w:rtl/>
        </w:rPr>
        <w:t xml:space="preserve"> </w:t>
      </w:r>
      <w:r>
        <w:rPr>
          <w:rFonts w:hint="cs"/>
          <w:rtl/>
        </w:rPr>
        <w:t>דהא דאמרינן דאין בנין בכלים היינו כגון החזרת מנורה של חוליות, אבל בעושה את כל הכלי, או במתקן תיקון גמור יש בנין בכלים.</w:t>
      </w:r>
    </w:p>
    <w:p w14:paraId="7C68BF97" w14:textId="77777777" w:rsidR="003E1AA3" w:rsidRPr="00BC7DC8" w:rsidRDefault="003E1AA3" w:rsidP="003E1AA3">
      <w:pPr>
        <w:pStyle w:val="afffffe"/>
        <w:rPr>
          <w:vanish/>
          <w:rtl/>
        </w:rPr>
      </w:pPr>
      <w:r w:rsidRPr="00BC7DC8">
        <w:rPr>
          <w:vanish/>
          <w:rtl/>
        </w:rPr>
        <w:t>רא"ש עירובין פ</w:t>
      </w:r>
      <w:r w:rsidRPr="00BC7DC8">
        <w:rPr>
          <w:rFonts w:hint="cs"/>
          <w:vanish/>
          <w:rtl/>
        </w:rPr>
        <w:t>"</w:t>
      </w:r>
      <w:r w:rsidRPr="00BC7DC8">
        <w:rPr>
          <w:vanish/>
          <w:rtl/>
        </w:rPr>
        <w:t>ג סי</w:t>
      </w:r>
      <w:r w:rsidRPr="00BC7DC8">
        <w:rPr>
          <w:rFonts w:hint="cs"/>
          <w:vanish/>
          <w:rtl/>
        </w:rPr>
        <w:t>'</w:t>
      </w:r>
      <w:r w:rsidRPr="00BC7DC8">
        <w:rPr>
          <w:vanish/>
          <w:rtl/>
        </w:rPr>
        <w:t xml:space="preserve"> ה</w:t>
      </w:r>
      <w:r w:rsidRPr="00BC7DC8">
        <w:rPr>
          <w:rFonts w:hint="cs"/>
          <w:vanish/>
          <w:rtl/>
        </w:rPr>
        <w:t>'</w:t>
      </w:r>
    </w:p>
    <w:p w14:paraId="598B021C" w14:textId="77777777" w:rsidR="003E1AA3" w:rsidRPr="00FC2169" w:rsidRDefault="003E1AA3" w:rsidP="003E1AA3">
      <w:pPr>
        <w:pStyle w:val="a2"/>
        <w:tabs>
          <w:tab w:val="num" w:pos="284"/>
        </w:tabs>
        <w:rPr>
          <w:rtl/>
        </w:rPr>
      </w:pPr>
      <w:r w:rsidRPr="0018388A">
        <w:rPr>
          <w:rtl/>
        </w:rPr>
        <w:t>גמ' ואמאי הוא במקום אחד ועירובו במקום אחר הוא. רב ושמואל דאמרי תרוייהו הכא במגדל של בנין עסקינן ור"מ היא דאמר פוחת לכתחלה ונוטל. משמע דסלקא אדעתא מעיקרא דאיירי במגדל של עץ שהוא כלי. וכן סתם מגדל שהוא מזכיר בגמרא בכל מקום הוא של עץ. שהרי הוא שונה בכל מקום שידה תיבה ומגדל. ותימה מאי קשיא ליה הוא במקום אחד ועירובו במקום אחד והלא מותר לשבר כלי בשבת לאכול מה שבתוכו כדתנן במס' שבת פרק חבית (דף קמו א) שובר אדם את החבית לאכול ממנו גרוגרות. ויש לומר דבמסכת יום טוב (דף לג ב) מוקי לה במוסתקי ופי' רש"י שברי כלים המדובקות יחד ע"י זפת דמחמת גריעותו לא חיישינן שמא יתכוין לעשות כלי</w:t>
      </w:r>
      <w:r w:rsidRPr="00FC2169">
        <w:rPr>
          <w:rStyle w:val="afff7"/>
          <w:rtl/>
        </w:rPr>
        <w:t>. ואף על גב דהתם לא מוקי לה במוסתקי אלא לר"א. מיהו גם לרבנן איכא לאוקומי הכי דרבנן לא פליגי עליה דר"א דקאמר ולא להריח בו אלא משום דאיהו סבירא ליה דבקטימת קיסם לחצות בו שיניו חייב חטאת. ורבנן נמי אי הוו מחייבי הוו מודו דאסור לקטום ולהריח. הלכך בתיקון כלי דשייך ביה בנין מודו רבנן דאסור לשבר החבית ולאכול ממנו גרוגרות אי לאו דאיירי במוסתקי.</w:t>
      </w:r>
      <w:r w:rsidRPr="00FC2169">
        <w:rPr>
          <w:rtl/>
        </w:rPr>
        <w:t xml:space="preserve"> דבנין גמור וסתירה גמורה שייכא שפיר בכלים כדאמרינן בריש הבונה (דף קב ב) האי מאן דעייל שופתא בקופינא דמרא חייב משום בונה ולא כמו שפירש"י בפרק כלל גדול (דף עד ב) גבי מאן דעביד חביתא ותנורא וחלתא דמשום בונה לא מיחייב דאין בנין בכלים. והא דאמר בכל דוכתא אין בנין בכלים היינו דוקא כעין החזרת מנורה ומנורה של חוליות בפ' כירה (דף מו א) ובפ' שני דיום טוב (דף כב א) אבל כשעושה כל הכלי או תיקון גמור מיקרי שפיר בנין</w:t>
      </w:r>
      <w:r w:rsidRPr="00FC2169">
        <w:rPr>
          <w:rFonts w:hint="cs"/>
          <w:rtl/>
        </w:rPr>
        <w:t>.</w:t>
      </w:r>
    </w:p>
    <w:p w14:paraId="44DCC88F" w14:textId="77777777" w:rsidR="003E1AA3" w:rsidRPr="00FC2169" w:rsidRDefault="003E1AA3" w:rsidP="003E1AA3">
      <w:pPr>
        <w:pStyle w:val="a7"/>
      </w:pPr>
      <w:bookmarkStart w:id="5807" w:name="_Toc145233991"/>
      <w:r w:rsidRPr="00FC2169">
        <w:rPr>
          <w:rFonts w:hint="cs"/>
          <w:rtl/>
        </w:rPr>
        <w:t>בי' הרא"ש בעירובין דהיתר סתירה במגדל הוא בקשור או בדלת ולא בשובר כלי גמור</w:t>
      </w:r>
      <w:bookmarkEnd w:id="5807"/>
    </w:p>
    <w:p w14:paraId="6506EE5D" w14:textId="77777777" w:rsidR="003E1AA3" w:rsidRPr="006457B5" w:rsidRDefault="003E1AA3" w:rsidP="00BC7DC8">
      <w:pPr>
        <w:pStyle w:val="a3"/>
        <w:rPr>
          <w:rtl/>
        </w:rPr>
      </w:pPr>
      <w:r>
        <w:rPr>
          <w:rFonts w:hint="cs"/>
          <w:rtl/>
        </w:rPr>
        <w:t>וכתב</w:t>
      </w:r>
      <w:r>
        <w:rPr>
          <w:rtl/>
        </w:rPr>
        <w:t xml:space="preserve"> </w:t>
      </w:r>
      <w:r w:rsidRPr="002466FD">
        <w:rPr>
          <w:rFonts w:hint="cs"/>
          <w:b/>
          <w:bCs/>
          <w:rtl/>
        </w:rPr>
        <w:t>הרא"ש בעירובין</w:t>
      </w:r>
      <w:r>
        <w:rPr>
          <w:rtl/>
        </w:rPr>
        <w:t xml:space="preserve"> </w:t>
      </w:r>
      <w:r>
        <w:rPr>
          <w:rFonts w:hint="cs"/>
          <w:rtl/>
        </w:rPr>
        <w:t>דהא דאיתא בגמ' בעירובין</w:t>
      </w:r>
      <w:r>
        <w:rPr>
          <w:rtl/>
        </w:rPr>
        <w:t xml:space="preserve"> </w:t>
      </w:r>
      <w:r w:rsidRPr="002466FD">
        <w:rPr>
          <w:rFonts w:ascii="Calibri" w:eastAsia="Times New Roman" w:hAnsi="Calibri" w:cs="Guttman Rashi"/>
          <w:noProof w:val="0"/>
          <w:sz w:val="10"/>
          <w:szCs w:val="12"/>
          <w:rtl/>
        </w:rPr>
        <w:t>(</w:t>
      </w:r>
      <w:r w:rsidRPr="002466FD">
        <w:rPr>
          <w:rFonts w:ascii="Calibri" w:eastAsia="Times New Roman" w:hAnsi="Calibri" w:cs="Guttman Rashi" w:hint="cs"/>
          <w:noProof w:val="0"/>
          <w:sz w:val="10"/>
          <w:szCs w:val="12"/>
          <w:rtl/>
        </w:rPr>
        <w:t>לה.</w:t>
      </w:r>
      <w:r w:rsidRPr="002466FD">
        <w:rPr>
          <w:rFonts w:ascii="Calibri" w:eastAsia="Times New Roman" w:hAnsi="Calibri" w:cs="Guttman Rashi"/>
          <w:noProof w:val="0"/>
          <w:sz w:val="10"/>
          <w:szCs w:val="12"/>
          <w:rtl/>
        </w:rPr>
        <w:t>)</w:t>
      </w:r>
      <w:r>
        <w:rPr>
          <w:rtl/>
        </w:rPr>
        <w:t xml:space="preserve"> </w:t>
      </w:r>
      <w:r>
        <w:rPr>
          <w:rFonts w:hint="cs"/>
          <w:rtl/>
        </w:rPr>
        <w:t>דההיתר במגדל הוא משום דאין בנין בכלים היינו כמו שהעמידה הגמ' בקשור בקשר שאפשר לחותכו, או דאיירי לענין נטילת דלת, כדברי רבא בגמ' לקמן</w:t>
      </w:r>
      <w:r>
        <w:rPr>
          <w:rtl/>
        </w:rPr>
        <w:t xml:space="preserve"> </w:t>
      </w:r>
      <w:r w:rsidRPr="002466FD">
        <w:rPr>
          <w:rFonts w:ascii="Calibri" w:eastAsia="Times New Roman" w:hAnsi="Calibri" w:cs="Guttman Rashi"/>
          <w:noProof w:val="0"/>
          <w:sz w:val="10"/>
          <w:szCs w:val="12"/>
          <w:rtl/>
        </w:rPr>
        <w:t>(</w:t>
      </w:r>
      <w:r w:rsidRPr="002466FD">
        <w:rPr>
          <w:rFonts w:ascii="Calibri" w:eastAsia="Times New Roman" w:hAnsi="Calibri" w:cs="Guttman Rashi" w:hint="cs"/>
          <w:noProof w:val="0"/>
          <w:sz w:val="10"/>
          <w:szCs w:val="12"/>
          <w:rtl/>
        </w:rPr>
        <w:t>קכב:</w:t>
      </w:r>
      <w:r w:rsidRPr="002466FD">
        <w:rPr>
          <w:rFonts w:ascii="Calibri" w:eastAsia="Times New Roman" w:hAnsi="Calibri" w:cs="Guttman Rashi"/>
          <w:noProof w:val="0"/>
          <w:sz w:val="10"/>
          <w:szCs w:val="12"/>
          <w:rtl/>
        </w:rPr>
        <w:t>)</w:t>
      </w:r>
      <w:r>
        <w:rPr>
          <w:rtl/>
        </w:rPr>
        <w:t xml:space="preserve"> </w:t>
      </w:r>
      <w:r>
        <w:rPr>
          <w:rFonts w:hint="cs"/>
          <w:rtl/>
        </w:rPr>
        <w:t xml:space="preserve">דבכה"ג אין בנין בכלים, אבל מפתח גמור של עץ או מתכת אסור לשבור, דאף בכלים יש בנין גמור וסתירה גמורה. </w:t>
      </w:r>
      <w:r w:rsidRPr="00DD6918">
        <w:rPr>
          <w:rStyle w:val="af"/>
          <w:rFonts w:hint="cs"/>
          <w:rtl/>
        </w:rPr>
        <w:t xml:space="preserve">[ועי' במ"ש </w:t>
      </w:r>
      <w:r w:rsidRPr="00DD6918">
        <w:rPr>
          <w:rStyle w:val="aff9"/>
          <w:rFonts w:hint="cs"/>
          <w:rtl/>
        </w:rPr>
        <w:t>ה</w:t>
      </w:r>
      <w:r w:rsidRPr="002466FD">
        <w:rPr>
          <w:rStyle w:val="aff9"/>
          <w:rFonts w:hint="cs"/>
          <w:vanish/>
          <w:rtl/>
        </w:rPr>
        <w:t>&lt; &gt;</w:t>
      </w:r>
      <w:r w:rsidRPr="00DD6918">
        <w:rPr>
          <w:rStyle w:val="aff9"/>
          <w:rFonts w:hint="cs"/>
          <w:rtl/>
        </w:rPr>
        <w:t>אגרות משה</w:t>
      </w:r>
      <w:r w:rsidRPr="00DD6918">
        <w:rPr>
          <w:rStyle w:val="af"/>
          <w:rtl/>
        </w:rPr>
        <w:t xml:space="preserve"> </w:t>
      </w:r>
      <w:r w:rsidRPr="00DD6918">
        <w:rPr>
          <w:rStyle w:val="aff0"/>
          <w:rtl/>
        </w:rPr>
        <w:t>(</w:t>
      </w:r>
      <w:r w:rsidRPr="00DD6918">
        <w:rPr>
          <w:rStyle w:val="aff0"/>
          <w:rFonts w:hint="cs"/>
          <w:rtl/>
        </w:rPr>
        <w:t>או"ח ח"א סי' קכ"ב ענף ד' ד"ה אבל התוס'</w:t>
      </w:r>
      <w:r w:rsidRPr="00DD6918">
        <w:rPr>
          <w:rStyle w:val="aff0"/>
          <w:rtl/>
        </w:rPr>
        <w:t>)</w:t>
      </w:r>
      <w:r w:rsidRPr="002466FD">
        <w:rPr>
          <w:rStyle w:val="af"/>
          <w:rFonts w:hint="cs"/>
          <w:vanish/>
          <w:rtl/>
        </w:rPr>
        <w:t>=</w:t>
      </w:r>
      <w:r w:rsidRPr="00DD6918">
        <w:rPr>
          <w:rStyle w:val="af"/>
          <w:rFonts w:hint="cs"/>
          <w:rtl/>
        </w:rPr>
        <w:t xml:space="preserve"> בדברי</w:t>
      </w:r>
      <w:r w:rsidRPr="00DD6918">
        <w:rPr>
          <w:rStyle w:val="af"/>
          <w:rtl/>
        </w:rPr>
        <w:t xml:space="preserve"> </w:t>
      </w:r>
      <w:r w:rsidRPr="00DD6918">
        <w:rPr>
          <w:rStyle w:val="aff9"/>
          <w:rFonts w:hint="cs"/>
          <w:rtl/>
        </w:rPr>
        <w:t>הרא"ש בעירובין</w:t>
      </w:r>
      <w:r w:rsidRPr="00DD6918">
        <w:rPr>
          <w:rStyle w:val="af"/>
          <w:rFonts w:hint="cs"/>
          <w:rtl/>
        </w:rPr>
        <w:t>].</w:t>
      </w:r>
      <w:bookmarkEnd w:id="5806"/>
      <w:r>
        <w:rPr>
          <w:rtl/>
        </w:rPr>
        <w:t xml:space="preserve"> </w:t>
      </w:r>
    </w:p>
    <w:p w14:paraId="55F34C83" w14:textId="77777777" w:rsidR="003E1AA3" w:rsidRPr="0018388A" w:rsidRDefault="003E1AA3" w:rsidP="003E1AA3">
      <w:pPr>
        <w:pStyle w:val="a2"/>
        <w:tabs>
          <w:tab w:val="num" w:pos="284"/>
        </w:tabs>
      </w:pPr>
      <w:r w:rsidRPr="0018388A">
        <w:rPr>
          <w:rtl/>
        </w:rPr>
        <w:t>והא דאמר רבה ורב יוסף במגדל של עץ עסקינן משום דאין בנין בכלים. היינו כדמוקי לה במנעול וקטיר במיתנא. אי נמי בנטילת דלת כדקתני בריש כל הכלים (דף קכב ב) דלת של שידה תיבה ומגדל נוטלין אבל לא מחזירין גזרה שמא יתקע. ומדמוקי במסקנא במנעול וקטיר במיתנא ובעי סכינא למיפסקי' משמע הא דאמר חותמות שבכלים מתיר ומפקיע וחותך היינו דוקא כעין קשירה של מיתנא וכיוצא בה. אבל פותח של עץ ושל מתכת אסור להפקיע ולשבר דבכלי נמי שייך בנין גמור וסתירה גמורה</w:t>
      </w:r>
      <w:r w:rsidRPr="0018388A">
        <w:rPr>
          <w:rFonts w:hint="cs"/>
          <w:rtl/>
        </w:rPr>
        <w:t>.</w:t>
      </w:r>
    </w:p>
    <w:p w14:paraId="71CB188D" w14:textId="77777777" w:rsidR="003E1AA3" w:rsidRPr="00FC269C" w:rsidRDefault="003E1AA3" w:rsidP="003E1AA3">
      <w:pPr>
        <w:pStyle w:val="afffff7"/>
        <w:rPr>
          <w:rtl/>
        </w:rPr>
      </w:pPr>
      <w:bookmarkStart w:id="5808" w:name="_Toc145234077"/>
      <w:bookmarkStart w:id="5809" w:name="_Toc163506335"/>
      <w:r w:rsidRPr="00FC269C">
        <w:rPr>
          <w:rtl/>
        </w:rPr>
        <w:t>רא"ש מסכת שבת פכ</w:t>
      </w:r>
      <w:r w:rsidRPr="00FC269C">
        <w:rPr>
          <w:rFonts w:hint="cs"/>
          <w:rtl/>
        </w:rPr>
        <w:t>"</w:t>
      </w:r>
      <w:r w:rsidRPr="00FC269C">
        <w:rPr>
          <w:rtl/>
        </w:rPr>
        <w:t>ב סי</w:t>
      </w:r>
      <w:r w:rsidRPr="00FC269C">
        <w:rPr>
          <w:rFonts w:hint="cs"/>
          <w:rtl/>
        </w:rPr>
        <w:t>'</w:t>
      </w:r>
      <w:r w:rsidRPr="00FC269C">
        <w:rPr>
          <w:rtl/>
        </w:rPr>
        <w:t xml:space="preserve"> ו</w:t>
      </w:r>
      <w:r w:rsidRPr="00FC269C">
        <w:rPr>
          <w:rFonts w:hint="cs"/>
          <w:rtl/>
        </w:rPr>
        <w:t>'</w:t>
      </w:r>
      <w:bookmarkEnd w:id="5808"/>
      <w:bookmarkEnd w:id="5809"/>
    </w:p>
    <w:p w14:paraId="1779C6B2" w14:textId="77777777" w:rsidR="003E1AA3" w:rsidRDefault="003E1AA3" w:rsidP="003E1AA3">
      <w:pPr>
        <w:pStyle w:val="a7"/>
        <w:rPr>
          <w:rtl/>
        </w:rPr>
      </w:pPr>
      <w:bookmarkStart w:id="5810" w:name="_Toc145019602"/>
      <w:bookmarkStart w:id="5811" w:name="_Toc145233992"/>
      <w:r>
        <w:rPr>
          <w:rFonts w:hint="cs"/>
          <w:rtl/>
        </w:rPr>
        <w:t>בי' הרא"ש לקמן דלרבנן שובר חבית גמורה ל"ה סותר מדאו' וכדמוכח במגדל בגמ' בעירובין</w:t>
      </w:r>
      <w:bookmarkEnd w:id="5810"/>
      <w:bookmarkEnd w:id="5811"/>
    </w:p>
    <w:p w14:paraId="35C85CAD" w14:textId="5D8CE582" w:rsidR="003E1AA3" w:rsidRPr="00AD7E14" w:rsidRDefault="003E1AA3" w:rsidP="00BC7DC8">
      <w:pPr>
        <w:pStyle w:val="a3"/>
        <w:rPr>
          <w:rtl/>
        </w:rPr>
      </w:pPr>
      <w:bookmarkStart w:id="5812" w:name="_Ref144742015"/>
      <w:r>
        <w:rPr>
          <w:rFonts w:hint="cs"/>
          <w:rtl/>
        </w:rPr>
        <w:t>אמנם</w:t>
      </w:r>
      <w:r>
        <w:rPr>
          <w:rtl/>
        </w:rPr>
        <w:t xml:space="preserve"> </w:t>
      </w:r>
      <w:r w:rsidRPr="00313E30">
        <w:rPr>
          <w:b/>
          <w:bCs/>
          <w:rtl/>
        </w:rPr>
        <w:t>ה</w:t>
      </w:r>
      <w:r w:rsidRPr="00313E30">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Ref144742015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פו)</w:t>
      </w:r>
      <w:r>
        <w:rPr>
          <w:b/>
          <w:bCs/>
          <w:vanish/>
          <w:rtl/>
        </w:rPr>
        <w:fldChar w:fldCharType="end"/>
      </w:r>
      <w:r w:rsidRPr="00313E30">
        <w:rPr>
          <w:b/>
          <w:bCs/>
          <w:vanish/>
          <w:rtl/>
        </w:rPr>
        <w:t xml:space="preserve"> &gt;</w:t>
      </w:r>
      <w:r>
        <w:rPr>
          <w:rFonts w:hint="cs"/>
          <w:b/>
          <w:bCs/>
          <w:rtl/>
        </w:rPr>
        <w:t>רא"ש לקמן</w:t>
      </w:r>
      <w:r w:rsidRPr="00313E30">
        <w:rPr>
          <w:b/>
          <w:bCs/>
          <w:rtl/>
        </w:rPr>
        <w:t xml:space="preserve"> </w:t>
      </w:r>
      <w:r w:rsidRPr="00313E30">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פכ"ב סי' ו'</w:t>
      </w:r>
      <w:r w:rsidRPr="00313E30">
        <w:rPr>
          <w:rFonts w:ascii="Calibri" w:eastAsia="Times New Roman" w:hAnsi="Calibri" w:cs="Guttman Rashi"/>
          <w:noProof w:val="0"/>
          <w:sz w:val="10"/>
          <w:szCs w:val="12"/>
          <w:rtl/>
        </w:rPr>
        <w:t>)</w:t>
      </w:r>
      <w:r w:rsidRPr="00313E30">
        <w:rPr>
          <w:vanish/>
          <w:rtl/>
        </w:rPr>
        <w:t>=</w:t>
      </w:r>
      <w:r>
        <w:rPr>
          <w:rtl/>
        </w:rPr>
        <w:t xml:space="preserve"> </w:t>
      </w:r>
      <w:r>
        <w:rPr>
          <w:rFonts w:hint="cs"/>
          <w:rtl/>
        </w:rPr>
        <w:t>כתב דהא דאיתא בגמ' לקמן</w:t>
      </w:r>
      <w:r>
        <w:rPr>
          <w:rtl/>
        </w:rPr>
        <w:t xml:space="preserve"> </w:t>
      </w:r>
      <w:r w:rsidRPr="002466FD">
        <w:rPr>
          <w:rFonts w:ascii="Calibri" w:eastAsia="Times New Roman" w:hAnsi="Calibri" w:cs="Guttman Rashi"/>
          <w:noProof w:val="0"/>
          <w:sz w:val="10"/>
          <w:szCs w:val="12"/>
          <w:rtl/>
        </w:rPr>
        <w:t>(</w:t>
      </w:r>
      <w:r w:rsidRPr="002466FD">
        <w:rPr>
          <w:rFonts w:ascii="Calibri" w:eastAsia="Times New Roman" w:hAnsi="Calibri" w:cs="Guttman Rashi" w:hint="cs"/>
          <w:noProof w:val="0"/>
          <w:sz w:val="10"/>
          <w:szCs w:val="12"/>
          <w:rtl/>
        </w:rPr>
        <w:t>קמו.</w:t>
      </w:r>
      <w:r w:rsidRPr="002466FD">
        <w:rPr>
          <w:rFonts w:ascii="Calibri" w:eastAsia="Times New Roman" w:hAnsi="Calibri" w:cs="Guttman Rashi"/>
          <w:noProof w:val="0"/>
          <w:sz w:val="10"/>
          <w:szCs w:val="12"/>
          <w:rtl/>
        </w:rPr>
        <w:t>)</w:t>
      </w:r>
      <w:r>
        <w:rPr>
          <w:rtl/>
        </w:rPr>
        <w:t xml:space="preserve"> </w:t>
      </w:r>
      <w:r>
        <w:rPr>
          <w:rFonts w:hint="cs"/>
          <w:rtl/>
        </w:rPr>
        <w:t xml:space="preserve">דמותר לשבור חבית, היינו </w:t>
      </w:r>
      <w:r w:rsidRPr="007C5210">
        <w:rPr>
          <w:rFonts w:hint="cs"/>
          <w:rtl/>
        </w:rPr>
        <w:t xml:space="preserve">במוסתקי </w:t>
      </w:r>
      <w:r>
        <w:rPr>
          <w:rFonts w:hint="cs"/>
          <w:rtl/>
        </w:rPr>
        <w:t>כדאיתא בגמ' בביצה</w:t>
      </w:r>
      <w:r>
        <w:rPr>
          <w:rtl/>
        </w:rPr>
        <w:t xml:space="preserve"> </w:t>
      </w:r>
      <w:r w:rsidRPr="002466FD">
        <w:rPr>
          <w:rFonts w:ascii="Calibri" w:eastAsia="Times New Roman" w:hAnsi="Calibri" w:cs="Guttman Rashi"/>
          <w:noProof w:val="0"/>
          <w:sz w:val="10"/>
          <w:szCs w:val="12"/>
          <w:rtl/>
        </w:rPr>
        <w:t>(</w:t>
      </w:r>
      <w:r w:rsidRPr="002466FD">
        <w:rPr>
          <w:rFonts w:ascii="Calibri" w:eastAsia="Times New Roman" w:hAnsi="Calibri" w:cs="Guttman Rashi" w:hint="cs"/>
          <w:noProof w:val="0"/>
          <w:sz w:val="10"/>
          <w:szCs w:val="12"/>
          <w:rtl/>
        </w:rPr>
        <w:t>לג:</w:t>
      </w:r>
      <w:r w:rsidRPr="002466FD">
        <w:rPr>
          <w:rFonts w:ascii="Calibri" w:eastAsia="Times New Roman" w:hAnsi="Calibri" w:cs="Guttman Rashi"/>
          <w:noProof w:val="0"/>
          <w:sz w:val="10"/>
          <w:szCs w:val="12"/>
          <w:rtl/>
        </w:rPr>
        <w:t>)</w:t>
      </w:r>
      <w:r>
        <w:rPr>
          <w:rtl/>
        </w:rPr>
        <w:t xml:space="preserve"> </w:t>
      </w:r>
      <w:r>
        <w:rPr>
          <w:rFonts w:hint="cs"/>
          <w:rtl/>
        </w:rPr>
        <w:t>וכדביאר</w:t>
      </w:r>
      <w:r>
        <w:rPr>
          <w:rtl/>
        </w:rPr>
        <w:t xml:space="preserve"> </w:t>
      </w:r>
      <w:r w:rsidRPr="002466FD">
        <w:rPr>
          <w:rFonts w:hint="cs"/>
          <w:b/>
          <w:bCs/>
          <w:rtl/>
        </w:rPr>
        <w:t>רש"י בביצה</w:t>
      </w:r>
      <w:r>
        <w:rPr>
          <w:rtl/>
        </w:rPr>
        <w:t xml:space="preserve"> </w:t>
      </w:r>
      <w:r w:rsidRPr="002466FD">
        <w:rPr>
          <w:rFonts w:ascii="Calibri" w:eastAsia="Times New Roman" w:hAnsi="Calibri" w:cs="Guttman Rashi"/>
          <w:noProof w:val="0"/>
          <w:sz w:val="10"/>
          <w:szCs w:val="12"/>
          <w:rtl/>
        </w:rPr>
        <w:t>(</w:t>
      </w:r>
      <w:r w:rsidRPr="002466FD">
        <w:rPr>
          <w:rFonts w:ascii="Calibri" w:eastAsia="Times New Roman" w:hAnsi="Calibri" w:cs="Guttman Rashi" w:hint="cs"/>
          <w:noProof w:val="0"/>
          <w:sz w:val="10"/>
          <w:szCs w:val="12"/>
          <w:rtl/>
        </w:rPr>
        <w:t>לג: ד"ה במוסתקי</w:t>
      </w:r>
      <w:r w:rsidRPr="002466FD">
        <w:rPr>
          <w:rFonts w:ascii="Calibri" w:eastAsia="Times New Roman" w:hAnsi="Calibri" w:cs="Guttman Rashi"/>
          <w:noProof w:val="0"/>
          <w:sz w:val="10"/>
          <w:szCs w:val="12"/>
          <w:rtl/>
        </w:rPr>
        <w:t>)</w:t>
      </w:r>
      <w:r>
        <w:rPr>
          <w:rtl/>
        </w:rPr>
        <w:t xml:space="preserve"> </w:t>
      </w:r>
      <w:r w:rsidRPr="007C5210">
        <w:rPr>
          <w:rFonts w:hint="cs"/>
          <w:rtl/>
        </w:rPr>
        <w:t>ד</w:t>
      </w:r>
      <w:r>
        <w:rPr>
          <w:rFonts w:hint="cs"/>
          <w:rtl/>
        </w:rPr>
        <w:t xml:space="preserve">הוא חבית מודבקת, היינו רק לדעת ר"א, ורבנן דפליגי על ר"א פליגי רק לענין חיוב חטאת, </w:t>
      </w:r>
      <w:r w:rsidRPr="00BC1F4D">
        <w:rPr>
          <w:rStyle w:val="af"/>
          <w:rFonts w:hint="cs"/>
          <w:rtl/>
        </w:rPr>
        <w:t xml:space="preserve">[דס"ל דהשובר את החבית אינו סותר מדאו'], </w:t>
      </w:r>
      <w:r>
        <w:rPr>
          <w:rFonts w:hint="cs"/>
          <w:rtl/>
        </w:rPr>
        <w:t xml:space="preserve">אך מודו רבנן שיש איסור לשבור את החבית, </w:t>
      </w:r>
      <w:r w:rsidRPr="006D759D">
        <w:rPr>
          <w:rStyle w:val="af"/>
          <w:rFonts w:hint="cs"/>
          <w:rtl/>
        </w:rPr>
        <w:t>[שמא יתכוין לעשות כלי],</w:t>
      </w:r>
      <w:r>
        <w:rPr>
          <w:rFonts w:hint="cs"/>
          <w:rtl/>
        </w:rPr>
        <w:t xml:space="preserve"> וכיון דתנן דמותר לשבור את החבית לכתחילה א"כ אף לרבנן צריך להעמיד דאיירי במוסתקי, וכתב</w:t>
      </w:r>
      <w:r>
        <w:rPr>
          <w:rtl/>
        </w:rPr>
        <w:t xml:space="preserve"> </w:t>
      </w:r>
      <w:r>
        <w:rPr>
          <w:rFonts w:hint="cs"/>
          <w:b/>
          <w:bCs/>
          <w:rtl/>
        </w:rPr>
        <w:lastRenderedPageBreak/>
        <w:t>הרא"ש לקמן</w:t>
      </w:r>
      <w:r>
        <w:rPr>
          <w:rtl/>
        </w:rPr>
        <w:t xml:space="preserve"> </w:t>
      </w:r>
      <w:r>
        <w:rPr>
          <w:rFonts w:hint="cs"/>
          <w:rtl/>
        </w:rPr>
        <w:t>דכן מוכח בגמ' בעירובין</w:t>
      </w:r>
      <w:r>
        <w:rPr>
          <w:rtl/>
        </w:rPr>
        <w:t xml:space="preserve"> </w:t>
      </w:r>
      <w:r w:rsidRPr="00005DBD">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לד:</w:t>
      </w:r>
      <w:r w:rsidRPr="00005DBD">
        <w:rPr>
          <w:rFonts w:ascii="Calibri" w:eastAsia="Times New Roman" w:hAnsi="Calibri" w:cs="Guttman Rashi"/>
          <w:noProof w:val="0"/>
          <w:sz w:val="10"/>
          <w:szCs w:val="12"/>
          <w:rtl/>
        </w:rPr>
        <w:t>)</w:t>
      </w:r>
      <w:r>
        <w:rPr>
          <w:rtl/>
        </w:rPr>
        <w:t xml:space="preserve"> </w:t>
      </w:r>
      <w:r>
        <w:rPr>
          <w:rFonts w:hint="cs"/>
          <w:rtl/>
        </w:rPr>
        <w:t>דמבואר דאסור לשבור את המגדל שהעירוב בתוכו, ומוכח דאף לרבנן דס"ל שאין בזה חיוב חטאת מ"מ לכתחילה אסור לשבור, ורק במוסתקי מותר.</w:t>
      </w:r>
      <w:r>
        <w:rPr>
          <w:rtl/>
        </w:rPr>
        <w:t xml:space="preserve"> </w:t>
      </w:r>
      <w:r w:rsidRPr="008A160E">
        <w:rPr>
          <w:sz w:val="12"/>
          <w:szCs w:val="14"/>
          <w:rtl/>
        </w:rPr>
        <w:t>[</w:t>
      </w:r>
      <w:r>
        <w:rPr>
          <w:rFonts w:hint="cs"/>
          <w:sz w:val="12"/>
          <w:szCs w:val="14"/>
          <w:rtl/>
        </w:rPr>
        <w:t xml:space="preserve">ועיי"ש במ"ש </w:t>
      </w:r>
      <w:r w:rsidRPr="00D20F36">
        <w:rPr>
          <w:rStyle w:val="aff9"/>
          <w:rFonts w:hint="cs"/>
          <w:rtl/>
        </w:rPr>
        <w:t>ה</w:t>
      </w:r>
      <w:r w:rsidRPr="00D20F36">
        <w:rPr>
          <w:rStyle w:val="aff9"/>
          <w:rFonts w:hint="cs"/>
          <w:vanish/>
          <w:rtl/>
        </w:rPr>
        <w:t>&lt; &gt;</w:t>
      </w:r>
      <w:r w:rsidRPr="00D20F36">
        <w:rPr>
          <w:rStyle w:val="aff9"/>
          <w:rFonts w:hint="cs"/>
          <w:rtl/>
        </w:rPr>
        <w:t>תפארת שמואל</w:t>
      </w:r>
      <w:r>
        <w:rPr>
          <w:rFonts w:hint="cs"/>
          <w:sz w:val="12"/>
          <w:szCs w:val="14"/>
          <w:rtl/>
        </w:rPr>
        <w:t xml:space="preserve"> </w:t>
      </w:r>
      <w:r w:rsidRPr="00D20F36">
        <w:rPr>
          <w:rStyle w:val="aff0"/>
          <w:rFonts w:hint="cs"/>
          <w:rtl/>
        </w:rPr>
        <w:t>(אות א')</w:t>
      </w:r>
      <w:r w:rsidRPr="00D20F36">
        <w:rPr>
          <w:rFonts w:hint="cs"/>
          <w:vanish/>
          <w:sz w:val="12"/>
          <w:szCs w:val="14"/>
          <w:rtl/>
        </w:rPr>
        <w:t>=</w:t>
      </w:r>
      <w:r>
        <w:rPr>
          <w:rFonts w:hint="cs"/>
          <w:sz w:val="12"/>
          <w:szCs w:val="14"/>
          <w:rtl/>
        </w:rPr>
        <w:t xml:space="preserve"> </w:t>
      </w:r>
      <w:r w:rsidRPr="00D20F36">
        <w:rPr>
          <w:rStyle w:val="aff9"/>
          <w:rFonts w:hint="cs"/>
          <w:rtl/>
        </w:rPr>
        <w:t>וה</w:t>
      </w:r>
      <w:r w:rsidRPr="00D20F36">
        <w:rPr>
          <w:rStyle w:val="aff9"/>
          <w:rFonts w:hint="cs"/>
          <w:vanish/>
          <w:rtl/>
        </w:rPr>
        <w:t>&lt;</w:t>
      </w:r>
      <w:r w:rsidRPr="00D20F36">
        <w:rPr>
          <w:rFonts w:hint="cs"/>
          <w:vanish/>
          <w:sz w:val="12"/>
          <w:szCs w:val="14"/>
          <w:rtl/>
        </w:rPr>
        <w:t xml:space="preserve"> </w:t>
      </w:r>
      <w:r w:rsidRPr="00D20F36">
        <w:rPr>
          <w:rStyle w:val="aff9"/>
          <w:rFonts w:hint="cs"/>
          <w:vanish/>
          <w:rtl/>
        </w:rPr>
        <w:t>&gt;</w:t>
      </w:r>
      <w:r w:rsidRPr="00D20F36">
        <w:rPr>
          <w:rStyle w:val="aff9"/>
          <w:rFonts w:hint="cs"/>
          <w:rtl/>
        </w:rPr>
        <w:t>קרבן נתנאל</w:t>
      </w:r>
      <w:r>
        <w:rPr>
          <w:rFonts w:hint="cs"/>
          <w:sz w:val="12"/>
          <w:szCs w:val="14"/>
          <w:rtl/>
        </w:rPr>
        <w:t xml:space="preserve"> </w:t>
      </w:r>
      <w:r w:rsidRPr="00D20F36">
        <w:rPr>
          <w:rStyle w:val="aff0"/>
          <w:rFonts w:hint="cs"/>
          <w:rtl/>
        </w:rPr>
        <w:t>(אות ג')</w:t>
      </w:r>
      <w:r w:rsidRPr="00D20F36">
        <w:rPr>
          <w:rFonts w:hint="cs"/>
          <w:vanish/>
          <w:sz w:val="12"/>
          <w:szCs w:val="14"/>
          <w:rtl/>
        </w:rPr>
        <w:t>=</w:t>
      </w:r>
      <w:r w:rsidRPr="008A160E">
        <w:rPr>
          <w:sz w:val="12"/>
          <w:szCs w:val="14"/>
          <w:rtl/>
        </w:rPr>
        <w:t>]</w:t>
      </w:r>
      <w:r>
        <w:rPr>
          <w:rFonts w:hint="cs"/>
          <w:sz w:val="12"/>
          <w:szCs w:val="14"/>
          <w:rtl/>
        </w:rPr>
        <w:t>.</w:t>
      </w:r>
      <w:bookmarkEnd w:id="5812"/>
      <w:r>
        <w:rPr>
          <w:rtl/>
        </w:rPr>
        <w:t xml:space="preserve"> </w:t>
      </w:r>
    </w:p>
    <w:p w14:paraId="629833A9" w14:textId="77777777" w:rsidR="003E1AA3" w:rsidRPr="00BC7DC8" w:rsidRDefault="003E1AA3" w:rsidP="003E1AA3">
      <w:pPr>
        <w:pStyle w:val="afffffe"/>
        <w:rPr>
          <w:vanish/>
          <w:rtl/>
        </w:rPr>
      </w:pPr>
      <w:r w:rsidRPr="00BC7DC8">
        <w:rPr>
          <w:vanish/>
          <w:rtl/>
        </w:rPr>
        <w:t>רא"ש מסכת שבת פכ</w:t>
      </w:r>
      <w:r w:rsidRPr="00BC7DC8">
        <w:rPr>
          <w:rFonts w:hint="cs"/>
          <w:vanish/>
          <w:rtl/>
        </w:rPr>
        <w:t>"</w:t>
      </w:r>
      <w:r w:rsidRPr="00BC7DC8">
        <w:rPr>
          <w:vanish/>
          <w:rtl/>
        </w:rPr>
        <w:t>ב סי</w:t>
      </w:r>
      <w:r w:rsidRPr="00BC7DC8">
        <w:rPr>
          <w:rFonts w:hint="cs"/>
          <w:vanish/>
          <w:rtl/>
        </w:rPr>
        <w:t>'</w:t>
      </w:r>
      <w:r w:rsidRPr="00BC7DC8">
        <w:rPr>
          <w:vanish/>
          <w:rtl/>
        </w:rPr>
        <w:t xml:space="preserve"> ו</w:t>
      </w:r>
      <w:r w:rsidRPr="00BC7DC8">
        <w:rPr>
          <w:rFonts w:hint="cs"/>
          <w:vanish/>
          <w:rtl/>
        </w:rPr>
        <w:t>'</w:t>
      </w:r>
    </w:p>
    <w:p w14:paraId="77A3A9A3" w14:textId="77777777" w:rsidR="003E1AA3" w:rsidRPr="0018388A" w:rsidRDefault="003E1AA3" w:rsidP="003E1AA3">
      <w:pPr>
        <w:pStyle w:val="a2"/>
        <w:tabs>
          <w:tab w:val="num" w:pos="284"/>
        </w:tabs>
        <w:rPr>
          <w:rtl/>
        </w:rPr>
      </w:pPr>
      <w:r w:rsidRPr="0018388A">
        <w:rPr>
          <w:rtl/>
        </w:rPr>
        <w:t xml:space="preserve">מתני' שובר אדם את החבית לאכול ממנה גרוגרות ובלבד שלא יתכוין לעשות כלי. במסכת יום טוב פרק המביא (דף לג ב) מוקי במוסתקי ופירש"י דהיינו חביות שבורים שמדבקין שבריהן בשרף של עץ שעושין ממנה זפת ומשום הכי שרי ומחמת גריעותא לא חייס עליה וליכא למיחש שמא יתכוין לעשות כלי ואף על גב דלא מוקי לה במוסתקי אלא לרבי אליעזר דפריך ולית ליה לרבי אליעזר הא דתנן שובר אדם את החבית וכו' ומשני מתני' במוסתקי. ומיהו גם לרבנן צריך לאוקמי במוסתקי דלא פליגי רבנן עליה דרבי אליעזר אלא בחיוב חטאת אבל מודו דאיסורא איכא והכא שריא לכתחלה אלא ע"כ גם לרבנן צריך לאוקומה במוסתקי. וכן מוכח בפרק בכל מערבין (דף לד ב) גבי הא דתנן נתן עירובו במגדל ונעל בפניו ואבד המפתח הרי זה עירוב ופריך בגמרא ואמאי הוא במקום אחד ועירובו במקום אחר. ומאי קפריך והלא יכול לשבור המגדל וליטול העירוב כדתנן הכא שובר אדם חבית וכו' ולמאי דפרישית דאיירי במוסתקי אפילו לרבנן ניחא: </w:t>
      </w:r>
    </w:p>
    <w:p w14:paraId="39A32755" w14:textId="77777777" w:rsidR="003E1AA3" w:rsidRDefault="003E1AA3" w:rsidP="003E1AA3">
      <w:pPr>
        <w:pStyle w:val="afffff7"/>
        <w:rPr>
          <w:rtl/>
        </w:rPr>
      </w:pPr>
      <w:bookmarkStart w:id="5813" w:name="_Toc145234078"/>
    </w:p>
    <w:p w14:paraId="4328BE0C" w14:textId="77777777" w:rsidR="003E1AA3" w:rsidRPr="00FC269C" w:rsidRDefault="003E1AA3" w:rsidP="003E1AA3">
      <w:pPr>
        <w:pStyle w:val="afffff7"/>
        <w:rPr>
          <w:rtl/>
        </w:rPr>
      </w:pPr>
      <w:bookmarkStart w:id="5814" w:name="_Toc163506336"/>
      <w:r w:rsidRPr="00FC269C">
        <w:rPr>
          <w:rtl/>
        </w:rPr>
        <w:t>רא"ש שבת פי</w:t>
      </w:r>
      <w:r w:rsidRPr="00FC269C">
        <w:rPr>
          <w:rFonts w:hint="cs"/>
          <w:rtl/>
        </w:rPr>
        <w:t>"</w:t>
      </w:r>
      <w:r w:rsidRPr="00FC269C">
        <w:rPr>
          <w:rtl/>
        </w:rPr>
        <w:t>ז סי</w:t>
      </w:r>
      <w:r w:rsidRPr="00FC269C">
        <w:rPr>
          <w:rFonts w:hint="cs"/>
          <w:rtl/>
        </w:rPr>
        <w:t>'</w:t>
      </w:r>
      <w:r w:rsidRPr="00FC269C">
        <w:rPr>
          <w:rtl/>
        </w:rPr>
        <w:t xml:space="preserve"> א</w:t>
      </w:r>
      <w:r w:rsidRPr="00FC269C">
        <w:rPr>
          <w:rFonts w:hint="cs"/>
          <w:rtl/>
        </w:rPr>
        <w:t>'</w:t>
      </w:r>
      <w:bookmarkEnd w:id="5813"/>
      <w:bookmarkEnd w:id="5814"/>
    </w:p>
    <w:p w14:paraId="0D0FA7DB" w14:textId="77777777" w:rsidR="003E1AA3" w:rsidRPr="00FC269C" w:rsidRDefault="003E1AA3" w:rsidP="003E1AA3">
      <w:pPr>
        <w:pStyle w:val="afffff7"/>
        <w:rPr>
          <w:rtl/>
        </w:rPr>
      </w:pPr>
      <w:bookmarkStart w:id="5815" w:name="_Toc145234079"/>
      <w:bookmarkStart w:id="5816" w:name="_Toc163506337"/>
      <w:r w:rsidRPr="00FC269C">
        <w:rPr>
          <w:rtl/>
        </w:rPr>
        <w:t>תוספות הרא"ש עירובין ק"ב ע"ב</w:t>
      </w:r>
      <w:r w:rsidRPr="00FC269C">
        <w:rPr>
          <w:rFonts w:hint="cs"/>
          <w:rtl/>
        </w:rPr>
        <w:t xml:space="preserve"> ד"ה מחזירין</w:t>
      </w:r>
      <w:bookmarkEnd w:id="5815"/>
      <w:bookmarkEnd w:id="5816"/>
    </w:p>
    <w:p w14:paraId="2CA739B4" w14:textId="77777777" w:rsidR="003E1AA3" w:rsidRDefault="003E1AA3" w:rsidP="003E1AA3">
      <w:pPr>
        <w:pStyle w:val="a7"/>
        <w:rPr>
          <w:rtl/>
        </w:rPr>
      </w:pPr>
      <w:bookmarkStart w:id="5817" w:name="_Toc145019603"/>
      <w:bookmarkStart w:id="5818" w:name="_Toc145233993"/>
      <w:r>
        <w:rPr>
          <w:rFonts w:hint="cs"/>
          <w:rtl/>
        </w:rPr>
        <w:t>בי' הרא"ש לקמן והתורא"ש בעירובין דבדלתות כלים אין בנין וסתירה ותוקע חייב משום מכב"פ</w:t>
      </w:r>
      <w:bookmarkEnd w:id="5817"/>
      <w:bookmarkEnd w:id="5818"/>
    </w:p>
    <w:p w14:paraId="265D6A43" w14:textId="19A962FC" w:rsidR="003E1AA3" w:rsidRPr="000F3848" w:rsidRDefault="003E1AA3" w:rsidP="00BC7DC8">
      <w:pPr>
        <w:pStyle w:val="a3"/>
        <w:rPr>
          <w:rtl/>
        </w:rPr>
      </w:pPr>
      <w:bookmarkStart w:id="5819" w:name="_Ref144634486"/>
      <w:r>
        <w:rPr>
          <w:rFonts w:hint="cs"/>
          <w:rtl/>
        </w:rPr>
        <w:t>וע"ע בדברי</w:t>
      </w:r>
      <w:r>
        <w:rPr>
          <w:rtl/>
        </w:rPr>
        <w:t xml:space="preserve"> </w:t>
      </w:r>
      <w:r w:rsidRPr="000F3848">
        <w:rPr>
          <w:b/>
          <w:bCs/>
          <w:rtl/>
        </w:rPr>
        <w:t>ה</w:t>
      </w:r>
      <w:r w:rsidRPr="000F3848">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Ref144634486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פז)</w:t>
      </w:r>
      <w:r>
        <w:rPr>
          <w:b/>
          <w:bCs/>
          <w:vanish/>
          <w:rtl/>
        </w:rPr>
        <w:fldChar w:fldCharType="end"/>
      </w:r>
      <w:r w:rsidRPr="000F3848">
        <w:rPr>
          <w:b/>
          <w:bCs/>
          <w:vanish/>
          <w:rtl/>
        </w:rPr>
        <w:t xml:space="preserve"> &gt;</w:t>
      </w:r>
      <w:r>
        <w:rPr>
          <w:rFonts w:hint="cs"/>
          <w:b/>
          <w:bCs/>
          <w:rtl/>
        </w:rPr>
        <w:t>רא"ש לקמן</w:t>
      </w:r>
      <w:r w:rsidRPr="000F3848">
        <w:rPr>
          <w:b/>
          <w:bCs/>
          <w:rtl/>
        </w:rPr>
        <w:t xml:space="preserve"> </w:t>
      </w:r>
      <w:r w:rsidRPr="000F3848">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פי"ז סי' א'</w:t>
      </w:r>
      <w:r w:rsidRPr="000F3848">
        <w:rPr>
          <w:rFonts w:ascii="Calibri" w:eastAsia="Times New Roman" w:hAnsi="Calibri" w:cs="Guttman Rashi"/>
          <w:noProof w:val="0"/>
          <w:sz w:val="10"/>
          <w:szCs w:val="12"/>
          <w:rtl/>
        </w:rPr>
        <w:t>)</w:t>
      </w:r>
      <w:r w:rsidRPr="000F3848">
        <w:rPr>
          <w:vanish/>
          <w:rtl/>
        </w:rPr>
        <w:t>=</w:t>
      </w:r>
      <w:r>
        <w:rPr>
          <w:rtl/>
        </w:rPr>
        <w:t xml:space="preserve"> </w:t>
      </w:r>
      <w:r>
        <w:rPr>
          <w:rFonts w:hint="cs"/>
          <w:rtl/>
        </w:rPr>
        <w:t xml:space="preserve">דכתב דדלתות שידה תיבה ומגדל נוטלין כיון דאין בנין וסתירה בכלים, והאיסור להחזיר הוא שמא יתקע ויתחייב משום מכה בפטיש, וכ"כ </w:t>
      </w:r>
      <w:r w:rsidRPr="00D01D8A">
        <w:rPr>
          <w:rStyle w:val="aff4"/>
          <w:rFonts w:hint="cs"/>
          <w:rtl/>
        </w:rPr>
        <w:t>ה</w:t>
      </w:r>
      <w:r w:rsidRPr="00F14242">
        <w:rPr>
          <w:b/>
          <w:bCs/>
          <w:vanish/>
          <w:rtl/>
        </w:rPr>
        <w:t>&lt; &gt;</w:t>
      </w:r>
      <w:r w:rsidRPr="00154589">
        <w:rPr>
          <w:rFonts w:hint="cs"/>
          <w:b/>
          <w:bCs/>
          <w:rtl/>
        </w:rPr>
        <w:t>תוס' הרא"ש בעירובין</w:t>
      </w:r>
      <w:r w:rsidRPr="00F14242">
        <w:rPr>
          <w:b/>
          <w:bCs/>
          <w:rtl/>
        </w:rPr>
        <w:t xml:space="preserve"> </w:t>
      </w:r>
      <w:r w:rsidRPr="00F14242">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קב: סוד"ה מחזירין</w:t>
      </w:r>
      <w:r w:rsidRPr="00F14242">
        <w:rPr>
          <w:rFonts w:ascii="Calibri" w:eastAsia="Times New Roman" w:hAnsi="Calibri" w:cs="Guttman Rashi"/>
          <w:noProof w:val="0"/>
          <w:sz w:val="10"/>
          <w:szCs w:val="12"/>
          <w:rtl/>
        </w:rPr>
        <w:t>)</w:t>
      </w:r>
      <w:r w:rsidRPr="00F14242">
        <w:rPr>
          <w:vanish/>
          <w:rtl/>
        </w:rPr>
        <w:t>=</w:t>
      </w:r>
      <w:r>
        <w:rPr>
          <w:rtl/>
        </w:rPr>
        <w:t xml:space="preserve"> </w:t>
      </w:r>
      <w:r>
        <w:rPr>
          <w:rFonts w:hint="cs"/>
          <w:rtl/>
        </w:rPr>
        <w:t>.</w:t>
      </w:r>
      <w:bookmarkEnd w:id="5819"/>
    </w:p>
    <w:p w14:paraId="68C244D5" w14:textId="77777777" w:rsidR="003E1AA3" w:rsidRPr="00BC7DC8" w:rsidRDefault="003E1AA3" w:rsidP="003E1AA3">
      <w:pPr>
        <w:pStyle w:val="afffffe"/>
        <w:rPr>
          <w:vanish/>
          <w:rtl/>
        </w:rPr>
      </w:pPr>
      <w:r w:rsidRPr="00BC7DC8">
        <w:rPr>
          <w:vanish/>
          <w:rtl/>
        </w:rPr>
        <w:t>רא"ש שבת פי</w:t>
      </w:r>
      <w:r w:rsidRPr="00BC7DC8">
        <w:rPr>
          <w:rFonts w:hint="cs"/>
          <w:vanish/>
          <w:rtl/>
        </w:rPr>
        <w:t>"</w:t>
      </w:r>
      <w:r w:rsidRPr="00BC7DC8">
        <w:rPr>
          <w:vanish/>
          <w:rtl/>
        </w:rPr>
        <w:t>ז סי</w:t>
      </w:r>
      <w:r w:rsidRPr="00BC7DC8">
        <w:rPr>
          <w:rFonts w:hint="cs"/>
          <w:vanish/>
          <w:rtl/>
        </w:rPr>
        <w:t>'</w:t>
      </w:r>
      <w:r w:rsidRPr="00BC7DC8">
        <w:rPr>
          <w:vanish/>
          <w:rtl/>
        </w:rPr>
        <w:t xml:space="preserve"> א</w:t>
      </w:r>
      <w:r w:rsidRPr="00BC7DC8">
        <w:rPr>
          <w:rFonts w:hint="cs"/>
          <w:vanish/>
          <w:rtl/>
        </w:rPr>
        <w:t>'</w:t>
      </w:r>
    </w:p>
    <w:p w14:paraId="7FD79DEE" w14:textId="77777777" w:rsidR="003E1AA3" w:rsidRPr="0018388A" w:rsidRDefault="003E1AA3" w:rsidP="003E1AA3">
      <w:pPr>
        <w:pStyle w:val="a2"/>
        <w:tabs>
          <w:tab w:val="num" w:pos="284"/>
        </w:tabs>
        <w:rPr>
          <w:rtl/>
        </w:rPr>
      </w:pPr>
      <w:r w:rsidRPr="0018388A">
        <w:rPr>
          <w:rtl/>
        </w:rPr>
        <w:t xml:space="preserve">אבל של שידה תיבה ומגדל נוטלין דאין בנין וסתירה בכלים. והא דאין מחזירין גזירה שמא יתקע ומיחייב משום מכה בפטיש: </w:t>
      </w:r>
    </w:p>
    <w:p w14:paraId="0DD2ABA6" w14:textId="77777777" w:rsidR="003E1AA3" w:rsidRPr="00FC269C" w:rsidRDefault="003E1AA3" w:rsidP="003E1AA3">
      <w:pPr>
        <w:pStyle w:val="afffff7"/>
        <w:rPr>
          <w:rtl/>
        </w:rPr>
      </w:pPr>
      <w:bookmarkStart w:id="5820" w:name="_Toc145234080"/>
      <w:bookmarkStart w:id="5821" w:name="_Toc163506338"/>
      <w:r w:rsidRPr="00FC269C">
        <w:rPr>
          <w:rtl/>
        </w:rPr>
        <w:t xml:space="preserve">פרי מגדים </w:t>
      </w:r>
      <w:r w:rsidRPr="00FC269C">
        <w:rPr>
          <w:rFonts w:hint="cs"/>
          <w:rtl/>
        </w:rPr>
        <w:t>או"ח</w:t>
      </w:r>
      <w:r w:rsidRPr="00FC269C">
        <w:rPr>
          <w:rtl/>
        </w:rPr>
        <w:t xml:space="preserve"> משבצות זהב סי</w:t>
      </w:r>
      <w:r w:rsidRPr="00FC269C">
        <w:rPr>
          <w:rFonts w:hint="cs"/>
          <w:rtl/>
        </w:rPr>
        <w:t>'</w:t>
      </w:r>
      <w:r w:rsidRPr="00FC269C">
        <w:rPr>
          <w:rtl/>
        </w:rPr>
        <w:t xml:space="preserve"> שי</w:t>
      </w:r>
      <w:r w:rsidRPr="00FC269C">
        <w:rPr>
          <w:rFonts w:hint="cs"/>
          <w:rtl/>
        </w:rPr>
        <w:t>"</w:t>
      </w:r>
      <w:r w:rsidRPr="00FC269C">
        <w:rPr>
          <w:rtl/>
        </w:rPr>
        <w:t>ד סק"</w:t>
      </w:r>
      <w:r w:rsidRPr="00FC269C">
        <w:rPr>
          <w:rFonts w:hint="cs"/>
          <w:rtl/>
        </w:rPr>
        <w:t>א</w:t>
      </w:r>
      <w:r w:rsidRPr="00FC269C">
        <w:rPr>
          <w:rtl/>
        </w:rPr>
        <w:t xml:space="preserve"> </w:t>
      </w:r>
      <w:r w:rsidRPr="00FC269C">
        <w:rPr>
          <w:rFonts w:hint="cs"/>
          <w:rtl/>
        </w:rPr>
        <w:t>ד"ה</w:t>
      </w:r>
      <w:r w:rsidRPr="00FC269C">
        <w:rPr>
          <w:rtl/>
        </w:rPr>
        <w:t xml:space="preserve"> ועיין רא"ש</w:t>
      </w:r>
      <w:bookmarkEnd w:id="5820"/>
      <w:bookmarkEnd w:id="5821"/>
    </w:p>
    <w:p w14:paraId="660FC044" w14:textId="77777777" w:rsidR="003E1AA3" w:rsidRPr="00BC7DC8" w:rsidRDefault="003E1AA3" w:rsidP="003E1AA3">
      <w:pPr>
        <w:pStyle w:val="afffffe"/>
        <w:rPr>
          <w:vanish/>
          <w:rtl/>
        </w:rPr>
      </w:pPr>
      <w:r w:rsidRPr="00BC7DC8">
        <w:rPr>
          <w:vanish/>
          <w:rtl/>
        </w:rPr>
        <w:t>תוספות הרא"ש עירובין ק"ב ע"ב</w:t>
      </w:r>
      <w:r w:rsidRPr="00BC7DC8">
        <w:rPr>
          <w:rFonts w:hint="cs"/>
          <w:vanish/>
          <w:rtl/>
        </w:rPr>
        <w:t xml:space="preserve"> ד"ה מחזירין</w:t>
      </w:r>
    </w:p>
    <w:p w14:paraId="054FDD0E" w14:textId="77777777" w:rsidR="003E1AA3" w:rsidRPr="002E340A" w:rsidRDefault="003E1AA3" w:rsidP="003E1AA3">
      <w:pPr>
        <w:pStyle w:val="afffff5"/>
        <w:rPr>
          <w:rtl/>
        </w:rPr>
      </w:pPr>
      <w:r w:rsidRPr="002E340A">
        <w:rPr>
          <w:rtl/>
        </w:rPr>
        <w:t>והא דקאמר בגמ' גזירה שמא יתקע קאי אעליון דאם יתקע חייב חטאת משום דהוא גמר כלי וחייב משום מכה בפטיש ולא משום בונה אבל אתחתון ליכא למיגזר משום שמא יתקע דאפילו אם מתקע תקע ליה [ליכא] איסור דאוריתא דתוקע מועט הוא בציר התחתון ולא חשיב בהכי מכה בפטיש.</w:t>
      </w:r>
    </w:p>
    <w:p w14:paraId="63E00839" w14:textId="77777777" w:rsidR="003E1AA3" w:rsidRPr="00A35892" w:rsidRDefault="003E1AA3" w:rsidP="003E1AA3">
      <w:pPr>
        <w:pStyle w:val="a7"/>
        <w:rPr>
          <w:rtl/>
        </w:rPr>
      </w:pPr>
      <w:bookmarkStart w:id="5822" w:name="_Toc145019604"/>
      <w:bookmarkStart w:id="5823" w:name="_Toc145233994"/>
      <w:r>
        <w:rPr>
          <w:rFonts w:hint="cs"/>
          <w:rtl/>
        </w:rPr>
        <w:t>קו' הפרמ"ג דבעירובין בי' הרא"ש כתוס' דיש איסור סתירה בכלים ולקמן כרשב"א דבקטן מותר</w:t>
      </w:r>
      <w:bookmarkEnd w:id="5822"/>
      <w:bookmarkEnd w:id="5823"/>
    </w:p>
    <w:p w14:paraId="24A85E02" w14:textId="7B1937A9" w:rsidR="003E1AA3" w:rsidRPr="00FE20A3" w:rsidRDefault="003E1AA3" w:rsidP="00BC7DC8">
      <w:pPr>
        <w:pStyle w:val="a3"/>
        <w:rPr>
          <w:rtl/>
        </w:rPr>
      </w:pPr>
      <w:bookmarkStart w:id="5824" w:name="_Ref144742066"/>
      <w:bookmarkStart w:id="5825" w:name="_Ref145233511"/>
      <w:r>
        <w:rPr>
          <w:rFonts w:hint="cs"/>
          <w:rtl/>
        </w:rPr>
        <w:t>במ"ש</w:t>
      </w:r>
      <w:r>
        <w:rPr>
          <w:rtl/>
        </w:rPr>
        <w:t xml:space="preserve"> </w:t>
      </w:r>
      <w:r w:rsidRPr="0004391E">
        <w:rPr>
          <w:b/>
          <w:bCs/>
          <w:rtl/>
        </w:rPr>
        <w:t>ה</w:t>
      </w:r>
      <w:r w:rsidRPr="0004391E">
        <w:rPr>
          <w:rFonts w:hint="cs"/>
          <w:b/>
          <w:bCs/>
          <w:rtl/>
        </w:rPr>
        <w:t>רא"ש בעירובין</w:t>
      </w:r>
      <w:r w:rsidRPr="0004391E">
        <w:rPr>
          <w:b/>
          <w:bCs/>
          <w:rtl/>
        </w:rPr>
        <w:t xml:space="preserve"> </w:t>
      </w:r>
      <w:r w:rsidRPr="0004391E">
        <w:rPr>
          <w:rFonts w:ascii="Calibri" w:eastAsia="Times New Roman" w:hAnsi="Calibri" w:cs="Guttman Rashi" w:hint="cs"/>
          <w:noProof w:val="0"/>
          <w:sz w:val="10"/>
          <w:szCs w:val="12"/>
          <w:rtl/>
        </w:rPr>
        <w:t xml:space="preserve">(עי' </w:t>
      </w:r>
      <w:r w:rsidRPr="007A40D9">
        <w:rPr>
          <w:rStyle w:val="af2"/>
          <w:rFonts w:eastAsia="Guttman Hodes" w:hint="cs"/>
          <w:rtl/>
        </w:rPr>
        <w:t xml:space="preserve">אות </w:t>
      </w:r>
      <w:r w:rsidRPr="0004391E">
        <w:rPr>
          <w:rStyle w:val="af2"/>
          <w:rFonts w:eastAsia="Guttman Hodes"/>
          <w:rtl/>
        </w:rPr>
        <w:fldChar w:fldCharType="begin"/>
      </w:r>
      <w:r w:rsidRPr="0004391E">
        <w:rPr>
          <w:rStyle w:val="af2"/>
          <w:rFonts w:eastAsia="Guttman Hodes"/>
          <w:rtl/>
        </w:rPr>
        <w:instrText xml:space="preserve"> </w:instrText>
      </w:r>
      <w:r w:rsidRPr="0004391E">
        <w:rPr>
          <w:rStyle w:val="af2"/>
          <w:rFonts w:eastAsia="Guttman Hodes"/>
        </w:rPr>
        <w:instrText>REF</w:instrText>
      </w:r>
      <w:r w:rsidRPr="0004391E">
        <w:rPr>
          <w:rStyle w:val="af2"/>
          <w:rFonts w:eastAsia="Guttman Hodes"/>
          <w:rtl/>
        </w:rPr>
        <w:instrText xml:space="preserve"> _</w:instrText>
      </w:r>
      <w:r w:rsidRPr="0004391E">
        <w:rPr>
          <w:rStyle w:val="af2"/>
          <w:rFonts w:eastAsia="Guttman Hodes"/>
        </w:rPr>
        <w:instrText>Ref144454330 \r \h</w:instrText>
      </w:r>
      <w:r w:rsidRPr="0004391E">
        <w:rPr>
          <w:rStyle w:val="af2"/>
          <w:rFonts w:eastAsia="Guttman Hodes"/>
          <w:rtl/>
        </w:rPr>
        <w:instrText xml:space="preserve"> </w:instrText>
      </w:r>
      <w:r w:rsidRPr="0004391E">
        <w:rPr>
          <w:rStyle w:val="af2"/>
          <w:rFonts w:eastAsia="Guttman Hodes"/>
          <w:rtl/>
        </w:rPr>
      </w:r>
      <w:r w:rsidRPr="0004391E">
        <w:rPr>
          <w:rStyle w:val="af2"/>
          <w:rFonts w:eastAsia="Guttman Hodes"/>
          <w:rtl/>
        </w:rPr>
        <w:fldChar w:fldCharType="separate"/>
      </w:r>
      <w:r w:rsidR="00D82181">
        <w:rPr>
          <w:rStyle w:val="af2"/>
          <w:rFonts w:eastAsia="Guttman Hodes"/>
          <w:cs/>
        </w:rPr>
        <w:t>‎</w:t>
      </w:r>
      <w:r w:rsidR="00D82181">
        <w:rPr>
          <w:rStyle w:val="af2"/>
          <w:rFonts w:eastAsia="Guttman Hodes"/>
          <w:rtl/>
        </w:rPr>
        <w:t>פד)</w:t>
      </w:r>
      <w:r w:rsidRPr="0004391E">
        <w:rPr>
          <w:rStyle w:val="af2"/>
          <w:rFonts w:eastAsia="Guttman Hodes"/>
          <w:rtl/>
        </w:rPr>
        <w:fldChar w:fldCharType="end"/>
      </w:r>
      <w:r w:rsidRPr="007A40D9">
        <w:rPr>
          <w:rtl/>
        </w:rPr>
        <w:t xml:space="preserve"> </w:t>
      </w:r>
      <w:r>
        <w:rPr>
          <w:rFonts w:hint="cs"/>
          <w:rtl/>
        </w:rPr>
        <w:t xml:space="preserve">דיש בנין בכלים בעושה את כל הכלי או במתקנו תיקון גמור, </w:t>
      </w:r>
      <w:r w:rsidRPr="007C5210">
        <w:rPr>
          <w:rFonts w:hint="cs"/>
          <w:rtl/>
        </w:rPr>
        <w:t>ו</w:t>
      </w:r>
      <w:r>
        <w:rPr>
          <w:rFonts w:hint="cs"/>
          <w:rtl/>
        </w:rPr>
        <w:t>הא דאיתא בגמ' לקמן</w:t>
      </w:r>
      <w:r>
        <w:rPr>
          <w:rtl/>
        </w:rPr>
        <w:t xml:space="preserve"> </w:t>
      </w:r>
      <w:r w:rsidRPr="0004391E">
        <w:rPr>
          <w:rFonts w:ascii="Calibri" w:eastAsia="Times New Roman" w:hAnsi="Calibri" w:cs="Guttman Rashi"/>
          <w:noProof w:val="0"/>
          <w:sz w:val="10"/>
          <w:szCs w:val="12"/>
          <w:rtl/>
        </w:rPr>
        <w:t>(</w:t>
      </w:r>
      <w:r w:rsidRPr="0004391E">
        <w:rPr>
          <w:rFonts w:ascii="Calibri" w:eastAsia="Times New Roman" w:hAnsi="Calibri" w:cs="Guttman Rashi" w:hint="cs"/>
          <w:noProof w:val="0"/>
          <w:sz w:val="10"/>
          <w:szCs w:val="12"/>
          <w:rtl/>
        </w:rPr>
        <w:t>קמו.</w:t>
      </w:r>
      <w:r w:rsidRPr="0004391E">
        <w:rPr>
          <w:rFonts w:ascii="Calibri" w:eastAsia="Times New Roman" w:hAnsi="Calibri" w:cs="Guttman Rashi"/>
          <w:noProof w:val="0"/>
          <w:sz w:val="10"/>
          <w:szCs w:val="12"/>
          <w:rtl/>
        </w:rPr>
        <w:t>)</w:t>
      </w:r>
      <w:r>
        <w:rPr>
          <w:rtl/>
        </w:rPr>
        <w:t xml:space="preserve"> </w:t>
      </w:r>
      <w:r>
        <w:rPr>
          <w:rFonts w:hint="cs"/>
          <w:rtl/>
        </w:rPr>
        <w:t xml:space="preserve">דמותר לשבור חבית, היינו </w:t>
      </w:r>
      <w:r w:rsidRPr="007C5210">
        <w:rPr>
          <w:rFonts w:hint="cs"/>
          <w:rtl/>
        </w:rPr>
        <w:t>במוסתקי</w:t>
      </w:r>
      <w:r>
        <w:rPr>
          <w:rFonts w:hint="cs"/>
          <w:rtl/>
        </w:rPr>
        <w:t>, כתב</w:t>
      </w:r>
      <w:r>
        <w:rPr>
          <w:rtl/>
        </w:rPr>
        <w:t xml:space="preserve"> </w:t>
      </w:r>
      <w:r w:rsidRPr="0004391E">
        <w:rPr>
          <w:b/>
          <w:bCs/>
          <w:rtl/>
        </w:rPr>
        <w:t>ה</w:t>
      </w:r>
      <w:r w:rsidRPr="0004391E">
        <w:rPr>
          <w:b/>
          <w:bCs/>
          <w:vanish/>
          <w:rtl/>
        </w:rPr>
        <w:t xml:space="preserve"> &lt;, </w:t>
      </w:r>
      <w:r w:rsidRPr="0004391E">
        <w:rPr>
          <w:b/>
          <w:bCs/>
          <w:vanish/>
          <w:rtl/>
        </w:rPr>
        <w:fldChar w:fldCharType="begin"/>
      </w:r>
      <w:r w:rsidRPr="0004391E">
        <w:rPr>
          <w:b/>
          <w:bCs/>
          <w:vanish/>
          <w:rtl/>
        </w:rPr>
        <w:instrText xml:space="preserve"> </w:instrText>
      </w:r>
      <w:r w:rsidRPr="0004391E">
        <w:rPr>
          <w:b/>
          <w:bCs/>
          <w:vanish/>
        </w:rPr>
        <w:instrText>REF</w:instrText>
      </w:r>
      <w:r w:rsidRPr="0004391E">
        <w:rPr>
          <w:b/>
          <w:bCs/>
          <w:vanish/>
          <w:rtl/>
        </w:rPr>
        <w:instrText xml:space="preserve"> _</w:instrText>
      </w:r>
      <w:r w:rsidRPr="0004391E">
        <w:rPr>
          <w:b/>
          <w:bCs/>
          <w:vanish/>
        </w:rPr>
        <w:instrText>Ref144742066 \r \h</w:instrText>
      </w:r>
      <w:r w:rsidRPr="0004391E">
        <w:rPr>
          <w:b/>
          <w:bCs/>
          <w:vanish/>
          <w:rtl/>
        </w:rPr>
        <w:instrText xml:space="preserve"> </w:instrText>
      </w:r>
      <w:r w:rsidRPr="0004391E">
        <w:rPr>
          <w:b/>
          <w:bCs/>
          <w:vanish/>
          <w:rtl/>
        </w:rPr>
      </w:r>
      <w:r w:rsidRPr="0004391E">
        <w:rPr>
          <w:b/>
          <w:bCs/>
          <w:vanish/>
          <w:rtl/>
        </w:rPr>
        <w:fldChar w:fldCharType="separate"/>
      </w:r>
      <w:r w:rsidR="00D82181">
        <w:rPr>
          <w:b/>
          <w:bCs/>
          <w:vanish/>
          <w:cs/>
        </w:rPr>
        <w:t>‎</w:t>
      </w:r>
      <w:r w:rsidR="00D82181">
        <w:rPr>
          <w:b/>
          <w:bCs/>
          <w:vanish/>
          <w:rtl/>
        </w:rPr>
        <w:t>פח)</w:t>
      </w:r>
      <w:r w:rsidRPr="0004391E">
        <w:rPr>
          <w:b/>
          <w:bCs/>
          <w:vanish/>
          <w:rtl/>
        </w:rPr>
        <w:fldChar w:fldCharType="end"/>
      </w:r>
      <w:r w:rsidRPr="0004391E">
        <w:rPr>
          <w:b/>
          <w:bCs/>
          <w:vanish/>
          <w:rtl/>
        </w:rPr>
        <w:t xml:space="preserve"> &gt;</w:t>
      </w:r>
      <w:r w:rsidRPr="0004391E">
        <w:rPr>
          <w:rFonts w:hint="cs"/>
          <w:b/>
          <w:bCs/>
          <w:rtl/>
        </w:rPr>
        <w:t>פרמ"ג</w:t>
      </w:r>
      <w:r w:rsidRPr="0004391E">
        <w:rPr>
          <w:b/>
          <w:bCs/>
          <w:rtl/>
        </w:rPr>
        <w:t xml:space="preserve"> </w:t>
      </w:r>
      <w:r w:rsidRPr="0004391E">
        <w:rPr>
          <w:rFonts w:ascii="Calibri" w:eastAsia="Times New Roman" w:hAnsi="Calibri" w:cs="Guttman Rashi"/>
          <w:noProof w:val="0"/>
          <w:sz w:val="10"/>
          <w:szCs w:val="12"/>
          <w:rtl/>
        </w:rPr>
        <w:t>(</w:t>
      </w:r>
      <w:r w:rsidRPr="0004391E">
        <w:rPr>
          <w:rFonts w:ascii="Calibri" w:eastAsia="Times New Roman" w:hAnsi="Calibri" w:cs="Guttman Rashi" w:hint="cs"/>
          <w:noProof w:val="0"/>
          <w:sz w:val="10"/>
          <w:szCs w:val="12"/>
          <w:rtl/>
        </w:rPr>
        <w:t>סי' שי"ד משב"ז סק"א ד"ה ועיין רא"ש</w:t>
      </w:r>
      <w:r w:rsidRPr="0004391E">
        <w:rPr>
          <w:rFonts w:ascii="Calibri" w:eastAsia="Times New Roman" w:hAnsi="Calibri" w:cs="Guttman Rashi"/>
          <w:noProof w:val="0"/>
          <w:sz w:val="10"/>
          <w:szCs w:val="12"/>
          <w:rtl/>
        </w:rPr>
        <w:t>)</w:t>
      </w:r>
      <w:r w:rsidRPr="0004391E">
        <w:rPr>
          <w:vanish/>
          <w:rtl/>
        </w:rPr>
        <w:t>=</w:t>
      </w:r>
      <w:r>
        <w:rPr>
          <w:rtl/>
        </w:rPr>
        <w:t xml:space="preserve"> </w:t>
      </w:r>
      <w:r>
        <w:rPr>
          <w:rFonts w:hint="cs"/>
          <w:rtl/>
        </w:rPr>
        <w:t>דמבואר מדבריו דס"ל כדעת</w:t>
      </w:r>
      <w:r>
        <w:rPr>
          <w:rtl/>
        </w:rPr>
        <w:t xml:space="preserve"> </w:t>
      </w:r>
      <w:r w:rsidRPr="0004391E">
        <w:rPr>
          <w:rFonts w:hint="cs"/>
          <w:b/>
          <w:bCs/>
          <w:rtl/>
        </w:rPr>
        <w:t>התוס' בעירובין</w:t>
      </w:r>
      <w:r>
        <w:rPr>
          <w:rFonts w:hint="cs"/>
          <w:b/>
          <w:bCs/>
          <w:rtl/>
        </w:rPr>
        <w:t xml:space="preserve"> בתי' הב'</w:t>
      </w:r>
      <w:r>
        <w:rPr>
          <w:rtl/>
        </w:rPr>
        <w:t xml:space="preserve"> </w:t>
      </w:r>
      <w:r w:rsidRPr="0004391E">
        <w:rPr>
          <w:rFonts w:ascii="Calibri" w:eastAsia="Times New Roman" w:hAnsi="Calibri" w:cs="Guttman Rashi"/>
          <w:noProof w:val="0"/>
          <w:sz w:val="10"/>
          <w:szCs w:val="12"/>
          <w:rtl/>
        </w:rPr>
        <w:t xml:space="preserve">(עי' 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Pr>
        <w:instrText>REF</w:instrText>
      </w:r>
      <w:r>
        <w:rPr>
          <w:rFonts w:ascii="Calibri" w:eastAsia="Times New Roman" w:hAnsi="Calibri" w:cs="Guttman Rashi"/>
          <w:noProof w:val="0"/>
          <w:sz w:val="10"/>
          <w:szCs w:val="12"/>
          <w:rtl/>
        </w:rPr>
        <w:instrText xml:space="preserve"> _</w:instrText>
      </w:r>
      <w:r>
        <w:rPr>
          <w:rFonts w:ascii="Calibri" w:eastAsia="Times New Roman" w:hAnsi="Calibri" w:cs="Guttman Rashi"/>
          <w:noProof w:val="0"/>
          <w:sz w:val="10"/>
          <w:szCs w:val="12"/>
        </w:rPr>
        <w:instrText>Ref145187459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סד)</w:t>
      </w:r>
      <w:r>
        <w:rPr>
          <w:rFonts w:ascii="Calibri" w:eastAsia="Times New Roman" w:hAnsi="Calibri" w:cs="Guttman Rashi"/>
          <w:noProof w:val="0"/>
          <w:sz w:val="10"/>
          <w:szCs w:val="12"/>
          <w:rtl/>
        </w:rPr>
        <w:fldChar w:fldCharType="end"/>
      </w:r>
      <w:r>
        <w:rPr>
          <w:rtl/>
        </w:rPr>
        <w:t xml:space="preserve"> </w:t>
      </w:r>
      <w:r w:rsidRPr="0004391E">
        <w:rPr>
          <w:rFonts w:hint="cs"/>
          <w:b/>
          <w:bCs/>
          <w:rtl/>
        </w:rPr>
        <w:t>ולקמן</w:t>
      </w:r>
      <w:r>
        <w:rPr>
          <w:rtl/>
        </w:rPr>
        <w:t xml:space="preserve"> </w:t>
      </w:r>
      <w:r w:rsidRPr="0004391E">
        <w:rPr>
          <w:rFonts w:ascii="Calibri" w:eastAsia="Times New Roman" w:hAnsi="Calibri" w:cs="Guttman Rashi"/>
          <w:noProof w:val="0"/>
          <w:sz w:val="10"/>
          <w:szCs w:val="12"/>
          <w:rtl/>
        </w:rPr>
        <w:t xml:space="preserve">(עי' </w:t>
      </w:r>
      <w:r w:rsidRPr="007C7D0F">
        <w:rPr>
          <w:rStyle w:val="af2"/>
          <w:rFonts w:eastAsia="Guttman Hodes"/>
          <w:rtl/>
        </w:rPr>
        <w:t xml:space="preserve">אות </w:t>
      </w:r>
      <w:r w:rsidRPr="007C7D0F">
        <w:rPr>
          <w:rStyle w:val="af2"/>
          <w:rtl/>
        </w:rPr>
        <w:fldChar w:fldCharType="begin"/>
      </w:r>
      <w:r w:rsidRPr="007C7D0F">
        <w:rPr>
          <w:rStyle w:val="af2"/>
          <w:rFonts w:eastAsia="Guttman Hodes"/>
          <w:rtl/>
        </w:rPr>
        <w:instrText xml:space="preserve"> </w:instrText>
      </w:r>
      <w:r w:rsidRPr="007C7D0F">
        <w:rPr>
          <w:rStyle w:val="af2"/>
          <w:rFonts w:eastAsia="Guttman Hodes"/>
        </w:rPr>
        <w:instrText>REF</w:instrText>
      </w:r>
      <w:r w:rsidRPr="007C7D0F">
        <w:rPr>
          <w:rStyle w:val="af2"/>
          <w:rFonts w:eastAsia="Guttman Hodes"/>
          <w:rtl/>
        </w:rPr>
        <w:instrText xml:space="preserve"> _</w:instrText>
      </w:r>
      <w:r w:rsidRPr="007C7D0F">
        <w:rPr>
          <w:rStyle w:val="af2"/>
          <w:rFonts w:eastAsia="Guttman Hodes"/>
        </w:rPr>
        <w:instrText>Ref144655080 \r \h</w:instrText>
      </w:r>
      <w:r w:rsidRPr="007C7D0F">
        <w:rPr>
          <w:rStyle w:val="af2"/>
          <w:rFonts w:eastAsia="Guttman Hodes"/>
          <w:rtl/>
        </w:rPr>
        <w:instrText xml:space="preserve"> </w:instrText>
      </w:r>
      <w:r w:rsidRPr="007C7D0F">
        <w:rPr>
          <w:rStyle w:val="af2"/>
          <w:rFonts w:eastAsia="Guttman Hodes"/>
          <w:rtl/>
        </w:rPr>
      </w:r>
      <w:r w:rsidRPr="007C7D0F">
        <w:rPr>
          <w:rStyle w:val="af2"/>
          <w:rtl/>
        </w:rPr>
        <w:fldChar w:fldCharType="separate"/>
      </w:r>
      <w:r w:rsidR="00D82181">
        <w:rPr>
          <w:rStyle w:val="af2"/>
          <w:rFonts w:eastAsia="Guttman Hodes"/>
          <w:cs/>
        </w:rPr>
        <w:t>‎</w:t>
      </w:r>
      <w:r w:rsidR="00D82181">
        <w:rPr>
          <w:rStyle w:val="af2"/>
          <w:rFonts w:eastAsia="Guttman Hodes"/>
          <w:rtl/>
        </w:rPr>
        <w:t>סה)</w:t>
      </w:r>
      <w:r w:rsidRPr="007C7D0F">
        <w:rPr>
          <w:rStyle w:val="af2"/>
          <w:rFonts w:eastAsia="Guttman Hodes"/>
          <w:rtl/>
        </w:rPr>
        <w:fldChar w:fldCharType="end"/>
      </w:r>
      <w:r>
        <w:rPr>
          <w:rtl/>
        </w:rPr>
        <w:t xml:space="preserve"> </w:t>
      </w:r>
      <w:r>
        <w:rPr>
          <w:rFonts w:hint="cs"/>
          <w:rtl/>
        </w:rPr>
        <w:t>דההיתר בשבירת חבית הוא רק במוסתקי, אבל בלא"ה יש איסור סתירה בכלים, אך הקשה</w:t>
      </w:r>
      <w:r>
        <w:rPr>
          <w:rtl/>
        </w:rPr>
        <w:t xml:space="preserve"> </w:t>
      </w:r>
      <w:r w:rsidRPr="0004391E">
        <w:rPr>
          <w:rFonts w:hint="cs"/>
          <w:b/>
          <w:bCs/>
          <w:rtl/>
        </w:rPr>
        <w:t>הפרמ"ג</w:t>
      </w:r>
      <w:r>
        <w:rPr>
          <w:rtl/>
        </w:rPr>
        <w:t xml:space="preserve"> </w:t>
      </w:r>
      <w:r>
        <w:rPr>
          <w:rFonts w:hint="cs"/>
          <w:rtl/>
        </w:rPr>
        <w:t xml:space="preserve">דמדברי </w:t>
      </w:r>
      <w:r w:rsidRPr="0004391E">
        <w:rPr>
          <w:b/>
          <w:bCs/>
          <w:rtl/>
        </w:rPr>
        <w:t>ה</w:t>
      </w:r>
      <w:r w:rsidRPr="0004391E">
        <w:rPr>
          <w:rFonts w:hint="cs"/>
          <w:b/>
          <w:bCs/>
          <w:rtl/>
        </w:rPr>
        <w:t>רא"ש לקמן</w:t>
      </w:r>
      <w:r w:rsidRPr="0004391E">
        <w:rPr>
          <w:b/>
          <w:bCs/>
          <w:rtl/>
        </w:rPr>
        <w:t xml:space="preserve"> </w:t>
      </w:r>
      <w:r w:rsidRPr="0004391E">
        <w:rPr>
          <w:rFonts w:ascii="Calibri" w:eastAsia="Times New Roman" w:hAnsi="Calibri" w:cs="Guttman Rashi" w:hint="cs"/>
          <w:noProof w:val="0"/>
          <w:sz w:val="10"/>
          <w:szCs w:val="12"/>
          <w:rtl/>
        </w:rPr>
        <w:t xml:space="preserve">(עי' </w:t>
      </w:r>
      <w:r w:rsidRPr="00273AC0">
        <w:rPr>
          <w:rStyle w:val="af2"/>
          <w:rFonts w:eastAsia="Guttman Hodes" w:hint="cs"/>
          <w:rtl/>
        </w:rPr>
        <w:t xml:space="preserve">אות </w:t>
      </w:r>
      <w:r w:rsidRPr="0004391E">
        <w:rPr>
          <w:rStyle w:val="af2"/>
          <w:rFonts w:eastAsia="Guttman Hodes"/>
          <w:rtl/>
        </w:rPr>
        <w:t>כב)</w:t>
      </w:r>
      <w:r>
        <w:rPr>
          <w:rFonts w:hint="cs"/>
          <w:rtl/>
        </w:rPr>
        <w:t xml:space="preserve"> דכתב דהא דצריך להעמיד במוסתקי היינו לר"א, אבל לרבנן</w:t>
      </w:r>
      <w:bookmarkEnd w:id="5824"/>
      <w:r>
        <w:rPr>
          <w:rFonts w:hint="cs"/>
          <w:rtl/>
        </w:rPr>
        <w:t xml:space="preserve"> אף בחבית שאינה מוסתקי אין איסור דאו', ואסור רק מדרבנן, משמע דס"ל </w:t>
      </w:r>
      <w:r w:rsidRPr="0004391E">
        <w:rPr>
          <w:rFonts w:hint="cs"/>
          <w:b/>
          <w:bCs/>
          <w:rtl/>
        </w:rPr>
        <w:t>ל</w:t>
      </w:r>
      <w:r w:rsidRPr="0004391E">
        <w:rPr>
          <w:b/>
          <w:bCs/>
          <w:rtl/>
        </w:rPr>
        <w:t>ה</w:t>
      </w:r>
      <w:r w:rsidRPr="0004391E">
        <w:rPr>
          <w:rFonts w:hint="cs"/>
          <w:b/>
          <w:bCs/>
          <w:rtl/>
        </w:rPr>
        <w:t xml:space="preserve">רא"ש </w:t>
      </w:r>
      <w:r>
        <w:rPr>
          <w:rFonts w:hint="cs"/>
          <w:rtl/>
        </w:rPr>
        <w:t>כדעת</w:t>
      </w:r>
      <w:r>
        <w:rPr>
          <w:rtl/>
        </w:rPr>
        <w:t xml:space="preserve"> </w:t>
      </w:r>
      <w:r w:rsidRPr="0004391E">
        <w:rPr>
          <w:rFonts w:hint="cs"/>
          <w:b/>
          <w:bCs/>
          <w:rtl/>
        </w:rPr>
        <w:t>הרשב"א לקמן</w:t>
      </w:r>
      <w:r>
        <w:rPr>
          <w:rtl/>
        </w:rPr>
        <w:t xml:space="preserve"> </w:t>
      </w:r>
      <w:r>
        <w:rPr>
          <w:rFonts w:ascii="Calibri" w:eastAsia="Times New Roman" w:hAnsi="Calibri" w:cs="Guttman Rashi" w:hint="cs"/>
          <w:noProof w:val="0"/>
          <w:sz w:val="10"/>
          <w:szCs w:val="12"/>
          <w:rtl/>
        </w:rPr>
        <w:t xml:space="preserve">(עי' 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hint="cs"/>
          <w:noProof w:val="0"/>
          <w:sz w:val="10"/>
          <w:szCs w:val="12"/>
        </w:rPr>
        <w:instrText>REF</w:instrText>
      </w:r>
      <w:r>
        <w:rPr>
          <w:rFonts w:ascii="Calibri" w:eastAsia="Times New Roman" w:hAnsi="Calibri" w:cs="Guttman Rashi" w:hint="cs"/>
          <w:noProof w:val="0"/>
          <w:sz w:val="10"/>
          <w:szCs w:val="12"/>
          <w:rtl/>
        </w:rPr>
        <w:instrText xml:space="preserve"> _</w:instrText>
      </w:r>
      <w:r>
        <w:rPr>
          <w:rFonts w:ascii="Calibri" w:eastAsia="Times New Roman" w:hAnsi="Calibri" w:cs="Guttman Rashi" w:hint="cs"/>
          <w:noProof w:val="0"/>
          <w:sz w:val="10"/>
          <w:szCs w:val="12"/>
        </w:rPr>
        <w:instrText>Ref145061049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נד)</w:t>
      </w:r>
      <w:r>
        <w:rPr>
          <w:rFonts w:ascii="Calibri" w:eastAsia="Times New Roman" w:hAnsi="Calibri" w:cs="Guttman Rashi"/>
          <w:noProof w:val="0"/>
          <w:sz w:val="10"/>
          <w:szCs w:val="12"/>
          <w:rtl/>
        </w:rPr>
        <w:fldChar w:fldCharType="end"/>
      </w:r>
      <w:r>
        <w:rPr>
          <w:rFonts w:ascii="Calibri" w:eastAsia="Times New Roman" w:hAnsi="Calibri" w:cs="Guttman Rashi" w:hint="cs"/>
          <w:noProof w:val="0"/>
          <w:sz w:val="10"/>
          <w:szCs w:val="12"/>
          <w:rtl/>
        </w:rPr>
        <w:t xml:space="preserve"> </w:t>
      </w:r>
      <w:r>
        <w:rPr>
          <w:rFonts w:hint="cs"/>
          <w:rtl/>
        </w:rPr>
        <w:t>דרק במגדל גדול יש איסור סתירה, אבל במגדל קטן אין בנין וסתירה בכלים, ודלא</w:t>
      </w:r>
      <w:r w:rsidRPr="00C34B96">
        <w:rPr>
          <w:rFonts w:hint="cs"/>
          <w:rtl/>
        </w:rPr>
        <w:t xml:space="preserve"> </w:t>
      </w:r>
      <w:r>
        <w:rPr>
          <w:rFonts w:hint="cs"/>
          <w:rtl/>
        </w:rPr>
        <w:t>כדעת</w:t>
      </w:r>
      <w:r>
        <w:rPr>
          <w:rtl/>
        </w:rPr>
        <w:t xml:space="preserve"> </w:t>
      </w:r>
      <w:r w:rsidRPr="0004391E">
        <w:rPr>
          <w:rFonts w:hint="cs"/>
          <w:b/>
          <w:bCs/>
          <w:rtl/>
        </w:rPr>
        <w:t>התוס'</w:t>
      </w:r>
      <w:r>
        <w:rPr>
          <w:rFonts w:hint="cs"/>
          <w:rtl/>
        </w:rPr>
        <w:t xml:space="preserve">, והניח </w:t>
      </w:r>
      <w:r w:rsidRPr="0004391E">
        <w:rPr>
          <w:rFonts w:hint="cs"/>
          <w:b/>
          <w:bCs/>
          <w:rtl/>
        </w:rPr>
        <w:t>הפרמ"ג</w:t>
      </w:r>
      <w:r>
        <w:rPr>
          <w:rtl/>
        </w:rPr>
        <w:t xml:space="preserve"> </w:t>
      </w:r>
      <w:r>
        <w:rPr>
          <w:rFonts w:hint="cs"/>
          <w:rtl/>
        </w:rPr>
        <w:t>בצ"ע.</w:t>
      </w:r>
      <w:bookmarkEnd w:id="5825"/>
    </w:p>
    <w:p w14:paraId="6A2B2A65" w14:textId="77777777" w:rsidR="003E1AA3" w:rsidRPr="00BC7DC8" w:rsidRDefault="003E1AA3" w:rsidP="003E1AA3">
      <w:pPr>
        <w:pStyle w:val="afffffe"/>
        <w:rPr>
          <w:vanish/>
          <w:rtl/>
        </w:rPr>
      </w:pPr>
      <w:r w:rsidRPr="00BC7DC8">
        <w:rPr>
          <w:vanish/>
          <w:rtl/>
        </w:rPr>
        <w:t xml:space="preserve">פרי מגדים </w:t>
      </w:r>
      <w:r w:rsidRPr="00BC7DC8">
        <w:rPr>
          <w:rFonts w:hint="cs"/>
          <w:vanish/>
          <w:rtl/>
        </w:rPr>
        <w:t>או"ח</w:t>
      </w:r>
      <w:r w:rsidRPr="00BC7DC8">
        <w:rPr>
          <w:vanish/>
          <w:rtl/>
        </w:rPr>
        <w:t xml:space="preserve"> משבצות זהב סי</w:t>
      </w:r>
      <w:r w:rsidRPr="00BC7DC8">
        <w:rPr>
          <w:rFonts w:hint="cs"/>
          <w:vanish/>
          <w:rtl/>
        </w:rPr>
        <w:t>'</w:t>
      </w:r>
      <w:r w:rsidRPr="00BC7DC8">
        <w:rPr>
          <w:vanish/>
          <w:rtl/>
        </w:rPr>
        <w:t xml:space="preserve"> שי</w:t>
      </w:r>
      <w:r w:rsidRPr="00BC7DC8">
        <w:rPr>
          <w:rFonts w:hint="cs"/>
          <w:vanish/>
          <w:rtl/>
        </w:rPr>
        <w:t>"</w:t>
      </w:r>
      <w:r w:rsidRPr="00BC7DC8">
        <w:rPr>
          <w:vanish/>
          <w:rtl/>
        </w:rPr>
        <w:t>ד סק"</w:t>
      </w:r>
      <w:r w:rsidRPr="00BC7DC8">
        <w:rPr>
          <w:rFonts w:hint="cs"/>
          <w:vanish/>
          <w:rtl/>
        </w:rPr>
        <w:t>א</w:t>
      </w:r>
      <w:r w:rsidRPr="00BC7DC8">
        <w:rPr>
          <w:vanish/>
          <w:rtl/>
        </w:rPr>
        <w:t xml:space="preserve"> </w:t>
      </w:r>
      <w:r w:rsidRPr="00BC7DC8">
        <w:rPr>
          <w:rFonts w:hint="cs"/>
          <w:vanish/>
          <w:rtl/>
        </w:rPr>
        <w:t>ד"ה</w:t>
      </w:r>
      <w:r w:rsidRPr="00BC7DC8">
        <w:rPr>
          <w:vanish/>
          <w:rtl/>
        </w:rPr>
        <w:t xml:space="preserve"> ועיין רא"ש</w:t>
      </w:r>
    </w:p>
    <w:p w14:paraId="15066353" w14:textId="77777777" w:rsidR="003E1AA3" w:rsidRPr="0018388A" w:rsidRDefault="003E1AA3" w:rsidP="003E1AA3">
      <w:pPr>
        <w:pStyle w:val="a2"/>
        <w:tabs>
          <w:tab w:val="num" w:pos="284"/>
        </w:tabs>
      </w:pPr>
      <w:r w:rsidRPr="0018388A">
        <w:rPr>
          <w:rtl/>
        </w:rPr>
        <w:t>ועיין רא"ש עירובין ל"ד [פ"ג סימן ה] נראה כתוספות שם ד"ה ואמאי, ותוספות שבת קמ"ו א' ד"ה שובר, דלרבנן במוסתקי, דאי לאו הכי היה אסור, דיש בנין בכלים. ובשבת קמ"ו [רא"ש פרק כב סימן ו] כתב בענין אחר, וכמו שכתב בחדושי הרשב"א שם [ד"ה ובתוספות], וצ"ע כעת.</w:t>
      </w:r>
    </w:p>
    <w:bookmarkEnd w:id="5372"/>
    <w:p w14:paraId="311D1995" w14:textId="77777777" w:rsidR="003E1AA3" w:rsidRPr="00376323" w:rsidRDefault="003E1AA3" w:rsidP="003E1AA3">
      <w:pPr>
        <w:pStyle w:val="a7"/>
        <w:rPr>
          <w:rtl/>
        </w:rPr>
        <w:sectPr w:rsidR="003E1AA3" w:rsidRPr="00376323" w:rsidSect="00F14A0A">
          <w:type w:val="continuous"/>
          <w:pgSz w:w="11906" w:h="16838"/>
          <w:pgMar w:top="720" w:right="720" w:bottom="720" w:left="720" w:header="283" w:footer="283" w:gutter="0"/>
          <w:cols w:num="2" w:space="567"/>
          <w:bidi/>
          <w:rtlGutter/>
          <w:docGrid w:linePitch="299"/>
        </w:sectPr>
      </w:pPr>
    </w:p>
    <w:p w14:paraId="446B25F9" w14:textId="77777777" w:rsidR="003E1AA3" w:rsidRPr="00A65234" w:rsidRDefault="003E1AA3" w:rsidP="00BC7DC8">
      <w:pPr>
        <w:pStyle w:val="a3"/>
        <w:numPr>
          <w:ilvl w:val="0"/>
          <w:numId w:val="0"/>
        </w:numPr>
      </w:pPr>
    </w:p>
    <w:p w14:paraId="5D9C87D0" w14:textId="77777777" w:rsidR="003E1AA3" w:rsidRDefault="003E1AA3" w:rsidP="003E1AA3">
      <w:pPr>
        <w:pStyle w:val="a7"/>
        <w:rPr>
          <w:rtl/>
        </w:rPr>
      </w:pPr>
    </w:p>
    <w:p w14:paraId="591325E8" w14:textId="77777777" w:rsidR="003E1AA3" w:rsidRPr="0096498F" w:rsidRDefault="003E1AA3" w:rsidP="003E1AA3">
      <w:pPr>
        <w:pStyle w:val="a7"/>
        <w:rPr>
          <w:rtl/>
        </w:rPr>
        <w:sectPr w:rsidR="003E1AA3" w:rsidRPr="0096498F" w:rsidSect="00CA28B3">
          <w:footerReference w:type="default" r:id="rId188"/>
          <w:type w:val="continuous"/>
          <w:pgSz w:w="11906" w:h="16838"/>
          <w:pgMar w:top="720" w:right="720" w:bottom="720" w:left="720" w:header="283" w:footer="283" w:gutter="0"/>
          <w:cols w:num="2" w:space="567"/>
          <w:bidi/>
          <w:rtlGutter/>
        </w:sectPr>
      </w:pPr>
    </w:p>
    <w:p w14:paraId="4EA20BF9" w14:textId="77777777" w:rsidR="003E1AA3" w:rsidRPr="008E1B37" w:rsidRDefault="003E1AA3" w:rsidP="003E1AA3">
      <w:pPr>
        <w:pStyle w:val="a7"/>
        <w:rPr>
          <w:rtl/>
        </w:rPr>
      </w:pPr>
    </w:p>
    <w:p w14:paraId="39B22F5E" w14:textId="77777777" w:rsidR="003E1AA3" w:rsidRDefault="003E1AA3" w:rsidP="003E1AA3">
      <w:pPr>
        <w:keepNext/>
        <w:keepLines/>
        <w:spacing w:after="0" w:line="240" w:lineRule="auto"/>
        <w:jc w:val="center"/>
        <w:outlineLvl w:val="1"/>
        <w:rPr>
          <w:rFonts w:ascii="FrankRuehl" w:eastAsia="Guttman Adii-Light" w:hAnsi="FrankRuehl" w:cs="Guttman Hodes"/>
          <w:b/>
          <w:bCs/>
          <w:noProof/>
          <w:sz w:val="24"/>
          <w:szCs w:val="24"/>
          <w:rtl/>
        </w:rPr>
        <w:sectPr w:rsidR="003E1AA3" w:rsidSect="00CA28B3">
          <w:type w:val="continuous"/>
          <w:pgSz w:w="11906" w:h="16838"/>
          <w:pgMar w:top="720" w:right="720" w:bottom="720" w:left="720" w:header="283" w:footer="283" w:gutter="0"/>
          <w:cols w:space="567"/>
          <w:bidi/>
          <w:rtlGutter/>
          <w:docGrid w:linePitch="299"/>
        </w:sectPr>
      </w:pPr>
    </w:p>
    <w:bookmarkEnd w:id="5369"/>
    <w:p w14:paraId="32053D96" w14:textId="77777777" w:rsidR="000F6808" w:rsidRDefault="000F6808" w:rsidP="00355EBB">
      <w:pPr>
        <w:pStyle w:val="af9"/>
        <w:rPr>
          <w:rtl/>
        </w:rPr>
      </w:pPr>
      <w:r>
        <w:rPr>
          <w:rFonts w:hint="cs"/>
          <w:rtl/>
        </w:rPr>
        <w:lastRenderedPageBreak/>
        <w:t>סימן י</w:t>
      </w:r>
      <w:r>
        <w:rPr>
          <w:rtl/>
        </w:rPr>
        <w:t>"</w:t>
      </w:r>
      <w:r>
        <w:rPr>
          <w:rFonts w:hint="cs"/>
          <w:rtl/>
        </w:rPr>
        <w:t>ד</w:t>
      </w:r>
    </w:p>
    <w:p w14:paraId="0E187DEF" w14:textId="77777777" w:rsidR="000F6808" w:rsidRDefault="000F6808" w:rsidP="00355EBB">
      <w:pPr>
        <w:pStyle w:val="af9"/>
        <w:rPr>
          <w:rtl/>
        </w:rPr>
      </w:pPr>
      <w:r w:rsidRPr="008F4A22">
        <w:rPr>
          <w:rtl/>
        </w:rPr>
        <w:t>ב</w:t>
      </w:r>
      <w:r>
        <w:rPr>
          <w:rFonts w:hint="cs"/>
          <w:rtl/>
        </w:rPr>
        <w:t>ענין בנין בכלים (ב')</w:t>
      </w:r>
    </w:p>
    <w:p w14:paraId="5CA3F684" w14:textId="77777777" w:rsidR="000F6808" w:rsidRPr="006E6B9C" w:rsidRDefault="000F6808" w:rsidP="00355EBB">
      <w:pPr>
        <w:pStyle w:val="af9"/>
        <w:rPr>
          <w:rtl/>
        </w:rPr>
      </w:pPr>
      <w:r>
        <w:rPr>
          <w:rFonts w:hint="cs"/>
          <w:rtl/>
        </w:rPr>
        <w:t>בדיני תוקע ומהדק ורפוי</w:t>
      </w:r>
    </w:p>
    <w:p w14:paraId="193504BD" w14:textId="77777777" w:rsidR="000F6808" w:rsidRPr="00224A5A" w:rsidRDefault="000F6808" w:rsidP="000F6808">
      <w:pPr>
        <w:keepNext/>
        <w:keepLines/>
        <w:spacing w:after="0" w:line="240" w:lineRule="auto"/>
        <w:jc w:val="center"/>
        <w:outlineLvl w:val="1"/>
        <w:rPr>
          <w:rFonts w:ascii="FrankRuehl" w:eastAsia="Guttman Adii-Light" w:hAnsi="FrankRuehl" w:cs="Guttman Hodes"/>
          <w:b/>
          <w:bCs/>
          <w:noProof/>
          <w:sz w:val="24"/>
          <w:szCs w:val="24"/>
          <w:rtl/>
        </w:rPr>
        <w:sectPr w:rsidR="000F6808" w:rsidRPr="00224A5A" w:rsidSect="000F6808">
          <w:headerReference w:type="default" r:id="rId189"/>
          <w:footerReference w:type="default" r:id="rId190"/>
          <w:headerReference w:type="first" r:id="rId191"/>
          <w:footerReference w:type="first" r:id="rId192"/>
          <w:type w:val="oddPage"/>
          <w:pgSz w:w="11906" w:h="16838"/>
          <w:pgMar w:top="720" w:right="720" w:bottom="720" w:left="720" w:header="283" w:footer="283" w:gutter="0"/>
          <w:cols w:space="113"/>
          <w:titlePg/>
          <w:bidi/>
          <w:rtlGutter/>
          <w:docGrid w:linePitch="299"/>
        </w:sectPr>
      </w:pPr>
      <w:r w:rsidRPr="00224A5A">
        <w:rPr>
          <w:rFonts w:ascii="FrankRuehl" w:eastAsia="Guttman Adii-Light" w:hAnsi="FrankRuehl" w:cs="Guttman Hodes"/>
          <w:b/>
          <w:bCs/>
          <w:noProof/>
          <w:sz w:val="24"/>
          <w:szCs w:val="24"/>
          <w:rtl/>
        </w:rPr>
        <w:t>~~~~~~~</w:t>
      </w:r>
      <w:r w:rsidRPr="00224A5A">
        <w:rPr>
          <w:rFonts w:ascii="FrankRuehl" w:eastAsia="Guttman Adii-Light" w:hAnsi="FrankRuehl" w:cs="Guttman Hodes" w:hint="cs"/>
          <w:b/>
          <w:bCs/>
          <w:noProof/>
          <w:sz w:val="24"/>
          <w:szCs w:val="24"/>
          <w:rtl/>
        </w:rPr>
        <w:t xml:space="preserve"> תוכן הענייני</w:t>
      </w:r>
      <w:r w:rsidRPr="00224A5A">
        <w:rPr>
          <w:rFonts w:ascii="FrankRuehl" w:eastAsia="Guttman Adii-Light" w:hAnsi="FrankRuehl" w:cs="Guttman Hodes" w:hint="eastAsia"/>
          <w:b/>
          <w:bCs/>
          <w:noProof/>
          <w:sz w:val="24"/>
          <w:szCs w:val="24"/>
          <w:rtl/>
        </w:rPr>
        <w:t>ם</w:t>
      </w:r>
      <w:r w:rsidRPr="00224A5A">
        <w:rPr>
          <w:rFonts w:ascii="FrankRuehl" w:eastAsia="Guttman Adii-Light" w:hAnsi="FrankRuehl" w:cs="Guttman Hodes" w:hint="cs"/>
          <w:b/>
          <w:bCs/>
          <w:noProof/>
          <w:sz w:val="24"/>
          <w:szCs w:val="24"/>
          <w:rtl/>
        </w:rPr>
        <w:t xml:space="preserve"> </w:t>
      </w:r>
      <w:r w:rsidRPr="00224A5A">
        <w:rPr>
          <w:rFonts w:ascii="FrankRuehl" w:eastAsia="Guttman Adii-Light" w:hAnsi="FrankRuehl" w:cs="Guttman Hodes"/>
          <w:b/>
          <w:bCs/>
          <w:noProof/>
          <w:sz w:val="24"/>
          <w:szCs w:val="24"/>
          <w:rtl/>
        </w:rPr>
        <w:t>~~~~~~~</w:t>
      </w:r>
    </w:p>
    <w:p w14:paraId="220397E2" w14:textId="77777777" w:rsidR="000F6808" w:rsidRDefault="000F6808" w:rsidP="000F6808">
      <w:pPr>
        <w:pStyle w:val="TOC1"/>
        <w:rPr>
          <w:rFonts w:asciiTheme="minorHAnsi" w:hAnsiTheme="minorHAnsi" w:cstheme="minorBidi"/>
          <w:b w:val="0"/>
          <w:bCs w:val="0"/>
          <w:caps w:val="0"/>
          <w:sz w:val="22"/>
          <w:szCs w:val="22"/>
          <w:rtl/>
        </w:rPr>
      </w:pPr>
      <w:r w:rsidRPr="00224A5A">
        <w:rPr>
          <w:rtl/>
        </w:rPr>
        <w:fldChar w:fldCharType="begin"/>
      </w:r>
      <w:r w:rsidRPr="00224A5A">
        <w:rPr>
          <w:rtl/>
        </w:rPr>
        <w:instrText xml:space="preserve"> </w:instrText>
      </w:r>
      <w:r w:rsidRPr="00224A5A">
        <w:rPr>
          <w:rFonts w:hint="cs"/>
        </w:rPr>
        <w:instrText>TOC</w:instrText>
      </w:r>
      <w:r w:rsidRPr="00224A5A">
        <w:rPr>
          <w:rFonts w:hint="cs"/>
          <w:rtl/>
        </w:rPr>
        <w:instrText xml:space="preserve"> \</w:instrText>
      </w:r>
      <w:r w:rsidRPr="00224A5A">
        <w:rPr>
          <w:rFonts w:hint="cs"/>
        </w:rPr>
        <w:instrText>n \p " " \h \z \t</w:instrText>
      </w:r>
      <w:r w:rsidRPr="00224A5A">
        <w:rPr>
          <w:rFonts w:hint="cs"/>
          <w:rtl/>
        </w:rPr>
        <w:instrText xml:space="preserve"> "כותרת 1,2,כות קט,3,כות מק פנ,1"</w:instrText>
      </w:r>
      <w:r w:rsidRPr="00224A5A">
        <w:rPr>
          <w:rtl/>
        </w:rPr>
        <w:instrText xml:space="preserve"> </w:instrText>
      </w:r>
      <w:r w:rsidRPr="00224A5A">
        <w:rPr>
          <w:rtl/>
        </w:rPr>
        <w:fldChar w:fldCharType="separate"/>
      </w:r>
      <w:hyperlink w:anchor="_Toc145487048" w:history="1">
        <w:r w:rsidRPr="005E0C1D">
          <w:rPr>
            <w:rStyle w:val="Hyperlink"/>
            <w:rtl/>
          </w:rPr>
          <w:t>בד' הרמב"ם בבנין בכלים ובחיוב תוקע</w:t>
        </w:r>
      </w:hyperlink>
    </w:p>
    <w:p w14:paraId="7EE68F0A" w14:textId="4AD58C92" w:rsidR="000F6808" w:rsidRDefault="000F6808" w:rsidP="000F6808">
      <w:pPr>
        <w:pStyle w:val="afffffffff0"/>
        <w:rPr>
          <w:rtl/>
        </w:rPr>
      </w:pPr>
      <w:r w:rsidRPr="00893FDE">
        <w:rPr>
          <w:b/>
          <w:bCs/>
          <w:rtl/>
        </w:rPr>
        <w:fldChar w:fldCharType="begin"/>
      </w:r>
      <w:r w:rsidRPr="00893FDE">
        <w:rPr>
          <w:b/>
          <w:bCs/>
          <w:rtl/>
        </w:rPr>
        <w:instrText xml:space="preserve"> </w:instrText>
      </w:r>
      <w:r w:rsidRPr="00893FDE">
        <w:rPr>
          <w:b/>
          <w:bCs/>
        </w:rPr>
        <w:instrText>REF</w:instrText>
      </w:r>
      <w:r w:rsidRPr="00893FDE">
        <w:rPr>
          <w:b/>
          <w:bCs/>
          <w:rtl/>
        </w:rPr>
        <w:instrText xml:space="preserve"> _</w:instrText>
      </w:r>
      <w:r w:rsidRPr="00893FDE">
        <w:rPr>
          <w:b/>
          <w:bCs/>
        </w:rPr>
        <w:instrText>Ref145260595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פט)</w:t>
      </w:r>
      <w:r w:rsidRPr="00893FDE">
        <w:rPr>
          <w:b/>
          <w:bCs/>
          <w:rtl/>
        </w:rPr>
        <w:fldChar w:fldCharType="end"/>
      </w:r>
      <w:r w:rsidRPr="00893FDE">
        <w:rPr>
          <w:b/>
          <w:bCs/>
          <w:rtl/>
        </w:rPr>
        <w:t xml:space="preserve"> </w:t>
      </w:r>
      <w:r w:rsidRPr="00893FDE">
        <w:rPr>
          <w:rFonts w:hint="cs"/>
          <w:rtl/>
        </w:rPr>
        <w:t>רמב"ם</w:t>
      </w:r>
      <w:r w:rsidRPr="00893FDE">
        <w:rPr>
          <w:rtl/>
        </w:rPr>
        <w:t xml:space="preserve"> </w:t>
      </w:r>
      <w:r w:rsidRPr="00893FDE">
        <w:rPr>
          <w:rStyle w:val="afffffffff3"/>
          <w:rtl/>
        </w:rPr>
        <w:t>(</w:t>
      </w:r>
      <w:r w:rsidRPr="00893FDE">
        <w:rPr>
          <w:rStyle w:val="afffffffff3"/>
          <w:rFonts w:hint="cs"/>
          <w:rtl/>
        </w:rPr>
        <w:t>שבת פכ"ב הכ"ה</w:t>
      </w:r>
      <w:r w:rsidRPr="00893FDE">
        <w:rPr>
          <w:rStyle w:val="afffffffff3"/>
          <w:rtl/>
        </w:rPr>
        <w:t>)</w:t>
      </w:r>
      <w:r>
        <w:rPr>
          <w:rtl/>
        </w:rPr>
        <w:t>,</w:t>
      </w:r>
      <w:r w:rsidRPr="00893FDE">
        <w:rPr>
          <w:rFonts w:hint="cs"/>
          <w:b/>
          <w:bCs/>
          <w:rtl/>
        </w:rPr>
        <w:t xml:space="preserve"> </w:t>
      </w:r>
      <w:r w:rsidRPr="00893FDE">
        <w:rPr>
          <w:b/>
          <w:bCs/>
          <w:rtl/>
        </w:rPr>
        <w:fldChar w:fldCharType="begin"/>
      </w:r>
      <w:r w:rsidRPr="00893FDE">
        <w:rPr>
          <w:b/>
          <w:bCs/>
          <w:rtl/>
        </w:rPr>
        <w:instrText xml:space="preserve"> </w:instrText>
      </w:r>
      <w:r w:rsidRPr="00893FDE">
        <w:rPr>
          <w:rFonts w:hint="cs"/>
          <w:b/>
          <w:bCs/>
        </w:rPr>
        <w:instrText>REF</w:instrText>
      </w:r>
      <w:r w:rsidRPr="00893FDE">
        <w:rPr>
          <w:rFonts w:hint="cs"/>
          <w:b/>
          <w:bCs/>
          <w:rtl/>
        </w:rPr>
        <w:instrText xml:space="preserve"> _</w:instrText>
      </w:r>
      <w:r w:rsidRPr="00893FDE">
        <w:rPr>
          <w:rFonts w:hint="cs"/>
          <w:b/>
          <w:bCs/>
        </w:rPr>
        <w:instrText>Ref145370265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צ)</w:t>
      </w:r>
      <w:r w:rsidRPr="00893FDE">
        <w:rPr>
          <w:b/>
          <w:bCs/>
          <w:rtl/>
        </w:rPr>
        <w:fldChar w:fldCharType="end"/>
      </w:r>
      <w:r>
        <w:rPr>
          <w:rFonts w:hint="cs"/>
          <w:b/>
          <w:bCs/>
          <w:rtl/>
        </w:rPr>
        <w:t xml:space="preserve"> </w:t>
      </w:r>
      <w:r w:rsidRPr="00893FDE">
        <w:rPr>
          <w:rFonts w:hint="cs"/>
          <w:rtl/>
        </w:rPr>
        <w:t xml:space="preserve">מ"מ </w:t>
      </w:r>
      <w:r w:rsidRPr="00893FDE">
        <w:rPr>
          <w:rStyle w:val="afffffffff3"/>
          <w:rtl/>
        </w:rPr>
        <w:t>(</w:t>
      </w:r>
      <w:r w:rsidRPr="00893FDE">
        <w:rPr>
          <w:rStyle w:val="afffffffff3"/>
          <w:rFonts w:hint="cs"/>
          <w:rtl/>
        </w:rPr>
        <w:t>שבת פכ"ב הכ"ה</w:t>
      </w:r>
      <w:r w:rsidRPr="00893FDE">
        <w:rPr>
          <w:rStyle w:val="afffffffff3"/>
          <w:rtl/>
        </w:rPr>
        <w:t>)</w:t>
      </w:r>
      <w:r>
        <w:rPr>
          <w:rtl/>
        </w:rPr>
        <w:t xml:space="preserve"> </w:t>
      </w:r>
      <w:r w:rsidRPr="00893FDE">
        <w:rPr>
          <w:rFonts w:hint="cs"/>
          <w:rtl/>
        </w:rPr>
        <w:t xml:space="preserve">רי"ף </w:t>
      </w:r>
      <w:r w:rsidRPr="00893FDE">
        <w:rPr>
          <w:rStyle w:val="afffffffff3"/>
          <w:rtl/>
        </w:rPr>
        <w:t>(</w:t>
      </w:r>
      <w:r w:rsidRPr="00893FDE">
        <w:rPr>
          <w:rStyle w:val="afffffffff3"/>
          <w:rFonts w:hint="cs"/>
          <w:rtl/>
        </w:rPr>
        <w:t>מז. מדה"ר</w:t>
      </w:r>
      <w:r w:rsidRPr="00893FDE">
        <w:rPr>
          <w:rStyle w:val="afffffffff3"/>
          <w:rtl/>
        </w:rPr>
        <w:t>)</w:t>
      </w:r>
      <w:r>
        <w:rPr>
          <w:rtl/>
        </w:rPr>
        <w:t xml:space="preserve"> </w:t>
      </w:r>
      <w:r w:rsidRPr="00893FDE">
        <w:rPr>
          <w:rFonts w:hint="cs"/>
          <w:rtl/>
        </w:rPr>
        <w:t>מאירי לקמן</w:t>
      </w:r>
      <w:r w:rsidRPr="00893FDE">
        <w:rPr>
          <w:rtl/>
        </w:rPr>
        <w:t xml:space="preserve"> </w:t>
      </w:r>
      <w:r w:rsidRPr="00893FDE">
        <w:rPr>
          <w:rStyle w:val="afffffffff3"/>
          <w:rtl/>
        </w:rPr>
        <w:t>(</w:t>
      </w:r>
      <w:r w:rsidRPr="00893FDE">
        <w:rPr>
          <w:rStyle w:val="afffffffff3"/>
          <w:rFonts w:hint="cs"/>
          <w:rtl/>
        </w:rPr>
        <w:t>קכב: ד"ה גדולי</w:t>
      </w:r>
      <w:r w:rsidRPr="00893FDE">
        <w:rPr>
          <w:rStyle w:val="afffffffff3"/>
          <w:rtl/>
        </w:rPr>
        <w:t>)</w:t>
      </w:r>
      <w:r>
        <w:rPr>
          <w:rtl/>
        </w:rPr>
        <w:t>,</w:t>
      </w:r>
      <w:r w:rsidRPr="00893FDE">
        <w:rPr>
          <w:b/>
          <w:bCs/>
          <w:rtl/>
        </w:rPr>
        <w:t xml:space="preserve"> </w:t>
      </w:r>
      <w:r w:rsidRPr="00893FDE">
        <w:rPr>
          <w:b/>
          <w:bCs/>
          <w:rtl/>
        </w:rPr>
        <w:fldChar w:fldCharType="begin"/>
      </w:r>
      <w:r w:rsidRPr="00893FDE">
        <w:rPr>
          <w:b/>
          <w:bCs/>
          <w:rtl/>
        </w:rPr>
        <w:instrText xml:space="preserve"> </w:instrText>
      </w:r>
      <w:r w:rsidRPr="00893FDE">
        <w:rPr>
          <w:b/>
          <w:bCs/>
        </w:rPr>
        <w:instrText>REF</w:instrText>
      </w:r>
      <w:r w:rsidRPr="00893FDE">
        <w:rPr>
          <w:b/>
          <w:bCs/>
          <w:rtl/>
        </w:rPr>
        <w:instrText xml:space="preserve"> _</w:instrText>
      </w:r>
      <w:r w:rsidRPr="00893FDE">
        <w:rPr>
          <w:b/>
          <w:bCs/>
        </w:rPr>
        <w:instrText>Ref145263477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צב)</w:t>
      </w:r>
      <w:r w:rsidRPr="00893FDE">
        <w:rPr>
          <w:b/>
          <w:bCs/>
          <w:rtl/>
        </w:rPr>
        <w:fldChar w:fldCharType="end"/>
      </w:r>
      <w:r w:rsidRPr="00893FDE">
        <w:rPr>
          <w:b/>
          <w:bCs/>
          <w:rtl/>
        </w:rPr>
        <w:t xml:space="preserve"> </w:t>
      </w:r>
      <w:r w:rsidRPr="00893FDE">
        <w:rPr>
          <w:rFonts w:hint="cs"/>
          <w:rtl/>
        </w:rPr>
        <w:t>ב"י</w:t>
      </w:r>
      <w:r w:rsidRPr="00893FDE">
        <w:rPr>
          <w:rtl/>
        </w:rPr>
        <w:t xml:space="preserve"> </w:t>
      </w:r>
      <w:r w:rsidRPr="00893FDE">
        <w:rPr>
          <w:rStyle w:val="afffffffff3"/>
          <w:rtl/>
        </w:rPr>
        <w:t>(</w:t>
      </w:r>
      <w:r w:rsidRPr="00893FDE">
        <w:rPr>
          <w:rStyle w:val="afffffffff3"/>
          <w:rFonts w:hint="cs"/>
          <w:rtl/>
        </w:rPr>
        <w:t>סי' ש"ח ט' ד"ה גזירה</w:t>
      </w:r>
      <w:r w:rsidRPr="00893FDE">
        <w:rPr>
          <w:rStyle w:val="afffffffff3"/>
          <w:rtl/>
        </w:rPr>
        <w:t>)</w:t>
      </w:r>
      <w:r>
        <w:rPr>
          <w:rtl/>
        </w:rPr>
        <w:t xml:space="preserve"> </w:t>
      </w:r>
      <w:r w:rsidRPr="00893FDE">
        <w:rPr>
          <w:rFonts w:hint="cs"/>
          <w:rtl/>
        </w:rPr>
        <w:t xml:space="preserve">ר"ן על הרי"ף לקמן </w:t>
      </w:r>
      <w:r w:rsidRPr="00893FDE">
        <w:rPr>
          <w:rStyle w:val="afffffffff3"/>
          <w:rtl/>
        </w:rPr>
        <w:t>(</w:t>
      </w:r>
      <w:r w:rsidRPr="00893FDE">
        <w:rPr>
          <w:rStyle w:val="afffffffff3"/>
          <w:rFonts w:hint="cs"/>
          <w:rtl/>
        </w:rPr>
        <w:t>מז. מדה"ר ד"ה גזירה, מהדו' עוז והדר עמ' ק"ל</w:t>
      </w:r>
      <w:r w:rsidRPr="00893FDE">
        <w:rPr>
          <w:rStyle w:val="afffffffff3"/>
          <w:rtl/>
        </w:rPr>
        <w:t>)</w:t>
      </w:r>
      <w:r>
        <w:rPr>
          <w:rtl/>
        </w:rPr>
        <w:t>,</w:t>
      </w:r>
      <w:r w:rsidRPr="00893FDE">
        <w:rPr>
          <w:b/>
          <w:bCs/>
          <w:rtl/>
        </w:rPr>
        <w:t xml:space="preserve"> </w:t>
      </w:r>
      <w:r w:rsidRPr="00893FDE">
        <w:rPr>
          <w:b/>
          <w:bCs/>
          <w:rtl/>
        </w:rPr>
        <w:fldChar w:fldCharType="begin"/>
      </w:r>
      <w:r w:rsidRPr="00893FDE">
        <w:rPr>
          <w:b/>
          <w:bCs/>
          <w:rtl/>
        </w:rPr>
        <w:instrText xml:space="preserve"> </w:instrText>
      </w:r>
      <w:r w:rsidRPr="00893FDE">
        <w:rPr>
          <w:b/>
          <w:bCs/>
        </w:rPr>
        <w:instrText>REF</w:instrText>
      </w:r>
      <w:r w:rsidRPr="00893FDE">
        <w:rPr>
          <w:b/>
          <w:bCs/>
          <w:rtl/>
        </w:rPr>
        <w:instrText xml:space="preserve"> _</w:instrText>
      </w:r>
      <w:r w:rsidRPr="00893FDE">
        <w:rPr>
          <w:b/>
          <w:bCs/>
        </w:rPr>
        <w:instrText>Ref145275574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צד)</w:t>
      </w:r>
      <w:r w:rsidRPr="00893FDE">
        <w:rPr>
          <w:b/>
          <w:bCs/>
          <w:rtl/>
        </w:rPr>
        <w:fldChar w:fldCharType="end"/>
      </w:r>
      <w:r w:rsidRPr="00893FDE">
        <w:rPr>
          <w:b/>
          <w:bCs/>
          <w:rtl/>
        </w:rPr>
        <w:t xml:space="preserve"> </w:t>
      </w:r>
      <w:r w:rsidRPr="00893FDE">
        <w:rPr>
          <w:rFonts w:hint="cs"/>
          <w:rtl/>
        </w:rPr>
        <w:t>מרכה"מ</w:t>
      </w:r>
      <w:r w:rsidRPr="00893FDE">
        <w:rPr>
          <w:rtl/>
        </w:rPr>
        <w:t xml:space="preserve"> </w:t>
      </w:r>
      <w:r w:rsidRPr="00893FDE">
        <w:rPr>
          <w:rStyle w:val="afffffffff3"/>
          <w:rtl/>
        </w:rPr>
        <w:t>(</w:t>
      </w:r>
      <w:r w:rsidRPr="00893FDE">
        <w:rPr>
          <w:rStyle w:val="afffffffff3"/>
          <w:rFonts w:hint="cs"/>
          <w:rtl/>
        </w:rPr>
        <w:t>שבת פ"י הי"ד ד"ה ומה שנראה</w:t>
      </w:r>
      <w:r w:rsidRPr="00893FDE">
        <w:rPr>
          <w:rStyle w:val="afffffffff3"/>
          <w:rtl/>
        </w:rPr>
        <w:t>)</w:t>
      </w:r>
      <w:r>
        <w:rPr>
          <w:rtl/>
        </w:rPr>
        <w:t>,</w:t>
      </w:r>
      <w:r w:rsidRPr="00893FDE">
        <w:rPr>
          <w:b/>
          <w:bCs/>
          <w:rtl/>
        </w:rPr>
        <w:t xml:space="preserve"> </w:t>
      </w:r>
      <w:r w:rsidRPr="00893FDE">
        <w:rPr>
          <w:b/>
          <w:bCs/>
          <w:rtl/>
        </w:rPr>
        <w:fldChar w:fldCharType="begin"/>
      </w:r>
      <w:r w:rsidRPr="00893FDE">
        <w:rPr>
          <w:b/>
          <w:bCs/>
          <w:rtl/>
        </w:rPr>
        <w:instrText xml:space="preserve"> </w:instrText>
      </w:r>
      <w:r w:rsidRPr="00893FDE">
        <w:rPr>
          <w:b/>
          <w:bCs/>
        </w:rPr>
        <w:instrText>REF</w:instrText>
      </w:r>
      <w:r w:rsidRPr="00893FDE">
        <w:rPr>
          <w:b/>
          <w:bCs/>
          <w:rtl/>
        </w:rPr>
        <w:instrText xml:space="preserve"> _</w:instrText>
      </w:r>
      <w:r w:rsidRPr="00893FDE">
        <w:rPr>
          <w:b/>
          <w:bCs/>
        </w:rPr>
        <w:instrText>Ref145368880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צה)</w:t>
      </w:r>
      <w:r w:rsidRPr="00893FDE">
        <w:rPr>
          <w:b/>
          <w:bCs/>
          <w:rtl/>
        </w:rPr>
        <w:fldChar w:fldCharType="end"/>
      </w:r>
      <w:r w:rsidRPr="00893FDE">
        <w:rPr>
          <w:b/>
          <w:bCs/>
          <w:rtl/>
        </w:rPr>
        <w:t xml:space="preserve"> </w:t>
      </w:r>
      <w:r w:rsidRPr="00893FDE">
        <w:rPr>
          <w:rFonts w:hint="cs"/>
          <w:rtl/>
        </w:rPr>
        <w:t>ב"ח</w:t>
      </w:r>
      <w:r w:rsidRPr="00893FDE">
        <w:rPr>
          <w:rtl/>
        </w:rPr>
        <w:t xml:space="preserve"> </w:t>
      </w:r>
      <w:r w:rsidRPr="00893FDE">
        <w:rPr>
          <w:rStyle w:val="afffffffff3"/>
          <w:rtl/>
        </w:rPr>
        <w:t>(</w:t>
      </w:r>
      <w:r w:rsidRPr="00893FDE">
        <w:rPr>
          <w:rStyle w:val="afffffffff3"/>
          <w:rFonts w:hint="cs"/>
          <w:rtl/>
        </w:rPr>
        <w:t>סי' ש"ח ו'</w:t>
      </w:r>
      <w:r w:rsidRPr="00893FDE">
        <w:rPr>
          <w:rStyle w:val="afffffffff3"/>
          <w:rtl/>
        </w:rPr>
        <w:t>)</w:t>
      </w:r>
      <w:r>
        <w:rPr>
          <w:rtl/>
        </w:rPr>
        <w:t xml:space="preserve"> </w:t>
      </w:r>
      <w:r w:rsidRPr="00893FDE">
        <w:rPr>
          <w:rFonts w:hint="cs"/>
          <w:rtl/>
        </w:rPr>
        <w:t>תהלה לדוד</w:t>
      </w:r>
      <w:r w:rsidRPr="00893FDE">
        <w:rPr>
          <w:rtl/>
        </w:rPr>
        <w:t xml:space="preserve"> </w:t>
      </w:r>
      <w:r w:rsidRPr="00893FDE">
        <w:rPr>
          <w:rStyle w:val="afffffffff3"/>
          <w:rtl/>
        </w:rPr>
        <w:t>(</w:t>
      </w:r>
      <w:r w:rsidRPr="00893FDE">
        <w:rPr>
          <w:rStyle w:val="afffffffff3"/>
          <w:rFonts w:hint="cs"/>
          <w:rtl/>
        </w:rPr>
        <w:t>סי' שי"ג י"ג ד"ה והנה</w:t>
      </w:r>
      <w:r w:rsidRPr="00893FDE">
        <w:rPr>
          <w:rStyle w:val="afffffffff3"/>
          <w:rtl/>
        </w:rPr>
        <w:t>)</w:t>
      </w:r>
      <w:r>
        <w:rPr>
          <w:rtl/>
        </w:rPr>
        <w:t>,</w:t>
      </w:r>
      <w:r w:rsidRPr="00893FDE">
        <w:rPr>
          <w:b/>
          <w:bCs/>
          <w:rtl/>
        </w:rPr>
        <w:t xml:space="preserve"> </w:t>
      </w:r>
      <w:r w:rsidRPr="00893FDE">
        <w:rPr>
          <w:b/>
          <w:bCs/>
          <w:rtl/>
        </w:rPr>
        <w:fldChar w:fldCharType="begin"/>
      </w:r>
      <w:r w:rsidRPr="00893FDE">
        <w:rPr>
          <w:b/>
          <w:bCs/>
          <w:rtl/>
        </w:rPr>
        <w:instrText xml:space="preserve"> </w:instrText>
      </w:r>
      <w:r w:rsidRPr="00893FDE">
        <w:rPr>
          <w:b/>
          <w:bCs/>
        </w:rPr>
        <w:instrText>REF</w:instrText>
      </w:r>
      <w:r w:rsidRPr="00893FDE">
        <w:rPr>
          <w:b/>
          <w:bCs/>
          <w:rtl/>
        </w:rPr>
        <w:instrText xml:space="preserve"> _</w:instrText>
      </w:r>
      <w:r w:rsidRPr="00893FDE">
        <w:rPr>
          <w:b/>
          <w:bCs/>
        </w:rPr>
        <w:instrText>Ref145368995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צו)</w:t>
      </w:r>
      <w:r w:rsidRPr="00893FDE">
        <w:rPr>
          <w:b/>
          <w:bCs/>
          <w:rtl/>
        </w:rPr>
        <w:fldChar w:fldCharType="end"/>
      </w:r>
      <w:r w:rsidRPr="00893FDE">
        <w:rPr>
          <w:b/>
          <w:bCs/>
          <w:rtl/>
        </w:rPr>
        <w:t xml:space="preserve"> </w:t>
      </w:r>
      <w:r w:rsidRPr="00893FDE">
        <w:rPr>
          <w:rFonts w:hint="cs"/>
          <w:rtl/>
        </w:rPr>
        <w:t>עולת שבת</w:t>
      </w:r>
      <w:r w:rsidRPr="00893FDE">
        <w:rPr>
          <w:rtl/>
        </w:rPr>
        <w:t xml:space="preserve"> </w:t>
      </w:r>
      <w:r w:rsidRPr="00893FDE">
        <w:rPr>
          <w:rStyle w:val="afffffffff3"/>
          <w:rtl/>
        </w:rPr>
        <w:t>(</w:t>
      </w:r>
      <w:r w:rsidRPr="00893FDE">
        <w:rPr>
          <w:rStyle w:val="afffffffff3"/>
          <w:rFonts w:hint="cs"/>
          <w:rtl/>
        </w:rPr>
        <w:t>סי' ש"ח סקכ"א</w:t>
      </w:r>
      <w:r w:rsidRPr="00893FDE">
        <w:rPr>
          <w:rStyle w:val="afffffffff3"/>
          <w:rtl/>
        </w:rPr>
        <w:t>)</w:t>
      </w:r>
      <w:r>
        <w:rPr>
          <w:rtl/>
        </w:rPr>
        <w:t>,</w:t>
      </w:r>
      <w:r w:rsidRPr="00893FDE">
        <w:rPr>
          <w:rFonts w:hint="cs"/>
          <w:b/>
          <w:bCs/>
          <w:rtl/>
        </w:rPr>
        <w:t xml:space="preserve"> </w:t>
      </w:r>
      <w:r w:rsidRPr="00893FDE">
        <w:rPr>
          <w:b/>
          <w:bCs/>
          <w:rtl/>
        </w:rPr>
        <w:fldChar w:fldCharType="begin"/>
      </w:r>
      <w:r w:rsidRPr="00893FDE">
        <w:rPr>
          <w:b/>
          <w:bCs/>
          <w:rtl/>
        </w:rPr>
        <w:instrText xml:space="preserve"> </w:instrText>
      </w:r>
      <w:r w:rsidRPr="00893FDE">
        <w:rPr>
          <w:rFonts w:hint="cs"/>
          <w:b/>
          <w:bCs/>
        </w:rPr>
        <w:instrText>REF</w:instrText>
      </w:r>
      <w:r w:rsidRPr="00893FDE">
        <w:rPr>
          <w:rFonts w:hint="cs"/>
          <w:b/>
          <w:bCs/>
          <w:rtl/>
        </w:rPr>
        <w:instrText xml:space="preserve"> _</w:instrText>
      </w:r>
      <w:r w:rsidRPr="00893FDE">
        <w:rPr>
          <w:rFonts w:hint="cs"/>
          <w:b/>
          <w:bCs/>
        </w:rPr>
        <w:instrText>Ref145430354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צז)</w:t>
      </w:r>
      <w:r w:rsidRPr="00893FDE">
        <w:rPr>
          <w:b/>
          <w:bCs/>
          <w:rtl/>
        </w:rPr>
        <w:fldChar w:fldCharType="end"/>
      </w:r>
      <w:r w:rsidRPr="00893FDE">
        <w:rPr>
          <w:rFonts w:hint="cs"/>
          <w:b/>
          <w:bCs/>
          <w:rtl/>
        </w:rPr>
        <w:t xml:space="preserve"> </w:t>
      </w:r>
      <w:r w:rsidRPr="00893FDE">
        <w:rPr>
          <w:rFonts w:hint="cs"/>
          <w:rtl/>
        </w:rPr>
        <w:t>מג"א</w:t>
      </w:r>
      <w:r w:rsidRPr="00893FDE">
        <w:rPr>
          <w:rtl/>
        </w:rPr>
        <w:t xml:space="preserve"> </w:t>
      </w:r>
      <w:r w:rsidRPr="00893FDE">
        <w:rPr>
          <w:rStyle w:val="afffffffff3"/>
          <w:rtl/>
        </w:rPr>
        <w:t>(</w:t>
      </w:r>
      <w:r w:rsidRPr="00893FDE">
        <w:rPr>
          <w:rStyle w:val="afffffffff3"/>
          <w:rFonts w:hint="cs"/>
          <w:rtl/>
        </w:rPr>
        <w:t>סי' ש"ח סקכ"א</w:t>
      </w:r>
      <w:r w:rsidRPr="00893FDE">
        <w:rPr>
          <w:rStyle w:val="afffffffff3"/>
          <w:rtl/>
        </w:rPr>
        <w:t>)</w:t>
      </w:r>
      <w:r>
        <w:rPr>
          <w:rtl/>
        </w:rPr>
        <w:t>,</w:t>
      </w:r>
      <w:r w:rsidRPr="00893FDE">
        <w:rPr>
          <w:b/>
          <w:bCs/>
          <w:rtl/>
        </w:rPr>
        <w:t xml:space="preserve"> </w:t>
      </w:r>
      <w:r w:rsidRPr="00893FDE">
        <w:rPr>
          <w:b/>
          <w:bCs/>
          <w:rtl/>
        </w:rPr>
        <w:fldChar w:fldCharType="begin"/>
      </w:r>
      <w:r w:rsidRPr="00893FDE">
        <w:rPr>
          <w:b/>
          <w:bCs/>
          <w:rtl/>
        </w:rPr>
        <w:instrText xml:space="preserve"> </w:instrText>
      </w:r>
      <w:r w:rsidRPr="00893FDE">
        <w:rPr>
          <w:b/>
          <w:bCs/>
        </w:rPr>
        <w:instrText>REF</w:instrText>
      </w:r>
      <w:r w:rsidRPr="00893FDE">
        <w:rPr>
          <w:b/>
          <w:bCs/>
          <w:rtl/>
        </w:rPr>
        <w:instrText xml:space="preserve"> _</w:instrText>
      </w:r>
      <w:r w:rsidRPr="00893FDE">
        <w:rPr>
          <w:b/>
          <w:bCs/>
        </w:rPr>
        <w:instrText>Ref145369021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צט)</w:t>
      </w:r>
      <w:r w:rsidRPr="00893FDE">
        <w:rPr>
          <w:b/>
          <w:bCs/>
          <w:rtl/>
        </w:rPr>
        <w:fldChar w:fldCharType="end"/>
      </w:r>
      <w:r w:rsidRPr="00893FDE">
        <w:rPr>
          <w:b/>
          <w:bCs/>
          <w:rtl/>
        </w:rPr>
        <w:t xml:space="preserve"> </w:t>
      </w:r>
      <w:r w:rsidRPr="00893FDE">
        <w:rPr>
          <w:rFonts w:hint="cs"/>
          <w:rtl/>
        </w:rPr>
        <w:t>חזו"א</w:t>
      </w:r>
      <w:r w:rsidRPr="00893FDE">
        <w:rPr>
          <w:rtl/>
        </w:rPr>
        <w:t xml:space="preserve"> </w:t>
      </w:r>
      <w:r w:rsidRPr="00893FDE">
        <w:rPr>
          <w:rStyle w:val="afffffffff3"/>
          <w:rtl/>
        </w:rPr>
        <w:t>(</w:t>
      </w:r>
      <w:r w:rsidRPr="00893FDE">
        <w:rPr>
          <w:rStyle w:val="afffffffff3"/>
          <w:rFonts w:hint="cs"/>
          <w:rtl/>
        </w:rPr>
        <w:t>סי' נ' סק"י ד"ה ובר"מ</w:t>
      </w:r>
      <w:r w:rsidRPr="00893FDE">
        <w:rPr>
          <w:rStyle w:val="afffffffff3"/>
          <w:rtl/>
        </w:rPr>
        <w:t>)</w:t>
      </w:r>
      <w:r>
        <w:rPr>
          <w:rtl/>
        </w:rPr>
        <w:t>,</w:t>
      </w:r>
      <w:r w:rsidRPr="00893FDE">
        <w:rPr>
          <w:b/>
          <w:bCs/>
          <w:rtl/>
        </w:rPr>
        <w:t xml:space="preserve"> </w:t>
      </w:r>
      <w:r w:rsidRPr="00893FDE">
        <w:rPr>
          <w:b/>
          <w:bCs/>
          <w:rtl/>
        </w:rPr>
        <w:fldChar w:fldCharType="begin"/>
      </w:r>
      <w:r w:rsidRPr="00893FDE">
        <w:rPr>
          <w:b/>
          <w:bCs/>
          <w:rtl/>
        </w:rPr>
        <w:instrText xml:space="preserve"> </w:instrText>
      </w:r>
      <w:r w:rsidRPr="00893FDE">
        <w:rPr>
          <w:b/>
          <w:bCs/>
        </w:rPr>
        <w:instrText>REF</w:instrText>
      </w:r>
      <w:r w:rsidRPr="00893FDE">
        <w:rPr>
          <w:b/>
          <w:bCs/>
          <w:rtl/>
        </w:rPr>
        <w:instrText xml:space="preserve"> _</w:instrText>
      </w:r>
      <w:r w:rsidRPr="00893FDE">
        <w:rPr>
          <w:b/>
          <w:bCs/>
        </w:rPr>
        <w:instrText>Ref144458829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ק)</w:t>
      </w:r>
      <w:r w:rsidRPr="00893FDE">
        <w:rPr>
          <w:b/>
          <w:bCs/>
          <w:rtl/>
        </w:rPr>
        <w:fldChar w:fldCharType="end"/>
      </w:r>
      <w:r w:rsidRPr="00893FDE">
        <w:rPr>
          <w:b/>
          <w:bCs/>
          <w:rtl/>
        </w:rPr>
        <w:t xml:space="preserve"> </w:t>
      </w:r>
      <w:r w:rsidRPr="00893FDE">
        <w:rPr>
          <w:rFonts w:hint="cs"/>
          <w:rtl/>
        </w:rPr>
        <w:t>רמב"ם</w:t>
      </w:r>
      <w:r w:rsidRPr="00893FDE">
        <w:rPr>
          <w:rtl/>
        </w:rPr>
        <w:t xml:space="preserve"> </w:t>
      </w:r>
      <w:r w:rsidRPr="00893FDE">
        <w:rPr>
          <w:rStyle w:val="afffffffff3"/>
          <w:rtl/>
        </w:rPr>
        <w:t>(</w:t>
      </w:r>
      <w:r w:rsidRPr="00893FDE">
        <w:rPr>
          <w:rStyle w:val="afffffffff3"/>
          <w:rFonts w:hint="cs"/>
          <w:rtl/>
        </w:rPr>
        <w:t>שבת פכ"ב הכ"ו</w:t>
      </w:r>
      <w:r w:rsidRPr="00893FDE">
        <w:rPr>
          <w:rStyle w:val="afffffffff3"/>
          <w:rtl/>
        </w:rPr>
        <w:t>)</w:t>
      </w:r>
      <w:r>
        <w:rPr>
          <w:rtl/>
        </w:rPr>
        <w:t>,</w:t>
      </w:r>
      <w:r w:rsidRPr="00893FDE">
        <w:rPr>
          <w:b/>
          <w:bCs/>
          <w:rtl/>
        </w:rPr>
        <w:t xml:space="preserve"> </w:t>
      </w:r>
      <w:r w:rsidRPr="00893FDE">
        <w:rPr>
          <w:b/>
          <w:bCs/>
          <w:rtl/>
        </w:rPr>
        <w:fldChar w:fldCharType="begin"/>
      </w:r>
      <w:r w:rsidRPr="00893FDE">
        <w:rPr>
          <w:b/>
          <w:bCs/>
          <w:rtl/>
        </w:rPr>
        <w:instrText xml:space="preserve"> </w:instrText>
      </w:r>
      <w:r w:rsidRPr="00893FDE">
        <w:rPr>
          <w:b/>
          <w:bCs/>
        </w:rPr>
        <w:instrText>REF</w:instrText>
      </w:r>
      <w:r w:rsidRPr="00893FDE">
        <w:rPr>
          <w:b/>
          <w:bCs/>
          <w:rtl/>
        </w:rPr>
        <w:instrText xml:space="preserve"> _</w:instrText>
      </w:r>
      <w:r w:rsidRPr="00893FDE">
        <w:rPr>
          <w:b/>
          <w:bCs/>
        </w:rPr>
        <w:instrText>Ref145275585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קא)</w:t>
      </w:r>
      <w:r w:rsidRPr="00893FDE">
        <w:rPr>
          <w:b/>
          <w:bCs/>
          <w:rtl/>
        </w:rPr>
        <w:fldChar w:fldCharType="end"/>
      </w:r>
      <w:r w:rsidRPr="00893FDE">
        <w:rPr>
          <w:b/>
          <w:bCs/>
          <w:rtl/>
        </w:rPr>
        <w:t xml:space="preserve"> </w:t>
      </w:r>
      <w:r w:rsidRPr="00893FDE">
        <w:rPr>
          <w:rFonts w:hint="cs"/>
          <w:rtl/>
        </w:rPr>
        <w:t>לח"מ</w:t>
      </w:r>
      <w:r w:rsidRPr="00893FDE">
        <w:rPr>
          <w:rtl/>
        </w:rPr>
        <w:t xml:space="preserve"> </w:t>
      </w:r>
      <w:r w:rsidRPr="00893FDE">
        <w:rPr>
          <w:rStyle w:val="afffffffff3"/>
          <w:rtl/>
        </w:rPr>
        <w:t>(</w:t>
      </w:r>
      <w:r w:rsidRPr="00893FDE">
        <w:rPr>
          <w:rStyle w:val="afffffffff3"/>
          <w:rFonts w:hint="cs"/>
          <w:rtl/>
        </w:rPr>
        <w:t>שבת פכ"ה הכ"ב</w:t>
      </w:r>
      <w:r w:rsidRPr="00893FDE">
        <w:rPr>
          <w:rStyle w:val="afffffffff3"/>
          <w:rtl/>
        </w:rPr>
        <w:t>)</w:t>
      </w:r>
      <w:r>
        <w:rPr>
          <w:rtl/>
        </w:rPr>
        <w:t>,</w:t>
      </w:r>
      <w:r w:rsidRPr="00893FDE">
        <w:rPr>
          <w:b/>
          <w:bCs/>
          <w:rtl/>
        </w:rPr>
        <w:t xml:space="preserve"> </w:t>
      </w:r>
      <w:r w:rsidRPr="00893FDE">
        <w:rPr>
          <w:b/>
          <w:bCs/>
          <w:rtl/>
        </w:rPr>
        <w:fldChar w:fldCharType="begin"/>
      </w:r>
      <w:r w:rsidRPr="00893FDE">
        <w:rPr>
          <w:b/>
          <w:bCs/>
          <w:rtl/>
        </w:rPr>
        <w:instrText xml:space="preserve"> </w:instrText>
      </w:r>
      <w:r w:rsidRPr="00893FDE">
        <w:rPr>
          <w:b/>
          <w:bCs/>
        </w:rPr>
        <w:instrText>REF</w:instrText>
      </w:r>
      <w:r w:rsidRPr="00893FDE">
        <w:rPr>
          <w:b/>
          <w:bCs/>
          <w:rtl/>
        </w:rPr>
        <w:instrText xml:space="preserve"> _</w:instrText>
      </w:r>
      <w:r w:rsidRPr="00893FDE">
        <w:rPr>
          <w:b/>
          <w:bCs/>
        </w:rPr>
        <w:instrText>Ref145275547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קב)</w:t>
      </w:r>
      <w:r w:rsidRPr="00893FDE">
        <w:rPr>
          <w:b/>
          <w:bCs/>
          <w:rtl/>
        </w:rPr>
        <w:fldChar w:fldCharType="end"/>
      </w:r>
      <w:r w:rsidRPr="00893FDE">
        <w:rPr>
          <w:b/>
          <w:bCs/>
          <w:rtl/>
        </w:rPr>
        <w:t xml:space="preserve"> </w:t>
      </w:r>
      <w:r w:rsidRPr="00893FDE">
        <w:rPr>
          <w:rFonts w:hint="cs"/>
          <w:rtl/>
        </w:rPr>
        <w:t>רמב"ם</w:t>
      </w:r>
      <w:r w:rsidRPr="00893FDE">
        <w:rPr>
          <w:rtl/>
        </w:rPr>
        <w:t xml:space="preserve"> </w:t>
      </w:r>
      <w:r w:rsidRPr="00893FDE">
        <w:rPr>
          <w:rStyle w:val="afffffffff3"/>
          <w:rtl/>
        </w:rPr>
        <w:t>(</w:t>
      </w:r>
      <w:r w:rsidRPr="00893FDE">
        <w:rPr>
          <w:rStyle w:val="afffffffff3"/>
          <w:rFonts w:hint="cs"/>
          <w:rtl/>
        </w:rPr>
        <w:t>שבת פכ"ו ה"ו</w:t>
      </w:r>
      <w:r w:rsidRPr="00893FDE">
        <w:rPr>
          <w:rStyle w:val="afffffffff3"/>
          <w:rtl/>
        </w:rPr>
        <w:t>)</w:t>
      </w:r>
      <w:r>
        <w:rPr>
          <w:rtl/>
        </w:rPr>
        <w:t>,</w:t>
      </w:r>
      <w:r w:rsidRPr="00893FDE">
        <w:rPr>
          <w:b/>
          <w:bCs/>
          <w:rtl/>
        </w:rPr>
        <w:t xml:space="preserve"> </w:t>
      </w:r>
      <w:r w:rsidRPr="00893FDE">
        <w:rPr>
          <w:b/>
          <w:bCs/>
          <w:rtl/>
        </w:rPr>
        <w:fldChar w:fldCharType="begin"/>
      </w:r>
      <w:r w:rsidRPr="00893FDE">
        <w:rPr>
          <w:b/>
          <w:bCs/>
          <w:rtl/>
        </w:rPr>
        <w:instrText xml:space="preserve"> </w:instrText>
      </w:r>
      <w:r w:rsidRPr="00893FDE">
        <w:rPr>
          <w:b/>
          <w:bCs/>
        </w:rPr>
        <w:instrText>REF</w:instrText>
      </w:r>
      <w:r w:rsidRPr="00893FDE">
        <w:rPr>
          <w:b/>
          <w:bCs/>
          <w:rtl/>
        </w:rPr>
        <w:instrText xml:space="preserve"> _</w:instrText>
      </w:r>
      <w:r w:rsidRPr="00893FDE">
        <w:rPr>
          <w:b/>
          <w:bCs/>
        </w:rPr>
        <w:instrText>Ref145275537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קג)</w:t>
      </w:r>
      <w:r w:rsidRPr="00893FDE">
        <w:rPr>
          <w:b/>
          <w:bCs/>
          <w:rtl/>
        </w:rPr>
        <w:fldChar w:fldCharType="end"/>
      </w:r>
      <w:r w:rsidRPr="00893FDE">
        <w:rPr>
          <w:b/>
          <w:bCs/>
          <w:rtl/>
        </w:rPr>
        <w:t xml:space="preserve"> </w:t>
      </w:r>
      <w:r w:rsidRPr="00893FDE">
        <w:rPr>
          <w:rFonts w:hint="cs"/>
          <w:rtl/>
        </w:rPr>
        <w:t>רמב"ם</w:t>
      </w:r>
      <w:r w:rsidRPr="00893FDE">
        <w:rPr>
          <w:rtl/>
        </w:rPr>
        <w:t xml:space="preserve"> </w:t>
      </w:r>
      <w:r w:rsidRPr="00893FDE">
        <w:rPr>
          <w:rStyle w:val="afffffffff3"/>
          <w:rtl/>
        </w:rPr>
        <w:t>(</w:t>
      </w:r>
      <w:r w:rsidRPr="00893FDE">
        <w:rPr>
          <w:rStyle w:val="afffffffff3"/>
          <w:rFonts w:hint="cs"/>
          <w:rtl/>
        </w:rPr>
        <w:t>שבת פכ"ו הי"א</w:t>
      </w:r>
      <w:r w:rsidRPr="00893FDE">
        <w:rPr>
          <w:rStyle w:val="afffffffff3"/>
          <w:rtl/>
        </w:rPr>
        <w:t>)</w:t>
      </w:r>
      <w:r>
        <w:rPr>
          <w:rtl/>
        </w:rPr>
        <w:t xml:space="preserve"> </w:t>
      </w:r>
      <w:r w:rsidRPr="00893FDE">
        <w:rPr>
          <w:rFonts w:hint="cs"/>
          <w:rtl/>
        </w:rPr>
        <w:t>ר"ן לעיל</w:t>
      </w:r>
      <w:r w:rsidRPr="00893FDE">
        <w:rPr>
          <w:rtl/>
        </w:rPr>
        <w:t xml:space="preserve"> </w:t>
      </w:r>
      <w:r w:rsidRPr="00893FDE">
        <w:rPr>
          <w:rStyle w:val="afffffffff3"/>
          <w:rtl/>
        </w:rPr>
        <w:t>(</w:t>
      </w:r>
      <w:r w:rsidRPr="00893FDE">
        <w:rPr>
          <w:rStyle w:val="afffffffff3"/>
          <w:rFonts w:hint="cs"/>
          <w:rtl/>
        </w:rPr>
        <w:t>מז. סוד"ה ולענין הלכה</w:t>
      </w:r>
      <w:r w:rsidRPr="00893FDE">
        <w:rPr>
          <w:rStyle w:val="afffffffff3"/>
          <w:rtl/>
        </w:rPr>
        <w:t>)</w:t>
      </w:r>
      <w:r>
        <w:rPr>
          <w:rFonts w:hint="cs"/>
          <w:rtl/>
        </w:rPr>
        <w:t>,</w:t>
      </w:r>
      <w:r w:rsidRPr="00893FDE">
        <w:rPr>
          <w:b/>
          <w:bCs/>
          <w:rtl/>
        </w:rPr>
        <w:t xml:space="preserve"> </w:t>
      </w:r>
      <w:r w:rsidRPr="00893FDE">
        <w:rPr>
          <w:b/>
          <w:bCs/>
          <w:rtl/>
        </w:rPr>
        <w:fldChar w:fldCharType="begin"/>
      </w:r>
      <w:r w:rsidRPr="00893FDE">
        <w:rPr>
          <w:b/>
          <w:bCs/>
          <w:rtl/>
        </w:rPr>
        <w:instrText xml:space="preserve"> </w:instrText>
      </w:r>
      <w:r w:rsidRPr="00893FDE">
        <w:rPr>
          <w:b/>
          <w:bCs/>
        </w:rPr>
        <w:instrText>REF</w:instrText>
      </w:r>
      <w:r w:rsidRPr="00893FDE">
        <w:rPr>
          <w:b/>
          <w:bCs/>
          <w:rtl/>
        </w:rPr>
        <w:instrText xml:space="preserve"> _</w:instrText>
      </w:r>
      <w:r w:rsidRPr="00893FDE">
        <w:rPr>
          <w:b/>
          <w:bCs/>
        </w:rPr>
        <w:instrText>Ref145369080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קד)</w:t>
      </w:r>
      <w:r w:rsidRPr="00893FDE">
        <w:rPr>
          <w:b/>
          <w:bCs/>
          <w:rtl/>
        </w:rPr>
        <w:fldChar w:fldCharType="end"/>
      </w:r>
      <w:r w:rsidRPr="00893FDE">
        <w:rPr>
          <w:b/>
          <w:bCs/>
          <w:rtl/>
        </w:rPr>
        <w:t xml:space="preserve"> </w:t>
      </w:r>
      <w:r w:rsidRPr="00893FDE">
        <w:rPr>
          <w:rFonts w:hint="cs"/>
          <w:rtl/>
        </w:rPr>
        <w:t>חזו"א</w:t>
      </w:r>
      <w:r w:rsidRPr="00893FDE">
        <w:rPr>
          <w:rtl/>
        </w:rPr>
        <w:t xml:space="preserve"> </w:t>
      </w:r>
      <w:r w:rsidRPr="00893FDE">
        <w:rPr>
          <w:rStyle w:val="afffffffff3"/>
          <w:rtl/>
        </w:rPr>
        <w:t>(</w:t>
      </w:r>
      <w:r w:rsidRPr="00893FDE">
        <w:rPr>
          <w:rStyle w:val="afffffffff3"/>
          <w:rFonts w:hint="cs"/>
          <w:rtl/>
        </w:rPr>
        <w:t>סי' נ' סק"י ד"ה קל"ח</w:t>
      </w:r>
      <w:r w:rsidRPr="00893FDE">
        <w:rPr>
          <w:rStyle w:val="afffffffff3"/>
          <w:rtl/>
        </w:rPr>
        <w:t>)</w:t>
      </w:r>
      <w:r>
        <w:rPr>
          <w:rtl/>
        </w:rPr>
        <w:t>,</w:t>
      </w:r>
      <w:r w:rsidRPr="00893FDE">
        <w:rPr>
          <w:rFonts w:hint="cs"/>
          <w:b/>
          <w:bCs/>
          <w:rtl/>
        </w:rPr>
        <w:t xml:space="preserve"> </w:t>
      </w:r>
      <w:r w:rsidRPr="00893FDE">
        <w:rPr>
          <w:b/>
          <w:bCs/>
          <w:rtl/>
        </w:rPr>
        <w:fldChar w:fldCharType="begin"/>
      </w:r>
      <w:r w:rsidRPr="00893FDE">
        <w:rPr>
          <w:b/>
          <w:bCs/>
          <w:rtl/>
        </w:rPr>
        <w:instrText xml:space="preserve"> </w:instrText>
      </w:r>
      <w:r w:rsidRPr="00893FDE">
        <w:rPr>
          <w:rFonts w:hint="cs"/>
          <w:b/>
          <w:bCs/>
        </w:rPr>
        <w:instrText>REF</w:instrText>
      </w:r>
      <w:r w:rsidRPr="00893FDE">
        <w:rPr>
          <w:rFonts w:hint="cs"/>
          <w:b/>
          <w:bCs/>
          <w:rtl/>
        </w:rPr>
        <w:instrText xml:space="preserve"> _</w:instrText>
      </w:r>
      <w:r w:rsidRPr="00893FDE">
        <w:rPr>
          <w:rFonts w:hint="cs"/>
          <w:b/>
          <w:bCs/>
        </w:rPr>
        <w:instrText>Ref141956430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כה)</w:t>
      </w:r>
      <w:r w:rsidRPr="00893FDE">
        <w:rPr>
          <w:b/>
          <w:bCs/>
          <w:rtl/>
        </w:rPr>
        <w:fldChar w:fldCharType="end"/>
      </w:r>
      <w:r w:rsidRPr="00893FDE">
        <w:rPr>
          <w:rFonts w:hint="cs"/>
          <w:b/>
          <w:bCs/>
          <w:rtl/>
        </w:rPr>
        <w:t xml:space="preserve"> </w:t>
      </w:r>
      <w:r w:rsidRPr="00893FDE">
        <w:rPr>
          <w:rFonts w:hint="cs"/>
          <w:rtl/>
        </w:rPr>
        <w:t xml:space="preserve">רמב"ם </w:t>
      </w:r>
      <w:r w:rsidRPr="00893FDE">
        <w:rPr>
          <w:rStyle w:val="afffffffff3"/>
          <w:rFonts w:hint="cs"/>
          <w:rtl/>
        </w:rPr>
        <w:t>(שבת פ"י הי"ג)</w:t>
      </w:r>
      <w:r>
        <w:rPr>
          <w:rtl/>
        </w:rPr>
        <w:t xml:space="preserve"> </w:t>
      </w:r>
      <w:r w:rsidRPr="00893FDE">
        <w:rPr>
          <w:rFonts w:hint="cs"/>
          <w:rtl/>
        </w:rPr>
        <w:t xml:space="preserve">מ"מ </w:t>
      </w:r>
      <w:r w:rsidRPr="00893FDE">
        <w:rPr>
          <w:rStyle w:val="afffffffff3"/>
          <w:rFonts w:hint="cs"/>
          <w:rtl/>
        </w:rPr>
        <w:t>(שבת פ"י הי"ג)</w:t>
      </w:r>
      <w:r>
        <w:rPr>
          <w:rtl/>
        </w:rPr>
        <w:t xml:space="preserve"> </w:t>
      </w:r>
      <w:r w:rsidRPr="00893FDE">
        <w:rPr>
          <w:rtl/>
        </w:rPr>
        <w:t xml:space="preserve">אבן האזל </w:t>
      </w:r>
      <w:r w:rsidRPr="00893FDE">
        <w:rPr>
          <w:rStyle w:val="afffffffff3"/>
          <w:rtl/>
        </w:rPr>
        <w:t xml:space="preserve">(שבת פ"י הי"ז ד"ה </w:t>
      </w:r>
      <w:r w:rsidRPr="00893FDE">
        <w:rPr>
          <w:rStyle w:val="afffffffff3"/>
          <w:rFonts w:hint="cs"/>
          <w:rtl/>
        </w:rPr>
        <w:t xml:space="preserve">ועכשיו, הובא בסימן </w:t>
      </w:r>
      <w:r>
        <w:rPr>
          <w:rStyle w:val="afffffffff3"/>
          <w:rFonts w:hint="cs"/>
          <w:rtl/>
        </w:rPr>
        <w:t>י"א</w:t>
      </w:r>
      <w:r w:rsidRPr="00893FDE">
        <w:rPr>
          <w:rStyle w:val="afffffffff3"/>
          <w:rFonts w:hint="cs"/>
          <w:rtl/>
        </w:rPr>
        <w:t xml:space="preserve"> אות ע"ד</w:t>
      </w:r>
      <w:r w:rsidRPr="00893FDE">
        <w:rPr>
          <w:rStyle w:val="afffffffff3"/>
          <w:rtl/>
        </w:rPr>
        <w:t>)</w:t>
      </w:r>
      <w:r>
        <w:rPr>
          <w:rtl/>
        </w:rPr>
        <w:t>,</w:t>
      </w:r>
      <w:r w:rsidRPr="00893FDE">
        <w:rPr>
          <w:rFonts w:hint="cs"/>
          <w:b/>
          <w:bCs/>
          <w:rtl/>
        </w:rPr>
        <w:t xml:space="preserve"> </w:t>
      </w:r>
      <w:r w:rsidRPr="00893FDE">
        <w:rPr>
          <w:b/>
          <w:bCs/>
          <w:rtl/>
        </w:rPr>
        <w:fldChar w:fldCharType="begin"/>
      </w:r>
      <w:r w:rsidRPr="00893FDE">
        <w:rPr>
          <w:b/>
          <w:bCs/>
          <w:rtl/>
        </w:rPr>
        <w:instrText xml:space="preserve"> </w:instrText>
      </w:r>
      <w:r w:rsidRPr="00893FDE">
        <w:rPr>
          <w:rFonts w:hint="cs"/>
          <w:b/>
          <w:bCs/>
        </w:rPr>
        <w:instrText>REF</w:instrText>
      </w:r>
      <w:r w:rsidRPr="00893FDE">
        <w:rPr>
          <w:rFonts w:hint="cs"/>
          <w:b/>
          <w:bCs/>
          <w:rtl/>
        </w:rPr>
        <w:instrText xml:space="preserve"> _</w:instrText>
      </w:r>
      <w:r w:rsidRPr="00893FDE">
        <w:rPr>
          <w:rFonts w:hint="cs"/>
          <w:b/>
          <w:bCs/>
        </w:rPr>
        <w:instrText>Ref143771934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כ)</w:t>
      </w:r>
      <w:r w:rsidRPr="00893FDE">
        <w:rPr>
          <w:b/>
          <w:bCs/>
          <w:rtl/>
        </w:rPr>
        <w:fldChar w:fldCharType="end"/>
      </w:r>
      <w:r w:rsidRPr="00893FDE">
        <w:rPr>
          <w:rFonts w:hint="cs"/>
          <w:b/>
          <w:bCs/>
          <w:rtl/>
        </w:rPr>
        <w:t xml:space="preserve"> </w:t>
      </w:r>
      <w:r w:rsidRPr="00893FDE">
        <w:rPr>
          <w:rFonts w:hint="cs"/>
          <w:rtl/>
        </w:rPr>
        <w:t xml:space="preserve">ר"י בתוס' </w:t>
      </w:r>
      <w:r w:rsidRPr="00893FDE">
        <w:rPr>
          <w:rStyle w:val="afffffffff3"/>
          <w:rFonts w:hint="cs"/>
          <w:rtl/>
        </w:rPr>
        <w:t xml:space="preserve">(ד"ה האי, </w:t>
      </w:r>
      <w:r>
        <w:rPr>
          <w:rStyle w:val="afffffffff3"/>
          <w:rFonts w:hint="cs"/>
          <w:rtl/>
        </w:rPr>
        <w:t>הובא בסימן י</w:t>
      </w:r>
      <w:r>
        <w:rPr>
          <w:rStyle w:val="afffffffff3"/>
          <w:rtl/>
        </w:rPr>
        <w:t>"</w:t>
      </w:r>
      <w:r>
        <w:rPr>
          <w:rStyle w:val="afffffffff3"/>
          <w:rFonts w:hint="cs"/>
          <w:rtl/>
        </w:rPr>
        <w:t>ג</w:t>
      </w:r>
      <w:r w:rsidRPr="00893FDE">
        <w:rPr>
          <w:rStyle w:val="afffffffff3"/>
          <w:rFonts w:hint="cs"/>
          <w:rtl/>
        </w:rPr>
        <w:t xml:space="preserve"> אות כ')</w:t>
      </w:r>
      <w:r>
        <w:rPr>
          <w:rtl/>
        </w:rPr>
        <w:t>,</w:t>
      </w:r>
      <w:r w:rsidRPr="00893FDE">
        <w:rPr>
          <w:rFonts w:hint="cs"/>
          <w:b/>
          <w:bCs/>
          <w:rtl/>
        </w:rPr>
        <w:t xml:space="preserve"> </w:t>
      </w:r>
      <w:r w:rsidRPr="00893FDE">
        <w:rPr>
          <w:b/>
          <w:bCs/>
          <w:rtl/>
        </w:rPr>
        <w:fldChar w:fldCharType="begin"/>
      </w:r>
      <w:r w:rsidRPr="00893FDE">
        <w:rPr>
          <w:b/>
          <w:bCs/>
          <w:rtl/>
        </w:rPr>
        <w:instrText xml:space="preserve"> </w:instrText>
      </w:r>
      <w:r w:rsidRPr="00893FDE">
        <w:rPr>
          <w:rFonts w:hint="cs"/>
          <w:b/>
          <w:bCs/>
        </w:rPr>
        <w:instrText>REF</w:instrText>
      </w:r>
      <w:r w:rsidRPr="00893FDE">
        <w:rPr>
          <w:rFonts w:hint="cs"/>
          <w:b/>
          <w:bCs/>
          <w:rtl/>
        </w:rPr>
        <w:instrText xml:space="preserve"> _</w:instrText>
      </w:r>
      <w:r w:rsidRPr="00893FDE">
        <w:rPr>
          <w:rFonts w:hint="cs"/>
          <w:b/>
          <w:bCs/>
        </w:rPr>
        <w:instrText>Ref145433571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קח)</w:t>
      </w:r>
      <w:r w:rsidRPr="00893FDE">
        <w:rPr>
          <w:b/>
          <w:bCs/>
          <w:rtl/>
        </w:rPr>
        <w:fldChar w:fldCharType="end"/>
      </w:r>
      <w:r>
        <w:rPr>
          <w:rFonts w:hint="cs"/>
          <w:b/>
          <w:bCs/>
          <w:rtl/>
        </w:rPr>
        <w:t xml:space="preserve"> </w:t>
      </w:r>
      <w:r w:rsidRPr="00893FDE">
        <w:rPr>
          <w:rFonts w:hint="cs"/>
          <w:rtl/>
        </w:rPr>
        <w:t xml:space="preserve">רמב"ן בסוגיין </w:t>
      </w:r>
      <w:r w:rsidRPr="00893FDE">
        <w:rPr>
          <w:rStyle w:val="afffffffff3"/>
          <w:rFonts w:hint="cs"/>
          <w:rtl/>
        </w:rPr>
        <w:t xml:space="preserve">(ד"ה רב, </w:t>
      </w:r>
      <w:r>
        <w:rPr>
          <w:rStyle w:val="afffffffff3"/>
          <w:rFonts w:hint="cs"/>
          <w:rtl/>
        </w:rPr>
        <w:t>הובא בסימן י</w:t>
      </w:r>
      <w:r>
        <w:rPr>
          <w:rStyle w:val="afffffffff3"/>
          <w:rtl/>
        </w:rPr>
        <w:t>"</w:t>
      </w:r>
      <w:r>
        <w:rPr>
          <w:rStyle w:val="afffffffff3"/>
          <w:rFonts w:hint="cs"/>
          <w:rtl/>
        </w:rPr>
        <w:t>ג</w:t>
      </w:r>
      <w:r w:rsidRPr="00893FDE">
        <w:rPr>
          <w:rStyle w:val="afffffffff3"/>
          <w:rFonts w:hint="cs"/>
          <w:rtl/>
        </w:rPr>
        <w:t xml:space="preserve"> אות ל"ו)</w:t>
      </w:r>
      <w:r>
        <w:rPr>
          <w:rFonts w:hint="cs"/>
          <w:rtl/>
        </w:rPr>
        <w:t>.</w:t>
      </w:r>
    </w:p>
    <w:p w14:paraId="6E0A7FF2" w14:textId="77777777" w:rsidR="000F6808" w:rsidRDefault="000F6808" w:rsidP="000F6808">
      <w:pPr>
        <w:pStyle w:val="TOC2"/>
        <w:rPr>
          <w:rFonts w:cstheme="minorBidi"/>
          <w:b w:val="0"/>
          <w:bCs w:val="0"/>
          <w:sz w:val="22"/>
          <w:szCs w:val="22"/>
          <w:rtl/>
        </w:rPr>
      </w:pPr>
      <w:hyperlink w:anchor="_Toc145487049" w:history="1">
        <w:r w:rsidRPr="005E0C1D">
          <w:rPr>
            <w:rStyle w:val="Hyperlink"/>
            <w:rtl/>
          </w:rPr>
          <w:t>בי' הרמב"ם דתוקע הוי בונה ודלת מחוברת גזירה שמא יתקע</w:t>
        </w:r>
      </w:hyperlink>
    </w:p>
    <w:p w14:paraId="23DB56EF" w14:textId="77777777" w:rsidR="000F6808" w:rsidRDefault="000F6808" w:rsidP="000F6808">
      <w:pPr>
        <w:pStyle w:val="TOC3"/>
        <w:numPr>
          <w:ilvl w:val="0"/>
          <w:numId w:val="5"/>
        </w:numPr>
        <w:tabs>
          <w:tab w:val="clear" w:pos="5166"/>
        </w:tabs>
        <w:rPr>
          <w:rFonts w:asciiTheme="minorHAnsi" w:eastAsiaTheme="minorEastAsia" w:hAnsiTheme="minorHAnsi" w:cstheme="minorBidi"/>
          <w:sz w:val="22"/>
          <w:szCs w:val="22"/>
          <w:rtl/>
        </w:rPr>
      </w:pPr>
      <w:hyperlink w:anchor="_Toc145487050" w:history="1">
        <w:r w:rsidRPr="00E24122">
          <w:rPr>
            <w:rStyle w:val="Hyperlink"/>
            <w:rtl/>
          </w:rPr>
          <w:t>בי' הרמב"ם דתוקע חייב בבונה ודלתות מחוברות לקרקע לא יחזיר שמא יתקע ובכלים מותר</w:t>
        </w:r>
      </w:hyperlink>
    </w:p>
    <w:p w14:paraId="30A2D795" w14:textId="77777777" w:rsidR="000F6808" w:rsidRDefault="000F6808" w:rsidP="000F6808">
      <w:pPr>
        <w:pStyle w:val="TOC2"/>
        <w:rPr>
          <w:rFonts w:cstheme="minorBidi"/>
          <w:b w:val="0"/>
          <w:bCs w:val="0"/>
          <w:sz w:val="22"/>
          <w:szCs w:val="22"/>
          <w:rtl/>
        </w:rPr>
      </w:pPr>
      <w:hyperlink w:anchor="_Toc145487051" w:history="1">
        <w:r w:rsidRPr="005E0C1D">
          <w:rPr>
            <w:rStyle w:val="Hyperlink"/>
            <w:rtl/>
          </w:rPr>
          <w:t>בי' הב"י ברמב"ם דאף כלי המחובר לקרקע אפש"ל דל"ה בונה</w:t>
        </w:r>
      </w:hyperlink>
    </w:p>
    <w:p w14:paraId="723530EA"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052" w:history="1">
        <w:r w:rsidRPr="005E0C1D">
          <w:rPr>
            <w:rStyle w:val="Hyperlink"/>
            <w:rtl/>
          </w:rPr>
          <w:t>קו' המ"מ והמאירי ברי"ף וברמב"ם דדלת מחוברת לקרקע חייב בבונה ולא מגזירה שמא יתקע</w:t>
        </w:r>
      </w:hyperlink>
    </w:p>
    <w:p w14:paraId="7DA26D47"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053" w:history="1">
        <w:r w:rsidRPr="005E0C1D">
          <w:rPr>
            <w:rStyle w:val="Hyperlink"/>
            <w:rtl/>
          </w:rPr>
          <w:t>קו' המאירי דבדלתות כלים אין בנין ומה הגזירה שמא יתקע ותי' דבתקע הוי בונה ובלא"ה ארעי</w:t>
        </w:r>
      </w:hyperlink>
    </w:p>
    <w:p w14:paraId="5B4728C3"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054" w:history="1">
        <w:r w:rsidRPr="005E0C1D">
          <w:rPr>
            <w:rStyle w:val="Hyperlink"/>
            <w:rtl/>
          </w:rPr>
          <w:t>בי' הר"ן ברי"ף דרק בכלים האיסור שמא יתקע ולא במחובר ולא בלול דמחובר לקרקע והוי בונה</w:t>
        </w:r>
      </w:hyperlink>
    </w:p>
    <w:p w14:paraId="53F3B74D"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055" w:history="1">
        <w:r w:rsidRPr="005E0C1D">
          <w:rPr>
            <w:rStyle w:val="Hyperlink"/>
            <w:rtl/>
          </w:rPr>
          <w:t>תי' הב"י ברי"ף וברמב"ם דכלים המחוברים לקרקע לא פסיקא אי הוי כקרקע ואמרו שמא יתקע</w:t>
        </w:r>
      </w:hyperlink>
    </w:p>
    <w:p w14:paraId="47CBE57B"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056" w:history="1">
        <w:r w:rsidRPr="005E0C1D">
          <w:rPr>
            <w:rStyle w:val="Hyperlink"/>
            <w:rtl/>
          </w:rPr>
          <w:t>בי' המרכה"מ ברי"ף וברמב"ם דתלוש ולבסוף חברו קיי"ל דהוי תלוש ואף דלת לול ל"ה כקרקע</w:t>
        </w:r>
      </w:hyperlink>
    </w:p>
    <w:p w14:paraId="742F77B9"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057" w:history="1">
        <w:r w:rsidRPr="005E0C1D">
          <w:rPr>
            <w:rStyle w:val="Hyperlink"/>
            <w:rtl/>
          </w:rPr>
          <w:t>בי' הב"ח ברמב"ם דבדלת מחוברת לקרקע רק בתוקע הוי בנין כתוקע עץ בעץ ובלא"ה ל"ה בנין</w:t>
        </w:r>
      </w:hyperlink>
    </w:p>
    <w:p w14:paraId="5C10DE74"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058" w:history="1">
        <w:r w:rsidRPr="005E0C1D">
          <w:rPr>
            <w:rStyle w:val="Hyperlink"/>
            <w:rtl/>
          </w:rPr>
          <w:t>בי' העו"ש דרק לרש"י דתוקע במכב"פ חייב בכלים אבל לרמב"ם בלא תקע בחזקה ל"ה בונה</w:t>
        </w:r>
      </w:hyperlink>
    </w:p>
    <w:p w14:paraId="0E32F7DD"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059" w:history="1">
        <w:r w:rsidRPr="005E0C1D">
          <w:rPr>
            <w:rStyle w:val="Hyperlink"/>
            <w:rtl/>
          </w:rPr>
          <w:t>דחיית המג"א דתוקע בכלי חשיב בנין גמור וחייב מדאו' ולא רק בתוקע בקרקע</w:t>
        </w:r>
      </w:hyperlink>
    </w:p>
    <w:p w14:paraId="545B8617"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060" w:history="1">
        <w:r w:rsidRPr="005E0C1D">
          <w:rPr>
            <w:rStyle w:val="Hyperlink"/>
            <w:rtl/>
          </w:rPr>
          <w:t>בי' החזו"א ברמב"ם דמעץ בעץ וירך כירה ומנורה משמע דבדלתות גרסי' שידה ולא במחובר</w:t>
        </w:r>
      </w:hyperlink>
    </w:p>
    <w:p w14:paraId="56341205"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061" w:history="1">
        <w:r w:rsidRPr="005E0C1D">
          <w:rPr>
            <w:rStyle w:val="Hyperlink"/>
            <w:rtl/>
          </w:rPr>
          <w:t>קו' החזו"א דאי הבי' ברמב"ם כר"ן דכוונתו לשידה אמאי כ' דנראה כבונה ומ"מ מבו' דרפוי מותר</w:t>
        </w:r>
      </w:hyperlink>
    </w:p>
    <w:p w14:paraId="26A438B6" w14:textId="77777777" w:rsidR="000F6808" w:rsidRDefault="000F6808" w:rsidP="000F6808">
      <w:pPr>
        <w:pStyle w:val="TOC2"/>
        <w:rPr>
          <w:rFonts w:cstheme="minorBidi"/>
          <w:b w:val="0"/>
          <w:bCs w:val="0"/>
          <w:sz w:val="22"/>
          <w:szCs w:val="22"/>
          <w:rtl/>
        </w:rPr>
      </w:pPr>
      <w:hyperlink w:anchor="_Toc145487062" w:history="1">
        <w:r w:rsidRPr="005E0C1D">
          <w:rPr>
            <w:rStyle w:val="Hyperlink"/>
            <w:rtl/>
          </w:rPr>
          <w:t>בי' הרמב"ם דהחזרת מנורת חוליות נראה כבונה וברפוי מותר</w:t>
        </w:r>
      </w:hyperlink>
    </w:p>
    <w:p w14:paraId="0520715E"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063" w:history="1">
        <w:r w:rsidRPr="005E0C1D">
          <w:rPr>
            <w:rStyle w:val="Hyperlink"/>
            <w:rtl/>
          </w:rPr>
          <w:t>בי' הרמב"ם דאסור להחזיר מנורה של חוליות דנראה כבונה ופטור דאין בנין בכלים ורפוי מותר</w:t>
        </w:r>
      </w:hyperlink>
    </w:p>
    <w:p w14:paraId="48A9CF0E"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064" w:history="1">
        <w:r w:rsidRPr="005E0C1D">
          <w:rPr>
            <w:rStyle w:val="Hyperlink"/>
            <w:rtl/>
          </w:rPr>
          <w:t>קו' הלח"מ ברמב"ם דמ"ש מנורה דמיחזי כבונה מדלתות כלי דמותר ליטול ולא מיחזי כסותר</w:t>
        </w:r>
      </w:hyperlink>
    </w:p>
    <w:p w14:paraId="357936DC"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065" w:history="1">
        <w:r w:rsidRPr="005E0C1D">
          <w:rPr>
            <w:rStyle w:val="Hyperlink"/>
            <w:rtl/>
          </w:rPr>
          <w:t>בי' הרמב"ם דכירה שנשמטה אחת מירכותיה אסורה בטלטול שמא יתקע</w:t>
        </w:r>
      </w:hyperlink>
    </w:p>
    <w:p w14:paraId="063A698C"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066" w:history="1">
        <w:r w:rsidRPr="005E0C1D">
          <w:rPr>
            <w:rStyle w:val="Hyperlink"/>
            <w:rtl/>
          </w:rPr>
          <w:t>בי' הרמב"ם דמנורה של חוליות אסורה בטלטול שמא יחזירנה ובחידקי אסורה בגדולה דכבדה</w:t>
        </w:r>
      </w:hyperlink>
    </w:p>
    <w:p w14:paraId="09EFC840"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067" w:history="1">
        <w:r w:rsidRPr="005E0C1D">
          <w:rPr>
            <w:rStyle w:val="Hyperlink"/>
            <w:rtl/>
          </w:rPr>
          <w:t>בי' החזו"א דטלטול ירך שנשמטה מותר לצורך תיקונה ברפוי ורק טלטול בעלמא אסור</w:t>
        </w:r>
      </w:hyperlink>
    </w:p>
    <w:p w14:paraId="4EE1EF0E"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068" w:history="1">
        <w:r w:rsidRPr="005E0C1D">
          <w:rPr>
            <w:rStyle w:val="Hyperlink"/>
            <w:rtl/>
          </w:rPr>
          <w:t>בי' החזו"א דלתוס' בירך איירי שרגילות לתקוע ולכן אסור ובאין דרך לתקוע מותר וה"ה לטור</w:t>
        </w:r>
      </w:hyperlink>
    </w:p>
    <w:p w14:paraId="4C9CC194" w14:textId="77777777" w:rsidR="000F6808" w:rsidRDefault="000F6808" w:rsidP="000F6808">
      <w:pPr>
        <w:pStyle w:val="TOC2"/>
        <w:rPr>
          <w:rFonts w:cstheme="minorBidi"/>
          <w:b w:val="0"/>
          <w:bCs w:val="0"/>
          <w:sz w:val="22"/>
          <w:szCs w:val="22"/>
          <w:rtl/>
        </w:rPr>
      </w:pPr>
      <w:hyperlink w:anchor="_Toc145487069" w:history="1">
        <w:r w:rsidRPr="005E0C1D">
          <w:rPr>
            <w:rStyle w:val="Hyperlink"/>
            <w:rtl/>
          </w:rPr>
          <w:t>בי' המ"מ ברמב"ם דעושה כלי הוי בונה אף דאין בנין בכלים</w:t>
        </w:r>
      </w:hyperlink>
    </w:p>
    <w:p w14:paraId="34BB2E45"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070" w:history="1">
        <w:r w:rsidRPr="005E0C1D">
          <w:rPr>
            <w:rStyle w:val="Hyperlink"/>
            <w:rtl/>
          </w:rPr>
          <w:t>בי' הרמב"ם דאוהל קבוע תולדה דבונה וכן העושה כלי אדמה ובי' המ"מ דעושה כלי מתחילתו</w:t>
        </w:r>
      </w:hyperlink>
    </w:p>
    <w:p w14:paraId="0BEAEF4D"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071" w:history="1">
        <w:r w:rsidRPr="005E0C1D">
          <w:rPr>
            <w:rStyle w:val="Hyperlink"/>
            <w:rtl/>
          </w:rPr>
          <w:t>בי' התוס' דרק במחזיר חוליות שאינו חיזוק ואומנות אין בנין בכלים אבל בונה כלי גמור הוי בונה</w:t>
        </w:r>
      </w:hyperlink>
    </w:p>
    <w:p w14:paraId="4EEB1578"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072" w:history="1">
        <w:r w:rsidRPr="005E0C1D">
          <w:rPr>
            <w:rStyle w:val="Hyperlink"/>
            <w:rtl/>
          </w:rPr>
          <w:t>בי' הרמב"ן דכלי מפורק שצריך אומן להחזירו כמנורה דחוליות וציר מן הצד אינו כלי והוי בונה</w:t>
        </w:r>
      </w:hyperlink>
    </w:p>
    <w:p w14:paraId="2BA374C9" w14:textId="77777777" w:rsidR="000F6808" w:rsidRDefault="000F6808" w:rsidP="000F6808">
      <w:pPr>
        <w:pStyle w:val="TOC1"/>
        <w:rPr>
          <w:rFonts w:asciiTheme="minorHAnsi" w:hAnsiTheme="minorHAnsi" w:cstheme="minorBidi"/>
          <w:b w:val="0"/>
          <w:bCs w:val="0"/>
          <w:caps w:val="0"/>
          <w:sz w:val="22"/>
          <w:szCs w:val="22"/>
          <w:rtl/>
        </w:rPr>
      </w:pPr>
      <w:hyperlink w:anchor="_Toc145487074" w:history="1">
        <w:r w:rsidRPr="005E0C1D">
          <w:rPr>
            <w:rStyle w:val="Hyperlink"/>
            <w:rtl/>
          </w:rPr>
          <w:t>~~~~~~~~~~~~~~~~~~~~~~~~~~~~</w:t>
        </w:r>
      </w:hyperlink>
    </w:p>
    <w:p w14:paraId="38C414D8" w14:textId="77777777" w:rsidR="000F6808" w:rsidRDefault="000F6808" w:rsidP="000F6808">
      <w:pPr>
        <w:pStyle w:val="TOC1"/>
        <w:rPr>
          <w:rFonts w:asciiTheme="minorHAnsi" w:hAnsiTheme="minorHAnsi" w:cstheme="minorBidi"/>
          <w:b w:val="0"/>
          <w:bCs w:val="0"/>
          <w:caps w:val="0"/>
          <w:sz w:val="22"/>
          <w:szCs w:val="22"/>
          <w:rtl/>
        </w:rPr>
      </w:pPr>
      <w:hyperlink w:anchor="_Toc145487075" w:history="1">
        <w:r w:rsidRPr="005E0C1D">
          <w:rPr>
            <w:rStyle w:val="Hyperlink"/>
            <w:rtl/>
          </w:rPr>
          <w:t>בחיוב תוקע משום בונה או מכב"פ</w:t>
        </w:r>
      </w:hyperlink>
    </w:p>
    <w:p w14:paraId="5560636E" w14:textId="71EBCB04" w:rsidR="000F6808" w:rsidRDefault="000F6808" w:rsidP="000F6808">
      <w:pPr>
        <w:pStyle w:val="afffffffff0"/>
        <w:rPr>
          <w:rtl/>
        </w:rPr>
      </w:pPr>
      <w:r w:rsidRPr="00893FDE">
        <w:rPr>
          <w:b/>
          <w:bCs/>
          <w:rtl/>
        </w:rPr>
        <w:fldChar w:fldCharType="begin"/>
      </w:r>
      <w:r w:rsidRPr="00893FDE">
        <w:rPr>
          <w:b/>
          <w:bCs/>
          <w:rtl/>
        </w:rPr>
        <w:instrText xml:space="preserve"> </w:instrText>
      </w:r>
      <w:r w:rsidRPr="00893FDE">
        <w:rPr>
          <w:rFonts w:hint="cs"/>
          <w:b/>
          <w:bCs/>
        </w:rPr>
        <w:instrText>REF</w:instrText>
      </w:r>
      <w:r w:rsidRPr="00893FDE">
        <w:rPr>
          <w:rFonts w:hint="cs"/>
          <w:b/>
          <w:bCs/>
          <w:rtl/>
        </w:rPr>
        <w:instrText xml:space="preserve"> _</w:instrText>
      </w:r>
      <w:r w:rsidRPr="00893FDE">
        <w:rPr>
          <w:rFonts w:hint="cs"/>
          <w:b/>
          <w:bCs/>
        </w:rPr>
        <w:instrText>Ref145432295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קט)</w:t>
      </w:r>
      <w:r w:rsidRPr="00893FDE">
        <w:rPr>
          <w:b/>
          <w:bCs/>
          <w:rtl/>
        </w:rPr>
        <w:fldChar w:fldCharType="end"/>
      </w:r>
      <w:r w:rsidRPr="00893FDE">
        <w:rPr>
          <w:rFonts w:hint="cs"/>
          <w:b/>
          <w:bCs/>
          <w:rtl/>
        </w:rPr>
        <w:t xml:space="preserve"> </w:t>
      </w:r>
      <w:r w:rsidRPr="00893FDE">
        <w:rPr>
          <w:rFonts w:hint="cs"/>
          <w:rtl/>
        </w:rPr>
        <w:t>רמב"ם</w:t>
      </w:r>
      <w:r w:rsidRPr="00893FDE">
        <w:rPr>
          <w:rtl/>
        </w:rPr>
        <w:t xml:space="preserve"> </w:t>
      </w:r>
      <w:r w:rsidRPr="00893FDE">
        <w:rPr>
          <w:rStyle w:val="afffffffff3"/>
          <w:rtl/>
        </w:rPr>
        <w:t>(</w:t>
      </w:r>
      <w:r w:rsidRPr="00893FDE">
        <w:rPr>
          <w:rStyle w:val="afffffffff3"/>
          <w:rFonts w:hint="cs"/>
          <w:rtl/>
        </w:rPr>
        <w:t>שבת פכ"ב הכ"ה</w:t>
      </w:r>
      <w:r w:rsidRPr="00893FDE">
        <w:rPr>
          <w:rStyle w:val="afffffffff3"/>
          <w:rtl/>
        </w:rPr>
        <w:t>)</w:t>
      </w:r>
      <w:r>
        <w:rPr>
          <w:rtl/>
        </w:rPr>
        <w:t>,</w:t>
      </w:r>
      <w:r w:rsidRPr="00893FDE">
        <w:rPr>
          <w:rFonts w:hint="cs"/>
          <w:b/>
          <w:bCs/>
          <w:rtl/>
        </w:rPr>
        <w:t xml:space="preserve"> </w:t>
      </w:r>
      <w:r w:rsidRPr="00893FDE">
        <w:rPr>
          <w:b/>
          <w:bCs/>
          <w:rtl/>
        </w:rPr>
        <w:fldChar w:fldCharType="begin"/>
      </w:r>
      <w:r w:rsidRPr="00893FDE">
        <w:rPr>
          <w:b/>
          <w:bCs/>
          <w:rtl/>
        </w:rPr>
        <w:instrText xml:space="preserve"> </w:instrText>
      </w:r>
      <w:r w:rsidRPr="00893FDE">
        <w:rPr>
          <w:rFonts w:hint="cs"/>
          <w:b/>
          <w:bCs/>
        </w:rPr>
        <w:instrText>REF</w:instrText>
      </w:r>
      <w:r w:rsidRPr="00893FDE">
        <w:rPr>
          <w:rFonts w:hint="cs"/>
          <w:b/>
          <w:bCs/>
          <w:rtl/>
        </w:rPr>
        <w:instrText xml:space="preserve"> _</w:instrText>
      </w:r>
      <w:r w:rsidRPr="00893FDE">
        <w:rPr>
          <w:rFonts w:hint="cs"/>
          <w:b/>
          <w:bCs/>
        </w:rPr>
        <w:instrText>Ref145240998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קי)</w:t>
      </w:r>
      <w:r w:rsidRPr="00893FDE">
        <w:rPr>
          <w:b/>
          <w:bCs/>
          <w:rtl/>
        </w:rPr>
        <w:fldChar w:fldCharType="end"/>
      </w:r>
      <w:r w:rsidRPr="00893FDE">
        <w:rPr>
          <w:rFonts w:hint="cs"/>
          <w:b/>
          <w:bCs/>
          <w:rtl/>
        </w:rPr>
        <w:t xml:space="preserve"> </w:t>
      </w:r>
      <w:r w:rsidRPr="00893FDE">
        <w:rPr>
          <w:rFonts w:hint="cs"/>
          <w:rtl/>
        </w:rPr>
        <w:t xml:space="preserve">רש"י לעיל </w:t>
      </w:r>
      <w:r w:rsidRPr="00893FDE">
        <w:rPr>
          <w:rStyle w:val="afffffffff3"/>
          <w:rFonts w:hint="cs"/>
          <w:rtl/>
        </w:rPr>
        <w:t>(מז. ד"ה חייב)</w:t>
      </w:r>
      <w:r>
        <w:rPr>
          <w:rtl/>
        </w:rPr>
        <w:t>,</w:t>
      </w:r>
      <w:r w:rsidRPr="00893FDE">
        <w:rPr>
          <w:b/>
          <w:bCs/>
          <w:rtl/>
        </w:rPr>
        <w:t xml:space="preserve"> </w:t>
      </w:r>
      <w:r w:rsidRPr="00893FDE">
        <w:rPr>
          <w:b/>
          <w:bCs/>
          <w:rtl/>
        </w:rPr>
        <w:fldChar w:fldCharType="begin"/>
      </w:r>
      <w:r w:rsidRPr="00893FDE">
        <w:rPr>
          <w:b/>
          <w:bCs/>
          <w:rtl/>
        </w:rPr>
        <w:instrText xml:space="preserve"> </w:instrText>
      </w:r>
      <w:r w:rsidRPr="00893FDE">
        <w:rPr>
          <w:b/>
          <w:bCs/>
        </w:rPr>
        <w:instrText>REF</w:instrText>
      </w:r>
      <w:r w:rsidRPr="00893FDE">
        <w:rPr>
          <w:b/>
          <w:bCs/>
          <w:rtl/>
        </w:rPr>
        <w:instrText xml:space="preserve"> _</w:instrText>
      </w:r>
      <w:r w:rsidRPr="00893FDE">
        <w:rPr>
          <w:b/>
          <w:bCs/>
        </w:rPr>
        <w:instrText>Ref143720580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א)</w:t>
      </w:r>
      <w:r w:rsidRPr="00893FDE">
        <w:rPr>
          <w:b/>
          <w:bCs/>
          <w:rtl/>
        </w:rPr>
        <w:fldChar w:fldCharType="end"/>
      </w:r>
      <w:r w:rsidRPr="00893FDE">
        <w:rPr>
          <w:b/>
          <w:bCs/>
          <w:rtl/>
        </w:rPr>
        <w:t xml:space="preserve"> </w:t>
      </w:r>
      <w:r w:rsidRPr="00893FDE">
        <w:rPr>
          <w:rtl/>
        </w:rPr>
        <w:t xml:space="preserve">רש"י לעיל </w:t>
      </w:r>
      <w:r w:rsidRPr="00893FDE">
        <w:rPr>
          <w:rStyle w:val="afffffffff3"/>
          <w:rtl/>
        </w:rPr>
        <w:t>(עד: ד"ה ואי)</w:t>
      </w:r>
      <w:r>
        <w:rPr>
          <w:rtl/>
        </w:rPr>
        <w:t xml:space="preserve"> </w:t>
      </w:r>
      <w:r w:rsidRPr="00893FDE">
        <w:rPr>
          <w:rFonts w:hint="cs"/>
          <w:rtl/>
        </w:rPr>
        <w:t xml:space="preserve">רש"י לעיל </w:t>
      </w:r>
      <w:r w:rsidRPr="00893FDE">
        <w:rPr>
          <w:rStyle w:val="afffffffff3"/>
          <w:rFonts w:hint="cs"/>
          <w:rtl/>
        </w:rPr>
        <w:t>(מח. ד"ה חייב)</w:t>
      </w:r>
      <w:r>
        <w:rPr>
          <w:rtl/>
        </w:rPr>
        <w:t xml:space="preserve"> </w:t>
      </w:r>
      <w:r w:rsidRPr="00893FDE">
        <w:rPr>
          <w:rFonts w:hint="cs"/>
          <w:rtl/>
        </w:rPr>
        <w:t xml:space="preserve">רש"י לקמן </w:t>
      </w:r>
      <w:r w:rsidRPr="00893FDE">
        <w:rPr>
          <w:rStyle w:val="afffffffff3"/>
          <w:rFonts w:hint="cs"/>
          <w:rtl/>
        </w:rPr>
        <w:t>(קכד: ד"ה לא יספות)</w:t>
      </w:r>
      <w:r>
        <w:rPr>
          <w:rtl/>
        </w:rPr>
        <w:t>,</w:t>
      </w:r>
      <w:r w:rsidRPr="00893FDE">
        <w:rPr>
          <w:rFonts w:hint="cs"/>
          <w:b/>
          <w:bCs/>
          <w:rtl/>
        </w:rPr>
        <w:t xml:space="preserve"> </w:t>
      </w:r>
      <w:r w:rsidRPr="00893FDE">
        <w:rPr>
          <w:b/>
          <w:bCs/>
          <w:rtl/>
        </w:rPr>
        <w:fldChar w:fldCharType="begin"/>
      </w:r>
      <w:r w:rsidRPr="00893FDE">
        <w:rPr>
          <w:b/>
          <w:bCs/>
          <w:rtl/>
        </w:rPr>
        <w:instrText xml:space="preserve"> </w:instrText>
      </w:r>
      <w:r w:rsidRPr="00893FDE">
        <w:rPr>
          <w:rFonts w:hint="cs"/>
          <w:b/>
          <w:bCs/>
        </w:rPr>
        <w:instrText>REF</w:instrText>
      </w:r>
      <w:r w:rsidRPr="00893FDE">
        <w:rPr>
          <w:rFonts w:hint="cs"/>
          <w:b/>
          <w:bCs/>
          <w:rtl/>
        </w:rPr>
        <w:instrText xml:space="preserve"> _</w:instrText>
      </w:r>
      <w:r w:rsidRPr="00893FDE">
        <w:rPr>
          <w:rFonts w:hint="cs"/>
          <w:b/>
          <w:bCs/>
        </w:rPr>
        <w:instrText>Ref145431227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קיב)</w:t>
      </w:r>
      <w:r w:rsidRPr="00893FDE">
        <w:rPr>
          <w:b/>
          <w:bCs/>
          <w:rtl/>
        </w:rPr>
        <w:fldChar w:fldCharType="end"/>
      </w:r>
      <w:r w:rsidRPr="00893FDE">
        <w:rPr>
          <w:rFonts w:hint="cs"/>
          <w:b/>
          <w:bCs/>
          <w:rtl/>
        </w:rPr>
        <w:t xml:space="preserve"> </w:t>
      </w:r>
      <w:r w:rsidRPr="00893FDE">
        <w:rPr>
          <w:rFonts w:hint="cs"/>
          <w:rtl/>
        </w:rPr>
        <w:t xml:space="preserve">רש"י לקמן </w:t>
      </w:r>
      <w:r w:rsidRPr="00893FDE">
        <w:rPr>
          <w:rStyle w:val="afffffffff3"/>
          <w:rFonts w:hint="cs"/>
          <w:rtl/>
        </w:rPr>
        <w:t>(קכב: ד"ה גזירה)</w:t>
      </w:r>
      <w:r>
        <w:rPr>
          <w:rtl/>
        </w:rPr>
        <w:t>,</w:t>
      </w:r>
      <w:r w:rsidRPr="00893FDE">
        <w:rPr>
          <w:rFonts w:hint="cs"/>
          <w:b/>
          <w:bCs/>
          <w:rtl/>
        </w:rPr>
        <w:t xml:space="preserve"> </w:t>
      </w:r>
      <w:r w:rsidRPr="00893FDE">
        <w:rPr>
          <w:b/>
          <w:bCs/>
          <w:rtl/>
        </w:rPr>
        <w:fldChar w:fldCharType="begin"/>
      </w:r>
      <w:r w:rsidRPr="00893FDE">
        <w:rPr>
          <w:b/>
          <w:bCs/>
          <w:rtl/>
        </w:rPr>
        <w:instrText xml:space="preserve"> </w:instrText>
      </w:r>
      <w:r w:rsidRPr="00893FDE">
        <w:rPr>
          <w:rFonts w:hint="cs"/>
          <w:b/>
          <w:bCs/>
        </w:rPr>
        <w:instrText>REF</w:instrText>
      </w:r>
      <w:r w:rsidRPr="00893FDE">
        <w:rPr>
          <w:rFonts w:hint="cs"/>
          <w:b/>
          <w:bCs/>
          <w:rtl/>
        </w:rPr>
        <w:instrText xml:space="preserve"> _</w:instrText>
      </w:r>
      <w:r w:rsidRPr="00893FDE">
        <w:rPr>
          <w:rFonts w:hint="cs"/>
          <w:b/>
          <w:bCs/>
        </w:rPr>
        <w:instrText>Ref145441303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קיג)</w:t>
      </w:r>
      <w:r w:rsidRPr="00893FDE">
        <w:rPr>
          <w:b/>
          <w:bCs/>
          <w:rtl/>
        </w:rPr>
        <w:fldChar w:fldCharType="end"/>
      </w:r>
      <w:r w:rsidRPr="00893FDE">
        <w:rPr>
          <w:rFonts w:hint="cs"/>
          <w:b/>
          <w:bCs/>
          <w:rtl/>
        </w:rPr>
        <w:t xml:space="preserve"> </w:t>
      </w:r>
      <w:r w:rsidRPr="00893FDE">
        <w:rPr>
          <w:rFonts w:hint="cs"/>
          <w:rtl/>
        </w:rPr>
        <w:t>רש"י לעיל</w:t>
      </w:r>
      <w:r w:rsidRPr="00893FDE">
        <w:rPr>
          <w:rtl/>
        </w:rPr>
        <w:t xml:space="preserve"> </w:t>
      </w:r>
      <w:r w:rsidRPr="00893FDE">
        <w:rPr>
          <w:rStyle w:val="afffffffff3"/>
          <w:rtl/>
        </w:rPr>
        <w:t>(</w:t>
      </w:r>
      <w:r w:rsidRPr="00893FDE">
        <w:rPr>
          <w:rStyle w:val="afffffffff3"/>
          <w:rFonts w:hint="cs"/>
          <w:rtl/>
        </w:rPr>
        <w:t>מז: ד"ה יתקע</w:t>
      </w:r>
      <w:r w:rsidRPr="00893FDE">
        <w:rPr>
          <w:rStyle w:val="afffffffff3"/>
          <w:rtl/>
        </w:rPr>
        <w:t>)</w:t>
      </w:r>
      <w:r>
        <w:rPr>
          <w:rtl/>
        </w:rPr>
        <w:t>,</w:t>
      </w:r>
      <w:r w:rsidRPr="00893FDE">
        <w:rPr>
          <w:rFonts w:hint="cs"/>
          <w:b/>
          <w:bCs/>
          <w:rtl/>
        </w:rPr>
        <w:t xml:space="preserve"> </w:t>
      </w:r>
      <w:r w:rsidRPr="00893FDE">
        <w:rPr>
          <w:b/>
          <w:bCs/>
          <w:rtl/>
        </w:rPr>
        <w:fldChar w:fldCharType="begin"/>
      </w:r>
      <w:r w:rsidRPr="00893FDE">
        <w:rPr>
          <w:b/>
          <w:bCs/>
          <w:rtl/>
        </w:rPr>
        <w:instrText xml:space="preserve"> </w:instrText>
      </w:r>
      <w:r w:rsidRPr="00893FDE">
        <w:rPr>
          <w:rFonts w:hint="cs"/>
          <w:b/>
          <w:bCs/>
        </w:rPr>
        <w:instrText>REF</w:instrText>
      </w:r>
      <w:r w:rsidRPr="00893FDE">
        <w:rPr>
          <w:rFonts w:hint="cs"/>
          <w:b/>
          <w:bCs/>
          <w:rtl/>
        </w:rPr>
        <w:instrText xml:space="preserve"> _</w:instrText>
      </w:r>
      <w:r w:rsidRPr="00893FDE">
        <w:rPr>
          <w:rFonts w:hint="cs"/>
          <w:b/>
          <w:bCs/>
        </w:rPr>
        <w:instrText>Ref145408495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קיד)</w:t>
      </w:r>
      <w:r w:rsidRPr="00893FDE">
        <w:rPr>
          <w:b/>
          <w:bCs/>
          <w:rtl/>
        </w:rPr>
        <w:fldChar w:fldCharType="end"/>
      </w:r>
      <w:r w:rsidRPr="00893FDE">
        <w:rPr>
          <w:rFonts w:hint="cs"/>
          <w:b/>
          <w:bCs/>
          <w:rtl/>
        </w:rPr>
        <w:t xml:space="preserve"> </w:t>
      </w:r>
      <w:r w:rsidRPr="00893FDE">
        <w:rPr>
          <w:rFonts w:hint="cs"/>
          <w:rtl/>
        </w:rPr>
        <w:t>רמב"ן בסוגיין</w:t>
      </w:r>
      <w:r>
        <w:rPr>
          <w:rFonts w:hint="cs"/>
          <w:rtl/>
        </w:rPr>
        <w:t xml:space="preserve"> </w:t>
      </w:r>
      <w:r w:rsidRPr="00893FDE">
        <w:rPr>
          <w:rStyle w:val="afffffffff3"/>
          <w:rFonts w:hint="cs"/>
          <w:rtl/>
        </w:rPr>
        <w:t>(ד"ה ומשמע)</w:t>
      </w:r>
      <w:r>
        <w:rPr>
          <w:rtl/>
        </w:rPr>
        <w:t>,</w:t>
      </w:r>
      <w:r w:rsidRPr="00893FDE">
        <w:rPr>
          <w:rFonts w:hint="cs"/>
          <w:b/>
          <w:bCs/>
          <w:rtl/>
        </w:rPr>
        <w:t xml:space="preserve"> </w:t>
      </w:r>
      <w:r w:rsidRPr="00893FDE">
        <w:rPr>
          <w:b/>
          <w:bCs/>
          <w:rtl/>
        </w:rPr>
        <w:fldChar w:fldCharType="begin"/>
      </w:r>
      <w:r w:rsidRPr="00893FDE">
        <w:rPr>
          <w:b/>
          <w:bCs/>
          <w:rtl/>
        </w:rPr>
        <w:instrText xml:space="preserve"> </w:instrText>
      </w:r>
      <w:r w:rsidRPr="00893FDE">
        <w:rPr>
          <w:rFonts w:hint="cs"/>
          <w:b/>
          <w:bCs/>
        </w:rPr>
        <w:instrText>REF</w:instrText>
      </w:r>
      <w:r w:rsidRPr="00893FDE">
        <w:rPr>
          <w:rFonts w:hint="cs"/>
          <w:b/>
          <w:bCs/>
          <w:rtl/>
        </w:rPr>
        <w:instrText xml:space="preserve"> _</w:instrText>
      </w:r>
      <w:r w:rsidRPr="00893FDE">
        <w:rPr>
          <w:rFonts w:hint="cs"/>
          <w:b/>
          <w:bCs/>
        </w:rPr>
        <w:instrText>Ref145432321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קטו)</w:t>
      </w:r>
      <w:r w:rsidRPr="00893FDE">
        <w:rPr>
          <w:b/>
          <w:bCs/>
          <w:rtl/>
        </w:rPr>
        <w:fldChar w:fldCharType="end"/>
      </w:r>
      <w:r w:rsidRPr="00893FDE">
        <w:rPr>
          <w:rFonts w:hint="cs"/>
          <w:b/>
          <w:bCs/>
          <w:rtl/>
        </w:rPr>
        <w:t xml:space="preserve"> </w:t>
      </w:r>
      <w:r w:rsidRPr="00893FDE">
        <w:rPr>
          <w:rFonts w:hint="cs"/>
          <w:rtl/>
        </w:rPr>
        <w:t xml:space="preserve">רמב"ן במלחמות </w:t>
      </w:r>
      <w:r w:rsidRPr="00893FDE">
        <w:rPr>
          <w:rStyle w:val="afffffffff3"/>
          <w:rFonts w:hint="cs"/>
          <w:rtl/>
        </w:rPr>
        <w:t>(ל"ז. מדה"ר ד"ה אמר הכותב אעפ"י, מהדו' עוז והדר עמ' ק"ד)</w:t>
      </w:r>
      <w:r>
        <w:rPr>
          <w:rtl/>
        </w:rPr>
        <w:t>,</w:t>
      </w:r>
      <w:r w:rsidRPr="00893FDE">
        <w:rPr>
          <w:b/>
          <w:bCs/>
          <w:rtl/>
        </w:rPr>
        <w:t xml:space="preserve"> </w:t>
      </w:r>
      <w:r w:rsidRPr="00893FDE">
        <w:rPr>
          <w:b/>
          <w:bCs/>
          <w:rtl/>
        </w:rPr>
        <w:fldChar w:fldCharType="begin"/>
      </w:r>
      <w:r w:rsidRPr="00893FDE">
        <w:rPr>
          <w:b/>
          <w:bCs/>
          <w:rtl/>
        </w:rPr>
        <w:instrText xml:space="preserve"> </w:instrText>
      </w:r>
      <w:r w:rsidRPr="00893FDE">
        <w:rPr>
          <w:b/>
          <w:bCs/>
        </w:rPr>
        <w:instrText>REF</w:instrText>
      </w:r>
      <w:r w:rsidRPr="00893FDE">
        <w:rPr>
          <w:b/>
          <w:bCs/>
          <w:rtl/>
        </w:rPr>
        <w:instrText xml:space="preserve"> _</w:instrText>
      </w:r>
      <w:r w:rsidRPr="00893FDE">
        <w:rPr>
          <w:b/>
          <w:bCs/>
        </w:rPr>
        <w:instrText>Ref144634486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פז)</w:t>
      </w:r>
      <w:r w:rsidRPr="00893FDE">
        <w:rPr>
          <w:b/>
          <w:bCs/>
          <w:rtl/>
        </w:rPr>
        <w:fldChar w:fldCharType="end"/>
      </w:r>
      <w:r w:rsidRPr="00893FDE">
        <w:rPr>
          <w:b/>
          <w:bCs/>
          <w:rtl/>
        </w:rPr>
        <w:t xml:space="preserve"> </w:t>
      </w:r>
      <w:r w:rsidRPr="00893FDE">
        <w:rPr>
          <w:rFonts w:hint="cs"/>
          <w:rtl/>
        </w:rPr>
        <w:t>רא"ש לקמן</w:t>
      </w:r>
      <w:r w:rsidRPr="00893FDE">
        <w:rPr>
          <w:rtl/>
        </w:rPr>
        <w:t xml:space="preserve"> </w:t>
      </w:r>
      <w:r w:rsidRPr="00893FDE">
        <w:rPr>
          <w:rStyle w:val="afffffffff3"/>
          <w:rtl/>
        </w:rPr>
        <w:t>(</w:t>
      </w:r>
      <w:r w:rsidRPr="00893FDE">
        <w:rPr>
          <w:rStyle w:val="afffffffff3"/>
          <w:rFonts w:hint="cs"/>
          <w:rtl/>
        </w:rPr>
        <w:t>פי"ז סי' א'</w:t>
      </w:r>
      <w:r w:rsidRPr="00893FDE">
        <w:rPr>
          <w:rStyle w:val="afffffffff3"/>
          <w:rtl/>
        </w:rPr>
        <w:t>)</w:t>
      </w:r>
      <w:r>
        <w:rPr>
          <w:rtl/>
        </w:rPr>
        <w:t xml:space="preserve"> </w:t>
      </w:r>
      <w:r w:rsidRPr="00893FDE">
        <w:rPr>
          <w:rFonts w:hint="cs"/>
          <w:rtl/>
        </w:rPr>
        <w:t>תוס' הרא"ש בעירובין</w:t>
      </w:r>
      <w:r w:rsidRPr="00893FDE">
        <w:rPr>
          <w:rtl/>
        </w:rPr>
        <w:t xml:space="preserve"> </w:t>
      </w:r>
      <w:r w:rsidRPr="00893FDE">
        <w:rPr>
          <w:rStyle w:val="afffffffff3"/>
          <w:rtl/>
        </w:rPr>
        <w:t>(</w:t>
      </w:r>
      <w:r w:rsidRPr="00893FDE">
        <w:rPr>
          <w:rStyle w:val="afffffffff3"/>
          <w:rFonts w:hint="cs"/>
          <w:rtl/>
        </w:rPr>
        <w:t>קב: סוד"ה מחזירין</w:t>
      </w:r>
      <w:r w:rsidRPr="00893FDE">
        <w:rPr>
          <w:rStyle w:val="afffffffff3"/>
          <w:rtl/>
        </w:rPr>
        <w:t>)</w:t>
      </w:r>
      <w:r>
        <w:rPr>
          <w:rtl/>
        </w:rPr>
        <w:t xml:space="preserve"> </w:t>
      </w:r>
      <w:r w:rsidRPr="00893FDE">
        <w:rPr>
          <w:rFonts w:hint="cs"/>
          <w:rtl/>
        </w:rPr>
        <w:t>רשב"א בעבודת הקודש</w:t>
      </w:r>
      <w:r w:rsidRPr="00893FDE">
        <w:rPr>
          <w:rtl/>
        </w:rPr>
        <w:t xml:space="preserve"> </w:t>
      </w:r>
      <w:r w:rsidRPr="00893FDE">
        <w:rPr>
          <w:rStyle w:val="afffffffff3"/>
          <w:rFonts w:hint="cs"/>
          <w:rtl/>
        </w:rPr>
        <w:t xml:space="preserve">(עי' אות </w:t>
      </w:r>
      <w:r w:rsidRPr="00893FDE">
        <w:rPr>
          <w:rStyle w:val="afffffffff3"/>
          <w:rtl/>
        </w:rPr>
        <w:t>מב)</w:t>
      </w:r>
      <w:r>
        <w:rPr>
          <w:rtl/>
        </w:rPr>
        <w:t xml:space="preserve"> </w:t>
      </w:r>
      <w:r w:rsidRPr="00893FDE">
        <w:rPr>
          <w:rFonts w:hint="cs"/>
          <w:rtl/>
        </w:rPr>
        <w:t>ר"ן על הרי"ף</w:t>
      </w:r>
      <w:r w:rsidRPr="00893FDE">
        <w:rPr>
          <w:rtl/>
        </w:rPr>
        <w:t xml:space="preserve"> </w:t>
      </w:r>
      <w:r w:rsidRPr="00893FDE">
        <w:rPr>
          <w:rStyle w:val="afffffffff3"/>
          <w:rFonts w:hint="cs"/>
          <w:rtl/>
        </w:rPr>
        <w:t xml:space="preserve">(עי' אות </w:t>
      </w:r>
      <w:r w:rsidRPr="00893FDE">
        <w:rPr>
          <w:rStyle w:val="afffffffff3"/>
          <w:rtl/>
        </w:rPr>
        <w:t>מט)</w:t>
      </w:r>
      <w:r>
        <w:rPr>
          <w:rtl/>
        </w:rPr>
        <w:t xml:space="preserve"> </w:t>
      </w:r>
      <w:r w:rsidRPr="00893FDE">
        <w:rPr>
          <w:rFonts w:hint="cs"/>
          <w:rtl/>
        </w:rPr>
        <w:t xml:space="preserve">אור זרוע </w:t>
      </w:r>
      <w:r w:rsidRPr="00893FDE">
        <w:rPr>
          <w:rStyle w:val="afffffffff3"/>
          <w:rFonts w:hint="cs"/>
          <w:rtl/>
        </w:rPr>
        <w:t xml:space="preserve">(עי' אות </w:t>
      </w:r>
      <w:r w:rsidRPr="00893FDE">
        <w:rPr>
          <w:rStyle w:val="afffffffff3"/>
          <w:rtl/>
        </w:rPr>
        <w:fldChar w:fldCharType="begin"/>
      </w:r>
      <w:r w:rsidRPr="00893FDE">
        <w:rPr>
          <w:rStyle w:val="afffffffff3"/>
          <w:rtl/>
        </w:rPr>
        <w:instrText xml:space="preserve"> </w:instrText>
      </w:r>
      <w:r w:rsidRPr="00893FDE">
        <w:rPr>
          <w:rStyle w:val="afffffffff3"/>
          <w:rFonts w:hint="cs"/>
        </w:rPr>
        <w:instrText>REF</w:instrText>
      </w:r>
      <w:r w:rsidRPr="00893FDE">
        <w:rPr>
          <w:rStyle w:val="afffffffff3"/>
          <w:rFonts w:hint="cs"/>
          <w:rtl/>
        </w:rPr>
        <w:instrText xml:space="preserve"> _</w:instrText>
      </w:r>
      <w:r w:rsidRPr="00893FDE">
        <w:rPr>
          <w:rStyle w:val="afffffffff3"/>
          <w:rFonts w:hint="cs"/>
        </w:rPr>
        <w:instrText>Ref145435469 \r \h</w:instrText>
      </w:r>
      <w:r w:rsidRPr="00893FDE">
        <w:rPr>
          <w:rStyle w:val="afffffffff3"/>
          <w:rtl/>
        </w:rPr>
        <w:instrText xml:space="preserve">  \* </w:instrText>
      </w:r>
      <w:r w:rsidRPr="00893FDE">
        <w:rPr>
          <w:rStyle w:val="afffffffff3"/>
        </w:rPr>
        <w:instrText>MERGEFORMAT</w:instrText>
      </w:r>
      <w:r w:rsidRPr="00893FDE">
        <w:rPr>
          <w:rStyle w:val="afffffffff3"/>
          <w:rtl/>
        </w:rPr>
        <w:instrText xml:space="preserve"> </w:instrText>
      </w:r>
      <w:r w:rsidRPr="00893FDE">
        <w:rPr>
          <w:rStyle w:val="afffffffff3"/>
          <w:rtl/>
        </w:rPr>
      </w:r>
      <w:r w:rsidRPr="00893FDE">
        <w:rPr>
          <w:rStyle w:val="afffffffff3"/>
          <w:rtl/>
        </w:rPr>
        <w:fldChar w:fldCharType="separate"/>
      </w:r>
      <w:r w:rsidR="00D82181">
        <w:rPr>
          <w:rStyle w:val="afffffffff3"/>
          <w:cs/>
        </w:rPr>
        <w:t>‎</w:t>
      </w:r>
      <w:r w:rsidR="00D82181">
        <w:rPr>
          <w:rStyle w:val="afffffffff3"/>
          <w:rtl/>
        </w:rPr>
        <w:t>קלא)</w:t>
      </w:r>
      <w:r w:rsidRPr="00893FDE">
        <w:rPr>
          <w:rStyle w:val="afffffffff3"/>
          <w:rtl/>
        </w:rPr>
        <w:fldChar w:fldCharType="end"/>
      </w:r>
      <w:r>
        <w:rPr>
          <w:rtl/>
        </w:rPr>
        <w:t>,</w:t>
      </w:r>
      <w:r w:rsidRPr="00893FDE">
        <w:rPr>
          <w:b/>
          <w:bCs/>
          <w:rtl/>
        </w:rPr>
        <w:t xml:space="preserve"> </w:t>
      </w:r>
      <w:r w:rsidRPr="00893FDE">
        <w:rPr>
          <w:b/>
          <w:bCs/>
          <w:rtl/>
        </w:rPr>
        <w:fldChar w:fldCharType="begin"/>
      </w:r>
      <w:r w:rsidRPr="00893FDE">
        <w:rPr>
          <w:b/>
          <w:bCs/>
          <w:rtl/>
        </w:rPr>
        <w:instrText xml:space="preserve"> </w:instrText>
      </w:r>
      <w:r w:rsidRPr="00893FDE">
        <w:rPr>
          <w:b/>
          <w:bCs/>
        </w:rPr>
        <w:instrText>REF</w:instrText>
      </w:r>
      <w:r w:rsidRPr="00893FDE">
        <w:rPr>
          <w:b/>
          <w:bCs/>
          <w:rtl/>
        </w:rPr>
        <w:instrText xml:space="preserve"> _</w:instrText>
      </w:r>
      <w:r w:rsidRPr="00893FDE">
        <w:rPr>
          <w:b/>
          <w:bCs/>
        </w:rPr>
        <w:instrText>Ref144844629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קיז)</w:t>
      </w:r>
      <w:r w:rsidRPr="00893FDE">
        <w:rPr>
          <w:b/>
          <w:bCs/>
          <w:rtl/>
        </w:rPr>
        <w:fldChar w:fldCharType="end"/>
      </w:r>
      <w:r w:rsidRPr="00893FDE">
        <w:rPr>
          <w:b/>
          <w:bCs/>
          <w:rtl/>
        </w:rPr>
        <w:t xml:space="preserve"> </w:t>
      </w:r>
      <w:r w:rsidRPr="00893FDE">
        <w:rPr>
          <w:rFonts w:hint="cs"/>
          <w:rtl/>
        </w:rPr>
        <w:t>חי' המיוחסים לר"ן לעיל</w:t>
      </w:r>
      <w:r w:rsidRPr="00893FDE">
        <w:rPr>
          <w:rtl/>
        </w:rPr>
        <w:t xml:space="preserve"> </w:t>
      </w:r>
      <w:r w:rsidRPr="00893FDE">
        <w:rPr>
          <w:rStyle w:val="afffffffff3"/>
          <w:rtl/>
        </w:rPr>
        <w:t>(</w:t>
      </w:r>
      <w:r w:rsidRPr="00893FDE">
        <w:rPr>
          <w:rStyle w:val="afffffffff3"/>
          <w:rFonts w:hint="cs"/>
          <w:rtl/>
        </w:rPr>
        <w:t>מז. ד"ה לא יחזיר</w:t>
      </w:r>
      <w:r w:rsidRPr="00893FDE">
        <w:rPr>
          <w:rStyle w:val="afffffffff3"/>
          <w:rtl/>
        </w:rPr>
        <w:t>)</w:t>
      </w:r>
      <w:r>
        <w:rPr>
          <w:rtl/>
        </w:rPr>
        <w:t>,</w:t>
      </w:r>
      <w:r w:rsidRPr="00893FDE">
        <w:rPr>
          <w:b/>
          <w:bCs/>
          <w:rtl/>
        </w:rPr>
        <w:t xml:space="preserve"> </w:t>
      </w:r>
      <w:r w:rsidRPr="00893FDE">
        <w:rPr>
          <w:b/>
          <w:bCs/>
          <w:rtl/>
        </w:rPr>
        <w:fldChar w:fldCharType="begin"/>
      </w:r>
      <w:r w:rsidRPr="00893FDE">
        <w:rPr>
          <w:b/>
          <w:bCs/>
          <w:rtl/>
        </w:rPr>
        <w:instrText xml:space="preserve"> </w:instrText>
      </w:r>
      <w:r w:rsidRPr="00893FDE">
        <w:rPr>
          <w:b/>
          <w:bCs/>
        </w:rPr>
        <w:instrText>REF</w:instrText>
      </w:r>
      <w:r w:rsidRPr="00893FDE">
        <w:rPr>
          <w:b/>
          <w:bCs/>
          <w:rtl/>
        </w:rPr>
        <w:instrText xml:space="preserve"> _</w:instrText>
      </w:r>
      <w:r w:rsidRPr="00893FDE">
        <w:rPr>
          <w:b/>
          <w:bCs/>
        </w:rPr>
        <w:instrText>Ref144585342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ד)</w:t>
      </w:r>
      <w:r w:rsidRPr="00893FDE">
        <w:rPr>
          <w:b/>
          <w:bCs/>
          <w:rtl/>
        </w:rPr>
        <w:fldChar w:fldCharType="end"/>
      </w:r>
      <w:r w:rsidRPr="00893FDE">
        <w:rPr>
          <w:b/>
          <w:bCs/>
          <w:rtl/>
        </w:rPr>
        <w:t xml:space="preserve"> </w:t>
      </w:r>
      <w:r w:rsidRPr="00893FDE">
        <w:rPr>
          <w:rFonts w:hint="cs"/>
          <w:rtl/>
        </w:rPr>
        <w:t>גר"א</w:t>
      </w:r>
      <w:r w:rsidRPr="00893FDE">
        <w:rPr>
          <w:rtl/>
        </w:rPr>
        <w:t xml:space="preserve"> </w:t>
      </w:r>
      <w:r w:rsidRPr="00893FDE">
        <w:rPr>
          <w:rStyle w:val="afffffffff3"/>
          <w:rtl/>
        </w:rPr>
        <w:t>(</w:t>
      </w:r>
      <w:r w:rsidRPr="00893FDE">
        <w:rPr>
          <w:rStyle w:val="afffffffff3"/>
          <w:rFonts w:hint="cs"/>
          <w:rtl/>
        </w:rPr>
        <w:t>סי' שי"ד סק"ד</w:t>
      </w:r>
      <w:r w:rsidRPr="00893FDE">
        <w:rPr>
          <w:rStyle w:val="afffffffff3"/>
          <w:rtl/>
        </w:rPr>
        <w:t>)</w:t>
      </w:r>
      <w:r w:rsidRPr="00E638EB">
        <w:rPr>
          <w:rFonts w:hint="cs"/>
          <w:rtl/>
        </w:rPr>
        <w:t>,</w:t>
      </w:r>
      <w:r w:rsidRPr="00893FDE">
        <w:rPr>
          <w:b/>
          <w:bCs/>
          <w:rtl/>
        </w:rPr>
        <w:t xml:space="preserve"> </w:t>
      </w:r>
      <w:r w:rsidRPr="00893FDE">
        <w:rPr>
          <w:b/>
          <w:bCs/>
          <w:rtl/>
        </w:rPr>
        <w:fldChar w:fldCharType="begin"/>
      </w:r>
      <w:r w:rsidRPr="00893FDE">
        <w:rPr>
          <w:b/>
          <w:bCs/>
          <w:rtl/>
        </w:rPr>
        <w:instrText xml:space="preserve"> </w:instrText>
      </w:r>
      <w:r w:rsidRPr="00893FDE">
        <w:rPr>
          <w:b/>
          <w:bCs/>
        </w:rPr>
        <w:instrText>REF</w:instrText>
      </w:r>
      <w:r w:rsidRPr="00893FDE">
        <w:rPr>
          <w:b/>
          <w:bCs/>
          <w:rtl/>
        </w:rPr>
        <w:instrText xml:space="preserve"> _</w:instrText>
      </w:r>
      <w:r w:rsidRPr="00893FDE">
        <w:rPr>
          <w:b/>
          <w:bCs/>
        </w:rPr>
        <w:instrText>Ref144286018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כב)</w:t>
      </w:r>
      <w:r w:rsidRPr="00893FDE">
        <w:rPr>
          <w:b/>
          <w:bCs/>
          <w:rtl/>
        </w:rPr>
        <w:fldChar w:fldCharType="end"/>
      </w:r>
      <w:r>
        <w:rPr>
          <w:b/>
          <w:bCs/>
          <w:rtl/>
        </w:rPr>
        <w:t xml:space="preserve"> </w:t>
      </w:r>
      <w:r w:rsidRPr="00893FDE">
        <w:rPr>
          <w:rFonts w:hint="cs"/>
          <w:rtl/>
        </w:rPr>
        <w:t xml:space="preserve">תוס' בביצה </w:t>
      </w:r>
      <w:r w:rsidRPr="00893FDE">
        <w:rPr>
          <w:rStyle w:val="afffffffff3"/>
          <w:rtl/>
        </w:rPr>
        <w:t>(</w:t>
      </w:r>
      <w:r w:rsidRPr="00893FDE">
        <w:rPr>
          <w:rStyle w:val="afffffffff3"/>
          <w:rFonts w:hint="cs"/>
          <w:rtl/>
        </w:rPr>
        <w:t>יא: ד"ה מהו</w:t>
      </w:r>
      <w:r w:rsidRPr="00893FDE">
        <w:rPr>
          <w:rStyle w:val="afffffffff3"/>
          <w:rtl/>
        </w:rPr>
        <w:t>)</w:t>
      </w:r>
      <w:r>
        <w:rPr>
          <w:rtl/>
        </w:rPr>
        <w:t>.</w:t>
      </w:r>
    </w:p>
    <w:p w14:paraId="6DD35F4E" w14:textId="77777777" w:rsidR="000F6808" w:rsidRDefault="000F6808" w:rsidP="000F6808">
      <w:pPr>
        <w:pStyle w:val="TOC2"/>
        <w:rPr>
          <w:rFonts w:cstheme="minorBidi"/>
          <w:b w:val="0"/>
          <w:bCs w:val="0"/>
          <w:sz w:val="22"/>
          <w:szCs w:val="22"/>
          <w:rtl/>
        </w:rPr>
      </w:pPr>
      <w:hyperlink w:anchor="_Toc145487076" w:history="1">
        <w:r w:rsidRPr="005E0C1D">
          <w:rPr>
            <w:rStyle w:val="Hyperlink"/>
            <w:rtl/>
          </w:rPr>
          <w:t>פלוגתת הראשונים אי תוקע הוי בונה או גמר מלאכה דמכב"פ</w:t>
        </w:r>
      </w:hyperlink>
    </w:p>
    <w:p w14:paraId="60FC2633"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077" w:history="1">
        <w:r w:rsidRPr="005E0C1D">
          <w:rPr>
            <w:rStyle w:val="Hyperlink"/>
            <w:rtl/>
          </w:rPr>
          <w:t>בי' הרמב"ם דתוקע חייב משום בונה</w:t>
        </w:r>
      </w:hyperlink>
    </w:p>
    <w:p w14:paraId="44525DE6"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078" w:history="1">
        <w:r w:rsidRPr="005E0C1D">
          <w:rPr>
            <w:rStyle w:val="Hyperlink"/>
            <w:rtl/>
          </w:rPr>
          <w:t>בי' רש"י דהמחזיר מטה תחילת וגמר המלאכה ועושה כלי וחייב במכה בפטיש דאין בנין בכלים</w:t>
        </w:r>
      </w:hyperlink>
    </w:p>
    <w:p w14:paraId="26E9258F"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079" w:history="1">
        <w:r w:rsidRPr="005E0C1D">
          <w:rPr>
            <w:rStyle w:val="Hyperlink"/>
            <w:rtl/>
          </w:rPr>
          <w:t>בי' רש"י דאין בנין בכלים במטה של טרסיים וחביתא ודלתות כלים ובונה כלי חייב במכב"פ</w:t>
        </w:r>
      </w:hyperlink>
    </w:p>
    <w:p w14:paraId="5952B318"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080" w:history="1">
        <w:r w:rsidRPr="005E0C1D">
          <w:rPr>
            <w:rStyle w:val="Hyperlink"/>
            <w:rtl/>
          </w:rPr>
          <w:t>בי' רש"י דבדלתות הכלים אסור להחזיר שמא יתקע ביתדות דהוא גמר מלאכה וחייב במכב"פ</w:t>
        </w:r>
      </w:hyperlink>
    </w:p>
    <w:p w14:paraId="54AD78E2"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081" w:history="1">
        <w:r w:rsidRPr="005E0C1D">
          <w:rPr>
            <w:rStyle w:val="Hyperlink"/>
            <w:rtl/>
          </w:rPr>
          <w:t>בי' רש"י דהא דאסר ת"ק לתקוע דבתקע חייב היינו בתקיעה בחוזק ע"י יתדות</w:t>
        </w:r>
      </w:hyperlink>
    </w:p>
    <w:p w14:paraId="1E0355CA"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082" w:history="1">
        <w:r w:rsidRPr="005E0C1D">
          <w:rPr>
            <w:rStyle w:val="Hyperlink"/>
            <w:rtl/>
          </w:rPr>
          <w:t>דחיית הרמב"ן לרש"י דהתוקע בדלתות אינו חייב משום מכב"פ כרש"י אלא הוי בונה אף בכלים</w:t>
        </w:r>
      </w:hyperlink>
    </w:p>
    <w:p w14:paraId="00FED824"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083" w:history="1">
        <w:r w:rsidRPr="005E0C1D">
          <w:rPr>
            <w:rStyle w:val="Hyperlink"/>
            <w:rtl/>
          </w:rPr>
          <w:t>בי' הרמב"ן במלחמות בדעת הרי"ף דתוקע חייב במכה בפטיש דהוא הגמר מלאכה</w:t>
        </w:r>
      </w:hyperlink>
    </w:p>
    <w:p w14:paraId="4BB68191"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084" w:history="1">
        <w:r w:rsidRPr="005E0C1D">
          <w:rPr>
            <w:rStyle w:val="Hyperlink"/>
            <w:rtl/>
          </w:rPr>
          <w:t>בי' הרא"ש לקמן והתורא"ש בעירובין והרשב"א והר"ן והאו"ז דתוקע חייב משום מכב"פ</w:t>
        </w:r>
      </w:hyperlink>
    </w:p>
    <w:p w14:paraId="33958320"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085" w:history="1">
        <w:r w:rsidRPr="005E0C1D">
          <w:rPr>
            <w:rStyle w:val="Hyperlink"/>
            <w:rtl/>
          </w:rPr>
          <w:t>בי' המיוחס לר"ן דבמטה של טרסיים גזרו שמא יתקע דחייב משום מכב"פ אף דאין בנין בכלים</w:t>
        </w:r>
      </w:hyperlink>
    </w:p>
    <w:p w14:paraId="09D433B3"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086" w:history="1">
        <w:r w:rsidRPr="005E0C1D">
          <w:rPr>
            <w:rStyle w:val="Hyperlink"/>
            <w:rtl/>
          </w:rPr>
          <w:t>בי' הגר"א ברש"י דקיי"ל כרבא דאין בנין בכלים ולכן החיוב במנורה ומטה ודלתות הוא מכב"פ</w:t>
        </w:r>
      </w:hyperlink>
    </w:p>
    <w:p w14:paraId="2CD02209"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087" w:history="1">
        <w:r w:rsidRPr="005E0C1D">
          <w:rPr>
            <w:rStyle w:val="Hyperlink"/>
            <w:rtl/>
          </w:rPr>
          <w:t>בי' התוס' בביצה דבמהדק ומפרק פטור עושה כלי חייב במכב"פ או בונה ומהדק אסור שמא יתקע</w:t>
        </w:r>
      </w:hyperlink>
    </w:p>
    <w:p w14:paraId="47B67C1A" w14:textId="77777777" w:rsidR="000F6808" w:rsidRDefault="000F6808" w:rsidP="000F6808">
      <w:pPr>
        <w:pStyle w:val="TOC1"/>
        <w:rPr>
          <w:rFonts w:asciiTheme="minorHAnsi" w:hAnsiTheme="minorHAnsi" w:cstheme="minorBidi"/>
          <w:b w:val="0"/>
          <w:bCs w:val="0"/>
          <w:caps w:val="0"/>
          <w:sz w:val="22"/>
          <w:szCs w:val="22"/>
          <w:rtl/>
        </w:rPr>
      </w:pPr>
      <w:hyperlink w:anchor="_Toc145487088" w:history="1">
        <w:r w:rsidRPr="005E0C1D">
          <w:rPr>
            <w:rStyle w:val="Hyperlink"/>
            <w:rtl/>
          </w:rPr>
          <w:t>~~~~~~~~~~~~~~~~~~~~~~~~~~~~</w:t>
        </w:r>
      </w:hyperlink>
    </w:p>
    <w:p w14:paraId="3EC3BA33" w14:textId="77777777" w:rsidR="000F6808" w:rsidRDefault="000F6808" w:rsidP="000F6808">
      <w:pPr>
        <w:pStyle w:val="TOC1"/>
        <w:rPr>
          <w:rFonts w:asciiTheme="minorHAnsi" w:hAnsiTheme="minorHAnsi" w:cstheme="minorBidi"/>
          <w:b w:val="0"/>
          <w:bCs w:val="0"/>
          <w:caps w:val="0"/>
          <w:sz w:val="22"/>
          <w:szCs w:val="22"/>
          <w:rtl/>
        </w:rPr>
      </w:pPr>
      <w:hyperlink w:anchor="_Toc145487089" w:history="1">
        <w:r w:rsidRPr="005E0C1D">
          <w:rPr>
            <w:rStyle w:val="Hyperlink"/>
            <w:rtl/>
          </w:rPr>
          <w:t>בבי' פלוגתת ת"ק ורשב"ג במהדק וברפוי</w:t>
        </w:r>
      </w:hyperlink>
    </w:p>
    <w:p w14:paraId="75CB1EAD" w14:textId="533F9A28" w:rsidR="000F6808" w:rsidRDefault="000F6808" w:rsidP="000F6808">
      <w:pPr>
        <w:pStyle w:val="afffffffff0"/>
        <w:rPr>
          <w:rtl/>
        </w:rPr>
      </w:pPr>
      <w:r w:rsidRPr="00893FDE">
        <w:rPr>
          <w:b/>
          <w:bCs/>
          <w:rtl/>
        </w:rPr>
        <w:fldChar w:fldCharType="begin"/>
      </w:r>
      <w:r w:rsidRPr="00893FDE">
        <w:rPr>
          <w:b/>
          <w:bCs/>
          <w:rtl/>
        </w:rPr>
        <w:instrText xml:space="preserve"> </w:instrText>
      </w:r>
      <w:r w:rsidRPr="00893FDE">
        <w:rPr>
          <w:b/>
          <w:bCs/>
        </w:rPr>
        <w:instrText>REF</w:instrText>
      </w:r>
      <w:r w:rsidRPr="00893FDE">
        <w:rPr>
          <w:b/>
          <w:bCs/>
          <w:rtl/>
        </w:rPr>
        <w:instrText xml:space="preserve"> _</w:instrText>
      </w:r>
      <w:r w:rsidRPr="00893FDE">
        <w:rPr>
          <w:b/>
          <w:bCs/>
        </w:rPr>
        <w:instrText>Ref144375019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קכ)</w:t>
      </w:r>
      <w:r w:rsidRPr="00893FDE">
        <w:rPr>
          <w:b/>
          <w:bCs/>
          <w:rtl/>
        </w:rPr>
        <w:fldChar w:fldCharType="end"/>
      </w:r>
      <w:r w:rsidRPr="00893FDE">
        <w:rPr>
          <w:b/>
          <w:bCs/>
          <w:rtl/>
        </w:rPr>
        <w:t xml:space="preserve"> </w:t>
      </w:r>
      <w:r w:rsidRPr="00893FDE">
        <w:rPr>
          <w:rFonts w:hint="cs"/>
          <w:rtl/>
        </w:rPr>
        <w:t>תוס' לעיל</w:t>
      </w:r>
      <w:r w:rsidRPr="00893FDE">
        <w:rPr>
          <w:rtl/>
        </w:rPr>
        <w:t xml:space="preserve"> </w:t>
      </w:r>
      <w:r w:rsidRPr="00893FDE">
        <w:rPr>
          <w:rStyle w:val="afffffffff3"/>
          <w:rtl/>
        </w:rPr>
        <w:t>(</w:t>
      </w:r>
      <w:r w:rsidRPr="00893FDE">
        <w:rPr>
          <w:rStyle w:val="afffffffff3"/>
          <w:rFonts w:hint="cs"/>
          <w:rtl/>
        </w:rPr>
        <w:t>מז: ד"ה רשב"ג</w:t>
      </w:r>
      <w:r w:rsidRPr="00893FDE">
        <w:rPr>
          <w:rStyle w:val="afffffffff3"/>
          <w:rtl/>
        </w:rPr>
        <w:t>)</w:t>
      </w:r>
      <w:r>
        <w:rPr>
          <w:rtl/>
        </w:rPr>
        <w:t>,</w:t>
      </w:r>
      <w:r w:rsidRPr="00893FDE">
        <w:rPr>
          <w:rFonts w:hint="cs"/>
          <w:b/>
          <w:bCs/>
          <w:rtl/>
        </w:rPr>
        <w:t xml:space="preserve"> </w:t>
      </w:r>
      <w:r w:rsidRPr="00893FDE">
        <w:rPr>
          <w:b/>
          <w:bCs/>
          <w:rtl/>
        </w:rPr>
        <w:fldChar w:fldCharType="begin"/>
      </w:r>
      <w:r w:rsidRPr="00893FDE">
        <w:rPr>
          <w:b/>
          <w:bCs/>
          <w:rtl/>
        </w:rPr>
        <w:instrText xml:space="preserve"> </w:instrText>
      </w:r>
      <w:r w:rsidRPr="00893FDE">
        <w:rPr>
          <w:rFonts w:hint="cs"/>
          <w:b/>
          <w:bCs/>
        </w:rPr>
        <w:instrText>REF</w:instrText>
      </w:r>
      <w:r w:rsidRPr="00893FDE">
        <w:rPr>
          <w:rFonts w:hint="cs"/>
          <w:b/>
          <w:bCs/>
          <w:rtl/>
        </w:rPr>
        <w:instrText xml:space="preserve"> _</w:instrText>
      </w:r>
      <w:r w:rsidRPr="00893FDE">
        <w:rPr>
          <w:rFonts w:hint="cs"/>
          <w:b/>
          <w:bCs/>
        </w:rPr>
        <w:instrText>Ref145454626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קכב)</w:t>
      </w:r>
      <w:r w:rsidRPr="00893FDE">
        <w:rPr>
          <w:b/>
          <w:bCs/>
          <w:rtl/>
        </w:rPr>
        <w:fldChar w:fldCharType="end"/>
      </w:r>
      <w:r w:rsidRPr="00893FDE">
        <w:rPr>
          <w:rFonts w:hint="cs"/>
          <w:b/>
          <w:bCs/>
          <w:rtl/>
        </w:rPr>
        <w:t xml:space="preserve"> </w:t>
      </w:r>
      <w:r w:rsidRPr="00893FDE">
        <w:rPr>
          <w:rFonts w:hint="cs"/>
          <w:rtl/>
        </w:rPr>
        <w:t xml:space="preserve">חזו"א </w:t>
      </w:r>
      <w:r w:rsidRPr="00893FDE">
        <w:rPr>
          <w:rStyle w:val="afffffffff3"/>
          <w:rFonts w:hint="cs"/>
          <w:rtl/>
        </w:rPr>
        <w:t xml:space="preserve">(עי' אות </w:t>
      </w:r>
      <w:r w:rsidRPr="00893FDE">
        <w:rPr>
          <w:rStyle w:val="afffffffff3"/>
          <w:rtl/>
        </w:rPr>
        <w:fldChar w:fldCharType="begin"/>
      </w:r>
      <w:r w:rsidRPr="00893FDE">
        <w:rPr>
          <w:rStyle w:val="afffffffff3"/>
          <w:rtl/>
        </w:rPr>
        <w:instrText xml:space="preserve"> </w:instrText>
      </w:r>
      <w:r w:rsidRPr="00893FDE">
        <w:rPr>
          <w:rStyle w:val="afffffffff3"/>
        </w:rPr>
        <w:instrText>REF</w:instrText>
      </w:r>
      <w:r w:rsidRPr="00893FDE">
        <w:rPr>
          <w:rStyle w:val="afffffffff3"/>
          <w:rtl/>
        </w:rPr>
        <w:instrText xml:space="preserve"> _</w:instrText>
      </w:r>
      <w:r w:rsidRPr="00893FDE">
        <w:rPr>
          <w:rStyle w:val="afffffffff3"/>
        </w:rPr>
        <w:instrText>Ref145319966 \r \h</w:instrText>
      </w:r>
      <w:r w:rsidRPr="00893FDE">
        <w:rPr>
          <w:rStyle w:val="afffffffff3"/>
          <w:rtl/>
        </w:rPr>
        <w:instrText xml:space="preserve">  \* </w:instrText>
      </w:r>
      <w:r w:rsidRPr="00893FDE">
        <w:rPr>
          <w:rStyle w:val="afffffffff3"/>
        </w:rPr>
        <w:instrText>MERGEFORMAT</w:instrText>
      </w:r>
      <w:r w:rsidRPr="00893FDE">
        <w:rPr>
          <w:rStyle w:val="afffffffff3"/>
          <w:rtl/>
        </w:rPr>
        <w:instrText xml:space="preserve"> </w:instrText>
      </w:r>
      <w:r w:rsidRPr="00893FDE">
        <w:rPr>
          <w:rStyle w:val="afffffffff3"/>
          <w:rtl/>
        </w:rPr>
      </w:r>
      <w:r w:rsidRPr="00893FDE">
        <w:rPr>
          <w:rStyle w:val="afffffffff3"/>
          <w:rtl/>
        </w:rPr>
        <w:fldChar w:fldCharType="separate"/>
      </w:r>
      <w:r w:rsidR="00D82181">
        <w:rPr>
          <w:rStyle w:val="afffffffff3"/>
          <w:cs/>
        </w:rPr>
        <w:t>‎</w:t>
      </w:r>
      <w:r w:rsidR="00D82181">
        <w:rPr>
          <w:rStyle w:val="afffffffff3"/>
          <w:rtl/>
        </w:rPr>
        <w:t>קנט)</w:t>
      </w:r>
      <w:r w:rsidRPr="00893FDE">
        <w:rPr>
          <w:rStyle w:val="afffffffff3"/>
          <w:rtl/>
        </w:rPr>
        <w:fldChar w:fldCharType="end"/>
      </w:r>
      <w:r>
        <w:rPr>
          <w:rtl/>
        </w:rPr>
        <w:t xml:space="preserve"> </w:t>
      </w:r>
      <w:r w:rsidRPr="00893FDE">
        <w:rPr>
          <w:rFonts w:hint="cs"/>
          <w:rtl/>
        </w:rPr>
        <w:t>תוס' וההג' אשר"י</w:t>
      </w:r>
      <w:r w:rsidRPr="00893FDE">
        <w:rPr>
          <w:rtl/>
        </w:rPr>
        <w:t xml:space="preserve"> </w:t>
      </w:r>
      <w:r w:rsidRPr="00893FDE">
        <w:rPr>
          <w:rStyle w:val="afffffffff3"/>
          <w:rFonts w:hint="cs"/>
          <w:rtl/>
        </w:rPr>
        <w:t xml:space="preserve">(עי' אות </w:t>
      </w:r>
      <w:r w:rsidRPr="00893FDE">
        <w:rPr>
          <w:rStyle w:val="afffffffff3"/>
          <w:rtl/>
        </w:rPr>
        <w:fldChar w:fldCharType="begin"/>
      </w:r>
      <w:r w:rsidRPr="00893FDE">
        <w:rPr>
          <w:rStyle w:val="afffffffff3"/>
          <w:rtl/>
        </w:rPr>
        <w:instrText xml:space="preserve"> </w:instrText>
      </w:r>
      <w:r w:rsidRPr="00893FDE">
        <w:rPr>
          <w:rStyle w:val="afffffffff3"/>
          <w:rFonts w:hint="cs"/>
        </w:rPr>
        <w:instrText>REF</w:instrText>
      </w:r>
      <w:r w:rsidRPr="00893FDE">
        <w:rPr>
          <w:rStyle w:val="afffffffff3"/>
          <w:rFonts w:hint="cs"/>
          <w:rtl/>
        </w:rPr>
        <w:instrText xml:space="preserve"> _</w:instrText>
      </w:r>
      <w:r w:rsidRPr="00893FDE">
        <w:rPr>
          <w:rStyle w:val="afffffffff3"/>
          <w:rFonts w:hint="cs"/>
        </w:rPr>
        <w:instrText>Ref145319901 \r \h</w:instrText>
      </w:r>
      <w:r w:rsidRPr="00893FDE">
        <w:rPr>
          <w:rStyle w:val="afffffffff3"/>
          <w:rtl/>
        </w:rPr>
        <w:instrText xml:space="preserve">  \* </w:instrText>
      </w:r>
      <w:r w:rsidRPr="00893FDE">
        <w:rPr>
          <w:rStyle w:val="afffffffff3"/>
        </w:rPr>
        <w:instrText>MERGEFORMAT</w:instrText>
      </w:r>
      <w:r w:rsidRPr="00893FDE">
        <w:rPr>
          <w:rStyle w:val="afffffffff3"/>
          <w:rtl/>
        </w:rPr>
        <w:instrText xml:space="preserve"> </w:instrText>
      </w:r>
      <w:r w:rsidRPr="00893FDE">
        <w:rPr>
          <w:rStyle w:val="afffffffff3"/>
          <w:rtl/>
        </w:rPr>
      </w:r>
      <w:r w:rsidRPr="00893FDE">
        <w:rPr>
          <w:rStyle w:val="afffffffff3"/>
          <w:rtl/>
        </w:rPr>
        <w:fldChar w:fldCharType="separate"/>
      </w:r>
      <w:r w:rsidR="00D82181">
        <w:rPr>
          <w:rStyle w:val="afffffffff3"/>
          <w:cs/>
        </w:rPr>
        <w:t>‎</w:t>
      </w:r>
      <w:r w:rsidR="00D82181">
        <w:rPr>
          <w:rStyle w:val="afffffffff3"/>
          <w:rtl/>
        </w:rPr>
        <w:t>קנד)</w:t>
      </w:r>
      <w:r w:rsidRPr="00893FDE">
        <w:rPr>
          <w:rStyle w:val="afffffffff3"/>
          <w:rtl/>
        </w:rPr>
        <w:fldChar w:fldCharType="end"/>
      </w:r>
      <w:r>
        <w:rPr>
          <w:rtl/>
        </w:rPr>
        <w:t>,</w:t>
      </w:r>
      <w:r w:rsidRPr="00893FDE">
        <w:rPr>
          <w:rFonts w:hint="cs"/>
          <w:b/>
          <w:bCs/>
          <w:rtl/>
        </w:rPr>
        <w:t xml:space="preserve"> </w:t>
      </w:r>
      <w:r w:rsidRPr="00893FDE">
        <w:rPr>
          <w:b/>
          <w:bCs/>
          <w:rtl/>
        </w:rPr>
        <w:fldChar w:fldCharType="begin"/>
      </w:r>
      <w:r w:rsidRPr="00893FDE">
        <w:rPr>
          <w:b/>
          <w:bCs/>
          <w:rtl/>
        </w:rPr>
        <w:instrText xml:space="preserve"> </w:instrText>
      </w:r>
      <w:r w:rsidRPr="00893FDE">
        <w:rPr>
          <w:rFonts w:hint="cs"/>
          <w:b/>
          <w:bCs/>
        </w:rPr>
        <w:instrText>REF</w:instrText>
      </w:r>
      <w:r w:rsidRPr="00893FDE">
        <w:rPr>
          <w:rFonts w:hint="cs"/>
          <w:b/>
          <w:bCs/>
          <w:rtl/>
        </w:rPr>
        <w:instrText xml:space="preserve"> _</w:instrText>
      </w:r>
      <w:r w:rsidRPr="00893FDE">
        <w:rPr>
          <w:rFonts w:hint="cs"/>
          <w:b/>
          <w:bCs/>
        </w:rPr>
        <w:instrText>Ref145407576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קכג)</w:t>
      </w:r>
      <w:r w:rsidRPr="00893FDE">
        <w:rPr>
          <w:b/>
          <w:bCs/>
          <w:rtl/>
        </w:rPr>
        <w:fldChar w:fldCharType="end"/>
      </w:r>
      <w:r w:rsidRPr="00893FDE">
        <w:rPr>
          <w:rFonts w:hint="cs"/>
          <w:b/>
          <w:bCs/>
          <w:rtl/>
        </w:rPr>
        <w:t xml:space="preserve"> </w:t>
      </w:r>
      <w:r w:rsidRPr="00893FDE">
        <w:rPr>
          <w:rFonts w:hint="cs"/>
          <w:rtl/>
        </w:rPr>
        <w:t xml:space="preserve">רמב"ן בסוגיין </w:t>
      </w:r>
      <w:r w:rsidRPr="00893FDE">
        <w:rPr>
          <w:rStyle w:val="afffffffff3"/>
          <w:rFonts w:hint="cs"/>
          <w:rtl/>
        </w:rPr>
        <w:t>(ד"ה ומשמע)</w:t>
      </w:r>
      <w:r>
        <w:rPr>
          <w:rtl/>
        </w:rPr>
        <w:t>,</w:t>
      </w:r>
      <w:r w:rsidRPr="00893FDE">
        <w:rPr>
          <w:rFonts w:hint="cs"/>
          <w:b/>
          <w:bCs/>
          <w:rtl/>
        </w:rPr>
        <w:t xml:space="preserve"> </w:t>
      </w:r>
      <w:r w:rsidRPr="00893FDE">
        <w:rPr>
          <w:b/>
          <w:bCs/>
          <w:rtl/>
        </w:rPr>
        <w:fldChar w:fldCharType="begin"/>
      </w:r>
      <w:r w:rsidRPr="00893FDE">
        <w:rPr>
          <w:b/>
          <w:bCs/>
          <w:rtl/>
        </w:rPr>
        <w:instrText xml:space="preserve"> </w:instrText>
      </w:r>
      <w:r w:rsidRPr="00893FDE">
        <w:rPr>
          <w:rFonts w:hint="cs"/>
          <w:b/>
          <w:bCs/>
        </w:rPr>
        <w:instrText>REF</w:instrText>
      </w:r>
      <w:r w:rsidRPr="00893FDE">
        <w:rPr>
          <w:rFonts w:hint="cs"/>
          <w:b/>
          <w:bCs/>
          <w:rtl/>
        </w:rPr>
        <w:instrText xml:space="preserve"> _</w:instrText>
      </w:r>
      <w:r w:rsidRPr="00893FDE">
        <w:rPr>
          <w:rFonts w:hint="cs"/>
          <w:b/>
          <w:bCs/>
        </w:rPr>
        <w:instrText>Ref144634411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יד)</w:t>
      </w:r>
      <w:r w:rsidRPr="00893FDE">
        <w:rPr>
          <w:b/>
          <w:bCs/>
          <w:rtl/>
        </w:rPr>
        <w:fldChar w:fldCharType="end"/>
      </w:r>
      <w:r w:rsidRPr="00893FDE">
        <w:rPr>
          <w:rFonts w:hint="cs"/>
          <w:b/>
          <w:bCs/>
          <w:rtl/>
        </w:rPr>
        <w:t xml:space="preserve"> </w:t>
      </w:r>
      <w:r w:rsidRPr="00893FDE">
        <w:rPr>
          <w:rFonts w:hint="cs"/>
          <w:rtl/>
        </w:rPr>
        <w:t xml:space="preserve">רמב"ן במלחמות </w:t>
      </w:r>
      <w:r w:rsidRPr="00893FDE">
        <w:rPr>
          <w:rStyle w:val="afffffffff3"/>
          <w:rFonts w:hint="cs"/>
          <w:rtl/>
        </w:rPr>
        <w:t>(ל"ז. מדה"ר ד"ה אמר הכותב אעפ"י, מהדו' עוז והדר עמ' ק"ד)</w:t>
      </w:r>
      <w:r>
        <w:rPr>
          <w:rtl/>
        </w:rPr>
        <w:t>,</w:t>
      </w:r>
      <w:r w:rsidRPr="00893FDE">
        <w:rPr>
          <w:b/>
          <w:bCs/>
          <w:rtl/>
        </w:rPr>
        <w:t xml:space="preserve"> </w:t>
      </w:r>
      <w:r w:rsidRPr="00893FDE">
        <w:rPr>
          <w:b/>
          <w:bCs/>
          <w:rtl/>
        </w:rPr>
        <w:fldChar w:fldCharType="begin"/>
      </w:r>
      <w:r w:rsidRPr="00893FDE">
        <w:rPr>
          <w:b/>
          <w:bCs/>
          <w:rtl/>
        </w:rPr>
        <w:instrText xml:space="preserve"> </w:instrText>
      </w:r>
      <w:r w:rsidRPr="00893FDE">
        <w:rPr>
          <w:b/>
          <w:bCs/>
        </w:rPr>
        <w:instrText>REF</w:instrText>
      </w:r>
      <w:r w:rsidRPr="00893FDE">
        <w:rPr>
          <w:b/>
          <w:bCs/>
          <w:rtl/>
        </w:rPr>
        <w:instrText xml:space="preserve"> _</w:instrText>
      </w:r>
      <w:r w:rsidRPr="00893FDE">
        <w:rPr>
          <w:b/>
          <w:bCs/>
        </w:rPr>
        <w:instrText>Ref145362063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קכז)</w:t>
      </w:r>
      <w:r w:rsidRPr="00893FDE">
        <w:rPr>
          <w:b/>
          <w:bCs/>
          <w:rtl/>
        </w:rPr>
        <w:fldChar w:fldCharType="end"/>
      </w:r>
      <w:r w:rsidRPr="00893FDE">
        <w:rPr>
          <w:b/>
          <w:bCs/>
          <w:rtl/>
        </w:rPr>
        <w:t xml:space="preserve"> </w:t>
      </w:r>
      <w:r w:rsidRPr="00893FDE">
        <w:rPr>
          <w:rFonts w:hint="cs"/>
          <w:rtl/>
        </w:rPr>
        <w:t>רשב"א בעבודת הקודש</w:t>
      </w:r>
      <w:r w:rsidRPr="00893FDE">
        <w:rPr>
          <w:rtl/>
        </w:rPr>
        <w:t xml:space="preserve"> </w:t>
      </w:r>
      <w:r w:rsidRPr="00893FDE">
        <w:rPr>
          <w:rStyle w:val="afffffffff3"/>
          <w:rtl/>
        </w:rPr>
        <w:t>(</w:t>
      </w:r>
      <w:r w:rsidRPr="00893FDE">
        <w:rPr>
          <w:rStyle w:val="afffffffff3"/>
          <w:rFonts w:hint="cs"/>
          <w:rtl/>
        </w:rPr>
        <w:t>בית מועד שער ג' סי' ג', הועתק בקובץ שיטות קמאי ביצה עמ' תרנ"ט</w:t>
      </w:r>
      <w:r w:rsidRPr="00893FDE">
        <w:rPr>
          <w:rStyle w:val="afffffffff3"/>
          <w:rtl/>
        </w:rPr>
        <w:t>)</w:t>
      </w:r>
      <w:r>
        <w:rPr>
          <w:rtl/>
        </w:rPr>
        <w:t>,</w:t>
      </w:r>
      <w:r w:rsidRPr="00893FDE">
        <w:rPr>
          <w:b/>
          <w:bCs/>
          <w:rtl/>
        </w:rPr>
        <w:t xml:space="preserve"> </w:t>
      </w:r>
      <w:r w:rsidRPr="00893FDE">
        <w:rPr>
          <w:b/>
          <w:bCs/>
          <w:rtl/>
        </w:rPr>
        <w:fldChar w:fldCharType="begin"/>
      </w:r>
      <w:r w:rsidRPr="00893FDE">
        <w:rPr>
          <w:b/>
          <w:bCs/>
          <w:rtl/>
        </w:rPr>
        <w:instrText xml:space="preserve"> </w:instrText>
      </w:r>
      <w:r w:rsidRPr="00893FDE">
        <w:rPr>
          <w:b/>
          <w:bCs/>
        </w:rPr>
        <w:instrText>REF</w:instrText>
      </w:r>
      <w:r w:rsidRPr="00893FDE">
        <w:rPr>
          <w:b/>
          <w:bCs/>
          <w:rtl/>
        </w:rPr>
        <w:instrText xml:space="preserve"> _</w:instrText>
      </w:r>
      <w:r w:rsidRPr="00893FDE">
        <w:rPr>
          <w:b/>
          <w:bCs/>
        </w:rPr>
        <w:instrText>Ref144805308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קכט)</w:t>
      </w:r>
      <w:r w:rsidRPr="00893FDE">
        <w:rPr>
          <w:b/>
          <w:bCs/>
          <w:rtl/>
        </w:rPr>
        <w:fldChar w:fldCharType="end"/>
      </w:r>
      <w:r w:rsidRPr="00893FDE">
        <w:rPr>
          <w:b/>
          <w:bCs/>
          <w:rtl/>
        </w:rPr>
        <w:t xml:space="preserve"> </w:t>
      </w:r>
      <w:r w:rsidRPr="00893FDE">
        <w:rPr>
          <w:rFonts w:hint="cs"/>
          <w:rtl/>
        </w:rPr>
        <w:t>רשב"א בעבודת הקודש</w:t>
      </w:r>
      <w:r w:rsidRPr="00893FDE">
        <w:rPr>
          <w:rtl/>
        </w:rPr>
        <w:t xml:space="preserve"> </w:t>
      </w:r>
      <w:r w:rsidRPr="00893FDE">
        <w:rPr>
          <w:rStyle w:val="afffffffff3"/>
          <w:rtl/>
        </w:rPr>
        <w:t>(בית מועד שער א</w:t>
      </w:r>
      <w:r w:rsidRPr="00893FDE">
        <w:rPr>
          <w:rStyle w:val="afffffffff3"/>
          <w:rFonts w:hint="cs"/>
          <w:rtl/>
        </w:rPr>
        <w:t>'</w:t>
      </w:r>
      <w:r w:rsidRPr="00893FDE">
        <w:rPr>
          <w:rStyle w:val="afffffffff3"/>
          <w:rtl/>
        </w:rPr>
        <w:t xml:space="preserve"> סי</w:t>
      </w:r>
      <w:r w:rsidRPr="00893FDE">
        <w:rPr>
          <w:rStyle w:val="afffffffff3"/>
          <w:rFonts w:hint="cs"/>
          <w:rtl/>
        </w:rPr>
        <w:t>'</w:t>
      </w:r>
      <w:r w:rsidRPr="00893FDE">
        <w:rPr>
          <w:rStyle w:val="afffffffff3"/>
          <w:rtl/>
        </w:rPr>
        <w:t xml:space="preserve"> י</w:t>
      </w:r>
      <w:r w:rsidRPr="00893FDE">
        <w:rPr>
          <w:rStyle w:val="afffffffff3"/>
          <w:rFonts w:hint="cs"/>
          <w:rtl/>
        </w:rPr>
        <w:t>"</w:t>
      </w:r>
      <w:r w:rsidRPr="00893FDE">
        <w:rPr>
          <w:rStyle w:val="afffffffff3"/>
          <w:rtl/>
        </w:rPr>
        <w:t>ב</w:t>
      </w:r>
      <w:r w:rsidRPr="00893FDE">
        <w:rPr>
          <w:rStyle w:val="afffffffff3"/>
          <w:rFonts w:hint="cs"/>
          <w:rtl/>
        </w:rPr>
        <w:t>, הועתק בקובץ שיטות קמאי שבת ח"ב עמ' תשנ"ו</w:t>
      </w:r>
      <w:r w:rsidRPr="00893FDE">
        <w:rPr>
          <w:rStyle w:val="afffffffff3"/>
          <w:rtl/>
        </w:rPr>
        <w:t>)</w:t>
      </w:r>
      <w:r>
        <w:rPr>
          <w:rtl/>
        </w:rPr>
        <w:t>,</w:t>
      </w:r>
      <w:r w:rsidRPr="00893FDE">
        <w:rPr>
          <w:rFonts w:hint="cs"/>
          <w:b/>
          <w:bCs/>
          <w:rtl/>
        </w:rPr>
        <w:t xml:space="preserve"> </w:t>
      </w:r>
      <w:r w:rsidRPr="00893FDE">
        <w:rPr>
          <w:b/>
          <w:bCs/>
          <w:rtl/>
        </w:rPr>
        <w:fldChar w:fldCharType="begin"/>
      </w:r>
      <w:r w:rsidRPr="00893FDE">
        <w:rPr>
          <w:b/>
          <w:bCs/>
          <w:rtl/>
        </w:rPr>
        <w:instrText xml:space="preserve"> </w:instrText>
      </w:r>
      <w:r w:rsidRPr="00893FDE">
        <w:rPr>
          <w:rFonts w:hint="cs"/>
          <w:b/>
          <w:bCs/>
        </w:rPr>
        <w:instrText>REF</w:instrText>
      </w:r>
      <w:r w:rsidRPr="00893FDE">
        <w:rPr>
          <w:rFonts w:hint="cs"/>
          <w:b/>
          <w:bCs/>
          <w:rtl/>
        </w:rPr>
        <w:instrText xml:space="preserve"> _</w:instrText>
      </w:r>
      <w:r w:rsidRPr="00893FDE">
        <w:rPr>
          <w:rFonts w:hint="cs"/>
          <w:b/>
          <w:bCs/>
        </w:rPr>
        <w:instrText>Ref145435469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קלא)</w:t>
      </w:r>
      <w:r w:rsidRPr="00893FDE">
        <w:rPr>
          <w:b/>
          <w:bCs/>
          <w:rtl/>
        </w:rPr>
        <w:fldChar w:fldCharType="end"/>
      </w:r>
      <w:r w:rsidRPr="00893FDE">
        <w:rPr>
          <w:rFonts w:hint="cs"/>
          <w:b/>
          <w:bCs/>
          <w:rtl/>
        </w:rPr>
        <w:t xml:space="preserve"> </w:t>
      </w:r>
      <w:r w:rsidRPr="00893FDE">
        <w:rPr>
          <w:rFonts w:hint="cs"/>
          <w:rtl/>
        </w:rPr>
        <w:t>אור זרוע</w:t>
      </w:r>
      <w:r w:rsidRPr="00893FDE">
        <w:rPr>
          <w:rtl/>
        </w:rPr>
        <w:t xml:space="preserve"> </w:t>
      </w:r>
      <w:r w:rsidRPr="00893FDE">
        <w:rPr>
          <w:rStyle w:val="afffffffff3"/>
          <w:rtl/>
        </w:rPr>
        <w:t>(</w:t>
      </w:r>
      <w:r w:rsidRPr="00893FDE">
        <w:rPr>
          <w:rStyle w:val="afffffffff3"/>
          <w:rFonts w:hint="cs"/>
          <w:rtl/>
        </w:rPr>
        <w:t>שבת סי' ע"ח</w:t>
      </w:r>
      <w:r w:rsidRPr="00893FDE">
        <w:rPr>
          <w:rStyle w:val="afffffffff3"/>
          <w:rtl/>
        </w:rPr>
        <w:t>)</w:t>
      </w:r>
      <w:r>
        <w:rPr>
          <w:rtl/>
        </w:rPr>
        <w:t>,</w:t>
      </w:r>
      <w:r w:rsidRPr="00893FDE">
        <w:rPr>
          <w:b/>
          <w:bCs/>
          <w:rtl/>
        </w:rPr>
        <w:t xml:space="preserve"> </w:t>
      </w:r>
      <w:r w:rsidRPr="00893FDE">
        <w:rPr>
          <w:b/>
          <w:bCs/>
          <w:rtl/>
        </w:rPr>
        <w:fldChar w:fldCharType="begin"/>
      </w:r>
      <w:r w:rsidRPr="00893FDE">
        <w:rPr>
          <w:b/>
          <w:bCs/>
          <w:rtl/>
        </w:rPr>
        <w:instrText xml:space="preserve"> </w:instrText>
      </w:r>
      <w:r w:rsidRPr="00893FDE">
        <w:rPr>
          <w:b/>
          <w:bCs/>
        </w:rPr>
        <w:instrText>REF</w:instrText>
      </w:r>
      <w:r w:rsidRPr="00893FDE">
        <w:rPr>
          <w:b/>
          <w:bCs/>
          <w:rtl/>
        </w:rPr>
        <w:instrText xml:space="preserve"> _</w:instrText>
      </w:r>
      <w:r w:rsidRPr="00893FDE">
        <w:rPr>
          <w:b/>
          <w:bCs/>
        </w:rPr>
        <w:instrText>Ref144634502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קלב)</w:t>
      </w:r>
      <w:r w:rsidRPr="00893FDE">
        <w:rPr>
          <w:b/>
          <w:bCs/>
          <w:rtl/>
        </w:rPr>
        <w:fldChar w:fldCharType="end"/>
      </w:r>
      <w:r w:rsidRPr="00893FDE">
        <w:rPr>
          <w:b/>
          <w:bCs/>
          <w:rtl/>
        </w:rPr>
        <w:t xml:space="preserve"> </w:t>
      </w:r>
      <w:r w:rsidRPr="00893FDE">
        <w:rPr>
          <w:rFonts w:hint="cs"/>
          <w:rtl/>
        </w:rPr>
        <w:t>מאירי לעיל</w:t>
      </w:r>
      <w:r w:rsidRPr="00893FDE">
        <w:rPr>
          <w:rtl/>
        </w:rPr>
        <w:t xml:space="preserve"> </w:t>
      </w:r>
      <w:r w:rsidRPr="00893FDE">
        <w:rPr>
          <w:rStyle w:val="afffffffff3"/>
          <w:rtl/>
        </w:rPr>
        <w:t>(</w:t>
      </w:r>
      <w:r w:rsidRPr="00893FDE">
        <w:rPr>
          <w:rStyle w:val="afffffffff3"/>
          <w:rFonts w:hint="cs"/>
          <w:rtl/>
        </w:rPr>
        <w:t>מז. ד"ה מטה</w:t>
      </w:r>
      <w:r w:rsidRPr="00893FDE">
        <w:rPr>
          <w:rStyle w:val="afffffffff3"/>
          <w:rtl/>
        </w:rPr>
        <w:t>)</w:t>
      </w:r>
      <w:r>
        <w:rPr>
          <w:rtl/>
        </w:rPr>
        <w:t>,</w:t>
      </w:r>
      <w:r w:rsidRPr="00893FDE">
        <w:rPr>
          <w:b/>
          <w:bCs/>
          <w:rtl/>
        </w:rPr>
        <w:t xml:space="preserve"> </w:t>
      </w:r>
      <w:r w:rsidRPr="00893FDE">
        <w:rPr>
          <w:b/>
          <w:bCs/>
          <w:rtl/>
        </w:rPr>
        <w:fldChar w:fldCharType="begin"/>
      </w:r>
      <w:r w:rsidRPr="00893FDE">
        <w:rPr>
          <w:b/>
          <w:bCs/>
          <w:rtl/>
        </w:rPr>
        <w:instrText xml:space="preserve"> </w:instrText>
      </w:r>
      <w:r w:rsidRPr="00893FDE">
        <w:rPr>
          <w:b/>
          <w:bCs/>
        </w:rPr>
        <w:instrText>REF</w:instrText>
      </w:r>
      <w:r w:rsidRPr="00893FDE">
        <w:rPr>
          <w:b/>
          <w:bCs/>
          <w:rtl/>
        </w:rPr>
        <w:instrText xml:space="preserve"> _</w:instrText>
      </w:r>
      <w:r w:rsidRPr="00893FDE">
        <w:rPr>
          <w:b/>
          <w:bCs/>
        </w:rPr>
        <w:instrText>Ref145275562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קלג)</w:t>
      </w:r>
      <w:r w:rsidRPr="00893FDE">
        <w:rPr>
          <w:b/>
          <w:bCs/>
          <w:rtl/>
        </w:rPr>
        <w:fldChar w:fldCharType="end"/>
      </w:r>
      <w:r w:rsidRPr="00893FDE">
        <w:rPr>
          <w:b/>
          <w:bCs/>
          <w:rtl/>
        </w:rPr>
        <w:t xml:space="preserve"> </w:t>
      </w:r>
      <w:r w:rsidRPr="00893FDE">
        <w:rPr>
          <w:rFonts w:hint="cs"/>
          <w:rtl/>
        </w:rPr>
        <w:t>מאירי לקמן</w:t>
      </w:r>
      <w:r w:rsidRPr="00893FDE">
        <w:rPr>
          <w:rtl/>
        </w:rPr>
        <w:t xml:space="preserve"> </w:t>
      </w:r>
      <w:r w:rsidRPr="00893FDE">
        <w:rPr>
          <w:rStyle w:val="afffffffff3"/>
          <w:rtl/>
        </w:rPr>
        <w:t>(</w:t>
      </w:r>
      <w:r w:rsidRPr="00893FDE">
        <w:rPr>
          <w:rStyle w:val="afffffffff3"/>
          <w:rFonts w:hint="cs"/>
          <w:rtl/>
        </w:rPr>
        <w:t>קכב: ד"ה דלת</w:t>
      </w:r>
      <w:r w:rsidRPr="00893FDE">
        <w:rPr>
          <w:rStyle w:val="afffffffff3"/>
          <w:rtl/>
        </w:rPr>
        <w:t>)</w:t>
      </w:r>
      <w:r>
        <w:rPr>
          <w:rtl/>
        </w:rPr>
        <w:t>.</w:t>
      </w:r>
    </w:p>
    <w:p w14:paraId="0C64BF1F" w14:textId="77777777" w:rsidR="000F6808" w:rsidRDefault="000F6808" w:rsidP="000F6808">
      <w:pPr>
        <w:pStyle w:val="TOC2"/>
        <w:rPr>
          <w:rFonts w:cstheme="minorBidi"/>
          <w:b w:val="0"/>
          <w:bCs w:val="0"/>
          <w:sz w:val="22"/>
          <w:szCs w:val="22"/>
          <w:rtl/>
        </w:rPr>
      </w:pPr>
      <w:hyperlink w:anchor="_Toc145487090" w:history="1">
        <w:r w:rsidRPr="005E0C1D">
          <w:rPr>
            <w:rStyle w:val="Hyperlink"/>
            <w:rtl/>
          </w:rPr>
          <w:t>בי' תוס' דברפוי לכו"ע אין חיוב ובאינו רפוי חייב לרב ושמואל</w:t>
        </w:r>
      </w:hyperlink>
    </w:p>
    <w:p w14:paraId="1004CDE0"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091" w:history="1">
        <w:r w:rsidRPr="005E0C1D">
          <w:rPr>
            <w:rStyle w:val="Hyperlink"/>
            <w:rtl/>
          </w:rPr>
          <w:t>קו' התוס' דבמטה של טרסיים איירי ברפוי והאיך ת"ק מחייב ורשב"ג מתיר ועוד דאין בנין בכלים</w:t>
        </w:r>
      </w:hyperlink>
    </w:p>
    <w:p w14:paraId="235AB40A"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092" w:history="1">
        <w:r w:rsidRPr="005E0C1D">
          <w:rPr>
            <w:rStyle w:val="Hyperlink"/>
            <w:rtl/>
          </w:rPr>
          <w:t>בי' התוס' דברפוי לכו"ע אין חטאת ולרב ושמואל בלא רפוי חייב ומק' הגמ' דאמאי רפוי מותר</w:t>
        </w:r>
      </w:hyperlink>
    </w:p>
    <w:p w14:paraId="69B996CE"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093" w:history="1">
        <w:r w:rsidRPr="005E0C1D">
          <w:rPr>
            <w:rStyle w:val="Hyperlink"/>
            <w:rtl/>
          </w:rPr>
          <w:t>בי' החזו"א בתוס' ובהג' אשר"י דכל שלא תקע הוי רפוי אף מהדק ובדלתות גזרו דרגילות לתקוע</w:t>
        </w:r>
      </w:hyperlink>
    </w:p>
    <w:p w14:paraId="0FDB5F5D" w14:textId="77777777" w:rsidR="000F6808" w:rsidRDefault="000F6808" w:rsidP="000F6808">
      <w:pPr>
        <w:pStyle w:val="TOC2"/>
        <w:rPr>
          <w:rFonts w:cstheme="minorBidi"/>
          <w:b w:val="0"/>
          <w:bCs w:val="0"/>
          <w:sz w:val="22"/>
          <w:szCs w:val="22"/>
          <w:rtl/>
        </w:rPr>
      </w:pPr>
      <w:hyperlink w:anchor="_Toc145487094" w:history="1">
        <w:r w:rsidRPr="005E0C1D">
          <w:rPr>
            <w:rStyle w:val="Hyperlink"/>
            <w:rtl/>
          </w:rPr>
          <w:t>בי' הרמב"ן דתוקע חייב בבונה ובלא תקיעה אסור ונח' ברפוי</w:t>
        </w:r>
      </w:hyperlink>
    </w:p>
    <w:p w14:paraId="6DE6364B"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095" w:history="1">
        <w:r w:rsidRPr="005E0C1D">
          <w:rPr>
            <w:rStyle w:val="Hyperlink"/>
            <w:rtl/>
          </w:rPr>
          <w:t>בי' הרמב"ן דלת"ק ורשב"ג חיוב בונה בכלים הוא רק בתוקע ונח' ת"ק ורשב"ג אי גזרו ברפוי</w:t>
        </w:r>
      </w:hyperlink>
    </w:p>
    <w:p w14:paraId="33BDCE56"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096" w:history="1">
        <w:r w:rsidRPr="005E0C1D">
          <w:rPr>
            <w:rStyle w:val="Hyperlink"/>
            <w:rtl/>
          </w:rPr>
          <w:t>בי' הרמב"ן דמדלא פליג רשב"ג במחזיר ולא תקע מוכח דמודה דרק בתוקע חייב ולכן רפוי מותר</w:t>
        </w:r>
      </w:hyperlink>
    </w:p>
    <w:p w14:paraId="13A19316" w14:textId="77777777" w:rsidR="000F6808" w:rsidRDefault="000F6808" w:rsidP="000F6808">
      <w:pPr>
        <w:pStyle w:val="TOC2"/>
        <w:rPr>
          <w:rFonts w:cstheme="minorBidi"/>
          <w:b w:val="0"/>
          <w:bCs w:val="0"/>
          <w:sz w:val="22"/>
          <w:szCs w:val="22"/>
          <w:rtl/>
        </w:rPr>
      </w:pPr>
      <w:hyperlink w:anchor="_Toc145487097" w:history="1">
        <w:r w:rsidRPr="005E0C1D">
          <w:rPr>
            <w:rStyle w:val="Hyperlink"/>
            <w:rtl/>
          </w:rPr>
          <w:t>בי' הרמב"ן ברי"ף דתוקע חייב במכב"פ ובלא תוקע לכו"ע פטור</w:t>
        </w:r>
      </w:hyperlink>
    </w:p>
    <w:p w14:paraId="38945E4D"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098" w:history="1">
        <w:r w:rsidRPr="005E0C1D">
          <w:rPr>
            <w:rStyle w:val="Hyperlink"/>
            <w:rtl/>
          </w:rPr>
          <w:t>בי' הרמב"ן דתוקע חייב במכב"פ ובין לת"ק ובין לרשב"ג אין בנין בכלים ורשב"ג מתיר ברפוי</w:t>
        </w:r>
      </w:hyperlink>
    </w:p>
    <w:p w14:paraId="2EF2895D"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099" w:history="1">
        <w:r w:rsidRPr="005E0C1D">
          <w:rPr>
            <w:rStyle w:val="Hyperlink"/>
            <w:rtl/>
          </w:rPr>
          <w:t>בי' הרמב"ן ברי"ף דבדלתות הכלים אסרו אף לרשב"ג דדרכם בתקיעה וכן תריסי חנויות מן הצד</w:t>
        </w:r>
      </w:hyperlink>
    </w:p>
    <w:p w14:paraId="298C8303" w14:textId="77777777" w:rsidR="000F6808" w:rsidRDefault="000F6808" w:rsidP="000F6808">
      <w:pPr>
        <w:pStyle w:val="TOC2"/>
        <w:rPr>
          <w:rFonts w:cstheme="minorBidi"/>
          <w:b w:val="0"/>
          <w:bCs w:val="0"/>
          <w:sz w:val="22"/>
          <w:szCs w:val="22"/>
          <w:rtl/>
        </w:rPr>
      </w:pPr>
      <w:hyperlink w:anchor="_Toc145487100" w:history="1">
        <w:r w:rsidRPr="005E0C1D">
          <w:rPr>
            <w:rStyle w:val="Hyperlink"/>
            <w:rtl/>
          </w:rPr>
          <w:t>בי' הרשב"א בעבוה"ק דרפוי לגמרי מותר וגזרו ברפוי ואינו רפוי</w:t>
        </w:r>
      </w:hyperlink>
    </w:p>
    <w:p w14:paraId="0E8AD5D8"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01" w:history="1">
        <w:r w:rsidRPr="005E0C1D">
          <w:rPr>
            <w:rStyle w:val="Hyperlink"/>
            <w:rtl/>
          </w:rPr>
          <w:t>בי' הרשב"א בעבוה"ק דביו"ט מותר לזקוף מנורה אף רפויה ואינה רפויה ובשבת רק ברפוי לגמרי</w:t>
        </w:r>
      </w:hyperlink>
    </w:p>
    <w:p w14:paraId="7F3A8B71"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02" w:history="1">
        <w:r w:rsidRPr="005E0C1D">
          <w:rPr>
            <w:rStyle w:val="Hyperlink"/>
            <w:rtl/>
          </w:rPr>
          <w:t>בי' הרשב"א בעבוה"ק דבמנורה דדרכה לתקוע את החוליות אסור לזוקפה</w:t>
        </w:r>
      </w:hyperlink>
    </w:p>
    <w:p w14:paraId="0404754D"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03" w:history="1">
        <w:r w:rsidRPr="005E0C1D">
          <w:rPr>
            <w:rStyle w:val="Hyperlink"/>
            <w:rtl/>
          </w:rPr>
          <w:t>בי' הרשב"א דבתריסין בציר באמצע מחזיר כל צורכו ולא תוקע דהתוקע חייב משום מכה בפטיש</w:t>
        </w:r>
      </w:hyperlink>
    </w:p>
    <w:p w14:paraId="3A14B934"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04" w:history="1">
        <w:r w:rsidRPr="005E0C1D">
          <w:rPr>
            <w:rStyle w:val="Hyperlink"/>
            <w:rtl/>
          </w:rPr>
          <w:t>בי' הרשב"א דהאיסור בציר מן הצד ברפוי ואינו רפוי אבל רפוי לגמרי מותר בשבת כשאינו תוקע</w:t>
        </w:r>
      </w:hyperlink>
    </w:p>
    <w:p w14:paraId="4811DC80"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05" w:history="1">
        <w:r w:rsidRPr="005E0C1D">
          <w:rPr>
            <w:rStyle w:val="Hyperlink"/>
            <w:rtl/>
          </w:rPr>
          <w:t>בי' האו"ז דתוקע חייב במכב"פ ובשרגיל לתקוע גזרו שמא יתקע ובאין רגיל מתיר רשב"ג ברפוי</w:t>
        </w:r>
      </w:hyperlink>
    </w:p>
    <w:p w14:paraId="704507D1" w14:textId="77777777" w:rsidR="000F6808" w:rsidRDefault="000F6808" w:rsidP="000F6808">
      <w:pPr>
        <w:pStyle w:val="TOC2"/>
        <w:rPr>
          <w:rFonts w:cstheme="minorBidi"/>
          <w:b w:val="0"/>
          <w:bCs w:val="0"/>
          <w:sz w:val="22"/>
          <w:szCs w:val="22"/>
          <w:rtl/>
        </w:rPr>
      </w:pPr>
      <w:hyperlink w:anchor="_Toc145487106" w:history="1">
        <w:r w:rsidRPr="005E0C1D">
          <w:rPr>
            <w:rStyle w:val="Hyperlink"/>
            <w:rtl/>
          </w:rPr>
          <w:t>בי' המאירי דרפוי מותר והדוק אסור שמא יתקע וחייב במכב"פ</w:t>
        </w:r>
      </w:hyperlink>
    </w:p>
    <w:p w14:paraId="2349DDA8"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07" w:history="1">
        <w:r w:rsidRPr="005E0C1D">
          <w:rPr>
            <w:rStyle w:val="Hyperlink"/>
            <w:rtl/>
          </w:rPr>
          <w:t>בי' המאירי דאין בנין בכלים ורפוי מותר אך הידוק אסור אטו תוקע דחייב משום מכב"פ</w:t>
        </w:r>
      </w:hyperlink>
    </w:p>
    <w:p w14:paraId="63C92BE7"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08" w:history="1">
        <w:r w:rsidRPr="005E0C1D">
          <w:rPr>
            <w:rStyle w:val="Hyperlink"/>
            <w:rtl/>
          </w:rPr>
          <w:t>בי' המאירי דנטילת דלת שידה רק ברפוי דל"ה בנין ואין חשש שיהדק ויתחייב במכה בפטיש</w:t>
        </w:r>
      </w:hyperlink>
    </w:p>
    <w:p w14:paraId="37A62DC3"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09" w:history="1">
        <w:r w:rsidRPr="005E0C1D">
          <w:rPr>
            <w:rStyle w:val="Hyperlink"/>
            <w:rtl/>
          </w:rPr>
          <w:t>בי' המאירי דבדלת לול המחובר לקרקע אף רפוי אסור כדלת בית דהחיבור מפקיע תורת כלי</w:t>
        </w:r>
      </w:hyperlink>
    </w:p>
    <w:p w14:paraId="7D365A71" w14:textId="77777777" w:rsidR="000F6808" w:rsidRDefault="000F6808" w:rsidP="000F6808">
      <w:pPr>
        <w:pStyle w:val="TOC1"/>
        <w:rPr>
          <w:rFonts w:asciiTheme="minorHAnsi" w:hAnsiTheme="minorHAnsi" w:cstheme="minorBidi"/>
          <w:b w:val="0"/>
          <w:bCs w:val="0"/>
          <w:caps w:val="0"/>
          <w:sz w:val="22"/>
          <w:szCs w:val="22"/>
          <w:rtl/>
        </w:rPr>
      </w:pPr>
      <w:hyperlink w:anchor="_Toc145487110" w:history="1">
        <w:r w:rsidRPr="005E0C1D">
          <w:rPr>
            <w:rStyle w:val="Hyperlink"/>
            <w:rtl/>
          </w:rPr>
          <w:t>בי' הר"ן דיש ג' דרגות בתוקע ורפוי</w:t>
        </w:r>
      </w:hyperlink>
    </w:p>
    <w:p w14:paraId="2938A1A1" w14:textId="4D4F16B3" w:rsidR="000F6808" w:rsidRDefault="000F6808" w:rsidP="000F6808">
      <w:pPr>
        <w:pStyle w:val="afffffffff0"/>
        <w:rPr>
          <w:rtl/>
        </w:rPr>
      </w:pPr>
      <w:r w:rsidRPr="00893FDE">
        <w:rPr>
          <w:b/>
          <w:bCs/>
          <w:rtl/>
        </w:rPr>
        <w:fldChar w:fldCharType="begin"/>
      </w:r>
      <w:r w:rsidRPr="00893FDE">
        <w:rPr>
          <w:b/>
          <w:bCs/>
          <w:rtl/>
        </w:rPr>
        <w:instrText xml:space="preserve"> </w:instrText>
      </w:r>
      <w:r w:rsidRPr="00893FDE">
        <w:rPr>
          <w:rFonts w:hint="cs"/>
          <w:b/>
          <w:bCs/>
        </w:rPr>
        <w:instrText>REF</w:instrText>
      </w:r>
      <w:r w:rsidRPr="00893FDE">
        <w:rPr>
          <w:rFonts w:hint="cs"/>
          <w:b/>
          <w:bCs/>
          <w:rtl/>
        </w:rPr>
        <w:instrText xml:space="preserve"> _</w:instrText>
      </w:r>
      <w:r w:rsidRPr="00893FDE">
        <w:rPr>
          <w:rFonts w:hint="cs"/>
          <w:b/>
          <w:bCs/>
        </w:rPr>
        <w:instrText>Ref145415181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קלה)</w:t>
      </w:r>
      <w:r w:rsidRPr="00893FDE">
        <w:rPr>
          <w:b/>
          <w:bCs/>
          <w:rtl/>
        </w:rPr>
        <w:fldChar w:fldCharType="end"/>
      </w:r>
      <w:r w:rsidRPr="00893FDE">
        <w:rPr>
          <w:rFonts w:hint="cs"/>
          <w:b/>
          <w:bCs/>
          <w:rtl/>
        </w:rPr>
        <w:t xml:space="preserve"> </w:t>
      </w:r>
      <w:r w:rsidRPr="00893FDE">
        <w:rPr>
          <w:rFonts w:hint="cs"/>
          <w:rtl/>
        </w:rPr>
        <w:t>ר"ן לעיל</w:t>
      </w:r>
      <w:r w:rsidRPr="00893FDE">
        <w:rPr>
          <w:rtl/>
        </w:rPr>
        <w:t xml:space="preserve"> </w:t>
      </w:r>
      <w:r w:rsidRPr="00893FDE">
        <w:rPr>
          <w:rStyle w:val="afffffffff3"/>
          <w:rtl/>
        </w:rPr>
        <w:t>(</w:t>
      </w:r>
      <w:r w:rsidRPr="00893FDE">
        <w:rPr>
          <w:rStyle w:val="afffffffff3"/>
          <w:rFonts w:hint="cs"/>
          <w:rtl/>
        </w:rPr>
        <w:t>מז. ד"ה הא</w:t>
      </w:r>
      <w:r w:rsidRPr="00893FDE">
        <w:rPr>
          <w:rStyle w:val="afffffffff3"/>
          <w:rtl/>
        </w:rPr>
        <w:t>)</w:t>
      </w:r>
      <w:r>
        <w:rPr>
          <w:rtl/>
        </w:rPr>
        <w:t>,</w:t>
      </w:r>
      <w:r w:rsidRPr="00893FDE">
        <w:rPr>
          <w:rFonts w:hint="cs"/>
          <w:b/>
          <w:bCs/>
          <w:rtl/>
        </w:rPr>
        <w:t xml:space="preserve"> </w:t>
      </w:r>
      <w:r w:rsidRPr="00893FDE">
        <w:rPr>
          <w:b/>
          <w:bCs/>
          <w:rtl/>
        </w:rPr>
        <w:fldChar w:fldCharType="begin"/>
      </w:r>
      <w:r w:rsidRPr="00893FDE">
        <w:rPr>
          <w:b/>
          <w:bCs/>
          <w:rtl/>
        </w:rPr>
        <w:instrText xml:space="preserve"> </w:instrText>
      </w:r>
      <w:r w:rsidRPr="00893FDE">
        <w:rPr>
          <w:rFonts w:hint="cs"/>
          <w:b/>
          <w:bCs/>
        </w:rPr>
        <w:instrText>REF</w:instrText>
      </w:r>
      <w:r w:rsidRPr="00893FDE">
        <w:rPr>
          <w:rFonts w:hint="cs"/>
          <w:b/>
          <w:bCs/>
          <w:rtl/>
        </w:rPr>
        <w:instrText xml:space="preserve"> _</w:instrText>
      </w:r>
      <w:r w:rsidRPr="00893FDE">
        <w:rPr>
          <w:rFonts w:hint="cs"/>
          <w:b/>
          <w:bCs/>
        </w:rPr>
        <w:instrText>Ref145360432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קלו)</w:t>
      </w:r>
      <w:r w:rsidRPr="00893FDE">
        <w:rPr>
          <w:b/>
          <w:bCs/>
          <w:rtl/>
        </w:rPr>
        <w:fldChar w:fldCharType="end"/>
      </w:r>
      <w:r w:rsidRPr="00893FDE">
        <w:rPr>
          <w:rFonts w:hint="cs"/>
          <w:b/>
          <w:bCs/>
          <w:rtl/>
        </w:rPr>
        <w:t xml:space="preserve"> </w:t>
      </w:r>
      <w:r w:rsidRPr="00893FDE">
        <w:rPr>
          <w:rFonts w:hint="cs"/>
          <w:rtl/>
        </w:rPr>
        <w:t>ר"ן על הרי"ף</w:t>
      </w:r>
      <w:r w:rsidRPr="00893FDE">
        <w:rPr>
          <w:rtl/>
        </w:rPr>
        <w:t xml:space="preserve"> </w:t>
      </w:r>
      <w:r w:rsidRPr="00893FDE">
        <w:rPr>
          <w:rStyle w:val="afffffffff3"/>
          <w:rtl/>
        </w:rPr>
        <w:t>(</w:t>
      </w:r>
      <w:r w:rsidRPr="00893FDE">
        <w:rPr>
          <w:rStyle w:val="afffffffff3"/>
          <w:rFonts w:hint="cs"/>
          <w:rtl/>
        </w:rPr>
        <w:t>כא: מדה"ר ד"ה ואיכא, מהדו' עוז והדר עמ' ס"ב</w:t>
      </w:r>
      <w:r w:rsidRPr="00893FDE">
        <w:rPr>
          <w:rStyle w:val="afffffffff3"/>
          <w:rtl/>
        </w:rPr>
        <w:t>)</w:t>
      </w:r>
      <w:r>
        <w:rPr>
          <w:rtl/>
        </w:rPr>
        <w:t>,</w:t>
      </w:r>
      <w:r w:rsidRPr="00893FDE">
        <w:rPr>
          <w:b/>
          <w:bCs/>
          <w:rtl/>
        </w:rPr>
        <w:t xml:space="preserve"> </w:t>
      </w:r>
      <w:r w:rsidRPr="00893FDE">
        <w:rPr>
          <w:b/>
          <w:bCs/>
          <w:rtl/>
        </w:rPr>
        <w:fldChar w:fldCharType="begin"/>
      </w:r>
      <w:r w:rsidRPr="00893FDE">
        <w:rPr>
          <w:b/>
          <w:bCs/>
          <w:rtl/>
        </w:rPr>
        <w:instrText xml:space="preserve"> </w:instrText>
      </w:r>
      <w:r w:rsidRPr="00893FDE">
        <w:rPr>
          <w:b/>
          <w:bCs/>
        </w:rPr>
        <w:instrText>REF</w:instrText>
      </w:r>
      <w:r w:rsidRPr="00893FDE">
        <w:rPr>
          <w:b/>
          <w:bCs/>
          <w:rtl/>
        </w:rPr>
        <w:instrText xml:space="preserve"> _</w:instrText>
      </w:r>
      <w:r w:rsidRPr="00893FDE">
        <w:rPr>
          <w:b/>
          <w:bCs/>
        </w:rPr>
        <w:instrText>Ref145359642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קלח)</w:t>
      </w:r>
      <w:r w:rsidRPr="00893FDE">
        <w:rPr>
          <w:b/>
          <w:bCs/>
          <w:rtl/>
        </w:rPr>
        <w:fldChar w:fldCharType="end"/>
      </w:r>
      <w:r w:rsidRPr="00893FDE">
        <w:rPr>
          <w:b/>
          <w:bCs/>
          <w:rtl/>
        </w:rPr>
        <w:t xml:space="preserve"> </w:t>
      </w:r>
      <w:r w:rsidRPr="00893FDE">
        <w:rPr>
          <w:rFonts w:hint="cs"/>
          <w:rtl/>
        </w:rPr>
        <w:t>אבני נזר</w:t>
      </w:r>
      <w:r w:rsidRPr="00893FDE">
        <w:rPr>
          <w:rtl/>
        </w:rPr>
        <w:t xml:space="preserve"> </w:t>
      </w:r>
      <w:r w:rsidRPr="00893FDE">
        <w:rPr>
          <w:rStyle w:val="afffffffff3"/>
          <w:rtl/>
        </w:rPr>
        <w:t>(</w:t>
      </w:r>
      <w:r w:rsidRPr="00893FDE">
        <w:rPr>
          <w:rStyle w:val="afffffffff3"/>
          <w:rFonts w:hint="cs"/>
          <w:rtl/>
        </w:rPr>
        <w:t>סי' רי"א אות א'</w:t>
      </w:r>
      <w:r w:rsidRPr="00893FDE">
        <w:rPr>
          <w:rStyle w:val="afffffffff3"/>
          <w:rtl/>
        </w:rPr>
        <w:t>)</w:t>
      </w:r>
      <w:r>
        <w:rPr>
          <w:rtl/>
        </w:rPr>
        <w:t>,</w:t>
      </w:r>
      <w:r w:rsidRPr="00893FDE">
        <w:rPr>
          <w:b/>
          <w:bCs/>
          <w:rtl/>
        </w:rPr>
        <w:t xml:space="preserve"> </w:t>
      </w:r>
      <w:r w:rsidRPr="00893FDE">
        <w:rPr>
          <w:b/>
          <w:bCs/>
          <w:rtl/>
        </w:rPr>
        <w:fldChar w:fldCharType="begin"/>
      </w:r>
      <w:r w:rsidRPr="00893FDE">
        <w:rPr>
          <w:b/>
          <w:bCs/>
          <w:rtl/>
        </w:rPr>
        <w:instrText xml:space="preserve"> </w:instrText>
      </w:r>
      <w:r w:rsidRPr="00893FDE">
        <w:rPr>
          <w:b/>
          <w:bCs/>
        </w:rPr>
        <w:instrText>REF</w:instrText>
      </w:r>
      <w:r w:rsidRPr="00893FDE">
        <w:rPr>
          <w:b/>
          <w:bCs/>
          <w:rtl/>
        </w:rPr>
        <w:instrText xml:space="preserve"> _</w:instrText>
      </w:r>
      <w:r w:rsidRPr="00893FDE">
        <w:rPr>
          <w:b/>
          <w:bCs/>
        </w:rPr>
        <w:instrText>Ref145369089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קמ)</w:t>
      </w:r>
      <w:r w:rsidRPr="00893FDE">
        <w:rPr>
          <w:b/>
          <w:bCs/>
          <w:rtl/>
        </w:rPr>
        <w:fldChar w:fldCharType="end"/>
      </w:r>
      <w:r w:rsidRPr="00893FDE">
        <w:rPr>
          <w:b/>
          <w:bCs/>
          <w:rtl/>
        </w:rPr>
        <w:t xml:space="preserve"> </w:t>
      </w:r>
      <w:r w:rsidRPr="00893FDE">
        <w:rPr>
          <w:rFonts w:hint="cs"/>
          <w:rtl/>
        </w:rPr>
        <w:t>אבני נזר</w:t>
      </w:r>
      <w:r w:rsidRPr="00893FDE">
        <w:rPr>
          <w:rtl/>
        </w:rPr>
        <w:t xml:space="preserve"> </w:t>
      </w:r>
      <w:r w:rsidRPr="00893FDE">
        <w:rPr>
          <w:rStyle w:val="afffffffff3"/>
          <w:rtl/>
        </w:rPr>
        <w:t>(</w:t>
      </w:r>
      <w:r w:rsidRPr="00893FDE">
        <w:rPr>
          <w:rStyle w:val="afffffffff3"/>
          <w:rFonts w:hint="cs"/>
          <w:rtl/>
        </w:rPr>
        <w:t>סי' רי"א אות ז'</w:t>
      </w:r>
      <w:r w:rsidRPr="00893FDE">
        <w:rPr>
          <w:rStyle w:val="afffffffff3"/>
          <w:rtl/>
        </w:rPr>
        <w:t>)</w:t>
      </w:r>
      <w:r>
        <w:rPr>
          <w:rtl/>
        </w:rPr>
        <w:t xml:space="preserve"> </w:t>
      </w:r>
      <w:r w:rsidRPr="00893FDE">
        <w:rPr>
          <w:rFonts w:hint="cs"/>
          <w:rtl/>
        </w:rPr>
        <w:t>אבני נזר</w:t>
      </w:r>
      <w:r w:rsidRPr="00893FDE">
        <w:rPr>
          <w:rtl/>
        </w:rPr>
        <w:t xml:space="preserve"> </w:t>
      </w:r>
      <w:r w:rsidRPr="00893FDE">
        <w:rPr>
          <w:rStyle w:val="afffffffff3"/>
          <w:rtl/>
        </w:rPr>
        <w:t>(</w:t>
      </w:r>
      <w:r w:rsidRPr="00893FDE">
        <w:rPr>
          <w:rStyle w:val="afffffffff3"/>
          <w:rFonts w:hint="cs"/>
          <w:rtl/>
        </w:rPr>
        <w:t>סי' רי"א אות ב'</w:t>
      </w:r>
      <w:r w:rsidRPr="00893FDE">
        <w:rPr>
          <w:rStyle w:val="afffffffff3"/>
          <w:rtl/>
        </w:rPr>
        <w:t>)</w:t>
      </w:r>
      <w:r>
        <w:rPr>
          <w:rtl/>
        </w:rPr>
        <w:t>,</w:t>
      </w:r>
      <w:r w:rsidRPr="00893FDE">
        <w:rPr>
          <w:b/>
          <w:bCs/>
          <w:rtl/>
        </w:rPr>
        <w:t xml:space="preserve"> </w:t>
      </w:r>
      <w:r w:rsidRPr="00893FDE">
        <w:rPr>
          <w:b/>
          <w:bCs/>
          <w:rtl/>
        </w:rPr>
        <w:fldChar w:fldCharType="begin"/>
      </w:r>
      <w:r w:rsidRPr="00893FDE">
        <w:rPr>
          <w:b/>
          <w:bCs/>
          <w:rtl/>
        </w:rPr>
        <w:instrText xml:space="preserve"> </w:instrText>
      </w:r>
      <w:r w:rsidRPr="00893FDE">
        <w:rPr>
          <w:b/>
          <w:bCs/>
        </w:rPr>
        <w:instrText>REF</w:instrText>
      </w:r>
      <w:r w:rsidRPr="00893FDE">
        <w:rPr>
          <w:b/>
          <w:bCs/>
          <w:rtl/>
        </w:rPr>
        <w:instrText xml:space="preserve"> _</w:instrText>
      </w:r>
      <w:r w:rsidRPr="00893FDE">
        <w:rPr>
          <w:b/>
          <w:bCs/>
        </w:rPr>
        <w:instrText>Ref145369008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קמב)</w:t>
      </w:r>
      <w:r w:rsidRPr="00893FDE">
        <w:rPr>
          <w:b/>
          <w:bCs/>
          <w:rtl/>
        </w:rPr>
        <w:fldChar w:fldCharType="end"/>
      </w:r>
      <w:r w:rsidRPr="00893FDE">
        <w:rPr>
          <w:b/>
          <w:bCs/>
          <w:rtl/>
        </w:rPr>
        <w:t xml:space="preserve"> </w:t>
      </w:r>
      <w:r w:rsidRPr="00893FDE">
        <w:rPr>
          <w:rFonts w:hint="cs"/>
          <w:rtl/>
        </w:rPr>
        <w:t>חזו"א</w:t>
      </w:r>
      <w:r w:rsidRPr="00893FDE">
        <w:rPr>
          <w:rtl/>
        </w:rPr>
        <w:t xml:space="preserve"> </w:t>
      </w:r>
      <w:r w:rsidRPr="00893FDE">
        <w:rPr>
          <w:rStyle w:val="afffffffff3"/>
          <w:rtl/>
        </w:rPr>
        <w:t>(</w:t>
      </w:r>
      <w:r w:rsidRPr="00893FDE">
        <w:rPr>
          <w:rStyle w:val="afffffffff3"/>
          <w:rFonts w:hint="cs"/>
          <w:rtl/>
        </w:rPr>
        <w:t>סי' נ' סק"י ד"ה שבת מ"ז</w:t>
      </w:r>
      <w:r w:rsidRPr="00893FDE">
        <w:rPr>
          <w:rStyle w:val="afffffffff3"/>
          <w:rtl/>
        </w:rPr>
        <w:t>)</w:t>
      </w:r>
      <w:r>
        <w:rPr>
          <w:rtl/>
        </w:rPr>
        <w:t>.</w:t>
      </w:r>
    </w:p>
    <w:p w14:paraId="7C9D6BA3" w14:textId="77777777" w:rsidR="000F6808" w:rsidRDefault="000F6808" w:rsidP="000F6808">
      <w:pPr>
        <w:pStyle w:val="TOC2"/>
        <w:rPr>
          <w:rFonts w:cstheme="minorBidi"/>
          <w:b w:val="0"/>
          <w:bCs w:val="0"/>
          <w:sz w:val="22"/>
          <w:szCs w:val="22"/>
          <w:rtl/>
        </w:rPr>
      </w:pPr>
      <w:hyperlink w:anchor="_Toc145487111" w:history="1">
        <w:r w:rsidRPr="005E0C1D">
          <w:rPr>
            <w:rStyle w:val="Hyperlink"/>
            <w:rtl/>
          </w:rPr>
          <w:t>בי' הר"ן דרפוי מותר הידוק פטור אבל אסור ותוקע מכב"פ</w:t>
        </w:r>
      </w:hyperlink>
    </w:p>
    <w:p w14:paraId="3E37375D"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12" w:history="1">
        <w:r w:rsidRPr="005E0C1D">
          <w:rPr>
            <w:rStyle w:val="Hyperlink"/>
            <w:rtl/>
          </w:rPr>
          <w:t>בי' הי"מ בר"ן דלמ"ד דאין בנין בכלים ותוקע מכב"פ והידוק רק דרבנן וק' מברייתא דרפוי</w:t>
        </w:r>
      </w:hyperlink>
    </w:p>
    <w:p w14:paraId="6753BB08"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13" w:history="1">
        <w:r w:rsidRPr="005E0C1D">
          <w:rPr>
            <w:rStyle w:val="Hyperlink"/>
            <w:rtl/>
          </w:rPr>
          <w:t>בי' הר"ן דלמ"ד דיש בנין בכלים אף מהדק חייב וגזרינן רפוי אטו אינו רפוי ולדידן רפוי מותר</w:t>
        </w:r>
      </w:hyperlink>
    </w:p>
    <w:p w14:paraId="123B105B"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14" w:history="1">
        <w:r w:rsidRPr="005E0C1D">
          <w:rPr>
            <w:rStyle w:val="Hyperlink"/>
            <w:rtl/>
          </w:rPr>
          <w:t>בי' הר"ן דר"א ור"ה ס"ל כברייתא דאין בנין בכלים ות"ק ורשב"ג ל"פ או דנח' אי גזרו ברפוי</w:t>
        </w:r>
      </w:hyperlink>
    </w:p>
    <w:p w14:paraId="7EEF1C7E"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15" w:history="1">
        <w:r w:rsidRPr="005E0C1D">
          <w:rPr>
            <w:rStyle w:val="Hyperlink"/>
            <w:rtl/>
          </w:rPr>
          <w:t>בי' האבנ"ז בר"ן וברמב"ם וברשב"א דתוקע חייב ורפוי ולא רפוי דמהדק אסור ורפוי לגמרי מותר</w:t>
        </w:r>
      </w:hyperlink>
    </w:p>
    <w:p w14:paraId="3624F8C6"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16" w:history="1">
        <w:r w:rsidRPr="005E0C1D">
          <w:rPr>
            <w:rStyle w:val="Hyperlink"/>
            <w:rtl/>
          </w:rPr>
          <w:t>בי' האבנ"ז ברש"י דתוקע דחייב הוא רק ביתדות ובתוקע בלא יתדות אף דמהדק פטור אבל אסור</w:t>
        </w:r>
      </w:hyperlink>
    </w:p>
    <w:p w14:paraId="43688617"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17" w:history="1">
        <w:r w:rsidRPr="005E0C1D">
          <w:rPr>
            <w:rStyle w:val="Hyperlink"/>
            <w:rtl/>
          </w:rPr>
          <w:t>בי' האבנ"ז ברשב"א בעבוה"ק דמהדק חייב כתוקע ורפוי ואינו רפוי מדרבנן ורפוי לגמרי מותר</w:t>
        </w:r>
      </w:hyperlink>
    </w:p>
    <w:p w14:paraId="1BED091C"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18" w:history="1">
        <w:r w:rsidRPr="005E0C1D">
          <w:rPr>
            <w:rStyle w:val="Hyperlink"/>
            <w:rtl/>
          </w:rPr>
          <w:t>בי' האבנ"ז דלרשב"א תוקע היינו אף מהדק בחוזק בלא יתדות ונח' רש"י והרשב"א בבי' הירוש'</w:t>
        </w:r>
      </w:hyperlink>
    </w:p>
    <w:p w14:paraId="6F832819"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19" w:history="1">
        <w:r w:rsidRPr="005E0C1D">
          <w:rPr>
            <w:rStyle w:val="Hyperlink"/>
            <w:rtl/>
          </w:rPr>
          <w:t>בי' החזו"א דמוכח מהברייתא דיש ג' דרגות ומהדק ולא תקע פטור ורק רפוי לגמרי מתיר רשב"ג</w:t>
        </w:r>
      </w:hyperlink>
    </w:p>
    <w:p w14:paraId="15A63860"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20" w:history="1">
        <w:r w:rsidRPr="005E0C1D">
          <w:rPr>
            <w:rStyle w:val="Hyperlink"/>
            <w:rtl/>
          </w:rPr>
          <w:t>בי' החזו"א דבדלתות הכלים ובתריסין איירי במהדק ולכן אסור מגזירה דשמא יתקע וכ"מ בטור</w:t>
        </w:r>
      </w:hyperlink>
    </w:p>
    <w:p w14:paraId="24CD86EE" w14:textId="77777777" w:rsidR="000F6808" w:rsidRDefault="000F6808" w:rsidP="000F6808">
      <w:pPr>
        <w:pStyle w:val="TOC1"/>
        <w:rPr>
          <w:rFonts w:asciiTheme="minorHAnsi" w:hAnsiTheme="minorHAnsi" w:cstheme="minorBidi"/>
          <w:b w:val="0"/>
          <w:bCs w:val="0"/>
          <w:caps w:val="0"/>
          <w:sz w:val="22"/>
          <w:szCs w:val="22"/>
          <w:rtl/>
        </w:rPr>
      </w:pPr>
      <w:hyperlink w:anchor="_Toc145487121" w:history="1">
        <w:r w:rsidRPr="005E0C1D">
          <w:rPr>
            <w:rStyle w:val="Hyperlink"/>
            <w:rtl/>
          </w:rPr>
          <w:t>~~~~~~~~~~~~~~~~~~~~~~~~~~~~</w:t>
        </w:r>
      </w:hyperlink>
    </w:p>
    <w:p w14:paraId="7BBE19F2" w14:textId="77777777" w:rsidR="000F6808" w:rsidRDefault="000F6808" w:rsidP="000F6808">
      <w:pPr>
        <w:pStyle w:val="TOC1"/>
        <w:rPr>
          <w:rFonts w:asciiTheme="minorHAnsi" w:hAnsiTheme="minorHAnsi" w:cstheme="minorBidi"/>
          <w:b w:val="0"/>
          <w:bCs w:val="0"/>
          <w:caps w:val="0"/>
          <w:sz w:val="22"/>
          <w:szCs w:val="22"/>
          <w:rtl/>
        </w:rPr>
      </w:pPr>
      <w:hyperlink w:anchor="_Toc145487122" w:history="1">
        <w:r w:rsidRPr="005E0C1D">
          <w:rPr>
            <w:rStyle w:val="Hyperlink"/>
            <w:rtl/>
          </w:rPr>
          <w:t>ביאורי הרמב"ן בגזירה דשמא יתקע</w:t>
        </w:r>
      </w:hyperlink>
    </w:p>
    <w:p w14:paraId="46F64FAD" w14:textId="422F9000" w:rsidR="000F6808" w:rsidRDefault="000F6808" w:rsidP="000F6808">
      <w:pPr>
        <w:pStyle w:val="afffffffff0"/>
        <w:rPr>
          <w:rtl/>
        </w:rPr>
      </w:pPr>
      <w:r w:rsidRPr="00893FDE">
        <w:rPr>
          <w:b/>
          <w:bCs/>
          <w:rtl/>
        </w:rPr>
        <w:fldChar w:fldCharType="begin"/>
      </w:r>
      <w:r w:rsidRPr="00893FDE">
        <w:rPr>
          <w:b/>
          <w:bCs/>
          <w:rtl/>
        </w:rPr>
        <w:instrText xml:space="preserve"> </w:instrText>
      </w:r>
      <w:r w:rsidRPr="00893FDE">
        <w:rPr>
          <w:rFonts w:hint="cs"/>
          <w:b/>
          <w:bCs/>
        </w:rPr>
        <w:instrText>REF</w:instrText>
      </w:r>
      <w:r w:rsidRPr="00893FDE">
        <w:rPr>
          <w:rFonts w:hint="cs"/>
          <w:b/>
          <w:bCs/>
          <w:rtl/>
        </w:rPr>
        <w:instrText xml:space="preserve"> _</w:instrText>
      </w:r>
      <w:r w:rsidRPr="00893FDE">
        <w:rPr>
          <w:rFonts w:hint="cs"/>
          <w:b/>
          <w:bCs/>
        </w:rPr>
        <w:instrText>Ref145449843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קמד)</w:t>
      </w:r>
      <w:r w:rsidRPr="00893FDE">
        <w:rPr>
          <w:b/>
          <w:bCs/>
          <w:rtl/>
        </w:rPr>
        <w:fldChar w:fldCharType="end"/>
      </w:r>
      <w:r w:rsidRPr="00893FDE">
        <w:rPr>
          <w:rFonts w:hint="cs"/>
          <w:b/>
          <w:bCs/>
          <w:rtl/>
        </w:rPr>
        <w:t xml:space="preserve"> </w:t>
      </w:r>
      <w:r w:rsidRPr="00893FDE">
        <w:rPr>
          <w:rtl/>
        </w:rPr>
        <w:t>רמב"</w:t>
      </w:r>
      <w:r w:rsidRPr="00893FDE">
        <w:rPr>
          <w:rFonts w:hint="cs"/>
          <w:rtl/>
        </w:rPr>
        <w:t xml:space="preserve">ן בסוגיין </w:t>
      </w:r>
      <w:r w:rsidRPr="00893FDE">
        <w:rPr>
          <w:rStyle w:val="afffffffff3"/>
          <w:rFonts w:hint="cs"/>
          <w:rtl/>
        </w:rPr>
        <w:t>(ד"ה רב)</w:t>
      </w:r>
      <w:r>
        <w:rPr>
          <w:rtl/>
        </w:rPr>
        <w:t>,</w:t>
      </w:r>
      <w:r w:rsidRPr="00893FDE">
        <w:rPr>
          <w:b/>
          <w:bCs/>
          <w:rtl/>
        </w:rPr>
        <w:t xml:space="preserve"> </w:t>
      </w:r>
      <w:r w:rsidRPr="00893FDE">
        <w:rPr>
          <w:b/>
          <w:bCs/>
          <w:rtl/>
        </w:rPr>
        <w:fldChar w:fldCharType="begin"/>
      </w:r>
      <w:r w:rsidRPr="00893FDE">
        <w:rPr>
          <w:b/>
          <w:bCs/>
          <w:rtl/>
        </w:rPr>
        <w:instrText xml:space="preserve"> </w:instrText>
      </w:r>
      <w:r w:rsidRPr="00893FDE">
        <w:rPr>
          <w:b/>
          <w:bCs/>
        </w:rPr>
        <w:instrText>REF</w:instrText>
      </w:r>
      <w:r w:rsidRPr="00893FDE">
        <w:rPr>
          <w:b/>
          <w:bCs/>
          <w:rtl/>
        </w:rPr>
        <w:instrText xml:space="preserve"> _</w:instrText>
      </w:r>
      <w:r w:rsidRPr="00893FDE">
        <w:rPr>
          <w:b/>
          <w:bCs/>
        </w:rPr>
        <w:instrText>Ref145369038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קמה)</w:t>
      </w:r>
      <w:r w:rsidRPr="00893FDE">
        <w:rPr>
          <w:b/>
          <w:bCs/>
          <w:rtl/>
        </w:rPr>
        <w:fldChar w:fldCharType="end"/>
      </w:r>
      <w:r w:rsidRPr="00893FDE">
        <w:rPr>
          <w:b/>
          <w:bCs/>
          <w:rtl/>
        </w:rPr>
        <w:t xml:space="preserve"> </w:t>
      </w:r>
      <w:r w:rsidRPr="00893FDE">
        <w:rPr>
          <w:rFonts w:hint="cs"/>
          <w:rtl/>
        </w:rPr>
        <w:t>ר"ן על הרי"ף לקמן</w:t>
      </w:r>
      <w:r w:rsidRPr="00893FDE">
        <w:rPr>
          <w:rtl/>
        </w:rPr>
        <w:t xml:space="preserve"> </w:t>
      </w:r>
      <w:r w:rsidRPr="00893FDE">
        <w:rPr>
          <w:rStyle w:val="afffffffff3"/>
          <w:rtl/>
        </w:rPr>
        <w:t>(</w:t>
      </w:r>
      <w:r w:rsidRPr="00893FDE">
        <w:rPr>
          <w:rStyle w:val="afffffffff3"/>
          <w:rFonts w:hint="cs"/>
          <w:rtl/>
        </w:rPr>
        <w:t>מז. מדה"ר ד"ה ת"ר, מהדו' עוז והדר עמ' ק"ל</w:t>
      </w:r>
      <w:r w:rsidRPr="00893FDE">
        <w:rPr>
          <w:rStyle w:val="afffffffff3"/>
          <w:rtl/>
        </w:rPr>
        <w:t>)</w:t>
      </w:r>
      <w:r>
        <w:rPr>
          <w:rtl/>
        </w:rPr>
        <w:t>,</w:t>
      </w:r>
      <w:r w:rsidRPr="00893FDE">
        <w:rPr>
          <w:b/>
          <w:bCs/>
          <w:rtl/>
        </w:rPr>
        <w:t xml:space="preserve"> </w:t>
      </w:r>
      <w:r w:rsidRPr="00893FDE">
        <w:rPr>
          <w:b/>
          <w:bCs/>
          <w:rtl/>
        </w:rPr>
        <w:fldChar w:fldCharType="begin"/>
      </w:r>
      <w:r w:rsidRPr="00893FDE">
        <w:rPr>
          <w:b/>
          <w:bCs/>
          <w:rtl/>
        </w:rPr>
        <w:instrText xml:space="preserve"> </w:instrText>
      </w:r>
      <w:r w:rsidRPr="00893FDE">
        <w:rPr>
          <w:b/>
          <w:bCs/>
        </w:rPr>
        <w:instrText>REF</w:instrText>
      </w:r>
      <w:r w:rsidRPr="00893FDE">
        <w:rPr>
          <w:b/>
          <w:bCs/>
          <w:rtl/>
        </w:rPr>
        <w:instrText xml:space="preserve"> _</w:instrText>
      </w:r>
      <w:r w:rsidRPr="00893FDE">
        <w:rPr>
          <w:b/>
          <w:bCs/>
        </w:rPr>
        <w:instrText>Ref145326336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קמז)</w:t>
      </w:r>
      <w:r w:rsidRPr="00893FDE">
        <w:rPr>
          <w:b/>
          <w:bCs/>
          <w:rtl/>
        </w:rPr>
        <w:fldChar w:fldCharType="end"/>
      </w:r>
      <w:r w:rsidRPr="00893FDE">
        <w:rPr>
          <w:b/>
          <w:bCs/>
          <w:rtl/>
        </w:rPr>
        <w:t xml:space="preserve"> </w:t>
      </w:r>
      <w:r w:rsidRPr="00893FDE">
        <w:rPr>
          <w:rFonts w:hint="cs"/>
          <w:rtl/>
        </w:rPr>
        <w:t>רמב"ן במלחמות בביצה</w:t>
      </w:r>
      <w:r w:rsidRPr="00893FDE">
        <w:rPr>
          <w:rtl/>
        </w:rPr>
        <w:t xml:space="preserve"> </w:t>
      </w:r>
      <w:r w:rsidRPr="00893FDE">
        <w:rPr>
          <w:rStyle w:val="afffffffff3"/>
          <w:rtl/>
        </w:rPr>
        <w:t>(</w:t>
      </w:r>
      <w:r w:rsidRPr="00893FDE">
        <w:rPr>
          <w:rStyle w:val="afffffffff3"/>
          <w:rFonts w:hint="cs"/>
          <w:rtl/>
        </w:rPr>
        <w:t>ד. מדה"ר ד"ה ועוד אנו, מהדו' עוז והדר עמ' י"א</w:t>
      </w:r>
      <w:r w:rsidRPr="00893FDE">
        <w:rPr>
          <w:rStyle w:val="afffffffff3"/>
          <w:rtl/>
        </w:rPr>
        <w:t>)</w:t>
      </w:r>
      <w:r>
        <w:rPr>
          <w:rtl/>
        </w:rPr>
        <w:t xml:space="preserve"> </w:t>
      </w:r>
      <w:r w:rsidRPr="00893FDE">
        <w:rPr>
          <w:rFonts w:hint="cs"/>
          <w:rtl/>
        </w:rPr>
        <w:t>רשב"א בביצה</w:t>
      </w:r>
      <w:r w:rsidRPr="00893FDE">
        <w:rPr>
          <w:rtl/>
        </w:rPr>
        <w:t xml:space="preserve"> </w:t>
      </w:r>
      <w:r w:rsidRPr="00893FDE">
        <w:rPr>
          <w:rStyle w:val="afffffffff3"/>
          <w:rtl/>
        </w:rPr>
        <w:t>(</w:t>
      </w:r>
      <w:r w:rsidRPr="00893FDE">
        <w:rPr>
          <w:rStyle w:val="afffffffff3"/>
          <w:rFonts w:hint="cs"/>
          <w:rtl/>
        </w:rPr>
        <w:t>י. ד"ה והרי"ף</w:t>
      </w:r>
      <w:r w:rsidRPr="00893FDE">
        <w:rPr>
          <w:rStyle w:val="afffffffff3"/>
          <w:rtl/>
        </w:rPr>
        <w:t>)</w:t>
      </w:r>
      <w:r>
        <w:rPr>
          <w:rtl/>
        </w:rPr>
        <w:t>,</w:t>
      </w:r>
      <w:r w:rsidRPr="00893FDE">
        <w:rPr>
          <w:rFonts w:hint="cs"/>
          <w:b/>
          <w:bCs/>
          <w:rtl/>
        </w:rPr>
        <w:t xml:space="preserve"> </w:t>
      </w:r>
      <w:r w:rsidRPr="00893FDE">
        <w:rPr>
          <w:b/>
          <w:bCs/>
          <w:rtl/>
        </w:rPr>
        <w:fldChar w:fldCharType="begin"/>
      </w:r>
      <w:r w:rsidRPr="00893FDE">
        <w:rPr>
          <w:b/>
          <w:bCs/>
          <w:rtl/>
        </w:rPr>
        <w:instrText xml:space="preserve"> </w:instrText>
      </w:r>
      <w:r w:rsidRPr="00893FDE">
        <w:rPr>
          <w:rFonts w:hint="cs"/>
          <w:b/>
          <w:bCs/>
        </w:rPr>
        <w:instrText>REF</w:instrText>
      </w:r>
      <w:r w:rsidRPr="00893FDE">
        <w:rPr>
          <w:rFonts w:hint="cs"/>
          <w:b/>
          <w:bCs/>
          <w:rtl/>
        </w:rPr>
        <w:instrText xml:space="preserve"> _</w:instrText>
      </w:r>
      <w:r w:rsidRPr="00893FDE">
        <w:rPr>
          <w:rFonts w:hint="cs"/>
          <w:b/>
          <w:bCs/>
        </w:rPr>
        <w:instrText>Ref145392639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קמט)</w:t>
      </w:r>
      <w:r w:rsidRPr="00893FDE">
        <w:rPr>
          <w:b/>
          <w:bCs/>
          <w:rtl/>
        </w:rPr>
        <w:fldChar w:fldCharType="end"/>
      </w:r>
      <w:r w:rsidRPr="00893FDE">
        <w:rPr>
          <w:rFonts w:hint="cs"/>
          <w:b/>
          <w:bCs/>
          <w:rtl/>
        </w:rPr>
        <w:t xml:space="preserve"> </w:t>
      </w:r>
      <w:r w:rsidRPr="00893FDE">
        <w:rPr>
          <w:rFonts w:hint="cs"/>
          <w:rtl/>
        </w:rPr>
        <w:t>רמב"ן במלחמות בביצה</w:t>
      </w:r>
      <w:r w:rsidRPr="00893FDE">
        <w:rPr>
          <w:rtl/>
        </w:rPr>
        <w:t xml:space="preserve"> </w:t>
      </w:r>
      <w:r w:rsidRPr="00893FDE">
        <w:rPr>
          <w:rStyle w:val="afffffffff3"/>
          <w:rtl/>
        </w:rPr>
        <w:t>(</w:t>
      </w:r>
      <w:r w:rsidRPr="00893FDE">
        <w:rPr>
          <w:rStyle w:val="afffffffff3"/>
          <w:rFonts w:hint="cs"/>
          <w:rtl/>
        </w:rPr>
        <w:t>ד. מדה"ר ד"ה ויש שמחזק, מהדו' עוז והדר עמ' י"א</w:t>
      </w:r>
      <w:r w:rsidRPr="00893FDE">
        <w:rPr>
          <w:rStyle w:val="afffffffff3"/>
          <w:rtl/>
        </w:rPr>
        <w:t>)</w:t>
      </w:r>
      <w:r>
        <w:rPr>
          <w:rtl/>
        </w:rPr>
        <w:t>.</w:t>
      </w:r>
    </w:p>
    <w:p w14:paraId="725B75F0" w14:textId="77777777" w:rsidR="000F6808" w:rsidRDefault="000F6808" w:rsidP="000F6808">
      <w:pPr>
        <w:pStyle w:val="TOC2"/>
        <w:rPr>
          <w:rFonts w:cstheme="minorBidi"/>
          <w:b w:val="0"/>
          <w:bCs w:val="0"/>
          <w:sz w:val="22"/>
          <w:szCs w:val="22"/>
          <w:rtl/>
        </w:rPr>
      </w:pPr>
      <w:hyperlink w:anchor="_Toc145487123" w:history="1">
        <w:r w:rsidRPr="005E0C1D">
          <w:rPr>
            <w:rStyle w:val="Hyperlink"/>
            <w:rtl/>
          </w:rPr>
          <w:t>הבי' הא' ברמב"ן אטו ציר מהאמצע דמעשה אומן וחייב בבונה</w:t>
        </w:r>
      </w:hyperlink>
    </w:p>
    <w:p w14:paraId="39C86D14"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24" w:history="1">
        <w:r w:rsidRPr="005E0C1D">
          <w:rPr>
            <w:rStyle w:val="Hyperlink"/>
            <w:rtl/>
          </w:rPr>
          <w:t>בי' הרמב"ן דהגזירה בתריסין אטו מן הצד דהוא מעשה אומן וכעושה כלי דחייב בבונה</w:t>
        </w:r>
      </w:hyperlink>
    </w:p>
    <w:p w14:paraId="590D5987"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25" w:history="1">
        <w:r w:rsidRPr="005E0C1D">
          <w:rPr>
            <w:rStyle w:val="Hyperlink"/>
            <w:rtl/>
          </w:rPr>
          <w:t>בי' הר"ן דגזרו שמא יתקע בחוזק דמכב"פ או בעושה כלי מתחילה או שצריך אומן דחייב בבונה</w:t>
        </w:r>
      </w:hyperlink>
    </w:p>
    <w:p w14:paraId="703071E6" w14:textId="77777777" w:rsidR="000F6808" w:rsidRDefault="000F6808" w:rsidP="000F6808">
      <w:pPr>
        <w:pStyle w:val="TOC2"/>
        <w:rPr>
          <w:rFonts w:cstheme="minorBidi"/>
          <w:b w:val="0"/>
          <w:bCs w:val="0"/>
          <w:sz w:val="22"/>
          <w:szCs w:val="22"/>
          <w:rtl/>
        </w:rPr>
      </w:pPr>
      <w:hyperlink w:anchor="_Toc145487126" w:history="1">
        <w:r w:rsidRPr="005E0C1D">
          <w:rPr>
            <w:rStyle w:val="Hyperlink"/>
            <w:rtl/>
          </w:rPr>
          <w:t>הבי' הב' ברמב"ן דהגזירה בדרך להיות רפוי והוא גזירה לגזירה</w:t>
        </w:r>
      </w:hyperlink>
    </w:p>
    <w:p w14:paraId="0D8E66F0"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27" w:history="1">
        <w:r w:rsidRPr="005E0C1D">
          <w:rPr>
            <w:rStyle w:val="Hyperlink"/>
            <w:rtl/>
          </w:rPr>
          <w:t>בי' הי"מ ברמב"ן דציר מהצד אסור מגזירה דיתקע ומהאמצע אטו מהצד דגזירה לגזירה במצוי</w:t>
        </w:r>
      </w:hyperlink>
    </w:p>
    <w:p w14:paraId="2B0FCBB2"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28" w:history="1">
        <w:r w:rsidRPr="005E0C1D">
          <w:rPr>
            <w:rStyle w:val="Hyperlink"/>
            <w:rtl/>
          </w:rPr>
          <w:t>בי' הרמב"ן דתריסין רפויין ולא עומדים לתקיעה ומדינא מותר וגזרו אטו מן הצד שמא יתקע</w:t>
        </w:r>
      </w:hyperlink>
    </w:p>
    <w:p w14:paraId="18064295" w14:textId="77777777" w:rsidR="000F6808" w:rsidRDefault="000F6808" w:rsidP="000F6808">
      <w:pPr>
        <w:pStyle w:val="TOC2"/>
        <w:rPr>
          <w:rFonts w:cstheme="minorBidi"/>
          <w:b w:val="0"/>
          <w:bCs w:val="0"/>
          <w:sz w:val="22"/>
          <w:szCs w:val="22"/>
          <w:rtl/>
        </w:rPr>
      </w:pPr>
      <w:hyperlink w:anchor="_Toc145487129" w:history="1">
        <w:r w:rsidRPr="005E0C1D">
          <w:rPr>
            <w:rStyle w:val="Hyperlink"/>
            <w:rtl/>
          </w:rPr>
          <w:t>הבי' הג' ברמב"ן דהאיסור בתריסין הוא למ"ד דיש בנין בכלים</w:t>
        </w:r>
      </w:hyperlink>
    </w:p>
    <w:p w14:paraId="43351C94"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30" w:history="1">
        <w:r w:rsidRPr="005E0C1D">
          <w:rPr>
            <w:rStyle w:val="Hyperlink"/>
            <w:rtl/>
          </w:rPr>
          <w:t>בי' הרמב"ן דעולא וריו"ח ס"ל דלב"ה יש בנין בכלים וזקיפה ל"ה כבנין ולדידן אין בנין בכלים</w:t>
        </w:r>
      </w:hyperlink>
    </w:p>
    <w:p w14:paraId="67963A6C"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31" w:history="1">
        <w:r w:rsidRPr="005E0C1D">
          <w:rPr>
            <w:rStyle w:val="Hyperlink"/>
            <w:rtl/>
          </w:rPr>
          <w:t>בי' הרמב"ן בריו"ח דתריסין אינו דוחק והחזיר לא כ"צ פטור ומחזיר כ"צ חייב דיש בנין בכלים</w:t>
        </w:r>
      </w:hyperlink>
    </w:p>
    <w:p w14:paraId="094C2737"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32" w:history="1">
        <w:r w:rsidRPr="005E0C1D">
          <w:rPr>
            <w:rStyle w:val="Hyperlink"/>
            <w:rtl/>
          </w:rPr>
          <w:t>בי' הרמב"ן ברי"ף דהשמיט את ריו"ח בטלטול מנורה דלדידן ביו"ט לא גזרו גזירה לגזירה</w:t>
        </w:r>
      </w:hyperlink>
    </w:p>
    <w:p w14:paraId="498924A0"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33" w:history="1">
        <w:r w:rsidRPr="005E0C1D">
          <w:rPr>
            <w:rStyle w:val="Hyperlink"/>
            <w:rtl/>
          </w:rPr>
          <w:t>קו' הרשב"א דקיי"ל כרשב"ג דמתיר ברפוי וא"כ אף בשבת מותר ולא רק מחמת שמחת יו"ט</w:t>
        </w:r>
      </w:hyperlink>
    </w:p>
    <w:p w14:paraId="2D4ED815" w14:textId="77777777" w:rsidR="000F6808" w:rsidRDefault="000F6808" w:rsidP="000F6808">
      <w:pPr>
        <w:pStyle w:val="TOC2"/>
        <w:rPr>
          <w:rFonts w:cstheme="minorBidi"/>
          <w:b w:val="0"/>
          <w:bCs w:val="0"/>
          <w:sz w:val="22"/>
          <w:szCs w:val="22"/>
          <w:rtl/>
        </w:rPr>
      </w:pPr>
      <w:hyperlink w:anchor="_Toc145487134" w:history="1">
        <w:r w:rsidRPr="005E0C1D">
          <w:rPr>
            <w:rStyle w:val="Hyperlink"/>
            <w:rtl/>
          </w:rPr>
          <w:t>בי' רבינו יונה דרפוי קצת מחזיר כ"צ פטור גזרו שמא יתקע וחייב</w:t>
        </w:r>
      </w:hyperlink>
    </w:p>
    <w:p w14:paraId="44C45BD2"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35" w:history="1">
        <w:r w:rsidRPr="005E0C1D">
          <w:rPr>
            <w:rStyle w:val="Hyperlink"/>
            <w:rtl/>
          </w:rPr>
          <w:t>בי' רבינו יונה דרשב"ג מתיר ברפוי לגמרי ולא ברפוי קצת כתריסין ובהחזיר כ"צ פטור ואסור</w:t>
        </w:r>
      </w:hyperlink>
    </w:p>
    <w:p w14:paraId="3C0357FD"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36" w:history="1">
        <w:r w:rsidRPr="005E0C1D">
          <w:rPr>
            <w:rStyle w:val="Hyperlink"/>
            <w:rtl/>
          </w:rPr>
          <w:t>בי' הרשב"א דבלא רפויין לגמרי גזרו בציר מהצד אף במחזיר שלא כ"צ ובאמצע התירו ביו"ט</w:t>
        </w:r>
      </w:hyperlink>
    </w:p>
    <w:p w14:paraId="67535070" w14:textId="77777777" w:rsidR="000F6808" w:rsidRDefault="000F6808" w:rsidP="000F6808">
      <w:pPr>
        <w:pStyle w:val="TOC1"/>
        <w:rPr>
          <w:rFonts w:asciiTheme="minorHAnsi" w:hAnsiTheme="minorHAnsi" w:cstheme="minorBidi"/>
          <w:b w:val="0"/>
          <w:bCs w:val="0"/>
          <w:caps w:val="0"/>
          <w:sz w:val="22"/>
          <w:szCs w:val="22"/>
          <w:rtl/>
        </w:rPr>
      </w:pPr>
      <w:hyperlink w:anchor="_Toc145487137" w:history="1">
        <w:r w:rsidRPr="005E0C1D">
          <w:rPr>
            <w:rStyle w:val="Hyperlink"/>
            <w:rtl/>
          </w:rPr>
          <w:t>~~~~~~~~~~~~~~~~~~~~~~~~~~~~</w:t>
        </w:r>
      </w:hyperlink>
    </w:p>
    <w:p w14:paraId="0241B621" w14:textId="77777777" w:rsidR="000F6808" w:rsidRDefault="000F6808" w:rsidP="000F6808">
      <w:pPr>
        <w:pStyle w:val="TOC1"/>
        <w:rPr>
          <w:rFonts w:asciiTheme="minorHAnsi" w:hAnsiTheme="minorHAnsi" w:cstheme="minorBidi"/>
          <w:b w:val="0"/>
          <w:bCs w:val="0"/>
          <w:caps w:val="0"/>
          <w:sz w:val="22"/>
          <w:szCs w:val="22"/>
          <w:rtl/>
        </w:rPr>
      </w:pPr>
      <w:hyperlink w:anchor="_Toc145487138" w:history="1">
        <w:r w:rsidRPr="005E0C1D">
          <w:rPr>
            <w:rStyle w:val="Hyperlink"/>
            <w:rtl/>
          </w:rPr>
          <w:t>ד' הסוברים דרק ברגילות לתקוע גזרו</w:t>
        </w:r>
      </w:hyperlink>
    </w:p>
    <w:p w14:paraId="2DF4B082" w14:textId="03162F48" w:rsidR="000F6808" w:rsidRDefault="000F6808" w:rsidP="000F6808">
      <w:pPr>
        <w:pStyle w:val="afffffffff0"/>
        <w:rPr>
          <w:rtl/>
        </w:rPr>
      </w:pPr>
      <w:r w:rsidRPr="00893FDE">
        <w:rPr>
          <w:b/>
          <w:bCs/>
          <w:rtl/>
        </w:rPr>
        <w:fldChar w:fldCharType="begin"/>
      </w:r>
      <w:r w:rsidRPr="00893FDE">
        <w:rPr>
          <w:b/>
          <w:bCs/>
          <w:rtl/>
        </w:rPr>
        <w:instrText xml:space="preserve"> </w:instrText>
      </w:r>
      <w:r w:rsidRPr="00893FDE">
        <w:rPr>
          <w:b/>
          <w:bCs/>
        </w:rPr>
        <w:instrText>REF</w:instrText>
      </w:r>
      <w:r w:rsidRPr="00893FDE">
        <w:rPr>
          <w:b/>
          <w:bCs/>
          <w:rtl/>
        </w:rPr>
        <w:instrText xml:space="preserve"> _</w:instrText>
      </w:r>
      <w:r w:rsidRPr="00893FDE">
        <w:rPr>
          <w:b/>
          <w:bCs/>
        </w:rPr>
        <w:instrText>Ref145319901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קנד)</w:t>
      </w:r>
      <w:r w:rsidRPr="00893FDE">
        <w:rPr>
          <w:b/>
          <w:bCs/>
          <w:rtl/>
        </w:rPr>
        <w:fldChar w:fldCharType="end"/>
      </w:r>
      <w:r w:rsidRPr="00893FDE">
        <w:rPr>
          <w:b/>
          <w:bCs/>
          <w:rtl/>
        </w:rPr>
        <w:t xml:space="preserve"> </w:t>
      </w:r>
      <w:r w:rsidRPr="00893FDE">
        <w:rPr>
          <w:rFonts w:hint="cs"/>
          <w:rtl/>
        </w:rPr>
        <w:t>תוס' לעיל</w:t>
      </w:r>
      <w:r w:rsidRPr="00893FDE">
        <w:rPr>
          <w:rtl/>
        </w:rPr>
        <w:t xml:space="preserve"> </w:t>
      </w:r>
      <w:r w:rsidRPr="00893FDE">
        <w:rPr>
          <w:rStyle w:val="afffffffff3"/>
          <w:rtl/>
        </w:rPr>
        <w:t>(</w:t>
      </w:r>
      <w:r w:rsidRPr="00893FDE">
        <w:rPr>
          <w:rStyle w:val="afffffffff3"/>
          <w:rFonts w:hint="cs"/>
          <w:rtl/>
        </w:rPr>
        <w:t>מח. ד"ה הא</w:t>
      </w:r>
      <w:r w:rsidRPr="00893FDE">
        <w:rPr>
          <w:rStyle w:val="afffffffff3"/>
          <w:rtl/>
        </w:rPr>
        <w:t>)</w:t>
      </w:r>
      <w:r>
        <w:rPr>
          <w:rtl/>
        </w:rPr>
        <w:t xml:space="preserve"> </w:t>
      </w:r>
      <w:r w:rsidRPr="00893FDE">
        <w:rPr>
          <w:rFonts w:hint="cs"/>
          <w:rtl/>
        </w:rPr>
        <w:t>הג' אשר"י</w:t>
      </w:r>
      <w:r w:rsidRPr="00893FDE">
        <w:rPr>
          <w:rtl/>
        </w:rPr>
        <w:t xml:space="preserve"> </w:t>
      </w:r>
      <w:r w:rsidRPr="00893FDE">
        <w:rPr>
          <w:rStyle w:val="afffffffff3"/>
          <w:rtl/>
        </w:rPr>
        <w:t>(</w:t>
      </w:r>
      <w:r w:rsidRPr="00893FDE">
        <w:rPr>
          <w:rStyle w:val="afffffffff3"/>
          <w:rFonts w:hint="cs"/>
          <w:rtl/>
        </w:rPr>
        <w:t>על הרא"ש פ"ד סי' ה'</w:t>
      </w:r>
      <w:r w:rsidRPr="00893FDE">
        <w:rPr>
          <w:rStyle w:val="afffffffff3"/>
          <w:rtl/>
        </w:rPr>
        <w:t>)</w:t>
      </w:r>
      <w:r>
        <w:rPr>
          <w:rtl/>
        </w:rPr>
        <w:t xml:space="preserve"> </w:t>
      </w:r>
      <w:r w:rsidRPr="00893FDE">
        <w:rPr>
          <w:rFonts w:hint="cs"/>
          <w:rtl/>
        </w:rPr>
        <w:t xml:space="preserve">רא"ש לעיל </w:t>
      </w:r>
      <w:r w:rsidRPr="00893FDE">
        <w:rPr>
          <w:rStyle w:val="afffffffff3"/>
          <w:rtl/>
        </w:rPr>
        <w:t>(</w:t>
      </w:r>
      <w:r w:rsidRPr="00893FDE">
        <w:rPr>
          <w:rStyle w:val="afffffffff3"/>
          <w:rFonts w:hint="cs"/>
          <w:rtl/>
        </w:rPr>
        <w:t>פ"ג סי' כ"ג</w:t>
      </w:r>
      <w:r w:rsidRPr="00893FDE">
        <w:rPr>
          <w:rStyle w:val="afffffffff3"/>
          <w:rtl/>
        </w:rPr>
        <w:t>)</w:t>
      </w:r>
      <w:r>
        <w:rPr>
          <w:rtl/>
        </w:rPr>
        <w:t xml:space="preserve"> </w:t>
      </w:r>
      <w:r w:rsidRPr="00893FDE">
        <w:rPr>
          <w:rFonts w:hint="cs"/>
          <w:rtl/>
        </w:rPr>
        <w:t xml:space="preserve">הג' אשר"י לעיל </w:t>
      </w:r>
      <w:r w:rsidRPr="00893FDE">
        <w:rPr>
          <w:rStyle w:val="afffffffff3"/>
          <w:rtl/>
        </w:rPr>
        <w:t>(</w:t>
      </w:r>
      <w:r w:rsidRPr="00893FDE">
        <w:rPr>
          <w:rStyle w:val="afffffffff3"/>
          <w:rFonts w:hint="cs"/>
          <w:rtl/>
        </w:rPr>
        <w:t>על הרא"ש פ"ג סי' כ"ג</w:t>
      </w:r>
      <w:r w:rsidRPr="00893FDE">
        <w:rPr>
          <w:rStyle w:val="afffffffff3"/>
          <w:rtl/>
        </w:rPr>
        <w:t>)</w:t>
      </w:r>
      <w:r>
        <w:rPr>
          <w:rtl/>
        </w:rPr>
        <w:t xml:space="preserve"> </w:t>
      </w:r>
      <w:r w:rsidRPr="00893FDE">
        <w:rPr>
          <w:rFonts w:hint="cs"/>
          <w:rtl/>
        </w:rPr>
        <w:t>רשב"א בעבודת הקודש</w:t>
      </w:r>
      <w:r w:rsidRPr="00893FDE">
        <w:rPr>
          <w:rtl/>
        </w:rPr>
        <w:t xml:space="preserve"> </w:t>
      </w:r>
      <w:r w:rsidRPr="00893FDE">
        <w:rPr>
          <w:rStyle w:val="afffffffff3"/>
          <w:rFonts w:hint="cs"/>
          <w:rtl/>
        </w:rPr>
        <w:t xml:space="preserve">(עי' אות </w:t>
      </w:r>
      <w:r w:rsidRPr="00893FDE">
        <w:rPr>
          <w:rStyle w:val="afffffffff3"/>
          <w:rtl/>
        </w:rPr>
        <w:t>מב)</w:t>
      </w:r>
      <w:r>
        <w:rPr>
          <w:rtl/>
        </w:rPr>
        <w:t xml:space="preserve"> </w:t>
      </w:r>
      <w:r w:rsidRPr="00893FDE">
        <w:rPr>
          <w:rFonts w:hint="cs"/>
          <w:rtl/>
        </w:rPr>
        <w:t xml:space="preserve">אור זרוע </w:t>
      </w:r>
      <w:r w:rsidRPr="00893FDE">
        <w:rPr>
          <w:rStyle w:val="afffffffff3"/>
          <w:rFonts w:hint="cs"/>
          <w:rtl/>
        </w:rPr>
        <w:t xml:space="preserve">(עי' אות </w:t>
      </w:r>
      <w:r w:rsidRPr="00893FDE">
        <w:rPr>
          <w:rStyle w:val="afffffffff3"/>
          <w:rtl/>
        </w:rPr>
        <w:fldChar w:fldCharType="begin"/>
      </w:r>
      <w:r w:rsidRPr="00893FDE">
        <w:rPr>
          <w:rStyle w:val="afffffffff3"/>
          <w:rtl/>
        </w:rPr>
        <w:instrText xml:space="preserve"> </w:instrText>
      </w:r>
      <w:r w:rsidRPr="00893FDE">
        <w:rPr>
          <w:rStyle w:val="afffffffff3"/>
          <w:rFonts w:hint="cs"/>
        </w:rPr>
        <w:instrText>REF</w:instrText>
      </w:r>
      <w:r w:rsidRPr="00893FDE">
        <w:rPr>
          <w:rStyle w:val="afffffffff3"/>
          <w:rFonts w:hint="cs"/>
          <w:rtl/>
        </w:rPr>
        <w:instrText xml:space="preserve"> _</w:instrText>
      </w:r>
      <w:r w:rsidRPr="00893FDE">
        <w:rPr>
          <w:rStyle w:val="afffffffff3"/>
          <w:rFonts w:hint="cs"/>
        </w:rPr>
        <w:instrText>Ref145435469 \r \h</w:instrText>
      </w:r>
      <w:r w:rsidRPr="00893FDE">
        <w:rPr>
          <w:rStyle w:val="afffffffff3"/>
          <w:rtl/>
        </w:rPr>
        <w:instrText xml:space="preserve">  \* </w:instrText>
      </w:r>
      <w:r w:rsidRPr="00893FDE">
        <w:rPr>
          <w:rStyle w:val="afffffffff3"/>
        </w:rPr>
        <w:instrText>MERGEFORMAT</w:instrText>
      </w:r>
      <w:r w:rsidRPr="00893FDE">
        <w:rPr>
          <w:rStyle w:val="afffffffff3"/>
          <w:rtl/>
        </w:rPr>
        <w:instrText xml:space="preserve"> </w:instrText>
      </w:r>
      <w:r w:rsidRPr="00893FDE">
        <w:rPr>
          <w:rStyle w:val="afffffffff3"/>
          <w:rtl/>
        </w:rPr>
      </w:r>
      <w:r w:rsidRPr="00893FDE">
        <w:rPr>
          <w:rStyle w:val="afffffffff3"/>
          <w:rtl/>
        </w:rPr>
        <w:fldChar w:fldCharType="separate"/>
      </w:r>
      <w:r w:rsidR="00D82181">
        <w:rPr>
          <w:rStyle w:val="afffffffff3"/>
          <w:cs/>
        </w:rPr>
        <w:t>‎</w:t>
      </w:r>
      <w:r w:rsidR="00D82181">
        <w:rPr>
          <w:rStyle w:val="afffffffff3"/>
          <w:rtl/>
        </w:rPr>
        <w:t>קלא)</w:t>
      </w:r>
      <w:r w:rsidRPr="00893FDE">
        <w:rPr>
          <w:rStyle w:val="afffffffff3"/>
          <w:rtl/>
        </w:rPr>
        <w:fldChar w:fldCharType="end"/>
      </w:r>
      <w:r>
        <w:rPr>
          <w:rtl/>
        </w:rPr>
        <w:t>,</w:t>
      </w:r>
      <w:r w:rsidRPr="00893FDE">
        <w:rPr>
          <w:rFonts w:hint="cs"/>
          <w:b/>
          <w:bCs/>
          <w:rtl/>
        </w:rPr>
        <w:t xml:space="preserve"> </w:t>
      </w:r>
      <w:r w:rsidRPr="00893FDE">
        <w:rPr>
          <w:b/>
          <w:bCs/>
          <w:rtl/>
        </w:rPr>
        <w:fldChar w:fldCharType="begin"/>
      </w:r>
      <w:r w:rsidRPr="00893FDE">
        <w:rPr>
          <w:b/>
          <w:bCs/>
          <w:rtl/>
        </w:rPr>
        <w:instrText xml:space="preserve"> </w:instrText>
      </w:r>
      <w:r w:rsidRPr="00893FDE">
        <w:rPr>
          <w:rFonts w:hint="cs"/>
          <w:b/>
          <w:bCs/>
        </w:rPr>
        <w:instrText>REF</w:instrText>
      </w:r>
      <w:r w:rsidRPr="00893FDE">
        <w:rPr>
          <w:rFonts w:hint="cs"/>
          <w:b/>
          <w:bCs/>
          <w:rtl/>
        </w:rPr>
        <w:instrText xml:space="preserve"> _</w:instrText>
      </w:r>
      <w:r w:rsidRPr="00893FDE">
        <w:rPr>
          <w:rFonts w:hint="cs"/>
          <w:b/>
          <w:bCs/>
        </w:rPr>
        <w:instrText>Ref145399915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קנה)</w:t>
      </w:r>
      <w:r w:rsidRPr="00893FDE">
        <w:rPr>
          <w:b/>
          <w:bCs/>
          <w:rtl/>
        </w:rPr>
        <w:fldChar w:fldCharType="end"/>
      </w:r>
      <w:r w:rsidRPr="00893FDE">
        <w:rPr>
          <w:rFonts w:hint="cs"/>
          <w:b/>
          <w:bCs/>
          <w:rtl/>
        </w:rPr>
        <w:t xml:space="preserve"> </w:t>
      </w:r>
      <w:r w:rsidRPr="00893FDE">
        <w:rPr>
          <w:rFonts w:hint="cs"/>
          <w:rtl/>
        </w:rPr>
        <w:t>ריטב"א בתי' הב'</w:t>
      </w:r>
      <w:r w:rsidRPr="00893FDE">
        <w:rPr>
          <w:rtl/>
        </w:rPr>
        <w:t xml:space="preserve"> </w:t>
      </w:r>
      <w:r w:rsidRPr="00893FDE">
        <w:rPr>
          <w:rStyle w:val="afffffffff3"/>
          <w:rtl/>
        </w:rPr>
        <w:t>(</w:t>
      </w:r>
      <w:r w:rsidRPr="00893FDE">
        <w:rPr>
          <w:rStyle w:val="afffffffff3"/>
          <w:rFonts w:hint="cs"/>
          <w:rtl/>
        </w:rPr>
        <w:t>סוד"ה ואי קשיא</w:t>
      </w:r>
      <w:r w:rsidRPr="00893FDE">
        <w:rPr>
          <w:rStyle w:val="afffffffff3"/>
          <w:rtl/>
        </w:rPr>
        <w:t>)</w:t>
      </w:r>
      <w:r>
        <w:rPr>
          <w:rtl/>
        </w:rPr>
        <w:t>,</w:t>
      </w:r>
      <w:r w:rsidRPr="00893FDE">
        <w:rPr>
          <w:rFonts w:hint="cs"/>
          <w:b/>
          <w:bCs/>
          <w:rtl/>
        </w:rPr>
        <w:t xml:space="preserve"> </w:t>
      </w:r>
      <w:r w:rsidRPr="00893FDE">
        <w:rPr>
          <w:b/>
          <w:bCs/>
          <w:rtl/>
        </w:rPr>
        <w:fldChar w:fldCharType="begin"/>
      </w:r>
      <w:r w:rsidRPr="00893FDE">
        <w:rPr>
          <w:b/>
          <w:bCs/>
          <w:rtl/>
        </w:rPr>
        <w:instrText xml:space="preserve"> </w:instrText>
      </w:r>
      <w:r w:rsidRPr="00893FDE">
        <w:rPr>
          <w:rFonts w:hint="cs"/>
          <w:b/>
          <w:bCs/>
        </w:rPr>
        <w:instrText>REF</w:instrText>
      </w:r>
      <w:r w:rsidRPr="00893FDE">
        <w:rPr>
          <w:rFonts w:hint="cs"/>
          <w:b/>
          <w:bCs/>
          <w:rtl/>
        </w:rPr>
        <w:instrText xml:space="preserve"> _</w:instrText>
      </w:r>
      <w:r w:rsidRPr="00893FDE">
        <w:rPr>
          <w:rFonts w:hint="cs"/>
          <w:b/>
          <w:bCs/>
        </w:rPr>
        <w:instrText>Ref145323373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קנו)</w:t>
      </w:r>
      <w:r w:rsidRPr="00893FDE">
        <w:rPr>
          <w:b/>
          <w:bCs/>
          <w:rtl/>
        </w:rPr>
        <w:fldChar w:fldCharType="end"/>
      </w:r>
      <w:r w:rsidRPr="00893FDE">
        <w:rPr>
          <w:rFonts w:hint="cs"/>
          <w:b/>
          <w:bCs/>
          <w:rtl/>
        </w:rPr>
        <w:t xml:space="preserve"> </w:t>
      </w:r>
      <w:r w:rsidRPr="00893FDE">
        <w:rPr>
          <w:rFonts w:hint="cs"/>
          <w:rtl/>
        </w:rPr>
        <w:t>מאירי לעיל</w:t>
      </w:r>
      <w:r w:rsidRPr="00893FDE">
        <w:rPr>
          <w:rtl/>
        </w:rPr>
        <w:t xml:space="preserve"> </w:t>
      </w:r>
      <w:r w:rsidRPr="00893FDE">
        <w:rPr>
          <w:rStyle w:val="afffffffff3"/>
          <w:rtl/>
        </w:rPr>
        <w:t>(</w:t>
      </w:r>
      <w:r w:rsidRPr="00893FDE">
        <w:rPr>
          <w:rStyle w:val="afffffffff3"/>
          <w:rFonts w:hint="cs"/>
          <w:rtl/>
        </w:rPr>
        <w:t>מז. סוד"ה מטה</w:t>
      </w:r>
      <w:r w:rsidRPr="00893FDE">
        <w:rPr>
          <w:rStyle w:val="afffffffff3"/>
          <w:rtl/>
        </w:rPr>
        <w:t>)</w:t>
      </w:r>
      <w:r>
        <w:rPr>
          <w:rtl/>
        </w:rPr>
        <w:t xml:space="preserve"> </w:t>
      </w:r>
      <w:r w:rsidRPr="00893FDE">
        <w:rPr>
          <w:rFonts w:hint="cs"/>
          <w:rtl/>
        </w:rPr>
        <w:t>כל בו</w:t>
      </w:r>
      <w:r w:rsidRPr="00893FDE">
        <w:rPr>
          <w:rtl/>
        </w:rPr>
        <w:t xml:space="preserve"> </w:t>
      </w:r>
      <w:r w:rsidRPr="00893FDE">
        <w:rPr>
          <w:rStyle w:val="afffffffff3"/>
          <w:rtl/>
        </w:rPr>
        <w:t>(</w:t>
      </w:r>
      <w:r w:rsidRPr="00893FDE">
        <w:rPr>
          <w:rStyle w:val="afffffffff3"/>
          <w:rFonts w:hint="cs"/>
          <w:rtl/>
        </w:rPr>
        <w:t xml:space="preserve">סי' ל"א ד"ה העושה אוהל, הועתק בקובץ </w:t>
      </w:r>
      <w:r w:rsidRPr="00893FDE">
        <w:rPr>
          <w:rStyle w:val="afffffffff3"/>
          <w:rtl/>
        </w:rPr>
        <w:t>שי</w:t>
      </w:r>
      <w:r w:rsidRPr="00893FDE">
        <w:rPr>
          <w:rStyle w:val="afffffffff3"/>
          <w:rFonts w:hint="cs"/>
          <w:rtl/>
        </w:rPr>
        <w:t>ט</w:t>
      </w:r>
      <w:r w:rsidRPr="00893FDE">
        <w:rPr>
          <w:rStyle w:val="afffffffff3"/>
          <w:rtl/>
        </w:rPr>
        <w:t xml:space="preserve">ות קמאי שבת </w:t>
      </w:r>
      <w:r w:rsidRPr="00893FDE">
        <w:rPr>
          <w:rStyle w:val="afffffffff3"/>
          <w:rFonts w:hint="cs"/>
          <w:rtl/>
        </w:rPr>
        <w:t xml:space="preserve">ח"ד עמ' </w:t>
      </w:r>
      <w:r w:rsidRPr="00893FDE">
        <w:rPr>
          <w:rStyle w:val="afffffffff3"/>
          <w:rtl/>
        </w:rPr>
        <w:t>ב' אלף כ</w:t>
      </w:r>
      <w:r w:rsidRPr="00893FDE">
        <w:rPr>
          <w:rStyle w:val="afffffffff3"/>
          <w:rFonts w:hint="cs"/>
          <w:rtl/>
        </w:rPr>
        <w:t>"</w:t>
      </w:r>
      <w:r w:rsidRPr="00893FDE">
        <w:rPr>
          <w:rStyle w:val="afffffffff3"/>
          <w:rtl/>
        </w:rPr>
        <w:t>א)</w:t>
      </w:r>
      <w:r w:rsidRPr="00893FDE">
        <w:rPr>
          <w:rFonts w:hint="cs"/>
          <w:rtl/>
        </w:rPr>
        <w:t xml:space="preserve"> בשם</w:t>
      </w:r>
      <w:r w:rsidRPr="00893FDE">
        <w:rPr>
          <w:rtl/>
        </w:rPr>
        <w:t xml:space="preserve"> </w:t>
      </w:r>
      <w:r w:rsidRPr="00893FDE">
        <w:rPr>
          <w:rFonts w:hint="cs"/>
          <w:rtl/>
        </w:rPr>
        <w:t>הראב"ד</w:t>
      </w:r>
      <w:r>
        <w:rPr>
          <w:rtl/>
        </w:rPr>
        <w:t>,</w:t>
      </w:r>
      <w:r w:rsidRPr="00893FDE">
        <w:rPr>
          <w:rFonts w:hint="cs"/>
          <w:b/>
          <w:bCs/>
          <w:rtl/>
        </w:rPr>
        <w:t xml:space="preserve"> </w:t>
      </w:r>
      <w:r w:rsidRPr="00893FDE">
        <w:rPr>
          <w:b/>
          <w:bCs/>
          <w:rtl/>
        </w:rPr>
        <w:fldChar w:fldCharType="begin"/>
      </w:r>
      <w:r w:rsidRPr="00893FDE">
        <w:rPr>
          <w:b/>
          <w:bCs/>
          <w:rtl/>
        </w:rPr>
        <w:instrText xml:space="preserve"> </w:instrText>
      </w:r>
      <w:r w:rsidRPr="00893FDE">
        <w:rPr>
          <w:rFonts w:hint="cs"/>
          <w:b/>
          <w:bCs/>
        </w:rPr>
        <w:instrText>REF</w:instrText>
      </w:r>
      <w:r w:rsidRPr="00893FDE">
        <w:rPr>
          <w:rFonts w:hint="cs"/>
          <w:b/>
          <w:bCs/>
          <w:rtl/>
        </w:rPr>
        <w:instrText xml:space="preserve"> _</w:instrText>
      </w:r>
      <w:r w:rsidRPr="00893FDE">
        <w:rPr>
          <w:rFonts w:hint="cs"/>
          <w:b/>
          <w:bCs/>
        </w:rPr>
        <w:instrText>Ref144456789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קנז)</w:t>
      </w:r>
      <w:r w:rsidRPr="00893FDE">
        <w:rPr>
          <w:b/>
          <w:bCs/>
          <w:rtl/>
        </w:rPr>
        <w:fldChar w:fldCharType="end"/>
      </w:r>
      <w:r w:rsidRPr="00893FDE">
        <w:rPr>
          <w:rFonts w:hint="cs"/>
          <w:b/>
          <w:bCs/>
          <w:rtl/>
        </w:rPr>
        <w:t xml:space="preserve"> </w:t>
      </w:r>
      <w:r w:rsidRPr="00893FDE">
        <w:rPr>
          <w:rFonts w:hint="cs"/>
          <w:rtl/>
        </w:rPr>
        <w:t>סמ"ג</w:t>
      </w:r>
      <w:r w:rsidRPr="00893FDE">
        <w:rPr>
          <w:rtl/>
        </w:rPr>
        <w:t xml:space="preserve"> </w:t>
      </w:r>
      <w:r w:rsidRPr="00893FDE">
        <w:rPr>
          <w:rStyle w:val="afffffffff3"/>
          <w:rtl/>
        </w:rPr>
        <w:t>(</w:t>
      </w:r>
      <w:r w:rsidRPr="00893FDE">
        <w:rPr>
          <w:rStyle w:val="afffffffff3"/>
          <w:rFonts w:hint="cs"/>
          <w:rtl/>
        </w:rPr>
        <w:t>לאוין ס"ה אות ל"ד הבונה, הועתק ב</w:t>
      </w:r>
      <w:r w:rsidRPr="00893FDE">
        <w:rPr>
          <w:rStyle w:val="afffffffff3"/>
          <w:rtl/>
        </w:rPr>
        <w:t>קובץ שיטות קמאי</w:t>
      </w:r>
      <w:r w:rsidRPr="00893FDE">
        <w:rPr>
          <w:rStyle w:val="afffffffff3"/>
          <w:rFonts w:hint="cs"/>
          <w:rtl/>
        </w:rPr>
        <w:t xml:space="preserve"> שבת ח"ב עמ' תשנ"ד</w:t>
      </w:r>
      <w:r w:rsidRPr="00893FDE">
        <w:rPr>
          <w:rStyle w:val="afffffffff3"/>
          <w:rtl/>
        </w:rPr>
        <w:t>)</w:t>
      </w:r>
      <w:r>
        <w:rPr>
          <w:rtl/>
        </w:rPr>
        <w:t>,</w:t>
      </w:r>
      <w:r w:rsidRPr="00893FDE">
        <w:rPr>
          <w:b/>
          <w:bCs/>
          <w:rtl/>
        </w:rPr>
        <w:t xml:space="preserve"> </w:t>
      </w:r>
      <w:r w:rsidRPr="00893FDE">
        <w:rPr>
          <w:b/>
          <w:bCs/>
          <w:rtl/>
        </w:rPr>
        <w:fldChar w:fldCharType="begin"/>
      </w:r>
      <w:r w:rsidRPr="00893FDE">
        <w:rPr>
          <w:b/>
          <w:bCs/>
          <w:rtl/>
        </w:rPr>
        <w:instrText xml:space="preserve"> </w:instrText>
      </w:r>
      <w:r w:rsidRPr="00893FDE">
        <w:rPr>
          <w:b/>
          <w:bCs/>
        </w:rPr>
        <w:instrText>REF</w:instrText>
      </w:r>
      <w:r w:rsidRPr="00893FDE">
        <w:rPr>
          <w:b/>
          <w:bCs/>
          <w:rtl/>
        </w:rPr>
        <w:instrText xml:space="preserve"> _</w:instrText>
      </w:r>
      <w:r w:rsidRPr="00893FDE">
        <w:rPr>
          <w:b/>
          <w:bCs/>
        </w:rPr>
        <w:instrText>Ref145369047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קנח)</w:t>
      </w:r>
      <w:r w:rsidRPr="00893FDE">
        <w:rPr>
          <w:b/>
          <w:bCs/>
          <w:rtl/>
        </w:rPr>
        <w:fldChar w:fldCharType="end"/>
      </w:r>
      <w:r w:rsidRPr="00893FDE">
        <w:rPr>
          <w:b/>
          <w:bCs/>
          <w:rtl/>
        </w:rPr>
        <w:t xml:space="preserve"> </w:t>
      </w:r>
      <w:r w:rsidRPr="00893FDE">
        <w:rPr>
          <w:rFonts w:hint="cs"/>
          <w:rtl/>
        </w:rPr>
        <w:t>שו"ע</w:t>
      </w:r>
      <w:r w:rsidRPr="00893FDE">
        <w:rPr>
          <w:rtl/>
        </w:rPr>
        <w:t xml:space="preserve"> </w:t>
      </w:r>
      <w:r w:rsidRPr="00893FDE">
        <w:rPr>
          <w:rStyle w:val="afffffffff3"/>
          <w:rtl/>
        </w:rPr>
        <w:t>(</w:t>
      </w:r>
      <w:r w:rsidRPr="00893FDE">
        <w:rPr>
          <w:rStyle w:val="afffffffff3"/>
          <w:rFonts w:hint="cs"/>
          <w:rtl/>
        </w:rPr>
        <w:t>סי' שי"ג ו'</w:t>
      </w:r>
      <w:r w:rsidRPr="00893FDE">
        <w:rPr>
          <w:rStyle w:val="afffffffff3"/>
          <w:rtl/>
        </w:rPr>
        <w:t>)</w:t>
      </w:r>
      <w:r>
        <w:rPr>
          <w:rtl/>
        </w:rPr>
        <w:t xml:space="preserve"> </w:t>
      </w:r>
      <w:r w:rsidRPr="00893FDE">
        <w:rPr>
          <w:rFonts w:hint="cs"/>
          <w:rtl/>
        </w:rPr>
        <w:t>רמ"א</w:t>
      </w:r>
      <w:r>
        <w:rPr>
          <w:rtl/>
        </w:rPr>
        <w:t xml:space="preserve"> </w:t>
      </w:r>
      <w:r w:rsidRPr="00893FDE">
        <w:rPr>
          <w:rFonts w:hint="cs"/>
          <w:rtl/>
        </w:rPr>
        <w:t>המג"א</w:t>
      </w:r>
      <w:r w:rsidRPr="00893FDE">
        <w:rPr>
          <w:rtl/>
        </w:rPr>
        <w:t xml:space="preserve"> </w:t>
      </w:r>
      <w:r w:rsidRPr="00893FDE">
        <w:rPr>
          <w:rStyle w:val="afffffffff3"/>
          <w:rtl/>
        </w:rPr>
        <w:t>(</w:t>
      </w:r>
      <w:r w:rsidRPr="00893FDE">
        <w:rPr>
          <w:rStyle w:val="afffffffff3"/>
          <w:rFonts w:hint="cs"/>
          <w:rtl/>
        </w:rPr>
        <w:t>סי' שי"ג סקי"א</w:t>
      </w:r>
      <w:r w:rsidRPr="00893FDE">
        <w:rPr>
          <w:rStyle w:val="afffffffff3"/>
          <w:rtl/>
        </w:rPr>
        <w:t>)</w:t>
      </w:r>
      <w:r>
        <w:rPr>
          <w:rtl/>
        </w:rPr>
        <w:t>,</w:t>
      </w:r>
      <w:r w:rsidRPr="00893FDE">
        <w:rPr>
          <w:b/>
          <w:bCs/>
          <w:rtl/>
        </w:rPr>
        <w:t xml:space="preserve"> </w:t>
      </w:r>
      <w:r w:rsidRPr="00893FDE">
        <w:rPr>
          <w:b/>
          <w:bCs/>
          <w:rtl/>
        </w:rPr>
        <w:fldChar w:fldCharType="begin"/>
      </w:r>
      <w:r w:rsidRPr="00893FDE">
        <w:rPr>
          <w:b/>
          <w:bCs/>
          <w:rtl/>
        </w:rPr>
        <w:instrText xml:space="preserve"> </w:instrText>
      </w:r>
      <w:r w:rsidRPr="00893FDE">
        <w:rPr>
          <w:b/>
          <w:bCs/>
        </w:rPr>
        <w:instrText>REF</w:instrText>
      </w:r>
      <w:r w:rsidRPr="00893FDE">
        <w:rPr>
          <w:b/>
          <w:bCs/>
          <w:rtl/>
        </w:rPr>
        <w:instrText xml:space="preserve"> _</w:instrText>
      </w:r>
      <w:r w:rsidRPr="00893FDE">
        <w:rPr>
          <w:b/>
          <w:bCs/>
        </w:rPr>
        <w:instrText>Ref145319966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קנט)</w:t>
      </w:r>
      <w:r w:rsidRPr="00893FDE">
        <w:rPr>
          <w:b/>
          <w:bCs/>
          <w:rtl/>
        </w:rPr>
        <w:fldChar w:fldCharType="end"/>
      </w:r>
      <w:r>
        <w:rPr>
          <w:b/>
          <w:bCs/>
          <w:rtl/>
        </w:rPr>
        <w:t xml:space="preserve"> </w:t>
      </w:r>
      <w:r w:rsidRPr="00893FDE">
        <w:rPr>
          <w:rFonts w:hint="cs"/>
          <w:rtl/>
        </w:rPr>
        <w:t xml:space="preserve">חזו"א </w:t>
      </w:r>
      <w:r w:rsidRPr="00893FDE">
        <w:rPr>
          <w:rStyle w:val="afffffffff3"/>
          <w:rtl/>
        </w:rPr>
        <w:t>(</w:t>
      </w:r>
      <w:r w:rsidRPr="00893FDE">
        <w:rPr>
          <w:rStyle w:val="afffffffff3"/>
          <w:rFonts w:hint="cs"/>
          <w:rtl/>
        </w:rPr>
        <w:t>סי' נ' סק"י ד"ה ובתו'</w:t>
      </w:r>
      <w:r w:rsidRPr="00893FDE">
        <w:rPr>
          <w:rStyle w:val="afffffffff3"/>
          <w:rtl/>
        </w:rPr>
        <w:t>)</w:t>
      </w:r>
      <w:r>
        <w:rPr>
          <w:rtl/>
        </w:rPr>
        <w:t>,</w:t>
      </w:r>
      <w:r w:rsidRPr="00893FDE">
        <w:rPr>
          <w:b/>
          <w:bCs/>
          <w:rtl/>
        </w:rPr>
        <w:t xml:space="preserve"> </w:t>
      </w:r>
      <w:r w:rsidRPr="00893FDE">
        <w:rPr>
          <w:b/>
          <w:bCs/>
          <w:rtl/>
        </w:rPr>
        <w:fldChar w:fldCharType="begin"/>
      </w:r>
      <w:r w:rsidRPr="00893FDE">
        <w:rPr>
          <w:b/>
          <w:bCs/>
          <w:rtl/>
        </w:rPr>
        <w:instrText xml:space="preserve"> </w:instrText>
      </w:r>
      <w:r w:rsidRPr="00893FDE">
        <w:rPr>
          <w:b/>
          <w:bCs/>
        </w:rPr>
        <w:instrText>REF</w:instrText>
      </w:r>
      <w:r w:rsidRPr="00893FDE">
        <w:rPr>
          <w:b/>
          <w:bCs/>
          <w:rtl/>
        </w:rPr>
        <w:instrText xml:space="preserve"> _</w:instrText>
      </w:r>
      <w:r w:rsidRPr="00893FDE">
        <w:rPr>
          <w:b/>
          <w:bCs/>
        </w:rPr>
        <w:instrText>Ref145321274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קס)</w:t>
      </w:r>
      <w:r w:rsidRPr="00893FDE">
        <w:rPr>
          <w:b/>
          <w:bCs/>
          <w:rtl/>
        </w:rPr>
        <w:fldChar w:fldCharType="end"/>
      </w:r>
      <w:r w:rsidRPr="00893FDE">
        <w:rPr>
          <w:b/>
          <w:bCs/>
          <w:rtl/>
        </w:rPr>
        <w:t xml:space="preserve"> </w:t>
      </w:r>
      <w:r w:rsidRPr="00893FDE">
        <w:rPr>
          <w:rFonts w:hint="cs"/>
          <w:rtl/>
        </w:rPr>
        <w:t>טור</w:t>
      </w:r>
      <w:r w:rsidRPr="00893FDE">
        <w:rPr>
          <w:rtl/>
        </w:rPr>
        <w:t xml:space="preserve"> </w:t>
      </w:r>
      <w:r w:rsidRPr="00893FDE">
        <w:rPr>
          <w:rStyle w:val="afffffffff3"/>
          <w:rtl/>
        </w:rPr>
        <w:t>(</w:t>
      </w:r>
      <w:r w:rsidRPr="00893FDE">
        <w:rPr>
          <w:rStyle w:val="afffffffff3"/>
          <w:rFonts w:hint="cs"/>
          <w:rtl/>
        </w:rPr>
        <w:t>סי' שי"ג ו'</w:t>
      </w:r>
      <w:r w:rsidRPr="00893FDE">
        <w:rPr>
          <w:rStyle w:val="afffffffff3"/>
          <w:rtl/>
        </w:rPr>
        <w:t>)</w:t>
      </w:r>
      <w:r>
        <w:rPr>
          <w:rtl/>
        </w:rPr>
        <w:t>,</w:t>
      </w:r>
      <w:r w:rsidRPr="00893FDE">
        <w:rPr>
          <w:b/>
          <w:bCs/>
          <w:rtl/>
        </w:rPr>
        <w:t xml:space="preserve"> </w:t>
      </w:r>
      <w:r w:rsidRPr="00893FDE">
        <w:rPr>
          <w:b/>
          <w:bCs/>
          <w:rtl/>
        </w:rPr>
        <w:fldChar w:fldCharType="begin"/>
      </w:r>
      <w:r w:rsidRPr="00893FDE">
        <w:rPr>
          <w:b/>
          <w:bCs/>
          <w:rtl/>
        </w:rPr>
        <w:instrText xml:space="preserve"> </w:instrText>
      </w:r>
      <w:r w:rsidRPr="00893FDE">
        <w:rPr>
          <w:b/>
          <w:bCs/>
        </w:rPr>
        <w:instrText>REF</w:instrText>
      </w:r>
      <w:r w:rsidRPr="00893FDE">
        <w:rPr>
          <w:b/>
          <w:bCs/>
          <w:rtl/>
        </w:rPr>
        <w:instrText xml:space="preserve"> _</w:instrText>
      </w:r>
      <w:r w:rsidRPr="00893FDE">
        <w:rPr>
          <w:b/>
          <w:bCs/>
        </w:rPr>
        <w:instrText>Ref145369065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קסא)</w:t>
      </w:r>
      <w:r w:rsidRPr="00893FDE">
        <w:rPr>
          <w:b/>
          <w:bCs/>
          <w:rtl/>
        </w:rPr>
        <w:fldChar w:fldCharType="end"/>
      </w:r>
      <w:r w:rsidRPr="00893FDE">
        <w:rPr>
          <w:b/>
          <w:bCs/>
          <w:rtl/>
        </w:rPr>
        <w:t xml:space="preserve"> </w:t>
      </w:r>
      <w:r w:rsidRPr="00893FDE">
        <w:rPr>
          <w:rFonts w:hint="cs"/>
          <w:rtl/>
        </w:rPr>
        <w:t>ב"י</w:t>
      </w:r>
      <w:r w:rsidRPr="00893FDE">
        <w:rPr>
          <w:rtl/>
        </w:rPr>
        <w:t xml:space="preserve"> </w:t>
      </w:r>
      <w:r w:rsidRPr="00893FDE">
        <w:rPr>
          <w:rStyle w:val="afffffffff3"/>
          <w:rtl/>
        </w:rPr>
        <w:t>(</w:t>
      </w:r>
      <w:r w:rsidRPr="00893FDE">
        <w:rPr>
          <w:rStyle w:val="afffffffff3"/>
          <w:rFonts w:hint="cs"/>
          <w:rtl/>
        </w:rPr>
        <w:t>סי' שי"ג ו'</w:t>
      </w:r>
      <w:r w:rsidRPr="00893FDE">
        <w:rPr>
          <w:rStyle w:val="afffffffff3"/>
          <w:rtl/>
        </w:rPr>
        <w:t>)</w:t>
      </w:r>
      <w:r>
        <w:rPr>
          <w:rtl/>
        </w:rPr>
        <w:t>,</w:t>
      </w:r>
      <w:r w:rsidRPr="00893FDE">
        <w:rPr>
          <w:b/>
          <w:bCs/>
          <w:rtl/>
        </w:rPr>
        <w:t xml:space="preserve"> </w:t>
      </w:r>
      <w:r w:rsidRPr="00893FDE">
        <w:rPr>
          <w:b/>
          <w:bCs/>
          <w:rtl/>
        </w:rPr>
        <w:fldChar w:fldCharType="begin"/>
      </w:r>
      <w:r w:rsidRPr="00893FDE">
        <w:rPr>
          <w:b/>
          <w:bCs/>
          <w:rtl/>
        </w:rPr>
        <w:instrText xml:space="preserve"> </w:instrText>
      </w:r>
      <w:r w:rsidRPr="00893FDE">
        <w:rPr>
          <w:b/>
          <w:bCs/>
        </w:rPr>
        <w:instrText>REF</w:instrText>
      </w:r>
      <w:r w:rsidRPr="00893FDE">
        <w:rPr>
          <w:b/>
          <w:bCs/>
          <w:rtl/>
        </w:rPr>
        <w:instrText xml:space="preserve"> _</w:instrText>
      </w:r>
      <w:r w:rsidRPr="00893FDE">
        <w:rPr>
          <w:b/>
          <w:bCs/>
        </w:rPr>
        <w:instrText>Ref145325532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קסב)</w:t>
      </w:r>
      <w:r w:rsidRPr="00893FDE">
        <w:rPr>
          <w:b/>
          <w:bCs/>
          <w:rtl/>
        </w:rPr>
        <w:fldChar w:fldCharType="end"/>
      </w:r>
      <w:r w:rsidRPr="00893FDE">
        <w:rPr>
          <w:b/>
          <w:bCs/>
          <w:rtl/>
        </w:rPr>
        <w:t xml:space="preserve"> </w:t>
      </w:r>
      <w:r w:rsidRPr="00893FDE">
        <w:rPr>
          <w:rFonts w:hint="cs"/>
          <w:rtl/>
        </w:rPr>
        <w:t>חזו"א</w:t>
      </w:r>
      <w:r w:rsidRPr="00893FDE">
        <w:rPr>
          <w:rtl/>
        </w:rPr>
        <w:t xml:space="preserve"> </w:t>
      </w:r>
      <w:r w:rsidRPr="00893FDE">
        <w:rPr>
          <w:rStyle w:val="afffffffff3"/>
          <w:rtl/>
        </w:rPr>
        <w:t>(</w:t>
      </w:r>
      <w:r w:rsidRPr="00893FDE">
        <w:rPr>
          <w:rStyle w:val="afffffffff3"/>
          <w:rFonts w:hint="cs"/>
          <w:rtl/>
        </w:rPr>
        <w:t>סי' נ' סק"י ד"ה ובב"י</w:t>
      </w:r>
      <w:r w:rsidRPr="00893FDE">
        <w:rPr>
          <w:rStyle w:val="afffffffff3"/>
          <w:rtl/>
        </w:rPr>
        <w:t>)</w:t>
      </w:r>
      <w:r>
        <w:rPr>
          <w:rtl/>
        </w:rPr>
        <w:t>.</w:t>
      </w:r>
    </w:p>
    <w:p w14:paraId="1F243EA0" w14:textId="77777777" w:rsidR="000F6808" w:rsidRDefault="000F6808" w:rsidP="000F6808">
      <w:pPr>
        <w:pStyle w:val="TOC2"/>
        <w:rPr>
          <w:rFonts w:cstheme="minorBidi"/>
          <w:b w:val="0"/>
          <w:bCs w:val="0"/>
          <w:sz w:val="22"/>
          <w:szCs w:val="22"/>
          <w:rtl/>
        </w:rPr>
      </w:pPr>
      <w:hyperlink w:anchor="_Toc145487139" w:history="1">
        <w:r w:rsidRPr="005E0C1D">
          <w:rPr>
            <w:rStyle w:val="Hyperlink"/>
            <w:rtl/>
          </w:rPr>
          <w:t>הסוברים דגזירת שמא יתקע רק בדבר שהרגילות לתקוע אותו</w:t>
        </w:r>
      </w:hyperlink>
    </w:p>
    <w:p w14:paraId="4C8350F9"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40" w:history="1">
        <w:r w:rsidRPr="005E0C1D">
          <w:rPr>
            <w:rStyle w:val="Hyperlink"/>
            <w:rtl/>
          </w:rPr>
          <w:t>בי' התוס' וההג' אשרי דהגזירה שמא יתקע בדבר דהרגילות לתקוע ובאין רגילות קיי"ל כרשב"ג</w:t>
        </w:r>
      </w:hyperlink>
    </w:p>
    <w:p w14:paraId="64C639EB"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41" w:history="1">
        <w:r w:rsidRPr="005E0C1D">
          <w:rPr>
            <w:rStyle w:val="Hyperlink"/>
            <w:rtl/>
          </w:rPr>
          <w:t>בי' הריטב"א דברגילין לתקוע גזרו אטו תוקע דמכב"פ ורק משום שמחת יו"ט התירו תריסין</w:t>
        </w:r>
      </w:hyperlink>
    </w:p>
    <w:p w14:paraId="23A8E7EE"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42" w:history="1">
        <w:r w:rsidRPr="005E0C1D">
          <w:rPr>
            <w:rStyle w:val="Hyperlink"/>
            <w:rtl/>
          </w:rPr>
          <w:t>בי' המאירי והכל בו בשם הראב"ד דבאין דרך לשומטו ומקפיד גזרו שמא יתקע ובלא"ה לא גזרו</w:t>
        </w:r>
      </w:hyperlink>
    </w:p>
    <w:p w14:paraId="21D65D18" w14:textId="77777777" w:rsidR="000F6808" w:rsidRDefault="000F6808" w:rsidP="000F6808">
      <w:pPr>
        <w:pStyle w:val="TOC2"/>
        <w:rPr>
          <w:rFonts w:cstheme="minorBidi"/>
          <w:b w:val="0"/>
          <w:bCs w:val="0"/>
          <w:sz w:val="22"/>
          <w:szCs w:val="22"/>
          <w:rtl/>
        </w:rPr>
      </w:pPr>
      <w:hyperlink w:anchor="_Toc145487143" w:history="1">
        <w:r w:rsidRPr="005E0C1D">
          <w:rPr>
            <w:rStyle w:val="Hyperlink"/>
            <w:rtl/>
          </w:rPr>
          <w:t>בי' הסמ"ג דרק בדבר שצריך גבורה ואומנות גזרו שמא יתקע</w:t>
        </w:r>
      </w:hyperlink>
    </w:p>
    <w:p w14:paraId="37BE2E12"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44" w:history="1">
        <w:r w:rsidRPr="005E0C1D">
          <w:rPr>
            <w:rStyle w:val="Hyperlink"/>
            <w:rtl/>
          </w:rPr>
          <w:t>בי' הסמ"ג דבדלתות גזרו כיון דבדבר שצריך גבורה יש בנין בכלים ובא"צ גבורה דרפוי מותר</w:t>
        </w:r>
      </w:hyperlink>
    </w:p>
    <w:p w14:paraId="15FA45E7"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45" w:history="1">
        <w:r w:rsidRPr="005E0C1D">
          <w:rPr>
            <w:rStyle w:val="Hyperlink"/>
            <w:rtl/>
          </w:rPr>
          <w:t>בי' המג"א ברמ"א דפסק ככל בו דגזרו ברפוי ודרכו להדק ודלא כסמ"ג דאוסר רק באומנות</w:t>
        </w:r>
      </w:hyperlink>
    </w:p>
    <w:p w14:paraId="3D586ED5"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46" w:history="1">
        <w:r w:rsidRPr="005E0C1D">
          <w:rPr>
            <w:rStyle w:val="Hyperlink"/>
            <w:rtl/>
          </w:rPr>
          <w:t>בי' החזו"א בתוס' ובהג' אשר"י דכל שלא תקע הוי רפוי אף מהדק ובדלתות גזרו דרגילות לתקוע</w:t>
        </w:r>
      </w:hyperlink>
    </w:p>
    <w:p w14:paraId="04A0B8E6"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47" w:history="1">
        <w:r w:rsidRPr="005E0C1D">
          <w:rPr>
            <w:rStyle w:val="Hyperlink"/>
            <w:rtl/>
          </w:rPr>
          <w:t>פלו' הטור והמהר"ם מרוטנבורג בכוס של פרקים אי מותר ברפוי או דאין דרך להדק ולעולם מותר</w:t>
        </w:r>
      </w:hyperlink>
    </w:p>
    <w:p w14:paraId="24E20907"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48" w:history="1">
        <w:r w:rsidRPr="005E0C1D">
          <w:rPr>
            <w:rStyle w:val="Hyperlink"/>
            <w:rtl/>
          </w:rPr>
          <w:t>בי' הב"י ברמב"ם ובטור ובהג' אשר"י וכל בו וראב"ד דהיתר רפוי רק בדבר שאין רגילות להדקו</w:t>
        </w:r>
      </w:hyperlink>
    </w:p>
    <w:p w14:paraId="0E81113C"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49" w:history="1">
        <w:r w:rsidRPr="005E0C1D">
          <w:rPr>
            <w:rStyle w:val="Hyperlink"/>
            <w:rtl/>
          </w:rPr>
          <w:t>קו' החזו"א דאין הוכחה מדברי הראשונים דהיתר רפוי רק ברגילות אלא דרפוי מותר בכל אופן</w:t>
        </w:r>
      </w:hyperlink>
    </w:p>
    <w:p w14:paraId="087EED69"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50" w:history="1">
        <w:r w:rsidRPr="005E0C1D">
          <w:rPr>
            <w:rStyle w:val="Hyperlink"/>
            <w:rtl/>
          </w:rPr>
          <w:t>בי' החזו"א דבשו"ע אפש"ל דחזר בו ממ"ש בב"י ואין מקור דברי הרמ"א דברגילות רפוי אסור</w:t>
        </w:r>
      </w:hyperlink>
    </w:p>
    <w:p w14:paraId="08669AFB" w14:textId="77777777" w:rsidR="000F6808" w:rsidRDefault="000F6808" w:rsidP="000F6808">
      <w:pPr>
        <w:pStyle w:val="TOC1"/>
        <w:rPr>
          <w:rFonts w:asciiTheme="minorHAnsi" w:hAnsiTheme="minorHAnsi" w:cstheme="minorBidi"/>
          <w:b w:val="0"/>
          <w:bCs w:val="0"/>
          <w:caps w:val="0"/>
          <w:sz w:val="22"/>
          <w:szCs w:val="22"/>
          <w:rtl/>
        </w:rPr>
      </w:pPr>
      <w:hyperlink w:anchor="_Toc145487151" w:history="1">
        <w:r w:rsidRPr="005E0C1D">
          <w:rPr>
            <w:rStyle w:val="Hyperlink"/>
            <w:rtl/>
          </w:rPr>
          <w:t>~~~~~~~~~~~~~~~~~~~~~~~~~~~~</w:t>
        </w:r>
      </w:hyperlink>
    </w:p>
    <w:p w14:paraId="63544DBF" w14:textId="77777777" w:rsidR="000F6808" w:rsidRDefault="000F6808" w:rsidP="000F6808">
      <w:pPr>
        <w:pStyle w:val="TOC1"/>
        <w:rPr>
          <w:rFonts w:asciiTheme="minorHAnsi" w:hAnsiTheme="minorHAnsi" w:cstheme="minorBidi"/>
          <w:b w:val="0"/>
          <w:bCs w:val="0"/>
          <w:caps w:val="0"/>
          <w:sz w:val="22"/>
          <w:szCs w:val="22"/>
          <w:rtl/>
        </w:rPr>
      </w:pPr>
      <w:hyperlink w:anchor="_Toc145487152" w:history="1">
        <w:r w:rsidRPr="005E0C1D">
          <w:rPr>
            <w:rStyle w:val="Hyperlink"/>
            <w:rtl/>
          </w:rPr>
          <w:t>בביאור הסוגיא דמטה של טרסיים</w:t>
        </w:r>
      </w:hyperlink>
    </w:p>
    <w:p w14:paraId="34378BED" w14:textId="77777777" w:rsidR="000F6808" w:rsidRDefault="000F6808" w:rsidP="000F6808">
      <w:pPr>
        <w:pStyle w:val="TOC2"/>
        <w:rPr>
          <w:rFonts w:cstheme="minorBidi"/>
          <w:b w:val="0"/>
          <w:bCs w:val="0"/>
          <w:sz w:val="22"/>
          <w:szCs w:val="22"/>
          <w:rtl/>
        </w:rPr>
      </w:pPr>
      <w:hyperlink w:anchor="_Toc145487153" w:history="1">
        <w:r w:rsidRPr="005E0C1D">
          <w:rPr>
            <w:rStyle w:val="Hyperlink"/>
            <w:rtl/>
          </w:rPr>
          <w:t>ביאורי הראשונים בדעות החולקים אי יש בנין במטה של טרסיים</w:t>
        </w:r>
      </w:hyperlink>
    </w:p>
    <w:p w14:paraId="51FFE062"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54" w:history="1">
        <w:r w:rsidRPr="005E0C1D">
          <w:rPr>
            <w:rStyle w:val="Hyperlink"/>
            <w:rtl/>
          </w:rPr>
          <w:t>בי' הרמב"ן והרשב"א דהחיוב במטה של טרסיים רק בתוקע בין לת"ק ובין לרשב"ג ודלא כב"ש</w:t>
        </w:r>
      </w:hyperlink>
    </w:p>
    <w:p w14:paraId="604FEEE9"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55" w:history="1">
        <w:r w:rsidRPr="005E0C1D">
          <w:rPr>
            <w:rStyle w:val="Hyperlink"/>
            <w:rtl/>
          </w:rPr>
          <w:t>בי' הרמב"ן והרשב"א בקו' דאי תוקע חייב רפוי אסור דהגמר במיטה של טרסיים בלא תקיעה</w:t>
        </w:r>
      </w:hyperlink>
    </w:p>
    <w:p w14:paraId="758D3C47"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56" w:history="1">
        <w:r w:rsidRPr="005E0C1D">
          <w:rPr>
            <w:rStyle w:val="Hyperlink"/>
            <w:rtl/>
          </w:rPr>
          <w:t>בי' הרמב"ן דבמלבנות המיטה בלא תקיעה ל"ה גמר ולכן רפוי מותר וה"ה במנורה של חוליות</w:t>
        </w:r>
      </w:hyperlink>
    </w:p>
    <w:p w14:paraId="464E759D"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57" w:history="1">
        <w:r w:rsidRPr="005E0C1D">
          <w:rPr>
            <w:rStyle w:val="Hyperlink"/>
            <w:rtl/>
          </w:rPr>
          <w:t>בי' הרמב"ן ברי"ף דלרב ושמואל במטה של טרסיים יש בנין בכלים ולכן אוסרים אף ברפוי</w:t>
        </w:r>
      </w:hyperlink>
    </w:p>
    <w:p w14:paraId="4B02F1C2"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58" w:history="1">
        <w:r w:rsidRPr="005E0C1D">
          <w:rPr>
            <w:rStyle w:val="Hyperlink"/>
            <w:rtl/>
          </w:rPr>
          <w:t>בי' הריטב"א בשם תוס' דלרב ושמואל יש בנין בכלים והמתירים ברפוי ס"ל דאין בנין בכלים</w:t>
        </w:r>
      </w:hyperlink>
    </w:p>
    <w:p w14:paraId="4B0184A1"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59" w:history="1">
        <w:r w:rsidRPr="005E0C1D">
          <w:rPr>
            <w:rStyle w:val="Hyperlink"/>
            <w:rtl/>
          </w:rPr>
          <w:t>בי' הי"מ בר"ן דלרב ושמואל יש בנין בכלים ואף ברפוי חייב וזו הקו' על רבי אבא דהתיר רפוי</w:t>
        </w:r>
      </w:hyperlink>
    </w:p>
    <w:p w14:paraId="1449F693"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60" w:history="1">
        <w:r w:rsidRPr="005E0C1D">
          <w:rPr>
            <w:rStyle w:val="Hyperlink"/>
            <w:rtl/>
          </w:rPr>
          <w:t>בי' הי"מ בר"ן דלר"א ור"ה אין בנין בכלים ותוקע מכב"פ והידוק רק דרבנן וק' מברייתא דרפוי</w:t>
        </w:r>
      </w:hyperlink>
    </w:p>
    <w:p w14:paraId="74850FF5"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61" w:history="1">
        <w:r w:rsidRPr="005E0C1D">
          <w:rPr>
            <w:rStyle w:val="Hyperlink"/>
            <w:rtl/>
          </w:rPr>
          <w:t>בי' הר"ן דר"א ור"ה ס"ל כברייתא דאין בנין בכלים ות"ק ורשב"ג ל"פ או דנח' אי גזרו ברפוי</w:t>
        </w:r>
      </w:hyperlink>
    </w:p>
    <w:p w14:paraId="2FC230CD"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62" w:history="1">
        <w:r w:rsidRPr="005E0C1D">
          <w:rPr>
            <w:rStyle w:val="Hyperlink"/>
            <w:rtl/>
          </w:rPr>
          <w:t>בי' הר"ן דלרב ושמואל יש בנין בכלים וב"ה איירי בחדקי ובשופתא ולול נח' אי הוי דרך בנין</w:t>
        </w:r>
      </w:hyperlink>
    </w:p>
    <w:p w14:paraId="47D6F99F"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63" w:history="1">
        <w:r w:rsidRPr="005E0C1D">
          <w:rPr>
            <w:rStyle w:val="Hyperlink"/>
            <w:rtl/>
          </w:rPr>
          <w:t>בי' הר"ן ברי"ף דקיי"ל כרבא דאין בנין בכלים ולא כריו"ח ורב ושמואל בד' ב"ה דיש בנין בכלים</w:t>
        </w:r>
      </w:hyperlink>
    </w:p>
    <w:p w14:paraId="1D3317BD" w14:textId="77777777" w:rsidR="000F6808" w:rsidRDefault="000F6808" w:rsidP="000F6808">
      <w:pPr>
        <w:pStyle w:val="TOC2"/>
        <w:rPr>
          <w:rFonts w:cstheme="minorBidi"/>
          <w:b w:val="0"/>
          <w:bCs w:val="0"/>
          <w:sz w:val="22"/>
          <w:szCs w:val="22"/>
          <w:rtl/>
        </w:rPr>
      </w:pPr>
      <w:hyperlink w:anchor="_Toc145487164" w:history="1">
        <w:r w:rsidRPr="005E0C1D">
          <w:rPr>
            <w:rStyle w:val="Hyperlink"/>
            <w:rtl/>
          </w:rPr>
          <w:t>פלו' הראשונים בד' ריו"ח אי ס"ל דיש בנין בכלים</w:t>
        </w:r>
      </w:hyperlink>
    </w:p>
    <w:p w14:paraId="4C22725E"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65" w:history="1">
        <w:r w:rsidRPr="005E0C1D">
          <w:rPr>
            <w:rStyle w:val="Hyperlink"/>
            <w:rtl/>
          </w:rPr>
          <w:t>קו' תוס' דהיאך אסר ריו"ח לטלטל מנורה של חוליות וב"ה התירו לזקוף מנורה דאין בנין בכלים</w:t>
        </w:r>
      </w:hyperlink>
    </w:p>
    <w:p w14:paraId="608A6FA4"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66" w:history="1">
        <w:r w:rsidRPr="005E0C1D">
          <w:rPr>
            <w:rStyle w:val="Hyperlink"/>
            <w:rtl/>
          </w:rPr>
          <w:t>קו' הריטב"א דבמטה של טרסיים מוכח דחייב לא תוקע וק' מב"ה דזוקפים מנורה וכן ק' לריו"ח</w:t>
        </w:r>
      </w:hyperlink>
    </w:p>
    <w:p w14:paraId="39E9CB35" w14:textId="77777777" w:rsidR="000F6808" w:rsidRDefault="000F6808" w:rsidP="000F6808">
      <w:pPr>
        <w:pStyle w:val="TOC2"/>
        <w:rPr>
          <w:rFonts w:cstheme="minorBidi"/>
          <w:b w:val="0"/>
          <w:bCs w:val="0"/>
          <w:sz w:val="22"/>
          <w:szCs w:val="22"/>
          <w:rtl/>
        </w:rPr>
      </w:pPr>
      <w:hyperlink w:anchor="_Toc145487167" w:history="1">
        <w:r w:rsidRPr="005E0C1D">
          <w:rPr>
            <w:rStyle w:val="Hyperlink"/>
            <w:rtl/>
          </w:rPr>
          <w:t>תי' התוס' דבמנורה שמתפרקת לגמרי אף ב"ה מודו דאסור</w:t>
        </w:r>
      </w:hyperlink>
    </w:p>
    <w:p w14:paraId="592587EB"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68" w:history="1">
        <w:r w:rsidRPr="005E0C1D">
          <w:rPr>
            <w:rStyle w:val="Hyperlink"/>
            <w:rtl/>
          </w:rPr>
          <w:t>בי' התוס' דריו"ח דאסר טלטול במנורה של חוליות אף דאין בנין בכלים כיון דמתפרקת לגמרי</w:t>
        </w:r>
      </w:hyperlink>
    </w:p>
    <w:p w14:paraId="0FDC3025"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69" w:history="1">
        <w:r w:rsidRPr="005E0C1D">
          <w:rPr>
            <w:rStyle w:val="Hyperlink"/>
            <w:rtl/>
          </w:rPr>
          <w:t>ד' הי"מ בבעה"מ דנח' בכל בנין בכלים ולריו"ח דאסר ב"ה התירו רק בחדקי וקיי"ל כרבא דמתיר</w:t>
        </w:r>
      </w:hyperlink>
    </w:p>
    <w:p w14:paraId="0D2FB2E4" w14:textId="77777777" w:rsidR="000F6808" w:rsidRDefault="000F6808" w:rsidP="000F6808">
      <w:pPr>
        <w:pStyle w:val="TOC2"/>
        <w:rPr>
          <w:rFonts w:cstheme="minorBidi"/>
          <w:b w:val="0"/>
          <w:bCs w:val="0"/>
          <w:sz w:val="22"/>
          <w:szCs w:val="22"/>
          <w:rtl/>
        </w:rPr>
      </w:pPr>
      <w:hyperlink w:anchor="_Toc145487170" w:history="1">
        <w:r w:rsidRPr="005E0C1D">
          <w:rPr>
            <w:rStyle w:val="Hyperlink"/>
            <w:rtl/>
          </w:rPr>
          <w:t>בי' הרמב"ן דבמנורה ותריסין שצריכים אומן יש בנין אף לב"ה</w:t>
        </w:r>
      </w:hyperlink>
    </w:p>
    <w:p w14:paraId="79EE982F"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71" w:history="1">
        <w:r w:rsidRPr="005E0C1D">
          <w:rPr>
            <w:rStyle w:val="Hyperlink"/>
            <w:rtl/>
          </w:rPr>
          <w:t>בי' הרמב"ן דכלי מפורק שצריך אומן להחזירו כמנורה דחוליות וציר מן הצד אינו כלי והוי בונה</w:t>
        </w:r>
      </w:hyperlink>
    </w:p>
    <w:p w14:paraId="51514E97"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72" w:history="1">
        <w:r w:rsidRPr="005E0C1D">
          <w:rPr>
            <w:rStyle w:val="Hyperlink"/>
            <w:rtl/>
          </w:rPr>
          <w:t>בי' הרשב"א ברמב"ן דבמנורה צריך אומן והוי בונה ולכן גזרו</w:t>
        </w:r>
      </w:hyperlink>
    </w:p>
    <w:p w14:paraId="3740D916"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73" w:history="1">
        <w:r w:rsidRPr="005E0C1D">
          <w:rPr>
            <w:rStyle w:val="Hyperlink"/>
            <w:rtl/>
          </w:rPr>
          <w:t>בי' הרמב"ן והרשב"א ברי"ף דלריו"ח יש בנין בכלים וכן בי' בב"ה אך לדידן מותר לטלטל מנורה</w:t>
        </w:r>
      </w:hyperlink>
    </w:p>
    <w:p w14:paraId="4DD4FFDA" w14:textId="77777777" w:rsidR="000F6808" w:rsidRDefault="000F6808" w:rsidP="000F6808">
      <w:pPr>
        <w:pStyle w:val="TOC2"/>
        <w:rPr>
          <w:rFonts w:cstheme="minorBidi"/>
          <w:b w:val="0"/>
          <w:bCs w:val="0"/>
          <w:sz w:val="22"/>
          <w:szCs w:val="22"/>
          <w:rtl/>
        </w:rPr>
      </w:pPr>
      <w:hyperlink w:anchor="_Toc145487174" w:history="1">
        <w:r w:rsidRPr="005E0C1D">
          <w:rPr>
            <w:rStyle w:val="Hyperlink"/>
            <w:rtl/>
          </w:rPr>
          <w:t>בי' הריטב"א דבמנורה שהדרך לתקוע לכו"ע גזרו שמא יתקע</w:t>
        </w:r>
      </w:hyperlink>
    </w:p>
    <w:p w14:paraId="7F682662"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75" w:history="1">
        <w:r w:rsidRPr="005E0C1D">
          <w:rPr>
            <w:rStyle w:val="Hyperlink"/>
            <w:rtl/>
          </w:rPr>
          <w:t>בי' הריטב"א דאיירי במנורה שהדרך לתקוע אותה ובזה גזרו שמא יתקע והתירו רק לשמחת יו"ט</w:t>
        </w:r>
      </w:hyperlink>
    </w:p>
    <w:p w14:paraId="599575C9"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76" w:history="1">
        <w:r w:rsidRPr="005E0C1D">
          <w:rPr>
            <w:rStyle w:val="Hyperlink"/>
            <w:rtl/>
          </w:rPr>
          <w:t>בי' הריטב"א דבלול תרנגולין בונה אף בכלי דתחילת עשייתו ולשמואל נקב לאויר ל"ה בנין</w:t>
        </w:r>
      </w:hyperlink>
    </w:p>
    <w:p w14:paraId="55D48758"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77" w:history="1">
        <w:r w:rsidRPr="005E0C1D">
          <w:rPr>
            <w:rStyle w:val="Hyperlink"/>
            <w:rtl/>
          </w:rPr>
          <w:t>בי' האבנ"ז ברי"ף דבתקע במכב"פ ובלא תקע דרבנן ובדרכו לתקוע גזרו ולא בטלטול מנורה</w:t>
        </w:r>
      </w:hyperlink>
    </w:p>
    <w:p w14:paraId="55592750"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78" w:history="1">
        <w:r w:rsidRPr="005E0C1D">
          <w:rPr>
            <w:rStyle w:val="Hyperlink"/>
            <w:rtl/>
          </w:rPr>
          <w:t>בי' האבנ"ז בריו"ח דיש בנין בכלים והחזרת המנורה דאו' ולכן אסרו לטלטלה וכן לרב ושמואל</w:t>
        </w:r>
      </w:hyperlink>
    </w:p>
    <w:p w14:paraId="58461AED"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79" w:history="1">
        <w:r w:rsidRPr="005E0C1D">
          <w:rPr>
            <w:rStyle w:val="Hyperlink"/>
            <w:rtl/>
          </w:rPr>
          <w:t>בי' האבנ"ז דלתוס' והרמב"ם דרב מחייב בעושה כלי אפש"ל כן בריו"ח ולדידן בלא תקע פטור</w:t>
        </w:r>
      </w:hyperlink>
    </w:p>
    <w:p w14:paraId="1483E166" w14:textId="77777777" w:rsidR="000F6808" w:rsidRDefault="000F6808" w:rsidP="000F6808">
      <w:pPr>
        <w:pStyle w:val="TOC1"/>
        <w:rPr>
          <w:rFonts w:asciiTheme="minorHAnsi" w:hAnsiTheme="minorHAnsi" w:cstheme="minorBidi"/>
          <w:b w:val="0"/>
          <w:bCs w:val="0"/>
          <w:caps w:val="0"/>
          <w:sz w:val="22"/>
          <w:szCs w:val="22"/>
          <w:rtl/>
        </w:rPr>
      </w:pPr>
      <w:hyperlink w:anchor="_Toc145487180" w:history="1">
        <w:r w:rsidRPr="005E0C1D">
          <w:rPr>
            <w:rStyle w:val="Hyperlink"/>
            <w:rtl/>
          </w:rPr>
          <w:t>~~~~~~~~~~~~~~~~~~~~~~~~~~~~</w:t>
        </w:r>
      </w:hyperlink>
    </w:p>
    <w:p w14:paraId="226ABDBB" w14:textId="77777777" w:rsidR="000F6808" w:rsidRDefault="000F6808" w:rsidP="000F6808">
      <w:pPr>
        <w:pStyle w:val="TOC1"/>
        <w:rPr>
          <w:rFonts w:asciiTheme="minorHAnsi" w:hAnsiTheme="minorHAnsi" w:cstheme="minorBidi"/>
          <w:b w:val="0"/>
          <w:bCs w:val="0"/>
          <w:caps w:val="0"/>
          <w:sz w:val="22"/>
          <w:szCs w:val="22"/>
          <w:rtl/>
        </w:rPr>
      </w:pPr>
      <w:hyperlink w:anchor="_Toc145487181" w:history="1">
        <w:r w:rsidRPr="005E0C1D">
          <w:rPr>
            <w:rStyle w:val="Hyperlink"/>
            <w:rtl/>
          </w:rPr>
          <w:t>בבונה דיצירת דבר חדש אף בכלי וארעי</w:t>
        </w:r>
      </w:hyperlink>
    </w:p>
    <w:p w14:paraId="73FD60D5" w14:textId="4F2535B6" w:rsidR="000F6808" w:rsidRDefault="000F6808" w:rsidP="000F6808">
      <w:pPr>
        <w:pStyle w:val="afffffffff0"/>
        <w:rPr>
          <w:rtl/>
        </w:rPr>
      </w:pPr>
      <w:r w:rsidRPr="00893FDE">
        <w:rPr>
          <w:b/>
          <w:bCs/>
          <w:rtl/>
        </w:rPr>
        <w:fldChar w:fldCharType="begin"/>
      </w:r>
      <w:r w:rsidRPr="00893FDE">
        <w:rPr>
          <w:b/>
          <w:bCs/>
          <w:rtl/>
        </w:rPr>
        <w:instrText xml:space="preserve"> </w:instrText>
      </w:r>
      <w:r w:rsidRPr="00893FDE">
        <w:rPr>
          <w:rFonts w:hint="cs"/>
          <w:b/>
          <w:bCs/>
        </w:rPr>
        <w:instrText>REF</w:instrText>
      </w:r>
      <w:r w:rsidRPr="00893FDE">
        <w:rPr>
          <w:rFonts w:hint="cs"/>
          <w:b/>
          <w:bCs/>
          <w:rtl/>
        </w:rPr>
        <w:instrText xml:space="preserve"> _</w:instrText>
      </w:r>
      <w:r w:rsidRPr="00893FDE">
        <w:rPr>
          <w:rFonts w:hint="cs"/>
          <w:b/>
          <w:bCs/>
        </w:rPr>
        <w:instrText>Ref142899397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לח)</w:t>
      </w:r>
      <w:r w:rsidRPr="00893FDE">
        <w:rPr>
          <w:b/>
          <w:bCs/>
          <w:rtl/>
        </w:rPr>
        <w:fldChar w:fldCharType="end"/>
      </w:r>
      <w:r w:rsidRPr="00893FDE">
        <w:rPr>
          <w:rFonts w:hint="cs"/>
          <w:b/>
          <w:bCs/>
          <w:rtl/>
        </w:rPr>
        <w:t xml:space="preserve"> </w:t>
      </w:r>
      <w:r w:rsidRPr="00893FDE">
        <w:rPr>
          <w:rFonts w:hint="cs"/>
          <w:rtl/>
        </w:rPr>
        <w:t xml:space="preserve">חזו"א </w:t>
      </w:r>
      <w:r w:rsidRPr="00893FDE">
        <w:rPr>
          <w:rStyle w:val="afffffffff3"/>
          <w:rFonts w:hint="cs"/>
          <w:rtl/>
        </w:rPr>
        <w:t>(או"ח סי' נ' סק"ט ד"ה והנה אמרו)</w:t>
      </w:r>
      <w:r>
        <w:rPr>
          <w:rtl/>
        </w:rPr>
        <w:t>,</w:t>
      </w:r>
      <w:r w:rsidRPr="00893FDE">
        <w:rPr>
          <w:rFonts w:hint="cs"/>
          <w:b/>
          <w:bCs/>
          <w:rtl/>
        </w:rPr>
        <w:t xml:space="preserve"> </w:t>
      </w:r>
      <w:r w:rsidRPr="00893FDE">
        <w:rPr>
          <w:b/>
          <w:bCs/>
          <w:rtl/>
        </w:rPr>
        <w:fldChar w:fldCharType="begin"/>
      </w:r>
      <w:r w:rsidRPr="00893FDE">
        <w:rPr>
          <w:b/>
          <w:bCs/>
          <w:rtl/>
        </w:rPr>
        <w:instrText xml:space="preserve"> </w:instrText>
      </w:r>
      <w:r w:rsidRPr="00893FDE">
        <w:rPr>
          <w:rFonts w:hint="cs"/>
          <w:b/>
          <w:bCs/>
        </w:rPr>
        <w:instrText>REF</w:instrText>
      </w:r>
      <w:r w:rsidRPr="00893FDE">
        <w:rPr>
          <w:rFonts w:hint="cs"/>
          <w:b/>
          <w:bCs/>
          <w:rtl/>
        </w:rPr>
        <w:instrText xml:space="preserve"> _</w:instrText>
      </w:r>
      <w:r w:rsidRPr="00893FDE">
        <w:rPr>
          <w:rFonts w:hint="cs"/>
          <w:b/>
          <w:bCs/>
        </w:rPr>
        <w:instrText>Ref143159367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לט)</w:t>
      </w:r>
      <w:r w:rsidRPr="00893FDE">
        <w:rPr>
          <w:b/>
          <w:bCs/>
          <w:rtl/>
        </w:rPr>
        <w:fldChar w:fldCharType="end"/>
      </w:r>
      <w:r w:rsidRPr="00893FDE">
        <w:rPr>
          <w:rFonts w:hint="cs"/>
          <w:b/>
          <w:bCs/>
          <w:rtl/>
        </w:rPr>
        <w:t xml:space="preserve"> </w:t>
      </w:r>
      <w:r w:rsidRPr="00893FDE">
        <w:rPr>
          <w:rFonts w:hint="cs"/>
          <w:rtl/>
        </w:rPr>
        <w:t xml:space="preserve">חזו"א </w:t>
      </w:r>
      <w:r w:rsidRPr="00893FDE">
        <w:rPr>
          <w:rStyle w:val="afffffffff3"/>
          <w:rFonts w:hint="cs"/>
          <w:rtl/>
        </w:rPr>
        <w:t>(או"ח סי' נ' סק"ט ד"ה ובפתיחת)</w:t>
      </w:r>
      <w:r>
        <w:rPr>
          <w:rtl/>
        </w:rPr>
        <w:t>,</w:t>
      </w:r>
      <w:r w:rsidRPr="00893FDE">
        <w:rPr>
          <w:rFonts w:hint="cs"/>
          <w:b/>
          <w:bCs/>
          <w:rtl/>
        </w:rPr>
        <w:t xml:space="preserve"> </w:t>
      </w:r>
      <w:r w:rsidRPr="00893FDE">
        <w:rPr>
          <w:b/>
          <w:bCs/>
          <w:rtl/>
        </w:rPr>
        <w:fldChar w:fldCharType="begin"/>
      </w:r>
      <w:r w:rsidRPr="00893FDE">
        <w:rPr>
          <w:b/>
          <w:bCs/>
          <w:rtl/>
        </w:rPr>
        <w:instrText xml:space="preserve"> </w:instrText>
      </w:r>
      <w:r w:rsidRPr="00893FDE">
        <w:rPr>
          <w:rFonts w:hint="cs"/>
          <w:b/>
          <w:bCs/>
        </w:rPr>
        <w:instrText>REF</w:instrText>
      </w:r>
      <w:r w:rsidRPr="00893FDE">
        <w:rPr>
          <w:rFonts w:hint="cs"/>
          <w:b/>
          <w:bCs/>
          <w:rtl/>
        </w:rPr>
        <w:instrText xml:space="preserve"> _</w:instrText>
      </w:r>
      <w:r w:rsidRPr="00893FDE">
        <w:rPr>
          <w:rFonts w:hint="cs"/>
          <w:b/>
          <w:bCs/>
        </w:rPr>
        <w:instrText>Ref143595455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מא)</w:t>
      </w:r>
      <w:r w:rsidRPr="00893FDE">
        <w:rPr>
          <w:b/>
          <w:bCs/>
          <w:rtl/>
        </w:rPr>
        <w:fldChar w:fldCharType="end"/>
      </w:r>
      <w:r w:rsidRPr="00893FDE">
        <w:rPr>
          <w:rFonts w:hint="cs"/>
          <w:b/>
          <w:bCs/>
          <w:rtl/>
        </w:rPr>
        <w:t xml:space="preserve"> </w:t>
      </w:r>
      <w:r w:rsidRPr="00893FDE">
        <w:rPr>
          <w:rFonts w:hint="cs"/>
          <w:rtl/>
        </w:rPr>
        <w:t xml:space="preserve">חזו"א </w:t>
      </w:r>
      <w:r w:rsidRPr="00893FDE">
        <w:rPr>
          <w:rStyle w:val="afffffffff3"/>
          <w:rFonts w:hint="cs"/>
          <w:rtl/>
        </w:rPr>
        <w:t>(או"ח סי' נ' סק"ט ד"ה וכן)</w:t>
      </w:r>
      <w:r>
        <w:rPr>
          <w:rtl/>
        </w:rPr>
        <w:t>,</w:t>
      </w:r>
      <w:r w:rsidRPr="00893FDE">
        <w:rPr>
          <w:rFonts w:hint="cs"/>
          <w:b/>
          <w:bCs/>
          <w:rtl/>
        </w:rPr>
        <w:t xml:space="preserve"> </w:t>
      </w:r>
      <w:r w:rsidRPr="00893FDE">
        <w:rPr>
          <w:b/>
          <w:bCs/>
          <w:rtl/>
        </w:rPr>
        <w:fldChar w:fldCharType="begin"/>
      </w:r>
      <w:r w:rsidRPr="00893FDE">
        <w:rPr>
          <w:b/>
          <w:bCs/>
          <w:rtl/>
        </w:rPr>
        <w:instrText xml:space="preserve"> </w:instrText>
      </w:r>
      <w:r w:rsidRPr="00893FDE">
        <w:rPr>
          <w:rFonts w:hint="cs"/>
          <w:b/>
          <w:bCs/>
        </w:rPr>
        <w:instrText>REF</w:instrText>
      </w:r>
      <w:r w:rsidRPr="00893FDE">
        <w:rPr>
          <w:rFonts w:hint="cs"/>
          <w:b/>
          <w:bCs/>
          <w:rtl/>
        </w:rPr>
        <w:instrText xml:space="preserve"> _</w:instrText>
      </w:r>
      <w:r w:rsidRPr="00893FDE">
        <w:rPr>
          <w:rFonts w:hint="cs"/>
          <w:b/>
          <w:bCs/>
        </w:rPr>
        <w:instrText>Ref143159400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מב)</w:t>
      </w:r>
      <w:r w:rsidRPr="00893FDE">
        <w:rPr>
          <w:b/>
          <w:bCs/>
          <w:rtl/>
        </w:rPr>
        <w:fldChar w:fldCharType="end"/>
      </w:r>
      <w:r w:rsidRPr="00893FDE">
        <w:rPr>
          <w:rFonts w:hint="cs"/>
          <w:b/>
          <w:bCs/>
          <w:rtl/>
        </w:rPr>
        <w:t xml:space="preserve"> </w:t>
      </w:r>
      <w:r w:rsidRPr="00893FDE">
        <w:rPr>
          <w:rFonts w:hint="cs"/>
          <w:rtl/>
        </w:rPr>
        <w:t xml:space="preserve">חזו"א </w:t>
      </w:r>
      <w:r w:rsidRPr="00893FDE">
        <w:rPr>
          <w:rStyle w:val="afffffffff3"/>
          <w:rFonts w:hint="cs"/>
          <w:rtl/>
        </w:rPr>
        <w:t>(או"ח סי' נ' סק"ט ד"ה והא)</w:t>
      </w:r>
      <w:r>
        <w:rPr>
          <w:rtl/>
        </w:rPr>
        <w:t xml:space="preserve"> </w:t>
      </w:r>
      <w:r w:rsidRPr="00893FDE">
        <w:rPr>
          <w:rtl/>
        </w:rPr>
        <w:t xml:space="preserve">מג"א </w:t>
      </w:r>
      <w:r w:rsidRPr="00893FDE">
        <w:rPr>
          <w:rStyle w:val="afffffffff3"/>
          <w:rFonts w:hint="cs"/>
          <w:rtl/>
        </w:rPr>
        <w:t>(סי' שי"ג סקי"ב)</w:t>
      </w:r>
      <w:r>
        <w:rPr>
          <w:rFonts w:hint="cs"/>
          <w:rtl/>
        </w:rPr>
        <w:t xml:space="preserve"> </w:t>
      </w:r>
      <w:r w:rsidRPr="00893FDE">
        <w:rPr>
          <w:rtl/>
        </w:rPr>
        <w:t xml:space="preserve">ט"ז </w:t>
      </w:r>
      <w:r w:rsidRPr="00893FDE">
        <w:rPr>
          <w:rStyle w:val="afffffffff3"/>
          <w:rFonts w:hint="cs"/>
          <w:rtl/>
        </w:rPr>
        <w:t>(סי' שי"ג סק"ז)</w:t>
      </w:r>
      <w:r>
        <w:rPr>
          <w:rtl/>
        </w:rPr>
        <w:t>,</w:t>
      </w:r>
      <w:r w:rsidRPr="00893FDE">
        <w:rPr>
          <w:rFonts w:hint="cs"/>
          <w:b/>
          <w:bCs/>
          <w:rtl/>
        </w:rPr>
        <w:t xml:space="preserve"> </w:t>
      </w:r>
      <w:r w:rsidRPr="00893FDE">
        <w:rPr>
          <w:b/>
          <w:bCs/>
          <w:rtl/>
        </w:rPr>
        <w:fldChar w:fldCharType="begin"/>
      </w:r>
      <w:r w:rsidRPr="00893FDE">
        <w:rPr>
          <w:b/>
          <w:bCs/>
          <w:rtl/>
        </w:rPr>
        <w:instrText xml:space="preserve"> </w:instrText>
      </w:r>
      <w:r w:rsidRPr="00893FDE">
        <w:rPr>
          <w:rFonts w:hint="cs"/>
          <w:b/>
          <w:bCs/>
        </w:rPr>
        <w:instrText>REF</w:instrText>
      </w:r>
      <w:r w:rsidRPr="00893FDE">
        <w:rPr>
          <w:rFonts w:hint="cs"/>
          <w:b/>
          <w:bCs/>
          <w:rtl/>
        </w:rPr>
        <w:instrText xml:space="preserve"> _</w:instrText>
      </w:r>
      <w:r w:rsidRPr="00893FDE">
        <w:rPr>
          <w:rFonts w:hint="cs"/>
          <w:b/>
          <w:bCs/>
        </w:rPr>
        <w:instrText>Ref143183107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מג)</w:t>
      </w:r>
      <w:r w:rsidRPr="00893FDE">
        <w:rPr>
          <w:b/>
          <w:bCs/>
          <w:rtl/>
        </w:rPr>
        <w:fldChar w:fldCharType="end"/>
      </w:r>
      <w:r w:rsidRPr="00893FDE">
        <w:rPr>
          <w:rFonts w:hint="cs"/>
          <w:b/>
          <w:bCs/>
          <w:rtl/>
        </w:rPr>
        <w:t xml:space="preserve"> </w:t>
      </w:r>
      <w:r w:rsidRPr="00893FDE">
        <w:rPr>
          <w:rFonts w:hint="cs"/>
          <w:rtl/>
        </w:rPr>
        <w:t xml:space="preserve">חזו"א </w:t>
      </w:r>
      <w:r w:rsidRPr="00893FDE">
        <w:rPr>
          <w:rStyle w:val="afffffffff3"/>
          <w:rFonts w:hint="cs"/>
          <w:rtl/>
        </w:rPr>
        <w:t>(סי' קנ"ו השמטות לסי' שי"ג ד"ה יסוד)</w:t>
      </w:r>
      <w:r>
        <w:rPr>
          <w:rtl/>
        </w:rPr>
        <w:t>,</w:t>
      </w:r>
      <w:r w:rsidRPr="00893FDE">
        <w:rPr>
          <w:rFonts w:hint="cs"/>
          <w:b/>
          <w:bCs/>
          <w:rtl/>
        </w:rPr>
        <w:t xml:space="preserve"> </w:t>
      </w:r>
      <w:r w:rsidRPr="00893FDE">
        <w:rPr>
          <w:b/>
          <w:bCs/>
          <w:rtl/>
        </w:rPr>
        <w:fldChar w:fldCharType="begin"/>
      </w:r>
      <w:r w:rsidRPr="00893FDE">
        <w:rPr>
          <w:b/>
          <w:bCs/>
          <w:rtl/>
        </w:rPr>
        <w:instrText xml:space="preserve"> </w:instrText>
      </w:r>
      <w:r w:rsidRPr="00893FDE">
        <w:rPr>
          <w:rFonts w:hint="cs"/>
          <w:b/>
          <w:bCs/>
        </w:rPr>
        <w:instrText>REF</w:instrText>
      </w:r>
      <w:r w:rsidRPr="00893FDE">
        <w:rPr>
          <w:rFonts w:hint="cs"/>
          <w:b/>
          <w:bCs/>
          <w:rtl/>
        </w:rPr>
        <w:instrText xml:space="preserve"> _</w:instrText>
      </w:r>
      <w:r w:rsidRPr="00893FDE">
        <w:rPr>
          <w:rFonts w:hint="cs"/>
          <w:b/>
          <w:bCs/>
        </w:rPr>
        <w:instrText>Ref142932736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מד)</w:t>
      </w:r>
      <w:r w:rsidRPr="00893FDE">
        <w:rPr>
          <w:b/>
          <w:bCs/>
          <w:rtl/>
        </w:rPr>
        <w:fldChar w:fldCharType="end"/>
      </w:r>
      <w:r w:rsidRPr="00893FDE">
        <w:rPr>
          <w:rFonts w:hint="cs"/>
          <w:b/>
          <w:bCs/>
          <w:rtl/>
        </w:rPr>
        <w:t xml:space="preserve"> </w:t>
      </w:r>
      <w:r w:rsidRPr="00893FDE">
        <w:rPr>
          <w:rFonts w:hint="cs"/>
          <w:rtl/>
        </w:rPr>
        <w:t xml:space="preserve">חזו"א </w:t>
      </w:r>
      <w:r w:rsidRPr="00893FDE">
        <w:rPr>
          <w:rStyle w:val="afffffffff3"/>
          <w:rFonts w:hint="cs"/>
          <w:rtl/>
        </w:rPr>
        <w:t>(סי' קנ"ו השמטות לסי' שי"ג ד"ה היתר)</w:t>
      </w:r>
      <w:r>
        <w:rPr>
          <w:rtl/>
        </w:rPr>
        <w:t>,</w:t>
      </w:r>
      <w:r w:rsidRPr="00893FDE">
        <w:rPr>
          <w:rFonts w:hint="cs"/>
          <w:b/>
          <w:bCs/>
          <w:rtl/>
        </w:rPr>
        <w:t xml:space="preserve"> </w:t>
      </w:r>
      <w:r w:rsidRPr="00893FDE">
        <w:rPr>
          <w:b/>
          <w:bCs/>
          <w:rtl/>
        </w:rPr>
        <w:fldChar w:fldCharType="begin"/>
      </w:r>
      <w:r w:rsidRPr="00893FDE">
        <w:rPr>
          <w:b/>
          <w:bCs/>
          <w:rtl/>
        </w:rPr>
        <w:instrText xml:space="preserve"> </w:instrText>
      </w:r>
      <w:r w:rsidRPr="00893FDE">
        <w:rPr>
          <w:rFonts w:hint="cs"/>
          <w:b/>
          <w:bCs/>
        </w:rPr>
        <w:instrText>REF</w:instrText>
      </w:r>
      <w:r w:rsidRPr="00893FDE">
        <w:rPr>
          <w:rFonts w:hint="cs"/>
          <w:b/>
          <w:bCs/>
          <w:rtl/>
        </w:rPr>
        <w:instrText xml:space="preserve"> _</w:instrText>
      </w:r>
      <w:r w:rsidRPr="00893FDE">
        <w:rPr>
          <w:rFonts w:hint="cs"/>
          <w:b/>
          <w:bCs/>
        </w:rPr>
        <w:instrText>Ref143165124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מה)</w:t>
      </w:r>
      <w:r w:rsidRPr="00893FDE">
        <w:rPr>
          <w:b/>
          <w:bCs/>
          <w:rtl/>
        </w:rPr>
        <w:fldChar w:fldCharType="end"/>
      </w:r>
      <w:r w:rsidRPr="00893FDE">
        <w:rPr>
          <w:rFonts w:hint="cs"/>
          <w:b/>
          <w:bCs/>
          <w:rtl/>
        </w:rPr>
        <w:t xml:space="preserve"> </w:t>
      </w:r>
      <w:r w:rsidRPr="00893FDE">
        <w:rPr>
          <w:rFonts w:hint="cs"/>
          <w:rtl/>
        </w:rPr>
        <w:t xml:space="preserve">גר"ז </w:t>
      </w:r>
      <w:r w:rsidRPr="00893FDE">
        <w:rPr>
          <w:rStyle w:val="afffffffff3"/>
          <w:rFonts w:hint="cs"/>
          <w:rtl/>
        </w:rPr>
        <w:t>(סי' שי"ג כ')</w:t>
      </w:r>
      <w:r>
        <w:rPr>
          <w:rtl/>
        </w:rPr>
        <w:t xml:space="preserve"> </w:t>
      </w:r>
      <w:r w:rsidRPr="00893FDE">
        <w:rPr>
          <w:rFonts w:hint="cs"/>
          <w:rtl/>
        </w:rPr>
        <w:t xml:space="preserve">גר"ז </w:t>
      </w:r>
      <w:r w:rsidRPr="00893FDE">
        <w:rPr>
          <w:rStyle w:val="afffffffff3"/>
          <w:rFonts w:hint="cs"/>
          <w:rtl/>
        </w:rPr>
        <w:t>(סי' שי"ג כ"</w:t>
      </w:r>
      <w:r w:rsidRPr="00893FDE">
        <w:rPr>
          <w:rStyle w:val="afffffffff3"/>
          <w:rtl/>
        </w:rPr>
        <w:t>א ד"ה אבל</w:t>
      </w:r>
      <w:r w:rsidRPr="00893FDE">
        <w:rPr>
          <w:rStyle w:val="afffffffff3"/>
          <w:rFonts w:hint="cs"/>
          <w:rtl/>
        </w:rPr>
        <w:t>)</w:t>
      </w:r>
      <w:r>
        <w:rPr>
          <w:rtl/>
        </w:rPr>
        <w:t xml:space="preserve"> </w:t>
      </w:r>
      <w:r w:rsidRPr="00893FDE">
        <w:rPr>
          <w:rFonts w:hint="cs"/>
          <w:rtl/>
        </w:rPr>
        <w:t xml:space="preserve">גר"ז </w:t>
      </w:r>
      <w:r w:rsidRPr="00893FDE">
        <w:rPr>
          <w:rStyle w:val="afffffffff3"/>
          <w:rFonts w:hint="cs"/>
          <w:rtl/>
        </w:rPr>
        <w:t>(סי' שי"ד י"ט)</w:t>
      </w:r>
      <w:r>
        <w:rPr>
          <w:rtl/>
        </w:rPr>
        <w:t>,</w:t>
      </w:r>
      <w:r w:rsidRPr="00893FDE">
        <w:rPr>
          <w:rFonts w:hint="cs"/>
          <w:b/>
          <w:bCs/>
          <w:rtl/>
        </w:rPr>
        <w:t xml:space="preserve"> </w:t>
      </w:r>
      <w:r w:rsidRPr="00893FDE">
        <w:rPr>
          <w:b/>
          <w:bCs/>
          <w:rtl/>
        </w:rPr>
        <w:fldChar w:fldCharType="begin"/>
      </w:r>
      <w:r w:rsidRPr="00893FDE">
        <w:rPr>
          <w:b/>
          <w:bCs/>
          <w:rtl/>
        </w:rPr>
        <w:instrText xml:space="preserve"> </w:instrText>
      </w:r>
      <w:r w:rsidRPr="00893FDE">
        <w:rPr>
          <w:rFonts w:hint="cs"/>
          <w:b/>
          <w:bCs/>
        </w:rPr>
        <w:instrText>REF</w:instrText>
      </w:r>
      <w:r w:rsidRPr="00893FDE">
        <w:rPr>
          <w:rFonts w:hint="cs"/>
          <w:b/>
          <w:bCs/>
          <w:rtl/>
        </w:rPr>
        <w:instrText xml:space="preserve"> _</w:instrText>
      </w:r>
      <w:r w:rsidRPr="00893FDE">
        <w:rPr>
          <w:rFonts w:hint="cs"/>
          <w:b/>
          <w:bCs/>
        </w:rPr>
        <w:instrText>Ref143162537 \r \h</w:instrText>
      </w:r>
      <w:r w:rsidRPr="00893FDE">
        <w:rPr>
          <w:b/>
          <w:bCs/>
          <w:rtl/>
        </w:rPr>
        <w:instrText xml:space="preserve">  \* </w:instrText>
      </w:r>
      <w:r w:rsidRPr="00893FDE">
        <w:rPr>
          <w:b/>
          <w:bCs/>
        </w:rPr>
        <w:instrText>MERGEFORMAT</w:instrText>
      </w:r>
      <w:r w:rsidRPr="00893FDE">
        <w:rPr>
          <w:b/>
          <w:bCs/>
          <w:rtl/>
        </w:rPr>
        <w:instrText xml:space="preserve"> </w:instrText>
      </w:r>
      <w:r w:rsidRPr="00893FDE">
        <w:rPr>
          <w:b/>
          <w:bCs/>
          <w:rtl/>
        </w:rPr>
      </w:r>
      <w:r w:rsidRPr="00893FDE">
        <w:rPr>
          <w:b/>
          <w:bCs/>
          <w:rtl/>
        </w:rPr>
        <w:fldChar w:fldCharType="separate"/>
      </w:r>
      <w:r w:rsidR="00D82181">
        <w:rPr>
          <w:b/>
          <w:bCs/>
          <w:cs/>
        </w:rPr>
        <w:t>‎</w:t>
      </w:r>
      <w:r w:rsidR="00D82181">
        <w:rPr>
          <w:b/>
          <w:bCs/>
          <w:rtl/>
        </w:rPr>
        <w:t>מו)</w:t>
      </w:r>
      <w:r w:rsidRPr="00893FDE">
        <w:rPr>
          <w:b/>
          <w:bCs/>
          <w:rtl/>
        </w:rPr>
        <w:fldChar w:fldCharType="end"/>
      </w:r>
      <w:r w:rsidRPr="00893FDE">
        <w:rPr>
          <w:rFonts w:hint="cs"/>
          <w:b/>
          <w:bCs/>
          <w:rtl/>
        </w:rPr>
        <w:t xml:space="preserve"> </w:t>
      </w:r>
      <w:r w:rsidRPr="00893FDE">
        <w:rPr>
          <w:rFonts w:hint="cs"/>
          <w:rtl/>
        </w:rPr>
        <w:t xml:space="preserve">תהלה לדוד </w:t>
      </w:r>
      <w:r w:rsidRPr="00893FDE">
        <w:rPr>
          <w:rStyle w:val="afffffffff3"/>
          <w:rFonts w:hint="cs"/>
          <w:rtl/>
        </w:rPr>
        <w:t>(סי' שי"ד י"ז)</w:t>
      </w:r>
      <w:r>
        <w:rPr>
          <w:rtl/>
        </w:rPr>
        <w:t xml:space="preserve"> </w:t>
      </w:r>
      <w:r w:rsidRPr="00893FDE">
        <w:rPr>
          <w:rFonts w:hint="cs"/>
          <w:rtl/>
        </w:rPr>
        <w:t xml:space="preserve">מנחת שלמה </w:t>
      </w:r>
      <w:r w:rsidRPr="00893FDE">
        <w:rPr>
          <w:rStyle w:val="afffffffff3"/>
          <w:rFonts w:hint="cs"/>
          <w:rtl/>
        </w:rPr>
        <w:t>(ח"א סי' י"א ד"ה גם נראה)</w:t>
      </w:r>
      <w:r>
        <w:rPr>
          <w:rtl/>
        </w:rPr>
        <w:t xml:space="preserve"> </w:t>
      </w:r>
      <w:r w:rsidRPr="00893FDE">
        <w:rPr>
          <w:rFonts w:hint="cs"/>
          <w:rtl/>
        </w:rPr>
        <w:t xml:space="preserve">שו"ע </w:t>
      </w:r>
      <w:r w:rsidRPr="00893FDE">
        <w:rPr>
          <w:rStyle w:val="afffffffff3"/>
          <w:rFonts w:hint="cs"/>
          <w:rtl/>
        </w:rPr>
        <w:t>(סי' תקי"ט ב')</w:t>
      </w:r>
      <w:r>
        <w:rPr>
          <w:rStyle w:val="afffffffff3"/>
          <w:rFonts w:hint="cs"/>
          <w:rtl/>
        </w:rPr>
        <w:t>.</w:t>
      </w:r>
      <w:r>
        <w:rPr>
          <w:rtl/>
        </w:rPr>
        <w:t xml:space="preserve"> </w:t>
      </w:r>
    </w:p>
    <w:p w14:paraId="5A78CA88" w14:textId="77777777" w:rsidR="000F6808" w:rsidRDefault="000F6808" w:rsidP="000F6808">
      <w:pPr>
        <w:pStyle w:val="TOC2"/>
        <w:rPr>
          <w:rFonts w:cstheme="minorBidi"/>
          <w:b w:val="0"/>
          <w:bCs w:val="0"/>
          <w:sz w:val="22"/>
          <w:szCs w:val="22"/>
          <w:rtl/>
        </w:rPr>
      </w:pPr>
      <w:hyperlink w:anchor="_Toc145487182" w:history="1">
        <w:r w:rsidRPr="005E0C1D">
          <w:rPr>
            <w:rStyle w:val="Hyperlink"/>
            <w:rtl/>
          </w:rPr>
          <w:t>בי' החזו"א דיצירה מחלקים שאינם כלי בונה אף ברפוי וארעי</w:t>
        </w:r>
      </w:hyperlink>
    </w:p>
    <w:p w14:paraId="66FEA6AF"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83" w:history="1">
        <w:r w:rsidRPr="005E0C1D">
          <w:rPr>
            <w:rStyle w:val="Hyperlink"/>
            <w:rtl/>
          </w:rPr>
          <w:t>בי' החזו"א דחיבור ב' חלקים לדבר א' דהשימוש הוא רק בחיבור הוי בונה אף ברפוי דיצר כלי</w:t>
        </w:r>
      </w:hyperlink>
    </w:p>
    <w:p w14:paraId="524D7B43"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84" w:history="1">
        <w:r w:rsidRPr="005E0C1D">
          <w:rPr>
            <w:rStyle w:val="Hyperlink"/>
            <w:rtl/>
          </w:rPr>
          <w:t>בי' החזו"א דבמחבר ב' דברים שכ"א יש לו שימוש בפנ"ע אין החיבור מחשיב לד"א ול"ה בונה</w:t>
        </w:r>
      </w:hyperlink>
    </w:p>
    <w:p w14:paraId="017EA491"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85" w:history="1">
        <w:r w:rsidRPr="005E0C1D">
          <w:rPr>
            <w:rStyle w:val="Hyperlink"/>
            <w:rtl/>
          </w:rPr>
          <w:t>בי' החזו"א דביוצר צורה לחפץ א"א לפרק את הצורה ואף במחבר לארעי הוי כבונה ואח"כ סותר</w:t>
        </w:r>
      </w:hyperlink>
    </w:p>
    <w:p w14:paraId="727BFF60"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86" w:history="1">
        <w:r w:rsidRPr="005E0C1D">
          <w:rPr>
            <w:rStyle w:val="Hyperlink"/>
            <w:rtl/>
          </w:rPr>
          <w:t>בי' החזו"א דהמשחיז סכין להתלמד ודעתו לפוגמו מיד חשיב כבונה דבנין לשעה הוי בנין</w:t>
        </w:r>
      </w:hyperlink>
    </w:p>
    <w:p w14:paraId="1A0108A1"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87" w:history="1">
        <w:r w:rsidRPr="005E0C1D">
          <w:rPr>
            <w:rStyle w:val="Hyperlink"/>
            <w:rtl/>
          </w:rPr>
          <w:t>בי' החזו"א דבכיסוי כלים דעומדים לפתיחה וסגירה וכ"א כלי בפנ"ע ל"ה בונה ול"ד למרכיב כלי</w:t>
        </w:r>
      </w:hyperlink>
    </w:p>
    <w:p w14:paraId="34B4C628"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88" w:history="1">
        <w:r w:rsidRPr="005E0C1D">
          <w:rPr>
            <w:rStyle w:val="Hyperlink"/>
            <w:rtl/>
          </w:rPr>
          <w:t>בי' החזו"א דהרכבה שעי"ז נעשה כלי ויש לו שימוש הוי בונה אף בע"מ לפרק כתופר ע"מ לנתק</w:t>
        </w:r>
      </w:hyperlink>
    </w:p>
    <w:p w14:paraId="1622B2D1"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89" w:history="1">
        <w:r w:rsidRPr="005E0C1D">
          <w:rPr>
            <w:rStyle w:val="Hyperlink"/>
            <w:rtl/>
          </w:rPr>
          <w:t>בי' החזו"א דבעושה צורת מלאכה לא שייך היתר ארעי ול"ד לכיסוי דעומד לפתחיחה וסתימה</w:t>
        </w:r>
      </w:hyperlink>
    </w:p>
    <w:p w14:paraId="4C32BDF0" w14:textId="77777777" w:rsidR="000F6808" w:rsidRDefault="000F6808" w:rsidP="000F6808">
      <w:pPr>
        <w:pStyle w:val="TOC2"/>
        <w:rPr>
          <w:rFonts w:cstheme="minorBidi"/>
          <w:b w:val="0"/>
          <w:bCs w:val="0"/>
          <w:sz w:val="22"/>
          <w:szCs w:val="22"/>
          <w:rtl/>
        </w:rPr>
      </w:pPr>
      <w:hyperlink w:anchor="_Toc145487190" w:history="1">
        <w:r w:rsidRPr="005E0C1D">
          <w:rPr>
            <w:rStyle w:val="Hyperlink"/>
            <w:rtl/>
          </w:rPr>
          <w:t>בד' הגר"ז דאף ביצירת כלי כל חיבור שלא לקיום ל"ה בונה</w:t>
        </w:r>
      </w:hyperlink>
    </w:p>
    <w:p w14:paraId="51AD7B00"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91" w:history="1">
        <w:r w:rsidRPr="005E0C1D">
          <w:rPr>
            <w:rStyle w:val="Hyperlink"/>
            <w:rtl/>
          </w:rPr>
          <w:t>בי' הגר"ז דתוקע כלי של פרקים לארעי הוי דרבנן ובאינו עשוי להתקיים כלל מותר כדלת בור</w:t>
        </w:r>
      </w:hyperlink>
    </w:p>
    <w:p w14:paraId="07548E8A" w14:textId="77777777" w:rsidR="000F6808" w:rsidRDefault="000F6808" w:rsidP="000F6808">
      <w:pPr>
        <w:pStyle w:val="TOC3"/>
        <w:numPr>
          <w:ilvl w:val="0"/>
          <w:numId w:val="5"/>
        </w:numPr>
        <w:rPr>
          <w:rFonts w:asciiTheme="minorHAnsi" w:eastAsiaTheme="minorEastAsia" w:hAnsiTheme="minorHAnsi" w:cstheme="minorBidi"/>
          <w:sz w:val="22"/>
          <w:szCs w:val="22"/>
          <w:rtl/>
        </w:rPr>
      </w:pPr>
      <w:hyperlink w:anchor="_Toc145487192" w:history="1">
        <w:r w:rsidRPr="005E0C1D">
          <w:rPr>
            <w:rStyle w:val="Hyperlink"/>
            <w:rtl/>
          </w:rPr>
          <w:t>בי' התהל"ד והמנח"ש בגר"ז דבמחבר דבר שלא היה כלי מותר באינו עומד לקיום וכ"מ בפרמ"ג</w:t>
        </w:r>
      </w:hyperlink>
    </w:p>
    <w:p w14:paraId="51ECE7F3" w14:textId="77777777" w:rsidR="000F6808" w:rsidRDefault="000F6808" w:rsidP="000F6808">
      <w:pPr>
        <w:keepNext/>
        <w:keepLines/>
        <w:spacing w:after="0" w:line="240" w:lineRule="auto"/>
        <w:jc w:val="center"/>
        <w:outlineLvl w:val="1"/>
        <w:rPr>
          <w:rFonts w:eastAsiaTheme="minorHAnsi" w:cs="Guttman Hodes"/>
          <w:b/>
          <w:bCs/>
          <w:noProof/>
          <w:sz w:val="14"/>
          <w:szCs w:val="14"/>
          <w:rtl/>
        </w:rPr>
        <w:sectPr w:rsidR="000F6808" w:rsidSect="00CA28B3">
          <w:headerReference w:type="even" r:id="rId193"/>
          <w:headerReference w:type="default" r:id="rId194"/>
          <w:footerReference w:type="even" r:id="rId195"/>
          <w:footerReference w:type="default" r:id="rId196"/>
          <w:headerReference w:type="first" r:id="rId197"/>
          <w:footerReference w:type="first" r:id="rId198"/>
          <w:type w:val="continuous"/>
          <w:pgSz w:w="11906" w:h="16838"/>
          <w:pgMar w:top="720" w:right="720" w:bottom="720" w:left="720" w:header="283" w:footer="283" w:gutter="0"/>
          <w:cols w:num="2" w:space="113"/>
          <w:titlePg/>
          <w:bidi/>
          <w:rtlGutter/>
          <w:docGrid w:linePitch="299"/>
        </w:sectPr>
      </w:pPr>
      <w:r w:rsidRPr="00224A5A">
        <w:rPr>
          <w:rFonts w:eastAsiaTheme="minorHAnsi" w:cs="Guttman Hodes"/>
          <w:b/>
          <w:bCs/>
          <w:noProof/>
          <w:sz w:val="14"/>
          <w:szCs w:val="14"/>
          <w:rtl/>
        </w:rPr>
        <w:fldChar w:fldCharType="end"/>
      </w:r>
    </w:p>
    <w:p w14:paraId="088B2860" w14:textId="77777777" w:rsidR="000F6808" w:rsidRPr="009A5D92" w:rsidRDefault="000F6808" w:rsidP="000F6808">
      <w:pPr>
        <w:pStyle w:val="afffffffff0"/>
        <w:rPr>
          <w:rtl/>
        </w:rPr>
      </w:pPr>
    </w:p>
    <w:p w14:paraId="5D98AF35" w14:textId="77777777" w:rsidR="000F6808" w:rsidRPr="00224A5A" w:rsidRDefault="000F6808" w:rsidP="000F6808">
      <w:pPr>
        <w:keepNext/>
        <w:keepLines/>
        <w:spacing w:after="0" w:line="240" w:lineRule="auto"/>
        <w:jc w:val="center"/>
        <w:outlineLvl w:val="1"/>
        <w:rPr>
          <w:rFonts w:ascii="FrankRuehl" w:eastAsia="Guttman Adii-Light" w:hAnsi="FrankRuehl" w:cs="Guttman Hodes"/>
          <w:b/>
          <w:bCs/>
          <w:noProof/>
          <w:sz w:val="24"/>
          <w:szCs w:val="24"/>
          <w:rtl/>
        </w:rPr>
        <w:sectPr w:rsidR="000F6808" w:rsidRPr="00224A5A" w:rsidSect="00CA28B3">
          <w:type w:val="continuous"/>
          <w:pgSz w:w="11906" w:h="16838"/>
          <w:pgMar w:top="720" w:right="720" w:bottom="720" w:left="720" w:header="283" w:footer="283" w:gutter="0"/>
          <w:cols w:num="2" w:space="113"/>
          <w:titlePg/>
          <w:bidi/>
          <w:rtlGutter/>
          <w:docGrid w:linePitch="299"/>
        </w:sectPr>
      </w:pPr>
    </w:p>
    <w:p w14:paraId="45867745" w14:textId="77777777" w:rsidR="000F6808" w:rsidRPr="00224A5A" w:rsidRDefault="000F6808" w:rsidP="000F6808">
      <w:pPr>
        <w:spacing w:before="240" w:after="0" w:line="360" w:lineRule="auto"/>
        <w:jc w:val="center"/>
        <w:outlineLvl w:val="1"/>
        <w:rPr>
          <w:rFonts w:ascii="Guttman Adii-Light" w:eastAsia="Guttman Adii-Light" w:hAnsi="Guttman Adii-Light" w:cs="Guttman Hodes"/>
          <w:b/>
          <w:bCs/>
          <w:sz w:val="18"/>
          <w:szCs w:val="28"/>
          <w:rtl/>
        </w:rPr>
        <w:sectPr w:rsidR="000F6808" w:rsidRPr="00224A5A" w:rsidSect="00CA28B3">
          <w:pgSz w:w="11906" w:h="16838"/>
          <w:pgMar w:top="720" w:right="720" w:bottom="720" w:left="720" w:header="283" w:footer="283" w:gutter="0"/>
          <w:cols w:space="720"/>
          <w:bidi/>
          <w:rtlGutter/>
          <w:docGrid w:linePitch="299"/>
        </w:sectPr>
      </w:pPr>
      <w:bookmarkStart w:id="5826" w:name="_Hlk145499843"/>
      <w:r w:rsidRPr="00224A5A">
        <w:rPr>
          <w:rFonts w:ascii="Guttman Adii-Light" w:eastAsia="Guttman Adii-Light" w:hAnsi="Guttman Adii-Light" w:cs="Guttman Hodes" w:hint="cs"/>
          <w:b/>
          <w:bCs/>
          <w:sz w:val="18"/>
          <w:szCs w:val="28"/>
          <w:rtl/>
        </w:rPr>
        <w:lastRenderedPageBreak/>
        <w:t>~~~</w:t>
      </w:r>
      <w:r w:rsidRPr="00224A5A">
        <w:rPr>
          <w:rFonts w:ascii="Guttman Adii-Light" w:eastAsia="Guttman Adii-Light" w:hAnsi="Guttman Adii-Light" w:cs="Guttman Hodes"/>
          <w:b/>
          <w:bCs/>
          <w:noProof/>
          <w:sz w:val="18"/>
          <w:szCs w:val="28"/>
          <w:rtl/>
        </w:rPr>
        <w:t>~~</w:t>
      </w:r>
      <w:r w:rsidRPr="00224A5A">
        <w:rPr>
          <w:rFonts w:ascii="Guttman Adii-Light" w:eastAsia="Guttman Adii-Light" w:hAnsi="Guttman Adii-Light" w:cs="Guttman Hodes" w:hint="cs"/>
          <w:b/>
          <w:bCs/>
          <w:sz w:val="18"/>
          <w:szCs w:val="28"/>
          <w:rtl/>
        </w:rPr>
        <w:t>~~ מראי מקומות וביאורים ~~~</w:t>
      </w:r>
      <w:r w:rsidRPr="00224A5A">
        <w:rPr>
          <w:rFonts w:ascii="Guttman Adii-Light" w:eastAsia="Guttman Adii-Light" w:hAnsi="Guttman Adii-Light" w:cs="Guttman Hodes"/>
          <w:b/>
          <w:bCs/>
          <w:noProof/>
          <w:sz w:val="18"/>
          <w:szCs w:val="28"/>
          <w:rtl/>
        </w:rPr>
        <w:t>~~</w:t>
      </w:r>
      <w:r w:rsidRPr="00224A5A">
        <w:rPr>
          <w:rFonts w:ascii="Guttman Adii-Light" w:eastAsia="Guttman Adii-Light" w:hAnsi="Guttman Adii-Light" w:cs="Guttman Hodes" w:hint="cs"/>
          <w:b/>
          <w:bCs/>
          <w:sz w:val="18"/>
          <w:szCs w:val="28"/>
          <w:rtl/>
        </w:rPr>
        <w:t>~~</w:t>
      </w:r>
    </w:p>
    <w:p w14:paraId="529A64F0" w14:textId="77777777" w:rsidR="000F6808" w:rsidRDefault="000F6808" w:rsidP="000F6808">
      <w:pPr>
        <w:pStyle w:val="affff5"/>
        <w:rPr>
          <w:rtl/>
        </w:rPr>
      </w:pPr>
      <w:bookmarkStart w:id="5827" w:name="_Toc145487048"/>
      <w:bookmarkStart w:id="5828" w:name="_Toc145019605"/>
      <w:bookmarkStart w:id="5829" w:name="_Toc145222944"/>
      <w:r>
        <w:rPr>
          <w:rFonts w:hint="cs"/>
          <w:rtl/>
        </w:rPr>
        <w:t>בד' הרמב"ם בבנין בכלים ובחיוב תוקע</w:t>
      </w:r>
      <w:bookmarkEnd w:id="5827"/>
      <w:r w:rsidRPr="007220A9">
        <w:rPr>
          <w:vanish/>
          <w:rtl/>
        </w:rPr>
        <w:t>&lt; # =</w:t>
      </w:r>
    </w:p>
    <w:p w14:paraId="081F20FC" w14:textId="77777777" w:rsidR="000F6808" w:rsidRPr="00BA4D5B" w:rsidRDefault="000F6808" w:rsidP="000F6808">
      <w:pPr>
        <w:pStyle w:val="1"/>
        <w:rPr>
          <w:rtl/>
        </w:rPr>
      </w:pPr>
      <w:bookmarkStart w:id="5830" w:name="_Toc145487049"/>
      <w:r>
        <w:rPr>
          <w:rFonts w:hint="cs"/>
          <w:rtl/>
        </w:rPr>
        <w:t>בי' הרמב"ם דתוקע הוי בונה ודלת מחוברת גזירה שמא יתקע</w:t>
      </w:r>
      <w:bookmarkEnd w:id="5830"/>
    </w:p>
    <w:p w14:paraId="2D411633" w14:textId="77777777" w:rsidR="000F6808" w:rsidRDefault="000F6808" w:rsidP="000F6808">
      <w:pPr>
        <w:pStyle w:val="afffff7"/>
        <w:rPr>
          <w:rtl/>
        </w:rPr>
      </w:pPr>
      <w:bookmarkStart w:id="5831" w:name="_Toc145500799"/>
      <w:bookmarkStart w:id="5832" w:name="_Toc163506339"/>
      <w:bookmarkEnd w:id="5828"/>
      <w:bookmarkEnd w:id="5829"/>
      <w:r>
        <w:rPr>
          <w:rtl/>
        </w:rPr>
        <w:t>רמב"ם שבת פכ"ב הכ"ה</w:t>
      </w:r>
      <w:bookmarkEnd w:id="5831"/>
      <w:bookmarkEnd w:id="5832"/>
    </w:p>
    <w:p w14:paraId="34FD7446" w14:textId="77777777" w:rsidR="000F6808" w:rsidRDefault="000F6808" w:rsidP="000F6808">
      <w:pPr>
        <w:pStyle w:val="afffff7"/>
        <w:rPr>
          <w:rtl/>
        </w:rPr>
      </w:pPr>
      <w:bookmarkStart w:id="5833" w:name="_Toc145500800"/>
      <w:bookmarkStart w:id="5834" w:name="_Toc163506340"/>
      <w:r>
        <w:rPr>
          <w:rtl/>
        </w:rPr>
        <w:t>מגיד משנה שבת פכ"ב הכ"ה</w:t>
      </w:r>
      <w:bookmarkEnd w:id="5833"/>
      <w:bookmarkEnd w:id="5834"/>
    </w:p>
    <w:p w14:paraId="7A6281C9" w14:textId="77777777" w:rsidR="000F6808" w:rsidRDefault="000F6808" w:rsidP="000F6808">
      <w:pPr>
        <w:pStyle w:val="afffff7"/>
        <w:rPr>
          <w:rtl/>
        </w:rPr>
      </w:pPr>
      <w:bookmarkStart w:id="5835" w:name="_Toc145500801"/>
      <w:bookmarkStart w:id="5836" w:name="_Toc163506341"/>
      <w:r>
        <w:rPr>
          <w:rtl/>
        </w:rPr>
        <w:t>רי"ף שבת מ"ז ע"א</w:t>
      </w:r>
      <w:r>
        <w:rPr>
          <w:rFonts w:hint="cs"/>
          <w:rtl/>
        </w:rPr>
        <w:t xml:space="preserve"> מדה"ר</w:t>
      </w:r>
      <w:bookmarkEnd w:id="5835"/>
      <w:bookmarkEnd w:id="5836"/>
    </w:p>
    <w:p w14:paraId="3019EC7D" w14:textId="77777777" w:rsidR="000F6808" w:rsidRDefault="000F6808" w:rsidP="000F6808">
      <w:pPr>
        <w:pStyle w:val="afffff7"/>
        <w:rPr>
          <w:rtl/>
        </w:rPr>
      </w:pPr>
      <w:bookmarkStart w:id="5837" w:name="_Toc145500802"/>
      <w:bookmarkStart w:id="5838" w:name="_Toc163506342"/>
      <w:r>
        <w:rPr>
          <w:rtl/>
        </w:rPr>
        <w:t>מאירי שבת קכ"ב ע"ב</w:t>
      </w:r>
      <w:r>
        <w:rPr>
          <w:rFonts w:hint="cs"/>
          <w:rtl/>
        </w:rPr>
        <w:t xml:space="preserve"> ד"ה גדולי</w:t>
      </w:r>
      <w:bookmarkEnd w:id="5837"/>
      <w:bookmarkEnd w:id="5838"/>
    </w:p>
    <w:p w14:paraId="6D92439C" w14:textId="77777777" w:rsidR="000F6808" w:rsidRDefault="000F6808" w:rsidP="000F6808">
      <w:pPr>
        <w:pStyle w:val="a7"/>
        <w:rPr>
          <w:rtl/>
        </w:rPr>
      </w:pPr>
      <w:bookmarkStart w:id="5839" w:name="_Toc145487050"/>
      <w:bookmarkStart w:id="5840" w:name="_Hlk145525787"/>
      <w:bookmarkStart w:id="5841" w:name="_Hlk145525868"/>
      <w:r>
        <w:rPr>
          <w:rFonts w:hint="cs"/>
          <w:rtl/>
        </w:rPr>
        <w:t xml:space="preserve">בי' הרמב"ם דתוקע חייב בבונה ודלתות מחוברות לקרקע לא יחזיר שמא יתקע </w:t>
      </w:r>
      <w:bookmarkEnd w:id="5839"/>
      <w:r>
        <w:rPr>
          <w:rFonts w:hint="cs"/>
          <w:rtl/>
        </w:rPr>
        <w:t>ובכלים מותר</w:t>
      </w:r>
      <w:bookmarkEnd w:id="5840"/>
      <w:r>
        <w:rPr>
          <w:rFonts w:hint="cs"/>
          <w:rtl/>
        </w:rPr>
        <w:t xml:space="preserve"> </w:t>
      </w:r>
    </w:p>
    <w:p w14:paraId="1F38AD76" w14:textId="019E3327" w:rsidR="000F6808" w:rsidRDefault="000F6808" w:rsidP="000F6808">
      <w:pPr>
        <w:pStyle w:val="a3"/>
      </w:pPr>
      <w:bookmarkStart w:id="5842" w:name="_Ref145260595"/>
      <w:bookmarkStart w:id="5843" w:name="_Ref145460905"/>
      <w:bookmarkStart w:id="5844" w:name="_Ref145263697"/>
      <w:bookmarkEnd w:id="5841"/>
      <w:r>
        <w:rPr>
          <w:rFonts w:hint="cs"/>
          <w:rtl/>
        </w:rPr>
        <w:t>כתב</w:t>
      </w:r>
      <w:r>
        <w:rPr>
          <w:rtl/>
        </w:rPr>
        <w:t xml:space="preserve"> </w:t>
      </w:r>
      <w:r w:rsidRPr="00C406A9">
        <w:rPr>
          <w:b/>
          <w:bCs/>
          <w:rtl/>
        </w:rPr>
        <w:t>ה</w:t>
      </w:r>
      <w:r w:rsidRPr="00C406A9">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Ref145260595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פט)</w:t>
      </w:r>
      <w:r>
        <w:rPr>
          <w:b/>
          <w:bCs/>
          <w:vanish/>
          <w:rtl/>
        </w:rPr>
        <w:fldChar w:fldCharType="end"/>
      </w:r>
      <w:r w:rsidRPr="00C406A9">
        <w:rPr>
          <w:b/>
          <w:bCs/>
          <w:vanish/>
          <w:rtl/>
        </w:rPr>
        <w:t xml:space="preserve"> &gt;</w:t>
      </w:r>
      <w:r w:rsidRPr="00416B74">
        <w:rPr>
          <w:rFonts w:hint="cs"/>
          <w:b/>
          <w:bCs/>
          <w:rtl/>
        </w:rPr>
        <w:t>רמב"ם</w:t>
      </w:r>
      <w:r w:rsidRPr="00416B74">
        <w:rPr>
          <w:b/>
          <w:bCs/>
          <w:rtl/>
        </w:rPr>
        <w:t xml:space="preserve"> </w:t>
      </w:r>
      <w:r w:rsidRPr="00C406A9">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שבת פכ"ב הכ"ה</w:t>
      </w:r>
      <w:r w:rsidRPr="00C406A9">
        <w:rPr>
          <w:rFonts w:ascii="Calibri" w:eastAsia="Times New Roman" w:hAnsi="Calibri" w:cs="Guttman Rashi"/>
          <w:noProof w:val="0"/>
          <w:sz w:val="10"/>
          <w:szCs w:val="12"/>
          <w:rtl/>
        </w:rPr>
        <w:t>)</w:t>
      </w:r>
      <w:r w:rsidRPr="00C406A9">
        <w:rPr>
          <w:vanish/>
          <w:rtl/>
        </w:rPr>
        <w:t>=</w:t>
      </w:r>
      <w:r>
        <w:rPr>
          <w:rtl/>
        </w:rPr>
        <w:t xml:space="preserve"> </w:t>
      </w:r>
      <w:r>
        <w:rPr>
          <w:rFonts w:hint="cs"/>
          <w:rtl/>
        </w:rPr>
        <w:t>דהתו</w:t>
      </w:r>
      <w:bookmarkEnd w:id="5842"/>
      <w:r>
        <w:rPr>
          <w:rFonts w:hint="cs"/>
          <w:rtl/>
        </w:rPr>
        <w:t>קע חייב בבונה, ולכן אסור ליטול ולהחזיר את דלתות הכלים שמחוברות לקרקע, גזירה שמא יתקע, אבל דלתות הכלים נוטלים ולא מחזירין.</w:t>
      </w:r>
      <w:bookmarkEnd w:id="5843"/>
    </w:p>
    <w:p w14:paraId="5C635006" w14:textId="77777777" w:rsidR="000F6808" w:rsidRPr="0088513D" w:rsidRDefault="000F6808" w:rsidP="000F6808">
      <w:pPr>
        <w:pStyle w:val="afffffe"/>
        <w:rPr>
          <w:vanish/>
          <w:rtl/>
        </w:rPr>
      </w:pPr>
      <w:bookmarkStart w:id="5845" w:name="_Ref145370264"/>
      <w:r w:rsidRPr="0088513D">
        <w:rPr>
          <w:vanish/>
          <w:rtl/>
        </w:rPr>
        <w:t>רמב"ם שבת פכ"ב הכ"ה</w:t>
      </w:r>
    </w:p>
    <w:p w14:paraId="6901CCF2" w14:textId="77777777" w:rsidR="000F6808" w:rsidRDefault="000F6808" w:rsidP="000F6808">
      <w:pPr>
        <w:pStyle w:val="a2"/>
        <w:rPr>
          <w:rtl/>
        </w:rPr>
      </w:pPr>
      <w:r w:rsidRPr="00916CA4">
        <w:rPr>
          <w:rtl/>
        </w:rPr>
        <w:t>התוקע חייב משום בונה לפיכך כל הדלתות המחוברות לקרקע לא נוטלין אותן ולא מחזירין גזירה שמא יתקע, אבל דלת שידה תיבה ומגדל ושאר דלתות הכלים נוטלין ולא</w:t>
      </w:r>
      <w:r w:rsidRPr="00363919">
        <w:rPr>
          <w:rtl/>
        </w:rPr>
        <w:t xml:space="preserve"> מחזירין</w:t>
      </w:r>
      <w:r w:rsidRPr="00916CA4">
        <w:rPr>
          <w:rtl/>
        </w:rPr>
        <w:t>.</w:t>
      </w:r>
    </w:p>
    <w:p w14:paraId="052046CB" w14:textId="77777777" w:rsidR="000F6808" w:rsidRPr="00415F4A" w:rsidRDefault="000F6808" w:rsidP="000F6808">
      <w:pPr>
        <w:pStyle w:val="1"/>
        <w:rPr>
          <w:rtl/>
        </w:rPr>
      </w:pPr>
      <w:bookmarkStart w:id="5846" w:name="_Toc145487051"/>
      <w:r>
        <w:rPr>
          <w:rFonts w:hint="cs"/>
          <w:rtl/>
        </w:rPr>
        <w:t>בי' הב"י ברמב"ם דאף כלי המחובר לקרקע אפש"ל דל"ה בונה</w:t>
      </w:r>
      <w:bookmarkEnd w:id="5846"/>
    </w:p>
    <w:p w14:paraId="42489C48" w14:textId="77777777" w:rsidR="000F6808" w:rsidRPr="00D355F8" w:rsidRDefault="000F6808" w:rsidP="000F6808">
      <w:pPr>
        <w:pStyle w:val="a7"/>
        <w:rPr>
          <w:rtl/>
        </w:rPr>
      </w:pPr>
      <w:bookmarkStart w:id="5847" w:name="_Toc145487052"/>
      <w:r>
        <w:rPr>
          <w:rFonts w:hint="cs"/>
          <w:rtl/>
        </w:rPr>
        <w:t>קו' המ"מ והמאירי ברי"ף וברמב"ם דדלת מחוברת לקרקע חייב בבונה ולא מגזירה שמא יתקע</w:t>
      </w:r>
      <w:bookmarkEnd w:id="5847"/>
    </w:p>
    <w:p w14:paraId="76A05B62" w14:textId="164036F6" w:rsidR="000F6808" w:rsidRDefault="000F6808" w:rsidP="000F6808">
      <w:pPr>
        <w:pStyle w:val="a3"/>
      </w:pPr>
      <w:bookmarkStart w:id="5848" w:name="_Ref145370265"/>
      <w:r>
        <w:rPr>
          <w:rFonts w:hint="cs"/>
          <w:rtl/>
        </w:rPr>
        <w:t>וכתב</w:t>
      </w:r>
      <w:r>
        <w:rPr>
          <w:rtl/>
        </w:rPr>
        <w:t xml:space="preserve"> </w:t>
      </w:r>
      <w:r>
        <w:rPr>
          <w:rFonts w:hint="cs"/>
          <w:b/>
          <w:bCs/>
          <w:rtl/>
        </w:rPr>
        <w:t>ה</w:t>
      </w:r>
      <w:r>
        <w:rPr>
          <w:rFonts w:hint="cs"/>
          <w:b/>
          <w:bCs/>
          <w:vanish/>
          <w:rtl/>
        </w:rPr>
        <w:t xml:space="preserve">&lt;, </w:t>
      </w:r>
      <w:r>
        <w:rPr>
          <w:b/>
          <w:bCs/>
          <w:vanish/>
          <w:rtl/>
        </w:rPr>
        <w:fldChar w:fldCharType="begin"/>
      </w:r>
      <w:r>
        <w:rPr>
          <w:b/>
          <w:bCs/>
          <w:vanish/>
          <w:rtl/>
        </w:rPr>
        <w:instrText xml:space="preserve"> </w:instrText>
      </w:r>
      <w:r>
        <w:rPr>
          <w:rFonts w:hint="cs"/>
          <w:b/>
          <w:bCs/>
          <w:vanish/>
        </w:rPr>
        <w:instrText>REF</w:instrText>
      </w:r>
      <w:r>
        <w:rPr>
          <w:rFonts w:hint="cs"/>
          <w:b/>
          <w:bCs/>
          <w:vanish/>
          <w:rtl/>
        </w:rPr>
        <w:instrText xml:space="preserve"> _</w:instrText>
      </w:r>
      <w:r>
        <w:rPr>
          <w:rFonts w:hint="cs"/>
          <w:b/>
          <w:bCs/>
          <w:vanish/>
        </w:rPr>
        <w:instrText>Ref145370265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צ)</w:t>
      </w:r>
      <w:r>
        <w:rPr>
          <w:b/>
          <w:bCs/>
          <w:vanish/>
          <w:rtl/>
        </w:rPr>
        <w:fldChar w:fldCharType="end"/>
      </w:r>
      <w:r>
        <w:rPr>
          <w:rFonts w:hint="cs"/>
          <w:b/>
          <w:bCs/>
          <w:vanish/>
          <w:rtl/>
        </w:rPr>
        <w:t xml:space="preserve"> &gt;</w:t>
      </w:r>
      <w:r w:rsidRPr="007A3BA6">
        <w:rPr>
          <w:b/>
          <w:bCs/>
          <w:vanish/>
          <w:rtl/>
        </w:rPr>
        <w:t xml:space="preserve"> </w:t>
      </w:r>
      <w:r>
        <w:rPr>
          <w:rFonts w:hint="cs"/>
          <w:b/>
          <w:bCs/>
          <w:rtl/>
        </w:rPr>
        <w:t xml:space="preserve">מ"מ </w:t>
      </w:r>
      <w:r w:rsidRPr="007A445C">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שבת פכ"ב הכ"ה</w:t>
      </w:r>
      <w:r w:rsidRPr="007A445C">
        <w:rPr>
          <w:rFonts w:ascii="Calibri" w:eastAsia="Times New Roman" w:hAnsi="Calibri" w:cs="Guttman Rashi"/>
          <w:noProof w:val="0"/>
          <w:sz w:val="10"/>
          <w:szCs w:val="12"/>
          <w:rtl/>
        </w:rPr>
        <w:t>)</w:t>
      </w:r>
      <w:r w:rsidRPr="007A445C">
        <w:rPr>
          <w:vanish/>
          <w:rtl/>
        </w:rPr>
        <w:t>=</w:t>
      </w:r>
      <w:r>
        <w:rPr>
          <w:rtl/>
        </w:rPr>
        <w:t xml:space="preserve"> </w:t>
      </w:r>
      <w:r>
        <w:rPr>
          <w:rFonts w:hint="cs"/>
          <w:rtl/>
        </w:rPr>
        <w:t>דכן מבואר בדברי</w:t>
      </w:r>
      <w:r>
        <w:rPr>
          <w:rtl/>
        </w:rPr>
        <w:t xml:space="preserve"> </w:t>
      </w:r>
      <w:r>
        <w:rPr>
          <w:rFonts w:hint="cs"/>
          <w:b/>
          <w:bCs/>
          <w:rtl/>
        </w:rPr>
        <w:t>ה</w:t>
      </w:r>
      <w:r w:rsidRPr="007A3BA6">
        <w:rPr>
          <w:b/>
          <w:bCs/>
          <w:vanish/>
          <w:rtl/>
        </w:rPr>
        <w:t xml:space="preserve">&lt; &gt; </w:t>
      </w:r>
      <w:r>
        <w:rPr>
          <w:rFonts w:hint="cs"/>
          <w:b/>
          <w:bCs/>
          <w:rtl/>
        </w:rPr>
        <w:t xml:space="preserve">רי"ף </w:t>
      </w:r>
      <w:r w:rsidRPr="007A3BA6">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מז. מדה"ר</w:t>
      </w:r>
      <w:r w:rsidRPr="007A3BA6">
        <w:rPr>
          <w:rFonts w:ascii="Calibri" w:eastAsia="Times New Roman" w:hAnsi="Calibri" w:cs="Guttman Rashi"/>
          <w:noProof w:val="0"/>
          <w:sz w:val="10"/>
          <w:szCs w:val="12"/>
          <w:rtl/>
        </w:rPr>
        <w:t>)</w:t>
      </w:r>
      <w:r w:rsidRPr="007A3BA6">
        <w:rPr>
          <w:vanish/>
          <w:rtl/>
        </w:rPr>
        <w:t>=</w:t>
      </w:r>
      <w:r>
        <w:rPr>
          <w:rtl/>
        </w:rPr>
        <w:t xml:space="preserve"> </w:t>
      </w:r>
      <w:r>
        <w:rPr>
          <w:rFonts w:hint="cs"/>
          <w:rtl/>
        </w:rPr>
        <w:t>דהאיסור בהחזרת דלתות הכלים הוא שמא יתקע, אך הקשו</w:t>
      </w:r>
      <w:r>
        <w:rPr>
          <w:rtl/>
        </w:rPr>
        <w:t xml:space="preserve"> </w:t>
      </w:r>
      <w:r>
        <w:rPr>
          <w:rFonts w:hint="cs"/>
          <w:b/>
          <w:bCs/>
          <w:rtl/>
        </w:rPr>
        <w:t>המ"מ</w:t>
      </w:r>
      <w:r>
        <w:rPr>
          <w:rtl/>
        </w:rPr>
        <w:t xml:space="preserve"> </w:t>
      </w:r>
      <w:r>
        <w:rPr>
          <w:rFonts w:hint="cs"/>
          <w:b/>
          <w:bCs/>
          <w:rtl/>
        </w:rPr>
        <w:t>וה</w:t>
      </w:r>
      <w:r w:rsidRPr="009339F1">
        <w:rPr>
          <w:b/>
          <w:bCs/>
          <w:vanish/>
          <w:rtl/>
        </w:rPr>
        <w:t>&lt; &gt;</w:t>
      </w:r>
      <w:r>
        <w:rPr>
          <w:rFonts w:hint="cs"/>
          <w:b/>
          <w:bCs/>
          <w:rtl/>
        </w:rPr>
        <w:t>מאירי לקמן</w:t>
      </w:r>
      <w:r w:rsidRPr="009339F1">
        <w:rPr>
          <w:b/>
          <w:bCs/>
          <w:rtl/>
        </w:rPr>
        <w:t xml:space="preserve"> </w:t>
      </w:r>
      <w:r w:rsidRPr="009339F1">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קכב: ד"ה גדולי</w:t>
      </w:r>
      <w:r w:rsidRPr="009339F1">
        <w:rPr>
          <w:rFonts w:ascii="Calibri" w:eastAsia="Times New Roman" w:hAnsi="Calibri" w:cs="Guttman Rashi"/>
          <w:noProof w:val="0"/>
          <w:sz w:val="10"/>
          <w:szCs w:val="12"/>
          <w:rtl/>
        </w:rPr>
        <w:t>)</w:t>
      </w:r>
      <w:r w:rsidRPr="009339F1">
        <w:rPr>
          <w:vanish/>
          <w:rtl/>
        </w:rPr>
        <w:t>=</w:t>
      </w:r>
      <w:r>
        <w:rPr>
          <w:rtl/>
        </w:rPr>
        <w:t xml:space="preserve"> </w:t>
      </w:r>
      <w:r>
        <w:rPr>
          <w:rFonts w:hint="cs"/>
          <w:rtl/>
        </w:rPr>
        <w:t>דכיון דהוא מחובר לקרקע חייב מעיקר הדין משום בונה ולא מגזירה שמא יתקע.</w:t>
      </w:r>
      <w:bookmarkEnd w:id="5845"/>
      <w:bookmarkEnd w:id="5848"/>
    </w:p>
    <w:p w14:paraId="00DEA7A8" w14:textId="77777777" w:rsidR="000F6808" w:rsidRPr="0088513D" w:rsidRDefault="000F6808" w:rsidP="000F6808">
      <w:pPr>
        <w:pStyle w:val="afffffe"/>
        <w:rPr>
          <w:vanish/>
          <w:rtl/>
        </w:rPr>
      </w:pPr>
      <w:bookmarkStart w:id="5849" w:name="_Toc145222948"/>
      <w:bookmarkEnd w:id="5844"/>
      <w:r w:rsidRPr="0088513D">
        <w:rPr>
          <w:vanish/>
          <w:rtl/>
        </w:rPr>
        <w:t>מגיד משנה שבת פכ"ב הכ"ה</w:t>
      </w:r>
    </w:p>
    <w:p w14:paraId="78D27E9E" w14:textId="77777777" w:rsidR="000F6808" w:rsidRPr="00111645" w:rsidRDefault="000F6808" w:rsidP="000F6808">
      <w:pPr>
        <w:pStyle w:val="a2"/>
        <w:rPr>
          <w:rtl/>
        </w:rPr>
      </w:pPr>
      <w:r w:rsidRPr="00111645">
        <w:rPr>
          <w:rtl/>
        </w:rPr>
        <w:t>[כה] התוקע חייב משום בונה וכו' לפיכך כל הדלתות וכו'. ברייתא פ' כל הכלים (דף קכ"ב:) ובהלכות ת"ר דלת של שידה ושל תיבה ושל מגדל נוטלין ולא מחזירין. של לול של תרנגולין פי' דמחברי בארעא כדאיתא התם בגמרא לא נוטלין ולא מחזירין גזרה שמא יתקע ע"כ בהלכות. ותמה אני למה הוצרכו לגזרה דשמא יתקע במה שמחובר לקרקע שהרי בלא תקיעה חייב משום בונה כמבואר פרק עשירי:</w:t>
      </w:r>
    </w:p>
    <w:p w14:paraId="3E506225" w14:textId="77777777" w:rsidR="000F6808" w:rsidRPr="0088513D" w:rsidRDefault="000F6808" w:rsidP="000F6808">
      <w:pPr>
        <w:pStyle w:val="afffffe"/>
        <w:rPr>
          <w:vanish/>
          <w:rtl/>
        </w:rPr>
      </w:pPr>
      <w:r w:rsidRPr="0088513D">
        <w:rPr>
          <w:vanish/>
          <w:rtl/>
        </w:rPr>
        <w:t>רי"ף שבת מ"ז ע"א</w:t>
      </w:r>
      <w:r w:rsidRPr="0088513D">
        <w:rPr>
          <w:rFonts w:hint="cs"/>
          <w:vanish/>
          <w:rtl/>
        </w:rPr>
        <w:t xml:space="preserve"> מדה"ר</w:t>
      </w:r>
    </w:p>
    <w:p w14:paraId="2CD1F64A" w14:textId="77777777" w:rsidR="000F6808" w:rsidRPr="00111645" w:rsidRDefault="000F6808" w:rsidP="000F6808">
      <w:pPr>
        <w:pStyle w:val="afffff5"/>
        <w:rPr>
          <w:rtl/>
        </w:rPr>
      </w:pPr>
      <w:r w:rsidRPr="00111645">
        <w:rPr>
          <w:rtl/>
        </w:rPr>
        <w:t xml:space="preserve">תנו רבנן דלת של שידה ושל תיבה ושל מגדל ניטלין ולא מחזירין של לול של תרנגולין לא ניטלין ולא מחזירין גזירה שמא יתקע: </w:t>
      </w:r>
    </w:p>
    <w:p w14:paraId="0DE24E5A" w14:textId="77777777" w:rsidR="000F6808" w:rsidRPr="0088513D" w:rsidRDefault="000F6808" w:rsidP="000F6808">
      <w:pPr>
        <w:pStyle w:val="afffffe"/>
        <w:rPr>
          <w:vanish/>
          <w:rtl/>
        </w:rPr>
      </w:pPr>
      <w:r w:rsidRPr="0088513D">
        <w:rPr>
          <w:vanish/>
          <w:rtl/>
        </w:rPr>
        <w:t>מאירי שבת קכ"ב ע"ב</w:t>
      </w:r>
      <w:r w:rsidRPr="0088513D">
        <w:rPr>
          <w:rFonts w:hint="cs"/>
          <w:vanish/>
          <w:rtl/>
        </w:rPr>
        <w:t xml:space="preserve"> ד"ה גדולי</w:t>
      </w:r>
    </w:p>
    <w:p w14:paraId="3DE48187" w14:textId="77777777" w:rsidR="000F6808" w:rsidRPr="00111645" w:rsidRDefault="000F6808" w:rsidP="000F6808">
      <w:pPr>
        <w:pStyle w:val="afffff5"/>
        <w:rPr>
          <w:rtl/>
        </w:rPr>
      </w:pPr>
      <w:r w:rsidRPr="00111645">
        <w:rPr>
          <w:rtl/>
        </w:rPr>
        <w:t>גדולי המחברים כתבו שהתוקע איסורו משום בונה ויש לתמוה א"כ בדלתות הכלים היאך גוזרים שמא יתקע והרי אין בנין בכלים ועוד בתשמיש המחובר שהלכה יש בנין מה טעם לאסור משום שמא יתקע תיפוק לי שהחזרה גופה בנין כמו התקיעה</w:t>
      </w:r>
      <w:r w:rsidRPr="00111645">
        <w:rPr>
          <w:rFonts w:hint="cs"/>
          <w:rtl/>
        </w:rPr>
        <w:t>.</w:t>
      </w:r>
    </w:p>
    <w:p w14:paraId="0249DFAE" w14:textId="77777777" w:rsidR="000F6808" w:rsidRPr="00FB16AE" w:rsidRDefault="000F6808" w:rsidP="000F6808">
      <w:pPr>
        <w:pStyle w:val="a7"/>
        <w:rPr>
          <w:rtl/>
        </w:rPr>
      </w:pPr>
      <w:bookmarkStart w:id="5850" w:name="_Toc145487053"/>
      <w:r>
        <w:rPr>
          <w:rFonts w:hint="cs"/>
          <w:rtl/>
        </w:rPr>
        <w:t>קו' המאירי דבדלתות כלים אין בנין ומה הגזירה שמא יתקע ותי' דבתקע הוי בונה ובלא"ה ארעי</w:t>
      </w:r>
      <w:bookmarkEnd w:id="5850"/>
    </w:p>
    <w:p w14:paraId="6716BC33" w14:textId="77777777" w:rsidR="000F6808" w:rsidRPr="000E01F8" w:rsidRDefault="000F6808" w:rsidP="000F6808">
      <w:pPr>
        <w:pStyle w:val="a3"/>
        <w:rPr>
          <w:rtl/>
        </w:rPr>
      </w:pPr>
      <w:r>
        <w:rPr>
          <w:rFonts w:hint="cs"/>
          <w:rtl/>
        </w:rPr>
        <w:t>ועוד הקשה</w:t>
      </w:r>
      <w:r>
        <w:rPr>
          <w:rtl/>
        </w:rPr>
        <w:t xml:space="preserve"> </w:t>
      </w:r>
      <w:r>
        <w:rPr>
          <w:rFonts w:hint="cs"/>
          <w:b/>
          <w:bCs/>
          <w:rtl/>
        </w:rPr>
        <w:t>המאירי</w:t>
      </w:r>
      <w:r>
        <w:rPr>
          <w:rtl/>
        </w:rPr>
        <w:t xml:space="preserve"> </w:t>
      </w:r>
      <w:r>
        <w:rPr>
          <w:rFonts w:hint="cs"/>
          <w:rtl/>
        </w:rPr>
        <w:t>דבדלתות הכלים לא שייך לגזור שמא יתקע דהא קיי"ל דאין בנין בכלים, וכתב</w:t>
      </w:r>
      <w:r>
        <w:rPr>
          <w:rtl/>
        </w:rPr>
        <w:t xml:space="preserve"> </w:t>
      </w:r>
      <w:r>
        <w:rPr>
          <w:rFonts w:hint="cs"/>
          <w:b/>
          <w:bCs/>
          <w:rtl/>
        </w:rPr>
        <w:t>המאירי</w:t>
      </w:r>
      <w:r>
        <w:rPr>
          <w:rtl/>
        </w:rPr>
        <w:t xml:space="preserve"> </w:t>
      </w:r>
      <w:r>
        <w:rPr>
          <w:rFonts w:hint="cs"/>
          <w:rtl/>
        </w:rPr>
        <w:t>דצ"ל דכוונת</w:t>
      </w:r>
      <w:r>
        <w:rPr>
          <w:rtl/>
        </w:rPr>
        <w:t xml:space="preserve"> </w:t>
      </w:r>
      <w:r>
        <w:rPr>
          <w:rFonts w:hint="cs"/>
          <w:b/>
          <w:bCs/>
          <w:rtl/>
        </w:rPr>
        <w:t>הרמב"ם</w:t>
      </w:r>
      <w:r>
        <w:rPr>
          <w:rtl/>
        </w:rPr>
        <w:t xml:space="preserve"> </w:t>
      </w:r>
      <w:r>
        <w:rPr>
          <w:rFonts w:hint="cs"/>
          <w:rtl/>
        </w:rPr>
        <w:t>לומר שאם לא תקע אינו בונה דהוא ארעי בעלמא, ואם יתקע חייב משום בונה.</w:t>
      </w:r>
    </w:p>
    <w:p w14:paraId="6E3ECDE3" w14:textId="77777777" w:rsidR="000F6808" w:rsidRPr="00111645" w:rsidRDefault="000F6808" w:rsidP="000F6808">
      <w:pPr>
        <w:pStyle w:val="a2"/>
        <w:rPr>
          <w:rtl/>
        </w:rPr>
      </w:pPr>
      <w:r w:rsidRPr="00111645">
        <w:rPr>
          <w:rtl/>
        </w:rPr>
        <w:t xml:space="preserve">גדולי המחברים כתבו שהתוקע איסורו משום בונה ויש לתמוה א"כ בדלתות הכלים היאך גוזרים שמא יתקע והרי אין בנין בכלים </w:t>
      </w:r>
      <w:r w:rsidRPr="00111645">
        <w:rPr>
          <w:rFonts w:hint="cs"/>
          <w:rtl/>
        </w:rPr>
        <w:t xml:space="preserve">וכו' </w:t>
      </w:r>
      <w:r w:rsidRPr="00111645">
        <w:rPr>
          <w:rtl/>
        </w:rPr>
        <w:t xml:space="preserve">ואיפשר שאף הם לא נגעו בתקיעה משום בונה אלא במחובר לקרקע כלומר שמא יתקע והוה ליה בונה שיש בנין וסתירה בקרקע הא אם לא תקע אינו בנין מפני שהוא עראי ולכשיתקע יתחייב משום בונה ולא משום מכה בפטיש: </w:t>
      </w:r>
    </w:p>
    <w:p w14:paraId="7A6D7ABE" w14:textId="77777777" w:rsidR="000F6808" w:rsidRDefault="000F6808" w:rsidP="000F6808">
      <w:pPr>
        <w:pStyle w:val="afffff7"/>
        <w:rPr>
          <w:rtl/>
        </w:rPr>
      </w:pPr>
      <w:bookmarkStart w:id="5851" w:name="_Toc145500803"/>
      <w:bookmarkStart w:id="5852" w:name="_Toc163506343"/>
      <w:r>
        <w:rPr>
          <w:rtl/>
        </w:rPr>
        <w:t xml:space="preserve">בית יוסף </w:t>
      </w:r>
      <w:r>
        <w:rPr>
          <w:rFonts w:hint="cs"/>
          <w:rtl/>
        </w:rPr>
        <w:t>או"ח סי' ש"ח ט' ד"ה גזירה</w:t>
      </w:r>
      <w:bookmarkEnd w:id="5851"/>
      <w:bookmarkEnd w:id="5852"/>
    </w:p>
    <w:p w14:paraId="550ABFD6" w14:textId="77777777" w:rsidR="000F6808" w:rsidRDefault="000F6808" w:rsidP="000F6808">
      <w:pPr>
        <w:pStyle w:val="afffff7"/>
        <w:rPr>
          <w:rtl/>
        </w:rPr>
      </w:pPr>
      <w:bookmarkStart w:id="5853" w:name="_Toc145500804"/>
      <w:bookmarkStart w:id="5854" w:name="_Toc163506344"/>
      <w:r>
        <w:rPr>
          <w:rtl/>
        </w:rPr>
        <w:t>ר"ן על הרי"ף</w:t>
      </w:r>
      <w:r>
        <w:rPr>
          <w:rFonts w:hint="cs"/>
          <w:rtl/>
        </w:rPr>
        <w:t xml:space="preserve"> </w:t>
      </w:r>
      <w:r>
        <w:rPr>
          <w:rtl/>
        </w:rPr>
        <w:t>שבת מ"ז ע"א</w:t>
      </w:r>
      <w:r>
        <w:rPr>
          <w:rFonts w:hint="cs"/>
          <w:rtl/>
        </w:rPr>
        <w:t xml:space="preserve"> מדה"ר ד"ה גזירה</w:t>
      </w:r>
      <w:bookmarkEnd w:id="5853"/>
      <w:bookmarkEnd w:id="5854"/>
    </w:p>
    <w:p w14:paraId="186E557A" w14:textId="77777777" w:rsidR="000F6808" w:rsidRDefault="000F6808" w:rsidP="000F6808">
      <w:pPr>
        <w:pStyle w:val="a7"/>
        <w:rPr>
          <w:rtl/>
        </w:rPr>
      </w:pPr>
      <w:bookmarkStart w:id="5855" w:name="_Toc145487054"/>
      <w:r>
        <w:rPr>
          <w:rFonts w:hint="cs"/>
          <w:rtl/>
        </w:rPr>
        <w:t>בי' הר"ן ברי"ף דרק בכלים האיסור שמא יתקע ולא במחובר ולא בלול דמחובר לקרקע והוי בונה</w:t>
      </w:r>
      <w:bookmarkEnd w:id="5855"/>
    </w:p>
    <w:p w14:paraId="5BD1EFE7" w14:textId="23EB7201" w:rsidR="000F6808" w:rsidRDefault="000F6808" w:rsidP="000F6808">
      <w:pPr>
        <w:pStyle w:val="a3"/>
      </w:pPr>
      <w:bookmarkStart w:id="5856" w:name="_Ref145263477"/>
      <w:r>
        <w:rPr>
          <w:rFonts w:hint="cs"/>
          <w:rtl/>
        </w:rPr>
        <w:t>והביא</w:t>
      </w:r>
      <w:r>
        <w:rPr>
          <w:rtl/>
        </w:rPr>
        <w:t xml:space="preserve"> </w:t>
      </w:r>
      <w:r w:rsidRPr="004909C9">
        <w:rPr>
          <w:b/>
          <w:bCs/>
          <w:rtl/>
        </w:rPr>
        <w:t>ה</w:t>
      </w:r>
      <w:r w:rsidRPr="004909C9">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Ref145263477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צב)</w:t>
      </w:r>
      <w:r>
        <w:rPr>
          <w:b/>
          <w:bCs/>
          <w:vanish/>
          <w:rtl/>
        </w:rPr>
        <w:fldChar w:fldCharType="end"/>
      </w:r>
      <w:r w:rsidRPr="004909C9">
        <w:rPr>
          <w:b/>
          <w:bCs/>
          <w:vanish/>
          <w:rtl/>
        </w:rPr>
        <w:t xml:space="preserve"> &gt;</w:t>
      </w:r>
      <w:r>
        <w:rPr>
          <w:rFonts w:hint="cs"/>
          <w:b/>
          <w:bCs/>
          <w:rtl/>
        </w:rPr>
        <w:t>ב"י</w:t>
      </w:r>
      <w:r w:rsidRPr="004909C9">
        <w:rPr>
          <w:b/>
          <w:bCs/>
          <w:rtl/>
        </w:rPr>
        <w:t xml:space="preserve"> </w:t>
      </w:r>
      <w:r w:rsidRPr="004909C9">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סי' ש"ח ט' ד"ה גזירה</w:t>
      </w:r>
      <w:r w:rsidRPr="004909C9">
        <w:rPr>
          <w:rFonts w:ascii="Calibri" w:eastAsia="Times New Roman" w:hAnsi="Calibri" w:cs="Guttman Rashi"/>
          <w:noProof w:val="0"/>
          <w:sz w:val="10"/>
          <w:szCs w:val="12"/>
          <w:rtl/>
        </w:rPr>
        <w:t>)</w:t>
      </w:r>
      <w:r w:rsidRPr="004909C9">
        <w:rPr>
          <w:vanish/>
          <w:rtl/>
        </w:rPr>
        <w:t>=</w:t>
      </w:r>
      <w:r>
        <w:rPr>
          <w:rtl/>
        </w:rPr>
        <w:t xml:space="preserve"> </w:t>
      </w:r>
      <w:r>
        <w:rPr>
          <w:rFonts w:hint="cs"/>
          <w:rtl/>
        </w:rPr>
        <w:t>את דברי</w:t>
      </w:r>
      <w:r>
        <w:rPr>
          <w:rtl/>
        </w:rPr>
        <w:t xml:space="preserve"> </w:t>
      </w:r>
      <w:r>
        <w:rPr>
          <w:rFonts w:hint="cs"/>
          <w:b/>
          <w:bCs/>
          <w:rtl/>
        </w:rPr>
        <w:t>ה</w:t>
      </w:r>
      <w:r w:rsidRPr="008871FD">
        <w:rPr>
          <w:b/>
          <w:bCs/>
          <w:vanish/>
          <w:rtl/>
        </w:rPr>
        <w:t>&lt; &gt;</w:t>
      </w:r>
      <w:r w:rsidRPr="00DB55A2">
        <w:rPr>
          <w:b/>
          <w:bCs/>
          <w:vanish/>
          <w:rtl/>
        </w:rPr>
        <w:t xml:space="preserve"> </w:t>
      </w:r>
      <w:r>
        <w:rPr>
          <w:rFonts w:hint="cs"/>
          <w:b/>
          <w:bCs/>
          <w:rtl/>
        </w:rPr>
        <w:t xml:space="preserve">ר"ן על הרי"ף לקמן </w:t>
      </w:r>
      <w:r w:rsidRPr="008871FD">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מז. מדה"ר ד"ה גזירה, מהדו' עוז והדר עמ' ק"ל</w:t>
      </w:r>
      <w:r w:rsidRPr="008871FD">
        <w:rPr>
          <w:rFonts w:ascii="Calibri" w:eastAsia="Times New Roman" w:hAnsi="Calibri" w:cs="Guttman Rashi"/>
          <w:noProof w:val="0"/>
          <w:sz w:val="10"/>
          <w:szCs w:val="12"/>
          <w:rtl/>
        </w:rPr>
        <w:t>)</w:t>
      </w:r>
      <w:r w:rsidRPr="008871FD">
        <w:rPr>
          <w:vanish/>
          <w:rtl/>
        </w:rPr>
        <w:t>=</w:t>
      </w:r>
      <w:r>
        <w:rPr>
          <w:rtl/>
        </w:rPr>
        <w:t xml:space="preserve"> </w:t>
      </w:r>
      <w:r>
        <w:rPr>
          <w:rFonts w:hint="cs"/>
          <w:rtl/>
        </w:rPr>
        <w:t>דביאר דמ"ש</w:t>
      </w:r>
      <w:r>
        <w:rPr>
          <w:rtl/>
        </w:rPr>
        <w:t xml:space="preserve"> </w:t>
      </w:r>
      <w:r>
        <w:rPr>
          <w:rFonts w:hint="cs"/>
          <w:b/>
          <w:bCs/>
          <w:rtl/>
        </w:rPr>
        <w:t>הרי"ף</w:t>
      </w:r>
      <w:r>
        <w:rPr>
          <w:rtl/>
        </w:rPr>
        <w:t xml:space="preserve"> </w:t>
      </w:r>
      <w:r w:rsidRPr="00415F4A">
        <w:rPr>
          <w:rStyle w:val="af2"/>
          <w:rFonts w:eastAsia="Guttman Hodes" w:hint="cs"/>
          <w:rtl/>
        </w:rPr>
        <w:t xml:space="preserve">(עי' </w:t>
      </w:r>
      <w:r w:rsidRPr="00916CA4">
        <w:rPr>
          <w:rStyle w:val="af2"/>
          <w:rFonts w:eastAsia="Guttman Hodes" w:hint="cs"/>
          <w:rtl/>
        </w:rPr>
        <w:t xml:space="preserve">אות </w:t>
      </w:r>
      <w:r w:rsidRPr="00916CA4">
        <w:rPr>
          <w:rStyle w:val="af2"/>
          <w:rFonts w:eastAsia="Guttman Hodes"/>
          <w:rtl/>
        </w:rPr>
        <w:fldChar w:fldCharType="begin"/>
      </w:r>
      <w:r w:rsidRPr="00916CA4">
        <w:rPr>
          <w:rStyle w:val="af2"/>
          <w:rFonts w:eastAsia="Guttman Hodes"/>
          <w:rtl/>
        </w:rPr>
        <w:instrText xml:space="preserve"> </w:instrText>
      </w:r>
      <w:r w:rsidRPr="00916CA4">
        <w:rPr>
          <w:rStyle w:val="af2"/>
          <w:rFonts w:eastAsia="Guttman Hodes" w:hint="cs"/>
        </w:rPr>
        <w:instrText>REF</w:instrText>
      </w:r>
      <w:r w:rsidRPr="00916CA4">
        <w:rPr>
          <w:rStyle w:val="af2"/>
          <w:rFonts w:eastAsia="Guttman Hodes" w:hint="cs"/>
          <w:rtl/>
        </w:rPr>
        <w:instrText xml:space="preserve"> _</w:instrText>
      </w:r>
      <w:r w:rsidRPr="00916CA4">
        <w:rPr>
          <w:rStyle w:val="af2"/>
          <w:rFonts w:eastAsia="Guttman Hodes" w:hint="cs"/>
        </w:rPr>
        <w:instrText>Ref145370265 \r \h</w:instrText>
      </w:r>
      <w:r w:rsidRPr="00916CA4">
        <w:rPr>
          <w:rStyle w:val="af2"/>
          <w:rFonts w:eastAsia="Guttman Hodes"/>
          <w:rtl/>
        </w:rPr>
        <w:instrText xml:space="preserve"> </w:instrText>
      </w:r>
      <w:r w:rsidRPr="00916CA4">
        <w:rPr>
          <w:rStyle w:val="af2"/>
          <w:rFonts w:eastAsia="Guttman Hodes"/>
          <w:rtl/>
        </w:rPr>
      </w:r>
      <w:r w:rsidRPr="00916CA4">
        <w:rPr>
          <w:rStyle w:val="af2"/>
          <w:rFonts w:eastAsia="Guttman Hodes"/>
          <w:rtl/>
        </w:rPr>
        <w:fldChar w:fldCharType="separate"/>
      </w:r>
      <w:r w:rsidR="00D82181">
        <w:rPr>
          <w:rStyle w:val="af2"/>
          <w:rFonts w:eastAsia="Guttman Hodes"/>
          <w:cs/>
        </w:rPr>
        <w:t>‎</w:t>
      </w:r>
      <w:r w:rsidR="00D82181">
        <w:rPr>
          <w:rStyle w:val="af2"/>
          <w:rFonts w:eastAsia="Guttman Hodes"/>
          <w:rtl/>
        </w:rPr>
        <w:t>צ)</w:t>
      </w:r>
      <w:r w:rsidRPr="00916CA4">
        <w:rPr>
          <w:rStyle w:val="af2"/>
          <w:rFonts w:eastAsia="Guttman Hodes"/>
          <w:rtl/>
        </w:rPr>
        <w:fldChar w:fldCharType="end"/>
      </w:r>
      <w:r>
        <w:rPr>
          <w:rFonts w:hint="cs"/>
          <w:rtl/>
        </w:rPr>
        <w:t xml:space="preserve"> דהאיסור הוא גזירה שמא יתקע, היינו בשידה תיבה ומגדל ולא בלול של תרנגולין דמחובר לקרקע.</w:t>
      </w:r>
    </w:p>
    <w:p w14:paraId="1FED4ECE" w14:textId="77777777" w:rsidR="000F6808" w:rsidRPr="0088513D" w:rsidRDefault="000F6808" w:rsidP="000F6808">
      <w:pPr>
        <w:pStyle w:val="afffffe"/>
        <w:rPr>
          <w:vanish/>
          <w:rtl/>
        </w:rPr>
      </w:pPr>
      <w:r w:rsidRPr="0088513D">
        <w:rPr>
          <w:vanish/>
          <w:rtl/>
        </w:rPr>
        <w:t xml:space="preserve">בית יוסף או"ח סי' ש"ח ט' </w:t>
      </w:r>
      <w:r w:rsidRPr="0088513D">
        <w:rPr>
          <w:rFonts w:hint="cs"/>
          <w:vanish/>
          <w:rtl/>
        </w:rPr>
        <w:t>ד"ה</w:t>
      </w:r>
      <w:r w:rsidRPr="0088513D">
        <w:rPr>
          <w:vanish/>
          <w:rtl/>
        </w:rPr>
        <w:t xml:space="preserve"> </w:t>
      </w:r>
      <w:r w:rsidRPr="0088513D">
        <w:rPr>
          <w:rFonts w:hint="cs"/>
          <w:vanish/>
          <w:rtl/>
        </w:rPr>
        <w:t>גזירה</w:t>
      </w:r>
    </w:p>
    <w:p w14:paraId="6DF4FF2A" w14:textId="77777777" w:rsidR="000F6808" w:rsidRPr="00111645" w:rsidRDefault="000F6808" w:rsidP="000F6808">
      <w:pPr>
        <w:pStyle w:val="a2"/>
        <w:rPr>
          <w:rtl/>
        </w:rPr>
      </w:pPr>
      <w:r w:rsidRPr="00111645">
        <w:rPr>
          <w:rtl/>
        </w:rPr>
        <w:t>גזירה שמא יתקע. בחזקה בסכין ויתדות והוה ליה גמר מלאכה וחייב משום מכה בפטיש, ואף על פי שהרי"ף (מז.) סתם וכתב גזירה שמא יתקע כבר כתב הר"ן (ד"ה של לול) דלא קאי אלא אדלת שידה תיבה ומגדל דאין מחזירין אבל דלת של לול של תרנגולין הוי טעמא משום דכיון דמחובר לקרקע אית ביה בנין וסתירה</w:t>
      </w:r>
      <w:r w:rsidRPr="00111645">
        <w:rPr>
          <w:rFonts w:hint="cs"/>
          <w:rtl/>
        </w:rPr>
        <w:t>.</w:t>
      </w:r>
    </w:p>
    <w:p w14:paraId="6AEDCF4A" w14:textId="77777777" w:rsidR="000F6808" w:rsidRPr="0088513D" w:rsidRDefault="000F6808" w:rsidP="000F6808">
      <w:pPr>
        <w:pStyle w:val="afffffe"/>
        <w:rPr>
          <w:vanish/>
          <w:rtl/>
        </w:rPr>
      </w:pPr>
      <w:r w:rsidRPr="0088513D">
        <w:rPr>
          <w:vanish/>
          <w:rtl/>
        </w:rPr>
        <w:t>ר"ן על הרי"ף</w:t>
      </w:r>
      <w:r w:rsidRPr="0088513D">
        <w:rPr>
          <w:rFonts w:hint="cs"/>
          <w:vanish/>
          <w:rtl/>
        </w:rPr>
        <w:t xml:space="preserve"> </w:t>
      </w:r>
      <w:r w:rsidRPr="0088513D">
        <w:rPr>
          <w:vanish/>
          <w:rtl/>
        </w:rPr>
        <w:t>שבת מ"ז ע"א</w:t>
      </w:r>
      <w:r w:rsidRPr="0088513D">
        <w:rPr>
          <w:rFonts w:hint="cs"/>
          <w:vanish/>
          <w:rtl/>
        </w:rPr>
        <w:t xml:space="preserve"> מדה"ר ד"ה גזירה</w:t>
      </w:r>
    </w:p>
    <w:p w14:paraId="40362C6A" w14:textId="77777777" w:rsidR="000F6808" w:rsidRPr="00111645" w:rsidRDefault="000F6808" w:rsidP="000F6808">
      <w:pPr>
        <w:pStyle w:val="afffff5"/>
        <w:rPr>
          <w:rtl/>
        </w:rPr>
      </w:pPr>
      <w:r w:rsidRPr="00111645">
        <w:rPr>
          <w:rtl/>
        </w:rPr>
        <w:t xml:space="preserve">גזירה שמא יתקע. קא יהיב טעמא אמאי דאמרינן דדלת של שידה תיבה ומגדל לא מחזירין וכדפרישית: </w:t>
      </w:r>
    </w:p>
    <w:p w14:paraId="7952B2F3" w14:textId="77777777" w:rsidR="000F6808" w:rsidRPr="0052340D" w:rsidRDefault="000F6808" w:rsidP="000F6808">
      <w:pPr>
        <w:pStyle w:val="a7"/>
      </w:pPr>
      <w:bookmarkStart w:id="5857" w:name="_Toc145487055"/>
      <w:r>
        <w:rPr>
          <w:rFonts w:hint="cs"/>
          <w:rtl/>
        </w:rPr>
        <w:t>תי' הב"י ברי"ף וברמב"ם דכלים המחוברים לקרקע לא פסיקא אי הוי כקרקע ואמרו שמא יתקע</w:t>
      </w:r>
      <w:bookmarkEnd w:id="5857"/>
    </w:p>
    <w:p w14:paraId="74A80950" w14:textId="711946F7" w:rsidR="000F6808" w:rsidRPr="00F03B02" w:rsidRDefault="000F6808" w:rsidP="000F6808">
      <w:pPr>
        <w:pStyle w:val="a3"/>
        <w:rPr>
          <w:rtl/>
        </w:rPr>
      </w:pPr>
      <w:r>
        <w:rPr>
          <w:rFonts w:hint="cs"/>
          <w:rtl/>
        </w:rPr>
        <w:t xml:space="preserve">אך בדעת </w:t>
      </w:r>
      <w:r>
        <w:rPr>
          <w:rFonts w:hint="cs"/>
          <w:b/>
          <w:bCs/>
          <w:rtl/>
        </w:rPr>
        <w:t>המ"מ</w:t>
      </w:r>
      <w:r>
        <w:rPr>
          <w:rtl/>
        </w:rPr>
        <w:t xml:space="preserve"> </w:t>
      </w:r>
      <w:r w:rsidRPr="00415F4A">
        <w:rPr>
          <w:rStyle w:val="af2"/>
          <w:rFonts w:eastAsia="Guttman Hodes" w:hint="cs"/>
          <w:rtl/>
        </w:rPr>
        <w:t>(עי' אות</w:t>
      </w:r>
      <w:r>
        <w:rPr>
          <w:rStyle w:val="af2"/>
          <w:rFonts w:eastAsia="Guttman Hodes" w:hint="cs"/>
          <w:rtl/>
        </w:rPr>
        <w:t xml:space="preserve">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Ref145370265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צ)</w:t>
      </w:r>
      <w:r>
        <w:rPr>
          <w:rStyle w:val="af2"/>
          <w:rFonts w:eastAsia="Guttman Hodes"/>
          <w:rtl/>
        </w:rPr>
        <w:fldChar w:fldCharType="end"/>
      </w:r>
      <w:r>
        <w:rPr>
          <w:rFonts w:hint="cs"/>
          <w:rtl/>
        </w:rPr>
        <w:t xml:space="preserve"> שהקשה</w:t>
      </w:r>
      <w:r>
        <w:rPr>
          <w:rtl/>
        </w:rPr>
        <w:t xml:space="preserve"> </w:t>
      </w:r>
      <w:r>
        <w:rPr>
          <w:rFonts w:hint="cs"/>
          <w:rtl/>
        </w:rPr>
        <w:t>דבדברי</w:t>
      </w:r>
      <w:r>
        <w:rPr>
          <w:rtl/>
        </w:rPr>
        <w:t xml:space="preserve"> </w:t>
      </w:r>
      <w:r>
        <w:rPr>
          <w:rFonts w:hint="cs"/>
          <w:b/>
          <w:bCs/>
          <w:rtl/>
        </w:rPr>
        <w:t>הרמב"ם</w:t>
      </w:r>
      <w:r>
        <w:rPr>
          <w:rtl/>
        </w:rPr>
        <w:t xml:space="preserve"> </w:t>
      </w:r>
      <w:r>
        <w:rPr>
          <w:rFonts w:hint="cs"/>
          <w:rtl/>
        </w:rPr>
        <w:t>מבואר דכ"כ אף בכלים המחוברים לקרקע, תירץ</w:t>
      </w:r>
      <w:r>
        <w:rPr>
          <w:rtl/>
        </w:rPr>
        <w:t xml:space="preserve"> </w:t>
      </w:r>
      <w:r>
        <w:rPr>
          <w:rFonts w:hint="cs"/>
          <w:b/>
          <w:bCs/>
          <w:rtl/>
        </w:rPr>
        <w:t>הב"י</w:t>
      </w:r>
      <w:r w:rsidRPr="004909C9">
        <w:rPr>
          <w:b/>
          <w:bCs/>
          <w:rtl/>
        </w:rPr>
        <w:t xml:space="preserve"> </w:t>
      </w:r>
      <w:r>
        <w:rPr>
          <w:rFonts w:hint="cs"/>
          <w:rtl/>
        </w:rPr>
        <w:t>דס"ל</w:t>
      </w:r>
      <w:r>
        <w:rPr>
          <w:rtl/>
        </w:rPr>
        <w:t xml:space="preserve"> </w:t>
      </w:r>
      <w:r>
        <w:rPr>
          <w:rFonts w:hint="cs"/>
          <w:b/>
          <w:bCs/>
          <w:rtl/>
        </w:rPr>
        <w:t>להרי"ף והרמב"ם</w:t>
      </w:r>
      <w:r>
        <w:rPr>
          <w:rtl/>
        </w:rPr>
        <w:t xml:space="preserve"> </w:t>
      </w:r>
      <w:r>
        <w:rPr>
          <w:rFonts w:hint="cs"/>
          <w:rtl/>
        </w:rPr>
        <w:t>דבכלים המחוברים לקרקע, אעפ"י שהם מחוברים ויש בהם בנין וסתירה, מ"מ כיון דלא פסיקא לן דדינם כקרקע, לכן אמרינן דודאי אסור גזירה שמא יתקע.</w:t>
      </w:r>
      <w:bookmarkEnd w:id="5856"/>
    </w:p>
    <w:p w14:paraId="6D7A37C6" w14:textId="77777777" w:rsidR="000F6808" w:rsidRPr="00111645" w:rsidRDefault="000F6808" w:rsidP="000F6808">
      <w:pPr>
        <w:pStyle w:val="a2"/>
        <w:rPr>
          <w:rtl/>
        </w:rPr>
      </w:pPr>
      <w:r w:rsidRPr="00111645">
        <w:rPr>
          <w:rtl/>
        </w:rPr>
        <w:t xml:space="preserve">אבל הרב המגיד סובר דקאי אף אלול של תרנגולים שעל מה שכתב הרמב"ם בפרק כ"ב (הכ"ה) התוקע חייב משום בונה לפיכך כל הדלתות המחוברות לקרקע לא נוטלין אותן ולא מחזירין גזירה שמא יתקע אבל דלת שידה תיבה ומגדל ושאר דלתות הכלים נוטלין ולא מחזירין כתב הוא ז"ל דהכי איתא בהלכות (רי"ף שם) תנו רבנן דלת של שידה תיבה ומגדל וכו' לול של תרנגולין פירוש דמחברי בארעא לא נוטלין ולא מחזירין גזירה שמא יתקע, ותמה אני למה הוצרכו לגזירה שמא יתקע במה שמחובר לקרקע שהרי בלא תקיעה חייב משום בונה כמבואר פרק י' (הי"ד) עכ"ל ועוד יש לדקדק שלא נתן טעם למה אין מחזירין דלתות הכלים מיהו בזה אפשר לומר שכשכתב אחר כך ואם נשמט ציר התחתון וכו' גזירה שמא יתקע האי טעמא קאי גם אדלתות הכלים אין מחזירין. ולענין מה שתמה הרב המגיד יש לומר דכיון דכלים הם אף על גב דמחוברים לקרקע הם לא פסיקא לן מילתא למימר דמשום דמחברי בארעא אית בהו בנין וסתירה ומכל מקום אפשר למימר הכי והיינו דאמרינן קסבר כיון דמחברי בארעא וכו' כלומר אפשר למימר דסבר הכי וכי אסיקנא גזירה שמא יתקע תו לא צריכין לטעמא דכיון דמחברי בארעא: </w:t>
      </w:r>
    </w:p>
    <w:p w14:paraId="04BA8E8F" w14:textId="77777777" w:rsidR="000F6808" w:rsidRDefault="000F6808" w:rsidP="000F6808">
      <w:pPr>
        <w:pStyle w:val="afffff7"/>
        <w:rPr>
          <w:rtl/>
        </w:rPr>
      </w:pPr>
      <w:bookmarkStart w:id="5858" w:name="_Toc145500805"/>
      <w:bookmarkStart w:id="5859" w:name="_Toc163506345"/>
      <w:r w:rsidRPr="008A73A0">
        <w:rPr>
          <w:rtl/>
        </w:rPr>
        <w:t>מרכבת המשנה שבת פ"י הי"ד</w:t>
      </w:r>
      <w:r>
        <w:rPr>
          <w:rFonts w:hint="cs"/>
          <w:rtl/>
        </w:rPr>
        <w:t xml:space="preserve"> ד"ה ומה שנראה</w:t>
      </w:r>
      <w:bookmarkEnd w:id="5858"/>
      <w:bookmarkEnd w:id="5859"/>
    </w:p>
    <w:p w14:paraId="03FBBF85" w14:textId="77777777" w:rsidR="000F6808" w:rsidRDefault="000F6808" w:rsidP="000F6808">
      <w:pPr>
        <w:pStyle w:val="a7"/>
        <w:rPr>
          <w:rtl/>
        </w:rPr>
      </w:pPr>
      <w:bookmarkStart w:id="5860" w:name="_Toc145487056"/>
      <w:r>
        <w:rPr>
          <w:rFonts w:hint="cs"/>
          <w:rtl/>
        </w:rPr>
        <w:t>בי' המרכה"מ ברי"ף וברמב"ם דתלוש ולבסוף חברו קיי"ל דהוי תלוש ואף דלת לול ל"ה כקרקע</w:t>
      </w:r>
      <w:bookmarkEnd w:id="5860"/>
    </w:p>
    <w:p w14:paraId="6BEF144D" w14:textId="58A557F2" w:rsidR="000F6808" w:rsidRPr="008A73A0" w:rsidRDefault="000F6808" w:rsidP="000F6808">
      <w:pPr>
        <w:pStyle w:val="a3"/>
        <w:rPr>
          <w:rtl/>
        </w:rPr>
      </w:pPr>
      <w:bookmarkStart w:id="5861" w:name="_Ref145275574"/>
      <w:r>
        <w:rPr>
          <w:rFonts w:hint="cs"/>
          <w:rtl/>
        </w:rPr>
        <w:t>וכעי"ז תירץ</w:t>
      </w:r>
      <w:r>
        <w:rPr>
          <w:rtl/>
        </w:rPr>
        <w:t xml:space="preserve"> </w:t>
      </w:r>
      <w:r w:rsidRPr="00716D0F">
        <w:rPr>
          <w:b/>
          <w:bCs/>
          <w:rtl/>
        </w:rPr>
        <w:t>ה</w:t>
      </w:r>
      <w:r w:rsidRPr="00716D0F">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Ref145275574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צד)</w:t>
      </w:r>
      <w:r>
        <w:rPr>
          <w:b/>
          <w:bCs/>
          <w:vanish/>
          <w:rtl/>
        </w:rPr>
        <w:fldChar w:fldCharType="end"/>
      </w:r>
      <w:r w:rsidRPr="00716D0F">
        <w:rPr>
          <w:b/>
          <w:bCs/>
          <w:vanish/>
          <w:rtl/>
        </w:rPr>
        <w:t xml:space="preserve"> &gt;</w:t>
      </w:r>
      <w:r>
        <w:rPr>
          <w:rFonts w:hint="cs"/>
          <w:b/>
          <w:bCs/>
          <w:rtl/>
        </w:rPr>
        <w:t>מרכה"מ</w:t>
      </w:r>
      <w:r w:rsidRPr="00716D0F">
        <w:rPr>
          <w:b/>
          <w:bCs/>
          <w:rtl/>
        </w:rPr>
        <w:t xml:space="preserve"> </w:t>
      </w:r>
      <w:r w:rsidRPr="00716D0F">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שבת פ"י הי"ד ד"ה ומה שנראה</w:t>
      </w:r>
      <w:r w:rsidRPr="00716D0F">
        <w:rPr>
          <w:rFonts w:ascii="Calibri" w:eastAsia="Times New Roman" w:hAnsi="Calibri" w:cs="Guttman Rashi"/>
          <w:noProof w:val="0"/>
          <w:sz w:val="10"/>
          <w:szCs w:val="12"/>
          <w:rtl/>
        </w:rPr>
        <w:t>)</w:t>
      </w:r>
      <w:r w:rsidRPr="00716D0F">
        <w:rPr>
          <w:vanish/>
          <w:rtl/>
        </w:rPr>
        <w:t>=</w:t>
      </w:r>
      <w:r>
        <w:rPr>
          <w:rtl/>
        </w:rPr>
        <w:t xml:space="preserve"> </w:t>
      </w:r>
      <w:r>
        <w:rPr>
          <w:rFonts w:hint="cs"/>
          <w:rtl/>
        </w:rPr>
        <w:t>דדעת</w:t>
      </w:r>
      <w:r>
        <w:rPr>
          <w:rtl/>
        </w:rPr>
        <w:t xml:space="preserve"> </w:t>
      </w:r>
      <w:r>
        <w:rPr>
          <w:rFonts w:hint="cs"/>
          <w:b/>
          <w:bCs/>
          <w:rtl/>
        </w:rPr>
        <w:t xml:space="preserve">הרי"ף </w:t>
      </w:r>
      <w:r w:rsidRPr="006A5523">
        <w:rPr>
          <w:rStyle w:val="af2"/>
          <w:rFonts w:eastAsia="Guttman Hodes" w:hint="cs"/>
          <w:rtl/>
        </w:rPr>
        <w:t xml:space="preserve">(עי' אות </w:t>
      </w:r>
      <w:r w:rsidRPr="006A5523">
        <w:rPr>
          <w:rStyle w:val="af2"/>
          <w:rFonts w:eastAsia="Guttman Hodes"/>
          <w:rtl/>
        </w:rPr>
        <w:fldChar w:fldCharType="begin"/>
      </w:r>
      <w:r w:rsidRPr="006A5523">
        <w:rPr>
          <w:rStyle w:val="af2"/>
          <w:rFonts w:eastAsia="Guttman Hodes"/>
          <w:rtl/>
        </w:rPr>
        <w:instrText xml:space="preserve"> </w:instrText>
      </w:r>
      <w:r w:rsidRPr="006A5523">
        <w:rPr>
          <w:rStyle w:val="af2"/>
          <w:rFonts w:eastAsia="Guttman Hodes" w:hint="cs"/>
        </w:rPr>
        <w:instrText>REF</w:instrText>
      </w:r>
      <w:r w:rsidRPr="006A5523">
        <w:rPr>
          <w:rStyle w:val="af2"/>
          <w:rFonts w:eastAsia="Guttman Hodes" w:hint="cs"/>
          <w:rtl/>
        </w:rPr>
        <w:instrText xml:space="preserve"> _</w:instrText>
      </w:r>
      <w:r w:rsidRPr="006A5523">
        <w:rPr>
          <w:rStyle w:val="af2"/>
          <w:rFonts w:eastAsia="Guttman Hodes" w:hint="cs"/>
        </w:rPr>
        <w:instrText>Ref145370265 \r \h</w:instrText>
      </w:r>
      <w:r w:rsidRPr="006A5523">
        <w:rPr>
          <w:rStyle w:val="af2"/>
          <w:rFonts w:eastAsia="Guttman Hodes"/>
          <w:rtl/>
        </w:rPr>
        <w:instrText xml:space="preserve"> </w:instrText>
      </w:r>
      <w:r w:rsidRPr="006A5523">
        <w:rPr>
          <w:rStyle w:val="af2"/>
          <w:rFonts w:eastAsia="Guttman Hodes"/>
          <w:rtl/>
        </w:rPr>
      </w:r>
      <w:r w:rsidRPr="006A5523">
        <w:rPr>
          <w:rStyle w:val="af2"/>
          <w:rFonts w:eastAsia="Guttman Hodes"/>
          <w:rtl/>
        </w:rPr>
        <w:fldChar w:fldCharType="separate"/>
      </w:r>
      <w:r w:rsidR="00D82181">
        <w:rPr>
          <w:rStyle w:val="af2"/>
          <w:rFonts w:eastAsia="Guttman Hodes"/>
          <w:cs/>
        </w:rPr>
        <w:t>‎</w:t>
      </w:r>
      <w:r w:rsidR="00D82181">
        <w:rPr>
          <w:rStyle w:val="af2"/>
          <w:rFonts w:eastAsia="Guttman Hodes"/>
          <w:rtl/>
        </w:rPr>
        <w:t>צ)</w:t>
      </w:r>
      <w:r w:rsidRPr="006A5523">
        <w:rPr>
          <w:rStyle w:val="af2"/>
          <w:rFonts w:eastAsia="Guttman Hodes"/>
          <w:rtl/>
        </w:rPr>
        <w:fldChar w:fldCharType="end"/>
      </w:r>
      <w:r>
        <w:rPr>
          <w:rFonts w:hint="cs"/>
          <w:b/>
          <w:bCs/>
          <w:rtl/>
        </w:rPr>
        <w:t xml:space="preserve"> והרמב"ם</w:t>
      </w:r>
      <w:r>
        <w:rPr>
          <w:rtl/>
        </w:rPr>
        <w:t xml:space="preserve"> </w:t>
      </w:r>
      <w:r w:rsidRPr="00415F4A">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Ref145263697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פט)</w:t>
      </w:r>
      <w:r>
        <w:rPr>
          <w:rStyle w:val="af2"/>
          <w:rFonts w:eastAsia="Guttman Hodes"/>
          <w:rtl/>
        </w:rPr>
        <w:fldChar w:fldCharType="end"/>
      </w:r>
      <w:r>
        <w:rPr>
          <w:rFonts w:hint="cs"/>
          <w:rtl/>
        </w:rPr>
        <w:t xml:space="preserve"> דתלוש ולבסוף חברו חשיב כתלוש, דכן ביארו במסקנת הגמ' בחולין </w:t>
      </w:r>
      <w:r w:rsidRPr="008C6E85">
        <w:rPr>
          <w:rStyle w:val="af2"/>
          <w:rFonts w:eastAsia="Guttman Hodes" w:hint="cs"/>
          <w:rtl/>
        </w:rPr>
        <w:t>(טז</w:t>
      </w:r>
      <w:r>
        <w:rPr>
          <w:rStyle w:val="af2"/>
          <w:rFonts w:eastAsia="Guttman Hodes" w:hint="cs"/>
          <w:rtl/>
        </w:rPr>
        <w:t>.</w:t>
      </w:r>
      <w:r w:rsidRPr="008C6E85">
        <w:rPr>
          <w:rStyle w:val="af2"/>
          <w:rFonts w:eastAsia="Guttman Hodes" w:hint="cs"/>
          <w:rtl/>
        </w:rPr>
        <w:t>)</w:t>
      </w:r>
      <w:r>
        <w:rPr>
          <w:rFonts w:hint="cs"/>
          <w:rtl/>
        </w:rPr>
        <w:t>, ולא קיי"ל כגמ' לקמן</w:t>
      </w:r>
      <w:r>
        <w:rPr>
          <w:rtl/>
        </w:rPr>
        <w:t xml:space="preserve"> </w:t>
      </w:r>
      <w:r w:rsidRPr="00EA5B9F">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קכב:</w:t>
      </w:r>
      <w:r w:rsidRPr="00EA5B9F">
        <w:rPr>
          <w:rFonts w:ascii="Calibri" w:eastAsia="Times New Roman" w:hAnsi="Calibri" w:cs="Guttman Rashi"/>
          <w:noProof w:val="0"/>
          <w:sz w:val="10"/>
          <w:szCs w:val="12"/>
          <w:rtl/>
        </w:rPr>
        <w:t>)</w:t>
      </w:r>
      <w:r>
        <w:rPr>
          <w:rtl/>
        </w:rPr>
        <w:t xml:space="preserve"> </w:t>
      </w:r>
      <w:r>
        <w:rPr>
          <w:rFonts w:hint="cs"/>
          <w:rtl/>
        </w:rPr>
        <w:t>דבכה"ג יש בנין בקרקע, אלא ס"ל דאף דלת הלול שמחובר לקרקע דינו ככלי ואין בנין בכלים.</w:t>
      </w:r>
      <w:bookmarkEnd w:id="5861"/>
    </w:p>
    <w:p w14:paraId="4DEAB6A6" w14:textId="77777777" w:rsidR="000F6808" w:rsidRPr="0088513D" w:rsidRDefault="000F6808" w:rsidP="000F6808">
      <w:pPr>
        <w:pStyle w:val="afffffe"/>
        <w:rPr>
          <w:vanish/>
          <w:rtl/>
        </w:rPr>
      </w:pPr>
      <w:r w:rsidRPr="0088513D">
        <w:rPr>
          <w:vanish/>
          <w:rtl/>
        </w:rPr>
        <w:t>מרכבת המשנה שבת פ"י הי"ד</w:t>
      </w:r>
      <w:r w:rsidRPr="0088513D">
        <w:rPr>
          <w:rFonts w:hint="cs"/>
          <w:vanish/>
          <w:rtl/>
        </w:rPr>
        <w:t xml:space="preserve"> ד"ה ומה שנראה</w:t>
      </w:r>
    </w:p>
    <w:p w14:paraId="406DCEB4" w14:textId="77777777" w:rsidR="000F6808" w:rsidRPr="00111645" w:rsidRDefault="000F6808" w:rsidP="000F6808">
      <w:pPr>
        <w:pStyle w:val="a2"/>
        <w:rPr>
          <w:rtl/>
        </w:rPr>
      </w:pPr>
      <w:r w:rsidRPr="00111645">
        <w:rPr>
          <w:rtl/>
        </w:rPr>
        <w:t xml:space="preserve">ומה שנראה לענ"ד דהרי"ף ורבנו לשיטתייהו אזלו דס"ל דתלוש ולבסוף חברו כתלוש דמי עיין במסכת חולין דף ט"ז </w:t>
      </w:r>
      <w:r w:rsidRPr="00111645">
        <w:rPr>
          <w:rFonts w:hint="cs"/>
          <w:rtl/>
        </w:rPr>
        <w:t>וכו'</w:t>
      </w:r>
      <w:r w:rsidRPr="00111645">
        <w:rPr>
          <w:rtl/>
        </w:rPr>
        <w:t xml:space="preserve"> המורם מזה דדלת הלול המחובר לקרקע חשיב כתלוש וא"כ לא חשיב בנין אם לא היכא דתקע והא דאמרן בר"פ כל הכלים קסבר יש בנין בקרקע דברי יחיד הם אבל המסקנא מדרבנן הוא ומשום גזרה שמא יתקע.</w:t>
      </w:r>
    </w:p>
    <w:p w14:paraId="4F9FA568" w14:textId="77777777" w:rsidR="000F6808" w:rsidRDefault="000F6808" w:rsidP="000F6808">
      <w:pPr>
        <w:pStyle w:val="afffff7"/>
        <w:rPr>
          <w:rtl/>
        </w:rPr>
      </w:pPr>
      <w:bookmarkStart w:id="5862" w:name="_Toc145500806"/>
      <w:bookmarkStart w:id="5863" w:name="_Toc163506346"/>
      <w:r>
        <w:rPr>
          <w:rtl/>
        </w:rPr>
        <w:t xml:space="preserve">ב"ח </w:t>
      </w:r>
      <w:r>
        <w:rPr>
          <w:rFonts w:hint="cs"/>
          <w:rtl/>
        </w:rPr>
        <w:t>או"ח סי' ש"ח ו'</w:t>
      </w:r>
      <w:bookmarkEnd w:id="5862"/>
      <w:bookmarkEnd w:id="5863"/>
    </w:p>
    <w:p w14:paraId="3A9974B4" w14:textId="77777777" w:rsidR="000F6808" w:rsidRDefault="000F6808" w:rsidP="000F6808">
      <w:pPr>
        <w:pStyle w:val="a7"/>
        <w:rPr>
          <w:rtl/>
        </w:rPr>
      </w:pPr>
      <w:bookmarkStart w:id="5864" w:name="_Toc145487057"/>
      <w:r>
        <w:rPr>
          <w:rFonts w:hint="cs"/>
          <w:rtl/>
        </w:rPr>
        <w:t>בי' הב"ח ברמב"ם דבדלת מחוברת לקרקע רק בתוקע הוי בנין כתוקע עץ בעץ ובלא"ה ל"ה בנין</w:t>
      </w:r>
      <w:bookmarkEnd w:id="5864"/>
    </w:p>
    <w:p w14:paraId="2C1EE2C7" w14:textId="3B7A6790" w:rsidR="000F6808" w:rsidRPr="00747E39" w:rsidRDefault="000F6808" w:rsidP="000F6808">
      <w:pPr>
        <w:pStyle w:val="a3"/>
        <w:rPr>
          <w:rtl/>
        </w:rPr>
      </w:pPr>
      <w:r>
        <w:rPr>
          <w:rtl/>
        </w:rPr>
        <w:t xml:space="preserve"> </w:t>
      </w:r>
      <w:bookmarkStart w:id="5865" w:name="_Ref145368880"/>
      <w:r w:rsidRPr="006D0667">
        <w:rPr>
          <w:rFonts w:hint="cs"/>
          <w:b/>
          <w:bCs/>
          <w:rtl/>
        </w:rPr>
        <w:t>ו</w:t>
      </w:r>
      <w:r w:rsidRPr="006D0667">
        <w:rPr>
          <w:b/>
          <w:bCs/>
          <w:rtl/>
        </w:rPr>
        <w:t>ה</w:t>
      </w:r>
      <w:r w:rsidRPr="006D0667">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Ref145368880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צה)</w:t>
      </w:r>
      <w:r>
        <w:rPr>
          <w:b/>
          <w:bCs/>
          <w:vanish/>
          <w:rtl/>
        </w:rPr>
        <w:fldChar w:fldCharType="end"/>
      </w:r>
      <w:r w:rsidRPr="006D0667">
        <w:rPr>
          <w:b/>
          <w:bCs/>
          <w:vanish/>
          <w:rtl/>
        </w:rPr>
        <w:t xml:space="preserve"> &gt;</w:t>
      </w:r>
      <w:r w:rsidRPr="006D0667">
        <w:rPr>
          <w:rFonts w:hint="cs"/>
          <w:b/>
          <w:bCs/>
          <w:rtl/>
        </w:rPr>
        <w:t>ב"ח</w:t>
      </w:r>
      <w:r w:rsidRPr="006D0667">
        <w:rPr>
          <w:b/>
          <w:bCs/>
          <w:rtl/>
        </w:rPr>
        <w:t xml:space="preserve"> </w:t>
      </w:r>
      <w:r w:rsidRPr="006D0667">
        <w:rPr>
          <w:rFonts w:ascii="Calibri" w:eastAsia="Times New Roman" w:hAnsi="Calibri" w:cs="Guttman Rashi"/>
          <w:noProof w:val="0"/>
          <w:sz w:val="10"/>
          <w:szCs w:val="12"/>
          <w:rtl/>
        </w:rPr>
        <w:t>(</w:t>
      </w:r>
      <w:r w:rsidRPr="006D0667">
        <w:rPr>
          <w:rFonts w:ascii="Calibri" w:eastAsia="Times New Roman" w:hAnsi="Calibri" w:cs="Guttman Rashi" w:hint="cs"/>
          <w:noProof w:val="0"/>
          <w:sz w:val="10"/>
          <w:szCs w:val="12"/>
          <w:rtl/>
        </w:rPr>
        <w:t>סי' ש"ח ו'</w:t>
      </w:r>
      <w:r w:rsidRPr="006D0667">
        <w:rPr>
          <w:rFonts w:ascii="Calibri" w:eastAsia="Times New Roman" w:hAnsi="Calibri" w:cs="Guttman Rashi"/>
          <w:noProof w:val="0"/>
          <w:sz w:val="10"/>
          <w:szCs w:val="12"/>
          <w:rtl/>
        </w:rPr>
        <w:t>)</w:t>
      </w:r>
      <w:r w:rsidRPr="006D0667">
        <w:rPr>
          <w:vanish/>
          <w:rtl/>
        </w:rPr>
        <w:t>=</w:t>
      </w:r>
      <w:r>
        <w:rPr>
          <w:rtl/>
        </w:rPr>
        <w:t xml:space="preserve"> </w:t>
      </w:r>
      <w:r>
        <w:rPr>
          <w:rFonts w:hint="cs"/>
          <w:rtl/>
        </w:rPr>
        <w:t>כתב דס"ל</w:t>
      </w:r>
      <w:r>
        <w:rPr>
          <w:rtl/>
        </w:rPr>
        <w:t xml:space="preserve"> </w:t>
      </w:r>
      <w:r w:rsidRPr="006D0667">
        <w:rPr>
          <w:rFonts w:hint="cs"/>
          <w:b/>
          <w:bCs/>
          <w:rtl/>
        </w:rPr>
        <w:t xml:space="preserve">להרי"ף </w:t>
      </w:r>
      <w:r w:rsidRPr="006D0667">
        <w:rPr>
          <w:rFonts w:ascii="Calibri" w:eastAsia="Times New Roman" w:hAnsi="Calibri" w:cs="Guttman Rashi"/>
          <w:noProof w:val="0"/>
          <w:sz w:val="10"/>
          <w:szCs w:val="12"/>
          <w:rtl/>
        </w:rPr>
        <w:t xml:space="preserve">(עי' 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Pr>
        <w:instrText>REF</w:instrText>
      </w:r>
      <w:r>
        <w:rPr>
          <w:rFonts w:ascii="Calibri" w:eastAsia="Times New Roman" w:hAnsi="Calibri" w:cs="Guttman Rashi"/>
          <w:noProof w:val="0"/>
          <w:sz w:val="10"/>
          <w:szCs w:val="12"/>
          <w:rtl/>
        </w:rPr>
        <w:instrText xml:space="preserve"> _</w:instrText>
      </w:r>
      <w:r>
        <w:rPr>
          <w:rFonts w:ascii="Calibri" w:eastAsia="Times New Roman" w:hAnsi="Calibri" w:cs="Guttman Rashi"/>
          <w:noProof w:val="0"/>
          <w:sz w:val="10"/>
          <w:szCs w:val="12"/>
        </w:rPr>
        <w:instrText>Ref145370265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צ)</w:t>
      </w:r>
      <w:r>
        <w:rPr>
          <w:rFonts w:ascii="Calibri" w:eastAsia="Times New Roman" w:hAnsi="Calibri" w:cs="Guttman Rashi"/>
          <w:noProof w:val="0"/>
          <w:sz w:val="10"/>
          <w:szCs w:val="12"/>
          <w:rtl/>
        </w:rPr>
        <w:fldChar w:fldCharType="end"/>
      </w:r>
      <w:r>
        <w:rPr>
          <w:rtl/>
        </w:rPr>
        <w:t xml:space="preserve"> </w:t>
      </w:r>
      <w:r w:rsidRPr="006D0667">
        <w:rPr>
          <w:rFonts w:hint="cs"/>
          <w:b/>
          <w:bCs/>
          <w:rtl/>
        </w:rPr>
        <w:t>והרמב"ם</w:t>
      </w:r>
      <w:r>
        <w:rPr>
          <w:rtl/>
        </w:rPr>
        <w:t xml:space="preserve"> </w:t>
      </w:r>
      <w:r w:rsidRPr="006D0667">
        <w:rPr>
          <w:rFonts w:ascii="Calibri" w:eastAsia="Times New Roman" w:hAnsi="Calibri" w:cs="Guttman Rashi"/>
          <w:noProof w:val="0"/>
          <w:sz w:val="10"/>
          <w:szCs w:val="12"/>
          <w:rtl/>
        </w:rPr>
        <w:t xml:space="preserve">(עי' 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Pr>
        <w:instrText>REF</w:instrText>
      </w:r>
      <w:r>
        <w:rPr>
          <w:rFonts w:ascii="Calibri" w:eastAsia="Times New Roman" w:hAnsi="Calibri" w:cs="Guttman Rashi"/>
          <w:noProof w:val="0"/>
          <w:sz w:val="10"/>
          <w:szCs w:val="12"/>
          <w:rtl/>
        </w:rPr>
        <w:instrText xml:space="preserve"> _</w:instrText>
      </w:r>
      <w:r>
        <w:rPr>
          <w:rFonts w:ascii="Calibri" w:eastAsia="Times New Roman" w:hAnsi="Calibri" w:cs="Guttman Rashi"/>
          <w:noProof w:val="0"/>
          <w:sz w:val="10"/>
          <w:szCs w:val="12"/>
        </w:rPr>
        <w:instrText>Ref145460905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פט)</w:t>
      </w:r>
      <w:r>
        <w:rPr>
          <w:rFonts w:ascii="Calibri" w:eastAsia="Times New Roman" w:hAnsi="Calibri" w:cs="Guttman Rashi"/>
          <w:noProof w:val="0"/>
          <w:sz w:val="10"/>
          <w:szCs w:val="12"/>
          <w:rtl/>
        </w:rPr>
        <w:fldChar w:fldCharType="end"/>
      </w:r>
      <w:r>
        <w:rPr>
          <w:rtl/>
        </w:rPr>
        <w:t xml:space="preserve"> </w:t>
      </w:r>
      <w:r>
        <w:rPr>
          <w:rFonts w:hint="cs"/>
          <w:rtl/>
        </w:rPr>
        <w:t>דלמסקנת הגמ' לקמן</w:t>
      </w:r>
      <w:r>
        <w:rPr>
          <w:rtl/>
        </w:rPr>
        <w:t xml:space="preserve"> </w:t>
      </w:r>
      <w:r w:rsidRPr="006D0667">
        <w:rPr>
          <w:rFonts w:ascii="Calibri" w:eastAsia="Times New Roman" w:hAnsi="Calibri" w:cs="Guttman Rashi"/>
          <w:noProof w:val="0"/>
          <w:sz w:val="10"/>
          <w:szCs w:val="12"/>
          <w:rtl/>
        </w:rPr>
        <w:t>(</w:t>
      </w:r>
      <w:r w:rsidRPr="006D0667">
        <w:rPr>
          <w:rFonts w:ascii="Calibri" w:eastAsia="Times New Roman" w:hAnsi="Calibri" w:cs="Guttman Rashi" w:hint="cs"/>
          <w:noProof w:val="0"/>
          <w:sz w:val="10"/>
          <w:szCs w:val="12"/>
          <w:rtl/>
        </w:rPr>
        <w:t>קכב:</w:t>
      </w:r>
      <w:r w:rsidRPr="006D0667">
        <w:rPr>
          <w:rFonts w:ascii="Calibri" w:eastAsia="Times New Roman" w:hAnsi="Calibri" w:cs="Guttman Rashi"/>
          <w:noProof w:val="0"/>
          <w:sz w:val="10"/>
          <w:szCs w:val="12"/>
          <w:rtl/>
        </w:rPr>
        <w:t>)</w:t>
      </w:r>
      <w:r>
        <w:rPr>
          <w:rtl/>
        </w:rPr>
        <w:t xml:space="preserve"> </w:t>
      </w:r>
      <w:r>
        <w:rPr>
          <w:rFonts w:hint="cs"/>
          <w:rtl/>
        </w:rPr>
        <w:t>החיוב בדלתות הכלים המחוברים לקרקע, הוא רק כשתוקע ציר בחור דרק בתקיעה הוי בנין, כדכתב</w:t>
      </w:r>
      <w:r>
        <w:rPr>
          <w:rtl/>
        </w:rPr>
        <w:t xml:space="preserve"> </w:t>
      </w:r>
      <w:r w:rsidRPr="006D0667">
        <w:rPr>
          <w:rFonts w:hint="cs"/>
          <w:b/>
          <w:bCs/>
          <w:rtl/>
        </w:rPr>
        <w:t>הרמב"ם</w:t>
      </w:r>
      <w:r>
        <w:rPr>
          <w:rtl/>
        </w:rPr>
        <w:t xml:space="preserve"> </w:t>
      </w:r>
      <w:r w:rsidRPr="006D0667">
        <w:rPr>
          <w:rFonts w:ascii="Calibri" w:eastAsia="Times New Roman" w:hAnsi="Calibri" w:cs="Guttman Rashi"/>
          <w:noProof w:val="0"/>
          <w:sz w:val="10"/>
          <w:szCs w:val="12"/>
          <w:rtl/>
        </w:rPr>
        <w:t xml:space="preserve">(עי' 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Pr>
        <w:instrText>REF</w:instrText>
      </w:r>
      <w:r>
        <w:rPr>
          <w:rFonts w:ascii="Calibri" w:eastAsia="Times New Roman" w:hAnsi="Calibri" w:cs="Guttman Rashi"/>
          <w:noProof w:val="0"/>
          <w:sz w:val="10"/>
          <w:szCs w:val="12"/>
          <w:rtl/>
        </w:rPr>
        <w:instrText xml:space="preserve"> _</w:instrText>
      </w:r>
      <w:r>
        <w:rPr>
          <w:rFonts w:ascii="Calibri" w:eastAsia="Times New Roman" w:hAnsi="Calibri" w:cs="Guttman Rashi"/>
          <w:noProof w:val="0"/>
          <w:sz w:val="10"/>
          <w:szCs w:val="12"/>
        </w:rPr>
        <w:instrText>Ref145433538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קו)</w:t>
      </w:r>
      <w:r>
        <w:rPr>
          <w:rFonts w:ascii="Calibri" w:eastAsia="Times New Roman" w:hAnsi="Calibri" w:cs="Guttman Rashi"/>
          <w:noProof w:val="0"/>
          <w:sz w:val="10"/>
          <w:szCs w:val="12"/>
          <w:rtl/>
        </w:rPr>
        <w:fldChar w:fldCharType="end"/>
      </w:r>
      <w:r>
        <w:rPr>
          <w:rtl/>
        </w:rPr>
        <w:t xml:space="preserve"> </w:t>
      </w:r>
      <w:r>
        <w:rPr>
          <w:rFonts w:hint="cs"/>
          <w:rtl/>
        </w:rPr>
        <w:t>לענין תוקע עץ בעץ, וכן הנוטל דלת מציר תקוע חייב משום סותר, אבל בלא תקיעה אין בזה בנין, ועי' במ"ש</w:t>
      </w:r>
      <w:r>
        <w:rPr>
          <w:rtl/>
        </w:rPr>
        <w:t xml:space="preserve"> </w:t>
      </w:r>
      <w:r>
        <w:rPr>
          <w:rFonts w:hint="cs"/>
          <w:b/>
          <w:bCs/>
          <w:rtl/>
        </w:rPr>
        <w:t>ה</w:t>
      </w:r>
      <w:r w:rsidRPr="00F8090D">
        <w:rPr>
          <w:b/>
          <w:bCs/>
          <w:vanish/>
          <w:rtl/>
        </w:rPr>
        <w:t>&lt; &gt;</w:t>
      </w:r>
      <w:r>
        <w:rPr>
          <w:rFonts w:hint="cs"/>
          <w:b/>
          <w:bCs/>
          <w:rtl/>
        </w:rPr>
        <w:t>תהלה לדוד</w:t>
      </w:r>
      <w:r w:rsidRPr="00F8090D">
        <w:rPr>
          <w:b/>
          <w:bCs/>
          <w:rtl/>
        </w:rPr>
        <w:t xml:space="preserve"> </w:t>
      </w:r>
      <w:r w:rsidRPr="00F8090D">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סי' שי"ג י"ג ד"ה והנה</w:t>
      </w:r>
      <w:r w:rsidRPr="00F8090D">
        <w:rPr>
          <w:rFonts w:ascii="Calibri" w:eastAsia="Times New Roman" w:hAnsi="Calibri" w:cs="Guttman Rashi"/>
          <w:noProof w:val="0"/>
          <w:sz w:val="10"/>
          <w:szCs w:val="12"/>
          <w:rtl/>
        </w:rPr>
        <w:t>)</w:t>
      </w:r>
      <w:r w:rsidRPr="00F8090D">
        <w:rPr>
          <w:vanish/>
          <w:rtl/>
        </w:rPr>
        <w:t>=</w:t>
      </w:r>
      <w:r>
        <w:rPr>
          <w:rFonts w:hint="cs"/>
          <w:rtl/>
        </w:rPr>
        <w:t xml:space="preserve"> בדברי</w:t>
      </w:r>
      <w:r>
        <w:rPr>
          <w:rtl/>
        </w:rPr>
        <w:t xml:space="preserve"> </w:t>
      </w:r>
      <w:r>
        <w:rPr>
          <w:rFonts w:hint="cs"/>
          <w:b/>
          <w:bCs/>
          <w:rtl/>
        </w:rPr>
        <w:t>הב"ח והמרכה"מ</w:t>
      </w:r>
      <w:r>
        <w:rPr>
          <w:rFonts w:hint="cs"/>
          <w:rtl/>
        </w:rPr>
        <w:t>.</w:t>
      </w:r>
      <w:bookmarkEnd w:id="5865"/>
    </w:p>
    <w:p w14:paraId="37EEA76A" w14:textId="77777777" w:rsidR="000F6808" w:rsidRPr="0088513D" w:rsidRDefault="000F6808" w:rsidP="000F6808">
      <w:pPr>
        <w:pStyle w:val="afffffe"/>
        <w:rPr>
          <w:vanish/>
          <w:rtl/>
        </w:rPr>
      </w:pPr>
      <w:r w:rsidRPr="0088513D">
        <w:rPr>
          <w:vanish/>
          <w:rtl/>
        </w:rPr>
        <w:t xml:space="preserve">ב"ח </w:t>
      </w:r>
      <w:r w:rsidRPr="0088513D">
        <w:rPr>
          <w:rFonts w:hint="cs"/>
          <w:vanish/>
          <w:rtl/>
        </w:rPr>
        <w:t>או"ח סי' ש"ח ו'</w:t>
      </w:r>
    </w:p>
    <w:p w14:paraId="59994D0C" w14:textId="77777777" w:rsidR="000F6808" w:rsidRPr="00111645" w:rsidRDefault="000F6808" w:rsidP="000F6808">
      <w:pPr>
        <w:pStyle w:val="a2"/>
        <w:rPr>
          <w:rtl/>
        </w:rPr>
      </w:pPr>
      <w:r w:rsidRPr="00111645">
        <w:rPr>
          <w:rtl/>
        </w:rPr>
        <w:t>אבל לפי עניות דעתי נראה דסבירא להו להרי"ף והרמב"ם דלמאי דקאמר אלא אמר רבא וכו' הדר ביה ממאי דקאמר תלמודא מעיקרא דבלול של תרנגולין כיון דמחברי בארעא איכא בנטילת דלת ובחזרתה משום סתירה ובנין בקרקע אלא ליכא משום בנין וסתירה כלל כיון שאין שם אלא נטילת הציר מן החור או חזרת הציר לחור ואינו חייב משום בונה אלא בתוקע וכמו שכתב הרמב"ם בפרק עשירי (הי"ג) וכן התוקע עץ בעץ בין שתקע במסמר בין שתקע בעץ עצמו עד שנתאחד הרי זה תולדת בונה וחייב ולכן כתב הרמב"ם בפרק כ"ב וזה לשונו התוקע חייב משום בונה לפיכך כל הדלתות המחוברות לקרקע לא נוטלין אותן ולא מחזירין גזירה שמא יתקע וכו' סבירא ליה דבדלתות אף המחוברים לקרקע ליכא משום בנין אלא אם כן בתוקע ציר בחור וכן אם היתה תקועה ציר בחור ונטלה משם הוה סתירה אבל באינו תקוע ליכא משום בנין וסתירה</w:t>
      </w:r>
      <w:r w:rsidRPr="00111645">
        <w:rPr>
          <w:rFonts w:hint="cs"/>
          <w:rtl/>
        </w:rPr>
        <w:t>.</w:t>
      </w:r>
    </w:p>
    <w:p w14:paraId="692DA065" w14:textId="77777777" w:rsidR="000F6808" w:rsidRDefault="000F6808" w:rsidP="000F6808">
      <w:pPr>
        <w:pStyle w:val="afffff7"/>
        <w:rPr>
          <w:rtl/>
        </w:rPr>
      </w:pPr>
      <w:bookmarkStart w:id="5866" w:name="_Toc145500807"/>
      <w:bookmarkStart w:id="5867" w:name="_Toc163506347"/>
      <w:r>
        <w:rPr>
          <w:rtl/>
        </w:rPr>
        <w:t xml:space="preserve">עולת שבת </w:t>
      </w:r>
      <w:r>
        <w:rPr>
          <w:rFonts w:hint="cs"/>
          <w:rtl/>
        </w:rPr>
        <w:t>סי' ש"</w:t>
      </w:r>
      <w:r>
        <w:rPr>
          <w:rtl/>
        </w:rPr>
        <w:t>ח ס"ק כ</w:t>
      </w:r>
      <w:r>
        <w:rPr>
          <w:rFonts w:hint="cs"/>
          <w:rtl/>
        </w:rPr>
        <w:t>"</w:t>
      </w:r>
      <w:r>
        <w:rPr>
          <w:rtl/>
        </w:rPr>
        <w:t>א</w:t>
      </w:r>
      <w:bookmarkEnd w:id="5866"/>
      <w:bookmarkEnd w:id="5867"/>
    </w:p>
    <w:p w14:paraId="166F3722" w14:textId="77777777" w:rsidR="000F6808" w:rsidRDefault="000F6808" w:rsidP="000F6808">
      <w:pPr>
        <w:pStyle w:val="a7"/>
        <w:rPr>
          <w:rtl/>
        </w:rPr>
      </w:pPr>
      <w:bookmarkStart w:id="5868" w:name="_Toc145487058"/>
      <w:r>
        <w:rPr>
          <w:rFonts w:hint="cs"/>
          <w:rtl/>
        </w:rPr>
        <w:t>בי' העו"ש דרק לרש"י דתוקע במכב"פ חייב בכלים אבל לרמב"ם בלא תקע בחזקה ל"ה בונה</w:t>
      </w:r>
      <w:bookmarkEnd w:id="5868"/>
    </w:p>
    <w:p w14:paraId="43A2D12B" w14:textId="6F65CE93" w:rsidR="000F6808" w:rsidRDefault="000F6808" w:rsidP="000F6808">
      <w:pPr>
        <w:pStyle w:val="a3"/>
      </w:pPr>
      <w:bookmarkStart w:id="5869" w:name="_Ref145430341"/>
      <w:bookmarkStart w:id="5870" w:name="_Ref145368995"/>
      <w:r>
        <w:rPr>
          <w:rFonts w:hint="cs"/>
          <w:b/>
          <w:bCs/>
          <w:rtl/>
        </w:rPr>
        <w:t>ו</w:t>
      </w:r>
      <w:r w:rsidRPr="002F2747">
        <w:rPr>
          <w:b/>
          <w:bCs/>
          <w:rtl/>
        </w:rPr>
        <w:t>ה</w:t>
      </w:r>
      <w:r w:rsidRPr="002F2747">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Ref145368995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צו)</w:t>
      </w:r>
      <w:r>
        <w:rPr>
          <w:b/>
          <w:bCs/>
          <w:vanish/>
          <w:rtl/>
        </w:rPr>
        <w:fldChar w:fldCharType="end"/>
      </w:r>
      <w:r w:rsidRPr="002F2747">
        <w:rPr>
          <w:b/>
          <w:bCs/>
          <w:vanish/>
          <w:rtl/>
        </w:rPr>
        <w:t xml:space="preserve"> &gt;</w:t>
      </w:r>
      <w:r>
        <w:rPr>
          <w:rFonts w:hint="cs"/>
          <w:b/>
          <w:bCs/>
          <w:rtl/>
        </w:rPr>
        <w:t>עולת שבת</w:t>
      </w:r>
      <w:r w:rsidRPr="002F2747">
        <w:rPr>
          <w:b/>
          <w:bCs/>
          <w:rtl/>
        </w:rPr>
        <w:t xml:space="preserve"> </w:t>
      </w:r>
      <w:r w:rsidRPr="002F2747">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סי' ש"ח סקכ"א</w:t>
      </w:r>
      <w:r w:rsidRPr="002F2747">
        <w:rPr>
          <w:rFonts w:ascii="Calibri" w:eastAsia="Times New Roman" w:hAnsi="Calibri" w:cs="Guttman Rashi"/>
          <w:noProof w:val="0"/>
          <w:sz w:val="10"/>
          <w:szCs w:val="12"/>
          <w:rtl/>
        </w:rPr>
        <w:t>)</w:t>
      </w:r>
      <w:r w:rsidRPr="002F2747">
        <w:rPr>
          <w:vanish/>
          <w:rtl/>
        </w:rPr>
        <w:t>=</w:t>
      </w:r>
      <w:r>
        <w:rPr>
          <w:rtl/>
        </w:rPr>
        <w:t xml:space="preserve"> </w:t>
      </w:r>
      <w:r>
        <w:rPr>
          <w:rFonts w:hint="cs"/>
          <w:rtl/>
        </w:rPr>
        <w:t>תירץ דרק לדעת</w:t>
      </w:r>
      <w:r>
        <w:rPr>
          <w:rtl/>
        </w:rPr>
        <w:t xml:space="preserve"> </w:t>
      </w:r>
      <w:r>
        <w:rPr>
          <w:rFonts w:hint="cs"/>
          <w:b/>
          <w:bCs/>
          <w:rtl/>
        </w:rPr>
        <w:t>רש"י</w:t>
      </w:r>
      <w:r>
        <w:rPr>
          <w:rtl/>
        </w:rPr>
        <w:t xml:space="preserve"> </w:t>
      </w:r>
      <w:r w:rsidRPr="001F448E">
        <w:rPr>
          <w:rFonts w:ascii="Calibri" w:eastAsia="Times New Roman" w:hAnsi="Calibri" w:cs="Guttman Rashi"/>
          <w:noProof w:val="0"/>
          <w:sz w:val="10"/>
          <w:szCs w:val="12"/>
          <w:rtl/>
        </w:rPr>
        <w:t xml:space="preserve">(עי' 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Pr>
        <w:instrText>REF</w:instrText>
      </w:r>
      <w:r>
        <w:rPr>
          <w:rFonts w:ascii="Calibri" w:eastAsia="Times New Roman" w:hAnsi="Calibri" w:cs="Guttman Rashi"/>
          <w:noProof w:val="0"/>
          <w:sz w:val="10"/>
          <w:szCs w:val="12"/>
          <w:rtl/>
        </w:rPr>
        <w:instrText xml:space="preserve"> _</w:instrText>
      </w:r>
      <w:r>
        <w:rPr>
          <w:rFonts w:ascii="Calibri" w:eastAsia="Times New Roman" w:hAnsi="Calibri" w:cs="Guttman Rashi"/>
          <w:noProof w:val="0"/>
          <w:sz w:val="10"/>
          <w:szCs w:val="12"/>
        </w:rPr>
        <w:instrText>Ref145460906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קי)</w:t>
      </w:r>
      <w:r>
        <w:rPr>
          <w:rFonts w:ascii="Calibri" w:eastAsia="Times New Roman" w:hAnsi="Calibri" w:cs="Guttman Rashi"/>
          <w:noProof w:val="0"/>
          <w:sz w:val="10"/>
          <w:szCs w:val="12"/>
          <w:rtl/>
        </w:rPr>
        <w:fldChar w:fldCharType="end"/>
      </w:r>
      <w:r>
        <w:rPr>
          <w:rtl/>
        </w:rPr>
        <w:t xml:space="preserve"> </w:t>
      </w:r>
      <w:r>
        <w:rPr>
          <w:rFonts w:hint="cs"/>
          <w:rtl/>
        </w:rPr>
        <w:t>דהחיוב בתוקע דלתות הוא משום מכה בפטיש, יש חיוב מדאו' אף בכלים ולא רק בקרקע, אבל לדעת</w:t>
      </w:r>
      <w:r>
        <w:rPr>
          <w:rtl/>
        </w:rPr>
        <w:t xml:space="preserve"> </w:t>
      </w:r>
      <w:r>
        <w:rPr>
          <w:rFonts w:hint="cs"/>
          <w:b/>
          <w:bCs/>
          <w:rtl/>
        </w:rPr>
        <w:t>הרמב"ם</w:t>
      </w:r>
      <w:r>
        <w:rPr>
          <w:rtl/>
        </w:rPr>
        <w:t xml:space="preserve"> </w:t>
      </w:r>
      <w:r w:rsidRPr="001F448E">
        <w:rPr>
          <w:rFonts w:ascii="Calibri" w:eastAsia="Times New Roman" w:hAnsi="Calibri" w:cs="Guttman Rashi"/>
          <w:noProof w:val="0"/>
          <w:sz w:val="10"/>
          <w:szCs w:val="12"/>
          <w:rtl/>
        </w:rPr>
        <w:t xml:space="preserve">(עי' </w:t>
      </w:r>
      <w:r w:rsidRPr="006D0667">
        <w:rPr>
          <w:rFonts w:ascii="Calibri" w:eastAsia="Times New Roman" w:hAnsi="Calibri" w:cs="Guttman Rashi"/>
          <w:noProof w:val="0"/>
          <w:sz w:val="10"/>
          <w:szCs w:val="12"/>
          <w:rtl/>
        </w:rPr>
        <w:t xml:space="preserve">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Pr>
        <w:instrText>REF</w:instrText>
      </w:r>
      <w:r>
        <w:rPr>
          <w:rFonts w:ascii="Calibri" w:eastAsia="Times New Roman" w:hAnsi="Calibri" w:cs="Guttman Rashi"/>
          <w:noProof w:val="0"/>
          <w:sz w:val="10"/>
          <w:szCs w:val="12"/>
          <w:rtl/>
        </w:rPr>
        <w:instrText xml:space="preserve"> _</w:instrText>
      </w:r>
      <w:r>
        <w:rPr>
          <w:rFonts w:ascii="Calibri" w:eastAsia="Times New Roman" w:hAnsi="Calibri" w:cs="Guttman Rashi"/>
          <w:noProof w:val="0"/>
          <w:sz w:val="10"/>
          <w:szCs w:val="12"/>
        </w:rPr>
        <w:instrText>Ref145460905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פט)</w:t>
      </w:r>
      <w:r>
        <w:rPr>
          <w:rFonts w:ascii="Calibri" w:eastAsia="Times New Roman" w:hAnsi="Calibri" w:cs="Guttman Rashi"/>
          <w:noProof w:val="0"/>
          <w:sz w:val="10"/>
          <w:szCs w:val="12"/>
          <w:rtl/>
        </w:rPr>
        <w:fldChar w:fldCharType="end"/>
      </w:r>
      <w:r>
        <w:rPr>
          <w:rtl/>
        </w:rPr>
        <w:t xml:space="preserve"> </w:t>
      </w:r>
      <w:r>
        <w:rPr>
          <w:rFonts w:hint="cs"/>
          <w:rtl/>
        </w:rPr>
        <w:t>דכתב דתוקע חייב משום בונה, א"כ רק בלול המחובר לקרקע ממש יש בנין וסתירה, אבל בכלים שאינם מחוברים אם אינו תוקע את הדלת בחזקה אין חיוב בונה, ולכן כתב</w:t>
      </w:r>
      <w:r>
        <w:rPr>
          <w:rtl/>
        </w:rPr>
        <w:t xml:space="preserve"> </w:t>
      </w:r>
      <w:r>
        <w:rPr>
          <w:rFonts w:hint="cs"/>
          <w:b/>
          <w:bCs/>
          <w:rtl/>
        </w:rPr>
        <w:t>הרמב"ם</w:t>
      </w:r>
      <w:r>
        <w:rPr>
          <w:rtl/>
        </w:rPr>
        <w:t xml:space="preserve"> </w:t>
      </w:r>
      <w:r>
        <w:rPr>
          <w:rFonts w:hint="cs"/>
          <w:rtl/>
        </w:rPr>
        <w:t>דהאיסור בדלתות הוא מגזירה שמא יתקע, דרק בקרקע ממש יש חיוב בונה אף בלא תקיעה אבל בדבר המחובר לקרקע ואינו תקוע יש איסור רק מדרבנן, שמא יבא לתקוע ויתחייב משום בונה.</w:t>
      </w:r>
      <w:bookmarkEnd w:id="5869"/>
    </w:p>
    <w:bookmarkEnd w:id="5870"/>
    <w:p w14:paraId="583F32D7" w14:textId="77777777" w:rsidR="000F6808" w:rsidRPr="0088513D" w:rsidRDefault="000F6808" w:rsidP="000F6808">
      <w:pPr>
        <w:pStyle w:val="afffffe"/>
        <w:rPr>
          <w:vanish/>
          <w:rtl/>
        </w:rPr>
      </w:pPr>
      <w:r w:rsidRPr="0088513D">
        <w:rPr>
          <w:vanish/>
          <w:rtl/>
        </w:rPr>
        <w:t>עולת שבת סימן שח ס"ק כא</w:t>
      </w:r>
    </w:p>
    <w:p w14:paraId="0B8E423E" w14:textId="77777777" w:rsidR="000F6808" w:rsidRPr="00111645" w:rsidRDefault="000F6808" w:rsidP="000F6808">
      <w:pPr>
        <w:pStyle w:val="a2"/>
        <w:rPr>
          <w:rtl/>
        </w:rPr>
      </w:pPr>
      <w:r w:rsidRPr="00111645">
        <w:rPr>
          <w:rtl/>
        </w:rPr>
        <w:t>כא שמא יתקע וכו'. רש"י [קכב ע"ב ד"ה גזירה] פירש שמא יתקע בסכין ובמסמרות והוה ליה גמר מלאכה וחייב משום מכה בפטיש. אבל הרמב"ם [פכ"ב הכ"ה] כתב דתוקע חייב משום בונה, ועל כן מפרש הוא הא דקאמרינן בגמרא פרק כל הכלים [שם] אמר רבא אין בנין וסתירה בכלים וגזירה שמא יתקע, ע"כ קאי אלול של תרנגולים דמחברו בארעא דאיכא בהם משום בנין וסתירה, אבל בכלים שאינם מחוברים ליכא למגזר שמא יתקע ויתחייב משום בונה, שהרי אין בנין וסתירה בכלים, וסבר הרמב"ם ז"ל דאם הדלת אינו תקוע שם בחזקה אינו חייב משום סותר אם פרק. וכן מוכח כיון דאינו חייב משום בונה אם לא תקע בחזקה. והכי פירושו בגמרא שמא יתקע כלומר שמא נתקע שם בחזקה ואז יתחייב משום סותר, והוא הדין אם יתקע יתחייב משום בונה. ועל פי זה מסולק תמיהת הרב המגיד [שם] במה שתמה דמה צריך למגזר משום שמא יתקע תיפוק ליה בלא תקיעה חייב משום בונה, וזה אינו כאשר כתבתי שאינו חייב אלא אם תוקע שם בחזקה. אבל לפי דברי רש"י גם בכלים שאינם מחוברים איכא למגזר שמע יתקע כיון דמשום מכה בפטיש חייב מה לי אם מחוברים או לא. ודברי המחבר הם על פי פירוש רש"י, וכן משמעות הסוגיא דהתם עי"ש ודוק:</w:t>
      </w:r>
    </w:p>
    <w:p w14:paraId="6B8FF9B8" w14:textId="77777777" w:rsidR="000F6808" w:rsidRDefault="000F6808" w:rsidP="000F6808">
      <w:pPr>
        <w:pStyle w:val="afffff7"/>
        <w:rPr>
          <w:rtl/>
        </w:rPr>
      </w:pPr>
      <w:bookmarkStart w:id="5871" w:name="_Toc145500808"/>
      <w:bookmarkStart w:id="5872" w:name="_Toc163506348"/>
      <w:r>
        <w:rPr>
          <w:rtl/>
        </w:rPr>
        <w:t xml:space="preserve">מגן אברהם </w:t>
      </w:r>
      <w:r>
        <w:rPr>
          <w:rFonts w:hint="cs"/>
          <w:rtl/>
        </w:rPr>
        <w:t>סי' ש"</w:t>
      </w:r>
      <w:r>
        <w:rPr>
          <w:rtl/>
        </w:rPr>
        <w:t>ח ס"ק כ</w:t>
      </w:r>
      <w:r>
        <w:rPr>
          <w:rFonts w:hint="cs"/>
          <w:rtl/>
        </w:rPr>
        <w:t>"</w:t>
      </w:r>
      <w:r>
        <w:rPr>
          <w:rtl/>
        </w:rPr>
        <w:t>א</w:t>
      </w:r>
      <w:bookmarkEnd w:id="5871"/>
      <w:bookmarkEnd w:id="5872"/>
    </w:p>
    <w:p w14:paraId="0D6C06B3" w14:textId="77777777" w:rsidR="000F6808" w:rsidRDefault="000F6808" w:rsidP="000F6808">
      <w:pPr>
        <w:pStyle w:val="a7"/>
      </w:pPr>
      <w:bookmarkStart w:id="5873" w:name="_Toc145487059"/>
      <w:r>
        <w:rPr>
          <w:rFonts w:hint="cs"/>
          <w:rtl/>
        </w:rPr>
        <w:t>דחיית המג"א דתוקע בכלי חשיב בנין גמור וחייב מדאו' ולא רק בתוקע בקרקע</w:t>
      </w:r>
      <w:bookmarkEnd w:id="5873"/>
    </w:p>
    <w:p w14:paraId="0449C870" w14:textId="2BC21B10" w:rsidR="000F6808" w:rsidRPr="002F2747" w:rsidRDefault="000F6808" w:rsidP="000F6808">
      <w:pPr>
        <w:pStyle w:val="a3"/>
        <w:rPr>
          <w:rtl/>
        </w:rPr>
      </w:pPr>
      <w:bookmarkStart w:id="5874" w:name="_Ref145430354"/>
      <w:r>
        <w:rPr>
          <w:rFonts w:hint="cs"/>
          <w:rtl/>
        </w:rPr>
        <w:t xml:space="preserve">אבל </w:t>
      </w:r>
      <w:r>
        <w:rPr>
          <w:rFonts w:hint="cs"/>
          <w:b/>
          <w:bCs/>
          <w:rtl/>
        </w:rPr>
        <w:t>ה</w:t>
      </w:r>
      <w:r>
        <w:rPr>
          <w:rFonts w:hint="cs"/>
          <w:b/>
          <w:bCs/>
          <w:vanish/>
          <w:rtl/>
        </w:rPr>
        <w:t xml:space="preserve">&lt;, </w:t>
      </w:r>
      <w:r>
        <w:rPr>
          <w:b/>
          <w:bCs/>
          <w:vanish/>
          <w:rtl/>
        </w:rPr>
        <w:fldChar w:fldCharType="begin"/>
      </w:r>
      <w:r>
        <w:rPr>
          <w:b/>
          <w:bCs/>
          <w:vanish/>
          <w:rtl/>
        </w:rPr>
        <w:instrText xml:space="preserve"> </w:instrText>
      </w:r>
      <w:r>
        <w:rPr>
          <w:rFonts w:hint="cs"/>
          <w:b/>
          <w:bCs/>
          <w:vanish/>
        </w:rPr>
        <w:instrText>REF</w:instrText>
      </w:r>
      <w:r>
        <w:rPr>
          <w:rFonts w:hint="cs"/>
          <w:b/>
          <w:bCs/>
          <w:vanish/>
          <w:rtl/>
        </w:rPr>
        <w:instrText xml:space="preserve"> _</w:instrText>
      </w:r>
      <w:r>
        <w:rPr>
          <w:rFonts w:hint="cs"/>
          <w:b/>
          <w:bCs/>
          <w:vanish/>
        </w:rPr>
        <w:instrText>Ref145430354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צז)</w:t>
      </w:r>
      <w:r>
        <w:rPr>
          <w:b/>
          <w:bCs/>
          <w:vanish/>
          <w:rtl/>
        </w:rPr>
        <w:fldChar w:fldCharType="end"/>
      </w:r>
      <w:r>
        <w:rPr>
          <w:rFonts w:hint="cs"/>
          <w:b/>
          <w:bCs/>
          <w:vanish/>
          <w:rtl/>
        </w:rPr>
        <w:t xml:space="preserve"> &gt;</w:t>
      </w:r>
      <w:r>
        <w:rPr>
          <w:rFonts w:hint="cs"/>
          <w:b/>
          <w:bCs/>
          <w:rtl/>
        </w:rPr>
        <w:t>מג"א</w:t>
      </w:r>
      <w:r w:rsidRPr="00EC1726">
        <w:rPr>
          <w:b/>
          <w:bCs/>
          <w:rtl/>
        </w:rPr>
        <w:t xml:space="preserve"> </w:t>
      </w:r>
      <w:r w:rsidRPr="00EC1726">
        <w:rPr>
          <w:rFonts w:ascii="Calibri" w:eastAsia="Times New Roman" w:hAnsi="Calibri" w:cs="Guttman Rashi"/>
          <w:sz w:val="10"/>
          <w:szCs w:val="12"/>
          <w:rtl/>
        </w:rPr>
        <w:t>(</w:t>
      </w:r>
      <w:r>
        <w:rPr>
          <w:rFonts w:ascii="Calibri" w:eastAsia="Times New Roman" w:hAnsi="Calibri" w:cs="Guttman Rashi" w:hint="cs"/>
          <w:sz w:val="10"/>
          <w:szCs w:val="12"/>
          <w:rtl/>
        </w:rPr>
        <w:t>סי' ש"ח סקכ"א</w:t>
      </w:r>
      <w:r w:rsidRPr="00EC1726">
        <w:rPr>
          <w:rFonts w:ascii="Calibri" w:eastAsia="Times New Roman" w:hAnsi="Calibri" w:cs="Guttman Rashi"/>
          <w:sz w:val="10"/>
          <w:szCs w:val="12"/>
          <w:rtl/>
        </w:rPr>
        <w:t>)</w:t>
      </w:r>
      <w:r w:rsidRPr="00EC1726">
        <w:rPr>
          <w:vanish/>
          <w:rtl/>
        </w:rPr>
        <w:t>=</w:t>
      </w:r>
      <w:r>
        <w:rPr>
          <w:rtl/>
        </w:rPr>
        <w:t xml:space="preserve"> </w:t>
      </w:r>
      <w:r>
        <w:rPr>
          <w:rFonts w:hint="cs"/>
          <w:rtl/>
        </w:rPr>
        <w:t xml:space="preserve">דחה את דברי </w:t>
      </w:r>
      <w:r w:rsidRPr="00582C4E">
        <w:rPr>
          <w:rStyle w:val="aff4"/>
          <w:rFonts w:hint="cs"/>
          <w:rtl/>
        </w:rPr>
        <w:t>העולת שבת</w:t>
      </w:r>
      <w:r>
        <w:rPr>
          <w:rFonts w:hint="cs"/>
          <w:rtl/>
        </w:rPr>
        <w:t xml:space="preserve"> </w:t>
      </w:r>
      <w:r w:rsidRPr="00582C4E">
        <w:rPr>
          <w:rStyle w:val="af2"/>
          <w:rFonts w:eastAsia="Guttman Hodes" w:hint="cs"/>
          <w:rtl/>
        </w:rPr>
        <w:t xml:space="preserve">(עי' אות </w:t>
      </w:r>
      <w:r w:rsidRPr="00582C4E">
        <w:rPr>
          <w:rStyle w:val="af2"/>
          <w:rFonts w:eastAsia="Guttman Hodes"/>
          <w:rtl/>
        </w:rPr>
        <w:fldChar w:fldCharType="begin"/>
      </w:r>
      <w:r w:rsidRPr="00582C4E">
        <w:rPr>
          <w:rStyle w:val="af2"/>
          <w:rFonts w:eastAsia="Guttman Hodes"/>
          <w:rtl/>
        </w:rPr>
        <w:instrText xml:space="preserve"> </w:instrText>
      </w:r>
      <w:r w:rsidRPr="00582C4E">
        <w:rPr>
          <w:rStyle w:val="af2"/>
          <w:rFonts w:eastAsia="Guttman Hodes" w:hint="cs"/>
        </w:rPr>
        <w:instrText>REF</w:instrText>
      </w:r>
      <w:r w:rsidRPr="00582C4E">
        <w:rPr>
          <w:rStyle w:val="af2"/>
          <w:rFonts w:eastAsia="Guttman Hodes" w:hint="cs"/>
          <w:rtl/>
        </w:rPr>
        <w:instrText xml:space="preserve"> _</w:instrText>
      </w:r>
      <w:r w:rsidRPr="00582C4E">
        <w:rPr>
          <w:rStyle w:val="af2"/>
          <w:rFonts w:eastAsia="Guttman Hodes" w:hint="cs"/>
        </w:rPr>
        <w:instrText>Ref145430341 \r \h</w:instrText>
      </w:r>
      <w:r w:rsidRPr="00582C4E">
        <w:rPr>
          <w:rStyle w:val="af2"/>
          <w:rFonts w:eastAsia="Guttman Hodes"/>
          <w:rtl/>
        </w:rPr>
        <w:instrText xml:space="preserve"> </w:instrText>
      </w:r>
      <w:r w:rsidRPr="00582C4E">
        <w:rPr>
          <w:rStyle w:val="af2"/>
          <w:rFonts w:eastAsia="Guttman Hodes"/>
          <w:rtl/>
        </w:rPr>
      </w:r>
      <w:r w:rsidRPr="00582C4E">
        <w:rPr>
          <w:rStyle w:val="af2"/>
          <w:rFonts w:eastAsia="Guttman Hodes"/>
          <w:rtl/>
        </w:rPr>
        <w:fldChar w:fldCharType="separate"/>
      </w:r>
      <w:r w:rsidR="00D82181">
        <w:rPr>
          <w:rStyle w:val="af2"/>
          <w:rFonts w:eastAsia="Guttman Hodes"/>
          <w:cs/>
        </w:rPr>
        <w:t>‎</w:t>
      </w:r>
      <w:r w:rsidR="00D82181">
        <w:rPr>
          <w:rStyle w:val="af2"/>
          <w:rFonts w:eastAsia="Guttman Hodes"/>
          <w:rtl/>
        </w:rPr>
        <w:t>צו)</w:t>
      </w:r>
      <w:r w:rsidRPr="00582C4E">
        <w:rPr>
          <w:rStyle w:val="af2"/>
          <w:rFonts w:eastAsia="Guttman Hodes"/>
          <w:rtl/>
        </w:rPr>
        <w:fldChar w:fldCharType="end"/>
      </w:r>
      <w:r w:rsidRPr="00582C4E">
        <w:rPr>
          <w:rStyle w:val="af2"/>
          <w:rFonts w:eastAsia="Guttman Hodes" w:hint="cs"/>
          <w:rtl/>
        </w:rPr>
        <w:t xml:space="preserve"> וכתב </w:t>
      </w:r>
      <w:r>
        <w:rPr>
          <w:rFonts w:hint="cs"/>
          <w:rtl/>
        </w:rPr>
        <w:t>דאף התוקע בכלי הוי בנין גמור וחייב מדאו', ולא רק בקרקע.</w:t>
      </w:r>
      <w:bookmarkEnd w:id="5874"/>
    </w:p>
    <w:p w14:paraId="1D9B2823" w14:textId="77777777" w:rsidR="000F6808" w:rsidRPr="0088513D" w:rsidRDefault="000F6808" w:rsidP="000F6808">
      <w:pPr>
        <w:pStyle w:val="afffffe"/>
        <w:rPr>
          <w:vanish/>
          <w:rtl/>
        </w:rPr>
      </w:pPr>
      <w:r w:rsidRPr="0088513D">
        <w:rPr>
          <w:vanish/>
          <w:rtl/>
        </w:rPr>
        <w:t xml:space="preserve">מגן אברהם </w:t>
      </w:r>
      <w:r w:rsidRPr="0088513D">
        <w:rPr>
          <w:rFonts w:hint="cs"/>
          <w:vanish/>
          <w:rtl/>
        </w:rPr>
        <w:t>סי' ש"</w:t>
      </w:r>
      <w:r w:rsidRPr="0088513D">
        <w:rPr>
          <w:vanish/>
          <w:rtl/>
        </w:rPr>
        <w:t>ח ס"ק כא</w:t>
      </w:r>
    </w:p>
    <w:p w14:paraId="645F8A13" w14:textId="77777777" w:rsidR="000F6808" w:rsidRPr="00111645" w:rsidRDefault="000F6808" w:rsidP="000F6808">
      <w:pPr>
        <w:pStyle w:val="a2"/>
        <w:rPr>
          <w:rtl/>
        </w:rPr>
      </w:pPr>
      <w:r w:rsidRPr="00111645">
        <w:rPr>
          <w:rtl/>
        </w:rPr>
        <w:t>שמא יתקע. ואפי' בכלי שמיה בנין גמור דלא כע"ש:</w:t>
      </w:r>
    </w:p>
    <w:p w14:paraId="4040E00E" w14:textId="77777777" w:rsidR="000F6808" w:rsidRDefault="000F6808" w:rsidP="000F6808">
      <w:pPr>
        <w:pStyle w:val="afffff7"/>
        <w:rPr>
          <w:rtl/>
        </w:rPr>
      </w:pPr>
      <w:bookmarkStart w:id="5875" w:name="_Toc145500809"/>
      <w:bookmarkStart w:id="5876" w:name="_Toc145198419"/>
      <w:bookmarkStart w:id="5877" w:name="_Toc163506349"/>
      <w:r w:rsidRPr="00D46B4A">
        <w:rPr>
          <w:rtl/>
        </w:rPr>
        <w:t xml:space="preserve">חזון איש </w:t>
      </w:r>
      <w:r>
        <w:rPr>
          <w:rtl/>
        </w:rPr>
        <w:t>או"ח סי' נ' סק"י</w:t>
      </w:r>
      <w:r w:rsidRPr="00D46B4A">
        <w:rPr>
          <w:rtl/>
        </w:rPr>
        <w:t xml:space="preserve"> ד"ה ובר"מ פכ"ב הכ"ה</w:t>
      </w:r>
      <w:bookmarkEnd w:id="5875"/>
      <w:bookmarkEnd w:id="5877"/>
      <w:r w:rsidRPr="00D46B4A">
        <w:rPr>
          <w:rtl/>
        </w:rPr>
        <w:t xml:space="preserve"> </w:t>
      </w:r>
    </w:p>
    <w:p w14:paraId="13E05B2C" w14:textId="77777777" w:rsidR="000F6808" w:rsidRDefault="000F6808" w:rsidP="000F6808">
      <w:pPr>
        <w:pStyle w:val="a7"/>
        <w:rPr>
          <w:rtl/>
        </w:rPr>
      </w:pPr>
      <w:bookmarkStart w:id="5878" w:name="_Toc145487060"/>
      <w:r>
        <w:rPr>
          <w:rFonts w:hint="cs"/>
          <w:rtl/>
        </w:rPr>
        <w:t>בי' החזו"א ברמב"ם דמעץ בעץ וירך כירה ומנורה משמע דבדלתות גרסי' שידה ולא במחובר</w:t>
      </w:r>
      <w:bookmarkEnd w:id="5878"/>
    </w:p>
    <w:p w14:paraId="2116518C" w14:textId="02B553D6" w:rsidR="000F6808" w:rsidRDefault="000F6808" w:rsidP="000F6808">
      <w:pPr>
        <w:pStyle w:val="a3"/>
      </w:pPr>
      <w:r>
        <w:rPr>
          <w:rFonts w:hint="cs"/>
          <w:rtl/>
        </w:rPr>
        <w:t>במה שביאר</w:t>
      </w:r>
      <w:r>
        <w:rPr>
          <w:rtl/>
        </w:rPr>
        <w:t xml:space="preserve"> </w:t>
      </w:r>
      <w:r>
        <w:rPr>
          <w:rFonts w:hint="cs"/>
          <w:b/>
          <w:bCs/>
          <w:rtl/>
        </w:rPr>
        <w:t>הר"ן</w:t>
      </w:r>
      <w:r>
        <w:rPr>
          <w:rtl/>
        </w:rPr>
        <w:t xml:space="preserve"> </w:t>
      </w:r>
      <w:r w:rsidRPr="00415F4A">
        <w:rPr>
          <w:rStyle w:val="af2"/>
          <w:rFonts w:eastAsia="Guttman Hodes" w:hint="cs"/>
          <w:rtl/>
        </w:rPr>
        <w:t>(עי' אות</w:t>
      </w:r>
      <w:r>
        <w:rPr>
          <w:rStyle w:val="af2"/>
          <w:rFonts w:eastAsia="Guttman Hodes" w:hint="cs"/>
          <w:rtl/>
        </w:rPr>
        <w:t xml:space="preserve">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Ref145370265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צ)</w:t>
      </w:r>
      <w:r>
        <w:rPr>
          <w:rStyle w:val="af2"/>
          <w:rFonts w:eastAsia="Guttman Hodes"/>
          <w:rtl/>
        </w:rPr>
        <w:fldChar w:fldCharType="end"/>
      </w:r>
      <w:r w:rsidRPr="00415F4A">
        <w:rPr>
          <w:rStyle w:val="af2"/>
          <w:rFonts w:eastAsia="Guttman Hodes" w:hint="cs"/>
          <w:rtl/>
        </w:rPr>
        <w:t xml:space="preserve"> </w:t>
      </w:r>
      <w:r>
        <w:rPr>
          <w:rFonts w:hint="cs"/>
          <w:rtl/>
        </w:rPr>
        <w:t>דמ"ש</w:t>
      </w:r>
      <w:r>
        <w:rPr>
          <w:rtl/>
        </w:rPr>
        <w:t xml:space="preserve"> </w:t>
      </w:r>
      <w:r>
        <w:rPr>
          <w:rFonts w:hint="cs"/>
          <w:b/>
          <w:bCs/>
          <w:rtl/>
        </w:rPr>
        <w:t>הרי"ף</w:t>
      </w:r>
      <w:r>
        <w:rPr>
          <w:rtl/>
        </w:rPr>
        <w:t xml:space="preserve"> </w:t>
      </w:r>
      <w:r>
        <w:rPr>
          <w:rFonts w:hint="cs"/>
          <w:rtl/>
        </w:rPr>
        <w:t>דהגזירה שמא יתקע, היינו בלול של תרנגולין ולא בשידה תיבה ומגדל, כתב</w:t>
      </w:r>
      <w:r>
        <w:rPr>
          <w:rtl/>
        </w:rPr>
        <w:t xml:space="preserve"> </w:t>
      </w:r>
      <w:r w:rsidRPr="00805486">
        <w:rPr>
          <w:b/>
          <w:bCs/>
          <w:rtl/>
        </w:rPr>
        <w:t>ה</w:t>
      </w:r>
      <w:r w:rsidRPr="00805486">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Ref145369021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צט)</w:t>
      </w:r>
      <w:r>
        <w:rPr>
          <w:b/>
          <w:bCs/>
          <w:vanish/>
          <w:rtl/>
        </w:rPr>
        <w:fldChar w:fldCharType="end"/>
      </w:r>
      <w:r w:rsidRPr="00805486">
        <w:rPr>
          <w:b/>
          <w:bCs/>
          <w:vanish/>
          <w:rtl/>
        </w:rPr>
        <w:t xml:space="preserve"> &gt;</w:t>
      </w:r>
      <w:r>
        <w:rPr>
          <w:rFonts w:hint="cs"/>
          <w:b/>
          <w:bCs/>
          <w:rtl/>
        </w:rPr>
        <w:t>חזו"א</w:t>
      </w:r>
      <w:r w:rsidRPr="00805486">
        <w:rPr>
          <w:b/>
          <w:bCs/>
          <w:rtl/>
        </w:rPr>
        <w:t xml:space="preserve"> </w:t>
      </w:r>
      <w:r w:rsidRPr="00805486">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סי' נ' סק"י ד"ה ובר"מ</w:t>
      </w:r>
      <w:r w:rsidRPr="00805486">
        <w:rPr>
          <w:rFonts w:ascii="Calibri" w:eastAsia="Times New Roman" w:hAnsi="Calibri" w:cs="Guttman Rashi"/>
          <w:noProof w:val="0"/>
          <w:sz w:val="10"/>
          <w:szCs w:val="12"/>
          <w:rtl/>
        </w:rPr>
        <w:t>)</w:t>
      </w:r>
      <w:r w:rsidRPr="00805486">
        <w:rPr>
          <w:vanish/>
          <w:rtl/>
        </w:rPr>
        <w:t>=</w:t>
      </w:r>
      <w:r>
        <w:rPr>
          <w:rtl/>
        </w:rPr>
        <w:t xml:space="preserve"> </w:t>
      </w:r>
      <w:r>
        <w:rPr>
          <w:rFonts w:hint="cs"/>
          <w:rtl/>
        </w:rPr>
        <w:t>דבדברי</w:t>
      </w:r>
      <w:r>
        <w:rPr>
          <w:rtl/>
        </w:rPr>
        <w:t xml:space="preserve"> </w:t>
      </w:r>
      <w:r>
        <w:rPr>
          <w:rFonts w:hint="cs"/>
          <w:b/>
          <w:bCs/>
          <w:rtl/>
        </w:rPr>
        <w:t>הרמב"ם</w:t>
      </w:r>
      <w:r>
        <w:rPr>
          <w:rtl/>
        </w:rPr>
        <w:t xml:space="preserve"> </w:t>
      </w:r>
      <w:r w:rsidRPr="00415F4A">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Ref145263697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פט)</w:t>
      </w:r>
      <w:r>
        <w:rPr>
          <w:rStyle w:val="af2"/>
          <w:rFonts w:eastAsia="Guttman Hodes"/>
          <w:rtl/>
        </w:rPr>
        <w:fldChar w:fldCharType="end"/>
      </w:r>
      <w:r>
        <w:rPr>
          <w:rStyle w:val="af2"/>
          <w:rFonts w:eastAsia="Guttman Hodes" w:hint="cs"/>
          <w:rtl/>
        </w:rPr>
        <w:t xml:space="preserve"> </w:t>
      </w:r>
      <w:r>
        <w:rPr>
          <w:rFonts w:hint="cs"/>
          <w:rtl/>
        </w:rPr>
        <w:t>א"א לבאר כן דכתב להדיא דהאיסור במחובר הוא שמא יתקע, אך כתב</w:t>
      </w:r>
      <w:r>
        <w:rPr>
          <w:rtl/>
        </w:rPr>
        <w:t xml:space="preserve"> </w:t>
      </w:r>
      <w:r>
        <w:rPr>
          <w:rFonts w:hint="cs"/>
          <w:b/>
          <w:bCs/>
          <w:rtl/>
        </w:rPr>
        <w:t>החזו"א</w:t>
      </w:r>
      <w:r>
        <w:rPr>
          <w:rtl/>
        </w:rPr>
        <w:t xml:space="preserve"> </w:t>
      </w:r>
      <w:r>
        <w:rPr>
          <w:rFonts w:hint="cs"/>
          <w:rtl/>
        </w:rPr>
        <w:t>דמ"מ ממ"ש</w:t>
      </w:r>
      <w:r>
        <w:rPr>
          <w:rtl/>
        </w:rPr>
        <w:t xml:space="preserve"> </w:t>
      </w:r>
      <w:r>
        <w:rPr>
          <w:rFonts w:hint="cs"/>
          <w:b/>
          <w:bCs/>
          <w:rtl/>
        </w:rPr>
        <w:t>הרמב"ם</w:t>
      </w:r>
      <w:r>
        <w:rPr>
          <w:rtl/>
        </w:rPr>
        <w:t xml:space="preserve"> </w:t>
      </w:r>
      <w:r w:rsidRPr="005E444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Ref145433538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קו)</w:t>
      </w:r>
      <w:r>
        <w:rPr>
          <w:rStyle w:val="af2"/>
          <w:rFonts w:eastAsia="Guttman Hodes"/>
          <w:rtl/>
        </w:rPr>
        <w:fldChar w:fldCharType="end"/>
      </w:r>
      <w:r>
        <w:rPr>
          <w:rStyle w:val="af2"/>
          <w:rFonts w:eastAsia="Guttman Hodes" w:hint="cs"/>
          <w:rtl/>
        </w:rPr>
        <w:t xml:space="preserve"> </w:t>
      </w:r>
      <w:r>
        <w:rPr>
          <w:rFonts w:hint="cs"/>
          <w:rtl/>
        </w:rPr>
        <w:t>דהתוקע עץ בעץ הוא תולדת בונה, משמע דהאיסור תקיעה אינו במחובר, וכן ממ"ש</w:t>
      </w:r>
      <w:r>
        <w:rPr>
          <w:rtl/>
        </w:rPr>
        <w:t xml:space="preserve"> </w:t>
      </w:r>
      <w:r>
        <w:rPr>
          <w:rFonts w:hint="cs"/>
          <w:b/>
          <w:bCs/>
          <w:rtl/>
        </w:rPr>
        <w:t>הרמב"ם</w:t>
      </w:r>
      <w:r w:rsidRPr="005E444B">
        <w:rPr>
          <w:rStyle w:val="af2"/>
          <w:rFonts w:eastAsia="Guttman Hodes"/>
          <w:rtl/>
        </w:rPr>
        <w:t xml:space="preserve"> </w:t>
      </w:r>
      <w:r w:rsidRPr="005E444B">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Ref145275547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קב)</w:t>
      </w:r>
      <w:r>
        <w:rPr>
          <w:rStyle w:val="af2"/>
          <w:rFonts w:eastAsia="Guttman Hodes"/>
          <w:rtl/>
        </w:rPr>
        <w:fldChar w:fldCharType="end"/>
      </w:r>
      <w:r w:rsidRPr="005E444B">
        <w:rPr>
          <w:rStyle w:val="af2"/>
          <w:rFonts w:eastAsia="Guttman Hodes" w:hint="cs"/>
          <w:rtl/>
        </w:rPr>
        <w:t xml:space="preserve"> </w:t>
      </w:r>
      <w:r>
        <w:rPr>
          <w:rFonts w:hint="cs"/>
          <w:rtl/>
        </w:rPr>
        <w:t>לענין כירה שנשמטה אחת מירכותיה דאסור להחזיר שמא יתקע, ג"כ משמע דהאיסור שמא יתקע אינו במחובר, וכן ממ"ש</w:t>
      </w:r>
      <w:r>
        <w:rPr>
          <w:rtl/>
        </w:rPr>
        <w:t xml:space="preserve"> </w:t>
      </w:r>
      <w:r>
        <w:rPr>
          <w:rFonts w:hint="cs"/>
          <w:b/>
          <w:bCs/>
          <w:rtl/>
        </w:rPr>
        <w:t>הרמב"ם</w:t>
      </w:r>
      <w:r w:rsidRPr="005E444B">
        <w:rPr>
          <w:rStyle w:val="af2"/>
          <w:rFonts w:eastAsia="Guttman Hodes"/>
          <w:rtl/>
        </w:rPr>
        <w:t xml:space="preserve"> </w:t>
      </w:r>
      <w:r w:rsidRPr="005E444B">
        <w:rPr>
          <w:rStyle w:val="af2"/>
          <w:rFonts w:eastAsia="Guttman Hodes" w:hint="cs"/>
          <w:rtl/>
        </w:rPr>
        <w:t xml:space="preserve">(עי' אות </w:t>
      </w:r>
      <w:r w:rsidRPr="005E444B">
        <w:rPr>
          <w:rStyle w:val="af2"/>
          <w:rFonts w:eastAsia="Guttman Hodes"/>
          <w:rtl/>
        </w:rPr>
        <w:fldChar w:fldCharType="begin"/>
      </w:r>
      <w:r w:rsidRPr="005E444B">
        <w:rPr>
          <w:rStyle w:val="af2"/>
          <w:rFonts w:eastAsia="Guttman Hodes"/>
          <w:rtl/>
        </w:rPr>
        <w:instrText xml:space="preserve"> </w:instrText>
      </w:r>
      <w:r w:rsidRPr="005E444B">
        <w:rPr>
          <w:rStyle w:val="af2"/>
          <w:rFonts w:eastAsia="Guttman Hodes"/>
        </w:rPr>
        <w:instrText>REF</w:instrText>
      </w:r>
      <w:r w:rsidRPr="005E444B">
        <w:rPr>
          <w:rStyle w:val="af2"/>
          <w:rFonts w:eastAsia="Guttman Hodes"/>
          <w:rtl/>
        </w:rPr>
        <w:instrText xml:space="preserve"> _</w:instrText>
      </w:r>
      <w:r w:rsidRPr="005E444B">
        <w:rPr>
          <w:rStyle w:val="af2"/>
          <w:rFonts w:eastAsia="Guttman Hodes"/>
        </w:rPr>
        <w:instrText>Ref145275537 \r \h</w:instrText>
      </w:r>
      <w:r w:rsidRPr="005E444B">
        <w:rPr>
          <w:rStyle w:val="af2"/>
          <w:rFonts w:eastAsia="Guttman Hodes"/>
          <w:rtl/>
        </w:rPr>
        <w:instrText xml:space="preserve"> </w:instrText>
      </w:r>
      <w:r w:rsidRPr="005E444B">
        <w:rPr>
          <w:rStyle w:val="af2"/>
          <w:rFonts w:eastAsia="Guttman Hodes"/>
          <w:rtl/>
        </w:rPr>
      </w:r>
      <w:r w:rsidRPr="005E444B">
        <w:rPr>
          <w:rStyle w:val="af2"/>
          <w:rFonts w:eastAsia="Guttman Hodes"/>
          <w:rtl/>
        </w:rPr>
        <w:fldChar w:fldCharType="separate"/>
      </w:r>
      <w:r w:rsidR="00D82181">
        <w:rPr>
          <w:rStyle w:val="af2"/>
          <w:rFonts w:eastAsia="Guttman Hodes"/>
          <w:cs/>
        </w:rPr>
        <w:t>‎</w:t>
      </w:r>
      <w:r w:rsidR="00D82181">
        <w:rPr>
          <w:rStyle w:val="af2"/>
          <w:rFonts w:eastAsia="Guttman Hodes"/>
          <w:rtl/>
        </w:rPr>
        <w:t>קג)</w:t>
      </w:r>
      <w:r w:rsidRPr="005E444B">
        <w:rPr>
          <w:rStyle w:val="af2"/>
          <w:rFonts w:eastAsia="Guttman Hodes"/>
          <w:rtl/>
        </w:rPr>
        <w:fldChar w:fldCharType="end"/>
      </w:r>
      <w:r w:rsidRPr="005E444B">
        <w:rPr>
          <w:rStyle w:val="af2"/>
          <w:rFonts w:eastAsia="Guttman Hodes" w:hint="cs"/>
          <w:rtl/>
        </w:rPr>
        <w:t xml:space="preserve"> </w:t>
      </w:r>
      <w:r>
        <w:rPr>
          <w:rFonts w:hint="cs"/>
          <w:rtl/>
        </w:rPr>
        <w:t>לענין מנורה של חוליות דאסור לטלטלה שמא יחזירנה, וכתב</w:t>
      </w:r>
      <w:r>
        <w:rPr>
          <w:rtl/>
        </w:rPr>
        <w:t xml:space="preserve"> </w:t>
      </w:r>
      <w:r>
        <w:rPr>
          <w:rFonts w:hint="cs"/>
          <w:b/>
          <w:bCs/>
          <w:rtl/>
        </w:rPr>
        <w:t>החזו"א</w:t>
      </w:r>
      <w:r>
        <w:rPr>
          <w:rtl/>
        </w:rPr>
        <w:t xml:space="preserve"> </w:t>
      </w:r>
      <w:r>
        <w:rPr>
          <w:rFonts w:hint="cs"/>
          <w:rtl/>
        </w:rPr>
        <w:t>דלפי"ז צריך לגרוס בדברי</w:t>
      </w:r>
      <w:r>
        <w:rPr>
          <w:rtl/>
        </w:rPr>
        <w:t xml:space="preserve"> </w:t>
      </w:r>
      <w:r>
        <w:rPr>
          <w:rFonts w:hint="cs"/>
          <w:b/>
          <w:bCs/>
          <w:rtl/>
        </w:rPr>
        <w:t>הרמב"ם</w:t>
      </w:r>
      <w:r>
        <w:rPr>
          <w:rtl/>
        </w:rPr>
        <w:t xml:space="preserve"> </w:t>
      </w:r>
      <w:r>
        <w:rPr>
          <w:rFonts w:hint="cs"/>
          <w:rtl/>
        </w:rPr>
        <w:t>דהאיסור שמא יתקע הוא בשידה ולא במחובר לקרקע.</w:t>
      </w:r>
    </w:p>
    <w:p w14:paraId="704321ED" w14:textId="77777777" w:rsidR="000F6808" w:rsidRPr="0088513D" w:rsidRDefault="000F6808" w:rsidP="000F6808">
      <w:pPr>
        <w:pStyle w:val="afffffe"/>
        <w:rPr>
          <w:vanish/>
          <w:rtl/>
        </w:rPr>
      </w:pPr>
      <w:r w:rsidRPr="0088513D">
        <w:rPr>
          <w:vanish/>
          <w:rtl/>
        </w:rPr>
        <w:t xml:space="preserve">חזון איש או"ח סי' נ' סק"י ד"ה ובר"מ פכ"ב הכ"ה </w:t>
      </w:r>
    </w:p>
    <w:p w14:paraId="5A797888" w14:textId="77777777" w:rsidR="000F6808" w:rsidRPr="00111645" w:rsidRDefault="000F6808" w:rsidP="000F6808">
      <w:pPr>
        <w:pStyle w:val="a2"/>
        <w:rPr>
          <w:rtl/>
        </w:rPr>
      </w:pPr>
      <w:r w:rsidRPr="00111645">
        <w:rPr>
          <w:rtl/>
        </w:rPr>
        <w:t>ובר"מ פכ"ב הכ"ה כתוב על מחובר גזירה שמא יתקע ובמ"מ הביא לשון ההלכות שהוא כלשון הר"מ ותמה עליו דבמחובר הא יש בנין ובהידוק חייב וכדאמר בגמ' קכ"ב ב', אבל הר"ן פי' דברי הרי"ף דקאי ארישא אבל לשון הר"מ אי אפשר לפרשו אם לא להגיהו ולמגרס גזירה שמא יתקע בסיפא בשל שדה [ועיקר הדין דתוקע חייב גם בכלים מבואר בר"מ פ"י הי"ג וכן התוקע עץ בעץ כו' ופכ"ו ה"ו בכירה שנשמטה אחת מירכותיה ושם הי"א במנורה, וזה מכריע להגיה כאן</w:t>
      </w:r>
      <w:r w:rsidRPr="00111645">
        <w:rPr>
          <w:rFonts w:hint="cs"/>
          <w:rtl/>
        </w:rPr>
        <w:t>.</w:t>
      </w:r>
    </w:p>
    <w:p w14:paraId="0111E7EE" w14:textId="77777777" w:rsidR="000F6808" w:rsidRPr="00674C6B" w:rsidRDefault="000F6808" w:rsidP="000F6808">
      <w:pPr>
        <w:pStyle w:val="a7"/>
      </w:pPr>
      <w:bookmarkStart w:id="5879" w:name="_Toc145487061"/>
      <w:r>
        <w:rPr>
          <w:rFonts w:hint="cs"/>
          <w:rtl/>
        </w:rPr>
        <w:t>קו' החזו"א דאי הבי' ברמב"ם כר"ן דכוונתו לשידה אמאי כ' דנראה כבונה ומ"מ מבו' דרפוי מותר</w:t>
      </w:r>
      <w:bookmarkEnd w:id="5879"/>
    </w:p>
    <w:p w14:paraId="26FB45DE" w14:textId="77777777" w:rsidR="000F6808" w:rsidRPr="0002794A" w:rsidRDefault="000F6808" w:rsidP="000F6808">
      <w:pPr>
        <w:pStyle w:val="a3"/>
        <w:rPr>
          <w:rtl/>
        </w:rPr>
      </w:pPr>
      <w:bookmarkStart w:id="5880" w:name="_Ref145369021"/>
      <w:r>
        <w:rPr>
          <w:rFonts w:hint="cs"/>
          <w:rtl/>
        </w:rPr>
        <w:t>אך כתב</w:t>
      </w:r>
      <w:r>
        <w:rPr>
          <w:rtl/>
        </w:rPr>
        <w:t xml:space="preserve"> </w:t>
      </w:r>
      <w:r>
        <w:rPr>
          <w:rFonts w:hint="cs"/>
          <w:b/>
          <w:bCs/>
          <w:rtl/>
        </w:rPr>
        <w:t>החזו"א</w:t>
      </w:r>
      <w:r>
        <w:rPr>
          <w:rtl/>
        </w:rPr>
        <w:t xml:space="preserve"> </w:t>
      </w:r>
      <w:r>
        <w:rPr>
          <w:rFonts w:hint="cs"/>
          <w:rtl/>
        </w:rPr>
        <w:t>דאף גירסא זו אינה מתרצת את דברי</w:t>
      </w:r>
      <w:r>
        <w:rPr>
          <w:rtl/>
        </w:rPr>
        <w:t xml:space="preserve"> </w:t>
      </w:r>
      <w:r>
        <w:rPr>
          <w:rFonts w:hint="cs"/>
          <w:b/>
          <w:bCs/>
          <w:rtl/>
        </w:rPr>
        <w:t>הרמב"ם</w:t>
      </w:r>
      <w:r>
        <w:rPr>
          <w:rtl/>
        </w:rPr>
        <w:t xml:space="preserve"> </w:t>
      </w:r>
      <w:r>
        <w:rPr>
          <w:rFonts w:hint="cs"/>
          <w:rtl/>
        </w:rPr>
        <w:t>דכתב דנראה כבונה ואי ס"ל דהאיסור רק בכלים שמא יתקע, הול"ל שמא יתקע, וכתב</w:t>
      </w:r>
      <w:r>
        <w:rPr>
          <w:rtl/>
        </w:rPr>
        <w:t xml:space="preserve"> </w:t>
      </w:r>
      <w:r>
        <w:rPr>
          <w:rFonts w:hint="cs"/>
          <w:b/>
          <w:bCs/>
          <w:rtl/>
        </w:rPr>
        <w:t>החזו"א</w:t>
      </w:r>
      <w:r>
        <w:rPr>
          <w:rtl/>
        </w:rPr>
        <w:t xml:space="preserve"> </w:t>
      </w:r>
      <w:r>
        <w:rPr>
          <w:rFonts w:hint="cs"/>
          <w:rtl/>
        </w:rPr>
        <w:t>דמ"מ מבואר מדברי</w:t>
      </w:r>
      <w:r>
        <w:rPr>
          <w:rtl/>
        </w:rPr>
        <w:t xml:space="preserve"> </w:t>
      </w:r>
      <w:r>
        <w:rPr>
          <w:rFonts w:hint="cs"/>
          <w:b/>
          <w:bCs/>
          <w:rtl/>
        </w:rPr>
        <w:t>הרמב"ם</w:t>
      </w:r>
      <w:r>
        <w:rPr>
          <w:rtl/>
        </w:rPr>
        <w:t xml:space="preserve"> </w:t>
      </w:r>
      <w:r>
        <w:rPr>
          <w:rFonts w:hint="cs"/>
          <w:rtl/>
        </w:rPr>
        <w:t>דאסור להדק, אך רפוי מותר.</w:t>
      </w:r>
      <w:bookmarkEnd w:id="5880"/>
    </w:p>
    <w:p w14:paraId="10B4162B" w14:textId="77777777" w:rsidR="000F6808" w:rsidRPr="00111645" w:rsidRDefault="000F6808" w:rsidP="000F6808">
      <w:pPr>
        <w:pStyle w:val="a2"/>
        <w:rPr>
          <w:rtl/>
        </w:rPr>
      </w:pPr>
      <w:r w:rsidRPr="00111645">
        <w:rPr>
          <w:rtl/>
        </w:rPr>
        <w:t xml:space="preserve"> אלא שלשון הר"מ כאן בהכ"ו מפני שנראה כבונה עדיין לא מתישב דהו"ל למימר שמא יתקע] ומ"מ למדנו בדברי הר"מ בהכ"ו דהידוק אסור ורפוי מותר וכדברי הטור.</w:t>
      </w:r>
    </w:p>
    <w:p w14:paraId="67C3174B" w14:textId="77777777" w:rsidR="000F6808" w:rsidRDefault="000F6808" w:rsidP="000F6808">
      <w:pPr>
        <w:pStyle w:val="a7"/>
        <w:rPr>
          <w:rtl/>
        </w:rPr>
      </w:pPr>
      <w:bookmarkStart w:id="5881" w:name="_Toc145487062"/>
    </w:p>
    <w:p w14:paraId="42618C1F" w14:textId="77777777" w:rsidR="000F6808" w:rsidRDefault="000F6808" w:rsidP="000F6808">
      <w:pPr>
        <w:pStyle w:val="1"/>
        <w:rPr>
          <w:rtl/>
        </w:rPr>
      </w:pPr>
      <w:r>
        <w:rPr>
          <w:rFonts w:hint="cs"/>
          <w:rtl/>
        </w:rPr>
        <w:lastRenderedPageBreak/>
        <w:t>בי' הרמב"ם דהחזרת מנורת חוליות נראה כבונה וברפוי מותר</w:t>
      </w:r>
      <w:bookmarkEnd w:id="5881"/>
    </w:p>
    <w:p w14:paraId="33496AC3" w14:textId="77777777" w:rsidR="000F6808" w:rsidRPr="00FC269C" w:rsidRDefault="000F6808" w:rsidP="000F6808">
      <w:pPr>
        <w:pStyle w:val="afffff7"/>
        <w:rPr>
          <w:rtl/>
        </w:rPr>
      </w:pPr>
      <w:bookmarkStart w:id="5882" w:name="_Toc145198415"/>
      <w:bookmarkStart w:id="5883" w:name="_Toc145500810"/>
      <w:bookmarkStart w:id="5884" w:name="_Toc163506350"/>
      <w:r w:rsidRPr="00FC269C">
        <w:rPr>
          <w:rtl/>
        </w:rPr>
        <w:t>רמב"ם שבת פכ"ב הכ"ו</w:t>
      </w:r>
      <w:bookmarkEnd w:id="5882"/>
      <w:bookmarkEnd w:id="5883"/>
      <w:bookmarkEnd w:id="5884"/>
    </w:p>
    <w:p w14:paraId="22918B17" w14:textId="77777777" w:rsidR="000F6808" w:rsidRDefault="000F6808" w:rsidP="000F6808">
      <w:pPr>
        <w:pStyle w:val="a7"/>
        <w:rPr>
          <w:rtl/>
        </w:rPr>
      </w:pPr>
      <w:bookmarkStart w:id="5885" w:name="_Toc145019606"/>
      <w:bookmarkStart w:id="5886" w:name="_Toc145222945"/>
      <w:bookmarkStart w:id="5887" w:name="_Toc145487063"/>
      <w:r>
        <w:rPr>
          <w:rFonts w:hint="cs"/>
          <w:rtl/>
        </w:rPr>
        <w:t>בי' הרמב"ם דאסור להחזיר מנורה של חוליות דנראה כבונה ופטור דאין בנין בכלים ורפוי מותר</w:t>
      </w:r>
      <w:bookmarkEnd w:id="5885"/>
      <w:bookmarkEnd w:id="5886"/>
      <w:bookmarkEnd w:id="5887"/>
    </w:p>
    <w:p w14:paraId="4491B970" w14:textId="720C4279" w:rsidR="000F6808" w:rsidRPr="009349A1" w:rsidRDefault="000F6808" w:rsidP="000F6808">
      <w:pPr>
        <w:pStyle w:val="a3"/>
        <w:rPr>
          <w:rtl/>
        </w:rPr>
      </w:pPr>
      <w:bookmarkStart w:id="5888" w:name="_Ref144458829"/>
      <w:r>
        <w:rPr>
          <w:rFonts w:hint="cs"/>
          <w:rtl/>
        </w:rPr>
        <w:t>כתב</w:t>
      </w:r>
      <w:r>
        <w:rPr>
          <w:rtl/>
        </w:rPr>
        <w:t xml:space="preserve"> </w:t>
      </w:r>
      <w:r w:rsidRPr="00A2655E">
        <w:rPr>
          <w:b/>
          <w:bCs/>
          <w:rtl/>
        </w:rPr>
        <w:t>ה</w:t>
      </w:r>
      <w:r w:rsidRPr="00A2655E">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Ref144458829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ק)</w:t>
      </w:r>
      <w:r>
        <w:rPr>
          <w:b/>
          <w:bCs/>
          <w:vanish/>
          <w:rtl/>
        </w:rPr>
        <w:fldChar w:fldCharType="end"/>
      </w:r>
      <w:r w:rsidRPr="00A2655E">
        <w:rPr>
          <w:b/>
          <w:bCs/>
          <w:vanish/>
          <w:rtl/>
        </w:rPr>
        <w:t xml:space="preserve"> &gt;</w:t>
      </w:r>
      <w:r w:rsidRPr="00A2655E">
        <w:rPr>
          <w:rFonts w:hint="cs"/>
          <w:b/>
          <w:bCs/>
          <w:rtl/>
        </w:rPr>
        <w:t>רמב"ם</w:t>
      </w:r>
      <w:r w:rsidRPr="00A2655E">
        <w:rPr>
          <w:b/>
          <w:bCs/>
          <w:rtl/>
        </w:rPr>
        <w:t xml:space="preserve"> </w:t>
      </w:r>
      <w:r w:rsidRPr="00A2655E">
        <w:rPr>
          <w:rFonts w:ascii="Calibri" w:eastAsia="Times New Roman" w:hAnsi="Calibri" w:cs="Guttman Rashi"/>
          <w:noProof w:val="0"/>
          <w:sz w:val="10"/>
          <w:szCs w:val="12"/>
          <w:rtl/>
        </w:rPr>
        <w:t>(</w:t>
      </w:r>
      <w:r w:rsidRPr="00A2655E">
        <w:rPr>
          <w:rFonts w:ascii="Calibri" w:eastAsia="Times New Roman" w:hAnsi="Calibri" w:cs="Guttman Rashi" w:hint="cs"/>
          <w:noProof w:val="0"/>
          <w:sz w:val="10"/>
          <w:szCs w:val="12"/>
          <w:rtl/>
        </w:rPr>
        <w:t>שבת פכ"ב הכ"ו</w:t>
      </w:r>
      <w:r w:rsidRPr="00A2655E">
        <w:rPr>
          <w:rFonts w:ascii="Calibri" w:eastAsia="Times New Roman" w:hAnsi="Calibri" w:cs="Guttman Rashi"/>
          <w:noProof w:val="0"/>
          <w:sz w:val="10"/>
          <w:szCs w:val="12"/>
          <w:rtl/>
        </w:rPr>
        <w:t>)</w:t>
      </w:r>
      <w:r w:rsidRPr="00A2655E">
        <w:rPr>
          <w:vanish/>
          <w:rtl/>
        </w:rPr>
        <w:t>=</w:t>
      </w:r>
      <w:r>
        <w:rPr>
          <w:rtl/>
        </w:rPr>
        <w:t xml:space="preserve"> </w:t>
      </w:r>
      <w:r>
        <w:rPr>
          <w:rFonts w:hint="cs"/>
          <w:rtl/>
        </w:rPr>
        <w:t>דאין מחזירין מנורה של חוליות או כסא המפוצל או שולחן מפוצל, כיון דנראה כבונה, אבל אם החזיר פטור דאין בנין וסתירה בכלים, וברפוי מותר להחזיר.</w:t>
      </w:r>
      <w:bookmarkEnd w:id="5888"/>
    </w:p>
    <w:p w14:paraId="2583CD7D" w14:textId="77777777" w:rsidR="000F6808" w:rsidRPr="0088513D" w:rsidRDefault="000F6808" w:rsidP="000F6808">
      <w:pPr>
        <w:pStyle w:val="afffffe"/>
        <w:rPr>
          <w:vanish/>
          <w:rtl/>
        </w:rPr>
      </w:pPr>
      <w:r w:rsidRPr="0088513D">
        <w:rPr>
          <w:vanish/>
          <w:rtl/>
        </w:rPr>
        <w:t>רמב"ם שבת פכ"ב הכ"ו</w:t>
      </w:r>
    </w:p>
    <w:p w14:paraId="4C6EF90B" w14:textId="77777777" w:rsidR="000F6808" w:rsidRPr="00111645" w:rsidRDefault="000F6808" w:rsidP="000F6808">
      <w:pPr>
        <w:pStyle w:val="a2"/>
        <w:rPr>
          <w:rtl/>
        </w:rPr>
      </w:pPr>
      <w:r w:rsidRPr="00111645">
        <w:rPr>
          <w:rFonts w:hint="cs"/>
          <w:rtl/>
        </w:rPr>
        <w:t>ואין</w:t>
      </w:r>
      <w:r w:rsidRPr="00111645">
        <w:rPr>
          <w:rtl/>
        </w:rPr>
        <w:t xml:space="preserve"> מחזירין מנורה של חליות ולא כסא המפוצל ולא שולחן המפוצל וכיוצא בהן מפני שנראה כבונה, ואם החזיר פטור שאין בנין בכלים ואין סתירה בכלים, ואם היה רפוי מותר להחזירו.</w:t>
      </w:r>
    </w:p>
    <w:p w14:paraId="58550385" w14:textId="77777777" w:rsidR="000F6808" w:rsidRPr="005025D3" w:rsidRDefault="000F6808" w:rsidP="000F6808">
      <w:pPr>
        <w:pStyle w:val="afffff7"/>
        <w:rPr>
          <w:rtl/>
        </w:rPr>
      </w:pPr>
      <w:bookmarkStart w:id="5889" w:name="_Toc145500811"/>
      <w:bookmarkStart w:id="5890" w:name="_Toc163506351"/>
      <w:bookmarkEnd w:id="5876"/>
      <w:r w:rsidRPr="005025D3">
        <w:rPr>
          <w:rtl/>
        </w:rPr>
        <w:t>לחם משנה שבת פכ"ב הכ"ה</w:t>
      </w:r>
      <w:bookmarkEnd w:id="5889"/>
      <w:bookmarkEnd w:id="5890"/>
    </w:p>
    <w:p w14:paraId="5074EE11" w14:textId="77777777" w:rsidR="000F6808" w:rsidRDefault="000F6808" w:rsidP="000F6808">
      <w:pPr>
        <w:pStyle w:val="a7"/>
        <w:rPr>
          <w:rtl/>
        </w:rPr>
      </w:pPr>
      <w:bookmarkStart w:id="5891" w:name="_Toc145487064"/>
      <w:r>
        <w:rPr>
          <w:rFonts w:hint="cs"/>
          <w:rtl/>
        </w:rPr>
        <w:t>קו' הלח"מ ברמב"ם דמ"ש מנורה דמיחזי כבונה מדלתות כלי דמותר ליטול ולא מיחזי כסותר</w:t>
      </w:r>
      <w:bookmarkEnd w:id="5891"/>
    </w:p>
    <w:p w14:paraId="30DDD978" w14:textId="1E2351E3" w:rsidR="000F6808" w:rsidRPr="00747F4C" w:rsidRDefault="000F6808" w:rsidP="000F6808">
      <w:pPr>
        <w:pStyle w:val="a3"/>
        <w:rPr>
          <w:rtl/>
        </w:rPr>
      </w:pPr>
      <w:bookmarkStart w:id="5892" w:name="_Ref145275585"/>
      <w:r>
        <w:rPr>
          <w:rFonts w:hint="cs"/>
          <w:rtl/>
        </w:rPr>
        <w:t xml:space="preserve">במ"ש </w:t>
      </w:r>
      <w:r>
        <w:rPr>
          <w:rFonts w:hint="cs"/>
          <w:b/>
          <w:bCs/>
          <w:rtl/>
        </w:rPr>
        <w:t>הרמב"ם</w:t>
      </w:r>
      <w:r>
        <w:rPr>
          <w:rtl/>
        </w:rPr>
        <w:t xml:space="preserve"> </w:t>
      </w:r>
      <w:bookmarkStart w:id="5893" w:name="_Hlk145275075"/>
      <w:r w:rsidRPr="00415F4A">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Ref145263697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פט)</w:t>
      </w:r>
      <w:r>
        <w:rPr>
          <w:rStyle w:val="af2"/>
          <w:rFonts w:eastAsia="Guttman Hodes"/>
          <w:rtl/>
        </w:rPr>
        <w:fldChar w:fldCharType="end"/>
      </w:r>
      <w:r>
        <w:rPr>
          <w:rStyle w:val="af2"/>
          <w:rFonts w:eastAsia="Guttman Hodes" w:hint="cs"/>
          <w:rtl/>
        </w:rPr>
        <w:t xml:space="preserve"> </w:t>
      </w:r>
      <w:bookmarkEnd w:id="5893"/>
      <w:r>
        <w:rPr>
          <w:rFonts w:hint="cs"/>
          <w:rtl/>
        </w:rPr>
        <w:t>דתוקע חייב משום בונה, הקשה</w:t>
      </w:r>
      <w:r>
        <w:rPr>
          <w:rtl/>
        </w:rPr>
        <w:t xml:space="preserve"> </w:t>
      </w:r>
      <w:r w:rsidRPr="000F3B58">
        <w:rPr>
          <w:b/>
          <w:bCs/>
          <w:rtl/>
        </w:rPr>
        <w:t>ה</w:t>
      </w:r>
      <w:r w:rsidRPr="000F3B58">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Ref145275585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קא)</w:t>
      </w:r>
      <w:r>
        <w:rPr>
          <w:b/>
          <w:bCs/>
          <w:vanish/>
          <w:rtl/>
        </w:rPr>
        <w:fldChar w:fldCharType="end"/>
      </w:r>
      <w:r w:rsidRPr="000F3B58">
        <w:rPr>
          <w:b/>
          <w:bCs/>
          <w:vanish/>
          <w:rtl/>
        </w:rPr>
        <w:t xml:space="preserve"> &gt;</w:t>
      </w:r>
      <w:r>
        <w:rPr>
          <w:rFonts w:hint="cs"/>
          <w:b/>
          <w:bCs/>
          <w:rtl/>
        </w:rPr>
        <w:t>לח"מ</w:t>
      </w:r>
      <w:r w:rsidRPr="000F3B58">
        <w:rPr>
          <w:b/>
          <w:bCs/>
          <w:rtl/>
        </w:rPr>
        <w:t xml:space="preserve"> </w:t>
      </w:r>
      <w:r w:rsidRPr="000F3B58">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שבת פכ"ה הכ"ב</w:t>
      </w:r>
      <w:r w:rsidRPr="000F3B58">
        <w:rPr>
          <w:rFonts w:ascii="Calibri" w:eastAsia="Times New Roman" w:hAnsi="Calibri" w:cs="Guttman Rashi"/>
          <w:noProof w:val="0"/>
          <w:sz w:val="10"/>
          <w:szCs w:val="12"/>
          <w:rtl/>
        </w:rPr>
        <w:t>)</w:t>
      </w:r>
      <w:r w:rsidRPr="000F3B58">
        <w:rPr>
          <w:vanish/>
          <w:rtl/>
        </w:rPr>
        <w:t>=</w:t>
      </w:r>
      <w:r>
        <w:rPr>
          <w:rtl/>
        </w:rPr>
        <w:t xml:space="preserve"> </w:t>
      </w:r>
      <w:r>
        <w:rPr>
          <w:rFonts w:hint="cs"/>
          <w:rtl/>
        </w:rPr>
        <w:t>דא"כ אמאי מותר ליטול את דלתות הכלים, הא אעפ"י דקיי"ל דאין בנין וסתירה בכלים מ"מ צריך לאסור להחזיק הוא מיחזי כבונה, כדכתב</w:t>
      </w:r>
      <w:r>
        <w:rPr>
          <w:rtl/>
        </w:rPr>
        <w:t xml:space="preserve"> </w:t>
      </w:r>
      <w:r>
        <w:rPr>
          <w:rFonts w:hint="cs"/>
          <w:b/>
          <w:bCs/>
          <w:rtl/>
        </w:rPr>
        <w:t>הרמב"ם</w:t>
      </w:r>
      <w:r>
        <w:rPr>
          <w:rtl/>
        </w:rPr>
        <w:t xml:space="preserve"> </w:t>
      </w:r>
      <w:r>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Ref144458829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ק)</w:t>
      </w:r>
      <w:r>
        <w:rPr>
          <w:rStyle w:val="af2"/>
          <w:rFonts w:eastAsia="Guttman Hodes"/>
          <w:rtl/>
        </w:rPr>
        <w:fldChar w:fldCharType="end"/>
      </w:r>
      <w:r>
        <w:rPr>
          <w:rStyle w:val="af2"/>
          <w:rFonts w:eastAsia="Guttman Hodes" w:hint="cs"/>
          <w:rtl/>
        </w:rPr>
        <w:t xml:space="preserve">) </w:t>
      </w:r>
      <w:r>
        <w:rPr>
          <w:rFonts w:hint="cs"/>
          <w:rtl/>
        </w:rPr>
        <w:t>לענין מנורה של חוליות דאסור להחזיר דמיחזי כבונה, וה"ה בנוטל דלתות הכלים דמיחזי כסותר.</w:t>
      </w:r>
      <w:bookmarkEnd w:id="5892"/>
    </w:p>
    <w:p w14:paraId="49EC9B86" w14:textId="77777777" w:rsidR="000F6808" w:rsidRPr="0088513D" w:rsidRDefault="000F6808" w:rsidP="000F6808">
      <w:pPr>
        <w:pStyle w:val="afffffe"/>
        <w:rPr>
          <w:vanish/>
          <w:rtl/>
        </w:rPr>
      </w:pPr>
      <w:r w:rsidRPr="0088513D">
        <w:rPr>
          <w:vanish/>
          <w:rtl/>
        </w:rPr>
        <w:t>לחם משנה שבת פכ"ב הכ"ה</w:t>
      </w:r>
    </w:p>
    <w:p w14:paraId="15172FBC" w14:textId="77777777" w:rsidR="000F6808" w:rsidRDefault="000F6808" w:rsidP="000F6808">
      <w:pPr>
        <w:pStyle w:val="a2"/>
        <w:rPr>
          <w:rtl/>
        </w:rPr>
      </w:pPr>
      <w:r w:rsidRPr="00111645">
        <w:rPr>
          <w:rtl/>
        </w:rPr>
        <w:t xml:space="preserve">[כה] התוקע חייב משום בונה וכו'. קשה דאמאי נוטלין דהא מיחזי כסותרן אף על גב דאין בנין ואין סתירה בכלים ומאי שנא ממנורה של חוליות שכתב רבינו שאין מחזירין מפני שנראה כבונה ה"נ מיחזי כסתירה דאי שייך בנין שייך סתירה כדמוכח בגמ' וצ"ע: </w:t>
      </w:r>
    </w:p>
    <w:p w14:paraId="358F00C9" w14:textId="77777777" w:rsidR="000F6808" w:rsidRDefault="000F6808" w:rsidP="000F6808">
      <w:pPr>
        <w:pStyle w:val="afffff7"/>
        <w:rPr>
          <w:rtl/>
        </w:rPr>
      </w:pPr>
      <w:bookmarkStart w:id="5894" w:name="_Toc145500812"/>
      <w:bookmarkStart w:id="5895" w:name="_Toc163506352"/>
      <w:r>
        <w:rPr>
          <w:rtl/>
        </w:rPr>
        <w:t>רמב"ם שבת פכ"ו ה"ו</w:t>
      </w:r>
      <w:bookmarkEnd w:id="5894"/>
      <w:bookmarkEnd w:id="5895"/>
    </w:p>
    <w:p w14:paraId="4A1DEF6B" w14:textId="77777777" w:rsidR="000F6808" w:rsidRDefault="000F6808" w:rsidP="000F6808">
      <w:pPr>
        <w:pStyle w:val="a7"/>
        <w:rPr>
          <w:rtl/>
        </w:rPr>
      </w:pPr>
      <w:bookmarkStart w:id="5896" w:name="_Toc145487065"/>
      <w:r>
        <w:rPr>
          <w:rFonts w:hint="cs"/>
          <w:rtl/>
        </w:rPr>
        <w:t>בי' הרמב"ם דכירה שנשמטה אחת מירכותיה אסורה בטלטול שמא יתקע</w:t>
      </w:r>
      <w:bookmarkEnd w:id="5896"/>
    </w:p>
    <w:p w14:paraId="7976B1E3" w14:textId="08326489" w:rsidR="000F6808" w:rsidRPr="00177936" w:rsidRDefault="000F6808" w:rsidP="000F6808">
      <w:pPr>
        <w:pStyle w:val="a3"/>
        <w:rPr>
          <w:rtl/>
        </w:rPr>
      </w:pPr>
      <w:bookmarkStart w:id="5897" w:name="_Ref145275547"/>
      <w:r>
        <w:rPr>
          <w:rFonts w:hint="cs"/>
          <w:rtl/>
        </w:rPr>
        <w:t>ועוד כתב</w:t>
      </w:r>
      <w:r>
        <w:rPr>
          <w:rtl/>
        </w:rPr>
        <w:t xml:space="preserve"> </w:t>
      </w:r>
      <w:r w:rsidRPr="00177936">
        <w:rPr>
          <w:b/>
          <w:bCs/>
          <w:rtl/>
        </w:rPr>
        <w:t>ה</w:t>
      </w:r>
      <w:r w:rsidRPr="00177936">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Ref145275547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קב)</w:t>
      </w:r>
      <w:r>
        <w:rPr>
          <w:b/>
          <w:bCs/>
          <w:vanish/>
          <w:rtl/>
        </w:rPr>
        <w:fldChar w:fldCharType="end"/>
      </w:r>
      <w:r w:rsidRPr="00177936">
        <w:rPr>
          <w:b/>
          <w:bCs/>
          <w:vanish/>
          <w:rtl/>
        </w:rPr>
        <w:t xml:space="preserve"> &gt;</w:t>
      </w:r>
      <w:r>
        <w:rPr>
          <w:rFonts w:hint="cs"/>
          <w:b/>
          <w:bCs/>
          <w:rtl/>
        </w:rPr>
        <w:t>רמב"ם</w:t>
      </w:r>
      <w:r w:rsidRPr="00177936">
        <w:rPr>
          <w:b/>
          <w:bCs/>
          <w:rtl/>
        </w:rPr>
        <w:t xml:space="preserve"> </w:t>
      </w:r>
      <w:r w:rsidRPr="00177936">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שבת פכ"ו ה"ו</w:t>
      </w:r>
      <w:r w:rsidRPr="00177936">
        <w:rPr>
          <w:rFonts w:ascii="Calibri" w:eastAsia="Times New Roman" w:hAnsi="Calibri" w:cs="Guttman Rashi"/>
          <w:noProof w:val="0"/>
          <w:sz w:val="10"/>
          <w:szCs w:val="12"/>
          <w:rtl/>
        </w:rPr>
        <w:t>)</w:t>
      </w:r>
      <w:r w:rsidRPr="00177936">
        <w:rPr>
          <w:vanish/>
          <w:rtl/>
        </w:rPr>
        <w:t>=</w:t>
      </w:r>
      <w:r>
        <w:rPr>
          <w:rtl/>
        </w:rPr>
        <w:t xml:space="preserve"> </w:t>
      </w:r>
      <w:r>
        <w:rPr>
          <w:rFonts w:hint="cs"/>
          <w:rtl/>
        </w:rPr>
        <w:t>דכירה שנשמטה אחת מירכותיה אסור לטלטלה, שמא יתקע.</w:t>
      </w:r>
      <w:bookmarkEnd w:id="5897"/>
    </w:p>
    <w:p w14:paraId="59933F62" w14:textId="77777777" w:rsidR="000F6808" w:rsidRPr="0088513D" w:rsidRDefault="000F6808" w:rsidP="000F6808">
      <w:pPr>
        <w:pStyle w:val="afffffe"/>
        <w:rPr>
          <w:vanish/>
          <w:rtl/>
        </w:rPr>
      </w:pPr>
      <w:r w:rsidRPr="0088513D">
        <w:rPr>
          <w:vanish/>
          <w:rtl/>
        </w:rPr>
        <w:t>רמב"ם שבת פכ"ו ה"ו</w:t>
      </w:r>
    </w:p>
    <w:p w14:paraId="00F37E6D" w14:textId="77777777" w:rsidR="000F6808" w:rsidRPr="00111645" w:rsidRDefault="000F6808" w:rsidP="000F6808">
      <w:pPr>
        <w:pStyle w:val="a2"/>
        <w:rPr>
          <w:rtl/>
        </w:rPr>
      </w:pPr>
      <w:r w:rsidRPr="00111645">
        <w:rPr>
          <w:rtl/>
        </w:rPr>
        <w:t>כירה שנשמטה אחת מירכותיה אסור לטלטלה שמא יתקע.</w:t>
      </w:r>
    </w:p>
    <w:p w14:paraId="1845DDB0" w14:textId="77777777" w:rsidR="000F6808" w:rsidRDefault="000F6808" w:rsidP="000F6808">
      <w:pPr>
        <w:pStyle w:val="afffff7"/>
        <w:rPr>
          <w:rtl/>
        </w:rPr>
      </w:pPr>
      <w:bookmarkStart w:id="5898" w:name="_Toc145500813"/>
      <w:bookmarkStart w:id="5899" w:name="_Toc163506353"/>
      <w:r>
        <w:rPr>
          <w:rtl/>
        </w:rPr>
        <w:t>רמב"ם שבת פכ"ו הי"א</w:t>
      </w:r>
      <w:bookmarkEnd w:id="5898"/>
      <w:bookmarkEnd w:id="5899"/>
    </w:p>
    <w:p w14:paraId="4B56645B" w14:textId="77777777" w:rsidR="000F6808" w:rsidRDefault="000F6808" w:rsidP="000F6808">
      <w:pPr>
        <w:pStyle w:val="a7"/>
        <w:rPr>
          <w:rtl/>
        </w:rPr>
      </w:pPr>
      <w:bookmarkStart w:id="5900" w:name="_Toc145487066"/>
      <w:r>
        <w:rPr>
          <w:rFonts w:hint="cs"/>
          <w:rtl/>
        </w:rPr>
        <w:t>בי' הרמב"ם דמנורה של חוליות אסורה בטלטול שמא יחזירנה ובחידקי אסורה בגדולה דכבדה</w:t>
      </w:r>
      <w:bookmarkEnd w:id="5900"/>
    </w:p>
    <w:p w14:paraId="4C54DDF9" w14:textId="1534B068" w:rsidR="000F6808" w:rsidRPr="00923EFD" w:rsidRDefault="000F6808" w:rsidP="000F6808">
      <w:pPr>
        <w:pStyle w:val="a3"/>
        <w:rPr>
          <w:rtl/>
        </w:rPr>
      </w:pPr>
      <w:bookmarkStart w:id="5901" w:name="_Ref145275537"/>
      <w:r>
        <w:rPr>
          <w:rFonts w:hint="cs"/>
          <w:rtl/>
        </w:rPr>
        <w:t>ועוד כתב</w:t>
      </w:r>
      <w:r>
        <w:rPr>
          <w:rtl/>
        </w:rPr>
        <w:t xml:space="preserve"> </w:t>
      </w:r>
      <w:r w:rsidRPr="00923EFD">
        <w:rPr>
          <w:b/>
          <w:bCs/>
          <w:rtl/>
        </w:rPr>
        <w:t>ה</w:t>
      </w:r>
      <w:r w:rsidRPr="00923EFD">
        <w:rPr>
          <w:b/>
          <w:bCs/>
          <w:vanish/>
          <w:rtl/>
        </w:rPr>
        <w:t xml:space="preserve"> &lt;, </w:t>
      </w:r>
      <w:bookmarkStart w:id="5902" w:name="_Hlk145275664"/>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Ref145275537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קג)</w:t>
      </w:r>
      <w:r>
        <w:rPr>
          <w:b/>
          <w:bCs/>
          <w:vanish/>
          <w:rtl/>
        </w:rPr>
        <w:fldChar w:fldCharType="end"/>
      </w:r>
      <w:bookmarkEnd w:id="5902"/>
      <w:r w:rsidRPr="00923EFD">
        <w:rPr>
          <w:b/>
          <w:bCs/>
          <w:vanish/>
          <w:rtl/>
        </w:rPr>
        <w:t xml:space="preserve"> &gt;</w:t>
      </w:r>
      <w:r>
        <w:rPr>
          <w:rFonts w:hint="cs"/>
          <w:b/>
          <w:bCs/>
          <w:rtl/>
        </w:rPr>
        <w:t>רמב"ם</w:t>
      </w:r>
      <w:r w:rsidRPr="00923EFD">
        <w:rPr>
          <w:b/>
          <w:bCs/>
          <w:rtl/>
        </w:rPr>
        <w:t xml:space="preserve"> </w:t>
      </w:r>
      <w:r w:rsidRPr="00923EFD">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שבת פכ"ו הי"א</w:t>
      </w:r>
      <w:r w:rsidRPr="00923EFD">
        <w:rPr>
          <w:rFonts w:ascii="Calibri" w:eastAsia="Times New Roman" w:hAnsi="Calibri" w:cs="Guttman Rashi"/>
          <w:noProof w:val="0"/>
          <w:sz w:val="10"/>
          <w:szCs w:val="12"/>
          <w:rtl/>
        </w:rPr>
        <w:t>)</w:t>
      </w:r>
      <w:r w:rsidRPr="00923EFD">
        <w:rPr>
          <w:vanish/>
          <w:rtl/>
        </w:rPr>
        <w:t>=</w:t>
      </w:r>
      <w:r>
        <w:rPr>
          <w:rtl/>
        </w:rPr>
        <w:t xml:space="preserve"> </w:t>
      </w:r>
      <w:r>
        <w:rPr>
          <w:rFonts w:hint="cs"/>
          <w:rtl/>
        </w:rPr>
        <w:t xml:space="preserve">דמנורה של חוליות בין גדולה ובין קטנה אסור לטלטלה, שמא יחזירנה בשבת, ואם היו בה חדקי שהיא נראית כבעלת חוליות, בגדולה שניטלת בב' ידים אסור לטלטלה כיון שהיא כבדה, ובקטנה יותר מותר, ועי' במה שביאר </w:t>
      </w:r>
      <w:r w:rsidRPr="00DC46EC">
        <w:rPr>
          <w:b/>
          <w:bCs/>
          <w:rtl/>
        </w:rPr>
        <w:t>ה</w:t>
      </w:r>
      <w:r>
        <w:rPr>
          <w:rFonts w:hint="cs"/>
          <w:b/>
          <w:bCs/>
          <w:vanish/>
          <w:rtl/>
        </w:rPr>
        <w:t>&lt; &gt;</w:t>
      </w:r>
      <w:r w:rsidRPr="00DC46EC">
        <w:rPr>
          <w:rFonts w:hint="cs"/>
          <w:b/>
          <w:bCs/>
          <w:rtl/>
        </w:rPr>
        <w:t>ר"ן לעיל</w:t>
      </w:r>
      <w:r w:rsidRPr="00DC46EC">
        <w:rPr>
          <w:b/>
          <w:bCs/>
          <w:rtl/>
        </w:rPr>
        <w:t xml:space="preserve"> </w:t>
      </w:r>
      <w:r w:rsidRPr="00DC46EC">
        <w:rPr>
          <w:rFonts w:ascii="Calibri" w:eastAsia="Times New Roman" w:hAnsi="Calibri" w:cs="Guttman Rashi"/>
          <w:noProof w:val="0"/>
          <w:sz w:val="10"/>
          <w:szCs w:val="12"/>
          <w:rtl/>
        </w:rPr>
        <w:t>(</w:t>
      </w:r>
      <w:r w:rsidRPr="00DC46EC">
        <w:rPr>
          <w:rFonts w:ascii="Calibri" w:eastAsia="Times New Roman" w:hAnsi="Calibri" w:cs="Guttman Rashi" w:hint="cs"/>
          <w:noProof w:val="0"/>
          <w:sz w:val="10"/>
          <w:szCs w:val="12"/>
          <w:rtl/>
        </w:rPr>
        <w:t xml:space="preserve">מז. </w:t>
      </w:r>
      <w:r>
        <w:rPr>
          <w:rFonts w:ascii="Calibri" w:eastAsia="Times New Roman" w:hAnsi="Calibri" w:cs="Guttman Rashi" w:hint="cs"/>
          <w:noProof w:val="0"/>
          <w:sz w:val="10"/>
          <w:szCs w:val="12"/>
          <w:rtl/>
        </w:rPr>
        <w:t>סו</w:t>
      </w:r>
      <w:r w:rsidRPr="00DC46EC">
        <w:rPr>
          <w:rFonts w:ascii="Calibri" w:eastAsia="Times New Roman" w:hAnsi="Calibri" w:cs="Guttman Rashi" w:hint="cs"/>
          <w:noProof w:val="0"/>
          <w:sz w:val="10"/>
          <w:szCs w:val="12"/>
          <w:rtl/>
        </w:rPr>
        <w:t xml:space="preserve">ד"ה </w:t>
      </w:r>
      <w:r w:rsidRPr="00F36CA5">
        <w:rPr>
          <w:rFonts w:ascii="Calibri" w:eastAsia="Times New Roman" w:hAnsi="Calibri" w:cs="Guttman Rashi" w:hint="cs"/>
          <w:noProof w:val="0"/>
          <w:sz w:val="10"/>
          <w:szCs w:val="12"/>
          <w:rtl/>
        </w:rPr>
        <w:t>ולענין הלכה</w:t>
      </w:r>
      <w:r w:rsidRPr="00DC46EC">
        <w:rPr>
          <w:rFonts w:ascii="Calibri" w:eastAsia="Times New Roman" w:hAnsi="Calibri" w:cs="Guttman Rashi"/>
          <w:noProof w:val="0"/>
          <w:sz w:val="10"/>
          <w:szCs w:val="12"/>
          <w:rtl/>
        </w:rPr>
        <w:t>)</w:t>
      </w:r>
      <w:r w:rsidRPr="00BA59AD">
        <w:rPr>
          <w:vanish/>
          <w:rtl/>
        </w:rPr>
        <w:t>=</w:t>
      </w:r>
      <w:r>
        <w:rPr>
          <w:rFonts w:hint="cs"/>
          <w:rtl/>
        </w:rPr>
        <w:t xml:space="preserve"> בדברי</w:t>
      </w:r>
      <w:r>
        <w:rPr>
          <w:rtl/>
        </w:rPr>
        <w:t xml:space="preserve"> </w:t>
      </w:r>
      <w:r>
        <w:rPr>
          <w:rFonts w:hint="cs"/>
          <w:b/>
          <w:bCs/>
          <w:rtl/>
        </w:rPr>
        <w:t>הרמב"ם</w:t>
      </w:r>
      <w:r>
        <w:rPr>
          <w:rFonts w:hint="cs"/>
          <w:rtl/>
        </w:rPr>
        <w:t>.</w:t>
      </w:r>
      <w:bookmarkEnd w:id="5901"/>
    </w:p>
    <w:p w14:paraId="6ED4729F" w14:textId="77777777" w:rsidR="000F6808" w:rsidRPr="0088513D" w:rsidRDefault="000F6808" w:rsidP="000F6808">
      <w:pPr>
        <w:pStyle w:val="afffffe"/>
        <w:rPr>
          <w:vanish/>
          <w:rtl/>
        </w:rPr>
      </w:pPr>
      <w:r w:rsidRPr="0088513D">
        <w:rPr>
          <w:vanish/>
          <w:rtl/>
        </w:rPr>
        <w:t>רמב"ם שבת פכ"ו הי"א</w:t>
      </w:r>
    </w:p>
    <w:p w14:paraId="673E1D71" w14:textId="77777777" w:rsidR="000F6808" w:rsidRDefault="000F6808" w:rsidP="000F6808">
      <w:pPr>
        <w:pStyle w:val="a2"/>
        <w:rPr>
          <w:rtl/>
        </w:rPr>
      </w:pPr>
      <w:r w:rsidRPr="00111645">
        <w:rPr>
          <w:rtl/>
        </w:rPr>
        <w:t>מנורה של חליות בין גדולה בין קטנה אין מטלטלין אותה שמא יחזירנה בשבת, היו בה חדקים והיא נראית כבעלת חליות, אם היתה גדולה הניטלת בשתי ידים אסור לטלטלה מפני כובדה, היתה קטנה מזו מותר לטלטלה.</w:t>
      </w:r>
    </w:p>
    <w:p w14:paraId="54FC769B" w14:textId="77777777" w:rsidR="000F6808" w:rsidRDefault="000F6808" w:rsidP="000F6808">
      <w:pPr>
        <w:pStyle w:val="afffff7"/>
        <w:rPr>
          <w:rtl/>
        </w:rPr>
      </w:pPr>
      <w:bookmarkStart w:id="5903" w:name="_Toc145500814"/>
      <w:bookmarkStart w:id="5904" w:name="_Toc163506354"/>
      <w:bookmarkEnd w:id="5849"/>
      <w:r w:rsidRPr="00D46B4A">
        <w:rPr>
          <w:rtl/>
        </w:rPr>
        <w:t xml:space="preserve">חזון איש </w:t>
      </w:r>
      <w:r>
        <w:rPr>
          <w:rtl/>
        </w:rPr>
        <w:t>או"ח סי' נ' סק"י</w:t>
      </w:r>
      <w:r w:rsidRPr="00D46B4A">
        <w:rPr>
          <w:rtl/>
        </w:rPr>
        <w:t xml:space="preserve"> ד"ה קל"ח</w:t>
      </w:r>
      <w:bookmarkEnd w:id="5903"/>
      <w:bookmarkEnd w:id="5904"/>
      <w:r w:rsidRPr="00D46B4A">
        <w:rPr>
          <w:rtl/>
        </w:rPr>
        <w:t xml:space="preserve"> </w:t>
      </w:r>
    </w:p>
    <w:p w14:paraId="745EEA21" w14:textId="77777777" w:rsidR="000F6808" w:rsidRDefault="000F6808" w:rsidP="000F6808">
      <w:pPr>
        <w:pStyle w:val="a7"/>
        <w:rPr>
          <w:rtl/>
        </w:rPr>
      </w:pPr>
      <w:bookmarkStart w:id="5905" w:name="_Toc145487067"/>
      <w:r>
        <w:rPr>
          <w:rFonts w:hint="cs"/>
          <w:rtl/>
        </w:rPr>
        <w:t>בי' החזו"א דטלטול ירך שנשמטה מותר לצורך תיקונה ברפוי ורק טלטול בעלמא אסור</w:t>
      </w:r>
      <w:bookmarkEnd w:id="5905"/>
    </w:p>
    <w:p w14:paraId="7848DB50" w14:textId="41749BFA" w:rsidR="000F6808" w:rsidRPr="007073E2" w:rsidRDefault="000F6808" w:rsidP="000F6808">
      <w:pPr>
        <w:pStyle w:val="a3"/>
        <w:rPr>
          <w:rtl/>
        </w:rPr>
      </w:pPr>
      <w:bookmarkStart w:id="5906" w:name="_Ref145369080"/>
      <w:r>
        <w:rPr>
          <w:rFonts w:hint="cs"/>
          <w:rtl/>
        </w:rPr>
        <w:t>במ"ש</w:t>
      </w:r>
      <w:r>
        <w:rPr>
          <w:rtl/>
        </w:rPr>
        <w:t xml:space="preserve"> </w:t>
      </w:r>
      <w:r>
        <w:rPr>
          <w:rFonts w:hint="cs"/>
          <w:b/>
          <w:bCs/>
          <w:rtl/>
        </w:rPr>
        <w:t>הרמב"ם</w:t>
      </w:r>
      <w:r>
        <w:rPr>
          <w:rtl/>
        </w:rPr>
        <w:t xml:space="preserve"> </w:t>
      </w:r>
      <w:r w:rsidRPr="00BA59AD">
        <w:rPr>
          <w:rFonts w:ascii="Calibri" w:eastAsia="Times New Roman" w:hAnsi="Calibri" w:cs="Guttman Rashi"/>
          <w:noProof w:val="0"/>
          <w:sz w:val="10"/>
          <w:szCs w:val="12"/>
          <w:rtl/>
        </w:rPr>
        <w:t xml:space="preserve">(עי' 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Pr>
        <w:instrText>REF</w:instrText>
      </w:r>
      <w:r>
        <w:rPr>
          <w:rFonts w:ascii="Calibri" w:eastAsia="Times New Roman" w:hAnsi="Calibri" w:cs="Guttman Rashi"/>
          <w:noProof w:val="0"/>
          <w:sz w:val="10"/>
          <w:szCs w:val="12"/>
          <w:rtl/>
        </w:rPr>
        <w:instrText xml:space="preserve"> _</w:instrText>
      </w:r>
      <w:r>
        <w:rPr>
          <w:rFonts w:ascii="Calibri" w:eastAsia="Times New Roman" w:hAnsi="Calibri" w:cs="Guttman Rashi"/>
          <w:noProof w:val="0"/>
          <w:sz w:val="10"/>
          <w:szCs w:val="12"/>
        </w:rPr>
        <w:instrText>Ref145275547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קב)</w:t>
      </w:r>
      <w:r>
        <w:rPr>
          <w:rFonts w:ascii="Calibri" w:eastAsia="Times New Roman" w:hAnsi="Calibri" w:cs="Guttman Rashi"/>
          <w:noProof w:val="0"/>
          <w:sz w:val="10"/>
          <w:szCs w:val="12"/>
          <w:rtl/>
        </w:rPr>
        <w:fldChar w:fldCharType="end"/>
      </w:r>
      <w:r>
        <w:rPr>
          <w:rtl/>
        </w:rPr>
        <w:t xml:space="preserve"> </w:t>
      </w:r>
      <w:r>
        <w:rPr>
          <w:rFonts w:hint="cs"/>
          <w:rtl/>
        </w:rPr>
        <w:t>דכירה שנשמטה אחת מיכרותיה אסור לטלטלה שמא יתקע, הקשה</w:t>
      </w:r>
      <w:r>
        <w:rPr>
          <w:rtl/>
        </w:rPr>
        <w:t xml:space="preserve"> </w:t>
      </w:r>
      <w:r w:rsidRPr="00BA59AD">
        <w:rPr>
          <w:b/>
          <w:bCs/>
          <w:rtl/>
        </w:rPr>
        <w:t>ה</w:t>
      </w:r>
      <w:r w:rsidRPr="00BA59AD">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Ref145369080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קד)</w:t>
      </w:r>
      <w:r>
        <w:rPr>
          <w:b/>
          <w:bCs/>
          <w:vanish/>
          <w:rtl/>
        </w:rPr>
        <w:fldChar w:fldCharType="end"/>
      </w:r>
      <w:r w:rsidRPr="00BA59AD">
        <w:rPr>
          <w:b/>
          <w:bCs/>
          <w:vanish/>
          <w:rtl/>
        </w:rPr>
        <w:t xml:space="preserve"> &gt;</w:t>
      </w:r>
      <w:r>
        <w:rPr>
          <w:rFonts w:hint="cs"/>
          <w:b/>
          <w:bCs/>
          <w:rtl/>
        </w:rPr>
        <w:t>חזו"א</w:t>
      </w:r>
      <w:r w:rsidRPr="00BA59AD">
        <w:rPr>
          <w:b/>
          <w:bCs/>
          <w:rtl/>
        </w:rPr>
        <w:t xml:space="preserve"> </w:t>
      </w:r>
      <w:r w:rsidRPr="00BA59AD">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סי' נ' סק"י ד"ה קל"ח</w:t>
      </w:r>
      <w:r w:rsidRPr="00BA59AD">
        <w:rPr>
          <w:rFonts w:ascii="Calibri" w:eastAsia="Times New Roman" w:hAnsi="Calibri" w:cs="Guttman Rashi"/>
          <w:noProof w:val="0"/>
          <w:sz w:val="10"/>
          <w:szCs w:val="12"/>
          <w:rtl/>
        </w:rPr>
        <w:t>)</w:t>
      </w:r>
      <w:r w:rsidRPr="00BA59AD">
        <w:rPr>
          <w:vanish/>
          <w:rtl/>
        </w:rPr>
        <w:t>=</w:t>
      </w:r>
      <w:r>
        <w:rPr>
          <w:rtl/>
        </w:rPr>
        <w:t xml:space="preserve"> </w:t>
      </w:r>
      <w:r>
        <w:rPr>
          <w:rFonts w:hint="cs"/>
          <w:rtl/>
        </w:rPr>
        <w:t>דהא קיי"ל דרפוי מותר, ותירץ</w:t>
      </w:r>
      <w:r>
        <w:rPr>
          <w:rtl/>
        </w:rPr>
        <w:t xml:space="preserve"> </w:t>
      </w:r>
      <w:r>
        <w:rPr>
          <w:rFonts w:hint="cs"/>
          <w:b/>
          <w:bCs/>
          <w:rtl/>
        </w:rPr>
        <w:t>החזו"א</w:t>
      </w:r>
      <w:r>
        <w:rPr>
          <w:rtl/>
        </w:rPr>
        <w:t xml:space="preserve"> </w:t>
      </w:r>
      <w:r>
        <w:rPr>
          <w:rFonts w:hint="cs"/>
          <w:rtl/>
        </w:rPr>
        <w:t>דאפש"ל דכשרוצה להחזיר את הירך הרפויה מותר לטלטלה, דכיון שהוא עוסק בהחזרתה רק ברפוי אין חשש שישכח שבת ויתקע, אבל כשמטלטל אותה טלטול בעלמא, חיישינן שישכח את השבת וירצה לתקוע אותה במקומה, וכתב</w:t>
      </w:r>
      <w:r>
        <w:rPr>
          <w:rtl/>
        </w:rPr>
        <w:t xml:space="preserve"> </w:t>
      </w:r>
      <w:r>
        <w:rPr>
          <w:rFonts w:hint="cs"/>
          <w:b/>
          <w:bCs/>
          <w:rtl/>
        </w:rPr>
        <w:t>החזו"א</w:t>
      </w:r>
      <w:r>
        <w:rPr>
          <w:rtl/>
        </w:rPr>
        <w:t xml:space="preserve"> </w:t>
      </w:r>
      <w:r>
        <w:rPr>
          <w:rFonts w:hint="cs"/>
          <w:rtl/>
        </w:rPr>
        <w:t>דכן צריך לבאר בגמ' לעיל</w:t>
      </w:r>
      <w:r>
        <w:rPr>
          <w:rtl/>
        </w:rPr>
        <w:t xml:space="preserve"> </w:t>
      </w:r>
      <w:r w:rsidRPr="00B26B0E">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מו.</w:t>
      </w:r>
      <w:r w:rsidRPr="00B26B0E">
        <w:rPr>
          <w:rFonts w:ascii="Calibri" w:eastAsia="Times New Roman" w:hAnsi="Calibri" w:cs="Guttman Rashi"/>
          <w:noProof w:val="0"/>
          <w:sz w:val="10"/>
          <w:szCs w:val="12"/>
          <w:rtl/>
        </w:rPr>
        <w:t>)</w:t>
      </w:r>
      <w:r>
        <w:rPr>
          <w:rtl/>
        </w:rPr>
        <w:t xml:space="preserve"> </w:t>
      </w:r>
      <w:r>
        <w:rPr>
          <w:rFonts w:hint="cs"/>
          <w:rtl/>
        </w:rPr>
        <w:t>דאסר ריו"ח לטלטל מנורה של חוליות, וכן פסק</w:t>
      </w:r>
      <w:r>
        <w:rPr>
          <w:rtl/>
        </w:rPr>
        <w:t xml:space="preserve"> </w:t>
      </w:r>
      <w:r>
        <w:rPr>
          <w:rFonts w:hint="cs"/>
          <w:b/>
          <w:bCs/>
          <w:rtl/>
        </w:rPr>
        <w:t>השו"ע</w:t>
      </w:r>
      <w:r>
        <w:rPr>
          <w:rtl/>
        </w:rPr>
        <w:t xml:space="preserve"> </w:t>
      </w:r>
      <w:r w:rsidRPr="00C206FB">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סי' רע"ט ז')</w:t>
      </w:r>
      <w:r>
        <w:rPr>
          <w:rFonts w:hint="cs"/>
          <w:rtl/>
        </w:rPr>
        <w:t>, והיינו דכשמטלטלה שלא לצורך החזרתה כשהיא רפויה חששו.</w:t>
      </w:r>
      <w:bookmarkEnd w:id="5906"/>
    </w:p>
    <w:p w14:paraId="1E12787C" w14:textId="77777777" w:rsidR="000F6808" w:rsidRPr="0088513D" w:rsidRDefault="000F6808" w:rsidP="000F6808">
      <w:pPr>
        <w:pStyle w:val="afffffe"/>
        <w:rPr>
          <w:vanish/>
          <w:rtl/>
        </w:rPr>
      </w:pPr>
      <w:r w:rsidRPr="0088513D">
        <w:rPr>
          <w:vanish/>
          <w:rtl/>
        </w:rPr>
        <w:t xml:space="preserve">חזון איש או"ח סי' נ' סק"י ד"ה קל"ח </w:t>
      </w:r>
    </w:p>
    <w:p w14:paraId="45A50098" w14:textId="77777777" w:rsidR="000F6808" w:rsidRPr="00111645" w:rsidRDefault="000F6808" w:rsidP="000F6808">
      <w:pPr>
        <w:pStyle w:val="a2"/>
        <w:rPr>
          <w:rtl/>
        </w:rPr>
      </w:pPr>
      <w:r w:rsidRPr="00111645">
        <w:rPr>
          <w:rtl/>
        </w:rPr>
        <w:t>קל"ח ב' חד נמי אסור גזירה שמא יתקע, ופסקו כן הפוסקים וכ"ה בשו"ע סי' ש"ח סט"ז, ויש לעי' הלא קיי"ל דרפוי מותר, ואפשר דטלטול להחזיר הירך רפוי מותר כיון דעסיק להחזיר רפוי לא חיישינן שישכח את השבת ויתקע אבל כשמטלטל טלטול בעלמא חיישינן שמא ישכח את השבת ויעלה בדעתו לתקוע, וכן צ"ל בהא דאמרו לעיל מ"ו א' דבמנורה של חוליות אסור לטלטל ופסקוה בשו"ע סי' רע"ט ס"ז</w:t>
      </w:r>
      <w:r w:rsidRPr="00111645">
        <w:rPr>
          <w:rFonts w:hint="cs"/>
          <w:rtl/>
        </w:rPr>
        <w:t>.</w:t>
      </w:r>
    </w:p>
    <w:p w14:paraId="66148F00" w14:textId="77777777" w:rsidR="000F6808" w:rsidRDefault="000F6808" w:rsidP="000F6808">
      <w:pPr>
        <w:pStyle w:val="a7"/>
        <w:rPr>
          <w:rtl/>
        </w:rPr>
      </w:pPr>
      <w:bookmarkStart w:id="5907" w:name="_Toc145487068"/>
      <w:r>
        <w:rPr>
          <w:rFonts w:hint="cs"/>
          <w:rtl/>
        </w:rPr>
        <w:t>בי' החזו"א דלתוס' בירך איירי שרגילות לתקוע ולכן אסור ובאין דרך לתקוע מותר וה"ה לטור</w:t>
      </w:r>
      <w:bookmarkEnd w:id="5907"/>
    </w:p>
    <w:p w14:paraId="3DBECD4A" w14:textId="35923ACE" w:rsidR="000F6808" w:rsidRPr="005511B7" w:rsidRDefault="000F6808" w:rsidP="000F6808">
      <w:pPr>
        <w:pStyle w:val="a3"/>
      </w:pPr>
      <w:r>
        <w:rPr>
          <w:rFonts w:hint="cs"/>
          <w:rtl/>
        </w:rPr>
        <w:t>אך כתב</w:t>
      </w:r>
      <w:r>
        <w:rPr>
          <w:rtl/>
        </w:rPr>
        <w:t xml:space="preserve"> </w:t>
      </w:r>
      <w:r>
        <w:rPr>
          <w:rFonts w:hint="cs"/>
          <w:b/>
          <w:bCs/>
          <w:rtl/>
        </w:rPr>
        <w:t>החזו"א</w:t>
      </w:r>
      <w:r>
        <w:rPr>
          <w:rtl/>
        </w:rPr>
        <w:t xml:space="preserve"> </w:t>
      </w:r>
      <w:r>
        <w:rPr>
          <w:rFonts w:hint="cs"/>
          <w:rtl/>
        </w:rPr>
        <w:t>דלדעת</w:t>
      </w:r>
      <w:r>
        <w:rPr>
          <w:rtl/>
        </w:rPr>
        <w:t xml:space="preserve"> </w:t>
      </w:r>
      <w:r>
        <w:rPr>
          <w:rFonts w:hint="cs"/>
          <w:b/>
          <w:bCs/>
          <w:rtl/>
        </w:rPr>
        <w:t>התוס'</w:t>
      </w:r>
      <w:r>
        <w:rPr>
          <w:rtl/>
        </w:rPr>
        <w:t xml:space="preserve"> </w:t>
      </w:r>
      <w:r>
        <w:rPr>
          <w:rFonts w:ascii="Calibri" w:eastAsia="Times New Roman" w:hAnsi="Calibri" w:cs="Guttman Rashi" w:hint="cs"/>
          <w:noProof w:val="0"/>
          <w:sz w:val="10"/>
          <w:szCs w:val="12"/>
          <w:rtl/>
        </w:rPr>
        <w:t xml:space="preserve">(עי' 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hint="cs"/>
          <w:noProof w:val="0"/>
          <w:sz w:val="10"/>
          <w:szCs w:val="12"/>
        </w:rPr>
        <w:instrText>REF</w:instrText>
      </w:r>
      <w:r>
        <w:rPr>
          <w:rFonts w:ascii="Calibri" w:eastAsia="Times New Roman" w:hAnsi="Calibri" w:cs="Guttman Rashi" w:hint="cs"/>
          <w:noProof w:val="0"/>
          <w:sz w:val="10"/>
          <w:szCs w:val="12"/>
          <w:rtl/>
        </w:rPr>
        <w:instrText xml:space="preserve"> _</w:instrText>
      </w:r>
      <w:r>
        <w:rPr>
          <w:rFonts w:ascii="Calibri" w:eastAsia="Times New Roman" w:hAnsi="Calibri" w:cs="Guttman Rashi" w:hint="cs"/>
          <w:noProof w:val="0"/>
          <w:sz w:val="10"/>
          <w:szCs w:val="12"/>
        </w:rPr>
        <w:instrText>Ref145319901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קנד)</w:t>
      </w:r>
      <w:r>
        <w:rPr>
          <w:rFonts w:ascii="Calibri" w:eastAsia="Times New Roman" w:hAnsi="Calibri" w:cs="Guttman Rashi"/>
          <w:noProof w:val="0"/>
          <w:sz w:val="10"/>
          <w:szCs w:val="12"/>
          <w:rtl/>
        </w:rPr>
        <w:fldChar w:fldCharType="end"/>
      </w:r>
      <w:r>
        <w:rPr>
          <w:rFonts w:ascii="Calibri" w:eastAsia="Times New Roman" w:hAnsi="Calibri" w:cs="Guttman Rashi" w:hint="cs"/>
          <w:noProof w:val="0"/>
          <w:sz w:val="10"/>
          <w:szCs w:val="12"/>
          <w:rtl/>
        </w:rPr>
        <w:t xml:space="preserve"> </w:t>
      </w:r>
      <w:r>
        <w:rPr>
          <w:rFonts w:hint="cs"/>
          <w:rtl/>
        </w:rPr>
        <w:t>דס"ל דבדבר שיש בו רגילות לתקוע, אף רפוי אסור, א"כ צ"ל דכירה שנשמטה ומנורה דרכן לתקוע, ולכן אסור לטלטלן, אבל בדבר שאין דרכו לתקוע מותר לטלטלו, וכתב</w:t>
      </w:r>
      <w:r>
        <w:rPr>
          <w:rtl/>
        </w:rPr>
        <w:t xml:space="preserve"> </w:t>
      </w:r>
      <w:r>
        <w:rPr>
          <w:rFonts w:hint="cs"/>
          <w:b/>
          <w:bCs/>
          <w:rtl/>
        </w:rPr>
        <w:t>החזו"א</w:t>
      </w:r>
      <w:r>
        <w:rPr>
          <w:rtl/>
        </w:rPr>
        <w:t xml:space="preserve"> </w:t>
      </w:r>
      <w:r>
        <w:rPr>
          <w:rFonts w:hint="cs"/>
          <w:rtl/>
        </w:rPr>
        <w:t>דה"ה דמותר לטלטל לפי דעת</w:t>
      </w:r>
      <w:r>
        <w:rPr>
          <w:rtl/>
        </w:rPr>
        <w:t xml:space="preserve"> </w:t>
      </w:r>
      <w:r>
        <w:rPr>
          <w:rFonts w:hint="cs"/>
          <w:b/>
          <w:bCs/>
          <w:rtl/>
        </w:rPr>
        <w:t>הטור</w:t>
      </w:r>
      <w:r>
        <w:rPr>
          <w:rtl/>
        </w:rPr>
        <w:t xml:space="preserve"> </w:t>
      </w:r>
      <w:r w:rsidRPr="001A03BB">
        <w:rPr>
          <w:rFonts w:ascii="Calibri" w:eastAsia="Times New Roman" w:hAnsi="Calibri" w:cs="Guttman Rashi"/>
          <w:noProof w:val="0"/>
          <w:sz w:val="10"/>
          <w:szCs w:val="12"/>
          <w:rtl/>
        </w:rPr>
        <w:t xml:space="preserve">(עי' 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Pr>
        <w:instrText>REF</w:instrText>
      </w:r>
      <w:r>
        <w:rPr>
          <w:rFonts w:ascii="Calibri" w:eastAsia="Times New Roman" w:hAnsi="Calibri" w:cs="Guttman Rashi"/>
          <w:noProof w:val="0"/>
          <w:sz w:val="10"/>
          <w:szCs w:val="12"/>
          <w:rtl/>
        </w:rPr>
        <w:instrText xml:space="preserve"> _</w:instrText>
      </w:r>
      <w:r>
        <w:rPr>
          <w:rFonts w:ascii="Calibri" w:eastAsia="Times New Roman" w:hAnsi="Calibri" w:cs="Guttman Rashi"/>
          <w:noProof w:val="0"/>
          <w:sz w:val="10"/>
          <w:szCs w:val="12"/>
        </w:rPr>
        <w:instrText>Ref145322044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קס)</w:t>
      </w:r>
      <w:r>
        <w:rPr>
          <w:rFonts w:ascii="Calibri" w:eastAsia="Times New Roman" w:hAnsi="Calibri" w:cs="Guttman Rashi"/>
          <w:noProof w:val="0"/>
          <w:sz w:val="10"/>
          <w:szCs w:val="12"/>
          <w:rtl/>
        </w:rPr>
        <w:fldChar w:fldCharType="end"/>
      </w:r>
      <w:r>
        <w:rPr>
          <w:rtl/>
        </w:rPr>
        <w:t xml:space="preserve"> </w:t>
      </w:r>
      <w:r>
        <w:rPr>
          <w:rFonts w:hint="cs"/>
          <w:rtl/>
        </w:rPr>
        <w:t>דמתיר להדק ברפוי דבר שאין דרכו לתקוע.</w:t>
      </w:r>
    </w:p>
    <w:p w14:paraId="5BD66500" w14:textId="77777777" w:rsidR="000F6808" w:rsidRPr="00111645" w:rsidRDefault="000F6808" w:rsidP="000F6808">
      <w:pPr>
        <w:pStyle w:val="a2"/>
        <w:rPr>
          <w:rtl/>
        </w:rPr>
      </w:pPr>
      <w:r w:rsidRPr="00111645">
        <w:rPr>
          <w:rtl/>
        </w:rPr>
        <w:t>ומיהו לדעת תו' דברגילות לתקוע לא שרינן רפוי י"ל דהני בדרכן לתקוע, אבל אם אין דרכן לתקוע י"ל דמותר לטלטלן, וכן לדעת הטור דאם אין דרך לתקוע מותר להדק ברפיון, נראה דמותר לטלטל.</w:t>
      </w:r>
      <w:r>
        <w:rPr>
          <w:rtl/>
        </w:rPr>
        <w:t xml:space="preserve"> </w:t>
      </w:r>
    </w:p>
    <w:p w14:paraId="4AED9807" w14:textId="77777777" w:rsidR="000F6808" w:rsidRDefault="000F6808" w:rsidP="000F6808">
      <w:pPr>
        <w:pStyle w:val="1"/>
        <w:rPr>
          <w:rtl/>
        </w:rPr>
      </w:pPr>
      <w:bookmarkStart w:id="5908" w:name="_Toc145487069"/>
      <w:r>
        <w:rPr>
          <w:rFonts w:hint="cs"/>
          <w:rtl/>
        </w:rPr>
        <w:t>בי' המ"מ ברמב"ם דעושה כלי הוי בונה אף דאין בנין בכלים</w:t>
      </w:r>
      <w:bookmarkEnd w:id="5908"/>
    </w:p>
    <w:p w14:paraId="17EE1505" w14:textId="77777777" w:rsidR="000F6808" w:rsidRPr="00FC269C" w:rsidRDefault="000F6808" w:rsidP="000F6808">
      <w:pPr>
        <w:pStyle w:val="afffff7"/>
        <w:rPr>
          <w:rtl/>
        </w:rPr>
      </w:pPr>
      <w:bookmarkStart w:id="5909" w:name="_Toc145198416"/>
      <w:bookmarkStart w:id="5910" w:name="_Toc145500815"/>
      <w:bookmarkStart w:id="5911" w:name="_Toc163506355"/>
      <w:r w:rsidRPr="00FC269C">
        <w:rPr>
          <w:rtl/>
        </w:rPr>
        <w:t>רמב"ם שבת פ"י הי"ג</w:t>
      </w:r>
      <w:bookmarkEnd w:id="5909"/>
      <w:bookmarkEnd w:id="5910"/>
      <w:bookmarkEnd w:id="5911"/>
    </w:p>
    <w:p w14:paraId="23A91771" w14:textId="77777777" w:rsidR="000F6808" w:rsidRPr="00FC269C" w:rsidRDefault="000F6808" w:rsidP="000F6808">
      <w:pPr>
        <w:pStyle w:val="afffff7"/>
        <w:rPr>
          <w:rtl/>
        </w:rPr>
      </w:pPr>
      <w:bookmarkStart w:id="5912" w:name="_Toc145198417"/>
      <w:bookmarkStart w:id="5913" w:name="_Toc145500816"/>
      <w:bookmarkStart w:id="5914" w:name="_Toc163506356"/>
      <w:r w:rsidRPr="00FC269C">
        <w:rPr>
          <w:rtl/>
        </w:rPr>
        <w:t>מגיד משנה שבת פ"י הי"ג</w:t>
      </w:r>
      <w:bookmarkEnd w:id="5912"/>
      <w:bookmarkEnd w:id="5913"/>
      <w:bookmarkEnd w:id="5914"/>
    </w:p>
    <w:p w14:paraId="28F50D7D" w14:textId="77777777" w:rsidR="000F6808" w:rsidRPr="007B38EE" w:rsidRDefault="000F6808" w:rsidP="000F6808">
      <w:pPr>
        <w:pStyle w:val="a7"/>
      </w:pPr>
      <w:bookmarkStart w:id="5915" w:name="_Toc145019607"/>
      <w:bookmarkStart w:id="5916" w:name="_Toc145222946"/>
      <w:bookmarkStart w:id="5917" w:name="_Toc145487070"/>
      <w:r>
        <w:rPr>
          <w:rFonts w:hint="cs"/>
          <w:rtl/>
        </w:rPr>
        <w:t>בי' הרמב"ם דאוהל קבוע תולדה דבונה וכן העושה כלי אדמה ובי' המ"מ דעושה כלי מתחילתו</w:t>
      </w:r>
      <w:bookmarkEnd w:id="5915"/>
      <w:bookmarkEnd w:id="5916"/>
      <w:bookmarkEnd w:id="5917"/>
    </w:p>
    <w:p w14:paraId="5C133A2B" w14:textId="66335767" w:rsidR="000F6808" w:rsidRDefault="000F6808" w:rsidP="000F6808">
      <w:pPr>
        <w:pStyle w:val="a3"/>
      </w:pPr>
      <w:bookmarkStart w:id="5918" w:name="_Ref145433538"/>
      <w:r>
        <w:rPr>
          <w:rFonts w:hint="cs"/>
          <w:rtl/>
        </w:rPr>
        <w:t xml:space="preserve">ועוד כתב </w:t>
      </w:r>
      <w:r w:rsidRPr="001A2014">
        <w:rPr>
          <w:rStyle w:val="aff4"/>
          <w:rFonts w:hint="cs"/>
          <w:vanish/>
          <w:rtl/>
        </w:rPr>
        <w:t>-</w:t>
      </w:r>
      <w:r w:rsidRPr="001A2014">
        <w:rPr>
          <w:rStyle w:val="aff4"/>
          <w:rFonts w:hint="cs"/>
          <w:rtl/>
        </w:rPr>
        <w:t>ה</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Ref141956430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כה)</w:t>
      </w:r>
      <w:r w:rsidRPr="00FF7D8F">
        <w:rPr>
          <w:rStyle w:val="aff4"/>
          <w:vanish/>
          <w:rtl/>
        </w:rPr>
        <w:fldChar w:fldCharType="end"/>
      </w:r>
      <w:r w:rsidRPr="00FF7D8F">
        <w:rPr>
          <w:rStyle w:val="aff4"/>
          <w:rFonts w:hint="cs"/>
          <w:vanish/>
          <w:rtl/>
        </w:rPr>
        <w:t xml:space="preserve"> &gt;</w:t>
      </w:r>
      <w:r w:rsidRPr="001A2014">
        <w:rPr>
          <w:rStyle w:val="aff4"/>
          <w:rFonts w:hint="cs"/>
          <w:rtl/>
        </w:rPr>
        <w:t>רמב"ם</w:t>
      </w:r>
      <w:r w:rsidRPr="001A2014">
        <w:rPr>
          <w:rStyle w:val="aff4"/>
          <w:rFonts w:hint="cs"/>
          <w:vanish/>
          <w:rtl/>
        </w:rPr>
        <w:t>-</w:t>
      </w:r>
      <w:r>
        <w:rPr>
          <w:rFonts w:hint="cs"/>
          <w:rtl/>
        </w:rPr>
        <w:t xml:space="preserve"> </w:t>
      </w:r>
      <w:r w:rsidRPr="00DB1D3B">
        <w:rPr>
          <w:rStyle w:val="af2"/>
          <w:rFonts w:eastAsia="Guttman Hodes" w:hint="cs"/>
          <w:rtl/>
        </w:rPr>
        <w:t>(שבת פ"י הי"ג)</w:t>
      </w:r>
      <w:r w:rsidRPr="001A2014">
        <w:rPr>
          <w:rFonts w:hint="cs"/>
          <w:vanish/>
          <w:rtl/>
        </w:rPr>
        <w:t>=</w:t>
      </w:r>
      <w:r>
        <w:rPr>
          <w:rFonts w:hint="cs"/>
          <w:rtl/>
        </w:rPr>
        <w:t xml:space="preserve"> דהעושה כלי אדמה כתנור וחבית לפני ששרפם דהוא תולדת בונה, וכן מכניס יד לקרדום, והתוקע עץ </w:t>
      </w:r>
      <w:r>
        <w:rPr>
          <w:rFonts w:hint="cs"/>
          <w:rtl/>
        </w:rPr>
        <w:t xml:space="preserve">בעץ, בין ע"י מסמר, ובין בעץ עצמו כשנעשו כעץ אחד, דהוי תולדת בונה וחייב, וביאר </w:t>
      </w:r>
      <w:r w:rsidRPr="00EF4E3F">
        <w:rPr>
          <w:rStyle w:val="aff4"/>
          <w:rFonts w:hint="cs"/>
          <w:vanish/>
          <w:rtl/>
        </w:rPr>
        <w:t>-</w:t>
      </w:r>
      <w:r w:rsidRPr="00013089">
        <w:rPr>
          <w:rStyle w:val="aff4"/>
          <w:rFonts w:hint="cs"/>
          <w:rtl/>
        </w:rPr>
        <w:t>ה</w:t>
      </w:r>
      <w:r w:rsidRPr="00FF7D8F">
        <w:rPr>
          <w:rStyle w:val="aff4"/>
          <w:rFonts w:hint="cs"/>
          <w:vanish/>
          <w:rtl/>
        </w:rPr>
        <w:t>&lt; &gt;</w:t>
      </w:r>
      <w:r w:rsidRPr="00013089">
        <w:rPr>
          <w:rStyle w:val="aff4"/>
          <w:rFonts w:hint="cs"/>
          <w:rtl/>
        </w:rPr>
        <w:t>מ"מ</w:t>
      </w:r>
      <w:r w:rsidRPr="00EF4E3F">
        <w:rPr>
          <w:rStyle w:val="aff4"/>
          <w:rFonts w:hint="cs"/>
          <w:vanish/>
          <w:rtl/>
        </w:rPr>
        <w:t>-</w:t>
      </w:r>
      <w:r>
        <w:rPr>
          <w:rFonts w:hint="cs"/>
          <w:rtl/>
        </w:rPr>
        <w:t xml:space="preserve"> </w:t>
      </w:r>
      <w:r w:rsidRPr="00DB1D3B">
        <w:rPr>
          <w:rStyle w:val="af2"/>
          <w:rFonts w:eastAsia="Guttman Hodes" w:hint="cs"/>
          <w:rtl/>
        </w:rPr>
        <w:t>(שבת פ"י הי"ג)</w:t>
      </w:r>
      <w:r w:rsidRPr="00EF4E3F">
        <w:rPr>
          <w:rFonts w:hint="cs"/>
          <w:vanish/>
          <w:rtl/>
        </w:rPr>
        <w:t>=</w:t>
      </w:r>
      <w:r>
        <w:rPr>
          <w:rFonts w:hint="cs"/>
          <w:rtl/>
        </w:rPr>
        <w:t xml:space="preserve"> דמקור דברי </w:t>
      </w:r>
      <w:r w:rsidRPr="00D56DF6">
        <w:rPr>
          <w:rStyle w:val="aff4"/>
          <w:rFonts w:hint="cs"/>
          <w:vanish/>
          <w:rtl/>
        </w:rPr>
        <w:t>-</w:t>
      </w:r>
      <w:r w:rsidRPr="00C56FA9">
        <w:rPr>
          <w:rStyle w:val="aff4"/>
          <w:rFonts w:hint="cs"/>
          <w:rtl/>
        </w:rPr>
        <w:t>הרמב"ם</w:t>
      </w:r>
      <w:r w:rsidRPr="00D56DF6">
        <w:rPr>
          <w:rStyle w:val="aff4"/>
          <w:rFonts w:hint="cs"/>
          <w:vanish/>
          <w:rtl/>
        </w:rPr>
        <w:t>-</w:t>
      </w:r>
      <w:r>
        <w:rPr>
          <w:rFonts w:hint="cs"/>
          <w:rtl/>
        </w:rPr>
        <w:t xml:space="preserve"> הוא מדינא דחביתא בגמ' לעיל </w:t>
      </w:r>
      <w:r w:rsidRPr="00DB1D3B">
        <w:rPr>
          <w:rStyle w:val="af2"/>
          <w:rFonts w:eastAsia="Guttman Hodes" w:hint="cs"/>
          <w:rtl/>
        </w:rPr>
        <w:t>(עד:)</w:t>
      </w:r>
      <w:r>
        <w:rPr>
          <w:rFonts w:hint="cs"/>
          <w:rtl/>
        </w:rPr>
        <w:t>, והא דאמרינן דאין בנין בכלים הוא רק בכלים שהתפרקו ומחזירם, כדכתב</w:t>
      </w:r>
      <w:r>
        <w:rPr>
          <w:rtl/>
        </w:rPr>
        <w:t xml:space="preserve"> </w:t>
      </w:r>
      <w:r>
        <w:rPr>
          <w:rFonts w:hint="cs"/>
          <w:b/>
          <w:bCs/>
          <w:rtl/>
        </w:rPr>
        <w:t>הרמב"ם</w:t>
      </w:r>
      <w:r>
        <w:rPr>
          <w:rtl/>
        </w:rPr>
        <w:t xml:space="preserve"> </w:t>
      </w:r>
      <w:r w:rsidRPr="00832852">
        <w:rPr>
          <w:rFonts w:ascii="Calibri" w:eastAsia="Times New Roman" w:hAnsi="Calibri" w:cs="Guttman Rashi"/>
          <w:noProof w:val="0"/>
          <w:sz w:val="10"/>
          <w:szCs w:val="12"/>
          <w:rtl/>
        </w:rPr>
        <w:t xml:space="preserve">(עי' 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Pr>
        <w:instrText>REF</w:instrText>
      </w:r>
      <w:r>
        <w:rPr>
          <w:rFonts w:ascii="Calibri" w:eastAsia="Times New Roman" w:hAnsi="Calibri" w:cs="Guttman Rashi"/>
          <w:noProof w:val="0"/>
          <w:sz w:val="10"/>
          <w:szCs w:val="12"/>
          <w:rtl/>
        </w:rPr>
        <w:instrText xml:space="preserve"> _</w:instrText>
      </w:r>
      <w:r>
        <w:rPr>
          <w:rFonts w:ascii="Calibri" w:eastAsia="Times New Roman" w:hAnsi="Calibri" w:cs="Guttman Rashi"/>
          <w:noProof w:val="0"/>
          <w:sz w:val="10"/>
          <w:szCs w:val="12"/>
        </w:rPr>
        <w:instrText>Ref144458829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ק)</w:t>
      </w:r>
      <w:r>
        <w:rPr>
          <w:rFonts w:ascii="Calibri" w:eastAsia="Times New Roman" w:hAnsi="Calibri" w:cs="Guttman Rashi"/>
          <w:noProof w:val="0"/>
          <w:sz w:val="10"/>
          <w:szCs w:val="12"/>
          <w:rtl/>
        </w:rPr>
        <w:fldChar w:fldCharType="end"/>
      </w:r>
      <w:r>
        <w:rPr>
          <w:rFonts w:hint="cs"/>
          <w:rtl/>
        </w:rPr>
        <w:t xml:space="preserve"> אבל העושה כלי מתחילתו אין לך בנין גדול מזה, ולא נקרא בנין בכלים אלא עושה כלי. </w:t>
      </w:r>
      <w:r w:rsidRPr="001209B5">
        <w:rPr>
          <w:rStyle w:val="af"/>
          <w:rFonts w:hint="cs"/>
          <w:rtl/>
        </w:rPr>
        <w:t xml:space="preserve">[ועי' במה שביאר </w:t>
      </w:r>
      <w:bookmarkEnd w:id="5918"/>
      <w:r w:rsidRPr="001209B5">
        <w:rPr>
          <w:rStyle w:val="aff9"/>
          <w:vanish/>
          <w:rtl/>
        </w:rPr>
        <w:t>-</w:t>
      </w:r>
      <w:r w:rsidRPr="001209B5">
        <w:rPr>
          <w:rStyle w:val="aff9"/>
          <w:rtl/>
        </w:rPr>
        <w:t>ה</w:t>
      </w:r>
      <w:r w:rsidRPr="001209B5">
        <w:rPr>
          <w:rStyle w:val="aff9"/>
          <w:rFonts w:hint="cs"/>
          <w:vanish/>
          <w:rtl/>
        </w:rPr>
        <w:t>&lt; &gt;</w:t>
      </w:r>
      <w:r w:rsidRPr="001209B5">
        <w:rPr>
          <w:rStyle w:val="aff9"/>
          <w:rtl/>
        </w:rPr>
        <w:t>אבן האזל</w:t>
      </w:r>
      <w:r w:rsidRPr="001209B5">
        <w:rPr>
          <w:rStyle w:val="aff9"/>
          <w:vanish/>
          <w:rtl/>
        </w:rPr>
        <w:t>-</w:t>
      </w:r>
      <w:r w:rsidRPr="001209B5">
        <w:rPr>
          <w:rStyle w:val="af"/>
          <w:rtl/>
        </w:rPr>
        <w:t xml:space="preserve"> </w:t>
      </w:r>
      <w:r w:rsidRPr="001209B5">
        <w:rPr>
          <w:rStyle w:val="aff0"/>
          <w:rtl/>
        </w:rPr>
        <w:t xml:space="preserve">(שבת פ"י הי"ז ד"ה </w:t>
      </w:r>
      <w:r w:rsidRPr="001209B5">
        <w:rPr>
          <w:rStyle w:val="aff0"/>
          <w:rFonts w:hint="cs"/>
          <w:rtl/>
        </w:rPr>
        <w:t xml:space="preserve">ועכשיו, הובא בסימן </w:t>
      </w:r>
      <w:r>
        <w:rPr>
          <w:rStyle w:val="aff0"/>
          <w:rFonts w:hint="cs"/>
          <w:rtl/>
        </w:rPr>
        <w:t>י"א</w:t>
      </w:r>
      <w:r w:rsidRPr="001209B5">
        <w:rPr>
          <w:rStyle w:val="aff0"/>
          <w:rFonts w:hint="cs"/>
          <w:rtl/>
        </w:rPr>
        <w:t xml:space="preserve"> אות ע"ד</w:t>
      </w:r>
      <w:r w:rsidRPr="001209B5">
        <w:rPr>
          <w:rStyle w:val="aff0"/>
          <w:rtl/>
        </w:rPr>
        <w:t>)</w:t>
      </w:r>
      <w:r w:rsidRPr="001209B5">
        <w:rPr>
          <w:rStyle w:val="af"/>
          <w:vanish/>
          <w:rtl/>
        </w:rPr>
        <w:t>=</w:t>
      </w:r>
      <w:r w:rsidRPr="001209B5">
        <w:rPr>
          <w:rStyle w:val="af"/>
          <w:rFonts w:hint="cs"/>
          <w:rtl/>
        </w:rPr>
        <w:t xml:space="preserve"> דהא דאין בנין בכלים, היינו רק לענין החלק במלאכת בונה דעשיית אוהל, דחלק זה שייך רק ע"ג קרקע, אבל החלק של קיבוץ חלקים שחייב עליו אף במגבן, פשיטא דחייב אף בכלים,עיי"ש במה שהאריך בזה].</w:t>
      </w:r>
    </w:p>
    <w:p w14:paraId="68AB6194" w14:textId="77777777" w:rsidR="000F6808" w:rsidRPr="0088513D" w:rsidRDefault="000F6808" w:rsidP="000F6808">
      <w:pPr>
        <w:pStyle w:val="afffffe"/>
        <w:rPr>
          <w:vanish/>
          <w:rtl/>
        </w:rPr>
      </w:pPr>
      <w:r w:rsidRPr="0088513D">
        <w:rPr>
          <w:vanish/>
          <w:rtl/>
        </w:rPr>
        <w:t>רמב"ם שבת פ"י הי"ג</w:t>
      </w:r>
    </w:p>
    <w:p w14:paraId="11CB626E" w14:textId="77777777" w:rsidR="000F6808" w:rsidRPr="00111645" w:rsidRDefault="000F6808" w:rsidP="000F6808">
      <w:pPr>
        <w:pStyle w:val="a2"/>
        <w:rPr>
          <w:rtl/>
        </w:rPr>
      </w:pPr>
      <w:r w:rsidRPr="00111645">
        <w:rPr>
          <w:rtl/>
        </w:rPr>
        <w:t>העושה אהל קבוע הרי זה תולדת בונה וחייב, וכן העושה כלי אדמה כגון תנור וחבית קודם שישרפו הרי זה תולדת בונה וחייב, וכן המגבן את הגבינה הרי זה תולדת בונה, ואינו חייב עד שיגבן כגרוגרת, המכניס יד הקרדום בתוך העין שלו הרי זה תולדת בונה וכן כל כיוצא בו, וכן התוקע עץ בעץ בין שתקע במסמר בין שתקע בעץ עצמו עד שנתאחד הרי זה תולדת בונה וחייב.</w:t>
      </w:r>
    </w:p>
    <w:p w14:paraId="428BCC82" w14:textId="77777777" w:rsidR="000F6808" w:rsidRPr="0088513D" w:rsidRDefault="000F6808" w:rsidP="000F6808">
      <w:pPr>
        <w:pStyle w:val="afffffe"/>
        <w:rPr>
          <w:vanish/>
          <w:rtl/>
        </w:rPr>
      </w:pPr>
      <w:r w:rsidRPr="0088513D">
        <w:rPr>
          <w:vanish/>
          <w:rtl/>
        </w:rPr>
        <w:t>מגיד משנה שבת פ"י הי"ג</w:t>
      </w:r>
    </w:p>
    <w:p w14:paraId="08317A10" w14:textId="77777777" w:rsidR="000F6808" w:rsidRPr="00111645" w:rsidRDefault="000F6808" w:rsidP="000F6808">
      <w:pPr>
        <w:pStyle w:val="afffff5"/>
        <w:rPr>
          <w:rtl/>
        </w:rPr>
      </w:pPr>
      <w:r w:rsidRPr="00111645">
        <w:rPr>
          <w:rtl/>
        </w:rPr>
        <w:t>וכן העושה וכו'. פ' כלל גדול (שם ע"ד:) אמר אביי האי מאן דעביד חביתא חייב ז' חטאות תנורא חייב ח' חטאות ואחד מהם הוא בונה. וכן פירשו הגאונים ז"ל וכן הוא בירושלמי. והענין שאע"פ שאמרו אין בנין בכלים זהו בכלים שנתפרקו להחזירן כמו שנתבאר פרק כ"ב. אבל העושה כלי מתחלתו אין לך בנין גדול מזה ואין נקרא זה בנין בכלים שהרי אינו כלי אלא עושה כלי. והשמועות מוכיחות כן כמ"ש הגאונים ז"ל ועיקר:</w:t>
      </w:r>
    </w:p>
    <w:p w14:paraId="6D245B53" w14:textId="77777777" w:rsidR="000F6808" w:rsidRPr="00FC269C" w:rsidRDefault="000F6808" w:rsidP="000F6808">
      <w:pPr>
        <w:pStyle w:val="afffff7"/>
        <w:rPr>
          <w:rtl/>
        </w:rPr>
      </w:pPr>
      <w:bookmarkStart w:id="5919" w:name="_Toc145500817"/>
      <w:bookmarkStart w:id="5920" w:name="_Toc145198418"/>
      <w:bookmarkStart w:id="5921" w:name="_Toc163506357"/>
      <w:r w:rsidRPr="00FC269C">
        <w:rPr>
          <w:rtl/>
        </w:rPr>
        <w:t>תוספות שבת ק"ב ע"ב</w:t>
      </w:r>
      <w:r w:rsidRPr="00FC269C">
        <w:rPr>
          <w:rFonts w:hint="cs"/>
          <w:rtl/>
        </w:rPr>
        <w:t xml:space="preserve"> ד"ה האי</w:t>
      </w:r>
      <w:bookmarkEnd w:id="5919"/>
      <w:bookmarkEnd w:id="5921"/>
    </w:p>
    <w:p w14:paraId="26D0831A" w14:textId="77777777" w:rsidR="000F6808" w:rsidRPr="00FC269C" w:rsidRDefault="000F6808" w:rsidP="000F6808">
      <w:pPr>
        <w:pStyle w:val="afffff7"/>
        <w:rPr>
          <w:rtl/>
        </w:rPr>
      </w:pPr>
      <w:bookmarkStart w:id="5922" w:name="_Toc145500818"/>
      <w:bookmarkStart w:id="5923" w:name="_Toc163506358"/>
      <w:r w:rsidRPr="00FC269C">
        <w:rPr>
          <w:rtl/>
        </w:rPr>
        <w:t>תוספות הרא"ש שבת ק"ב ע"ב</w:t>
      </w:r>
      <w:r w:rsidRPr="00FC269C">
        <w:rPr>
          <w:rFonts w:hint="cs"/>
          <w:rtl/>
        </w:rPr>
        <w:t xml:space="preserve"> ד"ה עייל</w:t>
      </w:r>
      <w:bookmarkEnd w:id="5922"/>
      <w:bookmarkEnd w:id="5923"/>
    </w:p>
    <w:p w14:paraId="28425157" w14:textId="77777777" w:rsidR="000F6808" w:rsidRDefault="000F6808" w:rsidP="000F6808">
      <w:pPr>
        <w:pStyle w:val="a7"/>
        <w:rPr>
          <w:rtl/>
        </w:rPr>
      </w:pPr>
      <w:bookmarkStart w:id="5924" w:name="_Toc145487071"/>
      <w:r>
        <w:rPr>
          <w:rFonts w:hint="cs"/>
          <w:rtl/>
        </w:rPr>
        <w:t>בי' התוס' דרק במחזיר חוליות שאינו חיזוק ואומנות אין בנין בכלים אבל בונה כלי גמור הוי בונה</w:t>
      </w:r>
      <w:bookmarkEnd w:id="5924"/>
    </w:p>
    <w:p w14:paraId="133748BB" w14:textId="42675B9B" w:rsidR="000F6808" w:rsidRPr="007A2B0F" w:rsidRDefault="000F6808" w:rsidP="000F6808">
      <w:pPr>
        <w:pStyle w:val="a3"/>
        <w:rPr>
          <w:rStyle w:val="af"/>
        </w:rPr>
      </w:pPr>
      <w:bookmarkStart w:id="5925" w:name="_Ref145487289"/>
      <w:bookmarkStart w:id="5926" w:name="_Ref145461815"/>
      <w:r>
        <w:rPr>
          <w:rFonts w:hint="cs"/>
          <w:rtl/>
        </w:rPr>
        <w:t xml:space="preserve">וכן דעת </w:t>
      </w:r>
      <w:r w:rsidRPr="00AE5E08">
        <w:rPr>
          <w:rStyle w:val="aff4"/>
          <w:rFonts w:hint="cs"/>
          <w:vanish/>
          <w:rtl/>
        </w:rPr>
        <w:t xml:space="preserve">&lt;, </w:t>
      </w:r>
      <w:r w:rsidRPr="00AE5E08">
        <w:rPr>
          <w:rStyle w:val="aff4"/>
          <w:vanish/>
          <w:rtl/>
        </w:rPr>
        <w:fldChar w:fldCharType="begin"/>
      </w:r>
      <w:r w:rsidRPr="00AE5E08">
        <w:rPr>
          <w:rStyle w:val="aff4"/>
          <w:vanish/>
          <w:rtl/>
        </w:rPr>
        <w:instrText xml:space="preserve"> </w:instrText>
      </w:r>
      <w:r w:rsidRPr="00AE5E08">
        <w:rPr>
          <w:rStyle w:val="aff4"/>
          <w:rFonts w:hint="cs"/>
          <w:vanish/>
        </w:rPr>
        <w:instrText>REF</w:instrText>
      </w:r>
      <w:r w:rsidRPr="00AE5E08">
        <w:rPr>
          <w:rStyle w:val="aff4"/>
          <w:rFonts w:hint="cs"/>
          <w:vanish/>
          <w:rtl/>
        </w:rPr>
        <w:instrText xml:space="preserve"> _</w:instrText>
      </w:r>
      <w:r w:rsidRPr="00AE5E08">
        <w:rPr>
          <w:rStyle w:val="aff4"/>
          <w:rFonts w:hint="cs"/>
          <w:vanish/>
        </w:rPr>
        <w:instrText>Ref143771934 \r \h</w:instrText>
      </w:r>
      <w:r w:rsidRPr="00AE5E08">
        <w:rPr>
          <w:rStyle w:val="aff4"/>
          <w:vanish/>
          <w:rtl/>
        </w:rPr>
        <w:instrText xml:space="preserve"> </w:instrText>
      </w:r>
      <w:r w:rsidRPr="00AE5E08">
        <w:rPr>
          <w:rStyle w:val="aff4"/>
          <w:vanish/>
          <w:rtl/>
        </w:rPr>
      </w:r>
      <w:r w:rsidRPr="00AE5E08">
        <w:rPr>
          <w:rStyle w:val="aff4"/>
          <w:vanish/>
          <w:rtl/>
        </w:rPr>
        <w:fldChar w:fldCharType="separate"/>
      </w:r>
      <w:r w:rsidR="00D82181">
        <w:rPr>
          <w:rStyle w:val="aff4"/>
          <w:vanish/>
          <w:cs/>
        </w:rPr>
        <w:t>‎</w:t>
      </w:r>
      <w:r w:rsidR="00D82181">
        <w:rPr>
          <w:rStyle w:val="aff4"/>
          <w:vanish/>
          <w:rtl/>
        </w:rPr>
        <w:t>כ)</w:t>
      </w:r>
      <w:r w:rsidRPr="00AE5E08">
        <w:rPr>
          <w:rStyle w:val="aff4"/>
          <w:vanish/>
          <w:rtl/>
        </w:rPr>
        <w:fldChar w:fldCharType="end"/>
      </w:r>
      <w:r w:rsidRPr="00AE5E08">
        <w:rPr>
          <w:rStyle w:val="aff4"/>
          <w:rFonts w:hint="cs"/>
          <w:vanish/>
          <w:rtl/>
        </w:rPr>
        <w:t xml:space="preserve"> &gt;-</w:t>
      </w:r>
      <w:r>
        <w:rPr>
          <w:rStyle w:val="aff4"/>
          <w:rFonts w:hint="cs"/>
          <w:rtl/>
        </w:rPr>
        <w:t>ר"י ב</w:t>
      </w:r>
      <w:r w:rsidRPr="00013089">
        <w:rPr>
          <w:rStyle w:val="aff4"/>
          <w:rFonts w:hint="cs"/>
          <w:rtl/>
        </w:rPr>
        <w:t>תוס'</w:t>
      </w:r>
      <w:r w:rsidRPr="00AE5E08">
        <w:rPr>
          <w:rStyle w:val="aff4"/>
          <w:rFonts w:hint="cs"/>
          <w:vanish/>
          <w:rtl/>
        </w:rPr>
        <w:t>-</w:t>
      </w:r>
      <w:r>
        <w:rPr>
          <w:rFonts w:hint="cs"/>
          <w:rtl/>
        </w:rPr>
        <w:t xml:space="preserve"> </w:t>
      </w:r>
      <w:r w:rsidRPr="00AE5E08">
        <w:rPr>
          <w:rStyle w:val="af2"/>
          <w:rFonts w:eastAsia="Guttman Hodes" w:hint="cs"/>
          <w:rtl/>
        </w:rPr>
        <w:t>(ד"ה האי</w:t>
      </w:r>
      <w:r>
        <w:rPr>
          <w:rStyle w:val="af2"/>
          <w:rFonts w:eastAsia="Guttman Hodes" w:hint="cs"/>
          <w:rtl/>
        </w:rPr>
        <w:t>, הובא בסימן י</w:t>
      </w:r>
      <w:r>
        <w:rPr>
          <w:rStyle w:val="af2"/>
          <w:rFonts w:eastAsia="Guttman Hodes"/>
          <w:rtl/>
        </w:rPr>
        <w:t>"</w:t>
      </w:r>
      <w:r>
        <w:rPr>
          <w:rStyle w:val="af2"/>
          <w:rFonts w:eastAsia="Guttman Hodes" w:hint="cs"/>
          <w:rtl/>
        </w:rPr>
        <w:t>ג אות כ')</w:t>
      </w:r>
      <w:r w:rsidRPr="00AE5E08">
        <w:rPr>
          <w:rFonts w:hint="cs"/>
          <w:vanish/>
          <w:rtl/>
        </w:rPr>
        <w:t>=</w:t>
      </w:r>
      <w:r>
        <w:rPr>
          <w:rFonts w:hint="cs"/>
          <w:rtl/>
        </w:rPr>
        <w:t xml:space="preserve"> דהא דקיי"ל דאין בנין בכלים, היינו דהמחזיר בתי תריסין או מנורה של חוליות, אבל בבנין גמור אין חילוק בין קרקע לכלים, כמבואר בגמ' לעיל </w:t>
      </w:r>
      <w:r w:rsidRPr="00AE5E08">
        <w:rPr>
          <w:rStyle w:val="af2"/>
          <w:rFonts w:eastAsia="Guttman Hodes" w:hint="cs"/>
          <w:rtl/>
        </w:rPr>
        <w:t>(מז.)</w:t>
      </w:r>
      <w:r>
        <w:rPr>
          <w:rFonts w:hint="cs"/>
          <w:rtl/>
        </w:rPr>
        <w:t xml:space="preserve"> דהתוקע מיטה של טרסיים והמחזיר קני מנורה וכן בקרן עגולה חייב, ורק במקום שאין בו חיזוק ואומנות אמרינן דרק בקרקע יש בנין ולא </w:t>
      </w:r>
      <w:r w:rsidRPr="00876130">
        <w:rPr>
          <w:rFonts w:hint="cs"/>
          <w:rtl/>
        </w:rPr>
        <w:t>בכלים</w:t>
      </w:r>
      <w:r>
        <w:rPr>
          <w:rFonts w:hint="cs"/>
          <w:rtl/>
        </w:rPr>
        <w:t>.</w:t>
      </w:r>
      <w:r w:rsidRPr="003C0B6E">
        <w:rPr>
          <w:rStyle w:val="af"/>
          <w:rFonts w:hint="cs"/>
          <w:rtl/>
        </w:rPr>
        <w:t xml:space="preserve"> </w:t>
      </w:r>
      <w:r w:rsidRPr="007A2B0F">
        <w:rPr>
          <w:rStyle w:val="af"/>
          <w:rFonts w:hint="cs"/>
          <w:rtl/>
        </w:rPr>
        <w:t xml:space="preserve">[ועי' במה שביארו </w:t>
      </w:r>
      <w:r w:rsidRPr="007A2B0F">
        <w:rPr>
          <w:rStyle w:val="aff9"/>
          <w:rFonts w:hint="cs"/>
          <w:rtl/>
        </w:rPr>
        <w:t>האחרונים</w:t>
      </w:r>
      <w:r w:rsidRPr="007A2B0F">
        <w:rPr>
          <w:rStyle w:val="af"/>
          <w:rFonts w:hint="cs"/>
          <w:rtl/>
        </w:rPr>
        <w:t xml:space="preserve"> </w:t>
      </w:r>
      <w:r w:rsidRPr="007A2B0F">
        <w:rPr>
          <w:rStyle w:val="aff0"/>
          <w:rFonts w:hint="cs"/>
          <w:rtl/>
        </w:rPr>
        <w:t>(הובאו בסימן א' אות ל"א)</w:t>
      </w:r>
      <w:r w:rsidRPr="007A2B0F">
        <w:rPr>
          <w:rStyle w:val="af"/>
          <w:rFonts w:hint="cs"/>
          <w:rtl/>
        </w:rPr>
        <w:t xml:space="preserve"> בדברי </w:t>
      </w:r>
      <w:r w:rsidRPr="007A2B0F">
        <w:rPr>
          <w:rStyle w:val="aff9"/>
          <w:rFonts w:hint="cs"/>
          <w:rtl/>
        </w:rPr>
        <w:t>התוס'</w:t>
      </w:r>
      <w:r w:rsidRPr="007A2B0F">
        <w:rPr>
          <w:rStyle w:val="af"/>
          <w:rFonts w:hint="cs"/>
          <w:rtl/>
        </w:rPr>
        <w:t>].</w:t>
      </w:r>
      <w:bookmarkEnd w:id="5925"/>
    </w:p>
    <w:p w14:paraId="4AEDE468" w14:textId="77777777" w:rsidR="000F6808" w:rsidRDefault="000F6808" w:rsidP="000F6808">
      <w:pPr>
        <w:pStyle w:val="afffff7"/>
        <w:rPr>
          <w:rtl/>
        </w:rPr>
      </w:pPr>
      <w:bookmarkStart w:id="5927" w:name="_Toc145500819"/>
      <w:bookmarkStart w:id="5928" w:name="_Toc163506359"/>
      <w:r w:rsidRPr="00066B86">
        <w:rPr>
          <w:rtl/>
        </w:rPr>
        <w:t>תוספות שבת ק"ב ע"ב</w:t>
      </w:r>
      <w:r w:rsidRPr="00066B86">
        <w:rPr>
          <w:rFonts w:hint="cs"/>
          <w:rtl/>
        </w:rPr>
        <w:t xml:space="preserve"> ד"ה האי</w:t>
      </w:r>
      <w:bookmarkEnd w:id="5926"/>
      <w:bookmarkEnd w:id="5927"/>
      <w:bookmarkEnd w:id="5928"/>
    </w:p>
    <w:p w14:paraId="236045A5" w14:textId="77777777" w:rsidR="000F6808" w:rsidRPr="009909A9" w:rsidRDefault="000F6808" w:rsidP="000F6808">
      <w:pPr>
        <w:pStyle w:val="a2"/>
        <w:tabs>
          <w:tab w:val="num" w:pos="284"/>
        </w:tabs>
        <w:rPr>
          <w:rtl/>
        </w:rPr>
      </w:pPr>
      <w:r w:rsidRPr="0018388A">
        <w:rPr>
          <w:rtl/>
        </w:rPr>
        <w:t>האי מאן דעייל שופתא בקופינא רב אמר חייב משום בונה - ואף על גב דקי"ל אין בנין בכלים אור"י דהיינו דווקא בהחזרת בתי תריסין או במנורה של חוליות אבל בנין גמור מיחייב בכלים כמו בקרקע כדאמרי' בס"פ כירה (לעיל דף מז.) גבי מטה של טרסיים אם תקע חייב חטאת ומחזיר קני מנורה חייב חטאת וקרן עגולה ואין חילוק בין כלים לקרקע אלא במקום שאין חיזוק ואומנות דבכלי לא חשיב בנין ובקרקע חשיב בנין</w:t>
      </w:r>
      <w:r>
        <w:rPr>
          <w:rFonts w:hint="cs"/>
          <w:rtl/>
        </w:rPr>
        <w:t>.</w:t>
      </w:r>
    </w:p>
    <w:p w14:paraId="3F5C98F1" w14:textId="77777777" w:rsidR="000F6808" w:rsidRPr="00F05D34" w:rsidRDefault="000F6808" w:rsidP="000F6808">
      <w:pPr>
        <w:keepNext/>
        <w:keepLines/>
        <w:spacing w:after="0" w:line="240" w:lineRule="auto"/>
        <w:ind w:left="-284"/>
        <w:jc w:val="both"/>
        <w:outlineLvl w:val="1"/>
        <w:rPr>
          <w:rFonts w:ascii="FrankRuehl" w:eastAsia="Guttman Hodes" w:hAnsi="FrankRuehl" w:cs="Guttman Rashi"/>
          <w:bCs/>
          <w:noProof/>
          <w:sz w:val="16"/>
          <w:szCs w:val="16"/>
        </w:rPr>
      </w:pPr>
      <w:r w:rsidRPr="00F05D34">
        <w:rPr>
          <w:rFonts w:ascii="FrankRuehl" w:eastAsia="Guttman Hodes" w:hAnsi="FrankRuehl" w:cs="Guttman Rashi" w:hint="cs"/>
          <w:bCs/>
          <w:noProof/>
          <w:sz w:val="16"/>
          <w:szCs w:val="16"/>
          <w:rtl/>
        </w:rPr>
        <w:t>חדושי הרמב"ן שבת ק"ב ע"ב ד"ה רב</w:t>
      </w:r>
    </w:p>
    <w:p w14:paraId="5E6432C3" w14:textId="77777777" w:rsidR="000F6808" w:rsidRPr="00F05D34" w:rsidRDefault="000F6808" w:rsidP="000F6808">
      <w:pPr>
        <w:pStyle w:val="a7"/>
        <w:rPr>
          <w:rtl/>
        </w:rPr>
      </w:pPr>
      <w:bookmarkStart w:id="5929" w:name="_Toc145487072"/>
      <w:r>
        <w:rPr>
          <w:rFonts w:hint="cs"/>
          <w:rtl/>
        </w:rPr>
        <w:t>בי' הרמב"ן דכלי מפורק שצריך אומן להחזירו כמנורה דחוליות וציר מן הצד אינו כלי והוי בונה</w:t>
      </w:r>
      <w:bookmarkEnd w:id="5929"/>
      <w:r>
        <w:rPr>
          <w:rFonts w:hint="cs"/>
          <w:rtl/>
        </w:rPr>
        <w:t xml:space="preserve"> </w:t>
      </w:r>
    </w:p>
    <w:p w14:paraId="44FC3B2E" w14:textId="27F140B0" w:rsidR="000F6808" w:rsidRPr="00F05D34" w:rsidRDefault="000F6808" w:rsidP="000F6808">
      <w:pPr>
        <w:pStyle w:val="a3"/>
        <w:rPr>
          <w:rtl/>
        </w:rPr>
      </w:pPr>
      <w:bookmarkStart w:id="5930" w:name="_Ref145433571"/>
      <w:bookmarkStart w:id="5931" w:name="_Ref145463348"/>
      <w:r>
        <w:rPr>
          <w:rFonts w:hint="cs"/>
          <w:rtl/>
        </w:rPr>
        <w:t>וכ"כ</w:t>
      </w:r>
      <w:r w:rsidRPr="00F05D34">
        <w:rPr>
          <w:rFonts w:hint="cs"/>
          <w:b/>
          <w:bCs/>
          <w:rtl/>
        </w:rPr>
        <w:t xml:space="preserve"> ה</w:t>
      </w:r>
      <w:r>
        <w:rPr>
          <w:rFonts w:hint="cs"/>
          <w:b/>
          <w:bCs/>
          <w:vanish/>
          <w:rtl/>
        </w:rPr>
        <w:t xml:space="preserve">&lt;, </w:t>
      </w:r>
      <w:r>
        <w:rPr>
          <w:b/>
          <w:bCs/>
          <w:vanish/>
          <w:rtl/>
        </w:rPr>
        <w:fldChar w:fldCharType="begin"/>
      </w:r>
      <w:r>
        <w:rPr>
          <w:b/>
          <w:bCs/>
          <w:vanish/>
          <w:rtl/>
        </w:rPr>
        <w:instrText xml:space="preserve"> </w:instrText>
      </w:r>
      <w:r>
        <w:rPr>
          <w:rFonts w:hint="cs"/>
          <w:b/>
          <w:bCs/>
          <w:vanish/>
        </w:rPr>
        <w:instrText>REF</w:instrText>
      </w:r>
      <w:r>
        <w:rPr>
          <w:rFonts w:hint="cs"/>
          <w:b/>
          <w:bCs/>
          <w:vanish/>
          <w:rtl/>
        </w:rPr>
        <w:instrText xml:space="preserve"> _</w:instrText>
      </w:r>
      <w:r>
        <w:rPr>
          <w:rFonts w:hint="cs"/>
          <w:b/>
          <w:bCs/>
          <w:vanish/>
        </w:rPr>
        <w:instrText>Ref145433571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קח)</w:t>
      </w:r>
      <w:r>
        <w:rPr>
          <w:b/>
          <w:bCs/>
          <w:vanish/>
          <w:rtl/>
        </w:rPr>
        <w:fldChar w:fldCharType="end"/>
      </w:r>
      <w:r>
        <w:rPr>
          <w:rFonts w:hint="cs"/>
          <w:b/>
          <w:bCs/>
          <w:vanish/>
          <w:rtl/>
        </w:rPr>
        <w:t xml:space="preserve"> &gt;</w:t>
      </w:r>
      <w:r w:rsidRPr="00F05D34">
        <w:rPr>
          <w:rFonts w:hint="cs"/>
          <w:b/>
          <w:bCs/>
          <w:vanish/>
          <w:rtl/>
        </w:rPr>
        <w:t xml:space="preserve"> </w:t>
      </w:r>
      <w:r w:rsidRPr="00F05D34">
        <w:rPr>
          <w:rFonts w:hint="cs"/>
          <w:b/>
          <w:bCs/>
          <w:rtl/>
        </w:rPr>
        <w:t>רמב"ן</w:t>
      </w:r>
      <w:r>
        <w:rPr>
          <w:rFonts w:hint="cs"/>
          <w:b/>
          <w:bCs/>
          <w:rtl/>
        </w:rPr>
        <w:t xml:space="preserve"> בסוגיין</w:t>
      </w:r>
      <w:r w:rsidRPr="00F05D34">
        <w:rPr>
          <w:rFonts w:hint="cs"/>
          <w:b/>
          <w:bCs/>
          <w:rtl/>
        </w:rPr>
        <w:t xml:space="preserve"> </w:t>
      </w:r>
      <w:r w:rsidRPr="00C962CD">
        <w:rPr>
          <w:rStyle w:val="af2"/>
          <w:rFonts w:eastAsia="Guttman Hodes" w:hint="cs"/>
          <w:rtl/>
        </w:rPr>
        <w:t>(ד"</w:t>
      </w:r>
      <w:r w:rsidRPr="009430C8">
        <w:rPr>
          <w:rStyle w:val="af2"/>
          <w:rFonts w:eastAsia="Guttman Hodes" w:hint="cs"/>
          <w:rtl/>
        </w:rPr>
        <w:t xml:space="preserve">ה רב, </w:t>
      </w:r>
      <w:r>
        <w:rPr>
          <w:rStyle w:val="af2"/>
          <w:rFonts w:eastAsia="Guttman Hodes" w:hint="cs"/>
          <w:rtl/>
        </w:rPr>
        <w:t>הובא בסימן י</w:t>
      </w:r>
      <w:r>
        <w:rPr>
          <w:rStyle w:val="af2"/>
          <w:rFonts w:eastAsia="Guttman Hodes"/>
          <w:rtl/>
        </w:rPr>
        <w:t>"</w:t>
      </w:r>
      <w:r>
        <w:rPr>
          <w:rStyle w:val="af2"/>
          <w:rFonts w:eastAsia="Guttman Hodes" w:hint="cs"/>
          <w:rtl/>
        </w:rPr>
        <w:t>ג</w:t>
      </w:r>
      <w:r w:rsidRPr="009430C8">
        <w:rPr>
          <w:rStyle w:val="af2"/>
          <w:rFonts w:eastAsia="Guttman Hodes" w:hint="cs"/>
          <w:rtl/>
        </w:rPr>
        <w:t xml:space="preserve"> אות ל"ו)</w:t>
      </w:r>
      <w:r w:rsidRPr="00F05D34">
        <w:rPr>
          <w:rFonts w:hint="cs"/>
          <w:vanish/>
          <w:rtl/>
        </w:rPr>
        <w:t>=</w:t>
      </w:r>
      <w:r w:rsidRPr="00F05D34">
        <w:rPr>
          <w:rFonts w:hint="cs"/>
          <w:rtl/>
        </w:rPr>
        <w:t xml:space="preserve"> </w:t>
      </w:r>
      <w:r>
        <w:rPr>
          <w:rFonts w:hint="cs"/>
          <w:rtl/>
        </w:rPr>
        <w:t>ד</w:t>
      </w:r>
      <w:r w:rsidRPr="00F05D34">
        <w:rPr>
          <w:rFonts w:hint="cs"/>
          <w:rtl/>
        </w:rPr>
        <w:t>בעשיית כלי או מתקן כלי מתחילתו יש בנין כיון דאין לך בנין גדול מזה</w:t>
      </w:r>
      <w:r>
        <w:rPr>
          <w:rFonts w:hint="cs"/>
          <w:rtl/>
        </w:rPr>
        <w:t>,</w:t>
      </w:r>
      <w:r w:rsidRPr="00F05D34">
        <w:rPr>
          <w:rFonts w:hint="cs"/>
          <w:rtl/>
        </w:rPr>
        <w:t xml:space="preserve"> והוסיף </w:t>
      </w:r>
      <w:r w:rsidRPr="00F05D34">
        <w:rPr>
          <w:b/>
          <w:bCs/>
          <w:rtl/>
        </w:rPr>
        <w:t xml:space="preserve">הרמב"ן </w:t>
      </w:r>
      <w:r w:rsidRPr="00F05D34">
        <w:rPr>
          <w:rFonts w:hint="cs"/>
          <w:rtl/>
        </w:rPr>
        <w:t>דלפי"ז אפש"ל דאף בכלי מפורק שייך חיוב בונה כשצריך אומן להחזירו, דכיון שהוא מפורק והדיוט אינו יכול להחזירו, אין לו תורת כלי, וכשהחזירו האומן חשיב כעושה כלי מתחילתו</w:t>
      </w:r>
      <w:bookmarkEnd w:id="5930"/>
      <w:r>
        <w:rPr>
          <w:rFonts w:hint="cs"/>
          <w:rtl/>
        </w:rPr>
        <w:t>.</w:t>
      </w:r>
      <w:bookmarkEnd w:id="5931"/>
    </w:p>
    <w:p w14:paraId="1B773379" w14:textId="77777777" w:rsidR="000F6808" w:rsidRPr="0088513D" w:rsidRDefault="000F6808" w:rsidP="000F6808">
      <w:pPr>
        <w:pStyle w:val="afffffe"/>
        <w:rPr>
          <w:vanish/>
        </w:rPr>
      </w:pPr>
      <w:r w:rsidRPr="0088513D">
        <w:rPr>
          <w:rFonts w:hint="cs"/>
          <w:vanish/>
          <w:rtl/>
        </w:rPr>
        <w:t>חדושי הרמב"ן שבת ק"ב ע"ב ד"ה רב</w:t>
      </w:r>
    </w:p>
    <w:p w14:paraId="46FE61AD" w14:textId="77777777" w:rsidR="000F6808" w:rsidRPr="00111645" w:rsidRDefault="000F6808" w:rsidP="000F6808">
      <w:pPr>
        <w:pStyle w:val="a2"/>
      </w:pPr>
      <w:r w:rsidRPr="00111645">
        <w:rPr>
          <w:rtl/>
        </w:rPr>
        <w:t>רב אמר חייב משום בונה. קשיא להו לרבוותא ז"ל והא אמרי' במס' ביצה (כ"ב א') אין בנין בכלים ואין סתירה בכלים, ויש לנו לתרץ דכי אמרי' אין בנין בכלים ה"מ בכלי שנתפרק כגון מנורה של חליות אבל הכא עושה כלי או מתקן כלי מתחלתו אין לך בנין גדול מזה ואין זה נקרא בנין בכלים שהרי אינו כלי אבל עושה כלי מיקרי.</w:t>
      </w:r>
    </w:p>
    <w:p w14:paraId="27F616F2" w14:textId="77777777" w:rsidR="000F6808" w:rsidRDefault="000F6808" w:rsidP="000F6808">
      <w:pPr>
        <w:pStyle w:val="afffff5"/>
        <w:rPr>
          <w:rtl/>
        </w:rPr>
      </w:pPr>
      <w:r w:rsidRPr="00111645">
        <w:rPr>
          <w:rtl/>
        </w:rPr>
        <w:t>ואפשר לפי דעת זו שכל כלי שצריך אומן בחזרתו מיחייב עליה משום בונה דהו"ל כעושה כלי מתחלתו שהרי משעה שנתפרק ואין ההדיוט יכול להחזירו בטל מתורת כלי</w:t>
      </w:r>
      <w:r>
        <w:rPr>
          <w:rFonts w:hint="cs"/>
          <w:rtl/>
        </w:rPr>
        <w:t>.</w:t>
      </w:r>
    </w:p>
    <w:p w14:paraId="26DB0760" w14:textId="77777777" w:rsidR="000F6808" w:rsidRDefault="000F6808" w:rsidP="000F6808">
      <w:pPr>
        <w:pStyle w:val="affff5"/>
        <w:rPr>
          <w:rtl/>
        </w:rPr>
      </w:pPr>
      <w:bookmarkStart w:id="5932" w:name="_Toc145487074"/>
      <w:bookmarkEnd w:id="5920"/>
      <w:r>
        <w:rPr>
          <w:rFonts w:hint="cs"/>
          <w:rtl/>
        </w:rPr>
        <w:t>~~~~~~~~~~~~~~~~~~~~~~~~~~~~</w:t>
      </w:r>
    </w:p>
    <w:p w14:paraId="3BB6AFF6" w14:textId="77777777" w:rsidR="000F6808" w:rsidRDefault="000F6808" w:rsidP="000F6808">
      <w:pPr>
        <w:pStyle w:val="affff5"/>
        <w:rPr>
          <w:rtl/>
        </w:rPr>
      </w:pPr>
      <w:bookmarkStart w:id="5933" w:name="_Toc145487075"/>
      <w:bookmarkEnd w:id="5932"/>
      <w:r>
        <w:rPr>
          <w:rFonts w:hint="cs"/>
          <w:rtl/>
        </w:rPr>
        <w:t>בחיוב תוקע משום בונה או מכב"פ</w:t>
      </w:r>
      <w:bookmarkEnd w:id="5933"/>
      <w:r w:rsidRPr="007220A9">
        <w:rPr>
          <w:vanish/>
          <w:rtl/>
        </w:rPr>
        <w:t>&lt; # =</w:t>
      </w:r>
    </w:p>
    <w:p w14:paraId="6A895225" w14:textId="77777777" w:rsidR="000F6808" w:rsidRPr="00FE46F5" w:rsidRDefault="000F6808" w:rsidP="000F6808">
      <w:pPr>
        <w:pStyle w:val="1"/>
        <w:rPr>
          <w:rtl/>
        </w:rPr>
      </w:pPr>
      <w:bookmarkStart w:id="5934" w:name="_Toc145487076"/>
      <w:r>
        <w:rPr>
          <w:rFonts w:hint="cs"/>
          <w:rtl/>
        </w:rPr>
        <w:t>פלוגתת הראשונים אי תוקע הוי בונה או גמר מלאכה דמכב"פ</w:t>
      </w:r>
      <w:bookmarkEnd w:id="5934"/>
    </w:p>
    <w:p w14:paraId="31215738" w14:textId="77777777" w:rsidR="000F6808" w:rsidRDefault="000F6808" w:rsidP="000F6808">
      <w:pPr>
        <w:pStyle w:val="afffff7"/>
        <w:rPr>
          <w:rtl/>
        </w:rPr>
      </w:pPr>
      <w:bookmarkStart w:id="5935" w:name="_Toc145500820"/>
      <w:bookmarkStart w:id="5936" w:name="_Toc163506360"/>
      <w:r>
        <w:rPr>
          <w:rtl/>
        </w:rPr>
        <w:t>רמב"ם שבת פכ"ב הכ"ה</w:t>
      </w:r>
      <w:bookmarkEnd w:id="5935"/>
      <w:bookmarkEnd w:id="5936"/>
    </w:p>
    <w:p w14:paraId="671BC9E5" w14:textId="77777777" w:rsidR="000F6808" w:rsidRDefault="000F6808" w:rsidP="000F6808">
      <w:pPr>
        <w:pStyle w:val="a7"/>
        <w:rPr>
          <w:rtl/>
        </w:rPr>
      </w:pPr>
      <w:bookmarkStart w:id="5937" w:name="_Toc145487077"/>
      <w:r>
        <w:rPr>
          <w:rFonts w:hint="cs"/>
          <w:rtl/>
        </w:rPr>
        <w:t>בי' הרמב"ם דתוקע חייב משום בונה</w:t>
      </w:r>
      <w:bookmarkEnd w:id="5937"/>
    </w:p>
    <w:p w14:paraId="301D4C21" w14:textId="7EA0919B" w:rsidR="000F6808" w:rsidRDefault="000F6808" w:rsidP="000F6808">
      <w:pPr>
        <w:pStyle w:val="a3"/>
      </w:pPr>
      <w:bookmarkStart w:id="5938" w:name="_Ref145432295"/>
      <w:r>
        <w:rPr>
          <w:rFonts w:hint="cs"/>
          <w:rtl/>
        </w:rPr>
        <w:t>כתב</w:t>
      </w:r>
      <w:r>
        <w:rPr>
          <w:rtl/>
        </w:rPr>
        <w:t xml:space="preserve"> </w:t>
      </w:r>
      <w:r w:rsidRPr="00C406A9">
        <w:rPr>
          <w:b/>
          <w:bCs/>
          <w:rtl/>
        </w:rPr>
        <w:t>ה</w:t>
      </w:r>
      <w:r>
        <w:rPr>
          <w:rFonts w:hint="cs"/>
          <w:b/>
          <w:bCs/>
          <w:vanish/>
          <w:rtl/>
        </w:rPr>
        <w:t xml:space="preserve">&lt;, </w:t>
      </w:r>
      <w:r>
        <w:rPr>
          <w:b/>
          <w:bCs/>
          <w:vanish/>
          <w:rtl/>
        </w:rPr>
        <w:fldChar w:fldCharType="begin"/>
      </w:r>
      <w:r>
        <w:rPr>
          <w:b/>
          <w:bCs/>
          <w:vanish/>
          <w:rtl/>
        </w:rPr>
        <w:instrText xml:space="preserve"> </w:instrText>
      </w:r>
      <w:r>
        <w:rPr>
          <w:rFonts w:hint="cs"/>
          <w:b/>
          <w:bCs/>
          <w:vanish/>
        </w:rPr>
        <w:instrText>REF</w:instrText>
      </w:r>
      <w:r>
        <w:rPr>
          <w:rFonts w:hint="cs"/>
          <w:b/>
          <w:bCs/>
          <w:vanish/>
          <w:rtl/>
        </w:rPr>
        <w:instrText xml:space="preserve"> _</w:instrText>
      </w:r>
      <w:r>
        <w:rPr>
          <w:rFonts w:hint="cs"/>
          <w:b/>
          <w:bCs/>
          <w:vanish/>
        </w:rPr>
        <w:instrText>Ref145432295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קט)</w:t>
      </w:r>
      <w:r>
        <w:rPr>
          <w:b/>
          <w:bCs/>
          <w:vanish/>
          <w:rtl/>
        </w:rPr>
        <w:fldChar w:fldCharType="end"/>
      </w:r>
      <w:r>
        <w:rPr>
          <w:rFonts w:hint="cs"/>
          <w:b/>
          <w:bCs/>
          <w:vanish/>
          <w:rtl/>
        </w:rPr>
        <w:t xml:space="preserve"> &gt;</w:t>
      </w:r>
      <w:r w:rsidRPr="00416B74">
        <w:rPr>
          <w:rFonts w:hint="cs"/>
          <w:b/>
          <w:bCs/>
          <w:rtl/>
        </w:rPr>
        <w:t>רמב"ם</w:t>
      </w:r>
      <w:r w:rsidRPr="00416B74">
        <w:rPr>
          <w:b/>
          <w:bCs/>
          <w:rtl/>
        </w:rPr>
        <w:t xml:space="preserve"> </w:t>
      </w:r>
      <w:r w:rsidRPr="00C406A9">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שבת פכ"ב הכ"ה</w:t>
      </w:r>
      <w:r w:rsidRPr="00C406A9">
        <w:rPr>
          <w:rFonts w:ascii="Calibri" w:eastAsia="Times New Roman" w:hAnsi="Calibri" w:cs="Guttman Rashi"/>
          <w:noProof w:val="0"/>
          <w:sz w:val="10"/>
          <w:szCs w:val="12"/>
          <w:rtl/>
        </w:rPr>
        <w:t>)</w:t>
      </w:r>
      <w:r w:rsidRPr="00C406A9">
        <w:rPr>
          <w:vanish/>
          <w:rtl/>
        </w:rPr>
        <w:t>=</w:t>
      </w:r>
      <w:r>
        <w:rPr>
          <w:rtl/>
        </w:rPr>
        <w:t xml:space="preserve"> </w:t>
      </w:r>
      <w:r>
        <w:rPr>
          <w:rFonts w:hint="cs"/>
          <w:rtl/>
        </w:rPr>
        <w:t>דהתוקע חייב בבונה.</w:t>
      </w:r>
      <w:bookmarkEnd w:id="5938"/>
    </w:p>
    <w:p w14:paraId="6EFE6414" w14:textId="77777777" w:rsidR="000F6808" w:rsidRPr="0088513D" w:rsidRDefault="000F6808" w:rsidP="000F6808">
      <w:pPr>
        <w:pStyle w:val="afffffe"/>
        <w:rPr>
          <w:vanish/>
          <w:rtl/>
        </w:rPr>
      </w:pPr>
      <w:r w:rsidRPr="0088513D">
        <w:rPr>
          <w:vanish/>
          <w:rtl/>
        </w:rPr>
        <w:t>רמב"ם שבת פכ"ב הכ"ה</w:t>
      </w:r>
    </w:p>
    <w:p w14:paraId="30524828" w14:textId="77777777" w:rsidR="000F6808" w:rsidRDefault="000F6808" w:rsidP="000F6808">
      <w:pPr>
        <w:pStyle w:val="a2"/>
        <w:rPr>
          <w:rtl/>
        </w:rPr>
      </w:pPr>
      <w:r w:rsidRPr="00916CA4">
        <w:rPr>
          <w:rtl/>
        </w:rPr>
        <w:t>התוקע חייב משום בונה.</w:t>
      </w:r>
    </w:p>
    <w:p w14:paraId="5FA6E7CB" w14:textId="77777777" w:rsidR="000F6808" w:rsidRDefault="000F6808" w:rsidP="000F6808">
      <w:pPr>
        <w:pStyle w:val="afffff7"/>
        <w:rPr>
          <w:rtl/>
        </w:rPr>
      </w:pPr>
      <w:bookmarkStart w:id="5939" w:name="_Toc145500821"/>
      <w:bookmarkStart w:id="5940" w:name="_Toc163506361"/>
      <w:r>
        <w:rPr>
          <w:rtl/>
        </w:rPr>
        <w:t>רש"י שבת מ"ז ע"א</w:t>
      </w:r>
      <w:r>
        <w:rPr>
          <w:rFonts w:hint="cs"/>
          <w:rtl/>
        </w:rPr>
        <w:t xml:space="preserve"> ד"ה חייב</w:t>
      </w:r>
      <w:bookmarkEnd w:id="5939"/>
      <w:bookmarkEnd w:id="5940"/>
    </w:p>
    <w:p w14:paraId="2117389B" w14:textId="77777777" w:rsidR="000F6808" w:rsidRDefault="000F6808" w:rsidP="000F6808">
      <w:pPr>
        <w:pStyle w:val="a7"/>
        <w:rPr>
          <w:rtl/>
        </w:rPr>
      </w:pPr>
      <w:bookmarkStart w:id="5941" w:name="_Toc145487078"/>
      <w:r>
        <w:rPr>
          <w:rFonts w:hint="cs"/>
          <w:rtl/>
        </w:rPr>
        <w:t>בי' רש"י דהמחזיר מטה תחילת וגמר המלאכה ועושה כלי וחייב במכה בפטיש דאין בנין בכלים</w:t>
      </w:r>
      <w:bookmarkEnd w:id="5941"/>
    </w:p>
    <w:p w14:paraId="12E34E54" w14:textId="32074B73" w:rsidR="000F6808" w:rsidRDefault="000F6808" w:rsidP="000F6808">
      <w:pPr>
        <w:pStyle w:val="a3"/>
      </w:pPr>
      <w:bookmarkStart w:id="5942" w:name="_Ref145460906"/>
      <w:bookmarkStart w:id="5943" w:name="_Ref145240998"/>
      <w:r>
        <w:rPr>
          <w:rFonts w:hint="cs"/>
          <w:rtl/>
        </w:rPr>
        <w:t xml:space="preserve">בחיוב מחזיר מטה של טרסיים בגמ' לעיל </w:t>
      </w:r>
      <w:r w:rsidRPr="00FD2E0E">
        <w:rPr>
          <w:rStyle w:val="af2"/>
          <w:rFonts w:eastAsia="Guttman Hodes" w:hint="cs"/>
          <w:rtl/>
        </w:rPr>
        <w:t>(מז.)</w:t>
      </w:r>
      <w:r>
        <w:rPr>
          <w:rFonts w:hint="cs"/>
          <w:rtl/>
        </w:rPr>
        <w:t xml:space="preserve"> כתב </w:t>
      </w:r>
      <w:r w:rsidRPr="00FD2E0E">
        <w:rPr>
          <w:rStyle w:val="aff4"/>
          <w:rFonts w:hint="cs"/>
          <w:vanish/>
          <w:rtl/>
        </w:rPr>
        <w:t xml:space="preserve">&lt;, </w:t>
      </w:r>
      <w:r w:rsidRPr="00FD2E0E">
        <w:rPr>
          <w:rStyle w:val="aff4"/>
          <w:vanish/>
          <w:rtl/>
        </w:rPr>
        <w:fldChar w:fldCharType="begin"/>
      </w:r>
      <w:r w:rsidRPr="00FD2E0E">
        <w:rPr>
          <w:rStyle w:val="aff4"/>
          <w:vanish/>
          <w:rtl/>
        </w:rPr>
        <w:instrText xml:space="preserve"> </w:instrText>
      </w:r>
      <w:r w:rsidRPr="00FD2E0E">
        <w:rPr>
          <w:rStyle w:val="aff4"/>
          <w:rFonts w:hint="cs"/>
          <w:vanish/>
        </w:rPr>
        <w:instrText>REF</w:instrText>
      </w:r>
      <w:r w:rsidRPr="00FD2E0E">
        <w:rPr>
          <w:rStyle w:val="aff4"/>
          <w:rFonts w:hint="cs"/>
          <w:vanish/>
          <w:rtl/>
        </w:rPr>
        <w:instrText xml:space="preserve"> _</w:instrText>
      </w:r>
      <w:r w:rsidRPr="00FD2E0E">
        <w:rPr>
          <w:rStyle w:val="aff4"/>
          <w:rFonts w:hint="cs"/>
          <w:vanish/>
        </w:rPr>
        <w:instrText>Ref145240998 \r \h</w:instrText>
      </w:r>
      <w:r w:rsidRPr="00FD2E0E">
        <w:rPr>
          <w:rStyle w:val="aff4"/>
          <w:vanish/>
          <w:rtl/>
        </w:rPr>
        <w:instrText xml:space="preserve"> </w:instrText>
      </w:r>
      <w:r w:rsidRPr="00FD2E0E">
        <w:rPr>
          <w:rStyle w:val="aff4"/>
          <w:vanish/>
          <w:rtl/>
        </w:rPr>
      </w:r>
      <w:r w:rsidRPr="00FD2E0E">
        <w:rPr>
          <w:rStyle w:val="aff4"/>
          <w:vanish/>
          <w:rtl/>
        </w:rPr>
        <w:fldChar w:fldCharType="separate"/>
      </w:r>
      <w:r w:rsidR="00D82181">
        <w:rPr>
          <w:rStyle w:val="aff4"/>
          <w:vanish/>
          <w:cs/>
        </w:rPr>
        <w:t>‎</w:t>
      </w:r>
      <w:r w:rsidR="00D82181">
        <w:rPr>
          <w:rStyle w:val="aff4"/>
          <w:vanish/>
          <w:rtl/>
        </w:rPr>
        <w:t>קי)</w:t>
      </w:r>
      <w:r w:rsidRPr="00FD2E0E">
        <w:rPr>
          <w:rStyle w:val="aff4"/>
          <w:vanish/>
          <w:rtl/>
        </w:rPr>
        <w:fldChar w:fldCharType="end"/>
      </w:r>
      <w:r w:rsidRPr="00FD2E0E">
        <w:rPr>
          <w:rStyle w:val="aff4"/>
          <w:rFonts w:hint="cs"/>
          <w:vanish/>
          <w:rtl/>
        </w:rPr>
        <w:t xml:space="preserve"> &gt;-</w:t>
      </w:r>
      <w:r w:rsidRPr="00FD2E0E">
        <w:rPr>
          <w:rStyle w:val="aff4"/>
          <w:rFonts w:hint="cs"/>
          <w:rtl/>
        </w:rPr>
        <w:t>רש"י לעיל</w:t>
      </w:r>
      <w:r w:rsidRPr="00FD2E0E">
        <w:rPr>
          <w:rStyle w:val="aff4"/>
          <w:rFonts w:hint="cs"/>
          <w:vanish/>
          <w:rtl/>
        </w:rPr>
        <w:t>-</w:t>
      </w:r>
      <w:r>
        <w:rPr>
          <w:rFonts w:hint="cs"/>
          <w:rtl/>
        </w:rPr>
        <w:t xml:space="preserve"> </w:t>
      </w:r>
      <w:r w:rsidRPr="00FD2E0E">
        <w:rPr>
          <w:rStyle w:val="af2"/>
          <w:rFonts w:eastAsia="Guttman Hodes" w:hint="cs"/>
          <w:rtl/>
        </w:rPr>
        <w:t>(מז. ד"ה חייב)</w:t>
      </w:r>
      <w:r w:rsidRPr="00FD2E0E">
        <w:rPr>
          <w:rFonts w:hint="cs"/>
          <w:vanish/>
          <w:rtl/>
        </w:rPr>
        <w:t>=</w:t>
      </w:r>
      <w:r>
        <w:rPr>
          <w:rFonts w:hint="cs"/>
          <w:rtl/>
        </w:rPr>
        <w:t xml:space="preserve"> דהוא תחילת וגמר המלאכה, ובזה הוא עושה כלי, וחייב משום מכה בפטיש, ואין חיוב משום בונה כיון דאין בנין בכלים.</w:t>
      </w:r>
      <w:bookmarkEnd w:id="5942"/>
    </w:p>
    <w:p w14:paraId="3540B2F3" w14:textId="77777777" w:rsidR="000F6808" w:rsidRPr="0088513D" w:rsidRDefault="000F6808" w:rsidP="000F6808">
      <w:pPr>
        <w:pStyle w:val="afffffe"/>
        <w:rPr>
          <w:vanish/>
          <w:rtl/>
        </w:rPr>
      </w:pPr>
      <w:r w:rsidRPr="0088513D">
        <w:rPr>
          <w:vanish/>
          <w:rtl/>
        </w:rPr>
        <w:t>רש"י שבת מ"ז ע"א</w:t>
      </w:r>
      <w:r w:rsidRPr="0088513D">
        <w:rPr>
          <w:rFonts w:hint="cs"/>
          <w:vanish/>
          <w:rtl/>
        </w:rPr>
        <w:t xml:space="preserve"> ד"ה חייב</w:t>
      </w:r>
    </w:p>
    <w:p w14:paraId="0E1DE43B" w14:textId="77777777" w:rsidR="000F6808" w:rsidRDefault="000F6808" w:rsidP="000F6808">
      <w:pPr>
        <w:pStyle w:val="a2"/>
        <w:rPr>
          <w:rtl/>
        </w:rPr>
      </w:pPr>
      <w:r w:rsidRPr="00111645">
        <w:rPr>
          <w:rtl/>
        </w:rPr>
        <w:t>חייב חטאת - הוא תחלתו וגמרו, ונמצא עושה כלי, וחייב משום מכה בפטיש - אב לכל גומרי מלאכה, ולא משום בנין - דאין בנין בכלים.</w:t>
      </w:r>
    </w:p>
    <w:p w14:paraId="2BC957A5" w14:textId="77777777" w:rsidR="000F6808" w:rsidRDefault="000F6808" w:rsidP="000F6808">
      <w:pPr>
        <w:pStyle w:val="afffffffff6"/>
        <w:rPr>
          <w:rtl/>
        </w:rPr>
      </w:pPr>
      <w:r>
        <w:rPr>
          <w:rtl/>
        </w:rPr>
        <w:t>רש"י שבת ע"ד ע"ב ד"ה ואי</w:t>
      </w:r>
    </w:p>
    <w:p w14:paraId="66340EDC" w14:textId="77777777" w:rsidR="000F6808" w:rsidRPr="00FC269C" w:rsidRDefault="000F6808" w:rsidP="000F6808">
      <w:pPr>
        <w:pStyle w:val="afffff7"/>
        <w:rPr>
          <w:rtl/>
        </w:rPr>
      </w:pPr>
      <w:bookmarkStart w:id="5944" w:name="_Toc145500822"/>
      <w:bookmarkStart w:id="5945" w:name="_Toc163506362"/>
      <w:r w:rsidRPr="00FC269C">
        <w:rPr>
          <w:rtl/>
        </w:rPr>
        <w:t>רש"י שבת מ"ח ע"א</w:t>
      </w:r>
      <w:r w:rsidRPr="00FC269C">
        <w:rPr>
          <w:rFonts w:hint="cs"/>
          <w:rtl/>
        </w:rPr>
        <w:t xml:space="preserve"> ד"ה חייב</w:t>
      </w:r>
      <w:bookmarkEnd w:id="5944"/>
      <w:bookmarkEnd w:id="5945"/>
    </w:p>
    <w:p w14:paraId="762AF76B" w14:textId="77777777" w:rsidR="000F6808" w:rsidRPr="00FC269C" w:rsidRDefault="000F6808" w:rsidP="000F6808">
      <w:pPr>
        <w:pStyle w:val="afffff7"/>
        <w:rPr>
          <w:rtl/>
        </w:rPr>
      </w:pPr>
      <w:bookmarkStart w:id="5946" w:name="_Toc145500823"/>
      <w:bookmarkStart w:id="5947" w:name="_Toc163506363"/>
      <w:r w:rsidRPr="00FC269C">
        <w:rPr>
          <w:rtl/>
        </w:rPr>
        <w:t>רש"י שבת קכ"ד ע"ב</w:t>
      </w:r>
      <w:r w:rsidRPr="00FC269C">
        <w:rPr>
          <w:rFonts w:hint="cs"/>
          <w:rtl/>
        </w:rPr>
        <w:t xml:space="preserve"> ד"ה לא יספות</w:t>
      </w:r>
      <w:bookmarkEnd w:id="5946"/>
      <w:bookmarkEnd w:id="5947"/>
    </w:p>
    <w:p w14:paraId="6962BA7B" w14:textId="77777777" w:rsidR="000F6808" w:rsidRDefault="000F6808" w:rsidP="000F6808">
      <w:pPr>
        <w:pStyle w:val="a7"/>
        <w:rPr>
          <w:rtl/>
        </w:rPr>
      </w:pPr>
      <w:bookmarkStart w:id="5948" w:name="_Toc145487079"/>
      <w:r>
        <w:rPr>
          <w:rFonts w:hint="cs"/>
          <w:rtl/>
        </w:rPr>
        <w:t>בי' רש"י דאין בנין בכלים במטה של טרסיים וחביתא ודלתות כלים ובונה כלי חייב במכב"פ</w:t>
      </w:r>
      <w:bookmarkEnd w:id="5948"/>
    </w:p>
    <w:p w14:paraId="0B98EF35" w14:textId="7E3DDBBF" w:rsidR="000F6808" w:rsidRPr="00637014" w:rsidRDefault="000F6808" w:rsidP="000F6808">
      <w:pPr>
        <w:pStyle w:val="a3"/>
        <w:rPr>
          <w:rStyle w:val="af"/>
        </w:rPr>
      </w:pPr>
      <w:r>
        <w:rPr>
          <w:rFonts w:hint="cs"/>
          <w:rtl/>
        </w:rPr>
        <w:t xml:space="preserve">וכן לענין </w:t>
      </w:r>
      <w:r>
        <w:rPr>
          <w:rtl/>
        </w:rPr>
        <w:t xml:space="preserve">חיוב חביתא </w:t>
      </w:r>
      <w:r>
        <w:rPr>
          <w:rFonts w:hint="cs"/>
          <w:rtl/>
        </w:rPr>
        <w:t xml:space="preserve">ותנורא וחלתא </w:t>
      </w:r>
      <w:r>
        <w:rPr>
          <w:rtl/>
        </w:rPr>
        <w:t xml:space="preserve">בגמ' לעיל </w:t>
      </w:r>
      <w:r w:rsidRPr="00C962CD">
        <w:rPr>
          <w:rStyle w:val="af2"/>
          <w:rFonts w:eastAsia="Guttman Hodes"/>
          <w:rtl/>
        </w:rPr>
        <w:t>(עד:)</w:t>
      </w:r>
      <w:r>
        <w:rPr>
          <w:rtl/>
        </w:rPr>
        <w:t xml:space="preserve">, כתב </w:t>
      </w:r>
      <w:r w:rsidRPr="00030A4D">
        <w:rPr>
          <w:vanish/>
          <w:rtl/>
        </w:rPr>
        <w:t xml:space="preserve">&lt;, </w:t>
      </w:r>
      <w:r w:rsidRPr="00030A4D">
        <w:rPr>
          <w:vanish/>
          <w:rtl/>
        </w:rPr>
        <w:fldChar w:fldCharType="begin"/>
      </w:r>
      <w:r w:rsidRPr="00030A4D">
        <w:rPr>
          <w:vanish/>
          <w:rtl/>
        </w:rPr>
        <w:instrText xml:space="preserve"> </w:instrText>
      </w:r>
      <w:r w:rsidRPr="00030A4D">
        <w:rPr>
          <w:vanish/>
        </w:rPr>
        <w:instrText>REF</w:instrText>
      </w:r>
      <w:r w:rsidRPr="00030A4D">
        <w:rPr>
          <w:vanish/>
          <w:rtl/>
        </w:rPr>
        <w:instrText xml:space="preserve"> _</w:instrText>
      </w:r>
      <w:r w:rsidRPr="00030A4D">
        <w:rPr>
          <w:vanish/>
        </w:rPr>
        <w:instrText>Ref143720580 \r \h</w:instrText>
      </w:r>
      <w:r w:rsidRPr="00030A4D">
        <w:rPr>
          <w:vanish/>
          <w:rtl/>
        </w:rPr>
        <w:instrText xml:space="preserve"> </w:instrText>
      </w:r>
      <w:r>
        <w:rPr>
          <w:vanish/>
          <w:rtl/>
        </w:rPr>
        <w:instrText xml:space="preserve"> \* </w:instrText>
      </w:r>
      <w:r>
        <w:rPr>
          <w:vanish/>
        </w:rPr>
        <w:instrText>MERGEFORMAT</w:instrText>
      </w:r>
      <w:r>
        <w:rPr>
          <w:vanish/>
          <w:rtl/>
        </w:rPr>
        <w:instrText xml:space="preserve"> </w:instrText>
      </w:r>
      <w:r w:rsidRPr="00030A4D">
        <w:rPr>
          <w:vanish/>
          <w:rtl/>
        </w:rPr>
      </w:r>
      <w:r w:rsidRPr="00030A4D">
        <w:rPr>
          <w:vanish/>
          <w:rtl/>
        </w:rPr>
        <w:fldChar w:fldCharType="separate"/>
      </w:r>
      <w:r w:rsidR="00D82181">
        <w:rPr>
          <w:vanish/>
          <w:cs/>
        </w:rPr>
        <w:t>‎</w:t>
      </w:r>
      <w:r w:rsidR="00D82181">
        <w:rPr>
          <w:vanish/>
          <w:rtl/>
        </w:rPr>
        <w:t>א)</w:t>
      </w:r>
      <w:r w:rsidRPr="00030A4D">
        <w:rPr>
          <w:vanish/>
          <w:rtl/>
        </w:rPr>
        <w:fldChar w:fldCharType="end"/>
      </w:r>
      <w:r w:rsidRPr="00030A4D">
        <w:rPr>
          <w:vanish/>
          <w:rtl/>
        </w:rPr>
        <w:t xml:space="preserve"> &gt;</w:t>
      </w:r>
      <w:r w:rsidRPr="00030A4D">
        <w:rPr>
          <w:rStyle w:val="aff4"/>
          <w:vanish/>
          <w:rtl/>
        </w:rPr>
        <w:t>-</w:t>
      </w:r>
      <w:r w:rsidRPr="00ED6CBD">
        <w:rPr>
          <w:rStyle w:val="aff4"/>
          <w:rtl/>
        </w:rPr>
        <w:t>רש"י לעיל</w:t>
      </w:r>
      <w:r w:rsidRPr="00030A4D">
        <w:rPr>
          <w:rStyle w:val="aff4"/>
          <w:vanish/>
          <w:rtl/>
        </w:rPr>
        <w:t>-</w:t>
      </w:r>
      <w:r>
        <w:rPr>
          <w:rtl/>
        </w:rPr>
        <w:t xml:space="preserve"> </w:t>
      </w:r>
      <w:r w:rsidRPr="00C962CD">
        <w:rPr>
          <w:rStyle w:val="af2"/>
          <w:rFonts w:eastAsia="Guttman Hodes"/>
          <w:rtl/>
        </w:rPr>
        <w:t>(עד: ד"ה ואי)</w:t>
      </w:r>
      <w:r w:rsidRPr="00030A4D">
        <w:rPr>
          <w:vanish/>
          <w:rtl/>
        </w:rPr>
        <w:t>=</w:t>
      </w:r>
      <w:r>
        <w:rPr>
          <w:rtl/>
        </w:rPr>
        <w:t xml:space="preserve"> דאין </w:t>
      </w:r>
      <w:r>
        <w:rPr>
          <w:rFonts w:hint="cs"/>
          <w:rtl/>
        </w:rPr>
        <w:t xml:space="preserve">בזה </w:t>
      </w:r>
      <w:r>
        <w:rPr>
          <w:rtl/>
        </w:rPr>
        <w:t>חיוב משום בונה כיון דאין בנין בכלים</w:t>
      </w:r>
      <w:r>
        <w:rPr>
          <w:rFonts w:hint="cs"/>
          <w:rtl/>
        </w:rPr>
        <w:t xml:space="preserve">, והחיוב הוא משום מכה בפטיש, </w:t>
      </w:r>
      <w:r w:rsidRPr="00030A4D">
        <w:rPr>
          <w:rStyle w:val="af"/>
          <w:rFonts w:hint="cs"/>
          <w:rtl/>
        </w:rPr>
        <w:t>[ובחבית לא שייך לחייב בזה דנגמרת מאליה בתנור]</w:t>
      </w:r>
      <w:r>
        <w:rPr>
          <w:rStyle w:val="af"/>
          <w:rFonts w:hint="cs"/>
          <w:rtl/>
        </w:rPr>
        <w:t xml:space="preserve">, </w:t>
      </w:r>
      <w:r>
        <w:rPr>
          <w:rFonts w:hint="cs"/>
          <w:rtl/>
        </w:rPr>
        <w:t xml:space="preserve">וכן בהא דאמרינן בגמ' לעיל </w:t>
      </w:r>
      <w:r w:rsidRPr="00C962CD">
        <w:rPr>
          <w:rStyle w:val="af2"/>
          <w:rFonts w:eastAsia="Guttman Hodes" w:hint="cs"/>
          <w:rtl/>
        </w:rPr>
        <w:t>(מח.)</w:t>
      </w:r>
      <w:r>
        <w:rPr>
          <w:rFonts w:hint="cs"/>
          <w:rtl/>
        </w:rPr>
        <w:t xml:space="preserve"> דהפותח בית הצואר חייב </w:t>
      </w:r>
      <w:r>
        <w:rPr>
          <w:rFonts w:hint="cs"/>
          <w:rtl/>
        </w:rPr>
        <w:lastRenderedPageBreak/>
        <w:t xml:space="preserve">חטאת, כתב </w:t>
      </w:r>
      <w:r w:rsidRPr="00030A4D">
        <w:rPr>
          <w:rFonts w:hint="cs"/>
          <w:vanish/>
          <w:rtl/>
        </w:rPr>
        <w:t>&lt; &gt;</w:t>
      </w:r>
      <w:r w:rsidRPr="00030A4D">
        <w:rPr>
          <w:rStyle w:val="aff4"/>
          <w:rFonts w:hint="cs"/>
          <w:vanish/>
          <w:rtl/>
        </w:rPr>
        <w:t>-</w:t>
      </w:r>
      <w:r w:rsidRPr="00ED6CBD">
        <w:rPr>
          <w:rStyle w:val="aff4"/>
          <w:rFonts w:hint="cs"/>
          <w:rtl/>
        </w:rPr>
        <w:t>רש"י לעיל</w:t>
      </w:r>
      <w:r w:rsidRPr="00030A4D">
        <w:rPr>
          <w:rStyle w:val="aff4"/>
          <w:rFonts w:hint="cs"/>
          <w:vanish/>
          <w:rtl/>
        </w:rPr>
        <w:t>-</w:t>
      </w:r>
      <w:r>
        <w:rPr>
          <w:rFonts w:hint="cs"/>
          <w:rtl/>
        </w:rPr>
        <w:t xml:space="preserve"> </w:t>
      </w:r>
      <w:r w:rsidRPr="00C962CD">
        <w:rPr>
          <w:rStyle w:val="af2"/>
          <w:rFonts w:eastAsia="Guttman Hodes" w:hint="cs"/>
          <w:rtl/>
        </w:rPr>
        <w:t>(מח. ד"ה חייב)</w:t>
      </w:r>
      <w:r w:rsidRPr="00030A4D">
        <w:rPr>
          <w:rFonts w:hint="cs"/>
          <w:vanish/>
          <w:rtl/>
        </w:rPr>
        <w:t>=</w:t>
      </w:r>
      <w:r>
        <w:rPr>
          <w:rFonts w:hint="cs"/>
          <w:rtl/>
        </w:rPr>
        <w:t xml:space="preserve"> דעי"ז הוא עושה כלי וחייב משום מכה בפטיש דהוא גמר מלאכה, וכן בהא דאמרינן בגמ' לקמן </w:t>
      </w:r>
      <w:r w:rsidRPr="00C962CD">
        <w:rPr>
          <w:rStyle w:val="af2"/>
          <w:rFonts w:eastAsia="Guttman Hodes" w:hint="cs"/>
          <w:rtl/>
        </w:rPr>
        <w:t>(קכד:)</w:t>
      </w:r>
      <w:r>
        <w:rPr>
          <w:rFonts w:hint="cs"/>
          <w:rtl/>
        </w:rPr>
        <w:t xml:space="preserve"> דאסור ליטל שבר מחבית שנשברה ולתקנו לכיסוי כלי, כתב </w:t>
      </w:r>
      <w:r w:rsidRPr="00030A4D">
        <w:rPr>
          <w:rFonts w:hint="cs"/>
          <w:vanish/>
          <w:rtl/>
        </w:rPr>
        <w:t>&lt; &gt;</w:t>
      </w:r>
      <w:r w:rsidRPr="00030A4D">
        <w:rPr>
          <w:rStyle w:val="aff4"/>
          <w:rFonts w:hint="cs"/>
          <w:vanish/>
          <w:rtl/>
        </w:rPr>
        <w:t>-</w:t>
      </w:r>
      <w:r w:rsidRPr="00ED6CBD">
        <w:rPr>
          <w:rStyle w:val="aff4"/>
          <w:rFonts w:hint="cs"/>
          <w:rtl/>
        </w:rPr>
        <w:t>רש"י לקמן</w:t>
      </w:r>
      <w:r w:rsidRPr="00030A4D">
        <w:rPr>
          <w:rStyle w:val="aff4"/>
          <w:rFonts w:hint="cs"/>
          <w:vanish/>
          <w:rtl/>
        </w:rPr>
        <w:t>-</w:t>
      </w:r>
      <w:r>
        <w:rPr>
          <w:rFonts w:hint="cs"/>
          <w:rtl/>
        </w:rPr>
        <w:t xml:space="preserve"> </w:t>
      </w:r>
      <w:r w:rsidRPr="00C962CD">
        <w:rPr>
          <w:rStyle w:val="af2"/>
          <w:rFonts w:eastAsia="Guttman Hodes" w:hint="cs"/>
          <w:rtl/>
        </w:rPr>
        <w:t>(קכד: ד"ה לא יספות)</w:t>
      </w:r>
      <w:r w:rsidRPr="00030A4D">
        <w:rPr>
          <w:rFonts w:hint="cs"/>
          <w:vanish/>
          <w:rtl/>
        </w:rPr>
        <w:t>=</w:t>
      </w:r>
      <w:r>
        <w:rPr>
          <w:rFonts w:hint="cs"/>
          <w:rtl/>
        </w:rPr>
        <w:t xml:space="preserve"> דכשמתקנו הוא עושה כלי וחייב משום מכה בפטיש. </w:t>
      </w:r>
    </w:p>
    <w:p w14:paraId="051D74A9" w14:textId="77777777" w:rsidR="000F6808" w:rsidRPr="0088513D" w:rsidRDefault="000F6808" w:rsidP="000F6808">
      <w:pPr>
        <w:pStyle w:val="afffffe"/>
        <w:rPr>
          <w:vanish/>
          <w:rtl/>
        </w:rPr>
      </w:pPr>
      <w:r w:rsidRPr="0088513D">
        <w:rPr>
          <w:vanish/>
          <w:rtl/>
        </w:rPr>
        <w:t>רש"י שבת ע"ד ע"ב ד"ה ואי</w:t>
      </w:r>
    </w:p>
    <w:p w14:paraId="561137E8" w14:textId="77777777" w:rsidR="000F6808" w:rsidRPr="00111645" w:rsidRDefault="000F6808" w:rsidP="000F6808">
      <w:pPr>
        <w:pStyle w:val="a2"/>
        <w:rPr>
          <w:rtl/>
        </w:rPr>
      </w:pPr>
      <w:r w:rsidRPr="00111645">
        <w:rPr>
          <w:rtl/>
        </w:rPr>
        <w:t>ומשום בונה ליכא לחיוביה לא בחבית ולא בתנור ולא בכוורת, דאין בנין בכלים</w:t>
      </w:r>
      <w:r w:rsidRPr="00111645">
        <w:rPr>
          <w:rFonts w:hint="cs"/>
          <w:rtl/>
        </w:rPr>
        <w:t>.</w:t>
      </w:r>
    </w:p>
    <w:p w14:paraId="6D9AA82E" w14:textId="77777777" w:rsidR="000F6808" w:rsidRPr="0088513D" w:rsidRDefault="000F6808" w:rsidP="000F6808">
      <w:pPr>
        <w:pStyle w:val="afffffe"/>
        <w:rPr>
          <w:vanish/>
          <w:rtl/>
        </w:rPr>
      </w:pPr>
      <w:r w:rsidRPr="0088513D">
        <w:rPr>
          <w:vanish/>
          <w:rtl/>
        </w:rPr>
        <w:t>רש"י שבת מ"ח ע"א</w:t>
      </w:r>
      <w:r w:rsidRPr="0088513D">
        <w:rPr>
          <w:rFonts w:hint="cs"/>
          <w:vanish/>
          <w:rtl/>
        </w:rPr>
        <w:t xml:space="preserve"> ד"ה חייב</w:t>
      </w:r>
    </w:p>
    <w:p w14:paraId="6132D1F0" w14:textId="77777777" w:rsidR="000F6808" w:rsidRPr="00111645" w:rsidRDefault="000F6808" w:rsidP="000F6808">
      <w:pPr>
        <w:pStyle w:val="afffff5"/>
        <w:rPr>
          <w:rtl/>
        </w:rPr>
      </w:pPr>
      <w:r w:rsidRPr="00111645">
        <w:rPr>
          <w:rtl/>
        </w:rPr>
        <w:t>חייב חטאת - דהשתא קמשוי ליה מנא, וחייב משום מכה בפטיש, והיינו גמר מלאכה.</w:t>
      </w:r>
    </w:p>
    <w:p w14:paraId="75ACCD4F" w14:textId="77777777" w:rsidR="000F6808" w:rsidRPr="0088513D" w:rsidRDefault="000F6808" w:rsidP="000F6808">
      <w:pPr>
        <w:pStyle w:val="afffffe"/>
        <w:rPr>
          <w:vanish/>
          <w:rtl/>
        </w:rPr>
      </w:pPr>
      <w:r w:rsidRPr="0088513D">
        <w:rPr>
          <w:vanish/>
          <w:rtl/>
        </w:rPr>
        <w:t>רש"י שבת קכ"ד ע"ב</w:t>
      </w:r>
      <w:r w:rsidRPr="0088513D">
        <w:rPr>
          <w:rFonts w:hint="cs"/>
          <w:vanish/>
          <w:rtl/>
        </w:rPr>
        <w:t xml:space="preserve"> ד"ה לא יספות</w:t>
      </w:r>
    </w:p>
    <w:p w14:paraId="014D49D6" w14:textId="77777777" w:rsidR="000F6808" w:rsidRPr="00111645" w:rsidRDefault="000F6808" w:rsidP="000F6808">
      <w:pPr>
        <w:pStyle w:val="afffff5"/>
        <w:rPr>
          <w:rtl/>
        </w:rPr>
      </w:pPr>
      <w:r w:rsidRPr="00111645">
        <w:rPr>
          <w:rtl/>
        </w:rPr>
        <w:t>לא יספות - יתקן, להתיר בליטותיו ועוקציו בשבת, דעביד כלי והוי מכה בפטיש.</w:t>
      </w:r>
    </w:p>
    <w:p w14:paraId="0D164D38" w14:textId="77777777" w:rsidR="000F6808" w:rsidRDefault="000F6808" w:rsidP="000F6808">
      <w:pPr>
        <w:pStyle w:val="afffff7"/>
        <w:rPr>
          <w:rtl/>
        </w:rPr>
      </w:pPr>
      <w:bookmarkStart w:id="5949" w:name="_Toc145500824"/>
      <w:bookmarkStart w:id="5950" w:name="_Toc163506364"/>
      <w:r>
        <w:rPr>
          <w:rtl/>
        </w:rPr>
        <w:t>רש"י שבת קכ"ב ע"ב</w:t>
      </w:r>
      <w:r>
        <w:rPr>
          <w:rFonts w:hint="cs"/>
          <w:rtl/>
        </w:rPr>
        <w:t xml:space="preserve"> ד"ה גזירה</w:t>
      </w:r>
      <w:bookmarkEnd w:id="5949"/>
      <w:bookmarkEnd w:id="5950"/>
    </w:p>
    <w:p w14:paraId="2B9D12D8" w14:textId="77777777" w:rsidR="000F6808" w:rsidRPr="00470B6A" w:rsidRDefault="000F6808" w:rsidP="000F6808">
      <w:pPr>
        <w:pStyle w:val="a7"/>
        <w:rPr>
          <w:rtl/>
        </w:rPr>
      </w:pPr>
      <w:bookmarkStart w:id="5951" w:name="_Toc145487080"/>
      <w:r>
        <w:rPr>
          <w:rFonts w:hint="cs"/>
          <w:rtl/>
        </w:rPr>
        <w:t>בי' רש"י דבדלתות הכלים אסור להחזיר שמא יתקע ביתדות דהוא גמר מלאכה וחייב במכב"פ</w:t>
      </w:r>
      <w:bookmarkEnd w:id="5951"/>
    </w:p>
    <w:p w14:paraId="43E8C1F8" w14:textId="553EA70D" w:rsidR="000F6808" w:rsidRDefault="000F6808" w:rsidP="000F6808">
      <w:pPr>
        <w:pStyle w:val="a3"/>
      </w:pPr>
      <w:bookmarkStart w:id="5952" w:name="_Ref145431227"/>
      <w:r>
        <w:rPr>
          <w:rFonts w:hint="cs"/>
          <w:rtl/>
        </w:rPr>
        <w:t xml:space="preserve">וכן בהא דאמר רבא בגמ' לקמן </w:t>
      </w:r>
      <w:r w:rsidRPr="00470B6A">
        <w:rPr>
          <w:rStyle w:val="af2"/>
          <w:rFonts w:eastAsia="Guttman Hodes" w:hint="cs"/>
          <w:rtl/>
        </w:rPr>
        <w:t>(קכב:)</w:t>
      </w:r>
      <w:r>
        <w:rPr>
          <w:rFonts w:hint="cs"/>
          <w:rtl/>
        </w:rPr>
        <w:t xml:space="preserve"> דאף דאין בנין בכלים מ"מ אסור להחזיר את דלתות הכלים גזירה שמא יתקע, ביאר </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Ref145431227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קיב)</w:t>
      </w:r>
      <w:r>
        <w:rPr>
          <w:rStyle w:val="aff4"/>
          <w:vanish/>
          <w:rtl/>
        </w:rPr>
        <w:fldChar w:fldCharType="end"/>
      </w:r>
      <w:r>
        <w:rPr>
          <w:rStyle w:val="aff4"/>
          <w:rFonts w:hint="cs"/>
          <w:vanish/>
          <w:rtl/>
        </w:rPr>
        <w:t xml:space="preserve"> &gt;</w:t>
      </w:r>
      <w:r w:rsidRPr="00470B6A">
        <w:rPr>
          <w:rStyle w:val="aff4"/>
          <w:rFonts w:hint="cs"/>
          <w:rtl/>
        </w:rPr>
        <w:t>רש"י לקמן</w:t>
      </w:r>
      <w:r>
        <w:rPr>
          <w:rFonts w:hint="cs"/>
          <w:rtl/>
        </w:rPr>
        <w:t xml:space="preserve"> </w:t>
      </w:r>
      <w:r w:rsidRPr="00470B6A">
        <w:rPr>
          <w:rStyle w:val="af2"/>
          <w:rFonts w:eastAsia="Guttman Hodes" w:hint="cs"/>
          <w:rtl/>
        </w:rPr>
        <w:t>(קכב: ד"ה גזירה)</w:t>
      </w:r>
      <w:r w:rsidRPr="00470B6A">
        <w:rPr>
          <w:rFonts w:hint="cs"/>
          <w:vanish/>
          <w:rtl/>
        </w:rPr>
        <w:t>=</w:t>
      </w:r>
      <w:r>
        <w:rPr>
          <w:rFonts w:hint="cs"/>
          <w:rtl/>
        </w:rPr>
        <w:t xml:space="preserve"> דהגזירה היא שמא יתקע, הוא כיון</w:t>
      </w:r>
      <w:r w:rsidRPr="00623396">
        <w:rPr>
          <w:rFonts w:hint="cs"/>
          <w:rtl/>
        </w:rPr>
        <w:t xml:space="preserve"> דאי תקע בחזקה בס</w:t>
      </w:r>
      <w:r>
        <w:rPr>
          <w:rFonts w:hint="cs"/>
          <w:rtl/>
        </w:rPr>
        <w:t>י</w:t>
      </w:r>
      <w:r w:rsidRPr="00623396">
        <w:rPr>
          <w:rFonts w:hint="cs"/>
          <w:rtl/>
        </w:rPr>
        <w:t>כין ויתדות הוא גמר מלאכה וחייב משום מכה בפטיש</w:t>
      </w:r>
      <w:bookmarkEnd w:id="5943"/>
      <w:bookmarkEnd w:id="5952"/>
      <w:r>
        <w:rPr>
          <w:rFonts w:hint="cs"/>
          <w:rtl/>
        </w:rPr>
        <w:t>.</w:t>
      </w:r>
    </w:p>
    <w:p w14:paraId="536632F4" w14:textId="77777777" w:rsidR="000F6808" w:rsidRPr="0088513D" w:rsidRDefault="000F6808" w:rsidP="000F6808">
      <w:pPr>
        <w:pStyle w:val="afffffe"/>
        <w:rPr>
          <w:vanish/>
          <w:rtl/>
        </w:rPr>
      </w:pPr>
      <w:r w:rsidRPr="0088513D">
        <w:rPr>
          <w:vanish/>
          <w:rtl/>
        </w:rPr>
        <w:t>רש"י שבת קכ"ב ע"ב</w:t>
      </w:r>
      <w:r w:rsidRPr="0088513D">
        <w:rPr>
          <w:rFonts w:hint="cs"/>
          <w:vanish/>
          <w:rtl/>
        </w:rPr>
        <w:t xml:space="preserve"> ד"ה גזירה</w:t>
      </w:r>
    </w:p>
    <w:p w14:paraId="12BD935C" w14:textId="77777777" w:rsidR="000F6808" w:rsidRDefault="000F6808" w:rsidP="000F6808">
      <w:pPr>
        <w:pStyle w:val="a2"/>
        <w:rPr>
          <w:rtl/>
        </w:rPr>
      </w:pPr>
      <w:r>
        <w:rPr>
          <w:rtl/>
        </w:rPr>
        <w:t>גזירה שמא יתקע - בחזקה בסכין ויתדות, והוה ליה גמר מלאכה וחייב משום מכה בפטיש.</w:t>
      </w:r>
      <w:r w:rsidRPr="00111645">
        <w:rPr>
          <w:rtl/>
        </w:rPr>
        <w:t xml:space="preserve"> </w:t>
      </w:r>
    </w:p>
    <w:p w14:paraId="0DCAE64C" w14:textId="77777777" w:rsidR="000F6808" w:rsidRPr="00ED4934" w:rsidRDefault="000F6808" w:rsidP="000F6808">
      <w:pPr>
        <w:pStyle w:val="afffff7"/>
        <w:rPr>
          <w:rtl/>
        </w:rPr>
      </w:pPr>
      <w:bookmarkStart w:id="5953" w:name="_Toc145500825"/>
      <w:bookmarkStart w:id="5954" w:name="_Toc163506365"/>
      <w:r w:rsidRPr="00ED4934">
        <w:rPr>
          <w:rtl/>
        </w:rPr>
        <w:t>רש"י שבת מ"ז ע"ב</w:t>
      </w:r>
      <w:r w:rsidRPr="00ED4934">
        <w:rPr>
          <w:rFonts w:hint="cs"/>
          <w:rtl/>
        </w:rPr>
        <w:t xml:space="preserve"> ד"ה יתקע</w:t>
      </w:r>
      <w:bookmarkEnd w:id="5953"/>
      <w:bookmarkEnd w:id="5954"/>
    </w:p>
    <w:p w14:paraId="3BF1BC17" w14:textId="77777777" w:rsidR="000F6808" w:rsidRPr="00B15899" w:rsidRDefault="000F6808" w:rsidP="000F6808">
      <w:pPr>
        <w:pStyle w:val="a7"/>
      </w:pPr>
      <w:bookmarkStart w:id="5955" w:name="_Toc145487081"/>
      <w:r>
        <w:rPr>
          <w:rFonts w:hint="cs"/>
          <w:rtl/>
        </w:rPr>
        <w:t>בי' רש"י דהא דאסר ת"ק לתקוע דבתקע חייב היינו בתקיעה בחוזק ע"י יתדות</w:t>
      </w:r>
      <w:bookmarkEnd w:id="5955"/>
    </w:p>
    <w:p w14:paraId="43C986F6" w14:textId="2C1FF50C" w:rsidR="000F6808" w:rsidRPr="000C76E9" w:rsidRDefault="000F6808" w:rsidP="000F6808">
      <w:pPr>
        <w:pStyle w:val="a3"/>
        <w:rPr>
          <w:rtl/>
        </w:rPr>
      </w:pPr>
      <w:bookmarkStart w:id="5956" w:name="_Ref145441303"/>
      <w:r>
        <w:rPr>
          <w:rFonts w:hint="cs"/>
          <w:rtl/>
        </w:rPr>
        <w:t xml:space="preserve">וכן בהא דאמר ת"ק בברייתא לעיל </w:t>
      </w:r>
      <w:r w:rsidRPr="00902865">
        <w:rPr>
          <w:rStyle w:val="af2"/>
          <w:rFonts w:eastAsia="Guttman Hodes" w:hint="cs"/>
          <w:rtl/>
        </w:rPr>
        <w:t>(מז:)</w:t>
      </w:r>
      <w:r w:rsidRPr="007D0409">
        <w:rPr>
          <w:rFonts w:hint="cs"/>
          <w:rtl/>
        </w:rPr>
        <w:t xml:space="preserve"> </w:t>
      </w:r>
      <w:r>
        <w:rPr>
          <w:rFonts w:hint="cs"/>
          <w:rtl/>
        </w:rPr>
        <w:t>דמותר להחזיר ואסור לתקוע, ביאר</w:t>
      </w:r>
      <w:r w:rsidRPr="00902865">
        <w:rPr>
          <w:b/>
          <w:bCs/>
          <w:rtl/>
        </w:rPr>
        <w:t xml:space="preserve"> </w:t>
      </w:r>
      <w:r w:rsidRPr="00902865">
        <w:rPr>
          <w:rFonts w:hint="cs"/>
          <w:b/>
          <w:bCs/>
          <w:vanish/>
          <w:rtl/>
        </w:rPr>
        <w:t xml:space="preserve">&lt;, </w:t>
      </w:r>
      <w:r>
        <w:rPr>
          <w:b/>
          <w:bCs/>
          <w:vanish/>
          <w:rtl/>
        </w:rPr>
        <w:fldChar w:fldCharType="begin"/>
      </w:r>
      <w:r>
        <w:rPr>
          <w:b/>
          <w:bCs/>
          <w:vanish/>
          <w:rtl/>
        </w:rPr>
        <w:instrText xml:space="preserve"> </w:instrText>
      </w:r>
      <w:r>
        <w:rPr>
          <w:rFonts w:hint="cs"/>
          <w:b/>
          <w:bCs/>
          <w:vanish/>
        </w:rPr>
        <w:instrText>REF</w:instrText>
      </w:r>
      <w:r>
        <w:rPr>
          <w:rFonts w:hint="cs"/>
          <w:b/>
          <w:bCs/>
          <w:vanish/>
          <w:rtl/>
        </w:rPr>
        <w:instrText xml:space="preserve"> _</w:instrText>
      </w:r>
      <w:r>
        <w:rPr>
          <w:rFonts w:hint="cs"/>
          <w:b/>
          <w:bCs/>
          <w:vanish/>
        </w:rPr>
        <w:instrText>Ref145441303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קיג)</w:t>
      </w:r>
      <w:r>
        <w:rPr>
          <w:b/>
          <w:bCs/>
          <w:vanish/>
          <w:rtl/>
        </w:rPr>
        <w:fldChar w:fldCharType="end"/>
      </w:r>
      <w:r w:rsidRPr="00902865">
        <w:rPr>
          <w:rFonts w:hint="cs"/>
          <w:b/>
          <w:bCs/>
          <w:vanish/>
          <w:rtl/>
        </w:rPr>
        <w:t xml:space="preserve"> &gt;</w:t>
      </w:r>
      <w:r w:rsidRPr="00902865">
        <w:rPr>
          <w:rFonts w:hint="cs"/>
          <w:b/>
          <w:bCs/>
          <w:rtl/>
        </w:rPr>
        <w:t>רש"י לעיל</w:t>
      </w:r>
      <w:r w:rsidRPr="00902865">
        <w:rPr>
          <w:b/>
          <w:bCs/>
          <w:rtl/>
        </w:rPr>
        <w:t xml:space="preserve"> </w:t>
      </w:r>
      <w:r w:rsidRPr="00902865">
        <w:rPr>
          <w:rFonts w:ascii="Calibri" w:eastAsia="Times New Roman" w:hAnsi="Calibri" w:cs="Guttman Rashi"/>
          <w:sz w:val="10"/>
          <w:szCs w:val="12"/>
          <w:rtl/>
        </w:rPr>
        <w:t>(</w:t>
      </w:r>
      <w:r w:rsidRPr="00902865">
        <w:rPr>
          <w:rFonts w:ascii="Calibri" w:eastAsia="Times New Roman" w:hAnsi="Calibri" w:cs="Guttman Rashi" w:hint="cs"/>
          <w:sz w:val="10"/>
          <w:szCs w:val="12"/>
          <w:rtl/>
        </w:rPr>
        <w:t>מז: ד"ה יתקע</w:t>
      </w:r>
      <w:r w:rsidRPr="00902865">
        <w:rPr>
          <w:rFonts w:ascii="Calibri" w:eastAsia="Times New Roman" w:hAnsi="Calibri" w:cs="Guttman Rashi"/>
          <w:sz w:val="10"/>
          <w:szCs w:val="12"/>
          <w:rtl/>
        </w:rPr>
        <w:t>)</w:t>
      </w:r>
      <w:r w:rsidRPr="00902865">
        <w:rPr>
          <w:b/>
          <w:bCs/>
          <w:vanish/>
          <w:rtl/>
        </w:rPr>
        <w:t>=</w:t>
      </w:r>
      <w:r>
        <w:rPr>
          <w:rFonts w:hint="cs"/>
          <w:rtl/>
        </w:rPr>
        <w:t xml:space="preserve"> דתקיעה היינו בחוזק ע"י יתדות, ועי' במה שביאר </w:t>
      </w:r>
      <w:r w:rsidRPr="00902865">
        <w:rPr>
          <w:rStyle w:val="aff4"/>
          <w:rFonts w:hint="cs"/>
          <w:rtl/>
        </w:rPr>
        <w:t>האבני</w:t>
      </w:r>
      <w:r>
        <w:rPr>
          <w:rFonts w:hint="cs"/>
          <w:rtl/>
        </w:rPr>
        <w:t xml:space="preserve"> </w:t>
      </w:r>
      <w:r w:rsidRPr="00902865">
        <w:rPr>
          <w:rStyle w:val="aff4"/>
          <w:rFonts w:hint="cs"/>
          <w:rtl/>
        </w:rPr>
        <w:t>נזר</w:t>
      </w:r>
      <w:r>
        <w:rPr>
          <w:rFonts w:hint="cs"/>
          <w:rtl/>
        </w:rPr>
        <w:t xml:space="preserve"> </w:t>
      </w:r>
      <w:r w:rsidRPr="00902865">
        <w:rPr>
          <w:rStyle w:val="af2"/>
          <w:rFonts w:eastAsia="Guttman Hodes" w:hint="cs"/>
          <w:rtl/>
        </w:rPr>
        <w:t>(עי' אות</w:t>
      </w:r>
      <w:r>
        <w:rPr>
          <w:rStyle w:val="af2"/>
          <w:rFonts w:eastAsia="Guttman Hodes" w:hint="cs"/>
          <w:rtl/>
        </w:rPr>
        <w:t xml:space="preserve">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Ref145441587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קלט)</w:t>
      </w:r>
      <w:r>
        <w:rPr>
          <w:rStyle w:val="af2"/>
          <w:rFonts w:eastAsia="Guttman Hodes"/>
          <w:rtl/>
        </w:rPr>
        <w:fldChar w:fldCharType="end"/>
      </w:r>
      <w:r w:rsidRPr="00902865">
        <w:rPr>
          <w:rStyle w:val="af2"/>
          <w:rFonts w:eastAsia="Guttman Hodes" w:hint="cs"/>
          <w:rtl/>
        </w:rPr>
        <w:t xml:space="preserve"> </w:t>
      </w:r>
      <w:r>
        <w:rPr>
          <w:rFonts w:hint="cs"/>
          <w:rtl/>
        </w:rPr>
        <w:t xml:space="preserve">בדברי </w:t>
      </w:r>
      <w:r w:rsidRPr="00902865">
        <w:rPr>
          <w:rStyle w:val="aff4"/>
          <w:rFonts w:hint="cs"/>
          <w:rtl/>
        </w:rPr>
        <w:t>רש"י</w:t>
      </w:r>
      <w:r>
        <w:rPr>
          <w:rFonts w:hint="cs"/>
          <w:rtl/>
        </w:rPr>
        <w:t>.</w:t>
      </w:r>
      <w:bookmarkEnd w:id="5956"/>
    </w:p>
    <w:p w14:paraId="254B6595" w14:textId="77777777" w:rsidR="000F6808" w:rsidRPr="0088513D" w:rsidRDefault="000F6808" w:rsidP="000F6808">
      <w:pPr>
        <w:pStyle w:val="afffffe"/>
        <w:rPr>
          <w:vanish/>
          <w:rtl/>
        </w:rPr>
      </w:pPr>
      <w:r w:rsidRPr="0088513D">
        <w:rPr>
          <w:vanish/>
          <w:rtl/>
        </w:rPr>
        <w:t>רש"י שבת מ"ז ע"ב</w:t>
      </w:r>
      <w:r w:rsidRPr="0088513D">
        <w:rPr>
          <w:rFonts w:hint="cs"/>
          <w:vanish/>
          <w:rtl/>
        </w:rPr>
        <w:t xml:space="preserve"> ד"ה יתקע</w:t>
      </w:r>
    </w:p>
    <w:p w14:paraId="5884D347" w14:textId="77777777" w:rsidR="000F6808" w:rsidRPr="00111645" w:rsidRDefault="000F6808" w:rsidP="000F6808">
      <w:pPr>
        <w:pStyle w:val="a2"/>
      </w:pPr>
      <w:r w:rsidRPr="00111645">
        <w:rPr>
          <w:rtl/>
        </w:rPr>
        <w:t>יתקע - בחוזק, על ידי יתדות</w:t>
      </w:r>
      <w:r w:rsidRPr="00111645">
        <w:rPr>
          <w:rFonts w:hint="cs"/>
          <w:rtl/>
        </w:rPr>
        <w:t>.</w:t>
      </w:r>
    </w:p>
    <w:p w14:paraId="7AAA35F0" w14:textId="77777777" w:rsidR="000F6808" w:rsidRPr="00F05D34" w:rsidRDefault="000F6808" w:rsidP="000F6808">
      <w:pPr>
        <w:keepNext/>
        <w:keepLines/>
        <w:spacing w:after="0" w:line="240" w:lineRule="auto"/>
        <w:ind w:left="-284"/>
        <w:jc w:val="both"/>
        <w:outlineLvl w:val="1"/>
        <w:rPr>
          <w:rFonts w:ascii="FrankRuehl" w:eastAsia="Guttman Hodes" w:hAnsi="FrankRuehl" w:cs="Guttman Rashi"/>
          <w:bCs/>
          <w:noProof/>
          <w:sz w:val="16"/>
          <w:szCs w:val="16"/>
          <w:rtl/>
        </w:rPr>
      </w:pPr>
      <w:r w:rsidRPr="00F05D34">
        <w:rPr>
          <w:rFonts w:ascii="FrankRuehl" w:eastAsia="Guttman Hodes" w:hAnsi="FrankRuehl" w:cs="Guttman Rashi" w:hint="cs"/>
          <w:bCs/>
          <w:noProof/>
          <w:sz w:val="16"/>
          <w:szCs w:val="16"/>
          <w:rtl/>
        </w:rPr>
        <w:t>חדושי הרמב"ן שבת ק"ב ע"ב ד"ה ומשמע</w:t>
      </w:r>
    </w:p>
    <w:p w14:paraId="6EE42EA6" w14:textId="77777777" w:rsidR="000F6808" w:rsidRPr="00F05D34" w:rsidRDefault="000F6808" w:rsidP="000F6808">
      <w:pPr>
        <w:pStyle w:val="a7"/>
        <w:rPr>
          <w:rtl/>
        </w:rPr>
      </w:pPr>
      <w:bookmarkStart w:id="5957" w:name="_Toc144909634"/>
      <w:bookmarkStart w:id="5958" w:name="_Toc145401268"/>
      <w:bookmarkStart w:id="5959" w:name="_Toc145487082"/>
      <w:r>
        <w:rPr>
          <w:rFonts w:hint="cs"/>
          <w:rtl/>
        </w:rPr>
        <w:t>דחיית הרמב"ן לרש"י דהתוקע בדלתות אינו חייב משום מכב"פ כרש"י אלא הוי בונה אף בכלים</w:t>
      </w:r>
      <w:bookmarkEnd w:id="5957"/>
      <w:bookmarkEnd w:id="5958"/>
      <w:bookmarkEnd w:id="5959"/>
    </w:p>
    <w:p w14:paraId="42DE76E3" w14:textId="2426881D" w:rsidR="000F6808" w:rsidRPr="00F05D34" w:rsidRDefault="000F6808" w:rsidP="000F6808">
      <w:pPr>
        <w:pStyle w:val="a3"/>
        <w:rPr>
          <w:rtl/>
        </w:rPr>
      </w:pPr>
      <w:bookmarkStart w:id="5960" w:name="_Ref145408495"/>
      <w:r>
        <w:rPr>
          <w:rFonts w:hint="cs"/>
          <w:rtl/>
        </w:rPr>
        <w:t>אבל</w:t>
      </w:r>
      <w:r w:rsidRPr="00F05D34">
        <w:rPr>
          <w:rFonts w:hint="cs"/>
          <w:rtl/>
        </w:rPr>
        <w:t xml:space="preserve"> </w:t>
      </w:r>
      <w:r w:rsidRPr="00E24FB9">
        <w:rPr>
          <w:rStyle w:val="aff4"/>
          <w:rFonts w:hint="cs"/>
          <w:vanish/>
          <w:rtl/>
        </w:rPr>
        <w:t>-</w:t>
      </w:r>
      <w:r w:rsidRPr="00C07E8C">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Ref145408495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קיד)</w:t>
      </w:r>
      <w:r>
        <w:rPr>
          <w:rStyle w:val="aff4"/>
          <w:vanish/>
          <w:rtl/>
        </w:rPr>
        <w:fldChar w:fldCharType="end"/>
      </w:r>
      <w:r>
        <w:rPr>
          <w:rStyle w:val="aff4"/>
          <w:rFonts w:hint="cs"/>
          <w:vanish/>
          <w:rtl/>
        </w:rPr>
        <w:t xml:space="preserve"> &gt;</w:t>
      </w:r>
      <w:r w:rsidRPr="00C07E8C">
        <w:rPr>
          <w:rStyle w:val="aff4"/>
          <w:rFonts w:hint="cs"/>
          <w:rtl/>
        </w:rPr>
        <w:t>רמב"ן</w:t>
      </w:r>
      <w:r w:rsidRPr="00B60DC2">
        <w:rPr>
          <w:rStyle w:val="aff4"/>
          <w:rFonts w:hint="cs"/>
          <w:rtl/>
        </w:rPr>
        <w:t xml:space="preserve"> </w:t>
      </w:r>
      <w:r>
        <w:rPr>
          <w:rStyle w:val="aff4"/>
          <w:rFonts w:hint="cs"/>
          <w:rtl/>
        </w:rPr>
        <w:t>בסוגיין</w:t>
      </w:r>
      <w:r w:rsidRPr="00E24FB9">
        <w:rPr>
          <w:rStyle w:val="aff4"/>
          <w:rFonts w:hint="cs"/>
          <w:vanish/>
          <w:rtl/>
        </w:rPr>
        <w:t xml:space="preserve"> -</w:t>
      </w:r>
      <w:r>
        <w:rPr>
          <w:rFonts w:hint="cs"/>
          <w:rtl/>
        </w:rPr>
        <w:t xml:space="preserve"> </w:t>
      </w:r>
      <w:r w:rsidRPr="00C962CD">
        <w:rPr>
          <w:rStyle w:val="af2"/>
          <w:rFonts w:eastAsia="Guttman Hodes" w:hint="cs"/>
          <w:rtl/>
        </w:rPr>
        <w:t>(ד"ה ומשמע)</w:t>
      </w:r>
      <w:r w:rsidRPr="00D12047">
        <w:rPr>
          <w:rFonts w:hint="cs"/>
          <w:vanish/>
          <w:rtl/>
        </w:rPr>
        <w:t>=</w:t>
      </w:r>
      <w:r>
        <w:rPr>
          <w:rFonts w:hint="cs"/>
          <w:rtl/>
        </w:rPr>
        <w:t xml:space="preserve"> דחה את דברי </w:t>
      </w:r>
      <w:r w:rsidRPr="00623396">
        <w:rPr>
          <w:rFonts w:hint="cs"/>
          <w:b/>
          <w:bCs/>
          <w:vanish/>
          <w:rtl/>
        </w:rPr>
        <w:t>-</w:t>
      </w:r>
      <w:r w:rsidRPr="00623396">
        <w:rPr>
          <w:rFonts w:hint="cs"/>
          <w:b/>
          <w:bCs/>
          <w:rtl/>
        </w:rPr>
        <w:t>רש"י לקמן</w:t>
      </w:r>
      <w:r w:rsidRPr="00623396">
        <w:rPr>
          <w:rFonts w:hint="cs"/>
          <w:b/>
          <w:bCs/>
          <w:vanish/>
          <w:rtl/>
        </w:rPr>
        <w:t>-</w:t>
      </w:r>
      <w:r w:rsidRPr="00623396">
        <w:rPr>
          <w:rFonts w:hint="cs"/>
          <w:rtl/>
        </w:rPr>
        <w:t xml:space="preserve"> </w:t>
      </w:r>
      <w:r w:rsidRPr="00C962CD">
        <w:rPr>
          <w:rStyle w:val="af2"/>
          <w:rFonts w:eastAsia="Guttman Hodes" w:hint="cs"/>
          <w:rtl/>
        </w:rPr>
        <w:t>(עי' אות</w:t>
      </w:r>
      <w:r>
        <w:rPr>
          <w:rStyle w:val="af2"/>
          <w:rFonts w:eastAsia="Guttman Hodes" w:hint="cs"/>
          <w:rtl/>
        </w:rPr>
        <w:t xml:space="preserve">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Ref145431227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קיב)</w:t>
      </w:r>
      <w:r>
        <w:rPr>
          <w:rStyle w:val="af2"/>
          <w:rFonts w:eastAsia="Guttman Hodes"/>
          <w:rtl/>
        </w:rPr>
        <w:fldChar w:fldCharType="end"/>
      </w:r>
      <w:r w:rsidRPr="00C962CD">
        <w:rPr>
          <w:rStyle w:val="af2"/>
          <w:rFonts w:eastAsia="Guttman Hodes" w:hint="cs"/>
          <w:rtl/>
        </w:rPr>
        <w:t xml:space="preserve"> </w:t>
      </w:r>
      <w:r>
        <w:rPr>
          <w:rFonts w:hint="cs"/>
          <w:rtl/>
        </w:rPr>
        <w:t>וכתב דבתוקע ביתדות וסיכין חייב משום בונה דבזה לא אמרינן דאין בנין בכלים.</w:t>
      </w:r>
      <w:bookmarkEnd w:id="5960"/>
      <w:r>
        <w:rPr>
          <w:rFonts w:hint="cs"/>
          <w:rtl/>
        </w:rPr>
        <w:t xml:space="preserve"> </w:t>
      </w:r>
    </w:p>
    <w:p w14:paraId="6B83C18C" w14:textId="77777777" w:rsidR="000F6808" w:rsidRPr="0088513D" w:rsidRDefault="000F6808" w:rsidP="000F6808">
      <w:pPr>
        <w:pStyle w:val="afffffe"/>
        <w:rPr>
          <w:vanish/>
          <w:rtl/>
        </w:rPr>
      </w:pPr>
      <w:r w:rsidRPr="0088513D">
        <w:rPr>
          <w:rFonts w:hint="cs"/>
          <w:vanish/>
          <w:rtl/>
        </w:rPr>
        <w:t>חדושי הרמב"ן שבת ק"ב ע"ב ד"ה ומשמע</w:t>
      </w:r>
    </w:p>
    <w:p w14:paraId="38A504F5" w14:textId="77777777" w:rsidR="000F6808" w:rsidRPr="00111645" w:rsidRDefault="000F6808" w:rsidP="000F6808">
      <w:pPr>
        <w:pStyle w:val="a2"/>
        <w:rPr>
          <w:rtl/>
        </w:rPr>
      </w:pPr>
      <w:r w:rsidRPr="00111645">
        <w:rPr>
          <w:rtl/>
        </w:rPr>
        <w:t>ומשמע לי נמי דכל היכי דתקע ביתידות וסיכין חייב משום בונה, והיינו דאמרי' בפ' כל הכלים (קכ"ב ב') גזירה שמא יתקע כלומר ומחייב משום בונה ולא כמו שפי' רש"י ז"ל משום מכה בפטיש</w:t>
      </w:r>
      <w:r w:rsidRPr="00111645">
        <w:rPr>
          <w:rFonts w:hint="cs"/>
          <w:rtl/>
        </w:rPr>
        <w:t>.</w:t>
      </w:r>
    </w:p>
    <w:p w14:paraId="2DBBF077" w14:textId="77777777" w:rsidR="000F6808" w:rsidRDefault="000F6808" w:rsidP="000F6808">
      <w:pPr>
        <w:pStyle w:val="afffff7"/>
        <w:rPr>
          <w:rtl/>
        </w:rPr>
      </w:pPr>
      <w:bookmarkStart w:id="5961" w:name="_Toc145500826"/>
      <w:bookmarkStart w:id="5962" w:name="_Toc144909643"/>
      <w:bookmarkStart w:id="5963" w:name="_Toc145198429"/>
      <w:bookmarkStart w:id="5964" w:name="_Toc163506366"/>
      <w:r w:rsidRPr="00AF61D5">
        <w:rPr>
          <w:rFonts w:hint="cs"/>
          <w:rtl/>
        </w:rPr>
        <w:t>מלחמת ה' שבת ל"ז ע"א מדה"ר ד"ה אמר הכותב אעפ"י</w:t>
      </w:r>
      <w:bookmarkEnd w:id="5961"/>
      <w:bookmarkEnd w:id="5964"/>
    </w:p>
    <w:p w14:paraId="1E04C752" w14:textId="77777777" w:rsidR="000F6808" w:rsidRPr="00022961" w:rsidRDefault="000F6808" w:rsidP="000F6808">
      <w:pPr>
        <w:pStyle w:val="a7"/>
      </w:pPr>
      <w:bookmarkStart w:id="5965" w:name="_Toc145487083"/>
      <w:r>
        <w:rPr>
          <w:rFonts w:hint="cs"/>
          <w:rtl/>
        </w:rPr>
        <w:t>בי' הרמב"ן במלחמות בדעת הרי"ף דתוקע חייב במכה בפטיש דהוא הגמר מלאכה</w:t>
      </w:r>
      <w:bookmarkEnd w:id="5965"/>
    </w:p>
    <w:p w14:paraId="385F5035" w14:textId="483BBFE5" w:rsidR="000F6808" w:rsidRPr="00AF61D5" w:rsidRDefault="000F6808" w:rsidP="000F6808">
      <w:pPr>
        <w:pStyle w:val="a3"/>
      </w:pPr>
      <w:bookmarkStart w:id="5966" w:name="_Ref145432321"/>
      <w:r>
        <w:rPr>
          <w:rFonts w:hint="cs"/>
          <w:rtl/>
        </w:rPr>
        <w:t xml:space="preserve">אמנם </w:t>
      </w:r>
      <w:r w:rsidRPr="00E24FB9">
        <w:rPr>
          <w:rStyle w:val="aff4"/>
          <w:rFonts w:hint="cs"/>
          <w:vanish/>
          <w:rtl/>
        </w:rPr>
        <w:t>-</w:t>
      </w:r>
      <w:r w:rsidRPr="00C07E8C">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Ref145432321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קטו)</w:t>
      </w:r>
      <w:r>
        <w:rPr>
          <w:rStyle w:val="aff4"/>
          <w:vanish/>
          <w:rtl/>
        </w:rPr>
        <w:fldChar w:fldCharType="end"/>
      </w:r>
      <w:r>
        <w:rPr>
          <w:rStyle w:val="aff4"/>
          <w:rFonts w:hint="cs"/>
          <w:vanish/>
          <w:rtl/>
        </w:rPr>
        <w:t xml:space="preserve"> &gt;</w:t>
      </w:r>
      <w:r w:rsidRPr="00C07E8C">
        <w:rPr>
          <w:rStyle w:val="aff4"/>
          <w:rFonts w:hint="cs"/>
          <w:rtl/>
        </w:rPr>
        <w:t>רמב"ן במלחמות</w:t>
      </w:r>
      <w:r w:rsidRPr="00E24FB9">
        <w:rPr>
          <w:rStyle w:val="aff4"/>
          <w:rFonts w:hint="cs"/>
          <w:vanish/>
          <w:rtl/>
        </w:rPr>
        <w:t>-</w:t>
      </w:r>
      <w:r w:rsidRPr="00AF61D5">
        <w:rPr>
          <w:rFonts w:hint="cs"/>
          <w:rtl/>
        </w:rPr>
        <w:t xml:space="preserve"> </w:t>
      </w:r>
      <w:r w:rsidRPr="00C962CD">
        <w:rPr>
          <w:rStyle w:val="af2"/>
          <w:rFonts w:eastAsia="Guttman Hodes" w:hint="cs"/>
          <w:rtl/>
        </w:rPr>
        <w:t>(ל"ז. מדה"ר ד"ה אמר הכותב אעפ"י, מהדו' עוז והדר עמ' ק"ד)</w:t>
      </w:r>
      <w:r w:rsidRPr="00D12047">
        <w:rPr>
          <w:rFonts w:hint="cs"/>
          <w:vanish/>
          <w:rtl/>
        </w:rPr>
        <w:t>=</w:t>
      </w:r>
      <w:r>
        <w:rPr>
          <w:rFonts w:hint="cs"/>
          <w:rtl/>
        </w:rPr>
        <w:t xml:space="preserve"> כתב </w:t>
      </w:r>
      <w:r w:rsidRPr="00AF61D5">
        <w:rPr>
          <w:rFonts w:hint="cs"/>
          <w:rtl/>
        </w:rPr>
        <w:t xml:space="preserve">בדעת </w:t>
      </w:r>
      <w:r w:rsidRPr="00E24FB9">
        <w:rPr>
          <w:rStyle w:val="aff4"/>
          <w:rFonts w:hint="cs"/>
          <w:vanish/>
          <w:rtl/>
        </w:rPr>
        <w:t>-</w:t>
      </w:r>
      <w:r w:rsidRPr="00C07E8C">
        <w:rPr>
          <w:rStyle w:val="aff4"/>
          <w:rFonts w:hint="cs"/>
          <w:rtl/>
        </w:rPr>
        <w:t>הרי"ף</w:t>
      </w:r>
      <w:r w:rsidRPr="00E24FB9">
        <w:rPr>
          <w:rStyle w:val="aff4"/>
          <w:rFonts w:hint="cs"/>
          <w:vanish/>
          <w:rtl/>
        </w:rPr>
        <w:t>-</w:t>
      </w:r>
      <w:r w:rsidRPr="00AF61D5">
        <w:rPr>
          <w:rFonts w:hint="cs"/>
          <w:rtl/>
        </w:rPr>
        <w:t xml:space="preserve"> </w:t>
      </w:r>
      <w:r>
        <w:rPr>
          <w:rFonts w:hint="cs"/>
          <w:rtl/>
        </w:rPr>
        <w:t>דהא דה</w:t>
      </w:r>
      <w:r w:rsidRPr="00AF61D5">
        <w:rPr>
          <w:rFonts w:hint="cs"/>
          <w:rtl/>
        </w:rPr>
        <w:t xml:space="preserve">תוקע חייב חטאת, היינו כיון </w:t>
      </w:r>
      <w:r>
        <w:rPr>
          <w:rFonts w:hint="cs"/>
          <w:rtl/>
        </w:rPr>
        <w:t>ד</w:t>
      </w:r>
      <w:r w:rsidRPr="00AF61D5">
        <w:rPr>
          <w:rFonts w:hint="cs"/>
          <w:rtl/>
        </w:rPr>
        <w:t>הוא גמר מלאכה וחייב משום מכה בפטיש</w:t>
      </w:r>
      <w:bookmarkEnd w:id="5966"/>
      <w:r>
        <w:rPr>
          <w:rFonts w:hint="cs"/>
          <w:rtl/>
        </w:rPr>
        <w:t>.</w:t>
      </w:r>
    </w:p>
    <w:p w14:paraId="3B94DCAB" w14:textId="77777777" w:rsidR="000F6808" w:rsidRPr="0088513D" w:rsidRDefault="000F6808" w:rsidP="000F6808">
      <w:pPr>
        <w:pStyle w:val="afffffe"/>
        <w:rPr>
          <w:vanish/>
        </w:rPr>
      </w:pPr>
      <w:r w:rsidRPr="0088513D">
        <w:rPr>
          <w:rFonts w:hint="cs"/>
          <w:vanish/>
          <w:rtl/>
        </w:rPr>
        <w:t>מלחמת ה' שבת ל"ז ע"א מדה"ר ד"ה אמר הכותב אעפ"י</w:t>
      </w:r>
    </w:p>
    <w:p w14:paraId="58E256AC" w14:textId="77777777" w:rsidR="000F6808" w:rsidRPr="00111645" w:rsidRDefault="000F6808" w:rsidP="000F6808">
      <w:pPr>
        <w:pStyle w:val="a2"/>
        <w:rPr>
          <w:rtl/>
        </w:rPr>
      </w:pPr>
      <w:r w:rsidRPr="00111645">
        <w:rPr>
          <w:rtl/>
        </w:rPr>
        <w:t>ואם תקע חייב חטאת משום דתקוען הוא גמר מלאכה וחייב משום מכה בפטיש.</w:t>
      </w:r>
    </w:p>
    <w:p w14:paraId="7E23FA6B" w14:textId="77777777" w:rsidR="000F6808" w:rsidRPr="00FC269C" w:rsidRDefault="000F6808" w:rsidP="000F6808">
      <w:pPr>
        <w:pStyle w:val="afffff7"/>
        <w:rPr>
          <w:rtl/>
        </w:rPr>
      </w:pPr>
      <w:bookmarkStart w:id="5967" w:name="_Toc145500827"/>
      <w:bookmarkStart w:id="5968" w:name="_Toc163506367"/>
      <w:r w:rsidRPr="00FC269C">
        <w:rPr>
          <w:rtl/>
        </w:rPr>
        <w:t>רא"ש שבת פי</w:t>
      </w:r>
      <w:r w:rsidRPr="00FC269C">
        <w:rPr>
          <w:rFonts w:hint="cs"/>
          <w:rtl/>
        </w:rPr>
        <w:t>"</w:t>
      </w:r>
      <w:r w:rsidRPr="00FC269C">
        <w:rPr>
          <w:rtl/>
        </w:rPr>
        <w:t>ז סי</w:t>
      </w:r>
      <w:r w:rsidRPr="00FC269C">
        <w:rPr>
          <w:rFonts w:hint="cs"/>
          <w:rtl/>
        </w:rPr>
        <w:t>'</w:t>
      </w:r>
      <w:r w:rsidRPr="00FC269C">
        <w:rPr>
          <w:rtl/>
        </w:rPr>
        <w:t xml:space="preserve"> א</w:t>
      </w:r>
      <w:r w:rsidRPr="00FC269C">
        <w:rPr>
          <w:rFonts w:hint="cs"/>
          <w:rtl/>
        </w:rPr>
        <w:t>'</w:t>
      </w:r>
      <w:bookmarkEnd w:id="5967"/>
      <w:bookmarkEnd w:id="5968"/>
    </w:p>
    <w:p w14:paraId="454AD754" w14:textId="77777777" w:rsidR="000F6808" w:rsidRPr="00FC269C" w:rsidRDefault="000F6808" w:rsidP="000F6808">
      <w:pPr>
        <w:pStyle w:val="afffff7"/>
        <w:rPr>
          <w:rtl/>
        </w:rPr>
      </w:pPr>
      <w:bookmarkStart w:id="5969" w:name="_Toc145500828"/>
      <w:bookmarkStart w:id="5970" w:name="_Toc163506368"/>
      <w:r w:rsidRPr="00FC269C">
        <w:rPr>
          <w:rtl/>
        </w:rPr>
        <w:t>תוספות הרא"ש עירובין ק"ב ע"ב</w:t>
      </w:r>
      <w:r w:rsidRPr="00FC269C">
        <w:rPr>
          <w:rFonts w:hint="cs"/>
          <w:rtl/>
        </w:rPr>
        <w:t xml:space="preserve"> ד"ה מחזירין</w:t>
      </w:r>
      <w:bookmarkEnd w:id="5969"/>
      <w:bookmarkEnd w:id="5970"/>
    </w:p>
    <w:p w14:paraId="6333801D" w14:textId="77777777" w:rsidR="000F6808" w:rsidRDefault="000F6808" w:rsidP="000F6808">
      <w:pPr>
        <w:pStyle w:val="a7"/>
        <w:rPr>
          <w:rtl/>
        </w:rPr>
      </w:pPr>
      <w:bookmarkStart w:id="5971" w:name="_Toc145487084"/>
      <w:r>
        <w:rPr>
          <w:rFonts w:hint="cs"/>
          <w:rtl/>
        </w:rPr>
        <w:t>בי' הרא"ש לקמן והתורא"ש בעירובין והרשב"א והר"ן והאו"ז דתוקע חייב משום מכב"פ</w:t>
      </w:r>
      <w:bookmarkEnd w:id="5971"/>
    </w:p>
    <w:p w14:paraId="49C6C721" w14:textId="787499FD" w:rsidR="000F6808" w:rsidRPr="000F3848" w:rsidRDefault="000F6808" w:rsidP="000F6808">
      <w:pPr>
        <w:pStyle w:val="a3"/>
        <w:rPr>
          <w:rtl/>
        </w:rPr>
      </w:pPr>
      <w:r>
        <w:rPr>
          <w:rFonts w:hint="cs"/>
          <w:rtl/>
        </w:rPr>
        <w:t>וכ"כ</w:t>
      </w:r>
      <w:r>
        <w:rPr>
          <w:rtl/>
        </w:rPr>
        <w:t xml:space="preserve"> </w:t>
      </w:r>
      <w:r w:rsidRPr="000F3848">
        <w:rPr>
          <w:b/>
          <w:bCs/>
          <w:rtl/>
        </w:rPr>
        <w:t>ה</w:t>
      </w:r>
      <w:r w:rsidRPr="000F3848">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Ref144634486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פז)</w:t>
      </w:r>
      <w:r>
        <w:rPr>
          <w:b/>
          <w:bCs/>
          <w:vanish/>
          <w:rtl/>
        </w:rPr>
        <w:fldChar w:fldCharType="end"/>
      </w:r>
      <w:r w:rsidRPr="000F3848">
        <w:rPr>
          <w:b/>
          <w:bCs/>
          <w:vanish/>
          <w:rtl/>
        </w:rPr>
        <w:t xml:space="preserve"> &gt;</w:t>
      </w:r>
      <w:r>
        <w:rPr>
          <w:rFonts w:hint="cs"/>
          <w:b/>
          <w:bCs/>
          <w:rtl/>
        </w:rPr>
        <w:t>רא"ש לקמן</w:t>
      </w:r>
      <w:r w:rsidRPr="000F3848">
        <w:rPr>
          <w:b/>
          <w:bCs/>
          <w:rtl/>
        </w:rPr>
        <w:t xml:space="preserve"> </w:t>
      </w:r>
      <w:r w:rsidRPr="000F3848">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פי"ז סי' א'</w:t>
      </w:r>
      <w:r w:rsidRPr="000F3848">
        <w:rPr>
          <w:rFonts w:ascii="Calibri" w:eastAsia="Times New Roman" w:hAnsi="Calibri" w:cs="Guttman Rashi"/>
          <w:noProof w:val="0"/>
          <w:sz w:val="10"/>
          <w:szCs w:val="12"/>
          <w:rtl/>
        </w:rPr>
        <w:t>)</w:t>
      </w:r>
      <w:r w:rsidRPr="000F3848">
        <w:rPr>
          <w:vanish/>
          <w:rtl/>
        </w:rPr>
        <w:t>=</w:t>
      </w:r>
      <w:r>
        <w:rPr>
          <w:rtl/>
        </w:rPr>
        <w:t xml:space="preserve"> </w:t>
      </w:r>
      <w:r>
        <w:rPr>
          <w:rFonts w:hint="cs"/>
          <w:rtl/>
        </w:rPr>
        <w:t xml:space="preserve">דכתב דדלתות שידה תיבה ומגדל נוטלין כיון דאין בנין וסתירה בכלים, והאיסור להחזיר הוא שמא יתקע ויתחייב משום מכה בפטיש, וכ"כ </w:t>
      </w:r>
      <w:r w:rsidRPr="00D01D8A">
        <w:rPr>
          <w:rStyle w:val="aff4"/>
          <w:rFonts w:hint="cs"/>
          <w:rtl/>
        </w:rPr>
        <w:t>ה</w:t>
      </w:r>
      <w:r w:rsidRPr="00F14242">
        <w:rPr>
          <w:b/>
          <w:bCs/>
          <w:vanish/>
          <w:rtl/>
        </w:rPr>
        <w:t>&lt; &gt;</w:t>
      </w:r>
      <w:r w:rsidRPr="00154589">
        <w:rPr>
          <w:rFonts w:hint="cs"/>
          <w:b/>
          <w:bCs/>
          <w:rtl/>
        </w:rPr>
        <w:t>תוס' הרא"ש בעירובין</w:t>
      </w:r>
      <w:r w:rsidRPr="00F14242">
        <w:rPr>
          <w:b/>
          <w:bCs/>
          <w:rtl/>
        </w:rPr>
        <w:t xml:space="preserve"> </w:t>
      </w:r>
      <w:r w:rsidRPr="00F14242">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קב: סוד"ה מחזירין</w:t>
      </w:r>
      <w:r w:rsidRPr="00F14242">
        <w:rPr>
          <w:rFonts w:ascii="Calibri" w:eastAsia="Times New Roman" w:hAnsi="Calibri" w:cs="Guttman Rashi"/>
          <w:noProof w:val="0"/>
          <w:sz w:val="10"/>
          <w:szCs w:val="12"/>
          <w:rtl/>
        </w:rPr>
        <w:t>)</w:t>
      </w:r>
      <w:r w:rsidRPr="00F14242">
        <w:rPr>
          <w:vanish/>
          <w:rtl/>
        </w:rPr>
        <w:t>=</w:t>
      </w:r>
      <w:r>
        <w:rPr>
          <w:rFonts w:hint="cs"/>
          <w:vanish/>
          <w:rtl/>
        </w:rPr>
        <w:t>,</w:t>
      </w:r>
      <w:r>
        <w:rPr>
          <w:rtl/>
        </w:rPr>
        <w:t xml:space="preserve"> </w:t>
      </w:r>
      <w:r>
        <w:rPr>
          <w:rFonts w:hint="cs"/>
          <w:rtl/>
        </w:rPr>
        <w:t xml:space="preserve">וכ"כ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Ref144805308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קכט)</w:t>
      </w:r>
      <w:r>
        <w:rPr>
          <w:b/>
          <w:bCs/>
          <w:vanish/>
          <w:rtl/>
        </w:rPr>
        <w:fldChar w:fldCharType="end"/>
      </w:r>
      <w:r>
        <w:rPr>
          <w:rFonts w:hint="cs"/>
          <w:b/>
          <w:bCs/>
          <w:rtl/>
        </w:rPr>
        <w:t>ה</w:t>
      </w:r>
      <w:r w:rsidRPr="00F14242">
        <w:rPr>
          <w:b/>
          <w:bCs/>
          <w:vanish/>
          <w:rtl/>
        </w:rPr>
        <w:t>&lt; &gt;</w:t>
      </w:r>
      <w:r w:rsidRPr="00861CDB">
        <w:rPr>
          <w:rFonts w:hint="cs"/>
          <w:b/>
          <w:bCs/>
          <w:rtl/>
        </w:rPr>
        <w:t>רשב"א בעבודת הקודש</w:t>
      </w:r>
      <w:r w:rsidRPr="00861CDB">
        <w:rPr>
          <w:b/>
          <w:bCs/>
          <w:rtl/>
        </w:rPr>
        <w:t xml:space="preserve"> </w:t>
      </w:r>
      <w:r w:rsidRPr="00247B5F">
        <w:rPr>
          <w:rStyle w:val="af2"/>
          <w:rFonts w:eastAsia="Guttman Hodes" w:hint="cs"/>
          <w:rtl/>
        </w:rPr>
        <w:t xml:space="preserve">(עי' אות </w:t>
      </w:r>
      <w:r w:rsidRPr="00247B5F">
        <w:rPr>
          <w:rStyle w:val="af2"/>
          <w:rFonts w:eastAsia="Guttman Hodes"/>
          <w:rtl/>
        </w:rPr>
        <w:t>מב)</w:t>
      </w:r>
      <w:r w:rsidRPr="00030A4D">
        <w:rPr>
          <w:rFonts w:hint="cs"/>
          <w:vanish/>
          <w:rtl/>
        </w:rPr>
        <w:t>=</w:t>
      </w:r>
      <w:r>
        <w:rPr>
          <w:rFonts w:hint="cs"/>
          <w:b/>
          <w:bCs/>
          <w:rtl/>
        </w:rPr>
        <w:t xml:space="preserve"> וה</w:t>
      </w:r>
      <w:r w:rsidRPr="00F14242">
        <w:rPr>
          <w:b/>
          <w:bCs/>
          <w:vanish/>
          <w:rtl/>
        </w:rPr>
        <w:t>&lt; &gt;</w:t>
      </w:r>
      <w:r>
        <w:rPr>
          <w:rFonts w:hint="cs"/>
          <w:b/>
          <w:bCs/>
          <w:rtl/>
        </w:rPr>
        <w:t>ר"ן על הרי"ף</w:t>
      </w:r>
      <w:r w:rsidRPr="009413E3">
        <w:rPr>
          <w:b/>
          <w:bCs/>
          <w:rtl/>
        </w:rPr>
        <w:t xml:space="preserve"> </w:t>
      </w:r>
      <w:r w:rsidRPr="00CD7B4F">
        <w:rPr>
          <w:rStyle w:val="af2"/>
          <w:rFonts w:eastAsia="Guttman Hodes" w:hint="cs"/>
          <w:rtl/>
        </w:rPr>
        <w:t xml:space="preserve">(עי' אות </w:t>
      </w:r>
      <w:r w:rsidRPr="00CD7B4F">
        <w:rPr>
          <w:rStyle w:val="af2"/>
          <w:rFonts w:eastAsia="Guttman Hodes"/>
          <w:rtl/>
        </w:rPr>
        <w:t>מט)</w:t>
      </w:r>
      <w:r w:rsidRPr="00030A4D">
        <w:rPr>
          <w:rFonts w:hint="cs"/>
          <w:vanish/>
          <w:rtl/>
        </w:rPr>
        <w:t>=</w:t>
      </w:r>
      <w:r>
        <w:rPr>
          <w:rFonts w:hint="cs"/>
          <w:b/>
          <w:bCs/>
          <w:rtl/>
        </w:rPr>
        <w:t xml:space="preserve"> וה</w:t>
      </w:r>
      <w:r w:rsidRPr="00F14242">
        <w:rPr>
          <w:b/>
          <w:bCs/>
          <w:vanish/>
          <w:rtl/>
        </w:rPr>
        <w:t>&lt; &gt;</w:t>
      </w:r>
      <w:r w:rsidRPr="004109E2">
        <w:rPr>
          <w:rFonts w:hint="cs"/>
          <w:b/>
          <w:bCs/>
          <w:rtl/>
        </w:rPr>
        <w:t>או</w:t>
      </w:r>
      <w:r>
        <w:rPr>
          <w:rFonts w:hint="cs"/>
          <w:b/>
          <w:bCs/>
          <w:rtl/>
        </w:rPr>
        <w:t>ר זרוע</w:t>
      </w:r>
      <w:r>
        <w:rPr>
          <w:rFonts w:hint="cs"/>
          <w:rtl/>
        </w:rPr>
        <w:t xml:space="preserve"> </w:t>
      </w:r>
      <w:r w:rsidRPr="00CD7B4F">
        <w:rPr>
          <w:rStyle w:val="af2"/>
          <w:rFonts w:eastAsia="Guttman Hodes" w:hint="cs"/>
          <w:rtl/>
        </w:rPr>
        <w:t xml:space="preserve">(עי' אות </w:t>
      </w:r>
      <w:r w:rsidRPr="00CD7B4F">
        <w:rPr>
          <w:rStyle w:val="af2"/>
          <w:rFonts w:eastAsia="Guttman Hodes"/>
          <w:rtl/>
        </w:rPr>
        <w:fldChar w:fldCharType="begin"/>
      </w:r>
      <w:r w:rsidRPr="00CD7B4F">
        <w:rPr>
          <w:rStyle w:val="af2"/>
          <w:rFonts w:eastAsia="Guttman Hodes"/>
          <w:rtl/>
        </w:rPr>
        <w:instrText xml:space="preserve"> </w:instrText>
      </w:r>
      <w:r w:rsidRPr="00CD7B4F">
        <w:rPr>
          <w:rStyle w:val="af2"/>
          <w:rFonts w:eastAsia="Guttman Hodes" w:hint="cs"/>
        </w:rPr>
        <w:instrText>REF</w:instrText>
      </w:r>
      <w:r w:rsidRPr="00CD7B4F">
        <w:rPr>
          <w:rStyle w:val="af2"/>
          <w:rFonts w:eastAsia="Guttman Hodes" w:hint="cs"/>
          <w:rtl/>
        </w:rPr>
        <w:instrText xml:space="preserve"> _</w:instrText>
      </w:r>
      <w:r w:rsidRPr="00CD7B4F">
        <w:rPr>
          <w:rStyle w:val="af2"/>
          <w:rFonts w:eastAsia="Guttman Hodes" w:hint="cs"/>
        </w:rPr>
        <w:instrText>Ref145435469 \r \h</w:instrText>
      </w:r>
      <w:r w:rsidRPr="00CD7B4F">
        <w:rPr>
          <w:rStyle w:val="af2"/>
          <w:rFonts w:eastAsia="Guttman Hodes"/>
          <w:rtl/>
        </w:rPr>
        <w:instrText xml:space="preserve"> </w:instrText>
      </w:r>
      <w:r w:rsidRPr="00CD7B4F">
        <w:rPr>
          <w:rStyle w:val="af2"/>
          <w:rFonts w:eastAsia="Guttman Hodes"/>
          <w:rtl/>
        </w:rPr>
      </w:r>
      <w:r w:rsidRPr="00CD7B4F">
        <w:rPr>
          <w:rStyle w:val="af2"/>
          <w:rFonts w:eastAsia="Guttman Hodes"/>
          <w:rtl/>
        </w:rPr>
        <w:fldChar w:fldCharType="separate"/>
      </w:r>
      <w:r w:rsidR="00D82181">
        <w:rPr>
          <w:rStyle w:val="af2"/>
          <w:rFonts w:eastAsia="Guttman Hodes"/>
          <w:cs/>
        </w:rPr>
        <w:t>‎</w:t>
      </w:r>
      <w:r w:rsidR="00D82181">
        <w:rPr>
          <w:rStyle w:val="af2"/>
          <w:rFonts w:eastAsia="Guttman Hodes"/>
          <w:rtl/>
        </w:rPr>
        <w:t>קלא)</w:t>
      </w:r>
      <w:r w:rsidRPr="00CD7B4F">
        <w:rPr>
          <w:rStyle w:val="af2"/>
          <w:rFonts w:eastAsia="Guttman Hodes"/>
          <w:rtl/>
        </w:rPr>
        <w:fldChar w:fldCharType="end"/>
      </w:r>
      <w:r w:rsidRPr="00030A4D">
        <w:rPr>
          <w:rFonts w:hint="cs"/>
          <w:vanish/>
          <w:rtl/>
        </w:rPr>
        <w:t>=</w:t>
      </w:r>
      <w:r>
        <w:rPr>
          <w:rFonts w:hint="cs"/>
          <w:rtl/>
        </w:rPr>
        <w:t xml:space="preserve"> דהחיוב בתוקע הוא משום מכה בפטיש.</w:t>
      </w:r>
    </w:p>
    <w:p w14:paraId="69D21AB9" w14:textId="77777777" w:rsidR="000F6808" w:rsidRPr="0088513D" w:rsidRDefault="000F6808" w:rsidP="000F6808">
      <w:pPr>
        <w:pStyle w:val="afffffe"/>
        <w:rPr>
          <w:vanish/>
          <w:rtl/>
        </w:rPr>
      </w:pPr>
      <w:r w:rsidRPr="0088513D">
        <w:rPr>
          <w:vanish/>
          <w:rtl/>
        </w:rPr>
        <w:t>רא"ש שבת פי</w:t>
      </w:r>
      <w:r w:rsidRPr="0088513D">
        <w:rPr>
          <w:rFonts w:hint="cs"/>
          <w:vanish/>
          <w:rtl/>
        </w:rPr>
        <w:t>"</w:t>
      </w:r>
      <w:r w:rsidRPr="0088513D">
        <w:rPr>
          <w:vanish/>
          <w:rtl/>
        </w:rPr>
        <w:t>ז סי</w:t>
      </w:r>
      <w:r w:rsidRPr="0088513D">
        <w:rPr>
          <w:rFonts w:hint="cs"/>
          <w:vanish/>
          <w:rtl/>
        </w:rPr>
        <w:t>'</w:t>
      </w:r>
      <w:r w:rsidRPr="0088513D">
        <w:rPr>
          <w:vanish/>
          <w:rtl/>
        </w:rPr>
        <w:t xml:space="preserve"> א</w:t>
      </w:r>
      <w:r w:rsidRPr="0088513D">
        <w:rPr>
          <w:rFonts w:hint="cs"/>
          <w:vanish/>
          <w:rtl/>
        </w:rPr>
        <w:t>'</w:t>
      </w:r>
    </w:p>
    <w:p w14:paraId="3C580DF7" w14:textId="77777777" w:rsidR="000F6808" w:rsidRPr="00111645" w:rsidRDefault="000F6808" w:rsidP="000F6808">
      <w:pPr>
        <w:pStyle w:val="a2"/>
        <w:rPr>
          <w:rtl/>
        </w:rPr>
      </w:pPr>
      <w:r w:rsidRPr="00111645">
        <w:rPr>
          <w:rtl/>
        </w:rPr>
        <w:t xml:space="preserve">אבל של שידה תיבה ומגדל נוטלין דאין בנין וסתירה בכלים. והא דאין מחזירין גזירה שמא יתקע ומיחייב משום מכה בפטיש: </w:t>
      </w:r>
    </w:p>
    <w:p w14:paraId="191C7FA5" w14:textId="77777777" w:rsidR="000F6808" w:rsidRPr="0088513D" w:rsidRDefault="000F6808" w:rsidP="000F6808">
      <w:pPr>
        <w:pStyle w:val="afffffe"/>
        <w:rPr>
          <w:vanish/>
          <w:rtl/>
        </w:rPr>
      </w:pPr>
      <w:r w:rsidRPr="0088513D">
        <w:rPr>
          <w:vanish/>
          <w:rtl/>
        </w:rPr>
        <w:t>תוספות הרא"ש עירובין ק"ב ע"ב</w:t>
      </w:r>
      <w:r w:rsidRPr="0088513D">
        <w:rPr>
          <w:rFonts w:hint="cs"/>
          <w:vanish/>
          <w:rtl/>
        </w:rPr>
        <w:t xml:space="preserve"> ד"ה מחזירין</w:t>
      </w:r>
    </w:p>
    <w:p w14:paraId="75599848" w14:textId="77777777" w:rsidR="000F6808" w:rsidRDefault="000F6808" w:rsidP="000F6808">
      <w:pPr>
        <w:pStyle w:val="afffff5"/>
        <w:rPr>
          <w:rtl/>
        </w:rPr>
      </w:pPr>
      <w:r w:rsidRPr="00111645">
        <w:rPr>
          <w:rtl/>
        </w:rPr>
        <w:t>והא דקאמר בגמ' גזירה שמא יתקע קאי אעליון דאם יתקע חייב חטאת משום דהוא גמר כלי וחייב משום מכה בפטיש ולא משום בונה אבל אתחתון ליכא למיגזר משום שמא יתקע דאפילו אם מתקע תקע ליה [ליכא] איסור דאוריתא דתוקע מועט הוא בציר התחתון ולא חשיב בהכי מכה בפטיש.</w:t>
      </w:r>
    </w:p>
    <w:p w14:paraId="0933FCF8" w14:textId="77777777" w:rsidR="000F6808" w:rsidRPr="00FC269C" w:rsidRDefault="000F6808" w:rsidP="000F6808">
      <w:pPr>
        <w:pStyle w:val="afffff7"/>
        <w:rPr>
          <w:rtl/>
        </w:rPr>
      </w:pPr>
      <w:bookmarkStart w:id="5972" w:name="_Toc145198433"/>
      <w:bookmarkStart w:id="5973" w:name="_Toc145500829"/>
      <w:bookmarkStart w:id="5974" w:name="_Toc163506369"/>
      <w:r w:rsidRPr="00FC269C">
        <w:rPr>
          <w:rtl/>
        </w:rPr>
        <w:t xml:space="preserve">חדושי הר"ן </w:t>
      </w:r>
      <w:r w:rsidRPr="00FC269C">
        <w:rPr>
          <w:rFonts w:hint="cs"/>
          <w:rtl/>
        </w:rPr>
        <w:t xml:space="preserve">- </w:t>
      </w:r>
      <w:r w:rsidRPr="00FC269C">
        <w:rPr>
          <w:rtl/>
        </w:rPr>
        <w:t>מיוחס לו שבת מ"ז ע"א</w:t>
      </w:r>
      <w:r w:rsidRPr="00FC269C">
        <w:rPr>
          <w:rFonts w:hint="cs"/>
          <w:rtl/>
        </w:rPr>
        <w:t xml:space="preserve"> ד"ה לא יחזיר</w:t>
      </w:r>
      <w:bookmarkEnd w:id="5972"/>
      <w:bookmarkEnd w:id="5973"/>
      <w:bookmarkEnd w:id="5974"/>
    </w:p>
    <w:p w14:paraId="2A7C5E7B" w14:textId="77777777" w:rsidR="000F6808" w:rsidRDefault="000F6808" w:rsidP="000F6808">
      <w:pPr>
        <w:pStyle w:val="a7"/>
        <w:rPr>
          <w:rtl/>
        </w:rPr>
      </w:pPr>
      <w:bookmarkStart w:id="5975" w:name="_Toc145222968"/>
      <w:bookmarkStart w:id="5976" w:name="_Toc145487085"/>
      <w:r>
        <w:rPr>
          <w:rFonts w:hint="cs"/>
          <w:rtl/>
        </w:rPr>
        <w:t>בי' המיוחס לר"ן דבמטה של טרסיים גזרו שמא יתקע דחייב משום מכב"פ אף דאין בנין בכלים</w:t>
      </w:r>
      <w:bookmarkEnd w:id="5975"/>
      <w:bookmarkEnd w:id="5976"/>
    </w:p>
    <w:p w14:paraId="00416ADB" w14:textId="5A601232" w:rsidR="000F6808" w:rsidRPr="00AC14AE" w:rsidRDefault="000F6808" w:rsidP="000F6808">
      <w:pPr>
        <w:pStyle w:val="a3"/>
        <w:rPr>
          <w:rtl/>
        </w:rPr>
      </w:pPr>
      <w:bookmarkStart w:id="5977" w:name="_Ref144844629"/>
      <w:r>
        <w:rPr>
          <w:rFonts w:hint="cs"/>
          <w:rtl/>
        </w:rPr>
        <w:t>כתב</w:t>
      </w:r>
      <w:r>
        <w:rPr>
          <w:rtl/>
        </w:rPr>
        <w:t xml:space="preserve"> </w:t>
      </w:r>
      <w:r w:rsidRPr="008268A5">
        <w:rPr>
          <w:rFonts w:hint="cs"/>
          <w:b/>
          <w:bCs/>
          <w:rtl/>
        </w:rPr>
        <w:t>ב</w:t>
      </w:r>
      <w:r w:rsidRPr="008268A5">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Ref144844629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קיז)</w:t>
      </w:r>
      <w:r>
        <w:rPr>
          <w:b/>
          <w:bCs/>
          <w:vanish/>
          <w:rtl/>
        </w:rPr>
        <w:fldChar w:fldCharType="end"/>
      </w:r>
      <w:r w:rsidRPr="008268A5">
        <w:rPr>
          <w:b/>
          <w:bCs/>
          <w:vanish/>
          <w:rtl/>
        </w:rPr>
        <w:t xml:space="preserve"> &gt;</w:t>
      </w:r>
      <w:r w:rsidRPr="008268A5">
        <w:rPr>
          <w:rFonts w:hint="cs"/>
          <w:b/>
          <w:bCs/>
          <w:rtl/>
        </w:rPr>
        <w:t>חי' המיוחסים לר"ן לעיל</w:t>
      </w:r>
      <w:r w:rsidRPr="008268A5">
        <w:rPr>
          <w:b/>
          <w:bCs/>
          <w:rtl/>
        </w:rPr>
        <w:t xml:space="preserve"> </w:t>
      </w:r>
      <w:r w:rsidRPr="008268A5">
        <w:rPr>
          <w:rFonts w:ascii="Calibri" w:eastAsia="Times New Roman" w:hAnsi="Calibri" w:cs="Guttman Rashi"/>
          <w:noProof w:val="0"/>
          <w:sz w:val="10"/>
          <w:szCs w:val="12"/>
          <w:rtl/>
        </w:rPr>
        <w:t>(</w:t>
      </w:r>
      <w:r w:rsidRPr="008268A5">
        <w:rPr>
          <w:rFonts w:ascii="Calibri" w:eastAsia="Times New Roman" w:hAnsi="Calibri" w:cs="Guttman Rashi" w:hint="cs"/>
          <w:noProof w:val="0"/>
          <w:sz w:val="10"/>
          <w:szCs w:val="12"/>
          <w:rtl/>
        </w:rPr>
        <w:t>מז. ד"ה לא יחזיר</w:t>
      </w:r>
      <w:r w:rsidRPr="008268A5">
        <w:rPr>
          <w:rFonts w:ascii="Calibri" w:eastAsia="Times New Roman" w:hAnsi="Calibri" w:cs="Guttman Rashi"/>
          <w:noProof w:val="0"/>
          <w:sz w:val="10"/>
          <w:szCs w:val="12"/>
          <w:rtl/>
        </w:rPr>
        <w:t>)</w:t>
      </w:r>
      <w:r w:rsidRPr="008268A5">
        <w:rPr>
          <w:vanish/>
          <w:rtl/>
        </w:rPr>
        <w:t>=</w:t>
      </w:r>
      <w:r>
        <w:rPr>
          <w:rtl/>
        </w:rPr>
        <w:t xml:space="preserve"> </w:t>
      </w:r>
      <w:r>
        <w:rPr>
          <w:rFonts w:hint="cs"/>
          <w:rtl/>
        </w:rPr>
        <w:t>דאסור להחזיר מטה של טרסיים אפילו ברפוי, גזירה שמא יתקע במסמרים או יתדות, ויתחייב משום מכה בפטיש, אעפ"י דאין בנין בכלים.</w:t>
      </w:r>
      <w:bookmarkEnd w:id="5977"/>
    </w:p>
    <w:p w14:paraId="68AD02B0" w14:textId="77777777" w:rsidR="000F6808" w:rsidRPr="0088513D" w:rsidRDefault="000F6808" w:rsidP="000F6808">
      <w:pPr>
        <w:pStyle w:val="afffffe"/>
        <w:rPr>
          <w:vanish/>
          <w:rtl/>
        </w:rPr>
      </w:pPr>
      <w:r w:rsidRPr="0088513D">
        <w:rPr>
          <w:vanish/>
          <w:rtl/>
        </w:rPr>
        <w:t xml:space="preserve">חדושי הר"ן </w:t>
      </w:r>
      <w:r w:rsidRPr="0088513D">
        <w:rPr>
          <w:rFonts w:hint="cs"/>
          <w:vanish/>
          <w:rtl/>
        </w:rPr>
        <w:t xml:space="preserve">- </w:t>
      </w:r>
      <w:r w:rsidRPr="0088513D">
        <w:rPr>
          <w:vanish/>
          <w:rtl/>
        </w:rPr>
        <w:t>מיוחס לו שבת מ"ז ע"א</w:t>
      </w:r>
      <w:r w:rsidRPr="0088513D">
        <w:rPr>
          <w:rFonts w:hint="cs"/>
          <w:vanish/>
          <w:rtl/>
        </w:rPr>
        <w:t xml:space="preserve"> ד"ה לא יחזיר</w:t>
      </w:r>
    </w:p>
    <w:p w14:paraId="504CFD71" w14:textId="77777777" w:rsidR="000F6808" w:rsidRPr="00111645" w:rsidRDefault="000F6808" w:rsidP="000F6808">
      <w:pPr>
        <w:pStyle w:val="a2"/>
        <w:rPr>
          <w:rtl/>
        </w:rPr>
      </w:pPr>
      <w:r w:rsidRPr="00111645">
        <w:rPr>
          <w:rtl/>
        </w:rPr>
        <w:t>לא יחזיר ואם החזיר פטור אבל אסור. פי' לא יחזיר אפי' בריפוי גזירה שמא יתקע במסמרים או ע"י יתדות וחייב משום מכה בפטיש אף על גב דסבירא לן אין בנין בכלים:</w:t>
      </w:r>
    </w:p>
    <w:p w14:paraId="34A3C8AB" w14:textId="77777777" w:rsidR="000F6808" w:rsidRPr="00FC269C" w:rsidRDefault="000F6808" w:rsidP="000F6808">
      <w:pPr>
        <w:pStyle w:val="afffff7"/>
        <w:rPr>
          <w:rtl/>
        </w:rPr>
      </w:pPr>
      <w:bookmarkStart w:id="5978" w:name="_Toc145500830"/>
      <w:bookmarkStart w:id="5979" w:name="_Toc163506370"/>
      <w:bookmarkEnd w:id="5962"/>
      <w:bookmarkEnd w:id="5963"/>
      <w:r w:rsidRPr="00FC269C">
        <w:rPr>
          <w:rtl/>
        </w:rPr>
        <w:t xml:space="preserve">באור הגר"א </w:t>
      </w:r>
      <w:r w:rsidRPr="00FC269C">
        <w:rPr>
          <w:rFonts w:hint="cs"/>
          <w:rtl/>
        </w:rPr>
        <w:t>או"ח סי'</w:t>
      </w:r>
      <w:r w:rsidRPr="00FC269C">
        <w:rPr>
          <w:rtl/>
        </w:rPr>
        <w:t xml:space="preserve"> שי</w:t>
      </w:r>
      <w:r w:rsidRPr="00FC269C">
        <w:rPr>
          <w:rFonts w:hint="cs"/>
          <w:rtl/>
        </w:rPr>
        <w:t>"ד סק"ד</w:t>
      </w:r>
      <w:bookmarkEnd w:id="5978"/>
      <w:bookmarkEnd w:id="5979"/>
    </w:p>
    <w:p w14:paraId="0A562230" w14:textId="77777777" w:rsidR="000F6808" w:rsidRDefault="000F6808" w:rsidP="000F6808">
      <w:pPr>
        <w:pStyle w:val="a7"/>
        <w:rPr>
          <w:rtl/>
        </w:rPr>
      </w:pPr>
      <w:bookmarkStart w:id="5980" w:name="_Toc145487086"/>
      <w:r>
        <w:rPr>
          <w:rFonts w:hint="cs"/>
          <w:rtl/>
        </w:rPr>
        <w:t>בי' הגר"א ברש"י דקיי"ל כרבא דאין בנין בכלים ולכן החיוב במנורה ומטה ודלתות הוא מכב"פ</w:t>
      </w:r>
      <w:bookmarkEnd w:id="5980"/>
      <w:r>
        <w:rPr>
          <w:rFonts w:hint="cs"/>
          <w:rtl/>
        </w:rPr>
        <w:t xml:space="preserve"> </w:t>
      </w:r>
    </w:p>
    <w:p w14:paraId="256A4BA7" w14:textId="3047D7C7" w:rsidR="000F6808" w:rsidRDefault="000F6808" w:rsidP="000F6808">
      <w:pPr>
        <w:pStyle w:val="a3"/>
      </w:pPr>
      <w:r>
        <w:rPr>
          <w:rFonts w:hint="cs"/>
          <w:rtl/>
        </w:rPr>
        <w:t>כתב</w:t>
      </w:r>
      <w:r>
        <w:rPr>
          <w:rtl/>
        </w:rPr>
        <w:t xml:space="preserve"> </w:t>
      </w:r>
      <w:r w:rsidRPr="002E6A43">
        <w:rPr>
          <w:b/>
          <w:bCs/>
          <w:rtl/>
        </w:rPr>
        <w:t>ה</w:t>
      </w:r>
      <w:r w:rsidRPr="00A53847">
        <w:rPr>
          <w:b/>
          <w:bCs/>
          <w:vanish/>
          <w:rtl/>
        </w:rPr>
        <w:t xml:space="preserve"> &lt;, </w:t>
      </w:r>
      <w:r w:rsidRPr="00A53847">
        <w:rPr>
          <w:vanish/>
          <w:rtl/>
        </w:rPr>
        <w:fldChar w:fldCharType="begin"/>
      </w:r>
      <w:r w:rsidRPr="00A53847">
        <w:rPr>
          <w:vanish/>
          <w:rtl/>
        </w:rPr>
        <w:instrText xml:space="preserve"> </w:instrText>
      </w:r>
      <w:r w:rsidRPr="00A53847">
        <w:rPr>
          <w:vanish/>
        </w:rPr>
        <w:instrText>REF</w:instrText>
      </w:r>
      <w:r w:rsidRPr="00A53847">
        <w:rPr>
          <w:vanish/>
          <w:rtl/>
        </w:rPr>
        <w:instrText xml:space="preserve"> _</w:instrText>
      </w:r>
      <w:r w:rsidRPr="00A53847">
        <w:rPr>
          <w:vanish/>
        </w:rPr>
        <w:instrText>Ref144585342 \r \h</w:instrText>
      </w:r>
      <w:r w:rsidRPr="00A53847">
        <w:rPr>
          <w:vanish/>
          <w:rtl/>
        </w:rPr>
        <w:instrText xml:space="preserve"> </w:instrText>
      </w:r>
      <w:r w:rsidRPr="00A53847">
        <w:rPr>
          <w:vanish/>
          <w:rtl/>
        </w:rPr>
      </w:r>
      <w:r w:rsidRPr="00A53847">
        <w:rPr>
          <w:vanish/>
          <w:rtl/>
        </w:rPr>
        <w:fldChar w:fldCharType="separate"/>
      </w:r>
      <w:r w:rsidR="00D82181">
        <w:rPr>
          <w:vanish/>
          <w:cs/>
        </w:rPr>
        <w:t>‎</w:t>
      </w:r>
      <w:r w:rsidR="00D82181">
        <w:rPr>
          <w:vanish/>
          <w:rtl/>
        </w:rPr>
        <w:t>ד)</w:t>
      </w:r>
      <w:r w:rsidRPr="00A53847">
        <w:rPr>
          <w:vanish/>
          <w:rtl/>
        </w:rPr>
        <w:fldChar w:fldCharType="end"/>
      </w:r>
      <w:r w:rsidRPr="00A53847">
        <w:rPr>
          <w:b/>
          <w:bCs/>
          <w:vanish/>
          <w:rtl/>
        </w:rPr>
        <w:t xml:space="preserve"> &gt;</w:t>
      </w:r>
      <w:r w:rsidRPr="002E6A43">
        <w:rPr>
          <w:rFonts w:hint="cs"/>
          <w:b/>
          <w:bCs/>
          <w:rtl/>
        </w:rPr>
        <w:t>גר"א</w:t>
      </w:r>
      <w:r w:rsidRPr="002E6A43">
        <w:rPr>
          <w:b/>
          <w:bCs/>
          <w:rtl/>
        </w:rPr>
        <w:t xml:space="preserve"> </w:t>
      </w:r>
      <w:r w:rsidRPr="00A53847">
        <w:rPr>
          <w:rFonts w:ascii="Calibri" w:eastAsia="Times New Roman" w:hAnsi="Calibri" w:cs="Guttman Rashi"/>
          <w:noProof w:val="0"/>
          <w:sz w:val="10"/>
          <w:szCs w:val="12"/>
          <w:rtl/>
        </w:rPr>
        <w:t>(</w:t>
      </w:r>
      <w:r w:rsidRPr="00A53847">
        <w:rPr>
          <w:rFonts w:ascii="Calibri" w:eastAsia="Times New Roman" w:hAnsi="Calibri" w:cs="Guttman Rashi" w:hint="cs"/>
          <w:noProof w:val="0"/>
          <w:sz w:val="10"/>
          <w:szCs w:val="12"/>
          <w:rtl/>
        </w:rPr>
        <w:t>סי' שי"ד סק"ד</w:t>
      </w:r>
      <w:r w:rsidRPr="00A53847">
        <w:rPr>
          <w:rFonts w:ascii="Calibri" w:eastAsia="Times New Roman" w:hAnsi="Calibri" w:cs="Guttman Rashi"/>
          <w:noProof w:val="0"/>
          <w:sz w:val="10"/>
          <w:szCs w:val="12"/>
          <w:rtl/>
        </w:rPr>
        <w:t>)</w:t>
      </w:r>
      <w:r w:rsidRPr="00A53847">
        <w:rPr>
          <w:vanish/>
          <w:rtl/>
        </w:rPr>
        <w:t>=</w:t>
      </w:r>
      <w:r>
        <w:rPr>
          <w:rtl/>
        </w:rPr>
        <w:t xml:space="preserve"> </w:t>
      </w:r>
      <w:r>
        <w:rPr>
          <w:rFonts w:hint="cs"/>
          <w:rtl/>
        </w:rPr>
        <w:t>דכיון דס"ל</w:t>
      </w:r>
      <w:r>
        <w:rPr>
          <w:rtl/>
        </w:rPr>
        <w:t xml:space="preserve"> </w:t>
      </w:r>
      <w:r>
        <w:rPr>
          <w:rFonts w:hint="cs"/>
          <w:b/>
          <w:bCs/>
          <w:rtl/>
        </w:rPr>
        <w:t>ל</w:t>
      </w:r>
      <w:r w:rsidRPr="002E6A43">
        <w:rPr>
          <w:rFonts w:hint="cs"/>
          <w:b/>
          <w:bCs/>
          <w:rtl/>
        </w:rPr>
        <w:t>רש"י</w:t>
      </w:r>
      <w:r>
        <w:rPr>
          <w:rtl/>
        </w:rPr>
        <w:t xml:space="preserve"> </w:t>
      </w:r>
      <w:r>
        <w:rPr>
          <w:rFonts w:hint="cs"/>
          <w:rtl/>
        </w:rPr>
        <w:t>דקיי"ל כרבא בגמ' לקמן</w:t>
      </w:r>
      <w:r>
        <w:rPr>
          <w:rtl/>
        </w:rPr>
        <w:t xml:space="preserve"> </w:t>
      </w:r>
      <w:r w:rsidRPr="00A53847">
        <w:rPr>
          <w:rFonts w:ascii="Calibri" w:eastAsia="Times New Roman" w:hAnsi="Calibri" w:cs="Guttman Rashi"/>
          <w:noProof w:val="0"/>
          <w:sz w:val="10"/>
          <w:szCs w:val="12"/>
          <w:rtl/>
        </w:rPr>
        <w:t>(</w:t>
      </w:r>
      <w:r w:rsidRPr="00A53847">
        <w:rPr>
          <w:rFonts w:ascii="Calibri" w:eastAsia="Times New Roman" w:hAnsi="Calibri" w:cs="Guttman Rashi" w:hint="cs"/>
          <w:noProof w:val="0"/>
          <w:sz w:val="10"/>
          <w:szCs w:val="12"/>
          <w:rtl/>
        </w:rPr>
        <w:t>קכב:</w:t>
      </w:r>
      <w:r w:rsidRPr="00A53847">
        <w:rPr>
          <w:rFonts w:ascii="Calibri" w:eastAsia="Times New Roman" w:hAnsi="Calibri" w:cs="Guttman Rashi"/>
          <w:noProof w:val="0"/>
          <w:sz w:val="10"/>
          <w:szCs w:val="12"/>
          <w:rtl/>
        </w:rPr>
        <w:t>)</w:t>
      </w:r>
      <w:r>
        <w:rPr>
          <w:rtl/>
        </w:rPr>
        <w:t xml:space="preserve"> </w:t>
      </w:r>
      <w:r>
        <w:rPr>
          <w:rFonts w:hint="cs"/>
          <w:rtl/>
        </w:rPr>
        <w:t>דאין בנין בכלים, ובשופתא בקופינא דמרא קיי"ל כשמואל דחייב משום מכה בפטיש, דהא ריו"ח ס"ל כוותיה, ולכן ביאר</w:t>
      </w:r>
      <w:r>
        <w:rPr>
          <w:rtl/>
        </w:rPr>
        <w:t xml:space="preserve"> </w:t>
      </w:r>
      <w:r>
        <w:rPr>
          <w:rFonts w:hint="cs"/>
          <w:b/>
          <w:bCs/>
          <w:rtl/>
        </w:rPr>
        <w:t>רש"י</w:t>
      </w:r>
      <w:r w:rsidRPr="00A53847">
        <w:rPr>
          <w:rFonts w:ascii="Calibri" w:eastAsia="Times New Roman" w:hAnsi="Calibri" w:cs="Guttman Rashi" w:hint="cs"/>
          <w:noProof w:val="0"/>
          <w:sz w:val="10"/>
          <w:szCs w:val="12"/>
          <w:rtl/>
        </w:rPr>
        <w:t xml:space="preserve"> </w:t>
      </w:r>
      <w:r w:rsidRPr="00A53847">
        <w:rPr>
          <w:rFonts w:ascii="Calibri" w:eastAsia="Times New Roman" w:hAnsi="Calibri" w:cs="Guttman Rashi"/>
          <w:noProof w:val="0"/>
          <w:sz w:val="10"/>
          <w:szCs w:val="12"/>
          <w:rtl/>
        </w:rPr>
        <w:t xml:space="preserve">(עי' אות </w:t>
      </w:r>
      <w:r w:rsidRPr="00A53847">
        <w:rPr>
          <w:rFonts w:ascii="Calibri" w:eastAsia="Times New Roman" w:hAnsi="Calibri" w:cs="Guttman Rashi"/>
          <w:noProof w:val="0"/>
          <w:sz w:val="10"/>
          <w:szCs w:val="12"/>
          <w:rtl/>
        </w:rPr>
        <w:fldChar w:fldCharType="begin"/>
      </w:r>
      <w:r w:rsidRPr="00A53847">
        <w:rPr>
          <w:rFonts w:ascii="Calibri" w:eastAsia="Times New Roman" w:hAnsi="Calibri" w:cs="Guttman Rashi"/>
          <w:noProof w:val="0"/>
          <w:sz w:val="10"/>
          <w:szCs w:val="12"/>
          <w:rtl/>
        </w:rPr>
        <w:instrText xml:space="preserve"> </w:instrText>
      </w:r>
      <w:r w:rsidRPr="00A53847">
        <w:rPr>
          <w:rFonts w:ascii="Calibri" w:eastAsia="Times New Roman" w:hAnsi="Calibri" w:cs="Guttman Rashi"/>
          <w:noProof w:val="0"/>
          <w:sz w:val="10"/>
          <w:szCs w:val="12"/>
        </w:rPr>
        <w:instrText>REF</w:instrText>
      </w:r>
      <w:r w:rsidRPr="00A53847">
        <w:rPr>
          <w:rFonts w:ascii="Calibri" w:eastAsia="Times New Roman" w:hAnsi="Calibri" w:cs="Guttman Rashi"/>
          <w:noProof w:val="0"/>
          <w:sz w:val="10"/>
          <w:szCs w:val="12"/>
          <w:rtl/>
        </w:rPr>
        <w:instrText xml:space="preserve"> _</w:instrText>
      </w:r>
      <w:r w:rsidRPr="00A53847">
        <w:rPr>
          <w:rFonts w:ascii="Calibri" w:eastAsia="Times New Roman" w:hAnsi="Calibri" w:cs="Guttman Rashi"/>
          <w:noProof w:val="0"/>
          <w:sz w:val="10"/>
          <w:szCs w:val="12"/>
        </w:rPr>
        <w:instrText>Ref144585311 \r \h</w:instrText>
      </w:r>
      <w:r w:rsidRPr="00A53847">
        <w:rPr>
          <w:rFonts w:ascii="Calibri" w:eastAsia="Times New Roman" w:hAnsi="Calibri" w:cs="Guttman Rashi"/>
          <w:noProof w:val="0"/>
          <w:sz w:val="10"/>
          <w:szCs w:val="12"/>
          <w:rtl/>
        </w:rPr>
        <w:instrText xml:space="preserve"> </w:instrText>
      </w:r>
      <w:r w:rsidRPr="00A53847">
        <w:rPr>
          <w:rFonts w:ascii="Calibri" w:eastAsia="Times New Roman" w:hAnsi="Calibri" w:cs="Guttman Rashi"/>
          <w:noProof w:val="0"/>
          <w:sz w:val="10"/>
          <w:szCs w:val="12"/>
          <w:rtl/>
        </w:rPr>
      </w:r>
      <w:r w:rsidRPr="00A53847">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א)</w:t>
      </w:r>
      <w:r w:rsidRPr="00A53847">
        <w:rPr>
          <w:rFonts w:ascii="Calibri" w:eastAsia="Times New Roman" w:hAnsi="Calibri" w:cs="Guttman Rashi"/>
          <w:noProof w:val="0"/>
          <w:sz w:val="10"/>
          <w:szCs w:val="12"/>
          <w:rtl/>
        </w:rPr>
        <w:fldChar w:fldCharType="end"/>
      </w:r>
      <w:r>
        <w:rPr>
          <w:rtl/>
        </w:rPr>
        <w:t xml:space="preserve"> </w:t>
      </w:r>
      <w:r>
        <w:rPr>
          <w:rFonts w:hint="cs"/>
          <w:rtl/>
        </w:rPr>
        <w:t>לענין מנורה של חוליות בגמ' לעיל</w:t>
      </w:r>
      <w:r>
        <w:rPr>
          <w:rtl/>
        </w:rPr>
        <w:t xml:space="preserve"> </w:t>
      </w:r>
      <w:r w:rsidRPr="00A25AAD">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מו)</w:t>
      </w:r>
      <w:r>
        <w:rPr>
          <w:rFonts w:hint="cs"/>
          <w:rtl/>
        </w:rPr>
        <w:t xml:space="preserve"> ובמטה של טרסיים</w:t>
      </w:r>
      <w:r w:rsidRPr="00A25AAD">
        <w:rPr>
          <w:rFonts w:hint="cs"/>
          <w:rtl/>
        </w:rPr>
        <w:t xml:space="preserve"> </w:t>
      </w:r>
      <w:r>
        <w:rPr>
          <w:rFonts w:hint="cs"/>
          <w:rtl/>
        </w:rPr>
        <w:t>בגמ' לעיל</w:t>
      </w:r>
      <w:r>
        <w:rPr>
          <w:rtl/>
        </w:rPr>
        <w:t xml:space="preserve"> </w:t>
      </w:r>
      <w:r w:rsidRPr="00A25AAD">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מז.</w:t>
      </w:r>
      <w:r w:rsidRPr="00A25AAD">
        <w:rPr>
          <w:rFonts w:ascii="Calibri" w:eastAsia="Times New Roman" w:hAnsi="Calibri" w:cs="Guttman Rashi"/>
          <w:noProof w:val="0"/>
          <w:sz w:val="10"/>
          <w:szCs w:val="12"/>
          <w:rtl/>
        </w:rPr>
        <w:t>)</w:t>
      </w:r>
      <w:r>
        <w:rPr>
          <w:rFonts w:hint="cs"/>
          <w:rtl/>
        </w:rPr>
        <w:t>, ובדלתות הכלים</w:t>
      </w:r>
      <w:r w:rsidRPr="00A25AAD">
        <w:rPr>
          <w:rFonts w:hint="cs"/>
          <w:rtl/>
        </w:rPr>
        <w:t xml:space="preserve"> </w:t>
      </w:r>
      <w:r>
        <w:rPr>
          <w:rFonts w:hint="cs"/>
          <w:rtl/>
        </w:rPr>
        <w:t xml:space="preserve">בגמ' </w:t>
      </w:r>
      <w:r w:rsidRPr="00A53847">
        <w:rPr>
          <w:rFonts w:ascii="Calibri" w:eastAsia="Times New Roman" w:hAnsi="Calibri" w:cs="Guttman Rashi"/>
          <w:noProof w:val="0"/>
          <w:sz w:val="10"/>
          <w:szCs w:val="12"/>
          <w:rtl/>
        </w:rPr>
        <w:t>(</w:t>
      </w:r>
      <w:r w:rsidRPr="00A53847">
        <w:rPr>
          <w:rFonts w:ascii="Calibri" w:eastAsia="Times New Roman" w:hAnsi="Calibri" w:cs="Guttman Rashi" w:hint="cs"/>
          <w:noProof w:val="0"/>
          <w:sz w:val="10"/>
          <w:szCs w:val="12"/>
          <w:rtl/>
        </w:rPr>
        <w:t>קכב:</w:t>
      </w:r>
      <w:r w:rsidRPr="00A53847">
        <w:rPr>
          <w:rFonts w:ascii="Calibri" w:eastAsia="Times New Roman" w:hAnsi="Calibri" w:cs="Guttman Rashi"/>
          <w:noProof w:val="0"/>
          <w:sz w:val="10"/>
          <w:szCs w:val="12"/>
          <w:rtl/>
        </w:rPr>
        <w:t>)</w:t>
      </w:r>
      <w:r>
        <w:rPr>
          <w:rtl/>
        </w:rPr>
        <w:t xml:space="preserve"> </w:t>
      </w:r>
      <w:r>
        <w:rPr>
          <w:rFonts w:hint="cs"/>
          <w:rtl/>
        </w:rPr>
        <w:t>דהחיוב בכלים הוא מדין מכה בפטיש.</w:t>
      </w:r>
    </w:p>
    <w:p w14:paraId="79E512B1" w14:textId="77777777" w:rsidR="000F6808" w:rsidRPr="0088513D" w:rsidRDefault="000F6808" w:rsidP="000F6808">
      <w:pPr>
        <w:pStyle w:val="afffffe"/>
        <w:rPr>
          <w:vanish/>
          <w:rtl/>
        </w:rPr>
      </w:pPr>
      <w:r w:rsidRPr="0088513D">
        <w:rPr>
          <w:vanish/>
          <w:rtl/>
        </w:rPr>
        <w:t xml:space="preserve">באור הגר"א </w:t>
      </w:r>
      <w:r w:rsidRPr="0088513D">
        <w:rPr>
          <w:rFonts w:hint="cs"/>
          <w:vanish/>
          <w:rtl/>
        </w:rPr>
        <w:t>או"ח סי'</w:t>
      </w:r>
      <w:r w:rsidRPr="0088513D">
        <w:rPr>
          <w:vanish/>
          <w:rtl/>
        </w:rPr>
        <w:t xml:space="preserve"> שי</w:t>
      </w:r>
      <w:r w:rsidRPr="0088513D">
        <w:rPr>
          <w:rFonts w:hint="cs"/>
          <w:vanish/>
          <w:rtl/>
        </w:rPr>
        <w:t>"ד סק"ד</w:t>
      </w:r>
    </w:p>
    <w:p w14:paraId="640B0603" w14:textId="77777777" w:rsidR="000F6808" w:rsidRPr="00111645" w:rsidRDefault="000F6808" w:rsidP="000F6808">
      <w:pPr>
        <w:pStyle w:val="a2"/>
        <w:rPr>
          <w:rtl/>
        </w:rPr>
      </w:pPr>
      <w:r w:rsidRPr="00111645">
        <w:rPr>
          <w:rtl/>
        </w:rPr>
        <w:t>ורש"י אזיל לשיטתיה דס"ל דאין בנין וסתירה בכלים לעולם כמ"ש בשבת ע"ז /ע"ד/ ב' וע"ש ברש"י וההיא דר"פ הבונה רב ס"ל דיש בנין בכלים אבל לדידן דקי"ל כרבא קכג ב' קי"ל כשמואל דאמר משום מכה בפטיש דר' יוחנן שם ס"ל כוותיה וכן פי' רש"י שם מז א' וקכ"ב ב' משום מכה בפטיש וכן ההיא דחוליות מ"ו א' ודשידה עירובין ק"ב ב' הכל כפי' משום מכה בפטיש וכן מ' בשבת ע"ח ב' המנפח בכלי</w:t>
      </w:r>
      <w:r w:rsidRPr="00111645">
        <w:rPr>
          <w:rFonts w:hint="cs"/>
          <w:rtl/>
        </w:rPr>
        <w:t>.</w:t>
      </w:r>
      <w:r w:rsidRPr="00111645">
        <w:rPr>
          <w:rtl/>
        </w:rPr>
        <w:t xml:space="preserve"> </w:t>
      </w:r>
    </w:p>
    <w:p w14:paraId="15F288B8" w14:textId="77777777" w:rsidR="000F6808" w:rsidRPr="00FC269C" w:rsidRDefault="000F6808" w:rsidP="000F6808">
      <w:pPr>
        <w:pStyle w:val="afffff7"/>
        <w:rPr>
          <w:rtl/>
        </w:rPr>
      </w:pPr>
      <w:bookmarkStart w:id="5981" w:name="_Toc145500831"/>
      <w:bookmarkStart w:id="5982" w:name="_Toc163506371"/>
      <w:r w:rsidRPr="00FC269C">
        <w:rPr>
          <w:rtl/>
        </w:rPr>
        <w:t>תוספות ביצה י"א ע"ב</w:t>
      </w:r>
      <w:r w:rsidRPr="00FC269C">
        <w:rPr>
          <w:rFonts w:hint="cs"/>
          <w:rtl/>
        </w:rPr>
        <w:t xml:space="preserve"> ד"ה מהו</w:t>
      </w:r>
      <w:bookmarkEnd w:id="5981"/>
      <w:bookmarkEnd w:id="5982"/>
    </w:p>
    <w:p w14:paraId="1473B657" w14:textId="77777777" w:rsidR="000F6808" w:rsidRDefault="000F6808" w:rsidP="000F6808">
      <w:pPr>
        <w:pStyle w:val="a7"/>
        <w:rPr>
          <w:rtl/>
        </w:rPr>
      </w:pPr>
      <w:bookmarkStart w:id="5983" w:name="_Toc145487087"/>
      <w:r>
        <w:rPr>
          <w:rFonts w:hint="cs"/>
          <w:rtl/>
        </w:rPr>
        <w:t>בי' התוס' בביצה דבמהדק ומפרק פטור עושה כלי חייב במכב"פ או בונה ומהדק אסור שמא יתקע</w:t>
      </w:r>
      <w:bookmarkEnd w:id="5983"/>
    </w:p>
    <w:p w14:paraId="3626E3A0" w14:textId="2909A2DD" w:rsidR="000F6808" w:rsidRPr="00A83362" w:rsidRDefault="000F6808" w:rsidP="000F6808">
      <w:pPr>
        <w:pStyle w:val="a3"/>
        <w:rPr>
          <w:rtl/>
        </w:rPr>
      </w:pPr>
      <w:bookmarkStart w:id="5984" w:name="_Ref145461485"/>
      <w:r>
        <w:rPr>
          <w:rFonts w:hint="cs"/>
          <w:rtl/>
        </w:rPr>
        <w:t>וע"ע במ"ש</w:t>
      </w:r>
      <w:r w:rsidRPr="00C035D0">
        <w:rPr>
          <w:b/>
          <w:bCs/>
          <w:rtl/>
        </w:rPr>
        <w:t xml:space="preserve"> ה</w:t>
      </w:r>
      <w:r w:rsidRPr="00C035D0">
        <w:rPr>
          <w:b/>
          <w:bCs/>
          <w:vanish/>
          <w:rtl/>
        </w:rPr>
        <w:t xml:space="preserve">&lt;. </w:t>
      </w:r>
      <w:r w:rsidRPr="00C035D0">
        <w:rPr>
          <w:b/>
          <w:bCs/>
          <w:vanish/>
          <w:rtl/>
        </w:rPr>
        <w:fldChar w:fldCharType="begin"/>
      </w:r>
      <w:r w:rsidRPr="00C035D0">
        <w:rPr>
          <w:b/>
          <w:bCs/>
          <w:vanish/>
          <w:rtl/>
        </w:rPr>
        <w:instrText xml:space="preserve"> </w:instrText>
      </w:r>
      <w:r w:rsidRPr="00C035D0">
        <w:rPr>
          <w:b/>
          <w:bCs/>
          <w:vanish/>
        </w:rPr>
        <w:instrText>REF</w:instrText>
      </w:r>
      <w:r w:rsidRPr="00C035D0">
        <w:rPr>
          <w:b/>
          <w:bCs/>
          <w:vanish/>
          <w:rtl/>
        </w:rPr>
        <w:instrText xml:space="preserve"> _</w:instrText>
      </w:r>
      <w:r w:rsidRPr="00C035D0">
        <w:rPr>
          <w:b/>
          <w:bCs/>
          <w:vanish/>
        </w:rPr>
        <w:instrText>Ref144286018 \r \h</w:instrText>
      </w:r>
      <w:r w:rsidRPr="00C035D0">
        <w:rPr>
          <w:b/>
          <w:bCs/>
          <w:vanish/>
          <w:rtl/>
        </w:rPr>
        <w:instrText xml:space="preserve"> </w:instrText>
      </w:r>
      <w:r w:rsidRPr="00C035D0">
        <w:rPr>
          <w:b/>
          <w:bCs/>
          <w:vanish/>
          <w:rtl/>
        </w:rPr>
      </w:r>
      <w:r w:rsidRPr="00C035D0">
        <w:rPr>
          <w:b/>
          <w:bCs/>
          <w:vanish/>
          <w:rtl/>
        </w:rPr>
        <w:fldChar w:fldCharType="separate"/>
      </w:r>
      <w:r w:rsidR="00D82181">
        <w:rPr>
          <w:b/>
          <w:bCs/>
          <w:vanish/>
          <w:cs/>
        </w:rPr>
        <w:t>‎</w:t>
      </w:r>
      <w:r w:rsidR="00D82181">
        <w:rPr>
          <w:b/>
          <w:bCs/>
          <w:vanish/>
          <w:rtl/>
        </w:rPr>
        <w:t>כב)</w:t>
      </w:r>
      <w:r w:rsidRPr="00C035D0">
        <w:rPr>
          <w:b/>
          <w:bCs/>
          <w:vanish/>
          <w:rtl/>
        </w:rPr>
        <w:fldChar w:fldCharType="end"/>
      </w:r>
      <w:r w:rsidRPr="00C035D0">
        <w:rPr>
          <w:b/>
          <w:bCs/>
          <w:vanish/>
          <w:rtl/>
        </w:rPr>
        <w:t xml:space="preserve"> &gt; </w:t>
      </w:r>
      <w:r>
        <w:rPr>
          <w:rFonts w:hint="cs"/>
          <w:b/>
          <w:bCs/>
          <w:rtl/>
        </w:rPr>
        <w:t xml:space="preserve">תוס' בביצה </w:t>
      </w:r>
      <w:r w:rsidRPr="00C962CD">
        <w:rPr>
          <w:rStyle w:val="af2"/>
          <w:rFonts w:eastAsia="Guttman Hodes"/>
          <w:rtl/>
        </w:rPr>
        <w:t>(</w:t>
      </w:r>
      <w:r w:rsidRPr="00C962CD">
        <w:rPr>
          <w:rStyle w:val="af2"/>
          <w:rFonts w:eastAsia="Guttman Hodes" w:hint="cs"/>
          <w:rtl/>
        </w:rPr>
        <w:t>יא: ד"ה מהו</w:t>
      </w:r>
      <w:r w:rsidRPr="00C962CD">
        <w:rPr>
          <w:rStyle w:val="af2"/>
          <w:rFonts w:eastAsia="Guttman Hodes"/>
          <w:rtl/>
        </w:rPr>
        <w:t>)</w:t>
      </w:r>
      <w:r w:rsidRPr="00C035D0">
        <w:rPr>
          <w:vanish/>
          <w:rtl/>
        </w:rPr>
        <w:t>=</w:t>
      </w:r>
      <w:r>
        <w:rPr>
          <w:rtl/>
        </w:rPr>
        <w:t xml:space="preserve"> </w:t>
      </w:r>
      <w:r>
        <w:rPr>
          <w:rFonts w:hint="cs"/>
          <w:rtl/>
        </w:rPr>
        <w:t xml:space="preserve">דהא דקיי"ל דאין בנין וסתירה בכלים, היינו במהדק ומפרק, אבל בעושה כלי חייב משום מכה בפטיש, או משום בונה כשבונה ע"ג הקרקע כדאיתא בגמ' </w:t>
      </w:r>
      <w:r w:rsidRPr="00A83362">
        <w:rPr>
          <w:rFonts w:hint="cs"/>
          <w:rtl/>
        </w:rPr>
        <w:t>בסוגיין</w:t>
      </w:r>
      <w:r>
        <w:rPr>
          <w:rFonts w:hint="cs"/>
          <w:rtl/>
        </w:rPr>
        <w:t>,</w:t>
      </w:r>
      <w:r w:rsidRPr="00A83362">
        <w:rPr>
          <w:rFonts w:hint="cs"/>
          <w:rtl/>
        </w:rPr>
        <w:t xml:space="preserve"> אך הקשו</w:t>
      </w:r>
      <w:r w:rsidRPr="00A83362">
        <w:rPr>
          <w:rtl/>
        </w:rPr>
        <w:t xml:space="preserve"> </w:t>
      </w:r>
      <w:r w:rsidRPr="00A83362">
        <w:rPr>
          <w:rStyle w:val="aff4"/>
          <w:rFonts w:hint="cs"/>
          <w:rtl/>
        </w:rPr>
        <w:t>התוס' בביצה</w:t>
      </w:r>
      <w:r w:rsidRPr="00A83362">
        <w:rPr>
          <w:rtl/>
        </w:rPr>
        <w:t xml:space="preserve"> </w:t>
      </w:r>
      <w:r w:rsidRPr="00A83362">
        <w:rPr>
          <w:rFonts w:hint="cs"/>
          <w:rtl/>
        </w:rPr>
        <w:t>דאמאי התירו ב"ה בגמ' בביצה</w:t>
      </w:r>
      <w:r w:rsidRPr="00A83362">
        <w:rPr>
          <w:rtl/>
        </w:rPr>
        <w:t xml:space="preserve"> </w:t>
      </w:r>
      <w:r w:rsidRPr="00A83362">
        <w:rPr>
          <w:rStyle w:val="af2"/>
          <w:rFonts w:eastAsia="Guttman Rashi"/>
          <w:rtl/>
        </w:rPr>
        <w:t>(</w:t>
      </w:r>
      <w:r w:rsidRPr="00A83362">
        <w:rPr>
          <w:rStyle w:val="af2"/>
          <w:rFonts w:eastAsia="Guttman Rashi" w:hint="cs"/>
          <w:rtl/>
        </w:rPr>
        <w:t>יא:</w:t>
      </w:r>
      <w:r w:rsidRPr="00A83362">
        <w:rPr>
          <w:rStyle w:val="af2"/>
          <w:rFonts w:eastAsia="Guttman Rashi"/>
          <w:rtl/>
        </w:rPr>
        <w:t>)</w:t>
      </w:r>
      <w:r w:rsidRPr="00A83362">
        <w:rPr>
          <w:rtl/>
        </w:rPr>
        <w:t xml:space="preserve"> </w:t>
      </w:r>
      <w:r w:rsidRPr="00A83362">
        <w:rPr>
          <w:rFonts w:hint="cs"/>
          <w:rtl/>
        </w:rPr>
        <w:t>להחזיר תריסין רק משום שמחת יו"ט, והא קיי"ל דאין בנין בכלים, ותירצו</w:t>
      </w:r>
      <w:r w:rsidRPr="00A83362">
        <w:rPr>
          <w:rtl/>
        </w:rPr>
        <w:t xml:space="preserve"> </w:t>
      </w:r>
      <w:r w:rsidRPr="00A83362">
        <w:rPr>
          <w:rStyle w:val="aff4"/>
          <w:rFonts w:hint="cs"/>
          <w:rtl/>
        </w:rPr>
        <w:t>התוס' בביצה</w:t>
      </w:r>
      <w:r w:rsidRPr="00A83362">
        <w:rPr>
          <w:rtl/>
        </w:rPr>
        <w:t xml:space="preserve"> </w:t>
      </w:r>
      <w:r w:rsidRPr="00A83362">
        <w:rPr>
          <w:rFonts w:hint="cs"/>
          <w:rtl/>
        </w:rPr>
        <w:t>דמ"מ אסרו במהדק שמא יתקע.</w:t>
      </w:r>
      <w:bookmarkEnd w:id="5984"/>
    </w:p>
    <w:p w14:paraId="0CF73790" w14:textId="77777777" w:rsidR="000F6808" w:rsidRPr="0088513D" w:rsidRDefault="000F6808" w:rsidP="000F6808">
      <w:pPr>
        <w:pStyle w:val="afffffe"/>
        <w:rPr>
          <w:vanish/>
          <w:rtl/>
        </w:rPr>
      </w:pPr>
      <w:r w:rsidRPr="0088513D">
        <w:rPr>
          <w:vanish/>
          <w:rtl/>
        </w:rPr>
        <w:t>תוספות ביצה י"א ע"ב</w:t>
      </w:r>
      <w:r w:rsidRPr="0088513D">
        <w:rPr>
          <w:rFonts w:hint="cs"/>
          <w:vanish/>
          <w:rtl/>
        </w:rPr>
        <w:t xml:space="preserve"> ד"ה מהו</w:t>
      </w:r>
    </w:p>
    <w:p w14:paraId="031B38E7" w14:textId="77777777" w:rsidR="000F6808" w:rsidRPr="00111645" w:rsidRDefault="000F6808" w:rsidP="000F6808">
      <w:pPr>
        <w:pStyle w:val="a2"/>
        <w:rPr>
          <w:rtl/>
        </w:rPr>
      </w:pPr>
      <w:r w:rsidRPr="00111645">
        <w:rPr>
          <w:rtl/>
        </w:rPr>
        <w:t>מהו דתימא טעמייהו דב"ה דאין בנין וסתירה כו' - דקי"ל אין בנין וסתירה כשהוא מהדק ומפרק כי אם בעושה כלי שהוא חייב משום מכה בפטיש או בבונה על גבי קרקע כדאמרינן בשבת (דף קב:) הבונה כל שהוא חייב קמ"ל ותימה הא קיימא לן אין בנין וסתירה בכלים י"ל מ"מ אסור שמא יתקע.</w:t>
      </w:r>
    </w:p>
    <w:p w14:paraId="4662A220" w14:textId="77777777" w:rsidR="000F6808" w:rsidRDefault="000F6808" w:rsidP="000F6808">
      <w:pPr>
        <w:pStyle w:val="affff5"/>
        <w:rPr>
          <w:rtl/>
        </w:rPr>
      </w:pPr>
      <w:r>
        <w:rPr>
          <w:rFonts w:hint="cs"/>
          <w:rtl/>
        </w:rPr>
        <w:t>~~~~~~~~~~~~~~~~~~~~~~~~~~~~</w:t>
      </w:r>
    </w:p>
    <w:p w14:paraId="50F285E9" w14:textId="77777777" w:rsidR="000F6808" w:rsidRDefault="000F6808" w:rsidP="000F6808">
      <w:pPr>
        <w:pStyle w:val="affff5"/>
        <w:rPr>
          <w:rtl/>
        </w:rPr>
      </w:pPr>
      <w:bookmarkStart w:id="5985" w:name="_Toc145487089"/>
      <w:r>
        <w:rPr>
          <w:rFonts w:hint="cs"/>
          <w:rtl/>
        </w:rPr>
        <w:t>בבי' פלוגתת ת"ק ורשב"ג במהדק וברפוי</w:t>
      </w:r>
      <w:bookmarkEnd w:id="5985"/>
      <w:r w:rsidRPr="007220A9">
        <w:rPr>
          <w:vanish/>
          <w:rtl/>
        </w:rPr>
        <w:t>&lt; # =</w:t>
      </w:r>
    </w:p>
    <w:p w14:paraId="030815CA" w14:textId="77777777" w:rsidR="000F6808" w:rsidRDefault="000F6808" w:rsidP="000F6808">
      <w:pPr>
        <w:pStyle w:val="1"/>
        <w:rPr>
          <w:rtl/>
        </w:rPr>
      </w:pPr>
      <w:bookmarkStart w:id="5986" w:name="_Toc145487090"/>
      <w:bookmarkStart w:id="5987" w:name="_Toc145198428"/>
      <w:r>
        <w:rPr>
          <w:rFonts w:hint="cs"/>
          <w:rtl/>
        </w:rPr>
        <w:t>בי' תוס' דברפוי לכו"ע אין חיוב ובאינו רפוי חייב לרב ושמואל</w:t>
      </w:r>
      <w:bookmarkEnd w:id="5986"/>
    </w:p>
    <w:p w14:paraId="68388733" w14:textId="77777777" w:rsidR="000F6808" w:rsidRDefault="000F6808" w:rsidP="000F6808">
      <w:pPr>
        <w:pStyle w:val="afffff7"/>
        <w:rPr>
          <w:rtl/>
        </w:rPr>
      </w:pPr>
      <w:bookmarkStart w:id="5988" w:name="_Toc145500832"/>
      <w:bookmarkStart w:id="5989" w:name="_Toc163506372"/>
      <w:r w:rsidRPr="00FC269C">
        <w:rPr>
          <w:rtl/>
        </w:rPr>
        <w:t>תוספות שבת מ"ז ע"ב</w:t>
      </w:r>
      <w:r w:rsidRPr="00FC269C">
        <w:rPr>
          <w:rFonts w:hint="cs"/>
          <w:rtl/>
        </w:rPr>
        <w:t xml:space="preserve"> ד"ה רשב"ג</w:t>
      </w:r>
      <w:bookmarkEnd w:id="5987"/>
      <w:bookmarkEnd w:id="5988"/>
      <w:bookmarkEnd w:id="5989"/>
    </w:p>
    <w:p w14:paraId="5BA79ECC" w14:textId="77777777" w:rsidR="000F6808" w:rsidRPr="00CF61FE" w:rsidRDefault="000F6808" w:rsidP="000F6808">
      <w:pPr>
        <w:pStyle w:val="a7"/>
        <w:rPr>
          <w:rtl/>
        </w:rPr>
      </w:pPr>
      <w:bookmarkStart w:id="5990" w:name="_Toc145487091"/>
      <w:r>
        <w:rPr>
          <w:rFonts w:hint="cs"/>
          <w:rtl/>
        </w:rPr>
        <w:t>קו' התוס' דבמטה של טרסיים איירי ברפוי והאיך ת"ק מחייב ורשב"ג מתיר ועוד דאין בנין בכלים</w:t>
      </w:r>
      <w:bookmarkEnd w:id="5990"/>
      <w:r>
        <w:rPr>
          <w:rFonts w:hint="cs"/>
          <w:rtl/>
        </w:rPr>
        <w:t xml:space="preserve"> </w:t>
      </w:r>
    </w:p>
    <w:p w14:paraId="4883DED6" w14:textId="7DC52991" w:rsidR="000F6808" w:rsidRDefault="000F6808" w:rsidP="000F6808">
      <w:pPr>
        <w:pStyle w:val="a3"/>
        <w:rPr>
          <w:rtl/>
        </w:rPr>
      </w:pPr>
      <w:bookmarkStart w:id="5991" w:name="_Ref144375019"/>
      <w:r>
        <w:rPr>
          <w:rFonts w:hint="cs"/>
          <w:rtl/>
        </w:rPr>
        <w:t xml:space="preserve">בהא דהעמידה הגמ' לעיל </w:t>
      </w:r>
      <w:r w:rsidRPr="00C0155D">
        <w:rPr>
          <w:rFonts w:ascii="Calibri" w:eastAsia="Times New Roman" w:hAnsi="Calibri" w:cs="Guttman Rashi"/>
          <w:noProof w:val="0"/>
          <w:sz w:val="10"/>
          <w:szCs w:val="12"/>
          <w:rtl/>
        </w:rPr>
        <w:t>(</w:t>
      </w:r>
      <w:r w:rsidRPr="00C0155D">
        <w:rPr>
          <w:rFonts w:ascii="Calibri" w:eastAsia="Times New Roman" w:hAnsi="Calibri" w:cs="Guttman Rashi" w:hint="cs"/>
          <w:noProof w:val="0"/>
          <w:sz w:val="10"/>
          <w:szCs w:val="12"/>
          <w:rtl/>
        </w:rPr>
        <w:t>מז.</w:t>
      </w:r>
      <w:r w:rsidRPr="00C0155D">
        <w:rPr>
          <w:rFonts w:ascii="Calibri" w:eastAsia="Times New Roman" w:hAnsi="Calibri" w:cs="Guttman Rashi"/>
          <w:noProof w:val="0"/>
          <w:sz w:val="10"/>
          <w:szCs w:val="12"/>
          <w:rtl/>
        </w:rPr>
        <w:t>)</w:t>
      </w:r>
      <w:r>
        <w:rPr>
          <w:rtl/>
        </w:rPr>
        <w:t xml:space="preserve"> </w:t>
      </w:r>
      <w:r>
        <w:rPr>
          <w:rFonts w:hint="cs"/>
          <w:rtl/>
        </w:rPr>
        <w:t>דרבי אבא ורב הונא שהתירו להחזיר מטה של טרסיים ס"ל כרשב"ג דמתיר ברפוי, כתבו</w:t>
      </w:r>
      <w:r>
        <w:rPr>
          <w:rtl/>
        </w:rPr>
        <w:t xml:space="preserve"> </w:t>
      </w:r>
      <w:r w:rsidRPr="00C0155D">
        <w:rPr>
          <w:b/>
          <w:bCs/>
          <w:rtl/>
        </w:rPr>
        <w:t>ה</w:t>
      </w:r>
      <w:r w:rsidRPr="00C0155D">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Ref144375019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קכ)</w:t>
      </w:r>
      <w:r>
        <w:rPr>
          <w:b/>
          <w:bCs/>
          <w:vanish/>
          <w:rtl/>
        </w:rPr>
        <w:fldChar w:fldCharType="end"/>
      </w:r>
      <w:r w:rsidRPr="00C0155D">
        <w:rPr>
          <w:b/>
          <w:bCs/>
          <w:vanish/>
          <w:rtl/>
        </w:rPr>
        <w:t xml:space="preserve"> &gt;</w:t>
      </w:r>
      <w:r w:rsidRPr="00C0155D">
        <w:rPr>
          <w:rFonts w:hint="cs"/>
          <w:b/>
          <w:bCs/>
          <w:rtl/>
        </w:rPr>
        <w:t>תוס' לעיל</w:t>
      </w:r>
      <w:r w:rsidRPr="00C0155D">
        <w:rPr>
          <w:b/>
          <w:bCs/>
          <w:rtl/>
        </w:rPr>
        <w:t xml:space="preserve"> </w:t>
      </w:r>
      <w:r w:rsidRPr="00C0155D">
        <w:rPr>
          <w:rFonts w:ascii="Calibri" w:eastAsia="Times New Roman" w:hAnsi="Calibri" w:cs="Guttman Rashi"/>
          <w:noProof w:val="0"/>
          <w:sz w:val="10"/>
          <w:szCs w:val="12"/>
          <w:rtl/>
        </w:rPr>
        <w:t>(</w:t>
      </w:r>
      <w:r w:rsidRPr="00C0155D">
        <w:rPr>
          <w:rFonts w:ascii="Calibri" w:eastAsia="Times New Roman" w:hAnsi="Calibri" w:cs="Guttman Rashi" w:hint="cs"/>
          <w:noProof w:val="0"/>
          <w:sz w:val="10"/>
          <w:szCs w:val="12"/>
          <w:rtl/>
        </w:rPr>
        <w:t>מז: ד"ה רשב"ג</w:t>
      </w:r>
      <w:r w:rsidRPr="00C0155D">
        <w:rPr>
          <w:rFonts w:ascii="Calibri" w:eastAsia="Times New Roman" w:hAnsi="Calibri" w:cs="Guttman Rashi"/>
          <w:noProof w:val="0"/>
          <w:sz w:val="10"/>
          <w:szCs w:val="12"/>
          <w:rtl/>
        </w:rPr>
        <w:t>)</w:t>
      </w:r>
      <w:r w:rsidRPr="00C0155D">
        <w:rPr>
          <w:vanish/>
          <w:rtl/>
        </w:rPr>
        <w:t>=</w:t>
      </w:r>
      <w:r>
        <w:rPr>
          <w:rtl/>
        </w:rPr>
        <w:t xml:space="preserve"> </w:t>
      </w:r>
      <w:r>
        <w:rPr>
          <w:rFonts w:hint="cs"/>
          <w:rtl/>
        </w:rPr>
        <w:t>דאף במטה של טרסיים איירי ברפוי, אך הקשו</w:t>
      </w:r>
      <w:r>
        <w:rPr>
          <w:rtl/>
        </w:rPr>
        <w:t xml:space="preserve"> </w:t>
      </w:r>
      <w:r w:rsidRPr="00C0155D">
        <w:rPr>
          <w:rFonts w:hint="cs"/>
          <w:b/>
          <w:bCs/>
          <w:rtl/>
        </w:rPr>
        <w:t>התוס'</w:t>
      </w:r>
      <w:r>
        <w:rPr>
          <w:rFonts w:hint="cs"/>
          <w:rtl/>
        </w:rPr>
        <w:t xml:space="preserve"> דהאיך אפש"ל דת"ק מחייב חטאת ורשב"ג מתיר לגמרי, ועוד דאין בנין בכלים, ועוד דהיה לגמ' להקשות על רב יהודה דהקשה מרב ושמואל דמחייבי חטאת במטה על רבי אבא ורב הונא, ומבואר דהוא מחייב חטאת אף ברפוי, דהא בברייתא לכו"ע אין בזה חטאת.</w:t>
      </w:r>
    </w:p>
    <w:p w14:paraId="060892B6" w14:textId="77777777" w:rsidR="000F6808" w:rsidRPr="0088513D" w:rsidRDefault="000F6808" w:rsidP="000F6808">
      <w:pPr>
        <w:pStyle w:val="afffffe"/>
        <w:rPr>
          <w:vanish/>
          <w:rtl/>
        </w:rPr>
      </w:pPr>
      <w:r w:rsidRPr="0088513D">
        <w:rPr>
          <w:vanish/>
          <w:rtl/>
        </w:rPr>
        <w:t>תוספות שבת מ"ז ע"ב</w:t>
      </w:r>
      <w:r w:rsidRPr="0088513D">
        <w:rPr>
          <w:rFonts w:hint="cs"/>
          <w:vanish/>
          <w:rtl/>
        </w:rPr>
        <w:t xml:space="preserve"> ד"הה רשב"ג</w:t>
      </w:r>
    </w:p>
    <w:p w14:paraId="11F0F0DD" w14:textId="77777777" w:rsidR="000F6808" w:rsidRDefault="000F6808" w:rsidP="000F6808">
      <w:pPr>
        <w:pStyle w:val="a2"/>
      </w:pPr>
      <w:r w:rsidRPr="00111645">
        <w:rPr>
          <w:rtl/>
        </w:rPr>
        <w:t>רבן שמעון בן גמליאל אומר אם היה רפוי מותר - ולעיל נמי מיירי ברפוי וקשה קצת דהיכי פליגי כולי האי דמר מחייב חטאת ומר שרי אפי' לכתחלה ועוד הא אין בנין וסתירה בכלים ועוד תקשה לרב יהודה הך ברייתא דליכא תנא דמחייב חטאת</w:t>
      </w:r>
      <w:r>
        <w:rPr>
          <w:rFonts w:hint="cs"/>
          <w:rtl/>
        </w:rPr>
        <w:t>.</w:t>
      </w:r>
    </w:p>
    <w:p w14:paraId="63551038" w14:textId="77777777" w:rsidR="000F6808" w:rsidRPr="00CF61FE" w:rsidRDefault="000F6808" w:rsidP="000F6808">
      <w:pPr>
        <w:pStyle w:val="a7"/>
      </w:pPr>
      <w:bookmarkStart w:id="5992" w:name="_Toc145487092"/>
      <w:r w:rsidRPr="00CF61FE">
        <w:rPr>
          <w:rtl/>
        </w:rPr>
        <w:t>בי' התוס' דברפוי לכו"ע אין חטאת ולרב ושמואל בלא רפוי חייב ומק' הגמ' דאמאי רפוי מותר</w:t>
      </w:r>
      <w:bookmarkEnd w:id="5992"/>
    </w:p>
    <w:p w14:paraId="515C2E8D" w14:textId="77777777" w:rsidR="000F6808" w:rsidRPr="005827E5" w:rsidRDefault="000F6808" w:rsidP="000F6808">
      <w:pPr>
        <w:pStyle w:val="a3"/>
        <w:rPr>
          <w:rtl/>
        </w:rPr>
      </w:pPr>
      <w:r>
        <w:rPr>
          <w:rFonts w:hint="cs"/>
          <w:rtl/>
        </w:rPr>
        <w:t>ותירצו</w:t>
      </w:r>
      <w:r>
        <w:rPr>
          <w:rtl/>
        </w:rPr>
        <w:t xml:space="preserve"> </w:t>
      </w:r>
      <w:r w:rsidRPr="00C0155D">
        <w:rPr>
          <w:rFonts w:hint="cs"/>
          <w:b/>
          <w:bCs/>
          <w:rtl/>
        </w:rPr>
        <w:t>התוס'</w:t>
      </w:r>
      <w:r>
        <w:rPr>
          <w:rtl/>
        </w:rPr>
        <w:t xml:space="preserve"> </w:t>
      </w:r>
      <w:r>
        <w:rPr>
          <w:rFonts w:hint="cs"/>
          <w:rtl/>
        </w:rPr>
        <w:t>דבאמת ברפוי לכו"ע אין חיוב חטאת, וכוונת רב יהודה להקשות דכיון דרב ושמואל מחייבים במטה של טרסיים בלא רפוי, א"כ א"א להתיר לכתחילה ברפוי.</w:t>
      </w:r>
      <w:bookmarkEnd w:id="5991"/>
    </w:p>
    <w:p w14:paraId="5872BAE0" w14:textId="77777777" w:rsidR="000F6808" w:rsidRDefault="000F6808" w:rsidP="000F6808">
      <w:pPr>
        <w:pStyle w:val="a2"/>
        <w:rPr>
          <w:rtl/>
        </w:rPr>
      </w:pPr>
      <w:r w:rsidRPr="00111645">
        <w:rPr>
          <w:rtl/>
        </w:rPr>
        <w:t>ויש לומר דהכי קאמר לעיל הא רב ושמואל דאמרי תרווייהו המחזיר מטה של טרסיים בשבת חייב חטאת כשאינו רפוי ואם כן ברפוי אין סברא להתיר לכתחלה.</w:t>
      </w:r>
    </w:p>
    <w:p w14:paraId="4478138B" w14:textId="77777777" w:rsidR="000F6808" w:rsidRDefault="000F6808" w:rsidP="000F6808">
      <w:pPr>
        <w:pStyle w:val="afffff7"/>
        <w:rPr>
          <w:rtl/>
        </w:rPr>
      </w:pPr>
      <w:bookmarkStart w:id="5993" w:name="_Toc145500833"/>
      <w:bookmarkStart w:id="5994" w:name="_Toc163506373"/>
      <w:r w:rsidRPr="00D46B4A">
        <w:rPr>
          <w:rtl/>
        </w:rPr>
        <w:t xml:space="preserve">חזון איש </w:t>
      </w:r>
      <w:r>
        <w:rPr>
          <w:rtl/>
        </w:rPr>
        <w:t>או"ח סי' נ' סק"י</w:t>
      </w:r>
      <w:r w:rsidRPr="00D46B4A">
        <w:rPr>
          <w:rtl/>
        </w:rPr>
        <w:t xml:space="preserve"> ד"ה ובתו' מ"ח א'</w:t>
      </w:r>
      <w:bookmarkEnd w:id="5993"/>
      <w:bookmarkEnd w:id="5994"/>
      <w:r w:rsidRPr="00D46B4A">
        <w:rPr>
          <w:rtl/>
        </w:rPr>
        <w:t xml:space="preserve"> </w:t>
      </w:r>
    </w:p>
    <w:p w14:paraId="4D92921D" w14:textId="77777777" w:rsidR="000F6808" w:rsidRDefault="000F6808" w:rsidP="000F6808">
      <w:pPr>
        <w:pStyle w:val="a7"/>
        <w:rPr>
          <w:rtl/>
        </w:rPr>
      </w:pPr>
      <w:bookmarkStart w:id="5995" w:name="_Toc145487093"/>
      <w:r>
        <w:rPr>
          <w:rFonts w:hint="cs"/>
          <w:rtl/>
        </w:rPr>
        <w:t>בי' החזו"א בתוס' ובהג' אשר"י דכל שלא תקע הוי רפוי אף מהדק ובדלתות גזרו דרגילות לתקוע</w:t>
      </w:r>
      <w:bookmarkEnd w:id="5995"/>
    </w:p>
    <w:p w14:paraId="0AFC3B7B" w14:textId="77121EEC" w:rsidR="000F6808" w:rsidRPr="00DF3F6C" w:rsidRDefault="000F6808" w:rsidP="000F6808">
      <w:pPr>
        <w:pStyle w:val="a3"/>
        <w:rPr>
          <w:rtl/>
        </w:rPr>
      </w:pPr>
      <w:bookmarkStart w:id="5996" w:name="_Ref145454626"/>
      <w:r>
        <w:rPr>
          <w:rFonts w:hint="cs"/>
          <w:rtl/>
        </w:rPr>
        <w:t>במ"ש</w:t>
      </w:r>
      <w:r>
        <w:rPr>
          <w:rtl/>
        </w:rPr>
        <w:t xml:space="preserve"> </w:t>
      </w:r>
      <w:r>
        <w:rPr>
          <w:rFonts w:hint="cs"/>
          <w:b/>
          <w:bCs/>
          <w:rtl/>
        </w:rPr>
        <w:t>התוס' וההג' אשר"י</w:t>
      </w:r>
      <w:r>
        <w:rPr>
          <w:rtl/>
        </w:rPr>
        <w:t xml:space="preserve"> </w:t>
      </w:r>
      <w:r>
        <w:rPr>
          <w:rFonts w:hint="cs"/>
          <w:rtl/>
        </w:rPr>
        <w:t>דמוכח מדלתות שידה תיבה ומגדל, דכל שיש רגילות להחזיר גזרו שמא יתקע, עי' במה שביאר</w:t>
      </w:r>
      <w:r>
        <w:rPr>
          <w:rtl/>
        </w:rPr>
        <w:t xml:space="preserve"> </w:t>
      </w:r>
      <w:r w:rsidRPr="00DF3F6C">
        <w:rPr>
          <w:b/>
          <w:bCs/>
          <w:rtl/>
        </w:rPr>
        <w:t>ה</w:t>
      </w:r>
      <w:r>
        <w:rPr>
          <w:rFonts w:hint="cs"/>
          <w:b/>
          <w:bCs/>
          <w:vanish/>
          <w:rtl/>
        </w:rPr>
        <w:t xml:space="preserve">&lt;, </w:t>
      </w:r>
      <w:r>
        <w:rPr>
          <w:b/>
          <w:bCs/>
          <w:vanish/>
          <w:rtl/>
        </w:rPr>
        <w:fldChar w:fldCharType="begin"/>
      </w:r>
      <w:r>
        <w:rPr>
          <w:b/>
          <w:bCs/>
          <w:vanish/>
          <w:rtl/>
        </w:rPr>
        <w:instrText xml:space="preserve"> </w:instrText>
      </w:r>
      <w:r>
        <w:rPr>
          <w:rFonts w:hint="cs"/>
          <w:b/>
          <w:bCs/>
          <w:vanish/>
        </w:rPr>
        <w:instrText>REF</w:instrText>
      </w:r>
      <w:r>
        <w:rPr>
          <w:rFonts w:hint="cs"/>
          <w:b/>
          <w:bCs/>
          <w:vanish/>
          <w:rtl/>
        </w:rPr>
        <w:instrText xml:space="preserve"> _</w:instrText>
      </w:r>
      <w:r>
        <w:rPr>
          <w:rFonts w:hint="cs"/>
          <w:b/>
          <w:bCs/>
          <w:vanish/>
        </w:rPr>
        <w:instrText>Ref145454626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קכב)</w:t>
      </w:r>
      <w:r>
        <w:rPr>
          <w:b/>
          <w:bCs/>
          <w:vanish/>
          <w:rtl/>
        </w:rPr>
        <w:fldChar w:fldCharType="end"/>
      </w:r>
      <w:r>
        <w:rPr>
          <w:rFonts w:hint="cs"/>
          <w:b/>
          <w:bCs/>
          <w:vanish/>
          <w:rtl/>
        </w:rPr>
        <w:t xml:space="preserve"> &gt;</w:t>
      </w:r>
      <w:r>
        <w:rPr>
          <w:rFonts w:hint="cs"/>
          <w:b/>
          <w:bCs/>
          <w:rtl/>
        </w:rPr>
        <w:t xml:space="preserve">חזו"א </w:t>
      </w:r>
      <w:r>
        <w:rPr>
          <w:rFonts w:ascii="Calibri" w:eastAsia="Times New Roman" w:hAnsi="Calibri" w:cs="Guttman Rashi" w:hint="cs"/>
          <w:noProof w:val="0"/>
          <w:sz w:val="10"/>
          <w:szCs w:val="12"/>
          <w:rtl/>
        </w:rPr>
        <w:t xml:space="preserve">(עי' </w:t>
      </w:r>
      <w:r w:rsidRPr="00270207">
        <w:rPr>
          <w:rStyle w:val="af2"/>
          <w:rFonts w:eastAsia="Guttman Hodes" w:hint="cs"/>
          <w:rtl/>
        </w:rPr>
        <w:t xml:space="preserve">אות </w:t>
      </w:r>
      <w:r w:rsidRPr="00270207">
        <w:rPr>
          <w:rStyle w:val="af2"/>
          <w:rFonts w:eastAsia="Guttman Hodes"/>
          <w:rtl/>
        </w:rPr>
        <w:fldChar w:fldCharType="begin"/>
      </w:r>
      <w:r w:rsidRPr="00270207">
        <w:rPr>
          <w:rStyle w:val="af2"/>
          <w:rFonts w:eastAsia="Guttman Hodes"/>
          <w:rtl/>
        </w:rPr>
        <w:instrText xml:space="preserve"> </w:instrText>
      </w:r>
      <w:r w:rsidRPr="00270207">
        <w:rPr>
          <w:rStyle w:val="af2"/>
          <w:rFonts w:eastAsia="Guttman Hodes"/>
        </w:rPr>
        <w:instrText>REF</w:instrText>
      </w:r>
      <w:r w:rsidRPr="00270207">
        <w:rPr>
          <w:rStyle w:val="af2"/>
          <w:rFonts w:eastAsia="Guttman Hodes"/>
          <w:rtl/>
        </w:rPr>
        <w:instrText xml:space="preserve"> _</w:instrText>
      </w:r>
      <w:r w:rsidRPr="00270207">
        <w:rPr>
          <w:rStyle w:val="af2"/>
          <w:rFonts w:eastAsia="Guttman Hodes"/>
        </w:rPr>
        <w:instrText>Ref145319966 \r \h</w:instrText>
      </w:r>
      <w:r w:rsidRPr="00270207">
        <w:rPr>
          <w:rStyle w:val="af2"/>
          <w:rFonts w:eastAsia="Guttman Hodes"/>
          <w:rtl/>
        </w:rPr>
        <w:instrText xml:space="preserve"> </w:instrText>
      </w:r>
      <w:r w:rsidRPr="00270207">
        <w:rPr>
          <w:rStyle w:val="af2"/>
          <w:rFonts w:eastAsia="Guttman Hodes"/>
          <w:rtl/>
        </w:rPr>
      </w:r>
      <w:r w:rsidRPr="00270207">
        <w:rPr>
          <w:rStyle w:val="af2"/>
          <w:rFonts w:eastAsia="Guttman Hodes"/>
          <w:rtl/>
        </w:rPr>
        <w:fldChar w:fldCharType="separate"/>
      </w:r>
      <w:r w:rsidR="00D82181">
        <w:rPr>
          <w:rStyle w:val="af2"/>
          <w:rFonts w:eastAsia="Guttman Hodes"/>
          <w:cs/>
        </w:rPr>
        <w:t>‎</w:t>
      </w:r>
      <w:r w:rsidR="00D82181">
        <w:rPr>
          <w:rStyle w:val="af2"/>
          <w:rFonts w:eastAsia="Guttman Hodes"/>
          <w:rtl/>
        </w:rPr>
        <w:t>קנט)</w:t>
      </w:r>
      <w:r w:rsidRPr="00270207">
        <w:rPr>
          <w:rStyle w:val="af2"/>
          <w:rFonts w:eastAsia="Guttman Hodes"/>
          <w:rtl/>
        </w:rPr>
        <w:fldChar w:fldCharType="end"/>
      </w:r>
      <w:r w:rsidRPr="00DF3F6C">
        <w:rPr>
          <w:vanish/>
          <w:rtl/>
        </w:rPr>
        <w:t>=</w:t>
      </w:r>
      <w:r>
        <w:rPr>
          <w:rtl/>
        </w:rPr>
        <w:t xml:space="preserve"> </w:t>
      </w:r>
      <w:r>
        <w:rPr>
          <w:rFonts w:hint="cs"/>
          <w:rtl/>
        </w:rPr>
        <w:t xml:space="preserve">בדעת </w:t>
      </w:r>
      <w:r>
        <w:rPr>
          <w:rFonts w:hint="cs"/>
          <w:b/>
          <w:bCs/>
          <w:rtl/>
        </w:rPr>
        <w:t>ה</w:t>
      </w:r>
      <w:r w:rsidRPr="00721C1D">
        <w:rPr>
          <w:rFonts w:hint="cs"/>
          <w:b/>
          <w:bCs/>
          <w:vanish/>
          <w:rtl/>
        </w:rPr>
        <w:t>&lt; &gt;</w:t>
      </w:r>
      <w:r>
        <w:rPr>
          <w:rFonts w:hint="cs"/>
          <w:b/>
          <w:bCs/>
          <w:rtl/>
        </w:rPr>
        <w:t>תוס' וההג' אשר"י</w:t>
      </w:r>
      <w:r>
        <w:rPr>
          <w:rtl/>
        </w:rPr>
        <w:t xml:space="preserve"> </w:t>
      </w:r>
      <w:r>
        <w:rPr>
          <w:rFonts w:ascii="Calibri" w:eastAsia="Times New Roman" w:hAnsi="Calibri" w:cs="Guttman Rashi" w:hint="cs"/>
          <w:noProof w:val="0"/>
          <w:sz w:val="10"/>
          <w:szCs w:val="12"/>
          <w:rtl/>
        </w:rPr>
        <w:t xml:space="preserve">(עי' 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hint="cs"/>
          <w:noProof w:val="0"/>
          <w:sz w:val="10"/>
          <w:szCs w:val="12"/>
        </w:rPr>
        <w:instrText>REF</w:instrText>
      </w:r>
      <w:r>
        <w:rPr>
          <w:rFonts w:ascii="Calibri" w:eastAsia="Times New Roman" w:hAnsi="Calibri" w:cs="Guttman Rashi" w:hint="cs"/>
          <w:noProof w:val="0"/>
          <w:sz w:val="10"/>
          <w:szCs w:val="12"/>
          <w:rtl/>
        </w:rPr>
        <w:instrText xml:space="preserve"> _</w:instrText>
      </w:r>
      <w:r>
        <w:rPr>
          <w:rFonts w:ascii="Calibri" w:eastAsia="Times New Roman" w:hAnsi="Calibri" w:cs="Guttman Rashi" w:hint="cs"/>
          <w:noProof w:val="0"/>
          <w:sz w:val="10"/>
          <w:szCs w:val="12"/>
        </w:rPr>
        <w:instrText>Ref145319901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קנד)</w:t>
      </w:r>
      <w:r>
        <w:rPr>
          <w:rFonts w:ascii="Calibri" w:eastAsia="Times New Roman" w:hAnsi="Calibri" w:cs="Guttman Rashi"/>
          <w:noProof w:val="0"/>
          <w:sz w:val="10"/>
          <w:szCs w:val="12"/>
          <w:rtl/>
        </w:rPr>
        <w:fldChar w:fldCharType="end"/>
      </w:r>
      <w:r w:rsidRPr="00721C1D">
        <w:rPr>
          <w:vanish/>
          <w:rtl/>
        </w:rPr>
        <w:t xml:space="preserve"> </w:t>
      </w:r>
      <w:r w:rsidRPr="00DF3F6C">
        <w:rPr>
          <w:vanish/>
          <w:rtl/>
        </w:rPr>
        <w:t>=</w:t>
      </w:r>
      <w:r w:rsidRPr="00721C1D">
        <w:rPr>
          <w:rFonts w:hint="cs"/>
          <w:rtl/>
        </w:rPr>
        <w:t xml:space="preserve"> </w:t>
      </w:r>
      <w:r>
        <w:rPr>
          <w:rFonts w:hint="cs"/>
          <w:rtl/>
        </w:rPr>
        <w:t xml:space="preserve">דאין חילוק בין רפוי למהודק, וכל שלא תקע חשיב רפוי, </w:t>
      </w:r>
      <w:r w:rsidRPr="00A24B19">
        <w:rPr>
          <w:rStyle w:val="af"/>
          <w:rFonts w:hint="cs"/>
          <w:rtl/>
        </w:rPr>
        <w:t xml:space="preserve">[ודלא </w:t>
      </w:r>
      <w:r w:rsidRPr="00A24B19">
        <w:rPr>
          <w:rStyle w:val="aff9"/>
          <w:rFonts w:hint="cs"/>
          <w:rtl/>
        </w:rPr>
        <w:t>כר"ן</w:t>
      </w:r>
      <w:r w:rsidRPr="00A24B19">
        <w:rPr>
          <w:rStyle w:val="af"/>
          <w:rFonts w:hint="cs"/>
          <w:rtl/>
        </w:rPr>
        <w:t xml:space="preserve"> </w:t>
      </w:r>
      <w:r w:rsidRPr="00A24B19">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Ref145415181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קלה)</w:t>
      </w:r>
      <w:r>
        <w:rPr>
          <w:rStyle w:val="aff0"/>
          <w:rtl/>
        </w:rPr>
        <w:fldChar w:fldCharType="end"/>
      </w:r>
      <w:r w:rsidRPr="00A24B19">
        <w:rPr>
          <w:rStyle w:val="af"/>
          <w:rFonts w:hint="cs"/>
          <w:rtl/>
        </w:rPr>
        <w:t xml:space="preserve">], </w:t>
      </w:r>
      <w:r>
        <w:rPr>
          <w:rFonts w:hint="cs"/>
          <w:rtl/>
        </w:rPr>
        <w:t>ולכן במטה של טרסיים כל שאינו תוקע חשיב רפוי ומותר, והא דגזרו בדלתות שידה תיבה ומגדל שמא יתקע, הוא כיון דבדלתות הרגילות לתקוע ולכן גזרו משא"כ במטה של טרסיים דאין רגילות לתקוע מותר ברפוי, וכתב</w:t>
      </w:r>
      <w:r>
        <w:rPr>
          <w:rtl/>
        </w:rPr>
        <w:t xml:space="preserve"> </w:t>
      </w:r>
      <w:r>
        <w:rPr>
          <w:rFonts w:hint="cs"/>
          <w:b/>
          <w:bCs/>
          <w:rtl/>
        </w:rPr>
        <w:t>החזו"א</w:t>
      </w:r>
      <w:r>
        <w:rPr>
          <w:rtl/>
        </w:rPr>
        <w:t xml:space="preserve"> </w:t>
      </w:r>
      <w:r>
        <w:rPr>
          <w:rFonts w:hint="cs"/>
          <w:rtl/>
        </w:rPr>
        <w:t>דלפי"ז מבואר אמאי לא התירו להחזיר תריסין של בית, דכיון דהרגילות לתקוע גזרו שמא יתקע ואף ברפוי אסור.</w:t>
      </w:r>
      <w:bookmarkEnd w:id="5996"/>
      <w:r>
        <w:rPr>
          <w:rFonts w:hint="cs"/>
          <w:rtl/>
        </w:rPr>
        <w:t xml:space="preserve"> </w:t>
      </w:r>
    </w:p>
    <w:p w14:paraId="0982821A" w14:textId="77777777" w:rsidR="000F6808" w:rsidRPr="0088513D" w:rsidRDefault="000F6808" w:rsidP="000F6808">
      <w:pPr>
        <w:pStyle w:val="afffffe"/>
        <w:rPr>
          <w:vanish/>
          <w:rtl/>
        </w:rPr>
      </w:pPr>
      <w:r w:rsidRPr="0088513D">
        <w:rPr>
          <w:vanish/>
          <w:rtl/>
        </w:rPr>
        <w:t xml:space="preserve">חזון איש או"ח סי' נ' סק"י ד"ה ובתו' מ"ח א' </w:t>
      </w:r>
    </w:p>
    <w:p w14:paraId="6EC5DD8F" w14:textId="77777777" w:rsidR="000F6808" w:rsidRPr="00111645" w:rsidRDefault="000F6808" w:rsidP="000F6808">
      <w:pPr>
        <w:pStyle w:val="a2"/>
        <w:rPr>
          <w:rtl/>
        </w:rPr>
      </w:pPr>
      <w:r w:rsidRPr="00111645">
        <w:rPr>
          <w:rtl/>
        </w:rPr>
        <w:t>ובתו' מ"ח א' ד"ה הא, כתבו דבענין שהוא רגילות לתקוע אסור להחזיר אפי' רפוי גזירה שמא יתקע, וכ"כ בהג"א בסוגין, נראה דעתם דכל שלא תקע בכלל רפוי ומותר, והיה קשיא להו ההיא דדלת שדה תבה לק' קכ"ב ב' דגזרינן שמא יתקע וניחא להו דמטה של טרסיים דרך לשמש בה בלא תקיעה אבל דלת השדה דרגילות לתקוע אסור ובזה ניחא ההיא דחזרת תריסין דלא התירו בשל בית, וזה מוכח דאם היה דעתם לחלק בין רפוי למהודק אין להם ראי' מההיא דדלת השדה לאסור ברגילות לתקוע די"ל דהתם במהדק.</w:t>
      </w:r>
    </w:p>
    <w:p w14:paraId="37D1A70B" w14:textId="77777777" w:rsidR="000F6808" w:rsidRPr="00DE1BEA" w:rsidRDefault="000F6808" w:rsidP="000F6808">
      <w:pPr>
        <w:pStyle w:val="1"/>
        <w:rPr>
          <w:rtl/>
        </w:rPr>
      </w:pPr>
      <w:bookmarkStart w:id="5997" w:name="_Toc145487094"/>
      <w:r>
        <w:rPr>
          <w:rFonts w:hint="cs"/>
          <w:rtl/>
        </w:rPr>
        <w:t>בי' הרמב"ן דתוקע חייב בבונה ובלא תקיעה אסור ונח' ברפוי</w:t>
      </w:r>
      <w:bookmarkEnd w:id="5997"/>
    </w:p>
    <w:p w14:paraId="010220A6" w14:textId="77777777" w:rsidR="000F6808" w:rsidRPr="00F05D34" w:rsidRDefault="000F6808" w:rsidP="000F6808">
      <w:pPr>
        <w:pStyle w:val="afffff7"/>
        <w:rPr>
          <w:rtl/>
        </w:rPr>
      </w:pPr>
      <w:bookmarkStart w:id="5998" w:name="_Toc145500834"/>
      <w:bookmarkStart w:id="5999" w:name="_Toc144909635"/>
      <w:bookmarkStart w:id="6000" w:name="_Toc145401269"/>
      <w:bookmarkStart w:id="6001" w:name="_Toc163506374"/>
      <w:r w:rsidRPr="00F05D34">
        <w:rPr>
          <w:rFonts w:hint="cs"/>
          <w:rtl/>
        </w:rPr>
        <w:t>חדושי הרמב"ן שבת ק"ב ע"ב ד"ה ומשמע</w:t>
      </w:r>
      <w:bookmarkEnd w:id="5998"/>
      <w:bookmarkEnd w:id="6001"/>
    </w:p>
    <w:p w14:paraId="49AB3701" w14:textId="77777777" w:rsidR="000F6808" w:rsidRDefault="000F6808" w:rsidP="000F6808">
      <w:pPr>
        <w:pStyle w:val="a7"/>
        <w:rPr>
          <w:rtl/>
        </w:rPr>
      </w:pPr>
      <w:bookmarkStart w:id="6002" w:name="_Toc145487095"/>
      <w:r>
        <w:rPr>
          <w:rFonts w:hint="cs"/>
          <w:rtl/>
        </w:rPr>
        <w:t>בי' הרמב"ן דלת"ק ורשב"ג חיוב בונה בכלים הוא רק בתוקע ונח' ת"ק ורשב"ג אי גזרו ברפוי</w:t>
      </w:r>
      <w:bookmarkEnd w:id="5999"/>
      <w:bookmarkEnd w:id="6000"/>
      <w:bookmarkEnd w:id="6002"/>
    </w:p>
    <w:p w14:paraId="4869EBC5" w14:textId="22302B64" w:rsidR="000F6808" w:rsidRDefault="000F6808" w:rsidP="000F6808">
      <w:pPr>
        <w:pStyle w:val="a3"/>
      </w:pPr>
      <w:bookmarkStart w:id="6003" w:name="_Ref145434632"/>
      <w:bookmarkStart w:id="6004" w:name="_Ref145407576"/>
      <w:r>
        <w:rPr>
          <w:rFonts w:hint="cs"/>
          <w:rtl/>
        </w:rPr>
        <w:t xml:space="preserve">עי' במ"ש </w:t>
      </w:r>
      <w:r w:rsidRPr="00E24FB9">
        <w:rPr>
          <w:rStyle w:val="aff4"/>
          <w:rFonts w:hint="cs"/>
          <w:vanish/>
          <w:rtl/>
        </w:rPr>
        <w:t>-</w:t>
      </w:r>
      <w:r w:rsidRPr="00C07E8C">
        <w:rPr>
          <w:rStyle w:val="aff4"/>
          <w:rFonts w:hint="cs"/>
          <w:rtl/>
        </w:rPr>
        <w:t>הרמב"ן</w:t>
      </w:r>
      <w:r w:rsidRPr="00ED7446">
        <w:rPr>
          <w:b/>
          <w:bCs/>
          <w:rtl/>
        </w:rPr>
        <w:t xml:space="preserve"> </w:t>
      </w:r>
      <w:r w:rsidRPr="007E6BFA">
        <w:rPr>
          <w:b/>
          <w:bCs/>
          <w:rtl/>
        </w:rPr>
        <w:t>בסוגיין</w:t>
      </w:r>
      <w:r w:rsidRPr="00E24FB9">
        <w:rPr>
          <w:rStyle w:val="aff4"/>
          <w:rFonts w:hint="cs"/>
          <w:vanish/>
          <w:rtl/>
        </w:rPr>
        <w:t>-</w:t>
      </w:r>
      <w:r w:rsidRPr="007E6BFA">
        <w:rPr>
          <w:b/>
          <w:bCs/>
          <w:rtl/>
        </w:rPr>
        <w:t xml:space="preserve"> </w:t>
      </w:r>
      <w:r w:rsidRPr="00ED7446">
        <w:rPr>
          <w:rStyle w:val="af2"/>
          <w:rFonts w:eastAsia="Guttman Hodes" w:hint="cs"/>
          <w:rtl/>
        </w:rPr>
        <w:t xml:space="preserve">(עי' אות </w:t>
      </w:r>
      <w:r w:rsidRPr="00ED7446">
        <w:rPr>
          <w:rStyle w:val="af2"/>
          <w:rFonts w:eastAsia="Guttman Hodes"/>
          <w:rtl/>
        </w:rPr>
        <w:fldChar w:fldCharType="begin"/>
      </w:r>
      <w:r w:rsidRPr="00ED7446">
        <w:rPr>
          <w:rStyle w:val="af2"/>
          <w:rFonts w:eastAsia="Guttman Hodes"/>
          <w:rtl/>
        </w:rPr>
        <w:instrText xml:space="preserve"> </w:instrText>
      </w:r>
      <w:r w:rsidRPr="00ED7446">
        <w:rPr>
          <w:rStyle w:val="af2"/>
          <w:rFonts w:eastAsia="Guttman Hodes"/>
        </w:rPr>
        <w:instrText>REF</w:instrText>
      </w:r>
      <w:r w:rsidRPr="00ED7446">
        <w:rPr>
          <w:rStyle w:val="af2"/>
          <w:rFonts w:eastAsia="Guttman Hodes"/>
          <w:rtl/>
        </w:rPr>
        <w:instrText xml:space="preserve"> </w:instrText>
      </w:r>
      <w:r w:rsidRPr="00ED7446">
        <w:rPr>
          <w:rStyle w:val="af2"/>
          <w:rFonts w:eastAsia="Guttman Hodes" w:hint="cs"/>
          <w:rtl/>
        </w:rPr>
        <w:instrText>_</w:instrText>
      </w:r>
      <w:r w:rsidRPr="00ED7446">
        <w:rPr>
          <w:rStyle w:val="af2"/>
          <w:rFonts w:eastAsia="Guttman Hodes"/>
        </w:rPr>
        <w:instrText>Ref145433571 \r \h</w:instrText>
      </w:r>
      <w:r w:rsidRPr="00ED7446">
        <w:rPr>
          <w:rStyle w:val="af2"/>
          <w:rFonts w:eastAsia="Guttman Hodes"/>
          <w:rtl/>
        </w:rPr>
        <w:instrText xml:space="preserve"> </w:instrText>
      </w:r>
      <w:r w:rsidRPr="00ED7446">
        <w:rPr>
          <w:rStyle w:val="af2"/>
          <w:rFonts w:eastAsia="Guttman Hodes"/>
          <w:rtl/>
        </w:rPr>
      </w:r>
      <w:r w:rsidRPr="00ED7446">
        <w:rPr>
          <w:rStyle w:val="af2"/>
          <w:rFonts w:eastAsia="Guttman Hodes"/>
          <w:rtl/>
        </w:rPr>
        <w:fldChar w:fldCharType="separate"/>
      </w:r>
      <w:r w:rsidR="00D82181">
        <w:rPr>
          <w:rStyle w:val="af2"/>
          <w:rFonts w:eastAsia="Guttman Hodes"/>
          <w:cs/>
        </w:rPr>
        <w:t>‎</w:t>
      </w:r>
      <w:r w:rsidR="00D82181">
        <w:rPr>
          <w:rStyle w:val="af2"/>
          <w:rFonts w:eastAsia="Guttman Hodes"/>
          <w:rtl/>
        </w:rPr>
        <w:t>קח)</w:t>
      </w:r>
      <w:r w:rsidRPr="00ED7446">
        <w:rPr>
          <w:rStyle w:val="af2"/>
          <w:rFonts w:eastAsia="Guttman Hodes"/>
          <w:rtl/>
        </w:rPr>
        <w:fldChar w:fldCharType="end"/>
      </w:r>
      <w:r w:rsidRPr="002B66E9">
        <w:rPr>
          <w:rFonts w:hint="cs"/>
          <w:rtl/>
        </w:rPr>
        <w:t xml:space="preserve"> </w:t>
      </w:r>
      <w:r w:rsidRPr="007E6BFA">
        <w:rPr>
          <w:rtl/>
        </w:rPr>
        <w:t>ד</w:t>
      </w:r>
      <w:r>
        <w:rPr>
          <w:rFonts w:hint="cs"/>
          <w:rtl/>
        </w:rPr>
        <w:t>אף דאין בנין בכלים, מ"מ העושה</w:t>
      </w:r>
      <w:r w:rsidRPr="007E6BFA">
        <w:rPr>
          <w:rtl/>
        </w:rPr>
        <w:t xml:space="preserve"> כלי מתחילתו </w:t>
      </w:r>
      <w:r>
        <w:rPr>
          <w:rFonts w:hint="cs"/>
          <w:rtl/>
        </w:rPr>
        <w:t xml:space="preserve">וכן </w:t>
      </w:r>
      <w:r w:rsidRPr="007E6BFA">
        <w:rPr>
          <w:rtl/>
        </w:rPr>
        <w:t>כלי מפורק שצריך אומן להחזירו</w:t>
      </w:r>
      <w:r>
        <w:rPr>
          <w:rFonts w:hint="cs"/>
          <w:rtl/>
        </w:rPr>
        <w:t xml:space="preserve"> חייב בבונה, והוסיף </w:t>
      </w:r>
      <w:r w:rsidRPr="00E24FB9">
        <w:rPr>
          <w:rStyle w:val="aff4"/>
          <w:rFonts w:hint="cs"/>
          <w:vanish/>
          <w:rtl/>
        </w:rPr>
        <w:t>-</w:t>
      </w:r>
      <w:r w:rsidRPr="00C07E8C">
        <w:rPr>
          <w:rStyle w:val="aff4"/>
          <w:rFonts w:hint="cs"/>
          <w:rtl/>
        </w:rPr>
        <w:t>ה</w:t>
      </w:r>
      <w:r w:rsidRPr="00E741DA">
        <w:rPr>
          <w:rStyle w:val="aff4"/>
          <w:rFonts w:hint="cs"/>
          <w:vanish/>
          <w:rtl/>
        </w:rPr>
        <w:t xml:space="preserve">&lt;, </w:t>
      </w:r>
      <w:r w:rsidRPr="00E741DA">
        <w:rPr>
          <w:rStyle w:val="aff4"/>
          <w:vanish/>
          <w:rtl/>
        </w:rPr>
        <w:fldChar w:fldCharType="begin"/>
      </w:r>
      <w:r w:rsidRPr="00E741DA">
        <w:rPr>
          <w:rStyle w:val="aff4"/>
          <w:vanish/>
          <w:rtl/>
        </w:rPr>
        <w:instrText xml:space="preserve"> </w:instrText>
      </w:r>
      <w:r w:rsidRPr="00E741DA">
        <w:rPr>
          <w:rStyle w:val="aff4"/>
          <w:rFonts w:hint="cs"/>
          <w:vanish/>
        </w:rPr>
        <w:instrText>REF</w:instrText>
      </w:r>
      <w:r w:rsidRPr="00E741DA">
        <w:rPr>
          <w:rStyle w:val="aff4"/>
          <w:rFonts w:hint="cs"/>
          <w:vanish/>
          <w:rtl/>
        </w:rPr>
        <w:instrText xml:space="preserve"> _</w:instrText>
      </w:r>
      <w:r w:rsidRPr="00E741DA">
        <w:rPr>
          <w:rStyle w:val="aff4"/>
          <w:rFonts w:hint="cs"/>
          <w:vanish/>
        </w:rPr>
        <w:instrText>Ref145407576 \r \h</w:instrText>
      </w:r>
      <w:r w:rsidRPr="00E741DA">
        <w:rPr>
          <w:rStyle w:val="aff4"/>
          <w:vanish/>
          <w:rtl/>
        </w:rPr>
        <w:instrText xml:space="preserve"> </w:instrText>
      </w:r>
      <w:r>
        <w:rPr>
          <w:rStyle w:val="aff4"/>
          <w:vanish/>
          <w:rtl/>
        </w:rPr>
        <w:instrText xml:space="preserve"> \* </w:instrText>
      </w:r>
      <w:r>
        <w:rPr>
          <w:rStyle w:val="aff4"/>
          <w:vanish/>
        </w:rPr>
        <w:instrText>MERGEFORMAT</w:instrText>
      </w:r>
      <w:r>
        <w:rPr>
          <w:rStyle w:val="aff4"/>
          <w:vanish/>
          <w:rtl/>
        </w:rPr>
        <w:instrText xml:space="preserve"> </w:instrText>
      </w:r>
      <w:r w:rsidRPr="00E741DA">
        <w:rPr>
          <w:rStyle w:val="aff4"/>
          <w:vanish/>
          <w:rtl/>
        </w:rPr>
      </w:r>
      <w:r w:rsidRPr="00E741DA">
        <w:rPr>
          <w:rStyle w:val="aff4"/>
          <w:vanish/>
          <w:rtl/>
        </w:rPr>
        <w:fldChar w:fldCharType="separate"/>
      </w:r>
      <w:r w:rsidR="00D82181">
        <w:rPr>
          <w:rStyle w:val="aff4"/>
          <w:vanish/>
          <w:cs/>
        </w:rPr>
        <w:t>‎</w:t>
      </w:r>
      <w:r w:rsidR="00D82181">
        <w:rPr>
          <w:rStyle w:val="aff4"/>
          <w:vanish/>
          <w:rtl/>
        </w:rPr>
        <w:t>קכג)</w:t>
      </w:r>
      <w:r w:rsidRPr="00E741DA">
        <w:rPr>
          <w:rStyle w:val="aff4"/>
          <w:vanish/>
          <w:rtl/>
        </w:rPr>
        <w:fldChar w:fldCharType="end"/>
      </w:r>
      <w:r w:rsidRPr="00E741DA">
        <w:rPr>
          <w:rStyle w:val="aff4"/>
          <w:rFonts w:hint="cs"/>
          <w:vanish/>
          <w:rtl/>
        </w:rPr>
        <w:t xml:space="preserve"> &gt;</w:t>
      </w:r>
      <w:r w:rsidRPr="00C07E8C">
        <w:rPr>
          <w:rStyle w:val="aff4"/>
          <w:rFonts w:hint="cs"/>
          <w:rtl/>
        </w:rPr>
        <w:t>רמב"ן</w:t>
      </w:r>
      <w:r>
        <w:rPr>
          <w:rStyle w:val="aff4"/>
          <w:rFonts w:hint="cs"/>
          <w:rtl/>
        </w:rPr>
        <w:t xml:space="preserve"> בסוגיין</w:t>
      </w:r>
      <w:r w:rsidRPr="00E24FB9">
        <w:rPr>
          <w:rStyle w:val="aff4"/>
          <w:rFonts w:hint="cs"/>
          <w:vanish/>
          <w:rtl/>
        </w:rPr>
        <w:t>-</w:t>
      </w:r>
      <w:r>
        <w:rPr>
          <w:rFonts w:hint="cs"/>
          <w:rtl/>
        </w:rPr>
        <w:t xml:space="preserve"> </w:t>
      </w:r>
      <w:r w:rsidRPr="00C962CD">
        <w:rPr>
          <w:rStyle w:val="af2"/>
          <w:rFonts w:eastAsia="Guttman Hodes" w:hint="cs"/>
          <w:rtl/>
        </w:rPr>
        <w:t>(ד"ה ומשמע)</w:t>
      </w:r>
      <w:r w:rsidRPr="00D12047">
        <w:rPr>
          <w:rFonts w:hint="cs"/>
          <w:vanish/>
          <w:rtl/>
        </w:rPr>
        <w:t>=</w:t>
      </w:r>
      <w:r>
        <w:rPr>
          <w:rFonts w:hint="cs"/>
          <w:rtl/>
        </w:rPr>
        <w:t xml:space="preserve"> דאף בכלים שייך חיוב בונה דהתוקע דלתות ביתדות וסיכין חייב משום בונה, והא דאמרינן בגמ' </w:t>
      </w:r>
      <w:r>
        <w:rPr>
          <w:rFonts w:hint="cs"/>
          <w:rtl/>
        </w:rPr>
        <w:lastRenderedPageBreak/>
        <w:t xml:space="preserve">לקמן </w:t>
      </w:r>
      <w:r w:rsidRPr="006A787C">
        <w:rPr>
          <w:rStyle w:val="af2"/>
          <w:rFonts w:eastAsia="Guttman Hodes" w:hint="cs"/>
          <w:rtl/>
        </w:rPr>
        <w:t>(קכב:)</w:t>
      </w:r>
      <w:r>
        <w:rPr>
          <w:rFonts w:hint="cs"/>
          <w:rtl/>
        </w:rPr>
        <w:t xml:space="preserve"> דאסור להחזיר דלתות הכלים גזירה שמא יתקע, היינו דאם יתקע חייב משום בונה, והוסיף </w:t>
      </w:r>
      <w:r w:rsidRPr="00C07E8C">
        <w:rPr>
          <w:rStyle w:val="aff4"/>
          <w:rFonts w:hint="cs"/>
          <w:rtl/>
        </w:rPr>
        <w:t>הרמב"ן</w:t>
      </w:r>
      <w:r w:rsidRPr="00ED7446">
        <w:rPr>
          <w:b/>
          <w:bCs/>
          <w:rtl/>
        </w:rPr>
        <w:t xml:space="preserve"> </w:t>
      </w:r>
      <w:r>
        <w:rPr>
          <w:rFonts w:hint="cs"/>
          <w:rtl/>
        </w:rPr>
        <w:t xml:space="preserve">דהא דנחלקו ת"ק ורשב"ג בברייתא לעיל </w:t>
      </w:r>
      <w:r w:rsidRPr="00C962CD">
        <w:rPr>
          <w:rStyle w:val="af2"/>
          <w:rFonts w:eastAsia="Guttman Hodes" w:hint="cs"/>
          <w:rtl/>
        </w:rPr>
        <w:t>(מז:)</w:t>
      </w:r>
      <w:r>
        <w:rPr>
          <w:rFonts w:hint="cs"/>
          <w:rtl/>
        </w:rPr>
        <w:t xml:space="preserve"> אי מותר להחזיר לכתחילה ברפוי, היינו כיון דס"ל לברייתא דאין בנין בכלים כשאינו תוקע, וא"כ כל שלא תקע אינו אב אף בלא רפוי כיון דלא תקע, ולכן ס"ל לרשב"ג דברפוי מותר לכתחילה, ואף ת"ק מודה דרק בתוקע הוי אב, דאמר דרק בתקע חייב חטאת, אך מ"מ ס"ל דגזרו אף ברפוי שמא יתקע.</w:t>
      </w:r>
      <w:bookmarkEnd w:id="6003"/>
    </w:p>
    <w:bookmarkEnd w:id="6004"/>
    <w:p w14:paraId="2286B1AB" w14:textId="77777777" w:rsidR="000F6808" w:rsidRPr="0088513D" w:rsidRDefault="000F6808" w:rsidP="000F6808">
      <w:pPr>
        <w:pStyle w:val="afffffe"/>
        <w:rPr>
          <w:vanish/>
          <w:rtl/>
        </w:rPr>
      </w:pPr>
      <w:r w:rsidRPr="0088513D">
        <w:rPr>
          <w:rFonts w:hint="cs"/>
          <w:vanish/>
          <w:rtl/>
        </w:rPr>
        <w:t>חדושי הרמב"ן שבת ק"ב ע"ב ד"ה ומשמע</w:t>
      </w:r>
    </w:p>
    <w:p w14:paraId="245AC371" w14:textId="77777777" w:rsidR="000F6808" w:rsidRDefault="000F6808" w:rsidP="000F6808">
      <w:pPr>
        <w:pStyle w:val="a2"/>
        <w:rPr>
          <w:rtl/>
        </w:rPr>
      </w:pPr>
      <w:r w:rsidRPr="00111645">
        <w:rPr>
          <w:rtl/>
        </w:rPr>
        <w:t>ומשמע לי נמי דכל היכי דתקע ביתידות וסיכין חייב משום בונה, והיינו דאמרי' בפ' כל הכלים (קכ"ב ב') גזירה שמא יתקע כלומר ומחייב משום בונה ולא כמו שפי' רש"י ז"ל משום מכה בפטיש ואפשר דהא דאמר רשב"ג בפ' כירה (מ"ז ב') אם היה רפוי ה"ז מותר, משום דס"ל אין בנין בכלים בלא תקיעה הילכך הואיל וכשאינו רפוי לאו אב מלאכה הוא כשהוא רפוי מותר לכתחילה, ות"ק אף על פי דסבר אין בנין בכלים בלא תקיעה כדקאמר ואם תקע חייב, מ"מ גזר כל חזרה אפי' כשהוא רפוי לכתחלה שמא יתקע</w:t>
      </w:r>
      <w:r>
        <w:rPr>
          <w:rFonts w:hint="cs"/>
          <w:rtl/>
        </w:rPr>
        <w:t>.</w:t>
      </w:r>
    </w:p>
    <w:p w14:paraId="4908831E" w14:textId="77777777" w:rsidR="000F6808" w:rsidRPr="00062670" w:rsidRDefault="000F6808" w:rsidP="000F6808">
      <w:pPr>
        <w:pStyle w:val="a7"/>
      </w:pPr>
      <w:bookmarkStart w:id="6005" w:name="_Toc145487096"/>
      <w:r>
        <w:rPr>
          <w:rFonts w:hint="cs"/>
          <w:rtl/>
        </w:rPr>
        <w:t>בי' הרמב"ן דמדלא פליג רשב"ג במחזיר ולא תקע מוכח דמודה דרק בתוקע חייב ולכן רפוי מותר</w:t>
      </w:r>
      <w:bookmarkEnd w:id="6005"/>
      <w:r>
        <w:rPr>
          <w:rFonts w:hint="cs"/>
          <w:rtl/>
        </w:rPr>
        <w:t xml:space="preserve"> </w:t>
      </w:r>
    </w:p>
    <w:p w14:paraId="669AF129" w14:textId="11DB2BED" w:rsidR="000F6808" w:rsidRPr="00F71D24" w:rsidRDefault="000F6808" w:rsidP="000F6808">
      <w:pPr>
        <w:pStyle w:val="a3"/>
      </w:pPr>
      <w:r>
        <w:rPr>
          <w:rFonts w:hint="cs"/>
          <w:rtl/>
        </w:rPr>
        <w:t xml:space="preserve">וכתב </w:t>
      </w:r>
      <w:r w:rsidRPr="00E24FB9">
        <w:rPr>
          <w:rStyle w:val="aff4"/>
          <w:rFonts w:hint="cs"/>
          <w:vanish/>
          <w:rtl/>
        </w:rPr>
        <w:t>-</w:t>
      </w:r>
      <w:r w:rsidRPr="00C07E8C">
        <w:rPr>
          <w:rStyle w:val="aff4"/>
          <w:rFonts w:hint="cs"/>
          <w:rtl/>
        </w:rPr>
        <w:t>הרמב"ן</w:t>
      </w:r>
      <w:r>
        <w:rPr>
          <w:rStyle w:val="aff4"/>
          <w:rFonts w:hint="cs"/>
          <w:vanish/>
          <w:rtl/>
        </w:rPr>
        <w:t xml:space="preserve"> בסוגיין</w:t>
      </w:r>
      <w:r w:rsidRPr="00E24FB9">
        <w:rPr>
          <w:rStyle w:val="aff4"/>
          <w:rFonts w:hint="cs"/>
          <w:vanish/>
          <w:rtl/>
        </w:rPr>
        <w:t>-</w:t>
      </w:r>
      <w:r>
        <w:rPr>
          <w:rFonts w:hint="cs"/>
          <w:rtl/>
        </w:rPr>
        <w:t xml:space="preserve"> דמוכח דלרשב"ג חיוב חטאת הוא רק ברפוי, דאי בכל מחזיר יש חטאת אף בלא תקע, א"כ היה לרשב"ג לחלוק בזה להדיא על ת"ק דאמר דבתקע חייב חטאת, ועוד דאי בלא רפוי חייב לא היה מתיר רשב"ג ברפוי לכתחילה, אלא כתב </w:t>
      </w:r>
      <w:r w:rsidRPr="00E24FB9">
        <w:rPr>
          <w:rStyle w:val="aff4"/>
          <w:rFonts w:hint="cs"/>
          <w:vanish/>
          <w:rtl/>
        </w:rPr>
        <w:t>-</w:t>
      </w:r>
      <w:r w:rsidRPr="00C07E8C">
        <w:rPr>
          <w:rStyle w:val="aff4"/>
          <w:rFonts w:hint="cs"/>
          <w:rtl/>
        </w:rPr>
        <w:t>הרמב"ן</w:t>
      </w:r>
      <w:r w:rsidRPr="00E24FB9">
        <w:rPr>
          <w:rStyle w:val="aff4"/>
          <w:rFonts w:hint="cs"/>
          <w:vanish/>
          <w:rtl/>
        </w:rPr>
        <w:t>-</w:t>
      </w:r>
      <w:r>
        <w:rPr>
          <w:rFonts w:hint="cs"/>
          <w:rtl/>
        </w:rPr>
        <w:t xml:space="preserve"> דמוכח דס"ל לרשב"ג דאין בנין בכלים,</w:t>
      </w:r>
      <w:r w:rsidRPr="002C1363">
        <w:rPr>
          <w:rFonts w:hint="cs"/>
          <w:rtl/>
        </w:rPr>
        <w:t xml:space="preserve"> </w:t>
      </w:r>
      <w:r>
        <w:rPr>
          <w:rFonts w:hint="cs"/>
          <w:rtl/>
        </w:rPr>
        <w:t xml:space="preserve">ובסוף דבריו ציין </w:t>
      </w:r>
      <w:r w:rsidRPr="00E24FB9">
        <w:rPr>
          <w:rStyle w:val="aff4"/>
          <w:rFonts w:hint="cs"/>
          <w:vanish/>
          <w:rtl/>
        </w:rPr>
        <w:t>-</w:t>
      </w:r>
      <w:r w:rsidRPr="00C07E8C">
        <w:rPr>
          <w:rStyle w:val="aff4"/>
          <w:rFonts w:hint="cs"/>
          <w:rtl/>
        </w:rPr>
        <w:t>הרמב"ן</w:t>
      </w:r>
      <w:r w:rsidRPr="00E24FB9">
        <w:rPr>
          <w:rStyle w:val="aff4"/>
          <w:rFonts w:hint="cs"/>
          <w:vanish/>
          <w:rtl/>
        </w:rPr>
        <w:t>-</w:t>
      </w:r>
      <w:r>
        <w:rPr>
          <w:rFonts w:hint="cs"/>
          <w:rtl/>
        </w:rPr>
        <w:t xml:space="preserve"> למה שביאר </w:t>
      </w:r>
      <w:r w:rsidRPr="00E24FB9">
        <w:rPr>
          <w:rStyle w:val="aff4"/>
          <w:rFonts w:hint="cs"/>
          <w:vanish/>
          <w:rtl/>
        </w:rPr>
        <w:t>-</w:t>
      </w:r>
      <w:r w:rsidRPr="00C07E8C">
        <w:rPr>
          <w:rStyle w:val="aff4"/>
          <w:rFonts w:hint="cs"/>
          <w:rtl/>
        </w:rPr>
        <w:t>הרמב"ן במלחמות</w:t>
      </w:r>
      <w:r w:rsidRPr="00E24FB9">
        <w:rPr>
          <w:rStyle w:val="aff4"/>
          <w:rFonts w:hint="cs"/>
          <w:vanish/>
          <w:rtl/>
        </w:rPr>
        <w:t>-</w:t>
      </w:r>
      <w:r>
        <w:rPr>
          <w:rFonts w:hint="cs"/>
          <w:rtl/>
        </w:rPr>
        <w:t xml:space="preserve"> </w:t>
      </w:r>
      <w:r w:rsidRPr="00C962CD">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Ref144634411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יד)</w:t>
      </w:r>
      <w:r>
        <w:rPr>
          <w:rStyle w:val="af2"/>
          <w:rFonts w:eastAsia="Guttman Hodes"/>
          <w:rtl/>
        </w:rPr>
        <w:fldChar w:fldCharType="end"/>
      </w:r>
      <w:r>
        <w:rPr>
          <w:rFonts w:hint="cs"/>
          <w:rtl/>
        </w:rPr>
        <w:t xml:space="preserve"> וכתב דהוא ביאור טוב יותר.</w:t>
      </w:r>
    </w:p>
    <w:p w14:paraId="612294E0" w14:textId="77777777" w:rsidR="000F6808" w:rsidRPr="00111645" w:rsidRDefault="000F6808" w:rsidP="000F6808">
      <w:pPr>
        <w:pStyle w:val="a2"/>
        <w:rPr>
          <w:rtl/>
        </w:rPr>
      </w:pPr>
      <w:r w:rsidRPr="00111645">
        <w:rPr>
          <w:rtl/>
        </w:rPr>
        <w:t>ואלו הי' סובר רשב"ג שהמחזיר חייב חטאת ה"ל לאפלוגי בהא דאמר ת"ק אם תקע חייב, ועוד דלא הוי שרי ברפוי לכתחלה כדמקשינן בפ' המצניע (צ"ד ב') מי איכא מידי דבכלי חייב חטאת וביד מותר לכתחלה, אלא ש"מ קסבר אין בנין בכלים</w:t>
      </w:r>
      <w:r>
        <w:rPr>
          <w:rFonts w:hint="cs"/>
          <w:rtl/>
        </w:rPr>
        <w:t xml:space="preserve">, וכו' </w:t>
      </w:r>
      <w:r w:rsidRPr="00111645">
        <w:rPr>
          <w:rtl/>
        </w:rPr>
        <w:t>ועוד יש לי בירור טוב יותר מזה בס' המלחמות</w:t>
      </w:r>
      <w:r>
        <w:rPr>
          <w:rFonts w:hint="cs"/>
          <w:rtl/>
        </w:rPr>
        <w:t>.</w:t>
      </w:r>
    </w:p>
    <w:p w14:paraId="06B62D32" w14:textId="77777777" w:rsidR="000F6808" w:rsidRDefault="000F6808" w:rsidP="000F6808">
      <w:pPr>
        <w:pStyle w:val="1"/>
        <w:rPr>
          <w:rtl/>
        </w:rPr>
      </w:pPr>
      <w:bookmarkStart w:id="6006" w:name="_Toc144909645"/>
      <w:bookmarkStart w:id="6007" w:name="_Toc145487097"/>
      <w:r>
        <w:rPr>
          <w:rFonts w:hint="cs"/>
          <w:rtl/>
        </w:rPr>
        <w:t xml:space="preserve">בי' הרמב"ן </w:t>
      </w:r>
      <w:bookmarkEnd w:id="6006"/>
      <w:r>
        <w:rPr>
          <w:rFonts w:hint="cs"/>
          <w:rtl/>
        </w:rPr>
        <w:t>ברי"ף דתוקע חייב במכב"פ ובלא תוקע לכו"ע פטור</w:t>
      </w:r>
      <w:bookmarkEnd w:id="6007"/>
    </w:p>
    <w:p w14:paraId="15F08626" w14:textId="77777777" w:rsidR="000F6808" w:rsidRDefault="000F6808" w:rsidP="000F6808">
      <w:pPr>
        <w:pStyle w:val="afffff7"/>
        <w:rPr>
          <w:rtl/>
        </w:rPr>
      </w:pPr>
      <w:bookmarkStart w:id="6008" w:name="_Toc145500835"/>
      <w:bookmarkStart w:id="6009" w:name="_Toc163506375"/>
      <w:r w:rsidRPr="00AF61D5">
        <w:rPr>
          <w:rFonts w:hint="cs"/>
          <w:rtl/>
        </w:rPr>
        <w:t>מלחמת ה' שבת ל"ז ע"א מדה"ר ד"ה אמר הכותב אעפ"י</w:t>
      </w:r>
      <w:bookmarkEnd w:id="6008"/>
      <w:bookmarkEnd w:id="6009"/>
    </w:p>
    <w:p w14:paraId="47570F02" w14:textId="77777777" w:rsidR="000F6808" w:rsidRPr="00022961" w:rsidRDefault="000F6808" w:rsidP="000F6808">
      <w:pPr>
        <w:pStyle w:val="a7"/>
      </w:pPr>
      <w:bookmarkStart w:id="6010" w:name="_Toc145487098"/>
      <w:r>
        <w:rPr>
          <w:rFonts w:hint="cs"/>
          <w:rtl/>
        </w:rPr>
        <w:t>בי' הרמב"ן דתוקע חייב במכב"פ ובין לת"ק ובין לרשב"ג אין בנין בכלים ורשב"ג מתיר ברפוי</w:t>
      </w:r>
      <w:bookmarkEnd w:id="6010"/>
    </w:p>
    <w:p w14:paraId="71E7AA32" w14:textId="6DC63478" w:rsidR="000F6808" w:rsidRPr="00AF61D5" w:rsidRDefault="000F6808" w:rsidP="000F6808">
      <w:pPr>
        <w:pStyle w:val="a3"/>
      </w:pPr>
      <w:r>
        <w:rPr>
          <w:rFonts w:hint="cs"/>
          <w:rtl/>
        </w:rPr>
        <w:t xml:space="preserve">עי' במ"ש </w:t>
      </w:r>
      <w:r w:rsidRPr="00E24FB9">
        <w:rPr>
          <w:rStyle w:val="aff4"/>
          <w:rFonts w:hint="cs"/>
          <w:vanish/>
          <w:rtl/>
        </w:rPr>
        <w:t>-</w:t>
      </w:r>
      <w:r w:rsidRPr="00C07E8C">
        <w:rPr>
          <w:rStyle w:val="aff4"/>
          <w:rFonts w:hint="cs"/>
          <w:rtl/>
        </w:rPr>
        <w:t>הרמב"ן במלחמות</w:t>
      </w:r>
      <w:r w:rsidRPr="00E24FB9">
        <w:rPr>
          <w:rStyle w:val="aff4"/>
          <w:rFonts w:hint="cs"/>
          <w:vanish/>
          <w:rtl/>
        </w:rPr>
        <w:t>-</w:t>
      </w:r>
      <w:r w:rsidRPr="00AF61D5">
        <w:rPr>
          <w:rFonts w:hint="cs"/>
          <w:rtl/>
        </w:rPr>
        <w:t xml:space="preserve"> </w:t>
      </w:r>
      <w:r>
        <w:rPr>
          <w:rStyle w:val="af2"/>
          <w:rFonts w:eastAsia="Guttman Hodes" w:hint="cs"/>
          <w:rtl/>
        </w:rPr>
        <w:t xml:space="preserve">(עי' </w:t>
      </w:r>
      <w:r w:rsidRPr="00184408">
        <w:rPr>
          <w:rStyle w:val="af2"/>
          <w:rFonts w:eastAsia="Guttman Hodes" w:hint="cs"/>
          <w:rtl/>
        </w:rPr>
        <w:t>אות</w:t>
      </w:r>
      <w:r w:rsidRPr="00184408">
        <w:rPr>
          <w:rStyle w:val="af2"/>
          <w:rFonts w:eastAsia="Guttman Hodes"/>
          <w:rtl/>
        </w:rPr>
        <w:t xml:space="preserve"> </w:t>
      </w:r>
      <w:r w:rsidRPr="00184408">
        <w:rPr>
          <w:rStyle w:val="af2"/>
          <w:rFonts w:eastAsia="Guttman Hodes"/>
          <w:rtl/>
        </w:rPr>
        <w:fldChar w:fldCharType="begin"/>
      </w:r>
      <w:r w:rsidRPr="00184408">
        <w:rPr>
          <w:rStyle w:val="af2"/>
          <w:rFonts w:eastAsia="Guttman Hodes"/>
          <w:rtl/>
        </w:rPr>
        <w:instrText xml:space="preserve"> </w:instrText>
      </w:r>
      <w:r w:rsidRPr="00184408">
        <w:rPr>
          <w:rStyle w:val="af2"/>
          <w:rFonts w:eastAsia="Guttman Hodes" w:hint="cs"/>
        </w:rPr>
        <w:instrText>REF</w:instrText>
      </w:r>
      <w:r w:rsidRPr="00184408">
        <w:rPr>
          <w:rStyle w:val="af2"/>
          <w:rFonts w:eastAsia="Guttman Hodes" w:hint="cs"/>
          <w:rtl/>
        </w:rPr>
        <w:instrText xml:space="preserve"> _</w:instrText>
      </w:r>
      <w:r w:rsidRPr="00184408">
        <w:rPr>
          <w:rStyle w:val="af2"/>
          <w:rFonts w:eastAsia="Guttman Hodes" w:hint="cs"/>
        </w:rPr>
        <w:instrText>Ref144324318 \r \h</w:instrText>
      </w:r>
      <w:r w:rsidRPr="00184408">
        <w:rPr>
          <w:rStyle w:val="af2"/>
          <w:rFonts w:eastAsia="Guttman Hodes"/>
          <w:rtl/>
        </w:rPr>
        <w:instrText xml:space="preserve"> </w:instrText>
      </w:r>
      <w:r w:rsidRPr="00184408">
        <w:rPr>
          <w:rStyle w:val="af2"/>
          <w:rFonts w:eastAsia="Guttman Hodes"/>
          <w:rtl/>
        </w:rPr>
      </w:r>
      <w:r w:rsidRPr="00184408">
        <w:rPr>
          <w:rStyle w:val="af2"/>
          <w:rFonts w:eastAsia="Guttman Hodes"/>
          <w:rtl/>
        </w:rPr>
        <w:fldChar w:fldCharType="separate"/>
      </w:r>
      <w:r w:rsidR="00D82181">
        <w:rPr>
          <w:rStyle w:val="af2"/>
          <w:rFonts w:eastAsia="Guttman Hodes"/>
          <w:cs/>
        </w:rPr>
        <w:t>‎</w:t>
      </w:r>
      <w:r w:rsidR="00D82181">
        <w:rPr>
          <w:rStyle w:val="af2"/>
          <w:rFonts w:eastAsia="Guttman Hodes"/>
          <w:rtl/>
        </w:rPr>
        <w:t>יג)</w:t>
      </w:r>
      <w:r w:rsidRPr="00184408">
        <w:rPr>
          <w:rStyle w:val="af2"/>
          <w:rFonts w:eastAsia="Guttman Hodes"/>
          <w:rtl/>
        </w:rPr>
        <w:fldChar w:fldCharType="end"/>
      </w:r>
      <w:r w:rsidRPr="00AF61D5">
        <w:rPr>
          <w:rFonts w:hint="cs"/>
          <w:rtl/>
        </w:rPr>
        <w:t xml:space="preserve"> בדעת </w:t>
      </w:r>
      <w:r w:rsidRPr="00E24FB9">
        <w:rPr>
          <w:rStyle w:val="aff4"/>
          <w:rFonts w:hint="cs"/>
          <w:vanish/>
          <w:rtl/>
        </w:rPr>
        <w:t>-</w:t>
      </w:r>
      <w:r w:rsidRPr="00C07E8C">
        <w:rPr>
          <w:rStyle w:val="aff4"/>
          <w:rFonts w:hint="cs"/>
          <w:rtl/>
        </w:rPr>
        <w:t>הרי"ף</w:t>
      </w:r>
      <w:r w:rsidRPr="00E24FB9">
        <w:rPr>
          <w:rStyle w:val="aff4"/>
          <w:rFonts w:hint="cs"/>
          <w:vanish/>
          <w:rtl/>
        </w:rPr>
        <w:t>-</w:t>
      </w:r>
      <w:r w:rsidRPr="00AF61D5">
        <w:rPr>
          <w:rFonts w:hint="cs"/>
          <w:rtl/>
        </w:rPr>
        <w:t xml:space="preserve"> </w:t>
      </w:r>
      <w:r>
        <w:rPr>
          <w:rFonts w:hint="cs"/>
          <w:rtl/>
        </w:rPr>
        <w:t xml:space="preserve">דרב ושמואל ס"ל דיש בנין בכלים, והוסיף </w:t>
      </w:r>
      <w:r w:rsidRPr="00E24FB9">
        <w:rPr>
          <w:rStyle w:val="aff4"/>
          <w:rFonts w:hint="cs"/>
          <w:vanish/>
          <w:rtl/>
        </w:rPr>
        <w:t>-</w:t>
      </w:r>
      <w:r w:rsidRPr="00C07E8C">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Ref144634411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יד)</w:t>
      </w:r>
      <w:r>
        <w:rPr>
          <w:rStyle w:val="aff4"/>
          <w:vanish/>
          <w:rtl/>
        </w:rPr>
        <w:fldChar w:fldCharType="end"/>
      </w:r>
      <w:r>
        <w:rPr>
          <w:rStyle w:val="aff4"/>
          <w:rFonts w:hint="cs"/>
          <w:vanish/>
          <w:rtl/>
        </w:rPr>
        <w:t xml:space="preserve"> &gt;</w:t>
      </w:r>
      <w:r w:rsidRPr="00C07E8C">
        <w:rPr>
          <w:rStyle w:val="aff4"/>
          <w:rFonts w:hint="cs"/>
          <w:rtl/>
        </w:rPr>
        <w:t>רמב"ן במלחמות</w:t>
      </w:r>
      <w:r w:rsidRPr="00E24FB9">
        <w:rPr>
          <w:rStyle w:val="aff4"/>
          <w:rFonts w:hint="cs"/>
          <w:vanish/>
          <w:rtl/>
        </w:rPr>
        <w:t>-</w:t>
      </w:r>
      <w:r w:rsidRPr="00AF61D5">
        <w:rPr>
          <w:rFonts w:hint="cs"/>
          <w:rtl/>
        </w:rPr>
        <w:t xml:space="preserve"> </w:t>
      </w:r>
      <w:r w:rsidRPr="00C962CD">
        <w:rPr>
          <w:rStyle w:val="af2"/>
          <w:rFonts w:eastAsia="Guttman Hodes" w:hint="cs"/>
          <w:rtl/>
        </w:rPr>
        <w:t>(ל"ז. מדה"ר ד"ה אמר הכותב אעפ"י, מהדו' עוז והדר עמ' ק"ד)</w:t>
      </w:r>
      <w:r w:rsidRPr="00D12047">
        <w:rPr>
          <w:rFonts w:hint="cs"/>
          <w:vanish/>
          <w:rtl/>
        </w:rPr>
        <w:t>=</w:t>
      </w:r>
      <w:r>
        <w:rPr>
          <w:rFonts w:hint="cs"/>
          <w:rtl/>
        </w:rPr>
        <w:t xml:space="preserve"> </w:t>
      </w:r>
      <w:r w:rsidRPr="00AF61D5">
        <w:rPr>
          <w:rFonts w:hint="cs"/>
          <w:rtl/>
        </w:rPr>
        <w:t xml:space="preserve">בדעת </w:t>
      </w:r>
      <w:r w:rsidRPr="00E24FB9">
        <w:rPr>
          <w:rStyle w:val="aff4"/>
          <w:rFonts w:hint="cs"/>
          <w:vanish/>
          <w:rtl/>
        </w:rPr>
        <w:t>-</w:t>
      </w:r>
      <w:r w:rsidRPr="00C07E8C">
        <w:rPr>
          <w:rStyle w:val="aff4"/>
          <w:rFonts w:hint="cs"/>
          <w:rtl/>
        </w:rPr>
        <w:t>הרי"ף</w:t>
      </w:r>
      <w:r w:rsidRPr="00E24FB9">
        <w:rPr>
          <w:rStyle w:val="aff4"/>
          <w:rFonts w:hint="cs"/>
          <w:vanish/>
          <w:rtl/>
        </w:rPr>
        <w:t>-</w:t>
      </w:r>
      <w:r w:rsidRPr="00AF61D5">
        <w:rPr>
          <w:rFonts w:hint="cs"/>
          <w:rtl/>
        </w:rPr>
        <w:t xml:space="preserve"> </w:t>
      </w:r>
      <w:r>
        <w:rPr>
          <w:rFonts w:hint="cs"/>
          <w:rtl/>
        </w:rPr>
        <w:t>ד</w:t>
      </w:r>
      <w:r w:rsidRPr="00AF61D5">
        <w:rPr>
          <w:rFonts w:hint="cs"/>
          <w:rtl/>
        </w:rPr>
        <w:t xml:space="preserve">ת"ק בברייתא לעיל </w:t>
      </w:r>
      <w:r w:rsidRPr="00C962CD">
        <w:rPr>
          <w:rStyle w:val="af2"/>
          <w:rFonts w:eastAsia="Guttman Hodes" w:hint="cs"/>
          <w:rtl/>
        </w:rPr>
        <w:t>(מז:)</w:t>
      </w:r>
      <w:r w:rsidRPr="00AF61D5">
        <w:rPr>
          <w:rFonts w:hint="cs"/>
          <w:rtl/>
        </w:rPr>
        <w:t xml:space="preserve"> דס"ל דהמחזיר הוא פטור אבל אסור, ורק בתוקע חייב חטאת, היינו כיון דס"ל דאין בנין בכלים, ובתוקע הוא גמר מלאכה וחייב משום מכה בפטיש, וכן דעת רשב"ג וקיי"ל כוותיה, </w:t>
      </w:r>
      <w:r w:rsidRPr="00C761CF">
        <w:rPr>
          <w:rStyle w:val="af"/>
          <w:rFonts w:hint="cs"/>
          <w:rtl/>
        </w:rPr>
        <w:t xml:space="preserve">[ודלא </w:t>
      </w:r>
      <w:r w:rsidRPr="00C761CF">
        <w:rPr>
          <w:rStyle w:val="aff9"/>
          <w:rFonts w:hint="cs"/>
          <w:rtl/>
        </w:rPr>
        <w:t>כרמב"ן בחי' בסוגיין</w:t>
      </w:r>
      <w:r w:rsidRPr="00C761CF">
        <w:rPr>
          <w:rStyle w:val="af"/>
          <w:rFonts w:hint="cs"/>
          <w:rtl/>
        </w:rPr>
        <w:t xml:space="preserve"> </w:t>
      </w:r>
      <w:r w:rsidRPr="00824F73">
        <w:rPr>
          <w:rStyle w:val="aff0"/>
          <w:rFonts w:hint="cs"/>
          <w:rtl/>
        </w:rPr>
        <w:t xml:space="preserve">(עי' אות </w:t>
      </w:r>
      <w:r w:rsidRPr="00824F73">
        <w:rPr>
          <w:rStyle w:val="aff0"/>
          <w:rtl/>
        </w:rPr>
        <w:fldChar w:fldCharType="begin"/>
      </w:r>
      <w:r w:rsidRPr="00824F73">
        <w:rPr>
          <w:rStyle w:val="aff0"/>
          <w:rtl/>
        </w:rPr>
        <w:instrText xml:space="preserve"> </w:instrText>
      </w:r>
      <w:r w:rsidRPr="00824F73">
        <w:rPr>
          <w:rStyle w:val="aff0"/>
          <w:rFonts w:hint="cs"/>
        </w:rPr>
        <w:instrText>REF</w:instrText>
      </w:r>
      <w:r w:rsidRPr="00824F73">
        <w:rPr>
          <w:rStyle w:val="aff0"/>
          <w:rFonts w:hint="cs"/>
          <w:rtl/>
        </w:rPr>
        <w:instrText xml:space="preserve"> _</w:instrText>
      </w:r>
      <w:r w:rsidRPr="00824F73">
        <w:rPr>
          <w:rStyle w:val="aff0"/>
          <w:rFonts w:hint="cs"/>
        </w:rPr>
        <w:instrText>Ref145434632 \r \h</w:instrText>
      </w:r>
      <w:r w:rsidRPr="00824F73">
        <w:rPr>
          <w:rStyle w:val="aff0"/>
          <w:rtl/>
        </w:rPr>
        <w:instrText xml:space="preserve"> </w:instrText>
      </w:r>
      <w:r w:rsidRPr="00824F73">
        <w:rPr>
          <w:rStyle w:val="aff0"/>
          <w:rtl/>
        </w:rPr>
      </w:r>
      <w:r w:rsidRPr="00824F73">
        <w:rPr>
          <w:rStyle w:val="aff0"/>
          <w:rtl/>
        </w:rPr>
        <w:fldChar w:fldCharType="separate"/>
      </w:r>
      <w:r w:rsidR="00D82181">
        <w:rPr>
          <w:rStyle w:val="aff0"/>
          <w:cs/>
        </w:rPr>
        <w:t>‎</w:t>
      </w:r>
      <w:r w:rsidR="00D82181">
        <w:rPr>
          <w:rStyle w:val="aff0"/>
          <w:rtl/>
        </w:rPr>
        <w:t>קכג)</w:t>
      </w:r>
      <w:r w:rsidRPr="00824F73">
        <w:rPr>
          <w:rStyle w:val="aff0"/>
          <w:rtl/>
        </w:rPr>
        <w:fldChar w:fldCharType="end"/>
      </w:r>
      <w:r w:rsidRPr="00C761CF">
        <w:rPr>
          <w:rStyle w:val="af"/>
          <w:rFonts w:hint="cs"/>
          <w:rtl/>
        </w:rPr>
        <w:t xml:space="preserve"> דכתב דבתוקע לכו"ע יש בנין אף בכלים], </w:t>
      </w:r>
      <w:r w:rsidRPr="00AF61D5">
        <w:rPr>
          <w:rFonts w:hint="cs"/>
          <w:rtl/>
        </w:rPr>
        <w:t xml:space="preserve">דמתיר להחזיר אף ברפוי, ולא קיי"ל כריו"ח דאוסר במנורה של חוליות, אלא כב"ה דהתירו בגמ' בביצה </w:t>
      </w:r>
      <w:r w:rsidRPr="00C962CD">
        <w:rPr>
          <w:rStyle w:val="af2"/>
          <w:rFonts w:eastAsia="Guttman Hodes" w:hint="cs"/>
          <w:rtl/>
        </w:rPr>
        <w:t>(כב.)</w:t>
      </w:r>
      <w:r w:rsidRPr="00CE39B0">
        <w:rPr>
          <w:rFonts w:hint="cs"/>
          <w:rtl/>
        </w:rPr>
        <w:t xml:space="preserve"> </w:t>
      </w:r>
      <w:r w:rsidRPr="00AF61D5">
        <w:rPr>
          <w:rFonts w:hint="cs"/>
          <w:rtl/>
        </w:rPr>
        <w:t xml:space="preserve">לזקוף את המנורה ביו"ט, וכדהעמיד רב יצחק בר ביסנא במנורה של חוליות, דמותר כיון דאין בנין בכלים וה"ה בשבת, וכן מסקנת רבא בגמ' לקמן </w:t>
      </w:r>
      <w:r w:rsidRPr="00C962CD">
        <w:rPr>
          <w:rStyle w:val="af2"/>
          <w:rFonts w:eastAsia="Guttman Hodes" w:hint="cs"/>
          <w:rtl/>
        </w:rPr>
        <w:t>(קכב:)</w:t>
      </w:r>
      <w:r w:rsidRPr="00AF61D5">
        <w:rPr>
          <w:rFonts w:hint="cs"/>
          <w:rtl/>
        </w:rPr>
        <w:t>.</w:t>
      </w:r>
    </w:p>
    <w:p w14:paraId="5F7944A3" w14:textId="77777777" w:rsidR="000F6808" w:rsidRPr="0088513D" w:rsidRDefault="000F6808" w:rsidP="000F6808">
      <w:pPr>
        <w:pStyle w:val="afffffe"/>
        <w:rPr>
          <w:vanish/>
        </w:rPr>
      </w:pPr>
      <w:r w:rsidRPr="0088513D">
        <w:rPr>
          <w:rFonts w:hint="cs"/>
          <w:vanish/>
          <w:rtl/>
        </w:rPr>
        <w:t>מלחמת ה' שבת ל"ז ע"א מדה"ר ד"ה אמר הכותב אעפ"י</w:t>
      </w:r>
    </w:p>
    <w:p w14:paraId="4A4B0073" w14:textId="77777777" w:rsidR="000F6808" w:rsidRPr="00111645" w:rsidRDefault="000F6808" w:rsidP="000F6808">
      <w:pPr>
        <w:pStyle w:val="a2"/>
        <w:rPr>
          <w:rtl/>
        </w:rPr>
      </w:pPr>
      <w:r w:rsidRPr="00111645">
        <w:rPr>
          <w:rtl/>
        </w:rPr>
        <w:t>ולתנא דמלבנות המטה דאמר פטור אבל אסור אין בנין בכלים ואם תקע חייב חטאת משום דתקוען הוא גמר מלאכה וחייב משום מכה בפטיש וכן לרשב"ג וקיי"ל כותיה מעתה אין הלכה כר' יוחנן במנורה של חוליות דהא אפי' להחזיר ברפוי מותר אלא הלכה כב"ה דאמרי ביום טוב זוקפין את המנורה וכר' יצחק בר ביסנא דאוקמא במנורה של חוליות ואפ"ה שריא דאין בנין בכלים וה"ה לשבת ורבא נמי הכי אסיק בפרק כל הכלים דאין בנין בכלים ואין סתירה בכלים.</w:t>
      </w:r>
    </w:p>
    <w:p w14:paraId="3A5D1072" w14:textId="77777777" w:rsidR="000F6808" w:rsidRDefault="000F6808" w:rsidP="000F6808">
      <w:pPr>
        <w:pStyle w:val="a7"/>
        <w:rPr>
          <w:rtl/>
        </w:rPr>
      </w:pPr>
      <w:bookmarkStart w:id="6011" w:name="_Toc144909646"/>
      <w:bookmarkStart w:id="6012" w:name="_Toc145487099"/>
      <w:r>
        <w:rPr>
          <w:rFonts w:hint="cs"/>
          <w:rtl/>
        </w:rPr>
        <w:t>בי' הרמב"ן ברי"ף דבדלתות הכלים אסרו אף לרשב"ג דדרכם בתקיעה וכן תריסי חנויות מן הצד</w:t>
      </w:r>
      <w:bookmarkEnd w:id="6011"/>
      <w:bookmarkEnd w:id="6012"/>
    </w:p>
    <w:p w14:paraId="1F4CC8FF" w14:textId="5BE2F29F" w:rsidR="000F6808" w:rsidRPr="00AF61D5" w:rsidRDefault="000F6808" w:rsidP="000F6808">
      <w:pPr>
        <w:pStyle w:val="a3"/>
        <w:rPr>
          <w:rtl/>
        </w:rPr>
      </w:pPr>
      <w:r>
        <w:rPr>
          <w:rFonts w:hint="cs"/>
          <w:rtl/>
        </w:rPr>
        <w:t xml:space="preserve">ובהא דתני בברייתא לקמן </w:t>
      </w:r>
      <w:r w:rsidRPr="00C962CD">
        <w:rPr>
          <w:rStyle w:val="af2"/>
          <w:rFonts w:eastAsia="Guttman Hodes" w:hint="cs"/>
          <w:rtl/>
        </w:rPr>
        <w:t>(קכב:)</w:t>
      </w:r>
      <w:r>
        <w:rPr>
          <w:rFonts w:hint="cs"/>
          <w:rtl/>
        </w:rPr>
        <w:t xml:space="preserve"> דאסור להחזיר דלתות של שידה תיבה ומגדל, כתב </w:t>
      </w:r>
      <w:r w:rsidRPr="00E24FB9">
        <w:rPr>
          <w:rStyle w:val="aff4"/>
          <w:rFonts w:hint="cs"/>
          <w:vanish/>
          <w:rtl/>
        </w:rPr>
        <w:t>-</w:t>
      </w:r>
      <w:r w:rsidRPr="00C07E8C">
        <w:rPr>
          <w:rStyle w:val="aff4"/>
          <w:rFonts w:hint="cs"/>
          <w:rtl/>
        </w:rPr>
        <w:t>הרמב"ן במלחמות</w:t>
      </w:r>
      <w:r w:rsidRPr="00E24FB9">
        <w:rPr>
          <w:rStyle w:val="aff4"/>
          <w:rFonts w:hint="cs"/>
          <w:vanish/>
          <w:rtl/>
        </w:rPr>
        <w:t>-</w:t>
      </w:r>
      <w:r>
        <w:rPr>
          <w:rFonts w:hint="cs"/>
          <w:rtl/>
        </w:rPr>
        <w:t xml:space="preserve"> דהיה אפש"ל דהברייתא כת"ק </w:t>
      </w:r>
      <w:r w:rsidRPr="00AF61D5">
        <w:rPr>
          <w:rFonts w:hint="cs"/>
          <w:rtl/>
        </w:rPr>
        <w:t xml:space="preserve">לעיל </w:t>
      </w:r>
      <w:r w:rsidRPr="00C962CD">
        <w:rPr>
          <w:rStyle w:val="af2"/>
          <w:rFonts w:eastAsia="Guttman Hodes" w:hint="cs"/>
          <w:rtl/>
        </w:rPr>
        <w:t>(מז.)</w:t>
      </w:r>
      <w:r>
        <w:rPr>
          <w:rFonts w:hint="cs"/>
          <w:rtl/>
        </w:rPr>
        <w:t xml:space="preserve"> דאוסר להחזיר אף ברפוי אבל לרשב"ג מותר ברפוי, אך כיון </w:t>
      </w:r>
      <w:r w:rsidRPr="00E24FB9">
        <w:rPr>
          <w:rStyle w:val="aff4"/>
          <w:rFonts w:hint="cs"/>
          <w:vanish/>
          <w:rtl/>
        </w:rPr>
        <w:t>-</w:t>
      </w:r>
      <w:r w:rsidRPr="00C07E8C">
        <w:rPr>
          <w:rStyle w:val="aff4"/>
          <w:rFonts w:hint="cs"/>
          <w:rtl/>
        </w:rPr>
        <w:t>דהרי"ף</w:t>
      </w:r>
      <w:r w:rsidRPr="00E24FB9">
        <w:rPr>
          <w:rStyle w:val="aff4"/>
          <w:rFonts w:hint="cs"/>
          <w:vanish/>
          <w:rtl/>
        </w:rPr>
        <w:t>-</w:t>
      </w:r>
      <w:r>
        <w:rPr>
          <w:rFonts w:hint="cs"/>
          <w:rtl/>
        </w:rPr>
        <w:t xml:space="preserve"> </w:t>
      </w:r>
      <w:r w:rsidRPr="00C962CD">
        <w:rPr>
          <w:rStyle w:val="af2"/>
          <w:rFonts w:eastAsia="Guttman Hodes" w:hint="cs"/>
          <w:rtl/>
        </w:rPr>
        <w:t>(מז. מדה"ר)</w:t>
      </w:r>
      <w:r>
        <w:rPr>
          <w:rFonts w:hint="cs"/>
          <w:rtl/>
        </w:rPr>
        <w:t xml:space="preserve"> הביא את הברייתא מוכח דאתיא אף לרשב"ג, וצ"ל דגזרו בדלתות כיון דדרכם לתקוע, </w:t>
      </w:r>
      <w:r w:rsidRPr="00C761CF">
        <w:rPr>
          <w:rStyle w:val="af"/>
          <w:rFonts w:hint="cs"/>
          <w:rtl/>
        </w:rPr>
        <w:t xml:space="preserve">[ודלא </w:t>
      </w:r>
      <w:r w:rsidRPr="00C761CF">
        <w:rPr>
          <w:rStyle w:val="aff9"/>
          <w:rFonts w:hint="cs"/>
          <w:rtl/>
        </w:rPr>
        <w:t>כרמב"ן בחי' בסוגיין</w:t>
      </w:r>
      <w:r w:rsidRPr="00C761CF">
        <w:rPr>
          <w:rStyle w:val="af"/>
          <w:rFonts w:hint="cs"/>
          <w:rtl/>
        </w:rPr>
        <w:t xml:space="preserve"> </w:t>
      </w:r>
      <w:r w:rsidRPr="00824F73">
        <w:rPr>
          <w:rStyle w:val="aff0"/>
          <w:rFonts w:hint="cs"/>
          <w:rtl/>
        </w:rPr>
        <w:t xml:space="preserve">(עי' אות </w:t>
      </w:r>
      <w:r w:rsidRPr="00824F73">
        <w:rPr>
          <w:rStyle w:val="aff0"/>
          <w:rtl/>
        </w:rPr>
        <w:fldChar w:fldCharType="begin"/>
      </w:r>
      <w:r w:rsidRPr="00824F73">
        <w:rPr>
          <w:rStyle w:val="aff0"/>
          <w:rtl/>
        </w:rPr>
        <w:instrText xml:space="preserve"> </w:instrText>
      </w:r>
      <w:r w:rsidRPr="00824F73">
        <w:rPr>
          <w:rStyle w:val="aff0"/>
          <w:rFonts w:hint="cs"/>
        </w:rPr>
        <w:instrText>REF</w:instrText>
      </w:r>
      <w:r w:rsidRPr="00824F73">
        <w:rPr>
          <w:rStyle w:val="aff0"/>
          <w:rFonts w:hint="cs"/>
          <w:rtl/>
        </w:rPr>
        <w:instrText xml:space="preserve"> _</w:instrText>
      </w:r>
      <w:r w:rsidRPr="00824F73">
        <w:rPr>
          <w:rStyle w:val="aff0"/>
          <w:rFonts w:hint="cs"/>
        </w:rPr>
        <w:instrText>Ref145434632 \r \h</w:instrText>
      </w:r>
      <w:r w:rsidRPr="00824F73">
        <w:rPr>
          <w:rStyle w:val="aff0"/>
          <w:rtl/>
        </w:rPr>
        <w:instrText xml:space="preserve"> </w:instrText>
      </w:r>
      <w:r w:rsidRPr="00824F73">
        <w:rPr>
          <w:rStyle w:val="aff0"/>
          <w:rtl/>
        </w:rPr>
      </w:r>
      <w:r w:rsidRPr="00824F73">
        <w:rPr>
          <w:rStyle w:val="aff0"/>
          <w:rtl/>
        </w:rPr>
        <w:fldChar w:fldCharType="separate"/>
      </w:r>
      <w:r w:rsidR="00D82181">
        <w:rPr>
          <w:rStyle w:val="aff0"/>
          <w:cs/>
        </w:rPr>
        <w:t>‎</w:t>
      </w:r>
      <w:r w:rsidR="00D82181">
        <w:rPr>
          <w:rStyle w:val="aff0"/>
          <w:rtl/>
        </w:rPr>
        <w:t>קכג)</w:t>
      </w:r>
      <w:r w:rsidRPr="00824F73">
        <w:rPr>
          <w:rStyle w:val="aff0"/>
          <w:rtl/>
        </w:rPr>
        <w:fldChar w:fldCharType="end"/>
      </w:r>
      <w:r w:rsidRPr="00C761CF">
        <w:rPr>
          <w:rStyle w:val="af"/>
          <w:rFonts w:hint="cs"/>
          <w:rtl/>
        </w:rPr>
        <w:t xml:space="preserve"> דכתב </w:t>
      </w:r>
      <w:r>
        <w:rPr>
          <w:rStyle w:val="af"/>
          <w:rFonts w:hint="cs"/>
          <w:rtl/>
        </w:rPr>
        <w:t>דגזרו שמא יתקע דחייב בזה משום בונה</w:t>
      </w:r>
      <w:r w:rsidRPr="00C761CF">
        <w:rPr>
          <w:rStyle w:val="af"/>
          <w:rFonts w:hint="cs"/>
          <w:rtl/>
        </w:rPr>
        <w:t xml:space="preserve">], </w:t>
      </w:r>
      <w:r>
        <w:rPr>
          <w:rFonts w:hint="cs"/>
          <w:rtl/>
        </w:rPr>
        <w:t xml:space="preserve">וכן בגמ' בביצה </w:t>
      </w:r>
      <w:r w:rsidRPr="00C962CD">
        <w:rPr>
          <w:rStyle w:val="af2"/>
          <w:rFonts w:eastAsia="Guttman Hodes" w:hint="cs"/>
          <w:rtl/>
        </w:rPr>
        <w:t>(כב.)</w:t>
      </w:r>
      <w:r>
        <w:rPr>
          <w:rFonts w:hint="cs"/>
          <w:rtl/>
        </w:rPr>
        <w:t xml:space="preserve"> אסרו בתריסי החנויות שיש להם ציר באמצע אטו ציר מן הצד, שאף זה אסור מגזירה שמא יתקע.</w:t>
      </w:r>
    </w:p>
    <w:p w14:paraId="5FC7A179" w14:textId="77777777" w:rsidR="000F6808" w:rsidRPr="00111645" w:rsidRDefault="000F6808" w:rsidP="000F6808">
      <w:pPr>
        <w:pStyle w:val="a2"/>
        <w:rPr>
          <w:rtl/>
        </w:rPr>
      </w:pPr>
      <w:r w:rsidRPr="00111645">
        <w:rPr>
          <w:rtl/>
        </w:rPr>
        <w:t>ואלמלא שכתב רבינו ז"ל אותה ברייתא דלת של שידה ושל מגדל נוטלין ולא מחזירין הייתי אומר אתיא כת"ק דמלבנות המטה אבל לרשב"ג אם היו רפוי מותר עכשיו שכתבה הוא למדנו שגזרו בדלתות משום שדרכו ליתקע וכן אמרו בתריסי חנויות שיש להם ציר מן הצד אסור וזו שאמרו שם ביום טוב מהו דתימא טעמייהו דב"ה משום דאין בנין בכלים ואין סתירה בכלים ואפי' דבתים נמי קמ"ל הותרו סופן משום תחלתן דחנויות אין דבתים לא משום גזירה אטו מן הצד היא והיא גופא גזרה משום שמא יתקע גם זו הסברא נרמזת שם בהלכות</w:t>
      </w:r>
      <w:r w:rsidRPr="00111645">
        <w:rPr>
          <w:rFonts w:hint="cs"/>
          <w:rtl/>
        </w:rPr>
        <w:t>.</w:t>
      </w:r>
    </w:p>
    <w:p w14:paraId="088A79B3" w14:textId="77777777" w:rsidR="000F6808" w:rsidRDefault="000F6808" w:rsidP="000F6808">
      <w:pPr>
        <w:pStyle w:val="1"/>
        <w:rPr>
          <w:rtl/>
        </w:rPr>
      </w:pPr>
      <w:bookmarkStart w:id="6013" w:name="_Toc145487100"/>
      <w:r>
        <w:rPr>
          <w:rFonts w:hint="cs"/>
          <w:rtl/>
        </w:rPr>
        <w:t>בי' הרשב"א בעבוה"ק דרפוי לגמרי מותר וגזרו ברפוי ואינו רפוי</w:t>
      </w:r>
      <w:bookmarkEnd w:id="6013"/>
      <w:r>
        <w:rPr>
          <w:rFonts w:hint="cs"/>
          <w:rtl/>
        </w:rPr>
        <w:t xml:space="preserve"> </w:t>
      </w:r>
    </w:p>
    <w:p w14:paraId="436B7A3B" w14:textId="77777777" w:rsidR="000F6808" w:rsidRDefault="000F6808" w:rsidP="000F6808">
      <w:pPr>
        <w:pStyle w:val="afffff7"/>
        <w:rPr>
          <w:rtl/>
        </w:rPr>
      </w:pPr>
      <w:bookmarkStart w:id="6014" w:name="_Toc145500836"/>
      <w:bookmarkStart w:id="6015" w:name="_Toc163506376"/>
      <w:r>
        <w:rPr>
          <w:rtl/>
        </w:rPr>
        <w:t>עבודת הקודש בית מועד שער ג סימן ג</w:t>
      </w:r>
      <w:bookmarkEnd w:id="6014"/>
      <w:bookmarkEnd w:id="6015"/>
    </w:p>
    <w:p w14:paraId="0D3CF7BD" w14:textId="77777777" w:rsidR="000F6808" w:rsidRDefault="000F6808" w:rsidP="000F6808">
      <w:pPr>
        <w:pStyle w:val="a7"/>
        <w:rPr>
          <w:rtl/>
        </w:rPr>
      </w:pPr>
      <w:bookmarkStart w:id="6016" w:name="_Toc145487101"/>
      <w:r>
        <w:rPr>
          <w:rFonts w:hint="cs"/>
          <w:rtl/>
        </w:rPr>
        <w:t>בי' הרשב"א בעבוה"ק דביו"ט מותר לזקוף מנורה אף רפויה ואינה רפויה ובשבת רק ברפוי לגמרי</w:t>
      </w:r>
      <w:bookmarkEnd w:id="6016"/>
    </w:p>
    <w:p w14:paraId="76F8BA04" w14:textId="2B51C5D9" w:rsidR="000F6808" w:rsidRDefault="000F6808" w:rsidP="000F6808">
      <w:pPr>
        <w:pStyle w:val="a3"/>
      </w:pPr>
      <w:bookmarkStart w:id="6017" w:name="_Ref145362063"/>
      <w:r>
        <w:rPr>
          <w:rFonts w:hint="cs"/>
          <w:rtl/>
        </w:rPr>
        <w:t>כתב</w:t>
      </w:r>
      <w:r>
        <w:rPr>
          <w:rtl/>
        </w:rPr>
        <w:t xml:space="preserve"> </w:t>
      </w:r>
      <w:r w:rsidRPr="007946DF">
        <w:rPr>
          <w:b/>
          <w:bCs/>
          <w:rtl/>
        </w:rPr>
        <w:t>ה</w:t>
      </w:r>
      <w:r w:rsidRPr="007946DF">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Ref145362063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קכז)</w:t>
      </w:r>
      <w:r>
        <w:rPr>
          <w:b/>
          <w:bCs/>
          <w:vanish/>
          <w:rtl/>
        </w:rPr>
        <w:fldChar w:fldCharType="end"/>
      </w:r>
      <w:r w:rsidRPr="007946DF">
        <w:rPr>
          <w:b/>
          <w:bCs/>
          <w:vanish/>
          <w:rtl/>
        </w:rPr>
        <w:t xml:space="preserve"> &gt;</w:t>
      </w:r>
      <w:r>
        <w:rPr>
          <w:rFonts w:hint="cs"/>
          <w:b/>
          <w:bCs/>
          <w:rtl/>
        </w:rPr>
        <w:t>רשב"א בעבודת הקודש</w:t>
      </w:r>
      <w:r w:rsidRPr="007946DF">
        <w:rPr>
          <w:b/>
          <w:bCs/>
          <w:rtl/>
        </w:rPr>
        <w:t xml:space="preserve"> </w:t>
      </w:r>
      <w:r w:rsidRPr="007946DF">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בית מועד שער ג' סי' ג', הועתק בקובץ שיטות קמאי ביצה עמ' תרנ"ט</w:t>
      </w:r>
      <w:r w:rsidRPr="007946DF">
        <w:rPr>
          <w:rFonts w:ascii="Calibri" w:eastAsia="Times New Roman" w:hAnsi="Calibri" w:cs="Guttman Rashi"/>
          <w:noProof w:val="0"/>
          <w:sz w:val="10"/>
          <w:szCs w:val="12"/>
          <w:rtl/>
        </w:rPr>
        <w:t>)</w:t>
      </w:r>
      <w:r w:rsidRPr="007946DF">
        <w:rPr>
          <w:vanish/>
          <w:rtl/>
        </w:rPr>
        <w:t>=</w:t>
      </w:r>
      <w:r>
        <w:rPr>
          <w:rtl/>
        </w:rPr>
        <w:t xml:space="preserve"> </w:t>
      </w:r>
      <w:r>
        <w:rPr>
          <w:rFonts w:hint="cs"/>
          <w:rtl/>
        </w:rPr>
        <w:t>דמותר לזקוף ביו"ט מנורה של חוליות כיון דאין בנין וסתירה בכלים, ואף כשהיא רפויה ואינה רפויה, אעפ"י דבשבת אסור לטלטלה, ואם היא רפויה לגמרי מותר לזוקפה אף ביו"ט.</w:t>
      </w:r>
    </w:p>
    <w:p w14:paraId="3F0519AC" w14:textId="77777777" w:rsidR="000F6808" w:rsidRPr="0088513D" w:rsidRDefault="000F6808" w:rsidP="000F6808">
      <w:pPr>
        <w:pStyle w:val="afffffe"/>
        <w:rPr>
          <w:vanish/>
          <w:rtl/>
        </w:rPr>
      </w:pPr>
      <w:r w:rsidRPr="0088513D">
        <w:rPr>
          <w:vanish/>
          <w:rtl/>
        </w:rPr>
        <w:t>עבודת הקודש בית מועד שער ג סימן ג</w:t>
      </w:r>
    </w:p>
    <w:p w14:paraId="41B6BCD1" w14:textId="77777777" w:rsidR="000F6808" w:rsidRPr="006A2528" w:rsidRDefault="000F6808" w:rsidP="000F6808">
      <w:pPr>
        <w:pStyle w:val="a7"/>
        <w:rPr>
          <w:rtl/>
        </w:rPr>
      </w:pPr>
    </w:p>
    <w:p w14:paraId="1A7675E5" w14:textId="77777777" w:rsidR="000F6808" w:rsidRDefault="000F6808" w:rsidP="000F6808">
      <w:pPr>
        <w:pStyle w:val="a2"/>
        <w:rPr>
          <w:rtl/>
        </w:rPr>
      </w:pPr>
      <w:r w:rsidRPr="00111645">
        <w:rPr>
          <w:rtl/>
        </w:rPr>
        <w:t>זוקפין את המנורה ביום טוב להדליק בה את הנר ואפילו היא של חוליות, לפי שאין בנין וסתירה בכלים. ולפיכך אפילו אין חוליותיה רפויין אלא רפויין ואין רפויין מותר לזוקפה ביום טוב, אף על פי שכיוצא בה אסור אפילו לטלטלה בשבת, וכל שכן ברפוייה גמורה שהיא אף בשבת זוקפין אותה</w:t>
      </w:r>
      <w:r>
        <w:rPr>
          <w:rFonts w:hint="cs"/>
          <w:rtl/>
        </w:rPr>
        <w:t>.</w:t>
      </w:r>
    </w:p>
    <w:p w14:paraId="4D958F1C" w14:textId="77777777" w:rsidR="000F6808" w:rsidRPr="00484A11" w:rsidRDefault="000F6808" w:rsidP="000F6808">
      <w:pPr>
        <w:pStyle w:val="a7"/>
      </w:pPr>
      <w:bookmarkStart w:id="6018" w:name="_Toc145487102"/>
      <w:r>
        <w:rPr>
          <w:rFonts w:hint="cs"/>
          <w:rtl/>
        </w:rPr>
        <w:t>בי' הרשב"א בעבוה"ק דבמנורה דדרכה לתקוע את החוליות אסור לזוקפה</w:t>
      </w:r>
      <w:bookmarkEnd w:id="6018"/>
    </w:p>
    <w:p w14:paraId="7D9FF27F" w14:textId="77777777" w:rsidR="000F6808" w:rsidRPr="007946DF" w:rsidRDefault="000F6808" w:rsidP="000F6808">
      <w:pPr>
        <w:pStyle w:val="a3"/>
        <w:rPr>
          <w:rtl/>
        </w:rPr>
      </w:pPr>
      <w:bookmarkStart w:id="6019" w:name="_Ref145463070"/>
      <w:r>
        <w:rPr>
          <w:rFonts w:hint="cs"/>
          <w:rtl/>
        </w:rPr>
        <w:t>והוסיף</w:t>
      </w:r>
      <w:r>
        <w:rPr>
          <w:rtl/>
        </w:rPr>
        <w:t xml:space="preserve"> </w:t>
      </w:r>
      <w:r>
        <w:rPr>
          <w:rFonts w:hint="cs"/>
          <w:b/>
          <w:bCs/>
          <w:rtl/>
        </w:rPr>
        <w:t>הרשב"א בעבודת הקודש</w:t>
      </w:r>
      <w:r>
        <w:rPr>
          <w:rFonts w:hint="cs"/>
          <w:rtl/>
        </w:rPr>
        <w:t xml:space="preserve"> דנראה דההיתר לזקוף הוא רק במנורה שאין דרך לתקוע את החוליות, אבל בדרכה לתקוע אסור לזוקפה.</w:t>
      </w:r>
      <w:bookmarkEnd w:id="6017"/>
      <w:bookmarkEnd w:id="6019"/>
    </w:p>
    <w:p w14:paraId="7C26DD5B" w14:textId="77777777" w:rsidR="000F6808" w:rsidRPr="00111645" w:rsidRDefault="000F6808" w:rsidP="000F6808">
      <w:pPr>
        <w:pStyle w:val="a2"/>
      </w:pPr>
      <w:r w:rsidRPr="00111645">
        <w:rPr>
          <w:rtl/>
        </w:rPr>
        <w:t>ויראה לי שלא אמרו אלא במנורה שאין עשויה לתקוע חוליותיה, אבל עשויה לתקוע חוליותיה אסור לזוקפה.</w:t>
      </w:r>
      <w:bookmarkStart w:id="6020" w:name="_Toc145198431"/>
    </w:p>
    <w:p w14:paraId="7A06E98F" w14:textId="77777777" w:rsidR="000F6808" w:rsidRDefault="000F6808" w:rsidP="000F6808">
      <w:pPr>
        <w:pStyle w:val="afffff7"/>
        <w:rPr>
          <w:rtl/>
        </w:rPr>
      </w:pPr>
      <w:bookmarkStart w:id="6021" w:name="_Toc145500837"/>
      <w:bookmarkStart w:id="6022" w:name="_Toc163506377"/>
      <w:r w:rsidRPr="00FC269C">
        <w:rPr>
          <w:rtl/>
        </w:rPr>
        <w:t>עבודת הקודש בית מועד שער א' סי' י"ב</w:t>
      </w:r>
      <w:bookmarkStart w:id="6023" w:name="_Toc145222966"/>
      <w:bookmarkEnd w:id="6020"/>
      <w:bookmarkEnd w:id="6021"/>
      <w:bookmarkEnd w:id="6022"/>
    </w:p>
    <w:p w14:paraId="763B1CBD" w14:textId="77777777" w:rsidR="000F6808" w:rsidRDefault="000F6808" w:rsidP="000F6808">
      <w:pPr>
        <w:pStyle w:val="a7"/>
        <w:rPr>
          <w:rtl/>
        </w:rPr>
      </w:pPr>
      <w:bookmarkStart w:id="6024" w:name="_Toc145487103"/>
      <w:r>
        <w:rPr>
          <w:rFonts w:hint="cs"/>
          <w:rtl/>
        </w:rPr>
        <w:t>בי' הרשב"א דבתריסין בציר באמצע מחזיר כל צורכו ולא תוקע דהתוקע חייב משום מכה בפטיש</w:t>
      </w:r>
      <w:bookmarkEnd w:id="6023"/>
      <w:bookmarkEnd w:id="6024"/>
    </w:p>
    <w:p w14:paraId="54CA805C" w14:textId="4116C69F" w:rsidR="000F6808" w:rsidRDefault="000F6808" w:rsidP="000F6808">
      <w:pPr>
        <w:pStyle w:val="a3"/>
      </w:pPr>
      <w:bookmarkStart w:id="6025" w:name="_Ref144805308"/>
      <w:r>
        <w:rPr>
          <w:rFonts w:hint="cs"/>
          <w:rtl/>
        </w:rPr>
        <w:t>ועוד כתב</w:t>
      </w:r>
      <w:r>
        <w:rPr>
          <w:rtl/>
        </w:rPr>
        <w:t xml:space="preserve"> </w:t>
      </w:r>
      <w:r w:rsidRPr="00273ACC">
        <w:rPr>
          <w:b/>
          <w:bCs/>
          <w:rtl/>
        </w:rPr>
        <w:t>ה</w:t>
      </w:r>
      <w:r w:rsidRPr="00273ACC">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Ref144805308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קכט)</w:t>
      </w:r>
      <w:r>
        <w:rPr>
          <w:b/>
          <w:bCs/>
          <w:vanish/>
          <w:rtl/>
        </w:rPr>
        <w:fldChar w:fldCharType="end"/>
      </w:r>
      <w:r w:rsidRPr="00273ACC">
        <w:rPr>
          <w:b/>
          <w:bCs/>
          <w:vanish/>
          <w:rtl/>
        </w:rPr>
        <w:t xml:space="preserve"> &gt;</w:t>
      </w:r>
      <w:r w:rsidRPr="00861CDB">
        <w:rPr>
          <w:rFonts w:hint="cs"/>
          <w:b/>
          <w:bCs/>
          <w:rtl/>
        </w:rPr>
        <w:t>רשב"א בעבודת הקודש</w:t>
      </w:r>
      <w:r w:rsidRPr="00861CDB">
        <w:rPr>
          <w:b/>
          <w:bCs/>
          <w:rtl/>
        </w:rPr>
        <w:t xml:space="preserve"> </w:t>
      </w:r>
      <w:r w:rsidRPr="00273ACC">
        <w:rPr>
          <w:rFonts w:ascii="Calibri" w:eastAsia="Times New Roman" w:hAnsi="Calibri" w:cs="Guttman Rashi"/>
          <w:noProof w:val="0"/>
          <w:sz w:val="10"/>
          <w:szCs w:val="12"/>
          <w:rtl/>
        </w:rPr>
        <w:t>(בית מועד שער א</w:t>
      </w:r>
      <w:r>
        <w:rPr>
          <w:rFonts w:ascii="Calibri" w:eastAsia="Times New Roman" w:hAnsi="Calibri" w:cs="Guttman Rashi" w:hint="cs"/>
          <w:noProof w:val="0"/>
          <w:sz w:val="10"/>
          <w:szCs w:val="12"/>
          <w:rtl/>
        </w:rPr>
        <w:t>'</w:t>
      </w:r>
      <w:r w:rsidRPr="00273ACC">
        <w:rPr>
          <w:rFonts w:ascii="Calibri" w:eastAsia="Times New Roman" w:hAnsi="Calibri" w:cs="Guttman Rashi"/>
          <w:noProof w:val="0"/>
          <w:sz w:val="10"/>
          <w:szCs w:val="12"/>
          <w:rtl/>
        </w:rPr>
        <w:t xml:space="preserve"> סי</w:t>
      </w:r>
      <w:r>
        <w:rPr>
          <w:rFonts w:ascii="Calibri" w:eastAsia="Times New Roman" w:hAnsi="Calibri" w:cs="Guttman Rashi" w:hint="cs"/>
          <w:noProof w:val="0"/>
          <w:sz w:val="10"/>
          <w:szCs w:val="12"/>
          <w:rtl/>
        </w:rPr>
        <w:t>'</w:t>
      </w:r>
      <w:r w:rsidRPr="00273ACC">
        <w:rPr>
          <w:rFonts w:ascii="Calibri" w:eastAsia="Times New Roman" w:hAnsi="Calibri" w:cs="Guttman Rashi"/>
          <w:noProof w:val="0"/>
          <w:sz w:val="10"/>
          <w:szCs w:val="12"/>
          <w:rtl/>
        </w:rPr>
        <w:t xml:space="preserve"> י</w:t>
      </w:r>
      <w:r>
        <w:rPr>
          <w:rFonts w:ascii="Calibri" w:eastAsia="Times New Roman" w:hAnsi="Calibri" w:cs="Guttman Rashi" w:hint="cs"/>
          <w:noProof w:val="0"/>
          <w:sz w:val="10"/>
          <w:szCs w:val="12"/>
          <w:rtl/>
        </w:rPr>
        <w:t>"</w:t>
      </w:r>
      <w:r w:rsidRPr="00273ACC">
        <w:rPr>
          <w:rFonts w:ascii="Calibri" w:eastAsia="Times New Roman" w:hAnsi="Calibri" w:cs="Guttman Rashi"/>
          <w:noProof w:val="0"/>
          <w:sz w:val="10"/>
          <w:szCs w:val="12"/>
          <w:rtl/>
        </w:rPr>
        <w:t>ב</w:t>
      </w:r>
      <w:r>
        <w:rPr>
          <w:rFonts w:ascii="Calibri" w:eastAsia="Times New Roman" w:hAnsi="Calibri" w:cs="Guttman Rashi" w:hint="cs"/>
          <w:noProof w:val="0"/>
          <w:sz w:val="10"/>
          <w:szCs w:val="12"/>
          <w:rtl/>
        </w:rPr>
        <w:t>, הועתק בקובץ שיטות קמאי שבת ח"ב עמ' תשנ"ו</w:t>
      </w:r>
      <w:r w:rsidRPr="00273ACC">
        <w:rPr>
          <w:rFonts w:ascii="Calibri" w:eastAsia="Times New Roman" w:hAnsi="Calibri" w:cs="Guttman Rashi"/>
          <w:noProof w:val="0"/>
          <w:sz w:val="10"/>
          <w:szCs w:val="12"/>
          <w:rtl/>
        </w:rPr>
        <w:t>)</w:t>
      </w:r>
      <w:r w:rsidRPr="00273ACC">
        <w:rPr>
          <w:vanish/>
          <w:rtl/>
        </w:rPr>
        <w:t>=</w:t>
      </w:r>
      <w:r>
        <w:rPr>
          <w:rtl/>
        </w:rPr>
        <w:t xml:space="preserve"> </w:t>
      </w:r>
      <w:r>
        <w:rPr>
          <w:rFonts w:hint="cs"/>
          <w:rtl/>
        </w:rPr>
        <w:t>דמותר לסלק תריסי החנויות לצורך יו"ט ומותר אף להחזיר כיון דאין בנין וסתירה בכלים, אבל תריסי הבתים שאינם לצורך יו"ט אסור, וההיתר הוא כשאין להם ציר או שיש ציר באמצע ואין ציר מהצד, ובזה מותר להחזיר כל צורכו כשאינו תוקע, אבל אם תקע חייב משום מכה בפטיש</w:t>
      </w:r>
      <w:bookmarkEnd w:id="6025"/>
      <w:r>
        <w:rPr>
          <w:rFonts w:hint="cs"/>
          <w:rtl/>
        </w:rPr>
        <w:t>.</w:t>
      </w:r>
    </w:p>
    <w:p w14:paraId="77AB3371" w14:textId="77777777" w:rsidR="000F6808" w:rsidRPr="0088513D" w:rsidRDefault="000F6808" w:rsidP="000F6808">
      <w:pPr>
        <w:pStyle w:val="afffffe"/>
        <w:rPr>
          <w:vanish/>
          <w:rtl/>
        </w:rPr>
      </w:pPr>
      <w:r w:rsidRPr="0088513D">
        <w:rPr>
          <w:vanish/>
          <w:rtl/>
        </w:rPr>
        <w:t>עבודת הקודש בית מועד שער א סימן יב</w:t>
      </w:r>
    </w:p>
    <w:p w14:paraId="7DE17713" w14:textId="77777777" w:rsidR="000F6808" w:rsidRPr="00111645" w:rsidRDefault="000F6808" w:rsidP="000F6808">
      <w:pPr>
        <w:pStyle w:val="a2"/>
        <w:rPr>
          <w:rtl/>
        </w:rPr>
      </w:pPr>
      <w:r w:rsidRPr="00111645">
        <w:rPr>
          <w:rtl/>
        </w:rPr>
        <w:t>מסלקין תריסי תיבה שידה ומגדל שבחנויות להוציא מהן תבלין או פירות ביום טוב. ולא זו בלבד אלא אף מחזירין, שאין בנין וסתירה בכלים.</w:t>
      </w:r>
      <w:r w:rsidRPr="00111645">
        <w:rPr>
          <w:rFonts w:hint="cs"/>
          <w:rtl/>
        </w:rPr>
        <w:t xml:space="preserve"> </w:t>
      </w:r>
      <w:r w:rsidRPr="00111645">
        <w:rPr>
          <w:rtl/>
        </w:rPr>
        <w:t>ולמה התירו לו להחזיר והלא יש כאן משום שבות, לפי שאם אי אתה מתיר לו להחזיר אף הוא אינו מסלק ופותח, ואם אינו פותח נמצא בטל משמחת יו"ם /יום/ טוב. ולפיכך תריסין שבתיבה שידה ומגדל שבבתים אסור, שאינו נמנע מלפתוח ולהניחן פתוחין שנשמרין בתוך הבית.</w:t>
      </w:r>
      <w:r w:rsidRPr="00111645">
        <w:rPr>
          <w:rFonts w:hint="cs"/>
          <w:rtl/>
        </w:rPr>
        <w:t xml:space="preserve"> </w:t>
      </w:r>
      <w:r w:rsidRPr="00111645">
        <w:rPr>
          <w:rtl/>
        </w:rPr>
        <w:t>ובמה דברים אמורים בשאין שם פתח, אבל יש שם פתח משתמש דרך הפתח. ובשאין להן ציר כל עיקר, ואפילו בשיש להן ציר באמצע ואין להם ציר מן הצד, ואפילו מחזיר כל צרכו מותר. ובלבד שלא יתקע. ובלבד שלא יתקע. ואם תקע הרי זו מלאכה גמורה וחייב משום מכה בפטיש.</w:t>
      </w:r>
    </w:p>
    <w:p w14:paraId="4DA20C03" w14:textId="77777777" w:rsidR="000F6808" w:rsidRPr="004141E8" w:rsidRDefault="000F6808" w:rsidP="000F6808">
      <w:pPr>
        <w:pStyle w:val="a7"/>
      </w:pPr>
      <w:bookmarkStart w:id="6026" w:name="_Toc145487104"/>
      <w:r>
        <w:rPr>
          <w:rFonts w:hint="cs"/>
          <w:rtl/>
        </w:rPr>
        <w:t>בי' הרשב"א דהאיסור בציר מן הצד ברפוי ואינו רפוי אבל רפוי לגמרי מותר בשבת כשאינו תוקע</w:t>
      </w:r>
      <w:bookmarkEnd w:id="6026"/>
    </w:p>
    <w:p w14:paraId="5CB3AF85" w14:textId="77777777" w:rsidR="000F6808" w:rsidRPr="00273ACC" w:rsidRDefault="000F6808" w:rsidP="000F6808">
      <w:pPr>
        <w:pStyle w:val="a3"/>
        <w:rPr>
          <w:rtl/>
        </w:rPr>
      </w:pPr>
      <w:bookmarkStart w:id="6027" w:name="_Ref145463447"/>
      <w:r>
        <w:rPr>
          <w:rFonts w:hint="cs"/>
          <w:rtl/>
        </w:rPr>
        <w:t>וכתב</w:t>
      </w:r>
      <w:r>
        <w:rPr>
          <w:rtl/>
        </w:rPr>
        <w:t xml:space="preserve"> </w:t>
      </w:r>
      <w:r>
        <w:rPr>
          <w:rFonts w:hint="cs"/>
          <w:b/>
          <w:bCs/>
          <w:rtl/>
        </w:rPr>
        <w:t>הרשב"א בעבודת הקודש</w:t>
      </w:r>
      <w:r>
        <w:rPr>
          <w:rtl/>
        </w:rPr>
        <w:t xml:space="preserve"> </w:t>
      </w:r>
      <w:r>
        <w:rPr>
          <w:rFonts w:hint="cs"/>
          <w:rtl/>
        </w:rPr>
        <w:t>דהיינו דוקא בתריסין רפויין ואינם רפויין, ולכן כשיש להם ציר מן הצד אסור להחזיר כל צורכו, אבל בתריסין רפויין לגמרי מותר להחזיר אף כשיש להם ציר מן הצד, ואף בשבת מותר, ובלבד שלא יתקע.</w:t>
      </w:r>
      <w:bookmarkEnd w:id="6027"/>
    </w:p>
    <w:p w14:paraId="746178C0" w14:textId="77777777" w:rsidR="000F6808" w:rsidRPr="00111645" w:rsidRDefault="000F6808" w:rsidP="000F6808">
      <w:pPr>
        <w:pStyle w:val="a2"/>
        <w:rPr>
          <w:rtl/>
        </w:rPr>
      </w:pPr>
      <w:r w:rsidRPr="00111645">
        <w:rPr>
          <w:rtl/>
        </w:rPr>
        <w:t>דברים אלו שאמרנו בתריסין רפויין ואינן רפויין, ולפיכך מן הצד אסור להחזיר כל צרכן. היו רפויין גמורים מחזירין ואפילו בשיש להן ציר מן הצד ואפילו בשבת ואין צריך לומר ביום טוב, והוא שלא יתקע.</w:t>
      </w:r>
    </w:p>
    <w:p w14:paraId="5A624C1E" w14:textId="77777777" w:rsidR="000F6808" w:rsidRPr="00FC269C" w:rsidRDefault="000F6808" w:rsidP="000F6808">
      <w:pPr>
        <w:pStyle w:val="afffff7"/>
        <w:rPr>
          <w:rtl/>
        </w:rPr>
      </w:pPr>
      <w:bookmarkStart w:id="6028" w:name="_Toc145198435"/>
      <w:bookmarkStart w:id="6029" w:name="_Toc145500838"/>
      <w:bookmarkStart w:id="6030" w:name="_Toc145222969"/>
      <w:bookmarkStart w:id="6031" w:name="_Toc163506378"/>
      <w:r w:rsidRPr="00FC269C">
        <w:rPr>
          <w:rtl/>
        </w:rPr>
        <w:t>או"ז הלכ' שבת סימן ע"ח</w:t>
      </w:r>
      <w:bookmarkEnd w:id="6028"/>
      <w:bookmarkEnd w:id="6029"/>
      <w:bookmarkEnd w:id="6031"/>
    </w:p>
    <w:p w14:paraId="080F0A2C" w14:textId="77777777" w:rsidR="000F6808" w:rsidRPr="004109E2" w:rsidRDefault="000F6808" w:rsidP="000F6808">
      <w:pPr>
        <w:pStyle w:val="a7"/>
        <w:rPr>
          <w:rtl/>
        </w:rPr>
      </w:pPr>
      <w:bookmarkStart w:id="6032" w:name="_Toc145487105"/>
      <w:r>
        <w:rPr>
          <w:rFonts w:hint="cs"/>
          <w:rtl/>
        </w:rPr>
        <w:t>בי' האו"ז דתוקע חייב במכב"פ ובשרגיל לתקוע גזרו שמא יתקע ובאין רגיל מתיר רשב"ג ברפוי</w:t>
      </w:r>
      <w:bookmarkEnd w:id="6032"/>
    </w:p>
    <w:p w14:paraId="4405E358" w14:textId="36498238" w:rsidR="000F6808" w:rsidRPr="00737E69" w:rsidRDefault="000F6808" w:rsidP="000F6808">
      <w:pPr>
        <w:pStyle w:val="a3"/>
        <w:rPr>
          <w:rtl/>
        </w:rPr>
      </w:pPr>
      <w:bookmarkStart w:id="6033" w:name="_Ref145435469"/>
      <w:r>
        <w:rPr>
          <w:rFonts w:hint="cs"/>
          <w:rtl/>
        </w:rPr>
        <w:t>כתב</w:t>
      </w:r>
      <w:r>
        <w:rPr>
          <w:rtl/>
        </w:rPr>
        <w:t xml:space="preserve"> </w:t>
      </w:r>
      <w:r w:rsidRPr="004109E2">
        <w:rPr>
          <w:b/>
          <w:bCs/>
          <w:rtl/>
        </w:rPr>
        <w:t>ה</w:t>
      </w:r>
      <w:r w:rsidRPr="004109E2">
        <w:rPr>
          <w:rFonts w:hint="cs"/>
          <w:b/>
          <w:bCs/>
          <w:vanish/>
          <w:rtl/>
        </w:rPr>
        <w:t xml:space="preserve">&lt;, </w:t>
      </w:r>
      <w:r w:rsidRPr="004109E2">
        <w:rPr>
          <w:b/>
          <w:bCs/>
          <w:vanish/>
          <w:rtl/>
        </w:rPr>
        <w:fldChar w:fldCharType="begin"/>
      </w:r>
      <w:r w:rsidRPr="004109E2">
        <w:rPr>
          <w:b/>
          <w:bCs/>
          <w:vanish/>
          <w:rtl/>
        </w:rPr>
        <w:instrText xml:space="preserve"> </w:instrText>
      </w:r>
      <w:r w:rsidRPr="004109E2">
        <w:rPr>
          <w:rFonts w:hint="cs"/>
          <w:b/>
          <w:bCs/>
          <w:vanish/>
        </w:rPr>
        <w:instrText>REF</w:instrText>
      </w:r>
      <w:r w:rsidRPr="004109E2">
        <w:rPr>
          <w:rFonts w:hint="cs"/>
          <w:b/>
          <w:bCs/>
          <w:vanish/>
          <w:rtl/>
        </w:rPr>
        <w:instrText xml:space="preserve"> _</w:instrText>
      </w:r>
      <w:r w:rsidRPr="004109E2">
        <w:rPr>
          <w:rFonts w:hint="cs"/>
          <w:b/>
          <w:bCs/>
          <w:vanish/>
        </w:rPr>
        <w:instrText>Ref145435469 \r \h</w:instrText>
      </w:r>
      <w:r w:rsidRPr="004109E2">
        <w:rPr>
          <w:b/>
          <w:bCs/>
          <w:vanish/>
          <w:rtl/>
        </w:rPr>
        <w:instrText xml:space="preserve"> </w:instrText>
      </w:r>
      <w:r w:rsidRPr="004109E2">
        <w:rPr>
          <w:b/>
          <w:bCs/>
          <w:vanish/>
          <w:rtl/>
        </w:rPr>
      </w:r>
      <w:r w:rsidRPr="004109E2">
        <w:rPr>
          <w:b/>
          <w:bCs/>
          <w:vanish/>
          <w:rtl/>
        </w:rPr>
        <w:fldChar w:fldCharType="separate"/>
      </w:r>
      <w:r w:rsidR="00D82181">
        <w:rPr>
          <w:b/>
          <w:bCs/>
          <w:vanish/>
          <w:cs/>
        </w:rPr>
        <w:t>‎</w:t>
      </w:r>
      <w:r w:rsidR="00D82181">
        <w:rPr>
          <w:b/>
          <w:bCs/>
          <w:vanish/>
          <w:rtl/>
        </w:rPr>
        <w:t>קלא)</w:t>
      </w:r>
      <w:r w:rsidRPr="004109E2">
        <w:rPr>
          <w:b/>
          <w:bCs/>
          <w:vanish/>
          <w:rtl/>
        </w:rPr>
        <w:fldChar w:fldCharType="end"/>
      </w:r>
      <w:r w:rsidRPr="004109E2">
        <w:rPr>
          <w:rFonts w:hint="cs"/>
          <w:b/>
          <w:bCs/>
          <w:vanish/>
          <w:rtl/>
        </w:rPr>
        <w:t xml:space="preserve"> &gt;</w:t>
      </w:r>
      <w:r w:rsidRPr="004109E2">
        <w:rPr>
          <w:rFonts w:hint="cs"/>
          <w:b/>
          <w:bCs/>
          <w:rtl/>
        </w:rPr>
        <w:t>או</w:t>
      </w:r>
      <w:r>
        <w:rPr>
          <w:rFonts w:hint="cs"/>
          <w:b/>
          <w:bCs/>
          <w:rtl/>
        </w:rPr>
        <w:t>ר זרוע</w:t>
      </w:r>
      <w:r w:rsidRPr="004109E2">
        <w:rPr>
          <w:b/>
          <w:bCs/>
          <w:rtl/>
        </w:rPr>
        <w:t xml:space="preserve"> </w:t>
      </w:r>
      <w:r w:rsidRPr="004109E2">
        <w:rPr>
          <w:rFonts w:ascii="Calibri" w:eastAsia="Times New Roman" w:hAnsi="Calibri" w:cs="Guttman Rashi"/>
          <w:noProof w:val="0"/>
          <w:sz w:val="10"/>
          <w:szCs w:val="12"/>
          <w:rtl/>
        </w:rPr>
        <w:t>(</w:t>
      </w:r>
      <w:r w:rsidRPr="004109E2">
        <w:rPr>
          <w:rFonts w:ascii="Calibri" w:eastAsia="Times New Roman" w:hAnsi="Calibri" w:cs="Guttman Rashi" w:hint="cs"/>
          <w:noProof w:val="0"/>
          <w:sz w:val="10"/>
          <w:szCs w:val="12"/>
          <w:rtl/>
        </w:rPr>
        <w:t>שבת סי' ע"ח</w:t>
      </w:r>
      <w:r w:rsidRPr="004109E2">
        <w:rPr>
          <w:rFonts w:ascii="Calibri" w:eastAsia="Times New Roman" w:hAnsi="Calibri" w:cs="Guttman Rashi"/>
          <w:noProof w:val="0"/>
          <w:sz w:val="10"/>
          <w:szCs w:val="12"/>
          <w:rtl/>
        </w:rPr>
        <w:t>)</w:t>
      </w:r>
      <w:r w:rsidRPr="004109E2">
        <w:rPr>
          <w:vanish/>
          <w:rtl/>
        </w:rPr>
        <w:t>=</w:t>
      </w:r>
      <w:r>
        <w:rPr>
          <w:rFonts w:hint="cs"/>
          <w:rtl/>
        </w:rPr>
        <w:t xml:space="preserve"> דהא דאמר רבא לקמן </w:t>
      </w:r>
      <w:r w:rsidRPr="00396E7A">
        <w:rPr>
          <w:rStyle w:val="af2"/>
          <w:rFonts w:eastAsia="Guttman Hodes" w:hint="cs"/>
          <w:rtl/>
        </w:rPr>
        <w:t>(קכב:)</w:t>
      </w:r>
      <w:r>
        <w:rPr>
          <w:rFonts w:hint="cs"/>
          <w:rtl/>
        </w:rPr>
        <w:t xml:space="preserve"> דאסור להחזיר דלתות הכלים גזירה שמא יתקע, היינו שמא יתקע בסיכין ויתדות דהוא גמר מלאכה, ויתחייב במכה בפטיש אף שאין בנין בכלים, וכתב </w:t>
      </w:r>
      <w:r w:rsidRPr="0058557F">
        <w:rPr>
          <w:rStyle w:val="aff4"/>
          <w:rFonts w:hint="cs"/>
          <w:rtl/>
        </w:rPr>
        <w:t>האור זרוע</w:t>
      </w:r>
      <w:r>
        <w:rPr>
          <w:rFonts w:hint="cs"/>
          <w:rtl/>
        </w:rPr>
        <w:t xml:space="preserve"> דהגזירה היא בדבר שדרכו לתקוע, אבל בדבר שאין דרכו לתקוע בכח נוטלין ומחזירין, ומשום שמחת יו"ט התירו ב"ה בגמ' בביצה</w:t>
      </w:r>
      <w:r>
        <w:rPr>
          <w:rtl/>
        </w:rPr>
        <w:t xml:space="preserve"> </w:t>
      </w:r>
      <w:r w:rsidRPr="004109E2">
        <w:rPr>
          <w:rFonts w:ascii="Calibri" w:eastAsia="Times New Roman" w:hAnsi="Calibri" w:cs="Guttman Rashi"/>
          <w:noProof w:val="0"/>
          <w:sz w:val="10"/>
          <w:szCs w:val="12"/>
          <w:rtl/>
        </w:rPr>
        <w:t>(</w:t>
      </w:r>
      <w:r w:rsidRPr="004109E2">
        <w:rPr>
          <w:rFonts w:ascii="Calibri" w:eastAsia="Times New Roman" w:hAnsi="Calibri" w:cs="Guttman Rashi" w:hint="cs"/>
          <w:noProof w:val="0"/>
          <w:sz w:val="10"/>
          <w:szCs w:val="12"/>
          <w:rtl/>
        </w:rPr>
        <w:t>יא:</w:t>
      </w:r>
      <w:r w:rsidRPr="004109E2">
        <w:rPr>
          <w:rFonts w:ascii="Calibri" w:eastAsia="Times New Roman" w:hAnsi="Calibri" w:cs="Guttman Rashi"/>
          <w:noProof w:val="0"/>
          <w:sz w:val="10"/>
          <w:szCs w:val="12"/>
          <w:rtl/>
        </w:rPr>
        <w:t>)</w:t>
      </w:r>
      <w:r>
        <w:rPr>
          <w:rtl/>
        </w:rPr>
        <w:t xml:space="preserve"> </w:t>
      </w:r>
      <w:r>
        <w:rPr>
          <w:rFonts w:hint="cs"/>
          <w:rtl/>
        </w:rPr>
        <w:t>אף בדבר שדרכו לתקוע ולא גזרו שמא יתקע, אבל בלא"ה בדבר שדרכו להדק פטור אבל אסור שמא יתקע, ולכן אסור להחזיר סכין לקתו אף בלא תקיעה כיון דהדך לתוקעו וחיישינן שמא יתקע, אבל בדבר שאין דרך להדקו כמטה של טרסיים בזה מתיר רשב"ג.</w:t>
      </w:r>
      <w:bookmarkEnd w:id="6033"/>
    </w:p>
    <w:p w14:paraId="30EF8B00" w14:textId="77777777" w:rsidR="000F6808" w:rsidRPr="0088513D" w:rsidRDefault="000F6808" w:rsidP="000F6808">
      <w:pPr>
        <w:pStyle w:val="afffffe"/>
        <w:rPr>
          <w:vanish/>
          <w:rtl/>
        </w:rPr>
      </w:pPr>
      <w:r w:rsidRPr="0088513D">
        <w:rPr>
          <w:vanish/>
          <w:rtl/>
        </w:rPr>
        <w:t>או"ז הלכ' שבת סימן ע"ח</w:t>
      </w:r>
    </w:p>
    <w:p w14:paraId="70B44548" w14:textId="77777777" w:rsidR="000F6808" w:rsidRPr="00396E7A" w:rsidRDefault="000F6808" w:rsidP="000F6808">
      <w:pPr>
        <w:pStyle w:val="a2"/>
        <w:rPr>
          <w:rtl/>
        </w:rPr>
      </w:pPr>
      <w:r w:rsidRPr="00396E7A">
        <w:rPr>
          <w:rtl/>
        </w:rPr>
        <w:t xml:space="preserve">ריש פרק כל הכלים [קכ"ב, ע"ב] ת"ר דלת של שידה ושל תיבה ושל מגדל נוטלין אבל אין מחזירין ושל לול של תרנגולים לא נוטלין ולא מחזירין ואמר בשלמא של [לול של] תרנגולין קסבר כיון דמחברא בארעא יש בנין בקרקע ויש סתירה בקרקע אלא של שידה תיבה ומגדל מאי קסבר כו' עד אלא אמר רבא קסבר אין בנין בכלים ואין סתירה בכלים פי' אין בנין ולכך נוטלין כלומר מסלקין מציר שלהן ומיהו אין מחזירין דרבנן גזרו שמא יתקע בחזקה בסיכין ויתדות והו"ל גמר מלאכ' וחייב משום מכה בפטיש הלכך הלכה כרבא דאין בנין בכלים ואין סתירה בכלים הלכך כל כלי העשוי להתפרק ואינו עשוי לתקוע בכח נוטלין ומחזירין דמ"ד אין בנין בכלים אין נמי סתירה בכלים אבל היכא שהוא עשוי לתקוע בכח נוטלין אבל לא מחזירין גזירה שמא יתקע בכח ויתחייב חטאת משום מכה בפטיש וביום טוב אפי' להחזיר שרי ולא גזרינן שמא יתקע כגון (הוא) הדבר שהוא צרכי רבים ושייך בו שמחת יום טוב </w:t>
      </w:r>
      <w:r w:rsidRPr="00396E7A">
        <w:rPr>
          <w:rStyle w:val="afff7"/>
          <w:rtl/>
        </w:rPr>
        <w:t>כדתנן פ"ק דביצה [י"א, ע"ב] בש"א אין מסלקין את התריסין ביום טוב פי' דלתות פתחיהם של חניות וב"ה מתירין ואמר עולא שלשה דברים התירו סופן משום תחילתן וחדא מנייהו סילוק תריסי חניות ופרכי' סילוק תריסי חניות תנינא וב"ה מתירין אי מהתם משום דאין בנין בכלים ואין סתירה בכלים ואפי' דבתים נמי קמ"ל התירו סופן משום תחלתן דחניות אין דבתים לא פי' בנין וסתירה לא שייך בהו בכלים לאיחיובי בסילוק וחזרה דהא דתנן הבונה כל שהוא בבתים תנן והלכך ב"ה אפי' בתיבות הבית שרי לסלק דלתותיהן ולהחזיר ואף על גב דלאו לשמחת יום טוב קמ"ל עולא דאע"ג דאין בנין וסתירה בכלים קאסרי ליה ב"ה מדרבנן שמא יתקע אי לאו משום תחילתן דחניות שהן צרכי רבים אין אבל תריסי כלי הבית לא</w:t>
      </w:r>
      <w:r w:rsidRPr="00396E7A">
        <w:rPr>
          <w:rtl/>
        </w:rPr>
        <w:t xml:space="preserve"> והיינו דתניא סוף פרק כירה מלבנות המיטה וכרעי המיטה ולווחין של כרכיכם [לפנינו הגי' סקיבס] לא יחזיר ואם החזיר פטור ולא יתקע ואם תקע חייב חטאת רבן שמעון בן גמליאל אומר אם היה רפוי מותר </w:t>
      </w:r>
      <w:r w:rsidRPr="00396E7A">
        <w:rPr>
          <w:rStyle w:val="afff7"/>
          <w:rtl/>
        </w:rPr>
        <w:t xml:space="preserve">ופי' רש"י מלבנות המיטה כעין רגלים קטנים ויש להם בית קיבול ומכניס לתוכן ראשי כרעי המיטה שלא ירקבו בארץ עכ"ל </w:t>
      </w:r>
      <w:r w:rsidRPr="00396E7A">
        <w:rPr>
          <w:rtl/>
        </w:rPr>
        <w:t xml:space="preserve">כי אלו הרגלים אין דרכם להיות קבועים בחוזק הלכך פטור אבל אסו' כי פעמים שתוקעין אותו כמו קנה של סיידין וקרן פשוטה דפי' רש"י דמכניסן בריוח ודרכן לפורקן תמיד ופטור אבל קרן עגולה שצריך לתוקעה בנקבים בחוזק יד הויא מלאכה וחייב חטאת הלכך האי סכין שנפלה ברזלא חוץ לקתא אסור לאהדורה בשבת' אפי' אינו מהדקה ומחזיקה לגמרי הואיל שדרכה של סכין להדקה ולהחזיקה בקביעות אפי' היכא שהחזירה ולא החזיקה והדקה הוי פטור אבל אסור אבל דבר שאין דרך לקובעו בחוזק אלא רפוי הוא ודרך לפורקו תמיד כמו מיטה של טרסיים ומיטה גלילתא ההוא לכתחילה שריא לאהדורה ביום טוב וה"ה בשבת דהלכה כרשב"ג דאמ' אם היה רפוי מותר לכתחילה </w:t>
      </w:r>
      <w:r w:rsidRPr="00396E7A">
        <w:rPr>
          <w:rStyle w:val="afff7"/>
          <w:rtl/>
        </w:rPr>
        <w:t>כדמוכח סוגיא דס"פ כירה דאמר התם לוי בר שמואל אשכחינהו לר' אבא ולרב הונא בר חייא דהוי קיימי אפיתחא דבי רב יהודה אמר להו מהו להחזיר המטה של טרסיים בשבת א"ל שפיר דמי ומוקמינן לה כרשב"ג דאמ' אם היה רפוי מותר ותו אמרי' התם בי רב חמא הואי ליה ההוא מיטה גלילתא דהוו מהדרי ליה ביומא טבא א"ל ההוא מרבנן לרבא מאי דעתיך בנין מן הצד הוא נהי דאיסור' דאוריית' ליכא איסור' דרבנן מיהא איכא א"ל אנא כרשב"ג</w:t>
      </w:r>
      <w:r w:rsidRPr="00396E7A">
        <w:rPr>
          <w:rtl/>
        </w:rPr>
        <w:t xml:space="preserve"> </w:t>
      </w:r>
      <w:r w:rsidRPr="00396E7A">
        <w:rPr>
          <w:rStyle w:val="afff7"/>
          <w:rtl/>
        </w:rPr>
        <w:t>[ס"ל] דכל היכא שהוא רפוי מותר לכתחילה ואמרינן בירושלמי ר"פ הבונה רב המנונא הורי לריש גלותא להתיר שלחן של פרקים בשבת אמרין הונא בר חייא הוה עמיה שמע ר' יהודה ואמר מאן דהורי ליה לא יליף ולא שמש א"ר שמי מאן דהורי ליה כרשב"ג הורי ליה דתני לווחין שבספינה שבעריסה ושבנקליטי המטה ורגל השלחן ויד הסכין שפירשו ה"ז לא יחזיר ואם החזיר ה"ז פטור ואם תקע ה"ז חייב רשב"ג אומר אם היו רפין נוטל ומחזיר.</w:t>
      </w:r>
    </w:p>
    <w:p w14:paraId="4ED2C388" w14:textId="77777777" w:rsidR="000F6808" w:rsidRDefault="000F6808" w:rsidP="000F6808">
      <w:pPr>
        <w:pStyle w:val="1"/>
        <w:rPr>
          <w:rtl/>
        </w:rPr>
      </w:pPr>
      <w:bookmarkStart w:id="6034" w:name="_Toc145487106"/>
      <w:r>
        <w:rPr>
          <w:rFonts w:hint="cs"/>
          <w:rtl/>
        </w:rPr>
        <w:t>בי' המאירי</w:t>
      </w:r>
      <w:bookmarkEnd w:id="6030"/>
      <w:r>
        <w:rPr>
          <w:rFonts w:hint="cs"/>
          <w:rtl/>
        </w:rPr>
        <w:t xml:space="preserve"> דרפוי מותר והדוק אסור שמא יתקע וחייב במכב"פ</w:t>
      </w:r>
      <w:bookmarkEnd w:id="6034"/>
    </w:p>
    <w:p w14:paraId="06A4134C" w14:textId="77777777" w:rsidR="000F6808" w:rsidRPr="00FC269C" w:rsidRDefault="000F6808" w:rsidP="000F6808">
      <w:pPr>
        <w:pStyle w:val="afffff7"/>
        <w:rPr>
          <w:rtl/>
        </w:rPr>
      </w:pPr>
      <w:bookmarkStart w:id="6035" w:name="_Toc145198434"/>
      <w:bookmarkStart w:id="6036" w:name="_Toc145500839"/>
      <w:bookmarkStart w:id="6037" w:name="_Toc163506379"/>
      <w:r w:rsidRPr="00FC269C">
        <w:rPr>
          <w:rtl/>
        </w:rPr>
        <w:t>מאירי שבת מ"ז ע"א</w:t>
      </w:r>
      <w:r w:rsidRPr="00FC269C">
        <w:rPr>
          <w:rFonts w:hint="cs"/>
          <w:rtl/>
        </w:rPr>
        <w:t xml:space="preserve"> ד"ה מטה</w:t>
      </w:r>
      <w:bookmarkEnd w:id="6035"/>
      <w:bookmarkEnd w:id="6036"/>
      <w:bookmarkEnd w:id="6037"/>
    </w:p>
    <w:p w14:paraId="5F850ABF" w14:textId="77777777" w:rsidR="000F6808" w:rsidRPr="00D46055" w:rsidRDefault="000F6808" w:rsidP="000F6808">
      <w:pPr>
        <w:pStyle w:val="a7"/>
        <w:rPr>
          <w:rtl/>
        </w:rPr>
      </w:pPr>
      <w:bookmarkStart w:id="6038" w:name="_Toc145222970"/>
      <w:bookmarkStart w:id="6039" w:name="_Toc145487107"/>
      <w:r>
        <w:rPr>
          <w:rFonts w:hint="cs"/>
          <w:rtl/>
        </w:rPr>
        <w:t>בי' המאירי דאין בנין בכלים ורפוי מותר אך הידוק אסור אטו תוקע דחייב משום מכב"פ</w:t>
      </w:r>
      <w:bookmarkEnd w:id="6038"/>
      <w:bookmarkEnd w:id="6039"/>
    </w:p>
    <w:p w14:paraId="0DFA2DD0" w14:textId="11CD5B95" w:rsidR="000F6808" w:rsidRDefault="000F6808" w:rsidP="000F6808">
      <w:pPr>
        <w:pStyle w:val="a3"/>
      </w:pPr>
      <w:bookmarkStart w:id="6040" w:name="_Ref144634502"/>
      <w:r>
        <w:rPr>
          <w:rFonts w:hint="cs"/>
          <w:rtl/>
        </w:rPr>
        <w:t>כתב</w:t>
      </w:r>
      <w:r>
        <w:rPr>
          <w:rtl/>
        </w:rPr>
        <w:t xml:space="preserve"> </w:t>
      </w:r>
      <w:r w:rsidRPr="00AC179E">
        <w:rPr>
          <w:b/>
          <w:bCs/>
          <w:rtl/>
        </w:rPr>
        <w:t>ה</w:t>
      </w:r>
      <w:r w:rsidRPr="00E56DB3">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Ref144634502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קלב)</w:t>
      </w:r>
      <w:r>
        <w:rPr>
          <w:b/>
          <w:bCs/>
          <w:vanish/>
          <w:rtl/>
        </w:rPr>
        <w:fldChar w:fldCharType="end"/>
      </w:r>
      <w:r w:rsidRPr="00E56DB3">
        <w:rPr>
          <w:b/>
          <w:bCs/>
          <w:vanish/>
          <w:rtl/>
        </w:rPr>
        <w:t xml:space="preserve"> &gt;</w:t>
      </w:r>
      <w:r w:rsidRPr="00AC179E">
        <w:rPr>
          <w:rFonts w:hint="cs"/>
          <w:b/>
          <w:bCs/>
          <w:rtl/>
        </w:rPr>
        <w:t>מאירי לעיל</w:t>
      </w:r>
      <w:r w:rsidRPr="00AC179E">
        <w:rPr>
          <w:b/>
          <w:bCs/>
          <w:rtl/>
        </w:rPr>
        <w:t xml:space="preserve"> </w:t>
      </w:r>
      <w:r w:rsidRPr="00E56DB3">
        <w:rPr>
          <w:rFonts w:ascii="Calibri" w:eastAsia="Times New Roman" w:hAnsi="Calibri" w:cs="Guttman Rashi"/>
          <w:noProof w:val="0"/>
          <w:sz w:val="10"/>
          <w:szCs w:val="12"/>
          <w:rtl/>
        </w:rPr>
        <w:t>(</w:t>
      </w:r>
      <w:r w:rsidRPr="00E56DB3">
        <w:rPr>
          <w:rFonts w:ascii="Calibri" w:eastAsia="Times New Roman" w:hAnsi="Calibri" w:cs="Guttman Rashi" w:hint="cs"/>
          <w:noProof w:val="0"/>
          <w:sz w:val="10"/>
          <w:szCs w:val="12"/>
          <w:rtl/>
        </w:rPr>
        <w:t>מז. ד"ה מטה</w:t>
      </w:r>
      <w:r w:rsidRPr="00E56DB3">
        <w:rPr>
          <w:rFonts w:ascii="Calibri" w:eastAsia="Times New Roman" w:hAnsi="Calibri" w:cs="Guttman Rashi"/>
          <w:noProof w:val="0"/>
          <w:sz w:val="10"/>
          <w:szCs w:val="12"/>
          <w:rtl/>
        </w:rPr>
        <w:t>)</w:t>
      </w:r>
      <w:r w:rsidRPr="00E56DB3">
        <w:rPr>
          <w:vanish/>
          <w:rtl/>
        </w:rPr>
        <w:t>=</w:t>
      </w:r>
      <w:r>
        <w:rPr>
          <w:rtl/>
        </w:rPr>
        <w:t xml:space="preserve"> </w:t>
      </w:r>
      <w:r>
        <w:rPr>
          <w:rFonts w:hint="cs"/>
          <w:rtl/>
        </w:rPr>
        <w:t>דקיי"ל דאין בנין בכלים ולכן מטה של טרסיים מותר להחזירה ברפוי בלא הידוק, ובהידוק אסור שמא יתקע דחייב משם מכה בפטיש, כיון דהוא גמר מלאכה</w:t>
      </w:r>
      <w:r w:rsidRPr="0069782F">
        <w:rPr>
          <w:rFonts w:hint="cs"/>
          <w:rtl/>
        </w:rPr>
        <w:t xml:space="preserve"> </w:t>
      </w:r>
      <w:r>
        <w:rPr>
          <w:rFonts w:hint="cs"/>
          <w:rtl/>
        </w:rPr>
        <w:t>אף שאין בנין בכלים, וה"ה במנורה של חוליות וקנה של סיידין וכדומה.</w:t>
      </w:r>
    </w:p>
    <w:p w14:paraId="51BC31AB" w14:textId="77777777" w:rsidR="000F6808" w:rsidRPr="0088513D" w:rsidRDefault="000F6808" w:rsidP="000F6808">
      <w:pPr>
        <w:pStyle w:val="afffffe"/>
        <w:rPr>
          <w:vanish/>
          <w:rtl/>
        </w:rPr>
      </w:pPr>
      <w:r w:rsidRPr="0088513D">
        <w:rPr>
          <w:vanish/>
          <w:rtl/>
        </w:rPr>
        <w:t>מאירי שבת מ"ז ע"א</w:t>
      </w:r>
      <w:r w:rsidRPr="0088513D">
        <w:rPr>
          <w:rFonts w:hint="cs"/>
          <w:vanish/>
          <w:rtl/>
        </w:rPr>
        <w:t xml:space="preserve"> ד"ה מטה</w:t>
      </w:r>
    </w:p>
    <w:p w14:paraId="3BCA544C" w14:textId="77777777" w:rsidR="000F6808" w:rsidRDefault="000F6808" w:rsidP="000F6808">
      <w:pPr>
        <w:pStyle w:val="a2"/>
        <w:rPr>
          <w:rtl/>
        </w:rPr>
      </w:pPr>
      <w:r w:rsidRPr="00111645">
        <w:rPr>
          <w:rtl/>
        </w:rPr>
        <w:t xml:space="preserve">מטה העשויה פרקים פרקים והוא הקרויה מטה גללניתא וכן נקראת מטה של טרסיים מפני שהטרסיים ר"ל גרדיים הולכים מעיר לעיר למלאכתן ונושאים עמהם מטות של פרקים אם הם רפויות שאין שום הדוק בחזרתן מותר לכתחילה ואם רפויות קצת אסור שמא יתקע ואם תקע חייב חטאת שהתוקע נעשה כמכה בפטיש שהוא אב לכל גמר מלאכה אף על פי שאין בנין בכלים וכן מנורה שיוצאים ממנה קנים לנרות הרבה ונוטלים הימנה ובשעת הצורך מחזירין אותם וכן קנה של סיידים הטחים את הבית בסיד המחוי וכשהוא טח בשיפולי הכותל היה די להם בקנה קצר וכשהוא הולך ומגביה מוסיף קנה על קנה מעט מעט ומאריכין וכן קרן עגולה וקרן פשוטה והם כלי זמר עשויים נקבים נקבים ומכניס בהם יתדות וחלילים להוציא קולות ונגונים וכן מלבנות המטה והם כעין רגלים קטנים שיש להם בית קיבול ומכניס לתוכם ראשי כרעי המטה שלא ירקבו בארץ וכן כרעי המטה ולוחין של סקיבוס והוא דף עשוי כמין יתד שתוקעין בקשת שעליו מושיב החץ בכל אלו וכיוצא בהם ברפויים מכל וכל עד שאין צורך בהם (לצורך) לשום הדוק מותר וכל שכן במעשה לבנה בעלמא כגון דלת שאין שם ציר כלל וכן הדין ברפויה קצת אלא שאינו מחזיר כל צורכו אלא עד מקום שנכנסה לשם ברפיון גמור שלא בשום הדוק וכל שמכניס בשום הדוק כגון רפויה ואינה רפויה אסור ואף על פי שבנין כלים בלא תקיעה מן הצד הוא ועליו נאמר שאין בנין בכלים מ"מ יש לחוש שמא יתקע ואם תקע חייב חטאת </w:t>
      </w:r>
    </w:p>
    <w:p w14:paraId="5C10C605" w14:textId="77777777" w:rsidR="000F6808" w:rsidRDefault="000F6808" w:rsidP="000F6808">
      <w:pPr>
        <w:pStyle w:val="afffff7"/>
        <w:rPr>
          <w:rtl/>
        </w:rPr>
      </w:pPr>
      <w:bookmarkStart w:id="6041" w:name="_Toc145500840"/>
      <w:bookmarkStart w:id="6042" w:name="_Toc163506380"/>
      <w:bookmarkEnd w:id="6040"/>
      <w:r w:rsidRPr="00B63006">
        <w:rPr>
          <w:rtl/>
        </w:rPr>
        <w:t>מאירי שבת קכ"ב ע"ב</w:t>
      </w:r>
      <w:r>
        <w:rPr>
          <w:rFonts w:hint="cs"/>
          <w:rtl/>
        </w:rPr>
        <w:t xml:space="preserve"> ד"ה דלת</w:t>
      </w:r>
      <w:bookmarkEnd w:id="6041"/>
      <w:bookmarkEnd w:id="6042"/>
    </w:p>
    <w:p w14:paraId="0A898290" w14:textId="77777777" w:rsidR="000F6808" w:rsidRDefault="000F6808" w:rsidP="000F6808">
      <w:pPr>
        <w:pStyle w:val="a7"/>
        <w:rPr>
          <w:rtl/>
        </w:rPr>
      </w:pPr>
      <w:bookmarkStart w:id="6043" w:name="_Toc145487108"/>
      <w:r>
        <w:rPr>
          <w:rFonts w:hint="cs"/>
          <w:rtl/>
        </w:rPr>
        <w:t>בי' המאירי דנטילת דלת שידה רק ברפוי דל"ה בנין ואין חשש שיהדק ויתחייב במכה בפטיש</w:t>
      </w:r>
      <w:bookmarkEnd w:id="6043"/>
    </w:p>
    <w:p w14:paraId="5862927F" w14:textId="28F66015" w:rsidR="000F6808" w:rsidRDefault="000F6808" w:rsidP="000F6808">
      <w:pPr>
        <w:pStyle w:val="a3"/>
      </w:pPr>
      <w:bookmarkStart w:id="6044" w:name="_Ref145275562"/>
      <w:r>
        <w:rPr>
          <w:rFonts w:hint="cs"/>
          <w:rtl/>
        </w:rPr>
        <w:t>וכתב</w:t>
      </w:r>
      <w:r>
        <w:rPr>
          <w:rtl/>
        </w:rPr>
        <w:t xml:space="preserve"> </w:t>
      </w:r>
      <w:r w:rsidRPr="00591E75">
        <w:rPr>
          <w:b/>
          <w:bCs/>
          <w:rtl/>
        </w:rPr>
        <w:t>ה</w:t>
      </w:r>
      <w:r w:rsidRPr="00591E75">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Ref145275562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קלג)</w:t>
      </w:r>
      <w:r>
        <w:rPr>
          <w:b/>
          <w:bCs/>
          <w:vanish/>
          <w:rtl/>
        </w:rPr>
        <w:fldChar w:fldCharType="end"/>
      </w:r>
      <w:r w:rsidRPr="00591E75">
        <w:rPr>
          <w:b/>
          <w:bCs/>
          <w:vanish/>
          <w:rtl/>
        </w:rPr>
        <w:t xml:space="preserve"> &gt;</w:t>
      </w:r>
      <w:r>
        <w:rPr>
          <w:rFonts w:hint="cs"/>
          <w:b/>
          <w:bCs/>
          <w:rtl/>
        </w:rPr>
        <w:t>מאירי לקמן</w:t>
      </w:r>
      <w:r w:rsidRPr="00591E75">
        <w:rPr>
          <w:b/>
          <w:bCs/>
          <w:rtl/>
        </w:rPr>
        <w:t xml:space="preserve"> </w:t>
      </w:r>
      <w:r w:rsidRPr="00591E75">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קכב: ד"ה דלת</w:t>
      </w:r>
      <w:r w:rsidRPr="00591E75">
        <w:rPr>
          <w:rFonts w:ascii="Calibri" w:eastAsia="Times New Roman" w:hAnsi="Calibri" w:cs="Guttman Rashi"/>
          <w:noProof w:val="0"/>
          <w:sz w:val="10"/>
          <w:szCs w:val="12"/>
          <w:rtl/>
        </w:rPr>
        <w:t>)</w:t>
      </w:r>
      <w:r w:rsidRPr="00591E75">
        <w:rPr>
          <w:vanish/>
          <w:rtl/>
        </w:rPr>
        <w:t>=</w:t>
      </w:r>
      <w:r>
        <w:rPr>
          <w:rtl/>
        </w:rPr>
        <w:t xml:space="preserve"> </w:t>
      </w:r>
      <w:r>
        <w:rPr>
          <w:rFonts w:hint="cs"/>
          <w:rtl/>
        </w:rPr>
        <w:t>דהא דמותר ליטול דלתות שידה תיבה ומגדל, היינו כיון שהם רפויים ובזה אין בנין וסתירה בכלים, והא דאסור להחזיר הוא מגזירה שמא יתקע מסמר או יתד להדק, ויתחייב משום מכה בפטיש ולכן אף שאין בנין בכלים אסור.</w:t>
      </w:r>
    </w:p>
    <w:p w14:paraId="589AF737" w14:textId="77777777" w:rsidR="000F6808" w:rsidRPr="0088513D" w:rsidRDefault="000F6808" w:rsidP="000F6808">
      <w:pPr>
        <w:pStyle w:val="afffffe"/>
        <w:rPr>
          <w:vanish/>
          <w:rtl/>
        </w:rPr>
      </w:pPr>
      <w:r w:rsidRPr="0088513D">
        <w:rPr>
          <w:vanish/>
          <w:rtl/>
        </w:rPr>
        <w:t>מאירי שבת קכ"ב ע"ב</w:t>
      </w:r>
      <w:r w:rsidRPr="0088513D">
        <w:rPr>
          <w:rFonts w:hint="cs"/>
          <w:vanish/>
          <w:rtl/>
        </w:rPr>
        <w:t xml:space="preserve"> ד"ה דלת</w:t>
      </w:r>
    </w:p>
    <w:p w14:paraId="4C0AD418" w14:textId="77777777" w:rsidR="000F6808" w:rsidRPr="00111645" w:rsidRDefault="000F6808" w:rsidP="000F6808">
      <w:pPr>
        <w:pStyle w:val="a2"/>
        <w:rPr>
          <w:rtl/>
        </w:rPr>
      </w:pPr>
      <w:r w:rsidRPr="00111645">
        <w:rPr>
          <w:rtl/>
        </w:rPr>
        <w:t>דלת של שידה תיבה ומגדל הואיל ורפויי' הם נוטלים אותן בשבת מציריהם ואין בהם משום סתירה שאין בנין וסתירה בכלים הואיל ונכנסין בחליותיהן ברפיון ומ"מ חזרתם אסורה אף ברפויים ואף על פי שאין בנין מ"מ גזירה שמא יתקע שם יתד או מסמר להדקן והוא ענין הכאה בפטיש</w:t>
      </w:r>
      <w:r w:rsidRPr="00111645">
        <w:rPr>
          <w:rFonts w:hint="cs"/>
          <w:rtl/>
        </w:rPr>
        <w:t>.</w:t>
      </w:r>
    </w:p>
    <w:p w14:paraId="567771C3" w14:textId="77777777" w:rsidR="000F6808" w:rsidRPr="003C4003" w:rsidRDefault="000F6808" w:rsidP="000F6808">
      <w:pPr>
        <w:pStyle w:val="a7"/>
      </w:pPr>
      <w:bookmarkStart w:id="6045" w:name="_Toc145487109"/>
      <w:r>
        <w:rPr>
          <w:rFonts w:hint="cs"/>
          <w:rtl/>
        </w:rPr>
        <w:t>בי' המאירי דבדלת לול המחובר לקרקע אף רפוי אסור כדלת בית דהחיבור מפקיע תורת כלי</w:t>
      </w:r>
      <w:bookmarkEnd w:id="6045"/>
    </w:p>
    <w:p w14:paraId="3F5425E6" w14:textId="77777777" w:rsidR="000F6808" w:rsidRPr="00B63006" w:rsidRDefault="000F6808" w:rsidP="000F6808">
      <w:pPr>
        <w:pStyle w:val="a3"/>
        <w:rPr>
          <w:rtl/>
        </w:rPr>
      </w:pPr>
      <w:r>
        <w:rPr>
          <w:rFonts w:hint="cs"/>
          <w:rtl/>
        </w:rPr>
        <w:t>אך כתב</w:t>
      </w:r>
      <w:r>
        <w:rPr>
          <w:rtl/>
        </w:rPr>
        <w:t xml:space="preserve"> </w:t>
      </w:r>
      <w:r>
        <w:rPr>
          <w:rFonts w:hint="cs"/>
          <w:b/>
          <w:bCs/>
          <w:rtl/>
        </w:rPr>
        <w:t xml:space="preserve">המאירי לקמן </w:t>
      </w:r>
      <w:r>
        <w:rPr>
          <w:rFonts w:hint="cs"/>
          <w:rtl/>
        </w:rPr>
        <w:t>דבדלת לול של תרנגולין שמחובר לקרקע, אף ברפוי אסור כיון דיש בנין וסתירה בקרקע, והוא כדלתות הבית דאף שהדלתות הם כלים, אין להם תורת כלי דהחיבור של הדלתות לקרקע מפקיע אותם מתורת כלי, ולכן אם התפרקו דלתות הבית בשבת אסור לטלטלם.</w:t>
      </w:r>
      <w:bookmarkEnd w:id="6044"/>
    </w:p>
    <w:p w14:paraId="1A3EBD27" w14:textId="77777777" w:rsidR="000F6808" w:rsidRDefault="000F6808" w:rsidP="000F6808">
      <w:pPr>
        <w:pStyle w:val="a2"/>
        <w:rPr>
          <w:rtl/>
        </w:rPr>
      </w:pPr>
      <w:r w:rsidRPr="00111645">
        <w:rPr>
          <w:rtl/>
        </w:rPr>
        <w:lastRenderedPageBreak/>
        <w:t>אבל דלתות של לול של תרנגולים הואיל ומחוברים הם בקרקע יש בנין וסתירה בקרקע אף ברפויים ואסור כדלתות הבית שדלתות הבית אף על פי שכלים הם אין תורת כלי עליהם שחבורם לקרקע מפקיעם מתורת כלי ולפיכך אם נתפרקו אפי' בשבת אין מטלטלין אותם:</w:t>
      </w:r>
    </w:p>
    <w:p w14:paraId="73EB376A" w14:textId="77777777" w:rsidR="000F6808" w:rsidRDefault="000F6808" w:rsidP="000F6808">
      <w:pPr>
        <w:pStyle w:val="affff5"/>
        <w:rPr>
          <w:rtl/>
        </w:rPr>
      </w:pPr>
      <w:bookmarkStart w:id="6046" w:name="_Toc145487110"/>
      <w:r>
        <w:rPr>
          <w:rFonts w:hint="cs"/>
          <w:rtl/>
        </w:rPr>
        <w:t>בי' הר"ן דיש ג' דרגות בתוקע ורפוי</w:t>
      </w:r>
      <w:bookmarkEnd w:id="6046"/>
      <w:r w:rsidRPr="007220A9">
        <w:rPr>
          <w:vanish/>
          <w:rtl/>
        </w:rPr>
        <w:t>&lt; # =</w:t>
      </w:r>
    </w:p>
    <w:p w14:paraId="21B9CAD5" w14:textId="77777777" w:rsidR="000F6808" w:rsidRPr="00BB7F6A" w:rsidRDefault="000F6808" w:rsidP="000F6808">
      <w:pPr>
        <w:pStyle w:val="1"/>
        <w:rPr>
          <w:rtl/>
        </w:rPr>
      </w:pPr>
      <w:bookmarkStart w:id="6047" w:name="_Toc145487111"/>
      <w:r>
        <w:rPr>
          <w:rFonts w:hint="cs"/>
          <w:rtl/>
        </w:rPr>
        <w:t>בי' הר"ן דרפוי מותר הידוק פטור אבל אסור ותוקע מכב"פ</w:t>
      </w:r>
      <w:bookmarkEnd w:id="6047"/>
    </w:p>
    <w:p w14:paraId="6FA70174" w14:textId="77777777" w:rsidR="000F6808" w:rsidRPr="00575140" w:rsidRDefault="000F6808" w:rsidP="000F6808">
      <w:pPr>
        <w:pStyle w:val="a7"/>
      </w:pPr>
      <w:bookmarkStart w:id="6048" w:name="_Toc145487112"/>
      <w:bookmarkStart w:id="6049" w:name="_Toc145222973"/>
      <w:r>
        <w:rPr>
          <w:rFonts w:hint="cs"/>
          <w:rtl/>
        </w:rPr>
        <w:t>בי' הי"מ בר"ן דלמ"ד דאין בנין בכלים ותוקע מכב"פ והידוק רק דרבנן וק' מברייתא דרפוי</w:t>
      </w:r>
      <w:bookmarkEnd w:id="6048"/>
    </w:p>
    <w:p w14:paraId="74EFA231" w14:textId="32E51754" w:rsidR="000F6808" w:rsidRDefault="000F6808" w:rsidP="000F6808">
      <w:pPr>
        <w:pStyle w:val="a3"/>
      </w:pPr>
      <w:bookmarkStart w:id="6050" w:name="_Ref145415181"/>
      <w:r>
        <w:rPr>
          <w:rFonts w:hint="cs"/>
          <w:rtl/>
        </w:rPr>
        <w:t>כתב</w:t>
      </w:r>
      <w:r>
        <w:rPr>
          <w:rtl/>
        </w:rPr>
        <w:t xml:space="preserve"> </w:t>
      </w:r>
      <w:r w:rsidRPr="002E33B7">
        <w:rPr>
          <w:b/>
          <w:bCs/>
          <w:rtl/>
        </w:rPr>
        <w:t>ה</w:t>
      </w:r>
      <w:r w:rsidRPr="002E33B7">
        <w:rPr>
          <w:b/>
          <w:bCs/>
          <w:vanish/>
          <w:rtl/>
        </w:rPr>
        <w:t xml:space="preserve"> </w:t>
      </w:r>
      <w:r>
        <w:rPr>
          <w:rFonts w:hint="cs"/>
          <w:b/>
          <w:bCs/>
          <w:vanish/>
          <w:rtl/>
        </w:rPr>
        <w:t xml:space="preserve">&lt;, </w:t>
      </w:r>
      <w:r>
        <w:rPr>
          <w:b/>
          <w:bCs/>
          <w:vanish/>
          <w:rtl/>
        </w:rPr>
        <w:fldChar w:fldCharType="begin"/>
      </w:r>
      <w:r>
        <w:rPr>
          <w:b/>
          <w:bCs/>
          <w:vanish/>
          <w:rtl/>
        </w:rPr>
        <w:instrText xml:space="preserve"> </w:instrText>
      </w:r>
      <w:r>
        <w:rPr>
          <w:rFonts w:hint="cs"/>
          <w:b/>
          <w:bCs/>
          <w:vanish/>
        </w:rPr>
        <w:instrText>REF</w:instrText>
      </w:r>
      <w:r>
        <w:rPr>
          <w:rFonts w:hint="cs"/>
          <w:b/>
          <w:bCs/>
          <w:vanish/>
          <w:rtl/>
        </w:rPr>
        <w:instrText xml:space="preserve"> _</w:instrText>
      </w:r>
      <w:r>
        <w:rPr>
          <w:rFonts w:hint="cs"/>
          <w:b/>
          <w:bCs/>
          <w:vanish/>
        </w:rPr>
        <w:instrText>Ref145415181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קלה)</w:t>
      </w:r>
      <w:r>
        <w:rPr>
          <w:b/>
          <w:bCs/>
          <w:vanish/>
          <w:rtl/>
        </w:rPr>
        <w:fldChar w:fldCharType="end"/>
      </w:r>
      <w:r>
        <w:rPr>
          <w:rFonts w:hint="cs"/>
          <w:b/>
          <w:bCs/>
          <w:vanish/>
          <w:rtl/>
        </w:rPr>
        <w:t xml:space="preserve"> &gt;</w:t>
      </w:r>
      <w:r>
        <w:rPr>
          <w:rFonts w:hint="cs"/>
          <w:b/>
          <w:bCs/>
          <w:rtl/>
        </w:rPr>
        <w:t>ר"ן לעיל</w:t>
      </w:r>
      <w:r w:rsidRPr="002E33B7">
        <w:rPr>
          <w:b/>
          <w:bCs/>
          <w:rtl/>
        </w:rPr>
        <w:t xml:space="preserve"> </w:t>
      </w:r>
      <w:r w:rsidRPr="002E33B7">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מז. ד"ה הא</w:t>
      </w:r>
      <w:r w:rsidRPr="002E33B7">
        <w:rPr>
          <w:rFonts w:ascii="Calibri" w:eastAsia="Times New Roman" w:hAnsi="Calibri" w:cs="Guttman Rashi"/>
          <w:noProof w:val="0"/>
          <w:sz w:val="10"/>
          <w:szCs w:val="12"/>
          <w:rtl/>
        </w:rPr>
        <w:t>)</w:t>
      </w:r>
      <w:r w:rsidRPr="002E33B7">
        <w:rPr>
          <w:vanish/>
          <w:rtl/>
        </w:rPr>
        <w:t>=</w:t>
      </w:r>
      <w:r>
        <w:rPr>
          <w:rtl/>
        </w:rPr>
        <w:t xml:space="preserve"> </w:t>
      </w:r>
      <w:r>
        <w:rPr>
          <w:rFonts w:hint="cs"/>
          <w:rtl/>
        </w:rPr>
        <w:t>דלמ"ד דס"ל דאין בנין בכלים א"כ החיוב דאו' הוא רק בתוקע משום מכה בפטיש, אבל במהדק ולא תקע אין איסור דאו', ולכן אף אי אמרינן דבמהדק אסור מדרבנן אטו תוקע, מ"מ ברפוי מותר לכתחילה, וכתב</w:t>
      </w:r>
      <w:r>
        <w:rPr>
          <w:rtl/>
        </w:rPr>
        <w:t xml:space="preserve"> </w:t>
      </w:r>
      <w:r>
        <w:rPr>
          <w:rFonts w:hint="cs"/>
          <w:b/>
          <w:bCs/>
          <w:rtl/>
        </w:rPr>
        <w:t>הר"ן</w:t>
      </w:r>
      <w:r>
        <w:rPr>
          <w:rtl/>
        </w:rPr>
        <w:t xml:space="preserve"> </w:t>
      </w:r>
      <w:r>
        <w:rPr>
          <w:rFonts w:hint="cs"/>
          <w:rtl/>
        </w:rPr>
        <w:t>דלכן מקשה הגמ' מהברייתא דהמחזיר קנה מנורה חייב חטאת, דמדתני בסתמא משמע דאף בלא תקע חייב, ובקנה של סיידין דפטור אבל אסור איירי ברפוי, ומוכח דרפוי אסור.</w:t>
      </w:r>
      <w:bookmarkEnd w:id="6050"/>
    </w:p>
    <w:p w14:paraId="282E371A" w14:textId="77777777" w:rsidR="000F6808" w:rsidRPr="00111645" w:rsidRDefault="000F6808" w:rsidP="000F6808">
      <w:pPr>
        <w:pStyle w:val="a2"/>
        <w:rPr>
          <w:rtl/>
        </w:rPr>
      </w:pPr>
      <w:r w:rsidRPr="00111645">
        <w:rPr>
          <w:rtl/>
        </w:rPr>
        <w:t>ואינהו סבירא להו דאין בנין בכלים ואין סתירה בכלים ומשום הכי בשתקע דוקא הוא דאיכא איסורא דאורייתא משום מכה בפטיש אבל בשלא תקע נמי אין בנין בכלים הלכך אפילו תמצא לומר דהיכא דמיהדק אסור מדרבנן גזירה שמא יתקע ברפוי שרי לגמרי היינו דפרכינן עלייהו מדקתני המחזיר קני מנורה בשבת חייב חטאת ומדקתני סתמא משמע אף על פי שלא תקע וקנה של סיידין דאמרינן פטור אבל אסור ברפוי אלמא ברפוי איסורא איכא</w:t>
      </w:r>
      <w:r w:rsidRPr="00111645">
        <w:rPr>
          <w:rFonts w:hint="cs"/>
          <w:rtl/>
        </w:rPr>
        <w:t>.</w:t>
      </w:r>
    </w:p>
    <w:p w14:paraId="10049952" w14:textId="77777777" w:rsidR="000F6808" w:rsidRDefault="000F6808" w:rsidP="000F6808">
      <w:pPr>
        <w:pStyle w:val="afffff7"/>
        <w:rPr>
          <w:rtl/>
        </w:rPr>
      </w:pPr>
      <w:bookmarkStart w:id="6051" w:name="_Toc145500841"/>
      <w:bookmarkStart w:id="6052" w:name="_Toc163506381"/>
      <w:r>
        <w:rPr>
          <w:rtl/>
        </w:rPr>
        <w:t>ר"ן על הרי"ף שבת כ"א ע"ב</w:t>
      </w:r>
      <w:r>
        <w:rPr>
          <w:rFonts w:hint="cs"/>
          <w:rtl/>
        </w:rPr>
        <w:t xml:space="preserve"> ד"ה ואיכא</w:t>
      </w:r>
      <w:bookmarkEnd w:id="6051"/>
      <w:bookmarkEnd w:id="6052"/>
    </w:p>
    <w:p w14:paraId="1B7A8D19" w14:textId="77777777" w:rsidR="000F6808" w:rsidRPr="00381801" w:rsidRDefault="000F6808" w:rsidP="000F6808">
      <w:pPr>
        <w:pStyle w:val="a7"/>
        <w:rPr>
          <w:rtl/>
        </w:rPr>
      </w:pPr>
      <w:bookmarkStart w:id="6053" w:name="_Toc145487113"/>
      <w:r>
        <w:rPr>
          <w:rFonts w:hint="cs"/>
          <w:rtl/>
        </w:rPr>
        <w:t>בי' הר"ן דלמ"ד דיש בנין בכלים אף מהדק חייב וגזרינן רפוי אטו אינו רפוי ולדידן רפוי מותר</w:t>
      </w:r>
      <w:bookmarkEnd w:id="6053"/>
    </w:p>
    <w:p w14:paraId="4783B54C" w14:textId="79684652" w:rsidR="000F6808" w:rsidRDefault="000F6808" w:rsidP="000F6808">
      <w:pPr>
        <w:pStyle w:val="a3"/>
      </w:pPr>
      <w:bookmarkStart w:id="6054" w:name="_Ref145360432"/>
      <w:bookmarkEnd w:id="6049"/>
      <w:r>
        <w:rPr>
          <w:rFonts w:hint="cs"/>
          <w:rtl/>
        </w:rPr>
        <w:t>וכ"</w:t>
      </w:r>
      <w:bookmarkStart w:id="6055" w:name="_Hlk145360499"/>
      <w:r>
        <w:rPr>
          <w:rFonts w:hint="cs"/>
          <w:rtl/>
        </w:rPr>
        <w:t>כ</w:t>
      </w:r>
      <w:r>
        <w:rPr>
          <w:rtl/>
        </w:rPr>
        <w:t xml:space="preserve"> </w:t>
      </w:r>
      <w:r>
        <w:rPr>
          <w:rFonts w:hint="cs"/>
          <w:b/>
          <w:bCs/>
          <w:rtl/>
        </w:rPr>
        <w:t>ב</w:t>
      </w:r>
      <w:r>
        <w:rPr>
          <w:rFonts w:hint="cs"/>
          <w:b/>
          <w:bCs/>
          <w:vanish/>
          <w:rtl/>
        </w:rPr>
        <w:t xml:space="preserve">&lt;, </w:t>
      </w:r>
      <w:r>
        <w:rPr>
          <w:b/>
          <w:bCs/>
          <w:vanish/>
          <w:rtl/>
        </w:rPr>
        <w:fldChar w:fldCharType="begin"/>
      </w:r>
      <w:r>
        <w:rPr>
          <w:b/>
          <w:bCs/>
          <w:vanish/>
          <w:rtl/>
        </w:rPr>
        <w:instrText xml:space="preserve"> </w:instrText>
      </w:r>
      <w:r>
        <w:rPr>
          <w:rFonts w:hint="cs"/>
          <w:b/>
          <w:bCs/>
          <w:vanish/>
        </w:rPr>
        <w:instrText>REF</w:instrText>
      </w:r>
      <w:r>
        <w:rPr>
          <w:rFonts w:hint="cs"/>
          <w:b/>
          <w:bCs/>
          <w:vanish/>
          <w:rtl/>
        </w:rPr>
        <w:instrText xml:space="preserve"> _</w:instrText>
      </w:r>
      <w:r>
        <w:rPr>
          <w:rFonts w:hint="cs"/>
          <w:b/>
          <w:bCs/>
          <w:vanish/>
        </w:rPr>
        <w:instrText>Ref145360432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קלו)</w:t>
      </w:r>
      <w:r>
        <w:rPr>
          <w:b/>
          <w:bCs/>
          <w:vanish/>
          <w:rtl/>
        </w:rPr>
        <w:fldChar w:fldCharType="end"/>
      </w:r>
      <w:r>
        <w:rPr>
          <w:rFonts w:hint="cs"/>
          <w:b/>
          <w:bCs/>
          <w:vanish/>
          <w:rtl/>
        </w:rPr>
        <w:t xml:space="preserve"> &gt;</w:t>
      </w:r>
      <w:r>
        <w:rPr>
          <w:rFonts w:hint="cs"/>
          <w:b/>
          <w:bCs/>
          <w:rtl/>
        </w:rPr>
        <w:t>ר"ן על הרי"ף</w:t>
      </w:r>
      <w:r w:rsidRPr="009413E3">
        <w:rPr>
          <w:b/>
          <w:bCs/>
          <w:rtl/>
        </w:rPr>
        <w:t xml:space="preserve"> </w:t>
      </w:r>
      <w:r w:rsidRPr="009413E3">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כא: מדה"ר ד"ה ואיכא, מהדו' עוז והדר עמ' ס"ב</w:t>
      </w:r>
      <w:r w:rsidRPr="009413E3">
        <w:rPr>
          <w:rFonts w:ascii="Calibri" w:eastAsia="Times New Roman" w:hAnsi="Calibri" w:cs="Guttman Rashi"/>
          <w:noProof w:val="0"/>
          <w:sz w:val="10"/>
          <w:szCs w:val="12"/>
          <w:rtl/>
        </w:rPr>
        <w:t>)</w:t>
      </w:r>
      <w:r w:rsidRPr="009413E3">
        <w:rPr>
          <w:vanish/>
          <w:rtl/>
        </w:rPr>
        <w:t>=</w:t>
      </w:r>
      <w:r>
        <w:rPr>
          <w:rtl/>
        </w:rPr>
        <w:t xml:space="preserve"> </w:t>
      </w:r>
      <w:r>
        <w:rPr>
          <w:rFonts w:hint="cs"/>
          <w:rtl/>
        </w:rPr>
        <w:t>בשם</w:t>
      </w:r>
      <w:r>
        <w:rPr>
          <w:rtl/>
        </w:rPr>
        <w:t xml:space="preserve"> </w:t>
      </w:r>
      <w:r>
        <w:rPr>
          <w:rFonts w:hint="cs"/>
          <w:b/>
          <w:bCs/>
          <w:rtl/>
        </w:rPr>
        <w:t>י"מ</w:t>
      </w:r>
      <w:r>
        <w:rPr>
          <w:rtl/>
        </w:rPr>
        <w:t xml:space="preserve"> </w:t>
      </w:r>
      <w:r>
        <w:rPr>
          <w:rFonts w:hint="cs"/>
          <w:rtl/>
        </w:rPr>
        <w:t>דממסקנת הגמ' מוכח דאין בנין בכלים, דאי יש בנין בכלים צריך לחייב חטאת אף במהדק ולא רק בתקע, וכן צריך לגזור ברפוי אטו אינו רפוי, אלא מוכח דאין בנין בכלים ומהדק אסור רק מדרבנן גזירה שמא יתקע ויתחייב משום מכה בפטיש ולכן רפוי מותר</w:t>
      </w:r>
      <w:bookmarkEnd w:id="6055"/>
      <w:r>
        <w:rPr>
          <w:rFonts w:hint="cs"/>
          <w:rtl/>
        </w:rPr>
        <w:t>.</w:t>
      </w:r>
      <w:bookmarkEnd w:id="6054"/>
      <w:r w:rsidRPr="00E702BD">
        <w:rPr>
          <w:rFonts w:hint="cs"/>
          <w:rtl/>
        </w:rPr>
        <w:t xml:space="preserve"> </w:t>
      </w:r>
    </w:p>
    <w:p w14:paraId="22CF0DD0" w14:textId="77777777" w:rsidR="000F6808" w:rsidRPr="0088513D" w:rsidRDefault="000F6808" w:rsidP="000F6808">
      <w:pPr>
        <w:pStyle w:val="afffffe"/>
        <w:rPr>
          <w:vanish/>
          <w:rtl/>
        </w:rPr>
      </w:pPr>
      <w:r w:rsidRPr="0088513D">
        <w:rPr>
          <w:vanish/>
          <w:rtl/>
        </w:rPr>
        <w:t>ר"ן על הרי"ף שבת כ"א ע"ב</w:t>
      </w:r>
      <w:r w:rsidRPr="0088513D">
        <w:rPr>
          <w:rFonts w:hint="cs"/>
          <w:vanish/>
          <w:rtl/>
        </w:rPr>
        <w:t xml:space="preserve"> ד"ה ואיכא</w:t>
      </w:r>
    </w:p>
    <w:p w14:paraId="7C5198EF" w14:textId="77777777" w:rsidR="000F6808" w:rsidRPr="00111645" w:rsidRDefault="000F6808" w:rsidP="000F6808">
      <w:pPr>
        <w:pStyle w:val="a2"/>
        <w:rPr>
          <w:rtl/>
        </w:rPr>
      </w:pPr>
      <w:r w:rsidRPr="00111645">
        <w:rPr>
          <w:rtl/>
        </w:rPr>
        <w:t>ואיכא מאן דאמר דכיון דמסקינן הכי ש"מ דאין בנין בכלים דאם איתא דיש בנין אפילו לא תקע כל היכא דמיהדק חייב חטאת ואפילו ברפוי איכא למיגזר אטו שאינו רפוי אבל כיון דאין בנין בכלים אפי' היכא דמיהדק לא אסור אלא מדרבנן גזירה שמא יתקע וחייב משום מכה בפטיש ומשום הכי אם היה רפוי מותר:</w:t>
      </w:r>
    </w:p>
    <w:p w14:paraId="616507C0" w14:textId="77777777" w:rsidR="000F6808" w:rsidRPr="00895E6F" w:rsidRDefault="000F6808" w:rsidP="000F6808">
      <w:pPr>
        <w:pStyle w:val="a7"/>
        <w:rPr>
          <w:rtl/>
        </w:rPr>
      </w:pPr>
      <w:bookmarkStart w:id="6056" w:name="_Toc145222974"/>
      <w:bookmarkStart w:id="6057" w:name="_Toc145487114"/>
      <w:r>
        <w:rPr>
          <w:rFonts w:hint="cs"/>
          <w:rtl/>
        </w:rPr>
        <w:t>בי' הר"ן דר"א ור"ה ס"ל כברייתא דאין בנין בכלים ות"ק ורשב"ג ל"פ או דנח' אי גזרו ברפוי</w:t>
      </w:r>
      <w:bookmarkEnd w:id="6056"/>
      <w:bookmarkEnd w:id="6057"/>
    </w:p>
    <w:p w14:paraId="7BE7458F" w14:textId="77777777" w:rsidR="000F6808" w:rsidRPr="00DD3564" w:rsidRDefault="000F6808" w:rsidP="000F6808">
      <w:pPr>
        <w:pStyle w:val="a3"/>
      </w:pPr>
      <w:r>
        <w:rPr>
          <w:rFonts w:hint="cs"/>
          <w:rtl/>
        </w:rPr>
        <w:t>וכתב</w:t>
      </w:r>
      <w:r>
        <w:rPr>
          <w:rtl/>
        </w:rPr>
        <w:t xml:space="preserve"> </w:t>
      </w:r>
      <w:r>
        <w:rPr>
          <w:rFonts w:hint="cs"/>
          <w:b/>
          <w:bCs/>
          <w:rtl/>
        </w:rPr>
        <w:t>הר"ן</w:t>
      </w:r>
      <w:r>
        <w:rPr>
          <w:rFonts w:hint="cs"/>
          <w:rtl/>
        </w:rPr>
        <w:t xml:space="preserve"> </w:t>
      </w:r>
      <w:r>
        <w:rPr>
          <w:rFonts w:hint="cs"/>
          <w:b/>
          <w:bCs/>
          <w:rtl/>
        </w:rPr>
        <w:t>לעיל</w:t>
      </w:r>
      <w:r>
        <w:rPr>
          <w:rtl/>
        </w:rPr>
        <w:t xml:space="preserve"> </w:t>
      </w:r>
      <w:r>
        <w:rPr>
          <w:rFonts w:hint="cs"/>
          <w:rtl/>
        </w:rPr>
        <w:t xml:space="preserve">דתירצה הגמ' דס"ל לרבי אבא ורב הונא כתנא דברייתא דס"ל דאין בנין בכלים ולכן ת"ק בברייתא מחייב חטאת רק בתוקע, ורשב"ג מתיר ברפוי, כיון דכל האיסור במהדק הוא גזירה שמא יתקע, א"כ כשאינו מהודק מותר, וכתב </w:t>
      </w:r>
      <w:r>
        <w:rPr>
          <w:rFonts w:hint="cs"/>
          <w:b/>
          <w:bCs/>
          <w:rtl/>
        </w:rPr>
        <w:t>הר"ן</w:t>
      </w:r>
      <w:r>
        <w:rPr>
          <w:rFonts w:hint="cs"/>
          <w:rtl/>
        </w:rPr>
        <w:t xml:space="preserve"> דאפש"ל דאף ת"ק מודה לרשב"ג ולא נחלקו ת"ק ורשב"ג כלל, או דת"ק ס"ל דגזרו אף ברפוי שמא יתקע, ורבי אבא ורב הונא ס"ל כרשב"ג דלא גזר.</w:t>
      </w:r>
    </w:p>
    <w:p w14:paraId="726485F8" w14:textId="77777777" w:rsidR="000F6808" w:rsidRPr="0088513D" w:rsidRDefault="000F6808" w:rsidP="000F6808">
      <w:pPr>
        <w:pStyle w:val="afffffe"/>
        <w:rPr>
          <w:vanish/>
          <w:rtl/>
        </w:rPr>
      </w:pPr>
      <w:r w:rsidRPr="0088513D">
        <w:rPr>
          <w:vanish/>
          <w:rtl/>
        </w:rPr>
        <w:t>חדושי הר"ן שבת מ"ז ע"א</w:t>
      </w:r>
      <w:r w:rsidRPr="0088513D">
        <w:rPr>
          <w:rFonts w:hint="cs"/>
          <w:vanish/>
          <w:rtl/>
        </w:rPr>
        <w:t xml:space="preserve"> ד"ה הא</w:t>
      </w:r>
    </w:p>
    <w:p w14:paraId="15746139" w14:textId="77777777" w:rsidR="000F6808" w:rsidRPr="00111645" w:rsidRDefault="000F6808" w:rsidP="000F6808">
      <w:pPr>
        <w:pStyle w:val="a2"/>
        <w:rPr>
          <w:rtl/>
        </w:rPr>
      </w:pPr>
      <w:r w:rsidRPr="00111645">
        <w:rPr>
          <w:rtl/>
        </w:rPr>
        <w:t>ומשני אינהו דאמרי כי האי תנא דתנא קמא לא מחייב אלא בתקע דאלמא ס"ל אין בנין בכלים ומשום הכי ס"ל לרשב"ג דאם היה רפוי מותר דכיון דאע"ג דמיהדק לא אסיר אלא מדרבנן גזירה שמא יתקע כי לא מהדק שרי לגמרי דליכא למיגזר ואפשר דתנא קמא נמי מודה ולא פליג רשב"ג עליה דת"ק אי נמי ת"ק אפילו ברפוי גזר גזירה שמא יתקע ואינהו דאמור כרשב"ג</w:t>
      </w:r>
      <w:r w:rsidRPr="00111645">
        <w:rPr>
          <w:rFonts w:hint="cs"/>
          <w:rtl/>
        </w:rPr>
        <w:t>.</w:t>
      </w:r>
    </w:p>
    <w:p w14:paraId="2CC2915D" w14:textId="77777777" w:rsidR="000F6808" w:rsidRDefault="000F6808" w:rsidP="000F6808">
      <w:pPr>
        <w:pStyle w:val="afffff7"/>
        <w:rPr>
          <w:rtl/>
        </w:rPr>
      </w:pPr>
      <w:bookmarkStart w:id="6058" w:name="_Toc145500842"/>
      <w:bookmarkStart w:id="6059" w:name="_Toc163506382"/>
      <w:r>
        <w:rPr>
          <w:rtl/>
        </w:rPr>
        <w:t xml:space="preserve">שו"ת אבני </w:t>
      </w:r>
      <w:r w:rsidRPr="005C0BD5">
        <w:rPr>
          <w:rFonts w:hint="cs"/>
          <w:rtl/>
        </w:rPr>
        <w:t>או"ח סי'</w:t>
      </w:r>
      <w:r w:rsidRPr="005C0BD5">
        <w:rPr>
          <w:rtl/>
        </w:rPr>
        <w:t xml:space="preserve"> רי</w:t>
      </w:r>
      <w:r w:rsidRPr="005C0BD5">
        <w:rPr>
          <w:rFonts w:hint="cs"/>
          <w:rtl/>
        </w:rPr>
        <w:t>"</w:t>
      </w:r>
      <w:r w:rsidRPr="005C0BD5">
        <w:rPr>
          <w:rtl/>
        </w:rPr>
        <w:t>א</w:t>
      </w:r>
      <w:r w:rsidRPr="005C0BD5">
        <w:rPr>
          <w:rFonts w:hint="cs"/>
          <w:rtl/>
        </w:rPr>
        <w:t xml:space="preserve"> אות</w:t>
      </w:r>
      <w:r>
        <w:rPr>
          <w:rFonts w:hint="cs"/>
          <w:rtl/>
        </w:rPr>
        <w:t xml:space="preserve"> א</w:t>
      </w:r>
      <w:bookmarkEnd w:id="6058"/>
      <w:bookmarkEnd w:id="6059"/>
    </w:p>
    <w:p w14:paraId="3F4F6577" w14:textId="77777777" w:rsidR="000F6808" w:rsidRDefault="000F6808" w:rsidP="000F6808">
      <w:pPr>
        <w:pStyle w:val="a7"/>
        <w:rPr>
          <w:rtl/>
        </w:rPr>
      </w:pPr>
      <w:bookmarkStart w:id="6060" w:name="_Toc145487115"/>
      <w:r>
        <w:rPr>
          <w:rFonts w:hint="cs"/>
          <w:rtl/>
        </w:rPr>
        <w:t>בי' האבנ"ז בר"ן וברמב"ם וברשב"א דתוקע חייב ורפוי ולא רפוי דמהדק אסור ורפוי לגמרי מותר</w:t>
      </w:r>
      <w:bookmarkEnd w:id="6060"/>
    </w:p>
    <w:p w14:paraId="63F46769" w14:textId="0BB4221A" w:rsidR="000F6808" w:rsidRDefault="000F6808" w:rsidP="000F6808">
      <w:pPr>
        <w:pStyle w:val="a3"/>
      </w:pPr>
      <w:bookmarkStart w:id="6061" w:name="_Ref145359642"/>
      <w:bookmarkStart w:id="6062" w:name="_Ref145441436"/>
      <w:r>
        <w:rPr>
          <w:rFonts w:hint="cs"/>
          <w:rtl/>
        </w:rPr>
        <w:t>במ"ש</w:t>
      </w:r>
      <w:r>
        <w:rPr>
          <w:rtl/>
        </w:rPr>
        <w:t xml:space="preserve"> </w:t>
      </w:r>
      <w:r>
        <w:rPr>
          <w:rFonts w:hint="cs"/>
          <w:b/>
          <w:bCs/>
          <w:rtl/>
        </w:rPr>
        <w:t xml:space="preserve">הר"ן </w:t>
      </w:r>
      <w:r>
        <w:rPr>
          <w:rFonts w:ascii="Calibri" w:eastAsia="Times New Roman" w:hAnsi="Calibri" w:cs="Guttman Rashi" w:hint="cs"/>
          <w:noProof w:val="0"/>
          <w:sz w:val="10"/>
          <w:szCs w:val="12"/>
          <w:rtl/>
        </w:rPr>
        <w:t xml:space="preserve">(עי' </w:t>
      </w:r>
      <w:r w:rsidRPr="005309B0">
        <w:rPr>
          <w:rStyle w:val="af2"/>
          <w:rFonts w:eastAsia="Guttman Hodes" w:hint="cs"/>
          <w:rtl/>
        </w:rPr>
        <w:t xml:space="preserve">אות </w:t>
      </w:r>
      <w:r w:rsidRPr="005309B0">
        <w:rPr>
          <w:rStyle w:val="af2"/>
          <w:rFonts w:eastAsia="Guttman Hodes"/>
          <w:rtl/>
        </w:rPr>
        <w:fldChar w:fldCharType="begin"/>
      </w:r>
      <w:r w:rsidRPr="005309B0">
        <w:rPr>
          <w:rStyle w:val="af2"/>
          <w:rFonts w:eastAsia="Guttman Hodes"/>
          <w:rtl/>
        </w:rPr>
        <w:instrText xml:space="preserve"> </w:instrText>
      </w:r>
      <w:r w:rsidRPr="005309B0">
        <w:rPr>
          <w:rStyle w:val="af2"/>
          <w:rFonts w:eastAsia="Guttman Hodes" w:hint="cs"/>
        </w:rPr>
        <w:instrText>REF</w:instrText>
      </w:r>
      <w:r w:rsidRPr="005309B0">
        <w:rPr>
          <w:rStyle w:val="af2"/>
          <w:rFonts w:eastAsia="Guttman Hodes" w:hint="cs"/>
          <w:rtl/>
        </w:rPr>
        <w:instrText xml:space="preserve"> _</w:instrText>
      </w:r>
      <w:r w:rsidRPr="005309B0">
        <w:rPr>
          <w:rStyle w:val="af2"/>
          <w:rFonts w:eastAsia="Guttman Hodes" w:hint="cs"/>
        </w:rPr>
        <w:instrText>Ref145360432 \r \h</w:instrText>
      </w:r>
      <w:r w:rsidRPr="005309B0">
        <w:rPr>
          <w:rStyle w:val="af2"/>
          <w:rFonts w:eastAsia="Guttman Hodes"/>
          <w:rtl/>
        </w:rPr>
        <w:instrText xml:space="preserve"> </w:instrText>
      </w:r>
      <w:r w:rsidRPr="005309B0">
        <w:rPr>
          <w:rStyle w:val="af2"/>
          <w:rFonts w:eastAsia="Guttman Hodes"/>
          <w:rtl/>
        </w:rPr>
      </w:r>
      <w:r w:rsidRPr="005309B0">
        <w:rPr>
          <w:rStyle w:val="af2"/>
          <w:rFonts w:eastAsia="Guttman Hodes"/>
          <w:rtl/>
        </w:rPr>
        <w:fldChar w:fldCharType="separate"/>
      </w:r>
      <w:r w:rsidR="00D82181">
        <w:rPr>
          <w:rStyle w:val="af2"/>
          <w:rFonts w:eastAsia="Guttman Hodes"/>
          <w:cs/>
        </w:rPr>
        <w:t>‎</w:t>
      </w:r>
      <w:r w:rsidR="00D82181">
        <w:rPr>
          <w:rStyle w:val="af2"/>
          <w:rFonts w:eastAsia="Guttman Hodes"/>
          <w:rtl/>
        </w:rPr>
        <w:t>קלו)</w:t>
      </w:r>
      <w:r w:rsidRPr="005309B0">
        <w:rPr>
          <w:rStyle w:val="af2"/>
          <w:rFonts w:eastAsia="Guttman Hodes"/>
          <w:rtl/>
        </w:rPr>
        <w:fldChar w:fldCharType="end"/>
      </w:r>
      <w:r>
        <w:rPr>
          <w:rtl/>
        </w:rPr>
        <w:t xml:space="preserve"> </w:t>
      </w:r>
      <w:r>
        <w:rPr>
          <w:rFonts w:hint="cs"/>
          <w:rtl/>
        </w:rPr>
        <w:t>בשם</w:t>
      </w:r>
      <w:r>
        <w:rPr>
          <w:rtl/>
        </w:rPr>
        <w:t xml:space="preserve"> </w:t>
      </w:r>
      <w:r>
        <w:rPr>
          <w:rFonts w:hint="cs"/>
          <w:b/>
          <w:bCs/>
          <w:rtl/>
        </w:rPr>
        <w:t>י"מ</w:t>
      </w:r>
      <w:r>
        <w:rPr>
          <w:rtl/>
        </w:rPr>
        <w:t xml:space="preserve"> </w:t>
      </w:r>
      <w:r>
        <w:rPr>
          <w:rFonts w:hint="cs"/>
          <w:rtl/>
        </w:rPr>
        <w:t>דאין בנין בכלים ומהדק אסור רק מדרבנן גזירה שמא יתקע ויתחייב משום מכה בפטיש, ולכן רפוי מותר, כתב</w:t>
      </w:r>
      <w:r>
        <w:rPr>
          <w:rtl/>
        </w:rPr>
        <w:t xml:space="preserve"> </w:t>
      </w:r>
      <w:r w:rsidRPr="006B1B53">
        <w:rPr>
          <w:b/>
          <w:bCs/>
          <w:rtl/>
        </w:rPr>
        <w:t>ה</w:t>
      </w:r>
      <w:r w:rsidRPr="006B1B53">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Ref145359642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קלח)</w:t>
      </w:r>
      <w:r>
        <w:rPr>
          <w:b/>
          <w:bCs/>
          <w:vanish/>
          <w:rtl/>
        </w:rPr>
        <w:fldChar w:fldCharType="end"/>
      </w:r>
      <w:r w:rsidRPr="006B1B53">
        <w:rPr>
          <w:b/>
          <w:bCs/>
          <w:vanish/>
          <w:rtl/>
        </w:rPr>
        <w:t xml:space="preserve"> &gt;</w:t>
      </w:r>
      <w:r>
        <w:rPr>
          <w:rFonts w:hint="cs"/>
          <w:b/>
          <w:bCs/>
          <w:rtl/>
        </w:rPr>
        <w:t>אבני נזר</w:t>
      </w:r>
      <w:r w:rsidRPr="006B1B53">
        <w:rPr>
          <w:b/>
          <w:bCs/>
          <w:rtl/>
        </w:rPr>
        <w:t xml:space="preserve"> </w:t>
      </w:r>
      <w:r w:rsidRPr="006B1B53">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סי' רי"א אות א'</w:t>
      </w:r>
      <w:r w:rsidRPr="006B1B53">
        <w:rPr>
          <w:rFonts w:ascii="Calibri" w:eastAsia="Times New Roman" w:hAnsi="Calibri" w:cs="Guttman Rashi"/>
          <w:noProof w:val="0"/>
          <w:sz w:val="10"/>
          <w:szCs w:val="12"/>
          <w:rtl/>
        </w:rPr>
        <w:t>)</w:t>
      </w:r>
      <w:r w:rsidRPr="006B1B53">
        <w:rPr>
          <w:vanish/>
          <w:rtl/>
        </w:rPr>
        <w:t>=</w:t>
      </w:r>
      <w:r>
        <w:rPr>
          <w:rtl/>
        </w:rPr>
        <w:t xml:space="preserve"> </w:t>
      </w:r>
      <w:r>
        <w:rPr>
          <w:rFonts w:hint="cs"/>
          <w:rtl/>
        </w:rPr>
        <w:t>דמבואר מדברי</w:t>
      </w:r>
      <w:r>
        <w:rPr>
          <w:rtl/>
        </w:rPr>
        <w:t xml:space="preserve"> </w:t>
      </w:r>
      <w:r>
        <w:rPr>
          <w:rFonts w:hint="cs"/>
          <w:b/>
          <w:bCs/>
          <w:rtl/>
        </w:rPr>
        <w:t xml:space="preserve">הר"ן </w:t>
      </w:r>
      <w:r>
        <w:rPr>
          <w:rFonts w:hint="cs"/>
          <w:rtl/>
        </w:rPr>
        <w:t>וכן דעת</w:t>
      </w:r>
      <w:r>
        <w:rPr>
          <w:b/>
          <w:bCs/>
          <w:rtl/>
        </w:rPr>
        <w:t xml:space="preserve"> </w:t>
      </w:r>
      <w:r>
        <w:rPr>
          <w:rFonts w:hint="cs"/>
          <w:b/>
          <w:bCs/>
          <w:rtl/>
        </w:rPr>
        <w:t>הרמב"ם</w:t>
      </w:r>
      <w:r>
        <w:rPr>
          <w:b/>
          <w:bCs/>
          <w:rtl/>
        </w:rPr>
        <w:t xml:space="preserve"> </w:t>
      </w:r>
      <w:r>
        <w:rPr>
          <w:rFonts w:hint="cs"/>
          <w:b/>
          <w:bCs/>
          <w:rtl/>
        </w:rPr>
        <w:t>והרשב"א</w:t>
      </w:r>
      <w:r>
        <w:rPr>
          <w:rtl/>
        </w:rPr>
        <w:t xml:space="preserve"> </w:t>
      </w:r>
      <w:r>
        <w:rPr>
          <w:rFonts w:hint="cs"/>
          <w:rtl/>
        </w:rPr>
        <w:t>דיש ג' דרגות, הא' תוקע דהיינו מהדק דחייב חטאת, והב' רפוי ואינו רפוי דפטור אבל אסור, והג' רפוי לגמרי דמותר לכתחילה כרשב"ג, ומהדק היינו כל שלא תקע ביתדות.</w:t>
      </w:r>
    </w:p>
    <w:p w14:paraId="3230178A" w14:textId="77777777" w:rsidR="000F6808" w:rsidRPr="0088513D" w:rsidRDefault="000F6808" w:rsidP="000F6808">
      <w:pPr>
        <w:pStyle w:val="afffffe"/>
        <w:rPr>
          <w:vanish/>
          <w:rtl/>
        </w:rPr>
      </w:pPr>
      <w:r w:rsidRPr="0088513D">
        <w:rPr>
          <w:vanish/>
          <w:rtl/>
        </w:rPr>
        <w:t xml:space="preserve">שו"ת אבני </w:t>
      </w:r>
      <w:r w:rsidRPr="0088513D">
        <w:rPr>
          <w:rFonts w:hint="cs"/>
          <w:vanish/>
          <w:rtl/>
        </w:rPr>
        <w:t>או"ח סי'</w:t>
      </w:r>
      <w:r w:rsidRPr="0088513D">
        <w:rPr>
          <w:vanish/>
          <w:rtl/>
        </w:rPr>
        <w:t xml:space="preserve"> רי</w:t>
      </w:r>
      <w:r w:rsidRPr="0088513D">
        <w:rPr>
          <w:rFonts w:hint="cs"/>
          <w:vanish/>
          <w:rtl/>
        </w:rPr>
        <w:t>"</w:t>
      </w:r>
      <w:r w:rsidRPr="0088513D">
        <w:rPr>
          <w:vanish/>
          <w:rtl/>
        </w:rPr>
        <w:t>א</w:t>
      </w:r>
      <w:r w:rsidRPr="0088513D">
        <w:rPr>
          <w:rFonts w:hint="cs"/>
          <w:vanish/>
          <w:rtl/>
        </w:rPr>
        <w:t xml:space="preserve"> אות א</w:t>
      </w:r>
    </w:p>
    <w:p w14:paraId="7A03CE4A" w14:textId="77777777" w:rsidR="000F6808" w:rsidRPr="00111645" w:rsidRDefault="000F6808" w:rsidP="000F6808">
      <w:pPr>
        <w:pStyle w:val="a2"/>
        <w:rPr>
          <w:rtl/>
        </w:rPr>
      </w:pPr>
      <w:r w:rsidRPr="00111645">
        <w:rPr>
          <w:rtl/>
        </w:rPr>
        <w:t xml:space="preserve">[מיהו דעת רמב"ם ורשב"א ג' חילוקים יש. מיהדק חייב חטאת. רפוי לגמרי מותר לכתחילה. רפוי ואינו רפוי פטור אבל אסור]. אלא ודאי הכא במיהדק אלא כיון שלא קבעו ביתדות פטור אבל אסור. וכמו שכתב הר"ן סוף פרק כירה בשם איכא מאן דאמר דשלשה חילוקים יש. רפוי מותר לכתחילה. מיהדק פטור אבל אסור. תקע חייב חטאת. ועל כורחין תקע היינו ביתדות. דאם לא כן היינו מיהדק. וכתב שם שכן דעת הרי"ף. וכן נראה ממה שפרש"י ריש פרק הבונה [קב ע"ב] בהא דעייל שופתא בקופינא דמרא חייב. שופתא יתד קטן שתוחבין בתוך בית יד של מרא בהיותו בנקב הברזל. ובסוף פרק כל הגט [לב ע"א] בהא דשופתא בקופינא דמרא רפיא פרש"י שופתא בית יד. וכאן פרש"י שופתא יתד. משום דסבירא לי' דבתחיבת הבית יד לתוך החור לחוד לא מחייב כנ"ל. ולא מחייב אלא אם חיברו ביתד: </w:t>
      </w:r>
    </w:p>
    <w:p w14:paraId="7F0DDFD2" w14:textId="77777777" w:rsidR="000F6808" w:rsidRDefault="000F6808" w:rsidP="000F6808">
      <w:pPr>
        <w:pStyle w:val="a7"/>
      </w:pPr>
      <w:bookmarkStart w:id="6063" w:name="_Toc145487116"/>
      <w:r>
        <w:rPr>
          <w:rFonts w:hint="cs"/>
          <w:rtl/>
        </w:rPr>
        <w:t>בי' האבנ"ז ברש"י דתוקע דחייב הוא רק ביתדות ובתוקע בלא יתדות אף דמהדק פטור אבל אסור</w:t>
      </w:r>
      <w:bookmarkEnd w:id="6063"/>
      <w:r>
        <w:rPr>
          <w:rFonts w:hint="cs"/>
          <w:rtl/>
        </w:rPr>
        <w:t xml:space="preserve"> </w:t>
      </w:r>
    </w:p>
    <w:p w14:paraId="52506DB4" w14:textId="711107C2" w:rsidR="000F6808" w:rsidRPr="006B1B53" w:rsidRDefault="000F6808" w:rsidP="000F6808">
      <w:pPr>
        <w:pStyle w:val="a3"/>
        <w:rPr>
          <w:rtl/>
        </w:rPr>
      </w:pPr>
      <w:bookmarkStart w:id="6064" w:name="_Ref145441587"/>
      <w:r>
        <w:rPr>
          <w:rFonts w:hint="cs"/>
          <w:rtl/>
        </w:rPr>
        <w:t>והביא</w:t>
      </w:r>
      <w:r>
        <w:rPr>
          <w:rtl/>
        </w:rPr>
        <w:t xml:space="preserve"> </w:t>
      </w:r>
      <w:r>
        <w:rPr>
          <w:rFonts w:hint="cs"/>
          <w:b/>
          <w:bCs/>
          <w:rtl/>
        </w:rPr>
        <w:t xml:space="preserve">האבני נזר </w:t>
      </w:r>
      <w:r w:rsidRPr="002B2E06">
        <w:rPr>
          <w:rFonts w:hint="cs"/>
          <w:rtl/>
        </w:rPr>
        <w:t>את</w:t>
      </w:r>
      <w:r>
        <w:rPr>
          <w:rFonts w:hint="cs"/>
          <w:b/>
          <w:bCs/>
          <w:rtl/>
        </w:rPr>
        <w:t xml:space="preserve"> </w:t>
      </w:r>
      <w:r w:rsidRPr="002B2E06">
        <w:rPr>
          <w:rFonts w:hint="cs"/>
          <w:rtl/>
        </w:rPr>
        <w:t>דברי</w:t>
      </w:r>
      <w:r>
        <w:rPr>
          <w:b/>
          <w:bCs/>
          <w:rtl/>
        </w:rPr>
        <w:t xml:space="preserve"> </w:t>
      </w:r>
      <w:r>
        <w:rPr>
          <w:rFonts w:hint="cs"/>
          <w:b/>
          <w:bCs/>
          <w:rtl/>
        </w:rPr>
        <w:t>רש"י לעיל</w:t>
      </w:r>
      <w:r>
        <w:rPr>
          <w:b/>
          <w:bCs/>
          <w:rtl/>
        </w:rPr>
        <w:t xml:space="preserve"> </w:t>
      </w:r>
      <w:r>
        <w:rPr>
          <w:rFonts w:ascii="Calibri" w:eastAsia="Times New Roman" w:hAnsi="Calibri" w:cs="Guttman Rashi" w:hint="cs"/>
          <w:noProof w:val="0"/>
          <w:sz w:val="10"/>
          <w:szCs w:val="12"/>
          <w:rtl/>
        </w:rPr>
        <w:t xml:space="preserve">(עי' 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hint="cs"/>
          <w:noProof w:val="0"/>
          <w:sz w:val="10"/>
          <w:szCs w:val="12"/>
        </w:rPr>
        <w:instrText>REF</w:instrText>
      </w:r>
      <w:r>
        <w:rPr>
          <w:rFonts w:ascii="Calibri" w:eastAsia="Times New Roman" w:hAnsi="Calibri" w:cs="Guttman Rashi" w:hint="cs"/>
          <w:noProof w:val="0"/>
          <w:sz w:val="10"/>
          <w:szCs w:val="12"/>
          <w:rtl/>
        </w:rPr>
        <w:instrText xml:space="preserve"> _</w:instrText>
      </w:r>
      <w:r>
        <w:rPr>
          <w:rFonts w:ascii="Calibri" w:eastAsia="Times New Roman" w:hAnsi="Calibri" w:cs="Guttman Rashi" w:hint="cs"/>
          <w:noProof w:val="0"/>
          <w:sz w:val="10"/>
          <w:szCs w:val="12"/>
        </w:rPr>
        <w:instrText>Ref145441303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קיג)</w:t>
      </w:r>
      <w:r>
        <w:rPr>
          <w:rFonts w:ascii="Calibri" w:eastAsia="Times New Roman" w:hAnsi="Calibri" w:cs="Guttman Rashi"/>
          <w:noProof w:val="0"/>
          <w:sz w:val="10"/>
          <w:szCs w:val="12"/>
          <w:rtl/>
        </w:rPr>
        <w:fldChar w:fldCharType="end"/>
      </w:r>
      <w:r>
        <w:rPr>
          <w:rFonts w:ascii="Calibri" w:eastAsia="Times New Roman" w:hAnsi="Calibri" w:cs="Guttman Rashi" w:hint="cs"/>
          <w:noProof w:val="0"/>
          <w:sz w:val="10"/>
          <w:szCs w:val="12"/>
          <w:rtl/>
        </w:rPr>
        <w:t xml:space="preserve"> </w:t>
      </w:r>
      <w:r>
        <w:rPr>
          <w:rFonts w:hint="cs"/>
          <w:rtl/>
        </w:rPr>
        <w:t>דכתב דהחיוב בתקיעה היינו תקיעה בחוזק ע"י יתדות, וביאר</w:t>
      </w:r>
      <w:r>
        <w:rPr>
          <w:rtl/>
        </w:rPr>
        <w:t xml:space="preserve"> </w:t>
      </w:r>
      <w:r>
        <w:rPr>
          <w:rFonts w:hint="cs"/>
          <w:b/>
          <w:bCs/>
          <w:rtl/>
        </w:rPr>
        <w:t>האבני נזר</w:t>
      </w:r>
      <w:r>
        <w:rPr>
          <w:rtl/>
        </w:rPr>
        <w:t xml:space="preserve"> </w:t>
      </w:r>
      <w:r>
        <w:rPr>
          <w:rFonts w:hint="cs"/>
          <w:rtl/>
        </w:rPr>
        <w:t>דס"ל</w:t>
      </w:r>
      <w:r>
        <w:rPr>
          <w:rtl/>
        </w:rPr>
        <w:t xml:space="preserve"> </w:t>
      </w:r>
      <w:r>
        <w:rPr>
          <w:rFonts w:hint="cs"/>
          <w:b/>
          <w:bCs/>
          <w:rtl/>
        </w:rPr>
        <w:t>לרש"י</w:t>
      </w:r>
      <w:r>
        <w:rPr>
          <w:rtl/>
        </w:rPr>
        <w:t xml:space="preserve"> </w:t>
      </w:r>
      <w:r>
        <w:rPr>
          <w:rFonts w:hint="cs"/>
          <w:rtl/>
        </w:rPr>
        <w:t>דחיוב חטאת הוא בתוקע ביתדות, ובתוקע שלא ביתדות הוא פטור אבל אסור,</w:t>
      </w:r>
      <w:r>
        <w:rPr>
          <w:rtl/>
        </w:rPr>
        <w:t xml:space="preserve"> </w:t>
      </w:r>
      <w:bookmarkEnd w:id="6061"/>
      <w:r>
        <w:rPr>
          <w:rFonts w:hint="cs"/>
          <w:rtl/>
        </w:rPr>
        <w:t>דאי אמרינן דאף בתוקע שלא ביתדות דהיינו מהדק חייב, א"כ ברפוי צריך להיות פטור אבל אסור, והא קיי"ל כרשב"ג, ועיי"ש במה שהוכיח כן</w:t>
      </w:r>
      <w:r>
        <w:rPr>
          <w:rtl/>
        </w:rPr>
        <w:t xml:space="preserve"> </w:t>
      </w:r>
      <w:r>
        <w:rPr>
          <w:rFonts w:hint="cs"/>
          <w:b/>
          <w:bCs/>
          <w:rtl/>
        </w:rPr>
        <w:t>האבני נזר בדעת</w:t>
      </w:r>
      <w:r>
        <w:rPr>
          <w:b/>
          <w:bCs/>
          <w:rtl/>
        </w:rPr>
        <w:t xml:space="preserve"> </w:t>
      </w:r>
      <w:r>
        <w:rPr>
          <w:rFonts w:hint="cs"/>
          <w:b/>
          <w:bCs/>
          <w:rtl/>
        </w:rPr>
        <w:t>רש"י.</w:t>
      </w:r>
      <w:bookmarkEnd w:id="6062"/>
      <w:bookmarkEnd w:id="6064"/>
      <w:r>
        <w:rPr>
          <w:b/>
          <w:bCs/>
          <w:rtl/>
        </w:rPr>
        <w:t xml:space="preserve"> </w:t>
      </w:r>
    </w:p>
    <w:p w14:paraId="728D7A50" w14:textId="77777777" w:rsidR="000F6808" w:rsidRDefault="000F6808" w:rsidP="000F6808">
      <w:pPr>
        <w:pStyle w:val="a2"/>
      </w:pPr>
      <w:r w:rsidRPr="00111645">
        <w:rPr>
          <w:rtl/>
        </w:rPr>
        <w:t>א) בסוף פרק כירה (דף מ"ז ע"א) מלבנות המטה כו' לא יתקע ואם תקע חייב חטאת. ובריש כל הכלים (דף קכ"ב ע"ב) דלת של שידה תיבה ומגדל נוטלין ולא מחזירין. נוטלין דאין סתירה בכלים. ולא מחזירין אף דאין בנין בכלים גזירה שמא יתקע. ובריש פרק תולין (דף קל"ח ע"א) כסא גלין לא יעשה ואם עשה פטור אבל אסור. פרש"י דהיינו מטה גללניתא דאסור גזירה שמא יתקע בחוזק. ובסוף פרק כירה פרש"י ולא יתקע. בחוזק על ידי יתדות. ונראה דהא דפרש"י בפרק תולין יתקע בחוזק. כוונתו גם כן על ידי יתדות. וכמו שפרש"י פרק כירה. דאי אמרת דכשתוחב בחוזק לבד חייב חטאת. אם כן הא דפטור אבל אסור על כורחין ברפוי. והא קיימא לן כר' שמעון בן גמליאל אם הי' רפוי מותר</w:t>
      </w:r>
      <w:r>
        <w:rPr>
          <w:rFonts w:hint="cs"/>
          <w:rtl/>
        </w:rPr>
        <w:t>.</w:t>
      </w:r>
    </w:p>
    <w:p w14:paraId="389A4CCB" w14:textId="77777777" w:rsidR="000F6808" w:rsidRDefault="000F6808" w:rsidP="000F6808">
      <w:pPr>
        <w:pStyle w:val="afffff7"/>
        <w:rPr>
          <w:rtl/>
        </w:rPr>
      </w:pPr>
      <w:bookmarkStart w:id="6065" w:name="_Toc145500843"/>
      <w:bookmarkStart w:id="6066" w:name="_Toc163506383"/>
      <w:r w:rsidRPr="005C0BD5">
        <w:rPr>
          <w:rtl/>
        </w:rPr>
        <w:t xml:space="preserve">שו"ת אבני נזר </w:t>
      </w:r>
      <w:r w:rsidRPr="005C0BD5">
        <w:rPr>
          <w:rFonts w:hint="cs"/>
          <w:rtl/>
        </w:rPr>
        <w:t>או"ח סי'</w:t>
      </w:r>
      <w:r w:rsidRPr="005C0BD5">
        <w:rPr>
          <w:rtl/>
        </w:rPr>
        <w:t xml:space="preserve"> רי</w:t>
      </w:r>
      <w:r w:rsidRPr="005C0BD5">
        <w:rPr>
          <w:rFonts w:hint="cs"/>
          <w:rtl/>
        </w:rPr>
        <w:t>"</w:t>
      </w:r>
      <w:r w:rsidRPr="005C0BD5">
        <w:rPr>
          <w:rtl/>
        </w:rPr>
        <w:t>א</w:t>
      </w:r>
      <w:r w:rsidRPr="005C0BD5">
        <w:rPr>
          <w:rFonts w:hint="cs"/>
          <w:rtl/>
        </w:rPr>
        <w:t xml:space="preserve"> אות </w:t>
      </w:r>
      <w:r>
        <w:rPr>
          <w:rFonts w:hint="cs"/>
          <w:rtl/>
        </w:rPr>
        <w:t>ז</w:t>
      </w:r>
      <w:r w:rsidRPr="005C0BD5">
        <w:rPr>
          <w:rFonts w:hint="cs"/>
          <w:rtl/>
        </w:rPr>
        <w:t>'</w:t>
      </w:r>
      <w:bookmarkEnd w:id="6065"/>
      <w:bookmarkEnd w:id="6066"/>
    </w:p>
    <w:p w14:paraId="1280D9CC" w14:textId="77777777" w:rsidR="000F6808" w:rsidRDefault="000F6808" w:rsidP="000F6808">
      <w:pPr>
        <w:pStyle w:val="afffff7"/>
        <w:rPr>
          <w:rtl/>
        </w:rPr>
      </w:pPr>
      <w:bookmarkStart w:id="6067" w:name="_Toc145500844"/>
      <w:bookmarkStart w:id="6068" w:name="_Toc163506384"/>
      <w:r w:rsidRPr="00B765A9">
        <w:rPr>
          <w:rtl/>
        </w:rPr>
        <w:t>שו"ת אבני נזר או"ח סי' רי"א אות ב'</w:t>
      </w:r>
      <w:bookmarkEnd w:id="6067"/>
      <w:bookmarkEnd w:id="6068"/>
    </w:p>
    <w:p w14:paraId="7430169C" w14:textId="77777777" w:rsidR="000F6808" w:rsidRDefault="000F6808" w:rsidP="000F6808">
      <w:pPr>
        <w:pStyle w:val="a7"/>
        <w:rPr>
          <w:rtl/>
        </w:rPr>
      </w:pPr>
      <w:bookmarkStart w:id="6069" w:name="_Toc145487117"/>
      <w:r>
        <w:rPr>
          <w:rFonts w:hint="cs"/>
          <w:rtl/>
        </w:rPr>
        <w:t>בי' האבנ"ז ברשב"א בעבוה"ק דמהדק חייב כתוקע ורפוי ואינו רפוי מדרבנן ורפוי לגמרי מותר</w:t>
      </w:r>
      <w:bookmarkEnd w:id="6069"/>
    </w:p>
    <w:p w14:paraId="73E06504" w14:textId="1FEF82E9" w:rsidR="000F6808" w:rsidRDefault="000F6808" w:rsidP="000F6808">
      <w:pPr>
        <w:pStyle w:val="a3"/>
        <w:rPr>
          <w:rtl/>
        </w:rPr>
      </w:pPr>
      <w:bookmarkStart w:id="6070" w:name="_Ref145369089"/>
      <w:r>
        <w:rPr>
          <w:rFonts w:hint="cs"/>
          <w:rtl/>
        </w:rPr>
        <w:t>אך כתב</w:t>
      </w:r>
      <w:r>
        <w:rPr>
          <w:rtl/>
        </w:rPr>
        <w:t xml:space="preserve"> </w:t>
      </w:r>
      <w:r w:rsidRPr="00040BD6">
        <w:rPr>
          <w:b/>
          <w:bCs/>
          <w:rtl/>
        </w:rPr>
        <w:t>ה</w:t>
      </w:r>
      <w:r w:rsidRPr="00040BD6">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Ref145369089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קמ)</w:t>
      </w:r>
      <w:r>
        <w:rPr>
          <w:b/>
          <w:bCs/>
          <w:vanish/>
          <w:rtl/>
        </w:rPr>
        <w:fldChar w:fldCharType="end"/>
      </w:r>
      <w:r w:rsidRPr="00040BD6">
        <w:rPr>
          <w:b/>
          <w:bCs/>
          <w:vanish/>
          <w:rtl/>
        </w:rPr>
        <w:t xml:space="preserve"> &gt;</w:t>
      </w:r>
      <w:r>
        <w:rPr>
          <w:rFonts w:hint="cs"/>
          <w:b/>
          <w:bCs/>
          <w:rtl/>
        </w:rPr>
        <w:t>אבני נזר</w:t>
      </w:r>
      <w:r w:rsidRPr="00040BD6">
        <w:rPr>
          <w:b/>
          <w:bCs/>
          <w:rtl/>
        </w:rPr>
        <w:t xml:space="preserve"> </w:t>
      </w:r>
      <w:r w:rsidRPr="00040BD6">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סי' רי"א אות ז'</w:t>
      </w:r>
      <w:r w:rsidRPr="00040BD6">
        <w:rPr>
          <w:rFonts w:ascii="Calibri" w:eastAsia="Times New Roman" w:hAnsi="Calibri" w:cs="Guttman Rashi"/>
          <w:noProof w:val="0"/>
          <w:sz w:val="10"/>
          <w:szCs w:val="12"/>
          <w:rtl/>
        </w:rPr>
        <w:t>)</w:t>
      </w:r>
      <w:r w:rsidRPr="00040BD6">
        <w:rPr>
          <w:vanish/>
          <w:rtl/>
        </w:rPr>
        <w:t>=</w:t>
      </w:r>
      <w:r>
        <w:rPr>
          <w:rtl/>
        </w:rPr>
        <w:t xml:space="preserve"> </w:t>
      </w:r>
      <w:r>
        <w:rPr>
          <w:rFonts w:hint="cs"/>
          <w:rtl/>
        </w:rPr>
        <w:t>דמדברי</w:t>
      </w:r>
      <w:r>
        <w:rPr>
          <w:rtl/>
        </w:rPr>
        <w:t xml:space="preserve"> </w:t>
      </w:r>
      <w:r>
        <w:rPr>
          <w:rFonts w:hint="cs"/>
          <w:b/>
          <w:bCs/>
          <w:rtl/>
        </w:rPr>
        <w:t>הרשב"א בעבודת הקודש</w:t>
      </w:r>
      <w:r>
        <w:rPr>
          <w:rtl/>
        </w:rPr>
        <w:t xml:space="preserve"> </w:t>
      </w:r>
      <w:r w:rsidRPr="00887228">
        <w:rPr>
          <w:rFonts w:ascii="Calibri" w:eastAsia="Times New Roman" w:hAnsi="Calibri" w:cs="Guttman Rashi"/>
          <w:noProof w:val="0"/>
          <w:sz w:val="10"/>
          <w:szCs w:val="12"/>
          <w:rtl/>
        </w:rPr>
        <w:t xml:space="preserve">(עי' </w:t>
      </w:r>
      <w:r w:rsidRPr="00887228">
        <w:rPr>
          <w:rStyle w:val="af2"/>
          <w:rFonts w:eastAsia="Guttman Hodes"/>
          <w:rtl/>
        </w:rPr>
        <w:t xml:space="preserve">אות </w:t>
      </w:r>
      <w:r w:rsidRPr="00887228">
        <w:rPr>
          <w:rStyle w:val="af2"/>
          <w:rFonts w:eastAsia="Guttman Hodes"/>
          <w:rtl/>
        </w:rPr>
        <w:fldChar w:fldCharType="begin"/>
      </w:r>
      <w:r w:rsidRPr="00887228">
        <w:rPr>
          <w:rStyle w:val="af2"/>
          <w:rFonts w:eastAsia="Guttman Hodes"/>
          <w:rtl/>
        </w:rPr>
        <w:instrText xml:space="preserve"> </w:instrText>
      </w:r>
      <w:r w:rsidRPr="00887228">
        <w:rPr>
          <w:rStyle w:val="af2"/>
          <w:rFonts w:eastAsia="Guttman Hodes"/>
        </w:rPr>
        <w:instrText>REF</w:instrText>
      </w:r>
      <w:r w:rsidRPr="00887228">
        <w:rPr>
          <w:rStyle w:val="af2"/>
          <w:rFonts w:eastAsia="Guttman Hodes"/>
          <w:rtl/>
        </w:rPr>
        <w:instrText xml:space="preserve"> _</w:instrText>
      </w:r>
      <w:r w:rsidRPr="00887228">
        <w:rPr>
          <w:rStyle w:val="af2"/>
          <w:rFonts w:eastAsia="Guttman Hodes"/>
        </w:rPr>
        <w:instrText>Ref145362063 \r \h</w:instrText>
      </w:r>
      <w:r w:rsidRPr="00887228">
        <w:rPr>
          <w:rStyle w:val="af2"/>
          <w:rFonts w:eastAsia="Guttman Hodes"/>
          <w:rtl/>
        </w:rPr>
        <w:instrText xml:space="preserve"> </w:instrText>
      </w:r>
      <w:r w:rsidRPr="00887228">
        <w:rPr>
          <w:rStyle w:val="af2"/>
          <w:rFonts w:eastAsia="Guttman Hodes"/>
          <w:rtl/>
        </w:rPr>
      </w:r>
      <w:r w:rsidRPr="00887228">
        <w:rPr>
          <w:rStyle w:val="af2"/>
          <w:rFonts w:eastAsia="Guttman Hodes"/>
          <w:rtl/>
        </w:rPr>
        <w:fldChar w:fldCharType="separate"/>
      </w:r>
      <w:r w:rsidR="00D82181">
        <w:rPr>
          <w:rStyle w:val="af2"/>
          <w:rFonts w:eastAsia="Guttman Hodes"/>
          <w:cs/>
        </w:rPr>
        <w:t>‎</w:t>
      </w:r>
      <w:r w:rsidR="00D82181">
        <w:rPr>
          <w:rStyle w:val="af2"/>
          <w:rFonts w:eastAsia="Guttman Hodes"/>
          <w:rtl/>
        </w:rPr>
        <w:t>קכז)</w:t>
      </w:r>
      <w:r w:rsidRPr="00887228">
        <w:rPr>
          <w:rStyle w:val="af2"/>
          <w:rFonts w:eastAsia="Guttman Hodes"/>
          <w:rtl/>
        </w:rPr>
        <w:fldChar w:fldCharType="end"/>
      </w:r>
      <w:r>
        <w:rPr>
          <w:rtl/>
        </w:rPr>
        <w:t xml:space="preserve"> </w:t>
      </w:r>
      <w:r>
        <w:rPr>
          <w:rFonts w:hint="cs"/>
          <w:rtl/>
        </w:rPr>
        <w:t xml:space="preserve">מבואר דס"ל דבמהדק אסור מדאו', ורפוי ואינו רפוי </w:t>
      </w:r>
      <w:r>
        <w:rPr>
          <w:rFonts w:hint="cs"/>
          <w:rtl/>
        </w:rPr>
        <w:t>בשבת אסור מדרבנן וביו"ט, וברפוי לגמרי מותר לכתחילה, ודלא</w:t>
      </w:r>
      <w:r>
        <w:rPr>
          <w:rtl/>
        </w:rPr>
        <w:t xml:space="preserve"> </w:t>
      </w:r>
      <w:r>
        <w:rPr>
          <w:rFonts w:hint="cs"/>
          <w:b/>
          <w:bCs/>
          <w:rtl/>
        </w:rPr>
        <w:t>כהר"ן</w:t>
      </w:r>
      <w:r>
        <w:rPr>
          <w:rtl/>
        </w:rPr>
        <w:t xml:space="preserve"> </w:t>
      </w:r>
      <w:r w:rsidRPr="00A12B9C">
        <w:rPr>
          <w:rFonts w:ascii="Calibri" w:eastAsia="Times New Roman" w:hAnsi="Calibri" w:cs="Guttman Rashi"/>
          <w:noProof w:val="0"/>
          <w:sz w:val="10"/>
          <w:szCs w:val="12"/>
          <w:rtl/>
        </w:rPr>
        <w:t xml:space="preserve">(עי' </w:t>
      </w:r>
      <w:r w:rsidRPr="005309B0">
        <w:rPr>
          <w:rStyle w:val="af2"/>
          <w:rFonts w:eastAsia="Guttman Hodes" w:hint="cs"/>
          <w:rtl/>
        </w:rPr>
        <w:t xml:space="preserve">אות </w:t>
      </w:r>
      <w:r w:rsidRPr="005309B0">
        <w:rPr>
          <w:rStyle w:val="af2"/>
          <w:rFonts w:eastAsia="Guttman Hodes"/>
          <w:rtl/>
        </w:rPr>
        <w:fldChar w:fldCharType="begin"/>
      </w:r>
      <w:r w:rsidRPr="005309B0">
        <w:rPr>
          <w:rStyle w:val="af2"/>
          <w:rFonts w:eastAsia="Guttman Hodes"/>
          <w:rtl/>
        </w:rPr>
        <w:instrText xml:space="preserve"> </w:instrText>
      </w:r>
      <w:r w:rsidRPr="005309B0">
        <w:rPr>
          <w:rStyle w:val="af2"/>
          <w:rFonts w:eastAsia="Guttman Hodes" w:hint="cs"/>
        </w:rPr>
        <w:instrText>REF</w:instrText>
      </w:r>
      <w:r w:rsidRPr="005309B0">
        <w:rPr>
          <w:rStyle w:val="af2"/>
          <w:rFonts w:eastAsia="Guttman Hodes" w:hint="cs"/>
          <w:rtl/>
        </w:rPr>
        <w:instrText xml:space="preserve"> _</w:instrText>
      </w:r>
      <w:r w:rsidRPr="005309B0">
        <w:rPr>
          <w:rStyle w:val="af2"/>
          <w:rFonts w:eastAsia="Guttman Hodes" w:hint="cs"/>
        </w:rPr>
        <w:instrText>Ref145360432 \r \h</w:instrText>
      </w:r>
      <w:r w:rsidRPr="005309B0">
        <w:rPr>
          <w:rStyle w:val="af2"/>
          <w:rFonts w:eastAsia="Guttman Hodes"/>
          <w:rtl/>
        </w:rPr>
        <w:instrText xml:space="preserve"> </w:instrText>
      </w:r>
      <w:r w:rsidRPr="005309B0">
        <w:rPr>
          <w:rStyle w:val="af2"/>
          <w:rFonts w:eastAsia="Guttman Hodes"/>
          <w:rtl/>
        </w:rPr>
      </w:r>
      <w:r w:rsidRPr="005309B0">
        <w:rPr>
          <w:rStyle w:val="af2"/>
          <w:rFonts w:eastAsia="Guttman Hodes"/>
          <w:rtl/>
        </w:rPr>
        <w:fldChar w:fldCharType="separate"/>
      </w:r>
      <w:r w:rsidR="00D82181">
        <w:rPr>
          <w:rStyle w:val="af2"/>
          <w:rFonts w:eastAsia="Guttman Hodes"/>
          <w:cs/>
        </w:rPr>
        <w:t>‎</w:t>
      </w:r>
      <w:r w:rsidR="00D82181">
        <w:rPr>
          <w:rStyle w:val="af2"/>
          <w:rFonts w:eastAsia="Guttman Hodes"/>
          <w:rtl/>
        </w:rPr>
        <w:t>קלו)</w:t>
      </w:r>
      <w:r w:rsidRPr="005309B0">
        <w:rPr>
          <w:rStyle w:val="af2"/>
          <w:rFonts w:eastAsia="Guttman Hodes"/>
          <w:rtl/>
        </w:rPr>
        <w:fldChar w:fldCharType="end"/>
      </w:r>
      <w:r>
        <w:rPr>
          <w:rFonts w:hint="cs"/>
          <w:rtl/>
        </w:rPr>
        <w:t xml:space="preserve"> דס"ל דבמהדק אסור רק מדרבנן.</w:t>
      </w:r>
    </w:p>
    <w:p w14:paraId="02903E85" w14:textId="77777777" w:rsidR="000F6808" w:rsidRPr="0088513D" w:rsidRDefault="000F6808" w:rsidP="000F6808">
      <w:pPr>
        <w:pStyle w:val="afffffe"/>
        <w:rPr>
          <w:vanish/>
          <w:rtl/>
        </w:rPr>
      </w:pPr>
      <w:r w:rsidRPr="0088513D">
        <w:rPr>
          <w:vanish/>
          <w:rtl/>
        </w:rPr>
        <w:t xml:space="preserve">שו"ת אבני נזר </w:t>
      </w:r>
      <w:r w:rsidRPr="0088513D">
        <w:rPr>
          <w:rFonts w:hint="cs"/>
          <w:vanish/>
          <w:rtl/>
        </w:rPr>
        <w:t>או"ח סי'</w:t>
      </w:r>
      <w:r w:rsidRPr="0088513D">
        <w:rPr>
          <w:vanish/>
          <w:rtl/>
        </w:rPr>
        <w:t xml:space="preserve"> רי</w:t>
      </w:r>
      <w:r w:rsidRPr="0088513D">
        <w:rPr>
          <w:rFonts w:hint="cs"/>
          <w:vanish/>
          <w:rtl/>
        </w:rPr>
        <w:t>"</w:t>
      </w:r>
      <w:r w:rsidRPr="0088513D">
        <w:rPr>
          <w:vanish/>
          <w:rtl/>
        </w:rPr>
        <w:t>א</w:t>
      </w:r>
      <w:r w:rsidRPr="0088513D">
        <w:rPr>
          <w:rFonts w:hint="cs"/>
          <w:vanish/>
          <w:rtl/>
        </w:rPr>
        <w:t xml:space="preserve"> אות ז'</w:t>
      </w:r>
    </w:p>
    <w:p w14:paraId="72BB35BA" w14:textId="77777777" w:rsidR="000F6808" w:rsidRDefault="000F6808" w:rsidP="000F6808">
      <w:pPr>
        <w:pStyle w:val="a2"/>
      </w:pPr>
      <w:r w:rsidRPr="00111645">
        <w:rPr>
          <w:rtl/>
        </w:rPr>
        <w:t>ז) והרשב"א בעבודת הקודש דיני אפי' ושחיטה שער ג' אות ג' ובפרק קמא דביצה [י ע"א] דעתו גם כן דג' חילוקים בדבר. אלא שהוא ז"ל כתב מיהדק אסור מן התורה. רפוי מותר לכתחילה. רפוי ואינו רפוי אסור מדרבנן בשבת. וביום טוב מותר. וזה שלא כדעת הר"ן דסבירא לי' מיהדק אסור מדרבנן</w:t>
      </w:r>
      <w:r>
        <w:rPr>
          <w:rFonts w:hint="cs"/>
          <w:rtl/>
        </w:rPr>
        <w:t>.</w:t>
      </w:r>
    </w:p>
    <w:p w14:paraId="1309105E" w14:textId="77777777" w:rsidR="000F6808" w:rsidRPr="0026096D" w:rsidRDefault="000F6808" w:rsidP="000F6808">
      <w:pPr>
        <w:pStyle w:val="a7"/>
      </w:pPr>
      <w:bookmarkStart w:id="6071" w:name="_Toc145487118"/>
      <w:r>
        <w:rPr>
          <w:rFonts w:hint="cs"/>
          <w:rtl/>
        </w:rPr>
        <w:t>בי' האבנ"ז דלרשב"א תוקע היינו אף מהדק בחוזק בלא יתדות ונח' רש"י והרשב"א בבי' הירוש'</w:t>
      </w:r>
      <w:bookmarkEnd w:id="6071"/>
    </w:p>
    <w:p w14:paraId="5DC5B100" w14:textId="757939A6" w:rsidR="000F6808" w:rsidRPr="00040BD6" w:rsidRDefault="000F6808" w:rsidP="000F6808">
      <w:pPr>
        <w:pStyle w:val="a3"/>
        <w:rPr>
          <w:rtl/>
        </w:rPr>
      </w:pPr>
      <w:r>
        <w:rPr>
          <w:rFonts w:hint="cs"/>
          <w:rtl/>
        </w:rPr>
        <w:t>וביאר</w:t>
      </w:r>
      <w:r>
        <w:rPr>
          <w:rtl/>
        </w:rPr>
        <w:t xml:space="preserve"> </w:t>
      </w:r>
      <w:r>
        <w:rPr>
          <w:rFonts w:hint="cs"/>
          <w:b/>
          <w:bCs/>
          <w:rtl/>
        </w:rPr>
        <w:t>האבני נזר</w:t>
      </w:r>
      <w:r>
        <w:rPr>
          <w:rFonts w:hint="cs"/>
          <w:rtl/>
        </w:rPr>
        <w:t xml:space="preserve"> דס"ל</w:t>
      </w:r>
      <w:r>
        <w:rPr>
          <w:rtl/>
        </w:rPr>
        <w:t xml:space="preserve"> </w:t>
      </w:r>
      <w:r>
        <w:rPr>
          <w:rFonts w:hint="cs"/>
          <w:b/>
          <w:bCs/>
          <w:rtl/>
        </w:rPr>
        <w:t>להרשב"א</w:t>
      </w:r>
      <w:r>
        <w:rPr>
          <w:rtl/>
        </w:rPr>
        <w:t xml:space="preserve"> </w:t>
      </w:r>
      <w:r>
        <w:rPr>
          <w:rFonts w:hint="cs"/>
          <w:rtl/>
        </w:rPr>
        <w:t>דתוקע אינו דוקא ביתדות, אלא אף מהדק דהוא תוקע בלא יתדות חשיב תוקע, ועיי"ש במה שביאר</w:t>
      </w:r>
      <w:r>
        <w:rPr>
          <w:rtl/>
        </w:rPr>
        <w:t xml:space="preserve"> </w:t>
      </w:r>
      <w:r>
        <w:rPr>
          <w:rFonts w:hint="cs"/>
          <w:b/>
          <w:bCs/>
          <w:rtl/>
        </w:rPr>
        <w:t>האבני נזר דהר"ן</w:t>
      </w:r>
      <w:r>
        <w:rPr>
          <w:rStyle w:val="af2"/>
          <w:rFonts w:eastAsia="Guttman Hodes" w:hint="cs"/>
          <w:rtl/>
        </w:rPr>
        <w:t xml:space="preserve"> </w:t>
      </w:r>
      <w:r>
        <w:rPr>
          <w:rFonts w:hint="cs"/>
          <w:rtl/>
        </w:rPr>
        <w:t>ס"ל</w:t>
      </w:r>
      <w:r>
        <w:rPr>
          <w:rtl/>
        </w:rPr>
        <w:t xml:space="preserve"> </w:t>
      </w:r>
      <w:r>
        <w:rPr>
          <w:rFonts w:hint="cs"/>
          <w:b/>
          <w:bCs/>
          <w:rtl/>
        </w:rPr>
        <w:t>כרש"י</w:t>
      </w:r>
      <w:r>
        <w:rPr>
          <w:rFonts w:ascii="Calibri" w:eastAsia="Times New Roman" w:hAnsi="Calibri" w:cs="Guttman Rashi" w:hint="cs"/>
          <w:noProof w:val="0"/>
          <w:sz w:val="10"/>
          <w:szCs w:val="12"/>
          <w:rtl/>
        </w:rPr>
        <w:t xml:space="preserve"> </w:t>
      </w:r>
      <w:r w:rsidRPr="007376B3">
        <w:rPr>
          <w:rFonts w:ascii="Calibri" w:eastAsia="Times New Roman" w:hAnsi="Calibri" w:cs="Guttman Rashi"/>
          <w:noProof w:val="0"/>
          <w:sz w:val="10"/>
          <w:szCs w:val="12"/>
          <w:rtl/>
        </w:rPr>
        <w:t xml:space="preserve">(עי' 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Pr>
        <w:instrText>REF</w:instrText>
      </w:r>
      <w:r>
        <w:rPr>
          <w:rFonts w:ascii="Calibri" w:eastAsia="Times New Roman" w:hAnsi="Calibri" w:cs="Guttman Rashi"/>
          <w:noProof w:val="0"/>
          <w:sz w:val="10"/>
          <w:szCs w:val="12"/>
          <w:rtl/>
        </w:rPr>
        <w:instrText xml:space="preserve"> _</w:instrText>
      </w:r>
      <w:r>
        <w:rPr>
          <w:rFonts w:ascii="Calibri" w:eastAsia="Times New Roman" w:hAnsi="Calibri" w:cs="Guttman Rashi"/>
          <w:noProof w:val="0"/>
          <w:sz w:val="10"/>
          <w:szCs w:val="12"/>
        </w:rPr>
        <w:instrText>Ref145441587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קלט)</w:t>
      </w:r>
      <w:r>
        <w:rPr>
          <w:rFonts w:ascii="Calibri" w:eastAsia="Times New Roman" w:hAnsi="Calibri" w:cs="Guttman Rashi"/>
          <w:noProof w:val="0"/>
          <w:sz w:val="10"/>
          <w:szCs w:val="12"/>
          <w:rtl/>
        </w:rPr>
        <w:fldChar w:fldCharType="end"/>
      </w:r>
      <w:r>
        <w:rPr>
          <w:b/>
          <w:bCs/>
          <w:rtl/>
        </w:rPr>
        <w:t xml:space="preserve"> </w:t>
      </w:r>
      <w:r>
        <w:rPr>
          <w:rFonts w:hint="cs"/>
          <w:rtl/>
        </w:rPr>
        <w:t xml:space="preserve">דביאר בדברי הירושלמי </w:t>
      </w:r>
      <w:r w:rsidRPr="00092B26">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שבת פי"ב ה"א, סח:</w:t>
      </w:r>
      <w:r w:rsidRPr="00092B26">
        <w:rPr>
          <w:rFonts w:ascii="Calibri" w:eastAsia="Times New Roman" w:hAnsi="Calibri" w:cs="Guttman Rashi"/>
          <w:noProof w:val="0"/>
          <w:sz w:val="10"/>
          <w:szCs w:val="12"/>
          <w:rtl/>
        </w:rPr>
        <w:t>)</w:t>
      </w:r>
      <w:r>
        <w:rPr>
          <w:rtl/>
        </w:rPr>
        <w:t xml:space="preserve"> </w:t>
      </w:r>
      <w:r>
        <w:rPr>
          <w:rFonts w:hint="cs"/>
          <w:rtl/>
        </w:rPr>
        <w:t>דתוקע היינו דוקא ביתדות, ואילו</w:t>
      </w:r>
      <w:r>
        <w:rPr>
          <w:rtl/>
        </w:rPr>
        <w:t xml:space="preserve"> </w:t>
      </w:r>
      <w:r>
        <w:rPr>
          <w:rFonts w:hint="cs"/>
          <w:b/>
          <w:bCs/>
          <w:rtl/>
        </w:rPr>
        <w:t>הרשב"א</w:t>
      </w:r>
      <w:r>
        <w:rPr>
          <w:rFonts w:hint="cs"/>
          <w:rtl/>
        </w:rPr>
        <w:t xml:space="preserve"> ביאר דהיינו אף שלא ביתדות, עיי"ש במה שביאר </w:t>
      </w:r>
      <w:r>
        <w:rPr>
          <w:rFonts w:hint="cs"/>
          <w:b/>
          <w:bCs/>
          <w:rtl/>
        </w:rPr>
        <w:t>ה</w:t>
      </w:r>
      <w:r w:rsidRPr="00911077">
        <w:rPr>
          <w:rFonts w:hint="cs"/>
          <w:b/>
          <w:bCs/>
          <w:vanish/>
          <w:rtl/>
        </w:rPr>
        <w:t>&lt; &gt;</w:t>
      </w:r>
      <w:r>
        <w:rPr>
          <w:rFonts w:hint="cs"/>
          <w:b/>
          <w:bCs/>
          <w:rtl/>
        </w:rPr>
        <w:t>אבני נזר</w:t>
      </w:r>
      <w:r w:rsidRPr="00040BD6">
        <w:rPr>
          <w:b/>
          <w:bCs/>
          <w:rtl/>
        </w:rPr>
        <w:t xml:space="preserve"> </w:t>
      </w:r>
      <w:r w:rsidRPr="00040BD6">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סי' רי"א אות ב'</w:t>
      </w:r>
      <w:r w:rsidRPr="00040BD6">
        <w:rPr>
          <w:rFonts w:ascii="Calibri" w:eastAsia="Times New Roman" w:hAnsi="Calibri" w:cs="Guttman Rashi"/>
          <w:noProof w:val="0"/>
          <w:sz w:val="10"/>
          <w:szCs w:val="12"/>
          <w:rtl/>
        </w:rPr>
        <w:t>)</w:t>
      </w:r>
      <w:r w:rsidRPr="00040BD6">
        <w:rPr>
          <w:vanish/>
          <w:rtl/>
        </w:rPr>
        <w:t>=</w:t>
      </w:r>
      <w:r>
        <w:rPr>
          <w:rtl/>
        </w:rPr>
        <w:t xml:space="preserve"> </w:t>
      </w:r>
      <w:r>
        <w:rPr>
          <w:rFonts w:hint="cs"/>
          <w:rtl/>
        </w:rPr>
        <w:t>בדברי הירושלמי.</w:t>
      </w:r>
      <w:bookmarkEnd w:id="6070"/>
    </w:p>
    <w:p w14:paraId="04243873" w14:textId="77777777" w:rsidR="000F6808" w:rsidRPr="00111645" w:rsidRDefault="000F6808" w:rsidP="000F6808">
      <w:pPr>
        <w:pStyle w:val="a2"/>
        <w:rPr>
          <w:rtl/>
        </w:rPr>
      </w:pPr>
      <w:r w:rsidRPr="00111645">
        <w:rPr>
          <w:rtl/>
        </w:rPr>
        <w:t xml:space="preserve">ונראה שהדבר תלוי במחלוקת, רש"י עם משמעות הירושלמי הנ"ל אות א' ב', שרש"י סובר תקע ביתדות. אבל בלא יתדות אף שתחב בחוזק לא מקרי תקע, וזה דעת הר"ן גם כן. אבל הרשב"א סובר כמשמעות הירושלמי דתקע היינו בלא יתדות. ועל כורחין לומר בהא [היינו בלא מיהדק] דפטור אבל אסור. [כדמוכח בסוגיא לפי פירושו של הר"ן דלדידן פליגין אדרב ושמואל דאמרי המחזיר מטה של טרסיים חייב חטאת על כן ברפוי גזרינן, ולדידן סבירא לן מיהדק פטור אבל אסור על כן ברפוי מותר. ולרשב"א דמיהדק היינו תקע. רפוי ואינו רפוי פטור אבל אסור. ולמאן דאמר יש בנין וסתירה בכלים חייב חטאת. וכן כתב להדיא פרק קמא דביצה ולדידן פטור אבל אסור על כן רפוי לגמרי מותר]: </w:t>
      </w:r>
    </w:p>
    <w:p w14:paraId="7C965962" w14:textId="77777777" w:rsidR="000F6808" w:rsidRPr="0088513D" w:rsidRDefault="000F6808" w:rsidP="000F6808">
      <w:pPr>
        <w:pStyle w:val="afffffe"/>
        <w:rPr>
          <w:vanish/>
          <w:rtl/>
        </w:rPr>
      </w:pPr>
      <w:r w:rsidRPr="0088513D">
        <w:rPr>
          <w:vanish/>
          <w:rtl/>
        </w:rPr>
        <w:t xml:space="preserve">שו"ת אבני נזר </w:t>
      </w:r>
      <w:r w:rsidRPr="0088513D">
        <w:rPr>
          <w:rFonts w:hint="cs"/>
          <w:vanish/>
          <w:rtl/>
        </w:rPr>
        <w:t>או"ח סי'</w:t>
      </w:r>
      <w:r w:rsidRPr="0088513D">
        <w:rPr>
          <w:vanish/>
          <w:rtl/>
        </w:rPr>
        <w:t xml:space="preserve"> רי</w:t>
      </w:r>
      <w:r w:rsidRPr="0088513D">
        <w:rPr>
          <w:rFonts w:hint="cs"/>
          <w:vanish/>
          <w:rtl/>
        </w:rPr>
        <w:t>"</w:t>
      </w:r>
      <w:r w:rsidRPr="0088513D">
        <w:rPr>
          <w:vanish/>
          <w:rtl/>
        </w:rPr>
        <w:t>א</w:t>
      </w:r>
      <w:r w:rsidRPr="0088513D">
        <w:rPr>
          <w:rFonts w:hint="cs"/>
          <w:vanish/>
          <w:rtl/>
        </w:rPr>
        <w:t xml:space="preserve"> אות ב'</w:t>
      </w:r>
    </w:p>
    <w:p w14:paraId="2EEFFAFD" w14:textId="77777777" w:rsidR="000F6808" w:rsidRPr="004D1532" w:rsidRDefault="000F6808" w:rsidP="000F6808">
      <w:pPr>
        <w:pStyle w:val="afff6"/>
        <w:rPr>
          <w:vanish/>
          <w:rtl/>
        </w:rPr>
      </w:pPr>
      <w:r w:rsidRPr="004D1532">
        <w:rPr>
          <w:vanish/>
          <w:rtl/>
        </w:rPr>
        <w:t xml:space="preserve">אך הקרבן עדה ריש פרק הבונה [סח ע"ב] בהא דאיתא שם בירושלמי תני תקועים חיבור לטומאה ולא להזי'. קבועים חיבור לטומאה ולהזי'. והכא את אמר הכין. פירוש דתקע חייב חטאת. והתם אמרינן דתקיעה אינו חיבור גמור. ומשני תמן דרכן לקבוע הכא תקיעתן הוא גמר מלאכתן. ולפנינו בירושלמי איתא להיפוך תקועין חיבור לטומאה ולהזי'. קבועים כו' ולא להזי'. והקרבן עדה הגיה כנ"ל. והדין עמו דאי כגירסא שלפנינו מה קשה לי' לירושלמי. הא כשם שהתם תקיעה הוי חיבור גמור גם להזי' כמו כן חייב בתקע. והקרבן עדה הביא עוד ראי' מתוספתא דכלים [פ"ח דב"מ] דתני בהדיא קבועים חיבור לטומאה ולהזי'. [ובגליון הש"ס השיג על הקרבן עדה אשר לא כדת. ואיני יודע מה הוא סח] ופירש הקרבן עדה דקבועות היינו במסמרות. ויתדות ותקועים היינו בחוזק לבד בלא יתדות. ובשירי קרבן השיג מכח הירושלמי ההוא על פרש"י שפירש אהא דלא יתקע על ידי יתדות דזה קבועים מיקרי. ומוכח דתקע בחוזק אפילו בלא יתדות. אלא שתחב חלקי הכלים זה לתוך זה בחוזק חייב. וכן משמע דעת הרשב"א ביצה ובעבודת הקודש שיתבאר לפנינו. ופשוט שכן דעת התוס' שו"ת אבני נזר </w:t>
      </w:r>
      <w:r w:rsidRPr="004D1532">
        <w:rPr>
          <w:rFonts w:hint="cs"/>
          <w:vanish/>
          <w:rtl/>
        </w:rPr>
        <w:t>או"ח סי'</w:t>
      </w:r>
      <w:r w:rsidRPr="004D1532">
        <w:rPr>
          <w:vanish/>
          <w:rtl/>
        </w:rPr>
        <w:t xml:space="preserve"> רי</w:t>
      </w:r>
      <w:r w:rsidRPr="004D1532">
        <w:rPr>
          <w:rFonts w:hint="cs"/>
          <w:vanish/>
          <w:rtl/>
        </w:rPr>
        <w:t>"</w:t>
      </w:r>
      <w:r w:rsidRPr="004D1532">
        <w:rPr>
          <w:vanish/>
          <w:rtl/>
        </w:rPr>
        <w:t>א</w:t>
      </w:r>
      <w:r w:rsidRPr="004D1532">
        <w:rPr>
          <w:rFonts w:hint="cs"/>
          <w:vanish/>
          <w:rtl/>
        </w:rPr>
        <w:t xml:space="preserve"> אות ד'</w:t>
      </w:r>
    </w:p>
    <w:p w14:paraId="477C9573" w14:textId="77777777" w:rsidR="000F6808" w:rsidRDefault="000F6808" w:rsidP="000F6808">
      <w:pPr>
        <w:pStyle w:val="afffff7"/>
        <w:rPr>
          <w:rtl/>
        </w:rPr>
      </w:pPr>
      <w:bookmarkStart w:id="6072" w:name="_Toc145500845"/>
      <w:bookmarkStart w:id="6073" w:name="_Toc163506385"/>
      <w:r w:rsidRPr="00076914">
        <w:rPr>
          <w:rtl/>
        </w:rPr>
        <w:t xml:space="preserve">חזון איש או"ח סי' נ' סק"י ד"ה </w:t>
      </w:r>
      <w:r w:rsidRPr="00076914">
        <w:rPr>
          <w:rFonts w:hint="cs"/>
          <w:rtl/>
        </w:rPr>
        <w:t>שבת מ"ז</w:t>
      </w:r>
      <w:bookmarkEnd w:id="6072"/>
      <w:bookmarkEnd w:id="6073"/>
    </w:p>
    <w:p w14:paraId="117E38F1" w14:textId="77777777" w:rsidR="000F6808" w:rsidRDefault="000F6808" w:rsidP="000F6808">
      <w:pPr>
        <w:pStyle w:val="a7"/>
        <w:rPr>
          <w:rtl/>
        </w:rPr>
      </w:pPr>
      <w:bookmarkStart w:id="6074" w:name="_Toc145487119"/>
      <w:r>
        <w:rPr>
          <w:rFonts w:hint="cs"/>
          <w:rtl/>
        </w:rPr>
        <w:t>בי' החזו"א דמוכח מהברייתא דיש ג' דרגות ומהדק ולא תקע פטור ורק רפוי לגמרי מתיר רשב"ג</w:t>
      </w:r>
      <w:bookmarkEnd w:id="6074"/>
      <w:r>
        <w:rPr>
          <w:rFonts w:hint="cs"/>
          <w:rtl/>
        </w:rPr>
        <w:t xml:space="preserve"> </w:t>
      </w:r>
    </w:p>
    <w:p w14:paraId="325B3910" w14:textId="57D8BFD2" w:rsidR="000F6808" w:rsidRPr="00140A45" w:rsidRDefault="000F6808" w:rsidP="000F6808">
      <w:pPr>
        <w:pStyle w:val="a3"/>
        <w:rPr>
          <w:rtl/>
        </w:rPr>
      </w:pPr>
      <w:bookmarkStart w:id="6075" w:name="_Ref145369008"/>
      <w:r>
        <w:rPr>
          <w:rFonts w:hint="cs"/>
          <w:rtl/>
        </w:rPr>
        <w:t>כתב</w:t>
      </w:r>
      <w:r>
        <w:rPr>
          <w:rtl/>
        </w:rPr>
        <w:t xml:space="preserve"> </w:t>
      </w:r>
      <w:r w:rsidRPr="00076914">
        <w:rPr>
          <w:b/>
          <w:bCs/>
          <w:rtl/>
        </w:rPr>
        <w:t>ה</w:t>
      </w:r>
      <w:r w:rsidRPr="00076914">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Ref145369008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קמב)</w:t>
      </w:r>
      <w:r>
        <w:rPr>
          <w:b/>
          <w:bCs/>
          <w:vanish/>
          <w:rtl/>
        </w:rPr>
        <w:fldChar w:fldCharType="end"/>
      </w:r>
      <w:r w:rsidRPr="00076914">
        <w:rPr>
          <w:b/>
          <w:bCs/>
          <w:vanish/>
          <w:rtl/>
        </w:rPr>
        <w:t xml:space="preserve"> &gt;</w:t>
      </w:r>
      <w:r>
        <w:rPr>
          <w:rFonts w:hint="cs"/>
          <w:b/>
          <w:bCs/>
          <w:rtl/>
        </w:rPr>
        <w:t>חזו"א</w:t>
      </w:r>
      <w:r w:rsidRPr="00076914">
        <w:rPr>
          <w:b/>
          <w:bCs/>
          <w:rtl/>
        </w:rPr>
        <w:t xml:space="preserve"> </w:t>
      </w:r>
      <w:r w:rsidRPr="00076914">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סי' נ' סק"י ד"ה שבת מ"ז</w:t>
      </w:r>
      <w:r w:rsidRPr="00076914">
        <w:rPr>
          <w:rFonts w:ascii="Calibri" w:eastAsia="Times New Roman" w:hAnsi="Calibri" w:cs="Guttman Rashi"/>
          <w:noProof w:val="0"/>
          <w:sz w:val="10"/>
          <w:szCs w:val="12"/>
          <w:rtl/>
        </w:rPr>
        <w:t>)</w:t>
      </w:r>
      <w:r w:rsidRPr="00076914">
        <w:rPr>
          <w:vanish/>
          <w:rtl/>
        </w:rPr>
        <w:t>=</w:t>
      </w:r>
      <w:r>
        <w:rPr>
          <w:rtl/>
        </w:rPr>
        <w:t xml:space="preserve"> </w:t>
      </w:r>
      <w:r>
        <w:rPr>
          <w:rFonts w:hint="cs"/>
          <w:rtl/>
        </w:rPr>
        <w:t>דמהא דאמר רשב"ג דברפוי מותר, מבואר שיש ג' דרגות, הא' תקיעה הב' רפוי ואינו רפוי שהוא מהודק אך אינו תקוע בחוזק גמור, והג' רפוי, וכתב</w:t>
      </w:r>
      <w:r>
        <w:rPr>
          <w:rtl/>
        </w:rPr>
        <w:t xml:space="preserve"> </w:t>
      </w:r>
      <w:r>
        <w:rPr>
          <w:rFonts w:hint="cs"/>
          <w:b/>
          <w:bCs/>
          <w:rtl/>
        </w:rPr>
        <w:t>החזו"א</w:t>
      </w:r>
      <w:r>
        <w:rPr>
          <w:rtl/>
        </w:rPr>
        <w:t xml:space="preserve"> </w:t>
      </w:r>
      <w:r>
        <w:rPr>
          <w:rFonts w:hint="cs"/>
          <w:rtl/>
        </w:rPr>
        <w:t xml:space="preserve">דמוכח שיש דרגה אמצעית בין תקיעה לרפוי, דאל"ה היה לתנא בברייתא להביא בתחילה את דברי רשב"ג דמתיר ברפוי, ואח"כ לומר דאם תקע חייב חטאת, </w:t>
      </w:r>
      <w:r w:rsidRPr="000659B2">
        <w:rPr>
          <w:rStyle w:val="af"/>
          <w:rFonts w:hint="cs"/>
          <w:rtl/>
        </w:rPr>
        <w:t>[דלפי"ז גם רשב"ג מודה בזה],</w:t>
      </w:r>
      <w:r>
        <w:rPr>
          <w:rFonts w:hint="cs"/>
          <w:rtl/>
        </w:rPr>
        <w:t xml:space="preserve"> אלא מוכח דהא דאמר ת"ק דפטור אבל אסור הוא באינו תוקע בין בדרגה האמצעית דמהדק, ובין בדרגה הג' דרפוי, ורשב"ג מתיר ברפוי, אבל במהודק מודה רשב"ג לת"ק דפטור אבל אסור,</w:t>
      </w:r>
      <w:r w:rsidRPr="006A4BB3">
        <w:rPr>
          <w:rFonts w:hint="cs"/>
          <w:rtl/>
        </w:rPr>
        <w:t xml:space="preserve"> </w:t>
      </w:r>
      <w:r>
        <w:rPr>
          <w:rFonts w:hint="cs"/>
          <w:rtl/>
        </w:rPr>
        <w:t>ובתוקע חייב חטאת לכו"ע</w:t>
      </w:r>
      <w:bookmarkEnd w:id="6075"/>
      <w:r>
        <w:rPr>
          <w:rFonts w:hint="cs"/>
          <w:rtl/>
        </w:rPr>
        <w:t xml:space="preserve">. </w:t>
      </w:r>
    </w:p>
    <w:p w14:paraId="70A8E789" w14:textId="77777777" w:rsidR="000F6808" w:rsidRPr="0088513D" w:rsidRDefault="000F6808" w:rsidP="000F6808">
      <w:pPr>
        <w:pStyle w:val="afffffe"/>
        <w:rPr>
          <w:vanish/>
          <w:rtl/>
        </w:rPr>
      </w:pPr>
      <w:r w:rsidRPr="0088513D">
        <w:rPr>
          <w:vanish/>
          <w:rtl/>
        </w:rPr>
        <w:t xml:space="preserve">חזון איש או"ח סי' נ' סק"י </w:t>
      </w:r>
      <w:r w:rsidRPr="0088513D">
        <w:rPr>
          <w:rFonts w:hint="cs"/>
          <w:vanish/>
          <w:rtl/>
        </w:rPr>
        <w:t>ד"ה שבת מ"ז</w:t>
      </w:r>
    </w:p>
    <w:p w14:paraId="1AC772F9" w14:textId="77777777" w:rsidR="000F6808" w:rsidRPr="00111645" w:rsidRDefault="000F6808" w:rsidP="000F6808">
      <w:pPr>
        <w:pStyle w:val="a2"/>
        <w:rPr>
          <w:rtl/>
        </w:rPr>
      </w:pPr>
      <w:r w:rsidRPr="00111645">
        <w:rPr>
          <w:rtl/>
        </w:rPr>
        <w:t>שבת מ"ז ב' רשבג"א אם היה רפוי מותר, מבואר מכאן דבין תקע לרפוי איכא אמצעי דהיינו רפוי ואינו רפוי ר"ל מהודק אבל לא בחוזק גמור, דאי כל שלא תקע הוא בכלל רפוי הו"ל לתנא למתני דברי רשב"ג ברישא דרשב"ג מתיר, ואח"כ הו"ל לסיים אם תקע חייב חטאת, אלא ת"ק איירי בלא תקע בין מהודק בין רפוי ואתא רשב"ג למימר דברפוי מותר, אבל במהודק מודה רשב"ג דאסור</w:t>
      </w:r>
      <w:r w:rsidRPr="00111645">
        <w:rPr>
          <w:rFonts w:hint="cs"/>
          <w:rtl/>
        </w:rPr>
        <w:t>.</w:t>
      </w:r>
    </w:p>
    <w:p w14:paraId="70928C33" w14:textId="77777777" w:rsidR="000F6808" w:rsidRDefault="000F6808" w:rsidP="000F6808">
      <w:pPr>
        <w:pStyle w:val="a7"/>
        <w:rPr>
          <w:rtl/>
        </w:rPr>
      </w:pPr>
      <w:bookmarkStart w:id="6076" w:name="_Toc145487120"/>
      <w:r>
        <w:rPr>
          <w:rFonts w:hint="cs"/>
          <w:rtl/>
        </w:rPr>
        <w:t>בי' החזו"א דבדלתות הכלים ובתריסין איירי במהדק ולכן אסור מגזירה דשמא יתקע וכ"מ בטור</w:t>
      </w:r>
      <w:bookmarkEnd w:id="6076"/>
    </w:p>
    <w:p w14:paraId="41198740" w14:textId="0D7FE50D" w:rsidR="000F6808" w:rsidRPr="00332993" w:rsidRDefault="000F6808" w:rsidP="000F6808">
      <w:pPr>
        <w:pStyle w:val="a3"/>
      </w:pPr>
      <w:r>
        <w:rPr>
          <w:rFonts w:hint="cs"/>
          <w:rtl/>
        </w:rPr>
        <w:t>וכתב</w:t>
      </w:r>
      <w:r>
        <w:rPr>
          <w:rtl/>
        </w:rPr>
        <w:t xml:space="preserve"> </w:t>
      </w:r>
      <w:r>
        <w:rPr>
          <w:rFonts w:hint="cs"/>
          <w:b/>
          <w:bCs/>
          <w:rtl/>
        </w:rPr>
        <w:t>החזו"א</w:t>
      </w:r>
      <w:r>
        <w:rPr>
          <w:rtl/>
        </w:rPr>
        <w:t xml:space="preserve"> </w:t>
      </w:r>
      <w:r>
        <w:rPr>
          <w:rFonts w:hint="cs"/>
          <w:rtl/>
        </w:rPr>
        <w:t>דבזה מבוארת הגמ' לקמן</w:t>
      </w:r>
      <w:r>
        <w:rPr>
          <w:rtl/>
        </w:rPr>
        <w:t xml:space="preserve"> </w:t>
      </w:r>
      <w:r w:rsidRPr="00332993">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קכב:</w:t>
      </w:r>
      <w:r w:rsidRPr="00332993">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 xml:space="preserve"> </w:t>
      </w:r>
      <w:r>
        <w:rPr>
          <w:rFonts w:hint="cs"/>
          <w:rtl/>
        </w:rPr>
        <w:t>דהאיסור להחזיר הוא שמא יתקע, וכן מבוארת הגמ' בביצה</w:t>
      </w:r>
      <w:r>
        <w:rPr>
          <w:rtl/>
        </w:rPr>
        <w:t xml:space="preserve"> </w:t>
      </w:r>
      <w:r w:rsidRPr="00332993">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יא:</w:t>
      </w:r>
      <w:r w:rsidRPr="00332993">
        <w:rPr>
          <w:rFonts w:ascii="Calibri" w:eastAsia="Times New Roman" w:hAnsi="Calibri" w:cs="Guttman Rashi"/>
          <w:noProof w:val="0"/>
          <w:sz w:val="10"/>
          <w:szCs w:val="12"/>
          <w:rtl/>
        </w:rPr>
        <w:t>)</w:t>
      </w:r>
      <w:r>
        <w:rPr>
          <w:rtl/>
        </w:rPr>
        <w:t xml:space="preserve"> </w:t>
      </w:r>
      <w:r>
        <w:rPr>
          <w:rFonts w:hint="cs"/>
          <w:rtl/>
        </w:rPr>
        <w:t>דהתירו החזרת תריסין בתיבות החנויות משום שמחת יו"ט, אבל תיבות שבבתים לא התירו, ואילו בגמ' לעיל</w:t>
      </w:r>
      <w:r>
        <w:rPr>
          <w:rtl/>
        </w:rPr>
        <w:t xml:space="preserve"> </w:t>
      </w:r>
      <w:r w:rsidRPr="004D1563">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מז:</w:t>
      </w:r>
      <w:r w:rsidRPr="004D1563">
        <w:rPr>
          <w:rFonts w:ascii="Calibri" w:eastAsia="Times New Roman" w:hAnsi="Calibri" w:cs="Guttman Rashi"/>
          <w:noProof w:val="0"/>
          <w:sz w:val="10"/>
          <w:szCs w:val="12"/>
          <w:rtl/>
        </w:rPr>
        <w:t>)</w:t>
      </w:r>
      <w:r>
        <w:rPr>
          <w:rtl/>
        </w:rPr>
        <w:t xml:space="preserve"> </w:t>
      </w:r>
      <w:r>
        <w:rPr>
          <w:rFonts w:hint="cs"/>
          <w:rtl/>
        </w:rPr>
        <w:t>אמרינן דקיי"ל כרשב"ג דלא גזר שמא יתקע, וכתב</w:t>
      </w:r>
      <w:r>
        <w:rPr>
          <w:rtl/>
        </w:rPr>
        <w:t xml:space="preserve"> </w:t>
      </w:r>
      <w:r>
        <w:rPr>
          <w:rFonts w:hint="cs"/>
          <w:b/>
          <w:bCs/>
          <w:rtl/>
        </w:rPr>
        <w:t>החזו"א</w:t>
      </w:r>
      <w:r>
        <w:rPr>
          <w:rtl/>
        </w:rPr>
        <w:t xml:space="preserve"> </w:t>
      </w:r>
      <w:r>
        <w:rPr>
          <w:rFonts w:hint="cs"/>
          <w:rtl/>
        </w:rPr>
        <w:t>דמבואר דההיתר דרשב"ג הוא ברפוי, ובגמ' לקמן ובביצה איירי במהודק, וכן מבואר בדברי</w:t>
      </w:r>
      <w:r>
        <w:rPr>
          <w:rtl/>
        </w:rPr>
        <w:t xml:space="preserve"> </w:t>
      </w:r>
      <w:r>
        <w:rPr>
          <w:rFonts w:hint="cs"/>
          <w:b/>
          <w:bCs/>
          <w:rtl/>
        </w:rPr>
        <w:t>הטור</w:t>
      </w:r>
      <w:r>
        <w:rPr>
          <w:rtl/>
        </w:rPr>
        <w:t xml:space="preserve"> </w:t>
      </w:r>
      <w:r w:rsidRPr="00217C83">
        <w:rPr>
          <w:rFonts w:ascii="Calibri" w:eastAsia="Times New Roman" w:hAnsi="Calibri" w:cs="Guttman Rashi"/>
          <w:noProof w:val="0"/>
          <w:sz w:val="10"/>
          <w:szCs w:val="12"/>
          <w:rtl/>
        </w:rPr>
        <w:t xml:space="preserve">(עי' </w:t>
      </w:r>
      <w:r w:rsidRPr="005C6F13">
        <w:rPr>
          <w:rStyle w:val="af2"/>
          <w:rFonts w:eastAsia="Guttman Hodes"/>
          <w:rtl/>
        </w:rPr>
        <w:t xml:space="preserve">אות </w:t>
      </w:r>
      <w:r w:rsidRPr="005C6F13">
        <w:rPr>
          <w:rStyle w:val="af2"/>
          <w:rFonts w:eastAsia="Guttman Hodes"/>
          <w:rtl/>
        </w:rPr>
        <w:fldChar w:fldCharType="begin"/>
      </w:r>
      <w:r w:rsidRPr="005C6F13">
        <w:rPr>
          <w:rStyle w:val="af2"/>
          <w:rFonts w:eastAsia="Guttman Hodes"/>
          <w:rtl/>
        </w:rPr>
        <w:instrText xml:space="preserve"> </w:instrText>
      </w:r>
      <w:r w:rsidRPr="005C6F13">
        <w:rPr>
          <w:rStyle w:val="af2"/>
          <w:rFonts w:eastAsia="Guttman Hodes"/>
        </w:rPr>
        <w:instrText>REF</w:instrText>
      </w:r>
      <w:r w:rsidRPr="005C6F13">
        <w:rPr>
          <w:rStyle w:val="af2"/>
          <w:rFonts w:eastAsia="Guttman Hodes"/>
          <w:rtl/>
        </w:rPr>
        <w:instrText xml:space="preserve"> _</w:instrText>
      </w:r>
      <w:r w:rsidRPr="005C6F13">
        <w:rPr>
          <w:rStyle w:val="af2"/>
          <w:rFonts w:eastAsia="Guttman Hodes"/>
        </w:rPr>
        <w:instrText>Ref145321274 \r \h</w:instrText>
      </w:r>
      <w:r w:rsidRPr="005C6F13">
        <w:rPr>
          <w:rStyle w:val="af2"/>
          <w:rFonts w:eastAsia="Guttman Hodes"/>
          <w:rtl/>
        </w:rPr>
        <w:instrText xml:space="preserve"> </w:instrText>
      </w:r>
      <w:r w:rsidRPr="005C6F13">
        <w:rPr>
          <w:rStyle w:val="af2"/>
          <w:rFonts w:eastAsia="Guttman Hodes"/>
          <w:rtl/>
        </w:rPr>
      </w:r>
      <w:r w:rsidRPr="005C6F13">
        <w:rPr>
          <w:rStyle w:val="af2"/>
          <w:rFonts w:eastAsia="Guttman Hodes"/>
          <w:rtl/>
        </w:rPr>
        <w:fldChar w:fldCharType="separate"/>
      </w:r>
      <w:r w:rsidR="00D82181">
        <w:rPr>
          <w:rStyle w:val="af2"/>
          <w:rFonts w:eastAsia="Guttman Hodes"/>
          <w:cs/>
        </w:rPr>
        <w:t>‎</w:t>
      </w:r>
      <w:r w:rsidR="00D82181">
        <w:rPr>
          <w:rStyle w:val="af2"/>
          <w:rFonts w:eastAsia="Guttman Hodes"/>
          <w:rtl/>
        </w:rPr>
        <w:t>קס)</w:t>
      </w:r>
      <w:r w:rsidRPr="005C6F13">
        <w:rPr>
          <w:rStyle w:val="af2"/>
          <w:rFonts w:eastAsia="Guttman Hodes"/>
          <w:rtl/>
        </w:rPr>
        <w:fldChar w:fldCharType="end"/>
      </w:r>
      <w:r w:rsidRPr="00DE2DFD">
        <w:rPr>
          <w:b/>
          <w:bCs/>
          <w:rtl/>
        </w:rPr>
        <w:t xml:space="preserve"> </w:t>
      </w:r>
      <w:r>
        <w:rPr>
          <w:rFonts w:hint="cs"/>
          <w:rtl/>
        </w:rPr>
        <w:t>דתוקע חייב חטאת ומהודק פטור אבל אסור ורפוי מותר לכתחילה.</w:t>
      </w:r>
    </w:p>
    <w:p w14:paraId="0B666C82" w14:textId="77777777" w:rsidR="000F6808" w:rsidRPr="00111645" w:rsidRDefault="000F6808" w:rsidP="000F6808">
      <w:pPr>
        <w:pStyle w:val="a2"/>
        <w:rPr>
          <w:rtl/>
        </w:rPr>
      </w:pPr>
      <w:r w:rsidRPr="00111645">
        <w:rPr>
          <w:rtl/>
        </w:rPr>
        <w:t>ובזה ניחא הא דאמרו לק' קכ"ב ב' דאין מחזירין גזירה שמא יתקע, וכן אמרו ביצה י"א ב' דהתירו סופן משום תחלתן ותיבה שבבתים לא יחזיר והכא מסקינן כרשב"ג דלא גזרינן שמא יתקע, אלא הכא ברפוי והתם במהודק וכן הוא בטור סי' שי"ג דיש כאן ג' חלוקות רפוי' מותר לכתחלה ואם תקע חייב חטאת ולהדקה אסור ואין בו חיוב</w:t>
      </w:r>
      <w:r w:rsidRPr="004D1532">
        <w:rPr>
          <w:rStyle w:val="afff7"/>
          <w:rtl/>
        </w:rPr>
        <w:t>, [ובזה ניחא כסא גלין לק' קל"ח א' לפרש"י, ומטה כדקרמנאי שם, ואף דרב קאמר לה ולמאי דאמר רב יהודה הא רו"ש דאמרי תרווייהו כו' משמע דרו"ש אסרי רפוי, מ"מ נראה דאנן דקיי"ל רפוי מותר מפרשינן דגם רו"ש מודים ברפוי אלא הני דכסא גלין ודקרמנאי בהדוק]</w:t>
      </w:r>
      <w:r w:rsidRPr="00111645">
        <w:rPr>
          <w:rtl/>
        </w:rPr>
        <w:t xml:space="preserve">. </w:t>
      </w:r>
    </w:p>
    <w:p w14:paraId="735D6AED" w14:textId="77777777" w:rsidR="000F6808" w:rsidRDefault="000F6808" w:rsidP="000F6808">
      <w:pPr>
        <w:pStyle w:val="affff5"/>
        <w:rPr>
          <w:rtl/>
        </w:rPr>
      </w:pPr>
      <w:r>
        <w:rPr>
          <w:rFonts w:hint="cs"/>
          <w:rtl/>
        </w:rPr>
        <w:t>~~~~~~~~~~~~~~~~~~~~~~~~~~~~</w:t>
      </w:r>
    </w:p>
    <w:p w14:paraId="61DBECAC" w14:textId="77777777" w:rsidR="000F6808" w:rsidRDefault="000F6808" w:rsidP="000F6808">
      <w:pPr>
        <w:pStyle w:val="affff5"/>
        <w:rPr>
          <w:rtl/>
        </w:rPr>
      </w:pPr>
      <w:bookmarkStart w:id="6077" w:name="_Toc145487122"/>
      <w:r>
        <w:rPr>
          <w:rFonts w:hint="cs"/>
          <w:rtl/>
        </w:rPr>
        <w:t>ביאורי הרמב"ן בגזירה דשמא יתקע</w:t>
      </w:r>
      <w:bookmarkEnd w:id="6077"/>
      <w:r w:rsidRPr="007220A9">
        <w:rPr>
          <w:vanish/>
          <w:rtl/>
        </w:rPr>
        <w:t>&lt; # =</w:t>
      </w:r>
    </w:p>
    <w:p w14:paraId="4D1375F3" w14:textId="77777777" w:rsidR="000F6808" w:rsidRDefault="000F6808" w:rsidP="000F6808">
      <w:pPr>
        <w:pStyle w:val="1"/>
        <w:rPr>
          <w:rtl/>
        </w:rPr>
      </w:pPr>
      <w:bookmarkStart w:id="6078" w:name="_Toc145487123"/>
      <w:r>
        <w:rPr>
          <w:rFonts w:hint="cs"/>
          <w:rtl/>
        </w:rPr>
        <w:t>הבי' הא' ברמב"ן אטו ציר מהאמצע דמעשה אומן וחייב בבונה</w:t>
      </w:r>
      <w:bookmarkEnd w:id="6078"/>
    </w:p>
    <w:p w14:paraId="7EA0C197" w14:textId="77777777" w:rsidR="000F6808" w:rsidRPr="00F05D34" w:rsidRDefault="000F6808" w:rsidP="000F6808">
      <w:pPr>
        <w:keepNext/>
        <w:keepLines/>
        <w:spacing w:after="0" w:line="240" w:lineRule="auto"/>
        <w:ind w:left="-284"/>
        <w:jc w:val="both"/>
        <w:outlineLvl w:val="1"/>
        <w:rPr>
          <w:rFonts w:ascii="FrankRuehl" w:eastAsia="Guttman Hodes" w:hAnsi="FrankRuehl" w:cs="Guttman Rashi"/>
          <w:bCs/>
          <w:noProof/>
          <w:sz w:val="16"/>
          <w:szCs w:val="16"/>
        </w:rPr>
      </w:pPr>
      <w:r w:rsidRPr="00F05D34">
        <w:rPr>
          <w:rFonts w:ascii="FrankRuehl" w:eastAsia="Guttman Hodes" w:hAnsi="FrankRuehl" w:cs="Guttman Rashi" w:hint="cs"/>
          <w:bCs/>
          <w:noProof/>
          <w:sz w:val="16"/>
          <w:szCs w:val="16"/>
          <w:rtl/>
        </w:rPr>
        <w:t>חדושי הרמב"ן שבת ק"ב ע"ב ד"ה רב</w:t>
      </w:r>
    </w:p>
    <w:p w14:paraId="782FC7A5" w14:textId="77777777" w:rsidR="000F6808" w:rsidRPr="00F05D34" w:rsidRDefault="000F6808" w:rsidP="000F6808">
      <w:pPr>
        <w:pStyle w:val="a7"/>
        <w:rPr>
          <w:rtl/>
        </w:rPr>
      </w:pPr>
      <w:bookmarkStart w:id="6079" w:name="_Toc144909630"/>
      <w:bookmarkStart w:id="6080" w:name="_Toc145487124"/>
      <w:r>
        <w:rPr>
          <w:rFonts w:hint="cs"/>
          <w:rtl/>
        </w:rPr>
        <w:t xml:space="preserve">בי' הרמב"ן </w:t>
      </w:r>
      <w:bookmarkEnd w:id="6079"/>
      <w:r>
        <w:rPr>
          <w:rFonts w:hint="cs"/>
          <w:rtl/>
        </w:rPr>
        <w:t>דהגזירה בתריסין אטו מן הצד דהוא מעשה אומן וכעושה כלי דחייב בבונה</w:t>
      </w:r>
      <w:bookmarkEnd w:id="6080"/>
    </w:p>
    <w:p w14:paraId="5C0B06A4" w14:textId="3346EB70" w:rsidR="000F6808" w:rsidRPr="001231F9" w:rsidRDefault="000F6808" w:rsidP="000F6808">
      <w:pPr>
        <w:pStyle w:val="a3"/>
        <w:rPr>
          <w:rStyle w:val="af"/>
          <w:rtl/>
        </w:rPr>
      </w:pPr>
      <w:bookmarkStart w:id="6081" w:name="_Ref145449843"/>
      <w:bookmarkStart w:id="6082" w:name="_Ref145392005"/>
      <w:r>
        <w:rPr>
          <w:rFonts w:hint="cs"/>
          <w:rtl/>
        </w:rPr>
        <w:t>עי' במ"ש</w:t>
      </w:r>
      <w:r w:rsidRPr="005B1F28">
        <w:rPr>
          <w:rFonts w:hint="cs"/>
          <w:b/>
          <w:bCs/>
          <w:rtl/>
        </w:rPr>
        <w:t xml:space="preserve"> הרמב"ן בסוגיין </w:t>
      </w:r>
      <w:r w:rsidRPr="005B1F28">
        <w:rPr>
          <w:rStyle w:val="af2"/>
          <w:rFonts w:eastAsia="Guttman Hodes" w:hint="cs"/>
          <w:rtl/>
        </w:rPr>
        <w:t xml:space="preserve">(עי' אות </w:t>
      </w:r>
      <w:r w:rsidRPr="005B1F28">
        <w:rPr>
          <w:rStyle w:val="af2"/>
          <w:rFonts w:eastAsia="Guttman Hodes"/>
          <w:rtl/>
        </w:rPr>
        <w:fldChar w:fldCharType="begin"/>
      </w:r>
      <w:r w:rsidRPr="005B1F28">
        <w:rPr>
          <w:rStyle w:val="af2"/>
          <w:rFonts w:eastAsia="Guttman Hodes"/>
          <w:rtl/>
        </w:rPr>
        <w:instrText xml:space="preserve"> </w:instrText>
      </w:r>
      <w:r w:rsidRPr="005B1F28">
        <w:rPr>
          <w:rStyle w:val="af2"/>
          <w:rFonts w:eastAsia="Guttman Hodes" w:hint="cs"/>
        </w:rPr>
        <w:instrText>REF</w:instrText>
      </w:r>
      <w:r w:rsidRPr="005B1F28">
        <w:rPr>
          <w:rStyle w:val="af2"/>
          <w:rFonts w:eastAsia="Guttman Hodes" w:hint="cs"/>
          <w:rtl/>
        </w:rPr>
        <w:instrText xml:space="preserve"> _</w:instrText>
      </w:r>
      <w:r w:rsidRPr="005B1F28">
        <w:rPr>
          <w:rStyle w:val="af2"/>
          <w:rFonts w:eastAsia="Guttman Hodes" w:hint="cs"/>
        </w:rPr>
        <w:instrText>Ref145399681 \r \h</w:instrText>
      </w:r>
      <w:r w:rsidRPr="005B1F28">
        <w:rPr>
          <w:rStyle w:val="af2"/>
          <w:rFonts w:eastAsia="Guttman Hodes"/>
          <w:rtl/>
        </w:rPr>
        <w:instrText xml:space="preserve"> </w:instrText>
      </w:r>
      <w:r w:rsidRPr="005B1F28">
        <w:rPr>
          <w:rStyle w:val="af2"/>
          <w:rFonts w:eastAsia="Guttman Hodes"/>
          <w:rtl/>
        </w:rPr>
      </w:r>
      <w:r w:rsidRPr="005B1F28">
        <w:rPr>
          <w:rStyle w:val="af2"/>
          <w:rFonts w:eastAsia="Guttman Hodes"/>
          <w:rtl/>
        </w:rPr>
        <w:fldChar w:fldCharType="separate"/>
      </w:r>
      <w:r w:rsidR="00D82181">
        <w:rPr>
          <w:rStyle w:val="af2"/>
          <w:rFonts w:eastAsia="Guttman Hodes"/>
          <w:cs/>
        </w:rPr>
        <w:t>‎</w:t>
      </w:r>
      <w:r w:rsidR="00D82181">
        <w:rPr>
          <w:rStyle w:val="af2"/>
          <w:rFonts w:eastAsia="Guttman Hodes"/>
          <w:rtl/>
        </w:rPr>
        <w:t>קעח)</w:t>
      </w:r>
      <w:r w:rsidRPr="005B1F28">
        <w:rPr>
          <w:rStyle w:val="af2"/>
          <w:rFonts w:eastAsia="Guttman Hodes"/>
          <w:rtl/>
        </w:rPr>
        <w:fldChar w:fldCharType="end"/>
      </w:r>
      <w:r w:rsidRPr="005B1F28">
        <w:rPr>
          <w:rStyle w:val="af2"/>
          <w:rFonts w:eastAsia="Guttman Hodes" w:hint="cs"/>
          <w:rtl/>
        </w:rPr>
        <w:t xml:space="preserve"> </w:t>
      </w:r>
      <w:r>
        <w:rPr>
          <w:rFonts w:hint="cs"/>
          <w:rtl/>
        </w:rPr>
        <w:t>ד</w:t>
      </w:r>
      <w:r w:rsidRPr="00F05D34">
        <w:rPr>
          <w:rFonts w:hint="cs"/>
          <w:rtl/>
        </w:rPr>
        <w:t xml:space="preserve">בעשיית כלי או מתקן כלי מתחילתו </w:t>
      </w:r>
      <w:r>
        <w:rPr>
          <w:rFonts w:hint="cs"/>
          <w:rtl/>
        </w:rPr>
        <w:t>וכן</w:t>
      </w:r>
      <w:r w:rsidRPr="00F05D34">
        <w:rPr>
          <w:rFonts w:hint="cs"/>
          <w:rtl/>
        </w:rPr>
        <w:t xml:space="preserve"> בכלי מפורק כשצריך אומן להחזירו יש בנין </w:t>
      </w:r>
      <w:r>
        <w:rPr>
          <w:rFonts w:hint="cs"/>
          <w:rtl/>
        </w:rPr>
        <w:t>בכלים</w:t>
      </w:r>
      <w:r w:rsidRPr="00F05D34">
        <w:rPr>
          <w:rFonts w:hint="cs"/>
          <w:rtl/>
        </w:rPr>
        <w:t xml:space="preserve">, וכתב </w:t>
      </w:r>
      <w:r w:rsidRPr="005B1F28">
        <w:rPr>
          <w:b/>
          <w:bCs/>
          <w:rtl/>
        </w:rPr>
        <w:t>ה</w:t>
      </w:r>
      <w:r w:rsidRPr="008521BF">
        <w:rPr>
          <w:rFonts w:hint="cs"/>
          <w:b/>
          <w:bCs/>
          <w:vanish/>
          <w:rtl/>
        </w:rPr>
        <w:t xml:space="preserve">&lt;, </w:t>
      </w:r>
      <w:r w:rsidRPr="008521BF">
        <w:rPr>
          <w:b/>
          <w:bCs/>
          <w:vanish/>
          <w:rtl/>
        </w:rPr>
        <w:fldChar w:fldCharType="begin"/>
      </w:r>
      <w:r w:rsidRPr="008521BF">
        <w:rPr>
          <w:b/>
          <w:bCs/>
          <w:vanish/>
          <w:rtl/>
        </w:rPr>
        <w:instrText xml:space="preserve"> </w:instrText>
      </w:r>
      <w:r w:rsidRPr="008521BF">
        <w:rPr>
          <w:rFonts w:hint="cs"/>
          <w:b/>
          <w:bCs/>
          <w:vanish/>
        </w:rPr>
        <w:instrText>REF</w:instrText>
      </w:r>
      <w:r w:rsidRPr="008521BF">
        <w:rPr>
          <w:rFonts w:hint="cs"/>
          <w:b/>
          <w:bCs/>
          <w:vanish/>
          <w:rtl/>
        </w:rPr>
        <w:instrText xml:space="preserve"> _</w:instrText>
      </w:r>
      <w:r w:rsidRPr="008521BF">
        <w:rPr>
          <w:rFonts w:hint="cs"/>
          <w:b/>
          <w:bCs/>
          <w:vanish/>
        </w:rPr>
        <w:instrText>Ref145449843 \r \h</w:instrText>
      </w:r>
      <w:r w:rsidRPr="008521BF">
        <w:rPr>
          <w:b/>
          <w:bCs/>
          <w:vanish/>
          <w:rtl/>
        </w:rPr>
        <w:instrText xml:space="preserve"> </w:instrText>
      </w:r>
      <w:r>
        <w:rPr>
          <w:b/>
          <w:bCs/>
          <w:vanish/>
          <w:rtl/>
        </w:rPr>
        <w:instrText xml:space="preserve"> \* </w:instrText>
      </w:r>
      <w:r>
        <w:rPr>
          <w:b/>
          <w:bCs/>
          <w:vanish/>
        </w:rPr>
        <w:instrText>MERGEFORMAT</w:instrText>
      </w:r>
      <w:r>
        <w:rPr>
          <w:b/>
          <w:bCs/>
          <w:vanish/>
          <w:rtl/>
        </w:rPr>
        <w:instrText xml:space="preserve"> </w:instrText>
      </w:r>
      <w:r w:rsidRPr="008521BF">
        <w:rPr>
          <w:b/>
          <w:bCs/>
          <w:vanish/>
          <w:rtl/>
        </w:rPr>
      </w:r>
      <w:r w:rsidRPr="008521BF">
        <w:rPr>
          <w:b/>
          <w:bCs/>
          <w:vanish/>
          <w:rtl/>
        </w:rPr>
        <w:fldChar w:fldCharType="separate"/>
      </w:r>
      <w:r w:rsidR="00D82181">
        <w:rPr>
          <w:b/>
          <w:bCs/>
          <w:vanish/>
          <w:cs/>
        </w:rPr>
        <w:t>‎</w:t>
      </w:r>
      <w:r w:rsidR="00D82181">
        <w:rPr>
          <w:b/>
          <w:bCs/>
          <w:vanish/>
          <w:rtl/>
        </w:rPr>
        <w:t>קמד)</w:t>
      </w:r>
      <w:r w:rsidRPr="008521BF">
        <w:rPr>
          <w:b/>
          <w:bCs/>
          <w:vanish/>
          <w:rtl/>
        </w:rPr>
        <w:fldChar w:fldCharType="end"/>
      </w:r>
      <w:r w:rsidRPr="008521BF">
        <w:rPr>
          <w:rFonts w:hint="cs"/>
          <w:b/>
          <w:bCs/>
          <w:vanish/>
          <w:rtl/>
        </w:rPr>
        <w:t xml:space="preserve"> &gt;</w:t>
      </w:r>
      <w:r w:rsidRPr="005B1F28">
        <w:rPr>
          <w:b/>
          <w:bCs/>
          <w:rtl/>
        </w:rPr>
        <w:t>רמב"</w:t>
      </w:r>
      <w:r w:rsidRPr="00F05D34">
        <w:rPr>
          <w:rFonts w:hint="cs"/>
          <w:b/>
          <w:bCs/>
          <w:rtl/>
        </w:rPr>
        <w:t>ן</w:t>
      </w:r>
      <w:r>
        <w:rPr>
          <w:rFonts w:hint="cs"/>
          <w:b/>
          <w:bCs/>
          <w:rtl/>
        </w:rPr>
        <w:t xml:space="preserve"> בסוגיין</w:t>
      </w:r>
      <w:r w:rsidRPr="00F05D34">
        <w:rPr>
          <w:rFonts w:hint="cs"/>
          <w:b/>
          <w:bCs/>
          <w:rtl/>
        </w:rPr>
        <w:t xml:space="preserve"> </w:t>
      </w:r>
      <w:r w:rsidRPr="00C962CD">
        <w:rPr>
          <w:rStyle w:val="af2"/>
          <w:rFonts w:eastAsia="Guttman Hodes" w:hint="cs"/>
          <w:rtl/>
        </w:rPr>
        <w:t>(ד"ה רב)</w:t>
      </w:r>
      <w:r w:rsidRPr="00F05D34">
        <w:rPr>
          <w:rFonts w:hint="cs"/>
          <w:vanish/>
          <w:rtl/>
        </w:rPr>
        <w:t>=</w:t>
      </w:r>
      <w:r w:rsidRPr="00F05D34">
        <w:rPr>
          <w:rFonts w:hint="cs"/>
          <w:rtl/>
        </w:rPr>
        <w:t xml:space="preserve"> דזהו </w:t>
      </w:r>
      <w:r>
        <w:rPr>
          <w:rFonts w:hint="cs"/>
          <w:rtl/>
        </w:rPr>
        <w:t xml:space="preserve">האיסור בטלטול מנורה שמא תתפרק ויחזירנה, </w:t>
      </w:r>
      <w:r w:rsidRPr="008267A7">
        <w:rPr>
          <w:rStyle w:val="af"/>
          <w:rFonts w:hint="cs"/>
          <w:rtl/>
        </w:rPr>
        <w:t>[ע"י אומן],</w:t>
      </w:r>
      <w:r w:rsidRPr="00F05D34">
        <w:rPr>
          <w:rFonts w:hint="cs"/>
          <w:rtl/>
        </w:rPr>
        <w:t xml:space="preserve"> </w:t>
      </w:r>
      <w:r>
        <w:rPr>
          <w:rFonts w:hint="cs"/>
          <w:rtl/>
        </w:rPr>
        <w:t xml:space="preserve">דהוא כעושה כלי, </w:t>
      </w:r>
      <w:r w:rsidRPr="00F05D34">
        <w:rPr>
          <w:rFonts w:hint="cs"/>
          <w:rtl/>
        </w:rPr>
        <w:t xml:space="preserve">וכתב </w:t>
      </w:r>
      <w:r w:rsidRPr="005B1F28">
        <w:rPr>
          <w:b/>
          <w:bCs/>
          <w:rtl/>
        </w:rPr>
        <w:t xml:space="preserve">הרמב"ן </w:t>
      </w:r>
      <w:r w:rsidRPr="00F05D34">
        <w:rPr>
          <w:rFonts w:hint="cs"/>
          <w:rtl/>
        </w:rPr>
        <w:t xml:space="preserve">דהא דאיתא בגמ' בביצה </w:t>
      </w:r>
      <w:r w:rsidRPr="005B1F28">
        <w:rPr>
          <w:rStyle w:val="af2"/>
          <w:rFonts w:eastAsia="Guttman Hodes" w:hint="cs"/>
          <w:rtl/>
        </w:rPr>
        <w:t>(יא:)</w:t>
      </w:r>
      <w:r w:rsidRPr="00F05D34">
        <w:rPr>
          <w:rFonts w:hint="cs"/>
          <w:rtl/>
        </w:rPr>
        <w:t xml:space="preserve"> דב"ה התירו החזרת תריסין, היינו כיון דס"ל דאין בנין וכלים, ואפ"ה התירו רק בתריסי החנויות משום שמחת יו"ט התירו, אבל תריסי הכלים שבבתים אסור מדרבנן, דגזרו צין מן האמצע אטו ציר מן הצד, וביאר </w:t>
      </w:r>
      <w:r w:rsidRPr="005B1F28">
        <w:rPr>
          <w:rStyle w:val="aff4"/>
          <w:rFonts w:hint="cs"/>
          <w:vanish/>
          <w:rtl/>
        </w:rPr>
        <w:t>-</w:t>
      </w:r>
      <w:r w:rsidRPr="00C07E8C">
        <w:rPr>
          <w:rStyle w:val="aff4"/>
          <w:rFonts w:hint="cs"/>
          <w:rtl/>
        </w:rPr>
        <w:t>הרמב"ן</w:t>
      </w:r>
      <w:r w:rsidRPr="005B1F28">
        <w:rPr>
          <w:rStyle w:val="aff4"/>
          <w:rFonts w:hint="cs"/>
          <w:vanish/>
          <w:rtl/>
        </w:rPr>
        <w:t>-</w:t>
      </w:r>
      <w:r w:rsidRPr="00F05D34">
        <w:rPr>
          <w:rFonts w:hint="cs"/>
          <w:rtl/>
        </w:rPr>
        <w:t xml:space="preserve"> דהחזרת ציר מן הצד היא מעשה אומן, והוא כעושה כלי מתחילתו דחייב בבונה.</w:t>
      </w:r>
      <w:bookmarkEnd w:id="6081"/>
    </w:p>
    <w:bookmarkEnd w:id="6082"/>
    <w:p w14:paraId="2E0AAB9A" w14:textId="77777777" w:rsidR="000F6808" w:rsidRPr="0088513D" w:rsidRDefault="000F6808" w:rsidP="000F6808">
      <w:pPr>
        <w:pStyle w:val="afffffe"/>
        <w:rPr>
          <w:vanish/>
        </w:rPr>
      </w:pPr>
      <w:r w:rsidRPr="0088513D">
        <w:rPr>
          <w:rFonts w:hint="cs"/>
          <w:vanish/>
          <w:rtl/>
        </w:rPr>
        <w:t>חדושי הרמב"ן שבת ק"ב ע"ב ד"ה רב</w:t>
      </w:r>
    </w:p>
    <w:p w14:paraId="6A660D9B" w14:textId="77777777" w:rsidR="000F6808" w:rsidRPr="00111645" w:rsidRDefault="000F6808" w:rsidP="000F6808">
      <w:pPr>
        <w:pStyle w:val="a2"/>
      </w:pPr>
      <w:r w:rsidRPr="00111645">
        <w:rPr>
          <w:rtl/>
        </w:rPr>
        <w:t>והיינו דגזרי' בפ' כירה (מ"ו א') במנורה של חוליות ואסרינן לה אפי' לטלטלה גזירה משום שמא תפול ותתפרק לגמרי ויחזירנה ונמצא עושה כלי בתחלה בשבת, וההיא דאמרי' במס' ביצה (י"א ב') גבי תריסי חנויות מהו דתימא טעמא דב"ה משום דאין בנין בכלים ואין סתירה בכלים ואפי' דבתים נמי קמ"ל הותרו סופן משום תחלתן דחנויות אין דבתים לא, לאו למימרא דסברי ב"ה יש בנין בכלים ויש סתירה בכלים, אלא ה"ק מהו דתימא טעמייהו דב"ה לאו משום שמחת י"ט כלל אלא משום דסברי אין בנין בכלים וגזירה לא סבירא להו למגזר הכא, קמ"ל דטעמייהו משום שמחת יום טוב שאלמלא כן היו גוזרין עליהן בשיש להן ציר באמצע אטו מן הצד, ומן הצד אסור דהו"ל מלאכת אומן וכעושה כלי לכתחלה דמי, ומשום שמחת י"ט הוא דלא גזרי הלכך בדבתים דליכא משום שמחת י"ט גזרי' ואסירי.</w:t>
      </w:r>
    </w:p>
    <w:p w14:paraId="6824EB44" w14:textId="77777777" w:rsidR="000F6808" w:rsidRDefault="000F6808" w:rsidP="000F6808">
      <w:pPr>
        <w:pStyle w:val="afffff7"/>
        <w:rPr>
          <w:rtl/>
        </w:rPr>
      </w:pPr>
      <w:bookmarkStart w:id="6083" w:name="_Toc145500846"/>
      <w:bookmarkStart w:id="6084" w:name="_Toc144909632"/>
      <w:bookmarkStart w:id="6085" w:name="_Toc163506386"/>
      <w:r>
        <w:rPr>
          <w:rtl/>
        </w:rPr>
        <w:t>ר"ן על הרי"ף שבת מ"ז ע"א</w:t>
      </w:r>
      <w:r>
        <w:rPr>
          <w:rFonts w:hint="cs"/>
          <w:rtl/>
        </w:rPr>
        <w:t xml:space="preserve"> מדה"ר ד"ה ת"ר</w:t>
      </w:r>
      <w:bookmarkEnd w:id="6083"/>
      <w:bookmarkEnd w:id="6085"/>
    </w:p>
    <w:p w14:paraId="6B62887C" w14:textId="77777777" w:rsidR="000F6808" w:rsidRDefault="000F6808" w:rsidP="000F6808">
      <w:pPr>
        <w:pStyle w:val="a7"/>
        <w:rPr>
          <w:rtl/>
        </w:rPr>
      </w:pPr>
      <w:bookmarkStart w:id="6086" w:name="_Toc145487125"/>
      <w:r>
        <w:rPr>
          <w:rFonts w:hint="cs"/>
          <w:rtl/>
        </w:rPr>
        <w:t>בי' הר"ן דגזרו שמא יתקע בחוזק דמכב"פ או בעושה כלי מתחילה או שצריך אומן דחייב בבונה</w:t>
      </w:r>
      <w:bookmarkEnd w:id="6086"/>
    </w:p>
    <w:p w14:paraId="3E1AF5C2" w14:textId="2E357A71" w:rsidR="000F6808" w:rsidRPr="00EE1BAD" w:rsidRDefault="000F6808" w:rsidP="000F6808">
      <w:pPr>
        <w:pStyle w:val="a3"/>
        <w:rPr>
          <w:rtl/>
        </w:rPr>
      </w:pPr>
      <w:bookmarkStart w:id="6087" w:name="_Ref145369038"/>
      <w:r>
        <w:rPr>
          <w:rFonts w:hint="cs"/>
          <w:rtl/>
        </w:rPr>
        <w:lastRenderedPageBreak/>
        <w:t xml:space="preserve">וכעי"ז כתב </w:t>
      </w:r>
      <w:r w:rsidRPr="00527EC6">
        <w:rPr>
          <w:b/>
          <w:bCs/>
          <w:rtl/>
        </w:rPr>
        <w:t>ה</w:t>
      </w:r>
      <w:r w:rsidRPr="00527EC6">
        <w:rPr>
          <w:b/>
          <w:bCs/>
          <w:vanish/>
          <w:rtl/>
        </w:rPr>
        <w:t xml:space="preserve"> &lt;, </w:t>
      </w:r>
      <w:r w:rsidRPr="00527EC6">
        <w:rPr>
          <w:b/>
          <w:bCs/>
          <w:vanish/>
          <w:rtl/>
        </w:rPr>
        <w:fldChar w:fldCharType="begin"/>
      </w:r>
      <w:r w:rsidRPr="00527EC6">
        <w:rPr>
          <w:b/>
          <w:bCs/>
          <w:vanish/>
          <w:rtl/>
        </w:rPr>
        <w:instrText xml:space="preserve"> </w:instrText>
      </w:r>
      <w:r w:rsidRPr="00527EC6">
        <w:rPr>
          <w:b/>
          <w:bCs/>
          <w:vanish/>
        </w:rPr>
        <w:instrText>REF</w:instrText>
      </w:r>
      <w:r w:rsidRPr="00527EC6">
        <w:rPr>
          <w:b/>
          <w:bCs/>
          <w:vanish/>
          <w:rtl/>
        </w:rPr>
        <w:instrText xml:space="preserve"> _</w:instrText>
      </w:r>
      <w:r w:rsidRPr="00527EC6">
        <w:rPr>
          <w:b/>
          <w:bCs/>
          <w:vanish/>
        </w:rPr>
        <w:instrText>Ref145369038 \r \h</w:instrText>
      </w:r>
      <w:r w:rsidRPr="00527EC6">
        <w:rPr>
          <w:b/>
          <w:bCs/>
          <w:vanish/>
          <w:rtl/>
        </w:rPr>
        <w:instrText xml:space="preserve"> </w:instrText>
      </w:r>
      <w:r w:rsidRPr="00527EC6">
        <w:rPr>
          <w:b/>
          <w:bCs/>
          <w:vanish/>
          <w:rtl/>
        </w:rPr>
      </w:r>
      <w:r w:rsidRPr="00527EC6">
        <w:rPr>
          <w:b/>
          <w:bCs/>
          <w:vanish/>
          <w:rtl/>
        </w:rPr>
        <w:fldChar w:fldCharType="separate"/>
      </w:r>
      <w:r w:rsidR="00D82181">
        <w:rPr>
          <w:b/>
          <w:bCs/>
          <w:vanish/>
          <w:cs/>
        </w:rPr>
        <w:t>‎</w:t>
      </w:r>
      <w:r w:rsidR="00D82181">
        <w:rPr>
          <w:b/>
          <w:bCs/>
          <w:vanish/>
          <w:rtl/>
        </w:rPr>
        <w:t>קמה)</w:t>
      </w:r>
      <w:r w:rsidRPr="00527EC6">
        <w:rPr>
          <w:b/>
          <w:bCs/>
          <w:vanish/>
          <w:rtl/>
        </w:rPr>
        <w:fldChar w:fldCharType="end"/>
      </w:r>
      <w:r w:rsidRPr="00527EC6">
        <w:rPr>
          <w:b/>
          <w:bCs/>
          <w:vanish/>
          <w:rtl/>
        </w:rPr>
        <w:t xml:space="preserve"> &gt;</w:t>
      </w:r>
      <w:r w:rsidRPr="00527EC6">
        <w:rPr>
          <w:rFonts w:hint="cs"/>
          <w:b/>
          <w:bCs/>
          <w:rtl/>
        </w:rPr>
        <w:t>ר"ן על הרי"ף לקמן</w:t>
      </w:r>
      <w:r w:rsidRPr="00527EC6">
        <w:rPr>
          <w:b/>
          <w:bCs/>
          <w:rtl/>
        </w:rPr>
        <w:t xml:space="preserve"> </w:t>
      </w:r>
      <w:r w:rsidRPr="00527EC6">
        <w:rPr>
          <w:rFonts w:ascii="Calibri" w:eastAsia="Times New Roman" w:hAnsi="Calibri" w:cs="Guttman Rashi"/>
          <w:noProof w:val="0"/>
          <w:sz w:val="10"/>
          <w:szCs w:val="12"/>
          <w:rtl/>
        </w:rPr>
        <w:t>(</w:t>
      </w:r>
      <w:r w:rsidRPr="00527EC6">
        <w:rPr>
          <w:rFonts w:ascii="Calibri" w:eastAsia="Times New Roman" w:hAnsi="Calibri" w:cs="Guttman Rashi" w:hint="cs"/>
          <w:noProof w:val="0"/>
          <w:sz w:val="10"/>
          <w:szCs w:val="12"/>
          <w:rtl/>
        </w:rPr>
        <w:t>מז. מדה"ר ד"ה ת"ר</w:t>
      </w:r>
      <w:bookmarkStart w:id="6088" w:name="_Hlk145349230"/>
      <w:r w:rsidRPr="00527EC6">
        <w:rPr>
          <w:rFonts w:ascii="Calibri" w:eastAsia="Times New Roman" w:hAnsi="Calibri" w:cs="Guttman Rashi" w:hint="cs"/>
          <w:noProof w:val="0"/>
          <w:sz w:val="10"/>
          <w:szCs w:val="12"/>
          <w:rtl/>
        </w:rPr>
        <w:t>, מהדו' עוז והדר עמ' ק"ל</w:t>
      </w:r>
      <w:bookmarkEnd w:id="6088"/>
      <w:r w:rsidRPr="00527EC6">
        <w:rPr>
          <w:rFonts w:ascii="Calibri" w:eastAsia="Times New Roman" w:hAnsi="Calibri" w:cs="Guttman Rashi"/>
          <w:noProof w:val="0"/>
          <w:sz w:val="10"/>
          <w:szCs w:val="12"/>
          <w:rtl/>
        </w:rPr>
        <w:t>)</w:t>
      </w:r>
      <w:r w:rsidRPr="00527EC6">
        <w:rPr>
          <w:vanish/>
          <w:rtl/>
        </w:rPr>
        <w:t>=</w:t>
      </w:r>
      <w:r>
        <w:rPr>
          <w:rtl/>
        </w:rPr>
        <w:t xml:space="preserve"> </w:t>
      </w:r>
      <w:r>
        <w:rPr>
          <w:rFonts w:hint="cs"/>
          <w:rtl/>
        </w:rPr>
        <w:t>דהא דאין מחזירין את דלתות הכלים, הוא אעפ"י דקיי"ל דאין בנין בכלים, מ"מ אסור גזירה שמא יתקע, והיינו דאם יתקע מסמר או יתד בחוזק יתחייב משום מכה בפטיש, או משום בונה בעושה כלי מתחילה,</w:t>
      </w:r>
      <w:r>
        <w:rPr>
          <w:rtl/>
        </w:rPr>
        <w:t xml:space="preserve"> </w:t>
      </w:r>
      <w:r w:rsidRPr="00527EC6">
        <w:rPr>
          <w:sz w:val="12"/>
          <w:szCs w:val="14"/>
          <w:rtl/>
        </w:rPr>
        <w:t>[</w:t>
      </w:r>
      <w:r w:rsidRPr="00527EC6">
        <w:rPr>
          <w:rFonts w:hint="cs"/>
          <w:sz w:val="12"/>
          <w:szCs w:val="14"/>
          <w:rtl/>
        </w:rPr>
        <w:t>כדעת</w:t>
      </w:r>
      <w:r w:rsidRPr="00527EC6">
        <w:rPr>
          <w:sz w:val="12"/>
          <w:szCs w:val="14"/>
          <w:rtl/>
        </w:rPr>
        <w:t xml:space="preserve"> </w:t>
      </w:r>
      <w:r w:rsidRPr="00527EC6">
        <w:rPr>
          <w:rFonts w:hint="cs"/>
          <w:b/>
          <w:bCs/>
          <w:szCs w:val="14"/>
          <w:rtl/>
        </w:rPr>
        <w:t>התוס'</w:t>
      </w:r>
      <w:r w:rsidRPr="00527EC6">
        <w:rPr>
          <w:sz w:val="12"/>
          <w:szCs w:val="14"/>
          <w:rtl/>
        </w:rPr>
        <w:t xml:space="preserve"> </w:t>
      </w:r>
      <w:r w:rsidRPr="00527EC6">
        <w:rPr>
          <w:rFonts w:ascii="Guttman Rashi" w:eastAsia="Guttman Rashi" w:hAnsi="Guttman Rashi" w:cs="Guttman Rashi" w:hint="cs"/>
          <w:sz w:val="10"/>
          <w:szCs w:val="10"/>
          <w:rtl/>
        </w:rPr>
        <w:t xml:space="preserve">(עי' אות </w:t>
      </w:r>
      <w:r>
        <w:rPr>
          <w:rFonts w:ascii="Guttman Rashi" w:eastAsia="Guttman Rashi" w:hAnsi="Guttman Rashi" w:cs="Guttman Rashi"/>
          <w:sz w:val="10"/>
          <w:szCs w:val="10"/>
          <w:rtl/>
        </w:rPr>
        <w:fldChar w:fldCharType="begin"/>
      </w:r>
      <w:r>
        <w:rPr>
          <w:rFonts w:ascii="Guttman Rashi" w:eastAsia="Guttman Rashi" w:hAnsi="Guttman Rashi" w:cs="Guttman Rashi"/>
          <w:sz w:val="10"/>
          <w:szCs w:val="10"/>
          <w:rtl/>
        </w:rPr>
        <w:instrText xml:space="preserve"> </w:instrText>
      </w:r>
      <w:r>
        <w:rPr>
          <w:rFonts w:ascii="Guttman Rashi" w:eastAsia="Guttman Rashi" w:hAnsi="Guttman Rashi" w:cs="Guttman Rashi" w:hint="cs"/>
          <w:sz w:val="10"/>
          <w:szCs w:val="10"/>
        </w:rPr>
        <w:instrText>REF</w:instrText>
      </w:r>
      <w:r>
        <w:rPr>
          <w:rFonts w:ascii="Guttman Rashi" w:eastAsia="Guttman Rashi" w:hAnsi="Guttman Rashi" w:cs="Guttman Rashi" w:hint="cs"/>
          <w:sz w:val="10"/>
          <w:szCs w:val="10"/>
          <w:rtl/>
        </w:rPr>
        <w:instrText xml:space="preserve"> _</w:instrText>
      </w:r>
      <w:r>
        <w:rPr>
          <w:rFonts w:ascii="Guttman Rashi" w:eastAsia="Guttman Rashi" w:hAnsi="Guttman Rashi" w:cs="Guttman Rashi" w:hint="cs"/>
          <w:sz w:val="10"/>
          <w:szCs w:val="10"/>
        </w:rPr>
        <w:instrText>Ref145461815 \r \h</w:instrText>
      </w:r>
      <w:r>
        <w:rPr>
          <w:rFonts w:ascii="Guttman Rashi" w:eastAsia="Guttman Rashi" w:hAnsi="Guttman Rashi" w:cs="Guttman Rashi"/>
          <w:sz w:val="10"/>
          <w:szCs w:val="10"/>
          <w:rtl/>
        </w:rPr>
        <w:instrText xml:space="preserve"> </w:instrText>
      </w:r>
      <w:r>
        <w:rPr>
          <w:rFonts w:ascii="Guttman Rashi" w:eastAsia="Guttman Rashi" w:hAnsi="Guttman Rashi" w:cs="Guttman Rashi"/>
          <w:sz w:val="10"/>
          <w:szCs w:val="10"/>
          <w:rtl/>
        </w:rPr>
      </w:r>
      <w:r>
        <w:rPr>
          <w:rFonts w:ascii="Guttman Rashi" w:eastAsia="Guttman Rashi" w:hAnsi="Guttman Rashi" w:cs="Guttman Rashi"/>
          <w:sz w:val="10"/>
          <w:szCs w:val="10"/>
          <w:rtl/>
        </w:rPr>
        <w:fldChar w:fldCharType="separate"/>
      </w:r>
      <w:r w:rsidR="00D82181">
        <w:rPr>
          <w:rFonts w:ascii="Guttman Rashi" w:eastAsia="Guttman Rashi" w:hAnsi="Guttman Rashi" w:cs="Guttman Rashi"/>
          <w:sz w:val="10"/>
          <w:szCs w:val="10"/>
          <w:cs/>
        </w:rPr>
        <w:t>‎</w:t>
      </w:r>
      <w:r w:rsidR="00D82181">
        <w:rPr>
          <w:rFonts w:ascii="Guttman Rashi" w:eastAsia="Guttman Rashi" w:hAnsi="Guttman Rashi" w:cs="Guttman Rashi"/>
          <w:sz w:val="10"/>
          <w:szCs w:val="10"/>
          <w:rtl/>
        </w:rPr>
        <w:t>קז)</w:t>
      </w:r>
      <w:r>
        <w:rPr>
          <w:rFonts w:ascii="Guttman Rashi" w:eastAsia="Guttman Rashi" w:hAnsi="Guttman Rashi" w:cs="Guttman Rashi"/>
          <w:sz w:val="10"/>
          <w:szCs w:val="10"/>
          <w:rtl/>
        </w:rPr>
        <w:fldChar w:fldCharType="end"/>
      </w:r>
      <w:r w:rsidRPr="00527EC6">
        <w:rPr>
          <w:sz w:val="12"/>
          <w:szCs w:val="14"/>
          <w:rtl/>
        </w:rPr>
        <w:t>]</w:t>
      </w:r>
      <w:r w:rsidRPr="00527EC6">
        <w:rPr>
          <w:rFonts w:hint="cs"/>
          <w:sz w:val="12"/>
          <w:szCs w:val="14"/>
          <w:rtl/>
        </w:rPr>
        <w:t>,</w:t>
      </w:r>
      <w:r>
        <w:rPr>
          <w:rFonts w:hint="cs"/>
          <w:rtl/>
        </w:rPr>
        <w:t xml:space="preserve"> או בכלי שצריך אומן להחזירו,</w:t>
      </w:r>
      <w:r>
        <w:rPr>
          <w:rtl/>
        </w:rPr>
        <w:t xml:space="preserve"> </w:t>
      </w:r>
      <w:r w:rsidRPr="00527EC6">
        <w:rPr>
          <w:sz w:val="12"/>
          <w:szCs w:val="14"/>
          <w:rtl/>
        </w:rPr>
        <w:t>[</w:t>
      </w:r>
      <w:r w:rsidRPr="00527EC6">
        <w:rPr>
          <w:rFonts w:hint="cs"/>
          <w:sz w:val="12"/>
          <w:szCs w:val="14"/>
          <w:rtl/>
        </w:rPr>
        <w:t>כדעת</w:t>
      </w:r>
      <w:r w:rsidRPr="00527EC6">
        <w:rPr>
          <w:sz w:val="12"/>
          <w:szCs w:val="14"/>
          <w:rtl/>
        </w:rPr>
        <w:t xml:space="preserve"> </w:t>
      </w:r>
      <w:r w:rsidRPr="00527EC6">
        <w:rPr>
          <w:rFonts w:hint="cs"/>
          <w:b/>
          <w:bCs/>
          <w:szCs w:val="14"/>
          <w:rtl/>
        </w:rPr>
        <w:t>הרמב"ן</w:t>
      </w:r>
      <w:r w:rsidRPr="00527EC6">
        <w:rPr>
          <w:sz w:val="12"/>
          <w:szCs w:val="14"/>
          <w:rtl/>
        </w:rPr>
        <w:t xml:space="preserve"> </w:t>
      </w:r>
      <w:r w:rsidRPr="00527EC6">
        <w:rPr>
          <w:rFonts w:ascii="Guttman Rashi" w:eastAsia="Guttman Rashi" w:hAnsi="Guttman Rashi" w:cs="Guttman Rashi" w:hint="cs"/>
          <w:sz w:val="10"/>
          <w:szCs w:val="10"/>
          <w:rtl/>
        </w:rPr>
        <w:t xml:space="preserve">(עי' אות </w:t>
      </w:r>
      <w:r>
        <w:rPr>
          <w:rFonts w:ascii="Guttman Rashi" w:eastAsia="Guttman Rashi" w:hAnsi="Guttman Rashi" w:cs="Guttman Rashi"/>
          <w:sz w:val="10"/>
          <w:szCs w:val="10"/>
          <w:rtl/>
        </w:rPr>
        <w:fldChar w:fldCharType="begin"/>
      </w:r>
      <w:r>
        <w:rPr>
          <w:rFonts w:ascii="Guttman Rashi" w:eastAsia="Guttman Rashi" w:hAnsi="Guttman Rashi" w:cs="Guttman Rashi"/>
          <w:sz w:val="10"/>
          <w:szCs w:val="10"/>
          <w:rtl/>
        </w:rPr>
        <w:instrText xml:space="preserve"> </w:instrText>
      </w:r>
      <w:r>
        <w:rPr>
          <w:rFonts w:ascii="Guttman Rashi" w:eastAsia="Guttman Rashi" w:hAnsi="Guttman Rashi" w:cs="Guttman Rashi" w:hint="cs"/>
          <w:sz w:val="10"/>
          <w:szCs w:val="10"/>
        </w:rPr>
        <w:instrText>REF</w:instrText>
      </w:r>
      <w:r>
        <w:rPr>
          <w:rFonts w:ascii="Guttman Rashi" w:eastAsia="Guttman Rashi" w:hAnsi="Guttman Rashi" w:cs="Guttman Rashi" w:hint="cs"/>
          <w:sz w:val="10"/>
          <w:szCs w:val="10"/>
          <w:rtl/>
        </w:rPr>
        <w:instrText xml:space="preserve"> _</w:instrText>
      </w:r>
      <w:r>
        <w:rPr>
          <w:rFonts w:ascii="Guttman Rashi" w:eastAsia="Guttman Rashi" w:hAnsi="Guttman Rashi" w:cs="Guttman Rashi" w:hint="cs"/>
          <w:sz w:val="10"/>
          <w:szCs w:val="10"/>
        </w:rPr>
        <w:instrText>Ref145463348 \r \h</w:instrText>
      </w:r>
      <w:r>
        <w:rPr>
          <w:rFonts w:ascii="Guttman Rashi" w:eastAsia="Guttman Rashi" w:hAnsi="Guttman Rashi" w:cs="Guttman Rashi"/>
          <w:sz w:val="10"/>
          <w:szCs w:val="10"/>
          <w:rtl/>
        </w:rPr>
        <w:instrText xml:space="preserve"> </w:instrText>
      </w:r>
      <w:r>
        <w:rPr>
          <w:rFonts w:ascii="Guttman Rashi" w:eastAsia="Guttman Rashi" w:hAnsi="Guttman Rashi" w:cs="Guttman Rashi"/>
          <w:sz w:val="10"/>
          <w:szCs w:val="10"/>
          <w:rtl/>
        </w:rPr>
      </w:r>
      <w:r>
        <w:rPr>
          <w:rFonts w:ascii="Guttman Rashi" w:eastAsia="Guttman Rashi" w:hAnsi="Guttman Rashi" w:cs="Guttman Rashi"/>
          <w:sz w:val="10"/>
          <w:szCs w:val="10"/>
          <w:rtl/>
        </w:rPr>
        <w:fldChar w:fldCharType="separate"/>
      </w:r>
      <w:r w:rsidR="00D82181">
        <w:rPr>
          <w:rFonts w:ascii="Guttman Rashi" w:eastAsia="Guttman Rashi" w:hAnsi="Guttman Rashi" w:cs="Guttman Rashi"/>
          <w:sz w:val="10"/>
          <w:szCs w:val="10"/>
          <w:cs/>
        </w:rPr>
        <w:t>‎</w:t>
      </w:r>
      <w:r w:rsidR="00D82181">
        <w:rPr>
          <w:rFonts w:ascii="Guttman Rashi" w:eastAsia="Guttman Rashi" w:hAnsi="Guttman Rashi" w:cs="Guttman Rashi"/>
          <w:sz w:val="10"/>
          <w:szCs w:val="10"/>
          <w:rtl/>
        </w:rPr>
        <w:t>קח)</w:t>
      </w:r>
      <w:r>
        <w:rPr>
          <w:rFonts w:ascii="Guttman Rashi" w:eastAsia="Guttman Rashi" w:hAnsi="Guttman Rashi" w:cs="Guttman Rashi"/>
          <w:sz w:val="10"/>
          <w:szCs w:val="10"/>
          <w:rtl/>
        </w:rPr>
        <w:fldChar w:fldCharType="end"/>
      </w:r>
      <w:r w:rsidRPr="00527EC6">
        <w:rPr>
          <w:sz w:val="12"/>
          <w:szCs w:val="14"/>
          <w:rtl/>
        </w:rPr>
        <w:t>]</w:t>
      </w:r>
      <w:r w:rsidRPr="00E04339">
        <w:rPr>
          <w:rStyle w:val="af"/>
          <w:rFonts w:hint="cs"/>
          <w:rtl/>
        </w:rPr>
        <w:t>,</w:t>
      </w:r>
      <w:r>
        <w:rPr>
          <w:rFonts w:hint="cs"/>
          <w:rtl/>
        </w:rPr>
        <w:t xml:space="preserve"> דבזה לא חשיב בנין בכלים, אלא עושה כלי מתחילתו וחייב משום בונה, ולכן חיישינן שמא יתקע, דתקיעה היא מלאכת אומן.</w:t>
      </w:r>
      <w:bookmarkEnd w:id="6087"/>
    </w:p>
    <w:p w14:paraId="2B52DEEE" w14:textId="77777777" w:rsidR="000F6808" w:rsidRPr="0088513D" w:rsidRDefault="000F6808" w:rsidP="000F6808">
      <w:pPr>
        <w:pStyle w:val="afffffe"/>
        <w:rPr>
          <w:vanish/>
          <w:rtl/>
        </w:rPr>
      </w:pPr>
      <w:r w:rsidRPr="0088513D">
        <w:rPr>
          <w:vanish/>
          <w:rtl/>
        </w:rPr>
        <w:t>ר"ן על הרי"ף שבת מ"ז ע"א</w:t>
      </w:r>
      <w:r w:rsidRPr="0088513D">
        <w:rPr>
          <w:rFonts w:hint="cs"/>
          <w:vanish/>
          <w:rtl/>
        </w:rPr>
        <w:t xml:space="preserve"> מדה"ר ד"ה ת"ר</w:t>
      </w:r>
    </w:p>
    <w:p w14:paraId="253F26EE" w14:textId="77777777" w:rsidR="000F6808" w:rsidRPr="00111645" w:rsidRDefault="000F6808" w:rsidP="000F6808">
      <w:pPr>
        <w:pStyle w:val="a2"/>
      </w:pPr>
      <w:r w:rsidRPr="00111645">
        <w:rPr>
          <w:rtl/>
        </w:rPr>
        <w:t>ולא מחזירין. לאו משום דיש בנין בכלים אלא משום גזירה שמא יתקע וכדמפרש ואזיל כלומר שמא יתקע מסמר או יתד בחזקה וחייב משום מכה בפטיש א"נ משום בונה דכי אמרינן [ביצה דף כב א] אין בנין בכלים ה"מ בכלי שנתפרק ואין צריך אומן בחזרתו אבל עושה כלי מתחלתו א"נ כלי שנתפרק וצריך אומן בחזרתו כל שהחזירו לא מיקרי בנין בכלים אלא עושה כלי מיקרי ומחייב משום בונה ומש"ה חיישינן לשמא יתקע דכל כה"ג מלאכת אומן הוא וכבר כתבתי זה למעלה בפ' הבונה בס"ד:</w:t>
      </w:r>
    </w:p>
    <w:p w14:paraId="02C54378" w14:textId="77777777" w:rsidR="000F6808" w:rsidRDefault="000F6808" w:rsidP="000F6808">
      <w:pPr>
        <w:pStyle w:val="1"/>
        <w:rPr>
          <w:rtl/>
        </w:rPr>
      </w:pPr>
      <w:bookmarkStart w:id="6089" w:name="_Toc145487126"/>
      <w:r w:rsidRPr="008521BF">
        <w:rPr>
          <w:rtl/>
        </w:rPr>
        <w:t>הבי' ה</w:t>
      </w:r>
      <w:r>
        <w:rPr>
          <w:rFonts w:hint="cs"/>
          <w:rtl/>
        </w:rPr>
        <w:t>ב</w:t>
      </w:r>
      <w:r w:rsidRPr="008521BF">
        <w:rPr>
          <w:rtl/>
        </w:rPr>
        <w:t xml:space="preserve">' </w:t>
      </w:r>
      <w:r>
        <w:rPr>
          <w:rFonts w:hint="cs"/>
          <w:rtl/>
        </w:rPr>
        <w:t>ב</w:t>
      </w:r>
      <w:r w:rsidRPr="008521BF">
        <w:rPr>
          <w:rtl/>
        </w:rPr>
        <w:t>רמב"ן דהגזירה בדרך להיות רפוי והוא גזירה לגזירה</w:t>
      </w:r>
      <w:bookmarkEnd w:id="6089"/>
    </w:p>
    <w:p w14:paraId="64B9FF40" w14:textId="77777777" w:rsidR="000F6808" w:rsidRPr="00F05D34" w:rsidRDefault="000F6808" w:rsidP="000F6808">
      <w:pPr>
        <w:keepNext/>
        <w:keepLines/>
        <w:spacing w:after="0" w:line="240" w:lineRule="auto"/>
        <w:ind w:left="-284"/>
        <w:jc w:val="both"/>
        <w:outlineLvl w:val="1"/>
        <w:rPr>
          <w:rFonts w:ascii="FrankRuehl" w:eastAsia="Guttman Hodes" w:hAnsi="FrankRuehl" w:cs="Guttman Rashi"/>
          <w:bCs/>
          <w:noProof/>
          <w:sz w:val="16"/>
          <w:szCs w:val="16"/>
        </w:rPr>
      </w:pPr>
      <w:r w:rsidRPr="00F05D34">
        <w:rPr>
          <w:rFonts w:ascii="FrankRuehl" w:eastAsia="Guttman Hodes" w:hAnsi="FrankRuehl" w:cs="Guttman Rashi" w:hint="cs"/>
          <w:bCs/>
          <w:noProof/>
          <w:sz w:val="16"/>
          <w:szCs w:val="16"/>
          <w:rtl/>
        </w:rPr>
        <w:t>חדושי הרמב"ן שבת ק"ב ע"ב ד"ה רב</w:t>
      </w:r>
    </w:p>
    <w:p w14:paraId="4E821DFB" w14:textId="77777777" w:rsidR="000F6808" w:rsidRPr="00F05D34" w:rsidRDefault="000F6808" w:rsidP="000F6808">
      <w:pPr>
        <w:pStyle w:val="a7"/>
        <w:rPr>
          <w:rtl/>
        </w:rPr>
      </w:pPr>
      <w:bookmarkStart w:id="6090" w:name="_Toc145487127"/>
      <w:r>
        <w:rPr>
          <w:rFonts w:hint="cs"/>
          <w:rtl/>
        </w:rPr>
        <w:t>בי' הי"מ ברמב"ן דציר מהצד אסור מגזירה דיתקע ומהאמצע אטו מהצד דגזירה לגזירה במצוי</w:t>
      </w:r>
      <w:bookmarkEnd w:id="6084"/>
      <w:bookmarkEnd w:id="6090"/>
    </w:p>
    <w:p w14:paraId="70C50DF5" w14:textId="77777777" w:rsidR="000F6808" w:rsidRPr="00F05D34" w:rsidRDefault="000F6808" w:rsidP="000F6808">
      <w:pPr>
        <w:pStyle w:val="a3"/>
        <w:rPr>
          <w:rtl/>
        </w:rPr>
      </w:pPr>
      <w:bookmarkStart w:id="6091" w:name="_Ref145448553"/>
      <w:r w:rsidRPr="00F05D34">
        <w:rPr>
          <w:rFonts w:hint="cs"/>
          <w:rtl/>
        </w:rPr>
        <w:t xml:space="preserve">ועוד הביא </w:t>
      </w:r>
      <w:r w:rsidRPr="00E24FB9">
        <w:rPr>
          <w:rStyle w:val="aff4"/>
          <w:rFonts w:hint="cs"/>
          <w:vanish/>
          <w:rtl/>
        </w:rPr>
        <w:t>-</w:t>
      </w:r>
      <w:r w:rsidRPr="00C07E8C">
        <w:rPr>
          <w:rStyle w:val="aff4"/>
          <w:rFonts w:hint="cs"/>
          <w:rtl/>
        </w:rPr>
        <w:t>הרמב"ן</w:t>
      </w:r>
      <w:r w:rsidRPr="008521BF">
        <w:rPr>
          <w:rFonts w:hint="cs"/>
          <w:b/>
          <w:bCs/>
          <w:rtl/>
        </w:rPr>
        <w:t xml:space="preserve"> </w:t>
      </w:r>
      <w:r>
        <w:rPr>
          <w:rFonts w:hint="cs"/>
          <w:b/>
          <w:bCs/>
          <w:rtl/>
        </w:rPr>
        <w:t>בסוגיין</w:t>
      </w:r>
      <w:r w:rsidRPr="00E24FB9">
        <w:rPr>
          <w:rStyle w:val="aff4"/>
          <w:rFonts w:hint="cs"/>
          <w:vanish/>
          <w:rtl/>
        </w:rPr>
        <w:t>-</w:t>
      </w:r>
      <w:r w:rsidRPr="00F05D34">
        <w:rPr>
          <w:rFonts w:hint="cs"/>
          <w:b/>
          <w:bCs/>
          <w:rtl/>
        </w:rPr>
        <w:t xml:space="preserve"> </w:t>
      </w:r>
      <w:r w:rsidRPr="00C962CD">
        <w:rPr>
          <w:rStyle w:val="af2"/>
          <w:rFonts w:eastAsia="Guttman Hodes" w:hint="cs"/>
          <w:rtl/>
        </w:rPr>
        <w:t>(ד"ה רב)</w:t>
      </w:r>
      <w:r w:rsidRPr="00F05D34">
        <w:rPr>
          <w:rFonts w:hint="cs"/>
          <w:rtl/>
        </w:rPr>
        <w:t xml:space="preserve"> בשם </w:t>
      </w:r>
      <w:r w:rsidRPr="00E24FB9">
        <w:rPr>
          <w:rStyle w:val="aff4"/>
          <w:rFonts w:hint="cs"/>
          <w:vanish/>
          <w:rtl/>
        </w:rPr>
        <w:t>-</w:t>
      </w:r>
      <w:r w:rsidRPr="00C07E8C">
        <w:rPr>
          <w:rStyle w:val="aff4"/>
          <w:rFonts w:hint="cs"/>
          <w:rtl/>
        </w:rPr>
        <w:t>י"א</w:t>
      </w:r>
      <w:r w:rsidRPr="00E24FB9">
        <w:rPr>
          <w:rStyle w:val="aff4"/>
          <w:rFonts w:hint="cs"/>
          <w:vanish/>
          <w:rtl/>
        </w:rPr>
        <w:t>-</w:t>
      </w:r>
      <w:r w:rsidRPr="00F05D34">
        <w:rPr>
          <w:rFonts w:hint="cs"/>
          <w:rtl/>
        </w:rPr>
        <w:t xml:space="preserve"> דהאיסור בציר מן הצד הוא מגזירה שמא יתקע, דאף אחר שיתקע יכול לפתוח דהדלת תסוב על צירה, </w:t>
      </w:r>
      <w:r w:rsidRPr="002E4592">
        <w:rPr>
          <w:rStyle w:val="af"/>
          <w:rFonts w:hint="cs"/>
          <w:rtl/>
        </w:rPr>
        <w:t>[ולא מחמת דהוא מעשה אומן],</w:t>
      </w:r>
      <w:r w:rsidRPr="00F05D34">
        <w:rPr>
          <w:rFonts w:hint="cs"/>
          <w:rtl/>
        </w:rPr>
        <w:t xml:space="preserve"> אבל בציר מן האמצע לא חששו שמא יתקע דאם יתקע לא יוכל לפתוח אח"כ ביו"ט, ובציר מן האמצע הדלת אינה סבה על צירה,</w:t>
      </w:r>
      <w:r>
        <w:rPr>
          <w:rFonts w:hint="cs"/>
          <w:rtl/>
        </w:rPr>
        <w:t xml:space="preserve"> ומ"מ אסרו אטו ציר מן הצד,</w:t>
      </w:r>
      <w:r w:rsidRPr="00F05D34">
        <w:rPr>
          <w:rFonts w:hint="cs"/>
          <w:rtl/>
        </w:rPr>
        <w:t xml:space="preserve"> וכתב </w:t>
      </w:r>
      <w:r w:rsidRPr="00E24FB9">
        <w:rPr>
          <w:rStyle w:val="aff4"/>
          <w:rFonts w:hint="cs"/>
          <w:vanish/>
          <w:rtl/>
        </w:rPr>
        <w:t>-</w:t>
      </w:r>
      <w:r w:rsidRPr="00C07E8C">
        <w:rPr>
          <w:rStyle w:val="aff4"/>
          <w:rFonts w:hint="cs"/>
          <w:rtl/>
        </w:rPr>
        <w:t>הרמב"ן</w:t>
      </w:r>
      <w:r w:rsidRPr="00E24FB9">
        <w:rPr>
          <w:rStyle w:val="aff4"/>
          <w:rFonts w:hint="cs"/>
          <w:vanish/>
          <w:rtl/>
        </w:rPr>
        <w:t>-</w:t>
      </w:r>
      <w:r w:rsidRPr="00F05D34">
        <w:rPr>
          <w:rFonts w:hint="cs"/>
          <w:rtl/>
        </w:rPr>
        <w:t xml:space="preserve"> דאעפ"י שהוא גזירה לגזירה מ"מ כיון שהוא שכיח גזרו בו.</w:t>
      </w:r>
      <w:bookmarkEnd w:id="6091"/>
    </w:p>
    <w:p w14:paraId="52B55FCC" w14:textId="77777777" w:rsidR="000F6808" w:rsidRPr="0088513D" w:rsidRDefault="000F6808" w:rsidP="000F6808">
      <w:pPr>
        <w:pStyle w:val="afffffe"/>
        <w:rPr>
          <w:vanish/>
        </w:rPr>
      </w:pPr>
      <w:r w:rsidRPr="0088513D">
        <w:rPr>
          <w:rFonts w:hint="cs"/>
          <w:vanish/>
          <w:rtl/>
        </w:rPr>
        <w:t>חדושי הרמב"ן שבת ק"ב ע"ב ד"ה רב</w:t>
      </w:r>
    </w:p>
    <w:p w14:paraId="1328EF40" w14:textId="77777777" w:rsidR="000F6808" w:rsidRPr="00111645" w:rsidRDefault="000F6808" w:rsidP="000F6808">
      <w:pPr>
        <w:pStyle w:val="a2"/>
      </w:pPr>
      <w:r w:rsidRPr="00111645">
        <w:rPr>
          <w:rtl/>
        </w:rPr>
        <w:t>וי"א דכשיש להן ציר מן הצד אסור משום גזירה שמא יתקע שהרי הדלת תסוב על צירה, אבל בשיש להן ציר באמצע אינו תוקע שהרי יש לו לפתוח כל היום ואינה סובבת לפיכך לא אסרוה אלא משום גזירה דמן הצד, ואף על גב דגזירה לגזירה לא גזרינן, בכל כה"ג דשכיחא גזרינן גזירה כדמוכח בפ' יום טוב שחל (ביצה י"ח א').</w:t>
      </w:r>
    </w:p>
    <w:p w14:paraId="246F316F" w14:textId="77777777" w:rsidR="000F6808" w:rsidRDefault="000F6808" w:rsidP="000F6808">
      <w:pPr>
        <w:pStyle w:val="afffff7"/>
        <w:rPr>
          <w:rtl/>
        </w:rPr>
      </w:pPr>
      <w:bookmarkStart w:id="6092" w:name="_Toc145500847"/>
      <w:bookmarkStart w:id="6093" w:name="_Toc163506387"/>
      <w:r>
        <w:rPr>
          <w:rtl/>
        </w:rPr>
        <w:t xml:space="preserve">מלחמת ה' ביצה ד' ע"א </w:t>
      </w:r>
      <w:r>
        <w:rPr>
          <w:rFonts w:hint="cs"/>
          <w:rtl/>
        </w:rPr>
        <w:t>מדה"ר ד"ה ועוד אנו</w:t>
      </w:r>
      <w:bookmarkEnd w:id="6092"/>
      <w:bookmarkEnd w:id="6093"/>
    </w:p>
    <w:p w14:paraId="58C8383A" w14:textId="77777777" w:rsidR="000F6808" w:rsidRDefault="000F6808" w:rsidP="000F6808">
      <w:pPr>
        <w:pStyle w:val="afffff7"/>
        <w:rPr>
          <w:rtl/>
        </w:rPr>
      </w:pPr>
      <w:bookmarkStart w:id="6094" w:name="_Toc145500848"/>
      <w:bookmarkStart w:id="6095" w:name="_Toc163506388"/>
      <w:r>
        <w:rPr>
          <w:rtl/>
        </w:rPr>
        <w:t>חדושי הרשב"א ביצה י' ע"א</w:t>
      </w:r>
      <w:r>
        <w:rPr>
          <w:rFonts w:hint="cs"/>
          <w:rtl/>
        </w:rPr>
        <w:t xml:space="preserve"> ד"ה והרי"ף</w:t>
      </w:r>
      <w:bookmarkEnd w:id="6094"/>
      <w:bookmarkEnd w:id="6095"/>
    </w:p>
    <w:p w14:paraId="1421FF29" w14:textId="77777777" w:rsidR="000F6808" w:rsidRDefault="000F6808" w:rsidP="000F6808">
      <w:pPr>
        <w:pStyle w:val="a7"/>
        <w:rPr>
          <w:rtl/>
        </w:rPr>
      </w:pPr>
      <w:bookmarkStart w:id="6096" w:name="_Toc145487128"/>
      <w:r>
        <w:rPr>
          <w:rFonts w:hint="cs"/>
          <w:rtl/>
        </w:rPr>
        <w:t>בי' הרמב"ן דתריסין רפויין ולא עומדים לתקיעה ומדינא מותר וגזרו אטו מן הצד שמא יתקע</w:t>
      </w:r>
      <w:bookmarkEnd w:id="6096"/>
    </w:p>
    <w:p w14:paraId="7746858F" w14:textId="2B0D1ECB" w:rsidR="000F6808" w:rsidRPr="00CA7737" w:rsidRDefault="000F6808" w:rsidP="000F6808">
      <w:pPr>
        <w:pStyle w:val="a3"/>
        <w:rPr>
          <w:rtl/>
        </w:rPr>
      </w:pPr>
      <w:bookmarkStart w:id="6097" w:name="_Ref145326336"/>
      <w:r>
        <w:rPr>
          <w:rFonts w:hint="cs"/>
          <w:rtl/>
        </w:rPr>
        <w:t>וכן ביאר</w:t>
      </w:r>
      <w:r>
        <w:rPr>
          <w:rtl/>
        </w:rPr>
        <w:t xml:space="preserve"> </w:t>
      </w:r>
      <w:r w:rsidRPr="00972EC4">
        <w:rPr>
          <w:rStyle w:val="aff4"/>
          <w:rtl/>
        </w:rPr>
        <w:t>ה</w:t>
      </w:r>
      <w:r w:rsidRPr="00972EC4">
        <w:rPr>
          <w:rStyle w:val="aff4"/>
          <w:vanish/>
          <w:rtl/>
        </w:rPr>
        <w:t xml:space="preserve"> &lt;, </w:t>
      </w:r>
      <w:r w:rsidRPr="00972EC4">
        <w:rPr>
          <w:rStyle w:val="aff4"/>
          <w:vanish/>
          <w:rtl/>
        </w:rPr>
        <w:fldChar w:fldCharType="begin"/>
      </w:r>
      <w:r w:rsidRPr="00972EC4">
        <w:rPr>
          <w:rStyle w:val="aff4"/>
          <w:vanish/>
          <w:rtl/>
        </w:rPr>
        <w:instrText xml:space="preserve"> </w:instrText>
      </w:r>
      <w:r w:rsidRPr="00972EC4">
        <w:rPr>
          <w:rStyle w:val="aff4"/>
          <w:vanish/>
        </w:rPr>
        <w:instrText>REF</w:instrText>
      </w:r>
      <w:r w:rsidRPr="00972EC4">
        <w:rPr>
          <w:rStyle w:val="aff4"/>
          <w:vanish/>
          <w:rtl/>
        </w:rPr>
        <w:instrText xml:space="preserve"> _</w:instrText>
      </w:r>
      <w:r w:rsidRPr="00972EC4">
        <w:rPr>
          <w:rStyle w:val="aff4"/>
          <w:vanish/>
        </w:rPr>
        <w:instrText>Ref145326336 \r \h</w:instrText>
      </w:r>
      <w:r w:rsidRPr="00972EC4">
        <w:rPr>
          <w:rStyle w:val="aff4"/>
          <w:vanish/>
          <w:rtl/>
        </w:rPr>
        <w:instrText xml:space="preserve"> </w:instrText>
      </w:r>
      <w:r>
        <w:rPr>
          <w:rStyle w:val="aff4"/>
          <w:vanish/>
          <w:rtl/>
        </w:rPr>
        <w:instrText xml:space="preserve"> \* </w:instrText>
      </w:r>
      <w:r>
        <w:rPr>
          <w:rStyle w:val="aff4"/>
          <w:vanish/>
        </w:rPr>
        <w:instrText>MERGEFORMAT</w:instrText>
      </w:r>
      <w:r>
        <w:rPr>
          <w:rStyle w:val="aff4"/>
          <w:vanish/>
          <w:rtl/>
        </w:rPr>
        <w:instrText xml:space="preserve"> </w:instrText>
      </w:r>
      <w:r w:rsidRPr="00972EC4">
        <w:rPr>
          <w:rStyle w:val="aff4"/>
          <w:vanish/>
          <w:rtl/>
        </w:rPr>
      </w:r>
      <w:r w:rsidRPr="00972EC4">
        <w:rPr>
          <w:rStyle w:val="aff4"/>
          <w:vanish/>
          <w:rtl/>
        </w:rPr>
        <w:fldChar w:fldCharType="separate"/>
      </w:r>
      <w:r w:rsidR="00D82181">
        <w:rPr>
          <w:rStyle w:val="aff4"/>
          <w:vanish/>
          <w:cs/>
        </w:rPr>
        <w:t>‎</w:t>
      </w:r>
      <w:r w:rsidR="00D82181">
        <w:rPr>
          <w:rStyle w:val="aff4"/>
          <w:vanish/>
          <w:rtl/>
        </w:rPr>
        <w:t>קמז)</w:t>
      </w:r>
      <w:r w:rsidRPr="00972EC4">
        <w:rPr>
          <w:rStyle w:val="aff4"/>
          <w:vanish/>
          <w:rtl/>
        </w:rPr>
        <w:fldChar w:fldCharType="end"/>
      </w:r>
      <w:r w:rsidRPr="00972EC4">
        <w:rPr>
          <w:rStyle w:val="aff4"/>
          <w:vanish/>
          <w:rtl/>
        </w:rPr>
        <w:t xml:space="preserve"> &gt;</w:t>
      </w:r>
      <w:r w:rsidRPr="00972EC4">
        <w:rPr>
          <w:rStyle w:val="aff4"/>
          <w:rFonts w:hint="cs"/>
          <w:rtl/>
        </w:rPr>
        <w:t>רמב"ן במלחמות בביצה</w:t>
      </w:r>
      <w:r w:rsidRPr="00CA7737">
        <w:rPr>
          <w:rtl/>
        </w:rPr>
        <w:t xml:space="preserve"> </w:t>
      </w:r>
      <w:r w:rsidRPr="00CA7737">
        <w:rPr>
          <w:rFonts w:ascii="Calibri" w:eastAsia="Times New Roman" w:hAnsi="Calibri" w:cs="Guttman Rashi"/>
          <w:sz w:val="10"/>
          <w:szCs w:val="12"/>
          <w:rtl/>
        </w:rPr>
        <w:t>(</w:t>
      </w:r>
      <w:r>
        <w:rPr>
          <w:rFonts w:ascii="Calibri" w:eastAsia="Times New Roman" w:hAnsi="Calibri" w:cs="Guttman Rashi" w:hint="cs"/>
          <w:sz w:val="10"/>
          <w:szCs w:val="12"/>
          <w:rtl/>
        </w:rPr>
        <w:t>ד. מדה"ר ד"ה ועוד אנו, מהדו' עוז והדר עמ' י"א</w:t>
      </w:r>
      <w:r w:rsidRPr="00CA7737">
        <w:rPr>
          <w:rFonts w:ascii="Calibri" w:eastAsia="Times New Roman" w:hAnsi="Calibri" w:cs="Guttman Rashi"/>
          <w:sz w:val="10"/>
          <w:szCs w:val="12"/>
          <w:rtl/>
        </w:rPr>
        <w:t>)</w:t>
      </w:r>
      <w:r w:rsidRPr="00CA7737">
        <w:rPr>
          <w:vanish/>
          <w:rtl/>
        </w:rPr>
        <w:t>=</w:t>
      </w:r>
      <w:bookmarkEnd w:id="6097"/>
      <w:r>
        <w:rPr>
          <w:rFonts w:hint="cs"/>
          <w:rtl/>
        </w:rPr>
        <w:t xml:space="preserve"> דקיי"ל דמותר להחזיר תריסין שיש להם ציר באמצע כב"ה, ואין חשש שמא יתקע כיון דאינם עשויין לתקיעה, דהתריסין הם עומדים לטלטול ולא לתקיעה ולכן הם רפויין שיהיה נוח להשתמש בהם, ולכן מעיקר הדין מותר אף בשבת, דהא קיי"ל כרשב"ג דברפוי מותר, ואין כל צד לאוסרם, והוסיף</w:t>
      </w:r>
      <w:r>
        <w:rPr>
          <w:rtl/>
        </w:rPr>
        <w:t xml:space="preserve"> </w:t>
      </w:r>
      <w:r>
        <w:rPr>
          <w:rFonts w:hint="cs"/>
          <w:b/>
          <w:bCs/>
          <w:rtl/>
        </w:rPr>
        <w:t>הרמב"ן במלחמות</w:t>
      </w:r>
      <w:r>
        <w:rPr>
          <w:rtl/>
        </w:rPr>
        <w:t xml:space="preserve"> </w:t>
      </w:r>
      <w:r>
        <w:rPr>
          <w:rFonts w:hint="cs"/>
          <w:rtl/>
        </w:rPr>
        <w:t xml:space="preserve">דאף לב"ה דס"ל דיש בנין בכלים, כל האיסור הוא גזירה אטו ציר מן הצד ולב"ה הגזירה היא שמא יתקע, וכיון דהוא גזירה לגזירה לא גזרו בה משום שמחת יו"ט, וכ"כ </w:t>
      </w:r>
      <w:r w:rsidRPr="004B6D7D">
        <w:rPr>
          <w:rStyle w:val="aff4"/>
          <w:rtl/>
        </w:rPr>
        <w:t>ה</w:t>
      </w:r>
      <w:r w:rsidRPr="00CB1A56">
        <w:rPr>
          <w:rStyle w:val="aff4"/>
          <w:rFonts w:hint="cs"/>
          <w:vanish/>
          <w:rtl/>
        </w:rPr>
        <w:t>&lt; &gt;</w:t>
      </w:r>
      <w:r w:rsidRPr="004B6D7D">
        <w:rPr>
          <w:rStyle w:val="aff4"/>
          <w:rFonts w:hint="cs"/>
          <w:rtl/>
        </w:rPr>
        <w:t>רשב"א בביצה</w:t>
      </w:r>
      <w:r w:rsidRPr="004B6D7D">
        <w:rPr>
          <w:rStyle w:val="aff4"/>
          <w:rtl/>
        </w:rPr>
        <w:t xml:space="preserve"> </w:t>
      </w:r>
      <w:r w:rsidRPr="00442A85">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י. ד"ה והרי"ף</w:t>
      </w:r>
      <w:r w:rsidRPr="00442A85">
        <w:rPr>
          <w:rFonts w:ascii="Calibri" w:eastAsia="Times New Roman" w:hAnsi="Calibri" w:cs="Guttman Rashi"/>
          <w:noProof w:val="0"/>
          <w:sz w:val="10"/>
          <w:szCs w:val="12"/>
          <w:rtl/>
        </w:rPr>
        <w:t>)</w:t>
      </w:r>
      <w:r w:rsidRPr="00442A85">
        <w:rPr>
          <w:vanish/>
          <w:rtl/>
        </w:rPr>
        <w:t>=</w:t>
      </w:r>
      <w:r>
        <w:rPr>
          <w:rFonts w:hint="cs"/>
          <w:rtl/>
        </w:rPr>
        <w:t>.</w:t>
      </w:r>
      <w:r>
        <w:rPr>
          <w:rtl/>
        </w:rPr>
        <w:t xml:space="preserve"> </w:t>
      </w:r>
      <w:r w:rsidRPr="004136EE">
        <w:rPr>
          <w:sz w:val="12"/>
          <w:szCs w:val="14"/>
          <w:rtl/>
        </w:rPr>
        <w:t>[</w:t>
      </w:r>
      <w:r>
        <w:rPr>
          <w:rFonts w:hint="cs"/>
          <w:sz w:val="12"/>
          <w:szCs w:val="14"/>
          <w:rtl/>
        </w:rPr>
        <w:t>אבל בשבת גזרו בכה"ג כדביאר</w:t>
      </w:r>
      <w:r w:rsidRPr="00E24FB9">
        <w:rPr>
          <w:rStyle w:val="aff4"/>
          <w:rFonts w:hint="cs"/>
          <w:vanish/>
          <w:rtl/>
        </w:rPr>
        <w:t>-</w:t>
      </w:r>
      <w:r>
        <w:rPr>
          <w:rStyle w:val="aff4"/>
          <w:rFonts w:hint="cs"/>
          <w:rtl/>
        </w:rPr>
        <w:t xml:space="preserve"> </w:t>
      </w:r>
      <w:r w:rsidRPr="004136EE">
        <w:rPr>
          <w:rStyle w:val="aff9"/>
          <w:rFonts w:hint="cs"/>
          <w:rtl/>
        </w:rPr>
        <w:t>הרמב"ן</w:t>
      </w:r>
      <w:r w:rsidRPr="00F05D34">
        <w:rPr>
          <w:rFonts w:hint="cs"/>
          <w:rtl/>
        </w:rPr>
        <w:t xml:space="preserve"> </w:t>
      </w:r>
      <w:r w:rsidRPr="004136EE">
        <w:rPr>
          <w:rStyle w:val="aff0"/>
          <w:rFonts w:hint="cs"/>
          <w:rtl/>
        </w:rPr>
        <w:t>(</w:t>
      </w:r>
      <w:r>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Ref145448553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קמו)</w:t>
      </w:r>
      <w:r>
        <w:rPr>
          <w:rStyle w:val="aff0"/>
          <w:rtl/>
        </w:rPr>
        <w:fldChar w:fldCharType="end"/>
      </w:r>
      <w:r>
        <w:rPr>
          <w:rStyle w:val="aff0"/>
          <w:rFonts w:hint="cs"/>
          <w:rtl/>
        </w:rPr>
        <w:t xml:space="preserve"> </w:t>
      </w:r>
      <w:r w:rsidRPr="004136EE">
        <w:rPr>
          <w:rStyle w:val="af"/>
          <w:rFonts w:hint="cs"/>
          <w:rtl/>
        </w:rPr>
        <w:t>דאעפ"י שהוא גזירה לגזירה מ"מ כיון שהוא שכיח גזרו בו</w:t>
      </w:r>
      <w:r w:rsidRPr="004136EE">
        <w:rPr>
          <w:rStyle w:val="af"/>
          <w:rtl/>
        </w:rPr>
        <w:t>]</w:t>
      </w:r>
      <w:r>
        <w:rPr>
          <w:rStyle w:val="af"/>
          <w:rFonts w:hint="cs"/>
          <w:rtl/>
        </w:rPr>
        <w:t>.</w:t>
      </w:r>
      <w:r>
        <w:rPr>
          <w:rtl/>
        </w:rPr>
        <w:t xml:space="preserve"> </w:t>
      </w:r>
    </w:p>
    <w:p w14:paraId="677EAB98" w14:textId="77777777" w:rsidR="000F6808" w:rsidRPr="0088513D" w:rsidRDefault="000F6808" w:rsidP="000F6808">
      <w:pPr>
        <w:pStyle w:val="afffffe"/>
        <w:rPr>
          <w:vanish/>
          <w:rtl/>
        </w:rPr>
      </w:pPr>
      <w:r w:rsidRPr="0088513D">
        <w:rPr>
          <w:vanish/>
          <w:rtl/>
        </w:rPr>
        <w:t xml:space="preserve">מלחמת ה' ביצה ד' ע"א </w:t>
      </w:r>
      <w:r w:rsidRPr="0088513D">
        <w:rPr>
          <w:rFonts w:hint="cs"/>
          <w:vanish/>
          <w:rtl/>
        </w:rPr>
        <w:t>מדה"ר ד"ה ועוד אנו</w:t>
      </w:r>
    </w:p>
    <w:p w14:paraId="0189CEBF" w14:textId="77777777" w:rsidR="000F6808" w:rsidRPr="00111645" w:rsidRDefault="000F6808" w:rsidP="000F6808">
      <w:pPr>
        <w:pStyle w:val="a2"/>
        <w:rPr>
          <w:rtl/>
        </w:rPr>
      </w:pPr>
      <w:r w:rsidRPr="00111645">
        <w:rPr>
          <w:rtl/>
        </w:rPr>
        <w:t>ועוד ואנו תמהים עליו היאך פסק בחזרת תריסין כבית הלל לקולא כו'. אמר הכותב הנה בעל המאור מתמיה על רבינו הגדול ז"ל ואני תמה על כל הגאונים שכך פסקו כולם זכרונם לברכה ולא ראינו להם בחבוריהם המגיעים לידינו טעם מפורש בדבר וכשאני מחפש ומהפך בשמועות לזכותם יש לי לפרש ולומר דלר' יוחנן מוחלפת שיטתן של ב"ה דקסבר בשיש להם ציר מן הצד פליגי דשרו ב"ה משום דאין בנין בכלים ואף על פי שהיא מלאכה קבועה ודינה להיות פטור אבל אסור עליה כדאמרינן בפרק כירה בבנין מן הצד נהי דאיסורא דאורייתא ליכא דרבנן מיהא איכא כלומר מפני שהיא מלאכה מתקיימת אפילו הכי משום שמחת יום טוב מותרת ומשום הכי קשיא ליה מהשוחט דהתם נמי מלאכה היא דאי צריך לגופיה חייב עליה אלא שפטור משום כוונה שלו שאינו צריך אלא לעפרא ונטילתן נמי קשיא ליה ולפום הכי אפיך מאי דאפיך והשתא דקיימא לן דבשאין להם ציר אלא באמצע פליגי נטילתן מותרת אפילו בשבת ובחזרתן נמי אין בה משום שמא יתקע שאין עשוי ליתקע בתריסין שהרי כל עצמן לטלטלן הם עשויין ואדרבה רפויין נינהו כדי שיהו נוחין לתשמישן הילכך מדינא אפילו בשבת שרי דקי"ל אם היה רפוי מותר ואין לך בהן צד איסור אפילו לב"ש דסברי יש בנין בכלים אלא משום גזרה אטו מן הצד והיא גופא לב"ה משום שמא יתקע הילכך משום שמחת יום טוב לא גזרינן גזירה לגזירה בכה"ג</w:t>
      </w:r>
      <w:r w:rsidRPr="00111645">
        <w:rPr>
          <w:rFonts w:hint="cs"/>
          <w:rtl/>
        </w:rPr>
        <w:t>.</w:t>
      </w:r>
    </w:p>
    <w:p w14:paraId="1ECD37C7" w14:textId="77777777" w:rsidR="000F6808" w:rsidRPr="0088513D" w:rsidRDefault="000F6808" w:rsidP="000F6808">
      <w:pPr>
        <w:pStyle w:val="afffffe"/>
        <w:rPr>
          <w:vanish/>
          <w:rtl/>
        </w:rPr>
      </w:pPr>
      <w:r w:rsidRPr="0088513D">
        <w:rPr>
          <w:vanish/>
          <w:rtl/>
        </w:rPr>
        <w:t>חדושי הרשב"א ביצה י' ע"א</w:t>
      </w:r>
      <w:r w:rsidRPr="0088513D">
        <w:rPr>
          <w:rFonts w:hint="cs"/>
          <w:vanish/>
          <w:rtl/>
        </w:rPr>
        <w:t xml:space="preserve"> ד"ה והרי"ף</w:t>
      </w:r>
    </w:p>
    <w:p w14:paraId="41E17E39" w14:textId="77777777" w:rsidR="000F6808" w:rsidRPr="004D1532" w:rsidRDefault="000F6808" w:rsidP="000F6808">
      <w:pPr>
        <w:pStyle w:val="afffff5"/>
        <w:rPr>
          <w:rStyle w:val="afff7"/>
          <w:rFonts w:ascii="David" w:hAnsi="David" w:cs="David"/>
          <w:noProof/>
          <w:color w:val="auto"/>
          <w:sz w:val="22"/>
          <w:szCs w:val="22"/>
          <w:rtl/>
        </w:rPr>
      </w:pPr>
      <w:r w:rsidRPr="00111645">
        <w:rPr>
          <w:rtl/>
        </w:rPr>
        <w:t xml:space="preserve">אבל אנן דקי"ל דאין בנין בכלים ואין סתירה בכלים ובתריסין שיש להן ציר באמצע פליגי ואף הן אינן נדחקים לעולם ורפוין הן הלכך אפי' בשבת שרי לסלק ואף להחזיר נמי מדינא שרי דקי"ל כרשב"ג דאמר התם בשלהי פרק כירה דאם הי' רפוי מותר ואפי' לב"ש אלא שגזרו אטו מן הצד ומן הצד נמי לב"ה אינו אסור אלא משום שמא יתקע הלכך משום שמחת י"ט לא גזרי' גזירה לגזירה בכה"ג לא מוכחא מילתא דעבר אשבות די"ט. </w:t>
      </w:r>
      <w:r w:rsidRPr="004D1532">
        <w:rPr>
          <w:rStyle w:val="afff7"/>
          <w:rtl/>
        </w:rPr>
        <w:t xml:space="preserve">וה"נ אמרי' בעור לפני הדורסן כיון דחזי למגזא עלייהו ולא מוכחא מלתא דעבר ליה בשבות דשרו ב"ה משום שמחת י"ט ואף על גב דהיכא דליכא משום שמחת י"ט כגון דערב י"ט ותריסין דבתים גזרינן והלכך קמו להו תרתין מתני' בלי הפוך כלל. כך תירץ הרמב"ן. </w:t>
      </w:r>
    </w:p>
    <w:p w14:paraId="02B42724" w14:textId="77777777" w:rsidR="000F6808" w:rsidRDefault="000F6808" w:rsidP="000F6808">
      <w:pPr>
        <w:pStyle w:val="1"/>
        <w:rPr>
          <w:rtl/>
        </w:rPr>
      </w:pPr>
      <w:bookmarkStart w:id="6098" w:name="_Toc145487129"/>
      <w:bookmarkStart w:id="6099" w:name="_Toc144909633"/>
      <w:r>
        <w:rPr>
          <w:rFonts w:hint="cs"/>
          <w:rtl/>
        </w:rPr>
        <w:t>הבי' הג' ברמב"ן דהאיסור בתריסין הוא למ"ד דיש בנין בכלים</w:t>
      </w:r>
      <w:bookmarkEnd w:id="6098"/>
    </w:p>
    <w:p w14:paraId="544E4461" w14:textId="77777777" w:rsidR="000F6808" w:rsidRPr="00F05D34" w:rsidRDefault="000F6808" w:rsidP="000F6808">
      <w:pPr>
        <w:pStyle w:val="afffff7"/>
      </w:pPr>
      <w:bookmarkStart w:id="6100" w:name="_Toc145500849"/>
      <w:bookmarkStart w:id="6101" w:name="_Toc163506389"/>
      <w:r w:rsidRPr="00F05D34">
        <w:rPr>
          <w:rFonts w:hint="cs"/>
          <w:rtl/>
        </w:rPr>
        <w:t>חדושי הרמב"ן שבת ק"ב ע"ב ד"ה רב</w:t>
      </w:r>
      <w:bookmarkEnd w:id="6100"/>
      <w:bookmarkEnd w:id="6101"/>
    </w:p>
    <w:p w14:paraId="59A20ED6" w14:textId="77777777" w:rsidR="000F6808" w:rsidRPr="00F05D34" w:rsidRDefault="000F6808" w:rsidP="000F6808">
      <w:pPr>
        <w:pStyle w:val="a7"/>
        <w:rPr>
          <w:rtl/>
        </w:rPr>
      </w:pPr>
      <w:bookmarkStart w:id="6102" w:name="_Toc145487130"/>
      <w:r>
        <w:rPr>
          <w:rFonts w:hint="cs"/>
          <w:rtl/>
        </w:rPr>
        <w:t>בי' הרמב"ן דעולא וריו"ח ס"ל דלב"ה יש בנין בכלים וזקיפה ל"ה כבנין ולדידן אין בנין בכלים</w:t>
      </w:r>
      <w:bookmarkEnd w:id="6099"/>
      <w:bookmarkEnd w:id="6102"/>
    </w:p>
    <w:p w14:paraId="3920112B" w14:textId="77777777" w:rsidR="000F6808" w:rsidRPr="00F05D34" w:rsidRDefault="000F6808" w:rsidP="000F6808">
      <w:pPr>
        <w:pStyle w:val="a3"/>
        <w:rPr>
          <w:rtl/>
        </w:rPr>
      </w:pPr>
      <w:r w:rsidRPr="00F05D34">
        <w:rPr>
          <w:rFonts w:hint="cs"/>
          <w:rtl/>
        </w:rPr>
        <w:t xml:space="preserve">ועוד ביאר </w:t>
      </w:r>
      <w:r w:rsidRPr="00E24FB9">
        <w:rPr>
          <w:rStyle w:val="aff4"/>
          <w:rFonts w:hint="cs"/>
          <w:vanish/>
          <w:rtl/>
        </w:rPr>
        <w:t>-</w:t>
      </w:r>
      <w:r w:rsidRPr="00C07E8C">
        <w:rPr>
          <w:rStyle w:val="aff4"/>
          <w:rFonts w:hint="cs"/>
          <w:rtl/>
        </w:rPr>
        <w:t>הרמב"ן</w:t>
      </w:r>
      <w:r w:rsidRPr="00A64AB5">
        <w:rPr>
          <w:rFonts w:hint="cs"/>
          <w:b/>
          <w:bCs/>
          <w:rtl/>
        </w:rPr>
        <w:t xml:space="preserve"> </w:t>
      </w:r>
      <w:r>
        <w:rPr>
          <w:rFonts w:hint="cs"/>
          <w:b/>
          <w:bCs/>
          <w:rtl/>
        </w:rPr>
        <w:t>בסוגיין</w:t>
      </w:r>
      <w:r w:rsidRPr="00E24FB9">
        <w:rPr>
          <w:rStyle w:val="aff4"/>
          <w:rFonts w:hint="cs"/>
          <w:vanish/>
          <w:rtl/>
        </w:rPr>
        <w:t>-</w:t>
      </w:r>
      <w:r w:rsidRPr="00F05D34">
        <w:rPr>
          <w:rFonts w:hint="cs"/>
          <w:b/>
          <w:bCs/>
          <w:rtl/>
        </w:rPr>
        <w:t xml:space="preserve"> </w:t>
      </w:r>
      <w:r w:rsidRPr="00C962CD">
        <w:rPr>
          <w:rStyle w:val="af2"/>
          <w:rFonts w:eastAsia="Guttman Hodes" w:hint="cs"/>
          <w:rtl/>
        </w:rPr>
        <w:t>(ד"ה רב)</w:t>
      </w:r>
      <w:r w:rsidRPr="00F05D34">
        <w:rPr>
          <w:rFonts w:hint="cs"/>
          <w:rtl/>
        </w:rPr>
        <w:t xml:space="preserve"> דאפש"ל דהאיסור בחזרת תריסין הוא משום בנין בכלים, ואעפ"י דלב"ה אין בנין </w:t>
      </w:r>
      <w:r>
        <w:rPr>
          <w:rFonts w:hint="cs"/>
          <w:rtl/>
        </w:rPr>
        <w:t>ב</w:t>
      </w:r>
      <w:r w:rsidRPr="00F05D34">
        <w:rPr>
          <w:rFonts w:hint="cs"/>
          <w:rtl/>
        </w:rPr>
        <w:t xml:space="preserve">כלים, מ"מ עולא ס"ל בדעת ב"ה דיש בנין בכלים, והא דמותר לזקוף מנורה לב"ה, הוא כיון דס"ל דזקיפת המנורה מצד עצמה לא נראית כבנין, כיון שהמנור לא התפרקה כלל, וכתב </w:t>
      </w:r>
      <w:r w:rsidRPr="00E24FB9">
        <w:rPr>
          <w:rStyle w:val="aff4"/>
          <w:rFonts w:hint="cs"/>
          <w:vanish/>
          <w:rtl/>
        </w:rPr>
        <w:t>-</w:t>
      </w:r>
      <w:r w:rsidRPr="00C07E8C">
        <w:rPr>
          <w:rStyle w:val="aff4"/>
          <w:rFonts w:hint="cs"/>
          <w:rtl/>
        </w:rPr>
        <w:t>הרמב"ן</w:t>
      </w:r>
      <w:r w:rsidRPr="00E24FB9">
        <w:rPr>
          <w:rStyle w:val="aff4"/>
          <w:rFonts w:hint="cs"/>
          <w:vanish/>
          <w:rtl/>
        </w:rPr>
        <w:t>-</w:t>
      </w:r>
      <w:r w:rsidRPr="00F05D34">
        <w:rPr>
          <w:rFonts w:hint="cs"/>
          <w:rtl/>
        </w:rPr>
        <w:t xml:space="preserve"> דזהו הביאור בדברי ריו"ח בגמ' בביצה </w:t>
      </w:r>
      <w:r w:rsidRPr="00C962CD">
        <w:rPr>
          <w:rStyle w:val="af2"/>
          <w:rFonts w:eastAsia="Guttman Hodes" w:hint="cs"/>
          <w:rtl/>
        </w:rPr>
        <w:t>(י.)</w:t>
      </w:r>
      <w:r w:rsidRPr="00F05D34">
        <w:rPr>
          <w:rFonts w:hint="cs"/>
          <w:rtl/>
        </w:rPr>
        <w:t xml:space="preserve"> דאמר דמוחלפת השיטה, והיינו דריו"ח ס"ל כעולא</w:t>
      </w:r>
      <w:r w:rsidRPr="00FF2457">
        <w:rPr>
          <w:rFonts w:hint="cs"/>
          <w:rtl/>
        </w:rPr>
        <w:t xml:space="preserve"> </w:t>
      </w:r>
      <w:r w:rsidRPr="00F05D34">
        <w:rPr>
          <w:rFonts w:hint="cs"/>
          <w:rtl/>
        </w:rPr>
        <w:t>בדעת ב"ה דיש בנין בכלים, אבל לדידן דקיי"ל דאין בנין בכלים א"צ להפוך את המשנה.</w:t>
      </w:r>
    </w:p>
    <w:p w14:paraId="1E3F67E7" w14:textId="77777777" w:rsidR="000F6808" w:rsidRPr="0088513D" w:rsidRDefault="000F6808" w:rsidP="000F6808">
      <w:pPr>
        <w:pStyle w:val="afffffe"/>
        <w:rPr>
          <w:vanish/>
        </w:rPr>
      </w:pPr>
      <w:r w:rsidRPr="0088513D">
        <w:rPr>
          <w:rFonts w:hint="cs"/>
          <w:vanish/>
          <w:rtl/>
        </w:rPr>
        <w:t>חדושי הרמב"ן שבת ק"ב ע"ב ד"ה רב</w:t>
      </w:r>
    </w:p>
    <w:p w14:paraId="0181D520" w14:textId="77777777" w:rsidR="000F6808" w:rsidRPr="00111645" w:rsidRDefault="000F6808" w:rsidP="000F6808">
      <w:pPr>
        <w:pStyle w:val="a2"/>
      </w:pPr>
      <w:r w:rsidRPr="00111645">
        <w:rPr>
          <w:rtl/>
        </w:rPr>
        <w:t>ויש לפרש דהני נמי בנין בכלים הוא וסברי ב"ה אליבא דעולא יש בנין בכלים, והא דאמרי' גבי מנורה זוקפין מנורה משום דלא מיחזי להו זקיפתה בלחוד כבנין כיון שלא נתפרקה כלל, והיינו נמי דאמר ר' יוחנן גבי מתני' דתריסין (י' א') מוחלפת השיטה, דסבר לה כעולא אבל אנן דקי"ל אין בנין בכלים לא מפכינן לה.</w:t>
      </w:r>
    </w:p>
    <w:p w14:paraId="6CD9D5AF" w14:textId="77777777" w:rsidR="000F6808" w:rsidRDefault="000F6808" w:rsidP="000F6808">
      <w:pPr>
        <w:pStyle w:val="afffff7"/>
        <w:rPr>
          <w:rtl/>
        </w:rPr>
      </w:pPr>
      <w:bookmarkStart w:id="6103" w:name="_Toc145500850"/>
      <w:bookmarkStart w:id="6104" w:name="_Toc163506390"/>
      <w:r>
        <w:rPr>
          <w:rtl/>
        </w:rPr>
        <w:t xml:space="preserve">מלחמת ה' ביצה ד' ע"א </w:t>
      </w:r>
      <w:r>
        <w:rPr>
          <w:rFonts w:hint="cs"/>
          <w:rtl/>
        </w:rPr>
        <w:t>מדה"ר ד"ה ויש שמחזק</w:t>
      </w:r>
      <w:bookmarkEnd w:id="6103"/>
      <w:bookmarkEnd w:id="6104"/>
    </w:p>
    <w:p w14:paraId="7BE78917" w14:textId="77777777" w:rsidR="000F6808" w:rsidRPr="008E7AA5" w:rsidRDefault="000F6808" w:rsidP="000F6808">
      <w:pPr>
        <w:pStyle w:val="a7"/>
        <w:rPr>
          <w:rtl/>
        </w:rPr>
      </w:pPr>
      <w:bookmarkStart w:id="6105" w:name="_Toc145487131"/>
      <w:r>
        <w:rPr>
          <w:rFonts w:hint="cs"/>
          <w:rtl/>
        </w:rPr>
        <w:t>בי' הרמב"ן בריו"ח דתריסין אינו דוחק והחזיר לא כ"צ פטור ומחזיר כ"צ חייב דיש בנין בכלים</w:t>
      </w:r>
      <w:bookmarkEnd w:id="6105"/>
    </w:p>
    <w:p w14:paraId="7C834019" w14:textId="40D475F9" w:rsidR="000F6808" w:rsidRDefault="000F6808" w:rsidP="000F6808">
      <w:pPr>
        <w:pStyle w:val="a3"/>
      </w:pPr>
      <w:bookmarkStart w:id="6106" w:name="_Ref145392639"/>
      <w:r>
        <w:rPr>
          <w:rFonts w:hint="cs"/>
          <w:rtl/>
        </w:rPr>
        <w:t>וכן כתב</w:t>
      </w:r>
      <w:r>
        <w:rPr>
          <w:rtl/>
        </w:rPr>
        <w:t xml:space="preserve"> </w:t>
      </w:r>
      <w:r>
        <w:rPr>
          <w:rFonts w:hint="cs"/>
          <w:b/>
          <w:bCs/>
          <w:rtl/>
        </w:rPr>
        <w:t>ב</w:t>
      </w:r>
      <w:r>
        <w:rPr>
          <w:rFonts w:hint="cs"/>
          <w:b/>
          <w:bCs/>
          <w:vanish/>
          <w:rtl/>
        </w:rPr>
        <w:t xml:space="preserve">&lt;, </w:t>
      </w:r>
      <w:r>
        <w:rPr>
          <w:b/>
          <w:bCs/>
          <w:vanish/>
          <w:rtl/>
        </w:rPr>
        <w:fldChar w:fldCharType="begin"/>
      </w:r>
      <w:r>
        <w:rPr>
          <w:b/>
          <w:bCs/>
          <w:vanish/>
          <w:rtl/>
        </w:rPr>
        <w:instrText xml:space="preserve"> </w:instrText>
      </w:r>
      <w:r>
        <w:rPr>
          <w:rFonts w:hint="cs"/>
          <w:b/>
          <w:bCs/>
          <w:vanish/>
        </w:rPr>
        <w:instrText>REF</w:instrText>
      </w:r>
      <w:r>
        <w:rPr>
          <w:rFonts w:hint="cs"/>
          <w:b/>
          <w:bCs/>
          <w:vanish/>
          <w:rtl/>
        </w:rPr>
        <w:instrText xml:space="preserve"> _</w:instrText>
      </w:r>
      <w:r>
        <w:rPr>
          <w:rFonts w:hint="cs"/>
          <w:b/>
          <w:bCs/>
          <w:vanish/>
        </w:rPr>
        <w:instrText>Ref145392639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קמט)</w:t>
      </w:r>
      <w:r>
        <w:rPr>
          <w:b/>
          <w:bCs/>
          <w:vanish/>
          <w:rtl/>
        </w:rPr>
        <w:fldChar w:fldCharType="end"/>
      </w:r>
      <w:r>
        <w:rPr>
          <w:rFonts w:hint="cs"/>
          <w:b/>
          <w:bCs/>
          <w:vanish/>
          <w:rtl/>
        </w:rPr>
        <w:t xml:space="preserve"> &gt;</w:t>
      </w:r>
      <w:r w:rsidRPr="005C354D">
        <w:rPr>
          <w:rFonts w:hint="cs"/>
          <w:b/>
          <w:bCs/>
          <w:rtl/>
        </w:rPr>
        <w:t xml:space="preserve">רמב"ן במלחמות </w:t>
      </w:r>
      <w:r w:rsidRPr="00972EC4">
        <w:rPr>
          <w:rStyle w:val="aff4"/>
          <w:rFonts w:hint="cs"/>
          <w:rtl/>
        </w:rPr>
        <w:t>בביצה</w:t>
      </w:r>
      <w:r w:rsidRPr="00CA7737">
        <w:rPr>
          <w:rtl/>
        </w:rPr>
        <w:t xml:space="preserve"> </w:t>
      </w:r>
      <w:r w:rsidRPr="005C354D">
        <w:rPr>
          <w:rFonts w:ascii="Calibri" w:eastAsia="Times New Roman" w:hAnsi="Calibri" w:cs="Guttman Rashi"/>
          <w:sz w:val="10"/>
          <w:szCs w:val="12"/>
          <w:rtl/>
        </w:rPr>
        <w:t>(</w:t>
      </w:r>
      <w:r w:rsidRPr="005C354D">
        <w:rPr>
          <w:rFonts w:ascii="Calibri" w:eastAsia="Times New Roman" w:hAnsi="Calibri" w:cs="Guttman Rashi" w:hint="cs"/>
          <w:sz w:val="10"/>
          <w:szCs w:val="12"/>
          <w:rtl/>
        </w:rPr>
        <w:t>ד. מדה"ר ד"ה ויש שמחזק, מהדו' עוז והדר עמ' י"א</w:t>
      </w:r>
      <w:r w:rsidRPr="005C354D">
        <w:rPr>
          <w:rFonts w:ascii="Calibri" w:eastAsia="Times New Roman" w:hAnsi="Calibri" w:cs="Guttman Rashi"/>
          <w:sz w:val="10"/>
          <w:szCs w:val="12"/>
          <w:rtl/>
        </w:rPr>
        <w:t>)</w:t>
      </w:r>
      <w:r w:rsidRPr="005C354D">
        <w:rPr>
          <w:vanish/>
          <w:rtl/>
        </w:rPr>
        <w:t>=</w:t>
      </w:r>
      <w:r>
        <w:rPr>
          <w:rFonts w:hint="cs"/>
          <w:rtl/>
        </w:rPr>
        <w:t xml:space="preserve"> דלדעת ריו"ח בגמ' לעיל</w:t>
      </w:r>
      <w:r>
        <w:rPr>
          <w:rtl/>
        </w:rPr>
        <w:t xml:space="preserve"> </w:t>
      </w:r>
      <w:r w:rsidRPr="005C354D">
        <w:rPr>
          <w:rFonts w:ascii="Calibri" w:eastAsia="Times New Roman" w:hAnsi="Calibri" w:cs="Guttman Rashi"/>
          <w:noProof w:val="0"/>
          <w:sz w:val="10"/>
          <w:szCs w:val="12"/>
          <w:rtl/>
        </w:rPr>
        <w:t>(</w:t>
      </w:r>
      <w:r w:rsidRPr="005C354D">
        <w:rPr>
          <w:rFonts w:ascii="Calibri" w:eastAsia="Times New Roman" w:hAnsi="Calibri" w:cs="Guttman Rashi" w:hint="cs"/>
          <w:noProof w:val="0"/>
          <w:sz w:val="10"/>
          <w:szCs w:val="12"/>
          <w:rtl/>
        </w:rPr>
        <w:t>מו.</w:t>
      </w:r>
      <w:r w:rsidRPr="005C354D">
        <w:rPr>
          <w:rFonts w:ascii="Calibri" w:eastAsia="Times New Roman" w:hAnsi="Calibri" w:cs="Guttman Rashi"/>
          <w:noProof w:val="0"/>
          <w:sz w:val="10"/>
          <w:szCs w:val="12"/>
          <w:rtl/>
        </w:rPr>
        <w:t>)</w:t>
      </w:r>
      <w:r>
        <w:rPr>
          <w:rtl/>
        </w:rPr>
        <w:t xml:space="preserve"> </w:t>
      </w:r>
      <w:r>
        <w:rPr>
          <w:rFonts w:hint="cs"/>
          <w:rtl/>
        </w:rPr>
        <w:t xml:space="preserve">דאסר לטלטל מנורה של חוליות ומבואר דס"ל דיש בנין בכלים, א"כ ס"ל דב"ה התירו לסלק ולהחזיר </w:t>
      </w:r>
      <w:r>
        <w:rPr>
          <w:rFonts w:hint="cs"/>
          <w:rtl/>
        </w:rPr>
        <w:t>את התריסין רק כיון דהדרך לטלטלם ואין דוחקים אותם, אבל אם החזירם כל צורכם חייב חטאת אף כשלא תקע, ובהחזירם שלא כל צורכם פטור אבל אסור, וכן מפורש בירושלמי בביצה</w:t>
      </w:r>
      <w:r>
        <w:rPr>
          <w:rtl/>
        </w:rPr>
        <w:t xml:space="preserve"> </w:t>
      </w:r>
      <w:r w:rsidRPr="005C354D">
        <w:rPr>
          <w:rFonts w:ascii="Calibri" w:eastAsia="Times New Roman" w:hAnsi="Calibri" w:cs="Guttman Rashi"/>
          <w:noProof w:val="0"/>
          <w:sz w:val="10"/>
          <w:szCs w:val="12"/>
          <w:rtl/>
        </w:rPr>
        <w:t>(</w:t>
      </w:r>
      <w:r w:rsidRPr="005C354D">
        <w:rPr>
          <w:rFonts w:ascii="Calibri" w:eastAsia="Times New Roman" w:hAnsi="Calibri" w:cs="Guttman Rashi" w:hint="cs"/>
          <w:noProof w:val="0"/>
          <w:sz w:val="10"/>
          <w:szCs w:val="12"/>
          <w:rtl/>
        </w:rPr>
        <w:t>פ"א ה"ה, ו:</w:t>
      </w:r>
      <w:r w:rsidRPr="005C354D">
        <w:rPr>
          <w:rFonts w:ascii="Calibri" w:eastAsia="Times New Roman" w:hAnsi="Calibri" w:cs="Guttman Rashi"/>
          <w:noProof w:val="0"/>
          <w:sz w:val="10"/>
          <w:szCs w:val="12"/>
          <w:rtl/>
        </w:rPr>
        <w:t>)</w:t>
      </w:r>
      <w:r>
        <w:rPr>
          <w:rFonts w:hint="cs"/>
          <w:rtl/>
        </w:rPr>
        <w:t xml:space="preserve"> בדברי ריו"ח, אך לדידן לא קיי"ל כריו"ח בתריסין ובמנורה, והוסיף </w:t>
      </w:r>
      <w:r w:rsidRPr="004B6D7D">
        <w:rPr>
          <w:rStyle w:val="aff4"/>
          <w:rtl/>
        </w:rPr>
        <w:t>ה</w:t>
      </w:r>
      <w:r w:rsidRPr="004B6D7D">
        <w:rPr>
          <w:rStyle w:val="aff4"/>
          <w:rFonts w:hint="cs"/>
          <w:rtl/>
        </w:rPr>
        <w:t>רשב"א בביצה</w:t>
      </w:r>
      <w:r w:rsidRPr="004B6D7D">
        <w:rPr>
          <w:rStyle w:val="aff4"/>
          <w:rtl/>
        </w:rPr>
        <w:t xml:space="preserve"> </w:t>
      </w:r>
      <w:r>
        <w:rPr>
          <w:rFonts w:hint="cs"/>
          <w:rtl/>
        </w:rPr>
        <w:t>בשם</w:t>
      </w:r>
      <w:r>
        <w:rPr>
          <w:rtl/>
        </w:rPr>
        <w:t xml:space="preserve"> </w:t>
      </w:r>
      <w:r w:rsidRPr="00CB1A56">
        <w:rPr>
          <w:rStyle w:val="aff4"/>
          <w:rFonts w:hint="cs"/>
          <w:rtl/>
        </w:rPr>
        <w:t>הרמב"ן</w:t>
      </w:r>
      <w:r>
        <w:rPr>
          <w:rFonts w:hint="cs"/>
          <w:rtl/>
        </w:rPr>
        <w:t xml:space="preserve"> דס"ל לריו"ח דמשום שמחת יו"ט התירו ב"ה ביו"ט חזרה כל שלא כל צורכה דהוא פטור אבל אסור, ולא חששו שמא יחזיר את התריסין כל צורכם.</w:t>
      </w:r>
      <w:bookmarkEnd w:id="6106"/>
    </w:p>
    <w:p w14:paraId="523EEBF4" w14:textId="77777777" w:rsidR="000F6808" w:rsidRPr="0088513D" w:rsidRDefault="000F6808" w:rsidP="000F6808">
      <w:pPr>
        <w:pStyle w:val="afffffe"/>
        <w:rPr>
          <w:vanish/>
          <w:rtl/>
        </w:rPr>
      </w:pPr>
      <w:r w:rsidRPr="0088513D">
        <w:rPr>
          <w:rFonts w:hint="cs"/>
          <w:vanish/>
          <w:rtl/>
        </w:rPr>
        <w:t xml:space="preserve"> </w:t>
      </w:r>
      <w:r w:rsidRPr="0088513D">
        <w:rPr>
          <w:vanish/>
          <w:rtl/>
        </w:rPr>
        <w:t xml:space="preserve">מלחמת ה' ביצה ד' ע"א </w:t>
      </w:r>
      <w:r w:rsidRPr="0088513D">
        <w:rPr>
          <w:rFonts w:hint="cs"/>
          <w:vanish/>
          <w:rtl/>
        </w:rPr>
        <w:t>מדה"ר ד"ה ויש שמחזק</w:t>
      </w:r>
    </w:p>
    <w:p w14:paraId="52EEC6A2" w14:textId="77777777" w:rsidR="000F6808" w:rsidRPr="00111645" w:rsidRDefault="000F6808" w:rsidP="000F6808">
      <w:pPr>
        <w:pStyle w:val="a2"/>
      </w:pPr>
      <w:r w:rsidRPr="00111645">
        <w:rPr>
          <w:rtl/>
        </w:rPr>
        <w:t>ויש שמחזק הענין הזה יותר לומר דרבי יוחנן סבר יש בנין בכלים ויש סתירה בכלים מדאמר בפרק כירה במנורה של חליות שאסור לטלטלה בשבת כטעמא דבית שמאי ביום טוב לקמן בפרק שני ולדידיה לא התירו ב"ה לסלק ולהחזיר אלא מפני שדרכן להטלטל ואינן נדחקין הא אלו החזיר כל צרכו אף על פי שלא תקע חייב חטאת ובחזרה עצמה פטור אבל אסור וכך מפורשת בירושלמי</w:t>
      </w:r>
      <w:r w:rsidRPr="00111645">
        <w:rPr>
          <w:rFonts w:hint="cs"/>
          <w:rtl/>
        </w:rPr>
        <w:t>.</w:t>
      </w:r>
    </w:p>
    <w:p w14:paraId="2D470A45" w14:textId="77777777" w:rsidR="000F6808" w:rsidRPr="0088513D" w:rsidRDefault="000F6808" w:rsidP="000F6808">
      <w:pPr>
        <w:pStyle w:val="afffffe"/>
        <w:rPr>
          <w:vanish/>
          <w:rtl/>
        </w:rPr>
      </w:pPr>
      <w:r w:rsidRPr="0088513D">
        <w:rPr>
          <w:vanish/>
          <w:rtl/>
        </w:rPr>
        <w:t>חדושי הרשב"א ביצה י' ע"א</w:t>
      </w:r>
      <w:r w:rsidRPr="0088513D">
        <w:rPr>
          <w:rFonts w:hint="cs"/>
          <w:vanish/>
          <w:rtl/>
        </w:rPr>
        <w:t xml:space="preserve"> ד"ה והרי"ף</w:t>
      </w:r>
    </w:p>
    <w:p w14:paraId="1961D59B" w14:textId="77777777" w:rsidR="000F6808" w:rsidRPr="00111645" w:rsidRDefault="000F6808" w:rsidP="000F6808">
      <w:pPr>
        <w:pStyle w:val="afffff5"/>
        <w:rPr>
          <w:noProof/>
        </w:rPr>
      </w:pPr>
      <w:r w:rsidRPr="00111645">
        <w:rPr>
          <w:noProof/>
          <w:rtl/>
        </w:rPr>
        <w:t xml:space="preserve">וי"ל דרבי יוחנן סבר דלא התירו ב"ה לסלק ולהחזיר אלא מפני שדרכן של תריסין להטלטל ואינן נדחקים הא אלו החזיר כל צרכו חייב חטאת ואף על פי שלא תקע, ואף על פי שלא החזיר כל צרכו כלומר שלא דחק פטור אבל אסור ומש"ה אסר רבי יוחנן גופי' לטלטל מנורה של חליות כדאיתא בפ' כירה, והלכך מסבר סבר ר' יוחנן שכל עצמן לא התירו ב"ה בתריסי חנויות אלא משום שמחת י"ט ולא חשו </w:t>
      </w:r>
      <w:r w:rsidRPr="00111645">
        <w:rPr>
          <w:rtl/>
        </w:rPr>
        <w:t xml:space="preserve">לשמא יחזיר כל צרכו והתירו החזרה בעצמה אף על פי שהוא פטור אבל אסור, </w:t>
      </w:r>
      <w:r w:rsidRPr="004D1532">
        <w:rPr>
          <w:rStyle w:val="afff7"/>
          <w:rtl/>
        </w:rPr>
        <w:t>ומש"ה הוה קשיא ליה הרי השוחט דדכותה הוא דכיון דאינו צריך אלא לעפרה ופטור עלי' הוה להו למשרי בהו משום שמחת י"ט ואף על גב דאי לאו משום שמחת י"ט פטור אבל אסור ואף על גב דאי מכוין לגומא עצמה חייב חטאת, והיינו דמהפך לה להא דתריסין</w:t>
      </w:r>
      <w:r w:rsidRPr="004D1532">
        <w:rPr>
          <w:rStyle w:val="afff7"/>
          <w:rFonts w:hint="cs"/>
          <w:rtl/>
        </w:rPr>
        <w:t>.</w:t>
      </w:r>
      <w:r w:rsidRPr="00111645">
        <w:rPr>
          <w:rtl/>
        </w:rPr>
        <w:t xml:space="preserve"> </w:t>
      </w:r>
    </w:p>
    <w:p w14:paraId="594C5B4C" w14:textId="77777777" w:rsidR="000F6808" w:rsidRPr="00F92E71" w:rsidRDefault="000F6808" w:rsidP="000F6808">
      <w:pPr>
        <w:pStyle w:val="a7"/>
        <w:rPr>
          <w:rtl/>
        </w:rPr>
      </w:pPr>
      <w:bookmarkStart w:id="6107" w:name="_Toc145487132"/>
      <w:r>
        <w:rPr>
          <w:rFonts w:hint="cs"/>
          <w:rtl/>
        </w:rPr>
        <w:t>בי' הרמב"ן ברי"ף דהשמיט את ריו"ח בטלטול מנורה דלדידן ביו"ט לא גזרו גזירה לגזירה</w:t>
      </w:r>
      <w:bookmarkEnd w:id="6107"/>
    </w:p>
    <w:p w14:paraId="61575118" w14:textId="77777777" w:rsidR="000F6808" w:rsidRPr="005F7D3E" w:rsidRDefault="000F6808" w:rsidP="000F6808">
      <w:pPr>
        <w:pStyle w:val="a3"/>
      </w:pPr>
      <w:r>
        <w:rPr>
          <w:rFonts w:hint="cs"/>
          <w:rtl/>
        </w:rPr>
        <w:t xml:space="preserve">וכתב </w:t>
      </w:r>
      <w:r w:rsidRPr="005C354D">
        <w:rPr>
          <w:rFonts w:hint="cs"/>
          <w:b/>
          <w:bCs/>
          <w:rtl/>
        </w:rPr>
        <w:t xml:space="preserve">הרמב"ן במלחמות </w:t>
      </w:r>
      <w:r w:rsidRPr="00972EC4">
        <w:rPr>
          <w:rStyle w:val="aff4"/>
          <w:rFonts w:hint="cs"/>
          <w:rtl/>
        </w:rPr>
        <w:t>בביצה</w:t>
      </w:r>
      <w:r w:rsidRPr="00CA7737">
        <w:rPr>
          <w:rtl/>
        </w:rPr>
        <w:t xml:space="preserve"> </w:t>
      </w:r>
      <w:r>
        <w:rPr>
          <w:rFonts w:hint="cs"/>
          <w:rtl/>
        </w:rPr>
        <w:t>דלכן השמיט</w:t>
      </w:r>
      <w:r>
        <w:rPr>
          <w:rtl/>
        </w:rPr>
        <w:t xml:space="preserve"> </w:t>
      </w:r>
      <w:r w:rsidRPr="005C354D">
        <w:rPr>
          <w:rFonts w:hint="cs"/>
          <w:b/>
          <w:bCs/>
          <w:rtl/>
        </w:rPr>
        <w:t>הרי"ף</w:t>
      </w:r>
      <w:r>
        <w:rPr>
          <w:rtl/>
        </w:rPr>
        <w:t xml:space="preserve"> </w:t>
      </w:r>
      <w:r>
        <w:rPr>
          <w:rFonts w:hint="cs"/>
          <w:rtl/>
        </w:rPr>
        <w:t>את דברי ריו"ח דאסר לטלטל מנורה, דהא קיי"ל דאין בנין בכלים, והאיסור בהחזרת תריסין שיש להם ציר באמצע הוא גזירה לגזירה ומשום שמחת יו"ט התירו ב"ה.</w:t>
      </w:r>
    </w:p>
    <w:p w14:paraId="6DCEE16E" w14:textId="77777777" w:rsidR="000F6808" w:rsidRPr="0088513D" w:rsidRDefault="000F6808" w:rsidP="000F6808">
      <w:pPr>
        <w:pStyle w:val="afffffe"/>
        <w:rPr>
          <w:vanish/>
          <w:rtl/>
        </w:rPr>
      </w:pPr>
      <w:r w:rsidRPr="0088513D">
        <w:rPr>
          <w:vanish/>
          <w:rtl/>
        </w:rPr>
        <w:t xml:space="preserve">מלחמת ה' ביצה ד' ע"א </w:t>
      </w:r>
      <w:r w:rsidRPr="0088513D">
        <w:rPr>
          <w:rFonts w:hint="cs"/>
          <w:vanish/>
          <w:rtl/>
        </w:rPr>
        <w:t>מדה"ר ד"ה ויש שמחזק</w:t>
      </w:r>
    </w:p>
    <w:p w14:paraId="34AB1F64" w14:textId="77777777" w:rsidR="000F6808" w:rsidRPr="00111645" w:rsidRDefault="000F6808" w:rsidP="000F6808">
      <w:pPr>
        <w:pStyle w:val="a2"/>
        <w:rPr>
          <w:rtl/>
        </w:rPr>
      </w:pPr>
      <w:r w:rsidRPr="00111645">
        <w:rPr>
          <w:rtl/>
        </w:rPr>
        <w:t>ואנן לא קיימא לן כרבי יוחנן לא בזו ולא במנורה של חליות שכך השמיטה רבינו זכרונו לברכה משם אלא קיימא לן אין בנין בכלים וחזרת תריסין בציר מן האמצע אינה אלא גזרה לגזרה וכדפרישית ומשום שמחת יום טוב שרו ב"ה</w:t>
      </w:r>
      <w:r w:rsidRPr="00111645">
        <w:rPr>
          <w:rFonts w:hint="cs"/>
          <w:rtl/>
        </w:rPr>
        <w:t>.</w:t>
      </w:r>
    </w:p>
    <w:p w14:paraId="23DFFE7F" w14:textId="77777777" w:rsidR="000F6808" w:rsidRPr="00366C6C" w:rsidRDefault="000F6808" w:rsidP="000F6808">
      <w:pPr>
        <w:pStyle w:val="a7"/>
      </w:pPr>
      <w:bookmarkStart w:id="6108" w:name="_Toc145487133"/>
      <w:r>
        <w:rPr>
          <w:rFonts w:hint="cs"/>
          <w:rtl/>
        </w:rPr>
        <w:t>קו' הרשב"א דקיי"ל כרשב"ג דמתיר ברפוי וא"כ אף בשבת מותר ולא רק מחמת שמחת יו"ט</w:t>
      </w:r>
      <w:bookmarkEnd w:id="6108"/>
    </w:p>
    <w:p w14:paraId="63330655" w14:textId="78209269" w:rsidR="000F6808" w:rsidRDefault="000F6808" w:rsidP="000F6808">
      <w:pPr>
        <w:pStyle w:val="a3"/>
        <w:rPr>
          <w:rtl/>
        </w:rPr>
      </w:pPr>
      <w:r>
        <w:rPr>
          <w:rFonts w:hint="cs"/>
          <w:rtl/>
        </w:rPr>
        <w:t xml:space="preserve">אך </w:t>
      </w:r>
      <w:r w:rsidRPr="004B6D7D">
        <w:rPr>
          <w:rStyle w:val="aff4"/>
          <w:rtl/>
        </w:rPr>
        <w:t>ה</w:t>
      </w:r>
      <w:r w:rsidRPr="004B6D7D">
        <w:rPr>
          <w:rStyle w:val="aff4"/>
          <w:rFonts w:hint="cs"/>
          <w:rtl/>
        </w:rPr>
        <w:t>רשב"א בביצה</w:t>
      </w:r>
      <w:r w:rsidRPr="004B6D7D">
        <w:rPr>
          <w:rStyle w:val="aff4"/>
          <w:rtl/>
        </w:rPr>
        <w:t xml:space="preserve"> </w:t>
      </w:r>
      <w:r>
        <w:rPr>
          <w:rFonts w:hint="cs"/>
          <w:rtl/>
        </w:rPr>
        <w:t>הקשה</w:t>
      </w:r>
      <w:r>
        <w:rPr>
          <w:rtl/>
        </w:rPr>
        <w:t xml:space="preserve"> </w:t>
      </w:r>
      <w:r>
        <w:rPr>
          <w:rFonts w:hint="cs"/>
          <w:rtl/>
        </w:rPr>
        <w:t>על</w:t>
      </w:r>
      <w:r>
        <w:rPr>
          <w:rtl/>
        </w:rPr>
        <w:t xml:space="preserve"> </w:t>
      </w:r>
      <w:r w:rsidRPr="00CB1A56">
        <w:rPr>
          <w:rStyle w:val="aff4"/>
          <w:rFonts w:hint="cs"/>
          <w:rtl/>
        </w:rPr>
        <w:t>הרמב"ן במלחמות בביצה</w:t>
      </w:r>
      <w:r>
        <w:rPr>
          <w:rtl/>
        </w:rPr>
        <w:t xml:space="preserve"> </w:t>
      </w:r>
      <w:r w:rsidRPr="001F7021">
        <w:rPr>
          <w:rFonts w:ascii="Calibri" w:eastAsia="Times New Roman" w:hAnsi="Calibri" w:cs="Guttman Rashi"/>
          <w:noProof w:val="0"/>
          <w:sz w:val="10"/>
          <w:szCs w:val="12"/>
          <w:rtl/>
        </w:rPr>
        <w:t xml:space="preserve">(עי' 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Pr>
        <w:instrText>REF</w:instrText>
      </w:r>
      <w:r>
        <w:rPr>
          <w:rFonts w:ascii="Calibri" w:eastAsia="Times New Roman" w:hAnsi="Calibri" w:cs="Guttman Rashi"/>
          <w:noProof w:val="0"/>
          <w:sz w:val="10"/>
          <w:szCs w:val="12"/>
          <w:rtl/>
        </w:rPr>
        <w:instrText xml:space="preserve"> _</w:instrText>
      </w:r>
      <w:r>
        <w:rPr>
          <w:rFonts w:ascii="Calibri" w:eastAsia="Times New Roman" w:hAnsi="Calibri" w:cs="Guttman Rashi"/>
          <w:noProof w:val="0"/>
          <w:sz w:val="10"/>
          <w:szCs w:val="12"/>
        </w:rPr>
        <w:instrText>Ref145392639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קמט)</w:t>
      </w:r>
      <w:r>
        <w:rPr>
          <w:rFonts w:ascii="Calibri" w:eastAsia="Times New Roman" w:hAnsi="Calibri" w:cs="Guttman Rashi"/>
          <w:noProof w:val="0"/>
          <w:sz w:val="10"/>
          <w:szCs w:val="12"/>
          <w:rtl/>
        </w:rPr>
        <w:fldChar w:fldCharType="end"/>
      </w:r>
      <w:r>
        <w:rPr>
          <w:rFonts w:hint="cs"/>
          <w:rtl/>
        </w:rPr>
        <w:t xml:space="preserve"> דבברייתא לעיל</w:t>
      </w:r>
      <w:r>
        <w:rPr>
          <w:rtl/>
        </w:rPr>
        <w:t xml:space="preserve"> </w:t>
      </w:r>
      <w:r w:rsidRPr="001F7021">
        <w:rPr>
          <w:rFonts w:ascii="Calibri" w:eastAsia="Times New Roman" w:hAnsi="Calibri" w:cs="Guttman Rashi"/>
          <w:noProof w:val="0"/>
          <w:sz w:val="10"/>
          <w:szCs w:val="12"/>
          <w:rtl/>
        </w:rPr>
        <w:t>(</w:t>
      </w:r>
      <w:r w:rsidRPr="001F7021">
        <w:rPr>
          <w:rFonts w:ascii="Calibri" w:eastAsia="Times New Roman" w:hAnsi="Calibri" w:cs="Guttman Rashi" w:hint="cs"/>
          <w:noProof w:val="0"/>
          <w:sz w:val="10"/>
          <w:szCs w:val="12"/>
          <w:rtl/>
        </w:rPr>
        <w:t>מז.</w:t>
      </w:r>
      <w:r w:rsidRPr="001F7021">
        <w:rPr>
          <w:rFonts w:ascii="Calibri" w:eastAsia="Times New Roman" w:hAnsi="Calibri" w:cs="Guttman Rashi"/>
          <w:noProof w:val="0"/>
          <w:sz w:val="10"/>
          <w:szCs w:val="12"/>
          <w:rtl/>
        </w:rPr>
        <w:t>)</w:t>
      </w:r>
      <w:r>
        <w:rPr>
          <w:rtl/>
        </w:rPr>
        <w:t xml:space="preserve"> </w:t>
      </w:r>
      <w:r>
        <w:rPr>
          <w:rFonts w:hint="cs"/>
          <w:rtl/>
        </w:rPr>
        <w:t>במלבנות המטה וכרעי המטה וכו' רשב"ג מתיר ברפוי בשבת אף לכתחילה וקיי"ל כרשב"ג, וא"כ צריך להתיר בתריסי החנויות לכתחילה אף בשבת.</w:t>
      </w:r>
    </w:p>
    <w:p w14:paraId="3786CD8F" w14:textId="77777777" w:rsidR="000F6808" w:rsidRPr="00111645" w:rsidRDefault="000F6808" w:rsidP="000F6808">
      <w:pPr>
        <w:pStyle w:val="a2"/>
        <w:rPr>
          <w:color w:val="000000" w:themeColor="text1"/>
          <w:sz w:val="14"/>
          <w:szCs w:val="14"/>
        </w:rPr>
      </w:pPr>
      <w:r w:rsidRPr="00111645">
        <w:rPr>
          <w:rtl/>
        </w:rPr>
        <w:t>אלא שקשה לי עדיין קצת דהא אמרי' התם בכירה (מ"ז א') גבי מלבנות המטה וכרעות המטה וסיפי המטה ולווחין של סקיבס רשב"ג אמר אם הי' רפוי מותר כלומר ואפי' בשבת ואפי' לכתחלה וקי"ל כרשב"ג וכדאמרי' התם בי רב חמי הואי מטה גלליתא דהוה מהדר לה ביומא טבא א"ל ההוא מדרבנן לרבא מאי דעתך בנין מן הצד הוא נהי דאיסורא דאורייתא ליכא איסורא דרבנן מיהא איכא</w:t>
      </w:r>
      <w:r w:rsidRPr="00111645">
        <w:rPr>
          <w:rFonts w:hint="cs"/>
          <w:rtl/>
        </w:rPr>
        <w:t>.</w:t>
      </w:r>
    </w:p>
    <w:p w14:paraId="4988C941" w14:textId="77777777" w:rsidR="000F6808" w:rsidRPr="00E65673" w:rsidRDefault="000F6808" w:rsidP="000F6808">
      <w:pPr>
        <w:pStyle w:val="1"/>
        <w:rPr>
          <w:rtl/>
        </w:rPr>
      </w:pPr>
      <w:bookmarkStart w:id="6109" w:name="_Toc145487134"/>
      <w:r>
        <w:rPr>
          <w:rFonts w:hint="cs"/>
          <w:rtl/>
        </w:rPr>
        <w:t>בי' רבינו יונה דרפוי קצת מחזיר כ"צ פטור גזרו שמא יתקע וחייב</w:t>
      </w:r>
      <w:bookmarkEnd w:id="6109"/>
    </w:p>
    <w:p w14:paraId="1F9DA871" w14:textId="77777777" w:rsidR="000F6808" w:rsidRPr="00CB2698" w:rsidRDefault="000F6808" w:rsidP="000F6808">
      <w:pPr>
        <w:pStyle w:val="a7"/>
      </w:pPr>
      <w:bookmarkStart w:id="6110" w:name="_Toc145487135"/>
      <w:r>
        <w:rPr>
          <w:rFonts w:hint="cs"/>
          <w:rtl/>
        </w:rPr>
        <w:t>בי' רבינו יונה דרשב"ג מתיר ברפוי לגמרי ולא ברפוי קצת כתריסין ובהחזיר כ"צ פטור ואסור</w:t>
      </w:r>
      <w:bookmarkEnd w:id="6110"/>
    </w:p>
    <w:p w14:paraId="7E53CB1E" w14:textId="03E8F4D8" w:rsidR="000F6808" w:rsidRDefault="000F6808" w:rsidP="000F6808">
      <w:pPr>
        <w:pStyle w:val="a3"/>
        <w:rPr>
          <w:rtl/>
        </w:rPr>
      </w:pPr>
      <w:r>
        <w:rPr>
          <w:rFonts w:hint="cs"/>
          <w:rtl/>
        </w:rPr>
        <w:t>אלא ביאר</w:t>
      </w:r>
      <w:r>
        <w:rPr>
          <w:rtl/>
        </w:rPr>
        <w:t xml:space="preserve"> </w:t>
      </w:r>
      <w:r w:rsidRPr="001F7021">
        <w:rPr>
          <w:rFonts w:hint="cs"/>
          <w:b/>
          <w:bCs/>
          <w:rtl/>
        </w:rPr>
        <w:t xml:space="preserve">הרשב"א בביצה </w:t>
      </w:r>
      <w:r w:rsidRPr="00442A85">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י. סוד"ה והרי"ף</w:t>
      </w:r>
      <w:r w:rsidRPr="00442A85">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 xml:space="preserve"> </w:t>
      </w:r>
      <w:r>
        <w:rPr>
          <w:rFonts w:hint="cs"/>
          <w:rtl/>
        </w:rPr>
        <w:t>בשם</w:t>
      </w:r>
      <w:r w:rsidRPr="001F7021">
        <w:rPr>
          <w:rFonts w:hint="cs"/>
          <w:b/>
          <w:bCs/>
          <w:rtl/>
        </w:rPr>
        <w:t xml:space="preserve"> רבינו יונה</w:t>
      </w:r>
      <w:r>
        <w:rPr>
          <w:rtl/>
        </w:rPr>
        <w:t xml:space="preserve"> </w:t>
      </w:r>
      <w:r>
        <w:rPr>
          <w:rFonts w:hint="cs"/>
          <w:rtl/>
        </w:rPr>
        <w:t xml:space="preserve">דאפש"ל דהא דהתיר רשב"ג הוא רק ברפוי לגמרי, אבל בתריסין שהם רפויין קצת אם החזיר כל צורכו פטור אבל אסור, וכ"כ </w:t>
      </w:r>
      <w:r w:rsidRPr="008A4288">
        <w:rPr>
          <w:rStyle w:val="aff4"/>
          <w:rFonts w:hint="cs"/>
          <w:rtl/>
        </w:rPr>
        <w:t xml:space="preserve">הרשב"א בעבודת הקודש </w:t>
      </w:r>
      <w:r w:rsidRPr="008A4288">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Ref145463447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קל)</w:t>
      </w:r>
      <w:r>
        <w:rPr>
          <w:rStyle w:val="af2"/>
          <w:rFonts w:eastAsia="Guttman Hodes"/>
          <w:rtl/>
        </w:rPr>
        <w:fldChar w:fldCharType="end"/>
      </w:r>
      <w:r>
        <w:rPr>
          <w:rFonts w:hint="cs"/>
          <w:rtl/>
        </w:rPr>
        <w:t>.</w:t>
      </w:r>
    </w:p>
    <w:p w14:paraId="6FA43675" w14:textId="77777777" w:rsidR="000F6808" w:rsidRDefault="000F6808" w:rsidP="000F6808">
      <w:pPr>
        <w:pStyle w:val="a2"/>
      </w:pPr>
      <w:r w:rsidRPr="00111645">
        <w:rPr>
          <w:rtl/>
        </w:rPr>
        <w:t>א"ל אנן כרשב"ג סבירא לן דאמר אם הי' רפוי מותר וא"כ תריסי חנויות אם רפוין הן אף</w:t>
      </w:r>
      <w:r w:rsidRPr="00111645">
        <w:rPr>
          <w:noProof/>
          <w:rtl/>
        </w:rPr>
        <w:t xml:space="preserve"> לכתחלה יהא מותר ולמה לא התירו אלא משום תחלתן, ושמא לא התיר רשב"ג אלא ברפוין ממש הא ברפוין ואינן רפוין והחזיר כל צרכו פטור אבל אסור וכן כתב שם מורי הרב רבי' יונה ז"ל</w:t>
      </w:r>
      <w:r>
        <w:rPr>
          <w:rFonts w:hint="cs"/>
          <w:noProof/>
          <w:rtl/>
        </w:rPr>
        <w:t>.</w:t>
      </w:r>
    </w:p>
    <w:p w14:paraId="09CA0A63" w14:textId="77777777" w:rsidR="000F6808" w:rsidRPr="00212F16" w:rsidRDefault="000F6808" w:rsidP="000F6808">
      <w:pPr>
        <w:pStyle w:val="a7"/>
      </w:pPr>
      <w:bookmarkStart w:id="6111" w:name="_Toc145487136"/>
      <w:r>
        <w:rPr>
          <w:rFonts w:hint="cs"/>
          <w:rtl/>
        </w:rPr>
        <w:t>בי' הרשב"א דבלא רפויין לגמרי גזרו בציר מהצד אף במחזיר שלא כ"צ ובאמצע התירו ביו"ט</w:t>
      </w:r>
      <w:bookmarkEnd w:id="6111"/>
    </w:p>
    <w:p w14:paraId="26FD3063" w14:textId="77777777" w:rsidR="000F6808" w:rsidRDefault="000F6808" w:rsidP="000F6808">
      <w:pPr>
        <w:pStyle w:val="a3"/>
        <w:rPr>
          <w:rtl/>
        </w:rPr>
      </w:pPr>
      <w:r>
        <w:rPr>
          <w:rFonts w:hint="cs"/>
          <w:rtl/>
        </w:rPr>
        <w:t xml:space="preserve">וכתב </w:t>
      </w:r>
      <w:r w:rsidRPr="001F7021">
        <w:rPr>
          <w:rFonts w:hint="cs"/>
          <w:b/>
          <w:bCs/>
          <w:rtl/>
        </w:rPr>
        <w:t xml:space="preserve">הרשב"א בביצה </w:t>
      </w:r>
      <w:r>
        <w:rPr>
          <w:rFonts w:hint="cs"/>
          <w:rtl/>
        </w:rPr>
        <w:t>דלכן בתריסי החנויות שאינם רפויין לגמרי ויש להם ציר מן הצד אסור לדעת ב"ה אף כשאינו מחזיר כל צורכו, גזירה שמא יתקע ויחזיר כל צורכו, ובציר מן האמצע התירו משום שמחת יו"ט, כיון דכל האיסור אטו ציר מן הצד הוא דאסור מגזירה שמא יתקע.</w:t>
      </w:r>
    </w:p>
    <w:p w14:paraId="5A361730" w14:textId="77777777" w:rsidR="000F6808" w:rsidRPr="00111645" w:rsidRDefault="000F6808" w:rsidP="000F6808">
      <w:pPr>
        <w:pStyle w:val="a2"/>
        <w:rPr>
          <w:rtl/>
        </w:rPr>
      </w:pPr>
      <w:r w:rsidRPr="00111645">
        <w:rPr>
          <w:noProof/>
          <w:rtl/>
        </w:rPr>
        <w:t xml:space="preserve">והלכך תריסי חנויות שאינן רפוין לגמרי בשיש להם ציר מן הצד אסור אפי' לב"ה ואפי' לא החזיר כל צרכו גזירה שמא יתקע ויחזיר כל צרכו וכשאין להם ציר מן הצד אי לאו משום שמחת י"ט אסור בתריסין דבתים אבל משום שמחת י"ט כיון דאפי' אותן שיש להם ציר מן הצד אינן אסורין אלא גזירה שמא יתקע מותר כדברי רבינו ז"ל. </w:t>
      </w:r>
      <w:r w:rsidRPr="004D1532">
        <w:rPr>
          <w:rStyle w:val="afff7"/>
          <w:rtl/>
        </w:rPr>
        <w:t>ועכשיו עם דברי הרי"ף ז"ל נתיישב מה ששנו ההיא דהשוחט בבחירתא בקולי ב"ש וחומרי ב"ה ולא שנו הא דתריסין [משום דהא דתריסין] מחומרי ב"ש וקולי ב"ה היא.</w:t>
      </w:r>
    </w:p>
    <w:p w14:paraId="68246261" w14:textId="77777777" w:rsidR="000F6808" w:rsidRDefault="000F6808" w:rsidP="000F6808">
      <w:pPr>
        <w:pStyle w:val="affff5"/>
        <w:rPr>
          <w:rtl/>
        </w:rPr>
      </w:pPr>
      <w:r>
        <w:rPr>
          <w:rFonts w:hint="cs"/>
          <w:rtl/>
        </w:rPr>
        <w:t>~~~~~~~~~~~~~~~~~~~~~~~~~~~~</w:t>
      </w:r>
    </w:p>
    <w:p w14:paraId="56DF0A30" w14:textId="77777777" w:rsidR="000F6808" w:rsidRDefault="000F6808" w:rsidP="000F6808">
      <w:pPr>
        <w:pStyle w:val="affff5"/>
        <w:rPr>
          <w:rtl/>
        </w:rPr>
      </w:pPr>
      <w:bookmarkStart w:id="6112" w:name="_Toc145487138"/>
      <w:r>
        <w:rPr>
          <w:rFonts w:hint="cs"/>
          <w:rtl/>
        </w:rPr>
        <w:t>ד' הסוברים דרק ברגילות לתקוע גזרו</w:t>
      </w:r>
      <w:bookmarkEnd w:id="6112"/>
      <w:r w:rsidRPr="007220A9">
        <w:rPr>
          <w:vanish/>
          <w:rtl/>
        </w:rPr>
        <w:t>&lt; # =</w:t>
      </w:r>
    </w:p>
    <w:p w14:paraId="4596C34E" w14:textId="77777777" w:rsidR="000F6808" w:rsidRPr="00CF61FE" w:rsidRDefault="000F6808" w:rsidP="000F6808">
      <w:pPr>
        <w:pStyle w:val="1"/>
        <w:rPr>
          <w:rtl/>
        </w:rPr>
      </w:pPr>
      <w:bookmarkStart w:id="6113" w:name="_Toc145487139"/>
      <w:bookmarkStart w:id="6114" w:name="_Toc145222978"/>
      <w:r>
        <w:rPr>
          <w:rFonts w:hint="cs"/>
          <w:rtl/>
        </w:rPr>
        <w:t>הסוברים דגזירת שמא יתקע רק בדבר שהרגילות לתקוע אותו</w:t>
      </w:r>
      <w:bookmarkEnd w:id="6113"/>
    </w:p>
    <w:p w14:paraId="43CF6871" w14:textId="77777777" w:rsidR="000F6808" w:rsidRDefault="000F6808" w:rsidP="000F6808">
      <w:pPr>
        <w:pStyle w:val="afffff7"/>
        <w:rPr>
          <w:rtl/>
        </w:rPr>
      </w:pPr>
      <w:bookmarkStart w:id="6115" w:name="_Toc145500851"/>
      <w:bookmarkStart w:id="6116" w:name="_Toc163506391"/>
      <w:r>
        <w:rPr>
          <w:rtl/>
        </w:rPr>
        <w:t>תוספות שבת מ"ח ע"א</w:t>
      </w:r>
      <w:r>
        <w:rPr>
          <w:rFonts w:hint="cs"/>
          <w:rtl/>
        </w:rPr>
        <w:t xml:space="preserve"> ד"ה הא</w:t>
      </w:r>
      <w:bookmarkEnd w:id="6115"/>
      <w:bookmarkEnd w:id="6116"/>
    </w:p>
    <w:p w14:paraId="06E6A07B" w14:textId="77777777" w:rsidR="000F6808" w:rsidRDefault="000F6808" w:rsidP="000F6808">
      <w:pPr>
        <w:pStyle w:val="afffff7"/>
        <w:rPr>
          <w:rtl/>
        </w:rPr>
      </w:pPr>
      <w:bookmarkStart w:id="6117" w:name="_Toc145500852"/>
      <w:bookmarkStart w:id="6118" w:name="_Toc163506392"/>
      <w:r>
        <w:rPr>
          <w:rtl/>
        </w:rPr>
        <w:t>הגהות אשרי שבת פ</w:t>
      </w:r>
      <w:r>
        <w:rPr>
          <w:rFonts w:hint="cs"/>
          <w:rtl/>
        </w:rPr>
        <w:t>"</w:t>
      </w:r>
      <w:r>
        <w:rPr>
          <w:rtl/>
        </w:rPr>
        <w:t>ד סי</w:t>
      </w:r>
      <w:r>
        <w:rPr>
          <w:rFonts w:hint="cs"/>
          <w:rtl/>
        </w:rPr>
        <w:t>'</w:t>
      </w:r>
      <w:r>
        <w:rPr>
          <w:rtl/>
        </w:rPr>
        <w:t xml:space="preserve"> ה</w:t>
      </w:r>
      <w:r>
        <w:rPr>
          <w:rFonts w:hint="cs"/>
          <w:rtl/>
        </w:rPr>
        <w:t>'</w:t>
      </w:r>
      <w:bookmarkEnd w:id="6117"/>
      <w:bookmarkEnd w:id="6118"/>
    </w:p>
    <w:p w14:paraId="58A73199" w14:textId="77777777" w:rsidR="000F6808" w:rsidRDefault="000F6808" w:rsidP="000F6808">
      <w:pPr>
        <w:pStyle w:val="afffff7"/>
        <w:rPr>
          <w:rtl/>
        </w:rPr>
      </w:pPr>
      <w:bookmarkStart w:id="6119" w:name="_Toc145500853"/>
      <w:bookmarkStart w:id="6120" w:name="_Toc163506393"/>
      <w:r>
        <w:rPr>
          <w:rtl/>
        </w:rPr>
        <w:t xml:space="preserve">הגהות אשרי </w:t>
      </w:r>
      <w:r>
        <w:rPr>
          <w:rFonts w:hint="cs"/>
          <w:rtl/>
        </w:rPr>
        <w:t>שבת פ"ג סי' כ"ג</w:t>
      </w:r>
      <w:bookmarkEnd w:id="6119"/>
      <w:bookmarkEnd w:id="6120"/>
    </w:p>
    <w:p w14:paraId="2126AD26" w14:textId="77777777" w:rsidR="000F6808" w:rsidRDefault="000F6808" w:rsidP="000F6808">
      <w:pPr>
        <w:pStyle w:val="a7"/>
        <w:rPr>
          <w:rtl/>
        </w:rPr>
      </w:pPr>
      <w:bookmarkStart w:id="6121" w:name="_Toc145487140"/>
      <w:r>
        <w:rPr>
          <w:rFonts w:hint="cs"/>
          <w:rtl/>
        </w:rPr>
        <w:t>בי' התוס' וההג' אשרי דהגזירה שמא יתקע בדבר דהרגילות לתקוע ובאין רגילות קיי"ל כרשב"ג</w:t>
      </w:r>
      <w:bookmarkEnd w:id="6121"/>
    </w:p>
    <w:p w14:paraId="63CD5A3A" w14:textId="538C9FD5" w:rsidR="000F6808" w:rsidRDefault="000F6808" w:rsidP="000F6808">
      <w:pPr>
        <w:pStyle w:val="a3"/>
        <w:rPr>
          <w:rtl/>
        </w:rPr>
      </w:pPr>
      <w:bookmarkStart w:id="6122" w:name="_Ref145319901"/>
      <w:r>
        <w:rPr>
          <w:rFonts w:hint="cs"/>
          <w:rtl/>
        </w:rPr>
        <w:t>כתבו</w:t>
      </w:r>
      <w:r>
        <w:rPr>
          <w:rtl/>
        </w:rPr>
        <w:t xml:space="preserve"> </w:t>
      </w:r>
      <w:r w:rsidRPr="00514C07">
        <w:rPr>
          <w:b/>
          <w:bCs/>
          <w:rtl/>
        </w:rPr>
        <w:t>ה</w:t>
      </w:r>
      <w:r w:rsidRPr="00514C07">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Ref145319901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קנד)</w:t>
      </w:r>
      <w:r>
        <w:rPr>
          <w:b/>
          <w:bCs/>
          <w:vanish/>
          <w:rtl/>
        </w:rPr>
        <w:fldChar w:fldCharType="end"/>
      </w:r>
      <w:r w:rsidRPr="00514C07">
        <w:rPr>
          <w:b/>
          <w:bCs/>
          <w:vanish/>
          <w:rtl/>
        </w:rPr>
        <w:t xml:space="preserve"> &gt;</w:t>
      </w:r>
      <w:r>
        <w:rPr>
          <w:rFonts w:hint="cs"/>
          <w:b/>
          <w:bCs/>
          <w:rtl/>
        </w:rPr>
        <w:t>תוס' לעיל</w:t>
      </w:r>
      <w:r w:rsidRPr="00514C07">
        <w:rPr>
          <w:b/>
          <w:bCs/>
          <w:rtl/>
        </w:rPr>
        <w:t xml:space="preserve"> </w:t>
      </w:r>
      <w:r w:rsidRPr="00514C07">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מח. ד"ה הא</w:t>
      </w:r>
      <w:r w:rsidRPr="00514C07">
        <w:rPr>
          <w:rFonts w:ascii="Calibri" w:eastAsia="Times New Roman" w:hAnsi="Calibri" w:cs="Guttman Rashi"/>
          <w:noProof w:val="0"/>
          <w:sz w:val="10"/>
          <w:szCs w:val="12"/>
          <w:rtl/>
        </w:rPr>
        <w:t>)</w:t>
      </w:r>
      <w:r w:rsidRPr="00514C07">
        <w:rPr>
          <w:vanish/>
          <w:rtl/>
        </w:rPr>
        <w:t>=</w:t>
      </w:r>
      <w:r>
        <w:rPr>
          <w:rtl/>
        </w:rPr>
        <w:t xml:space="preserve"> </w:t>
      </w:r>
      <w:r>
        <w:rPr>
          <w:rFonts w:hint="cs"/>
          <w:rtl/>
        </w:rPr>
        <w:t>דהא דאיתא בגמ' לקמן</w:t>
      </w:r>
      <w:r>
        <w:rPr>
          <w:rtl/>
        </w:rPr>
        <w:t xml:space="preserve"> </w:t>
      </w:r>
      <w:r w:rsidRPr="00514C07">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קכב:</w:t>
      </w:r>
      <w:r w:rsidRPr="00514C07">
        <w:rPr>
          <w:rFonts w:ascii="Calibri" w:eastAsia="Times New Roman" w:hAnsi="Calibri" w:cs="Guttman Rashi"/>
          <w:noProof w:val="0"/>
          <w:sz w:val="10"/>
          <w:szCs w:val="12"/>
          <w:rtl/>
        </w:rPr>
        <w:t>)</w:t>
      </w:r>
      <w:r>
        <w:rPr>
          <w:rtl/>
        </w:rPr>
        <w:t xml:space="preserve"> </w:t>
      </w:r>
      <w:r>
        <w:rPr>
          <w:rFonts w:hint="cs"/>
          <w:rtl/>
        </w:rPr>
        <w:t>דאסור להחזיר דלתות שידה תיבה ומגדל, הוא כיון דהרגילות בכה"ג לתקוע, ולכן אסרו גזירה שמא יתקע, וכן הדין בכל דבר שיש בו רגילות לתקוע וכן בדבר שהרגילות לקשור קשר של קיימא, דאסור להחזיר ולחבר כלל שמא יתקע או יקשור, וכ"כ</w:t>
      </w:r>
      <w:r>
        <w:rPr>
          <w:rtl/>
        </w:rPr>
        <w:t xml:space="preserve"> </w:t>
      </w:r>
      <w:r>
        <w:rPr>
          <w:rFonts w:hint="cs"/>
          <w:b/>
          <w:bCs/>
          <w:rtl/>
        </w:rPr>
        <w:t>ה</w:t>
      </w:r>
      <w:r w:rsidRPr="003A5E8F">
        <w:rPr>
          <w:b/>
          <w:bCs/>
          <w:vanish/>
          <w:rtl/>
        </w:rPr>
        <w:t>&lt; &gt;</w:t>
      </w:r>
      <w:r>
        <w:rPr>
          <w:rFonts w:hint="cs"/>
          <w:b/>
          <w:bCs/>
          <w:rtl/>
        </w:rPr>
        <w:t>הג' אשר"י</w:t>
      </w:r>
      <w:r w:rsidRPr="003A5E8F">
        <w:rPr>
          <w:b/>
          <w:bCs/>
          <w:rtl/>
        </w:rPr>
        <w:t xml:space="preserve"> </w:t>
      </w:r>
      <w:r w:rsidRPr="003A5E8F">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על הרא"ש פ"ד סי' ה'</w:t>
      </w:r>
      <w:r w:rsidRPr="003A5E8F">
        <w:rPr>
          <w:rFonts w:ascii="Calibri" w:eastAsia="Times New Roman" w:hAnsi="Calibri" w:cs="Guttman Rashi"/>
          <w:noProof w:val="0"/>
          <w:sz w:val="10"/>
          <w:szCs w:val="12"/>
          <w:rtl/>
        </w:rPr>
        <w:t>)</w:t>
      </w:r>
      <w:r w:rsidRPr="003A5E8F">
        <w:rPr>
          <w:vanish/>
          <w:rtl/>
        </w:rPr>
        <w:t>=</w:t>
      </w:r>
      <w:r>
        <w:rPr>
          <w:rFonts w:hint="cs"/>
          <w:rtl/>
        </w:rPr>
        <w:t xml:space="preserve">, וכן בהא דכתב </w:t>
      </w:r>
      <w:r w:rsidRPr="00AD6D71">
        <w:rPr>
          <w:rStyle w:val="aff4"/>
          <w:rFonts w:hint="cs"/>
          <w:rtl/>
        </w:rPr>
        <w:t>ה</w:t>
      </w:r>
      <w:r w:rsidRPr="00AD6D71">
        <w:rPr>
          <w:b/>
          <w:bCs/>
          <w:vanish/>
          <w:rtl/>
        </w:rPr>
        <w:t>&lt; &gt;</w:t>
      </w:r>
      <w:r>
        <w:rPr>
          <w:rFonts w:hint="cs"/>
          <w:b/>
          <w:bCs/>
          <w:rtl/>
        </w:rPr>
        <w:t xml:space="preserve">רא"ש לעיל </w:t>
      </w:r>
      <w:r w:rsidRPr="00AD6D71">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פ"ג סי' כ"ג</w:t>
      </w:r>
      <w:r w:rsidRPr="00AD6D71">
        <w:rPr>
          <w:rFonts w:ascii="Calibri" w:eastAsia="Times New Roman" w:hAnsi="Calibri" w:cs="Guttman Rashi"/>
          <w:noProof w:val="0"/>
          <w:sz w:val="10"/>
          <w:szCs w:val="12"/>
          <w:rtl/>
        </w:rPr>
        <w:t>)</w:t>
      </w:r>
      <w:r w:rsidRPr="00AD6D71">
        <w:rPr>
          <w:vanish/>
          <w:rtl/>
        </w:rPr>
        <w:t>=</w:t>
      </w:r>
      <w:r>
        <w:rPr>
          <w:rtl/>
        </w:rPr>
        <w:t xml:space="preserve"> </w:t>
      </w:r>
      <w:r>
        <w:rPr>
          <w:rFonts w:hint="cs"/>
          <w:rtl/>
        </w:rPr>
        <w:t>דקיי"ל כרשב"ג דברפוי מותר, כתב</w:t>
      </w:r>
      <w:r w:rsidRPr="0041138E">
        <w:rPr>
          <w:rFonts w:hint="cs"/>
          <w:b/>
          <w:bCs/>
          <w:rtl/>
        </w:rPr>
        <w:t xml:space="preserve"> ה</w:t>
      </w:r>
      <w:r w:rsidRPr="00AD6D71">
        <w:rPr>
          <w:b/>
          <w:bCs/>
          <w:vanish/>
          <w:rtl/>
        </w:rPr>
        <w:t>&lt; &gt;</w:t>
      </w:r>
      <w:r>
        <w:rPr>
          <w:rFonts w:hint="cs"/>
          <w:b/>
          <w:bCs/>
          <w:rtl/>
        </w:rPr>
        <w:t xml:space="preserve">הג' אשר"י </w:t>
      </w:r>
      <w:r w:rsidRPr="004F6511">
        <w:rPr>
          <w:rStyle w:val="aff4"/>
          <w:rFonts w:hint="cs"/>
          <w:rtl/>
        </w:rPr>
        <w:t>לעיל</w:t>
      </w:r>
      <w:r w:rsidRPr="0041138E">
        <w:rPr>
          <w:rStyle w:val="af2"/>
          <w:rFonts w:eastAsia="Guttman Hodes" w:hint="cs"/>
          <w:rtl/>
        </w:rPr>
        <w:t xml:space="preserve"> </w:t>
      </w:r>
      <w:r w:rsidRPr="0041138E">
        <w:rPr>
          <w:rStyle w:val="af2"/>
          <w:rFonts w:eastAsia="Guttman Hodes"/>
          <w:rtl/>
        </w:rPr>
        <w:t>(</w:t>
      </w:r>
      <w:r w:rsidRPr="0041138E">
        <w:rPr>
          <w:rStyle w:val="af2"/>
          <w:rFonts w:eastAsia="Guttman Hodes" w:hint="cs"/>
          <w:rtl/>
        </w:rPr>
        <w:t>על הרא"ש פ"ג ס</w:t>
      </w:r>
      <w:r>
        <w:rPr>
          <w:rFonts w:ascii="Calibri" w:eastAsia="Times New Roman" w:hAnsi="Calibri" w:cs="Guttman Rashi" w:hint="cs"/>
          <w:noProof w:val="0"/>
          <w:sz w:val="10"/>
          <w:szCs w:val="12"/>
          <w:rtl/>
        </w:rPr>
        <w:t>י' כ"ג</w:t>
      </w:r>
      <w:r w:rsidRPr="00AD6D71">
        <w:rPr>
          <w:rFonts w:ascii="Calibri" w:eastAsia="Times New Roman" w:hAnsi="Calibri" w:cs="Guttman Rashi"/>
          <w:noProof w:val="0"/>
          <w:sz w:val="10"/>
          <w:szCs w:val="12"/>
          <w:rtl/>
        </w:rPr>
        <w:t>)</w:t>
      </w:r>
      <w:r w:rsidRPr="00AD6D71">
        <w:rPr>
          <w:vanish/>
          <w:rtl/>
        </w:rPr>
        <w:t>=</w:t>
      </w:r>
      <w:r>
        <w:rPr>
          <w:rFonts w:hint="cs"/>
          <w:rtl/>
        </w:rPr>
        <w:t xml:space="preserve"> דההיתר הוא דוקא </w:t>
      </w:r>
      <w:r>
        <w:rPr>
          <w:rFonts w:hint="cs"/>
          <w:rtl/>
        </w:rPr>
        <w:lastRenderedPageBreak/>
        <w:t>בדבר שאין דרכו לתקוע, אבל בדרכו לתקוע אף ברפוי אסור שמא יתקע</w:t>
      </w:r>
      <w:r w:rsidRPr="00085FA6">
        <w:rPr>
          <w:rFonts w:hint="cs"/>
          <w:rtl/>
        </w:rPr>
        <w:t xml:space="preserve"> </w:t>
      </w:r>
      <w:r>
        <w:rPr>
          <w:rFonts w:hint="cs"/>
          <w:rtl/>
        </w:rPr>
        <w:t xml:space="preserve">וכ"כ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Ref144805308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קכט)</w:t>
      </w:r>
      <w:r>
        <w:rPr>
          <w:b/>
          <w:bCs/>
          <w:vanish/>
          <w:rtl/>
        </w:rPr>
        <w:fldChar w:fldCharType="end"/>
      </w:r>
      <w:r>
        <w:rPr>
          <w:rFonts w:hint="cs"/>
          <w:b/>
          <w:bCs/>
          <w:rtl/>
        </w:rPr>
        <w:t>ה</w:t>
      </w:r>
      <w:r w:rsidRPr="00F14242">
        <w:rPr>
          <w:b/>
          <w:bCs/>
          <w:vanish/>
          <w:rtl/>
        </w:rPr>
        <w:t>&lt; &gt;</w:t>
      </w:r>
      <w:r w:rsidRPr="00861CDB">
        <w:rPr>
          <w:rFonts w:hint="cs"/>
          <w:b/>
          <w:bCs/>
          <w:rtl/>
        </w:rPr>
        <w:t>רשב"א בעבודת הקודש</w:t>
      </w:r>
      <w:r w:rsidRPr="00861CDB">
        <w:rPr>
          <w:b/>
          <w:bCs/>
          <w:rtl/>
        </w:rPr>
        <w:t xml:space="preserve"> </w:t>
      </w:r>
      <w:r w:rsidRPr="00247B5F">
        <w:rPr>
          <w:rStyle w:val="af2"/>
          <w:rFonts w:eastAsia="Guttman Hodes" w:hint="cs"/>
          <w:rtl/>
        </w:rPr>
        <w:t xml:space="preserve">(עי' אות </w:t>
      </w:r>
      <w:r w:rsidRPr="00247B5F">
        <w:rPr>
          <w:rStyle w:val="af2"/>
          <w:rFonts w:eastAsia="Guttman Hodes"/>
          <w:rtl/>
        </w:rPr>
        <w:t>מב)</w:t>
      </w:r>
      <w:r w:rsidRPr="00030A4D">
        <w:rPr>
          <w:rFonts w:hint="cs"/>
          <w:vanish/>
          <w:rtl/>
        </w:rPr>
        <w:t>=</w:t>
      </w:r>
      <w:r>
        <w:rPr>
          <w:rFonts w:hint="cs"/>
          <w:b/>
          <w:bCs/>
          <w:rtl/>
        </w:rPr>
        <w:t xml:space="preserve"> וה</w:t>
      </w:r>
      <w:r w:rsidRPr="00F14242">
        <w:rPr>
          <w:b/>
          <w:bCs/>
          <w:vanish/>
          <w:rtl/>
        </w:rPr>
        <w:t>&lt; &gt;</w:t>
      </w:r>
      <w:r w:rsidRPr="004109E2">
        <w:rPr>
          <w:rFonts w:hint="cs"/>
          <w:b/>
          <w:bCs/>
          <w:rtl/>
        </w:rPr>
        <w:t>או</w:t>
      </w:r>
      <w:r>
        <w:rPr>
          <w:rFonts w:hint="cs"/>
          <w:b/>
          <w:bCs/>
          <w:rtl/>
        </w:rPr>
        <w:t>ר זרוע</w:t>
      </w:r>
      <w:r>
        <w:rPr>
          <w:rFonts w:hint="cs"/>
          <w:rtl/>
        </w:rPr>
        <w:t xml:space="preserve"> </w:t>
      </w:r>
      <w:r w:rsidRPr="00CD7B4F">
        <w:rPr>
          <w:rStyle w:val="af2"/>
          <w:rFonts w:eastAsia="Guttman Hodes" w:hint="cs"/>
          <w:rtl/>
        </w:rPr>
        <w:t xml:space="preserve">(עי' אות </w:t>
      </w:r>
      <w:r w:rsidRPr="00CD7B4F">
        <w:rPr>
          <w:rStyle w:val="af2"/>
          <w:rFonts w:eastAsia="Guttman Hodes"/>
          <w:rtl/>
        </w:rPr>
        <w:fldChar w:fldCharType="begin"/>
      </w:r>
      <w:r w:rsidRPr="00CD7B4F">
        <w:rPr>
          <w:rStyle w:val="af2"/>
          <w:rFonts w:eastAsia="Guttman Hodes"/>
          <w:rtl/>
        </w:rPr>
        <w:instrText xml:space="preserve"> </w:instrText>
      </w:r>
      <w:r w:rsidRPr="00CD7B4F">
        <w:rPr>
          <w:rStyle w:val="af2"/>
          <w:rFonts w:eastAsia="Guttman Hodes" w:hint="cs"/>
        </w:rPr>
        <w:instrText>REF</w:instrText>
      </w:r>
      <w:r w:rsidRPr="00CD7B4F">
        <w:rPr>
          <w:rStyle w:val="af2"/>
          <w:rFonts w:eastAsia="Guttman Hodes" w:hint="cs"/>
          <w:rtl/>
        </w:rPr>
        <w:instrText xml:space="preserve"> _</w:instrText>
      </w:r>
      <w:r w:rsidRPr="00CD7B4F">
        <w:rPr>
          <w:rStyle w:val="af2"/>
          <w:rFonts w:eastAsia="Guttman Hodes" w:hint="cs"/>
        </w:rPr>
        <w:instrText>Ref145435469 \r \h</w:instrText>
      </w:r>
      <w:r w:rsidRPr="00CD7B4F">
        <w:rPr>
          <w:rStyle w:val="af2"/>
          <w:rFonts w:eastAsia="Guttman Hodes"/>
          <w:rtl/>
        </w:rPr>
        <w:instrText xml:space="preserve"> </w:instrText>
      </w:r>
      <w:r w:rsidRPr="00CD7B4F">
        <w:rPr>
          <w:rStyle w:val="af2"/>
          <w:rFonts w:eastAsia="Guttman Hodes"/>
          <w:rtl/>
        </w:rPr>
      </w:r>
      <w:r w:rsidRPr="00CD7B4F">
        <w:rPr>
          <w:rStyle w:val="af2"/>
          <w:rFonts w:eastAsia="Guttman Hodes"/>
          <w:rtl/>
        </w:rPr>
        <w:fldChar w:fldCharType="separate"/>
      </w:r>
      <w:r w:rsidR="00D82181">
        <w:rPr>
          <w:rStyle w:val="af2"/>
          <w:rFonts w:eastAsia="Guttman Hodes"/>
          <w:cs/>
        </w:rPr>
        <w:t>‎</w:t>
      </w:r>
      <w:r w:rsidR="00D82181">
        <w:rPr>
          <w:rStyle w:val="af2"/>
          <w:rFonts w:eastAsia="Guttman Hodes"/>
          <w:rtl/>
        </w:rPr>
        <w:t>קלא)</w:t>
      </w:r>
      <w:r w:rsidRPr="00CD7B4F">
        <w:rPr>
          <w:rStyle w:val="af2"/>
          <w:rFonts w:eastAsia="Guttman Hodes"/>
          <w:rtl/>
        </w:rPr>
        <w:fldChar w:fldCharType="end"/>
      </w:r>
      <w:r w:rsidRPr="00030A4D">
        <w:rPr>
          <w:rFonts w:hint="cs"/>
          <w:vanish/>
          <w:rtl/>
        </w:rPr>
        <w:t>=</w:t>
      </w:r>
      <w:r>
        <w:rPr>
          <w:rFonts w:hint="cs"/>
          <w:rtl/>
        </w:rPr>
        <w:t xml:space="preserve"> דהחיוב רק ברגילות לתקוע.</w:t>
      </w:r>
      <w:bookmarkEnd w:id="6122"/>
    </w:p>
    <w:p w14:paraId="580B5197" w14:textId="77777777" w:rsidR="000F6808" w:rsidRPr="0088513D" w:rsidRDefault="000F6808" w:rsidP="000F6808">
      <w:pPr>
        <w:pStyle w:val="afffffe"/>
        <w:rPr>
          <w:vanish/>
          <w:rtl/>
        </w:rPr>
      </w:pPr>
      <w:r w:rsidRPr="0088513D">
        <w:rPr>
          <w:vanish/>
          <w:rtl/>
        </w:rPr>
        <w:t>תוספות שבת מ"ח ע"א</w:t>
      </w:r>
      <w:r w:rsidRPr="0088513D">
        <w:rPr>
          <w:rFonts w:hint="cs"/>
          <w:vanish/>
          <w:rtl/>
        </w:rPr>
        <w:t xml:space="preserve"> ד"ה הא</w:t>
      </w:r>
    </w:p>
    <w:p w14:paraId="4545E49F" w14:textId="77777777" w:rsidR="000F6808" w:rsidRPr="00111645" w:rsidRDefault="000F6808" w:rsidP="000F6808">
      <w:pPr>
        <w:pStyle w:val="a2"/>
      </w:pPr>
      <w:r w:rsidRPr="00111645">
        <w:rPr>
          <w:rtl/>
        </w:rPr>
        <w:t>הא בחדתי הא בעתיקי - אומר ר"י שאם נתקו חוטי הסרבל אם הנקב רחב ויכול להכניסם בלא טורח שרי כיון דעתיקי ובלבד שיתנם בענין זה שלא יהא לחוש שמא יתקע דבעניין שהוא רגילות לתקוע ולקשור נראה דאסורין להחזיר כדאסרינן בריש כל הכלים (דף קכב:) החזרת שידה תיבה ומגדל גזירה שמא יתקע.</w:t>
      </w:r>
    </w:p>
    <w:p w14:paraId="25608EA4" w14:textId="77777777" w:rsidR="000F6808" w:rsidRPr="0088513D" w:rsidRDefault="000F6808" w:rsidP="000F6808">
      <w:pPr>
        <w:pStyle w:val="afffffe"/>
        <w:rPr>
          <w:vanish/>
          <w:rtl/>
        </w:rPr>
      </w:pPr>
      <w:r w:rsidRPr="0088513D">
        <w:rPr>
          <w:vanish/>
          <w:rtl/>
        </w:rPr>
        <w:t>הגהות אשרי שבת פ</w:t>
      </w:r>
      <w:r w:rsidRPr="0088513D">
        <w:rPr>
          <w:rFonts w:hint="cs"/>
          <w:vanish/>
          <w:rtl/>
        </w:rPr>
        <w:t>"</w:t>
      </w:r>
      <w:r w:rsidRPr="0088513D">
        <w:rPr>
          <w:vanish/>
          <w:rtl/>
        </w:rPr>
        <w:t>ד סי</w:t>
      </w:r>
      <w:r w:rsidRPr="0088513D">
        <w:rPr>
          <w:rFonts w:hint="cs"/>
          <w:vanish/>
          <w:rtl/>
        </w:rPr>
        <w:t>'</w:t>
      </w:r>
      <w:r w:rsidRPr="0088513D">
        <w:rPr>
          <w:vanish/>
          <w:rtl/>
        </w:rPr>
        <w:t xml:space="preserve"> ה</w:t>
      </w:r>
      <w:r w:rsidRPr="0088513D">
        <w:rPr>
          <w:rFonts w:hint="cs"/>
          <w:vanish/>
          <w:rtl/>
        </w:rPr>
        <w:t>'</w:t>
      </w:r>
    </w:p>
    <w:p w14:paraId="044CEC1E" w14:textId="77777777" w:rsidR="000F6808" w:rsidRPr="00111645" w:rsidRDefault="000F6808" w:rsidP="000F6808">
      <w:pPr>
        <w:pStyle w:val="afffff5"/>
      </w:pPr>
      <w:r w:rsidRPr="00111645">
        <w:rPr>
          <w:rtl/>
        </w:rPr>
        <w:t xml:space="preserve">והצלצלים שנתקו מסרבל מותר להחזיר כיון דכבר היו בו ובלבד שיתנם בענין זה שלא יבא לחוש שמא יתקע דאי בענין זה שהיה רגיל לקשור ולתקוע היה אסור כדאסרי' בפ' כל הכלים [החזרת פתח] שידה תיבה ומגדל גזירה שמא יתקע. מהרי"ח: </w:t>
      </w:r>
    </w:p>
    <w:p w14:paraId="160AF9C4" w14:textId="77777777" w:rsidR="000F6808" w:rsidRPr="0088513D" w:rsidRDefault="000F6808" w:rsidP="000F6808">
      <w:pPr>
        <w:pStyle w:val="afffffe"/>
        <w:rPr>
          <w:vanish/>
          <w:rtl/>
        </w:rPr>
      </w:pPr>
      <w:r w:rsidRPr="0088513D">
        <w:rPr>
          <w:vanish/>
          <w:rtl/>
        </w:rPr>
        <w:t xml:space="preserve">הגהות אשרי </w:t>
      </w:r>
      <w:r w:rsidRPr="0088513D">
        <w:rPr>
          <w:rFonts w:hint="cs"/>
          <w:vanish/>
          <w:rtl/>
        </w:rPr>
        <w:t>שבת פ"ג סי' כ"ג</w:t>
      </w:r>
    </w:p>
    <w:p w14:paraId="3E1C96E4" w14:textId="77777777" w:rsidR="000F6808" w:rsidRPr="00111645" w:rsidRDefault="000F6808" w:rsidP="000F6808">
      <w:pPr>
        <w:pStyle w:val="afffff5"/>
        <w:rPr>
          <w:rtl/>
        </w:rPr>
      </w:pPr>
      <w:r w:rsidRPr="00111645">
        <w:rPr>
          <w:rtl/>
        </w:rPr>
        <w:t xml:space="preserve">לפי מה שמפרש בריש במה טומנין צ"ל דוקא בדבר שאין דרכו לתקוע מותר אם היה רפוי. ה"ג. מהרי"ח: </w:t>
      </w:r>
    </w:p>
    <w:p w14:paraId="69D575A1" w14:textId="77777777" w:rsidR="000F6808" w:rsidRPr="00FC269C" w:rsidRDefault="000F6808" w:rsidP="000F6808">
      <w:pPr>
        <w:pStyle w:val="afffff7"/>
        <w:rPr>
          <w:rtl/>
        </w:rPr>
      </w:pPr>
      <w:bookmarkStart w:id="6123" w:name="_Toc145500854"/>
      <w:bookmarkStart w:id="6124" w:name="_Toc144888496"/>
      <w:bookmarkStart w:id="6125" w:name="_Toc163506394"/>
      <w:r w:rsidRPr="00FC269C">
        <w:rPr>
          <w:rtl/>
        </w:rPr>
        <w:t>חדושי הריטב"א שבת ק"ב ע"ב</w:t>
      </w:r>
      <w:r w:rsidRPr="00FC269C">
        <w:rPr>
          <w:rFonts w:hint="cs"/>
          <w:rtl/>
        </w:rPr>
        <w:t xml:space="preserve"> ד"ה ואי קשיא</w:t>
      </w:r>
      <w:bookmarkEnd w:id="6123"/>
      <w:bookmarkEnd w:id="6125"/>
    </w:p>
    <w:p w14:paraId="3D0E824C" w14:textId="77777777" w:rsidR="000F6808" w:rsidRDefault="000F6808" w:rsidP="000F6808">
      <w:pPr>
        <w:pStyle w:val="a7"/>
        <w:rPr>
          <w:rtl/>
        </w:rPr>
      </w:pPr>
      <w:bookmarkStart w:id="6126" w:name="_Toc145487141"/>
      <w:r>
        <w:rPr>
          <w:rFonts w:hint="cs"/>
          <w:rtl/>
        </w:rPr>
        <w:t>בי' הריטב"א דברגילין לתקוע גזרו אטו תוקע דמכב"פ ורק משום שמחת יו"ט התירו תריסין</w:t>
      </w:r>
      <w:bookmarkEnd w:id="6126"/>
    </w:p>
    <w:p w14:paraId="70A96B28" w14:textId="4541752A" w:rsidR="000F6808" w:rsidRDefault="000F6808" w:rsidP="000F6808">
      <w:pPr>
        <w:pStyle w:val="a3"/>
      </w:pPr>
      <w:bookmarkStart w:id="6127" w:name="_Ref145399915"/>
      <w:r>
        <w:rPr>
          <w:rFonts w:hint="cs"/>
          <w:rtl/>
        </w:rPr>
        <w:t xml:space="preserve">וע"ע במ"ש </w:t>
      </w:r>
      <w:r w:rsidRPr="00E24FB9">
        <w:rPr>
          <w:rStyle w:val="aff4"/>
          <w:rFonts w:hint="cs"/>
          <w:vanish/>
          <w:rtl/>
        </w:rPr>
        <w:t>-</w:t>
      </w:r>
      <w:r>
        <w:rPr>
          <w:rtl/>
        </w:rPr>
        <w:t xml:space="preserve"> </w:t>
      </w:r>
      <w:r w:rsidRPr="002A5D02">
        <w:rPr>
          <w:b/>
          <w:bCs/>
          <w:rtl/>
        </w:rPr>
        <w:t>ה</w:t>
      </w:r>
      <w:r>
        <w:rPr>
          <w:rFonts w:hint="cs"/>
          <w:b/>
          <w:bCs/>
          <w:vanish/>
          <w:rtl/>
        </w:rPr>
        <w:t xml:space="preserve">&lt;, </w:t>
      </w:r>
      <w:r>
        <w:rPr>
          <w:b/>
          <w:bCs/>
          <w:vanish/>
          <w:rtl/>
        </w:rPr>
        <w:fldChar w:fldCharType="begin"/>
      </w:r>
      <w:r>
        <w:rPr>
          <w:b/>
          <w:bCs/>
          <w:vanish/>
          <w:rtl/>
        </w:rPr>
        <w:instrText xml:space="preserve"> </w:instrText>
      </w:r>
      <w:r>
        <w:rPr>
          <w:rFonts w:hint="cs"/>
          <w:b/>
          <w:bCs/>
          <w:vanish/>
        </w:rPr>
        <w:instrText>REF</w:instrText>
      </w:r>
      <w:r>
        <w:rPr>
          <w:rFonts w:hint="cs"/>
          <w:b/>
          <w:bCs/>
          <w:vanish/>
          <w:rtl/>
        </w:rPr>
        <w:instrText xml:space="preserve"> _</w:instrText>
      </w:r>
      <w:r>
        <w:rPr>
          <w:rFonts w:hint="cs"/>
          <w:b/>
          <w:bCs/>
          <w:vanish/>
        </w:rPr>
        <w:instrText>Ref145399915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קנה)</w:t>
      </w:r>
      <w:r>
        <w:rPr>
          <w:b/>
          <w:bCs/>
          <w:vanish/>
          <w:rtl/>
        </w:rPr>
        <w:fldChar w:fldCharType="end"/>
      </w:r>
      <w:r>
        <w:rPr>
          <w:rFonts w:hint="cs"/>
          <w:b/>
          <w:bCs/>
          <w:vanish/>
          <w:rtl/>
        </w:rPr>
        <w:t xml:space="preserve"> &gt;</w:t>
      </w:r>
      <w:r w:rsidRPr="002A5D02">
        <w:rPr>
          <w:rFonts w:hint="cs"/>
          <w:b/>
          <w:bCs/>
          <w:rtl/>
        </w:rPr>
        <w:t>ריטב"א</w:t>
      </w:r>
      <w:r>
        <w:rPr>
          <w:rFonts w:hint="cs"/>
          <w:b/>
          <w:bCs/>
          <w:rtl/>
        </w:rPr>
        <w:t xml:space="preserve"> בתי' הב'</w:t>
      </w:r>
      <w:r w:rsidRPr="002A5D02">
        <w:rPr>
          <w:b/>
          <w:bCs/>
          <w:rtl/>
        </w:rPr>
        <w:t xml:space="preserve"> </w:t>
      </w:r>
      <w:r w:rsidRPr="00C962CD">
        <w:rPr>
          <w:rStyle w:val="af2"/>
          <w:rFonts w:eastAsia="Guttman Hodes"/>
          <w:rtl/>
        </w:rPr>
        <w:t>(</w:t>
      </w:r>
      <w:r>
        <w:rPr>
          <w:rStyle w:val="af2"/>
          <w:rFonts w:eastAsia="Guttman Hodes" w:hint="cs"/>
          <w:rtl/>
        </w:rPr>
        <w:t>סו</w:t>
      </w:r>
      <w:r w:rsidRPr="00C962CD">
        <w:rPr>
          <w:rStyle w:val="af2"/>
          <w:rFonts w:eastAsia="Guttman Hodes" w:hint="cs"/>
          <w:rtl/>
        </w:rPr>
        <w:t>ד"ה ואי קשיא</w:t>
      </w:r>
      <w:r w:rsidRPr="00C962CD">
        <w:rPr>
          <w:rStyle w:val="af2"/>
          <w:rFonts w:eastAsia="Guttman Hodes"/>
          <w:rtl/>
        </w:rPr>
        <w:t>)</w:t>
      </w:r>
      <w:r w:rsidRPr="002A5D02">
        <w:rPr>
          <w:vanish/>
          <w:rtl/>
        </w:rPr>
        <w:t>=</w:t>
      </w:r>
      <w:r>
        <w:rPr>
          <w:rtl/>
        </w:rPr>
        <w:t xml:space="preserve"> </w:t>
      </w:r>
      <w:r>
        <w:rPr>
          <w:rFonts w:hint="cs"/>
          <w:rtl/>
        </w:rPr>
        <w:t xml:space="preserve">דבדבר שהדרך לתקוע אותו לכו"ע גזרו שמא יתקע, ומ"מ התירו ב"ה בתריסי החנויות משום שמחת יו"ט, וכתב </w:t>
      </w:r>
      <w:r w:rsidRPr="00E24FB9">
        <w:rPr>
          <w:rStyle w:val="aff4"/>
          <w:rFonts w:hint="cs"/>
          <w:vanish/>
          <w:rtl/>
        </w:rPr>
        <w:t>-</w:t>
      </w:r>
      <w:r w:rsidRPr="00C07E8C">
        <w:rPr>
          <w:rStyle w:val="aff4"/>
          <w:rFonts w:hint="cs"/>
          <w:rtl/>
        </w:rPr>
        <w:t>הריטב"א</w:t>
      </w:r>
      <w:r w:rsidRPr="00E24FB9">
        <w:rPr>
          <w:rStyle w:val="aff4"/>
          <w:rFonts w:hint="cs"/>
          <w:vanish/>
          <w:rtl/>
        </w:rPr>
        <w:t>-</w:t>
      </w:r>
      <w:r>
        <w:rPr>
          <w:rFonts w:hint="cs"/>
          <w:rtl/>
        </w:rPr>
        <w:t xml:space="preserve"> דלכן אמרינן בגמ' בביצה </w:t>
      </w:r>
      <w:r w:rsidRPr="00C962CD">
        <w:rPr>
          <w:rStyle w:val="af2"/>
          <w:rFonts w:eastAsia="Guttman Hodes" w:hint="cs"/>
          <w:rtl/>
        </w:rPr>
        <w:t>(יא:)</w:t>
      </w:r>
      <w:r>
        <w:rPr>
          <w:rFonts w:hint="cs"/>
          <w:rtl/>
        </w:rPr>
        <w:t xml:space="preserve"> דרק תריסי החנויות התירו אבל תריסי תיבות שבבתים לא התירו כיון שיש חשש שמא יתקע דרגילים לתקוע אותם, והוא תולדה דמכה בפטיש.</w:t>
      </w:r>
      <w:bookmarkEnd w:id="6127"/>
      <w:r>
        <w:rPr>
          <w:rFonts w:hint="cs"/>
          <w:rtl/>
        </w:rPr>
        <w:t xml:space="preserve"> </w:t>
      </w:r>
    </w:p>
    <w:p w14:paraId="2E80DDA9" w14:textId="77777777" w:rsidR="000F6808" w:rsidRPr="0088513D" w:rsidRDefault="000F6808" w:rsidP="000F6808">
      <w:pPr>
        <w:pStyle w:val="afffffe"/>
        <w:rPr>
          <w:vanish/>
          <w:rtl/>
        </w:rPr>
      </w:pPr>
      <w:bookmarkStart w:id="6128" w:name="_Toc145279328"/>
      <w:r w:rsidRPr="0088513D">
        <w:rPr>
          <w:vanish/>
          <w:rtl/>
        </w:rPr>
        <w:t>חדושי הריטב"א שבת ק"ב ע"ב</w:t>
      </w:r>
      <w:r w:rsidRPr="0088513D">
        <w:rPr>
          <w:rFonts w:hint="cs"/>
          <w:vanish/>
          <w:rtl/>
        </w:rPr>
        <w:t xml:space="preserve"> ד"הה ואי קשיא</w:t>
      </w:r>
      <w:bookmarkEnd w:id="6128"/>
    </w:p>
    <w:p w14:paraId="20C46740" w14:textId="77777777" w:rsidR="000F6808" w:rsidRDefault="000F6808" w:rsidP="000F6808">
      <w:pPr>
        <w:pStyle w:val="a2"/>
        <w:rPr>
          <w:rtl/>
        </w:rPr>
      </w:pPr>
      <w:r w:rsidRPr="00F03B02">
        <w:rPr>
          <w:rtl/>
        </w:rPr>
        <w:t>אי נמי שדרכה בתקיעה, דבהא כולי עלמא מודו שהוא אסור להחזיר גזירה שמא יתקע, אלא דבתריסי חנויות התירו משום שמחת יום טוב, והיינו דאמרינן התם (ביצה י"א ב') דדוקא [דחנויות] אבל דבתים לא לפי שיש לחוש בהם שמא יתקע דרגילי למיעבד בהו תקיעה והיא תולדה דמכה בפטיש, וכדפרישנא התם.</w:t>
      </w:r>
    </w:p>
    <w:p w14:paraId="29B9C756" w14:textId="77777777" w:rsidR="000F6808" w:rsidRPr="00ED2414" w:rsidRDefault="000F6808" w:rsidP="000F6808">
      <w:pPr>
        <w:pStyle w:val="afffff7"/>
        <w:rPr>
          <w:rtl/>
        </w:rPr>
      </w:pPr>
      <w:bookmarkStart w:id="6129" w:name="_Toc145500855"/>
      <w:bookmarkStart w:id="6130" w:name="_Toc163506395"/>
      <w:r w:rsidRPr="00ED2414">
        <w:rPr>
          <w:rtl/>
        </w:rPr>
        <w:t>מאירי שבת מ"ז ע"א</w:t>
      </w:r>
      <w:r w:rsidRPr="00ED2414">
        <w:rPr>
          <w:rFonts w:hint="cs"/>
          <w:rtl/>
        </w:rPr>
        <w:t xml:space="preserve"> ד"ה מטה</w:t>
      </w:r>
      <w:bookmarkEnd w:id="6129"/>
      <w:bookmarkEnd w:id="6130"/>
    </w:p>
    <w:p w14:paraId="5720F3D9" w14:textId="77777777" w:rsidR="000F6808" w:rsidRDefault="000F6808" w:rsidP="000F6808">
      <w:pPr>
        <w:pStyle w:val="afffff7"/>
        <w:rPr>
          <w:rtl/>
        </w:rPr>
      </w:pPr>
      <w:bookmarkStart w:id="6131" w:name="_Toc145500856"/>
      <w:bookmarkStart w:id="6132" w:name="_Toc163506396"/>
      <w:r>
        <w:rPr>
          <w:rtl/>
        </w:rPr>
        <w:t>כלבו סימן לא</w:t>
      </w:r>
      <w:r w:rsidRPr="00F9336C">
        <w:rPr>
          <w:rtl/>
        </w:rPr>
        <w:t xml:space="preserve"> ד"ה העושה אוהל</w:t>
      </w:r>
      <w:bookmarkEnd w:id="6131"/>
      <w:bookmarkEnd w:id="6132"/>
    </w:p>
    <w:p w14:paraId="2637C238" w14:textId="77777777" w:rsidR="000F6808" w:rsidRDefault="000F6808" w:rsidP="000F6808">
      <w:pPr>
        <w:pStyle w:val="a7"/>
        <w:rPr>
          <w:rtl/>
        </w:rPr>
      </w:pPr>
      <w:bookmarkStart w:id="6133" w:name="_Toc145487142"/>
      <w:r>
        <w:rPr>
          <w:rFonts w:hint="cs"/>
          <w:rtl/>
        </w:rPr>
        <w:t>בי' המאירי והכל בו בשם הראב"ד דבאין דרך לשומטו ומקפיד גזרו שמא יתקע ובלא"ה לא גזרו</w:t>
      </w:r>
      <w:bookmarkEnd w:id="6133"/>
      <w:r>
        <w:rPr>
          <w:rFonts w:hint="cs"/>
          <w:rtl/>
        </w:rPr>
        <w:t xml:space="preserve"> </w:t>
      </w:r>
    </w:p>
    <w:p w14:paraId="4422B7E2" w14:textId="462C4B8F" w:rsidR="000F6808" w:rsidRDefault="000F6808" w:rsidP="000F6808">
      <w:pPr>
        <w:pStyle w:val="a3"/>
      </w:pPr>
      <w:bookmarkStart w:id="6134" w:name="_Ref145323373"/>
      <w:r>
        <w:rPr>
          <w:rFonts w:hint="cs"/>
          <w:rtl/>
        </w:rPr>
        <w:t xml:space="preserve">כתב </w:t>
      </w:r>
      <w:r w:rsidRPr="00AC179E">
        <w:rPr>
          <w:rFonts w:hint="cs"/>
          <w:b/>
          <w:bCs/>
          <w:rtl/>
        </w:rPr>
        <w:t>ה</w:t>
      </w:r>
      <w:r w:rsidRPr="00D35147">
        <w:rPr>
          <w:rFonts w:hint="cs"/>
          <w:b/>
          <w:bCs/>
          <w:vanish/>
          <w:rtl/>
        </w:rPr>
        <w:t xml:space="preserve">&lt;, </w:t>
      </w:r>
      <w:r w:rsidRPr="00D35147">
        <w:rPr>
          <w:b/>
          <w:bCs/>
          <w:vanish/>
          <w:rtl/>
        </w:rPr>
        <w:fldChar w:fldCharType="begin"/>
      </w:r>
      <w:r w:rsidRPr="00D35147">
        <w:rPr>
          <w:b/>
          <w:bCs/>
          <w:vanish/>
          <w:rtl/>
        </w:rPr>
        <w:instrText xml:space="preserve"> </w:instrText>
      </w:r>
      <w:r w:rsidRPr="00D35147">
        <w:rPr>
          <w:rFonts w:hint="cs"/>
          <w:b/>
          <w:bCs/>
          <w:vanish/>
        </w:rPr>
        <w:instrText>REF</w:instrText>
      </w:r>
      <w:r w:rsidRPr="00D35147">
        <w:rPr>
          <w:rFonts w:hint="cs"/>
          <w:b/>
          <w:bCs/>
          <w:vanish/>
          <w:rtl/>
        </w:rPr>
        <w:instrText xml:space="preserve"> _</w:instrText>
      </w:r>
      <w:r w:rsidRPr="00D35147">
        <w:rPr>
          <w:rFonts w:hint="cs"/>
          <w:b/>
          <w:bCs/>
          <w:vanish/>
        </w:rPr>
        <w:instrText>Ref145323373 \r \h</w:instrText>
      </w:r>
      <w:r w:rsidRPr="00D35147">
        <w:rPr>
          <w:b/>
          <w:bCs/>
          <w:vanish/>
          <w:rtl/>
        </w:rPr>
        <w:instrText xml:space="preserve"> </w:instrText>
      </w:r>
      <w:r>
        <w:rPr>
          <w:b/>
          <w:bCs/>
          <w:vanish/>
          <w:rtl/>
        </w:rPr>
        <w:instrText xml:space="preserve"> \* </w:instrText>
      </w:r>
      <w:r>
        <w:rPr>
          <w:b/>
          <w:bCs/>
          <w:vanish/>
        </w:rPr>
        <w:instrText>MERGEFORMAT</w:instrText>
      </w:r>
      <w:r>
        <w:rPr>
          <w:b/>
          <w:bCs/>
          <w:vanish/>
          <w:rtl/>
        </w:rPr>
        <w:instrText xml:space="preserve"> </w:instrText>
      </w:r>
      <w:r w:rsidRPr="00D35147">
        <w:rPr>
          <w:b/>
          <w:bCs/>
          <w:vanish/>
          <w:rtl/>
        </w:rPr>
      </w:r>
      <w:r w:rsidRPr="00D35147">
        <w:rPr>
          <w:b/>
          <w:bCs/>
          <w:vanish/>
          <w:rtl/>
        </w:rPr>
        <w:fldChar w:fldCharType="separate"/>
      </w:r>
      <w:r w:rsidR="00D82181">
        <w:rPr>
          <w:b/>
          <w:bCs/>
          <w:vanish/>
          <w:cs/>
        </w:rPr>
        <w:t>‎</w:t>
      </w:r>
      <w:r w:rsidR="00D82181">
        <w:rPr>
          <w:b/>
          <w:bCs/>
          <w:vanish/>
          <w:rtl/>
        </w:rPr>
        <w:t>קנו)</w:t>
      </w:r>
      <w:r w:rsidRPr="00D35147">
        <w:rPr>
          <w:b/>
          <w:bCs/>
          <w:vanish/>
          <w:rtl/>
        </w:rPr>
        <w:fldChar w:fldCharType="end"/>
      </w:r>
      <w:r w:rsidRPr="00D35147">
        <w:rPr>
          <w:rFonts w:hint="cs"/>
          <w:b/>
          <w:bCs/>
          <w:vanish/>
          <w:rtl/>
        </w:rPr>
        <w:t xml:space="preserve"> &gt;</w:t>
      </w:r>
      <w:r w:rsidRPr="00AC179E">
        <w:rPr>
          <w:rFonts w:hint="cs"/>
          <w:b/>
          <w:bCs/>
          <w:rtl/>
        </w:rPr>
        <w:t>מאירי</w:t>
      </w:r>
      <w:r w:rsidRPr="005C2E93">
        <w:rPr>
          <w:rFonts w:hint="cs"/>
          <w:b/>
          <w:bCs/>
          <w:rtl/>
        </w:rPr>
        <w:t xml:space="preserve"> </w:t>
      </w:r>
      <w:r w:rsidRPr="00AC179E">
        <w:rPr>
          <w:rFonts w:hint="cs"/>
          <w:b/>
          <w:bCs/>
          <w:rtl/>
        </w:rPr>
        <w:t>לעיל</w:t>
      </w:r>
      <w:r w:rsidRPr="00AC179E">
        <w:rPr>
          <w:b/>
          <w:bCs/>
          <w:rtl/>
        </w:rPr>
        <w:t xml:space="preserve"> </w:t>
      </w:r>
      <w:r w:rsidRPr="00E56DB3">
        <w:rPr>
          <w:rFonts w:ascii="Calibri" w:eastAsia="Times New Roman" w:hAnsi="Calibri" w:cs="Guttman Rashi"/>
          <w:noProof w:val="0"/>
          <w:sz w:val="10"/>
          <w:szCs w:val="12"/>
          <w:rtl/>
        </w:rPr>
        <w:t>(</w:t>
      </w:r>
      <w:r w:rsidRPr="00E56DB3">
        <w:rPr>
          <w:rFonts w:ascii="Calibri" w:eastAsia="Times New Roman" w:hAnsi="Calibri" w:cs="Guttman Rashi" w:hint="cs"/>
          <w:noProof w:val="0"/>
          <w:sz w:val="10"/>
          <w:szCs w:val="12"/>
          <w:rtl/>
        </w:rPr>
        <w:t xml:space="preserve">מז. </w:t>
      </w:r>
      <w:r>
        <w:rPr>
          <w:rFonts w:ascii="Calibri" w:eastAsia="Times New Roman" w:hAnsi="Calibri" w:cs="Guttman Rashi" w:hint="cs"/>
          <w:noProof w:val="0"/>
          <w:sz w:val="10"/>
          <w:szCs w:val="12"/>
          <w:rtl/>
        </w:rPr>
        <w:t>סו</w:t>
      </w:r>
      <w:r w:rsidRPr="00E56DB3">
        <w:rPr>
          <w:rFonts w:ascii="Calibri" w:eastAsia="Times New Roman" w:hAnsi="Calibri" w:cs="Guttman Rashi" w:hint="cs"/>
          <w:noProof w:val="0"/>
          <w:sz w:val="10"/>
          <w:szCs w:val="12"/>
          <w:rtl/>
        </w:rPr>
        <w:t>ד"ה מטה</w:t>
      </w:r>
      <w:r w:rsidRPr="00E56DB3">
        <w:rPr>
          <w:rFonts w:ascii="Calibri" w:eastAsia="Times New Roman" w:hAnsi="Calibri" w:cs="Guttman Rashi"/>
          <w:noProof w:val="0"/>
          <w:sz w:val="10"/>
          <w:szCs w:val="12"/>
          <w:rtl/>
        </w:rPr>
        <w:t>)</w:t>
      </w:r>
      <w:r w:rsidRPr="0063524E">
        <w:rPr>
          <w:vanish/>
          <w:rtl/>
        </w:rPr>
        <w:t>=</w:t>
      </w:r>
      <w:r>
        <w:rPr>
          <w:rtl/>
        </w:rPr>
        <w:t xml:space="preserve"> </w:t>
      </w:r>
      <w:r>
        <w:rPr>
          <w:rFonts w:hint="cs"/>
          <w:rtl/>
        </w:rPr>
        <w:t>בשם</w:t>
      </w:r>
      <w:r>
        <w:rPr>
          <w:rtl/>
        </w:rPr>
        <w:t xml:space="preserve"> </w:t>
      </w:r>
      <w:r>
        <w:rPr>
          <w:rFonts w:hint="cs"/>
          <w:b/>
          <w:bCs/>
          <w:rtl/>
        </w:rPr>
        <w:t>הראב"ד</w:t>
      </w:r>
      <w:r>
        <w:rPr>
          <w:rtl/>
        </w:rPr>
        <w:t xml:space="preserve"> </w:t>
      </w:r>
      <w:r w:rsidRPr="00492765">
        <w:rPr>
          <w:sz w:val="12"/>
          <w:szCs w:val="14"/>
          <w:rtl/>
        </w:rPr>
        <w:t>[</w:t>
      </w:r>
      <w:r w:rsidRPr="00492765">
        <w:rPr>
          <w:rStyle w:val="aff9"/>
          <w:rFonts w:hint="cs"/>
          <w:rtl/>
        </w:rPr>
        <w:t>גדולי המפרשים</w:t>
      </w:r>
      <w:r w:rsidRPr="00492765">
        <w:rPr>
          <w:sz w:val="12"/>
          <w:szCs w:val="14"/>
          <w:rtl/>
        </w:rPr>
        <w:t>]</w:t>
      </w:r>
      <w:r>
        <w:rPr>
          <w:rtl/>
        </w:rPr>
        <w:t xml:space="preserve"> </w:t>
      </w:r>
      <w:r>
        <w:rPr>
          <w:rFonts w:hint="cs"/>
          <w:rtl/>
        </w:rPr>
        <w:t>דההיתר ברפוי הוא דוקא בדבר שדרכו להשמט ולהחזיר ואדם אינו מקפיד אם נשמט, ולכן רפוי לגמרי מותר, אבל דבר שאין דרך לשומטו, והאדם מקפיד עליו אם נשמט, כגון בדלתות שדה תיבה ומגדל בגמ' לקמן</w:t>
      </w:r>
      <w:r>
        <w:rPr>
          <w:rtl/>
        </w:rPr>
        <w:t xml:space="preserve"> </w:t>
      </w:r>
      <w:r w:rsidRPr="00E56DB3">
        <w:rPr>
          <w:rFonts w:ascii="Calibri" w:eastAsia="Times New Roman" w:hAnsi="Calibri" w:cs="Guttman Rashi"/>
          <w:noProof w:val="0"/>
          <w:sz w:val="10"/>
          <w:szCs w:val="12"/>
          <w:rtl/>
        </w:rPr>
        <w:t>(</w:t>
      </w:r>
      <w:r w:rsidRPr="00E56DB3">
        <w:rPr>
          <w:rFonts w:ascii="Calibri" w:eastAsia="Times New Roman" w:hAnsi="Calibri" w:cs="Guttman Rashi" w:hint="cs"/>
          <w:noProof w:val="0"/>
          <w:sz w:val="10"/>
          <w:szCs w:val="12"/>
          <w:rtl/>
        </w:rPr>
        <w:t>קכב:</w:t>
      </w:r>
      <w:r w:rsidRPr="00E56DB3">
        <w:rPr>
          <w:rFonts w:ascii="Calibri" w:eastAsia="Times New Roman" w:hAnsi="Calibri" w:cs="Guttman Rashi"/>
          <w:noProof w:val="0"/>
          <w:sz w:val="10"/>
          <w:szCs w:val="12"/>
          <w:rtl/>
        </w:rPr>
        <w:t>)</w:t>
      </w:r>
      <w:r>
        <w:rPr>
          <w:rFonts w:hint="cs"/>
          <w:rtl/>
        </w:rPr>
        <w:t>,</w:t>
      </w:r>
      <w:r>
        <w:rPr>
          <w:rtl/>
        </w:rPr>
        <w:t xml:space="preserve"> </w:t>
      </w:r>
      <w:r>
        <w:rPr>
          <w:rFonts w:hint="cs"/>
          <w:rtl/>
        </w:rPr>
        <w:t>אסור להחזירו אף ברפוי לגמרי שמא יתקע ויתחייב במכה בפטיש, וכ"כ</w:t>
      </w:r>
      <w:r>
        <w:rPr>
          <w:rtl/>
        </w:rPr>
        <w:t xml:space="preserve"> </w:t>
      </w:r>
      <w:r w:rsidRPr="0063524E">
        <w:rPr>
          <w:b/>
          <w:bCs/>
          <w:rtl/>
        </w:rPr>
        <w:t>ה</w:t>
      </w:r>
      <w:r>
        <w:rPr>
          <w:rFonts w:hint="cs"/>
          <w:b/>
          <w:bCs/>
          <w:vanish/>
          <w:rtl/>
        </w:rPr>
        <w:t>&lt; &gt;</w:t>
      </w:r>
      <w:r>
        <w:rPr>
          <w:rFonts w:hint="cs"/>
          <w:b/>
          <w:bCs/>
          <w:rtl/>
        </w:rPr>
        <w:t>כל בו</w:t>
      </w:r>
      <w:r w:rsidRPr="0063524E">
        <w:rPr>
          <w:b/>
          <w:bCs/>
          <w:rtl/>
        </w:rPr>
        <w:t xml:space="preserve"> </w:t>
      </w:r>
      <w:r w:rsidRPr="0063524E">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סי' ל"א ד"ה העושה אוהל, הועתק בקובץ</w:t>
      </w:r>
      <w:r>
        <w:rPr>
          <w:rFonts w:hint="cs"/>
          <w:rtl/>
        </w:rPr>
        <w:t xml:space="preserve"> </w:t>
      </w:r>
      <w:r w:rsidRPr="0063524E">
        <w:rPr>
          <w:rFonts w:ascii="Calibri" w:eastAsia="Times New Roman" w:hAnsi="Calibri" w:cs="Guttman Rashi"/>
          <w:noProof w:val="0"/>
          <w:sz w:val="10"/>
          <w:szCs w:val="12"/>
          <w:rtl/>
        </w:rPr>
        <w:t>שי</w:t>
      </w:r>
      <w:r>
        <w:rPr>
          <w:rFonts w:ascii="Calibri" w:eastAsia="Times New Roman" w:hAnsi="Calibri" w:cs="Guttman Rashi" w:hint="cs"/>
          <w:noProof w:val="0"/>
          <w:sz w:val="10"/>
          <w:szCs w:val="12"/>
          <w:rtl/>
        </w:rPr>
        <w:t>ט</w:t>
      </w:r>
      <w:r w:rsidRPr="0063524E">
        <w:rPr>
          <w:rFonts w:ascii="Calibri" w:eastAsia="Times New Roman" w:hAnsi="Calibri" w:cs="Guttman Rashi"/>
          <w:noProof w:val="0"/>
          <w:sz w:val="10"/>
          <w:szCs w:val="12"/>
          <w:rtl/>
        </w:rPr>
        <w:t xml:space="preserve">ות קמאי שבת </w:t>
      </w:r>
      <w:r>
        <w:rPr>
          <w:rFonts w:ascii="Calibri" w:eastAsia="Times New Roman" w:hAnsi="Calibri" w:cs="Guttman Rashi" w:hint="cs"/>
          <w:noProof w:val="0"/>
          <w:sz w:val="10"/>
          <w:szCs w:val="12"/>
          <w:rtl/>
        </w:rPr>
        <w:t xml:space="preserve">ח"ד עמ' </w:t>
      </w:r>
      <w:r w:rsidRPr="0063524E">
        <w:rPr>
          <w:rFonts w:ascii="Calibri" w:eastAsia="Times New Roman" w:hAnsi="Calibri" w:cs="Guttman Rashi"/>
          <w:noProof w:val="0"/>
          <w:sz w:val="10"/>
          <w:szCs w:val="12"/>
          <w:rtl/>
        </w:rPr>
        <w:t>ב' אלף כ</w:t>
      </w:r>
      <w:r>
        <w:rPr>
          <w:rFonts w:ascii="Calibri" w:eastAsia="Times New Roman" w:hAnsi="Calibri" w:cs="Guttman Rashi" w:hint="cs"/>
          <w:noProof w:val="0"/>
          <w:sz w:val="10"/>
          <w:szCs w:val="12"/>
          <w:rtl/>
        </w:rPr>
        <w:t>"</w:t>
      </w:r>
      <w:r w:rsidRPr="0063524E">
        <w:rPr>
          <w:rFonts w:ascii="Calibri" w:eastAsia="Times New Roman" w:hAnsi="Calibri" w:cs="Guttman Rashi"/>
          <w:noProof w:val="0"/>
          <w:sz w:val="10"/>
          <w:szCs w:val="12"/>
          <w:rtl/>
        </w:rPr>
        <w:t>א)</w:t>
      </w:r>
      <w:r>
        <w:rPr>
          <w:rFonts w:ascii="Calibri" w:eastAsia="Times New Roman" w:hAnsi="Calibri" w:cs="Guttman Rashi" w:hint="cs"/>
          <w:noProof w:val="0"/>
          <w:sz w:val="10"/>
          <w:szCs w:val="12"/>
          <w:rtl/>
        </w:rPr>
        <w:t xml:space="preserve"> </w:t>
      </w:r>
      <w:r>
        <w:rPr>
          <w:rFonts w:hint="cs"/>
          <w:rtl/>
        </w:rPr>
        <w:t>בשם</w:t>
      </w:r>
      <w:r>
        <w:rPr>
          <w:rtl/>
        </w:rPr>
        <w:t xml:space="preserve"> </w:t>
      </w:r>
      <w:r>
        <w:rPr>
          <w:rFonts w:hint="cs"/>
          <w:b/>
          <w:bCs/>
          <w:rtl/>
        </w:rPr>
        <w:t>הראב"ד</w:t>
      </w:r>
      <w:r>
        <w:rPr>
          <w:rtl/>
        </w:rPr>
        <w:t xml:space="preserve"> </w:t>
      </w:r>
      <w:r w:rsidRPr="0063524E">
        <w:rPr>
          <w:vanish/>
          <w:rtl/>
        </w:rPr>
        <w:t>=</w:t>
      </w:r>
      <w:r>
        <w:rPr>
          <w:rtl/>
        </w:rPr>
        <w:t xml:space="preserve"> </w:t>
      </w:r>
      <w:r>
        <w:rPr>
          <w:rFonts w:hint="cs"/>
          <w:rtl/>
        </w:rPr>
        <w:t>דמותר להכניס דבר לתוך חור, אם הוא דבר שאדם אינו מקפיד עליו אם ינוע בתוך החור, דבכה"ג לא גזרו שמא יתקע, ורק בדבר שהוא צריך להעמידו בדוחק גזרו שמא יתקע.</w:t>
      </w:r>
      <w:bookmarkEnd w:id="6134"/>
    </w:p>
    <w:p w14:paraId="02F53544" w14:textId="77777777" w:rsidR="000F6808" w:rsidRPr="0088513D" w:rsidRDefault="000F6808" w:rsidP="000F6808">
      <w:pPr>
        <w:pStyle w:val="afffffe"/>
        <w:rPr>
          <w:vanish/>
          <w:rtl/>
        </w:rPr>
      </w:pPr>
      <w:r w:rsidRPr="0088513D">
        <w:rPr>
          <w:vanish/>
          <w:rtl/>
        </w:rPr>
        <w:t>מאירי שבת מ"ז ע"א</w:t>
      </w:r>
      <w:r w:rsidRPr="0088513D">
        <w:rPr>
          <w:rFonts w:hint="cs"/>
          <w:vanish/>
          <w:rtl/>
        </w:rPr>
        <w:t xml:space="preserve"> ד"ה מטה</w:t>
      </w:r>
    </w:p>
    <w:p w14:paraId="14093537" w14:textId="77777777" w:rsidR="000F6808" w:rsidRPr="00111645" w:rsidRDefault="000F6808" w:rsidP="000F6808">
      <w:pPr>
        <w:pStyle w:val="a2"/>
        <w:rPr>
          <w:rtl/>
        </w:rPr>
      </w:pPr>
      <w:r w:rsidRPr="00111645">
        <w:rPr>
          <w:rtl/>
        </w:rPr>
        <w:t>וגדולי המפרשים כתבו במה שהתרנו ברפוי שלא נאמר אלא בדברים שדרכם להשמט ולהחזיר ואין אדם קפיד עליהם אבל דבר שאין דרכו להשמט ושאדם קפיד בהשמטתם אף ברפוי גמור אסור שמא יתקע שם יתד עד שלא ישמט ונמצא מכה בפטיש וזהו שאסרו בדלת שידה תיבה ומגדל בפ' כל הכלים ולא חלקו בין רפוי לשאינו רפוי:</w:t>
      </w:r>
    </w:p>
    <w:p w14:paraId="404B4BB6" w14:textId="77777777" w:rsidR="000F6808" w:rsidRPr="0088513D" w:rsidRDefault="000F6808" w:rsidP="000F6808">
      <w:pPr>
        <w:pStyle w:val="afffffe"/>
        <w:rPr>
          <w:vanish/>
          <w:rtl/>
        </w:rPr>
      </w:pPr>
      <w:r w:rsidRPr="0088513D">
        <w:rPr>
          <w:vanish/>
          <w:rtl/>
        </w:rPr>
        <w:t>כלבו סימן לא ד"ה העושה אוהל</w:t>
      </w:r>
    </w:p>
    <w:p w14:paraId="23A44F99" w14:textId="77777777" w:rsidR="000F6808" w:rsidRPr="00111645" w:rsidRDefault="000F6808" w:rsidP="000F6808">
      <w:pPr>
        <w:pStyle w:val="afffff5"/>
        <w:rPr>
          <w:rtl/>
        </w:rPr>
      </w:pPr>
      <w:r w:rsidRPr="00111645">
        <w:rPr>
          <w:rtl/>
        </w:rPr>
        <w:t>וכתב הראב"ד ז"ל הדברים שאין אדם מקפיד עליהן אם יתנועע בתוך החור, מותר להכניס בחורן, שאין לגזור שמא יתקע, אם לא בדבר שצריך להיות מעמידו בדוחק</w:t>
      </w:r>
      <w:r w:rsidRPr="00111645">
        <w:rPr>
          <w:rFonts w:hint="cs"/>
          <w:rtl/>
        </w:rPr>
        <w:t>.</w:t>
      </w:r>
    </w:p>
    <w:p w14:paraId="718E692F" w14:textId="77777777" w:rsidR="000F6808" w:rsidRPr="001E76AA" w:rsidRDefault="000F6808" w:rsidP="000F6808">
      <w:pPr>
        <w:pStyle w:val="1"/>
        <w:rPr>
          <w:rtl/>
        </w:rPr>
      </w:pPr>
      <w:bookmarkStart w:id="6135" w:name="_Toc145487143"/>
      <w:r>
        <w:rPr>
          <w:rFonts w:hint="cs"/>
          <w:rtl/>
        </w:rPr>
        <w:t>בי' הסמ"ג דרק בדבר שצריך גבורה ואומנות גזרו שמא יתקע</w:t>
      </w:r>
      <w:bookmarkEnd w:id="6135"/>
    </w:p>
    <w:p w14:paraId="7F6630A6" w14:textId="77777777" w:rsidR="000F6808" w:rsidRDefault="000F6808" w:rsidP="000F6808">
      <w:pPr>
        <w:pStyle w:val="afffff7"/>
        <w:rPr>
          <w:rtl/>
        </w:rPr>
      </w:pPr>
      <w:bookmarkStart w:id="6136" w:name="_Toc145500857"/>
      <w:bookmarkStart w:id="6137" w:name="_Toc163506397"/>
      <w:r>
        <w:rPr>
          <w:rtl/>
        </w:rPr>
        <w:t>ספר מצוות גדול לאוין סימן סה</w:t>
      </w:r>
      <w:bookmarkEnd w:id="6124"/>
      <w:bookmarkEnd w:id="6136"/>
      <w:bookmarkEnd w:id="6137"/>
    </w:p>
    <w:p w14:paraId="0E6544D2" w14:textId="77777777" w:rsidR="000F6808" w:rsidRDefault="000F6808" w:rsidP="000F6808">
      <w:pPr>
        <w:pStyle w:val="a7"/>
        <w:rPr>
          <w:rtl/>
        </w:rPr>
      </w:pPr>
      <w:bookmarkStart w:id="6138" w:name="_Toc145487144"/>
      <w:r>
        <w:rPr>
          <w:rFonts w:hint="cs"/>
          <w:rtl/>
        </w:rPr>
        <w:t>בי' הסמ"ג דבדלתות גזרו כיון דבדבר שצריך גבורה יש בנין בכלים ובא"צ גבורה דרפוי מותר</w:t>
      </w:r>
      <w:bookmarkEnd w:id="6138"/>
    </w:p>
    <w:p w14:paraId="5E0DF126" w14:textId="4C86869D" w:rsidR="000F6808" w:rsidRPr="00A86F68" w:rsidRDefault="000F6808" w:rsidP="000F6808">
      <w:pPr>
        <w:pStyle w:val="a3"/>
        <w:rPr>
          <w:rtl/>
        </w:rPr>
      </w:pPr>
      <w:bookmarkStart w:id="6139" w:name="_Ref144456789"/>
      <w:r>
        <w:rPr>
          <w:rFonts w:hint="cs"/>
          <w:rtl/>
        </w:rPr>
        <w:t>אבל</w:t>
      </w:r>
      <w:r w:rsidRPr="00C819DF">
        <w:rPr>
          <w:rtl/>
        </w:rPr>
        <w:t xml:space="preserve"> </w:t>
      </w:r>
      <w:r>
        <w:rPr>
          <w:rFonts w:hint="cs"/>
          <w:b/>
          <w:bCs/>
          <w:rtl/>
        </w:rPr>
        <w:t>ה</w:t>
      </w:r>
      <w:r w:rsidRPr="00FF7F48">
        <w:rPr>
          <w:rFonts w:hint="cs"/>
          <w:b/>
          <w:bCs/>
          <w:vanish/>
          <w:rtl/>
        </w:rPr>
        <w:t xml:space="preserve">&lt;, </w:t>
      </w:r>
      <w:r w:rsidRPr="00FF7F48">
        <w:rPr>
          <w:b/>
          <w:bCs/>
          <w:vanish/>
          <w:rtl/>
        </w:rPr>
        <w:fldChar w:fldCharType="begin"/>
      </w:r>
      <w:r w:rsidRPr="00FF7F48">
        <w:rPr>
          <w:b/>
          <w:bCs/>
          <w:vanish/>
          <w:rtl/>
        </w:rPr>
        <w:instrText xml:space="preserve"> </w:instrText>
      </w:r>
      <w:r w:rsidRPr="00FF7F48">
        <w:rPr>
          <w:rFonts w:hint="cs"/>
          <w:b/>
          <w:bCs/>
          <w:vanish/>
        </w:rPr>
        <w:instrText>REF</w:instrText>
      </w:r>
      <w:r w:rsidRPr="00FF7F48">
        <w:rPr>
          <w:rFonts w:hint="cs"/>
          <w:b/>
          <w:bCs/>
          <w:vanish/>
          <w:rtl/>
        </w:rPr>
        <w:instrText xml:space="preserve"> _</w:instrText>
      </w:r>
      <w:r w:rsidRPr="00FF7F48">
        <w:rPr>
          <w:rFonts w:hint="cs"/>
          <w:b/>
          <w:bCs/>
          <w:vanish/>
        </w:rPr>
        <w:instrText>Ref144456789 \r \h</w:instrText>
      </w:r>
      <w:r w:rsidRPr="00FF7F48">
        <w:rPr>
          <w:b/>
          <w:bCs/>
          <w:vanish/>
          <w:rtl/>
        </w:rPr>
        <w:instrText xml:space="preserve"> </w:instrText>
      </w:r>
      <w:r>
        <w:rPr>
          <w:b/>
          <w:bCs/>
          <w:vanish/>
          <w:rtl/>
        </w:rPr>
        <w:instrText xml:space="preserve"> \* </w:instrText>
      </w:r>
      <w:r>
        <w:rPr>
          <w:b/>
          <w:bCs/>
          <w:vanish/>
        </w:rPr>
        <w:instrText>MERGEFORMAT</w:instrText>
      </w:r>
      <w:r>
        <w:rPr>
          <w:b/>
          <w:bCs/>
          <w:vanish/>
          <w:rtl/>
        </w:rPr>
        <w:instrText xml:space="preserve"> </w:instrText>
      </w:r>
      <w:r w:rsidRPr="00FF7F48">
        <w:rPr>
          <w:b/>
          <w:bCs/>
          <w:vanish/>
          <w:rtl/>
        </w:rPr>
      </w:r>
      <w:r w:rsidRPr="00FF7F48">
        <w:rPr>
          <w:b/>
          <w:bCs/>
          <w:vanish/>
          <w:rtl/>
        </w:rPr>
        <w:fldChar w:fldCharType="separate"/>
      </w:r>
      <w:r w:rsidR="00D82181">
        <w:rPr>
          <w:b/>
          <w:bCs/>
          <w:vanish/>
          <w:cs/>
        </w:rPr>
        <w:t>‎</w:t>
      </w:r>
      <w:r w:rsidR="00D82181">
        <w:rPr>
          <w:b/>
          <w:bCs/>
          <w:vanish/>
          <w:rtl/>
        </w:rPr>
        <w:t>קנז)</w:t>
      </w:r>
      <w:r w:rsidRPr="00FF7F48">
        <w:rPr>
          <w:b/>
          <w:bCs/>
          <w:vanish/>
          <w:rtl/>
        </w:rPr>
        <w:fldChar w:fldCharType="end"/>
      </w:r>
      <w:r w:rsidRPr="00FF7F48">
        <w:rPr>
          <w:rFonts w:hint="cs"/>
          <w:b/>
          <w:bCs/>
          <w:vanish/>
          <w:rtl/>
        </w:rPr>
        <w:t xml:space="preserve"> &gt;</w:t>
      </w:r>
      <w:r w:rsidRPr="00F059E1">
        <w:rPr>
          <w:rFonts w:hint="cs"/>
          <w:b/>
          <w:bCs/>
          <w:rtl/>
        </w:rPr>
        <w:t>סמ"ג</w:t>
      </w:r>
      <w:r w:rsidRPr="00F059E1">
        <w:rPr>
          <w:b/>
          <w:bCs/>
          <w:rtl/>
        </w:rPr>
        <w:t xml:space="preserve"> </w:t>
      </w:r>
      <w:r w:rsidRPr="00F059E1">
        <w:rPr>
          <w:rFonts w:ascii="Calibri" w:eastAsia="Times New Roman" w:hAnsi="Calibri" w:cs="Guttman Rashi"/>
          <w:noProof w:val="0"/>
          <w:sz w:val="10"/>
          <w:szCs w:val="12"/>
          <w:rtl/>
        </w:rPr>
        <w:t>(</w:t>
      </w:r>
      <w:r w:rsidRPr="00F059E1">
        <w:rPr>
          <w:rFonts w:ascii="Calibri" w:eastAsia="Times New Roman" w:hAnsi="Calibri" w:cs="Guttman Rashi" w:hint="cs"/>
          <w:noProof w:val="0"/>
          <w:sz w:val="10"/>
          <w:szCs w:val="12"/>
          <w:rtl/>
        </w:rPr>
        <w:t>לאוין ס"ה אות ל"ד הבונה, הועתק ב</w:t>
      </w:r>
      <w:r w:rsidRPr="00F059E1">
        <w:rPr>
          <w:rFonts w:ascii="Calibri" w:eastAsia="Times New Roman" w:hAnsi="Calibri" w:cs="Guttman Rashi"/>
          <w:noProof w:val="0"/>
          <w:sz w:val="10"/>
          <w:szCs w:val="12"/>
          <w:rtl/>
        </w:rPr>
        <w:t>קובץ שיטות קמאי</w:t>
      </w:r>
      <w:r w:rsidRPr="00F059E1">
        <w:rPr>
          <w:rFonts w:ascii="Calibri" w:eastAsia="Times New Roman" w:hAnsi="Calibri" w:cs="Guttman Rashi" w:hint="cs"/>
          <w:noProof w:val="0"/>
          <w:sz w:val="10"/>
          <w:szCs w:val="12"/>
          <w:rtl/>
        </w:rPr>
        <w:t xml:space="preserve"> שבת ח"ב עמ' תשנ"ד</w:t>
      </w:r>
      <w:r w:rsidRPr="00F059E1">
        <w:rPr>
          <w:rFonts w:ascii="Calibri" w:eastAsia="Times New Roman" w:hAnsi="Calibri" w:cs="Guttman Rashi"/>
          <w:noProof w:val="0"/>
          <w:sz w:val="10"/>
          <w:szCs w:val="12"/>
          <w:rtl/>
        </w:rPr>
        <w:t>)</w:t>
      </w:r>
      <w:r w:rsidRPr="00F059E1">
        <w:rPr>
          <w:vanish/>
          <w:rtl/>
        </w:rPr>
        <w:t>=</w:t>
      </w:r>
      <w:r>
        <w:rPr>
          <w:rtl/>
        </w:rPr>
        <w:t xml:space="preserve"> </w:t>
      </w:r>
      <w:r>
        <w:rPr>
          <w:rFonts w:hint="cs"/>
          <w:rtl/>
        </w:rPr>
        <w:t>כתב</w:t>
      </w:r>
      <w:r>
        <w:rPr>
          <w:rtl/>
        </w:rPr>
        <w:t xml:space="preserve"> </w:t>
      </w:r>
      <w:r>
        <w:rPr>
          <w:rFonts w:hint="cs"/>
          <w:rtl/>
        </w:rPr>
        <w:t xml:space="preserve">דרק במקום שצריך גבורה ואומנות יש בנין בכלים, </w:t>
      </w:r>
      <w:r w:rsidRPr="00EE0A47">
        <w:rPr>
          <w:rStyle w:val="af"/>
          <w:rFonts w:hint="cs"/>
          <w:rtl/>
        </w:rPr>
        <w:t>[</w:t>
      </w:r>
      <w:r w:rsidRPr="00EE0A47">
        <w:rPr>
          <w:rStyle w:val="aff9"/>
          <w:rFonts w:hint="cs"/>
          <w:rtl/>
        </w:rPr>
        <w:t>כתוס'</w:t>
      </w:r>
      <w:r w:rsidRPr="00EE0A47">
        <w:rPr>
          <w:rStyle w:val="af"/>
          <w:rtl/>
        </w:rPr>
        <w:t xml:space="preserve"> </w:t>
      </w:r>
      <w:r w:rsidRPr="00EE0A47">
        <w:rPr>
          <w:rStyle w:val="aff0"/>
          <w:rtl/>
        </w:rPr>
        <w:t>(</w:t>
      </w:r>
      <w:r w:rsidRPr="00EE0A47">
        <w:rPr>
          <w:rStyle w:val="aff0"/>
          <w:rFonts w:hint="cs"/>
          <w:rtl/>
        </w:rPr>
        <w:t xml:space="preserve">עי' אות </w:t>
      </w:r>
      <w:r>
        <w:rPr>
          <w:rStyle w:val="aff0"/>
          <w:rtl/>
        </w:rPr>
        <w:fldChar w:fldCharType="begin"/>
      </w:r>
      <w:r>
        <w:rPr>
          <w:rStyle w:val="aff0"/>
          <w:rtl/>
        </w:rPr>
        <w:instrText xml:space="preserve"> </w:instrText>
      </w:r>
      <w:r>
        <w:rPr>
          <w:rStyle w:val="aff0"/>
        </w:rPr>
        <w:instrText>REF</w:instrText>
      </w:r>
      <w:r>
        <w:rPr>
          <w:rStyle w:val="aff0"/>
          <w:rtl/>
        </w:rPr>
        <w:instrText xml:space="preserve"> _</w:instrText>
      </w:r>
      <w:r>
        <w:rPr>
          <w:rStyle w:val="aff0"/>
        </w:rPr>
        <w:instrText>Ref145461815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קז)</w:t>
      </w:r>
      <w:r>
        <w:rPr>
          <w:rStyle w:val="aff0"/>
          <w:rtl/>
        </w:rPr>
        <w:fldChar w:fldCharType="end"/>
      </w:r>
      <w:r w:rsidRPr="00EE0A47">
        <w:rPr>
          <w:rStyle w:val="af"/>
          <w:rFonts w:hint="cs"/>
          <w:rtl/>
        </w:rPr>
        <w:t>]</w:t>
      </w:r>
      <w:r>
        <w:rPr>
          <w:rtl/>
        </w:rPr>
        <w:t xml:space="preserve"> </w:t>
      </w:r>
      <w:r>
        <w:rPr>
          <w:rFonts w:hint="cs"/>
          <w:rtl/>
        </w:rPr>
        <w:t>אבל אם א"צ גבורה ואומנות אין בנין בכלים, וביאר</w:t>
      </w:r>
      <w:r>
        <w:rPr>
          <w:rtl/>
        </w:rPr>
        <w:t xml:space="preserve"> </w:t>
      </w:r>
      <w:r w:rsidRPr="00F059E1">
        <w:rPr>
          <w:rFonts w:hint="cs"/>
          <w:b/>
          <w:bCs/>
          <w:rtl/>
        </w:rPr>
        <w:t>הסמ"ג</w:t>
      </w:r>
      <w:r>
        <w:rPr>
          <w:rtl/>
        </w:rPr>
        <w:t xml:space="preserve"> </w:t>
      </w:r>
      <w:r>
        <w:rPr>
          <w:rFonts w:hint="cs"/>
          <w:rtl/>
        </w:rPr>
        <w:t>דלכן תניא בגמ' לקמן</w:t>
      </w:r>
      <w:r>
        <w:rPr>
          <w:rtl/>
        </w:rPr>
        <w:t xml:space="preserve"> </w:t>
      </w:r>
      <w:r w:rsidRPr="00F059E1">
        <w:rPr>
          <w:rFonts w:ascii="Calibri" w:eastAsia="Times New Roman" w:hAnsi="Calibri" w:cs="Guttman Rashi"/>
          <w:noProof w:val="0"/>
          <w:sz w:val="10"/>
          <w:szCs w:val="12"/>
          <w:rtl/>
        </w:rPr>
        <w:t>(</w:t>
      </w:r>
      <w:r w:rsidRPr="00F059E1">
        <w:rPr>
          <w:rFonts w:ascii="Calibri" w:eastAsia="Times New Roman" w:hAnsi="Calibri" w:cs="Guttman Rashi" w:hint="cs"/>
          <w:noProof w:val="0"/>
          <w:sz w:val="10"/>
          <w:szCs w:val="12"/>
          <w:rtl/>
        </w:rPr>
        <w:t>קכב:</w:t>
      </w:r>
      <w:r w:rsidRPr="00F059E1">
        <w:rPr>
          <w:rFonts w:ascii="Calibri" w:eastAsia="Times New Roman" w:hAnsi="Calibri" w:cs="Guttman Rashi"/>
          <w:noProof w:val="0"/>
          <w:sz w:val="10"/>
          <w:szCs w:val="12"/>
          <w:rtl/>
        </w:rPr>
        <w:t>)</w:t>
      </w:r>
      <w:r>
        <w:rPr>
          <w:rtl/>
        </w:rPr>
        <w:t xml:space="preserve"> </w:t>
      </w:r>
      <w:r>
        <w:rPr>
          <w:rFonts w:hint="cs"/>
          <w:rtl/>
        </w:rPr>
        <w:t>דאסור להחזיר דלתות הכלים גזירה שמא יתקע, וכן מוכח בגמ' בביצה</w:t>
      </w:r>
      <w:r>
        <w:rPr>
          <w:rtl/>
        </w:rPr>
        <w:t xml:space="preserve"> </w:t>
      </w:r>
      <w:r w:rsidRPr="00F059E1">
        <w:rPr>
          <w:rFonts w:ascii="Calibri" w:eastAsia="Times New Roman" w:hAnsi="Calibri" w:cs="Guttman Rashi"/>
          <w:noProof w:val="0"/>
          <w:sz w:val="10"/>
          <w:szCs w:val="12"/>
          <w:rtl/>
        </w:rPr>
        <w:t>(</w:t>
      </w:r>
      <w:r w:rsidRPr="00F059E1">
        <w:rPr>
          <w:rFonts w:ascii="Calibri" w:eastAsia="Times New Roman" w:hAnsi="Calibri" w:cs="Guttman Rashi" w:hint="cs"/>
          <w:noProof w:val="0"/>
          <w:sz w:val="10"/>
          <w:szCs w:val="12"/>
          <w:rtl/>
        </w:rPr>
        <w:t>י.</w:t>
      </w:r>
      <w:r w:rsidRPr="00F059E1">
        <w:rPr>
          <w:rFonts w:ascii="Calibri" w:eastAsia="Times New Roman" w:hAnsi="Calibri" w:cs="Guttman Rashi"/>
          <w:noProof w:val="0"/>
          <w:sz w:val="10"/>
          <w:szCs w:val="12"/>
          <w:rtl/>
        </w:rPr>
        <w:t>)</w:t>
      </w:r>
      <w:r w:rsidRPr="00F059E1">
        <w:rPr>
          <w:rFonts w:ascii="Calibri" w:eastAsia="Times New Roman" w:hAnsi="Calibri" w:cs="Guttman Rashi" w:hint="cs"/>
          <w:noProof w:val="0"/>
          <w:sz w:val="10"/>
          <w:szCs w:val="12"/>
          <w:rtl/>
        </w:rPr>
        <w:t xml:space="preserve"> </w:t>
      </w:r>
      <w:r>
        <w:rPr>
          <w:rFonts w:hint="cs"/>
          <w:rtl/>
        </w:rPr>
        <w:t>דב"ה התירו להחזיר תריסי החנויות, וכן מוכח בגמ' בביצה</w:t>
      </w:r>
      <w:r>
        <w:rPr>
          <w:rtl/>
        </w:rPr>
        <w:t xml:space="preserve"> </w:t>
      </w:r>
      <w:r w:rsidRPr="00F059E1">
        <w:rPr>
          <w:rFonts w:ascii="Calibri" w:eastAsia="Times New Roman" w:hAnsi="Calibri" w:cs="Guttman Rashi"/>
          <w:noProof w:val="0"/>
          <w:sz w:val="10"/>
          <w:szCs w:val="12"/>
          <w:rtl/>
        </w:rPr>
        <w:t>(</w:t>
      </w:r>
      <w:r w:rsidRPr="00F059E1">
        <w:rPr>
          <w:rFonts w:ascii="Calibri" w:eastAsia="Times New Roman" w:hAnsi="Calibri" w:cs="Guttman Rashi" w:hint="cs"/>
          <w:noProof w:val="0"/>
          <w:sz w:val="10"/>
          <w:szCs w:val="12"/>
          <w:rtl/>
        </w:rPr>
        <w:t>י.</w:t>
      </w:r>
      <w:r w:rsidRPr="00F059E1">
        <w:rPr>
          <w:rFonts w:ascii="Calibri" w:eastAsia="Times New Roman" w:hAnsi="Calibri" w:cs="Guttman Rashi"/>
          <w:noProof w:val="0"/>
          <w:sz w:val="10"/>
          <w:szCs w:val="12"/>
          <w:rtl/>
        </w:rPr>
        <w:t>)</w:t>
      </w:r>
      <w:r>
        <w:rPr>
          <w:rFonts w:hint="cs"/>
          <w:rtl/>
        </w:rPr>
        <w:t xml:space="preserve"> דמותר להחזיר מנורה של חוליות, ובגמ' לעיל</w:t>
      </w:r>
      <w:r>
        <w:rPr>
          <w:rtl/>
        </w:rPr>
        <w:t xml:space="preserve"> </w:t>
      </w:r>
      <w:r w:rsidRPr="00F059E1">
        <w:rPr>
          <w:rFonts w:ascii="Calibri" w:eastAsia="Times New Roman" w:hAnsi="Calibri" w:cs="Guttman Rashi"/>
          <w:noProof w:val="0"/>
          <w:sz w:val="10"/>
          <w:szCs w:val="12"/>
          <w:rtl/>
        </w:rPr>
        <w:t>(</w:t>
      </w:r>
      <w:r w:rsidRPr="00F059E1">
        <w:rPr>
          <w:rFonts w:ascii="Calibri" w:eastAsia="Times New Roman" w:hAnsi="Calibri" w:cs="Guttman Rashi" w:hint="cs"/>
          <w:noProof w:val="0"/>
          <w:sz w:val="10"/>
          <w:szCs w:val="12"/>
          <w:rtl/>
        </w:rPr>
        <w:t>מז.</w:t>
      </w:r>
      <w:r w:rsidRPr="00F059E1">
        <w:rPr>
          <w:rFonts w:ascii="Calibri" w:eastAsia="Times New Roman" w:hAnsi="Calibri" w:cs="Guttman Rashi"/>
          <w:noProof w:val="0"/>
          <w:sz w:val="10"/>
          <w:szCs w:val="12"/>
          <w:rtl/>
        </w:rPr>
        <w:t>)</w:t>
      </w:r>
      <w:r w:rsidRPr="00F059E1">
        <w:rPr>
          <w:rFonts w:ascii="Calibri" w:eastAsia="Times New Roman" w:hAnsi="Calibri" w:cs="Guttman Rashi" w:hint="cs"/>
          <w:noProof w:val="0"/>
          <w:sz w:val="10"/>
          <w:szCs w:val="12"/>
          <w:rtl/>
        </w:rPr>
        <w:t xml:space="preserve"> </w:t>
      </w:r>
      <w:r>
        <w:rPr>
          <w:rFonts w:hint="cs"/>
          <w:rtl/>
        </w:rPr>
        <w:t>אמרינן דעשו כרשב"ג דרפוי מותר, ומוכח דכל שא"צ גבורה ואומנות אין בנין בכלים.</w:t>
      </w:r>
      <w:bookmarkEnd w:id="6139"/>
    </w:p>
    <w:p w14:paraId="57E915DF" w14:textId="77777777" w:rsidR="000F6808" w:rsidRPr="0088513D" w:rsidRDefault="000F6808" w:rsidP="000F6808">
      <w:pPr>
        <w:pStyle w:val="afffffe"/>
        <w:rPr>
          <w:vanish/>
          <w:rtl/>
        </w:rPr>
      </w:pPr>
      <w:r w:rsidRPr="0088513D">
        <w:rPr>
          <w:rFonts w:hint="cs"/>
          <w:vanish/>
          <w:rtl/>
        </w:rPr>
        <w:t xml:space="preserve"> </w:t>
      </w:r>
      <w:r w:rsidRPr="0088513D">
        <w:rPr>
          <w:vanish/>
          <w:rtl/>
        </w:rPr>
        <w:t>ספר מצוות גדול לאוין סימן סה</w:t>
      </w:r>
    </w:p>
    <w:p w14:paraId="23F8E866" w14:textId="77777777" w:rsidR="000F6808" w:rsidRPr="00111645" w:rsidRDefault="000F6808" w:rsidP="000F6808">
      <w:pPr>
        <w:pStyle w:val="a2"/>
        <w:rPr>
          <w:rtl/>
        </w:rPr>
      </w:pPr>
      <w:r w:rsidRPr="00111645">
        <w:rPr>
          <w:rtl/>
        </w:rPr>
        <w:t>לד. הבונה. תנן (שבת קב, ב) הבונה כל שהוא חייב והקודח כל שהוא חייב. ולמעלה במלאכת חורש הבאתי, שהמשווה פני קרקע בבית כגון שהשפיל תל או מילא חריץ הרי זה בונה וחייב (ע"פ רמב"ם פ"י הל' יב). (ודרשינן) [וגרסינן] התם עייל שופתא בקופינא דמרא פירוש (ר"ח שם ע"ש) שהכניס עץ \להיות\ בית יד של קורדום בנקב הקורדום או בנקב המרא הרי זה תולדת בונה וכן כל כיוצא בזה, וכן התוקע עץ בעץ (ע"פ רמב"ם שם הל' יג ע"ש), כדאמרינן (שבת מז, א) מטה של טרסיים לא יתקע ואם תקע חייב חטאת שיש בניין בכלים. ודווקא במקום שצריך גבורה ואומנות יש בניין וסתירה בכלים אבל לא במקום שאין צריך גבורה ואומנות (שם קב, ב תד"ה האי), דהא תניא בריש פרק כל הכלים (שבת קכב, ב) דלת של שידה תיבה ומגדל נוטלין ולא מחזירין גזירה שמא יתקע, וכן מוכיח גבי החזרת תריסין (ביצה י, א) ומנורה של חליות שמתיר במסכת ביצה (כב, א). ובסוף כירה (שבת מז, ב) אמרינן שהיו עושים האמוראים מעשה כרבי שמעון בן גמליאל דאמר אם היה רפוי מותר:</w:t>
      </w:r>
    </w:p>
    <w:p w14:paraId="1EF86979" w14:textId="77777777" w:rsidR="000F6808" w:rsidRDefault="000F6808" w:rsidP="000F6808">
      <w:pPr>
        <w:pStyle w:val="afffff7"/>
        <w:rPr>
          <w:rtl/>
        </w:rPr>
      </w:pPr>
      <w:bookmarkStart w:id="6140" w:name="_Toc145500858"/>
      <w:bookmarkStart w:id="6141" w:name="_Toc163506398"/>
      <w:r>
        <w:rPr>
          <w:rtl/>
        </w:rPr>
        <w:t>שו"ע או"ח סי' שי"ג ו'</w:t>
      </w:r>
      <w:bookmarkEnd w:id="6140"/>
      <w:bookmarkEnd w:id="6141"/>
    </w:p>
    <w:p w14:paraId="3AF30752" w14:textId="77777777" w:rsidR="000F6808" w:rsidRDefault="000F6808" w:rsidP="000F6808">
      <w:pPr>
        <w:pStyle w:val="afffff7"/>
        <w:rPr>
          <w:rtl/>
        </w:rPr>
      </w:pPr>
      <w:bookmarkStart w:id="6142" w:name="_Toc145500859"/>
      <w:bookmarkStart w:id="6143" w:name="_Toc163506399"/>
      <w:r w:rsidRPr="00D46B4A">
        <w:rPr>
          <w:rtl/>
        </w:rPr>
        <w:t xml:space="preserve">מגן אברהם או"ח סי' שי"ג </w:t>
      </w:r>
      <w:r>
        <w:rPr>
          <w:rFonts w:hint="cs"/>
          <w:rtl/>
        </w:rPr>
        <w:t>סקי"א</w:t>
      </w:r>
      <w:bookmarkEnd w:id="6142"/>
      <w:bookmarkEnd w:id="6143"/>
    </w:p>
    <w:p w14:paraId="186CAFC1" w14:textId="77777777" w:rsidR="000F6808" w:rsidRDefault="000F6808" w:rsidP="000F6808">
      <w:pPr>
        <w:pStyle w:val="a7"/>
        <w:rPr>
          <w:rtl/>
        </w:rPr>
      </w:pPr>
      <w:bookmarkStart w:id="6144" w:name="_Toc145487145"/>
      <w:r>
        <w:rPr>
          <w:rFonts w:hint="cs"/>
          <w:rtl/>
        </w:rPr>
        <w:t>בי' המג"א ברמ"א דפסק ככל בו דגזרו ברפוי ודרכו להדק ודלא כסמ"ג דאוסר רק באומנות</w:t>
      </w:r>
      <w:bookmarkEnd w:id="6144"/>
    </w:p>
    <w:p w14:paraId="1C9F4639" w14:textId="2F48E0BE" w:rsidR="000F6808" w:rsidRPr="00D70266" w:rsidRDefault="000F6808" w:rsidP="000F6808">
      <w:pPr>
        <w:pStyle w:val="a3"/>
        <w:rPr>
          <w:rtl/>
        </w:rPr>
      </w:pPr>
      <w:bookmarkStart w:id="6145" w:name="_Ref145369047"/>
      <w:r>
        <w:rPr>
          <w:rFonts w:hint="cs"/>
          <w:rtl/>
        </w:rPr>
        <w:t>כתב</w:t>
      </w:r>
      <w:r>
        <w:rPr>
          <w:rtl/>
        </w:rPr>
        <w:t xml:space="preserve"> </w:t>
      </w:r>
      <w:r w:rsidRPr="00D70266">
        <w:rPr>
          <w:b/>
          <w:bCs/>
          <w:rtl/>
        </w:rPr>
        <w:t>ה</w:t>
      </w:r>
      <w:r w:rsidRPr="00D70266">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Ref145369047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קנח)</w:t>
      </w:r>
      <w:r>
        <w:rPr>
          <w:b/>
          <w:bCs/>
          <w:vanish/>
          <w:rtl/>
        </w:rPr>
        <w:fldChar w:fldCharType="end"/>
      </w:r>
      <w:r w:rsidRPr="00D70266">
        <w:rPr>
          <w:b/>
          <w:bCs/>
          <w:vanish/>
          <w:rtl/>
        </w:rPr>
        <w:t xml:space="preserve"> &gt;</w:t>
      </w:r>
      <w:r>
        <w:rPr>
          <w:rFonts w:hint="cs"/>
          <w:b/>
          <w:bCs/>
          <w:rtl/>
        </w:rPr>
        <w:t>שו"ע</w:t>
      </w:r>
      <w:r w:rsidRPr="00D70266">
        <w:rPr>
          <w:b/>
          <w:bCs/>
          <w:rtl/>
        </w:rPr>
        <w:t xml:space="preserve"> </w:t>
      </w:r>
      <w:r w:rsidRPr="00D70266">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סי' שי"ג ו'</w:t>
      </w:r>
      <w:r w:rsidRPr="00D70266">
        <w:rPr>
          <w:rFonts w:ascii="Calibri" w:eastAsia="Times New Roman" w:hAnsi="Calibri" w:cs="Guttman Rashi"/>
          <w:noProof w:val="0"/>
          <w:sz w:val="10"/>
          <w:szCs w:val="12"/>
          <w:rtl/>
        </w:rPr>
        <w:t>)</w:t>
      </w:r>
      <w:r w:rsidRPr="00D70266">
        <w:rPr>
          <w:vanish/>
          <w:rtl/>
        </w:rPr>
        <w:t>=</w:t>
      </w:r>
      <w:r>
        <w:rPr>
          <w:rtl/>
        </w:rPr>
        <w:t xml:space="preserve"> </w:t>
      </w:r>
      <w:r>
        <w:rPr>
          <w:rFonts w:hint="cs"/>
          <w:rtl/>
        </w:rPr>
        <w:t>דאסור להחזיר ולהדק מטה של פרקים ואם רפויה מותר לכתחילה, ובכוס של פרקים, הביא</w:t>
      </w:r>
      <w:r>
        <w:rPr>
          <w:rtl/>
        </w:rPr>
        <w:t xml:space="preserve"> </w:t>
      </w:r>
      <w:r>
        <w:rPr>
          <w:rFonts w:hint="cs"/>
          <w:b/>
          <w:bCs/>
          <w:rtl/>
        </w:rPr>
        <w:t>השו"ע</w:t>
      </w:r>
      <w:r>
        <w:rPr>
          <w:rtl/>
        </w:rPr>
        <w:t xml:space="preserve"> </w:t>
      </w:r>
      <w:r>
        <w:rPr>
          <w:rFonts w:hint="cs"/>
          <w:rtl/>
        </w:rPr>
        <w:t>מחלוקת אם מותר לפרקו ולהחזיר או דדינו כמטה, וכתב</w:t>
      </w:r>
      <w:r>
        <w:rPr>
          <w:rtl/>
        </w:rPr>
        <w:t xml:space="preserve"> </w:t>
      </w:r>
      <w:r>
        <w:rPr>
          <w:rFonts w:hint="cs"/>
          <w:b/>
          <w:bCs/>
          <w:rtl/>
        </w:rPr>
        <w:t>ה</w:t>
      </w:r>
      <w:r w:rsidRPr="001C29E3">
        <w:rPr>
          <w:rFonts w:hint="cs"/>
          <w:b/>
          <w:bCs/>
          <w:vanish/>
          <w:rtl/>
        </w:rPr>
        <w:t>&lt; &gt;</w:t>
      </w:r>
      <w:r>
        <w:rPr>
          <w:rFonts w:hint="cs"/>
          <w:b/>
          <w:bCs/>
          <w:rtl/>
        </w:rPr>
        <w:t>רמ"א</w:t>
      </w:r>
      <w:r w:rsidRPr="001C29E3">
        <w:rPr>
          <w:rFonts w:hint="cs"/>
          <w:b/>
          <w:bCs/>
          <w:vanish/>
          <w:rtl/>
        </w:rPr>
        <w:t>=</w:t>
      </w:r>
      <w:r>
        <w:rPr>
          <w:rtl/>
        </w:rPr>
        <w:t xml:space="preserve"> </w:t>
      </w:r>
      <w:r>
        <w:rPr>
          <w:rFonts w:hint="cs"/>
          <w:rtl/>
        </w:rPr>
        <w:t>דההיתר במטה רפויה הוא דוקא כשדרכה להיות רפויה ובלבד שלא יהדק, ובכוס של פרקים אם דרכו להדק אף כשעכשיו הוא רפוי אסור, וכתב</w:t>
      </w:r>
      <w:r>
        <w:rPr>
          <w:rtl/>
        </w:rPr>
        <w:t xml:space="preserve"> </w:t>
      </w:r>
      <w:r w:rsidRPr="004F2D3C">
        <w:rPr>
          <w:b/>
          <w:bCs/>
          <w:vanish/>
          <w:rtl/>
        </w:rPr>
        <w:t>&lt; &gt;</w:t>
      </w:r>
      <w:r>
        <w:rPr>
          <w:rFonts w:hint="cs"/>
          <w:b/>
          <w:bCs/>
          <w:rtl/>
        </w:rPr>
        <w:t>המג"א</w:t>
      </w:r>
      <w:r w:rsidRPr="004F2D3C">
        <w:rPr>
          <w:b/>
          <w:bCs/>
          <w:rtl/>
        </w:rPr>
        <w:t xml:space="preserve"> </w:t>
      </w:r>
      <w:r w:rsidRPr="004F2D3C">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סי' שי"ג סקי"א</w:t>
      </w:r>
      <w:r w:rsidRPr="004F2D3C">
        <w:rPr>
          <w:rFonts w:ascii="Calibri" w:eastAsia="Times New Roman" w:hAnsi="Calibri" w:cs="Guttman Rashi"/>
          <w:noProof w:val="0"/>
          <w:sz w:val="10"/>
          <w:szCs w:val="12"/>
          <w:rtl/>
        </w:rPr>
        <w:t>)</w:t>
      </w:r>
      <w:r w:rsidRPr="004F2D3C">
        <w:rPr>
          <w:vanish/>
          <w:rtl/>
        </w:rPr>
        <w:t>=</w:t>
      </w:r>
      <w:r>
        <w:rPr>
          <w:rtl/>
        </w:rPr>
        <w:t xml:space="preserve"> </w:t>
      </w:r>
      <w:r>
        <w:rPr>
          <w:rFonts w:hint="cs"/>
          <w:rtl/>
        </w:rPr>
        <w:t>דמ"ש</w:t>
      </w:r>
      <w:r>
        <w:rPr>
          <w:rtl/>
        </w:rPr>
        <w:t xml:space="preserve"> </w:t>
      </w:r>
      <w:r>
        <w:rPr>
          <w:rFonts w:hint="cs"/>
          <w:b/>
          <w:bCs/>
          <w:rtl/>
        </w:rPr>
        <w:t>הרמ"א</w:t>
      </w:r>
      <w:r>
        <w:rPr>
          <w:rtl/>
        </w:rPr>
        <w:t xml:space="preserve"> </w:t>
      </w:r>
      <w:r>
        <w:rPr>
          <w:rFonts w:hint="cs"/>
          <w:rtl/>
        </w:rPr>
        <w:t>דההיתר הוא רק בדרכה להיות רפויה, היינו כדעת</w:t>
      </w:r>
      <w:r>
        <w:rPr>
          <w:rtl/>
        </w:rPr>
        <w:t xml:space="preserve"> </w:t>
      </w:r>
      <w:r>
        <w:rPr>
          <w:rFonts w:hint="cs"/>
          <w:b/>
          <w:bCs/>
          <w:rtl/>
        </w:rPr>
        <w:t>הכל בו</w:t>
      </w:r>
      <w:r>
        <w:rPr>
          <w:rtl/>
        </w:rPr>
        <w:t xml:space="preserve"> </w:t>
      </w:r>
      <w:r w:rsidRPr="00964C49">
        <w:rPr>
          <w:rFonts w:ascii="Calibri" w:eastAsia="Times New Roman" w:hAnsi="Calibri" w:cs="Guttman Rashi"/>
          <w:noProof w:val="0"/>
          <w:sz w:val="10"/>
          <w:szCs w:val="12"/>
          <w:rtl/>
        </w:rPr>
        <w:t xml:space="preserve">(עי' </w:t>
      </w:r>
      <w:r w:rsidRPr="00FF7F48">
        <w:rPr>
          <w:rStyle w:val="af2"/>
          <w:rFonts w:eastAsia="Guttman Hodes"/>
          <w:rtl/>
        </w:rPr>
        <w:t>אות צא)</w:t>
      </w:r>
      <w:r>
        <w:rPr>
          <w:rtl/>
        </w:rPr>
        <w:t xml:space="preserve"> </w:t>
      </w:r>
      <w:r>
        <w:rPr>
          <w:rFonts w:hint="cs"/>
          <w:rtl/>
        </w:rPr>
        <w:t>בשם</w:t>
      </w:r>
      <w:r>
        <w:rPr>
          <w:rtl/>
        </w:rPr>
        <w:t xml:space="preserve"> </w:t>
      </w:r>
      <w:r>
        <w:rPr>
          <w:rFonts w:hint="cs"/>
          <w:b/>
          <w:bCs/>
          <w:rtl/>
        </w:rPr>
        <w:t>הראב"ד</w:t>
      </w:r>
      <w:r>
        <w:rPr>
          <w:rFonts w:hint="cs"/>
          <w:rtl/>
        </w:rPr>
        <w:t>, אבל</w:t>
      </w:r>
      <w:r>
        <w:rPr>
          <w:rtl/>
        </w:rPr>
        <w:t xml:space="preserve"> </w:t>
      </w:r>
      <w:r>
        <w:rPr>
          <w:rFonts w:hint="cs"/>
          <w:b/>
          <w:bCs/>
          <w:rtl/>
        </w:rPr>
        <w:t>הסמ"ג</w:t>
      </w:r>
      <w:r>
        <w:rPr>
          <w:rtl/>
        </w:rPr>
        <w:t xml:space="preserve"> </w:t>
      </w:r>
      <w:r w:rsidRPr="00964C49">
        <w:rPr>
          <w:rFonts w:ascii="Calibri" w:eastAsia="Times New Roman" w:hAnsi="Calibri" w:cs="Guttman Rashi"/>
          <w:noProof w:val="0"/>
          <w:sz w:val="10"/>
          <w:szCs w:val="12"/>
          <w:rtl/>
        </w:rPr>
        <w:t xml:space="preserve">(עי' </w:t>
      </w:r>
      <w:r w:rsidRPr="00FF7F48">
        <w:rPr>
          <w:rStyle w:val="af2"/>
          <w:rFonts w:eastAsia="Guttman Hodes"/>
          <w:rtl/>
        </w:rPr>
        <w:t xml:space="preserve">אות </w:t>
      </w:r>
      <w:r w:rsidRPr="00FF7F48">
        <w:rPr>
          <w:rStyle w:val="af2"/>
          <w:rFonts w:eastAsia="Guttman Hodes"/>
          <w:rtl/>
        </w:rPr>
        <w:fldChar w:fldCharType="begin"/>
      </w:r>
      <w:r w:rsidRPr="00FF7F48">
        <w:rPr>
          <w:rStyle w:val="af2"/>
          <w:rFonts w:eastAsia="Guttman Hodes"/>
          <w:rtl/>
        </w:rPr>
        <w:instrText xml:space="preserve"> </w:instrText>
      </w:r>
      <w:r w:rsidRPr="00FF7F48">
        <w:rPr>
          <w:rStyle w:val="af2"/>
          <w:rFonts w:eastAsia="Guttman Hodes" w:hint="cs"/>
        </w:rPr>
        <w:instrText>REF</w:instrText>
      </w:r>
      <w:r w:rsidRPr="00FF7F48">
        <w:rPr>
          <w:rStyle w:val="af2"/>
          <w:rFonts w:eastAsia="Guttman Hodes" w:hint="cs"/>
          <w:rtl/>
        </w:rPr>
        <w:instrText xml:space="preserve"> _</w:instrText>
      </w:r>
      <w:r w:rsidRPr="00FF7F48">
        <w:rPr>
          <w:rStyle w:val="af2"/>
          <w:rFonts w:eastAsia="Guttman Hodes" w:hint="cs"/>
        </w:rPr>
        <w:instrText>Ref144456789 \r \h</w:instrText>
      </w:r>
      <w:r w:rsidRPr="00FF7F48">
        <w:rPr>
          <w:rStyle w:val="af2"/>
          <w:rFonts w:eastAsia="Guttman Hodes"/>
          <w:rtl/>
        </w:rPr>
        <w:instrText xml:space="preserve">  \* </w:instrText>
      </w:r>
      <w:r w:rsidRPr="00FF7F48">
        <w:rPr>
          <w:rStyle w:val="af2"/>
          <w:rFonts w:eastAsia="Guttman Hodes"/>
        </w:rPr>
        <w:instrText>MERGEFORMAT</w:instrText>
      </w:r>
      <w:r w:rsidRPr="00FF7F48">
        <w:rPr>
          <w:rStyle w:val="af2"/>
          <w:rFonts w:eastAsia="Guttman Hodes"/>
          <w:rtl/>
        </w:rPr>
        <w:instrText xml:space="preserve"> </w:instrText>
      </w:r>
      <w:r w:rsidRPr="00FF7F48">
        <w:rPr>
          <w:rStyle w:val="af2"/>
          <w:rFonts w:eastAsia="Guttman Hodes"/>
          <w:rtl/>
        </w:rPr>
      </w:r>
      <w:r w:rsidRPr="00FF7F48">
        <w:rPr>
          <w:rStyle w:val="af2"/>
          <w:rFonts w:eastAsia="Guttman Hodes"/>
          <w:rtl/>
        </w:rPr>
        <w:fldChar w:fldCharType="separate"/>
      </w:r>
      <w:r w:rsidR="00D82181">
        <w:rPr>
          <w:rStyle w:val="af2"/>
          <w:rFonts w:eastAsia="Guttman Hodes"/>
          <w:cs/>
        </w:rPr>
        <w:t>‎</w:t>
      </w:r>
      <w:r w:rsidR="00D82181">
        <w:rPr>
          <w:rStyle w:val="af2"/>
          <w:rFonts w:eastAsia="Guttman Hodes"/>
          <w:rtl/>
        </w:rPr>
        <w:t>קנז)</w:t>
      </w:r>
      <w:r w:rsidRPr="00FF7F48">
        <w:rPr>
          <w:rStyle w:val="af2"/>
          <w:rFonts w:eastAsia="Guttman Hodes"/>
          <w:rtl/>
        </w:rPr>
        <w:fldChar w:fldCharType="end"/>
      </w:r>
      <w:r w:rsidRPr="00FF7F48">
        <w:rPr>
          <w:rFonts w:hint="cs"/>
          <w:rtl/>
        </w:rPr>
        <w:t xml:space="preserve"> </w:t>
      </w:r>
      <w:r>
        <w:rPr>
          <w:rFonts w:hint="cs"/>
          <w:rtl/>
        </w:rPr>
        <w:t>כתב דרק בדבר שצריך גבורה ואומנות אסור.</w:t>
      </w:r>
      <w:bookmarkEnd w:id="6145"/>
    </w:p>
    <w:p w14:paraId="2555BAA5" w14:textId="77777777" w:rsidR="000F6808" w:rsidRPr="0088513D" w:rsidRDefault="000F6808" w:rsidP="000F6808">
      <w:pPr>
        <w:pStyle w:val="afffffe"/>
        <w:rPr>
          <w:vanish/>
          <w:rtl/>
        </w:rPr>
      </w:pPr>
      <w:r w:rsidRPr="0088513D">
        <w:rPr>
          <w:vanish/>
          <w:rtl/>
        </w:rPr>
        <w:t>שו"ע או"ח סי' שי"ג ו'</w:t>
      </w:r>
    </w:p>
    <w:p w14:paraId="64E61FC9" w14:textId="77777777" w:rsidR="000F6808" w:rsidRPr="00111645" w:rsidRDefault="000F6808" w:rsidP="000F6808">
      <w:pPr>
        <w:pStyle w:val="a2"/>
      </w:pPr>
      <w:r w:rsidRPr="00111645">
        <w:rPr>
          <w:rtl/>
        </w:rPr>
        <w:t>מטה של פרקים אסור להחזירה ולהדקה, ואם תקע חייב חטאת; ואם היא (דרכה להיות) רפויה, מותר לכתחלה, (ובלבד שלא יהדק). וכוס של פרקים, מותר לפרקו ולהחזירו בשבת. ויש מי שאומר שדין הכוס כדין המטה. הגה: ואם דרכו להיות מהודק אף על גב דעכשיו רפוי, אסור (מיימוני פכ"ה והגהות אשיר"י וכל בו וכן נראה דברי הטור).</w:t>
      </w:r>
      <w:r>
        <w:rPr>
          <w:rtl/>
        </w:rPr>
        <w:t xml:space="preserve"> </w:t>
      </w:r>
    </w:p>
    <w:p w14:paraId="6B5E45AC" w14:textId="77777777" w:rsidR="000F6808" w:rsidRPr="0088513D" w:rsidRDefault="000F6808" w:rsidP="000F6808">
      <w:pPr>
        <w:pStyle w:val="afffffe"/>
        <w:rPr>
          <w:vanish/>
          <w:rtl/>
        </w:rPr>
      </w:pPr>
      <w:r w:rsidRPr="0088513D">
        <w:rPr>
          <w:vanish/>
          <w:rtl/>
        </w:rPr>
        <w:t xml:space="preserve">מגן אברהם או"ח סי' שי"ג </w:t>
      </w:r>
      <w:r w:rsidRPr="0088513D">
        <w:rPr>
          <w:rFonts w:hint="cs"/>
          <w:vanish/>
          <w:rtl/>
        </w:rPr>
        <w:t>סקי"א</w:t>
      </w:r>
    </w:p>
    <w:p w14:paraId="1AA3C7A8" w14:textId="77777777" w:rsidR="000F6808" w:rsidRPr="00111645" w:rsidRDefault="000F6808" w:rsidP="000F6808">
      <w:pPr>
        <w:pStyle w:val="afffff5"/>
        <w:rPr>
          <w:rtl/>
        </w:rPr>
      </w:pPr>
      <w:r w:rsidRPr="00111645">
        <w:rPr>
          <w:rtl/>
        </w:rPr>
        <w:t>דרכה להיות רפויה. ז"ל הכלבו בשם הראב"ד דברים שאין אדם מקפיד עליהם אם יתנענע בתוך החור מותר דאין לגזור אלא בדבר שצריך להיות מעמידה בדוחק אבל בסמ"ג איתא דדוקא דבר שצריך גבורה ואומנות אסור:</w:t>
      </w:r>
      <w:r>
        <w:rPr>
          <w:rtl/>
        </w:rPr>
        <w:t xml:space="preserve"> </w:t>
      </w:r>
    </w:p>
    <w:p w14:paraId="182F285D" w14:textId="77777777" w:rsidR="000F6808" w:rsidRDefault="000F6808" w:rsidP="000F6808">
      <w:pPr>
        <w:pStyle w:val="afffff7"/>
        <w:rPr>
          <w:rtl/>
        </w:rPr>
      </w:pPr>
      <w:bookmarkStart w:id="6146" w:name="_Toc145500860"/>
      <w:bookmarkStart w:id="6147" w:name="_Toc163506400"/>
      <w:r w:rsidRPr="00D46B4A">
        <w:rPr>
          <w:rtl/>
        </w:rPr>
        <w:t xml:space="preserve">חזון איש </w:t>
      </w:r>
      <w:r>
        <w:rPr>
          <w:rtl/>
        </w:rPr>
        <w:t>או"ח סי' נ' סק"י</w:t>
      </w:r>
      <w:r w:rsidRPr="00D46B4A">
        <w:rPr>
          <w:rtl/>
        </w:rPr>
        <w:t xml:space="preserve"> ד"ה ובתו' מ"ח א'</w:t>
      </w:r>
      <w:bookmarkEnd w:id="6146"/>
      <w:bookmarkEnd w:id="6147"/>
      <w:r w:rsidRPr="00D46B4A">
        <w:rPr>
          <w:rtl/>
        </w:rPr>
        <w:t xml:space="preserve"> </w:t>
      </w:r>
    </w:p>
    <w:p w14:paraId="642C3154" w14:textId="77777777" w:rsidR="000F6808" w:rsidRDefault="000F6808" w:rsidP="000F6808">
      <w:pPr>
        <w:pStyle w:val="a7"/>
        <w:rPr>
          <w:rtl/>
        </w:rPr>
      </w:pPr>
      <w:bookmarkStart w:id="6148" w:name="_Toc145487146"/>
      <w:r>
        <w:rPr>
          <w:rFonts w:hint="cs"/>
          <w:rtl/>
        </w:rPr>
        <w:t>בי' החזו"א בתוס' ובהג' אשר"י דכל שלא תקע הוי רפוי אף מהדק ובדלתות גזרו דרגילות לתקוע</w:t>
      </w:r>
      <w:bookmarkEnd w:id="6148"/>
    </w:p>
    <w:p w14:paraId="0E6D508A" w14:textId="262BBA08" w:rsidR="000F6808" w:rsidRPr="00DF3F6C" w:rsidRDefault="000F6808" w:rsidP="000F6808">
      <w:pPr>
        <w:pStyle w:val="a3"/>
        <w:rPr>
          <w:rtl/>
        </w:rPr>
      </w:pPr>
      <w:bookmarkStart w:id="6149" w:name="_Ref145319966"/>
      <w:r>
        <w:rPr>
          <w:rFonts w:hint="cs"/>
          <w:rtl/>
        </w:rPr>
        <w:t>במ"ש</w:t>
      </w:r>
      <w:r>
        <w:rPr>
          <w:rtl/>
        </w:rPr>
        <w:t xml:space="preserve"> </w:t>
      </w:r>
      <w:r>
        <w:rPr>
          <w:rFonts w:hint="cs"/>
          <w:b/>
          <w:bCs/>
          <w:rtl/>
        </w:rPr>
        <w:t>התוס' וההג' אשר"י</w:t>
      </w:r>
      <w:r>
        <w:rPr>
          <w:rtl/>
        </w:rPr>
        <w:t xml:space="preserve"> </w:t>
      </w:r>
      <w:r>
        <w:rPr>
          <w:rFonts w:ascii="Calibri" w:eastAsia="Times New Roman" w:hAnsi="Calibri" w:cs="Guttman Rashi" w:hint="cs"/>
          <w:noProof w:val="0"/>
          <w:sz w:val="10"/>
          <w:szCs w:val="12"/>
          <w:rtl/>
        </w:rPr>
        <w:t xml:space="preserve">(עי' 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hint="cs"/>
          <w:noProof w:val="0"/>
          <w:sz w:val="10"/>
          <w:szCs w:val="12"/>
        </w:rPr>
        <w:instrText>REF</w:instrText>
      </w:r>
      <w:r>
        <w:rPr>
          <w:rFonts w:ascii="Calibri" w:eastAsia="Times New Roman" w:hAnsi="Calibri" w:cs="Guttman Rashi" w:hint="cs"/>
          <w:noProof w:val="0"/>
          <w:sz w:val="10"/>
          <w:szCs w:val="12"/>
          <w:rtl/>
        </w:rPr>
        <w:instrText xml:space="preserve"> _</w:instrText>
      </w:r>
      <w:r>
        <w:rPr>
          <w:rFonts w:ascii="Calibri" w:eastAsia="Times New Roman" w:hAnsi="Calibri" w:cs="Guttman Rashi" w:hint="cs"/>
          <w:noProof w:val="0"/>
          <w:sz w:val="10"/>
          <w:szCs w:val="12"/>
        </w:rPr>
        <w:instrText>Ref145319901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קנד)</w:t>
      </w:r>
      <w:r>
        <w:rPr>
          <w:rFonts w:ascii="Calibri" w:eastAsia="Times New Roman" w:hAnsi="Calibri" w:cs="Guttman Rashi"/>
          <w:noProof w:val="0"/>
          <w:sz w:val="10"/>
          <w:szCs w:val="12"/>
          <w:rtl/>
        </w:rPr>
        <w:fldChar w:fldCharType="end"/>
      </w:r>
      <w:r>
        <w:rPr>
          <w:rFonts w:ascii="Calibri" w:eastAsia="Times New Roman" w:hAnsi="Calibri" w:cs="Guttman Rashi" w:hint="cs"/>
          <w:noProof w:val="0"/>
          <w:sz w:val="10"/>
          <w:szCs w:val="12"/>
          <w:rtl/>
        </w:rPr>
        <w:t xml:space="preserve"> </w:t>
      </w:r>
      <w:r>
        <w:rPr>
          <w:rFonts w:hint="cs"/>
          <w:rtl/>
        </w:rPr>
        <w:t>דמוכח מדלתות שידה תיבה ומגדל, דכל שיש רגילות להחזיר גזרו שמא יתקע, הקשה</w:t>
      </w:r>
      <w:r>
        <w:rPr>
          <w:rtl/>
        </w:rPr>
        <w:t xml:space="preserve"> </w:t>
      </w:r>
      <w:r w:rsidRPr="00DF3F6C">
        <w:rPr>
          <w:b/>
          <w:bCs/>
          <w:rtl/>
        </w:rPr>
        <w:t>ה</w:t>
      </w:r>
      <w:r w:rsidRPr="00DF3F6C">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Ref145319966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קנט)</w:t>
      </w:r>
      <w:r>
        <w:rPr>
          <w:b/>
          <w:bCs/>
          <w:vanish/>
          <w:rtl/>
        </w:rPr>
        <w:fldChar w:fldCharType="end"/>
      </w:r>
      <w:r w:rsidRPr="00DF3F6C">
        <w:rPr>
          <w:b/>
          <w:bCs/>
          <w:vanish/>
          <w:rtl/>
        </w:rPr>
        <w:t xml:space="preserve"> &gt; </w:t>
      </w:r>
      <w:r>
        <w:rPr>
          <w:rFonts w:hint="cs"/>
          <w:b/>
          <w:bCs/>
          <w:rtl/>
        </w:rPr>
        <w:t xml:space="preserve">חזו"א </w:t>
      </w:r>
      <w:r w:rsidRPr="00DF3F6C">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סי' נ' סק"י ד"ה ובתו'</w:t>
      </w:r>
      <w:r w:rsidRPr="00DF3F6C">
        <w:rPr>
          <w:rFonts w:ascii="Calibri" w:eastAsia="Times New Roman" w:hAnsi="Calibri" w:cs="Guttman Rashi"/>
          <w:noProof w:val="0"/>
          <w:sz w:val="10"/>
          <w:szCs w:val="12"/>
          <w:rtl/>
        </w:rPr>
        <w:t>)</w:t>
      </w:r>
      <w:bookmarkEnd w:id="6149"/>
      <w:r w:rsidRPr="00DF3F6C">
        <w:rPr>
          <w:vanish/>
          <w:rtl/>
        </w:rPr>
        <w:t>=</w:t>
      </w:r>
      <w:r>
        <w:rPr>
          <w:rtl/>
        </w:rPr>
        <w:t xml:space="preserve"> </w:t>
      </w:r>
      <w:r>
        <w:rPr>
          <w:rFonts w:hint="cs"/>
          <w:rtl/>
        </w:rPr>
        <w:t>דאי"ז ראיה דהא אפש"ל דאיירי במהדק ולכן אסור, ותירץ</w:t>
      </w:r>
      <w:r>
        <w:rPr>
          <w:rtl/>
        </w:rPr>
        <w:t xml:space="preserve"> </w:t>
      </w:r>
      <w:r>
        <w:rPr>
          <w:rFonts w:hint="cs"/>
          <w:b/>
          <w:bCs/>
          <w:rtl/>
        </w:rPr>
        <w:t>החזו"א</w:t>
      </w:r>
      <w:r>
        <w:rPr>
          <w:rtl/>
        </w:rPr>
        <w:t xml:space="preserve"> </w:t>
      </w:r>
      <w:r>
        <w:rPr>
          <w:rFonts w:hint="cs"/>
          <w:rtl/>
        </w:rPr>
        <w:t>דס"ל</w:t>
      </w:r>
      <w:r>
        <w:rPr>
          <w:rtl/>
        </w:rPr>
        <w:t xml:space="preserve"> </w:t>
      </w:r>
      <w:r>
        <w:rPr>
          <w:rFonts w:hint="cs"/>
          <w:b/>
          <w:bCs/>
          <w:rtl/>
        </w:rPr>
        <w:t>להתוס' וההג' אשר"י</w:t>
      </w:r>
      <w:r>
        <w:rPr>
          <w:rtl/>
        </w:rPr>
        <w:t xml:space="preserve"> </w:t>
      </w:r>
      <w:r>
        <w:rPr>
          <w:rFonts w:hint="cs"/>
          <w:rtl/>
        </w:rPr>
        <w:t xml:space="preserve">דאין חילוק בין רפוי למהודק, וכל שלא תקע חשיב רפוי, </w:t>
      </w:r>
      <w:r w:rsidRPr="00A24B19">
        <w:rPr>
          <w:rStyle w:val="af"/>
          <w:rFonts w:hint="cs"/>
          <w:rtl/>
        </w:rPr>
        <w:t xml:space="preserve">[ודלא </w:t>
      </w:r>
      <w:r w:rsidRPr="00A24B19">
        <w:rPr>
          <w:rStyle w:val="aff9"/>
          <w:rFonts w:hint="cs"/>
          <w:rtl/>
        </w:rPr>
        <w:t>כר"ן</w:t>
      </w:r>
      <w:r w:rsidRPr="00A24B19">
        <w:rPr>
          <w:rStyle w:val="af"/>
          <w:rFonts w:hint="cs"/>
          <w:rtl/>
        </w:rPr>
        <w:t xml:space="preserve"> </w:t>
      </w:r>
      <w:r w:rsidRPr="00A24B19">
        <w:rPr>
          <w:rStyle w:val="aff0"/>
          <w:rFonts w:hint="cs"/>
          <w:rtl/>
        </w:rPr>
        <w:t xml:space="preserve">(עי'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Ref145415181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קלה)</w:t>
      </w:r>
      <w:r>
        <w:rPr>
          <w:rStyle w:val="aff0"/>
          <w:rtl/>
        </w:rPr>
        <w:fldChar w:fldCharType="end"/>
      </w:r>
      <w:r w:rsidRPr="00A24B19">
        <w:rPr>
          <w:rStyle w:val="af"/>
          <w:rFonts w:hint="cs"/>
          <w:rtl/>
        </w:rPr>
        <w:t xml:space="preserve">], </w:t>
      </w:r>
      <w:r>
        <w:rPr>
          <w:rFonts w:hint="cs"/>
          <w:rtl/>
        </w:rPr>
        <w:t>ולכן במטה של טרסיים כל שאינו תוקע חשיב רפוי ומותר, וא"כ הוקשה להם דאמאי גזרו בדלתות שידה תיבה ומגדל שמא יתקע, והא כל שלא תקע חשיב רפוי, ותירצו דבדלתות הרגילות לתקוע ולכן גזרו משא"כ במטה של טרסיים דאין רגילות לתקוע מותר ברפוי, וכתב</w:t>
      </w:r>
      <w:r>
        <w:rPr>
          <w:rtl/>
        </w:rPr>
        <w:t xml:space="preserve"> </w:t>
      </w:r>
      <w:r>
        <w:rPr>
          <w:rFonts w:hint="cs"/>
          <w:b/>
          <w:bCs/>
          <w:rtl/>
        </w:rPr>
        <w:t>החזו"א</w:t>
      </w:r>
      <w:r>
        <w:rPr>
          <w:rtl/>
        </w:rPr>
        <w:t xml:space="preserve"> </w:t>
      </w:r>
      <w:r>
        <w:rPr>
          <w:rFonts w:hint="cs"/>
          <w:rtl/>
        </w:rPr>
        <w:t xml:space="preserve">דלפי"ז מבואר אמאי לא התירו להחזיר תריסין של בית, דכיון דהרגילות לתקוע גזרו שמא יתקע ואף ברפוי אסור. </w:t>
      </w:r>
    </w:p>
    <w:p w14:paraId="12B77CA0" w14:textId="77777777" w:rsidR="000F6808" w:rsidRPr="0088513D" w:rsidRDefault="000F6808" w:rsidP="000F6808">
      <w:pPr>
        <w:pStyle w:val="afffffe"/>
        <w:rPr>
          <w:vanish/>
          <w:rtl/>
        </w:rPr>
      </w:pPr>
      <w:r w:rsidRPr="0088513D">
        <w:rPr>
          <w:vanish/>
          <w:rtl/>
        </w:rPr>
        <w:t xml:space="preserve">חזון איש או"ח סי' נ' סק"י ד"ה ובתו' מ"ח א' </w:t>
      </w:r>
    </w:p>
    <w:p w14:paraId="2434CC56" w14:textId="77777777" w:rsidR="000F6808" w:rsidRPr="00111645" w:rsidRDefault="000F6808" w:rsidP="000F6808">
      <w:pPr>
        <w:pStyle w:val="a2"/>
        <w:rPr>
          <w:rtl/>
        </w:rPr>
      </w:pPr>
      <w:r w:rsidRPr="00111645">
        <w:rPr>
          <w:rtl/>
        </w:rPr>
        <w:t>ובתו' מ"ח א' ד"ה הא, כתבו דבענין שהוא רגילות לתקוע אסור להחזיר אפי' רפוי גזירה שמא יתקע, וכ"כ בהג"א בסוגין, נראה דעתם דכל שלא תקע בכלל רפוי ומותר, והיה קשיא להו ההיא דדלת שדה תבה לק' קכ"ב ב' דגזרינן שמא יתקע וניחא להו דמטה של טרסיים דרך לשמש בה בלא תקיעה אבל דלת השדה דרגילות לתקוע אסור ובזה ניחא ההיא דחזרת תריסין דלא התירו בשל בית, וזה מוכח דאם היה דעתם לחלק בין רפוי למהודק אין להם ראי' מההיא דדלת השדה לאסור ברגילות לתקוע די"ל דהתם במהדק.</w:t>
      </w:r>
    </w:p>
    <w:p w14:paraId="188FBA4A" w14:textId="77777777" w:rsidR="000F6808" w:rsidRDefault="000F6808" w:rsidP="000F6808">
      <w:pPr>
        <w:pStyle w:val="afffff7"/>
        <w:rPr>
          <w:rtl/>
        </w:rPr>
      </w:pPr>
      <w:bookmarkStart w:id="6150" w:name="_Toc145500861"/>
      <w:bookmarkStart w:id="6151" w:name="_Toc163506401"/>
      <w:r>
        <w:rPr>
          <w:rtl/>
        </w:rPr>
        <w:t xml:space="preserve">טור </w:t>
      </w:r>
      <w:r>
        <w:rPr>
          <w:rFonts w:hint="cs"/>
          <w:rtl/>
        </w:rPr>
        <w:t>או"ח סי'</w:t>
      </w:r>
      <w:r>
        <w:rPr>
          <w:rtl/>
        </w:rPr>
        <w:t xml:space="preserve"> שי</w:t>
      </w:r>
      <w:r>
        <w:rPr>
          <w:rFonts w:hint="cs"/>
          <w:rtl/>
        </w:rPr>
        <w:t>"</w:t>
      </w:r>
      <w:r>
        <w:rPr>
          <w:rtl/>
        </w:rPr>
        <w:t>ג</w:t>
      </w:r>
      <w:r>
        <w:rPr>
          <w:rFonts w:hint="cs"/>
          <w:rtl/>
        </w:rPr>
        <w:t xml:space="preserve"> ו'</w:t>
      </w:r>
      <w:bookmarkEnd w:id="6150"/>
      <w:bookmarkEnd w:id="6151"/>
    </w:p>
    <w:p w14:paraId="5CEA6174" w14:textId="77777777" w:rsidR="000F6808" w:rsidRDefault="000F6808" w:rsidP="000F6808">
      <w:pPr>
        <w:pStyle w:val="a7"/>
        <w:rPr>
          <w:rtl/>
        </w:rPr>
      </w:pPr>
      <w:bookmarkStart w:id="6152" w:name="_Toc145487147"/>
      <w:r>
        <w:rPr>
          <w:rFonts w:hint="cs"/>
          <w:rtl/>
        </w:rPr>
        <w:t>פלו' הטור והמהר"ם מרוטנבורג בכוס של פרקים אי מותר ברפוי או דאין דרך להדק ולעולם מותר</w:t>
      </w:r>
      <w:bookmarkEnd w:id="6152"/>
    </w:p>
    <w:p w14:paraId="26A97E4D" w14:textId="2C3843A2" w:rsidR="000F6808" w:rsidRPr="00DE2DFD" w:rsidRDefault="000F6808" w:rsidP="000F6808">
      <w:pPr>
        <w:pStyle w:val="a3"/>
        <w:rPr>
          <w:rtl/>
        </w:rPr>
      </w:pPr>
      <w:bookmarkStart w:id="6153" w:name="_Ref145321274"/>
      <w:bookmarkStart w:id="6154" w:name="_Ref145322044"/>
      <w:r>
        <w:rPr>
          <w:rFonts w:hint="cs"/>
          <w:rtl/>
        </w:rPr>
        <w:t>כתב</w:t>
      </w:r>
      <w:r>
        <w:rPr>
          <w:rtl/>
        </w:rPr>
        <w:t xml:space="preserve"> </w:t>
      </w:r>
      <w:r w:rsidRPr="00DE2DFD">
        <w:rPr>
          <w:b/>
          <w:bCs/>
          <w:rtl/>
        </w:rPr>
        <w:t>ה</w:t>
      </w:r>
      <w:r w:rsidRPr="00DE2DFD">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Ref145321274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קס)</w:t>
      </w:r>
      <w:r>
        <w:rPr>
          <w:b/>
          <w:bCs/>
          <w:vanish/>
          <w:rtl/>
        </w:rPr>
        <w:fldChar w:fldCharType="end"/>
      </w:r>
      <w:r w:rsidRPr="00DE2DFD">
        <w:rPr>
          <w:b/>
          <w:bCs/>
          <w:vanish/>
          <w:rtl/>
        </w:rPr>
        <w:t xml:space="preserve"> &gt;</w:t>
      </w:r>
      <w:r>
        <w:rPr>
          <w:rFonts w:hint="cs"/>
          <w:b/>
          <w:bCs/>
          <w:rtl/>
        </w:rPr>
        <w:t>טור</w:t>
      </w:r>
      <w:r w:rsidRPr="00DE2DFD">
        <w:rPr>
          <w:b/>
          <w:bCs/>
          <w:rtl/>
        </w:rPr>
        <w:t xml:space="preserve"> </w:t>
      </w:r>
      <w:r w:rsidRPr="00DE2DFD">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סי' שי"ג ו'</w:t>
      </w:r>
      <w:r w:rsidRPr="00DE2DFD">
        <w:rPr>
          <w:rFonts w:ascii="Calibri" w:eastAsia="Times New Roman" w:hAnsi="Calibri" w:cs="Guttman Rashi"/>
          <w:noProof w:val="0"/>
          <w:sz w:val="10"/>
          <w:szCs w:val="12"/>
          <w:rtl/>
        </w:rPr>
        <w:t>)</w:t>
      </w:r>
      <w:bookmarkEnd w:id="6153"/>
      <w:r w:rsidRPr="00DE2DFD">
        <w:rPr>
          <w:vanish/>
          <w:rtl/>
        </w:rPr>
        <w:t>=</w:t>
      </w:r>
      <w:r>
        <w:rPr>
          <w:rtl/>
        </w:rPr>
        <w:t xml:space="preserve"> </w:t>
      </w:r>
      <w:r>
        <w:rPr>
          <w:rFonts w:hint="cs"/>
          <w:rtl/>
        </w:rPr>
        <w:t>דדלתות שידה תיבה ומגדל כשיצא הציר העליון אסור לדוחקו ולהחזירו, ומטה של פרקים אסור להחזירה ולהדקה ובתקע חייב חטאת, וברפוי מותר לכתחילה, והביא</w:t>
      </w:r>
      <w:r>
        <w:rPr>
          <w:rtl/>
        </w:rPr>
        <w:t xml:space="preserve"> </w:t>
      </w:r>
      <w:r>
        <w:rPr>
          <w:rFonts w:hint="cs"/>
          <w:b/>
          <w:bCs/>
          <w:rtl/>
        </w:rPr>
        <w:t>הטור</w:t>
      </w:r>
      <w:r>
        <w:rPr>
          <w:rtl/>
        </w:rPr>
        <w:t xml:space="preserve"> </w:t>
      </w:r>
      <w:r>
        <w:rPr>
          <w:rFonts w:hint="cs"/>
          <w:rtl/>
        </w:rPr>
        <w:t>בשם</w:t>
      </w:r>
      <w:r>
        <w:rPr>
          <w:rtl/>
        </w:rPr>
        <w:t xml:space="preserve"> </w:t>
      </w:r>
      <w:r>
        <w:rPr>
          <w:rFonts w:hint="cs"/>
          <w:b/>
          <w:bCs/>
          <w:rtl/>
        </w:rPr>
        <w:t>המהר"ם מרוטנבורג</w:t>
      </w:r>
      <w:r>
        <w:rPr>
          <w:rtl/>
        </w:rPr>
        <w:t xml:space="preserve"> </w:t>
      </w:r>
      <w:r>
        <w:rPr>
          <w:rFonts w:hint="cs"/>
          <w:rtl/>
        </w:rPr>
        <w:t>דכתב דה"ה דאסור להחזיר כוס של פרקים, ורק ברפוי מותר לכתחילה, וכתב</w:t>
      </w:r>
      <w:r>
        <w:rPr>
          <w:rtl/>
        </w:rPr>
        <w:t xml:space="preserve"> </w:t>
      </w:r>
      <w:r>
        <w:rPr>
          <w:rFonts w:hint="cs"/>
          <w:b/>
          <w:bCs/>
          <w:rtl/>
        </w:rPr>
        <w:t>הטור</w:t>
      </w:r>
      <w:r>
        <w:rPr>
          <w:rtl/>
        </w:rPr>
        <w:t xml:space="preserve"> </w:t>
      </w:r>
      <w:r>
        <w:rPr>
          <w:rFonts w:hint="cs"/>
          <w:rtl/>
        </w:rPr>
        <w:t>דנראה שאין דרך להדק כ"כ בכוס ולכן מותר בכל האופנים.</w:t>
      </w:r>
      <w:bookmarkEnd w:id="6154"/>
      <w:r>
        <w:rPr>
          <w:rtl/>
        </w:rPr>
        <w:t xml:space="preserve"> </w:t>
      </w:r>
    </w:p>
    <w:p w14:paraId="4F5F1DAC" w14:textId="77777777" w:rsidR="000F6808" w:rsidRPr="0088513D" w:rsidRDefault="000F6808" w:rsidP="000F6808">
      <w:pPr>
        <w:pStyle w:val="afffffe"/>
        <w:rPr>
          <w:vanish/>
          <w:rtl/>
        </w:rPr>
      </w:pPr>
      <w:r w:rsidRPr="0088513D">
        <w:rPr>
          <w:vanish/>
          <w:rtl/>
        </w:rPr>
        <w:t xml:space="preserve">טור </w:t>
      </w:r>
      <w:r w:rsidRPr="0088513D">
        <w:rPr>
          <w:rFonts w:hint="cs"/>
          <w:vanish/>
          <w:rtl/>
        </w:rPr>
        <w:t>או"ח סי'</w:t>
      </w:r>
      <w:r w:rsidRPr="0088513D">
        <w:rPr>
          <w:vanish/>
          <w:rtl/>
        </w:rPr>
        <w:t xml:space="preserve"> שי</w:t>
      </w:r>
      <w:r w:rsidRPr="0088513D">
        <w:rPr>
          <w:rFonts w:hint="cs"/>
          <w:vanish/>
          <w:rtl/>
        </w:rPr>
        <w:t>"</w:t>
      </w:r>
      <w:r w:rsidRPr="0088513D">
        <w:rPr>
          <w:vanish/>
          <w:rtl/>
        </w:rPr>
        <w:t>ג</w:t>
      </w:r>
      <w:r w:rsidRPr="0088513D">
        <w:rPr>
          <w:rFonts w:hint="cs"/>
          <w:vanish/>
          <w:rtl/>
        </w:rPr>
        <w:t xml:space="preserve"> ו'</w:t>
      </w:r>
    </w:p>
    <w:p w14:paraId="0F023730" w14:textId="77777777" w:rsidR="000F6808" w:rsidRPr="00111645" w:rsidRDefault="000F6808" w:rsidP="000F6808">
      <w:pPr>
        <w:pStyle w:val="a2"/>
      </w:pPr>
      <w:r w:rsidRPr="00111645">
        <w:rPr>
          <w:rtl/>
        </w:rPr>
        <w:t xml:space="preserve">שידה תיבה ומגדל שפתחיהן מן הצד ויש להם ב' צירים אחת למעלה ואחת למטה אם יצא התחתון כולו ממקומו אסור להחזירו שמא יתקע אבל אם יצא מקצתו דוחקו עד שמחזירו למקומו כיון שהעליון נשאר במקומו בקל יכול להחזיר התחתון אבל כשיצא העליון אסור אפילו לדוחקו ולהחזירו למקומו מטה של פרקים אסור להחזירה ולהדקה ואם תקע חייב חטאת ואם היה רפויה מותר לכתחלה וראיתי כתוב על שם הר"ם מרוטנבורג דה"ה כוס של פרקים אסור להחזירו אא"כ יהא רפוי ונרא' דכוס אין דרך להדקו כל כך ושרי בכל ענין </w:t>
      </w:r>
      <w:r w:rsidRPr="004D1532">
        <w:rPr>
          <w:rStyle w:val="afff7"/>
          <w:rtl/>
        </w:rPr>
        <w:t>קורה שנשברה מותר לסומכה בארוכות המטה שהן כלי כדי שלא תרד יותר אבל לא כדי שתעלה דא"כ הוה ליה בונה והוא שיהו רפוין שיכול ליטלם כשירצה אבל אם מהדקם שם אסור</w:t>
      </w:r>
      <w:r w:rsidRPr="00111645">
        <w:rPr>
          <w:rtl/>
        </w:rPr>
        <w:t xml:space="preserve">: </w:t>
      </w:r>
    </w:p>
    <w:p w14:paraId="630BEEE6" w14:textId="77777777" w:rsidR="000F6808" w:rsidRDefault="000F6808" w:rsidP="000F6808">
      <w:pPr>
        <w:pStyle w:val="afffff7"/>
        <w:rPr>
          <w:rtl/>
        </w:rPr>
      </w:pPr>
      <w:bookmarkStart w:id="6155" w:name="_Toc145500862"/>
      <w:bookmarkStart w:id="6156" w:name="_Toc163506402"/>
      <w:r>
        <w:rPr>
          <w:rtl/>
        </w:rPr>
        <w:t xml:space="preserve">בית יוסף </w:t>
      </w:r>
      <w:r>
        <w:rPr>
          <w:rFonts w:hint="cs"/>
          <w:rtl/>
        </w:rPr>
        <w:t>או"ח סי'</w:t>
      </w:r>
      <w:r>
        <w:rPr>
          <w:rtl/>
        </w:rPr>
        <w:t xml:space="preserve"> שי</w:t>
      </w:r>
      <w:r>
        <w:rPr>
          <w:rFonts w:hint="cs"/>
          <w:rtl/>
        </w:rPr>
        <w:t>"</w:t>
      </w:r>
      <w:r>
        <w:rPr>
          <w:rtl/>
        </w:rPr>
        <w:t>ג</w:t>
      </w:r>
      <w:r>
        <w:rPr>
          <w:rFonts w:hint="cs"/>
          <w:rtl/>
        </w:rPr>
        <w:t xml:space="preserve"> ו'</w:t>
      </w:r>
      <w:bookmarkEnd w:id="6155"/>
      <w:bookmarkEnd w:id="6156"/>
    </w:p>
    <w:p w14:paraId="5BD8CBD0" w14:textId="77777777" w:rsidR="000F6808" w:rsidRDefault="000F6808" w:rsidP="000F6808">
      <w:pPr>
        <w:pStyle w:val="a7"/>
        <w:rPr>
          <w:rtl/>
        </w:rPr>
      </w:pPr>
      <w:bookmarkStart w:id="6157" w:name="_Toc145487148"/>
      <w:r>
        <w:rPr>
          <w:rFonts w:hint="cs"/>
          <w:rtl/>
        </w:rPr>
        <w:t>בי' הב"י ברמב"ם ובטור ובהג' אשר"י וכל בו וראב"ד דהיתר רפוי רק בדבר שאין רגילות להדקו</w:t>
      </w:r>
      <w:bookmarkEnd w:id="6157"/>
    </w:p>
    <w:p w14:paraId="270FD7BC" w14:textId="452CEB8B" w:rsidR="000F6808" w:rsidRPr="00640EFB" w:rsidRDefault="000F6808" w:rsidP="000F6808">
      <w:pPr>
        <w:pStyle w:val="a3"/>
        <w:rPr>
          <w:rtl/>
        </w:rPr>
      </w:pPr>
      <w:bookmarkStart w:id="6158" w:name="_Ref145369065"/>
      <w:r>
        <w:rPr>
          <w:rFonts w:hint="cs"/>
          <w:rtl/>
        </w:rPr>
        <w:t>וכתב</w:t>
      </w:r>
      <w:r>
        <w:rPr>
          <w:rtl/>
        </w:rPr>
        <w:t xml:space="preserve"> </w:t>
      </w:r>
      <w:r w:rsidRPr="00640EFB">
        <w:rPr>
          <w:b/>
          <w:bCs/>
          <w:rtl/>
        </w:rPr>
        <w:t>ה</w:t>
      </w:r>
      <w:r w:rsidRPr="00640EFB">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Ref145369065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קסא)</w:t>
      </w:r>
      <w:r>
        <w:rPr>
          <w:b/>
          <w:bCs/>
          <w:vanish/>
          <w:rtl/>
        </w:rPr>
        <w:fldChar w:fldCharType="end"/>
      </w:r>
      <w:r w:rsidRPr="00640EFB">
        <w:rPr>
          <w:b/>
          <w:bCs/>
          <w:vanish/>
          <w:rtl/>
        </w:rPr>
        <w:t xml:space="preserve"> &gt;</w:t>
      </w:r>
      <w:r>
        <w:rPr>
          <w:rFonts w:hint="cs"/>
          <w:b/>
          <w:bCs/>
          <w:rtl/>
        </w:rPr>
        <w:t>ב"י</w:t>
      </w:r>
      <w:r w:rsidRPr="00640EFB">
        <w:rPr>
          <w:b/>
          <w:bCs/>
          <w:rtl/>
        </w:rPr>
        <w:t xml:space="preserve"> </w:t>
      </w:r>
      <w:r w:rsidRPr="00640EFB">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סי' שי"ג ו'</w:t>
      </w:r>
      <w:r w:rsidRPr="00640EFB">
        <w:rPr>
          <w:rFonts w:ascii="Calibri" w:eastAsia="Times New Roman" w:hAnsi="Calibri" w:cs="Guttman Rashi"/>
          <w:noProof w:val="0"/>
          <w:sz w:val="10"/>
          <w:szCs w:val="12"/>
          <w:rtl/>
        </w:rPr>
        <w:t>)</w:t>
      </w:r>
      <w:r w:rsidRPr="00640EFB">
        <w:rPr>
          <w:vanish/>
          <w:rtl/>
        </w:rPr>
        <w:t>=</w:t>
      </w:r>
      <w:r>
        <w:rPr>
          <w:rFonts w:hint="cs"/>
          <w:rtl/>
        </w:rPr>
        <w:t xml:space="preserve"> דממ"ש</w:t>
      </w:r>
      <w:r>
        <w:rPr>
          <w:rtl/>
        </w:rPr>
        <w:t xml:space="preserve"> </w:t>
      </w:r>
      <w:r>
        <w:rPr>
          <w:rFonts w:hint="cs"/>
          <w:b/>
          <w:bCs/>
          <w:rtl/>
        </w:rPr>
        <w:t>הרמב"ם</w:t>
      </w:r>
      <w:r>
        <w:rPr>
          <w:rtl/>
        </w:rPr>
        <w:t xml:space="preserve"> </w:t>
      </w:r>
      <w:r w:rsidRPr="009F06CA">
        <w:rPr>
          <w:rFonts w:ascii="Calibri" w:eastAsia="Times New Roman" w:hAnsi="Calibri" w:cs="Guttman Rashi" w:hint="cs"/>
          <w:noProof w:val="0"/>
          <w:sz w:val="10"/>
          <w:szCs w:val="12"/>
          <w:rtl/>
        </w:rPr>
        <w:t xml:space="preserve">(עי' אות </w:t>
      </w:r>
      <w:r w:rsidRPr="009F06CA">
        <w:rPr>
          <w:rFonts w:ascii="Calibri" w:eastAsia="Times New Roman" w:hAnsi="Calibri" w:cs="Guttman Rashi" w:hint="cs"/>
          <w:noProof w:val="0"/>
          <w:sz w:val="10"/>
          <w:szCs w:val="12"/>
          <w:rtl/>
        </w:rPr>
        <w:fldChar w:fldCharType="begin"/>
      </w:r>
      <w:r w:rsidRPr="009F06CA">
        <w:rPr>
          <w:rFonts w:ascii="Calibri" w:eastAsia="Times New Roman" w:hAnsi="Calibri" w:cs="Guttman Rashi" w:hint="cs"/>
          <w:noProof w:val="0"/>
          <w:sz w:val="10"/>
          <w:szCs w:val="12"/>
          <w:rtl/>
        </w:rPr>
        <w:instrText xml:space="preserve"> </w:instrText>
      </w:r>
      <w:r w:rsidRPr="009F06CA">
        <w:rPr>
          <w:rFonts w:ascii="Calibri" w:eastAsia="Times New Roman" w:hAnsi="Calibri" w:cs="Guttman Rashi"/>
          <w:noProof w:val="0"/>
          <w:sz w:val="10"/>
          <w:szCs w:val="12"/>
        </w:rPr>
        <w:instrText>REF</w:instrText>
      </w:r>
      <w:r w:rsidRPr="009F06CA">
        <w:rPr>
          <w:rFonts w:ascii="Calibri" w:eastAsia="Times New Roman" w:hAnsi="Calibri" w:cs="Guttman Rashi" w:hint="cs"/>
          <w:noProof w:val="0"/>
          <w:sz w:val="10"/>
          <w:szCs w:val="12"/>
          <w:rtl/>
        </w:rPr>
        <w:instrText xml:space="preserve"> _</w:instrText>
      </w:r>
      <w:r w:rsidRPr="009F06CA">
        <w:rPr>
          <w:rFonts w:ascii="Calibri" w:eastAsia="Times New Roman" w:hAnsi="Calibri" w:cs="Guttman Rashi"/>
          <w:noProof w:val="0"/>
          <w:sz w:val="10"/>
          <w:szCs w:val="12"/>
        </w:rPr>
        <w:instrText>Ref144458829 \r \h</w:instrText>
      </w:r>
      <w:r w:rsidRPr="009F06CA">
        <w:rPr>
          <w:rFonts w:ascii="Calibri" w:eastAsia="Times New Roman" w:hAnsi="Calibri" w:cs="Guttman Rashi" w:hint="cs"/>
          <w:noProof w:val="0"/>
          <w:sz w:val="10"/>
          <w:szCs w:val="12"/>
          <w:rtl/>
        </w:rPr>
        <w:instrText xml:space="preserve"> </w:instrText>
      </w:r>
      <w:r w:rsidRPr="009F06CA">
        <w:rPr>
          <w:rFonts w:ascii="Calibri" w:eastAsia="Times New Roman" w:hAnsi="Calibri" w:cs="Guttman Rashi" w:hint="cs"/>
          <w:noProof w:val="0"/>
          <w:sz w:val="10"/>
          <w:szCs w:val="12"/>
          <w:rtl/>
        </w:rPr>
      </w:r>
      <w:r w:rsidRPr="009F06CA">
        <w:rPr>
          <w:rFonts w:ascii="Calibri" w:eastAsia="Times New Roman" w:hAnsi="Calibri" w:cs="Guttman Rashi" w:hint="cs"/>
          <w:noProof w:val="0"/>
          <w:sz w:val="10"/>
          <w:szCs w:val="12"/>
          <w:rtl/>
        </w:rPr>
        <w:fldChar w:fldCharType="separate"/>
      </w:r>
      <w:r w:rsidR="00D82181">
        <w:rPr>
          <w:rFonts w:ascii="Calibri" w:eastAsia="Times New Roman" w:hAnsi="Calibri" w:cs="Guttman Rashi" w:hint="eastAsia"/>
          <w:noProof w:val="0"/>
          <w:sz w:val="10"/>
          <w:szCs w:val="12"/>
          <w:cs/>
        </w:rPr>
        <w:t>‎</w:t>
      </w:r>
      <w:r w:rsidR="00D82181">
        <w:rPr>
          <w:rFonts w:ascii="Calibri" w:eastAsia="Times New Roman" w:hAnsi="Calibri" w:cs="Guttman Rashi" w:hint="eastAsia"/>
          <w:noProof w:val="0"/>
          <w:sz w:val="10"/>
          <w:szCs w:val="12"/>
          <w:rtl/>
        </w:rPr>
        <w:t>ק</w:t>
      </w:r>
      <w:r w:rsidR="00D82181">
        <w:rPr>
          <w:rFonts w:ascii="Calibri" w:eastAsia="Times New Roman" w:hAnsi="Calibri" w:cs="Guttman Rashi"/>
          <w:noProof w:val="0"/>
          <w:sz w:val="10"/>
          <w:szCs w:val="12"/>
          <w:rtl/>
        </w:rPr>
        <w:t>)</w:t>
      </w:r>
      <w:r w:rsidRPr="009F06CA">
        <w:rPr>
          <w:rFonts w:ascii="Calibri" w:eastAsia="Times New Roman" w:hAnsi="Calibri" w:cs="Guttman Rashi" w:hint="cs"/>
          <w:noProof w:val="0"/>
          <w:sz w:val="10"/>
          <w:szCs w:val="12"/>
          <w:rtl/>
        </w:rPr>
        <w:fldChar w:fldCharType="end"/>
      </w:r>
      <w:r>
        <w:rPr>
          <w:rtl/>
        </w:rPr>
        <w:t xml:space="preserve"> </w:t>
      </w:r>
      <w:r>
        <w:rPr>
          <w:rFonts w:hint="cs"/>
          <w:rtl/>
        </w:rPr>
        <w:t>דקיי"ל כרשב"ג דברפוי מותר, משמע דהיינו דוקא בדבר שדרכו להיות רפוי, אבל בדבר שהדרך להדקו, אף כשמניחו רפוי אסור, וכתב</w:t>
      </w:r>
      <w:r>
        <w:rPr>
          <w:rtl/>
        </w:rPr>
        <w:t xml:space="preserve"> </w:t>
      </w:r>
      <w:r>
        <w:rPr>
          <w:rFonts w:hint="cs"/>
          <w:b/>
          <w:bCs/>
          <w:rtl/>
        </w:rPr>
        <w:t>הב"י</w:t>
      </w:r>
      <w:r>
        <w:rPr>
          <w:rtl/>
        </w:rPr>
        <w:t xml:space="preserve"> </w:t>
      </w:r>
      <w:r>
        <w:rPr>
          <w:rFonts w:hint="cs"/>
          <w:rtl/>
        </w:rPr>
        <w:t>דכן משמע מדברי</w:t>
      </w:r>
      <w:r>
        <w:rPr>
          <w:rtl/>
        </w:rPr>
        <w:t xml:space="preserve"> </w:t>
      </w:r>
      <w:r>
        <w:rPr>
          <w:rFonts w:hint="cs"/>
          <w:b/>
          <w:bCs/>
          <w:rtl/>
        </w:rPr>
        <w:t>הטור</w:t>
      </w:r>
      <w:r>
        <w:rPr>
          <w:rtl/>
        </w:rPr>
        <w:t xml:space="preserve"> </w:t>
      </w:r>
      <w:r w:rsidRPr="00CA4352">
        <w:rPr>
          <w:rFonts w:ascii="Calibri" w:eastAsia="Times New Roman" w:hAnsi="Calibri" w:cs="Guttman Rashi"/>
          <w:noProof w:val="0"/>
          <w:sz w:val="10"/>
          <w:szCs w:val="12"/>
          <w:rtl/>
        </w:rPr>
        <w:t xml:space="preserve">(עי' 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Pr>
        <w:instrText>REF</w:instrText>
      </w:r>
      <w:r>
        <w:rPr>
          <w:rFonts w:ascii="Calibri" w:eastAsia="Times New Roman" w:hAnsi="Calibri" w:cs="Guttman Rashi"/>
          <w:noProof w:val="0"/>
          <w:sz w:val="10"/>
          <w:szCs w:val="12"/>
          <w:rtl/>
        </w:rPr>
        <w:instrText xml:space="preserve"> _</w:instrText>
      </w:r>
      <w:r>
        <w:rPr>
          <w:rFonts w:ascii="Calibri" w:eastAsia="Times New Roman" w:hAnsi="Calibri" w:cs="Guttman Rashi"/>
          <w:noProof w:val="0"/>
          <w:sz w:val="10"/>
          <w:szCs w:val="12"/>
        </w:rPr>
        <w:instrText>Ref145322044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קס)</w:t>
      </w:r>
      <w:r>
        <w:rPr>
          <w:rFonts w:ascii="Calibri" w:eastAsia="Times New Roman" w:hAnsi="Calibri" w:cs="Guttman Rashi"/>
          <w:noProof w:val="0"/>
          <w:sz w:val="10"/>
          <w:szCs w:val="12"/>
          <w:rtl/>
        </w:rPr>
        <w:fldChar w:fldCharType="end"/>
      </w:r>
      <w:r>
        <w:rPr>
          <w:rtl/>
        </w:rPr>
        <w:t xml:space="preserve"> </w:t>
      </w:r>
      <w:r>
        <w:rPr>
          <w:rFonts w:hint="cs"/>
          <w:rtl/>
        </w:rPr>
        <w:t xml:space="preserve">דכתב דמותר להחזיר כוס של פרקים כיון שאין דרך להדקו, וכ"כ </w:t>
      </w:r>
      <w:r>
        <w:rPr>
          <w:rFonts w:hint="cs"/>
          <w:b/>
          <w:bCs/>
          <w:rtl/>
        </w:rPr>
        <w:t xml:space="preserve">ההג' אשר"י </w:t>
      </w:r>
      <w:r>
        <w:rPr>
          <w:rStyle w:val="af2"/>
          <w:rFonts w:eastAsia="Guttman Hodes" w:hint="cs"/>
          <w:rtl/>
        </w:rPr>
        <w:t>(</w:t>
      </w:r>
      <w:r w:rsidRPr="008378A0">
        <w:rPr>
          <w:rStyle w:val="af2"/>
          <w:rFonts w:eastAsia="Guttman Hodes" w:hint="cs"/>
          <w:rtl/>
        </w:rPr>
        <w:t xml:space="preserve">עי' אות </w:t>
      </w:r>
      <w:r w:rsidRPr="008378A0">
        <w:rPr>
          <w:rStyle w:val="af2"/>
          <w:rFonts w:eastAsia="Guttman Hodes"/>
          <w:rtl/>
        </w:rPr>
        <w:fldChar w:fldCharType="begin"/>
      </w:r>
      <w:r w:rsidRPr="008378A0">
        <w:rPr>
          <w:rStyle w:val="af2"/>
          <w:rFonts w:eastAsia="Guttman Hodes"/>
          <w:rtl/>
        </w:rPr>
        <w:instrText xml:space="preserve"> </w:instrText>
      </w:r>
      <w:r w:rsidRPr="008378A0">
        <w:rPr>
          <w:rStyle w:val="af2"/>
          <w:rFonts w:eastAsia="Guttman Hodes"/>
        </w:rPr>
        <w:instrText>REF</w:instrText>
      </w:r>
      <w:r w:rsidRPr="008378A0">
        <w:rPr>
          <w:rStyle w:val="af2"/>
          <w:rFonts w:eastAsia="Guttman Hodes"/>
          <w:rtl/>
        </w:rPr>
        <w:instrText xml:space="preserve"> _</w:instrText>
      </w:r>
      <w:r w:rsidRPr="008378A0">
        <w:rPr>
          <w:rStyle w:val="af2"/>
          <w:rFonts w:eastAsia="Guttman Hodes"/>
        </w:rPr>
        <w:instrText>Ref145319901 \r \h</w:instrText>
      </w:r>
      <w:r w:rsidRPr="008378A0">
        <w:rPr>
          <w:rStyle w:val="af2"/>
          <w:rFonts w:eastAsia="Guttman Hodes"/>
          <w:rtl/>
        </w:rPr>
        <w:instrText xml:space="preserve"> </w:instrText>
      </w:r>
      <w:r w:rsidRPr="008378A0">
        <w:rPr>
          <w:rStyle w:val="af2"/>
          <w:rFonts w:eastAsia="Guttman Hodes"/>
          <w:rtl/>
        </w:rPr>
      </w:r>
      <w:r w:rsidRPr="008378A0">
        <w:rPr>
          <w:rStyle w:val="af2"/>
          <w:rFonts w:eastAsia="Guttman Hodes"/>
          <w:rtl/>
        </w:rPr>
        <w:fldChar w:fldCharType="separate"/>
      </w:r>
      <w:r w:rsidR="00D82181">
        <w:rPr>
          <w:rStyle w:val="af2"/>
          <w:rFonts w:eastAsia="Guttman Hodes"/>
          <w:cs/>
        </w:rPr>
        <w:t>‎</w:t>
      </w:r>
      <w:r w:rsidR="00D82181">
        <w:rPr>
          <w:rStyle w:val="af2"/>
          <w:rFonts w:eastAsia="Guttman Hodes"/>
          <w:rtl/>
        </w:rPr>
        <w:t>קנד)</w:t>
      </w:r>
      <w:r w:rsidRPr="008378A0">
        <w:rPr>
          <w:rStyle w:val="af2"/>
          <w:rFonts w:eastAsia="Guttman Hodes"/>
          <w:rtl/>
        </w:rPr>
        <w:fldChar w:fldCharType="end"/>
      </w:r>
      <w:r>
        <w:rPr>
          <w:rFonts w:hint="cs"/>
          <w:rtl/>
        </w:rPr>
        <w:t xml:space="preserve"> דההיתר ברפוי הוא רק בדבר שאין דרכו להדק להחזיר בדוחק, וכ"כ</w:t>
      </w:r>
      <w:r>
        <w:rPr>
          <w:rtl/>
        </w:rPr>
        <w:t xml:space="preserve"> </w:t>
      </w:r>
      <w:r>
        <w:rPr>
          <w:rFonts w:hint="cs"/>
          <w:b/>
          <w:bCs/>
          <w:rtl/>
        </w:rPr>
        <w:t>הכל בו</w:t>
      </w:r>
      <w:r>
        <w:rPr>
          <w:rtl/>
        </w:rPr>
        <w:t xml:space="preserve"> </w:t>
      </w:r>
      <w:r w:rsidRPr="004550C4">
        <w:rPr>
          <w:rFonts w:ascii="Calibri" w:eastAsia="Times New Roman" w:hAnsi="Calibri" w:cs="Guttman Rashi"/>
          <w:noProof w:val="0"/>
          <w:sz w:val="10"/>
          <w:szCs w:val="12"/>
          <w:rtl/>
        </w:rPr>
        <w:t xml:space="preserve">(עי' 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Pr>
        <w:instrText>REF</w:instrText>
      </w:r>
      <w:r>
        <w:rPr>
          <w:rFonts w:ascii="Calibri" w:eastAsia="Times New Roman" w:hAnsi="Calibri" w:cs="Guttman Rashi"/>
          <w:noProof w:val="0"/>
          <w:sz w:val="10"/>
          <w:szCs w:val="12"/>
          <w:rtl/>
        </w:rPr>
        <w:instrText xml:space="preserve"> _</w:instrText>
      </w:r>
      <w:r>
        <w:rPr>
          <w:rFonts w:ascii="Calibri" w:eastAsia="Times New Roman" w:hAnsi="Calibri" w:cs="Guttman Rashi"/>
          <w:noProof w:val="0"/>
          <w:sz w:val="10"/>
          <w:szCs w:val="12"/>
        </w:rPr>
        <w:instrText>Ref145323373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קנו)</w:t>
      </w:r>
      <w:r>
        <w:rPr>
          <w:rFonts w:ascii="Calibri" w:eastAsia="Times New Roman" w:hAnsi="Calibri" w:cs="Guttman Rashi"/>
          <w:noProof w:val="0"/>
          <w:sz w:val="10"/>
          <w:szCs w:val="12"/>
          <w:rtl/>
        </w:rPr>
        <w:fldChar w:fldCharType="end"/>
      </w:r>
      <w:r>
        <w:rPr>
          <w:rtl/>
        </w:rPr>
        <w:t xml:space="preserve"> </w:t>
      </w:r>
      <w:r>
        <w:rPr>
          <w:rFonts w:hint="cs"/>
          <w:rtl/>
        </w:rPr>
        <w:t>בשם</w:t>
      </w:r>
      <w:r>
        <w:rPr>
          <w:rtl/>
        </w:rPr>
        <w:t xml:space="preserve"> </w:t>
      </w:r>
      <w:r>
        <w:rPr>
          <w:rFonts w:hint="cs"/>
          <w:b/>
          <w:bCs/>
          <w:rtl/>
        </w:rPr>
        <w:t>הראב"ד</w:t>
      </w:r>
      <w:r>
        <w:rPr>
          <w:rFonts w:hint="cs"/>
          <w:rtl/>
        </w:rPr>
        <w:t xml:space="preserve">, ועוד הביא </w:t>
      </w:r>
      <w:r>
        <w:rPr>
          <w:rFonts w:hint="cs"/>
          <w:b/>
          <w:bCs/>
          <w:rtl/>
        </w:rPr>
        <w:t>הב"י</w:t>
      </w:r>
      <w:r>
        <w:rPr>
          <w:rtl/>
        </w:rPr>
        <w:t xml:space="preserve"> </w:t>
      </w:r>
      <w:r>
        <w:rPr>
          <w:rFonts w:hint="cs"/>
          <w:rtl/>
        </w:rPr>
        <w:t>את דברי</w:t>
      </w:r>
      <w:r>
        <w:rPr>
          <w:rtl/>
        </w:rPr>
        <w:t xml:space="preserve"> </w:t>
      </w:r>
      <w:r>
        <w:rPr>
          <w:rFonts w:hint="cs"/>
          <w:b/>
          <w:bCs/>
          <w:rtl/>
        </w:rPr>
        <w:t>הרשב"א בעבודת הקודש</w:t>
      </w:r>
      <w:r>
        <w:rPr>
          <w:rtl/>
        </w:rPr>
        <w:t xml:space="preserve"> </w:t>
      </w:r>
      <w:r w:rsidRPr="004550C4">
        <w:rPr>
          <w:rFonts w:ascii="Calibri" w:eastAsia="Times New Roman" w:hAnsi="Calibri" w:cs="Guttman Rashi"/>
          <w:noProof w:val="0"/>
          <w:sz w:val="10"/>
          <w:szCs w:val="12"/>
          <w:rtl/>
        </w:rPr>
        <w:t xml:space="preserve">(עי' 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Pr>
        <w:instrText>REF</w:instrText>
      </w:r>
      <w:r>
        <w:rPr>
          <w:rFonts w:ascii="Calibri" w:eastAsia="Times New Roman" w:hAnsi="Calibri" w:cs="Guttman Rashi"/>
          <w:noProof w:val="0"/>
          <w:sz w:val="10"/>
          <w:szCs w:val="12"/>
          <w:rtl/>
        </w:rPr>
        <w:instrText xml:space="preserve"> _</w:instrText>
      </w:r>
      <w:r>
        <w:rPr>
          <w:rFonts w:ascii="Calibri" w:eastAsia="Times New Roman" w:hAnsi="Calibri" w:cs="Guttman Rashi"/>
          <w:noProof w:val="0"/>
          <w:sz w:val="10"/>
          <w:szCs w:val="12"/>
        </w:rPr>
        <w:instrText>Ref145463447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קל)</w:t>
      </w:r>
      <w:r>
        <w:rPr>
          <w:rFonts w:ascii="Calibri" w:eastAsia="Times New Roman" w:hAnsi="Calibri" w:cs="Guttman Rashi"/>
          <w:noProof w:val="0"/>
          <w:sz w:val="10"/>
          <w:szCs w:val="12"/>
          <w:rtl/>
        </w:rPr>
        <w:fldChar w:fldCharType="end"/>
      </w:r>
      <w:r>
        <w:rPr>
          <w:rtl/>
        </w:rPr>
        <w:t xml:space="preserve"> </w:t>
      </w:r>
      <w:r>
        <w:rPr>
          <w:rFonts w:hint="cs"/>
          <w:rtl/>
        </w:rPr>
        <w:t>דכתב דדבר שהוא רפוי ואינו רפוי אסור להחזירו שמא יתקע.</w:t>
      </w:r>
      <w:bookmarkEnd w:id="6158"/>
    </w:p>
    <w:p w14:paraId="25D413BA" w14:textId="77777777" w:rsidR="000F6808" w:rsidRPr="0088513D" w:rsidRDefault="000F6808" w:rsidP="000F6808">
      <w:pPr>
        <w:pStyle w:val="afffffe"/>
        <w:rPr>
          <w:vanish/>
          <w:rtl/>
        </w:rPr>
      </w:pPr>
      <w:r w:rsidRPr="0088513D">
        <w:rPr>
          <w:vanish/>
          <w:rtl/>
        </w:rPr>
        <w:t xml:space="preserve">בית יוסף </w:t>
      </w:r>
      <w:r w:rsidRPr="0088513D">
        <w:rPr>
          <w:rFonts w:hint="cs"/>
          <w:vanish/>
          <w:rtl/>
        </w:rPr>
        <w:t>או"ח סי'</w:t>
      </w:r>
      <w:r w:rsidRPr="0088513D">
        <w:rPr>
          <w:vanish/>
          <w:rtl/>
        </w:rPr>
        <w:t xml:space="preserve"> שי</w:t>
      </w:r>
      <w:r w:rsidRPr="0088513D">
        <w:rPr>
          <w:rFonts w:hint="cs"/>
          <w:vanish/>
          <w:rtl/>
        </w:rPr>
        <w:t>"</w:t>
      </w:r>
      <w:r w:rsidRPr="0088513D">
        <w:rPr>
          <w:vanish/>
          <w:rtl/>
        </w:rPr>
        <w:t>ג</w:t>
      </w:r>
      <w:r w:rsidRPr="0088513D">
        <w:rPr>
          <w:rFonts w:hint="cs"/>
          <w:vanish/>
          <w:rtl/>
        </w:rPr>
        <w:t xml:space="preserve"> ו'</w:t>
      </w:r>
    </w:p>
    <w:p w14:paraId="54058489" w14:textId="77777777" w:rsidR="000F6808" w:rsidRPr="00111645" w:rsidRDefault="000F6808" w:rsidP="000F6808">
      <w:pPr>
        <w:pStyle w:val="a2"/>
        <w:rPr>
          <w:rtl/>
        </w:rPr>
      </w:pPr>
      <w:r w:rsidRPr="00111645">
        <w:rPr>
          <w:rtl/>
        </w:rPr>
        <w:t>ו מטה של פרקים אסור להחזירה ולהדקה וכו'. בסוף פרק כירה (מז.) אמרי רבי אבא ורב הונא [בר חייא] דמותר להחזיר מטה של טרסיים בשבת. פירוש שהיא של פרקים. וכי אתו לקמיה דרב יהודה אמר הא רב ושמואל דאמרי תרווייהו המחזיר מטה של טרסיים חייב חטאת ואסיקנא דאינהו דאמור כי האי תנא דתניא מלבנות המטה וכרעי המטה לא יחזיר ואם החזיר פטור ולא יתקע ואם תקע חייב חטאת רבן שמעון בן גמליאל אומר אם היה רפוי מותר. ופירש רש"י אינהו. רבי אבא ורב הונא [בר חייא]: דאמור. כי האי תנא כרבן שמעון בן גמליאל דמתיר לכתחלה. ואיתא בגמרא (שם:) תו בי רב חמא הוה מטה גללניתא הוו מהדרי לה ביומא טבא ויהיב טעמא משום דכרבן שמעון בן גמליאל סבירא ליה ופסקו הרי"ף (כא:) והרא"ש (סי' כג) כרבן שמעון בן גמליאל וכן פסק הרמב"ם בפרק כ"ב (הכ"ו). ונראה מדבריו שם דהא דאמרינן אם היה רפוי מותר היינו לומר שהוא עשוי להיות רפוי ומשום הכי שרי אבל אם הוא עשוי להיות מיהדק אף על פי שעכשיו כשמחזירו מניחו רפוי אסור וכן נראה ממה שאמר רבינו בסמוך גבי כוס של פרקים שמותר להחזירו לפי שאין דרך להדקו דמשמע הא אם היה דרך להדקו אסור להחזירו אפילו מניחו רפוי וכן נראה מדברי הגהת אשיר"י שם (סי' כג). וכן כתוב בכל בו (סי' לא כז.) בשם הראב"ד דברים שאין אדם מקפיד עליהם אם יתנועע בתוך החור מותר להכניסן בחורן שאין לגזור שמא יתקע אלא בדבר שצריך להיות מעמידו בדוחק: וכתב הרב המגיד בפרק כ"ו (הי"א) גבי מנורה של חוליות בשם הרשב"א (עבודת הקודש, בית מועד ש"ג ריש סי' ג) דרפוי ואינו רפוי נמי אסור:</w:t>
      </w:r>
    </w:p>
    <w:p w14:paraId="72BA5DEC" w14:textId="77777777" w:rsidR="000F6808" w:rsidRDefault="000F6808" w:rsidP="000F6808">
      <w:pPr>
        <w:pStyle w:val="afffff7"/>
        <w:rPr>
          <w:rtl/>
        </w:rPr>
      </w:pPr>
      <w:bookmarkStart w:id="6159" w:name="_Toc145500863"/>
      <w:bookmarkStart w:id="6160" w:name="_Toc163506403"/>
      <w:r w:rsidRPr="00D46B4A">
        <w:rPr>
          <w:rtl/>
        </w:rPr>
        <w:t xml:space="preserve">חזון איש </w:t>
      </w:r>
      <w:r>
        <w:rPr>
          <w:rtl/>
        </w:rPr>
        <w:t>או"ח סי' נ' סק"י</w:t>
      </w:r>
      <w:r w:rsidRPr="00D46B4A">
        <w:rPr>
          <w:rtl/>
        </w:rPr>
        <w:t xml:space="preserve"> ד"ה ובב"י</w:t>
      </w:r>
      <w:bookmarkEnd w:id="6159"/>
      <w:bookmarkEnd w:id="6160"/>
    </w:p>
    <w:p w14:paraId="72B224FC" w14:textId="77777777" w:rsidR="000F6808" w:rsidRDefault="000F6808" w:rsidP="000F6808">
      <w:pPr>
        <w:pStyle w:val="a7"/>
        <w:rPr>
          <w:rtl/>
        </w:rPr>
      </w:pPr>
      <w:bookmarkStart w:id="6161" w:name="_Toc145487149"/>
      <w:r>
        <w:rPr>
          <w:rFonts w:hint="cs"/>
          <w:rtl/>
        </w:rPr>
        <w:t>קו' החזו"א דאין הוכחה מדברי הראשונים דהיתר רפוי רק ברגילות אלא דרפוי מותר בכל אופן</w:t>
      </w:r>
      <w:bookmarkEnd w:id="6161"/>
    </w:p>
    <w:p w14:paraId="3741DA4C" w14:textId="733645D8" w:rsidR="000F6808" w:rsidRDefault="000F6808" w:rsidP="000F6808">
      <w:pPr>
        <w:pStyle w:val="a3"/>
      </w:pPr>
      <w:bookmarkStart w:id="6162" w:name="_Ref145325532"/>
      <w:r>
        <w:rPr>
          <w:rFonts w:hint="cs"/>
          <w:rtl/>
        </w:rPr>
        <w:t>במ"ש</w:t>
      </w:r>
      <w:r>
        <w:rPr>
          <w:rtl/>
        </w:rPr>
        <w:t xml:space="preserve"> </w:t>
      </w:r>
      <w:r>
        <w:rPr>
          <w:rFonts w:hint="cs"/>
          <w:b/>
          <w:bCs/>
          <w:rtl/>
        </w:rPr>
        <w:t>הב"י</w:t>
      </w:r>
      <w:r>
        <w:rPr>
          <w:rtl/>
        </w:rPr>
        <w:t xml:space="preserve"> </w:t>
      </w:r>
      <w:r w:rsidRPr="001A7FC3">
        <w:rPr>
          <w:rFonts w:ascii="Calibri" w:eastAsia="Times New Roman" w:hAnsi="Calibri" w:cs="Guttman Rashi"/>
          <w:noProof w:val="0"/>
          <w:sz w:val="10"/>
          <w:szCs w:val="12"/>
          <w:rtl/>
        </w:rPr>
        <w:t xml:space="preserve">(עי' </w:t>
      </w:r>
      <w:r w:rsidRPr="00BB4EE9">
        <w:rPr>
          <w:rStyle w:val="af2"/>
          <w:rFonts w:eastAsia="Guttman Hodes"/>
          <w:rtl/>
        </w:rPr>
        <w:t xml:space="preserve">אות </w:t>
      </w:r>
      <w:r w:rsidRPr="00BB4EE9">
        <w:rPr>
          <w:rStyle w:val="af2"/>
          <w:rFonts w:eastAsia="Guttman Hodes"/>
          <w:rtl/>
        </w:rPr>
        <w:fldChar w:fldCharType="begin"/>
      </w:r>
      <w:r w:rsidRPr="00BB4EE9">
        <w:rPr>
          <w:rStyle w:val="af2"/>
          <w:rFonts w:eastAsia="Guttman Hodes"/>
          <w:rtl/>
        </w:rPr>
        <w:instrText xml:space="preserve"> </w:instrText>
      </w:r>
      <w:r w:rsidRPr="00BB4EE9">
        <w:rPr>
          <w:rStyle w:val="af2"/>
          <w:rFonts w:eastAsia="Guttman Hodes"/>
        </w:rPr>
        <w:instrText>REF</w:instrText>
      </w:r>
      <w:r w:rsidRPr="00BB4EE9">
        <w:rPr>
          <w:rStyle w:val="af2"/>
          <w:rFonts w:eastAsia="Guttman Hodes"/>
          <w:rtl/>
        </w:rPr>
        <w:instrText xml:space="preserve"> _</w:instrText>
      </w:r>
      <w:r w:rsidRPr="00BB4EE9">
        <w:rPr>
          <w:rStyle w:val="af2"/>
          <w:rFonts w:eastAsia="Guttman Hodes"/>
        </w:rPr>
        <w:instrText>Ref145369065 \r \h</w:instrText>
      </w:r>
      <w:r w:rsidRPr="00BB4EE9">
        <w:rPr>
          <w:rStyle w:val="af2"/>
          <w:rFonts w:eastAsia="Guttman Hodes"/>
          <w:rtl/>
        </w:rPr>
        <w:instrText xml:space="preserve"> </w:instrText>
      </w:r>
      <w:r w:rsidRPr="00BB4EE9">
        <w:rPr>
          <w:rStyle w:val="af2"/>
          <w:rFonts w:eastAsia="Guttman Hodes"/>
          <w:rtl/>
        </w:rPr>
      </w:r>
      <w:r w:rsidRPr="00BB4EE9">
        <w:rPr>
          <w:rStyle w:val="af2"/>
          <w:rFonts w:eastAsia="Guttman Hodes"/>
          <w:rtl/>
        </w:rPr>
        <w:fldChar w:fldCharType="separate"/>
      </w:r>
      <w:r w:rsidR="00D82181">
        <w:rPr>
          <w:rStyle w:val="af2"/>
          <w:rFonts w:eastAsia="Guttman Hodes"/>
          <w:cs/>
        </w:rPr>
        <w:t>‎</w:t>
      </w:r>
      <w:r w:rsidR="00D82181">
        <w:rPr>
          <w:rStyle w:val="af2"/>
          <w:rFonts w:eastAsia="Guttman Hodes"/>
          <w:rtl/>
        </w:rPr>
        <w:t>קסא)</w:t>
      </w:r>
      <w:r w:rsidRPr="00BB4EE9">
        <w:rPr>
          <w:rStyle w:val="af2"/>
          <w:rFonts w:eastAsia="Guttman Hodes"/>
          <w:rtl/>
        </w:rPr>
        <w:fldChar w:fldCharType="end"/>
      </w:r>
      <w:r w:rsidRPr="000B4455">
        <w:rPr>
          <w:rtl/>
        </w:rPr>
        <w:t xml:space="preserve"> </w:t>
      </w:r>
      <w:r w:rsidRPr="000B4455">
        <w:rPr>
          <w:rFonts w:hint="cs"/>
          <w:rtl/>
        </w:rPr>
        <w:t>ד</w:t>
      </w:r>
      <w:r>
        <w:rPr>
          <w:rFonts w:hint="cs"/>
          <w:rtl/>
        </w:rPr>
        <w:t>מדברי</w:t>
      </w:r>
      <w:r w:rsidRPr="000B4455">
        <w:rPr>
          <w:rFonts w:hint="cs"/>
          <w:b/>
          <w:bCs/>
          <w:rtl/>
        </w:rPr>
        <w:t xml:space="preserve"> הרמב"ם</w:t>
      </w:r>
      <w:r w:rsidRPr="000B4455">
        <w:rPr>
          <w:rtl/>
        </w:rPr>
        <w:t xml:space="preserve"> </w:t>
      </w:r>
      <w:r w:rsidRPr="000B4455">
        <w:rPr>
          <w:rFonts w:ascii="Calibri" w:eastAsia="Times New Roman" w:hAnsi="Calibri" w:cs="Guttman Rashi" w:hint="cs"/>
          <w:noProof w:val="0"/>
          <w:sz w:val="10"/>
          <w:szCs w:val="12"/>
          <w:rtl/>
        </w:rPr>
        <w:t xml:space="preserve">(עי' אות </w:t>
      </w:r>
      <w:r w:rsidRPr="000B4455">
        <w:rPr>
          <w:rFonts w:ascii="Calibri" w:eastAsia="Times New Roman" w:hAnsi="Calibri" w:cs="Guttman Rashi" w:hint="cs"/>
          <w:noProof w:val="0"/>
          <w:sz w:val="10"/>
          <w:szCs w:val="12"/>
          <w:rtl/>
        </w:rPr>
        <w:fldChar w:fldCharType="begin"/>
      </w:r>
      <w:r w:rsidRPr="000B4455">
        <w:rPr>
          <w:rFonts w:ascii="Calibri" w:eastAsia="Times New Roman" w:hAnsi="Calibri" w:cs="Guttman Rashi" w:hint="cs"/>
          <w:noProof w:val="0"/>
          <w:sz w:val="10"/>
          <w:szCs w:val="12"/>
          <w:rtl/>
        </w:rPr>
        <w:instrText xml:space="preserve"> </w:instrText>
      </w:r>
      <w:r w:rsidRPr="000B4455">
        <w:rPr>
          <w:rFonts w:ascii="Calibri" w:eastAsia="Times New Roman" w:hAnsi="Calibri" w:cs="Guttman Rashi"/>
          <w:noProof w:val="0"/>
          <w:sz w:val="10"/>
          <w:szCs w:val="12"/>
        </w:rPr>
        <w:instrText>REF</w:instrText>
      </w:r>
      <w:r w:rsidRPr="000B4455">
        <w:rPr>
          <w:rFonts w:ascii="Calibri" w:eastAsia="Times New Roman" w:hAnsi="Calibri" w:cs="Guttman Rashi" w:hint="cs"/>
          <w:noProof w:val="0"/>
          <w:sz w:val="10"/>
          <w:szCs w:val="12"/>
          <w:rtl/>
        </w:rPr>
        <w:instrText xml:space="preserve"> _</w:instrText>
      </w:r>
      <w:r w:rsidRPr="000B4455">
        <w:rPr>
          <w:rFonts w:ascii="Calibri" w:eastAsia="Times New Roman" w:hAnsi="Calibri" w:cs="Guttman Rashi"/>
          <w:noProof w:val="0"/>
          <w:sz w:val="10"/>
          <w:szCs w:val="12"/>
        </w:rPr>
        <w:instrText>Ref144458829 \r \h</w:instrText>
      </w:r>
      <w:r w:rsidRPr="000B4455">
        <w:rPr>
          <w:rFonts w:ascii="Calibri" w:eastAsia="Times New Roman" w:hAnsi="Calibri" w:cs="Guttman Rashi" w:hint="cs"/>
          <w:noProof w:val="0"/>
          <w:sz w:val="10"/>
          <w:szCs w:val="12"/>
          <w:rtl/>
        </w:rPr>
        <w:instrText xml:space="preserve"> </w:instrText>
      </w:r>
      <w:r w:rsidRPr="000B4455">
        <w:rPr>
          <w:rFonts w:ascii="Calibri" w:eastAsia="Times New Roman" w:hAnsi="Calibri" w:cs="Guttman Rashi" w:hint="cs"/>
          <w:noProof w:val="0"/>
          <w:sz w:val="10"/>
          <w:szCs w:val="12"/>
          <w:rtl/>
        </w:rPr>
      </w:r>
      <w:r w:rsidRPr="000B4455">
        <w:rPr>
          <w:rFonts w:ascii="Calibri" w:eastAsia="Times New Roman" w:hAnsi="Calibri" w:cs="Guttman Rashi" w:hint="cs"/>
          <w:noProof w:val="0"/>
          <w:sz w:val="10"/>
          <w:szCs w:val="12"/>
          <w:rtl/>
        </w:rPr>
        <w:fldChar w:fldCharType="separate"/>
      </w:r>
      <w:r w:rsidR="00D82181">
        <w:rPr>
          <w:rFonts w:ascii="Calibri" w:eastAsia="Times New Roman" w:hAnsi="Calibri" w:cs="Guttman Rashi" w:hint="eastAsia"/>
          <w:noProof w:val="0"/>
          <w:sz w:val="10"/>
          <w:szCs w:val="12"/>
          <w:cs/>
        </w:rPr>
        <w:t>‎</w:t>
      </w:r>
      <w:r w:rsidR="00D82181">
        <w:rPr>
          <w:rFonts w:ascii="Calibri" w:eastAsia="Times New Roman" w:hAnsi="Calibri" w:cs="Guttman Rashi" w:hint="eastAsia"/>
          <w:noProof w:val="0"/>
          <w:sz w:val="10"/>
          <w:szCs w:val="12"/>
          <w:rtl/>
        </w:rPr>
        <w:t>ק</w:t>
      </w:r>
      <w:r w:rsidR="00D82181">
        <w:rPr>
          <w:rFonts w:ascii="Calibri" w:eastAsia="Times New Roman" w:hAnsi="Calibri" w:cs="Guttman Rashi"/>
          <w:noProof w:val="0"/>
          <w:sz w:val="10"/>
          <w:szCs w:val="12"/>
          <w:rtl/>
        </w:rPr>
        <w:t>)</w:t>
      </w:r>
      <w:r w:rsidRPr="000B4455">
        <w:rPr>
          <w:rFonts w:ascii="Calibri" w:eastAsia="Times New Roman" w:hAnsi="Calibri" w:cs="Guttman Rashi" w:hint="cs"/>
          <w:noProof w:val="0"/>
          <w:sz w:val="10"/>
          <w:szCs w:val="12"/>
          <w:rtl/>
        </w:rPr>
        <w:fldChar w:fldCharType="end"/>
      </w:r>
      <w:r w:rsidRPr="000B4455">
        <w:rPr>
          <w:rtl/>
        </w:rPr>
        <w:t xml:space="preserve"> </w:t>
      </w:r>
      <w:r w:rsidRPr="000B4455">
        <w:rPr>
          <w:rFonts w:hint="cs"/>
          <w:b/>
          <w:bCs/>
          <w:rtl/>
        </w:rPr>
        <w:t>הטור</w:t>
      </w:r>
      <w:r w:rsidRPr="000B4455">
        <w:rPr>
          <w:rtl/>
        </w:rPr>
        <w:t xml:space="preserve"> </w:t>
      </w:r>
      <w:r w:rsidRPr="000B4455">
        <w:rPr>
          <w:rFonts w:ascii="Calibri" w:eastAsia="Times New Roman" w:hAnsi="Calibri" w:cs="Guttman Rashi"/>
          <w:noProof w:val="0"/>
          <w:sz w:val="10"/>
          <w:szCs w:val="12"/>
          <w:rtl/>
        </w:rPr>
        <w:t xml:space="preserve">(עי' אות </w:t>
      </w:r>
      <w:r w:rsidRPr="0092201D">
        <w:rPr>
          <w:rFonts w:ascii="Calibri" w:eastAsia="Times New Roman" w:hAnsi="Calibri" w:cs="Guttman Rashi"/>
          <w:noProof w:val="0"/>
          <w:sz w:val="10"/>
          <w:szCs w:val="12"/>
          <w:rtl/>
        </w:rPr>
        <w:fldChar w:fldCharType="begin"/>
      </w:r>
      <w:r w:rsidRPr="0092201D">
        <w:rPr>
          <w:rFonts w:ascii="Calibri" w:eastAsia="Times New Roman" w:hAnsi="Calibri" w:cs="Guttman Rashi"/>
          <w:noProof w:val="0"/>
          <w:sz w:val="10"/>
          <w:szCs w:val="12"/>
          <w:rtl/>
        </w:rPr>
        <w:instrText xml:space="preserve"> </w:instrText>
      </w:r>
      <w:r w:rsidRPr="0092201D">
        <w:rPr>
          <w:rFonts w:ascii="Calibri" w:eastAsia="Times New Roman" w:hAnsi="Calibri" w:cs="Guttman Rashi"/>
          <w:noProof w:val="0"/>
          <w:sz w:val="10"/>
          <w:szCs w:val="12"/>
        </w:rPr>
        <w:instrText>REF</w:instrText>
      </w:r>
      <w:r w:rsidRPr="0092201D">
        <w:rPr>
          <w:rFonts w:ascii="Calibri" w:eastAsia="Times New Roman" w:hAnsi="Calibri" w:cs="Guttman Rashi"/>
          <w:noProof w:val="0"/>
          <w:sz w:val="10"/>
          <w:szCs w:val="12"/>
          <w:rtl/>
        </w:rPr>
        <w:instrText xml:space="preserve"> _</w:instrText>
      </w:r>
      <w:r w:rsidRPr="0092201D">
        <w:rPr>
          <w:rFonts w:ascii="Calibri" w:eastAsia="Times New Roman" w:hAnsi="Calibri" w:cs="Guttman Rashi"/>
          <w:noProof w:val="0"/>
          <w:sz w:val="10"/>
          <w:szCs w:val="12"/>
        </w:rPr>
        <w:instrText>Ref145322044 \r \h</w:instrText>
      </w:r>
      <w:r w:rsidRPr="0092201D">
        <w:rPr>
          <w:rFonts w:ascii="Calibri" w:eastAsia="Times New Roman" w:hAnsi="Calibri" w:cs="Guttman Rashi"/>
          <w:noProof w:val="0"/>
          <w:sz w:val="10"/>
          <w:szCs w:val="12"/>
          <w:rtl/>
        </w:rPr>
        <w:instrText xml:space="preserve"> </w:instrText>
      </w:r>
      <w:r w:rsidRPr="0092201D">
        <w:rPr>
          <w:rFonts w:ascii="Calibri" w:eastAsia="Times New Roman" w:hAnsi="Calibri" w:cs="Guttman Rashi"/>
          <w:noProof w:val="0"/>
          <w:sz w:val="10"/>
          <w:szCs w:val="12"/>
          <w:rtl/>
        </w:rPr>
      </w:r>
      <w:r w:rsidRPr="0092201D">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קס)</w:t>
      </w:r>
      <w:r w:rsidRPr="0092201D">
        <w:rPr>
          <w:rFonts w:ascii="Calibri" w:eastAsia="Times New Roman" w:hAnsi="Calibri" w:cs="Guttman Rashi"/>
          <w:noProof w:val="0"/>
          <w:sz w:val="10"/>
          <w:szCs w:val="12"/>
          <w:rtl/>
        </w:rPr>
        <w:fldChar w:fldCharType="end"/>
      </w:r>
      <w:r w:rsidRPr="0092201D">
        <w:rPr>
          <w:rtl/>
        </w:rPr>
        <w:t xml:space="preserve"> </w:t>
      </w:r>
      <w:r>
        <w:rPr>
          <w:rFonts w:hint="cs"/>
          <w:b/>
          <w:bCs/>
          <w:rtl/>
        </w:rPr>
        <w:t>ו</w:t>
      </w:r>
      <w:r w:rsidRPr="0092201D">
        <w:rPr>
          <w:rFonts w:hint="cs"/>
          <w:b/>
          <w:bCs/>
          <w:rtl/>
        </w:rPr>
        <w:t>הכל בו</w:t>
      </w:r>
      <w:r w:rsidRPr="0092201D">
        <w:rPr>
          <w:rtl/>
        </w:rPr>
        <w:t xml:space="preserve"> </w:t>
      </w:r>
      <w:r w:rsidRPr="0092201D">
        <w:rPr>
          <w:rFonts w:ascii="Calibri" w:eastAsia="Times New Roman" w:hAnsi="Calibri" w:cs="Guttman Rashi"/>
          <w:noProof w:val="0"/>
          <w:sz w:val="10"/>
          <w:szCs w:val="12"/>
          <w:rtl/>
        </w:rPr>
        <w:t xml:space="preserve">(עי' 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Pr>
        <w:instrText>REF</w:instrText>
      </w:r>
      <w:r>
        <w:rPr>
          <w:rFonts w:ascii="Calibri" w:eastAsia="Times New Roman" w:hAnsi="Calibri" w:cs="Guttman Rashi"/>
          <w:noProof w:val="0"/>
          <w:sz w:val="10"/>
          <w:szCs w:val="12"/>
          <w:rtl/>
        </w:rPr>
        <w:instrText xml:space="preserve"> _</w:instrText>
      </w:r>
      <w:r>
        <w:rPr>
          <w:rFonts w:ascii="Calibri" w:eastAsia="Times New Roman" w:hAnsi="Calibri" w:cs="Guttman Rashi"/>
          <w:noProof w:val="0"/>
          <w:sz w:val="10"/>
          <w:szCs w:val="12"/>
        </w:rPr>
        <w:instrText>Ref145323373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קנו)</w:t>
      </w:r>
      <w:r>
        <w:rPr>
          <w:rFonts w:ascii="Calibri" w:eastAsia="Times New Roman" w:hAnsi="Calibri" w:cs="Guttman Rashi"/>
          <w:noProof w:val="0"/>
          <w:sz w:val="10"/>
          <w:szCs w:val="12"/>
          <w:rtl/>
        </w:rPr>
        <w:fldChar w:fldCharType="end"/>
      </w:r>
      <w:r w:rsidRPr="0092201D">
        <w:rPr>
          <w:rtl/>
        </w:rPr>
        <w:t xml:space="preserve"> </w:t>
      </w:r>
      <w:r w:rsidRPr="0092201D">
        <w:rPr>
          <w:rFonts w:hint="cs"/>
          <w:rtl/>
        </w:rPr>
        <w:t>בשם</w:t>
      </w:r>
      <w:r w:rsidRPr="0092201D">
        <w:rPr>
          <w:rtl/>
        </w:rPr>
        <w:t xml:space="preserve"> </w:t>
      </w:r>
      <w:r w:rsidRPr="0092201D">
        <w:rPr>
          <w:rFonts w:hint="cs"/>
          <w:b/>
          <w:bCs/>
          <w:rtl/>
        </w:rPr>
        <w:t>הראב"ד</w:t>
      </w:r>
      <w:r w:rsidRPr="0092201D">
        <w:rPr>
          <w:rFonts w:hint="cs"/>
          <w:rtl/>
        </w:rPr>
        <w:t xml:space="preserve"> משמע </w:t>
      </w:r>
      <w:r>
        <w:rPr>
          <w:rFonts w:hint="cs"/>
          <w:rtl/>
        </w:rPr>
        <w:t>ד</w:t>
      </w:r>
      <w:r w:rsidRPr="0092201D">
        <w:rPr>
          <w:rFonts w:hint="cs"/>
          <w:rtl/>
        </w:rPr>
        <w:t xml:space="preserve">בדבר שהדרך להדקו, אף כשמניחו רפוי אסור, </w:t>
      </w:r>
      <w:r>
        <w:rPr>
          <w:rFonts w:hint="cs"/>
          <w:rtl/>
        </w:rPr>
        <w:t>הקשה</w:t>
      </w:r>
      <w:r>
        <w:rPr>
          <w:rtl/>
        </w:rPr>
        <w:t xml:space="preserve"> </w:t>
      </w:r>
      <w:r w:rsidRPr="00101C5B">
        <w:rPr>
          <w:b/>
          <w:bCs/>
          <w:rtl/>
        </w:rPr>
        <w:t>ה</w:t>
      </w:r>
      <w:r w:rsidRPr="00101C5B">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Ref145325532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קסב)</w:t>
      </w:r>
      <w:r>
        <w:rPr>
          <w:b/>
          <w:bCs/>
          <w:vanish/>
          <w:rtl/>
        </w:rPr>
        <w:fldChar w:fldCharType="end"/>
      </w:r>
      <w:r w:rsidRPr="00101C5B">
        <w:rPr>
          <w:b/>
          <w:bCs/>
          <w:vanish/>
          <w:rtl/>
        </w:rPr>
        <w:t xml:space="preserve"> &gt;</w:t>
      </w:r>
      <w:r>
        <w:rPr>
          <w:rFonts w:hint="cs"/>
          <w:b/>
          <w:bCs/>
          <w:rtl/>
        </w:rPr>
        <w:t>חזו"א</w:t>
      </w:r>
      <w:r w:rsidRPr="00101C5B">
        <w:rPr>
          <w:b/>
          <w:bCs/>
          <w:rtl/>
        </w:rPr>
        <w:t xml:space="preserve"> </w:t>
      </w:r>
      <w:r w:rsidRPr="00101C5B">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סי' נ' סק"י ד"ה ובב"י</w:t>
      </w:r>
      <w:r w:rsidRPr="00101C5B">
        <w:rPr>
          <w:rFonts w:ascii="Calibri" w:eastAsia="Times New Roman" w:hAnsi="Calibri" w:cs="Guttman Rashi"/>
          <w:noProof w:val="0"/>
          <w:sz w:val="10"/>
          <w:szCs w:val="12"/>
          <w:rtl/>
        </w:rPr>
        <w:t>)</w:t>
      </w:r>
      <w:bookmarkEnd w:id="6162"/>
      <w:r w:rsidRPr="00101C5B">
        <w:rPr>
          <w:vanish/>
          <w:rtl/>
        </w:rPr>
        <w:t>=</w:t>
      </w:r>
      <w:r>
        <w:rPr>
          <w:rtl/>
        </w:rPr>
        <w:t xml:space="preserve"> </w:t>
      </w:r>
      <w:r>
        <w:rPr>
          <w:rFonts w:hint="cs"/>
          <w:rtl/>
        </w:rPr>
        <w:t>דאדרבה מדברי</w:t>
      </w:r>
      <w:r>
        <w:rPr>
          <w:rtl/>
        </w:rPr>
        <w:t xml:space="preserve"> </w:t>
      </w:r>
      <w:r>
        <w:rPr>
          <w:rFonts w:hint="cs"/>
          <w:b/>
          <w:bCs/>
          <w:rtl/>
        </w:rPr>
        <w:t>הטור</w:t>
      </w:r>
      <w:r>
        <w:rPr>
          <w:rtl/>
        </w:rPr>
        <w:t xml:space="preserve"> </w:t>
      </w:r>
      <w:r>
        <w:rPr>
          <w:rFonts w:hint="cs"/>
          <w:rtl/>
        </w:rPr>
        <w:t xml:space="preserve">משמע דההיתר בכוס הוא אף בהידוק, דכיון דאין דרכו להדק בחוזק כשתוקעו, לכן אף הידוק מותר, אבל רפוי הוא היתר גמור, אף בדבר שדרכו לתקוע, ומדברי </w:t>
      </w:r>
      <w:r>
        <w:rPr>
          <w:rFonts w:hint="cs"/>
          <w:b/>
          <w:bCs/>
          <w:rtl/>
        </w:rPr>
        <w:t>הרמב"ם</w:t>
      </w:r>
      <w:r>
        <w:rPr>
          <w:rtl/>
        </w:rPr>
        <w:t xml:space="preserve"> </w:t>
      </w:r>
      <w:r>
        <w:rPr>
          <w:rFonts w:hint="cs"/>
          <w:rtl/>
        </w:rPr>
        <w:t>אין ראיה דהא העתיק את לשון הגמ', ומ"ש</w:t>
      </w:r>
      <w:r>
        <w:rPr>
          <w:rtl/>
        </w:rPr>
        <w:t xml:space="preserve"> </w:t>
      </w:r>
      <w:r>
        <w:rPr>
          <w:rFonts w:hint="cs"/>
          <w:b/>
          <w:bCs/>
          <w:rtl/>
        </w:rPr>
        <w:t>הרמב"ם</w:t>
      </w:r>
      <w:r>
        <w:rPr>
          <w:rtl/>
        </w:rPr>
        <w:t xml:space="preserve"> </w:t>
      </w:r>
      <w:r>
        <w:rPr>
          <w:rFonts w:hint="cs"/>
          <w:rtl/>
        </w:rPr>
        <w:t>דמותר להחזיר, כוונתו שאם הוא רוצה להחזירו כשהוא רפוי מותר בכל האופנים, וכן אפשר לבאר בדברי</w:t>
      </w:r>
      <w:r>
        <w:rPr>
          <w:rtl/>
        </w:rPr>
        <w:t xml:space="preserve"> </w:t>
      </w:r>
      <w:r>
        <w:rPr>
          <w:rFonts w:hint="cs"/>
          <w:b/>
          <w:bCs/>
          <w:rtl/>
        </w:rPr>
        <w:t>הכל בו</w:t>
      </w:r>
      <w:r>
        <w:rPr>
          <w:rtl/>
        </w:rPr>
        <w:t xml:space="preserve"> </w:t>
      </w:r>
      <w:r>
        <w:rPr>
          <w:rFonts w:hint="cs"/>
          <w:rtl/>
        </w:rPr>
        <w:t>דכל שאין דרך לתקוע מותר אף להדק, או דכוונת</w:t>
      </w:r>
      <w:r>
        <w:rPr>
          <w:rtl/>
        </w:rPr>
        <w:t xml:space="preserve"> </w:t>
      </w:r>
      <w:r>
        <w:rPr>
          <w:rFonts w:hint="cs"/>
          <w:b/>
          <w:bCs/>
          <w:rtl/>
        </w:rPr>
        <w:t>הכל בו</w:t>
      </w:r>
      <w:r>
        <w:rPr>
          <w:rtl/>
        </w:rPr>
        <w:t xml:space="preserve"> </w:t>
      </w:r>
      <w:r>
        <w:rPr>
          <w:rFonts w:hint="cs"/>
          <w:rtl/>
        </w:rPr>
        <w:t>לאסור אף רפוי בדבר שדרכו לתקוע, כדביאר</w:t>
      </w:r>
      <w:r>
        <w:rPr>
          <w:rtl/>
        </w:rPr>
        <w:t xml:space="preserve"> </w:t>
      </w:r>
      <w:r>
        <w:rPr>
          <w:rFonts w:hint="cs"/>
          <w:b/>
          <w:bCs/>
          <w:rtl/>
        </w:rPr>
        <w:t>הב"י</w:t>
      </w:r>
      <w:r>
        <w:rPr>
          <w:rFonts w:hint="cs"/>
          <w:rtl/>
        </w:rPr>
        <w:t>.</w:t>
      </w:r>
    </w:p>
    <w:p w14:paraId="74606E19" w14:textId="77777777" w:rsidR="000F6808" w:rsidRDefault="000F6808" w:rsidP="000F6808">
      <w:pPr>
        <w:pStyle w:val="a2"/>
        <w:rPr>
          <w:rtl/>
        </w:rPr>
      </w:pPr>
      <w:r w:rsidRPr="00111645">
        <w:rPr>
          <w:rtl/>
        </w:rPr>
        <w:t>ובב"י סי' שי"ג כתב דמשמע מדברי הטור דאין מותר רפוי אלא באין דרכו להדק, וזה תמוה מאד דאדרבה הטור מתיר בכוס אפי' מהודק כיון שאין דרכו להדקו בחוזק שהוא תקוע, אבל רפוי לעולם מותר, וכן מלשון הר"מ אין הכרע שלשון הר"מ כלשון הגמ' ומש"כ מותר להחזירו ר"ל ואם היה רצונו לעשותו רפוי מותר להחזירו, וכן דברי הכלבו מתפרשין לקולא כדברי הטור דבאין דרך לתקוע מותר הידוק, או שדעתו לאסור רפוי ברגילות לתקוע.</w:t>
      </w:r>
      <w:r>
        <w:rPr>
          <w:rtl/>
        </w:rPr>
        <w:t xml:space="preserve"> </w:t>
      </w:r>
    </w:p>
    <w:p w14:paraId="326CA2C7" w14:textId="77777777" w:rsidR="000F6808" w:rsidRPr="009F71CF" w:rsidRDefault="000F6808" w:rsidP="000F6808">
      <w:pPr>
        <w:pStyle w:val="a7"/>
        <w:rPr>
          <w:rtl/>
        </w:rPr>
      </w:pPr>
      <w:bookmarkStart w:id="6163" w:name="_Toc145487150"/>
      <w:r>
        <w:rPr>
          <w:rFonts w:hint="cs"/>
          <w:rtl/>
        </w:rPr>
        <w:t>בי' החזו"א דבשו"ע אפש"ל דחזר בו ממ"ש בב"י ואין מקור דברי הרמ"א דברגילות רפוי אסור</w:t>
      </w:r>
      <w:bookmarkEnd w:id="6163"/>
    </w:p>
    <w:p w14:paraId="0CAD8323" w14:textId="58A5BEF0" w:rsidR="000F6808" w:rsidRPr="001A7FC3" w:rsidRDefault="000F6808" w:rsidP="000F6808">
      <w:pPr>
        <w:pStyle w:val="a3"/>
        <w:rPr>
          <w:rtl/>
        </w:rPr>
      </w:pPr>
      <w:r>
        <w:rPr>
          <w:rFonts w:hint="cs"/>
          <w:rtl/>
        </w:rPr>
        <w:t>וכתב</w:t>
      </w:r>
      <w:r>
        <w:rPr>
          <w:rtl/>
        </w:rPr>
        <w:t xml:space="preserve"> </w:t>
      </w:r>
      <w:r>
        <w:rPr>
          <w:rFonts w:hint="cs"/>
          <w:b/>
          <w:bCs/>
          <w:rtl/>
        </w:rPr>
        <w:t>החזו"א</w:t>
      </w:r>
      <w:r>
        <w:rPr>
          <w:rtl/>
        </w:rPr>
        <w:t xml:space="preserve"> </w:t>
      </w:r>
      <w:r>
        <w:rPr>
          <w:rFonts w:hint="cs"/>
          <w:rtl/>
        </w:rPr>
        <w:t xml:space="preserve">דמהא </w:t>
      </w:r>
      <w:r>
        <w:rPr>
          <w:rFonts w:hint="cs"/>
          <w:b/>
          <w:bCs/>
          <w:rtl/>
        </w:rPr>
        <w:t>דהשו"ע</w:t>
      </w:r>
      <w:r>
        <w:rPr>
          <w:rtl/>
        </w:rPr>
        <w:t xml:space="preserve"> </w:t>
      </w:r>
      <w:r>
        <w:rPr>
          <w:rFonts w:hint="cs"/>
          <w:rtl/>
        </w:rPr>
        <w:t xml:space="preserve">לא כתב כדבריו </w:t>
      </w:r>
      <w:r>
        <w:rPr>
          <w:rFonts w:hint="cs"/>
          <w:b/>
          <w:bCs/>
          <w:rtl/>
        </w:rPr>
        <w:t>בב"י</w:t>
      </w:r>
      <w:r>
        <w:rPr>
          <w:rtl/>
        </w:rPr>
        <w:t xml:space="preserve"> </w:t>
      </w:r>
      <w:r w:rsidRPr="001A7FC3">
        <w:rPr>
          <w:rFonts w:ascii="Calibri" w:eastAsia="Times New Roman" w:hAnsi="Calibri" w:cs="Guttman Rashi"/>
          <w:noProof w:val="0"/>
          <w:sz w:val="10"/>
          <w:szCs w:val="12"/>
          <w:rtl/>
        </w:rPr>
        <w:t xml:space="preserve">(עי' </w:t>
      </w:r>
      <w:r w:rsidRPr="00BB4EE9">
        <w:rPr>
          <w:rStyle w:val="af2"/>
          <w:rFonts w:eastAsia="Guttman Hodes"/>
          <w:rtl/>
        </w:rPr>
        <w:t xml:space="preserve">אות </w:t>
      </w:r>
      <w:r w:rsidRPr="00BB4EE9">
        <w:rPr>
          <w:rStyle w:val="af2"/>
          <w:rFonts w:eastAsia="Guttman Hodes"/>
          <w:rtl/>
        </w:rPr>
        <w:fldChar w:fldCharType="begin"/>
      </w:r>
      <w:r w:rsidRPr="00BB4EE9">
        <w:rPr>
          <w:rStyle w:val="af2"/>
          <w:rFonts w:eastAsia="Guttman Hodes"/>
          <w:rtl/>
        </w:rPr>
        <w:instrText xml:space="preserve"> </w:instrText>
      </w:r>
      <w:r w:rsidRPr="00BB4EE9">
        <w:rPr>
          <w:rStyle w:val="af2"/>
          <w:rFonts w:eastAsia="Guttman Hodes"/>
        </w:rPr>
        <w:instrText>REF</w:instrText>
      </w:r>
      <w:r w:rsidRPr="00BB4EE9">
        <w:rPr>
          <w:rStyle w:val="af2"/>
          <w:rFonts w:eastAsia="Guttman Hodes"/>
          <w:rtl/>
        </w:rPr>
        <w:instrText xml:space="preserve"> _</w:instrText>
      </w:r>
      <w:r w:rsidRPr="00BB4EE9">
        <w:rPr>
          <w:rStyle w:val="af2"/>
          <w:rFonts w:eastAsia="Guttman Hodes"/>
        </w:rPr>
        <w:instrText>Ref145369065 \r \h</w:instrText>
      </w:r>
      <w:r w:rsidRPr="00BB4EE9">
        <w:rPr>
          <w:rStyle w:val="af2"/>
          <w:rFonts w:eastAsia="Guttman Hodes"/>
          <w:rtl/>
        </w:rPr>
        <w:instrText xml:space="preserve"> </w:instrText>
      </w:r>
      <w:r w:rsidRPr="00BB4EE9">
        <w:rPr>
          <w:rStyle w:val="af2"/>
          <w:rFonts w:eastAsia="Guttman Hodes"/>
          <w:rtl/>
        </w:rPr>
      </w:r>
      <w:r w:rsidRPr="00BB4EE9">
        <w:rPr>
          <w:rStyle w:val="af2"/>
          <w:rFonts w:eastAsia="Guttman Hodes"/>
          <w:rtl/>
        </w:rPr>
        <w:fldChar w:fldCharType="separate"/>
      </w:r>
      <w:r w:rsidR="00D82181">
        <w:rPr>
          <w:rStyle w:val="af2"/>
          <w:rFonts w:eastAsia="Guttman Hodes"/>
          <w:cs/>
        </w:rPr>
        <w:t>‎</w:t>
      </w:r>
      <w:r w:rsidR="00D82181">
        <w:rPr>
          <w:rStyle w:val="af2"/>
          <w:rFonts w:eastAsia="Guttman Hodes"/>
          <w:rtl/>
        </w:rPr>
        <w:t>קסא)</w:t>
      </w:r>
      <w:r w:rsidRPr="00BB4EE9">
        <w:rPr>
          <w:rStyle w:val="af2"/>
          <w:rFonts w:eastAsia="Guttman Hodes"/>
          <w:rtl/>
        </w:rPr>
        <w:fldChar w:fldCharType="end"/>
      </w:r>
      <w:r>
        <w:rPr>
          <w:rFonts w:hint="cs"/>
          <w:rtl/>
        </w:rPr>
        <w:t>,</w:t>
      </w:r>
      <w:r w:rsidRPr="000B4455">
        <w:rPr>
          <w:rtl/>
        </w:rPr>
        <w:t xml:space="preserve"> </w:t>
      </w:r>
      <w:r>
        <w:rPr>
          <w:rFonts w:hint="cs"/>
          <w:rtl/>
        </w:rPr>
        <w:t>ורק</w:t>
      </w:r>
      <w:r>
        <w:rPr>
          <w:rtl/>
        </w:rPr>
        <w:t xml:space="preserve"> </w:t>
      </w:r>
      <w:r>
        <w:rPr>
          <w:rFonts w:hint="cs"/>
          <w:b/>
          <w:bCs/>
          <w:rtl/>
        </w:rPr>
        <w:t>הרמ"א</w:t>
      </w:r>
      <w:r>
        <w:rPr>
          <w:rtl/>
        </w:rPr>
        <w:t xml:space="preserve"> </w:t>
      </w:r>
      <w:r w:rsidRPr="000A4238">
        <w:rPr>
          <w:rFonts w:ascii="Calibri" w:eastAsia="Times New Roman" w:hAnsi="Calibri" w:cs="Guttman Rashi"/>
          <w:noProof w:val="0"/>
          <w:sz w:val="10"/>
          <w:szCs w:val="12"/>
          <w:rtl/>
        </w:rPr>
        <w:t xml:space="preserve">(עי' 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Pr>
        <w:instrText>REF</w:instrText>
      </w:r>
      <w:r>
        <w:rPr>
          <w:rFonts w:ascii="Calibri" w:eastAsia="Times New Roman" w:hAnsi="Calibri" w:cs="Guttman Rashi"/>
          <w:noProof w:val="0"/>
          <w:sz w:val="10"/>
          <w:szCs w:val="12"/>
          <w:rtl/>
        </w:rPr>
        <w:instrText xml:space="preserve"> _</w:instrText>
      </w:r>
      <w:r>
        <w:rPr>
          <w:rFonts w:ascii="Calibri" w:eastAsia="Times New Roman" w:hAnsi="Calibri" w:cs="Guttman Rashi"/>
          <w:noProof w:val="0"/>
          <w:sz w:val="10"/>
          <w:szCs w:val="12"/>
        </w:rPr>
        <w:instrText>Ref145369047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קנח)</w:t>
      </w:r>
      <w:r>
        <w:rPr>
          <w:rFonts w:ascii="Calibri" w:eastAsia="Times New Roman" w:hAnsi="Calibri" w:cs="Guttman Rashi"/>
          <w:noProof w:val="0"/>
          <w:sz w:val="10"/>
          <w:szCs w:val="12"/>
          <w:rtl/>
        </w:rPr>
        <w:fldChar w:fldCharType="end"/>
      </w:r>
      <w:r>
        <w:rPr>
          <w:rtl/>
        </w:rPr>
        <w:t xml:space="preserve"> </w:t>
      </w:r>
      <w:r>
        <w:rPr>
          <w:rFonts w:hint="cs"/>
          <w:rtl/>
        </w:rPr>
        <w:t>כתב דההיתר להחזיר ברפוי הוא בלבד שלא יהדק, א"כ משמע דחזר בו</w:t>
      </w:r>
      <w:r>
        <w:rPr>
          <w:rtl/>
        </w:rPr>
        <w:t xml:space="preserve"> </w:t>
      </w:r>
      <w:r>
        <w:rPr>
          <w:rFonts w:hint="cs"/>
          <w:b/>
          <w:bCs/>
          <w:rtl/>
        </w:rPr>
        <w:t>השו"ע</w:t>
      </w:r>
      <w:r>
        <w:rPr>
          <w:rtl/>
        </w:rPr>
        <w:t xml:space="preserve"> </w:t>
      </w:r>
      <w:r>
        <w:rPr>
          <w:rFonts w:hint="cs"/>
          <w:rtl/>
        </w:rPr>
        <w:t>ממ"ש</w:t>
      </w:r>
      <w:r>
        <w:rPr>
          <w:rtl/>
        </w:rPr>
        <w:t xml:space="preserve"> </w:t>
      </w:r>
      <w:r>
        <w:rPr>
          <w:rFonts w:hint="cs"/>
          <w:b/>
          <w:bCs/>
          <w:rtl/>
        </w:rPr>
        <w:t>בב"י</w:t>
      </w:r>
      <w:r>
        <w:rPr>
          <w:rFonts w:hint="cs"/>
          <w:rtl/>
        </w:rPr>
        <w:t>,</w:t>
      </w:r>
      <w:r>
        <w:rPr>
          <w:rtl/>
        </w:rPr>
        <w:t xml:space="preserve"> </w:t>
      </w:r>
      <w:r>
        <w:rPr>
          <w:rFonts w:hint="cs"/>
          <w:rtl/>
        </w:rPr>
        <w:t>אך כתב</w:t>
      </w:r>
      <w:r>
        <w:rPr>
          <w:rtl/>
        </w:rPr>
        <w:t xml:space="preserve"> </w:t>
      </w:r>
      <w:r>
        <w:rPr>
          <w:rFonts w:hint="cs"/>
          <w:b/>
          <w:bCs/>
          <w:rtl/>
        </w:rPr>
        <w:t>החזו"א</w:t>
      </w:r>
      <w:r>
        <w:rPr>
          <w:rtl/>
        </w:rPr>
        <w:t xml:space="preserve"> </w:t>
      </w:r>
      <w:r>
        <w:rPr>
          <w:rFonts w:hint="cs"/>
          <w:rtl/>
        </w:rPr>
        <w:t>דמ"מ לפי ביאורו אין מקור לדברי</w:t>
      </w:r>
      <w:r>
        <w:rPr>
          <w:rtl/>
        </w:rPr>
        <w:t xml:space="preserve"> </w:t>
      </w:r>
      <w:r>
        <w:rPr>
          <w:rFonts w:hint="cs"/>
          <w:b/>
          <w:bCs/>
          <w:rtl/>
        </w:rPr>
        <w:t>הרמ"א</w:t>
      </w:r>
      <w:r>
        <w:rPr>
          <w:rtl/>
        </w:rPr>
        <w:t xml:space="preserve"> </w:t>
      </w:r>
      <w:r>
        <w:rPr>
          <w:rFonts w:hint="cs"/>
          <w:rtl/>
        </w:rPr>
        <w:t>ואף בדבר שהרגילות לתקוע מותר להחזירו ברפוי, ובאין רגילות לתקוע אף במהדק אפשר להקל כדעת</w:t>
      </w:r>
      <w:r>
        <w:rPr>
          <w:rtl/>
        </w:rPr>
        <w:t xml:space="preserve"> </w:t>
      </w:r>
      <w:r>
        <w:rPr>
          <w:rFonts w:hint="cs"/>
          <w:b/>
          <w:bCs/>
          <w:rtl/>
        </w:rPr>
        <w:t>הטור</w:t>
      </w:r>
      <w:r>
        <w:rPr>
          <w:rFonts w:hint="cs"/>
          <w:rtl/>
        </w:rPr>
        <w:t>.</w:t>
      </w:r>
      <w:r>
        <w:rPr>
          <w:rtl/>
        </w:rPr>
        <w:t xml:space="preserve"> </w:t>
      </w:r>
    </w:p>
    <w:p w14:paraId="778C9D32" w14:textId="77777777" w:rsidR="000F6808" w:rsidRPr="0088513D" w:rsidRDefault="000F6808" w:rsidP="000F6808">
      <w:pPr>
        <w:pStyle w:val="afffffe"/>
        <w:rPr>
          <w:vanish/>
          <w:rtl/>
        </w:rPr>
      </w:pPr>
      <w:r w:rsidRPr="0088513D">
        <w:rPr>
          <w:vanish/>
          <w:rtl/>
        </w:rPr>
        <w:lastRenderedPageBreak/>
        <w:t>חזון איש או"ח סי' נ' סק"י ד"ה ובב"י</w:t>
      </w:r>
    </w:p>
    <w:p w14:paraId="68776BF1" w14:textId="77777777" w:rsidR="000F6808" w:rsidRPr="00111645" w:rsidRDefault="000F6808" w:rsidP="000F6808">
      <w:pPr>
        <w:pStyle w:val="afffff5"/>
        <w:rPr>
          <w:rtl/>
        </w:rPr>
      </w:pPr>
      <w:r w:rsidRPr="00111645">
        <w:rPr>
          <w:rtl/>
        </w:rPr>
        <w:t>והמחבר בסי' שי"ג ס"ו השמיט תנאי זה שיהא דרכה ברפוי', אפשר שחזר בו מרן, והרמ"א הביאו, ולמש"כ לעיל אין מקור לד"ז, ואפי' אם רגילות לתקוע אפשר להקל בדרבנן, כיון דלא הזכירוהו הר"מ והטור, וכל שעושה רפוי בלתי מהודק מותר, ואפי' מהודק במקום שאין רגילות לתקוע אפשר להקל כדעת הטור.</w:t>
      </w:r>
      <w:r>
        <w:rPr>
          <w:rtl/>
        </w:rPr>
        <w:t xml:space="preserve"> </w:t>
      </w:r>
      <w:bookmarkEnd w:id="6114"/>
    </w:p>
    <w:p w14:paraId="4874E23A" w14:textId="77777777" w:rsidR="000F6808" w:rsidRDefault="000F6808" w:rsidP="000F6808">
      <w:pPr>
        <w:pStyle w:val="affff5"/>
        <w:rPr>
          <w:rtl/>
        </w:rPr>
      </w:pPr>
      <w:r>
        <w:rPr>
          <w:rFonts w:hint="cs"/>
          <w:rtl/>
        </w:rPr>
        <w:t>~~~~~~~~~~~~~~~~~~~~~~~~~~~~</w:t>
      </w:r>
    </w:p>
    <w:p w14:paraId="4717B791" w14:textId="77777777" w:rsidR="000F6808" w:rsidRDefault="000F6808" w:rsidP="000F6808">
      <w:pPr>
        <w:pStyle w:val="a7"/>
        <w:rPr>
          <w:rtl/>
        </w:rPr>
      </w:pPr>
      <w:bookmarkStart w:id="6164" w:name="_Toc145487152"/>
    </w:p>
    <w:p w14:paraId="73EA101D" w14:textId="77777777" w:rsidR="000F6808" w:rsidRDefault="000F6808" w:rsidP="000F6808">
      <w:pPr>
        <w:pStyle w:val="affff5"/>
        <w:rPr>
          <w:rtl/>
        </w:rPr>
      </w:pPr>
      <w:r>
        <w:rPr>
          <w:rFonts w:hint="cs"/>
          <w:rtl/>
        </w:rPr>
        <w:t>בביאור הסוגיא דמטה של טרסיים</w:t>
      </w:r>
      <w:bookmarkEnd w:id="6164"/>
      <w:r w:rsidRPr="007220A9">
        <w:rPr>
          <w:vanish/>
          <w:rtl/>
        </w:rPr>
        <w:t>&lt; # =</w:t>
      </w:r>
    </w:p>
    <w:p w14:paraId="75790B96" w14:textId="77777777" w:rsidR="000F6808" w:rsidRPr="00E741DA" w:rsidRDefault="000F6808" w:rsidP="000F6808">
      <w:pPr>
        <w:pStyle w:val="1"/>
        <w:rPr>
          <w:rtl/>
        </w:rPr>
      </w:pPr>
      <w:bookmarkStart w:id="6165" w:name="_Toc145487153"/>
      <w:r>
        <w:rPr>
          <w:rFonts w:hint="cs"/>
          <w:rtl/>
        </w:rPr>
        <w:t>ביאורי הראשונים בדעות החולקים אי יש בנין</w:t>
      </w:r>
      <w:r w:rsidRPr="007B600B">
        <w:rPr>
          <w:rFonts w:hint="cs"/>
          <w:rtl/>
        </w:rPr>
        <w:t xml:space="preserve"> </w:t>
      </w:r>
      <w:r>
        <w:rPr>
          <w:rFonts w:hint="cs"/>
          <w:rtl/>
        </w:rPr>
        <w:t>במטה של טרסיים</w:t>
      </w:r>
      <w:bookmarkEnd w:id="6165"/>
    </w:p>
    <w:p w14:paraId="3FBE7ECA" w14:textId="77777777" w:rsidR="000F6808" w:rsidRPr="00FC269C" w:rsidRDefault="000F6808" w:rsidP="000F6808">
      <w:pPr>
        <w:pStyle w:val="afffff7"/>
        <w:rPr>
          <w:rtl/>
        </w:rPr>
      </w:pPr>
      <w:bookmarkStart w:id="6166" w:name="_Toc145500864"/>
      <w:bookmarkStart w:id="6167" w:name="_Toc163506404"/>
      <w:r w:rsidRPr="00FC269C">
        <w:rPr>
          <w:rtl/>
        </w:rPr>
        <w:t>חדושי הרמב"ן שבת מ"ז ע"א</w:t>
      </w:r>
      <w:r w:rsidRPr="00FC269C">
        <w:rPr>
          <w:rFonts w:hint="cs"/>
          <w:rtl/>
        </w:rPr>
        <w:t xml:space="preserve"> ד"ה הא</w:t>
      </w:r>
      <w:bookmarkEnd w:id="6166"/>
      <w:bookmarkEnd w:id="6167"/>
    </w:p>
    <w:p w14:paraId="0A12EA9F" w14:textId="77777777" w:rsidR="000F6808" w:rsidRPr="00FC269C" w:rsidRDefault="000F6808" w:rsidP="000F6808">
      <w:pPr>
        <w:pStyle w:val="afffff7"/>
        <w:rPr>
          <w:rtl/>
        </w:rPr>
      </w:pPr>
      <w:bookmarkStart w:id="6168" w:name="_Toc145198430"/>
      <w:bookmarkStart w:id="6169" w:name="_Toc145500865"/>
      <w:bookmarkStart w:id="6170" w:name="_Toc163506405"/>
      <w:r w:rsidRPr="00FC269C">
        <w:rPr>
          <w:rtl/>
        </w:rPr>
        <w:t>חדושי הרשב"א שבת מ"ז ע"א</w:t>
      </w:r>
      <w:r w:rsidRPr="00FC269C">
        <w:rPr>
          <w:rFonts w:hint="cs"/>
          <w:rtl/>
        </w:rPr>
        <w:t xml:space="preserve"> ד"ה אינהו</w:t>
      </w:r>
      <w:bookmarkEnd w:id="6168"/>
      <w:bookmarkEnd w:id="6169"/>
      <w:bookmarkEnd w:id="6170"/>
    </w:p>
    <w:p w14:paraId="12BF8412" w14:textId="77777777" w:rsidR="000F6808" w:rsidRDefault="000F6808" w:rsidP="000F6808">
      <w:pPr>
        <w:pStyle w:val="a7"/>
      </w:pPr>
      <w:bookmarkStart w:id="6171" w:name="_Toc145222963"/>
      <w:bookmarkStart w:id="6172" w:name="_Toc145487154"/>
      <w:r>
        <w:rPr>
          <w:rFonts w:hint="cs"/>
          <w:rtl/>
        </w:rPr>
        <w:t>בי' הרמב"ן והרשב"א דהחיוב במטה של טרסיים רק בתוקע בין לת"ק ובין לרשב"ג ודלא כב"ש</w:t>
      </w:r>
      <w:bookmarkEnd w:id="6171"/>
      <w:bookmarkEnd w:id="6172"/>
    </w:p>
    <w:p w14:paraId="583A63C1" w14:textId="764041CE" w:rsidR="000F6808" w:rsidRDefault="000F6808" w:rsidP="000F6808">
      <w:pPr>
        <w:pStyle w:val="a3"/>
      </w:pPr>
      <w:bookmarkStart w:id="6173" w:name="_Ref144932152"/>
      <w:r>
        <w:rPr>
          <w:rFonts w:hint="cs"/>
          <w:rtl/>
        </w:rPr>
        <w:t>בהא דאמרו רב ושמואל דהמחזיר מטה של טרסיים חייב חטאת, ביארו</w:t>
      </w:r>
      <w:r>
        <w:rPr>
          <w:rtl/>
        </w:rPr>
        <w:t xml:space="preserve"> </w:t>
      </w:r>
      <w:r w:rsidRPr="0001458E">
        <w:rPr>
          <w:b/>
          <w:bCs/>
          <w:rtl/>
        </w:rPr>
        <w:t>ה</w:t>
      </w:r>
      <w:r w:rsidRPr="0001458E">
        <w:rPr>
          <w:b/>
          <w:bCs/>
          <w:vanish/>
          <w:rtl/>
        </w:rPr>
        <w:t xml:space="preserve"> </w:t>
      </w:r>
      <w:r>
        <w:rPr>
          <w:rFonts w:hint="cs"/>
          <w:b/>
          <w:bCs/>
          <w:vanish/>
          <w:rtl/>
        </w:rPr>
        <w:t xml:space="preserve">&lt;, </w:t>
      </w:r>
      <w:r>
        <w:rPr>
          <w:b/>
          <w:bCs/>
          <w:vanish/>
          <w:rtl/>
        </w:rPr>
        <w:fldChar w:fldCharType="begin"/>
      </w:r>
      <w:r>
        <w:rPr>
          <w:b/>
          <w:bCs/>
          <w:vanish/>
          <w:rtl/>
        </w:rPr>
        <w:instrText xml:space="preserve"> </w:instrText>
      </w:r>
      <w:r>
        <w:rPr>
          <w:rFonts w:hint="cs"/>
          <w:b/>
          <w:bCs/>
          <w:vanish/>
        </w:rPr>
        <w:instrText>REF</w:instrText>
      </w:r>
      <w:r>
        <w:rPr>
          <w:rFonts w:hint="cs"/>
          <w:b/>
          <w:bCs/>
          <w:vanish/>
          <w:rtl/>
        </w:rPr>
        <w:instrText xml:space="preserve"> _</w:instrText>
      </w:r>
      <w:r>
        <w:rPr>
          <w:rFonts w:hint="cs"/>
          <w:b/>
          <w:bCs/>
          <w:vanish/>
        </w:rPr>
        <w:instrText>Ref144932152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קסד)</w:t>
      </w:r>
      <w:r>
        <w:rPr>
          <w:b/>
          <w:bCs/>
          <w:vanish/>
          <w:rtl/>
        </w:rPr>
        <w:fldChar w:fldCharType="end"/>
      </w:r>
      <w:r>
        <w:rPr>
          <w:rFonts w:hint="cs"/>
          <w:b/>
          <w:bCs/>
          <w:vanish/>
          <w:rtl/>
        </w:rPr>
        <w:t xml:space="preserve"> &gt;</w:t>
      </w:r>
      <w:r w:rsidRPr="0001458E">
        <w:rPr>
          <w:rFonts w:hint="cs"/>
          <w:b/>
          <w:bCs/>
          <w:rtl/>
        </w:rPr>
        <w:t>רמב"ן לעיל</w:t>
      </w:r>
      <w:r w:rsidRPr="0001458E">
        <w:rPr>
          <w:b/>
          <w:bCs/>
          <w:rtl/>
        </w:rPr>
        <w:t xml:space="preserve"> </w:t>
      </w:r>
      <w:r w:rsidRPr="0001458E">
        <w:rPr>
          <w:rFonts w:ascii="Calibri" w:eastAsia="Times New Roman" w:hAnsi="Calibri" w:cs="Guttman Rashi"/>
          <w:noProof w:val="0"/>
          <w:sz w:val="10"/>
          <w:szCs w:val="12"/>
          <w:rtl/>
        </w:rPr>
        <w:t>(</w:t>
      </w:r>
      <w:r w:rsidRPr="0001458E">
        <w:rPr>
          <w:rFonts w:ascii="Calibri" w:eastAsia="Times New Roman" w:hAnsi="Calibri" w:cs="Guttman Rashi" w:hint="cs"/>
          <w:noProof w:val="0"/>
          <w:sz w:val="10"/>
          <w:szCs w:val="12"/>
          <w:rtl/>
        </w:rPr>
        <w:t>מז. ד"ה הא</w:t>
      </w:r>
      <w:r w:rsidRPr="0001458E">
        <w:rPr>
          <w:rFonts w:ascii="Calibri" w:eastAsia="Times New Roman" w:hAnsi="Calibri" w:cs="Guttman Rashi"/>
          <w:noProof w:val="0"/>
          <w:sz w:val="10"/>
          <w:szCs w:val="12"/>
          <w:rtl/>
        </w:rPr>
        <w:t>)</w:t>
      </w:r>
      <w:r w:rsidRPr="0001458E">
        <w:rPr>
          <w:vanish/>
          <w:rtl/>
        </w:rPr>
        <w:t>=</w:t>
      </w:r>
      <w:r>
        <w:rPr>
          <w:rtl/>
        </w:rPr>
        <w:t xml:space="preserve"> </w:t>
      </w:r>
      <w:r>
        <w:rPr>
          <w:rFonts w:hint="cs"/>
          <w:b/>
          <w:bCs/>
          <w:rtl/>
        </w:rPr>
        <w:t>וה</w:t>
      </w:r>
      <w:r w:rsidRPr="00AA6F51">
        <w:rPr>
          <w:b/>
          <w:bCs/>
          <w:vanish/>
          <w:rtl/>
        </w:rPr>
        <w:t>&lt; &gt;</w:t>
      </w:r>
      <w:r>
        <w:rPr>
          <w:rFonts w:hint="cs"/>
          <w:b/>
          <w:bCs/>
          <w:rtl/>
        </w:rPr>
        <w:t>רשב"א לעיל</w:t>
      </w:r>
      <w:r w:rsidRPr="00AA6F51">
        <w:rPr>
          <w:b/>
          <w:bCs/>
          <w:rtl/>
        </w:rPr>
        <w:t xml:space="preserve"> </w:t>
      </w:r>
      <w:r w:rsidRPr="00AA6F51">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מז. ד"ה אינהו</w:t>
      </w:r>
      <w:r w:rsidRPr="00AA6F51">
        <w:rPr>
          <w:rFonts w:ascii="Calibri" w:eastAsia="Times New Roman" w:hAnsi="Calibri" w:cs="Guttman Rashi"/>
          <w:noProof w:val="0"/>
          <w:sz w:val="10"/>
          <w:szCs w:val="12"/>
          <w:rtl/>
        </w:rPr>
        <w:t>)</w:t>
      </w:r>
      <w:r w:rsidRPr="00AA6F51">
        <w:rPr>
          <w:vanish/>
          <w:rtl/>
        </w:rPr>
        <w:t>=</w:t>
      </w:r>
      <w:r>
        <w:rPr>
          <w:rtl/>
        </w:rPr>
        <w:t xml:space="preserve"> </w:t>
      </w:r>
      <w:r>
        <w:rPr>
          <w:rFonts w:hint="cs"/>
          <w:rtl/>
        </w:rPr>
        <w:t>דהוא דוקא בתוקע אבל באינו תוקע פטור, כדמוכח בברייתא דבין לת"ק ובין לרשב"ג פטור בלא תקע, ורק לב"ש בביצה</w:t>
      </w:r>
      <w:r>
        <w:rPr>
          <w:rtl/>
        </w:rPr>
        <w:t xml:space="preserve"> </w:t>
      </w:r>
      <w:r w:rsidRPr="0001458E">
        <w:rPr>
          <w:rFonts w:ascii="Calibri" w:eastAsia="Times New Roman" w:hAnsi="Calibri" w:cs="Guttman Rashi"/>
          <w:noProof w:val="0"/>
          <w:sz w:val="10"/>
          <w:szCs w:val="12"/>
          <w:rtl/>
        </w:rPr>
        <w:t>(</w:t>
      </w:r>
      <w:r w:rsidRPr="0001458E">
        <w:rPr>
          <w:rFonts w:ascii="Calibri" w:eastAsia="Times New Roman" w:hAnsi="Calibri" w:cs="Guttman Rashi" w:hint="cs"/>
          <w:noProof w:val="0"/>
          <w:sz w:val="10"/>
          <w:szCs w:val="12"/>
          <w:rtl/>
        </w:rPr>
        <w:t>כב.</w:t>
      </w:r>
      <w:r w:rsidRPr="0001458E">
        <w:rPr>
          <w:rFonts w:ascii="Calibri" w:eastAsia="Times New Roman" w:hAnsi="Calibri" w:cs="Guttman Rashi"/>
          <w:noProof w:val="0"/>
          <w:sz w:val="10"/>
          <w:szCs w:val="12"/>
          <w:rtl/>
        </w:rPr>
        <w:t>)</w:t>
      </w:r>
      <w:r>
        <w:rPr>
          <w:rtl/>
        </w:rPr>
        <w:t xml:space="preserve"> </w:t>
      </w:r>
      <w:r>
        <w:rPr>
          <w:rFonts w:hint="cs"/>
          <w:rtl/>
        </w:rPr>
        <w:t>ס"ל דיש בנין בכלים במנורה של חוליות.</w:t>
      </w:r>
      <w:bookmarkEnd w:id="6173"/>
    </w:p>
    <w:p w14:paraId="5311CC50" w14:textId="77777777" w:rsidR="000F6808" w:rsidRPr="0088513D" w:rsidRDefault="000F6808" w:rsidP="000F6808">
      <w:pPr>
        <w:pStyle w:val="afffffe"/>
        <w:rPr>
          <w:vanish/>
          <w:rtl/>
        </w:rPr>
      </w:pPr>
      <w:r w:rsidRPr="0088513D">
        <w:rPr>
          <w:vanish/>
          <w:rtl/>
        </w:rPr>
        <w:t>חדושי הרמב"ן שבת מ"ז ע"א</w:t>
      </w:r>
      <w:r w:rsidRPr="0088513D">
        <w:rPr>
          <w:rFonts w:hint="cs"/>
          <w:vanish/>
          <w:rtl/>
        </w:rPr>
        <w:t xml:space="preserve"> ד"ה הא</w:t>
      </w:r>
    </w:p>
    <w:p w14:paraId="6CD7F3CC" w14:textId="77777777" w:rsidR="000F6808" w:rsidRPr="00111645" w:rsidRDefault="000F6808" w:rsidP="000F6808">
      <w:pPr>
        <w:pStyle w:val="a2"/>
      </w:pPr>
      <w:r w:rsidRPr="00111645">
        <w:rPr>
          <w:rtl/>
        </w:rPr>
        <w:t>הא דאמרי רב ושמואל המחזיר מטה של טרסיים בשבת חייב חטאת. האי דוקא בתקע אבל לא תקע פטור דהא בין לת"ק בין לרשב"ג בלא תקע פטור ולית דחש ליה לב"ש דאמרי במס' ביצה (כ"ב א') גבי מנורה של חוליות יש בנין בכלים</w:t>
      </w:r>
      <w:r w:rsidRPr="00111645">
        <w:rPr>
          <w:rFonts w:hint="cs"/>
          <w:rtl/>
        </w:rPr>
        <w:t>.</w:t>
      </w:r>
    </w:p>
    <w:p w14:paraId="33B0D80A" w14:textId="77777777" w:rsidR="000F6808" w:rsidRPr="0088513D" w:rsidRDefault="000F6808" w:rsidP="000F6808">
      <w:pPr>
        <w:pStyle w:val="afffffe"/>
        <w:rPr>
          <w:vanish/>
          <w:rtl/>
        </w:rPr>
      </w:pPr>
      <w:r w:rsidRPr="0088513D">
        <w:rPr>
          <w:vanish/>
          <w:rtl/>
        </w:rPr>
        <w:t>חדושי הרשב"א שבת מ"ז ע"א</w:t>
      </w:r>
      <w:r w:rsidRPr="0088513D">
        <w:rPr>
          <w:rFonts w:hint="cs"/>
          <w:vanish/>
          <w:rtl/>
        </w:rPr>
        <w:t xml:space="preserve"> ד"ה אינהו</w:t>
      </w:r>
    </w:p>
    <w:p w14:paraId="225CC616" w14:textId="77777777" w:rsidR="000F6808" w:rsidRPr="00111645" w:rsidRDefault="000F6808" w:rsidP="000F6808">
      <w:pPr>
        <w:pStyle w:val="afffff5"/>
        <w:rPr>
          <w:rtl/>
        </w:rPr>
      </w:pPr>
      <w:r w:rsidRPr="00111645">
        <w:rPr>
          <w:rtl/>
        </w:rPr>
        <w:t>אינהו דאמור כי האי תנא כו'. איכא למידק דרב ושמואל דוקא בתוקע קאמרי דאי לא בין לתנא קמא בין לרבן שמעון בן גמליאל פטור אבל אסור ואפילו במחזיר כל צרכו, דליכא מאן דאית ליה כבית שמאי דאמרי במסכת ביצה (כ"א ב') דיש בנין בכלים גבי זקיפת מנורה, ורבי אבא ורב הונא בר חייא על כרחין ברפוי וכשאינו תוקע דהא אוקימנא להו כרבן שמעון בן גמליאל דאמר אם היה רפוי מותר</w:t>
      </w:r>
      <w:r w:rsidRPr="00111645">
        <w:rPr>
          <w:rFonts w:hint="cs"/>
          <w:rtl/>
        </w:rPr>
        <w:t>.</w:t>
      </w:r>
    </w:p>
    <w:p w14:paraId="5C27F449" w14:textId="77777777" w:rsidR="000F6808" w:rsidRPr="0052299F" w:rsidRDefault="000F6808" w:rsidP="000F6808">
      <w:pPr>
        <w:pStyle w:val="a7"/>
        <w:rPr>
          <w:rtl/>
        </w:rPr>
      </w:pPr>
      <w:bookmarkStart w:id="6174" w:name="_Toc145222964"/>
      <w:bookmarkStart w:id="6175" w:name="_Toc145487155"/>
      <w:r>
        <w:rPr>
          <w:rFonts w:hint="cs"/>
          <w:rtl/>
        </w:rPr>
        <w:t>בי' הרמב"ן והרשב"א בקו' דאי תוקע חייב רפוי אסור דהגמר במיטה של טרסיים בלא תקיעה</w:t>
      </w:r>
      <w:bookmarkStart w:id="6176" w:name="_Ref144375075"/>
      <w:bookmarkEnd w:id="6174"/>
      <w:bookmarkEnd w:id="6175"/>
    </w:p>
    <w:p w14:paraId="03D37A80" w14:textId="41EA9B96" w:rsidR="000F6808" w:rsidRDefault="000F6808" w:rsidP="000F6808">
      <w:pPr>
        <w:pStyle w:val="a3"/>
      </w:pPr>
      <w:bookmarkStart w:id="6177" w:name="_Ref145461740"/>
      <w:r>
        <w:rPr>
          <w:rFonts w:hint="cs"/>
          <w:rtl/>
        </w:rPr>
        <w:t>אך הקשו</w:t>
      </w:r>
      <w:r>
        <w:rPr>
          <w:rtl/>
        </w:rPr>
        <w:t xml:space="preserve"> </w:t>
      </w:r>
      <w:r w:rsidRPr="0001458E">
        <w:rPr>
          <w:rFonts w:hint="cs"/>
          <w:b/>
          <w:bCs/>
          <w:rtl/>
        </w:rPr>
        <w:t>הרמב"ן</w:t>
      </w:r>
      <w:r>
        <w:rPr>
          <w:rFonts w:hint="cs"/>
          <w:b/>
          <w:bCs/>
          <w:rtl/>
        </w:rPr>
        <w:t xml:space="preserve"> והרשב"א</w:t>
      </w:r>
      <w:r>
        <w:rPr>
          <w:rtl/>
        </w:rPr>
        <w:t xml:space="preserve"> </w:t>
      </w:r>
      <w:r w:rsidRPr="0001458E">
        <w:rPr>
          <w:rFonts w:hint="cs"/>
          <w:b/>
          <w:bCs/>
          <w:rtl/>
        </w:rPr>
        <w:t>לעיל</w:t>
      </w:r>
      <w:r w:rsidRPr="0001458E">
        <w:rPr>
          <w:b/>
          <w:bCs/>
          <w:rtl/>
        </w:rPr>
        <w:t xml:space="preserve"> </w:t>
      </w:r>
      <w:r>
        <w:rPr>
          <w:rFonts w:hint="cs"/>
          <w:rtl/>
        </w:rPr>
        <w:t>דכיון דרב ושמואל איירי בתוקע, א"כ רבי אבא ורב הונא דהתירו איירי בלא תקע, דהא אמרינן דס"ל כרשב"ג דמתיר ברפוי, וא"כ מה הקשה רב יהודה עליהם מדברי רב ושמואל, ותירצו</w:t>
      </w:r>
      <w:r>
        <w:rPr>
          <w:rtl/>
        </w:rPr>
        <w:t xml:space="preserve"> </w:t>
      </w:r>
      <w:r w:rsidRPr="0001458E">
        <w:rPr>
          <w:rFonts w:hint="cs"/>
          <w:b/>
          <w:bCs/>
          <w:rtl/>
        </w:rPr>
        <w:t>הרמב"ן</w:t>
      </w:r>
      <w:r>
        <w:rPr>
          <w:rFonts w:hint="cs"/>
          <w:b/>
          <w:bCs/>
          <w:rtl/>
        </w:rPr>
        <w:t xml:space="preserve"> והרשב"א</w:t>
      </w:r>
      <w:r>
        <w:rPr>
          <w:rtl/>
        </w:rPr>
        <w:t xml:space="preserve"> </w:t>
      </w:r>
      <w:r w:rsidRPr="0001458E">
        <w:rPr>
          <w:rFonts w:hint="cs"/>
          <w:b/>
          <w:bCs/>
          <w:rtl/>
        </w:rPr>
        <w:t>לעיל</w:t>
      </w:r>
      <w:r w:rsidRPr="0001458E">
        <w:rPr>
          <w:b/>
          <w:bCs/>
          <w:rtl/>
        </w:rPr>
        <w:t xml:space="preserve"> </w:t>
      </w:r>
      <w:r>
        <w:rPr>
          <w:rFonts w:hint="cs"/>
          <w:rtl/>
        </w:rPr>
        <w:t xml:space="preserve">בשם </w:t>
      </w:r>
      <w:r w:rsidRPr="0001458E">
        <w:rPr>
          <w:rFonts w:hint="cs"/>
          <w:b/>
          <w:bCs/>
          <w:rtl/>
        </w:rPr>
        <w:t>התוס'</w:t>
      </w:r>
      <w:r>
        <w:rPr>
          <w:rFonts w:hint="cs"/>
          <w:rtl/>
        </w:rPr>
        <w:t xml:space="preserve"> </w:t>
      </w:r>
      <w:r w:rsidRPr="0001458E">
        <w:rPr>
          <w:rStyle w:val="af2"/>
          <w:rFonts w:eastAsia="Guttman Hodes" w:hint="cs"/>
          <w:rtl/>
        </w:rPr>
        <w:t xml:space="preserve">(עי' </w:t>
      </w:r>
      <w:r w:rsidRPr="00DB2BE3">
        <w:rPr>
          <w:rStyle w:val="af2"/>
          <w:rFonts w:eastAsia="Guttman Hodes" w:hint="cs"/>
          <w:rtl/>
        </w:rPr>
        <w:t>אות</w:t>
      </w:r>
      <w:r>
        <w:rPr>
          <w:rStyle w:val="af2"/>
          <w:rFonts w:eastAsia="Guttman Hodes" w:hint="cs"/>
          <w:rtl/>
        </w:rPr>
        <w:t xml:space="preserve">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Ref145461485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קיט)</w:t>
      </w:r>
      <w:r>
        <w:rPr>
          <w:rStyle w:val="af2"/>
          <w:rFonts w:eastAsia="Guttman Hodes"/>
          <w:rtl/>
        </w:rPr>
        <w:fldChar w:fldCharType="end"/>
      </w:r>
      <w:r w:rsidRPr="00DB2BE3">
        <w:rPr>
          <w:rStyle w:val="af2"/>
          <w:rFonts w:eastAsia="Guttman Hodes"/>
          <w:rtl/>
        </w:rPr>
        <w:t xml:space="preserve"> </w:t>
      </w:r>
      <w:r>
        <w:rPr>
          <w:rFonts w:hint="cs"/>
          <w:rtl/>
        </w:rPr>
        <w:t xml:space="preserve">דכוונתו להקשות דאי רב ושמואל מחייבים חטאת בתוקע, א"כ אף באינו תוקע אסור לכתחילה, </w:t>
      </w:r>
      <w:r w:rsidRPr="00636FD9">
        <w:rPr>
          <w:sz w:val="12"/>
          <w:szCs w:val="14"/>
          <w:rtl/>
        </w:rPr>
        <w:t>[</w:t>
      </w:r>
      <w:r>
        <w:rPr>
          <w:rFonts w:hint="cs"/>
          <w:sz w:val="12"/>
          <w:szCs w:val="14"/>
          <w:rtl/>
        </w:rPr>
        <w:t xml:space="preserve">והוסיף </w:t>
      </w:r>
      <w:r w:rsidRPr="00636FD9">
        <w:rPr>
          <w:rStyle w:val="aff9"/>
          <w:rFonts w:hint="cs"/>
          <w:rtl/>
        </w:rPr>
        <w:t>הרשב"א</w:t>
      </w:r>
      <w:r>
        <w:rPr>
          <w:rFonts w:hint="cs"/>
          <w:sz w:val="12"/>
          <w:szCs w:val="14"/>
          <w:rtl/>
        </w:rPr>
        <w:t xml:space="preserve"> דכן מבואר במטה גללניתא דאף שאינו אסור מדאו', מ"מ אסור מדרבנן</w:t>
      </w:r>
      <w:r w:rsidRPr="00636FD9">
        <w:rPr>
          <w:sz w:val="12"/>
          <w:szCs w:val="14"/>
          <w:rtl/>
        </w:rPr>
        <w:t>]</w:t>
      </w:r>
      <w:r>
        <w:rPr>
          <w:rFonts w:hint="cs"/>
          <w:sz w:val="12"/>
          <w:szCs w:val="14"/>
          <w:rtl/>
        </w:rPr>
        <w:t>,</w:t>
      </w:r>
      <w:r>
        <w:rPr>
          <w:rtl/>
        </w:rPr>
        <w:t xml:space="preserve"> </w:t>
      </w:r>
      <w:r>
        <w:rPr>
          <w:rFonts w:hint="cs"/>
          <w:rtl/>
        </w:rPr>
        <w:t>אך רבי אבא ורב הונא סברו דלא גזרו בלא תקע ומותר, ולכן מקשה הגמ' עליהם מהברייתא דהמחזיר קנה מנורה חייב, וכתב</w:t>
      </w:r>
      <w:r>
        <w:rPr>
          <w:rtl/>
        </w:rPr>
        <w:t xml:space="preserve"> </w:t>
      </w:r>
      <w:r w:rsidRPr="0001458E">
        <w:rPr>
          <w:rFonts w:hint="cs"/>
          <w:b/>
          <w:bCs/>
          <w:rtl/>
        </w:rPr>
        <w:t>הרמב"ן</w:t>
      </w:r>
      <w:r>
        <w:rPr>
          <w:rtl/>
        </w:rPr>
        <w:t xml:space="preserve"> </w:t>
      </w:r>
      <w:r>
        <w:rPr>
          <w:rFonts w:hint="cs"/>
          <w:rtl/>
        </w:rPr>
        <w:t>דא"כ צריך לבאר דהגמר מלאכה במטה של טרסיים הוא בלא תקיעה.</w:t>
      </w:r>
      <w:r>
        <w:rPr>
          <w:rtl/>
        </w:rPr>
        <w:t xml:space="preserve"> </w:t>
      </w:r>
      <w:r w:rsidRPr="0001458E">
        <w:rPr>
          <w:sz w:val="12"/>
          <w:szCs w:val="14"/>
          <w:rtl/>
        </w:rPr>
        <w:t>[</w:t>
      </w:r>
      <w:r w:rsidRPr="0001458E">
        <w:rPr>
          <w:rFonts w:hint="cs"/>
          <w:sz w:val="12"/>
          <w:szCs w:val="14"/>
          <w:rtl/>
        </w:rPr>
        <w:t>ולכן חייבו רב ושמואל בכל מטה של טרסיים ולא אמרו דאיירי בתוקע</w:t>
      </w:r>
      <w:r w:rsidRPr="0001458E">
        <w:rPr>
          <w:sz w:val="12"/>
          <w:szCs w:val="14"/>
          <w:rtl/>
        </w:rPr>
        <w:t>]</w:t>
      </w:r>
      <w:r>
        <w:rPr>
          <w:rFonts w:hint="cs"/>
          <w:sz w:val="12"/>
          <w:szCs w:val="14"/>
          <w:rtl/>
        </w:rPr>
        <w:t>.</w:t>
      </w:r>
      <w:bookmarkEnd w:id="6177"/>
    </w:p>
    <w:bookmarkEnd w:id="6176"/>
    <w:p w14:paraId="630F3C24" w14:textId="77777777" w:rsidR="000F6808" w:rsidRPr="0088513D" w:rsidRDefault="000F6808" w:rsidP="000F6808">
      <w:pPr>
        <w:pStyle w:val="afffffe"/>
        <w:rPr>
          <w:vanish/>
          <w:rtl/>
        </w:rPr>
      </w:pPr>
      <w:r w:rsidRPr="0088513D">
        <w:rPr>
          <w:vanish/>
          <w:rtl/>
        </w:rPr>
        <w:t>חדושי הרמב"ן שבת מ"ז ע"א</w:t>
      </w:r>
      <w:r w:rsidRPr="0088513D">
        <w:rPr>
          <w:rFonts w:hint="cs"/>
          <w:vanish/>
          <w:rtl/>
        </w:rPr>
        <w:t xml:space="preserve"> ד"ה הא</w:t>
      </w:r>
    </w:p>
    <w:p w14:paraId="5A832165" w14:textId="77777777" w:rsidR="000F6808" w:rsidRPr="00111645" w:rsidRDefault="000F6808" w:rsidP="000F6808">
      <w:pPr>
        <w:pStyle w:val="a2"/>
      </w:pPr>
      <w:r w:rsidRPr="00111645">
        <w:rPr>
          <w:rtl/>
        </w:rPr>
        <w:t>וכיון דבשתקע מיירי רב ושמואל, ור' אבא ורב הונא בשלא תקע דהא מוקמי' להו כרבן שמעון בן גמליאל דאמר אם היה רפוי מותר מאי קושיא דמקשי להו רב יהודה מדרב ושמואל,</w:t>
      </w:r>
      <w:r w:rsidRPr="00111645">
        <w:rPr>
          <w:rFonts w:hint="cs"/>
          <w:rtl/>
        </w:rPr>
        <w:t xml:space="preserve"> </w:t>
      </w:r>
      <w:r w:rsidRPr="00111645">
        <w:rPr>
          <w:rtl/>
        </w:rPr>
        <w:t>איכא למימר דהכי קאמר להו כיון דרב ושמואל תרוייהו אמרי בשתקע חייב חטאת על כרחין בשלא תקע אסור לכתחלה, ואינהו סבור אף על גב דתקע חייב חטאת לא תקע מותר לכתחלה ולא גזרי', והיינו דמקשי' עלייהו מתני' המחזיר קני מנורה וכו' וכן מפורש בתוספות</w:t>
      </w:r>
      <w:r w:rsidRPr="00111645">
        <w:rPr>
          <w:rFonts w:hint="cs"/>
          <w:rtl/>
        </w:rPr>
        <w:t>.</w:t>
      </w:r>
    </w:p>
    <w:p w14:paraId="73A5043E" w14:textId="77777777" w:rsidR="000F6808" w:rsidRPr="0088513D" w:rsidRDefault="000F6808" w:rsidP="000F6808">
      <w:pPr>
        <w:pStyle w:val="afffffe"/>
        <w:rPr>
          <w:vanish/>
          <w:rtl/>
        </w:rPr>
      </w:pPr>
      <w:r w:rsidRPr="0088513D">
        <w:rPr>
          <w:vanish/>
          <w:rtl/>
        </w:rPr>
        <w:t>חדושי הרשב"א שבת מ"ז ע"א</w:t>
      </w:r>
      <w:r w:rsidRPr="0088513D">
        <w:rPr>
          <w:rFonts w:hint="cs"/>
          <w:vanish/>
          <w:rtl/>
        </w:rPr>
        <w:t xml:space="preserve"> ד"ה אינהו</w:t>
      </w:r>
    </w:p>
    <w:p w14:paraId="1CA0B596" w14:textId="77777777" w:rsidR="000F6808" w:rsidRPr="00111645" w:rsidRDefault="000F6808" w:rsidP="000F6808">
      <w:pPr>
        <w:pStyle w:val="afffff5"/>
        <w:rPr>
          <w:rtl/>
        </w:rPr>
      </w:pPr>
      <w:r w:rsidRPr="00111645">
        <w:rPr>
          <w:rtl/>
        </w:rPr>
        <w:t>וכיון שכן מאי קא מקשה להו רב יהודה מדרב ושמואל אינהו לחוד ורב ושמואל לחוד, ותירצו בתוספות דהכי קא מקשה להו רב יהודה מדרב ושמואל אמרי דבתוקע חייב חטאת על כרחין בשאינו תוקע ואפילו ברפוי לכתחלה מיהא אסור וכדאמרינן לקמן גבי מטה גללניתא מאי דעתיך בנין מן הצד הוא נהי דאיסורא דאורייתא ליכא איסורא דרבנן מיהא איכא, ואינהו סבור אף על גב דבתקע חייב חטאת לא תקע מותר לכתחלה ולא גזרינן וכרבן שמעון בן גמליאל דאמר אם היה רפוי מותר.</w:t>
      </w:r>
    </w:p>
    <w:p w14:paraId="5C630718" w14:textId="77777777" w:rsidR="000F6808" w:rsidRPr="00B47FC0" w:rsidRDefault="000F6808" w:rsidP="000F6808">
      <w:pPr>
        <w:pStyle w:val="a7"/>
      </w:pPr>
      <w:bookmarkStart w:id="6178" w:name="_Toc145222965"/>
      <w:bookmarkStart w:id="6179" w:name="_Toc145487156"/>
      <w:r>
        <w:rPr>
          <w:rFonts w:hint="cs"/>
          <w:rtl/>
        </w:rPr>
        <w:t>בי' הרמב"ן דבמלבנות המיטה בלא תקיעה ל"ה גמר ולכן רפוי מותר וה"ה במנורה של חוליות</w:t>
      </w:r>
      <w:bookmarkEnd w:id="6178"/>
      <w:bookmarkEnd w:id="6179"/>
    </w:p>
    <w:p w14:paraId="5E14081F" w14:textId="77777777" w:rsidR="000F6808" w:rsidRPr="00872045" w:rsidRDefault="000F6808" w:rsidP="000F6808">
      <w:pPr>
        <w:pStyle w:val="a3"/>
      </w:pPr>
      <w:r>
        <w:rPr>
          <w:rFonts w:hint="cs"/>
          <w:rtl/>
        </w:rPr>
        <w:t xml:space="preserve">וכתב </w:t>
      </w:r>
      <w:r w:rsidRPr="0001458E">
        <w:rPr>
          <w:rFonts w:hint="cs"/>
          <w:b/>
          <w:bCs/>
          <w:rtl/>
        </w:rPr>
        <w:t>הרמב"ן</w:t>
      </w:r>
      <w:r>
        <w:rPr>
          <w:rFonts w:hint="cs"/>
          <w:rtl/>
        </w:rPr>
        <w:t xml:space="preserve"> דלא דמי לברייתא דמלבנות המטה דהחיוב חטאת הוא רק בתוקע דע"ז מקשה הגמ' דאף שבלא תקיעה ס"ל לרבי אבא ורב הונא דאינו גמר מלאכה, מ"מ אמאי מותר</w:t>
      </w:r>
      <w:r w:rsidRPr="00CE41B8">
        <w:rPr>
          <w:rFonts w:hint="cs"/>
          <w:rtl/>
        </w:rPr>
        <w:t xml:space="preserve"> </w:t>
      </w:r>
      <w:r>
        <w:rPr>
          <w:rFonts w:hint="cs"/>
          <w:rtl/>
        </w:rPr>
        <w:t>דמ"ש מקנה של סיידין דפטור אבל אסור, ותירצה הגמ' דס"ל כרשב"ג דמתיר ברפוי, כיון דהמחזיר ולא תקע אינו גמר מלאכה אף באינו רפוי, ולכן רפוי מותר, והוסיף</w:t>
      </w:r>
      <w:r>
        <w:rPr>
          <w:rtl/>
        </w:rPr>
        <w:t xml:space="preserve"> </w:t>
      </w:r>
      <w:r w:rsidRPr="0001458E">
        <w:rPr>
          <w:rFonts w:hint="cs"/>
          <w:b/>
          <w:bCs/>
          <w:rtl/>
        </w:rPr>
        <w:t>הרמב"ן</w:t>
      </w:r>
      <w:r>
        <w:rPr>
          <w:rtl/>
        </w:rPr>
        <w:t xml:space="preserve"> </w:t>
      </w:r>
      <w:r>
        <w:rPr>
          <w:rFonts w:hint="cs"/>
          <w:rtl/>
        </w:rPr>
        <w:t>דהא דאיתא בגמ' בביצה</w:t>
      </w:r>
      <w:r>
        <w:rPr>
          <w:rtl/>
        </w:rPr>
        <w:t xml:space="preserve"> </w:t>
      </w:r>
      <w:r w:rsidRPr="0001458E">
        <w:rPr>
          <w:rFonts w:ascii="Calibri" w:eastAsia="Times New Roman" w:hAnsi="Calibri" w:cs="Guttman Rashi"/>
          <w:sz w:val="10"/>
          <w:szCs w:val="12"/>
          <w:rtl/>
        </w:rPr>
        <w:t>(</w:t>
      </w:r>
      <w:r w:rsidRPr="0001458E">
        <w:rPr>
          <w:rFonts w:ascii="Calibri" w:eastAsia="Times New Roman" w:hAnsi="Calibri" w:cs="Guttman Rashi" w:hint="cs"/>
          <w:sz w:val="10"/>
          <w:szCs w:val="12"/>
          <w:rtl/>
        </w:rPr>
        <w:t>כב.</w:t>
      </w:r>
      <w:r w:rsidRPr="0001458E">
        <w:rPr>
          <w:rFonts w:ascii="Calibri" w:eastAsia="Times New Roman" w:hAnsi="Calibri" w:cs="Guttman Rashi"/>
          <w:sz w:val="10"/>
          <w:szCs w:val="12"/>
          <w:rtl/>
        </w:rPr>
        <w:t>)</w:t>
      </w:r>
      <w:r>
        <w:rPr>
          <w:rtl/>
        </w:rPr>
        <w:t xml:space="preserve"> </w:t>
      </w:r>
      <w:r>
        <w:rPr>
          <w:rFonts w:hint="cs"/>
          <w:rtl/>
        </w:rPr>
        <w:t>דלב"ה מותר להחזיר מנורה של חוליות, היינו ברפוי ואינו תוקע וכדעת רשב"ג, והוסיף</w:t>
      </w:r>
      <w:r>
        <w:rPr>
          <w:rtl/>
        </w:rPr>
        <w:t xml:space="preserve"> </w:t>
      </w:r>
      <w:r w:rsidRPr="0001458E">
        <w:rPr>
          <w:rFonts w:hint="cs"/>
          <w:b/>
          <w:bCs/>
          <w:rtl/>
        </w:rPr>
        <w:t>הרמב"ן</w:t>
      </w:r>
      <w:r>
        <w:rPr>
          <w:rtl/>
        </w:rPr>
        <w:t xml:space="preserve"> </w:t>
      </w:r>
      <w:r>
        <w:rPr>
          <w:rFonts w:hint="cs"/>
          <w:rtl/>
        </w:rPr>
        <w:t>דאפשר להעמיד את הגמ' בביצה אף כרבנן דמשום צורך יו"ט התירו.</w:t>
      </w:r>
    </w:p>
    <w:p w14:paraId="41887663" w14:textId="77777777" w:rsidR="000F6808" w:rsidRPr="0088513D" w:rsidRDefault="000F6808" w:rsidP="000F6808">
      <w:pPr>
        <w:pStyle w:val="afffffe"/>
        <w:rPr>
          <w:vanish/>
          <w:rtl/>
        </w:rPr>
      </w:pPr>
      <w:r w:rsidRPr="0088513D">
        <w:rPr>
          <w:vanish/>
          <w:rtl/>
        </w:rPr>
        <w:t>חדושי הרמב"ן שבת מ"ז ע"א</w:t>
      </w:r>
      <w:r w:rsidRPr="0088513D">
        <w:rPr>
          <w:rFonts w:hint="cs"/>
          <w:vanish/>
          <w:rtl/>
        </w:rPr>
        <w:t xml:space="preserve"> ד"ה הא</w:t>
      </w:r>
    </w:p>
    <w:p w14:paraId="2B3287BC" w14:textId="77777777" w:rsidR="000F6808" w:rsidRPr="00111645" w:rsidRDefault="000F6808" w:rsidP="000F6808">
      <w:pPr>
        <w:pStyle w:val="a2"/>
        <w:rPr>
          <w:rtl/>
        </w:rPr>
      </w:pPr>
      <w:r w:rsidRPr="00111645">
        <w:rPr>
          <w:rtl/>
        </w:rPr>
        <w:t>ויש לפרש דמטה של טרסיים לאו היינו מלבנות המטה דברייתא, ובמטה של טרסיים אין צריך לתקוע דבלא תקיעה נגמרה מלאכתה</w:t>
      </w:r>
      <w:r w:rsidRPr="00111645">
        <w:rPr>
          <w:rFonts w:hint="cs"/>
          <w:rtl/>
        </w:rPr>
        <w:t xml:space="preserve">. </w:t>
      </w:r>
      <w:r w:rsidRPr="00111645">
        <w:rPr>
          <w:rtl/>
        </w:rPr>
        <w:t>ואקשי' עלייהו מהא דתניא קנה של סיידין לא יחזיר ואם החזיר פטור אבל אסור, כלומר נהי דסבירא להו דחזרתה לאו היינו גמר מלאכתה מ"מ היה להם לאסור לכתחלה, והם אמרו כרבן שמעון בן גמליאל וברפוי, שכיון שאין חזרתה בלא תקיעה גמר מלאכתה אפי' בשאינו רפוי, ברפוי מותר לכתחלה כדאמר רבן שמעון בן גמליאל אם היה רפוי מותר, והא דאמרי' במס' ביצה (שם) גבי מנורה של חוליות שב"ה מתירין להחזירה, בשלא תקע וברפוי כרבן שמעון בן גמליאל, ואפשר אפילו כרבנן ומשום צורך יום טוב וכבודו</w:t>
      </w:r>
      <w:r w:rsidRPr="00111645">
        <w:rPr>
          <w:rFonts w:hint="cs"/>
          <w:rtl/>
        </w:rPr>
        <w:t>.</w:t>
      </w:r>
      <w:r w:rsidRPr="00111645">
        <w:rPr>
          <w:rtl/>
        </w:rPr>
        <w:t xml:space="preserve"> </w:t>
      </w:r>
      <w:r w:rsidRPr="004D1532">
        <w:rPr>
          <w:rStyle w:val="afff7"/>
          <w:rtl/>
        </w:rPr>
        <w:t>ודאמרי' לעיל בשל חוליות גזירה שמא יתקע ויבא לידי חיוב חטאת קאמרי', ועוד תתברר לפנינו בס"ד.</w:t>
      </w:r>
    </w:p>
    <w:p w14:paraId="4C8E13FC" w14:textId="77777777" w:rsidR="000F6808" w:rsidRPr="00AF61D5" w:rsidRDefault="000F6808" w:rsidP="000F6808">
      <w:pPr>
        <w:keepNext/>
        <w:keepLines/>
        <w:spacing w:after="0" w:line="240" w:lineRule="auto"/>
        <w:ind w:left="-284"/>
        <w:jc w:val="both"/>
        <w:outlineLvl w:val="1"/>
        <w:rPr>
          <w:rFonts w:ascii="FrankRuehl" w:eastAsia="Guttman Hodes" w:hAnsi="FrankRuehl" w:cs="Guttman Rashi"/>
          <w:bCs/>
          <w:noProof/>
          <w:sz w:val="16"/>
          <w:szCs w:val="16"/>
        </w:rPr>
      </w:pPr>
      <w:r w:rsidRPr="00AF61D5">
        <w:rPr>
          <w:rFonts w:ascii="FrankRuehl" w:eastAsia="Guttman Hodes" w:hAnsi="FrankRuehl" w:cs="Guttman Rashi" w:hint="cs"/>
          <w:bCs/>
          <w:noProof/>
          <w:sz w:val="16"/>
          <w:szCs w:val="16"/>
          <w:rtl/>
        </w:rPr>
        <w:t>מלחמת ה' שבת ל"ז ע"א מדה"ר ד"ה אמר הכותב אעפ"י</w:t>
      </w:r>
    </w:p>
    <w:p w14:paraId="01A1787A" w14:textId="77777777" w:rsidR="000F6808" w:rsidRPr="00AF61D5" w:rsidRDefault="000F6808" w:rsidP="000F6808">
      <w:pPr>
        <w:pStyle w:val="a7"/>
      </w:pPr>
      <w:bookmarkStart w:id="6180" w:name="_Toc144909644"/>
      <w:bookmarkStart w:id="6181" w:name="_Toc145487157"/>
      <w:r>
        <w:rPr>
          <w:rFonts w:hint="cs"/>
          <w:rtl/>
        </w:rPr>
        <w:t xml:space="preserve">בי' הרמב"ן ברי"ף דלרב ושמואל במטה של טרסיים יש בנין בכלים </w:t>
      </w:r>
      <w:bookmarkEnd w:id="6180"/>
      <w:r>
        <w:rPr>
          <w:rFonts w:hint="cs"/>
          <w:rtl/>
        </w:rPr>
        <w:t>ולכן אוסרים אף ברפוי</w:t>
      </w:r>
      <w:bookmarkEnd w:id="6181"/>
    </w:p>
    <w:p w14:paraId="2A979033" w14:textId="523A4C55" w:rsidR="000F6808" w:rsidRPr="005136B7" w:rsidRDefault="000F6808" w:rsidP="000F6808">
      <w:pPr>
        <w:pStyle w:val="a3"/>
        <w:rPr>
          <w:rStyle w:val="af"/>
          <w:rtl/>
        </w:rPr>
      </w:pPr>
      <w:r w:rsidRPr="00AF61D5">
        <w:rPr>
          <w:rFonts w:hint="cs"/>
          <w:rtl/>
        </w:rPr>
        <w:t xml:space="preserve">כתב </w:t>
      </w:r>
      <w:r w:rsidRPr="00E24FB9">
        <w:rPr>
          <w:rStyle w:val="aff4"/>
          <w:rFonts w:hint="cs"/>
          <w:vanish/>
          <w:rtl/>
        </w:rPr>
        <w:t>-</w:t>
      </w:r>
      <w:r w:rsidRPr="00C07E8C">
        <w:rPr>
          <w:rStyle w:val="aff4"/>
          <w:rFonts w:hint="cs"/>
          <w:rtl/>
        </w:rPr>
        <w:t>ה</w:t>
      </w:r>
      <w:r w:rsidRPr="00D12047">
        <w:rPr>
          <w:rStyle w:val="aff4"/>
          <w:rFonts w:hint="cs"/>
          <w:vanish/>
          <w:rtl/>
        </w:rPr>
        <w:t xml:space="preserve">&lt;, </w:t>
      </w:r>
      <w:r w:rsidRPr="00D12047">
        <w:rPr>
          <w:rStyle w:val="aff4"/>
          <w:vanish/>
          <w:rtl/>
        </w:rPr>
        <w:fldChar w:fldCharType="begin"/>
      </w:r>
      <w:r w:rsidRPr="00D12047">
        <w:rPr>
          <w:rStyle w:val="aff4"/>
          <w:vanish/>
          <w:rtl/>
        </w:rPr>
        <w:instrText xml:space="preserve"> </w:instrText>
      </w:r>
      <w:r w:rsidRPr="00D12047">
        <w:rPr>
          <w:rStyle w:val="aff4"/>
          <w:rFonts w:hint="cs"/>
          <w:vanish/>
        </w:rPr>
        <w:instrText>REF</w:instrText>
      </w:r>
      <w:r w:rsidRPr="00D12047">
        <w:rPr>
          <w:rStyle w:val="aff4"/>
          <w:rFonts w:hint="cs"/>
          <w:vanish/>
          <w:rtl/>
        </w:rPr>
        <w:instrText xml:space="preserve"> _</w:instrText>
      </w:r>
      <w:r w:rsidRPr="00D12047">
        <w:rPr>
          <w:rStyle w:val="aff4"/>
          <w:rFonts w:hint="cs"/>
          <w:vanish/>
        </w:rPr>
        <w:instrText>Ref144324318 \r \h</w:instrText>
      </w:r>
      <w:r w:rsidRPr="00D12047">
        <w:rPr>
          <w:rStyle w:val="aff4"/>
          <w:vanish/>
          <w:rtl/>
        </w:rPr>
        <w:instrText xml:space="preserve"> </w:instrText>
      </w:r>
      <w:r w:rsidRPr="00D12047">
        <w:rPr>
          <w:rStyle w:val="aff4"/>
          <w:vanish/>
          <w:rtl/>
        </w:rPr>
      </w:r>
      <w:r w:rsidRPr="00D12047">
        <w:rPr>
          <w:rStyle w:val="aff4"/>
          <w:vanish/>
          <w:rtl/>
        </w:rPr>
        <w:fldChar w:fldCharType="separate"/>
      </w:r>
      <w:r w:rsidR="00D82181">
        <w:rPr>
          <w:rStyle w:val="aff4"/>
          <w:vanish/>
          <w:cs/>
        </w:rPr>
        <w:t>‎</w:t>
      </w:r>
      <w:r w:rsidR="00D82181">
        <w:rPr>
          <w:rStyle w:val="aff4"/>
          <w:vanish/>
          <w:rtl/>
        </w:rPr>
        <w:t>יג)</w:t>
      </w:r>
      <w:r w:rsidRPr="00D12047">
        <w:rPr>
          <w:rStyle w:val="aff4"/>
          <w:vanish/>
          <w:rtl/>
        </w:rPr>
        <w:fldChar w:fldCharType="end"/>
      </w:r>
      <w:r w:rsidRPr="00D12047">
        <w:rPr>
          <w:rStyle w:val="aff4"/>
          <w:rFonts w:hint="cs"/>
          <w:vanish/>
          <w:rtl/>
        </w:rPr>
        <w:t xml:space="preserve"> &gt;</w:t>
      </w:r>
      <w:r w:rsidRPr="00C07E8C">
        <w:rPr>
          <w:rStyle w:val="aff4"/>
          <w:rFonts w:hint="cs"/>
          <w:rtl/>
        </w:rPr>
        <w:t>רמב"ן במלחמות</w:t>
      </w:r>
      <w:r w:rsidRPr="00E24FB9">
        <w:rPr>
          <w:rStyle w:val="aff4"/>
          <w:rFonts w:hint="cs"/>
          <w:vanish/>
          <w:rtl/>
        </w:rPr>
        <w:t>-</w:t>
      </w:r>
      <w:r w:rsidRPr="00AF61D5">
        <w:rPr>
          <w:rFonts w:hint="cs"/>
          <w:rtl/>
        </w:rPr>
        <w:t xml:space="preserve"> </w:t>
      </w:r>
      <w:r w:rsidRPr="00C962CD">
        <w:rPr>
          <w:rStyle w:val="af2"/>
          <w:rFonts w:eastAsia="Guttman Hodes" w:hint="cs"/>
          <w:rtl/>
        </w:rPr>
        <w:t>(ל"ז. מדה"ר ד"ה אמר הכותב אעפ"י, מהדו' עוז והדר עמ' ק"ד)</w:t>
      </w:r>
      <w:r w:rsidRPr="00D12047">
        <w:rPr>
          <w:rFonts w:hint="cs"/>
          <w:vanish/>
          <w:rtl/>
        </w:rPr>
        <w:t>=</w:t>
      </w:r>
      <w:r w:rsidRPr="00AF61D5">
        <w:rPr>
          <w:rFonts w:hint="cs"/>
          <w:rtl/>
        </w:rPr>
        <w:t xml:space="preserve"> בדעת </w:t>
      </w:r>
      <w:r w:rsidRPr="00E24FB9">
        <w:rPr>
          <w:rStyle w:val="aff4"/>
          <w:rFonts w:hint="cs"/>
          <w:vanish/>
          <w:rtl/>
        </w:rPr>
        <w:t>-</w:t>
      </w:r>
      <w:r w:rsidRPr="00C07E8C">
        <w:rPr>
          <w:rStyle w:val="aff4"/>
          <w:rFonts w:hint="cs"/>
          <w:rtl/>
        </w:rPr>
        <w:t>ה</w:t>
      </w:r>
      <w:r w:rsidRPr="00D12047">
        <w:rPr>
          <w:rStyle w:val="aff4"/>
          <w:rFonts w:hint="cs"/>
          <w:vanish/>
          <w:rtl/>
        </w:rPr>
        <w:t>&lt; &gt;</w:t>
      </w:r>
      <w:r w:rsidRPr="00C07E8C">
        <w:rPr>
          <w:rStyle w:val="aff4"/>
          <w:rFonts w:hint="cs"/>
          <w:rtl/>
        </w:rPr>
        <w:t>רי"ף</w:t>
      </w:r>
      <w:r w:rsidRPr="00E24FB9">
        <w:rPr>
          <w:rStyle w:val="aff4"/>
          <w:rFonts w:hint="cs"/>
          <w:vanish/>
          <w:rtl/>
        </w:rPr>
        <w:t>-</w:t>
      </w:r>
      <w:r w:rsidRPr="00AF61D5">
        <w:rPr>
          <w:rFonts w:hint="cs"/>
          <w:rtl/>
        </w:rPr>
        <w:t xml:space="preserve"> </w:t>
      </w:r>
      <w:r w:rsidRPr="00C962CD">
        <w:rPr>
          <w:rStyle w:val="af2"/>
          <w:rFonts w:eastAsia="Guttman Hodes" w:hint="cs"/>
          <w:rtl/>
        </w:rPr>
        <w:t>(ל"ז. מדה"ר, מהדו' עוז והדר עמ' ק"ד)</w:t>
      </w:r>
      <w:r w:rsidRPr="00D12047">
        <w:rPr>
          <w:rFonts w:hint="cs"/>
          <w:vanish/>
          <w:rtl/>
        </w:rPr>
        <w:t>=</w:t>
      </w:r>
      <w:r w:rsidRPr="00AF61D5">
        <w:rPr>
          <w:rFonts w:hint="cs"/>
          <w:rtl/>
        </w:rPr>
        <w:t xml:space="preserve"> </w:t>
      </w:r>
      <w:r>
        <w:rPr>
          <w:rFonts w:hint="cs"/>
          <w:rtl/>
        </w:rPr>
        <w:t>ד</w:t>
      </w:r>
      <w:r w:rsidRPr="00AF61D5">
        <w:rPr>
          <w:rFonts w:hint="cs"/>
          <w:rtl/>
        </w:rPr>
        <w:t xml:space="preserve">מהא דאמרו רב ושמואל בגמ' לעיל </w:t>
      </w:r>
      <w:r w:rsidRPr="00C962CD">
        <w:rPr>
          <w:rStyle w:val="af2"/>
          <w:rFonts w:eastAsia="Guttman Hodes" w:hint="cs"/>
          <w:rtl/>
        </w:rPr>
        <w:t>(מז.)</w:t>
      </w:r>
      <w:r w:rsidRPr="00AF61D5">
        <w:rPr>
          <w:rFonts w:hint="cs"/>
          <w:rtl/>
        </w:rPr>
        <w:t xml:space="preserve"> דהמחזיר מטה של טרסיים בשבת חייב חטאת בין בתוקע ובין שלא בתוקע, מוכח דהחיוב הוא כיון דיש בנין בכלים, ונחלקו לענין שופתא בקופינא </w:t>
      </w:r>
      <w:r>
        <w:rPr>
          <w:rFonts w:hint="cs"/>
          <w:rtl/>
        </w:rPr>
        <w:t>ב</w:t>
      </w:r>
      <w:r w:rsidRPr="00AF61D5">
        <w:rPr>
          <w:rFonts w:hint="cs"/>
          <w:rtl/>
        </w:rPr>
        <w:t>דרך בנין, כמו דנחלקו לענין מסתת</w:t>
      </w:r>
      <w:r>
        <w:rPr>
          <w:rFonts w:hint="cs"/>
          <w:rtl/>
        </w:rPr>
        <w:t xml:space="preserve">, </w:t>
      </w:r>
      <w:r w:rsidRPr="00AF61D5">
        <w:rPr>
          <w:rFonts w:hint="cs"/>
          <w:rtl/>
        </w:rPr>
        <w:t>וכתב</w:t>
      </w:r>
      <w:r>
        <w:rPr>
          <w:rFonts w:hint="cs"/>
          <w:rtl/>
        </w:rPr>
        <w:t xml:space="preserve"> </w:t>
      </w:r>
      <w:r w:rsidRPr="00E24FB9">
        <w:rPr>
          <w:rStyle w:val="aff4"/>
          <w:rFonts w:hint="cs"/>
          <w:vanish/>
          <w:rtl/>
        </w:rPr>
        <w:t>-</w:t>
      </w:r>
      <w:r w:rsidRPr="00C07E8C">
        <w:rPr>
          <w:rStyle w:val="aff4"/>
          <w:rFonts w:hint="cs"/>
          <w:rtl/>
        </w:rPr>
        <w:t>הרמב"ן במלחמות</w:t>
      </w:r>
      <w:r w:rsidRPr="00E24FB9">
        <w:rPr>
          <w:rStyle w:val="aff4"/>
          <w:rFonts w:hint="cs"/>
          <w:vanish/>
          <w:rtl/>
        </w:rPr>
        <w:t>-</w:t>
      </w:r>
      <w:r w:rsidRPr="00AF61D5">
        <w:rPr>
          <w:rFonts w:hint="cs"/>
          <w:rtl/>
        </w:rPr>
        <w:t xml:space="preserve"> דכן איתא בירושלמי </w:t>
      </w:r>
      <w:r w:rsidRPr="00C962CD">
        <w:rPr>
          <w:rStyle w:val="af2"/>
          <w:rFonts w:eastAsia="Guttman Hodes" w:hint="cs"/>
          <w:rtl/>
        </w:rPr>
        <w:t>(פי"ב ה"א, סח.)</w:t>
      </w:r>
      <w:r w:rsidRPr="00AF61D5">
        <w:rPr>
          <w:rFonts w:hint="cs"/>
          <w:rtl/>
        </w:rPr>
        <w:t xml:space="preserve"> דאמר רב ירמיה בשם רב דהמרכיב מיטה של גילה חייב משום בונה, וביאר </w:t>
      </w:r>
      <w:r w:rsidRPr="00E24FB9">
        <w:rPr>
          <w:rStyle w:val="aff4"/>
          <w:rFonts w:hint="cs"/>
          <w:vanish/>
          <w:rtl/>
        </w:rPr>
        <w:t>-</w:t>
      </w:r>
      <w:r w:rsidRPr="00C07E8C">
        <w:rPr>
          <w:rStyle w:val="aff4"/>
          <w:rFonts w:hint="cs"/>
          <w:rtl/>
        </w:rPr>
        <w:t>הרמב"ן במלחמות</w:t>
      </w:r>
      <w:r w:rsidRPr="00E24FB9">
        <w:rPr>
          <w:rStyle w:val="aff4"/>
          <w:rFonts w:hint="cs"/>
          <w:vanish/>
          <w:rtl/>
        </w:rPr>
        <w:t>-</w:t>
      </w:r>
      <w:r w:rsidRPr="00AF61D5">
        <w:rPr>
          <w:rFonts w:hint="cs"/>
          <w:rtl/>
        </w:rPr>
        <w:t xml:space="preserve"> דהיינו מטה של טרסיים, ועוד אמרינן בירושלמי דהחזרת שולחן של פרקים תלויה בפלוגתת ת"ק ורשב"ג, וא"כ מבואר דרב </w:t>
      </w:r>
      <w:r w:rsidRPr="00AF61D5">
        <w:rPr>
          <w:rFonts w:hint="cs"/>
          <w:rtl/>
        </w:rPr>
        <w:t>ושמואל דחייבו במחזיר מטה של טרסיים הוא כיון דס"ל דיש בנין בכלים, ויש סתירה בכלים, ו</w:t>
      </w:r>
      <w:r>
        <w:rPr>
          <w:rFonts w:hint="cs"/>
          <w:rtl/>
        </w:rPr>
        <w:t xml:space="preserve">כיון דבבנין יש איסור דאו', </w:t>
      </w:r>
      <w:r w:rsidRPr="00AF61D5">
        <w:rPr>
          <w:rFonts w:hint="cs"/>
          <w:rtl/>
        </w:rPr>
        <w:t>לכן אף ברפוי אסור</w:t>
      </w:r>
      <w:r w:rsidRPr="005136B7">
        <w:rPr>
          <w:rStyle w:val="af"/>
          <w:rFonts w:hint="cs"/>
          <w:rtl/>
        </w:rPr>
        <w:t xml:space="preserve">. [והוסיף </w:t>
      </w:r>
      <w:r w:rsidRPr="005136B7">
        <w:rPr>
          <w:rStyle w:val="aff9"/>
          <w:rFonts w:hint="cs"/>
          <w:rtl/>
        </w:rPr>
        <w:t>הרמב"ן</w:t>
      </w:r>
      <w:r w:rsidRPr="005136B7">
        <w:rPr>
          <w:rStyle w:val="af"/>
          <w:rFonts w:hint="cs"/>
          <w:rtl/>
        </w:rPr>
        <w:t xml:space="preserve"> דהוא כמו דאמרינן בגמ' לקמן</w:t>
      </w:r>
      <w:r w:rsidRPr="005136B7">
        <w:rPr>
          <w:rStyle w:val="af"/>
          <w:rtl/>
        </w:rPr>
        <w:t xml:space="preserve"> </w:t>
      </w:r>
      <w:r w:rsidRPr="005136B7">
        <w:rPr>
          <w:rStyle w:val="aff0"/>
          <w:rtl/>
        </w:rPr>
        <w:t>(</w:t>
      </w:r>
      <w:r w:rsidRPr="005136B7">
        <w:rPr>
          <w:rStyle w:val="aff0"/>
          <w:rFonts w:hint="cs"/>
          <w:rtl/>
        </w:rPr>
        <w:t>צד:</w:t>
      </w:r>
      <w:r w:rsidRPr="005136B7">
        <w:rPr>
          <w:rStyle w:val="aff0"/>
          <w:rtl/>
        </w:rPr>
        <w:t>)</w:t>
      </w:r>
      <w:r w:rsidRPr="005136B7">
        <w:rPr>
          <w:rStyle w:val="af"/>
          <w:rtl/>
        </w:rPr>
        <w:t xml:space="preserve"> </w:t>
      </w:r>
      <w:r w:rsidRPr="005136B7">
        <w:rPr>
          <w:rStyle w:val="af"/>
          <w:rFonts w:hint="cs"/>
          <w:rtl/>
        </w:rPr>
        <w:t xml:space="preserve">לענין צפורן שפירשה רובה, דאין דבר שבכלי חייב חטאת וביד מותר לכתחילה]. </w:t>
      </w:r>
    </w:p>
    <w:p w14:paraId="1383D0FE" w14:textId="77777777" w:rsidR="000F6808" w:rsidRPr="00111645" w:rsidRDefault="000F6808" w:rsidP="000F6808">
      <w:pPr>
        <w:pStyle w:val="a2"/>
        <w:rPr>
          <w:rtl/>
        </w:rPr>
      </w:pPr>
      <w:r w:rsidRPr="00111645">
        <w:rPr>
          <w:rtl/>
        </w:rPr>
        <w:t>והנכון בזה דרב ושמואל תרוייהו ס"ל יש בנין בכלים ולא נחלקו בשופתא דקופינא אלא ביש בנין בכך כמו שנחלקו במסתת את האבן עצמה והא ראיה בזה שהן אמרו המחזיר מטה של טרסיים בשבת חייב חטאת בין בתוקע בין בשלא תקע והיינו משום בנין בכלים</w:t>
      </w:r>
      <w:r>
        <w:rPr>
          <w:rFonts w:hint="cs"/>
          <w:rtl/>
        </w:rPr>
        <w:t>,</w:t>
      </w:r>
      <w:r w:rsidRPr="00D41A04">
        <w:rPr>
          <w:rtl/>
        </w:rPr>
        <w:t xml:space="preserve"> </w:t>
      </w:r>
      <w:r w:rsidRPr="00111645">
        <w:rPr>
          <w:rtl/>
        </w:rPr>
        <w:t>וכך מפורש בירושל' רבי ירמיה בשם רב המרכיב מטה של גולה חייב משום בונה פי' מטה של גולה מטה גללניתא והיינו מטה של טרסיים עוד אמרו שם רב המנונא הורי לריש גלותא להתיר שלחן של פרקים בשבת אמרין הונא בר חייא הוה עמיה שמע ר"י ואמר מאן דהורי ליה לא יליף ולא שמש אמר רבי שמאי מאן דהורי ליה כרשב"ג הורי דתניא לוחין שבספינה ושבעריסי נקליטי המטה ורגל השולחן ויד הסכין שפירשו ה"ז לא יחזיר ואם החזיר ה"ז פטור ואם תקע ה"ז חייב רשב"ג אומר אם היו רפויין נוטל ומחזיר ושם פירשו תקוען זה הוא גמר מלאכתן ועוד אמרו לדברי המחייב קנה ומנורה למה הוא חייב ר' אבוה בשם ר' יוחנן ורב הונא תרוייהו אמרו משום בונה ומכאן נלמוד דרך הסוגיא שבגמרא שלנו דלרב ושמואל דמחייבי במחזיר מטה של טרסיים יש בנין בכלים ויש סתירה בכלים הלכך אפי' ברפוי אסור כי ההיא דאמרי' התם מי איכא מידי דבכלים חייב חטאת וביד מותר לכתחלה.</w:t>
      </w:r>
    </w:p>
    <w:p w14:paraId="42F564CC" w14:textId="77777777" w:rsidR="000F6808" w:rsidRPr="00FC269C" w:rsidRDefault="000F6808" w:rsidP="000F6808">
      <w:pPr>
        <w:pStyle w:val="afffff7"/>
        <w:rPr>
          <w:rtl/>
        </w:rPr>
      </w:pPr>
      <w:bookmarkStart w:id="6182" w:name="_Toc145198432"/>
      <w:bookmarkStart w:id="6183" w:name="_Toc145500866"/>
      <w:bookmarkStart w:id="6184" w:name="_Toc163506406"/>
      <w:r w:rsidRPr="00FC269C">
        <w:rPr>
          <w:rtl/>
        </w:rPr>
        <w:t>חדושי הריטב"א שבת מ"ז ע"א</w:t>
      </w:r>
      <w:r w:rsidRPr="00FC269C">
        <w:rPr>
          <w:rFonts w:hint="cs"/>
          <w:rtl/>
        </w:rPr>
        <w:t xml:space="preserve"> ד"ה מהו</w:t>
      </w:r>
      <w:bookmarkEnd w:id="6182"/>
      <w:bookmarkEnd w:id="6183"/>
      <w:bookmarkEnd w:id="6184"/>
    </w:p>
    <w:p w14:paraId="5B28B100" w14:textId="77777777" w:rsidR="000F6808" w:rsidRDefault="000F6808" w:rsidP="000F6808">
      <w:pPr>
        <w:pStyle w:val="a7"/>
        <w:rPr>
          <w:rtl/>
        </w:rPr>
      </w:pPr>
      <w:bookmarkStart w:id="6185" w:name="_Toc145222967"/>
      <w:bookmarkStart w:id="6186" w:name="_Toc145408559"/>
      <w:bookmarkStart w:id="6187" w:name="_Toc145487158"/>
      <w:r>
        <w:rPr>
          <w:rFonts w:hint="cs"/>
          <w:rtl/>
        </w:rPr>
        <w:t>בי' הריטב"א בשם תוס' דלרב ושמואל יש בנין בכלים והמתירים ברפוי ס"ל דאין בנין בכלים</w:t>
      </w:r>
      <w:bookmarkEnd w:id="6185"/>
      <w:bookmarkEnd w:id="6186"/>
      <w:bookmarkEnd w:id="6187"/>
    </w:p>
    <w:p w14:paraId="431B28B6" w14:textId="10838D75" w:rsidR="000F6808" w:rsidRPr="001E2C2F" w:rsidRDefault="000F6808" w:rsidP="000F6808">
      <w:pPr>
        <w:pStyle w:val="a3"/>
        <w:rPr>
          <w:rtl/>
        </w:rPr>
      </w:pPr>
      <w:bookmarkStart w:id="6188" w:name="_Ref144375059"/>
      <w:r>
        <w:rPr>
          <w:rFonts w:hint="cs"/>
          <w:rtl/>
        </w:rPr>
        <w:t>בהא דהתירו רבי אבא ורב הונא בגמ' לעיל</w:t>
      </w:r>
      <w:r>
        <w:rPr>
          <w:rtl/>
        </w:rPr>
        <w:t xml:space="preserve"> </w:t>
      </w:r>
      <w:r w:rsidRPr="008818AA">
        <w:rPr>
          <w:rFonts w:ascii="Calibri" w:eastAsia="Times New Roman" w:hAnsi="Calibri" w:cs="Guttman Rashi"/>
          <w:noProof w:val="0"/>
          <w:sz w:val="10"/>
          <w:szCs w:val="12"/>
          <w:rtl/>
        </w:rPr>
        <w:t>(</w:t>
      </w:r>
      <w:r w:rsidRPr="008818AA">
        <w:rPr>
          <w:rFonts w:ascii="Calibri" w:eastAsia="Times New Roman" w:hAnsi="Calibri" w:cs="Guttman Rashi" w:hint="cs"/>
          <w:noProof w:val="0"/>
          <w:sz w:val="10"/>
          <w:szCs w:val="12"/>
          <w:rtl/>
        </w:rPr>
        <w:t>מז.</w:t>
      </w:r>
      <w:r w:rsidRPr="008818AA">
        <w:rPr>
          <w:rFonts w:ascii="Calibri" w:eastAsia="Times New Roman" w:hAnsi="Calibri" w:cs="Guttman Rashi"/>
          <w:noProof w:val="0"/>
          <w:sz w:val="10"/>
          <w:szCs w:val="12"/>
          <w:rtl/>
        </w:rPr>
        <w:t>)</w:t>
      </w:r>
      <w:r>
        <w:rPr>
          <w:rtl/>
        </w:rPr>
        <w:t xml:space="preserve"> </w:t>
      </w:r>
      <w:r>
        <w:rPr>
          <w:rFonts w:hint="cs"/>
          <w:rtl/>
        </w:rPr>
        <w:t>להחזיר מטה של טרסיים, ביאר</w:t>
      </w:r>
      <w:r>
        <w:rPr>
          <w:rtl/>
        </w:rPr>
        <w:t xml:space="preserve"> </w:t>
      </w:r>
      <w:r w:rsidRPr="008818AA">
        <w:rPr>
          <w:b/>
          <w:bCs/>
          <w:rtl/>
        </w:rPr>
        <w:t>ה</w:t>
      </w:r>
      <w:r w:rsidRPr="008818AA">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Ref144375059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קסח)</w:t>
      </w:r>
      <w:r>
        <w:rPr>
          <w:b/>
          <w:bCs/>
          <w:vanish/>
          <w:rtl/>
        </w:rPr>
        <w:fldChar w:fldCharType="end"/>
      </w:r>
      <w:r w:rsidRPr="008818AA">
        <w:rPr>
          <w:b/>
          <w:bCs/>
          <w:vanish/>
          <w:rtl/>
        </w:rPr>
        <w:t xml:space="preserve"> &gt;</w:t>
      </w:r>
      <w:r w:rsidRPr="008818AA">
        <w:rPr>
          <w:rFonts w:hint="cs"/>
          <w:b/>
          <w:bCs/>
          <w:rtl/>
        </w:rPr>
        <w:t>ריטב"א לעיל</w:t>
      </w:r>
      <w:r w:rsidRPr="008818AA">
        <w:rPr>
          <w:b/>
          <w:bCs/>
          <w:rtl/>
        </w:rPr>
        <w:t xml:space="preserve"> </w:t>
      </w:r>
      <w:r w:rsidRPr="008818AA">
        <w:rPr>
          <w:rFonts w:ascii="Calibri" w:eastAsia="Times New Roman" w:hAnsi="Calibri" w:cs="Guttman Rashi"/>
          <w:noProof w:val="0"/>
          <w:sz w:val="10"/>
          <w:szCs w:val="12"/>
          <w:rtl/>
        </w:rPr>
        <w:t>(</w:t>
      </w:r>
      <w:r w:rsidRPr="008818AA">
        <w:rPr>
          <w:rFonts w:ascii="Calibri" w:eastAsia="Times New Roman" w:hAnsi="Calibri" w:cs="Guttman Rashi" w:hint="cs"/>
          <w:noProof w:val="0"/>
          <w:sz w:val="10"/>
          <w:szCs w:val="12"/>
          <w:rtl/>
        </w:rPr>
        <w:t>מז. ד"ה מהו</w:t>
      </w:r>
      <w:r w:rsidRPr="008818AA">
        <w:rPr>
          <w:rFonts w:ascii="Calibri" w:eastAsia="Times New Roman" w:hAnsi="Calibri" w:cs="Guttman Rashi"/>
          <w:noProof w:val="0"/>
          <w:sz w:val="10"/>
          <w:szCs w:val="12"/>
          <w:rtl/>
        </w:rPr>
        <w:t>)</w:t>
      </w:r>
      <w:r w:rsidRPr="008818AA">
        <w:rPr>
          <w:vanish/>
          <w:rtl/>
        </w:rPr>
        <w:t>=</w:t>
      </w:r>
      <w:r>
        <w:rPr>
          <w:rtl/>
        </w:rPr>
        <w:t xml:space="preserve"> </w:t>
      </w:r>
      <w:r>
        <w:rPr>
          <w:rFonts w:hint="cs"/>
          <w:rtl/>
        </w:rPr>
        <w:t>דאיירי ברפוי דהא אמרינן דס"ל כרשב"ג דהוא מתיר ברפוי, והביא</w:t>
      </w:r>
      <w:r>
        <w:rPr>
          <w:rtl/>
        </w:rPr>
        <w:t xml:space="preserve"> </w:t>
      </w:r>
      <w:r w:rsidRPr="008818AA">
        <w:rPr>
          <w:rFonts w:hint="cs"/>
          <w:b/>
          <w:bCs/>
          <w:rtl/>
        </w:rPr>
        <w:t>הריטב"א</w:t>
      </w:r>
      <w:r>
        <w:rPr>
          <w:rtl/>
        </w:rPr>
        <w:t xml:space="preserve"> </w:t>
      </w:r>
      <w:r>
        <w:rPr>
          <w:rFonts w:hint="cs"/>
          <w:rtl/>
        </w:rPr>
        <w:t xml:space="preserve">בשם </w:t>
      </w:r>
      <w:r w:rsidRPr="008818AA">
        <w:rPr>
          <w:rFonts w:hint="cs"/>
          <w:b/>
          <w:bCs/>
          <w:rtl/>
        </w:rPr>
        <w:t>תוס'</w:t>
      </w:r>
      <w:r>
        <w:rPr>
          <w:rtl/>
        </w:rPr>
        <w:t xml:space="preserve"> </w:t>
      </w:r>
      <w:r w:rsidRPr="00210528">
        <w:rPr>
          <w:rStyle w:val="af2"/>
          <w:rFonts w:eastAsia="Guttman Hodes" w:hint="cs"/>
          <w:rtl/>
        </w:rPr>
        <w:t xml:space="preserve">(עי' </w:t>
      </w:r>
      <w:r w:rsidRPr="008B3C71">
        <w:rPr>
          <w:rStyle w:val="af2"/>
          <w:rFonts w:eastAsia="Guttman Hodes" w:hint="cs"/>
          <w:rtl/>
        </w:rPr>
        <w:t>אות</w:t>
      </w:r>
      <w:r w:rsidRPr="008B3C71">
        <w:rPr>
          <w:rStyle w:val="af2"/>
          <w:rFonts w:eastAsia="Guttman Hodes"/>
          <w:rtl/>
        </w:rPr>
        <w:t xml:space="preserve"> </w:t>
      </w:r>
      <w:r w:rsidRPr="008B3C71">
        <w:rPr>
          <w:rStyle w:val="af2"/>
          <w:rFonts w:eastAsia="Guttman Hodes"/>
          <w:rtl/>
        </w:rPr>
        <w:fldChar w:fldCharType="begin"/>
      </w:r>
      <w:r w:rsidRPr="008B3C71">
        <w:rPr>
          <w:rStyle w:val="af2"/>
          <w:rFonts w:eastAsia="Guttman Hodes"/>
          <w:rtl/>
        </w:rPr>
        <w:instrText xml:space="preserve"> </w:instrText>
      </w:r>
      <w:r w:rsidRPr="008B3C71">
        <w:rPr>
          <w:rStyle w:val="af2"/>
          <w:rFonts w:eastAsia="Guttman Hodes"/>
        </w:rPr>
        <w:instrText>REF</w:instrText>
      </w:r>
      <w:r w:rsidRPr="008B3C71">
        <w:rPr>
          <w:rStyle w:val="af2"/>
          <w:rFonts w:eastAsia="Guttman Hodes"/>
          <w:rtl/>
        </w:rPr>
        <w:instrText xml:space="preserve"> _</w:instrText>
      </w:r>
      <w:r w:rsidRPr="008B3C71">
        <w:rPr>
          <w:rStyle w:val="af2"/>
          <w:rFonts w:eastAsia="Guttman Hodes"/>
        </w:rPr>
        <w:instrText>Ref144375019 \r \h</w:instrText>
      </w:r>
      <w:r w:rsidRPr="008B3C71">
        <w:rPr>
          <w:rStyle w:val="af2"/>
          <w:rFonts w:eastAsia="Guttman Hodes"/>
          <w:rtl/>
        </w:rPr>
        <w:instrText xml:space="preserve"> </w:instrText>
      </w:r>
      <w:r w:rsidRPr="008B3C71">
        <w:rPr>
          <w:rStyle w:val="af2"/>
          <w:rFonts w:eastAsia="Guttman Hodes"/>
          <w:rtl/>
        </w:rPr>
      </w:r>
      <w:r w:rsidRPr="008B3C71">
        <w:rPr>
          <w:rStyle w:val="af2"/>
          <w:rFonts w:eastAsia="Guttman Hodes"/>
          <w:rtl/>
        </w:rPr>
        <w:fldChar w:fldCharType="separate"/>
      </w:r>
      <w:r w:rsidR="00D82181">
        <w:rPr>
          <w:rStyle w:val="af2"/>
          <w:rFonts w:eastAsia="Guttman Hodes"/>
          <w:cs/>
        </w:rPr>
        <w:t>‎</w:t>
      </w:r>
      <w:r w:rsidR="00D82181">
        <w:rPr>
          <w:rStyle w:val="af2"/>
          <w:rFonts w:eastAsia="Guttman Hodes"/>
          <w:rtl/>
        </w:rPr>
        <w:t>קכ)</w:t>
      </w:r>
      <w:r w:rsidRPr="008B3C71">
        <w:rPr>
          <w:rStyle w:val="af2"/>
          <w:rFonts w:eastAsia="Guttman Hodes"/>
          <w:rtl/>
        </w:rPr>
        <w:fldChar w:fldCharType="end"/>
      </w:r>
      <w:r>
        <w:rPr>
          <w:rFonts w:hint="cs"/>
          <w:rtl/>
        </w:rPr>
        <w:t xml:space="preserve"> דהקשו דא"כ אף רב ושמואל דחייבו חטאת בזה איירי ברפוי, והיאך אפשר לחייב ברפוי, הא אף אי יש בנין בכלים הוי בנין מן הצד, והביא</w:t>
      </w:r>
      <w:r>
        <w:rPr>
          <w:rtl/>
        </w:rPr>
        <w:t xml:space="preserve"> </w:t>
      </w:r>
      <w:r w:rsidRPr="008818AA">
        <w:rPr>
          <w:rFonts w:hint="cs"/>
          <w:b/>
          <w:bCs/>
          <w:rtl/>
        </w:rPr>
        <w:t>הריטב"א</w:t>
      </w:r>
      <w:r>
        <w:rPr>
          <w:rtl/>
        </w:rPr>
        <w:t xml:space="preserve"> </w:t>
      </w:r>
      <w:r>
        <w:rPr>
          <w:rFonts w:hint="cs"/>
          <w:rtl/>
        </w:rPr>
        <w:t xml:space="preserve">בשם </w:t>
      </w:r>
      <w:r w:rsidRPr="008818AA">
        <w:rPr>
          <w:rFonts w:hint="cs"/>
          <w:b/>
          <w:bCs/>
          <w:rtl/>
        </w:rPr>
        <w:t>תוס'</w:t>
      </w:r>
      <w:r>
        <w:rPr>
          <w:rtl/>
        </w:rPr>
        <w:t xml:space="preserve"> </w:t>
      </w:r>
      <w:r>
        <w:rPr>
          <w:rFonts w:hint="cs"/>
          <w:rtl/>
        </w:rPr>
        <w:t>דתירצו</w:t>
      </w:r>
      <w:r>
        <w:rPr>
          <w:rtl/>
        </w:rPr>
        <w:t xml:space="preserve"> </w:t>
      </w:r>
      <w:r>
        <w:rPr>
          <w:rFonts w:hint="cs"/>
          <w:rtl/>
        </w:rPr>
        <w:t>דרב ושמואל אסרו במהדק אף כשאינו תוקע וס"ל דיש בנין בכלים, ורבי אבא ורב הונא ס"ל דאין בנין בכלים ואף במהדק אסור רק מדרבנן, ולכן ברפוי מותר לכתחילה, ואין לחוש שמא יתקע דחייב לכו"ע משום מכה בפטיש, כיון דברפוי לא שייך לתקוע כלל.</w:t>
      </w:r>
      <w:bookmarkEnd w:id="6188"/>
      <w:r>
        <w:rPr>
          <w:rtl/>
        </w:rPr>
        <w:t xml:space="preserve"> </w:t>
      </w:r>
    </w:p>
    <w:p w14:paraId="03F5B48C" w14:textId="77777777" w:rsidR="000F6808" w:rsidRPr="0088513D" w:rsidRDefault="000F6808" w:rsidP="000F6808">
      <w:pPr>
        <w:pStyle w:val="afffffe"/>
        <w:rPr>
          <w:vanish/>
          <w:rtl/>
        </w:rPr>
      </w:pPr>
      <w:r w:rsidRPr="0088513D">
        <w:rPr>
          <w:vanish/>
          <w:rtl/>
        </w:rPr>
        <w:t>חדושי הריטב"א שבת מ"ז ע"א</w:t>
      </w:r>
      <w:r w:rsidRPr="0088513D">
        <w:rPr>
          <w:rFonts w:hint="cs"/>
          <w:vanish/>
          <w:rtl/>
        </w:rPr>
        <w:t xml:space="preserve"> ד"ה מהו</w:t>
      </w:r>
    </w:p>
    <w:p w14:paraId="041C1DF4" w14:textId="77777777" w:rsidR="000F6808" w:rsidRPr="00111645" w:rsidRDefault="000F6808" w:rsidP="000F6808">
      <w:pPr>
        <w:pStyle w:val="a2"/>
        <w:rPr>
          <w:rtl/>
        </w:rPr>
      </w:pPr>
      <w:r w:rsidRPr="00111645">
        <w:rPr>
          <w:rtl/>
        </w:rPr>
        <w:t>מהו להחזיר מטה של טרסיים בשבת. פירוש והיא מטה של פרקים.</w:t>
      </w:r>
      <w:r w:rsidRPr="00111645">
        <w:rPr>
          <w:rFonts w:hint="cs"/>
          <w:rtl/>
        </w:rPr>
        <w:t xml:space="preserve"> </w:t>
      </w:r>
      <w:r w:rsidRPr="00111645">
        <w:rPr>
          <w:rtl/>
        </w:rPr>
        <w:t>אמרו ליה שפיר דמי. פירוש וברפוי, וכדאמרינן בסמוך אינהו דאמור כרשב"ג דאמר אם היה רפוי מותר, והקשו בתוספות דאם כן דכוותה מיירי הא דרב ושמואל דפרכינן מינה ברפוי, והיאך אפשר שיהא בזה חיוב חטאת, דאפי' תימא יש בנין בכלים כיון שהוא רפוי בנין מן הצד הוא וכדאמרינן לקמן, ותירצו דההיא דרב ושמואל במהודק ואפי' בלא תקיעה וסבירא להו דיש בנין בכלים [ור' אבא ורב הונא בר חייא סברי דאין בנין בכלים] ואפי' בהדוק איסורא דרבנן לחוד הוא וכיון דכן ברפוי שרי לכתחלה, וכי תימא ניחוש שמא יתקע דאיכא בתקיעה איסורא דאורייתא לכולי עלמא משום מכה בפטיש, הא ליתא דברפוי לא שייכא תקיעה כלל.</w:t>
      </w:r>
    </w:p>
    <w:p w14:paraId="45B5CADE" w14:textId="77777777" w:rsidR="000F6808" w:rsidRPr="00FC269C" w:rsidRDefault="000F6808" w:rsidP="000F6808">
      <w:pPr>
        <w:pStyle w:val="afffff7"/>
        <w:rPr>
          <w:rtl/>
        </w:rPr>
      </w:pPr>
      <w:bookmarkStart w:id="6189" w:name="_Toc145198436"/>
      <w:bookmarkStart w:id="6190" w:name="_Toc145500867"/>
      <w:bookmarkStart w:id="6191" w:name="_Toc163506407"/>
      <w:r w:rsidRPr="00FC269C">
        <w:rPr>
          <w:rtl/>
        </w:rPr>
        <w:t>חדושי הר"ן שבת מ"ז ע"א</w:t>
      </w:r>
      <w:r w:rsidRPr="00FC269C">
        <w:rPr>
          <w:rFonts w:hint="cs"/>
          <w:rtl/>
        </w:rPr>
        <w:t xml:space="preserve"> ד"ה הא</w:t>
      </w:r>
      <w:bookmarkEnd w:id="6189"/>
      <w:bookmarkEnd w:id="6190"/>
      <w:bookmarkEnd w:id="6191"/>
    </w:p>
    <w:p w14:paraId="6A348D73" w14:textId="77777777" w:rsidR="000F6808" w:rsidRDefault="000F6808" w:rsidP="000F6808">
      <w:pPr>
        <w:pStyle w:val="a7"/>
        <w:rPr>
          <w:rtl/>
        </w:rPr>
      </w:pPr>
      <w:bookmarkStart w:id="6192" w:name="_Toc145222972"/>
      <w:bookmarkStart w:id="6193" w:name="_Toc145414039"/>
      <w:bookmarkStart w:id="6194" w:name="_Toc145487159"/>
      <w:r>
        <w:rPr>
          <w:rFonts w:hint="cs"/>
          <w:rtl/>
        </w:rPr>
        <w:t>בי' הי"מ בר"ן דלרב ושמואל יש בנין בכלים ואף ברפוי חייב וזו הקו' על רבי אבא דהתיר רפוי</w:t>
      </w:r>
      <w:bookmarkEnd w:id="6192"/>
      <w:bookmarkEnd w:id="6193"/>
      <w:bookmarkEnd w:id="6194"/>
    </w:p>
    <w:p w14:paraId="7D2356B5" w14:textId="38171E81" w:rsidR="000F6808" w:rsidRDefault="000F6808" w:rsidP="000F6808">
      <w:pPr>
        <w:pStyle w:val="a3"/>
      </w:pPr>
      <w:bookmarkStart w:id="6195" w:name="_Ref145463322"/>
      <w:bookmarkStart w:id="6196" w:name="_Ref144374482"/>
      <w:r>
        <w:rPr>
          <w:rFonts w:hint="cs"/>
          <w:rtl/>
        </w:rPr>
        <w:t>במה שתירצו</w:t>
      </w:r>
      <w:r>
        <w:rPr>
          <w:rtl/>
        </w:rPr>
        <w:t xml:space="preserve"> </w:t>
      </w:r>
      <w:r>
        <w:rPr>
          <w:rFonts w:hint="cs"/>
          <w:b/>
          <w:bCs/>
          <w:rtl/>
        </w:rPr>
        <w:t>התוס' לעיל</w:t>
      </w:r>
      <w:r>
        <w:rPr>
          <w:rtl/>
        </w:rPr>
        <w:t xml:space="preserve"> </w:t>
      </w:r>
      <w:r w:rsidRPr="00FF78DF">
        <w:rPr>
          <w:rFonts w:ascii="Calibri" w:eastAsia="Times New Roman" w:hAnsi="Calibri" w:cs="Guttman Rashi"/>
          <w:noProof w:val="0"/>
          <w:sz w:val="10"/>
          <w:szCs w:val="12"/>
          <w:rtl/>
        </w:rPr>
        <w:t xml:space="preserve">(עי' 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Pr>
        <w:instrText>REF</w:instrText>
      </w:r>
      <w:r>
        <w:rPr>
          <w:rFonts w:ascii="Calibri" w:eastAsia="Times New Roman" w:hAnsi="Calibri" w:cs="Guttman Rashi"/>
          <w:noProof w:val="0"/>
          <w:sz w:val="10"/>
          <w:szCs w:val="12"/>
          <w:rtl/>
        </w:rPr>
        <w:instrText xml:space="preserve"> _</w:instrText>
      </w:r>
      <w:r>
        <w:rPr>
          <w:rFonts w:ascii="Calibri" w:eastAsia="Times New Roman" w:hAnsi="Calibri" w:cs="Guttman Rashi"/>
          <w:noProof w:val="0"/>
          <w:sz w:val="10"/>
          <w:szCs w:val="12"/>
        </w:rPr>
        <w:instrText>Ref145461485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קיט)</w:t>
      </w:r>
      <w:r>
        <w:rPr>
          <w:rFonts w:ascii="Calibri" w:eastAsia="Times New Roman" w:hAnsi="Calibri" w:cs="Guttman Rashi"/>
          <w:noProof w:val="0"/>
          <w:sz w:val="10"/>
          <w:szCs w:val="12"/>
          <w:rtl/>
        </w:rPr>
        <w:fldChar w:fldCharType="end"/>
      </w:r>
      <w:r>
        <w:rPr>
          <w:rtl/>
        </w:rPr>
        <w:t xml:space="preserve"> </w:t>
      </w:r>
      <w:r>
        <w:rPr>
          <w:rFonts w:hint="cs"/>
          <w:b/>
          <w:bCs/>
          <w:rtl/>
        </w:rPr>
        <w:t>והרמב"ן לעיל</w:t>
      </w:r>
      <w:r>
        <w:rPr>
          <w:rtl/>
        </w:rPr>
        <w:t xml:space="preserve"> </w:t>
      </w:r>
      <w:r w:rsidRPr="00FF78DF">
        <w:rPr>
          <w:rFonts w:ascii="Calibri" w:eastAsia="Times New Roman" w:hAnsi="Calibri" w:cs="Guttman Rashi"/>
          <w:noProof w:val="0"/>
          <w:sz w:val="10"/>
          <w:szCs w:val="12"/>
          <w:rtl/>
        </w:rPr>
        <w:t xml:space="preserve">(עי' 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Pr>
        <w:instrText>REF</w:instrText>
      </w:r>
      <w:r>
        <w:rPr>
          <w:rFonts w:ascii="Calibri" w:eastAsia="Times New Roman" w:hAnsi="Calibri" w:cs="Guttman Rashi"/>
          <w:noProof w:val="0"/>
          <w:sz w:val="10"/>
          <w:szCs w:val="12"/>
          <w:rtl/>
        </w:rPr>
        <w:instrText xml:space="preserve"> _</w:instrText>
      </w:r>
      <w:r>
        <w:rPr>
          <w:rFonts w:ascii="Calibri" w:eastAsia="Times New Roman" w:hAnsi="Calibri" w:cs="Guttman Rashi"/>
          <w:noProof w:val="0"/>
          <w:sz w:val="10"/>
          <w:szCs w:val="12"/>
        </w:rPr>
        <w:instrText>Ref145461740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קסה)</w:t>
      </w:r>
      <w:r>
        <w:rPr>
          <w:rFonts w:ascii="Calibri" w:eastAsia="Times New Roman" w:hAnsi="Calibri" w:cs="Guttman Rashi"/>
          <w:noProof w:val="0"/>
          <w:sz w:val="10"/>
          <w:szCs w:val="12"/>
          <w:rtl/>
        </w:rPr>
        <w:fldChar w:fldCharType="end"/>
      </w:r>
      <w:r>
        <w:rPr>
          <w:rtl/>
        </w:rPr>
        <w:t xml:space="preserve"> </w:t>
      </w:r>
      <w:r>
        <w:rPr>
          <w:rFonts w:hint="cs"/>
          <w:rtl/>
        </w:rPr>
        <w:t>דרב ושמואל מחייבים חטאת רק בתוקע, וכוונת הגמ'</w:t>
      </w:r>
      <w:r>
        <w:rPr>
          <w:rtl/>
        </w:rPr>
        <w:t xml:space="preserve"> </w:t>
      </w:r>
      <w:r w:rsidRPr="002E33B7">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מז.</w:t>
      </w:r>
      <w:r w:rsidRPr="002E33B7">
        <w:rPr>
          <w:rFonts w:ascii="Calibri" w:eastAsia="Times New Roman" w:hAnsi="Calibri" w:cs="Guttman Rashi"/>
          <w:noProof w:val="0"/>
          <w:sz w:val="10"/>
          <w:szCs w:val="12"/>
          <w:rtl/>
        </w:rPr>
        <w:t>)</w:t>
      </w:r>
      <w:r>
        <w:rPr>
          <w:rtl/>
        </w:rPr>
        <w:t xml:space="preserve"> </w:t>
      </w:r>
      <w:r>
        <w:rPr>
          <w:rFonts w:hint="cs"/>
          <w:rtl/>
        </w:rPr>
        <w:t>לעיל להקשות דא"כ אף בלא תוקע יהיה אסור מדרבנן, וזו כוונת הגמ' בקושיה מקנה של סיידין, הביא</w:t>
      </w:r>
      <w:r>
        <w:rPr>
          <w:rtl/>
        </w:rPr>
        <w:t xml:space="preserve"> </w:t>
      </w:r>
      <w:r w:rsidRPr="002E33B7">
        <w:rPr>
          <w:b/>
          <w:bCs/>
          <w:rtl/>
        </w:rPr>
        <w:t>ה</w:t>
      </w:r>
      <w:r w:rsidRPr="002E33B7">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Ref144374482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קסט)</w:t>
      </w:r>
      <w:r>
        <w:rPr>
          <w:b/>
          <w:bCs/>
          <w:vanish/>
          <w:rtl/>
        </w:rPr>
        <w:fldChar w:fldCharType="end"/>
      </w:r>
      <w:r w:rsidRPr="002E33B7">
        <w:rPr>
          <w:b/>
          <w:bCs/>
          <w:vanish/>
          <w:rtl/>
        </w:rPr>
        <w:t xml:space="preserve"> &gt;</w:t>
      </w:r>
      <w:r>
        <w:rPr>
          <w:rFonts w:hint="cs"/>
          <w:b/>
          <w:bCs/>
          <w:rtl/>
        </w:rPr>
        <w:t>ר"ן לעיל</w:t>
      </w:r>
      <w:r w:rsidRPr="002E33B7">
        <w:rPr>
          <w:b/>
          <w:bCs/>
          <w:rtl/>
        </w:rPr>
        <w:t xml:space="preserve"> </w:t>
      </w:r>
      <w:r w:rsidRPr="002E33B7">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מז. ד"ה הא</w:t>
      </w:r>
      <w:r w:rsidRPr="002E33B7">
        <w:rPr>
          <w:rFonts w:ascii="Calibri" w:eastAsia="Times New Roman" w:hAnsi="Calibri" w:cs="Guttman Rashi"/>
          <w:noProof w:val="0"/>
          <w:sz w:val="10"/>
          <w:szCs w:val="12"/>
          <w:rtl/>
        </w:rPr>
        <w:t>)</w:t>
      </w:r>
      <w:r w:rsidRPr="002E33B7">
        <w:rPr>
          <w:vanish/>
          <w:rtl/>
        </w:rPr>
        <w:t>=</w:t>
      </w:r>
      <w:r>
        <w:rPr>
          <w:rtl/>
        </w:rPr>
        <w:t xml:space="preserve"> </w:t>
      </w:r>
      <w:r>
        <w:rPr>
          <w:rFonts w:hint="cs"/>
          <w:rtl/>
        </w:rPr>
        <w:t>בשם</w:t>
      </w:r>
      <w:r>
        <w:rPr>
          <w:rtl/>
        </w:rPr>
        <w:t xml:space="preserve"> </w:t>
      </w:r>
      <w:r>
        <w:rPr>
          <w:rFonts w:hint="cs"/>
          <w:b/>
          <w:bCs/>
          <w:rtl/>
        </w:rPr>
        <w:t>אחרים</w:t>
      </w:r>
      <w:r>
        <w:rPr>
          <w:rtl/>
        </w:rPr>
        <w:t xml:space="preserve"> </w:t>
      </w:r>
      <w:r>
        <w:rPr>
          <w:rFonts w:hint="cs"/>
          <w:rtl/>
        </w:rPr>
        <w:t>דביארו דרב ושמואל ס"ל דיש בנין בכלים ולכן אף באינו תוקע חייב, ולכן מקשה רב יהודה מרב ושמואל על רבי אבא ורב הונא דדאי התירו כשאינו רפוי א"כ מדאו' אסור, ואף אי כוונתם להתיר ברפוי קשה, דמ"מ דכיון דבמהדק אסור מדאו' דיש בנין בכלים, א"כ ברפוי צריך לאסור מדרבנן.</w:t>
      </w:r>
      <w:bookmarkEnd w:id="6195"/>
    </w:p>
    <w:bookmarkEnd w:id="6196"/>
    <w:p w14:paraId="4FC2471A" w14:textId="77777777" w:rsidR="000F6808" w:rsidRPr="0088513D" w:rsidRDefault="000F6808" w:rsidP="000F6808">
      <w:pPr>
        <w:pStyle w:val="afffffe"/>
        <w:rPr>
          <w:vanish/>
          <w:rtl/>
        </w:rPr>
      </w:pPr>
      <w:r w:rsidRPr="0088513D">
        <w:rPr>
          <w:vanish/>
          <w:rtl/>
        </w:rPr>
        <w:t>חדושי הר"ן שבת מ"ז ע"א</w:t>
      </w:r>
      <w:r w:rsidRPr="0088513D">
        <w:rPr>
          <w:rFonts w:hint="cs"/>
          <w:vanish/>
          <w:rtl/>
        </w:rPr>
        <w:t xml:space="preserve"> ד"ה הא</w:t>
      </w:r>
    </w:p>
    <w:p w14:paraId="6B2E9945" w14:textId="77777777" w:rsidR="000F6808" w:rsidRPr="00111645" w:rsidRDefault="000F6808" w:rsidP="000F6808">
      <w:pPr>
        <w:pStyle w:val="a2"/>
      </w:pPr>
      <w:r w:rsidRPr="004D1532">
        <w:rPr>
          <w:rStyle w:val="afff7"/>
          <w:rtl/>
        </w:rPr>
        <w:t>הא רב ושמואל דאמרי תרוייהו המחזיר מטה של טרסיים חייב חטאת. וא"ת ומאי קושיא והא ודאי רב ושמואל דמחייבין חטאת בשתקע מיירי דאי לא מאי טעמייהו דהא אפי' לרבנן דפליגי עליה דרשב"ג לא מחייבי אלא בשתקע אלא ודאי אינהו נמי בשתקע דוקא מחייבו וכיון שכן מאי מקשה רב יהודה מרב ושמואל לר' אבא ולרב הונא דמיירי ברפוי וכדאמרינן בסמוך אינהו דאסור כי האי תנא דהיינו רשב"ג דאמר אם הי' רפוי מותר תירצו בתוס' דס"ל לתלמודא דכיון דאי תקע איכא איסורא דאורייתא כי לא תקע נמי אסור מדרבנן ומשום גזירה והיינו נמי דמקשי' מברייתא דקנה של סיידין דמשמע דאע"ג דלא אסיר [מדאוריתא] מדרבנן מיהא אסור ומשני' דאיהו דאמר כרשב"ג דאמר דאם היה רפוי מותר ולא גזר.</w:t>
      </w:r>
      <w:r w:rsidRPr="00111645">
        <w:rPr>
          <w:rtl/>
        </w:rPr>
        <w:t xml:space="preserve"> ואחרים פירשו דרו"ש אפילו בלא תקע מחייבי דס"ל יש בנין בכלים ויש סתירה בכלים ומש"ה פרכינן מינה שפיר לר' אבא ולרב הונא בר חייא משום דאי מיירי </w:t>
      </w:r>
      <w:r w:rsidRPr="00111645">
        <w:rPr>
          <w:rFonts w:hint="cs"/>
          <w:rtl/>
        </w:rPr>
        <w:t>[</w:t>
      </w:r>
      <w:r w:rsidRPr="00111645">
        <w:rPr>
          <w:rtl/>
        </w:rPr>
        <w:t>בשאינו רפוי חיובא דאוריתא נמי איכא ואי</w:t>
      </w:r>
      <w:r w:rsidRPr="00111645">
        <w:rPr>
          <w:rFonts w:hint="cs"/>
          <w:rtl/>
        </w:rPr>
        <w:t xml:space="preserve">] </w:t>
      </w:r>
      <w:r w:rsidRPr="00111645">
        <w:rPr>
          <w:rtl/>
        </w:rPr>
        <w:t>ברפוי וכדמסקינן כיון דהיכא דמיהדק אפילו שלא תקע איכא איסורא דאורייתא משום דיש בנין בכלים ויש סתירה בכלים ברפוי נמי אית לן למגזר מדרבנן</w:t>
      </w:r>
      <w:r w:rsidRPr="00111645">
        <w:rPr>
          <w:rFonts w:hint="cs"/>
          <w:rtl/>
        </w:rPr>
        <w:t>.</w:t>
      </w:r>
    </w:p>
    <w:p w14:paraId="75BACA53" w14:textId="77777777" w:rsidR="000F6808" w:rsidRPr="00575140" w:rsidRDefault="000F6808" w:rsidP="000F6808">
      <w:pPr>
        <w:pStyle w:val="a7"/>
      </w:pPr>
      <w:bookmarkStart w:id="6197" w:name="_Toc145487160"/>
      <w:r>
        <w:rPr>
          <w:rFonts w:hint="cs"/>
          <w:rtl/>
        </w:rPr>
        <w:t>בי' הי"מ בר"ן דלר"א ור"ה אין בנין בכלים ותוקע מכב"פ והידוק רק דרבנן וק' מברייתא דרפוי</w:t>
      </w:r>
      <w:bookmarkEnd w:id="6197"/>
    </w:p>
    <w:p w14:paraId="19F0BF7A" w14:textId="77777777" w:rsidR="000F6808" w:rsidRDefault="000F6808" w:rsidP="000F6808">
      <w:pPr>
        <w:pStyle w:val="a3"/>
      </w:pPr>
      <w:bookmarkStart w:id="6198" w:name="_Ref145462590"/>
      <w:r>
        <w:rPr>
          <w:rFonts w:hint="cs"/>
          <w:rtl/>
        </w:rPr>
        <w:t>וכתב</w:t>
      </w:r>
      <w:r>
        <w:rPr>
          <w:rtl/>
        </w:rPr>
        <w:t xml:space="preserve"> </w:t>
      </w:r>
      <w:r>
        <w:rPr>
          <w:rFonts w:hint="cs"/>
          <w:b/>
          <w:bCs/>
          <w:rtl/>
        </w:rPr>
        <w:t>הר"ן</w:t>
      </w:r>
      <w:r w:rsidRPr="0068120D">
        <w:rPr>
          <w:rFonts w:hint="cs"/>
          <w:b/>
          <w:bCs/>
          <w:rtl/>
        </w:rPr>
        <w:t xml:space="preserve"> </w:t>
      </w:r>
      <w:r>
        <w:rPr>
          <w:rFonts w:hint="cs"/>
          <w:b/>
          <w:bCs/>
          <w:rtl/>
        </w:rPr>
        <w:t>לעיל</w:t>
      </w:r>
      <w:r>
        <w:rPr>
          <w:rFonts w:hint="cs"/>
          <w:rtl/>
        </w:rPr>
        <w:t xml:space="preserve"> דרבי אבא ורב הונא ס"ל דאין בנין בכלים ולכן החיוב דאו' הוא רק בתוקע משום מכה בפטיש, אבל במהדק ולא תקע אין איסור דאו', ולכן אף אי אמרינן דבמהדק אסור מדרבנן אטו תוקע, מ"מ ברפוי מותר לכתחילה, וכתב</w:t>
      </w:r>
      <w:r>
        <w:rPr>
          <w:rtl/>
        </w:rPr>
        <w:t xml:space="preserve"> </w:t>
      </w:r>
      <w:r>
        <w:rPr>
          <w:rFonts w:hint="cs"/>
          <w:b/>
          <w:bCs/>
          <w:rtl/>
        </w:rPr>
        <w:t>הר"ן</w:t>
      </w:r>
      <w:r>
        <w:rPr>
          <w:rtl/>
        </w:rPr>
        <w:t xml:space="preserve"> </w:t>
      </w:r>
      <w:r>
        <w:rPr>
          <w:rFonts w:hint="cs"/>
          <w:rtl/>
        </w:rPr>
        <w:t>דלכן מקשה הגמ' מהברייתא דהמחזיר קנה מנורה חייב חטאת, דמדתני בסתמא משמע דאף בלא תקע חייב, ובקנה של סיידין דפטור אבל אסור איירי ברפוי, ומוכח דרפוי אסור.</w:t>
      </w:r>
      <w:bookmarkEnd w:id="6198"/>
    </w:p>
    <w:p w14:paraId="43EE5F65" w14:textId="77777777" w:rsidR="000F6808" w:rsidRPr="0088513D" w:rsidRDefault="000F6808" w:rsidP="000F6808">
      <w:pPr>
        <w:pStyle w:val="afffffe"/>
        <w:rPr>
          <w:vanish/>
          <w:rtl/>
        </w:rPr>
      </w:pPr>
      <w:r w:rsidRPr="0088513D">
        <w:rPr>
          <w:vanish/>
          <w:rtl/>
        </w:rPr>
        <w:t>חדושי הר"ן שבת מ"ז ע"א</w:t>
      </w:r>
      <w:r w:rsidRPr="0088513D">
        <w:rPr>
          <w:rFonts w:hint="cs"/>
          <w:vanish/>
          <w:rtl/>
        </w:rPr>
        <w:t xml:space="preserve"> ד"ה הא</w:t>
      </w:r>
    </w:p>
    <w:p w14:paraId="2ACE88C0" w14:textId="77777777" w:rsidR="000F6808" w:rsidRPr="00111645" w:rsidRDefault="000F6808" w:rsidP="000F6808">
      <w:pPr>
        <w:pStyle w:val="a2"/>
        <w:rPr>
          <w:rtl/>
        </w:rPr>
      </w:pPr>
      <w:r w:rsidRPr="00111645">
        <w:rPr>
          <w:rtl/>
        </w:rPr>
        <w:t>ואינהו סבירא להו דאין בנין בכלים ואין סתירה בכלים ומשום הכי בשתקע דוקא הוא דאיכא איסורא דאורייתא משום מכה בפטיש אבל בשלא תקע נמי אין בנין בכלים הלכך אפילו תמצא לומר דהיכא דמיהדק אסור מדרבנן גזירה שמא יתקע ברפוי שרי לגמרי היינו דפרכינן עלייהו מדקתני המחזיר קני מנורה בשבת חייב חטאת ומדקתני סתמא משמע אף על פי שלא תקע וקנה של סיידין דאמרינן פטור אבל אסור ברפוי אלמא ברפוי איסורא איכא</w:t>
      </w:r>
      <w:r w:rsidRPr="00111645">
        <w:rPr>
          <w:rFonts w:hint="cs"/>
          <w:rtl/>
        </w:rPr>
        <w:t>.</w:t>
      </w:r>
    </w:p>
    <w:p w14:paraId="5060E62C" w14:textId="77777777" w:rsidR="000F6808" w:rsidRPr="00895E6F" w:rsidRDefault="000F6808" w:rsidP="000F6808">
      <w:pPr>
        <w:pStyle w:val="a7"/>
        <w:rPr>
          <w:rtl/>
        </w:rPr>
      </w:pPr>
      <w:bookmarkStart w:id="6199" w:name="_Toc145487161"/>
      <w:r>
        <w:rPr>
          <w:rFonts w:hint="cs"/>
          <w:rtl/>
        </w:rPr>
        <w:t>בי' הר"ן דר"א ור"ה ס"ל כברייתא דאין בנין בכלים ות"ק ורשב"ג ל"פ או דנח' אי גזרו ברפוי</w:t>
      </w:r>
      <w:bookmarkEnd w:id="6199"/>
    </w:p>
    <w:p w14:paraId="306AF735" w14:textId="77777777" w:rsidR="000F6808" w:rsidRPr="00DD3564" w:rsidRDefault="000F6808" w:rsidP="000F6808">
      <w:pPr>
        <w:pStyle w:val="a3"/>
      </w:pPr>
      <w:r>
        <w:rPr>
          <w:rFonts w:hint="cs"/>
          <w:rtl/>
        </w:rPr>
        <w:t>וכתב</w:t>
      </w:r>
      <w:r>
        <w:rPr>
          <w:rtl/>
        </w:rPr>
        <w:t xml:space="preserve"> </w:t>
      </w:r>
      <w:r>
        <w:rPr>
          <w:rFonts w:hint="cs"/>
          <w:b/>
          <w:bCs/>
          <w:rtl/>
        </w:rPr>
        <w:t>הר"ן</w:t>
      </w:r>
      <w:r>
        <w:rPr>
          <w:rFonts w:hint="cs"/>
          <w:rtl/>
        </w:rPr>
        <w:t xml:space="preserve"> </w:t>
      </w:r>
      <w:r>
        <w:rPr>
          <w:rFonts w:hint="cs"/>
          <w:b/>
          <w:bCs/>
          <w:rtl/>
        </w:rPr>
        <w:t>לעיל</w:t>
      </w:r>
      <w:r>
        <w:rPr>
          <w:rtl/>
        </w:rPr>
        <w:t xml:space="preserve"> </w:t>
      </w:r>
      <w:r>
        <w:rPr>
          <w:rFonts w:hint="cs"/>
          <w:rtl/>
        </w:rPr>
        <w:t xml:space="preserve">דתירצה הגמ' דס"ל לרבי אבא ורב הונא כתנא דברייתא דס"ל דאין בנין בכלים ולכן ת"ק בברייתא מחייב חטאת רק בתוקע, ורשב"ג מתיר ברפוי, כיון דכל האיסור במהדק הוא גזירה שמא יתקע, א"כ כשאינו מהודק מותר, וכתב </w:t>
      </w:r>
      <w:r>
        <w:rPr>
          <w:rFonts w:hint="cs"/>
          <w:b/>
          <w:bCs/>
          <w:rtl/>
        </w:rPr>
        <w:t>הר"ן</w:t>
      </w:r>
      <w:r>
        <w:rPr>
          <w:rFonts w:hint="cs"/>
          <w:rtl/>
        </w:rPr>
        <w:t xml:space="preserve"> דאפש"ל דאף ת"ק מודה לרשב"ג ולא נחלקו ת"ק ורשב"ג כלל, או דת"ק ס"ל דגזרו אף ברפוי שמא יתקע, ורבי אבא ורב הונא ס"ל כרשב"ג דלא גזר.</w:t>
      </w:r>
    </w:p>
    <w:p w14:paraId="129A8233" w14:textId="77777777" w:rsidR="000F6808" w:rsidRPr="0088513D" w:rsidRDefault="000F6808" w:rsidP="000F6808">
      <w:pPr>
        <w:pStyle w:val="afffffe"/>
        <w:rPr>
          <w:vanish/>
          <w:rtl/>
        </w:rPr>
      </w:pPr>
      <w:r w:rsidRPr="0088513D">
        <w:rPr>
          <w:vanish/>
          <w:rtl/>
        </w:rPr>
        <w:t>חדושי הר"ן שבת מ"ז ע"א</w:t>
      </w:r>
      <w:r w:rsidRPr="0088513D">
        <w:rPr>
          <w:rFonts w:hint="cs"/>
          <w:vanish/>
          <w:rtl/>
        </w:rPr>
        <w:t xml:space="preserve"> ד"ה הא</w:t>
      </w:r>
    </w:p>
    <w:p w14:paraId="4C819F1D" w14:textId="77777777" w:rsidR="000F6808" w:rsidRPr="00111645" w:rsidRDefault="000F6808" w:rsidP="000F6808">
      <w:pPr>
        <w:pStyle w:val="a2"/>
        <w:rPr>
          <w:rtl/>
        </w:rPr>
      </w:pPr>
      <w:r w:rsidRPr="00111645">
        <w:rPr>
          <w:rtl/>
        </w:rPr>
        <w:t>ומשני אינהו דאמרי כי האי תנא דתנא קמא לא מחייב אלא בתקע דאלמא ס"ל אין בנין בכלים ומשום הכי ס"ל לרשב"ג דאם היה רפוי מותר דכיון דאע"ג דמיהדק לא אסיר אלא מדרבנן גזירה שמא יתקע כי לא מהדק שרי לגמרי דליכא למיגזר ואפשר דתנא קמא נמי מודה ולא פליג רשב"ג עליה דת"ק אי נמי ת"ק אפילו ברפוי גזר גזירה שמא יתקע ואינהו דאמור כרשב"ג</w:t>
      </w:r>
      <w:r w:rsidRPr="00111645">
        <w:rPr>
          <w:rFonts w:hint="cs"/>
          <w:rtl/>
        </w:rPr>
        <w:t>.</w:t>
      </w:r>
    </w:p>
    <w:p w14:paraId="23C20B68" w14:textId="77777777" w:rsidR="000F6808" w:rsidRDefault="000F6808" w:rsidP="000F6808">
      <w:pPr>
        <w:pStyle w:val="a7"/>
      </w:pPr>
      <w:bookmarkStart w:id="6200" w:name="_Toc145222975"/>
      <w:bookmarkStart w:id="6201" w:name="_Toc145487162"/>
      <w:r>
        <w:rPr>
          <w:rFonts w:hint="cs"/>
          <w:rtl/>
        </w:rPr>
        <w:t>בי' הר"ן דלרב ושמואל יש בנין בכלים וב"ה איירי בחדקי ובשופתא ולול נח' אי הוי דרך בנין</w:t>
      </w:r>
      <w:bookmarkEnd w:id="6200"/>
      <w:bookmarkEnd w:id="6201"/>
    </w:p>
    <w:p w14:paraId="663C4F86" w14:textId="51F8D69A" w:rsidR="000F6808" w:rsidRPr="000D050A" w:rsidRDefault="000F6808" w:rsidP="000F6808">
      <w:pPr>
        <w:pStyle w:val="a3"/>
      </w:pPr>
      <w:r>
        <w:rPr>
          <w:rFonts w:hint="cs"/>
          <w:rtl/>
        </w:rPr>
        <w:t xml:space="preserve">אך הקשה </w:t>
      </w:r>
      <w:r>
        <w:rPr>
          <w:rFonts w:hint="cs"/>
          <w:b/>
          <w:bCs/>
          <w:rtl/>
        </w:rPr>
        <w:t>הר"ן לעיל</w:t>
      </w:r>
      <w:r>
        <w:rPr>
          <w:rtl/>
        </w:rPr>
        <w:t xml:space="preserve"> </w:t>
      </w:r>
      <w:r>
        <w:rPr>
          <w:rFonts w:hint="cs"/>
          <w:rtl/>
        </w:rPr>
        <w:t>דהיאך אפש"ל דלרב ושמואל יש בנין בכלים, והא מבואר בגמ' בביצה</w:t>
      </w:r>
      <w:r>
        <w:rPr>
          <w:rtl/>
        </w:rPr>
        <w:t xml:space="preserve"> </w:t>
      </w:r>
      <w:r w:rsidRPr="003E717A">
        <w:rPr>
          <w:rFonts w:ascii="Calibri" w:eastAsia="Times New Roman" w:hAnsi="Calibri" w:cs="Guttman Rashi"/>
          <w:noProof w:val="0"/>
          <w:sz w:val="10"/>
          <w:szCs w:val="12"/>
          <w:rtl/>
        </w:rPr>
        <w:t>(</w:t>
      </w:r>
      <w:r w:rsidRPr="003E717A">
        <w:rPr>
          <w:rFonts w:ascii="Calibri" w:eastAsia="Times New Roman" w:hAnsi="Calibri" w:cs="Guttman Rashi" w:hint="cs"/>
          <w:noProof w:val="0"/>
          <w:sz w:val="10"/>
          <w:szCs w:val="12"/>
          <w:rtl/>
        </w:rPr>
        <w:t>כא:</w:t>
      </w:r>
      <w:r w:rsidRPr="003E717A">
        <w:rPr>
          <w:rFonts w:ascii="Calibri" w:eastAsia="Times New Roman" w:hAnsi="Calibri" w:cs="Guttman Rashi"/>
          <w:noProof w:val="0"/>
          <w:sz w:val="10"/>
          <w:szCs w:val="12"/>
          <w:rtl/>
        </w:rPr>
        <w:t>)</w:t>
      </w:r>
      <w:r>
        <w:rPr>
          <w:rtl/>
        </w:rPr>
        <w:t xml:space="preserve"> </w:t>
      </w:r>
      <w:r>
        <w:rPr>
          <w:rFonts w:hint="cs"/>
          <w:rtl/>
        </w:rPr>
        <w:t>דלב"ש יש בנין בכלים ולב"ה אין בנין בכלים, וכתב</w:t>
      </w:r>
      <w:r>
        <w:rPr>
          <w:rtl/>
        </w:rPr>
        <w:t xml:space="preserve"> </w:t>
      </w:r>
      <w:r>
        <w:rPr>
          <w:rFonts w:hint="cs"/>
          <w:b/>
          <w:bCs/>
          <w:rtl/>
        </w:rPr>
        <w:t>הר"ן לעיל</w:t>
      </w:r>
      <w:r>
        <w:rPr>
          <w:rtl/>
        </w:rPr>
        <w:t xml:space="preserve"> </w:t>
      </w:r>
      <w:r>
        <w:rPr>
          <w:rFonts w:hint="cs"/>
          <w:rtl/>
        </w:rPr>
        <w:t xml:space="preserve">דרב ושמואל ס"ל דיש בנין בכלים והעמידו את ב"ה בגמ' בביצה </w:t>
      </w:r>
      <w:r w:rsidRPr="00296262">
        <w:rPr>
          <w:rFonts w:ascii="Calibri" w:eastAsia="Times New Roman" w:hAnsi="Calibri" w:cs="Guttman Rashi"/>
          <w:noProof w:val="0"/>
          <w:sz w:val="10"/>
          <w:szCs w:val="12"/>
          <w:rtl/>
        </w:rPr>
        <w:t>(</w:t>
      </w:r>
      <w:r w:rsidRPr="00296262">
        <w:rPr>
          <w:rFonts w:ascii="Calibri" w:eastAsia="Times New Roman" w:hAnsi="Calibri" w:cs="Guttman Rashi" w:hint="cs"/>
          <w:noProof w:val="0"/>
          <w:sz w:val="10"/>
          <w:szCs w:val="12"/>
          <w:rtl/>
        </w:rPr>
        <w:t>כא:</w:t>
      </w:r>
      <w:r w:rsidRPr="00296262">
        <w:rPr>
          <w:rFonts w:ascii="Calibri" w:eastAsia="Times New Roman" w:hAnsi="Calibri" w:cs="Guttman Rashi"/>
          <w:noProof w:val="0"/>
          <w:sz w:val="10"/>
          <w:szCs w:val="12"/>
          <w:rtl/>
        </w:rPr>
        <w:t>)</w:t>
      </w:r>
      <w:r>
        <w:rPr>
          <w:rFonts w:hint="cs"/>
          <w:rtl/>
        </w:rPr>
        <w:t xml:space="preserve"> במנורה של חידקי שאין בה חוליות ולב"ש גזרו אטו חוליות, </w:t>
      </w:r>
      <w:r w:rsidRPr="00291EEE">
        <w:rPr>
          <w:rStyle w:val="af"/>
          <w:rFonts w:hint="cs"/>
          <w:rtl/>
        </w:rPr>
        <w:t>[</w:t>
      </w:r>
      <w:r>
        <w:rPr>
          <w:rStyle w:val="af"/>
          <w:rFonts w:hint="cs"/>
          <w:rtl/>
        </w:rPr>
        <w:t>וכן ביארו</w:t>
      </w:r>
      <w:r w:rsidRPr="00291EEE">
        <w:rPr>
          <w:rStyle w:val="af"/>
          <w:rtl/>
        </w:rPr>
        <w:t xml:space="preserve"> </w:t>
      </w:r>
      <w:r w:rsidRPr="00291EEE">
        <w:rPr>
          <w:rStyle w:val="aff9"/>
          <w:rFonts w:hint="cs"/>
          <w:rtl/>
        </w:rPr>
        <w:t>התוס' לעיל</w:t>
      </w:r>
      <w:r w:rsidRPr="00291EEE">
        <w:rPr>
          <w:rStyle w:val="af"/>
          <w:rtl/>
        </w:rPr>
        <w:t xml:space="preserve"> </w:t>
      </w:r>
      <w:r w:rsidRPr="00291EEE">
        <w:rPr>
          <w:rStyle w:val="aff0"/>
          <w:rtl/>
        </w:rPr>
        <w:t xml:space="preserve">(עי' אות </w:t>
      </w:r>
      <w:r w:rsidRPr="00291EEE">
        <w:rPr>
          <w:rStyle w:val="aff0"/>
          <w:rtl/>
        </w:rPr>
        <w:fldChar w:fldCharType="begin"/>
      </w:r>
      <w:r w:rsidRPr="00291EEE">
        <w:rPr>
          <w:rStyle w:val="aff0"/>
          <w:rtl/>
        </w:rPr>
        <w:instrText xml:space="preserve"> </w:instrText>
      </w:r>
      <w:r w:rsidRPr="00291EEE">
        <w:rPr>
          <w:rStyle w:val="aff0"/>
          <w:rFonts w:hint="cs"/>
        </w:rPr>
        <w:instrText>REF</w:instrText>
      </w:r>
      <w:r w:rsidRPr="00291EEE">
        <w:rPr>
          <w:rStyle w:val="aff0"/>
          <w:rFonts w:hint="cs"/>
          <w:rtl/>
        </w:rPr>
        <w:instrText xml:space="preserve"> _</w:instrText>
      </w:r>
      <w:r w:rsidRPr="00291EEE">
        <w:rPr>
          <w:rStyle w:val="aff0"/>
          <w:rFonts w:hint="cs"/>
        </w:rPr>
        <w:instrText>Ref144368635 \r \h</w:instrText>
      </w:r>
      <w:r w:rsidRPr="00291EEE">
        <w:rPr>
          <w:rStyle w:val="aff0"/>
          <w:rtl/>
        </w:rPr>
        <w:instrText xml:space="preserve"> </w:instrText>
      </w:r>
      <w:r w:rsidRPr="00291EEE">
        <w:rPr>
          <w:rStyle w:val="aff0"/>
          <w:rtl/>
        </w:rPr>
      </w:r>
      <w:r w:rsidRPr="00291EEE">
        <w:rPr>
          <w:rStyle w:val="aff0"/>
          <w:rtl/>
        </w:rPr>
        <w:fldChar w:fldCharType="separate"/>
      </w:r>
      <w:r w:rsidR="00D82181">
        <w:rPr>
          <w:rStyle w:val="aff0"/>
          <w:cs/>
        </w:rPr>
        <w:t>‎</w:t>
      </w:r>
      <w:r w:rsidR="00D82181">
        <w:rPr>
          <w:rStyle w:val="aff0"/>
          <w:rtl/>
        </w:rPr>
        <w:t>קעד)</w:t>
      </w:r>
      <w:r w:rsidRPr="00291EEE">
        <w:rPr>
          <w:rStyle w:val="aff0"/>
          <w:rtl/>
        </w:rPr>
        <w:fldChar w:fldCharType="end"/>
      </w:r>
      <w:r w:rsidRPr="00291EEE">
        <w:rPr>
          <w:rStyle w:val="af"/>
          <w:rFonts w:hint="cs"/>
          <w:rtl/>
        </w:rPr>
        <w:t xml:space="preserve">], </w:t>
      </w:r>
      <w:r>
        <w:rPr>
          <w:rFonts w:hint="cs"/>
          <w:rtl/>
        </w:rPr>
        <w:t>והוסיף</w:t>
      </w:r>
      <w:r>
        <w:rPr>
          <w:rtl/>
        </w:rPr>
        <w:t xml:space="preserve"> </w:t>
      </w:r>
      <w:r>
        <w:rPr>
          <w:rFonts w:hint="cs"/>
          <w:b/>
          <w:bCs/>
          <w:rtl/>
        </w:rPr>
        <w:t>הר"ן</w:t>
      </w:r>
      <w:r>
        <w:rPr>
          <w:rtl/>
        </w:rPr>
        <w:t xml:space="preserve"> </w:t>
      </w:r>
      <w:r>
        <w:rPr>
          <w:rFonts w:hint="cs"/>
          <w:rtl/>
        </w:rPr>
        <w:t xml:space="preserve">דכן מוכח מהא דרב בסוגיין ס"ל להדיא דיש בנין בכלים מדמחייב בבונה </w:t>
      </w:r>
      <w:r>
        <w:rPr>
          <w:rFonts w:hint="cs"/>
          <w:rtl/>
        </w:rPr>
        <w:lastRenderedPageBreak/>
        <w:t>בשופתא דקופינא, ואף שמואל דמחייב רק במכה בפטיש אינו מחמת דס"ל דאין בנין בכלים, אלא דאינו דרך בנין, וכדמוכח מהא דפליג שמואל אף בנקב בלול של תרנגולין דהוא מחובר לקרקע, כמבואר בגמ' לקמן</w:t>
      </w:r>
      <w:r>
        <w:rPr>
          <w:rtl/>
        </w:rPr>
        <w:t xml:space="preserve"> </w:t>
      </w:r>
      <w:r w:rsidRPr="003B2880">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קכב:</w:t>
      </w:r>
      <w:r w:rsidRPr="003B2880">
        <w:rPr>
          <w:rFonts w:ascii="Calibri" w:eastAsia="Times New Roman" w:hAnsi="Calibri" w:cs="Guttman Rashi"/>
          <w:noProof w:val="0"/>
          <w:sz w:val="10"/>
          <w:szCs w:val="12"/>
          <w:rtl/>
        </w:rPr>
        <w:t>)</w:t>
      </w:r>
      <w:r>
        <w:rPr>
          <w:rFonts w:hint="cs"/>
          <w:rtl/>
        </w:rPr>
        <w:t>,</w:t>
      </w:r>
      <w:r>
        <w:rPr>
          <w:rtl/>
        </w:rPr>
        <w:t xml:space="preserve"> </w:t>
      </w:r>
      <w:r>
        <w:rPr>
          <w:rFonts w:hint="cs"/>
          <w:rtl/>
        </w:rPr>
        <w:t>וא"כ א"א לומר דנחלקו אי יש בנין בכלים, ומבואר דנחלקו בדרך בנין ואף לשמואל יש בנין בכלים ולכן רב ושמואל מחייבי חטאת</w:t>
      </w:r>
      <w:r w:rsidRPr="000E67AA">
        <w:rPr>
          <w:rFonts w:hint="cs"/>
          <w:rtl/>
        </w:rPr>
        <w:t xml:space="preserve"> </w:t>
      </w:r>
      <w:r>
        <w:rPr>
          <w:rFonts w:hint="cs"/>
          <w:rtl/>
        </w:rPr>
        <w:t>במטה של טרסיים, וכתב</w:t>
      </w:r>
      <w:r>
        <w:rPr>
          <w:rtl/>
        </w:rPr>
        <w:t xml:space="preserve"> </w:t>
      </w:r>
      <w:r>
        <w:rPr>
          <w:rFonts w:hint="cs"/>
          <w:b/>
          <w:bCs/>
          <w:rtl/>
        </w:rPr>
        <w:t>הר"ן</w:t>
      </w:r>
      <w:r>
        <w:rPr>
          <w:rtl/>
        </w:rPr>
        <w:t xml:space="preserve"> </w:t>
      </w:r>
      <w:r>
        <w:rPr>
          <w:rFonts w:hint="cs"/>
          <w:rtl/>
        </w:rPr>
        <w:t>דמקצת ביאור זה כתב</w:t>
      </w:r>
      <w:r>
        <w:rPr>
          <w:rtl/>
        </w:rPr>
        <w:t xml:space="preserve"> </w:t>
      </w:r>
      <w:r>
        <w:rPr>
          <w:rFonts w:hint="cs"/>
          <w:b/>
          <w:bCs/>
          <w:rtl/>
        </w:rPr>
        <w:t>הבעה"מ</w:t>
      </w:r>
      <w:r>
        <w:rPr>
          <w:rFonts w:hint="cs"/>
          <w:rtl/>
        </w:rPr>
        <w:t xml:space="preserve"> </w:t>
      </w:r>
      <w:r w:rsidRPr="00A90D52">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Ref145190073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קעז)</w:t>
      </w:r>
      <w:r>
        <w:rPr>
          <w:rStyle w:val="af2"/>
          <w:rFonts w:eastAsia="Guttman Hodes"/>
          <w:rtl/>
        </w:rPr>
        <w:fldChar w:fldCharType="end"/>
      </w:r>
      <w:r>
        <w:rPr>
          <w:rFonts w:hint="cs"/>
          <w:rtl/>
        </w:rPr>
        <w:t xml:space="preserve"> ומקצתו כתב</w:t>
      </w:r>
      <w:r>
        <w:rPr>
          <w:rtl/>
        </w:rPr>
        <w:t xml:space="preserve"> </w:t>
      </w:r>
      <w:r>
        <w:rPr>
          <w:rFonts w:hint="cs"/>
          <w:b/>
          <w:bCs/>
          <w:rtl/>
        </w:rPr>
        <w:t xml:space="preserve">הרמב"ן במלחמות </w:t>
      </w:r>
      <w:r w:rsidRPr="00A90D52">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Ref144324318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יג)</w:t>
      </w:r>
      <w:r>
        <w:rPr>
          <w:rStyle w:val="af2"/>
          <w:rFonts w:eastAsia="Guttman Hodes"/>
          <w:rtl/>
        </w:rPr>
        <w:fldChar w:fldCharType="end"/>
      </w:r>
      <w:r>
        <w:rPr>
          <w:rFonts w:hint="cs"/>
          <w:rtl/>
        </w:rPr>
        <w:t>.</w:t>
      </w:r>
      <w:r>
        <w:rPr>
          <w:rtl/>
        </w:rPr>
        <w:t xml:space="preserve"> </w:t>
      </w:r>
    </w:p>
    <w:p w14:paraId="32C3B11B" w14:textId="77777777" w:rsidR="000F6808" w:rsidRPr="00111645" w:rsidRDefault="000F6808" w:rsidP="000F6808">
      <w:pPr>
        <w:pStyle w:val="a2"/>
      </w:pPr>
      <w:r w:rsidRPr="00111645">
        <w:rPr>
          <w:rtl/>
        </w:rPr>
        <w:t>וא"ת היכי אמרינן דרב ושמואל סברי יש בנין בכלים והתנן בפרק שני דיום טוב שלשה דברים רבן גמליאל מחמיר כדברי ב"ש אין זוקפין את המנורה ביום טוב כו' ואמרי' עלה בגמרא הכא במנורה של חוליות עסקינן ומשום דמיחזי כבונה ב"ש סברי יש בנין בכלים ויש סתירה בכלים וב"ה סברי אין בנין בכלים ואין סתירה בכלים וכיון שכן היכי שבקי רב ושמואל ב"ה ואמרי כב"ש איכא למימר דאמרי לך רב ושמואל דלאו במנורה של חוליות עסקינן התם אלא בדאית בה חדקי דב"ש גזרי אטו של חוליות וב"ה לא גזרי ותדע לך דהא רב שמעי' ליה בהדיא לקמן דס"ל יש בנין בכלים דאמרי' התם עייל שופתא בקופי' דמרה רב אמר משום בונה אלמא ס"ל דיש בנין ושמואל דפליג נמי התם ואמר משום מכה בפטיש לאו דלא ס"ל אין בנין בכלים אלא משום דס"ל דכה"ג לאו דרך בנין הוא ותדע לך דבכה"ג פליג נמי בעושה נקב קטן בלול של תרנוגלין דרב אמר משום בונה ושמואל אמר משום מכה בפטיש והא ודאי מאן דפליג עליה בלול של תרנוגלין לאו משום דאין בנין בכלים הוא דפליג דהא מחובר לקרקע היא וכדאיתא בריש פרק כל הכלים אלא משום דס"ל דבכה"ג לאו דרך בנין היא, דעייל שופתא בקופא דמרא משום הכי נמי פליג אבל ביש בנין בכלים כרב ס"ל ומשום הכי שוו תרוייהו במחזיר מטה של טרסיים בשבת דחייב חטאת ופי' זה מקצתו כתוב בספר המאור ומקצתו בספר המלחמות.</w:t>
      </w:r>
    </w:p>
    <w:p w14:paraId="186E2217" w14:textId="77777777" w:rsidR="000F6808" w:rsidRPr="00FC269C" w:rsidRDefault="000F6808" w:rsidP="000F6808">
      <w:pPr>
        <w:pStyle w:val="afffff7"/>
        <w:rPr>
          <w:rtl/>
        </w:rPr>
      </w:pPr>
      <w:bookmarkStart w:id="6202" w:name="_Toc145198437"/>
      <w:bookmarkStart w:id="6203" w:name="_Toc145500868"/>
      <w:bookmarkStart w:id="6204" w:name="_Toc163506408"/>
      <w:r w:rsidRPr="00FC269C">
        <w:rPr>
          <w:rtl/>
        </w:rPr>
        <w:t>חדושי הר"ן שבת מ"ז ע"א</w:t>
      </w:r>
      <w:r w:rsidRPr="00FC269C">
        <w:rPr>
          <w:rFonts w:hint="cs"/>
          <w:rtl/>
        </w:rPr>
        <w:t xml:space="preserve"> ד"ה ולענין הלכה</w:t>
      </w:r>
      <w:bookmarkEnd w:id="6202"/>
      <w:bookmarkEnd w:id="6203"/>
      <w:bookmarkEnd w:id="6204"/>
    </w:p>
    <w:p w14:paraId="541E988F" w14:textId="77777777" w:rsidR="000F6808" w:rsidRDefault="000F6808" w:rsidP="000F6808">
      <w:pPr>
        <w:pStyle w:val="a7"/>
        <w:rPr>
          <w:rtl/>
        </w:rPr>
      </w:pPr>
      <w:bookmarkStart w:id="6205" w:name="_Toc145222976"/>
      <w:bookmarkStart w:id="6206" w:name="_Toc145487163"/>
      <w:r>
        <w:rPr>
          <w:rFonts w:hint="cs"/>
          <w:rtl/>
        </w:rPr>
        <w:t>בי' הר"ן ברי"ף דקיי"ל כרבא דאין בנין בכלים ולא כריו"ח ורב ושמואל בד' ב"ה דיש בנין בכלים</w:t>
      </w:r>
      <w:bookmarkEnd w:id="6205"/>
      <w:bookmarkEnd w:id="6206"/>
    </w:p>
    <w:p w14:paraId="34CF7560" w14:textId="089EB160" w:rsidR="000F6808" w:rsidRPr="00ED4ECA" w:rsidRDefault="000F6808" w:rsidP="000F6808">
      <w:pPr>
        <w:pStyle w:val="a3"/>
        <w:rPr>
          <w:rtl/>
        </w:rPr>
      </w:pPr>
      <w:bookmarkStart w:id="6207" w:name="_Ref144375785"/>
      <w:r>
        <w:rPr>
          <w:rFonts w:hint="cs"/>
          <w:rtl/>
        </w:rPr>
        <w:t>וכתב</w:t>
      </w:r>
      <w:r>
        <w:rPr>
          <w:rtl/>
        </w:rPr>
        <w:t xml:space="preserve"> </w:t>
      </w:r>
      <w:r w:rsidRPr="00F36CA5">
        <w:rPr>
          <w:b/>
          <w:bCs/>
          <w:rtl/>
        </w:rPr>
        <w:t>ה</w:t>
      </w:r>
      <w:r w:rsidRPr="00F36CA5">
        <w:rPr>
          <w:b/>
          <w:bCs/>
          <w:vanish/>
          <w:rtl/>
        </w:rPr>
        <w:t xml:space="preserve"> &lt;, </w:t>
      </w:r>
      <w:r w:rsidRPr="00F36CA5">
        <w:rPr>
          <w:b/>
          <w:bCs/>
          <w:vanish/>
          <w:rtl/>
        </w:rPr>
        <w:fldChar w:fldCharType="begin"/>
      </w:r>
      <w:r w:rsidRPr="00F36CA5">
        <w:rPr>
          <w:b/>
          <w:bCs/>
          <w:vanish/>
          <w:rtl/>
        </w:rPr>
        <w:instrText xml:space="preserve"> </w:instrText>
      </w:r>
      <w:r w:rsidRPr="00F36CA5">
        <w:rPr>
          <w:b/>
          <w:bCs/>
          <w:vanish/>
        </w:rPr>
        <w:instrText>REF</w:instrText>
      </w:r>
      <w:r w:rsidRPr="00F36CA5">
        <w:rPr>
          <w:b/>
          <w:bCs/>
          <w:vanish/>
          <w:rtl/>
        </w:rPr>
        <w:instrText xml:space="preserve"> _</w:instrText>
      </w:r>
      <w:r w:rsidRPr="00F36CA5">
        <w:rPr>
          <w:b/>
          <w:bCs/>
          <w:vanish/>
        </w:rPr>
        <w:instrText>Ref144375785 \r \h</w:instrText>
      </w:r>
      <w:r w:rsidRPr="00F36CA5">
        <w:rPr>
          <w:b/>
          <w:bCs/>
          <w:vanish/>
          <w:rtl/>
        </w:rPr>
        <w:instrText xml:space="preserve"> </w:instrText>
      </w:r>
      <w:r w:rsidRPr="00F36CA5">
        <w:rPr>
          <w:b/>
          <w:bCs/>
          <w:vanish/>
          <w:rtl/>
        </w:rPr>
      </w:r>
      <w:r w:rsidRPr="00F36CA5">
        <w:rPr>
          <w:b/>
          <w:bCs/>
          <w:vanish/>
          <w:rtl/>
        </w:rPr>
        <w:fldChar w:fldCharType="separate"/>
      </w:r>
      <w:r w:rsidR="00D82181">
        <w:rPr>
          <w:b/>
          <w:bCs/>
          <w:vanish/>
          <w:cs/>
        </w:rPr>
        <w:t>‎</w:t>
      </w:r>
      <w:r w:rsidR="00D82181">
        <w:rPr>
          <w:b/>
          <w:bCs/>
          <w:vanish/>
          <w:rtl/>
        </w:rPr>
        <w:t>קעג)</w:t>
      </w:r>
      <w:r w:rsidRPr="00F36CA5">
        <w:rPr>
          <w:b/>
          <w:bCs/>
          <w:vanish/>
          <w:rtl/>
        </w:rPr>
        <w:fldChar w:fldCharType="end"/>
      </w:r>
      <w:r w:rsidRPr="00F36CA5">
        <w:rPr>
          <w:b/>
          <w:bCs/>
          <w:vanish/>
          <w:rtl/>
        </w:rPr>
        <w:t xml:space="preserve"> &gt;</w:t>
      </w:r>
      <w:r w:rsidRPr="00F36CA5">
        <w:rPr>
          <w:rFonts w:hint="cs"/>
          <w:b/>
          <w:bCs/>
          <w:rtl/>
        </w:rPr>
        <w:t>ר"ן לעיל</w:t>
      </w:r>
      <w:r w:rsidRPr="00F36CA5">
        <w:rPr>
          <w:b/>
          <w:bCs/>
          <w:rtl/>
        </w:rPr>
        <w:t xml:space="preserve"> </w:t>
      </w:r>
      <w:r w:rsidRPr="00F36CA5">
        <w:rPr>
          <w:rFonts w:ascii="Calibri" w:eastAsia="Times New Roman" w:hAnsi="Calibri" w:cs="Guttman Rashi"/>
          <w:noProof w:val="0"/>
          <w:sz w:val="10"/>
          <w:szCs w:val="12"/>
          <w:rtl/>
        </w:rPr>
        <w:t>(</w:t>
      </w:r>
      <w:r w:rsidRPr="00F36CA5">
        <w:rPr>
          <w:rFonts w:ascii="Calibri" w:eastAsia="Times New Roman" w:hAnsi="Calibri" w:cs="Guttman Rashi" w:hint="cs"/>
          <w:noProof w:val="0"/>
          <w:sz w:val="10"/>
          <w:szCs w:val="12"/>
          <w:rtl/>
        </w:rPr>
        <w:t>מז. ד"ה ולענין הלכה</w:t>
      </w:r>
      <w:r w:rsidRPr="00F36CA5">
        <w:rPr>
          <w:rFonts w:ascii="Calibri" w:eastAsia="Times New Roman" w:hAnsi="Calibri" w:cs="Guttman Rashi"/>
          <w:noProof w:val="0"/>
          <w:sz w:val="10"/>
          <w:szCs w:val="12"/>
          <w:rtl/>
        </w:rPr>
        <w:t>)</w:t>
      </w:r>
      <w:bookmarkEnd w:id="6207"/>
      <w:r w:rsidRPr="00F36CA5">
        <w:rPr>
          <w:vanish/>
          <w:rtl/>
        </w:rPr>
        <w:t>=</w:t>
      </w:r>
      <w:r>
        <w:rPr>
          <w:rtl/>
        </w:rPr>
        <w:t xml:space="preserve"> </w:t>
      </w:r>
      <w:r>
        <w:rPr>
          <w:rFonts w:hint="cs"/>
          <w:rtl/>
        </w:rPr>
        <w:t xml:space="preserve">דלהלכה קיי"ל כגמ' בביצה </w:t>
      </w:r>
      <w:r w:rsidRPr="00F36CA5">
        <w:rPr>
          <w:rFonts w:ascii="Calibri" w:eastAsia="Times New Roman" w:hAnsi="Calibri" w:cs="Guttman Rashi"/>
          <w:noProof w:val="0"/>
          <w:sz w:val="10"/>
          <w:szCs w:val="12"/>
          <w:rtl/>
        </w:rPr>
        <w:t>(</w:t>
      </w:r>
      <w:r w:rsidRPr="00F36CA5">
        <w:rPr>
          <w:rFonts w:ascii="Calibri" w:eastAsia="Times New Roman" w:hAnsi="Calibri" w:cs="Guttman Rashi" w:hint="cs"/>
          <w:noProof w:val="0"/>
          <w:sz w:val="10"/>
          <w:szCs w:val="12"/>
          <w:rtl/>
        </w:rPr>
        <w:t>כא:</w:t>
      </w:r>
      <w:r w:rsidRPr="00F36CA5">
        <w:rPr>
          <w:rFonts w:ascii="Calibri" w:eastAsia="Times New Roman" w:hAnsi="Calibri" w:cs="Guttman Rashi"/>
          <w:noProof w:val="0"/>
          <w:sz w:val="10"/>
          <w:szCs w:val="12"/>
          <w:rtl/>
        </w:rPr>
        <w:t>)</w:t>
      </w:r>
      <w:r>
        <w:rPr>
          <w:rFonts w:hint="cs"/>
          <w:rtl/>
        </w:rPr>
        <w:t xml:space="preserve"> דאין בנין בכלים, וכן דעת רבא דהוא בתראה בגמ' לעיל </w:t>
      </w:r>
      <w:r w:rsidRPr="00F36CA5">
        <w:rPr>
          <w:rFonts w:ascii="Calibri" w:eastAsia="Times New Roman" w:hAnsi="Calibri" w:cs="Guttman Rashi"/>
          <w:noProof w:val="0"/>
          <w:sz w:val="10"/>
          <w:szCs w:val="12"/>
          <w:rtl/>
        </w:rPr>
        <w:t>(</w:t>
      </w:r>
      <w:r w:rsidRPr="00F36CA5">
        <w:rPr>
          <w:rFonts w:ascii="Calibri" w:eastAsia="Times New Roman" w:hAnsi="Calibri" w:cs="Guttman Rashi" w:hint="cs"/>
          <w:noProof w:val="0"/>
          <w:sz w:val="10"/>
          <w:szCs w:val="12"/>
          <w:rtl/>
        </w:rPr>
        <w:t>מז:</w:t>
      </w:r>
      <w:r w:rsidRPr="00F36CA5">
        <w:rPr>
          <w:rFonts w:ascii="Calibri" w:eastAsia="Times New Roman" w:hAnsi="Calibri" w:cs="Guttman Rashi"/>
          <w:noProof w:val="0"/>
          <w:sz w:val="10"/>
          <w:szCs w:val="12"/>
          <w:rtl/>
        </w:rPr>
        <w:t>)</w:t>
      </w:r>
      <w:r>
        <w:rPr>
          <w:rtl/>
        </w:rPr>
        <w:t xml:space="preserve"> </w:t>
      </w:r>
      <w:r>
        <w:rPr>
          <w:rFonts w:hint="cs"/>
          <w:rtl/>
        </w:rPr>
        <w:t>דאמר דס"ל כרשב"ג דמתיר ברפוי, וכתב</w:t>
      </w:r>
      <w:r>
        <w:rPr>
          <w:rtl/>
        </w:rPr>
        <w:t xml:space="preserve"> </w:t>
      </w:r>
      <w:r w:rsidRPr="00F36CA5">
        <w:rPr>
          <w:rFonts w:hint="cs"/>
          <w:b/>
          <w:bCs/>
          <w:rtl/>
        </w:rPr>
        <w:t>הר"ן</w:t>
      </w:r>
      <w:r>
        <w:rPr>
          <w:rtl/>
        </w:rPr>
        <w:t xml:space="preserve"> </w:t>
      </w:r>
      <w:r>
        <w:rPr>
          <w:rFonts w:hint="cs"/>
          <w:rtl/>
        </w:rPr>
        <w:t>דמשמע דריו"ח בגמ' לעיל</w:t>
      </w:r>
      <w:r>
        <w:rPr>
          <w:rtl/>
        </w:rPr>
        <w:t xml:space="preserve"> </w:t>
      </w:r>
      <w:r w:rsidRPr="00F36CA5">
        <w:rPr>
          <w:rFonts w:ascii="Calibri" w:eastAsia="Times New Roman" w:hAnsi="Calibri" w:cs="Guttman Rashi"/>
          <w:noProof w:val="0"/>
          <w:sz w:val="10"/>
          <w:szCs w:val="12"/>
          <w:rtl/>
        </w:rPr>
        <w:t>(</w:t>
      </w:r>
      <w:r w:rsidRPr="00F36CA5">
        <w:rPr>
          <w:rFonts w:ascii="Calibri" w:eastAsia="Times New Roman" w:hAnsi="Calibri" w:cs="Guttman Rashi" w:hint="cs"/>
          <w:noProof w:val="0"/>
          <w:sz w:val="10"/>
          <w:szCs w:val="12"/>
          <w:rtl/>
        </w:rPr>
        <w:t>מו.</w:t>
      </w:r>
      <w:r w:rsidRPr="00F36CA5">
        <w:rPr>
          <w:rFonts w:ascii="Calibri" w:eastAsia="Times New Roman" w:hAnsi="Calibri" w:cs="Guttman Rashi"/>
          <w:noProof w:val="0"/>
          <w:sz w:val="10"/>
          <w:szCs w:val="12"/>
          <w:rtl/>
        </w:rPr>
        <w:t>)</w:t>
      </w:r>
      <w:r w:rsidRPr="00F36CA5">
        <w:rPr>
          <w:rFonts w:ascii="Calibri" w:eastAsia="Times New Roman" w:hAnsi="Calibri" w:cs="Guttman Rashi" w:hint="cs"/>
          <w:noProof w:val="0"/>
          <w:sz w:val="10"/>
          <w:szCs w:val="12"/>
          <w:rtl/>
        </w:rPr>
        <w:t xml:space="preserve"> </w:t>
      </w:r>
      <w:r>
        <w:rPr>
          <w:rFonts w:hint="cs"/>
          <w:rtl/>
        </w:rPr>
        <w:t>ס"ל דיש בנין בכלים, מדאסר לטלטל אף מנורה דאית בה חידקי אטו מנורה של חוליות, וכרב ושמואל דס"ל דבמנורה של חוליות יש איסור דאו' אף בלא תקע, ולכן אמר ריו"ח דגזרו בחידקי אטו של חוליות, וביאר</w:t>
      </w:r>
      <w:r>
        <w:rPr>
          <w:rtl/>
        </w:rPr>
        <w:t xml:space="preserve"> </w:t>
      </w:r>
      <w:r w:rsidRPr="00F36CA5">
        <w:rPr>
          <w:rFonts w:hint="cs"/>
          <w:b/>
          <w:bCs/>
          <w:rtl/>
        </w:rPr>
        <w:t>הר"ן</w:t>
      </w:r>
      <w:r>
        <w:rPr>
          <w:rtl/>
        </w:rPr>
        <w:t xml:space="preserve"> </w:t>
      </w:r>
      <w:r>
        <w:rPr>
          <w:rFonts w:hint="cs"/>
          <w:rtl/>
        </w:rPr>
        <w:t>דריו"ח מתרץ את הגמ' בביצה דמשום שמחת יו"ט לא גזרו ביש בה חידקי, וא"כ לדידן דקיי"ל דאין בנין בכלים ממילא בין ביש בה חידקי ואף ביש בה חוליות מותר, ולכן השמיט</w:t>
      </w:r>
      <w:r>
        <w:rPr>
          <w:rtl/>
        </w:rPr>
        <w:t xml:space="preserve"> </w:t>
      </w:r>
      <w:r w:rsidRPr="00F36CA5">
        <w:rPr>
          <w:rFonts w:hint="cs"/>
          <w:b/>
          <w:bCs/>
          <w:rtl/>
        </w:rPr>
        <w:t>הרי"ף</w:t>
      </w:r>
      <w:r>
        <w:rPr>
          <w:rtl/>
        </w:rPr>
        <w:t xml:space="preserve"> </w:t>
      </w:r>
      <w:r>
        <w:rPr>
          <w:rFonts w:hint="cs"/>
          <w:rtl/>
        </w:rPr>
        <w:t>את דברי ריו"ח.</w:t>
      </w:r>
    </w:p>
    <w:p w14:paraId="15D6AC09" w14:textId="77777777" w:rsidR="000F6808" w:rsidRPr="0088513D" w:rsidRDefault="000F6808" w:rsidP="000F6808">
      <w:pPr>
        <w:pStyle w:val="afffffe"/>
        <w:rPr>
          <w:vanish/>
          <w:rtl/>
        </w:rPr>
      </w:pPr>
      <w:r w:rsidRPr="0088513D">
        <w:rPr>
          <w:vanish/>
          <w:rtl/>
        </w:rPr>
        <w:t>חדושי הר"ן שבת מ"ז ע"א</w:t>
      </w:r>
      <w:r w:rsidRPr="0088513D">
        <w:rPr>
          <w:rFonts w:hint="cs"/>
          <w:vanish/>
          <w:rtl/>
        </w:rPr>
        <w:t xml:space="preserve"> ד"ה ולענין הלכה</w:t>
      </w:r>
    </w:p>
    <w:p w14:paraId="679285AC" w14:textId="77777777" w:rsidR="000F6808" w:rsidRDefault="000F6808" w:rsidP="000F6808">
      <w:pPr>
        <w:pStyle w:val="a2"/>
        <w:rPr>
          <w:rtl/>
        </w:rPr>
      </w:pPr>
      <w:r w:rsidRPr="00111645">
        <w:rPr>
          <w:rtl/>
        </w:rPr>
        <w:t>ולענין הלכה כיון דסוגיין בפרק יום טוב שחל דאין בנין בכלים ורבא נמי דבתרא הוא אמר אנא כרשב"ג ס"ל דאם היה רפוי מותר נקטי' הכי דאין בנין בכלים ואין סתירה בכלים ומשמע דר' יוחנן נמי דאסר לטלטל כל מנורה בין גדולה בין קטנה דאית בה חדקי כרב ושמואל ס"ל דסברי דיש בנין בכלים וכיון דבשל חוליות איכא איסורא דאורייתא אף על פי שלא תקע בדאית בה חדקי נמי גזרינן אטו של חוליות וההיא דפרק שני דביצה דשרו ב"ה בדאית בה חדקי מתרץ ר' יוחנן (משום) [דמשום] שמחת יום טוב לא גזרי ב"ה אטו של חוליות הלכך לדידן דקי"ל דאין בנין בכלים ואין סתירה בכלים לא מיבעיא בדאית בה חדקי דשרי אלא לטלטל מנורה של חוליות נמי שרי וזהו טעמו של הרב אלפסי ז"ל שהשמיטה מן ההלכות וכמו שכתבתי למעלה</w:t>
      </w:r>
      <w:r w:rsidRPr="00111645">
        <w:rPr>
          <w:rFonts w:hint="cs"/>
          <w:rtl/>
        </w:rPr>
        <w:t>.</w:t>
      </w:r>
    </w:p>
    <w:p w14:paraId="7B1EFE5C" w14:textId="77777777" w:rsidR="000F6808" w:rsidRPr="00BB764C" w:rsidRDefault="000F6808" w:rsidP="000F6808">
      <w:pPr>
        <w:pStyle w:val="1"/>
        <w:rPr>
          <w:rtl/>
        </w:rPr>
      </w:pPr>
      <w:bookmarkStart w:id="6208" w:name="_Toc145222949"/>
      <w:bookmarkStart w:id="6209" w:name="_Toc145487164"/>
      <w:r>
        <w:rPr>
          <w:rFonts w:hint="cs"/>
          <w:rtl/>
        </w:rPr>
        <w:t>פלו' הראשונים בד' ריו"ח אי ס"ל דיש בנין בכלים</w:t>
      </w:r>
      <w:bookmarkEnd w:id="6208"/>
      <w:bookmarkEnd w:id="6209"/>
      <w:r>
        <w:rPr>
          <w:rFonts w:hint="cs"/>
          <w:rtl/>
        </w:rPr>
        <w:t xml:space="preserve"> </w:t>
      </w:r>
    </w:p>
    <w:p w14:paraId="6F10F852" w14:textId="77777777" w:rsidR="000F6808" w:rsidRPr="00FC269C" w:rsidRDefault="000F6808" w:rsidP="000F6808">
      <w:pPr>
        <w:pStyle w:val="afffff7"/>
        <w:rPr>
          <w:rtl/>
        </w:rPr>
      </w:pPr>
      <w:bookmarkStart w:id="6210" w:name="_Toc145198422"/>
      <w:bookmarkStart w:id="6211" w:name="_Toc145500869"/>
      <w:bookmarkStart w:id="6212" w:name="_Toc163506409"/>
      <w:r w:rsidRPr="00FC269C">
        <w:rPr>
          <w:rtl/>
        </w:rPr>
        <w:t>תוספות שבת מ"ו ע"א</w:t>
      </w:r>
      <w:r w:rsidRPr="00FC269C">
        <w:rPr>
          <w:rFonts w:hint="cs"/>
          <w:rtl/>
        </w:rPr>
        <w:t xml:space="preserve"> ד"ה דחוליות</w:t>
      </w:r>
      <w:bookmarkEnd w:id="6210"/>
      <w:bookmarkEnd w:id="6211"/>
      <w:bookmarkEnd w:id="6212"/>
    </w:p>
    <w:p w14:paraId="79134704" w14:textId="77777777" w:rsidR="000F6808" w:rsidRPr="00FC269C" w:rsidRDefault="000F6808" w:rsidP="000F6808">
      <w:pPr>
        <w:pStyle w:val="afffff7"/>
        <w:rPr>
          <w:rtl/>
        </w:rPr>
      </w:pPr>
      <w:bookmarkStart w:id="6213" w:name="_Toc145198423"/>
      <w:bookmarkStart w:id="6214" w:name="_Toc145500870"/>
      <w:bookmarkStart w:id="6215" w:name="_Toc163506410"/>
      <w:r w:rsidRPr="00FC269C">
        <w:rPr>
          <w:rtl/>
        </w:rPr>
        <w:t>תוספות ביצה כ"ב ע"א</w:t>
      </w:r>
      <w:r w:rsidRPr="00FC269C">
        <w:rPr>
          <w:rFonts w:hint="cs"/>
          <w:rtl/>
        </w:rPr>
        <w:t xml:space="preserve"> ד"ה וב"ה</w:t>
      </w:r>
      <w:bookmarkEnd w:id="6213"/>
      <w:bookmarkEnd w:id="6214"/>
      <w:bookmarkEnd w:id="6215"/>
    </w:p>
    <w:p w14:paraId="73984D93" w14:textId="77777777" w:rsidR="000F6808" w:rsidRDefault="000F6808" w:rsidP="000F6808">
      <w:pPr>
        <w:pStyle w:val="afffff7"/>
        <w:rPr>
          <w:rtl/>
        </w:rPr>
      </w:pPr>
      <w:bookmarkStart w:id="6216" w:name="_Toc145198424"/>
      <w:bookmarkStart w:id="6217" w:name="_Toc145500871"/>
      <w:bookmarkStart w:id="6218" w:name="_Toc163506411"/>
      <w:r w:rsidRPr="00FC269C">
        <w:rPr>
          <w:rtl/>
        </w:rPr>
        <w:t>חדושי הרשב"א שבת מ"ו ע"א</w:t>
      </w:r>
      <w:r w:rsidRPr="00FC269C">
        <w:rPr>
          <w:rFonts w:hint="cs"/>
          <w:rtl/>
        </w:rPr>
        <w:t xml:space="preserve"> ד"ה הלכך</w:t>
      </w:r>
      <w:bookmarkEnd w:id="6216"/>
      <w:bookmarkEnd w:id="6217"/>
      <w:bookmarkEnd w:id="6218"/>
    </w:p>
    <w:p w14:paraId="34E4FA9D" w14:textId="77777777" w:rsidR="000F6808" w:rsidRPr="00504AA5" w:rsidRDefault="000F6808" w:rsidP="000F6808">
      <w:pPr>
        <w:pStyle w:val="a7"/>
        <w:rPr>
          <w:rtl/>
        </w:rPr>
      </w:pPr>
      <w:bookmarkStart w:id="6219" w:name="_Toc145487165"/>
      <w:r>
        <w:rPr>
          <w:rFonts w:hint="cs"/>
          <w:rtl/>
        </w:rPr>
        <w:t>קו' תוס' דהיאך אסר ריו"ח לטלטל מנורה של חוליות וב"ה התירו לזקוף מנורה דאין בנין בכלים</w:t>
      </w:r>
      <w:bookmarkEnd w:id="6219"/>
    </w:p>
    <w:p w14:paraId="4F6F1667" w14:textId="38E23B9C" w:rsidR="000F6808" w:rsidRDefault="000F6808" w:rsidP="000F6808">
      <w:pPr>
        <w:pStyle w:val="a3"/>
      </w:pPr>
      <w:bookmarkStart w:id="6220" w:name="_Ref144368635"/>
      <w:r>
        <w:rPr>
          <w:rFonts w:hint="cs"/>
          <w:rtl/>
        </w:rPr>
        <w:t>בהא דאמר ריו"ח בגמ' לעיל</w:t>
      </w:r>
      <w:r>
        <w:rPr>
          <w:rtl/>
        </w:rPr>
        <w:t xml:space="preserve"> </w:t>
      </w:r>
      <w:r w:rsidRPr="00296262">
        <w:rPr>
          <w:rFonts w:ascii="Calibri" w:eastAsia="Times New Roman" w:hAnsi="Calibri" w:cs="Guttman Rashi"/>
          <w:noProof w:val="0"/>
          <w:sz w:val="10"/>
          <w:szCs w:val="12"/>
          <w:rtl/>
        </w:rPr>
        <w:t>(</w:t>
      </w:r>
      <w:r w:rsidRPr="00296262">
        <w:rPr>
          <w:rFonts w:ascii="Calibri" w:eastAsia="Times New Roman" w:hAnsi="Calibri" w:cs="Guttman Rashi" w:hint="cs"/>
          <w:noProof w:val="0"/>
          <w:sz w:val="10"/>
          <w:szCs w:val="12"/>
          <w:rtl/>
        </w:rPr>
        <w:t>מו.</w:t>
      </w:r>
      <w:r w:rsidRPr="00296262">
        <w:rPr>
          <w:rFonts w:ascii="Calibri" w:eastAsia="Times New Roman" w:hAnsi="Calibri" w:cs="Guttman Rashi"/>
          <w:noProof w:val="0"/>
          <w:sz w:val="10"/>
          <w:szCs w:val="12"/>
          <w:rtl/>
        </w:rPr>
        <w:t>)</w:t>
      </w:r>
      <w:r w:rsidRPr="00296262">
        <w:rPr>
          <w:rFonts w:ascii="Calibri" w:eastAsia="Times New Roman" w:hAnsi="Calibri" w:cs="Guttman Rashi" w:hint="cs"/>
          <w:noProof w:val="0"/>
          <w:sz w:val="10"/>
          <w:szCs w:val="12"/>
          <w:rtl/>
        </w:rPr>
        <w:t xml:space="preserve"> </w:t>
      </w:r>
      <w:r>
        <w:rPr>
          <w:rFonts w:hint="cs"/>
          <w:rtl/>
        </w:rPr>
        <w:t>דאסור לטלטל מנורה של חוליות, הקשו</w:t>
      </w:r>
      <w:r>
        <w:rPr>
          <w:rtl/>
        </w:rPr>
        <w:t xml:space="preserve"> </w:t>
      </w:r>
      <w:r>
        <w:rPr>
          <w:rFonts w:hint="cs"/>
          <w:b/>
          <w:bCs/>
          <w:vanish/>
          <w:rtl/>
        </w:rPr>
        <w:t xml:space="preserve">&lt;, </w:t>
      </w:r>
      <w:bookmarkStart w:id="6221" w:name="_Hlk144374977"/>
      <w:r>
        <w:rPr>
          <w:b/>
          <w:bCs/>
          <w:vanish/>
          <w:rtl/>
        </w:rPr>
        <w:fldChar w:fldCharType="begin"/>
      </w:r>
      <w:r>
        <w:rPr>
          <w:b/>
          <w:bCs/>
          <w:vanish/>
          <w:rtl/>
        </w:rPr>
        <w:instrText xml:space="preserve"> </w:instrText>
      </w:r>
      <w:r>
        <w:rPr>
          <w:rFonts w:hint="cs"/>
          <w:b/>
          <w:bCs/>
          <w:vanish/>
        </w:rPr>
        <w:instrText>REF</w:instrText>
      </w:r>
      <w:r>
        <w:rPr>
          <w:rFonts w:hint="cs"/>
          <w:b/>
          <w:bCs/>
          <w:vanish/>
          <w:rtl/>
        </w:rPr>
        <w:instrText xml:space="preserve"> _</w:instrText>
      </w:r>
      <w:r>
        <w:rPr>
          <w:rFonts w:hint="cs"/>
          <w:b/>
          <w:bCs/>
          <w:vanish/>
        </w:rPr>
        <w:instrText>Ref144368635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קעד)</w:t>
      </w:r>
      <w:r>
        <w:rPr>
          <w:b/>
          <w:bCs/>
          <w:vanish/>
          <w:rtl/>
        </w:rPr>
        <w:fldChar w:fldCharType="end"/>
      </w:r>
      <w:r>
        <w:rPr>
          <w:rFonts w:hint="cs"/>
          <w:b/>
          <w:bCs/>
          <w:vanish/>
          <w:rtl/>
        </w:rPr>
        <w:t xml:space="preserve"> </w:t>
      </w:r>
      <w:bookmarkEnd w:id="6221"/>
      <w:r>
        <w:rPr>
          <w:rFonts w:hint="cs"/>
          <w:b/>
          <w:bCs/>
          <w:vanish/>
          <w:rtl/>
        </w:rPr>
        <w:t>&gt;</w:t>
      </w:r>
      <w:r w:rsidRPr="00296262">
        <w:rPr>
          <w:rFonts w:hint="cs"/>
          <w:b/>
          <w:bCs/>
          <w:rtl/>
        </w:rPr>
        <w:t>ר"י בתוס' לעיל</w:t>
      </w:r>
      <w:r w:rsidRPr="00296262">
        <w:rPr>
          <w:b/>
          <w:bCs/>
          <w:rtl/>
        </w:rPr>
        <w:t xml:space="preserve"> </w:t>
      </w:r>
      <w:r w:rsidRPr="00296262">
        <w:rPr>
          <w:rFonts w:ascii="Calibri" w:eastAsia="Times New Roman" w:hAnsi="Calibri" w:cs="Guttman Rashi"/>
          <w:noProof w:val="0"/>
          <w:sz w:val="10"/>
          <w:szCs w:val="12"/>
          <w:rtl/>
        </w:rPr>
        <w:t>(</w:t>
      </w:r>
      <w:r w:rsidRPr="00296262">
        <w:rPr>
          <w:rFonts w:ascii="Calibri" w:eastAsia="Times New Roman" w:hAnsi="Calibri" w:cs="Guttman Rashi" w:hint="cs"/>
          <w:noProof w:val="0"/>
          <w:sz w:val="10"/>
          <w:szCs w:val="12"/>
          <w:rtl/>
        </w:rPr>
        <w:t>מו. ד"ה דחוליות</w:t>
      </w:r>
      <w:r w:rsidRPr="00296262">
        <w:rPr>
          <w:rFonts w:ascii="Calibri" w:eastAsia="Times New Roman" w:hAnsi="Calibri" w:cs="Guttman Rashi"/>
          <w:noProof w:val="0"/>
          <w:sz w:val="10"/>
          <w:szCs w:val="12"/>
          <w:rtl/>
        </w:rPr>
        <w:t>)</w:t>
      </w:r>
      <w:r w:rsidRPr="00296262">
        <w:rPr>
          <w:vanish/>
          <w:rtl/>
        </w:rPr>
        <w:t>=</w:t>
      </w:r>
      <w:r>
        <w:rPr>
          <w:rFonts w:hint="cs"/>
          <w:rtl/>
        </w:rPr>
        <w:t xml:space="preserve"> </w:t>
      </w:r>
      <w:r>
        <w:rPr>
          <w:rFonts w:hint="cs"/>
          <w:b/>
          <w:bCs/>
          <w:rtl/>
        </w:rPr>
        <w:t>ו</w:t>
      </w:r>
      <w:r w:rsidRPr="00977DB6">
        <w:rPr>
          <w:b/>
          <w:bCs/>
          <w:rtl/>
        </w:rPr>
        <w:t>ה</w:t>
      </w:r>
      <w:r>
        <w:rPr>
          <w:rFonts w:hint="cs"/>
          <w:b/>
          <w:bCs/>
          <w:vanish/>
          <w:rtl/>
        </w:rPr>
        <w:t>&lt; &gt;</w:t>
      </w:r>
      <w:r>
        <w:rPr>
          <w:rFonts w:hint="cs"/>
          <w:b/>
          <w:bCs/>
          <w:rtl/>
        </w:rPr>
        <w:t>תוס' בביצה</w:t>
      </w:r>
      <w:r w:rsidRPr="00977DB6">
        <w:rPr>
          <w:b/>
          <w:bCs/>
          <w:rtl/>
        </w:rPr>
        <w:t xml:space="preserve"> </w:t>
      </w:r>
      <w:r w:rsidRPr="00977DB6">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כב. ד"ה וב"ה</w:t>
      </w:r>
      <w:r w:rsidRPr="00977DB6">
        <w:rPr>
          <w:rFonts w:ascii="Calibri" w:eastAsia="Times New Roman" w:hAnsi="Calibri" w:cs="Guttman Rashi"/>
          <w:noProof w:val="0"/>
          <w:sz w:val="10"/>
          <w:szCs w:val="12"/>
          <w:rtl/>
        </w:rPr>
        <w:t>)</w:t>
      </w:r>
      <w:r w:rsidRPr="00977DB6">
        <w:rPr>
          <w:vanish/>
          <w:rtl/>
        </w:rPr>
        <w:t>=</w:t>
      </w:r>
      <w:r>
        <w:rPr>
          <w:rtl/>
        </w:rPr>
        <w:t xml:space="preserve"> </w:t>
      </w:r>
      <w:r>
        <w:rPr>
          <w:rFonts w:hint="cs"/>
          <w:b/>
          <w:bCs/>
          <w:rtl/>
        </w:rPr>
        <w:t>ו</w:t>
      </w:r>
      <w:r w:rsidRPr="00977DB6">
        <w:rPr>
          <w:b/>
          <w:bCs/>
          <w:rtl/>
        </w:rPr>
        <w:t>ה</w:t>
      </w:r>
      <w:r>
        <w:rPr>
          <w:rFonts w:hint="cs"/>
          <w:b/>
          <w:bCs/>
          <w:vanish/>
          <w:rtl/>
        </w:rPr>
        <w:t>&lt; &gt;</w:t>
      </w:r>
      <w:r>
        <w:rPr>
          <w:rFonts w:hint="cs"/>
          <w:b/>
          <w:bCs/>
          <w:rtl/>
        </w:rPr>
        <w:t>רשב"א לעיל</w:t>
      </w:r>
      <w:r w:rsidRPr="00977DB6">
        <w:rPr>
          <w:b/>
          <w:bCs/>
          <w:rtl/>
        </w:rPr>
        <w:t xml:space="preserve"> </w:t>
      </w:r>
      <w:r w:rsidRPr="00977DB6">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מו. ד"ה הלכך</w:t>
      </w:r>
      <w:r w:rsidRPr="00977DB6">
        <w:rPr>
          <w:rFonts w:ascii="Calibri" w:eastAsia="Times New Roman" w:hAnsi="Calibri" w:cs="Guttman Rashi"/>
          <w:noProof w:val="0"/>
          <w:sz w:val="10"/>
          <w:szCs w:val="12"/>
          <w:rtl/>
        </w:rPr>
        <w:t>)</w:t>
      </w:r>
      <w:r w:rsidRPr="00977DB6">
        <w:rPr>
          <w:vanish/>
          <w:rtl/>
        </w:rPr>
        <w:t>=</w:t>
      </w:r>
      <w:r>
        <w:rPr>
          <w:rtl/>
        </w:rPr>
        <w:t xml:space="preserve"> </w:t>
      </w:r>
      <w:r>
        <w:rPr>
          <w:rFonts w:hint="cs"/>
          <w:rtl/>
        </w:rPr>
        <w:t>דהא בגמ' בביצה</w:t>
      </w:r>
      <w:r>
        <w:rPr>
          <w:rtl/>
        </w:rPr>
        <w:t xml:space="preserve"> </w:t>
      </w:r>
      <w:r w:rsidRPr="00296262">
        <w:rPr>
          <w:rFonts w:ascii="Calibri" w:eastAsia="Times New Roman" w:hAnsi="Calibri" w:cs="Guttman Rashi"/>
          <w:noProof w:val="0"/>
          <w:sz w:val="10"/>
          <w:szCs w:val="12"/>
          <w:rtl/>
        </w:rPr>
        <w:t>(</w:t>
      </w:r>
      <w:r w:rsidRPr="00296262">
        <w:rPr>
          <w:rFonts w:ascii="Calibri" w:eastAsia="Times New Roman" w:hAnsi="Calibri" w:cs="Guttman Rashi" w:hint="cs"/>
          <w:noProof w:val="0"/>
          <w:sz w:val="10"/>
          <w:szCs w:val="12"/>
          <w:rtl/>
        </w:rPr>
        <w:t>כא:</w:t>
      </w:r>
      <w:r w:rsidRPr="00296262">
        <w:rPr>
          <w:rFonts w:ascii="Calibri" w:eastAsia="Times New Roman" w:hAnsi="Calibri" w:cs="Guttman Rashi"/>
          <w:noProof w:val="0"/>
          <w:sz w:val="10"/>
          <w:szCs w:val="12"/>
          <w:rtl/>
        </w:rPr>
        <w:t>)</w:t>
      </w:r>
      <w:r>
        <w:rPr>
          <w:rtl/>
        </w:rPr>
        <w:t xml:space="preserve"> </w:t>
      </w:r>
      <w:r>
        <w:rPr>
          <w:rFonts w:hint="cs"/>
          <w:rtl/>
        </w:rPr>
        <w:t xml:space="preserve">מבואר דב"ה מתירים לזקוף מנורה של חוליות דאין בנין בכלים, </w:t>
      </w:r>
      <w:bookmarkStart w:id="6222" w:name="_Hlk144374743"/>
      <w:r>
        <w:rPr>
          <w:rFonts w:hint="cs"/>
          <w:rtl/>
        </w:rPr>
        <w:t xml:space="preserve">ואמרינן בגמ' דהתירו להחזיר מנורה של חוליות. </w:t>
      </w:r>
      <w:bookmarkEnd w:id="6222"/>
      <w:r>
        <w:rPr>
          <w:rStyle w:val="af"/>
          <w:rFonts w:hint="cs"/>
          <w:rtl/>
        </w:rPr>
        <w:t>[</w:t>
      </w:r>
      <w:r w:rsidRPr="00BB764C">
        <w:rPr>
          <w:rStyle w:val="af"/>
          <w:rFonts w:hint="cs"/>
          <w:rtl/>
        </w:rPr>
        <w:t>וכתבו</w:t>
      </w:r>
      <w:r w:rsidRPr="00BB764C">
        <w:rPr>
          <w:rStyle w:val="af"/>
          <w:rtl/>
        </w:rPr>
        <w:t xml:space="preserve"> </w:t>
      </w:r>
      <w:r w:rsidRPr="00A940B9">
        <w:rPr>
          <w:rStyle w:val="aff9"/>
          <w:rFonts w:hint="cs"/>
          <w:rtl/>
        </w:rPr>
        <w:t>התוס' בסוגיין</w:t>
      </w:r>
      <w:r w:rsidRPr="00BB764C">
        <w:rPr>
          <w:rStyle w:val="af"/>
          <w:rtl/>
        </w:rPr>
        <w:t xml:space="preserve"> </w:t>
      </w:r>
      <w:r w:rsidRPr="00BB764C">
        <w:rPr>
          <w:rStyle w:val="af"/>
          <w:rFonts w:hint="cs"/>
          <w:rtl/>
        </w:rPr>
        <w:t>דלרשב"ג בברייתא לעיל</w:t>
      </w:r>
      <w:r w:rsidRPr="00A940B9">
        <w:rPr>
          <w:rStyle w:val="aff0"/>
          <w:rtl/>
        </w:rPr>
        <w:t xml:space="preserve"> (</w:t>
      </w:r>
      <w:r w:rsidRPr="00A940B9">
        <w:rPr>
          <w:rStyle w:val="aff0"/>
          <w:rFonts w:hint="cs"/>
          <w:rtl/>
        </w:rPr>
        <w:t>מז.</w:t>
      </w:r>
      <w:r w:rsidRPr="00A940B9">
        <w:rPr>
          <w:rStyle w:val="aff0"/>
          <w:rtl/>
        </w:rPr>
        <w:t>)</w:t>
      </w:r>
      <w:r w:rsidRPr="00A940B9">
        <w:rPr>
          <w:rStyle w:val="aff0"/>
          <w:rFonts w:hint="cs"/>
          <w:rtl/>
        </w:rPr>
        <w:t xml:space="preserve"> </w:t>
      </w:r>
      <w:r w:rsidRPr="00BB764C">
        <w:rPr>
          <w:rStyle w:val="af"/>
          <w:rFonts w:hint="cs"/>
          <w:rtl/>
        </w:rPr>
        <w:t>דמתיר להחזיר ברפוי אפש"ל דאיירי ברפוי, אבל לת"ק דאוסר קשה</w:t>
      </w:r>
      <w:r>
        <w:rPr>
          <w:rStyle w:val="af"/>
          <w:rFonts w:hint="cs"/>
          <w:rtl/>
        </w:rPr>
        <w:t>].</w:t>
      </w:r>
    </w:p>
    <w:bookmarkEnd w:id="6220"/>
    <w:p w14:paraId="73BB3E30" w14:textId="77777777" w:rsidR="000F6808" w:rsidRPr="0088513D" w:rsidRDefault="000F6808" w:rsidP="000F6808">
      <w:pPr>
        <w:pStyle w:val="afffffe"/>
        <w:rPr>
          <w:vanish/>
          <w:rtl/>
        </w:rPr>
      </w:pPr>
      <w:r w:rsidRPr="0088513D">
        <w:rPr>
          <w:vanish/>
          <w:rtl/>
        </w:rPr>
        <w:t>תוספות שבת מ"ו ע"א</w:t>
      </w:r>
      <w:r w:rsidRPr="0088513D">
        <w:rPr>
          <w:rFonts w:hint="cs"/>
          <w:vanish/>
          <w:rtl/>
        </w:rPr>
        <w:t xml:space="preserve"> ד"ה דחוליות</w:t>
      </w:r>
    </w:p>
    <w:p w14:paraId="714DB04B" w14:textId="77777777" w:rsidR="000F6808" w:rsidRDefault="000F6808" w:rsidP="000F6808">
      <w:pPr>
        <w:pStyle w:val="a2"/>
      </w:pPr>
      <w:r w:rsidRPr="00111645">
        <w:rPr>
          <w:rtl/>
        </w:rPr>
        <w:t xml:space="preserve">דחוליות בין גדולה בין קטנה אסורה - קשה לר"י דבפ"ב דביצה (דף כא:) תנן ג' דברים ר"ג מחמיר כב"ש וחשיב אין זוקפין את המנורה ומשמע דב"ה שרי ומפרש התם בגמרא הכא במנורה של חוליות עסקינן משום דמיחזי כבונה דב"ש סברי יש בנין בכלים ויש סתירה בכלים וב"ה סברי אין בנין כו' אלמא שרי ב"ה מנורה של חוליות להחזיר </w:t>
      </w:r>
      <w:r w:rsidRPr="004D1532">
        <w:rPr>
          <w:rStyle w:val="afff7"/>
          <w:rtl/>
        </w:rPr>
        <w:t>ומאן דשרי בסוף פירקא להחזיר מטה של חוליות ברפוי איכא לאוקמא ה"נ ברפוי אבל למאן דאסר קשה</w:t>
      </w:r>
      <w:r>
        <w:rPr>
          <w:rFonts w:hint="cs"/>
          <w:rtl/>
        </w:rPr>
        <w:t>.</w:t>
      </w:r>
    </w:p>
    <w:p w14:paraId="4C712D00" w14:textId="77777777" w:rsidR="000F6808" w:rsidRPr="0088513D" w:rsidRDefault="000F6808" w:rsidP="000F6808">
      <w:pPr>
        <w:pStyle w:val="afffffe"/>
        <w:rPr>
          <w:vanish/>
          <w:rtl/>
        </w:rPr>
      </w:pPr>
      <w:r w:rsidRPr="0088513D">
        <w:rPr>
          <w:vanish/>
          <w:rtl/>
        </w:rPr>
        <w:t>תוספות ביצה כ"ב ע"א</w:t>
      </w:r>
      <w:r w:rsidRPr="0088513D">
        <w:rPr>
          <w:rFonts w:hint="cs"/>
          <w:vanish/>
          <w:rtl/>
        </w:rPr>
        <w:t xml:space="preserve"> ד"ה וב"ה</w:t>
      </w:r>
    </w:p>
    <w:p w14:paraId="2CD8274D" w14:textId="77777777" w:rsidR="000F6808" w:rsidRPr="00101AF5" w:rsidRDefault="000F6808" w:rsidP="000F6808">
      <w:pPr>
        <w:pStyle w:val="afffff5"/>
        <w:rPr>
          <w:rStyle w:val="afffe"/>
          <w:vanish/>
          <w:rtl/>
        </w:rPr>
      </w:pPr>
      <w:r w:rsidRPr="00111645">
        <w:rPr>
          <w:rtl/>
        </w:rPr>
        <w:t xml:space="preserve">ובית הלל סברי אין בנין וסתירה בכלים - וא"ת והא בשבת (דף מו.) במנורה של חליות כ"ע לא פליגי </w:t>
      </w:r>
      <w:r w:rsidRPr="00101AF5">
        <w:rPr>
          <w:rStyle w:val="afffe"/>
          <w:vanish/>
          <w:rtl/>
        </w:rPr>
        <w:t>דאסור</w:t>
      </w:r>
      <w:r w:rsidRPr="00101AF5">
        <w:rPr>
          <w:rStyle w:val="afffe"/>
          <w:rFonts w:hint="cs"/>
          <w:vanish/>
          <w:rtl/>
        </w:rPr>
        <w:t>.</w:t>
      </w:r>
    </w:p>
    <w:p w14:paraId="7B6887B1" w14:textId="77777777" w:rsidR="000F6808" w:rsidRPr="0088513D" w:rsidRDefault="000F6808" w:rsidP="000F6808">
      <w:pPr>
        <w:pStyle w:val="afffffe"/>
        <w:rPr>
          <w:vanish/>
          <w:rtl/>
        </w:rPr>
      </w:pPr>
      <w:r w:rsidRPr="0088513D">
        <w:rPr>
          <w:vanish/>
          <w:rtl/>
        </w:rPr>
        <w:t>חדושי הרשב"א שבת מ"ו ע"א</w:t>
      </w:r>
      <w:r w:rsidRPr="0088513D">
        <w:rPr>
          <w:rFonts w:hint="cs"/>
          <w:vanish/>
          <w:rtl/>
        </w:rPr>
        <w:t xml:space="preserve"> ד"ה הלכך</w:t>
      </w:r>
    </w:p>
    <w:p w14:paraId="742A7F84" w14:textId="77777777" w:rsidR="000F6808" w:rsidRPr="004D1532" w:rsidRDefault="000F6808" w:rsidP="000F6808">
      <w:pPr>
        <w:pStyle w:val="afffff5"/>
        <w:rPr>
          <w:rStyle w:val="afff7"/>
          <w:rtl/>
        </w:rPr>
      </w:pPr>
      <w:r w:rsidRPr="00111645">
        <w:rPr>
          <w:rtl/>
        </w:rPr>
        <w:t>הלכך דחוליות בין גדולה בין קטנה אסורה. איכא למידק דבפרק שני דביצה (כ"א ב') תנן שלשה דברים רבן גמליאל מחמיר כדברי בית שמאי, וקא חשיב חדא מינייהו אין זוקפין את המנורה ביום טוב, ואוקימנא בגמ' במנורה של חוליות ומשום דמיחזי כבונה בית שמאי סברי יש בנין בכלים ויש סתירה בכלים ובית הלל סברי אין בנין בכלים ואין סתירה בכלים, אלמא שרי אפילו לזקוף מנורה של חוליות וכל שכן דשרי לטלטל</w:t>
      </w:r>
      <w:r w:rsidRPr="004D1532">
        <w:rPr>
          <w:rStyle w:val="afff7"/>
          <w:rtl/>
        </w:rPr>
        <w:t>, וי"ל דההוא במנורה רפויה וכדברי רבן שמעון בן גמליאל דאמר בסוף פרקין (מ"ז ב') אם היה רפוי מותר גבי מטה של חוליות, ובתוספות הקשו לתירוץ זה דאם כן תיקשי למאן דאסר לקמן ברפוי, ולדידי נמי קשה לי דאי ההיא ברפויה תיקשי לן דהא בהדיא רבן גמליאל מחמיר כדברי בית שמאי ואילו במטה רפויה מתיר רבן שמעון בן גמליאל אפילו לכתחלה, ומי נימא דמיקל רבן שמעון בן גמליאל במה שהיו בית אביו מחמירין, אלא שבזו יש לי לומר דהכא לאחרים והתם לעצמן וכמו שאמרו לו שם ומה נעשה לבית אביך שהן מחמירין על עצמן ומקילין אצל אחרים</w:t>
      </w:r>
      <w:r w:rsidRPr="004D1532">
        <w:rPr>
          <w:rStyle w:val="afff7"/>
          <w:rFonts w:hint="cs"/>
          <w:rtl/>
        </w:rPr>
        <w:t>.</w:t>
      </w:r>
    </w:p>
    <w:p w14:paraId="1D6AF2A7" w14:textId="77777777" w:rsidR="000F6808" w:rsidRPr="00FC269C" w:rsidRDefault="000F6808" w:rsidP="000F6808">
      <w:pPr>
        <w:pStyle w:val="afffff7"/>
        <w:rPr>
          <w:rtl/>
        </w:rPr>
      </w:pPr>
      <w:bookmarkStart w:id="6223" w:name="_Toc145500872"/>
      <w:bookmarkStart w:id="6224" w:name="_Toc163506412"/>
      <w:r w:rsidRPr="00FC269C">
        <w:rPr>
          <w:rtl/>
        </w:rPr>
        <w:t>חדושי הריטב"א שבת ק"ב ע"ב</w:t>
      </w:r>
      <w:r w:rsidRPr="00FC269C">
        <w:rPr>
          <w:rFonts w:hint="cs"/>
          <w:rtl/>
        </w:rPr>
        <w:t xml:space="preserve"> ד"ה ואי קשיא</w:t>
      </w:r>
      <w:bookmarkEnd w:id="6223"/>
      <w:bookmarkEnd w:id="6224"/>
    </w:p>
    <w:p w14:paraId="2AEBA259" w14:textId="77777777" w:rsidR="000F6808" w:rsidRDefault="000F6808" w:rsidP="000F6808">
      <w:pPr>
        <w:pStyle w:val="a7"/>
        <w:rPr>
          <w:rtl/>
        </w:rPr>
      </w:pPr>
      <w:bookmarkStart w:id="6225" w:name="_Toc145222952"/>
      <w:bookmarkStart w:id="6226" w:name="_Toc145487166"/>
      <w:r>
        <w:rPr>
          <w:rFonts w:hint="cs"/>
          <w:rtl/>
        </w:rPr>
        <w:t>קו' הריטב"א דבמטה של טרסיים מוכח דחייב לא תוקע וק' מב"ה דזוקפים מנורה וכן ק' לריו"ח</w:t>
      </w:r>
      <w:bookmarkEnd w:id="6225"/>
      <w:bookmarkEnd w:id="6226"/>
    </w:p>
    <w:p w14:paraId="2CBFF438" w14:textId="37D83474" w:rsidR="000F6808" w:rsidRDefault="000F6808" w:rsidP="000F6808">
      <w:pPr>
        <w:pStyle w:val="a3"/>
      </w:pPr>
      <w:bookmarkStart w:id="6227" w:name="_Ref144375030"/>
      <w:r>
        <w:rPr>
          <w:rFonts w:hint="cs"/>
          <w:rtl/>
        </w:rPr>
        <w:t>וכן הקשה</w:t>
      </w:r>
      <w:r>
        <w:rPr>
          <w:rtl/>
        </w:rPr>
        <w:t xml:space="preserve"> </w:t>
      </w:r>
      <w:r w:rsidRPr="002A5D02">
        <w:rPr>
          <w:b/>
          <w:bCs/>
          <w:rtl/>
        </w:rPr>
        <w:t>ה</w:t>
      </w:r>
      <w:r w:rsidRPr="002A5D02">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Ref144375030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קעה)</w:t>
      </w:r>
      <w:r>
        <w:rPr>
          <w:b/>
          <w:bCs/>
          <w:vanish/>
          <w:rtl/>
        </w:rPr>
        <w:fldChar w:fldCharType="end"/>
      </w:r>
      <w:r w:rsidRPr="002A5D02">
        <w:rPr>
          <w:b/>
          <w:bCs/>
          <w:vanish/>
          <w:rtl/>
        </w:rPr>
        <w:t xml:space="preserve"> &gt;</w:t>
      </w:r>
      <w:r w:rsidRPr="002A5D02">
        <w:rPr>
          <w:rFonts w:hint="cs"/>
          <w:b/>
          <w:bCs/>
          <w:rtl/>
        </w:rPr>
        <w:t>ריטב"</w:t>
      </w:r>
      <w:r w:rsidRPr="00325471">
        <w:rPr>
          <w:rFonts w:hint="cs"/>
          <w:b/>
          <w:bCs/>
          <w:rtl/>
        </w:rPr>
        <w:t>א</w:t>
      </w:r>
      <w:r w:rsidRPr="00325471">
        <w:rPr>
          <w:rStyle w:val="aff4"/>
          <w:rFonts w:hint="cs"/>
          <w:rtl/>
        </w:rPr>
        <w:t xml:space="preserve"> בסוגיין</w:t>
      </w:r>
      <w:r w:rsidRPr="00325471">
        <w:rPr>
          <w:b/>
          <w:bCs/>
          <w:rtl/>
        </w:rPr>
        <w:t xml:space="preserve"> </w:t>
      </w:r>
      <w:r w:rsidRPr="00C962CD">
        <w:rPr>
          <w:rStyle w:val="af2"/>
          <w:rFonts w:eastAsia="Guttman Hodes"/>
          <w:rtl/>
        </w:rPr>
        <w:t>(</w:t>
      </w:r>
      <w:r w:rsidRPr="00C962CD">
        <w:rPr>
          <w:rStyle w:val="af2"/>
          <w:rFonts w:eastAsia="Guttman Hodes" w:hint="cs"/>
          <w:rtl/>
        </w:rPr>
        <w:t>ד"ה ואי קשיא</w:t>
      </w:r>
      <w:r w:rsidRPr="00C962CD">
        <w:rPr>
          <w:rStyle w:val="af2"/>
          <w:rFonts w:eastAsia="Guttman Hodes"/>
          <w:rtl/>
        </w:rPr>
        <w:t>)</w:t>
      </w:r>
      <w:r w:rsidRPr="002A5D02">
        <w:rPr>
          <w:vanish/>
          <w:rtl/>
        </w:rPr>
        <w:t>=</w:t>
      </w:r>
      <w:r>
        <w:rPr>
          <w:rtl/>
        </w:rPr>
        <w:t xml:space="preserve"> </w:t>
      </w:r>
      <w:r>
        <w:rPr>
          <w:rFonts w:hint="cs"/>
          <w:rtl/>
        </w:rPr>
        <w:t xml:space="preserve">על מ"ש </w:t>
      </w:r>
      <w:r w:rsidRPr="00E24FB9">
        <w:rPr>
          <w:rStyle w:val="aff4"/>
          <w:rFonts w:hint="cs"/>
          <w:vanish/>
          <w:rtl/>
        </w:rPr>
        <w:t>-</w:t>
      </w:r>
      <w:r w:rsidRPr="00C07E8C">
        <w:rPr>
          <w:rStyle w:val="aff4"/>
          <w:rFonts w:hint="cs"/>
          <w:rtl/>
        </w:rPr>
        <w:t>התוס'</w:t>
      </w:r>
      <w:r w:rsidRPr="00325471">
        <w:rPr>
          <w:rStyle w:val="aff4"/>
          <w:rFonts w:hint="cs"/>
          <w:rtl/>
        </w:rPr>
        <w:t xml:space="preserve"> בסוגיין</w:t>
      </w:r>
      <w:r w:rsidRPr="00E24FB9">
        <w:rPr>
          <w:rStyle w:val="aff4"/>
          <w:rFonts w:hint="cs"/>
          <w:vanish/>
          <w:rtl/>
        </w:rPr>
        <w:t>-</w:t>
      </w:r>
      <w:r>
        <w:rPr>
          <w:rFonts w:hint="cs"/>
          <w:rtl/>
        </w:rPr>
        <w:t xml:space="preserve"> </w:t>
      </w:r>
      <w:r>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Ref145461815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קז)</w:t>
      </w:r>
      <w:r>
        <w:rPr>
          <w:rStyle w:val="af2"/>
          <w:rFonts w:eastAsia="Guttman Hodes"/>
          <w:rtl/>
        </w:rPr>
        <w:fldChar w:fldCharType="end"/>
      </w:r>
      <w:r>
        <w:rPr>
          <w:rFonts w:hint="cs"/>
          <w:rtl/>
        </w:rPr>
        <w:t xml:space="preserve"> דבבנין גמור אין חילוק בין קרקע לכלים, דהא אמרו רב ושמואל בגמ' לעיל </w:t>
      </w:r>
      <w:r w:rsidRPr="00C962CD">
        <w:rPr>
          <w:rStyle w:val="af2"/>
          <w:rFonts w:eastAsia="Guttman Hodes" w:hint="cs"/>
          <w:rtl/>
        </w:rPr>
        <w:t>(מז.)</w:t>
      </w:r>
      <w:r>
        <w:rPr>
          <w:rFonts w:hint="cs"/>
          <w:rtl/>
        </w:rPr>
        <w:t xml:space="preserve"> דהמחזיר מטה של טרסיים בשבת חייב, ומוכח דהחיוב הוא אף בלא תקיעה, דהא בתוקע אף רשב"ג מודה דחייב, וא"כ קשה לרב ושמואל מהמשנה בביצה </w:t>
      </w:r>
      <w:r w:rsidRPr="00C962CD">
        <w:rPr>
          <w:rStyle w:val="af2"/>
          <w:rFonts w:eastAsia="Guttman Hodes" w:hint="cs"/>
          <w:rtl/>
        </w:rPr>
        <w:t>(כא.)</w:t>
      </w:r>
      <w:r>
        <w:rPr>
          <w:rFonts w:hint="cs"/>
          <w:rtl/>
        </w:rPr>
        <w:t xml:space="preserve"> דהתירו ב"ה זקיפת מנורה, וכן קשה מהמשנה בביצה על ריו"ח בגמ' לעיל </w:t>
      </w:r>
      <w:r w:rsidRPr="00C962CD">
        <w:rPr>
          <w:rStyle w:val="af2"/>
          <w:rFonts w:eastAsia="Guttman Hodes" w:hint="cs"/>
          <w:rtl/>
        </w:rPr>
        <w:t>(מו.)</w:t>
      </w:r>
      <w:r>
        <w:rPr>
          <w:rFonts w:hint="cs"/>
          <w:rtl/>
        </w:rPr>
        <w:t xml:space="preserve"> דאסר לטלטל מנורה של חוליות, או שיש בה חידקי גזירה אטו של חוליות.</w:t>
      </w:r>
      <w:bookmarkEnd w:id="6227"/>
    </w:p>
    <w:p w14:paraId="5B08D18C" w14:textId="77777777" w:rsidR="000F6808" w:rsidRPr="0088513D" w:rsidRDefault="000F6808" w:rsidP="000F6808">
      <w:pPr>
        <w:pStyle w:val="afffffe"/>
        <w:rPr>
          <w:vanish/>
          <w:rtl/>
        </w:rPr>
      </w:pPr>
      <w:r w:rsidRPr="0088513D">
        <w:rPr>
          <w:vanish/>
          <w:rtl/>
        </w:rPr>
        <w:t>חדושי הריטב"א שבת ק"ב ע"ב</w:t>
      </w:r>
      <w:r w:rsidRPr="0088513D">
        <w:rPr>
          <w:rFonts w:hint="cs"/>
          <w:vanish/>
          <w:rtl/>
        </w:rPr>
        <w:t xml:space="preserve"> ד"ה ואי קשיא</w:t>
      </w:r>
    </w:p>
    <w:p w14:paraId="7C5BD374" w14:textId="77777777" w:rsidR="000F6808" w:rsidRDefault="000F6808" w:rsidP="000F6808">
      <w:pPr>
        <w:pStyle w:val="a2"/>
        <w:rPr>
          <w:rtl/>
        </w:rPr>
      </w:pPr>
      <w:r w:rsidRPr="00111645">
        <w:rPr>
          <w:rtl/>
        </w:rPr>
        <w:t>ואי קשיא הא קשיא דבפרק כירה (מ"ז א') אמרינן רב ושמואל דאמרי תרווייהו המחזיר מטה של טרסיים בשבת חייב והתם אפי' בלא תקיעה קאמר כדמוכח התם להדיא דאילו בתקיעה אפי' רשב"ג מודה (וכ"ע), וא"כ תיקשי להו מתני' דביצה דב"ה מתירים לזקוף את המנורה, וכן תיקשי לר' יוחנן דאסר בפ' כירה (מ"ו א') לטלטל מנורה של חוליות ואית בה חידקי גזירה הא אטו הא</w:t>
      </w:r>
      <w:r w:rsidRPr="00111645">
        <w:rPr>
          <w:rFonts w:hint="cs"/>
          <w:rtl/>
        </w:rPr>
        <w:t>.</w:t>
      </w:r>
    </w:p>
    <w:p w14:paraId="69CC030C" w14:textId="77777777" w:rsidR="000F6808" w:rsidRPr="000C279F" w:rsidRDefault="000F6808" w:rsidP="000F6808">
      <w:pPr>
        <w:pStyle w:val="1"/>
        <w:rPr>
          <w:rtl/>
        </w:rPr>
      </w:pPr>
      <w:bookmarkStart w:id="6228" w:name="_Toc145487167"/>
      <w:r>
        <w:rPr>
          <w:rFonts w:hint="cs"/>
          <w:rtl/>
        </w:rPr>
        <w:t>תי' התוס' דבמנורה שמתפרקת לגמרי אף ב"ה מודו דאסור</w:t>
      </w:r>
      <w:bookmarkEnd w:id="6228"/>
    </w:p>
    <w:p w14:paraId="529DD194" w14:textId="77777777" w:rsidR="000F6808" w:rsidRPr="00FC269C" w:rsidRDefault="000F6808" w:rsidP="000F6808">
      <w:pPr>
        <w:pStyle w:val="afffff7"/>
        <w:rPr>
          <w:rtl/>
        </w:rPr>
      </w:pPr>
      <w:bookmarkStart w:id="6229" w:name="_Toc145198438"/>
      <w:bookmarkStart w:id="6230" w:name="_Toc145500873"/>
      <w:bookmarkStart w:id="6231" w:name="_Toc145222950"/>
      <w:bookmarkStart w:id="6232" w:name="_Toc163506413"/>
      <w:r w:rsidRPr="00FC269C">
        <w:rPr>
          <w:rtl/>
        </w:rPr>
        <w:t>ר"ן על הרי"ף</w:t>
      </w:r>
      <w:r w:rsidRPr="00FC269C">
        <w:rPr>
          <w:rFonts w:hint="cs"/>
          <w:rtl/>
        </w:rPr>
        <w:t xml:space="preserve"> </w:t>
      </w:r>
      <w:r w:rsidRPr="00FC269C">
        <w:rPr>
          <w:rtl/>
        </w:rPr>
        <w:t>שבת כ"א ע"ב</w:t>
      </w:r>
      <w:r w:rsidRPr="00FC269C">
        <w:rPr>
          <w:rFonts w:hint="cs"/>
          <w:rtl/>
        </w:rPr>
        <w:t xml:space="preserve"> מדה"ר ד"ה ולפיכך</w:t>
      </w:r>
      <w:bookmarkEnd w:id="6229"/>
      <w:bookmarkEnd w:id="6230"/>
      <w:bookmarkEnd w:id="6232"/>
    </w:p>
    <w:p w14:paraId="0B7DFC07" w14:textId="77777777" w:rsidR="000F6808" w:rsidRPr="00FC269C" w:rsidRDefault="000F6808" w:rsidP="000F6808">
      <w:pPr>
        <w:pStyle w:val="afffff7"/>
        <w:rPr>
          <w:rtl/>
        </w:rPr>
      </w:pPr>
      <w:bookmarkStart w:id="6233" w:name="_Toc145198439"/>
      <w:bookmarkStart w:id="6234" w:name="_Toc145500874"/>
      <w:bookmarkStart w:id="6235" w:name="_Toc163506414"/>
      <w:r w:rsidRPr="00FC269C">
        <w:rPr>
          <w:rtl/>
        </w:rPr>
        <w:t>חדושי הר"ן שבת מ"ז ע"א</w:t>
      </w:r>
      <w:r w:rsidRPr="00FC269C">
        <w:rPr>
          <w:rFonts w:hint="cs"/>
          <w:rtl/>
        </w:rPr>
        <w:t xml:space="preserve"> ד"ה </w:t>
      </w:r>
      <w:r w:rsidRPr="00FC269C">
        <w:rPr>
          <w:rtl/>
        </w:rPr>
        <w:t>ואחרים אומרים</w:t>
      </w:r>
      <w:bookmarkEnd w:id="6233"/>
      <w:bookmarkEnd w:id="6234"/>
      <w:bookmarkEnd w:id="6235"/>
    </w:p>
    <w:p w14:paraId="7B3A432D" w14:textId="77777777" w:rsidR="000F6808" w:rsidRDefault="000F6808" w:rsidP="000F6808">
      <w:pPr>
        <w:pStyle w:val="a7"/>
        <w:rPr>
          <w:rtl/>
        </w:rPr>
      </w:pPr>
      <w:bookmarkStart w:id="6236" w:name="_Toc145487168"/>
      <w:r>
        <w:rPr>
          <w:rFonts w:hint="cs"/>
          <w:rtl/>
        </w:rPr>
        <w:t>בי' התוס' דריו"ח דאסר טלטול במנורה של חוליות אף דאין בנין בכלים כיון דמתפרקת לגמרי</w:t>
      </w:r>
      <w:bookmarkEnd w:id="6231"/>
      <w:bookmarkEnd w:id="6236"/>
    </w:p>
    <w:p w14:paraId="052FFCC1" w14:textId="77777777" w:rsidR="000F6808" w:rsidRPr="00E56FD4" w:rsidRDefault="000F6808" w:rsidP="000F6808">
      <w:pPr>
        <w:pStyle w:val="a3"/>
        <w:rPr>
          <w:rtl/>
        </w:rPr>
      </w:pPr>
      <w:r>
        <w:rPr>
          <w:rFonts w:hint="cs"/>
          <w:rtl/>
        </w:rPr>
        <w:t xml:space="preserve">ותירץ </w:t>
      </w:r>
      <w:r w:rsidRPr="00296262">
        <w:rPr>
          <w:rFonts w:hint="cs"/>
          <w:b/>
          <w:bCs/>
          <w:rtl/>
        </w:rPr>
        <w:t>ר"י בתוס'</w:t>
      </w:r>
      <w:r>
        <w:rPr>
          <w:rtl/>
        </w:rPr>
        <w:t xml:space="preserve"> </w:t>
      </w:r>
      <w:r w:rsidRPr="00296262">
        <w:rPr>
          <w:rFonts w:hint="cs"/>
          <w:b/>
          <w:bCs/>
          <w:rtl/>
        </w:rPr>
        <w:t>לעיל</w:t>
      </w:r>
      <w:r w:rsidRPr="00296262">
        <w:rPr>
          <w:b/>
          <w:bCs/>
          <w:rtl/>
        </w:rPr>
        <w:t xml:space="preserve"> </w:t>
      </w:r>
      <w:r>
        <w:rPr>
          <w:rFonts w:hint="cs"/>
          <w:b/>
          <w:bCs/>
          <w:rtl/>
        </w:rPr>
        <w:t>והתוס' בביצה</w:t>
      </w:r>
      <w:r>
        <w:rPr>
          <w:rtl/>
        </w:rPr>
        <w:t xml:space="preserve"> </w:t>
      </w:r>
      <w:r>
        <w:rPr>
          <w:rFonts w:hint="cs"/>
          <w:rtl/>
        </w:rPr>
        <w:t xml:space="preserve">דבמנורה של חוליות בגמ' לעיל איירי שכל המנורה מתפרקת, אבל בהא דהתירו ב"ה בביצה איירי במנורה של חוליות שהם מחוברות ולא מתפרקות, ורק </w:t>
      </w:r>
      <w:r>
        <w:rPr>
          <w:rFonts w:hint="cs"/>
          <w:rtl/>
        </w:rPr>
        <w:t xml:space="preserve">אפשר להטותם או </w:t>
      </w:r>
      <w:r w:rsidRPr="00E56FD4">
        <w:rPr>
          <w:rFonts w:hint="cs"/>
          <w:rtl/>
        </w:rPr>
        <w:t>לזוקפם ולכן מותר לב"ה, דאינה בעלת אברים וכולה היא מחוברת</w:t>
      </w:r>
      <w:r>
        <w:rPr>
          <w:rFonts w:hint="cs"/>
          <w:rtl/>
        </w:rPr>
        <w:t>,</w:t>
      </w:r>
      <w:r w:rsidRPr="00E8687F">
        <w:rPr>
          <w:rFonts w:hint="cs"/>
          <w:rtl/>
        </w:rPr>
        <w:t xml:space="preserve"> </w:t>
      </w:r>
      <w:bookmarkStart w:id="6237" w:name="_Ref144376816"/>
      <w:r>
        <w:rPr>
          <w:rFonts w:hint="cs"/>
          <w:rtl/>
        </w:rPr>
        <w:t xml:space="preserve">והוסיף </w:t>
      </w:r>
      <w:r w:rsidRPr="00DC46EC">
        <w:rPr>
          <w:b/>
          <w:bCs/>
          <w:rtl/>
        </w:rPr>
        <w:t>ה</w:t>
      </w:r>
      <w:r>
        <w:rPr>
          <w:rFonts w:hint="cs"/>
          <w:b/>
          <w:bCs/>
          <w:vanish/>
          <w:rtl/>
        </w:rPr>
        <w:t>&lt; &gt;</w:t>
      </w:r>
      <w:r w:rsidRPr="00DC46EC">
        <w:rPr>
          <w:rFonts w:hint="cs"/>
          <w:b/>
          <w:bCs/>
          <w:rtl/>
        </w:rPr>
        <w:t>ר"ן לעיל</w:t>
      </w:r>
      <w:r w:rsidRPr="00DC46EC">
        <w:rPr>
          <w:b/>
          <w:bCs/>
          <w:rtl/>
        </w:rPr>
        <w:t xml:space="preserve"> </w:t>
      </w:r>
      <w:r w:rsidRPr="00DC46EC">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 xml:space="preserve">על הרי"ף כא: מדה"ר ד"ה ולפיכך, בחי' </w:t>
      </w:r>
      <w:r w:rsidRPr="00DC46EC">
        <w:rPr>
          <w:rFonts w:ascii="Calibri" w:eastAsia="Times New Roman" w:hAnsi="Calibri" w:cs="Guttman Rashi" w:hint="cs"/>
          <w:noProof w:val="0"/>
          <w:sz w:val="10"/>
          <w:szCs w:val="12"/>
          <w:rtl/>
        </w:rPr>
        <w:t xml:space="preserve">מז. ד"ה </w:t>
      </w:r>
      <w:r w:rsidRPr="00F36CA5">
        <w:rPr>
          <w:rFonts w:ascii="Calibri" w:eastAsia="Times New Roman" w:hAnsi="Calibri" w:cs="Guttman Rashi" w:hint="cs"/>
          <w:noProof w:val="0"/>
          <w:sz w:val="10"/>
          <w:szCs w:val="12"/>
          <w:rtl/>
        </w:rPr>
        <w:t>ולענין הלכה</w:t>
      </w:r>
      <w:r w:rsidRPr="00DC46EC">
        <w:rPr>
          <w:rFonts w:ascii="Calibri" w:eastAsia="Times New Roman" w:hAnsi="Calibri" w:cs="Guttman Rashi"/>
          <w:noProof w:val="0"/>
          <w:sz w:val="10"/>
          <w:szCs w:val="12"/>
          <w:rtl/>
        </w:rPr>
        <w:t>)</w:t>
      </w:r>
      <w:r w:rsidRPr="00F63518">
        <w:rPr>
          <w:rFonts w:hint="cs"/>
          <w:rtl/>
        </w:rPr>
        <w:t xml:space="preserve"> </w:t>
      </w:r>
      <w:r>
        <w:rPr>
          <w:rFonts w:hint="cs"/>
          <w:rtl/>
        </w:rPr>
        <w:t>בשם</w:t>
      </w:r>
      <w:r>
        <w:rPr>
          <w:rtl/>
        </w:rPr>
        <w:t xml:space="preserve"> </w:t>
      </w:r>
      <w:bookmarkEnd w:id="6237"/>
      <w:r w:rsidRPr="00DC46EC">
        <w:rPr>
          <w:rFonts w:hint="cs"/>
          <w:b/>
          <w:bCs/>
          <w:rtl/>
        </w:rPr>
        <w:t>תוס'</w:t>
      </w:r>
      <w:r w:rsidRPr="00DB7A68">
        <w:rPr>
          <w:vanish/>
          <w:rtl/>
        </w:rPr>
        <w:t>=</w:t>
      </w:r>
      <w:r w:rsidRPr="00CE6161">
        <w:rPr>
          <w:rFonts w:hint="cs"/>
          <w:rtl/>
        </w:rPr>
        <w:t xml:space="preserve"> </w:t>
      </w:r>
      <w:r>
        <w:rPr>
          <w:rFonts w:hint="cs"/>
          <w:rtl/>
        </w:rPr>
        <w:t xml:space="preserve">דאם התפרקו לגמרי אסור, אבל ברפוי מותר להחזיר אף בהתפרקו לגמרי דקיי"ל כרשב"ג, וכתב </w:t>
      </w:r>
      <w:r w:rsidRPr="00E24FB9">
        <w:rPr>
          <w:rStyle w:val="aff4"/>
          <w:rFonts w:hint="cs"/>
          <w:vanish/>
          <w:rtl/>
        </w:rPr>
        <w:t>-</w:t>
      </w:r>
      <w:r w:rsidRPr="00C07E8C">
        <w:rPr>
          <w:rStyle w:val="aff4"/>
          <w:rFonts w:hint="cs"/>
          <w:rtl/>
        </w:rPr>
        <w:t>הריטב"א</w:t>
      </w:r>
      <w:r w:rsidRPr="00325471">
        <w:rPr>
          <w:rStyle w:val="aff4"/>
          <w:rFonts w:hint="cs"/>
          <w:rtl/>
        </w:rPr>
        <w:t xml:space="preserve"> בסוגיין</w:t>
      </w:r>
      <w:r w:rsidRPr="00E24FB9">
        <w:rPr>
          <w:rStyle w:val="aff4"/>
          <w:rFonts w:hint="cs"/>
          <w:vanish/>
          <w:rtl/>
        </w:rPr>
        <w:t>-</w:t>
      </w:r>
      <w:r>
        <w:rPr>
          <w:rFonts w:hint="cs"/>
          <w:rtl/>
        </w:rPr>
        <w:t xml:space="preserve"> בשם </w:t>
      </w:r>
      <w:r w:rsidRPr="00C07E8C">
        <w:rPr>
          <w:rStyle w:val="aff4"/>
          <w:rFonts w:hint="cs"/>
          <w:rtl/>
        </w:rPr>
        <w:t xml:space="preserve">התוס' </w:t>
      </w:r>
      <w:r>
        <w:rPr>
          <w:rFonts w:hint="cs"/>
          <w:rtl/>
        </w:rPr>
        <w:t xml:space="preserve">דהא דהגמ' בביצה ביארה דב"ה ס"ל דאין בנין בכלים הוא כיון דקיי"ל כרבא בגמ' לקמן </w:t>
      </w:r>
      <w:r w:rsidRPr="00C962CD">
        <w:rPr>
          <w:rStyle w:val="af2"/>
          <w:rFonts w:eastAsia="Guttman Hodes" w:hint="cs"/>
          <w:rtl/>
        </w:rPr>
        <w:t>(קכב.)</w:t>
      </w:r>
      <w:r>
        <w:rPr>
          <w:rFonts w:hint="cs"/>
          <w:rtl/>
        </w:rPr>
        <w:t xml:space="preserve"> דאין בנין בכלים,</w:t>
      </w:r>
      <w:r w:rsidRPr="00E56FD4">
        <w:rPr>
          <w:rFonts w:hint="cs"/>
          <w:rtl/>
        </w:rPr>
        <w:t xml:space="preserve"> ועוד תירצו</w:t>
      </w:r>
      <w:r w:rsidRPr="00E56FD4">
        <w:rPr>
          <w:rtl/>
        </w:rPr>
        <w:t xml:space="preserve"> </w:t>
      </w:r>
      <w:r w:rsidRPr="00E56FD4">
        <w:rPr>
          <w:rStyle w:val="aff4"/>
          <w:rFonts w:hint="cs"/>
          <w:rtl/>
        </w:rPr>
        <w:t>התוס' בביצה</w:t>
      </w:r>
      <w:r w:rsidRPr="00E56FD4">
        <w:rPr>
          <w:rtl/>
        </w:rPr>
        <w:t xml:space="preserve"> </w:t>
      </w:r>
      <w:r w:rsidRPr="00E56FD4">
        <w:rPr>
          <w:rFonts w:hint="cs"/>
          <w:rtl/>
        </w:rPr>
        <w:t>דבשבת החמירו במנורה של פרקים וביו"ט לא החמירו כיון דאין בנין בכלים.</w:t>
      </w:r>
    </w:p>
    <w:p w14:paraId="1D001EB4" w14:textId="77777777" w:rsidR="000F6808" w:rsidRPr="0088513D" w:rsidRDefault="000F6808" w:rsidP="000F6808">
      <w:pPr>
        <w:pStyle w:val="afffffe"/>
        <w:rPr>
          <w:vanish/>
          <w:rtl/>
        </w:rPr>
      </w:pPr>
      <w:r w:rsidRPr="0088513D">
        <w:rPr>
          <w:vanish/>
          <w:rtl/>
        </w:rPr>
        <w:t>תוספות שבת מ"ו ע"א</w:t>
      </w:r>
      <w:r w:rsidRPr="0088513D">
        <w:rPr>
          <w:rFonts w:hint="cs"/>
          <w:vanish/>
          <w:rtl/>
        </w:rPr>
        <w:t xml:space="preserve"> ד"ה דחוליות</w:t>
      </w:r>
    </w:p>
    <w:p w14:paraId="28A6A7C6" w14:textId="77777777" w:rsidR="000F6808" w:rsidRPr="00111645" w:rsidRDefault="000F6808" w:rsidP="000F6808">
      <w:pPr>
        <w:pStyle w:val="a2"/>
        <w:rPr>
          <w:rtl/>
        </w:rPr>
      </w:pPr>
      <w:r w:rsidRPr="00111645">
        <w:rPr>
          <w:rtl/>
        </w:rPr>
        <w:t>ותירץ ר"י דהתם מיירי כגון שהחוליות מחוברין יחד ואינם מתפרקין ופעמים מטין אותן ופעמים זוקפין אותן.</w:t>
      </w:r>
    </w:p>
    <w:p w14:paraId="1C7F1C3E" w14:textId="77777777" w:rsidR="000F6808" w:rsidRPr="0088513D" w:rsidRDefault="000F6808" w:rsidP="000F6808">
      <w:pPr>
        <w:pStyle w:val="afffffe"/>
        <w:rPr>
          <w:vanish/>
          <w:rtl/>
        </w:rPr>
      </w:pPr>
      <w:r w:rsidRPr="0088513D">
        <w:rPr>
          <w:vanish/>
          <w:rtl/>
        </w:rPr>
        <w:t>תוספות שבת מ"ו ע"א</w:t>
      </w:r>
      <w:r w:rsidRPr="0088513D">
        <w:rPr>
          <w:rFonts w:hint="cs"/>
          <w:vanish/>
          <w:rtl/>
        </w:rPr>
        <w:t xml:space="preserve"> ד"ה דחוליות</w:t>
      </w:r>
    </w:p>
    <w:p w14:paraId="536B2AAC" w14:textId="77777777" w:rsidR="000F6808" w:rsidRPr="00101AF5" w:rsidRDefault="000F6808" w:rsidP="000F6808">
      <w:pPr>
        <w:pStyle w:val="afffff5"/>
        <w:rPr>
          <w:rtl/>
        </w:rPr>
      </w:pPr>
      <w:r w:rsidRPr="00101AF5">
        <w:rPr>
          <w:rStyle w:val="afffe"/>
          <w:vanish/>
          <w:rtl/>
        </w:rPr>
        <w:t>וי"ל דהתם מיירי בשבת והכא מיירי בי"ט ולא החמירו חכמים הואיל ואין בנין בכלים</w:t>
      </w:r>
      <w:r w:rsidRPr="00101AF5">
        <w:rPr>
          <w:rStyle w:val="afffe"/>
          <w:rFonts w:hint="cs"/>
          <w:vanish/>
          <w:rtl/>
        </w:rPr>
        <w:t>.</w:t>
      </w:r>
      <w:r w:rsidRPr="00101AF5">
        <w:rPr>
          <w:rStyle w:val="afffe"/>
          <w:vanish/>
          <w:rtl/>
        </w:rPr>
        <w:t xml:space="preserve"> אי</w:t>
      </w:r>
      <w:r w:rsidRPr="00101AF5">
        <w:rPr>
          <w:rtl/>
        </w:rPr>
        <w:t xml:space="preserve"> נמי י"ל דהתם מיירי שכולה של חליות ומפרקין אותה אברים אברים אבל הכא מיירי שאין חסר כאן רק להקימה קצת ואינה בעלת אברים דכולה מחוברת היא.</w:t>
      </w:r>
    </w:p>
    <w:p w14:paraId="5150F282" w14:textId="77777777" w:rsidR="000F6808" w:rsidRPr="0088513D" w:rsidRDefault="000F6808" w:rsidP="000F6808">
      <w:pPr>
        <w:pStyle w:val="afffffe"/>
        <w:rPr>
          <w:vanish/>
          <w:rtl/>
        </w:rPr>
      </w:pPr>
      <w:r w:rsidRPr="0088513D">
        <w:rPr>
          <w:vanish/>
          <w:rtl/>
        </w:rPr>
        <w:t>חדושי הרשב"א שבת מ"ו ע"א</w:t>
      </w:r>
      <w:r w:rsidRPr="0088513D">
        <w:rPr>
          <w:rFonts w:hint="cs"/>
          <w:vanish/>
          <w:rtl/>
        </w:rPr>
        <w:t xml:space="preserve"> ד"ה הלכך</w:t>
      </w:r>
    </w:p>
    <w:p w14:paraId="29743FE4" w14:textId="77777777" w:rsidR="000F6808" w:rsidRPr="00101AF5" w:rsidRDefault="000F6808" w:rsidP="000F6808">
      <w:pPr>
        <w:pStyle w:val="afffff5"/>
        <w:rPr>
          <w:rtl/>
        </w:rPr>
      </w:pPr>
      <w:r w:rsidRPr="00101AF5">
        <w:rPr>
          <w:rtl/>
        </w:rPr>
        <w:t>ותירצו הם ז"ל דמנורה דהתם מיירי במנורה של חוליות מחוברין יחד ואינן מפורקין ופעמים מטין אותם ופעמים זוקפין אותם, והא דהכא בשל חוליות מפורקין.</w:t>
      </w:r>
    </w:p>
    <w:p w14:paraId="6BC3DF6C" w14:textId="77777777" w:rsidR="000F6808" w:rsidRPr="0088513D" w:rsidRDefault="000F6808" w:rsidP="000F6808">
      <w:pPr>
        <w:pStyle w:val="afffffe"/>
        <w:rPr>
          <w:vanish/>
          <w:rtl/>
        </w:rPr>
      </w:pPr>
      <w:bookmarkStart w:id="6238" w:name="_Toc145222953"/>
      <w:bookmarkStart w:id="6239" w:name="_Toc145198425"/>
      <w:r w:rsidRPr="0088513D">
        <w:rPr>
          <w:vanish/>
          <w:rtl/>
        </w:rPr>
        <w:t>חדושי הריטב"א שבת ק"ב ע"ב</w:t>
      </w:r>
      <w:r w:rsidRPr="0088513D">
        <w:rPr>
          <w:rFonts w:hint="cs"/>
          <w:vanish/>
          <w:rtl/>
        </w:rPr>
        <w:t xml:space="preserve"> ד"ה ואי קשיא</w:t>
      </w:r>
    </w:p>
    <w:p w14:paraId="545F2B05" w14:textId="77777777" w:rsidR="000F6808" w:rsidRDefault="000F6808" w:rsidP="000F6808">
      <w:pPr>
        <w:pStyle w:val="afffff5"/>
      </w:pPr>
      <w:r w:rsidRPr="00111645">
        <w:rPr>
          <w:rtl/>
        </w:rPr>
        <w:t>ותירצו בתוספות דלרב ושמואל ור' יוחנן מתני' דיום טוב לא [איירי] במנורה שאבריה מפורקים או דאית בה חידקי, אלא במנורה שזרועותיה מחוברים בה תמיד אלא שהן צריכים לזקוף ולהטות בשעה שמדליקים והיינו לשון זקיפה דתנן, כההיא דאמרינן (ביצה כ"ב א') קם שמעיה זקף שרגא, אבל בחזרת מנורה של חוליות דכולי עלמא יש בנין אלא משום דקיי"ל כרבא דאמר לקמן בפרק כל הכלים (קכ"ב ב') שאין בנין בכלים פרישנא פלוגתא דידהו ביש בנין בכלים ואין בנין בכלים אליבא דהלכתא</w:t>
      </w:r>
      <w:r>
        <w:rPr>
          <w:rFonts w:hint="cs"/>
          <w:rtl/>
        </w:rPr>
        <w:t>.</w:t>
      </w:r>
    </w:p>
    <w:p w14:paraId="62023129" w14:textId="77777777" w:rsidR="000F6808" w:rsidRPr="0088513D" w:rsidRDefault="000F6808" w:rsidP="000F6808">
      <w:pPr>
        <w:pStyle w:val="afffffe"/>
        <w:rPr>
          <w:vanish/>
          <w:rtl/>
        </w:rPr>
      </w:pPr>
      <w:bookmarkStart w:id="6240" w:name="_Toc145198426"/>
      <w:r w:rsidRPr="0088513D">
        <w:rPr>
          <w:vanish/>
          <w:rtl/>
        </w:rPr>
        <w:t>ר"ן על הרי"ף</w:t>
      </w:r>
      <w:r w:rsidRPr="0088513D">
        <w:rPr>
          <w:rFonts w:hint="cs"/>
          <w:vanish/>
          <w:rtl/>
        </w:rPr>
        <w:t xml:space="preserve"> </w:t>
      </w:r>
      <w:r w:rsidRPr="0088513D">
        <w:rPr>
          <w:vanish/>
          <w:rtl/>
        </w:rPr>
        <w:t>שבת כ"א ע"ב</w:t>
      </w:r>
      <w:r w:rsidRPr="0088513D">
        <w:rPr>
          <w:rFonts w:hint="cs"/>
          <w:vanish/>
          <w:rtl/>
        </w:rPr>
        <w:t xml:space="preserve"> מדה"ר ד"ה ולפיכך</w:t>
      </w:r>
    </w:p>
    <w:p w14:paraId="0924E3A4" w14:textId="77777777" w:rsidR="000F6808" w:rsidRPr="00111645" w:rsidRDefault="000F6808" w:rsidP="000F6808">
      <w:pPr>
        <w:pStyle w:val="afffff5"/>
      </w:pPr>
      <w:r w:rsidRPr="00111645">
        <w:rPr>
          <w:rtl/>
        </w:rPr>
        <w:t xml:space="preserve">והכא בשהן מפורקין לגמרי ואסור ומיהו אפילו מפורקין לגמרי כל שהוא רפוי מותר ואפילו להחזיר כרשב"ג: </w:t>
      </w:r>
    </w:p>
    <w:p w14:paraId="673DB3B6" w14:textId="77777777" w:rsidR="000F6808" w:rsidRPr="0088513D" w:rsidRDefault="000F6808" w:rsidP="000F6808">
      <w:pPr>
        <w:pStyle w:val="afffffe"/>
        <w:rPr>
          <w:vanish/>
          <w:rtl/>
        </w:rPr>
      </w:pPr>
      <w:r w:rsidRPr="0088513D">
        <w:rPr>
          <w:vanish/>
          <w:rtl/>
        </w:rPr>
        <w:t>חדושי הר"ן שבת מ"ז ע"א</w:t>
      </w:r>
      <w:r w:rsidRPr="0088513D">
        <w:rPr>
          <w:rFonts w:hint="cs"/>
          <w:vanish/>
          <w:rtl/>
        </w:rPr>
        <w:t xml:space="preserve"> ד"ה </w:t>
      </w:r>
      <w:r w:rsidRPr="0088513D">
        <w:rPr>
          <w:vanish/>
          <w:rtl/>
        </w:rPr>
        <w:t>ואחרים אומרים</w:t>
      </w:r>
    </w:p>
    <w:p w14:paraId="4524429B" w14:textId="77777777" w:rsidR="000F6808" w:rsidRPr="00111645" w:rsidRDefault="000F6808" w:rsidP="000F6808">
      <w:pPr>
        <w:pStyle w:val="afffff5"/>
        <w:rPr>
          <w:rtl/>
        </w:rPr>
      </w:pPr>
      <w:r w:rsidRPr="00111645">
        <w:rPr>
          <w:rtl/>
        </w:rPr>
        <w:t>והכא כשהן מפורקין לגמרי ואסור ומיהו אפילו מפורקין לגמרי כל שהוא רפוי מותר אפילו להחזיר כרשב"ג</w:t>
      </w:r>
      <w:r w:rsidRPr="00111645">
        <w:rPr>
          <w:rFonts w:hint="cs"/>
          <w:rtl/>
        </w:rPr>
        <w:t>.</w:t>
      </w:r>
    </w:p>
    <w:p w14:paraId="1B1C06F5" w14:textId="77777777" w:rsidR="000F6808" w:rsidRPr="00CE39B0" w:rsidRDefault="000F6808" w:rsidP="000F6808">
      <w:pPr>
        <w:keepNext/>
        <w:keepLines/>
        <w:spacing w:after="0" w:line="240" w:lineRule="auto"/>
        <w:ind w:left="-284"/>
        <w:jc w:val="both"/>
        <w:outlineLvl w:val="1"/>
        <w:rPr>
          <w:rFonts w:ascii="FrankRuehl" w:eastAsia="Guttman Hodes" w:hAnsi="FrankRuehl" w:cs="Guttman Rashi"/>
          <w:bCs/>
          <w:noProof/>
          <w:sz w:val="16"/>
          <w:szCs w:val="16"/>
        </w:rPr>
      </w:pPr>
      <w:bookmarkStart w:id="6241" w:name="_Toc145222955"/>
      <w:r w:rsidRPr="00CE39B0">
        <w:rPr>
          <w:rFonts w:ascii="FrankRuehl" w:eastAsia="Guttman Hodes" w:hAnsi="FrankRuehl" w:cs="Guttman Rashi" w:hint="cs"/>
          <w:bCs/>
          <w:noProof/>
          <w:sz w:val="16"/>
          <w:szCs w:val="16"/>
          <w:rtl/>
        </w:rPr>
        <w:t>בעל המאור שבת ל"ז ע"א מדה"ר</w:t>
      </w:r>
    </w:p>
    <w:p w14:paraId="1D43A5E5" w14:textId="77777777" w:rsidR="000F6808" w:rsidRPr="00CE39B0" w:rsidRDefault="000F6808" w:rsidP="000F6808">
      <w:pPr>
        <w:pStyle w:val="a7"/>
        <w:rPr>
          <w:rtl/>
        </w:rPr>
      </w:pPr>
      <w:bookmarkStart w:id="6242" w:name="_Toc145222959"/>
      <w:bookmarkStart w:id="6243" w:name="_Toc145487169"/>
      <w:bookmarkStart w:id="6244" w:name="_Ref145016149"/>
      <w:r>
        <w:rPr>
          <w:rFonts w:hint="cs"/>
          <w:rtl/>
        </w:rPr>
        <w:t>ד' הי"מ בבעה"מ דנח' בכל בנין בכלים ולריו"ח דאסר ב"ה התירו רק בחדקי וקיי"ל כרבא דמתיר</w:t>
      </w:r>
      <w:bookmarkEnd w:id="6242"/>
      <w:bookmarkEnd w:id="6243"/>
    </w:p>
    <w:p w14:paraId="47400135" w14:textId="78ADF5B8" w:rsidR="000F6808" w:rsidRPr="00CE39B0" w:rsidRDefault="000F6808" w:rsidP="000F6808">
      <w:pPr>
        <w:pStyle w:val="a3"/>
        <w:rPr>
          <w:rtl/>
        </w:rPr>
      </w:pPr>
      <w:bookmarkStart w:id="6245" w:name="_Ref145190073"/>
      <w:r>
        <w:rPr>
          <w:rFonts w:hint="cs"/>
          <w:rtl/>
        </w:rPr>
        <w:t xml:space="preserve">ועי' במ"ש </w:t>
      </w:r>
      <w:r w:rsidRPr="00E24FB9">
        <w:rPr>
          <w:rStyle w:val="aff4"/>
          <w:rFonts w:hint="cs"/>
          <w:vanish/>
          <w:rtl/>
        </w:rPr>
        <w:t>-</w:t>
      </w:r>
      <w:r w:rsidRPr="00C07E8C">
        <w:rPr>
          <w:rStyle w:val="aff4"/>
          <w:rFonts w:hint="cs"/>
          <w:rtl/>
        </w:rPr>
        <w:t>הבעה"מ</w:t>
      </w:r>
      <w:r w:rsidRPr="00E24FB9">
        <w:rPr>
          <w:rStyle w:val="aff4"/>
          <w:rFonts w:hint="cs"/>
          <w:vanish/>
          <w:rtl/>
        </w:rPr>
        <w:t>-</w:t>
      </w:r>
      <w:r w:rsidRPr="00CE39B0">
        <w:rPr>
          <w:rFonts w:hint="cs"/>
          <w:rtl/>
        </w:rPr>
        <w:t xml:space="preserve"> </w:t>
      </w:r>
      <w:r w:rsidRPr="00C962CD">
        <w:rPr>
          <w:rStyle w:val="af2"/>
          <w:rFonts w:eastAsia="Guttman Hodes" w:hint="cs"/>
          <w:rtl/>
        </w:rPr>
        <w:t>(ל"ז. מדה"ר ד"ה עייל</w:t>
      </w:r>
      <w:r>
        <w:rPr>
          <w:rStyle w:val="af2"/>
          <w:rFonts w:eastAsia="Guttman Hodes" w:hint="cs"/>
          <w:rtl/>
        </w:rPr>
        <w:t>, הובא בסימן י</w:t>
      </w:r>
      <w:r>
        <w:rPr>
          <w:rStyle w:val="af2"/>
          <w:rFonts w:eastAsia="Guttman Hodes"/>
          <w:rtl/>
        </w:rPr>
        <w:t>"</w:t>
      </w:r>
      <w:r>
        <w:rPr>
          <w:rStyle w:val="af2"/>
          <w:rFonts w:eastAsia="Guttman Hodes" w:hint="cs"/>
          <w:rtl/>
        </w:rPr>
        <w:t>ג אות מ')</w:t>
      </w:r>
      <w:r w:rsidRPr="006C1285">
        <w:rPr>
          <w:rFonts w:hint="cs"/>
          <w:rtl/>
        </w:rPr>
        <w:t xml:space="preserve"> </w:t>
      </w:r>
      <w:r>
        <w:rPr>
          <w:rFonts w:hint="cs"/>
          <w:rtl/>
        </w:rPr>
        <w:t xml:space="preserve">דהא דאין בנין בכלים היינו בכלי ע"ג כלי אבל בכלי אחד לכו"ע יש בנין בכלים, אך הביא </w:t>
      </w:r>
      <w:r w:rsidRPr="00E24FB9">
        <w:rPr>
          <w:rStyle w:val="aff4"/>
          <w:rFonts w:hint="cs"/>
          <w:vanish/>
          <w:rtl/>
        </w:rPr>
        <w:t>-</w:t>
      </w:r>
      <w:r w:rsidRPr="00C07E8C">
        <w:rPr>
          <w:rStyle w:val="aff4"/>
          <w:rFonts w:hint="cs"/>
          <w:rtl/>
        </w:rPr>
        <w:t>ה</w:t>
      </w:r>
      <w:r>
        <w:rPr>
          <w:rStyle w:val="aff4"/>
          <w:rFonts w:hint="cs"/>
          <w:vanish/>
          <w:rtl/>
        </w:rPr>
        <w:t xml:space="preserve">&lt;, </w:t>
      </w:r>
      <w:r>
        <w:rPr>
          <w:rStyle w:val="aff4"/>
          <w:vanish/>
          <w:rtl/>
        </w:rPr>
        <w:fldChar w:fldCharType="begin"/>
      </w:r>
      <w:r>
        <w:rPr>
          <w:rStyle w:val="aff4"/>
          <w:vanish/>
          <w:rtl/>
        </w:rPr>
        <w:instrText xml:space="preserve"> </w:instrText>
      </w:r>
      <w:r>
        <w:rPr>
          <w:rStyle w:val="aff4"/>
          <w:rFonts w:hint="cs"/>
          <w:vanish/>
        </w:rPr>
        <w:instrText>REF</w:instrText>
      </w:r>
      <w:r>
        <w:rPr>
          <w:rStyle w:val="aff4"/>
          <w:rFonts w:hint="cs"/>
          <w:vanish/>
          <w:rtl/>
        </w:rPr>
        <w:instrText xml:space="preserve"> _</w:instrText>
      </w:r>
      <w:r>
        <w:rPr>
          <w:rStyle w:val="aff4"/>
          <w:rFonts w:hint="cs"/>
          <w:vanish/>
        </w:rPr>
        <w:instrText>Ref145190073 \r \h</w:instrText>
      </w:r>
      <w:r>
        <w:rPr>
          <w:rStyle w:val="aff4"/>
          <w:vanish/>
          <w:rtl/>
        </w:rPr>
        <w:instrText xml:space="preserve"> </w:instrText>
      </w:r>
      <w:r>
        <w:rPr>
          <w:rStyle w:val="aff4"/>
          <w:vanish/>
          <w:rtl/>
        </w:rPr>
      </w:r>
      <w:r>
        <w:rPr>
          <w:rStyle w:val="aff4"/>
          <w:vanish/>
          <w:rtl/>
        </w:rPr>
        <w:fldChar w:fldCharType="separate"/>
      </w:r>
      <w:r w:rsidR="00D82181">
        <w:rPr>
          <w:rStyle w:val="aff4"/>
          <w:vanish/>
          <w:cs/>
        </w:rPr>
        <w:t>‎</w:t>
      </w:r>
      <w:r w:rsidR="00D82181">
        <w:rPr>
          <w:rStyle w:val="aff4"/>
          <w:vanish/>
          <w:rtl/>
        </w:rPr>
        <w:t>קעז)</w:t>
      </w:r>
      <w:r>
        <w:rPr>
          <w:rStyle w:val="aff4"/>
          <w:vanish/>
          <w:rtl/>
        </w:rPr>
        <w:fldChar w:fldCharType="end"/>
      </w:r>
      <w:r>
        <w:rPr>
          <w:rStyle w:val="aff4"/>
          <w:rFonts w:hint="cs"/>
          <w:vanish/>
          <w:rtl/>
        </w:rPr>
        <w:t xml:space="preserve"> &gt;</w:t>
      </w:r>
      <w:r w:rsidRPr="00C07E8C">
        <w:rPr>
          <w:rStyle w:val="aff4"/>
          <w:rFonts w:hint="cs"/>
          <w:rtl/>
        </w:rPr>
        <w:t>בעה"מ</w:t>
      </w:r>
      <w:r w:rsidRPr="00E24FB9">
        <w:rPr>
          <w:rStyle w:val="aff4"/>
          <w:rFonts w:hint="cs"/>
          <w:vanish/>
          <w:rtl/>
        </w:rPr>
        <w:t>-</w:t>
      </w:r>
      <w:r w:rsidRPr="00CE39B0">
        <w:rPr>
          <w:rFonts w:hint="cs"/>
          <w:rtl/>
        </w:rPr>
        <w:t xml:space="preserve"> </w:t>
      </w:r>
      <w:r w:rsidRPr="00C962CD">
        <w:rPr>
          <w:rStyle w:val="af2"/>
          <w:rFonts w:eastAsia="Guttman Hodes" w:hint="cs"/>
          <w:rtl/>
        </w:rPr>
        <w:t xml:space="preserve">(ל"ז. מדה"ר </w:t>
      </w:r>
      <w:r>
        <w:rPr>
          <w:rStyle w:val="af2"/>
          <w:rFonts w:eastAsia="Guttman Hodes" w:hint="cs"/>
          <w:rtl/>
        </w:rPr>
        <w:t>סו</w:t>
      </w:r>
      <w:r w:rsidRPr="00C962CD">
        <w:rPr>
          <w:rStyle w:val="af2"/>
          <w:rFonts w:eastAsia="Guttman Hodes" w:hint="cs"/>
          <w:rtl/>
        </w:rPr>
        <w:t>ד"ה עייל, מהדו' עוז והדר עמ' ק"ד)</w:t>
      </w:r>
      <w:r w:rsidRPr="00CE39B0">
        <w:rPr>
          <w:rFonts w:hint="cs"/>
          <w:rtl/>
        </w:rPr>
        <w:t xml:space="preserve"> </w:t>
      </w:r>
      <w:bookmarkEnd w:id="6244"/>
      <w:r w:rsidRPr="00CE39B0">
        <w:rPr>
          <w:rFonts w:hint="cs"/>
          <w:rtl/>
        </w:rPr>
        <w:t xml:space="preserve">בשם </w:t>
      </w:r>
      <w:r w:rsidRPr="00E24FB9">
        <w:rPr>
          <w:rStyle w:val="aff4"/>
          <w:rFonts w:hint="cs"/>
          <w:vanish/>
          <w:rtl/>
        </w:rPr>
        <w:t>-</w:t>
      </w:r>
      <w:r w:rsidRPr="00C07E8C">
        <w:rPr>
          <w:rStyle w:val="aff4"/>
          <w:rFonts w:hint="cs"/>
          <w:rtl/>
        </w:rPr>
        <w:t>י"מ</w:t>
      </w:r>
      <w:r w:rsidRPr="00E24FB9">
        <w:rPr>
          <w:rStyle w:val="aff4"/>
          <w:rFonts w:hint="cs"/>
          <w:vanish/>
          <w:rtl/>
        </w:rPr>
        <w:t>-</w:t>
      </w:r>
      <w:r w:rsidRPr="00D12047">
        <w:rPr>
          <w:rFonts w:hint="cs"/>
          <w:vanish/>
          <w:rtl/>
        </w:rPr>
        <w:t>=</w:t>
      </w:r>
      <w:r w:rsidRPr="00CE39B0">
        <w:rPr>
          <w:rFonts w:hint="cs"/>
          <w:rtl/>
        </w:rPr>
        <w:t xml:space="preserve"> דהוא מחלוקת אי יש בנין בכלים בחביתא וחלתא</w:t>
      </w:r>
      <w:r w:rsidRPr="00896BFD">
        <w:rPr>
          <w:rFonts w:hint="cs"/>
          <w:rtl/>
        </w:rPr>
        <w:t xml:space="preserve"> </w:t>
      </w:r>
      <w:r w:rsidRPr="00CE39B0">
        <w:rPr>
          <w:rFonts w:hint="cs"/>
          <w:rtl/>
        </w:rPr>
        <w:t xml:space="preserve">בגמ' לעיל </w:t>
      </w:r>
      <w:r w:rsidRPr="00C962CD">
        <w:rPr>
          <w:rStyle w:val="af2"/>
          <w:rFonts w:eastAsia="Guttman Hodes" w:hint="cs"/>
          <w:rtl/>
        </w:rPr>
        <w:t>(עד:)</w:t>
      </w:r>
      <w:r w:rsidRPr="00CE39B0">
        <w:rPr>
          <w:rFonts w:hint="cs"/>
          <w:rtl/>
        </w:rPr>
        <w:t xml:space="preserve">, והגמ' בביצה </w:t>
      </w:r>
      <w:r w:rsidRPr="00C962CD">
        <w:rPr>
          <w:rStyle w:val="af2"/>
          <w:rFonts w:eastAsia="Guttman Hodes" w:hint="cs"/>
          <w:rtl/>
        </w:rPr>
        <w:t>(כב.)</w:t>
      </w:r>
      <w:r w:rsidRPr="00CE39B0">
        <w:rPr>
          <w:rFonts w:hint="cs"/>
          <w:rtl/>
        </w:rPr>
        <w:t xml:space="preserve"> היא כמ"ד דאין בנין בכלים, אבל למ"ד דיש בנין בכלים צריך להעמיד דבגמ' בביצה איירי במנורה דאית בה חידקי שנראים כחוליות, דלב"ש גזרינן אטו מנורה של חוליות שיש בה בנין, ולב"ה לא גזרינן ביו"ט דהתירו משום צורך יו"ט, וכתב </w:t>
      </w:r>
      <w:r w:rsidRPr="00E24FB9">
        <w:rPr>
          <w:rStyle w:val="aff4"/>
          <w:rFonts w:hint="cs"/>
          <w:vanish/>
          <w:rtl/>
        </w:rPr>
        <w:t>-</w:t>
      </w:r>
      <w:r w:rsidRPr="00C07E8C">
        <w:rPr>
          <w:rStyle w:val="aff4"/>
          <w:rFonts w:hint="cs"/>
          <w:rtl/>
        </w:rPr>
        <w:t>הבהע"מ</w:t>
      </w:r>
      <w:r w:rsidRPr="00E24FB9">
        <w:rPr>
          <w:rStyle w:val="aff4"/>
          <w:rFonts w:hint="cs"/>
          <w:vanish/>
          <w:rtl/>
        </w:rPr>
        <w:t>-</w:t>
      </w:r>
      <w:r w:rsidRPr="00CE39B0">
        <w:rPr>
          <w:rFonts w:hint="cs"/>
          <w:rtl/>
        </w:rPr>
        <w:t xml:space="preserve"> דריו"ח בגמ' לעיל </w:t>
      </w:r>
      <w:r w:rsidRPr="00C962CD">
        <w:rPr>
          <w:rStyle w:val="af2"/>
          <w:rFonts w:eastAsia="Guttman Hodes" w:hint="cs"/>
          <w:rtl/>
        </w:rPr>
        <w:t>(מו.)</w:t>
      </w:r>
      <w:r w:rsidRPr="00CE39B0">
        <w:rPr>
          <w:rFonts w:hint="cs"/>
          <w:rtl/>
        </w:rPr>
        <w:t xml:space="preserve"> דאסר לטלטל בשבת מנורה של חידקי כעין חוליות, ס"ל כמ"ד דיש בנין בכלים, ולכן אף החמיר אף במנורה קטנה דאית בה חידקי, וכתב </w:t>
      </w:r>
      <w:r w:rsidRPr="00E24FB9">
        <w:rPr>
          <w:rStyle w:val="aff4"/>
          <w:rFonts w:hint="cs"/>
          <w:vanish/>
          <w:rtl/>
        </w:rPr>
        <w:t>-</w:t>
      </w:r>
      <w:r w:rsidRPr="00C07E8C">
        <w:rPr>
          <w:rStyle w:val="aff4"/>
          <w:rFonts w:hint="cs"/>
          <w:rtl/>
        </w:rPr>
        <w:t>הבעה"מ</w:t>
      </w:r>
      <w:r w:rsidRPr="00E24FB9">
        <w:rPr>
          <w:rStyle w:val="aff4"/>
          <w:rFonts w:hint="cs"/>
          <w:vanish/>
          <w:rtl/>
        </w:rPr>
        <w:t>-</w:t>
      </w:r>
      <w:r w:rsidRPr="00CE39B0">
        <w:rPr>
          <w:rFonts w:hint="cs"/>
          <w:rtl/>
        </w:rPr>
        <w:t xml:space="preserve"> דלפי"ז נחלקו אביי ורבא בגמ' לקמן </w:t>
      </w:r>
      <w:r w:rsidRPr="00C962CD">
        <w:rPr>
          <w:rStyle w:val="af2"/>
          <w:rFonts w:eastAsia="Guttman Hodes" w:hint="cs"/>
          <w:rtl/>
        </w:rPr>
        <w:t>(קכב:)</w:t>
      </w:r>
      <w:r w:rsidRPr="00CE39B0">
        <w:rPr>
          <w:rFonts w:hint="cs"/>
          <w:rtl/>
        </w:rPr>
        <w:t xml:space="preserve"> אי יש בנין בכלים, וקיי"ל כרבא דאין בנין בכלים.</w:t>
      </w:r>
      <w:bookmarkEnd w:id="6245"/>
    </w:p>
    <w:p w14:paraId="7D7B1EE0" w14:textId="77777777" w:rsidR="000F6808" w:rsidRPr="00111645" w:rsidRDefault="000F6808" w:rsidP="000F6808">
      <w:pPr>
        <w:pStyle w:val="a2"/>
      </w:pPr>
      <w:r w:rsidRPr="00111645">
        <w:rPr>
          <w:rtl/>
        </w:rPr>
        <w:t xml:space="preserve">ואית דבעו למימר פלוגתא אינון וההיא דאמרינן במס' יום טוב אזלא כמ"ד אין בנין בכלים אבל למ"ד יש בנין בכלים מוקים לה לההיא במנורה דאית בה חדקי כגון חוליות דב"ש סברי גזרינן משום מנורה של חוליות וב"ה סברי לא גזרינן ביום טוב כיון דמנורה צורך יום טוב הוא ור' יוחנן דאסר במנורה דאית בה חדקי כעין חוליות לטלטלה בשבת כדאי' בפ' כירה סבר לה כמ"ד יש בנין בכלים לפיכך החמיר בה אפי' בקטנה דאית בה חדקי ובפ' כל הכלים היא פלוגתא דאביי ורבא וכיון דקי"ל כרבא דהוא בתרא </w:t>
      </w:r>
      <w:r w:rsidRPr="00111645">
        <w:rPr>
          <w:rFonts w:hint="cs"/>
          <w:color w:val="000000" w:themeColor="text1"/>
          <w:sz w:val="12"/>
          <w:szCs w:val="12"/>
          <w:rtl/>
        </w:rPr>
        <w:t>ור' יוסי (הגלילי) [גלילאה] איקלע לאתריה דר' יוסי בר' חנינא וטלטל מנרתא לפיכך לא חש לה הרי"ף לכתוב פלוגתא דר' יוחנן וריש לקיש במנורה בפ' כירה ואין טעם זה מספיק כל הצורך לתקן דברי הרי"ף ז"ל כיון דחוליות בין גדולה בין קטנה אסור לטלטלה בשבת וכן גדולה דאית ביה חדקי היה לו לכתוב ולפרש דבר זה.</w:t>
      </w:r>
    </w:p>
    <w:p w14:paraId="775C624B" w14:textId="77777777" w:rsidR="000F6808" w:rsidRPr="00FE2942" w:rsidRDefault="000F6808" w:rsidP="000F6808">
      <w:pPr>
        <w:pStyle w:val="1"/>
      </w:pPr>
      <w:bookmarkStart w:id="6246" w:name="_Toc145487170"/>
      <w:bookmarkEnd w:id="6241"/>
      <w:r>
        <w:rPr>
          <w:rFonts w:hint="cs"/>
          <w:rtl/>
        </w:rPr>
        <w:t>בי' הרמב"ן דבמנורה ותריסין שצריכים אומן יש בנין אף לב"ה</w:t>
      </w:r>
      <w:bookmarkEnd w:id="6246"/>
    </w:p>
    <w:p w14:paraId="2E33DF3E" w14:textId="77777777" w:rsidR="000F6808" w:rsidRPr="00F05D34" w:rsidRDefault="000F6808" w:rsidP="000F6808">
      <w:pPr>
        <w:keepNext/>
        <w:keepLines/>
        <w:spacing w:after="0" w:line="240" w:lineRule="auto"/>
        <w:ind w:left="-284"/>
        <w:jc w:val="both"/>
        <w:outlineLvl w:val="1"/>
        <w:rPr>
          <w:rFonts w:ascii="FrankRuehl" w:eastAsia="Guttman Hodes" w:hAnsi="FrankRuehl" w:cs="Guttman Rashi"/>
          <w:bCs/>
          <w:noProof/>
          <w:sz w:val="16"/>
          <w:szCs w:val="16"/>
        </w:rPr>
      </w:pPr>
      <w:r w:rsidRPr="00F05D34">
        <w:rPr>
          <w:rFonts w:ascii="FrankRuehl" w:eastAsia="Guttman Hodes" w:hAnsi="FrankRuehl" w:cs="Guttman Rashi" w:hint="cs"/>
          <w:bCs/>
          <w:noProof/>
          <w:sz w:val="16"/>
          <w:szCs w:val="16"/>
          <w:rtl/>
        </w:rPr>
        <w:t>חדושי הרמב"ן שבת ק"ב ע"ב ד"ה רב</w:t>
      </w:r>
    </w:p>
    <w:p w14:paraId="17081B14" w14:textId="77777777" w:rsidR="000F6808" w:rsidRPr="00F05D34" w:rsidRDefault="000F6808" w:rsidP="000F6808">
      <w:pPr>
        <w:pStyle w:val="a7"/>
        <w:rPr>
          <w:rtl/>
        </w:rPr>
      </w:pPr>
      <w:bookmarkStart w:id="6247" w:name="_Toc145487171"/>
      <w:r>
        <w:rPr>
          <w:rFonts w:hint="cs"/>
          <w:rtl/>
        </w:rPr>
        <w:t>בי' הרמב"ן דכלי מפורק שצריך אומן להחזירו כמנורה דחוליות וציר מן הצד אינו כלי והוי בונה</w:t>
      </w:r>
      <w:bookmarkEnd w:id="6247"/>
      <w:r>
        <w:rPr>
          <w:rFonts w:hint="cs"/>
          <w:rtl/>
        </w:rPr>
        <w:t xml:space="preserve"> </w:t>
      </w:r>
    </w:p>
    <w:p w14:paraId="2D0381AB" w14:textId="7E4F9CA2" w:rsidR="000F6808" w:rsidRPr="00F05D34" w:rsidRDefault="000F6808" w:rsidP="000F6808">
      <w:pPr>
        <w:pStyle w:val="a3"/>
        <w:rPr>
          <w:rtl/>
        </w:rPr>
      </w:pPr>
      <w:bookmarkStart w:id="6248" w:name="_Ref145399681"/>
      <w:r>
        <w:rPr>
          <w:rFonts w:hint="cs"/>
          <w:rtl/>
        </w:rPr>
        <w:t>ועי' במ"ש</w:t>
      </w:r>
      <w:r w:rsidRPr="00F05D34">
        <w:rPr>
          <w:rFonts w:hint="cs"/>
          <w:b/>
          <w:bCs/>
          <w:rtl/>
        </w:rPr>
        <w:t xml:space="preserve"> ה</w:t>
      </w:r>
      <w:r>
        <w:rPr>
          <w:rFonts w:hint="cs"/>
          <w:b/>
          <w:bCs/>
          <w:vanish/>
          <w:rtl/>
        </w:rPr>
        <w:t xml:space="preserve">&lt;, </w:t>
      </w:r>
      <w:r>
        <w:rPr>
          <w:b/>
          <w:bCs/>
          <w:vanish/>
          <w:rtl/>
        </w:rPr>
        <w:fldChar w:fldCharType="begin"/>
      </w:r>
      <w:r>
        <w:rPr>
          <w:b/>
          <w:bCs/>
          <w:vanish/>
          <w:rtl/>
        </w:rPr>
        <w:instrText xml:space="preserve"> </w:instrText>
      </w:r>
      <w:r>
        <w:rPr>
          <w:rFonts w:hint="cs"/>
          <w:b/>
          <w:bCs/>
          <w:vanish/>
        </w:rPr>
        <w:instrText>REF</w:instrText>
      </w:r>
      <w:r>
        <w:rPr>
          <w:rFonts w:hint="cs"/>
          <w:b/>
          <w:bCs/>
          <w:vanish/>
          <w:rtl/>
        </w:rPr>
        <w:instrText xml:space="preserve"> _</w:instrText>
      </w:r>
      <w:r>
        <w:rPr>
          <w:rFonts w:hint="cs"/>
          <w:b/>
          <w:bCs/>
          <w:vanish/>
        </w:rPr>
        <w:instrText>Ref145399681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קעח)</w:t>
      </w:r>
      <w:r>
        <w:rPr>
          <w:b/>
          <w:bCs/>
          <w:vanish/>
          <w:rtl/>
        </w:rPr>
        <w:fldChar w:fldCharType="end"/>
      </w:r>
      <w:r>
        <w:rPr>
          <w:rFonts w:hint="cs"/>
          <w:b/>
          <w:bCs/>
          <w:vanish/>
          <w:rtl/>
        </w:rPr>
        <w:t xml:space="preserve"> &gt;</w:t>
      </w:r>
      <w:r w:rsidRPr="00F05D34">
        <w:rPr>
          <w:rFonts w:hint="cs"/>
          <w:b/>
          <w:bCs/>
          <w:vanish/>
          <w:rtl/>
        </w:rPr>
        <w:t xml:space="preserve"> </w:t>
      </w:r>
      <w:r w:rsidRPr="00F05D34">
        <w:rPr>
          <w:rFonts w:hint="cs"/>
          <w:b/>
          <w:bCs/>
          <w:rtl/>
        </w:rPr>
        <w:t>רמב"ן</w:t>
      </w:r>
      <w:r>
        <w:rPr>
          <w:rFonts w:hint="cs"/>
          <w:b/>
          <w:bCs/>
          <w:rtl/>
        </w:rPr>
        <w:t xml:space="preserve"> בסוגיין</w:t>
      </w:r>
      <w:r w:rsidRPr="00F05D34">
        <w:rPr>
          <w:rFonts w:hint="cs"/>
          <w:b/>
          <w:bCs/>
          <w:rtl/>
        </w:rPr>
        <w:t xml:space="preserve"> </w:t>
      </w:r>
      <w:r w:rsidRPr="00C962CD">
        <w:rPr>
          <w:rStyle w:val="af2"/>
          <w:rFonts w:eastAsia="Guttman Hodes" w:hint="cs"/>
          <w:rtl/>
        </w:rPr>
        <w:t>(ד"ה רב)</w:t>
      </w:r>
      <w:r w:rsidRPr="00F05D34">
        <w:rPr>
          <w:rFonts w:hint="cs"/>
          <w:vanish/>
          <w:rtl/>
        </w:rPr>
        <w:t>=</w:t>
      </w:r>
      <w:r w:rsidRPr="00F05D34">
        <w:rPr>
          <w:rFonts w:hint="cs"/>
          <w:rtl/>
        </w:rPr>
        <w:t xml:space="preserve"> דהא דאין בנין בכלים, היינו בכלי מפורק כמנורה של חוליות, אבל בעשיית כלי או מתקן כלי מתחילתו יש בנין כיון דאין לך בנין גדול מזה</w:t>
      </w:r>
      <w:r>
        <w:rPr>
          <w:rFonts w:hint="cs"/>
          <w:rtl/>
        </w:rPr>
        <w:t>,</w:t>
      </w:r>
      <w:r w:rsidRPr="00F05D34">
        <w:rPr>
          <w:rFonts w:hint="cs"/>
          <w:rtl/>
        </w:rPr>
        <w:t xml:space="preserve"> והוסיף </w:t>
      </w:r>
      <w:r w:rsidRPr="00F05D34">
        <w:rPr>
          <w:b/>
          <w:bCs/>
          <w:rtl/>
        </w:rPr>
        <w:t xml:space="preserve">הרמב"ן </w:t>
      </w:r>
      <w:r w:rsidRPr="00F05D34">
        <w:rPr>
          <w:rFonts w:hint="cs"/>
          <w:rtl/>
        </w:rPr>
        <w:t xml:space="preserve">דלפי"ז אפש"ל דאף בכלי מפורק שייך חיוב בונה כשצריך אומן להחזירו, דכיון שהוא מפורק והדיוט אינו יכול להחזירו, אין לו תורת כלי, וכשהחזירו האומן חשיב כעושה כלי מתחילתו, וכתב </w:t>
      </w:r>
      <w:r w:rsidRPr="00F05D34">
        <w:rPr>
          <w:b/>
          <w:bCs/>
          <w:rtl/>
        </w:rPr>
        <w:t xml:space="preserve">הרמב"ן </w:t>
      </w:r>
      <w:r w:rsidRPr="00F05D34">
        <w:rPr>
          <w:rFonts w:hint="cs"/>
          <w:rtl/>
        </w:rPr>
        <w:t xml:space="preserve">דזהו הביאור בהא דאיתא בגמ' לעיל </w:t>
      </w:r>
      <w:r w:rsidRPr="00C962CD">
        <w:rPr>
          <w:rStyle w:val="af2"/>
          <w:rFonts w:eastAsia="Guttman Hodes" w:hint="cs"/>
          <w:rtl/>
        </w:rPr>
        <w:t>(מו.)</w:t>
      </w:r>
      <w:r w:rsidRPr="00F05D34">
        <w:rPr>
          <w:rFonts w:hint="cs"/>
          <w:rtl/>
        </w:rPr>
        <w:t xml:space="preserve"> דגזרו לטלטל מנורה של חוליות שמא תפול ותתפרק לגמרי ויחזירנה, </w:t>
      </w:r>
      <w:r w:rsidRPr="008267A7">
        <w:rPr>
          <w:rStyle w:val="af"/>
          <w:rFonts w:hint="cs"/>
          <w:rtl/>
        </w:rPr>
        <w:t>[ע"י אומן],</w:t>
      </w:r>
      <w:r w:rsidRPr="00F05D34">
        <w:rPr>
          <w:rFonts w:hint="cs"/>
          <w:rtl/>
        </w:rPr>
        <w:t xml:space="preserve"> דבכה"ג הוא כעושה כלי מתחילה בשבת, וכתב </w:t>
      </w:r>
      <w:r w:rsidRPr="00F05D34">
        <w:rPr>
          <w:b/>
          <w:bCs/>
          <w:rtl/>
        </w:rPr>
        <w:t xml:space="preserve">הרמב"ן </w:t>
      </w:r>
      <w:r w:rsidRPr="00F05D34">
        <w:rPr>
          <w:rFonts w:hint="cs"/>
          <w:rtl/>
        </w:rPr>
        <w:t xml:space="preserve">דהא דאיתא בגמ' בביצה </w:t>
      </w:r>
      <w:r w:rsidRPr="00C962CD">
        <w:rPr>
          <w:rStyle w:val="af2"/>
          <w:rFonts w:eastAsia="Guttman Hodes" w:hint="cs"/>
          <w:rtl/>
        </w:rPr>
        <w:t>(יא:)</w:t>
      </w:r>
      <w:r w:rsidRPr="00F05D34">
        <w:rPr>
          <w:rFonts w:hint="cs"/>
          <w:rtl/>
        </w:rPr>
        <w:t xml:space="preserve"> דב"ה התירו החזרת תריסין, היינו כיון דס"ל דאין בנין וכלים, ואפ"ה התירו רק בתריסי החנויות משום שמחת יו"ט התירו, אבל תריסי הכלים שבבתים אסור מדרבנן, דגזרו צין מן האמצע אטו ציר מן הצד, וביאר </w:t>
      </w:r>
      <w:r w:rsidRPr="00E24FB9">
        <w:rPr>
          <w:rStyle w:val="aff4"/>
          <w:rFonts w:hint="cs"/>
          <w:vanish/>
          <w:rtl/>
        </w:rPr>
        <w:t>-</w:t>
      </w:r>
      <w:r w:rsidRPr="00C07E8C">
        <w:rPr>
          <w:rStyle w:val="aff4"/>
          <w:rFonts w:hint="cs"/>
          <w:rtl/>
        </w:rPr>
        <w:t>הרמב"ן</w:t>
      </w:r>
      <w:r w:rsidRPr="00E24FB9">
        <w:rPr>
          <w:rStyle w:val="aff4"/>
          <w:rFonts w:hint="cs"/>
          <w:vanish/>
          <w:rtl/>
        </w:rPr>
        <w:t>-</w:t>
      </w:r>
      <w:r w:rsidRPr="00F05D34">
        <w:rPr>
          <w:rFonts w:hint="cs"/>
          <w:rtl/>
        </w:rPr>
        <w:t xml:space="preserve"> דהחזרת ציר מן הצד היא מעשה אומן, והוא כעושה כלי מתחילתו דחייב בבונה.</w:t>
      </w:r>
      <w:bookmarkEnd w:id="6248"/>
    </w:p>
    <w:p w14:paraId="7A9247D2" w14:textId="77777777" w:rsidR="000F6808" w:rsidRPr="0088513D" w:rsidRDefault="000F6808" w:rsidP="000F6808">
      <w:pPr>
        <w:pStyle w:val="afffffe"/>
        <w:rPr>
          <w:vanish/>
        </w:rPr>
      </w:pPr>
      <w:r w:rsidRPr="0088513D">
        <w:rPr>
          <w:rFonts w:hint="cs"/>
          <w:vanish/>
          <w:rtl/>
        </w:rPr>
        <w:t>חדושי הרמב"ן שבת ק"ב ע"ב ד"ה רב</w:t>
      </w:r>
    </w:p>
    <w:p w14:paraId="58DA4729" w14:textId="77777777" w:rsidR="000F6808" w:rsidRPr="00111645" w:rsidRDefault="000F6808" w:rsidP="000F6808">
      <w:pPr>
        <w:pStyle w:val="a2"/>
      </w:pPr>
      <w:r w:rsidRPr="00111645">
        <w:rPr>
          <w:rtl/>
        </w:rPr>
        <w:t>רב אמר חייב משום בונה. קשיא להו לרבוותא ז"ל והא אמרי' במס' ביצה (כ"ב א') אין בנין בכלים ואין סתירה בכלים, ויש לנו לתרץ דכי אמרי' אין בנין בכלים ה"מ בכלי שנתפרק כגון מנורה של חליות אבל הכא עושה כלי או מתקן כלי מתחלתו אין לך בנין גדול מזה ואין זה נקרא בנין בכלים שהרי אינו כלי אבל עושה כלי מיקרי.</w:t>
      </w:r>
    </w:p>
    <w:p w14:paraId="48E8E41C" w14:textId="77777777" w:rsidR="000F6808" w:rsidRPr="00111645" w:rsidRDefault="000F6808" w:rsidP="000F6808">
      <w:pPr>
        <w:pStyle w:val="afffff5"/>
      </w:pPr>
      <w:r w:rsidRPr="00111645">
        <w:rPr>
          <w:rtl/>
        </w:rPr>
        <w:t>ואפשר לפי דעת זו שכל כלי שצריך אומן בחזרתו מיחייב עליה משום בונה דהו"ל כעושה כלי מתחלתו שהרי משעה שנתפרק ואין ההדיוט יכול להחזירו בטל מתורת כלי, והיינו דגזרי' בפ' כירה (מ"ו א') במנורה של חוליות ואסרינן לה אפי' לטלטלה גזירה משום שמא תפול ותתפרק לגמרי ויחזירנה ונמצא עושה כלי בתחלה בשבת, וההיא דאמרי' במס' ביצה (י"א ב') גבי תריסי חנויות מהו דתימא טעמא דב"ה משום דאין בנין בכלים ואין סתירה בכלים ואפי' דבתים נמי קמ"ל הותרו סופן משום תחלתן דחנויות אין דבתים לא, לאו למימרא דסברי ב"ה יש בנין בכלים ויש סתירה בכלים, אלא ה"ק מהו דתימא טעמייהו דב"ה לאו משום שמחת י"ט כלל אלא משום דסברי אין בנין בכלים וגזירה לא סבירא להו למגזר הכא, קמ"ל דטעמייהו משום שמחת יום טוב שאלמלא כן היו גוזרין עליהן בשיש להן ציר באמצע אטו מן הצד, ומן הצד אסור דהו"ל מלאכת אומן וכעושה כלי לכתחלה דמי, ומשום שמחת י"ט הוא דלא גזרי הלכך בדבתים דליכא משום שמחת י"ט גזרי' ואסירי.</w:t>
      </w:r>
    </w:p>
    <w:p w14:paraId="2983D573" w14:textId="77777777" w:rsidR="000F6808" w:rsidRPr="00FC269C" w:rsidRDefault="000F6808" w:rsidP="000F6808">
      <w:pPr>
        <w:pStyle w:val="afffff7"/>
        <w:rPr>
          <w:rtl/>
        </w:rPr>
      </w:pPr>
      <w:bookmarkStart w:id="6249" w:name="_Toc145500875"/>
      <w:bookmarkStart w:id="6250" w:name="_Toc163506415"/>
      <w:r w:rsidRPr="00FC269C">
        <w:rPr>
          <w:rtl/>
        </w:rPr>
        <w:t>חדושי הרשב"א שבת ק"ב ע"ב</w:t>
      </w:r>
      <w:r w:rsidRPr="00FC269C">
        <w:rPr>
          <w:rFonts w:hint="cs"/>
          <w:rtl/>
        </w:rPr>
        <w:t xml:space="preserve"> ד"ה האי</w:t>
      </w:r>
      <w:bookmarkEnd w:id="6249"/>
      <w:bookmarkEnd w:id="6250"/>
    </w:p>
    <w:p w14:paraId="41A056FF" w14:textId="77777777" w:rsidR="000F6808" w:rsidRPr="00111645" w:rsidRDefault="000F6808" w:rsidP="000F6808">
      <w:pPr>
        <w:pStyle w:val="afffff7"/>
        <w:rPr>
          <w:rtl/>
        </w:rPr>
      </w:pPr>
      <w:bookmarkStart w:id="6251" w:name="_Toc145500876"/>
      <w:bookmarkStart w:id="6252" w:name="_Toc163506416"/>
      <w:r w:rsidRPr="00111645">
        <w:rPr>
          <w:rtl/>
        </w:rPr>
        <w:t>חדושי הריטב"א שבת ק"ב ע"ב</w:t>
      </w:r>
      <w:r w:rsidRPr="00111645">
        <w:rPr>
          <w:rFonts w:hint="cs"/>
          <w:rtl/>
        </w:rPr>
        <w:t xml:space="preserve"> ד"ה ואי קשיא</w:t>
      </w:r>
      <w:bookmarkEnd w:id="6251"/>
      <w:bookmarkEnd w:id="6252"/>
    </w:p>
    <w:p w14:paraId="3F3653A5" w14:textId="77777777" w:rsidR="000F6808" w:rsidRPr="005B171C" w:rsidRDefault="000F6808" w:rsidP="000F6808">
      <w:pPr>
        <w:pStyle w:val="a7"/>
      </w:pPr>
      <w:bookmarkStart w:id="6253" w:name="_Toc145487172"/>
      <w:r>
        <w:rPr>
          <w:rFonts w:hint="cs"/>
          <w:rtl/>
        </w:rPr>
        <w:t>בי' הרשב"א ברמב"ן דבמנורה צריך אומן והוי בונה ולכן גזרו</w:t>
      </w:r>
      <w:bookmarkEnd w:id="6253"/>
      <w:r>
        <w:rPr>
          <w:rFonts w:hint="cs"/>
          <w:rtl/>
        </w:rPr>
        <w:t xml:space="preserve"> </w:t>
      </w:r>
    </w:p>
    <w:p w14:paraId="2233C712" w14:textId="3496378C" w:rsidR="000F6808" w:rsidRDefault="000F6808" w:rsidP="000F6808">
      <w:pPr>
        <w:pStyle w:val="a3"/>
      </w:pPr>
      <w:r>
        <w:rPr>
          <w:rFonts w:hint="cs"/>
          <w:rtl/>
        </w:rPr>
        <w:t xml:space="preserve">וכ"כ </w:t>
      </w:r>
      <w:r w:rsidRPr="00C07E8C">
        <w:rPr>
          <w:rStyle w:val="aff4"/>
          <w:rFonts w:hint="cs"/>
          <w:rtl/>
        </w:rPr>
        <w:t>ה</w:t>
      </w:r>
      <w:r w:rsidRPr="002F70B4">
        <w:rPr>
          <w:rStyle w:val="aff4"/>
          <w:rFonts w:hint="cs"/>
          <w:vanish/>
          <w:rtl/>
        </w:rPr>
        <w:t xml:space="preserve">&lt;, </w:t>
      </w:r>
      <w:r w:rsidRPr="002F70B4">
        <w:rPr>
          <w:rStyle w:val="aff4"/>
          <w:vanish/>
          <w:rtl/>
        </w:rPr>
        <w:fldChar w:fldCharType="begin"/>
      </w:r>
      <w:r w:rsidRPr="002F70B4">
        <w:rPr>
          <w:rStyle w:val="aff4"/>
          <w:vanish/>
          <w:rtl/>
        </w:rPr>
        <w:instrText xml:space="preserve"> </w:instrText>
      </w:r>
      <w:r w:rsidRPr="002F70B4">
        <w:rPr>
          <w:rStyle w:val="aff4"/>
          <w:rFonts w:hint="cs"/>
          <w:vanish/>
        </w:rPr>
        <w:instrText>REF</w:instrText>
      </w:r>
      <w:r w:rsidRPr="002F70B4">
        <w:rPr>
          <w:rStyle w:val="aff4"/>
          <w:rFonts w:hint="cs"/>
          <w:vanish/>
          <w:rtl/>
        </w:rPr>
        <w:instrText xml:space="preserve"> _</w:instrText>
      </w:r>
      <w:r w:rsidRPr="002F70B4">
        <w:rPr>
          <w:rStyle w:val="aff4"/>
          <w:rFonts w:hint="cs"/>
          <w:vanish/>
        </w:rPr>
        <w:instrText>Ref145016827 \r \h</w:instrText>
      </w:r>
      <w:r w:rsidRPr="002F70B4">
        <w:rPr>
          <w:rStyle w:val="aff4"/>
          <w:vanish/>
          <w:rtl/>
        </w:rPr>
        <w:instrText xml:space="preserve"> </w:instrText>
      </w:r>
      <w:r>
        <w:rPr>
          <w:rStyle w:val="aff4"/>
          <w:vanish/>
          <w:rtl/>
        </w:rPr>
        <w:instrText xml:space="preserve"> \* </w:instrText>
      </w:r>
      <w:r>
        <w:rPr>
          <w:rStyle w:val="aff4"/>
          <w:vanish/>
        </w:rPr>
        <w:instrText>MERGEFORMAT</w:instrText>
      </w:r>
      <w:r>
        <w:rPr>
          <w:rStyle w:val="aff4"/>
          <w:vanish/>
          <w:rtl/>
        </w:rPr>
        <w:instrText xml:space="preserve"> </w:instrText>
      </w:r>
      <w:r w:rsidRPr="002F70B4">
        <w:rPr>
          <w:rStyle w:val="aff4"/>
          <w:vanish/>
          <w:rtl/>
        </w:rPr>
      </w:r>
      <w:r w:rsidRPr="002F70B4">
        <w:rPr>
          <w:rStyle w:val="aff4"/>
          <w:vanish/>
          <w:rtl/>
        </w:rPr>
        <w:fldChar w:fldCharType="separate"/>
      </w:r>
      <w:r w:rsidR="00D82181">
        <w:rPr>
          <w:rStyle w:val="aff4"/>
          <w:vanish/>
          <w:cs/>
        </w:rPr>
        <w:t>‎</w:t>
      </w:r>
      <w:r w:rsidR="00D82181">
        <w:rPr>
          <w:rStyle w:val="aff4"/>
          <w:vanish/>
          <w:rtl/>
        </w:rPr>
        <w:t>לט)</w:t>
      </w:r>
      <w:r w:rsidRPr="002F70B4">
        <w:rPr>
          <w:rStyle w:val="aff4"/>
          <w:vanish/>
          <w:rtl/>
        </w:rPr>
        <w:fldChar w:fldCharType="end"/>
      </w:r>
      <w:r w:rsidRPr="002F70B4">
        <w:rPr>
          <w:rStyle w:val="aff4"/>
          <w:rFonts w:hint="cs"/>
          <w:vanish/>
          <w:rtl/>
        </w:rPr>
        <w:t xml:space="preserve"> &gt;</w:t>
      </w:r>
      <w:r w:rsidRPr="00C07E8C">
        <w:rPr>
          <w:rStyle w:val="aff4"/>
          <w:rFonts w:hint="cs"/>
          <w:rtl/>
        </w:rPr>
        <w:t>רשב"א</w:t>
      </w:r>
      <w:r>
        <w:rPr>
          <w:rStyle w:val="aff4"/>
          <w:rFonts w:hint="cs"/>
          <w:rtl/>
        </w:rPr>
        <w:t xml:space="preserve"> בסוגיין</w:t>
      </w:r>
      <w:r w:rsidRPr="00E24FB9">
        <w:rPr>
          <w:rStyle w:val="aff4"/>
          <w:rFonts w:hint="cs"/>
          <w:vanish/>
          <w:rtl/>
        </w:rPr>
        <w:t>-</w:t>
      </w:r>
      <w:r w:rsidRPr="002F70B4">
        <w:rPr>
          <w:rFonts w:hint="cs"/>
          <w:rtl/>
        </w:rPr>
        <w:t xml:space="preserve"> </w:t>
      </w:r>
      <w:r w:rsidRPr="00C962CD">
        <w:rPr>
          <w:rStyle w:val="af2"/>
          <w:rFonts w:eastAsia="Guttman Hodes"/>
          <w:rtl/>
        </w:rPr>
        <w:t>(</w:t>
      </w:r>
      <w:r w:rsidRPr="00C962CD">
        <w:rPr>
          <w:rStyle w:val="af2"/>
          <w:rFonts w:eastAsia="Guttman Hodes" w:hint="cs"/>
          <w:rtl/>
        </w:rPr>
        <w:t>ד"ה האי</w:t>
      </w:r>
      <w:r w:rsidRPr="00C962CD">
        <w:rPr>
          <w:rStyle w:val="af2"/>
          <w:rFonts w:eastAsia="Guttman Hodes"/>
          <w:rtl/>
        </w:rPr>
        <w:t>)</w:t>
      </w:r>
      <w:r w:rsidRPr="00DB7A68">
        <w:rPr>
          <w:vanish/>
          <w:rtl/>
        </w:rPr>
        <w:t>=</w:t>
      </w:r>
      <w:r>
        <w:rPr>
          <w:rFonts w:hint="cs"/>
          <w:rtl/>
        </w:rPr>
        <w:t xml:space="preserve"> </w:t>
      </w:r>
      <w:r>
        <w:rPr>
          <w:rStyle w:val="aff4"/>
          <w:rFonts w:hint="cs"/>
          <w:rtl/>
        </w:rPr>
        <w:t>ו</w:t>
      </w:r>
      <w:r w:rsidRPr="00C07E8C">
        <w:rPr>
          <w:rStyle w:val="aff4"/>
          <w:rFonts w:hint="cs"/>
          <w:rtl/>
        </w:rPr>
        <w:t>ה</w:t>
      </w:r>
      <w:r w:rsidRPr="004B0EAE">
        <w:rPr>
          <w:rStyle w:val="aff4"/>
          <w:rFonts w:hint="cs"/>
          <w:vanish/>
          <w:rtl/>
        </w:rPr>
        <w:t>&lt; &gt;</w:t>
      </w:r>
      <w:r w:rsidRPr="00C07E8C">
        <w:rPr>
          <w:rStyle w:val="aff4"/>
          <w:rFonts w:hint="cs"/>
          <w:rtl/>
        </w:rPr>
        <w:t>ריטב"א</w:t>
      </w:r>
      <w:r w:rsidRPr="00111653">
        <w:rPr>
          <w:rStyle w:val="aff4"/>
          <w:rFonts w:hint="cs"/>
          <w:rtl/>
        </w:rPr>
        <w:t xml:space="preserve"> </w:t>
      </w:r>
      <w:r w:rsidRPr="00325471">
        <w:rPr>
          <w:rStyle w:val="aff4"/>
          <w:rFonts w:hint="cs"/>
          <w:rtl/>
        </w:rPr>
        <w:t>בסוגיין</w:t>
      </w:r>
      <w:r>
        <w:rPr>
          <w:rtl/>
        </w:rPr>
        <w:t xml:space="preserve"> </w:t>
      </w:r>
      <w:r w:rsidRPr="004B0EAE">
        <w:rPr>
          <w:rFonts w:ascii="Calibri" w:eastAsia="Times New Roman" w:hAnsi="Calibri" w:cs="Guttman Rashi"/>
          <w:noProof w:val="0"/>
          <w:sz w:val="10"/>
          <w:szCs w:val="12"/>
          <w:rtl/>
        </w:rPr>
        <w:t>(ד"ה ואי קשיא)</w:t>
      </w:r>
      <w:r w:rsidRPr="00DB7A68">
        <w:rPr>
          <w:vanish/>
          <w:rtl/>
        </w:rPr>
        <w:t>=</w:t>
      </w:r>
      <w:r w:rsidRPr="004B0EAE">
        <w:rPr>
          <w:rFonts w:hint="cs"/>
          <w:rtl/>
        </w:rPr>
        <w:t xml:space="preserve"> </w:t>
      </w:r>
      <w:r>
        <w:rPr>
          <w:rFonts w:hint="cs"/>
          <w:rtl/>
        </w:rPr>
        <w:t xml:space="preserve">בשם </w:t>
      </w:r>
      <w:r w:rsidRPr="00E24FB9">
        <w:rPr>
          <w:rStyle w:val="aff4"/>
          <w:rFonts w:hint="cs"/>
          <w:vanish/>
          <w:rtl/>
        </w:rPr>
        <w:t>-</w:t>
      </w:r>
      <w:r w:rsidRPr="00C07E8C">
        <w:rPr>
          <w:rStyle w:val="aff4"/>
          <w:rFonts w:hint="cs"/>
          <w:rtl/>
        </w:rPr>
        <w:t>הרמב"ן</w:t>
      </w:r>
      <w:r w:rsidRPr="00E24FB9">
        <w:rPr>
          <w:rStyle w:val="aff4"/>
          <w:rFonts w:hint="cs"/>
          <w:vanish/>
          <w:rtl/>
        </w:rPr>
        <w:t>-</w:t>
      </w:r>
      <w:r>
        <w:rPr>
          <w:rFonts w:hint="cs"/>
          <w:rtl/>
        </w:rPr>
        <w:t xml:space="preserve"> דכלי שהתפרק שצריך אומן להחזירו חייב בבונה דהוא כעושה כלי בתחילה דבטל ממנו תורת כלי, וזהו הביאור בגזירה בגמ' לעיל </w:t>
      </w:r>
      <w:r w:rsidRPr="00C962CD">
        <w:rPr>
          <w:rStyle w:val="af2"/>
          <w:rFonts w:eastAsia="Guttman Hodes" w:hint="cs"/>
          <w:rtl/>
        </w:rPr>
        <w:t>(מו.)</w:t>
      </w:r>
      <w:r>
        <w:rPr>
          <w:rFonts w:hint="cs"/>
          <w:rtl/>
        </w:rPr>
        <w:t xml:space="preserve"> בטלטול מנורה של חוליות שמא תתפרק ויחזירה.</w:t>
      </w:r>
    </w:p>
    <w:p w14:paraId="3768C71F" w14:textId="77777777" w:rsidR="000F6808" w:rsidRPr="0088513D" w:rsidRDefault="000F6808" w:rsidP="000F6808">
      <w:pPr>
        <w:pStyle w:val="afffffe"/>
        <w:rPr>
          <w:vanish/>
          <w:rtl/>
        </w:rPr>
      </w:pPr>
      <w:r w:rsidRPr="0088513D">
        <w:rPr>
          <w:vanish/>
          <w:rtl/>
        </w:rPr>
        <w:t>חדושי הרשב"א שבת ק"ב ע"ב</w:t>
      </w:r>
      <w:r w:rsidRPr="0088513D">
        <w:rPr>
          <w:rFonts w:hint="cs"/>
          <w:vanish/>
          <w:rtl/>
        </w:rPr>
        <w:t xml:space="preserve"> ד"ה האי</w:t>
      </w:r>
    </w:p>
    <w:p w14:paraId="49ABB1F9" w14:textId="77777777" w:rsidR="000F6808" w:rsidRDefault="000F6808" w:rsidP="000F6808">
      <w:pPr>
        <w:pStyle w:val="a2"/>
        <w:rPr>
          <w:rtl/>
        </w:rPr>
      </w:pPr>
      <w:r w:rsidRPr="00111645">
        <w:rPr>
          <w:rtl/>
        </w:rPr>
        <w:t>ולפי זה כתב הרמב"ן ז"ל דאפשר שכל כלי שצריך אומן בחזרתו מיחייב משום בונה דהוה ליה כעושה כלי מתחלתו שהרי משעה שנתפרק ואין ההדיוט יכול להחזירו בטל מתורת כלי, והיינו דגזרינן בפרק כירה (מ"ו א') במנורה של חוליות ואסרינן לה אפילו לטלטל גזירה שמא תפול ותתפרק לגמרי ויחזירנה ונמצא עושה כלי בתחילה</w:t>
      </w:r>
      <w:r w:rsidRPr="00111645">
        <w:rPr>
          <w:rFonts w:hint="cs"/>
          <w:rtl/>
        </w:rPr>
        <w:t>.</w:t>
      </w:r>
    </w:p>
    <w:bookmarkEnd w:id="6240"/>
    <w:p w14:paraId="5AD782C2" w14:textId="77777777" w:rsidR="000F6808" w:rsidRPr="0088513D" w:rsidRDefault="000F6808" w:rsidP="000F6808">
      <w:pPr>
        <w:pStyle w:val="afffffe"/>
        <w:rPr>
          <w:vanish/>
          <w:rtl/>
        </w:rPr>
      </w:pPr>
      <w:r w:rsidRPr="0088513D">
        <w:rPr>
          <w:vanish/>
          <w:rtl/>
        </w:rPr>
        <w:t>חדושי הריטב"א שבת ק"ב ע"ב</w:t>
      </w:r>
      <w:r w:rsidRPr="0088513D">
        <w:rPr>
          <w:rFonts w:hint="cs"/>
          <w:vanish/>
          <w:rtl/>
        </w:rPr>
        <w:t xml:space="preserve"> ד"ה ואי קשיא</w:t>
      </w:r>
    </w:p>
    <w:p w14:paraId="18C03C7F" w14:textId="77777777" w:rsidR="000F6808" w:rsidRDefault="000F6808" w:rsidP="000F6808">
      <w:pPr>
        <w:pStyle w:val="afffff5"/>
        <w:rPr>
          <w:rtl/>
        </w:rPr>
      </w:pPr>
      <w:r w:rsidRPr="00111645">
        <w:rPr>
          <w:rtl/>
        </w:rPr>
        <w:t>אי נמי דההיא דר' יוחנן כשצריך אומן.</w:t>
      </w:r>
    </w:p>
    <w:p w14:paraId="21DD9CD2" w14:textId="77777777" w:rsidR="000F6808" w:rsidRPr="00541EA6" w:rsidRDefault="000F6808" w:rsidP="000F6808">
      <w:pPr>
        <w:pStyle w:val="afffff7"/>
        <w:rPr>
          <w:rtl/>
        </w:rPr>
      </w:pPr>
      <w:bookmarkStart w:id="6254" w:name="_Toc145500877"/>
      <w:bookmarkStart w:id="6255" w:name="_Toc163506417"/>
      <w:r w:rsidRPr="00541EA6">
        <w:rPr>
          <w:rtl/>
        </w:rPr>
        <w:t>חדושי הרשב"א שבת מ"ו ע"א</w:t>
      </w:r>
      <w:r w:rsidRPr="00541EA6">
        <w:rPr>
          <w:rFonts w:hint="cs"/>
          <w:rtl/>
        </w:rPr>
        <w:t xml:space="preserve"> ד"ה הלכך</w:t>
      </w:r>
      <w:bookmarkEnd w:id="6254"/>
      <w:bookmarkEnd w:id="6255"/>
    </w:p>
    <w:p w14:paraId="4DD5DF1B" w14:textId="77777777" w:rsidR="000F6808" w:rsidRDefault="000F6808" w:rsidP="000F6808">
      <w:pPr>
        <w:pStyle w:val="a7"/>
        <w:rPr>
          <w:rtl/>
        </w:rPr>
      </w:pPr>
      <w:bookmarkStart w:id="6256" w:name="_Toc145222951"/>
      <w:bookmarkStart w:id="6257" w:name="_Toc145487173"/>
      <w:r>
        <w:rPr>
          <w:rFonts w:hint="cs"/>
          <w:rtl/>
        </w:rPr>
        <w:t>בי' הרמב"ן והרשב"א ברי"ף דלריו"ח יש בנין בכלים וכן בי' בב"ה אך לדידן מותר לטלטל מנורה</w:t>
      </w:r>
      <w:bookmarkEnd w:id="6256"/>
      <w:bookmarkEnd w:id="6257"/>
    </w:p>
    <w:p w14:paraId="20DCFF34" w14:textId="63621BE6" w:rsidR="000F6808" w:rsidRPr="0079463A" w:rsidRDefault="000F6808" w:rsidP="000F6808">
      <w:pPr>
        <w:pStyle w:val="a3"/>
        <w:rPr>
          <w:rtl/>
        </w:rPr>
      </w:pPr>
      <w:bookmarkStart w:id="6258" w:name="_Ref144397925"/>
      <w:bookmarkStart w:id="6259" w:name="_Ref144884572"/>
      <w:r>
        <w:rPr>
          <w:rFonts w:hint="cs"/>
          <w:rtl/>
        </w:rPr>
        <w:lastRenderedPageBreak/>
        <w:t>אך כתבו</w:t>
      </w:r>
      <w:r>
        <w:rPr>
          <w:rtl/>
        </w:rPr>
        <w:t xml:space="preserve"> </w:t>
      </w:r>
      <w:bookmarkStart w:id="6260" w:name="_Hlk144398044"/>
      <w:r w:rsidRPr="004B799E">
        <w:rPr>
          <w:b/>
          <w:bCs/>
          <w:rtl/>
        </w:rPr>
        <w:t>ה</w:t>
      </w:r>
      <w:r>
        <w:rPr>
          <w:rFonts w:hint="cs"/>
          <w:b/>
          <w:bCs/>
          <w:vanish/>
          <w:rtl/>
        </w:rPr>
        <w:t xml:space="preserve">&lt;, </w:t>
      </w:r>
      <w:r>
        <w:rPr>
          <w:b/>
          <w:bCs/>
          <w:vanish/>
          <w:rtl/>
        </w:rPr>
        <w:fldChar w:fldCharType="begin"/>
      </w:r>
      <w:r>
        <w:rPr>
          <w:b/>
          <w:bCs/>
          <w:vanish/>
          <w:rtl/>
        </w:rPr>
        <w:instrText xml:space="preserve"> </w:instrText>
      </w:r>
      <w:r>
        <w:rPr>
          <w:rFonts w:hint="cs"/>
          <w:b/>
          <w:bCs/>
          <w:vanish/>
        </w:rPr>
        <w:instrText>REF</w:instrText>
      </w:r>
      <w:r>
        <w:rPr>
          <w:rFonts w:hint="cs"/>
          <w:b/>
          <w:bCs/>
          <w:vanish/>
          <w:rtl/>
        </w:rPr>
        <w:instrText xml:space="preserve"> _</w:instrText>
      </w:r>
      <w:r>
        <w:rPr>
          <w:rFonts w:hint="cs"/>
          <w:b/>
          <w:bCs/>
          <w:vanish/>
        </w:rPr>
        <w:instrText>Ref144884572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קפ)</w:t>
      </w:r>
      <w:r>
        <w:rPr>
          <w:b/>
          <w:bCs/>
          <w:vanish/>
          <w:rtl/>
        </w:rPr>
        <w:fldChar w:fldCharType="end"/>
      </w:r>
      <w:r>
        <w:rPr>
          <w:rFonts w:hint="cs"/>
          <w:b/>
          <w:bCs/>
          <w:vanish/>
          <w:rtl/>
        </w:rPr>
        <w:t xml:space="preserve"> &gt;</w:t>
      </w:r>
      <w:r>
        <w:rPr>
          <w:rFonts w:hint="cs"/>
          <w:b/>
          <w:bCs/>
          <w:rtl/>
        </w:rPr>
        <w:t xml:space="preserve">רמב"ן במלחמות בביצה </w:t>
      </w:r>
      <w:r w:rsidRPr="002C06EA">
        <w:rPr>
          <w:rStyle w:val="af2"/>
          <w:rFonts w:eastAsia="Guttman Hodes" w:hint="cs"/>
          <w:rtl/>
        </w:rPr>
        <w:t>(עי' אות</w:t>
      </w:r>
      <w:r>
        <w:rPr>
          <w:rStyle w:val="af2"/>
          <w:rFonts w:eastAsia="Guttman Hodes" w:hint="cs"/>
          <w:rtl/>
        </w:rPr>
        <w:t xml:space="preserve"> </w:t>
      </w:r>
      <w:r>
        <w:rPr>
          <w:rStyle w:val="af2"/>
          <w:rFonts w:eastAsia="Guttman Hodes"/>
          <w:rtl/>
        </w:rPr>
        <w:fldChar w:fldCharType="begin"/>
      </w:r>
      <w:r>
        <w:rPr>
          <w:rStyle w:val="af2"/>
          <w:rFonts w:eastAsia="Guttman Hodes"/>
          <w:rtl/>
        </w:rPr>
        <w:instrText xml:space="preserve"> </w:instrText>
      </w:r>
      <w:r>
        <w:rPr>
          <w:rStyle w:val="af2"/>
          <w:rFonts w:eastAsia="Guttman Hodes"/>
        </w:rPr>
        <w:instrText>REF</w:instrText>
      </w:r>
      <w:r>
        <w:rPr>
          <w:rStyle w:val="af2"/>
          <w:rFonts w:eastAsia="Guttman Hodes"/>
          <w:rtl/>
        </w:rPr>
        <w:instrText xml:space="preserve"> _</w:instrText>
      </w:r>
      <w:r>
        <w:rPr>
          <w:rStyle w:val="af2"/>
          <w:rFonts w:eastAsia="Guttman Hodes"/>
        </w:rPr>
        <w:instrText>Ref145392639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קמט)</w:t>
      </w:r>
      <w:r>
        <w:rPr>
          <w:rStyle w:val="af2"/>
          <w:rFonts w:eastAsia="Guttman Hodes"/>
          <w:rtl/>
        </w:rPr>
        <w:fldChar w:fldCharType="end"/>
      </w:r>
      <w:r>
        <w:rPr>
          <w:rStyle w:val="af2"/>
          <w:rFonts w:eastAsia="Guttman Hodes"/>
          <w:rtl/>
        </w:rPr>
        <w:fldChar w:fldCharType="begin"/>
      </w:r>
      <w:r>
        <w:rPr>
          <w:vanish/>
          <w:rtl/>
        </w:rPr>
        <w:instrText xml:space="preserve"> </w:instrText>
      </w:r>
      <w:r>
        <w:rPr>
          <w:vanish/>
        </w:rPr>
        <w:instrText>REF</w:instrText>
      </w:r>
      <w:r>
        <w:rPr>
          <w:vanish/>
          <w:rtl/>
        </w:rPr>
        <w:instrText xml:space="preserve"> _</w:instrText>
      </w:r>
      <w:r>
        <w:rPr>
          <w:vanish/>
        </w:rPr>
        <w:instrText>Ref145392639 \r \h</w:instrText>
      </w:r>
      <w:r>
        <w:rPr>
          <w:vanish/>
          <w:rtl/>
        </w:rPr>
        <w:instrText xml:space="preserve"> </w:instrText>
      </w:r>
      <w:r>
        <w:rPr>
          <w:rStyle w:val="af2"/>
          <w:rFonts w:eastAsia="Guttman Hodes"/>
          <w:rtl/>
        </w:rPr>
        <w:fldChar w:fldCharType="end"/>
      </w:r>
      <w:r w:rsidRPr="004B799E">
        <w:rPr>
          <w:vanish/>
          <w:rtl/>
        </w:rPr>
        <w:t>=</w:t>
      </w:r>
      <w:r>
        <w:rPr>
          <w:rFonts w:hint="cs"/>
          <w:b/>
          <w:bCs/>
          <w:rtl/>
        </w:rPr>
        <w:t xml:space="preserve"> והרשב"א בסוגיין וה</w:t>
      </w:r>
      <w:r w:rsidRPr="005A0653">
        <w:rPr>
          <w:rFonts w:hint="cs"/>
          <w:b/>
          <w:bCs/>
          <w:vanish/>
          <w:rtl/>
        </w:rPr>
        <w:t>&lt; &gt;</w:t>
      </w:r>
      <w:r w:rsidRPr="004B799E">
        <w:rPr>
          <w:rFonts w:hint="cs"/>
          <w:b/>
          <w:bCs/>
          <w:rtl/>
        </w:rPr>
        <w:t>רשב"א לעיל</w:t>
      </w:r>
      <w:r w:rsidRPr="004B799E">
        <w:rPr>
          <w:b/>
          <w:bCs/>
          <w:rtl/>
        </w:rPr>
        <w:t xml:space="preserve"> </w:t>
      </w:r>
      <w:r w:rsidRPr="004B799E">
        <w:rPr>
          <w:rFonts w:ascii="Calibri" w:eastAsia="Times New Roman" w:hAnsi="Calibri" w:cs="Guttman Rashi"/>
          <w:noProof w:val="0"/>
          <w:sz w:val="10"/>
          <w:szCs w:val="12"/>
          <w:rtl/>
        </w:rPr>
        <w:t>(</w:t>
      </w:r>
      <w:r w:rsidRPr="004B799E">
        <w:rPr>
          <w:rFonts w:ascii="Calibri" w:eastAsia="Times New Roman" w:hAnsi="Calibri" w:cs="Guttman Rashi" w:hint="cs"/>
          <w:noProof w:val="0"/>
          <w:sz w:val="10"/>
          <w:szCs w:val="12"/>
          <w:rtl/>
        </w:rPr>
        <w:t>מו. ד"ה אבל</w:t>
      </w:r>
      <w:r w:rsidRPr="004B799E">
        <w:rPr>
          <w:rFonts w:ascii="Calibri" w:eastAsia="Times New Roman" w:hAnsi="Calibri" w:cs="Guttman Rashi"/>
          <w:noProof w:val="0"/>
          <w:sz w:val="10"/>
          <w:szCs w:val="12"/>
          <w:rtl/>
        </w:rPr>
        <w:t>)</w:t>
      </w:r>
      <w:bookmarkEnd w:id="6258"/>
      <w:r w:rsidRPr="004B799E">
        <w:rPr>
          <w:vanish/>
          <w:rtl/>
        </w:rPr>
        <w:t>=</w:t>
      </w:r>
      <w:r>
        <w:rPr>
          <w:rtl/>
        </w:rPr>
        <w:t xml:space="preserve"> </w:t>
      </w:r>
      <w:bookmarkEnd w:id="6260"/>
      <w:r>
        <w:rPr>
          <w:rFonts w:hint="cs"/>
          <w:rtl/>
        </w:rPr>
        <w:t>דמהא דלא הביא</w:t>
      </w:r>
      <w:r>
        <w:rPr>
          <w:rtl/>
        </w:rPr>
        <w:t xml:space="preserve"> </w:t>
      </w:r>
      <w:r w:rsidRPr="004B799E">
        <w:rPr>
          <w:rFonts w:hint="cs"/>
          <w:b/>
          <w:bCs/>
          <w:rtl/>
        </w:rPr>
        <w:t>הרי"ף</w:t>
      </w:r>
      <w:r>
        <w:rPr>
          <w:rFonts w:hint="cs"/>
          <w:rtl/>
        </w:rPr>
        <w:t xml:space="preserve"> את דברי ריו"ח דאסר לטלטל מנורה של חוליות, מבואר דביאר דריו"ח ס"ל דיש בנין בכלים ולכן אסר לטלטל, דבתקע חייב חטאת, ובמחזיר אף ברפוי מיחזי כבונה, וס"ל לריו"ח דהא דהתירו ב"ה הוא ברפוי דלא מחזיר כל הצורך והתירו רק משום שמחת יו"ט, אבל לדידן דקיי"ל דאין בנין בכלים ורק בתוקע אסור כדאיתא בגמ' לקמן</w:t>
      </w:r>
      <w:r>
        <w:rPr>
          <w:rtl/>
        </w:rPr>
        <w:t xml:space="preserve"> </w:t>
      </w:r>
      <w:r w:rsidRPr="004B799E">
        <w:rPr>
          <w:rFonts w:ascii="Calibri" w:eastAsia="Times New Roman" w:hAnsi="Calibri" w:cs="Guttman Rashi"/>
          <w:noProof w:val="0"/>
          <w:sz w:val="10"/>
          <w:szCs w:val="12"/>
          <w:rtl/>
        </w:rPr>
        <w:t>(</w:t>
      </w:r>
      <w:r w:rsidRPr="004B799E">
        <w:rPr>
          <w:rFonts w:ascii="Calibri" w:eastAsia="Times New Roman" w:hAnsi="Calibri" w:cs="Guttman Rashi" w:hint="cs"/>
          <w:noProof w:val="0"/>
          <w:sz w:val="10"/>
          <w:szCs w:val="12"/>
          <w:rtl/>
        </w:rPr>
        <w:t>קכב:</w:t>
      </w:r>
      <w:r w:rsidRPr="004B799E">
        <w:rPr>
          <w:rFonts w:ascii="Calibri" w:eastAsia="Times New Roman" w:hAnsi="Calibri" w:cs="Guttman Rashi"/>
          <w:noProof w:val="0"/>
          <w:sz w:val="10"/>
          <w:szCs w:val="12"/>
          <w:rtl/>
        </w:rPr>
        <w:t>)</w:t>
      </w:r>
      <w:r>
        <w:rPr>
          <w:rtl/>
        </w:rPr>
        <w:t xml:space="preserve"> </w:t>
      </w:r>
      <w:r>
        <w:rPr>
          <w:rFonts w:hint="cs"/>
          <w:rtl/>
        </w:rPr>
        <w:t>בשידה תיבה ומגדל, לכן מותר לטלטל מנורה של פרקים בשבת, וברפויה מותר אף להחזיר, אך הקשה</w:t>
      </w:r>
      <w:r>
        <w:rPr>
          <w:rtl/>
        </w:rPr>
        <w:t xml:space="preserve"> </w:t>
      </w:r>
      <w:r w:rsidRPr="004B799E">
        <w:rPr>
          <w:rFonts w:hint="cs"/>
          <w:b/>
          <w:bCs/>
          <w:rtl/>
        </w:rPr>
        <w:t>הרשב"א</w:t>
      </w:r>
      <w:r>
        <w:rPr>
          <w:rtl/>
        </w:rPr>
        <w:t xml:space="preserve"> </w:t>
      </w:r>
      <w:r>
        <w:rPr>
          <w:rFonts w:hint="cs"/>
          <w:rtl/>
        </w:rPr>
        <w:t>דמשמע בגמ' לעיל</w:t>
      </w:r>
      <w:r>
        <w:rPr>
          <w:rtl/>
        </w:rPr>
        <w:t xml:space="preserve"> </w:t>
      </w:r>
      <w:r w:rsidRPr="004B799E">
        <w:rPr>
          <w:rFonts w:ascii="Calibri" w:eastAsia="Times New Roman" w:hAnsi="Calibri" w:cs="Guttman Rashi"/>
          <w:noProof w:val="0"/>
          <w:sz w:val="10"/>
          <w:szCs w:val="12"/>
          <w:rtl/>
        </w:rPr>
        <w:t>(</w:t>
      </w:r>
      <w:r w:rsidRPr="004B799E">
        <w:rPr>
          <w:rFonts w:ascii="Calibri" w:eastAsia="Times New Roman" w:hAnsi="Calibri" w:cs="Guttman Rashi" w:hint="cs"/>
          <w:noProof w:val="0"/>
          <w:sz w:val="10"/>
          <w:szCs w:val="12"/>
          <w:rtl/>
        </w:rPr>
        <w:t>מו.</w:t>
      </w:r>
      <w:r w:rsidRPr="004B799E">
        <w:rPr>
          <w:rFonts w:ascii="Calibri" w:eastAsia="Times New Roman" w:hAnsi="Calibri" w:cs="Guttman Rashi"/>
          <w:noProof w:val="0"/>
          <w:sz w:val="10"/>
          <w:szCs w:val="12"/>
          <w:rtl/>
        </w:rPr>
        <w:t>)</w:t>
      </w:r>
      <w:r>
        <w:rPr>
          <w:rtl/>
        </w:rPr>
        <w:t xml:space="preserve"> </w:t>
      </w:r>
      <w:r>
        <w:rPr>
          <w:rFonts w:hint="cs"/>
          <w:rtl/>
        </w:rPr>
        <w:t>דהמסקנא היא כריו"ח.</w:t>
      </w:r>
      <w:bookmarkEnd w:id="6259"/>
    </w:p>
    <w:p w14:paraId="5937330C" w14:textId="77777777" w:rsidR="000F6808" w:rsidRPr="0088513D" w:rsidRDefault="000F6808" w:rsidP="000F6808">
      <w:pPr>
        <w:pStyle w:val="afffffe"/>
        <w:rPr>
          <w:vanish/>
          <w:rtl/>
        </w:rPr>
      </w:pPr>
      <w:r w:rsidRPr="0088513D">
        <w:rPr>
          <w:vanish/>
          <w:rtl/>
        </w:rPr>
        <w:t>חדושי הרשב"א שבת מ"ו ע"א</w:t>
      </w:r>
      <w:r w:rsidRPr="0088513D">
        <w:rPr>
          <w:rFonts w:hint="cs"/>
          <w:vanish/>
          <w:rtl/>
        </w:rPr>
        <w:t xml:space="preserve"> ד"ה הלכך</w:t>
      </w:r>
    </w:p>
    <w:p w14:paraId="35AE464D" w14:textId="77777777" w:rsidR="000F6808" w:rsidRPr="00111645" w:rsidRDefault="000F6808" w:rsidP="000F6808">
      <w:pPr>
        <w:pStyle w:val="a2"/>
      </w:pPr>
      <w:r w:rsidRPr="00111645">
        <w:rPr>
          <w:rtl/>
        </w:rPr>
        <w:t>אבל הרב אלפסי ז"ל לא הביא בהלכותיו כלל הא דרבי יוחנן דהכא לומר שאין הלכה כן, משום דמשמע ליה דרבי יוחנן אתיא כמאן דאמר יש בנין בכלים והלכך במחזיר כל צרכו ואף על פי שלא תקע חייב חטאת ומשום הכי קא אסר הכא לטלטל משום דמיחזי כבונה, וקסבר רבי יוחנן דההיא דשרו בית הלל התם ברפויה ובשאינו מחזיר כל צרכו, ומשום שמחת יום טוב התירו אפילו לזוקפה והוא שלא החזיר כל צרכו, אבל בשבת אסור לטלטלה, אבל אנן דקיימא לן דאין בנין בכלים אלא אם כן תוקע וכדאמרינן בריש פרק כל הכלים (קכ"ב ב') גבי דלת של שידה תיבה ומגדל שרינן לטלטל אפילו בשבת, ואי רפויה שריא אפילו להחזיר וכדאמרינן (לקמן מ"ז ב') גבי מטה גללניתא, ומכל מקום אינו מחוור דהא משמע דמסקנא דגמ' כי הא דרבי יוחנן מדקא מתמהינן אי הכי מאי טעמא דריש לקיש, ועוד מדמסקינן וכיילינן הלכך דחוליות בין גדולה בין קטנה אסורה גדולה נמי ואית בה חידקי אסורה גזירה אטו גדולה של חוליות, ובפרק קמא דביצה (י' א') כתבתי יותר בסייעתא דשמיא בשמעתא דמוחלפת השיטה.</w:t>
      </w:r>
    </w:p>
    <w:p w14:paraId="79CBC3DF" w14:textId="77777777" w:rsidR="000F6808" w:rsidRPr="0088513D" w:rsidRDefault="000F6808" w:rsidP="000F6808">
      <w:pPr>
        <w:pStyle w:val="afffffe"/>
        <w:rPr>
          <w:vanish/>
          <w:rtl/>
        </w:rPr>
      </w:pPr>
      <w:r w:rsidRPr="0088513D">
        <w:rPr>
          <w:vanish/>
          <w:rtl/>
        </w:rPr>
        <w:t>חדושי הרשב"א שבת ק"ב ע"ב</w:t>
      </w:r>
      <w:r w:rsidRPr="0088513D">
        <w:rPr>
          <w:rFonts w:hint="cs"/>
          <w:vanish/>
          <w:rtl/>
        </w:rPr>
        <w:t xml:space="preserve"> ד"ה האי</w:t>
      </w:r>
    </w:p>
    <w:p w14:paraId="1926424B" w14:textId="77777777" w:rsidR="000F6808" w:rsidRDefault="000F6808" w:rsidP="000F6808">
      <w:pPr>
        <w:pStyle w:val="afffff5"/>
        <w:rPr>
          <w:rtl/>
        </w:rPr>
      </w:pPr>
      <w:r w:rsidRPr="00111645">
        <w:rPr>
          <w:rtl/>
        </w:rPr>
        <w:t>אבל אין נראה כן דעת הרב אלפסי ז"ל לפי שהשמיטה מן ההלכות לומר שאינה הלכה דאזלא כמאן דאמר יש בנין בכלים, ובמקומה (שם) כתבתיה, וכן בפרק קמא דמסכת ביצה (י' א') גבי תריסי חנויות בסייעתא דשמיא</w:t>
      </w:r>
      <w:r w:rsidRPr="00111645">
        <w:rPr>
          <w:rFonts w:hint="cs"/>
          <w:rtl/>
        </w:rPr>
        <w:t>.</w:t>
      </w:r>
    </w:p>
    <w:p w14:paraId="6BC9E985" w14:textId="77777777" w:rsidR="000F6808" w:rsidRPr="00B77EEA" w:rsidRDefault="000F6808" w:rsidP="000F6808">
      <w:pPr>
        <w:pStyle w:val="1"/>
        <w:rPr>
          <w:rtl/>
        </w:rPr>
      </w:pPr>
      <w:bookmarkStart w:id="6261" w:name="_Toc145487174"/>
      <w:r>
        <w:rPr>
          <w:rFonts w:hint="cs"/>
          <w:rtl/>
        </w:rPr>
        <w:t>בי' הריטב"א דבמנורה שהדרך לתקוע לכו"ע גזרו שמא יתקע</w:t>
      </w:r>
      <w:bookmarkEnd w:id="6261"/>
    </w:p>
    <w:p w14:paraId="3C108EF3" w14:textId="77777777" w:rsidR="000F6808" w:rsidRPr="003C1B4C" w:rsidRDefault="000F6808" w:rsidP="000F6808">
      <w:pPr>
        <w:pStyle w:val="a7"/>
      </w:pPr>
      <w:bookmarkStart w:id="6262" w:name="_Toc145487175"/>
      <w:r>
        <w:rPr>
          <w:rFonts w:hint="cs"/>
          <w:rtl/>
        </w:rPr>
        <w:t xml:space="preserve">בי' הריטב"א </w:t>
      </w:r>
      <w:bookmarkEnd w:id="6238"/>
      <w:r>
        <w:rPr>
          <w:rFonts w:hint="cs"/>
          <w:rtl/>
        </w:rPr>
        <w:t>דאיירי במנורה שהדרך לתקוע אותה ובזה גזרו שמא יתקע והתירו רק לשמחת יו"ט</w:t>
      </w:r>
      <w:bookmarkEnd w:id="6262"/>
    </w:p>
    <w:p w14:paraId="6248CF06" w14:textId="1FD4EB80" w:rsidR="000F6808" w:rsidRPr="002A20CA" w:rsidRDefault="000F6808" w:rsidP="000F6808">
      <w:pPr>
        <w:pStyle w:val="a3"/>
        <w:rPr>
          <w:rtl/>
        </w:rPr>
      </w:pPr>
      <w:r>
        <w:rPr>
          <w:rFonts w:hint="cs"/>
          <w:rtl/>
        </w:rPr>
        <w:t xml:space="preserve">ועוד תירץ </w:t>
      </w:r>
      <w:r w:rsidRPr="00E24FB9">
        <w:rPr>
          <w:rStyle w:val="aff4"/>
          <w:rFonts w:hint="cs"/>
          <w:vanish/>
          <w:rtl/>
        </w:rPr>
        <w:t>-</w:t>
      </w:r>
      <w:r w:rsidRPr="00C07E8C">
        <w:rPr>
          <w:rStyle w:val="aff4"/>
          <w:rFonts w:hint="cs"/>
          <w:rtl/>
        </w:rPr>
        <w:t>הריטב"א</w:t>
      </w:r>
      <w:r w:rsidRPr="00E24FB9">
        <w:rPr>
          <w:rStyle w:val="aff4"/>
          <w:rFonts w:hint="cs"/>
          <w:vanish/>
          <w:rtl/>
        </w:rPr>
        <w:t>-</w:t>
      </w:r>
      <w:r>
        <w:rPr>
          <w:rFonts w:hint="cs"/>
          <w:rtl/>
        </w:rPr>
        <w:t xml:space="preserve"> דאיירי במנורה שהדרך לתקוע אותה דבזה לכו"ע גזרו שמא יתקע,</w:t>
      </w:r>
      <w:r>
        <w:rPr>
          <w:rtl/>
        </w:rPr>
        <w:t xml:space="preserve"> </w:t>
      </w:r>
      <w:r w:rsidRPr="00ED42FD">
        <w:rPr>
          <w:sz w:val="12"/>
          <w:szCs w:val="14"/>
          <w:rtl/>
        </w:rPr>
        <w:t>[</w:t>
      </w:r>
      <w:r>
        <w:rPr>
          <w:rFonts w:hint="cs"/>
          <w:sz w:val="12"/>
          <w:szCs w:val="14"/>
          <w:rtl/>
        </w:rPr>
        <w:t xml:space="preserve">כדעת </w:t>
      </w:r>
      <w:r w:rsidRPr="004247B8">
        <w:rPr>
          <w:rStyle w:val="aff9"/>
          <w:rFonts w:hint="cs"/>
          <w:rtl/>
        </w:rPr>
        <w:t>התוס' לעיל וההג' אשר"י</w:t>
      </w:r>
      <w:r w:rsidRPr="00514C07">
        <w:rPr>
          <w:b/>
          <w:bCs/>
          <w:rtl/>
        </w:rPr>
        <w:t xml:space="preserve"> </w:t>
      </w:r>
      <w:r w:rsidRPr="004247B8">
        <w:rPr>
          <w:rStyle w:val="aff0"/>
          <w:rFonts w:hint="cs"/>
          <w:rtl/>
        </w:rPr>
        <w:t xml:space="preserve">(עי' אות </w:t>
      </w:r>
      <w:r>
        <w:rPr>
          <w:rStyle w:val="aff0"/>
          <w:rtl/>
        </w:rPr>
        <w:fldChar w:fldCharType="begin"/>
      </w:r>
      <w:r>
        <w:rPr>
          <w:rStyle w:val="aff0"/>
          <w:rtl/>
        </w:rPr>
        <w:instrText xml:space="preserve"> </w:instrText>
      </w:r>
      <w:r>
        <w:rPr>
          <w:rStyle w:val="aff0"/>
        </w:rPr>
        <w:instrText>REF</w:instrText>
      </w:r>
      <w:r>
        <w:rPr>
          <w:rStyle w:val="aff0"/>
          <w:rtl/>
        </w:rPr>
        <w:instrText xml:space="preserve"> _</w:instrText>
      </w:r>
      <w:r>
        <w:rPr>
          <w:rStyle w:val="aff0"/>
        </w:rPr>
        <w:instrText>Ref145319901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קנד)</w:t>
      </w:r>
      <w:r>
        <w:rPr>
          <w:rStyle w:val="aff0"/>
          <w:rtl/>
        </w:rPr>
        <w:fldChar w:fldCharType="end"/>
      </w:r>
      <w:r w:rsidRPr="00ED42FD">
        <w:rPr>
          <w:sz w:val="12"/>
          <w:szCs w:val="14"/>
          <w:rtl/>
        </w:rPr>
        <w:t>]</w:t>
      </w:r>
      <w:r>
        <w:rPr>
          <w:rFonts w:hint="cs"/>
          <w:sz w:val="12"/>
          <w:szCs w:val="14"/>
          <w:rtl/>
        </w:rPr>
        <w:t>,</w:t>
      </w:r>
      <w:r>
        <w:rPr>
          <w:rFonts w:hint="cs"/>
          <w:rtl/>
        </w:rPr>
        <w:t xml:space="preserve"> ומ"מ התירו ב"ה בתריסי החנויות משום שמחת יו"ט, וכתב </w:t>
      </w:r>
      <w:r w:rsidRPr="00E24FB9">
        <w:rPr>
          <w:rStyle w:val="aff4"/>
          <w:rFonts w:hint="cs"/>
          <w:vanish/>
          <w:rtl/>
        </w:rPr>
        <w:t>-</w:t>
      </w:r>
      <w:r w:rsidRPr="00C07E8C">
        <w:rPr>
          <w:rStyle w:val="aff4"/>
          <w:rFonts w:hint="cs"/>
          <w:rtl/>
        </w:rPr>
        <w:t>הריטב"א</w:t>
      </w:r>
      <w:r w:rsidRPr="00E24FB9">
        <w:rPr>
          <w:rStyle w:val="aff4"/>
          <w:rFonts w:hint="cs"/>
          <w:vanish/>
          <w:rtl/>
        </w:rPr>
        <w:t>-</w:t>
      </w:r>
      <w:r>
        <w:rPr>
          <w:rFonts w:hint="cs"/>
          <w:rtl/>
        </w:rPr>
        <w:t xml:space="preserve"> דלכן אמרינן בגמ' בביצה </w:t>
      </w:r>
      <w:r w:rsidRPr="00C962CD">
        <w:rPr>
          <w:rStyle w:val="af2"/>
          <w:rFonts w:eastAsia="Guttman Hodes" w:hint="cs"/>
          <w:rtl/>
        </w:rPr>
        <w:t>(יא:)</w:t>
      </w:r>
      <w:r>
        <w:rPr>
          <w:rFonts w:hint="cs"/>
          <w:rtl/>
        </w:rPr>
        <w:t xml:space="preserve"> דרק תריסי החנויות התירו אבל תריסי תיבות שבבתים לא התירו כיון שיש חשש שמא יתקע דרגילים לתקוע אותם, והוא תולדה דמכה בפטיש. </w:t>
      </w:r>
    </w:p>
    <w:p w14:paraId="1E3B15B7" w14:textId="77777777" w:rsidR="000F6808" w:rsidRPr="0088513D" w:rsidRDefault="000F6808" w:rsidP="000F6808">
      <w:pPr>
        <w:pStyle w:val="afffffe"/>
        <w:rPr>
          <w:vanish/>
          <w:rtl/>
        </w:rPr>
      </w:pPr>
      <w:r w:rsidRPr="0088513D">
        <w:rPr>
          <w:vanish/>
          <w:rtl/>
        </w:rPr>
        <w:t>חדושי הריטב"א שבת ק"ב ע"ב</w:t>
      </w:r>
      <w:r w:rsidRPr="0088513D">
        <w:rPr>
          <w:rFonts w:hint="cs"/>
          <w:vanish/>
          <w:rtl/>
        </w:rPr>
        <w:t xml:space="preserve"> ד"ה ואי קשיא</w:t>
      </w:r>
    </w:p>
    <w:p w14:paraId="5BBCBC9C" w14:textId="77777777" w:rsidR="000F6808" w:rsidRPr="00111645" w:rsidRDefault="000F6808" w:rsidP="000F6808">
      <w:pPr>
        <w:pStyle w:val="a2"/>
        <w:rPr>
          <w:rtl/>
        </w:rPr>
      </w:pPr>
      <w:r w:rsidRPr="00111645">
        <w:rPr>
          <w:rtl/>
        </w:rPr>
        <w:t>אי נמי שדרכה בתקיעה, דבהא כולי עלמא מודו שהוא אסור להחזיר גזירה שמא יתקע, אלא דבתריסי חנויות התירו משום שמחת יום טוב, והיינו דאמרינן התם (ביצה י"א ב') דדוקא [דחנויות] אבל דבתים לא לפי שיש לחוש בהם שמא יתקע דרגילי למיעבד בהו תקיעה והיא תולדה דמכה בפטיש, וכדפרישנא התם.</w:t>
      </w:r>
    </w:p>
    <w:p w14:paraId="729C902D" w14:textId="77777777" w:rsidR="000F6808" w:rsidRPr="00FC269C" w:rsidRDefault="000F6808" w:rsidP="000F6808">
      <w:pPr>
        <w:pStyle w:val="afffff7"/>
        <w:rPr>
          <w:rtl/>
        </w:rPr>
      </w:pPr>
      <w:bookmarkStart w:id="6263" w:name="_Toc145198427"/>
      <w:bookmarkStart w:id="6264" w:name="_Toc145500878"/>
      <w:bookmarkStart w:id="6265" w:name="_Toc163506418"/>
      <w:r w:rsidRPr="00FC269C">
        <w:rPr>
          <w:rtl/>
        </w:rPr>
        <w:t>חדושי הריטב"א שבת ק"ב ע"ב</w:t>
      </w:r>
      <w:r w:rsidRPr="00FC269C">
        <w:rPr>
          <w:rFonts w:hint="cs"/>
          <w:rtl/>
        </w:rPr>
        <w:t xml:space="preserve"> ד"ה אבל</w:t>
      </w:r>
      <w:bookmarkEnd w:id="6263"/>
      <w:bookmarkEnd w:id="6264"/>
      <w:bookmarkEnd w:id="6265"/>
    </w:p>
    <w:p w14:paraId="7B53F093" w14:textId="77777777" w:rsidR="000F6808" w:rsidRDefault="000F6808" w:rsidP="000F6808">
      <w:pPr>
        <w:pStyle w:val="a7"/>
        <w:rPr>
          <w:rtl/>
        </w:rPr>
      </w:pPr>
      <w:bookmarkStart w:id="6266" w:name="_Toc145222954"/>
      <w:bookmarkStart w:id="6267" w:name="_Toc145487176"/>
      <w:r>
        <w:rPr>
          <w:rFonts w:hint="cs"/>
          <w:rtl/>
        </w:rPr>
        <w:t>בי' הריטב"א דבלול תרנגולין בונה אף בכלי דתחילת עשייתו ולשמואל נקב לאויר ל"ה בנין</w:t>
      </w:r>
      <w:bookmarkEnd w:id="6266"/>
      <w:bookmarkEnd w:id="6267"/>
    </w:p>
    <w:p w14:paraId="5E413CB3" w14:textId="3617C5A6" w:rsidR="000F6808" w:rsidRPr="00125701" w:rsidRDefault="000F6808" w:rsidP="000F6808">
      <w:pPr>
        <w:pStyle w:val="a3"/>
        <w:rPr>
          <w:rtl/>
        </w:rPr>
      </w:pPr>
      <w:bookmarkStart w:id="6268" w:name="_Ref144375045"/>
      <w:r>
        <w:rPr>
          <w:rFonts w:hint="cs"/>
          <w:rtl/>
        </w:rPr>
        <w:t>והוסיף</w:t>
      </w:r>
      <w:r>
        <w:rPr>
          <w:rtl/>
        </w:rPr>
        <w:t xml:space="preserve"> </w:t>
      </w:r>
      <w:r w:rsidRPr="009745CC">
        <w:rPr>
          <w:b/>
          <w:bCs/>
          <w:rtl/>
        </w:rPr>
        <w:t>ה</w:t>
      </w:r>
      <w:r w:rsidRPr="009745CC">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Ref144375045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קפב)</w:t>
      </w:r>
      <w:r>
        <w:rPr>
          <w:b/>
          <w:bCs/>
          <w:vanish/>
          <w:rtl/>
        </w:rPr>
        <w:fldChar w:fldCharType="end"/>
      </w:r>
      <w:r w:rsidRPr="009745CC">
        <w:rPr>
          <w:b/>
          <w:bCs/>
          <w:vanish/>
          <w:rtl/>
        </w:rPr>
        <w:t xml:space="preserve"> &gt;</w:t>
      </w:r>
      <w:r w:rsidRPr="009745CC">
        <w:rPr>
          <w:rFonts w:hint="cs"/>
          <w:b/>
          <w:bCs/>
          <w:rtl/>
        </w:rPr>
        <w:t>ריטב"א</w:t>
      </w:r>
      <w:r w:rsidRPr="009745CC">
        <w:rPr>
          <w:b/>
          <w:bCs/>
          <w:rtl/>
        </w:rPr>
        <w:t xml:space="preserve"> </w:t>
      </w:r>
      <w:r w:rsidRPr="00C962CD">
        <w:rPr>
          <w:rStyle w:val="af2"/>
          <w:rFonts w:eastAsia="Guttman Hodes"/>
          <w:rtl/>
        </w:rPr>
        <w:t>(</w:t>
      </w:r>
      <w:r w:rsidRPr="00C962CD">
        <w:rPr>
          <w:rStyle w:val="af2"/>
          <w:rFonts w:eastAsia="Guttman Hodes" w:hint="cs"/>
          <w:rtl/>
        </w:rPr>
        <w:t>ד"ה אבל</w:t>
      </w:r>
      <w:r w:rsidRPr="00C962CD">
        <w:rPr>
          <w:rStyle w:val="af2"/>
          <w:rFonts w:eastAsia="Guttman Hodes"/>
          <w:rtl/>
        </w:rPr>
        <w:t>)</w:t>
      </w:r>
      <w:r w:rsidRPr="009745CC">
        <w:rPr>
          <w:vanish/>
          <w:rtl/>
        </w:rPr>
        <w:t>=</w:t>
      </w:r>
      <w:r>
        <w:rPr>
          <w:rFonts w:hint="cs"/>
          <w:rtl/>
        </w:rPr>
        <w:t xml:space="preserve"> דבנקב בלול של תרנגולין, אף אם היה כלי יש בו בנין, כיון שהוא תחילת עשייתו ולכו"ע לא חשיב בנין בכלים, וכ"ש במחובר לקרקע כדאיתא בגמ' לקמן </w:t>
      </w:r>
      <w:r w:rsidRPr="00C962CD">
        <w:rPr>
          <w:rStyle w:val="af2"/>
          <w:rFonts w:eastAsia="Guttman Hodes" w:hint="cs"/>
          <w:rtl/>
        </w:rPr>
        <w:t>(קכב:)</w:t>
      </w:r>
      <w:r>
        <w:rPr>
          <w:rFonts w:hint="cs"/>
          <w:rtl/>
        </w:rPr>
        <w:t>, ושמואל דס"ל דאין בזה בנין הוא כיון דנקב לאויר בעלמא לא חשיב בנין לשמואל.</w:t>
      </w:r>
      <w:bookmarkEnd w:id="6268"/>
      <w:r>
        <w:rPr>
          <w:rtl/>
        </w:rPr>
        <w:t xml:space="preserve"> </w:t>
      </w:r>
    </w:p>
    <w:p w14:paraId="07C27E44" w14:textId="77777777" w:rsidR="000F6808" w:rsidRPr="0088513D" w:rsidRDefault="000F6808" w:rsidP="000F6808">
      <w:pPr>
        <w:pStyle w:val="afffffe"/>
        <w:rPr>
          <w:vanish/>
          <w:rtl/>
        </w:rPr>
      </w:pPr>
      <w:r w:rsidRPr="0088513D">
        <w:rPr>
          <w:vanish/>
          <w:rtl/>
        </w:rPr>
        <w:t>חדושי הריטב"א שבת ק"ב ע"ב</w:t>
      </w:r>
      <w:r w:rsidRPr="0088513D">
        <w:rPr>
          <w:rFonts w:hint="cs"/>
          <w:vanish/>
          <w:rtl/>
        </w:rPr>
        <w:t xml:space="preserve"> ד"ה אבל</w:t>
      </w:r>
    </w:p>
    <w:p w14:paraId="4B72A502" w14:textId="77777777" w:rsidR="000F6808" w:rsidRDefault="000F6808" w:rsidP="000F6808">
      <w:pPr>
        <w:pStyle w:val="a2"/>
      </w:pPr>
      <w:r w:rsidRPr="00111645">
        <w:rPr>
          <w:rtl/>
        </w:rPr>
        <w:t>אבל עושה נקב בלול של תרנגולין, אפי' היה בכלים, כיון שזה תחלת עשייתו אין בזה משום אין בנין בכלים לדברי הכל (וכ"ש לשמואל) וכש"כ כשהוא בנין בקרקע כדאיתא בריש פרק כל הכלים (קכ"ב ב'), (כי) מכל מקום נקב כי האי גוונא דלאוירא בעלמא עביד ואינו אלא כל שהוא לא חשיב ליה לשמואל בנין</w:t>
      </w:r>
    </w:p>
    <w:p w14:paraId="0831214F" w14:textId="77777777" w:rsidR="000F6808" w:rsidRPr="00ED4934" w:rsidRDefault="000F6808" w:rsidP="000F6808">
      <w:pPr>
        <w:pStyle w:val="afffff7"/>
        <w:rPr>
          <w:rtl/>
        </w:rPr>
      </w:pPr>
      <w:bookmarkStart w:id="6269" w:name="_Toc145500879"/>
      <w:bookmarkStart w:id="6270" w:name="_Toc163506419"/>
      <w:bookmarkEnd w:id="6239"/>
      <w:r w:rsidRPr="00ED4934">
        <w:rPr>
          <w:rtl/>
        </w:rPr>
        <w:t xml:space="preserve">שו"ת אבני נזר </w:t>
      </w:r>
      <w:r w:rsidRPr="00ED4934">
        <w:rPr>
          <w:rFonts w:hint="cs"/>
          <w:rtl/>
        </w:rPr>
        <w:t>או"ח סי'</w:t>
      </w:r>
      <w:r w:rsidRPr="00ED4934">
        <w:rPr>
          <w:rtl/>
        </w:rPr>
        <w:t xml:space="preserve"> רי</w:t>
      </w:r>
      <w:r w:rsidRPr="00ED4934">
        <w:rPr>
          <w:rFonts w:hint="cs"/>
          <w:rtl/>
        </w:rPr>
        <w:t>"</w:t>
      </w:r>
      <w:r w:rsidRPr="00ED4934">
        <w:rPr>
          <w:rtl/>
        </w:rPr>
        <w:t>א</w:t>
      </w:r>
      <w:r w:rsidRPr="00ED4934">
        <w:rPr>
          <w:rFonts w:hint="cs"/>
          <w:rtl/>
        </w:rPr>
        <w:t xml:space="preserve"> אות ד'</w:t>
      </w:r>
      <w:bookmarkEnd w:id="6269"/>
      <w:bookmarkEnd w:id="6270"/>
    </w:p>
    <w:p w14:paraId="5FD79689" w14:textId="77777777" w:rsidR="000F6808" w:rsidRDefault="000F6808" w:rsidP="000F6808">
      <w:pPr>
        <w:pStyle w:val="a7"/>
        <w:rPr>
          <w:rtl/>
        </w:rPr>
      </w:pPr>
      <w:bookmarkStart w:id="6271" w:name="_Toc145487177"/>
      <w:r>
        <w:rPr>
          <w:rFonts w:hint="cs"/>
          <w:rtl/>
        </w:rPr>
        <w:t>בי' האבנ"ז ברי"ף דבתקע במכב"פ ובלא תקע דרבנן ובדרכו לתקוע גזרו ולא בטלטול מנורה</w:t>
      </w:r>
      <w:bookmarkEnd w:id="6271"/>
    </w:p>
    <w:p w14:paraId="6CB6E081" w14:textId="7C631134" w:rsidR="000F6808" w:rsidRPr="00A37DD5" w:rsidRDefault="000F6808" w:rsidP="000F6808">
      <w:pPr>
        <w:pStyle w:val="a3"/>
        <w:rPr>
          <w:rStyle w:val="af"/>
          <w:rtl/>
        </w:rPr>
      </w:pPr>
      <w:r>
        <w:rPr>
          <w:rFonts w:hint="cs"/>
          <w:rtl/>
        </w:rPr>
        <w:t>כתב</w:t>
      </w:r>
      <w:r>
        <w:rPr>
          <w:rtl/>
        </w:rPr>
        <w:t xml:space="preserve"> </w:t>
      </w:r>
      <w:r w:rsidRPr="00920EB1">
        <w:rPr>
          <w:b/>
          <w:bCs/>
          <w:rtl/>
        </w:rPr>
        <w:t>ה</w:t>
      </w:r>
      <w:r w:rsidRPr="00920EB1">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Ref145369089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קמ)</w:t>
      </w:r>
      <w:r>
        <w:rPr>
          <w:b/>
          <w:bCs/>
          <w:vanish/>
          <w:rtl/>
        </w:rPr>
        <w:fldChar w:fldCharType="end"/>
      </w:r>
      <w:r w:rsidRPr="00920EB1">
        <w:rPr>
          <w:b/>
          <w:bCs/>
          <w:vanish/>
          <w:rtl/>
        </w:rPr>
        <w:t xml:space="preserve"> &gt;</w:t>
      </w:r>
      <w:r>
        <w:rPr>
          <w:rFonts w:hint="cs"/>
          <w:b/>
          <w:bCs/>
          <w:rtl/>
        </w:rPr>
        <w:t>אבני נזר</w:t>
      </w:r>
      <w:r w:rsidRPr="00920EB1">
        <w:rPr>
          <w:b/>
          <w:bCs/>
          <w:rtl/>
        </w:rPr>
        <w:t xml:space="preserve"> </w:t>
      </w:r>
      <w:r w:rsidRPr="00920EB1">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סי' רי"א אות ד'</w:t>
      </w:r>
      <w:r w:rsidRPr="00920EB1">
        <w:rPr>
          <w:rFonts w:ascii="Calibri" w:eastAsia="Times New Roman" w:hAnsi="Calibri" w:cs="Guttman Rashi"/>
          <w:noProof w:val="0"/>
          <w:sz w:val="10"/>
          <w:szCs w:val="12"/>
          <w:rtl/>
        </w:rPr>
        <w:t>)</w:t>
      </w:r>
      <w:r w:rsidRPr="00920EB1">
        <w:rPr>
          <w:vanish/>
          <w:rtl/>
        </w:rPr>
        <w:t>=</w:t>
      </w:r>
      <w:r>
        <w:rPr>
          <w:rtl/>
        </w:rPr>
        <w:t xml:space="preserve"> </w:t>
      </w:r>
      <w:r>
        <w:rPr>
          <w:rFonts w:hint="cs"/>
          <w:rtl/>
        </w:rPr>
        <w:t xml:space="preserve">דלדעת </w:t>
      </w:r>
      <w:r>
        <w:rPr>
          <w:rFonts w:hint="cs"/>
          <w:b/>
          <w:bCs/>
          <w:rtl/>
        </w:rPr>
        <w:t>רש"י</w:t>
      </w:r>
      <w:r>
        <w:rPr>
          <w:rFonts w:hint="cs"/>
          <w:rtl/>
        </w:rPr>
        <w:t xml:space="preserve"> </w:t>
      </w:r>
      <w:r w:rsidRPr="00A67255">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Ref145460906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קי)</w:t>
      </w:r>
      <w:r>
        <w:rPr>
          <w:rStyle w:val="af2"/>
          <w:rFonts w:eastAsia="Guttman Hodes"/>
          <w:rtl/>
        </w:rPr>
        <w:fldChar w:fldCharType="end"/>
      </w:r>
      <w:r>
        <w:rPr>
          <w:rFonts w:ascii="Calibri" w:eastAsia="Times New Roman" w:hAnsi="Calibri" w:cs="Guttman Rashi"/>
          <w:noProof w:val="0"/>
          <w:sz w:val="10"/>
          <w:szCs w:val="12"/>
          <w:rtl/>
        </w:rPr>
        <w:t xml:space="preserve"> </w:t>
      </w:r>
      <w:r>
        <w:rPr>
          <w:rFonts w:hint="cs"/>
          <w:rtl/>
        </w:rPr>
        <w:t>דקיי"ל דאין בנין וסתירה בכלים, א"כ החיוב בתוקע הוא מדין מכה בפטיש, וכן ביאר</w:t>
      </w:r>
      <w:r>
        <w:rPr>
          <w:rtl/>
        </w:rPr>
        <w:t xml:space="preserve"> </w:t>
      </w:r>
      <w:r>
        <w:rPr>
          <w:rFonts w:hint="cs"/>
          <w:b/>
          <w:bCs/>
          <w:rtl/>
        </w:rPr>
        <w:t>הר"ן</w:t>
      </w:r>
      <w:r>
        <w:rPr>
          <w:rFonts w:ascii="Calibri" w:eastAsia="Times New Roman" w:hAnsi="Calibri" w:cs="Guttman Rashi" w:hint="cs"/>
          <w:noProof w:val="0"/>
          <w:sz w:val="10"/>
          <w:szCs w:val="12"/>
          <w:rtl/>
        </w:rPr>
        <w:t xml:space="preserve"> </w:t>
      </w:r>
      <w:r w:rsidRPr="00BF223D">
        <w:rPr>
          <w:rFonts w:ascii="Calibri" w:eastAsia="Times New Roman" w:hAnsi="Calibri" w:cs="Guttman Rashi"/>
          <w:noProof w:val="0"/>
          <w:sz w:val="10"/>
          <w:szCs w:val="12"/>
          <w:rtl/>
        </w:rPr>
        <w:t xml:space="preserve">(עי' </w:t>
      </w:r>
      <w:r w:rsidRPr="007C4C9A">
        <w:rPr>
          <w:rStyle w:val="af2"/>
          <w:rFonts w:eastAsia="Guttman Hodes"/>
          <w:rtl/>
        </w:rPr>
        <w:t xml:space="preserve">אות </w:t>
      </w:r>
      <w:r w:rsidRPr="007C4C9A">
        <w:rPr>
          <w:rStyle w:val="af2"/>
          <w:rFonts w:eastAsia="Guttman Hodes"/>
          <w:rtl/>
        </w:rPr>
        <w:fldChar w:fldCharType="begin"/>
      </w:r>
      <w:r w:rsidRPr="007C4C9A">
        <w:rPr>
          <w:rStyle w:val="af2"/>
          <w:rFonts w:eastAsia="Guttman Hodes"/>
          <w:rtl/>
        </w:rPr>
        <w:instrText xml:space="preserve"> </w:instrText>
      </w:r>
      <w:r w:rsidRPr="007C4C9A">
        <w:rPr>
          <w:rStyle w:val="af2"/>
          <w:rFonts w:eastAsia="Guttman Hodes"/>
        </w:rPr>
        <w:instrText>REF</w:instrText>
      </w:r>
      <w:r w:rsidRPr="007C4C9A">
        <w:rPr>
          <w:rStyle w:val="af2"/>
          <w:rFonts w:eastAsia="Guttman Hodes"/>
          <w:rtl/>
        </w:rPr>
        <w:instrText xml:space="preserve"> _</w:instrText>
      </w:r>
      <w:r w:rsidRPr="007C4C9A">
        <w:rPr>
          <w:rStyle w:val="af2"/>
          <w:rFonts w:eastAsia="Guttman Hodes"/>
        </w:rPr>
        <w:instrText>Ref145462590 \r \h</w:instrText>
      </w:r>
      <w:r w:rsidRPr="007C4C9A">
        <w:rPr>
          <w:rStyle w:val="af2"/>
          <w:rFonts w:eastAsia="Guttman Hodes"/>
          <w:rtl/>
        </w:rPr>
        <w:instrText xml:space="preserve"> </w:instrText>
      </w:r>
      <w:r w:rsidRPr="007C4C9A">
        <w:rPr>
          <w:rStyle w:val="af2"/>
          <w:rFonts w:eastAsia="Guttman Hodes"/>
          <w:rtl/>
        </w:rPr>
      </w:r>
      <w:r w:rsidRPr="007C4C9A">
        <w:rPr>
          <w:rStyle w:val="af2"/>
          <w:rFonts w:eastAsia="Guttman Hodes"/>
          <w:rtl/>
        </w:rPr>
        <w:fldChar w:fldCharType="separate"/>
      </w:r>
      <w:r w:rsidR="00D82181">
        <w:rPr>
          <w:rStyle w:val="af2"/>
          <w:rFonts w:eastAsia="Guttman Hodes"/>
          <w:cs/>
        </w:rPr>
        <w:t>‎</w:t>
      </w:r>
      <w:r w:rsidR="00D82181">
        <w:rPr>
          <w:rStyle w:val="af2"/>
          <w:rFonts w:eastAsia="Guttman Hodes"/>
          <w:rtl/>
        </w:rPr>
        <w:t>קע)</w:t>
      </w:r>
      <w:r w:rsidRPr="007C4C9A">
        <w:rPr>
          <w:rStyle w:val="af2"/>
          <w:rFonts w:eastAsia="Guttman Hodes"/>
          <w:rtl/>
        </w:rPr>
        <w:fldChar w:fldCharType="end"/>
      </w:r>
      <w:r w:rsidRPr="007C4C9A">
        <w:rPr>
          <w:rStyle w:val="af2"/>
          <w:rFonts w:eastAsia="Guttman Hodes"/>
          <w:rtl/>
        </w:rPr>
        <w:t xml:space="preserve"> </w:t>
      </w:r>
      <w:r>
        <w:rPr>
          <w:rFonts w:hint="cs"/>
          <w:rtl/>
        </w:rPr>
        <w:t>בדעת</w:t>
      </w:r>
      <w:r>
        <w:rPr>
          <w:rtl/>
        </w:rPr>
        <w:t xml:space="preserve"> </w:t>
      </w:r>
      <w:r>
        <w:rPr>
          <w:rFonts w:hint="cs"/>
          <w:b/>
          <w:bCs/>
          <w:rtl/>
        </w:rPr>
        <w:t>הרי"ף</w:t>
      </w:r>
      <w:r>
        <w:rPr>
          <w:rtl/>
        </w:rPr>
        <w:t xml:space="preserve"> </w:t>
      </w:r>
      <w:r>
        <w:rPr>
          <w:rFonts w:hint="cs"/>
          <w:rtl/>
        </w:rPr>
        <w:t xml:space="preserve">שהשמיט את דברי ריו"ח דאסר לטלטל מנורה של חוליות שמא תתפרק ויחזירנה, והיינו דס"ל דכיון דאין בנין בכלים א"כ אם לא תקע האיסור בחזרת מנורה הוא רק מדרבנן, ולכן לא גזרו לאסור טלטול מחמת האיסור דרבנן, וכ"ש דלא גזרו במנורה של חוליות, וזהו הביאור בדעת ב"ה בגמ' בביצה </w:t>
      </w:r>
      <w:r w:rsidRPr="006E750C">
        <w:rPr>
          <w:rFonts w:ascii="Calibri" w:eastAsia="Times New Roman" w:hAnsi="Calibri" w:cs="Guttman Rashi" w:hint="cs"/>
          <w:noProof w:val="0"/>
          <w:sz w:val="10"/>
          <w:szCs w:val="12"/>
          <w:rtl/>
        </w:rPr>
        <w:t>(כא:),</w:t>
      </w:r>
      <w:r>
        <w:rPr>
          <w:rFonts w:hint="cs"/>
          <w:rtl/>
        </w:rPr>
        <w:t xml:space="preserve"> אבל בדבר שדרכו לתקוע כמו בתריסי החנויות בגמ' בביצה </w:t>
      </w:r>
      <w:r w:rsidRPr="006E750C">
        <w:rPr>
          <w:rFonts w:ascii="Calibri" w:eastAsia="Times New Roman" w:hAnsi="Calibri" w:cs="Guttman Rashi" w:hint="cs"/>
          <w:noProof w:val="0"/>
          <w:sz w:val="10"/>
          <w:szCs w:val="12"/>
          <w:rtl/>
        </w:rPr>
        <w:t xml:space="preserve">(יא:) </w:t>
      </w:r>
      <w:r>
        <w:rPr>
          <w:rFonts w:hint="cs"/>
          <w:rtl/>
        </w:rPr>
        <w:t>אסור להחזיר בציר מן הצד שמא יתקע, ורק בציר מן האמצע שאין בו חשש שמא יתקע, הקילו משום שמחת יו"ט, כדביאר</w:t>
      </w:r>
      <w:r>
        <w:rPr>
          <w:rtl/>
        </w:rPr>
        <w:t xml:space="preserve"> </w:t>
      </w:r>
      <w:r>
        <w:rPr>
          <w:rFonts w:hint="cs"/>
          <w:b/>
          <w:bCs/>
          <w:rtl/>
        </w:rPr>
        <w:t>הר"ן</w:t>
      </w:r>
      <w:r>
        <w:rPr>
          <w:rFonts w:hint="cs"/>
          <w:rtl/>
        </w:rPr>
        <w:t>, וכן דעת</w:t>
      </w:r>
      <w:r>
        <w:rPr>
          <w:rtl/>
        </w:rPr>
        <w:t xml:space="preserve"> </w:t>
      </w:r>
      <w:r>
        <w:rPr>
          <w:rFonts w:hint="cs"/>
          <w:b/>
          <w:bCs/>
          <w:rtl/>
        </w:rPr>
        <w:t>הרשב"א בעבודת הקודש</w:t>
      </w:r>
      <w:r>
        <w:rPr>
          <w:rtl/>
        </w:rPr>
        <w:t xml:space="preserve"> </w:t>
      </w:r>
      <w:r w:rsidRPr="006E750C">
        <w:rPr>
          <w:rFonts w:ascii="Calibri" w:eastAsia="Times New Roman" w:hAnsi="Calibri" w:cs="Guttman Rashi" w:hint="cs"/>
          <w:noProof w:val="0"/>
          <w:sz w:val="10"/>
          <w:szCs w:val="12"/>
          <w:rtl/>
        </w:rPr>
        <w:t xml:space="preserve">(עי' אות </w:t>
      </w:r>
      <w:r>
        <w:rPr>
          <w:rFonts w:ascii="Calibri" w:eastAsia="Times New Roman" w:hAnsi="Calibri" w:cs="Guttman Rashi"/>
          <w:noProof w:val="0"/>
          <w:sz w:val="10"/>
          <w:szCs w:val="12"/>
          <w:rtl/>
        </w:rPr>
        <w:fldChar w:fldCharType="begin"/>
      </w:r>
      <w:r>
        <w:rPr>
          <w:rFonts w:ascii="Calibri" w:eastAsia="Times New Roman" w:hAnsi="Calibri" w:cs="Guttman Rashi"/>
          <w:noProof w:val="0"/>
          <w:sz w:val="10"/>
          <w:szCs w:val="12"/>
          <w:rtl/>
        </w:rPr>
        <w:instrText xml:space="preserve"> </w:instrText>
      </w:r>
      <w:r>
        <w:rPr>
          <w:rFonts w:ascii="Calibri" w:eastAsia="Times New Roman" w:hAnsi="Calibri" w:cs="Guttman Rashi" w:hint="cs"/>
          <w:noProof w:val="0"/>
          <w:sz w:val="10"/>
          <w:szCs w:val="12"/>
        </w:rPr>
        <w:instrText>REF</w:instrText>
      </w:r>
      <w:r>
        <w:rPr>
          <w:rFonts w:ascii="Calibri" w:eastAsia="Times New Roman" w:hAnsi="Calibri" w:cs="Guttman Rashi" w:hint="cs"/>
          <w:noProof w:val="0"/>
          <w:sz w:val="10"/>
          <w:szCs w:val="12"/>
          <w:rtl/>
        </w:rPr>
        <w:instrText xml:space="preserve"> _</w:instrText>
      </w:r>
      <w:r>
        <w:rPr>
          <w:rFonts w:ascii="Calibri" w:eastAsia="Times New Roman" w:hAnsi="Calibri" w:cs="Guttman Rashi" w:hint="cs"/>
          <w:noProof w:val="0"/>
          <w:sz w:val="10"/>
          <w:szCs w:val="12"/>
        </w:rPr>
        <w:instrText>Ref145463070 \r \h</w:instrText>
      </w:r>
      <w:r>
        <w:rPr>
          <w:rFonts w:ascii="Calibri" w:eastAsia="Times New Roman" w:hAnsi="Calibri" w:cs="Guttman Rashi"/>
          <w:noProof w:val="0"/>
          <w:sz w:val="10"/>
          <w:szCs w:val="12"/>
          <w:rtl/>
        </w:rPr>
        <w:instrText xml:space="preserve"> </w:instrText>
      </w:r>
      <w:r>
        <w:rPr>
          <w:rFonts w:ascii="Calibri" w:eastAsia="Times New Roman" w:hAnsi="Calibri" w:cs="Guttman Rashi"/>
          <w:noProof w:val="0"/>
          <w:sz w:val="10"/>
          <w:szCs w:val="12"/>
          <w:rtl/>
        </w:rPr>
      </w:r>
      <w:r>
        <w:rPr>
          <w:rFonts w:ascii="Calibri" w:eastAsia="Times New Roman" w:hAnsi="Calibri" w:cs="Guttman Rashi"/>
          <w:noProof w:val="0"/>
          <w:sz w:val="10"/>
          <w:szCs w:val="12"/>
          <w:rtl/>
        </w:rPr>
        <w:fldChar w:fldCharType="separate"/>
      </w:r>
      <w:r w:rsidR="00D82181">
        <w:rPr>
          <w:rFonts w:ascii="Calibri" w:eastAsia="Times New Roman" w:hAnsi="Calibri" w:cs="Guttman Rashi"/>
          <w:noProof w:val="0"/>
          <w:sz w:val="10"/>
          <w:szCs w:val="12"/>
          <w:cs/>
        </w:rPr>
        <w:t>‎</w:t>
      </w:r>
      <w:r w:rsidR="00D82181">
        <w:rPr>
          <w:rFonts w:ascii="Calibri" w:eastAsia="Times New Roman" w:hAnsi="Calibri" w:cs="Guttman Rashi"/>
          <w:noProof w:val="0"/>
          <w:sz w:val="10"/>
          <w:szCs w:val="12"/>
          <w:rtl/>
        </w:rPr>
        <w:t>קכח)</w:t>
      </w:r>
      <w:r>
        <w:rPr>
          <w:rFonts w:ascii="Calibri" w:eastAsia="Times New Roman" w:hAnsi="Calibri" w:cs="Guttman Rashi"/>
          <w:noProof w:val="0"/>
          <w:sz w:val="10"/>
          <w:szCs w:val="12"/>
          <w:rtl/>
        </w:rPr>
        <w:fldChar w:fldCharType="end"/>
      </w:r>
      <w:r>
        <w:rPr>
          <w:rFonts w:hint="cs"/>
          <w:rtl/>
        </w:rPr>
        <w:t xml:space="preserve">. </w:t>
      </w:r>
      <w:r w:rsidRPr="00A37DD5">
        <w:rPr>
          <w:rStyle w:val="af"/>
          <w:rFonts w:hint="cs"/>
          <w:rtl/>
        </w:rPr>
        <w:t xml:space="preserve">[אך הביא </w:t>
      </w:r>
      <w:r w:rsidRPr="00A37DD5">
        <w:rPr>
          <w:rStyle w:val="aff9"/>
          <w:rFonts w:hint="cs"/>
          <w:rtl/>
        </w:rPr>
        <w:t>האבני נזר</w:t>
      </w:r>
      <w:r w:rsidRPr="00A37DD5">
        <w:rPr>
          <w:rStyle w:val="af"/>
          <w:rFonts w:hint="cs"/>
          <w:rtl/>
        </w:rPr>
        <w:t xml:space="preserve"> </w:t>
      </w:r>
      <w:r>
        <w:rPr>
          <w:rStyle w:val="af"/>
          <w:rFonts w:hint="cs"/>
          <w:rtl/>
        </w:rPr>
        <w:t>את דברי</w:t>
      </w:r>
      <w:r w:rsidRPr="00A37DD5">
        <w:rPr>
          <w:rStyle w:val="af"/>
          <w:rtl/>
        </w:rPr>
        <w:t xml:space="preserve"> </w:t>
      </w:r>
      <w:r w:rsidRPr="00A37DD5">
        <w:rPr>
          <w:rStyle w:val="aff9"/>
          <w:rFonts w:hint="cs"/>
          <w:rtl/>
        </w:rPr>
        <w:t>הרמב"ם</w:t>
      </w:r>
      <w:r w:rsidRPr="00A37DD5">
        <w:rPr>
          <w:rStyle w:val="af"/>
          <w:rtl/>
        </w:rPr>
        <w:t xml:space="preserve"> </w:t>
      </w:r>
      <w:r w:rsidRPr="00A37DD5">
        <w:rPr>
          <w:rStyle w:val="aff0"/>
          <w:rFonts w:hint="cs"/>
          <w:rtl/>
        </w:rPr>
        <w:t>(יו"ט פ"ד הי"ב)</w:t>
      </w:r>
      <w:r w:rsidRPr="00A37DD5">
        <w:rPr>
          <w:rStyle w:val="af"/>
          <w:rFonts w:hint="cs"/>
          <w:rtl/>
        </w:rPr>
        <w:t xml:space="preserve"> דכתב דאף בדבר שרגילות לתוקע מותר ביו"ט, ורק בציר מן הצד גזרו שמא יתקע,  וביאר </w:t>
      </w:r>
      <w:r w:rsidRPr="00A37DD5">
        <w:rPr>
          <w:rStyle w:val="aff9"/>
          <w:rFonts w:hint="cs"/>
          <w:rtl/>
        </w:rPr>
        <w:t>האבני נזר</w:t>
      </w:r>
      <w:r w:rsidRPr="00A37DD5">
        <w:rPr>
          <w:rStyle w:val="af"/>
          <w:rFonts w:hint="cs"/>
          <w:rtl/>
        </w:rPr>
        <w:t xml:space="preserve"> דציר מן הצד הוא קרוב לתקיעה ולכן גזרו בו</w:t>
      </w:r>
      <w:r>
        <w:rPr>
          <w:rStyle w:val="af"/>
          <w:rFonts w:hint="cs"/>
          <w:rtl/>
        </w:rPr>
        <w:t>]</w:t>
      </w:r>
      <w:r w:rsidRPr="00A37DD5">
        <w:rPr>
          <w:rStyle w:val="af"/>
          <w:rFonts w:hint="cs"/>
          <w:rtl/>
        </w:rPr>
        <w:t>.</w:t>
      </w:r>
    </w:p>
    <w:p w14:paraId="3ECFB3CB" w14:textId="77777777" w:rsidR="000F6808" w:rsidRPr="0088513D" w:rsidRDefault="000F6808" w:rsidP="000F6808">
      <w:pPr>
        <w:pStyle w:val="afffffe"/>
        <w:rPr>
          <w:vanish/>
          <w:rtl/>
        </w:rPr>
      </w:pPr>
      <w:r w:rsidRPr="0088513D">
        <w:rPr>
          <w:vanish/>
          <w:rtl/>
        </w:rPr>
        <w:t xml:space="preserve">שו"ת אבני נזר </w:t>
      </w:r>
      <w:r w:rsidRPr="0088513D">
        <w:rPr>
          <w:rFonts w:hint="cs"/>
          <w:vanish/>
          <w:rtl/>
        </w:rPr>
        <w:t>או"ח סי'</w:t>
      </w:r>
      <w:r w:rsidRPr="0088513D">
        <w:rPr>
          <w:vanish/>
          <w:rtl/>
        </w:rPr>
        <w:t xml:space="preserve"> רי</w:t>
      </w:r>
      <w:r w:rsidRPr="0088513D">
        <w:rPr>
          <w:rFonts w:hint="cs"/>
          <w:vanish/>
          <w:rtl/>
        </w:rPr>
        <w:t>"</w:t>
      </w:r>
      <w:r w:rsidRPr="0088513D">
        <w:rPr>
          <w:vanish/>
          <w:rtl/>
        </w:rPr>
        <w:t>א</w:t>
      </w:r>
      <w:r w:rsidRPr="0088513D">
        <w:rPr>
          <w:rFonts w:hint="cs"/>
          <w:vanish/>
          <w:rtl/>
        </w:rPr>
        <w:t xml:space="preserve"> אות ד'</w:t>
      </w:r>
    </w:p>
    <w:p w14:paraId="41314132" w14:textId="77777777" w:rsidR="000F6808" w:rsidRPr="00111645" w:rsidRDefault="000F6808" w:rsidP="000F6808">
      <w:pPr>
        <w:pStyle w:val="a2"/>
        <w:rPr>
          <w:rtl/>
        </w:rPr>
      </w:pPr>
      <w:r w:rsidRPr="00111645">
        <w:rPr>
          <w:rtl/>
        </w:rPr>
        <w:t xml:space="preserve">ד) בהא דאם תקע חייב חטאת נחלקו הפוסקים שדעת רש"י דלמה דקיימא לן אין בנין וסתירה בכלים אין חיובו אלא משום מכה בפטיש. וכן דעת הרא"ם בספר יראים. והר"ן [ס"פ כירה] כתב שזה דעת הרי"ף שהשמיט הא דמנורה של חוליות אסור לטלטלה גזירה שמא תתפרק ויחזירנה. ואפילו בשל חדקי אסור. דמאן דחזי סבר של חוליות הוא ואפילו קטנה שאין דרך לעשותה של חוליות אסור גזירה אטו גדולה. והרי"ף השמיט כל זה דסבירא לי' דלמה דקיימא לן אין בנין וסתירה בכלים איסור חזרת מנורה של חוליות אם לא תקע אינו אלא מדרבנן. וכיון שכן לא גזרינן טלטול אטו חזרה וכל שכן בשל חדקי דלא גזרינן חדקי אטו חוליות [והיינו שמעתא דביצה [כב ע"א] דבית הלל מתירין לזקוף מנורה של חוליות. דכיון דבשבת אין איסור אלא מדרבנן מקילין ביום טוב משום שמחת יום טוב. והני מילי במנורה שאין דרך לתקוע. אבל דרך לתקוע אפילו ביום טוב אסור כמו תריסי חניות בפרק קמא דביצה י"א ע"ב דאסור כל שיש להם ציר מן הצד דגזרינן שמא יתקע. רק בציר באמצע דלא שייך בי' תקיעה כמו שכתב הר"ן. מקילין משום שמחת יום טוב יעוין שם. הוא הדין דמקילין במנורה שאין דרך לתקוע משום שמחת יום טוב]. כן דעת רשב"א [עבוה"ק בית מועד שער ג' ס"ג]. ורמב"ם ושלחן ערוך [סי' תקי"ט סעי' ב'] פסקו אפילו עשוי לתקוע מותר ביום טוב רק בציר מן הצד שהדבר קרוב מאוד לתקוע אסור גם ביום טוב: </w:t>
      </w:r>
    </w:p>
    <w:p w14:paraId="199EFBD3" w14:textId="77777777" w:rsidR="000F6808" w:rsidRDefault="000F6808" w:rsidP="000F6808">
      <w:pPr>
        <w:pStyle w:val="afffff7"/>
        <w:rPr>
          <w:rtl/>
        </w:rPr>
      </w:pPr>
      <w:bookmarkStart w:id="6272" w:name="_Toc145500880"/>
      <w:bookmarkStart w:id="6273" w:name="_Toc163506420"/>
      <w:r w:rsidRPr="00D46B4A">
        <w:rPr>
          <w:rtl/>
        </w:rPr>
        <w:t xml:space="preserve">שו"ת אבני נזר </w:t>
      </w:r>
      <w:r>
        <w:rPr>
          <w:rFonts w:hint="cs"/>
          <w:rtl/>
        </w:rPr>
        <w:t>או"ח סי'</w:t>
      </w:r>
      <w:r w:rsidRPr="00D46B4A">
        <w:rPr>
          <w:rtl/>
        </w:rPr>
        <w:t xml:space="preserve"> רי</w:t>
      </w:r>
      <w:r>
        <w:rPr>
          <w:rFonts w:hint="cs"/>
          <w:rtl/>
        </w:rPr>
        <w:t>"</w:t>
      </w:r>
      <w:r w:rsidRPr="00D46B4A">
        <w:rPr>
          <w:rtl/>
        </w:rPr>
        <w:t>א</w:t>
      </w:r>
      <w:r>
        <w:rPr>
          <w:rFonts w:hint="cs"/>
          <w:rtl/>
        </w:rPr>
        <w:t xml:space="preserve"> אות ה'</w:t>
      </w:r>
      <w:bookmarkEnd w:id="6272"/>
      <w:bookmarkEnd w:id="6273"/>
    </w:p>
    <w:p w14:paraId="032F8D45" w14:textId="77777777" w:rsidR="000F6808" w:rsidRDefault="000F6808" w:rsidP="000F6808">
      <w:pPr>
        <w:pStyle w:val="a7"/>
        <w:rPr>
          <w:rtl/>
        </w:rPr>
      </w:pPr>
      <w:bookmarkStart w:id="6274" w:name="_Toc145487178"/>
      <w:r>
        <w:rPr>
          <w:rFonts w:hint="cs"/>
          <w:rtl/>
        </w:rPr>
        <w:t>בי' האבנ"ז בריו"ח דיש בנין בכלים והחזרת המנורה דאו' ולכן אסרו לטלטלה וכן לרב ושמואל</w:t>
      </w:r>
      <w:bookmarkEnd w:id="6274"/>
    </w:p>
    <w:p w14:paraId="524B4BB5" w14:textId="014CA28B" w:rsidR="000F6808" w:rsidRDefault="000F6808" w:rsidP="000F6808">
      <w:pPr>
        <w:pStyle w:val="a3"/>
      </w:pPr>
      <w:bookmarkStart w:id="6275" w:name="_Ref145369109"/>
      <w:r>
        <w:rPr>
          <w:rFonts w:hint="cs"/>
          <w:rtl/>
        </w:rPr>
        <w:t>ובדעת ריו"ח דאסר לטלטל מנורה של חוליות, ביאר</w:t>
      </w:r>
      <w:r>
        <w:rPr>
          <w:rtl/>
        </w:rPr>
        <w:t xml:space="preserve"> </w:t>
      </w:r>
      <w:r w:rsidRPr="0030456B">
        <w:rPr>
          <w:b/>
          <w:bCs/>
          <w:rtl/>
        </w:rPr>
        <w:t>ה</w:t>
      </w:r>
      <w:r w:rsidRPr="0030456B">
        <w:rPr>
          <w:b/>
          <w:bCs/>
          <w:vanish/>
          <w:rtl/>
        </w:rPr>
        <w:t xml:space="preserve"> &lt;, </w:t>
      </w:r>
      <w:r>
        <w:rPr>
          <w:b/>
          <w:bCs/>
          <w:vanish/>
          <w:rtl/>
        </w:rPr>
        <w:fldChar w:fldCharType="begin"/>
      </w:r>
      <w:r>
        <w:rPr>
          <w:b/>
          <w:bCs/>
          <w:vanish/>
          <w:rtl/>
        </w:rPr>
        <w:instrText xml:space="preserve"> </w:instrText>
      </w:r>
      <w:r>
        <w:rPr>
          <w:b/>
          <w:bCs/>
          <w:vanish/>
        </w:rPr>
        <w:instrText>REF</w:instrText>
      </w:r>
      <w:r>
        <w:rPr>
          <w:b/>
          <w:bCs/>
          <w:vanish/>
          <w:rtl/>
        </w:rPr>
        <w:instrText xml:space="preserve"> _</w:instrText>
      </w:r>
      <w:r>
        <w:rPr>
          <w:b/>
          <w:bCs/>
          <w:vanish/>
        </w:rPr>
        <w:instrText>Ref145369109 \r \h</w:instrText>
      </w:r>
      <w:r>
        <w:rPr>
          <w:b/>
          <w:bCs/>
          <w:vanish/>
          <w:rtl/>
        </w:rPr>
        <w:instrText xml:space="preserve"> </w:instrText>
      </w:r>
      <w:r>
        <w:rPr>
          <w:b/>
          <w:bCs/>
          <w:vanish/>
          <w:rtl/>
        </w:rPr>
      </w:r>
      <w:r>
        <w:rPr>
          <w:b/>
          <w:bCs/>
          <w:vanish/>
          <w:rtl/>
        </w:rPr>
        <w:fldChar w:fldCharType="separate"/>
      </w:r>
      <w:r w:rsidR="00D82181">
        <w:rPr>
          <w:b/>
          <w:bCs/>
          <w:vanish/>
          <w:cs/>
        </w:rPr>
        <w:t>‎</w:t>
      </w:r>
      <w:r w:rsidR="00D82181">
        <w:rPr>
          <w:b/>
          <w:bCs/>
          <w:vanish/>
          <w:rtl/>
        </w:rPr>
        <w:t>קפד)</w:t>
      </w:r>
      <w:r>
        <w:rPr>
          <w:b/>
          <w:bCs/>
          <w:vanish/>
          <w:rtl/>
        </w:rPr>
        <w:fldChar w:fldCharType="end"/>
      </w:r>
      <w:r w:rsidRPr="0030456B">
        <w:rPr>
          <w:b/>
          <w:bCs/>
          <w:vanish/>
          <w:rtl/>
        </w:rPr>
        <w:t xml:space="preserve"> &gt;</w:t>
      </w:r>
      <w:r>
        <w:rPr>
          <w:rFonts w:hint="cs"/>
          <w:b/>
          <w:bCs/>
          <w:rtl/>
        </w:rPr>
        <w:t>אבני נזר</w:t>
      </w:r>
      <w:r w:rsidRPr="0030456B">
        <w:rPr>
          <w:b/>
          <w:bCs/>
          <w:rtl/>
        </w:rPr>
        <w:t xml:space="preserve"> </w:t>
      </w:r>
      <w:r w:rsidRPr="0030456B">
        <w:rPr>
          <w:rFonts w:ascii="Calibri" w:eastAsia="Times New Roman" w:hAnsi="Calibri" w:cs="Guttman Rashi"/>
          <w:noProof w:val="0"/>
          <w:sz w:val="10"/>
          <w:szCs w:val="12"/>
          <w:rtl/>
        </w:rPr>
        <w:t>(</w:t>
      </w:r>
      <w:r>
        <w:rPr>
          <w:rFonts w:ascii="Calibri" w:eastAsia="Times New Roman" w:hAnsi="Calibri" w:cs="Guttman Rashi" w:hint="cs"/>
          <w:noProof w:val="0"/>
          <w:sz w:val="10"/>
          <w:szCs w:val="12"/>
          <w:rtl/>
        </w:rPr>
        <w:t>סי' רי"א אות ה'</w:t>
      </w:r>
      <w:r w:rsidRPr="0030456B">
        <w:rPr>
          <w:rFonts w:ascii="Calibri" w:eastAsia="Times New Roman" w:hAnsi="Calibri" w:cs="Guttman Rashi"/>
          <w:noProof w:val="0"/>
          <w:sz w:val="10"/>
          <w:szCs w:val="12"/>
          <w:rtl/>
        </w:rPr>
        <w:t>)</w:t>
      </w:r>
      <w:r w:rsidRPr="0030456B">
        <w:rPr>
          <w:vanish/>
          <w:rtl/>
        </w:rPr>
        <w:t>=</w:t>
      </w:r>
      <w:r>
        <w:rPr>
          <w:rtl/>
        </w:rPr>
        <w:t xml:space="preserve"> </w:t>
      </w:r>
      <w:r>
        <w:rPr>
          <w:rFonts w:hint="cs"/>
          <w:rtl/>
        </w:rPr>
        <w:t xml:space="preserve">דס"ל דיש בנין וסתירה בכלים, וכיון דחזרת המנורה היא בונה דאו', לכן אסרו לטלטל שמא יחזיר, וכן דעת רב ושמואל בסוגיין לענין מעייל שופתא בקופינא דמרא, דיש בנין וסתירה בכלים, ושמואל פליג רק כיון דס"ל דאינו דרך בנין, וכדמוכח מהא דפליג שמואל אף בלול של תרנגולין, אעפ"י דהוא מחובר לקרקע, </w:t>
      </w:r>
      <w:r>
        <w:rPr>
          <w:rFonts w:hint="cs"/>
          <w:rtl/>
        </w:rPr>
        <w:t>וכתב</w:t>
      </w:r>
      <w:r>
        <w:rPr>
          <w:rtl/>
        </w:rPr>
        <w:t xml:space="preserve"> </w:t>
      </w:r>
      <w:r>
        <w:rPr>
          <w:rFonts w:hint="cs"/>
          <w:b/>
          <w:bCs/>
          <w:rtl/>
        </w:rPr>
        <w:t>האבני נזר</w:t>
      </w:r>
      <w:r>
        <w:rPr>
          <w:rtl/>
        </w:rPr>
        <w:t xml:space="preserve"> </w:t>
      </w:r>
      <w:r>
        <w:rPr>
          <w:rFonts w:hint="cs"/>
          <w:rtl/>
        </w:rPr>
        <w:t>דלדעת רב ושמואל וריו"ח אף רפוי אסור מדרבנן, שמא יהדק ויתחייב בדאו' משום בונה.</w:t>
      </w:r>
      <w:bookmarkEnd w:id="6275"/>
    </w:p>
    <w:p w14:paraId="2DA44F13" w14:textId="77777777" w:rsidR="000F6808" w:rsidRPr="0088513D" w:rsidRDefault="000F6808" w:rsidP="000F6808">
      <w:pPr>
        <w:pStyle w:val="afffffe"/>
        <w:rPr>
          <w:vanish/>
          <w:rtl/>
        </w:rPr>
      </w:pPr>
      <w:r w:rsidRPr="0088513D">
        <w:rPr>
          <w:vanish/>
          <w:rtl/>
        </w:rPr>
        <w:t xml:space="preserve">שו"ת אבני נזר </w:t>
      </w:r>
      <w:r w:rsidRPr="0088513D">
        <w:rPr>
          <w:rFonts w:hint="cs"/>
          <w:vanish/>
          <w:rtl/>
        </w:rPr>
        <w:t>או"ח סי'</w:t>
      </w:r>
      <w:r w:rsidRPr="0088513D">
        <w:rPr>
          <w:vanish/>
          <w:rtl/>
        </w:rPr>
        <w:t xml:space="preserve"> רי</w:t>
      </w:r>
      <w:r w:rsidRPr="0088513D">
        <w:rPr>
          <w:rFonts w:hint="cs"/>
          <w:vanish/>
          <w:rtl/>
        </w:rPr>
        <w:t>"</w:t>
      </w:r>
      <w:r w:rsidRPr="0088513D">
        <w:rPr>
          <w:vanish/>
          <w:rtl/>
        </w:rPr>
        <w:t>א</w:t>
      </w:r>
      <w:r w:rsidRPr="0088513D">
        <w:rPr>
          <w:rFonts w:hint="cs"/>
          <w:vanish/>
          <w:rtl/>
        </w:rPr>
        <w:t xml:space="preserve"> אות ה'</w:t>
      </w:r>
    </w:p>
    <w:p w14:paraId="137A6119" w14:textId="77777777" w:rsidR="000F6808" w:rsidRPr="00111645" w:rsidRDefault="000F6808" w:rsidP="000F6808">
      <w:pPr>
        <w:pStyle w:val="a2"/>
        <w:rPr>
          <w:rtl/>
        </w:rPr>
      </w:pPr>
      <w:r w:rsidRPr="00111645">
        <w:rPr>
          <w:rtl/>
        </w:rPr>
        <w:t>ה) ור' יוחנן סבירא לי' יש בנין וסתירה בכלים על כן כיון דחזרה דאורייתא אסור גזרינן טלטול אטו חזרה. ורב ושמואל נמי אשכחן דס"ל ריש פרק הבונה דיש בנין וסתירה בכלים. דאמר רב עייל שופתא בקופינא דמרא חייב משום בונה. ושמואל דאמר משום מכה בפטיש. לאו משום דסבירא לי' אין בנין וסתירה בכלים. דהא פליג נמי בלול של תרנגולין דמחובר לקרקע הוא. אלא טעמא דשמואל דסבירא לי' אין דרך בנין בכך. ולעולם סבירא להו לרב ושמואל יש בנין וסתירה בכלים. ולשיטתם רפוי אסור מדרבנן אטו מיהדק דחייב משום בונה. וטלטול נמי אסור כל שדרכו להדק אטו חזרה במיהדק. [ובדר' יוחנן גופי' אשכחן במדרש רבה פרשת עקב במנורה של חוליות גופה דהמחזיר חייב משום בונה.</w:t>
      </w:r>
    </w:p>
    <w:p w14:paraId="58EBC3B6" w14:textId="77777777" w:rsidR="000F6808" w:rsidRPr="00086970" w:rsidRDefault="000F6808" w:rsidP="000F6808">
      <w:pPr>
        <w:pStyle w:val="a7"/>
      </w:pPr>
      <w:bookmarkStart w:id="6276" w:name="_Toc145487179"/>
      <w:r>
        <w:rPr>
          <w:rFonts w:hint="cs"/>
          <w:rtl/>
        </w:rPr>
        <w:t>בי' האבנ"ז דלתוס' והרמב"ם דרב מחייב בעושה כלי אפש"ל כן בריו"ח ולדידן בלא תקע פטור</w:t>
      </w:r>
      <w:bookmarkEnd w:id="6276"/>
    </w:p>
    <w:p w14:paraId="67C00FD5" w14:textId="232AACBC" w:rsidR="000F6808" w:rsidRPr="0030456B" w:rsidRDefault="000F6808" w:rsidP="000F6808">
      <w:pPr>
        <w:pStyle w:val="a3"/>
        <w:rPr>
          <w:rtl/>
        </w:rPr>
      </w:pPr>
      <w:r>
        <w:rPr>
          <w:rFonts w:hint="cs"/>
          <w:rtl/>
        </w:rPr>
        <w:t>אך כתב</w:t>
      </w:r>
      <w:r>
        <w:rPr>
          <w:rtl/>
        </w:rPr>
        <w:t xml:space="preserve"> </w:t>
      </w:r>
      <w:r>
        <w:rPr>
          <w:rFonts w:hint="cs"/>
          <w:b/>
          <w:bCs/>
          <w:rtl/>
        </w:rPr>
        <w:t xml:space="preserve">האבני נזר </w:t>
      </w:r>
      <w:r>
        <w:rPr>
          <w:rFonts w:hint="cs"/>
          <w:rtl/>
        </w:rPr>
        <w:t>דראיה זו היא רק לביאור</w:t>
      </w:r>
      <w:r>
        <w:rPr>
          <w:rtl/>
        </w:rPr>
        <w:t xml:space="preserve"> </w:t>
      </w:r>
      <w:r>
        <w:rPr>
          <w:rFonts w:hint="cs"/>
          <w:b/>
          <w:bCs/>
          <w:rtl/>
        </w:rPr>
        <w:t>הר"ן</w:t>
      </w:r>
      <w:r>
        <w:rPr>
          <w:rtl/>
        </w:rPr>
        <w:t xml:space="preserve"> </w:t>
      </w:r>
      <w:r w:rsidRPr="006B40D4">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Ref145463322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קסט)</w:t>
      </w:r>
      <w:r>
        <w:rPr>
          <w:rStyle w:val="af2"/>
          <w:rFonts w:eastAsia="Guttman Hodes"/>
          <w:rtl/>
        </w:rPr>
        <w:fldChar w:fldCharType="end"/>
      </w:r>
      <w:r>
        <w:rPr>
          <w:rFonts w:hint="cs"/>
          <w:rtl/>
        </w:rPr>
        <w:t xml:space="preserve"> שהוכיח כדעת </w:t>
      </w:r>
      <w:r>
        <w:rPr>
          <w:rFonts w:hint="cs"/>
          <w:b/>
          <w:bCs/>
          <w:rtl/>
        </w:rPr>
        <w:t>הרי"ף</w:t>
      </w:r>
      <w:r>
        <w:rPr>
          <w:rtl/>
        </w:rPr>
        <w:t xml:space="preserve"> </w:t>
      </w:r>
      <w:r>
        <w:rPr>
          <w:rFonts w:hint="cs"/>
          <w:rtl/>
        </w:rPr>
        <w:t xml:space="preserve">דרב ושמואל ס"ל דיש בנין בכלים, ולפי"ז אפשר להוכיח כן גם מדברי ריו"ח, אבל לדעת </w:t>
      </w:r>
      <w:r>
        <w:rPr>
          <w:rFonts w:hint="cs"/>
          <w:b/>
          <w:bCs/>
          <w:rtl/>
        </w:rPr>
        <w:t xml:space="preserve">התוס' </w:t>
      </w:r>
      <w:r w:rsidRPr="006B40D4">
        <w:rPr>
          <w:rStyle w:val="af2"/>
          <w:rFonts w:eastAsia="Guttman Hodes" w:hint="cs"/>
          <w:rtl/>
        </w:rPr>
        <w:t xml:space="preserve">(עי' אות </w:t>
      </w:r>
      <w:r>
        <w:rPr>
          <w:rStyle w:val="af2"/>
          <w:rFonts w:eastAsia="Guttman Hodes"/>
          <w:rtl/>
        </w:rPr>
        <w:fldChar w:fldCharType="begin"/>
      </w:r>
      <w:r>
        <w:rPr>
          <w:rStyle w:val="af2"/>
          <w:rFonts w:eastAsia="Guttman Hodes"/>
          <w:rtl/>
        </w:rPr>
        <w:instrText xml:space="preserve"> </w:instrText>
      </w:r>
      <w:r>
        <w:rPr>
          <w:rStyle w:val="af2"/>
          <w:rFonts w:eastAsia="Guttman Hodes" w:hint="cs"/>
        </w:rPr>
        <w:instrText>REF</w:instrText>
      </w:r>
      <w:r>
        <w:rPr>
          <w:rStyle w:val="af2"/>
          <w:rFonts w:eastAsia="Guttman Hodes" w:hint="cs"/>
          <w:rtl/>
        </w:rPr>
        <w:instrText xml:space="preserve"> _</w:instrText>
      </w:r>
      <w:r>
        <w:rPr>
          <w:rStyle w:val="af2"/>
          <w:rFonts w:eastAsia="Guttman Hodes" w:hint="cs"/>
        </w:rPr>
        <w:instrText>Ref145461815 \r \h</w:instrText>
      </w:r>
      <w:r>
        <w:rPr>
          <w:rStyle w:val="af2"/>
          <w:rFonts w:eastAsia="Guttman Hodes"/>
          <w:rtl/>
        </w:rPr>
        <w:instrText xml:space="preserve"> </w:instrText>
      </w:r>
      <w:r>
        <w:rPr>
          <w:rStyle w:val="af2"/>
          <w:rFonts w:eastAsia="Guttman Hodes"/>
          <w:rtl/>
        </w:rPr>
      </w:r>
      <w:r>
        <w:rPr>
          <w:rStyle w:val="af2"/>
          <w:rFonts w:eastAsia="Guttman Hodes"/>
          <w:rtl/>
        </w:rPr>
        <w:fldChar w:fldCharType="separate"/>
      </w:r>
      <w:r w:rsidR="00D82181">
        <w:rPr>
          <w:rStyle w:val="af2"/>
          <w:rFonts w:eastAsia="Guttman Hodes"/>
          <w:cs/>
        </w:rPr>
        <w:t>‎</w:t>
      </w:r>
      <w:r w:rsidR="00D82181">
        <w:rPr>
          <w:rStyle w:val="af2"/>
          <w:rFonts w:eastAsia="Guttman Hodes"/>
          <w:rtl/>
        </w:rPr>
        <w:t>קז)</w:t>
      </w:r>
      <w:r>
        <w:rPr>
          <w:rStyle w:val="af2"/>
          <w:rFonts w:eastAsia="Guttman Hodes"/>
          <w:rtl/>
        </w:rPr>
        <w:fldChar w:fldCharType="end"/>
      </w:r>
      <w:r>
        <w:rPr>
          <w:rFonts w:hint="cs"/>
          <w:b/>
          <w:bCs/>
          <w:rtl/>
        </w:rPr>
        <w:t xml:space="preserve"> והרמב"ם </w:t>
      </w:r>
      <w:r w:rsidRPr="006B40D4">
        <w:rPr>
          <w:rStyle w:val="af2"/>
          <w:rFonts w:eastAsia="Guttman Hodes" w:hint="cs"/>
          <w:rtl/>
        </w:rPr>
        <w:t>(עי'</w:t>
      </w:r>
      <w:r>
        <w:rPr>
          <w:rStyle w:val="af2"/>
          <w:rFonts w:eastAsia="Guttman Hodes" w:hint="cs"/>
          <w:rtl/>
        </w:rPr>
        <w:t xml:space="preserve"> </w:t>
      </w:r>
      <w:r w:rsidRPr="00D034E1">
        <w:rPr>
          <w:rStyle w:val="af2"/>
          <w:rFonts w:eastAsia="Guttman Hodes" w:hint="cs"/>
          <w:rtl/>
        </w:rPr>
        <w:t xml:space="preserve">אות </w:t>
      </w:r>
      <w:r w:rsidRPr="00D034E1">
        <w:rPr>
          <w:rStyle w:val="af2"/>
          <w:rFonts w:eastAsia="Guttman Hodes"/>
          <w:rtl/>
        </w:rPr>
        <w:fldChar w:fldCharType="begin"/>
      </w:r>
      <w:r w:rsidRPr="00D034E1">
        <w:rPr>
          <w:rStyle w:val="af2"/>
          <w:rFonts w:eastAsia="Guttman Hodes"/>
          <w:rtl/>
        </w:rPr>
        <w:instrText xml:space="preserve"> </w:instrText>
      </w:r>
      <w:r w:rsidRPr="00D034E1">
        <w:rPr>
          <w:rStyle w:val="af2"/>
          <w:rFonts w:eastAsia="Guttman Hodes" w:hint="cs"/>
        </w:rPr>
        <w:instrText>REF</w:instrText>
      </w:r>
      <w:r w:rsidRPr="00D034E1">
        <w:rPr>
          <w:rStyle w:val="af2"/>
          <w:rFonts w:eastAsia="Guttman Hodes" w:hint="cs"/>
          <w:rtl/>
        </w:rPr>
        <w:instrText xml:space="preserve"> _</w:instrText>
      </w:r>
      <w:r w:rsidRPr="00D034E1">
        <w:rPr>
          <w:rStyle w:val="af2"/>
          <w:rFonts w:eastAsia="Guttman Hodes" w:hint="cs"/>
        </w:rPr>
        <w:instrText>Ref145433538 \r \h</w:instrText>
      </w:r>
      <w:r w:rsidRPr="00D034E1">
        <w:rPr>
          <w:rStyle w:val="af2"/>
          <w:rFonts w:eastAsia="Guttman Hodes"/>
          <w:rtl/>
        </w:rPr>
        <w:instrText xml:space="preserve"> </w:instrText>
      </w:r>
      <w:r w:rsidRPr="00D034E1">
        <w:rPr>
          <w:rStyle w:val="af2"/>
          <w:rFonts w:eastAsia="Guttman Hodes"/>
          <w:rtl/>
        </w:rPr>
      </w:r>
      <w:r w:rsidRPr="00D034E1">
        <w:rPr>
          <w:rStyle w:val="af2"/>
          <w:rFonts w:eastAsia="Guttman Hodes"/>
          <w:rtl/>
        </w:rPr>
        <w:fldChar w:fldCharType="separate"/>
      </w:r>
      <w:r w:rsidR="00D82181">
        <w:rPr>
          <w:rStyle w:val="af2"/>
          <w:rFonts w:eastAsia="Guttman Hodes"/>
          <w:cs/>
        </w:rPr>
        <w:t>‎</w:t>
      </w:r>
      <w:r w:rsidR="00D82181">
        <w:rPr>
          <w:rStyle w:val="af2"/>
          <w:rFonts w:eastAsia="Guttman Hodes"/>
          <w:rtl/>
        </w:rPr>
        <w:t>קו)</w:t>
      </w:r>
      <w:r w:rsidRPr="00D034E1">
        <w:rPr>
          <w:rStyle w:val="af2"/>
          <w:rFonts w:eastAsia="Guttman Hodes"/>
          <w:rtl/>
        </w:rPr>
        <w:fldChar w:fldCharType="end"/>
      </w:r>
      <w:r>
        <w:rPr>
          <w:rFonts w:hint="cs"/>
          <w:rtl/>
        </w:rPr>
        <w:t xml:space="preserve"> דהחיוב במעייל שופתא בקופינא דמרא הוא אף למ"ד דאין בנין בכלים כיון דהוא עושה כלי, א"כ אין ראיה מדברי ריו"ח דאפש"ל דאסר אטו תוקע דהוא חייב מדאו' כיון דעושה כלי, אעפ"י דס"ל דאין בנין בכלים, אך כתב</w:t>
      </w:r>
      <w:r>
        <w:rPr>
          <w:rtl/>
        </w:rPr>
        <w:t xml:space="preserve"> </w:t>
      </w:r>
      <w:r>
        <w:rPr>
          <w:rFonts w:hint="cs"/>
          <w:b/>
          <w:bCs/>
          <w:rtl/>
        </w:rPr>
        <w:t>האבני נזר</w:t>
      </w:r>
      <w:r>
        <w:rPr>
          <w:rtl/>
        </w:rPr>
        <w:t xml:space="preserve"> </w:t>
      </w:r>
      <w:r>
        <w:rPr>
          <w:rFonts w:hint="cs"/>
          <w:rtl/>
        </w:rPr>
        <w:t>דלדידן דקיי"ל דאין בנין בכלים, א"כ המחזיר מנורה של חוליות ולא תקע פטור אף במהדק, וברפוי מותר כרשב"ג, וא"כ לעולם מותר לטלטל.</w:t>
      </w:r>
      <w:r>
        <w:rPr>
          <w:rtl/>
        </w:rPr>
        <w:t xml:space="preserve"> </w:t>
      </w:r>
    </w:p>
    <w:p w14:paraId="4E2C3BBD" w14:textId="77777777" w:rsidR="000F6808" w:rsidRPr="00111645" w:rsidRDefault="000F6808" w:rsidP="000F6808">
      <w:pPr>
        <w:pStyle w:val="a2"/>
        <w:rPr>
          <w:rtl/>
        </w:rPr>
      </w:pPr>
      <w:r w:rsidRPr="00111645">
        <w:rPr>
          <w:rtl/>
        </w:rPr>
        <w:t xml:space="preserve">ולשיטת הגאונים ותוספות ורמב"ם שיתבאר לפנינו אין ראי' משם דסבירא להו יש בנין וסתירה בכלים. דיש לומר בתקע חשיב עושה כלי דלכולי עלמא חייב משום בונה כמו עייל שופתא בקופינא דמרא. אך למה שהביא הר"ן לשיטת הרי"ף ראי' מעייל שופתא בקופינא דמרא דרב ושמואל סבירא להו יש בנין וסתירה בכלים. הוא הדין דיש להוכיח כן מר' יוחנן גופי'] ומתניתין דביצה מתרץ ר' יוחנן בשל חדקי דרבנן מותר משום שמחת יום טוב: </w:t>
      </w:r>
    </w:p>
    <w:p w14:paraId="11FCA7F1" w14:textId="77777777" w:rsidR="000F6808" w:rsidRPr="00111645" w:rsidRDefault="000F6808" w:rsidP="000F6808">
      <w:pPr>
        <w:pStyle w:val="afffff5"/>
        <w:rPr>
          <w:rtl/>
        </w:rPr>
      </w:pPr>
      <w:r w:rsidRPr="00111645">
        <w:rPr>
          <w:rtl/>
        </w:rPr>
        <w:t xml:space="preserve">ו) וכל זה ר' יוחנן לשיטתו. אבל לדידן דקיימא לן אין בנין וסתירה בכלים חזרת מנורה של חוליות אף דמיהדק כל שלא תקע פטור אבל אסור. ואם הי' רפוי מותר כרבן שמעון בן גמליאל. וטלטול לעולם מותר: </w:t>
      </w:r>
    </w:p>
    <w:p w14:paraId="24C379B5" w14:textId="77777777" w:rsidR="000F6808" w:rsidRDefault="000F6808" w:rsidP="000F6808">
      <w:pPr>
        <w:pStyle w:val="affff5"/>
        <w:rPr>
          <w:rtl/>
        </w:rPr>
      </w:pPr>
      <w:r>
        <w:rPr>
          <w:rFonts w:hint="cs"/>
          <w:rtl/>
        </w:rPr>
        <w:t>~~~~~~~~~~~~~~~~~~~~~~~~~~~~</w:t>
      </w:r>
    </w:p>
    <w:p w14:paraId="7A20CE38" w14:textId="77777777" w:rsidR="000F6808" w:rsidRDefault="000F6808" w:rsidP="000F6808">
      <w:pPr>
        <w:pStyle w:val="affff5"/>
        <w:rPr>
          <w:rtl/>
        </w:rPr>
      </w:pPr>
      <w:bookmarkStart w:id="6277" w:name="_Toc143614371"/>
      <w:bookmarkStart w:id="6278" w:name="_Toc145222988"/>
      <w:bookmarkStart w:id="6279" w:name="_Toc145487181"/>
      <w:r>
        <w:rPr>
          <w:rFonts w:hint="cs"/>
          <w:rtl/>
        </w:rPr>
        <w:t>בבונה דיצירת דבר חדש אף בכלי וארעי</w:t>
      </w:r>
      <w:bookmarkEnd w:id="6277"/>
      <w:bookmarkEnd w:id="6278"/>
      <w:bookmarkEnd w:id="6279"/>
      <w:r w:rsidRPr="007220A9">
        <w:rPr>
          <w:vanish/>
          <w:rtl/>
        </w:rPr>
        <w:t>&lt; # =</w:t>
      </w:r>
    </w:p>
    <w:p w14:paraId="579446C2" w14:textId="77777777" w:rsidR="000F6808" w:rsidRDefault="000F6808" w:rsidP="000F6808">
      <w:pPr>
        <w:pStyle w:val="1"/>
        <w:rPr>
          <w:rtl/>
        </w:rPr>
      </w:pPr>
      <w:bookmarkStart w:id="6280" w:name="_Toc143614376"/>
      <w:bookmarkStart w:id="6281" w:name="_Toc145222993"/>
      <w:bookmarkStart w:id="6282" w:name="_Toc145487182"/>
      <w:r>
        <w:rPr>
          <w:rFonts w:hint="cs"/>
          <w:rtl/>
        </w:rPr>
        <w:t>בי' החזו"א דיצירה מחלקים שאינם כלי בונה אף ברפוי וארעי</w:t>
      </w:r>
      <w:bookmarkEnd w:id="6280"/>
      <w:bookmarkEnd w:id="6281"/>
      <w:bookmarkEnd w:id="6282"/>
    </w:p>
    <w:p w14:paraId="6E6B6999" w14:textId="77777777" w:rsidR="000F6808" w:rsidRPr="00FC269C" w:rsidRDefault="000F6808" w:rsidP="000F6808">
      <w:pPr>
        <w:pStyle w:val="afffff7"/>
        <w:rPr>
          <w:rtl/>
        </w:rPr>
      </w:pPr>
      <w:bookmarkStart w:id="6283" w:name="_Toc143620486"/>
      <w:bookmarkStart w:id="6284" w:name="_Toc145198450"/>
      <w:bookmarkStart w:id="6285" w:name="_Toc145500881"/>
      <w:bookmarkStart w:id="6286" w:name="_Toc163506421"/>
      <w:r w:rsidRPr="00FC269C">
        <w:rPr>
          <w:rtl/>
        </w:rPr>
        <w:t xml:space="preserve">חזון איש </w:t>
      </w:r>
      <w:r w:rsidRPr="00FC269C">
        <w:rPr>
          <w:rFonts w:hint="cs"/>
          <w:rtl/>
        </w:rPr>
        <w:t>או"ח סי'</w:t>
      </w:r>
      <w:r w:rsidRPr="00FC269C">
        <w:rPr>
          <w:rtl/>
        </w:rPr>
        <w:t xml:space="preserve"> נ</w:t>
      </w:r>
      <w:r w:rsidRPr="00FC269C">
        <w:rPr>
          <w:rFonts w:hint="cs"/>
          <w:rtl/>
        </w:rPr>
        <w:t>' סק"ט ד"ה והנה אמרו</w:t>
      </w:r>
      <w:bookmarkEnd w:id="6283"/>
      <w:bookmarkEnd w:id="6284"/>
      <w:bookmarkEnd w:id="6285"/>
      <w:bookmarkEnd w:id="6286"/>
    </w:p>
    <w:p w14:paraId="29BF0CB8" w14:textId="77777777" w:rsidR="000F6808" w:rsidRDefault="000F6808" w:rsidP="000F6808">
      <w:pPr>
        <w:pStyle w:val="a7"/>
        <w:rPr>
          <w:rtl/>
        </w:rPr>
      </w:pPr>
      <w:bookmarkStart w:id="6287" w:name="_Toc143614377"/>
      <w:bookmarkStart w:id="6288" w:name="_Toc145222994"/>
      <w:bookmarkStart w:id="6289" w:name="_Toc145487183"/>
      <w:r>
        <w:rPr>
          <w:rFonts w:hint="cs"/>
          <w:rtl/>
        </w:rPr>
        <w:t>בי' החזו"א דחיבור ב' חלקים לדבר א' דהשימוש הוא רק בחיבור הוי בונה אף ברפוי דיצר כלי</w:t>
      </w:r>
      <w:bookmarkEnd w:id="6287"/>
      <w:bookmarkEnd w:id="6288"/>
      <w:bookmarkEnd w:id="6289"/>
    </w:p>
    <w:p w14:paraId="2157A552" w14:textId="7DAB74CD" w:rsidR="000F6808" w:rsidRDefault="000F6808" w:rsidP="000F6808">
      <w:pPr>
        <w:pStyle w:val="a3"/>
      </w:pPr>
      <w:r>
        <w:rPr>
          <w:rFonts w:hint="cs"/>
          <w:rtl/>
        </w:rPr>
        <w:t xml:space="preserve">כתב </w:t>
      </w:r>
      <w:r w:rsidRPr="001A2014">
        <w:rPr>
          <w:rStyle w:val="aff4"/>
          <w:rFonts w:hint="cs"/>
          <w:vanish/>
          <w:rtl/>
        </w:rPr>
        <w:t>-</w:t>
      </w:r>
      <w:r w:rsidRPr="001A2014">
        <w:rPr>
          <w:rStyle w:val="aff4"/>
          <w:rFonts w:hint="cs"/>
          <w:rtl/>
        </w:rPr>
        <w:t>ה</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Ref142899397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לח)</w:t>
      </w:r>
      <w:r w:rsidRPr="00FF7D8F">
        <w:rPr>
          <w:rStyle w:val="aff4"/>
          <w:vanish/>
          <w:rtl/>
        </w:rPr>
        <w:fldChar w:fldCharType="end"/>
      </w:r>
      <w:r w:rsidRPr="00FF7D8F">
        <w:rPr>
          <w:rStyle w:val="aff4"/>
          <w:rFonts w:hint="cs"/>
          <w:vanish/>
          <w:rtl/>
        </w:rPr>
        <w:t xml:space="preserve"> &gt;</w:t>
      </w:r>
      <w:r w:rsidRPr="001A2014">
        <w:rPr>
          <w:rStyle w:val="aff4"/>
          <w:rFonts w:hint="cs"/>
          <w:rtl/>
        </w:rPr>
        <w:t>חזו"א</w:t>
      </w:r>
      <w:r w:rsidRPr="001A2014">
        <w:rPr>
          <w:rStyle w:val="aff4"/>
          <w:rFonts w:hint="cs"/>
          <w:vanish/>
          <w:rtl/>
        </w:rPr>
        <w:t>-</w:t>
      </w:r>
      <w:r>
        <w:rPr>
          <w:rFonts w:hint="cs"/>
          <w:rtl/>
        </w:rPr>
        <w:t xml:space="preserve"> </w:t>
      </w:r>
      <w:r w:rsidRPr="00C962CD">
        <w:rPr>
          <w:rStyle w:val="af2"/>
          <w:rFonts w:eastAsia="Guttman Hodes" w:hint="cs"/>
          <w:rtl/>
        </w:rPr>
        <w:t>(או"ח סי' נ' סק"ט ד"ה והנה אמרו)</w:t>
      </w:r>
      <w:r w:rsidRPr="001A2014">
        <w:rPr>
          <w:rFonts w:hint="cs"/>
          <w:vanish/>
          <w:rtl/>
        </w:rPr>
        <w:t>=</w:t>
      </w:r>
      <w:r>
        <w:rPr>
          <w:rFonts w:hint="cs"/>
          <w:rtl/>
        </w:rPr>
        <w:t xml:space="preserve"> דלענין קנה של סיידין בפשטות משמע בגמ' לעיל </w:t>
      </w:r>
      <w:r w:rsidRPr="00C962CD">
        <w:rPr>
          <w:rStyle w:val="af2"/>
          <w:rFonts w:eastAsia="Guttman Hodes" w:hint="cs"/>
          <w:rtl/>
        </w:rPr>
        <w:t>(מז.)</w:t>
      </w:r>
      <w:r>
        <w:rPr>
          <w:rFonts w:hint="cs"/>
          <w:rtl/>
        </w:rPr>
        <w:t xml:space="preserve"> דאף בתוקע בחוזק פטור, כיון שמחבר ב' דברים שכ"א הוא דבר בפנ"ע, שיש שימוש בקנה קצר לטיח נמוך, וכשמוסיף על הקנה יש בו דשימוש לטיח גבוה, והוא כמעמיד כלי ע"ג כלי ולא הוי בונה, אבל כשמחבר ב' דברים שאין להם שימוש בפנ"ע, ורק ע"י החיבור יש בהם שימוש לעולם חייב אף ברפוי, אך כתב </w:t>
      </w:r>
      <w:r w:rsidRPr="001A2014">
        <w:rPr>
          <w:rStyle w:val="aff4"/>
          <w:rFonts w:hint="cs"/>
          <w:vanish/>
          <w:rtl/>
        </w:rPr>
        <w:t>-</w:t>
      </w:r>
      <w:r w:rsidRPr="001A2014">
        <w:rPr>
          <w:rStyle w:val="aff4"/>
          <w:rFonts w:hint="cs"/>
          <w:rtl/>
        </w:rPr>
        <w:t>החזו"א</w:t>
      </w:r>
      <w:r w:rsidRPr="001A2014">
        <w:rPr>
          <w:rStyle w:val="aff4"/>
          <w:rFonts w:hint="cs"/>
          <w:vanish/>
          <w:rtl/>
        </w:rPr>
        <w:t>-</w:t>
      </w:r>
      <w:r>
        <w:rPr>
          <w:rFonts w:hint="cs"/>
          <w:rtl/>
        </w:rPr>
        <w:t xml:space="preserve"> דמדברי </w:t>
      </w:r>
      <w:r w:rsidRPr="001A2014">
        <w:rPr>
          <w:rStyle w:val="aff4"/>
          <w:rFonts w:hint="cs"/>
          <w:vanish/>
          <w:rtl/>
        </w:rPr>
        <w:t>-</w:t>
      </w:r>
      <w:r w:rsidRPr="001A2014">
        <w:rPr>
          <w:rStyle w:val="aff4"/>
          <w:rFonts w:hint="cs"/>
          <w:rtl/>
        </w:rPr>
        <w:t>הרמב"ן</w:t>
      </w:r>
      <w:r w:rsidRPr="001A2014">
        <w:rPr>
          <w:rStyle w:val="aff4"/>
          <w:rFonts w:hint="cs"/>
          <w:vanish/>
          <w:rtl/>
        </w:rPr>
        <w:t>-</w:t>
      </w:r>
      <w:r w:rsidRPr="001A2014">
        <w:rPr>
          <w:rStyle w:val="aff4"/>
          <w:rFonts w:hint="cs"/>
          <w:rtl/>
        </w:rPr>
        <w:t xml:space="preserve"> </w:t>
      </w:r>
      <w:r w:rsidRPr="00C962CD">
        <w:rPr>
          <w:rStyle w:val="af2"/>
          <w:rFonts w:eastAsia="Guttman Hodes" w:hint="cs"/>
          <w:rtl/>
        </w:rPr>
        <w:t>(מז. ד"ה הא)</w:t>
      </w:r>
      <w:r>
        <w:rPr>
          <w:rFonts w:hint="cs"/>
          <w:rtl/>
        </w:rPr>
        <w:t xml:space="preserve"> </w:t>
      </w:r>
      <w:r w:rsidRPr="001A2014">
        <w:rPr>
          <w:rStyle w:val="aff4"/>
          <w:rFonts w:hint="cs"/>
          <w:vanish/>
          <w:rtl/>
        </w:rPr>
        <w:t>-</w:t>
      </w:r>
      <w:r w:rsidRPr="001A2014">
        <w:rPr>
          <w:rStyle w:val="aff4"/>
          <w:rFonts w:hint="cs"/>
          <w:rtl/>
        </w:rPr>
        <w:t>והריטב"א</w:t>
      </w:r>
      <w:r w:rsidRPr="001A2014">
        <w:rPr>
          <w:rStyle w:val="aff4"/>
          <w:rFonts w:hint="cs"/>
          <w:vanish/>
          <w:rtl/>
        </w:rPr>
        <w:t>-</w:t>
      </w:r>
      <w:r>
        <w:rPr>
          <w:rFonts w:hint="cs"/>
          <w:rtl/>
        </w:rPr>
        <w:t xml:space="preserve"> </w:t>
      </w:r>
      <w:r w:rsidRPr="00C962CD">
        <w:rPr>
          <w:rStyle w:val="af2"/>
          <w:rFonts w:eastAsia="Guttman Hodes" w:hint="cs"/>
          <w:rtl/>
        </w:rPr>
        <w:t>(מז. ד"ה מיתיבי)</w:t>
      </w:r>
      <w:r>
        <w:rPr>
          <w:rFonts w:hint="cs"/>
          <w:rtl/>
        </w:rPr>
        <w:t xml:space="preserve"> משמע דאף בקנה של סיידין אם תקע בחוזק חייב.</w:t>
      </w:r>
    </w:p>
    <w:p w14:paraId="3A6DF04A" w14:textId="77777777" w:rsidR="000F6808" w:rsidRPr="00111645" w:rsidRDefault="000F6808" w:rsidP="000F6808">
      <w:pPr>
        <w:pStyle w:val="a2"/>
        <w:rPr>
          <w:rtl/>
        </w:rPr>
      </w:pPr>
      <w:r w:rsidRPr="00111645">
        <w:rPr>
          <w:rtl/>
        </w:rPr>
        <w:t>והנה אמרו שבת מ"ז א' דקנה של סיידין לא יחזיר ואם החזיר פטור אבל אסור, ולכאורה תני קנה של סיידין דומיא דמנורה דרישא דאיירי בתקע ואפ"ה בקנה סיידין פטור, וטעמא דבמנורה עיקר תשמישה במורכבת ופירוקה אינו בשביל תשמיש אלא לסיבה אחרת, אבל קנה של סיידין יש לו ב' תשמישים דבמקום נמוך אין ראוי קנה ארוך ובמקום גבוה אין ראוי קנה קצר והלכך כשמאריכו לפי שעה אף שתקעו חשיב כהעמיד כלי ע"ג כלי כדי להגיע למקום גבוה ולא נחית עלי' שם קנה ארוך, אבל מדברי הרמב"ן והריטב"א נראה דאורחא דמלתא נקט דקני מנורה תוקען וקנה סיידין כיון דצריך לפורקו תמיד אינו תוקעו בחוזק, אבל כל שתקעו חייב חטאת, וכן מוכח מהא דמטה של טרסיים דאע"ג דעומדת לפורקה מ"מ אם תקע חייב חטאת.</w:t>
      </w:r>
    </w:p>
    <w:p w14:paraId="26A814E3" w14:textId="77777777" w:rsidR="000F6808" w:rsidRPr="00FC269C" w:rsidRDefault="000F6808" w:rsidP="000F6808">
      <w:pPr>
        <w:pStyle w:val="afffff7"/>
        <w:rPr>
          <w:rtl/>
        </w:rPr>
      </w:pPr>
      <w:bookmarkStart w:id="6290" w:name="_Toc143620487"/>
      <w:bookmarkStart w:id="6291" w:name="_Toc145198451"/>
      <w:bookmarkStart w:id="6292" w:name="_Toc145500882"/>
      <w:bookmarkStart w:id="6293" w:name="_Toc163506422"/>
      <w:r w:rsidRPr="00FC269C">
        <w:rPr>
          <w:rtl/>
        </w:rPr>
        <w:t xml:space="preserve">חזון איש </w:t>
      </w:r>
      <w:r w:rsidRPr="00FC269C">
        <w:rPr>
          <w:rFonts w:hint="cs"/>
          <w:rtl/>
        </w:rPr>
        <w:t>או"ח סי'</w:t>
      </w:r>
      <w:r w:rsidRPr="00FC269C">
        <w:rPr>
          <w:rtl/>
        </w:rPr>
        <w:t xml:space="preserve"> נ</w:t>
      </w:r>
      <w:r w:rsidRPr="00FC269C">
        <w:rPr>
          <w:rFonts w:hint="cs"/>
          <w:rtl/>
        </w:rPr>
        <w:t>' סק"ט ד"ה ובפתיחת</w:t>
      </w:r>
      <w:bookmarkEnd w:id="6290"/>
      <w:bookmarkEnd w:id="6291"/>
      <w:bookmarkEnd w:id="6292"/>
      <w:bookmarkEnd w:id="6293"/>
    </w:p>
    <w:p w14:paraId="1935FF51" w14:textId="77777777" w:rsidR="000F6808" w:rsidRPr="008A5381" w:rsidRDefault="000F6808" w:rsidP="000F6808">
      <w:pPr>
        <w:pStyle w:val="a7"/>
        <w:rPr>
          <w:rtl/>
        </w:rPr>
      </w:pPr>
      <w:bookmarkStart w:id="6294" w:name="_Toc143614378"/>
      <w:bookmarkStart w:id="6295" w:name="_Toc145222995"/>
      <w:bookmarkStart w:id="6296" w:name="_Toc145487184"/>
      <w:r>
        <w:rPr>
          <w:rFonts w:hint="cs"/>
          <w:rtl/>
        </w:rPr>
        <w:t>בי' החזו"א דבמחבר ב' דברים שכ"א יש לו שימוש בפנ"ע אין החיבור מחשיב לד"א ול"ה בונה</w:t>
      </w:r>
      <w:bookmarkEnd w:id="6294"/>
      <w:bookmarkEnd w:id="6295"/>
      <w:bookmarkEnd w:id="6296"/>
    </w:p>
    <w:p w14:paraId="47907867" w14:textId="53CDD3FC" w:rsidR="000F6808" w:rsidRDefault="000F6808" w:rsidP="000F6808">
      <w:pPr>
        <w:pStyle w:val="a3"/>
      </w:pPr>
      <w:r>
        <w:rPr>
          <w:rFonts w:hint="cs"/>
          <w:rtl/>
        </w:rPr>
        <w:t xml:space="preserve">וכתב </w:t>
      </w:r>
      <w:r w:rsidRPr="001A2014">
        <w:rPr>
          <w:rStyle w:val="aff4"/>
          <w:rFonts w:hint="cs"/>
          <w:vanish/>
          <w:rtl/>
        </w:rPr>
        <w:t>-</w:t>
      </w:r>
      <w:r w:rsidRPr="001A2014">
        <w:rPr>
          <w:rStyle w:val="aff4"/>
          <w:rFonts w:hint="cs"/>
          <w:rtl/>
        </w:rPr>
        <w:t>ה</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Ref143159367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לט)</w:t>
      </w:r>
      <w:r w:rsidRPr="00FF7D8F">
        <w:rPr>
          <w:rStyle w:val="aff4"/>
          <w:vanish/>
          <w:rtl/>
        </w:rPr>
        <w:fldChar w:fldCharType="end"/>
      </w:r>
      <w:r w:rsidRPr="00FF7D8F">
        <w:rPr>
          <w:rStyle w:val="aff4"/>
          <w:rFonts w:hint="cs"/>
          <w:vanish/>
          <w:rtl/>
        </w:rPr>
        <w:t xml:space="preserve"> &gt;</w:t>
      </w:r>
      <w:r w:rsidRPr="001A2014">
        <w:rPr>
          <w:rStyle w:val="aff4"/>
          <w:rFonts w:hint="cs"/>
          <w:rtl/>
        </w:rPr>
        <w:t>חזו"א</w:t>
      </w:r>
      <w:r w:rsidRPr="001A2014">
        <w:rPr>
          <w:rStyle w:val="aff4"/>
          <w:rFonts w:hint="cs"/>
          <w:vanish/>
          <w:rtl/>
        </w:rPr>
        <w:t>-</w:t>
      </w:r>
      <w:r>
        <w:rPr>
          <w:rFonts w:hint="cs"/>
          <w:rtl/>
        </w:rPr>
        <w:t xml:space="preserve"> </w:t>
      </w:r>
      <w:r w:rsidRPr="00C962CD">
        <w:rPr>
          <w:rStyle w:val="af2"/>
          <w:rFonts w:eastAsia="Guttman Hodes" w:hint="cs"/>
          <w:rtl/>
        </w:rPr>
        <w:t>(או"ח סי' נ' סק"ט ד"ה ובפתיחת)</w:t>
      </w:r>
      <w:r w:rsidRPr="001A2014">
        <w:rPr>
          <w:rFonts w:hint="cs"/>
          <w:vanish/>
          <w:rtl/>
        </w:rPr>
        <w:t>=</w:t>
      </w:r>
      <w:r>
        <w:rPr>
          <w:rFonts w:hint="cs"/>
          <w:rtl/>
        </w:rPr>
        <w:t xml:space="preserve"> דאף אי נימא דהחיוב בקנה של סיידין הוא רק מדרבנן, </w:t>
      </w:r>
      <w:r w:rsidRPr="00030A4D">
        <w:rPr>
          <w:rStyle w:val="af"/>
          <w:rFonts w:hint="cs"/>
          <w:rtl/>
        </w:rPr>
        <w:t xml:space="preserve">[ודלא </w:t>
      </w:r>
      <w:r w:rsidRPr="00030A4D">
        <w:rPr>
          <w:rStyle w:val="aff9"/>
          <w:rFonts w:hint="cs"/>
          <w:vanish/>
          <w:rtl/>
        </w:rPr>
        <w:t>-</w:t>
      </w:r>
      <w:r w:rsidRPr="00030A4D">
        <w:rPr>
          <w:rStyle w:val="aff9"/>
          <w:rFonts w:hint="cs"/>
          <w:rtl/>
        </w:rPr>
        <w:t>כרמב"ן והריטב"א</w:t>
      </w:r>
      <w:r w:rsidRPr="00030A4D">
        <w:rPr>
          <w:rStyle w:val="aff9"/>
          <w:rFonts w:hint="cs"/>
          <w:vanish/>
          <w:rtl/>
        </w:rPr>
        <w:t>-</w:t>
      </w:r>
      <w:r w:rsidRPr="00030A4D">
        <w:rPr>
          <w:rStyle w:val="af"/>
          <w:rFonts w:hint="cs"/>
          <w:rtl/>
        </w:rPr>
        <w:t xml:space="preserve"> </w:t>
      </w:r>
      <w:r w:rsidRPr="00C962CD">
        <w:rPr>
          <w:rStyle w:val="aff0"/>
          <w:rFonts w:hint="cs"/>
          <w:rtl/>
        </w:rPr>
        <w:t xml:space="preserve">(עי' אות </w:t>
      </w:r>
      <w:r w:rsidRPr="00C962CD">
        <w:rPr>
          <w:rStyle w:val="aff0"/>
          <w:rtl/>
        </w:rPr>
        <w:fldChar w:fldCharType="begin"/>
      </w:r>
      <w:r w:rsidRPr="00C962CD">
        <w:rPr>
          <w:rStyle w:val="aff0"/>
          <w:rtl/>
        </w:rPr>
        <w:instrText xml:space="preserve"> </w:instrText>
      </w:r>
      <w:r w:rsidRPr="00C962CD">
        <w:rPr>
          <w:rStyle w:val="aff0"/>
          <w:rFonts w:hint="cs"/>
        </w:rPr>
        <w:instrText>REF</w:instrText>
      </w:r>
      <w:r w:rsidRPr="00C962CD">
        <w:rPr>
          <w:rStyle w:val="aff0"/>
          <w:rFonts w:hint="cs"/>
          <w:rtl/>
        </w:rPr>
        <w:instrText xml:space="preserve"> _</w:instrText>
      </w:r>
      <w:r w:rsidRPr="00C962CD">
        <w:rPr>
          <w:rStyle w:val="aff0"/>
          <w:rFonts w:hint="cs"/>
        </w:rPr>
        <w:instrText>Ref143161507 \r \h</w:instrText>
      </w:r>
      <w:r w:rsidRPr="00C962CD">
        <w:rPr>
          <w:rStyle w:val="aff0"/>
          <w:rtl/>
        </w:rPr>
        <w:instrText xml:space="preserve"> </w:instrText>
      </w:r>
      <w:r w:rsidRPr="00C962CD">
        <w:rPr>
          <w:rStyle w:val="aff0"/>
          <w:rtl/>
        </w:rPr>
      </w:r>
      <w:r w:rsidRPr="00C962CD">
        <w:rPr>
          <w:rStyle w:val="aff0"/>
          <w:rtl/>
        </w:rPr>
        <w:fldChar w:fldCharType="separate"/>
      </w:r>
      <w:r w:rsidR="00D82181">
        <w:rPr>
          <w:rStyle w:val="aff0"/>
          <w:cs/>
        </w:rPr>
        <w:t>‎</w:t>
      </w:r>
      <w:r w:rsidR="00D82181">
        <w:rPr>
          <w:rStyle w:val="aff0"/>
          <w:rtl/>
        </w:rPr>
        <w:t>לח)</w:t>
      </w:r>
      <w:r w:rsidRPr="00C962CD">
        <w:rPr>
          <w:rStyle w:val="aff0"/>
          <w:rtl/>
        </w:rPr>
        <w:fldChar w:fldCharType="end"/>
      </w:r>
      <w:r w:rsidRPr="00030A4D">
        <w:rPr>
          <w:rStyle w:val="af"/>
          <w:rFonts w:hint="cs"/>
          <w:rtl/>
        </w:rPr>
        <w:t>]</w:t>
      </w:r>
      <w:r w:rsidRPr="006D12D1">
        <w:rPr>
          <w:rStyle w:val="af"/>
          <w:rFonts w:hint="cs"/>
          <w:rtl/>
        </w:rPr>
        <w:t>,</w:t>
      </w:r>
      <w:r w:rsidRPr="00C935FA">
        <w:rPr>
          <w:rtl/>
        </w:rPr>
        <w:t xml:space="preserve"> </w:t>
      </w:r>
      <w:r>
        <w:rPr>
          <w:rFonts w:hint="cs"/>
          <w:rtl/>
        </w:rPr>
        <w:t xml:space="preserve">היינו כיון שמחבר ב' דברים שכ"א מהם עומד בפנ"ע לצורך פעולה אחת, </w:t>
      </w:r>
      <w:r w:rsidRPr="00030A4D">
        <w:rPr>
          <w:rStyle w:val="af"/>
          <w:rFonts w:hint="cs"/>
          <w:rtl/>
        </w:rPr>
        <w:t>[והוא כמעמיד כלי ע"ג כלי ולא הוי בונה]</w:t>
      </w:r>
      <w:r w:rsidRPr="00EC31FB">
        <w:rPr>
          <w:rStyle w:val="af"/>
          <w:rFonts w:hint="cs"/>
          <w:rtl/>
        </w:rPr>
        <w:t>,</w:t>
      </w:r>
      <w:r>
        <w:rPr>
          <w:rFonts w:hint="cs"/>
          <w:rtl/>
        </w:rPr>
        <w:t xml:space="preserve"> ולכן אף כשתקע בחוזק אין החיבור מחשיבם לדבר אחד, כיון שהוא צריך לפרקם אם ירצה לטוח את הטיח הנמוך.</w:t>
      </w:r>
    </w:p>
    <w:p w14:paraId="0C67E72E" w14:textId="77777777" w:rsidR="000F6808" w:rsidRPr="00111645" w:rsidRDefault="000F6808" w:rsidP="000F6808">
      <w:pPr>
        <w:pStyle w:val="a2"/>
        <w:rPr>
          <w:rtl/>
        </w:rPr>
      </w:pPr>
      <w:r w:rsidRPr="00111645">
        <w:rPr>
          <w:rtl/>
        </w:rPr>
        <w:t>ובפתיחת החשמל שמכניסים הזרם בהחוטין חשיב לעולם כתקע דאף את"ל דקנה של סיידין אף בתקע אינו אלא מדרבנן, היינו דוקא בהרכבה של ב' גשמים שאפשר לחשבן כשנים משתתפין בפעולה אחת אין התקעה מכרעתן לגשם אחד כל שפירוקן נחוץ לטיח של הנמוך</w:t>
      </w:r>
      <w:r w:rsidRPr="00111645">
        <w:rPr>
          <w:rFonts w:hint="cs"/>
          <w:rtl/>
        </w:rPr>
        <w:t>.</w:t>
      </w:r>
    </w:p>
    <w:p w14:paraId="091C886F" w14:textId="77777777" w:rsidR="000F6808" w:rsidRPr="009B21F0" w:rsidRDefault="000F6808" w:rsidP="000F6808">
      <w:pPr>
        <w:pStyle w:val="a7"/>
      </w:pPr>
      <w:bookmarkStart w:id="6297" w:name="_Toc143614379"/>
      <w:bookmarkStart w:id="6298" w:name="_Toc145222996"/>
      <w:bookmarkStart w:id="6299" w:name="_Toc145487185"/>
      <w:r>
        <w:rPr>
          <w:rFonts w:hint="cs"/>
          <w:rtl/>
        </w:rPr>
        <w:t>בי' החזו"א דביוצר צורה לחפץ א"א לפרק את הצורה ואף במחבר לארעי הוי כבונה ואח"כ סותר</w:t>
      </w:r>
      <w:bookmarkEnd w:id="6297"/>
      <w:bookmarkEnd w:id="6298"/>
      <w:bookmarkEnd w:id="6299"/>
    </w:p>
    <w:p w14:paraId="26AAD10F" w14:textId="2F33EFDF" w:rsidR="000F6808" w:rsidRDefault="000F6808" w:rsidP="000F6808">
      <w:pPr>
        <w:pStyle w:val="a3"/>
      </w:pPr>
      <w:r>
        <w:rPr>
          <w:rFonts w:hint="cs"/>
          <w:rtl/>
        </w:rPr>
        <w:t xml:space="preserve">אך כתב </w:t>
      </w:r>
      <w:r w:rsidRPr="001A2014">
        <w:rPr>
          <w:rStyle w:val="aff4"/>
          <w:rFonts w:hint="cs"/>
          <w:vanish/>
          <w:rtl/>
        </w:rPr>
        <w:t>-</w:t>
      </w:r>
      <w:r w:rsidRPr="001A2014">
        <w:rPr>
          <w:rStyle w:val="aff4"/>
          <w:rFonts w:hint="cs"/>
          <w:rtl/>
        </w:rPr>
        <w:t>החזו"א</w:t>
      </w:r>
      <w:r w:rsidRPr="001A2014">
        <w:rPr>
          <w:rStyle w:val="aff4"/>
          <w:rFonts w:hint="cs"/>
          <w:vanish/>
          <w:rtl/>
        </w:rPr>
        <w:t>-</w:t>
      </w:r>
      <w:r>
        <w:rPr>
          <w:rFonts w:hint="cs"/>
          <w:rtl/>
        </w:rPr>
        <w:t xml:space="preserve"> דבדבר שע"י חיבורו נעשה צורה לחפץ ועי"ז יש בו שימוש, ודאי דחשיב בונה, והחיוב בזה הוא אף בבנין לשעה, וביאר </w:t>
      </w:r>
      <w:r w:rsidRPr="001A2014">
        <w:rPr>
          <w:rStyle w:val="aff4"/>
          <w:rFonts w:hint="cs"/>
          <w:vanish/>
          <w:rtl/>
        </w:rPr>
        <w:t>-</w:t>
      </w:r>
      <w:r w:rsidRPr="001A2014">
        <w:rPr>
          <w:rStyle w:val="aff4"/>
          <w:rFonts w:hint="cs"/>
          <w:rtl/>
        </w:rPr>
        <w:t>החזו"א</w:t>
      </w:r>
      <w:r w:rsidRPr="001A2014">
        <w:rPr>
          <w:rStyle w:val="aff4"/>
          <w:rFonts w:hint="cs"/>
          <w:vanish/>
          <w:rtl/>
        </w:rPr>
        <w:t>-</w:t>
      </w:r>
      <w:r>
        <w:rPr>
          <w:rFonts w:hint="cs"/>
          <w:rtl/>
        </w:rPr>
        <w:t xml:space="preserve"> דאחר שחיברם לדבר אחד ועשה צורה לחפץ, א"א להפריד את הצורה שעשה כבר, וכשמפרק אח"כ חשיב שהפריד מכאן ולהבא, וכ"ש אי אמרינן דאף בקנה של סיידין חייב בתקע בחוזק, </w:t>
      </w:r>
      <w:r w:rsidRPr="00030A4D">
        <w:rPr>
          <w:rStyle w:val="af"/>
          <w:rFonts w:hint="cs"/>
          <w:rtl/>
        </w:rPr>
        <w:t xml:space="preserve">[כדעת </w:t>
      </w:r>
      <w:r w:rsidRPr="00030A4D">
        <w:rPr>
          <w:rStyle w:val="aff9"/>
          <w:rFonts w:hint="cs"/>
          <w:vanish/>
          <w:rtl/>
        </w:rPr>
        <w:t>-</w:t>
      </w:r>
      <w:r w:rsidRPr="00030A4D">
        <w:rPr>
          <w:rStyle w:val="aff9"/>
          <w:rFonts w:hint="cs"/>
          <w:rtl/>
        </w:rPr>
        <w:t>הרמב"ן והריטב"א</w:t>
      </w:r>
      <w:r w:rsidRPr="00030A4D">
        <w:rPr>
          <w:rStyle w:val="aff9"/>
          <w:rFonts w:hint="cs"/>
          <w:vanish/>
          <w:rtl/>
        </w:rPr>
        <w:t>-</w:t>
      </w:r>
      <w:r w:rsidRPr="00030A4D">
        <w:rPr>
          <w:rStyle w:val="af"/>
          <w:rFonts w:hint="cs"/>
          <w:rtl/>
        </w:rPr>
        <w:t xml:space="preserve"> </w:t>
      </w:r>
      <w:r w:rsidRPr="00C962CD">
        <w:rPr>
          <w:rStyle w:val="aff0"/>
          <w:rFonts w:hint="cs"/>
          <w:rtl/>
        </w:rPr>
        <w:t xml:space="preserve">(עי' אות </w:t>
      </w:r>
      <w:r w:rsidRPr="00C962CD">
        <w:rPr>
          <w:rStyle w:val="aff0"/>
          <w:rtl/>
        </w:rPr>
        <w:fldChar w:fldCharType="begin"/>
      </w:r>
      <w:r w:rsidRPr="00C962CD">
        <w:rPr>
          <w:rStyle w:val="aff0"/>
          <w:rtl/>
        </w:rPr>
        <w:instrText xml:space="preserve"> </w:instrText>
      </w:r>
      <w:r w:rsidRPr="00C962CD">
        <w:rPr>
          <w:rStyle w:val="aff0"/>
          <w:rFonts w:hint="cs"/>
        </w:rPr>
        <w:instrText>REF</w:instrText>
      </w:r>
      <w:r w:rsidRPr="00C962CD">
        <w:rPr>
          <w:rStyle w:val="aff0"/>
          <w:rFonts w:hint="cs"/>
          <w:rtl/>
        </w:rPr>
        <w:instrText xml:space="preserve"> _</w:instrText>
      </w:r>
      <w:r w:rsidRPr="00C962CD">
        <w:rPr>
          <w:rStyle w:val="aff0"/>
          <w:rFonts w:hint="cs"/>
        </w:rPr>
        <w:instrText>Ref143161507 \r \h</w:instrText>
      </w:r>
      <w:r w:rsidRPr="00C962CD">
        <w:rPr>
          <w:rStyle w:val="aff0"/>
          <w:rtl/>
        </w:rPr>
        <w:instrText xml:space="preserve"> </w:instrText>
      </w:r>
      <w:r w:rsidRPr="00C962CD">
        <w:rPr>
          <w:rStyle w:val="aff0"/>
          <w:rtl/>
        </w:rPr>
      </w:r>
      <w:r w:rsidRPr="00C962CD">
        <w:rPr>
          <w:rStyle w:val="aff0"/>
          <w:rtl/>
        </w:rPr>
        <w:fldChar w:fldCharType="separate"/>
      </w:r>
      <w:r w:rsidR="00D82181">
        <w:rPr>
          <w:rStyle w:val="aff0"/>
          <w:cs/>
        </w:rPr>
        <w:t>‎</w:t>
      </w:r>
      <w:r w:rsidR="00D82181">
        <w:rPr>
          <w:rStyle w:val="aff0"/>
          <w:rtl/>
        </w:rPr>
        <w:t>לח)</w:t>
      </w:r>
      <w:r w:rsidRPr="00C962CD">
        <w:rPr>
          <w:rStyle w:val="aff0"/>
          <w:rtl/>
        </w:rPr>
        <w:fldChar w:fldCharType="end"/>
      </w:r>
      <w:r w:rsidRPr="00030A4D">
        <w:rPr>
          <w:rStyle w:val="af"/>
          <w:rFonts w:hint="cs"/>
          <w:rtl/>
        </w:rPr>
        <w:t>]</w:t>
      </w:r>
      <w:r w:rsidRPr="006D12D1">
        <w:rPr>
          <w:rStyle w:val="af"/>
          <w:rFonts w:hint="cs"/>
          <w:rtl/>
        </w:rPr>
        <w:t>,</w:t>
      </w:r>
      <w:r w:rsidRPr="00C935FA">
        <w:rPr>
          <w:rtl/>
        </w:rPr>
        <w:t xml:space="preserve"> </w:t>
      </w:r>
      <w:r>
        <w:rPr>
          <w:rFonts w:hint="cs"/>
          <w:rtl/>
        </w:rPr>
        <w:t>דודאי דביוצר צורה מחדש חשיב כבונה ואח"כ סותר.</w:t>
      </w:r>
    </w:p>
    <w:p w14:paraId="0222F1E9" w14:textId="77777777" w:rsidR="000F6808" w:rsidRPr="00111645" w:rsidRDefault="000F6808" w:rsidP="000F6808">
      <w:pPr>
        <w:pStyle w:val="a2"/>
        <w:rPr>
          <w:rtl/>
        </w:rPr>
      </w:pPr>
      <w:r w:rsidRPr="00111645">
        <w:rPr>
          <w:rtl/>
        </w:rPr>
        <w:t>אבל תיקון צורה להגשם ונעשה ע"י זה שימוש, ודאי חשיב בונה, ואף אם השימוש הוא לשעות מיוחדות ואח"כ פוסקו, דהפסיקה הוא מכאן ולהבא והצורה הראשונה אינה בת פירוד מן הגשם, וכש"כ אם גם בקנה של סיידין חייב כשתקע דהכא חייב אע"ג דפוסקו לאחר שעה, ואחרי שהדלקה הוא בנין הכיבוי הוא סותר.</w:t>
      </w:r>
    </w:p>
    <w:p w14:paraId="11A739BC" w14:textId="77777777" w:rsidR="000F6808" w:rsidRPr="00FC269C" w:rsidRDefault="000F6808" w:rsidP="000F6808">
      <w:pPr>
        <w:pStyle w:val="afffff7"/>
        <w:rPr>
          <w:rtl/>
        </w:rPr>
      </w:pPr>
      <w:bookmarkStart w:id="6300" w:name="_Toc143620488"/>
      <w:bookmarkStart w:id="6301" w:name="_Toc145198452"/>
      <w:bookmarkStart w:id="6302" w:name="_Toc145500883"/>
      <w:bookmarkStart w:id="6303" w:name="_Toc163506423"/>
      <w:r w:rsidRPr="00FC269C">
        <w:rPr>
          <w:rtl/>
        </w:rPr>
        <w:t xml:space="preserve">חזון איש </w:t>
      </w:r>
      <w:r w:rsidRPr="00FC269C">
        <w:rPr>
          <w:rFonts w:hint="cs"/>
          <w:rtl/>
        </w:rPr>
        <w:t>או"ח סי'</w:t>
      </w:r>
      <w:r w:rsidRPr="00FC269C">
        <w:rPr>
          <w:rtl/>
        </w:rPr>
        <w:t xml:space="preserve"> נ</w:t>
      </w:r>
      <w:r w:rsidRPr="00FC269C">
        <w:rPr>
          <w:rFonts w:hint="cs"/>
          <w:rtl/>
        </w:rPr>
        <w:t>' סק"ט ד"ה וכן</w:t>
      </w:r>
      <w:bookmarkEnd w:id="6300"/>
      <w:bookmarkEnd w:id="6301"/>
      <w:bookmarkEnd w:id="6302"/>
      <w:bookmarkEnd w:id="6303"/>
    </w:p>
    <w:p w14:paraId="575E9CB7" w14:textId="77777777" w:rsidR="000F6808" w:rsidRPr="005F5946" w:rsidRDefault="000F6808" w:rsidP="000F6808">
      <w:pPr>
        <w:pStyle w:val="a7"/>
        <w:rPr>
          <w:rtl/>
        </w:rPr>
      </w:pPr>
      <w:bookmarkStart w:id="6304" w:name="_Toc143614380"/>
      <w:bookmarkStart w:id="6305" w:name="_Toc145222997"/>
      <w:bookmarkStart w:id="6306" w:name="_Toc145487186"/>
      <w:r>
        <w:rPr>
          <w:rFonts w:hint="cs"/>
          <w:rtl/>
        </w:rPr>
        <w:t>בי' החזו"א דהמשחיז סכין להתלמד ודעתו לפוגמו מיד חשיב כבונה דבנין לשעה הוי בנין</w:t>
      </w:r>
      <w:bookmarkEnd w:id="6304"/>
      <w:bookmarkEnd w:id="6305"/>
      <w:bookmarkEnd w:id="6306"/>
      <w:r>
        <w:rPr>
          <w:rFonts w:hint="cs"/>
          <w:rtl/>
        </w:rPr>
        <w:t xml:space="preserve"> </w:t>
      </w:r>
    </w:p>
    <w:p w14:paraId="63AF0AE5" w14:textId="0CC76BFD" w:rsidR="000F6808" w:rsidRDefault="000F6808" w:rsidP="000F6808">
      <w:pPr>
        <w:pStyle w:val="a3"/>
        <w:rPr>
          <w:rtl/>
        </w:rPr>
      </w:pPr>
      <w:r w:rsidRPr="00C935FA">
        <w:rPr>
          <w:rFonts w:hint="cs"/>
          <w:rtl/>
        </w:rPr>
        <w:lastRenderedPageBreak/>
        <w:t>והוסיף</w:t>
      </w:r>
      <w:r w:rsidRPr="005C0649">
        <w:rPr>
          <w:rtl/>
        </w:rPr>
        <w:t xml:space="preserve"> </w:t>
      </w:r>
      <w:r w:rsidRPr="00D00D72">
        <w:rPr>
          <w:rStyle w:val="aff4"/>
          <w:rFonts w:hint="cs"/>
          <w:vanish/>
          <w:rtl/>
        </w:rPr>
        <w:t>-</w:t>
      </w:r>
      <w:r w:rsidRPr="00C935FA">
        <w:rPr>
          <w:rStyle w:val="aff4"/>
          <w:rFonts w:hint="cs"/>
          <w:rtl/>
        </w:rPr>
        <w:t>ה</w:t>
      </w:r>
      <w:r w:rsidRPr="00D00D72">
        <w:rPr>
          <w:rStyle w:val="aff4"/>
          <w:rFonts w:hint="cs"/>
          <w:vanish/>
          <w:rtl/>
        </w:rPr>
        <w:t xml:space="preserve">&lt;, </w:t>
      </w:r>
      <w:r w:rsidRPr="00D00D72">
        <w:rPr>
          <w:rStyle w:val="aff4"/>
          <w:vanish/>
          <w:rtl/>
        </w:rPr>
        <w:fldChar w:fldCharType="begin"/>
      </w:r>
      <w:r w:rsidRPr="00D00D72">
        <w:rPr>
          <w:rStyle w:val="aff4"/>
          <w:vanish/>
          <w:rtl/>
        </w:rPr>
        <w:instrText xml:space="preserve"> </w:instrText>
      </w:r>
      <w:r w:rsidRPr="00D00D72">
        <w:rPr>
          <w:rStyle w:val="aff4"/>
          <w:rFonts w:hint="cs"/>
          <w:vanish/>
        </w:rPr>
        <w:instrText>REF</w:instrText>
      </w:r>
      <w:r w:rsidRPr="00D00D72">
        <w:rPr>
          <w:rStyle w:val="aff4"/>
          <w:rFonts w:hint="cs"/>
          <w:vanish/>
          <w:rtl/>
        </w:rPr>
        <w:instrText xml:space="preserve"> _</w:instrText>
      </w:r>
      <w:r w:rsidRPr="00D00D72">
        <w:rPr>
          <w:rStyle w:val="aff4"/>
          <w:rFonts w:hint="cs"/>
          <w:vanish/>
        </w:rPr>
        <w:instrText>Ref143595455 \r \h</w:instrText>
      </w:r>
      <w:r w:rsidRPr="00D00D72">
        <w:rPr>
          <w:rStyle w:val="aff4"/>
          <w:vanish/>
          <w:rtl/>
        </w:rPr>
        <w:instrText xml:space="preserve"> </w:instrText>
      </w:r>
      <w:r w:rsidRPr="00D00D72">
        <w:rPr>
          <w:rStyle w:val="aff4"/>
          <w:vanish/>
          <w:rtl/>
        </w:rPr>
      </w:r>
      <w:r w:rsidRPr="00D00D72">
        <w:rPr>
          <w:rStyle w:val="aff4"/>
          <w:vanish/>
          <w:rtl/>
        </w:rPr>
        <w:fldChar w:fldCharType="separate"/>
      </w:r>
      <w:r w:rsidR="00D82181">
        <w:rPr>
          <w:rStyle w:val="aff4"/>
          <w:vanish/>
          <w:cs/>
        </w:rPr>
        <w:t>‎</w:t>
      </w:r>
      <w:r w:rsidR="00D82181">
        <w:rPr>
          <w:rStyle w:val="aff4"/>
          <w:vanish/>
          <w:rtl/>
        </w:rPr>
        <w:t>מא)</w:t>
      </w:r>
      <w:r w:rsidRPr="00D00D72">
        <w:rPr>
          <w:rStyle w:val="aff4"/>
          <w:vanish/>
          <w:rtl/>
        </w:rPr>
        <w:fldChar w:fldCharType="end"/>
      </w:r>
      <w:r w:rsidRPr="00D00D72">
        <w:rPr>
          <w:rStyle w:val="aff4"/>
          <w:rFonts w:hint="cs"/>
          <w:vanish/>
          <w:rtl/>
        </w:rPr>
        <w:t xml:space="preserve"> &gt;</w:t>
      </w:r>
      <w:r w:rsidRPr="00C935FA">
        <w:rPr>
          <w:rStyle w:val="aff4"/>
          <w:rFonts w:hint="cs"/>
          <w:rtl/>
        </w:rPr>
        <w:t>חזו"א</w:t>
      </w:r>
      <w:r w:rsidRPr="00D00D72">
        <w:rPr>
          <w:rStyle w:val="aff4"/>
          <w:rFonts w:hint="cs"/>
          <w:vanish/>
          <w:rtl/>
        </w:rPr>
        <w:t>-</w:t>
      </w:r>
      <w:r w:rsidRPr="001A2014">
        <w:rPr>
          <w:rStyle w:val="aff4"/>
          <w:rFonts w:hint="cs"/>
          <w:rtl/>
        </w:rPr>
        <w:t xml:space="preserve"> </w:t>
      </w:r>
      <w:r w:rsidRPr="00C962CD">
        <w:rPr>
          <w:rStyle w:val="af2"/>
          <w:rFonts w:eastAsia="Guttman Hodes" w:hint="cs"/>
          <w:rtl/>
        </w:rPr>
        <w:t>(או"ח סי' נ' סק"ט ד"ה וכן)</w:t>
      </w:r>
      <w:r w:rsidRPr="00D00D72">
        <w:rPr>
          <w:rFonts w:hint="cs"/>
          <w:vanish/>
          <w:rtl/>
        </w:rPr>
        <w:t>=</w:t>
      </w:r>
      <w:r w:rsidRPr="00C935FA">
        <w:rPr>
          <w:rFonts w:hint="cs"/>
          <w:rtl/>
        </w:rPr>
        <w:t xml:space="preserve"> </w:t>
      </w:r>
      <w:r>
        <w:rPr>
          <w:rFonts w:hint="cs"/>
          <w:rtl/>
        </w:rPr>
        <w:t xml:space="preserve">דהמתלמד להשחיז סכין לשחיטה, וכוונתו לפגום את הסכין מיד לאחר שהשחיזו בלא כל שימוש, מ"מ חשיב כבונה, כיון דבנין לשעה הוי בנין. </w:t>
      </w:r>
      <w:r w:rsidRPr="00030A4D">
        <w:rPr>
          <w:rStyle w:val="af"/>
          <w:rFonts w:hint="cs"/>
          <w:rtl/>
        </w:rPr>
        <w:t>[והיינו דיצר צורה של סכין הראוי לשחיטה, והיצירה היא בנין גמור, ופגימתו אח"כ היא סתירה]</w:t>
      </w:r>
      <w:r w:rsidRPr="00F66E25">
        <w:rPr>
          <w:rStyle w:val="af"/>
          <w:rFonts w:hint="cs"/>
          <w:rtl/>
        </w:rPr>
        <w:t>.</w:t>
      </w:r>
    </w:p>
    <w:p w14:paraId="4D41DB0B" w14:textId="77777777" w:rsidR="000F6808" w:rsidRPr="00D2699E" w:rsidRDefault="000F6808" w:rsidP="000F6808">
      <w:pPr>
        <w:pStyle w:val="a7"/>
        <w:rPr>
          <w:rtl/>
        </w:rPr>
      </w:pPr>
    </w:p>
    <w:p w14:paraId="727D0564" w14:textId="77777777" w:rsidR="000F6808" w:rsidRPr="00111645" w:rsidRDefault="000F6808" w:rsidP="000F6808">
      <w:pPr>
        <w:pStyle w:val="a2"/>
        <w:rPr>
          <w:rtl/>
        </w:rPr>
      </w:pPr>
      <w:r w:rsidRPr="00111645">
        <w:rPr>
          <w:rtl/>
        </w:rPr>
        <w:t>וכן המתלמד השחזת סכין של שחיטה שהעמיד את הסכין לשחוט בו, אע"ג שבדעתו לפוגמו תיכף אחר שחיטה מ"מ חשיב בונה דבנין לשעה חשיב בונה. [א"ה, וע"ע במכתבים בסי' קנ"ו, לסי' שי"ג].</w:t>
      </w:r>
    </w:p>
    <w:p w14:paraId="4144C9B6" w14:textId="77777777" w:rsidR="000F6808" w:rsidRPr="00FC269C" w:rsidRDefault="000F6808" w:rsidP="000F6808">
      <w:pPr>
        <w:pStyle w:val="afffff7"/>
        <w:rPr>
          <w:rtl/>
        </w:rPr>
      </w:pPr>
      <w:bookmarkStart w:id="6307" w:name="_Toc143620489"/>
      <w:bookmarkStart w:id="6308" w:name="_Toc145198453"/>
      <w:bookmarkStart w:id="6309" w:name="_Toc145500884"/>
      <w:bookmarkStart w:id="6310" w:name="_Toc163506424"/>
      <w:r w:rsidRPr="00FC269C">
        <w:rPr>
          <w:rtl/>
        </w:rPr>
        <w:t xml:space="preserve">חזון איש </w:t>
      </w:r>
      <w:r w:rsidRPr="00FC269C">
        <w:rPr>
          <w:rFonts w:hint="cs"/>
          <w:rtl/>
        </w:rPr>
        <w:t>או"ח סי'</w:t>
      </w:r>
      <w:r w:rsidRPr="00FC269C">
        <w:rPr>
          <w:rtl/>
        </w:rPr>
        <w:t xml:space="preserve"> נ</w:t>
      </w:r>
      <w:r w:rsidRPr="00FC269C">
        <w:rPr>
          <w:rFonts w:hint="cs"/>
          <w:rtl/>
        </w:rPr>
        <w:t>' סק"ט ד"ה והא</w:t>
      </w:r>
      <w:bookmarkEnd w:id="6307"/>
      <w:bookmarkEnd w:id="6308"/>
      <w:bookmarkEnd w:id="6309"/>
      <w:bookmarkEnd w:id="6310"/>
    </w:p>
    <w:p w14:paraId="06FB12AD" w14:textId="77777777" w:rsidR="000F6808" w:rsidRPr="00DE37C4" w:rsidRDefault="000F6808" w:rsidP="000F6808">
      <w:pPr>
        <w:pStyle w:val="a7"/>
        <w:rPr>
          <w:rtl/>
        </w:rPr>
      </w:pPr>
      <w:bookmarkStart w:id="6311" w:name="_Toc143614381"/>
      <w:bookmarkStart w:id="6312" w:name="_Toc145222998"/>
      <w:bookmarkStart w:id="6313" w:name="_Toc145487187"/>
      <w:r>
        <w:rPr>
          <w:rFonts w:hint="cs"/>
          <w:rtl/>
        </w:rPr>
        <w:t>בי' החזו"א דבכיסוי כלים דעומדים לפתיחה וסגירה וכ"א כלי בפנ"ע ל"ה בונה ול"ד למרכיב כלי</w:t>
      </w:r>
      <w:bookmarkEnd w:id="6311"/>
      <w:bookmarkEnd w:id="6312"/>
      <w:bookmarkEnd w:id="6313"/>
    </w:p>
    <w:p w14:paraId="69083C3B" w14:textId="2B811EBC" w:rsidR="000F6808" w:rsidRDefault="000F6808" w:rsidP="000F6808">
      <w:pPr>
        <w:pStyle w:val="a3"/>
      </w:pPr>
      <w:r>
        <w:rPr>
          <w:rFonts w:hint="cs"/>
          <w:rtl/>
        </w:rPr>
        <w:t>וכתב</w:t>
      </w:r>
      <w:r w:rsidRPr="005C0649">
        <w:rPr>
          <w:rtl/>
        </w:rPr>
        <w:t xml:space="preserve"> </w:t>
      </w:r>
      <w:r w:rsidRPr="001A2014">
        <w:rPr>
          <w:rStyle w:val="aff4"/>
          <w:rFonts w:hint="cs"/>
          <w:vanish/>
          <w:rtl/>
        </w:rPr>
        <w:t>-</w:t>
      </w:r>
      <w:r w:rsidRPr="00C935FA">
        <w:rPr>
          <w:rStyle w:val="aff4"/>
          <w:rFonts w:hint="cs"/>
          <w:rtl/>
        </w:rPr>
        <w:t>ה</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Ref143159400 \r \h</w:instrText>
      </w:r>
      <w:r w:rsidRPr="00FF7D8F">
        <w:rPr>
          <w:rStyle w:val="aff4"/>
          <w:vanish/>
          <w:rtl/>
        </w:rPr>
        <w:instrText xml:space="preserve">  \* </w:instrText>
      </w:r>
      <w:r w:rsidRPr="00FF7D8F">
        <w:rPr>
          <w:rStyle w:val="aff4"/>
          <w:vanish/>
        </w:rPr>
        <w:instrText>MERGEFORMAT</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מב)</w:t>
      </w:r>
      <w:r w:rsidRPr="00FF7D8F">
        <w:rPr>
          <w:rStyle w:val="aff4"/>
          <w:vanish/>
          <w:rtl/>
        </w:rPr>
        <w:fldChar w:fldCharType="end"/>
      </w:r>
      <w:r w:rsidRPr="00FF7D8F">
        <w:rPr>
          <w:rStyle w:val="aff4"/>
          <w:rFonts w:hint="cs"/>
          <w:vanish/>
          <w:rtl/>
        </w:rPr>
        <w:t xml:space="preserve"> &gt;</w:t>
      </w:r>
      <w:r w:rsidRPr="00C935FA">
        <w:rPr>
          <w:rStyle w:val="aff4"/>
          <w:rFonts w:hint="cs"/>
          <w:rtl/>
        </w:rPr>
        <w:t>חזו"א</w:t>
      </w:r>
      <w:r w:rsidRPr="001A2014">
        <w:rPr>
          <w:rStyle w:val="aff4"/>
          <w:rFonts w:hint="cs"/>
          <w:vanish/>
          <w:rtl/>
        </w:rPr>
        <w:t>-</w:t>
      </w:r>
      <w:r w:rsidRPr="001A2014">
        <w:rPr>
          <w:rStyle w:val="aff4"/>
          <w:rFonts w:hint="cs"/>
          <w:rtl/>
        </w:rPr>
        <w:t xml:space="preserve"> </w:t>
      </w:r>
      <w:r w:rsidRPr="00C962CD">
        <w:rPr>
          <w:rStyle w:val="af2"/>
          <w:rFonts w:eastAsia="Guttman Hodes" w:hint="cs"/>
          <w:rtl/>
        </w:rPr>
        <w:t>(או"ח סי' נ' סק"ט ד"ה והא)</w:t>
      </w:r>
      <w:r w:rsidRPr="00C935FA">
        <w:rPr>
          <w:rFonts w:hint="cs"/>
          <w:vanish/>
          <w:rtl/>
        </w:rPr>
        <w:t>=</w:t>
      </w:r>
      <w:r w:rsidRPr="00C935FA">
        <w:rPr>
          <w:rFonts w:hint="cs"/>
          <w:rtl/>
        </w:rPr>
        <w:t xml:space="preserve"> </w:t>
      </w:r>
      <w:r w:rsidRPr="00C935FA">
        <w:rPr>
          <w:rtl/>
        </w:rPr>
        <w:t>דהא דכתבו</w:t>
      </w:r>
      <w:r w:rsidRPr="001A2014">
        <w:rPr>
          <w:rStyle w:val="aff4"/>
          <w:rtl/>
        </w:rPr>
        <w:t xml:space="preserve"> </w:t>
      </w:r>
      <w:r w:rsidRPr="001A2014">
        <w:rPr>
          <w:rStyle w:val="aff4"/>
          <w:vanish/>
          <w:rtl/>
        </w:rPr>
        <w:t>-</w:t>
      </w:r>
      <w:r w:rsidRPr="00C935FA">
        <w:rPr>
          <w:rStyle w:val="aff4"/>
          <w:rtl/>
        </w:rPr>
        <w:t>ה</w:t>
      </w:r>
      <w:r w:rsidRPr="00FF7D8F">
        <w:rPr>
          <w:rStyle w:val="aff4"/>
          <w:rFonts w:hint="cs"/>
          <w:vanish/>
          <w:rtl/>
        </w:rPr>
        <w:t>&lt; &gt;</w:t>
      </w:r>
      <w:r w:rsidRPr="00C935FA">
        <w:rPr>
          <w:rStyle w:val="aff4"/>
          <w:rtl/>
        </w:rPr>
        <w:t>מג"א</w:t>
      </w:r>
      <w:r w:rsidRPr="0084044B">
        <w:rPr>
          <w:vanish/>
          <w:rtl/>
        </w:rPr>
        <w:t>-</w:t>
      </w:r>
      <w:r w:rsidRPr="00C935FA">
        <w:rPr>
          <w:rStyle w:val="aff4"/>
          <w:rtl/>
        </w:rPr>
        <w:t xml:space="preserve"> </w:t>
      </w:r>
      <w:r w:rsidRPr="00C962CD">
        <w:rPr>
          <w:rStyle w:val="af2"/>
          <w:rFonts w:eastAsia="Guttman Hodes" w:hint="cs"/>
          <w:rtl/>
        </w:rPr>
        <w:t>(סי' שי"ג סקי"ב)</w:t>
      </w:r>
      <w:r w:rsidRPr="00DE442A">
        <w:rPr>
          <w:rFonts w:hint="cs"/>
          <w:vanish/>
          <w:rtl/>
        </w:rPr>
        <w:t xml:space="preserve"> </w:t>
      </w:r>
      <w:r w:rsidRPr="00C935FA">
        <w:rPr>
          <w:rFonts w:hint="cs"/>
          <w:vanish/>
          <w:rtl/>
        </w:rPr>
        <w:t>=</w:t>
      </w:r>
      <w:r>
        <w:rPr>
          <w:rStyle w:val="aff4"/>
          <w:rFonts w:hint="cs"/>
          <w:rtl/>
        </w:rPr>
        <w:t xml:space="preserve"> </w:t>
      </w:r>
      <w:r w:rsidRPr="0084044B">
        <w:rPr>
          <w:vanish/>
          <w:rtl/>
        </w:rPr>
        <w:t>-</w:t>
      </w:r>
      <w:r w:rsidRPr="00C935FA">
        <w:rPr>
          <w:rStyle w:val="aff4"/>
          <w:rtl/>
        </w:rPr>
        <w:t>וה</w:t>
      </w:r>
      <w:r w:rsidRPr="00FF7D8F">
        <w:rPr>
          <w:rStyle w:val="aff4"/>
          <w:rFonts w:hint="cs"/>
          <w:vanish/>
          <w:rtl/>
        </w:rPr>
        <w:t>&lt; &gt;</w:t>
      </w:r>
      <w:r w:rsidRPr="00C935FA">
        <w:rPr>
          <w:rStyle w:val="aff4"/>
          <w:rtl/>
        </w:rPr>
        <w:t>ט"ז</w:t>
      </w:r>
      <w:r w:rsidRPr="0084044B">
        <w:rPr>
          <w:vanish/>
          <w:rtl/>
        </w:rPr>
        <w:t>-</w:t>
      </w:r>
      <w:r w:rsidRPr="00C935FA">
        <w:rPr>
          <w:rtl/>
        </w:rPr>
        <w:t xml:space="preserve"> </w:t>
      </w:r>
      <w:r w:rsidRPr="00C962CD">
        <w:rPr>
          <w:rStyle w:val="af2"/>
          <w:rFonts w:eastAsia="Guttman Hodes" w:hint="cs"/>
          <w:rtl/>
        </w:rPr>
        <w:t>(סי' שי"ג סק"ז)</w:t>
      </w:r>
      <w:r w:rsidRPr="00C935FA">
        <w:rPr>
          <w:rFonts w:hint="cs"/>
          <w:vanish/>
          <w:rtl/>
        </w:rPr>
        <w:t>=</w:t>
      </w:r>
      <w:r>
        <w:rPr>
          <w:rFonts w:hint="cs"/>
          <w:rtl/>
        </w:rPr>
        <w:t xml:space="preserve"> </w:t>
      </w:r>
      <w:r w:rsidRPr="00C935FA">
        <w:rPr>
          <w:rtl/>
        </w:rPr>
        <w:t xml:space="preserve">דמותר לתקוע כיסוי של כלי, כיון שהוא עומד לפתוח ולסגור, הוא </w:t>
      </w:r>
      <w:r w:rsidRPr="00C935FA">
        <w:rPr>
          <w:rFonts w:hint="cs"/>
          <w:rtl/>
        </w:rPr>
        <w:t>דוקא בכלי שעומד להיות פתוח ולהשתמש בו, דסתום אינו כלי,</w:t>
      </w:r>
      <w:r>
        <w:rPr>
          <w:rFonts w:hint="cs"/>
          <w:rtl/>
        </w:rPr>
        <w:t xml:space="preserve"> </w:t>
      </w:r>
      <w:r w:rsidRPr="00C935FA">
        <w:rPr>
          <w:rFonts w:hint="cs"/>
          <w:rtl/>
        </w:rPr>
        <w:t>ו</w:t>
      </w:r>
      <w:r>
        <w:rPr>
          <w:rFonts w:hint="cs"/>
          <w:rtl/>
        </w:rPr>
        <w:t>ביאר</w:t>
      </w:r>
      <w:r w:rsidRPr="00C935FA">
        <w:rPr>
          <w:rFonts w:hint="cs"/>
          <w:rtl/>
        </w:rPr>
        <w:t xml:space="preserve"> </w:t>
      </w:r>
      <w:r w:rsidRPr="001A2014">
        <w:rPr>
          <w:rStyle w:val="aff4"/>
          <w:rFonts w:hint="cs"/>
          <w:vanish/>
          <w:rtl/>
        </w:rPr>
        <w:t>-</w:t>
      </w:r>
      <w:r w:rsidRPr="00C935FA">
        <w:rPr>
          <w:rStyle w:val="aff4"/>
          <w:rFonts w:hint="cs"/>
          <w:rtl/>
        </w:rPr>
        <w:t>החזו"א</w:t>
      </w:r>
      <w:r w:rsidRPr="001A2014">
        <w:rPr>
          <w:rFonts w:hint="cs"/>
          <w:vanish/>
          <w:rtl/>
        </w:rPr>
        <w:t>-</w:t>
      </w:r>
      <w:r>
        <w:rPr>
          <w:rFonts w:hint="cs"/>
          <w:rtl/>
        </w:rPr>
        <w:t xml:space="preserve"> ד</w:t>
      </w:r>
      <w:r w:rsidRPr="00C935FA">
        <w:rPr>
          <w:rFonts w:hint="cs"/>
          <w:rtl/>
        </w:rPr>
        <w:t xml:space="preserve">לכן </w:t>
      </w:r>
      <w:r w:rsidRPr="00C935FA">
        <w:rPr>
          <w:rtl/>
        </w:rPr>
        <w:t xml:space="preserve">דכ"א מהם יש לו שם כלי בפנ"ע, והם </w:t>
      </w:r>
      <w:r w:rsidRPr="00C935FA">
        <w:rPr>
          <w:rFonts w:hint="cs"/>
          <w:rtl/>
        </w:rPr>
        <w:t>משתתפים לשימוש</w:t>
      </w:r>
      <w:r w:rsidRPr="00C935FA">
        <w:rPr>
          <w:rtl/>
        </w:rPr>
        <w:t xml:space="preserve"> אחד, ולכן אי"ז נחשב בנין כלל, אבל דבר שמרכיבו לצורך שימוש כקנה של סיידין</w:t>
      </w:r>
      <w:r w:rsidRPr="00C935FA">
        <w:rPr>
          <w:rFonts w:hint="cs"/>
          <w:rtl/>
        </w:rPr>
        <w:t>,</w:t>
      </w:r>
      <w:r w:rsidRPr="001A2014">
        <w:rPr>
          <w:rStyle w:val="aff4"/>
          <w:rFonts w:hint="cs"/>
          <w:rtl/>
        </w:rPr>
        <w:t xml:space="preserve"> </w:t>
      </w:r>
      <w:r w:rsidRPr="00C935FA">
        <w:rPr>
          <w:rtl/>
        </w:rPr>
        <w:t>חייב אף במתקנו לשעה</w:t>
      </w:r>
      <w:r w:rsidRPr="00C935FA">
        <w:rPr>
          <w:rFonts w:hint="cs"/>
          <w:rtl/>
        </w:rPr>
        <w:t xml:space="preserve"> דאף בכה"ג חשיב כבונה</w:t>
      </w:r>
      <w:r>
        <w:rPr>
          <w:rFonts w:hint="cs"/>
          <w:rtl/>
        </w:rPr>
        <w:t>.</w:t>
      </w:r>
      <w:r w:rsidRPr="00C935FA">
        <w:rPr>
          <w:rFonts w:hint="cs"/>
          <w:rtl/>
        </w:rPr>
        <w:t xml:space="preserve"> </w:t>
      </w:r>
      <w:r w:rsidRPr="00030A4D">
        <w:rPr>
          <w:rStyle w:val="af"/>
          <w:rFonts w:hint="cs"/>
          <w:rtl/>
        </w:rPr>
        <w:t xml:space="preserve">[לדעת </w:t>
      </w:r>
      <w:r w:rsidRPr="00030A4D">
        <w:rPr>
          <w:rStyle w:val="aff9"/>
          <w:rFonts w:hint="cs"/>
          <w:vanish/>
          <w:rtl/>
        </w:rPr>
        <w:t>-</w:t>
      </w:r>
      <w:r w:rsidRPr="00030A4D">
        <w:rPr>
          <w:rStyle w:val="aff9"/>
          <w:rFonts w:hint="cs"/>
          <w:rtl/>
        </w:rPr>
        <w:t>הרמב"ן והריטב"א</w:t>
      </w:r>
      <w:r w:rsidRPr="00030A4D">
        <w:rPr>
          <w:rStyle w:val="aff9"/>
          <w:rFonts w:hint="cs"/>
          <w:vanish/>
          <w:rtl/>
        </w:rPr>
        <w:t>-</w:t>
      </w:r>
      <w:r w:rsidRPr="00030A4D">
        <w:rPr>
          <w:rStyle w:val="af"/>
          <w:rFonts w:hint="cs"/>
          <w:rtl/>
        </w:rPr>
        <w:t xml:space="preserve"> </w:t>
      </w:r>
      <w:r w:rsidRPr="00C962CD">
        <w:rPr>
          <w:rStyle w:val="aff0"/>
          <w:rFonts w:hint="cs"/>
          <w:rtl/>
        </w:rPr>
        <w:t xml:space="preserve">(עי' אות </w:t>
      </w:r>
      <w:r w:rsidRPr="00C962CD">
        <w:rPr>
          <w:rStyle w:val="aff0"/>
          <w:rtl/>
        </w:rPr>
        <w:fldChar w:fldCharType="begin"/>
      </w:r>
      <w:r w:rsidRPr="00C962CD">
        <w:rPr>
          <w:rStyle w:val="aff0"/>
          <w:rtl/>
        </w:rPr>
        <w:instrText xml:space="preserve"> </w:instrText>
      </w:r>
      <w:r w:rsidRPr="00C962CD">
        <w:rPr>
          <w:rStyle w:val="aff0"/>
          <w:rFonts w:hint="cs"/>
        </w:rPr>
        <w:instrText>REF</w:instrText>
      </w:r>
      <w:r w:rsidRPr="00C962CD">
        <w:rPr>
          <w:rStyle w:val="aff0"/>
          <w:rFonts w:hint="cs"/>
          <w:rtl/>
        </w:rPr>
        <w:instrText xml:space="preserve"> _</w:instrText>
      </w:r>
      <w:r w:rsidRPr="00C962CD">
        <w:rPr>
          <w:rStyle w:val="aff0"/>
          <w:rFonts w:hint="cs"/>
        </w:rPr>
        <w:instrText>Ref143161507 \r \h</w:instrText>
      </w:r>
      <w:r w:rsidRPr="00C962CD">
        <w:rPr>
          <w:rStyle w:val="aff0"/>
          <w:rtl/>
        </w:rPr>
        <w:instrText xml:space="preserve"> </w:instrText>
      </w:r>
      <w:r w:rsidRPr="00C962CD">
        <w:rPr>
          <w:rStyle w:val="aff0"/>
          <w:rtl/>
        </w:rPr>
      </w:r>
      <w:r w:rsidRPr="00C962CD">
        <w:rPr>
          <w:rStyle w:val="aff0"/>
          <w:rtl/>
        </w:rPr>
        <w:fldChar w:fldCharType="separate"/>
      </w:r>
      <w:r w:rsidR="00D82181">
        <w:rPr>
          <w:rStyle w:val="aff0"/>
          <w:cs/>
        </w:rPr>
        <w:t>‎</w:t>
      </w:r>
      <w:r w:rsidR="00D82181">
        <w:rPr>
          <w:rStyle w:val="aff0"/>
          <w:rtl/>
        </w:rPr>
        <w:t>לח)</w:t>
      </w:r>
      <w:r w:rsidRPr="00C962CD">
        <w:rPr>
          <w:rStyle w:val="aff0"/>
          <w:rtl/>
        </w:rPr>
        <w:fldChar w:fldCharType="end"/>
      </w:r>
      <w:r w:rsidRPr="00030A4D">
        <w:rPr>
          <w:rStyle w:val="af"/>
          <w:rFonts w:hint="cs"/>
          <w:rtl/>
        </w:rPr>
        <w:t>]</w:t>
      </w:r>
      <w:r>
        <w:rPr>
          <w:rStyle w:val="af"/>
          <w:rFonts w:hint="cs"/>
          <w:rtl/>
        </w:rPr>
        <w:t>.</w:t>
      </w:r>
    </w:p>
    <w:p w14:paraId="7BFB84E9" w14:textId="77777777" w:rsidR="000F6808" w:rsidRPr="00111645" w:rsidRDefault="000F6808" w:rsidP="000F6808">
      <w:pPr>
        <w:pStyle w:val="a2"/>
        <w:rPr>
          <w:rtl/>
        </w:rPr>
      </w:pPr>
      <w:r w:rsidRPr="00111645">
        <w:rPr>
          <w:rtl/>
        </w:rPr>
        <w:t>והא דכתבו הט"ז והמ"א סי' שי"ג דמותר לתקוע את כיסוי הכלי כיון שעומד לסגור ולפתוח, היינו דוקא בכיסוי שאין סתימת הכלי בנין אלא שימוש דכלי סתום לעולם אינו כלי, וכל ענין הכלי הוא להיות פתוח ולשמש בו, ולכסותו שלא בשעת שימוש, והלכך אין הכיסוי והכלי כחד אלא שני גשמים משתתפים בשימוש, אבל הרכבה הדרושה לשימוש כמו קנה סיידן, ומטה של טרסיים, וזרם החשמל, אף תיקון לשעה חשיב בונה.</w:t>
      </w:r>
    </w:p>
    <w:p w14:paraId="7B26EAE8" w14:textId="77777777" w:rsidR="000F6808" w:rsidRPr="00FC269C" w:rsidRDefault="000F6808" w:rsidP="000F6808">
      <w:pPr>
        <w:pStyle w:val="afffff7"/>
        <w:rPr>
          <w:rtl/>
        </w:rPr>
      </w:pPr>
      <w:bookmarkStart w:id="6314" w:name="_Toc143620490"/>
      <w:bookmarkStart w:id="6315" w:name="_Toc145198454"/>
      <w:bookmarkStart w:id="6316" w:name="_Toc145500885"/>
      <w:bookmarkStart w:id="6317" w:name="_Toc163506425"/>
      <w:r w:rsidRPr="00FC269C">
        <w:rPr>
          <w:rtl/>
        </w:rPr>
        <w:t xml:space="preserve">חזון איש </w:t>
      </w:r>
      <w:r w:rsidRPr="00FC269C">
        <w:rPr>
          <w:rFonts w:hint="cs"/>
          <w:rtl/>
        </w:rPr>
        <w:t>או"ח סי'</w:t>
      </w:r>
      <w:r w:rsidRPr="00FC269C">
        <w:rPr>
          <w:rtl/>
        </w:rPr>
        <w:t xml:space="preserve"> </w:t>
      </w:r>
      <w:r w:rsidRPr="00FC269C">
        <w:rPr>
          <w:rFonts w:hint="cs"/>
          <w:rtl/>
        </w:rPr>
        <w:t xml:space="preserve">קנ"ו השמטות לסי' שי"ג </w:t>
      </w:r>
      <w:r w:rsidRPr="00FC269C">
        <w:rPr>
          <w:rtl/>
        </w:rPr>
        <w:t>ד"ה יסוד</w:t>
      </w:r>
      <w:bookmarkEnd w:id="6314"/>
      <w:bookmarkEnd w:id="6315"/>
      <w:bookmarkEnd w:id="6316"/>
      <w:bookmarkEnd w:id="6317"/>
    </w:p>
    <w:p w14:paraId="1F0EC7AF" w14:textId="77777777" w:rsidR="000F6808" w:rsidRDefault="000F6808" w:rsidP="000F6808">
      <w:pPr>
        <w:pStyle w:val="a7"/>
        <w:rPr>
          <w:rtl/>
        </w:rPr>
      </w:pPr>
      <w:bookmarkStart w:id="6318" w:name="_Toc143614382"/>
      <w:bookmarkStart w:id="6319" w:name="_Toc145222999"/>
      <w:bookmarkStart w:id="6320" w:name="_Toc145487188"/>
      <w:r>
        <w:rPr>
          <w:rFonts w:hint="cs"/>
          <w:rtl/>
        </w:rPr>
        <w:t>בי' החזו"א דהרכבה שעי"ז נעשה כלי ויש לו שימוש הוי בונה אף בע"מ לפרק כתופר ע"מ לנתק</w:t>
      </w:r>
      <w:bookmarkEnd w:id="6318"/>
      <w:bookmarkEnd w:id="6319"/>
      <w:bookmarkEnd w:id="6320"/>
    </w:p>
    <w:p w14:paraId="150F52BA" w14:textId="6A05732F" w:rsidR="000F6808" w:rsidRPr="00737000" w:rsidRDefault="000F6808" w:rsidP="000F6808">
      <w:pPr>
        <w:pStyle w:val="a3"/>
        <w:rPr>
          <w:rtl/>
        </w:rPr>
      </w:pPr>
      <w:r>
        <w:rPr>
          <w:rFonts w:hint="cs"/>
          <w:rtl/>
        </w:rPr>
        <w:t xml:space="preserve">ועוד כתב </w:t>
      </w:r>
      <w:r w:rsidRPr="00322C40">
        <w:rPr>
          <w:rFonts w:hint="cs"/>
          <w:vanish/>
          <w:rtl/>
        </w:rPr>
        <w:t>-</w:t>
      </w:r>
      <w:r w:rsidRPr="00322C40">
        <w:rPr>
          <w:rStyle w:val="aff4"/>
          <w:rFonts w:hint="cs"/>
          <w:rtl/>
        </w:rPr>
        <w:t>ה</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Ref143183107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מג)</w:t>
      </w:r>
      <w:r w:rsidRPr="00FF7D8F">
        <w:rPr>
          <w:rStyle w:val="aff4"/>
          <w:vanish/>
          <w:rtl/>
        </w:rPr>
        <w:fldChar w:fldCharType="end"/>
      </w:r>
      <w:r w:rsidRPr="00FF7D8F">
        <w:rPr>
          <w:rStyle w:val="aff4"/>
          <w:rFonts w:hint="cs"/>
          <w:vanish/>
          <w:rtl/>
        </w:rPr>
        <w:t xml:space="preserve"> &gt;</w:t>
      </w:r>
      <w:r w:rsidRPr="00322C40">
        <w:rPr>
          <w:rStyle w:val="aff4"/>
          <w:rFonts w:hint="cs"/>
          <w:rtl/>
        </w:rPr>
        <w:t>חזו"א</w:t>
      </w:r>
      <w:r w:rsidRPr="00322C40">
        <w:rPr>
          <w:rStyle w:val="aff4"/>
          <w:rFonts w:hint="cs"/>
          <w:vanish/>
          <w:rtl/>
        </w:rPr>
        <w:t>-</w:t>
      </w:r>
      <w:r>
        <w:rPr>
          <w:rFonts w:hint="cs"/>
          <w:rtl/>
        </w:rPr>
        <w:t xml:space="preserve"> </w:t>
      </w:r>
      <w:r w:rsidRPr="00C962CD">
        <w:rPr>
          <w:rStyle w:val="af2"/>
          <w:rFonts w:eastAsia="Guttman Hodes" w:hint="cs"/>
          <w:rtl/>
        </w:rPr>
        <w:t>(סי' קנ"ו השמטות לסי' שי"ג ד"ה יסוד)</w:t>
      </w:r>
      <w:r w:rsidRPr="00322C40">
        <w:rPr>
          <w:rFonts w:hint="cs"/>
          <w:vanish/>
          <w:rtl/>
        </w:rPr>
        <w:t>=</w:t>
      </w:r>
      <w:r>
        <w:rPr>
          <w:rFonts w:hint="cs"/>
          <w:rtl/>
        </w:rPr>
        <w:t xml:space="preserve"> דכשמחבר ב' פרקים וע"י החיבור הם נעשים לכלי, וכל השימוש שלו הוא רק ע"י החיבור הוי בונה אף כשהוא רפוי, </w:t>
      </w:r>
      <w:r w:rsidRPr="00C935FA">
        <w:rPr>
          <w:rFonts w:hint="cs"/>
          <w:rtl/>
        </w:rPr>
        <w:t>ו</w:t>
      </w:r>
      <w:r>
        <w:rPr>
          <w:rFonts w:hint="cs"/>
          <w:rtl/>
        </w:rPr>
        <w:t>ביאר</w:t>
      </w:r>
      <w:r w:rsidRPr="00C935FA">
        <w:rPr>
          <w:rFonts w:hint="cs"/>
          <w:rtl/>
        </w:rPr>
        <w:t xml:space="preserve"> </w:t>
      </w:r>
      <w:r w:rsidRPr="001A2014">
        <w:rPr>
          <w:rStyle w:val="aff4"/>
          <w:rFonts w:hint="cs"/>
          <w:vanish/>
          <w:rtl/>
        </w:rPr>
        <w:t>-</w:t>
      </w:r>
      <w:r w:rsidRPr="00C935FA">
        <w:rPr>
          <w:rStyle w:val="aff4"/>
          <w:rFonts w:hint="cs"/>
          <w:rtl/>
        </w:rPr>
        <w:t>החזו"א</w:t>
      </w:r>
      <w:r w:rsidRPr="001A2014">
        <w:rPr>
          <w:rFonts w:hint="cs"/>
          <w:vanish/>
          <w:rtl/>
        </w:rPr>
        <w:t>-</w:t>
      </w:r>
      <w:r>
        <w:rPr>
          <w:rFonts w:hint="cs"/>
          <w:rtl/>
        </w:rPr>
        <w:t xml:space="preserve"> דאף בעשוי לנעול ולפתוח הוי בונה, ורק בדלת וכיסוי דכל צורת הכלי היא ע"י פתיחה ונעילה יחד לא הוי בונה, אבל במקום שע"י החיבור יש שימוש בכלי הוי בונה, וכשמפריד את החיבור הוי סותר, ודמי לתופר בגד ע"מ לנתק את התפירה מיד לאחר התפירה, דודאי דאי"ז מבטל מהתפירה את שם המלאכה.</w:t>
      </w:r>
    </w:p>
    <w:p w14:paraId="07E56E5C" w14:textId="77777777" w:rsidR="000F6808" w:rsidRPr="00111645" w:rsidRDefault="000F6808" w:rsidP="000F6808">
      <w:pPr>
        <w:pStyle w:val="a2"/>
        <w:rPr>
          <w:rtl/>
        </w:rPr>
      </w:pPr>
      <w:r w:rsidRPr="00111645">
        <w:rPr>
          <w:rtl/>
        </w:rPr>
        <w:t>יסוד הדברים שיקול הדעת, ויש חילוק בין פועל הצורה ע"י פעולה בלתי ממשית, כמו מחמם ברזל באש, ובין מחבר ב' פרקים וע"י זה נעשה כלי, ואנו נכנסין לדיון של רפוי ותקוע שאמרו רז"ל, ובזה אין אנו בטוחים למיקרי רפוי בזמן שההרכבה שאנו עושין יש בה ב' תופעות, א. חיבור נפרדים לגוף אחד, ב. הבאת מעבר לזרם החשמל, ואחרי שחיבור הפרקים הוא בונה בתקיעה, יש כאן בחיבור חוט החשמל בונה, וטענת רפוי</w:t>
      </w:r>
      <w:r w:rsidRPr="00111645">
        <w:rPr>
          <w:rFonts w:hint="cs"/>
          <w:rtl/>
        </w:rPr>
        <w:t xml:space="preserve"> </w:t>
      </w:r>
      <w:r w:rsidRPr="00111645">
        <w:rPr>
          <w:rtl/>
        </w:rPr>
        <w:t>אינה מושיעה כאן משום יצירת הזרם שהוא ענין תקוע וקיים, וביחד מיקרי בונה וכמנורה של פרקים שתקע פרקיה, ויעוי' בספר בפנים.</w:t>
      </w:r>
    </w:p>
    <w:p w14:paraId="07C76929" w14:textId="77777777" w:rsidR="000F6808" w:rsidRPr="00111645" w:rsidRDefault="000F6808" w:rsidP="000F6808">
      <w:pPr>
        <w:pStyle w:val="afffff5"/>
        <w:rPr>
          <w:rtl/>
        </w:rPr>
      </w:pPr>
      <w:r w:rsidRPr="00111645">
        <w:rPr>
          <w:rtl/>
        </w:rPr>
        <w:t>טענת עשוי לסגור ולנעול, אינה אלא בדלת וכיסוי, שהפתיחה והנעילה יחד מטביעים את צורת הכלי, אבל כאן החיבור הוא הכלי המשמש, וההפסקה היא ביטול התשמיש ושבירת הכלי, ואם אדם יתפור בגד ע"מ לנתק את התפירות תיכף ולחזור ולתפור ולנתק, לא יתבטל בשביל זה שם מלאכה</w:t>
      </w:r>
      <w:r w:rsidRPr="00111645">
        <w:rPr>
          <w:rFonts w:hint="cs"/>
          <w:rtl/>
        </w:rPr>
        <w:t xml:space="preserve">, </w:t>
      </w:r>
      <w:r w:rsidRPr="00111645">
        <w:rPr>
          <w:rtl/>
        </w:rPr>
        <w:t xml:space="preserve">וכאן ג"כ ההפסקה משמשת לחשך תשלומי החשמל וכיו"ב, ואינו ענין לפתיחת דלת וכיסוי ויעוין בספר בפנים. </w:t>
      </w:r>
    </w:p>
    <w:p w14:paraId="081A040B" w14:textId="77777777" w:rsidR="000F6808" w:rsidRPr="00FC269C" w:rsidRDefault="000F6808" w:rsidP="000F6808">
      <w:pPr>
        <w:pStyle w:val="afffff7"/>
        <w:rPr>
          <w:rtl/>
        </w:rPr>
      </w:pPr>
      <w:bookmarkStart w:id="6321" w:name="_Toc143620491"/>
      <w:bookmarkStart w:id="6322" w:name="_Toc145198455"/>
      <w:bookmarkStart w:id="6323" w:name="_Toc145500886"/>
      <w:bookmarkStart w:id="6324" w:name="_Toc163506426"/>
      <w:r w:rsidRPr="00FC269C">
        <w:rPr>
          <w:rtl/>
        </w:rPr>
        <w:t xml:space="preserve">חזון איש </w:t>
      </w:r>
      <w:r w:rsidRPr="00FC269C">
        <w:rPr>
          <w:rFonts w:hint="cs"/>
          <w:rtl/>
        </w:rPr>
        <w:t>או"ח סי'</w:t>
      </w:r>
      <w:r w:rsidRPr="00FC269C">
        <w:rPr>
          <w:rtl/>
        </w:rPr>
        <w:t xml:space="preserve"> </w:t>
      </w:r>
      <w:r w:rsidRPr="00FC269C">
        <w:rPr>
          <w:rFonts w:hint="cs"/>
          <w:rtl/>
        </w:rPr>
        <w:t xml:space="preserve">קנ"ו השמטות לסי' שי"ג </w:t>
      </w:r>
      <w:r w:rsidRPr="00FC269C">
        <w:rPr>
          <w:rtl/>
        </w:rPr>
        <w:t>ד"ה היתר</w:t>
      </w:r>
      <w:bookmarkEnd w:id="6321"/>
      <w:bookmarkEnd w:id="6322"/>
      <w:bookmarkEnd w:id="6323"/>
      <w:bookmarkEnd w:id="6324"/>
    </w:p>
    <w:p w14:paraId="6919CBAC" w14:textId="77777777" w:rsidR="000F6808" w:rsidRDefault="000F6808" w:rsidP="000F6808">
      <w:pPr>
        <w:pStyle w:val="a7"/>
        <w:rPr>
          <w:rtl/>
        </w:rPr>
      </w:pPr>
      <w:bookmarkStart w:id="6325" w:name="_Toc143614383"/>
      <w:bookmarkStart w:id="6326" w:name="_Toc145223000"/>
      <w:bookmarkStart w:id="6327" w:name="_Toc145487189"/>
      <w:r>
        <w:rPr>
          <w:rFonts w:hint="cs"/>
          <w:rtl/>
        </w:rPr>
        <w:t>בי' החזו"א דבעושה צורת מלאכה לא שייך היתר ארעי ול"ד לכיסוי דעומד לפתחיחה וסתימה</w:t>
      </w:r>
      <w:bookmarkEnd w:id="6325"/>
      <w:bookmarkEnd w:id="6326"/>
      <w:bookmarkEnd w:id="6327"/>
    </w:p>
    <w:p w14:paraId="1DA76FBC" w14:textId="77AC3373" w:rsidR="000F6808" w:rsidRDefault="000F6808" w:rsidP="000F6808">
      <w:pPr>
        <w:pStyle w:val="a3"/>
        <w:rPr>
          <w:rtl/>
        </w:rPr>
      </w:pPr>
      <w:r>
        <w:rPr>
          <w:rFonts w:hint="cs"/>
          <w:rtl/>
        </w:rPr>
        <w:t xml:space="preserve">והוסיף </w:t>
      </w:r>
      <w:r w:rsidRPr="00322C40">
        <w:rPr>
          <w:rFonts w:hint="cs"/>
          <w:vanish/>
          <w:rtl/>
        </w:rPr>
        <w:t>-</w:t>
      </w:r>
      <w:r w:rsidRPr="00322C40">
        <w:rPr>
          <w:rStyle w:val="aff4"/>
          <w:rFonts w:hint="cs"/>
          <w:rtl/>
        </w:rPr>
        <w:t>ה</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Ref142932736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מד)</w:t>
      </w:r>
      <w:r w:rsidRPr="00FF7D8F">
        <w:rPr>
          <w:rStyle w:val="aff4"/>
          <w:vanish/>
          <w:rtl/>
        </w:rPr>
        <w:fldChar w:fldCharType="end"/>
      </w:r>
      <w:r w:rsidRPr="00FF7D8F">
        <w:rPr>
          <w:rStyle w:val="aff4"/>
          <w:rFonts w:hint="cs"/>
          <w:vanish/>
          <w:rtl/>
        </w:rPr>
        <w:t xml:space="preserve"> &gt;</w:t>
      </w:r>
      <w:r w:rsidRPr="00322C40">
        <w:rPr>
          <w:rStyle w:val="aff4"/>
          <w:rFonts w:hint="cs"/>
          <w:rtl/>
        </w:rPr>
        <w:t>חזו"א</w:t>
      </w:r>
      <w:r w:rsidRPr="00322C40">
        <w:rPr>
          <w:rStyle w:val="aff4"/>
          <w:rFonts w:hint="cs"/>
          <w:vanish/>
          <w:rtl/>
        </w:rPr>
        <w:t>-</w:t>
      </w:r>
      <w:r>
        <w:rPr>
          <w:rFonts w:hint="cs"/>
          <w:rtl/>
        </w:rPr>
        <w:t xml:space="preserve"> </w:t>
      </w:r>
      <w:r w:rsidRPr="00C962CD">
        <w:rPr>
          <w:rStyle w:val="af2"/>
          <w:rFonts w:eastAsia="Guttman Hodes" w:hint="cs"/>
          <w:rtl/>
        </w:rPr>
        <w:t>(סי' קנ"ו השמטות לסי' שי"ג ד"ה היתר)</w:t>
      </w:r>
      <w:r w:rsidRPr="00322C40">
        <w:rPr>
          <w:rFonts w:hint="cs"/>
          <w:vanish/>
          <w:rtl/>
        </w:rPr>
        <w:t>=</w:t>
      </w:r>
      <w:r>
        <w:rPr>
          <w:rFonts w:hint="cs"/>
          <w:rtl/>
        </w:rPr>
        <w:t xml:space="preserve"> דבעושה דבר שהוא צורה של מלאכה, אין בו היתר שעושה כן לעראי, וכיון דתקיעה היא צורת מלאכה אף שאינו עושה כן לזמן מרובה הוי מלאכה, ובכיסוי כלים לא חשיב מלאכה כיון דכל עיקר הכלי והכיסוי עומדים לכך, שיתחלפו מפתיחה לסתימה ומסתימה לפתיחה.</w:t>
      </w:r>
    </w:p>
    <w:p w14:paraId="3B764881" w14:textId="77777777" w:rsidR="000F6808" w:rsidRPr="00D2699E" w:rsidRDefault="000F6808" w:rsidP="000F6808">
      <w:pPr>
        <w:pStyle w:val="a7"/>
        <w:rPr>
          <w:rtl/>
        </w:rPr>
      </w:pPr>
    </w:p>
    <w:p w14:paraId="43C84219" w14:textId="77777777" w:rsidR="000F6808" w:rsidRPr="00111645" w:rsidRDefault="000F6808" w:rsidP="000F6808">
      <w:pPr>
        <w:pStyle w:val="a2"/>
        <w:rPr>
          <w:rtl/>
        </w:rPr>
      </w:pPr>
      <w:r w:rsidRPr="00111645">
        <w:rPr>
          <w:rtl/>
        </w:rPr>
        <w:t>היתר של עראי, אינו במלאכה, כמו שהתופר ע"מ לקרוע חוטי התפירה, ולחזור ולתפור, ולחזור ולקרוע, לא מקרי שימוש אלא עושה מלאכה, ולכן קנה של סיידן ומטה של טרסיים אסור לתקוע, דכיון דתקיעה צורתה מלאכה לא מהני מה שאינה לזמן מרובה, ולא דמי לדלת וכיסוי כלים שכל עיקרן להתחלפות מסתימה לפתיחה ומפתיחה לסתימה, אבל שימוש החשמל הוא בחיבור, וההפסק הוא משום חש</w:t>
      </w:r>
      <w:r w:rsidRPr="00111645">
        <w:rPr>
          <w:rFonts w:hint="cs"/>
          <w:rtl/>
        </w:rPr>
        <w:t>ב</w:t>
      </w:r>
      <w:r w:rsidRPr="00111645">
        <w:rPr>
          <w:rtl/>
        </w:rPr>
        <w:t>ון תשלומין וכיו"ב דבר צדדי.</w:t>
      </w:r>
    </w:p>
    <w:p w14:paraId="749C8CA0" w14:textId="77777777" w:rsidR="000F6808" w:rsidRPr="00B12C79" w:rsidRDefault="000F6808" w:rsidP="000F6808">
      <w:pPr>
        <w:pStyle w:val="1"/>
      </w:pPr>
      <w:bookmarkStart w:id="6328" w:name="_Toc143614384"/>
      <w:bookmarkStart w:id="6329" w:name="_Toc145223001"/>
      <w:bookmarkStart w:id="6330" w:name="_Toc145487190"/>
      <w:r>
        <w:rPr>
          <w:rFonts w:hint="cs"/>
          <w:rtl/>
        </w:rPr>
        <w:t>בד' הגר"ז דאף ביצירת כלי כל חיבור שלא לקיום ל"ה בונה</w:t>
      </w:r>
      <w:bookmarkEnd w:id="6328"/>
      <w:bookmarkEnd w:id="6329"/>
      <w:bookmarkEnd w:id="6330"/>
      <w:r>
        <w:rPr>
          <w:rFonts w:hint="cs"/>
          <w:rtl/>
        </w:rPr>
        <w:t xml:space="preserve"> </w:t>
      </w:r>
    </w:p>
    <w:p w14:paraId="34CBC445" w14:textId="77777777" w:rsidR="000F6808" w:rsidRPr="00FC269C" w:rsidRDefault="000F6808" w:rsidP="000F6808">
      <w:pPr>
        <w:pStyle w:val="afffff7"/>
        <w:rPr>
          <w:rtl/>
        </w:rPr>
      </w:pPr>
      <w:bookmarkStart w:id="6331" w:name="_Toc143620492"/>
      <w:bookmarkStart w:id="6332" w:name="_Toc145198456"/>
      <w:bookmarkStart w:id="6333" w:name="_Toc145500887"/>
      <w:bookmarkStart w:id="6334" w:name="_Toc163506427"/>
      <w:r w:rsidRPr="00FC269C">
        <w:rPr>
          <w:rtl/>
        </w:rPr>
        <w:t xml:space="preserve">שולחן ערוך הרב </w:t>
      </w:r>
      <w:r w:rsidRPr="00FC269C">
        <w:rPr>
          <w:rFonts w:hint="cs"/>
          <w:rtl/>
        </w:rPr>
        <w:t>או"ח סי' שי"</w:t>
      </w:r>
      <w:r w:rsidRPr="00FC269C">
        <w:rPr>
          <w:rtl/>
        </w:rPr>
        <w:t>ג כ</w:t>
      </w:r>
      <w:r w:rsidRPr="00FC269C">
        <w:rPr>
          <w:rFonts w:hint="cs"/>
          <w:rtl/>
        </w:rPr>
        <w:t>'</w:t>
      </w:r>
      <w:bookmarkEnd w:id="6331"/>
      <w:bookmarkEnd w:id="6332"/>
      <w:bookmarkEnd w:id="6333"/>
      <w:bookmarkEnd w:id="6334"/>
    </w:p>
    <w:p w14:paraId="08356582" w14:textId="77777777" w:rsidR="000F6808" w:rsidRPr="00FC269C" w:rsidRDefault="000F6808" w:rsidP="000F6808">
      <w:pPr>
        <w:pStyle w:val="afffff7"/>
        <w:rPr>
          <w:rtl/>
        </w:rPr>
      </w:pPr>
      <w:bookmarkStart w:id="6335" w:name="_Toc143620493"/>
      <w:bookmarkStart w:id="6336" w:name="_Toc145198457"/>
      <w:bookmarkStart w:id="6337" w:name="_Toc145500888"/>
      <w:bookmarkStart w:id="6338" w:name="_Toc143614385"/>
      <w:bookmarkStart w:id="6339" w:name="_Toc163506428"/>
      <w:r w:rsidRPr="00FC269C">
        <w:rPr>
          <w:rtl/>
        </w:rPr>
        <w:t xml:space="preserve">שולחן ערוך הרב </w:t>
      </w:r>
      <w:r w:rsidRPr="00FC269C">
        <w:rPr>
          <w:rFonts w:hint="cs"/>
          <w:rtl/>
        </w:rPr>
        <w:t>או"ח סי' שי"</w:t>
      </w:r>
      <w:r w:rsidRPr="00FC269C">
        <w:rPr>
          <w:rtl/>
        </w:rPr>
        <w:t>ג כ</w:t>
      </w:r>
      <w:r w:rsidRPr="00FC269C">
        <w:rPr>
          <w:rFonts w:hint="cs"/>
          <w:rtl/>
        </w:rPr>
        <w:t>"</w:t>
      </w:r>
      <w:r w:rsidRPr="00FC269C">
        <w:rPr>
          <w:rtl/>
        </w:rPr>
        <w:t>א</w:t>
      </w:r>
      <w:r w:rsidRPr="00FC269C">
        <w:rPr>
          <w:rFonts w:hint="cs"/>
          <w:rtl/>
        </w:rPr>
        <w:t xml:space="preserve"> ד"ה אבל</w:t>
      </w:r>
      <w:bookmarkEnd w:id="6335"/>
      <w:bookmarkEnd w:id="6336"/>
      <w:bookmarkEnd w:id="6337"/>
      <w:bookmarkEnd w:id="6339"/>
    </w:p>
    <w:p w14:paraId="0383E8EC" w14:textId="77777777" w:rsidR="000F6808" w:rsidRPr="00FC269C" w:rsidRDefault="000F6808" w:rsidP="000F6808">
      <w:pPr>
        <w:pStyle w:val="afffff7"/>
        <w:rPr>
          <w:rtl/>
        </w:rPr>
      </w:pPr>
      <w:bookmarkStart w:id="6340" w:name="_Toc143620494"/>
      <w:bookmarkStart w:id="6341" w:name="_Toc145198458"/>
      <w:bookmarkStart w:id="6342" w:name="_Toc145500889"/>
      <w:bookmarkStart w:id="6343" w:name="_Toc163506429"/>
      <w:r w:rsidRPr="00FC269C">
        <w:rPr>
          <w:rtl/>
        </w:rPr>
        <w:t xml:space="preserve">שולחן ערוך הרב הרב </w:t>
      </w:r>
      <w:r w:rsidRPr="00FC269C">
        <w:rPr>
          <w:rFonts w:hint="cs"/>
          <w:rtl/>
        </w:rPr>
        <w:t xml:space="preserve">או"ח סי' </w:t>
      </w:r>
      <w:r w:rsidRPr="00FC269C">
        <w:rPr>
          <w:rtl/>
        </w:rPr>
        <w:t>שי</w:t>
      </w:r>
      <w:r w:rsidRPr="00FC269C">
        <w:rPr>
          <w:rFonts w:hint="cs"/>
          <w:rtl/>
        </w:rPr>
        <w:t>"</w:t>
      </w:r>
      <w:r w:rsidRPr="00FC269C">
        <w:rPr>
          <w:rtl/>
        </w:rPr>
        <w:t>ד יט</w:t>
      </w:r>
      <w:bookmarkEnd w:id="6340"/>
      <w:bookmarkEnd w:id="6341"/>
      <w:bookmarkEnd w:id="6342"/>
      <w:bookmarkEnd w:id="6343"/>
    </w:p>
    <w:p w14:paraId="768B5E27" w14:textId="77777777" w:rsidR="000F6808" w:rsidRDefault="000F6808" w:rsidP="000F6808">
      <w:pPr>
        <w:pStyle w:val="a7"/>
        <w:rPr>
          <w:rtl/>
        </w:rPr>
      </w:pPr>
      <w:bookmarkStart w:id="6344" w:name="_Toc145223002"/>
      <w:bookmarkStart w:id="6345" w:name="_Toc145487191"/>
      <w:r>
        <w:rPr>
          <w:rFonts w:hint="cs"/>
          <w:rtl/>
        </w:rPr>
        <w:t>בי' הגר"ז דתוקע כלי של פרקים לארעי הוי דרבנן ובאינו עשוי להתקיים כלל מותר כדלת בור</w:t>
      </w:r>
      <w:bookmarkEnd w:id="6338"/>
      <w:bookmarkEnd w:id="6344"/>
      <w:bookmarkEnd w:id="6345"/>
    </w:p>
    <w:p w14:paraId="5BA7F5C1" w14:textId="1D1E1E3D" w:rsidR="000F6808" w:rsidRPr="007E7526" w:rsidRDefault="000F6808" w:rsidP="000F6808">
      <w:pPr>
        <w:pStyle w:val="a3"/>
        <w:rPr>
          <w:rtl/>
        </w:rPr>
      </w:pPr>
      <w:r>
        <w:rPr>
          <w:rFonts w:hint="cs"/>
          <w:rtl/>
        </w:rPr>
        <w:t xml:space="preserve">כתב </w:t>
      </w:r>
      <w:r w:rsidRPr="007E0EB8">
        <w:rPr>
          <w:rStyle w:val="aff4"/>
          <w:rFonts w:hint="cs"/>
          <w:vanish/>
          <w:rtl/>
        </w:rPr>
        <w:t>-</w:t>
      </w:r>
      <w:r w:rsidRPr="004E4BA0">
        <w:rPr>
          <w:rStyle w:val="aff4"/>
          <w:rFonts w:hint="cs"/>
          <w:rtl/>
        </w:rPr>
        <w:t>ה</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Ref143165124 \r \h</w:instrText>
      </w:r>
      <w:r w:rsidRPr="00FF7D8F">
        <w:rPr>
          <w:rStyle w:val="aff4"/>
          <w:vanish/>
          <w:rtl/>
        </w:rPr>
        <w:instrText xml:space="preserve">  \* </w:instrText>
      </w:r>
      <w:r w:rsidRPr="00FF7D8F">
        <w:rPr>
          <w:rStyle w:val="aff4"/>
          <w:vanish/>
        </w:rPr>
        <w:instrText>MERGEFORMAT</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מה)</w:t>
      </w:r>
      <w:r w:rsidRPr="00FF7D8F">
        <w:rPr>
          <w:rStyle w:val="aff4"/>
          <w:vanish/>
          <w:rtl/>
        </w:rPr>
        <w:fldChar w:fldCharType="end"/>
      </w:r>
      <w:r w:rsidRPr="00FF7D8F">
        <w:rPr>
          <w:rStyle w:val="aff4"/>
          <w:rFonts w:hint="cs"/>
          <w:vanish/>
          <w:rtl/>
        </w:rPr>
        <w:t xml:space="preserve"> &gt;</w:t>
      </w:r>
      <w:r w:rsidRPr="004E4BA0">
        <w:rPr>
          <w:rStyle w:val="aff4"/>
          <w:rFonts w:hint="cs"/>
          <w:rtl/>
        </w:rPr>
        <w:t>גר"ז</w:t>
      </w:r>
      <w:r w:rsidRPr="007E0EB8">
        <w:rPr>
          <w:rStyle w:val="aff4"/>
          <w:rFonts w:hint="cs"/>
          <w:vanish/>
          <w:rtl/>
        </w:rPr>
        <w:t>-</w:t>
      </w:r>
      <w:r>
        <w:rPr>
          <w:rFonts w:hint="cs"/>
          <w:rtl/>
        </w:rPr>
        <w:t xml:space="preserve"> </w:t>
      </w:r>
      <w:r w:rsidRPr="00C962CD">
        <w:rPr>
          <w:rStyle w:val="af2"/>
          <w:rFonts w:eastAsia="Guttman Hodes" w:hint="cs"/>
          <w:rtl/>
        </w:rPr>
        <w:t>(סי' שי"ג כ')</w:t>
      </w:r>
      <w:r w:rsidRPr="007E0EB8">
        <w:rPr>
          <w:rFonts w:hint="cs"/>
          <w:vanish/>
          <w:rtl/>
        </w:rPr>
        <w:t>=</w:t>
      </w:r>
      <w:r>
        <w:rPr>
          <w:rFonts w:hint="cs"/>
          <w:rtl/>
        </w:rPr>
        <w:t xml:space="preserve"> דהתוקע כלי של פרקים בחוזק שצריך גבורה ואומנות לזה הוא בנין גמור, </w:t>
      </w:r>
      <w:r w:rsidRPr="00030A4D">
        <w:rPr>
          <w:rStyle w:val="af"/>
          <w:rFonts w:hint="cs"/>
          <w:rtl/>
        </w:rPr>
        <w:t xml:space="preserve">[כדכתבו </w:t>
      </w:r>
      <w:r w:rsidRPr="00030A4D">
        <w:rPr>
          <w:rStyle w:val="aff9"/>
          <w:rFonts w:hint="cs"/>
          <w:vanish/>
          <w:rtl/>
        </w:rPr>
        <w:t>-</w:t>
      </w:r>
      <w:r w:rsidRPr="00030A4D">
        <w:rPr>
          <w:rStyle w:val="aff9"/>
          <w:rFonts w:hint="cs"/>
          <w:rtl/>
        </w:rPr>
        <w:t>התוס'</w:t>
      </w:r>
      <w:r w:rsidRPr="00030A4D">
        <w:rPr>
          <w:rStyle w:val="aff9"/>
          <w:rFonts w:hint="cs"/>
          <w:vanish/>
          <w:rtl/>
        </w:rPr>
        <w:t>-</w:t>
      </w:r>
      <w:r w:rsidRPr="00030A4D">
        <w:rPr>
          <w:rStyle w:val="af"/>
          <w:rFonts w:hint="cs"/>
          <w:rtl/>
        </w:rPr>
        <w:t xml:space="preserve"> </w:t>
      </w:r>
      <w:r w:rsidRPr="00C962CD">
        <w:rPr>
          <w:rStyle w:val="aff0"/>
          <w:rFonts w:hint="cs"/>
          <w:rtl/>
        </w:rPr>
        <w:t>(</w:t>
      </w:r>
      <w:r>
        <w:rPr>
          <w:rStyle w:val="aff0"/>
          <w:rFonts w:hint="cs"/>
          <w:rtl/>
        </w:rPr>
        <w:t xml:space="preserve"> (עי' אות </w:t>
      </w:r>
      <w:r>
        <w:rPr>
          <w:rStyle w:val="aff0"/>
          <w:rtl/>
        </w:rPr>
        <w:fldChar w:fldCharType="begin"/>
      </w:r>
      <w:r>
        <w:rPr>
          <w:rStyle w:val="aff0"/>
          <w:rtl/>
        </w:rPr>
        <w:instrText xml:space="preserve"> </w:instrText>
      </w:r>
      <w:r>
        <w:rPr>
          <w:rStyle w:val="aff0"/>
          <w:rFonts w:hint="cs"/>
        </w:rPr>
        <w:instrText>REF</w:instrText>
      </w:r>
      <w:r>
        <w:rPr>
          <w:rStyle w:val="aff0"/>
          <w:rFonts w:hint="cs"/>
          <w:rtl/>
        </w:rPr>
        <w:instrText xml:space="preserve"> _</w:instrText>
      </w:r>
      <w:r>
        <w:rPr>
          <w:rStyle w:val="aff0"/>
          <w:rFonts w:hint="cs"/>
        </w:rPr>
        <w:instrText>Ref145487289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קז)</w:t>
      </w:r>
      <w:r>
        <w:rPr>
          <w:rStyle w:val="aff0"/>
          <w:rtl/>
        </w:rPr>
        <w:fldChar w:fldCharType="end"/>
      </w:r>
      <w:r w:rsidRPr="00030A4D">
        <w:rPr>
          <w:rStyle w:val="af"/>
          <w:rFonts w:hint="cs"/>
          <w:rtl/>
        </w:rPr>
        <w:t>]</w:t>
      </w:r>
      <w:r w:rsidRPr="000A4C6C">
        <w:rPr>
          <w:rStyle w:val="af"/>
          <w:rFonts w:hint="cs"/>
          <w:rtl/>
        </w:rPr>
        <w:t>,</w:t>
      </w:r>
      <w:r>
        <w:rPr>
          <w:rFonts w:hint="cs"/>
          <w:rtl/>
        </w:rPr>
        <w:t xml:space="preserve"> ובעשוי להתקיים לזמן מרובה חייב משום בונה, ובאינו עשוי להתקיים לזמן מרובה אסור מדרבנן כבנין עראי, ובאינו עומד להתקיים כלל מותר, וביאר </w:t>
      </w:r>
      <w:r w:rsidRPr="007E0EB8">
        <w:rPr>
          <w:rStyle w:val="aff4"/>
          <w:rFonts w:hint="cs"/>
          <w:vanish/>
          <w:rtl/>
        </w:rPr>
        <w:t>-</w:t>
      </w:r>
      <w:r w:rsidRPr="004E4BA0">
        <w:rPr>
          <w:rStyle w:val="aff4"/>
          <w:rFonts w:hint="cs"/>
          <w:rtl/>
        </w:rPr>
        <w:t>ה</w:t>
      </w:r>
      <w:r w:rsidRPr="00FF7D8F">
        <w:rPr>
          <w:rStyle w:val="aff4"/>
          <w:rFonts w:hint="cs"/>
          <w:vanish/>
          <w:rtl/>
        </w:rPr>
        <w:t>&lt; &gt;</w:t>
      </w:r>
      <w:r w:rsidRPr="004E4BA0">
        <w:rPr>
          <w:rStyle w:val="aff4"/>
          <w:rFonts w:hint="cs"/>
          <w:rtl/>
        </w:rPr>
        <w:t>גר"ז</w:t>
      </w:r>
      <w:r w:rsidRPr="007E0EB8">
        <w:rPr>
          <w:rStyle w:val="aff4"/>
          <w:rFonts w:hint="cs"/>
          <w:vanish/>
          <w:rtl/>
        </w:rPr>
        <w:t>-</w:t>
      </w:r>
      <w:r>
        <w:rPr>
          <w:rFonts w:hint="cs"/>
          <w:rtl/>
        </w:rPr>
        <w:t xml:space="preserve"> </w:t>
      </w:r>
      <w:r w:rsidRPr="00C962CD">
        <w:rPr>
          <w:rStyle w:val="af2"/>
          <w:rFonts w:eastAsia="Guttman Hodes" w:hint="cs"/>
          <w:rtl/>
        </w:rPr>
        <w:t>(סי' שי"ג כ"</w:t>
      </w:r>
      <w:r w:rsidRPr="00C962CD">
        <w:rPr>
          <w:rStyle w:val="af2"/>
          <w:rFonts w:eastAsia="Guttman Hodes"/>
          <w:rtl/>
        </w:rPr>
        <w:t>א ד"ה אבל</w:t>
      </w:r>
      <w:r w:rsidRPr="00C962CD">
        <w:rPr>
          <w:rStyle w:val="af2"/>
          <w:rFonts w:eastAsia="Guttman Hodes" w:hint="cs"/>
          <w:rtl/>
        </w:rPr>
        <w:t>)</w:t>
      </w:r>
      <w:r w:rsidRPr="007E0EB8">
        <w:rPr>
          <w:rFonts w:hint="cs"/>
          <w:vanish/>
          <w:rtl/>
        </w:rPr>
        <w:t>=</w:t>
      </w:r>
      <w:r>
        <w:rPr>
          <w:rFonts w:hint="cs"/>
          <w:rtl/>
        </w:rPr>
        <w:t xml:space="preserve"> דכלים שעשויים לפתיחה וסגירה תדיר בשבת עצמה מותר, אף כשסוגרן בחוזק, </w:t>
      </w:r>
      <w:r w:rsidRPr="00030A4D">
        <w:rPr>
          <w:rStyle w:val="af"/>
          <w:rFonts w:hint="cs"/>
          <w:rtl/>
        </w:rPr>
        <w:t>[ע"י הברגה]</w:t>
      </w:r>
      <w:r w:rsidRPr="006D12D1">
        <w:rPr>
          <w:rStyle w:val="af"/>
          <w:rFonts w:hint="cs"/>
          <w:rtl/>
        </w:rPr>
        <w:t>,</w:t>
      </w:r>
      <w:r>
        <w:rPr>
          <w:rFonts w:hint="cs"/>
          <w:rtl/>
        </w:rPr>
        <w:t xml:space="preserve"> כיון שאינם עשויים לקיום כלל, ועומדים לפתיחה וסגירה בשבת עצמה, וכל האיסור בבנין עראי הוא רק כשאינו עומד לסתירה בשבת עצמה, והוסיף </w:t>
      </w:r>
      <w:r w:rsidRPr="007E0EB8">
        <w:rPr>
          <w:rStyle w:val="aff4"/>
          <w:rFonts w:hint="cs"/>
          <w:vanish/>
          <w:rtl/>
        </w:rPr>
        <w:t>-</w:t>
      </w:r>
      <w:r w:rsidRPr="004E4BA0">
        <w:rPr>
          <w:rStyle w:val="aff4"/>
          <w:rFonts w:hint="cs"/>
          <w:rtl/>
        </w:rPr>
        <w:t>ה</w:t>
      </w:r>
      <w:r w:rsidRPr="00FF7D8F">
        <w:rPr>
          <w:rStyle w:val="aff4"/>
          <w:rFonts w:hint="cs"/>
          <w:vanish/>
          <w:rtl/>
        </w:rPr>
        <w:t>&lt; &gt;</w:t>
      </w:r>
      <w:r w:rsidRPr="004E4BA0">
        <w:rPr>
          <w:rStyle w:val="aff4"/>
          <w:rFonts w:hint="cs"/>
          <w:rtl/>
        </w:rPr>
        <w:t>גר"ז</w:t>
      </w:r>
      <w:r w:rsidRPr="007E0EB8">
        <w:rPr>
          <w:rStyle w:val="aff4"/>
          <w:rFonts w:hint="cs"/>
          <w:vanish/>
          <w:rtl/>
        </w:rPr>
        <w:t>-</w:t>
      </w:r>
      <w:r>
        <w:rPr>
          <w:rFonts w:hint="cs"/>
          <w:rtl/>
        </w:rPr>
        <w:t xml:space="preserve"> </w:t>
      </w:r>
      <w:r w:rsidRPr="00C962CD">
        <w:rPr>
          <w:rStyle w:val="af2"/>
          <w:rFonts w:eastAsia="Guttman Hodes" w:hint="cs"/>
          <w:rtl/>
        </w:rPr>
        <w:t>(סי' שי"ד י"ט)</w:t>
      </w:r>
      <w:r w:rsidRPr="007E0EB8">
        <w:rPr>
          <w:rFonts w:hint="cs"/>
          <w:vanish/>
          <w:rtl/>
        </w:rPr>
        <w:t>=</w:t>
      </w:r>
      <w:r>
        <w:rPr>
          <w:rFonts w:hint="cs"/>
          <w:rtl/>
        </w:rPr>
        <w:t xml:space="preserve"> דה"ה בדלת של בור בקרקע, שיש לה קשר והיא עשויה לפתיחה וסגירה וקבועה בפתח הבור, דאינה עשויה לקיום כלל ועומדת לפתיחה וסגירה ואין בה בונה וסותר.</w:t>
      </w:r>
    </w:p>
    <w:p w14:paraId="558BC30E" w14:textId="77777777" w:rsidR="000F6808" w:rsidRPr="00111645" w:rsidRDefault="000F6808" w:rsidP="000F6808">
      <w:pPr>
        <w:pStyle w:val="a2"/>
        <w:rPr>
          <w:rtl/>
        </w:rPr>
      </w:pPr>
      <w:r w:rsidRPr="00111645">
        <w:rPr>
          <w:rtl/>
        </w:rPr>
        <w:t xml:space="preserve">ואפילו בכלי של פרקים אם תקע פרקיו דהיינו שהדקם בחוזק בענין שצריך לזה גבורה ואומנות הרי זה בנין גמור וחייב משום בונה אם עשוי להתקיים הרבה ואם אינו עשוי להתקיים הרבה הרי זה בנין עראי ואסור מדברי סופרים אלא אם כן אינו עשוי לקיום כלל כמו שיתבאר: </w:t>
      </w:r>
    </w:p>
    <w:p w14:paraId="6DC6D709" w14:textId="77777777" w:rsidR="000F6808" w:rsidRPr="00111645" w:rsidRDefault="000F6808" w:rsidP="000F6808">
      <w:pPr>
        <w:pStyle w:val="afffff5"/>
        <w:rPr>
          <w:rtl/>
        </w:rPr>
      </w:pPr>
      <w:r w:rsidRPr="00111645">
        <w:rPr>
          <w:rtl/>
        </w:rPr>
        <w:t xml:space="preserve">אבל כוסות העשויים בחריצים סביב ומהודקים בחוזק לדברי הכל אסור להחזירם אפילו מניחם רפויים לגמרי ומכל מקום כיסויי כלים העשויים כך בחריצים סביב (שקורי"ן שרוי"ף) אף על פי שמהדקין אותם בחוזק מאד על פי הכלי אין בהם שום איסור לא בנטילתן משום סתירה ולא בהחזרתן משום בנין לפי שאינן עשויין לקיום כלל רק לפותחן ולסוגרן תדיר גם בשבת עצמה ולא אסרו בנין עראי וסתירתו אלא כשאינו עשוי על מנת לסותרו בשבת עצמה כמו שיתבאר בסי' שי"ד: </w:t>
      </w:r>
    </w:p>
    <w:p w14:paraId="00346424" w14:textId="77777777" w:rsidR="000F6808" w:rsidRPr="00111645" w:rsidRDefault="000F6808" w:rsidP="000F6808">
      <w:pPr>
        <w:pStyle w:val="afffff5"/>
        <w:rPr>
          <w:rtl/>
        </w:rPr>
      </w:pPr>
      <w:r w:rsidRPr="00111645">
        <w:rPr>
          <w:rtl/>
        </w:rPr>
        <w:t>חותמות שבקרקע כגון דלת של בור שקשור בו בחבל מותר להתיר הקשר מפני שאינו קשר של קיימא שהוא עשוי להתירו תדיר אבל אם אינו יכול להתיר הקשר אסור להפקיע קליעת החבל או לחתכו משום איסור סתירה שבכל דבר המחובר לקרקע יש בו בנין וסתירה אפילו אינו בנין גמור.</w:t>
      </w:r>
      <w:r w:rsidRPr="00111645">
        <w:rPr>
          <w:rFonts w:hint="cs"/>
          <w:rtl/>
        </w:rPr>
        <w:t xml:space="preserve"> </w:t>
      </w:r>
      <w:r w:rsidRPr="00111645">
        <w:rPr>
          <w:rtl/>
        </w:rPr>
        <w:t xml:space="preserve">במה דברים אמורים כשהדלת עשויה שם לקיום על מנת שלא להסירה בשבת אלא כשרוצה לפתוח הבור מתיר הקשר ופותח הדלת אבל אינו מסירה משם לגמרי אלא היא קבועה שם לאיזה זמן אבל אם אינה עשויה לקיום כלל אין בה משום סתירה לא בהפקעת החבל או חתיכתו ולא אפילו בהסרת הדלת עצמה אלא אם כן היא סובבת על צירה והוא שומט הציר מחורו כמו שנתבאר בסי' שי"ג ומטעם זה מותר להסיר הדף שמשימין לפני התנור ושורקין אותו בטיט מערב שבת כמו שנתבאר בסי' רנ"ט מפני שאינו עשוי לקיום כלל אלא על מנת להסירו בשבת: </w:t>
      </w:r>
    </w:p>
    <w:p w14:paraId="74F273E5" w14:textId="77777777" w:rsidR="000F6808" w:rsidRPr="00FC269C" w:rsidRDefault="000F6808" w:rsidP="000F6808">
      <w:pPr>
        <w:pStyle w:val="afffff7"/>
        <w:rPr>
          <w:rtl/>
        </w:rPr>
      </w:pPr>
      <w:bookmarkStart w:id="6346" w:name="_Toc143620495"/>
      <w:bookmarkStart w:id="6347" w:name="_Toc145198459"/>
      <w:bookmarkStart w:id="6348" w:name="_Toc145500890"/>
      <w:bookmarkStart w:id="6349" w:name="_Toc163506430"/>
      <w:r w:rsidRPr="00FC269C">
        <w:rPr>
          <w:rFonts w:hint="cs"/>
          <w:rtl/>
        </w:rPr>
        <w:t>תהלה לדוד סי' שי</w:t>
      </w:r>
      <w:r w:rsidRPr="00FC269C">
        <w:rPr>
          <w:rFonts w:cs="Guttman Hodes" w:hint="cs"/>
          <w:rtl/>
        </w:rPr>
        <w:t>"</w:t>
      </w:r>
      <w:r w:rsidRPr="00FC269C">
        <w:rPr>
          <w:rFonts w:hint="cs"/>
          <w:rtl/>
        </w:rPr>
        <w:t>ד י</w:t>
      </w:r>
      <w:r w:rsidRPr="00FC269C">
        <w:rPr>
          <w:rFonts w:cs="Guttman Hodes" w:hint="cs"/>
          <w:rtl/>
        </w:rPr>
        <w:t>"</w:t>
      </w:r>
      <w:r w:rsidRPr="00FC269C">
        <w:rPr>
          <w:rFonts w:hint="cs"/>
          <w:rtl/>
        </w:rPr>
        <w:t>ז</w:t>
      </w:r>
      <w:bookmarkEnd w:id="6346"/>
      <w:bookmarkEnd w:id="6347"/>
      <w:bookmarkEnd w:id="6348"/>
      <w:bookmarkEnd w:id="6349"/>
    </w:p>
    <w:p w14:paraId="14550897" w14:textId="77777777" w:rsidR="000F6808" w:rsidRPr="00FC269C" w:rsidRDefault="000F6808" w:rsidP="000F6808">
      <w:pPr>
        <w:pStyle w:val="afffff7"/>
        <w:rPr>
          <w:rtl/>
        </w:rPr>
      </w:pPr>
      <w:bookmarkStart w:id="6350" w:name="_Toc143620496"/>
      <w:bookmarkStart w:id="6351" w:name="_Toc145198460"/>
      <w:bookmarkStart w:id="6352" w:name="_Toc145500891"/>
      <w:bookmarkStart w:id="6353" w:name="_Toc143614386"/>
      <w:bookmarkStart w:id="6354" w:name="_Toc163506431"/>
      <w:r w:rsidRPr="00FC269C">
        <w:rPr>
          <w:rtl/>
        </w:rPr>
        <w:t>שו"ת מנחת שלמה ח</w:t>
      </w:r>
      <w:r w:rsidRPr="00FC269C">
        <w:rPr>
          <w:rFonts w:hint="cs"/>
          <w:rtl/>
        </w:rPr>
        <w:t>"</w:t>
      </w:r>
      <w:r w:rsidRPr="00FC269C">
        <w:rPr>
          <w:rtl/>
        </w:rPr>
        <w:t>א סי</w:t>
      </w:r>
      <w:r w:rsidRPr="00FC269C">
        <w:rPr>
          <w:rFonts w:hint="cs"/>
          <w:rtl/>
        </w:rPr>
        <w:t>'</w:t>
      </w:r>
      <w:r w:rsidRPr="00FC269C">
        <w:rPr>
          <w:rtl/>
        </w:rPr>
        <w:t xml:space="preserve"> י</w:t>
      </w:r>
      <w:r w:rsidRPr="00FC269C">
        <w:rPr>
          <w:rFonts w:hint="cs"/>
          <w:rtl/>
        </w:rPr>
        <w:t>"</w:t>
      </w:r>
      <w:r w:rsidRPr="00FC269C">
        <w:rPr>
          <w:rtl/>
        </w:rPr>
        <w:t>א</w:t>
      </w:r>
      <w:r w:rsidRPr="00FC269C">
        <w:rPr>
          <w:rFonts w:hint="cs"/>
          <w:rtl/>
        </w:rPr>
        <w:t xml:space="preserve"> ד"ה גם נראה</w:t>
      </w:r>
      <w:bookmarkEnd w:id="6350"/>
      <w:bookmarkEnd w:id="6351"/>
      <w:bookmarkEnd w:id="6352"/>
      <w:bookmarkEnd w:id="6354"/>
    </w:p>
    <w:p w14:paraId="1D37360A" w14:textId="77777777" w:rsidR="000F6808" w:rsidRPr="00FC269C" w:rsidRDefault="000F6808" w:rsidP="000F6808">
      <w:pPr>
        <w:pStyle w:val="afffff7"/>
        <w:rPr>
          <w:rtl/>
        </w:rPr>
      </w:pPr>
      <w:bookmarkStart w:id="6355" w:name="_Toc143620497"/>
      <w:bookmarkStart w:id="6356" w:name="_Toc145198461"/>
      <w:bookmarkStart w:id="6357" w:name="_Toc145500892"/>
      <w:bookmarkStart w:id="6358" w:name="_Toc163506432"/>
      <w:r w:rsidRPr="00FC269C">
        <w:rPr>
          <w:rtl/>
        </w:rPr>
        <w:t xml:space="preserve">פרי מגדים </w:t>
      </w:r>
      <w:r w:rsidRPr="00FC269C">
        <w:rPr>
          <w:rFonts w:hint="cs"/>
          <w:rtl/>
        </w:rPr>
        <w:t>או"ח</w:t>
      </w:r>
      <w:r w:rsidRPr="00FC269C">
        <w:rPr>
          <w:rtl/>
        </w:rPr>
        <w:t xml:space="preserve"> משבצות זהב סי</w:t>
      </w:r>
      <w:r w:rsidRPr="00FC269C">
        <w:rPr>
          <w:rFonts w:hint="cs"/>
          <w:rtl/>
        </w:rPr>
        <w:t>'</w:t>
      </w:r>
      <w:r w:rsidRPr="00FC269C">
        <w:rPr>
          <w:rtl/>
        </w:rPr>
        <w:t xml:space="preserve"> שי</w:t>
      </w:r>
      <w:r w:rsidRPr="00FC269C">
        <w:rPr>
          <w:rFonts w:hint="cs"/>
          <w:rtl/>
        </w:rPr>
        <w:t>"</w:t>
      </w:r>
      <w:r w:rsidRPr="00FC269C">
        <w:rPr>
          <w:rtl/>
        </w:rPr>
        <w:t>ג ס"ק ז</w:t>
      </w:r>
      <w:bookmarkEnd w:id="6355"/>
      <w:bookmarkEnd w:id="6356"/>
      <w:bookmarkEnd w:id="6357"/>
      <w:bookmarkEnd w:id="6358"/>
    </w:p>
    <w:p w14:paraId="6A20E569" w14:textId="77777777" w:rsidR="000F6808" w:rsidRPr="00FC269C" w:rsidRDefault="000F6808" w:rsidP="000F6808">
      <w:pPr>
        <w:pStyle w:val="afffff7"/>
        <w:rPr>
          <w:rtl/>
        </w:rPr>
      </w:pPr>
      <w:bookmarkStart w:id="6359" w:name="_Toc143620498"/>
      <w:bookmarkStart w:id="6360" w:name="_Toc145198462"/>
      <w:bookmarkStart w:id="6361" w:name="_Toc145500893"/>
      <w:bookmarkStart w:id="6362" w:name="_Toc163506433"/>
      <w:r w:rsidRPr="00FC269C">
        <w:rPr>
          <w:rtl/>
        </w:rPr>
        <w:t>שו"ע או"ח סי' תקי"ט ב'</w:t>
      </w:r>
      <w:bookmarkEnd w:id="6359"/>
      <w:bookmarkEnd w:id="6360"/>
      <w:bookmarkEnd w:id="6361"/>
      <w:bookmarkEnd w:id="6362"/>
    </w:p>
    <w:p w14:paraId="0B0DEDCD" w14:textId="77777777" w:rsidR="000F6808" w:rsidRPr="0086620D" w:rsidRDefault="000F6808" w:rsidP="000F6808">
      <w:pPr>
        <w:pStyle w:val="a7"/>
        <w:rPr>
          <w:rtl/>
        </w:rPr>
      </w:pPr>
      <w:bookmarkStart w:id="6363" w:name="_Toc145223003"/>
      <w:bookmarkStart w:id="6364" w:name="_Toc145487192"/>
      <w:r>
        <w:rPr>
          <w:rFonts w:hint="cs"/>
          <w:rtl/>
        </w:rPr>
        <w:t>בי' התהל"ד והמנח"ש בגר"ז דבמחבר דבר שלא היה כלי מותר באינו עומד לקיום וכ"מ בפרמ"ג</w:t>
      </w:r>
      <w:bookmarkEnd w:id="6353"/>
      <w:bookmarkEnd w:id="6363"/>
      <w:bookmarkEnd w:id="6364"/>
    </w:p>
    <w:p w14:paraId="3068803B" w14:textId="107CC0DF" w:rsidR="000F6808" w:rsidRDefault="000F6808" w:rsidP="000F6808">
      <w:pPr>
        <w:pStyle w:val="a3"/>
        <w:rPr>
          <w:rtl/>
        </w:rPr>
      </w:pPr>
      <w:r>
        <w:rPr>
          <w:rFonts w:hint="cs"/>
          <w:rtl/>
        </w:rPr>
        <w:t xml:space="preserve">וכתב </w:t>
      </w:r>
      <w:r w:rsidRPr="007E0EB8">
        <w:rPr>
          <w:rStyle w:val="aff4"/>
          <w:rFonts w:hint="cs"/>
          <w:vanish/>
          <w:rtl/>
        </w:rPr>
        <w:t>-</w:t>
      </w:r>
      <w:r w:rsidRPr="004E4BA0">
        <w:rPr>
          <w:rStyle w:val="aff4"/>
          <w:rFonts w:hint="cs"/>
          <w:rtl/>
        </w:rPr>
        <w:t>ה</w:t>
      </w:r>
      <w:r w:rsidRPr="00FF7D8F">
        <w:rPr>
          <w:rStyle w:val="aff4"/>
          <w:rFonts w:hint="cs"/>
          <w:vanish/>
          <w:rtl/>
        </w:rPr>
        <w:t xml:space="preserve">&lt;, </w:t>
      </w:r>
      <w:r w:rsidRPr="00FF7D8F">
        <w:rPr>
          <w:rStyle w:val="aff4"/>
          <w:vanish/>
          <w:rtl/>
        </w:rPr>
        <w:fldChar w:fldCharType="begin"/>
      </w:r>
      <w:r w:rsidRPr="00FF7D8F">
        <w:rPr>
          <w:rStyle w:val="aff4"/>
          <w:vanish/>
          <w:rtl/>
        </w:rPr>
        <w:instrText xml:space="preserve"> </w:instrText>
      </w:r>
      <w:r w:rsidRPr="00FF7D8F">
        <w:rPr>
          <w:rStyle w:val="aff4"/>
          <w:rFonts w:hint="cs"/>
          <w:vanish/>
        </w:rPr>
        <w:instrText>REF</w:instrText>
      </w:r>
      <w:r w:rsidRPr="00FF7D8F">
        <w:rPr>
          <w:rStyle w:val="aff4"/>
          <w:rFonts w:hint="cs"/>
          <w:vanish/>
          <w:rtl/>
        </w:rPr>
        <w:instrText xml:space="preserve"> _</w:instrText>
      </w:r>
      <w:r w:rsidRPr="00FF7D8F">
        <w:rPr>
          <w:rStyle w:val="aff4"/>
          <w:rFonts w:hint="cs"/>
          <w:vanish/>
        </w:rPr>
        <w:instrText>Ref143162537 \r \h</w:instrText>
      </w:r>
      <w:r w:rsidRPr="00FF7D8F">
        <w:rPr>
          <w:rStyle w:val="aff4"/>
          <w:vanish/>
          <w:rtl/>
        </w:rPr>
        <w:instrText xml:space="preserve"> </w:instrText>
      </w:r>
      <w:r w:rsidRPr="00FF7D8F">
        <w:rPr>
          <w:rStyle w:val="aff4"/>
          <w:vanish/>
          <w:rtl/>
        </w:rPr>
      </w:r>
      <w:r w:rsidRPr="00FF7D8F">
        <w:rPr>
          <w:rStyle w:val="aff4"/>
          <w:vanish/>
          <w:rtl/>
        </w:rPr>
        <w:fldChar w:fldCharType="separate"/>
      </w:r>
      <w:r w:rsidR="00D82181">
        <w:rPr>
          <w:rStyle w:val="aff4"/>
          <w:vanish/>
          <w:cs/>
        </w:rPr>
        <w:t>‎</w:t>
      </w:r>
      <w:r w:rsidR="00D82181">
        <w:rPr>
          <w:rStyle w:val="aff4"/>
          <w:vanish/>
          <w:rtl/>
        </w:rPr>
        <w:t>מו)</w:t>
      </w:r>
      <w:r w:rsidRPr="00FF7D8F">
        <w:rPr>
          <w:rStyle w:val="aff4"/>
          <w:vanish/>
          <w:rtl/>
        </w:rPr>
        <w:fldChar w:fldCharType="end"/>
      </w:r>
      <w:r w:rsidRPr="00FF7D8F">
        <w:rPr>
          <w:rStyle w:val="aff4"/>
          <w:rFonts w:hint="cs"/>
          <w:vanish/>
          <w:rtl/>
        </w:rPr>
        <w:t xml:space="preserve"> &gt;</w:t>
      </w:r>
      <w:r w:rsidRPr="004E4BA0">
        <w:rPr>
          <w:rStyle w:val="aff4"/>
          <w:rFonts w:hint="cs"/>
          <w:rtl/>
        </w:rPr>
        <w:t>תהלה לדוד</w:t>
      </w:r>
      <w:r w:rsidRPr="007E0EB8">
        <w:rPr>
          <w:rStyle w:val="aff4"/>
          <w:rFonts w:hint="cs"/>
          <w:vanish/>
          <w:rtl/>
        </w:rPr>
        <w:t>-</w:t>
      </w:r>
      <w:r>
        <w:rPr>
          <w:rFonts w:hint="cs"/>
          <w:rtl/>
        </w:rPr>
        <w:t xml:space="preserve"> </w:t>
      </w:r>
      <w:r w:rsidRPr="00C962CD">
        <w:rPr>
          <w:rStyle w:val="af2"/>
          <w:rFonts w:eastAsia="Guttman Hodes" w:hint="cs"/>
          <w:rtl/>
        </w:rPr>
        <w:t>(סי' שי"ד י"ז)</w:t>
      </w:r>
      <w:r w:rsidRPr="007E0EB8">
        <w:rPr>
          <w:rFonts w:hint="cs"/>
          <w:vanish/>
          <w:rtl/>
        </w:rPr>
        <w:t>=</w:t>
      </w:r>
      <w:r>
        <w:rPr>
          <w:rFonts w:hint="cs"/>
          <w:rtl/>
        </w:rPr>
        <w:t xml:space="preserve"> דמשמע מדברי </w:t>
      </w:r>
      <w:r w:rsidRPr="007E0EB8">
        <w:rPr>
          <w:rStyle w:val="aff4"/>
          <w:rFonts w:hint="cs"/>
          <w:vanish/>
          <w:rtl/>
        </w:rPr>
        <w:t>-</w:t>
      </w:r>
      <w:r w:rsidRPr="004E4BA0">
        <w:rPr>
          <w:rStyle w:val="aff4"/>
          <w:rFonts w:hint="cs"/>
          <w:rtl/>
        </w:rPr>
        <w:t>הגר"ז</w:t>
      </w:r>
      <w:r w:rsidRPr="007E0EB8">
        <w:rPr>
          <w:rStyle w:val="aff4"/>
          <w:rFonts w:hint="cs"/>
          <w:vanish/>
          <w:rtl/>
        </w:rPr>
        <w:t>-</w:t>
      </w:r>
      <w:r>
        <w:rPr>
          <w:rFonts w:hint="cs"/>
          <w:rtl/>
        </w:rPr>
        <w:t xml:space="preserve"> </w:t>
      </w:r>
      <w:r w:rsidRPr="00C962CD">
        <w:rPr>
          <w:rStyle w:val="af2"/>
          <w:rFonts w:eastAsia="Guttman Hodes" w:hint="cs"/>
          <w:rtl/>
        </w:rPr>
        <w:t xml:space="preserve">(עי' אות </w:t>
      </w:r>
      <w:r w:rsidRPr="00C962CD">
        <w:rPr>
          <w:rStyle w:val="af2"/>
          <w:rFonts w:eastAsia="Guttman Hodes"/>
          <w:rtl/>
        </w:rPr>
        <w:fldChar w:fldCharType="begin"/>
      </w:r>
      <w:r w:rsidRPr="00C962CD">
        <w:rPr>
          <w:rStyle w:val="af2"/>
          <w:rFonts w:eastAsia="Guttman Hodes"/>
          <w:rtl/>
        </w:rPr>
        <w:instrText xml:space="preserve"> </w:instrText>
      </w:r>
      <w:r w:rsidRPr="00C962CD">
        <w:rPr>
          <w:rStyle w:val="af2"/>
          <w:rFonts w:eastAsia="Guttman Hodes" w:hint="cs"/>
        </w:rPr>
        <w:instrText>REF</w:instrText>
      </w:r>
      <w:r w:rsidRPr="00C962CD">
        <w:rPr>
          <w:rStyle w:val="af2"/>
          <w:rFonts w:eastAsia="Guttman Hodes" w:hint="cs"/>
          <w:rtl/>
        </w:rPr>
        <w:instrText xml:space="preserve"> _</w:instrText>
      </w:r>
      <w:r w:rsidRPr="00C962CD">
        <w:rPr>
          <w:rStyle w:val="af2"/>
          <w:rFonts w:eastAsia="Guttman Hodes" w:hint="cs"/>
        </w:rPr>
        <w:instrText>Ref143165124 \r \h</w:instrText>
      </w:r>
      <w:r w:rsidRPr="00C962CD">
        <w:rPr>
          <w:rStyle w:val="af2"/>
          <w:rFonts w:eastAsia="Guttman Hodes"/>
          <w:rtl/>
        </w:rPr>
        <w:instrText xml:space="preserve"> </w:instrText>
      </w:r>
      <w:r w:rsidRPr="00C962CD">
        <w:rPr>
          <w:rStyle w:val="af2"/>
          <w:rFonts w:eastAsia="Guttman Hodes"/>
          <w:rtl/>
        </w:rPr>
      </w:r>
      <w:r w:rsidRPr="00C962CD">
        <w:rPr>
          <w:rStyle w:val="af2"/>
          <w:rFonts w:eastAsia="Guttman Hodes"/>
          <w:rtl/>
        </w:rPr>
        <w:fldChar w:fldCharType="separate"/>
      </w:r>
      <w:r w:rsidR="00D82181">
        <w:rPr>
          <w:rStyle w:val="af2"/>
          <w:rFonts w:eastAsia="Guttman Hodes"/>
          <w:cs/>
        </w:rPr>
        <w:t>‎</w:t>
      </w:r>
      <w:r w:rsidR="00D82181">
        <w:rPr>
          <w:rStyle w:val="af2"/>
          <w:rFonts w:eastAsia="Guttman Hodes"/>
          <w:rtl/>
        </w:rPr>
        <w:t>מה)</w:t>
      </w:r>
      <w:r w:rsidRPr="00C962CD">
        <w:rPr>
          <w:rStyle w:val="af2"/>
          <w:rFonts w:eastAsia="Guttman Hodes"/>
          <w:rtl/>
        </w:rPr>
        <w:fldChar w:fldCharType="end"/>
      </w:r>
      <w:r>
        <w:rPr>
          <w:rFonts w:hint="cs"/>
          <w:rtl/>
        </w:rPr>
        <w:t xml:space="preserve"> דאף באופן שמחבר דבר שאין לו שם כלי ותוקעו בחוזק בכלי, </w:t>
      </w:r>
      <w:r w:rsidRPr="00030A4D">
        <w:rPr>
          <w:rStyle w:val="af"/>
          <w:rFonts w:hint="cs"/>
          <w:rtl/>
        </w:rPr>
        <w:t>[כגון תוקע ברז בחבית בדבר שאינו מתוקן לברזא כלל]</w:t>
      </w:r>
      <w:r w:rsidRPr="006D12D1">
        <w:rPr>
          <w:rStyle w:val="af"/>
          <w:rFonts w:hint="cs"/>
          <w:rtl/>
        </w:rPr>
        <w:t>,</w:t>
      </w:r>
      <w:r>
        <w:rPr>
          <w:rFonts w:hint="cs"/>
          <w:rtl/>
        </w:rPr>
        <w:t xml:space="preserve"> כל שאינו עומד לקיום כלל מותר, וכ"כ </w:t>
      </w:r>
      <w:r w:rsidRPr="007E0EB8">
        <w:rPr>
          <w:rStyle w:val="aff4"/>
          <w:rFonts w:hint="cs"/>
          <w:vanish/>
          <w:rtl/>
        </w:rPr>
        <w:t>-</w:t>
      </w:r>
      <w:r w:rsidRPr="004E4BA0">
        <w:rPr>
          <w:rStyle w:val="aff4"/>
          <w:rFonts w:hint="cs"/>
          <w:rtl/>
        </w:rPr>
        <w:t>ה</w:t>
      </w:r>
      <w:r w:rsidRPr="00FF7D8F">
        <w:rPr>
          <w:rStyle w:val="aff4"/>
          <w:rFonts w:hint="cs"/>
          <w:vanish/>
          <w:rtl/>
        </w:rPr>
        <w:t>&lt; &gt;</w:t>
      </w:r>
      <w:r w:rsidRPr="004E4BA0">
        <w:rPr>
          <w:rStyle w:val="aff4"/>
          <w:rFonts w:hint="cs"/>
          <w:rtl/>
        </w:rPr>
        <w:t>מנחת שלמה</w:t>
      </w:r>
      <w:r w:rsidRPr="007E0EB8">
        <w:rPr>
          <w:rStyle w:val="aff4"/>
          <w:rFonts w:hint="cs"/>
          <w:vanish/>
          <w:rtl/>
        </w:rPr>
        <w:t>-</w:t>
      </w:r>
      <w:r>
        <w:rPr>
          <w:rFonts w:hint="cs"/>
          <w:rtl/>
        </w:rPr>
        <w:t xml:space="preserve"> </w:t>
      </w:r>
      <w:r w:rsidRPr="00C962CD">
        <w:rPr>
          <w:rStyle w:val="af2"/>
          <w:rFonts w:eastAsia="Guttman Hodes" w:hint="cs"/>
          <w:rtl/>
        </w:rPr>
        <w:t>(ח"א סי' י"א ד"ה גם נראה)</w:t>
      </w:r>
      <w:r w:rsidRPr="007E0EB8">
        <w:rPr>
          <w:rFonts w:hint="cs"/>
          <w:vanish/>
          <w:rtl/>
        </w:rPr>
        <w:t>=</w:t>
      </w:r>
      <w:r>
        <w:rPr>
          <w:rFonts w:hint="cs"/>
          <w:rtl/>
        </w:rPr>
        <w:t xml:space="preserve"> דמבואר מדברי </w:t>
      </w:r>
      <w:r w:rsidRPr="007E0EB8">
        <w:rPr>
          <w:rStyle w:val="aff4"/>
          <w:rFonts w:hint="cs"/>
          <w:vanish/>
          <w:rtl/>
        </w:rPr>
        <w:t>-</w:t>
      </w:r>
      <w:r w:rsidRPr="004E4BA0">
        <w:rPr>
          <w:rStyle w:val="aff4"/>
          <w:rFonts w:hint="cs"/>
          <w:rtl/>
        </w:rPr>
        <w:t>הגר"ז</w:t>
      </w:r>
      <w:r w:rsidRPr="007E0EB8">
        <w:rPr>
          <w:rStyle w:val="aff4"/>
          <w:rFonts w:hint="cs"/>
          <w:vanish/>
          <w:rtl/>
        </w:rPr>
        <w:t>-</w:t>
      </w:r>
      <w:r>
        <w:rPr>
          <w:rFonts w:hint="cs"/>
          <w:rtl/>
        </w:rPr>
        <w:t xml:space="preserve"> דבאינו עומד לקיום לעולם מותר, ודלא </w:t>
      </w:r>
      <w:r w:rsidRPr="007E0EB8">
        <w:rPr>
          <w:rStyle w:val="aff4"/>
          <w:rFonts w:hint="cs"/>
          <w:vanish/>
          <w:rtl/>
        </w:rPr>
        <w:t>-</w:t>
      </w:r>
      <w:r w:rsidRPr="004E4BA0">
        <w:rPr>
          <w:rStyle w:val="aff4"/>
          <w:rFonts w:hint="cs"/>
          <w:rtl/>
        </w:rPr>
        <w:t>כחזו"א</w:t>
      </w:r>
      <w:r w:rsidRPr="007E0EB8">
        <w:rPr>
          <w:rStyle w:val="aff4"/>
          <w:rFonts w:hint="cs"/>
          <w:vanish/>
          <w:rtl/>
        </w:rPr>
        <w:t>-</w:t>
      </w:r>
      <w:r>
        <w:rPr>
          <w:rFonts w:hint="cs"/>
          <w:rtl/>
        </w:rPr>
        <w:t xml:space="preserve"> </w:t>
      </w:r>
      <w:r w:rsidRPr="00C962CD">
        <w:rPr>
          <w:rStyle w:val="af2"/>
          <w:rFonts w:eastAsia="Guttman Hodes" w:hint="cs"/>
          <w:rtl/>
        </w:rPr>
        <w:t xml:space="preserve">(עי' אות </w:t>
      </w:r>
      <w:r w:rsidRPr="00C962CD">
        <w:rPr>
          <w:rStyle w:val="af2"/>
          <w:rFonts w:eastAsia="Guttman Hodes"/>
          <w:rtl/>
        </w:rPr>
        <w:fldChar w:fldCharType="begin"/>
      </w:r>
      <w:r w:rsidRPr="00C962CD">
        <w:rPr>
          <w:rStyle w:val="af2"/>
          <w:rFonts w:eastAsia="Guttman Hodes"/>
          <w:rtl/>
        </w:rPr>
        <w:instrText xml:space="preserve"> </w:instrText>
      </w:r>
      <w:r w:rsidRPr="00C962CD">
        <w:rPr>
          <w:rStyle w:val="af2"/>
          <w:rFonts w:eastAsia="Guttman Hodes" w:hint="cs"/>
        </w:rPr>
        <w:instrText>REF</w:instrText>
      </w:r>
      <w:r w:rsidRPr="00C962CD">
        <w:rPr>
          <w:rStyle w:val="af2"/>
          <w:rFonts w:eastAsia="Guttman Hodes" w:hint="cs"/>
          <w:rtl/>
        </w:rPr>
        <w:instrText xml:space="preserve"> _</w:instrText>
      </w:r>
      <w:r w:rsidRPr="00C962CD">
        <w:rPr>
          <w:rStyle w:val="af2"/>
          <w:rFonts w:eastAsia="Guttman Hodes" w:hint="cs"/>
        </w:rPr>
        <w:instrText>Ref143159400 \r \h</w:instrText>
      </w:r>
      <w:r w:rsidRPr="00C962CD">
        <w:rPr>
          <w:rStyle w:val="af2"/>
          <w:rFonts w:eastAsia="Guttman Hodes"/>
          <w:rtl/>
        </w:rPr>
        <w:instrText xml:space="preserve"> </w:instrText>
      </w:r>
      <w:r w:rsidRPr="00C962CD">
        <w:rPr>
          <w:rStyle w:val="af2"/>
          <w:rFonts w:eastAsia="Guttman Hodes"/>
          <w:rtl/>
        </w:rPr>
      </w:r>
      <w:r w:rsidRPr="00C962CD">
        <w:rPr>
          <w:rStyle w:val="af2"/>
          <w:rFonts w:eastAsia="Guttman Hodes"/>
          <w:rtl/>
        </w:rPr>
        <w:fldChar w:fldCharType="separate"/>
      </w:r>
      <w:r w:rsidR="00D82181">
        <w:rPr>
          <w:rStyle w:val="af2"/>
          <w:rFonts w:eastAsia="Guttman Hodes"/>
          <w:cs/>
        </w:rPr>
        <w:t>‎</w:t>
      </w:r>
      <w:r w:rsidR="00D82181">
        <w:rPr>
          <w:rStyle w:val="af2"/>
          <w:rFonts w:eastAsia="Guttman Hodes"/>
          <w:rtl/>
        </w:rPr>
        <w:t>מב)</w:t>
      </w:r>
      <w:r w:rsidRPr="00C962CD">
        <w:rPr>
          <w:rStyle w:val="af2"/>
          <w:rFonts w:eastAsia="Guttman Hodes"/>
          <w:rtl/>
        </w:rPr>
        <w:fldChar w:fldCharType="end"/>
      </w:r>
      <w:r>
        <w:rPr>
          <w:rFonts w:hint="cs"/>
          <w:rtl/>
        </w:rPr>
        <w:t xml:space="preserve"> דכתב דההיתר בפתיחת כיסוי הכלים הוא רק במקום שכ"א יש לו שם כלי, והוסיף </w:t>
      </w:r>
      <w:r w:rsidRPr="007E0EB8">
        <w:rPr>
          <w:rStyle w:val="aff4"/>
          <w:rFonts w:hint="cs"/>
          <w:vanish/>
          <w:rtl/>
        </w:rPr>
        <w:t>-</w:t>
      </w:r>
      <w:r w:rsidRPr="004E4BA0">
        <w:rPr>
          <w:rStyle w:val="aff4"/>
          <w:rFonts w:hint="cs"/>
          <w:rtl/>
        </w:rPr>
        <w:t>המנחת שלמה</w:t>
      </w:r>
      <w:r w:rsidRPr="007E0EB8">
        <w:rPr>
          <w:rStyle w:val="aff4"/>
          <w:rFonts w:hint="cs"/>
          <w:vanish/>
          <w:rtl/>
        </w:rPr>
        <w:t>-</w:t>
      </w:r>
      <w:r>
        <w:rPr>
          <w:rFonts w:hint="cs"/>
          <w:rtl/>
        </w:rPr>
        <w:t xml:space="preserve"> דהא כתב </w:t>
      </w:r>
      <w:r w:rsidRPr="007E0EB8">
        <w:rPr>
          <w:rStyle w:val="aff4"/>
          <w:rFonts w:hint="cs"/>
          <w:vanish/>
          <w:rtl/>
        </w:rPr>
        <w:t>-</w:t>
      </w:r>
      <w:r w:rsidRPr="004E4BA0">
        <w:rPr>
          <w:rStyle w:val="aff4"/>
          <w:rtl/>
        </w:rPr>
        <w:t>הפרמ"ג</w:t>
      </w:r>
      <w:r w:rsidRPr="007E0EB8">
        <w:rPr>
          <w:rStyle w:val="aff4"/>
          <w:rFonts w:hint="cs"/>
          <w:vanish/>
          <w:rtl/>
        </w:rPr>
        <w:t>-</w:t>
      </w:r>
      <w:r w:rsidRPr="000722EB">
        <w:rPr>
          <w:rtl/>
        </w:rPr>
        <w:t xml:space="preserve"> </w:t>
      </w:r>
      <w:r w:rsidRPr="00C962CD">
        <w:rPr>
          <w:rStyle w:val="af2"/>
          <w:rFonts w:eastAsia="Guttman Hodes"/>
          <w:rtl/>
        </w:rPr>
        <w:t>(סי' שי"ג משב"ז סק"ז)</w:t>
      </w:r>
      <w:r w:rsidRPr="000722EB">
        <w:rPr>
          <w:rtl/>
        </w:rPr>
        <w:t xml:space="preserve"> ד</w:t>
      </w:r>
      <w:r>
        <w:rPr>
          <w:rFonts w:hint="cs"/>
          <w:rtl/>
        </w:rPr>
        <w:t xml:space="preserve">ההיתר בכיסוי הכלים הוא </w:t>
      </w:r>
      <w:r w:rsidRPr="000722EB">
        <w:rPr>
          <w:rtl/>
        </w:rPr>
        <w:t xml:space="preserve">כיון </w:t>
      </w:r>
      <w:r>
        <w:rPr>
          <w:rFonts w:hint="cs"/>
          <w:rtl/>
        </w:rPr>
        <w:t xml:space="preserve">דכל כלי שאפשר להתשמש בו </w:t>
      </w:r>
      <w:r w:rsidRPr="000722EB">
        <w:rPr>
          <w:rtl/>
        </w:rPr>
        <w:t>רק ע"י פירוק והידוק</w:t>
      </w:r>
      <w:r>
        <w:rPr>
          <w:rFonts w:hint="cs"/>
          <w:rtl/>
        </w:rPr>
        <w:t>,</w:t>
      </w:r>
      <w:r w:rsidRPr="000722EB">
        <w:rPr>
          <w:rtl/>
        </w:rPr>
        <w:t xml:space="preserve"> אינו מכה בפטיש ולא בונה, דעשוי מתחילה לכך,</w:t>
      </w:r>
      <w:r>
        <w:rPr>
          <w:rFonts w:hint="cs"/>
          <w:rtl/>
        </w:rPr>
        <w:t xml:space="preserve"> ומשמע דאף כשכ"א מהם בפנ"ע אינו ראוי לשימוש בפנ"ע ואינו</w:t>
      </w:r>
      <w:r w:rsidRPr="00BA7A2D">
        <w:rPr>
          <w:rFonts w:hint="cs"/>
          <w:rtl/>
        </w:rPr>
        <w:t xml:space="preserve"> </w:t>
      </w:r>
      <w:r>
        <w:rPr>
          <w:rFonts w:hint="cs"/>
          <w:rtl/>
        </w:rPr>
        <w:t xml:space="preserve">כלי כלל, וכן משמע מפשטות דברי </w:t>
      </w:r>
      <w:r w:rsidRPr="007E0EB8">
        <w:rPr>
          <w:rStyle w:val="aff4"/>
          <w:rFonts w:hint="cs"/>
          <w:vanish/>
          <w:rtl/>
        </w:rPr>
        <w:t>-</w:t>
      </w:r>
      <w:r w:rsidRPr="004E4BA0">
        <w:rPr>
          <w:rStyle w:val="aff4"/>
          <w:rFonts w:hint="cs"/>
          <w:rtl/>
        </w:rPr>
        <w:t>ה</w:t>
      </w:r>
      <w:r w:rsidRPr="00FF7D8F">
        <w:rPr>
          <w:rStyle w:val="aff4"/>
          <w:rFonts w:hint="cs"/>
          <w:vanish/>
          <w:rtl/>
        </w:rPr>
        <w:t>&lt; &gt;</w:t>
      </w:r>
      <w:r w:rsidRPr="004E4BA0">
        <w:rPr>
          <w:rStyle w:val="aff4"/>
          <w:rFonts w:hint="cs"/>
          <w:rtl/>
        </w:rPr>
        <w:t>שו"ע</w:t>
      </w:r>
      <w:r w:rsidRPr="007E0EB8">
        <w:rPr>
          <w:rStyle w:val="aff4"/>
          <w:rFonts w:hint="cs"/>
          <w:vanish/>
          <w:rtl/>
        </w:rPr>
        <w:t>-</w:t>
      </w:r>
      <w:r>
        <w:rPr>
          <w:rFonts w:hint="cs"/>
          <w:rtl/>
        </w:rPr>
        <w:t xml:space="preserve"> </w:t>
      </w:r>
      <w:r w:rsidRPr="00C962CD">
        <w:rPr>
          <w:rStyle w:val="af2"/>
          <w:rFonts w:eastAsia="Guttman Hodes" w:hint="cs"/>
          <w:rtl/>
        </w:rPr>
        <w:t>(סי' תקי"ט ב')</w:t>
      </w:r>
      <w:r w:rsidRPr="007E0EB8">
        <w:rPr>
          <w:rFonts w:hint="cs"/>
          <w:vanish/>
          <w:rtl/>
        </w:rPr>
        <w:t>=</w:t>
      </w:r>
      <w:r>
        <w:rPr>
          <w:rFonts w:hint="cs"/>
          <w:rtl/>
        </w:rPr>
        <w:t>.</w:t>
      </w:r>
    </w:p>
    <w:p w14:paraId="340C1819" w14:textId="77777777" w:rsidR="000F6808" w:rsidRPr="00111645" w:rsidRDefault="000F6808" w:rsidP="000F6808">
      <w:pPr>
        <w:pStyle w:val="a2"/>
        <w:rPr>
          <w:rtl/>
        </w:rPr>
      </w:pPr>
      <w:r w:rsidRPr="00111645">
        <w:rPr>
          <w:rtl/>
        </w:rPr>
        <w:t>ומלשון הרב ז"ל שכתב כיון שדרך הוא לעולס לסתמו בען זה ע"כ משמע דבעי ברזא מיוחדת לחבית ולפ"ז בביטלע"ס שלנו לסתום הנקב שלמעלה בקארי"ק שאינו מיוחד לו באינו עשוי לפתחו אלא לעתים רחוקים אסור ואס מהדקו בחוזק לכאורה יש בזה חיוב חטאת וא</w:t>
      </w:r>
      <w:r w:rsidRPr="00111645">
        <w:rPr>
          <w:rFonts w:hint="cs"/>
          <w:rtl/>
        </w:rPr>
        <w:t>ם</w:t>
      </w:r>
      <w:r w:rsidRPr="00111645">
        <w:rPr>
          <w:rtl/>
        </w:rPr>
        <w:t xml:space="preserve"> עשוי לפתחו ולסתמו מדיר לדעת הרב ז"ל בסי' שי"ג סס"כ דס"ל דבאץ עשוי לקיום כלל לא שייך בנין בכלים עמש"ש ס"ק י"ז מותר לסתמו ולהדקו אפילו בדבר שאינו מתוקן לברזא</w:t>
      </w:r>
      <w:r w:rsidRPr="00111645">
        <w:rPr>
          <w:rFonts w:hint="cs"/>
          <w:rtl/>
        </w:rPr>
        <w:t>.</w:t>
      </w:r>
    </w:p>
    <w:p w14:paraId="4F05478E" w14:textId="77777777" w:rsidR="000F6808" w:rsidRPr="00111645" w:rsidRDefault="000F6808" w:rsidP="000F6808">
      <w:pPr>
        <w:pStyle w:val="afffff5"/>
      </w:pPr>
      <w:r w:rsidRPr="00111645">
        <w:rPr>
          <w:rtl/>
        </w:rPr>
        <w:t xml:space="preserve">ועכ"פ לענין כלים עי' שו"ע הרב סי' שי"ג סעי' כ"א שכתב לענין כלי של פרקים שאם הדקם בחוזק בענין שצריך לזה גבורה ואומנות אף על גב שהוא בנין גמור וחייב משום בונה, היינו דוקא "אם עשוי להתקיים הרבה ואם אינו עשוי להתקיים הרבה הרי זה בנין עראי ואסור מדברי סופרים אא"כ אינו עשוי לקיום כלל" דשרי גם מדרבנן, </w:t>
      </w:r>
      <w:r w:rsidRPr="004D1532">
        <w:rPr>
          <w:rStyle w:val="afff7"/>
          <w:rtl/>
        </w:rPr>
        <w:t>ובנד"ד הרי סוגרים ופותחים את המעגל מאה פעמים בכל יום</w:t>
      </w:r>
      <w:r w:rsidRPr="00111645">
        <w:rPr>
          <w:rtl/>
        </w:rPr>
        <w:t xml:space="preserve"> ואפילו הכי כתב החזו"א "דאפילו בכלים כה"ג חשיב בונה", ומ"ש החזו"א "ואף אם השימוש הוא לשעות מיוחדות ואח"כ פוסקו דהפסיקה היא מכאן ולהבא והצורה הראשונה אינה בת פירוד מן הגשם" צ"ע, </w:t>
      </w:r>
      <w:r w:rsidRPr="004D1532">
        <w:rPr>
          <w:rStyle w:val="afff7"/>
          <w:rtl/>
        </w:rPr>
        <w:t xml:space="preserve">דמ"מ היכן מצינו ענין זה שהצורה הראשונה אינה בת פירוד, הרי סו"ס אין אנו רואים אלא תנועה או סיבוב של זרם חשמלי תוך חוטים </w:t>
      </w:r>
      <w:r w:rsidRPr="00111645">
        <w:rPr>
          <w:rtl/>
        </w:rPr>
        <w:t>התלוי ברצון האדם אשר ברצותו מזרים וברצותו מפסיק, ועיין גם בפמ"ג סי' שי"ג במש"ז סק"ז שכתב "כלים שאי אפשר להשתמש כי אם ע"י פירוק והידוק לאו מכה בפטיש וגם לאו בונה הוא דעשוי מתחילה לכך ושרי", ומשמע דמותר אף בכה"ג שכל חלק לחוד אינו ראוי לכלום, וכן נראה מפשטות דברי השו"ע בסי' תקי"ט ס"ב דשרי אפי' אם אינם ראויים כלל כשהם מפוצלים.</w:t>
      </w:r>
    </w:p>
    <w:p w14:paraId="1896EF93" w14:textId="77777777" w:rsidR="000F6808" w:rsidRPr="00111645" w:rsidRDefault="000F6808" w:rsidP="000F6808">
      <w:pPr>
        <w:pStyle w:val="afffff5"/>
        <w:rPr>
          <w:rtl/>
        </w:rPr>
      </w:pPr>
      <w:r w:rsidRPr="00111645">
        <w:rPr>
          <w:rtl/>
        </w:rPr>
        <w:t>שדין. עיין ט"ז. כלים שאי אפשר להשתמש כי אם על ידי פירוק והידוק לאו מכה בפטיש, וגם לאו בונה הוא, דעשוי מתחלה לכך ושרי.</w:t>
      </w:r>
    </w:p>
    <w:p w14:paraId="71719DD6" w14:textId="77777777" w:rsidR="000F6808" w:rsidRPr="00111645" w:rsidRDefault="000F6808" w:rsidP="000F6808">
      <w:pPr>
        <w:pStyle w:val="afffff5"/>
        <w:rPr>
          <w:rtl/>
        </w:rPr>
      </w:pPr>
      <w:r w:rsidRPr="00111645">
        <w:rPr>
          <w:rtl/>
        </w:rPr>
        <w:t>כלים שהם מפוצלים, כגון מנורה של חוליות וכסא ושלחן שהם חתיכות חתיכות, מעמידין אותן ביום טוב; והוא שלא יתקע.</w:t>
      </w:r>
    </w:p>
    <w:p w14:paraId="2EC106DD" w14:textId="77777777" w:rsidR="000F6808" w:rsidRPr="00C87B14" w:rsidRDefault="000F6808" w:rsidP="000F6808">
      <w:pPr>
        <w:pStyle w:val="a7"/>
      </w:pPr>
    </w:p>
    <w:p w14:paraId="3E312A52" w14:textId="77777777" w:rsidR="000F6808" w:rsidRPr="00690535" w:rsidRDefault="000F6808" w:rsidP="000F6808">
      <w:pPr>
        <w:pStyle w:val="a7"/>
        <w:rPr>
          <w:rtl/>
        </w:rPr>
        <w:sectPr w:rsidR="000F6808" w:rsidRPr="00690535" w:rsidSect="00CA28B3">
          <w:footerReference w:type="default" r:id="rId199"/>
          <w:type w:val="continuous"/>
          <w:pgSz w:w="11906" w:h="16838"/>
          <w:pgMar w:top="720" w:right="720" w:bottom="720" w:left="720" w:header="283" w:footer="283" w:gutter="0"/>
          <w:cols w:num="2" w:space="567"/>
          <w:bidi/>
          <w:rtlGutter/>
        </w:sectPr>
      </w:pPr>
    </w:p>
    <w:p w14:paraId="7F31640D" w14:textId="77777777" w:rsidR="000F6808" w:rsidRPr="008E1B37" w:rsidRDefault="000F6808" w:rsidP="000F6808">
      <w:pPr>
        <w:pStyle w:val="a7"/>
        <w:rPr>
          <w:rtl/>
        </w:rPr>
      </w:pPr>
    </w:p>
    <w:bookmarkEnd w:id="5826"/>
    <w:p w14:paraId="24D845E1" w14:textId="77777777" w:rsidR="000F6808" w:rsidRDefault="000F6808" w:rsidP="000F6808">
      <w:pPr>
        <w:keepNext/>
        <w:keepLines/>
        <w:spacing w:after="0" w:line="240" w:lineRule="auto"/>
        <w:jc w:val="center"/>
        <w:outlineLvl w:val="1"/>
        <w:rPr>
          <w:rFonts w:ascii="FrankRuehl" w:eastAsia="Guttman Adii-Light" w:hAnsi="FrankRuehl" w:cs="Guttman Hodes"/>
          <w:b/>
          <w:bCs/>
          <w:noProof/>
          <w:sz w:val="24"/>
          <w:szCs w:val="24"/>
          <w:rtl/>
        </w:rPr>
        <w:sectPr w:rsidR="000F6808" w:rsidSect="00CA28B3">
          <w:type w:val="continuous"/>
          <w:pgSz w:w="11906" w:h="16838"/>
          <w:pgMar w:top="720" w:right="720" w:bottom="720" w:left="720" w:header="283" w:footer="283" w:gutter="0"/>
          <w:cols w:space="567"/>
          <w:bidi/>
          <w:rtlGutter/>
          <w:docGrid w:linePitch="299"/>
        </w:sectPr>
      </w:pPr>
    </w:p>
    <w:p w14:paraId="69B39776" w14:textId="6FDA973A" w:rsidR="00570749" w:rsidRPr="00AA53CC" w:rsidRDefault="008D6ECA" w:rsidP="00570749">
      <w:pPr>
        <w:keepNext/>
        <w:keepLines/>
        <w:spacing w:after="0" w:line="240" w:lineRule="auto"/>
        <w:jc w:val="center"/>
        <w:outlineLvl w:val="1"/>
        <w:rPr>
          <w:rFonts w:ascii="FrankRuehl" w:eastAsia="Guttman Adii-Light" w:hAnsi="FrankRuehl" w:cs="Guttman Hodes"/>
          <w:b/>
          <w:bCs/>
          <w:noProof/>
          <w:sz w:val="24"/>
          <w:szCs w:val="24"/>
          <w:rtl/>
        </w:rPr>
        <w:sectPr w:rsidR="00570749" w:rsidRPr="00AA53CC" w:rsidSect="00570749">
          <w:headerReference w:type="even" r:id="rId200"/>
          <w:headerReference w:type="default" r:id="rId201"/>
          <w:type w:val="oddPage"/>
          <w:pgSz w:w="11906" w:h="16838"/>
          <w:pgMar w:top="720" w:right="720" w:bottom="720" w:left="720" w:header="283" w:footer="283" w:gutter="0"/>
          <w:cols w:space="567"/>
          <w:bidi/>
          <w:rtlGutter/>
          <w:docGrid w:linePitch="299"/>
        </w:sectPr>
      </w:pPr>
      <w:r>
        <w:rPr>
          <w:rFonts w:ascii="Guttman Hodes" w:eastAsia="Guttman Hodes" w:hAnsi="Guttman Hodes" w:cs="Guttman Hodes"/>
          <w:noProof/>
          <w:sz w:val="18"/>
          <w:szCs w:val="18"/>
        </w:rPr>
        <w:lastRenderedPageBreak/>
        <w:pict w14:anchorId="496603FB">
          <v:shape id="_x0000_i7847" type="#_x0000_t75" style="width:404.55pt;height:6.8pt" o:hrpct="0" o:hralign="center" o:hr="t">
            <v:imagedata r:id="rId36" o:title="BD14845_"/>
          </v:shape>
        </w:pict>
      </w:r>
      <w:r w:rsidR="00570749" w:rsidRPr="00224A5A">
        <w:rPr>
          <w:rFonts w:ascii="FrankRuehl" w:eastAsia="Guttman Adii-Light" w:hAnsi="FrankRuehl" w:cs="Guttman Hodes"/>
          <w:b/>
          <w:bCs/>
          <w:noProof/>
          <w:sz w:val="24"/>
          <w:szCs w:val="24"/>
          <w:rtl/>
        </w:rPr>
        <w:t>~~~~~~~</w:t>
      </w:r>
      <w:r w:rsidR="00570749" w:rsidRPr="00224A5A">
        <w:rPr>
          <w:rFonts w:ascii="FrankRuehl" w:eastAsia="Guttman Adii-Light" w:hAnsi="FrankRuehl" w:cs="Guttman Hodes" w:hint="cs"/>
          <w:b/>
          <w:bCs/>
          <w:noProof/>
          <w:sz w:val="24"/>
          <w:szCs w:val="24"/>
          <w:rtl/>
        </w:rPr>
        <w:t xml:space="preserve"> מפתחות</w:t>
      </w:r>
      <w:r w:rsidR="00570749">
        <w:rPr>
          <w:rFonts w:ascii="FrankRuehl" w:eastAsia="Guttman Adii-Light" w:hAnsi="FrankRuehl" w:cs="Guttman Hodes" w:hint="cs"/>
          <w:b/>
          <w:bCs/>
          <w:noProof/>
          <w:sz w:val="24"/>
          <w:szCs w:val="24"/>
          <w:rtl/>
        </w:rPr>
        <w:t xml:space="preserve"> </w:t>
      </w:r>
      <w:r w:rsidR="00570749" w:rsidRPr="00224A5A">
        <w:rPr>
          <w:rFonts w:ascii="FrankRuehl" w:eastAsia="Guttman Adii-Light" w:hAnsi="FrankRuehl" w:cs="Guttman Hodes"/>
          <w:b/>
          <w:bCs/>
          <w:noProof/>
          <w:sz w:val="24"/>
          <w:szCs w:val="24"/>
          <w:rtl/>
        </w:rPr>
        <w:t>~~~~~~~</w:t>
      </w:r>
    </w:p>
    <w:p w14:paraId="29C67D8F" w14:textId="3B304667" w:rsidR="00570749" w:rsidRPr="0031478E" w:rsidRDefault="00570749" w:rsidP="00570749">
      <w:pPr>
        <w:pStyle w:val="11"/>
        <w:rPr>
          <w:rtl/>
        </w:rPr>
      </w:pPr>
      <w:r w:rsidRPr="0031478E">
        <w:rPr>
          <w:rFonts w:hint="cs"/>
          <w:rtl/>
        </w:rPr>
        <w:t xml:space="preserve">המפתחות הם לציון הראשון בכל נושא </w:t>
      </w:r>
      <w:r w:rsidRPr="0031478E">
        <w:rPr>
          <w:rFonts w:hint="cs"/>
          <w:rtl/>
        </w:rPr>
        <w:tab/>
      </w:r>
      <w:r w:rsidRPr="0031478E">
        <w:rPr>
          <w:rtl/>
        </w:rPr>
        <w:tab/>
      </w:r>
      <w:r w:rsidRPr="0031478E">
        <w:rPr>
          <w:rtl/>
        </w:rPr>
        <w:tab/>
      </w:r>
      <w:r w:rsidRPr="0031478E">
        <w:rPr>
          <w:rtl/>
        </w:rPr>
        <w:tab/>
      </w:r>
      <w:r w:rsidRPr="0031478E">
        <w:rPr>
          <w:rtl/>
        </w:rPr>
        <w:tab/>
      </w:r>
      <w:r w:rsidRPr="0031478E">
        <w:rPr>
          <w:rFonts w:hint="cs"/>
          <w:rtl/>
        </w:rPr>
        <w:t>האות בסוגריים מציינת את ה</w:t>
      </w:r>
      <w:r w:rsidR="005956F3">
        <w:rPr>
          <w:rFonts w:hint="cs"/>
          <w:rtl/>
        </w:rPr>
        <w:t>סימן ט</w:t>
      </w:r>
      <w:r w:rsidRPr="0031478E">
        <w:rPr>
          <w:rFonts w:hint="cs"/>
          <w:rtl/>
        </w:rPr>
        <w:t>ו מופיע הציון</w:t>
      </w:r>
    </w:p>
    <w:p w14:paraId="3ECB9BCF" w14:textId="77777777" w:rsidR="00570749" w:rsidRPr="00224A5A" w:rsidRDefault="00570749" w:rsidP="00570749">
      <w:pPr>
        <w:rPr>
          <w:rtl/>
        </w:rPr>
      </w:pPr>
    </w:p>
    <w:p w14:paraId="24252B45" w14:textId="77777777" w:rsidR="00570749" w:rsidRPr="00224A5A" w:rsidRDefault="00570749" w:rsidP="00570749">
      <w:pPr>
        <w:rPr>
          <w:rtl/>
        </w:rPr>
        <w:sectPr w:rsidR="00570749" w:rsidRPr="00224A5A" w:rsidSect="00CA28B3">
          <w:footerReference w:type="default" r:id="rId202"/>
          <w:type w:val="continuous"/>
          <w:pgSz w:w="11906" w:h="16838"/>
          <w:pgMar w:top="720" w:right="720" w:bottom="720" w:left="720" w:header="283" w:footer="283" w:gutter="0"/>
          <w:cols w:space="170"/>
          <w:bidi/>
          <w:rtlGutter/>
        </w:sectPr>
      </w:pPr>
    </w:p>
    <w:p w14:paraId="0C0A909E" w14:textId="22604DB6" w:rsidR="008009AA" w:rsidRDefault="00570749">
      <w:pPr>
        <w:pStyle w:val="TOC7"/>
        <w:rPr>
          <w:rFonts w:cstheme="minorBidi"/>
          <w:sz w:val="22"/>
          <w:szCs w:val="22"/>
          <w:rtl/>
        </w:rPr>
      </w:pPr>
      <w:r w:rsidRPr="00224A5A">
        <w:rPr>
          <w:rtl/>
        </w:rPr>
        <w:fldChar w:fldCharType="begin"/>
      </w:r>
      <w:r w:rsidRPr="00224A5A">
        <w:rPr>
          <w:rtl/>
        </w:rPr>
        <w:instrText xml:space="preserve"> </w:instrText>
      </w:r>
      <w:r w:rsidRPr="00224A5A">
        <w:instrText>TOC</w:instrText>
      </w:r>
      <w:r w:rsidRPr="00224A5A">
        <w:rPr>
          <w:rtl/>
        </w:rPr>
        <w:instrText xml:space="preserve"> \</w:instrText>
      </w:r>
      <w:r w:rsidRPr="00224A5A">
        <w:instrText>h \z \t</w:instrText>
      </w:r>
      <w:r w:rsidRPr="00224A5A">
        <w:rPr>
          <w:rtl/>
        </w:rPr>
        <w:instrText xml:space="preserve"> "כות מפ.סדורה,7,כות מפר בלשו,8,מוסתר,9" </w:instrText>
      </w:r>
      <w:r w:rsidRPr="00224A5A">
        <w:rPr>
          <w:rtl/>
        </w:rPr>
        <w:fldChar w:fldCharType="separate"/>
      </w:r>
      <w:hyperlink w:anchor="_Toc163505368" w:history="1">
        <w:r w:rsidR="008009AA" w:rsidRPr="007246E7">
          <w:rPr>
            <w:rStyle w:val="Hyperlink"/>
            <w:rtl/>
          </w:rPr>
          <w:t>רש"י שבת ע"ג ע"ב ד"ה כולן</w:t>
        </w:r>
        <w:r w:rsidR="008009AA">
          <w:rPr>
            <w:webHidden/>
            <w:rtl/>
          </w:rPr>
          <w:tab/>
        </w:r>
        <w:r w:rsidR="008009AA">
          <w:rPr>
            <w:rStyle w:val="Hyperlink"/>
            <w:rtl/>
          </w:rPr>
          <w:fldChar w:fldCharType="begin"/>
        </w:r>
        <w:r w:rsidR="008009AA">
          <w:rPr>
            <w:webHidden/>
            <w:rtl/>
          </w:rPr>
          <w:instrText xml:space="preserve"> </w:instrText>
        </w:r>
        <w:r w:rsidR="008009AA">
          <w:rPr>
            <w:webHidden/>
          </w:rPr>
          <w:instrText>PAGEREF</w:instrText>
        </w:r>
        <w:r w:rsidR="008009AA">
          <w:rPr>
            <w:webHidden/>
            <w:rtl/>
          </w:rPr>
          <w:instrText xml:space="preserve"> _</w:instrText>
        </w:r>
        <w:r w:rsidR="008009AA">
          <w:rPr>
            <w:webHidden/>
          </w:rPr>
          <w:instrText>Toc163505368 \h</w:instrText>
        </w:r>
        <w:r w:rsidR="008009AA">
          <w:rPr>
            <w:webHidden/>
            <w:rtl/>
          </w:rPr>
          <w:instrText xml:space="preserve"> </w:instrText>
        </w:r>
        <w:r w:rsidR="008009AA">
          <w:rPr>
            <w:rStyle w:val="Hyperlink"/>
            <w:rtl/>
          </w:rPr>
        </w:r>
        <w:r w:rsidR="008009AA">
          <w:rPr>
            <w:rStyle w:val="Hyperlink"/>
            <w:rtl/>
          </w:rPr>
          <w:fldChar w:fldCharType="separate"/>
        </w:r>
        <w:r w:rsidR="00D82181">
          <w:rPr>
            <w:webHidden/>
            <w:rtl/>
          </w:rPr>
          <w:t>15</w:t>
        </w:r>
        <w:r w:rsidR="008009AA">
          <w:rPr>
            <w:rStyle w:val="Hyperlink"/>
            <w:rtl/>
          </w:rPr>
          <w:fldChar w:fldCharType="end"/>
        </w:r>
      </w:hyperlink>
    </w:p>
    <w:p w14:paraId="0C5AAFAE" w14:textId="7267B3A1" w:rsidR="008009AA" w:rsidRDefault="008009AA">
      <w:pPr>
        <w:pStyle w:val="TOC7"/>
        <w:rPr>
          <w:rFonts w:cstheme="minorBidi"/>
          <w:sz w:val="22"/>
          <w:szCs w:val="22"/>
          <w:rtl/>
        </w:rPr>
      </w:pPr>
      <w:hyperlink w:anchor="_Toc163505369" w:history="1">
        <w:r w:rsidRPr="007246E7">
          <w:rPr>
            <w:rStyle w:val="Hyperlink"/>
            <w:rtl/>
          </w:rPr>
          <w:t>רש"י שבת ע"ג ע"ב ד"ה זומר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Toc163505369 \h</w:instrText>
        </w:r>
        <w:r>
          <w:rPr>
            <w:webHidden/>
            <w:rtl/>
          </w:rPr>
          <w:instrText xml:space="preserve"> </w:instrText>
        </w:r>
        <w:r>
          <w:rPr>
            <w:rStyle w:val="Hyperlink"/>
            <w:rtl/>
          </w:rPr>
        </w:r>
        <w:r>
          <w:rPr>
            <w:rStyle w:val="Hyperlink"/>
            <w:rtl/>
          </w:rPr>
          <w:fldChar w:fldCharType="separate"/>
        </w:r>
        <w:r w:rsidR="00D82181">
          <w:rPr>
            <w:webHidden/>
            <w:rtl/>
          </w:rPr>
          <w:t>15</w:t>
        </w:r>
        <w:r>
          <w:rPr>
            <w:rStyle w:val="Hyperlink"/>
            <w:rtl/>
          </w:rPr>
          <w:fldChar w:fldCharType="end"/>
        </w:r>
      </w:hyperlink>
    </w:p>
    <w:p w14:paraId="0E12551F" w14:textId="6602B091" w:rsidR="008009AA" w:rsidRDefault="008009AA">
      <w:pPr>
        <w:pStyle w:val="TOC7"/>
        <w:rPr>
          <w:rFonts w:cstheme="minorBidi"/>
          <w:sz w:val="22"/>
          <w:szCs w:val="22"/>
          <w:rtl/>
        </w:rPr>
      </w:pPr>
      <w:hyperlink w:anchor="_Toc163505370" w:history="1">
        <w:r w:rsidRPr="007246E7">
          <w:rPr>
            <w:rStyle w:val="Hyperlink"/>
            <w:rtl/>
          </w:rPr>
          <w:t>ר"ן על הרי"ף שבת ל"א ע"ב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Toc163505370 \h</w:instrText>
        </w:r>
        <w:r>
          <w:rPr>
            <w:webHidden/>
            <w:rtl/>
          </w:rPr>
          <w:instrText xml:space="preserve"> </w:instrText>
        </w:r>
        <w:r>
          <w:rPr>
            <w:rStyle w:val="Hyperlink"/>
            <w:rtl/>
          </w:rPr>
        </w:r>
        <w:r>
          <w:rPr>
            <w:rStyle w:val="Hyperlink"/>
            <w:rtl/>
          </w:rPr>
          <w:fldChar w:fldCharType="separate"/>
        </w:r>
        <w:r w:rsidR="00D82181">
          <w:rPr>
            <w:webHidden/>
            <w:rtl/>
          </w:rPr>
          <w:t>15</w:t>
        </w:r>
        <w:r>
          <w:rPr>
            <w:rStyle w:val="Hyperlink"/>
            <w:rtl/>
          </w:rPr>
          <w:fldChar w:fldCharType="end"/>
        </w:r>
      </w:hyperlink>
    </w:p>
    <w:p w14:paraId="70582E7F" w14:textId="025A6C94" w:rsidR="008009AA" w:rsidRDefault="008009AA">
      <w:pPr>
        <w:pStyle w:val="TOC7"/>
        <w:rPr>
          <w:rFonts w:cstheme="minorBidi"/>
          <w:sz w:val="22"/>
          <w:szCs w:val="22"/>
          <w:rtl/>
        </w:rPr>
      </w:pPr>
      <w:hyperlink w:anchor="_Toc163505371" w:history="1">
        <w:r w:rsidRPr="007246E7">
          <w:rPr>
            <w:rStyle w:val="Hyperlink"/>
            <w:rtl/>
          </w:rPr>
          <w:t>רש"י שבת ע"ג ע"ב ד"ה כולן, ונוטע, חייב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Toc163505371 \h</w:instrText>
        </w:r>
        <w:r>
          <w:rPr>
            <w:webHidden/>
            <w:rtl/>
          </w:rPr>
          <w:instrText xml:space="preserve"> </w:instrText>
        </w:r>
        <w:r>
          <w:rPr>
            <w:rStyle w:val="Hyperlink"/>
            <w:rtl/>
          </w:rPr>
        </w:r>
        <w:r>
          <w:rPr>
            <w:rStyle w:val="Hyperlink"/>
            <w:rtl/>
          </w:rPr>
          <w:fldChar w:fldCharType="separate"/>
        </w:r>
        <w:r w:rsidR="00D82181">
          <w:rPr>
            <w:webHidden/>
            <w:rtl/>
          </w:rPr>
          <w:t>15</w:t>
        </w:r>
        <w:r>
          <w:rPr>
            <w:rStyle w:val="Hyperlink"/>
            <w:rtl/>
          </w:rPr>
          <w:fldChar w:fldCharType="end"/>
        </w:r>
      </w:hyperlink>
    </w:p>
    <w:p w14:paraId="01FCACBC" w14:textId="52A0882C" w:rsidR="008009AA" w:rsidRDefault="008009AA">
      <w:pPr>
        <w:pStyle w:val="TOC7"/>
        <w:rPr>
          <w:rFonts w:cstheme="minorBidi"/>
          <w:sz w:val="22"/>
          <w:szCs w:val="22"/>
          <w:rtl/>
        </w:rPr>
      </w:pPr>
      <w:hyperlink w:anchor="_Toc163505372" w:history="1">
        <w:r w:rsidRPr="007246E7">
          <w:rPr>
            <w:rStyle w:val="Hyperlink"/>
            <w:rtl/>
          </w:rPr>
          <w:t>רש"י שבת ע"ג ע"ב ד"ה משום, ד"ה אימא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Toc163505372 \h</w:instrText>
        </w:r>
        <w:r>
          <w:rPr>
            <w:webHidden/>
            <w:rtl/>
          </w:rPr>
          <w:instrText xml:space="preserve"> </w:instrText>
        </w:r>
        <w:r>
          <w:rPr>
            <w:rStyle w:val="Hyperlink"/>
            <w:rtl/>
          </w:rPr>
        </w:r>
        <w:r>
          <w:rPr>
            <w:rStyle w:val="Hyperlink"/>
            <w:rtl/>
          </w:rPr>
          <w:fldChar w:fldCharType="separate"/>
        </w:r>
        <w:r w:rsidR="00D82181">
          <w:rPr>
            <w:webHidden/>
            <w:rtl/>
          </w:rPr>
          <w:t>15</w:t>
        </w:r>
        <w:r>
          <w:rPr>
            <w:rStyle w:val="Hyperlink"/>
            <w:rtl/>
          </w:rPr>
          <w:fldChar w:fldCharType="end"/>
        </w:r>
      </w:hyperlink>
    </w:p>
    <w:p w14:paraId="557B5FAB" w14:textId="30CB8172" w:rsidR="008009AA" w:rsidRDefault="008009AA">
      <w:pPr>
        <w:pStyle w:val="TOC7"/>
        <w:rPr>
          <w:rFonts w:cstheme="minorBidi"/>
          <w:sz w:val="22"/>
          <w:szCs w:val="22"/>
          <w:rtl/>
        </w:rPr>
      </w:pPr>
      <w:hyperlink w:anchor="_Toc163505373" w:history="1">
        <w:r w:rsidRPr="007246E7">
          <w:rPr>
            <w:rStyle w:val="Hyperlink"/>
            <w:rtl/>
          </w:rPr>
          <w:t>שו"ת רבי בצלאל אשכנזי סימן לח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Toc163505373 \h</w:instrText>
        </w:r>
        <w:r>
          <w:rPr>
            <w:webHidden/>
            <w:rtl/>
          </w:rPr>
          <w:instrText xml:space="preserve"> </w:instrText>
        </w:r>
        <w:r>
          <w:rPr>
            <w:rStyle w:val="Hyperlink"/>
            <w:rtl/>
          </w:rPr>
        </w:r>
        <w:r>
          <w:rPr>
            <w:rStyle w:val="Hyperlink"/>
            <w:rtl/>
          </w:rPr>
          <w:fldChar w:fldCharType="separate"/>
        </w:r>
        <w:r w:rsidR="00D82181">
          <w:rPr>
            <w:webHidden/>
            <w:rtl/>
          </w:rPr>
          <w:t>15</w:t>
        </w:r>
        <w:r>
          <w:rPr>
            <w:rStyle w:val="Hyperlink"/>
            <w:rtl/>
          </w:rPr>
          <w:fldChar w:fldCharType="end"/>
        </w:r>
      </w:hyperlink>
    </w:p>
    <w:p w14:paraId="791205E0" w14:textId="321CBACE" w:rsidR="008009AA" w:rsidRDefault="008009AA">
      <w:pPr>
        <w:pStyle w:val="TOC7"/>
        <w:rPr>
          <w:rFonts w:cstheme="minorBidi"/>
          <w:sz w:val="22"/>
          <w:szCs w:val="22"/>
          <w:rtl/>
        </w:rPr>
      </w:pPr>
      <w:hyperlink w:anchor="_Toc163505374" w:history="1">
        <w:r w:rsidRPr="007246E7">
          <w:rPr>
            <w:rStyle w:val="Hyperlink"/>
            <w:rtl/>
          </w:rPr>
          <w:t>שו"ת רבי בצלאל אשכנזי סימן לח ד"ה גם לרש"י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Toc163505374 \h</w:instrText>
        </w:r>
        <w:r>
          <w:rPr>
            <w:webHidden/>
            <w:rtl/>
          </w:rPr>
          <w:instrText xml:space="preserve"> </w:instrText>
        </w:r>
        <w:r>
          <w:rPr>
            <w:rStyle w:val="Hyperlink"/>
            <w:rtl/>
          </w:rPr>
        </w:r>
        <w:r>
          <w:rPr>
            <w:rStyle w:val="Hyperlink"/>
            <w:rtl/>
          </w:rPr>
          <w:fldChar w:fldCharType="separate"/>
        </w:r>
        <w:r w:rsidR="00D82181">
          <w:rPr>
            <w:webHidden/>
            <w:rtl/>
          </w:rPr>
          <w:t>15</w:t>
        </w:r>
        <w:r>
          <w:rPr>
            <w:rStyle w:val="Hyperlink"/>
            <w:rtl/>
          </w:rPr>
          <w:fldChar w:fldCharType="end"/>
        </w:r>
      </w:hyperlink>
    </w:p>
    <w:p w14:paraId="437862A7" w14:textId="4A86688A" w:rsidR="008009AA" w:rsidRDefault="008009AA">
      <w:pPr>
        <w:pStyle w:val="TOC7"/>
        <w:rPr>
          <w:rFonts w:cstheme="minorBidi"/>
          <w:sz w:val="22"/>
          <w:szCs w:val="22"/>
          <w:rtl/>
        </w:rPr>
      </w:pPr>
      <w:hyperlink w:anchor="_Toc163505375" w:history="1">
        <w:r w:rsidRPr="007246E7">
          <w:rPr>
            <w:rStyle w:val="Hyperlink"/>
            <w:rtl/>
          </w:rPr>
          <w:t>שו"ת רבי בצלאל אשכנזי סימן לח ד"ה גם לרש"י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Toc163505375 \h</w:instrText>
        </w:r>
        <w:r>
          <w:rPr>
            <w:webHidden/>
            <w:rtl/>
          </w:rPr>
          <w:instrText xml:space="preserve"> </w:instrText>
        </w:r>
        <w:r>
          <w:rPr>
            <w:rStyle w:val="Hyperlink"/>
            <w:rtl/>
          </w:rPr>
        </w:r>
        <w:r>
          <w:rPr>
            <w:rStyle w:val="Hyperlink"/>
            <w:rtl/>
          </w:rPr>
          <w:fldChar w:fldCharType="separate"/>
        </w:r>
        <w:r w:rsidR="00D82181">
          <w:rPr>
            <w:webHidden/>
            <w:rtl/>
          </w:rPr>
          <w:t>15</w:t>
        </w:r>
        <w:r>
          <w:rPr>
            <w:rStyle w:val="Hyperlink"/>
            <w:rtl/>
          </w:rPr>
          <w:fldChar w:fldCharType="end"/>
        </w:r>
      </w:hyperlink>
    </w:p>
    <w:p w14:paraId="7C6D794E" w14:textId="44B46C68" w:rsidR="008009AA" w:rsidRDefault="008009AA">
      <w:pPr>
        <w:pStyle w:val="TOC7"/>
        <w:rPr>
          <w:rFonts w:cstheme="minorBidi"/>
          <w:sz w:val="22"/>
          <w:szCs w:val="22"/>
          <w:rtl/>
        </w:rPr>
      </w:pPr>
      <w:hyperlink w:anchor="_Toc163505376" w:history="1">
        <w:r w:rsidRPr="007246E7">
          <w:rPr>
            <w:rStyle w:val="Hyperlink"/>
            <w:rtl/>
          </w:rPr>
          <w:t>תוצאות חיים סימן ח' סק"ג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Toc163505376 \h</w:instrText>
        </w:r>
        <w:r>
          <w:rPr>
            <w:webHidden/>
            <w:rtl/>
          </w:rPr>
          <w:instrText xml:space="preserve"> </w:instrText>
        </w:r>
        <w:r>
          <w:rPr>
            <w:rStyle w:val="Hyperlink"/>
            <w:rtl/>
          </w:rPr>
        </w:r>
        <w:r>
          <w:rPr>
            <w:rStyle w:val="Hyperlink"/>
            <w:rtl/>
          </w:rPr>
          <w:fldChar w:fldCharType="separate"/>
        </w:r>
        <w:r w:rsidR="00D82181">
          <w:rPr>
            <w:webHidden/>
            <w:rtl/>
          </w:rPr>
          <w:t>15</w:t>
        </w:r>
        <w:r>
          <w:rPr>
            <w:rStyle w:val="Hyperlink"/>
            <w:rtl/>
          </w:rPr>
          <w:fldChar w:fldCharType="end"/>
        </w:r>
      </w:hyperlink>
    </w:p>
    <w:p w14:paraId="0ED3A0F9" w14:textId="6834EEF7" w:rsidR="008009AA" w:rsidRDefault="008009AA">
      <w:pPr>
        <w:pStyle w:val="TOC7"/>
        <w:rPr>
          <w:rFonts w:cstheme="minorBidi"/>
          <w:sz w:val="22"/>
          <w:szCs w:val="22"/>
          <w:rtl/>
        </w:rPr>
      </w:pPr>
      <w:hyperlink w:anchor="_Toc163505377" w:history="1">
        <w:r w:rsidRPr="007246E7">
          <w:rPr>
            <w:rStyle w:val="Hyperlink"/>
            <w:rtl/>
          </w:rPr>
          <w:t>תוספות שבת ע"ג ע"ב ד"ה משום</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Toc163505377 \h</w:instrText>
        </w:r>
        <w:r>
          <w:rPr>
            <w:webHidden/>
            <w:rtl/>
          </w:rPr>
          <w:instrText xml:space="preserve"> </w:instrText>
        </w:r>
        <w:r>
          <w:rPr>
            <w:rStyle w:val="Hyperlink"/>
            <w:rtl/>
          </w:rPr>
        </w:r>
        <w:r>
          <w:rPr>
            <w:rStyle w:val="Hyperlink"/>
            <w:rtl/>
          </w:rPr>
          <w:fldChar w:fldCharType="separate"/>
        </w:r>
        <w:r w:rsidR="00D82181">
          <w:rPr>
            <w:webHidden/>
            <w:rtl/>
          </w:rPr>
          <w:t>16</w:t>
        </w:r>
        <w:r>
          <w:rPr>
            <w:rStyle w:val="Hyperlink"/>
            <w:rtl/>
          </w:rPr>
          <w:fldChar w:fldCharType="end"/>
        </w:r>
      </w:hyperlink>
    </w:p>
    <w:p w14:paraId="67D318D7" w14:textId="5B38CF5D" w:rsidR="008009AA" w:rsidRDefault="008009AA">
      <w:pPr>
        <w:pStyle w:val="TOC7"/>
        <w:rPr>
          <w:rFonts w:cstheme="minorBidi"/>
          <w:sz w:val="22"/>
          <w:szCs w:val="22"/>
          <w:rtl/>
        </w:rPr>
      </w:pPr>
      <w:hyperlink w:anchor="_Toc163505378" w:history="1">
        <w:r w:rsidRPr="007246E7">
          <w:rPr>
            <w:rStyle w:val="Hyperlink"/>
            <w:rtl/>
          </w:rPr>
          <w:t>מהר"ם מלובלין שבת ע"ג ע"ב על תוד"ה משום</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Toc163505378 \h</w:instrText>
        </w:r>
        <w:r>
          <w:rPr>
            <w:webHidden/>
            <w:rtl/>
          </w:rPr>
          <w:instrText xml:space="preserve"> </w:instrText>
        </w:r>
        <w:r>
          <w:rPr>
            <w:rStyle w:val="Hyperlink"/>
            <w:rtl/>
          </w:rPr>
        </w:r>
        <w:r>
          <w:rPr>
            <w:rStyle w:val="Hyperlink"/>
            <w:rtl/>
          </w:rPr>
          <w:fldChar w:fldCharType="separate"/>
        </w:r>
        <w:r w:rsidR="00D82181">
          <w:rPr>
            <w:webHidden/>
            <w:rtl/>
          </w:rPr>
          <w:t>16</w:t>
        </w:r>
        <w:r>
          <w:rPr>
            <w:rStyle w:val="Hyperlink"/>
            <w:rtl/>
          </w:rPr>
          <w:fldChar w:fldCharType="end"/>
        </w:r>
      </w:hyperlink>
    </w:p>
    <w:p w14:paraId="286CECA3" w14:textId="7167FDAC" w:rsidR="008009AA" w:rsidRDefault="008009AA">
      <w:pPr>
        <w:pStyle w:val="TOC7"/>
        <w:rPr>
          <w:rFonts w:cstheme="minorBidi"/>
          <w:sz w:val="22"/>
          <w:szCs w:val="22"/>
          <w:rtl/>
        </w:rPr>
      </w:pPr>
      <w:hyperlink w:anchor="_Toc163505379" w:history="1">
        <w:r w:rsidRPr="007246E7">
          <w:rPr>
            <w:rStyle w:val="Hyperlink"/>
            <w:rtl/>
          </w:rPr>
          <w:t>ראש יוסף שבת ע"ג ע"ב ד"ה והנה בפירוש</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Toc163505379 \h</w:instrText>
        </w:r>
        <w:r>
          <w:rPr>
            <w:webHidden/>
            <w:rtl/>
          </w:rPr>
          <w:instrText xml:space="preserve"> </w:instrText>
        </w:r>
        <w:r>
          <w:rPr>
            <w:rStyle w:val="Hyperlink"/>
            <w:rtl/>
          </w:rPr>
        </w:r>
        <w:r>
          <w:rPr>
            <w:rStyle w:val="Hyperlink"/>
            <w:rtl/>
          </w:rPr>
          <w:fldChar w:fldCharType="separate"/>
        </w:r>
        <w:r w:rsidR="00D82181">
          <w:rPr>
            <w:webHidden/>
            <w:rtl/>
          </w:rPr>
          <w:t>16</w:t>
        </w:r>
        <w:r>
          <w:rPr>
            <w:rStyle w:val="Hyperlink"/>
            <w:rtl/>
          </w:rPr>
          <w:fldChar w:fldCharType="end"/>
        </w:r>
      </w:hyperlink>
    </w:p>
    <w:p w14:paraId="75BEFEB4" w14:textId="48F973C2" w:rsidR="008009AA" w:rsidRDefault="008009AA">
      <w:pPr>
        <w:pStyle w:val="TOC7"/>
        <w:rPr>
          <w:rFonts w:cstheme="minorBidi"/>
          <w:sz w:val="22"/>
          <w:szCs w:val="22"/>
          <w:rtl/>
        </w:rPr>
      </w:pPr>
      <w:hyperlink w:anchor="_Toc163505380" w:history="1">
        <w:r w:rsidRPr="007246E7">
          <w:rPr>
            <w:rStyle w:val="Hyperlink"/>
            <w:rtl/>
          </w:rPr>
          <w:t>אגלי טל באורים מלאכת זורע סק"ג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Toc163505380 \h</w:instrText>
        </w:r>
        <w:r>
          <w:rPr>
            <w:webHidden/>
            <w:rtl/>
          </w:rPr>
          <w:instrText xml:space="preserve"> </w:instrText>
        </w:r>
        <w:r>
          <w:rPr>
            <w:rStyle w:val="Hyperlink"/>
            <w:rtl/>
          </w:rPr>
        </w:r>
        <w:r>
          <w:rPr>
            <w:rStyle w:val="Hyperlink"/>
            <w:rtl/>
          </w:rPr>
          <w:fldChar w:fldCharType="separate"/>
        </w:r>
        <w:r w:rsidR="00D82181">
          <w:rPr>
            <w:webHidden/>
            <w:rtl/>
          </w:rPr>
          <w:t>16</w:t>
        </w:r>
        <w:r>
          <w:rPr>
            <w:rStyle w:val="Hyperlink"/>
            <w:rtl/>
          </w:rPr>
          <w:fldChar w:fldCharType="end"/>
        </w:r>
      </w:hyperlink>
    </w:p>
    <w:p w14:paraId="3B3E4942" w14:textId="76AD8A1E" w:rsidR="008009AA" w:rsidRDefault="008009AA">
      <w:pPr>
        <w:pStyle w:val="TOC7"/>
        <w:rPr>
          <w:rFonts w:cstheme="minorBidi"/>
          <w:sz w:val="22"/>
          <w:szCs w:val="22"/>
          <w:rtl/>
        </w:rPr>
      </w:pPr>
      <w:hyperlink w:anchor="_Toc163505381" w:history="1">
        <w:r w:rsidRPr="007246E7">
          <w:rPr>
            <w:rStyle w:val="Hyperlink"/>
            <w:rtl/>
          </w:rPr>
          <w:t>אגלי טל באורים מלאכת זורע סק"ג ד"ה אולם</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Toc163505381 \h</w:instrText>
        </w:r>
        <w:r>
          <w:rPr>
            <w:webHidden/>
            <w:rtl/>
          </w:rPr>
          <w:instrText xml:space="preserve"> </w:instrText>
        </w:r>
        <w:r>
          <w:rPr>
            <w:rStyle w:val="Hyperlink"/>
            <w:rtl/>
          </w:rPr>
        </w:r>
        <w:r>
          <w:rPr>
            <w:rStyle w:val="Hyperlink"/>
            <w:rtl/>
          </w:rPr>
          <w:fldChar w:fldCharType="separate"/>
        </w:r>
        <w:r w:rsidR="00D82181">
          <w:rPr>
            <w:webHidden/>
            <w:rtl/>
          </w:rPr>
          <w:t>16</w:t>
        </w:r>
        <w:r>
          <w:rPr>
            <w:rStyle w:val="Hyperlink"/>
            <w:rtl/>
          </w:rPr>
          <w:fldChar w:fldCharType="end"/>
        </w:r>
      </w:hyperlink>
    </w:p>
    <w:p w14:paraId="5F8D4B35" w14:textId="4CBC905E" w:rsidR="008009AA" w:rsidRDefault="008009AA">
      <w:pPr>
        <w:pStyle w:val="TOC7"/>
        <w:rPr>
          <w:rFonts w:cstheme="minorBidi"/>
          <w:sz w:val="22"/>
          <w:szCs w:val="22"/>
          <w:rtl/>
        </w:rPr>
      </w:pPr>
      <w:hyperlink w:anchor="_Toc163505382" w:history="1">
        <w:r w:rsidRPr="007246E7">
          <w:rPr>
            <w:rStyle w:val="Hyperlink"/>
            <w:rtl/>
          </w:rPr>
          <w:t>אגלי טל באורים מלאכת זורע אות 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Toc163505382 \h</w:instrText>
        </w:r>
        <w:r>
          <w:rPr>
            <w:webHidden/>
            <w:rtl/>
          </w:rPr>
          <w:instrText xml:space="preserve"> </w:instrText>
        </w:r>
        <w:r>
          <w:rPr>
            <w:rStyle w:val="Hyperlink"/>
            <w:rtl/>
          </w:rPr>
        </w:r>
        <w:r>
          <w:rPr>
            <w:rStyle w:val="Hyperlink"/>
            <w:rtl/>
          </w:rPr>
          <w:fldChar w:fldCharType="separate"/>
        </w:r>
        <w:r w:rsidR="00D82181">
          <w:rPr>
            <w:webHidden/>
            <w:rtl/>
          </w:rPr>
          <w:t>16</w:t>
        </w:r>
        <w:r>
          <w:rPr>
            <w:rStyle w:val="Hyperlink"/>
            <w:rtl/>
          </w:rPr>
          <w:fldChar w:fldCharType="end"/>
        </w:r>
      </w:hyperlink>
    </w:p>
    <w:p w14:paraId="4A8B0F1D" w14:textId="591AA6DC" w:rsidR="008009AA" w:rsidRDefault="008009AA">
      <w:pPr>
        <w:pStyle w:val="TOC7"/>
        <w:rPr>
          <w:rFonts w:cstheme="minorBidi"/>
          <w:sz w:val="22"/>
          <w:szCs w:val="22"/>
          <w:rtl/>
        </w:rPr>
      </w:pPr>
      <w:hyperlink w:anchor="_Toc163505383" w:history="1">
        <w:r w:rsidRPr="007246E7">
          <w:rPr>
            <w:rStyle w:val="Hyperlink"/>
            <w:rtl/>
          </w:rPr>
          <w:t>ראש יוסף שבת ע"ג ע"ב ד"ה והנה בפירוש</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Toc163505383 \h</w:instrText>
        </w:r>
        <w:r>
          <w:rPr>
            <w:webHidden/>
            <w:rtl/>
          </w:rPr>
          <w:instrText xml:space="preserve"> </w:instrText>
        </w:r>
        <w:r>
          <w:rPr>
            <w:rStyle w:val="Hyperlink"/>
            <w:rtl/>
          </w:rPr>
        </w:r>
        <w:r>
          <w:rPr>
            <w:rStyle w:val="Hyperlink"/>
            <w:rtl/>
          </w:rPr>
          <w:fldChar w:fldCharType="separate"/>
        </w:r>
        <w:r w:rsidR="00D82181">
          <w:rPr>
            <w:webHidden/>
            <w:rtl/>
          </w:rPr>
          <w:t>16</w:t>
        </w:r>
        <w:r>
          <w:rPr>
            <w:rStyle w:val="Hyperlink"/>
            <w:rtl/>
          </w:rPr>
          <w:fldChar w:fldCharType="end"/>
        </w:r>
      </w:hyperlink>
    </w:p>
    <w:p w14:paraId="53CFA3BA" w14:textId="438BD64E" w:rsidR="008009AA" w:rsidRDefault="008009AA">
      <w:pPr>
        <w:pStyle w:val="TOC7"/>
        <w:rPr>
          <w:rFonts w:cstheme="minorBidi"/>
          <w:sz w:val="22"/>
          <w:szCs w:val="22"/>
          <w:rtl/>
        </w:rPr>
      </w:pPr>
      <w:hyperlink w:anchor="_Toc163505384" w:history="1">
        <w:r w:rsidRPr="007246E7">
          <w:rPr>
            <w:rStyle w:val="Hyperlink"/>
            <w:rtl/>
          </w:rPr>
          <w:t>ראש יוסף שבת ע"ג ע"ב ד"ה תנא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Toc163505384 \h</w:instrText>
        </w:r>
        <w:r>
          <w:rPr>
            <w:webHidden/>
            <w:rtl/>
          </w:rPr>
          <w:instrText xml:space="preserve"> </w:instrText>
        </w:r>
        <w:r>
          <w:rPr>
            <w:rStyle w:val="Hyperlink"/>
            <w:rtl/>
          </w:rPr>
        </w:r>
        <w:r>
          <w:rPr>
            <w:rStyle w:val="Hyperlink"/>
            <w:rtl/>
          </w:rPr>
          <w:fldChar w:fldCharType="separate"/>
        </w:r>
        <w:r w:rsidR="00D82181">
          <w:rPr>
            <w:webHidden/>
            <w:rtl/>
          </w:rPr>
          <w:t>16</w:t>
        </w:r>
        <w:r>
          <w:rPr>
            <w:rStyle w:val="Hyperlink"/>
            <w:rtl/>
          </w:rPr>
          <w:fldChar w:fldCharType="end"/>
        </w:r>
      </w:hyperlink>
    </w:p>
    <w:p w14:paraId="5FC8E864" w14:textId="08F7A45E" w:rsidR="008009AA" w:rsidRDefault="008009AA">
      <w:pPr>
        <w:pStyle w:val="TOC7"/>
        <w:rPr>
          <w:rFonts w:cstheme="minorBidi"/>
          <w:sz w:val="22"/>
          <w:szCs w:val="22"/>
          <w:rtl/>
        </w:rPr>
      </w:pPr>
      <w:hyperlink w:anchor="_Toc163505385" w:history="1">
        <w:r w:rsidRPr="007246E7">
          <w:rPr>
            <w:rStyle w:val="Hyperlink"/>
            <w:rtl/>
          </w:rPr>
          <w:t>ראש יוסף שבת ע"ג ע"ב ד"ה והוי יודע</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Toc163505385 \h</w:instrText>
        </w:r>
        <w:r>
          <w:rPr>
            <w:webHidden/>
            <w:rtl/>
          </w:rPr>
          <w:instrText xml:space="preserve"> </w:instrText>
        </w:r>
        <w:r>
          <w:rPr>
            <w:rStyle w:val="Hyperlink"/>
            <w:rtl/>
          </w:rPr>
        </w:r>
        <w:r>
          <w:rPr>
            <w:rStyle w:val="Hyperlink"/>
            <w:rtl/>
          </w:rPr>
          <w:fldChar w:fldCharType="separate"/>
        </w:r>
        <w:r w:rsidR="00D82181">
          <w:rPr>
            <w:webHidden/>
            <w:rtl/>
          </w:rPr>
          <w:t>17</w:t>
        </w:r>
        <w:r>
          <w:rPr>
            <w:rStyle w:val="Hyperlink"/>
            <w:rtl/>
          </w:rPr>
          <w:fldChar w:fldCharType="end"/>
        </w:r>
      </w:hyperlink>
    </w:p>
    <w:p w14:paraId="39882BA8" w14:textId="26456B4D" w:rsidR="008009AA" w:rsidRDefault="008009AA">
      <w:pPr>
        <w:pStyle w:val="TOC7"/>
        <w:rPr>
          <w:rFonts w:cstheme="minorBidi"/>
          <w:sz w:val="22"/>
          <w:szCs w:val="22"/>
          <w:rtl/>
        </w:rPr>
      </w:pPr>
      <w:hyperlink w:anchor="_Toc163505386" w:history="1">
        <w:r w:rsidRPr="007246E7">
          <w:rPr>
            <w:rStyle w:val="Hyperlink"/>
            <w:rtl/>
          </w:rPr>
          <w:t>חדושי הריטב"א שבת ע"ג ע"ב ד"ה תנא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Toc163505386 \h</w:instrText>
        </w:r>
        <w:r>
          <w:rPr>
            <w:webHidden/>
            <w:rtl/>
          </w:rPr>
          <w:instrText xml:space="preserve"> </w:instrText>
        </w:r>
        <w:r>
          <w:rPr>
            <w:rStyle w:val="Hyperlink"/>
            <w:rtl/>
          </w:rPr>
        </w:r>
        <w:r>
          <w:rPr>
            <w:rStyle w:val="Hyperlink"/>
            <w:rtl/>
          </w:rPr>
          <w:fldChar w:fldCharType="separate"/>
        </w:r>
        <w:r w:rsidR="00D82181">
          <w:rPr>
            <w:webHidden/>
            <w:rtl/>
          </w:rPr>
          <w:t>17</w:t>
        </w:r>
        <w:r>
          <w:rPr>
            <w:rStyle w:val="Hyperlink"/>
            <w:rtl/>
          </w:rPr>
          <w:fldChar w:fldCharType="end"/>
        </w:r>
      </w:hyperlink>
    </w:p>
    <w:p w14:paraId="37FF9204" w14:textId="31628C72" w:rsidR="008009AA" w:rsidRDefault="008009AA">
      <w:pPr>
        <w:pStyle w:val="TOC7"/>
        <w:rPr>
          <w:rFonts w:cstheme="minorBidi"/>
          <w:sz w:val="22"/>
          <w:szCs w:val="22"/>
          <w:rtl/>
        </w:rPr>
      </w:pPr>
      <w:hyperlink w:anchor="_Toc163505387" w:history="1">
        <w:r w:rsidRPr="007246E7">
          <w:rPr>
            <w:rStyle w:val="Hyperlink"/>
            <w:rtl/>
          </w:rPr>
          <w:t>חדושי הריטב"א שבת ע"ג ע"ב ד"ה אימא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Toc163505387 \h</w:instrText>
        </w:r>
        <w:r>
          <w:rPr>
            <w:webHidden/>
            <w:rtl/>
          </w:rPr>
          <w:instrText xml:space="preserve"> </w:instrText>
        </w:r>
        <w:r>
          <w:rPr>
            <w:rStyle w:val="Hyperlink"/>
            <w:rtl/>
          </w:rPr>
        </w:r>
        <w:r>
          <w:rPr>
            <w:rStyle w:val="Hyperlink"/>
            <w:rtl/>
          </w:rPr>
          <w:fldChar w:fldCharType="separate"/>
        </w:r>
        <w:r w:rsidR="00D82181">
          <w:rPr>
            <w:webHidden/>
            <w:rtl/>
          </w:rPr>
          <w:t>17</w:t>
        </w:r>
        <w:r>
          <w:rPr>
            <w:rStyle w:val="Hyperlink"/>
            <w:rtl/>
          </w:rPr>
          <w:fldChar w:fldCharType="end"/>
        </w:r>
      </w:hyperlink>
    </w:p>
    <w:p w14:paraId="62916FF4" w14:textId="5FE7A868" w:rsidR="008009AA" w:rsidRDefault="008009AA">
      <w:pPr>
        <w:pStyle w:val="TOC7"/>
        <w:rPr>
          <w:rFonts w:cstheme="minorBidi"/>
          <w:sz w:val="22"/>
          <w:szCs w:val="22"/>
          <w:rtl/>
        </w:rPr>
      </w:pPr>
      <w:hyperlink w:anchor="_Toc163505388" w:history="1">
        <w:r w:rsidRPr="007246E7">
          <w:rPr>
            <w:rStyle w:val="Hyperlink"/>
            <w:rtl/>
          </w:rPr>
          <w:t>חדושי הריטב"א שבת ע"ג ע"ב ד"ה ואומרים</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Toc163505388 \h</w:instrText>
        </w:r>
        <w:r>
          <w:rPr>
            <w:webHidden/>
            <w:rtl/>
          </w:rPr>
          <w:instrText xml:space="preserve"> </w:instrText>
        </w:r>
        <w:r>
          <w:rPr>
            <w:rStyle w:val="Hyperlink"/>
            <w:rtl/>
          </w:rPr>
        </w:r>
        <w:r>
          <w:rPr>
            <w:rStyle w:val="Hyperlink"/>
            <w:rtl/>
          </w:rPr>
          <w:fldChar w:fldCharType="separate"/>
        </w:r>
        <w:r w:rsidR="00D82181">
          <w:rPr>
            <w:webHidden/>
            <w:rtl/>
          </w:rPr>
          <w:t>17</w:t>
        </w:r>
        <w:r>
          <w:rPr>
            <w:rStyle w:val="Hyperlink"/>
            <w:rtl/>
          </w:rPr>
          <w:fldChar w:fldCharType="end"/>
        </w:r>
      </w:hyperlink>
    </w:p>
    <w:p w14:paraId="0080CEF1" w14:textId="5CD1B2E9" w:rsidR="008009AA" w:rsidRDefault="008009AA">
      <w:pPr>
        <w:pStyle w:val="TOC7"/>
        <w:rPr>
          <w:rFonts w:cstheme="minorBidi"/>
          <w:sz w:val="22"/>
          <w:szCs w:val="22"/>
          <w:rtl/>
        </w:rPr>
      </w:pPr>
      <w:hyperlink w:anchor="_Toc163505389" w:history="1">
        <w:r w:rsidRPr="007246E7">
          <w:rPr>
            <w:rStyle w:val="Hyperlink"/>
            <w:rtl/>
          </w:rPr>
          <w:t>חדושי הריטב"א שבת ע"ג ע"ב ד"ה ומורי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Toc163505389 \h</w:instrText>
        </w:r>
        <w:r>
          <w:rPr>
            <w:webHidden/>
            <w:rtl/>
          </w:rPr>
          <w:instrText xml:space="preserve"> </w:instrText>
        </w:r>
        <w:r>
          <w:rPr>
            <w:rStyle w:val="Hyperlink"/>
            <w:rtl/>
          </w:rPr>
        </w:r>
        <w:r>
          <w:rPr>
            <w:rStyle w:val="Hyperlink"/>
            <w:rtl/>
          </w:rPr>
          <w:fldChar w:fldCharType="separate"/>
        </w:r>
        <w:r w:rsidR="00D82181">
          <w:rPr>
            <w:webHidden/>
            <w:rtl/>
          </w:rPr>
          <w:t>17</w:t>
        </w:r>
        <w:r>
          <w:rPr>
            <w:rStyle w:val="Hyperlink"/>
            <w:rtl/>
          </w:rPr>
          <w:fldChar w:fldCharType="end"/>
        </w:r>
      </w:hyperlink>
    </w:p>
    <w:p w14:paraId="688FAB38" w14:textId="12A31115" w:rsidR="008009AA" w:rsidRDefault="008009AA">
      <w:pPr>
        <w:pStyle w:val="TOC7"/>
        <w:rPr>
          <w:rFonts w:cstheme="minorBidi"/>
          <w:sz w:val="22"/>
          <w:szCs w:val="22"/>
          <w:rtl/>
        </w:rPr>
      </w:pPr>
      <w:hyperlink w:anchor="_Toc163505390" w:history="1">
        <w:r w:rsidRPr="007246E7">
          <w:rPr>
            <w:rStyle w:val="Hyperlink"/>
            <w:rtl/>
          </w:rPr>
          <w:t>רמב"ם שבת ז' 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Toc163505390 \h</w:instrText>
        </w:r>
        <w:r>
          <w:rPr>
            <w:webHidden/>
            <w:rtl/>
          </w:rPr>
          <w:instrText xml:space="preserve"> </w:instrText>
        </w:r>
        <w:r>
          <w:rPr>
            <w:rStyle w:val="Hyperlink"/>
            <w:rtl/>
          </w:rPr>
        </w:r>
        <w:r>
          <w:rPr>
            <w:rStyle w:val="Hyperlink"/>
            <w:rtl/>
          </w:rPr>
          <w:fldChar w:fldCharType="separate"/>
        </w:r>
        <w:r w:rsidR="00D82181">
          <w:rPr>
            <w:webHidden/>
            <w:rtl/>
          </w:rPr>
          <w:t>17</w:t>
        </w:r>
        <w:r>
          <w:rPr>
            <w:rStyle w:val="Hyperlink"/>
            <w:rtl/>
          </w:rPr>
          <w:fldChar w:fldCharType="end"/>
        </w:r>
      </w:hyperlink>
    </w:p>
    <w:p w14:paraId="6AA881F9" w14:textId="00757646" w:rsidR="008009AA" w:rsidRDefault="008009AA">
      <w:pPr>
        <w:pStyle w:val="TOC7"/>
        <w:rPr>
          <w:rFonts w:cstheme="minorBidi"/>
          <w:sz w:val="22"/>
          <w:szCs w:val="22"/>
          <w:rtl/>
        </w:rPr>
      </w:pPr>
      <w:hyperlink w:anchor="_Toc163505391" w:history="1">
        <w:r w:rsidRPr="007246E7">
          <w:rPr>
            <w:rStyle w:val="Hyperlink"/>
            <w:rtl/>
          </w:rPr>
          <w:t>רמב"ם שבת ז' 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Toc163505391 \h</w:instrText>
        </w:r>
        <w:r>
          <w:rPr>
            <w:webHidden/>
            <w:rtl/>
          </w:rPr>
          <w:instrText xml:space="preserve"> </w:instrText>
        </w:r>
        <w:r>
          <w:rPr>
            <w:rStyle w:val="Hyperlink"/>
            <w:rtl/>
          </w:rPr>
        </w:r>
        <w:r>
          <w:rPr>
            <w:rStyle w:val="Hyperlink"/>
            <w:rtl/>
          </w:rPr>
          <w:fldChar w:fldCharType="separate"/>
        </w:r>
        <w:r w:rsidR="00D82181">
          <w:rPr>
            <w:webHidden/>
            <w:rtl/>
          </w:rPr>
          <w:t>17</w:t>
        </w:r>
        <w:r>
          <w:rPr>
            <w:rStyle w:val="Hyperlink"/>
            <w:rtl/>
          </w:rPr>
          <w:fldChar w:fldCharType="end"/>
        </w:r>
      </w:hyperlink>
    </w:p>
    <w:p w14:paraId="5D8F11B6" w14:textId="0435D363" w:rsidR="008009AA" w:rsidRDefault="008009AA">
      <w:pPr>
        <w:pStyle w:val="TOC7"/>
        <w:rPr>
          <w:rFonts w:cstheme="minorBidi"/>
          <w:sz w:val="22"/>
          <w:szCs w:val="22"/>
          <w:rtl/>
        </w:rPr>
      </w:pPr>
      <w:hyperlink w:anchor="_Toc163505392" w:history="1">
        <w:r w:rsidRPr="007246E7">
          <w:rPr>
            <w:rStyle w:val="Hyperlink"/>
            <w:rtl/>
          </w:rPr>
          <w:t>רמב"ם שבת ז' 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Toc163505392 \h</w:instrText>
        </w:r>
        <w:r>
          <w:rPr>
            <w:webHidden/>
            <w:rtl/>
          </w:rPr>
          <w:instrText xml:space="preserve"> </w:instrText>
        </w:r>
        <w:r>
          <w:rPr>
            <w:rStyle w:val="Hyperlink"/>
            <w:rtl/>
          </w:rPr>
        </w:r>
        <w:r>
          <w:rPr>
            <w:rStyle w:val="Hyperlink"/>
            <w:rtl/>
          </w:rPr>
          <w:fldChar w:fldCharType="separate"/>
        </w:r>
        <w:r w:rsidR="00D82181">
          <w:rPr>
            <w:webHidden/>
            <w:rtl/>
          </w:rPr>
          <w:t>17</w:t>
        </w:r>
        <w:r>
          <w:rPr>
            <w:rStyle w:val="Hyperlink"/>
            <w:rtl/>
          </w:rPr>
          <w:fldChar w:fldCharType="end"/>
        </w:r>
      </w:hyperlink>
    </w:p>
    <w:p w14:paraId="54A74E4E" w14:textId="01CA88CF" w:rsidR="008009AA" w:rsidRDefault="008009AA">
      <w:pPr>
        <w:pStyle w:val="TOC7"/>
        <w:rPr>
          <w:rFonts w:cstheme="minorBidi"/>
          <w:sz w:val="22"/>
          <w:szCs w:val="22"/>
          <w:rtl/>
        </w:rPr>
      </w:pPr>
      <w:hyperlink w:anchor="_Toc163505393" w:history="1">
        <w:r w:rsidRPr="007246E7">
          <w:rPr>
            <w:rStyle w:val="Hyperlink"/>
            <w:rtl/>
          </w:rPr>
          <w:t>רמב"ם שבת ח' 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Toc163505393 \h</w:instrText>
        </w:r>
        <w:r>
          <w:rPr>
            <w:webHidden/>
            <w:rtl/>
          </w:rPr>
          <w:instrText xml:space="preserve"> </w:instrText>
        </w:r>
        <w:r>
          <w:rPr>
            <w:rStyle w:val="Hyperlink"/>
            <w:rtl/>
          </w:rPr>
        </w:r>
        <w:r>
          <w:rPr>
            <w:rStyle w:val="Hyperlink"/>
            <w:rtl/>
          </w:rPr>
          <w:fldChar w:fldCharType="separate"/>
        </w:r>
        <w:r w:rsidR="00D82181">
          <w:rPr>
            <w:webHidden/>
            <w:rtl/>
          </w:rPr>
          <w:t>18</w:t>
        </w:r>
        <w:r>
          <w:rPr>
            <w:rStyle w:val="Hyperlink"/>
            <w:rtl/>
          </w:rPr>
          <w:fldChar w:fldCharType="end"/>
        </w:r>
      </w:hyperlink>
    </w:p>
    <w:p w14:paraId="3173E259" w14:textId="5EEEE123" w:rsidR="008009AA" w:rsidRDefault="008009AA">
      <w:pPr>
        <w:pStyle w:val="TOC7"/>
        <w:rPr>
          <w:rFonts w:cstheme="minorBidi"/>
          <w:sz w:val="22"/>
          <w:szCs w:val="22"/>
          <w:rtl/>
        </w:rPr>
      </w:pPr>
      <w:hyperlink w:anchor="_Toc163505394" w:history="1">
        <w:r w:rsidRPr="007246E7">
          <w:rPr>
            <w:rStyle w:val="Hyperlink"/>
            <w:rtl/>
          </w:rPr>
          <w:t>פירוש המשנה לרמב"ם מסכת שבת פרק ז משנה 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Toc163505394 \h</w:instrText>
        </w:r>
        <w:r>
          <w:rPr>
            <w:webHidden/>
            <w:rtl/>
          </w:rPr>
          <w:instrText xml:space="preserve"> </w:instrText>
        </w:r>
        <w:r>
          <w:rPr>
            <w:rStyle w:val="Hyperlink"/>
            <w:rtl/>
          </w:rPr>
        </w:r>
        <w:r>
          <w:rPr>
            <w:rStyle w:val="Hyperlink"/>
            <w:rtl/>
          </w:rPr>
          <w:fldChar w:fldCharType="separate"/>
        </w:r>
        <w:r w:rsidR="00D82181">
          <w:rPr>
            <w:webHidden/>
            <w:rtl/>
          </w:rPr>
          <w:t>18</w:t>
        </w:r>
        <w:r>
          <w:rPr>
            <w:rStyle w:val="Hyperlink"/>
            <w:rtl/>
          </w:rPr>
          <w:fldChar w:fldCharType="end"/>
        </w:r>
      </w:hyperlink>
    </w:p>
    <w:p w14:paraId="45BF4C45" w14:textId="64C27C53" w:rsidR="008009AA" w:rsidRDefault="008009AA">
      <w:pPr>
        <w:pStyle w:val="TOC7"/>
        <w:rPr>
          <w:rFonts w:cstheme="minorBidi"/>
          <w:sz w:val="22"/>
          <w:szCs w:val="22"/>
          <w:rtl/>
        </w:rPr>
      </w:pPr>
      <w:hyperlink w:anchor="_Toc163505395" w:history="1">
        <w:r w:rsidRPr="007246E7">
          <w:rPr>
            <w:rStyle w:val="Hyperlink"/>
            <w:rtl/>
          </w:rPr>
          <w:t>אור זרוע ח"ב הלכות שבת סימן נד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Toc163505395 \h</w:instrText>
        </w:r>
        <w:r>
          <w:rPr>
            <w:webHidden/>
            <w:rtl/>
          </w:rPr>
          <w:instrText xml:space="preserve"> </w:instrText>
        </w:r>
        <w:r>
          <w:rPr>
            <w:rStyle w:val="Hyperlink"/>
            <w:rtl/>
          </w:rPr>
        </w:r>
        <w:r>
          <w:rPr>
            <w:rStyle w:val="Hyperlink"/>
            <w:rtl/>
          </w:rPr>
          <w:fldChar w:fldCharType="separate"/>
        </w:r>
        <w:r w:rsidR="00D82181">
          <w:rPr>
            <w:webHidden/>
            <w:rtl/>
          </w:rPr>
          <w:t>18</w:t>
        </w:r>
        <w:r>
          <w:rPr>
            <w:rStyle w:val="Hyperlink"/>
            <w:rtl/>
          </w:rPr>
          <w:fldChar w:fldCharType="end"/>
        </w:r>
      </w:hyperlink>
    </w:p>
    <w:p w14:paraId="56DDC809" w14:textId="6E885420" w:rsidR="008009AA" w:rsidRDefault="008009AA">
      <w:pPr>
        <w:pStyle w:val="TOC7"/>
        <w:rPr>
          <w:rFonts w:cstheme="minorBidi"/>
          <w:sz w:val="22"/>
          <w:szCs w:val="22"/>
          <w:rtl/>
        </w:rPr>
      </w:pPr>
      <w:hyperlink w:anchor="_Toc163505396" w:history="1">
        <w:r w:rsidRPr="007246E7">
          <w:rPr>
            <w:rStyle w:val="Hyperlink"/>
            <w:rtl/>
          </w:rPr>
          <w:t>מאירי שבת ע"ג ע"א ד"ה א' הזורע</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Toc163505396 \h</w:instrText>
        </w:r>
        <w:r>
          <w:rPr>
            <w:webHidden/>
            <w:rtl/>
          </w:rPr>
          <w:instrText xml:space="preserve"> </w:instrText>
        </w:r>
        <w:r>
          <w:rPr>
            <w:rStyle w:val="Hyperlink"/>
            <w:rtl/>
          </w:rPr>
        </w:r>
        <w:r>
          <w:rPr>
            <w:rStyle w:val="Hyperlink"/>
            <w:rtl/>
          </w:rPr>
          <w:fldChar w:fldCharType="separate"/>
        </w:r>
        <w:r w:rsidR="00D82181">
          <w:rPr>
            <w:webHidden/>
            <w:rtl/>
          </w:rPr>
          <w:t>18</w:t>
        </w:r>
        <w:r>
          <w:rPr>
            <w:rStyle w:val="Hyperlink"/>
            <w:rtl/>
          </w:rPr>
          <w:fldChar w:fldCharType="end"/>
        </w:r>
      </w:hyperlink>
    </w:p>
    <w:p w14:paraId="154FDA5D" w14:textId="3068C30A" w:rsidR="008009AA" w:rsidRDefault="008009AA">
      <w:pPr>
        <w:pStyle w:val="TOC7"/>
        <w:rPr>
          <w:rFonts w:cstheme="minorBidi"/>
          <w:sz w:val="22"/>
          <w:szCs w:val="22"/>
          <w:rtl/>
        </w:rPr>
      </w:pPr>
      <w:hyperlink w:anchor="_Toc163505397" w:history="1">
        <w:r w:rsidRPr="007246E7">
          <w:rPr>
            <w:rStyle w:val="Hyperlink"/>
            <w:rtl/>
          </w:rPr>
          <w:t>מאירי שבת ע"ג ע"ב ד"ה אף</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Toc163505397 \h</w:instrText>
        </w:r>
        <w:r>
          <w:rPr>
            <w:webHidden/>
            <w:rtl/>
          </w:rPr>
          <w:instrText xml:space="preserve"> </w:instrText>
        </w:r>
        <w:r>
          <w:rPr>
            <w:rStyle w:val="Hyperlink"/>
            <w:rtl/>
          </w:rPr>
        </w:r>
        <w:r>
          <w:rPr>
            <w:rStyle w:val="Hyperlink"/>
            <w:rtl/>
          </w:rPr>
          <w:fldChar w:fldCharType="separate"/>
        </w:r>
        <w:r w:rsidR="00D82181">
          <w:rPr>
            <w:webHidden/>
            <w:rtl/>
          </w:rPr>
          <w:t>18</w:t>
        </w:r>
        <w:r>
          <w:rPr>
            <w:rStyle w:val="Hyperlink"/>
            <w:rtl/>
          </w:rPr>
          <w:fldChar w:fldCharType="end"/>
        </w:r>
      </w:hyperlink>
    </w:p>
    <w:p w14:paraId="3378D423" w14:textId="6561FF0B" w:rsidR="008009AA" w:rsidRDefault="008009AA">
      <w:pPr>
        <w:pStyle w:val="TOC7"/>
        <w:rPr>
          <w:rFonts w:cstheme="minorBidi"/>
          <w:sz w:val="22"/>
          <w:szCs w:val="22"/>
          <w:rtl/>
        </w:rPr>
      </w:pPr>
      <w:hyperlink w:anchor="_Toc163505398" w:history="1">
        <w:r w:rsidRPr="007246E7">
          <w:rPr>
            <w:rStyle w:val="Hyperlink"/>
            <w:rtl/>
          </w:rPr>
          <w:t>מגיד משנה שבת ז' 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Toc163505398 \h</w:instrText>
        </w:r>
        <w:r>
          <w:rPr>
            <w:webHidden/>
            <w:rtl/>
          </w:rPr>
          <w:instrText xml:space="preserve"> </w:instrText>
        </w:r>
        <w:r>
          <w:rPr>
            <w:rStyle w:val="Hyperlink"/>
            <w:rtl/>
          </w:rPr>
        </w:r>
        <w:r>
          <w:rPr>
            <w:rStyle w:val="Hyperlink"/>
            <w:rtl/>
          </w:rPr>
          <w:fldChar w:fldCharType="separate"/>
        </w:r>
        <w:r w:rsidR="00D82181">
          <w:rPr>
            <w:webHidden/>
            <w:rtl/>
          </w:rPr>
          <w:t>18</w:t>
        </w:r>
        <w:r>
          <w:rPr>
            <w:rStyle w:val="Hyperlink"/>
            <w:rtl/>
          </w:rPr>
          <w:fldChar w:fldCharType="end"/>
        </w:r>
      </w:hyperlink>
    </w:p>
    <w:p w14:paraId="3D6F1EF4" w14:textId="4EE04AFA" w:rsidR="008009AA" w:rsidRDefault="008009AA">
      <w:pPr>
        <w:pStyle w:val="TOC7"/>
        <w:rPr>
          <w:rFonts w:cstheme="minorBidi"/>
          <w:sz w:val="22"/>
          <w:szCs w:val="22"/>
          <w:rtl/>
        </w:rPr>
      </w:pPr>
      <w:hyperlink w:anchor="_Toc163505399" w:history="1">
        <w:r w:rsidRPr="007246E7">
          <w:rPr>
            <w:rStyle w:val="Hyperlink"/>
            <w:rtl/>
          </w:rPr>
          <w:t>מגיד משנה שבת ז' 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Toc163505399 \h</w:instrText>
        </w:r>
        <w:r>
          <w:rPr>
            <w:webHidden/>
            <w:rtl/>
          </w:rPr>
          <w:instrText xml:space="preserve"> </w:instrText>
        </w:r>
        <w:r>
          <w:rPr>
            <w:rStyle w:val="Hyperlink"/>
            <w:rtl/>
          </w:rPr>
        </w:r>
        <w:r>
          <w:rPr>
            <w:rStyle w:val="Hyperlink"/>
            <w:rtl/>
          </w:rPr>
          <w:fldChar w:fldCharType="separate"/>
        </w:r>
        <w:r w:rsidR="00D82181">
          <w:rPr>
            <w:webHidden/>
            <w:rtl/>
          </w:rPr>
          <w:t>18</w:t>
        </w:r>
        <w:r>
          <w:rPr>
            <w:rStyle w:val="Hyperlink"/>
            <w:rtl/>
          </w:rPr>
          <w:fldChar w:fldCharType="end"/>
        </w:r>
      </w:hyperlink>
    </w:p>
    <w:p w14:paraId="6B03411E" w14:textId="2F9348DC" w:rsidR="008009AA" w:rsidRDefault="008009AA">
      <w:pPr>
        <w:pStyle w:val="TOC7"/>
        <w:rPr>
          <w:rFonts w:cstheme="minorBidi"/>
          <w:sz w:val="22"/>
          <w:szCs w:val="22"/>
          <w:rtl/>
        </w:rPr>
      </w:pPr>
      <w:hyperlink w:anchor="_Toc163505400" w:history="1">
        <w:r w:rsidRPr="007246E7">
          <w:rPr>
            <w:rStyle w:val="Hyperlink"/>
            <w:rtl/>
          </w:rPr>
          <w:t>לחם משנה שבת ז' 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Toc163505400 \h</w:instrText>
        </w:r>
        <w:r>
          <w:rPr>
            <w:webHidden/>
            <w:rtl/>
          </w:rPr>
          <w:instrText xml:space="preserve"> </w:instrText>
        </w:r>
        <w:r>
          <w:rPr>
            <w:rStyle w:val="Hyperlink"/>
            <w:rtl/>
          </w:rPr>
        </w:r>
        <w:r>
          <w:rPr>
            <w:rStyle w:val="Hyperlink"/>
            <w:rtl/>
          </w:rPr>
          <w:fldChar w:fldCharType="separate"/>
        </w:r>
        <w:r w:rsidR="00D82181">
          <w:rPr>
            <w:webHidden/>
            <w:rtl/>
          </w:rPr>
          <w:t>18</w:t>
        </w:r>
        <w:r>
          <w:rPr>
            <w:rStyle w:val="Hyperlink"/>
            <w:rtl/>
          </w:rPr>
          <w:fldChar w:fldCharType="end"/>
        </w:r>
      </w:hyperlink>
    </w:p>
    <w:p w14:paraId="76E60ADD" w14:textId="15A94AA3" w:rsidR="008009AA" w:rsidRDefault="008009AA">
      <w:pPr>
        <w:pStyle w:val="TOC7"/>
        <w:rPr>
          <w:rFonts w:cstheme="minorBidi"/>
          <w:sz w:val="22"/>
          <w:szCs w:val="22"/>
          <w:rtl/>
        </w:rPr>
      </w:pPr>
      <w:hyperlink w:anchor="_Toc163505401" w:history="1">
        <w:r w:rsidRPr="007246E7">
          <w:rPr>
            <w:rStyle w:val="Hyperlink"/>
            <w:rtl/>
          </w:rPr>
          <w:t>לחם משנה שבת ח' 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Toc163505401 \h</w:instrText>
        </w:r>
        <w:r>
          <w:rPr>
            <w:webHidden/>
            <w:rtl/>
          </w:rPr>
          <w:instrText xml:space="preserve"> </w:instrText>
        </w:r>
        <w:r>
          <w:rPr>
            <w:rStyle w:val="Hyperlink"/>
            <w:rtl/>
          </w:rPr>
        </w:r>
        <w:r>
          <w:rPr>
            <w:rStyle w:val="Hyperlink"/>
            <w:rtl/>
          </w:rPr>
          <w:fldChar w:fldCharType="separate"/>
        </w:r>
        <w:r w:rsidR="00D82181">
          <w:rPr>
            <w:webHidden/>
            <w:rtl/>
          </w:rPr>
          <w:t>18</w:t>
        </w:r>
        <w:r>
          <w:rPr>
            <w:rStyle w:val="Hyperlink"/>
            <w:rtl/>
          </w:rPr>
          <w:fldChar w:fldCharType="end"/>
        </w:r>
      </w:hyperlink>
    </w:p>
    <w:p w14:paraId="723BC0EF" w14:textId="2F3E82F9" w:rsidR="008009AA" w:rsidRDefault="008009AA">
      <w:pPr>
        <w:pStyle w:val="TOC7"/>
        <w:rPr>
          <w:rFonts w:cstheme="minorBidi"/>
          <w:sz w:val="22"/>
          <w:szCs w:val="22"/>
          <w:rtl/>
        </w:rPr>
      </w:pPr>
      <w:hyperlink w:anchor="_Toc163505402" w:history="1">
        <w:r w:rsidRPr="007246E7">
          <w:rPr>
            <w:rStyle w:val="Hyperlink"/>
            <w:rtl/>
          </w:rPr>
          <w:t>שו"ת רבי בצלאל אשכנזי סימן לח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Toc163505402 \h</w:instrText>
        </w:r>
        <w:r>
          <w:rPr>
            <w:webHidden/>
            <w:rtl/>
          </w:rPr>
          <w:instrText xml:space="preserve"> </w:instrText>
        </w:r>
        <w:r>
          <w:rPr>
            <w:rStyle w:val="Hyperlink"/>
            <w:rtl/>
          </w:rPr>
        </w:r>
        <w:r>
          <w:rPr>
            <w:rStyle w:val="Hyperlink"/>
            <w:rtl/>
          </w:rPr>
          <w:fldChar w:fldCharType="separate"/>
        </w:r>
        <w:r w:rsidR="00D82181">
          <w:rPr>
            <w:webHidden/>
            <w:rtl/>
          </w:rPr>
          <w:t>19</w:t>
        </w:r>
        <w:r>
          <w:rPr>
            <w:rStyle w:val="Hyperlink"/>
            <w:rtl/>
          </w:rPr>
          <w:fldChar w:fldCharType="end"/>
        </w:r>
      </w:hyperlink>
    </w:p>
    <w:p w14:paraId="79658C61" w14:textId="27E3E894" w:rsidR="008009AA" w:rsidRDefault="008009AA">
      <w:pPr>
        <w:pStyle w:val="TOC7"/>
        <w:rPr>
          <w:rFonts w:cstheme="minorBidi"/>
          <w:sz w:val="22"/>
          <w:szCs w:val="22"/>
          <w:rtl/>
        </w:rPr>
      </w:pPr>
      <w:hyperlink w:anchor="_Toc163505403" w:history="1">
        <w:r w:rsidRPr="007246E7">
          <w:rPr>
            <w:rStyle w:val="Hyperlink"/>
            <w:rtl/>
          </w:rPr>
          <w:t>שו"ת רבי בצלאל אשכנזי סימן לח ד"ה ולענין קריאת שם</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Toc163505403 \h</w:instrText>
        </w:r>
        <w:r>
          <w:rPr>
            <w:webHidden/>
            <w:rtl/>
          </w:rPr>
          <w:instrText xml:space="preserve"> </w:instrText>
        </w:r>
        <w:r>
          <w:rPr>
            <w:rStyle w:val="Hyperlink"/>
            <w:rtl/>
          </w:rPr>
        </w:r>
        <w:r>
          <w:rPr>
            <w:rStyle w:val="Hyperlink"/>
            <w:rtl/>
          </w:rPr>
          <w:fldChar w:fldCharType="separate"/>
        </w:r>
        <w:r w:rsidR="00D82181">
          <w:rPr>
            <w:webHidden/>
            <w:rtl/>
          </w:rPr>
          <w:t>19</w:t>
        </w:r>
        <w:r>
          <w:rPr>
            <w:rStyle w:val="Hyperlink"/>
            <w:rtl/>
          </w:rPr>
          <w:fldChar w:fldCharType="end"/>
        </w:r>
      </w:hyperlink>
    </w:p>
    <w:p w14:paraId="47C7534F" w14:textId="5609C004" w:rsidR="008009AA" w:rsidRDefault="008009AA">
      <w:pPr>
        <w:pStyle w:val="TOC7"/>
        <w:rPr>
          <w:rFonts w:cstheme="minorBidi"/>
          <w:sz w:val="22"/>
          <w:szCs w:val="22"/>
          <w:rtl/>
        </w:rPr>
      </w:pPr>
      <w:hyperlink w:anchor="_Toc163505404" w:history="1">
        <w:r w:rsidRPr="007246E7">
          <w:rPr>
            <w:rStyle w:val="Hyperlink"/>
            <w:rtl/>
          </w:rPr>
          <w:t>רמב"ם שגגות ז' 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Toc163505404 \h</w:instrText>
        </w:r>
        <w:r>
          <w:rPr>
            <w:webHidden/>
            <w:rtl/>
          </w:rPr>
          <w:instrText xml:space="preserve"> </w:instrText>
        </w:r>
        <w:r>
          <w:rPr>
            <w:rStyle w:val="Hyperlink"/>
            <w:rtl/>
          </w:rPr>
        </w:r>
        <w:r>
          <w:rPr>
            <w:rStyle w:val="Hyperlink"/>
            <w:rtl/>
          </w:rPr>
          <w:fldChar w:fldCharType="separate"/>
        </w:r>
        <w:r w:rsidR="00D82181">
          <w:rPr>
            <w:webHidden/>
            <w:rtl/>
          </w:rPr>
          <w:t>19</w:t>
        </w:r>
        <w:r>
          <w:rPr>
            <w:rStyle w:val="Hyperlink"/>
            <w:rtl/>
          </w:rPr>
          <w:fldChar w:fldCharType="end"/>
        </w:r>
      </w:hyperlink>
    </w:p>
    <w:p w14:paraId="44D3D118" w14:textId="6D9A1FBF" w:rsidR="008009AA" w:rsidRDefault="008009AA">
      <w:pPr>
        <w:pStyle w:val="TOC7"/>
        <w:rPr>
          <w:rFonts w:cstheme="minorBidi"/>
          <w:sz w:val="22"/>
          <w:szCs w:val="22"/>
          <w:rtl/>
        </w:rPr>
      </w:pPr>
      <w:hyperlink w:anchor="_Toc163505405" w:history="1">
        <w:r w:rsidRPr="007246E7">
          <w:rPr>
            <w:rStyle w:val="Hyperlink"/>
            <w:rtl/>
          </w:rPr>
          <w:t>שו"ת רבי בצלאל אשכנזי סימן לח ד"ה ובזה נשיב, ד"ה ולמדנו מפסקו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Toc163505405 \h</w:instrText>
        </w:r>
        <w:r>
          <w:rPr>
            <w:webHidden/>
            <w:rtl/>
          </w:rPr>
          <w:instrText xml:space="preserve"> </w:instrText>
        </w:r>
        <w:r>
          <w:rPr>
            <w:rStyle w:val="Hyperlink"/>
            <w:rtl/>
          </w:rPr>
        </w:r>
        <w:r>
          <w:rPr>
            <w:rStyle w:val="Hyperlink"/>
            <w:rtl/>
          </w:rPr>
          <w:fldChar w:fldCharType="separate"/>
        </w:r>
        <w:r w:rsidR="00D82181">
          <w:rPr>
            <w:webHidden/>
            <w:rtl/>
          </w:rPr>
          <w:t>19</w:t>
        </w:r>
        <w:r>
          <w:rPr>
            <w:rStyle w:val="Hyperlink"/>
            <w:rtl/>
          </w:rPr>
          <w:fldChar w:fldCharType="end"/>
        </w:r>
      </w:hyperlink>
    </w:p>
    <w:p w14:paraId="0D0965EE" w14:textId="19E204BB" w:rsidR="008009AA" w:rsidRDefault="008009AA">
      <w:pPr>
        <w:pStyle w:val="TOC7"/>
        <w:rPr>
          <w:rFonts w:cstheme="minorBidi"/>
          <w:sz w:val="22"/>
          <w:szCs w:val="22"/>
          <w:rtl/>
        </w:rPr>
      </w:pPr>
      <w:hyperlink w:anchor="_Toc163505406" w:history="1">
        <w:r w:rsidRPr="007246E7">
          <w:rPr>
            <w:rStyle w:val="Hyperlink"/>
            <w:rtl/>
          </w:rPr>
          <w:t>קרן אורה מו"ק ג' ע"א ד"ה למאי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Toc163505406 \h</w:instrText>
        </w:r>
        <w:r>
          <w:rPr>
            <w:webHidden/>
            <w:rtl/>
          </w:rPr>
          <w:instrText xml:space="preserve"> </w:instrText>
        </w:r>
        <w:r>
          <w:rPr>
            <w:rStyle w:val="Hyperlink"/>
            <w:rtl/>
          </w:rPr>
        </w:r>
        <w:r>
          <w:rPr>
            <w:rStyle w:val="Hyperlink"/>
            <w:rtl/>
          </w:rPr>
          <w:fldChar w:fldCharType="separate"/>
        </w:r>
        <w:r w:rsidR="00D82181">
          <w:rPr>
            <w:webHidden/>
            <w:rtl/>
          </w:rPr>
          <w:t>19</w:t>
        </w:r>
        <w:r>
          <w:rPr>
            <w:rStyle w:val="Hyperlink"/>
            <w:rtl/>
          </w:rPr>
          <w:fldChar w:fldCharType="end"/>
        </w:r>
      </w:hyperlink>
    </w:p>
    <w:p w14:paraId="3C9817A1" w14:textId="34531271" w:rsidR="008009AA" w:rsidRDefault="008009AA">
      <w:pPr>
        <w:pStyle w:val="TOC7"/>
        <w:rPr>
          <w:rFonts w:cstheme="minorBidi"/>
          <w:sz w:val="22"/>
          <w:szCs w:val="22"/>
          <w:rtl/>
        </w:rPr>
      </w:pPr>
      <w:hyperlink w:anchor="_Toc163505407" w:history="1">
        <w:r w:rsidRPr="007246E7">
          <w:rPr>
            <w:rStyle w:val="Hyperlink"/>
            <w:rtl/>
          </w:rPr>
          <w:t>אגלי טל מלאכת זורע סק"ו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Toc163505407 \h</w:instrText>
        </w:r>
        <w:r>
          <w:rPr>
            <w:webHidden/>
            <w:rtl/>
          </w:rPr>
          <w:instrText xml:space="preserve"> </w:instrText>
        </w:r>
        <w:r>
          <w:rPr>
            <w:rStyle w:val="Hyperlink"/>
            <w:rtl/>
          </w:rPr>
        </w:r>
        <w:r>
          <w:rPr>
            <w:rStyle w:val="Hyperlink"/>
            <w:rtl/>
          </w:rPr>
          <w:fldChar w:fldCharType="separate"/>
        </w:r>
        <w:r w:rsidR="00D82181">
          <w:rPr>
            <w:webHidden/>
            <w:rtl/>
          </w:rPr>
          <w:t>19</w:t>
        </w:r>
        <w:r>
          <w:rPr>
            <w:rStyle w:val="Hyperlink"/>
            <w:rtl/>
          </w:rPr>
          <w:fldChar w:fldCharType="end"/>
        </w:r>
      </w:hyperlink>
    </w:p>
    <w:p w14:paraId="31CF4FDC" w14:textId="353A08C6" w:rsidR="008009AA" w:rsidRDefault="008009AA">
      <w:pPr>
        <w:pStyle w:val="TOC7"/>
        <w:rPr>
          <w:rFonts w:cstheme="minorBidi"/>
          <w:sz w:val="22"/>
          <w:szCs w:val="22"/>
          <w:rtl/>
        </w:rPr>
      </w:pPr>
      <w:hyperlink w:anchor="_Toc163505408" w:history="1">
        <w:r w:rsidRPr="007246E7">
          <w:rPr>
            <w:rStyle w:val="Hyperlink"/>
            <w:rtl/>
          </w:rPr>
          <w:t>אגלי טל באורים מלאכת זורע סק"ד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Toc163505408 \h</w:instrText>
        </w:r>
        <w:r>
          <w:rPr>
            <w:webHidden/>
            <w:rtl/>
          </w:rPr>
          <w:instrText xml:space="preserve"> </w:instrText>
        </w:r>
        <w:r>
          <w:rPr>
            <w:rStyle w:val="Hyperlink"/>
            <w:rtl/>
          </w:rPr>
        </w:r>
        <w:r>
          <w:rPr>
            <w:rStyle w:val="Hyperlink"/>
            <w:rtl/>
          </w:rPr>
          <w:fldChar w:fldCharType="separate"/>
        </w:r>
        <w:r w:rsidR="00D82181">
          <w:rPr>
            <w:webHidden/>
            <w:rtl/>
          </w:rPr>
          <w:t>20</w:t>
        </w:r>
        <w:r>
          <w:rPr>
            <w:rStyle w:val="Hyperlink"/>
            <w:rtl/>
          </w:rPr>
          <w:fldChar w:fldCharType="end"/>
        </w:r>
      </w:hyperlink>
    </w:p>
    <w:p w14:paraId="793772A0" w14:textId="60B3D430" w:rsidR="008009AA" w:rsidRDefault="008009AA">
      <w:pPr>
        <w:pStyle w:val="TOC7"/>
        <w:rPr>
          <w:rFonts w:cstheme="minorBidi"/>
          <w:sz w:val="22"/>
          <w:szCs w:val="22"/>
          <w:rtl/>
        </w:rPr>
      </w:pPr>
      <w:hyperlink w:anchor="_Toc163505409" w:history="1">
        <w:r w:rsidRPr="007246E7">
          <w:rPr>
            <w:rStyle w:val="Hyperlink"/>
            <w:rtl/>
          </w:rPr>
          <w:t>רבינו חננאל שבת ע"ג ע"ב ד"ה אמרינן</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Toc163505409 \h</w:instrText>
        </w:r>
        <w:r>
          <w:rPr>
            <w:webHidden/>
            <w:rtl/>
          </w:rPr>
          <w:instrText xml:space="preserve"> </w:instrText>
        </w:r>
        <w:r>
          <w:rPr>
            <w:rStyle w:val="Hyperlink"/>
            <w:rtl/>
          </w:rPr>
        </w:r>
        <w:r>
          <w:rPr>
            <w:rStyle w:val="Hyperlink"/>
            <w:rtl/>
          </w:rPr>
          <w:fldChar w:fldCharType="separate"/>
        </w:r>
        <w:r w:rsidR="00D82181">
          <w:rPr>
            <w:webHidden/>
            <w:rtl/>
          </w:rPr>
          <w:t>20</w:t>
        </w:r>
        <w:r>
          <w:rPr>
            <w:rStyle w:val="Hyperlink"/>
            <w:rtl/>
          </w:rPr>
          <w:fldChar w:fldCharType="end"/>
        </w:r>
      </w:hyperlink>
    </w:p>
    <w:p w14:paraId="5F355DCF" w14:textId="4C9C3014" w:rsidR="008009AA" w:rsidRDefault="008009AA">
      <w:pPr>
        <w:pStyle w:val="TOC7"/>
        <w:rPr>
          <w:rFonts w:cstheme="minorBidi"/>
          <w:sz w:val="22"/>
          <w:szCs w:val="22"/>
          <w:rtl/>
        </w:rPr>
      </w:pPr>
      <w:hyperlink w:anchor="_Toc163505410" w:history="1">
        <w:r w:rsidRPr="007246E7">
          <w:rPr>
            <w:rStyle w:val="Hyperlink"/>
            <w:rtl/>
          </w:rPr>
          <w:t>רבינו חננאל ב"ק ב' ע"א ד"ה גבי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Toc163505410 \h</w:instrText>
        </w:r>
        <w:r>
          <w:rPr>
            <w:webHidden/>
            <w:rtl/>
          </w:rPr>
          <w:instrText xml:space="preserve"> </w:instrText>
        </w:r>
        <w:r>
          <w:rPr>
            <w:rStyle w:val="Hyperlink"/>
            <w:rtl/>
          </w:rPr>
        </w:r>
        <w:r>
          <w:rPr>
            <w:rStyle w:val="Hyperlink"/>
            <w:rtl/>
          </w:rPr>
          <w:fldChar w:fldCharType="separate"/>
        </w:r>
        <w:r w:rsidR="00D82181">
          <w:rPr>
            <w:webHidden/>
            <w:rtl/>
          </w:rPr>
          <w:t>20</w:t>
        </w:r>
        <w:r>
          <w:rPr>
            <w:rStyle w:val="Hyperlink"/>
            <w:rtl/>
          </w:rPr>
          <w:fldChar w:fldCharType="end"/>
        </w:r>
      </w:hyperlink>
    </w:p>
    <w:p w14:paraId="1D5CA771" w14:textId="11005823" w:rsidR="008009AA" w:rsidRDefault="008009AA">
      <w:pPr>
        <w:pStyle w:val="TOC7"/>
        <w:rPr>
          <w:rFonts w:cstheme="minorBidi"/>
          <w:sz w:val="22"/>
          <w:szCs w:val="22"/>
          <w:rtl/>
        </w:rPr>
      </w:pPr>
      <w:hyperlink w:anchor="_Toc163505411" w:history="1">
        <w:r w:rsidRPr="007246E7">
          <w:rPr>
            <w:rStyle w:val="Hyperlink"/>
            <w:rtl/>
          </w:rPr>
          <w:t>יראים סימן רעד ד"ה הזורע</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Toc163505411 \h</w:instrText>
        </w:r>
        <w:r>
          <w:rPr>
            <w:webHidden/>
            <w:rtl/>
          </w:rPr>
          <w:instrText xml:space="preserve"> </w:instrText>
        </w:r>
        <w:r>
          <w:rPr>
            <w:rStyle w:val="Hyperlink"/>
            <w:rtl/>
          </w:rPr>
        </w:r>
        <w:r>
          <w:rPr>
            <w:rStyle w:val="Hyperlink"/>
            <w:rtl/>
          </w:rPr>
          <w:fldChar w:fldCharType="separate"/>
        </w:r>
        <w:r w:rsidR="00D82181">
          <w:rPr>
            <w:webHidden/>
            <w:rtl/>
          </w:rPr>
          <w:t>20</w:t>
        </w:r>
        <w:r>
          <w:rPr>
            <w:rStyle w:val="Hyperlink"/>
            <w:rtl/>
          </w:rPr>
          <w:fldChar w:fldCharType="end"/>
        </w:r>
      </w:hyperlink>
    </w:p>
    <w:p w14:paraId="06905A58" w14:textId="5F06D159" w:rsidR="008009AA" w:rsidRDefault="008009AA">
      <w:pPr>
        <w:pStyle w:val="TOC7"/>
        <w:rPr>
          <w:rFonts w:cstheme="minorBidi"/>
          <w:sz w:val="22"/>
          <w:szCs w:val="22"/>
          <w:rtl/>
        </w:rPr>
      </w:pPr>
      <w:hyperlink w:anchor="_Toc163505412" w:history="1">
        <w:r w:rsidRPr="007246E7">
          <w:rPr>
            <w:rStyle w:val="Hyperlink"/>
            <w:rtl/>
          </w:rPr>
          <w:t>כסף משנה שבת ז' 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Toc163505412 \h</w:instrText>
        </w:r>
        <w:r>
          <w:rPr>
            <w:webHidden/>
            <w:rtl/>
          </w:rPr>
          <w:instrText xml:space="preserve"> </w:instrText>
        </w:r>
        <w:r>
          <w:rPr>
            <w:rStyle w:val="Hyperlink"/>
            <w:rtl/>
          </w:rPr>
        </w:r>
        <w:r>
          <w:rPr>
            <w:rStyle w:val="Hyperlink"/>
            <w:rtl/>
          </w:rPr>
          <w:fldChar w:fldCharType="separate"/>
        </w:r>
        <w:r w:rsidR="00D82181">
          <w:rPr>
            <w:webHidden/>
            <w:rtl/>
          </w:rPr>
          <w:t>20</w:t>
        </w:r>
        <w:r>
          <w:rPr>
            <w:rStyle w:val="Hyperlink"/>
            <w:rtl/>
          </w:rPr>
          <w:fldChar w:fldCharType="end"/>
        </w:r>
      </w:hyperlink>
    </w:p>
    <w:p w14:paraId="6AE68F99" w14:textId="6C075F83" w:rsidR="008009AA" w:rsidRDefault="008009AA">
      <w:pPr>
        <w:pStyle w:val="TOC7"/>
        <w:rPr>
          <w:rFonts w:cstheme="minorBidi"/>
          <w:sz w:val="22"/>
          <w:szCs w:val="22"/>
          <w:rtl/>
        </w:rPr>
      </w:pPr>
      <w:hyperlink w:anchor="_Toc163505413" w:history="1">
        <w:r w:rsidRPr="007246E7">
          <w:rPr>
            <w:rStyle w:val="Hyperlink"/>
            <w:rtl/>
          </w:rPr>
          <w:t>שו"ת רבי בצלאל אשכנזי סימן לח ד"ה והקשה הרב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Toc163505413 \h</w:instrText>
        </w:r>
        <w:r>
          <w:rPr>
            <w:webHidden/>
            <w:rtl/>
          </w:rPr>
          <w:instrText xml:space="preserve"> </w:instrText>
        </w:r>
        <w:r>
          <w:rPr>
            <w:rStyle w:val="Hyperlink"/>
            <w:rtl/>
          </w:rPr>
        </w:r>
        <w:r>
          <w:rPr>
            <w:rStyle w:val="Hyperlink"/>
            <w:rtl/>
          </w:rPr>
          <w:fldChar w:fldCharType="separate"/>
        </w:r>
        <w:r w:rsidR="00D82181">
          <w:rPr>
            <w:webHidden/>
            <w:rtl/>
          </w:rPr>
          <w:t>20</w:t>
        </w:r>
        <w:r>
          <w:rPr>
            <w:rStyle w:val="Hyperlink"/>
            <w:rtl/>
          </w:rPr>
          <w:fldChar w:fldCharType="end"/>
        </w:r>
      </w:hyperlink>
    </w:p>
    <w:p w14:paraId="2A1FD22D" w14:textId="725C8B8B" w:rsidR="008009AA" w:rsidRDefault="008009AA">
      <w:pPr>
        <w:pStyle w:val="TOC7"/>
        <w:rPr>
          <w:rFonts w:cstheme="minorBidi"/>
          <w:sz w:val="22"/>
          <w:szCs w:val="22"/>
          <w:rtl/>
        </w:rPr>
      </w:pPr>
      <w:hyperlink w:anchor="_Toc163505414" w:history="1">
        <w:r w:rsidRPr="007246E7">
          <w:rPr>
            <w:rStyle w:val="Hyperlink"/>
            <w:rtl/>
          </w:rPr>
          <w:t>רמב"ם שבת ז' ח', ט'</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Toc163505414 \h</w:instrText>
        </w:r>
        <w:r>
          <w:rPr>
            <w:webHidden/>
            <w:rtl/>
          </w:rPr>
          <w:instrText xml:space="preserve"> </w:instrText>
        </w:r>
        <w:r>
          <w:rPr>
            <w:rStyle w:val="Hyperlink"/>
            <w:rtl/>
          </w:rPr>
        </w:r>
        <w:r>
          <w:rPr>
            <w:rStyle w:val="Hyperlink"/>
            <w:rtl/>
          </w:rPr>
          <w:fldChar w:fldCharType="separate"/>
        </w:r>
        <w:r w:rsidR="00D82181">
          <w:rPr>
            <w:webHidden/>
            <w:rtl/>
          </w:rPr>
          <w:t>21</w:t>
        </w:r>
        <w:r>
          <w:rPr>
            <w:rStyle w:val="Hyperlink"/>
            <w:rtl/>
          </w:rPr>
          <w:fldChar w:fldCharType="end"/>
        </w:r>
      </w:hyperlink>
    </w:p>
    <w:p w14:paraId="21CEC9E9" w14:textId="49C53EBA" w:rsidR="008009AA" w:rsidRDefault="008009AA">
      <w:pPr>
        <w:pStyle w:val="TOC7"/>
        <w:rPr>
          <w:rFonts w:cstheme="minorBidi"/>
          <w:sz w:val="22"/>
          <w:szCs w:val="22"/>
          <w:rtl/>
        </w:rPr>
      </w:pPr>
      <w:hyperlink w:anchor="_Toc163505415" w:history="1">
        <w:r w:rsidRPr="007246E7">
          <w:rPr>
            <w:rStyle w:val="Hyperlink"/>
            <w:rtl/>
          </w:rPr>
          <w:t>מרכבת המשנה שבת ז' 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Toc163505415 \h</w:instrText>
        </w:r>
        <w:r>
          <w:rPr>
            <w:webHidden/>
            <w:rtl/>
          </w:rPr>
          <w:instrText xml:space="preserve"> </w:instrText>
        </w:r>
        <w:r>
          <w:rPr>
            <w:rStyle w:val="Hyperlink"/>
            <w:rtl/>
          </w:rPr>
        </w:r>
        <w:r>
          <w:rPr>
            <w:rStyle w:val="Hyperlink"/>
            <w:rtl/>
          </w:rPr>
          <w:fldChar w:fldCharType="separate"/>
        </w:r>
        <w:r w:rsidR="00D82181">
          <w:rPr>
            <w:webHidden/>
            <w:rtl/>
          </w:rPr>
          <w:t>21</w:t>
        </w:r>
        <w:r>
          <w:rPr>
            <w:rStyle w:val="Hyperlink"/>
            <w:rtl/>
          </w:rPr>
          <w:fldChar w:fldCharType="end"/>
        </w:r>
      </w:hyperlink>
    </w:p>
    <w:p w14:paraId="1524C704" w14:textId="53D8B019" w:rsidR="008009AA" w:rsidRDefault="008009AA">
      <w:pPr>
        <w:pStyle w:val="TOC7"/>
        <w:rPr>
          <w:rFonts w:cstheme="minorBidi"/>
          <w:sz w:val="22"/>
          <w:szCs w:val="22"/>
          <w:rtl/>
        </w:rPr>
      </w:pPr>
      <w:hyperlink w:anchor="_Toc163505416" w:history="1">
        <w:r w:rsidRPr="007246E7">
          <w:rPr>
            <w:rStyle w:val="Hyperlink"/>
            <w:rtl/>
          </w:rPr>
          <w:t>חדושי הר"ן - מיוחס לו שבת ע"ג ע"ב ד"ה תנא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Toc163505416 \h</w:instrText>
        </w:r>
        <w:r>
          <w:rPr>
            <w:webHidden/>
            <w:rtl/>
          </w:rPr>
          <w:instrText xml:space="preserve"> </w:instrText>
        </w:r>
        <w:r>
          <w:rPr>
            <w:rStyle w:val="Hyperlink"/>
            <w:rtl/>
          </w:rPr>
        </w:r>
        <w:r>
          <w:rPr>
            <w:rStyle w:val="Hyperlink"/>
            <w:rtl/>
          </w:rPr>
          <w:fldChar w:fldCharType="separate"/>
        </w:r>
        <w:r w:rsidR="00D82181">
          <w:rPr>
            <w:webHidden/>
            <w:rtl/>
          </w:rPr>
          <w:t>21</w:t>
        </w:r>
        <w:r>
          <w:rPr>
            <w:rStyle w:val="Hyperlink"/>
            <w:rtl/>
          </w:rPr>
          <w:fldChar w:fldCharType="end"/>
        </w:r>
      </w:hyperlink>
    </w:p>
    <w:p w14:paraId="3EF38FFD" w14:textId="04C2C3F4" w:rsidR="008009AA" w:rsidRDefault="008009AA">
      <w:pPr>
        <w:pStyle w:val="TOC7"/>
        <w:rPr>
          <w:rFonts w:cstheme="minorBidi"/>
          <w:sz w:val="22"/>
          <w:szCs w:val="22"/>
          <w:rtl/>
        </w:rPr>
      </w:pPr>
      <w:hyperlink w:anchor="_Toc163505417" w:history="1">
        <w:r w:rsidRPr="007246E7">
          <w:rPr>
            <w:rStyle w:val="Hyperlink"/>
            <w:rtl/>
          </w:rPr>
          <w:t>חדושי הר"ן - מיוחס לו שבת ע"ג ע"ב ד"ה זומר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Toc163505417 \h</w:instrText>
        </w:r>
        <w:r>
          <w:rPr>
            <w:webHidden/>
            <w:rtl/>
          </w:rPr>
          <w:instrText xml:space="preserve"> </w:instrText>
        </w:r>
        <w:r>
          <w:rPr>
            <w:rStyle w:val="Hyperlink"/>
            <w:rtl/>
          </w:rPr>
        </w:r>
        <w:r>
          <w:rPr>
            <w:rStyle w:val="Hyperlink"/>
            <w:rtl/>
          </w:rPr>
          <w:fldChar w:fldCharType="separate"/>
        </w:r>
        <w:r w:rsidR="00D82181">
          <w:rPr>
            <w:webHidden/>
            <w:rtl/>
          </w:rPr>
          <w:t>21</w:t>
        </w:r>
        <w:r>
          <w:rPr>
            <w:rStyle w:val="Hyperlink"/>
            <w:rtl/>
          </w:rPr>
          <w:fldChar w:fldCharType="end"/>
        </w:r>
      </w:hyperlink>
    </w:p>
    <w:p w14:paraId="20E7A4D8" w14:textId="5249E48A" w:rsidR="008009AA" w:rsidRDefault="008009AA">
      <w:pPr>
        <w:pStyle w:val="TOC7"/>
        <w:rPr>
          <w:rFonts w:cstheme="minorBidi"/>
          <w:sz w:val="22"/>
          <w:szCs w:val="22"/>
          <w:rtl/>
        </w:rPr>
      </w:pPr>
      <w:hyperlink w:anchor="_Toc163505418" w:history="1">
        <w:r w:rsidRPr="007246E7">
          <w:rPr>
            <w:rStyle w:val="Hyperlink"/>
            <w:rtl/>
          </w:rPr>
          <w:t>חדושי הר"ן - מיוחס לו שבת ע"ג ע"ב ד"ה אימא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Toc163505418 \h</w:instrText>
        </w:r>
        <w:r>
          <w:rPr>
            <w:webHidden/>
            <w:rtl/>
          </w:rPr>
          <w:instrText xml:space="preserve"> </w:instrText>
        </w:r>
        <w:r>
          <w:rPr>
            <w:rStyle w:val="Hyperlink"/>
            <w:rtl/>
          </w:rPr>
        </w:r>
        <w:r>
          <w:rPr>
            <w:rStyle w:val="Hyperlink"/>
            <w:rtl/>
          </w:rPr>
          <w:fldChar w:fldCharType="separate"/>
        </w:r>
        <w:r w:rsidR="00D82181">
          <w:rPr>
            <w:webHidden/>
            <w:rtl/>
          </w:rPr>
          <w:t>21</w:t>
        </w:r>
        <w:r>
          <w:rPr>
            <w:rStyle w:val="Hyperlink"/>
            <w:rtl/>
          </w:rPr>
          <w:fldChar w:fldCharType="end"/>
        </w:r>
      </w:hyperlink>
    </w:p>
    <w:p w14:paraId="71ABB454" w14:textId="38D8AD91" w:rsidR="008009AA" w:rsidRDefault="008009AA">
      <w:pPr>
        <w:pStyle w:val="TOC7"/>
        <w:rPr>
          <w:rFonts w:cstheme="minorBidi"/>
          <w:sz w:val="22"/>
          <w:szCs w:val="22"/>
          <w:rtl/>
        </w:rPr>
      </w:pPr>
      <w:hyperlink w:anchor="_Toc163505419" w:history="1">
        <w:r w:rsidRPr="007246E7">
          <w:rPr>
            <w:rStyle w:val="Hyperlink"/>
            <w:rtl/>
          </w:rPr>
          <w:t>שיטה מקובצת ב"ק ב' ע"א ד"ה אית ספרים</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Toc163505419 \h</w:instrText>
        </w:r>
        <w:r>
          <w:rPr>
            <w:webHidden/>
            <w:rtl/>
          </w:rPr>
          <w:instrText xml:space="preserve"> </w:instrText>
        </w:r>
        <w:r>
          <w:rPr>
            <w:rStyle w:val="Hyperlink"/>
            <w:rtl/>
          </w:rPr>
        </w:r>
        <w:r>
          <w:rPr>
            <w:rStyle w:val="Hyperlink"/>
            <w:rtl/>
          </w:rPr>
          <w:fldChar w:fldCharType="separate"/>
        </w:r>
        <w:r w:rsidR="00D82181">
          <w:rPr>
            <w:webHidden/>
            <w:rtl/>
          </w:rPr>
          <w:t>21</w:t>
        </w:r>
        <w:r>
          <w:rPr>
            <w:rStyle w:val="Hyperlink"/>
            <w:rtl/>
          </w:rPr>
          <w:fldChar w:fldCharType="end"/>
        </w:r>
      </w:hyperlink>
    </w:p>
    <w:p w14:paraId="6331EDC1" w14:textId="42569718" w:rsidR="008009AA" w:rsidRDefault="008009AA">
      <w:pPr>
        <w:pStyle w:val="TOC7"/>
        <w:rPr>
          <w:rFonts w:cstheme="minorBidi"/>
          <w:sz w:val="22"/>
          <w:szCs w:val="22"/>
          <w:rtl/>
        </w:rPr>
      </w:pPr>
      <w:hyperlink w:anchor="_Toc163505420" w:history="1">
        <w:r w:rsidRPr="007246E7">
          <w:rPr>
            <w:rStyle w:val="Hyperlink"/>
            <w:rtl/>
          </w:rPr>
          <w:t>אגלי טל באורים פתיחה אות 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Toc163505420 \h</w:instrText>
        </w:r>
        <w:r>
          <w:rPr>
            <w:webHidden/>
            <w:rtl/>
          </w:rPr>
          <w:instrText xml:space="preserve"> </w:instrText>
        </w:r>
        <w:r>
          <w:rPr>
            <w:rStyle w:val="Hyperlink"/>
            <w:rtl/>
          </w:rPr>
        </w:r>
        <w:r>
          <w:rPr>
            <w:rStyle w:val="Hyperlink"/>
            <w:rtl/>
          </w:rPr>
          <w:fldChar w:fldCharType="separate"/>
        </w:r>
        <w:r w:rsidR="00D82181">
          <w:rPr>
            <w:webHidden/>
            <w:rtl/>
          </w:rPr>
          <w:t>21</w:t>
        </w:r>
        <w:r>
          <w:rPr>
            <w:rStyle w:val="Hyperlink"/>
            <w:rtl/>
          </w:rPr>
          <w:fldChar w:fldCharType="end"/>
        </w:r>
      </w:hyperlink>
    </w:p>
    <w:p w14:paraId="0D7AED0B" w14:textId="0F1D2600" w:rsidR="008009AA" w:rsidRDefault="008009AA">
      <w:pPr>
        <w:pStyle w:val="TOC7"/>
        <w:rPr>
          <w:rFonts w:cstheme="minorBidi"/>
          <w:sz w:val="22"/>
          <w:szCs w:val="22"/>
          <w:rtl/>
        </w:rPr>
      </w:pPr>
      <w:hyperlink w:anchor="_Toc163505421" w:history="1">
        <w:r w:rsidRPr="007246E7">
          <w:rPr>
            <w:rStyle w:val="Hyperlink"/>
            <w:rtl/>
          </w:rPr>
          <w:t>אגלי טל באורים פתיחה אות ה, 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Toc163505421 \h</w:instrText>
        </w:r>
        <w:r>
          <w:rPr>
            <w:webHidden/>
            <w:rtl/>
          </w:rPr>
          <w:instrText xml:space="preserve"> </w:instrText>
        </w:r>
        <w:r>
          <w:rPr>
            <w:rStyle w:val="Hyperlink"/>
            <w:rtl/>
          </w:rPr>
        </w:r>
        <w:r>
          <w:rPr>
            <w:rStyle w:val="Hyperlink"/>
            <w:rtl/>
          </w:rPr>
          <w:fldChar w:fldCharType="separate"/>
        </w:r>
        <w:r w:rsidR="00D82181">
          <w:rPr>
            <w:webHidden/>
            <w:rtl/>
          </w:rPr>
          <w:t>21</w:t>
        </w:r>
        <w:r>
          <w:rPr>
            <w:rStyle w:val="Hyperlink"/>
            <w:rtl/>
          </w:rPr>
          <w:fldChar w:fldCharType="end"/>
        </w:r>
      </w:hyperlink>
    </w:p>
    <w:p w14:paraId="3FE47000" w14:textId="113B9498" w:rsidR="008009AA" w:rsidRDefault="008009AA">
      <w:pPr>
        <w:pStyle w:val="TOC7"/>
        <w:rPr>
          <w:rFonts w:cstheme="minorBidi"/>
          <w:sz w:val="22"/>
          <w:szCs w:val="22"/>
          <w:rtl/>
        </w:rPr>
      </w:pPr>
      <w:hyperlink w:anchor="_Toc163505422" w:history="1">
        <w:r w:rsidRPr="007246E7">
          <w:rPr>
            <w:rStyle w:val="Hyperlink"/>
            <w:rtl/>
          </w:rPr>
          <w:t>אגלי טל מלאכת זורע סק"א, סק"ב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Toc163505422 \h</w:instrText>
        </w:r>
        <w:r>
          <w:rPr>
            <w:webHidden/>
            <w:rtl/>
          </w:rPr>
          <w:instrText xml:space="preserve"> </w:instrText>
        </w:r>
        <w:r>
          <w:rPr>
            <w:rStyle w:val="Hyperlink"/>
            <w:rtl/>
          </w:rPr>
        </w:r>
        <w:r>
          <w:rPr>
            <w:rStyle w:val="Hyperlink"/>
            <w:rtl/>
          </w:rPr>
          <w:fldChar w:fldCharType="separate"/>
        </w:r>
        <w:r w:rsidR="00D82181">
          <w:rPr>
            <w:webHidden/>
            <w:rtl/>
          </w:rPr>
          <w:t>22</w:t>
        </w:r>
        <w:r>
          <w:rPr>
            <w:rStyle w:val="Hyperlink"/>
            <w:rtl/>
          </w:rPr>
          <w:fldChar w:fldCharType="end"/>
        </w:r>
      </w:hyperlink>
    </w:p>
    <w:p w14:paraId="39A981E6" w14:textId="2D9368EC" w:rsidR="008009AA" w:rsidRDefault="008009AA">
      <w:pPr>
        <w:pStyle w:val="TOC7"/>
        <w:rPr>
          <w:rFonts w:cstheme="minorBidi"/>
          <w:sz w:val="22"/>
          <w:szCs w:val="22"/>
          <w:rtl/>
        </w:rPr>
      </w:pPr>
      <w:hyperlink w:anchor="_Toc163505423" w:history="1">
        <w:r w:rsidRPr="007246E7">
          <w:rPr>
            <w:rStyle w:val="Hyperlink"/>
            <w:rtl/>
          </w:rPr>
          <w:t>אגלי טל באורים מלאכת זורע סק"ו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Toc163505423 \h</w:instrText>
        </w:r>
        <w:r>
          <w:rPr>
            <w:webHidden/>
            <w:rtl/>
          </w:rPr>
          <w:instrText xml:space="preserve"> </w:instrText>
        </w:r>
        <w:r>
          <w:rPr>
            <w:rStyle w:val="Hyperlink"/>
            <w:rtl/>
          </w:rPr>
        </w:r>
        <w:r>
          <w:rPr>
            <w:rStyle w:val="Hyperlink"/>
            <w:rtl/>
          </w:rPr>
          <w:fldChar w:fldCharType="separate"/>
        </w:r>
        <w:r w:rsidR="00D82181">
          <w:rPr>
            <w:webHidden/>
            <w:rtl/>
          </w:rPr>
          <w:t>22</w:t>
        </w:r>
        <w:r>
          <w:rPr>
            <w:rStyle w:val="Hyperlink"/>
            <w:rtl/>
          </w:rPr>
          <w:fldChar w:fldCharType="end"/>
        </w:r>
      </w:hyperlink>
    </w:p>
    <w:p w14:paraId="36E91C7D" w14:textId="53D1F010" w:rsidR="008009AA" w:rsidRDefault="008009AA">
      <w:pPr>
        <w:pStyle w:val="TOC7"/>
        <w:rPr>
          <w:rFonts w:cstheme="minorBidi"/>
          <w:sz w:val="22"/>
          <w:szCs w:val="22"/>
          <w:rtl/>
        </w:rPr>
      </w:pPr>
      <w:hyperlink w:anchor="_Toc163505424" w:history="1">
        <w:r w:rsidRPr="007246E7">
          <w:rPr>
            <w:rStyle w:val="Hyperlink"/>
            <w:rtl/>
          </w:rPr>
          <w:t>אגלי טל באורים מלאכת זורע סק"ו ד"ה ויותר נכון</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Toc163505424 \h</w:instrText>
        </w:r>
        <w:r>
          <w:rPr>
            <w:webHidden/>
            <w:rtl/>
          </w:rPr>
          <w:instrText xml:space="preserve"> </w:instrText>
        </w:r>
        <w:r>
          <w:rPr>
            <w:rStyle w:val="Hyperlink"/>
            <w:rtl/>
          </w:rPr>
        </w:r>
        <w:r>
          <w:rPr>
            <w:rStyle w:val="Hyperlink"/>
            <w:rtl/>
          </w:rPr>
          <w:fldChar w:fldCharType="separate"/>
        </w:r>
        <w:r w:rsidR="00D82181">
          <w:rPr>
            <w:webHidden/>
            <w:rtl/>
          </w:rPr>
          <w:t>22</w:t>
        </w:r>
        <w:r>
          <w:rPr>
            <w:rStyle w:val="Hyperlink"/>
            <w:rtl/>
          </w:rPr>
          <w:fldChar w:fldCharType="end"/>
        </w:r>
      </w:hyperlink>
    </w:p>
    <w:p w14:paraId="27F6A946" w14:textId="120C1FF6" w:rsidR="008009AA" w:rsidRDefault="008009AA">
      <w:pPr>
        <w:pStyle w:val="TOC7"/>
        <w:rPr>
          <w:rFonts w:cstheme="minorBidi"/>
          <w:sz w:val="22"/>
          <w:szCs w:val="22"/>
          <w:rtl/>
        </w:rPr>
      </w:pPr>
      <w:hyperlink w:anchor="_Toc163505425" w:history="1">
        <w:r w:rsidRPr="007246E7">
          <w:rPr>
            <w:rStyle w:val="Hyperlink"/>
            <w:rtl/>
          </w:rPr>
          <w:t>אגלי טל באורים מלאכת זורע סק"ז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Toc163505425 \h</w:instrText>
        </w:r>
        <w:r>
          <w:rPr>
            <w:webHidden/>
            <w:rtl/>
          </w:rPr>
          <w:instrText xml:space="preserve"> </w:instrText>
        </w:r>
        <w:r>
          <w:rPr>
            <w:rStyle w:val="Hyperlink"/>
            <w:rtl/>
          </w:rPr>
        </w:r>
        <w:r>
          <w:rPr>
            <w:rStyle w:val="Hyperlink"/>
            <w:rtl/>
          </w:rPr>
          <w:fldChar w:fldCharType="separate"/>
        </w:r>
        <w:r w:rsidR="00D82181">
          <w:rPr>
            <w:webHidden/>
            <w:rtl/>
          </w:rPr>
          <w:t>22</w:t>
        </w:r>
        <w:r>
          <w:rPr>
            <w:rStyle w:val="Hyperlink"/>
            <w:rtl/>
          </w:rPr>
          <w:fldChar w:fldCharType="end"/>
        </w:r>
      </w:hyperlink>
    </w:p>
    <w:p w14:paraId="3CC8AF4E" w14:textId="1A0973B5" w:rsidR="008009AA" w:rsidRDefault="008009AA">
      <w:pPr>
        <w:pStyle w:val="TOC7"/>
        <w:rPr>
          <w:rFonts w:cstheme="minorBidi"/>
          <w:sz w:val="22"/>
          <w:szCs w:val="22"/>
          <w:rtl/>
        </w:rPr>
      </w:pPr>
      <w:hyperlink w:anchor="_Toc163505426" w:history="1">
        <w:r w:rsidRPr="007246E7">
          <w:rPr>
            <w:rStyle w:val="Hyperlink"/>
            <w:rtl/>
          </w:rPr>
          <w:t>מגן אבות זורע</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Toc163505426 \h</w:instrText>
        </w:r>
        <w:r>
          <w:rPr>
            <w:webHidden/>
            <w:rtl/>
          </w:rPr>
          <w:instrText xml:space="preserve"> </w:instrText>
        </w:r>
        <w:r>
          <w:rPr>
            <w:rStyle w:val="Hyperlink"/>
            <w:rtl/>
          </w:rPr>
        </w:r>
        <w:r>
          <w:rPr>
            <w:rStyle w:val="Hyperlink"/>
            <w:rtl/>
          </w:rPr>
          <w:fldChar w:fldCharType="separate"/>
        </w:r>
        <w:r w:rsidR="00D82181">
          <w:rPr>
            <w:webHidden/>
            <w:rtl/>
          </w:rPr>
          <w:t>22</w:t>
        </w:r>
        <w:r>
          <w:rPr>
            <w:rStyle w:val="Hyperlink"/>
            <w:rtl/>
          </w:rPr>
          <w:fldChar w:fldCharType="end"/>
        </w:r>
      </w:hyperlink>
    </w:p>
    <w:p w14:paraId="79FA2B1C" w14:textId="1D61F661" w:rsidR="008009AA" w:rsidRDefault="008009AA">
      <w:pPr>
        <w:pStyle w:val="TOC7"/>
        <w:rPr>
          <w:rFonts w:cstheme="minorBidi"/>
          <w:sz w:val="22"/>
          <w:szCs w:val="22"/>
          <w:rtl/>
        </w:rPr>
      </w:pPr>
      <w:hyperlink w:anchor="_Toc163505427" w:history="1">
        <w:r w:rsidRPr="007246E7">
          <w:rPr>
            <w:rStyle w:val="Hyperlink"/>
            <w:rtl/>
          </w:rPr>
          <w:t>רמב"ם שבת ח' 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Toc163505427 \h</w:instrText>
        </w:r>
        <w:r>
          <w:rPr>
            <w:webHidden/>
            <w:rtl/>
          </w:rPr>
          <w:instrText xml:space="preserve"> </w:instrText>
        </w:r>
        <w:r>
          <w:rPr>
            <w:rStyle w:val="Hyperlink"/>
            <w:rtl/>
          </w:rPr>
        </w:r>
        <w:r>
          <w:rPr>
            <w:rStyle w:val="Hyperlink"/>
            <w:rtl/>
          </w:rPr>
          <w:fldChar w:fldCharType="separate"/>
        </w:r>
        <w:r w:rsidR="00D82181">
          <w:rPr>
            <w:webHidden/>
            <w:rtl/>
          </w:rPr>
          <w:t>23</w:t>
        </w:r>
        <w:r>
          <w:rPr>
            <w:rStyle w:val="Hyperlink"/>
            <w:rtl/>
          </w:rPr>
          <w:fldChar w:fldCharType="end"/>
        </w:r>
      </w:hyperlink>
    </w:p>
    <w:p w14:paraId="0D54C0F8" w14:textId="70461014" w:rsidR="008009AA" w:rsidRDefault="008009AA">
      <w:pPr>
        <w:pStyle w:val="TOC7"/>
        <w:rPr>
          <w:rFonts w:cstheme="minorBidi"/>
          <w:sz w:val="22"/>
          <w:szCs w:val="22"/>
          <w:rtl/>
        </w:rPr>
      </w:pPr>
      <w:hyperlink w:anchor="_Toc163505428" w:history="1">
        <w:r w:rsidRPr="007246E7">
          <w:rPr>
            <w:rStyle w:val="Hyperlink"/>
            <w:rtl/>
          </w:rPr>
          <w:t>מגיד משנה שבת ח' 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Toc163505428 \h</w:instrText>
        </w:r>
        <w:r>
          <w:rPr>
            <w:webHidden/>
            <w:rtl/>
          </w:rPr>
          <w:instrText xml:space="preserve"> </w:instrText>
        </w:r>
        <w:r>
          <w:rPr>
            <w:rStyle w:val="Hyperlink"/>
            <w:rtl/>
          </w:rPr>
        </w:r>
        <w:r>
          <w:rPr>
            <w:rStyle w:val="Hyperlink"/>
            <w:rtl/>
          </w:rPr>
          <w:fldChar w:fldCharType="separate"/>
        </w:r>
        <w:r w:rsidR="00D82181">
          <w:rPr>
            <w:webHidden/>
            <w:rtl/>
          </w:rPr>
          <w:t>23</w:t>
        </w:r>
        <w:r>
          <w:rPr>
            <w:rStyle w:val="Hyperlink"/>
            <w:rtl/>
          </w:rPr>
          <w:fldChar w:fldCharType="end"/>
        </w:r>
      </w:hyperlink>
    </w:p>
    <w:p w14:paraId="077B9DDF" w14:textId="1CDAEB8A" w:rsidR="008009AA" w:rsidRDefault="008009AA">
      <w:pPr>
        <w:pStyle w:val="TOC7"/>
        <w:rPr>
          <w:rFonts w:cstheme="minorBidi"/>
          <w:sz w:val="22"/>
          <w:szCs w:val="22"/>
          <w:rtl/>
        </w:rPr>
      </w:pPr>
      <w:hyperlink w:anchor="_Toc163505429" w:history="1">
        <w:r w:rsidRPr="007246E7">
          <w:rPr>
            <w:rStyle w:val="Hyperlink"/>
            <w:rtl/>
          </w:rPr>
          <w:t>פי' קדמון ממצרים שבת ח' ב', שו"ת הרמב"ם</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Toc163505429 \h</w:instrText>
        </w:r>
        <w:r>
          <w:rPr>
            <w:webHidden/>
            <w:rtl/>
          </w:rPr>
          <w:instrText xml:space="preserve"> </w:instrText>
        </w:r>
        <w:r>
          <w:rPr>
            <w:rStyle w:val="Hyperlink"/>
            <w:rtl/>
          </w:rPr>
        </w:r>
        <w:r>
          <w:rPr>
            <w:rStyle w:val="Hyperlink"/>
            <w:rtl/>
          </w:rPr>
          <w:fldChar w:fldCharType="separate"/>
        </w:r>
        <w:r w:rsidR="00D82181">
          <w:rPr>
            <w:webHidden/>
            <w:rtl/>
          </w:rPr>
          <w:t>23</w:t>
        </w:r>
        <w:r>
          <w:rPr>
            <w:rStyle w:val="Hyperlink"/>
            <w:rtl/>
          </w:rPr>
          <w:fldChar w:fldCharType="end"/>
        </w:r>
      </w:hyperlink>
    </w:p>
    <w:p w14:paraId="2C643B32" w14:textId="0753CF1D" w:rsidR="008009AA" w:rsidRDefault="008009AA">
      <w:pPr>
        <w:pStyle w:val="TOC7"/>
        <w:rPr>
          <w:rFonts w:cstheme="minorBidi"/>
          <w:sz w:val="22"/>
          <w:szCs w:val="22"/>
          <w:rtl/>
        </w:rPr>
      </w:pPr>
      <w:hyperlink w:anchor="_Toc163505430" w:history="1">
        <w:r w:rsidRPr="007246E7">
          <w:rPr>
            <w:rStyle w:val="Hyperlink"/>
            <w:rtl/>
          </w:rPr>
          <w:t>רמב"ם שבת ח' ט"ז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Toc163505430 \h</w:instrText>
        </w:r>
        <w:r>
          <w:rPr>
            <w:webHidden/>
            <w:rtl/>
          </w:rPr>
          <w:instrText xml:space="preserve"> </w:instrText>
        </w:r>
        <w:r>
          <w:rPr>
            <w:rStyle w:val="Hyperlink"/>
            <w:rtl/>
          </w:rPr>
        </w:r>
        <w:r>
          <w:rPr>
            <w:rStyle w:val="Hyperlink"/>
            <w:rtl/>
          </w:rPr>
          <w:fldChar w:fldCharType="separate"/>
        </w:r>
        <w:r w:rsidR="00D82181">
          <w:rPr>
            <w:webHidden/>
            <w:rtl/>
          </w:rPr>
          <w:t>23</w:t>
        </w:r>
        <w:r>
          <w:rPr>
            <w:rStyle w:val="Hyperlink"/>
            <w:rtl/>
          </w:rPr>
          <w:fldChar w:fldCharType="end"/>
        </w:r>
      </w:hyperlink>
    </w:p>
    <w:p w14:paraId="1C3FB612" w14:textId="0B64B3B8" w:rsidR="008009AA" w:rsidRDefault="008009AA">
      <w:pPr>
        <w:pStyle w:val="TOC7"/>
        <w:rPr>
          <w:rFonts w:cstheme="minorBidi"/>
          <w:sz w:val="22"/>
          <w:szCs w:val="22"/>
          <w:rtl/>
        </w:rPr>
      </w:pPr>
      <w:hyperlink w:anchor="_Toc163505431" w:history="1">
        <w:r w:rsidRPr="007246E7">
          <w:rPr>
            <w:rStyle w:val="Hyperlink"/>
            <w:rtl/>
          </w:rPr>
          <w:t>שו"ת רדב"ז ח"ה ללשונות הרמב"ם סימן רמח (אלף תריא)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Toc163505431 \h</w:instrText>
        </w:r>
        <w:r>
          <w:rPr>
            <w:webHidden/>
            <w:rtl/>
          </w:rPr>
          <w:instrText xml:space="preserve"> </w:instrText>
        </w:r>
        <w:r>
          <w:rPr>
            <w:rStyle w:val="Hyperlink"/>
            <w:rtl/>
          </w:rPr>
        </w:r>
        <w:r>
          <w:rPr>
            <w:rStyle w:val="Hyperlink"/>
            <w:rtl/>
          </w:rPr>
          <w:fldChar w:fldCharType="separate"/>
        </w:r>
        <w:r w:rsidR="00D82181">
          <w:rPr>
            <w:webHidden/>
            <w:rtl/>
          </w:rPr>
          <w:t>23</w:t>
        </w:r>
        <w:r>
          <w:rPr>
            <w:rStyle w:val="Hyperlink"/>
            <w:rtl/>
          </w:rPr>
          <w:fldChar w:fldCharType="end"/>
        </w:r>
      </w:hyperlink>
    </w:p>
    <w:p w14:paraId="5338A043" w14:textId="4C475E16" w:rsidR="008009AA" w:rsidRDefault="008009AA">
      <w:pPr>
        <w:pStyle w:val="TOC7"/>
        <w:rPr>
          <w:rFonts w:cstheme="minorBidi"/>
          <w:sz w:val="22"/>
          <w:szCs w:val="22"/>
          <w:rtl/>
        </w:rPr>
      </w:pPr>
      <w:hyperlink w:anchor="_Toc163505432" w:history="1">
        <w:r w:rsidRPr="007246E7">
          <w:rPr>
            <w:rStyle w:val="Hyperlink"/>
            <w:rtl/>
          </w:rPr>
          <w:t>שו"ת רדב"ז ח"ה ללשונות הרמב"ם סימן רמח (אלף תריא) ד"ה תשובה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Toc163505432 \h</w:instrText>
        </w:r>
        <w:r>
          <w:rPr>
            <w:webHidden/>
            <w:rtl/>
          </w:rPr>
          <w:instrText xml:space="preserve"> </w:instrText>
        </w:r>
        <w:r>
          <w:rPr>
            <w:rStyle w:val="Hyperlink"/>
            <w:rtl/>
          </w:rPr>
        </w:r>
        <w:r>
          <w:rPr>
            <w:rStyle w:val="Hyperlink"/>
            <w:rtl/>
          </w:rPr>
          <w:fldChar w:fldCharType="separate"/>
        </w:r>
        <w:r w:rsidR="00D82181">
          <w:rPr>
            <w:webHidden/>
            <w:rtl/>
          </w:rPr>
          <w:t>24</w:t>
        </w:r>
        <w:r>
          <w:rPr>
            <w:rStyle w:val="Hyperlink"/>
            <w:rtl/>
          </w:rPr>
          <w:fldChar w:fldCharType="end"/>
        </w:r>
      </w:hyperlink>
    </w:p>
    <w:p w14:paraId="3E690E5F" w14:textId="0E4A0149" w:rsidR="008009AA" w:rsidRDefault="008009AA">
      <w:pPr>
        <w:pStyle w:val="TOC7"/>
        <w:rPr>
          <w:rFonts w:cstheme="minorBidi"/>
          <w:sz w:val="22"/>
          <w:szCs w:val="22"/>
          <w:rtl/>
        </w:rPr>
      </w:pPr>
      <w:hyperlink w:anchor="_Toc163505433" w:history="1">
        <w:r w:rsidRPr="007246E7">
          <w:rPr>
            <w:rStyle w:val="Hyperlink"/>
            <w:rtl/>
          </w:rPr>
          <w:t>שו"ת רדב"ז ח"ה ללשונות הרמב"ם סימן רמח (אלף תריא) ד"ה ומסתברא לי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Toc163505433 \h</w:instrText>
        </w:r>
        <w:r>
          <w:rPr>
            <w:webHidden/>
            <w:rtl/>
          </w:rPr>
          <w:instrText xml:space="preserve"> </w:instrText>
        </w:r>
        <w:r>
          <w:rPr>
            <w:rStyle w:val="Hyperlink"/>
            <w:rtl/>
          </w:rPr>
        </w:r>
        <w:r>
          <w:rPr>
            <w:rStyle w:val="Hyperlink"/>
            <w:rtl/>
          </w:rPr>
          <w:fldChar w:fldCharType="separate"/>
        </w:r>
        <w:r w:rsidR="00D82181">
          <w:rPr>
            <w:webHidden/>
            <w:rtl/>
          </w:rPr>
          <w:t>24</w:t>
        </w:r>
        <w:r>
          <w:rPr>
            <w:rStyle w:val="Hyperlink"/>
            <w:rtl/>
          </w:rPr>
          <w:fldChar w:fldCharType="end"/>
        </w:r>
      </w:hyperlink>
    </w:p>
    <w:p w14:paraId="5F5918CB" w14:textId="0D65F8BD" w:rsidR="008009AA" w:rsidRDefault="008009AA">
      <w:pPr>
        <w:pStyle w:val="TOC7"/>
        <w:rPr>
          <w:rFonts w:cstheme="minorBidi"/>
          <w:sz w:val="22"/>
          <w:szCs w:val="22"/>
          <w:rtl/>
        </w:rPr>
      </w:pPr>
      <w:hyperlink w:anchor="_Toc163505434" w:history="1">
        <w:r w:rsidRPr="007246E7">
          <w:rPr>
            <w:rStyle w:val="Hyperlink"/>
            <w:rtl/>
          </w:rPr>
          <w:t>שו"ת רדב"ז ח"ה ללשונות הרמב"ם סימן רמח (אלף תריא) ד"ה ולמדה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Toc163505434 \h</w:instrText>
        </w:r>
        <w:r>
          <w:rPr>
            <w:webHidden/>
            <w:rtl/>
          </w:rPr>
          <w:instrText xml:space="preserve"> </w:instrText>
        </w:r>
        <w:r>
          <w:rPr>
            <w:rStyle w:val="Hyperlink"/>
            <w:rtl/>
          </w:rPr>
        </w:r>
        <w:r>
          <w:rPr>
            <w:rStyle w:val="Hyperlink"/>
            <w:rtl/>
          </w:rPr>
          <w:fldChar w:fldCharType="separate"/>
        </w:r>
        <w:r w:rsidR="00D82181">
          <w:rPr>
            <w:webHidden/>
            <w:rtl/>
          </w:rPr>
          <w:t>24</w:t>
        </w:r>
        <w:r>
          <w:rPr>
            <w:rStyle w:val="Hyperlink"/>
            <w:rtl/>
          </w:rPr>
          <w:fldChar w:fldCharType="end"/>
        </w:r>
      </w:hyperlink>
    </w:p>
    <w:p w14:paraId="78190C1E" w14:textId="62E5AED4" w:rsidR="008009AA" w:rsidRDefault="008009AA">
      <w:pPr>
        <w:pStyle w:val="TOC7"/>
        <w:rPr>
          <w:rFonts w:cstheme="minorBidi"/>
          <w:sz w:val="22"/>
          <w:szCs w:val="22"/>
          <w:rtl/>
        </w:rPr>
      </w:pPr>
      <w:hyperlink w:anchor="_Toc163505435" w:history="1">
        <w:r w:rsidRPr="007246E7">
          <w:rPr>
            <w:rStyle w:val="Hyperlink"/>
            <w:rtl/>
          </w:rPr>
          <w:t>מגן אברהם סימן שלו ס"ק יב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Toc163505435 \h</w:instrText>
        </w:r>
        <w:r>
          <w:rPr>
            <w:webHidden/>
            <w:rtl/>
          </w:rPr>
          <w:instrText xml:space="preserve"> </w:instrText>
        </w:r>
        <w:r>
          <w:rPr>
            <w:rStyle w:val="Hyperlink"/>
            <w:rtl/>
          </w:rPr>
        </w:r>
        <w:r>
          <w:rPr>
            <w:rStyle w:val="Hyperlink"/>
            <w:rtl/>
          </w:rPr>
          <w:fldChar w:fldCharType="separate"/>
        </w:r>
        <w:r w:rsidR="00D82181">
          <w:rPr>
            <w:webHidden/>
            <w:rtl/>
          </w:rPr>
          <w:t>24</w:t>
        </w:r>
        <w:r>
          <w:rPr>
            <w:rStyle w:val="Hyperlink"/>
            <w:rtl/>
          </w:rPr>
          <w:fldChar w:fldCharType="end"/>
        </w:r>
      </w:hyperlink>
    </w:p>
    <w:p w14:paraId="73F2DC12" w14:textId="254EF3F6" w:rsidR="008009AA" w:rsidRDefault="008009AA">
      <w:pPr>
        <w:pStyle w:val="TOC7"/>
        <w:rPr>
          <w:rFonts w:cstheme="minorBidi"/>
          <w:sz w:val="22"/>
          <w:szCs w:val="22"/>
          <w:rtl/>
        </w:rPr>
      </w:pPr>
      <w:hyperlink w:anchor="_Toc163505436" w:history="1">
        <w:r w:rsidRPr="007246E7">
          <w:rPr>
            <w:rStyle w:val="Hyperlink"/>
            <w:rtl/>
          </w:rPr>
          <w:t>בית מאיר אורח חיים סימן שלו סעיף י"א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Toc163505436 \h</w:instrText>
        </w:r>
        <w:r>
          <w:rPr>
            <w:webHidden/>
            <w:rtl/>
          </w:rPr>
          <w:instrText xml:space="preserve"> </w:instrText>
        </w:r>
        <w:r>
          <w:rPr>
            <w:rStyle w:val="Hyperlink"/>
            <w:rtl/>
          </w:rPr>
        </w:r>
        <w:r>
          <w:rPr>
            <w:rStyle w:val="Hyperlink"/>
            <w:rtl/>
          </w:rPr>
          <w:fldChar w:fldCharType="separate"/>
        </w:r>
        <w:r w:rsidR="00D82181">
          <w:rPr>
            <w:webHidden/>
            <w:rtl/>
          </w:rPr>
          <w:t>24</w:t>
        </w:r>
        <w:r>
          <w:rPr>
            <w:rStyle w:val="Hyperlink"/>
            <w:rtl/>
          </w:rPr>
          <w:fldChar w:fldCharType="end"/>
        </w:r>
      </w:hyperlink>
    </w:p>
    <w:p w14:paraId="46F1A470" w14:textId="3E982A17" w:rsidR="008009AA" w:rsidRDefault="008009AA">
      <w:pPr>
        <w:pStyle w:val="TOC7"/>
        <w:rPr>
          <w:rFonts w:cstheme="minorBidi"/>
          <w:sz w:val="22"/>
          <w:szCs w:val="22"/>
          <w:rtl/>
        </w:rPr>
      </w:pPr>
      <w:hyperlink w:anchor="_Toc163505437" w:history="1">
        <w:r w:rsidRPr="007246E7">
          <w:rPr>
            <w:rStyle w:val="Hyperlink"/>
            <w:rtl/>
          </w:rPr>
          <w:t>אגלי טל זורע ס"ק י"ז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Toc163505437 \h</w:instrText>
        </w:r>
        <w:r>
          <w:rPr>
            <w:webHidden/>
            <w:rtl/>
          </w:rPr>
          <w:instrText xml:space="preserve"> </w:instrText>
        </w:r>
        <w:r>
          <w:rPr>
            <w:rStyle w:val="Hyperlink"/>
            <w:rtl/>
          </w:rPr>
        </w:r>
        <w:r>
          <w:rPr>
            <w:rStyle w:val="Hyperlink"/>
            <w:rtl/>
          </w:rPr>
          <w:fldChar w:fldCharType="separate"/>
        </w:r>
        <w:r w:rsidR="00D82181">
          <w:rPr>
            <w:webHidden/>
            <w:rtl/>
          </w:rPr>
          <w:t>24</w:t>
        </w:r>
        <w:r>
          <w:rPr>
            <w:rStyle w:val="Hyperlink"/>
            <w:rtl/>
          </w:rPr>
          <w:fldChar w:fldCharType="end"/>
        </w:r>
      </w:hyperlink>
    </w:p>
    <w:p w14:paraId="3F3E26F1" w14:textId="2D80C8D0" w:rsidR="008009AA" w:rsidRDefault="008009AA">
      <w:pPr>
        <w:pStyle w:val="TOC7"/>
        <w:rPr>
          <w:rFonts w:cstheme="minorBidi"/>
          <w:sz w:val="22"/>
          <w:szCs w:val="22"/>
          <w:rtl/>
        </w:rPr>
      </w:pPr>
      <w:hyperlink w:anchor="_Toc163505438" w:history="1">
        <w:r w:rsidRPr="007246E7">
          <w:rPr>
            <w:rStyle w:val="Hyperlink"/>
            <w:rtl/>
          </w:rPr>
          <w:t>אגלי טל באורים מלאכת זורע אות יז ד"ה אך</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Toc163505438 \h</w:instrText>
        </w:r>
        <w:r>
          <w:rPr>
            <w:webHidden/>
            <w:rtl/>
          </w:rPr>
          <w:instrText xml:space="preserve"> </w:instrText>
        </w:r>
        <w:r>
          <w:rPr>
            <w:rStyle w:val="Hyperlink"/>
            <w:rtl/>
          </w:rPr>
        </w:r>
        <w:r>
          <w:rPr>
            <w:rStyle w:val="Hyperlink"/>
            <w:rtl/>
          </w:rPr>
          <w:fldChar w:fldCharType="separate"/>
        </w:r>
        <w:r w:rsidR="00D82181">
          <w:rPr>
            <w:webHidden/>
            <w:rtl/>
          </w:rPr>
          <w:t>25</w:t>
        </w:r>
        <w:r>
          <w:rPr>
            <w:rStyle w:val="Hyperlink"/>
            <w:rtl/>
          </w:rPr>
          <w:fldChar w:fldCharType="end"/>
        </w:r>
      </w:hyperlink>
    </w:p>
    <w:p w14:paraId="4E68C59D" w14:textId="0583BDCA" w:rsidR="008009AA" w:rsidRDefault="008009AA">
      <w:pPr>
        <w:pStyle w:val="TOC7"/>
        <w:rPr>
          <w:rFonts w:cstheme="minorBidi"/>
          <w:sz w:val="22"/>
          <w:szCs w:val="22"/>
          <w:rtl/>
        </w:rPr>
      </w:pPr>
      <w:hyperlink w:anchor="_Toc163505439" w:history="1">
        <w:r w:rsidRPr="007246E7">
          <w:rPr>
            <w:rStyle w:val="Hyperlink"/>
            <w:rtl/>
          </w:rPr>
          <w:t>חיי אדם הלכות שבת כלל יא סעיף 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Toc163505439 \h</w:instrText>
        </w:r>
        <w:r>
          <w:rPr>
            <w:webHidden/>
            <w:rtl/>
          </w:rPr>
          <w:instrText xml:space="preserve"> </w:instrText>
        </w:r>
        <w:r>
          <w:rPr>
            <w:rStyle w:val="Hyperlink"/>
            <w:rtl/>
          </w:rPr>
        </w:r>
        <w:r>
          <w:rPr>
            <w:rStyle w:val="Hyperlink"/>
            <w:rtl/>
          </w:rPr>
          <w:fldChar w:fldCharType="separate"/>
        </w:r>
        <w:r w:rsidR="00D82181">
          <w:rPr>
            <w:webHidden/>
            <w:rtl/>
          </w:rPr>
          <w:t>25</w:t>
        </w:r>
        <w:r>
          <w:rPr>
            <w:rStyle w:val="Hyperlink"/>
            <w:rtl/>
          </w:rPr>
          <w:fldChar w:fldCharType="end"/>
        </w:r>
      </w:hyperlink>
    </w:p>
    <w:p w14:paraId="2471FE9D" w14:textId="727B9EA5" w:rsidR="008009AA" w:rsidRDefault="008009AA">
      <w:pPr>
        <w:pStyle w:val="TOC7"/>
        <w:rPr>
          <w:rFonts w:cstheme="minorBidi"/>
          <w:sz w:val="22"/>
          <w:szCs w:val="22"/>
          <w:rtl/>
        </w:rPr>
      </w:pPr>
      <w:hyperlink w:anchor="_Toc163505440" w:history="1">
        <w:r w:rsidRPr="007246E7">
          <w:rPr>
            <w:rStyle w:val="Hyperlink"/>
            <w:rtl/>
          </w:rPr>
          <w:t>נשמת אדם הלכות שבת כלל יא אות 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Toc163505440 \h</w:instrText>
        </w:r>
        <w:r>
          <w:rPr>
            <w:webHidden/>
            <w:rtl/>
          </w:rPr>
          <w:instrText xml:space="preserve"> </w:instrText>
        </w:r>
        <w:r>
          <w:rPr>
            <w:rStyle w:val="Hyperlink"/>
            <w:rtl/>
          </w:rPr>
        </w:r>
        <w:r>
          <w:rPr>
            <w:rStyle w:val="Hyperlink"/>
            <w:rtl/>
          </w:rPr>
          <w:fldChar w:fldCharType="separate"/>
        </w:r>
        <w:r w:rsidR="00D82181">
          <w:rPr>
            <w:webHidden/>
            <w:rtl/>
          </w:rPr>
          <w:t>25</w:t>
        </w:r>
        <w:r>
          <w:rPr>
            <w:rStyle w:val="Hyperlink"/>
            <w:rtl/>
          </w:rPr>
          <w:fldChar w:fldCharType="end"/>
        </w:r>
      </w:hyperlink>
    </w:p>
    <w:p w14:paraId="44419A10" w14:textId="19E9FF43" w:rsidR="008009AA" w:rsidRDefault="008009AA">
      <w:pPr>
        <w:pStyle w:val="TOC7"/>
        <w:rPr>
          <w:rFonts w:cstheme="minorBidi"/>
          <w:sz w:val="22"/>
          <w:szCs w:val="22"/>
          <w:rtl/>
        </w:rPr>
      </w:pPr>
      <w:hyperlink w:anchor="_Toc163505441" w:history="1">
        <w:r w:rsidRPr="007246E7">
          <w:rPr>
            <w:rStyle w:val="Hyperlink"/>
            <w:rtl/>
          </w:rPr>
          <w:t>נשמת אדם הלכות שבת כלל יא אות א ד"ה והגהות מימוניות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Toc163505441 \h</w:instrText>
        </w:r>
        <w:r>
          <w:rPr>
            <w:webHidden/>
            <w:rtl/>
          </w:rPr>
          <w:instrText xml:space="preserve"> </w:instrText>
        </w:r>
        <w:r>
          <w:rPr>
            <w:rStyle w:val="Hyperlink"/>
            <w:rtl/>
          </w:rPr>
        </w:r>
        <w:r>
          <w:rPr>
            <w:rStyle w:val="Hyperlink"/>
            <w:rtl/>
          </w:rPr>
          <w:fldChar w:fldCharType="separate"/>
        </w:r>
        <w:r w:rsidR="00D82181">
          <w:rPr>
            <w:webHidden/>
            <w:rtl/>
          </w:rPr>
          <w:t>25</w:t>
        </w:r>
        <w:r>
          <w:rPr>
            <w:rStyle w:val="Hyperlink"/>
            <w:rtl/>
          </w:rPr>
          <w:fldChar w:fldCharType="end"/>
        </w:r>
      </w:hyperlink>
    </w:p>
    <w:p w14:paraId="23C0272A" w14:textId="2CD52AF8" w:rsidR="008009AA" w:rsidRDefault="008009AA">
      <w:pPr>
        <w:pStyle w:val="TOC7"/>
        <w:rPr>
          <w:rFonts w:cstheme="minorBidi"/>
          <w:sz w:val="22"/>
          <w:szCs w:val="22"/>
          <w:rtl/>
        </w:rPr>
      </w:pPr>
      <w:hyperlink w:anchor="_Toc163505442" w:history="1">
        <w:r w:rsidRPr="007246E7">
          <w:rPr>
            <w:rStyle w:val="Hyperlink"/>
            <w:rtl/>
          </w:rPr>
          <w:t>נשמת אדם הלכות שבת כלל יא אות א ד"ה והכי מוכח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Toc163505442 \h</w:instrText>
        </w:r>
        <w:r>
          <w:rPr>
            <w:webHidden/>
            <w:rtl/>
          </w:rPr>
          <w:instrText xml:space="preserve"> </w:instrText>
        </w:r>
        <w:r>
          <w:rPr>
            <w:rStyle w:val="Hyperlink"/>
            <w:rtl/>
          </w:rPr>
        </w:r>
        <w:r>
          <w:rPr>
            <w:rStyle w:val="Hyperlink"/>
            <w:rtl/>
          </w:rPr>
          <w:fldChar w:fldCharType="separate"/>
        </w:r>
        <w:r w:rsidR="00D82181">
          <w:rPr>
            <w:webHidden/>
            <w:rtl/>
          </w:rPr>
          <w:t>25</w:t>
        </w:r>
        <w:r>
          <w:rPr>
            <w:rStyle w:val="Hyperlink"/>
            <w:rtl/>
          </w:rPr>
          <w:fldChar w:fldCharType="end"/>
        </w:r>
      </w:hyperlink>
    </w:p>
    <w:p w14:paraId="1DAB3773" w14:textId="52D18C20" w:rsidR="008009AA" w:rsidRDefault="008009AA">
      <w:pPr>
        <w:pStyle w:val="TOC7"/>
        <w:rPr>
          <w:rFonts w:cstheme="minorBidi"/>
          <w:sz w:val="22"/>
          <w:szCs w:val="22"/>
          <w:rtl/>
        </w:rPr>
      </w:pPr>
      <w:hyperlink w:anchor="_Toc163505443" w:history="1">
        <w:r w:rsidRPr="007246E7">
          <w:rPr>
            <w:rStyle w:val="Hyperlink"/>
            <w:rtl/>
          </w:rPr>
          <w:t>מנחת חינוך מוסך השבת זורע אות ב' ד"ה עוד כתב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Toc163505443 \h</w:instrText>
        </w:r>
        <w:r>
          <w:rPr>
            <w:webHidden/>
            <w:rtl/>
          </w:rPr>
          <w:instrText xml:space="preserve"> </w:instrText>
        </w:r>
        <w:r>
          <w:rPr>
            <w:rStyle w:val="Hyperlink"/>
            <w:rtl/>
          </w:rPr>
        </w:r>
        <w:r>
          <w:rPr>
            <w:rStyle w:val="Hyperlink"/>
            <w:rtl/>
          </w:rPr>
          <w:fldChar w:fldCharType="separate"/>
        </w:r>
        <w:r w:rsidR="00D82181">
          <w:rPr>
            <w:webHidden/>
            <w:rtl/>
          </w:rPr>
          <w:t>25</w:t>
        </w:r>
        <w:r>
          <w:rPr>
            <w:rStyle w:val="Hyperlink"/>
            <w:rtl/>
          </w:rPr>
          <w:fldChar w:fldCharType="end"/>
        </w:r>
      </w:hyperlink>
    </w:p>
    <w:p w14:paraId="4C7AEB4D" w14:textId="3D222CD4" w:rsidR="008009AA" w:rsidRDefault="008009AA">
      <w:pPr>
        <w:pStyle w:val="TOC7"/>
        <w:rPr>
          <w:rFonts w:cstheme="minorBidi"/>
          <w:sz w:val="22"/>
          <w:szCs w:val="22"/>
          <w:rtl/>
        </w:rPr>
      </w:pPr>
      <w:hyperlink w:anchor="_Toc163505444" w:history="1">
        <w:r w:rsidRPr="007246E7">
          <w:rPr>
            <w:rStyle w:val="Hyperlink"/>
            <w:rtl/>
          </w:rPr>
          <w:t>משנה ברורה סימן של"ו ס"ק נ', נ"א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Toc163505444 \h</w:instrText>
        </w:r>
        <w:r>
          <w:rPr>
            <w:webHidden/>
            <w:rtl/>
          </w:rPr>
          <w:instrText xml:space="preserve"> </w:instrText>
        </w:r>
        <w:r>
          <w:rPr>
            <w:rStyle w:val="Hyperlink"/>
            <w:rtl/>
          </w:rPr>
        </w:r>
        <w:r>
          <w:rPr>
            <w:rStyle w:val="Hyperlink"/>
            <w:rtl/>
          </w:rPr>
          <w:fldChar w:fldCharType="separate"/>
        </w:r>
        <w:r w:rsidR="00D82181">
          <w:rPr>
            <w:webHidden/>
            <w:rtl/>
          </w:rPr>
          <w:t>26</w:t>
        </w:r>
        <w:r>
          <w:rPr>
            <w:rStyle w:val="Hyperlink"/>
            <w:rtl/>
          </w:rPr>
          <w:fldChar w:fldCharType="end"/>
        </w:r>
      </w:hyperlink>
    </w:p>
    <w:p w14:paraId="22A1CF7A" w14:textId="24B51CEF" w:rsidR="008009AA" w:rsidRDefault="008009AA">
      <w:pPr>
        <w:pStyle w:val="TOC7"/>
        <w:rPr>
          <w:rFonts w:cstheme="minorBidi"/>
          <w:sz w:val="22"/>
          <w:szCs w:val="22"/>
          <w:rtl/>
        </w:rPr>
      </w:pPr>
      <w:hyperlink w:anchor="_Toc163505445" w:history="1">
        <w:r w:rsidRPr="007246E7">
          <w:rPr>
            <w:rStyle w:val="Hyperlink"/>
            <w:rtl/>
          </w:rPr>
          <w:t>שער הציון סימן שלו ס"ק מו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Toc163505445 \h</w:instrText>
        </w:r>
        <w:r>
          <w:rPr>
            <w:webHidden/>
            <w:rtl/>
          </w:rPr>
          <w:instrText xml:space="preserve"> </w:instrText>
        </w:r>
        <w:r>
          <w:rPr>
            <w:rStyle w:val="Hyperlink"/>
            <w:rtl/>
          </w:rPr>
        </w:r>
        <w:r>
          <w:rPr>
            <w:rStyle w:val="Hyperlink"/>
            <w:rtl/>
          </w:rPr>
          <w:fldChar w:fldCharType="separate"/>
        </w:r>
        <w:r w:rsidR="00D82181">
          <w:rPr>
            <w:webHidden/>
            <w:rtl/>
          </w:rPr>
          <w:t>26</w:t>
        </w:r>
        <w:r>
          <w:rPr>
            <w:rStyle w:val="Hyperlink"/>
            <w:rtl/>
          </w:rPr>
          <w:fldChar w:fldCharType="end"/>
        </w:r>
      </w:hyperlink>
    </w:p>
    <w:p w14:paraId="34A14161" w14:textId="20BE2BA1" w:rsidR="008009AA" w:rsidRDefault="008009AA">
      <w:pPr>
        <w:pStyle w:val="TOC7"/>
        <w:rPr>
          <w:rFonts w:cstheme="minorBidi"/>
          <w:sz w:val="22"/>
          <w:szCs w:val="22"/>
          <w:rtl/>
        </w:rPr>
      </w:pPr>
      <w:hyperlink w:anchor="_Toc163505446" w:history="1">
        <w:r w:rsidRPr="007246E7">
          <w:rPr>
            <w:rStyle w:val="Hyperlink"/>
            <w:rtl/>
          </w:rPr>
          <w:t>שביתת השבת זורע אות ט' ד"ה ודברי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Toc163505446 \h</w:instrText>
        </w:r>
        <w:r>
          <w:rPr>
            <w:webHidden/>
            <w:rtl/>
          </w:rPr>
          <w:instrText xml:space="preserve"> </w:instrText>
        </w:r>
        <w:r>
          <w:rPr>
            <w:rStyle w:val="Hyperlink"/>
            <w:rtl/>
          </w:rPr>
        </w:r>
        <w:r>
          <w:rPr>
            <w:rStyle w:val="Hyperlink"/>
            <w:rtl/>
          </w:rPr>
          <w:fldChar w:fldCharType="separate"/>
        </w:r>
        <w:r w:rsidR="00D82181">
          <w:rPr>
            <w:webHidden/>
            <w:rtl/>
          </w:rPr>
          <w:t>26</w:t>
        </w:r>
        <w:r>
          <w:rPr>
            <w:rStyle w:val="Hyperlink"/>
            <w:rtl/>
          </w:rPr>
          <w:fldChar w:fldCharType="end"/>
        </w:r>
      </w:hyperlink>
    </w:p>
    <w:p w14:paraId="2955F9B6" w14:textId="23A1E97A" w:rsidR="008009AA" w:rsidRDefault="008009AA">
      <w:pPr>
        <w:pStyle w:val="TOC7"/>
        <w:rPr>
          <w:rFonts w:cstheme="minorBidi"/>
          <w:sz w:val="22"/>
          <w:szCs w:val="22"/>
          <w:rtl/>
        </w:rPr>
      </w:pPr>
      <w:hyperlink w:anchor="_Toc163505447" w:history="1">
        <w:r w:rsidRPr="007246E7">
          <w:rPr>
            <w:rStyle w:val="Hyperlink"/>
            <w:rtl/>
          </w:rPr>
          <w:t>יראים סימן רעד ד"ה הזורע</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Toc163505447 \h</w:instrText>
        </w:r>
        <w:r>
          <w:rPr>
            <w:webHidden/>
            <w:rtl/>
          </w:rPr>
          <w:instrText xml:space="preserve"> </w:instrText>
        </w:r>
        <w:r>
          <w:rPr>
            <w:rStyle w:val="Hyperlink"/>
            <w:rtl/>
          </w:rPr>
        </w:r>
        <w:r>
          <w:rPr>
            <w:rStyle w:val="Hyperlink"/>
            <w:rtl/>
          </w:rPr>
          <w:fldChar w:fldCharType="separate"/>
        </w:r>
        <w:r w:rsidR="00D82181">
          <w:rPr>
            <w:webHidden/>
            <w:rtl/>
          </w:rPr>
          <w:t>26</w:t>
        </w:r>
        <w:r>
          <w:rPr>
            <w:rStyle w:val="Hyperlink"/>
            <w:rtl/>
          </w:rPr>
          <w:fldChar w:fldCharType="end"/>
        </w:r>
      </w:hyperlink>
    </w:p>
    <w:p w14:paraId="62597BEE" w14:textId="69F016FA" w:rsidR="008009AA" w:rsidRDefault="008009AA">
      <w:pPr>
        <w:pStyle w:val="TOC7"/>
        <w:rPr>
          <w:rFonts w:cstheme="minorBidi"/>
          <w:sz w:val="22"/>
          <w:szCs w:val="22"/>
          <w:rtl/>
        </w:rPr>
      </w:pPr>
      <w:hyperlink w:anchor="_Toc163505448" w:history="1">
        <w:r w:rsidRPr="007246E7">
          <w:rPr>
            <w:rStyle w:val="Hyperlink"/>
            <w:rtl/>
          </w:rPr>
          <w:t>הגהות מיימוניות שבת ח' 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Toc163505448 \h</w:instrText>
        </w:r>
        <w:r>
          <w:rPr>
            <w:webHidden/>
            <w:rtl/>
          </w:rPr>
          <w:instrText xml:space="preserve"> </w:instrText>
        </w:r>
        <w:r>
          <w:rPr>
            <w:rStyle w:val="Hyperlink"/>
            <w:rtl/>
          </w:rPr>
        </w:r>
        <w:r>
          <w:rPr>
            <w:rStyle w:val="Hyperlink"/>
            <w:rtl/>
          </w:rPr>
          <w:fldChar w:fldCharType="separate"/>
        </w:r>
        <w:r w:rsidR="00D82181">
          <w:rPr>
            <w:webHidden/>
            <w:rtl/>
          </w:rPr>
          <w:t>26</w:t>
        </w:r>
        <w:r>
          <w:rPr>
            <w:rStyle w:val="Hyperlink"/>
            <w:rtl/>
          </w:rPr>
          <w:fldChar w:fldCharType="end"/>
        </w:r>
      </w:hyperlink>
    </w:p>
    <w:p w14:paraId="1DF437DF" w14:textId="4E14C3A8" w:rsidR="008009AA" w:rsidRDefault="008009AA">
      <w:pPr>
        <w:pStyle w:val="TOC7"/>
        <w:rPr>
          <w:rFonts w:cstheme="minorBidi"/>
          <w:sz w:val="22"/>
          <w:szCs w:val="22"/>
          <w:rtl/>
        </w:rPr>
      </w:pPr>
      <w:hyperlink w:anchor="_Toc163505449" w:history="1">
        <w:r w:rsidRPr="007246E7">
          <w:rPr>
            <w:rStyle w:val="Hyperlink"/>
            <w:rtl/>
          </w:rPr>
          <w:t>שו"ע או"ח סי' של"ו 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Toc163505449 \h</w:instrText>
        </w:r>
        <w:r>
          <w:rPr>
            <w:webHidden/>
            <w:rtl/>
          </w:rPr>
          <w:instrText xml:space="preserve"> </w:instrText>
        </w:r>
        <w:r>
          <w:rPr>
            <w:rStyle w:val="Hyperlink"/>
            <w:rtl/>
          </w:rPr>
        </w:r>
        <w:r>
          <w:rPr>
            <w:rStyle w:val="Hyperlink"/>
            <w:rtl/>
          </w:rPr>
          <w:fldChar w:fldCharType="separate"/>
        </w:r>
        <w:r w:rsidR="00D82181">
          <w:rPr>
            <w:webHidden/>
            <w:rtl/>
          </w:rPr>
          <w:t>26</w:t>
        </w:r>
        <w:r>
          <w:rPr>
            <w:rStyle w:val="Hyperlink"/>
            <w:rtl/>
          </w:rPr>
          <w:fldChar w:fldCharType="end"/>
        </w:r>
      </w:hyperlink>
    </w:p>
    <w:p w14:paraId="3D103AC2" w14:textId="3F48819A" w:rsidR="008009AA" w:rsidRDefault="008009AA">
      <w:pPr>
        <w:pStyle w:val="TOC7"/>
        <w:rPr>
          <w:rFonts w:cstheme="minorBidi"/>
          <w:sz w:val="22"/>
          <w:szCs w:val="22"/>
          <w:rtl/>
        </w:rPr>
      </w:pPr>
      <w:hyperlink w:anchor="_Toc163505450" w:history="1">
        <w:r w:rsidRPr="007246E7">
          <w:rPr>
            <w:rStyle w:val="Hyperlink"/>
            <w:rtl/>
          </w:rPr>
          <w:t>תוספת שבת סי' של"ו סקי"ב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Toc163505450 \h</w:instrText>
        </w:r>
        <w:r>
          <w:rPr>
            <w:webHidden/>
            <w:rtl/>
          </w:rPr>
          <w:instrText xml:space="preserve"> </w:instrText>
        </w:r>
        <w:r>
          <w:rPr>
            <w:rStyle w:val="Hyperlink"/>
            <w:rtl/>
          </w:rPr>
        </w:r>
        <w:r>
          <w:rPr>
            <w:rStyle w:val="Hyperlink"/>
            <w:rtl/>
          </w:rPr>
          <w:fldChar w:fldCharType="separate"/>
        </w:r>
        <w:r w:rsidR="00D82181">
          <w:rPr>
            <w:webHidden/>
            <w:rtl/>
          </w:rPr>
          <w:t>26</w:t>
        </w:r>
        <w:r>
          <w:rPr>
            <w:rStyle w:val="Hyperlink"/>
            <w:rtl/>
          </w:rPr>
          <w:fldChar w:fldCharType="end"/>
        </w:r>
      </w:hyperlink>
    </w:p>
    <w:p w14:paraId="32AAE8AA" w14:textId="42AA3187" w:rsidR="008009AA" w:rsidRDefault="008009AA">
      <w:pPr>
        <w:pStyle w:val="TOC7"/>
        <w:rPr>
          <w:rFonts w:cstheme="minorBidi"/>
          <w:sz w:val="22"/>
          <w:szCs w:val="22"/>
          <w:rtl/>
        </w:rPr>
      </w:pPr>
      <w:hyperlink w:anchor="_Toc163505451" w:history="1">
        <w:r w:rsidRPr="007246E7">
          <w:rPr>
            <w:rStyle w:val="Hyperlink"/>
            <w:rtl/>
          </w:rPr>
          <w:t>משנה ברורה סימן שלו ס"ק לג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Toc163505451 \h</w:instrText>
        </w:r>
        <w:r>
          <w:rPr>
            <w:webHidden/>
            <w:rtl/>
          </w:rPr>
          <w:instrText xml:space="preserve"> </w:instrText>
        </w:r>
        <w:r>
          <w:rPr>
            <w:rStyle w:val="Hyperlink"/>
            <w:rtl/>
          </w:rPr>
        </w:r>
        <w:r>
          <w:rPr>
            <w:rStyle w:val="Hyperlink"/>
            <w:rtl/>
          </w:rPr>
          <w:fldChar w:fldCharType="separate"/>
        </w:r>
        <w:r w:rsidR="00D82181">
          <w:rPr>
            <w:webHidden/>
            <w:rtl/>
          </w:rPr>
          <w:t>26</w:t>
        </w:r>
        <w:r>
          <w:rPr>
            <w:rStyle w:val="Hyperlink"/>
            <w:rtl/>
          </w:rPr>
          <w:fldChar w:fldCharType="end"/>
        </w:r>
      </w:hyperlink>
    </w:p>
    <w:p w14:paraId="61AC8079" w14:textId="6C180B59" w:rsidR="008009AA" w:rsidRDefault="008009AA">
      <w:pPr>
        <w:pStyle w:val="TOC7"/>
        <w:rPr>
          <w:rFonts w:cstheme="minorBidi"/>
          <w:sz w:val="22"/>
          <w:szCs w:val="22"/>
          <w:rtl/>
        </w:rPr>
      </w:pPr>
      <w:hyperlink w:anchor="_Toc163505452" w:history="1">
        <w:r w:rsidRPr="007246E7">
          <w:rPr>
            <w:rStyle w:val="Hyperlink"/>
            <w:rtl/>
          </w:rPr>
          <w:t>מגן אבות הזורע ד"ה ולכאורה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Toc163505452 \h</w:instrText>
        </w:r>
        <w:r>
          <w:rPr>
            <w:webHidden/>
            <w:rtl/>
          </w:rPr>
          <w:instrText xml:space="preserve"> </w:instrText>
        </w:r>
        <w:r>
          <w:rPr>
            <w:rStyle w:val="Hyperlink"/>
            <w:rtl/>
          </w:rPr>
        </w:r>
        <w:r>
          <w:rPr>
            <w:rStyle w:val="Hyperlink"/>
            <w:rtl/>
          </w:rPr>
          <w:fldChar w:fldCharType="separate"/>
        </w:r>
        <w:r w:rsidR="00D82181">
          <w:rPr>
            <w:webHidden/>
            <w:rtl/>
          </w:rPr>
          <w:t>26</w:t>
        </w:r>
        <w:r>
          <w:rPr>
            <w:rStyle w:val="Hyperlink"/>
            <w:rtl/>
          </w:rPr>
          <w:fldChar w:fldCharType="end"/>
        </w:r>
      </w:hyperlink>
    </w:p>
    <w:p w14:paraId="31C97D12" w14:textId="2F59A73F" w:rsidR="008009AA" w:rsidRDefault="008009AA">
      <w:pPr>
        <w:pStyle w:val="TOC7"/>
        <w:rPr>
          <w:rFonts w:cstheme="minorBidi"/>
          <w:sz w:val="22"/>
          <w:szCs w:val="22"/>
          <w:rtl/>
        </w:rPr>
      </w:pPr>
      <w:hyperlink w:anchor="_Toc163505453" w:history="1">
        <w:r w:rsidRPr="007246E7">
          <w:rPr>
            <w:rStyle w:val="Hyperlink"/>
            <w:rtl/>
          </w:rPr>
          <w:t>נשמת אדם הלכות שבת כלל יא אות א ד"ה והנה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Toc163505453 \h</w:instrText>
        </w:r>
        <w:r>
          <w:rPr>
            <w:webHidden/>
            <w:rtl/>
          </w:rPr>
          <w:instrText xml:space="preserve"> </w:instrText>
        </w:r>
        <w:r>
          <w:rPr>
            <w:rStyle w:val="Hyperlink"/>
            <w:rtl/>
          </w:rPr>
        </w:r>
        <w:r>
          <w:rPr>
            <w:rStyle w:val="Hyperlink"/>
            <w:rtl/>
          </w:rPr>
          <w:fldChar w:fldCharType="separate"/>
        </w:r>
        <w:r w:rsidR="00D82181">
          <w:rPr>
            <w:webHidden/>
            <w:rtl/>
          </w:rPr>
          <w:t>27</w:t>
        </w:r>
        <w:r>
          <w:rPr>
            <w:rStyle w:val="Hyperlink"/>
            <w:rtl/>
          </w:rPr>
          <w:fldChar w:fldCharType="end"/>
        </w:r>
      </w:hyperlink>
    </w:p>
    <w:p w14:paraId="19CFF096" w14:textId="35C4CB13" w:rsidR="008009AA" w:rsidRDefault="008009AA">
      <w:pPr>
        <w:pStyle w:val="TOC7"/>
        <w:rPr>
          <w:rFonts w:cstheme="minorBidi"/>
          <w:sz w:val="22"/>
          <w:szCs w:val="22"/>
          <w:rtl/>
        </w:rPr>
      </w:pPr>
      <w:hyperlink w:anchor="_Toc163505454" w:history="1">
        <w:r w:rsidRPr="007246E7">
          <w:rPr>
            <w:rStyle w:val="Hyperlink"/>
            <w:rtl/>
          </w:rPr>
          <w:t>מנחת חינוך מוסך השבת זורע אות ג' ד"ה והנה הזורע</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Toc163505454 \h</w:instrText>
        </w:r>
        <w:r>
          <w:rPr>
            <w:webHidden/>
            <w:rtl/>
          </w:rPr>
          <w:instrText xml:space="preserve"> </w:instrText>
        </w:r>
        <w:r>
          <w:rPr>
            <w:rStyle w:val="Hyperlink"/>
            <w:rtl/>
          </w:rPr>
        </w:r>
        <w:r>
          <w:rPr>
            <w:rStyle w:val="Hyperlink"/>
            <w:rtl/>
          </w:rPr>
          <w:fldChar w:fldCharType="separate"/>
        </w:r>
        <w:r w:rsidR="00D82181">
          <w:rPr>
            <w:webHidden/>
            <w:rtl/>
          </w:rPr>
          <w:t>27</w:t>
        </w:r>
        <w:r>
          <w:rPr>
            <w:rStyle w:val="Hyperlink"/>
            <w:rtl/>
          </w:rPr>
          <w:fldChar w:fldCharType="end"/>
        </w:r>
      </w:hyperlink>
    </w:p>
    <w:p w14:paraId="594D6430" w14:textId="3872314D" w:rsidR="008009AA" w:rsidRDefault="008009AA">
      <w:pPr>
        <w:pStyle w:val="TOC7"/>
        <w:rPr>
          <w:rFonts w:cstheme="minorBidi"/>
          <w:sz w:val="22"/>
          <w:szCs w:val="22"/>
          <w:rtl/>
        </w:rPr>
      </w:pPr>
      <w:hyperlink w:anchor="_Toc163505455" w:history="1">
        <w:r w:rsidRPr="007246E7">
          <w:rPr>
            <w:rStyle w:val="Hyperlink"/>
            <w:rtl/>
          </w:rPr>
          <w:t>מנחת חינוך פרשת בהר מצוה שכז אות 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Toc163505455 \h</w:instrText>
        </w:r>
        <w:r>
          <w:rPr>
            <w:webHidden/>
            <w:rtl/>
          </w:rPr>
          <w:instrText xml:space="preserve"> </w:instrText>
        </w:r>
        <w:r>
          <w:rPr>
            <w:rStyle w:val="Hyperlink"/>
            <w:rtl/>
          </w:rPr>
        </w:r>
        <w:r>
          <w:rPr>
            <w:rStyle w:val="Hyperlink"/>
            <w:rtl/>
          </w:rPr>
          <w:fldChar w:fldCharType="separate"/>
        </w:r>
        <w:r w:rsidR="00D82181">
          <w:rPr>
            <w:webHidden/>
            <w:rtl/>
          </w:rPr>
          <w:t>27</w:t>
        </w:r>
        <w:r>
          <w:rPr>
            <w:rStyle w:val="Hyperlink"/>
            <w:rtl/>
          </w:rPr>
          <w:fldChar w:fldCharType="end"/>
        </w:r>
      </w:hyperlink>
    </w:p>
    <w:p w14:paraId="09095A09" w14:textId="420ADC2A" w:rsidR="008009AA" w:rsidRDefault="008009AA">
      <w:pPr>
        <w:pStyle w:val="TOC7"/>
        <w:rPr>
          <w:rFonts w:cstheme="minorBidi"/>
          <w:sz w:val="22"/>
          <w:szCs w:val="22"/>
          <w:rtl/>
        </w:rPr>
      </w:pPr>
      <w:hyperlink w:anchor="_Toc163505456" w:history="1">
        <w:r w:rsidRPr="007246E7">
          <w:rPr>
            <w:rStyle w:val="Hyperlink"/>
            <w:rtl/>
          </w:rPr>
          <w:t>רמב"ם שמיטה ויובל א' א', ב', ג', 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Toc163505456 \h</w:instrText>
        </w:r>
        <w:r>
          <w:rPr>
            <w:webHidden/>
            <w:rtl/>
          </w:rPr>
          <w:instrText xml:space="preserve"> </w:instrText>
        </w:r>
        <w:r>
          <w:rPr>
            <w:rStyle w:val="Hyperlink"/>
            <w:rtl/>
          </w:rPr>
        </w:r>
        <w:r>
          <w:rPr>
            <w:rStyle w:val="Hyperlink"/>
            <w:rtl/>
          </w:rPr>
          <w:fldChar w:fldCharType="separate"/>
        </w:r>
        <w:r w:rsidR="00D82181">
          <w:rPr>
            <w:webHidden/>
            <w:rtl/>
          </w:rPr>
          <w:t>27</w:t>
        </w:r>
        <w:r>
          <w:rPr>
            <w:rStyle w:val="Hyperlink"/>
            <w:rtl/>
          </w:rPr>
          <w:fldChar w:fldCharType="end"/>
        </w:r>
      </w:hyperlink>
    </w:p>
    <w:p w14:paraId="46CFC184" w14:textId="4A5C0A6D" w:rsidR="008009AA" w:rsidRDefault="008009AA">
      <w:pPr>
        <w:pStyle w:val="TOC7"/>
        <w:rPr>
          <w:rFonts w:cstheme="minorBidi"/>
          <w:sz w:val="22"/>
          <w:szCs w:val="22"/>
          <w:rtl/>
        </w:rPr>
      </w:pPr>
      <w:hyperlink w:anchor="_Toc163505457" w:history="1">
        <w:r w:rsidRPr="007246E7">
          <w:rPr>
            <w:rStyle w:val="Hyperlink"/>
            <w:rtl/>
          </w:rPr>
          <w:t>מנחת חינוך פרשת בהר מצוה שכז אות 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Toc163505457 \h</w:instrText>
        </w:r>
        <w:r>
          <w:rPr>
            <w:webHidden/>
            <w:rtl/>
          </w:rPr>
          <w:instrText xml:space="preserve"> </w:instrText>
        </w:r>
        <w:r>
          <w:rPr>
            <w:rStyle w:val="Hyperlink"/>
            <w:rtl/>
          </w:rPr>
        </w:r>
        <w:r>
          <w:rPr>
            <w:rStyle w:val="Hyperlink"/>
            <w:rtl/>
          </w:rPr>
          <w:fldChar w:fldCharType="separate"/>
        </w:r>
        <w:r w:rsidR="00D82181">
          <w:rPr>
            <w:webHidden/>
            <w:rtl/>
          </w:rPr>
          <w:t>27</w:t>
        </w:r>
        <w:r>
          <w:rPr>
            <w:rStyle w:val="Hyperlink"/>
            <w:rtl/>
          </w:rPr>
          <w:fldChar w:fldCharType="end"/>
        </w:r>
      </w:hyperlink>
    </w:p>
    <w:p w14:paraId="2B3FD246" w14:textId="184E6538" w:rsidR="008009AA" w:rsidRDefault="008009AA">
      <w:pPr>
        <w:pStyle w:val="TOC7"/>
        <w:rPr>
          <w:rFonts w:cstheme="minorBidi"/>
          <w:sz w:val="22"/>
          <w:szCs w:val="22"/>
          <w:rtl/>
        </w:rPr>
      </w:pPr>
      <w:hyperlink w:anchor="_Toc163505458" w:history="1">
        <w:r w:rsidRPr="007246E7">
          <w:rPr>
            <w:rStyle w:val="Hyperlink"/>
            <w:rtl/>
          </w:rPr>
          <w:t>חזון איש שביעית סי' י"ז סק"כ ד"ה שם ה"ד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Toc163505458 \h</w:instrText>
        </w:r>
        <w:r>
          <w:rPr>
            <w:webHidden/>
            <w:rtl/>
          </w:rPr>
          <w:instrText xml:space="preserve"> </w:instrText>
        </w:r>
        <w:r>
          <w:rPr>
            <w:rStyle w:val="Hyperlink"/>
            <w:rtl/>
          </w:rPr>
        </w:r>
        <w:r>
          <w:rPr>
            <w:rStyle w:val="Hyperlink"/>
            <w:rtl/>
          </w:rPr>
          <w:fldChar w:fldCharType="separate"/>
        </w:r>
        <w:r w:rsidR="00D82181">
          <w:rPr>
            <w:webHidden/>
            <w:rtl/>
          </w:rPr>
          <w:t>27</w:t>
        </w:r>
        <w:r>
          <w:rPr>
            <w:rStyle w:val="Hyperlink"/>
            <w:rtl/>
          </w:rPr>
          <w:fldChar w:fldCharType="end"/>
        </w:r>
      </w:hyperlink>
    </w:p>
    <w:p w14:paraId="4A72A1CB" w14:textId="67FB8851" w:rsidR="008009AA" w:rsidRDefault="008009AA">
      <w:pPr>
        <w:pStyle w:val="TOC7"/>
        <w:rPr>
          <w:rFonts w:cstheme="minorBidi"/>
          <w:sz w:val="22"/>
          <w:szCs w:val="22"/>
          <w:rtl/>
        </w:rPr>
      </w:pPr>
      <w:hyperlink w:anchor="_Toc163505459" w:history="1">
        <w:r w:rsidRPr="007246E7">
          <w:rPr>
            <w:rStyle w:val="Hyperlink"/>
            <w:rtl/>
          </w:rPr>
          <w:t>כתבי קה"י מועד סי' כ"ז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Toc163505459 \h</w:instrText>
        </w:r>
        <w:r>
          <w:rPr>
            <w:webHidden/>
            <w:rtl/>
          </w:rPr>
          <w:instrText xml:space="preserve"> </w:instrText>
        </w:r>
        <w:r>
          <w:rPr>
            <w:rStyle w:val="Hyperlink"/>
            <w:rtl/>
          </w:rPr>
        </w:r>
        <w:r>
          <w:rPr>
            <w:rStyle w:val="Hyperlink"/>
            <w:rtl/>
          </w:rPr>
          <w:fldChar w:fldCharType="separate"/>
        </w:r>
        <w:r w:rsidR="00D82181">
          <w:rPr>
            <w:webHidden/>
            <w:rtl/>
          </w:rPr>
          <w:t>28</w:t>
        </w:r>
        <w:r>
          <w:rPr>
            <w:rStyle w:val="Hyperlink"/>
            <w:rtl/>
          </w:rPr>
          <w:fldChar w:fldCharType="end"/>
        </w:r>
      </w:hyperlink>
    </w:p>
    <w:p w14:paraId="2AB5C4D6" w14:textId="7AE918FD" w:rsidR="008009AA" w:rsidRDefault="008009AA">
      <w:pPr>
        <w:pStyle w:val="TOC7"/>
        <w:rPr>
          <w:rFonts w:cstheme="minorBidi"/>
          <w:sz w:val="22"/>
          <w:szCs w:val="22"/>
          <w:rtl/>
        </w:rPr>
      </w:pPr>
      <w:hyperlink w:anchor="_Toc163505460" w:history="1">
        <w:r w:rsidRPr="007246E7">
          <w:rPr>
            <w:rStyle w:val="Hyperlink"/>
            <w:rtl/>
          </w:rPr>
          <w:t>כתבי קה"י מועד סי' כ"ז ד"ה ובאג"ט</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Toc163505460 \h</w:instrText>
        </w:r>
        <w:r>
          <w:rPr>
            <w:webHidden/>
            <w:rtl/>
          </w:rPr>
          <w:instrText xml:space="preserve"> </w:instrText>
        </w:r>
        <w:r>
          <w:rPr>
            <w:rStyle w:val="Hyperlink"/>
            <w:rtl/>
          </w:rPr>
        </w:r>
        <w:r>
          <w:rPr>
            <w:rStyle w:val="Hyperlink"/>
            <w:rtl/>
          </w:rPr>
          <w:fldChar w:fldCharType="separate"/>
        </w:r>
        <w:r w:rsidR="00D82181">
          <w:rPr>
            <w:webHidden/>
            <w:rtl/>
          </w:rPr>
          <w:t>28</w:t>
        </w:r>
        <w:r>
          <w:rPr>
            <w:rStyle w:val="Hyperlink"/>
            <w:rtl/>
          </w:rPr>
          <w:fldChar w:fldCharType="end"/>
        </w:r>
      </w:hyperlink>
    </w:p>
    <w:p w14:paraId="1A4D0249" w14:textId="0B753F5F" w:rsidR="008009AA" w:rsidRDefault="008009AA">
      <w:pPr>
        <w:pStyle w:val="TOC7"/>
        <w:rPr>
          <w:rFonts w:cstheme="minorBidi"/>
          <w:sz w:val="22"/>
          <w:szCs w:val="22"/>
          <w:rtl/>
        </w:rPr>
      </w:pPr>
      <w:hyperlink w:anchor="_Toc163505461" w:history="1">
        <w:r w:rsidRPr="007246E7">
          <w:rPr>
            <w:rStyle w:val="Hyperlink"/>
            <w:rtl/>
          </w:rPr>
          <w:t>כתבי קה"י מועד סי' כ"ז ד"ה ולענ"ד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Toc163505461 \h</w:instrText>
        </w:r>
        <w:r>
          <w:rPr>
            <w:webHidden/>
            <w:rtl/>
          </w:rPr>
          <w:instrText xml:space="preserve"> </w:instrText>
        </w:r>
        <w:r>
          <w:rPr>
            <w:rStyle w:val="Hyperlink"/>
            <w:rtl/>
          </w:rPr>
        </w:r>
        <w:r>
          <w:rPr>
            <w:rStyle w:val="Hyperlink"/>
            <w:rtl/>
          </w:rPr>
          <w:fldChar w:fldCharType="separate"/>
        </w:r>
        <w:r w:rsidR="00D82181">
          <w:rPr>
            <w:webHidden/>
            <w:rtl/>
          </w:rPr>
          <w:t>28</w:t>
        </w:r>
        <w:r>
          <w:rPr>
            <w:rStyle w:val="Hyperlink"/>
            <w:rtl/>
          </w:rPr>
          <w:fldChar w:fldCharType="end"/>
        </w:r>
      </w:hyperlink>
    </w:p>
    <w:p w14:paraId="175D7B5F" w14:textId="03885FC4" w:rsidR="008009AA" w:rsidRDefault="008009AA">
      <w:pPr>
        <w:pStyle w:val="TOC7"/>
        <w:rPr>
          <w:rFonts w:cstheme="minorBidi"/>
          <w:sz w:val="22"/>
          <w:szCs w:val="22"/>
          <w:rtl/>
        </w:rPr>
      </w:pPr>
      <w:hyperlink w:anchor="_Toc163505462" w:history="1">
        <w:r w:rsidRPr="007246E7">
          <w:rPr>
            <w:rStyle w:val="Hyperlink"/>
            <w:rtl/>
          </w:rPr>
          <w:t>חידושי רבינו משה קזיס שבת ד ע"א ד"ה התירו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Toc163505462 \h</w:instrText>
        </w:r>
        <w:r>
          <w:rPr>
            <w:webHidden/>
            <w:rtl/>
          </w:rPr>
          <w:instrText xml:space="preserve"> </w:instrText>
        </w:r>
        <w:r>
          <w:rPr>
            <w:rStyle w:val="Hyperlink"/>
            <w:rtl/>
          </w:rPr>
        </w:r>
        <w:r>
          <w:rPr>
            <w:rStyle w:val="Hyperlink"/>
            <w:rtl/>
          </w:rPr>
          <w:fldChar w:fldCharType="separate"/>
        </w:r>
        <w:r w:rsidR="00D82181">
          <w:rPr>
            <w:webHidden/>
            <w:rtl/>
          </w:rPr>
          <w:t>31</w:t>
        </w:r>
        <w:r>
          <w:rPr>
            <w:rStyle w:val="Hyperlink"/>
            <w:rtl/>
          </w:rPr>
          <w:fldChar w:fldCharType="end"/>
        </w:r>
      </w:hyperlink>
    </w:p>
    <w:p w14:paraId="78529E9C" w14:textId="0E341BAB" w:rsidR="008009AA" w:rsidRDefault="008009AA">
      <w:pPr>
        <w:pStyle w:val="TOC7"/>
        <w:rPr>
          <w:rFonts w:cstheme="minorBidi"/>
          <w:sz w:val="22"/>
          <w:szCs w:val="22"/>
          <w:rtl/>
        </w:rPr>
      </w:pPr>
      <w:hyperlink w:anchor="_Toc163505463" w:history="1">
        <w:r w:rsidRPr="007246E7">
          <w:rPr>
            <w:rStyle w:val="Hyperlink"/>
            <w:rtl/>
          </w:rPr>
          <w:t>תפארת ישראל קונטרס בתי כלאים אות מ"ג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Toc163505463 \h</w:instrText>
        </w:r>
        <w:r>
          <w:rPr>
            <w:webHidden/>
            <w:rtl/>
          </w:rPr>
          <w:instrText xml:space="preserve"> </w:instrText>
        </w:r>
        <w:r>
          <w:rPr>
            <w:rStyle w:val="Hyperlink"/>
            <w:rtl/>
          </w:rPr>
        </w:r>
        <w:r>
          <w:rPr>
            <w:rStyle w:val="Hyperlink"/>
            <w:rtl/>
          </w:rPr>
          <w:fldChar w:fldCharType="separate"/>
        </w:r>
        <w:r w:rsidR="00D82181">
          <w:rPr>
            <w:webHidden/>
            <w:rtl/>
          </w:rPr>
          <w:t>31</w:t>
        </w:r>
        <w:r>
          <w:rPr>
            <w:rStyle w:val="Hyperlink"/>
            <w:rtl/>
          </w:rPr>
          <w:fldChar w:fldCharType="end"/>
        </w:r>
      </w:hyperlink>
    </w:p>
    <w:p w14:paraId="149BC23B" w14:textId="6F1CD804" w:rsidR="008009AA" w:rsidRDefault="008009AA">
      <w:pPr>
        <w:pStyle w:val="TOC7"/>
        <w:rPr>
          <w:rFonts w:cstheme="minorBidi"/>
          <w:sz w:val="22"/>
          <w:szCs w:val="22"/>
          <w:rtl/>
        </w:rPr>
      </w:pPr>
      <w:hyperlink w:anchor="_Toc163505464" w:history="1">
        <w:r w:rsidRPr="007246E7">
          <w:rPr>
            <w:rStyle w:val="Hyperlink"/>
            <w:rtl/>
          </w:rPr>
          <w:t>שו"ת קול גדול למהר"ם חביב סי' ע"ה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Toc163505464 \h</w:instrText>
        </w:r>
        <w:r>
          <w:rPr>
            <w:webHidden/>
            <w:rtl/>
          </w:rPr>
          <w:instrText xml:space="preserve"> </w:instrText>
        </w:r>
        <w:r>
          <w:rPr>
            <w:rStyle w:val="Hyperlink"/>
            <w:rtl/>
          </w:rPr>
        </w:r>
        <w:r>
          <w:rPr>
            <w:rStyle w:val="Hyperlink"/>
            <w:rtl/>
          </w:rPr>
          <w:fldChar w:fldCharType="separate"/>
        </w:r>
        <w:r w:rsidR="00D82181">
          <w:rPr>
            <w:webHidden/>
            <w:rtl/>
          </w:rPr>
          <w:t>31</w:t>
        </w:r>
        <w:r>
          <w:rPr>
            <w:rStyle w:val="Hyperlink"/>
            <w:rtl/>
          </w:rPr>
          <w:fldChar w:fldCharType="end"/>
        </w:r>
      </w:hyperlink>
    </w:p>
    <w:p w14:paraId="36771924" w14:textId="215B027D" w:rsidR="008009AA" w:rsidRDefault="008009AA">
      <w:pPr>
        <w:pStyle w:val="TOC7"/>
        <w:rPr>
          <w:rFonts w:cstheme="minorBidi"/>
          <w:sz w:val="22"/>
          <w:szCs w:val="22"/>
          <w:rtl/>
        </w:rPr>
      </w:pPr>
      <w:hyperlink w:anchor="_Toc163505465" w:history="1">
        <w:r w:rsidRPr="007246E7">
          <w:rPr>
            <w:rStyle w:val="Hyperlink"/>
            <w:rtl/>
          </w:rPr>
          <w:t>מנחת חינוך מצוה רצ"ח אות י"ד ד"ה והנה זורע</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Toc163505465 \h</w:instrText>
        </w:r>
        <w:r>
          <w:rPr>
            <w:webHidden/>
            <w:rtl/>
          </w:rPr>
          <w:instrText xml:space="preserve"> </w:instrText>
        </w:r>
        <w:r>
          <w:rPr>
            <w:rStyle w:val="Hyperlink"/>
            <w:rtl/>
          </w:rPr>
        </w:r>
        <w:r>
          <w:rPr>
            <w:rStyle w:val="Hyperlink"/>
            <w:rtl/>
          </w:rPr>
          <w:fldChar w:fldCharType="separate"/>
        </w:r>
        <w:r w:rsidR="00D82181">
          <w:rPr>
            <w:webHidden/>
            <w:rtl/>
          </w:rPr>
          <w:t>31</w:t>
        </w:r>
        <w:r>
          <w:rPr>
            <w:rStyle w:val="Hyperlink"/>
            <w:rtl/>
          </w:rPr>
          <w:fldChar w:fldCharType="end"/>
        </w:r>
      </w:hyperlink>
    </w:p>
    <w:p w14:paraId="120C4D67" w14:textId="01859F7E" w:rsidR="008009AA" w:rsidRDefault="008009AA">
      <w:pPr>
        <w:pStyle w:val="TOC7"/>
        <w:rPr>
          <w:rFonts w:cstheme="minorBidi"/>
          <w:sz w:val="22"/>
          <w:szCs w:val="22"/>
          <w:rtl/>
        </w:rPr>
      </w:pPr>
      <w:hyperlink w:anchor="_Toc163505466" w:history="1">
        <w:r w:rsidRPr="007246E7">
          <w:rPr>
            <w:rStyle w:val="Hyperlink"/>
            <w:rtl/>
          </w:rPr>
          <w:t>מנחת חינוך מצוה רצ"ח אות י"ד ד"ה אך זה אינו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Toc163505466 \h</w:instrText>
        </w:r>
        <w:r>
          <w:rPr>
            <w:webHidden/>
            <w:rtl/>
          </w:rPr>
          <w:instrText xml:space="preserve"> </w:instrText>
        </w:r>
        <w:r>
          <w:rPr>
            <w:rStyle w:val="Hyperlink"/>
            <w:rtl/>
          </w:rPr>
        </w:r>
        <w:r>
          <w:rPr>
            <w:rStyle w:val="Hyperlink"/>
            <w:rtl/>
          </w:rPr>
          <w:fldChar w:fldCharType="separate"/>
        </w:r>
        <w:r w:rsidR="00D82181">
          <w:rPr>
            <w:webHidden/>
            <w:rtl/>
          </w:rPr>
          <w:t>31</w:t>
        </w:r>
        <w:r>
          <w:rPr>
            <w:rStyle w:val="Hyperlink"/>
            <w:rtl/>
          </w:rPr>
          <w:fldChar w:fldCharType="end"/>
        </w:r>
      </w:hyperlink>
    </w:p>
    <w:p w14:paraId="7D021B4A" w14:textId="1C45A018" w:rsidR="008009AA" w:rsidRDefault="008009AA">
      <w:pPr>
        <w:pStyle w:val="TOC7"/>
        <w:rPr>
          <w:rFonts w:cstheme="minorBidi"/>
          <w:sz w:val="22"/>
          <w:szCs w:val="22"/>
          <w:rtl/>
        </w:rPr>
      </w:pPr>
      <w:hyperlink w:anchor="_Toc163505467" w:history="1">
        <w:r w:rsidRPr="007246E7">
          <w:rPr>
            <w:rStyle w:val="Hyperlink"/>
            <w:rtl/>
          </w:rPr>
          <w:t>מנחת חינוך מצוה רצ"ח אות י"ד ד"ה על כרחך</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Toc163505467 \h</w:instrText>
        </w:r>
        <w:r>
          <w:rPr>
            <w:webHidden/>
            <w:rtl/>
          </w:rPr>
          <w:instrText xml:space="preserve"> </w:instrText>
        </w:r>
        <w:r>
          <w:rPr>
            <w:rStyle w:val="Hyperlink"/>
            <w:rtl/>
          </w:rPr>
        </w:r>
        <w:r>
          <w:rPr>
            <w:rStyle w:val="Hyperlink"/>
            <w:rtl/>
          </w:rPr>
          <w:fldChar w:fldCharType="separate"/>
        </w:r>
        <w:r w:rsidR="00D82181">
          <w:rPr>
            <w:webHidden/>
            <w:rtl/>
          </w:rPr>
          <w:t>32</w:t>
        </w:r>
        <w:r>
          <w:rPr>
            <w:rStyle w:val="Hyperlink"/>
            <w:rtl/>
          </w:rPr>
          <w:fldChar w:fldCharType="end"/>
        </w:r>
      </w:hyperlink>
    </w:p>
    <w:p w14:paraId="54DDF2E6" w14:textId="561AFFF0" w:rsidR="008009AA" w:rsidRDefault="008009AA">
      <w:pPr>
        <w:pStyle w:val="TOC7"/>
        <w:rPr>
          <w:rFonts w:cstheme="minorBidi"/>
          <w:sz w:val="22"/>
          <w:szCs w:val="22"/>
          <w:rtl/>
        </w:rPr>
      </w:pPr>
      <w:hyperlink w:anchor="_Toc163505468" w:history="1">
        <w:r w:rsidRPr="007246E7">
          <w:rPr>
            <w:rStyle w:val="Hyperlink"/>
            <w:rtl/>
          </w:rPr>
          <w:t>החינוך פרשת כי תצא מצוה תקמח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Toc163505468 \h</w:instrText>
        </w:r>
        <w:r>
          <w:rPr>
            <w:webHidden/>
            <w:rtl/>
          </w:rPr>
          <w:instrText xml:space="preserve"> </w:instrText>
        </w:r>
        <w:r>
          <w:rPr>
            <w:rStyle w:val="Hyperlink"/>
            <w:rtl/>
          </w:rPr>
        </w:r>
        <w:r>
          <w:rPr>
            <w:rStyle w:val="Hyperlink"/>
            <w:rtl/>
          </w:rPr>
          <w:fldChar w:fldCharType="separate"/>
        </w:r>
        <w:r w:rsidR="00D82181">
          <w:rPr>
            <w:webHidden/>
            <w:rtl/>
          </w:rPr>
          <w:t>32</w:t>
        </w:r>
        <w:r>
          <w:rPr>
            <w:rStyle w:val="Hyperlink"/>
            <w:rtl/>
          </w:rPr>
          <w:fldChar w:fldCharType="end"/>
        </w:r>
      </w:hyperlink>
    </w:p>
    <w:p w14:paraId="61BC35B3" w14:textId="05E03B3C" w:rsidR="008009AA" w:rsidRDefault="008009AA">
      <w:pPr>
        <w:pStyle w:val="TOC7"/>
        <w:rPr>
          <w:rFonts w:cstheme="minorBidi"/>
          <w:sz w:val="22"/>
          <w:szCs w:val="22"/>
          <w:rtl/>
        </w:rPr>
      </w:pPr>
      <w:hyperlink w:anchor="_Toc163505469" w:history="1">
        <w:r w:rsidRPr="007246E7">
          <w:rPr>
            <w:rStyle w:val="Hyperlink"/>
            <w:rtl/>
          </w:rPr>
          <w:t>מנחת חינוך מוסך השבת זורע ד"ה והנה, ד"ה ונראה פשוט</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Toc163505469 \h</w:instrText>
        </w:r>
        <w:r>
          <w:rPr>
            <w:webHidden/>
            <w:rtl/>
          </w:rPr>
          <w:instrText xml:space="preserve"> </w:instrText>
        </w:r>
        <w:r>
          <w:rPr>
            <w:rStyle w:val="Hyperlink"/>
            <w:rtl/>
          </w:rPr>
        </w:r>
        <w:r>
          <w:rPr>
            <w:rStyle w:val="Hyperlink"/>
            <w:rtl/>
          </w:rPr>
          <w:fldChar w:fldCharType="separate"/>
        </w:r>
        <w:r w:rsidR="00D82181">
          <w:rPr>
            <w:webHidden/>
            <w:rtl/>
          </w:rPr>
          <w:t>32</w:t>
        </w:r>
        <w:r>
          <w:rPr>
            <w:rStyle w:val="Hyperlink"/>
            <w:rtl/>
          </w:rPr>
          <w:fldChar w:fldCharType="end"/>
        </w:r>
      </w:hyperlink>
    </w:p>
    <w:p w14:paraId="0C64ED32" w14:textId="58EFE2AF" w:rsidR="008009AA" w:rsidRDefault="008009AA">
      <w:pPr>
        <w:pStyle w:val="TOC7"/>
        <w:rPr>
          <w:rFonts w:cstheme="minorBidi"/>
          <w:sz w:val="22"/>
          <w:szCs w:val="22"/>
          <w:rtl/>
        </w:rPr>
      </w:pPr>
      <w:hyperlink w:anchor="_Toc163505470" w:history="1">
        <w:r w:rsidRPr="007246E7">
          <w:rPr>
            <w:rStyle w:val="Hyperlink"/>
            <w:rtl/>
          </w:rPr>
          <w:t>אגלי טל באורים מלאכת זורע סק"ח אות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Toc163505470 \h</w:instrText>
        </w:r>
        <w:r>
          <w:rPr>
            <w:webHidden/>
            <w:rtl/>
          </w:rPr>
          <w:instrText xml:space="preserve"> </w:instrText>
        </w:r>
        <w:r>
          <w:rPr>
            <w:rStyle w:val="Hyperlink"/>
            <w:rtl/>
          </w:rPr>
        </w:r>
        <w:r>
          <w:rPr>
            <w:rStyle w:val="Hyperlink"/>
            <w:rtl/>
          </w:rPr>
          <w:fldChar w:fldCharType="separate"/>
        </w:r>
        <w:r w:rsidR="00D82181">
          <w:rPr>
            <w:webHidden/>
            <w:rtl/>
          </w:rPr>
          <w:t>32</w:t>
        </w:r>
        <w:r>
          <w:rPr>
            <w:rStyle w:val="Hyperlink"/>
            <w:rtl/>
          </w:rPr>
          <w:fldChar w:fldCharType="end"/>
        </w:r>
      </w:hyperlink>
    </w:p>
    <w:p w14:paraId="16EC507D" w14:textId="5535A06F" w:rsidR="008009AA" w:rsidRDefault="008009AA">
      <w:pPr>
        <w:pStyle w:val="TOC7"/>
        <w:rPr>
          <w:rFonts w:cstheme="minorBidi"/>
          <w:sz w:val="22"/>
          <w:szCs w:val="22"/>
          <w:rtl/>
        </w:rPr>
      </w:pPr>
      <w:hyperlink w:anchor="_Toc163505471" w:history="1">
        <w:r w:rsidRPr="007246E7">
          <w:rPr>
            <w:rStyle w:val="Hyperlink"/>
            <w:rtl/>
          </w:rPr>
          <w:t>מגן אבות זורע ד"ה הזורע</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Toc163505471 \h</w:instrText>
        </w:r>
        <w:r>
          <w:rPr>
            <w:webHidden/>
            <w:rtl/>
          </w:rPr>
          <w:instrText xml:space="preserve"> </w:instrText>
        </w:r>
        <w:r>
          <w:rPr>
            <w:rStyle w:val="Hyperlink"/>
            <w:rtl/>
          </w:rPr>
        </w:r>
        <w:r>
          <w:rPr>
            <w:rStyle w:val="Hyperlink"/>
            <w:rtl/>
          </w:rPr>
          <w:fldChar w:fldCharType="separate"/>
        </w:r>
        <w:r w:rsidR="00D82181">
          <w:rPr>
            <w:webHidden/>
            <w:rtl/>
          </w:rPr>
          <w:t>32</w:t>
        </w:r>
        <w:r>
          <w:rPr>
            <w:rStyle w:val="Hyperlink"/>
            <w:rtl/>
          </w:rPr>
          <w:fldChar w:fldCharType="end"/>
        </w:r>
      </w:hyperlink>
    </w:p>
    <w:p w14:paraId="02D87D2B" w14:textId="326354D4" w:rsidR="008009AA" w:rsidRDefault="008009AA">
      <w:pPr>
        <w:pStyle w:val="TOC7"/>
        <w:rPr>
          <w:rFonts w:cstheme="minorBidi"/>
          <w:sz w:val="22"/>
          <w:szCs w:val="22"/>
          <w:rtl/>
        </w:rPr>
      </w:pPr>
      <w:hyperlink w:anchor="_Toc163505472" w:history="1">
        <w:r w:rsidRPr="007246E7">
          <w:rPr>
            <w:rStyle w:val="Hyperlink"/>
            <w:rtl/>
          </w:rPr>
          <w:t>אגלי טל זורע ס"ק ט"ז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Toc163505472 \h</w:instrText>
        </w:r>
        <w:r>
          <w:rPr>
            <w:webHidden/>
            <w:rtl/>
          </w:rPr>
          <w:instrText xml:space="preserve"> </w:instrText>
        </w:r>
        <w:r>
          <w:rPr>
            <w:rStyle w:val="Hyperlink"/>
            <w:rtl/>
          </w:rPr>
        </w:r>
        <w:r>
          <w:rPr>
            <w:rStyle w:val="Hyperlink"/>
            <w:rtl/>
          </w:rPr>
          <w:fldChar w:fldCharType="separate"/>
        </w:r>
        <w:r w:rsidR="00D82181">
          <w:rPr>
            <w:webHidden/>
            <w:rtl/>
          </w:rPr>
          <w:t>32</w:t>
        </w:r>
        <w:r>
          <w:rPr>
            <w:rStyle w:val="Hyperlink"/>
            <w:rtl/>
          </w:rPr>
          <w:fldChar w:fldCharType="end"/>
        </w:r>
      </w:hyperlink>
    </w:p>
    <w:p w14:paraId="46467F1C" w14:textId="2A1A45C5" w:rsidR="008009AA" w:rsidRDefault="008009AA">
      <w:pPr>
        <w:pStyle w:val="TOC7"/>
        <w:rPr>
          <w:rFonts w:cstheme="minorBidi"/>
          <w:sz w:val="22"/>
          <w:szCs w:val="22"/>
          <w:rtl/>
        </w:rPr>
      </w:pPr>
      <w:hyperlink w:anchor="_Toc163505473" w:history="1">
        <w:r w:rsidRPr="007246E7">
          <w:rPr>
            <w:rStyle w:val="Hyperlink"/>
            <w:rtl/>
          </w:rPr>
          <w:t>חיי אדם הלכות שבת כלל יא סעיף 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Toc163505473 \h</w:instrText>
        </w:r>
        <w:r>
          <w:rPr>
            <w:webHidden/>
            <w:rtl/>
          </w:rPr>
          <w:instrText xml:space="preserve"> </w:instrText>
        </w:r>
        <w:r>
          <w:rPr>
            <w:rStyle w:val="Hyperlink"/>
            <w:rtl/>
          </w:rPr>
        </w:r>
        <w:r>
          <w:rPr>
            <w:rStyle w:val="Hyperlink"/>
            <w:rtl/>
          </w:rPr>
          <w:fldChar w:fldCharType="separate"/>
        </w:r>
        <w:r w:rsidR="00D82181">
          <w:rPr>
            <w:webHidden/>
            <w:rtl/>
          </w:rPr>
          <w:t>32</w:t>
        </w:r>
        <w:r>
          <w:rPr>
            <w:rStyle w:val="Hyperlink"/>
            <w:rtl/>
          </w:rPr>
          <w:fldChar w:fldCharType="end"/>
        </w:r>
      </w:hyperlink>
    </w:p>
    <w:p w14:paraId="198740A0" w14:textId="2CDF547F" w:rsidR="008009AA" w:rsidRDefault="008009AA">
      <w:pPr>
        <w:pStyle w:val="TOC7"/>
        <w:rPr>
          <w:rFonts w:cstheme="minorBidi"/>
          <w:sz w:val="22"/>
          <w:szCs w:val="22"/>
          <w:rtl/>
        </w:rPr>
      </w:pPr>
      <w:hyperlink w:anchor="_Toc163505474" w:history="1">
        <w:r w:rsidRPr="007246E7">
          <w:rPr>
            <w:rStyle w:val="Hyperlink"/>
            <w:rtl/>
          </w:rPr>
          <w:t>מנחת חינוך מצוה רצ"ח אות י"ד ד"ה שוב האיר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Toc163505474 \h</w:instrText>
        </w:r>
        <w:r>
          <w:rPr>
            <w:webHidden/>
            <w:rtl/>
          </w:rPr>
          <w:instrText xml:space="preserve"> </w:instrText>
        </w:r>
        <w:r>
          <w:rPr>
            <w:rStyle w:val="Hyperlink"/>
            <w:rtl/>
          </w:rPr>
        </w:r>
        <w:r>
          <w:rPr>
            <w:rStyle w:val="Hyperlink"/>
            <w:rtl/>
          </w:rPr>
          <w:fldChar w:fldCharType="separate"/>
        </w:r>
        <w:r w:rsidR="00D82181">
          <w:rPr>
            <w:webHidden/>
            <w:rtl/>
          </w:rPr>
          <w:t>33</w:t>
        </w:r>
        <w:r>
          <w:rPr>
            <w:rStyle w:val="Hyperlink"/>
            <w:rtl/>
          </w:rPr>
          <w:fldChar w:fldCharType="end"/>
        </w:r>
      </w:hyperlink>
    </w:p>
    <w:p w14:paraId="74C6F05F" w14:textId="77C3CDEC" w:rsidR="008009AA" w:rsidRDefault="008009AA">
      <w:pPr>
        <w:pStyle w:val="TOC7"/>
        <w:rPr>
          <w:rFonts w:cstheme="minorBidi"/>
          <w:sz w:val="22"/>
          <w:szCs w:val="22"/>
          <w:rtl/>
        </w:rPr>
      </w:pPr>
      <w:hyperlink w:anchor="_Toc163505475" w:history="1">
        <w:r w:rsidRPr="007246E7">
          <w:rPr>
            <w:rStyle w:val="Hyperlink"/>
            <w:rtl/>
          </w:rPr>
          <w:t>שו"ת הלכות קטנות ח"א סי' רסו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Toc163505475 \h</w:instrText>
        </w:r>
        <w:r>
          <w:rPr>
            <w:webHidden/>
            <w:rtl/>
          </w:rPr>
          <w:instrText xml:space="preserve"> </w:instrText>
        </w:r>
        <w:r>
          <w:rPr>
            <w:rStyle w:val="Hyperlink"/>
            <w:rtl/>
          </w:rPr>
        </w:r>
        <w:r>
          <w:rPr>
            <w:rStyle w:val="Hyperlink"/>
            <w:rtl/>
          </w:rPr>
          <w:fldChar w:fldCharType="separate"/>
        </w:r>
        <w:r w:rsidR="00D82181">
          <w:rPr>
            <w:webHidden/>
            <w:rtl/>
          </w:rPr>
          <w:t>33</w:t>
        </w:r>
        <w:r>
          <w:rPr>
            <w:rStyle w:val="Hyperlink"/>
            <w:rtl/>
          </w:rPr>
          <w:fldChar w:fldCharType="end"/>
        </w:r>
      </w:hyperlink>
    </w:p>
    <w:p w14:paraId="0F0059D6" w14:textId="336C0986" w:rsidR="008009AA" w:rsidRDefault="008009AA">
      <w:pPr>
        <w:pStyle w:val="TOC7"/>
        <w:rPr>
          <w:rFonts w:cstheme="minorBidi"/>
          <w:sz w:val="22"/>
          <w:szCs w:val="22"/>
          <w:rtl/>
        </w:rPr>
      </w:pPr>
      <w:hyperlink w:anchor="_Toc163505476" w:history="1">
        <w:r w:rsidRPr="007246E7">
          <w:rPr>
            <w:rStyle w:val="Hyperlink"/>
            <w:rtl/>
          </w:rPr>
          <w:t>שו"ת הלכות קטנות ח"א סי' רסז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Toc163505476 \h</w:instrText>
        </w:r>
        <w:r>
          <w:rPr>
            <w:webHidden/>
            <w:rtl/>
          </w:rPr>
          <w:instrText xml:space="preserve"> </w:instrText>
        </w:r>
        <w:r>
          <w:rPr>
            <w:rStyle w:val="Hyperlink"/>
            <w:rtl/>
          </w:rPr>
        </w:r>
        <w:r>
          <w:rPr>
            <w:rStyle w:val="Hyperlink"/>
            <w:rtl/>
          </w:rPr>
          <w:fldChar w:fldCharType="separate"/>
        </w:r>
        <w:r w:rsidR="00D82181">
          <w:rPr>
            <w:webHidden/>
            <w:rtl/>
          </w:rPr>
          <w:t>33</w:t>
        </w:r>
        <w:r>
          <w:rPr>
            <w:rStyle w:val="Hyperlink"/>
            <w:rtl/>
          </w:rPr>
          <w:fldChar w:fldCharType="end"/>
        </w:r>
      </w:hyperlink>
    </w:p>
    <w:p w14:paraId="1B831AD2" w14:textId="2EF81420" w:rsidR="008009AA" w:rsidRDefault="008009AA">
      <w:pPr>
        <w:pStyle w:val="TOC7"/>
        <w:rPr>
          <w:rFonts w:cstheme="minorBidi"/>
          <w:sz w:val="22"/>
          <w:szCs w:val="22"/>
          <w:rtl/>
        </w:rPr>
      </w:pPr>
      <w:hyperlink w:anchor="_Toc163505477" w:history="1">
        <w:r w:rsidRPr="007246E7">
          <w:rPr>
            <w:rStyle w:val="Hyperlink"/>
            <w:rtl/>
          </w:rPr>
          <w:t>שו"ת הלכות קטנות חלק ב סימן לו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Toc163505477 \h</w:instrText>
        </w:r>
        <w:r>
          <w:rPr>
            <w:webHidden/>
            <w:rtl/>
          </w:rPr>
          <w:instrText xml:space="preserve"> </w:instrText>
        </w:r>
        <w:r>
          <w:rPr>
            <w:rStyle w:val="Hyperlink"/>
            <w:rtl/>
          </w:rPr>
        </w:r>
        <w:r>
          <w:rPr>
            <w:rStyle w:val="Hyperlink"/>
            <w:rtl/>
          </w:rPr>
          <w:fldChar w:fldCharType="separate"/>
        </w:r>
        <w:r w:rsidR="00D82181">
          <w:rPr>
            <w:webHidden/>
            <w:rtl/>
          </w:rPr>
          <w:t>33</w:t>
        </w:r>
        <w:r>
          <w:rPr>
            <w:rStyle w:val="Hyperlink"/>
            <w:rtl/>
          </w:rPr>
          <w:fldChar w:fldCharType="end"/>
        </w:r>
      </w:hyperlink>
    </w:p>
    <w:p w14:paraId="0FA8A6FC" w14:textId="7F91CE6E" w:rsidR="008009AA" w:rsidRDefault="008009AA">
      <w:pPr>
        <w:pStyle w:val="TOC7"/>
        <w:rPr>
          <w:rFonts w:cstheme="minorBidi"/>
          <w:sz w:val="22"/>
          <w:szCs w:val="22"/>
          <w:rtl/>
        </w:rPr>
      </w:pPr>
      <w:hyperlink w:anchor="_Toc163505478" w:history="1">
        <w:r w:rsidRPr="007246E7">
          <w:rPr>
            <w:rStyle w:val="Hyperlink"/>
            <w:rtl/>
          </w:rPr>
          <w:t>דבר אברהם ח"א סי' כג אות ו' ד"ה וראיתי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Toc163505478 \h</w:instrText>
        </w:r>
        <w:r>
          <w:rPr>
            <w:webHidden/>
            <w:rtl/>
          </w:rPr>
          <w:instrText xml:space="preserve"> </w:instrText>
        </w:r>
        <w:r>
          <w:rPr>
            <w:rStyle w:val="Hyperlink"/>
            <w:rtl/>
          </w:rPr>
        </w:r>
        <w:r>
          <w:rPr>
            <w:rStyle w:val="Hyperlink"/>
            <w:rtl/>
          </w:rPr>
          <w:fldChar w:fldCharType="separate"/>
        </w:r>
        <w:r w:rsidR="00D82181">
          <w:rPr>
            <w:webHidden/>
            <w:rtl/>
          </w:rPr>
          <w:t>33</w:t>
        </w:r>
        <w:r>
          <w:rPr>
            <w:rStyle w:val="Hyperlink"/>
            <w:rtl/>
          </w:rPr>
          <w:fldChar w:fldCharType="end"/>
        </w:r>
      </w:hyperlink>
    </w:p>
    <w:p w14:paraId="541AC9F8" w14:textId="53DEFCBB" w:rsidR="008009AA" w:rsidRDefault="008009AA">
      <w:pPr>
        <w:pStyle w:val="TOC7"/>
        <w:rPr>
          <w:rFonts w:cstheme="minorBidi"/>
          <w:sz w:val="22"/>
          <w:szCs w:val="22"/>
          <w:rtl/>
        </w:rPr>
      </w:pPr>
      <w:hyperlink w:anchor="_Toc163505479" w:history="1">
        <w:r w:rsidRPr="007246E7">
          <w:rPr>
            <w:rStyle w:val="Hyperlink"/>
            <w:rtl/>
          </w:rPr>
          <w:t>דבר אברהם חלק א סימן כה ד"ה אולם</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Toc163505479 \h</w:instrText>
        </w:r>
        <w:r>
          <w:rPr>
            <w:webHidden/>
            <w:rtl/>
          </w:rPr>
          <w:instrText xml:space="preserve"> </w:instrText>
        </w:r>
        <w:r>
          <w:rPr>
            <w:rStyle w:val="Hyperlink"/>
            <w:rtl/>
          </w:rPr>
        </w:r>
        <w:r>
          <w:rPr>
            <w:rStyle w:val="Hyperlink"/>
            <w:rtl/>
          </w:rPr>
          <w:fldChar w:fldCharType="separate"/>
        </w:r>
        <w:r w:rsidR="00D82181">
          <w:rPr>
            <w:webHidden/>
            <w:rtl/>
          </w:rPr>
          <w:t>33</w:t>
        </w:r>
        <w:r>
          <w:rPr>
            <w:rStyle w:val="Hyperlink"/>
            <w:rtl/>
          </w:rPr>
          <w:fldChar w:fldCharType="end"/>
        </w:r>
      </w:hyperlink>
    </w:p>
    <w:p w14:paraId="22C30051" w14:textId="097C6E40" w:rsidR="008009AA" w:rsidRDefault="008009AA">
      <w:pPr>
        <w:pStyle w:val="TOC7"/>
        <w:rPr>
          <w:rFonts w:cstheme="minorBidi"/>
          <w:sz w:val="22"/>
          <w:szCs w:val="22"/>
          <w:rtl/>
        </w:rPr>
      </w:pPr>
      <w:hyperlink w:anchor="_Toc163505480" w:history="1">
        <w:r w:rsidRPr="007246E7">
          <w:rPr>
            <w:rStyle w:val="Hyperlink"/>
            <w:rtl/>
          </w:rPr>
          <w:t>שו"ת הר צבי או"ח ח"א סי' קכ"ח ד"ה ובטעמא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Toc163505480 \h</w:instrText>
        </w:r>
        <w:r>
          <w:rPr>
            <w:webHidden/>
            <w:rtl/>
          </w:rPr>
          <w:instrText xml:space="preserve"> </w:instrText>
        </w:r>
        <w:r>
          <w:rPr>
            <w:rStyle w:val="Hyperlink"/>
            <w:rtl/>
          </w:rPr>
        </w:r>
        <w:r>
          <w:rPr>
            <w:rStyle w:val="Hyperlink"/>
            <w:rtl/>
          </w:rPr>
          <w:fldChar w:fldCharType="separate"/>
        </w:r>
        <w:r w:rsidR="00D82181">
          <w:rPr>
            <w:webHidden/>
            <w:rtl/>
          </w:rPr>
          <w:t>33</w:t>
        </w:r>
        <w:r>
          <w:rPr>
            <w:rStyle w:val="Hyperlink"/>
            <w:rtl/>
          </w:rPr>
          <w:fldChar w:fldCharType="end"/>
        </w:r>
      </w:hyperlink>
    </w:p>
    <w:p w14:paraId="2DEFF95F" w14:textId="2384CCFA" w:rsidR="008009AA" w:rsidRDefault="008009AA">
      <w:pPr>
        <w:pStyle w:val="TOC7"/>
        <w:rPr>
          <w:rFonts w:cstheme="minorBidi"/>
          <w:sz w:val="22"/>
          <w:szCs w:val="22"/>
          <w:rtl/>
        </w:rPr>
      </w:pPr>
      <w:hyperlink w:anchor="_Toc163505481" w:history="1">
        <w:r w:rsidRPr="007246E7">
          <w:rPr>
            <w:rStyle w:val="Hyperlink"/>
            <w:rtl/>
          </w:rPr>
          <w:t>דבר אברהם ח"א סי' כג או' 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Toc163505481 \h</w:instrText>
        </w:r>
        <w:r>
          <w:rPr>
            <w:webHidden/>
            <w:rtl/>
          </w:rPr>
          <w:instrText xml:space="preserve"> </w:instrText>
        </w:r>
        <w:r>
          <w:rPr>
            <w:rStyle w:val="Hyperlink"/>
            <w:rtl/>
          </w:rPr>
        </w:r>
        <w:r>
          <w:rPr>
            <w:rStyle w:val="Hyperlink"/>
            <w:rtl/>
          </w:rPr>
          <w:fldChar w:fldCharType="separate"/>
        </w:r>
        <w:r w:rsidR="00D82181">
          <w:rPr>
            <w:webHidden/>
            <w:rtl/>
          </w:rPr>
          <w:t>33</w:t>
        </w:r>
        <w:r>
          <w:rPr>
            <w:rStyle w:val="Hyperlink"/>
            <w:rtl/>
          </w:rPr>
          <w:fldChar w:fldCharType="end"/>
        </w:r>
      </w:hyperlink>
    </w:p>
    <w:p w14:paraId="6A3E7219" w14:textId="12FA25ED" w:rsidR="008009AA" w:rsidRDefault="008009AA">
      <w:pPr>
        <w:pStyle w:val="TOC7"/>
        <w:rPr>
          <w:rFonts w:cstheme="minorBidi"/>
          <w:sz w:val="22"/>
          <w:szCs w:val="22"/>
          <w:rtl/>
        </w:rPr>
      </w:pPr>
      <w:hyperlink w:anchor="_Toc163505482" w:history="1">
        <w:r w:rsidRPr="007246E7">
          <w:rPr>
            <w:rStyle w:val="Hyperlink"/>
            <w:rtl/>
          </w:rPr>
          <w:t>אפיקי ים חלק ב סימן ד ענף א ד"ה אבל באמת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Toc163505482 \h</w:instrText>
        </w:r>
        <w:r>
          <w:rPr>
            <w:webHidden/>
            <w:rtl/>
          </w:rPr>
          <w:instrText xml:space="preserve"> </w:instrText>
        </w:r>
        <w:r>
          <w:rPr>
            <w:rStyle w:val="Hyperlink"/>
            <w:rtl/>
          </w:rPr>
        </w:r>
        <w:r>
          <w:rPr>
            <w:rStyle w:val="Hyperlink"/>
            <w:rtl/>
          </w:rPr>
          <w:fldChar w:fldCharType="separate"/>
        </w:r>
        <w:r w:rsidR="00D82181">
          <w:rPr>
            <w:webHidden/>
            <w:rtl/>
          </w:rPr>
          <w:t>34</w:t>
        </w:r>
        <w:r>
          <w:rPr>
            <w:rStyle w:val="Hyperlink"/>
            <w:rtl/>
          </w:rPr>
          <w:fldChar w:fldCharType="end"/>
        </w:r>
      </w:hyperlink>
    </w:p>
    <w:p w14:paraId="78AC18F2" w14:textId="5601191D" w:rsidR="008009AA" w:rsidRDefault="008009AA">
      <w:pPr>
        <w:pStyle w:val="TOC7"/>
        <w:rPr>
          <w:rFonts w:cstheme="minorBidi"/>
          <w:sz w:val="22"/>
          <w:szCs w:val="22"/>
          <w:rtl/>
        </w:rPr>
      </w:pPr>
      <w:hyperlink w:anchor="_Toc163505483" w:history="1">
        <w:r w:rsidRPr="007246E7">
          <w:rPr>
            <w:rStyle w:val="Hyperlink"/>
            <w:rtl/>
          </w:rPr>
          <w:t>אגלי טל באורים מלאכת זורע סקכ"ב אות א', ב', 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Toc163505483 \h</w:instrText>
        </w:r>
        <w:r>
          <w:rPr>
            <w:webHidden/>
            <w:rtl/>
          </w:rPr>
          <w:instrText xml:space="preserve"> </w:instrText>
        </w:r>
        <w:r>
          <w:rPr>
            <w:rStyle w:val="Hyperlink"/>
            <w:rtl/>
          </w:rPr>
        </w:r>
        <w:r>
          <w:rPr>
            <w:rStyle w:val="Hyperlink"/>
            <w:rtl/>
          </w:rPr>
          <w:fldChar w:fldCharType="separate"/>
        </w:r>
        <w:r w:rsidR="00D82181">
          <w:rPr>
            <w:webHidden/>
            <w:rtl/>
          </w:rPr>
          <w:t>34</w:t>
        </w:r>
        <w:r>
          <w:rPr>
            <w:rStyle w:val="Hyperlink"/>
            <w:rtl/>
          </w:rPr>
          <w:fldChar w:fldCharType="end"/>
        </w:r>
      </w:hyperlink>
    </w:p>
    <w:p w14:paraId="7D460362" w14:textId="79EA2D1F" w:rsidR="008009AA" w:rsidRDefault="008009AA">
      <w:pPr>
        <w:pStyle w:val="TOC7"/>
        <w:rPr>
          <w:rFonts w:cstheme="minorBidi"/>
          <w:sz w:val="22"/>
          <w:szCs w:val="22"/>
          <w:rtl/>
        </w:rPr>
      </w:pPr>
      <w:hyperlink w:anchor="_Toc163505484" w:history="1">
        <w:r w:rsidRPr="007246E7">
          <w:rPr>
            <w:rStyle w:val="Hyperlink"/>
            <w:rtl/>
          </w:rPr>
          <w:t>הגהות אשרי שבת פרק ח סימן 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Toc163505484 \h</w:instrText>
        </w:r>
        <w:r>
          <w:rPr>
            <w:webHidden/>
            <w:rtl/>
          </w:rPr>
          <w:instrText xml:space="preserve"> </w:instrText>
        </w:r>
        <w:r>
          <w:rPr>
            <w:rStyle w:val="Hyperlink"/>
            <w:rtl/>
          </w:rPr>
        </w:r>
        <w:r>
          <w:rPr>
            <w:rStyle w:val="Hyperlink"/>
            <w:rtl/>
          </w:rPr>
          <w:fldChar w:fldCharType="separate"/>
        </w:r>
        <w:r w:rsidR="00D82181">
          <w:rPr>
            <w:webHidden/>
            <w:rtl/>
          </w:rPr>
          <w:t>34</w:t>
        </w:r>
        <w:r>
          <w:rPr>
            <w:rStyle w:val="Hyperlink"/>
            <w:rtl/>
          </w:rPr>
          <w:fldChar w:fldCharType="end"/>
        </w:r>
      </w:hyperlink>
    </w:p>
    <w:p w14:paraId="01FCB008" w14:textId="3FA5D243" w:rsidR="008009AA" w:rsidRDefault="008009AA">
      <w:pPr>
        <w:pStyle w:val="TOC7"/>
        <w:rPr>
          <w:rFonts w:cstheme="minorBidi"/>
          <w:sz w:val="22"/>
          <w:szCs w:val="22"/>
          <w:rtl/>
        </w:rPr>
      </w:pPr>
      <w:hyperlink w:anchor="_Toc163505485" w:history="1">
        <w:r w:rsidRPr="007246E7">
          <w:rPr>
            <w:rStyle w:val="Hyperlink"/>
            <w:rtl/>
          </w:rPr>
          <w:t>אגלי טל באורים מלאכת זורע סקכ"ב אות ג', 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Toc163505485 \h</w:instrText>
        </w:r>
        <w:r>
          <w:rPr>
            <w:webHidden/>
            <w:rtl/>
          </w:rPr>
          <w:instrText xml:space="preserve"> </w:instrText>
        </w:r>
        <w:r>
          <w:rPr>
            <w:rStyle w:val="Hyperlink"/>
            <w:rtl/>
          </w:rPr>
        </w:r>
        <w:r>
          <w:rPr>
            <w:rStyle w:val="Hyperlink"/>
            <w:rtl/>
          </w:rPr>
          <w:fldChar w:fldCharType="separate"/>
        </w:r>
        <w:r w:rsidR="00D82181">
          <w:rPr>
            <w:webHidden/>
            <w:rtl/>
          </w:rPr>
          <w:t>34</w:t>
        </w:r>
        <w:r>
          <w:rPr>
            <w:rStyle w:val="Hyperlink"/>
            <w:rtl/>
          </w:rPr>
          <w:fldChar w:fldCharType="end"/>
        </w:r>
      </w:hyperlink>
    </w:p>
    <w:p w14:paraId="55F9C5E6" w14:textId="6CB77E06" w:rsidR="008009AA" w:rsidRDefault="008009AA">
      <w:pPr>
        <w:pStyle w:val="TOC7"/>
        <w:rPr>
          <w:rFonts w:cstheme="minorBidi"/>
          <w:sz w:val="22"/>
          <w:szCs w:val="22"/>
          <w:rtl/>
        </w:rPr>
      </w:pPr>
      <w:hyperlink w:anchor="_Toc163505486" w:history="1">
        <w:r w:rsidRPr="007246E7">
          <w:rPr>
            <w:rStyle w:val="Hyperlink"/>
            <w:rtl/>
          </w:rPr>
          <w:t>שו"ת קול גדול למהר"ם חביב סי' ע"ה</w:t>
        </w:r>
        <w:r w:rsidRPr="007246E7">
          <w:rPr>
            <w:rStyle w:val="Hyperlink"/>
          </w:rPr>
          <w:t xml:space="preserve"> </w:t>
        </w:r>
        <w:r w:rsidRPr="007246E7">
          <w:rPr>
            <w:rStyle w:val="Hyperlink"/>
            <w:rtl/>
          </w:rPr>
          <w:t>ד"ה והנראה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Toc163505486 \h</w:instrText>
        </w:r>
        <w:r>
          <w:rPr>
            <w:webHidden/>
            <w:rtl/>
          </w:rPr>
          <w:instrText xml:space="preserve"> </w:instrText>
        </w:r>
        <w:r>
          <w:rPr>
            <w:rStyle w:val="Hyperlink"/>
            <w:rtl/>
          </w:rPr>
        </w:r>
        <w:r>
          <w:rPr>
            <w:rStyle w:val="Hyperlink"/>
            <w:rtl/>
          </w:rPr>
          <w:fldChar w:fldCharType="separate"/>
        </w:r>
        <w:r w:rsidR="00D82181">
          <w:rPr>
            <w:webHidden/>
            <w:rtl/>
          </w:rPr>
          <w:t>35</w:t>
        </w:r>
        <w:r>
          <w:rPr>
            <w:rStyle w:val="Hyperlink"/>
            <w:rtl/>
          </w:rPr>
          <w:fldChar w:fldCharType="end"/>
        </w:r>
      </w:hyperlink>
    </w:p>
    <w:p w14:paraId="6A29DBBA" w14:textId="55C2D901" w:rsidR="008009AA" w:rsidRDefault="008009AA">
      <w:pPr>
        <w:pStyle w:val="TOC7"/>
        <w:rPr>
          <w:rFonts w:cstheme="minorBidi"/>
          <w:sz w:val="22"/>
          <w:szCs w:val="22"/>
          <w:rtl/>
        </w:rPr>
      </w:pPr>
      <w:hyperlink w:anchor="_Toc163505487" w:history="1">
        <w:r w:rsidRPr="007246E7">
          <w:rPr>
            <w:rStyle w:val="Hyperlink"/>
            <w:rtl/>
          </w:rPr>
          <w:t>שו"ת קול גדול למהר"ם חביב סי' ע"ה ד"ה נחזור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Toc163505487 \h</w:instrText>
        </w:r>
        <w:r>
          <w:rPr>
            <w:webHidden/>
            <w:rtl/>
          </w:rPr>
          <w:instrText xml:space="preserve"> </w:instrText>
        </w:r>
        <w:r>
          <w:rPr>
            <w:rStyle w:val="Hyperlink"/>
            <w:rtl/>
          </w:rPr>
        </w:r>
        <w:r>
          <w:rPr>
            <w:rStyle w:val="Hyperlink"/>
            <w:rtl/>
          </w:rPr>
          <w:fldChar w:fldCharType="separate"/>
        </w:r>
        <w:r w:rsidR="00D82181">
          <w:rPr>
            <w:webHidden/>
            <w:rtl/>
          </w:rPr>
          <w:t>35</w:t>
        </w:r>
        <w:r>
          <w:rPr>
            <w:rStyle w:val="Hyperlink"/>
            <w:rtl/>
          </w:rPr>
          <w:fldChar w:fldCharType="end"/>
        </w:r>
      </w:hyperlink>
    </w:p>
    <w:p w14:paraId="62DF50E0" w14:textId="768B8034" w:rsidR="008009AA" w:rsidRDefault="008009AA">
      <w:pPr>
        <w:pStyle w:val="TOC7"/>
        <w:rPr>
          <w:rFonts w:cstheme="minorBidi"/>
          <w:sz w:val="22"/>
          <w:szCs w:val="22"/>
          <w:rtl/>
        </w:rPr>
      </w:pPr>
      <w:hyperlink w:anchor="_Toc163505488" w:history="1">
        <w:r w:rsidRPr="007246E7">
          <w:rPr>
            <w:rStyle w:val="Hyperlink"/>
            <w:rtl/>
          </w:rPr>
          <w:t>רש"ש שבת ע"ג ע"א ד"ה במשנה הזורע</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Toc163505488 \h</w:instrText>
        </w:r>
        <w:r>
          <w:rPr>
            <w:webHidden/>
            <w:rtl/>
          </w:rPr>
          <w:instrText xml:space="preserve"> </w:instrText>
        </w:r>
        <w:r>
          <w:rPr>
            <w:rStyle w:val="Hyperlink"/>
            <w:rtl/>
          </w:rPr>
        </w:r>
        <w:r>
          <w:rPr>
            <w:rStyle w:val="Hyperlink"/>
            <w:rtl/>
          </w:rPr>
          <w:fldChar w:fldCharType="separate"/>
        </w:r>
        <w:r w:rsidR="00D82181">
          <w:rPr>
            <w:webHidden/>
            <w:rtl/>
          </w:rPr>
          <w:t>35</w:t>
        </w:r>
        <w:r>
          <w:rPr>
            <w:rStyle w:val="Hyperlink"/>
            <w:rtl/>
          </w:rPr>
          <w:fldChar w:fldCharType="end"/>
        </w:r>
      </w:hyperlink>
    </w:p>
    <w:p w14:paraId="2C2E8734" w14:textId="168023A6" w:rsidR="008009AA" w:rsidRDefault="008009AA">
      <w:pPr>
        <w:pStyle w:val="TOC7"/>
        <w:rPr>
          <w:rFonts w:cstheme="minorBidi"/>
          <w:sz w:val="22"/>
          <w:szCs w:val="22"/>
          <w:rtl/>
        </w:rPr>
      </w:pPr>
      <w:hyperlink w:anchor="_Toc163505489" w:history="1">
        <w:r w:rsidRPr="007246E7">
          <w:rPr>
            <w:rStyle w:val="Hyperlink"/>
            <w:rtl/>
          </w:rPr>
          <w:t>שיירי קרבן שבת פ"ז ה"ב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Toc163505489 \h</w:instrText>
        </w:r>
        <w:r>
          <w:rPr>
            <w:webHidden/>
            <w:rtl/>
          </w:rPr>
          <w:instrText xml:space="preserve"> </w:instrText>
        </w:r>
        <w:r>
          <w:rPr>
            <w:rStyle w:val="Hyperlink"/>
            <w:rtl/>
          </w:rPr>
        </w:r>
        <w:r>
          <w:rPr>
            <w:rStyle w:val="Hyperlink"/>
            <w:rtl/>
          </w:rPr>
          <w:fldChar w:fldCharType="separate"/>
        </w:r>
        <w:r w:rsidR="00D82181">
          <w:rPr>
            <w:webHidden/>
            <w:rtl/>
          </w:rPr>
          <w:t>35</w:t>
        </w:r>
        <w:r>
          <w:rPr>
            <w:rStyle w:val="Hyperlink"/>
            <w:rtl/>
          </w:rPr>
          <w:fldChar w:fldCharType="end"/>
        </w:r>
      </w:hyperlink>
    </w:p>
    <w:p w14:paraId="1005A9F7" w14:textId="6BE7D9E8" w:rsidR="008009AA" w:rsidRDefault="008009AA">
      <w:pPr>
        <w:pStyle w:val="TOC7"/>
        <w:rPr>
          <w:rFonts w:cstheme="minorBidi"/>
          <w:sz w:val="22"/>
          <w:szCs w:val="22"/>
          <w:rtl/>
        </w:rPr>
      </w:pPr>
      <w:hyperlink w:anchor="_Toc163505490" w:history="1">
        <w:r w:rsidRPr="007246E7">
          <w:rPr>
            <w:rStyle w:val="Hyperlink"/>
            <w:rtl/>
          </w:rPr>
          <w:t>שולחן ערוך הרב אורח חיים סימן שלו סעיף יז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Toc163505490 \h</w:instrText>
        </w:r>
        <w:r>
          <w:rPr>
            <w:webHidden/>
            <w:rtl/>
          </w:rPr>
          <w:instrText xml:space="preserve"> </w:instrText>
        </w:r>
        <w:r>
          <w:rPr>
            <w:rStyle w:val="Hyperlink"/>
            <w:rtl/>
          </w:rPr>
        </w:r>
        <w:r>
          <w:rPr>
            <w:rStyle w:val="Hyperlink"/>
            <w:rtl/>
          </w:rPr>
          <w:fldChar w:fldCharType="separate"/>
        </w:r>
        <w:r w:rsidR="00D82181">
          <w:rPr>
            <w:webHidden/>
            <w:rtl/>
          </w:rPr>
          <w:t>35</w:t>
        </w:r>
        <w:r>
          <w:rPr>
            <w:rStyle w:val="Hyperlink"/>
            <w:rtl/>
          </w:rPr>
          <w:fldChar w:fldCharType="end"/>
        </w:r>
      </w:hyperlink>
    </w:p>
    <w:p w14:paraId="44561490" w14:textId="599A0C37" w:rsidR="008009AA" w:rsidRDefault="008009AA">
      <w:pPr>
        <w:pStyle w:val="TOC7"/>
        <w:rPr>
          <w:rFonts w:cstheme="minorBidi"/>
          <w:sz w:val="22"/>
          <w:szCs w:val="22"/>
          <w:rtl/>
        </w:rPr>
      </w:pPr>
      <w:hyperlink w:anchor="_Toc163505491" w:history="1">
        <w:r w:rsidRPr="007246E7">
          <w:rPr>
            <w:rStyle w:val="Hyperlink"/>
            <w:rtl/>
          </w:rPr>
          <w:t>אגלי טל באורים מלאכת זורע סק"ח אות 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Toc163505491 \h</w:instrText>
        </w:r>
        <w:r>
          <w:rPr>
            <w:webHidden/>
            <w:rtl/>
          </w:rPr>
          <w:instrText xml:space="preserve"> </w:instrText>
        </w:r>
        <w:r>
          <w:rPr>
            <w:rStyle w:val="Hyperlink"/>
            <w:rtl/>
          </w:rPr>
        </w:r>
        <w:r>
          <w:rPr>
            <w:rStyle w:val="Hyperlink"/>
            <w:rtl/>
          </w:rPr>
          <w:fldChar w:fldCharType="separate"/>
        </w:r>
        <w:r w:rsidR="00D82181">
          <w:rPr>
            <w:webHidden/>
            <w:rtl/>
          </w:rPr>
          <w:t>35</w:t>
        </w:r>
        <w:r>
          <w:rPr>
            <w:rStyle w:val="Hyperlink"/>
            <w:rtl/>
          </w:rPr>
          <w:fldChar w:fldCharType="end"/>
        </w:r>
      </w:hyperlink>
    </w:p>
    <w:p w14:paraId="355FBC1E" w14:textId="1D9E9EFD" w:rsidR="008009AA" w:rsidRDefault="008009AA">
      <w:pPr>
        <w:pStyle w:val="TOC7"/>
        <w:rPr>
          <w:rFonts w:cstheme="minorBidi"/>
          <w:sz w:val="22"/>
          <w:szCs w:val="22"/>
          <w:rtl/>
        </w:rPr>
      </w:pPr>
      <w:hyperlink w:anchor="_Toc163505492" w:history="1">
        <w:r w:rsidRPr="007246E7">
          <w:rPr>
            <w:rStyle w:val="Hyperlink"/>
            <w:rtl/>
          </w:rPr>
          <w:t>משנה ברורה סימן שלו ס"ק לג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Toc163505492 \h</w:instrText>
        </w:r>
        <w:r>
          <w:rPr>
            <w:webHidden/>
            <w:rtl/>
          </w:rPr>
          <w:instrText xml:space="preserve"> </w:instrText>
        </w:r>
        <w:r>
          <w:rPr>
            <w:rStyle w:val="Hyperlink"/>
            <w:rtl/>
          </w:rPr>
        </w:r>
        <w:r>
          <w:rPr>
            <w:rStyle w:val="Hyperlink"/>
            <w:rtl/>
          </w:rPr>
          <w:fldChar w:fldCharType="separate"/>
        </w:r>
        <w:r w:rsidR="00D82181">
          <w:rPr>
            <w:webHidden/>
            <w:rtl/>
          </w:rPr>
          <w:t>35</w:t>
        </w:r>
        <w:r>
          <w:rPr>
            <w:rStyle w:val="Hyperlink"/>
            <w:rtl/>
          </w:rPr>
          <w:fldChar w:fldCharType="end"/>
        </w:r>
      </w:hyperlink>
    </w:p>
    <w:p w14:paraId="34C0A2A4" w14:textId="3E501AE3" w:rsidR="008009AA" w:rsidRDefault="008009AA">
      <w:pPr>
        <w:pStyle w:val="TOC7"/>
        <w:rPr>
          <w:rFonts w:cstheme="minorBidi"/>
          <w:sz w:val="22"/>
          <w:szCs w:val="22"/>
          <w:rtl/>
        </w:rPr>
      </w:pPr>
      <w:hyperlink w:anchor="_Toc163505493" w:history="1">
        <w:r w:rsidRPr="007246E7">
          <w:rPr>
            <w:rStyle w:val="Hyperlink"/>
            <w:rtl/>
          </w:rPr>
          <w:t>יראים סימן רעד ד"ה הזורע</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Toc163505493 \h</w:instrText>
        </w:r>
        <w:r>
          <w:rPr>
            <w:webHidden/>
            <w:rtl/>
          </w:rPr>
          <w:instrText xml:space="preserve"> </w:instrText>
        </w:r>
        <w:r>
          <w:rPr>
            <w:rStyle w:val="Hyperlink"/>
            <w:rtl/>
          </w:rPr>
        </w:r>
        <w:r>
          <w:rPr>
            <w:rStyle w:val="Hyperlink"/>
            <w:rtl/>
          </w:rPr>
          <w:fldChar w:fldCharType="separate"/>
        </w:r>
        <w:r w:rsidR="00D82181">
          <w:rPr>
            <w:webHidden/>
            <w:rtl/>
          </w:rPr>
          <w:t>35</w:t>
        </w:r>
        <w:r>
          <w:rPr>
            <w:rStyle w:val="Hyperlink"/>
            <w:rtl/>
          </w:rPr>
          <w:fldChar w:fldCharType="end"/>
        </w:r>
      </w:hyperlink>
    </w:p>
    <w:p w14:paraId="5D2C3BF4" w14:textId="656EBA69" w:rsidR="008009AA" w:rsidRDefault="008009AA">
      <w:pPr>
        <w:pStyle w:val="TOC7"/>
        <w:rPr>
          <w:rFonts w:cstheme="minorBidi"/>
          <w:sz w:val="22"/>
          <w:szCs w:val="22"/>
          <w:rtl/>
        </w:rPr>
      </w:pPr>
      <w:hyperlink w:anchor="_Toc163505494" w:history="1">
        <w:r w:rsidRPr="007246E7">
          <w:rPr>
            <w:rStyle w:val="Hyperlink"/>
            <w:rtl/>
          </w:rPr>
          <w:t>הגהות מיימוניות שבת ח' 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Toc163505494 \h</w:instrText>
        </w:r>
        <w:r>
          <w:rPr>
            <w:webHidden/>
            <w:rtl/>
          </w:rPr>
          <w:instrText xml:space="preserve"> </w:instrText>
        </w:r>
        <w:r>
          <w:rPr>
            <w:rStyle w:val="Hyperlink"/>
            <w:rtl/>
          </w:rPr>
        </w:r>
        <w:r>
          <w:rPr>
            <w:rStyle w:val="Hyperlink"/>
            <w:rtl/>
          </w:rPr>
          <w:fldChar w:fldCharType="separate"/>
        </w:r>
        <w:r w:rsidR="00D82181">
          <w:rPr>
            <w:webHidden/>
            <w:rtl/>
          </w:rPr>
          <w:t>35</w:t>
        </w:r>
        <w:r>
          <w:rPr>
            <w:rStyle w:val="Hyperlink"/>
            <w:rtl/>
          </w:rPr>
          <w:fldChar w:fldCharType="end"/>
        </w:r>
      </w:hyperlink>
    </w:p>
    <w:p w14:paraId="0504D955" w14:textId="61895FF1" w:rsidR="008009AA" w:rsidRDefault="008009AA">
      <w:pPr>
        <w:pStyle w:val="TOC7"/>
        <w:rPr>
          <w:rFonts w:cstheme="minorBidi"/>
          <w:sz w:val="22"/>
          <w:szCs w:val="22"/>
          <w:rtl/>
        </w:rPr>
      </w:pPr>
      <w:hyperlink w:anchor="_Toc163505495" w:history="1">
        <w:r w:rsidRPr="007246E7">
          <w:rPr>
            <w:rStyle w:val="Hyperlink"/>
            <w:rtl/>
          </w:rPr>
          <w:t>שו"ע או"ח סי' של"ו 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Toc163505495 \h</w:instrText>
        </w:r>
        <w:r>
          <w:rPr>
            <w:webHidden/>
            <w:rtl/>
          </w:rPr>
          <w:instrText xml:space="preserve"> </w:instrText>
        </w:r>
        <w:r>
          <w:rPr>
            <w:rStyle w:val="Hyperlink"/>
            <w:rtl/>
          </w:rPr>
        </w:r>
        <w:r>
          <w:rPr>
            <w:rStyle w:val="Hyperlink"/>
            <w:rtl/>
          </w:rPr>
          <w:fldChar w:fldCharType="separate"/>
        </w:r>
        <w:r w:rsidR="00D82181">
          <w:rPr>
            <w:webHidden/>
            <w:rtl/>
          </w:rPr>
          <w:t>35</w:t>
        </w:r>
        <w:r>
          <w:rPr>
            <w:rStyle w:val="Hyperlink"/>
            <w:rtl/>
          </w:rPr>
          <w:fldChar w:fldCharType="end"/>
        </w:r>
      </w:hyperlink>
    </w:p>
    <w:p w14:paraId="2612559E" w14:textId="2500984D" w:rsidR="008009AA" w:rsidRDefault="008009AA">
      <w:pPr>
        <w:pStyle w:val="TOC7"/>
        <w:rPr>
          <w:rFonts w:cstheme="minorBidi"/>
          <w:sz w:val="22"/>
          <w:szCs w:val="22"/>
          <w:rtl/>
        </w:rPr>
      </w:pPr>
      <w:hyperlink w:anchor="_Toc163505496" w:history="1">
        <w:r w:rsidRPr="007246E7">
          <w:rPr>
            <w:rStyle w:val="Hyperlink"/>
            <w:rtl/>
          </w:rPr>
          <w:t>משנה ברורה סימן של"ו ס"ק נ', נ"א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Toc163505496 \h</w:instrText>
        </w:r>
        <w:r>
          <w:rPr>
            <w:webHidden/>
            <w:rtl/>
          </w:rPr>
          <w:instrText xml:space="preserve"> </w:instrText>
        </w:r>
        <w:r>
          <w:rPr>
            <w:rStyle w:val="Hyperlink"/>
            <w:rtl/>
          </w:rPr>
        </w:r>
        <w:r>
          <w:rPr>
            <w:rStyle w:val="Hyperlink"/>
            <w:rtl/>
          </w:rPr>
          <w:fldChar w:fldCharType="separate"/>
        </w:r>
        <w:r w:rsidR="00D82181">
          <w:rPr>
            <w:webHidden/>
            <w:rtl/>
          </w:rPr>
          <w:t>35</w:t>
        </w:r>
        <w:r>
          <w:rPr>
            <w:rStyle w:val="Hyperlink"/>
            <w:rtl/>
          </w:rPr>
          <w:fldChar w:fldCharType="end"/>
        </w:r>
      </w:hyperlink>
    </w:p>
    <w:p w14:paraId="286B49AB" w14:textId="71BACDAC" w:rsidR="008009AA" w:rsidRDefault="008009AA">
      <w:pPr>
        <w:pStyle w:val="TOC7"/>
        <w:rPr>
          <w:rFonts w:cstheme="minorBidi"/>
          <w:sz w:val="22"/>
          <w:szCs w:val="22"/>
          <w:rtl/>
        </w:rPr>
      </w:pPr>
      <w:hyperlink w:anchor="_Toc163505497" w:history="1">
        <w:r w:rsidRPr="007246E7">
          <w:rPr>
            <w:rStyle w:val="Hyperlink"/>
            <w:rtl/>
          </w:rPr>
          <w:t>שער הציון סימן שלו ס"ק מו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Toc163505497 \h</w:instrText>
        </w:r>
        <w:r>
          <w:rPr>
            <w:webHidden/>
            <w:rtl/>
          </w:rPr>
          <w:instrText xml:space="preserve"> </w:instrText>
        </w:r>
        <w:r>
          <w:rPr>
            <w:rStyle w:val="Hyperlink"/>
            <w:rtl/>
          </w:rPr>
        </w:r>
        <w:r>
          <w:rPr>
            <w:rStyle w:val="Hyperlink"/>
            <w:rtl/>
          </w:rPr>
          <w:fldChar w:fldCharType="separate"/>
        </w:r>
        <w:r w:rsidR="00D82181">
          <w:rPr>
            <w:webHidden/>
            <w:rtl/>
          </w:rPr>
          <w:t>35</w:t>
        </w:r>
        <w:r>
          <w:rPr>
            <w:rStyle w:val="Hyperlink"/>
            <w:rtl/>
          </w:rPr>
          <w:fldChar w:fldCharType="end"/>
        </w:r>
      </w:hyperlink>
    </w:p>
    <w:p w14:paraId="36F5F299" w14:textId="5DDF4023" w:rsidR="008009AA" w:rsidRDefault="008009AA">
      <w:pPr>
        <w:pStyle w:val="TOC7"/>
        <w:rPr>
          <w:rFonts w:cstheme="minorBidi"/>
          <w:sz w:val="22"/>
          <w:szCs w:val="22"/>
          <w:rtl/>
        </w:rPr>
      </w:pPr>
      <w:hyperlink w:anchor="_Toc163505498" w:history="1">
        <w:r w:rsidRPr="007246E7">
          <w:rPr>
            <w:rStyle w:val="Hyperlink"/>
            <w:rtl/>
          </w:rPr>
          <w:t>אגלי טל באורים מלאכת זורע סק"ח אות 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Toc163505498 \h</w:instrText>
        </w:r>
        <w:r>
          <w:rPr>
            <w:webHidden/>
            <w:rtl/>
          </w:rPr>
          <w:instrText xml:space="preserve"> </w:instrText>
        </w:r>
        <w:r>
          <w:rPr>
            <w:rStyle w:val="Hyperlink"/>
            <w:rtl/>
          </w:rPr>
        </w:r>
        <w:r>
          <w:rPr>
            <w:rStyle w:val="Hyperlink"/>
            <w:rtl/>
          </w:rPr>
          <w:fldChar w:fldCharType="separate"/>
        </w:r>
        <w:r w:rsidR="00D82181">
          <w:rPr>
            <w:webHidden/>
            <w:rtl/>
          </w:rPr>
          <w:t>36</w:t>
        </w:r>
        <w:r>
          <w:rPr>
            <w:rStyle w:val="Hyperlink"/>
            <w:rtl/>
          </w:rPr>
          <w:fldChar w:fldCharType="end"/>
        </w:r>
      </w:hyperlink>
    </w:p>
    <w:p w14:paraId="1468AA61" w14:textId="68521FCC" w:rsidR="008009AA" w:rsidRDefault="008009AA">
      <w:pPr>
        <w:pStyle w:val="TOC7"/>
        <w:rPr>
          <w:rFonts w:cstheme="minorBidi"/>
          <w:sz w:val="22"/>
          <w:szCs w:val="22"/>
          <w:rtl/>
        </w:rPr>
      </w:pPr>
      <w:hyperlink w:anchor="_Toc163505499" w:history="1">
        <w:r w:rsidRPr="007246E7">
          <w:rPr>
            <w:rStyle w:val="Hyperlink"/>
            <w:rtl/>
          </w:rPr>
          <w:t>אגלי טל באורים מלאכת זורע סק"ח אות 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Toc163505499 \h</w:instrText>
        </w:r>
        <w:r>
          <w:rPr>
            <w:webHidden/>
            <w:rtl/>
          </w:rPr>
          <w:instrText xml:space="preserve"> </w:instrText>
        </w:r>
        <w:r>
          <w:rPr>
            <w:rStyle w:val="Hyperlink"/>
            <w:rtl/>
          </w:rPr>
        </w:r>
        <w:r>
          <w:rPr>
            <w:rStyle w:val="Hyperlink"/>
            <w:rtl/>
          </w:rPr>
          <w:fldChar w:fldCharType="separate"/>
        </w:r>
        <w:r w:rsidR="00D82181">
          <w:rPr>
            <w:webHidden/>
            <w:rtl/>
          </w:rPr>
          <w:t>36</w:t>
        </w:r>
        <w:r>
          <w:rPr>
            <w:rStyle w:val="Hyperlink"/>
            <w:rtl/>
          </w:rPr>
          <w:fldChar w:fldCharType="end"/>
        </w:r>
      </w:hyperlink>
    </w:p>
    <w:p w14:paraId="0E5D1A11" w14:textId="190231C0" w:rsidR="008009AA" w:rsidRDefault="008009AA">
      <w:pPr>
        <w:pStyle w:val="TOC7"/>
        <w:rPr>
          <w:rFonts w:cstheme="minorBidi"/>
          <w:sz w:val="22"/>
          <w:szCs w:val="22"/>
          <w:rtl/>
        </w:rPr>
      </w:pPr>
      <w:hyperlink w:anchor="_Toc163505500" w:history="1">
        <w:r w:rsidRPr="007246E7">
          <w:rPr>
            <w:rStyle w:val="Hyperlink"/>
            <w:rtl/>
          </w:rPr>
          <w:t>אגלי טל באורים מלאכת זורע סק"ח אות 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Toc163505500 \h</w:instrText>
        </w:r>
        <w:r>
          <w:rPr>
            <w:webHidden/>
            <w:rtl/>
          </w:rPr>
          <w:instrText xml:space="preserve"> </w:instrText>
        </w:r>
        <w:r>
          <w:rPr>
            <w:rStyle w:val="Hyperlink"/>
            <w:rtl/>
          </w:rPr>
        </w:r>
        <w:r>
          <w:rPr>
            <w:rStyle w:val="Hyperlink"/>
            <w:rtl/>
          </w:rPr>
          <w:fldChar w:fldCharType="separate"/>
        </w:r>
        <w:r w:rsidR="00D82181">
          <w:rPr>
            <w:webHidden/>
            <w:rtl/>
          </w:rPr>
          <w:t>36</w:t>
        </w:r>
        <w:r>
          <w:rPr>
            <w:rStyle w:val="Hyperlink"/>
            <w:rtl/>
          </w:rPr>
          <w:fldChar w:fldCharType="end"/>
        </w:r>
      </w:hyperlink>
    </w:p>
    <w:p w14:paraId="24BDB4F3" w14:textId="726380D5" w:rsidR="008009AA" w:rsidRDefault="008009AA">
      <w:pPr>
        <w:pStyle w:val="TOC7"/>
        <w:rPr>
          <w:rFonts w:cstheme="minorBidi"/>
          <w:sz w:val="22"/>
          <w:szCs w:val="22"/>
          <w:rtl/>
        </w:rPr>
      </w:pPr>
      <w:hyperlink w:anchor="_Toc163505501" w:history="1">
        <w:r w:rsidRPr="007246E7">
          <w:rPr>
            <w:rStyle w:val="Hyperlink"/>
            <w:rtl/>
          </w:rPr>
          <w:t>אגלי טל באורים מלאכת זורע סק"ח אות 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Toc163505501 \h</w:instrText>
        </w:r>
        <w:r>
          <w:rPr>
            <w:webHidden/>
            <w:rtl/>
          </w:rPr>
          <w:instrText xml:space="preserve"> </w:instrText>
        </w:r>
        <w:r>
          <w:rPr>
            <w:rStyle w:val="Hyperlink"/>
            <w:rtl/>
          </w:rPr>
        </w:r>
        <w:r>
          <w:rPr>
            <w:rStyle w:val="Hyperlink"/>
            <w:rtl/>
          </w:rPr>
          <w:fldChar w:fldCharType="separate"/>
        </w:r>
        <w:r w:rsidR="00D82181">
          <w:rPr>
            <w:webHidden/>
            <w:rtl/>
          </w:rPr>
          <w:t>36</w:t>
        </w:r>
        <w:r>
          <w:rPr>
            <w:rStyle w:val="Hyperlink"/>
            <w:rtl/>
          </w:rPr>
          <w:fldChar w:fldCharType="end"/>
        </w:r>
      </w:hyperlink>
    </w:p>
    <w:p w14:paraId="1CD39FA7" w14:textId="69AB73AC" w:rsidR="008009AA" w:rsidRDefault="008009AA">
      <w:pPr>
        <w:pStyle w:val="TOC7"/>
        <w:rPr>
          <w:rFonts w:cstheme="minorBidi"/>
          <w:sz w:val="22"/>
          <w:szCs w:val="22"/>
          <w:rtl/>
        </w:rPr>
      </w:pPr>
      <w:hyperlink w:anchor="_Toc163505502" w:history="1">
        <w:r w:rsidRPr="007246E7">
          <w:rPr>
            <w:rStyle w:val="Hyperlink"/>
            <w:rtl/>
          </w:rPr>
          <w:t>אגלי טל באורים מלאכת זורע סק"ח אות 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Toc163505502 \h</w:instrText>
        </w:r>
        <w:r>
          <w:rPr>
            <w:webHidden/>
            <w:rtl/>
          </w:rPr>
          <w:instrText xml:space="preserve"> </w:instrText>
        </w:r>
        <w:r>
          <w:rPr>
            <w:rStyle w:val="Hyperlink"/>
            <w:rtl/>
          </w:rPr>
        </w:r>
        <w:r>
          <w:rPr>
            <w:rStyle w:val="Hyperlink"/>
            <w:rtl/>
          </w:rPr>
          <w:fldChar w:fldCharType="separate"/>
        </w:r>
        <w:r w:rsidR="00D82181">
          <w:rPr>
            <w:webHidden/>
            <w:rtl/>
          </w:rPr>
          <w:t>37</w:t>
        </w:r>
        <w:r>
          <w:rPr>
            <w:rStyle w:val="Hyperlink"/>
            <w:rtl/>
          </w:rPr>
          <w:fldChar w:fldCharType="end"/>
        </w:r>
      </w:hyperlink>
    </w:p>
    <w:p w14:paraId="7DA0872E" w14:textId="0E5F9611" w:rsidR="008009AA" w:rsidRDefault="008009AA">
      <w:pPr>
        <w:pStyle w:val="TOC7"/>
        <w:rPr>
          <w:rFonts w:cstheme="minorBidi"/>
          <w:sz w:val="22"/>
          <w:szCs w:val="22"/>
          <w:rtl/>
        </w:rPr>
      </w:pPr>
      <w:hyperlink w:anchor="_Toc163505503" w:history="1">
        <w:r w:rsidRPr="007246E7">
          <w:rPr>
            <w:rStyle w:val="Hyperlink"/>
            <w:rtl/>
          </w:rPr>
          <w:t>אור שמח שבת ג' 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Toc163505503 \h</w:instrText>
        </w:r>
        <w:r>
          <w:rPr>
            <w:webHidden/>
            <w:rtl/>
          </w:rPr>
          <w:instrText xml:space="preserve"> </w:instrText>
        </w:r>
        <w:r>
          <w:rPr>
            <w:rStyle w:val="Hyperlink"/>
            <w:rtl/>
          </w:rPr>
        </w:r>
        <w:r>
          <w:rPr>
            <w:rStyle w:val="Hyperlink"/>
            <w:rtl/>
          </w:rPr>
          <w:fldChar w:fldCharType="separate"/>
        </w:r>
        <w:r w:rsidR="00D82181">
          <w:rPr>
            <w:webHidden/>
            <w:rtl/>
          </w:rPr>
          <w:t>37</w:t>
        </w:r>
        <w:r>
          <w:rPr>
            <w:rStyle w:val="Hyperlink"/>
            <w:rtl/>
          </w:rPr>
          <w:fldChar w:fldCharType="end"/>
        </w:r>
      </w:hyperlink>
    </w:p>
    <w:p w14:paraId="126EF4C9" w14:textId="7852FBA5" w:rsidR="008009AA" w:rsidRDefault="008009AA">
      <w:pPr>
        <w:pStyle w:val="TOC7"/>
        <w:rPr>
          <w:rFonts w:cstheme="minorBidi"/>
          <w:sz w:val="22"/>
          <w:szCs w:val="22"/>
          <w:rtl/>
        </w:rPr>
      </w:pPr>
      <w:hyperlink w:anchor="_Toc163505504" w:history="1">
        <w:r w:rsidRPr="007246E7">
          <w:rPr>
            <w:rStyle w:val="Hyperlink"/>
            <w:rtl/>
          </w:rPr>
          <w:t>שנות אליהו הארוך כלאים פ"א מ"ט</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Toc163505504 \h</w:instrText>
        </w:r>
        <w:r>
          <w:rPr>
            <w:webHidden/>
            <w:rtl/>
          </w:rPr>
          <w:instrText xml:space="preserve"> </w:instrText>
        </w:r>
        <w:r>
          <w:rPr>
            <w:rStyle w:val="Hyperlink"/>
            <w:rtl/>
          </w:rPr>
        </w:r>
        <w:r>
          <w:rPr>
            <w:rStyle w:val="Hyperlink"/>
            <w:rtl/>
          </w:rPr>
          <w:fldChar w:fldCharType="separate"/>
        </w:r>
        <w:r w:rsidR="00D82181">
          <w:rPr>
            <w:webHidden/>
            <w:rtl/>
          </w:rPr>
          <w:t>37</w:t>
        </w:r>
        <w:r>
          <w:rPr>
            <w:rStyle w:val="Hyperlink"/>
            <w:rtl/>
          </w:rPr>
          <w:fldChar w:fldCharType="end"/>
        </w:r>
      </w:hyperlink>
    </w:p>
    <w:p w14:paraId="45B18D46" w14:textId="145A30DD" w:rsidR="008009AA" w:rsidRDefault="008009AA">
      <w:pPr>
        <w:pStyle w:val="TOC7"/>
        <w:rPr>
          <w:rFonts w:cstheme="minorBidi"/>
          <w:sz w:val="22"/>
          <w:szCs w:val="22"/>
          <w:rtl/>
        </w:rPr>
      </w:pPr>
      <w:hyperlink w:anchor="_Toc163505505" w:history="1">
        <w:r w:rsidRPr="007246E7">
          <w:rPr>
            <w:rStyle w:val="Hyperlink"/>
            <w:rtl/>
          </w:rPr>
          <w:t>אפיקי ים חלק ב סימן ד ענף א ד"ה ולכאורה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Toc163505505 \h</w:instrText>
        </w:r>
        <w:r>
          <w:rPr>
            <w:webHidden/>
            <w:rtl/>
          </w:rPr>
          <w:instrText xml:space="preserve"> </w:instrText>
        </w:r>
        <w:r>
          <w:rPr>
            <w:rStyle w:val="Hyperlink"/>
            <w:rtl/>
          </w:rPr>
        </w:r>
        <w:r>
          <w:rPr>
            <w:rStyle w:val="Hyperlink"/>
            <w:rtl/>
          </w:rPr>
          <w:fldChar w:fldCharType="separate"/>
        </w:r>
        <w:r w:rsidR="00D82181">
          <w:rPr>
            <w:webHidden/>
            <w:rtl/>
          </w:rPr>
          <w:t>37</w:t>
        </w:r>
        <w:r>
          <w:rPr>
            <w:rStyle w:val="Hyperlink"/>
            <w:rtl/>
          </w:rPr>
          <w:fldChar w:fldCharType="end"/>
        </w:r>
      </w:hyperlink>
    </w:p>
    <w:p w14:paraId="4785907E" w14:textId="26CA1663" w:rsidR="008009AA" w:rsidRDefault="008009AA">
      <w:pPr>
        <w:pStyle w:val="TOC7"/>
        <w:rPr>
          <w:rFonts w:cstheme="minorBidi"/>
          <w:sz w:val="22"/>
          <w:szCs w:val="22"/>
          <w:rtl/>
        </w:rPr>
      </w:pPr>
      <w:hyperlink w:anchor="_Toc163505506" w:history="1">
        <w:r w:rsidRPr="007246E7">
          <w:rPr>
            <w:rStyle w:val="Hyperlink"/>
            <w:rtl/>
          </w:rPr>
          <w:t>אפיקי ים חלק ב סימן ד ענף א ד"ה שבתי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Toc163505506 \h</w:instrText>
        </w:r>
        <w:r>
          <w:rPr>
            <w:webHidden/>
            <w:rtl/>
          </w:rPr>
          <w:instrText xml:space="preserve"> </w:instrText>
        </w:r>
        <w:r>
          <w:rPr>
            <w:rStyle w:val="Hyperlink"/>
            <w:rtl/>
          </w:rPr>
        </w:r>
        <w:r>
          <w:rPr>
            <w:rStyle w:val="Hyperlink"/>
            <w:rtl/>
          </w:rPr>
          <w:fldChar w:fldCharType="separate"/>
        </w:r>
        <w:r w:rsidR="00D82181">
          <w:rPr>
            <w:webHidden/>
            <w:rtl/>
          </w:rPr>
          <w:t>37</w:t>
        </w:r>
        <w:r>
          <w:rPr>
            <w:rStyle w:val="Hyperlink"/>
            <w:rtl/>
          </w:rPr>
          <w:fldChar w:fldCharType="end"/>
        </w:r>
      </w:hyperlink>
    </w:p>
    <w:p w14:paraId="6A051859" w14:textId="1D54D518" w:rsidR="008009AA" w:rsidRDefault="008009AA">
      <w:pPr>
        <w:pStyle w:val="TOC7"/>
        <w:rPr>
          <w:rFonts w:cstheme="minorBidi"/>
          <w:sz w:val="22"/>
          <w:szCs w:val="22"/>
          <w:rtl/>
        </w:rPr>
      </w:pPr>
      <w:hyperlink w:anchor="_Toc163505507" w:history="1">
        <w:r w:rsidRPr="007246E7">
          <w:rPr>
            <w:rStyle w:val="Hyperlink"/>
            <w:rtl/>
          </w:rPr>
          <w:t>שביתת השבת זורע אות ט' ד"ה ודברי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Toc163505507 \h</w:instrText>
        </w:r>
        <w:r>
          <w:rPr>
            <w:webHidden/>
            <w:rtl/>
          </w:rPr>
          <w:instrText xml:space="preserve"> </w:instrText>
        </w:r>
        <w:r>
          <w:rPr>
            <w:rStyle w:val="Hyperlink"/>
            <w:rtl/>
          </w:rPr>
        </w:r>
        <w:r>
          <w:rPr>
            <w:rStyle w:val="Hyperlink"/>
            <w:rtl/>
          </w:rPr>
          <w:fldChar w:fldCharType="separate"/>
        </w:r>
        <w:r w:rsidR="00D82181">
          <w:rPr>
            <w:webHidden/>
            <w:rtl/>
          </w:rPr>
          <w:t>37</w:t>
        </w:r>
        <w:r>
          <w:rPr>
            <w:rStyle w:val="Hyperlink"/>
            <w:rtl/>
          </w:rPr>
          <w:fldChar w:fldCharType="end"/>
        </w:r>
      </w:hyperlink>
    </w:p>
    <w:p w14:paraId="608401B8" w14:textId="703AFC4A" w:rsidR="008009AA" w:rsidRDefault="008009AA">
      <w:pPr>
        <w:pStyle w:val="TOC7"/>
        <w:rPr>
          <w:rFonts w:cstheme="minorBidi"/>
          <w:sz w:val="22"/>
          <w:szCs w:val="22"/>
          <w:rtl/>
        </w:rPr>
      </w:pPr>
      <w:hyperlink w:anchor="_Toc163505508" w:history="1">
        <w:r w:rsidRPr="007246E7">
          <w:rPr>
            <w:rStyle w:val="Hyperlink"/>
            <w:rtl/>
          </w:rPr>
          <w:t>פרי מגדים או"ח פתיחה להלכות שבת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Toc163505508 \h</w:instrText>
        </w:r>
        <w:r>
          <w:rPr>
            <w:webHidden/>
            <w:rtl/>
          </w:rPr>
          <w:instrText xml:space="preserve"> </w:instrText>
        </w:r>
        <w:r>
          <w:rPr>
            <w:rStyle w:val="Hyperlink"/>
            <w:rtl/>
          </w:rPr>
        </w:r>
        <w:r>
          <w:rPr>
            <w:rStyle w:val="Hyperlink"/>
            <w:rtl/>
          </w:rPr>
          <w:fldChar w:fldCharType="separate"/>
        </w:r>
        <w:r w:rsidR="00D82181">
          <w:rPr>
            <w:webHidden/>
            <w:rtl/>
          </w:rPr>
          <w:t>38</w:t>
        </w:r>
        <w:r>
          <w:rPr>
            <w:rStyle w:val="Hyperlink"/>
            <w:rtl/>
          </w:rPr>
          <w:fldChar w:fldCharType="end"/>
        </w:r>
      </w:hyperlink>
    </w:p>
    <w:p w14:paraId="4342E58E" w14:textId="321B1165" w:rsidR="008009AA" w:rsidRDefault="008009AA">
      <w:pPr>
        <w:pStyle w:val="TOC7"/>
        <w:rPr>
          <w:rFonts w:cstheme="minorBidi"/>
          <w:sz w:val="22"/>
          <w:szCs w:val="22"/>
          <w:rtl/>
        </w:rPr>
      </w:pPr>
      <w:hyperlink w:anchor="_Toc163505509" w:history="1">
        <w:r w:rsidRPr="007246E7">
          <w:rPr>
            <w:rStyle w:val="Hyperlink"/>
            <w:rtl/>
          </w:rPr>
          <w:t>רש"ש שבת ע"ג ע"א ד"ה במשנה הזורע</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Toc163505509 \h</w:instrText>
        </w:r>
        <w:r>
          <w:rPr>
            <w:webHidden/>
            <w:rtl/>
          </w:rPr>
          <w:instrText xml:space="preserve"> </w:instrText>
        </w:r>
        <w:r>
          <w:rPr>
            <w:rStyle w:val="Hyperlink"/>
            <w:rtl/>
          </w:rPr>
        </w:r>
        <w:r>
          <w:rPr>
            <w:rStyle w:val="Hyperlink"/>
            <w:rtl/>
          </w:rPr>
          <w:fldChar w:fldCharType="separate"/>
        </w:r>
        <w:r w:rsidR="00D82181">
          <w:rPr>
            <w:webHidden/>
            <w:rtl/>
          </w:rPr>
          <w:t>38</w:t>
        </w:r>
        <w:r>
          <w:rPr>
            <w:rStyle w:val="Hyperlink"/>
            <w:rtl/>
          </w:rPr>
          <w:fldChar w:fldCharType="end"/>
        </w:r>
      </w:hyperlink>
    </w:p>
    <w:p w14:paraId="786D6022" w14:textId="1E083201" w:rsidR="008009AA" w:rsidRDefault="008009AA">
      <w:pPr>
        <w:pStyle w:val="TOC7"/>
        <w:rPr>
          <w:rFonts w:cstheme="minorBidi"/>
          <w:sz w:val="22"/>
          <w:szCs w:val="22"/>
          <w:rtl/>
        </w:rPr>
      </w:pPr>
      <w:hyperlink w:anchor="_Toc163505510" w:history="1">
        <w:r w:rsidRPr="007246E7">
          <w:rPr>
            <w:rStyle w:val="Hyperlink"/>
            <w:rtl/>
          </w:rPr>
          <w:t>מנחת חינוך פרשת אמור מצוה רצח אות י"ד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Toc163505510 \h</w:instrText>
        </w:r>
        <w:r>
          <w:rPr>
            <w:webHidden/>
            <w:rtl/>
          </w:rPr>
          <w:instrText xml:space="preserve"> </w:instrText>
        </w:r>
        <w:r>
          <w:rPr>
            <w:rStyle w:val="Hyperlink"/>
            <w:rtl/>
          </w:rPr>
        </w:r>
        <w:r>
          <w:rPr>
            <w:rStyle w:val="Hyperlink"/>
            <w:rtl/>
          </w:rPr>
          <w:fldChar w:fldCharType="separate"/>
        </w:r>
        <w:r w:rsidR="00D82181">
          <w:rPr>
            <w:webHidden/>
            <w:rtl/>
          </w:rPr>
          <w:t>38</w:t>
        </w:r>
        <w:r>
          <w:rPr>
            <w:rStyle w:val="Hyperlink"/>
            <w:rtl/>
          </w:rPr>
          <w:fldChar w:fldCharType="end"/>
        </w:r>
      </w:hyperlink>
    </w:p>
    <w:p w14:paraId="170DF99B" w14:textId="460E04C9" w:rsidR="008009AA" w:rsidRDefault="008009AA">
      <w:pPr>
        <w:pStyle w:val="TOC7"/>
        <w:rPr>
          <w:rFonts w:cstheme="minorBidi"/>
          <w:sz w:val="22"/>
          <w:szCs w:val="22"/>
          <w:rtl/>
        </w:rPr>
      </w:pPr>
      <w:hyperlink w:anchor="_Toc163505511" w:history="1">
        <w:r w:rsidRPr="007246E7">
          <w:rPr>
            <w:rStyle w:val="Hyperlink"/>
            <w:rtl/>
          </w:rPr>
          <w:t>קובץ שעורים ביצה י"ז ע"א אות מח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Toc163505511 \h</w:instrText>
        </w:r>
        <w:r>
          <w:rPr>
            <w:webHidden/>
            <w:rtl/>
          </w:rPr>
          <w:instrText xml:space="preserve"> </w:instrText>
        </w:r>
        <w:r>
          <w:rPr>
            <w:rStyle w:val="Hyperlink"/>
            <w:rtl/>
          </w:rPr>
        </w:r>
        <w:r>
          <w:rPr>
            <w:rStyle w:val="Hyperlink"/>
            <w:rtl/>
          </w:rPr>
          <w:fldChar w:fldCharType="separate"/>
        </w:r>
        <w:r w:rsidR="00D82181">
          <w:rPr>
            <w:webHidden/>
            <w:rtl/>
          </w:rPr>
          <w:t>38</w:t>
        </w:r>
        <w:r>
          <w:rPr>
            <w:rStyle w:val="Hyperlink"/>
            <w:rtl/>
          </w:rPr>
          <w:fldChar w:fldCharType="end"/>
        </w:r>
      </w:hyperlink>
    </w:p>
    <w:p w14:paraId="0E2D6F87" w14:textId="32639084" w:rsidR="008009AA" w:rsidRDefault="008009AA">
      <w:pPr>
        <w:pStyle w:val="TOC7"/>
        <w:rPr>
          <w:rFonts w:cstheme="minorBidi"/>
          <w:sz w:val="22"/>
          <w:szCs w:val="22"/>
          <w:rtl/>
        </w:rPr>
      </w:pPr>
      <w:hyperlink w:anchor="_Toc163505512" w:history="1">
        <w:r w:rsidRPr="007246E7">
          <w:rPr>
            <w:rStyle w:val="Hyperlink"/>
            <w:rtl/>
          </w:rPr>
          <w:t>אגלי טל הגהות מלאכת זורע סק"ח בהגה"ה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Toc163505512 \h</w:instrText>
        </w:r>
        <w:r>
          <w:rPr>
            <w:webHidden/>
            <w:rtl/>
          </w:rPr>
          <w:instrText xml:space="preserve"> </w:instrText>
        </w:r>
        <w:r>
          <w:rPr>
            <w:rStyle w:val="Hyperlink"/>
            <w:rtl/>
          </w:rPr>
        </w:r>
        <w:r>
          <w:rPr>
            <w:rStyle w:val="Hyperlink"/>
            <w:rtl/>
          </w:rPr>
          <w:fldChar w:fldCharType="separate"/>
        </w:r>
        <w:r w:rsidR="00D82181">
          <w:rPr>
            <w:webHidden/>
            <w:rtl/>
          </w:rPr>
          <w:t>38</w:t>
        </w:r>
        <w:r>
          <w:rPr>
            <w:rStyle w:val="Hyperlink"/>
            <w:rtl/>
          </w:rPr>
          <w:fldChar w:fldCharType="end"/>
        </w:r>
      </w:hyperlink>
    </w:p>
    <w:p w14:paraId="001C34B6" w14:textId="4C684CF3" w:rsidR="008009AA" w:rsidRDefault="008009AA">
      <w:pPr>
        <w:pStyle w:val="TOC7"/>
        <w:rPr>
          <w:rFonts w:cstheme="minorBidi"/>
          <w:sz w:val="22"/>
          <w:szCs w:val="22"/>
          <w:rtl/>
        </w:rPr>
      </w:pPr>
      <w:hyperlink w:anchor="_Toc163505513" w:history="1">
        <w:r w:rsidRPr="007246E7">
          <w:rPr>
            <w:rStyle w:val="Hyperlink"/>
            <w:rtl/>
          </w:rPr>
          <w:t>שו"ת הר צבי או"ח ח"א סי' קכט</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Toc163505513 \h</w:instrText>
        </w:r>
        <w:r>
          <w:rPr>
            <w:webHidden/>
            <w:rtl/>
          </w:rPr>
          <w:instrText xml:space="preserve"> </w:instrText>
        </w:r>
        <w:r>
          <w:rPr>
            <w:rStyle w:val="Hyperlink"/>
            <w:rtl/>
          </w:rPr>
        </w:r>
        <w:r>
          <w:rPr>
            <w:rStyle w:val="Hyperlink"/>
            <w:rtl/>
          </w:rPr>
          <w:fldChar w:fldCharType="separate"/>
        </w:r>
        <w:r w:rsidR="00D82181">
          <w:rPr>
            <w:webHidden/>
            <w:rtl/>
          </w:rPr>
          <w:t>38</w:t>
        </w:r>
        <w:r>
          <w:rPr>
            <w:rStyle w:val="Hyperlink"/>
            <w:rtl/>
          </w:rPr>
          <w:fldChar w:fldCharType="end"/>
        </w:r>
      </w:hyperlink>
    </w:p>
    <w:p w14:paraId="551ED31A" w14:textId="7C28E66C" w:rsidR="008009AA" w:rsidRDefault="008009AA">
      <w:pPr>
        <w:pStyle w:val="TOC7"/>
        <w:rPr>
          <w:rFonts w:cstheme="minorBidi"/>
          <w:sz w:val="22"/>
          <w:szCs w:val="22"/>
          <w:rtl/>
        </w:rPr>
      </w:pPr>
      <w:hyperlink w:anchor="_Toc163505514" w:history="1">
        <w:r w:rsidRPr="007246E7">
          <w:rPr>
            <w:rStyle w:val="Hyperlink"/>
            <w:rtl/>
          </w:rPr>
          <w:t>אגלי טל זורע ס"ק ט"ז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Toc163505514 \h</w:instrText>
        </w:r>
        <w:r>
          <w:rPr>
            <w:webHidden/>
            <w:rtl/>
          </w:rPr>
          <w:instrText xml:space="preserve"> </w:instrText>
        </w:r>
        <w:r>
          <w:rPr>
            <w:rStyle w:val="Hyperlink"/>
            <w:rtl/>
          </w:rPr>
        </w:r>
        <w:r>
          <w:rPr>
            <w:rStyle w:val="Hyperlink"/>
            <w:rtl/>
          </w:rPr>
          <w:fldChar w:fldCharType="separate"/>
        </w:r>
        <w:r w:rsidR="00D82181">
          <w:rPr>
            <w:webHidden/>
            <w:rtl/>
          </w:rPr>
          <w:t>38</w:t>
        </w:r>
        <w:r>
          <w:rPr>
            <w:rStyle w:val="Hyperlink"/>
            <w:rtl/>
          </w:rPr>
          <w:fldChar w:fldCharType="end"/>
        </w:r>
      </w:hyperlink>
    </w:p>
    <w:p w14:paraId="1A957400" w14:textId="126E19EC" w:rsidR="008009AA" w:rsidRDefault="008009AA">
      <w:pPr>
        <w:pStyle w:val="TOC7"/>
        <w:rPr>
          <w:rFonts w:cstheme="minorBidi"/>
          <w:sz w:val="22"/>
          <w:szCs w:val="22"/>
          <w:rtl/>
        </w:rPr>
      </w:pPr>
      <w:hyperlink w:anchor="_Toc163505515" w:history="1">
        <w:r w:rsidRPr="007246E7">
          <w:rPr>
            <w:rStyle w:val="Hyperlink"/>
            <w:rtl/>
          </w:rPr>
          <w:t>מנחת חינוך מוסך השבת זורע אות ב' ד"ה עוד כתב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Toc163505515 \h</w:instrText>
        </w:r>
        <w:r>
          <w:rPr>
            <w:webHidden/>
            <w:rtl/>
          </w:rPr>
          <w:instrText xml:space="preserve"> </w:instrText>
        </w:r>
        <w:r>
          <w:rPr>
            <w:rStyle w:val="Hyperlink"/>
            <w:rtl/>
          </w:rPr>
        </w:r>
        <w:r>
          <w:rPr>
            <w:rStyle w:val="Hyperlink"/>
            <w:rtl/>
          </w:rPr>
          <w:fldChar w:fldCharType="separate"/>
        </w:r>
        <w:r w:rsidR="00D82181">
          <w:rPr>
            <w:webHidden/>
            <w:rtl/>
          </w:rPr>
          <w:t>39</w:t>
        </w:r>
        <w:r>
          <w:rPr>
            <w:rStyle w:val="Hyperlink"/>
            <w:rtl/>
          </w:rPr>
          <w:fldChar w:fldCharType="end"/>
        </w:r>
      </w:hyperlink>
    </w:p>
    <w:p w14:paraId="728FE6E9" w14:textId="06CF4D98" w:rsidR="008009AA" w:rsidRDefault="008009AA">
      <w:pPr>
        <w:pStyle w:val="TOC7"/>
        <w:rPr>
          <w:rFonts w:cstheme="minorBidi"/>
          <w:sz w:val="22"/>
          <w:szCs w:val="22"/>
          <w:rtl/>
        </w:rPr>
      </w:pPr>
      <w:hyperlink w:anchor="_Toc163505516" w:history="1">
        <w:r w:rsidRPr="007246E7">
          <w:rPr>
            <w:rStyle w:val="Hyperlink"/>
            <w:rtl/>
          </w:rPr>
          <w:t>מנחת חינוך מוסך השבת זורע ד"ה והנה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Toc163505516 \h</w:instrText>
        </w:r>
        <w:r>
          <w:rPr>
            <w:webHidden/>
            <w:rtl/>
          </w:rPr>
          <w:instrText xml:space="preserve"> </w:instrText>
        </w:r>
        <w:r>
          <w:rPr>
            <w:rStyle w:val="Hyperlink"/>
            <w:rtl/>
          </w:rPr>
        </w:r>
        <w:r>
          <w:rPr>
            <w:rStyle w:val="Hyperlink"/>
            <w:rtl/>
          </w:rPr>
          <w:fldChar w:fldCharType="separate"/>
        </w:r>
        <w:r w:rsidR="00D82181">
          <w:rPr>
            <w:webHidden/>
            <w:rtl/>
          </w:rPr>
          <w:t>39</w:t>
        </w:r>
        <w:r>
          <w:rPr>
            <w:rStyle w:val="Hyperlink"/>
            <w:rtl/>
          </w:rPr>
          <w:fldChar w:fldCharType="end"/>
        </w:r>
      </w:hyperlink>
    </w:p>
    <w:p w14:paraId="159A5A5B" w14:textId="125EA9DE" w:rsidR="008009AA" w:rsidRDefault="008009AA">
      <w:pPr>
        <w:pStyle w:val="TOC7"/>
        <w:rPr>
          <w:rFonts w:cstheme="minorBidi"/>
          <w:sz w:val="22"/>
          <w:szCs w:val="22"/>
          <w:rtl/>
        </w:rPr>
      </w:pPr>
      <w:hyperlink w:anchor="_Toc163505517" w:history="1">
        <w:r w:rsidRPr="007246E7">
          <w:rPr>
            <w:rStyle w:val="Hyperlink"/>
            <w:rtl/>
          </w:rPr>
          <w:t>שעורי ר' דוד יבמות פ"ג ע"א אות שצ"ט</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Toc163505517 \h</w:instrText>
        </w:r>
        <w:r>
          <w:rPr>
            <w:webHidden/>
            <w:rtl/>
          </w:rPr>
          <w:instrText xml:space="preserve"> </w:instrText>
        </w:r>
        <w:r>
          <w:rPr>
            <w:rStyle w:val="Hyperlink"/>
            <w:rtl/>
          </w:rPr>
        </w:r>
        <w:r>
          <w:rPr>
            <w:rStyle w:val="Hyperlink"/>
            <w:rtl/>
          </w:rPr>
          <w:fldChar w:fldCharType="separate"/>
        </w:r>
        <w:r w:rsidR="00D82181">
          <w:rPr>
            <w:webHidden/>
            <w:rtl/>
          </w:rPr>
          <w:t>40</w:t>
        </w:r>
        <w:r>
          <w:rPr>
            <w:rStyle w:val="Hyperlink"/>
            <w:rtl/>
          </w:rPr>
          <w:fldChar w:fldCharType="end"/>
        </w:r>
      </w:hyperlink>
    </w:p>
    <w:p w14:paraId="5D890323" w14:textId="323996FB" w:rsidR="008009AA" w:rsidRDefault="008009AA">
      <w:pPr>
        <w:pStyle w:val="TOC7"/>
        <w:rPr>
          <w:rFonts w:cstheme="minorBidi"/>
          <w:sz w:val="22"/>
          <w:szCs w:val="22"/>
          <w:rtl/>
        </w:rPr>
      </w:pPr>
      <w:hyperlink w:anchor="_Toc163505518" w:history="1">
        <w:r w:rsidRPr="007246E7">
          <w:rPr>
            <w:rStyle w:val="Hyperlink"/>
            <w:rtl/>
          </w:rPr>
          <w:t>אשר לשלמה מועד סי' ל"ח ב' ד"ה והנה בהא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Toc163505518 \h</w:instrText>
        </w:r>
        <w:r>
          <w:rPr>
            <w:webHidden/>
            <w:rtl/>
          </w:rPr>
          <w:instrText xml:space="preserve"> </w:instrText>
        </w:r>
        <w:r>
          <w:rPr>
            <w:rStyle w:val="Hyperlink"/>
            <w:rtl/>
          </w:rPr>
        </w:r>
        <w:r>
          <w:rPr>
            <w:rStyle w:val="Hyperlink"/>
            <w:rtl/>
          </w:rPr>
          <w:fldChar w:fldCharType="separate"/>
        </w:r>
        <w:r w:rsidR="00D82181">
          <w:rPr>
            <w:webHidden/>
            <w:rtl/>
          </w:rPr>
          <w:t>40</w:t>
        </w:r>
        <w:r>
          <w:rPr>
            <w:rStyle w:val="Hyperlink"/>
            <w:rtl/>
          </w:rPr>
          <w:fldChar w:fldCharType="end"/>
        </w:r>
      </w:hyperlink>
    </w:p>
    <w:p w14:paraId="6C4A4AC0" w14:textId="561EA311" w:rsidR="008009AA" w:rsidRDefault="008009AA">
      <w:pPr>
        <w:pStyle w:val="TOC7"/>
        <w:rPr>
          <w:rFonts w:cstheme="minorBidi"/>
          <w:sz w:val="22"/>
          <w:szCs w:val="22"/>
          <w:rtl/>
        </w:rPr>
      </w:pPr>
      <w:hyperlink w:anchor="_Toc163505519" w:history="1">
        <w:r w:rsidRPr="007246E7">
          <w:rPr>
            <w:rStyle w:val="Hyperlink"/>
            <w:rtl/>
          </w:rPr>
          <w:t>אשר לשלמה מועד סי' ל"ח ב' ד"ה ומה דפליגי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Toc163505519 \h</w:instrText>
        </w:r>
        <w:r>
          <w:rPr>
            <w:webHidden/>
            <w:rtl/>
          </w:rPr>
          <w:instrText xml:space="preserve"> </w:instrText>
        </w:r>
        <w:r>
          <w:rPr>
            <w:rStyle w:val="Hyperlink"/>
            <w:rtl/>
          </w:rPr>
        </w:r>
        <w:r>
          <w:rPr>
            <w:rStyle w:val="Hyperlink"/>
            <w:rtl/>
          </w:rPr>
          <w:fldChar w:fldCharType="separate"/>
        </w:r>
        <w:r w:rsidR="00D82181">
          <w:rPr>
            <w:webHidden/>
            <w:rtl/>
          </w:rPr>
          <w:t>40</w:t>
        </w:r>
        <w:r>
          <w:rPr>
            <w:rStyle w:val="Hyperlink"/>
            <w:rtl/>
          </w:rPr>
          <w:fldChar w:fldCharType="end"/>
        </w:r>
      </w:hyperlink>
    </w:p>
    <w:p w14:paraId="79229D4F" w14:textId="14E8F4B4" w:rsidR="008009AA" w:rsidRDefault="008009AA">
      <w:pPr>
        <w:pStyle w:val="TOC7"/>
        <w:rPr>
          <w:rFonts w:cstheme="minorBidi"/>
          <w:sz w:val="22"/>
          <w:szCs w:val="22"/>
          <w:rtl/>
        </w:rPr>
      </w:pPr>
      <w:hyperlink w:anchor="_Toc163505520" w:history="1">
        <w:r w:rsidRPr="007246E7">
          <w:rPr>
            <w:rStyle w:val="Hyperlink"/>
            <w:rtl/>
          </w:rPr>
          <w:t>אשר לשלמה מועד סי' ל"ח ב' ד"ה והנה בהא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Toc163505520 \h</w:instrText>
        </w:r>
        <w:r>
          <w:rPr>
            <w:webHidden/>
            <w:rtl/>
          </w:rPr>
          <w:instrText xml:space="preserve"> </w:instrText>
        </w:r>
        <w:r>
          <w:rPr>
            <w:rStyle w:val="Hyperlink"/>
            <w:rtl/>
          </w:rPr>
        </w:r>
        <w:r>
          <w:rPr>
            <w:rStyle w:val="Hyperlink"/>
            <w:rtl/>
          </w:rPr>
          <w:fldChar w:fldCharType="separate"/>
        </w:r>
        <w:r w:rsidR="00D82181">
          <w:rPr>
            <w:webHidden/>
            <w:rtl/>
          </w:rPr>
          <w:t>40</w:t>
        </w:r>
        <w:r>
          <w:rPr>
            <w:rStyle w:val="Hyperlink"/>
            <w:rtl/>
          </w:rPr>
          <w:fldChar w:fldCharType="end"/>
        </w:r>
      </w:hyperlink>
    </w:p>
    <w:p w14:paraId="3FF9DFC1" w14:textId="4E846DD2" w:rsidR="008009AA" w:rsidRDefault="008009AA">
      <w:pPr>
        <w:pStyle w:val="TOC7"/>
        <w:rPr>
          <w:rFonts w:cstheme="minorBidi"/>
          <w:sz w:val="22"/>
          <w:szCs w:val="22"/>
          <w:rtl/>
        </w:rPr>
      </w:pPr>
      <w:hyperlink w:anchor="_Toc163505521" w:history="1">
        <w:r w:rsidRPr="007246E7">
          <w:rPr>
            <w:rStyle w:val="Hyperlink"/>
            <w:rtl/>
          </w:rPr>
          <w:t>אשר לשלמה מועד סי' ל"ח ב' ד"ה ומה דפליגי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Toc163505521 \h</w:instrText>
        </w:r>
        <w:r>
          <w:rPr>
            <w:webHidden/>
            <w:rtl/>
          </w:rPr>
          <w:instrText xml:space="preserve"> </w:instrText>
        </w:r>
        <w:r>
          <w:rPr>
            <w:rStyle w:val="Hyperlink"/>
            <w:rtl/>
          </w:rPr>
        </w:r>
        <w:r>
          <w:rPr>
            <w:rStyle w:val="Hyperlink"/>
            <w:rtl/>
          </w:rPr>
          <w:fldChar w:fldCharType="separate"/>
        </w:r>
        <w:r w:rsidR="00D82181">
          <w:rPr>
            <w:webHidden/>
            <w:rtl/>
          </w:rPr>
          <w:t>40</w:t>
        </w:r>
        <w:r>
          <w:rPr>
            <w:rStyle w:val="Hyperlink"/>
            <w:rtl/>
          </w:rPr>
          <w:fldChar w:fldCharType="end"/>
        </w:r>
      </w:hyperlink>
    </w:p>
    <w:p w14:paraId="7009B2EC" w14:textId="4D0C142D" w:rsidR="008009AA" w:rsidRDefault="008009AA">
      <w:pPr>
        <w:pStyle w:val="TOC7"/>
        <w:rPr>
          <w:rFonts w:cstheme="minorBidi"/>
          <w:sz w:val="22"/>
          <w:szCs w:val="22"/>
          <w:rtl/>
        </w:rPr>
      </w:pPr>
      <w:hyperlink w:anchor="_Toc163505522" w:history="1">
        <w:r w:rsidRPr="007246E7">
          <w:rPr>
            <w:rStyle w:val="Hyperlink"/>
            <w:rtl/>
          </w:rPr>
          <w:t>אשר לשלמה מועד סי' ל"ח ב' ד"ה אולם צ"ע</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Toc163505522 \h</w:instrText>
        </w:r>
        <w:r>
          <w:rPr>
            <w:webHidden/>
            <w:rtl/>
          </w:rPr>
          <w:instrText xml:space="preserve"> </w:instrText>
        </w:r>
        <w:r>
          <w:rPr>
            <w:rStyle w:val="Hyperlink"/>
            <w:rtl/>
          </w:rPr>
        </w:r>
        <w:r>
          <w:rPr>
            <w:rStyle w:val="Hyperlink"/>
            <w:rtl/>
          </w:rPr>
          <w:fldChar w:fldCharType="separate"/>
        </w:r>
        <w:r w:rsidR="00D82181">
          <w:rPr>
            <w:webHidden/>
            <w:rtl/>
          </w:rPr>
          <w:t>40</w:t>
        </w:r>
        <w:r>
          <w:rPr>
            <w:rStyle w:val="Hyperlink"/>
            <w:rtl/>
          </w:rPr>
          <w:fldChar w:fldCharType="end"/>
        </w:r>
      </w:hyperlink>
    </w:p>
    <w:p w14:paraId="3F21F056" w14:textId="2EC2B1F5" w:rsidR="008009AA" w:rsidRDefault="008009AA">
      <w:pPr>
        <w:pStyle w:val="TOC7"/>
        <w:rPr>
          <w:rFonts w:cstheme="minorBidi"/>
          <w:sz w:val="22"/>
          <w:szCs w:val="22"/>
          <w:rtl/>
        </w:rPr>
      </w:pPr>
      <w:hyperlink w:anchor="_Toc163505523" w:history="1">
        <w:r w:rsidRPr="007246E7">
          <w:rPr>
            <w:rStyle w:val="Hyperlink"/>
            <w:rtl/>
          </w:rPr>
          <w:t>רש"י שבת ע"ג ע"ב ד"ה תולש</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Toc163505523 \h</w:instrText>
        </w:r>
        <w:r>
          <w:rPr>
            <w:webHidden/>
            <w:rtl/>
          </w:rPr>
          <w:instrText xml:space="preserve"> </w:instrText>
        </w:r>
        <w:r>
          <w:rPr>
            <w:rStyle w:val="Hyperlink"/>
            <w:rtl/>
          </w:rPr>
        </w:r>
        <w:r>
          <w:rPr>
            <w:rStyle w:val="Hyperlink"/>
            <w:rtl/>
          </w:rPr>
          <w:fldChar w:fldCharType="separate"/>
        </w:r>
        <w:r w:rsidR="00D82181">
          <w:rPr>
            <w:webHidden/>
            <w:rtl/>
          </w:rPr>
          <w:t>45</w:t>
        </w:r>
        <w:r>
          <w:rPr>
            <w:rStyle w:val="Hyperlink"/>
            <w:rtl/>
          </w:rPr>
          <w:fldChar w:fldCharType="end"/>
        </w:r>
      </w:hyperlink>
    </w:p>
    <w:p w14:paraId="140DDC9A" w14:textId="565E2413" w:rsidR="008009AA" w:rsidRDefault="008009AA">
      <w:pPr>
        <w:pStyle w:val="TOC7"/>
        <w:rPr>
          <w:rFonts w:cstheme="minorBidi"/>
          <w:sz w:val="22"/>
          <w:szCs w:val="22"/>
          <w:rtl/>
        </w:rPr>
      </w:pPr>
      <w:hyperlink w:anchor="_Toc163505524" w:history="1">
        <w:r w:rsidRPr="007246E7">
          <w:rPr>
            <w:rStyle w:val="Hyperlink"/>
            <w:rtl/>
          </w:rPr>
          <w:t>תוספות בכורות כ"ה ע"א ד"ה ואמר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Toc163505524 \h</w:instrText>
        </w:r>
        <w:r>
          <w:rPr>
            <w:webHidden/>
            <w:rtl/>
          </w:rPr>
          <w:instrText xml:space="preserve"> </w:instrText>
        </w:r>
        <w:r>
          <w:rPr>
            <w:rStyle w:val="Hyperlink"/>
            <w:rtl/>
          </w:rPr>
        </w:r>
        <w:r>
          <w:rPr>
            <w:rStyle w:val="Hyperlink"/>
            <w:rtl/>
          </w:rPr>
          <w:fldChar w:fldCharType="separate"/>
        </w:r>
        <w:r w:rsidR="00D82181">
          <w:rPr>
            <w:webHidden/>
            <w:rtl/>
          </w:rPr>
          <w:t>45</w:t>
        </w:r>
        <w:r>
          <w:rPr>
            <w:rStyle w:val="Hyperlink"/>
            <w:rtl/>
          </w:rPr>
          <w:fldChar w:fldCharType="end"/>
        </w:r>
      </w:hyperlink>
    </w:p>
    <w:p w14:paraId="72D4ACC0" w14:textId="748D0D3D" w:rsidR="008009AA" w:rsidRDefault="008009AA">
      <w:pPr>
        <w:pStyle w:val="TOC7"/>
        <w:rPr>
          <w:rFonts w:cstheme="minorBidi"/>
          <w:sz w:val="22"/>
          <w:szCs w:val="22"/>
          <w:rtl/>
        </w:rPr>
      </w:pPr>
      <w:hyperlink w:anchor="_Toc163505525" w:history="1">
        <w:r w:rsidRPr="007246E7">
          <w:rPr>
            <w:rStyle w:val="Hyperlink"/>
            <w:rtl/>
          </w:rPr>
          <w:t>רש"י פסחים נ"ו ע"ב ד"ה בשל</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Toc163505525 \h</w:instrText>
        </w:r>
        <w:r>
          <w:rPr>
            <w:webHidden/>
            <w:rtl/>
          </w:rPr>
          <w:instrText xml:space="preserve"> </w:instrText>
        </w:r>
        <w:r>
          <w:rPr>
            <w:rStyle w:val="Hyperlink"/>
            <w:rtl/>
          </w:rPr>
        </w:r>
        <w:r>
          <w:rPr>
            <w:rStyle w:val="Hyperlink"/>
            <w:rtl/>
          </w:rPr>
          <w:fldChar w:fldCharType="separate"/>
        </w:r>
        <w:r w:rsidR="00D82181">
          <w:rPr>
            <w:webHidden/>
            <w:rtl/>
          </w:rPr>
          <w:t>45</w:t>
        </w:r>
        <w:r>
          <w:rPr>
            <w:rStyle w:val="Hyperlink"/>
            <w:rtl/>
          </w:rPr>
          <w:fldChar w:fldCharType="end"/>
        </w:r>
      </w:hyperlink>
    </w:p>
    <w:p w14:paraId="63F4336A" w14:textId="13409143" w:rsidR="008009AA" w:rsidRDefault="008009AA">
      <w:pPr>
        <w:pStyle w:val="TOC7"/>
        <w:rPr>
          <w:rFonts w:cstheme="minorBidi"/>
          <w:sz w:val="22"/>
          <w:szCs w:val="22"/>
          <w:rtl/>
        </w:rPr>
      </w:pPr>
      <w:hyperlink w:anchor="_Toc163505526" w:history="1">
        <w:r w:rsidRPr="007246E7">
          <w:rPr>
            <w:rStyle w:val="Hyperlink"/>
            <w:rtl/>
          </w:rPr>
          <w:t>רש"י כריתות ט"ו ע"א ד"ה המודלית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Toc163505526 \h</w:instrText>
        </w:r>
        <w:r>
          <w:rPr>
            <w:webHidden/>
            <w:rtl/>
          </w:rPr>
          <w:instrText xml:space="preserve"> </w:instrText>
        </w:r>
        <w:r>
          <w:rPr>
            <w:rStyle w:val="Hyperlink"/>
            <w:rtl/>
          </w:rPr>
        </w:r>
        <w:r>
          <w:rPr>
            <w:rStyle w:val="Hyperlink"/>
            <w:rtl/>
          </w:rPr>
          <w:fldChar w:fldCharType="separate"/>
        </w:r>
        <w:r w:rsidR="00D82181">
          <w:rPr>
            <w:webHidden/>
            <w:rtl/>
          </w:rPr>
          <w:t>45</w:t>
        </w:r>
        <w:r>
          <w:rPr>
            <w:rStyle w:val="Hyperlink"/>
            <w:rtl/>
          </w:rPr>
          <w:fldChar w:fldCharType="end"/>
        </w:r>
      </w:hyperlink>
    </w:p>
    <w:p w14:paraId="2A65587A" w14:textId="48D455C3" w:rsidR="008009AA" w:rsidRDefault="008009AA">
      <w:pPr>
        <w:pStyle w:val="TOC7"/>
        <w:rPr>
          <w:rFonts w:cstheme="minorBidi"/>
          <w:sz w:val="22"/>
          <w:szCs w:val="22"/>
          <w:rtl/>
        </w:rPr>
      </w:pPr>
      <w:hyperlink w:anchor="_Toc163505527" w:history="1">
        <w:r w:rsidRPr="007246E7">
          <w:rPr>
            <w:rStyle w:val="Hyperlink"/>
            <w:rtl/>
          </w:rPr>
          <w:t>רבינו גרשום כריתות ט"ו ע"א ד"ה הכא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Toc163505527 \h</w:instrText>
        </w:r>
        <w:r>
          <w:rPr>
            <w:webHidden/>
            <w:rtl/>
          </w:rPr>
          <w:instrText xml:space="preserve"> </w:instrText>
        </w:r>
        <w:r>
          <w:rPr>
            <w:rStyle w:val="Hyperlink"/>
            <w:rtl/>
          </w:rPr>
        </w:r>
        <w:r>
          <w:rPr>
            <w:rStyle w:val="Hyperlink"/>
            <w:rtl/>
          </w:rPr>
          <w:fldChar w:fldCharType="separate"/>
        </w:r>
        <w:r w:rsidR="00D82181">
          <w:rPr>
            <w:webHidden/>
            <w:rtl/>
          </w:rPr>
          <w:t>45</w:t>
        </w:r>
        <w:r>
          <w:rPr>
            <w:rStyle w:val="Hyperlink"/>
            <w:rtl/>
          </w:rPr>
          <w:fldChar w:fldCharType="end"/>
        </w:r>
      </w:hyperlink>
    </w:p>
    <w:p w14:paraId="0D001A8A" w14:textId="16F77057" w:rsidR="008009AA" w:rsidRDefault="008009AA">
      <w:pPr>
        <w:pStyle w:val="TOC7"/>
        <w:rPr>
          <w:rFonts w:cstheme="minorBidi"/>
          <w:sz w:val="22"/>
          <w:szCs w:val="22"/>
          <w:rtl/>
        </w:rPr>
      </w:pPr>
      <w:hyperlink w:anchor="_Toc163505528" w:history="1">
        <w:r w:rsidRPr="007246E7">
          <w:rPr>
            <w:rStyle w:val="Hyperlink"/>
            <w:rtl/>
          </w:rPr>
          <w:t>רמב"ם שבת פ"ז ה"ד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Toc163505528 \h</w:instrText>
        </w:r>
        <w:r>
          <w:rPr>
            <w:webHidden/>
            <w:rtl/>
          </w:rPr>
          <w:instrText xml:space="preserve"> </w:instrText>
        </w:r>
        <w:r>
          <w:rPr>
            <w:rStyle w:val="Hyperlink"/>
            <w:rtl/>
          </w:rPr>
        </w:r>
        <w:r>
          <w:rPr>
            <w:rStyle w:val="Hyperlink"/>
            <w:rtl/>
          </w:rPr>
          <w:fldChar w:fldCharType="separate"/>
        </w:r>
        <w:r w:rsidR="00D82181">
          <w:rPr>
            <w:webHidden/>
            <w:rtl/>
          </w:rPr>
          <w:t>45</w:t>
        </w:r>
        <w:r>
          <w:rPr>
            <w:rStyle w:val="Hyperlink"/>
            <w:rtl/>
          </w:rPr>
          <w:fldChar w:fldCharType="end"/>
        </w:r>
      </w:hyperlink>
    </w:p>
    <w:p w14:paraId="5806C7EB" w14:textId="0C0CA931" w:rsidR="008009AA" w:rsidRDefault="008009AA">
      <w:pPr>
        <w:pStyle w:val="TOC7"/>
        <w:rPr>
          <w:rFonts w:cstheme="minorBidi"/>
          <w:sz w:val="22"/>
          <w:szCs w:val="22"/>
          <w:rtl/>
        </w:rPr>
      </w:pPr>
      <w:hyperlink w:anchor="_Toc163505529" w:history="1">
        <w:r w:rsidRPr="007246E7">
          <w:rPr>
            <w:rStyle w:val="Hyperlink"/>
            <w:rtl/>
          </w:rPr>
          <w:t>רמב"ם שבת פ"ח ה"ג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Toc163505529 \h</w:instrText>
        </w:r>
        <w:r>
          <w:rPr>
            <w:webHidden/>
            <w:rtl/>
          </w:rPr>
          <w:instrText xml:space="preserve"> </w:instrText>
        </w:r>
        <w:r>
          <w:rPr>
            <w:rStyle w:val="Hyperlink"/>
            <w:rtl/>
          </w:rPr>
        </w:r>
        <w:r>
          <w:rPr>
            <w:rStyle w:val="Hyperlink"/>
            <w:rtl/>
          </w:rPr>
          <w:fldChar w:fldCharType="separate"/>
        </w:r>
        <w:r w:rsidR="00D82181">
          <w:rPr>
            <w:webHidden/>
            <w:rtl/>
          </w:rPr>
          <w:t>45</w:t>
        </w:r>
        <w:r>
          <w:rPr>
            <w:rStyle w:val="Hyperlink"/>
            <w:rtl/>
          </w:rPr>
          <w:fldChar w:fldCharType="end"/>
        </w:r>
      </w:hyperlink>
    </w:p>
    <w:p w14:paraId="17306D85" w14:textId="512D0029" w:rsidR="008009AA" w:rsidRDefault="008009AA">
      <w:pPr>
        <w:pStyle w:val="TOC7"/>
        <w:rPr>
          <w:rFonts w:cstheme="minorBidi"/>
          <w:sz w:val="22"/>
          <w:szCs w:val="22"/>
          <w:rtl/>
        </w:rPr>
      </w:pPr>
      <w:hyperlink w:anchor="_Toc163505530" w:history="1">
        <w:r w:rsidRPr="007246E7">
          <w:rPr>
            <w:rStyle w:val="Hyperlink"/>
            <w:rtl/>
          </w:rPr>
          <w:t>לחם משנה שבת פ"ח ה"ג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Toc163505530 \h</w:instrText>
        </w:r>
        <w:r>
          <w:rPr>
            <w:webHidden/>
            <w:rtl/>
          </w:rPr>
          <w:instrText xml:space="preserve"> </w:instrText>
        </w:r>
        <w:r>
          <w:rPr>
            <w:rStyle w:val="Hyperlink"/>
            <w:rtl/>
          </w:rPr>
        </w:r>
        <w:r>
          <w:rPr>
            <w:rStyle w:val="Hyperlink"/>
            <w:rtl/>
          </w:rPr>
          <w:fldChar w:fldCharType="separate"/>
        </w:r>
        <w:r w:rsidR="00D82181">
          <w:rPr>
            <w:webHidden/>
            <w:rtl/>
          </w:rPr>
          <w:t>45</w:t>
        </w:r>
        <w:r>
          <w:rPr>
            <w:rStyle w:val="Hyperlink"/>
            <w:rtl/>
          </w:rPr>
          <w:fldChar w:fldCharType="end"/>
        </w:r>
      </w:hyperlink>
    </w:p>
    <w:p w14:paraId="37E6576A" w14:textId="3B73BD4D" w:rsidR="008009AA" w:rsidRDefault="008009AA">
      <w:pPr>
        <w:pStyle w:val="TOC7"/>
        <w:rPr>
          <w:rFonts w:cstheme="minorBidi"/>
          <w:sz w:val="22"/>
          <w:szCs w:val="22"/>
          <w:rtl/>
        </w:rPr>
      </w:pPr>
      <w:hyperlink w:anchor="_Toc163505531" w:history="1">
        <w:r w:rsidRPr="007246E7">
          <w:rPr>
            <w:rStyle w:val="Hyperlink"/>
            <w:rtl/>
          </w:rPr>
          <w:t>פירוש המשנה לרמב"ם מסכת שבת פ"ז מ"ב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Toc163505531 \h</w:instrText>
        </w:r>
        <w:r>
          <w:rPr>
            <w:webHidden/>
            <w:rtl/>
          </w:rPr>
          <w:instrText xml:space="preserve"> </w:instrText>
        </w:r>
        <w:r>
          <w:rPr>
            <w:rStyle w:val="Hyperlink"/>
            <w:rtl/>
          </w:rPr>
        </w:r>
        <w:r>
          <w:rPr>
            <w:rStyle w:val="Hyperlink"/>
            <w:rtl/>
          </w:rPr>
          <w:fldChar w:fldCharType="separate"/>
        </w:r>
        <w:r w:rsidR="00D82181">
          <w:rPr>
            <w:webHidden/>
            <w:rtl/>
          </w:rPr>
          <w:t>45</w:t>
        </w:r>
        <w:r>
          <w:rPr>
            <w:rStyle w:val="Hyperlink"/>
            <w:rtl/>
          </w:rPr>
          <w:fldChar w:fldCharType="end"/>
        </w:r>
      </w:hyperlink>
    </w:p>
    <w:p w14:paraId="1AB45E05" w14:textId="3461C1E6" w:rsidR="008009AA" w:rsidRDefault="008009AA">
      <w:pPr>
        <w:pStyle w:val="TOC7"/>
        <w:rPr>
          <w:rFonts w:cstheme="minorBidi"/>
          <w:sz w:val="22"/>
          <w:szCs w:val="22"/>
          <w:rtl/>
        </w:rPr>
      </w:pPr>
      <w:hyperlink w:anchor="_Toc163505532" w:history="1">
        <w:r w:rsidRPr="007246E7">
          <w:rPr>
            <w:rStyle w:val="Hyperlink"/>
            <w:rtl/>
          </w:rPr>
          <w:t>מאירי שבת ע"ג ע"א ד"ה א' הזורע</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Toc163505532 \h</w:instrText>
        </w:r>
        <w:r>
          <w:rPr>
            <w:webHidden/>
            <w:rtl/>
          </w:rPr>
          <w:instrText xml:space="preserve"> </w:instrText>
        </w:r>
        <w:r>
          <w:rPr>
            <w:rStyle w:val="Hyperlink"/>
            <w:rtl/>
          </w:rPr>
        </w:r>
        <w:r>
          <w:rPr>
            <w:rStyle w:val="Hyperlink"/>
            <w:rtl/>
          </w:rPr>
          <w:fldChar w:fldCharType="separate"/>
        </w:r>
        <w:r w:rsidR="00D82181">
          <w:rPr>
            <w:webHidden/>
            <w:rtl/>
          </w:rPr>
          <w:t>45</w:t>
        </w:r>
        <w:r>
          <w:rPr>
            <w:rStyle w:val="Hyperlink"/>
            <w:rtl/>
          </w:rPr>
          <w:fldChar w:fldCharType="end"/>
        </w:r>
      </w:hyperlink>
    </w:p>
    <w:p w14:paraId="1487977F" w14:textId="4DA0FE14" w:rsidR="008009AA" w:rsidRDefault="008009AA">
      <w:pPr>
        <w:pStyle w:val="TOC7"/>
        <w:rPr>
          <w:rFonts w:cstheme="minorBidi"/>
          <w:sz w:val="22"/>
          <w:szCs w:val="22"/>
          <w:rtl/>
        </w:rPr>
      </w:pPr>
      <w:hyperlink w:anchor="_Toc163505533" w:history="1">
        <w:r w:rsidRPr="007246E7">
          <w:rPr>
            <w:rStyle w:val="Hyperlink"/>
            <w:rtl/>
          </w:rPr>
          <w:t>יראים סי' רעד ד"ה הקוצר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Toc163505533 \h</w:instrText>
        </w:r>
        <w:r>
          <w:rPr>
            <w:webHidden/>
            <w:rtl/>
          </w:rPr>
          <w:instrText xml:space="preserve"> </w:instrText>
        </w:r>
        <w:r>
          <w:rPr>
            <w:rStyle w:val="Hyperlink"/>
            <w:rtl/>
          </w:rPr>
        </w:r>
        <w:r>
          <w:rPr>
            <w:rStyle w:val="Hyperlink"/>
            <w:rtl/>
          </w:rPr>
          <w:fldChar w:fldCharType="separate"/>
        </w:r>
        <w:r w:rsidR="00D82181">
          <w:rPr>
            <w:webHidden/>
            <w:rtl/>
          </w:rPr>
          <w:t>45</w:t>
        </w:r>
        <w:r>
          <w:rPr>
            <w:rStyle w:val="Hyperlink"/>
            <w:rtl/>
          </w:rPr>
          <w:fldChar w:fldCharType="end"/>
        </w:r>
      </w:hyperlink>
    </w:p>
    <w:p w14:paraId="30CBA706" w14:textId="19B70ED7" w:rsidR="008009AA" w:rsidRDefault="008009AA">
      <w:pPr>
        <w:pStyle w:val="TOC7"/>
        <w:rPr>
          <w:rFonts w:cstheme="minorBidi"/>
          <w:sz w:val="22"/>
          <w:szCs w:val="22"/>
          <w:rtl/>
        </w:rPr>
      </w:pPr>
      <w:hyperlink w:anchor="_Toc163505534" w:history="1">
        <w:r w:rsidRPr="007246E7">
          <w:rPr>
            <w:rStyle w:val="Hyperlink"/>
            <w:rtl/>
          </w:rPr>
          <w:t>כסף משנה שבת פ"ז ה"ב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Toc163505534 \h</w:instrText>
        </w:r>
        <w:r>
          <w:rPr>
            <w:webHidden/>
            <w:rtl/>
          </w:rPr>
          <w:instrText xml:space="preserve"> </w:instrText>
        </w:r>
        <w:r>
          <w:rPr>
            <w:rStyle w:val="Hyperlink"/>
            <w:rtl/>
          </w:rPr>
        </w:r>
        <w:r>
          <w:rPr>
            <w:rStyle w:val="Hyperlink"/>
            <w:rtl/>
          </w:rPr>
          <w:fldChar w:fldCharType="separate"/>
        </w:r>
        <w:r w:rsidR="00D82181">
          <w:rPr>
            <w:webHidden/>
            <w:rtl/>
          </w:rPr>
          <w:t>45</w:t>
        </w:r>
        <w:r>
          <w:rPr>
            <w:rStyle w:val="Hyperlink"/>
            <w:rtl/>
          </w:rPr>
          <w:fldChar w:fldCharType="end"/>
        </w:r>
      </w:hyperlink>
    </w:p>
    <w:p w14:paraId="0FD35A63" w14:textId="6CE5289E" w:rsidR="008009AA" w:rsidRDefault="008009AA">
      <w:pPr>
        <w:pStyle w:val="TOC7"/>
        <w:rPr>
          <w:rFonts w:cstheme="minorBidi"/>
          <w:sz w:val="22"/>
          <w:szCs w:val="22"/>
          <w:rtl/>
        </w:rPr>
      </w:pPr>
      <w:hyperlink w:anchor="_Toc163505535" w:history="1">
        <w:r w:rsidRPr="007246E7">
          <w:rPr>
            <w:rStyle w:val="Hyperlink"/>
            <w:rtl/>
          </w:rPr>
          <w:t>אור שמח שבת פ"ז ה"ד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Toc163505535 \h</w:instrText>
        </w:r>
        <w:r>
          <w:rPr>
            <w:webHidden/>
            <w:rtl/>
          </w:rPr>
          <w:instrText xml:space="preserve"> </w:instrText>
        </w:r>
        <w:r>
          <w:rPr>
            <w:rStyle w:val="Hyperlink"/>
            <w:rtl/>
          </w:rPr>
        </w:r>
        <w:r>
          <w:rPr>
            <w:rStyle w:val="Hyperlink"/>
            <w:rtl/>
          </w:rPr>
          <w:fldChar w:fldCharType="separate"/>
        </w:r>
        <w:r w:rsidR="00D82181">
          <w:rPr>
            <w:webHidden/>
            <w:rtl/>
          </w:rPr>
          <w:t>46</w:t>
        </w:r>
        <w:r>
          <w:rPr>
            <w:rStyle w:val="Hyperlink"/>
            <w:rtl/>
          </w:rPr>
          <w:fldChar w:fldCharType="end"/>
        </w:r>
      </w:hyperlink>
    </w:p>
    <w:p w14:paraId="3A3F4D33" w14:textId="6E939262" w:rsidR="008009AA" w:rsidRDefault="008009AA">
      <w:pPr>
        <w:pStyle w:val="TOC7"/>
        <w:rPr>
          <w:rFonts w:cstheme="minorBidi"/>
          <w:sz w:val="22"/>
          <w:szCs w:val="22"/>
          <w:rtl/>
        </w:rPr>
      </w:pPr>
      <w:hyperlink w:anchor="_Toc163505536" w:history="1">
        <w:r w:rsidRPr="007246E7">
          <w:rPr>
            <w:rStyle w:val="Hyperlink"/>
            <w:rtl/>
          </w:rPr>
          <w:t>אור זרוע ח"ב הלכות שבת סימן נו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Toc163505536 \h</w:instrText>
        </w:r>
        <w:r>
          <w:rPr>
            <w:webHidden/>
            <w:rtl/>
          </w:rPr>
          <w:instrText xml:space="preserve"> </w:instrText>
        </w:r>
        <w:r>
          <w:rPr>
            <w:rStyle w:val="Hyperlink"/>
            <w:rtl/>
          </w:rPr>
        </w:r>
        <w:r>
          <w:rPr>
            <w:rStyle w:val="Hyperlink"/>
            <w:rtl/>
          </w:rPr>
          <w:fldChar w:fldCharType="separate"/>
        </w:r>
        <w:r w:rsidR="00D82181">
          <w:rPr>
            <w:webHidden/>
            <w:rtl/>
          </w:rPr>
          <w:t>46</w:t>
        </w:r>
        <w:r>
          <w:rPr>
            <w:rStyle w:val="Hyperlink"/>
            <w:rtl/>
          </w:rPr>
          <w:fldChar w:fldCharType="end"/>
        </w:r>
      </w:hyperlink>
    </w:p>
    <w:p w14:paraId="29817113" w14:textId="4180154E" w:rsidR="008009AA" w:rsidRDefault="008009AA">
      <w:pPr>
        <w:pStyle w:val="TOC7"/>
        <w:rPr>
          <w:rFonts w:cstheme="minorBidi"/>
          <w:sz w:val="22"/>
          <w:szCs w:val="22"/>
          <w:rtl/>
        </w:rPr>
      </w:pPr>
      <w:hyperlink w:anchor="_Toc163505537" w:history="1">
        <w:r w:rsidRPr="007246E7">
          <w:rPr>
            <w:rStyle w:val="Hyperlink"/>
            <w:rtl/>
          </w:rPr>
          <w:t>חדושי הר"ן - מיוחס לו שבת ע"ג ע"ב ד"ה תנא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Toc163505537 \h</w:instrText>
        </w:r>
        <w:r>
          <w:rPr>
            <w:webHidden/>
            <w:rtl/>
          </w:rPr>
          <w:instrText xml:space="preserve"> </w:instrText>
        </w:r>
        <w:r>
          <w:rPr>
            <w:rStyle w:val="Hyperlink"/>
            <w:rtl/>
          </w:rPr>
        </w:r>
        <w:r>
          <w:rPr>
            <w:rStyle w:val="Hyperlink"/>
            <w:rtl/>
          </w:rPr>
          <w:fldChar w:fldCharType="separate"/>
        </w:r>
        <w:r w:rsidR="00D82181">
          <w:rPr>
            <w:webHidden/>
            <w:rtl/>
          </w:rPr>
          <w:t>46</w:t>
        </w:r>
        <w:r>
          <w:rPr>
            <w:rStyle w:val="Hyperlink"/>
            <w:rtl/>
          </w:rPr>
          <w:fldChar w:fldCharType="end"/>
        </w:r>
      </w:hyperlink>
    </w:p>
    <w:p w14:paraId="65DBADAF" w14:textId="418DB7DF" w:rsidR="008009AA" w:rsidRDefault="008009AA">
      <w:pPr>
        <w:pStyle w:val="TOC7"/>
        <w:rPr>
          <w:rFonts w:cstheme="minorBidi"/>
          <w:sz w:val="22"/>
          <w:szCs w:val="22"/>
          <w:rtl/>
        </w:rPr>
      </w:pPr>
      <w:hyperlink w:anchor="_Toc163505538" w:history="1">
        <w:r w:rsidRPr="007246E7">
          <w:rPr>
            <w:rStyle w:val="Hyperlink"/>
            <w:rtl/>
          </w:rPr>
          <w:t>רבינו יהונתן מלוניל ד"ה הקוצר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Toc163505538 \h</w:instrText>
        </w:r>
        <w:r>
          <w:rPr>
            <w:webHidden/>
            <w:rtl/>
          </w:rPr>
          <w:instrText xml:space="preserve"> </w:instrText>
        </w:r>
        <w:r>
          <w:rPr>
            <w:rStyle w:val="Hyperlink"/>
            <w:rtl/>
          </w:rPr>
        </w:r>
        <w:r>
          <w:rPr>
            <w:rStyle w:val="Hyperlink"/>
            <w:rtl/>
          </w:rPr>
          <w:fldChar w:fldCharType="separate"/>
        </w:r>
        <w:r w:rsidR="00D82181">
          <w:rPr>
            <w:webHidden/>
            <w:rtl/>
          </w:rPr>
          <w:t>46</w:t>
        </w:r>
        <w:r>
          <w:rPr>
            <w:rStyle w:val="Hyperlink"/>
            <w:rtl/>
          </w:rPr>
          <w:fldChar w:fldCharType="end"/>
        </w:r>
      </w:hyperlink>
    </w:p>
    <w:p w14:paraId="37A2ECDD" w14:textId="79124FC5" w:rsidR="008009AA" w:rsidRDefault="008009AA">
      <w:pPr>
        <w:pStyle w:val="TOC7"/>
        <w:rPr>
          <w:rFonts w:cstheme="minorBidi"/>
          <w:sz w:val="22"/>
          <w:szCs w:val="22"/>
          <w:rtl/>
        </w:rPr>
      </w:pPr>
      <w:hyperlink w:anchor="_Toc163505539" w:history="1">
        <w:r w:rsidRPr="007246E7">
          <w:rPr>
            <w:rStyle w:val="Hyperlink"/>
            <w:rtl/>
          </w:rPr>
          <w:t>אגלי טל קוצר אות א, סק"ב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Toc163505539 \h</w:instrText>
        </w:r>
        <w:r>
          <w:rPr>
            <w:webHidden/>
            <w:rtl/>
          </w:rPr>
          <w:instrText xml:space="preserve"> </w:instrText>
        </w:r>
        <w:r>
          <w:rPr>
            <w:rStyle w:val="Hyperlink"/>
            <w:rtl/>
          </w:rPr>
        </w:r>
        <w:r>
          <w:rPr>
            <w:rStyle w:val="Hyperlink"/>
            <w:rtl/>
          </w:rPr>
          <w:fldChar w:fldCharType="separate"/>
        </w:r>
        <w:r w:rsidR="00D82181">
          <w:rPr>
            <w:webHidden/>
            <w:rtl/>
          </w:rPr>
          <w:t>46</w:t>
        </w:r>
        <w:r>
          <w:rPr>
            <w:rStyle w:val="Hyperlink"/>
            <w:rtl/>
          </w:rPr>
          <w:fldChar w:fldCharType="end"/>
        </w:r>
      </w:hyperlink>
    </w:p>
    <w:p w14:paraId="0065AF68" w14:textId="4F38A1DD" w:rsidR="008009AA" w:rsidRDefault="008009AA">
      <w:pPr>
        <w:pStyle w:val="TOC7"/>
        <w:rPr>
          <w:rFonts w:cstheme="minorBidi"/>
          <w:sz w:val="22"/>
          <w:szCs w:val="22"/>
          <w:rtl/>
        </w:rPr>
      </w:pPr>
      <w:hyperlink w:anchor="_Toc163505540" w:history="1">
        <w:r w:rsidRPr="007246E7">
          <w:rPr>
            <w:rStyle w:val="Hyperlink"/>
            <w:rtl/>
          </w:rPr>
          <w:t>אגלי טל קוצר אות א, סק"ג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Toc163505540 \h</w:instrText>
        </w:r>
        <w:r>
          <w:rPr>
            <w:webHidden/>
            <w:rtl/>
          </w:rPr>
          <w:instrText xml:space="preserve"> </w:instrText>
        </w:r>
        <w:r>
          <w:rPr>
            <w:rStyle w:val="Hyperlink"/>
            <w:rtl/>
          </w:rPr>
        </w:r>
        <w:r>
          <w:rPr>
            <w:rStyle w:val="Hyperlink"/>
            <w:rtl/>
          </w:rPr>
          <w:fldChar w:fldCharType="separate"/>
        </w:r>
        <w:r w:rsidR="00D82181">
          <w:rPr>
            <w:webHidden/>
            <w:rtl/>
          </w:rPr>
          <w:t>46</w:t>
        </w:r>
        <w:r>
          <w:rPr>
            <w:rStyle w:val="Hyperlink"/>
            <w:rtl/>
          </w:rPr>
          <w:fldChar w:fldCharType="end"/>
        </w:r>
      </w:hyperlink>
    </w:p>
    <w:p w14:paraId="5806E971" w14:textId="6EE53E6C" w:rsidR="008009AA" w:rsidRDefault="008009AA">
      <w:pPr>
        <w:pStyle w:val="TOC7"/>
        <w:rPr>
          <w:rFonts w:cstheme="minorBidi"/>
          <w:sz w:val="22"/>
          <w:szCs w:val="22"/>
          <w:rtl/>
        </w:rPr>
      </w:pPr>
      <w:hyperlink w:anchor="_Toc163505541" w:history="1">
        <w:r w:rsidRPr="007246E7">
          <w:rPr>
            <w:rStyle w:val="Hyperlink"/>
            <w:rtl/>
          </w:rPr>
          <w:t>אגלי טל באורים קוצר סק"ד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Toc163505541 \h</w:instrText>
        </w:r>
        <w:r>
          <w:rPr>
            <w:webHidden/>
            <w:rtl/>
          </w:rPr>
          <w:instrText xml:space="preserve"> </w:instrText>
        </w:r>
        <w:r>
          <w:rPr>
            <w:rStyle w:val="Hyperlink"/>
            <w:rtl/>
          </w:rPr>
        </w:r>
        <w:r>
          <w:rPr>
            <w:rStyle w:val="Hyperlink"/>
            <w:rtl/>
          </w:rPr>
          <w:fldChar w:fldCharType="separate"/>
        </w:r>
        <w:r w:rsidR="00D82181">
          <w:rPr>
            <w:webHidden/>
            <w:rtl/>
          </w:rPr>
          <w:t>46</w:t>
        </w:r>
        <w:r>
          <w:rPr>
            <w:rStyle w:val="Hyperlink"/>
            <w:rtl/>
          </w:rPr>
          <w:fldChar w:fldCharType="end"/>
        </w:r>
      </w:hyperlink>
    </w:p>
    <w:p w14:paraId="1C368AE4" w14:textId="5D023505" w:rsidR="008009AA" w:rsidRDefault="008009AA">
      <w:pPr>
        <w:pStyle w:val="TOC7"/>
        <w:rPr>
          <w:rFonts w:cstheme="minorBidi"/>
          <w:sz w:val="22"/>
          <w:szCs w:val="22"/>
          <w:rtl/>
        </w:rPr>
      </w:pPr>
      <w:hyperlink w:anchor="_Toc163505542" w:history="1">
        <w:r w:rsidRPr="007246E7">
          <w:rPr>
            <w:rStyle w:val="Hyperlink"/>
            <w:rtl/>
          </w:rPr>
          <w:t>חדושי הרמב"ן שבת ק"ז ע"ב ד"ה הא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Toc163505542 \h</w:instrText>
        </w:r>
        <w:r>
          <w:rPr>
            <w:webHidden/>
            <w:rtl/>
          </w:rPr>
          <w:instrText xml:space="preserve"> </w:instrText>
        </w:r>
        <w:r>
          <w:rPr>
            <w:rStyle w:val="Hyperlink"/>
            <w:rtl/>
          </w:rPr>
        </w:r>
        <w:r>
          <w:rPr>
            <w:rStyle w:val="Hyperlink"/>
            <w:rtl/>
          </w:rPr>
          <w:fldChar w:fldCharType="separate"/>
        </w:r>
        <w:r w:rsidR="00D82181">
          <w:rPr>
            <w:webHidden/>
            <w:rtl/>
          </w:rPr>
          <w:t>47</w:t>
        </w:r>
        <w:r>
          <w:rPr>
            <w:rStyle w:val="Hyperlink"/>
            <w:rtl/>
          </w:rPr>
          <w:fldChar w:fldCharType="end"/>
        </w:r>
      </w:hyperlink>
    </w:p>
    <w:p w14:paraId="737B11D6" w14:textId="2AD68098" w:rsidR="008009AA" w:rsidRDefault="008009AA">
      <w:pPr>
        <w:pStyle w:val="TOC7"/>
        <w:rPr>
          <w:rFonts w:cstheme="minorBidi"/>
          <w:sz w:val="22"/>
          <w:szCs w:val="22"/>
          <w:rtl/>
        </w:rPr>
      </w:pPr>
      <w:hyperlink w:anchor="_Toc163505543" w:history="1">
        <w:r w:rsidRPr="007246E7">
          <w:rPr>
            <w:rStyle w:val="Hyperlink"/>
            <w:rtl/>
          </w:rPr>
          <w:t>רמב"ם שבת פי"א ה"א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Toc163505543 \h</w:instrText>
        </w:r>
        <w:r>
          <w:rPr>
            <w:webHidden/>
            <w:rtl/>
          </w:rPr>
          <w:instrText xml:space="preserve"> </w:instrText>
        </w:r>
        <w:r>
          <w:rPr>
            <w:rStyle w:val="Hyperlink"/>
            <w:rtl/>
          </w:rPr>
        </w:r>
        <w:r>
          <w:rPr>
            <w:rStyle w:val="Hyperlink"/>
            <w:rtl/>
          </w:rPr>
          <w:fldChar w:fldCharType="separate"/>
        </w:r>
        <w:r w:rsidR="00D82181">
          <w:rPr>
            <w:webHidden/>
            <w:rtl/>
          </w:rPr>
          <w:t>47</w:t>
        </w:r>
        <w:r>
          <w:rPr>
            <w:rStyle w:val="Hyperlink"/>
            <w:rtl/>
          </w:rPr>
          <w:fldChar w:fldCharType="end"/>
        </w:r>
      </w:hyperlink>
    </w:p>
    <w:p w14:paraId="536823BF" w14:textId="3FF94C50" w:rsidR="008009AA" w:rsidRDefault="008009AA">
      <w:pPr>
        <w:pStyle w:val="TOC7"/>
        <w:rPr>
          <w:rFonts w:cstheme="minorBidi"/>
          <w:sz w:val="22"/>
          <w:szCs w:val="22"/>
          <w:rtl/>
        </w:rPr>
      </w:pPr>
      <w:hyperlink w:anchor="_Toc163505544" w:history="1">
        <w:r w:rsidRPr="007246E7">
          <w:rPr>
            <w:rStyle w:val="Hyperlink"/>
            <w:rtl/>
          </w:rPr>
          <w:t>רמב"ן הלכות בכורות פ"ג יח ע"א אות מ'</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Toc163505544 \h</w:instrText>
        </w:r>
        <w:r>
          <w:rPr>
            <w:webHidden/>
            <w:rtl/>
          </w:rPr>
          <w:instrText xml:space="preserve"> </w:instrText>
        </w:r>
        <w:r>
          <w:rPr>
            <w:rStyle w:val="Hyperlink"/>
            <w:rtl/>
          </w:rPr>
        </w:r>
        <w:r>
          <w:rPr>
            <w:rStyle w:val="Hyperlink"/>
            <w:rtl/>
          </w:rPr>
          <w:fldChar w:fldCharType="separate"/>
        </w:r>
        <w:r w:rsidR="00D82181">
          <w:rPr>
            <w:webHidden/>
            <w:rtl/>
          </w:rPr>
          <w:t>47</w:t>
        </w:r>
        <w:r>
          <w:rPr>
            <w:rStyle w:val="Hyperlink"/>
            <w:rtl/>
          </w:rPr>
          <w:fldChar w:fldCharType="end"/>
        </w:r>
      </w:hyperlink>
    </w:p>
    <w:p w14:paraId="5D302A88" w14:textId="1BDB12BD" w:rsidR="008009AA" w:rsidRDefault="008009AA">
      <w:pPr>
        <w:pStyle w:val="TOC7"/>
        <w:rPr>
          <w:rFonts w:cstheme="minorBidi"/>
          <w:sz w:val="22"/>
          <w:szCs w:val="22"/>
          <w:rtl/>
        </w:rPr>
      </w:pPr>
      <w:hyperlink w:anchor="_Toc163505545" w:history="1">
        <w:r w:rsidRPr="007246E7">
          <w:rPr>
            <w:rStyle w:val="Hyperlink"/>
            <w:rtl/>
          </w:rPr>
          <w:t>חדושי הרמב"ן שבת צ"ה ע"א ד"ה חולב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Toc163505545 \h</w:instrText>
        </w:r>
        <w:r>
          <w:rPr>
            <w:webHidden/>
            <w:rtl/>
          </w:rPr>
          <w:instrText xml:space="preserve"> </w:instrText>
        </w:r>
        <w:r>
          <w:rPr>
            <w:rStyle w:val="Hyperlink"/>
            <w:rtl/>
          </w:rPr>
        </w:r>
        <w:r>
          <w:rPr>
            <w:rStyle w:val="Hyperlink"/>
            <w:rtl/>
          </w:rPr>
          <w:fldChar w:fldCharType="separate"/>
        </w:r>
        <w:r w:rsidR="00D82181">
          <w:rPr>
            <w:webHidden/>
            <w:rtl/>
          </w:rPr>
          <w:t>47</w:t>
        </w:r>
        <w:r>
          <w:rPr>
            <w:rStyle w:val="Hyperlink"/>
            <w:rtl/>
          </w:rPr>
          <w:fldChar w:fldCharType="end"/>
        </w:r>
      </w:hyperlink>
    </w:p>
    <w:p w14:paraId="1BDC7C93" w14:textId="19CC3905" w:rsidR="008009AA" w:rsidRDefault="008009AA">
      <w:pPr>
        <w:pStyle w:val="TOC7"/>
        <w:rPr>
          <w:rFonts w:cstheme="minorBidi"/>
          <w:sz w:val="22"/>
          <w:szCs w:val="22"/>
          <w:rtl/>
        </w:rPr>
      </w:pPr>
      <w:hyperlink w:anchor="_Toc163505546" w:history="1">
        <w:r w:rsidRPr="007246E7">
          <w:rPr>
            <w:rStyle w:val="Hyperlink"/>
            <w:rtl/>
          </w:rPr>
          <w:t>מאירי שבת ק"ז ע"ב ד"ה הושיט</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Toc163505546 \h</w:instrText>
        </w:r>
        <w:r>
          <w:rPr>
            <w:webHidden/>
            <w:rtl/>
          </w:rPr>
          <w:instrText xml:space="preserve"> </w:instrText>
        </w:r>
        <w:r>
          <w:rPr>
            <w:rStyle w:val="Hyperlink"/>
            <w:rtl/>
          </w:rPr>
        </w:r>
        <w:r>
          <w:rPr>
            <w:rStyle w:val="Hyperlink"/>
            <w:rtl/>
          </w:rPr>
          <w:fldChar w:fldCharType="separate"/>
        </w:r>
        <w:r w:rsidR="00D82181">
          <w:rPr>
            <w:webHidden/>
            <w:rtl/>
          </w:rPr>
          <w:t>47</w:t>
        </w:r>
        <w:r>
          <w:rPr>
            <w:rStyle w:val="Hyperlink"/>
            <w:rtl/>
          </w:rPr>
          <w:fldChar w:fldCharType="end"/>
        </w:r>
      </w:hyperlink>
    </w:p>
    <w:p w14:paraId="74A3CCB8" w14:textId="7BB43FD7" w:rsidR="008009AA" w:rsidRDefault="008009AA">
      <w:pPr>
        <w:pStyle w:val="TOC7"/>
        <w:rPr>
          <w:rFonts w:cstheme="minorBidi"/>
          <w:sz w:val="22"/>
          <w:szCs w:val="22"/>
          <w:rtl/>
        </w:rPr>
      </w:pPr>
      <w:hyperlink w:anchor="_Toc163505547" w:history="1">
        <w:r w:rsidRPr="007246E7">
          <w:rPr>
            <w:rStyle w:val="Hyperlink"/>
            <w:rtl/>
          </w:rPr>
          <w:t>תוספות בכורות כ"ה ע"א ד"ה ואמר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Toc163505547 \h</w:instrText>
        </w:r>
        <w:r>
          <w:rPr>
            <w:webHidden/>
            <w:rtl/>
          </w:rPr>
          <w:instrText xml:space="preserve"> </w:instrText>
        </w:r>
        <w:r>
          <w:rPr>
            <w:rStyle w:val="Hyperlink"/>
            <w:rtl/>
          </w:rPr>
        </w:r>
        <w:r>
          <w:rPr>
            <w:rStyle w:val="Hyperlink"/>
            <w:rtl/>
          </w:rPr>
          <w:fldChar w:fldCharType="separate"/>
        </w:r>
        <w:r w:rsidR="00D82181">
          <w:rPr>
            <w:webHidden/>
            <w:rtl/>
          </w:rPr>
          <w:t>48</w:t>
        </w:r>
        <w:r>
          <w:rPr>
            <w:rStyle w:val="Hyperlink"/>
            <w:rtl/>
          </w:rPr>
          <w:fldChar w:fldCharType="end"/>
        </w:r>
      </w:hyperlink>
    </w:p>
    <w:p w14:paraId="4AF1AD53" w14:textId="616BFF13" w:rsidR="008009AA" w:rsidRDefault="008009AA">
      <w:pPr>
        <w:pStyle w:val="TOC7"/>
        <w:rPr>
          <w:rFonts w:cstheme="minorBidi"/>
          <w:sz w:val="22"/>
          <w:szCs w:val="22"/>
          <w:rtl/>
        </w:rPr>
      </w:pPr>
      <w:hyperlink w:anchor="_Toc163505548" w:history="1">
        <w:r w:rsidRPr="007246E7">
          <w:rPr>
            <w:rStyle w:val="Hyperlink"/>
            <w:rtl/>
          </w:rPr>
          <w:t>מנחת חינוך מוסך השבת הקוצר אות ב' ד"ה וצרור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Toc163505548 \h</w:instrText>
        </w:r>
        <w:r>
          <w:rPr>
            <w:webHidden/>
            <w:rtl/>
          </w:rPr>
          <w:instrText xml:space="preserve"> </w:instrText>
        </w:r>
        <w:r>
          <w:rPr>
            <w:rStyle w:val="Hyperlink"/>
            <w:rtl/>
          </w:rPr>
        </w:r>
        <w:r>
          <w:rPr>
            <w:rStyle w:val="Hyperlink"/>
            <w:rtl/>
          </w:rPr>
          <w:fldChar w:fldCharType="separate"/>
        </w:r>
        <w:r w:rsidR="00D82181">
          <w:rPr>
            <w:webHidden/>
            <w:rtl/>
          </w:rPr>
          <w:t>48</w:t>
        </w:r>
        <w:r>
          <w:rPr>
            <w:rStyle w:val="Hyperlink"/>
            <w:rtl/>
          </w:rPr>
          <w:fldChar w:fldCharType="end"/>
        </w:r>
      </w:hyperlink>
    </w:p>
    <w:p w14:paraId="34931402" w14:textId="3E264DE5" w:rsidR="008009AA" w:rsidRDefault="008009AA">
      <w:pPr>
        <w:pStyle w:val="TOC7"/>
        <w:rPr>
          <w:rFonts w:cstheme="minorBidi"/>
          <w:sz w:val="22"/>
          <w:szCs w:val="22"/>
          <w:rtl/>
        </w:rPr>
      </w:pPr>
      <w:hyperlink w:anchor="_Toc163505549" w:history="1">
        <w:r w:rsidRPr="007246E7">
          <w:rPr>
            <w:rStyle w:val="Hyperlink"/>
            <w:rtl/>
          </w:rPr>
          <w:t>תוספות רי"ד שבת ק"ז ע"ב ד"ה הכא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Toc163505549 \h</w:instrText>
        </w:r>
        <w:r>
          <w:rPr>
            <w:webHidden/>
            <w:rtl/>
          </w:rPr>
          <w:instrText xml:space="preserve"> </w:instrText>
        </w:r>
        <w:r>
          <w:rPr>
            <w:rStyle w:val="Hyperlink"/>
            <w:rtl/>
          </w:rPr>
        </w:r>
        <w:r>
          <w:rPr>
            <w:rStyle w:val="Hyperlink"/>
            <w:rtl/>
          </w:rPr>
          <w:fldChar w:fldCharType="separate"/>
        </w:r>
        <w:r w:rsidR="00D82181">
          <w:rPr>
            <w:webHidden/>
            <w:rtl/>
          </w:rPr>
          <w:t>48</w:t>
        </w:r>
        <w:r>
          <w:rPr>
            <w:rStyle w:val="Hyperlink"/>
            <w:rtl/>
          </w:rPr>
          <w:fldChar w:fldCharType="end"/>
        </w:r>
      </w:hyperlink>
    </w:p>
    <w:p w14:paraId="097355D0" w14:textId="006D04DE" w:rsidR="008009AA" w:rsidRDefault="008009AA">
      <w:pPr>
        <w:pStyle w:val="TOC7"/>
        <w:rPr>
          <w:rFonts w:cstheme="minorBidi"/>
          <w:sz w:val="22"/>
          <w:szCs w:val="22"/>
          <w:rtl/>
        </w:rPr>
      </w:pPr>
      <w:hyperlink w:anchor="_Toc163505550" w:history="1">
        <w:r w:rsidRPr="007246E7">
          <w:rPr>
            <w:rStyle w:val="Hyperlink"/>
            <w:rtl/>
          </w:rPr>
          <w:t>רש"י שבת פ"א ע"ב ד"ה מדריש לקיש, האי, שרי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Toc163505550 \h</w:instrText>
        </w:r>
        <w:r>
          <w:rPr>
            <w:webHidden/>
            <w:rtl/>
          </w:rPr>
          <w:instrText xml:space="preserve"> </w:instrText>
        </w:r>
        <w:r>
          <w:rPr>
            <w:rStyle w:val="Hyperlink"/>
            <w:rtl/>
          </w:rPr>
        </w:r>
        <w:r>
          <w:rPr>
            <w:rStyle w:val="Hyperlink"/>
            <w:rtl/>
          </w:rPr>
          <w:fldChar w:fldCharType="separate"/>
        </w:r>
        <w:r w:rsidR="00D82181">
          <w:rPr>
            <w:webHidden/>
            <w:rtl/>
          </w:rPr>
          <w:t>48</w:t>
        </w:r>
        <w:r>
          <w:rPr>
            <w:rStyle w:val="Hyperlink"/>
            <w:rtl/>
          </w:rPr>
          <w:fldChar w:fldCharType="end"/>
        </w:r>
      </w:hyperlink>
    </w:p>
    <w:p w14:paraId="28AFD22C" w14:textId="1C3D6C7F" w:rsidR="008009AA" w:rsidRDefault="008009AA">
      <w:pPr>
        <w:pStyle w:val="TOC7"/>
        <w:rPr>
          <w:rFonts w:cstheme="minorBidi"/>
          <w:sz w:val="22"/>
          <w:szCs w:val="22"/>
          <w:rtl/>
        </w:rPr>
      </w:pPr>
      <w:hyperlink w:anchor="_Toc163505551" w:history="1">
        <w:r w:rsidRPr="007246E7">
          <w:rPr>
            <w:rStyle w:val="Hyperlink"/>
            <w:rtl/>
          </w:rPr>
          <w:t>תוספות שבת פ"א ע"ב ד"ה והניחו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Toc163505551 \h</w:instrText>
        </w:r>
        <w:r>
          <w:rPr>
            <w:webHidden/>
            <w:rtl/>
          </w:rPr>
          <w:instrText xml:space="preserve"> </w:instrText>
        </w:r>
        <w:r>
          <w:rPr>
            <w:rStyle w:val="Hyperlink"/>
            <w:rtl/>
          </w:rPr>
        </w:r>
        <w:r>
          <w:rPr>
            <w:rStyle w:val="Hyperlink"/>
            <w:rtl/>
          </w:rPr>
          <w:fldChar w:fldCharType="separate"/>
        </w:r>
        <w:r w:rsidR="00D82181">
          <w:rPr>
            <w:webHidden/>
            <w:rtl/>
          </w:rPr>
          <w:t>49</w:t>
        </w:r>
        <w:r>
          <w:rPr>
            <w:rStyle w:val="Hyperlink"/>
            <w:rtl/>
          </w:rPr>
          <w:fldChar w:fldCharType="end"/>
        </w:r>
      </w:hyperlink>
    </w:p>
    <w:p w14:paraId="7C1EB201" w14:textId="4828E841" w:rsidR="008009AA" w:rsidRDefault="008009AA">
      <w:pPr>
        <w:pStyle w:val="TOC7"/>
        <w:rPr>
          <w:rFonts w:cstheme="minorBidi"/>
          <w:sz w:val="22"/>
          <w:szCs w:val="22"/>
          <w:rtl/>
        </w:rPr>
      </w:pPr>
      <w:hyperlink w:anchor="_Toc163505552" w:history="1">
        <w:r w:rsidRPr="007246E7">
          <w:rPr>
            <w:rStyle w:val="Hyperlink"/>
            <w:rtl/>
          </w:rPr>
          <w:t>חדושי הריטב"א שבת פ"א ע"ב ד"ה היה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Toc163505552 \h</w:instrText>
        </w:r>
        <w:r>
          <w:rPr>
            <w:webHidden/>
            <w:rtl/>
          </w:rPr>
          <w:instrText xml:space="preserve"> </w:instrText>
        </w:r>
        <w:r>
          <w:rPr>
            <w:rStyle w:val="Hyperlink"/>
            <w:rtl/>
          </w:rPr>
        </w:r>
        <w:r>
          <w:rPr>
            <w:rStyle w:val="Hyperlink"/>
            <w:rtl/>
          </w:rPr>
          <w:fldChar w:fldCharType="separate"/>
        </w:r>
        <w:r w:rsidR="00D82181">
          <w:rPr>
            <w:webHidden/>
            <w:rtl/>
          </w:rPr>
          <w:t>49</w:t>
        </w:r>
        <w:r>
          <w:rPr>
            <w:rStyle w:val="Hyperlink"/>
            <w:rtl/>
          </w:rPr>
          <w:fldChar w:fldCharType="end"/>
        </w:r>
      </w:hyperlink>
    </w:p>
    <w:p w14:paraId="409FD044" w14:textId="3F8DBD8A" w:rsidR="008009AA" w:rsidRDefault="008009AA">
      <w:pPr>
        <w:pStyle w:val="TOC7"/>
        <w:rPr>
          <w:rFonts w:cstheme="minorBidi"/>
          <w:sz w:val="22"/>
          <w:szCs w:val="22"/>
          <w:rtl/>
        </w:rPr>
      </w:pPr>
      <w:hyperlink w:anchor="_Toc163505553" w:history="1">
        <w:r w:rsidRPr="007246E7">
          <w:rPr>
            <w:rStyle w:val="Hyperlink"/>
            <w:rtl/>
          </w:rPr>
          <w:t>מאירי שבת פ"א ע"ב ד"ה זה שהתרנו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Toc163505553 \h</w:instrText>
        </w:r>
        <w:r>
          <w:rPr>
            <w:webHidden/>
            <w:rtl/>
          </w:rPr>
          <w:instrText xml:space="preserve"> </w:instrText>
        </w:r>
        <w:r>
          <w:rPr>
            <w:rStyle w:val="Hyperlink"/>
            <w:rtl/>
          </w:rPr>
        </w:r>
        <w:r>
          <w:rPr>
            <w:rStyle w:val="Hyperlink"/>
            <w:rtl/>
          </w:rPr>
          <w:fldChar w:fldCharType="separate"/>
        </w:r>
        <w:r w:rsidR="00D82181">
          <w:rPr>
            <w:webHidden/>
            <w:rtl/>
          </w:rPr>
          <w:t>49</w:t>
        </w:r>
        <w:r>
          <w:rPr>
            <w:rStyle w:val="Hyperlink"/>
            <w:rtl/>
          </w:rPr>
          <w:fldChar w:fldCharType="end"/>
        </w:r>
      </w:hyperlink>
    </w:p>
    <w:p w14:paraId="4E059CF0" w14:textId="7BC9EE52" w:rsidR="008009AA" w:rsidRDefault="008009AA">
      <w:pPr>
        <w:pStyle w:val="TOC7"/>
        <w:rPr>
          <w:rFonts w:cstheme="minorBidi"/>
          <w:sz w:val="22"/>
          <w:szCs w:val="22"/>
          <w:rtl/>
        </w:rPr>
      </w:pPr>
      <w:hyperlink w:anchor="_Toc163505554" w:history="1">
        <w:r w:rsidRPr="007246E7">
          <w:rPr>
            <w:rStyle w:val="Hyperlink"/>
            <w:rtl/>
          </w:rPr>
          <w:t>מאירי גיטין ז' ע"ב ד"ה ממה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Toc163505554 \h</w:instrText>
        </w:r>
        <w:r>
          <w:rPr>
            <w:webHidden/>
            <w:rtl/>
          </w:rPr>
          <w:instrText xml:space="preserve"> </w:instrText>
        </w:r>
        <w:r>
          <w:rPr>
            <w:rStyle w:val="Hyperlink"/>
            <w:rtl/>
          </w:rPr>
        </w:r>
        <w:r>
          <w:rPr>
            <w:rStyle w:val="Hyperlink"/>
            <w:rtl/>
          </w:rPr>
          <w:fldChar w:fldCharType="separate"/>
        </w:r>
        <w:r w:rsidR="00D82181">
          <w:rPr>
            <w:webHidden/>
            <w:rtl/>
          </w:rPr>
          <w:t>49</w:t>
        </w:r>
        <w:r>
          <w:rPr>
            <w:rStyle w:val="Hyperlink"/>
            <w:rtl/>
          </w:rPr>
          <w:fldChar w:fldCharType="end"/>
        </w:r>
      </w:hyperlink>
    </w:p>
    <w:p w14:paraId="48629408" w14:textId="09106C57" w:rsidR="008009AA" w:rsidRDefault="008009AA">
      <w:pPr>
        <w:pStyle w:val="TOC7"/>
        <w:rPr>
          <w:rFonts w:cstheme="minorBidi"/>
          <w:sz w:val="22"/>
          <w:szCs w:val="22"/>
          <w:rtl/>
        </w:rPr>
      </w:pPr>
      <w:hyperlink w:anchor="_Toc163505555" w:history="1">
        <w:r w:rsidRPr="007246E7">
          <w:rPr>
            <w:rStyle w:val="Hyperlink"/>
            <w:rtl/>
          </w:rPr>
          <w:t>רמב"ם שבת פ"ח ה"ד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Toc163505555 \h</w:instrText>
        </w:r>
        <w:r>
          <w:rPr>
            <w:webHidden/>
            <w:rtl/>
          </w:rPr>
          <w:instrText xml:space="preserve"> </w:instrText>
        </w:r>
        <w:r>
          <w:rPr>
            <w:rStyle w:val="Hyperlink"/>
            <w:rtl/>
          </w:rPr>
        </w:r>
        <w:r>
          <w:rPr>
            <w:rStyle w:val="Hyperlink"/>
            <w:rtl/>
          </w:rPr>
          <w:fldChar w:fldCharType="separate"/>
        </w:r>
        <w:r w:rsidR="00D82181">
          <w:rPr>
            <w:webHidden/>
            <w:rtl/>
          </w:rPr>
          <w:t>49</w:t>
        </w:r>
        <w:r>
          <w:rPr>
            <w:rStyle w:val="Hyperlink"/>
            <w:rtl/>
          </w:rPr>
          <w:fldChar w:fldCharType="end"/>
        </w:r>
      </w:hyperlink>
    </w:p>
    <w:p w14:paraId="08D5BF84" w14:textId="161897D0" w:rsidR="008009AA" w:rsidRDefault="008009AA">
      <w:pPr>
        <w:pStyle w:val="TOC7"/>
        <w:rPr>
          <w:rFonts w:cstheme="minorBidi"/>
          <w:sz w:val="22"/>
          <w:szCs w:val="22"/>
          <w:rtl/>
        </w:rPr>
      </w:pPr>
      <w:hyperlink w:anchor="_Toc163505556" w:history="1">
        <w:r w:rsidRPr="007246E7">
          <w:rPr>
            <w:rStyle w:val="Hyperlink"/>
            <w:rtl/>
          </w:rPr>
          <w:t>מגיד משנה שבת פ"ח ה"ד ד"ה גבשושית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Toc163505556 \h</w:instrText>
        </w:r>
        <w:r>
          <w:rPr>
            <w:webHidden/>
            <w:rtl/>
          </w:rPr>
          <w:instrText xml:space="preserve"> </w:instrText>
        </w:r>
        <w:r>
          <w:rPr>
            <w:rStyle w:val="Hyperlink"/>
            <w:rtl/>
          </w:rPr>
        </w:r>
        <w:r>
          <w:rPr>
            <w:rStyle w:val="Hyperlink"/>
            <w:rtl/>
          </w:rPr>
          <w:fldChar w:fldCharType="separate"/>
        </w:r>
        <w:r w:rsidR="00D82181">
          <w:rPr>
            <w:webHidden/>
            <w:rtl/>
          </w:rPr>
          <w:t>49</w:t>
        </w:r>
        <w:r>
          <w:rPr>
            <w:rStyle w:val="Hyperlink"/>
            <w:rtl/>
          </w:rPr>
          <w:fldChar w:fldCharType="end"/>
        </w:r>
      </w:hyperlink>
    </w:p>
    <w:p w14:paraId="0B20DECF" w14:textId="2A099EF7" w:rsidR="008009AA" w:rsidRDefault="008009AA">
      <w:pPr>
        <w:pStyle w:val="TOC7"/>
        <w:rPr>
          <w:rFonts w:cstheme="minorBidi"/>
          <w:sz w:val="22"/>
          <w:szCs w:val="22"/>
          <w:rtl/>
        </w:rPr>
      </w:pPr>
      <w:hyperlink w:anchor="_Toc163505557" w:history="1">
        <w:r w:rsidRPr="007246E7">
          <w:rPr>
            <w:rStyle w:val="Hyperlink"/>
            <w:rtl/>
          </w:rPr>
          <w:t>חדושי מים חיים שבת פ"ח ה"ד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Toc163505557 \h</w:instrText>
        </w:r>
        <w:r>
          <w:rPr>
            <w:webHidden/>
            <w:rtl/>
          </w:rPr>
          <w:instrText xml:space="preserve"> </w:instrText>
        </w:r>
        <w:r>
          <w:rPr>
            <w:rStyle w:val="Hyperlink"/>
            <w:rtl/>
          </w:rPr>
        </w:r>
        <w:r>
          <w:rPr>
            <w:rStyle w:val="Hyperlink"/>
            <w:rtl/>
          </w:rPr>
          <w:fldChar w:fldCharType="separate"/>
        </w:r>
        <w:r w:rsidR="00D82181">
          <w:rPr>
            <w:webHidden/>
            <w:rtl/>
          </w:rPr>
          <w:t>49</w:t>
        </w:r>
        <w:r>
          <w:rPr>
            <w:rStyle w:val="Hyperlink"/>
            <w:rtl/>
          </w:rPr>
          <w:fldChar w:fldCharType="end"/>
        </w:r>
      </w:hyperlink>
    </w:p>
    <w:p w14:paraId="071052FD" w14:textId="5F1EB6C5" w:rsidR="008009AA" w:rsidRDefault="008009AA">
      <w:pPr>
        <w:pStyle w:val="TOC7"/>
        <w:rPr>
          <w:rFonts w:cstheme="minorBidi"/>
          <w:sz w:val="22"/>
          <w:szCs w:val="22"/>
          <w:rtl/>
        </w:rPr>
      </w:pPr>
      <w:hyperlink w:anchor="_Toc163505558" w:history="1">
        <w:r w:rsidRPr="007246E7">
          <w:rPr>
            <w:rStyle w:val="Hyperlink"/>
            <w:rtl/>
          </w:rPr>
          <w:t>אור שמח שבת פ"ח ה"ד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Toc163505558 \h</w:instrText>
        </w:r>
        <w:r>
          <w:rPr>
            <w:webHidden/>
            <w:rtl/>
          </w:rPr>
          <w:instrText xml:space="preserve"> </w:instrText>
        </w:r>
        <w:r>
          <w:rPr>
            <w:rStyle w:val="Hyperlink"/>
            <w:rtl/>
          </w:rPr>
        </w:r>
        <w:r>
          <w:rPr>
            <w:rStyle w:val="Hyperlink"/>
            <w:rtl/>
          </w:rPr>
          <w:fldChar w:fldCharType="separate"/>
        </w:r>
        <w:r w:rsidR="00D82181">
          <w:rPr>
            <w:webHidden/>
            <w:rtl/>
          </w:rPr>
          <w:t>49</w:t>
        </w:r>
        <w:r>
          <w:rPr>
            <w:rStyle w:val="Hyperlink"/>
            <w:rtl/>
          </w:rPr>
          <w:fldChar w:fldCharType="end"/>
        </w:r>
      </w:hyperlink>
    </w:p>
    <w:p w14:paraId="184C78B2" w14:textId="6DE6F8F8" w:rsidR="008009AA" w:rsidRDefault="008009AA">
      <w:pPr>
        <w:pStyle w:val="TOC7"/>
        <w:rPr>
          <w:rFonts w:cstheme="minorBidi"/>
          <w:sz w:val="22"/>
          <w:szCs w:val="22"/>
          <w:rtl/>
        </w:rPr>
      </w:pPr>
      <w:hyperlink w:anchor="_Toc163505559" w:history="1">
        <w:r w:rsidRPr="007246E7">
          <w:rPr>
            <w:rStyle w:val="Hyperlink"/>
            <w:rtl/>
          </w:rPr>
          <w:t>אגלי טל קוצר סק"ו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Toc163505559 \h</w:instrText>
        </w:r>
        <w:r>
          <w:rPr>
            <w:webHidden/>
            <w:rtl/>
          </w:rPr>
          <w:instrText xml:space="preserve"> </w:instrText>
        </w:r>
        <w:r>
          <w:rPr>
            <w:rStyle w:val="Hyperlink"/>
            <w:rtl/>
          </w:rPr>
        </w:r>
        <w:r>
          <w:rPr>
            <w:rStyle w:val="Hyperlink"/>
            <w:rtl/>
          </w:rPr>
          <w:fldChar w:fldCharType="separate"/>
        </w:r>
        <w:r w:rsidR="00D82181">
          <w:rPr>
            <w:webHidden/>
            <w:rtl/>
          </w:rPr>
          <w:t>49</w:t>
        </w:r>
        <w:r>
          <w:rPr>
            <w:rStyle w:val="Hyperlink"/>
            <w:rtl/>
          </w:rPr>
          <w:fldChar w:fldCharType="end"/>
        </w:r>
      </w:hyperlink>
    </w:p>
    <w:p w14:paraId="48BF14C3" w14:textId="457155C5" w:rsidR="008009AA" w:rsidRDefault="008009AA">
      <w:pPr>
        <w:pStyle w:val="TOC7"/>
        <w:rPr>
          <w:rFonts w:cstheme="minorBidi"/>
          <w:sz w:val="22"/>
          <w:szCs w:val="22"/>
          <w:rtl/>
        </w:rPr>
      </w:pPr>
      <w:hyperlink w:anchor="_Toc163505560" w:history="1">
        <w:r w:rsidRPr="007246E7">
          <w:rPr>
            <w:rStyle w:val="Hyperlink"/>
            <w:rtl/>
          </w:rPr>
          <w:t>מרכבת המשנה שבת פ"ח ה"ד ד"ה גבשושית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Toc163505560 \h</w:instrText>
        </w:r>
        <w:r>
          <w:rPr>
            <w:webHidden/>
            <w:rtl/>
          </w:rPr>
          <w:instrText xml:space="preserve"> </w:instrText>
        </w:r>
        <w:r>
          <w:rPr>
            <w:rStyle w:val="Hyperlink"/>
            <w:rtl/>
          </w:rPr>
        </w:r>
        <w:r>
          <w:rPr>
            <w:rStyle w:val="Hyperlink"/>
            <w:rtl/>
          </w:rPr>
          <w:fldChar w:fldCharType="separate"/>
        </w:r>
        <w:r w:rsidR="00D82181">
          <w:rPr>
            <w:webHidden/>
            <w:rtl/>
          </w:rPr>
          <w:t>49</w:t>
        </w:r>
        <w:r>
          <w:rPr>
            <w:rStyle w:val="Hyperlink"/>
            <w:rtl/>
          </w:rPr>
          <w:fldChar w:fldCharType="end"/>
        </w:r>
      </w:hyperlink>
    </w:p>
    <w:p w14:paraId="658C5D58" w14:textId="5E2160EE" w:rsidR="008009AA" w:rsidRDefault="008009AA">
      <w:pPr>
        <w:pStyle w:val="TOC7"/>
        <w:rPr>
          <w:rFonts w:cstheme="minorBidi"/>
          <w:sz w:val="22"/>
          <w:szCs w:val="22"/>
          <w:rtl/>
        </w:rPr>
      </w:pPr>
      <w:hyperlink w:anchor="_Toc163505561" w:history="1">
        <w:r w:rsidRPr="007246E7">
          <w:rPr>
            <w:rStyle w:val="Hyperlink"/>
            <w:rtl/>
          </w:rPr>
          <w:t>אור זרוע ח"ב הלכות שבת סי' נ"ו ד"ה אמר אביי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Toc163505561 \h</w:instrText>
        </w:r>
        <w:r>
          <w:rPr>
            <w:webHidden/>
            <w:rtl/>
          </w:rPr>
          <w:instrText xml:space="preserve"> </w:instrText>
        </w:r>
        <w:r>
          <w:rPr>
            <w:rStyle w:val="Hyperlink"/>
            <w:rtl/>
          </w:rPr>
        </w:r>
        <w:r>
          <w:rPr>
            <w:rStyle w:val="Hyperlink"/>
            <w:rtl/>
          </w:rPr>
          <w:fldChar w:fldCharType="separate"/>
        </w:r>
        <w:r w:rsidR="00D82181">
          <w:rPr>
            <w:webHidden/>
            <w:rtl/>
          </w:rPr>
          <w:t>50</w:t>
        </w:r>
        <w:r>
          <w:rPr>
            <w:rStyle w:val="Hyperlink"/>
            <w:rtl/>
          </w:rPr>
          <w:fldChar w:fldCharType="end"/>
        </w:r>
      </w:hyperlink>
    </w:p>
    <w:p w14:paraId="54E5F75F" w14:textId="5C4205AF" w:rsidR="008009AA" w:rsidRDefault="008009AA">
      <w:pPr>
        <w:pStyle w:val="TOC7"/>
        <w:rPr>
          <w:rFonts w:cstheme="minorBidi"/>
          <w:sz w:val="22"/>
          <w:szCs w:val="22"/>
          <w:rtl/>
        </w:rPr>
      </w:pPr>
      <w:hyperlink w:anchor="_Toc163505562" w:history="1">
        <w:r w:rsidRPr="007246E7">
          <w:rPr>
            <w:rStyle w:val="Hyperlink"/>
            <w:rtl/>
          </w:rPr>
          <w:t>חדושי הגרי"ז בכורות כ"ה ע"א ד"ה הרמב"ם</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Toc163505562 \h</w:instrText>
        </w:r>
        <w:r>
          <w:rPr>
            <w:webHidden/>
            <w:rtl/>
          </w:rPr>
          <w:instrText xml:space="preserve"> </w:instrText>
        </w:r>
        <w:r>
          <w:rPr>
            <w:rStyle w:val="Hyperlink"/>
            <w:rtl/>
          </w:rPr>
        </w:r>
        <w:r>
          <w:rPr>
            <w:rStyle w:val="Hyperlink"/>
            <w:rtl/>
          </w:rPr>
          <w:fldChar w:fldCharType="separate"/>
        </w:r>
        <w:r w:rsidR="00D82181">
          <w:rPr>
            <w:webHidden/>
            <w:rtl/>
          </w:rPr>
          <w:t>51</w:t>
        </w:r>
        <w:r>
          <w:rPr>
            <w:rStyle w:val="Hyperlink"/>
            <w:rtl/>
          </w:rPr>
          <w:fldChar w:fldCharType="end"/>
        </w:r>
      </w:hyperlink>
    </w:p>
    <w:p w14:paraId="154FE1C3" w14:textId="31C678B8" w:rsidR="008009AA" w:rsidRDefault="008009AA">
      <w:pPr>
        <w:pStyle w:val="TOC7"/>
        <w:rPr>
          <w:rFonts w:cstheme="minorBidi"/>
          <w:sz w:val="22"/>
          <w:szCs w:val="22"/>
          <w:rtl/>
        </w:rPr>
      </w:pPr>
      <w:hyperlink w:anchor="_Toc163505563" w:history="1">
        <w:r w:rsidRPr="007246E7">
          <w:rPr>
            <w:rStyle w:val="Hyperlink"/>
            <w:rtl/>
          </w:rPr>
          <w:t>דבר אברהם חלק א סימן כד אות 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Toc163505563 \h</w:instrText>
        </w:r>
        <w:r>
          <w:rPr>
            <w:webHidden/>
            <w:rtl/>
          </w:rPr>
          <w:instrText xml:space="preserve"> </w:instrText>
        </w:r>
        <w:r>
          <w:rPr>
            <w:rStyle w:val="Hyperlink"/>
            <w:rtl/>
          </w:rPr>
        </w:r>
        <w:r>
          <w:rPr>
            <w:rStyle w:val="Hyperlink"/>
            <w:rtl/>
          </w:rPr>
          <w:fldChar w:fldCharType="separate"/>
        </w:r>
        <w:r w:rsidR="00D82181">
          <w:rPr>
            <w:webHidden/>
            <w:rtl/>
          </w:rPr>
          <w:t>51</w:t>
        </w:r>
        <w:r>
          <w:rPr>
            <w:rStyle w:val="Hyperlink"/>
            <w:rtl/>
          </w:rPr>
          <w:fldChar w:fldCharType="end"/>
        </w:r>
      </w:hyperlink>
    </w:p>
    <w:p w14:paraId="3494BF0C" w14:textId="19CC5BF6" w:rsidR="008009AA" w:rsidRDefault="008009AA">
      <w:pPr>
        <w:pStyle w:val="TOC7"/>
        <w:rPr>
          <w:rFonts w:cstheme="minorBidi"/>
          <w:sz w:val="22"/>
          <w:szCs w:val="22"/>
          <w:rtl/>
        </w:rPr>
      </w:pPr>
      <w:hyperlink w:anchor="_Toc163505564" w:history="1">
        <w:r w:rsidRPr="007246E7">
          <w:rPr>
            <w:rStyle w:val="Hyperlink"/>
            <w:rtl/>
          </w:rPr>
          <w:t>דבר אברהם חלק א סימן כד אות 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Toc163505564 \h</w:instrText>
        </w:r>
        <w:r>
          <w:rPr>
            <w:webHidden/>
            <w:rtl/>
          </w:rPr>
          <w:instrText xml:space="preserve"> </w:instrText>
        </w:r>
        <w:r>
          <w:rPr>
            <w:rStyle w:val="Hyperlink"/>
            <w:rtl/>
          </w:rPr>
        </w:r>
        <w:r>
          <w:rPr>
            <w:rStyle w:val="Hyperlink"/>
            <w:rtl/>
          </w:rPr>
          <w:fldChar w:fldCharType="separate"/>
        </w:r>
        <w:r w:rsidR="00D82181">
          <w:rPr>
            <w:webHidden/>
            <w:rtl/>
          </w:rPr>
          <w:t>51</w:t>
        </w:r>
        <w:r>
          <w:rPr>
            <w:rStyle w:val="Hyperlink"/>
            <w:rtl/>
          </w:rPr>
          <w:fldChar w:fldCharType="end"/>
        </w:r>
      </w:hyperlink>
    </w:p>
    <w:p w14:paraId="4971F498" w14:textId="5C3F7E01" w:rsidR="008009AA" w:rsidRDefault="008009AA">
      <w:pPr>
        <w:pStyle w:val="TOC7"/>
        <w:rPr>
          <w:rFonts w:cstheme="minorBidi"/>
          <w:sz w:val="22"/>
          <w:szCs w:val="22"/>
          <w:rtl/>
        </w:rPr>
      </w:pPr>
      <w:hyperlink w:anchor="_Toc163505565" w:history="1">
        <w:r w:rsidRPr="007246E7">
          <w:rPr>
            <w:rStyle w:val="Hyperlink"/>
            <w:rtl/>
          </w:rPr>
          <w:t>קהלות יעקב סי' נ' ד"ה ולענ"ד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Toc163505565 \h</w:instrText>
        </w:r>
        <w:r>
          <w:rPr>
            <w:webHidden/>
            <w:rtl/>
          </w:rPr>
          <w:instrText xml:space="preserve"> </w:instrText>
        </w:r>
        <w:r>
          <w:rPr>
            <w:rStyle w:val="Hyperlink"/>
            <w:rtl/>
          </w:rPr>
        </w:r>
        <w:r>
          <w:rPr>
            <w:rStyle w:val="Hyperlink"/>
            <w:rtl/>
          </w:rPr>
          <w:fldChar w:fldCharType="separate"/>
        </w:r>
        <w:r w:rsidR="00D82181">
          <w:rPr>
            <w:webHidden/>
            <w:rtl/>
          </w:rPr>
          <w:t>51</w:t>
        </w:r>
        <w:r>
          <w:rPr>
            <w:rStyle w:val="Hyperlink"/>
            <w:rtl/>
          </w:rPr>
          <w:fldChar w:fldCharType="end"/>
        </w:r>
      </w:hyperlink>
    </w:p>
    <w:p w14:paraId="33C13EC4" w14:textId="2CBEC9CA" w:rsidR="008009AA" w:rsidRDefault="008009AA">
      <w:pPr>
        <w:pStyle w:val="TOC7"/>
        <w:rPr>
          <w:rFonts w:cstheme="minorBidi"/>
          <w:sz w:val="22"/>
          <w:szCs w:val="22"/>
          <w:rtl/>
        </w:rPr>
      </w:pPr>
      <w:hyperlink w:anchor="_Toc163505566" w:history="1">
        <w:r w:rsidRPr="007246E7">
          <w:rPr>
            <w:rStyle w:val="Hyperlink"/>
            <w:rtl/>
          </w:rPr>
          <w:t>דבר אברהם חלק א סימן כד אות 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Toc163505566 \h</w:instrText>
        </w:r>
        <w:r>
          <w:rPr>
            <w:webHidden/>
            <w:rtl/>
          </w:rPr>
          <w:instrText xml:space="preserve"> </w:instrText>
        </w:r>
        <w:r>
          <w:rPr>
            <w:rStyle w:val="Hyperlink"/>
            <w:rtl/>
          </w:rPr>
        </w:r>
        <w:r>
          <w:rPr>
            <w:rStyle w:val="Hyperlink"/>
            <w:rtl/>
          </w:rPr>
          <w:fldChar w:fldCharType="separate"/>
        </w:r>
        <w:r w:rsidR="00D82181">
          <w:rPr>
            <w:webHidden/>
            <w:rtl/>
          </w:rPr>
          <w:t>51</w:t>
        </w:r>
        <w:r>
          <w:rPr>
            <w:rStyle w:val="Hyperlink"/>
            <w:rtl/>
          </w:rPr>
          <w:fldChar w:fldCharType="end"/>
        </w:r>
      </w:hyperlink>
    </w:p>
    <w:p w14:paraId="1791ACFD" w14:textId="4FC49BD5" w:rsidR="008009AA" w:rsidRDefault="008009AA">
      <w:pPr>
        <w:pStyle w:val="TOC7"/>
        <w:rPr>
          <w:rFonts w:cstheme="minorBidi"/>
          <w:sz w:val="22"/>
          <w:szCs w:val="22"/>
          <w:rtl/>
        </w:rPr>
      </w:pPr>
      <w:hyperlink w:anchor="_Toc163505567" w:history="1">
        <w:r w:rsidRPr="007246E7">
          <w:rPr>
            <w:rStyle w:val="Hyperlink"/>
            <w:rtl/>
          </w:rPr>
          <w:t>דבר אברהם חלק א סימן כד אות 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Toc163505567 \h</w:instrText>
        </w:r>
        <w:r>
          <w:rPr>
            <w:webHidden/>
            <w:rtl/>
          </w:rPr>
          <w:instrText xml:space="preserve"> </w:instrText>
        </w:r>
        <w:r>
          <w:rPr>
            <w:rStyle w:val="Hyperlink"/>
            <w:rtl/>
          </w:rPr>
        </w:r>
        <w:r>
          <w:rPr>
            <w:rStyle w:val="Hyperlink"/>
            <w:rtl/>
          </w:rPr>
          <w:fldChar w:fldCharType="separate"/>
        </w:r>
        <w:r w:rsidR="00D82181">
          <w:rPr>
            <w:webHidden/>
            <w:rtl/>
          </w:rPr>
          <w:t>51</w:t>
        </w:r>
        <w:r>
          <w:rPr>
            <w:rStyle w:val="Hyperlink"/>
            <w:rtl/>
          </w:rPr>
          <w:fldChar w:fldCharType="end"/>
        </w:r>
      </w:hyperlink>
    </w:p>
    <w:p w14:paraId="4AA619D6" w14:textId="0CDC3496" w:rsidR="008009AA" w:rsidRDefault="008009AA">
      <w:pPr>
        <w:pStyle w:val="TOC7"/>
        <w:rPr>
          <w:rFonts w:cstheme="minorBidi"/>
          <w:sz w:val="22"/>
          <w:szCs w:val="22"/>
          <w:rtl/>
        </w:rPr>
      </w:pPr>
      <w:hyperlink w:anchor="_Toc163505568" w:history="1">
        <w:r w:rsidRPr="007246E7">
          <w:rPr>
            <w:rStyle w:val="Hyperlink"/>
            <w:rtl/>
          </w:rPr>
          <w:t>דבר אברהם ח"א סי' כ"ד אות י"ז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Toc163505568 \h</w:instrText>
        </w:r>
        <w:r>
          <w:rPr>
            <w:webHidden/>
            <w:rtl/>
          </w:rPr>
          <w:instrText xml:space="preserve"> </w:instrText>
        </w:r>
        <w:r>
          <w:rPr>
            <w:rStyle w:val="Hyperlink"/>
            <w:rtl/>
          </w:rPr>
        </w:r>
        <w:r>
          <w:rPr>
            <w:rStyle w:val="Hyperlink"/>
            <w:rtl/>
          </w:rPr>
          <w:fldChar w:fldCharType="separate"/>
        </w:r>
        <w:r w:rsidR="00D82181">
          <w:rPr>
            <w:webHidden/>
            <w:rtl/>
          </w:rPr>
          <w:t>51</w:t>
        </w:r>
        <w:r>
          <w:rPr>
            <w:rStyle w:val="Hyperlink"/>
            <w:rtl/>
          </w:rPr>
          <w:fldChar w:fldCharType="end"/>
        </w:r>
      </w:hyperlink>
    </w:p>
    <w:p w14:paraId="6139FBDC" w14:textId="29AD8936" w:rsidR="008009AA" w:rsidRDefault="008009AA">
      <w:pPr>
        <w:pStyle w:val="TOC7"/>
        <w:rPr>
          <w:rFonts w:cstheme="minorBidi"/>
          <w:sz w:val="22"/>
          <w:szCs w:val="22"/>
          <w:rtl/>
        </w:rPr>
      </w:pPr>
      <w:hyperlink w:anchor="_Toc163505569" w:history="1">
        <w:r w:rsidRPr="007246E7">
          <w:rPr>
            <w:rStyle w:val="Hyperlink"/>
            <w:rtl/>
          </w:rPr>
          <w:t>דבר אברהם ח"א סי' כ"ד אות י"ח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Toc163505569 \h</w:instrText>
        </w:r>
        <w:r>
          <w:rPr>
            <w:webHidden/>
            <w:rtl/>
          </w:rPr>
          <w:instrText xml:space="preserve"> </w:instrText>
        </w:r>
        <w:r>
          <w:rPr>
            <w:rStyle w:val="Hyperlink"/>
            <w:rtl/>
          </w:rPr>
        </w:r>
        <w:r>
          <w:rPr>
            <w:rStyle w:val="Hyperlink"/>
            <w:rtl/>
          </w:rPr>
          <w:fldChar w:fldCharType="separate"/>
        </w:r>
        <w:r w:rsidR="00D82181">
          <w:rPr>
            <w:webHidden/>
            <w:rtl/>
          </w:rPr>
          <w:t>51</w:t>
        </w:r>
        <w:r>
          <w:rPr>
            <w:rStyle w:val="Hyperlink"/>
            <w:rtl/>
          </w:rPr>
          <w:fldChar w:fldCharType="end"/>
        </w:r>
      </w:hyperlink>
    </w:p>
    <w:p w14:paraId="08800DF4" w14:textId="1AA386AA" w:rsidR="008009AA" w:rsidRDefault="008009AA">
      <w:pPr>
        <w:pStyle w:val="TOC7"/>
        <w:rPr>
          <w:rFonts w:cstheme="minorBidi"/>
          <w:sz w:val="22"/>
          <w:szCs w:val="22"/>
          <w:rtl/>
        </w:rPr>
      </w:pPr>
      <w:hyperlink w:anchor="_Toc163505570" w:history="1">
        <w:r w:rsidRPr="007246E7">
          <w:rPr>
            <w:rStyle w:val="Hyperlink"/>
            <w:rtl/>
          </w:rPr>
          <w:t>דבר אברהם ח"א סי' כ"ד אות כ'</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Toc163505570 \h</w:instrText>
        </w:r>
        <w:r>
          <w:rPr>
            <w:webHidden/>
            <w:rtl/>
          </w:rPr>
          <w:instrText xml:space="preserve"> </w:instrText>
        </w:r>
        <w:r>
          <w:rPr>
            <w:rStyle w:val="Hyperlink"/>
            <w:rtl/>
          </w:rPr>
        </w:r>
        <w:r>
          <w:rPr>
            <w:rStyle w:val="Hyperlink"/>
            <w:rtl/>
          </w:rPr>
          <w:fldChar w:fldCharType="separate"/>
        </w:r>
        <w:r w:rsidR="00D82181">
          <w:rPr>
            <w:webHidden/>
            <w:rtl/>
          </w:rPr>
          <w:t>52</w:t>
        </w:r>
        <w:r>
          <w:rPr>
            <w:rStyle w:val="Hyperlink"/>
            <w:rtl/>
          </w:rPr>
          <w:fldChar w:fldCharType="end"/>
        </w:r>
      </w:hyperlink>
    </w:p>
    <w:p w14:paraId="33A3F3C0" w14:textId="411128AD" w:rsidR="008009AA" w:rsidRDefault="008009AA">
      <w:pPr>
        <w:pStyle w:val="TOC7"/>
        <w:rPr>
          <w:rFonts w:cstheme="minorBidi"/>
          <w:sz w:val="22"/>
          <w:szCs w:val="22"/>
          <w:rtl/>
        </w:rPr>
      </w:pPr>
      <w:hyperlink w:anchor="_Toc163505571" w:history="1">
        <w:r w:rsidRPr="007246E7">
          <w:rPr>
            <w:rStyle w:val="Hyperlink"/>
            <w:rtl/>
          </w:rPr>
          <w:t>חדושי הגר"ח [מהגר"מ] שבת פ"א ע"ב ד"ה הרמב"ם</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Toc163505571 \h</w:instrText>
        </w:r>
        <w:r>
          <w:rPr>
            <w:webHidden/>
            <w:rtl/>
          </w:rPr>
          <w:instrText xml:space="preserve"> </w:instrText>
        </w:r>
        <w:r>
          <w:rPr>
            <w:rStyle w:val="Hyperlink"/>
            <w:rtl/>
          </w:rPr>
        </w:r>
        <w:r>
          <w:rPr>
            <w:rStyle w:val="Hyperlink"/>
            <w:rtl/>
          </w:rPr>
          <w:fldChar w:fldCharType="separate"/>
        </w:r>
        <w:r w:rsidR="00D82181">
          <w:rPr>
            <w:webHidden/>
            <w:rtl/>
          </w:rPr>
          <w:t>52</w:t>
        </w:r>
        <w:r>
          <w:rPr>
            <w:rStyle w:val="Hyperlink"/>
            <w:rtl/>
          </w:rPr>
          <w:fldChar w:fldCharType="end"/>
        </w:r>
      </w:hyperlink>
    </w:p>
    <w:p w14:paraId="33CAE9BD" w14:textId="5455040E" w:rsidR="008009AA" w:rsidRDefault="008009AA">
      <w:pPr>
        <w:pStyle w:val="TOC7"/>
        <w:rPr>
          <w:rFonts w:cstheme="minorBidi"/>
          <w:sz w:val="22"/>
          <w:szCs w:val="22"/>
          <w:rtl/>
        </w:rPr>
      </w:pPr>
      <w:hyperlink w:anchor="_Toc163505572" w:history="1">
        <w:r w:rsidRPr="007246E7">
          <w:rPr>
            <w:rStyle w:val="Hyperlink"/>
            <w:rtl/>
          </w:rPr>
          <w:t>חדושי הגר"ח [מהגר"מ] שבת פ"א ע"ב ד"ה והנה כתב, ד"ה אכן נראה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Toc163505572 \h</w:instrText>
        </w:r>
        <w:r>
          <w:rPr>
            <w:webHidden/>
            <w:rtl/>
          </w:rPr>
          <w:instrText xml:space="preserve"> </w:instrText>
        </w:r>
        <w:r>
          <w:rPr>
            <w:rStyle w:val="Hyperlink"/>
            <w:rtl/>
          </w:rPr>
        </w:r>
        <w:r>
          <w:rPr>
            <w:rStyle w:val="Hyperlink"/>
            <w:rtl/>
          </w:rPr>
          <w:fldChar w:fldCharType="separate"/>
        </w:r>
        <w:r w:rsidR="00D82181">
          <w:rPr>
            <w:webHidden/>
            <w:rtl/>
          </w:rPr>
          <w:t>52</w:t>
        </w:r>
        <w:r>
          <w:rPr>
            <w:rStyle w:val="Hyperlink"/>
            <w:rtl/>
          </w:rPr>
          <w:fldChar w:fldCharType="end"/>
        </w:r>
      </w:hyperlink>
    </w:p>
    <w:p w14:paraId="0A75BB19" w14:textId="1D1EF0B4" w:rsidR="008009AA" w:rsidRDefault="008009AA">
      <w:pPr>
        <w:pStyle w:val="TOC7"/>
        <w:rPr>
          <w:rFonts w:cstheme="minorBidi"/>
          <w:sz w:val="22"/>
          <w:szCs w:val="22"/>
          <w:rtl/>
        </w:rPr>
      </w:pPr>
      <w:hyperlink w:anchor="_Toc163505573" w:history="1">
        <w:r w:rsidRPr="007246E7">
          <w:rPr>
            <w:rStyle w:val="Hyperlink"/>
            <w:rtl/>
          </w:rPr>
          <w:t>חדושי הגר"ח [מהגר"מ] שבת פ"א ע"ב ד"ה וזהו גם</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Toc163505573 \h</w:instrText>
        </w:r>
        <w:r>
          <w:rPr>
            <w:webHidden/>
            <w:rtl/>
          </w:rPr>
          <w:instrText xml:space="preserve"> </w:instrText>
        </w:r>
        <w:r>
          <w:rPr>
            <w:rStyle w:val="Hyperlink"/>
            <w:rtl/>
          </w:rPr>
        </w:r>
        <w:r>
          <w:rPr>
            <w:rStyle w:val="Hyperlink"/>
            <w:rtl/>
          </w:rPr>
          <w:fldChar w:fldCharType="separate"/>
        </w:r>
        <w:r w:rsidR="00D82181">
          <w:rPr>
            <w:webHidden/>
            <w:rtl/>
          </w:rPr>
          <w:t>52</w:t>
        </w:r>
        <w:r>
          <w:rPr>
            <w:rStyle w:val="Hyperlink"/>
            <w:rtl/>
          </w:rPr>
          <w:fldChar w:fldCharType="end"/>
        </w:r>
      </w:hyperlink>
    </w:p>
    <w:p w14:paraId="619773D7" w14:textId="24CD11F4" w:rsidR="008009AA" w:rsidRDefault="008009AA">
      <w:pPr>
        <w:pStyle w:val="TOC7"/>
        <w:rPr>
          <w:rFonts w:cstheme="minorBidi"/>
          <w:sz w:val="22"/>
          <w:szCs w:val="22"/>
          <w:rtl/>
        </w:rPr>
      </w:pPr>
      <w:hyperlink w:anchor="_Toc163505574" w:history="1">
        <w:r w:rsidRPr="007246E7">
          <w:rPr>
            <w:rStyle w:val="Hyperlink"/>
            <w:rtl/>
          </w:rPr>
          <w:t>חדושי הגר"ח [מהגר"מ] שבת פ"א ע"ב ד"ה והנה במס'</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Toc163505574 \h</w:instrText>
        </w:r>
        <w:r>
          <w:rPr>
            <w:webHidden/>
            <w:rtl/>
          </w:rPr>
          <w:instrText xml:space="preserve"> </w:instrText>
        </w:r>
        <w:r>
          <w:rPr>
            <w:rStyle w:val="Hyperlink"/>
            <w:rtl/>
          </w:rPr>
        </w:r>
        <w:r>
          <w:rPr>
            <w:rStyle w:val="Hyperlink"/>
            <w:rtl/>
          </w:rPr>
          <w:fldChar w:fldCharType="separate"/>
        </w:r>
        <w:r w:rsidR="00D82181">
          <w:rPr>
            <w:webHidden/>
            <w:rtl/>
          </w:rPr>
          <w:t>52</w:t>
        </w:r>
        <w:r>
          <w:rPr>
            <w:rStyle w:val="Hyperlink"/>
            <w:rtl/>
          </w:rPr>
          <w:fldChar w:fldCharType="end"/>
        </w:r>
      </w:hyperlink>
    </w:p>
    <w:p w14:paraId="0A43DD12" w14:textId="4A4A27C5" w:rsidR="008009AA" w:rsidRDefault="008009AA">
      <w:pPr>
        <w:pStyle w:val="TOC7"/>
        <w:rPr>
          <w:rFonts w:cstheme="minorBidi"/>
          <w:sz w:val="22"/>
          <w:szCs w:val="22"/>
          <w:rtl/>
        </w:rPr>
      </w:pPr>
      <w:hyperlink w:anchor="_Toc163505575" w:history="1">
        <w:r w:rsidRPr="007246E7">
          <w:rPr>
            <w:rStyle w:val="Hyperlink"/>
            <w:rtl/>
          </w:rPr>
          <w:t>חדושי הגר"ח [מהגר"מ] שבת פ"א ע"ב ד"ה והנה הרמב"ם</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Toc163505575 \h</w:instrText>
        </w:r>
        <w:r>
          <w:rPr>
            <w:webHidden/>
            <w:rtl/>
          </w:rPr>
          <w:instrText xml:space="preserve"> </w:instrText>
        </w:r>
        <w:r>
          <w:rPr>
            <w:rStyle w:val="Hyperlink"/>
            <w:rtl/>
          </w:rPr>
        </w:r>
        <w:r>
          <w:rPr>
            <w:rStyle w:val="Hyperlink"/>
            <w:rtl/>
          </w:rPr>
          <w:fldChar w:fldCharType="separate"/>
        </w:r>
        <w:r w:rsidR="00D82181">
          <w:rPr>
            <w:webHidden/>
            <w:rtl/>
          </w:rPr>
          <w:t>52</w:t>
        </w:r>
        <w:r>
          <w:rPr>
            <w:rStyle w:val="Hyperlink"/>
            <w:rtl/>
          </w:rPr>
          <w:fldChar w:fldCharType="end"/>
        </w:r>
      </w:hyperlink>
    </w:p>
    <w:p w14:paraId="6884A679" w14:textId="71593589" w:rsidR="008009AA" w:rsidRDefault="008009AA">
      <w:pPr>
        <w:pStyle w:val="TOC7"/>
        <w:rPr>
          <w:rFonts w:cstheme="minorBidi"/>
          <w:sz w:val="22"/>
          <w:szCs w:val="22"/>
          <w:rtl/>
        </w:rPr>
      </w:pPr>
      <w:hyperlink w:anchor="_Toc163505576" w:history="1">
        <w:r w:rsidRPr="007246E7">
          <w:rPr>
            <w:rStyle w:val="Hyperlink"/>
            <w:rtl/>
          </w:rPr>
          <w:t>קהלות יעקב זרעים סי' כ"ה אות ב' ד"ה והאג"ט</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Toc163505576 \h</w:instrText>
        </w:r>
        <w:r>
          <w:rPr>
            <w:webHidden/>
            <w:rtl/>
          </w:rPr>
          <w:instrText xml:space="preserve"> </w:instrText>
        </w:r>
        <w:r>
          <w:rPr>
            <w:rStyle w:val="Hyperlink"/>
            <w:rtl/>
          </w:rPr>
        </w:r>
        <w:r>
          <w:rPr>
            <w:rStyle w:val="Hyperlink"/>
            <w:rtl/>
          </w:rPr>
          <w:fldChar w:fldCharType="separate"/>
        </w:r>
        <w:r w:rsidR="00D82181">
          <w:rPr>
            <w:webHidden/>
            <w:rtl/>
          </w:rPr>
          <w:t>53</w:t>
        </w:r>
        <w:r>
          <w:rPr>
            <w:rStyle w:val="Hyperlink"/>
            <w:rtl/>
          </w:rPr>
          <w:fldChar w:fldCharType="end"/>
        </w:r>
      </w:hyperlink>
    </w:p>
    <w:p w14:paraId="43F34CDE" w14:textId="53656EEE" w:rsidR="008009AA" w:rsidRDefault="008009AA">
      <w:pPr>
        <w:pStyle w:val="TOC7"/>
        <w:rPr>
          <w:rFonts w:cstheme="minorBidi"/>
          <w:sz w:val="22"/>
          <w:szCs w:val="22"/>
          <w:rtl/>
        </w:rPr>
      </w:pPr>
      <w:hyperlink w:anchor="_Toc163505577" w:history="1">
        <w:r w:rsidRPr="007246E7">
          <w:rPr>
            <w:rStyle w:val="Hyperlink"/>
            <w:rtl/>
          </w:rPr>
          <w:t>זכר יצחק ח"ב סי' מ"ה אות ב' ד"ה וכן מוכח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Toc163505577 \h</w:instrText>
        </w:r>
        <w:r>
          <w:rPr>
            <w:webHidden/>
            <w:rtl/>
          </w:rPr>
          <w:instrText xml:space="preserve"> </w:instrText>
        </w:r>
        <w:r>
          <w:rPr>
            <w:rStyle w:val="Hyperlink"/>
            <w:rtl/>
          </w:rPr>
        </w:r>
        <w:r>
          <w:rPr>
            <w:rStyle w:val="Hyperlink"/>
            <w:rtl/>
          </w:rPr>
          <w:fldChar w:fldCharType="separate"/>
        </w:r>
        <w:r w:rsidR="00D82181">
          <w:rPr>
            <w:webHidden/>
            <w:rtl/>
          </w:rPr>
          <w:t>53</w:t>
        </w:r>
        <w:r>
          <w:rPr>
            <w:rStyle w:val="Hyperlink"/>
            <w:rtl/>
          </w:rPr>
          <w:fldChar w:fldCharType="end"/>
        </w:r>
      </w:hyperlink>
    </w:p>
    <w:p w14:paraId="67D8C37A" w14:textId="220F20C5" w:rsidR="008009AA" w:rsidRDefault="008009AA">
      <w:pPr>
        <w:pStyle w:val="TOC7"/>
        <w:rPr>
          <w:rFonts w:cstheme="minorBidi"/>
          <w:sz w:val="22"/>
          <w:szCs w:val="22"/>
          <w:rtl/>
        </w:rPr>
      </w:pPr>
      <w:hyperlink w:anchor="_Toc163505578" w:history="1">
        <w:r w:rsidRPr="007246E7">
          <w:rPr>
            <w:rStyle w:val="Hyperlink"/>
            <w:rtl/>
          </w:rPr>
          <w:t>דבר אברהם ח"א סי' כ"ה אות ג', 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Toc163505578 \h</w:instrText>
        </w:r>
        <w:r>
          <w:rPr>
            <w:webHidden/>
            <w:rtl/>
          </w:rPr>
          <w:instrText xml:space="preserve"> </w:instrText>
        </w:r>
        <w:r>
          <w:rPr>
            <w:rStyle w:val="Hyperlink"/>
            <w:rtl/>
          </w:rPr>
        </w:r>
        <w:r>
          <w:rPr>
            <w:rStyle w:val="Hyperlink"/>
            <w:rtl/>
          </w:rPr>
          <w:fldChar w:fldCharType="separate"/>
        </w:r>
        <w:r w:rsidR="00D82181">
          <w:rPr>
            <w:webHidden/>
            <w:rtl/>
          </w:rPr>
          <w:t>53</w:t>
        </w:r>
        <w:r>
          <w:rPr>
            <w:rStyle w:val="Hyperlink"/>
            <w:rtl/>
          </w:rPr>
          <w:fldChar w:fldCharType="end"/>
        </w:r>
      </w:hyperlink>
    </w:p>
    <w:p w14:paraId="01D00F91" w14:textId="0A775D57" w:rsidR="008009AA" w:rsidRDefault="008009AA">
      <w:pPr>
        <w:pStyle w:val="TOC7"/>
        <w:rPr>
          <w:rFonts w:cstheme="minorBidi"/>
          <w:sz w:val="22"/>
          <w:szCs w:val="22"/>
          <w:rtl/>
        </w:rPr>
      </w:pPr>
      <w:hyperlink w:anchor="_Toc163505579" w:history="1">
        <w:r w:rsidRPr="007246E7">
          <w:rPr>
            <w:rStyle w:val="Hyperlink"/>
            <w:rtl/>
          </w:rPr>
          <w:t>דבר אברהם ח"א סי' כ"ה אות 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Toc163505579 \h</w:instrText>
        </w:r>
        <w:r>
          <w:rPr>
            <w:webHidden/>
            <w:rtl/>
          </w:rPr>
          <w:instrText xml:space="preserve"> </w:instrText>
        </w:r>
        <w:r>
          <w:rPr>
            <w:rStyle w:val="Hyperlink"/>
            <w:rtl/>
          </w:rPr>
        </w:r>
        <w:r>
          <w:rPr>
            <w:rStyle w:val="Hyperlink"/>
            <w:rtl/>
          </w:rPr>
          <w:fldChar w:fldCharType="separate"/>
        </w:r>
        <w:r w:rsidR="00D82181">
          <w:rPr>
            <w:webHidden/>
            <w:rtl/>
          </w:rPr>
          <w:t>53</w:t>
        </w:r>
        <w:r>
          <w:rPr>
            <w:rStyle w:val="Hyperlink"/>
            <w:rtl/>
          </w:rPr>
          <w:fldChar w:fldCharType="end"/>
        </w:r>
      </w:hyperlink>
    </w:p>
    <w:p w14:paraId="25F1E4E6" w14:textId="7DF5BB06" w:rsidR="008009AA" w:rsidRDefault="008009AA">
      <w:pPr>
        <w:pStyle w:val="TOC7"/>
        <w:rPr>
          <w:rFonts w:cstheme="minorBidi"/>
          <w:sz w:val="22"/>
          <w:szCs w:val="22"/>
          <w:rtl/>
        </w:rPr>
      </w:pPr>
      <w:hyperlink w:anchor="_Toc163505580" w:history="1">
        <w:r w:rsidRPr="007246E7">
          <w:rPr>
            <w:rStyle w:val="Hyperlink"/>
            <w:rtl/>
          </w:rPr>
          <w:t>דבר אברהם ח"א סי' כ"ה אות ט' ד"ה אבל</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Toc163505580 \h</w:instrText>
        </w:r>
        <w:r>
          <w:rPr>
            <w:webHidden/>
            <w:rtl/>
          </w:rPr>
          <w:instrText xml:space="preserve"> </w:instrText>
        </w:r>
        <w:r>
          <w:rPr>
            <w:rStyle w:val="Hyperlink"/>
            <w:rtl/>
          </w:rPr>
        </w:r>
        <w:r>
          <w:rPr>
            <w:rStyle w:val="Hyperlink"/>
            <w:rtl/>
          </w:rPr>
          <w:fldChar w:fldCharType="separate"/>
        </w:r>
        <w:r w:rsidR="00D82181">
          <w:rPr>
            <w:webHidden/>
            <w:rtl/>
          </w:rPr>
          <w:t>53</w:t>
        </w:r>
        <w:r>
          <w:rPr>
            <w:rStyle w:val="Hyperlink"/>
            <w:rtl/>
          </w:rPr>
          <w:fldChar w:fldCharType="end"/>
        </w:r>
      </w:hyperlink>
    </w:p>
    <w:p w14:paraId="4BE72060" w14:textId="557EA005" w:rsidR="008009AA" w:rsidRDefault="008009AA">
      <w:pPr>
        <w:pStyle w:val="TOC7"/>
        <w:rPr>
          <w:rFonts w:cstheme="minorBidi"/>
          <w:sz w:val="22"/>
          <w:szCs w:val="22"/>
          <w:rtl/>
        </w:rPr>
      </w:pPr>
      <w:hyperlink w:anchor="_Toc163505581" w:history="1">
        <w:r w:rsidRPr="007246E7">
          <w:rPr>
            <w:rStyle w:val="Hyperlink"/>
            <w:rtl/>
          </w:rPr>
          <w:t>דברי יחזקאל סי' ב' אות ג' ד"ה ועפי"ז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Toc163505581 \h</w:instrText>
        </w:r>
        <w:r>
          <w:rPr>
            <w:webHidden/>
            <w:rtl/>
          </w:rPr>
          <w:instrText xml:space="preserve"> </w:instrText>
        </w:r>
        <w:r>
          <w:rPr>
            <w:rStyle w:val="Hyperlink"/>
            <w:rtl/>
          </w:rPr>
        </w:r>
        <w:r>
          <w:rPr>
            <w:rStyle w:val="Hyperlink"/>
            <w:rtl/>
          </w:rPr>
          <w:fldChar w:fldCharType="separate"/>
        </w:r>
        <w:r w:rsidR="00D82181">
          <w:rPr>
            <w:webHidden/>
            <w:rtl/>
          </w:rPr>
          <w:t>54</w:t>
        </w:r>
        <w:r>
          <w:rPr>
            <w:rStyle w:val="Hyperlink"/>
            <w:rtl/>
          </w:rPr>
          <w:fldChar w:fldCharType="end"/>
        </w:r>
      </w:hyperlink>
    </w:p>
    <w:p w14:paraId="7CD1E507" w14:textId="71B4040D" w:rsidR="008009AA" w:rsidRDefault="008009AA">
      <w:pPr>
        <w:pStyle w:val="TOC7"/>
        <w:rPr>
          <w:rFonts w:cstheme="minorBidi"/>
          <w:sz w:val="22"/>
          <w:szCs w:val="22"/>
          <w:rtl/>
        </w:rPr>
      </w:pPr>
      <w:hyperlink w:anchor="_Toc163505582" w:history="1">
        <w:r w:rsidRPr="007246E7">
          <w:rPr>
            <w:rStyle w:val="Hyperlink"/>
            <w:rtl/>
          </w:rPr>
          <w:t>רש"י שבת צ"ה ע"א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Toc163505582 \h</w:instrText>
        </w:r>
        <w:r>
          <w:rPr>
            <w:webHidden/>
            <w:rtl/>
          </w:rPr>
          <w:instrText xml:space="preserve"> </w:instrText>
        </w:r>
        <w:r>
          <w:rPr>
            <w:rStyle w:val="Hyperlink"/>
            <w:rtl/>
          </w:rPr>
        </w:r>
        <w:r>
          <w:rPr>
            <w:rStyle w:val="Hyperlink"/>
            <w:rtl/>
          </w:rPr>
          <w:fldChar w:fldCharType="separate"/>
        </w:r>
        <w:r w:rsidR="00D82181">
          <w:rPr>
            <w:webHidden/>
            <w:rtl/>
          </w:rPr>
          <w:t>54</w:t>
        </w:r>
        <w:r>
          <w:rPr>
            <w:rStyle w:val="Hyperlink"/>
            <w:rtl/>
          </w:rPr>
          <w:fldChar w:fldCharType="end"/>
        </w:r>
      </w:hyperlink>
    </w:p>
    <w:p w14:paraId="1B4C3BCD" w14:textId="50C9E45C" w:rsidR="008009AA" w:rsidRDefault="008009AA">
      <w:pPr>
        <w:pStyle w:val="TOC7"/>
        <w:rPr>
          <w:rFonts w:cstheme="minorBidi"/>
          <w:sz w:val="22"/>
          <w:szCs w:val="22"/>
          <w:rtl/>
        </w:rPr>
      </w:pPr>
      <w:hyperlink w:anchor="_Toc163505583" w:history="1">
        <w:r w:rsidRPr="007246E7">
          <w:rPr>
            <w:rStyle w:val="Hyperlink"/>
            <w:rtl/>
          </w:rPr>
          <w:t>דברי יחזקאל סי' ב' אות ה' ד"ה ולדעת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Toc163505583 \h</w:instrText>
        </w:r>
        <w:r>
          <w:rPr>
            <w:webHidden/>
            <w:rtl/>
          </w:rPr>
          <w:instrText xml:space="preserve"> </w:instrText>
        </w:r>
        <w:r>
          <w:rPr>
            <w:rStyle w:val="Hyperlink"/>
            <w:rtl/>
          </w:rPr>
        </w:r>
        <w:r>
          <w:rPr>
            <w:rStyle w:val="Hyperlink"/>
            <w:rtl/>
          </w:rPr>
          <w:fldChar w:fldCharType="separate"/>
        </w:r>
        <w:r w:rsidR="00D82181">
          <w:rPr>
            <w:webHidden/>
            <w:rtl/>
          </w:rPr>
          <w:t>54</w:t>
        </w:r>
        <w:r>
          <w:rPr>
            <w:rStyle w:val="Hyperlink"/>
            <w:rtl/>
          </w:rPr>
          <w:fldChar w:fldCharType="end"/>
        </w:r>
      </w:hyperlink>
    </w:p>
    <w:p w14:paraId="569EDD7F" w14:textId="03408F50" w:rsidR="008009AA" w:rsidRDefault="008009AA">
      <w:pPr>
        <w:pStyle w:val="TOC7"/>
        <w:rPr>
          <w:rFonts w:cstheme="minorBidi"/>
          <w:sz w:val="22"/>
          <w:szCs w:val="22"/>
          <w:rtl/>
        </w:rPr>
      </w:pPr>
      <w:hyperlink w:anchor="_Toc163505584" w:history="1">
        <w:r w:rsidRPr="007246E7">
          <w:rPr>
            <w:rStyle w:val="Hyperlink"/>
            <w:rtl/>
          </w:rPr>
          <w:t>חידושי רבי ראובן גיטין סי' ט' ד"ה וי"ל</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Toc163505584 \h</w:instrText>
        </w:r>
        <w:r>
          <w:rPr>
            <w:webHidden/>
            <w:rtl/>
          </w:rPr>
          <w:instrText xml:space="preserve"> </w:instrText>
        </w:r>
        <w:r>
          <w:rPr>
            <w:rStyle w:val="Hyperlink"/>
            <w:rtl/>
          </w:rPr>
        </w:r>
        <w:r>
          <w:rPr>
            <w:rStyle w:val="Hyperlink"/>
            <w:rtl/>
          </w:rPr>
          <w:fldChar w:fldCharType="separate"/>
        </w:r>
        <w:r w:rsidR="00D82181">
          <w:rPr>
            <w:webHidden/>
            <w:rtl/>
          </w:rPr>
          <w:t>54</w:t>
        </w:r>
        <w:r>
          <w:rPr>
            <w:rStyle w:val="Hyperlink"/>
            <w:rtl/>
          </w:rPr>
          <w:fldChar w:fldCharType="end"/>
        </w:r>
      </w:hyperlink>
    </w:p>
    <w:p w14:paraId="27A4298E" w14:textId="058DF609" w:rsidR="008009AA" w:rsidRDefault="008009AA">
      <w:pPr>
        <w:pStyle w:val="TOC7"/>
        <w:rPr>
          <w:rFonts w:cstheme="minorBidi"/>
          <w:sz w:val="22"/>
          <w:szCs w:val="22"/>
          <w:rtl/>
        </w:rPr>
      </w:pPr>
      <w:hyperlink w:anchor="_Toc163505585" w:history="1">
        <w:r w:rsidRPr="007246E7">
          <w:rPr>
            <w:rStyle w:val="Hyperlink"/>
            <w:rtl/>
          </w:rPr>
          <w:t>חידושי רבי ראובן גיטין סי' י' אות ב' ד"ה ונראה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Toc163505585 \h</w:instrText>
        </w:r>
        <w:r>
          <w:rPr>
            <w:webHidden/>
            <w:rtl/>
          </w:rPr>
          <w:instrText xml:space="preserve"> </w:instrText>
        </w:r>
        <w:r>
          <w:rPr>
            <w:rStyle w:val="Hyperlink"/>
            <w:rtl/>
          </w:rPr>
        </w:r>
        <w:r>
          <w:rPr>
            <w:rStyle w:val="Hyperlink"/>
            <w:rtl/>
          </w:rPr>
          <w:fldChar w:fldCharType="separate"/>
        </w:r>
        <w:r w:rsidR="00D82181">
          <w:rPr>
            <w:webHidden/>
            <w:rtl/>
          </w:rPr>
          <w:t>54</w:t>
        </w:r>
        <w:r>
          <w:rPr>
            <w:rStyle w:val="Hyperlink"/>
            <w:rtl/>
          </w:rPr>
          <w:fldChar w:fldCharType="end"/>
        </w:r>
      </w:hyperlink>
    </w:p>
    <w:p w14:paraId="5FDAECF3" w14:textId="39CC96CF" w:rsidR="008009AA" w:rsidRDefault="008009AA">
      <w:pPr>
        <w:pStyle w:val="TOC7"/>
        <w:rPr>
          <w:rFonts w:cstheme="minorBidi"/>
          <w:sz w:val="22"/>
          <w:szCs w:val="22"/>
          <w:rtl/>
        </w:rPr>
      </w:pPr>
      <w:hyperlink w:anchor="_Toc163505586" w:history="1">
        <w:r w:rsidRPr="007246E7">
          <w:rPr>
            <w:rStyle w:val="Hyperlink"/>
            <w:rtl/>
          </w:rPr>
          <w:t>חידושי רבי ראובן גיטין סי' י"א ד"ה דבענין</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Toc163505586 \h</w:instrText>
        </w:r>
        <w:r>
          <w:rPr>
            <w:webHidden/>
            <w:rtl/>
          </w:rPr>
          <w:instrText xml:space="preserve"> </w:instrText>
        </w:r>
        <w:r>
          <w:rPr>
            <w:rStyle w:val="Hyperlink"/>
            <w:rtl/>
          </w:rPr>
        </w:r>
        <w:r>
          <w:rPr>
            <w:rStyle w:val="Hyperlink"/>
            <w:rtl/>
          </w:rPr>
          <w:fldChar w:fldCharType="separate"/>
        </w:r>
        <w:r w:rsidR="00D82181">
          <w:rPr>
            <w:webHidden/>
            <w:rtl/>
          </w:rPr>
          <w:t>54</w:t>
        </w:r>
        <w:r>
          <w:rPr>
            <w:rStyle w:val="Hyperlink"/>
            <w:rtl/>
          </w:rPr>
          <w:fldChar w:fldCharType="end"/>
        </w:r>
      </w:hyperlink>
    </w:p>
    <w:p w14:paraId="6CC1013D" w14:textId="54107373" w:rsidR="008009AA" w:rsidRDefault="008009AA">
      <w:pPr>
        <w:pStyle w:val="TOC7"/>
        <w:rPr>
          <w:rFonts w:cstheme="minorBidi"/>
          <w:sz w:val="22"/>
          <w:szCs w:val="22"/>
          <w:rtl/>
        </w:rPr>
      </w:pPr>
      <w:hyperlink w:anchor="_Toc163505587" w:history="1">
        <w:r w:rsidRPr="007246E7">
          <w:rPr>
            <w:rStyle w:val="Hyperlink"/>
            <w:rtl/>
          </w:rPr>
          <w:t>רש"י שבת ק"ז ע"ב ד"ה השולה, כסלע, חייב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Toc163505587 \h</w:instrText>
        </w:r>
        <w:r>
          <w:rPr>
            <w:webHidden/>
            <w:rtl/>
          </w:rPr>
          <w:instrText xml:space="preserve"> </w:instrText>
        </w:r>
        <w:r>
          <w:rPr>
            <w:rStyle w:val="Hyperlink"/>
            <w:rtl/>
          </w:rPr>
        </w:r>
        <w:r>
          <w:rPr>
            <w:rStyle w:val="Hyperlink"/>
            <w:rtl/>
          </w:rPr>
          <w:fldChar w:fldCharType="separate"/>
        </w:r>
        <w:r w:rsidR="00D82181">
          <w:rPr>
            <w:webHidden/>
            <w:rtl/>
          </w:rPr>
          <w:t>57</w:t>
        </w:r>
        <w:r>
          <w:rPr>
            <w:rStyle w:val="Hyperlink"/>
            <w:rtl/>
          </w:rPr>
          <w:fldChar w:fldCharType="end"/>
        </w:r>
      </w:hyperlink>
    </w:p>
    <w:p w14:paraId="43596EA1" w14:textId="60B65769" w:rsidR="008009AA" w:rsidRDefault="008009AA">
      <w:pPr>
        <w:pStyle w:val="TOC7"/>
        <w:rPr>
          <w:rFonts w:cstheme="minorBidi"/>
          <w:sz w:val="22"/>
          <w:szCs w:val="22"/>
          <w:rtl/>
        </w:rPr>
      </w:pPr>
      <w:hyperlink w:anchor="_Toc163505588" w:history="1">
        <w:r w:rsidRPr="007246E7">
          <w:rPr>
            <w:rStyle w:val="Hyperlink"/>
            <w:rtl/>
          </w:rPr>
          <w:t>רמב"ם שבת פי"א ה"א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Toc163505588 \h</w:instrText>
        </w:r>
        <w:r>
          <w:rPr>
            <w:webHidden/>
            <w:rtl/>
          </w:rPr>
          <w:instrText xml:space="preserve"> </w:instrText>
        </w:r>
        <w:r>
          <w:rPr>
            <w:rStyle w:val="Hyperlink"/>
            <w:rtl/>
          </w:rPr>
        </w:r>
        <w:r>
          <w:rPr>
            <w:rStyle w:val="Hyperlink"/>
            <w:rtl/>
          </w:rPr>
          <w:fldChar w:fldCharType="separate"/>
        </w:r>
        <w:r w:rsidR="00D82181">
          <w:rPr>
            <w:webHidden/>
            <w:rtl/>
          </w:rPr>
          <w:t>57</w:t>
        </w:r>
        <w:r>
          <w:rPr>
            <w:rStyle w:val="Hyperlink"/>
            <w:rtl/>
          </w:rPr>
          <w:fldChar w:fldCharType="end"/>
        </w:r>
      </w:hyperlink>
    </w:p>
    <w:p w14:paraId="58F5FEDD" w14:textId="2CE39982" w:rsidR="008009AA" w:rsidRDefault="008009AA">
      <w:pPr>
        <w:pStyle w:val="TOC7"/>
        <w:rPr>
          <w:rFonts w:cstheme="minorBidi"/>
          <w:sz w:val="22"/>
          <w:szCs w:val="22"/>
          <w:rtl/>
        </w:rPr>
      </w:pPr>
      <w:hyperlink w:anchor="_Toc163505589" w:history="1">
        <w:r w:rsidRPr="007246E7">
          <w:rPr>
            <w:rStyle w:val="Hyperlink"/>
            <w:rtl/>
          </w:rPr>
          <w:t>מגיד משנה שבת פי"א ה"א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Toc163505589 \h</w:instrText>
        </w:r>
        <w:r>
          <w:rPr>
            <w:webHidden/>
            <w:rtl/>
          </w:rPr>
          <w:instrText xml:space="preserve"> </w:instrText>
        </w:r>
        <w:r>
          <w:rPr>
            <w:rStyle w:val="Hyperlink"/>
            <w:rtl/>
          </w:rPr>
        </w:r>
        <w:r>
          <w:rPr>
            <w:rStyle w:val="Hyperlink"/>
            <w:rtl/>
          </w:rPr>
          <w:fldChar w:fldCharType="separate"/>
        </w:r>
        <w:r w:rsidR="00D82181">
          <w:rPr>
            <w:webHidden/>
            <w:rtl/>
          </w:rPr>
          <w:t>57</w:t>
        </w:r>
        <w:r>
          <w:rPr>
            <w:rStyle w:val="Hyperlink"/>
            <w:rtl/>
          </w:rPr>
          <w:fldChar w:fldCharType="end"/>
        </w:r>
      </w:hyperlink>
    </w:p>
    <w:p w14:paraId="703F3F18" w14:textId="2E3CF50F" w:rsidR="008009AA" w:rsidRDefault="008009AA">
      <w:pPr>
        <w:pStyle w:val="TOC7"/>
        <w:rPr>
          <w:rFonts w:cstheme="minorBidi"/>
          <w:sz w:val="22"/>
          <w:szCs w:val="22"/>
          <w:rtl/>
        </w:rPr>
      </w:pPr>
      <w:hyperlink w:anchor="_Toc163505590" w:history="1">
        <w:r w:rsidRPr="007246E7">
          <w:rPr>
            <w:rStyle w:val="Hyperlink"/>
            <w:rtl/>
          </w:rPr>
          <w:t>רבינו גרשום תענית כ"ד ע"א ד"ה שיבש</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Toc163505590 \h</w:instrText>
        </w:r>
        <w:r>
          <w:rPr>
            <w:webHidden/>
            <w:rtl/>
          </w:rPr>
          <w:instrText xml:space="preserve"> </w:instrText>
        </w:r>
        <w:r>
          <w:rPr>
            <w:rStyle w:val="Hyperlink"/>
            <w:rtl/>
          </w:rPr>
        </w:r>
        <w:r>
          <w:rPr>
            <w:rStyle w:val="Hyperlink"/>
            <w:rtl/>
          </w:rPr>
          <w:fldChar w:fldCharType="separate"/>
        </w:r>
        <w:r w:rsidR="00D82181">
          <w:rPr>
            <w:webHidden/>
            <w:rtl/>
          </w:rPr>
          <w:t>57</w:t>
        </w:r>
        <w:r>
          <w:rPr>
            <w:rStyle w:val="Hyperlink"/>
            <w:rtl/>
          </w:rPr>
          <w:fldChar w:fldCharType="end"/>
        </w:r>
      </w:hyperlink>
    </w:p>
    <w:p w14:paraId="4564819E" w14:textId="44C2B4AE" w:rsidR="008009AA" w:rsidRDefault="008009AA">
      <w:pPr>
        <w:pStyle w:val="TOC7"/>
        <w:rPr>
          <w:rFonts w:cstheme="minorBidi"/>
          <w:sz w:val="22"/>
          <w:szCs w:val="22"/>
          <w:rtl/>
        </w:rPr>
      </w:pPr>
      <w:hyperlink w:anchor="_Toc163505591" w:history="1">
        <w:r w:rsidRPr="007246E7">
          <w:rPr>
            <w:rStyle w:val="Hyperlink"/>
            <w:rtl/>
          </w:rPr>
          <w:t>חדושי הרמב"ן שבת ק"ז ע"ב ד"ה הא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Toc163505591 \h</w:instrText>
        </w:r>
        <w:r>
          <w:rPr>
            <w:webHidden/>
            <w:rtl/>
          </w:rPr>
          <w:instrText xml:space="preserve"> </w:instrText>
        </w:r>
        <w:r>
          <w:rPr>
            <w:rStyle w:val="Hyperlink"/>
            <w:rtl/>
          </w:rPr>
        </w:r>
        <w:r>
          <w:rPr>
            <w:rStyle w:val="Hyperlink"/>
            <w:rtl/>
          </w:rPr>
          <w:fldChar w:fldCharType="separate"/>
        </w:r>
        <w:r w:rsidR="00D82181">
          <w:rPr>
            <w:webHidden/>
            <w:rtl/>
          </w:rPr>
          <w:t>57</w:t>
        </w:r>
        <w:r>
          <w:rPr>
            <w:rStyle w:val="Hyperlink"/>
            <w:rtl/>
          </w:rPr>
          <w:fldChar w:fldCharType="end"/>
        </w:r>
      </w:hyperlink>
    </w:p>
    <w:p w14:paraId="3BCD54A7" w14:textId="45584616" w:rsidR="008009AA" w:rsidRDefault="008009AA">
      <w:pPr>
        <w:pStyle w:val="TOC7"/>
        <w:rPr>
          <w:rFonts w:cstheme="minorBidi"/>
          <w:sz w:val="22"/>
          <w:szCs w:val="22"/>
          <w:rtl/>
        </w:rPr>
      </w:pPr>
      <w:hyperlink w:anchor="_Toc163505592" w:history="1">
        <w:r w:rsidRPr="007246E7">
          <w:rPr>
            <w:rStyle w:val="Hyperlink"/>
            <w:rtl/>
          </w:rPr>
          <w:t>מנחת חינוך מוסך השבת הקוצר אות ב' ד"ה וברשב"א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Toc163505592 \h</w:instrText>
        </w:r>
        <w:r>
          <w:rPr>
            <w:webHidden/>
            <w:rtl/>
          </w:rPr>
          <w:instrText xml:space="preserve"> </w:instrText>
        </w:r>
        <w:r>
          <w:rPr>
            <w:rStyle w:val="Hyperlink"/>
            <w:rtl/>
          </w:rPr>
        </w:r>
        <w:r>
          <w:rPr>
            <w:rStyle w:val="Hyperlink"/>
            <w:rtl/>
          </w:rPr>
          <w:fldChar w:fldCharType="separate"/>
        </w:r>
        <w:r w:rsidR="00D82181">
          <w:rPr>
            <w:webHidden/>
            <w:rtl/>
          </w:rPr>
          <w:t>57</w:t>
        </w:r>
        <w:r>
          <w:rPr>
            <w:rStyle w:val="Hyperlink"/>
            <w:rtl/>
          </w:rPr>
          <w:fldChar w:fldCharType="end"/>
        </w:r>
      </w:hyperlink>
    </w:p>
    <w:p w14:paraId="4F3564BB" w14:textId="2E8D9827" w:rsidR="008009AA" w:rsidRDefault="008009AA">
      <w:pPr>
        <w:pStyle w:val="TOC7"/>
        <w:rPr>
          <w:rFonts w:cstheme="minorBidi"/>
          <w:sz w:val="22"/>
          <w:szCs w:val="22"/>
          <w:rtl/>
        </w:rPr>
      </w:pPr>
      <w:hyperlink w:anchor="_Toc163505593" w:history="1">
        <w:r w:rsidRPr="007246E7">
          <w:rPr>
            <w:rStyle w:val="Hyperlink"/>
            <w:rtl/>
          </w:rPr>
          <w:t>מהרי"ט אלגאזי הלכות בכורות פ"ג יח ע"א אות מ' סק"ב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Toc163505593 \h</w:instrText>
        </w:r>
        <w:r>
          <w:rPr>
            <w:webHidden/>
            <w:rtl/>
          </w:rPr>
          <w:instrText xml:space="preserve"> </w:instrText>
        </w:r>
        <w:r>
          <w:rPr>
            <w:rStyle w:val="Hyperlink"/>
            <w:rtl/>
          </w:rPr>
        </w:r>
        <w:r>
          <w:rPr>
            <w:rStyle w:val="Hyperlink"/>
            <w:rtl/>
          </w:rPr>
          <w:fldChar w:fldCharType="separate"/>
        </w:r>
        <w:r w:rsidR="00D82181">
          <w:rPr>
            <w:webHidden/>
            <w:rtl/>
          </w:rPr>
          <w:t>57</w:t>
        </w:r>
        <w:r>
          <w:rPr>
            <w:rStyle w:val="Hyperlink"/>
            <w:rtl/>
          </w:rPr>
          <w:fldChar w:fldCharType="end"/>
        </w:r>
      </w:hyperlink>
    </w:p>
    <w:p w14:paraId="4E664083" w14:textId="3643596A" w:rsidR="008009AA" w:rsidRDefault="008009AA">
      <w:pPr>
        <w:pStyle w:val="TOC7"/>
        <w:rPr>
          <w:rFonts w:cstheme="minorBidi"/>
          <w:sz w:val="22"/>
          <w:szCs w:val="22"/>
          <w:rtl/>
        </w:rPr>
      </w:pPr>
      <w:hyperlink w:anchor="_Toc163505594" w:history="1">
        <w:r w:rsidRPr="007246E7">
          <w:rPr>
            <w:rStyle w:val="Hyperlink"/>
            <w:rtl/>
          </w:rPr>
          <w:t>הרוקח הלכות שבת סי' נט</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Toc163505594 \h</w:instrText>
        </w:r>
        <w:r>
          <w:rPr>
            <w:webHidden/>
            <w:rtl/>
          </w:rPr>
          <w:instrText xml:space="preserve"> </w:instrText>
        </w:r>
        <w:r>
          <w:rPr>
            <w:rStyle w:val="Hyperlink"/>
            <w:rtl/>
          </w:rPr>
        </w:r>
        <w:r>
          <w:rPr>
            <w:rStyle w:val="Hyperlink"/>
            <w:rtl/>
          </w:rPr>
          <w:fldChar w:fldCharType="separate"/>
        </w:r>
        <w:r w:rsidR="00D82181">
          <w:rPr>
            <w:webHidden/>
            <w:rtl/>
          </w:rPr>
          <w:t>57</w:t>
        </w:r>
        <w:r>
          <w:rPr>
            <w:rStyle w:val="Hyperlink"/>
            <w:rtl/>
          </w:rPr>
          <w:fldChar w:fldCharType="end"/>
        </w:r>
      </w:hyperlink>
    </w:p>
    <w:p w14:paraId="43C5AE9E" w14:textId="741C4896" w:rsidR="008009AA" w:rsidRDefault="008009AA">
      <w:pPr>
        <w:pStyle w:val="TOC7"/>
        <w:rPr>
          <w:rFonts w:cstheme="minorBidi"/>
          <w:sz w:val="22"/>
          <w:szCs w:val="22"/>
          <w:rtl/>
        </w:rPr>
      </w:pPr>
      <w:hyperlink w:anchor="_Toc163505595" w:history="1">
        <w:r w:rsidRPr="007246E7">
          <w:rPr>
            <w:rStyle w:val="Hyperlink"/>
            <w:rtl/>
          </w:rPr>
          <w:t>כלבו סי' נח ד"ה מצודות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Toc163505595 \h</w:instrText>
        </w:r>
        <w:r>
          <w:rPr>
            <w:webHidden/>
            <w:rtl/>
          </w:rPr>
          <w:instrText xml:space="preserve"> </w:instrText>
        </w:r>
        <w:r>
          <w:rPr>
            <w:rStyle w:val="Hyperlink"/>
            <w:rtl/>
          </w:rPr>
        </w:r>
        <w:r>
          <w:rPr>
            <w:rStyle w:val="Hyperlink"/>
            <w:rtl/>
          </w:rPr>
          <w:fldChar w:fldCharType="separate"/>
        </w:r>
        <w:r w:rsidR="00D82181">
          <w:rPr>
            <w:webHidden/>
            <w:rtl/>
          </w:rPr>
          <w:t>57</w:t>
        </w:r>
        <w:r>
          <w:rPr>
            <w:rStyle w:val="Hyperlink"/>
            <w:rtl/>
          </w:rPr>
          <w:fldChar w:fldCharType="end"/>
        </w:r>
      </w:hyperlink>
    </w:p>
    <w:p w14:paraId="11C8B2C0" w14:textId="7CA62DE0" w:rsidR="008009AA" w:rsidRDefault="008009AA">
      <w:pPr>
        <w:pStyle w:val="TOC7"/>
        <w:rPr>
          <w:rFonts w:cstheme="minorBidi"/>
          <w:sz w:val="22"/>
          <w:szCs w:val="22"/>
          <w:rtl/>
        </w:rPr>
      </w:pPr>
      <w:hyperlink w:anchor="_Toc163505596" w:history="1">
        <w:r w:rsidRPr="007246E7">
          <w:rPr>
            <w:rStyle w:val="Hyperlink"/>
            <w:rtl/>
          </w:rPr>
          <w:t>קרבן העדה שבת פ"ז מ"ח 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Toc163505596 \h</w:instrText>
        </w:r>
        <w:r>
          <w:rPr>
            <w:webHidden/>
            <w:rtl/>
          </w:rPr>
          <w:instrText xml:space="preserve"> </w:instrText>
        </w:r>
        <w:r>
          <w:rPr>
            <w:rStyle w:val="Hyperlink"/>
            <w:rtl/>
          </w:rPr>
        </w:r>
        <w:r>
          <w:rPr>
            <w:rStyle w:val="Hyperlink"/>
            <w:rtl/>
          </w:rPr>
          <w:fldChar w:fldCharType="separate"/>
        </w:r>
        <w:r w:rsidR="00D82181">
          <w:rPr>
            <w:webHidden/>
            <w:rtl/>
          </w:rPr>
          <w:t>58</w:t>
        </w:r>
        <w:r>
          <w:rPr>
            <w:rStyle w:val="Hyperlink"/>
            <w:rtl/>
          </w:rPr>
          <w:fldChar w:fldCharType="end"/>
        </w:r>
      </w:hyperlink>
    </w:p>
    <w:p w14:paraId="5B7E30F0" w14:textId="054BC142" w:rsidR="008009AA" w:rsidRDefault="008009AA">
      <w:pPr>
        <w:pStyle w:val="TOC7"/>
        <w:rPr>
          <w:rFonts w:cstheme="minorBidi"/>
          <w:sz w:val="22"/>
          <w:szCs w:val="22"/>
          <w:rtl/>
        </w:rPr>
      </w:pPr>
      <w:hyperlink w:anchor="_Toc163505597" w:history="1">
        <w:r w:rsidRPr="007246E7">
          <w:rPr>
            <w:rStyle w:val="Hyperlink"/>
            <w:rtl/>
          </w:rPr>
          <w:t>פני משה שבת פ"ז מ"ח 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Toc163505597 \h</w:instrText>
        </w:r>
        <w:r>
          <w:rPr>
            <w:webHidden/>
            <w:rtl/>
          </w:rPr>
          <w:instrText xml:space="preserve"> </w:instrText>
        </w:r>
        <w:r>
          <w:rPr>
            <w:rStyle w:val="Hyperlink"/>
            <w:rtl/>
          </w:rPr>
        </w:r>
        <w:r>
          <w:rPr>
            <w:rStyle w:val="Hyperlink"/>
            <w:rtl/>
          </w:rPr>
          <w:fldChar w:fldCharType="separate"/>
        </w:r>
        <w:r w:rsidR="00D82181">
          <w:rPr>
            <w:webHidden/>
            <w:rtl/>
          </w:rPr>
          <w:t>58</w:t>
        </w:r>
        <w:r>
          <w:rPr>
            <w:rStyle w:val="Hyperlink"/>
            <w:rtl/>
          </w:rPr>
          <w:fldChar w:fldCharType="end"/>
        </w:r>
      </w:hyperlink>
    </w:p>
    <w:p w14:paraId="13284214" w14:textId="61727AC9" w:rsidR="008009AA" w:rsidRDefault="008009AA">
      <w:pPr>
        <w:pStyle w:val="TOC7"/>
        <w:rPr>
          <w:rFonts w:cstheme="minorBidi"/>
          <w:sz w:val="22"/>
          <w:szCs w:val="22"/>
          <w:rtl/>
        </w:rPr>
      </w:pPr>
      <w:hyperlink w:anchor="_Toc163505598" w:history="1">
        <w:r w:rsidRPr="007246E7">
          <w:rPr>
            <w:rStyle w:val="Hyperlink"/>
            <w:rtl/>
          </w:rPr>
          <w:t>ים של שלמה ביצה פ"ג סי' ב' ד"ה ולענין</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Toc163505598 \h</w:instrText>
        </w:r>
        <w:r>
          <w:rPr>
            <w:webHidden/>
            <w:rtl/>
          </w:rPr>
          <w:instrText xml:space="preserve"> </w:instrText>
        </w:r>
        <w:r>
          <w:rPr>
            <w:rStyle w:val="Hyperlink"/>
            <w:rtl/>
          </w:rPr>
        </w:r>
        <w:r>
          <w:rPr>
            <w:rStyle w:val="Hyperlink"/>
            <w:rtl/>
          </w:rPr>
          <w:fldChar w:fldCharType="separate"/>
        </w:r>
        <w:r w:rsidR="00D82181">
          <w:rPr>
            <w:webHidden/>
            <w:rtl/>
          </w:rPr>
          <w:t>58</w:t>
        </w:r>
        <w:r>
          <w:rPr>
            <w:rStyle w:val="Hyperlink"/>
            <w:rtl/>
          </w:rPr>
          <w:fldChar w:fldCharType="end"/>
        </w:r>
      </w:hyperlink>
    </w:p>
    <w:p w14:paraId="0A7BB968" w14:textId="6A312D33" w:rsidR="008009AA" w:rsidRDefault="008009AA">
      <w:pPr>
        <w:pStyle w:val="TOC7"/>
        <w:rPr>
          <w:rFonts w:cstheme="minorBidi"/>
          <w:sz w:val="22"/>
          <w:szCs w:val="22"/>
          <w:rtl/>
        </w:rPr>
      </w:pPr>
      <w:hyperlink w:anchor="_Toc163505599" w:history="1">
        <w:r w:rsidRPr="007246E7">
          <w:rPr>
            <w:rStyle w:val="Hyperlink"/>
            <w:rtl/>
          </w:rPr>
          <w:t>מגן אברהם סימן תצז ס"ק 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Toc163505599 \h</w:instrText>
        </w:r>
        <w:r>
          <w:rPr>
            <w:webHidden/>
            <w:rtl/>
          </w:rPr>
          <w:instrText xml:space="preserve"> </w:instrText>
        </w:r>
        <w:r>
          <w:rPr>
            <w:rStyle w:val="Hyperlink"/>
            <w:rtl/>
          </w:rPr>
        </w:r>
        <w:r>
          <w:rPr>
            <w:rStyle w:val="Hyperlink"/>
            <w:rtl/>
          </w:rPr>
          <w:fldChar w:fldCharType="separate"/>
        </w:r>
        <w:r w:rsidR="00D82181">
          <w:rPr>
            <w:webHidden/>
            <w:rtl/>
          </w:rPr>
          <w:t>58</w:t>
        </w:r>
        <w:r>
          <w:rPr>
            <w:rStyle w:val="Hyperlink"/>
            <w:rtl/>
          </w:rPr>
          <w:fldChar w:fldCharType="end"/>
        </w:r>
      </w:hyperlink>
    </w:p>
    <w:p w14:paraId="478490D7" w14:textId="4260116B" w:rsidR="008009AA" w:rsidRDefault="008009AA">
      <w:pPr>
        <w:pStyle w:val="TOC7"/>
        <w:rPr>
          <w:rFonts w:cstheme="minorBidi"/>
          <w:sz w:val="22"/>
          <w:szCs w:val="22"/>
          <w:rtl/>
        </w:rPr>
      </w:pPr>
      <w:hyperlink w:anchor="_Toc163505600" w:history="1">
        <w:r w:rsidRPr="007246E7">
          <w:rPr>
            <w:rStyle w:val="Hyperlink"/>
            <w:rtl/>
          </w:rPr>
          <w:t>פרי מגדים אורח חיים אשל אברהם סימן שטז ס"ק יז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Toc163505600 \h</w:instrText>
        </w:r>
        <w:r>
          <w:rPr>
            <w:webHidden/>
            <w:rtl/>
          </w:rPr>
          <w:instrText xml:space="preserve"> </w:instrText>
        </w:r>
        <w:r>
          <w:rPr>
            <w:rStyle w:val="Hyperlink"/>
            <w:rtl/>
          </w:rPr>
        </w:r>
        <w:r>
          <w:rPr>
            <w:rStyle w:val="Hyperlink"/>
            <w:rtl/>
          </w:rPr>
          <w:fldChar w:fldCharType="separate"/>
        </w:r>
        <w:r w:rsidR="00D82181">
          <w:rPr>
            <w:webHidden/>
            <w:rtl/>
          </w:rPr>
          <w:t>58</w:t>
        </w:r>
        <w:r>
          <w:rPr>
            <w:rStyle w:val="Hyperlink"/>
            <w:rtl/>
          </w:rPr>
          <w:fldChar w:fldCharType="end"/>
        </w:r>
      </w:hyperlink>
    </w:p>
    <w:p w14:paraId="43B55B93" w14:textId="76E78DE4" w:rsidR="008009AA" w:rsidRDefault="008009AA">
      <w:pPr>
        <w:pStyle w:val="TOC7"/>
        <w:rPr>
          <w:rFonts w:cstheme="minorBidi"/>
          <w:sz w:val="22"/>
          <w:szCs w:val="22"/>
          <w:rtl/>
        </w:rPr>
      </w:pPr>
      <w:hyperlink w:anchor="_Toc163505601" w:history="1">
        <w:r w:rsidRPr="007246E7">
          <w:rPr>
            <w:rStyle w:val="Hyperlink"/>
            <w:rtl/>
          </w:rPr>
          <w:t>מחצית השקל או"ח סימן תצז ס"ק 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Toc163505601 \h</w:instrText>
        </w:r>
        <w:r>
          <w:rPr>
            <w:webHidden/>
            <w:rtl/>
          </w:rPr>
          <w:instrText xml:space="preserve"> </w:instrText>
        </w:r>
        <w:r>
          <w:rPr>
            <w:rStyle w:val="Hyperlink"/>
            <w:rtl/>
          </w:rPr>
        </w:r>
        <w:r>
          <w:rPr>
            <w:rStyle w:val="Hyperlink"/>
            <w:rtl/>
          </w:rPr>
          <w:fldChar w:fldCharType="separate"/>
        </w:r>
        <w:r w:rsidR="00D82181">
          <w:rPr>
            <w:webHidden/>
            <w:rtl/>
          </w:rPr>
          <w:t>58</w:t>
        </w:r>
        <w:r>
          <w:rPr>
            <w:rStyle w:val="Hyperlink"/>
            <w:rtl/>
          </w:rPr>
          <w:fldChar w:fldCharType="end"/>
        </w:r>
      </w:hyperlink>
    </w:p>
    <w:p w14:paraId="1F86FD95" w14:textId="7B00F51A" w:rsidR="008009AA" w:rsidRDefault="008009AA">
      <w:pPr>
        <w:pStyle w:val="TOC7"/>
        <w:rPr>
          <w:rFonts w:cstheme="minorBidi"/>
          <w:sz w:val="22"/>
          <w:szCs w:val="22"/>
          <w:rtl/>
        </w:rPr>
      </w:pPr>
      <w:hyperlink w:anchor="_Toc163505602" w:history="1">
        <w:r w:rsidRPr="007246E7">
          <w:rPr>
            <w:rStyle w:val="Hyperlink"/>
            <w:rtl/>
          </w:rPr>
          <w:t>רבינו חננאל שבת ק"ז ע"ב ד"ה אמר שמואל</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Toc163505602 \h</w:instrText>
        </w:r>
        <w:r>
          <w:rPr>
            <w:webHidden/>
            <w:rtl/>
          </w:rPr>
          <w:instrText xml:space="preserve"> </w:instrText>
        </w:r>
        <w:r>
          <w:rPr>
            <w:rStyle w:val="Hyperlink"/>
            <w:rtl/>
          </w:rPr>
        </w:r>
        <w:r>
          <w:rPr>
            <w:rStyle w:val="Hyperlink"/>
            <w:rtl/>
          </w:rPr>
          <w:fldChar w:fldCharType="separate"/>
        </w:r>
        <w:r w:rsidR="00D82181">
          <w:rPr>
            <w:webHidden/>
            <w:rtl/>
          </w:rPr>
          <w:t>58</w:t>
        </w:r>
        <w:r>
          <w:rPr>
            <w:rStyle w:val="Hyperlink"/>
            <w:rtl/>
          </w:rPr>
          <w:fldChar w:fldCharType="end"/>
        </w:r>
      </w:hyperlink>
    </w:p>
    <w:p w14:paraId="18BAF52E" w14:textId="04C5ED31" w:rsidR="008009AA" w:rsidRDefault="008009AA">
      <w:pPr>
        <w:pStyle w:val="TOC7"/>
        <w:rPr>
          <w:rFonts w:cstheme="minorBidi"/>
          <w:sz w:val="22"/>
          <w:szCs w:val="22"/>
          <w:rtl/>
        </w:rPr>
      </w:pPr>
      <w:hyperlink w:anchor="_Toc163505603" w:history="1">
        <w:r w:rsidRPr="007246E7">
          <w:rPr>
            <w:rStyle w:val="Hyperlink"/>
            <w:rtl/>
          </w:rPr>
          <w:t>שיירי קרבן שבת פ"ז ה"ב ד"ה כל דבר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Toc163505603 \h</w:instrText>
        </w:r>
        <w:r>
          <w:rPr>
            <w:webHidden/>
            <w:rtl/>
          </w:rPr>
          <w:instrText xml:space="preserve"> </w:instrText>
        </w:r>
        <w:r>
          <w:rPr>
            <w:rStyle w:val="Hyperlink"/>
            <w:rtl/>
          </w:rPr>
        </w:r>
        <w:r>
          <w:rPr>
            <w:rStyle w:val="Hyperlink"/>
            <w:rtl/>
          </w:rPr>
          <w:fldChar w:fldCharType="separate"/>
        </w:r>
        <w:r w:rsidR="00D82181">
          <w:rPr>
            <w:webHidden/>
            <w:rtl/>
          </w:rPr>
          <w:t>58</w:t>
        </w:r>
        <w:r>
          <w:rPr>
            <w:rStyle w:val="Hyperlink"/>
            <w:rtl/>
          </w:rPr>
          <w:fldChar w:fldCharType="end"/>
        </w:r>
      </w:hyperlink>
    </w:p>
    <w:p w14:paraId="575C9417" w14:textId="1E8C7C04" w:rsidR="008009AA" w:rsidRDefault="008009AA">
      <w:pPr>
        <w:pStyle w:val="TOC7"/>
        <w:rPr>
          <w:rFonts w:cstheme="minorBidi"/>
          <w:sz w:val="22"/>
          <w:szCs w:val="22"/>
          <w:rtl/>
        </w:rPr>
      </w:pPr>
      <w:hyperlink w:anchor="_Toc163505604" w:history="1">
        <w:r w:rsidRPr="007246E7">
          <w:rPr>
            <w:rStyle w:val="Hyperlink"/>
            <w:rtl/>
          </w:rPr>
          <w:t>רש"ש שבת ע"ג ע"א ד"ה במשנה הזורע</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Toc163505604 \h</w:instrText>
        </w:r>
        <w:r>
          <w:rPr>
            <w:webHidden/>
            <w:rtl/>
          </w:rPr>
          <w:instrText xml:space="preserve"> </w:instrText>
        </w:r>
        <w:r>
          <w:rPr>
            <w:rStyle w:val="Hyperlink"/>
            <w:rtl/>
          </w:rPr>
        </w:r>
        <w:r>
          <w:rPr>
            <w:rStyle w:val="Hyperlink"/>
            <w:rtl/>
          </w:rPr>
          <w:fldChar w:fldCharType="separate"/>
        </w:r>
        <w:r w:rsidR="00D82181">
          <w:rPr>
            <w:webHidden/>
            <w:rtl/>
          </w:rPr>
          <w:t>58</w:t>
        </w:r>
        <w:r>
          <w:rPr>
            <w:rStyle w:val="Hyperlink"/>
            <w:rtl/>
          </w:rPr>
          <w:fldChar w:fldCharType="end"/>
        </w:r>
      </w:hyperlink>
    </w:p>
    <w:p w14:paraId="15AA20E8" w14:textId="24D7FE14" w:rsidR="008009AA" w:rsidRDefault="008009AA">
      <w:pPr>
        <w:pStyle w:val="TOC7"/>
        <w:rPr>
          <w:rFonts w:cstheme="minorBidi"/>
          <w:sz w:val="22"/>
          <w:szCs w:val="22"/>
          <w:rtl/>
        </w:rPr>
      </w:pPr>
      <w:hyperlink w:anchor="_Toc163505605" w:history="1">
        <w:r w:rsidRPr="007246E7">
          <w:rPr>
            <w:rStyle w:val="Hyperlink"/>
            <w:rtl/>
          </w:rPr>
          <w:t>אגלי טל קוצר סקכ"ו ד"ה ולפענ"ד ליתא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Toc163505605 \h</w:instrText>
        </w:r>
        <w:r>
          <w:rPr>
            <w:webHidden/>
            <w:rtl/>
          </w:rPr>
          <w:instrText xml:space="preserve"> </w:instrText>
        </w:r>
        <w:r>
          <w:rPr>
            <w:rStyle w:val="Hyperlink"/>
            <w:rtl/>
          </w:rPr>
        </w:r>
        <w:r>
          <w:rPr>
            <w:rStyle w:val="Hyperlink"/>
            <w:rtl/>
          </w:rPr>
          <w:fldChar w:fldCharType="separate"/>
        </w:r>
        <w:r w:rsidR="00D82181">
          <w:rPr>
            <w:webHidden/>
            <w:rtl/>
          </w:rPr>
          <w:t>58</w:t>
        </w:r>
        <w:r>
          <w:rPr>
            <w:rStyle w:val="Hyperlink"/>
            <w:rtl/>
          </w:rPr>
          <w:fldChar w:fldCharType="end"/>
        </w:r>
      </w:hyperlink>
    </w:p>
    <w:p w14:paraId="3ABD22FF" w14:textId="2AE3DD02" w:rsidR="008009AA" w:rsidRDefault="008009AA">
      <w:pPr>
        <w:pStyle w:val="TOC7"/>
        <w:rPr>
          <w:rFonts w:cstheme="minorBidi"/>
          <w:sz w:val="22"/>
          <w:szCs w:val="22"/>
          <w:rtl/>
        </w:rPr>
      </w:pPr>
      <w:hyperlink w:anchor="_Toc163505606" w:history="1">
        <w:r w:rsidRPr="007246E7">
          <w:rPr>
            <w:rStyle w:val="Hyperlink"/>
            <w:rtl/>
          </w:rPr>
          <w:t>אגלי טל קוצר סקכ"ו ד"ה ונלפע"ד דהא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Toc163505606 \h</w:instrText>
        </w:r>
        <w:r>
          <w:rPr>
            <w:webHidden/>
            <w:rtl/>
          </w:rPr>
          <w:instrText xml:space="preserve"> </w:instrText>
        </w:r>
        <w:r>
          <w:rPr>
            <w:rStyle w:val="Hyperlink"/>
            <w:rtl/>
          </w:rPr>
        </w:r>
        <w:r>
          <w:rPr>
            <w:rStyle w:val="Hyperlink"/>
            <w:rtl/>
          </w:rPr>
          <w:fldChar w:fldCharType="separate"/>
        </w:r>
        <w:r w:rsidR="00D82181">
          <w:rPr>
            <w:webHidden/>
            <w:rtl/>
          </w:rPr>
          <w:t>59</w:t>
        </w:r>
        <w:r>
          <w:rPr>
            <w:rStyle w:val="Hyperlink"/>
            <w:rtl/>
          </w:rPr>
          <w:fldChar w:fldCharType="end"/>
        </w:r>
      </w:hyperlink>
    </w:p>
    <w:p w14:paraId="04F46BC1" w14:textId="2860503C" w:rsidR="008009AA" w:rsidRDefault="008009AA">
      <w:pPr>
        <w:pStyle w:val="TOC7"/>
        <w:rPr>
          <w:rFonts w:cstheme="minorBidi"/>
          <w:sz w:val="22"/>
          <w:szCs w:val="22"/>
          <w:rtl/>
        </w:rPr>
      </w:pPr>
      <w:hyperlink w:anchor="_Toc163505607" w:history="1">
        <w:r w:rsidRPr="007246E7">
          <w:rPr>
            <w:rStyle w:val="Hyperlink"/>
            <w:rtl/>
          </w:rPr>
          <w:t>חדושי הרמב"ן שבת ק"ז ע"ב ד"ה הא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Toc163505607 \h</w:instrText>
        </w:r>
        <w:r>
          <w:rPr>
            <w:webHidden/>
            <w:rtl/>
          </w:rPr>
          <w:instrText xml:space="preserve"> </w:instrText>
        </w:r>
        <w:r>
          <w:rPr>
            <w:rStyle w:val="Hyperlink"/>
            <w:rtl/>
          </w:rPr>
        </w:r>
        <w:r>
          <w:rPr>
            <w:rStyle w:val="Hyperlink"/>
            <w:rtl/>
          </w:rPr>
          <w:fldChar w:fldCharType="separate"/>
        </w:r>
        <w:r w:rsidR="00D82181">
          <w:rPr>
            <w:webHidden/>
            <w:rtl/>
          </w:rPr>
          <w:t>59</w:t>
        </w:r>
        <w:r>
          <w:rPr>
            <w:rStyle w:val="Hyperlink"/>
            <w:rtl/>
          </w:rPr>
          <w:fldChar w:fldCharType="end"/>
        </w:r>
      </w:hyperlink>
    </w:p>
    <w:p w14:paraId="2FD679CC" w14:textId="2C575BCA" w:rsidR="008009AA" w:rsidRDefault="008009AA">
      <w:pPr>
        <w:pStyle w:val="TOC7"/>
        <w:rPr>
          <w:rFonts w:cstheme="minorBidi"/>
          <w:sz w:val="22"/>
          <w:szCs w:val="22"/>
          <w:rtl/>
        </w:rPr>
      </w:pPr>
      <w:hyperlink w:anchor="_Toc163505608" w:history="1">
        <w:r w:rsidRPr="007246E7">
          <w:rPr>
            <w:rStyle w:val="Hyperlink"/>
            <w:rtl/>
          </w:rPr>
          <w:t>רמב"ם שבת פי"א ה"א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Toc163505608 \h</w:instrText>
        </w:r>
        <w:r>
          <w:rPr>
            <w:webHidden/>
            <w:rtl/>
          </w:rPr>
          <w:instrText xml:space="preserve"> </w:instrText>
        </w:r>
        <w:r>
          <w:rPr>
            <w:rStyle w:val="Hyperlink"/>
            <w:rtl/>
          </w:rPr>
        </w:r>
        <w:r>
          <w:rPr>
            <w:rStyle w:val="Hyperlink"/>
            <w:rtl/>
          </w:rPr>
          <w:fldChar w:fldCharType="separate"/>
        </w:r>
        <w:r w:rsidR="00D82181">
          <w:rPr>
            <w:webHidden/>
            <w:rtl/>
          </w:rPr>
          <w:t>59</w:t>
        </w:r>
        <w:r>
          <w:rPr>
            <w:rStyle w:val="Hyperlink"/>
            <w:rtl/>
          </w:rPr>
          <w:fldChar w:fldCharType="end"/>
        </w:r>
      </w:hyperlink>
    </w:p>
    <w:p w14:paraId="520B40CE" w14:textId="14ABEC0B" w:rsidR="008009AA" w:rsidRDefault="008009AA">
      <w:pPr>
        <w:pStyle w:val="TOC7"/>
        <w:rPr>
          <w:rFonts w:cstheme="minorBidi"/>
          <w:sz w:val="22"/>
          <w:szCs w:val="22"/>
          <w:rtl/>
        </w:rPr>
      </w:pPr>
      <w:hyperlink w:anchor="_Toc163505609" w:history="1">
        <w:r w:rsidRPr="007246E7">
          <w:rPr>
            <w:rStyle w:val="Hyperlink"/>
            <w:rtl/>
          </w:rPr>
          <w:t>רבינו חננאל שבת ק"ז ע"ב ד"ה הא דאמר שמואל</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Toc163505609 \h</w:instrText>
        </w:r>
        <w:r>
          <w:rPr>
            <w:webHidden/>
            <w:rtl/>
          </w:rPr>
          <w:instrText xml:space="preserve"> </w:instrText>
        </w:r>
        <w:r>
          <w:rPr>
            <w:rStyle w:val="Hyperlink"/>
            <w:rtl/>
          </w:rPr>
        </w:r>
        <w:r>
          <w:rPr>
            <w:rStyle w:val="Hyperlink"/>
            <w:rtl/>
          </w:rPr>
          <w:fldChar w:fldCharType="separate"/>
        </w:r>
        <w:r w:rsidR="00D82181">
          <w:rPr>
            <w:webHidden/>
            <w:rtl/>
          </w:rPr>
          <w:t>59</w:t>
        </w:r>
        <w:r>
          <w:rPr>
            <w:rStyle w:val="Hyperlink"/>
            <w:rtl/>
          </w:rPr>
          <w:fldChar w:fldCharType="end"/>
        </w:r>
      </w:hyperlink>
    </w:p>
    <w:p w14:paraId="14C1F36F" w14:textId="50EE04A6" w:rsidR="008009AA" w:rsidRDefault="008009AA">
      <w:pPr>
        <w:pStyle w:val="TOC7"/>
        <w:rPr>
          <w:rFonts w:cstheme="minorBidi"/>
          <w:sz w:val="22"/>
          <w:szCs w:val="22"/>
          <w:rtl/>
        </w:rPr>
      </w:pPr>
      <w:hyperlink w:anchor="_Toc163505610" w:history="1">
        <w:r w:rsidRPr="007246E7">
          <w:rPr>
            <w:rStyle w:val="Hyperlink"/>
            <w:rtl/>
          </w:rPr>
          <w:t>מאירי שבת ק"ז ע"ב ד"ה הושיט</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Toc163505610 \h</w:instrText>
        </w:r>
        <w:r>
          <w:rPr>
            <w:webHidden/>
            <w:rtl/>
          </w:rPr>
          <w:instrText xml:space="preserve"> </w:instrText>
        </w:r>
        <w:r>
          <w:rPr>
            <w:rStyle w:val="Hyperlink"/>
            <w:rtl/>
          </w:rPr>
        </w:r>
        <w:r>
          <w:rPr>
            <w:rStyle w:val="Hyperlink"/>
            <w:rtl/>
          </w:rPr>
          <w:fldChar w:fldCharType="separate"/>
        </w:r>
        <w:r w:rsidR="00D82181">
          <w:rPr>
            <w:webHidden/>
            <w:rtl/>
          </w:rPr>
          <w:t>59</w:t>
        </w:r>
        <w:r>
          <w:rPr>
            <w:rStyle w:val="Hyperlink"/>
            <w:rtl/>
          </w:rPr>
          <w:fldChar w:fldCharType="end"/>
        </w:r>
      </w:hyperlink>
    </w:p>
    <w:p w14:paraId="6FA49F92" w14:textId="51FE6A30" w:rsidR="008009AA" w:rsidRDefault="008009AA">
      <w:pPr>
        <w:pStyle w:val="TOC7"/>
        <w:rPr>
          <w:rFonts w:cstheme="minorBidi"/>
          <w:sz w:val="22"/>
          <w:szCs w:val="22"/>
          <w:rtl/>
        </w:rPr>
      </w:pPr>
      <w:hyperlink w:anchor="_Toc163505611" w:history="1">
        <w:r w:rsidRPr="007246E7">
          <w:rPr>
            <w:rStyle w:val="Hyperlink"/>
            <w:rtl/>
          </w:rPr>
          <w:t>רש"י שבת צ"ה ע"א ד"ה מפרק</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Toc163505611 \h</w:instrText>
        </w:r>
        <w:r>
          <w:rPr>
            <w:webHidden/>
            <w:rtl/>
          </w:rPr>
          <w:instrText xml:space="preserve"> </w:instrText>
        </w:r>
        <w:r>
          <w:rPr>
            <w:rStyle w:val="Hyperlink"/>
            <w:rtl/>
          </w:rPr>
        </w:r>
        <w:r>
          <w:rPr>
            <w:rStyle w:val="Hyperlink"/>
            <w:rtl/>
          </w:rPr>
          <w:fldChar w:fldCharType="separate"/>
        </w:r>
        <w:r w:rsidR="00D82181">
          <w:rPr>
            <w:webHidden/>
            <w:rtl/>
          </w:rPr>
          <w:t>59</w:t>
        </w:r>
        <w:r>
          <w:rPr>
            <w:rStyle w:val="Hyperlink"/>
            <w:rtl/>
          </w:rPr>
          <w:fldChar w:fldCharType="end"/>
        </w:r>
      </w:hyperlink>
    </w:p>
    <w:p w14:paraId="198A915D" w14:textId="3954A850" w:rsidR="008009AA" w:rsidRDefault="008009AA">
      <w:pPr>
        <w:pStyle w:val="TOC7"/>
        <w:rPr>
          <w:rFonts w:cstheme="minorBidi"/>
          <w:sz w:val="22"/>
          <w:szCs w:val="22"/>
          <w:rtl/>
        </w:rPr>
      </w:pPr>
      <w:hyperlink w:anchor="_Toc163505612" w:history="1">
        <w:r w:rsidRPr="007246E7">
          <w:rPr>
            <w:rStyle w:val="Hyperlink"/>
            <w:rtl/>
          </w:rPr>
          <w:t>תוספות שבת צ"ה ע"א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Toc163505612 \h</w:instrText>
        </w:r>
        <w:r>
          <w:rPr>
            <w:webHidden/>
            <w:rtl/>
          </w:rPr>
          <w:instrText xml:space="preserve"> </w:instrText>
        </w:r>
        <w:r>
          <w:rPr>
            <w:rStyle w:val="Hyperlink"/>
            <w:rtl/>
          </w:rPr>
        </w:r>
        <w:r>
          <w:rPr>
            <w:rStyle w:val="Hyperlink"/>
            <w:rtl/>
          </w:rPr>
          <w:fldChar w:fldCharType="separate"/>
        </w:r>
        <w:r w:rsidR="00D82181">
          <w:rPr>
            <w:webHidden/>
            <w:rtl/>
          </w:rPr>
          <w:t>59</w:t>
        </w:r>
        <w:r>
          <w:rPr>
            <w:rStyle w:val="Hyperlink"/>
            <w:rtl/>
          </w:rPr>
          <w:fldChar w:fldCharType="end"/>
        </w:r>
      </w:hyperlink>
    </w:p>
    <w:p w14:paraId="73F750DC" w14:textId="0030E1CF" w:rsidR="008009AA" w:rsidRDefault="008009AA">
      <w:pPr>
        <w:pStyle w:val="TOC7"/>
        <w:rPr>
          <w:rFonts w:cstheme="minorBidi"/>
          <w:sz w:val="22"/>
          <w:szCs w:val="22"/>
          <w:rtl/>
        </w:rPr>
      </w:pPr>
      <w:hyperlink w:anchor="_Toc163505613" w:history="1">
        <w:r w:rsidRPr="007246E7">
          <w:rPr>
            <w:rStyle w:val="Hyperlink"/>
            <w:rtl/>
          </w:rPr>
          <w:t>רמב"ם שבת פ"ח ה"ז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Toc163505613 \h</w:instrText>
        </w:r>
        <w:r>
          <w:rPr>
            <w:webHidden/>
            <w:rtl/>
          </w:rPr>
          <w:instrText xml:space="preserve"> </w:instrText>
        </w:r>
        <w:r>
          <w:rPr>
            <w:rStyle w:val="Hyperlink"/>
            <w:rtl/>
          </w:rPr>
        </w:r>
        <w:r>
          <w:rPr>
            <w:rStyle w:val="Hyperlink"/>
            <w:rtl/>
          </w:rPr>
          <w:fldChar w:fldCharType="separate"/>
        </w:r>
        <w:r w:rsidR="00D82181">
          <w:rPr>
            <w:webHidden/>
            <w:rtl/>
          </w:rPr>
          <w:t>60</w:t>
        </w:r>
        <w:r>
          <w:rPr>
            <w:rStyle w:val="Hyperlink"/>
            <w:rtl/>
          </w:rPr>
          <w:fldChar w:fldCharType="end"/>
        </w:r>
      </w:hyperlink>
    </w:p>
    <w:p w14:paraId="71E5EAF9" w14:textId="1046DD03" w:rsidR="008009AA" w:rsidRDefault="008009AA">
      <w:pPr>
        <w:pStyle w:val="TOC7"/>
        <w:rPr>
          <w:rFonts w:cstheme="minorBidi"/>
          <w:sz w:val="22"/>
          <w:szCs w:val="22"/>
          <w:rtl/>
        </w:rPr>
      </w:pPr>
      <w:hyperlink w:anchor="_Toc163505614" w:history="1">
        <w:r w:rsidRPr="007246E7">
          <w:rPr>
            <w:rStyle w:val="Hyperlink"/>
            <w:rtl/>
          </w:rPr>
          <w:t>קרבן העדה שבת פ"ז הלכה 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Toc163505614 \h</w:instrText>
        </w:r>
        <w:r>
          <w:rPr>
            <w:webHidden/>
            <w:rtl/>
          </w:rPr>
          <w:instrText xml:space="preserve"> </w:instrText>
        </w:r>
        <w:r>
          <w:rPr>
            <w:rStyle w:val="Hyperlink"/>
            <w:rtl/>
          </w:rPr>
        </w:r>
        <w:r>
          <w:rPr>
            <w:rStyle w:val="Hyperlink"/>
            <w:rtl/>
          </w:rPr>
          <w:fldChar w:fldCharType="separate"/>
        </w:r>
        <w:r w:rsidR="00D82181">
          <w:rPr>
            <w:webHidden/>
            <w:rtl/>
          </w:rPr>
          <w:t>60</w:t>
        </w:r>
        <w:r>
          <w:rPr>
            <w:rStyle w:val="Hyperlink"/>
            <w:rtl/>
          </w:rPr>
          <w:fldChar w:fldCharType="end"/>
        </w:r>
      </w:hyperlink>
    </w:p>
    <w:p w14:paraId="1C7457C2" w14:textId="5D8528EB" w:rsidR="008009AA" w:rsidRDefault="008009AA">
      <w:pPr>
        <w:pStyle w:val="TOC7"/>
        <w:rPr>
          <w:rFonts w:cstheme="minorBidi"/>
          <w:sz w:val="22"/>
          <w:szCs w:val="22"/>
          <w:rtl/>
        </w:rPr>
      </w:pPr>
      <w:hyperlink w:anchor="_Toc163505615" w:history="1">
        <w:r w:rsidRPr="007246E7">
          <w:rPr>
            <w:rStyle w:val="Hyperlink"/>
            <w:rtl/>
          </w:rPr>
          <w:t>שיירי קרבן שבת פ"ז הלכה 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Toc163505615 \h</w:instrText>
        </w:r>
        <w:r>
          <w:rPr>
            <w:webHidden/>
            <w:rtl/>
          </w:rPr>
          <w:instrText xml:space="preserve"> </w:instrText>
        </w:r>
        <w:r>
          <w:rPr>
            <w:rStyle w:val="Hyperlink"/>
            <w:rtl/>
          </w:rPr>
        </w:r>
        <w:r>
          <w:rPr>
            <w:rStyle w:val="Hyperlink"/>
            <w:rtl/>
          </w:rPr>
          <w:fldChar w:fldCharType="separate"/>
        </w:r>
        <w:r w:rsidR="00D82181">
          <w:rPr>
            <w:webHidden/>
            <w:rtl/>
          </w:rPr>
          <w:t>60</w:t>
        </w:r>
        <w:r>
          <w:rPr>
            <w:rStyle w:val="Hyperlink"/>
            <w:rtl/>
          </w:rPr>
          <w:fldChar w:fldCharType="end"/>
        </w:r>
      </w:hyperlink>
    </w:p>
    <w:p w14:paraId="36576659" w14:textId="31C9826E" w:rsidR="008009AA" w:rsidRDefault="008009AA">
      <w:pPr>
        <w:pStyle w:val="TOC7"/>
        <w:rPr>
          <w:rFonts w:cstheme="minorBidi"/>
          <w:sz w:val="22"/>
          <w:szCs w:val="22"/>
          <w:rtl/>
        </w:rPr>
      </w:pPr>
      <w:hyperlink w:anchor="_Toc163505616" w:history="1">
        <w:r w:rsidRPr="007246E7">
          <w:rPr>
            <w:rStyle w:val="Hyperlink"/>
            <w:rtl/>
          </w:rPr>
          <w:t>רש"ש שבת צ"ה ע"א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Toc163505616 \h</w:instrText>
        </w:r>
        <w:r>
          <w:rPr>
            <w:webHidden/>
            <w:rtl/>
          </w:rPr>
          <w:instrText xml:space="preserve"> </w:instrText>
        </w:r>
        <w:r>
          <w:rPr>
            <w:rStyle w:val="Hyperlink"/>
            <w:rtl/>
          </w:rPr>
        </w:r>
        <w:r>
          <w:rPr>
            <w:rStyle w:val="Hyperlink"/>
            <w:rtl/>
          </w:rPr>
          <w:fldChar w:fldCharType="separate"/>
        </w:r>
        <w:r w:rsidR="00D82181">
          <w:rPr>
            <w:webHidden/>
            <w:rtl/>
          </w:rPr>
          <w:t>60</w:t>
        </w:r>
        <w:r>
          <w:rPr>
            <w:rStyle w:val="Hyperlink"/>
            <w:rtl/>
          </w:rPr>
          <w:fldChar w:fldCharType="end"/>
        </w:r>
      </w:hyperlink>
    </w:p>
    <w:p w14:paraId="51FE3900" w14:textId="2655632B" w:rsidR="008009AA" w:rsidRDefault="008009AA">
      <w:pPr>
        <w:pStyle w:val="TOC7"/>
        <w:rPr>
          <w:rFonts w:cstheme="minorBidi"/>
          <w:sz w:val="22"/>
          <w:szCs w:val="22"/>
          <w:rtl/>
        </w:rPr>
      </w:pPr>
      <w:hyperlink w:anchor="_Toc163505617" w:history="1">
        <w:r w:rsidRPr="007246E7">
          <w:rPr>
            <w:rStyle w:val="Hyperlink"/>
            <w:rtl/>
          </w:rPr>
          <w:t>ספר אור זרוע ח"ב הלכות שבת סי' נ"ו ד"ה וכל היכא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Toc163505617 \h</w:instrText>
        </w:r>
        <w:r>
          <w:rPr>
            <w:webHidden/>
            <w:rtl/>
          </w:rPr>
          <w:instrText xml:space="preserve"> </w:instrText>
        </w:r>
        <w:r>
          <w:rPr>
            <w:rStyle w:val="Hyperlink"/>
            <w:rtl/>
          </w:rPr>
        </w:r>
        <w:r>
          <w:rPr>
            <w:rStyle w:val="Hyperlink"/>
            <w:rtl/>
          </w:rPr>
          <w:fldChar w:fldCharType="separate"/>
        </w:r>
        <w:r w:rsidR="00D82181">
          <w:rPr>
            <w:webHidden/>
            <w:rtl/>
          </w:rPr>
          <w:t>60</w:t>
        </w:r>
        <w:r>
          <w:rPr>
            <w:rStyle w:val="Hyperlink"/>
            <w:rtl/>
          </w:rPr>
          <w:fldChar w:fldCharType="end"/>
        </w:r>
      </w:hyperlink>
    </w:p>
    <w:p w14:paraId="20DD9895" w14:textId="4BEC16FE" w:rsidR="008009AA" w:rsidRDefault="008009AA">
      <w:pPr>
        <w:pStyle w:val="TOC7"/>
        <w:rPr>
          <w:rFonts w:cstheme="minorBidi"/>
          <w:sz w:val="22"/>
          <w:szCs w:val="22"/>
          <w:rtl/>
        </w:rPr>
      </w:pPr>
      <w:hyperlink w:anchor="_Toc163505618" w:history="1">
        <w:r w:rsidRPr="007246E7">
          <w:rPr>
            <w:rStyle w:val="Hyperlink"/>
            <w:rtl/>
          </w:rPr>
          <w:t>חדושי הרמב"ן שבת צ"ה ע"א ד"ה והא דקתני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Toc163505618 \h</w:instrText>
        </w:r>
        <w:r>
          <w:rPr>
            <w:webHidden/>
            <w:rtl/>
          </w:rPr>
          <w:instrText xml:space="preserve"> </w:instrText>
        </w:r>
        <w:r>
          <w:rPr>
            <w:rStyle w:val="Hyperlink"/>
            <w:rtl/>
          </w:rPr>
        </w:r>
        <w:r>
          <w:rPr>
            <w:rStyle w:val="Hyperlink"/>
            <w:rtl/>
          </w:rPr>
          <w:fldChar w:fldCharType="separate"/>
        </w:r>
        <w:r w:rsidR="00D82181">
          <w:rPr>
            <w:webHidden/>
            <w:rtl/>
          </w:rPr>
          <w:t>60</w:t>
        </w:r>
        <w:r>
          <w:rPr>
            <w:rStyle w:val="Hyperlink"/>
            <w:rtl/>
          </w:rPr>
          <w:fldChar w:fldCharType="end"/>
        </w:r>
      </w:hyperlink>
    </w:p>
    <w:p w14:paraId="70334EF6" w14:textId="5BB9CB4B" w:rsidR="008009AA" w:rsidRDefault="008009AA">
      <w:pPr>
        <w:pStyle w:val="TOC7"/>
        <w:rPr>
          <w:rFonts w:cstheme="minorBidi"/>
          <w:sz w:val="22"/>
          <w:szCs w:val="22"/>
          <w:rtl/>
        </w:rPr>
      </w:pPr>
      <w:hyperlink w:anchor="_Toc163505619" w:history="1">
        <w:r w:rsidRPr="007246E7">
          <w:rPr>
            <w:rStyle w:val="Hyperlink"/>
            <w:rtl/>
          </w:rPr>
          <w:t>חדושי הרשב"א שבת צ"ה ע"א ד"ה ומכל מקום</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Toc163505619 \h</w:instrText>
        </w:r>
        <w:r>
          <w:rPr>
            <w:webHidden/>
            <w:rtl/>
          </w:rPr>
          <w:instrText xml:space="preserve"> </w:instrText>
        </w:r>
        <w:r>
          <w:rPr>
            <w:rStyle w:val="Hyperlink"/>
            <w:rtl/>
          </w:rPr>
        </w:r>
        <w:r>
          <w:rPr>
            <w:rStyle w:val="Hyperlink"/>
            <w:rtl/>
          </w:rPr>
          <w:fldChar w:fldCharType="separate"/>
        </w:r>
        <w:r w:rsidR="00D82181">
          <w:rPr>
            <w:webHidden/>
            <w:rtl/>
          </w:rPr>
          <w:t>60</w:t>
        </w:r>
        <w:r>
          <w:rPr>
            <w:rStyle w:val="Hyperlink"/>
            <w:rtl/>
          </w:rPr>
          <w:fldChar w:fldCharType="end"/>
        </w:r>
      </w:hyperlink>
    </w:p>
    <w:p w14:paraId="7B693477" w14:textId="2FBCA4D5" w:rsidR="008009AA" w:rsidRDefault="008009AA">
      <w:pPr>
        <w:pStyle w:val="TOC7"/>
        <w:rPr>
          <w:rFonts w:cstheme="minorBidi"/>
          <w:sz w:val="22"/>
          <w:szCs w:val="22"/>
          <w:rtl/>
        </w:rPr>
      </w:pPr>
      <w:hyperlink w:anchor="_Toc163505620" w:history="1">
        <w:r w:rsidRPr="007246E7">
          <w:rPr>
            <w:rStyle w:val="Hyperlink"/>
            <w:rtl/>
          </w:rPr>
          <w:t>רש"י חולין קכ"ז ע"ב ד"ה אי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Toc163505620 \h</w:instrText>
        </w:r>
        <w:r>
          <w:rPr>
            <w:webHidden/>
            <w:rtl/>
          </w:rPr>
          <w:instrText xml:space="preserve"> </w:instrText>
        </w:r>
        <w:r>
          <w:rPr>
            <w:rStyle w:val="Hyperlink"/>
            <w:rtl/>
          </w:rPr>
        </w:r>
        <w:r>
          <w:rPr>
            <w:rStyle w:val="Hyperlink"/>
            <w:rtl/>
          </w:rPr>
          <w:fldChar w:fldCharType="separate"/>
        </w:r>
        <w:r w:rsidR="00D82181">
          <w:rPr>
            <w:webHidden/>
            <w:rtl/>
          </w:rPr>
          <w:t>60</w:t>
        </w:r>
        <w:r>
          <w:rPr>
            <w:rStyle w:val="Hyperlink"/>
            <w:rtl/>
          </w:rPr>
          <w:fldChar w:fldCharType="end"/>
        </w:r>
      </w:hyperlink>
    </w:p>
    <w:p w14:paraId="0E0EB83D" w14:textId="38918702" w:rsidR="008009AA" w:rsidRDefault="008009AA">
      <w:pPr>
        <w:pStyle w:val="TOC7"/>
        <w:rPr>
          <w:rFonts w:cstheme="minorBidi"/>
          <w:sz w:val="22"/>
          <w:szCs w:val="22"/>
          <w:rtl/>
        </w:rPr>
      </w:pPr>
      <w:hyperlink w:anchor="_Toc163505621" w:history="1">
        <w:r w:rsidRPr="007246E7">
          <w:rPr>
            <w:rStyle w:val="Hyperlink"/>
            <w:rtl/>
          </w:rPr>
          <w:t>תוספות שבת ק"נ ע"ב ד"ה במחובר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Toc163505621 \h</w:instrText>
        </w:r>
        <w:r>
          <w:rPr>
            <w:webHidden/>
            <w:rtl/>
          </w:rPr>
          <w:instrText xml:space="preserve"> </w:instrText>
        </w:r>
        <w:r>
          <w:rPr>
            <w:rStyle w:val="Hyperlink"/>
            <w:rtl/>
          </w:rPr>
        </w:r>
        <w:r>
          <w:rPr>
            <w:rStyle w:val="Hyperlink"/>
            <w:rtl/>
          </w:rPr>
          <w:fldChar w:fldCharType="separate"/>
        </w:r>
        <w:r w:rsidR="00D82181">
          <w:rPr>
            <w:webHidden/>
            <w:rtl/>
          </w:rPr>
          <w:t>60</w:t>
        </w:r>
        <w:r>
          <w:rPr>
            <w:rStyle w:val="Hyperlink"/>
            <w:rtl/>
          </w:rPr>
          <w:fldChar w:fldCharType="end"/>
        </w:r>
      </w:hyperlink>
    </w:p>
    <w:p w14:paraId="65BEAB23" w14:textId="7378FC01" w:rsidR="008009AA" w:rsidRDefault="008009AA">
      <w:pPr>
        <w:pStyle w:val="TOC7"/>
        <w:rPr>
          <w:rFonts w:cstheme="minorBidi"/>
          <w:sz w:val="22"/>
          <w:szCs w:val="22"/>
          <w:rtl/>
        </w:rPr>
      </w:pPr>
      <w:hyperlink w:anchor="_Toc163505622" w:history="1">
        <w:r w:rsidRPr="007246E7">
          <w:rPr>
            <w:rStyle w:val="Hyperlink"/>
            <w:rtl/>
          </w:rPr>
          <w:t>רש"י שבת ק"נ ע"ב ד"ה המחוברים</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Toc163505622 \h</w:instrText>
        </w:r>
        <w:r>
          <w:rPr>
            <w:webHidden/>
            <w:rtl/>
          </w:rPr>
          <w:instrText xml:space="preserve"> </w:instrText>
        </w:r>
        <w:r>
          <w:rPr>
            <w:rStyle w:val="Hyperlink"/>
            <w:rtl/>
          </w:rPr>
        </w:r>
        <w:r>
          <w:rPr>
            <w:rStyle w:val="Hyperlink"/>
            <w:rtl/>
          </w:rPr>
          <w:fldChar w:fldCharType="separate"/>
        </w:r>
        <w:r w:rsidR="00D82181">
          <w:rPr>
            <w:webHidden/>
            <w:rtl/>
          </w:rPr>
          <w:t>60</w:t>
        </w:r>
        <w:r>
          <w:rPr>
            <w:rStyle w:val="Hyperlink"/>
            <w:rtl/>
          </w:rPr>
          <w:fldChar w:fldCharType="end"/>
        </w:r>
      </w:hyperlink>
    </w:p>
    <w:p w14:paraId="5EB859A5" w14:textId="614F852A" w:rsidR="008009AA" w:rsidRDefault="008009AA">
      <w:pPr>
        <w:pStyle w:val="TOC7"/>
        <w:rPr>
          <w:rFonts w:cstheme="minorBidi"/>
          <w:sz w:val="22"/>
          <w:szCs w:val="22"/>
          <w:rtl/>
        </w:rPr>
      </w:pPr>
      <w:hyperlink w:anchor="_Toc163505623" w:history="1">
        <w:r w:rsidRPr="007246E7">
          <w:rPr>
            <w:rStyle w:val="Hyperlink"/>
            <w:rtl/>
          </w:rPr>
          <w:t>חדושי הרשב"א שבת ק"נ ע"ב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Toc163505623 \h</w:instrText>
        </w:r>
        <w:r>
          <w:rPr>
            <w:webHidden/>
            <w:rtl/>
          </w:rPr>
          <w:instrText xml:space="preserve"> </w:instrText>
        </w:r>
        <w:r>
          <w:rPr>
            <w:rStyle w:val="Hyperlink"/>
            <w:rtl/>
          </w:rPr>
        </w:r>
        <w:r>
          <w:rPr>
            <w:rStyle w:val="Hyperlink"/>
            <w:rtl/>
          </w:rPr>
          <w:fldChar w:fldCharType="separate"/>
        </w:r>
        <w:r w:rsidR="00D82181">
          <w:rPr>
            <w:webHidden/>
            <w:rtl/>
          </w:rPr>
          <w:t>60</w:t>
        </w:r>
        <w:r>
          <w:rPr>
            <w:rStyle w:val="Hyperlink"/>
            <w:rtl/>
          </w:rPr>
          <w:fldChar w:fldCharType="end"/>
        </w:r>
      </w:hyperlink>
    </w:p>
    <w:p w14:paraId="6153F96A" w14:textId="2287B336" w:rsidR="008009AA" w:rsidRDefault="008009AA">
      <w:pPr>
        <w:pStyle w:val="TOC7"/>
        <w:rPr>
          <w:rFonts w:cstheme="minorBidi"/>
          <w:sz w:val="22"/>
          <w:szCs w:val="22"/>
          <w:rtl/>
        </w:rPr>
      </w:pPr>
      <w:hyperlink w:anchor="_Toc163505624" w:history="1">
        <w:r w:rsidRPr="007246E7">
          <w:rPr>
            <w:rStyle w:val="Hyperlink"/>
            <w:rtl/>
          </w:rPr>
          <w:t>תוספות הרא"ש שבת ק"נ ע"ב ד"ה בשלמא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Toc163505624 \h</w:instrText>
        </w:r>
        <w:r>
          <w:rPr>
            <w:webHidden/>
            <w:rtl/>
          </w:rPr>
          <w:instrText xml:space="preserve"> </w:instrText>
        </w:r>
        <w:r>
          <w:rPr>
            <w:rStyle w:val="Hyperlink"/>
            <w:rtl/>
          </w:rPr>
        </w:r>
        <w:r>
          <w:rPr>
            <w:rStyle w:val="Hyperlink"/>
            <w:rtl/>
          </w:rPr>
          <w:fldChar w:fldCharType="separate"/>
        </w:r>
        <w:r w:rsidR="00D82181">
          <w:rPr>
            <w:webHidden/>
            <w:rtl/>
          </w:rPr>
          <w:t>60</w:t>
        </w:r>
        <w:r>
          <w:rPr>
            <w:rStyle w:val="Hyperlink"/>
            <w:rtl/>
          </w:rPr>
          <w:fldChar w:fldCharType="end"/>
        </w:r>
      </w:hyperlink>
    </w:p>
    <w:p w14:paraId="6D94359E" w14:textId="6110CD47" w:rsidR="008009AA" w:rsidRDefault="008009AA">
      <w:pPr>
        <w:pStyle w:val="TOC7"/>
        <w:rPr>
          <w:rFonts w:cstheme="minorBidi"/>
          <w:sz w:val="22"/>
          <w:szCs w:val="22"/>
          <w:rtl/>
        </w:rPr>
      </w:pPr>
      <w:hyperlink w:anchor="_Toc163505625" w:history="1">
        <w:r w:rsidRPr="007246E7">
          <w:rPr>
            <w:rStyle w:val="Hyperlink"/>
            <w:rtl/>
          </w:rPr>
          <w:t>פסקי רי"ד מסכת חולין קכז ע"ב ד"ה ואמרי'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Toc163505625 \h</w:instrText>
        </w:r>
        <w:r>
          <w:rPr>
            <w:webHidden/>
            <w:rtl/>
          </w:rPr>
          <w:instrText xml:space="preserve"> </w:instrText>
        </w:r>
        <w:r>
          <w:rPr>
            <w:rStyle w:val="Hyperlink"/>
            <w:rtl/>
          </w:rPr>
        </w:r>
        <w:r>
          <w:rPr>
            <w:rStyle w:val="Hyperlink"/>
            <w:rtl/>
          </w:rPr>
          <w:fldChar w:fldCharType="separate"/>
        </w:r>
        <w:r w:rsidR="00D82181">
          <w:rPr>
            <w:webHidden/>
            <w:rtl/>
          </w:rPr>
          <w:t>60</w:t>
        </w:r>
        <w:r>
          <w:rPr>
            <w:rStyle w:val="Hyperlink"/>
            <w:rtl/>
          </w:rPr>
          <w:fldChar w:fldCharType="end"/>
        </w:r>
      </w:hyperlink>
    </w:p>
    <w:p w14:paraId="69D9CDA1" w14:textId="003B513A" w:rsidR="008009AA" w:rsidRDefault="008009AA">
      <w:pPr>
        <w:pStyle w:val="TOC7"/>
        <w:rPr>
          <w:rFonts w:cstheme="minorBidi"/>
          <w:sz w:val="22"/>
          <w:szCs w:val="22"/>
          <w:rtl/>
        </w:rPr>
      </w:pPr>
      <w:hyperlink w:anchor="_Toc163505626" w:history="1">
        <w:r w:rsidRPr="007246E7">
          <w:rPr>
            <w:rStyle w:val="Hyperlink"/>
            <w:rtl/>
          </w:rPr>
          <w:t>רמב"ם שבת פ"ח ה"ד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Toc163505626 \h</w:instrText>
        </w:r>
        <w:r>
          <w:rPr>
            <w:webHidden/>
            <w:rtl/>
          </w:rPr>
          <w:instrText xml:space="preserve"> </w:instrText>
        </w:r>
        <w:r>
          <w:rPr>
            <w:rStyle w:val="Hyperlink"/>
            <w:rtl/>
          </w:rPr>
        </w:r>
        <w:r>
          <w:rPr>
            <w:rStyle w:val="Hyperlink"/>
            <w:rtl/>
          </w:rPr>
          <w:fldChar w:fldCharType="separate"/>
        </w:r>
        <w:r w:rsidR="00D82181">
          <w:rPr>
            <w:webHidden/>
            <w:rtl/>
          </w:rPr>
          <w:t>60</w:t>
        </w:r>
        <w:r>
          <w:rPr>
            <w:rStyle w:val="Hyperlink"/>
            <w:rtl/>
          </w:rPr>
          <w:fldChar w:fldCharType="end"/>
        </w:r>
      </w:hyperlink>
    </w:p>
    <w:p w14:paraId="63B29498" w14:textId="04BA7515" w:rsidR="008009AA" w:rsidRDefault="008009AA">
      <w:pPr>
        <w:pStyle w:val="TOC7"/>
        <w:rPr>
          <w:rFonts w:cstheme="minorBidi"/>
          <w:sz w:val="22"/>
          <w:szCs w:val="22"/>
          <w:rtl/>
        </w:rPr>
      </w:pPr>
      <w:hyperlink w:anchor="_Toc163505627" w:history="1">
        <w:r w:rsidRPr="007246E7">
          <w:rPr>
            <w:rStyle w:val="Hyperlink"/>
            <w:rtl/>
          </w:rPr>
          <w:t>שו"ע או"ח סי' של"ו י"ב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Toc163505627 \h</w:instrText>
        </w:r>
        <w:r>
          <w:rPr>
            <w:webHidden/>
            <w:rtl/>
          </w:rPr>
          <w:instrText xml:space="preserve"> </w:instrText>
        </w:r>
        <w:r>
          <w:rPr>
            <w:rStyle w:val="Hyperlink"/>
            <w:rtl/>
          </w:rPr>
        </w:r>
        <w:r>
          <w:rPr>
            <w:rStyle w:val="Hyperlink"/>
            <w:rtl/>
          </w:rPr>
          <w:fldChar w:fldCharType="separate"/>
        </w:r>
        <w:r w:rsidR="00D82181">
          <w:rPr>
            <w:webHidden/>
            <w:rtl/>
          </w:rPr>
          <w:t>60</w:t>
        </w:r>
        <w:r>
          <w:rPr>
            <w:rStyle w:val="Hyperlink"/>
            <w:rtl/>
          </w:rPr>
          <w:fldChar w:fldCharType="end"/>
        </w:r>
      </w:hyperlink>
    </w:p>
    <w:p w14:paraId="54FB75C4" w14:textId="7539BF2F" w:rsidR="008009AA" w:rsidRDefault="008009AA">
      <w:pPr>
        <w:pStyle w:val="TOC7"/>
        <w:rPr>
          <w:rFonts w:cstheme="minorBidi"/>
          <w:sz w:val="22"/>
          <w:szCs w:val="22"/>
          <w:rtl/>
        </w:rPr>
      </w:pPr>
      <w:hyperlink w:anchor="_Toc163505628" w:history="1">
        <w:r w:rsidRPr="007246E7">
          <w:rPr>
            <w:rStyle w:val="Hyperlink"/>
            <w:rtl/>
          </w:rPr>
          <w:t>מגיד משנה שבת פ"ח ה"ד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Toc163505628 \h</w:instrText>
        </w:r>
        <w:r>
          <w:rPr>
            <w:webHidden/>
            <w:rtl/>
          </w:rPr>
          <w:instrText xml:space="preserve"> </w:instrText>
        </w:r>
        <w:r>
          <w:rPr>
            <w:rStyle w:val="Hyperlink"/>
            <w:rtl/>
          </w:rPr>
        </w:r>
        <w:r>
          <w:rPr>
            <w:rStyle w:val="Hyperlink"/>
            <w:rtl/>
          </w:rPr>
          <w:fldChar w:fldCharType="separate"/>
        </w:r>
        <w:r w:rsidR="00D82181">
          <w:rPr>
            <w:webHidden/>
            <w:rtl/>
          </w:rPr>
          <w:t>60</w:t>
        </w:r>
        <w:r>
          <w:rPr>
            <w:rStyle w:val="Hyperlink"/>
            <w:rtl/>
          </w:rPr>
          <w:fldChar w:fldCharType="end"/>
        </w:r>
      </w:hyperlink>
    </w:p>
    <w:p w14:paraId="4DE1C548" w14:textId="15369E24" w:rsidR="008009AA" w:rsidRDefault="008009AA">
      <w:pPr>
        <w:pStyle w:val="TOC7"/>
        <w:rPr>
          <w:rFonts w:cstheme="minorBidi"/>
          <w:sz w:val="22"/>
          <w:szCs w:val="22"/>
          <w:rtl/>
        </w:rPr>
      </w:pPr>
      <w:hyperlink w:anchor="_Toc163505629" w:history="1">
        <w:r w:rsidRPr="007246E7">
          <w:rPr>
            <w:rStyle w:val="Hyperlink"/>
            <w:rtl/>
          </w:rPr>
          <w:t>רמב"ם טומאת אוכלין פ"ב ה"ד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Toc163505629 \h</w:instrText>
        </w:r>
        <w:r>
          <w:rPr>
            <w:webHidden/>
            <w:rtl/>
          </w:rPr>
          <w:instrText xml:space="preserve"> </w:instrText>
        </w:r>
        <w:r>
          <w:rPr>
            <w:rStyle w:val="Hyperlink"/>
            <w:rtl/>
          </w:rPr>
        </w:r>
        <w:r>
          <w:rPr>
            <w:rStyle w:val="Hyperlink"/>
            <w:rtl/>
          </w:rPr>
          <w:fldChar w:fldCharType="separate"/>
        </w:r>
        <w:r w:rsidR="00D82181">
          <w:rPr>
            <w:webHidden/>
            <w:rtl/>
          </w:rPr>
          <w:t>61</w:t>
        </w:r>
        <w:r>
          <w:rPr>
            <w:rStyle w:val="Hyperlink"/>
            <w:rtl/>
          </w:rPr>
          <w:fldChar w:fldCharType="end"/>
        </w:r>
      </w:hyperlink>
    </w:p>
    <w:p w14:paraId="695A3644" w14:textId="7D81F71B" w:rsidR="008009AA" w:rsidRDefault="008009AA">
      <w:pPr>
        <w:pStyle w:val="TOC7"/>
        <w:rPr>
          <w:rFonts w:cstheme="minorBidi"/>
          <w:sz w:val="22"/>
          <w:szCs w:val="22"/>
          <w:rtl/>
        </w:rPr>
      </w:pPr>
      <w:hyperlink w:anchor="_Toc163505630" w:history="1">
        <w:r w:rsidRPr="007246E7">
          <w:rPr>
            <w:rStyle w:val="Hyperlink"/>
            <w:rtl/>
          </w:rPr>
          <w:t>ראב"ד טומאת אוכלין פ"ב ה"ד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Toc163505630 \h</w:instrText>
        </w:r>
        <w:r>
          <w:rPr>
            <w:webHidden/>
            <w:rtl/>
          </w:rPr>
          <w:instrText xml:space="preserve"> </w:instrText>
        </w:r>
        <w:r>
          <w:rPr>
            <w:rStyle w:val="Hyperlink"/>
            <w:rtl/>
          </w:rPr>
        </w:r>
        <w:r>
          <w:rPr>
            <w:rStyle w:val="Hyperlink"/>
            <w:rtl/>
          </w:rPr>
          <w:fldChar w:fldCharType="separate"/>
        </w:r>
        <w:r w:rsidR="00D82181">
          <w:rPr>
            <w:webHidden/>
            <w:rtl/>
          </w:rPr>
          <w:t>61</w:t>
        </w:r>
        <w:r>
          <w:rPr>
            <w:rStyle w:val="Hyperlink"/>
            <w:rtl/>
          </w:rPr>
          <w:fldChar w:fldCharType="end"/>
        </w:r>
      </w:hyperlink>
    </w:p>
    <w:p w14:paraId="44E0CA1C" w14:textId="40B44118" w:rsidR="008009AA" w:rsidRDefault="008009AA">
      <w:pPr>
        <w:pStyle w:val="TOC7"/>
        <w:rPr>
          <w:rFonts w:cstheme="minorBidi"/>
          <w:sz w:val="22"/>
          <w:szCs w:val="22"/>
          <w:rtl/>
        </w:rPr>
      </w:pPr>
      <w:hyperlink w:anchor="_Toc163505631" w:history="1">
        <w:r w:rsidRPr="007246E7">
          <w:rPr>
            <w:rStyle w:val="Hyperlink"/>
            <w:rtl/>
          </w:rPr>
          <w:t>מגן אברהם סי' שלו ס"ק 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Toc163505631 \h</w:instrText>
        </w:r>
        <w:r>
          <w:rPr>
            <w:webHidden/>
            <w:rtl/>
          </w:rPr>
          <w:instrText xml:space="preserve"> </w:instrText>
        </w:r>
        <w:r>
          <w:rPr>
            <w:rStyle w:val="Hyperlink"/>
            <w:rtl/>
          </w:rPr>
        </w:r>
        <w:r>
          <w:rPr>
            <w:rStyle w:val="Hyperlink"/>
            <w:rtl/>
          </w:rPr>
          <w:fldChar w:fldCharType="separate"/>
        </w:r>
        <w:r w:rsidR="00D82181">
          <w:rPr>
            <w:webHidden/>
            <w:rtl/>
          </w:rPr>
          <w:t>61</w:t>
        </w:r>
        <w:r>
          <w:rPr>
            <w:rStyle w:val="Hyperlink"/>
            <w:rtl/>
          </w:rPr>
          <w:fldChar w:fldCharType="end"/>
        </w:r>
      </w:hyperlink>
    </w:p>
    <w:p w14:paraId="7EB6743A" w14:textId="411E7789" w:rsidR="008009AA" w:rsidRDefault="008009AA">
      <w:pPr>
        <w:pStyle w:val="TOC7"/>
        <w:rPr>
          <w:rFonts w:cstheme="minorBidi"/>
          <w:sz w:val="22"/>
          <w:szCs w:val="22"/>
          <w:rtl/>
        </w:rPr>
      </w:pPr>
      <w:hyperlink w:anchor="_Toc163505632" w:history="1">
        <w:r w:rsidRPr="007246E7">
          <w:rPr>
            <w:rStyle w:val="Hyperlink"/>
            <w:rtl/>
          </w:rPr>
          <w:t>רש"י עירובין ק' ע"ב ד"ה קא נתרי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Toc163505632 \h</w:instrText>
        </w:r>
        <w:r>
          <w:rPr>
            <w:webHidden/>
            <w:rtl/>
          </w:rPr>
          <w:instrText xml:space="preserve"> </w:instrText>
        </w:r>
        <w:r>
          <w:rPr>
            <w:rStyle w:val="Hyperlink"/>
            <w:rtl/>
          </w:rPr>
        </w:r>
        <w:r>
          <w:rPr>
            <w:rStyle w:val="Hyperlink"/>
            <w:rtl/>
          </w:rPr>
          <w:fldChar w:fldCharType="separate"/>
        </w:r>
        <w:r w:rsidR="00D82181">
          <w:rPr>
            <w:webHidden/>
            <w:rtl/>
          </w:rPr>
          <w:t>61</w:t>
        </w:r>
        <w:r>
          <w:rPr>
            <w:rStyle w:val="Hyperlink"/>
            <w:rtl/>
          </w:rPr>
          <w:fldChar w:fldCharType="end"/>
        </w:r>
      </w:hyperlink>
    </w:p>
    <w:p w14:paraId="3895D007" w14:textId="52D859B0" w:rsidR="008009AA" w:rsidRDefault="008009AA">
      <w:pPr>
        <w:pStyle w:val="TOC7"/>
        <w:rPr>
          <w:rFonts w:cstheme="minorBidi"/>
          <w:sz w:val="22"/>
          <w:szCs w:val="22"/>
          <w:rtl/>
        </w:rPr>
      </w:pPr>
      <w:hyperlink w:anchor="_Toc163505633" w:history="1">
        <w:r w:rsidRPr="007246E7">
          <w:rPr>
            <w:rStyle w:val="Hyperlink"/>
            <w:rtl/>
          </w:rPr>
          <w:t>נשמת אדם שבת כלל יב סעיף 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Toc163505633 \h</w:instrText>
        </w:r>
        <w:r>
          <w:rPr>
            <w:webHidden/>
            <w:rtl/>
          </w:rPr>
          <w:instrText xml:space="preserve"> </w:instrText>
        </w:r>
        <w:r>
          <w:rPr>
            <w:rStyle w:val="Hyperlink"/>
            <w:rtl/>
          </w:rPr>
        </w:r>
        <w:r>
          <w:rPr>
            <w:rStyle w:val="Hyperlink"/>
            <w:rtl/>
          </w:rPr>
          <w:fldChar w:fldCharType="separate"/>
        </w:r>
        <w:r w:rsidR="00D82181">
          <w:rPr>
            <w:webHidden/>
            <w:rtl/>
          </w:rPr>
          <w:t>61</w:t>
        </w:r>
        <w:r>
          <w:rPr>
            <w:rStyle w:val="Hyperlink"/>
            <w:rtl/>
          </w:rPr>
          <w:fldChar w:fldCharType="end"/>
        </w:r>
      </w:hyperlink>
    </w:p>
    <w:p w14:paraId="665A793A" w14:textId="782571F2" w:rsidR="008009AA" w:rsidRDefault="008009AA">
      <w:pPr>
        <w:pStyle w:val="TOC7"/>
        <w:rPr>
          <w:rFonts w:cstheme="minorBidi"/>
          <w:sz w:val="22"/>
          <w:szCs w:val="22"/>
          <w:rtl/>
        </w:rPr>
      </w:pPr>
      <w:hyperlink w:anchor="_Toc163505634" w:history="1">
        <w:r w:rsidRPr="007246E7">
          <w:rPr>
            <w:rStyle w:val="Hyperlink"/>
            <w:rtl/>
          </w:rPr>
          <w:t>חזון איש או"ח השמטות סי' קנו לסי' של"א ד"ה ולפ"ז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Toc163505634 \h</w:instrText>
        </w:r>
        <w:r>
          <w:rPr>
            <w:webHidden/>
            <w:rtl/>
          </w:rPr>
          <w:instrText xml:space="preserve"> </w:instrText>
        </w:r>
        <w:r>
          <w:rPr>
            <w:rStyle w:val="Hyperlink"/>
            <w:rtl/>
          </w:rPr>
        </w:r>
        <w:r>
          <w:rPr>
            <w:rStyle w:val="Hyperlink"/>
            <w:rtl/>
          </w:rPr>
          <w:fldChar w:fldCharType="separate"/>
        </w:r>
        <w:r w:rsidR="00D82181">
          <w:rPr>
            <w:webHidden/>
            <w:rtl/>
          </w:rPr>
          <w:t>61</w:t>
        </w:r>
        <w:r>
          <w:rPr>
            <w:rStyle w:val="Hyperlink"/>
            <w:rtl/>
          </w:rPr>
          <w:fldChar w:fldCharType="end"/>
        </w:r>
      </w:hyperlink>
    </w:p>
    <w:p w14:paraId="37E99A5C" w14:textId="1104EA23" w:rsidR="008009AA" w:rsidRDefault="008009AA">
      <w:pPr>
        <w:pStyle w:val="TOC7"/>
        <w:rPr>
          <w:rFonts w:cstheme="minorBidi"/>
          <w:sz w:val="22"/>
          <w:szCs w:val="22"/>
          <w:rtl/>
        </w:rPr>
      </w:pPr>
      <w:hyperlink w:anchor="_Toc163505635" w:history="1">
        <w:r w:rsidRPr="007246E7">
          <w:rPr>
            <w:rStyle w:val="Hyperlink"/>
            <w:rtl/>
          </w:rPr>
          <w:t>שו"ת מהר"י קורקוס סי' ג' ד"ה מעתה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Toc163505635 \h</w:instrText>
        </w:r>
        <w:r>
          <w:rPr>
            <w:webHidden/>
            <w:rtl/>
          </w:rPr>
          <w:instrText xml:space="preserve"> </w:instrText>
        </w:r>
        <w:r>
          <w:rPr>
            <w:rStyle w:val="Hyperlink"/>
            <w:rtl/>
          </w:rPr>
        </w:r>
        <w:r>
          <w:rPr>
            <w:rStyle w:val="Hyperlink"/>
            <w:rtl/>
          </w:rPr>
          <w:fldChar w:fldCharType="separate"/>
        </w:r>
        <w:r w:rsidR="00D82181">
          <w:rPr>
            <w:webHidden/>
            <w:rtl/>
          </w:rPr>
          <w:t>61</w:t>
        </w:r>
        <w:r>
          <w:rPr>
            <w:rStyle w:val="Hyperlink"/>
            <w:rtl/>
          </w:rPr>
          <w:fldChar w:fldCharType="end"/>
        </w:r>
      </w:hyperlink>
    </w:p>
    <w:p w14:paraId="17D391AB" w14:textId="2ED7E554" w:rsidR="008009AA" w:rsidRDefault="008009AA">
      <w:pPr>
        <w:pStyle w:val="TOC7"/>
        <w:rPr>
          <w:rFonts w:cstheme="minorBidi"/>
          <w:sz w:val="22"/>
          <w:szCs w:val="22"/>
          <w:rtl/>
        </w:rPr>
      </w:pPr>
      <w:hyperlink w:anchor="_Toc163505636" w:history="1">
        <w:r w:rsidRPr="007246E7">
          <w:rPr>
            <w:rStyle w:val="Hyperlink"/>
            <w:rtl/>
          </w:rPr>
          <w:t>חזון איש או"ח השמטות סי' קנו לסי' של"א ד"ה וכתב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Toc163505636 \h</w:instrText>
        </w:r>
        <w:r>
          <w:rPr>
            <w:webHidden/>
            <w:rtl/>
          </w:rPr>
          <w:instrText xml:space="preserve"> </w:instrText>
        </w:r>
        <w:r>
          <w:rPr>
            <w:rStyle w:val="Hyperlink"/>
            <w:rtl/>
          </w:rPr>
        </w:r>
        <w:r>
          <w:rPr>
            <w:rStyle w:val="Hyperlink"/>
            <w:rtl/>
          </w:rPr>
          <w:fldChar w:fldCharType="separate"/>
        </w:r>
        <w:r w:rsidR="00D82181">
          <w:rPr>
            <w:webHidden/>
            <w:rtl/>
          </w:rPr>
          <w:t>61</w:t>
        </w:r>
        <w:r>
          <w:rPr>
            <w:rStyle w:val="Hyperlink"/>
            <w:rtl/>
          </w:rPr>
          <w:fldChar w:fldCharType="end"/>
        </w:r>
      </w:hyperlink>
    </w:p>
    <w:p w14:paraId="2A880339" w14:textId="3C110555" w:rsidR="008009AA" w:rsidRDefault="008009AA">
      <w:pPr>
        <w:pStyle w:val="TOC7"/>
        <w:rPr>
          <w:rFonts w:cstheme="minorBidi"/>
          <w:sz w:val="22"/>
          <w:szCs w:val="22"/>
          <w:rtl/>
        </w:rPr>
      </w:pPr>
      <w:hyperlink w:anchor="_Toc163505637" w:history="1">
        <w:r w:rsidRPr="007246E7">
          <w:rPr>
            <w:rStyle w:val="Hyperlink"/>
            <w:rtl/>
          </w:rPr>
          <w:t>באור הלכה סי' שלו סעיף יב ד"ה חייב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Toc163505637 \h</w:instrText>
        </w:r>
        <w:r>
          <w:rPr>
            <w:webHidden/>
            <w:rtl/>
          </w:rPr>
          <w:instrText xml:space="preserve"> </w:instrText>
        </w:r>
        <w:r>
          <w:rPr>
            <w:rStyle w:val="Hyperlink"/>
            <w:rtl/>
          </w:rPr>
        </w:r>
        <w:r>
          <w:rPr>
            <w:rStyle w:val="Hyperlink"/>
            <w:rtl/>
          </w:rPr>
          <w:fldChar w:fldCharType="separate"/>
        </w:r>
        <w:r w:rsidR="00D82181">
          <w:rPr>
            <w:webHidden/>
            <w:rtl/>
          </w:rPr>
          <w:t>61</w:t>
        </w:r>
        <w:r>
          <w:rPr>
            <w:rStyle w:val="Hyperlink"/>
            <w:rtl/>
          </w:rPr>
          <w:fldChar w:fldCharType="end"/>
        </w:r>
      </w:hyperlink>
    </w:p>
    <w:p w14:paraId="3EF05ABA" w14:textId="33E8797A" w:rsidR="008009AA" w:rsidRDefault="008009AA">
      <w:pPr>
        <w:pStyle w:val="TOC7"/>
        <w:rPr>
          <w:rFonts w:cstheme="minorBidi"/>
          <w:sz w:val="22"/>
          <w:szCs w:val="22"/>
          <w:rtl/>
        </w:rPr>
      </w:pPr>
      <w:hyperlink w:anchor="_Toc163505638" w:history="1">
        <w:r w:rsidRPr="007246E7">
          <w:rPr>
            <w:rStyle w:val="Hyperlink"/>
            <w:rtl/>
          </w:rPr>
          <w:t>אליה רבה סי' של"ו סקט"ז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Toc163505638 \h</w:instrText>
        </w:r>
        <w:r>
          <w:rPr>
            <w:webHidden/>
            <w:rtl/>
          </w:rPr>
          <w:instrText xml:space="preserve"> </w:instrText>
        </w:r>
        <w:r>
          <w:rPr>
            <w:rStyle w:val="Hyperlink"/>
            <w:rtl/>
          </w:rPr>
        </w:r>
        <w:r>
          <w:rPr>
            <w:rStyle w:val="Hyperlink"/>
            <w:rtl/>
          </w:rPr>
          <w:fldChar w:fldCharType="separate"/>
        </w:r>
        <w:r w:rsidR="00D82181">
          <w:rPr>
            <w:webHidden/>
            <w:rtl/>
          </w:rPr>
          <w:t>61</w:t>
        </w:r>
        <w:r>
          <w:rPr>
            <w:rStyle w:val="Hyperlink"/>
            <w:rtl/>
          </w:rPr>
          <w:fldChar w:fldCharType="end"/>
        </w:r>
      </w:hyperlink>
    </w:p>
    <w:p w14:paraId="25D5742E" w14:textId="3A0BC274" w:rsidR="008009AA" w:rsidRDefault="008009AA">
      <w:pPr>
        <w:pStyle w:val="TOC7"/>
        <w:rPr>
          <w:rFonts w:cstheme="minorBidi"/>
          <w:sz w:val="22"/>
          <w:szCs w:val="22"/>
          <w:rtl/>
        </w:rPr>
      </w:pPr>
      <w:hyperlink w:anchor="_Toc163505639" w:history="1">
        <w:r w:rsidRPr="007246E7">
          <w:rPr>
            <w:rStyle w:val="Hyperlink"/>
            <w:rtl/>
          </w:rPr>
          <w:t>מגן אברהם סימן שלו ס"ק יד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Toc163505639 \h</w:instrText>
        </w:r>
        <w:r>
          <w:rPr>
            <w:webHidden/>
            <w:rtl/>
          </w:rPr>
          <w:instrText xml:space="preserve"> </w:instrText>
        </w:r>
        <w:r>
          <w:rPr>
            <w:rStyle w:val="Hyperlink"/>
            <w:rtl/>
          </w:rPr>
        </w:r>
        <w:r>
          <w:rPr>
            <w:rStyle w:val="Hyperlink"/>
            <w:rtl/>
          </w:rPr>
          <w:fldChar w:fldCharType="separate"/>
        </w:r>
        <w:r w:rsidR="00D82181">
          <w:rPr>
            <w:webHidden/>
            <w:rtl/>
          </w:rPr>
          <w:t>61</w:t>
        </w:r>
        <w:r>
          <w:rPr>
            <w:rStyle w:val="Hyperlink"/>
            <w:rtl/>
          </w:rPr>
          <w:fldChar w:fldCharType="end"/>
        </w:r>
      </w:hyperlink>
    </w:p>
    <w:p w14:paraId="08D6BDB0" w14:textId="6F0F4AC1" w:rsidR="008009AA" w:rsidRDefault="008009AA">
      <w:pPr>
        <w:pStyle w:val="TOC7"/>
        <w:rPr>
          <w:rFonts w:cstheme="minorBidi"/>
          <w:sz w:val="22"/>
          <w:szCs w:val="22"/>
          <w:rtl/>
        </w:rPr>
      </w:pPr>
      <w:hyperlink w:anchor="_Toc163505640" w:history="1">
        <w:r w:rsidRPr="007246E7">
          <w:rPr>
            <w:rStyle w:val="Hyperlink"/>
            <w:rtl/>
          </w:rPr>
          <w:t>רש"י שבת פ"א ע"ב ד"ה מדריש לקיש, האי, שרי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Toc163505640 \h</w:instrText>
        </w:r>
        <w:r>
          <w:rPr>
            <w:webHidden/>
            <w:rtl/>
          </w:rPr>
          <w:instrText xml:space="preserve"> </w:instrText>
        </w:r>
        <w:r>
          <w:rPr>
            <w:rStyle w:val="Hyperlink"/>
            <w:rtl/>
          </w:rPr>
        </w:r>
        <w:r>
          <w:rPr>
            <w:rStyle w:val="Hyperlink"/>
            <w:rtl/>
          </w:rPr>
          <w:fldChar w:fldCharType="separate"/>
        </w:r>
        <w:r w:rsidR="00D82181">
          <w:rPr>
            <w:webHidden/>
            <w:rtl/>
          </w:rPr>
          <w:t>61</w:t>
        </w:r>
        <w:r>
          <w:rPr>
            <w:rStyle w:val="Hyperlink"/>
            <w:rtl/>
          </w:rPr>
          <w:fldChar w:fldCharType="end"/>
        </w:r>
      </w:hyperlink>
    </w:p>
    <w:p w14:paraId="3137CC86" w14:textId="612D7724" w:rsidR="008009AA" w:rsidRDefault="008009AA">
      <w:pPr>
        <w:pStyle w:val="TOC7"/>
        <w:rPr>
          <w:rFonts w:cstheme="minorBidi"/>
          <w:sz w:val="22"/>
          <w:szCs w:val="22"/>
          <w:rtl/>
        </w:rPr>
      </w:pPr>
      <w:hyperlink w:anchor="_Toc163505641" w:history="1">
        <w:r w:rsidRPr="007246E7">
          <w:rPr>
            <w:rStyle w:val="Hyperlink"/>
            <w:rtl/>
          </w:rPr>
          <w:t>תוספות שבת פ"א ע"ב ד"ה והניחו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Toc163505641 \h</w:instrText>
        </w:r>
        <w:r>
          <w:rPr>
            <w:webHidden/>
            <w:rtl/>
          </w:rPr>
          <w:instrText xml:space="preserve"> </w:instrText>
        </w:r>
        <w:r>
          <w:rPr>
            <w:rStyle w:val="Hyperlink"/>
            <w:rtl/>
          </w:rPr>
        </w:r>
        <w:r>
          <w:rPr>
            <w:rStyle w:val="Hyperlink"/>
            <w:rtl/>
          </w:rPr>
          <w:fldChar w:fldCharType="separate"/>
        </w:r>
        <w:r w:rsidR="00D82181">
          <w:rPr>
            <w:webHidden/>
            <w:rtl/>
          </w:rPr>
          <w:t>62</w:t>
        </w:r>
        <w:r>
          <w:rPr>
            <w:rStyle w:val="Hyperlink"/>
            <w:rtl/>
          </w:rPr>
          <w:fldChar w:fldCharType="end"/>
        </w:r>
      </w:hyperlink>
    </w:p>
    <w:p w14:paraId="44AE0460" w14:textId="508E7022" w:rsidR="008009AA" w:rsidRDefault="008009AA">
      <w:pPr>
        <w:pStyle w:val="TOC7"/>
        <w:rPr>
          <w:rFonts w:cstheme="minorBidi"/>
          <w:sz w:val="22"/>
          <w:szCs w:val="22"/>
          <w:rtl/>
        </w:rPr>
      </w:pPr>
      <w:hyperlink w:anchor="_Toc163505642" w:history="1">
        <w:r w:rsidRPr="007246E7">
          <w:rPr>
            <w:rStyle w:val="Hyperlink"/>
            <w:rtl/>
          </w:rPr>
          <w:t>חדושי הריטב"א שבת פ"א ע"ב ד"ה היה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Toc163505642 \h</w:instrText>
        </w:r>
        <w:r>
          <w:rPr>
            <w:webHidden/>
            <w:rtl/>
          </w:rPr>
          <w:instrText xml:space="preserve"> </w:instrText>
        </w:r>
        <w:r>
          <w:rPr>
            <w:rStyle w:val="Hyperlink"/>
            <w:rtl/>
          </w:rPr>
        </w:r>
        <w:r>
          <w:rPr>
            <w:rStyle w:val="Hyperlink"/>
            <w:rtl/>
          </w:rPr>
          <w:fldChar w:fldCharType="separate"/>
        </w:r>
        <w:r w:rsidR="00D82181">
          <w:rPr>
            <w:webHidden/>
            <w:rtl/>
          </w:rPr>
          <w:t>62</w:t>
        </w:r>
        <w:r>
          <w:rPr>
            <w:rStyle w:val="Hyperlink"/>
            <w:rtl/>
          </w:rPr>
          <w:fldChar w:fldCharType="end"/>
        </w:r>
      </w:hyperlink>
    </w:p>
    <w:p w14:paraId="62EAAC97" w14:textId="12336D2D" w:rsidR="008009AA" w:rsidRDefault="008009AA">
      <w:pPr>
        <w:pStyle w:val="TOC7"/>
        <w:rPr>
          <w:rFonts w:cstheme="minorBidi"/>
          <w:sz w:val="22"/>
          <w:szCs w:val="22"/>
          <w:rtl/>
        </w:rPr>
      </w:pPr>
      <w:hyperlink w:anchor="_Toc163505643" w:history="1">
        <w:r w:rsidRPr="007246E7">
          <w:rPr>
            <w:rStyle w:val="Hyperlink"/>
            <w:rtl/>
          </w:rPr>
          <w:t>מנחת חינוך מוסך השבת זורע אות ג' ד"ה והנה הזורע</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Toc163505643 \h</w:instrText>
        </w:r>
        <w:r>
          <w:rPr>
            <w:webHidden/>
            <w:rtl/>
          </w:rPr>
          <w:instrText xml:space="preserve"> </w:instrText>
        </w:r>
        <w:r>
          <w:rPr>
            <w:rStyle w:val="Hyperlink"/>
            <w:rtl/>
          </w:rPr>
        </w:r>
        <w:r>
          <w:rPr>
            <w:rStyle w:val="Hyperlink"/>
            <w:rtl/>
          </w:rPr>
          <w:fldChar w:fldCharType="separate"/>
        </w:r>
        <w:r w:rsidR="00D82181">
          <w:rPr>
            <w:webHidden/>
            <w:rtl/>
          </w:rPr>
          <w:t>62</w:t>
        </w:r>
        <w:r>
          <w:rPr>
            <w:rStyle w:val="Hyperlink"/>
            <w:rtl/>
          </w:rPr>
          <w:fldChar w:fldCharType="end"/>
        </w:r>
      </w:hyperlink>
    </w:p>
    <w:p w14:paraId="5FEC1543" w14:textId="691E2F59" w:rsidR="008009AA" w:rsidRDefault="008009AA">
      <w:pPr>
        <w:pStyle w:val="TOC7"/>
        <w:rPr>
          <w:rFonts w:cstheme="minorBidi"/>
          <w:sz w:val="22"/>
          <w:szCs w:val="22"/>
          <w:rtl/>
        </w:rPr>
      </w:pPr>
      <w:hyperlink w:anchor="_Toc163505644" w:history="1">
        <w:r w:rsidRPr="007246E7">
          <w:rPr>
            <w:rStyle w:val="Hyperlink"/>
            <w:rtl/>
          </w:rPr>
          <w:t>הגהות אשרי שבת פ"ח סי' 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Toc163505644 \h</w:instrText>
        </w:r>
        <w:r>
          <w:rPr>
            <w:webHidden/>
            <w:rtl/>
          </w:rPr>
          <w:instrText xml:space="preserve"> </w:instrText>
        </w:r>
        <w:r>
          <w:rPr>
            <w:rStyle w:val="Hyperlink"/>
            <w:rtl/>
          </w:rPr>
        </w:r>
        <w:r>
          <w:rPr>
            <w:rStyle w:val="Hyperlink"/>
            <w:rtl/>
          </w:rPr>
          <w:fldChar w:fldCharType="separate"/>
        </w:r>
        <w:r w:rsidR="00D82181">
          <w:rPr>
            <w:webHidden/>
            <w:rtl/>
          </w:rPr>
          <w:t>62</w:t>
        </w:r>
        <w:r>
          <w:rPr>
            <w:rStyle w:val="Hyperlink"/>
            <w:rtl/>
          </w:rPr>
          <w:fldChar w:fldCharType="end"/>
        </w:r>
      </w:hyperlink>
    </w:p>
    <w:p w14:paraId="7EF8A791" w14:textId="3C167E63" w:rsidR="008009AA" w:rsidRDefault="008009AA">
      <w:pPr>
        <w:pStyle w:val="TOC7"/>
        <w:rPr>
          <w:rFonts w:cstheme="minorBidi"/>
          <w:sz w:val="22"/>
          <w:szCs w:val="22"/>
          <w:rtl/>
        </w:rPr>
      </w:pPr>
      <w:hyperlink w:anchor="_Toc163505645" w:history="1">
        <w:r w:rsidRPr="007246E7">
          <w:rPr>
            <w:rStyle w:val="Hyperlink"/>
            <w:rtl/>
          </w:rPr>
          <w:t>מאירי שבת פ"א ע"ב ד"ה זה שהתרנו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Toc163505645 \h</w:instrText>
        </w:r>
        <w:r>
          <w:rPr>
            <w:webHidden/>
            <w:rtl/>
          </w:rPr>
          <w:instrText xml:space="preserve"> </w:instrText>
        </w:r>
        <w:r>
          <w:rPr>
            <w:rStyle w:val="Hyperlink"/>
            <w:rtl/>
          </w:rPr>
        </w:r>
        <w:r>
          <w:rPr>
            <w:rStyle w:val="Hyperlink"/>
            <w:rtl/>
          </w:rPr>
          <w:fldChar w:fldCharType="separate"/>
        </w:r>
        <w:r w:rsidR="00D82181">
          <w:rPr>
            <w:webHidden/>
            <w:rtl/>
          </w:rPr>
          <w:t>62</w:t>
        </w:r>
        <w:r>
          <w:rPr>
            <w:rStyle w:val="Hyperlink"/>
            <w:rtl/>
          </w:rPr>
          <w:fldChar w:fldCharType="end"/>
        </w:r>
      </w:hyperlink>
    </w:p>
    <w:p w14:paraId="24416C06" w14:textId="5822F131" w:rsidR="008009AA" w:rsidRDefault="008009AA">
      <w:pPr>
        <w:pStyle w:val="TOC7"/>
        <w:rPr>
          <w:rFonts w:cstheme="minorBidi"/>
          <w:sz w:val="22"/>
          <w:szCs w:val="22"/>
          <w:rtl/>
        </w:rPr>
      </w:pPr>
      <w:hyperlink w:anchor="_Toc163505646" w:history="1">
        <w:r w:rsidRPr="007246E7">
          <w:rPr>
            <w:rStyle w:val="Hyperlink"/>
            <w:rtl/>
          </w:rPr>
          <w:t>מאירי גיטין ז' ע"ב ד"ה ממה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Toc163505646 \h</w:instrText>
        </w:r>
        <w:r>
          <w:rPr>
            <w:webHidden/>
            <w:rtl/>
          </w:rPr>
          <w:instrText xml:space="preserve"> </w:instrText>
        </w:r>
        <w:r>
          <w:rPr>
            <w:rStyle w:val="Hyperlink"/>
            <w:rtl/>
          </w:rPr>
        </w:r>
        <w:r>
          <w:rPr>
            <w:rStyle w:val="Hyperlink"/>
            <w:rtl/>
          </w:rPr>
          <w:fldChar w:fldCharType="separate"/>
        </w:r>
        <w:r w:rsidR="00D82181">
          <w:rPr>
            <w:webHidden/>
            <w:rtl/>
          </w:rPr>
          <w:t>62</w:t>
        </w:r>
        <w:r>
          <w:rPr>
            <w:rStyle w:val="Hyperlink"/>
            <w:rtl/>
          </w:rPr>
          <w:fldChar w:fldCharType="end"/>
        </w:r>
      </w:hyperlink>
    </w:p>
    <w:p w14:paraId="7CD9EFE0" w14:textId="40E0B6F2" w:rsidR="008009AA" w:rsidRDefault="008009AA">
      <w:pPr>
        <w:pStyle w:val="TOC7"/>
        <w:rPr>
          <w:rFonts w:cstheme="minorBidi"/>
          <w:sz w:val="22"/>
          <w:szCs w:val="22"/>
          <w:rtl/>
        </w:rPr>
      </w:pPr>
      <w:hyperlink w:anchor="_Toc163505647" w:history="1">
        <w:r w:rsidRPr="007246E7">
          <w:rPr>
            <w:rStyle w:val="Hyperlink"/>
            <w:rtl/>
          </w:rPr>
          <w:t>שו"ע או"ח סי' של"ו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Toc163505647 \h</w:instrText>
        </w:r>
        <w:r>
          <w:rPr>
            <w:webHidden/>
            <w:rtl/>
          </w:rPr>
          <w:instrText xml:space="preserve"> </w:instrText>
        </w:r>
        <w:r>
          <w:rPr>
            <w:rStyle w:val="Hyperlink"/>
            <w:rtl/>
          </w:rPr>
        </w:r>
        <w:r>
          <w:rPr>
            <w:rStyle w:val="Hyperlink"/>
            <w:rtl/>
          </w:rPr>
          <w:fldChar w:fldCharType="separate"/>
        </w:r>
        <w:r w:rsidR="00D82181">
          <w:rPr>
            <w:webHidden/>
            <w:rtl/>
          </w:rPr>
          <w:t>62</w:t>
        </w:r>
        <w:r>
          <w:rPr>
            <w:rStyle w:val="Hyperlink"/>
            <w:rtl/>
          </w:rPr>
          <w:fldChar w:fldCharType="end"/>
        </w:r>
      </w:hyperlink>
    </w:p>
    <w:p w14:paraId="4FD47270" w14:textId="67D144A3" w:rsidR="008009AA" w:rsidRDefault="008009AA">
      <w:pPr>
        <w:pStyle w:val="TOC7"/>
        <w:rPr>
          <w:rFonts w:cstheme="minorBidi"/>
          <w:sz w:val="22"/>
          <w:szCs w:val="22"/>
          <w:rtl/>
        </w:rPr>
      </w:pPr>
      <w:hyperlink w:anchor="_Toc163505648" w:history="1">
        <w:r w:rsidRPr="007246E7">
          <w:rPr>
            <w:rStyle w:val="Hyperlink"/>
            <w:rtl/>
          </w:rPr>
          <w:t>לבוש או"ח סי' של"ו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Toc163505648 \h</w:instrText>
        </w:r>
        <w:r>
          <w:rPr>
            <w:webHidden/>
            <w:rtl/>
          </w:rPr>
          <w:instrText xml:space="preserve"> </w:instrText>
        </w:r>
        <w:r>
          <w:rPr>
            <w:rStyle w:val="Hyperlink"/>
            <w:rtl/>
          </w:rPr>
        </w:r>
        <w:r>
          <w:rPr>
            <w:rStyle w:val="Hyperlink"/>
            <w:rtl/>
          </w:rPr>
          <w:fldChar w:fldCharType="separate"/>
        </w:r>
        <w:r w:rsidR="00D82181">
          <w:rPr>
            <w:webHidden/>
            <w:rtl/>
          </w:rPr>
          <w:t>62</w:t>
        </w:r>
        <w:r>
          <w:rPr>
            <w:rStyle w:val="Hyperlink"/>
            <w:rtl/>
          </w:rPr>
          <w:fldChar w:fldCharType="end"/>
        </w:r>
      </w:hyperlink>
    </w:p>
    <w:p w14:paraId="24371B84" w14:textId="3FEAEB25" w:rsidR="008009AA" w:rsidRDefault="008009AA">
      <w:pPr>
        <w:pStyle w:val="TOC7"/>
        <w:rPr>
          <w:rFonts w:cstheme="minorBidi"/>
          <w:sz w:val="22"/>
          <w:szCs w:val="22"/>
          <w:rtl/>
        </w:rPr>
      </w:pPr>
      <w:hyperlink w:anchor="_Toc163505649" w:history="1">
        <w:r w:rsidRPr="007246E7">
          <w:rPr>
            <w:rStyle w:val="Hyperlink"/>
            <w:rtl/>
          </w:rPr>
          <w:t>רמב"ם שבת פ"ח ה"ד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Toc163505649 \h</w:instrText>
        </w:r>
        <w:r>
          <w:rPr>
            <w:webHidden/>
            <w:rtl/>
          </w:rPr>
          <w:instrText xml:space="preserve"> </w:instrText>
        </w:r>
        <w:r>
          <w:rPr>
            <w:rStyle w:val="Hyperlink"/>
            <w:rtl/>
          </w:rPr>
        </w:r>
        <w:r>
          <w:rPr>
            <w:rStyle w:val="Hyperlink"/>
            <w:rtl/>
          </w:rPr>
          <w:fldChar w:fldCharType="separate"/>
        </w:r>
        <w:r w:rsidR="00D82181">
          <w:rPr>
            <w:webHidden/>
            <w:rtl/>
          </w:rPr>
          <w:t>63</w:t>
        </w:r>
        <w:r>
          <w:rPr>
            <w:rStyle w:val="Hyperlink"/>
            <w:rtl/>
          </w:rPr>
          <w:fldChar w:fldCharType="end"/>
        </w:r>
      </w:hyperlink>
    </w:p>
    <w:p w14:paraId="71274ED9" w14:textId="1ED879CA" w:rsidR="008009AA" w:rsidRDefault="008009AA">
      <w:pPr>
        <w:pStyle w:val="TOC7"/>
        <w:rPr>
          <w:rFonts w:cstheme="minorBidi"/>
          <w:sz w:val="22"/>
          <w:szCs w:val="22"/>
          <w:rtl/>
        </w:rPr>
      </w:pPr>
      <w:hyperlink w:anchor="_Toc163505650" w:history="1">
        <w:r w:rsidRPr="007246E7">
          <w:rPr>
            <w:rStyle w:val="Hyperlink"/>
            <w:rtl/>
          </w:rPr>
          <w:t>רמב"ם שבת פ"ח ה"ג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Toc163505650 \h</w:instrText>
        </w:r>
        <w:r>
          <w:rPr>
            <w:webHidden/>
            <w:rtl/>
          </w:rPr>
          <w:instrText xml:space="preserve"> </w:instrText>
        </w:r>
        <w:r>
          <w:rPr>
            <w:rStyle w:val="Hyperlink"/>
            <w:rtl/>
          </w:rPr>
        </w:r>
        <w:r>
          <w:rPr>
            <w:rStyle w:val="Hyperlink"/>
            <w:rtl/>
          </w:rPr>
          <w:fldChar w:fldCharType="separate"/>
        </w:r>
        <w:r w:rsidR="00D82181">
          <w:rPr>
            <w:webHidden/>
            <w:rtl/>
          </w:rPr>
          <w:t>63</w:t>
        </w:r>
        <w:r>
          <w:rPr>
            <w:rStyle w:val="Hyperlink"/>
            <w:rtl/>
          </w:rPr>
          <w:fldChar w:fldCharType="end"/>
        </w:r>
      </w:hyperlink>
    </w:p>
    <w:p w14:paraId="0C08C802" w14:textId="2C643165" w:rsidR="008009AA" w:rsidRDefault="008009AA">
      <w:pPr>
        <w:pStyle w:val="TOC7"/>
        <w:rPr>
          <w:rFonts w:cstheme="minorBidi"/>
          <w:sz w:val="22"/>
          <w:szCs w:val="22"/>
          <w:rtl/>
        </w:rPr>
      </w:pPr>
      <w:hyperlink w:anchor="_Toc163505651" w:history="1">
        <w:r w:rsidRPr="007246E7">
          <w:rPr>
            <w:rStyle w:val="Hyperlink"/>
            <w:rtl/>
          </w:rPr>
          <w:t>מגיד משנה שבת פ"ח ה"ד ד"ה גבשושית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Toc163505651 \h</w:instrText>
        </w:r>
        <w:r>
          <w:rPr>
            <w:webHidden/>
            <w:rtl/>
          </w:rPr>
          <w:instrText xml:space="preserve"> </w:instrText>
        </w:r>
        <w:r>
          <w:rPr>
            <w:rStyle w:val="Hyperlink"/>
            <w:rtl/>
          </w:rPr>
        </w:r>
        <w:r>
          <w:rPr>
            <w:rStyle w:val="Hyperlink"/>
            <w:rtl/>
          </w:rPr>
          <w:fldChar w:fldCharType="separate"/>
        </w:r>
        <w:r w:rsidR="00D82181">
          <w:rPr>
            <w:webHidden/>
            <w:rtl/>
          </w:rPr>
          <w:t>63</w:t>
        </w:r>
        <w:r>
          <w:rPr>
            <w:rStyle w:val="Hyperlink"/>
            <w:rtl/>
          </w:rPr>
          <w:fldChar w:fldCharType="end"/>
        </w:r>
      </w:hyperlink>
    </w:p>
    <w:p w14:paraId="47ED9ADD" w14:textId="7BD64BBB" w:rsidR="008009AA" w:rsidRDefault="008009AA">
      <w:pPr>
        <w:pStyle w:val="TOC7"/>
        <w:rPr>
          <w:rFonts w:cstheme="minorBidi"/>
          <w:sz w:val="22"/>
          <w:szCs w:val="22"/>
          <w:rtl/>
        </w:rPr>
      </w:pPr>
      <w:hyperlink w:anchor="_Toc163505652" w:history="1">
        <w:r w:rsidRPr="007246E7">
          <w:rPr>
            <w:rStyle w:val="Hyperlink"/>
            <w:rtl/>
          </w:rPr>
          <w:t>חדושי מים חיים שבת פ"ח ה"ד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Toc163505652 \h</w:instrText>
        </w:r>
        <w:r>
          <w:rPr>
            <w:webHidden/>
            <w:rtl/>
          </w:rPr>
          <w:instrText xml:space="preserve"> </w:instrText>
        </w:r>
        <w:r>
          <w:rPr>
            <w:rStyle w:val="Hyperlink"/>
            <w:rtl/>
          </w:rPr>
        </w:r>
        <w:r>
          <w:rPr>
            <w:rStyle w:val="Hyperlink"/>
            <w:rtl/>
          </w:rPr>
          <w:fldChar w:fldCharType="separate"/>
        </w:r>
        <w:r w:rsidR="00D82181">
          <w:rPr>
            <w:webHidden/>
            <w:rtl/>
          </w:rPr>
          <w:t>63</w:t>
        </w:r>
        <w:r>
          <w:rPr>
            <w:rStyle w:val="Hyperlink"/>
            <w:rtl/>
          </w:rPr>
          <w:fldChar w:fldCharType="end"/>
        </w:r>
      </w:hyperlink>
    </w:p>
    <w:p w14:paraId="015AFB96" w14:textId="774ECC82" w:rsidR="008009AA" w:rsidRDefault="008009AA">
      <w:pPr>
        <w:pStyle w:val="TOC7"/>
        <w:rPr>
          <w:rFonts w:cstheme="minorBidi"/>
          <w:sz w:val="22"/>
          <w:szCs w:val="22"/>
          <w:rtl/>
        </w:rPr>
      </w:pPr>
      <w:hyperlink w:anchor="_Toc163505653" w:history="1">
        <w:r w:rsidRPr="007246E7">
          <w:rPr>
            <w:rStyle w:val="Hyperlink"/>
            <w:rtl/>
          </w:rPr>
          <w:t>אור שמח שבת פ"ח ה"ד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Toc163505653 \h</w:instrText>
        </w:r>
        <w:r>
          <w:rPr>
            <w:webHidden/>
            <w:rtl/>
          </w:rPr>
          <w:instrText xml:space="preserve"> </w:instrText>
        </w:r>
        <w:r>
          <w:rPr>
            <w:rStyle w:val="Hyperlink"/>
            <w:rtl/>
          </w:rPr>
        </w:r>
        <w:r>
          <w:rPr>
            <w:rStyle w:val="Hyperlink"/>
            <w:rtl/>
          </w:rPr>
          <w:fldChar w:fldCharType="separate"/>
        </w:r>
        <w:r w:rsidR="00D82181">
          <w:rPr>
            <w:webHidden/>
            <w:rtl/>
          </w:rPr>
          <w:t>63</w:t>
        </w:r>
        <w:r>
          <w:rPr>
            <w:rStyle w:val="Hyperlink"/>
            <w:rtl/>
          </w:rPr>
          <w:fldChar w:fldCharType="end"/>
        </w:r>
      </w:hyperlink>
    </w:p>
    <w:p w14:paraId="1A72612B" w14:textId="54501806" w:rsidR="008009AA" w:rsidRDefault="008009AA">
      <w:pPr>
        <w:pStyle w:val="TOC7"/>
        <w:rPr>
          <w:rFonts w:cstheme="minorBidi"/>
          <w:sz w:val="22"/>
          <w:szCs w:val="22"/>
          <w:rtl/>
        </w:rPr>
      </w:pPr>
      <w:hyperlink w:anchor="_Toc163505654" w:history="1">
        <w:r w:rsidRPr="007246E7">
          <w:rPr>
            <w:rStyle w:val="Hyperlink"/>
            <w:rtl/>
          </w:rPr>
          <w:t>מרכבת המשנה שבת פ"ח ה"ד ד"ה גבשושית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Toc163505654 \h</w:instrText>
        </w:r>
        <w:r>
          <w:rPr>
            <w:webHidden/>
            <w:rtl/>
          </w:rPr>
          <w:instrText xml:space="preserve"> </w:instrText>
        </w:r>
        <w:r>
          <w:rPr>
            <w:rStyle w:val="Hyperlink"/>
            <w:rtl/>
          </w:rPr>
        </w:r>
        <w:r>
          <w:rPr>
            <w:rStyle w:val="Hyperlink"/>
            <w:rtl/>
          </w:rPr>
          <w:fldChar w:fldCharType="separate"/>
        </w:r>
        <w:r w:rsidR="00D82181">
          <w:rPr>
            <w:webHidden/>
            <w:rtl/>
          </w:rPr>
          <w:t>63</w:t>
        </w:r>
        <w:r>
          <w:rPr>
            <w:rStyle w:val="Hyperlink"/>
            <w:rtl/>
          </w:rPr>
          <w:fldChar w:fldCharType="end"/>
        </w:r>
      </w:hyperlink>
    </w:p>
    <w:p w14:paraId="31066087" w14:textId="34D6D89F" w:rsidR="008009AA" w:rsidRDefault="008009AA">
      <w:pPr>
        <w:pStyle w:val="TOC7"/>
        <w:rPr>
          <w:rFonts w:cstheme="minorBidi"/>
          <w:sz w:val="22"/>
          <w:szCs w:val="22"/>
          <w:rtl/>
        </w:rPr>
      </w:pPr>
      <w:hyperlink w:anchor="_Toc163505655" w:history="1">
        <w:r w:rsidRPr="007246E7">
          <w:rPr>
            <w:rStyle w:val="Hyperlink"/>
            <w:rtl/>
          </w:rPr>
          <w:t>אור זרוע ח"ב הלכות שבת סי' נ"ו ד"ה אמר אביי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Toc163505655 \h</w:instrText>
        </w:r>
        <w:r>
          <w:rPr>
            <w:webHidden/>
            <w:rtl/>
          </w:rPr>
          <w:instrText xml:space="preserve"> </w:instrText>
        </w:r>
        <w:r>
          <w:rPr>
            <w:rStyle w:val="Hyperlink"/>
            <w:rtl/>
          </w:rPr>
        </w:r>
        <w:r>
          <w:rPr>
            <w:rStyle w:val="Hyperlink"/>
            <w:rtl/>
          </w:rPr>
          <w:fldChar w:fldCharType="separate"/>
        </w:r>
        <w:r w:rsidR="00D82181">
          <w:rPr>
            <w:webHidden/>
            <w:rtl/>
          </w:rPr>
          <w:t>63</w:t>
        </w:r>
        <w:r>
          <w:rPr>
            <w:rStyle w:val="Hyperlink"/>
            <w:rtl/>
          </w:rPr>
          <w:fldChar w:fldCharType="end"/>
        </w:r>
      </w:hyperlink>
    </w:p>
    <w:p w14:paraId="5CB1D8F8" w14:textId="28BFD3FA" w:rsidR="008009AA" w:rsidRDefault="008009AA">
      <w:pPr>
        <w:pStyle w:val="TOC7"/>
        <w:rPr>
          <w:rFonts w:cstheme="minorBidi"/>
          <w:sz w:val="22"/>
          <w:szCs w:val="22"/>
          <w:rtl/>
        </w:rPr>
      </w:pPr>
      <w:hyperlink w:anchor="_Toc163505656" w:history="1">
        <w:r w:rsidRPr="007246E7">
          <w:rPr>
            <w:rStyle w:val="Hyperlink"/>
            <w:rtl/>
          </w:rPr>
          <w:t>אגלי טל קוצר סק"ו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Toc163505656 \h</w:instrText>
        </w:r>
        <w:r>
          <w:rPr>
            <w:webHidden/>
            <w:rtl/>
          </w:rPr>
          <w:instrText xml:space="preserve"> </w:instrText>
        </w:r>
        <w:r>
          <w:rPr>
            <w:rStyle w:val="Hyperlink"/>
            <w:rtl/>
          </w:rPr>
        </w:r>
        <w:r>
          <w:rPr>
            <w:rStyle w:val="Hyperlink"/>
            <w:rtl/>
          </w:rPr>
          <w:fldChar w:fldCharType="separate"/>
        </w:r>
        <w:r w:rsidR="00D82181">
          <w:rPr>
            <w:webHidden/>
            <w:rtl/>
          </w:rPr>
          <w:t>63</w:t>
        </w:r>
        <w:r>
          <w:rPr>
            <w:rStyle w:val="Hyperlink"/>
            <w:rtl/>
          </w:rPr>
          <w:fldChar w:fldCharType="end"/>
        </w:r>
      </w:hyperlink>
    </w:p>
    <w:p w14:paraId="2DDD93F3" w14:textId="7B162994" w:rsidR="008009AA" w:rsidRDefault="008009AA">
      <w:pPr>
        <w:pStyle w:val="TOC7"/>
        <w:rPr>
          <w:rFonts w:cstheme="minorBidi"/>
          <w:sz w:val="22"/>
          <w:szCs w:val="22"/>
          <w:rtl/>
        </w:rPr>
      </w:pPr>
      <w:hyperlink w:anchor="_Toc163505657" w:history="1">
        <w:r w:rsidRPr="007246E7">
          <w:rPr>
            <w:rStyle w:val="Hyperlink"/>
            <w:rtl/>
          </w:rPr>
          <w:t>מאירי שבת פ"א ע"ב ד"ה זה שהתרנו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Toc163505657 \h</w:instrText>
        </w:r>
        <w:r>
          <w:rPr>
            <w:webHidden/>
            <w:rtl/>
          </w:rPr>
          <w:instrText xml:space="preserve"> </w:instrText>
        </w:r>
        <w:r>
          <w:rPr>
            <w:rStyle w:val="Hyperlink"/>
            <w:rtl/>
          </w:rPr>
        </w:r>
        <w:r>
          <w:rPr>
            <w:rStyle w:val="Hyperlink"/>
            <w:rtl/>
          </w:rPr>
          <w:fldChar w:fldCharType="separate"/>
        </w:r>
        <w:r w:rsidR="00D82181">
          <w:rPr>
            <w:webHidden/>
            <w:rtl/>
          </w:rPr>
          <w:t>64</w:t>
        </w:r>
        <w:r>
          <w:rPr>
            <w:rStyle w:val="Hyperlink"/>
            <w:rtl/>
          </w:rPr>
          <w:fldChar w:fldCharType="end"/>
        </w:r>
      </w:hyperlink>
    </w:p>
    <w:p w14:paraId="28819803" w14:textId="444788D0" w:rsidR="008009AA" w:rsidRDefault="008009AA">
      <w:pPr>
        <w:pStyle w:val="TOC7"/>
        <w:rPr>
          <w:rFonts w:cstheme="minorBidi"/>
          <w:sz w:val="22"/>
          <w:szCs w:val="22"/>
          <w:rtl/>
        </w:rPr>
      </w:pPr>
      <w:hyperlink w:anchor="_Toc163505658" w:history="1">
        <w:r w:rsidRPr="007246E7">
          <w:rPr>
            <w:rStyle w:val="Hyperlink"/>
            <w:rtl/>
          </w:rPr>
          <w:t>זכר יצחק ח"ב סי' מ"ה אות 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Toc163505658 \h</w:instrText>
        </w:r>
        <w:r>
          <w:rPr>
            <w:webHidden/>
            <w:rtl/>
          </w:rPr>
          <w:instrText xml:space="preserve"> </w:instrText>
        </w:r>
        <w:r>
          <w:rPr>
            <w:rStyle w:val="Hyperlink"/>
            <w:rtl/>
          </w:rPr>
        </w:r>
        <w:r>
          <w:rPr>
            <w:rStyle w:val="Hyperlink"/>
            <w:rtl/>
          </w:rPr>
          <w:fldChar w:fldCharType="separate"/>
        </w:r>
        <w:r w:rsidR="00D82181">
          <w:rPr>
            <w:webHidden/>
            <w:rtl/>
          </w:rPr>
          <w:t>65</w:t>
        </w:r>
        <w:r>
          <w:rPr>
            <w:rStyle w:val="Hyperlink"/>
            <w:rtl/>
          </w:rPr>
          <w:fldChar w:fldCharType="end"/>
        </w:r>
      </w:hyperlink>
    </w:p>
    <w:p w14:paraId="0EB1708D" w14:textId="66FC737E" w:rsidR="008009AA" w:rsidRDefault="008009AA">
      <w:pPr>
        <w:pStyle w:val="TOC7"/>
        <w:rPr>
          <w:rFonts w:cstheme="minorBidi"/>
          <w:sz w:val="22"/>
          <w:szCs w:val="22"/>
          <w:rtl/>
        </w:rPr>
      </w:pPr>
      <w:hyperlink w:anchor="_Toc163505659" w:history="1">
        <w:r w:rsidRPr="007246E7">
          <w:rPr>
            <w:rStyle w:val="Hyperlink"/>
            <w:rtl/>
          </w:rPr>
          <w:t>זכר יצחק ח"ב סי' מ"ה אות ב' ד"ה וכן משמע</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Toc163505659 \h</w:instrText>
        </w:r>
        <w:r>
          <w:rPr>
            <w:webHidden/>
            <w:rtl/>
          </w:rPr>
          <w:instrText xml:space="preserve"> </w:instrText>
        </w:r>
        <w:r>
          <w:rPr>
            <w:rStyle w:val="Hyperlink"/>
            <w:rtl/>
          </w:rPr>
        </w:r>
        <w:r>
          <w:rPr>
            <w:rStyle w:val="Hyperlink"/>
            <w:rtl/>
          </w:rPr>
          <w:fldChar w:fldCharType="separate"/>
        </w:r>
        <w:r w:rsidR="00D82181">
          <w:rPr>
            <w:webHidden/>
            <w:rtl/>
          </w:rPr>
          <w:t>65</w:t>
        </w:r>
        <w:r>
          <w:rPr>
            <w:rStyle w:val="Hyperlink"/>
            <w:rtl/>
          </w:rPr>
          <w:fldChar w:fldCharType="end"/>
        </w:r>
      </w:hyperlink>
    </w:p>
    <w:p w14:paraId="4837934F" w14:textId="3878D0F4" w:rsidR="008009AA" w:rsidRDefault="008009AA">
      <w:pPr>
        <w:pStyle w:val="TOC7"/>
        <w:rPr>
          <w:rFonts w:cstheme="minorBidi"/>
          <w:sz w:val="22"/>
          <w:szCs w:val="22"/>
          <w:rtl/>
        </w:rPr>
      </w:pPr>
      <w:hyperlink w:anchor="_Toc163505660" w:history="1">
        <w:r w:rsidRPr="007246E7">
          <w:rPr>
            <w:rStyle w:val="Hyperlink"/>
            <w:rtl/>
          </w:rPr>
          <w:t>דבר אברהם ח"א סי' כ"ד אות י"א ד"ה ואחר, אבל</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Toc163505660 \h</w:instrText>
        </w:r>
        <w:r>
          <w:rPr>
            <w:webHidden/>
            <w:rtl/>
          </w:rPr>
          <w:instrText xml:space="preserve"> </w:instrText>
        </w:r>
        <w:r>
          <w:rPr>
            <w:rStyle w:val="Hyperlink"/>
            <w:rtl/>
          </w:rPr>
        </w:r>
        <w:r>
          <w:rPr>
            <w:rStyle w:val="Hyperlink"/>
            <w:rtl/>
          </w:rPr>
          <w:fldChar w:fldCharType="separate"/>
        </w:r>
        <w:r w:rsidR="00D82181">
          <w:rPr>
            <w:webHidden/>
            <w:rtl/>
          </w:rPr>
          <w:t>65</w:t>
        </w:r>
        <w:r>
          <w:rPr>
            <w:rStyle w:val="Hyperlink"/>
            <w:rtl/>
          </w:rPr>
          <w:fldChar w:fldCharType="end"/>
        </w:r>
      </w:hyperlink>
    </w:p>
    <w:p w14:paraId="171B1F7C" w14:textId="09F51576" w:rsidR="008009AA" w:rsidRDefault="008009AA">
      <w:pPr>
        <w:pStyle w:val="TOC7"/>
        <w:rPr>
          <w:rFonts w:cstheme="minorBidi"/>
          <w:sz w:val="22"/>
          <w:szCs w:val="22"/>
          <w:rtl/>
        </w:rPr>
      </w:pPr>
      <w:hyperlink w:anchor="_Toc163505661" w:history="1">
        <w:r w:rsidRPr="007246E7">
          <w:rPr>
            <w:rStyle w:val="Hyperlink"/>
            <w:rtl/>
          </w:rPr>
          <w:t>דבר אברהם ח"א סי' כ"ד אות י"ג ד"ה אולם</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Toc163505661 \h</w:instrText>
        </w:r>
        <w:r>
          <w:rPr>
            <w:webHidden/>
            <w:rtl/>
          </w:rPr>
          <w:instrText xml:space="preserve"> </w:instrText>
        </w:r>
        <w:r>
          <w:rPr>
            <w:rStyle w:val="Hyperlink"/>
            <w:rtl/>
          </w:rPr>
        </w:r>
        <w:r>
          <w:rPr>
            <w:rStyle w:val="Hyperlink"/>
            <w:rtl/>
          </w:rPr>
          <w:fldChar w:fldCharType="separate"/>
        </w:r>
        <w:r w:rsidR="00D82181">
          <w:rPr>
            <w:webHidden/>
            <w:rtl/>
          </w:rPr>
          <w:t>65</w:t>
        </w:r>
        <w:r>
          <w:rPr>
            <w:rStyle w:val="Hyperlink"/>
            <w:rtl/>
          </w:rPr>
          <w:fldChar w:fldCharType="end"/>
        </w:r>
      </w:hyperlink>
    </w:p>
    <w:p w14:paraId="06938D1A" w14:textId="67DFB322" w:rsidR="008009AA" w:rsidRDefault="008009AA">
      <w:pPr>
        <w:pStyle w:val="TOC7"/>
        <w:rPr>
          <w:rFonts w:cstheme="minorBidi"/>
          <w:sz w:val="22"/>
          <w:szCs w:val="22"/>
          <w:rtl/>
        </w:rPr>
      </w:pPr>
      <w:hyperlink w:anchor="_Toc163505662" w:history="1">
        <w:r w:rsidRPr="007246E7">
          <w:rPr>
            <w:rStyle w:val="Hyperlink"/>
            <w:rtl/>
          </w:rPr>
          <w:t>דבר אברהם ח"א סי' כ"ד אות י"ג ד"ה אבל לענ"ד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Toc163505662 \h</w:instrText>
        </w:r>
        <w:r>
          <w:rPr>
            <w:webHidden/>
            <w:rtl/>
          </w:rPr>
          <w:instrText xml:space="preserve"> </w:instrText>
        </w:r>
        <w:r>
          <w:rPr>
            <w:rStyle w:val="Hyperlink"/>
            <w:rtl/>
          </w:rPr>
        </w:r>
        <w:r>
          <w:rPr>
            <w:rStyle w:val="Hyperlink"/>
            <w:rtl/>
          </w:rPr>
          <w:fldChar w:fldCharType="separate"/>
        </w:r>
        <w:r w:rsidR="00D82181">
          <w:rPr>
            <w:webHidden/>
            <w:rtl/>
          </w:rPr>
          <w:t>65</w:t>
        </w:r>
        <w:r>
          <w:rPr>
            <w:rStyle w:val="Hyperlink"/>
            <w:rtl/>
          </w:rPr>
          <w:fldChar w:fldCharType="end"/>
        </w:r>
      </w:hyperlink>
    </w:p>
    <w:p w14:paraId="6598C2A2" w14:textId="621DE71F" w:rsidR="008009AA" w:rsidRDefault="008009AA">
      <w:pPr>
        <w:pStyle w:val="TOC7"/>
        <w:rPr>
          <w:rFonts w:cstheme="minorBidi"/>
          <w:sz w:val="22"/>
          <w:szCs w:val="22"/>
          <w:rtl/>
        </w:rPr>
      </w:pPr>
      <w:hyperlink w:anchor="_Toc163505663" w:history="1">
        <w:r w:rsidRPr="007246E7">
          <w:rPr>
            <w:rStyle w:val="Hyperlink"/>
            <w:rtl/>
          </w:rPr>
          <w:t>דבר אברהם ח"א סי' כ"ד אות י"ד ד"ה ועפי"ז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Toc163505663 \h</w:instrText>
        </w:r>
        <w:r>
          <w:rPr>
            <w:webHidden/>
            <w:rtl/>
          </w:rPr>
          <w:instrText xml:space="preserve"> </w:instrText>
        </w:r>
        <w:r>
          <w:rPr>
            <w:rStyle w:val="Hyperlink"/>
            <w:rtl/>
          </w:rPr>
        </w:r>
        <w:r>
          <w:rPr>
            <w:rStyle w:val="Hyperlink"/>
            <w:rtl/>
          </w:rPr>
          <w:fldChar w:fldCharType="separate"/>
        </w:r>
        <w:r w:rsidR="00D82181">
          <w:rPr>
            <w:webHidden/>
            <w:rtl/>
          </w:rPr>
          <w:t>66</w:t>
        </w:r>
        <w:r>
          <w:rPr>
            <w:rStyle w:val="Hyperlink"/>
            <w:rtl/>
          </w:rPr>
          <w:fldChar w:fldCharType="end"/>
        </w:r>
      </w:hyperlink>
    </w:p>
    <w:p w14:paraId="306FB6CA" w14:textId="7F5C7856" w:rsidR="008009AA" w:rsidRDefault="008009AA">
      <w:pPr>
        <w:pStyle w:val="TOC7"/>
        <w:rPr>
          <w:rFonts w:cstheme="minorBidi"/>
          <w:sz w:val="22"/>
          <w:szCs w:val="22"/>
          <w:rtl/>
        </w:rPr>
      </w:pPr>
      <w:hyperlink w:anchor="_Toc163505664" w:history="1">
        <w:r w:rsidRPr="007246E7">
          <w:rPr>
            <w:rStyle w:val="Hyperlink"/>
            <w:rtl/>
          </w:rPr>
          <w:t>דבר אברהם ח"א סי' כ"ד אות י"ב ד"ה ועוד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Toc163505664 \h</w:instrText>
        </w:r>
        <w:r>
          <w:rPr>
            <w:webHidden/>
            <w:rtl/>
          </w:rPr>
          <w:instrText xml:space="preserve"> </w:instrText>
        </w:r>
        <w:r>
          <w:rPr>
            <w:rStyle w:val="Hyperlink"/>
            <w:rtl/>
          </w:rPr>
        </w:r>
        <w:r>
          <w:rPr>
            <w:rStyle w:val="Hyperlink"/>
            <w:rtl/>
          </w:rPr>
          <w:fldChar w:fldCharType="separate"/>
        </w:r>
        <w:r w:rsidR="00D82181">
          <w:rPr>
            <w:webHidden/>
            <w:rtl/>
          </w:rPr>
          <w:t>66</w:t>
        </w:r>
        <w:r>
          <w:rPr>
            <w:rStyle w:val="Hyperlink"/>
            <w:rtl/>
          </w:rPr>
          <w:fldChar w:fldCharType="end"/>
        </w:r>
      </w:hyperlink>
    </w:p>
    <w:p w14:paraId="48C4397A" w14:textId="19637F67" w:rsidR="008009AA" w:rsidRDefault="008009AA">
      <w:pPr>
        <w:pStyle w:val="TOC7"/>
        <w:rPr>
          <w:rFonts w:cstheme="minorBidi"/>
          <w:sz w:val="22"/>
          <w:szCs w:val="22"/>
          <w:rtl/>
        </w:rPr>
      </w:pPr>
      <w:hyperlink w:anchor="_Toc163505665" w:history="1">
        <w:r w:rsidRPr="007246E7">
          <w:rPr>
            <w:rStyle w:val="Hyperlink"/>
            <w:rtl/>
          </w:rPr>
          <w:t>דבר אברהם ח"א סי' כ"ד אות י"ב ד"ה והנה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Toc163505665 \h</w:instrText>
        </w:r>
        <w:r>
          <w:rPr>
            <w:webHidden/>
            <w:rtl/>
          </w:rPr>
          <w:instrText xml:space="preserve"> </w:instrText>
        </w:r>
        <w:r>
          <w:rPr>
            <w:rStyle w:val="Hyperlink"/>
            <w:rtl/>
          </w:rPr>
        </w:r>
        <w:r>
          <w:rPr>
            <w:rStyle w:val="Hyperlink"/>
            <w:rtl/>
          </w:rPr>
          <w:fldChar w:fldCharType="separate"/>
        </w:r>
        <w:r w:rsidR="00D82181">
          <w:rPr>
            <w:webHidden/>
            <w:rtl/>
          </w:rPr>
          <w:t>66</w:t>
        </w:r>
        <w:r>
          <w:rPr>
            <w:rStyle w:val="Hyperlink"/>
            <w:rtl/>
          </w:rPr>
          <w:fldChar w:fldCharType="end"/>
        </w:r>
      </w:hyperlink>
    </w:p>
    <w:p w14:paraId="2ADDCBD9" w14:textId="47D94267" w:rsidR="008009AA" w:rsidRDefault="008009AA">
      <w:pPr>
        <w:pStyle w:val="TOC7"/>
        <w:rPr>
          <w:rFonts w:cstheme="minorBidi"/>
          <w:sz w:val="22"/>
          <w:szCs w:val="22"/>
          <w:rtl/>
        </w:rPr>
      </w:pPr>
      <w:hyperlink w:anchor="_Toc163505666" w:history="1">
        <w:r w:rsidRPr="007246E7">
          <w:rPr>
            <w:rStyle w:val="Hyperlink"/>
            <w:rtl/>
          </w:rPr>
          <w:t>דבר אברהם ח"א סי' כ"ד אות י"ב ד"ה וראיתי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Toc163505666 \h</w:instrText>
        </w:r>
        <w:r>
          <w:rPr>
            <w:webHidden/>
            <w:rtl/>
          </w:rPr>
          <w:instrText xml:space="preserve"> </w:instrText>
        </w:r>
        <w:r>
          <w:rPr>
            <w:rStyle w:val="Hyperlink"/>
            <w:rtl/>
          </w:rPr>
        </w:r>
        <w:r>
          <w:rPr>
            <w:rStyle w:val="Hyperlink"/>
            <w:rtl/>
          </w:rPr>
          <w:fldChar w:fldCharType="separate"/>
        </w:r>
        <w:r w:rsidR="00D82181">
          <w:rPr>
            <w:webHidden/>
            <w:rtl/>
          </w:rPr>
          <w:t>66</w:t>
        </w:r>
        <w:r>
          <w:rPr>
            <w:rStyle w:val="Hyperlink"/>
            <w:rtl/>
          </w:rPr>
          <w:fldChar w:fldCharType="end"/>
        </w:r>
      </w:hyperlink>
    </w:p>
    <w:p w14:paraId="19E20519" w14:textId="374DCC72" w:rsidR="008009AA" w:rsidRDefault="008009AA">
      <w:pPr>
        <w:pStyle w:val="TOC7"/>
        <w:rPr>
          <w:rFonts w:cstheme="minorBidi"/>
          <w:sz w:val="22"/>
          <w:szCs w:val="22"/>
          <w:rtl/>
        </w:rPr>
      </w:pPr>
      <w:hyperlink w:anchor="_Toc163505667" w:history="1">
        <w:r w:rsidRPr="007246E7">
          <w:rPr>
            <w:rStyle w:val="Hyperlink"/>
            <w:rtl/>
          </w:rPr>
          <w:t>רש"י שבת צ"ה ע"א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Toc163505667 \h</w:instrText>
        </w:r>
        <w:r>
          <w:rPr>
            <w:webHidden/>
            <w:rtl/>
          </w:rPr>
          <w:instrText xml:space="preserve"> </w:instrText>
        </w:r>
        <w:r>
          <w:rPr>
            <w:rStyle w:val="Hyperlink"/>
            <w:rtl/>
          </w:rPr>
        </w:r>
        <w:r>
          <w:rPr>
            <w:rStyle w:val="Hyperlink"/>
            <w:rtl/>
          </w:rPr>
          <w:fldChar w:fldCharType="separate"/>
        </w:r>
        <w:r w:rsidR="00D82181">
          <w:rPr>
            <w:webHidden/>
            <w:rtl/>
          </w:rPr>
          <w:t>66</w:t>
        </w:r>
        <w:r>
          <w:rPr>
            <w:rStyle w:val="Hyperlink"/>
            <w:rtl/>
          </w:rPr>
          <w:fldChar w:fldCharType="end"/>
        </w:r>
      </w:hyperlink>
    </w:p>
    <w:p w14:paraId="0EEA4B94" w14:textId="7785FE3F" w:rsidR="008009AA" w:rsidRDefault="008009AA">
      <w:pPr>
        <w:pStyle w:val="TOC7"/>
        <w:rPr>
          <w:rFonts w:cstheme="minorBidi"/>
          <w:sz w:val="22"/>
          <w:szCs w:val="22"/>
          <w:rtl/>
        </w:rPr>
      </w:pPr>
      <w:hyperlink w:anchor="_Toc163505668" w:history="1">
        <w:r w:rsidRPr="007246E7">
          <w:rPr>
            <w:rStyle w:val="Hyperlink"/>
            <w:rtl/>
          </w:rPr>
          <w:t>קרבן העדה שבת פ"ז הלכה 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Toc163505668 \h</w:instrText>
        </w:r>
        <w:r>
          <w:rPr>
            <w:webHidden/>
            <w:rtl/>
          </w:rPr>
          <w:instrText xml:space="preserve"> </w:instrText>
        </w:r>
        <w:r>
          <w:rPr>
            <w:rStyle w:val="Hyperlink"/>
            <w:rtl/>
          </w:rPr>
        </w:r>
        <w:r>
          <w:rPr>
            <w:rStyle w:val="Hyperlink"/>
            <w:rtl/>
          </w:rPr>
          <w:fldChar w:fldCharType="separate"/>
        </w:r>
        <w:r w:rsidR="00D82181">
          <w:rPr>
            <w:webHidden/>
            <w:rtl/>
          </w:rPr>
          <w:t>67</w:t>
        </w:r>
        <w:r>
          <w:rPr>
            <w:rStyle w:val="Hyperlink"/>
            <w:rtl/>
          </w:rPr>
          <w:fldChar w:fldCharType="end"/>
        </w:r>
      </w:hyperlink>
    </w:p>
    <w:p w14:paraId="4D6228C8" w14:textId="0BCF1517" w:rsidR="008009AA" w:rsidRDefault="008009AA">
      <w:pPr>
        <w:pStyle w:val="TOC7"/>
        <w:rPr>
          <w:rFonts w:cstheme="minorBidi"/>
          <w:sz w:val="22"/>
          <w:szCs w:val="22"/>
          <w:rtl/>
        </w:rPr>
      </w:pPr>
      <w:hyperlink w:anchor="_Toc163505669" w:history="1">
        <w:r w:rsidRPr="007246E7">
          <w:rPr>
            <w:rStyle w:val="Hyperlink"/>
            <w:rtl/>
          </w:rPr>
          <w:t>דבר אברהם ח"א סי' כ"ד אות י"ד ד"ה ולכאורה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Toc163505669 \h</w:instrText>
        </w:r>
        <w:r>
          <w:rPr>
            <w:webHidden/>
            <w:rtl/>
          </w:rPr>
          <w:instrText xml:space="preserve"> </w:instrText>
        </w:r>
        <w:r>
          <w:rPr>
            <w:rStyle w:val="Hyperlink"/>
            <w:rtl/>
          </w:rPr>
        </w:r>
        <w:r>
          <w:rPr>
            <w:rStyle w:val="Hyperlink"/>
            <w:rtl/>
          </w:rPr>
          <w:fldChar w:fldCharType="separate"/>
        </w:r>
        <w:r w:rsidR="00D82181">
          <w:rPr>
            <w:webHidden/>
            <w:rtl/>
          </w:rPr>
          <w:t>67</w:t>
        </w:r>
        <w:r>
          <w:rPr>
            <w:rStyle w:val="Hyperlink"/>
            <w:rtl/>
          </w:rPr>
          <w:fldChar w:fldCharType="end"/>
        </w:r>
      </w:hyperlink>
    </w:p>
    <w:p w14:paraId="49C36D74" w14:textId="2B1BEE79" w:rsidR="008009AA" w:rsidRDefault="008009AA">
      <w:pPr>
        <w:pStyle w:val="TOC7"/>
        <w:rPr>
          <w:rFonts w:cstheme="minorBidi"/>
          <w:sz w:val="22"/>
          <w:szCs w:val="22"/>
          <w:rtl/>
        </w:rPr>
      </w:pPr>
      <w:hyperlink w:anchor="_Toc163505670" w:history="1">
        <w:r w:rsidRPr="007246E7">
          <w:rPr>
            <w:rStyle w:val="Hyperlink"/>
            <w:rtl/>
          </w:rPr>
          <w:t>דבר אברהם ח"א סי' כ"ה אות א', 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Toc163505670 \h</w:instrText>
        </w:r>
        <w:r>
          <w:rPr>
            <w:webHidden/>
            <w:rtl/>
          </w:rPr>
          <w:instrText xml:space="preserve"> </w:instrText>
        </w:r>
        <w:r>
          <w:rPr>
            <w:rStyle w:val="Hyperlink"/>
            <w:rtl/>
          </w:rPr>
        </w:r>
        <w:r>
          <w:rPr>
            <w:rStyle w:val="Hyperlink"/>
            <w:rtl/>
          </w:rPr>
          <w:fldChar w:fldCharType="separate"/>
        </w:r>
        <w:r w:rsidR="00D82181">
          <w:rPr>
            <w:webHidden/>
            <w:rtl/>
          </w:rPr>
          <w:t>67</w:t>
        </w:r>
        <w:r>
          <w:rPr>
            <w:rStyle w:val="Hyperlink"/>
            <w:rtl/>
          </w:rPr>
          <w:fldChar w:fldCharType="end"/>
        </w:r>
      </w:hyperlink>
    </w:p>
    <w:p w14:paraId="694ACB16" w14:textId="13FFC293" w:rsidR="008009AA" w:rsidRDefault="008009AA">
      <w:pPr>
        <w:pStyle w:val="TOC7"/>
        <w:rPr>
          <w:rFonts w:cstheme="minorBidi"/>
          <w:sz w:val="22"/>
          <w:szCs w:val="22"/>
          <w:rtl/>
        </w:rPr>
      </w:pPr>
      <w:hyperlink w:anchor="_Toc163505671" w:history="1">
        <w:r w:rsidRPr="007246E7">
          <w:rPr>
            <w:rStyle w:val="Hyperlink"/>
            <w:rtl/>
          </w:rPr>
          <w:t>דבר אברהם ח"א סי' כ"ה אות 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Toc163505671 \h</w:instrText>
        </w:r>
        <w:r>
          <w:rPr>
            <w:webHidden/>
            <w:rtl/>
          </w:rPr>
          <w:instrText xml:space="preserve"> </w:instrText>
        </w:r>
        <w:r>
          <w:rPr>
            <w:rStyle w:val="Hyperlink"/>
            <w:rtl/>
          </w:rPr>
        </w:r>
        <w:r>
          <w:rPr>
            <w:rStyle w:val="Hyperlink"/>
            <w:rtl/>
          </w:rPr>
          <w:fldChar w:fldCharType="separate"/>
        </w:r>
        <w:r w:rsidR="00D82181">
          <w:rPr>
            <w:webHidden/>
            <w:rtl/>
          </w:rPr>
          <w:t>67</w:t>
        </w:r>
        <w:r>
          <w:rPr>
            <w:rStyle w:val="Hyperlink"/>
            <w:rtl/>
          </w:rPr>
          <w:fldChar w:fldCharType="end"/>
        </w:r>
      </w:hyperlink>
    </w:p>
    <w:p w14:paraId="755E03EC" w14:textId="646E3684" w:rsidR="008009AA" w:rsidRDefault="008009AA">
      <w:pPr>
        <w:pStyle w:val="TOC7"/>
        <w:rPr>
          <w:rFonts w:cstheme="minorBidi"/>
          <w:sz w:val="22"/>
          <w:szCs w:val="22"/>
          <w:rtl/>
        </w:rPr>
      </w:pPr>
      <w:hyperlink w:anchor="_Toc163505672" w:history="1">
        <w:r w:rsidRPr="007246E7">
          <w:rPr>
            <w:rStyle w:val="Hyperlink"/>
            <w:rtl/>
          </w:rPr>
          <w:t>דבר אברהם ח"א סי' כ"ד אות י"ז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Toc163505672 \h</w:instrText>
        </w:r>
        <w:r>
          <w:rPr>
            <w:webHidden/>
            <w:rtl/>
          </w:rPr>
          <w:instrText xml:space="preserve"> </w:instrText>
        </w:r>
        <w:r>
          <w:rPr>
            <w:rStyle w:val="Hyperlink"/>
            <w:rtl/>
          </w:rPr>
        </w:r>
        <w:r>
          <w:rPr>
            <w:rStyle w:val="Hyperlink"/>
            <w:rtl/>
          </w:rPr>
          <w:fldChar w:fldCharType="separate"/>
        </w:r>
        <w:r w:rsidR="00D82181">
          <w:rPr>
            <w:webHidden/>
            <w:rtl/>
          </w:rPr>
          <w:t>68</w:t>
        </w:r>
        <w:r>
          <w:rPr>
            <w:rStyle w:val="Hyperlink"/>
            <w:rtl/>
          </w:rPr>
          <w:fldChar w:fldCharType="end"/>
        </w:r>
      </w:hyperlink>
    </w:p>
    <w:p w14:paraId="32C97B62" w14:textId="55EC7FE2" w:rsidR="008009AA" w:rsidRDefault="008009AA">
      <w:pPr>
        <w:pStyle w:val="TOC7"/>
        <w:rPr>
          <w:rFonts w:cstheme="minorBidi"/>
          <w:sz w:val="22"/>
          <w:szCs w:val="22"/>
          <w:rtl/>
        </w:rPr>
      </w:pPr>
      <w:hyperlink w:anchor="_Toc163505673" w:history="1">
        <w:r w:rsidRPr="007246E7">
          <w:rPr>
            <w:rStyle w:val="Hyperlink"/>
            <w:rtl/>
          </w:rPr>
          <w:t>דבר אברהם ח"א סי' כ"ה אות י"ב ד"ה ולפי דרך</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Toc163505673 \h</w:instrText>
        </w:r>
        <w:r>
          <w:rPr>
            <w:webHidden/>
            <w:rtl/>
          </w:rPr>
          <w:instrText xml:space="preserve"> </w:instrText>
        </w:r>
        <w:r>
          <w:rPr>
            <w:rStyle w:val="Hyperlink"/>
            <w:rtl/>
          </w:rPr>
        </w:r>
        <w:r>
          <w:rPr>
            <w:rStyle w:val="Hyperlink"/>
            <w:rtl/>
          </w:rPr>
          <w:fldChar w:fldCharType="separate"/>
        </w:r>
        <w:r w:rsidR="00D82181">
          <w:rPr>
            <w:webHidden/>
            <w:rtl/>
          </w:rPr>
          <w:t>68</w:t>
        </w:r>
        <w:r>
          <w:rPr>
            <w:rStyle w:val="Hyperlink"/>
            <w:rtl/>
          </w:rPr>
          <w:fldChar w:fldCharType="end"/>
        </w:r>
      </w:hyperlink>
    </w:p>
    <w:p w14:paraId="768F21CF" w14:textId="3DFF479E" w:rsidR="008009AA" w:rsidRDefault="008009AA">
      <w:pPr>
        <w:pStyle w:val="TOC7"/>
        <w:rPr>
          <w:rFonts w:cstheme="minorBidi"/>
          <w:sz w:val="22"/>
          <w:szCs w:val="22"/>
          <w:rtl/>
        </w:rPr>
      </w:pPr>
      <w:hyperlink w:anchor="_Toc163505674" w:history="1">
        <w:r w:rsidRPr="007246E7">
          <w:rPr>
            <w:rStyle w:val="Hyperlink"/>
            <w:rtl/>
          </w:rPr>
          <w:t>דבר אברהם ח"א סי' כ"ה אות י"ב ד"ה אך זהו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Toc163505674 \h</w:instrText>
        </w:r>
        <w:r>
          <w:rPr>
            <w:webHidden/>
            <w:rtl/>
          </w:rPr>
          <w:instrText xml:space="preserve"> </w:instrText>
        </w:r>
        <w:r>
          <w:rPr>
            <w:rStyle w:val="Hyperlink"/>
            <w:rtl/>
          </w:rPr>
        </w:r>
        <w:r>
          <w:rPr>
            <w:rStyle w:val="Hyperlink"/>
            <w:rtl/>
          </w:rPr>
          <w:fldChar w:fldCharType="separate"/>
        </w:r>
        <w:r w:rsidR="00D82181">
          <w:rPr>
            <w:webHidden/>
            <w:rtl/>
          </w:rPr>
          <w:t>68</w:t>
        </w:r>
        <w:r>
          <w:rPr>
            <w:rStyle w:val="Hyperlink"/>
            <w:rtl/>
          </w:rPr>
          <w:fldChar w:fldCharType="end"/>
        </w:r>
      </w:hyperlink>
    </w:p>
    <w:p w14:paraId="6C10FFC7" w14:textId="7FA0D274" w:rsidR="008009AA" w:rsidRDefault="008009AA">
      <w:pPr>
        <w:pStyle w:val="TOC7"/>
        <w:rPr>
          <w:rFonts w:cstheme="minorBidi"/>
          <w:sz w:val="22"/>
          <w:szCs w:val="22"/>
          <w:rtl/>
        </w:rPr>
      </w:pPr>
      <w:hyperlink w:anchor="_Toc163505675" w:history="1">
        <w:r w:rsidRPr="007246E7">
          <w:rPr>
            <w:rStyle w:val="Hyperlink"/>
            <w:rtl/>
          </w:rPr>
          <w:t>אור שמח מאכלות אסורות פי"ד הי"ד בהגה"ה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Toc163505675 \h</w:instrText>
        </w:r>
        <w:r>
          <w:rPr>
            <w:webHidden/>
            <w:rtl/>
          </w:rPr>
          <w:instrText xml:space="preserve"> </w:instrText>
        </w:r>
        <w:r>
          <w:rPr>
            <w:rStyle w:val="Hyperlink"/>
            <w:rtl/>
          </w:rPr>
        </w:r>
        <w:r>
          <w:rPr>
            <w:rStyle w:val="Hyperlink"/>
            <w:rtl/>
          </w:rPr>
          <w:fldChar w:fldCharType="separate"/>
        </w:r>
        <w:r w:rsidR="00D82181">
          <w:rPr>
            <w:webHidden/>
            <w:rtl/>
          </w:rPr>
          <w:t>68</w:t>
        </w:r>
        <w:r>
          <w:rPr>
            <w:rStyle w:val="Hyperlink"/>
            <w:rtl/>
          </w:rPr>
          <w:fldChar w:fldCharType="end"/>
        </w:r>
      </w:hyperlink>
    </w:p>
    <w:p w14:paraId="63315F9D" w14:textId="12DF61AC" w:rsidR="008009AA" w:rsidRDefault="008009AA">
      <w:pPr>
        <w:pStyle w:val="TOC7"/>
        <w:rPr>
          <w:rFonts w:cstheme="minorBidi"/>
          <w:sz w:val="22"/>
          <w:szCs w:val="22"/>
          <w:rtl/>
        </w:rPr>
      </w:pPr>
      <w:hyperlink w:anchor="_Toc163505676" w:history="1">
        <w:r w:rsidRPr="007246E7">
          <w:rPr>
            <w:rStyle w:val="Hyperlink"/>
            <w:rtl/>
          </w:rPr>
          <w:t>דברי יחזקאל סי' ב' אות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Toc163505676 \h</w:instrText>
        </w:r>
        <w:r>
          <w:rPr>
            <w:webHidden/>
            <w:rtl/>
          </w:rPr>
          <w:instrText xml:space="preserve"> </w:instrText>
        </w:r>
        <w:r>
          <w:rPr>
            <w:rStyle w:val="Hyperlink"/>
            <w:rtl/>
          </w:rPr>
        </w:r>
        <w:r>
          <w:rPr>
            <w:rStyle w:val="Hyperlink"/>
            <w:rtl/>
          </w:rPr>
          <w:fldChar w:fldCharType="separate"/>
        </w:r>
        <w:r w:rsidR="00D82181">
          <w:rPr>
            <w:webHidden/>
            <w:rtl/>
          </w:rPr>
          <w:t>69</w:t>
        </w:r>
        <w:r>
          <w:rPr>
            <w:rStyle w:val="Hyperlink"/>
            <w:rtl/>
          </w:rPr>
          <w:fldChar w:fldCharType="end"/>
        </w:r>
      </w:hyperlink>
    </w:p>
    <w:p w14:paraId="782E00A5" w14:textId="4952AAD7" w:rsidR="008009AA" w:rsidRDefault="008009AA">
      <w:pPr>
        <w:pStyle w:val="TOC7"/>
        <w:rPr>
          <w:rFonts w:cstheme="minorBidi"/>
          <w:sz w:val="22"/>
          <w:szCs w:val="22"/>
          <w:rtl/>
        </w:rPr>
      </w:pPr>
      <w:hyperlink w:anchor="_Toc163505677" w:history="1">
        <w:r w:rsidRPr="007246E7">
          <w:rPr>
            <w:rStyle w:val="Hyperlink"/>
            <w:rtl/>
          </w:rPr>
          <w:t>דבר אברהם ח"א סי' כ"ה אות 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Toc163505677 \h</w:instrText>
        </w:r>
        <w:r>
          <w:rPr>
            <w:webHidden/>
            <w:rtl/>
          </w:rPr>
          <w:instrText xml:space="preserve"> </w:instrText>
        </w:r>
        <w:r>
          <w:rPr>
            <w:rStyle w:val="Hyperlink"/>
            <w:rtl/>
          </w:rPr>
        </w:r>
        <w:r>
          <w:rPr>
            <w:rStyle w:val="Hyperlink"/>
            <w:rtl/>
          </w:rPr>
          <w:fldChar w:fldCharType="separate"/>
        </w:r>
        <w:r w:rsidR="00D82181">
          <w:rPr>
            <w:webHidden/>
            <w:rtl/>
          </w:rPr>
          <w:t>69</w:t>
        </w:r>
        <w:r>
          <w:rPr>
            <w:rStyle w:val="Hyperlink"/>
            <w:rtl/>
          </w:rPr>
          <w:fldChar w:fldCharType="end"/>
        </w:r>
      </w:hyperlink>
    </w:p>
    <w:p w14:paraId="17DBA863" w14:textId="1B6E51DB" w:rsidR="008009AA" w:rsidRDefault="008009AA">
      <w:pPr>
        <w:pStyle w:val="TOC7"/>
        <w:rPr>
          <w:rFonts w:cstheme="minorBidi"/>
          <w:sz w:val="22"/>
          <w:szCs w:val="22"/>
          <w:rtl/>
        </w:rPr>
      </w:pPr>
      <w:hyperlink w:anchor="_Toc163505678" w:history="1">
        <w:r w:rsidRPr="007246E7">
          <w:rPr>
            <w:rStyle w:val="Hyperlink"/>
            <w:rtl/>
          </w:rPr>
          <w:t>דבר אברהם ח"א סי' כ"ה אות 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Toc163505678 \h</w:instrText>
        </w:r>
        <w:r>
          <w:rPr>
            <w:webHidden/>
            <w:rtl/>
          </w:rPr>
          <w:instrText xml:space="preserve"> </w:instrText>
        </w:r>
        <w:r>
          <w:rPr>
            <w:rStyle w:val="Hyperlink"/>
            <w:rtl/>
          </w:rPr>
        </w:r>
        <w:r>
          <w:rPr>
            <w:rStyle w:val="Hyperlink"/>
            <w:rtl/>
          </w:rPr>
          <w:fldChar w:fldCharType="separate"/>
        </w:r>
        <w:r w:rsidR="00D82181">
          <w:rPr>
            <w:webHidden/>
            <w:rtl/>
          </w:rPr>
          <w:t>69</w:t>
        </w:r>
        <w:r>
          <w:rPr>
            <w:rStyle w:val="Hyperlink"/>
            <w:rtl/>
          </w:rPr>
          <w:fldChar w:fldCharType="end"/>
        </w:r>
      </w:hyperlink>
    </w:p>
    <w:p w14:paraId="60D7ADE9" w14:textId="272A7028" w:rsidR="008009AA" w:rsidRDefault="008009AA">
      <w:pPr>
        <w:pStyle w:val="TOC7"/>
        <w:rPr>
          <w:rFonts w:cstheme="minorBidi"/>
          <w:sz w:val="22"/>
          <w:szCs w:val="22"/>
          <w:rtl/>
        </w:rPr>
      </w:pPr>
      <w:hyperlink w:anchor="_Toc163505679" w:history="1">
        <w:r w:rsidRPr="007246E7">
          <w:rPr>
            <w:rStyle w:val="Hyperlink"/>
            <w:rtl/>
          </w:rPr>
          <w:t>דבר אברהם ח"א סי' כ"ה אות ט'</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Toc163505679 \h</w:instrText>
        </w:r>
        <w:r>
          <w:rPr>
            <w:webHidden/>
            <w:rtl/>
          </w:rPr>
          <w:instrText xml:space="preserve"> </w:instrText>
        </w:r>
        <w:r>
          <w:rPr>
            <w:rStyle w:val="Hyperlink"/>
            <w:rtl/>
          </w:rPr>
        </w:r>
        <w:r>
          <w:rPr>
            <w:rStyle w:val="Hyperlink"/>
            <w:rtl/>
          </w:rPr>
          <w:fldChar w:fldCharType="separate"/>
        </w:r>
        <w:r w:rsidR="00D82181">
          <w:rPr>
            <w:webHidden/>
            <w:rtl/>
          </w:rPr>
          <w:t>69</w:t>
        </w:r>
        <w:r>
          <w:rPr>
            <w:rStyle w:val="Hyperlink"/>
            <w:rtl/>
          </w:rPr>
          <w:fldChar w:fldCharType="end"/>
        </w:r>
      </w:hyperlink>
    </w:p>
    <w:p w14:paraId="4D37BC94" w14:textId="621C7526" w:rsidR="008009AA" w:rsidRDefault="008009AA">
      <w:pPr>
        <w:pStyle w:val="TOC7"/>
        <w:rPr>
          <w:rFonts w:cstheme="minorBidi"/>
          <w:sz w:val="22"/>
          <w:szCs w:val="22"/>
          <w:rtl/>
        </w:rPr>
      </w:pPr>
      <w:hyperlink w:anchor="_Toc163505680" w:history="1">
        <w:r w:rsidRPr="007246E7">
          <w:rPr>
            <w:rStyle w:val="Hyperlink"/>
            <w:rtl/>
          </w:rPr>
          <w:t>חידושי רבי ראובן גיטין סי' ט' ד"ה וי"ל</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Toc163505680 \h</w:instrText>
        </w:r>
        <w:r>
          <w:rPr>
            <w:webHidden/>
            <w:rtl/>
          </w:rPr>
          <w:instrText xml:space="preserve"> </w:instrText>
        </w:r>
        <w:r>
          <w:rPr>
            <w:rStyle w:val="Hyperlink"/>
            <w:rtl/>
          </w:rPr>
        </w:r>
        <w:r>
          <w:rPr>
            <w:rStyle w:val="Hyperlink"/>
            <w:rtl/>
          </w:rPr>
          <w:fldChar w:fldCharType="separate"/>
        </w:r>
        <w:r w:rsidR="00D82181">
          <w:rPr>
            <w:webHidden/>
            <w:rtl/>
          </w:rPr>
          <w:t>70</w:t>
        </w:r>
        <w:r>
          <w:rPr>
            <w:rStyle w:val="Hyperlink"/>
            <w:rtl/>
          </w:rPr>
          <w:fldChar w:fldCharType="end"/>
        </w:r>
      </w:hyperlink>
    </w:p>
    <w:p w14:paraId="6E4A5A0C" w14:textId="07FA9F15" w:rsidR="008009AA" w:rsidRDefault="008009AA">
      <w:pPr>
        <w:pStyle w:val="TOC7"/>
        <w:rPr>
          <w:rFonts w:cstheme="minorBidi"/>
          <w:sz w:val="22"/>
          <w:szCs w:val="22"/>
          <w:rtl/>
        </w:rPr>
      </w:pPr>
      <w:hyperlink w:anchor="_Toc163505681" w:history="1">
        <w:r w:rsidRPr="007246E7">
          <w:rPr>
            <w:rStyle w:val="Hyperlink"/>
            <w:rtl/>
          </w:rPr>
          <w:t>דברי יחזקאל סי' ב אות א ד"ה גרסינן</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Toc163505681 \h</w:instrText>
        </w:r>
        <w:r>
          <w:rPr>
            <w:webHidden/>
            <w:rtl/>
          </w:rPr>
          <w:instrText xml:space="preserve"> </w:instrText>
        </w:r>
        <w:r>
          <w:rPr>
            <w:rStyle w:val="Hyperlink"/>
            <w:rtl/>
          </w:rPr>
        </w:r>
        <w:r>
          <w:rPr>
            <w:rStyle w:val="Hyperlink"/>
            <w:rtl/>
          </w:rPr>
          <w:fldChar w:fldCharType="separate"/>
        </w:r>
        <w:r w:rsidR="00D82181">
          <w:rPr>
            <w:webHidden/>
            <w:rtl/>
          </w:rPr>
          <w:t>70</w:t>
        </w:r>
        <w:r>
          <w:rPr>
            <w:rStyle w:val="Hyperlink"/>
            <w:rtl/>
          </w:rPr>
          <w:fldChar w:fldCharType="end"/>
        </w:r>
      </w:hyperlink>
    </w:p>
    <w:p w14:paraId="356D67DC" w14:textId="359D1035" w:rsidR="008009AA" w:rsidRDefault="008009AA">
      <w:pPr>
        <w:pStyle w:val="TOC7"/>
        <w:rPr>
          <w:rFonts w:cstheme="minorBidi"/>
          <w:sz w:val="22"/>
          <w:szCs w:val="22"/>
          <w:rtl/>
        </w:rPr>
      </w:pPr>
      <w:hyperlink w:anchor="_Toc163505682" w:history="1">
        <w:r w:rsidRPr="007246E7">
          <w:rPr>
            <w:rStyle w:val="Hyperlink"/>
            <w:rtl/>
          </w:rPr>
          <w:t>דברי יחזקאל סי' ב אות א ד"ה ולפ"ז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Toc163505682 \h</w:instrText>
        </w:r>
        <w:r>
          <w:rPr>
            <w:webHidden/>
            <w:rtl/>
          </w:rPr>
          <w:instrText xml:space="preserve"> </w:instrText>
        </w:r>
        <w:r>
          <w:rPr>
            <w:rStyle w:val="Hyperlink"/>
            <w:rtl/>
          </w:rPr>
        </w:r>
        <w:r>
          <w:rPr>
            <w:rStyle w:val="Hyperlink"/>
            <w:rtl/>
          </w:rPr>
          <w:fldChar w:fldCharType="separate"/>
        </w:r>
        <w:r w:rsidR="00D82181">
          <w:rPr>
            <w:webHidden/>
            <w:rtl/>
          </w:rPr>
          <w:t>70</w:t>
        </w:r>
        <w:r>
          <w:rPr>
            <w:rStyle w:val="Hyperlink"/>
            <w:rtl/>
          </w:rPr>
          <w:fldChar w:fldCharType="end"/>
        </w:r>
      </w:hyperlink>
    </w:p>
    <w:p w14:paraId="4136332C" w14:textId="026F1596" w:rsidR="008009AA" w:rsidRDefault="008009AA">
      <w:pPr>
        <w:pStyle w:val="TOC7"/>
        <w:rPr>
          <w:rFonts w:cstheme="minorBidi"/>
          <w:sz w:val="22"/>
          <w:szCs w:val="22"/>
          <w:rtl/>
        </w:rPr>
      </w:pPr>
      <w:hyperlink w:anchor="_Toc163505683" w:history="1">
        <w:r w:rsidRPr="007246E7">
          <w:rPr>
            <w:rStyle w:val="Hyperlink"/>
            <w:rtl/>
          </w:rPr>
          <w:t>דברי יחזקאל קובץ כתבי בית ישראל נד' במהדו' חד'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Toc163505683 \h</w:instrText>
        </w:r>
        <w:r>
          <w:rPr>
            <w:webHidden/>
            <w:rtl/>
          </w:rPr>
          <w:instrText xml:space="preserve"> </w:instrText>
        </w:r>
        <w:r>
          <w:rPr>
            <w:rStyle w:val="Hyperlink"/>
            <w:rtl/>
          </w:rPr>
        </w:r>
        <w:r>
          <w:rPr>
            <w:rStyle w:val="Hyperlink"/>
            <w:rtl/>
          </w:rPr>
          <w:fldChar w:fldCharType="separate"/>
        </w:r>
        <w:r w:rsidR="00D82181">
          <w:rPr>
            <w:webHidden/>
            <w:rtl/>
          </w:rPr>
          <w:t>70</w:t>
        </w:r>
        <w:r>
          <w:rPr>
            <w:rStyle w:val="Hyperlink"/>
            <w:rtl/>
          </w:rPr>
          <w:fldChar w:fldCharType="end"/>
        </w:r>
      </w:hyperlink>
    </w:p>
    <w:p w14:paraId="5755E710" w14:textId="48B5B6DE" w:rsidR="008009AA" w:rsidRDefault="008009AA">
      <w:pPr>
        <w:pStyle w:val="TOC7"/>
        <w:rPr>
          <w:rFonts w:cstheme="minorBidi"/>
          <w:sz w:val="22"/>
          <w:szCs w:val="22"/>
          <w:rtl/>
        </w:rPr>
      </w:pPr>
      <w:hyperlink w:anchor="_Toc163505684" w:history="1">
        <w:r w:rsidRPr="007246E7">
          <w:rPr>
            <w:rStyle w:val="Hyperlink"/>
            <w:rtl/>
          </w:rPr>
          <w:t>חזו"א על מסכת שבת פ"א ע"ב ד"ה בסוגין</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Toc163505684 \h</w:instrText>
        </w:r>
        <w:r>
          <w:rPr>
            <w:webHidden/>
            <w:rtl/>
          </w:rPr>
          <w:instrText xml:space="preserve"> </w:instrText>
        </w:r>
        <w:r>
          <w:rPr>
            <w:rStyle w:val="Hyperlink"/>
            <w:rtl/>
          </w:rPr>
        </w:r>
        <w:r>
          <w:rPr>
            <w:rStyle w:val="Hyperlink"/>
            <w:rtl/>
          </w:rPr>
          <w:fldChar w:fldCharType="separate"/>
        </w:r>
        <w:r w:rsidR="00D82181">
          <w:rPr>
            <w:webHidden/>
            <w:rtl/>
          </w:rPr>
          <w:t>70</w:t>
        </w:r>
        <w:r>
          <w:rPr>
            <w:rStyle w:val="Hyperlink"/>
            <w:rtl/>
          </w:rPr>
          <w:fldChar w:fldCharType="end"/>
        </w:r>
      </w:hyperlink>
    </w:p>
    <w:p w14:paraId="158E46FA" w14:textId="5CC888C9" w:rsidR="008009AA" w:rsidRDefault="008009AA">
      <w:pPr>
        <w:pStyle w:val="TOC7"/>
        <w:rPr>
          <w:rFonts w:cstheme="minorBidi"/>
          <w:sz w:val="22"/>
          <w:szCs w:val="22"/>
          <w:rtl/>
        </w:rPr>
      </w:pPr>
      <w:hyperlink w:anchor="_Toc163505685" w:history="1">
        <w:r w:rsidRPr="007246E7">
          <w:rPr>
            <w:rStyle w:val="Hyperlink"/>
            <w:rtl/>
          </w:rPr>
          <w:t>דברי יחזקאל סי' ב' אות ב' ד"ה אמנם</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Toc163505685 \h</w:instrText>
        </w:r>
        <w:r>
          <w:rPr>
            <w:webHidden/>
            <w:rtl/>
          </w:rPr>
          <w:instrText xml:space="preserve"> </w:instrText>
        </w:r>
        <w:r>
          <w:rPr>
            <w:rStyle w:val="Hyperlink"/>
            <w:rtl/>
          </w:rPr>
        </w:r>
        <w:r>
          <w:rPr>
            <w:rStyle w:val="Hyperlink"/>
            <w:rtl/>
          </w:rPr>
          <w:fldChar w:fldCharType="separate"/>
        </w:r>
        <w:r w:rsidR="00D82181">
          <w:rPr>
            <w:webHidden/>
            <w:rtl/>
          </w:rPr>
          <w:t>71</w:t>
        </w:r>
        <w:r>
          <w:rPr>
            <w:rStyle w:val="Hyperlink"/>
            <w:rtl/>
          </w:rPr>
          <w:fldChar w:fldCharType="end"/>
        </w:r>
      </w:hyperlink>
    </w:p>
    <w:p w14:paraId="0E45A975" w14:textId="3B0F8B97" w:rsidR="008009AA" w:rsidRDefault="008009AA">
      <w:pPr>
        <w:pStyle w:val="TOC7"/>
        <w:rPr>
          <w:rFonts w:cstheme="minorBidi"/>
          <w:sz w:val="22"/>
          <w:szCs w:val="22"/>
          <w:rtl/>
        </w:rPr>
      </w:pPr>
      <w:hyperlink w:anchor="_Toc163505686" w:history="1">
        <w:r w:rsidRPr="007246E7">
          <w:rPr>
            <w:rStyle w:val="Hyperlink"/>
            <w:rtl/>
          </w:rPr>
          <w:t>דברי יחזקאל סי' ב' אות ב' ד"ה ואין להקשות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Toc163505686 \h</w:instrText>
        </w:r>
        <w:r>
          <w:rPr>
            <w:webHidden/>
            <w:rtl/>
          </w:rPr>
          <w:instrText xml:space="preserve"> </w:instrText>
        </w:r>
        <w:r>
          <w:rPr>
            <w:rStyle w:val="Hyperlink"/>
            <w:rtl/>
          </w:rPr>
        </w:r>
        <w:r>
          <w:rPr>
            <w:rStyle w:val="Hyperlink"/>
            <w:rtl/>
          </w:rPr>
          <w:fldChar w:fldCharType="separate"/>
        </w:r>
        <w:r w:rsidR="00D82181">
          <w:rPr>
            <w:webHidden/>
            <w:rtl/>
          </w:rPr>
          <w:t>71</w:t>
        </w:r>
        <w:r>
          <w:rPr>
            <w:rStyle w:val="Hyperlink"/>
            <w:rtl/>
          </w:rPr>
          <w:fldChar w:fldCharType="end"/>
        </w:r>
      </w:hyperlink>
    </w:p>
    <w:p w14:paraId="2182AFAB" w14:textId="495BAEF0" w:rsidR="008009AA" w:rsidRDefault="008009AA">
      <w:pPr>
        <w:pStyle w:val="TOC7"/>
        <w:rPr>
          <w:rFonts w:cstheme="minorBidi"/>
          <w:sz w:val="22"/>
          <w:szCs w:val="22"/>
          <w:rtl/>
        </w:rPr>
      </w:pPr>
      <w:hyperlink w:anchor="_Toc163505687" w:history="1">
        <w:r w:rsidRPr="007246E7">
          <w:rPr>
            <w:rStyle w:val="Hyperlink"/>
            <w:rtl/>
          </w:rPr>
          <w:t>חזו"א על מסכת שבת פ"א ע"ב ד"ה מהא דאמר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Toc163505687 \h</w:instrText>
        </w:r>
        <w:r>
          <w:rPr>
            <w:webHidden/>
            <w:rtl/>
          </w:rPr>
          <w:instrText xml:space="preserve"> </w:instrText>
        </w:r>
        <w:r>
          <w:rPr>
            <w:rStyle w:val="Hyperlink"/>
            <w:rtl/>
          </w:rPr>
        </w:r>
        <w:r>
          <w:rPr>
            <w:rStyle w:val="Hyperlink"/>
            <w:rtl/>
          </w:rPr>
          <w:fldChar w:fldCharType="separate"/>
        </w:r>
        <w:r w:rsidR="00D82181">
          <w:rPr>
            <w:webHidden/>
            <w:rtl/>
          </w:rPr>
          <w:t>71</w:t>
        </w:r>
        <w:r>
          <w:rPr>
            <w:rStyle w:val="Hyperlink"/>
            <w:rtl/>
          </w:rPr>
          <w:fldChar w:fldCharType="end"/>
        </w:r>
      </w:hyperlink>
    </w:p>
    <w:p w14:paraId="2D99F582" w14:textId="572FD2F8" w:rsidR="008009AA" w:rsidRDefault="008009AA">
      <w:pPr>
        <w:pStyle w:val="TOC7"/>
        <w:rPr>
          <w:rFonts w:cstheme="minorBidi"/>
          <w:sz w:val="22"/>
          <w:szCs w:val="22"/>
          <w:rtl/>
        </w:rPr>
      </w:pPr>
      <w:hyperlink w:anchor="_Toc163505688" w:history="1">
        <w:r w:rsidRPr="007246E7">
          <w:rPr>
            <w:rStyle w:val="Hyperlink"/>
            <w:rtl/>
          </w:rPr>
          <w:t>דבר אברהם ח"א סי' כ"ד אות י"ד ד"ה ולכאורה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Toc163505688 \h</w:instrText>
        </w:r>
        <w:r>
          <w:rPr>
            <w:webHidden/>
            <w:rtl/>
          </w:rPr>
          <w:instrText xml:space="preserve"> </w:instrText>
        </w:r>
        <w:r>
          <w:rPr>
            <w:rStyle w:val="Hyperlink"/>
            <w:rtl/>
          </w:rPr>
        </w:r>
        <w:r>
          <w:rPr>
            <w:rStyle w:val="Hyperlink"/>
            <w:rtl/>
          </w:rPr>
          <w:fldChar w:fldCharType="separate"/>
        </w:r>
        <w:r w:rsidR="00D82181">
          <w:rPr>
            <w:webHidden/>
            <w:rtl/>
          </w:rPr>
          <w:t>71</w:t>
        </w:r>
        <w:r>
          <w:rPr>
            <w:rStyle w:val="Hyperlink"/>
            <w:rtl/>
          </w:rPr>
          <w:fldChar w:fldCharType="end"/>
        </w:r>
      </w:hyperlink>
    </w:p>
    <w:p w14:paraId="066C5386" w14:textId="5C54B99C" w:rsidR="008009AA" w:rsidRDefault="008009AA">
      <w:pPr>
        <w:pStyle w:val="TOC7"/>
        <w:rPr>
          <w:rFonts w:cstheme="minorBidi"/>
          <w:sz w:val="22"/>
          <w:szCs w:val="22"/>
          <w:rtl/>
        </w:rPr>
      </w:pPr>
      <w:hyperlink w:anchor="_Toc163505689" w:history="1">
        <w:r w:rsidRPr="007246E7">
          <w:rPr>
            <w:rStyle w:val="Hyperlink"/>
            <w:rtl/>
          </w:rPr>
          <w:t>דבר אברהם ח"א סי' כ"ד אות ט"ו ד"ה והנה הרמב"ם</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Toc163505689 \h</w:instrText>
        </w:r>
        <w:r>
          <w:rPr>
            <w:webHidden/>
            <w:rtl/>
          </w:rPr>
          <w:instrText xml:space="preserve"> </w:instrText>
        </w:r>
        <w:r>
          <w:rPr>
            <w:rStyle w:val="Hyperlink"/>
            <w:rtl/>
          </w:rPr>
        </w:r>
        <w:r>
          <w:rPr>
            <w:rStyle w:val="Hyperlink"/>
            <w:rtl/>
          </w:rPr>
          <w:fldChar w:fldCharType="separate"/>
        </w:r>
        <w:r w:rsidR="00D82181">
          <w:rPr>
            <w:webHidden/>
            <w:rtl/>
          </w:rPr>
          <w:t>71</w:t>
        </w:r>
        <w:r>
          <w:rPr>
            <w:rStyle w:val="Hyperlink"/>
            <w:rtl/>
          </w:rPr>
          <w:fldChar w:fldCharType="end"/>
        </w:r>
      </w:hyperlink>
    </w:p>
    <w:p w14:paraId="04CCE040" w14:textId="6ED98E64" w:rsidR="008009AA" w:rsidRDefault="008009AA">
      <w:pPr>
        <w:pStyle w:val="TOC7"/>
        <w:rPr>
          <w:rFonts w:cstheme="minorBidi"/>
          <w:sz w:val="22"/>
          <w:szCs w:val="22"/>
          <w:rtl/>
        </w:rPr>
      </w:pPr>
      <w:hyperlink w:anchor="_Toc163505690" w:history="1">
        <w:r w:rsidRPr="007246E7">
          <w:rPr>
            <w:rStyle w:val="Hyperlink"/>
            <w:rtl/>
          </w:rPr>
          <w:t>דבר אברהם ח"א סי' כ"ד אות ט"ו ד"ה אבל דעת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Toc163505690 \h</w:instrText>
        </w:r>
        <w:r>
          <w:rPr>
            <w:webHidden/>
            <w:rtl/>
          </w:rPr>
          <w:instrText xml:space="preserve"> </w:instrText>
        </w:r>
        <w:r>
          <w:rPr>
            <w:rStyle w:val="Hyperlink"/>
            <w:rtl/>
          </w:rPr>
        </w:r>
        <w:r>
          <w:rPr>
            <w:rStyle w:val="Hyperlink"/>
            <w:rtl/>
          </w:rPr>
          <w:fldChar w:fldCharType="separate"/>
        </w:r>
        <w:r w:rsidR="00D82181">
          <w:rPr>
            <w:webHidden/>
            <w:rtl/>
          </w:rPr>
          <w:t>72</w:t>
        </w:r>
        <w:r>
          <w:rPr>
            <w:rStyle w:val="Hyperlink"/>
            <w:rtl/>
          </w:rPr>
          <w:fldChar w:fldCharType="end"/>
        </w:r>
      </w:hyperlink>
    </w:p>
    <w:p w14:paraId="42C39CF0" w14:textId="31F318D4" w:rsidR="008009AA" w:rsidRDefault="008009AA">
      <w:pPr>
        <w:pStyle w:val="TOC7"/>
        <w:rPr>
          <w:rFonts w:cstheme="minorBidi"/>
          <w:sz w:val="22"/>
          <w:szCs w:val="22"/>
          <w:rtl/>
        </w:rPr>
      </w:pPr>
      <w:hyperlink w:anchor="_Toc163505691" w:history="1">
        <w:r w:rsidRPr="007246E7">
          <w:rPr>
            <w:rStyle w:val="Hyperlink"/>
            <w:rtl/>
          </w:rPr>
          <w:t>דבר אברהם ח"א סי' כ"ד אות ט"ז ד"ה ומעתה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Toc163505691 \h</w:instrText>
        </w:r>
        <w:r>
          <w:rPr>
            <w:webHidden/>
            <w:rtl/>
          </w:rPr>
          <w:instrText xml:space="preserve"> </w:instrText>
        </w:r>
        <w:r>
          <w:rPr>
            <w:rStyle w:val="Hyperlink"/>
            <w:rtl/>
          </w:rPr>
        </w:r>
        <w:r>
          <w:rPr>
            <w:rStyle w:val="Hyperlink"/>
            <w:rtl/>
          </w:rPr>
          <w:fldChar w:fldCharType="separate"/>
        </w:r>
        <w:r w:rsidR="00D82181">
          <w:rPr>
            <w:webHidden/>
            <w:rtl/>
          </w:rPr>
          <w:t>72</w:t>
        </w:r>
        <w:r>
          <w:rPr>
            <w:rStyle w:val="Hyperlink"/>
            <w:rtl/>
          </w:rPr>
          <w:fldChar w:fldCharType="end"/>
        </w:r>
      </w:hyperlink>
    </w:p>
    <w:p w14:paraId="65688B09" w14:textId="3355B6C2" w:rsidR="008009AA" w:rsidRDefault="008009AA">
      <w:pPr>
        <w:pStyle w:val="TOC7"/>
        <w:rPr>
          <w:rFonts w:cstheme="minorBidi"/>
          <w:sz w:val="22"/>
          <w:szCs w:val="22"/>
          <w:rtl/>
        </w:rPr>
      </w:pPr>
      <w:hyperlink w:anchor="_Toc163505692" w:history="1">
        <w:r w:rsidRPr="007246E7">
          <w:rPr>
            <w:rStyle w:val="Hyperlink"/>
            <w:rtl/>
          </w:rPr>
          <w:t>דבר אברהם ח"א סי' כ"ד אות ט"ז ד"ה אך לדעת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Toc163505692 \h</w:instrText>
        </w:r>
        <w:r>
          <w:rPr>
            <w:webHidden/>
            <w:rtl/>
          </w:rPr>
          <w:instrText xml:space="preserve"> </w:instrText>
        </w:r>
        <w:r>
          <w:rPr>
            <w:rStyle w:val="Hyperlink"/>
            <w:rtl/>
          </w:rPr>
        </w:r>
        <w:r>
          <w:rPr>
            <w:rStyle w:val="Hyperlink"/>
            <w:rtl/>
          </w:rPr>
          <w:fldChar w:fldCharType="separate"/>
        </w:r>
        <w:r w:rsidR="00D82181">
          <w:rPr>
            <w:webHidden/>
            <w:rtl/>
          </w:rPr>
          <w:t>72</w:t>
        </w:r>
        <w:r>
          <w:rPr>
            <w:rStyle w:val="Hyperlink"/>
            <w:rtl/>
          </w:rPr>
          <w:fldChar w:fldCharType="end"/>
        </w:r>
      </w:hyperlink>
    </w:p>
    <w:p w14:paraId="76AACF07" w14:textId="0DEC664E" w:rsidR="008009AA" w:rsidRDefault="008009AA">
      <w:pPr>
        <w:pStyle w:val="TOC7"/>
        <w:rPr>
          <w:rFonts w:cstheme="minorBidi"/>
          <w:sz w:val="22"/>
          <w:szCs w:val="22"/>
          <w:rtl/>
        </w:rPr>
      </w:pPr>
      <w:hyperlink w:anchor="_Toc163505693" w:history="1">
        <w:r w:rsidRPr="007246E7">
          <w:rPr>
            <w:rStyle w:val="Hyperlink"/>
            <w:rtl/>
          </w:rPr>
          <w:t>דבר אברהם ח"א סי' כ"ה אות ט' בהגה"ה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Toc163505693 \h</w:instrText>
        </w:r>
        <w:r>
          <w:rPr>
            <w:webHidden/>
            <w:rtl/>
          </w:rPr>
          <w:instrText xml:space="preserve"> </w:instrText>
        </w:r>
        <w:r>
          <w:rPr>
            <w:rStyle w:val="Hyperlink"/>
            <w:rtl/>
          </w:rPr>
        </w:r>
        <w:r>
          <w:rPr>
            <w:rStyle w:val="Hyperlink"/>
            <w:rtl/>
          </w:rPr>
          <w:fldChar w:fldCharType="separate"/>
        </w:r>
        <w:r w:rsidR="00D82181">
          <w:rPr>
            <w:webHidden/>
            <w:rtl/>
          </w:rPr>
          <w:t>72</w:t>
        </w:r>
        <w:r>
          <w:rPr>
            <w:rStyle w:val="Hyperlink"/>
            <w:rtl/>
          </w:rPr>
          <w:fldChar w:fldCharType="end"/>
        </w:r>
      </w:hyperlink>
    </w:p>
    <w:p w14:paraId="11D53BED" w14:textId="22C93D0C" w:rsidR="008009AA" w:rsidRDefault="008009AA">
      <w:pPr>
        <w:pStyle w:val="TOC7"/>
        <w:rPr>
          <w:rFonts w:cstheme="minorBidi"/>
          <w:sz w:val="22"/>
          <w:szCs w:val="22"/>
          <w:rtl/>
        </w:rPr>
      </w:pPr>
      <w:hyperlink w:anchor="_Toc163505694" w:history="1">
        <w:r w:rsidRPr="007246E7">
          <w:rPr>
            <w:rStyle w:val="Hyperlink"/>
            <w:rtl/>
          </w:rPr>
          <w:t>המאור שבת ל"ח ע"א מדה"ר ד"ה כל מלאכה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Toc163505694 \h</w:instrText>
        </w:r>
        <w:r>
          <w:rPr>
            <w:webHidden/>
            <w:rtl/>
          </w:rPr>
          <w:instrText xml:space="preserve"> </w:instrText>
        </w:r>
        <w:r>
          <w:rPr>
            <w:rStyle w:val="Hyperlink"/>
            <w:rtl/>
          </w:rPr>
        </w:r>
        <w:r>
          <w:rPr>
            <w:rStyle w:val="Hyperlink"/>
            <w:rtl/>
          </w:rPr>
          <w:fldChar w:fldCharType="separate"/>
        </w:r>
        <w:r w:rsidR="00D82181">
          <w:rPr>
            <w:webHidden/>
            <w:rtl/>
          </w:rPr>
          <w:t>74</w:t>
        </w:r>
        <w:r>
          <w:rPr>
            <w:rStyle w:val="Hyperlink"/>
            <w:rtl/>
          </w:rPr>
          <w:fldChar w:fldCharType="end"/>
        </w:r>
      </w:hyperlink>
    </w:p>
    <w:p w14:paraId="3C68BAA8" w14:textId="7B82E957" w:rsidR="008009AA" w:rsidRDefault="008009AA">
      <w:pPr>
        <w:pStyle w:val="TOC7"/>
        <w:rPr>
          <w:rFonts w:cstheme="minorBidi"/>
          <w:sz w:val="22"/>
          <w:szCs w:val="22"/>
          <w:rtl/>
        </w:rPr>
      </w:pPr>
      <w:hyperlink w:anchor="_Toc163505695" w:history="1">
        <w:r w:rsidRPr="007246E7">
          <w:rPr>
            <w:rStyle w:val="Hyperlink"/>
            <w:rtl/>
          </w:rPr>
          <w:t>מנחת חינוך מוסך השבת אות 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Toc163505695 \h</w:instrText>
        </w:r>
        <w:r>
          <w:rPr>
            <w:webHidden/>
            <w:rtl/>
          </w:rPr>
          <w:instrText xml:space="preserve"> </w:instrText>
        </w:r>
        <w:r>
          <w:rPr>
            <w:rStyle w:val="Hyperlink"/>
            <w:rtl/>
          </w:rPr>
        </w:r>
        <w:r>
          <w:rPr>
            <w:rStyle w:val="Hyperlink"/>
            <w:rtl/>
          </w:rPr>
          <w:fldChar w:fldCharType="separate"/>
        </w:r>
        <w:r w:rsidR="00D82181">
          <w:rPr>
            <w:webHidden/>
            <w:rtl/>
          </w:rPr>
          <w:t>74</w:t>
        </w:r>
        <w:r>
          <w:rPr>
            <w:rStyle w:val="Hyperlink"/>
            <w:rtl/>
          </w:rPr>
          <w:fldChar w:fldCharType="end"/>
        </w:r>
      </w:hyperlink>
    </w:p>
    <w:p w14:paraId="18CD846B" w14:textId="4951BB19" w:rsidR="008009AA" w:rsidRDefault="008009AA">
      <w:pPr>
        <w:pStyle w:val="TOC7"/>
        <w:rPr>
          <w:rFonts w:cstheme="minorBidi"/>
          <w:sz w:val="22"/>
          <w:szCs w:val="22"/>
          <w:rtl/>
        </w:rPr>
      </w:pPr>
      <w:hyperlink w:anchor="_Toc163505696" w:history="1">
        <w:r w:rsidRPr="007246E7">
          <w:rPr>
            <w:rStyle w:val="Hyperlink"/>
            <w:rtl/>
          </w:rPr>
          <w:t>ישועות יעקב סי שי"ט סק"א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Toc163505696 \h</w:instrText>
        </w:r>
        <w:r>
          <w:rPr>
            <w:webHidden/>
            <w:rtl/>
          </w:rPr>
          <w:instrText xml:space="preserve"> </w:instrText>
        </w:r>
        <w:r>
          <w:rPr>
            <w:rStyle w:val="Hyperlink"/>
            <w:rtl/>
          </w:rPr>
        </w:r>
        <w:r>
          <w:rPr>
            <w:rStyle w:val="Hyperlink"/>
            <w:rtl/>
          </w:rPr>
          <w:fldChar w:fldCharType="separate"/>
        </w:r>
        <w:r w:rsidR="00D82181">
          <w:rPr>
            <w:webHidden/>
            <w:rtl/>
          </w:rPr>
          <w:t>74</w:t>
        </w:r>
        <w:r>
          <w:rPr>
            <w:rStyle w:val="Hyperlink"/>
            <w:rtl/>
          </w:rPr>
          <w:fldChar w:fldCharType="end"/>
        </w:r>
      </w:hyperlink>
    </w:p>
    <w:p w14:paraId="1F5DB7FE" w14:textId="55FF0384" w:rsidR="008009AA" w:rsidRDefault="008009AA">
      <w:pPr>
        <w:pStyle w:val="TOC7"/>
        <w:rPr>
          <w:rFonts w:cstheme="minorBidi"/>
          <w:sz w:val="22"/>
          <w:szCs w:val="22"/>
          <w:rtl/>
        </w:rPr>
      </w:pPr>
      <w:hyperlink w:anchor="_Toc163505697" w:history="1">
        <w:r w:rsidRPr="007246E7">
          <w:rPr>
            <w:rStyle w:val="Hyperlink"/>
            <w:rtl/>
          </w:rPr>
          <w:t>באור הלכה סימן שיט סעיף 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Toc163505697 \h</w:instrText>
        </w:r>
        <w:r>
          <w:rPr>
            <w:webHidden/>
            <w:rtl/>
          </w:rPr>
          <w:instrText xml:space="preserve"> </w:instrText>
        </w:r>
        <w:r>
          <w:rPr>
            <w:rStyle w:val="Hyperlink"/>
            <w:rtl/>
          </w:rPr>
        </w:r>
        <w:r>
          <w:rPr>
            <w:rStyle w:val="Hyperlink"/>
            <w:rtl/>
          </w:rPr>
          <w:fldChar w:fldCharType="separate"/>
        </w:r>
        <w:r w:rsidR="00D82181">
          <w:rPr>
            <w:webHidden/>
            <w:rtl/>
          </w:rPr>
          <w:t>74</w:t>
        </w:r>
        <w:r>
          <w:rPr>
            <w:rStyle w:val="Hyperlink"/>
            <w:rtl/>
          </w:rPr>
          <w:fldChar w:fldCharType="end"/>
        </w:r>
      </w:hyperlink>
    </w:p>
    <w:p w14:paraId="69684ACF" w14:textId="5536B719" w:rsidR="008009AA" w:rsidRDefault="008009AA">
      <w:pPr>
        <w:pStyle w:val="TOC7"/>
        <w:rPr>
          <w:rFonts w:cstheme="minorBidi"/>
          <w:sz w:val="22"/>
          <w:szCs w:val="22"/>
          <w:rtl/>
        </w:rPr>
      </w:pPr>
      <w:hyperlink w:anchor="_Toc163505698" w:history="1">
        <w:r w:rsidRPr="007246E7">
          <w:rPr>
            <w:rStyle w:val="Hyperlink"/>
            <w:rtl/>
          </w:rPr>
          <w:t>מגן אבות הזורה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Toc163505698 \h</w:instrText>
        </w:r>
        <w:r>
          <w:rPr>
            <w:webHidden/>
            <w:rtl/>
          </w:rPr>
          <w:instrText xml:space="preserve"> </w:instrText>
        </w:r>
        <w:r>
          <w:rPr>
            <w:rStyle w:val="Hyperlink"/>
            <w:rtl/>
          </w:rPr>
        </w:r>
        <w:r>
          <w:rPr>
            <w:rStyle w:val="Hyperlink"/>
            <w:rtl/>
          </w:rPr>
          <w:fldChar w:fldCharType="separate"/>
        </w:r>
        <w:r w:rsidR="00D82181">
          <w:rPr>
            <w:webHidden/>
            <w:rtl/>
          </w:rPr>
          <w:t>74</w:t>
        </w:r>
        <w:r>
          <w:rPr>
            <w:rStyle w:val="Hyperlink"/>
            <w:rtl/>
          </w:rPr>
          <w:fldChar w:fldCharType="end"/>
        </w:r>
      </w:hyperlink>
    </w:p>
    <w:p w14:paraId="610AE899" w14:textId="3F0E5CEE" w:rsidR="008009AA" w:rsidRDefault="008009AA">
      <w:pPr>
        <w:pStyle w:val="TOC7"/>
        <w:rPr>
          <w:rFonts w:cstheme="minorBidi"/>
          <w:sz w:val="22"/>
          <w:szCs w:val="22"/>
          <w:rtl/>
        </w:rPr>
      </w:pPr>
      <w:hyperlink w:anchor="_Toc163505699" w:history="1">
        <w:r w:rsidRPr="007246E7">
          <w:rPr>
            <w:rStyle w:val="Hyperlink"/>
            <w:rtl/>
          </w:rPr>
          <w:t>חדושי הרמב"ן שבת ק"ו ע"א ד"ה ואין</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Toc163505699 \h</w:instrText>
        </w:r>
        <w:r>
          <w:rPr>
            <w:webHidden/>
            <w:rtl/>
          </w:rPr>
          <w:instrText xml:space="preserve"> </w:instrText>
        </w:r>
        <w:r>
          <w:rPr>
            <w:rStyle w:val="Hyperlink"/>
            <w:rtl/>
          </w:rPr>
        </w:r>
        <w:r>
          <w:rPr>
            <w:rStyle w:val="Hyperlink"/>
            <w:rtl/>
          </w:rPr>
          <w:fldChar w:fldCharType="separate"/>
        </w:r>
        <w:r w:rsidR="00D82181">
          <w:rPr>
            <w:webHidden/>
            <w:rtl/>
          </w:rPr>
          <w:t>74</w:t>
        </w:r>
        <w:r>
          <w:rPr>
            <w:rStyle w:val="Hyperlink"/>
            <w:rtl/>
          </w:rPr>
          <w:fldChar w:fldCharType="end"/>
        </w:r>
      </w:hyperlink>
    </w:p>
    <w:p w14:paraId="7A8A2A04" w14:textId="6E82B727" w:rsidR="008009AA" w:rsidRDefault="008009AA">
      <w:pPr>
        <w:pStyle w:val="TOC7"/>
        <w:rPr>
          <w:rFonts w:cstheme="minorBidi"/>
          <w:sz w:val="22"/>
          <w:szCs w:val="22"/>
          <w:rtl/>
        </w:rPr>
      </w:pPr>
      <w:hyperlink w:anchor="_Toc163505700" w:history="1">
        <w:r w:rsidRPr="007246E7">
          <w:rPr>
            <w:rStyle w:val="Hyperlink"/>
            <w:rtl/>
          </w:rPr>
          <w:t>חדושי הר"ן - מיוחס לו שבת ק"ו ע"א ד"ה והנכון</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Toc163505700 \h</w:instrText>
        </w:r>
        <w:r>
          <w:rPr>
            <w:webHidden/>
            <w:rtl/>
          </w:rPr>
          <w:instrText xml:space="preserve"> </w:instrText>
        </w:r>
        <w:r>
          <w:rPr>
            <w:rStyle w:val="Hyperlink"/>
            <w:rtl/>
          </w:rPr>
        </w:r>
        <w:r>
          <w:rPr>
            <w:rStyle w:val="Hyperlink"/>
            <w:rtl/>
          </w:rPr>
          <w:fldChar w:fldCharType="separate"/>
        </w:r>
        <w:r w:rsidR="00D82181">
          <w:rPr>
            <w:webHidden/>
            <w:rtl/>
          </w:rPr>
          <w:t>75</w:t>
        </w:r>
        <w:r>
          <w:rPr>
            <w:rStyle w:val="Hyperlink"/>
            <w:rtl/>
          </w:rPr>
          <w:fldChar w:fldCharType="end"/>
        </w:r>
      </w:hyperlink>
    </w:p>
    <w:p w14:paraId="217AE5FF" w14:textId="09283310" w:rsidR="008009AA" w:rsidRDefault="008009AA">
      <w:pPr>
        <w:pStyle w:val="TOC7"/>
        <w:rPr>
          <w:rFonts w:cstheme="minorBidi"/>
          <w:sz w:val="22"/>
          <w:szCs w:val="22"/>
          <w:rtl/>
        </w:rPr>
      </w:pPr>
      <w:hyperlink w:anchor="_Toc163505701" w:history="1">
        <w:r w:rsidRPr="007246E7">
          <w:rPr>
            <w:rStyle w:val="Hyperlink"/>
            <w:rtl/>
          </w:rPr>
          <w:t>מאירי שבת ק"ו ע"א ד"ה ולשיטה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Toc163505701 \h</w:instrText>
        </w:r>
        <w:r>
          <w:rPr>
            <w:webHidden/>
            <w:rtl/>
          </w:rPr>
          <w:instrText xml:space="preserve"> </w:instrText>
        </w:r>
        <w:r>
          <w:rPr>
            <w:rStyle w:val="Hyperlink"/>
            <w:rtl/>
          </w:rPr>
        </w:r>
        <w:r>
          <w:rPr>
            <w:rStyle w:val="Hyperlink"/>
            <w:rtl/>
          </w:rPr>
          <w:fldChar w:fldCharType="separate"/>
        </w:r>
        <w:r w:rsidR="00D82181">
          <w:rPr>
            <w:webHidden/>
            <w:rtl/>
          </w:rPr>
          <w:t>75</w:t>
        </w:r>
        <w:r>
          <w:rPr>
            <w:rStyle w:val="Hyperlink"/>
            <w:rtl/>
          </w:rPr>
          <w:fldChar w:fldCharType="end"/>
        </w:r>
      </w:hyperlink>
    </w:p>
    <w:p w14:paraId="02D63BEF" w14:textId="175EB59F" w:rsidR="008009AA" w:rsidRDefault="008009AA">
      <w:pPr>
        <w:pStyle w:val="TOC7"/>
        <w:rPr>
          <w:rFonts w:cstheme="minorBidi"/>
          <w:sz w:val="22"/>
          <w:szCs w:val="22"/>
          <w:rtl/>
        </w:rPr>
      </w:pPr>
      <w:hyperlink w:anchor="_Toc163505702" w:history="1">
        <w:r w:rsidRPr="007246E7">
          <w:rPr>
            <w:rStyle w:val="Hyperlink"/>
            <w:rtl/>
          </w:rPr>
          <w:t>שו"ת הריב"ש סימן שצד ד"ה לו יהי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Toc163505702 \h</w:instrText>
        </w:r>
        <w:r>
          <w:rPr>
            <w:webHidden/>
            <w:rtl/>
          </w:rPr>
          <w:instrText xml:space="preserve"> </w:instrText>
        </w:r>
        <w:r>
          <w:rPr>
            <w:rStyle w:val="Hyperlink"/>
            <w:rtl/>
          </w:rPr>
        </w:r>
        <w:r>
          <w:rPr>
            <w:rStyle w:val="Hyperlink"/>
            <w:rtl/>
          </w:rPr>
          <w:fldChar w:fldCharType="separate"/>
        </w:r>
        <w:r w:rsidR="00D82181">
          <w:rPr>
            <w:webHidden/>
            <w:rtl/>
          </w:rPr>
          <w:t>75</w:t>
        </w:r>
        <w:r>
          <w:rPr>
            <w:rStyle w:val="Hyperlink"/>
            <w:rtl/>
          </w:rPr>
          <w:fldChar w:fldCharType="end"/>
        </w:r>
      </w:hyperlink>
    </w:p>
    <w:p w14:paraId="6FC6008F" w14:textId="32738891" w:rsidR="008009AA" w:rsidRDefault="008009AA">
      <w:pPr>
        <w:pStyle w:val="TOC7"/>
        <w:rPr>
          <w:rFonts w:cstheme="minorBidi"/>
          <w:sz w:val="22"/>
          <w:szCs w:val="22"/>
          <w:rtl/>
        </w:rPr>
      </w:pPr>
      <w:hyperlink w:anchor="_Toc163505703" w:history="1">
        <w:r w:rsidRPr="007246E7">
          <w:rPr>
            <w:rStyle w:val="Hyperlink"/>
            <w:rtl/>
          </w:rPr>
          <w:t>מחצית השקל או"ח סי' ש"ג ס"ק כ"ב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Toc163505703 \h</w:instrText>
        </w:r>
        <w:r>
          <w:rPr>
            <w:webHidden/>
            <w:rtl/>
          </w:rPr>
          <w:instrText xml:space="preserve"> </w:instrText>
        </w:r>
        <w:r>
          <w:rPr>
            <w:rStyle w:val="Hyperlink"/>
            <w:rtl/>
          </w:rPr>
        </w:r>
        <w:r>
          <w:rPr>
            <w:rStyle w:val="Hyperlink"/>
            <w:rtl/>
          </w:rPr>
          <w:fldChar w:fldCharType="separate"/>
        </w:r>
        <w:r w:rsidR="00D82181">
          <w:rPr>
            <w:webHidden/>
            <w:rtl/>
          </w:rPr>
          <w:t>75</w:t>
        </w:r>
        <w:r>
          <w:rPr>
            <w:rStyle w:val="Hyperlink"/>
            <w:rtl/>
          </w:rPr>
          <w:fldChar w:fldCharType="end"/>
        </w:r>
      </w:hyperlink>
    </w:p>
    <w:p w14:paraId="1A106BC2" w14:textId="78394BF5" w:rsidR="008009AA" w:rsidRDefault="008009AA">
      <w:pPr>
        <w:pStyle w:val="TOC7"/>
        <w:rPr>
          <w:rFonts w:cstheme="minorBidi"/>
          <w:sz w:val="22"/>
          <w:szCs w:val="22"/>
          <w:rtl/>
        </w:rPr>
      </w:pPr>
      <w:hyperlink w:anchor="_Toc163505704" w:history="1">
        <w:r w:rsidRPr="007246E7">
          <w:rPr>
            <w:rStyle w:val="Hyperlink"/>
            <w:rtl/>
          </w:rPr>
          <w:t>דבר אברהם ח"א סי' כ"ד אות ו' ד"ה ואח"ז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Toc163505704 \h</w:instrText>
        </w:r>
        <w:r>
          <w:rPr>
            <w:webHidden/>
            <w:rtl/>
          </w:rPr>
          <w:instrText xml:space="preserve"> </w:instrText>
        </w:r>
        <w:r>
          <w:rPr>
            <w:rStyle w:val="Hyperlink"/>
            <w:rtl/>
          </w:rPr>
        </w:r>
        <w:r>
          <w:rPr>
            <w:rStyle w:val="Hyperlink"/>
            <w:rtl/>
          </w:rPr>
          <w:fldChar w:fldCharType="separate"/>
        </w:r>
        <w:r w:rsidR="00D82181">
          <w:rPr>
            <w:webHidden/>
            <w:rtl/>
          </w:rPr>
          <w:t>75</w:t>
        </w:r>
        <w:r>
          <w:rPr>
            <w:rStyle w:val="Hyperlink"/>
            <w:rtl/>
          </w:rPr>
          <w:fldChar w:fldCharType="end"/>
        </w:r>
      </w:hyperlink>
    </w:p>
    <w:p w14:paraId="0302BAFC" w14:textId="051BF03F" w:rsidR="008009AA" w:rsidRDefault="008009AA">
      <w:pPr>
        <w:pStyle w:val="TOC7"/>
        <w:rPr>
          <w:rFonts w:cstheme="minorBidi"/>
          <w:sz w:val="22"/>
          <w:szCs w:val="22"/>
          <w:rtl/>
        </w:rPr>
      </w:pPr>
      <w:hyperlink w:anchor="_Toc163505705" w:history="1">
        <w:r w:rsidRPr="007246E7">
          <w:rPr>
            <w:rStyle w:val="Hyperlink"/>
            <w:rtl/>
          </w:rPr>
          <w:t>אגלי טל זורה סק"א אות 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Toc163505705 \h</w:instrText>
        </w:r>
        <w:r>
          <w:rPr>
            <w:webHidden/>
            <w:rtl/>
          </w:rPr>
          <w:instrText xml:space="preserve"> </w:instrText>
        </w:r>
        <w:r>
          <w:rPr>
            <w:rStyle w:val="Hyperlink"/>
            <w:rtl/>
          </w:rPr>
        </w:r>
        <w:r>
          <w:rPr>
            <w:rStyle w:val="Hyperlink"/>
            <w:rtl/>
          </w:rPr>
          <w:fldChar w:fldCharType="separate"/>
        </w:r>
        <w:r w:rsidR="00D82181">
          <w:rPr>
            <w:webHidden/>
            <w:rtl/>
          </w:rPr>
          <w:t>75</w:t>
        </w:r>
        <w:r>
          <w:rPr>
            <w:rStyle w:val="Hyperlink"/>
            <w:rtl/>
          </w:rPr>
          <w:fldChar w:fldCharType="end"/>
        </w:r>
      </w:hyperlink>
    </w:p>
    <w:p w14:paraId="1ACC104B" w14:textId="6F5DDCCA" w:rsidR="008009AA" w:rsidRDefault="008009AA">
      <w:pPr>
        <w:pStyle w:val="TOC7"/>
        <w:rPr>
          <w:rFonts w:cstheme="minorBidi"/>
          <w:sz w:val="22"/>
          <w:szCs w:val="22"/>
          <w:rtl/>
        </w:rPr>
      </w:pPr>
      <w:hyperlink w:anchor="_Toc163505706" w:history="1">
        <w:r w:rsidRPr="007246E7">
          <w:rPr>
            <w:rStyle w:val="Hyperlink"/>
            <w:rtl/>
          </w:rPr>
          <w:t>אגלי טל זורה סק"א אות ו' בהגה"ה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Toc163505706 \h</w:instrText>
        </w:r>
        <w:r>
          <w:rPr>
            <w:webHidden/>
            <w:rtl/>
          </w:rPr>
          <w:instrText xml:space="preserve"> </w:instrText>
        </w:r>
        <w:r>
          <w:rPr>
            <w:rStyle w:val="Hyperlink"/>
            <w:rtl/>
          </w:rPr>
        </w:r>
        <w:r>
          <w:rPr>
            <w:rStyle w:val="Hyperlink"/>
            <w:rtl/>
          </w:rPr>
          <w:fldChar w:fldCharType="separate"/>
        </w:r>
        <w:r w:rsidR="00D82181">
          <w:rPr>
            <w:webHidden/>
            <w:rtl/>
          </w:rPr>
          <w:t>76</w:t>
        </w:r>
        <w:r>
          <w:rPr>
            <w:rStyle w:val="Hyperlink"/>
            <w:rtl/>
          </w:rPr>
          <w:fldChar w:fldCharType="end"/>
        </w:r>
      </w:hyperlink>
    </w:p>
    <w:p w14:paraId="2199D050" w14:textId="45038700" w:rsidR="008009AA" w:rsidRDefault="008009AA">
      <w:pPr>
        <w:pStyle w:val="TOC7"/>
        <w:rPr>
          <w:rFonts w:cstheme="minorBidi"/>
          <w:sz w:val="22"/>
          <w:szCs w:val="22"/>
          <w:rtl/>
        </w:rPr>
      </w:pPr>
      <w:hyperlink w:anchor="_Toc163505707" w:history="1">
        <w:r w:rsidRPr="007246E7">
          <w:rPr>
            <w:rStyle w:val="Hyperlink"/>
            <w:rtl/>
          </w:rPr>
          <w:t>חדושי הר"ן שבת ק"ו ע"א ד"ה לפיכך</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Toc163505707 \h</w:instrText>
        </w:r>
        <w:r>
          <w:rPr>
            <w:webHidden/>
            <w:rtl/>
          </w:rPr>
          <w:instrText xml:space="preserve"> </w:instrText>
        </w:r>
        <w:r>
          <w:rPr>
            <w:rStyle w:val="Hyperlink"/>
            <w:rtl/>
          </w:rPr>
        </w:r>
        <w:r>
          <w:rPr>
            <w:rStyle w:val="Hyperlink"/>
            <w:rtl/>
          </w:rPr>
          <w:fldChar w:fldCharType="separate"/>
        </w:r>
        <w:r w:rsidR="00D82181">
          <w:rPr>
            <w:webHidden/>
            <w:rtl/>
          </w:rPr>
          <w:t>76</w:t>
        </w:r>
        <w:r>
          <w:rPr>
            <w:rStyle w:val="Hyperlink"/>
            <w:rtl/>
          </w:rPr>
          <w:fldChar w:fldCharType="end"/>
        </w:r>
      </w:hyperlink>
    </w:p>
    <w:p w14:paraId="24D946FC" w14:textId="5D46BDB4" w:rsidR="008009AA" w:rsidRDefault="008009AA">
      <w:pPr>
        <w:pStyle w:val="TOC7"/>
        <w:rPr>
          <w:rFonts w:cstheme="minorBidi"/>
          <w:sz w:val="22"/>
          <w:szCs w:val="22"/>
          <w:rtl/>
        </w:rPr>
      </w:pPr>
      <w:hyperlink w:anchor="_Toc163505708" w:history="1">
        <w:r w:rsidRPr="007246E7">
          <w:rPr>
            <w:rStyle w:val="Hyperlink"/>
            <w:rtl/>
          </w:rPr>
          <w:t>אגלי טל זורה סק"א אות ו' ד"ה והנה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Toc163505708 \h</w:instrText>
        </w:r>
        <w:r>
          <w:rPr>
            <w:webHidden/>
            <w:rtl/>
          </w:rPr>
          <w:instrText xml:space="preserve"> </w:instrText>
        </w:r>
        <w:r>
          <w:rPr>
            <w:rStyle w:val="Hyperlink"/>
            <w:rtl/>
          </w:rPr>
        </w:r>
        <w:r>
          <w:rPr>
            <w:rStyle w:val="Hyperlink"/>
            <w:rtl/>
          </w:rPr>
          <w:fldChar w:fldCharType="separate"/>
        </w:r>
        <w:r w:rsidR="00D82181">
          <w:rPr>
            <w:webHidden/>
            <w:rtl/>
          </w:rPr>
          <w:t>76</w:t>
        </w:r>
        <w:r>
          <w:rPr>
            <w:rStyle w:val="Hyperlink"/>
            <w:rtl/>
          </w:rPr>
          <w:fldChar w:fldCharType="end"/>
        </w:r>
      </w:hyperlink>
    </w:p>
    <w:p w14:paraId="3E84F4AF" w14:textId="5CF25E16" w:rsidR="008009AA" w:rsidRDefault="008009AA">
      <w:pPr>
        <w:pStyle w:val="TOC7"/>
        <w:rPr>
          <w:rFonts w:cstheme="minorBidi"/>
          <w:sz w:val="22"/>
          <w:szCs w:val="22"/>
          <w:rtl/>
        </w:rPr>
      </w:pPr>
      <w:hyperlink w:anchor="_Toc163505709" w:history="1">
        <w:r w:rsidRPr="007246E7">
          <w:rPr>
            <w:rStyle w:val="Hyperlink"/>
            <w:rtl/>
          </w:rPr>
          <w:t>אגלי טל זורה סק"א אות 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Toc163505709 \h</w:instrText>
        </w:r>
        <w:r>
          <w:rPr>
            <w:webHidden/>
            <w:rtl/>
          </w:rPr>
          <w:instrText xml:space="preserve"> </w:instrText>
        </w:r>
        <w:r>
          <w:rPr>
            <w:rStyle w:val="Hyperlink"/>
            <w:rtl/>
          </w:rPr>
        </w:r>
        <w:r>
          <w:rPr>
            <w:rStyle w:val="Hyperlink"/>
            <w:rtl/>
          </w:rPr>
          <w:fldChar w:fldCharType="separate"/>
        </w:r>
        <w:r w:rsidR="00D82181">
          <w:rPr>
            <w:webHidden/>
            <w:rtl/>
          </w:rPr>
          <w:t>76</w:t>
        </w:r>
        <w:r>
          <w:rPr>
            <w:rStyle w:val="Hyperlink"/>
            <w:rtl/>
          </w:rPr>
          <w:fldChar w:fldCharType="end"/>
        </w:r>
      </w:hyperlink>
    </w:p>
    <w:p w14:paraId="0DABADD3" w14:textId="607684D8" w:rsidR="008009AA" w:rsidRDefault="008009AA">
      <w:pPr>
        <w:pStyle w:val="TOC7"/>
        <w:rPr>
          <w:rFonts w:cstheme="minorBidi"/>
          <w:sz w:val="22"/>
          <w:szCs w:val="22"/>
          <w:rtl/>
        </w:rPr>
      </w:pPr>
      <w:hyperlink w:anchor="_Toc163505710" w:history="1">
        <w:r w:rsidRPr="007246E7">
          <w:rPr>
            <w:rStyle w:val="Hyperlink"/>
            <w:rtl/>
          </w:rPr>
          <w:t>תוספות שבת צ"ד ע"ב ד"ה אבל</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Toc163505710 \h</w:instrText>
        </w:r>
        <w:r>
          <w:rPr>
            <w:webHidden/>
            <w:rtl/>
          </w:rPr>
          <w:instrText xml:space="preserve"> </w:instrText>
        </w:r>
        <w:r>
          <w:rPr>
            <w:rStyle w:val="Hyperlink"/>
            <w:rtl/>
          </w:rPr>
        </w:r>
        <w:r>
          <w:rPr>
            <w:rStyle w:val="Hyperlink"/>
            <w:rtl/>
          </w:rPr>
          <w:fldChar w:fldCharType="separate"/>
        </w:r>
        <w:r w:rsidR="00D82181">
          <w:rPr>
            <w:webHidden/>
            <w:rtl/>
          </w:rPr>
          <w:t>76</w:t>
        </w:r>
        <w:r>
          <w:rPr>
            <w:rStyle w:val="Hyperlink"/>
            <w:rtl/>
          </w:rPr>
          <w:fldChar w:fldCharType="end"/>
        </w:r>
      </w:hyperlink>
    </w:p>
    <w:p w14:paraId="0E383FBD" w14:textId="6B06D0F8" w:rsidR="008009AA" w:rsidRDefault="008009AA">
      <w:pPr>
        <w:pStyle w:val="TOC7"/>
        <w:rPr>
          <w:rFonts w:cstheme="minorBidi"/>
          <w:sz w:val="22"/>
          <w:szCs w:val="22"/>
          <w:rtl/>
        </w:rPr>
      </w:pPr>
      <w:hyperlink w:anchor="_Toc163505711" w:history="1">
        <w:r w:rsidRPr="007246E7">
          <w:rPr>
            <w:rStyle w:val="Hyperlink"/>
            <w:rtl/>
          </w:rPr>
          <w:t>אמרי בינה סי' ל"ב ד"ה ודע דהא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Toc163505711 \h</w:instrText>
        </w:r>
        <w:r>
          <w:rPr>
            <w:webHidden/>
            <w:rtl/>
          </w:rPr>
          <w:instrText xml:space="preserve"> </w:instrText>
        </w:r>
        <w:r>
          <w:rPr>
            <w:rStyle w:val="Hyperlink"/>
            <w:rtl/>
          </w:rPr>
        </w:r>
        <w:r>
          <w:rPr>
            <w:rStyle w:val="Hyperlink"/>
            <w:rtl/>
          </w:rPr>
          <w:fldChar w:fldCharType="separate"/>
        </w:r>
        <w:r w:rsidR="00D82181">
          <w:rPr>
            <w:webHidden/>
            <w:rtl/>
          </w:rPr>
          <w:t>76</w:t>
        </w:r>
        <w:r>
          <w:rPr>
            <w:rStyle w:val="Hyperlink"/>
            <w:rtl/>
          </w:rPr>
          <w:fldChar w:fldCharType="end"/>
        </w:r>
      </w:hyperlink>
    </w:p>
    <w:p w14:paraId="1EF1DF19" w14:textId="2DBECFA2" w:rsidR="008009AA" w:rsidRDefault="008009AA">
      <w:pPr>
        <w:pStyle w:val="TOC7"/>
        <w:rPr>
          <w:rFonts w:cstheme="minorBidi"/>
          <w:sz w:val="22"/>
          <w:szCs w:val="22"/>
          <w:rtl/>
        </w:rPr>
      </w:pPr>
      <w:hyperlink w:anchor="_Toc163505712" w:history="1">
        <w:r w:rsidRPr="007246E7">
          <w:rPr>
            <w:rStyle w:val="Hyperlink"/>
            <w:rtl/>
          </w:rPr>
          <w:t>תוספות שבת צ"ד ע"א ד"ה ר"ש</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Toc163505712 \h</w:instrText>
        </w:r>
        <w:r>
          <w:rPr>
            <w:webHidden/>
            <w:rtl/>
          </w:rPr>
          <w:instrText xml:space="preserve"> </w:instrText>
        </w:r>
        <w:r>
          <w:rPr>
            <w:rStyle w:val="Hyperlink"/>
            <w:rtl/>
          </w:rPr>
        </w:r>
        <w:r>
          <w:rPr>
            <w:rStyle w:val="Hyperlink"/>
            <w:rtl/>
          </w:rPr>
          <w:fldChar w:fldCharType="separate"/>
        </w:r>
        <w:r w:rsidR="00D82181">
          <w:rPr>
            <w:webHidden/>
            <w:rtl/>
          </w:rPr>
          <w:t>76</w:t>
        </w:r>
        <w:r>
          <w:rPr>
            <w:rStyle w:val="Hyperlink"/>
            <w:rtl/>
          </w:rPr>
          <w:fldChar w:fldCharType="end"/>
        </w:r>
      </w:hyperlink>
    </w:p>
    <w:p w14:paraId="400886B7" w14:textId="354C7BDF" w:rsidR="008009AA" w:rsidRDefault="008009AA">
      <w:pPr>
        <w:pStyle w:val="TOC7"/>
        <w:rPr>
          <w:rFonts w:cstheme="minorBidi"/>
          <w:sz w:val="22"/>
          <w:szCs w:val="22"/>
          <w:rtl/>
        </w:rPr>
      </w:pPr>
      <w:hyperlink w:anchor="_Toc163505713" w:history="1">
        <w:r w:rsidRPr="007246E7">
          <w:rPr>
            <w:rStyle w:val="Hyperlink"/>
            <w:rtl/>
          </w:rPr>
          <w:t>רמב"ם שבת פ"ח הי"א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Toc163505713 \h</w:instrText>
        </w:r>
        <w:r>
          <w:rPr>
            <w:webHidden/>
            <w:rtl/>
          </w:rPr>
          <w:instrText xml:space="preserve"> </w:instrText>
        </w:r>
        <w:r>
          <w:rPr>
            <w:rStyle w:val="Hyperlink"/>
            <w:rtl/>
          </w:rPr>
        </w:r>
        <w:r>
          <w:rPr>
            <w:rStyle w:val="Hyperlink"/>
            <w:rtl/>
          </w:rPr>
          <w:fldChar w:fldCharType="separate"/>
        </w:r>
        <w:r w:rsidR="00D82181">
          <w:rPr>
            <w:webHidden/>
            <w:rtl/>
          </w:rPr>
          <w:t>76</w:t>
        </w:r>
        <w:r>
          <w:rPr>
            <w:rStyle w:val="Hyperlink"/>
            <w:rtl/>
          </w:rPr>
          <w:fldChar w:fldCharType="end"/>
        </w:r>
      </w:hyperlink>
    </w:p>
    <w:p w14:paraId="22250302" w14:textId="6A8BAAEC" w:rsidR="008009AA" w:rsidRDefault="008009AA">
      <w:pPr>
        <w:pStyle w:val="TOC7"/>
        <w:rPr>
          <w:rFonts w:cstheme="minorBidi"/>
          <w:sz w:val="22"/>
          <w:szCs w:val="22"/>
          <w:rtl/>
        </w:rPr>
      </w:pPr>
      <w:hyperlink w:anchor="_Toc163505714" w:history="1">
        <w:r w:rsidRPr="007246E7">
          <w:rPr>
            <w:rStyle w:val="Hyperlink"/>
            <w:rtl/>
          </w:rPr>
          <w:t>פירוש קדמון ממצרים שבת פ"ח הי"א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Toc163505714 \h</w:instrText>
        </w:r>
        <w:r>
          <w:rPr>
            <w:webHidden/>
            <w:rtl/>
          </w:rPr>
          <w:instrText xml:space="preserve"> </w:instrText>
        </w:r>
        <w:r>
          <w:rPr>
            <w:rStyle w:val="Hyperlink"/>
            <w:rtl/>
          </w:rPr>
        </w:r>
        <w:r>
          <w:rPr>
            <w:rStyle w:val="Hyperlink"/>
            <w:rtl/>
          </w:rPr>
          <w:fldChar w:fldCharType="separate"/>
        </w:r>
        <w:r w:rsidR="00D82181">
          <w:rPr>
            <w:webHidden/>
            <w:rtl/>
          </w:rPr>
          <w:t>76</w:t>
        </w:r>
        <w:r>
          <w:rPr>
            <w:rStyle w:val="Hyperlink"/>
            <w:rtl/>
          </w:rPr>
          <w:fldChar w:fldCharType="end"/>
        </w:r>
      </w:hyperlink>
    </w:p>
    <w:p w14:paraId="00F1261E" w14:textId="4073B19F" w:rsidR="008009AA" w:rsidRDefault="008009AA">
      <w:pPr>
        <w:pStyle w:val="TOC7"/>
        <w:rPr>
          <w:rFonts w:cstheme="minorBidi"/>
          <w:sz w:val="22"/>
          <w:szCs w:val="22"/>
          <w:rtl/>
        </w:rPr>
      </w:pPr>
      <w:hyperlink w:anchor="_Toc163505715" w:history="1">
        <w:r w:rsidRPr="007246E7">
          <w:rPr>
            <w:rStyle w:val="Hyperlink"/>
            <w:rtl/>
          </w:rPr>
          <w:t>שולחן ערוך הרב או"ח ת"ק סעיף י"ח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Toc163505715 \h</w:instrText>
        </w:r>
        <w:r>
          <w:rPr>
            <w:webHidden/>
            <w:rtl/>
          </w:rPr>
          <w:instrText xml:space="preserve"> </w:instrText>
        </w:r>
        <w:r>
          <w:rPr>
            <w:rStyle w:val="Hyperlink"/>
            <w:rtl/>
          </w:rPr>
        </w:r>
        <w:r>
          <w:rPr>
            <w:rStyle w:val="Hyperlink"/>
            <w:rtl/>
          </w:rPr>
          <w:fldChar w:fldCharType="separate"/>
        </w:r>
        <w:r w:rsidR="00D82181">
          <w:rPr>
            <w:webHidden/>
            <w:rtl/>
          </w:rPr>
          <w:t>76</w:t>
        </w:r>
        <w:r>
          <w:rPr>
            <w:rStyle w:val="Hyperlink"/>
            <w:rtl/>
          </w:rPr>
          <w:fldChar w:fldCharType="end"/>
        </w:r>
      </w:hyperlink>
    </w:p>
    <w:p w14:paraId="3E4FFDD4" w14:textId="7EB2E014" w:rsidR="008009AA" w:rsidRDefault="008009AA">
      <w:pPr>
        <w:pStyle w:val="TOC7"/>
        <w:rPr>
          <w:rFonts w:cstheme="minorBidi"/>
          <w:sz w:val="22"/>
          <w:szCs w:val="22"/>
          <w:rtl/>
        </w:rPr>
      </w:pPr>
      <w:hyperlink w:anchor="_Toc163505716" w:history="1">
        <w:r w:rsidRPr="007246E7">
          <w:rPr>
            <w:rStyle w:val="Hyperlink"/>
            <w:rtl/>
          </w:rPr>
          <w:t>אור זרוע ח"ב שבת סימן נט ד"ה ירושלמי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Toc163505716 \h</w:instrText>
        </w:r>
        <w:r>
          <w:rPr>
            <w:webHidden/>
            <w:rtl/>
          </w:rPr>
          <w:instrText xml:space="preserve"> </w:instrText>
        </w:r>
        <w:r>
          <w:rPr>
            <w:rStyle w:val="Hyperlink"/>
            <w:rtl/>
          </w:rPr>
        </w:r>
        <w:r>
          <w:rPr>
            <w:rStyle w:val="Hyperlink"/>
            <w:rtl/>
          </w:rPr>
          <w:fldChar w:fldCharType="separate"/>
        </w:r>
        <w:r w:rsidR="00D82181">
          <w:rPr>
            <w:webHidden/>
            <w:rtl/>
          </w:rPr>
          <w:t>77</w:t>
        </w:r>
        <w:r>
          <w:rPr>
            <w:rStyle w:val="Hyperlink"/>
            <w:rtl/>
          </w:rPr>
          <w:fldChar w:fldCharType="end"/>
        </w:r>
      </w:hyperlink>
    </w:p>
    <w:p w14:paraId="1DC978F3" w14:textId="765E7595" w:rsidR="008009AA" w:rsidRDefault="008009AA">
      <w:pPr>
        <w:pStyle w:val="TOC7"/>
        <w:rPr>
          <w:rFonts w:cstheme="minorBidi"/>
          <w:sz w:val="22"/>
          <w:szCs w:val="22"/>
          <w:rtl/>
        </w:rPr>
      </w:pPr>
      <w:hyperlink w:anchor="_Toc163505717" w:history="1">
        <w:r w:rsidRPr="007246E7">
          <w:rPr>
            <w:rStyle w:val="Hyperlink"/>
            <w:rtl/>
          </w:rPr>
          <w:t>הרוקח הלכות שבת סימן סב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Toc163505717 \h</w:instrText>
        </w:r>
        <w:r>
          <w:rPr>
            <w:webHidden/>
            <w:rtl/>
          </w:rPr>
          <w:instrText xml:space="preserve"> </w:instrText>
        </w:r>
        <w:r>
          <w:rPr>
            <w:rStyle w:val="Hyperlink"/>
            <w:rtl/>
          </w:rPr>
        </w:r>
        <w:r>
          <w:rPr>
            <w:rStyle w:val="Hyperlink"/>
            <w:rtl/>
          </w:rPr>
          <w:fldChar w:fldCharType="separate"/>
        </w:r>
        <w:r w:rsidR="00D82181">
          <w:rPr>
            <w:webHidden/>
            <w:rtl/>
          </w:rPr>
          <w:t>77</w:t>
        </w:r>
        <w:r>
          <w:rPr>
            <w:rStyle w:val="Hyperlink"/>
            <w:rtl/>
          </w:rPr>
          <w:fldChar w:fldCharType="end"/>
        </w:r>
      </w:hyperlink>
    </w:p>
    <w:p w14:paraId="5531B36E" w14:textId="2D900897" w:rsidR="008009AA" w:rsidRDefault="008009AA">
      <w:pPr>
        <w:pStyle w:val="TOC7"/>
        <w:rPr>
          <w:rFonts w:cstheme="minorBidi"/>
          <w:sz w:val="22"/>
          <w:szCs w:val="22"/>
          <w:rtl/>
        </w:rPr>
      </w:pPr>
      <w:hyperlink w:anchor="_Toc163505718" w:history="1">
        <w:r w:rsidRPr="007246E7">
          <w:rPr>
            <w:rStyle w:val="Hyperlink"/>
            <w:rtl/>
          </w:rPr>
          <w:t>רמ"א או"ח סי' שי"ט י"ז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Toc163505718 \h</w:instrText>
        </w:r>
        <w:r>
          <w:rPr>
            <w:webHidden/>
            <w:rtl/>
          </w:rPr>
          <w:instrText xml:space="preserve"> </w:instrText>
        </w:r>
        <w:r>
          <w:rPr>
            <w:rStyle w:val="Hyperlink"/>
            <w:rtl/>
          </w:rPr>
        </w:r>
        <w:r>
          <w:rPr>
            <w:rStyle w:val="Hyperlink"/>
            <w:rtl/>
          </w:rPr>
          <w:fldChar w:fldCharType="separate"/>
        </w:r>
        <w:r w:rsidR="00D82181">
          <w:rPr>
            <w:webHidden/>
            <w:rtl/>
          </w:rPr>
          <w:t>77</w:t>
        </w:r>
        <w:r>
          <w:rPr>
            <w:rStyle w:val="Hyperlink"/>
            <w:rtl/>
          </w:rPr>
          <w:fldChar w:fldCharType="end"/>
        </w:r>
      </w:hyperlink>
    </w:p>
    <w:p w14:paraId="6EBD62CB" w14:textId="4BF1DD32" w:rsidR="008009AA" w:rsidRDefault="008009AA">
      <w:pPr>
        <w:pStyle w:val="TOC7"/>
        <w:rPr>
          <w:rFonts w:cstheme="minorBidi"/>
          <w:sz w:val="22"/>
          <w:szCs w:val="22"/>
          <w:rtl/>
        </w:rPr>
      </w:pPr>
      <w:hyperlink w:anchor="_Toc163505719" w:history="1">
        <w:r w:rsidRPr="007246E7">
          <w:rPr>
            <w:rStyle w:val="Hyperlink"/>
            <w:rtl/>
          </w:rPr>
          <w:t>מגן אברהם סי' תמו ס"ק 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Toc163505719 \h</w:instrText>
        </w:r>
        <w:r>
          <w:rPr>
            <w:webHidden/>
            <w:rtl/>
          </w:rPr>
          <w:instrText xml:space="preserve"> </w:instrText>
        </w:r>
        <w:r>
          <w:rPr>
            <w:rStyle w:val="Hyperlink"/>
            <w:rtl/>
          </w:rPr>
        </w:r>
        <w:r>
          <w:rPr>
            <w:rStyle w:val="Hyperlink"/>
            <w:rtl/>
          </w:rPr>
          <w:fldChar w:fldCharType="separate"/>
        </w:r>
        <w:r w:rsidR="00D82181">
          <w:rPr>
            <w:webHidden/>
            <w:rtl/>
          </w:rPr>
          <w:t>77</w:t>
        </w:r>
        <w:r>
          <w:rPr>
            <w:rStyle w:val="Hyperlink"/>
            <w:rtl/>
          </w:rPr>
          <w:fldChar w:fldCharType="end"/>
        </w:r>
      </w:hyperlink>
    </w:p>
    <w:p w14:paraId="7283EBCC" w14:textId="0848EF4B" w:rsidR="008009AA" w:rsidRDefault="008009AA">
      <w:pPr>
        <w:pStyle w:val="TOC7"/>
        <w:rPr>
          <w:rFonts w:cstheme="minorBidi"/>
          <w:sz w:val="22"/>
          <w:szCs w:val="22"/>
          <w:rtl/>
        </w:rPr>
      </w:pPr>
      <w:hyperlink w:anchor="_Toc163505720" w:history="1">
        <w:r w:rsidRPr="007246E7">
          <w:rPr>
            <w:rStyle w:val="Hyperlink"/>
            <w:rtl/>
          </w:rPr>
          <w:t>רבי עקיבא איגר או"ח סי' שי"ט סעיף י"ז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Toc163505720 \h</w:instrText>
        </w:r>
        <w:r>
          <w:rPr>
            <w:webHidden/>
            <w:rtl/>
          </w:rPr>
          <w:instrText xml:space="preserve"> </w:instrText>
        </w:r>
        <w:r>
          <w:rPr>
            <w:rStyle w:val="Hyperlink"/>
            <w:rtl/>
          </w:rPr>
        </w:r>
        <w:r>
          <w:rPr>
            <w:rStyle w:val="Hyperlink"/>
            <w:rtl/>
          </w:rPr>
          <w:fldChar w:fldCharType="separate"/>
        </w:r>
        <w:r w:rsidR="00D82181">
          <w:rPr>
            <w:webHidden/>
            <w:rtl/>
          </w:rPr>
          <w:t>77</w:t>
        </w:r>
        <w:r>
          <w:rPr>
            <w:rStyle w:val="Hyperlink"/>
            <w:rtl/>
          </w:rPr>
          <w:fldChar w:fldCharType="end"/>
        </w:r>
      </w:hyperlink>
    </w:p>
    <w:p w14:paraId="49F9DA3C" w14:textId="2A038F76" w:rsidR="008009AA" w:rsidRDefault="008009AA">
      <w:pPr>
        <w:pStyle w:val="TOC7"/>
        <w:rPr>
          <w:rFonts w:cstheme="minorBidi"/>
          <w:sz w:val="22"/>
          <w:szCs w:val="22"/>
          <w:rtl/>
        </w:rPr>
      </w:pPr>
      <w:hyperlink w:anchor="_Toc163505721" w:history="1">
        <w:r w:rsidRPr="007246E7">
          <w:rPr>
            <w:rStyle w:val="Hyperlink"/>
            <w:rtl/>
          </w:rPr>
          <w:t>משנה ברורה סימן שי"ט ס"ק סז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Toc163505721 \h</w:instrText>
        </w:r>
        <w:r>
          <w:rPr>
            <w:webHidden/>
            <w:rtl/>
          </w:rPr>
          <w:instrText xml:space="preserve"> </w:instrText>
        </w:r>
        <w:r>
          <w:rPr>
            <w:rStyle w:val="Hyperlink"/>
            <w:rtl/>
          </w:rPr>
        </w:r>
        <w:r>
          <w:rPr>
            <w:rStyle w:val="Hyperlink"/>
            <w:rtl/>
          </w:rPr>
          <w:fldChar w:fldCharType="separate"/>
        </w:r>
        <w:r w:rsidR="00D82181">
          <w:rPr>
            <w:webHidden/>
            <w:rtl/>
          </w:rPr>
          <w:t>77</w:t>
        </w:r>
        <w:r>
          <w:rPr>
            <w:rStyle w:val="Hyperlink"/>
            <w:rtl/>
          </w:rPr>
          <w:fldChar w:fldCharType="end"/>
        </w:r>
      </w:hyperlink>
    </w:p>
    <w:p w14:paraId="113603A5" w14:textId="479A90CB" w:rsidR="008009AA" w:rsidRDefault="008009AA">
      <w:pPr>
        <w:pStyle w:val="TOC7"/>
        <w:rPr>
          <w:rFonts w:cstheme="minorBidi"/>
          <w:sz w:val="22"/>
          <w:szCs w:val="22"/>
          <w:rtl/>
        </w:rPr>
      </w:pPr>
      <w:hyperlink w:anchor="_Toc163505722" w:history="1">
        <w:r w:rsidRPr="007246E7">
          <w:rPr>
            <w:rStyle w:val="Hyperlink"/>
            <w:rtl/>
          </w:rPr>
          <w:t>מגן אבות הזורה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Toc163505722 \h</w:instrText>
        </w:r>
        <w:r>
          <w:rPr>
            <w:webHidden/>
            <w:rtl/>
          </w:rPr>
          <w:instrText xml:space="preserve"> </w:instrText>
        </w:r>
        <w:r>
          <w:rPr>
            <w:rStyle w:val="Hyperlink"/>
            <w:rtl/>
          </w:rPr>
        </w:r>
        <w:r>
          <w:rPr>
            <w:rStyle w:val="Hyperlink"/>
            <w:rtl/>
          </w:rPr>
          <w:fldChar w:fldCharType="separate"/>
        </w:r>
        <w:r w:rsidR="00D82181">
          <w:rPr>
            <w:webHidden/>
            <w:rtl/>
          </w:rPr>
          <w:t>77</w:t>
        </w:r>
        <w:r>
          <w:rPr>
            <w:rStyle w:val="Hyperlink"/>
            <w:rtl/>
          </w:rPr>
          <w:fldChar w:fldCharType="end"/>
        </w:r>
      </w:hyperlink>
    </w:p>
    <w:p w14:paraId="60368E3B" w14:textId="2BB5E24D" w:rsidR="008009AA" w:rsidRDefault="008009AA">
      <w:pPr>
        <w:pStyle w:val="TOC7"/>
        <w:rPr>
          <w:rFonts w:cstheme="minorBidi"/>
          <w:sz w:val="22"/>
          <w:szCs w:val="22"/>
          <w:rtl/>
        </w:rPr>
      </w:pPr>
      <w:hyperlink w:anchor="_Toc163505723" w:history="1">
        <w:r w:rsidRPr="007246E7">
          <w:rPr>
            <w:rStyle w:val="Hyperlink"/>
            <w:rtl/>
          </w:rPr>
          <w:t>באור הלכה סי' שי"ט סעיף י"ז ד"ה מפזר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Toc163505723 \h</w:instrText>
        </w:r>
        <w:r>
          <w:rPr>
            <w:webHidden/>
            <w:rtl/>
          </w:rPr>
          <w:instrText xml:space="preserve"> </w:instrText>
        </w:r>
        <w:r>
          <w:rPr>
            <w:rStyle w:val="Hyperlink"/>
            <w:rtl/>
          </w:rPr>
        </w:r>
        <w:r>
          <w:rPr>
            <w:rStyle w:val="Hyperlink"/>
            <w:rtl/>
          </w:rPr>
          <w:fldChar w:fldCharType="separate"/>
        </w:r>
        <w:r w:rsidR="00D82181">
          <w:rPr>
            <w:webHidden/>
            <w:rtl/>
          </w:rPr>
          <w:t>77</w:t>
        </w:r>
        <w:r>
          <w:rPr>
            <w:rStyle w:val="Hyperlink"/>
            <w:rtl/>
          </w:rPr>
          <w:fldChar w:fldCharType="end"/>
        </w:r>
      </w:hyperlink>
    </w:p>
    <w:p w14:paraId="27FB5D9A" w14:textId="492EA890" w:rsidR="008009AA" w:rsidRDefault="008009AA">
      <w:pPr>
        <w:pStyle w:val="TOC7"/>
        <w:rPr>
          <w:rFonts w:cstheme="minorBidi"/>
          <w:sz w:val="22"/>
          <w:szCs w:val="22"/>
          <w:rtl/>
        </w:rPr>
      </w:pPr>
      <w:hyperlink w:anchor="_Toc163505724" w:history="1">
        <w:r w:rsidRPr="007246E7">
          <w:rPr>
            <w:rStyle w:val="Hyperlink"/>
            <w:rtl/>
          </w:rPr>
          <w:t>אלפי מנשה שבת ה ע"א ד"ה אגב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Toc163505724 \h</w:instrText>
        </w:r>
        <w:r>
          <w:rPr>
            <w:webHidden/>
            <w:rtl/>
          </w:rPr>
          <w:instrText xml:space="preserve"> </w:instrText>
        </w:r>
        <w:r>
          <w:rPr>
            <w:rStyle w:val="Hyperlink"/>
            <w:rtl/>
          </w:rPr>
        </w:r>
        <w:r>
          <w:rPr>
            <w:rStyle w:val="Hyperlink"/>
            <w:rtl/>
          </w:rPr>
          <w:fldChar w:fldCharType="separate"/>
        </w:r>
        <w:r w:rsidR="00D82181">
          <w:rPr>
            <w:webHidden/>
            <w:rtl/>
          </w:rPr>
          <w:t>77</w:t>
        </w:r>
        <w:r>
          <w:rPr>
            <w:rStyle w:val="Hyperlink"/>
            <w:rtl/>
          </w:rPr>
          <w:fldChar w:fldCharType="end"/>
        </w:r>
      </w:hyperlink>
    </w:p>
    <w:p w14:paraId="7142B38F" w14:textId="521F8D03" w:rsidR="008009AA" w:rsidRDefault="008009AA">
      <w:pPr>
        <w:pStyle w:val="TOC7"/>
        <w:rPr>
          <w:rFonts w:cstheme="minorBidi"/>
          <w:sz w:val="22"/>
          <w:szCs w:val="22"/>
          <w:rtl/>
        </w:rPr>
      </w:pPr>
      <w:hyperlink w:anchor="_Toc163505725" w:history="1">
        <w:r w:rsidRPr="007246E7">
          <w:rPr>
            <w:rStyle w:val="Hyperlink"/>
            <w:rtl/>
          </w:rPr>
          <w:t>אבי עזרי שבת פ"ח הי"א ד"ה ובביאור הלכה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Toc163505725 \h</w:instrText>
        </w:r>
        <w:r>
          <w:rPr>
            <w:webHidden/>
            <w:rtl/>
          </w:rPr>
          <w:instrText xml:space="preserve"> </w:instrText>
        </w:r>
        <w:r>
          <w:rPr>
            <w:rStyle w:val="Hyperlink"/>
            <w:rtl/>
          </w:rPr>
        </w:r>
        <w:r>
          <w:rPr>
            <w:rStyle w:val="Hyperlink"/>
            <w:rtl/>
          </w:rPr>
          <w:fldChar w:fldCharType="separate"/>
        </w:r>
        <w:r w:rsidR="00D82181">
          <w:rPr>
            <w:webHidden/>
            <w:rtl/>
          </w:rPr>
          <w:t>77</w:t>
        </w:r>
        <w:r>
          <w:rPr>
            <w:rStyle w:val="Hyperlink"/>
            <w:rtl/>
          </w:rPr>
          <w:fldChar w:fldCharType="end"/>
        </w:r>
      </w:hyperlink>
    </w:p>
    <w:p w14:paraId="26EF7441" w14:textId="62CF7A40" w:rsidR="008009AA" w:rsidRDefault="008009AA">
      <w:pPr>
        <w:pStyle w:val="TOC7"/>
        <w:rPr>
          <w:rFonts w:cstheme="minorBidi"/>
          <w:sz w:val="22"/>
          <w:szCs w:val="22"/>
          <w:rtl/>
        </w:rPr>
      </w:pPr>
      <w:hyperlink w:anchor="_Toc163505726" w:history="1">
        <w:r w:rsidRPr="007246E7">
          <w:rPr>
            <w:rStyle w:val="Hyperlink"/>
            <w:rtl/>
          </w:rPr>
          <w:t>שו"ת רבי עקיבא איגר מהדו"ק ח"א סי' כ' ד"ה עובדא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Toc163505726 \h</w:instrText>
        </w:r>
        <w:r>
          <w:rPr>
            <w:webHidden/>
            <w:rtl/>
          </w:rPr>
          <w:instrText xml:space="preserve"> </w:instrText>
        </w:r>
        <w:r>
          <w:rPr>
            <w:rStyle w:val="Hyperlink"/>
            <w:rtl/>
          </w:rPr>
        </w:r>
        <w:r>
          <w:rPr>
            <w:rStyle w:val="Hyperlink"/>
            <w:rtl/>
          </w:rPr>
          <w:fldChar w:fldCharType="separate"/>
        </w:r>
        <w:r w:rsidR="00D82181">
          <w:rPr>
            <w:webHidden/>
            <w:rtl/>
          </w:rPr>
          <w:t>77</w:t>
        </w:r>
        <w:r>
          <w:rPr>
            <w:rStyle w:val="Hyperlink"/>
            <w:rtl/>
          </w:rPr>
          <w:fldChar w:fldCharType="end"/>
        </w:r>
      </w:hyperlink>
    </w:p>
    <w:p w14:paraId="4B4BAC77" w14:textId="10B686DB" w:rsidR="008009AA" w:rsidRDefault="008009AA">
      <w:pPr>
        <w:pStyle w:val="TOC7"/>
        <w:rPr>
          <w:rFonts w:cstheme="minorBidi"/>
          <w:sz w:val="22"/>
          <w:szCs w:val="22"/>
          <w:rtl/>
        </w:rPr>
      </w:pPr>
      <w:hyperlink w:anchor="_Toc163505727" w:history="1">
        <w:r w:rsidRPr="007246E7">
          <w:rPr>
            <w:rStyle w:val="Hyperlink"/>
            <w:rtl/>
          </w:rPr>
          <w:t>קרבן העדה שבת פ"ז מ"ט ב' ד"ה וכל</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Toc163505727 \h</w:instrText>
        </w:r>
        <w:r>
          <w:rPr>
            <w:webHidden/>
            <w:rtl/>
          </w:rPr>
          <w:instrText xml:space="preserve"> </w:instrText>
        </w:r>
        <w:r>
          <w:rPr>
            <w:rStyle w:val="Hyperlink"/>
            <w:rtl/>
          </w:rPr>
        </w:r>
        <w:r>
          <w:rPr>
            <w:rStyle w:val="Hyperlink"/>
            <w:rtl/>
          </w:rPr>
          <w:fldChar w:fldCharType="separate"/>
        </w:r>
        <w:r w:rsidR="00D82181">
          <w:rPr>
            <w:webHidden/>
            <w:rtl/>
          </w:rPr>
          <w:t>77</w:t>
        </w:r>
        <w:r>
          <w:rPr>
            <w:rStyle w:val="Hyperlink"/>
            <w:rtl/>
          </w:rPr>
          <w:fldChar w:fldCharType="end"/>
        </w:r>
      </w:hyperlink>
    </w:p>
    <w:p w14:paraId="31243CAE" w14:textId="17E5E2AF" w:rsidR="008009AA" w:rsidRDefault="008009AA">
      <w:pPr>
        <w:pStyle w:val="TOC7"/>
        <w:rPr>
          <w:rFonts w:cstheme="minorBidi"/>
          <w:sz w:val="22"/>
          <w:szCs w:val="22"/>
          <w:rtl/>
        </w:rPr>
      </w:pPr>
      <w:hyperlink w:anchor="_Toc163505728" w:history="1">
        <w:r w:rsidRPr="007246E7">
          <w:rPr>
            <w:rStyle w:val="Hyperlink"/>
            <w:rtl/>
          </w:rPr>
          <w:t>אגלי טל זורה סק"א אות 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Toc163505728 \h</w:instrText>
        </w:r>
        <w:r>
          <w:rPr>
            <w:webHidden/>
            <w:rtl/>
          </w:rPr>
          <w:instrText xml:space="preserve"> </w:instrText>
        </w:r>
        <w:r>
          <w:rPr>
            <w:rStyle w:val="Hyperlink"/>
            <w:rtl/>
          </w:rPr>
        </w:r>
        <w:r>
          <w:rPr>
            <w:rStyle w:val="Hyperlink"/>
            <w:rtl/>
          </w:rPr>
          <w:fldChar w:fldCharType="separate"/>
        </w:r>
        <w:r w:rsidR="00D82181">
          <w:rPr>
            <w:webHidden/>
            <w:rtl/>
          </w:rPr>
          <w:t>77</w:t>
        </w:r>
        <w:r>
          <w:rPr>
            <w:rStyle w:val="Hyperlink"/>
            <w:rtl/>
          </w:rPr>
          <w:fldChar w:fldCharType="end"/>
        </w:r>
      </w:hyperlink>
    </w:p>
    <w:p w14:paraId="5638A4D1" w14:textId="5A853AB3" w:rsidR="008009AA" w:rsidRDefault="008009AA">
      <w:pPr>
        <w:pStyle w:val="TOC7"/>
        <w:rPr>
          <w:rFonts w:cstheme="minorBidi"/>
          <w:sz w:val="22"/>
          <w:szCs w:val="22"/>
          <w:rtl/>
        </w:rPr>
      </w:pPr>
      <w:hyperlink w:anchor="_Toc163505729" w:history="1">
        <w:r w:rsidRPr="007246E7">
          <w:rPr>
            <w:rStyle w:val="Hyperlink"/>
            <w:rtl/>
          </w:rPr>
          <w:t>עץ חיים זורה אות 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Toc163505729 \h</w:instrText>
        </w:r>
        <w:r>
          <w:rPr>
            <w:webHidden/>
            <w:rtl/>
          </w:rPr>
          <w:instrText xml:space="preserve"> </w:instrText>
        </w:r>
        <w:r>
          <w:rPr>
            <w:rStyle w:val="Hyperlink"/>
            <w:rtl/>
          </w:rPr>
        </w:r>
        <w:r>
          <w:rPr>
            <w:rStyle w:val="Hyperlink"/>
            <w:rtl/>
          </w:rPr>
          <w:fldChar w:fldCharType="separate"/>
        </w:r>
        <w:r w:rsidR="00D82181">
          <w:rPr>
            <w:webHidden/>
            <w:rtl/>
          </w:rPr>
          <w:t>77</w:t>
        </w:r>
        <w:r>
          <w:rPr>
            <w:rStyle w:val="Hyperlink"/>
            <w:rtl/>
          </w:rPr>
          <w:fldChar w:fldCharType="end"/>
        </w:r>
      </w:hyperlink>
    </w:p>
    <w:p w14:paraId="5617DC50" w14:textId="1526A74D" w:rsidR="008009AA" w:rsidRDefault="008009AA">
      <w:pPr>
        <w:pStyle w:val="TOC7"/>
        <w:rPr>
          <w:rFonts w:cstheme="minorBidi"/>
          <w:sz w:val="22"/>
          <w:szCs w:val="22"/>
          <w:rtl/>
        </w:rPr>
      </w:pPr>
      <w:hyperlink w:anchor="_Toc163505730" w:history="1">
        <w:r w:rsidRPr="007246E7">
          <w:rPr>
            <w:rStyle w:val="Hyperlink"/>
            <w:rtl/>
          </w:rPr>
          <w:t>טל אורות הספרדי זורה ד"ה נראה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Toc163505730 \h</w:instrText>
        </w:r>
        <w:r>
          <w:rPr>
            <w:webHidden/>
            <w:rtl/>
          </w:rPr>
          <w:instrText xml:space="preserve"> </w:instrText>
        </w:r>
        <w:r>
          <w:rPr>
            <w:rStyle w:val="Hyperlink"/>
            <w:rtl/>
          </w:rPr>
        </w:r>
        <w:r>
          <w:rPr>
            <w:rStyle w:val="Hyperlink"/>
            <w:rtl/>
          </w:rPr>
          <w:fldChar w:fldCharType="separate"/>
        </w:r>
        <w:r w:rsidR="00D82181">
          <w:rPr>
            <w:webHidden/>
            <w:rtl/>
          </w:rPr>
          <w:t>77</w:t>
        </w:r>
        <w:r>
          <w:rPr>
            <w:rStyle w:val="Hyperlink"/>
            <w:rtl/>
          </w:rPr>
          <w:fldChar w:fldCharType="end"/>
        </w:r>
      </w:hyperlink>
    </w:p>
    <w:p w14:paraId="6C6BC299" w14:textId="494DD912" w:rsidR="008009AA" w:rsidRDefault="008009AA">
      <w:pPr>
        <w:pStyle w:val="TOC7"/>
        <w:rPr>
          <w:rFonts w:cstheme="minorBidi"/>
          <w:sz w:val="22"/>
          <w:szCs w:val="22"/>
          <w:rtl/>
        </w:rPr>
      </w:pPr>
      <w:hyperlink w:anchor="_Toc163505731" w:history="1">
        <w:r w:rsidRPr="007246E7">
          <w:rPr>
            <w:rStyle w:val="Hyperlink"/>
            <w:rtl/>
          </w:rPr>
          <w:t>שו"ת רבי עקיבא איגר מהדו"ק ח"א סי' כ' ד"ה נלענ"ד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Toc163505731 \h</w:instrText>
        </w:r>
        <w:r>
          <w:rPr>
            <w:webHidden/>
            <w:rtl/>
          </w:rPr>
          <w:instrText xml:space="preserve"> </w:instrText>
        </w:r>
        <w:r>
          <w:rPr>
            <w:rStyle w:val="Hyperlink"/>
            <w:rtl/>
          </w:rPr>
        </w:r>
        <w:r>
          <w:rPr>
            <w:rStyle w:val="Hyperlink"/>
            <w:rtl/>
          </w:rPr>
          <w:fldChar w:fldCharType="separate"/>
        </w:r>
        <w:r w:rsidR="00D82181">
          <w:rPr>
            <w:webHidden/>
            <w:rtl/>
          </w:rPr>
          <w:t>77</w:t>
        </w:r>
        <w:r>
          <w:rPr>
            <w:rStyle w:val="Hyperlink"/>
            <w:rtl/>
          </w:rPr>
          <w:fldChar w:fldCharType="end"/>
        </w:r>
      </w:hyperlink>
    </w:p>
    <w:p w14:paraId="7D156A1B" w14:textId="2CD7D82C" w:rsidR="008009AA" w:rsidRDefault="008009AA">
      <w:pPr>
        <w:pStyle w:val="TOC7"/>
        <w:rPr>
          <w:rFonts w:cstheme="minorBidi"/>
          <w:sz w:val="22"/>
          <w:szCs w:val="22"/>
          <w:rtl/>
        </w:rPr>
      </w:pPr>
      <w:hyperlink w:anchor="_Toc163505732" w:history="1">
        <w:r w:rsidRPr="007246E7">
          <w:rPr>
            <w:rStyle w:val="Hyperlink"/>
            <w:rtl/>
          </w:rPr>
          <w:t>שו"ת רבי עקיבא איגר מהדו"ק סימן כ ד"ה גם בנ"ד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Toc163505732 \h</w:instrText>
        </w:r>
        <w:r>
          <w:rPr>
            <w:webHidden/>
            <w:rtl/>
          </w:rPr>
          <w:instrText xml:space="preserve"> </w:instrText>
        </w:r>
        <w:r>
          <w:rPr>
            <w:rStyle w:val="Hyperlink"/>
            <w:rtl/>
          </w:rPr>
        </w:r>
        <w:r>
          <w:rPr>
            <w:rStyle w:val="Hyperlink"/>
            <w:rtl/>
          </w:rPr>
          <w:fldChar w:fldCharType="separate"/>
        </w:r>
        <w:r w:rsidR="00D82181">
          <w:rPr>
            <w:webHidden/>
            <w:rtl/>
          </w:rPr>
          <w:t>78</w:t>
        </w:r>
        <w:r>
          <w:rPr>
            <w:rStyle w:val="Hyperlink"/>
            <w:rtl/>
          </w:rPr>
          <w:fldChar w:fldCharType="end"/>
        </w:r>
      </w:hyperlink>
    </w:p>
    <w:p w14:paraId="399477D5" w14:textId="075E4A18" w:rsidR="008009AA" w:rsidRDefault="008009AA">
      <w:pPr>
        <w:pStyle w:val="TOC7"/>
        <w:rPr>
          <w:rFonts w:cstheme="minorBidi"/>
          <w:sz w:val="22"/>
          <w:szCs w:val="22"/>
          <w:rtl/>
        </w:rPr>
      </w:pPr>
      <w:hyperlink w:anchor="_Toc163505733" w:history="1">
        <w:r w:rsidRPr="007246E7">
          <w:rPr>
            <w:rStyle w:val="Hyperlink"/>
            <w:rtl/>
          </w:rPr>
          <w:t>נשמת אדם כלל ט"ו אות 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Toc163505733 \h</w:instrText>
        </w:r>
        <w:r>
          <w:rPr>
            <w:webHidden/>
            <w:rtl/>
          </w:rPr>
          <w:instrText xml:space="preserve"> </w:instrText>
        </w:r>
        <w:r>
          <w:rPr>
            <w:rStyle w:val="Hyperlink"/>
            <w:rtl/>
          </w:rPr>
        </w:r>
        <w:r>
          <w:rPr>
            <w:rStyle w:val="Hyperlink"/>
            <w:rtl/>
          </w:rPr>
          <w:fldChar w:fldCharType="separate"/>
        </w:r>
        <w:r w:rsidR="00D82181">
          <w:rPr>
            <w:webHidden/>
            <w:rtl/>
          </w:rPr>
          <w:t>78</w:t>
        </w:r>
        <w:r>
          <w:rPr>
            <w:rStyle w:val="Hyperlink"/>
            <w:rtl/>
          </w:rPr>
          <w:fldChar w:fldCharType="end"/>
        </w:r>
      </w:hyperlink>
    </w:p>
    <w:p w14:paraId="0FC6011F" w14:textId="75E991BB" w:rsidR="008009AA" w:rsidRDefault="008009AA">
      <w:pPr>
        <w:pStyle w:val="TOC7"/>
        <w:rPr>
          <w:rFonts w:cstheme="minorBidi"/>
          <w:sz w:val="22"/>
          <w:szCs w:val="22"/>
          <w:rtl/>
        </w:rPr>
      </w:pPr>
      <w:hyperlink w:anchor="_Toc163505734" w:history="1">
        <w:r w:rsidRPr="007246E7">
          <w:rPr>
            <w:rStyle w:val="Hyperlink"/>
            <w:rtl/>
          </w:rPr>
          <w:t>בית מאיר או"ח סי' שיט י"ז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Toc163505734 \h</w:instrText>
        </w:r>
        <w:r>
          <w:rPr>
            <w:webHidden/>
            <w:rtl/>
          </w:rPr>
          <w:instrText xml:space="preserve"> </w:instrText>
        </w:r>
        <w:r>
          <w:rPr>
            <w:rStyle w:val="Hyperlink"/>
            <w:rtl/>
          </w:rPr>
        </w:r>
        <w:r>
          <w:rPr>
            <w:rStyle w:val="Hyperlink"/>
            <w:rtl/>
          </w:rPr>
          <w:fldChar w:fldCharType="separate"/>
        </w:r>
        <w:r w:rsidR="00D82181">
          <w:rPr>
            <w:webHidden/>
            <w:rtl/>
          </w:rPr>
          <w:t>78</w:t>
        </w:r>
        <w:r>
          <w:rPr>
            <w:rStyle w:val="Hyperlink"/>
            <w:rtl/>
          </w:rPr>
          <w:fldChar w:fldCharType="end"/>
        </w:r>
      </w:hyperlink>
    </w:p>
    <w:p w14:paraId="3A25B477" w14:textId="428F5FFF" w:rsidR="008009AA" w:rsidRDefault="008009AA">
      <w:pPr>
        <w:pStyle w:val="TOC7"/>
        <w:rPr>
          <w:rFonts w:cstheme="minorBidi"/>
          <w:sz w:val="22"/>
          <w:szCs w:val="22"/>
          <w:rtl/>
        </w:rPr>
      </w:pPr>
      <w:hyperlink w:anchor="_Toc163505735" w:history="1">
        <w:r w:rsidRPr="007246E7">
          <w:rPr>
            <w:rStyle w:val="Hyperlink"/>
            <w:rtl/>
          </w:rPr>
          <w:t>טל אורות הספרדי זורה ד"ה והנה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Toc163505735 \h</w:instrText>
        </w:r>
        <w:r>
          <w:rPr>
            <w:webHidden/>
            <w:rtl/>
          </w:rPr>
          <w:instrText xml:space="preserve"> </w:instrText>
        </w:r>
        <w:r>
          <w:rPr>
            <w:rStyle w:val="Hyperlink"/>
            <w:rtl/>
          </w:rPr>
        </w:r>
        <w:r>
          <w:rPr>
            <w:rStyle w:val="Hyperlink"/>
            <w:rtl/>
          </w:rPr>
          <w:fldChar w:fldCharType="separate"/>
        </w:r>
        <w:r w:rsidR="00D82181">
          <w:rPr>
            <w:webHidden/>
            <w:rtl/>
          </w:rPr>
          <w:t>78</w:t>
        </w:r>
        <w:r>
          <w:rPr>
            <w:rStyle w:val="Hyperlink"/>
            <w:rtl/>
          </w:rPr>
          <w:fldChar w:fldCharType="end"/>
        </w:r>
      </w:hyperlink>
    </w:p>
    <w:p w14:paraId="53890788" w14:textId="0F3ECFCC" w:rsidR="008009AA" w:rsidRDefault="008009AA">
      <w:pPr>
        <w:pStyle w:val="TOC7"/>
        <w:rPr>
          <w:rFonts w:cstheme="minorBidi"/>
          <w:sz w:val="22"/>
          <w:szCs w:val="22"/>
          <w:rtl/>
        </w:rPr>
      </w:pPr>
      <w:hyperlink w:anchor="_Toc163505736" w:history="1">
        <w:r w:rsidRPr="007246E7">
          <w:rPr>
            <w:rStyle w:val="Hyperlink"/>
            <w:rtl/>
          </w:rPr>
          <w:t>אגלי טל זורה סק"א אות ד' ד"ה אך טעם</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Toc163505736 \h</w:instrText>
        </w:r>
        <w:r>
          <w:rPr>
            <w:webHidden/>
            <w:rtl/>
          </w:rPr>
          <w:instrText xml:space="preserve"> </w:instrText>
        </w:r>
        <w:r>
          <w:rPr>
            <w:rStyle w:val="Hyperlink"/>
            <w:rtl/>
          </w:rPr>
        </w:r>
        <w:r>
          <w:rPr>
            <w:rStyle w:val="Hyperlink"/>
            <w:rtl/>
          </w:rPr>
          <w:fldChar w:fldCharType="separate"/>
        </w:r>
        <w:r w:rsidR="00D82181">
          <w:rPr>
            <w:webHidden/>
            <w:rtl/>
          </w:rPr>
          <w:t>78</w:t>
        </w:r>
        <w:r>
          <w:rPr>
            <w:rStyle w:val="Hyperlink"/>
            <w:rtl/>
          </w:rPr>
          <w:fldChar w:fldCharType="end"/>
        </w:r>
      </w:hyperlink>
    </w:p>
    <w:p w14:paraId="4AF2BF20" w14:textId="2C8517F4" w:rsidR="008009AA" w:rsidRDefault="008009AA">
      <w:pPr>
        <w:pStyle w:val="TOC7"/>
        <w:rPr>
          <w:rFonts w:cstheme="minorBidi"/>
          <w:sz w:val="22"/>
          <w:szCs w:val="22"/>
          <w:rtl/>
        </w:rPr>
      </w:pPr>
      <w:hyperlink w:anchor="_Toc163505737" w:history="1">
        <w:r w:rsidRPr="007246E7">
          <w:rPr>
            <w:rStyle w:val="Hyperlink"/>
            <w:rtl/>
          </w:rPr>
          <w:t>אגלי טל זורה סק"א אות ד' ד"ה אך להבין</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Toc163505737 \h</w:instrText>
        </w:r>
        <w:r>
          <w:rPr>
            <w:webHidden/>
            <w:rtl/>
          </w:rPr>
          <w:instrText xml:space="preserve"> </w:instrText>
        </w:r>
        <w:r>
          <w:rPr>
            <w:rStyle w:val="Hyperlink"/>
            <w:rtl/>
          </w:rPr>
        </w:r>
        <w:r>
          <w:rPr>
            <w:rStyle w:val="Hyperlink"/>
            <w:rtl/>
          </w:rPr>
          <w:fldChar w:fldCharType="separate"/>
        </w:r>
        <w:r w:rsidR="00D82181">
          <w:rPr>
            <w:webHidden/>
            <w:rtl/>
          </w:rPr>
          <w:t>78</w:t>
        </w:r>
        <w:r>
          <w:rPr>
            <w:rStyle w:val="Hyperlink"/>
            <w:rtl/>
          </w:rPr>
          <w:fldChar w:fldCharType="end"/>
        </w:r>
      </w:hyperlink>
    </w:p>
    <w:p w14:paraId="5D9B1CD8" w14:textId="2DFBB761" w:rsidR="008009AA" w:rsidRDefault="008009AA">
      <w:pPr>
        <w:pStyle w:val="TOC7"/>
        <w:rPr>
          <w:rFonts w:cstheme="minorBidi"/>
          <w:sz w:val="22"/>
          <w:szCs w:val="22"/>
          <w:rtl/>
        </w:rPr>
      </w:pPr>
      <w:hyperlink w:anchor="_Toc163505738" w:history="1">
        <w:r w:rsidRPr="007246E7">
          <w:rPr>
            <w:rStyle w:val="Hyperlink"/>
            <w:rtl/>
          </w:rPr>
          <w:t>אגלי טל זורה סק"א אות ז' ד"ה וצ"ל</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Toc163505738 \h</w:instrText>
        </w:r>
        <w:r>
          <w:rPr>
            <w:webHidden/>
            <w:rtl/>
          </w:rPr>
          <w:instrText xml:space="preserve"> </w:instrText>
        </w:r>
        <w:r>
          <w:rPr>
            <w:rStyle w:val="Hyperlink"/>
            <w:rtl/>
          </w:rPr>
        </w:r>
        <w:r>
          <w:rPr>
            <w:rStyle w:val="Hyperlink"/>
            <w:rtl/>
          </w:rPr>
          <w:fldChar w:fldCharType="separate"/>
        </w:r>
        <w:r w:rsidR="00D82181">
          <w:rPr>
            <w:webHidden/>
            <w:rtl/>
          </w:rPr>
          <w:t>78</w:t>
        </w:r>
        <w:r>
          <w:rPr>
            <w:rStyle w:val="Hyperlink"/>
            <w:rtl/>
          </w:rPr>
          <w:fldChar w:fldCharType="end"/>
        </w:r>
      </w:hyperlink>
    </w:p>
    <w:p w14:paraId="22AE6BBA" w14:textId="7BFA1363" w:rsidR="008009AA" w:rsidRDefault="008009AA">
      <w:pPr>
        <w:pStyle w:val="TOC7"/>
        <w:rPr>
          <w:rFonts w:cstheme="minorBidi"/>
          <w:sz w:val="22"/>
          <w:szCs w:val="22"/>
          <w:rtl/>
        </w:rPr>
      </w:pPr>
      <w:hyperlink w:anchor="_Toc163505739" w:history="1">
        <w:r w:rsidRPr="007246E7">
          <w:rPr>
            <w:rStyle w:val="Hyperlink"/>
            <w:rtl/>
          </w:rPr>
          <w:t>רש"י שבת ע"ג ע"א ד"ה הזורה, הבורר, המרקד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Toc163505739 \h</w:instrText>
        </w:r>
        <w:r>
          <w:rPr>
            <w:webHidden/>
            <w:rtl/>
          </w:rPr>
          <w:instrText xml:space="preserve"> </w:instrText>
        </w:r>
        <w:r>
          <w:rPr>
            <w:rStyle w:val="Hyperlink"/>
            <w:rtl/>
          </w:rPr>
        </w:r>
        <w:r>
          <w:rPr>
            <w:rStyle w:val="Hyperlink"/>
            <w:rtl/>
          </w:rPr>
          <w:fldChar w:fldCharType="separate"/>
        </w:r>
        <w:r w:rsidR="00D82181">
          <w:rPr>
            <w:webHidden/>
            <w:rtl/>
          </w:rPr>
          <w:t>79</w:t>
        </w:r>
        <w:r>
          <w:rPr>
            <w:rStyle w:val="Hyperlink"/>
            <w:rtl/>
          </w:rPr>
          <w:fldChar w:fldCharType="end"/>
        </w:r>
      </w:hyperlink>
    </w:p>
    <w:p w14:paraId="18678F92" w14:textId="38264575" w:rsidR="008009AA" w:rsidRDefault="008009AA">
      <w:pPr>
        <w:pStyle w:val="TOC7"/>
        <w:rPr>
          <w:rFonts w:cstheme="minorBidi"/>
          <w:sz w:val="22"/>
          <w:szCs w:val="22"/>
          <w:rtl/>
        </w:rPr>
      </w:pPr>
      <w:hyperlink w:anchor="_Toc163505740" w:history="1">
        <w:r w:rsidRPr="007246E7">
          <w:rPr>
            <w:rStyle w:val="Hyperlink"/>
            <w:rtl/>
          </w:rPr>
          <w:t>רש"י שבת ע"ה ע"ב ד"ה הרי הוא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Toc163505740 \h</w:instrText>
        </w:r>
        <w:r>
          <w:rPr>
            <w:webHidden/>
            <w:rtl/>
          </w:rPr>
          <w:instrText xml:space="preserve"> </w:instrText>
        </w:r>
        <w:r>
          <w:rPr>
            <w:rStyle w:val="Hyperlink"/>
            <w:rtl/>
          </w:rPr>
        </w:r>
        <w:r>
          <w:rPr>
            <w:rStyle w:val="Hyperlink"/>
            <w:rtl/>
          </w:rPr>
          <w:fldChar w:fldCharType="separate"/>
        </w:r>
        <w:r w:rsidR="00D82181">
          <w:rPr>
            <w:webHidden/>
            <w:rtl/>
          </w:rPr>
          <w:t>79</w:t>
        </w:r>
        <w:r>
          <w:rPr>
            <w:rStyle w:val="Hyperlink"/>
            <w:rtl/>
          </w:rPr>
          <w:fldChar w:fldCharType="end"/>
        </w:r>
      </w:hyperlink>
    </w:p>
    <w:p w14:paraId="57FB9513" w14:textId="49BB27FE" w:rsidR="008009AA" w:rsidRDefault="008009AA">
      <w:pPr>
        <w:pStyle w:val="TOC7"/>
        <w:rPr>
          <w:rFonts w:cstheme="minorBidi"/>
          <w:sz w:val="22"/>
          <w:szCs w:val="22"/>
          <w:rtl/>
        </w:rPr>
      </w:pPr>
      <w:hyperlink w:anchor="_Toc163505741" w:history="1">
        <w:r w:rsidRPr="007246E7">
          <w:rPr>
            <w:rStyle w:val="Hyperlink"/>
            <w:rtl/>
          </w:rPr>
          <w:t>חדושי הריטב"א שבת ע"ג ע"ב ד"ה כל מילתא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Toc163505741 \h</w:instrText>
        </w:r>
        <w:r>
          <w:rPr>
            <w:webHidden/>
            <w:rtl/>
          </w:rPr>
          <w:instrText xml:space="preserve"> </w:instrText>
        </w:r>
        <w:r>
          <w:rPr>
            <w:rStyle w:val="Hyperlink"/>
            <w:rtl/>
          </w:rPr>
        </w:r>
        <w:r>
          <w:rPr>
            <w:rStyle w:val="Hyperlink"/>
            <w:rtl/>
          </w:rPr>
          <w:fldChar w:fldCharType="separate"/>
        </w:r>
        <w:r w:rsidR="00D82181">
          <w:rPr>
            <w:webHidden/>
            <w:rtl/>
          </w:rPr>
          <w:t>79</w:t>
        </w:r>
        <w:r>
          <w:rPr>
            <w:rStyle w:val="Hyperlink"/>
            <w:rtl/>
          </w:rPr>
          <w:fldChar w:fldCharType="end"/>
        </w:r>
      </w:hyperlink>
    </w:p>
    <w:p w14:paraId="6992ED37" w14:textId="36A0CD55" w:rsidR="008009AA" w:rsidRDefault="008009AA">
      <w:pPr>
        <w:pStyle w:val="TOC7"/>
        <w:rPr>
          <w:rFonts w:cstheme="minorBidi"/>
          <w:sz w:val="22"/>
          <w:szCs w:val="22"/>
          <w:rtl/>
        </w:rPr>
      </w:pPr>
      <w:hyperlink w:anchor="_Toc163505742" w:history="1">
        <w:r w:rsidRPr="007246E7">
          <w:rPr>
            <w:rStyle w:val="Hyperlink"/>
            <w:rtl/>
          </w:rPr>
          <w:t>תוספות הרא"ש שבת ע"ד ע"א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Toc163505742 \h</w:instrText>
        </w:r>
        <w:r>
          <w:rPr>
            <w:webHidden/>
            <w:rtl/>
          </w:rPr>
          <w:instrText xml:space="preserve"> </w:instrText>
        </w:r>
        <w:r>
          <w:rPr>
            <w:rStyle w:val="Hyperlink"/>
            <w:rtl/>
          </w:rPr>
        </w:r>
        <w:r>
          <w:rPr>
            <w:rStyle w:val="Hyperlink"/>
            <w:rtl/>
          </w:rPr>
          <w:fldChar w:fldCharType="separate"/>
        </w:r>
        <w:r w:rsidR="00D82181">
          <w:rPr>
            <w:webHidden/>
            <w:rtl/>
          </w:rPr>
          <w:t>79</w:t>
        </w:r>
        <w:r>
          <w:rPr>
            <w:rStyle w:val="Hyperlink"/>
            <w:rtl/>
          </w:rPr>
          <w:fldChar w:fldCharType="end"/>
        </w:r>
      </w:hyperlink>
    </w:p>
    <w:p w14:paraId="44A345B9" w14:textId="4F51AC01" w:rsidR="008009AA" w:rsidRDefault="008009AA">
      <w:pPr>
        <w:pStyle w:val="TOC7"/>
        <w:rPr>
          <w:rFonts w:cstheme="minorBidi"/>
          <w:sz w:val="22"/>
          <w:szCs w:val="22"/>
          <w:rtl/>
        </w:rPr>
      </w:pPr>
      <w:hyperlink w:anchor="_Toc163505743" w:history="1">
        <w:r w:rsidRPr="007246E7">
          <w:rPr>
            <w:rStyle w:val="Hyperlink"/>
            <w:rtl/>
          </w:rPr>
          <w:t>חדושי הר"ן - מיוחס לו שבת ע"ג ע"ב ד"ה תנא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Toc163505743 \h</w:instrText>
        </w:r>
        <w:r>
          <w:rPr>
            <w:webHidden/>
            <w:rtl/>
          </w:rPr>
          <w:instrText xml:space="preserve"> </w:instrText>
        </w:r>
        <w:r>
          <w:rPr>
            <w:rStyle w:val="Hyperlink"/>
            <w:rtl/>
          </w:rPr>
        </w:r>
        <w:r>
          <w:rPr>
            <w:rStyle w:val="Hyperlink"/>
            <w:rtl/>
          </w:rPr>
          <w:fldChar w:fldCharType="separate"/>
        </w:r>
        <w:r w:rsidR="00D82181">
          <w:rPr>
            <w:webHidden/>
            <w:rtl/>
          </w:rPr>
          <w:t>79</w:t>
        </w:r>
        <w:r>
          <w:rPr>
            <w:rStyle w:val="Hyperlink"/>
            <w:rtl/>
          </w:rPr>
          <w:fldChar w:fldCharType="end"/>
        </w:r>
      </w:hyperlink>
    </w:p>
    <w:p w14:paraId="46B6B5E1" w14:textId="465F2C3D" w:rsidR="008009AA" w:rsidRDefault="008009AA">
      <w:pPr>
        <w:pStyle w:val="TOC7"/>
        <w:rPr>
          <w:rFonts w:cstheme="minorBidi"/>
          <w:sz w:val="22"/>
          <w:szCs w:val="22"/>
          <w:rtl/>
        </w:rPr>
      </w:pPr>
      <w:hyperlink w:anchor="_Toc163505744" w:history="1">
        <w:r w:rsidRPr="007246E7">
          <w:rPr>
            <w:rStyle w:val="Hyperlink"/>
            <w:rtl/>
          </w:rPr>
          <w:t>מאירי שבת ע"ג ע"א ד"ה א' הזורע</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Toc163505744 \h</w:instrText>
        </w:r>
        <w:r>
          <w:rPr>
            <w:webHidden/>
            <w:rtl/>
          </w:rPr>
          <w:instrText xml:space="preserve"> </w:instrText>
        </w:r>
        <w:r>
          <w:rPr>
            <w:rStyle w:val="Hyperlink"/>
            <w:rtl/>
          </w:rPr>
        </w:r>
        <w:r>
          <w:rPr>
            <w:rStyle w:val="Hyperlink"/>
            <w:rtl/>
          </w:rPr>
          <w:fldChar w:fldCharType="separate"/>
        </w:r>
        <w:r w:rsidR="00D82181">
          <w:rPr>
            <w:webHidden/>
            <w:rtl/>
          </w:rPr>
          <w:t>79</w:t>
        </w:r>
        <w:r>
          <w:rPr>
            <w:rStyle w:val="Hyperlink"/>
            <w:rtl/>
          </w:rPr>
          <w:fldChar w:fldCharType="end"/>
        </w:r>
      </w:hyperlink>
    </w:p>
    <w:p w14:paraId="6A6C5340" w14:textId="109CE506" w:rsidR="008009AA" w:rsidRDefault="008009AA">
      <w:pPr>
        <w:pStyle w:val="TOC7"/>
        <w:rPr>
          <w:rFonts w:cstheme="minorBidi"/>
          <w:sz w:val="22"/>
          <w:szCs w:val="22"/>
          <w:rtl/>
        </w:rPr>
      </w:pPr>
      <w:hyperlink w:anchor="_Toc163505745" w:history="1">
        <w:r w:rsidRPr="007246E7">
          <w:rPr>
            <w:rStyle w:val="Hyperlink"/>
            <w:rtl/>
          </w:rPr>
          <w:t>רמב"ם שבת פ"ז ה"ב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Toc163505745 \h</w:instrText>
        </w:r>
        <w:r>
          <w:rPr>
            <w:webHidden/>
            <w:rtl/>
          </w:rPr>
          <w:instrText xml:space="preserve"> </w:instrText>
        </w:r>
        <w:r>
          <w:rPr>
            <w:rStyle w:val="Hyperlink"/>
            <w:rtl/>
          </w:rPr>
        </w:r>
        <w:r>
          <w:rPr>
            <w:rStyle w:val="Hyperlink"/>
            <w:rtl/>
          </w:rPr>
          <w:fldChar w:fldCharType="separate"/>
        </w:r>
        <w:r w:rsidR="00D82181">
          <w:rPr>
            <w:webHidden/>
            <w:rtl/>
          </w:rPr>
          <w:t>79</w:t>
        </w:r>
        <w:r>
          <w:rPr>
            <w:rStyle w:val="Hyperlink"/>
            <w:rtl/>
          </w:rPr>
          <w:fldChar w:fldCharType="end"/>
        </w:r>
      </w:hyperlink>
    </w:p>
    <w:p w14:paraId="58C2A846" w14:textId="32185DA8" w:rsidR="008009AA" w:rsidRDefault="008009AA">
      <w:pPr>
        <w:pStyle w:val="TOC7"/>
        <w:rPr>
          <w:rFonts w:cstheme="minorBidi"/>
          <w:sz w:val="22"/>
          <w:szCs w:val="22"/>
          <w:rtl/>
        </w:rPr>
      </w:pPr>
      <w:hyperlink w:anchor="_Toc163505746" w:history="1">
        <w:r w:rsidRPr="007246E7">
          <w:rPr>
            <w:rStyle w:val="Hyperlink"/>
            <w:rtl/>
          </w:rPr>
          <w:t>רמב"ם שבת פ"ז ה"ג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Toc163505746 \h</w:instrText>
        </w:r>
        <w:r>
          <w:rPr>
            <w:webHidden/>
            <w:rtl/>
          </w:rPr>
          <w:instrText xml:space="preserve"> </w:instrText>
        </w:r>
        <w:r>
          <w:rPr>
            <w:rStyle w:val="Hyperlink"/>
            <w:rtl/>
          </w:rPr>
        </w:r>
        <w:r>
          <w:rPr>
            <w:rStyle w:val="Hyperlink"/>
            <w:rtl/>
          </w:rPr>
          <w:fldChar w:fldCharType="separate"/>
        </w:r>
        <w:r w:rsidR="00D82181">
          <w:rPr>
            <w:webHidden/>
            <w:rtl/>
          </w:rPr>
          <w:t>79</w:t>
        </w:r>
        <w:r>
          <w:rPr>
            <w:rStyle w:val="Hyperlink"/>
            <w:rtl/>
          </w:rPr>
          <w:fldChar w:fldCharType="end"/>
        </w:r>
      </w:hyperlink>
    </w:p>
    <w:p w14:paraId="3EBE6018" w14:textId="50FA37B3" w:rsidR="008009AA" w:rsidRDefault="008009AA">
      <w:pPr>
        <w:pStyle w:val="TOC7"/>
        <w:rPr>
          <w:rFonts w:cstheme="minorBidi"/>
          <w:sz w:val="22"/>
          <w:szCs w:val="22"/>
          <w:rtl/>
        </w:rPr>
      </w:pPr>
      <w:hyperlink w:anchor="_Toc163505747" w:history="1">
        <w:r w:rsidRPr="007246E7">
          <w:rPr>
            <w:rStyle w:val="Hyperlink"/>
            <w:rtl/>
          </w:rPr>
          <w:t>רמב"ם שבת פ"ז ה"ד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Toc163505747 \h</w:instrText>
        </w:r>
        <w:r>
          <w:rPr>
            <w:webHidden/>
            <w:rtl/>
          </w:rPr>
          <w:instrText xml:space="preserve"> </w:instrText>
        </w:r>
        <w:r>
          <w:rPr>
            <w:rStyle w:val="Hyperlink"/>
            <w:rtl/>
          </w:rPr>
        </w:r>
        <w:r>
          <w:rPr>
            <w:rStyle w:val="Hyperlink"/>
            <w:rtl/>
          </w:rPr>
          <w:fldChar w:fldCharType="separate"/>
        </w:r>
        <w:r w:rsidR="00D82181">
          <w:rPr>
            <w:webHidden/>
            <w:rtl/>
          </w:rPr>
          <w:t>79</w:t>
        </w:r>
        <w:r>
          <w:rPr>
            <w:rStyle w:val="Hyperlink"/>
            <w:rtl/>
          </w:rPr>
          <w:fldChar w:fldCharType="end"/>
        </w:r>
      </w:hyperlink>
    </w:p>
    <w:p w14:paraId="28794A51" w14:textId="37EA1663" w:rsidR="008009AA" w:rsidRDefault="008009AA">
      <w:pPr>
        <w:pStyle w:val="TOC7"/>
        <w:rPr>
          <w:rFonts w:cstheme="minorBidi"/>
          <w:sz w:val="22"/>
          <w:szCs w:val="22"/>
          <w:rtl/>
        </w:rPr>
      </w:pPr>
      <w:hyperlink w:anchor="_Toc163505748" w:history="1">
        <w:r w:rsidRPr="007246E7">
          <w:rPr>
            <w:rStyle w:val="Hyperlink"/>
            <w:rtl/>
          </w:rPr>
          <w:t>רמב"ם שבת פ"ח הי"א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Toc163505748 \h</w:instrText>
        </w:r>
        <w:r>
          <w:rPr>
            <w:webHidden/>
            <w:rtl/>
          </w:rPr>
          <w:instrText xml:space="preserve"> </w:instrText>
        </w:r>
        <w:r>
          <w:rPr>
            <w:rStyle w:val="Hyperlink"/>
            <w:rtl/>
          </w:rPr>
        </w:r>
        <w:r>
          <w:rPr>
            <w:rStyle w:val="Hyperlink"/>
            <w:rtl/>
          </w:rPr>
          <w:fldChar w:fldCharType="separate"/>
        </w:r>
        <w:r w:rsidR="00D82181">
          <w:rPr>
            <w:webHidden/>
            <w:rtl/>
          </w:rPr>
          <w:t>79</w:t>
        </w:r>
        <w:r>
          <w:rPr>
            <w:rStyle w:val="Hyperlink"/>
            <w:rtl/>
          </w:rPr>
          <w:fldChar w:fldCharType="end"/>
        </w:r>
      </w:hyperlink>
    </w:p>
    <w:p w14:paraId="5024D7D9" w14:textId="2F5AF642" w:rsidR="008009AA" w:rsidRDefault="008009AA">
      <w:pPr>
        <w:pStyle w:val="TOC7"/>
        <w:rPr>
          <w:rFonts w:cstheme="minorBidi"/>
          <w:sz w:val="22"/>
          <w:szCs w:val="22"/>
          <w:rtl/>
        </w:rPr>
      </w:pPr>
      <w:hyperlink w:anchor="_Toc163505749" w:history="1">
        <w:r w:rsidRPr="007246E7">
          <w:rPr>
            <w:rStyle w:val="Hyperlink"/>
            <w:rtl/>
          </w:rPr>
          <w:t>רבינו חננאל שבת ע"ד ע"א ד"ה נמצא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Toc163505749 \h</w:instrText>
        </w:r>
        <w:r>
          <w:rPr>
            <w:webHidden/>
            <w:rtl/>
          </w:rPr>
          <w:instrText xml:space="preserve"> </w:instrText>
        </w:r>
        <w:r>
          <w:rPr>
            <w:rStyle w:val="Hyperlink"/>
            <w:rtl/>
          </w:rPr>
        </w:r>
        <w:r>
          <w:rPr>
            <w:rStyle w:val="Hyperlink"/>
            <w:rtl/>
          </w:rPr>
          <w:fldChar w:fldCharType="separate"/>
        </w:r>
        <w:r w:rsidR="00D82181">
          <w:rPr>
            <w:webHidden/>
            <w:rtl/>
          </w:rPr>
          <w:t>79</w:t>
        </w:r>
        <w:r>
          <w:rPr>
            <w:rStyle w:val="Hyperlink"/>
            <w:rtl/>
          </w:rPr>
          <w:fldChar w:fldCharType="end"/>
        </w:r>
      </w:hyperlink>
    </w:p>
    <w:p w14:paraId="3079722E" w14:textId="2DAC2A78" w:rsidR="008009AA" w:rsidRDefault="008009AA">
      <w:pPr>
        <w:pStyle w:val="TOC7"/>
        <w:rPr>
          <w:rFonts w:cstheme="minorBidi"/>
          <w:sz w:val="22"/>
          <w:szCs w:val="22"/>
          <w:rtl/>
        </w:rPr>
      </w:pPr>
      <w:hyperlink w:anchor="_Toc163505750" w:history="1">
        <w:r w:rsidRPr="007246E7">
          <w:rPr>
            <w:rStyle w:val="Hyperlink"/>
            <w:rtl/>
          </w:rPr>
          <w:t>הערוך ערך זר ב' נד' בסוגיין</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Toc163505750 \h</w:instrText>
        </w:r>
        <w:r>
          <w:rPr>
            <w:webHidden/>
            <w:rtl/>
          </w:rPr>
          <w:instrText xml:space="preserve"> </w:instrText>
        </w:r>
        <w:r>
          <w:rPr>
            <w:rStyle w:val="Hyperlink"/>
            <w:rtl/>
          </w:rPr>
        </w:r>
        <w:r>
          <w:rPr>
            <w:rStyle w:val="Hyperlink"/>
            <w:rtl/>
          </w:rPr>
          <w:fldChar w:fldCharType="separate"/>
        </w:r>
        <w:r w:rsidR="00D82181">
          <w:rPr>
            <w:webHidden/>
            <w:rtl/>
          </w:rPr>
          <w:t>79</w:t>
        </w:r>
        <w:r>
          <w:rPr>
            <w:rStyle w:val="Hyperlink"/>
            <w:rtl/>
          </w:rPr>
          <w:fldChar w:fldCharType="end"/>
        </w:r>
      </w:hyperlink>
    </w:p>
    <w:p w14:paraId="3E1E1A17" w14:textId="52A2B716" w:rsidR="008009AA" w:rsidRDefault="008009AA">
      <w:pPr>
        <w:pStyle w:val="TOC7"/>
        <w:rPr>
          <w:rFonts w:cstheme="minorBidi"/>
          <w:sz w:val="22"/>
          <w:szCs w:val="22"/>
          <w:rtl/>
        </w:rPr>
      </w:pPr>
      <w:hyperlink w:anchor="_Toc163505751" w:history="1">
        <w:r w:rsidRPr="007246E7">
          <w:rPr>
            <w:rStyle w:val="Hyperlink"/>
            <w:rtl/>
          </w:rPr>
          <w:t>ר"ן על הרי"ף שבת ל"א ע"ב ד"ה הזורה, הבורר, המרקד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Toc163505751 \h</w:instrText>
        </w:r>
        <w:r>
          <w:rPr>
            <w:webHidden/>
            <w:rtl/>
          </w:rPr>
          <w:instrText xml:space="preserve"> </w:instrText>
        </w:r>
        <w:r>
          <w:rPr>
            <w:rStyle w:val="Hyperlink"/>
            <w:rtl/>
          </w:rPr>
        </w:r>
        <w:r>
          <w:rPr>
            <w:rStyle w:val="Hyperlink"/>
            <w:rtl/>
          </w:rPr>
          <w:fldChar w:fldCharType="separate"/>
        </w:r>
        <w:r w:rsidR="00D82181">
          <w:rPr>
            <w:webHidden/>
            <w:rtl/>
          </w:rPr>
          <w:t>79</w:t>
        </w:r>
        <w:r>
          <w:rPr>
            <w:rStyle w:val="Hyperlink"/>
            <w:rtl/>
          </w:rPr>
          <w:fldChar w:fldCharType="end"/>
        </w:r>
      </w:hyperlink>
    </w:p>
    <w:p w14:paraId="23DBB3DB" w14:textId="630E49E9" w:rsidR="008009AA" w:rsidRDefault="008009AA">
      <w:pPr>
        <w:pStyle w:val="TOC7"/>
        <w:rPr>
          <w:rFonts w:cstheme="minorBidi"/>
          <w:sz w:val="22"/>
          <w:szCs w:val="22"/>
          <w:rtl/>
        </w:rPr>
      </w:pPr>
      <w:hyperlink w:anchor="_Toc163505752" w:history="1">
        <w:r w:rsidRPr="007246E7">
          <w:rPr>
            <w:rStyle w:val="Hyperlink"/>
            <w:rtl/>
          </w:rPr>
          <w:t>שביתת השבת פתיחה למלאכת זורה בורר ומרקד אות 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Toc163505752 \h</w:instrText>
        </w:r>
        <w:r>
          <w:rPr>
            <w:webHidden/>
            <w:rtl/>
          </w:rPr>
          <w:instrText xml:space="preserve"> </w:instrText>
        </w:r>
        <w:r>
          <w:rPr>
            <w:rStyle w:val="Hyperlink"/>
            <w:rtl/>
          </w:rPr>
        </w:r>
        <w:r>
          <w:rPr>
            <w:rStyle w:val="Hyperlink"/>
            <w:rtl/>
          </w:rPr>
          <w:fldChar w:fldCharType="separate"/>
        </w:r>
        <w:r w:rsidR="00D82181">
          <w:rPr>
            <w:webHidden/>
            <w:rtl/>
          </w:rPr>
          <w:t>79</w:t>
        </w:r>
        <w:r>
          <w:rPr>
            <w:rStyle w:val="Hyperlink"/>
            <w:rtl/>
          </w:rPr>
          <w:fldChar w:fldCharType="end"/>
        </w:r>
      </w:hyperlink>
    </w:p>
    <w:p w14:paraId="3E8FA7AF" w14:textId="5C3225C5" w:rsidR="008009AA" w:rsidRDefault="008009AA">
      <w:pPr>
        <w:pStyle w:val="TOC7"/>
        <w:rPr>
          <w:rFonts w:cstheme="minorBidi"/>
          <w:sz w:val="22"/>
          <w:szCs w:val="22"/>
          <w:rtl/>
        </w:rPr>
      </w:pPr>
      <w:hyperlink w:anchor="_Toc163505753" w:history="1">
        <w:r w:rsidRPr="007246E7">
          <w:rPr>
            <w:rStyle w:val="Hyperlink"/>
            <w:rtl/>
          </w:rPr>
          <w:t>מגן אבות הזורה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Toc163505753 \h</w:instrText>
        </w:r>
        <w:r>
          <w:rPr>
            <w:webHidden/>
            <w:rtl/>
          </w:rPr>
          <w:instrText xml:space="preserve"> </w:instrText>
        </w:r>
        <w:r>
          <w:rPr>
            <w:rStyle w:val="Hyperlink"/>
            <w:rtl/>
          </w:rPr>
        </w:r>
        <w:r>
          <w:rPr>
            <w:rStyle w:val="Hyperlink"/>
            <w:rtl/>
          </w:rPr>
          <w:fldChar w:fldCharType="separate"/>
        </w:r>
        <w:r w:rsidR="00D82181">
          <w:rPr>
            <w:webHidden/>
            <w:rtl/>
          </w:rPr>
          <w:t>80</w:t>
        </w:r>
        <w:r>
          <w:rPr>
            <w:rStyle w:val="Hyperlink"/>
            <w:rtl/>
          </w:rPr>
          <w:fldChar w:fldCharType="end"/>
        </w:r>
      </w:hyperlink>
    </w:p>
    <w:p w14:paraId="2820B739" w14:textId="478FF459" w:rsidR="008009AA" w:rsidRDefault="008009AA">
      <w:pPr>
        <w:pStyle w:val="TOC7"/>
        <w:rPr>
          <w:rFonts w:cstheme="minorBidi"/>
          <w:sz w:val="22"/>
          <w:szCs w:val="22"/>
          <w:rtl/>
        </w:rPr>
      </w:pPr>
      <w:hyperlink w:anchor="_Toc163505754" w:history="1">
        <w:r w:rsidRPr="007246E7">
          <w:rPr>
            <w:rStyle w:val="Hyperlink"/>
            <w:rtl/>
          </w:rPr>
          <w:t>אגלי טל זורה סק"ג אות א', ב', 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Toc163505754 \h</w:instrText>
        </w:r>
        <w:r>
          <w:rPr>
            <w:webHidden/>
            <w:rtl/>
          </w:rPr>
          <w:instrText xml:space="preserve"> </w:instrText>
        </w:r>
        <w:r>
          <w:rPr>
            <w:rStyle w:val="Hyperlink"/>
            <w:rtl/>
          </w:rPr>
        </w:r>
        <w:r>
          <w:rPr>
            <w:rStyle w:val="Hyperlink"/>
            <w:rtl/>
          </w:rPr>
          <w:fldChar w:fldCharType="separate"/>
        </w:r>
        <w:r w:rsidR="00D82181">
          <w:rPr>
            <w:webHidden/>
            <w:rtl/>
          </w:rPr>
          <w:t>80</w:t>
        </w:r>
        <w:r>
          <w:rPr>
            <w:rStyle w:val="Hyperlink"/>
            <w:rtl/>
          </w:rPr>
          <w:fldChar w:fldCharType="end"/>
        </w:r>
      </w:hyperlink>
    </w:p>
    <w:p w14:paraId="0A21C699" w14:textId="5C3D127F" w:rsidR="008009AA" w:rsidRDefault="008009AA">
      <w:pPr>
        <w:pStyle w:val="TOC7"/>
        <w:rPr>
          <w:rFonts w:cstheme="minorBidi"/>
          <w:sz w:val="22"/>
          <w:szCs w:val="22"/>
          <w:rtl/>
        </w:rPr>
      </w:pPr>
      <w:hyperlink w:anchor="_Toc163505755" w:history="1">
        <w:r w:rsidRPr="007246E7">
          <w:rPr>
            <w:rStyle w:val="Hyperlink"/>
            <w:rtl/>
          </w:rPr>
          <w:t>רש"י שבת קל"ח ע"א ד"ה דנוטל</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Toc163505755 \h</w:instrText>
        </w:r>
        <w:r>
          <w:rPr>
            <w:webHidden/>
            <w:rtl/>
          </w:rPr>
          <w:instrText xml:space="preserve"> </w:instrText>
        </w:r>
        <w:r>
          <w:rPr>
            <w:rStyle w:val="Hyperlink"/>
            <w:rtl/>
          </w:rPr>
        </w:r>
        <w:r>
          <w:rPr>
            <w:rStyle w:val="Hyperlink"/>
            <w:rtl/>
          </w:rPr>
          <w:fldChar w:fldCharType="separate"/>
        </w:r>
        <w:r w:rsidR="00D82181">
          <w:rPr>
            <w:webHidden/>
            <w:rtl/>
          </w:rPr>
          <w:t>80</w:t>
        </w:r>
        <w:r>
          <w:rPr>
            <w:rStyle w:val="Hyperlink"/>
            <w:rtl/>
          </w:rPr>
          <w:fldChar w:fldCharType="end"/>
        </w:r>
      </w:hyperlink>
    </w:p>
    <w:p w14:paraId="4CCC9A99" w14:textId="23E28B0B" w:rsidR="008009AA" w:rsidRDefault="008009AA">
      <w:pPr>
        <w:pStyle w:val="TOC7"/>
        <w:rPr>
          <w:rFonts w:cstheme="minorBidi"/>
          <w:sz w:val="22"/>
          <w:szCs w:val="22"/>
          <w:rtl/>
        </w:rPr>
      </w:pPr>
      <w:hyperlink w:anchor="_Toc163505756" w:history="1">
        <w:r w:rsidRPr="007246E7">
          <w:rPr>
            <w:rStyle w:val="Hyperlink"/>
            <w:rtl/>
          </w:rPr>
          <w:t>אגלי טל זורה סק"ג אות 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Toc163505756 \h</w:instrText>
        </w:r>
        <w:r>
          <w:rPr>
            <w:webHidden/>
            <w:rtl/>
          </w:rPr>
          <w:instrText xml:space="preserve"> </w:instrText>
        </w:r>
        <w:r>
          <w:rPr>
            <w:rStyle w:val="Hyperlink"/>
            <w:rtl/>
          </w:rPr>
        </w:r>
        <w:r>
          <w:rPr>
            <w:rStyle w:val="Hyperlink"/>
            <w:rtl/>
          </w:rPr>
          <w:fldChar w:fldCharType="separate"/>
        </w:r>
        <w:r w:rsidR="00D82181">
          <w:rPr>
            <w:webHidden/>
            <w:rtl/>
          </w:rPr>
          <w:t>80</w:t>
        </w:r>
        <w:r>
          <w:rPr>
            <w:rStyle w:val="Hyperlink"/>
            <w:rtl/>
          </w:rPr>
          <w:fldChar w:fldCharType="end"/>
        </w:r>
      </w:hyperlink>
    </w:p>
    <w:p w14:paraId="6053B034" w14:textId="35149418" w:rsidR="008009AA" w:rsidRDefault="008009AA">
      <w:pPr>
        <w:pStyle w:val="TOC7"/>
        <w:rPr>
          <w:rFonts w:cstheme="minorBidi"/>
          <w:sz w:val="22"/>
          <w:szCs w:val="22"/>
          <w:rtl/>
        </w:rPr>
      </w:pPr>
      <w:hyperlink w:anchor="_Toc163505757" w:history="1">
        <w:r w:rsidRPr="007246E7">
          <w:rPr>
            <w:rStyle w:val="Hyperlink"/>
            <w:rtl/>
          </w:rPr>
          <w:t>אגלי טל זורה סק"ג אות 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Toc163505757 \h</w:instrText>
        </w:r>
        <w:r>
          <w:rPr>
            <w:webHidden/>
            <w:rtl/>
          </w:rPr>
          <w:instrText xml:space="preserve"> </w:instrText>
        </w:r>
        <w:r>
          <w:rPr>
            <w:rStyle w:val="Hyperlink"/>
            <w:rtl/>
          </w:rPr>
        </w:r>
        <w:r>
          <w:rPr>
            <w:rStyle w:val="Hyperlink"/>
            <w:rtl/>
          </w:rPr>
          <w:fldChar w:fldCharType="separate"/>
        </w:r>
        <w:r w:rsidR="00D82181">
          <w:rPr>
            <w:webHidden/>
            <w:rtl/>
          </w:rPr>
          <w:t>80</w:t>
        </w:r>
        <w:r>
          <w:rPr>
            <w:rStyle w:val="Hyperlink"/>
            <w:rtl/>
          </w:rPr>
          <w:fldChar w:fldCharType="end"/>
        </w:r>
      </w:hyperlink>
    </w:p>
    <w:p w14:paraId="059BA5D1" w14:textId="283802DE" w:rsidR="008009AA" w:rsidRDefault="008009AA">
      <w:pPr>
        <w:pStyle w:val="TOC7"/>
        <w:rPr>
          <w:rFonts w:cstheme="minorBidi"/>
          <w:sz w:val="22"/>
          <w:szCs w:val="22"/>
          <w:rtl/>
        </w:rPr>
      </w:pPr>
      <w:hyperlink w:anchor="_Toc163505758" w:history="1">
        <w:r w:rsidRPr="007246E7">
          <w:rPr>
            <w:rStyle w:val="Hyperlink"/>
            <w:rtl/>
          </w:rPr>
          <w:t>חדושי הרמב"ן שבת ע"ד ע"א ד"ה ואיכא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Toc163505758 \h</w:instrText>
        </w:r>
        <w:r>
          <w:rPr>
            <w:webHidden/>
            <w:rtl/>
          </w:rPr>
          <w:instrText xml:space="preserve"> </w:instrText>
        </w:r>
        <w:r>
          <w:rPr>
            <w:rStyle w:val="Hyperlink"/>
            <w:rtl/>
          </w:rPr>
        </w:r>
        <w:r>
          <w:rPr>
            <w:rStyle w:val="Hyperlink"/>
            <w:rtl/>
          </w:rPr>
          <w:fldChar w:fldCharType="separate"/>
        </w:r>
        <w:r w:rsidR="00D82181">
          <w:rPr>
            <w:webHidden/>
            <w:rtl/>
          </w:rPr>
          <w:t>80</w:t>
        </w:r>
        <w:r>
          <w:rPr>
            <w:rStyle w:val="Hyperlink"/>
            <w:rtl/>
          </w:rPr>
          <w:fldChar w:fldCharType="end"/>
        </w:r>
      </w:hyperlink>
    </w:p>
    <w:p w14:paraId="3F34FE1F" w14:textId="3E6089BD" w:rsidR="008009AA" w:rsidRDefault="008009AA">
      <w:pPr>
        <w:pStyle w:val="TOC7"/>
        <w:rPr>
          <w:rFonts w:cstheme="minorBidi"/>
          <w:sz w:val="22"/>
          <w:szCs w:val="22"/>
          <w:rtl/>
        </w:rPr>
      </w:pPr>
      <w:hyperlink w:anchor="_Toc163505759" w:history="1">
        <w:r w:rsidRPr="007246E7">
          <w:rPr>
            <w:rStyle w:val="Hyperlink"/>
            <w:rtl/>
          </w:rPr>
          <w:t>שביתת השבת פתיחה למלאכת זורה בורר ומרקד אות ז',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Toc163505759 \h</w:instrText>
        </w:r>
        <w:r>
          <w:rPr>
            <w:webHidden/>
            <w:rtl/>
          </w:rPr>
          <w:instrText xml:space="preserve"> </w:instrText>
        </w:r>
        <w:r>
          <w:rPr>
            <w:rStyle w:val="Hyperlink"/>
            <w:rtl/>
          </w:rPr>
        </w:r>
        <w:r>
          <w:rPr>
            <w:rStyle w:val="Hyperlink"/>
            <w:rtl/>
          </w:rPr>
          <w:fldChar w:fldCharType="separate"/>
        </w:r>
        <w:r w:rsidR="00D82181">
          <w:rPr>
            <w:webHidden/>
            <w:rtl/>
          </w:rPr>
          <w:t>80</w:t>
        </w:r>
        <w:r>
          <w:rPr>
            <w:rStyle w:val="Hyperlink"/>
            <w:rtl/>
          </w:rPr>
          <w:fldChar w:fldCharType="end"/>
        </w:r>
      </w:hyperlink>
    </w:p>
    <w:p w14:paraId="6F05B1C4" w14:textId="0AB8D6BF" w:rsidR="008009AA" w:rsidRDefault="008009AA">
      <w:pPr>
        <w:pStyle w:val="TOC7"/>
        <w:rPr>
          <w:rFonts w:cstheme="minorBidi"/>
          <w:sz w:val="22"/>
          <w:szCs w:val="22"/>
          <w:rtl/>
        </w:rPr>
      </w:pPr>
      <w:hyperlink w:anchor="_Toc163505760" w:history="1">
        <w:r w:rsidRPr="007246E7">
          <w:rPr>
            <w:rStyle w:val="Hyperlink"/>
            <w:rtl/>
          </w:rPr>
          <w:t>אגלי טל חורש סק"ז אות 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Toc163505760 \h</w:instrText>
        </w:r>
        <w:r>
          <w:rPr>
            <w:webHidden/>
            <w:rtl/>
          </w:rPr>
          <w:instrText xml:space="preserve"> </w:instrText>
        </w:r>
        <w:r>
          <w:rPr>
            <w:rStyle w:val="Hyperlink"/>
            <w:rtl/>
          </w:rPr>
        </w:r>
        <w:r>
          <w:rPr>
            <w:rStyle w:val="Hyperlink"/>
            <w:rtl/>
          </w:rPr>
          <w:fldChar w:fldCharType="separate"/>
        </w:r>
        <w:r w:rsidR="00D82181">
          <w:rPr>
            <w:webHidden/>
            <w:rtl/>
          </w:rPr>
          <w:t>80</w:t>
        </w:r>
        <w:r>
          <w:rPr>
            <w:rStyle w:val="Hyperlink"/>
            <w:rtl/>
          </w:rPr>
          <w:fldChar w:fldCharType="end"/>
        </w:r>
      </w:hyperlink>
    </w:p>
    <w:p w14:paraId="4881A97C" w14:textId="261EC419" w:rsidR="008009AA" w:rsidRDefault="008009AA">
      <w:pPr>
        <w:pStyle w:val="TOC7"/>
        <w:rPr>
          <w:rFonts w:cstheme="minorBidi"/>
          <w:sz w:val="22"/>
          <w:szCs w:val="22"/>
          <w:rtl/>
        </w:rPr>
      </w:pPr>
      <w:hyperlink w:anchor="_Toc163505761" w:history="1">
        <w:r w:rsidRPr="007246E7">
          <w:rPr>
            <w:rStyle w:val="Hyperlink"/>
            <w:rtl/>
          </w:rPr>
          <w:t>קהלות יעקב סי' מ"ט</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Toc163505761 \h</w:instrText>
        </w:r>
        <w:r>
          <w:rPr>
            <w:webHidden/>
            <w:rtl/>
          </w:rPr>
          <w:instrText xml:space="preserve"> </w:instrText>
        </w:r>
        <w:r>
          <w:rPr>
            <w:rStyle w:val="Hyperlink"/>
            <w:rtl/>
          </w:rPr>
        </w:r>
        <w:r>
          <w:rPr>
            <w:rStyle w:val="Hyperlink"/>
            <w:rtl/>
          </w:rPr>
          <w:fldChar w:fldCharType="separate"/>
        </w:r>
        <w:r w:rsidR="00D82181">
          <w:rPr>
            <w:webHidden/>
            <w:rtl/>
          </w:rPr>
          <w:t>81</w:t>
        </w:r>
        <w:r>
          <w:rPr>
            <w:rStyle w:val="Hyperlink"/>
            <w:rtl/>
          </w:rPr>
          <w:fldChar w:fldCharType="end"/>
        </w:r>
      </w:hyperlink>
    </w:p>
    <w:p w14:paraId="314FC87F" w14:textId="445BF12B" w:rsidR="008009AA" w:rsidRDefault="008009AA">
      <w:pPr>
        <w:pStyle w:val="TOC7"/>
        <w:rPr>
          <w:rFonts w:cstheme="minorBidi"/>
          <w:sz w:val="22"/>
          <w:szCs w:val="22"/>
          <w:rtl/>
        </w:rPr>
      </w:pPr>
      <w:hyperlink w:anchor="_Toc163505762" w:history="1">
        <w:r w:rsidRPr="007246E7">
          <w:rPr>
            <w:rStyle w:val="Hyperlink"/>
            <w:rtl/>
          </w:rPr>
          <w:t>קהלות יעקב כתובות סי' ג' אות ב' ד"ה ואיכא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Toc163505762 \h</w:instrText>
        </w:r>
        <w:r>
          <w:rPr>
            <w:webHidden/>
            <w:rtl/>
          </w:rPr>
          <w:instrText xml:space="preserve"> </w:instrText>
        </w:r>
        <w:r>
          <w:rPr>
            <w:rStyle w:val="Hyperlink"/>
            <w:rtl/>
          </w:rPr>
        </w:r>
        <w:r>
          <w:rPr>
            <w:rStyle w:val="Hyperlink"/>
            <w:rtl/>
          </w:rPr>
          <w:fldChar w:fldCharType="separate"/>
        </w:r>
        <w:r w:rsidR="00D82181">
          <w:rPr>
            <w:webHidden/>
            <w:rtl/>
          </w:rPr>
          <w:t>81</w:t>
        </w:r>
        <w:r>
          <w:rPr>
            <w:rStyle w:val="Hyperlink"/>
            <w:rtl/>
          </w:rPr>
          <w:fldChar w:fldCharType="end"/>
        </w:r>
      </w:hyperlink>
    </w:p>
    <w:p w14:paraId="5CCB90CB" w14:textId="2C6B2101" w:rsidR="008009AA" w:rsidRDefault="008009AA">
      <w:pPr>
        <w:pStyle w:val="TOC7"/>
        <w:rPr>
          <w:rFonts w:cstheme="minorBidi"/>
          <w:sz w:val="22"/>
          <w:szCs w:val="22"/>
          <w:rtl/>
        </w:rPr>
      </w:pPr>
      <w:hyperlink w:anchor="_Toc163505763" w:history="1">
        <w:r w:rsidRPr="007246E7">
          <w:rPr>
            <w:rStyle w:val="Hyperlink"/>
            <w:rtl/>
          </w:rPr>
          <w:t>אבי עזרי שבת פ"ח הי"א ד"ה ואשר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Toc163505763 \h</w:instrText>
        </w:r>
        <w:r>
          <w:rPr>
            <w:webHidden/>
            <w:rtl/>
          </w:rPr>
          <w:instrText xml:space="preserve"> </w:instrText>
        </w:r>
        <w:r>
          <w:rPr>
            <w:rStyle w:val="Hyperlink"/>
            <w:rtl/>
          </w:rPr>
        </w:r>
        <w:r>
          <w:rPr>
            <w:rStyle w:val="Hyperlink"/>
            <w:rtl/>
          </w:rPr>
          <w:fldChar w:fldCharType="separate"/>
        </w:r>
        <w:r w:rsidR="00D82181">
          <w:rPr>
            <w:webHidden/>
            <w:rtl/>
          </w:rPr>
          <w:t>81</w:t>
        </w:r>
        <w:r>
          <w:rPr>
            <w:rStyle w:val="Hyperlink"/>
            <w:rtl/>
          </w:rPr>
          <w:fldChar w:fldCharType="end"/>
        </w:r>
      </w:hyperlink>
    </w:p>
    <w:p w14:paraId="087EA1BA" w14:textId="700BAACE" w:rsidR="008009AA" w:rsidRDefault="008009AA">
      <w:pPr>
        <w:pStyle w:val="TOC7"/>
        <w:rPr>
          <w:rFonts w:cstheme="minorBidi"/>
          <w:sz w:val="22"/>
          <w:szCs w:val="22"/>
          <w:rtl/>
        </w:rPr>
      </w:pPr>
      <w:hyperlink w:anchor="_Toc163505764" w:history="1">
        <w:r w:rsidRPr="007246E7">
          <w:rPr>
            <w:rStyle w:val="Hyperlink"/>
            <w:rtl/>
          </w:rPr>
          <w:t>אבי עזרי שבת פ"ח הי"א ד"ה ומעתה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Toc163505764 \h</w:instrText>
        </w:r>
        <w:r>
          <w:rPr>
            <w:webHidden/>
            <w:rtl/>
          </w:rPr>
          <w:instrText xml:space="preserve"> </w:instrText>
        </w:r>
        <w:r>
          <w:rPr>
            <w:rStyle w:val="Hyperlink"/>
            <w:rtl/>
          </w:rPr>
        </w:r>
        <w:r>
          <w:rPr>
            <w:rStyle w:val="Hyperlink"/>
            <w:rtl/>
          </w:rPr>
          <w:fldChar w:fldCharType="separate"/>
        </w:r>
        <w:r w:rsidR="00D82181">
          <w:rPr>
            <w:webHidden/>
            <w:rtl/>
          </w:rPr>
          <w:t>81</w:t>
        </w:r>
        <w:r>
          <w:rPr>
            <w:rStyle w:val="Hyperlink"/>
            <w:rtl/>
          </w:rPr>
          <w:fldChar w:fldCharType="end"/>
        </w:r>
      </w:hyperlink>
    </w:p>
    <w:p w14:paraId="7D0F1836" w14:textId="6855934B" w:rsidR="008009AA" w:rsidRDefault="008009AA">
      <w:pPr>
        <w:pStyle w:val="TOC7"/>
        <w:rPr>
          <w:rFonts w:cstheme="minorBidi"/>
          <w:sz w:val="22"/>
          <w:szCs w:val="22"/>
          <w:rtl/>
        </w:rPr>
      </w:pPr>
      <w:hyperlink w:anchor="_Toc163505765" w:history="1">
        <w:r w:rsidRPr="007246E7">
          <w:rPr>
            <w:rStyle w:val="Hyperlink"/>
            <w:rtl/>
          </w:rPr>
          <w:t>שביתת השבת זורה אות ט"ו ד"ה האחרונים</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Toc163505765 \h</w:instrText>
        </w:r>
        <w:r>
          <w:rPr>
            <w:webHidden/>
            <w:rtl/>
          </w:rPr>
          <w:instrText xml:space="preserve"> </w:instrText>
        </w:r>
        <w:r>
          <w:rPr>
            <w:rStyle w:val="Hyperlink"/>
            <w:rtl/>
          </w:rPr>
        </w:r>
        <w:r>
          <w:rPr>
            <w:rStyle w:val="Hyperlink"/>
            <w:rtl/>
          </w:rPr>
          <w:fldChar w:fldCharType="separate"/>
        </w:r>
        <w:r w:rsidR="00D82181">
          <w:rPr>
            <w:webHidden/>
            <w:rtl/>
          </w:rPr>
          <w:t>81</w:t>
        </w:r>
        <w:r>
          <w:rPr>
            <w:rStyle w:val="Hyperlink"/>
            <w:rtl/>
          </w:rPr>
          <w:fldChar w:fldCharType="end"/>
        </w:r>
      </w:hyperlink>
    </w:p>
    <w:p w14:paraId="4720BFEF" w14:textId="4D64B2FB" w:rsidR="008009AA" w:rsidRDefault="008009AA">
      <w:pPr>
        <w:pStyle w:val="TOC7"/>
        <w:rPr>
          <w:rFonts w:cstheme="minorBidi"/>
          <w:sz w:val="22"/>
          <w:szCs w:val="22"/>
          <w:rtl/>
        </w:rPr>
      </w:pPr>
      <w:hyperlink w:anchor="_Toc163505766" w:history="1">
        <w:r w:rsidRPr="007246E7">
          <w:rPr>
            <w:rStyle w:val="Hyperlink"/>
            <w:rtl/>
          </w:rPr>
          <w:t>אבי עזרי שבת פ"ח הי"א ד"ה והנה הגרעק"א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Toc163505766 \h</w:instrText>
        </w:r>
        <w:r>
          <w:rPr>
            <w:webHidden/>
            <w:rtl/>
          </w:rPr>
          <w:instrText xml:space="preserve"> </w:instrText>
        </w:r>
        <w:r>
          <w:rPr>
            <w:rStyle w:val="Hyperlink"/>
            <w:rtl/>
          </w:rPr>
        </w:r>
        <w:r>
          <w:rPr>
            <w:rStyle w:val="Hyperlink"/>
            <w:rtl/>
          </w:rPr>
          <w:fldChar w:fldCharType="separate"/>
        </w:r>
        <w:r w:rsidR="00D82181">
          <w:rPr>
            <w:webHidden/>
            <w:rtl/>
          </w:rPr>
          <w:t>82</w:t>
        </w:r>
        <w:r>
          <w:rPr>
            <w:rStyle w:val="Hyperlink"/>
            <w:rtl/>
          </w:rPr>
          <w:fldChar w:fldCharType="end"/>
        </w:r>
      </w:hyperlink>
    </w:p>
    <w:p w14:paraId="4E701874" w14:textId="64474C2F" w:rsidR="008009AA" w:rsidRDefault="008009AA">
      <w:pPr>
        <w:pStyle w:val="TOC7"/>
        <w:rPr>
          <w:rFonts w:cstheme="minorBidi"/>
          <w:sz w:val="22"/>
          <w:szCs w:val="22"/>
          <w:rtl/>
        </w:rPr>
      </w:pPr>
      <w:hyperlink w:anchor="_Toc163505767" w:history="1">
        <w:r w:rsidRPr="007246E7">
          <w:rPr>
            <w:rStyle w:val="Hyperlink"/>
            <w:rtl/>
          </w:rPr>
          <w:t>רש"י רש"י שבת ע"ד ע"א ד"ה היו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Toc163505767 \h</w:instrText>
        </w:r>
        <w:r>
          <w:rPr>
            <w:webHidden/>
            <w:rtl/>
          </w:rPr>
          <w:instrText xml:space="preserve"> </w:instrText>
        </w:r>
        <w:r>
          <w:rPr>
            <w:rStyle w:val="Hyperlink"/>
            <w:rtl/>
          </w:rPr>
        </w:r>
        <w:r>
          <w:rPr>
            <w:rStyle w:val="Hyperlink"/>
            <w:rtl/>
          </w:rPr>
          <w:fldChar w:fldCharType="separate"/>
        </w:r>
        <w:r w:rsidR="00D82181">
          <w:rPr>
            <w:webHidden/>
            <w:rtl/>
          </w:rPr>
          <w:t>84</w:t>
        </w:r>
        <w:r>
          <w:rPr>
            <w:rStyle w:val="Hyperlink"/>
            <w:rtl/>
          </w:rPr>
          <w:fldChar w:fldCharType="end"/>
        </w:r>
      </w:hyperlink>
    </w:p>
    <w:p w14:paraId="3D66F1CF" w14:textId="7CE48E4D" w:rsidR="008009AA" w:rsidRDefault="008009AA">
      <w:pPr>
        <w:pStyle w:val="TOC7"/>
        <w:rPr>
          <w:rFonts w:cstheme="minorBidi"/>
          <w:sz w:val="22"/>
          <w:szCs w:val="22"/>
          <w:rtl/>
        </w:rPr>
      </w:pPr>
      <w:hyperlink w:anchor="_Toc163505768" w:history="1">
        <w:r w:rsidRPr="007246E7">
          <w:rPr>
            <w:rStyle w:val="Hyperlink"/>
            <w:rtl/>
          </w:rPr>
          <w:t>ר"ן על הרי"ף שבת ל"ב ע"א ד"ה היו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Toc163505768 \h</w:instrText>
        </w:r>
        <w:r>
          <w:rPr>
            <w:webHidden/>
            <w:rtl/>
          </w:rPr>
          <w:instrText xml:space="preserve"> </w:instrText>
        </w:r>
        <w:r>
          <w:rPr>
            <w:rStyle w:val="Hyperlink"/>
            <w:rtl/>
          </w:rPr>
        </w:r>
        <w:r>
          <w:rPr>
            <w:rStyle w:val="Hyperlink"/>
            <w:rtl/>
          </w:rPr>
          <w:fldChar w:fldCharType="separate"/>
        </w:r>
        <w:r w:rsidR="00D82181">
          <w:rPr>
            <w:webHidden/>
            <w:rtl/>
          </w:rPr>
          <w:t>84</w:t>
        </w:r>
        <w:r>
          <w:rPr>
            <w:rStyle w:val="Hyperlink"/>
            <w:rtl/>
          </w:rPr>
          <w:fldChar w:fldCharType="end"/>
        </w:r>
      </w:hyperlink>
    </w:p>
    <w:p w14:paraId="3157599B" w14:textId="52C97271" w:rsidR="008009AA" w:rsidRDefault="008009AA">
      <w:pPr>
        <w:pStyle w:val="TOC7"/>
        <w:rPr>
          <w:rFonts w:cstheme="minorBidi"/>
          <w:sz w:val="22"/>
          <w:szCs w:val="22"/>
          <w:rtl/>
        </w:rPr>
      </w:pPr>
      <w:hyperlink w:anchor="_Toc163505769" w:history="1">
        <w:r w:rsidRPr="007246E7">
          <w:rPr>
            <w:rStyle w:val="Hyperlink"/>
            <w:rtl/>
          </w:rPr>
          <w:t>פסקי רי"ד שבת עד ע"א ד"ה ת"ר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Toc163505769 \h</w:instrText>
        </w:r>
        <w:r>
          <w:rPr>
            <w:webHidden/>
            <w:rtl/>
          </w:rPr>
          <w:instrText xml:space="preserve"> </w:instrText>
        </w:r>
        <w:r>
          <w:rPr>
            <w:rStyle w:val="Hyperlink"/>
            <w:rtl/>
          </w:rPr>
        </w:r>
        <w:r>
          <w:rPr>
            <w:rStyle w:val="Hyperlink"/>
            <w:rtl/>
          </w:rPr>
          <w:fldChar w:fldCharType="separate"/>
        </w:r>
        <w:r w:rsidR="00D82181">
          <w:rPr>
            <w:webHidden/>
            <w:rtl/>
          </w:rPr>
          <w:t>84</w:t>
        </w:r>
        <w:r>
          <w:rPr>
            <w:rStyle w:val="Hyperlink"/>
            <w:rtl/>
          </w:rPr>
          <w:fldChar w:fldCharType="end"/>
        </w:r>
      </w:hyperlink>
    </w:p>
    <w:p w14:paraId="7F156D1E" w14:textId="26F9D287" w:rsidR="008009AA" w:rsidRDefault="008009AA">
      <w:pPr>
        <w:pStyle w:val="TOC7"/>
        <w:rPr>
          <w:rFonts w:cstheme="minorBidi"/>
          <w:sz w:val="22"/>
          <w:szCs w:val="22"/>
          <w:rtl/>
        </w:rPr>
      </w:pPr>
      <w:hyperlink w:anchor="_Toc163505770" w:history="1">
        <w:r w:rsidRPr="007246E7">
          <w:rPr>
            <w:rStyle w:val="Hyperlink"/>
            <w:rtl/>
          </w:rPr>
          <w:t>אור זרוע ח"ב שבת סי' נט ד"ה ת"ר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Toc163505770 \h</w:instrText>
        </w:r>
        <w:r>
          <w:rPr>
            <w:webHidden/>
            <w:rtl/>
          </w:rPr>
          <w:instrText xml:space="preserve"> </w:instrText>
        </w:r>
        <w:r>
          <w:rPr>
            <w:rStyle w:val="Hyperlink"/>
            <w:rtl/>
          </w:rPr>
        </w:r>
        <w:r>
          <w:rPr>
            <w:rStyle w:val="Hyperlink"/>
            <w:rtl/>
          </w:rPr>
          <w:fldChar w:fldCharType="separate"/>
        </w:r>
        <w:r w:rsidR="00D82181">
          <w:rPr>
            <w:webHidden/>
            <w:rtl/>
          </w:rPr>
          <w:t>84</w:t>
        </w:r>
        <w:r>
          <w:rPr>
            <w:rStyle w:val="Hyperlink"/>
            <w:rtl/>
          </w:rPr>
          <w:fldChar w:fldCharType="end"/>
        </w:r>
      </w:hyperlink>
    </w:p>
    <w:p w14:paraId="7408019F" w14:textId="173B3733" w:rsidR="008009AA" w:rsidRDefault="008009AA">
      <w:pPr>
        <w:pStyle w:val="TOC7"/>
        <w:rPr>
          <w:rFonts w:cstheme="minorBidi"/>
          <w:sz w:val="22"/>
          <w:szCs w:val="22"/>
          <w:rtl/>
        </w:rPr>
      </w:pPr>
      <w:hyperlink w:anchor="_Toc163505771" w:history="1">
        <w:r w:rsidRPr="007246E7">
          <w:rPr>
            <w:rStyle w:val="Hyperlink"/>
            <w:rtl/>
          </w:rPr>
          <w:t>רש"י שבת ע"ד ע"א ד"ה והתניא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Toc163505771 \h</w:instrText>
        </w:r>
        <w:r>
          <w:rPr>
            <w:webHidden/>
            <w:rtl/>
          </w:rPr>
          <w:instrText xml:space="preserve"> </w:instrText>
        </w:r>
        <w:r>
          <w:rPr>
            <w:rStyle w:val="Hyperlink"/>
            <w:rtl/>
          </w:rPr>
        </w:r>
        <w:r>
          <w:rPr>
            <w:rStyle w:val="Hyperlink"/>
            <w:rtl/>
          </w:rPr>
          <w:fldChar w:fldCharType="separate"/>
        </w:r>
        <w:r w:rsidR="00D82181">
          <w:rPr>
            <w:webHidden/>
            <w:rtl/>
          </w:rPr>
          <w:t>84</w:t>
        </w:r>
        <w:r>
          <w:rPr>
            <w:rStyle w:val="Hyperlink"/>
            <w:rtl/>
          </w:rPr>
          <w:fldChar w:fldCharType="end"/>
        </w:r>
      </w:hyperlink>
    </w:p>
    <w:p w14:paraId="723315FD" w14:textId="759433C8" w:rsidR="008009AA" w:rsidRDefault="008009AA">
      <w:pPr>
        <w:pStyle w:val="TOC7"/>
        <w:rPr>
          <w:rFonts w:cstheme="minorBidi"/>
          <w:sz w:val="22"/>
          <w:szCs w:val="22"/>
          <w:rtl/>
        </w:rPr>
      </w:pPr>
      <w:hyperlink w:anchor="_Toc163505772" w:history="1">
        <w:r w:rsidRPr="007246E7">
          <w:rPr>
            <w:rStyle w:val="Hyperlink"/>
            <w:rtl/>
          </w:rPr>
          <w:t>ההשלמה שבת ע"ד ע"א אות ו' ד"ה הרב אלפסי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Toc163505772 \h</w:instrText>
        </w:r>
        <w:r>
          <w:rPr>
            <w:webHidden/>
            <w:rtl/>
          </w:rPr>
          <w:instrText xml:space="preserve"> </w:instrText>
        </w:r>
        <w:r>
          <w:rPr>
            <w:rStyle w:val="Hyperlink"/>
            <w:rtl/>
          </w:rPr>
        </w:r>
        <w:r>
          <w:rPr>
            <w:rStyle w:val="Hyperlink"/>
            <w:rtl/>
          </w:rPr>
          <w:fldChar w:fldCharType="separate"/>
        </w:r>
        <w:r w:rsidR="00D82181">
          <w:rPr>
            <w:webHidden/>
            <w:rtl/>
          </w:rPr>
          <w:t>84</w:t>
        </w:r>
        <w:r>
          <w:rPr>
            <w:rStyle w:val="Hyperlink"/>
            <w:rtl/>
          </w:rPr>
          <w:fldChar w:fldCharType="end"/>
        </w:r>
      </w:hyperlink>
    </w:p>
    <w:p w14:paraId="2CDF7409" w14:textId="208EE443" w:rsidR="008009AA" w:rsidRDefault="008009AA">
      <w:pPr>
        <w:pStyle w:val="TOC7"/>
        <w:rPr>
          <w:rFonts w:cstheme="minorBidi"/>
          <w:sz w:val="22"/>
          <w:szCs w:val="22"/>
          <w:rtl/>
        </w:rPr>
      </w:pPr>
      <w:hyperlink w:anchor="_Toc163505773" w:history="1">
        <w:r w:rsidRPr="007246E7">
          <w:rPr>
            <w:rStyle w:val="Hyperlink"/>
            <w:rtl/>
          </w:rPr>
          <w:t>פרי מגדים אורח חיים משבצות זהב סי' שי"ט ס"ק 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Toc163505773 \h</w:instrText>
        </w:r>
        <w:r>
          <w:rPr>
            <w:webHidden/>
            <w:rtl/>
          </w:rPr>
          <w:instrText xml:space="preserve"> </w:instrText>
        </w:r>
        <w:r>
          <w:rPr>
            <w:rStyle w:val="Hyperlink"/>
            <w:rtl/>
          </w:rPr>
        </w:r>
        <w:r>
          <w:rPr>
            <w:rStyle w:val="Hyperlink"/>
            <w:rtl/>
          </w:rPr>
          <w:fldChar w:fldCharType="separate"/>
        </w:r>
        <w:r w:rsidR="00D82181">
          <w:rPr>
            <w:webHidden/>
            <w:rtl/>
          </w:rPr>
          <w:t>84</w:t>
        </w:r>
        <w:r>
          <w:rPr>
            <w:rStyle w:val="Hyperlink"/>
            <w:rtl/>
          </w:rPr>
          <w:fldChar w:fldCharType="end"/>
        </w:r>
      </w:hyperlink>
    </w:p>
    <w:p w14:paraId="1373511E" w14:textId="00B945CC" w:rsidR="008009AA" w:rsidRDefault="008009AA">
      <w:pPr>
        <w:pStyle w:val="TOC7"/>
        <w:rPr>
          <w:rFonts w:cstheme="minorBidi"/>
          <w:sz w:val="22"/>
          <w:szCs w:val="22"/>
          <w:rtl/>
        </w:rPr>
      </w:pPr>
      <w:hyperlink w:anchor="_Toc163505774" w:history="1">
        <w:r w:rsidRPr="007246E7">
          <w:rPr>
            <w:rStyle w:val="Hyperlink"/>
            <w:rtl/>
          </w:rPr>
          <w:t>חדושי הרמב"ן שבת ע"ד ע"א ד"ה והתניא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Toc163505774 \h</w:instrText>
        </w:r>
        <w:r>
          <w:rPr>
            <w:webHidden/>
            <w:rtl/>
          </w:rPr>
          <w:instrText xml:space="preserve"> </w:instrText>
        </w:r>
        <w:r>
          <w:rPr>
            <w:rStyle w:val="Hyperlink"/>
            <w:rtl/>
          </w:rPr>
        </w:r>
        <w:r>
          <w:rPr>
            <w:rStyle w:val="Hyperlink"/>
            <w:rtl/>
          </w:rPr>
          <w:fldChar w:fldCharType="separate"/>
        </w:r>
        <w:r w:rsidR="00D82181">
          <w:rPr>
            <w:webHidden/>
            <w:rtl/>
          </w:rPr>
          <w:t>84</w:t>
        </w:r>
        <w:r>
          <w:rPr>
            <w:rStyle w:val="Hyperlink"/>
            <w:rtl/>
          </w:rPr>
          <w:fldChar w:fldCharType="end"/>
        </w:r>
      </w:hyperlink>
    </w:p>
    <w:p w14:paraId="49FBA931" w14:textId="373D0FCD" w:rsidR="008009AA" w:rsidRDefault="008009AA">
      <w:pPr>
        <w:pStyle w:val="TOC7"/>
        <w:rPr>
          <w:rFonts w:cstheme="minorBidi"/>
          <w:sz w:val="22"/>
          <w:szCs w:val="22"/>
          <w:rtl/>
        </w:rPr>
      </w:pPr>
      <w:hyperlink w:anchor="_Toc163505775" w:history="1">
        <w:r w:rsidRPr="007246E7">
          <w:rPr>
            <w:rStyle w:val="Hyperlink"/>
            <w:rtl/>
          </w:rPr>
          <w:t>רש"י שבת ק"מ ע"א ד"ה לפי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Toc163505775 \h</w:instrText>
        </w:r>
        <w:r>
          <w:rPr>
            <w:webHidden/>
            <w:rtl/>
          </w:rPr>
          <w:instrText xml:space="preserve"> </w:instrText>
        </w:r>
        <w:r>
          <w:rPr>
            <w:rStyle w:val="Hyperlink"/>
            <w:rtl/>
          </w:rPr>
        </w:r>
        <w:r>
          <w:rPr>
            <w:rStyle w:val="Hyperlink"/>
            <w:rtl/>
          </w:rPr>
          <w:fldChar w:fldCharType="separate"/>
        </w:r>
        <w:r w:rsidR="00D82181">
          <w:rPr>
            <w:webHidden/>
            <w:rtl/>
          </w:rPr>
          <w:t>84</w:t>
        </w:r>
        <w:r>
          <w:rPr>
            <w:rStyle w:val="Hyperlink"/>
            <w:rtl/>
          </w:rPr>
          <w:fldChar w:fldCharType="end"/>
        </w:r>
      </w:hyperlink>
    </w:p>
    <w:p w14:paraId="5696869B" w14:textId="1301BDBE" w:rsidR="008009AA" w:rsidRDefault="008009AA">
      <w:pPr>
        <w:pStyle w:val="TOC7"/>
        <w:rPr>
          <w:rFonts w:cstheme="minorBidi"/>
          <w:sz w:val="22"/>
          <w:szCs w:val="22"/>
          <w:rtl/>
        </w:rPr>
      </w:pPr>
      <w:hyperlink w:anchor="_Toc163505776" w:history="1">
        <w:r w:rsidRPr="007246E7">
          <w:rPr>
            <w:rStyle w:val="Hyperlink"/>
            <w:rtl/>
          </w:rPr>
          <w:t>מאירי שבת ע"ד ע"א ד"ה גדולי הפוסקים</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Toc163505776 \h</w:instrText>
        </w:r>
        <w:r>
          <w:rPr>
            <w:webHidden/>
            <w:rtl/>
          </w:rPr>
          <w:instrText xml:space="preserve"> </w:instrText>
        </w:r>
        <w:r>
          <w:rPr>
            <w:rStyle w:val="Hyperlink"/>
            <w:rtl/>
          </w:rPr>
        </w:r>
        <w:r>
          <w:rPr>
            <w:rStyle w:val="Hyperlink"/>
            <w:rtl/>
          </w:rPr>
          <w:fldChar w:fldCharType="separate"/>
        </w:r>
        <w:r w:rsidR="00D82181">
          <w:rPr>
            <w:webHidden/>
            <w:rtl/>
          </w:rPr>
          <w:t>84</w:t>
        </w:r>
        <w:r>
          <w:rPr>
            <w:rStyle w:val="Hyperlink"/>
            <w:rtl/>
          </w:rPr>
          <w:fldChar w:fldCharType="end"/>
        </w:r>
      </w:hyperlink>
    </w:p>
    <w:p w14:paraId="67B6BEEC" w14:textId="4CFF271F" w:rsidR="008009AA" w:rsidRDefault="008009AA">
      <w:pPr>
        <w:pStyle w:val="TOC7"/>
        <w:rPr>
          <w:rFonts w:cstheme="minorBidi"/>
          <w:sz w:val="22"/>
          <w:szCs w:val="22"/>
          <w:rtl/>
        </w:rPr>
      </w:pPr>
      <w:hyperlink w:anchor="_Toc163505777" w:history="1">
        <w:r w:rsidRPr="007246E7">
          <w:rPr>
            <w:rStyle w:val="Hyperlink"/>
            <w:rtl/>
          </w:rPr>
          <w:t>חידושי רבינו משה קזיס שבת ק"מ ע"א ד"ה ונותנים</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Toc163505777 \h</w:instrText>
        </w:r>
        <w:r>
          <w:rPr>
            <w:webHidden/>
            <w:rtl/>
          </w:rPr>
          <w:instrText xml:space="preserve"> </w:instrText>
        </w:r>
        <w:r>
          <w:rPr>
            <w:rStyle w:val="Hyperlink"/>
            <w:rtl/>
          </w:rPr>
        </w:r>
        <w:r>
          <w:rPr>
            <w:rStyle w:val="Hyperlink"/>
            <w:rtl/>
          </w:rPr>
          <w:fldChar w:fldCharType="separate"/>
        </w:r>
        <w:r w:rsidR="00D82181">
          <w:rPr>
            <w:webHidden/>
            <w:rtl/>
          </w:rPr>
          <w:t>84</w:t>
        </w:r>
        <w:r>
          <w:rPr>
            <w:rStyle w:val="Hyperlink"/>
            <w:rtl/>
          </w:rPr>
          <w:fldChar w:fldCharType="end"/>
        </w:r>
      </w:hyperlink>
    </w:p>
    <w:p w14:paraId="68C76309" w14:textId="75FEFDC5" w:rsidR="008009AA" w:rsidRDefault="008009AA">
      <w:pPr>
        <w:pStyle w:val="TOC7"/>
        <w:rPr>
          <w:rFonts w:cstheme="minorBidi"/>
          <w:sz w:val="22"/>
          <w:szCs w:val="22"/>
          <w:rtl/>
        </w:rPr>
      </w:pPr>
      <w:hyperlink w:anchor="_Toc163505778" w:history="1">
        <w:r w:rsidRPr="007246E7">
          <w:rPr>
            <w:rStyle w:val="Hyperlink"/>
            <w:rtl/>
          </w:rPr>
          <w:t>מגלת ספר על הסמ"ג לאוין ס"ה ט: ד"ה כיצד הבורר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Toc163505778 \h</w:instrText>
        </w:r>
        <w:r>
          <w:rPr>
            <w:webHidden/>
            <w:rtl/>
          </w:rPr>
          <w:instrText xml:space="preserve"> </w:instrText>
        </w:r>
        <w:r>
          <w:rPr>
            <w:rStyle w:val="Hyperlink"/>
            <w:rtl/>
          </w:rPr>
        </w:r>
        <w:r>
          <w:rPr>
            <w:rStyle w:val="Hyperlink"/>
            <w:rtl/>
          </w:rPr>
          <w:fldChar w:fldCharType="separate"/>
        </w:r>
        <w:r w:rsidR="00D82181">
          <w:rPr>
            <w:webHidden/>
            <w:rtl/>
          </w:rPr>
          <w:t>84</w:t>
        </w:r>
        <w:r>
          <w:rPr>
            <w:rStyle w:val="Hyperlink"/>
            <w:rtl/>
          </w:rPr>
          <w:fldChar w:fldCharType="end"/>
        </w:r>
      </w:hyperlink>
    </w:p>
    <w:p w14:paraId="442F4169" w14:textId="7189569F" w:rsidR="008009AA" w:rsidRDefault="008009AA">
      <w:pPr>
        <w:pStyle w:val="TOC7"/>
        <w:rPr>
          <w:rFonts w:cstheme="minorBidi"/>
          <w:sz w:val="22"/>
          <w:szCs w:val="22"/>
          <w:rtl/>
        </w:rPr>
      </w:pPr>
      <w:hyperlink w:anchor="_Toc163505779" w:history="1">
        <w:r w:rsidRPr="007246E7">
          <w:rPr>
            <w:rStyle w:val="Hyperlink"/>
            <w:rtl/>
          </w:rPr>
          <w:t>פני יהושע שבת ע"ד ע"א ד"ה ת"ר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Toc163505779 \h</w:instrText>
        </w:r>
        <w:r>
          <w:rPr>
            <w:webHidden/>
            <w:rtl/>
          </w:rPr>
          <w:instrText xml:space="preserve"> </w:instrText>
        </w:r>
        <w:r>
          <w:rPr>
            <w:rStyle w:val="Hyperlink"/>
            <w:rtl/>
          </w:rPr>
        </w:r>
        <w:r>
          <w:rPr>
            <w:rStyle w:val="Hyperlink"/>
            <w:rtl/>
          </w:rPr>
          <w:fldChar w:fldCharType="separate"/>
        </w:r>
        <w:r w:rsidR="00D82181">
          <w:rPr>
            <w:webHidden/>
            <w:rtl/>
          </w:rPr>
          <w:t>84</w:t>
        </w:r>
        <w:r>
          <w:rPr>
            <w:rStyle w:val="Hyperlink"/>
            <w:rtl/>
          </w:rPr>
          <w:fldChar w:fldCharType="end"/>
        </w:r>
      </w:hyperlink>
    </w:p>
    <w:p w14:paraId="63ED3D9F" w14:textId="21AA28E4" w:rsidR="008009AA" w:rsidRDefault="008009AA">
      <w:pPr>
        <w:pStyle w:val="TOC7"/>
        <w:rPr>
          <w:rFonts w:cstheme="minorBidi"/>
          <w:sz w:val="22"/>
          <w:szCs w:val="22"/>
          <w:rtl/>
        </w:rPr>
      </w:pPr>
      <w:hyperlink w:anchor="_Toc163505780" w:history="1">
        <w:r w:rsidRPr="007246E7">
          <w:rPr>
            <w:rStyle w:val="Hyperlink"/>
            <w:rtl/>
          </w:rPr>
          <w:t>חדושי הריטב"א שבת ע"ד ע"א ד"ה גירסת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Toc163505780 \h</w:instrText>
        </w:r>
        <w:r>
          <w:rPr>
            <w:webHidden/>
            <w:rtl/>
          </w:rPr>
          <w:instrText xml:space="preserve"> </w:instrText>
        </w:r>
        <w:r>
          <w:rPr>
            <w:rStyle w:val="Hyperlink"/>
            <w:rtl/>
          </w:rPr>
        </w:r>
        <w:r>
          <w:rPr>
            <w:rStyle w:val="Hyperlink"/>
            <w:rtl/>
          </w:rPr>
          <w:fldChar w:fldCharType="separate"/>
        </w:r>
        <w:r w:rsidR="00D82181">
          <w:rPr>
            <w:webHidden/>
            <w:rtl/>
          </w:rPr>
          <w:t>84</w:t>
        </w:r>
        <w:r>
          <w:rPr>
            <w:rStyle w:val="Hyperlink"/>
            <w:rtl/>
          </w:rPr>
          <w:fldChar w:fldCharType="end"/>
        </w:r>
      </w:hyperlink>
    </w:p>
    <w:p w14:paraId="1F61ECDB" w14:textId="59BE0745" w:rsidR="008009AA" w:rsidRDefault="008009AA">
      <w:pPr>
        <w:pStyle w:val="TOC7"/>
        <w:rPr>
          <w:rFonts w:cstheme="minorBidi"/>
          <w:sz w:val="22"/>
          <w:szCs w:val="22"/>
          <w:rtl/>
        </w:rPr>
      </w:pPr>
      <w:hyperlink w:anchor="_Toc163505781" w:history="1">
        <w:r w:rsidRPr="007246E7">
          <w:rPr>
            <w:rStyle w:val="Hyperlink"/>
            <w:rtl/>
          </w:rPr>
          <w:t>ב"ח אורח חיים סי' שיט א' ד"ה ומ"ש הילכך</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Toc163505781 \h</w:instrText>
        </w:r>
        <w:r>
          <w:rPr>
            <w:webHidden/>
            <w:rtl/>
          </w:rPr>
          <w:instrText xml:space="preserve"> </w:instrText>
        </w:r>
        <w:r>
          <w:rPr>
            <w:rStyle w:val="Hyperlink"/>
            <w:rtl/>
          </w:rPr>
        </w:r>
        <w:r>
          <w:rPr>
            <w:rStyle w:val="Hyperlink"/>
            <w:rtl/>
          </w:rPr>
          <w:fldChar w:fldCharType="separate"/>
        </w:r>
        <w:r w:rsidR="00D82181">
          <w:rPr>
            <w:webHidden/>
            <w:rtl/>
          </w:rPr>
          <w:t>84</w:t>
        </w:r>
        <w:r>
          <w:rPr>
            <w:rStyle w:val="Hyperlink"/>
            <w:rtl/>
          </w:rPr>
          <w:fldChar w:fldCharType="end"/>
        </w:r>
      </w:hyperlink>
    </w:p>
    <w:p w14:paraId="0AC85D36" w14:textId="5EF7DAFE" w:rsidR="008009AA" w:rsidRDefault="008009AA">
      <w:pPr>
        <w:pStyle w:val="TOC7"/>
        <w:rPr>
          <w:rFonts w:cstheme="minorBidi"/>
          <w:sz w:val="22"/>
          <w:szCs w:val="22"/>
          <w:rtl/>
        </w:rPr>
      </w:pPr>
      <w:hyperlink w:anchor="_Toc163505782" w:history="1">
        <w:r w:rsidRPr="007246E7">
          <w:rPr>
            <w:rStyle w:val="Hyperlink"/>
            <w:rtl/>
          </w:rPr>
          <w:t>פני יהושע שבת ע"ד ע"א ד"ה מה שא"כ</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Toc163505782 \h</w:instrText>
        </w:r>
        <w:r>
          <w:rPr>
            <w:webHidden/>
            <w:rtl/>
          </w:rPr>
          <w:instrText xml:space="preserve"> </w:instrText>
        </w:r>
        <w:r>
          <w:rPr>
            <w:rStyle w:val="Hyperlink"/>
            <w:rtl/>
          </w:rPr>
        </w:r>
        <w:r>
          <w:rPr>
            <w:rStyle w:val="Hyperlink"/>
            <w:rtl/>
          </w:rPr>
          <w:fldChar w:fldCharType="separate"/>
        </w:r>
        <w:r w:rsidR="00D82181">
          <w:rPr>
            <w:webHidden/>
            <w:rtl/>
          </w:rPr>
          <w:t>85</w:t>
        </w:r>
        <w:r>
          <w:rPr>
            <w:rStyle w:val="Hyperlink"/>
            <w:rtl/>
          </w:rPr>
          <w:fldChar w:fldCharType="end"/>
        </w:r>
      </w:hyperlink>
    </w:p>
    <w:p w14:paraId="43AC9751" w14:textId="41F746BF" w:rsidR="008009AA" w:rsidRDefault="008009AA">
      <w:pPr>
        <w:pStyle w:val="TOC7"/>
        <w:rPr>
          <w:rFonts w:cstheme="minorBidi"/>
          <w:sz w:val="22"/>
          <w:szCs w:val="22"/>
          <w:rtl/>
        </w:rPr>
      </w:pPr>
      <w:hyperlink w:anchor="_Toc163505783" w:history="1">
        <w:r w:rsidRPr="007246E7">
          <w:rPr>
            <w:rStyle w:val="Hyperlink"/>
            <w:rtl/>
          </w:rPr>
          <w:t>פני יהושע שבת ע"ד ע"א ד"ה ויש לי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Toc163505783 \h</w:instrText>
        </w:r>
        <w:r>
          <w:rPr>
            <w:webHidden/>
            <w:rtl/>
          </w:rPr>
          <w:instrText xml:space="preserve"> </w:instrText>
        </w:r>
        <w:r>
          <w:rPr>
            <w:rStyle w:val="Hyperlink"/>
            <w:rtl/>
          </w:rPr>
        </w:r>
        <w:r>
          <w:rPr>
            <w:rStyle w:val="Hyperlink"/>
            <w:rtl/>
          </w:rPr>
          <w:fldChar w:fldCharType="separate"/>
        </w:r>
        <w:r w:rsidR="00D82181">
          <w:rPr>
            <w:webHidden/>
            <w:rtl/>
          </w:rPr>
          <w:t>85</w:t>
        </w:r>
        <w:r>
          <w:rPr>
            <w:rStyle w:val="Hyperlink"/>
            <w:rtl/>
          </w:rPr>
          <w:fldChar w:fldCharType="end"/>
        </w:r>
      </w:hyperlink>
    </w:p>
    <w:p w14:paraId="4F35C8D4" w14:textId="326F6A95" w:rsidR="008009AA" w:rsidRDefault="008009AA">
      <w:pPr>
        <w:pStyle w:val="TOC7"/>
        <w:rPr>
          <w:rFonts w:cstheme="minorBidi"/>
          <w:sz w:val="22"/>
          <w:szCs w:val="22"/>
          <w:rtl/>
        </w:rPr>
      </w:pPr>
      <w:hyperlink w:anchor="_Toc163505784" w:history="1">
        <w:r w:rsidRPr="007246E7">
          <w:rPr>
            <w:rStyle w:val="Hyperlink"/>
            <w:rtl/>
          </w:rPr>
          <w:t>ב"ח אורח חיים סי' שיט 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Toc163505784 \h</w:instrText>
        </w:r>
        <w:r>
          <w:rPr>
            <w:webHidden/>
            <w:rtl/>
          </w:rPr>
          <w:instrText xml:space="preserve"> </w:instrText>
        </w:r>
        <w:r>
          <w:rPr>
            <w:rStyle w:val="Hyperlink"/>
            <w:rtl/>
          </w:rPr>
        </w:r>
        <w:r>
          <w:rPr>
            <w:rStyle w:val="Hyperlink"/>
            <w:rtl/>
          </w:rPr>
          <w:fldChar w:fldCharType="separate"/>
        </w:r>
        <w:r w:rsidR="00D82181">
          <w:rPr>
            <w:webHidden/>
            <w:rtl/>
          </w:rPr>
          <w:t>85</w:t>
        </w:r>
        <w:r>
          <w:rPr>
            <w:rStyle w:val="Hyperlink"/>
            <w:rtl/>
          </w:rPr>
          <w:fldChar w:fldCharType="end"/>
        </w:r>
      </w:hyperlink>
    </w:p>
    <w:p w14:paraId="5D665504" w14:textId="20103285" w:rsidR="008009AA" w:rsidRDefault="008009AA">
      <w:pPr>
        <w:pStyle w:val="TOC7"/>
        <w:rPr>
          <w:rFonts w:cstheme="minorBidi"/>
          <w:sz w:val="22"/>
          <w:szCs w:val="22"/>
          <w:rtl/>
        </w:rPr>
      </w:pPr>
      <w:hyperlink w:anchor="_Toc163505785" w:history="1">
        <w:r w:rsidRPr="007246E7">
          <w:rPr>
            <w:rStyle w:val="Hyperlink"/>
            <w:rtl/>
          </w:rPr>
          <w:t>מגן אבות סוגיא דבורר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Toc163505785 \h</w:instrText>
        </w:r>
        <w:r>
          <w:rPr>
            <w:webHidden/>
            <w:rtl/>
          </w:rPr>
          <w:instrText xml:space="preserve"> </w:instrText>
        </w:r>
        <w:r>
          <w:rPr>
            <w:rStyle w:val="Hyperlink"/>
            <w:rtl/>
          </w:rPr>
        </w:r>
        <w:r>
          <w:rPr>
            <w:rStyle w:val="Hyperlink"/>
            <w:rtl/>
          </w:rPr>
          <w:fldChar w:fldCharType="separate"/>
        </w:r>
        <w:r w:rsidR="00D82181">
          <w:rPr>
            <w:webHidden/>
            <w:rtl/>
          </w:rPr>
          <w:t>85</w:t>
        </w:r>
        <w:r>
          <w:rPr>
            <w:rStyle w:val="Hyperlink"/>
            <w:rtl/>
          </w:rPr>
          <w:fldChar w:fldCharType="end"/>
        </w:r>
      </w:hyperlink>
    </w:p>
    <w:p w14:paraId="39D858CA" w14:textId="3E28356F" w:rsidR="008009AA" w:rsidRDefault="008009AA">
      <w:pPr>
        <w:pStyle w:val="TOC7"/>
        <w:rPr>
          <w:rFonts w:cstheme="minorBidi"/>
          <w:sz w:val="22"/>
          <w:szCs w:val="22"/>
          <w:rtl/>
        </w:rPr>
      </w:pPr>
      <w:hyperlink w:anchor="_Toc163505786" w:history="1">
        <w:r w:rsidRPr="007246E7">
          <w:rPr>
            <w:rStyle w:val="Hyperlink"/>
            <w:rtl/>
          </w:rPr>
          <w:t>אגלי טל מלאכת בורר סקכ"ד אות א' בהגה"ה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Toc163505786 \h</w:instrText>
        </w:r>
        <w:r>
          <w:rPr>
            <w:webHidden/>
            <w:rtl/>
          </w:rPr>
          <w:instrText xml:space="preserve"> </w:instrText>
        </w:r>
        <w:r>
          <w:rPr>
            <w:rStyle w:val="Hyperlink"/>
            <w:rtl/>
          </w:rPr>
        </w:r>
        <w:r>
          <w:rPr>
            <w:rStyle w:val="Hyperlink"/>
            <w:rtl/>
          </w:rPr>
          <w:fldChar w:fldCharType="separate"/>
        </w:r>
        <w:r w:rsidR="00D82181">
          <w:rPr>
            <w:webHidden/>
            <w:rtl/>
          </w:rPr>
          <w:t>85</w:t>
        </w:r>
        <w:r>
          <w:rPr>
            <w:rStyle w:val="Hyperlink"/>
            <w:rtl/>
          </w:rPr>
          <w:fldChar w:fldCharType="end"/>
        </w:r>
      </w:hyperlink>
    </w:p>
    <w:p w14:paraId="3BD30B29" w14:textId="5DF7B983" w:rsidR="008009AA" w:rsidRDefault="008009AA">
      <w:pPr>
        <w:pStyle w:val="TOC7"/>
        <w:rPr>
          <w:rFonts w:cstheme="minorBidi"/>
          <w:sz w:val="22"/>
          <w:szCs w:val="22"/>
          <w:rtl/>
        </w:rPr>
      </w:pPr>
      <w:hyperlink w:anchor="_Toc163505787" w:history="1">
        <w:r w:rsidRPr="007246E7">
          <w:rPr>
            <w:rStyle w:val="Hyperlink"/>
            <w:rtl/>
          </w:rPr>
          <w:t>ט"ז או"ח סי' שי"ט סקי"ב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Toc163505787 \h</w:instrText>
        </w:r>
        <w:r>
          <w:rPr>
            <w:webHidden/>
            <w:rtl/>
          </w:rPr>
          <w:instrText xml:space="preserve"> </w:instrText>
        </w:r>
        <w:r>
          <w:rPr>
            <w:rStyle w:val="Hyperlink"/>
            <w:rtl/>
          </w:rPr>
        </w:r>
        <w:r>
          <w:rPr>
            <w:rStyle w:val="Hyperlink"/>
            <w:rtl/>
          </w:rPr>
          <w:fldChar w:fldCharType="separate"/>
        </w:r>
        <w:r w:rsidR="00D82181">
          <w:rPr>
            <w:webHidden/>
            <w:rtl/>
          </w:rPr>
          <w:t>85</w:t>
        </w:r>
        <w:r>
          <w:rPr>
            <w:rStyle w:val="Hyperlink"/>
            <w:rtl/>
          </w:rPr>
          <w:fldChar w:fldCharType="end"/>
        </w:r>
      </w:hyperlink>
    </w:p>
    <w:p w14:paraId="2A5FEC34" w14:textId="7E23D0E2" w:rsidR="008009AA" w:rsidRDefault="008009AA">
      <w:pPr>
        <w:pStyle w:val="TOC7"/>
        <w:rPr>
          <w:rFonts w:cstheme="minorBidi"/>
          <w:sz w:val="22"/>
          <w:szCs w:val="22"/>
          <w:rtl/>
        </w:rPr>
      </w:pPr>
      <w:hyperlink w:anchor="_Toc163505788" w:history="1">
        <w:r w:rsidRPr="007246E7">
          <w:rPr>
            <w:rStyle w:val="Hyperlink"/>
            <w:rtl/>
          </w:rPr>
          <w:t>מחצית השקל אורח חיים סימן שיט ס"ק טז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Toc163505788 \h</w:instrText>
        </w:r>
        <w:r>
          <w:rPr>
            <w:webHidden/>
            <w:rtl/>
          </w:rPr>
          <w:instrText xml:space="preserve"> </w:instrText>
        </w:r>
        <w:r>
          <w:rPr>
            <w:rStyle w:val="Hyperlink"/>
            <w:rtl/>
          </w:rPr>
        </w:r>
        <w:r>
          <w:rPr>
            <w:rStyle w:val="Hyperlink"/>
            <w:rtl/>
          </w:rPr>
          <w:fldChar w:fldCharType="separate"/>
        </w:r>
        <w:r w:rsidR="00D82181">
          <w:rPr>
            <w:webHidden/>
            <w:rtl/>
          </w:rPr>
          <w:t>85</w:t>
        </w:r>
        <w:r>
          <w:rPr>
            <w:rStyle w:val="Hyperlink"/>
            <w:rtl/>
          </w:rPr>
          <w:fldChar w:fldCharType="end"/>
        </w:r>
      </w:hyperlink>
    </w:p>
    <w:p w14:paraId="3CF5453B" w14:textId="19B903FC" w:rsidR="008009AA" w:rsidRDefault="008009AA">
      <w:pPr>
        <w:pStyle w:val="TOC7"/>
        <w:rPr>
          <w:rFonts w:cstheme="minorBidi"/>
          <w:sz w:val="22"/>
          <w:szCs w:val="22"/>
          <w:rtl/>
        </w:rPr>
      </w:pPr>
      <w:hyperlink w:anchor="_Toc163505789" w:history="1">
        <w:r w:rsidRPr="007246E7">
          <w:rPr>
            <w:rStyle w:val="Hyperlink"/>
            <w:rtl/>
          </w:rPr>
          <w:t>עולת שבת סי' שי"ט סקל"ב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Toc163505789 \h</w:instrText>
        </w:r>
        <w:r>
          <w:rPr>
            <w:webHidden/>
            <w:rtl/>
          </w:rPr>
          <w:instrText xml:space="preserve"> </w:instrText>
        </w:r>
        <w:r>
          <w:rPr>
            <w:rStyle w:val="Hyperlink"/>
            <w:rtl/>
          </w:rPr>
        </w:r>
        <w:r>
          <w:rPr>
            <w:rStyle w:val="Hyperlink"/>
            <w:rtl/>
          </w:rPr>
          <w:fldChar w:fldCharType="separate"/>
        </w:r>
        <w:r w:rsidR="00D82181">
          <w:rPr>
            <w:webHidden/>
            <w:rtl/>
          </w:rPr>
          <w:t>85</w:t>
        </w:r>
        <w:r>
          <w:rPr>
            <w:rStyle w:val="Hyperlink"/>
            <w:rtl/>
          </w:rPr>
          <w:fldChar w:fldCharType="end"/>
        </w:r>
      </w:hyperlink>
    </w:p>
    <w:p w14:paraId="286DC712" w14:textId="00D4EA5D" w:rsidR="008009AA" w:rsidRDefault="008009AA">
      <w:pPr>
        <w:pStyle w:val="TOC7"/>
        <w:rPr>
          <w:rFonts w:cstheme="minorBidi"/>
          <w:sz w:val="22"/>
          <w:szCs w:val="22"/>
          <w:rtl/>
        </w:rPr>
      </w:pPr>
      <w:hyperlink w:anchor="_Toc163505790" w:history="1">
        <w:r w:rsidRPr="007246E7">
          <w:rPr>
            <w:rStyle w:val="Hyperlink"/>
            <w:rtl/>
          </w:rPr>
          <w:t>חתם סופר שבת ע"ד ע"א ד"ה היו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Toc163505790 \h</w:instrText>
        </w:r>
        <w:r>
          <w:rPr>
            <w:webHidden/>
            <w:rtl/>
          </w:rPr>
          <w:instrText xml:space="preserve"> </w:instrText>
        </w:r>
        <w:r>
          <w:rPr>
            <w:rStyle w:val="Hyperlink"/>
            <w:rtl/>
          </w:rPr>
        </w:r>
        <w:r>
          <w:rPr>
            <w:rStyle w:val="Hyperlink"/>
            <w:rtl/>
          </w:rPr>
          <w:fldChar w:fldCharType="separate"/>
        </w:r>
        <w:r w:rsidR="00D82181">
          <w:rPr>
            <w:webHidden/>
            <w:rtl/>
          </w:rPr>
          <w:t>85</w:t>
        </w:r>
        <w:r>
          <w:rPr>
            <w:rStyle w:val="Hyperlink"/>
            <w:rtl/>
          </w:rPr>
          <w:fldChar w:fldCharType="end"/>
        </w:r>
      </w:hyperlink>
    </w:p>
    <w:p w14:paraId="167AC0D4" w14:textId="56652731" w:rsidR="008009AA" w:rsidRDefault="008009AA">
      <w:pPr>
        <w:pStyle w:val="TOC7"/>
        <w:rPr>
          <w:rFonts w:cstheme="minorBidi"/>
          <w:sz w:val="22"/>
          <w:szCs w:val="22"/>
          <w:rtl/>
        </w:rPr>
      </w:pPr>
      <w:hyperlink w:anchor="_Toc163505791" w:history="1">
        <w:r w:rsidRPr="007246E7">
          <w:rPr>
            <w:rStyle w:val="Hyperlink"/>
            <w:rtl/>
          </w:rPr>
          <w:t>ההשלמה שבת ע"ד ע"א אות ו' ד"ה הרב אלפסי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Toc163505791 \h</w:instrText>
        </w:r>
        <w:r>
          <w:rPr>
            <w:webHidden/>
            <w:rtl/>
          </w:rPr>
          <w:instrText xml:space="preserve"> </w:instrText>
        </w:r>
        <w:r>
          <w:rPr>
            <w:rStyle w:val="Hyperlink"/>
            <w:rtl/>
          </w:rPr>
        </w:r>
        <w:r>
          <w:rPr>
            <w:rStyle w:val="Hyperlink"/>
            <w:rtl/>
          </w:rPr>
          <w:fldChar w:fldCharType="separate"/>
        </w:r>
        <w:r w:rsidR="00D82181">
          <w:rPr>
            <w:webHidden/>
            <w:rtl/>
          </w:rPr>
          <w:t>86</w:t>
        </w:r>
        <w:r>
          <w:rPr>
            <w:rStyle w:val="Hyperlink"/>
            <w:rtl/>
          </w:rPr>
          <w:fldChar w:fldCharType="end"/>
        </w:r>
      </w:hyperlink>
    </w:p>
    <w:p w14:paraId="7E443CD5" w14:textId="0F940C38" w:rsidR="008009AA" w:rsidRDefault="008009AA">
      <w:pPr>
        <w:pStyle w:val="TOC7"/>
        <w:rPr>
          <w:rFonts w:cstheme="minorBidi"/>
          <w:sz w:val="22"/>
          <w:szCs w:val="22"/>
          <w:rtl/>
        </w:rPr>
      </w:pPr>
      <w:hyperlink w:anchor="_Toc163505792" w:history="1">
        <w:r w:rsidRPr="007246E7">
          <w:rPr>
            <w:rStyle w:val="Hyperlink"/>
            <w:rtl/>
          </w:rPr>
          <w:t>מאירי שבת ע"ד ע"א ד"ה גדולי הפוסקים</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Toc163505792 \h</w:instrText>
        </w:r>
        <w:r>
          <w:rPr>
            <w:webHidden/>
            <w:rtl/>
          </w:rPr>
          <w:instrText xml:space="preserve"> </w:instrText>
        </w:r>
        <w:r>
          <w:rPr>
            <w:rStyle w:val="Hyperlink"/>
            <w:rtl/>
          </w:rPr>
        </w:r>
        <w:r>
          <w:rPr>
            <w:rStyle w:val="Hyperlink"/>
            <w:rtl/>
          </w:rPr>
          <w:fldChar w:fldCharType="separate"/>
        </w:r>
        <w:r w:rsidR="00D82181">
          <w:rPr>
            <w:webHidden/>
            <w:rtl/>
          </w:rPr>
          <w:t>86</w:t>
        </w:r>
        <w:r>
          <w:rPr>
            <w:rStyle w:val="Hyperlink"/>
            <w:rtl/>
          </w:rPr>
          <w:fldChar w:fldCharType="end"/>
        </w:r>
      </w:hyperlink>
    </w:p>
    <w:p w14:paraId="1ADEC3F2" w14:textId="114D45F6" w:rsidR="008009AA" w:rsidRDefault="008009AA">
      <w:pPr>
        <w:pStyle w:val="TOC7"/>
        <w:rPr>
          <w:rFonts w:cstheme="minorBidi"/>
          <w:sz w:val="22"/>
          <w:szCs w:val="22"/>
          <w:rtl/>
        </w:rPr>
      </w:pPr>
      <w:hyperlink w:anchor="_Toc163505793" w:history="1">
        <w:r w:rsidRPr="007246E7">
          <w:rPr>
            <w:rStyle w:val="Hyperlink"/>
            <w:rtl/>
          </w:rPr>
          <w:t>אגלי טל בורר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Toc163505793 \h</w:instrText>
        </w:r>
        <w:r>
          <w:rPr>
            <w:webHidden/>
            <w:rtl/>
          </w:rPr>
          <w:instrText xml:space="preserve"> </w:instrText>
        </w:r>
        <w:r>
          <w:rPr>
            <w:rStyle w:val="Hyperlink"/>
            <w:rtl/>
          </w:rPr>
        </w:r>
        <w:r>
          <w:rPr>
            <w:rStyle w:val="Hyperlink"/>
            <w:rtl/>
          </w:rPr>
          <w:fldChar w:fldCharType="separate"/>
        </w:r>
        <w:r w:rsidR="00D82181">
          <w:rPr>
            <w:webHidden/>
            <w:rtl/>
          </w:rPr>
          <w:t>86</w:t>
        </w:r>
        <w:r>
          <w:rPr>
            <w:rStyle w:val="Hyperlink"/>
            <w:rtl/>
          </w:rPr>
          <w:fldChar w:fldCharType="end"/>
        </w:r>
      </w:hyperlink>
    </w:p>
    <w:p w14:paraId="6F0FEB76" w14:textId="78102043" w:rsidR="008009AA" w:rsidRDefault="008009AA">
      <w:pPr>
        <w:pStyle w:val="TOC7"/>
        <w:rPr>
          <w:rFonts w:cstheme="minorBidi"/>
          <w:sz w:val="22"/>
          <w:szCs w:val="22"/>
          <w:rtl/>
        </w:rPr>
      </w:pPr>
      <w:hyperlink w:anchor="_Toc163505794" w:history="1">
        <w:r w:rsidRPr="007246E7">
          <w:rPr>
            <w:rStyle w:val="Hyperlink"/>
            <w:rtl/>
          </w:rPr>
          <w:t>אגלי טל בורר סקט"ז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Toc163505794 \h</w:instrText>
        </w:r>
        <w:r>
          <w:rPr>
            <w:webHidden/>
            <w:rtl/>
          </w:rPr>
          <w:instrText xml:space="preserve"> </w:instrText>
        </w:r>
        <w:r>
          <w:rPr>
            <w:rStyle w:val="Hyperlink"/>
            <w:rtl/>
          </w:rPr>
        </w:r>
        <w:r>
          <w:rPr>
            <w:rStyle w:val="Hyperlink"/>
            <w:rtl/>
          </w:rPr>
          <w:fldChar w:fldCharType="separate"/>
        </w:r>
        <w:r w:rsidR="00D82181">
          <w:rPr>
            <w:webHidden/>
            <w:rtl/>
          </w:rPr>
          <w:t>86</w:t>
        </w:r>
        <w:r>
          <w:rPr>
            <w:rStyle w:val="Hyperlink"/>
            <w:rtl/>
          </w:rPr>
          <w:fldChar w:fldCharType="end"/>
        </w:r>
      </w:hyperlink>
    </w:p>
    <w:p w14:paraId="50C8F1D2" w14:textId="689EDB2D" w:rsidR="008009AA" w:rsidRDefault="008009AA">
      <w:pPr>
        <w:pStyle w:val="TOC7"/>
        <w:rPr>
          <w:rFonts w:cstheme="minorBidi"/>
          <w:sz w:val="22"/>
          <w:szCs w:val="22"/>
          <w:rtl/>
        </w:rPr>
      </w:pPr>
      <w:hyperlink w:anchor="_Toc163505795" w:history="1">
        <w:r w:rsidRPr="007246E7">
          <w:rPr>
            <w:rStyle w:val="Hyperlink"/>
            <w:rtl/>
          </w:rPr>
          <w:t>תוספות שבת ע"ד ע"א ד"ה היו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Toc163505795 \h</w:instrText>
        </w:r>
        <w:r>
          <w:rPr>
            <w:webHidden/>
            <w:rtl/>
          </w:rPr>
          <w:instrText xml:space="preserve"> </w:instrText>
        </w:r>
        <w:r>
          <w:rPr>
            <w:rStyle w:val="Hyperlink"/>
            <w:rtl/>
          </w:rPr>
        </w:r>
        <w:r>
          <w:rPr>
            <w:rStyle w:val="Hyperlink"/>
            <w:rtl/>
          </w:rPr>
          <w:fldChar w:fldCharType="separate"/>
        </w:r>
        <w:r w:rsidR="00D82181">
          <w:rPr>
            <w:webHidden/>
            <w:rtl/>
          </w:rPr>
          <w:t>86</w:t>
        </w:r>
        <w:r>
          <w:rPr>
            <w:rStyle w:val="Hyperlink"/>
            <w:rtl/>
          </w:rPr>
          <w:fldChar w:fldCharType="end"/>
        </w:r>
      </w:hyperlink>
    </w:p>
    <w:p w14:paraId="47F1EB1E" w14:textId="2FA61A82" w:rsidR="008009AA" w:rsidRDefault="008009AA">
      <w:pPr>
        <w:pStyle w:val="TOC7"/>
        <w:rPr>
          <w:rFonts w:cstheme="minorBidi"/>
          <w:sz w:val="22"/>
          <w:szCs w:val="22"/>
          <w:rtl/>
        </w:rPr>
      </w:pPr>
      <w:hyperlink w:anchor="_Toc163505796" w:history="1">
        <w:r w:rsidRPr="007246E7">
          <w:rPr>
            <w:rStyle w:val="Hyperlink"/>
            <w:rtl/>
          </w:rPr>
          <w:t>רבינו חננאל שבת ע"ד ע"א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Toc163505796 \h</w:instrText>
        </w:r>
        <w:r>
          <w:rPr>
            <w:webHidden/>
            <w:rtl/>
          </w:rPr>
          <w:instrText xml:space="preserve"> </w:instrText>
        </w:r>
        <w:r>
          <w:rPr>
            <w:rStyle w:val="Hyperlink"/>
            <w:rtl/>
          </w:rPr>
        </w:r>
        <w:r>
          <w:rPr>
            <w:rStyle w:val="Hyperlink"/>
            <w:rtl/>
          </w:rPr>
          <w:fldChar w:fldCharType="separate"/>
        </w:r>
        <w:r w:rsidR="00D82181">
          <w:rPr>
            <w:webHidden/>
            <w:rtl/>
          </w:rPr>
          <w:t>86</w:t>
        </w:r>
        <w:r>
          <w:rPr>
            <w:rStyle w:val="Hyperlink"/>
            <w:rtl/>
          </w:rPr>
          <w:fldChar w:fldCharType="end"/>
        </w:r>
      </w:hyperlink>
    </w:p>
    <w:p w14:paraId="26D5B1F8" w14:textId="33C38071" w:rsidR="008009AA" w:rsidRDefault="008009AA">
      <w:pPr>
        <w:pStyle w:val="TOC7"/>
        <w:rPr>
          <w:rFonts w:cstheme="minorBidi"/>
          <w:sz w:val="22"/>
          <w:szCs w:val="22"/>
          <w:rtl/>
        </w:rPr>
      </w:pPr>
      <w:hyperlink w:anchor="_Toc163505797" w:history="1">
        <w:r w:rsidRPr="007246E7">
          <w:rPr>
            <w:rStyle w:val="Hyperlink"/>
            <w:rtl/>
          </w:rPr>
          <w:t>רא"ש שבת פ"ז סי' 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Toc163505797 \h</w:instrText>
        </w:r>
        <w:r>
          <w:rPr>
            <w:webHidden/>
            <w:rtl/>
          </w:rPr>
          <w:instrText xml:space="preserve"> </w:instrText>
        </w:r>
        <w:r>
          <w:rPr>
            <w:rStyle w:val="Hyperlink"/>
            <w:rtl/>
          </w:rPr>
        </w:r>
        <w:r>
          <w:rPr>
            <w:rStyle w:val="Hyperlink"/>
            <w:rtl/>
          </w:rPr>
          <w:fldChar w:fldCharType="separate"/>
        </w:r>
        <w:r w:rsidR="00D82181">
          <w:rPr>
            <w:webHidden/>
            <w:rtl/>
          </w:rPr>
          <w:t>86</w:t>
        </w:r>
        <w:r>
          <w:rPr>
            <w:rStyle w:val="Hyperlink"/>
            <w:rtl/>
          </w:rPr>
          <w:fldChar w:fldCharType="end"/>
        </w:r>
      </w:hyperlink>
    </w:p>
    <w:p w14:paraId="6F19494A" w14:textId="5AB8C41C" w:rsidR="008009AA" w:rsidRDefault="008009AA">
      <w:pPr>
        <w:pStyle w:val="TOC7"/>
        <w:rPr>
          <w:rFonts w:cstheme="minorBidi"/>
          <w:sz w:val="22"/>
          <w:szCs w:val="22"/>
          <w:rtl/>
        </w:rPr>
      </w:pPr>
      <w:hyperlink w:anchor="_Toc163505798" w:history="1">
        <w:r w:rsidRPr="007246E7">
          <w:rPr>
            <w:rStyle w:val="Hyperlink"/>
            <w:rtl/>
          </w:rPr>
          <w:t>רמ"א או"ח סי' שי"ט 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Toc163505798 \h</w:instrText>
        </w:r>
        <w:r>
          <w:rPr>
            <w:webHidden/>
            <w:rtl/>
          </w:rPr>
          <w:instrText xml:space="preserve"> </w:instrText>
        </w:r>
        <w:r>
          <w:rPr>
            <w:rStyle w:val="Hyperlink"/>
            <w:rtl/>
          </w:rPr>
        </w:r>
        <w:r>
          <w:rPr>
            <w:rStyle w:val="Hyperlink"/>
            <w:rtl/>
          </w:rPr>
          <w:fldChar w:fldCharType="separate"/>
        </w:r>
        <w:r w:rsidR="00D82181">
          <w:rPr>
            <w:webHidden/>
            <w:rtl/>
          </w:rPr>
          <w:t>86</w:t>
        </w:r>
        <w:r>
          <w:rPr>
            <w:rStyle w:val="Hyperlink"/>
            <w:rtl/>
          </w:rPr>
          <w:fldChar w:fldCharType="end"/>
        </w:r>
      </w:hyperlink>
    </w:p>
    <w:p w14:paraId="381D7FB0" w14:textId="5BA39888" w:rsidR="008009AA" w:rsidRDefault="008009AA">
      <w:pPr>
        <w:pStyle w:val="TOC7"/>
        <w:rPr>
          <w:rFonts w:cstheme="minorBidi"/>
          <w:sz w:val="22"/>
          <w:szCs w:val="22"/>
          <w:rtl/>
        </w:rPr>
      </w:pPr>
      <w:hyperlink w:anchor="_Toc163505799" w:history="1">
        <w:r w:rsidRPr="007246E7">
          <w:rPr>
            <w:rStyle w:val="Hyperlink"/>
            <w:rtl/>
          </w:rPr>
          <w:t>טור או"ח סי' שיט 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Toc163505799 \h</w:instrText>
        </w:r>
        <w:r>
          <w:rPr>
            <w:webHidden/>
            <w:rtl/>
          </w:rPr>
          <w:instrText xml:space="preserve"> </w:instrText>
        </w:r>
        <w:r>
          <w:rPr>
            <w:rStyle w:val="Hyperlink"/>
            <w:rtl/>
          </w:rPr>
        </w:r>
        <w:r>
          <w:rPr>
            <w:rStyle w:val="Hyperlink"/>
            <w:rtl/>
          </w:rPr>
          <w:fldChar w:fldCharType="separate"/>
        </w:r>
        <w:r w:rsidR="00D82181">
          <w:rPr>
            <w:webHidden/>
            <w:rtl/>
          </w:rPr>
          <w:t>86</w:t>
        </w:r>
        <w:r>
          <w:rPr>
            <w:rStyle w:val="Hyperlink"/>
            <w:rtl/>
          </w:rPr>
          <w:fldChar w:fldCharType="end"/>
        </w:r>
      </w:hyperlink>
    </w:p>
    <w:p w14:paraId="5EB85AAD" w14:textId="0904F902" w:rsidR="008009AA" w:rsidRDefault="008009AA">
      <w:pPr>
        <w:pStyle w:val="TOC7"/>
        <w:rPr>
          <w:rFonts w:cstheme="minorBidi"/>
          <w:sz w:val="22"/>
          <w:szCs w:val="22"/>
          <w:rtl/>
        </w:rPr>
      </w:pPr>
      <w:hyperlink w:anchor="_Toc163505800" w:history="1">
        <w:r w:rsidRPr="007246E7">
          <w:rPr>
            <w:rStyle w:val="Hyperlink"/>
            <w:rtl/>
          </w:rPr>
          <w:t>מגן אברהם סי' שי"ט סק"ד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Toc163505800 \h</w:instrText>
        </w:r>
        <w:r>
          <w:rPr>
            <w:webHidden/>
            <w:rtl/>
          </w:rPr>
          <w:instrText xml:space="preserve"> </w:instrText>
        </w:r>
        <w:r>
          <w:rPr>
            <w:rStyle w:val="Hyperlink"/>
            <w:rtl/>
          </w:rPr>
        </w:r>
        <w:r>
          <w:rPr>
            <w:rStyle w:val="Hyperlink"/>
            <w:rtl/>
          </w:rPr>
          <w:fldChar w:fldCharType="separate"/>
        </w:r>
        <w:r w:rsidR="00D82181">
          <w:rPr>
            <w:webHidden/>
            <w:rtl/>
          </w:rPr>
          <w:t>86</w:t>
        </w:r>
        <w:r>
          <w:rPr>
            <w:rStyle w:val="Hyperlink"/>
            <w:rtl/>
          </w:rPr>
          <w:fldChar w:fldCharType="end"/>
        </w:r>
      </w:hyperlink>
    </w:p>
    <w:p w14:paraId="617B9396" w14:textId="65E8CDC8" w:rsidR="008009AA" w:rsidRDefault="008009AA">
      <w:pPr>
        <w:pStyle w:val="TOC7"/>
        <w:rPr>
          <w:rFonts w:cstheme="minorBidi"/>
          <w:sz w:val="22"/>
          <w:szCs w:val="22"/>
          <w:rtl/>
        </w:rPr>
      </w:pPr>
      <w:hyperlink w:anchor="_Toc163505801" w:history="1">
        <w:r w:rsidRPr="007246E7">
          <w:rPr>
            <w:rStyle w:val="Hyperlink"/>
            <w:rtl/>
          </w:rPr>
          <w:t>באור הלכה סי' שי"ט ג' ד"ה ומניח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Toc163505801 \h</w:instrText>
        </w:r>
        <w:r>
          <w:rPr>
            <w:webHidden/>
            <w:rtl/>
          </w:rPr>
          <w:instrText xml:space="preserve"> </w:instrText>
        </w:r>
        <w:r>
          <w:rPr>
            <w:rStyle w:val="Hyperlink"/>
            <w:rtl/>
          </w:rPr>
        </w:r>
        <w:r>
          <w:rPr>
            <w:rStyle w:val="Hyperlink"/>
            <w:rtl/>
          </w:rPr>
          <w:fldChar w:fldCharType="separate"/>
        </w:r>
        <w:r w:rsidR="00D82181">
          <w:rPr>
            <w:webHidden/>
            <w:rtl/>
          </w:rPr>
          <w:t>86</w:t>
        </w:r>
        <w:r>
          <w:rPr>
            <w:rStyle w:val="Hyperlink"/>
            <w:rtl/>
          </w:rPr>
          <w:fldChar w:fldCharType="end"/>
        </w:r>
      </w:hyperlink>
    </w:p>
    <w:p w14:paraId="5CD9BB2E" w14:textId="300F5E5B" w:rsidR="008009AA" w:rsidRDefault="008009AA">
      <w:pPr>
        <w:pStyle w:val="TOC7"/>
        <w:rPr>
          <w:rFonts w:cstheme="minorBidi"/>
          <w:sz w:val="22"/>
          <w:szCs w:val="22"/>
          <w:rtl/>
        </w:rPr>
      </w:pPr>
      <w:hyperlink w:anchor="_Toc163505802" w:history="1">
        <w:r w:rsidRPr="007246E7">
          <w:rPr>
            <w:rStyle w:val="Hyperlink"/>
            <w:rtl/>
          </w:rPr>
          <w:t>תרומת הדשן סי' נז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Toc163505802 \h</w:instrText>
        </w:r>
        <w:r>
          <w:rPr>
            <w:webHidden/>
            <w:rtl/>
          </w:rPr>
          <w:instrText xml:space="preserve"> </w:instrText>
        </w:r>
        <w:r>
          <w:rPr>
            <w:rStyle w:val="Hyperlink"/>
            <w:rtl/>
          </w:rPr>
        </w:r>
        <w:r>
          <w:rPr>
            <w:rStyle w:val="Hyperlink"/>
            <w:rtl/>
          </w:rPr>
          <w:fldChar w:fldCharType="separate"/>
        </w:r>
        <w:r w:rsidR="00D82181">
          <w:rPr>
            <w:webHidden/>
            <w:rtl/>
          </w:rPr>
          <w:t>86</w:t>
        </w:r>
        <w:r>
          <w:rPr>
            <w:rStyle w:val="Hyperlink"/>
            <w:rtl/>
          </w:rPr>
          <w:fldChar w:fldCharType="end"/>
        </w:r>
      </w:hyperlink>
    </w:p>
    <w:p w14:paraId="27EEBDD0" w14:textId="156B88BC" w:rsidR="008009AA" w:rsidRDefault="008009AA">
      <w:pPr>
        <w:pStyle w:val="TOC7"/>
        <w:rPr>
          <w:rFonts w:cstheme="minorBidi"/>
          <w:sz w:val="22"/>
          <w:szCs w:val="22"/>
          <w:rtl/>
        </w:rPr>
      </w:pPr>
      <w:hyperlink w:anchor="_Toc163505803" w:history="1">
        <w:r w:rsidRPr="007246E7">
          <w:rPr>
            <w:rStyle w:val="Hyperlink"/>
            <w:rtl/>
          </w:rPr>
          <w:t>אגלי טל זורה סק"א אות ז' ד"ה ע"כ</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Toc163505803 \h</w:instrText>
        </w:r>
        <w:r>
          <w:rPr>
            <w:webHidden/>
            <w:rtl/>
          </w:rPr>
          <w:instrText xml:space="preserve"> </w:instrText>
        </w:r>
        <w:r>
          <w:rPr>
            <w:rStyle w:val="Hyperlink"/>
            <w:rtl/>
          </w:rPr>
        </w:r>
        <w:r>
          <w:rPr>
            <w:rStyle w:val="Hyperlink"/>
            <w:rtl/>
          </w:rPr>
          <w:fldChar w:fldCharType="separate"/>
        </w:r>
        <w:r w:rsidR="00D82181">
          <w:rPr>
            <w:webHidden/>
            <w:rtl/>
          </w:rPr>
          <w:t>86</w:t>
        </w:r>
        <w:r>
          <w:rPr>
            <w:rStyle w:val="Hyperlink"/>
            <w:rtl/>
          </w:rPr>
          <w:fldChar w:fldCharType="end"/>
        </w:r>
      </w:hyperlink>
    </w:p>
    <w:p w14:paraId="0CF48FD6" w14:textId="37C23F4A" w:rsidR="008009AA" w:rsidRDefault="008009AA">
      <w:pPr>
        <w:pStyle w:val="TOC7"/>
        <w:rPr>
          <w:rFonts w:cstheme="minorBidi"/>
          <w:sz w:val="22"/>
          <w:szCs w:val="22"/>
          <w:rtl/>
        </w:rPr>
      </w:pPr>
      <w:hyperlink w:anchor="_Toc163505804" w:history="1">
        <w:r w:rsidRPr="007246E7">
          <w:rPr>
            <w:rStyle w:val="Hyperlink"/>
            <w:rtl/>
          </w:rPr>
          <w:t>אגלי טל זורה סק"א אות א', ב', 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Toc163505804 \h</w:instrText>
        </w:r>
        <w:r>
          <w:rPr>
            <w:webHidden/>
            <w:rtl/>
          </w:rPr>
          <w:instrText xml:space="preserve"> </w:instrText>
        </w:r>
        <w:r>
          <w:rPr>
            <w:rStyle w:val="Hyperlink"/>
            <w:rtl/>
          </w:rPr>
        </w:r>
        <w:r>
          <w:rPr>
            <w:rStyle w:val="Hyperlink"/>
            <w:rtl/>
          </w:rPr>
          <w:fldChar w:fldCharType="separate"/>
        </w:r>
        <w:r w:rsidR="00D82181">
          <w:rPr>
            <w:webHidden/>
            <w:rtl/>
          </w:rPr>
          <w:t>86</w:t>
        </w:r>
        <w:r>
          <w:rPr>
            <w:rStyle w:val="Hyperlink"/>
            <w:rtl/>
          </w:rPr>
          <w:fldChar w:fldCharType="end"/>
        </w:r>
      </w:hyperlink>
    </w:p>
    <w:p w14:paraId="1D3EABDB" w14:textId="32F6E111" w:rsidR="008009AA" w:rsidRDefault="008009AA">
      <w:pPr>
        <w:pStyle w:val="TOC7"/>
        <w:rPr>
          <w:rFonts w:cstheme="minorBidi"/>
          <w:sz w:val="22"/>
          <w:szCs w:val="22"/>
          <w:rtl/>
        </w:rPr>
      </w:pPr>
      <w:hyperlink w:anchor="_Toc163505805" w:history="1">
        <w:r w:rsidRPr="007246E7">
          <w:rPr>
            <w:rStyle w:val="Hyperlink"/>
            <w:rtl/>
          </w:rPr>
          <w:t>אגלי טל זורה סק"א אות 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Toc163505805 \h</w:instrText>
        </w:r>
        <w:r>
          <w:rPr>
            <w:webHidden/>
            <w:rtl/>
          </w:rPr>
          <w:instrText xml:space="preserve"> </w:instrText>
        </w:r>
        <w:r>
          <w:rPr>
            <w:rStyle w:val="Hyperlink"/>
            <w:rtl/>
          </w:rPr>
        </w:r>
        <w:r>
          <w:rPr>
            <w:rStyle w:val="Hyperlink"/>
            <w:rtl/>
          </w:rPr>
          <w:fldChar w:fldCharType="separate"/>
        </w:r>
        <w:r w:rsidR="00D82181">
          <w:rPr>
            <w:webHidden/>
            <w:rtl/>
          </w:rPr>
          <w:t>87</w:t>
        </w:r>
        <w:r>
          <w:rPr>
            <w:rStyle w:val="Hyperlink"/>
            <w:rtl/>
          </w:rPr>
          <w:fldChar w:fldCharType="end"/>
        </w:r>
      </w:hyperlink>
    </w:p>
    <w:p w14:paraId="0853C35C" w14:textId="5FDFA092" w:rsidR="008009AA" w:rsidRDefault="008009AA">
      <w:pPr>
        <w:pStyle w:val="TOC7"/>
        <w:rPr>
          <w:rFonts w:cstheme="minorBidi"/>
          <w:sz w:val="22"/>
          <w:szCs w:val="22"/>
          <w:rtl/>
        </w:rPr>
      </w:pPr>
      <w:hyperlink w:anchor="_Toc163505806" w:history="1">
        <w:r w:rsidRPr="007246E7">
          <w:rPr>
            <w:rStyle w:val="Hyperlink"/>
            <w:rtl/>
          </w:rPr>
          <w:t>אגלי טל זורה סק"א אות ז' ד"ה ע"כ</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Toc163505806 \h</w:instrText>
        </w:r>
        <w:r>
          <w:rPr>
            <w:webHidden/>
            <w:rtl/>
          </w:rPr>
          <w:instrText xml:space="preserve"> </w:instrText>
        </w:r>
        <w:r>
          <w:rPr>
            <w:rStyle w:val="Hyperlink"/>
            <w:rtl/>
          </w:rPr>
        </w:r>
        <w:r>
          <w:rPr>
            <w:rStyle w:val="Hyperlink"/>
            <w:rtl/>
          </w:rPr>
          <w:fldChar w:fldCharType="separate"/>
        </w:r>
        <w:r w:rsidR="00D82181">
          <w:rPr>
            <w:webHidden/>
            <w:rtl/>
          </w:rPr>
          <w:t>87</w:t>
        </w:r>
        <w:r>
          <w:rPr>
            <w:rStyle w:val="Hyperlink"/>
            <w:rtl/>
          </w:rPr>
          <w:fldChar w:fldCharType="end"/>
        </w:r>
      </w:hyperlink>
    </w:p>
    <w:p w14:paraId="107A48E3" w14:textId="6221CD1C" w:rsidR="008009AA" w:rsidRDefault="008009AA">
      <w:pPr>
        <w:pStyle w:val="TOC7"/>
        <w:rPr>
          <w:rFonts w:cstheme="minorBidi"/>
          <w:sz w:val="22"/>
          <w:szCs w:val="22"/>
          <w:rtl/>
        </w:rPr>
      </w:pPr>
      <w:hyperlink w:anchor="_Toc163505807" w:history="1">
        <w:r w:rsidRPr="007246E7">
          <w:rPr>
            <w:rStyle w:val="Hyperlink"/>
            <w:rtl/>
          </w:rPr>
          <w:t>אגלי טל זורה סק"א אות ז' ד"ה ובזה יתיישב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Toc163505807 \h</w:instrText>
        </w:r>
        <w:r>
          <w:rPr>
            <w:webHidden/>
            <w:rtl/>
          </w:rPr>
          <w:instrText xml:space="preserve"> </w:instrText>
        </w:r>
        <w:r>
          <w:rPr>
            <w:rStyle w:val="Hyperlink"/>
            <w:rtl/>
          </w:rPr>
        </w:r>
        <w:r>
          <w:rPr>
            <w:rStyle w:val="Hyperlink"/>
            <w:rtl/>
          </w:rPr>
          <w:fldChar w:fldCharType="separate"/>
        </w:r>
        <w:r w:rsidR="00D82181">
          <w:rPr>
            <w:webHidden/>
            <w:rtl/>
          </w:rPr>
          <w:t>87</w:t>
        </w:r>
        <w:r>
          <w:rPr>
            <w:rStyle w:val="Hyperlink"/>
            <w:rtl/>
          </w:rPr>
          <w:fldChar w:fldCharType="end"/>
        </w:r>
      </w:hyperlink>
    </w:p>
    <w:p w14:paraId="3E4AE33D" w14:textId="6EF77295" w:rsidR="008009AA" w:rsidRDefault="008009AA">
      <w:pPr>
        <w:pStyle w:val="TOC7"/>
        <w:rPr>
          <w:rFonts w:cstheme="minorBidi"/>
          <w:sz w:val="22"/>
          <w:szCs w:val="22"/>
          <w:rtl/>
        </w:rPr>
      </w:pPr>
      <w:hyperlink w:anchor="_Toc163505808" w:history="1">
        <w:r w:rsidRPr="007246E7">
          <w:rPr>
            <w:rStyle w:val="Hyperlink"/>
            <w:rtl/>
          </w:rPr>
          <w:t>מאירי שבת ע"ד ע"א ד"ה זה שביארנו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Toc163505808 \h</w:instrText>
        </w:r>
        <w:r>
          <w:rPr>
            <w:webHidden/>
            <w:rtl/>
          </w:rPr>
          <w:instrText xml:space="preserve"> </w:instrText>
        </w:r>
        <w:r>
          <w:rPr>
            <w:rStyle w:val="Hyperlink"/>
            <w:rtl/>
          </w:rPr>
        </w:r>
        <w:r>
          <w:rPr>
            <w:rStyle w:val="Hyperlink"/>
            <w:rtl/>
          </w:rPr>
          <w:fldChar w:fldCharType="separate"/>
        </w:r>
        <w:r w:rsidR="00D82181">
          <w:rPr>
            <w:webHidden/>
            <w:rtl/>
          </w:rPr>
          <w:t>87</w:t>
        </w:r>
        <w:r>
          <w:rPr>
            <w:rStyle w:val="Hyperlink"/>
            <w:rtl/>
          </w:rPr>
          <w:fldChar w:fldCharType="end"/>
        </w:r>
      </w:hyperlink>
    </w:p>
    <w:p w14:paraId="59FC6C88" w14:textId="118663E4" w:rsidR="008009AA" w:rsidRDefault="008009AA">
      <w:pPr>
        <w:pStyle w:val="TOC7"/>
        <w:rPr>
          <w:rFonts w:cstheme="minorBidi"/>
          <w:sz w:val="22"/>
          <w:szCs w:val="22"/>
          <w:rtl/>
        </w:rPr>
      </w:pPr>
      <w:hyperlink w:anchor="_Toc163505809" w:history="1">
        <w:r w:rsidRPr="007246E7">
          <w:rPr>
            <w:rStyle w:val="Hyperlink"/>
            <w:rtl/>
          </w:rPr>
          <w:t>אגלי טל בורר סקט"ו אות 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Toc163505809 \h</w:instrText>
        </w:r>
        <w:r>
          <w:rPr>
            <w:webHidden/>
            <w:rtl/>
          </w:rPr>
          <w:instrText xml:space="preserve"> </w:instrText>
        </w:r>
        <w:r>
          <w:rPr>
            <w:rStyle w:val="Hyperlink"/>
            <w:rtl/>
          </w:rPr>
        </w:r>
        <w:r>
          <w:rPr>
            <w:rStyle w:val="Hyperlink"/>
            <w:rtl/>
          </w:rPr>
          <w:fldChar w:fldCharType="separate"/>
        </w:r>
        <w:r w:rsidR="00D82181">
          <w:rPr>
            <w:webHidden/>
            <w:rtl/>
          </w:rPr>
          <w:t>87</w:t>
        </w:r>
        <w:r>
          <w:rPr>
            <w:rStyle w:val="Hyperlink"/>
            <w:rtl/>
          </w:rPr>
          <w:fldChar w:fldCharType="end"/>
        </w:r>
      </w:hyperlink>
    </w:p>
    <w:p w14:paraId="43DC8149" w14:textId="45CACD39" w:rsidR="008009AA" w:rsidRDefault="008009AA">
      <w:pPr>
        <w:pStyle w:val="TOC7"/>
        <w:rPr>
          <w:rFonts w:cstheme="minorBidi"/>
          <w:sz w:val="22"/>
          <w:szCs w:val="22"/>
          <w:rtl/>
        </w:rPr>
      </w:pPr>
      <w:hyperlink w:anchor="_Toc163505810" w:history="1">
        <w:r w:rsidRPr="007246E7">
          <w:rPr>
            <w:rStyle w:val="Hyperlink"/>
            <w:rtl/>
          </w:rPr>
          <w:t>קרית ספר שבת פ"ח ד"ה בורר אוכל</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Toc163505810 \h</w:instrText>
        </w:r>
        <w:r>
          <w:rPr>
            <w:webHidden/>
            <w:rtl/>
          </w:rPr>
          <w:instrText xml:space="preserve"> </w:instrText>
        </w:r>
        <w:r>
          <w:rPr>
            <w:rStyle w:val="Hyperlink"/>
            <w:rtl/>
          </w:rPr>
        </w:r>
        <w:r>
          <w:rPr>
            <w:rStyle w:val="Hyperlink"/>
            <w:rtl/>
          </w:rPr>
          <w:fldChar w:fldCharType="separate"/>
        </w:r>
        <w:r w:rsidR="00D82181">
          <w:rPr>
            <w:webHidden/>
            <w:rtl/>
          </w:rPr>
          <w:t>88</w:t>
        </w:r>
        <w:r>
          <w:rPr>
            <w:rStyle w:val="Hyperlink"/>
            <w:rtl/>
          </w:rPr>
          <w:fldChar w:fldCharType="end"/>
        </w:r>
      </w:hyperlink>
    </w:p>
    <w:p w14:paraId="7D58AC3A" w14:textId="1A1075FA" w:rsidR="008009AA" w:rsidRDefault="008009AA">
      <w:pPr>
        <w:pStyle w:val="TOC7"/>
        <w:rPr>
          <w:rFonts w:cstheme="minorBidi"/>
          <w:sz w:val="22"/>
          <w:szCs w:val="22"/>
          <w:rtl/>
        </w:rPr>
      </w:pPr>
      <w:hyperlink w:anchor="_Toc163505811" w:history="1">
        <w:r w:rsidRPr="007246E7">
          <w:rPr>
            <w:rStyle w:val="Hyperlink"/>
            <w:rtl/>
          </w:rPr>
          <w:t>מגיד משנה שבת פ"ח הי"ב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Toc163505811 \h</w:instrText>
        </w:r>
        <w:r>
          <w:rPr>
            <w:webHidden/>
            <w:rtl/>
          </w:rPr>
          <w:instrText xml:space="preserve"> </w:instrText>
        </w:r>
        <w:r>
          <w:rPr>
            <w:rStyle w:val="Hyperlink"/>
            <w:rtl/>
          </w:rPr>
        </w:r>
        <w:r>
          <w:rPr>
            <w:rStyle w:val="Hyperlink"/>
            <w:rtl/>
          </w:rPr>
          <w:fldChar w:fldCharType="separate"/>
        </w:r>
        <w:r w:rsidR="00D82181">
          <w:rPr>
            <w:webHidden/>
            <w:rtl/>
          </w:rPr>
          <w:t>88</w:t>
        </w:r>
        <w:r>
          <w:rPr>
            <w:rStyle w:val="Hyperlink"/>
            <w:rtl/>
          </w:rPr>
          <w:fldChar w:fldCharType="end"/>
        </w:r>
      </w:hyperlink>
    </w:p>
    <w:p w14:paraId="4DD41DB0" w14:textId="5B5260CF" w:rsidR="008009AA" w:rsidRDefault="008009AA">
      <w:pPr>
        <w:pStyle w:val="TOC7"/>
        <w:rPr>
          <w:rFonts w:cstheme="minorBidi"/>
          <w:sz w:val="22"/>
          <w:szCs w:val="22"/>
          <w:rtl/>
        </w:rPr>
      </w:pPr>
      <w:hyperlink w:anchor="_Toc163505812" w:history="1">
        <w:r w:rsidRPr="007246E7">
          <w:rPr>
            <w:rStyle w:val="Hyperlink"/>
            <w:rtl/>
          </w:rPr>
          <w:t>אגלי טל בורר סקט"ו אות 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Toc163505812 \h</w:instrText>
        </w:r>
        <w:r>
          <w:rPr>
            <w:webHidden/>
            <w:rtl/>
          </w:rPr>
          <w:instrText xml:space="preserve"> </w:instrText>
        </w:r>
        <w:r>
          <w:rPr>
            <w:rStyle w:val="Hyperlink"/>
            <w:rtl/>
          </w:rPr>
        </w:r>
        <w:r>
          <w:rPr>
            <w:rStyle w:val="Hyperlink"/>
            <w:rtl/>
          </w:rPr>
          <w:fldChar w:fldCharType="separate"/>
        </w:r>
        <w:r w:rsidR="00D82181">
          <w:rPr>
            <w:webHidden/>
            <w:rtl/>
          </w:rPr>
          <w:t>88</w:t>
        </w:r>
        <w:r>
          <w:rPr>
            <w:rStyle w:val="Hyperlink"/>
            <w:rtl/>
          </w:rPr>
          <w:fldChar w:fldCharType="end"/>
        </w:r>
      </w:hyperlink>
    </w:p>
    <w:p w14:paraId="5D83C313" w14:textId="22FEA4CA" w:rsidR="008009AA" w:rsidRDefault="008009AA">
      <w:pPr>
        <w:pStyle w:val="TOC7"/>
        <w:rPr>
          <w:rFonts w:cstheme="minorBidi"/>
          <w:sz w:val="22"/>
          <w:szCs w:val="22"/>
          <w:rtl/>
        </w:rPr>
      </w:pPr>
      <w:hyperlink w:anchor="_Toc163505813" w:history="1">
        <w:r w:rsidRPr="007246E7">
          <w:rPr>
            <w:rStyle w:val="Hyperlink"/>
            <w:rtl/>
          </w:rPr>
          <w:t>אגלי טל בורר סקט"ו אות 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Toc163505813 \h</w:instrText>
        </w:r>
        <w:r>
          <w:rPr>
            <w:webHidden/>
            <w:rtl/>
          </w:rPr>
          <w:instrText xml:space="preserve"> </w:instrText>
        </w:r>
        <w:r>
          <w:rPr>
            <w:rStyle w:val="Hyperlink"/>
            <w:rtl/>
          </w:rPr>
        </w:r>
        <w:r>
          <w:rPr>
            <w:rStyle w:val="Hyperlink"/>
            <w:rtl/>
          </w:rPr>
          <w:fldChar w:fldCharType="separate"/>
        </w:r>
        <w:r w:rsidR="00D82181">
          <w:rPr>
            <w:webHidden/>
            <w:rtl/>
          </w:rPr>
          <w:t>88</w:t>
        </w:r>
        <w:r>
          <w:rPr>
            <w:rStyle w:val="Hyperlink"/>
            <w:rtl/>
          </w:rPr>
          <w:fldChar w:fldCharType="end"/>
        </w:r>
      </w:hyperlink>
    </w:p>
    <w:p w14:paraId="22DF9D73" w14:textId="302C7622" w:rsidR="008009AA" w:rsidRDefault="008009AA">
      <w:pPr>
        <w:pStyle w:val="TOC7"/>
        <w:rPr>
          <w:rFonts w:cstheme="minorBidi"/>
          <w:sz w:val="22"/>
          <w:szCs w:val="22"/>
          <w:rtl/>
        </w:rPr>
      </w:pPr>
      <w:hyperlink w:anchor="_Toc163505814" w:history="1">
        <w:r w:rsidRPr="007246E7">
          <w:rPr>
            <w:rStyle w:val="Hyperlink"/>
            <w:rtl/>
          </w:rPr>
          <w:t>רמב"ם שבת פ"ח הי"ב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Toc163505814 \h</w:instrText>
        </w:r>
        <w:r>
          <w:rPr>
            <w:webHidden/>
            <w:rtl/>
          </w:rPr>
          <w:instrText xml:space="preserve"> </w:instrText>
        </w:r>
        <w:r>
          <w:rPr>
            <w:rStyle w:val="Hyperlink"/>
            <w:rtl/>
          </w:rPr>
        </w:r>
        <w:r>
          <w:rPr>
            <w:rStyle w:val="Hyperlink"/>
            <w:rtl/>
          </w:rPr>
          <w:fldChar w:fldCharType="separate"/>
        </w:r>
        <w:r w:rsidR="00D82181">
          <w:rPr>
            <w:webHidden/>
            <w:rtl/>
          </w:rPr>
          <w:t>88</w:t>
        </w:r>
        <w:r>
          <w:rPr>
            <w:rStyle w:val="Hyperlink"/>
            <w:rtl/>
          </w:rPr>
          <w:fldChar w:fldCharType="end"/>
        </w:r>
      </w:hyperlink>
    </w:p>
    <w:p w14:paraId="77A80DAE" w14:textId="46FC8278" w:rsidR="008009AA" w:rsidRDefault="008009AA">
      <w:pPr>
        <w:pStyle w:val="TOC7"/>
        <w:rPr>
          <w:rFonts w:cstheme="minorBidi"/>
          <w:sz w:val="22"/>
          <w:szCs w:val="22"/>
          <w:rtl/>
        </w:rPr>
      </w:pPr>
      <w:hyperlink w:anchor="_Toc163505815" w:history="1">
        <w:r w:rsidRPr="007246E7">
          <w:rPr>
            <w:rStyle w:val="Hyperlink"/>
            <w:rtl/>
          </w:rPr>
          <w:t>רמב"ם שבת פ"ח הי"ג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Toc163505815 \h</w:instrText>
        </w:r>
        <w:r>
          <w:rPr>
            <w:webHidden/>
            <w:rtl/>
          </w:rPr>
          <w:instrText xml:space="preserve"> </w:instrText>
        </w:r>
        <w:r>
          <w:rPr>
            <w:rStyle w:val="Hyperlink"/>
            <w:rtl/>
          </w:rPr>
        </w:r>
        <w:r>
          <w:rPr>
            <w:rStyle w:val="Hyperlink"/>
            <w:rtl/>
          </w:rPr>
          <w:fldChar w:fldCharType="separate"/>
        </w:r>
        <w:r w:rsidR="00D82181">
          <w:rPr>
            <w:webHidden/>
            <w:rtl/>
          </w:rPr>
          <w:t>88</w:t>
        </w:r>
        <w:r>
          <w:rPr>
            <w:rStyle w:val="Hyperlink"/>
            <w:rtl/>
          </w:rPr>
          <w:fldChar w:fldCharType="end"/>
        </w:r>
      </w:hyperlink>
    </w:p>
    <w:p w14:paraId="0521C24D" w14:textId="2F674448" w:rsidR="008009AA" w:rsidRDefault="008009AA">
      <w:pPr>
        <w:pStyle w:val="TOC7"/>
        <w:rPr>
          <w:rFonts w:cstheme="minorBidi"/>
          <w:sz w:val="22"/>
          <w:szCs w:val="22"/>
          <w:rtl/>
        </w:rPr>
      </w:pPr>
      <w:hyperlink w:anchor="_Toc163505816" w:history="1">
        <w:r w:rsidRPr="007246E7">
          <w:rPr>
            <w:rStyle w:val="Hyperlink"/>
            <w:rtl/>
          </w:rPr>
          <w:t>שו"ע או"ח סי' שי"ט 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Toc163505816 \h</w:instrText>
        </w:r>
        <w:r>
          <w:rPr>
            <w:webHidden/>
            <w:rtl/>
          </w:rPr>
          <w:instrText xml:space="preserve"> </w:instrText>
        </w:r>
        <w:r>
          <w:rPr>
            <w:rStyle w:val="Hyperlink"/>
            <w:rtl/>
          </w:rPr>
        </w:r>
        <w:r>
          <w:rPr>
            <w:rStyle w:val="Hyperlink"/>
            <w:rtl/>
          </w:rPr>
          <w:fldChar w:fldCharType="separate"/>
        </w:r>
        <w:r w:rsidR="00D82181">
          <w:rPr>
            <w:webHidden/>
            <w:rtl/>
          </w:rPr>
          <w:t>88</w:t>
        </w:r>
        <w:r>
          <w:rPr>
            <w:rStyle w:val="Hyperlink"/>
            <w:rtl/>
          </w:rPr>
          <w:fldChar w:fldCharType="end"/>
        </w:r>
      </w:hyperlink>
    </w:p>
    <w:p w14:paraId="7B27C1A3" w14:textId="24B9D507" w:rsidR="008009AA" w:rsidRDefault="008009AA">
      <w:pPr>
        <w:pStyle w:val="TOC7"/>
        <w:rPr>
          <w:rFonts w:cstheme="minorBidi"/>
          <w:sz w:val="22"/>
          <w:szCs w:val="22"/>
          <w:rtl/>
        </w:rPr>
      </w:pPr>
      <w:hyperlink w:anchor="_Toc163505817" w:history="1">
        <w:r w:rsidRPr="007246E7">
          <w:rPr>
            <w:rStyle w:val="Hyperlink"/>
            <w:rtl/>
          </w:rPr>
          <w:t>מגיד משנה שבת פ"ח הי"ב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Toc163505817 \h</w:instrText>
        </w:r>
        <w:r>
          <w:rPr>
            <w:webHidden/>
            <w:rtl/>
          </w:rPr>
          <w:instrText xml:space="preserve"> </w:instrText>
        </w:r>
        <w:r>
          <w:rPr>
            <w:rStyle w:val="Hyperlink"/>
            <w:rtl/>
          </w:rPr>
        </w:r>
        <w:r>
          <w:rPr>
            <w:rStyle w:val="Hyperlink"/>
            <w:rtl/>
          </w:rPr>
          <w:fldChar w:fldCharType="separate"/>
        </w:r>
        <w:r w:rsidR="00D82181">
          <w:rPr>
            <w:webHidden/>
            <w:rtl/>
          </w:rPr>
          <w:t>88</w:t>
        </w:r>
        <w:r>
          <w:rPr>
            <w:rStyle w:val="Hyperlink"/>
            <w:rtl/>
          </w:rPr>
          <w:fldChar w:fldCharType="end"/>
        </w:r>
      </w:hyperlink>
    </w:p>
    <w:p w14:paraId="3F3C76DC" w14:textId="70C33FCD" w:rsidR="008009AA" w:rsidRDefault="008009AA">
      <w:pPr>
        <w:pStyle w:val="TOC7"/>
        <w:rPr>
          <w:rFonts w:cstheme="minorBidi"/>
          <w:sz w:val="22"/>
          <w:szCs w:val="22"/>
          <w:rtl/>
        </w:rPr>
      </w:pPr>
      <w:hyperlink w:anchor="_Toc163505818" w:history="1">
        <w:r w:rsidRPr="007246E7">
          <w:rPr>
            <w:rStyle w:val="Hyperlink"/>
            <w:rtl/>
          </w:rPr>
          <w:t>בית יוסף או"ח סי' שי"ט א' ד"ה והמרדכי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Toc163505818 \h</w:instrText>
        </w:r>
        <w:r>
          <w:rPr>
            <w:webHidden/>
            <w:rtl/>
          </w:rPr>
          <w:instrText xml:space="preserve"> </w:instrText>
        </w:r>
        <w:r>
          <w:rPr>
            <w:rStyle w:val="Hyperlink"/>
            <w:rtl/>
          </w:rPr>
        </w:r>
        <w:r>
          <w:rPr>
            <w:rStyle w:val="Hyperlink"/>
            <w:rtl/>
          </w:rPr>
          <w:fldChar w:fldCharType="separate"/>
        </w:r>
        <w:r w:rsidR="00D82181">
          <w:rPr>
            <w:webHidden/>
            <w:rtl/>
          </w:rPr>
          <w:t>88</w:t>
        </w:r>
        <w:r>
          <w:rPr>
            <w:rStyle w:val="Hyperlink"/>
            <w:rtl/>
          </w:rPr>
          <w:fldChar w:fldCharType="end"/>
        </w:r>
      </w:hyperlink>
    </w:p>
    <w:p w14:paraId="0DA8BE73" w14:textId="229BE20C" w:rsidR="008009AA" w:rsidRDefault="008009AA">
      <w:pPr>
        <w:pStyle w:val="TOC7"/>
        <w:rPr>
          <w:rFonts w:cstheme="minorBidi"/>
          <w:sz w:val="22"/>
          <w:szCs w:val="22"/>
          <w:rtl/>
        </w:rPr>
      </w:pPr>
      <w:hyperlink w:anchor="_Toc163505819" w:history="1">
        <w:r w:rsidRPr="007246E7">
          <w:rPr>
            <w:rStyle w:val="Hyperlink"/>
            <w:rtl/>
          </w:rPr>
          <w:t>חידושי רבינו משה קזיס שבת ק"מ ע"א ד"ה ונותנים</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Toc163505819 \h</w:instrText>
        </w:r>
        <w:r>
          <w:rPr>
            <w:webHidden/>
            <w:rtl/>
          </w:rPr>
          <w:instrText xml:space="preserve"> </w:instrText>
        </w:r>
        <w:r>
          <w:rPr>
            <w:rStyle w:val="Hyperlink"/>
            <w:rtl/>
          </w:rPr>
        </w:r>
        <w:r>
          <w:rPr>
            <w:rStyle w:val="Hyperlink"/>
            <w:rtl/>
          </w:rPr>
          <w:fldChar w:fldCharType="separate"/>
        </w:r>
        <w:r w:rsidR="00D82181">
          <w:rPr>
            <w:webHidden/>
            <w:rtl/>
          </w:rPr>
          <w:t>88</w:t>
        </w:r>
        <w:r>
          <w:rPr>
            <w:rStyle w:val="Hyperlink"/>
            <w:rtl/>
          </w:rPr>
          <w:fldChar w:fldCharType="end"/>
        </w:r>
      </w:hyperlink>
    </w:p>
    <w:p w14:paraId="1D9F042B" w14:textId="7B775FA3" w:rsidR="008009AA" w:rsidRDefault="008009AA">
      <w:pPr>
        <w:pStyle w:val="TOC7"/>
        <w:rPr>
          <w:rFonts w:cstheme="minorBidi"/>
          <w:sz w:val="22"/>
          <w:szCs w:val="22"/>
          <w:rtl/>
        </w:rPr>
      </w:pPr>
      <w:hyperlink w:anchor="_Toc163505820" w:history="1">
        <w:r w:rsidRPr="007246E7">
          <w:rPr>
            <w:rStyle w:val="Hyperlink"/>
            <w:rtl/>
          </w:rPr>
          <w:t>ראש יוסף שבת ע"ד ע"א ד"ה והנה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Toc163505820 \h</w:instrText>
        </w:r>
        <w:r>
          <w:rPr>
            <w:webHidden/>
            <w:rtl/>
          </w:rPr>
          <w:instrText xml:space="preserve"> </w:instrText>
        </w:r>
        <w:r>
          <w:rPr>
            <w:rStyle w:val="Hyperlink"/>
            <w:rtl/>
          </w:rPr>
        </w:r>
        <w:r>
          <w:rPr>
            <w:rStyle w:val="Hyperlink"/>
            <w:rtl/>
          </w:rPr>
          <w:fldChar w:fldCharType="separate"/>
        </w:r>
        <w:r w:rsidR="00D82181">
          <w:rPr>
            <w:webHidden/>
            <w:rtl/>
          </w:rPr>
          <w:t>89</w:t>
        </w:r>
        <w:r>
          <w:rPr>
            <w:rStyle w:val="Hyperlink"/>
            <w:rtl/>
          </w:rPr>
          <w:fldChar w:fldCharType="end"/>
        </w:r>
      </w:hyperlink>
    </w:p>
    <w:p w14:paraId="786F968C" w14:textId="77C5F5CB" w:rsidR="008009AA" w:rsidRDefault="008009AA">
      <w:pPr>
        <w:pStyle w:val="TOC7"/>
        <w:rPr>
          <w:rFonts w:cstheme="minorBidi"/>
          <w:sz w:val="22"/>
          <w:szCs w:val="22"/>
          <w:rtl/>
        </w:rPr>
      </w:pPr>
      <w:hyperlink w:anchor="_Toc163505821" w:history="1">
        <w:r w:rsidRPr="007246E7">
          <w:rPr>
            <w:rStyle w:val="Hyperlink"/>
            <w:rtl/>
          </w:rPr>
          <w:t>פרי מגדים או"ח משב"ז סי' שי"ט סק"ב ד"ה ומפני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Toc163505821 \h</w:instrText>
        </w:r>
        <w:r>
          <w:rPr>
            <w:webHidden/>
            <w:rtl/>
          </w:rPr>
          <w:instrText xml:space="preserve"> </w:instrText>
        </w:r>
        <w:r>
          <w:rPr>
            <w:rStyle w:val="Hyperlink"/>
            <w:rtl/>
          </w:rPr>
        </w:r>
        <w:r>
          <w:rPr>
            <w:rStyle w:val="Hyperlink"/>
            <w:rtl/>
          </w:rPr>
          <w:fldChar w:fldCharType="separate"/>
        </w:r>
        <w:r w:rsidR="00D82181">
          <w:rPr>
            <w:webHidden/>
            <w:rtl/>
          </w:rPr>
          <w:t>89</w:t>
        </w:r>
        <w:r>
          <w:rPr>
            <w:rStyle w:val="Hyperlink"/>
            <w:rtl/>
          </w:rPr>
          <w:fldChar w:fldCharType="end"/>
        </w:r>
      </w:hyperlink>
    </w:p>
    <w:p w14:paraId="6BEF6A26" w14:textId="63534433" w:rsidR="008009AA" w:rsidRDefault="008009AA">
      <w:pPr>
        <w:pStyle w:val="TOC7"/>
        <w:rPr>
          <w:rFonts w:cstheme="minorBidi"/>
          <w:sz w:val="22"/>
          <w:szCs w:val="22"/>
          <w:rtl/>
        </w:rPr>
      </w:pPr>
      <w:hyperlink w:anchor="_Toc163505822" w:history="1">
        <w:r w:rsidRPr="007246E7">
          <w:rPr>
            <w:rStyle w:val="Hyperlink"/>
            <w:rtl/>
          </w:rPr>
          <w:t>באור הלכה סי' שי"ט ג' ד"ה היו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Toc163505822 \h</w:instrText>
        </w:r>
        <w:r>
          <w:rPr>
            <w:webHidden/>
            <w:rtl/>
          </w:rPr>
          <w:instrText xml:space="preserve"> </w:instrText>
        </w:r>
        <w:r>
          <w:rPr>
            <w:rStyle w:val="Hyperlink"/>
            <w:rtl/>
          </w:rPr>
        </w:r>
        <w:r>
          <w:rPr>
            <w:rStyle w:val="Hyperlink"/>
            <w:rtl/>
          </w:rPr>
          <w:fldChar w:fldCharType="separate"/>
        </w:r>
        <w:r w:rsidR="00D82181">
          <w:rPr>
            <w:webHidden/>
            <w:rtl/>
          </w:rPr>
          <w:t>89</w:t>
        </w:r>
        <w:r>
          <w:rPr>
            <w:rStyle w:val="Hyperlink"/>
            <w:rtl/>
          </w:rPr>
          <w:fldChar w:fldCharType="end"/>
        </w:r>
      </w:hyperlink>
    </w:p>
    <w:p w14:paraId="5AC82638" w14:textId="2DBB3E73" w:rsidR="008009AA" w:rsidRDefault="008009AA">
      <w:pPr>
        <w:pStyle w:val="TOC7"/>
        <w:rPr>
          <w:rFonts w:cstheme="minorBidi"/>
          <w:sz w:val="22"/>
          <w:szCs w:val="22"/>
          <w:rtl/>
        </w:rPr>
      </w:pPr>
      <w:hyperlink w:anchor="_Toc163505823" w:history="1">
        <w:r w:rsidRPr="007246E7">
          <w:rPr>
            <w:rStyle w:val="Hyperlink"/>
            <w:rtl/>
          </w:rPr>
          <w:t>באור הלכה סי' שי"ט ג' ד"ה ומניח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Toc163505823 \h</w:instrText>
        </w:r>
        <w:r>
          <w:rPr>
            <w:webHidden/>
            <w:rtl/>
          </w:rPr>
          <w:instrText xml:space="preserve"> </w:instrText>
        </w:r>
        <w:r>
          <w:rPr>
            <w:rStyle w:val="Hyperlink"/>
            <w:rtl/>
          </w:rPr>
        </w:r>
        <w:r>
          <w:rPr>
            <w:rStyle w:val="Hyperlink"/>
            <w:rtl/>
          </w:rPr>
          <w:fldChar w:fldCharType="separate"/>
        </w:r>
        <w:r w:rsidR="00D82181">
          <w:rPr>
            <w:webHidden/>
            <w:rtl/>
          </w:rPr>
          <w:t>89</w:t>
        </w:r>
        <w:r>
          <w:rPr>
            <w:rStyle w:val="Hyperlink"/>
            <w:rtl/>
          </w:rPr>
          <w:fldChar w:fldCharType="end"/>
        </w:r>
      </w:hyperlink>
    </w:p>
    <w:p w14:paraId="4B6F1A45" w14:textId="51841EE2" w:rsidR="008009AA" w:rsidRDefault="008009AA">
      <w:pPr>
        <w:pStyle w:val="TOC7"/>
        <w:rPr>
          <w:rFonts w:cstheme="minorBidi"/>
          <w:sz w:val="22"/>
          <w:szCs w:val="22"/>
          <w:rtl/>
        </w:rPr>
      </w:pPr>
      <w:hyperlink w:anchor="_Toc163505824" w:history="1">
        <w:r w:rsidRPr="007246E7">
          <w:rPr>
            <w:rStyle w:val="Hyperlink"/>
            <w:rtl/>
          </w:rPr>
          <w:t>תרומת הדשן סי' נז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Toc163505824 \h</w:instrText>
        </w:r>
        <w:r>
          <w:rPr>
            <w:webHidden/>
            <w:rtl/>
          </w:rPr>
          <w:instrText xml:space="preserve"> </w:instrText>
        </w:r>
        <w:r>
          <w:rPr>
            <w:rStyle w:val="Hyperlink"/>
            <w:rtl/>
          </w:rPr>
        </w:r>
        <w:r>
          <w:rPr>
            <w:rStyle w:val="Hyperlink"/>
            <w:rtl/>
          </w:rPr>
          <w:fldChar w:fldCharType="separate"/>
        </w:r>
        <w:r w:rsidR="00D82181">
          <w:rPr>
            <w:webHidden/>
            <w:rtl/>
          </w:rPr>
          <w:t>89</w:t>
        </w:r>
        <w:r>
          <w:rPr>
            <w:rStyle w:val="Hyperlink"/>
            <w:rtl/>
          </w:rPr>
          <w:fldChar w:fldCharType="end"/>
        </w:r>
      </w:hyperlink>
    </w:p>
    <w:p w14:paraId="004FA070" w14:textId="56EFFB53" w:rsidR="008009AA" w:rsidRDefault="008009AA">
      <w:pPr>
        <w:pStyle w:val="TOC7"/>
        <w:rPr>
          <w:rFonts w:cstheme="minorBidi"/>
          <w:sz w:val="22"/>
          <w:szCs w:val="22"/>
          <w:rtl/>
        </w:rPr>
      </w:pPr>
      <w:hyperlink w:anchor="_Toc163505825" w:history="1">
        <w:r w:rsidRPr="007246E7">
          <w:rPr>
            <w:rStyle w:val="Hyperlink"/>
            <w:rtl/>
          </w:rPr>
          <w:t>ראש יוסף שבת ע"ד ע"א ד"ה והנה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Toc163505825 \h</w:instrText>
        </w:r>
        <w:r>
          <w:rPr>
            <w:webHidden/>
            <w:rtl/>
          </w:rPr>
          <w:instrText xml:space="preserve"> </w:instrText>
        </w:r>
        <w:r>
          <w:rPr>
            <w:rStyle w:val="Hyperlink"/>
            <w:rtl/>
          </w:rPr>
        </w:r>
        <w:r>
          <w:rPr>
            <w:rStyle w:val="Hyperlink"/>
            <w:rtl/>
          </w:rPr>
          <w:fldChar w:fldCharType="separate"/>
        </w:r>
        <w:r w:rsidR="00D82181">
          <w:rPr>
            <w:webHidden/>
            <w:rtl/>
          </w:rPr>
          <w:t>89</w:t>
        </w:r>
        <w:r>
          <w:rPr>
            <w:rStyle w:val="Hyperlink"/>
            <w:rtl/>
          </w:rPr>
          <w:fldChar w:fldCharType="end"/>
        </w:r>
      </w:hyperlink>
    </w:p>
    <w:p w14:paraId="09CA9439" w14:textId="6B351470" w:rsidR="008009AA" w:rsidRDefault="008009AA">
      <w:pPr>
        <w:pStyle w:val="TOC7"/>
        <w:rPr>
          <w:rFonts w:cstheme="minorBidi"/>
          <w:sz w:val="22"/>
          <w:szCs w:val="22"/>
          <w:rtl/>
        </w:rPr>
      </w:pPr>
      <w:hyperlink w:anchor="_Toc163505826" w:history="1">
        <w:r w:rsidRPr="007246E7">
          <w:rPr>
            <w:rStyle w:val="Hyperlink"/>
            <w:rtl/>
          </w:rPr>
          <w:t>ראש יוסף שבת ע"ד ע"א ד"ה ומשמע דכאן</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Toc163505826 \h</w:instrText>
        </w:r>
        <w:r>
          <w:rPr>
            <w:webHidden/>
            <w:rtl/>
          </w:rPr>
          <w:instrText xml:space="preserve"> </w:instrText>
        </w:r>
        <w:r>
          <w:rPr>
            <w:rStyle w:val="Hyperlink"/>
            <w:rtl/>
          </w:rPr>
        </w:r>
        <w:r>
          <w:rPr>
            <w:rStyle w:val="Hyperlink"/>
            <w:rtl/>
          </w:rPr>
          <w:fldChar w:fldCharType="separate"/>
        </w:r>
        <w:r w:rsidR="00D82181">
          <w:rPr>
            <w:webHidden/>
            <w:rtl/>
          </w:rPr>
          <w:t>89</w:t>
        </w:r>
        <w:r>
          <w:rPr>
            <w:rStyle w:val="Hyperlink"/>
            <w:rtl/>
          </w:rPr>
          <w:fldChar w:fldCharType="end"/>
        </w:r>
      </w:hyperlink>
    </w:p>
    <w:p w14:paraId="3BA516A4" w14:textId="282FE371" w:rsidR="008009AA" w:rsidRDefault="008009AA">
      <w:pPr>
        <w:pStyle w:val="TOC7"/>
        <w:rPr>
          <w:rFonts w:cstheme="minorBidi"/>
          <w:sz w:val="22"/>
          <w:szCs w:val="22"/>
          <w:rtl/>
        </w:rPr>
      </w:pPr>
      <w:hyperlink w:anchor="_Toc163505827" w:history="1">
        <w:r w:rsidRPr="007246E7">
          <w:rPr>
            <w:rStyle w:val="Hyperlink"/>
            <w:rtl/>
          </w:rPr>
          <w:t>פרי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Toc163505827 \h</w:instrText>
        </w:r>
        <w:r>
          <w:rPr>
            <w:webHidden/>
            <w:rtl/>
          </w:rPr>
          <w:instrText xml:space="preserve"> </w:instrText>
        </w:r>
        <w:r>
          <w:rPr>
            <w:rStyle w:val="Hyperlink"/>
            <w:rtl/>
          </w:rPr>
        </w:r>
        <w:r>
          <w:rPr>
            <w:rStyle w:val="Hyperlink"/>
            <w:rtl/>
          </w:rPr>
          <w:fldChar w:fldCharType="separate"/>
        </w:r>
        <w:r w:rsidR="00D82181">
          <w:rPr>
            <w:webHidden/>
            <w:rtl/>
          </w:rPr>
          <w:t>89</w:t>
        </w:r>
        <w:r>
          <w:rPr>
            <w:rStyle w:val="Hyperlink"/>
            <w:rtl/>
          </w:rPr>
          <w:fldChar w:fldCharType="end"/>
        </w:r>
      </w:hyperlink>
    </w:p>
    <w:p w14:paraId="476261D1" w14:textId="214094C9" w:rsidR="008009AA" w:rsidRDefault="008009AA">
      <w:pPr>
        <w:pStyle w:val="TOC7"/>
        <w:rPr>
          <w:rFonts w:cstheme="minorBidi"/>
          <w:sz w:val="22"/>
          <w:szCs w:val="22"/>
          <w:rtl/>
        </w:rPr>
      </w:pPr>
      <w:hyperlink w:anchor="_Toc163505828" w:history="1">
        <w:r w:rsidRPr="007246E7">
          <w:rPr>
            <w:rStyle w:val="Hyperlink"/>
            <w:rtl/>
          </w:rPr>
          <w:t>מגדים או"ח משב"ז סי' שי"ט סק"ב ד"ה ומפני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Toc163505828 \h</w:instrText>
        </w:r>
        <w:r>
          <w:rPr>
            <w:webHidden/>
            <w:rtl/>
          </w:rPr>
          <w:instrText xml:space="preserve"> </w:instrText>
        </w:r>
        <w:r>
          <w:rPr>
            <w:rStyle w:val="Hyperlink"/>
            <w:rtl/>
          </w:rPr>
        </w:r>
        <w:r>
          <w:rPr>
            <w:rStyle w:val="Hyperlink"/>
            <w:rtl/>
          </w:rPr>
          <w:fldChar w:fldCharType="separate"/>
        </w:r>
        <w:r w:rsidR="00D82181">
          <w:rPr>
            <w:webHidden/>
            <w:rtl/>
          </w:rPr>
          <w:t>89</w:t>
        </w:r>
        <w:r>
          <w:rPr>
            <w:rStyle w:val="Hyperlink"/>
            <w:rtl/>
          </w:rPr>
          <w:fldChar w:fldCharType="end"/>
        </w:r>
      </w:hyperlink>
    </w:p>
    <w:p w14:paraId="244F6E16" w14:textId="0B3C8784" w:rsidR="008009AA" w:rsidRDefault="008009AA">
      <w:pPr>
        <w:pStyle w:val="TOC7"/>
        <w:rPr>
          <w:rFonts w:cstheme="minorBidi"/>
          <w:sz w:val="22"/>
          <w:szCs w:val="22"/>
          <w:rtl/>
        </w:rPr>
      </w:pPr>
      <w:hyperlink w:anchor="_Toc163505829" w:history="1">
        <w:r w:rsidRPr="007246E7">
          <w:rPr>
            <w:rStyle w:val="Hyperlink"/>
            <w:rtl/>
          </w:rPr>
          <w:t>באור הלכה סי' שי"ט ג' ד"ה ומניח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Toc163505829 \h</w:instrText>
        </w:r>
        <w:r>
          <w:rPr>
            <w:webHidden/>
            <w:rtl/>
          </w:rPr>
          <w:instrText xml:space="preserve"> </w:instrText>
        </w:r>
        <w:r>
          <w:rPr>
            <w:rStyle w:val="Hyperlink"/>
            <w:rtl/>
          </w:rPr>
        </w:r>
        <w:r>
          <w:rPr>
            <w:rStyle w:val="Hyperlink"/>
            <w:rtl/>
          </w:rPr>
          <w:fldChar w:fldCharType="separate"/>
        </w:r>
        <w:r w:rsidR="00D82181">
          <w:rPr>
            <w:webHidden/>
            <w:rtl/>
          </w:rPr>
          <w:t>89</w:t>
        </w:r>
        <w:r>
          <w:rPr>
            <w:rStyle w:val="Hyperlink"/>
            <w:rtl/>
          </w:rPr>
          <w:fldChar w:fldCharType="end"/>
        </w:r>
      </w:hyperlink>
    </w:p>
    <w:p w14:paraId="163F0FB2" w14:textId="05F7DDA2" w:rsidR="008009AA" w:rsidRDefault="008009AA">
      <w:pPr>
        <w:pStyle w:val="TOC7"/>
        <w:rPr>
          <w:rFonts w:cstheme="minorBidi"/>
          <w:sz w:val="22"/>
          <w:szCs w:val="22"/>
          <w:rtl/>
        </w:rPr>
      </w:pPr>
      <w:hyperlink w:anchor="_Toc163505830" w:history="1">
        <w:r w:rsidRPr="007246E7">
          <w:rPr>
            <w:rStyle w:val="Hyperlink"/>
            <w:rtl/>
          </w:rPr>
          <w:t>פרי מגדים או"ח משב"ז סי' שי"ט סק"ב ד"ה גם</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Toc163505830 \h</w:instrText>
        </w:r>
        <w:r>
          <w:rPr>
            <w:webHidden/>
            <w:rtl/>
          </w:rPr>
          <w:instrText xml:space="preserve"> </w:instrText>
        </w:r>
        <w:r>
          <w:rPr>
            <w:rStyle w:val="Hyperlink"/>
            <w:rtl/>
          </w:rPr>
        </w:r>
        <w:r>
          <w:rPr>
            <w:rStyle w:val="Hyperlink"/>
            <w:rtl/>
          </w:rPr>
          <w:fldChar w:fldCharType="separate"/>
        </w:r>
        <w:r w:rsidR="00D82181">
          <w:rPr>
            <w:webHidden/>
            <w:rtl/>
          </w:rPr>
          <w:t>90</w:t>
        </w:r>
        <w:r>
          <w:rPr>
            <w:rStyle w:val="Hyperlink"/>
            <w:rtl/>
          </w:rPr>
          <w:fldChar w:fldCharType="end"/>
        </w:r>
      </w:hyperlink>
    </w:p>
    <w:p w14:paraId="0C49E101" w14:textId="05CB7ACB" w:rsidR="008009AA" w:rsidRDefault="008009AA">
      <w:pPr>
        <w:pStyle w:val="TOC7"/>
        <w:rPr>
          <w:rFonts w:cstheme="minorBidi"/>
          <w:sz w:val="22"/>
          <w:szCs w:val="22"/>
          <w:rtl/>
        </w:rPr>
      </w:pPr>
      <w:hyperlink w:anchor="_Toc163505831" w:history="1">
        <w:r w:rsidRPr="007246E7">
          <w:rPr>
            <w:rStyle w:val="Hyperlink"/>
            <w:rtl/>
          </w:rPr>
          <w:t>באור הלכה סי' שי"ט א' ד"ה ובורר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Toc163505831 \h</w:instrText>
        </w:r>
        <w:r>
          <w:rPr>
            <w:webHidden/>
            <w:rtl/>
          </w:rPr>
          <w:instrText xml:space="preserve"> </w:instrText>
        </w:r>
        <w:r>
          <w:rPr>
            <w:rStyle w:val="Hyperlink"/>
            <w:rtl/>
          </w:rPr>
        </w:r>
        <w:r>
          <w:rPr>
            <w:rStyle w:val="Hyperlink"/>
            <w:rtl/>
          </w:rPr>
          <w:fldChar w:fldCharType="separate"/>
        </w:r>
        <w:r w:rsidR="00D82181">
          <w:rPr>
            <w:webHidden/>
            <w:rtl/>
          </w:rPr>
          <w:t>90</w:t>
        </w:r>
        <w:r>
          <w:rPr>
            <w:rStyle w:val="Hyperlink"/>
            <w:rtl/>
          </w:rPr>
          <w:fldChar w:fldCharType="end"/>
        </w:r>
      </w:hyperlink>
    </w:p>
    <w:p w14:paraId="0949A5D4" w14:textId="2E1CD323" w:rsidR="008009AA" w:rsidRDefault="008009AA">
      <w:pPr>
        <w:pStyle w:val="TOC7"/>
        <w:rPr>
          <w:rFonts w:cstheme="minorBidi"/>
          <w:sz w:val="22"/>
          <w:szCs w:val="22"/>
          <w:rtl/>
        </w:rPr>
      </w:pPr>
      <w:hyperlink w:anchor="_Toc163505832" w:history="1">
        <w:r w:rsidRPr="007246E7">
          <w:rPr>
            <w:rStyle w:val="Hyperlink"/>
            <w:rtl/>
          </w:rPr>
          <w:t>באור הלכה סי' שי"ט ג' ד"ה היו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Toc163505832 \h</w:instrText>
        </w:r>
        <w:r>
          <w:rPr>
            <w:webHidden/>
            <w:rtl/>
          </w:rPr>
          <w:instrText xml:space="preserve"> </w:instrText>
        </w:r>
        <w:r>
          <w:rPr>
            <w:rStyle w:val="Hyperlink"/>
            <w:rtl/>
          </w:rPr>
        </w:r>
        <w:r>
          <w:rPr>
            <w:rStyle w:val="Hyperlink"/>
            <w:rtl/>
          </w:rPr>
          <w:fldChar w:fldCharType="separate"/>
        </w:r>
        <w:r w:rsidR="00D82181">
          <w:rPr>
            <w:webHidden/>
            <w:rtl/>
          </w:rPr>
          <w:t>90</w:t>
        </w:r>
        <w:r>
          <w:rPr>
            <w:rStyle w:val="Hyperlink"/>
            <w:rtl/>
          </w:rPr>
          <w:fldChar w:fldCharType="end"/>
        </w:r>
      </w:hyperlink>
    </w:p>
    <w:p w14:paraId="696B6DE9" w14:textId="06DEDC98" w:rsidR="008009AA" w:rsidRDefault="008009AA">
      <w:pPr>
        <w:pStyle w:val="TOC7"/>
        <w:rPr>
          <w:rFonts w:cstheme="minorBidi"/>
          <w:sz w:val="22"/>
          <w:szCs w:val="22"/>
          <w:rtl/>
        </w:rPr>
      </w:pPr>
      <w:hyperlink w:anchor="_Toc163505833" w:history="1">
        <w:r w:rsidRPr="007246E7">
          <w:rPr>
            <w:rStyle w:val="Hyperlink"/>
            <w:rtl/>
          </w:rPr>
          <w:t>באור הלכה סי' שי"ט ג' ד"ה ומניח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Toc163505833 \h</w:instrText>
        </w:r>
        <w:r>
          <w:rPr>
            <w:webHidden/>
            <w:rtl/>
          </w:rPr>
          <w:instrText xml:space="preserve"> </w:instrText>
        </w:r>
        <w:r>
          <w:rPr>
            <w:rStyle w:val="Hyperlink"/>
            <w:rtl/>
          </w:rPr>
        </w:r>
        <w:r>
          <w:rPr>
            <w:rStyle w:val="Hyperlink"/>
            <w:rtl/>
          </w:rPr>
          <w:fldChar w:fldCharType="separate"/>
        </w:r>
        <w:r w:rsidR="00D82181">
          <w:rPr>
            <w:webHidden/>
            <w:rtl/>
          </w:rPr>
          <w:t>90</w:t>
        </w:r>
        <w:r>
          <w:rPr>
            <w:rStyle w:val="Hyperlink"/>
            <w:rtl/>
          </w:rPr>
          <w:fldChar w:fldCharType="end"/>
        </w:r>
      </w:hyperlink>
    </w:p>
    <w:p w14:paraId="596470D0" w14:textId="4BA796AE" w:rsidR="008009AA" w:rsidRDefault="008009AA">
      <w:pPr>
        <w:pStyle w:val="TOC7"/>
        <w:rPr>
          <w:rFonts w:cstheme="minorBidi"/>
          <w:sz w:val="22"/>
          <w:szCs w:val="22"/>
          <w:rtl/>
        </w:rPr>
      </w:pPr>
      <w:hyperlink w:anchor="_Toc163505834" w:history="1">
        <w:r w:rsidRPr="007246E7">
          <w:rPr>
            <w:rStyle w:val="Hyperlink"/>
            <w:rtl/>
          </w:rPr>
          <w:t>מאמר מרדכי סי' שי"ט סק"ד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Toc163505834 \h</w:instrText>
        </w:r>
        <w:r>
          <w:rPr>
            <w:webHidden/>
            <w:rtl/>
          </w:rPr>
          <w:instrText xml:space="preserve"> </w:instrText>
        </w:r>
        <w:r>
          <w:rPr>
            <w:rStyle w:val="Hyperlink"/>
            <w:rtl/>
          </w:rPr>
        </w:r>
        <w:r>
          <w:rPr>
            <w:rStyle w:val="Hyperlink"/>
            <w:rtl/>
          </w:rPr>
          <w:fldChar w:fldCharType="separate"/>
        </w:r>
        <w:r w:rsidR="00D82181">
          <w:rPr>
            <w:webHidden/>
            <w:rtl/>
          </w:rPr>
          <w:t>90</w:t>
        </w:r>
        <w:r>
          <w:rPr>
            <w:rStyle w:val="Hyperlink"/>
            <w:rtl/>
          </w:rPr>
          <w:fldChar w:fldCharType="end"/>
        </w:r>
      </w:hyperlink>
    </w:p>
    <w:p w14:paraId="7D48CE59" w14:textId="4D0C3CDB" w:rsidR="008009AA" w:rsidRDefault="008009AA">
      <w:pPr>
        <w:pStyle w:val="TOC7"/>
        <w:rPr>
          <w:rFonts w:cstheme="minorBidi"/>
          <w:sz w:val="22"/>
          <w:szCs w:val="22"/>
          <w:rtl/>
        </w:rPr>
      </w:pPr>
      <w:hyperlink w:anchor="_Toc163505835" w:history="1">
        <w:r w:rsidRPr="007246E7">
          <w:rPr>
            <w:rStyle w:val="Hyperlink"/>
            <w:rtl/>
          </w:rPr>
          <w:t>רבינו דוד עראמה על הרמב"ם שבת פ"ח הי"ג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Toc163505835 \h</w:instrText>
        </w:r>
        <w:r>
          <w:rPr>
            <w:webHidden/>
            <w:rtl/>
          </w:rPr>
          <w:instrText xml:space="preserve"> </w:instrText>
        </w:r>
        <w:r>
          <w:rPr>
            <w:rStyle w:val="Hyperlink"/>
            <w:rtl/>
          </w:rPr>
        </w:r>
        <w:r>
          <w:rPr>
            <w:rStyle w:val="Hyperlink"/>
            <w:rtl/>
          </w:rPr>
          <w:fldChar w:fldCharType="separate"/>
        </w:r>
        <w:r w:rsidR="00D82181">
          <w:rPr>
            <w:webHidden/>
            <w:rtl/>
          </w:rPr>
          <w:t>90</w:t>
        </w:r>
        <w:r>
          <w:rPr>
            <w:rStyle w:val="Hyperlink"/>
            <w:rtl/>
          </w:rPr>
          <w:fldChar w:fldCharType="end"/>
        </w:r>
      </w:hyperlink>
    </w:p>
    <w:p w14:paraId="6D213706" w14:textId="0CD9D748" w:rsidR="008009AA" w:rsidRDefault="008009AA">
      <w:pPr>
        <w:pStyle w:val="TOC7"/>
        <w:rPr>
          <w:rFonts w:cstheme="minorBidi"/>
          <w:sz w:val="22"/>
          <w:szCs w:val="22"/>
          <w:rtl/>
        </w:rPr>
      </w:pPr>
      <w:hyperlink w:anchor="_Toc163505836" w:history="1">
        <w:r w:rsidRPr="007246E7">
          <w:rPr>
            <w:rStyle w:val="Hyperlink"/>
            <w:rtl/>
          </w:rPr>
          <w:t>מגלת ספר על הסמ"ג לאוין ס"ה ט: ד"ה כיצד הבורר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Toc163505836 \h</w:instrText>
        </w:r>
        <w:r>
          <w:rPr>
            <w:webHidden/>
            <w:rtl/>
          </w:rPr>
          <w:instrText xml:space="preserve"> </w:instrText>
        </w:r>
        <w:r>
          <w:rPr>
            <w:rStyle w:val="Hyperlink"/>
            <w:rtl/>
          </w:rPr>
        </w:r>
        <w:r>
          <w:rPr>
            <w:rStyle w:val="Hyperlink"/>
            <w:rtl/>
          </w:rPr>
          <w:fldChar w:fldCharType="separate"/>
        </w:r>
        <w:r w:rsidR="00D82181">
          <w:rPr>
            <w:webHidden/>
            <w:rtl/>
          </w:rPr>
          <w:t>90</w:t>
        </w:r>
        <w:r>
          <w:rPr>
            <w:rStyle w:val="Hyperlink"/>
            <w:rtl/>
          </w:rPr>
          <w:fldChar w:fldCharType="end"/>
        </w:r>
      </w:hyperlink>
    </w:p>
    <w:p w14:paraId="2E48C369" w14:textId="44987E29" w:rsidR="008009AA" w:rsidRDefault="008009AA">
      <w:pPr>
        <w:pStyle w:val="TOC7"/>
        <w:rPr>
          <w:rFonts w:cstheme="minorBidi"/>
          <w:sz w:val="22"/>
          <w:szCs w:val="22"/>
          <w:rtl/>
        </w:rPr>
      </w:pPr>
      <w:hyperlink w:anchor="_Toc163505837" w:history="1">
        <w:r w:rsidRPr="007246E7">
          <w:rPr>
            <w:rStyle w:val="Hyperlink"/>
            <w:rtl/>
          </w:rPr>
          <w:t>פרי מגדים או"ח משב"ז סי' שי"ט סקי"ב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Toc163505837 \h</w:instrText>
        </w:r>
        <w:r>
          <w:rPr>
            <w:webHidden/>
            <w:rtl/>
          </w:rPr>
          <w:instrText xml:space="preserve"> </w:instrText>
        </w:r>
        <w:r>
          <w:rPr>
            <w:rStyle w:val="Hyperlink"/>
            <w:rtl/>
          </w:rPr>
        </w:r>
        <w:r>
          <w:rPr>
            <w:rStyle w:val="Hyperlink"/>
            <w:rtl/>
          </w:rPr>
          <w:fldChar w:fldCharType="separate"/>
        </w:r>
        <w:r w:rsidR="00D82181">
          <w:rPr>
            <w:webHidden/>
            <w:rtl/>
          </w:rPr>
          <w:t>90</w:t>
        </w:r>
        <w:r>
          <w:rPr>
            <w:rStyle w:val="Hyperlink"/>
            <w:rtl/>
          </w:rPr>
          <w:fldChar w:fldCharType="end"/>
        </w:r>
      </w:hyperlink>
    </w:p>
    <w:p w14:paraId="387D7214" w14:textId="33FD438F" w:rsidR="008009AA" w:rsidRDefault="008009AA">
      <w:pPr>
        <w:pStyle w:val="TOC7"/>
        <w:rPr>
          <w:rFonts w:cstheme="minorBidi"/>
          <w:sz w:val="22"/>
          <w:szCs w:val="22"/>
          <w:rtl/>
        </w:rPr>
      </w:pPr>
      <w:hyperlink w:anchor="_Toc163505838" w:history="1">
        <w:r w:rsidRPr="007246E7">
          <w:rPr>
            <w:rStyle w:val="Hyperlink"/>
            <w:rtl/>
          </w:rPr>
          <w:t>ישועות יעקב סי שי"ט סק"א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Toc163505838 \h</w:instrText>
        </w:r>
        <w:r>
          <w:rPr>
            <w:webHidden/>
            <w:rtl/>
          </w:rPr>
          <w:instrText xml:space="preserve"> </w:instrText>
        </w:r>
        <w:r>
          <w:rPr>
            <w:rStyle w:val="Hyperlink"/>
            <w:rtl/>
          </w:rPr>
        </w:r>
        <w:r>
          <w:rPr>
            <w:rStyle w:val="Hyperlink"/>
            <w:rtl/>
          </w:rPr>
          <w:fldChar w:fldCharType="separate"/>
        </w:r>
        <w:r w:rsidR="00D82181">
          <w:rPr>
            <w:webHidden/>
            <w:rtl/>
          </w:rPr>
          <w:t>90</w:t>
        </w:r>
        <w:r>
          <w:rPr>
            <w:rStyle w:val="Hyperlink"/>
            <w:rtl/>
          </w:rPr>
          <w:fldChar w:fldCharType="end"/>
        </w:r>
      </w:hyperlink>
    </w:p>
    <w:p w14:paraId="3F8E486D" w14:textId="542957B2" w:rsidR="008009AA" w:rsidRDefault="008009AA">
      <w:pPr>
        <w:pStyle w:val="TOC7"/>
        <w:rPr>
          <w:rFonts w:cstheme="minorBidi"/>
          <w:sz w:val="22"/>
          <w:szCs w:val="22"/>
          <w:rtl/>
        </w:rPr>
      </w:pPr>
      <w:hyperlink w:anchor="_Toc163505839" w:history="1">
        <w:r w:rsidRPr="007246E7">
          <w:rPr>
            <w:rStyle w:val="Hyperlink"/>
            <w:rtl/>
          </w:rPr>
          <w:t>באור הלכה סי' שי"ט סעיף 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Toc163505839 \h</w:instrText>
        </w:r>
        <w:r>
          <w:rPr>
            <w:webHidden/>
            <w:rtl/>
          </w:rPr>
          <w:instrText xml:space="preserve"> </w:instrText>
        </w:r>
        <w:r>
          <w:rPr>
            <w:rStyle w:val="Hyperlink"/>
            <w:rtl/>
          </w:rPr>
        </w:r>
        <w:r>
          <w:rPr>
            <w:rStyle w:val="Hyperlink"/>
            <w:rtl/>
          </w:rPr>
          <w:fldChar w:fldCharType="separate"/>
        </w:r>
        <w:r w:rsidR="00D82181">
          <w:rPr>
            <w:webHidden/>
            <w:rtl/>
          </w:rPr>
          <w:t>91</w:t>
        </w:r>
        <w:r>
          <w:rPr>
            <w:rStyle w:val="Hyperlink"/>
            <w:rtl/>
          </w:rPr>
          <w:fldChar w:fldCharType="end"/>
        </w:r>
      </w:hyperlink>
    </w:p>
    <w:p w14:paraId="507D4B4C" w14:textId="59BC9BC6" w:rsidR="008009AA" w:rsidRDefault="008009AA">
      <w:pPr>
        <w:pStyle w:val="TOC7"/>
        <w:rPr>
          <w:rFonts w:cstheme="minorBidi"/>
          <w:sz w:val="22"/>
          <w:szCs w:val="22"/>
          <w:rtl/>
        </w:rPr>
      </w:pPr>
      <w:hyperlink w:anchor="_Toc163505840" w:history="1">
        <w:r w:rsidRPr="007246E7">
          <w:rPr>
            <w:rStyle w:val="Hyperlink"/>
            <w:rtl/>
          </w:rPr>
          <w:t>תרומת הדשן סימן נז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Toc163505840 \h</w:instrText>
        </w:r>
        <w:r>
          <w:rPr>
            <w:webHidden/>
            <w:rtl/>
          </w:rPr>
          <w:instrText xml:space="preserve"> </w:instrText>
        </w:r>
        <w:r>
          <w:rPr>
            <w:rStyle w:val="Hyperlink"/>
            <w:rtl/>
          </w:rPr>
        </w:r>
        <w:r>
          <w:rPr>
            <w:rStyle w:val="Hyperlink"/>
            <w:rtl/>
          </w:rPr>
          <w:fldChar w:fldCharType="separate"/>
        </w:r>
        <w:r w:rsidR="00D82181">
          <w:rPr>
            <w:webHidden/>
            <w:rtl/>
          </w:rPr>
          <w:t>91</w:t>
        </w:r>
        <w:r>
          <w:rPr>
            <w:rStyle w:val="Hyperlink"/>
            <w:rtl/>
          </w:rPr>
          <w:fldChar w:fldCharType="end"/>
        </w:r>
      </w:hyperlink>
    </w:p>
    <w:p w14:paraId="71BE8A4F" w14:textId="24FE774A" w:rsidR="008009AA" w:rsidRDefault="008009AA">
      <w:pPr>
        <w:pStyle w:val="TOC7"/>
        <w:rPr>
          <w:rFonts w:cstheme="minorBidi"/>
          <w:sz w:val="22"/>
          <w:szCs w:val="22"/>
          <w:rtl/>
        </w:rPr>
      </w:pPr>
      <w:hyperlink w:anchor="_Toc163505841" w:history="1">
        <w:r w:rsidRPr="007246E7">
          <w:rPr>
            <w:rStyle w:val="Hyperlink"/>
            <w:rtl/>
          </w:rPr>
          <w:t>רמ"א או"ח סי' שי"ט 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Toc163505841 \h</w:instrText>
        </w:r>
        <w:r>
          <w:rPr>
            <w:webHidden/>
            <w:rtl/>
          </w:rPr>
          <w:instrText xml:space="preserve"> </w:instrText>
        </w:r>
        <w:r>
          <w:rPr>
            <w:rStyle w:val="Hyperlink"/>
            <w:rtl/>
          </w:rPr>
        </w:r>
        <w:r>
          <w:rPr>
            <w:rStyle w:val="Hyperlink"/>
            <w:rtl/>
          </w:rPr>
          <w:fldChar w:fldCharType="separate"/>
        </w:r>
        <w:r w:rsidR="00D82181">
          <w:rPr>
            <w:webHidden/>
            <w:rtl/>
          </w:rPr>
          <w:t>91</w:t>
        </w:r>
        <w:r>
          <w:rPr>
            <w:rStyle w:val="Hyperlink"/>
            <w:rtl/>
          </w:rPr>
          <w:fldChar w:fldCharType="end"/>
        </w:r>
      </w:hyperlink>
    </w:p>
    <w:p w14:paraId="35CCE186" w14:textId="2E1963D1" w:rsidR="008009AA" w:rsidRDefault="008009AA">
      <w:pPr>
        <w:pStyle w:val="TOC7"/>
        <w:rPr>
          <w:rFonts w:cstheme="minorBidi"/>
          <w:sz w:val="22"/>
          <w:szCs w:val="22"/>
          <w:rtl/>
        </w:rPr>
      </w:pPr>
      <w:hyperlink w:anchor="_Toc163505842" w:history="1">
        <w:r w:rsidRPr="007246E7">
          <w:rPr>
            <w:rStyle w:val="Hyperlink"/>
            <w:rtl/>
          </w:rPr>
          <w:t>מגן אברהם סי' שי"ט סק"ה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Toc163505842 \h</w:instrText>
        </w:r>
        <w:r>
          <w:rPr>
            <w:webHidden/>
            <w:rtl/>
          </w:rPr>
          <w:instrText xml:space="preserve"> </w:instrText>
        </w:r>
        <w:r>
          <w:rPr>
            <w:rStyle w:val="Hyperlink"/>
            <w:rtl/>
          </w:rPr>
        </w:r>
        <w:r>
          <w:rPr>
            <w:rStyle w:val="Hyperlink"/>
            <w:rtl/>
          </w:rPr>
          <w:fldChar w:fldCharType="separate"/>
        </w:r>
        <w:r w:rsidR="00D82181">
          <w:rPr>
            <w:webHidden/>
            <w:rtl/>
          </w:rPr>
          <w:t>91</w:t>
        </w:r>
        <w:r>
          <w:rPr>
            <w:rStyle w:val="Hyperlink"/>
            <w:rtl/>
          </w:rPr>
          <w:fldChar w:fldCharType="end"/>
        </w:r>
      </w:hyperlink>
    </w:p>
    <w:p w14:paraId="0FF4B005" w14:textId="5644435F" w:rsidR="008009AA" w:rsidRDefault="008009AA">
      <w:pPr>
        <w:pStyle w:val="TOC7"/>
        <w:rPr>
          <w:rFonts w:cstheme="minorBidi"/>
          <w:sz w:val="22"/>
          <w:szCs w:val="22"/>
          <w:rtl/>
        </w:rPr>
      </w:pPr>
      <w:hyperlink w:anchor="_Toc163505843" w:history="1">
        <w:r w:rsidRPr="007246E7">
          <w:rPr>
            <w:rStyle w:val="Hyperlink"/>
            <w:rtl/>
          </w:rPr>
          <w:t>מגיד משנה שביתת עשור פ"א ה"ג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Toc163505843 \h</w:instrText>
        </w:r>
        <w:r>
          <w:rPr>
            <w:webHidden/>
            <w:rtl/>
          </w:rPr>
          <w:instrText xml:space="preserve"> </w:instrText>
        </w:r>
        <w:r>
          <w:rPr>
            <w:rStyle w:val="Hyperlink"/>
            <w:rtl/>
          </w:rPr>
        </w:r>
        <w:r>
          <w:rPr>
            <w:rStyle w:val="Hyperlink"/>
            <w:rtl/>
          </w:rPr>
          <w:fldChar w:fldCharType="separate"/>
        </w:r>
        <w:r w:rsidR="00D82181">
          <w:rPr>
            <w:webHidden/>
            <w:rtl/>
          </w:rPr>
          <w:t>91</w:t>
        </w:r>
        <w:r>
          <w:rPr>
            <w:rStyle w:val="Hyperlink"/>
            <w:rtl/>
          </w:rPr>
          <w:fldChar w:fldCharType="end"/>
        </w:r>
      </w:hyperlink>
    </w:p>
    <w:p w14:paraId="3911573B" w14:textId="1BA03531" w:rsidR="008009AA" w:rsidRDefault="008009AA">
      <w:pPr>
        <w:pStyle w:val="TOC7"/>
        <w:rPr>
          <w:rFonts w:cstheme="minorBidi"/>
          <w:sz w:val="22"/>
          <w:szCs w:val="22"/>
          <w:rtl/>
        </w:rPr>
      </w:pPr>
      <w:hyperlink w:anchor="_Toc163505844" w:history="1">
        <w:r w:rsidRPr="007246E7">
          <w:rPr>
            <w:rStyle w:val="Hyperlink"/>
            <w:rtl/>
          </w:rPr>
          <w:t>פרי מגדים או"ח א"א סי' שי"ט סק"ה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Toc163505844 \h</w:instrText>
        </w:r>
        <w:r>
          <w:rPr>
            <w:webHidden/>
            <w:rtl/>
          </w:rPr>
          <w:instrText xml:space="preserve"> </w:instrText>
        </w:r>
        <w:r>
          <w:rPr>
            <w:rStyle w:val="Hyperlink"/>
            <w:rtl/>
          </w:rPr>
        </w:r>
        <w:r>
          <w:rPr>
            <w:rStyle w:val="Hyperlink"/>
            <w:rtl/>
          </w:rPr>
          <w:fldChar w:fldCharType="separate"/>
        </w:r>
        <w:r w:rsidR="00D82181">
          <w:rPr>
            <w:webHidden/>
            <w:rtl/>
          </w:rPr>
          <w:t>91</w:t>
        </w:r>
        <w:r>
          <w:rPr>
            <w:rStyle w:val="Hyperlink"/>
            <w:rtl/>
          </w:rPr>
          <w:fldChar w:fldCharType="end"/>
        </w:r>
      </w:hyperlink>
    </w:p>
    <w:p w14:paraId="694C3ABD" w14:textId="6FB23D07" w:rsidR="008009AA" w:rsidRDefault="008009AA">
      <w:pPr>
        <w:pStyle w:val="TOC7"/>
        <w:rPr>
          <w:rFonts w:cstheme="minorBidi"/>
          <w:sz w:val="22"/>
          <w:szCs w:val="22"/>
          <w:rtl/>
        </w:rPr>
      </w:pPr>
      <w:hyperlink w:anchor="_Toc163505845" w:history="1">
        <w:r w:rsidRPr="007246E7">
          <w:rPr>
            <w:rStyle w:val="Hyperlink"/>
            <w:rtl/>
          </w:rPr>
          <w:t>ט"ז או"ח סי' שי"ט סק"ב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Toc163505845 \h</w:instrText>
        </w:r>
        <w:r>
          <w:rPr>
            <w:webHidden/>
            <w:rtl/>
          </w:rPr>
          <w:instrText xml:space="preserve"> </w:instrText>
        </w:r>
        <w:r>
          <w:rPr>
            <w:rStyle w:val="Hyperlink"/>
            <w:rtl/>
          </w:rPr>
        </w:r>
        <w:r>
          <w:rPr>
            <w:rStyle w:val="Hyperlink"/>
            <w:rtl/>
          </w:rPr>
          <w:fldChar w:fldCharType="separate"/>
        </w:r>
        <w:r w:rsidR="00D82181">
          <w:rPr>
            <w:webHidden/>
            <w:rtl/>
          </w:rPr>
          <w:t>91</w:t>
        </w:r>
        <w:r>
          <w:rPr>
            <w:rStyle w:val="Hyperlink"/>
            <w:rtl/>
          </w:rPr>
          <w:fldChar w:fldCharType="end"/>
        </w:r>
      </w:hyperlink>
    </w:p>
    <w:p w14:paraId="2C76495E" w14:textId="521DB119" w:rsidR="008009AA" w:rsidRDefault="008009AA">
      <w:pPr>
        <w:pStyle w:val="TOC7"/>
        <w:rPr>
          <w:rFonts w:cstheme="minorBidi"/>
          <w:sz w:val="22"/>
          <w:szCs w:val="22"/>
          <w:rtl/>
        </w:rPr>
      </w:pPr>
      <w:hyperlink w:anchor="_Toc163505846" w:history="1">
        <w:r w:rsidRPr="007246E7">
          <w:rPr>
            <w:rStyle w:val="Hyperlink"/>
            <w:rtl/>
          </w:rPr>
          <w:t>מגן אברהם סי' תק"ד סק"ט</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Toc163505846 \h</w:instrText>
        </w:r>
        <w:r>
          <w:rPr>
            <w:webHidden/>
            <w:rtl/>
          </w:rPr>
          <w:instrText xml:space="preserve"> </w:instrText>
        </w:r>
        <w:r>
          <w:rPr>
            <w:rStyle w:val="Hyperlink"/>
            <w:rtl/>
          </w:rPr>
        </w:r>
        <w:r>
          <w:rPr>
            <w:rStyle w:val="Hyperlink"/>
            <w:rtl/>
          </w:rPr>
          <w:fldChar w:fldCharType="separate"/>
        </w:r>
        <w:r w:rsidR="00D82181">
          <w:rPr>
            <w:webHidden/>
            <w:rtl/>
          </w:rPr>
          <w:t>91</w:t>
        </w:r>
        <w:r>
          <w:rPr>
            <w:rStyle w:val="Hyperlink"/>
            <w:rtl/>
          </w:rPr>
          <w:fldChar w:fldCharType="end"/>
        </w:r>
      </w:hyperlink>
    </w:p>
    <w:p w14:paraId="50E9536B" w14:textId="5C8D6BD8" w:rsidR="008009AA" w:rsidRDefault="008009AA">
      <w:pPr>
        <w:pStyle w:val="TOC7"/>
        <w:rPr>
          <w:rFonts w:cstheme="minorBidi"/>
          <w:sz w:val="22"/>
          <w:szCs w:val="22"/>
          <w:rtl/>
        </w:rPr>
      </w:pPr>
      <w:hyperlink w:anchor="_Toc163505847" w:history="1">
        <w:r w:rsidRPr="007246E7">
          <w:rPr>
            <w:rStyle w:val="Hyperlink"/>
            <w:rtl/>
          </w:rPr>
          <w:t>פרי מגדים או"ח אשל אברהם סי' תק"ד סק"ט</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Toc163505847 \h</w:instrText>
        </w:r>
        <w:r>
          <w:rPr>
            <w:webHidden/>
            <w:rtl/>
          </w:rPr>
          <w:instrText xml:space="preserve"> </w:instrText>
        </w:r>
        <w:r>
          <w:rPr>
            <w:rStyle w:val="Hyperlink"/>
            <w:rtl/>
          </w:rPr>
        </w:r>
        <w:r>
          <w:rPr>
            <w:rStyle w:val="Hyperlink"/>
            <w:rtl/>
          </w:rPr>
          <w:fldChar w:fldCharType="separate"/>
        </w:r>
        <w:r w:rsidR="00D82181">
          <w:rPr>
            <w:webHidden/>
            <w:rtl/>
          </w:rPr>
          <w:t>91</w:t>
        </w:r>
        <w:r>
          <w:rPr>
            <w:rStyle w:val="Hyperlink"/>
            <w:rtl/>
          </w:rPr>
          <w:fldChar w:fldCharType="end"/>
        </w:r>
      </w:hyperlink>
    </w:p>
    <w:p w14:paraId="22321986" w14:textId="1856E974" w:rsidR="008009AA" w:rsidRDefault="008009AA">
      <w:pPr>
        <w:pStyle w:val="TOC7"/>
        <w:rPr>
          <w:rFonts w:cstheme="minorBidi"/>
          <w:sz w:val="22"/>
          <w:szCs w:val="22"/>
          <w:rtl/>
        </w:rPr>
      </w:pPr>
      <w:hyperlink w:anchor="_Toc163505848" w:history="1">
        <w:r w:rsidRPr="007246E7">
          <w:rPr>
            <w:rStyle w:val="Hyperlink"/>
            <w:rtl/>
          </w:rPr>
          <w:t>רש"י שבת ע"ד ע"א ד"ה אוכל</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Toc163505848 \h</w:instrText>
        </w:r>
        <w:r>
          <w:rPr>
            <w:webHidden/>
            <w:rtl/>
          </w:rPr>
          <w:instrText xml:space="preserve"> </w:instrText>
        </w:r>
        <w:r>
          <w:rPr>
            <w:rStyle w:val="Hyperlink"/>
            <w:rtl/>
          </w:rPr>
        </w:r>
        <w:r>
          <w:rPr>
            <w:rStyle w:val="Hyperlink"/>
            <w:rtl/>
          </w:rPr>
          <w:fldChar w:fldCharType="separate"/>
        </w:r>
        <w:r w:rsidR="00D82181">
          <w:rPr>
            <w:webHidden/>
            <w:rtl/>
          </w:rPr>
          <w:t>95</w:t>
        </w:r>
        <w:r>
          <w:rPr>
            <w:rStyle w:val="Hyperlink"/>
            <w:rtl/>
          </w:rPr>
          <w:fldChar w:fldCharType="end"/>
        </w:r>
      </w:hyperlink>
    </w:p>
    <w:p w14:paraId="7709E180" w14:textId="09A8AE9E" w:rsidR="008009AA" w:rsidRDefault="008009AA">
      <w:pPr>
        <w:pStyle w:val="TOC7"/>
        <w:rPr>
          <w:rFonts w:cstheme="minorBidi"/>
          <w:sz w:val="22"/>
          <w:szCs w:val="22"/>
          <w:rtl/>
        </w:rPr>
      </w:pPr>
      <w:hyperlink w:anchor="_Toc163505849" w:history="1">
        <w:r w:rsidRPr="007246E7">
          <w:rPr>
            <w:rStyle w:val="Hyperlink"/>
            <w:rtl/>
          </w:rPr>
          <w:t>אגלי טל בורר סק"א אות 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Toc163505849 \h</w:instrText>
        </w:r>
        <w:r>
          <w:rPr>
            <w:webHidden/>
            <w:rtl/>
          </w:rPr>
          <w:instrText xml:space="preserve"> </w:instrText>
        </w:r>
        <w:r>
          <w:rPr>
            <w:rStyle w:val="Hyperlink"/>
            <w:rtl/>
          </w:rPr>
        </w:r>
        <w:r>
          <w:rPr>
            <w:rStyle w:val="Hyperlink"/>
            <w:rtl/>
          </w:rPr>
          <w:fldChar w:fldCharType="separate"/>
        </w:r>
        <w:r w:rsidR="00D82181">
          <w:rPr>
            <w:webHidden/>
            <w:rtl/>
          </w:rPr>
          <w:t>95</w:t>
        </w:r>
        <w:r>
          <w:rPr>
            <w:rStyle w:val="Hyperlink"/>
            <w:rtl/>
          </w:rPr>
          <w:fldChar w:fldCharType="end"/>
        </w:r>
      </w:hyperlink>
    </w:p>
    <w:p w14:paraId="511CD1B4" w14:textId="4D3E448A" w:rsidR="008009AA" w:rsidRDefault="008009AA">
      <w:pPr>
        <w:pStyle w:val="TOC7"/>
        <w:rPr>
          <w:rFonts w:cstheme="minorBidi"/>
          <w:sz w:val="22"/>
          <w:szCs w:val="22"/>
          <w:rtl/>
        </w:rPr>
      </w:pPr>
      <w:hyperlink w:anchor="_Toc163505850" w:history="1">
        <w:r w:rsidRPr="007246E7">
          <w:rPr>
            <w:rStyle w:val="Hyperlink"/>
            <w:rtl/>
          </w:rPr>
          <w:t>אגלי טל בורר סק"א אות י"א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Toc163505850 \h</w:instrText>
        </w:r>
        <w:r>
          <w:rPr>
            <w:webHidden/>
            <w:rtl/>
          </w:rPr>
          <w:instrText xml:space="preserve"> </w:instrText>
        </w:r>
        <w:r>
          <w:rPr>
            <w:rStyle w:val="Hyperlink"/>
            <w:rtl/>
          </w:rPr>
        </w:r>
        <w:r>
          <w:rPr>
            <w:rStyle w:val="Hyperlink"/>
            <w:rtl/>
          </w:rPr>
          <w:fldChar w:fldCharType="separate"/>
        </w:r>
        <w:r w:rsidR="00D82181">
          <w:rPr>
            <w:webHidden/>
            <w:rtl/>
          </w:rPr>
          <w:t>95</w:t>
        </w:r>
        <w:r>
          <w:rPr>
            <w:rStyle w:val="Hyperlink"/>
            <w:rtl/>
          </w:rPr>
          <w:fldChar w:fldCharType="end"/>
        </w:r>
      </w:hyperlink>
    </w:p>
    <w:p w14:paraId="59A5B6F0" w14:textId="49DDB880" w:rsidR="008009AA" w:rsidRDefault="008009AA">
      <w:pPr>
        <w:pStyle w:val="TOC7"/>
        <w:rPr>
          <w:rFonts w:cstheme="minorBidi"/>
          <w:sz w:val="22"/>
          <w:szCs w:val="22"/>
          <w:rtl/>
        </w:rPr>
      </w:pPr>
      <w:hyperlink w:anchor="_Toc163505851" w:history="1">
        <w:r w:rsidRPr="007246E7">
          <w:rPr>
            <w:rStyle w:val="Hyperlink"/>
            <w:rtl/>
          </w:rPr>
          <w:t>תוספות שבת ע"ד ע"א ד"ה בורר ואוכל</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Toc163505851 \h</w:instrText>
        </w:r>
        <w:r>
          <w:rPr>
            <w:webHidden/>
            <w:rtl/>
          </w:rPr>
          <w:instrText xml:space="preserve"> </w:instrText>
        </w:r>
        <w:r>
          <w:rPr>
            <w:rStyle w:val="Hyperlink"/>
            <w:rtl/>
          </w:rPr>
        </w:r>
        <w:r>
          <w:rPr>
            <w:rStyle w:val="Hyperlink"/>
            <w:rtl/>
          </w:rPr>
          <w:fldChar w:fldCharType="separate"/>
        </w:r>
        <w:r w:rsidR="00D82181">
          <w:rPr>
            <w:webHidden/>
            <w:rtl/>
          </w:rPr>
          <w:t>95</w:t>
        </w:r>
        <w:r>
          <w:rPr>
            <w:rStyle w:val="Hyperlink"/>
            <w:rtl/>
          </w:rPr>
          <w:fldChar w:fldCharType="end"/>
        </w:r>
      </w:hyperlink>
    </w:p>
    <w:p w14:paraId="4567F924" w14:textId="2F7E13E8" w:rsidR="008009AA" w:rsidRDefault="008009AA">
      <w:pPr>
        <w:pStyle w:val="TOC7"/>
        <w:rPr>
          <w:rFonts w:cstheme="minorBidi"/>
          <w:sz w:val="22"/>
          <w:szCs w:val="22"/>
          <w:rtl/>
        </w:rPr>
      </w:pPr>
      <w:hyperlink w:anchor="_Toc163505852" w:history="1">
        <w:r w:rsidRPr="007246E7">
          <w:rPr>
            <w:rStyle w:val="Hyperlink"/>
            <w:rtl/>
          </w:rPr>
          <w:t>תוספות ביצה י"ד ע"ב ד"ה הבורר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Toc163505852 \h</w:instrText>
        </w:r>
        <w:r>
          <w:rPr>
            <w:webHidden/>
            <w:rtl/>
          </w:rPr>
          <w:instrText xml:space="preserve"> </w:instrText>
        </w:r>
        <w:r>
          <w:rPr>
            <w:rStyle w:val="Hyperlink"/>
            <w:rtl/>
          </w:rPr>
        </w:r>
        <w:r>
          <w:rPr>
            <w:rStyle w:val="Hyperlink"/>
            <w:rtl/>
          </w:rPr>
          <w:fldChar w:fldCharType="separate"/>
        </w:r>
        <w:r w:rsidR="00D82181">
          <w:rPr>
            <w:webHidden/>
            <w:rtl/>
          </w:rPr>
          <w:t>95</w:t>
        </w:r>
        <w:r>
          <w:rPr>
            <w:rStyle w:val="Hyperlink"/>
            <w:rtl/>
          </w:rPr>
          <w:fldChar w:fldCharType="end"/>
        </w:r>
      </w:hyperlink>
    </w:p>
    <w:p w14:paraId="40CDBFC2" w14:textId="170F70DC" w:rsidR="008009AA" w:rsidRDefault="008009AA">
      <w:pPr>
        <w:pStyle w:val="TOC7"/>
        <w:rPr>
          <w:rFonts w:cstheme="minorBidi"/>
          <w:sz w:val="22"/>
          <w:szCs w:val="22"/>
          <w:rtl/>
        </w:rPr>
      </w:pPr>
      <w:hyperlink w:anchor="_Toc163505853" w:history="1">
        <w:r w:rsidRPr="007246E7">
          <w:rPr>
            <w:rStyle w:val="Hyperlink"/>
            <w:rtl/>
          </w:rPr>
          <w:t>אגלי טל בורר סק"א אות י"ח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Toc163505853 \h</w:instrText>
        </w:r>
        <w:r>
          <w:rPr>
            <w:webHidden/>
            <w:rtl/>
          </w:rPr>
          <w:instrText xml:space="preserve"> </w:instrText>
        </w:r>
        <w:r>
          <w:rPr>
            <w:rStyle w:val="Hyperlink"/>
            <w:rtl/>
          </w:rPr>
        </w:r>
        <w:r>
          <w:rPr>
            <w:rStyle w:val="Hyperlink"/>
            <w:rtl/>
          </w:rPr>
          <w:fldChar w:fldCharType="separate"/>
        </w:r>
        <w:r w:rsidR="00D82181">
          <w:rPr>
            <w:webHidden/>
            <w:rtl/>
          </w:rPr>
          <w:t>95</w:t>
        </w:r>
        <w:r>
          <w:rPr>
            <w:rStyle w:val="Hyperlink"/>
            <w:rtl/>
          </w:rPr>
          <w:fldChar w:fldCharType="end"/>
        </w:r>
      </w:hyperlink>
    </w:p>
    <w:p w14:paraId="30423B9C" w14:textId="55316F37" w:rsidR="008009AA" w:rsidRDefault="008009AA">
      <w:pPr>
        <w:pStyle w:val="TOC7"/>
        <w:rPr>
          <w:rFonts w:cstheme="minorBidi"/>
          <w:sz w:val="22"/>
          <w:szCs w:val="22"/>
          <w:rtl/>
        </w:rPr>
      </w:pPr>
      <w:hyperlink w:anchor="_Toc163505854" w:history="1">
        <w:r w:rsidRPr="007246E7">
          <w:rPr>
            <w:rStyle w:val="Hyperlink"/>
            <w:rtl/>
          </w:rPr>
          <w:t>שביתת השבת בורר אות 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Toc163505854 \h</w:instrText>
        </w:r>
        <w:r>
          <w:rPr>
            <w:webHidden/>
            <w:rtl/>
          </w:rPr>
          <w:instrText xml:space="preserve"> </w:instrText>
        </w:r>
        <w:r>
          <w:rPr>
            <w:rStyle w:val="Hyperlink"/>
            <w:rtl/>
          </w:rPr>
        </w:r>
        <w:r>
          <w:rPr>
            <w:rStyle w:val="Hyperlink"/>
            <w:rtl/>
          </w:rPr>
          <w:fldChar w:fldCharType="separate"/>
        </w:r>
        <w:r w:rsidR="00D82181">
          <w:rPr>
            <w:webHidden/>
            <w:rtl/>
          </w:rPr>
          <w:t>95</w:t>
        </w:r>
        <w:r>
          <w:rPr>
            <w:rStyle w:val="Hyperlink"/>
            <w:rtl/>
          </w:rPr>
          <w:fldChar w:fldCharType="end"/>
        </w:r>
      </w:hyperlink>
    </w:p>
    <w:p w14:paraId="77F5AA1B" w14:textId="46D1EE29" w:rsidR="008009AA" w:rsidRDefault="008009AA">
      <w:pPr>
        <w:pStyle w:val="TOC7"/>
        <w:rPr>
          <w:rFonts w:cstheme="minorBidi"/>
          <w:sz w:val="22"/>
          <w:szCs w:val="22"/>
          <w:rtl/>
        </w:rPr>
      </w:pPr>
      <w:hyperlink w:anchor="_Toc163505855" w:history="1">
        <w:r w:rsidRPr="007246E7">
          <w:rPr>
            <w:rStyle w:val="Hyperlink"/>
            <w:rtl/>
          </w:rPr>
          <w:t>אגלי טל בורר סק"א אות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Toc163505855 \h</w:instrText>
        </w:r>
        <w:r>
          <w:rPr>
            <w:webHidden/>
            <w:rtl/>
          </w:rPr>
          <w:instrText xml:space="preserve"> </w:instrText>
        </w:r>
        <w:r>
          <w:rPr>
            <w:rStyle w:val="Hyperlink"/>
            <w:rtl/>
          </w:rPr>
        </w:r>
        <w:r>
          <w:rPr>
            <w:rStyle w:val="Hyperlink"/>
            <w:rtl/>
          </w:rPr>
          <w:fldChar w:fldCharType="separate"/>
        </w:r>
        <w:r w:rsidR="00D82181">
          <w:rPr>
            <w:webHidden/>
            <w:rtl/>
          </w:rPr>
          <w:t>95</w:t>
        </w:r>
        <w:r>
          <w:rPr>
            <w:rStyle w:val="Hyperlink"/>
            <w:rtl/>
          </w:rPr>
          <w:fldChar w:fldCharType="end"/>
        </w:r>
      </w:hyperlink>
    </w:p>
    <w:p w14:paraId="268BD73B" w14:textId="6B3C0E41" w:rsidR="008009AA" w:rsidRDefault="008009AA">
      <w:pPr>
        <w:pStyle w:val="TOC7"/>
        <w:rPr>
          <w:rFonts w:cstheme="minorBidi"/>
          <w:sz w:val="22"/>
          <w:szCs w:val="22"/>
          <w:rtl/>
        </w:rPr>
      </w:pPr>
      <w:hyperlink w:anchor="_Toc163505856" w:history="1">
        <w:r w:rsidRPr="007246E7">
          <w:rPr>
            <w:rStyle w:val="Hyperlink"/>
            <w:rtl/>
          </w:rPr>
          <w:t>שביתת השבת בורר אות ב' ד"ה והנה מ"ש</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Toc163505856 \h</w:instrText>
        </w:r>
        <w:r>
          <w:rPr>
            <w:webHidden/>
            <w:rtl/>
          </w:rPr>
          <w:instrText xml:space="preserve"> </w:instrText>
        </w:r>
        <w:r>
          <w:rPr>
            <w:rStyle w:val="Hyperlink"/>
            <w:rtl/>
          </w:rPr>
        </w:r>
        <w:r>
          <w:rPr>
            <w:rStyle w:val="Hyperlink"/>
            <w:rtl/>
          </w:rPr>
          <w:fldChar w:fldCharType="separate"/>
        </w:r>
        <w:r w:rsidR="00D82181">
          <w:rPr>
            <w:webHidden/>
            <w:rtl/>
          </w:rPr>
          <w:t>95</w:t>
        </w:r>
        <w:r>
          <w:rPr>
            <w:rStyle w:val="Hyperlink"/>
            <w:rtl/>
          </w:rPr>
          <w:fldChar w:fldCharType="end"/>
        </w:r>
      </w:hyperlink>
    </w:p>
    <w:p w14:paraId="5DCCAB01" w14:textId="48597FF4" w:rsidR="008009AA" w:rsidRDefault="008009AA">
      <w:pPr>
        <w:pStyle w:val="TOC7"/>
        <w:rPr>
          <w:rFonts w:cstheme="minorBidi"/>
          <w:sz w:val="22"/>
          <w:szCs w:val="22"/>
          <w:rtl/>
        </w:rPr>
      </w:pPr>
      <w:hyperlink w:anchor="_Toc163505857" w:history="1">
        <w:r w:rsidRPr="007246E7">
          <w:rPr>
            <w:rStyle w:val="Hyperlink"/>
            <w:rtl/>
          </w:rPr>
          <w:t>חדושי הרמב"ן שבת ע"ד ע"א ד"ה ואיכא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Toc163505857 \h</w:instrText>
        </w:r>
        <w:r>
          <w:rPr>
            <w:webHidden/>
            <w:rtl/>
          </w:rPr>
          <w:instrText xml:space="preserve"> </w:instrText>
        </w:r>
        <w:r>
          <w:rPr>
            <w:rStyle w:val="Hyperlink"/>
            <w:rtl/>
          </w:rPr>
        </w:r>
        <w:r>
          <w:rPr>
            <w:rStyle w:val="Hyperlink"/>
            <w:rtl/>
          </w:rPr>
          <w:fldChar w:fldCharType="separate"/>
        </w:r>
        <w:r w:rsidR="00D82181">
          <w:rPr>
            <w:webHidden/>
            <w:rtl/>
          </w:rPr>
          <w:t>96</w:t>
        </w:r>
        <w:r>
          <w:rPr>
            <w:rStyle w:val="Hyperlink"/>
            <w:rtl/>
          </w:rPr>
          <w:fldChar w:fldCharType="end"/>
        </w:r>
      </w:hyperlink>
    </w:p>
    <w:p w14:paraId="0FC92487" w14:textId="764EDCE7" w:rsidR="008009AA" w:rsidRDefault="008009AA">
      <w:pPr>
        <w:pStyle w:val="TOC7"/>
        <w:rPr>
          <w:rFonts w:cstheme="minorBidi"/>
          <w:sz w:val="22"/>
          <w:szCs w:val="22"/>
          <w:rtl/>
        </w:rPr>
      </w:pPr>
      <w:hyperlink w:anchor="_Toc163505858" w:history="1">
        <w:r w:rsidRPr="007246E7">
          <w:rPr>
            <w:rStyle w:val="Hyperlink"/>
            <w:rtl/>
          </w:rPr>
          <w:t>חדושי הר"ן שבת ע"ד ע"א ד"ה היו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Toc163505858 \h</w:instrText>
        </w:r>
        <w:r>
          <w:rPr>
            <w:webHidden/>
            <w:rtl/>
          </w:rPr>
          <w:instrText xml:space="preserve"> </w:instrText>
        </w:r>
        <w:r>
          <w:rPr>
            <w:rStyle w:val="Hyperlink"/>
            <w:rtl/>
          </w:rPr>
        </w:r>
        <w:r>
          <w:rPr>
            <w:rStyle w:val="Hyperlink"/>
            <w:rtl/>
          </w:rPr>
          <w:fldChar w:fldCharType="separate"/>
        </w:r>
        <w:r w:rsidR="00D82181">
          <w:rPr>
            <w:webHidden/>
            <w:rtl/>
          </w:rPr>
          <w:t>96</w:t>
        </w:r>
        <w:r>
          <w:rPr>
            <w:rStyle w:val="Hyperlink"/>
            <w:rtl/>
          </w:rPr>
          <w:fldChar w:fldCharType="end"/>
        </w:r>
      </w:hyperlink>
    </w:p>
    <w:p w14:paraId="328AF662" w14:textId="497403B0" w:rsidR="008009AA" w:rsidRDefault="008009AA">
      <w:pPr>
        <w:pStyle w:val="TOC7"/>
        <w:rPr>
          <w:rFonts w:cstheme="minorBidi"/>
          <w:sz w:val="22"/>
          <w:szCs w:val="22"/>
          <w:rtl/>
        </w:rPr>
      </w:pPr>
      <w:hyperlink w:anchor="_Toc163505859" w:history="1">
        <w:r w:rsidRPr="007246E7">
          <w:rPr>
            <w:rStyle w:val="Hyperlink"/>
            <w:rtl/>
          </w:rPr>
          <w:t>חידושי רבינו משה קזיס ד"ה כפי מה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Toc163505859 \h</w:instrText>
        </w:r>
        <w:r>
          <w:rPr>
            <w:webHidden/>
            <w:rtl/>
          </w:rPr>
          <w:instrText xml:space="preserve"> </w:instrText>
        </w:r>
        <w:r>
          <w:rPr>
            <w:rStyle w:val="Hyperlink"/>
            <w:rtl/>
          </w:rPr>
        </w:r>
        <w:r>
          <w:rPr>
            <w:rStyle w:val="Hyperlink"/>
            <w:rtl/>
          </w:rPr>
          <w:fldChar w:fldCharType="separate"/>
        </w:r>
        <w:r w:rsidR="00D82181">
          <w:rPr>
            <w:webHidden/>
            <w:rtl/>
          </w:rPr>
          <w:t>96</w:t>
        </w:r>
        <w:r>
          <w:rPr>
            <w:rStyle w:val="Hyperlink"/>
            <w:rtl/>
          </w:rPr>
          <w:fldChar w:fldCharType="end"/>
        </w:r>
      </w:hyperlink>
    </w:p>
    <w:p w14:paraId="181ACEF1" w14:textId="57FD2D2F" w:rsidR="008009AA" w:rsidRDefault="008009AA">
      <w:pPr>
        <w:pStyle w:val="TOC7"/>
        <w:rPr>
          <w:rFonts w:cstheme="minorBidi"/>
          <w:sz w:val="22"/>
          <w:szCs w:val="22"/>
          <w:rtl/>
        </w:rPr>
      </w:pPr>
      <w:hyperlink w:anchor="_Toc163505860" w:history="1">
        <w:r w:rsidRPr="007246E7">
          <w:rPr>
            <w:rStyle w:val="Hyperlink"/>
            <w:rtl/>
          </w:rPr>
          <w:t>ספר המכריע סי' כ"ג ד"ה גרסינן</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Toc163505860 \h</w:instrText>
        </w:r>
        <w:r>
          <w:rPr>
            <w:webHidden/>
            <w:rtl/>
          </w:rPr>
          <w:instrText xml:space="preserve"> </w:instrText>
        </w:r>
        <w:r>
          <w:rPr>
            <w:rStyle w:val="Hyperlink"/>
            <w:rtl/>
          </w:rPr>
        </w:r>
        <w:r>
          <w:rPr>
            <w:rStyle w:val="Hyperlink"/>
            <w:rtl/>
          </w:rPr>
          <w:fldChar w:fldCharType="separate"/>
        </w:r>
        <w:r w:rsidR="00D82181">
          <w:rPr>
            <w:webHidden/>
            <w:rtl/>
          </w:rPr>
          <w:t>96</w:t>
        </w:r>
        <w:r>
          <w:rPr>
            <w:rStyle w:val="Hyperlink"/>
            <w:rtl/>
          </w:rPr>
          <w:fldChar w:fldCharType="end"/>
        </w:r>
      </w:hyperlink>
    </w:p>
    <w:p w14:paraId="5781B603" w14:textId="77E446F3" w:rsidR="008009AA" w:rsidRDefault="008009AA">
      <w:pPr>
        <w:pStyle w:val="TOC7"/>
        <w:rPr>
          <w:rFonts w:cstheme="minorBidi"/>
          <w:sz w:val="22"/>
          <w:szCs w:val="22"/>
          <w:rtl/>
        </w:rPr>
      </w:pPr>
      <w:hyperlink w:anchor="_Toc163505861" w:history="1">
        <w:r w:rsidRPr="007246E7">
          <w:rPr>
            <w:rStyle w:val="Hyperlink"/>
            <w:rtl/>
          </w:rPr>
          <w:t>אגלי טל בורר סק"א אות ט'</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Toc163505861 \h</w:instrText>
        </w:r>
        <w:r>
          <w:rPr>
            <w:webHidden/>
            <w:rtl/>
          </w:rPr>
          <w:instrText xml:space="preserve"> </w:instrText>
        </w:r>
        <w:r>
          <w:rPr>
            <w:rStyle w:val="Hyperlink"/>
            <w:rtl/>
          </w:rPr>
        </w:r>
        <w:r>
          <w:rPr>
            <w:rStyle w:val="Hyperlink"/>
            <w:rtl/>
          </w:rPr>
          <w:fldChar w:fldCharType="separate"/>
        </w:r>
        <w:r w:rsidR="00D82181">
          <w:rPr>
            <w:webHidden/>
            <w:rtl/>
          </w:rPr>
          <w:t>96</w:t>
        </w:r>
        <w:r>
          <w:rPr>
            <w:rStyle w:val="Hyperlink"/>
            <w:rtl/>
          </w:rPr>
          <w:fldChar w:fldCharType="end"/>
        </w:r>
      </w:hyperlink>
    </w:p>
    <w:p w14:paraId="26306F5A" w14:textId="31ACE6FD" w:rsidR="008009AA" w:rsidRDefault="008009AA">
      <w:pPr>
        <w:pStyle w:val="TOC7"/>
        <w:rPr>
          <w:rFonts w:cstheme="minorBidi"/>
          <w:sz w:val="22"/>
          <w:szCs w:val="22"/>
          <w:rtl/>
        </w:rPr>
      </w:pPr>
      <w:hyperlink w:anchor="_Toc163505862" w:history="1">
        <w:r w:rsidRPr="007246E7">
          <w:rPr>
            <w:rStyle w:val="Hyperlink"/>
            <w:rtl/>
          </w:rPr>
          <w:t>תוספות שבת ע"ד ע"א ד"ה ולא ידענא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Toc163505862 \h</w:instrText>
        </w:r>
        <w:r>
          <w:rPr>
            <w:webHidden/>
            <w:rtl/>
          </w:rPr>
          <w:instrText xml:space="preserve"> </w:instrText>
        </w:r>
        <w:r>
          <w:rPr>
            <w:rStyle w:val="Hyperlink"/>
            <w:rtl/>
          </w:rPr>
        </w:r>
        <w:r>
          <w:rPr>
            <w:rStyle w:val="Hyperlink"/>
            <w:rtl/>
          </w:rPr>
          <w:fldChar w:fldCharType="separate"/>
        </w:r>
        <w:r w:rsidR="00D82181">
          <w:rPr>
            <w:webHidden/>
            <w:rtl/>
          </w:rPr>
          <w:t>96</w:t>
        </w:r>
        <w:r>
          <w:rPr>
            <w:rStyle w:val="Hyperlink"/>
            <w:rtl/>
          </w:rPr>
          <w:fldChar w:fldCharType="end"/>
        </w:r>
      </w:hyperlink>
    </w:p>
    <w:p w14:paraId="2B2C9681" w14:textId="45322EE6" w:rsidR="008009AA" w:rsidRDefault="008009AA">
      <w:pPr>
        <w:pStyle w:val="TOC7"/>
        <w:rPr>
          <w:rFonts w:cstheme="minorBidi"/>
          <w:sz w:val="22"/>
          <w:szCs w:val="22"/>
          <w:rtl/>
        </w:rPr>
      </w:pPr>
      <w:hyperlink w:anchor="_Toc163505863" w:history="1">
        <w:r w:rsidRPr="007246E7">
          <w:rPr>
            <w:rStyle w:val="Hyperlink"/>
            <w:rtl/>
          </w:rPr>
          <w:t>אגלי טל בורר סק"א אות י"ז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Toc163505863 \h</w:instrText>
        </w:r>
        <w:r>
          <w:rPr>
            <w:webHidden/>
            <w:rtl/>
          </w:rPr>
          <w:instrText xml:space="preserve"> </w:instrText>
        </w:r>
        <w:r>
          <w:rPr>
            <w:rStyle w:val="Hyperlink"/>
            <w:rtl/>
          </w:rPr>
        </w:r>
        <w:r>
          <w:rPr>
            <w:rStyle w:val="Hyperlink"/>
            <w:rtl/>
          </w:rPr>
          <w:fldChar w:fldCharType="separate"/>
        </w:r>
        <w:r w:rsidR="00D82181">
          <w:rPr>
            <w:webHidden/>
            <w:rtl/>
          </w:rPr>
          <w:t>96</w:t>
        </w:r>
        <w:r>
          <w:rPr>
            <w:rStyle w:val="Hyperlink"/>
            <w:rtl/>
          </w:rPr>
          <w:fldChar w:fldCharType="end"/>
        </w:r>
      </w:hyperlink>
    </w:p>
    <w:p w14:paraId="68969F4A" w14:textId="31E573ED" w:rsidR="008009AA" w:rsidRDefault="008009AA">
      <w:pPr>
        <w:pStyle w:val="TOC7"/>
        <w:rPr>
          <w:rFonts w:cstheme="minorBidi"/>
          <w:sz w:val="22"/>
          <w:szCs w:val="22"/>
          <w:rtl/>
        </w:rPr>
      </w:pPr>
      <w:hyperlink w:anchor="_Toc163505864" w:history="1">
        <w:r w:rsidRPr="007246E7">
          <w:rPr>
            <w:rStyle w:val="Hyperlink"/>
            <w:rtl/>
          </w:rPr>
          <w:t>אגלי טל בורר סק"א אות ט"ז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Toc163505864 \h</w:instrText>
        </w:r>
        <w:r>
          <w:rPr>
            <w:webHidden/>
            <w:rtl/>
          </w:rPr>
          <w:instrText xml:space="preserve"> </w:instrText>
        </w:r>
        <w:r>
          <w:rPr>
            <w:rStyle w:val="Hyperlink"/>
            <w:rtl/>
          </w:rPr>
        </w:r>
        <w:r>
          <w:rPr>
            <w:rStyle w:val="Hyperlink"/>
            <w:rtl/>
          </w:rPr>
          <w:fldChar w:fldCharType="separate"/>
        </w:r>
        <w:r w:rsidR="00D82181">
          <w:rPr>
            <w:webHidden/>
            <w:rtl/>
          </w:rPr>
          <w:t>97</w:t>
        </w:r>
        <w:r>
          <w:rPr>
            <w:rStyle w:val="Hyperlink"/>
            <w:rtl/>
          </w:rPr>
          <w:fldChar w:fldCharType="end"/>
        </w:r>
      </w:hyperlink>
    </w:p>
    <w:p w14:paraId="7569BE35" w14:textId="0A037856" w:rsidR="008009AA" w:rsidRDefault="008009AA">
      <w:pPr>
        <w:pStyle w:val="TOC7"/>
        <w:rPr>
          <w:rFonts w:cstheme="minorBidi"/>
          <w:sz w:val="22"/>
          <w:szCs w:val="22"/>
          <w:rtl/>
        </w:rPr>
      </w:pPr>
      <w:hyperlink w:anchor="_Toc163505865" w:history="1">
        <w:r w:rsidRPr="007246E7">
          <w:rPr>
            <w:rStyle w:val="Hyperlink"/>
            <w:rtl/>
          </w:rPr>
          <w:t>רבינו חננאל שבת ע"ד ע"א ד"ה ת"ר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Toc163505865 \h</w:instrText>
        </w:r>
        <w:r>
          <w:rPr>
            <w:webHidden/>
            <w:rtl/>
          </w:rPr>
          <w:instrText xml:space="preserve"> </w:instrText>
        </w:r>
        <w:r>
          <w:rPr>
            <w:rStyle w:val="Hyperlink"/>
            <w:rtl/>
          </w:rPr>
        </w:r>
        <w:r>
          <w:rPr>
            <w:rStyle w:val="Hyperlink"/>
            <w:rtl/>
          </w:rPr>
          <w:fldChar w:fldCharType="separate"/>
        </w:r>
        <w:r w:rsidR="00D82181">
          <w:rPr>
            <w:webHidden/>
            <w:rtl/>
          </w:rPr>
          <w:t>97</w:t>
        </w:r>
        <w:r>
          <w:rPr>
            <w:rStyle w:val="Hyperlink"/>
            <w:rtl/>
          </w:rPr>
          <w:fldChar w:fldCharType="end"/>
        </w:r>
      </w:hyperlink>
    </w:p>
    <w:p w14:paraId="74B2FFC5" w14:textId="35596B63" w:rsidR="008009AA" w:rsidRDefault="008009AA">
      <w:pPr>
        <w:pStyle w:val="TOC7"/>
        <w:rPr>
          <w:rFonts w:cstheme="minorBidi"/>
          <w:sz w:val="22"/>
          <w:szCs w:val="22"/>
          <w:rtl/>
        </w:rPr>
      </w:pPr>
      <w:hyperlink w:anchor="_Toc163505866" w:history="1">
        <w:r w:rsidRPr="007246E7">
          <w:rPr>
            <w:rStyle w:val="Hyperlink"/>
            <w:rtl/>
          </w:rPr>
          <w:t>רמב"ם שבת פ"ח הי"ב, י"ג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Toc163505866 \h</w:instrText>
        </w:r>
        <w:r>
          <w:rPr>
            <w:webHidden/>
            <w:rtl/>
          </w:rPr>
          <w:instrText xml:space="preserve"> </w:instrText>
        </w:r>
        <w:r>
          <w:rPr>
            <w:rStyle w:val="Hyperlink"/>
            <w:rtl/>
          </w:rPr>
        </w:r>
        <w:r>
          <w:rPr>
            <w:rStyle w:val="Hyperlink"/>
            <w:rtl/>
          </w:rPr>
          <w:fldChar w:fldCharType="separate"/>
        </w:r>
        <w:r w:rsidR="00D82181">
          <w:rPr>
            <w:webHidden/>
            <w:rtl/>
          </w:rPr>
          <w:t>97</w:t>
        </w:r>
        <w:r>
          <w:rPr>
            <w:rStyle w:val="Hyperlink"/>
            <w:rtl/>
          </w:rPr>
          <w:fldChar w:fldCharType="end"/>
        </w:r>
      </w:hyperlink>
    </w:p>
    <w:p w14:paraId="120B26F9" w14:textId="49128CEB" w:rsidR="008009AA" w:rsidRDefault="008009AA">
      <w:pPr>
        <w:pStyle w:val="TOC7"/>
        <w:rPr>
          <w:rFonts w:cstheme="minorBidi"/>
          <w:sz w:val="22"/>
          <w:szCs w:val="22"/>
          <w:rtl/>
        </w:rPr>
      </w:pPr>
      <w:hyperlink w:anchor="_Toc163505867" w:history="1">
        <w:r w:rsidRPr="007246E7">
          <w:rPr>
            <w:rStyle w:val="Hyperlink"/>
            <w:rtl/>
          </w:rPr>
          <w:t>מגיד משנה שבת פ"ח הי"ב, הי"ג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Toc163505867 \h</w:instrText>
        </w:r>
        <w:r>
          <w:rPr>
            <w:webHidden/>
            <w:rtl/>
          </w:rPr>
          <w:instrText xml:space="preserve"> </w:instrText>
        </w:r>
        <w:r>
          <w:rPr>
            <w:rStyle w:val="Hyperlink"/>
            <w:rtl/>
          </w:rPr>
        </w:r>
        <w:r>
          <w:rPr>
            <w:rStyle w:val="Hyperlink"/>
            <w:rtl/>
          </w:rPr>
          <w:fldChar w:fldCharType="separate"/>
        </w:r>
        <w:r w:rsidR="00D82181">
          <w:rPr>
            <w:webHidden/>
            <w:rtl/>
          </w:rPr>
          <w:t>97</w:t>
        </w:r>
        <w:r>
          <w:rPr>
            <w:rStyle w:val="Hyperlink"/>
            <w:rtl/>
          </w:rPr>
          <w:fldChar w:fldCharType="end"/>
        </w:r>
      </w:hyperlink>
    </w:p>
    <w:p w14:paraId="50E2E26B" w14:textId="225EE967" w:rsidR="008009AA" w:rsidRDefault="008009AA">
      <w:pPr>
        <w:pStyle w:val="TOC7"/>
        <w:rPr>
          <w:rFonts w:cstheme="minorBidi"/>
          <w:sz w:val="22"/>
          <w:szCs w:val="22"/>
          <w:rtl/>
        </w:rPr>
      </w:pPr>
      <w:hyperlink w:anchor="_Toc163505868" w:history="1">
        <w:r w:rsidRPr="007246E7">
          <w:rPr>
            <w:rStyle w:val="Hyperlink"/>
            <w:rtl/>
          </w:rPr>
          <w:t>חדושי הרמב"ן שבת ע"ד ע"א ד"ה והתניא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Toc163505868 \h</w:instrText>
        </w:r>
        <w:r>
          <w:rPr>
            <w:webHidden/>
            <w:rtl/>
          </w:rPr>
          <w:instrText xml:space="preserve"> </w:instrText>
        </w:r>
        <w:r>
          <w:rPr>
            <w:rStyle w:val="Hyperlink"/>
            <w:rtl/>
          </w:rPr>
        </w:r>
        <w:r>
          <w:rPr>
            <w:rStyle w:val="Hyperlink"/>
            <w:rtl/>
          </w:rPr>
          <w:fldChar w:fldCharType="separate"/>
        </w:r>
        <w:r w:rsidR="00D82181">
          <w:rPr>
            <w:webHidden/>
            <w:rtl/>
          </w:rPr>
          <w:t>97</w:t>
        </w:r>
        <w:r>
          <w:rPr>
            <w:rStyle w:val="Hyperlink"/>
            <w:rtl/>
          </w:rPr>
          <w:fldChar w:fldCharType="end"/>
        </w:r>
      </w:hyperlink>
    </w:p>
    <w:p w14:paraId="2B14F30C" w14:textId="0C24D282" w:rsidR="008009AA" w:rsidRDefault="008009AA">
      <w:pPr>
        <w:pStyle w:val="TOC7"/>
        <w:rPr>
          <w:rFonts w:cstheme="minorBidi"/>
          <w:sz w:val="22"/>
          <w:szCs w:val="22"/>
          <w:rtl/>
        </w:rPr>
      </w:pPr>
      <w:hyperlink w:anchor="_Toc163505869" w:history="1">
        <w:r w:rsidRPr="007246E7">
          <w:rPr>
            <w:rStyle w:val="Hyperlink"/>
            <w:rtl/>
          </w:rPr>
          <w:t>חדושי הר"ן שבת ע"ד ע"א ד"ה היו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Toc163505869 \h</w:instrText>
        </w:r>
        <w:r>
          <w:rPr>
            <w:webHidden/>
            <w:rtl/>
          </w:rPr>
          <w:instrText xml:space="preserve"> </w:instrText>
        </w:r>
        <w:r>
          <w:rPr>
            <w:rStyle w:val="Hyperlink"/>
            <w:rtl/>
          </w:rPr>
        </w:r>
        <w:r>
          <w:rPr>
            <w:rStyle w:val="Hyperlink"/>
            <w:rtl/>
          </w:rPr>
          <w:fldChar w:fldCharType="separate"/>
        </w:r>
        <w:r w:rsidR="00D82181">
          <w:rPr>
            <w:webHidden/>
            <w:rtl/>
          </w:rPr>
          <w:t>97</w:t>
        </w:r>
        <w:r>
          <w:rPr>
            <w:rStyle w:val="Hyperlink"/>
            <w:rtl/>
          </w:rPr>
          <w:fldChar w:fldCharType="end"/>
        </w:r>
      </w:hyperlink>
    </w:p>
    <w:p w14:paraId="5DBCD478" w14:textId="20CAD825" w:rsidR="008009AA" w:rsidRDefault="008009AA">
      <w:pPr>
        <w:pStyle w:val="TOC7"/>
        <w:rPr>
          <w:rFonts w:cstheme="minorBidi"/>
          <w:sz w:val="22"/>
          <w:szCs w:val="22"/>
          <w:rtl/>
        </w:rPr>
      </w:pPr>
      <w:hyperlink w:anchor="_Toc163505870" w:history="1">
        <w:r w:rsidRPr="007246E7">
          <w:rPr>
            <w:rStyle w:val="Hyperlink"/>
            <w:rtl/>
          </w:rPr>
          <w:t>חדושי הריטב"א שבת ע"ד ע"א ד"ה אלא, אמרוה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Toc163505870 \h</w:instrText>
        </w:r>
        <w:r>
          <w:rPr>
            <w:webHidden/>
            <w:rtl/>
          </w:rPr>
          <w:instrText xml:space="preserve"> </w:instrText>
        </w:r>
        <w:r>
          <w:rPr>
            <w:rStyle w:val="Hyperlink"/>
            <w:rtl/>
          </w:rPr>
        </w:r>
        <w:r>
          <w:rPr>
            <w:rStyle w:val="Hyperlink"/>
            <w:rtl/>
          </w:rPr>
          <w:fldChar w:fldCharType="separate"/>
        </w:r>
        <w:r w:rsidR="00D82181">
          <w:rPr>
            <w:webHidden/>
            <w:rtl/>
          </w:rPr>
          <w:t>97</w:t>
        </w:r>
        <w:r>
          <w:rPr>
            <w:rStyle w:val="Hyperlink"/>
            <w:rtl/>
          </w:rPr>
          <w:fldChar w:fldCharType="end"/>
        </w:r>
      </w:hyperlink>
    </w:p>
    <w:p w14:paraId="302FF9E1" w14:textId="51A005EF" w:rsidR="008009AA" w:rsidRDefault="008009AA">
      <w:pPr>
        <w:pStyle w:val="TOC7"/>
        <w:rPr>
          <w:rFonts w:cstheme="minorBidi"/>
          <w:sz w:val="22"/>
          <w:szCs w:val="22"/>
          <w:rtl/>
        </w:rPr>
      </w:pPr>
      <w:hyperlink w:anchor="_Toc163505871" w:history="1">
        <w:r w:rsidRPr="007246E7">
          <w:rPr>
            <w:rStyle w:val="Hyperlink"/>
            <w:rtl/>
          </w:rPr>
          <w:t>ספר המכריע סי' כ"ג ד"ה וראיתי כתוב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Toc163505871 \h</w:instrText>
        </w:r>
        <w:r>
          <w:rPr>
            <w:webHidden/>
            <w:rtl/>
          </w:rPr>
          <w:instrText xml:space="preserve"> </w:instrText>
        </w:r>
        <w:r>
          <w:rPr>
            <w:rStyle w:val="Hyperlink"/>
            <w:rtl/>
          </w:rPr>
        </w:r>
        <w:r>
          <w:rPr>
            <w:rStyle w:val="Hyperlink"/>
            <w:rtl/>
          </w:rPr>
          <w:fldChar w:fldCharType="separate"/>
        </w:r>
        <w:r w:rsidR="00D82181">
          <w:rPr>
            <w:webHidden/>
            <w:rtl/>
          </w:rPr>
          <w:t>98</w:t>
        </w:r>
        <w:r>
          <w:rPr>
            <w:rStyle w:val="Hyperlink"/>
            <w:rtl/>
          </w:rPr>
          <w:fldChar w:fldCharType="end"/>
        </w:r>
      </w:hyperlink>
    </w:p>
    <w:p w14:paraId="3B91F100" w14:textId="2D339A1A" w:rsidR="008009AA" w:rsidRDefault="008009AA">
      <w:pPr>
        <w:pStyle w:val="TOC7"/>
        <w:rPr>
          <w:rFonts w:cstheme="minorBidi"/>
          <w:sz w:val="22"/>
          <w:szCs w:val="22"/>
          <w:rtl/>
        </w:rPr>
      </w:pPr>
      <w:hyperlink w:anchor="_Toc163505872" w:history="1">
        <w:r w:rsidRPr="007246E7">
          <w:rPr>
            <w:rStyle w:val="Hyperlink"/>
            <w:rtl/>
          </w:rPr>
          <w:t>שו"ת מהריט"ץ סי' ר"ג ד"ה ראיתי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Toc163505872 \h</w:instrText>
        </w:r>
        <w:r>
          <w:rPr>
            <w:webHidden/>
            <w:rtl/>
          </w:rPr>
          <w:instrText xml:space="preserve"> </w:instrText>
        </w:r>
        <w:r>
          <w:rPr>
            <w:rStyle w:val="Hyperlink"/>
            <w:rtl/>
          </w:rPr>
        </w:r>
        <w:r>
          <w:rPr>
            <w:rStyle w:val="Hyperlink"/>
            <w:rtl/>
          </w:rPr>
          <w:fldChar w:fldCharType="separate"/>
        </w:r>
        <w:r w:rsidR="00D82181">
          <w:rPr>
            <w:webHidden/>
            <w:rtl/>
          </w:rPr>
          <w:t>98</w:t>
        </w:r>
        <w:r>
          <w:rPr>
            <w:rStyle w:val="Hyperlink"/>
            <w:rtl/>
          </w:rPr>
          <w:fldChar w:fldCharType="end"/>
        </w:r>
      </w:hyperlink>
    </w:p>
    <w:p w14:paraId="68D752AE" w14:textId="63C0DF9D" w:rsidR="008009AA" w:rsidRDefault="008009AA">
      <w:pPr>
        <w:pStyle w:val="TOC7"/>
        <w:rPr>
          <w:rFonts w:cstheme="minorBidi"/>
          <w:sz w:val="22"/>
          <w:szCs w:val="22"/>
          <w:rtl/>
        </w:rPr>
      </w:pPr>
      <w:hyperlink w:anchor="_Toc163505873" w:history="1">
        <w:r w:rsidRPr="007246E7">
          <w:rPr>
            <w:rStyle w:val="Hyperlink"/>
            <w:rtl/>
          </w:rPr>
          <w:t>אגלי טל בורר סק"א אות 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Toc163505873 \h</w:instrText>
        </w:r>
        <w:r>
          <w:rPr>
            <w:webHidden/>
            <w:rtl/>
          </w:rPr>
          <w:instrText xml:space="preserve"> </w:instrText>
        </w:r>
        <w:r>
          <w:rPr>
            <w:rStyle w:val="Hyperlink"/>
            <w:rtl/>
          </w:rPr>
        </w:r>
        <w:r>
          <w:rPr>
            <w:rStyle w:val="Hyperlink"/>
            <w:rtl/>
          </w:rPr>
          <w:fldChar w:fldCharType="separate"/>
        </w:r>
        <w:r w:rsidR="00D82181">
          <w:rPr>
            <w:webHidden/>
            <w:rtl/>
          </w:rPr>
          <w:t>98</w:t>
        </w:r>
        <w:r>
          <w:rPr>
            <w:rStyle w:val="Hyperlink"/>
            <w:rtl/>
          </w:rPr>
          <w:fldChar w:fldCharType="end"/>
        </w:r>
      </w:hyperlink>
    </w:p>
    <w:p w14:paraId="278BDA91" w14:textId="78499C6E" w:rsidR="008009AA" w:rsidRDefault="008009AA">
      <w:pPr>
        <w:pStyle w:val="TOC7"/>
        <w:rPr>
          <w:rFonts w:cstheme="minorBidi"/>
          <w:sz w:val="22"/>
          <w:szCs w:val="22"/>
          <w:rtl/>
        </w:rPr>
      </w:pPr>
      <w:hyperlink w:anchor="_Toc163505874" w:history="1">
        <w:r w:rsidRPr="007246E7">
          <w:rPr>
            <w:rStyle w:val="Hyperlink"/>
            <w:rtl/>
          </w:rPr>
          <w:t>חדושי הר"ן - מיוחס לו שבת ע"ד ע"א ד"ה אלא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Toc163505874 \h</w:instrText>
        </w:r>
        <w:r>
          <w:rPr>
            <w:webHidden/>
            <w:rtl/>
          </w:rPr>
          <w:instrText xml:space="preserve"> </w:instrText>
        </w:r>
        <w:r>
          <w:rPr>
            <w:rStyle w:val="Hyperlink"/>
            <w:rtl/>
          </w:rPr>
        </w:r>
        <w:r>
          <w:rPr>
            <w:rStyle w:val="Hyperlink"/>
            <w:rtl/>
          </w:rPr>
          <w:fldChar w:fldCharType="separate"/>
        </w:r>
        <w:r w:rsidR="00D82181">
          <w:rPr>
            <w:webHidden/>
            <w:rtl/>
          </w:rPr>
          <w:t>98</w:t>
        </w:r>
        <w:r>
          <w:rPr>
            <w:rStyle w:val="Hyperlink"/>
            <w:rtl/>
          </w:rPr>
          <w:fldChar w:fldCharType="end"/>
        </w:r>
      </w:hyperlink>
    </w:p>
    <w:p w14:paraId="3B4CC218" w14:textId="7FA7CD5A" w:rsidR="008009AA" w:rsidRDefault="008009AA">
      <w:pPr>
        <w:pStyle w:val="TOC7"/>
        <w:rPr>
          <w:rFonts w:cstheme="minorBidi"/>
          <w:sz w:val="22"/>
          <w:szCs w:val="22"/>
          <w:rtl/>
        </w:rPr>
      </w:pPr>
      <w:hyperlink w:anchor="_Toc163505875" w:history="1">
        <w:r w:rsidRPr="007246E7">
          <w:rPr>
            <w:rStyle w:val="Hyperlink"/>
            <w:rtl/>
          </w:rPr>
          <w:t>אגלי טל בורר סק"א אות 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Toc163505875 \h</w:instrText>
        </w:r>
        <w:r>
          <w:rPr>
            <w:webHidden/>
            <w:rtl/>
          </w:rPr>
          <w:instrText xml:space="preserve"> </w:instrText>
        </w:r>
        <w:r>
          <w:rPr>
            <w:rStyle w:val="Hyperlink"/>
            <w:rtl/>
          </w:rPr>
        </w:r>
        <w:r>
          <w:rPr>
            <w:rStyle w:val="Hyperlink"/>
            <w:rtl/>
          </w:rPr>
          <w:fldChar w:fldCharType="separate"/>
        </w:r>
        <w:r w:rsidR="00D82181">
          <w:rPr>
            <w:webHidden/>
            <w:rtl/>
          </w:rPr>
          <w:t>98</w:t>
        </w:r>
        <w:r>
          <w:rPr>
            <w:rStyle w:val="Hyperlink"/>
            <w:rtl/>
          </w:rPr>
          <w:fldChar w:fldCharType="end"/>
        </w:r>
      </w:hyperlink>
    </w:p>
    <w:p w14:paraId="0ABEEF42" w14:textId="70807F32" w:rsidR="008009AA" w:rsidRDefault="008009AA">
      <w:pPr>
        <w:pStyle w:val="TOC7"/>
        <w:rPr>
          <w:rFonts w:cstheme="minorBidi"/>
          <w:sz w:val="22"/>
          <w:szCs w:val="22"/>
          <w:rtl/>
        </w:rPr>
      </w:pPr>
      <w:hyperlink w:anchor="_Toc163505876" w:history="1">
        <w:r w:rsidRPr="007246E7">
          <w:rPr>
            <w:rStyle w:val="Hyperlink"/>
            <w:rtl/>
          </w:rPr>
          <w:t>אגלי טל בורר סק"א אות 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Toc163505876 \h</w:instrText>
        </w:r>
        <w:r>
          <w:rPr>
            <w:webHidden/>
            <w:rtl/>
          </w:rPr>
          <w:instrText xml:space="preserve"> </w:instrText>
        </w:r>
        <w:r>
          <w:rPr>
            <w:rStyle w:val="Hyperlink"/>
            <w:rtl/>
          </w:rPr>
        </w:r>
        <w:r>
          <w:rPr>
            <w:rStyle w:val="Hyperlink"/>
            <w:rtl/>
          </w:rPr>
          <w:fldChar w:fldCharType="separate"/>
        </w:r>
        <w:r w:rsidR="00D82181">
          <w:rPr>
            <w:webHidden/>
            <w:rtl/>
          </w:rPr>
          <w:t>98</w:t>
        </w:r>
        <w:r>
          <w:rPr>
            <w:rStyle w:val="Hyperlink"/>
            <w:rtl/>
          </w:rPr>
          <w:fldChar w:fldCharType="end"/>
        </w:r>
      </w:hyperlink>
    </w:p>
    <w:p w14:paraId="59ED76F7" w14:textId="6DDF1C60" w:rsidR="008009AA" w:rsidRDefault="008009AA">
      <w:pPr>
        <w:pStyle w:val="TOC7"/>
        <w:rPr>
          <w:rFonts w:cstheme="minorBidi"/>
          <w:sz w:val="22"/>
          <w:szCs w:val="22"/>
          <w:rtl/>
        </w:rPr>
      </w:pPr>
      <w:hyperlink w:anchor="_Toc163505877" w:history="1">
        <w:r w:rsidRPr="007246E7">
          <w:rPr>
            <w:rStyle w:val="Hyperlink"/>
            <w:rtl/>
          </w:rPr>
          <w:t>ספר המכריע סי' כ"ג ד"ה גרסינן</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Toc163505877 \h</w:instrText>
        </w:r>
        <w:r>
          <w:rPr>
            <w:webHidden/>
            <w:rtl/>
          </w:rPr>
          <w:instrText xml:space="preserve"> </w:instrText>
        </w:r>
        <w:r>
          <w:rPr>
            <w:rStyle w:val="Hyperlink"/>
            <w:rtl/>
          </w:rPr>
        </w:r>
        <w:r>
          <w:rPr>
            <w:rStyle w:val="Hyperlink"/>
            <w:rtl/>
          </w:rPr>
          <w:fldChar w:fldCharType="separate"/>
        </w:r>
        <w:r w:rsidR="00D82181">
          <w:rPr>
            <w:webHidden/>
            <w:rtl/>
          </w:rPr>
          <w:t>98</w:t>
        </w:r>
        <w:r>
          <w:rPr>
            <w:rStyle w:val="Hyperlink"/>
            <w:rtl/>
          </w:rPr>
          <w:fldChar w:fldCharType="end"/>
        </w:r>
      </w:hyperlink>
    </w:p>
    <w:p w14:paraId="05F9C038" w14:textId="635FF1AA" w:rsidR="008009AA" w:rsidRDefault="008009AA">
      <w:pPr>
        <w:pStyle w:val="TOC7"/>
        <w:rPr>
          <w:rFonts w:cstheme="minorBidi"/>
          <w:sz w:val="22"/>
          <w:szCs w:val="22"/>
          <w:rtl/>
        </w:rPr>
      </w:pPr>
      <w:hyperlink w:anchor="_Toc163505878" w:history="1">
        <w:r w:rsidRPr="007246E7">
          <w:rPr>
            <w:rStyle w:val="Hyperlink"/>
            <w:rtl/>
          </w:rPr>
          <w:t>ספר המכריע סי' כ"ג ד"ה ונראה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Toc163505878 \h</w:instrText>
        </w:r>
        <w:r>
          <w:rPr>
            <w:webHidden/>
            <w:rtl/>
          </w:rPr>
          <w:instrText xml:space="preserve"> </w:instrText>
        </w:r>
        <w:r>
          <w:rPr>
            <w:rStyle w:val="Hyperlink"/>
            <w:rtl/>
          </w:rPr>
        </w:r>
        <w:r>
          <w:rPr>
            <w:rStyle w:val="Hyperlink"/>
            <w:rtl/>
          </w:rPr>
          <w:fldChar w:fldCharType="separate"/>
        </w:r>
        <w:r w:rsidR="00D82181">
          <w:rPr>
            <w:webHidden/>
            <w:rtl/>
          </w:rPr>
          <w:t>99</w:t>
        </w:r>
        <w:r>
          <w:rPr>
            <w:rStyle w:val="Hyperlink"/>
            <w:rtl/>
          </w:rPr>
          <w:fldChar w:fldCharType="end"/>
        </w:r>
      </w:hyperlink>
    </w:p>
    <w:p w14:paraId="594FD9B1" w14:textId="5643957B" w:rsidR="008009AA" w:rsidRDefault="008009AA">
      <w:pPr>
        <w:pStyle w:val="TOC7"/>
        <w:rPr>
          <w:rFonts w:cstheme="minorBidi"/>
          <w:sz w:val="22"/>
          <w:szCs w:val="22"/>
          <w:rtl/>
        </w:rPr>
      </w:pPr>
      <w:hyperlink w:anchor="_Toc163505879" w:history="1">
        <w:r w:rsidRPr="007246E7">
          <w:rPr>
            <w:rStyle w:val="Hyperlink"/>
            <w:rtl/>
          </w:rPr>
          <w:t>אגלי טל בורר סק"א אות כ'</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Toc163505879 \h</w:instrText>
        </w:r>
        <w:r>
          <w:rPr>
            <w:webHidden/>
            <w:rtl/>
          </w:rPr>
          <w:instrText xml:space="preserve"> </w:instrText>
        </w:r>
        <w:r>
          <w:rPr>
            <w:rStyle w:val="Hyperlink"/>
            <w:rtl/>
          </w:rPr>
        </w:r>
        <w:r>
          <w:rPr>
            <w:rStyle w:val="Hyperlink"/>
            <w:rtl/>
          </w:rPr>
          <w:fldChar w:fldCharType="separate"/>
        </w:r>
        <w:r w:rsidR="00D82181">
          <w:rPr>
            <w:webHidden/>
            <w:rtl/>
          </w:rPr>
          <w:t>99</w:t>
        </w:r>
        <w:r>
          <w:rPr>
            <w:rStyle w:val="Hyperlink"/>
            <w:rtl/>
          </w:rPr>
          <w:fldChar w:fldCharType="end"/>
        </w:r>
      </w:hyperlink>
    </w:p>
    <w:p w14:paraId="675F41BA" w14:textId="66EE37F3" w:rsidR="008009AA" w:rsidRDefault="008009AA">
      <w:pPr>
        <w:pStyle w:val="TOC7"/>
        <w:rPr>
          <w:rFonts w:cstheme="minorBidi"/>
          <w:sz w:val="22"/>
          <w:szCs w:val="22"/>
          <w:rtl/>
        </w:rPr>
      </w:pPr>
      <w:hyperlink w:anchor="_Toc163505880" w:history="1">
        <w:r w:rsidRPr="007246E7">
          <w:rPr>
            <w:rStyle w:val="Hyperlink"/>
            <w:rtl/>
          </w:rPr>
          <w:t>אגלי טל בורר סק"א אות כ"א, כ"ב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Toc163505880 \h</w:instrText>
        </w:r>
        <w:r>
          <w:rPr>
            <w:webHidden/>
            <w:rtl/>
          </w:rPr>
          <w:instrText xml:space="preserve"> </w:instrText>
        </w:r>
        <w:r>
          <w:rPr>
            <w:rStyle w:val="Hyperlink"/>
            <w:rtl/>
          </w:rPr>
        </w:r>
        <w:r>
          <w:rPr>
            <w:rStyle w:val="Hyperlink"/>
            <w:rtl/>
          </w:rPr>
          <w:fldChar w:fldCharType="separate"/>
        </w:r>
        <w:r w:rsidR="00D82181">
          <w:rPr>
            <w:webHidden/>
            <w:rtl/>
          </w:rPr>
          <w:t>99</w:t>
        </w:r>
        <w:r>
          <w:rPr>
            <w:rStyle w:val="Hyperlink"/>
            <w:rtl/>
          </w:rPr>
          <w:fldChar w:fldCharType="end"/>
        </w:r>
      </w:hyperlink>
    </w:p>
    <w:p w14:paraId="4C696206" w14:textId="09BAF9A3" w:rsidR="008009AA" w:rsidRDefault="008009AA">
      <w:pPr>
        <w:pStyle w:val="TOC7"/>
        <w:rPr>
          <w:rFonts w:cstheme="minorBidi"/>
          <w:sz w:val="22"/>
          <w:szCs w:val="22"/>
          <w:rtl/>
        </w:rPr>
      </w:pPr>
      <w:hyperlink w:anchor="_Toc163505881" w:history="1">
        <w:r w:rsidRPr="007246E7">
          <w:rPr>
            <w:rStyle w:val="Hyperlink"/>
            <w:rtl/>
          </w:rPr>
          <w:t>תוספות רי"ד שבת קל"ח ע"א ד"ה מה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Toc163505881 \h</w:instrText>
        </w:r>
        <w:r>
          <w:rPr>
            <w:webHidden/>
            <w:rtl/>
          </w:rPr>
          <w:instrText xml:space="preserve"> </w:instrText>
        </w:r>
        <w:r>
          <w:rPr>
            <w:rStyle w:val="Hyperlink"/>
            <w:rtl/>
          </w:rPr>
        </w:r>
        <w:r>
          <w:rPr>
            <w:rStyle w:val="Hyperlink"/>
            <w:rtl/>
          </w:rPr>
          <w:fldChar w:fldCharType="separate"/>
        </w:r>
        <w:r w:rsidR="00D82181">
          <w:rPr>
            <w:webHidden/>
            <w:rtl/>
          </w:rPr>
          <w:t>99</w:t>
        </w:r>
        <w:r>
          <w:rPr>
            <w:rStyle w:val="Hyperlink"/>
            <w:rtl/>
          </w:rPr>
          <w:fldChar w:fldCharType="end"/>
        </w:r>
      </w:hyperlink>
    </w:p>
    <w:p w14:paraId="01E257C6" w14:textId="6E3D4206" w:rsidR="008009AA" w:rsidRDefault="008009AA">
      <w:pPr>
        <w:pStyle w:val="TOC7"/>
        <w:rPr>
          <w:rFonts w:cstheme="minorBidi"/>
          <w:sz w:val="22"/>
          <w:szCs w:val="22"/>
          <w:rtl/>
        </w:rPr>
      </w:pPr>
      <w:hyperlink w:anchor="_Toc163505882" w:history="1">
        <w:r w:rsidRPr="007246E7">
          <w:rPr>
            <w:rStyle w:val="Hyperlink"/>
            <w:rtl/>
          </w:rPr>
          <w:t>אגלי טל בורר סק"א אות כ"ג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Toc163505882 \h</w:instrText>
        </w:r>
        <w:r>
          <w:rPr>
            <w:webHidden/>
            <w:rtl/>
          </w:rPr>
          <w:instrText xml:space="preserve"> </w:instrText>
        </w:r>
        <w:r>
          <w:rPr>
            <w:rStyle w:val="Hyperlink"/>
            <w:rtl/>
          </w:rPr>
        </w:r>
        <w:r>
          <w:rPr>
            <w:rStyle w:val="Hyperlink"/>
            <w:rtl/>
          </w:rPr>
          <w:fldChar w:fldCharType="separate"/>
        </w:r>
        <w:r w:rsidR="00D82181">
          <w:rPr>
            <w:webHidden/>
            <w:rtl/>
          </w:rPr>
          <w:t>99</w:t>
        </w:r>
        <w:r>
          <w:rPr>
            <w:rStyle w:val="Hyperlink"/>
            <w:rtl/>
          </w:rPr>
          <w:fldChar w:fldCharType="end"/>
        </w:r>
      </w:hyperlink>
    </w:p>
    <w:p w14:paraId="634E075E" w14:textId="024A81F1" w:rsidR="008009AA" w:rsidRDefault="008009AA">
      <w:pPr>
        <w:pStyle w:val="TOC7"/>
        <w:rPr>
          <w:rFonts w:cstheme="minorBidi"/>
          <w:sz w:val="22"/>
          <w:szCs w:val="22"/>
          <w:rtl/>
        </w:rPr>
      </w:pPr>
      <w:hyperlink w:anchor="_Toc163505883" w:history="1">
        <w:r w:rsidRPr="007246E7">
          <w:rPr>
            <w:rStyle w:val="Hyperlink"/>
            <w:rtl/>
          </w:rPr>
          <w:t>אגלי טל בורר סק"א אות כ"ד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Toc163505883 \h</w:instrText>
        </w:r>
        <w:r>
          <w:rPr>
            <w:webHidden/>
            <w:rtl/>
          </w:rPr>
          <w:instrText xml:space="preserve"> </w:instrText>
        </w:r>
        <w:r>
          <w:rPr>
            <w:rStyle w:val="Hyperlink"/>
            <w:rtl/>
          </w:rPr>
        </w:r>
        <w:r>
          <w:rPr>
            <w:rStyle w:val="Hyperlink"/>
            <w:rtl/>
          </w:rPr>
          <w:fldChar w:fldCharType="separate"/>
        </w:r>
        <w:r w:rsidR="00D82181">
          <w:rPr>
            <w:webHidden/>
            <w:rtl/>
          </w:rPr>
          <w:t>99</w:t>
        </w:r>
        <w:r>
          <w:rPr>
            <w:rStyle w:val="Hyperlink"/>
            <w:rtl/>
          </w:rPr>
          <w:fldChar w:fldCharType="end"/>
        </w:r>
      </w:hyperlink>
    </w:p>
    <w:p w14:paraId="437D8315" w14:textId="48EDA44F" w:rsidR="008009AA" w:rsidRDefault="008009AA">
      <w:pPr>
        <w:pStyle w:val="TOC7"/>
        <w:rPr>
          <w:rFonts w:cstheme="minorBidi"/>
          <w:sz w:val="22"/>
          <w:szCs w:val="22"/>
          <w:rtl/>
        </w:rPr>
      </w:pPr>
      <w:hyperlink w:anchor="_Toc163505884" w:history="1">
        <w:r w:rsidRPr="007246E7">
          <w:rPr>
            <w:rStyle w:val="Hyperlink"/>
            <w:rtl/>
          </w:rPr>
          <w:t>רש"י שבת ע"ד ע"א ד"ה פטור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Toc163505884 \h</w:instrText>
        </w:r>
        <w:r>
          <w:rPr>
            <w:webHidden/>
            <w:rtl/>
          </w:rPr>
          <w:instrText xml:space="preserve"> </w:instrText>
        </w:r>
        <w:r>
          <w:rPr>
            <w:rStyle w:val="Hyperlink"/>
            <w:rtl/>
          </w:rPr>
        </w:r>
        <w:r>
          <w:rPr>
            <w:rStyle w:val="Hyperlink"/>
            <w:rtl/>
          </w:rPr>
          <w:fldChar w:fldCharType="separate"/>
        </w:r>
        <w:r w:rsidR="00D82181">
          <w:rPr>
            <w:webHidden/>
            <w:rtl/>
          </w:rPr>
          <w:t>99</w:t>
        </w:r>
        <w:r>
          <w:rPr>
            <w:rStyle w:val="Hyperlink"/>
            <w:rtl/>
          </w:rPr>
          <w:fldChar w:fldCharType="end"/>
        </w:r>
      </w:hyperlink>
    </w:p>
    <w:p w14:paraId="411A969E" w14:textId="300B1AFA" w:rsidR="008009AA" w:rsidRDefault="008009AA">
      <w:pPr>
        <w:pStyle w:val="TOC7"/>
        <w:rPr>
          <w:rFonts w:cstheme="minorBidi"/>
          <w:sz w:val="22"/>
          <w:szCs w:val="22"/>
          <w:rtl/>
        </w:rPr>
      </w:pPr>
      <w:hyperlink w:anchor="_Toc163505885" w:history="1">
        <w:r w:rsidRPr="007246E7">
          <w:rPr>
            <w:rStyle w:val="Hyperlink"/>
            <w:rtl/>
          </w:rPr>
          <w:t>אגלי טל בורר סק"א אות 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Toc163505885 \h</w:instrText>
        </w:r>
        <w:r>
          <w:rPr>
            <w:webHidden/>
            <w:rtl/>
          </w:rPr>
          <w:instrText xml:space="preserve"> </w:instrText>
        </w:r>
        <w:r>
          <w:rPr>
            <w:rStyle w:val="Hyperlink"/>
            <w:rtl/>
          </w:rPr>
        </w:r>
        <w:r>
          <w:rPr>
            <w:rStyle w:val="Hyperlink"/>
            <w:rtl/>
          </w:rPr>
          <w:fldChar w:fldCharType="separate"/>
        </w:r>
        <w:r w:rsidR="00D82181">
          <w:rPr>
            <w:webHidden/>
            <w:rtl/>
          </w:rPr>
          <w:t>99</w:t>
        </w:r>
        <w:r>
          <w:rPr>
            <w:rStyle w:val="Hyperlink"/>
            <w:rtl/>
          </w:rPr>
          <w:fldChar w:fldCharType="end"/>
        </w:r>
      </w:hyperlink>
    </w:p>
    <w:p w14:paraId="34110B02" w14:textId="418D893A" w:rsidR="008009AA" w:rsidRDefault="008009AA">
      <w:pPr>
        <w:pStyle w:val="TOC7"/>
        <w:rPr>
          <w:rFonts w:cstheme="minorBidi"/>
          <w:sz w:val="22"/>
          <w:szCs w:val="22"/>
          <w:rtl/>
        </w:rPr>
      </w:pPr>
      <w:hyperlink w:anchor="_Toc163505886" w:history="1">
        <w:r w:rsidRPr="007246E7">
          <w:rPr>
            <w:rStyle w:val="Hyperlink"/>
            <w:rtl/>
          </w:rPr>
          <w:t>משנה ברורה סי' שי"ט סק"ט, 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Toc163505886 \h</w:instrText>
        </w:r>
        <w:r>
          <w:rPr>
            <w:webHidden/>
            <w:rtl/>
          </w:rPr>
          <w:instrText xml:space="preserve"> </w:instrText>
        </w:r>
        <w:r>
          <w:rPr>
            <w:rStyle w:val="Hyperlink"/>
            <w:rtl/>
          </w:rPr>
        </w:r>
        <w:r>
          <w:rPr>
            <w:rStyle w:val="Hyperlink"/>
            <w:rtl/>
          </w:rPr>
          <w:fldChar w:fldCharType="separate"/>
        </w:r>
        <w:r w:rsidR="00D82181">
          <w:rPr>
            <w:webHidden/>
            <w:rtl/>
          </w:rPr>
          <w:t>100</w:t>
        </w:r>
        <w:r>
          <w:rPr>
            <w:rStyle w:val="Hyperlink"/>
            <w:rtl/>
          </w:rPr>
          <w:fldChar w:fldCharType="end"/>
        </w:r>
      </w:hyperlink>
    </w:p>
    <w:p w14:paraId="0CE01CE1" w14:textId="51CFEECC" w:rsidR="008009AA" w:rsidRDefault="008009AA">
      <w:pPr>
        <w:pStyle w:val="TOC7"/>
        <w:rPr>
          <w:rFonts w:cstheme="minorBidi"/>
          <w:sz w:val="22"/>
          <w:szCs w:val="22"/>
          <w:rtl/>
        </w:rPr>
      </w:pPr>
      <w:hyperlink w:anchor="_Toc163505887" w:history="1">
        <w:r w:rsidRPr="007246E7">
          <w:rPr>
            <w:rStyle w:val="Hyperlink"/>
            <w:rtl/>
          </w:rPr>
          <w:t>תהלה לדוד סי' שי"ט י"ז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Toc163505887 \h</w:instrText>
        </w:r>
        <w:r>
          <w:rPr>
            <w:webHidden/>
            <w:rtl/>
          </w:rPr>
          <w:instrText xml:space="preserve"> </w:instrText>
        </w:r>
        <w:r>
          <w:rPr>
            <w:rStyle w:val="Hyperlink"/>
            <w:rtl/>
          </w:rPr>
        </w:r>
        <w:r>
          <w:rPr>
            <w:rStyle w:val="Hyperlink"/>
            <w:rtl/>
          </w:rPr>
          <w:fldChar w:fldCharType="separate"/>
        </w:r>
        <w:r w:rsidR="00D82181">
          <w:rPr>
            <w:webHidden/>
            <w:rtl/>
          </w:rPr>
          <w:t>100</w:t>
        </w:r>
        <w:r>
          <w:rPr>
            <w:rStyle w:val="Hyperlink"/>
            <w:rtl/>
          </w:rPr>
          <w:fldChar w:fldCharType="end"/>
        </w:r>
      </w:hyperlink>
    </w:p>
    <w:p w14:paraId="0CC08C5A" w14:textId="400CD3B4" w:rsidR="008009AA" w:rsidRDefault="008009AA">
      <w:pPr>
        <w:pStyle w:val="TOC7"/>
        <w:rPr>
          <w:rFonts w:cstheme="minorBidi"/>
          <w:sz w:val="22"/>
          <w:szCs w:val="22"/>
          <w:rtl/>
        </w:rPr>
      </w:pPr>
      <w:hyperlink w:anchor="_Toc163505888" w:history="1">
        <w:r w:rsidRPr="007246E7">
          <w:rPr>
            <w:rStyle w:val="Hyperlink"/>
            <w:rtl/>
          </w:rPr>
          <w:t>צל"ח ביצה י"ד ע"ב ד"ה ואני אומר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Toc163505888 \h</w:instrText>
        </w:r>
        <w:r>
          <w:rPr>
            <w:webHidden/>
            <w:rtl/>
          </w:rPr>
          <w:instrText xml:space="preserve"> </w:instrText>
        </w:r>
        <w:r>
          <w:rPr>
            <w:rStyle w:val="Hyperlink"/>
            <w:rtl/>
          </w:rPr>
        </w:r>
        <w:r>
          <w:rPr>
            <w:rStyle w:val="Hyperlink"/>
            <w:rtl/>
          </w:rPr>
          <w:fldChar w:fldCharType="separate"/>
        </w:r>
        <w:r w:rsidR="00D82181">
          <w:rPr>
            <w:webHidden/>
            <w:rtl/>
          </w:rPr>
          <w:t>100</w:t>
        </w:r>
        <w:r>
          <w:rPr>
            <w:rStyle w:val="Hyperlink"/>
            <w:rtl/>
          </w:rPr>
          <w:fldChar w:fldCharType="end"/>
        </w:r>
      </w:hyperlink>
    </w:p>
    <w:p w14:paraId="51D51D67" w14:textId="1102B7BF" w:rsidR="008009AA" w:rsidRDefault="008009AA">
      <w:pPr>
        <w:pStyle w:val="TOC7"/>
        <w:rPr>
          <w:rFonts w:cstheme="minorBidi"/>
          <w:sz w:val="22"/>
          <w:szCs w:val="22"/>
          <w:rtl/>
        </w:rPr>
      </w:pPr>
      <w:hyperlink w:anchor="_Toc163505889" w:history="1">
        <w:r w:rsidRPr="007246E7">
          <w:rPr>
            <w:rStyle w:val="Hyperlink"/>
            <w:rtl/>
          </w:rPr>
          <w:t>רש"י שבת ע"ד ע"א ד"ה פטור, להצניע</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Toc163505889 \h</w:instrText>
        </w:r>
        <w:r>
          <w:rPr>
            <w:webHidden/>
            <w:rtl/>
          </w:rPr>
          <w:instrText xml:space="preserve"> </w:instrText>
        </w:r>
        <w:r>
          <w:rPr>
            <w:rStyle w:val="Hyperlink"/>
            <w:rtl/>
          </w:rPr>
        </w:r>
        <w:r>
          <w:rPr>
            <w:rStyle w:val="Hyperlink"/>
            <w:rtl/>
          </w:rPr>
          <w:fldChar w:fldCharType="separate"/>
        </w:r>
        <w:r w:rsidR="00D82181">
          <w:rPr>
            <w:webHidden/>
            <w:rtl/>
          </w:rPr>
          <w:t>100</w:t>
        </w:r>
        <w:r>
          <w:rPr>
            <w:rStyle w:val="Hyperlink"/>
            <w:rtl/>
          </w:rPr>
          <w:fldChar w:fldCharType="end"/>
        </w:r>
      </w:hyperlink>
    </w:p>
    <w:p w14:paraId="77D5E7E8" w14:textId="01B8DC07" w:rsidR="008009AA" w:rsidRDefault="008009AA">
      <w:pPr>
        <w:pStyle w:val="TOC7"/>
        <w:rPr>
          <w:rFonts w:cstheme="minorBidi"/>
          <w:sz w:val="22"/>
          <w:szCs w:val="22"/>
          <w:rtl/>
        </w:rPr>
      </w:pPr>
      <w:hyperlink w:anchor="_Toc163505890" w:history="1">
        <w:r w:rsidRPr="007246E7">
          <w:rPr>
            <w:rStyle w:val="Hyperlink"/>
            <w:rtl/>
          </w:rPr>
          <w:t>אגלי טל סק"א אות י"ב, י"ג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Toc163505890 \h</w:instrText>
        </w:r>
        <w:r>
          <w:rPr>
            <w:webHidden/>
            <w:rtl/>
          </w:rPr>
          <w:instrText xml:space="preserve"> </w:instrText>
        </w:r>
        <w:r>
          <w:rPr>
            <w:rStyle w:val="Hyperlink"/>
            <w:rtl/>
          </w:rPr>
        </w:r>
        <w:r>
          <w:rPr>
            <w:rStyle w:val="Hyperlink"/>
            <w:rtl/>
          </w:rPr>
          <w:fldChar w:fldCharType="separate"/>
        </w:r>
        <w:r w:rsidR="00D82181">
          <w:rPr>
            <w:webHidden/>
            <w:rtl/>
          </w:rPr>
          <w:t>100</w:t>
        </w:r>
        <w:r>
          <w:rPr>
            <w:rStyle w:val="Hyperlink"/>
            <w:rtl/>
          </w:rPr>
          <w:fldChar w:fldCharType="end"/>
        </w:r>
      </w:hyperlink>
    </w:p>
    <w:p w14:paraId="642EBA45" w14:textId="73873D31" w:rsidR="008009AA" w:rsidRDefault="008009AA">
      <w:pPr>
        <w:pStyle w:val="TOC7"/>
        <w:rPr>
          <w:rFonts w:cstheme="minorBidi"/>
          <w:sz w:val="22"/>
          <w:szCs w:val="22"/>
          <w:rtl/>
        </w:rPr>
      </w:pPr>
      <w:hyperlink w:anchor="_Toc163505891" w:history="1">
        <w:r w:rsidRPr="007246E7">
          <w:rPr>
            <w:rStyle w:val="Hyperlink"/>
            <w:rtl/>
          </w:rPr>
          <w:t>שו"ת הרשב"א ח"ד סי' ע"ה ד"ה תשובה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Toc163505891 \h</w:instrText>
        </w:r>
        <w:r>
          <w:rPr>
            <w:webHidden/>
            <w:rtl/>
          </w:rPr>
          <w:instrText xml:space="preserve"> </w:instrText>
        </w:r>
        <w:r>
          <w:rPr>
            <w:rStyle w:val="Hyperlink"/>
            <w:rtl/>
          </w:rPr>
        </w:r>
        <w:r>
          <w:rPr>
            <w:rStyle w:val="Hyperlink"/>
            <w:rtl/>
          </w:rPr>
          <w:fldChar w:fldCharType="separate"/>
        </w:r>
        <w:r w:rsidR="00D82181">
          <w:rPr>
            <w:webHidden/>
            <w:rtl/>
          </w:rPr>
          <w:t>100</w:t>
        </w:r>
        <w:r>
          <w:rPr>
            <w:rStyle w:val="Hyperlink"/>
            <w:rtl/>
          </w:rPr>
          <w:fldChar w:fldCharType="end"/>
        </w:r>
      </w:hyperlink>
    </w:p>
    <w:p w14:paraId="6FACE72B" w14:textId="070671B2" w:rsidR="008009AA" w:rsidRDefault="008009AA">
      <w:pPr>
        <w:pStyle w:val="TOC7"/>
        <w:rPr>
          <w:rFonts w:cstheme="minorBidi"/>
          <w:sz w:val="22"/>
          <w:szCs w:val="22"/>
          <w:rtl/>
        </w:rPr>
      </w:pPr>
      <w:hyperlink w:anchor="_Toc163505892" w:history="1">
        <w:r w:rsidRPr="007246E7">
          <w:rPr>
            <w:rStyle w:val="Hyperlink"/>
            <w:rtl/>
          </w:rPr>
          <w:t>שולחן ערוך הרב סי' שי"ט 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Toc163505892 \h</w:instrText>
        </w:r>
        <w:r>
          <w:rPr>
            <w:webHidden/>
            <w:rtl/>
          </w:rPr>
          <w:instrText xml:space="preserve"> </w:instrText>
        </w:r>
        <w:r>
          <w:rPr>
            <w:rStyle w:val="Hyperlink"/>
            <w:rtl/>
          </w:rPr>
        </w:r>
        <w:r>
          <w:rPr>
            <w:rStyle w:val="Hyperlink"/>
            <w:rtl/>
          </w:rPr>
          <w:fldChar w:fldCharType="separate"/>
        </w:r>
        <w:r w:rsidR="00D82181">
          <w:rPr>
            <w:webHidden/>
            <w:rtl/>
          </w:rPr>
          <w:t>100</w:t>
        </w:r>
        <w:r>
          <w:rPr>
            <w:rStyle w:val="Hyperlink"/>
            <w:rtl/>
          </w:rPr>
          <w:fldChar w:fldCharType="end"/>
        </w:r>
      </w:hyperlink>
    </w:p>
    <w:p w14:paraId="572D515C" w14:textId="67B3D1E0" w:rsidR="008009AA" w:rsidRDefault="008009AA">
      <w:pPr>
        <w:pStyle w:val="TOC7"/>
        <w:rPr>
          <w:rFonts w:cstheme="minorBidi"/>
          <w:sz w:val="22"/>
          <w:szCs w:val="22"/>
          <w:rtl/>
        </w:rPr>
      </w:pPr>
      <w:hyperlink w:anchor="_Toc163505893" w:history="1">
        <w:r w:rsidRPr="007246E7">
          <w:rPr>
            <w:rStyle w:val="Hyperlink"/>
            <w:rtl/>
          </w:rPr>
          <w:t>ספר שבלי הלקט שבת סי' צ"ב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Toc163505893 \h</w:instrText>
        </w:r>
        <w:r>
          <w:rPr>
            <w:webHidden/>
            <w:rtl/>
          </w:rPr>
          <w:instrText xml:space="preserve"> </w:instrText>
        </w:r>
        <w:r>
          <w:rPr>
            <w:rStyle w:val="Hyperlink"/>
            <w:rtl/>
          </w:rPr>
        </w:r>
        <w:r>
          <w:rPr>
            <w:rStyle w:val="Hyperlink"/>
            <w:rtl/>
          </w:rPr>
          <w:fldChar w:fldCharType="separate"/>
        </w:r>
        <w:r w:rsidR="00D82181">
          <w:rPr>
            <w:webHidden/>
            <w:rtl/>
          </w:rPr>
          <w:t>100</w:t>
        </w:r>
        <w:r>
          <w:rPr>
            <w:rStyle w:val="Hyperlink"/>
            <w:rtl/>
          </w:rPr>
          <w:fldChar w:fldCharType="end"/>
        </w:r>
      </w:hyperlink>
    </w:p>
    <w:p w14:paraId="00971044" w14:textId="7C4FDC24" w:rsidR="008009AA" w:rsidRDefault="008009AA">
      <w:pPr>
        <w:pStyle w:val="TOC7"/>
        <w:rPr>
          <w:rFonts w:cstheme="minorBidi"/>
          <w:sz w:val="22"/>
          <w:szCs w:val="22"/>
          <w:rtl/>
        </w:rPr>
      </w:pPr>
      <w:hyperlink w:anchor="_Toc163505894" w:history="1">
        <w:r w:rsidRPr="007246E7">
          <w:rPr>
            <w:rStyle w:val="Hyperlink"/>
            <w:rtl/>
          </w:rPr>
          <w:t>רש"י שבת ע"ד ע"א ד"ה והתניא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Toc163505894 \h</w:instrText>
        </w:r>
        <w:r>
          <w:rPr>
            <w:webHidden/>
            <w:rtl/>
          </w:rPr>
          <w:instrText xml:space="preserve"> </w:instrText>
        </w:r>
        <w:r>
          <w:rPr>
            <w:rStyle w:val="Hyperlink"/>
            <w:rtl/>
          </w:rPr>
        </w:r>
        <w:r>
          <w:rPr>
            <w:rStyle w:val="Hyperlink"/>
            <w:rtl/>
          </w:rPr>
          <w:fldChar w:fldCharType="separate"/>
        </w:r>
        <w:r w:rsidR="00D82181">
          <w:rPr>
            <w:webHidden/>
            <w:rtl/>
          </w:rPr>
          <w:t>100</w:t>
        </w:r>
        <w:r>
          <w:rPr>
            <w:rStyle w:val="Hyperlink"/>
            <w:rtl/>
          </w:rPr>
          <w:fldChar w:fldCharType="end"/>
        </w:r>
      </w:hyperlink>
    </w:p>
    <w:p w14:paraId="3E57AC03" w14:textId="5C9CAEAA" w:rsidR="008009AA" w:rsidRDefault="008009AA">
      <w:pPr>
        <w:pStyle w:val="TOC7"/>
        <w:rPr>
          <w:rFonts w:cstheme="minorBidi"/>
          <w:sz w:val="22"/>
          <w:szCs w:val="22"/>
          <w:rtl/>
        </w:rPr>
      </w:pPr>
      <w:hyperlink w:anchor="_Toc163505895" w:history="1">
        <w:r w:rsidRPr="007246E7">
          <w:rPr>
            <w:rStyle w:val="Hyperlink"/>
            <w:rtl/>
          </w:rPr>
          <w:t>תוספות שבת ע"ד ע"א ד"ה והתניא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Toc163505895 \h</w:instrText>
        </w:r>
        <w:r>
          <w:rPr>
            <w:webHidden/>
            <w:rtl/>
          </w:rPr>
          <w:instrText xml:space="preserve"> </w:instrText>
        </w:r>
        <w:r>
          <w:rPr>
            <w:rStyle w:val="Hyperlink"/>
            <w:rtl/>
          </w:rPr>
        </w:r>
        <w:r>
          <w:rPr>
            <w:rStyle w:val="Hyperlink"/>
            <w:rtl/>
          </w:rPr>
          <w:fldChar w:fldCharType="separate"/>
        </w:r>
        <w:r w:rsidR="00D82181">
          <w:rPr>
            <w:webHidden/>
            <w:rtl/>
          </w:rPr>
          <w:t>100</w:t>
        </w:r>
        <w:r>
          <w:rPr>
            <w:rStyle w:val="Hyperlink"/>
            <w:rtl/>
          </w:rPr>
          <w:fldChar w:fldCharType="end"/>
        </w:r>
      </w:hyperlink>
    </w:p>
    <w:p w14:paraId="446EC87B" w14:textId="60F300B0" w:rsidR="008009AA" w:rsidRDefault="008009AA">
      <w:pPr>
        <w:pStyle w:val="TOC7"/>
        <w:rPr>
          <w:rFonts w:cstheme="minorBidi"/>
          <w:sz w:val="22"/>
          <w:szCs w:val="22"/>
          <w:rtl/>
        </w:rPr>
      </w:pPr>
      <w:hyperlink w:anchor="_Toc163505896" w:history="1">
        <w:r w:rsidRPr="007246E7">
          <w:rPr>
            <w:rStyle w:val="Hyperlink"/>
            <w:rtl/>
          </w:rPr>
          <w:t>חדושי הרמב"ן שבת ע"ד ע"א ד"ה והתניא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Toc163505896 \h</w:instrText>
        </w:r>
        <w:r>
          <w:rPr>
            <w:webHidden/>
            <w:rtl/>
          </w:rPr>
          <w:instrText xml:space="preserve"> </w:instrText>
        </w:r>
        <w:r>
          <w:rPr>
            <w:rStyle w:val="Hyperlink"/>
            <w:rtl/>
          </w:rPr>
        </w:r>
        <w:r>
          <w:rPr>
            <w:rStyle w:val="Hyperlink"/>
            <w:rtl/>
          </w:rPr>
          <w:fldChar w:fldCharType="separate"/>
        </w:r>
        <w:r w:rsidR="00D82181">
          <w:rPr>
            <w:webHidden/>
            <w:rtl/>
          </w:rPr>
          <w:t>100</w:t>
        </w:r>
        <w:r>
          <w:rPr>
            <w:rStyle w:val="Hyperlink"/>
            <w:rtl/>
          </w:rPr>
          <w:fldChar w:fldCharType="end"/>
        </w:r>
      </w:hyperlink>
    </w:p>
    <w:p w14:paraId="690DF05F" w14:textId="533DB25A" w:rsidR="008009AA" w:rsidRDefault="008009AA">
      <w:pPr>
        <w:pStyle w:val="TOC7"/>
        <w:rPr>
          <w:rFonts w:cstheme="minorBidi"/>
          <w:sz w:val="22"/>
          <w:szCs w:val="22"/>
          <w:rtl/>
        </w:rPr>
      </w:pPr>
      <w:hyperlink w:anchor="_Toc163505897" w:history="1">
        <w:r w:rsidRPr="007246E7">
          <w:rPr>
            <w:rStyle w:val="Hyperlink"/>
            <w:rtl/>
          </w:rPr>
          <w:t>חדושי הר"ן שבת ע"ד ע"א ד"ה היו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Toc163505897 \h</w:instrText>
        </w:r>
        <w:r>
          <w:rPr>
            <w:webHidden/>
            <w:rtl/>
          </w:rPr>
          <w:instrText xml:space="preserve"> </w:instrText>
        </w:r>
        <w:r>
          <w:rPr>
            <w:rStyle w:val="Hyperlink"/>
            <w:rtl/>
          </w:rPr>
        </w:r>
        <w:r>
          <w:rPr>
            <w:rStyle w:val="Hyperlink"/>
            <w:rtl/>
          </w:rPr>
          <w:fldChar w:fldCharType="separate"/>
        </w:r>
        <w:r w:rsidR="00D82181">
          <w:rPr>
            <w:webHidden/>
            <w:rtl/>
          </w:rPr>
          <w:t>101</w:t>
        </w:r>
        <w:r>
          <w:rPr>
            <w:rStyle w:val="Hyperlink"/>
            <w:rtl/>
          </w:rPr>
          <w:fldChar w:fldCharType="end"/>
        </w:r>
      </w:hyperlink>
    </w:p>
    <w:p w14:paraId="56CB569C" w14:textId="13318F5B" w:rsidR="008009AA" w:rsidRDefault="008009AA">
      <w:pPr>
        <w:pStyle w:val="TOC7"/>
        <w:rPr>
          <w:rFonts w:cstheme="minorBidi"/>
          <w:sz w:val="22"/>
          <w:szCs w:val="22"/>
          <w:rtl/>
        </w:rPr>
      </w:pPr>
      <w:hyperlink w:anchor="_Toc163505898" w:history="1">
        <w:r w:rsidRPr="007246E7">
          <w:rPr>
            <w:rStyle w:val="Hyperlink"/>
            <w:rtl/>
          </w:rPr>
          <w:t>חדושי הרמב"ן שבת ע"ד ע"א ד"ה והתניא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Toc163505898 \h</w:instrText>
        </w:r>
        <w:r>
          <w:rPr>
            <w:webHidden/>
            <w:rtl/>
          </w:rPr>
          <w:instrText xml:space="preserve"> </w:instrText>
        </w:r>
        <w:r>
          <w:rPr>
            <w:rStyle w:val="Hyperlink"/>
            <w:rtl/>
          </w:rPr>
        </w:r>
        <w:r>
          <w:rPr>
            <w:rStyle w:val="Hyperlink"/>
            <w:rtl/>
          </w:rPr>
          <w:fldChar w:fldCharType="separate"/>
        </w:r>
        <w:r w:rsidR="00D82181">
          <w:rPr>
            <w:webHidden/>
            <w:rtl/>
          </w:rPr>
          <w:t>101</w:t>
        </w:r>
        <w:r>
          <w:rPr>
            <w:rStyle w:val="Hyperlink"/>
            <w:rtl/>
          </w:rPr>
          <w:fldChar w:fldCharType="end"/>
        </w:r>
      </w:hyperlink>
    </w:p>
    <w:p w14:paraId="51C6804D" w14:textId="3973C198" w:rsidR="008009AA" w:rsidRDefault="008009AA">
      <w:pPr>
        <w:pStyle w:val="TOC7"/>
        <w:rPr>
          <w:rFonts w:cstheme="minorBidi"/>
          <w:sz w:val="22"/>
          <w:szCs w:val="22"/>
          <w:rtl/>
        </w:rPr>
      </w:pPr>
      <w:hyperlink w:anchor="_Toc163505899" w:history="1">
        <w:r w:rsidRPr="007246E7">
          <w:rPr>
            <w:rStyle w:val="Hyperlink"/>
            <w:rtl/>
          </w:rPr>
          <w:t>אגלי טל בורר סק"א אות ט'</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Toc163505899 \h</w:instrText>
        </w:r>
        <w:r>
          <w:rPr>
            <w:webHidden/>
            <w:rtl/>
          </w:rPr>
          <w:instrText xml:space="preserve"> </w:instrText>
        </w:r>
        <w:r>
          <w:rPr>
            <w:rStyle w:val="Hyperlink"/>
            <w:rtl/>
          </w:rPr>
        </w:r>
        <w:r>
          <w:rPr>
            <w:rStyle w:val="Hyperlink"/>
            <w:rtl/>
          </w:rPr>
          <w:fldChar w:fldCharType="separate"/>
        </w:r>
        <w:r w:rsidR="00D82181">
          <w:rPr>
            <w:webHidden/>
            <w:rtl/>
          </w:rPr>
          <w:t>101</w:t>
        </w:r>
        <w:r>
          <w:rPr>
            <w:rStyle w:val="Hyperlink"/>
            <w:rtl/>
          </w:rPr>
          <w:fldChar w:fldCharType="end"/>
        </w:r>
      </w:hyperlink>
    </w:p>
    <w:p w14:paraId="4734FDD0" w14:textId="507160B1" w:rsidR="008009AA" w:rsidRDefault="008009AA">
      <w:pPr>
        <w:pStyle w:val="TOC7"/>
        <w:rPr>
          <w:rFonts w:cstheme="minorBidi"/>
          <w:sz w:val="22"/>
          <w:szCs w:val="22"/>
          <w:rtl/>
        </w:rPr>
      </w:pPr>
      <w:hyperlink w:anchor="_Toc163505900" w:history="1">
        <w:r w:rsidRPr="007246E7">
          <w:rPr>
            <w:rStyle w:val="Hyperlink"/>
            <w:rtl/>
          </w:rPr>
          <w:t>אגלי טל בורר סק"א אות 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Toc163505900 \h</w:instrText>
        </w:r>
        <w:r>
          <w:rPr>
            <w:webHidden/>
            <w:rtl/>
          </w:rPr>
          <w:instrText xml:space="preserve"> </w:instrText>
        </w:r>
        <w:r>
          <w:rPr>
            <w:rStyle w:val="Hyperlink"/>
            <w:rtl/>
          </w:rPr>
        </w:r>
        <w:r>
          <w:rPr>
            <w:rStyle w:val="Hyperlink"/>
            <w:rtl/>
          </w:rPr>
          <w:fldChar w:fldCharType="separate"/>
        </w:r>
        <w:r w:rsidR="00D82181">
          <w:rPr>
            <w:webHidden/>
            <w:rtl/>
          </w:rPr>
          <w:t>101</w:t>
        </w:r>
        <w:r>
          <w:rPr>
            <w:rStyle w:val="Hyperlink"/>
            <w:rtl/>
          </w:rPr>
          <w:fldChar w:fldCharType="end"/>
        </w:r>
      </w:hyperlink>
    </w:p>
    <w:p w14:paraId="56F9E75B" w14:textId="4D287AE3" w:rsidR="008009AA" w:rsidRDefault="008009AA">
      <w:pPr>
        <w:pStyle w:val="TOC7"/>
        <w:rPr>
          <w:rFonts w:cstheme="minorBidi"/>
          <w:sz w:val="22"/>
          <w:szCs w:val="22"/>
          <w:rtl/>
        </w:rPr>
      </w:pPr>
      <w:hyperlink w:anchor="_Toc163505901" w:history="1">
        <w:r w:rsidRPr="007246E7">
          <w:rPr>
            <w:rStyle w:val="Hyperlink"/>
            <w:rtl/>
          </w:rPr>
          <w:t>פני יהושע שבת ע"ד ע"א ד"ה ומה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Toc163505901 \h</w:instrText>
        </w:r>
        <w:r>
          <w:rPr>
            <w:webHidden/>
            <w:rtl/>
          </w:rPr>
          <w:instrText xml:space="preserve"> </w:instrText>
        </w:r>
        <w:r>
          <w:rPr>
            <w:rStyle w:val="Hyperlink"/>
            <w:rtl/>
          </w:rPr>
        </w:r>
        <w:r>
          <w:rPr>
            <w:rStyle w:val="Hyperlink"/>
            <w:rtl/>
          </w:rPr>
          <w:fldChar w:fldCharType="separate"/>
        </w:r>
        <w:r w:rsidR="00D82181">
          <w:rPr>
            <w:webHidden/>
            <w:rtl/>
          </w:rPr>
          <w:t>101</w:t>
        </w:r>
        <w:r>
          <w:rPr>
            <w:rStyle w:val="Hyperlink"/>
            <w:rtl/>
          </w:rPr>
          <w:fldChar w:fldCharType="end"/>
        </w:r>
      </w:hyperlink>
    </w:p>
    <w:p w14:paraId="4C2D833F" w14:textId="6F5F95D0" w:rsidR="008009AA" w:rsidRDefault="008009AA">
      <w:pPr>
        <w:pStyle w:val="TOC7"/>
        <w:rPr>
          <w:rFonts w:cstheme="minorBidi"/>
          <w:sz w:val="22"/>
          <w:szCs w:val="22"/>
          <w:rtl/>
        </w:rPr>
      </w:pPr>
      <w:hyperlink w:anchor="_Toc163505902" w:history="1">
        <w:r w:rsidRPr="007246E7">
          <w:rPr>
            <w:rStyle w:val="Hyperlink"/>
            <w:rtl/>
          </w:rPr>
          <w:t>ראש יוסף שבת ע"ד ע"א ד"ה אבל רש"י, ומשמע</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Toc163505902 \h</w:instrText>
        </w:r>
        <w:r>
          <w:rPr>
            <w:webHidden/>
            <w:rtl/>
          </w:rPr>
          <w:instrText xml:space="preserve"> </w:instrText>
        </w:r>
        <w:r>
          <w:rPr>
            <w:rStyle w:val="Hyperlink"/>
            <w:rtl/>
          </w:rPr>
        </w:r>
        <w:r>
          <w:rPr>
            <w:rStyle w:val="Hyperlink"/>
            <w:rtl/>
          </w:rPr>
          <w:fldChar w:fldCharType="separate"/>
        </w:r>
        <w:r w:rsidR="00D82181">
          <w:rPr>
            <w:webHidden/>
            <w:rtl/>
          </w:rPr>
          <w:t>101</w:t>
        </w:r>
        <w:r>
          <w:rPr>
            <w:rStyle w:val="Hyperlink"/>
            <w:rtl/>
          </w:rPr>
          <w:fldChar w:fldCharType="end"/>
        </w:r>
      </w:hyperlink>
    </w:p>
    <w:p w14:paraId="0910E507" w14:textId="342C6967" w:rsidR="008009AA" w:rsidRDefault="008009AA">
      <w:pPr>
        <w:pStyle w:val="TOC7"/>
        <w:rPr>
          <w:rFonts w:cstheme="minorBidi"/>
          <w:sz w:val="22"/>
          <w:szCs w:val="22"/>
          <w:rtl/>
        </w:rPr>
      </w:pPr>
      <w:hyperlink w:anchor="_Toc163505903" w:history="1">
        <w:r w:rsidRPr="007246E7">
          <w:rPr>
            <w:rStyle w:val="Hyperlink"/>
            <w:rtl/>
          </w:rPr>
          <w:t>מגן אבות סוגיא דבורר ד"ה ולולא דברי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Toc163505903 \h</w:instrText>
        </w:r>
        <w:r>
          <w:rPr>
            <w:webHidden/>
            <w:rtl/>
          </w:rPr>
          <w:instrText xml:space="preserve"> </w:instrText>
        </w:r>
        <w:r>
          <w:rPr>
            <w:rStyle w:val="Hyperlink"/>
            <w:rtl/>
          </w:rPr>
        </w:r>
        <w:r>
          <w:rPr>
            <w:rStyle w:val="Hyperlink"/>
            <w:rtl/>
          </w:rPr>
          <w:fldChar w:fldCharType="separate"/>
        </w:r>
        <w:r w:rsidR="00D82181">
          <w:rPr>
            <w:webHidden/>
            <w:rtl/>
          </w:rPr>
          <w:t>101</w:t>
        </w:r>
        <w:r>
          <w:rPr>
            <w:rStyle w:val="Hyperlink"/>
            <w:rtl/>
          </w:rPr>
          <w:fldChar w:fldCharType="end"/>
        </w:r>
      </w:hyperlink>
    </w:p>
    <w:p w14:paraId="682EE88D" w14:textId="3D7458B6" w:rsidR="008009AA" w:rsidRDefault="008009AA">
      <w:pPr>
        <w:pStyle w:val="TOC7"/>
        <w:rPr>
          <w:rFonts w:cstheme="minorBidi"/>
          <w:sz w:val="22"/>
          <w:szCs w:val="22"/>
          <w:rtl/>
        </w:rPr>
      </w:pPr>
      <w:hyperlink w:anchor="_Toc163505904" w:history="1">
        <w:r w:rsidRPr="007246E7">
          <w:rPr>
            <w:rStyle w:val="Hyperlink"/>
            <w:rtl/>
          </w:rPr>
          <w:t>מגן אבות סוגיא דבורר על תוד"ה והתניא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Toc163505904 \h</w:instrText>
        </w:r>
        <w:r>
          <w:rPr>
            <w:webHidden/>
            <w:rtl/>
          </w:rPr>
          <w:instrText xml:space="preserve"> </w:instrText>
        </w:r>
        <w:r>
          <w:rPr>
            <w:rStyle w:val="Hyperlink"/>
            <w:rtl/>
          </w:rPr>
        </w:r>
        <w:r>
          <w:rPr>
            <w:rStyle w:val="Hyperlink"/>
            <w:rtl/>
          </w:rPr>
          <w:fldChar w:fldCharType="separate"/>
        </w:r>
        <w:r w:rsidR="00D82181">
          <w:rPr>
            <w:webHidden/>
            <w:rtl/>
          </w:rPr>
          <w:t>101</w:t>
        </w:r>
        <w:r>
          <w:rPr>
            <w:rStyle w:val="Hyperlink"/>
            <w:rtl/>
          </w:rPr>
          <w:fldChar w:fldCharType="end"/>
        </w:r>
      </w:hyperlink>
    </w:p>
    <w:p w14:paraId="6A9C4D1A" w14:textId="39C14E69" w:rsidR="008009AA" w:rsidRDefault="008009AA">
      <w:pPr>
        <w:pStyle w:val="TOC7"/>
        <w:rPr>
          <w:rFonts w:cstheme="minorBidi"/>
          <w:sz w:val="22"/>
          <w:szCs w:val="22"/>
          <w:rtl/>
        </w:rPr>
      </w:pPr>
      <w:hyperlink w:anchor="_Toc163505905" w:history="1">
        <w:r w:rsidRPr="007246E7">
          <w:rPr>
            <w:rStyle w:val="Hyperlink"/>
            <w:rtl/>
          </w:rPr>
          <w:t>ספר המכריע סי' כ"ג ד"ה גרסינן</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Toc163505905 \h</w:instrText>
        </w:r>
        <w:r>
          <w:rPr>
            <w:webHidden/>
            <w:rtl/>
          </w:rPr>
          <w:instrText xml:space="preserve"> </w:instrText>
        </w:r>
        <w:r>
          <w:rPr>
            <w:rStyle w:val="Hyperlink"/>
            <w:rtl/>
          </w:rPr>
        </w:r>
        <w:r>
          <w:rPr>
            <w:rStyle w:val="Hyperlink"/>
            <w:rtl/>
          </w:rPr>
          <w:fldChar w:fldCharType="separate"/>
        </w:r>
        <w:r w:rsidR="00D82181">
          <w:rPr>
            <w:webHidden/>
            <w:rtl/>
          </w:rPr>
          <w:t>101</w:t>
        </w:r>
        <w:r>
          <w:rPr>
            <w:rStyle w:val="Hyperlink"/>
            <w:rtl/>
          </w:rPr>
          <w:fldChar w:fldCharType="end"/>
        </w:r>
      </w:hyperlink>
    </w:p>
    <w:p w14:paraId="0946BD29" w14:textId="73821A8E" w:rsidR="008009AA" w:rsidRDefault="008009AA">
      <w:pPr>
        <w:pStyle w:val="TOC7"/>
        <w:rPr>
          <w:rFonts w:cstheme="minorBidi"/>
          <w:sz w:val="22"/>
          <w:szCs w:val="22"/>
          <w:rtl/>
        </w:rPr>
      </w:pPr>
      <w:hyperlink w:anchor="_Toc163505906" w:history="1">
        <w:r w:rsidRPr="007246E7">
          <w:rPr>
            <w:rStyle w:val="Hyperlink"/>
            <w:rtl/>
          </w:rPr>
          <w:t>ספר המכריע סי' כ"ג ד"ה והכי גריס</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Toc163505906 \h</w:instrText>
        </w:r>
        <w:r>
          <w:rPr>
            <w:webHidden/>
            <w:rtl/>
          </w:rPr>
          <w:instrText xml:space="preserve"> </w:instrText>
        </w:r>
        <w:r>
          <w:rPr>
            <w:rStyle w:val="Hyperlink"/>
            <w:rtl/>
          </w:rPr>
        </w:r>
        <w:r>
          <w:rPr>
            <w:rStyle w:val="Hyperlink"/>
            <w:rtl/>
          </w:rPr>
          <w:fldChar w:fldCharType="separate"/>
        </w:r>
        <w:r w:rsidR="00D82181">
          <w:rPr>
            <w:webHidden/>
            <w:rtl/>
          </w:rPr>
          <w:t>102</w:t>
        </w:r>
        <w:r>
          <w:rPr>
            <w:rStyle w:val="Hyperlink"/>
            <w:rtl/>
          </w:rPr>
          <w:fldChar w:fldCharType="end"/>
        </w:r>
      </w:hyperlink>
    </w:p>
    <w:p w14:paraId="79D371C8" w14:textId="2D345D97" w:rsidR="008009AA" w:rsidRDefault="008009AA">
      <w:pPr>
        <w:pStyle w:val="TOC7"/>
        <w:rPr>
          <w:rFonts w:cstheme="minorBidi"/>
          <w:sz w:val="22"/>
          <w:szCs w:val="22"/>
          <w:rtl/>
        </w:rPr>
      </w:pPr>
      <w:hyperlink w:anchor="_Toc163505907" w:history="1">
        <w:r w:rsidRPr="007246E7">
          <w:rPr>
            <w:rStyle w:val="Hyperlink"/>
            <w:rtl/>
          </w:rPr>
          <w:t>עבודת הקודש בית מועד שער א' סי' 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Toc163505907 \h</w:instrText>
        </w:r>
        <w:r>
          <w:rPr>
            <w:webHidden/>
            <w:rtl/>
          </w:rPr>
          <w:instrText xml:space="preserve"> </w:instrText>
        </w:r>
        <w:r>
          <w:rPr>
            <w:rStyle w:val="Hyperlink"/>
            <w:rtl/>
          </w:rPr>
        </w:r>
        <w:r>
          <w:rPr>
            <w:rStyle w:val="Hyperlink"/>
            <w:rtl/>
          </w:rPr>
          <w:fldChar w:fldCharType="separate"/>
        </w:r>
        <w:r w:rsidR="00D82181">
          <w:rPr>
            <w:webHidden/>
            <w:rtl/>
          </w:rPr>
          <w:t>102</w:t>
        </w:r>
        <w:r>
          <w:rPr>
            <w:rStyle w:val="Hyperlink"/>
            <w:rtl/>
          </w:rPr>
          <w:fldChar w:fldCharType="end"/>
        </w:r>
      </w:hyperlink>
    </w:p>
    <w:p w14:paraId="3FC10615" w14:textId="3FEDAEE3" w:rsidR="008009AA" w:rsidRDefault="008009AA">
      <w:pPr>
        <w:pStyle w:val="TOC7"/>
        <w:rPr>
          <w:rFonts w:cstheme="minorBidi"/>
          <w:sz w:val="22"/>
          <w:szCs w:val="22"/>
          <w:rtl/>
        </w:rPr>
      </w:pPr>
      <w:hyperlink w:anchor="_Toc163505908" w:history="1">
        <w:r w:rsidRPr="007246E7">
          <w:rPr>
            <w:rStyle w:val="Hyperlink"/>
            <w:rtl/>
          </w:rPr>
          <w:t>עבודת הקודש בית מועד שער א' סי'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Toc163505908 \h</w:instrText>
        </w:r>
        <w:r>
          <w:rPr>
            <w:webHidden/>
            <w:rtl/>
          </w:rPr>
          <w:instrText xml:space="preserve"> </w:instrText>
        </w:r>
        <w:r>
          <w:rPr>
            <w:rStyle w:val="Hyperlink"/>
            <w:rtl/>
          </w:rPr>
        </w:r>
        <w:r>
          <w:rPr>
            <w:rStyle w:val="Hyperlink"/>
            <w:rtl/>
          </w:rPr>
          <w:fldChar w:fldCharType="separate"/>
        </w:r>
        <w:r w:rsidR="00D82181">
          <w:rPr>
            <w:webHidden/>
            <w:rtl/>
          </w:rPr>
          <w:t>102</w:t>
        </w:r>
        <w:r>
          <w:rPr>
            <w:rStyle w:val="Hyperlink"/>
            <w:rtl/>
          </w:rPr>
          <w:fldChar w:fldCharType="end"/>
        </w:r>
      </w:hyperlink>
    </w:p>
    <w:p w14:paraId="6B133A5A" w14:textId="6BF333D8" w:rsidR="008009AA" w:rsidRDefault="008009AA">
      <w:pPr>
        <w:pStyle w:val="TOC7"/>
        <w:rPr>
          <w:rFonts w:cstheme="minorBidi"/>
          <w:sz w:val="22"/>
          <w:szCs w:val="22"/>
          <w:rtl/>
        </w:rPr>
      </w:pPr>
      <w:hyperlink w:anchor="_Toc163505909" w:history="1">
        <w:r w:rsidRPr="007246E7">
          <w:rPr>
            <w:rStyle w:val="Hyperlink"/>
            <w:rtl/>
          </w:rPr>
          <w:t>מגיד משנה יום טוב פ"ג הט"ו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Toc163505909 \h</w:instrText>
        </w:r>
        <w:r>
          <w:rPr>
            <w:webHidden/>
            <w:rtl/>
          </w:rPr>
          <w:instrText xml:space="preserve"> </w:instrText>
        </w:r>
        <w:r>
          <w:rPr>
            <w:rStyle w:val="Hyperlink"/>
            <w:rtl/>
          </w:rPr>
        </w:r>
        <w:r>
          <w:rPr>
            <w:rStyle w:val="Hyperlink"/>
            <w:rtl/>
          </w:rPr>
          <w:fldChar w:fldCharType="separate"/>
        </w:r>
        <w:r w:rsidR="00D82181">
          <w:rPr>
            <w:webHidden/>
            <w:rtl/>
          </w:rPr>
          <w:t>102</w:t>
        </w:r>
        <w:r>
          <w:rPr>
            <w:rStyle w:val="Hyperlink"/>
            <w:rtl/>
          </w:rPr>
          <w:fldChar w:fldCharType="end"/>
        </w:r>
      </w:hyperlink>
    </w:p>
    <w:p w14:paraId="5BB29005" w14:textId="0F360B95" w:rsidR="008009AA" w:rsidRDefault="008009AA">
      <w:pPr>
        <w:pStyle w:val="TOC7"/>
        <w:rPr>
          <w:rFonts w:cstheme="minorBidi"/>
          <w:sz w:val="22"/>
          <w:szCs w:val="22"/>
          <w:rtl/>
        </w:rPr>
      </w:pPr>
      <w:hyperlink w:anchor="_Toc163505910" w:history="1">
        <w:r w:rsidRPr="007246E7">
          <w:rPr>
            <w:rStyle w:val="Hyperlink"/>
            <w:rtl/>
          </w:rPr>
          <w:t>נשמת אדם שבת כלל ט"ז א' ד"ה וכתב עליו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Toc163505910 \h</w:instrText>
        </w:r>
        <w:r>
          <w:rPr>
            <w:webHidden/>
            <w:rtl/>
          </w:rPr>
          <w:instrText xml:space="preserve"> </w:instrText>
        </w:r>
        <w:r>
          <w:rPr>
            <w:rStyle w:val="Hyperlink"/>
            <w:rtl/>
          </w:rPr>
        </w:r>
        <w:r>
          <w:rPr>
            <w:rStyle w:val="Hyperlink"/>
            <w:rtl/>
          </w:rPr>
          <w:fldChar w:fldCharType="separate"/>
        </w:r>
        <w:r w:rsidR="00D82181">
          <w:rPr>
            <w:webHidden/>
            <w:rtl/>
          </w:rPr>
          <w:t>102</w:t>
        </w:r>
        <w:r>
          <w:rPr>
            <w:rStyle w:val="Hyperlink"/>
            <w:rtl/>
          </w:rPr>
          <w:fldChar w:fldCharType="end"/>
        </w:r>
      </w:hyperlink>
    </w:p>
    <w:p w14:paraId="6C4BFD6F" w14:textId="356CC5E1" w:rsidR="008009AA" w:rsidRDefault="008009AA">
      <w:pPr>
        <w:pStyle w:val="TOC7"/>
        <w:rPr>
          <w:rFonts w:cstheme="minorBidi"/>
          <w:sz w:val="22"/>
          <w:szCs w:val="22"/>
          <w:rtl/>
        </w:rPr>
      </w:pPr>
      <w:hyperlink w:anchor="_Toc163505911" w:history="1">
        <w:r w:rsidRPr="007246E7">
          <w:rPr>
            <w:rStyle w:val="Hyperlink"/>
            <w:rtl/>
          </w:rPr>
          <w:t>אגלי טל בורר סק"א אות כ"ו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Toc163505911 \h</w:instrText>
        </w:r>
        <w:r>
          <w:rPr>
            <w:webHidden/>
            <w:rtl/>
          </w:rPr>
          <w:instrText xml:space="preserve"> </w:instrText>
        </w:r>
        <w:r>
          <w:rPr>
            <w:rStyle w:val="Hyperlink"/>
            <w:rtl/>
          </w:rPr>
        </w:r>
        <w:r>
          <w:rPr>
            <w:rStyle w:val="Hyperlink"/>
            <w:rtl/>
          </w:rPr>
          <w:fldChar w:fldCharType="separate"/>
        </w:r>
        <w:r w:rsidR="00D82181">
          <w:rPr>
            <w:webHidden/>
            <w:rtl/>
          </w:rPr>
          <w:t>102</w:t>
        </w:r>
        <w:r>
          <w:rPr>
            <w:rStyle w:val="Hyperlink"/>
            <w:rtl/>
          </w:rPr>
          <w:fldChar w:fldCharType="end"/>
        </w:r>
      </w:hyperlink>
    </w:p>
    <w:p w14:paraId="3A468190" w14:textId="1EADA1FA" w:rsidR="008009AA" w:rsidRDefault="008009AA">
      <w:pPr>
        <w:pStyle w:val="TOC7"/>
        <w:rPr>
          <w:rFonts w:cstheme="minorBidi"/>
          <w:sz w:val="22"/>
          <w:szCs w:val="22"/>
          <w:rtl/>
        </w:rPr>
      </w:pPr>
      <w:hyperlink w:anchor="_Toc163505912" w:history="1">
        <w:r w:rsidRPr="007246E7">
          <w:rPr>
            <w:rStyle w:val="Hyperlink"/>
            <w:rtl/>
          </w:rPr>
          <w:t>אגלי טל בורר סק"א אות כ"ז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Toc163505912 \h</w:instrText>
        </w:r>
        <w:r>
          <w:rPr>
            <w:webHidden/>
            <w:rtl/>
          </w:rPr>
          <w:instrText xml:space="preserve"> </w:instrText>
        </w:r>
        <w:r>
          <w:rPr>
            <w:rStyle w:val="Hyperlink"/>
            <w:rtl/>
          </w:rPr>
        </w:r>
        <w:r>
          <w:rPr>
            <w:rStyle w:val="Hyperlink"/>
            <w:rtl/>
          </w:rPr>
          <w:fldChar w:fldCharType="separate"/>
        </w:r>
        <w:r w:rsidR="00D82181">
          <w:rPr>
            <w:webHidden/>
            <w:rtl/>
          </w:rPr>
          <w:t>103</w:t>
        </w:r>
        <w:r>
          <w:rPr>
            <w:rStyle w:val="Hyperlink"/>
            <w:rtl/>
          </w:rPr>
          <w:fldChar w:fldCharType="end"/>
        </w:r>
      </w:hyperlink>
    </w:p>
    <w:p w14:paraId="3DE53D11" w14:textId="5430DB1B" w:rsidR="008009AA" w:rsidRDefault="008009AA">
      <w:pPr>
        <w:pStyle w:val="TOC7"/>
        <w:rPr>
          <w:rFonts w:cstheme="minorBidi"/>
          <w:sz w:val="22"/>
          <w:szCs w:val="22"/>
          <w:rtl/>
        </w:rPr>
      </w:pPr>
      <w:hyperlink w:anchor="_Toc163505913" w:history="1">
        <w:r w:rsidRPr="007246E7">
          <w:rPr>
            <w:rStyle w:val="Hyperlink"/>
            <w:rtl/>
          </w:rPr>
          <w:t>רש"י שבת ע"ג ע"א ד"ה הבורר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Toc163505913 \h</w:instrText>
        </w:r>
        <w:r>
          <w:rPr>
            <w:webHidden/>
            <w:rtl/>
          </w:rPr>
          <w:instrText xml:space="preserve"> </w:instrText>
        </w:r>
        <w:r>
          <w:rPr>
            <w:rStyle w:val="Hyperlink"/>
            <w:rtl/>
          </w:rPr>
        </w:r>
        <w:r>
          <w:rPr>
            <w:rStyle w:val="Hyperlink"/>
            <w:rtl/>
          </w:rPr>
          <w:fldChar w:fldCharType="separate"/>
        </w:r>
        <w:r w:rsidR="00D82181">
          <w:rPr>
            <w:webHidden/>
            <w:rtl/>
          </w:rPr>
          <w:t>103</w:t>
        </w:r>
        <w:r>
          <w:rPr>
            <w:rStyle w:val="Hyperlink"/>
            <w:rtl/>
          </w:rPr>
          <w:fldChar w:fldCharType="end"/>
        </w:r>
      </w:hyperlink>
    </w:p>
    <w:p w14:paraId="1E648128" w14:textId="074B6833" w:rsidR="008009AA" w:rsidRDefault="008009AA">
      <w:pPr>
        <w:pStyle w:val="TOC7"/>
        <w:rPr>
          <w:rFonts w:cstheme="minorBidi"/>
          <w:sz w:val="22"/>
          <w:szCs w:val="22"/>
          <w:rtl/>
        </w:rPr>
      </w:pPr>
      <w:hyperlink w:anchor="_Toc163505914" w:history="1">
        <w:r w:rsidRPr="007246E7">
          <w:rPr>
            <w:rStyle w:val="Hyperlink"/>
            <w:rtl/>
          </w:rPr>
          <w:t>אגלי טל בורר סק"א אות ט'</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Toc163505914 \h</w:instrText>
        </w:r>
        <w:r>
          <w:rPr>
            <w:webHidden/>
            <w:rtl/>
          </w:rPr>
          <w:instrText xml:space="preserve"> </w:instrText>
        </w:r>
        <w:r>
          <w:rPr>
            <w:rStyle w:val="Hyperlink"/>
            <w:rtl/>
          </w:rPr>
        </w:r>
        <w:r>
          <w:rPr>
            <w:rStyle w:val="Hyperlink"/>
            <w:rtl/>
          </w:rPr>
          <w:fldChar w:fldCharType="separate"/>
        </w:r>
        <w:r w:rsidR="00D82181">
          <w:rPr>
            <w:webHidden/>
            <w:rtl/>
          </w:rPr>
          <w:t>103</w:t>
        </w:r>
        <w:r>
          <w:rPr>
            <w:rStyle w:val="Hyperlink"/>
            <w:rtl/>
          </w:rPr>
          <w:fldChar w:fldCharType="end"/>
        </w:r>
      </w:hyperlink>
    </w:p>
    <w:p w14:paraId="10BB960E" w14:textId="74441A9E" w:rsidR="008009AA" w:rsidRDefault="008009AA">
      <w:pPr>
        <w:pStyle w:val="TOC7"/>
        <w:rPr>
          <w:rFonts w:cstheme="minorBidi"/>
          <w:sz w:val="22"/>
          <w:szCs w:val="22"/>
          <w:rtl/>
        </w:rPr>
      </w:pPr>
      <w:hyperlink w:anchor="_Toc163505915" w:history="1">
        <w:r w:rsidRPr="007246E7">
          <w:rPr>
            <w:rStyle w:val="Hyperlink"/>
            <w:rtl/>
          </w:rPr>
          <w:t>רש"י שבת ע"ד ע"א ד"ה ושדא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Toc163505915 \h</w:instrText>
        </w:r>
        <w:r>
          <w:rPr>
            <w:webHidden/>
            <w:rtl/>
          </w:rPr>
          <w:instrText xml:space="preserve"> </w:instrText>
        </w:r>
        <w:r>
          <w:rPr>
            <w:rStyle w:val="Hyperlink"/>
            <w:rtl/>
          </w:rPr>
        </w:r>
        <w:r>
          <w:rPr>
            <w:rStyle w:val="Hyperlink"/>
            <w:rtl/>
          </w:rPr>
          <w:fldChar w:fldCharType="separate"/>
        </w:r>
        <w:r w:rsidR="00D82181">
          <w:rPr>
            <w:webHidden/>
            <w:rtl/>
          </w:rPr>
          <w:t>103</w:t>
        </w:r>
        <w:r>
          <w:rPr>
            <w:rStyle w:val="Hyperlink"/>
            <w:rtl/>
          </w:rPr>
          <w:fldChar w:fldCharType="end"/>
        </w:r>
      </w:hyperlink>
    </w:p>
    <w:p w14:paraId="0778453F" w14:textId="609E1F61" w:rsidR="008009AA" w:rsidRDefault="008009AA">
      <w:pPr>
        <w:pStyle w:val="TOC7"/>
        <w:rPr>
          <w:rFonts w:cstheme="minorBidi"/>
          <w:sz w:val="22"/>
          <w:szCs w:val="22"/>
          <w:rtl/>
        </w:rPr>
      </w:pPr>
      <w:hyperlink w:anchor="_Toc163505916" w:history="1">
        <w:r w:rsidRPr="007246E7">
          <w:rPr>
            <w:rStyle w:val="Hyperlink"/>
            <w:rtl/>
          </w:rPr>
          <w:t>אגלי טל בורר סק"א אות י"ז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Toc163505916 \h</w:instrText>
        </w:r>
        <w:r>
          <w:rPr>
            <w:webHidden/>
            <w:rtl/>
          </w:rPr>
          <w:instrText xml:space="preserve"> </w:instrText>
        </w:r>
        <w:r>
          <w:rPr>
            <w:rStyle w:val="Hyperlink"/>
            <w:rtl/>
          </w:rPr>
        </w:r>
        <w:r>
          <w:rPr>
            <w:rStyle w:val="Hyperlink"/>
            <w:rtl/>
          </w:rPr>
          <w:fldChar w:fldCharType="separate"/>
        </w:r>
        <w:r w:rsidR="00D82181">
          <w:rPr>
            <w:webHidden/>
            <w:rtl/>
          </w:rPr>
          <w:t>103</w:t>
        </w:r>
        <w:r>
          <w:rPr>
            <w:rStyle w:val="Hyperlink"/>
            <w:rtl/>
          </w:rPr>
          <w:fldChar w:fldCharType="end"/>
        </w:r>
      </w:hyperlink>
    </w:p>
    <w:p w14:paraId="2C05312B" w14:textId="414201F8" w:rsidR="008009AA" w:rsidRDefault="008009AA">
      <w:pPr>
        <w:pStyle w:val="TOC7"/>
        <w:rPr>
          <w:rFonts w:cstheme="minorBidi"/>
          <w:sz w:val="22"/>
          <w:szCs w:val="22"/>
          <w:rtl/>
        </w:rPr>
      </w:pPr>
      <w:hyperlink w:anchor="_Toc163505917" w:history="1">
        <w:r w:rsidRPr="007246E7">
          <w:rPr>
            <w:rStyle w:val="Hyperlink"/>
            <w:rtl/>
          </w:rPr>
          <w:t>אגלי טל בורר סק"א אות ט"ז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Toc163505917 \h</w:instrText>
        </w:r>
        <w:r>
          <w:rPr>
            <w:webHidden/>
            <w:rtl/>
          </w:rPr>
          <w:instrText xml:space="preserve"> </w:instrText>
        </w:r>
        <w:r>
          <w:rPr>
            <w:rStyle w:val="Hyperlink"/>
            <w:rtl/>
          </w:rPr>
        </w:r>
        <w:r>
          <w:rPr>
            <w:rStyle w:val="Hyperlink"/>
            <w:rtl/>
          </w:rPr>
          <w:fldChar w:fldCharType="separate"/>
        </w:r>
        <w:r w:rsidR="00D82181">
          <w:rPr>
            <w:webHidden/>
            <w:rtl/>
          </w:rPr>
          <w:t>103</w:t>
        </w:r>
        <w:r>
          <w:rPr>
            <w:rStyle w:val="Hyperlink"/>
            <w:rtl/>
          </w:rPr>
          <w:fldChar w:fldCharType="end"/>
        </w:r>
      </w:hyperlink>
    </w:p>
    <w:p w14:paraId="5E3C09B3" w14:textId="1EF0476A" w:rsidR="008009AA" w:rsidRDefault="008009AA">
      <w:pPr>
        <w:pStyle w:val="TOC7"/>
        <w:rPr>
          <w:rFonts w:cstheme="minorBidi"/>
          <w:sz w:val="22"/>
          <w:szCs w:val="22"/>
          <w:rtl/>
        </w:rPr>
      </w:pPr>
      <w:hyperlink w:anchor="_Toc163505918" w:history="1">
        <w:r w:rsidRPr="007246E7">
          <w:rPr>
            <w:rStyle w:val="Hyperlink"/>
            <w:rtl/>
          </w:rPr>
          <w:t>רבינו חננאל שבת ע"ד ע"א ד"ה ת"ר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Toc163505918 \h</w:instrText>
        </w:r>
        <w:r>
          <w:rPr>
            <w:webHidden/>
            <w:rtl/>
          </w:rPr>
          <w:instrText xml:space="preserve"> </w:instrText>
        </w:r>
        <w:r>
          <w:rPr>
            <w:rStyle w:val="Hyperlink"/>
            <w:rtl/>
          </w:rPr>
        </w:r>
        <w:r>
          <w:rPr>
            <w:rStyle w:val="Hyperlink"/>
            <w:rtl/>
          </w:rPr>
          <w:fldChar w:fldCharType="separate"/>
        </w:r>
        <w:r w:rsidR="00D82181">
          <w:rPr>
            <w:webHidden/>
            <w:rtl/>
          </w:rPr>
          <w:t>104</w:t>
        </w:r>
        <w:r>
          <w:rPr>
            <w:rStyle w:val="Hyperlink"/>
            <w:rtl/>
          </w:rPr>
          <w:fldChar w:fldCharType="end"/>
        </w:r>
      </w:hyperlink>
    </w:p>
    <w:p w14:paraId="404CF204" w14:textId="5B2CF090" w:rsidR="008009AA" w:rsidRDefault="008009AA">
      <w:pPr>
        <w:pStyle w:val="TOC7"/>
        <w:rPr>
          <w:rFonts w:cstheme="minorBidi"/>
          <w:sz w:val="22"/>
          <w:szCs w:val="22"/>
          <w:rtl/>
        </w:rPr>
      </w:pPr>
      <w:hyperlink w:anchor="_Toc163505919" w:history="1">
        <w:r w:rsidRPr="007246E7">
          <w:rPr>
            <w:rStyle w:val="Hyperlink"/>
            <w:rtl/>
          </w:rPr>
          <w:t>רמב"ם שבת פ"ח הי"ג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Toc163505919 \h</w:instrText>
        </w:r>
        <w:r>
          <w:rPr>
            <w:webHidden/>
            <w:rtl/>
          </w:rPr>
          <w:instrText xml:space="preserve"> </w:instrText>
        </w:r>
        <w:r>
          <w:rPr>
            <w:rStyle w:val="Hyperlink"/>
            <w:rtl/>
          </w:rPr>
        </w:r>
        <w:r>
          <w:rPr>
            <w:rStyle w:val="Hyperlink"/>
            <w:rtl/>
          </w:rPr>
          <w:fldChar w:fldCharType="separate"/>
        </w:r>
        <w:r w:rsidR="00D82181">
          <w:rPr>
            <w:webHidden/>
            <w:rtl/>
          </w:rPr>
          <w:t>104</w:t>
        </w:r>
        <w:r>
          <w:rPr>
            <w:rStyle w:val="Hyperlink"/>
            <w:rtl/>
          </w:rPr>
          <w:fldChar w:fldCharType="end"/>
        </w:r>
      </w:hyperlink>
    </w:p>
    <w:p w14:paraId="62ED630F" w14:textId="67135ED3" w:rsidR="008009AA" w:rsidRDefault="008009AA">
      <w:pPr>
        <w:pStyle w:val="TOC7"/>
        <w:rPr>
          <w:rFonts w:cstheme="minorBidi"/>
          <w:sz w:val="22"/>
          <w:szCs w:val="22"/>
          <w:rtl/>
        </w:rPr>
      </w:pPr>
      <w:hyperlink w:anchor="_Toc163505920" w:history="1">
        <w:r w:rsidRPr="007246E7">
          <w:rPr>
            <w:rStyle w:val="Hyperlink"/>
            <w:rtl/>
          </w:rPr>
          <w:t>משנה שבת פ"ח הי"ב, הי"ג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Toc163505920 \h</w:instrText>
        </w:r>
        <w:r>
          <w:rPr>
            <w:webHidden/>
            <w:rtl/>
          </w:rPr>
          <w:instrText xml:space="preserve"> </w:instrText>
        </w:r>
        <w:r>
          <w:rPr>
            <w:rStyle w:val="Hyperlink"/>
            <w:rtl/>
          </w:rPr>
        </w:r>
        <w:r>
          <w:rPr>
            <w:rStyle w:val="Hyperlink"/>
            <w:rtl/>
          </w:rPr>
          <w:fldChar w:fldCharType="separate"/>
        </w:r>
        <w:r w:rsidR="00D82181">
          <w:rPr>
            <w:webHidden/>
            <w:rtl/>
          </w:rPr>
          <w:t>104</w:t>
        </w:r>
        <w:r>
          <w:rPr>
            <w:rStyle w:val="Hyperlink"/>
            <w:rtl/>
          </w:rPr>
          <w:fldChar w:fldCharType="end"/>
        </w:r>
      </w:hyperlink>
    </w:p>
    <w:p w14:paraId="47FE2DF6" w14:textId="7139335D" w:rsidR="008009AA" w:rsidRDefault="008009AA">
      <w:pPr>
        <w:pStyle w:val="TOC7"/>
        <w:rPr>
          <w:rFonts w:cstheme="minorBidi"/>
          <w:sz w:val="22"/>
          <w:szCs w:val="22"/>
          <w:rtl/>
        </w:rPr>
      </w:pPr>
      <w:hyperlink w:anchor="_Toc163505921" w:history="1">
        <w:r w:rsidRPr="007246E7">
          <w:rPr>
            <w:rStyle w:val="Hyperlink"/>
            <w:rtl/>
          </w:rPr>
          <w:t>באור הלכה סימן שיט ד' ד"ה מתוך</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Toc163505921 \h</w:instrText>
        </w:r>
        <w:r>
          <w:rPr>
            <w:webHidden/>
            <w:rtl/>
          </w:rPr>
          <w:instrText xml:space="preserve"> </w:instrText>
        </w:r>
        <w:r>
          <w:rPr>
            <w:rStyle w:val="Hyperlink"/>
            <w:rtl/>
          </w:rPr>
        </w:r>
        <w:r>
          <w:rPr>
            <w:rStyle w:val="Hyperlink"/>
            <w:rtl/>
          </w:rPr>
          <w:fldChar w:fldCharType="separate"/>
        </w:r>
        <w:r w:rsidR="00D82181">
          <w:rPr>
            <w:webHidden/>
            <w:rtl/>
          </w:rPr>
          <w:t>104</w:t>
        </w:r>
        <w:r>
          <w:rPr>
            <w:rStyle w:val="Hyperlink"/>
            <w:rtl/>
          </w:rPr>
          <w:fldChar w:fldCharType="end"/>
        </w:r>
      </w:hyperlink>
    </w:p>
    <w:p w14:paraId="7D360557" w14:textId="20AF5D8A" w:rsidR="008009AA" w:rsidRDefault="008009AA">
      <w:pPr>
        <w:pStyle w:val="TOC7"/>
        <w:rPr>
          <w:rFonts w:cstheme="minorBidi"/>
          <w:sz w:val="22"/>
          <w:szCs w:val="22"/>
          <w:rtl/>
        </w:rPr>
      </w:pPr>
      <w:hyperlink w:anchor="_Toc163505922" w:history="1">
        <w:r w:rsidRPr="007246E7">
          <w:rPr>
            <w:rStyle w:val="Hyperlink"/>
            <w:rtl/>
          </w:rPr>
          <w:t>כסף משנה שבת פ"ח הי"ב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Toc163505922 \h</w:instrText>
        </w:r>
        <w:r>
          <w:rPr>
            <w:webHidden/>
            <w:rtl/>
          </w:rPr>
          <w:instrText xml:space="preserve"> </w:instrText>
        </w:r>
        <w:r>
          <w:rPr>
            <w:rStyle w:val="Hyperlink"/>
            <w:rtl/>
          </w:rPr>
        </w:r>
        <w:r>
          <w:rPr>
            <w:rStyle w:val="Hyperlink"/>
            <w:rtl/>
          </w:rPr>
          <w:fldChar w:fldCharType="separate"/>
        </w:r>
        <w:r w:rsidR="00D82181">
          <w:rPr>
            <w:webHidden/>
            <w:rtl/>
          </w:rPr>
          <w:t>104</w:t>
        </w:r>
        <w:r>
          <w:rPr>
            <w:rStyle w:val="Hyperlink"/>
            <w:rtl/>
          </w:rPr>
          <w:fldChar w:fldCharType="end"/>
        </w:r>
      </w:hyperlink>
    </w:p>
    <w:p w14:paraId="1C77C5AE" w14:textId="71453A59" w:rsidR="008009AA" w:rsidRDefault="008009AA">
      <w:pPr>
        <w:pStyle w:val="TOC7"/>
        <w:rPr>
          <w:rFonts w:cstheme="minorBidi"/>
          <w:sz w:val="22"/>
          <w:szCs w:val="22"/>
          <w:rtl/>
        </w:rPr>
      </w:pPr>
      <w:hyperlink w:anchor="_Toc163505923" w:history="1">
        <w:r w:rsidRPr="007246E7">
          <w:rPr>
            <w:rStyle w:val="Hyperlink"/>
            <w:rtl/>
          </w:rPr>
          <w:t>ספר המכריע סי' כ"ג ד"ה גרסינן, ונראה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Toc163505923 \h</w:instrText>
        </w:r>
        <w:r>
          <w:rPr>
            <w:webHidden/>
            <w:rtl/>
          </w:rPr>
          <w:instrText xml:space="preserve"> </w:instrText>
        </w:r>
        <w:r>
          <w:rPr>
            <w:rStyle w:val="Hyperlink"/>
            <w:rtl/>
          </w:rPr>
        </w:r>
        <w:r>
          <w:rPr>
            <w:rStyle w:val="Hyperlink"/>
            <w:rtl/>
          </w:rPr>
          <w:fldChar w:fldCharType="separate"/>
        </w:r>
        <w:r w:rsidR="00D82181">
          <w:rPr>
            <w:webHidden/>
            <w:rtl/>
          </w:rPr>
          <w:t>104</w:t>
        </w:r>
        <w:r>
          <w:rPr>
            <w:rStyle w:val="Hyperlink"/>
            <w:rtl/>
          </w:rPr>
          <w:fldChar w:fldCharType="end"/>
        </w:r>
      </w:hyperlink>
    </w:p>
    <w:p w14:paraId="39E76D6B" w14:textId="2A2B007C" w:rsidR="008009AA" w:rsidRDefault="008009AA">
      <w:pPr>
        <w:pStyle w:val="TOC7"/>
        <w:rPr>
          <w:rFonts w:cstheme="minorBidi"/>
          <w:sz w:val="22"/>
          <w:szCs w:val="22"/>
          <w:rtl/>
        </w:rPr>
      </w:pPr>
      <w:hyperlink w:anchor="_Toc163505924" w:history="1">
        <w:r w:rsidRPr="007246E7">
          <w:rPr>
            <w:rStyle w:val="Hyperlink"/>
            <w:rtl/>
          </w:rPr>
          <w:t>ספר המכריע סי' כ"ג ד"ה וראיתי כתוב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Toc163505924 \h</w:instrText>
        </w:r>
        <w:r>
          <w:rPr>
            <w:webHidden/>
            <w:rtl/>
          </w:rPr>
          <w:instrText xml:space="preserve"> </w:instrText>
        </w:r>
        <w:r>
          <w:rPr>
            <w:rStyle w:val="Hyperlink"/>
            <w:rtl/>
          </w:rPr>
        </w:r>
        <w:r>
          <w:rPr>
            <w:rStyle w:val="Hyperlink"/>
            <w:rtl/>
          </w:rPr>
          <w:fldChar w:fldCharType="separate"/>
        </w:r>
        <w:r w:rsidR="00D82181">
          <w:rPr>
            <w:webHidden/>
            <w:rtl/>
          </w:rPr>
          <w:t>104</w:t>
        </w:r>
        <w:r>
          <w:rPr>
            <w:rStyle w:val="Hyperlink"/>
            <w:rtl/>
          </w:rPr>
          <w:fldChar w:fldCharType="end"/>
        </w:r>
      </w:hyperlink>
    </w:p>
    <w:p w14:paraId="7E5D671A" w14:textId="75ABE5F1" w:rsidR="008009AA" w:rsidRDefault="008009AA">
      <w:pPr>
        <w:pStyle w:val="TOC7"/>
        <w:rPr>
          <w:rFonts w:cstheme="minorBidi"/>
          <w:sz w:val="22"/>
          <w:szCs w:val="22"/>
          <w:rtl/>
        </w:rPr>
      </w:pPr>
      <w:hyperlink w:anchor="_Toc163505925" w:history="1">
        <w:r w:rsidRPr="007246E7">
          <w:rPr>
            <w:rStyle w:val="Hyperlink"/>
            <w:rtl/>
          </w:rPr>
          <w:t>ההשלמה שבת ע"ד ע"א אות ו' ד"ה והרב דודי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Toc163505925 \h</w:instrText>
        </w:r>
        <w:r>
          <w:rPr>
            <w:webHidden/>
            <w:rtl/>
          </w:rPr>
          <w:instrText xml:space="preserve"> </w:instrText>
        </w:r>
        <w:r>
          <w:rPr>
            <w:rStyle w:val="Hyperlink"/>
            <w:rtl/>
          </w:rPr>
        </w:r>
        <w:r>
          <w:rPr>
            <w:rStyle w:val="Hyperlink"/>
            <w:rtl/>
          </w:rPr>
          <w:fldChar w:fldCharType="separate"/>
        </w:r>
        <w:r w:rsidR="00D82181">
          <w:rPr>
            <w:webHidden/>
            <w:rtl/>
          </w:rPr>
          <w:t>104</w:t>
        </w:r>
        <w:r>
          <w:rPr>
            <w:rStyle w:val="Hyperlink"/>
            <w:rtl/>
          </w:rPr>
          <w:fldChar w:fldCharType="end"/>
        </w:r>
      </w:hyperlink>
    </w:p>
    <w:p w14:paraId="60494A5A" w14:textId="6D5FB38B" w:rsidR="008009AA" w:rsidRDefault="008009AA">
      <w:pPr>
        <w:pStyle w:val="TOC7"/>
        <w:rPr>
          <w:rFonts w:cstheme="minorBidi"/>
          <w:sz w:val="22"/>
          <w:szCs w:val="22"/>
          <w:rtl/>
        </w:rPr>
      </w:pPr>
      <w:hyperlink w:anchor="_Toc163505926" w:history="1">
        <w:r w:rsidRPr="007246E7">
          <w:rPr>
            <w:rStyle w:val="Hyperlink"/>
            <w:rtl/>
          </w:rPr>
          <w:t>הבתים שערי המלאכות האסורות ביום השבת שער 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Toc163505926 \h</w:instrText>
        </w:r>
        <w:r>
          <w:rPr>
            <w:webHidden/>
            <w:rtl/>
          </w:rPr>
          <w:instrText xml:space="preserve"> </w:instrText>
        </w:r>
        <w:r>
          <w:rPr>
            <w:rStyle w:val="Hyperlink"/>
            <w:rtl/>
          </w:rPr>
        </w:r>
        <w:r>
          <w:rPr>
            <w:rStyle w:val="Hyperlink"/>
            <w:rtl/>
          </w:rPr>
          <w:fldChar w:fldCharType="separate"/>
        </w:r>
        <w:r w:rsidR="00D82181">
          <w:rPr>
            <w:webHidden/>
            <w:rtl/>
          </w:rPr>
          <w:t>104</w:t>
        </w:r>
        <w:r>
          <w:rPr>
            <w:rStyle w:val="Hyperlink"/>
            <w:rtl/>
          </w:rPr>
          <w:fldChar w:fldCharType="end"/>
        </w:r>
      </w:hyperlink>
    </w:p>
    <w:p w14:paraId="76B64CE9" w14:textId="105F51EA" w:rsidR="008009AA" w:rsidRDefault="008009AA">
      <w:pPr>
        <w:pStyle w:val="TOC7"/>
        <w:rPr>
          <w:rFonts w:cstheme="minorBidi"/>
          <w:sz w:val="22"/>
          <w:szCs w:val="22"/>
          <w:rtl/>
        </w:rPr>
      </w:pPr>
      <w:hyperlink w:anchor="_Toc163505927" w:history="1">
        <w:r w:rsidRPr="007246E7">
          <w:rPr>
            <w:rStyle w:val="Hyperlink"/>
            <w:rtl/>
          </w:rPr>
          <w:t>רש"י חגיגה י' ע"ב ד"ה מלאכת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Toc163505927 \h</w:instrText>
        </w:r>
        <w:r>
          <w:rPr>
            <w:webHidden/>
            <w:rtl/>
          </w:rPr>
          <w:instrText xml:space="preserve"> </w:instrText>
        </w:r>
        <w:r>
          <w:rPr>
            <w:rStyle w:val="Hyperlink"/>
            <w:rtl/>
          </w:rPr>
        </w:r>
        <w:r>
          <w:rPr>
            <w:rStyle w:val="Hyperlink"/>
            <w:rtl/>
          </w:rPr>
          <w:fldChar w:fldCharType="separate"/>
        </w:r>
        <w:r w:rsidR="00D82181">
          <w:rPr>
            <w:webHidden/>
            <w:rtl/>
          </w:rPr>
          <w:t>106</w:t>
        </w:r>
        <w:r>
          <w:rPr>
            <w:rStyle w:val="Hyperlink"/>
            <w:rtl/>
          </w:rPr>
          <w:fldChar w:fldCharType="end"/>
        </w:r>
      </w:hyperlink>
    </w:p>
    <w:p w14:paraId="4AB18E44" w14:textId="39B6E4EB" w:rsidR="008009AA" w:rsidRDefault="008009AA">
      <w:pPr>
        <w:pStyle w:val="TOC7"/>
        <w:rPr>
          <w:rFonts w:cstheme="minorBidi"/>
          <w:sz w:val="22"/>
          <w:szCs w:val="22"/>
          <w:rtl/>
        </w:rPr>
      </w:pPr>
      <w:hyperlink w:anchor="_Toc163505928" w:history="1">
        <w:r w:rsidRPr="007246E7">
          <w:rPr>
            <w:rStyle w:val="Hyperlink"/>
            <w:rtl/>
          </w:rPr>
          <w:t>רש"י שבת צ"ג ע"ב ד"ה ור"ש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Toc163505928 \h</w:instrText>
        </w:r>
        <w:r>
          <w:rPr>
            <w:webHidden/>
            <w:rtl/>
          </w:rPr>
          <w:instrText xml:space="preserve"> </w:instrText>
        </w:r>
        <w:r>
          <w:rPr>
            <w:rStyle w:val="Hyperlink"/>
            <w:rtl/>
          </w:rPr>
        </w:r>
        <w:r>
          <w:rPr>
            <w:rStyle w:val="Hyperlink"/>
            <w:rtl/>
          </w:rPr>
          <w:fldChar w:fldCharType="separate"/>
        </w:r>
        <w:r w:rsidR="00D82181">
          <w:rPr>
            <w:webHidden/>
            <w:rtl/>
          </w:rPr>
          <w:t>106</w:t>
        </w:r>
        <w:r>
          <w:rPr>
            <w:rStyle w:val="Hyperlink"/>
            <w:rtl/>
          </w:rPr>
          <w:fldChar w:fldCharType="end"/>
        </w:r>
      </w:hyperlink>
    </w:p>
    <w:p w14:paraId="18AB97DA" w14:textId="1293680F" w:rsidR="008009AA" w:rsidRDefault="008009AA">
      <w:pPr>
        <w:pStyle w:val="TOC7"/>
        <w:rPr>
          <w:rFonts w:cstheme="minorBidi"/>
          <w:sz w:val="22"/>
          <w:szCs w:val="22"/>
          <w:rtl/>
        </w:rPr>
      </w:pPr>
      <w:hyperlink w:anchor="_Toc163505929" w:history="1">
        <w:r w:rsidRPr="007246E7">
          <w:rPr>
            <w:rStyle w:val="Hyperlink"/>
            <w:rtl/>
          </w:rPr>
          <w:t>רש"י חגיגה י' ע"א ד"ה שאינה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Toc163505929 \h</w:instrText>
        </w:r>
        <w:r>
          <w:rPr>
            <w:webHidden/>
            <w:rtl/>
          </w:rPr>
          <w:instrText xml:space="preserve"> </w:instrText>
        </w:r>
        <w:r>
          <w:rPr>
            <w:rStyle w:val="Hyperlink"/>
            <w:rtl/>
          </w:rPr>
        </w:r>
        <w:r>
          <w:rPr>
            <w:rStyle w:val="Hyperlink"/>
            <w:rtl/>
          </w:rPr>
          <w:fldChar w:fldCharType="separate"/>
        </w:r>
        <w:r w:rsidR="00D82181">
          <w:rPr>
            <w:webHidden/>
            <w:rtl/>
          </w:rPr>
          <w:t>106</w:t>
        </w:r>
        <w:r>
          <w:rPr>
            <w:rStyle w:val="Hyperlink"/>
            <w:rtl/>
          </w:rPr>
          <w:fldChar w:fldCharType="end"/>
        </w:r>
      </w:hyperlink>
    </w:p>
    <w:p w14:paraId="09ED552C" w14:textId="2826123F" w:rsidR="008009AA" w:rsidRDefault="008009AA">
      <w:pPr>
        <w:pStyle w:val="TOC7"/>
        <w:rPr>
          <w:rFonts w:cstheme="minorBidi"/>
          <w:sz w:val="22"/>
          <w:szCs w:val="22"/>
          <w:rtl/>
        </w:rPr>
      </w:pPr>
      <w:hyperlink w:anchor="_Toc163505930" w:history="1">
        <w:r w:rsidRPr="007246E7">
          <w:rPr>
            <w:rStyle w:val="Hyperlink"/>
            <w:rtl/>
          </w:rPr>
          <w:t>ר"ן על הרי"ף שבת ל"ה ע"ב מדה"ר ד"ה ר"ש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Toc163505930 \h</w:instrText>
        </w:r>
        <w:r>
          <w:rPr>
            <w:webHidden/>
            <w:rtl/>
          </w:rPr>
          <w:instrText xml:space="preserve"> </w:instrText>
        </w:r>
        <w:r>
          <w:rPr>
            <w:rStyle w:val="Hyperlink"/>
            <w:rtl/>
          </w:rPr>
        </w:r>
        <w:r>
          <w:rPr>
            <w:rStyle w:val="Hyperlink"/>
            <w:rtl/>
          </w:rPr>
          <w:fldChar w:fldCharType="separate"/>
        </w:r>
        <w:r w:rsidR="00D82181">
          <w:rPr>
            <w:webHidden/>
            <w:rtl/>
          </w:rPr>
          <w:t>106</w:t>
        </w:r>
        <w:r>
          <w:rPr>
            <w:rStyle w:val="Hyperlink"/>
            <w:rtl/>
          </w:rPr>
          <w:fldChar w:fldCharType="end"/>
        </w:r>
      </w:hyperlink>
    </w:p>
    <w:p w14:paraId="70E93DB1" w14:textId="4EA2A9CE" w:rsidR="008009AA" w:rsidRDefault="008009AA">
      <w:pPr>
        <w:pStyle w:val="TOC7"/>
        <w:rPr>
          <w:rFonts w:cstheme="minorBidi"/>
          <w:sz w:val="22"/>
          <w:szCs w:val="22"/>
          <w:rtl/>
        </w:rPr>
      </w:pPr>
      <w:hyperlink w:anchor="_Toc163505931" w:history="1">
        <w:r w:rsidRPr="007246E7">
          <w:rPr>
            <w:rStyle w:val="Hyperlink"/>
            <w:rtl/>
          </w:rPr>
          <w:t>רש"י שבת ל"א ע"ב ד"ה אפילו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Toc163505931 \h</w:instrText>
        </w:r>
        <w:r>
          <w:rPr>
            <w:webHidden/>
            <w:rtl/>
          </w:rPr>
          <w:instrText xml:space="preserve"> </w:instrText>
        </w:r>
        <w:r>
          <w:rPr>
            <w:rStyle w:val="Hyperlink"/>
            <w:rtl/>
          </w:rPr>
        </w:r>
        <w:r>
          <w:rPr>
            <w:rStyle w:val="Hyperlink"/>
            <w:rtl/>
          </w:rPr>
          <w:fldChar w:fldCharType="separate"/>
        </w:r>
        <w:r w:rsidR="00D82181">
          <w:rPr>
            <w:webHidden/>
            <w:rtl/>
          </w:rPr>
          <w:t>106</w:t>
        </w:r>
        <w:r>
          <w:rPr>
            <w:rStyle w:val="Hyperlink"/>
            <w:rtl/>
          </w:rPr>
          <w:fldChar w:fldCharType="end"/>
        </w:r>
      </w:hyperlink>
    </w:p>
    <w:p w14:paraId="3EF09ECB" w14:textId="6338E2FE" w:rsidR="008009AA" w:rsidRDefault="008009AA">
      <w:pPr>
        <w:pStyle w:val="TOC7"/>
        <w:rPr>
          <w:rFonts w:cstheme="minorBidi"/>
          <w:sz w:val="22"/>
          <w:szCs w:val="22"/>
          <w:rtl/>
        </w:rPr>
      </w:pPr>
      <w:hyperlink w:anchor="_Toc163505932" w:history="1">
        <w:r w:rsidRPr="007246E7">
          <w:rPr>
            <w:rStyle w:val="Hyperlink"/>
            <w:rtl/>
          </w:rPr>
          <w:t>רש"י זבחים צ"ב ע"א ד"ה אבל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Toc163505932 \h</w:instrText>
        </w:r>
        <w:r>
          <w:rPr>
            <w:webHidden/>
            <w:rtl/>
          </w:rPr>
          <w:instrText xml:space="preserve"> </w:instrText>
        </w:r>
        <w:r>
          <w:rPr>
            <w:rStyle w:val="Hyperlink"/>
            <w:rtl/>
          </w:rPr>
        </w:r>
        <w:r>
          <w:rPr>
            <w:rStyle w:val="Hyperlink"/>
            <w:rtl/>
          </w:rPr>
          <w:fldChar w:fldCharType="separate"/>
        </w:r>
        <w:r w:rsidR="00D82181">
          <w:rPr>
            <w:webHidden/>
            <w:rtl/>
          </w:rPr>
          <w:t>106</w:t>
        </w:r>
        <w:r>
          <w:rPr>
            <w:rStyle w:val="Hyperlink"/>
            <w:rtl/>
          </w:rPr>
          <w:fldChar w:fldCharType="end"/>
        </w:r>
      </w:hyperlink>
    </w:p>
    <w:p w14:paraId="3008B660" w14:textId="111FEF14" w:rsidR="008009AA" w:rsidRDefault="008009AA">
      <w:pPr>
        <w:pStyle w:val="TOC7"/>
        <w:rPr>
          <w:rFonts w:cstheme="minorBidi"/>
          <w:sz w:val="22"/>
          <w:szCs w:val="22"/>
          <w:rtl/>
        </w:rPr>
      </w:pPr>
      <w:hyperlink w:anchor="_Toc163505933" w:history="1">
        <w:r w:rsidRPr="007246E7">
          <w:rPr>
            <w:rStyle w:val="Hyperlink"/>
            <w:rtl/>
          </w:rPr>
          <w:t>רש"י שבת י"ב ע"א ד"ה הא ר"י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Toc163505933 \h</w:instrText>
        </w:r>
        <w:r>
          <w:rPr>
            <w:webHidden/>
            <w:rtl/>
          </w:rPr>
          <w:instrText xml:space="preserve"> </w:instrText>
        </w:r>
        <w:r>
          <w:rPr>
            <w:rStyle w:val="Hyperlink"/>
            <w:rtl/>
          </w:rPr>
        </w:r>
        <w:r>
          <w:rPr>
            <w:rStyle w:val="Hyperlink"/>
            <w:rtl/>
          </w:rPr>
          <w:fldChar w:fldCharType="separate"/>
        </w:r>
        <w:r w:rsidR="00D82181">
          <w:rPr>
            <w:webHidden/>
            <w:rtl/>
          </w:rPr>
          <w:t>106</w:t>
        </w:r>
        <w:r>
          <w:rPr>
            <w:rStyle w:val="Hyperlink"/>
            <w:rtl/>
          </w:rPr>
          <w:fldChar w:fldCharType="end"/>
        </w:r>
      </w:hyperlink>
    </w:p>
    <w:p w14:paraId="5949588A" w14:textId="1D389FE5" w:rsidR="008009AA" w:rsidRDefault="008009AA">
      <w:pPr>
        <w:pStyle w:val="TOC7"/>
        <w:rPr>
          <w:rFonts w:cstheme="minorBidi"/>
          <w:sz w:val="22"/>
          <w:szCs w:val="22"/>
          <w:rtl/>
        </w:rPr>
      </w:pPr>
      <w:hyperlink w:anchor="_Toc163505934" w:history="1">
        <w:r w:rsidRPr="007246E7">
          <w:rPr>
            <w:rStyle w:val="Hyperlink"/>
            <w:rtl/>
          </w:rPr>
          <w:t>רש"י שבת ק"ז ע"ב ד"ה הצד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Toc163505934 \h</w:instrText>
        </w:r>
        <w:r>
          <w:rPr>
            <w:webHidden/>
            <w:rtl/>
          </w:rPr>
          <w:instrText xml:space="preserve"> </w:instrText>
        </w:r>
        <w:r>
          <w:rPr>
            <w:rStyle w:val="Hyperlink"/>
            <w:rtl/>
          </w:rPr>
        </w:r>
        <w:r>
          <w:rPr>
            <w:rStyle w:val="Hyperlink"/>
            <w:rtl/>
          </w:rPr>
          <w:fldChar w:fldCharType="separate"/>
        </w:r>
        <w:r w:rsidR="00D82181">
          <w:rPr>
            <w:webHidden/>
            <w:rtl/>
          </w:rPr>
          <w:t>106</w:t>
        </w:r>
        <w:r>
          <w:rPr>
            <w:rStyle w:val="Hyperlink"/>
            <w:rtl/>
          </w:rPr>
          <w:fldChar w:fldCharType="end"/>
        </w:r>
      </w:hyperlink>
    </w:p>
    <w:p w14:paraId="6DD693E6" w14:textId="550CA3E8" w:rsidR="008009AA" w:rsidRDefault="008009AA">
      <w:pPr>
        <w:pStyle w:val="TOC7"/>
        <w:rPr>
          <w:rFonts w:cstheme="minorBidi"/>
          <w:sz w:val="22"/>
          <w:szCs w:val="22"/>
          <w:rtl/>
        </w:rPr>
      </w:pPr>
      <w:hyperlink w:anchor="_Toc163505935" w:history="1">
        <w:r w:rsidRPr="007246E7">
          <w:rPr>
            <w:rStyle w:val="Hyperlink"/>
            <w:rtl/>
          </w:rPr>
          <w:t>רש"י שבת ק"ז ע"ב ד"ה להוציא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Toc163505935 \h</w:instrText>
        </w:r>
        <w:r>
          <w:rPr>
            <w:webHidden/>
            <w:rtl/>
          </w:rPr>
          <w:instrText xml:space="preserve"> </w:instrText>
        </w:r>
        <w:r>
          <w:rPr>
            <w:rStyle w:val="Hyperlink"/>
            <w:rtl/>
          </w:rPr>
        </w:r>
        <w:r>
          <w:rPr>
            <w:rStyle w:val="Hyperlink"/>
            <w:rtl/>
          </w:rPr>
          <w:fldChar w:fldCharType="separate"/>
        </w:r>
        <w:r w:rsidR="00D82181">
          <w:rPr>
            <w:webHidden/>
            <w:rtl/>
          </w:rPr>
          <w:t>106</w:t>
        </w:r>
        <w:r>
          <w:rPr>
            <w:rStyle w:val="Hyperlink"/>
            <w:rtl/>
          </w:rPr>
          <w:fldChar w:fldCharType="end"/>
        </w:r>
      </w:hyperlink>
    </w:p>
    <w:p w14:paraId="5BF4E2BA" w14:textId="447C7ECA" w:rsidR="008009AA" w:rsidRDefault="008009AA">
      <w:pPr>
        <w:pStyle w:val="TOC7"/>
        <w:rPr>
          <w:rFonts w:cstheme="minorBidi"/>
          <w:sz w:val="22"/>
          <w:szCs w:val="22"/>
          <w:rtl/>
        </w:rPr>
      </w:pPr>
      <w:hyperlink w:anchor="_Toc163505936" w:history="1">
        <w:r w:rsidRPr="007246E7">
          <w:rPr>
            <w:rStyle w:val="Hyperlink"/>
            <w:rtl/>
          </w:rPr>
          <w:t>רש"י חגיגה י' ע"א ד"ה חופר, שאינה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Toc163505936 \h</w:instrText>
        </w:r>
        <w:r>
          <w:rPr>
            <w:webHidden/>
            <w:rtl/>
          </w:rPr>
          <w:instrText xml:space="preserve"> </w:instrText>
        </w:r>
        <w:r>
          <w:rPr>
            <w:rStyle w:val="Hyperlink"/>
            <w:rtl/>
          </w:rPr>
        </w:r>
        <w:r>
          <w:rPr>
            <w:rStyle w:val="Hyperlink"/>
            <w:rtl/>
          </w:rPr>
          <w:fldChar w:fldCharType="separate"/>
        </w:r>
        <w:r w:rsidR="00D82181">
          <w:rPr>
            <w:webHidden/>
            <w:rtl/>
          </w:rPr>
          <w:t>106</w:t>
        </w:r>
        <w:r>
          <w:rPr>
            <w:rStyle w:val="Hyperlink"/>
            <w:rtl/>
          </w:rPr>
          <w:fldChar w:fldCharType="end"/>
        </w:r>
      </w:hyperlink>
    </w:p>
    <w:p w14:paraId="5CAAE34B" w14:textId="0F4A0276" w:rsidR="008009AA" w:rsidRDefault="008009AA">
      <w:pPr>
        <w:pStyle w:val="TOC7"/>
        <w:rPr>
          <w:rFonts w:cstheme="minorBidi"/>
          <w:sz w:val="22"/>
          <w:szCs w:val="22"/>
          <w:rtl/>
        </w:rPr>
      </w:pPr>
      <w:hyperlink w:anchor="_Toc163505937" w:history="1">
        <w:r w:rsidRPr="007246E7">
          <w:rPr>
            <w:rStyle w:val="Hyperlink"/>
            <w:rtl/>
          </w:rPr>
          <w:t>רש"י שבת ע"ג ע"ב ד"ה פטור, מתקן, מקלקל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Toc163505937 \h</w:instrText>
        </w:r>
        <w:r>
          <w:rPr>
            <w:webHidden/>
            <w:rtl/>
          </w:rPr>
          <w:instrText xml:space="preserve"> </w:instrText>
        </w:r>
        <w:r>
          <w:rPr>
            <w:rStyle w:val="Hyperlink"/>
            <w:rtl/>
          </w:rPr>
        </w:r>
        <w:r>
          <w:rPr>
            <w:rStyle w:val="Hyperlink"/>
            <w:rtl/>
          </w:rPr>
          <w:fldChar w:fldCharType="separate"/>
        </w:r>
        <w:r w:rsidR="00D82181">
          <w:rPr>
            <w:webHidden/>
            <w:rtl/>
          </w:rPr>
          <w:t>106</w:t>
        </w:r>
        <w:r>
          <w:rPr>
            <w:rStyle w:val="Hyperlink"/>
            <w:rtl/>
          </w:rPr>
          <w:fldChar w:fldCharType="end"/>
        </w:r>
      </w:hyperlink>
    </w:p>
    <w:p w14:paraId="22DE9967" w14:textId="1D250C89" w:rsidR="008009AA" w:rsidRDefault="008009AA">
      <w:pPr>
        <w:pStyle w:val="TOC7"/>
        <w:rPr>
          <w:rFonts w:cstheme="minorBidi"/>
          <w:sz w:val="22"/>
          <w:szCs w:val="22"/>
          <w:rtl/>
        </w:rPr>
      </w:pPr>
      <w:hyperlink w:anchor="_Toc163505938" w:history="1">
        <w:r w:rsidRPr="007246E7">
          <w:rPr>
            <w:rStyle w:val="Hyperlink"/>
            <w:rtl/>
          </w:rPr>
          <w:t>רש"י חגיגה י' ע"א ד"ה אפילו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Toc163505938 \h</w:instrText>
        </w:r>
        <w:r>
          <w:rPr>
            <w:webHidden/>
            <w:rtl/>
          </w:rPr>
          <w:instrText xml:space="preserve"> </w:instrText>
        </w:r>
        <w:r>
          <w:rPr>
            <w:rStyle w:val="Hyperlink"/>
            <w:rtl/>
          </w:rPr>
        </w:r>
        <w:r>
          <w:rPr>
            <w:rStyle w:val="Hyperlink"/>
            <w:rtl/>
          </w:rPr>
          <w:fldChar w:fldCharType="separate"/>
        </w:r>
        <w:r w:rsidR="00D82181">
          <w:rPr>
            <w:webHidden/>
            <w:rtl/>
          </w:rPr>
          <w:t>106</w:t>
        </w:r>
        <w:r>
          <w:rPr>
            <w:rStyle w:val="Hyperlink"/>
            <w:rtl/>
          </w:rPr>
          <w:fldChar w:fldCharType="end"/>
        </w:r>
      </w:hyperlink>
    </w:p>
    <w:p w14:paraId="50AFC023" w14:textId="17ABBD3B" w:rsidR="008009AA" w:rsidRDefault="008009AA">
      <w:pPr>
        <w:pStyle w:val="TOC7"/>
        <w:rPr>
          <w:rFonts w:cstheme="minorBidi"/>
          <w:sz w:val="22"/>
          <w:szCs w:val="22"/>
          <w:rtl/>
        </w:rPr>
      </w:pPr>
      <w:hyperlink w:anchor="_Toc163505939" w:history="1">
        <w:r w:rsidRPr="007246E7">
          <w:rPr>
            <w:rStyle w:val="Hyperlink"/>
            <w:rtl/>
          </w:rPr>
          <w:t>תוספות שבת צ"ד ע"א ד"ה ר"ש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Toc163505939 \h</w:instrText>
        </w:r>
        <w:r>
          <w:rPr>
            <w:webHidden/>
            <w:rtl/>
          </w:rPr>
          <w:instrText xml:space="preserve"> </w:instrText>
        </w:r>
        <w:r>
          <w:rPr>
            <w:rStyle w:val="Hyperlink"/>
            <w:rtl/>
          </w:rPr>
        </w:r>
        <w:r>
          <w:rPr>
            <w:rStyle w:val="Hyperlink"/>
            <w:rtl/>
          </w:rPr>
          <w:fldChar w:fldCharType="separate"/>
        </w:r>
        <w:r w:rsidR="00D82181">
          <w:rPr>
            <w:webHidden/>
            <w:rtl/>
          </w:rPr>
          <w:t>107</w:t>
        </w:r>
        <w:r>
          <w:rPr>
            <w:rStyle w:val="Hyperlink"/>
            <w:rtl/>
          </w:rPr>
          <w:fldChar w:fldCharType="end"/>
        </w:r>
      </w:hyperlink>
    </w:p>
    <w:p w14:paraId="016ACFA4" w14:textId="08A2BA87" w:rsidR="008009AA" w:rsidRDefault="008009AA">
      <w:pPr>
        <w:pStyle w:val="TOC7"/>
        <w:rPr>
          <w:rFonts w:cstheme="minorBidi"/>
          <w:sz w:val="22"/>
          <w:szCs w:val="22"/>
          <w:rtl/>
        </w:rPr>
      </w:pPr>
      <w:hyperlink w:anchor="_Toc163505940" w:history="1">
        <w:r w:rsidRPr="007246E7">
          <w:rPr>
            <w:rStyle w:val="Hyperlink"/>
            <w:rtl/>
          </w:rPr>
          <w:t>תוספות חגיגה י' ע"ב ד"ה מלאכת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Toc163505940 \h</w:instrText>
        </w:r>
        <w:r>
          <w:rPr>
            <w:webHidden/>
            <w:rtl/>
          </w:rPr>
          <w:instrText xml:space="preserve"> </w:instrText>
        </w:r>
        <w:r>
          <w:rPr>
            <w:rStyle w:val="Hyperlink"/>
            <w:rtl/>
          </w:rPr>
        </w:r>
        <w:r>
          <w:rPr>
            <w:rStyle w:val="Hyperlink"/>
            <w:rtl/>
          </w:rPr>
          <w:fldChar w:fldCharType="separate"/>
        </w:r>
        <w:r w:rsidR="00D82181">
          <w:rPr>
            <w:webHidden/>
            <w:rtl/>
          </w:rPr>
          <w:t>107</w:t>
        </w:r>
        <w:r>
          <w:rPr>
            <w:rStyle w:val="Hyperlink"/>
            <w:rtl/>
          </w:rPr>
          <w:fldChar w:fldCharType="end"/>
        </w:r>
      </w:hyperlink>
    </w:p>
    <w:p w14:paraId="79AC80A5" w14:textId="08AF94F1" w:rsidR="008009AA" w:rsidRDefault="008009AA">
      <w:pPr>
        <w:pStyle w:val="TOC7"/>
        <w:rPr>
          <w:rFonts w:cstheme="minorBidi"/>
          <w:sz w:val="22"/>
          <w:szCs w:val="22"/>
          <w:rtl/>
        </w:rPr>
      </w:pPr>
      <w:hyperlink w:anchor="_Toc163505941" w:history="1">
        <w:r w:rsidRPr="007246E7">
          <w:rPr>
            <w:rStyle w:val="Hyperlink"/>
            <w:rtl/>
          </w:rPr>
          <w:t>כפות תמרים סוכה ל"ג ע"ב ד"ה כתבו עוד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Toc163505941 \h</w:instrText>
        </w:r>
        <w:r>
          <w:rPr>
            <w:webHidden/>
            <w:rtl/>
          </w:rPr>
          <w:instrText xml:space="preserve"> </w:instrText>
        </w:r>
        <w:r>
          <w:rPr>
            <w:rStyle w:val="Hyperlink"/>
            <w:rtl/>
          </w:rPr>
        </w:r>
        <w:r>
          <w:rPr>
            <w:rStyle w:val="Hyperlink"/>
            <w:rtl/>
          </w:rPr>
          <w:fldChar w:fldCharType="separate"/>
        </w:r>
        <w:r w:rsidR="00D82181">
          <w:rPr>
            <w:webHidden/>
            <w:rtl/>
          </w:rPr>
          <w:t>107</w:t>
        </w:r>
        <w:r>
          <w:rPr>
            <w:rStyle w:val="Hyperlink"/>
            <w:rtl/>
          </w:rPr>
          <w:fldChar w:fldCharType="end"/>
        </w:r>
      </w:hyperlink>
    </w:p>
    <w:p w14:paraId="69D03160" w14:textId="1B2DE55A" w:rsidR="008009AA" w:rsidRDefault="008009AA">
      <w:pPr>
        <w:pStyle w:val="TOC7"/>
        <w:rPr>
          <w:rFonts w:cstheme="minorBidi"/>
          <w:sz w:val="22"/>
          <w:szCs w:val="22"/>
          <w:rtl/>
        </w:rPr>
      </w:pPr>
      <w:hyperlink w:anchor="_Toc163505942" w:history="1">
        <w:r w:rsidRPr="007246E7">
          <w:rPr>
            <w:rStyle w:val="Hyperlink"/>
            <w:rtl/>
          </w:rPr>
          <w:t>כפות תמרים סוכה ל"ג ע"ב ד"ה עוד הקשו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Toc163505942 \h</w:instrText>
        </w:r>
        <w:r>
          <w:rPr>
            <w:webHidden/>
            <w:rtl/>
          </w:rPr>
          <w:instrText xml:space="preserve"> </w:instrText>
        </w:r>
        <w:r>
          <w:rPr>
            <w:rStyle w:val="Hyperlink"/>
            <w:rtl/>
          </w:rPr>
        </w:r>
        <w:r>
          <w:rPr>
            <w:rStyle w:val="Hyperlink"/>
            <w:rtl/>
          </w:rPr>
          <w:fldChar w:fldCharType="separate"/>
        </w:r>
        <w:r w:rsidR="00D82181">
          <w:rPr>
            <w:webHidden/>
            <w:rtl/>
          </w:rPr>
          <w:t>107</w:t>
        </w:r>
        <w:r>
          <w:rPr>
            <w:rStyle w:val="Hyperlink"/>
            <w:rtl/>
          </w:rPr>
          <w:fldChar w:fldCharType="end"/>
        </w:r>
      </w:hyperlink>
    </w:p>
    <w:p w14:paraId="730329C8" w14:textId="6DB6454A" w:rsidR="008009AA" w:rsidRDefault="008009AA">
      <w:pPr>
        <w:pStyle w:val="TOC7"/>
        <w:rPr>
          <w:rFonts w:cstheme="minorBidi"/>
          <w:sz w:val="22"/>
          <w:szCs w:val="22"/>
          <w:rtl/>
        </w:rPr>
      </w:pPr>
      <w:hyperlink w:anchor="_Toc163505943" w:history="1">
        <w:r w:rsidRPr="007246E7">
          <w:rPr>
            <w:rStyle w:val="Hyperlink"/>
            <w:rtl/>
          </w:rPr>
          <w:t>כפות תמרים סוכה ל"ג ע"ב ד"ה והמשל בזה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Toc163505943 \h</w:instrText>
        </w:r>
        <w:r>
          <w:rPr>
            <w:webHidden/>
            <w:rtl/>
          </w:rPr>
          <w:instrText xml:space="preserve"> </w:instrText>
        </w:r>
        <w:r>
          <w:rPr>
            <w:rStyle w:val="Hyperlink"/>
            <w:rtl/>
          </w:rPr>
        </w:r>
        <w:r>
          <w:rPr>
            <w:rStyle w:val="Hyperlink"/>
            <w:rtl/>
          </w:rPr>
          <w:fldChar w:fldCharType="separate"/>
        </w:r>
        <w:r w:rsidR="00D82181">
          <w:rPr>
            <w:webHidden/>
            <w:rtl/>
          </w:rPr>
          <w:t>107</w:t>
        </w:r>
        <w:r>
          <w:rPr>
            <w:rStyle w:val="Hyperlink"/>
            <w:rtl/>
          </w:rPr>
          <w:fldChar w:fldCharType="end"/>
        </w:r>
      </w:hyperlink>
    </w:p>
    <w:p w14:paraId="5B66CBCD" w14:textId="321A55D9" w:rsidR="008009AA" w:rsidRDefault="008009AA">
      <w:pPr>
        <w:pStyle w:val="TOC7"/>
        <w:rPr>
          <w:rFonts w:cstheme="minorBidi"/>
          <w:sz w:val="22"/>
          <w:szCs w:val="22"/>
          <w:rtl/>
        </w:rPr>
      </w:pPr>
      <w:hyperlink w:anchor="_Toc163505944" w:history="1">
        <w:r w:rsidRPr="007246E7">
          <w:rPr>
            <w:rStyle w:val="Hyperlink"/>
            <w:rtl/>
          </w:rPr>
          <w:t>כפות תמרים סוכה ל"ג ע"ב ד"ה והשתא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Toc163505944 \h</w:instrText>
        </w:r>
        <w:r>
          <w:rPr>
            <w:webHidden/>
            <w:rtl/>
          </w:rPr>
          <w:instrText xml:space="preserve"> </w:instrText>
        </w:r>
        <w:r>
          <w:rPr>
            <w:rStyle w:val="Hyperlink"/>
            <w:rtl/>
          </w:rPr>
        </w:r>
        <w:r>
          <w:rPr>
            <w:rStyle w:val="Hyperlink"/>
            <w:rtl/>
          </w:rPr>
          <w:fldChar w:fldCharType="separate"/>
        </w:r>
        <w:r w:rsidR="00D82181">
          <w:rPr>
            <w:webHidden/>
            <w:rtl/>
          </w:rPr>
          <w:t>108</w:t>
        </w:r>
        <w:r>
          <w:rPr>
            <w:rStyle w:val="Hyperlink"/>
            <w:rtl/>
          </w:rPr>
          <w:fldChar w:fldCharType="end"/>
        </w:r>
      </w:hyperlink>
    </w:p>
    <w:p w14:paraId="11A551EA" w14:textId="69C4127D" w:rsidR="008009AA" w:rsidRDefault="008009AA">
      <w:pPr>
        <w:pStyle w:val="TOC7"/>
        <w:rPr>
          <w:rFonts w:cstheme="minorBidi"/>
          <w:sz w:val="22"/>
          <w:szCs w:val="22"/>
          <w:rtl/>
        </w:rPr>
      </w:pPr>
      <w:hyperlink w:anchor="_Toc163505945" w:history="1">
        <w:r w:rsidRPr="007246E7">
          <w:rPr>
            <w:rStyle w:val="Hyperlink"/>
            <w:rtl/>
          </w:rPr>
          <w:t>מגיני שלמה שבת צ"ד ע"א על רש"י ד"ה ר"ש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Toc163505945 \h</w:instrText>
        </w:r>
        <w:r>
          <w:rPr>
            <w:webHidden/>
            <w:rtl/>
          </w:rPr>
          <w:instrText xml:space="preserve"> </w:instrText>
        </w:r>
        <w:r>
          <w:rPr>
            <w:rStyle w:val="Hyperlink"/>
            <w:rtl/>
          </w:rPr>
        </w:r>
        <w:r>
          <w:rPr>
            <w:rStyle w:val="Hyperlink"/>
            <w:rtl/>
          </w:rPr>
          <w:fldChar w:fldCharType="separate"/>
        </w:r>
        <w:r w:rsidR="00D82181">
          <w:rPr>
            <w:webHidden/>
            <w:rtl/>
          </w:rPr>
          <w:t>108</w:t>
        </w:r>
        <w:r>
          <w:rPr>
            <w:rStyle w:val="Hyperlink"/>
            <w:rtl/>
          </w:rPr>
          <w:fldChar w:fldCharType="end"/>
        </w:r>
      </w:hyperlink>
    </w:p>
    <w:p w14:paraId="0E443AB4" w14:textId="6475D78B" w:rsidR="008009AA" w:rsidRDefault="008009AA">
      <w:pPr>
        <w:pStyle w:val="TOC7"/>
        <w:rPr>
          <w:rFonts w:cstheme="minorBidi"/>
          <w:sz w:val="22"/>
          <w:szCs w:val="22"/>
          <w:rtl/>
        </w:rPr>
      </w:pPr>
      <w:hyperlink w:anchor="_Toc163505946" w:history="1">
        <w:r w:rsidRPr="007246E7">
          <w:rPr>
            <w:rStyle w:val="Hyperlink"/>
            <w:rtl/>
          </w:rPr>
          <w:t>מרכבת המשנה שבת פ"א ה"א ד"ה ועתה נבאר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Toc163505946 \h</w:instrText>
        </w:r>
        <w:r>
          <w:rPr>
            <w:webHidden/>
            <w:rtl/>
          </w:rPr>
          <w:instrText xml:space="preserve"> </w:instrText>
        </w:r>
        <w:r>
          <w:rPr>
            <w:rStyle w:val="Hyperlink"/>
            <w:rtl/>
          </w:rPr>
        </w:r>
        <w:r>
          <w:rPr>
            <w:rStyle w:val="Hyperlink"/>
            <w:rtl/>
          </w:rPr>
          <w:fldChar w:fldCharType="separate"/>
        </w:r>
        <w:r w:rsidR="00D82181">
          <w:rPr>
            <w:webHidden/>
            <w:rtl/>
          </w:rPr>
          <w:t>108</w:t>
        </w:r>
        <w:r>
          <w:rPr>
            <w:rStyle w:val="Hyperlink"/>
            <w:rtl/>
          </w:rPr>
          <w:fldChar w:fldCharType="end"/>
        </w:r>
      </w:hyperlink>
    </w:p>
    <w:p w14:paraId="6A8CC3CF" w14:textId="4230B9F9" w:rsidR="008009AA" w:rsidRDefault="008009AA">
      <w:pPr>
        <w:pStyle w:val="TOC7"/>
        <w:rPr>
          <w:rFonts w:cstheme="minorBidi"/>
          <w:sz w:val="22"/>
          <w:szCs w:val="22"/>
          <w:rtl/>
        </w:rPr>
      </w:pPr>
      <w:hyperlink w:anchor="_Toc163505947" w:history="1">
        <w:r w:rsidRPr="007246E7">
          <w:rPr>
            <w:rStyle w:val="Hyperlink"/>
            <w:rtl/>
          </w:rPr>
          <w:t>מרכבת המשנה שבת פ"א ה"א ד"ה ודע דגבי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Toc163505947 \h</w:instrText>
        </w:r>
        <w:r>
          <w:rPr>
            <w:webHidden/>
            <w:rtl/>
          </w:rPr>
          <w:instrText xml:space="preserve"> </w:instrText>
        </w:r>
        <w:r>
          <w:rPr>
            <w:rStyle w:val="Hyperlink"/>
            <w:rtl/>
          </w:rPr>
        </w:r>
        <w:r>
          <w:rPr>
            <w:rStyle w:val="Hyperlink"/>
            <w:rtl/>
          </w:rPr>
          <w:fldChar w:fldCharType="separate"/>
        </w:r>
        <w:r w:rsidR="00D82181">
          <w:rPr>
            <w:webHidden/>
            <w:rtl/>
          </w:rPr>
          <w:t>108</w:t>
        </w:r>
        <w:r>
          <w:rPr>
            <w:rStyle w:val="Hyperlink"/>
            <w:rtl/>
          </w:rPr>
          <w:fldChar w:fldCharType="end"/>
        </w:r>
      </w:hyperlink>
    </w:p>
    <w:p w14:paraId="3540D3C9" w14:textId="6341BC5C" w:rsidR="008009AA" w:rsidRDefault="008009AA">
      <w:pPr>
        <w:pStyle w:val="TOC7"/>
        <w:rPr>
          <w:rFonts w:cstheme="minorBidi"/>
          <w:sz w:val="22"/>
          <w:szCs w:val="22"/>
          <w:rtl/>
        </w:rPr>
      </w:pPr>
      <w:hyperlink w:anchor="_Toc163505948" w:history="1">
        <w:r w:rsidRPr="007246E7">
          <w:rPr>
            <w:rStyle w:val="Hyperlink"/>
            <w:rtl/>
          </w:rPr>
          <w:t>רש"י שבת ק"ו ע"א ד"ה מתני'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Toc163505948 \h</w:instrText>
        </w:r>
        <w:r>
          <w:rPr>
            <w:webHidden/>
            <w:rtl/>
          </w:rPr>
          <w:instrText xml:space="preserve"> </w:instrText>
        </w:r>
        <w:r>
          <w:rPr>
            <w:rStyle w:val="Hyperlink"/>
            <w:rtl/>
          </w:rPr>
        </w:r>
        <w:r>
          <w:rPr>
            <w:rStyle w:val="Hyperlink"/>
            <w:rtl/>
          </w:rPr>
          <w:fldChar w:fldCharType="separate"/>
        </w:r>
        <w:r w:rsidR="00D82181">
          <w:rPr>
            <w:webHidden/>
            <w:rtl/>
          </w:rPr>
          <w:t>108</w:t>
        </w:r>
        <w:r>
          <w:rPr>
            <w:rStyle w:val="Hyperlink"/>
            <w:rtl/>
          </w:rPr>
          <w:fldChar w:fldCharType="end"/>
        </w:r>
      </w:hyperlink>
    </w:p>
    <w:p w14:paraId="13099BF7" w14:textId="27E20F84" w:rsidR="008009AA" w:rsidRDefault="008009AA">
      <w:pPr>
        <w:pStyle w:val="TOC7"/>
        <w:rPr>
          <w:rFonts w:cstheme="minorBidi"/>
          <w:sz w:val="22"/>
          <w:szCs w:val="22"/>
          <w:rtl/>
        </w:rPr>
      </w:pPr>
      <w:hyperlink w:anchor="_Toc163505949" w:history="1">
        <w:r w:rsidRPr="007246E7">
          <w:rPr>
            <w:rStyle w:val="Hyperlink"/>
            <w:rtl/>
          </w:rPr>
          <w:t>רש"י שבת ק"ו ע"א ד"ה ברייתא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Toc163505949 \h</w:instrText>
        </w:r>
        <w:r>
          <w:rPr>
            <w:webHidden/>
            <w:rtl/>
          </w:rPr>
          <w:instrText xml:space="preserve"> </w:instrText>
        </w:r>
        <w:r>
          <w:rPr>
            <w:rStyle w:val="Hyperlink"/>
            <w:rtl/>
          </w:rPr>
        </w:r>
        <w:r>
          <w:rPr>
            <w:rStyle w:val="Hyperlink"/>
            <w:rtl/>
          </w:rPr>
          <w:fldChar w:fldCharType="separate"/>
        </w:r>
        <w:r w:rsidR="00D82181">
          <w:rPr>
            <w:webHidden/>
            <w:rtl/>
          </w:rPr>
          <w:t>108</w:t>
        </w:r>
        <w:r>
          <w:rPr>
            <w:rStyle w:val="Hyperlink"/>
            <w:rtl/>
          </w:rPr>
          <w:fldChar w:fldCharType="end"/>
        </w:r>
      </w:hyperlink>
    </w:p>
    <w:p w14:paraId="72B11351" w14:textId="3026F357" w:rsidR="008009AA" w:rsidRDefault="008009AA">
      <w:pPr>
        <w:pStyle w:val="TOC7"/>
        <w:rPr>
          <w:rFonts w:cstheme="minorBidi"/>
          <w:sz w:val="22"/>
          <w:szCs w:val="22"/>
          <w:rtl/>
        </w:rPr>
      </w:pPr>
      <w:hyperlink w:anchor="_Toc163505950" w:history="1">
        <w:r w:rsidRPr="007246E7">
          <w:rPr>
            <w:rStyle w:val="Hyperlink"/>
            <w:rtl/>
          </w:rPr>
          <w:t>רש"י שבת ק"ו ע"א ד"ה בצריך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Toc163505950 \h</w:instrText>
        </w:r>
        <w:r>
          <w:rPr>
            <w:webHidden/>
            <w:rtl/>
          </w:rPr>
          <w:instrText xml:space="preserve"> </w:instrText>
        </w:r>
        <w:r>
          <w:rPr>
            <w:rStyle w:val="Hyperlink"/>
            <w:rtl/>
          </w:rPr>
        </w:r>
        <w:r>
          <w:rPr>
            <w:rStyle w:val="Hyperlink"/>
            <w:rtl/>
          </w:rPr>
          <w:fldChar w:fldCharType="separate"/>
        </w:r>
        <w:r w:rsidR="00D82181">
          <w:rPr>
            <w:webHidden/>
            <w:rtl/>
          </w:rPr>
          <w:t>109</w:t>
        </w:r>
        <w:r>
          <w:rPr>
            <w:rStyle w:val="Hyperlink"/>
            <w:rtl/>
          </w:rPr>
          <w:fldChar w:fldCharType="end"/>
        </w:r>
      </w:hyperlink>
    </w:p>
    <w:p w14:paraId="0E3EFA4C" w14:textId="250E4D4D" w:rsidR="008009AA" w:rsidRDefault="008009AA">
      <w:pPr>
        <w:pStyle w:val="TOC7"/>
        <w:rPr>
          <w:rFonts w:cstheme="minorBidi"/>
          <w:sz w:val="22"/>
          <w:szCs w:val="22"/>
          <w:rtl/>
        </w:rPr>
      </w:pPr>
      <w:hyperlink w:anchor="_Toc163505951" w:history="1">
        <w:r w:rsidRPr="007246E7">
          <w:rPr>
            <w:rStyle w:val="Hyperlink"/>
            <w:rtl/>
          </w:rPr>
          <w:t>חדושי הרמב"ן שבת ק"ו ע"א ד"ה כל</w:t>
        </w:r>
        <w:r w:rsidRPr="007246E7">
          <w:rPr>
            <w:rStyle w:val="Hyperlink"/>
            <w:rFonts w:ascii="Guttman Hodes" w:hAnsi="Guttman Hodes"/>
            <w:b/>
            <w:rtl/>
          </w:rPr>
          <w:t xml:space="preserve">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Toc163505951 \h</w:instrText>
        </w:r>
        <w:r>
          <w:rPr>
            <w:webHidden/>
            <w:rtl/>
          </w:rPr>
          <w:instrText xml:space="preserve"> </w:instrText>
        </w:r>
        <w:r>
          <w:rPr>
            <w:rStyle w:val="Hyperlink"/>
            <w:rtl/>
          </w:rPr>
        </w:r>
        <w:r>
          <w:rPr>
            <w:rStyle w:val="Hyperlink"/>
            <w:rtl/>
          </w:rPr>
          <w:fldChar w:fldCharType="separate"/>
        </w:r>
        <w:r w:rsidR="00D82181">
          <w:rPr>
            <w:webHidden/>
            <w:rtl/>
          </w:rPr>
          <w:t>109</w:t>
        </w:r>
        <w:r>
          <w:rPr>
            <w:rStyle w:val="Hyperlink"/>
            <w:rtl/>
          </w:rPr>
          <w:fldChar w:fldCharType="end"/>
        </w:r>
      </w:hyperlink>
    </w:p>
    <w:p w14:paraId="2114F06E" w14:textId="266F670E" w:rsidR="008009AA" w:rsidRDefault="008009AA">
      <w:pPr>
        <w:pStyle w:val="TOC7"/>
        <w:rPr>
          <w:rFonts w:cstheme="minorBidi"/>
          <w:sz w:val="22"/>
          <w:szCs w:val="22"/>
          <w:rtl/>
        </w:rPr>
      </w:pPr>
      <w:hyperlink w:anchor="_Toc163505952" w:history="1">
        <w:r w:rsidRPr="007246E7">
          <w:rPr>
            <w:rStyle w:val="Hyperlink"/>
            <w:rtl/>
          </w:rPr>
          <w:t>חדושי הר"ן שבת ק"ו ע"א ד"ה מתני'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Toc163505952 \h</w:instrText>
        </w:r>
        <w:r>
          <w:rPr>
            <w:webHidden/>
            <w:rtl/>
          </w:rPr>
          <w:instrText xml:space="preserve"> </w:instrText>
        </w:r>
        <w:r>
          <w:rPr>
            <w:rStyle w:val="Hyperlink"/>
            <w:rtl/>
          </w:rPr>
        </w:r>
        <w:r>
          <w:rPr>
            <w:rStyle w:val="Hyperlink"/>
            <w:rtl/>
          </w:rPr>
          <w:fldChar w:fldCharType="separate"/>
        </w:r>
        <w:r w:rsidR="00D82181">
          <w:rPr>
            <w:webHidden/>
            <w:rtl/>
          </w:rPr>
          <w:t>109</w:t>
        </w:r>
        <w:r>
          <w:rPr>
            <w:rStyle w:val="Hyperlink"/>
            <w:rtl/>
          </w:rPr>
          <w:fldChar w:fldCharType="end"/>
        </w:r>
      </w:hyperlink>
    </w:p>
    <w:p w14:paraId="3B5875FE" w14:textId="693BCABD" w:rsidR="008009AA" w:rsidRDefault="008009AA">
      <w:pPr>
        <w:pStyle w:val="TOC7"/>
        <w:rPr>
          <w:rFonts w:cstheme="minorBidi"/>
          <w:sz w:val="22"/>
          <w:szCs w:val="22"/>
          <w:rtl/>
        </w:rPr>
      </w:pPr>
      <w:hyperlink w:anchor="_Toc163505953" w:history="1">
        <w:r w:rsidRPr="007246E7">
          <w:rPr>
            <w:rStyle w:val="Hyperlink"/>
            <w:rtl/>
          </w:rPr>
          <w:t>חדושי הרמב"ן שבת ק"ו ע"א ד"ה ורש"י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Toc163505953 \h</w:instrText>
        </w:r>
        <w:r>
          <w:rPr>
            <w:webHidden/>
            <w:rtl/>
          </w:rPr>
          <w:instrText xml:space="preserve"> </w:instrText>
        </w:r>
        <w:r>
          <w:rPr>
            <w:rStyle w:val="Hyperlink"/>
            <w:rtl/>
          </w:rPr>
        </w:r>
        <w:r>
          <w:rPr>
            <w:rStyle w:val="Hyperlink"/>
            <w:rtl/>
          </w:rPr>
          <w:fldChar w:fldCharType="separate"/>
        </w:r>
        <w:r w:rsidR="00D82181">
          <w:rPr>
            <w:webHidden/>
            <w:rtl/>
          </w:rPr>
          <w:t>109</w:t>
        </w:r>
        <w:r>
          <w:rPr>
            <w:rStyle w:val="Hyperlink"/>
            <w:rtl/>
          </w:rPr>
          <w:fldChar w:fldCharType="end"/>
        </w:r>
      </w:hyperlink>
    </w:p>
    <w:p w14:paraId="4BB3566F" w14:textId="12A1B44B" w:rsidR="008009AA" w:rsidRDefault="008009AA">
      <w:pPr>
        <w:pStyle w:val="TOC7"/>
        <w:rPr>
          <w:rFonts w:cstheme="minorBidi"/>
          <w:sz w:val="22"/>
          <w:szCs w:val="22"/>
          <w:rtl/>
        </w:rPr>
      </w:pPr>
      <w:hyperlink w:anchor="_Toc163505954" w:history="1">
        <w:r w:rsidRPr="007246E7">
          <w:rPr>
            <w:rStyle w:val="Hyperlink"/>
            <w:rtl/>
          </w:rPr>
          <w:t>חתם סופר שבת ק"ו ע"א</w:t>
        </w:r>
        <w:r w:rsidRPr="007246E7">
          <w:rPr>
            <w:rStyle w:val="Hyperlink"/>
          </w:rPr>
          <w:t xml:space="preserve"> </w:t>
        </w:r>
        <w:r w:rsidRPr="007246E7">
          <w:rPr>
            <w:rStyle w:val="Hyperlink"/>
            <w:rtl/>
          </w:rPr>
          <w:t>ד"ה בא"ד ול"נ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Toc163505954 \h</w:instrText>
        </w:r>
        <w:r>
          <w:rPr>
            <w:webHidden/>
            <w:rtl/>
          </w:rPr>
          <w:instrText xml:space="preserve"> </w:instrText>
        </w:r>
        <w:r>
          <w:rPr>
            <w:rStyle w:val="Hyperlink"/>
            <w:rtl/>
          </w:rPr>
        </w:r>
        <w:r>
          <w:rPr>
            <w:rStyle w:val="Hyperlink"/>
            <w:rtl/>
          </w:rPr>
          <w:fldChar w:fldCharType="separate"/>
        </w:r>
        <w:r w:rsidR="00D82181">
          <w:rPr>
            <w:webHidden/>
            <w:rtl/>
          </w:rPr>
          <w:t>109</w:t>
        </w:r>
        <w:r>
          <w:rPr>
            <w:rStyle w:val="Hyperlink"/>
            <w:rtl/>
          </w:rPr>
          <w:fldChar w:fldCharType="end"/>
        </w:r>
      </w:hyperlink>
    </w:p>
    <w:p w14:paraId="3A07ACE7" w14:textId="4E6F1939" w:rsidR="008009AA" w:rsidRDefault="008009AA">
      <w:pPr>
        <w:pStyle w:val="TOC7"/>
        <w:rPr>
          <w:rFonts w:cstheme="minorBidi"/>
          <w:sz w:val="22"/>
          <w:szCs w:val="22"/>
          <w:rtl/>
        </w:rPr>
      </w:pPr>
      <w:hyperlink w:anchor="_Toc163505955" w:history="1">
        <w:r w:rsidRPr="007246E7">
          <w:rPr>
            <w:rStyle w:val="Hyperlink"/>
            <w:rtl/>
          </w:rPr>
          <w:t>מהר"ם שיף סנהדרין פ"ד ע"ב ד"ה ונשוב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Toc163505955 \h</w:instrText>
        </w:r>
        <w:r>
          <w:rPr>
            <w:webHidden/>
            <w:rtl/>
          </w:rPr>
          <w:instrText xml:space="preserve"> </w:instrText>
        </w:r>
        <w:r>
          <w:rPr>
            <w:rStyle w:val="Hyperlink"/>
            <w:rtl/>
          </w:rPr>
        </w:r>
        <w:r>
          <w:rPr>
            <w:rStyle w:val="Hyperlink"/>
            <w:rtl/>
          </w:rPr>
          <w:fldChar w:fldCharType="separate"/>
        </w:r>
        <w:r w:rsidR="00D82181">
          <w:rPr>
            <w:webHidden/>
            <w:rtl/>
          </w:rPr>
          <w:t>109</w:t>
        </w:r>
        <w:r>
          <w:rPr>
            <w:rStyle w:val="Hyperlink"/>
            <w:rtl/>
          </w:rPr>
          <w:fldChar w:fldCharType="end"/>
        </w:r>
      </w:hyperlink>
    </w:p>
    <w:p w14:paraId="5380E5D2" w14:textId="63C75AFE" w:rsidR="008009AA" w:rsidRDefault="008009AA">
      <w:pPr>
        <w:pStyle w:val="TOC7"/>
        <w:rPr>
          <w:rFonts w:cstheme="minorBidi"/>
          <w:sz w:val="22"/>
          <w:szCs w:val="22"/>
          <w:rtl/>
        </w:rPr>
      </w:pPr>
      <w:hyperlink w:anchor="_Toc163505956" w:history="1">
        <w:r w:rsidRPr="007246E7">
          <w:rPr>
            <w:rStyle w:val="Hyperlink"/>
            <w:rtl/>
          </w:rPr>
          <w:t>מרכבת המשנה שבת פ"א ה"א ד"ה אמנם ראיתי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Toc163505956 \h</w:instrText>
        </w:r>
        <w:r>
          <w:rPr>
            <w:webHidden/>
            <w:rtl/>
          </w:rPr>
          <w:instrText xml:space="preserve"> </w:instrText>
        </w:r>
        <w:r>
          <w:rPr>
            <w:rStyle w:val="Hyperlink"/>
            <w:rtl/>
          </w:rPr>
        </w:r>
        <w:r>
          <w:rPr>
            <w:rStyle w:val="Hyperlink"/>
            <w:rtl/>
          </w:rPr>
          <w:fldChar w:fldCharType="separate"/>
        </w:r>
        <w:r w:rsidR="00D82181">
          <w:rPr>
            <w:webHidden/>
            <w:rtl/>
          </w:rPr>
          <w:t>109</w:t>
        </w:r>
        <w:r>
          <w:rPr>
            <w:rStyle w:val="Hyperlink"/>
            <w:rtl/>
          </w:rPr>
          <w:fldChar w:fldCharType="end"/>
        </w:r>
      </w:hyperlink>
    </w:p>
    <w:p w14:paraId="12FD8335" w14:textId="362157C3" w:rsidR="008009AA" w:rsidRDefault="008009AA">
      <w:pPr>
        <w:pStyle w:val="TOC7"/>
        <w:rPr>
          <w:rFonts w:cstheme="minorBidi"/>
          <w:sz w:val="22"/>
          <w:szCs w:val="22"/>
          <w:rtl/>
        </w:rPr>
      </w:pPr>
      <w:hyperlink w:anchor="_Toc163505957" w:history="1">
        <w:r w:rsidRPr="007246E7">
          <w:rPr>
            <w:rStyle w:val="Hyperlink"/>
            <w:rtl/>
          </w:rPr>
          <w:t>מרכבת המשנה שבת פ"א ה"א ד"ה ובמגיני שלמה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Toc163505957 \h</w:instrText>
        </w:r>
        <w:r>
          <w:rPr>
            <w:webHidden/>
            <w:rtl/>
          </w:rPr>
          <w:instrText xml:space="preserve"> </w:instrText>
        </w:r>
        <w:r>
          <w:rPr>
            <w:rStyle w:val="Hyperlink"/>
            <w:rtl/>
          </w:rPr>
        </w:r>
        <w:r>
          <w:rPr>
            <w:rStyle w:val="Hyperlink"/>
            <w:rtl/>
          </w:rPr>
          <w:fldChar w:fldCharType="separate"/>
        </w:r>
        <w:r w:rsidR="00D82181">
          <w:rPr>
            <w:webHidden/>
            <w:rtl/>
          </w:rPr>
          <w:t>109</w:t>
        </w:r>
        <w:r>
          <w:rPr>
            <w:rStyle w:val="Hyperlink"/>
            <w:rtl/>
          </w:rPr>
          <w:fldChar w:fldCharType="end"/>
        </w:r>
      </w:hyperlink>
    </w:p>
    <w:p w14:paraId="229F3A88" w14:textId="3A61ED7A" w:rsidR="008009AA" w:rsidRDefault="008009AA">
      <w:pPr>
        <w:pStyle w:val="TOC7"/>
        <w:rPr>
          <w:rFonts w:cstheme="minorBidi"/>
          <w:sz w:val="22"/>
          <w:szCs w:val="22"/>
          <w:rtl/>
        </w:rPr>
      </w:pPr>
      <w:hyperlink w:anchor="_Toc163505958" w:history="1">
        <w:r w:rsidRPr="007246E7">
          <w:rPr>
            <w:rStyle w:val="Hyperlink"/>
            <w:rtl/>
          </w:rPr>
          <w:t>מגיני שלמה שבת ק"ו ע"א ד"ה ואני אומר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Toc163505958 \h</w:instrText>
        </w:r>
        <w:r>
          <w:rPr>
            <w:webHidden/>
            <w:rtl/>
          </w:rPr>
          <w:instrText xml:space="preserve"> </w:instrText>
        </w:r>
        <w:r>
          <w:rPr>
            <w:rStyle w:val="Hyperlink"/>
            <w:rtl/>
          </w:rPr>
        </w:r>
        <w:r>
          <w:rPr>
            <w:rStyle w:val="Hyperlink"/>
            <w:rtl/>
          </w:rPr>
          <w:fldChar w:fldCharType="separate"/>
        </w:r>
        <w:r w:rsidR="00D82181">
          <w:rPr>
            <w:webHidden/>
            <w:rtl/>
          </w:rPr>
          <w:t>110</w:t>
        </w:r>
        <w:r>
          <w:rPr>
            <w:rStyle w:val="Hyperlink"/>
            <w:rtl/>
          </w:rPr>
          <w:fldChar w:fldCharType="end"/>
        </w:r>
      </w:hyperlink>
    </w:p>
    <w:p w14:paraId="519548AD" w14:textId="07874562" w:rsidR="008009AA" w:rsidRDefault="008009AA">
      <w:pPr>
        <w:pStyle w:val="TOC7"/>
        <w:rPr>
          <w:rFonts w:cstheme="minorBidi"/>
          <w:sz w:val="22"/>
          <w:szCs w:val="22"/>
          <w:rtl/>
        </w:rPr>
      </w:pPr>
      <w:hyperlink w:anchor="_Toc163505959" w:history="1">
        <w:r w:rsidRPr="007246E7">
          <w:rPr>
            <w:rStyle w:val="Hyperlink"/>
            <w:rtl/>
          </w:rPr>
          <w:t>מרכבת המשנה שבת פ"א ה"א ד"ה ומה שנראה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Toc163505959 \h</w:instrText>
        </w:r>
        <w:r>
          <w:rPr>
            <w:webHidden/>
            <w:rtl/>
          </w:rPr>
          <w:instrText xml:space="preserve"> </w:instrText>
        </w:r>
        <w:r>
          <w:rPr>
            <w:rStyle w:val="Hyperlink"/>
            <w:rtl/>
          </w:rPr>
        </w:r>
        <w:r>
          <w:rPr>
            <w:rStyle w:val="Hyperlink"/>
            <w:rtl/>
          </w:rPr>
          <w:fldChar w:fldCharType="separate"/>
        </w:r>
        <w:r w:rsidR="00D82181">
          <w:rPr>
            <w:webHidden/>
            <w:rtl/>
          </w:rPr>
          <w:t>110</w:t>
        </w:r>
        <w:r>
          <w:rPr>
            <w:rStyle w:val="Hyperlink"/>
            <w:rtl/>
          </w:rPr>
          <w:fldChar w:fldCharType="end"/>
        </w:r>
      </w:hyperlink>
    </w:p>
    <w:p w14:paraId="6711E372" w14:textId="493C5985" w:rsidR="008009AA" w:rsidRDefault="008009AA">
      <w:pPr>
        <w:pStyle w:val="TOC7"/>
        <w:rPr>
          <w:rFonts w:cstheme="minorBidi"/>
          <w:sz w:val="22"/>
          <w:szCs w:val="22"/>
          <w:rtl/>
        </w:rPr>
      </w:pPr>
      <w:hyperlink w:anchor="_Toc163505960" w:history="1">
        <w:r w:rsidRPr="007246E7">
          <w:rPr>
            <w:rStyle w:val="Hyperlink"/>
            <w:rtl/>
          </w:rPr>
          <w:t>מרכבת המשנה שבת פ"א ה"א ד"ה ומ"ש רש"י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Toc163505960 \h</w:instrText>
        </w:r>
        <w:r>
          <w:rPr>
            <w:webHidden/>
            <w:rtl/>
          </w:rPr>
          <w:instrText xml:space="preserve"> </w:instrText>
        </w:r>
        <w:r>
          <w:rPr>
            <w:rStyle w:val="Hyperlink"/>
            <w:rtl/>
          </w:rPr>
        </w:r>
        <w:r>
          <w:rPr>
            <w:rStyle w:val="Hyperlink"/>
            <w:rtl/>
          </w:rPr>
          <w:fldChar w:fldCharType="separate"/>
        </w:r>
        <w:r w:rsidR="00D82181">
          <w:rPr>
            <w:webHidden/>
            <w:rtl/>
          </w:rPr>
          <w:t>110</w:t>
        </w:r>
        <w:r>
          <w:rPr>
            <w:rStyle w:val="Hyperlink"/>
            <w:rtl/>
          </w:rPr>
          <w:fldChar w:fldCharType="end"/>
        </w:r>
      </w:hyperlink>
    </w:p>
    <w:p w14:paraId="344F7B02" w14:textId="4A044AB8" w:rsidR="008009AA" w:rsidRDefault="008009AA">
      <w:pPr>
        <w:pStyle w:val="TOC7"/>
        <w:rPr>
          <w:rFonts w:cstheme="minorBidi"/>
          <w:sz w:val="22"/>
          <w:szCs w:val="22"/>
          <w:rtl/>
        </w:rPr>
      </w:pPr>
      <w:hyperlink w:anchor="_Toc163505961" w:history="1">
        <w:r w:rsidRPr="007246E7">
          <w:rPr>
            <w:rStyle w:val="Hyperlink"/>
            <w:rtl/>
          </w:rPr>
          <w:t>רש"י שבת ק"ה ע"ב ד"ה הא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Toc163505961 \h</w:instrText>
        </w:r>
        <w:r>
          <w:rPr>
            <w:webHidden/>
            <w:rtl/>
          </w:rPr>
          <w:instrText xml:space="preserve"> </w:instrText>
        </w:r>
        <w:r>
          <w:rPr>
            <w:rStyle w:val="Hyperlink"/>
            <w:rtl/>
          </w:rPr>
        </w:r>
        <w:r>
          <w:rPr>
            <w:rStyle w:val="Hyperlink"/>
            <w:rtl/>
          </w:rPr>
          <w:fldChar w:fldCharType="separate"/>
        </w:r>
        <w:r w:rsidR="00D82181">
          <w:rPr>
            <w:webHidden/>
            <w:rtl/>
          </w:rPr>
          <w:t>111</w:t>
        </w:r>
        <w:r>
          <w:rPr>
            <w:rStyle w:val="Hyperlink"/>
            <w:rtl/>
          </w:rPr>
          <w:fldChar w:fldCharType="end"/>
        </w:r>
      </w:hyperlink>
    </w:p>
    <w:p w14:paraId="682ED976" w14:textId="769F2417" w:rsidR="008009AA" w:rsidRDefault="008009AA">
      <w:pPr>
        <w:pStyle w:val="TOC7"/>
        <w:rPr>
          <w:rFonts w:cstheme="minorBidi"/>
          <w:sz w:val="22"/>
          <w:szCs w:val="22"/>
          <w:rtl/>
        </w:rPr>
      </w:pPr>
      <w:hyperlink w:anchor="_Toc163505962" w:history="1">
        <w:r w:rsidRPr="007246E7">
          <w:rPr>
            <w:rStyle w:val="Hyperlink"/>
            <w:rtl/>
          </w:rPr>
          <w:t>תוספות שבת ק"ה ע"ב ד"ה הא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Toc163505962 \h</w:instrText>
        </w:r>
        <w:r>
          <w:rPr>
            <w:webHidden/>
            <w:rtl/>
          </w:rPr>
          <w:instrText xml:space="preserve"> </w:instrText>
        </w:r>
        <w:r>
          <w:rPr>
            <w:rStyle w:val="Hyperlink"/>
            <w:rtl/>
          </w:rPr>
        </w:r>
        <w:r>
          <w:rPr>
            <w:rStyle w:val="Hyperlink"/>
            <w:rtl/>
          </w:rPr>
          <w:fldChar w:fldCharType="separate"/>
        </w:r>
        <w:r w:rsidR="00D82181">
          <w:rPr>
            <w:webHidden/>
            <w:rtl/>
          </w:rPr>
          <w:t>111</w:t>
        </w:r>
        <w:r>
          <w:rPr>
            <w:rStyle w:val="Hyperlink"/>
            <w:rtl/>
          </w:rPr>
          <w:fldChar w:fldCharType="end"/>
        </w:r>
      </w:hyperlink>
    </w:p>
    <w:p w14:paraId="6859669F" w14:textId="59D498A2" w:rsidR="008009AA" w:rsidRDefault="008009AA">
      <w:pPr>
        <w:pStyle w:val="TOC7"/>
        <w:rPr>
          <w:rFonts w:cstheme="minorBidi"/>
          <w:sz w:val="22"/>
          <w:szCs w:val="22"/>
          <w:rtl/>
        </w:rPr>
      </w:pPr>
      <w:hyperlink w:anchor="_Toc163505963" w:history="1">
        <w:r w:rsidRPr="007246E7">
          <w:rPr>
            <w:rStyle w:val="Hyperlink"/>
            <w:rtl/>
          </w:rPr>
          <w:t>חדושי הרשב"א שבת ק"ה ע"ב ד"ה ובתוספות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Toc163505963 \h</w:instrText>
        </w:r>
        <w:r>
          <w:rPr>
            <w:webHidden/>
            <w:rtl/>
          </w:rPr>
          <w:instrText xml:space="preserve"> </w:instrText>
        </w:r>
        <w:r>
          <w:rPr>
            <w:rStyle w:val="Hyperlink"/>
            <w:rtl/>
          </w:rPr>
        </w:r>
        <w:r>
          <w:rPr>
            <w:rStyle w:val="Hyperlink"/>
            <w:rtl/>
          </w:rPr>
          <w:fldChar w:fldCharType="separate"/>
        </w:r>
        <w:r w:rsidR="00D82181">
          <w:rPr>
            <w:webHidden/>
            <w:rtl/>
          </w:rPr>
          <w:t>111</w:t>
        </w:r>
        <w:r>
          <w:rPr>
            <w:rStyle w:val="Hyperlink"/>
            <w:rtl/>
          </w:rPr>
          <w:fldChar w:fldCharType="end"/>
        </w:r>
      </w:hyperlink>
    </w:p>
    <w:p w14:paraId="48C2CB09" w14:textId="5D92FAF7" w:rsidR="008009AA" w:rsidRDefault="008009AA">
      <w:pPr>
        <w:pStyle w:val="TOC7"/>
        <w:rPr>
          <w:rFonts w:cstheme="minorBidi"/>
          <w:sz w:val="22"/>
          <w:szCs w:val="22"/>
          <w:rtl/>
        </w:rPr>
      </w:pPr>
      <w:hyperlink w:anchor="_Toc163505964" w:history="1">
        <w:r w:rsidRPr="007246E7">
          <w:rPr>
            <w:rStyle w:val="Hyperlink"/>
            <w:rtl/>
          </w:rPr>
          <w:t>שו"ת אחיעזר ח"ב יו"ד סי' ה' סק"ז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Toc163505964 \h</w:instrText>
        </w:r>
        <w:r>
          <w:rPr>
            <w:webHidden/>
            <w:rtl/>
          </w:rPr>
          <w:instrText xml:space="preserve"> </w:instrText>
        </w:r>
        <w:r>
          <w:rPr>
            <w:rStyle w:val="Hyperlink"/>
            <w:rtl/>
          </w:rPr>
        </w:r>
        <w:r>
          <w:rPr>
            <w:rStyle w:val="Hyperlink"/>
            <w:rtl/>
          </w:rPr>
          <w:fldChar w:fldCharType="separate"/>
        </w:r>
        <w:r w:rsidR="00D82181">
          <w:rPr>
            <w:webHidden/>
            <w:rtl/>
          </w:rPr>
          <w:t>111</w:t>
        </w:r>
        <w:r>
          <w:rPr>
            <w:rStyle w:val="Hyperlink"/>
            <w:rtl/>
          </w:rPr>
          <w:fldChar w:fldCharType="end"/>
        </w:r>
      </w:hyperlink>
    </w:p>
    <w:p w14:paraId="73F3F9F9" w14:textId="64B59DD2" w:rsidR="008009AA" w:rsidRDefault="008009AA">
      <w:pPr>
        <w:pStyle w:val="TOC7"/>
        <w:rPr>
          <w:rFonts w:cstheme="minorBidi"/>
          <w:sz w:val="22"/>
          <w:szCs w:val="22"/>
          <w:rtl/>
        </w:rPr>
      </w:pPr>
      <w:hyperlink w:anchor="_Toc163505965" w:history="1">
        <w:r w:rsidRPr="007246E7">
          <w:rPr>
            <w:rStyle w:val="Hyperlink"/>
            <w:rtl/>
          </w:rPr>
          <w:t>רמב"ם שבת פ"א ה"ז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Toc163505965 \h</w:instrText>
        </w:r>
        <w:r>
          <w:rPr>
            <w:webHidden/>
            <w:rtl/>
          </w:rPr>
          <w:instrText xml:space="preserve"> </w:instrText>
        </w:r>
        <w:r>
          <w:rPr>
            <w:rStyle w:val="Hyperlink"/>
            <w:rtl/>
          </w:rPr>
        </w:r>
        <w:r>
          <w:rPr>
            <w:rStyle w:val="Hyperlink"/>
            <w:rtl/>
          </w:rPr>
          <w:fldChar w:fldCharType="separate"/>
        </w:r>
        <w:r w:rsidR="00D82181">
          <w:rPr>
            <w:webHidden/>
            <w:rtl/>
          </w:rPr>
          <w:t>111</w:t>
        </w:r>
        <w:r>
          <w:rPr>
            <w:rStyle w:val="Hyperlink"/>
            <w:rtl/>
          </w:rPr>
          <w:fldChar w:fldCharType="end"/>
        </w:r>
      </w:hyperlink>
    </w:p>
    <w:p w14:paraId="71C9C043" w14:textId="5B59D5D2" w:rsidR="008009AA" w:rsidRDefault="008009AA">
      <w:pPr>
        <w:pStyle w:val="TOC7"/>
        <w:rPr>
          <w:rFonts w:cstheme="minorBidi"/>
          <w:sz w:val="22"/>
          <w:szCs w:val="22"/>
          <w:rtl/>
        </w:rPr>
      </w:pPr>
      <w:hyperlink w:anchor="_Toc163505966" w:history="1">
        <w:r w:rsidRPr="007246E7">
          <w:rPr>
            <w:rStyle w:val="Hyperlink"/>
            <w:rtl/>
          </w:rPr>
          <w:t>רמב"ם שבת פ"י הכ"א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Toc163505966 \h</w:instrText>
        </w:r>
        <w:r>
          <w:rPr>
            <w:webHidden/>
            <w:rtl/>
          </w:rPr>
          <w:instrText xml:space="preserve"> </w:instrText>
        </w:r>
        <w:r>
          <w:rPr>
            <w:rStyle w:val="Hyperlink"/>
            <w:rtl/>
          </w:rPr>
        </w:r>
        <w:r>
          <w:rPr>
            <w:rStyle w:val="Hyperlink"/>
            <w:rtl/>
          </w:rPr>
          <w:fldChar w:fldCharType="separate"/>
        </w:r>
        <w:r w:rsidR="00D82181">
          <w:rPr>
            <w:webHidden/>
            <w:rtl/>
          </w:rPr>
          <w:t>111</w:t>
        </w:r>
        <w:r>
          <w:rPr>
            <w:rStyle w:val="Hyperlink"/>
            <w:rtl/>
          </w:rPr>
          <w:fldChar w:fldCharType="end"/>
        </w:r>
      </w:hyperlink>
    </w:p>
    <w:p w14:paraId="63E1BF73" w14:textId="0551A877" w:rsidR="008009AA" w:rsidRDefault="008009AA">
      <w:pPr>
        <w:pStyle w:val="TOC7"/>
        <w:rPr>
          <w:rFonts w:cstheme="minorBidi"/>
          <w:sz w:val="22"/>
          <w:szCs w:val="22"/>
          <w:rtl/>
        </w:rPr>
      </w:pPr>
      <w:hyperlink w:anchor="_Toc163505967" w:history="1">
        <w:r w:rsidRPr="007246E7">
          <w:rPr>
            <w:rStyle w:val="Hyperlink"/>
            <w:rtl/>
          </w:rPr>
          <w:t>כפות תמרים סוכה ל"ג ע"ב ד"ה והרמב"ם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Toc163505967 \h</w:instrText>
        </w:r>
        <w:r>
          <w:rPr>
            <w:webHidden/>
            <w:rtl/>
          </w:rPr>
          <w:instrText xml:space="preserve"> </w:instrText>
        </w:r>
        <w:r>
          <w:rPr>
            <w:rStyle w:val="Hyperlink"/>
            <w:rtl/>
          </w:rPr>
        </w:r>
        <w:r>
          <w:rPr>
            <w:rStyle w:val="Hyperlink"/>
            <w:rtl/>
          </w:rPr>
          <w:fldChar w:fldCharType="separate"/>
        </w:r>
        <w:r w:rsidR="00D82181">
          <w:rPr>
            <w:webHidden/>
            <w:rtl/>
          </w:rPr>
          <w:t>111</w:t>
        </w:r>
        <w:r>
          <w:rPr>
            <w:rStyle w:val="Hyperlink"/>
            <w:rtl/>
          </w:rPr>
          <w:fldChar w:fldCharType="end"/>
        </w:r>
      </w:hyperlink>
    </w:p>
    <w:p w14:paraId="667A9B62" w14:textId="4C82D6B1" w:rsidR="008009AA" w:rsidRDefault="008009AA">
      <w:pPr>
        <w:pStyle w:val="TOC7"/>
        <w:rPr>
          <w:rFonts w:cstheme="minorBidi"/>
          <w:sz w:val="22"/>
          <w:szCs w:val="22"/>
          <w:rtl/>
        </w:rPr>
      </w:pPr>
      <w:hyperlink w:anchor="_Toc163505968" w:history="1">
        <w:r w:rsidRPr="007246E7">
          <w:rPr>
            <w:rStyle w:val="Hyperlink"/>
            <w:rtl/>
          </w:rPr>
          <w:t>חזון איש או"ח סי' נ' סוס"ק ד' ד"ה ר"מ פ"י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Toc163505968 \h</w:instrText>
        </w:r>
        <w:r>
          <w:rPr>
            <w:webHidden/>
            <w:rtl/>
          </w:rPr>
          <w:instrText xml:space="preserve"> </w:instrText>
        </w:r>
        <w:r>
          <w:rPr>
            <w:rStyle w:val="Hyperlink"/>
            <w:rtl/>
          </w:rPr>
        </w:r>
        <w:r>
          <w:rPr>
            <w:rStyle w:val="Hyperlink"/>
            <w:rtl/>
          </w:rPr>
          <w:fldChar w:fldCharType="separate"/>
        </w:r>
        <w:r w:rsidR="00D82181">
          <w:rPr>
            <w:webHidden/>
            <w:rtl/>
          </w:rPr>
          <w:t>111</w:t>
        </w:r>
        <w:r>
          <w:rPr>
            <w:rStyle w:val="Hyperlink"/>
            <w:rtl/>
          </w:rPr>
          <w:fldChar w:fldCharType="end"/>
        </w:r>
      </w:hyperlink>
    </w:p>
    <w:p w14:paraId="08A7DB11" w14:textId="25C277F8" w:rsidR="008009AA" w:rsidRDefault="008009AA">
      <w:pPr>
        <w:pStyle w:val="TOC7"/>
        <w:rPr>
          <w:rFonts w:cstheme="minorBidi"/>
          <w:sz w:val="22"/>
          <w:szCs w:val="22"/>
          <w:rtl/>
        </w:rPr>
      </w:pPr>
      <w:hyperlink w:anchor="_Toc163505969" w:history="1">
        <w:r w:rsidRPr="007246E7">
          <w:rPr>
            <w:rStyle w:val="Hyperlink"/>
            <w:rtl/>
          </w:rPr>
          <w:t>שו"ת מהר"ם אלשקר סי' ק"ד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Toc163505969 \h</w:instrText>
        </w:r>
        <w:r>
          <w:rPr>
            <w:webHidden/>
            <w:rtl/>
          </w:rPr>
          <w:instrText xml:space="preserve"> </w:instrText>
        </w:r>
        <w:r>
          <w:rPr>
            <w:rStyle w:val="Hyperlink"/>
            <w:rtl/>
          </w:rPr>
        </w:r>
        <w:r>
          <w:rPr>
            <w:rStyle w:val="Hyperlink"/>
            <w:rtl/>
          </w:rPr>
          <w:fldChar w:fldCharType="separate"/>
        </w:r>
        <w:r w:rsidR="00D82181">
          <w:rPr>
            <w:webHidden/>
            <w:rtl/>
          </w:rPr>
          <w:t>112</w:t>
        </w:r>
        <w:r>
          <w:rPr>
            <w:rStyle w:val="Hyperlink"/>
            <w:rtl/>
          </w:rPr>
          <w:fldChar w:fldCharType="end"/>
        </w:r>
      </w:hyperlink>
    </w:p>
    <w:p w14:paraId="2A8BD433" w14:textId="63AC89CE" w:rsidR="008009AA" w:rsidRDefault="008009AA">
      <w:pPr>
        <w:pStyle w:val="TOC7"/>
        <w:rPr>
          <w:rFonts w:cstheme="minorBidi"/>
          <w:sz w:val="22"/>
          <w:szCs w:val="22"/>
          <w:rtl/>
        </w:rPr>
      </w:pPr>
      <w:hyperlink w:anchor="_Toc163505970" w:history="1">
        <w:r w:rsidRPr="007246E7">
          <w:rPr>
            <w:rStyle w:val="Hyperlink"/>
            <w:rtl/>
          </w:rPr>
          <w:t>כסף משנה שבת פ"א ה"ז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Toc163505970 \h</w:instrText>
        </w:r>
        <w:r>
          <w:rPr>
            <w:webHidden/>
            <w:rtl/>
          </w:rPr>
          <w:instrText xml:space="preserve"> </w:instrText>
        </w:r>
        <w:r>
          <w:rPr>
            <w:rStyle w:val="Hyperlink"/>
            <w:rtl/>
          </w:rPr>
        </w:r>
        <w:r>
          <w:rPr>
            <w:rStyle w:val="Hyperlink"/>
            <w:rtl/>
          </w:rPr>
          <w:fldChar w:fldCharType="separate"/>
        </w:r>
        <w:r w:rsidR="00D82181">
          <w:rPr>
            <w:webHidden/>
            <w:rtl/>
          </w:rPr>
          <w:t>112</w:t>
        </w:r>
        <w:r>
          <w:rPr>
            <w:rStyle w:val="Hyperlink"/>
            <w:rtl/>
          </w:rPr>
          <w:fldChar w:fldCharType="end"/>
        </w:r>
      </w:hyperlink>
    </w:p>
    <w:p w14:paraId="515864C5" w14:textId="5350F7DF" w:rsidR="008009AA" w:rsidRDefault="008009AA">
      <w:pPr>
        <w:pStyle w:val="TOC7"/>
        <w:rPr>
          <w:rFonts w:cstheme="minorBidi"/>
          <w:sz w:val="22"/>
          <w:szCs w:val="22"/>
          <w:rtl/>
        </w:rPr>
      </w:pPr>
      <w:hyperlink w:anchor="_Toc163505971" w:history="1">
        <w:r w:rsidRPr="007246E7">
          <w:rPr>
            <w:rStyle w:val="Hyperlink"/>
            <w:rtl/>
          </w:rPr>
          <w:t>מרכבת המשנה שבת פ"א ה"א ד"ה וראיתי בכ"מ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Toc163505971 \h</w:instrText>
        </w:r>
        <w:r>
          <w:rPr>
            <w:webHidden/>
            <w:rtl/>
          </w:rPr>
          <w:instrText xml:space="preserve"> </w:instrText>
        </w:r>
        <w:r>
          <w:rPr>
            <w:rStyle w:val="Hyperlink"/>
            <w:rtl/>
          </w:rPr>
        </w:r>
        <w:r>
          <w:rPr>
            <w:rStyle w:val="Hyperlink"/>
            <w:rtl/>
          </w:rPr>
          <w:fldChar w:fldCharType="separate"/>
        </w:r>
        <w:r w:rsidR="00D82181">
          <w:rPr>
            <w:webHidden/>
            <w:rtl/>
          </w:rPr>
          <w:t>112</w:t>
        </w:r>
        <w:r>
          <w:rPr>
            <w:rStyle w:val="Hyperlink"/>
            <w:rtl/>
          </w:rPr>
          <w:fldChar w:fldCharType="end"/>
        </w:r>
      </w:hyperlink>
    </w:p>
    <w:p w14:paraId="471EB4E7" w14:textId="52F5A062" w:rsidR="008009AA" w:rsidRDefault="008009AA">
      <w:pPr>
        <w:pStyle w:val="TOC7"/>
        <w:rPr>
          <w:rFonts w:cstheme="minorBidi"/>
          <w:sz w:val="22"/>
          <w:szCs w:val="22"/>
          <w:rtl/>
        </w:rPr>
      </w:pPr>
      <w:hyperlink w:anchor="_Toc163505972" w:history="1">
        <w:r w:rsidRPr="007246E7">
          <w:rPr>
            <w:rStyle w:val="Hyperlink"/>
            <w:rtl/>
          </w:rPr>
          <w:t>כפות תמרים סוכה ל"ג ע"ב ד"ה והא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Toc163505972 \h</w:instrText>
        </w:r>
        <w:r>
          <w:rPr>
            <w:webHidden/>
            <w:rtl/>
          </w:rPr>
          <w:instrText xml:space="preserve"> </w:instrText>
        </w:r>
        <w:r>
          <w:rPr>
            <w:rStyle w:val="Hyperlink"/>
            <w:rtl/>
          </w:rPr>
        </w:r>
        <w:r>
          <w:rPr>
            <w:rStyle w:val="Hyperlink"/>
            <w:rtl/>
          </w:rPr>
          <w:fldChar w:fldCharType="separate"/>
        </w:r>
        <w:r w:rsidR="00D82181">
          <w:rPr>
            <w:webHidden/>
            <w:rtl/>
          </w:rPr>
          <w:t>112</w:t>
        </w:r>
        <w:r>
          <w:rPr>
            <w:rStyle w:val="Hyperlink"/>
            <w:rtl/>
          </w:rPr>
          <w:fldChar w:fldCharType="end"/>
        </w:r>
      </w:hyperlink>
    </w:p>
    <w:p w14:paraId="000EEBDF" w14:textId="66D64A0B" w:rsidR="008009AA" w:rsidRDefault="008009AA">
      <w:pPr>
        <w:pStyle w:val="TOC7"/>
        <w:rPr>
          <w:rFonts w:cstheme="minorBidi"/>
          <w:sz w:val="22"/>
          <w:szCs w:val="22"/>
          <w:rtl/>
        </w:rPr>
      </w:pPr>
      <w:hyperlink w:anchor="_Toc163505973" w:history="1">
        <w:r w:rsidRPr="007246E7">
          <w:rPr>
            <w:rStyle w:val="Hyperlink"/>
            <w:rtl/>
          </w:rPr>
          <w:t>כפות תמרים סוכה ל"ג ע"ב ד"ה וא"ת לדעת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Toc163505973 \h</w:instrText>
        </w:r>
        <w:r>
          <w:rPr>
            <w:webHidden/>
            <w:rtl/>
          </w:rPr>
          <w:instrText xml:space="preserve"> </w:instrText>
        </w:r>
        <w:r>
          <w:rPr>
            <w:rStyle w:val="Hyperlink"/>
            <w:rtl/>
          </w:rPr>
        </w:r>
        <w:r>
          <w:rPr>
            <w:rStyle w:val="Hyperlink"/>
            <w:rtl/>
          </w:rPr>
          <w:fldChar w:fldCharType="separate"/>
        </w:r>
        <w:r w:rsidR="00D82181">
          <w:rPr>
            <w:webHidden/>
            <w:rtl/>
          </w:rPr>
          <w:t>112</w:t>
        </w:r>
        <w:r>
          <w:rPr>
            <w:rStyle w:val="Hyperlink"/>
            <w:rtl/>
          </w:rPr>
          <w:fldChar w:fldCharType="end"/>
        </w:r>
      </w:hyperlink>
    </w:p>
    <w:p w14:paraId="577B7758" w14:textId="44ECDE33" w:rsidR="008009AA" w:rsidRDefault="008009AA">
      <w:pPr>
        <w:pStyle w:val="TOC7"/>
        <w:rPr>
          <w:rFonts w:cstheme="minorBidi"/>
          <w:sz w:val="22"/>
          <w:szCs w:val="22"/>
          <w:rtl/>
        </w:rPr>
      </w:pPr>
      <w:hyperlink w:anchor="_Toc163505974" w:history="1">
        <w:r w:rsidRPr="007246E7">
          <w:rPr>
            <w:rStyle w:val="Hyperlink"/>
            <w:rtl/>
          </w:rPr>
          <w:t>תוספות שבת ע"ה ע"א ד"ה טפי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Toc163505974 \h</w:instrText>
        </w:r>
        <w:r>
          <w:rPr>
            <w:webHidden/>
            <w:rtl/>
          </w:rPr>
          <w:instrText xml:space="preserve"> </w:instrText>
        </w:r>
        <w:r>
          <w:rPr>
            <w:rStyle w:val="Hyperlink"/>
            <w:rtl/>
          </w:rPr>
        </w:r>
        <w:r>
          <w:rPr>
            <w:rStyle w:val="Hyperlink"/>
            <w:rtl/>
          </w:rPr>
          <w:fldChar w:fldCharType="separate"/>
        </w:r>
        <w:r w:rsidR="00D82181">
          <w:rPr>
            <w:webHidden/>
            <w:rtl/>
          </w:rPr>
          <w:t>114</w:t>
        </w:r>
        <w:r>
          <w:rPr>
            <w:rStyle w:val="Hyperlink"/>
            <w:rtl/>
          </w:rPr>
          <w:fldChar w:fldCharType="end"/>
        </w:r>
      </w:hyperlink>
    </w:p>
    <w:p w14:paraId="369E40B0" w14:textId="1C0FBC99" w:rsidR="008009AA" w:rsidRDefault="008009AA">
      <w:pPr>
        <w:pStyle w:val="TOC7"/>
        <w:rPr>
          <w:rFonts w:cstheme="minorBidi"/>
          <w:sz w:val="22"/>
          <w:szCs w:val="22"/>
          <w:rtl/>
        </w:rPr>
      </w:pPr>
      <w:hyperlink w:anchor="_Toc163505975" w:history="1">
        <w:r w:rsidRPr="007246E7">
          <w:rPr>
            <w:rStyle w:val="Hyperlink"/>
            <w:rtl/>
          </w:rPr>
          <w:t>רש"י שבת ע"ה ע"א ד"ה טפי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Toc163505975 \h</w:instrText>
        </w:r>
        <w:r>
          <w:rPr>
            <w:webHidden/>
            <w:rtl/>
          </w:rPr>
          <w:instrText xml:space="preserve"> </w:instrText>
        </w:r>
        <w:r>
          <w:rPr>
            <w:rStyle w:val="Hyperlink"/>
            <w:rtl/>
          </w:rPr>
        </w:r>
        <w:r>
          <w:rPr>
            <w:rStyle w:val="Hyperlink"/>
            <w:rtl/>
          </w:rPr>
          <w:fldChar w:fldCharType="separate"/>
        </w:r>
        <w:r w:rsidR="00D82181">
          <w:rPr>
            <w:webHidden/>
            <w:rtl/>
          </w:rPr>
          <w:t>114</w:t>
        </w:r>
        <w:r>
          <w:rPr>
            <w:rStyle w:val="Hyperlink"/>
            <w:rtl/>
          </w:rPr>
          <w:fldChar w:fldCharType="end"/>
        </w:r>
      </w:hyperlink>
    </w:p>
    <w:p w14:paraId="70247F9E" w14:textId="2EB08039" w:rsidR="008009AA" w:rsidRDefault="008009AA">
      <w:pPr>
        <w:pStyle w:val="TOC7"/>
        <w:rPr>
          <w:rFonts w:cstheme="minorBidi"/>
          <w:sz w:val="22"/>
          <w:szCs w:val="22"/>
          <w:rtl/>
        </w:rPr>
      </w:pPr>
      <w:hyperlink w:anchor="_Toc163505976" w:history="1">
        <w:r w:rsidRPr="007246E7">
          <w:rPr>
            <w:rStyle w:val="Hyperlink"/>
            <w:rtl/>
          </w:rPr>
          <w:t>תוספות שבת צ"ד ע"א ד"ה ר"ש</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Toc163505976 \h</w:instrText>
        </w:r>
        <w:r>
          <w:rPr>
            <w:webHidden/>
            <w:rtl/>
          </w:rPr>
          <w:instrText xml:space="preserve"> </w:instrText>
        </w:r>
        <w:r>
          <w:rPr>
            <w:rStyle w:val="Hyperlink"/>
            <w:rtl/>
          </w:rPr>
        </w:r>
        <w:r>
          <w:rPr>
            <w:rStyle w:val="Hyperlink"/>
            <w:rtl/>
          </w:rPr>
          <w:fldChar w:fldCharType="separate"/>
        </w:r>
        <w:r w:rsidR="00D82181">
          <w:rPr>
            <w:webHidden/>
            <w:rtl/>
          </w:rPr>
          <w:t>114</w:t>
        </w:r>
        <w:r>
          <w:rPr>
            <w:rStyle w:val="Hyperlink"/>
            <w:rtl/>
          </w:rPr>
          <w:fldChar w:fldCharType="end"/>
        </w:r>
      </w:hyperlink>
    </w:p>
    <w:p w14:paraId="4340CEE1" w14:textId="11221698" w:rsidR="008009AA" w:rsidRDefault="008009AA">
      <w:pPr>
        <w:pStyle w:val="TOC7"/>
        <w:rPr>
          <w:rFonts w:cstheme="minorBidi"/>
          <w:sz w:val="22"/>
          <w:szCs w:val="22"/>
          <w:rtl/>
        </w:rPr>
      </w:pPr>
      <w:hyperlink w:anchor="_Toc163505977" w:history="1">
        <w:r w:rsidRPr="007246E7">
          <w:rPr>
            <w:rStyle w:val="Hyperlink"/>
            <w:rtl/>
          </w:rPr>
          <w:t>תוספות חגיגה י' ע"ב ד"ה מלאכת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Toc163505977 \h</w:instrText>
        </w:r>
        <w:r>
          <w:rPr>
            <w:webHidden/>
            <w:rtl/>
          </w:rPr>
          <w:instrText xml:space="preserve"> </w:instrText>
        </w:r>
        <w:r>
          <w:rPr>
            <w:rStyle w:val="Hyperlink"/>
            <w:rtl/>
          </w:rPr>
        </w:r>
        <w:r>
          <w:rPr>
            <w:rStyle w:val="Hyperlink"/>
            <w:rtl/>
          </w:rPr>
          <w:fldChar w:fldCharType="separate"/>
        </w:r>
        <w:r w:rsidR="00D82181">
          <w:rPr>
            <w:webHidden/>
            <w:rtl/>
          </w:rPr>
          <w:t>114</w:t>
        </w:r>
        <w:r>
          <w:rPr>
            <w:rStyle w:val="Hyperlink"/>
            <w:rtl/>
          </w:rPr>
          <w:fldChar w:fldCharType="end"/>
        </w:r>
      </w:hyperlink>
    </w:p>
    <w:p w14:paraId="284D5898" w14:textId="42871D94" w:rsidR="008009AA" w:rsidRDefault="008009AA">
      <w:pPr>
        <w:pStyle w:val="TOC7"/>
        <w:rPr>
          <w:rFonts w:cstheme="minorBidi"/>
          <w:sz w:val="22"/>
          <w:szCs w:val="22"/>
          <w:rtl/>
        </w:rPr>
      </w:pPr>
      <w:hyperlink w:anchor="_Toc163505978" w:history="1">
        <w:r w:rsidRPr="007246E7">
          <w:rPr>
            <w:rStyle w:val="Hyperlink"/>
            <w:rtl/>
          </w:rPr>
          <w:t>פני יהושע שבת צ"ד ע"א על תוד"ה ר"ש</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Toc163505978 \h</w:instrText>
        </w:r>
        <w:r>
          <w:rPr>
            <w:webHidden/>
            <w:rtl/>
          </w:rPr>
          <w:instrText xml:space="preserve"> </w:instrText>
        </w:r>
        <w:r>
          <w:rPr>
            <w:rStyle w:val="Hyperlink"/>
            <w:rtl/>
          </w:rPr>
        </w:r>
        <w:r>
          <w:rPr>
            <w:rStyle w:val="Hyperlink"/>
            <w:rtl/>
          </w:rPr>
          <w:fldChar w:fldCharType="separate"/>
        </w:r>
        <w:r w:rsidR="00D82181">
          <w:rPr>
            <w:webHidden/>
            <w:rtl/>
          </w:rPr>
          <w:t>114</w:t>
        </w:r>
        <w:r>
          <w:rPr>
            <w:rStyle w:val="Hyperlink"/>
            <w:rtl/>
          </w:rPr>
          <w:fldChar w:fldCharType="end"/>
        </w:r>
      </w:hyperlink>
    </w:p>
    <w:p w14:paraId="3A4C844E" w14:textId="496C1BB9" w:rsidR="008009AA" w:rsidRDefault="008009AA">
      <w:pPr>
        <w:pStyle w:val="TOC7"/>
        <w:rPr>
          <w:rFonts w:cstheme="minorBidi"/>
          <w:sz w:val="22"/>
          <w:szCs w:val="22"/>
          <w:rtl/>
        </w:rPr>
      </w:pPr>
      <w:hyperlink w:anchor="_Toc163505979" w:history="1">
        <w:r w:rsidRPr="007246E7">
          <w:rPr>
            <w:rStyle w:val="Hyperlink"/>
            <w:rtl/>
          </w:rPr>
          <w:t>כפות תמרים סוכה ל"ג ע"ב ד"ה וא"ת לדעת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Toc163505979 \h</w:instrText>
        </w:r>
        <w:r>
          <w:rPr>
            <w:webHidden/>
            <w:rtl/>
          </w:rPr>
          <w:instrText xml:space="preserve"> </w:instrText>
        </w:r>
        <w:r>
          <w:rPr>
            <w:rStyle w:val="Hyperlink"/>
            <w:rtl/>
          </w:rPr>
        </w:r>
        <w:r>
          <w:rPr>
            <w:rStyle w:val="Hyperlink"/>
            <w:rtl/>
          </w:rPr>
          <w:fldChar w:fldCharType="separate"/>
        </w:r>
        <w:r w:rsidR="00D82181">
          <w:rPr>
            <w:webHidden/>
            <w:rtl/>
          </w:rPr>
          <w:t>114</w:t>
        </w:r>
        <w:r>
          <w:rPr>
            <w:rStyle w:val="Hyperlink"/>
            <w:rtl/>
          </w:rPr>
          <w:fldChar w:fldCharType="end"/>
        </w:r>
      </w:hyperlink>
    </w:p>
    <w:p w14:paraId="247C69F2" w14:textId="1820C709" w:rsidR="008009AA" w:rsidRDefault="008009AA">
      <w:pPr>
        <w:pStyle w:val="TOC7"/>
        <w:rPr>
          <w:rFonts w:cstheme="minorBidi"/>
          <w:sz w:val="22"/>
          <w:szCs w:val="22"/>
          <w:rtl/>
        </w:rPr>
      </w:pPr>
      <w:hyperlink w:anchor="_Toc163505980" w:history="1">
        <w:r w:rsidRPr="007246E7">
          <w:rPr>
            <w:rStyle w:val="Hyperlink"/>
            <w:rtl/>
          </w:rPr>
          <w:t>תוספות שבת צ"ד ע"ב ד"ה ר"ש</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Toc163505980 \h</w:instrText>
        </w:r>
        <w:r>
          <w:rPr>
            <w:webHidden/>
            <w:rtl/>
          </w:rPr>
          <w:instrText xml:space="preserve"> </w:instrText>
        </w:r>
        <w:r>
          <w:rPr>
            <w:rStyle w:val="Hyperlink"/>
            <w:rtl/>
          </w:rPr>
        </w:r>
        <w:r>
          <w:rPr>
            <w:rStyle w:val="Hyperlink"/>
            <w:rtl/>
          </w:rPr>
          <w:fldChar w:fldCharType="separate"/>
        </w:r>
        <w:r w:rsidR="00D82181">
          <w:rPr>
            <w:webHidden/>
            <w:rtl/>
          </w:rPr>
          <w:t>114</w:t>
        </w:r>
        <w:r>
          <w:rPr>
            <w:rStyle w:val="Hyperlink"/>
            <w:rtl/>
          </w:rPr>
          <w:fldChar w:fldCharType="end"/>
        </w:r>
      </w:hyperlink>
    </w:p>
    <w:p w14:paraId="53F938F0" w14:textId="25482E51" w:rsidR="008009AA" w:rsidRDefault="008009AA">
      <w:pPr>
        <w:pStyle w:val="TOC7"/>
        <w:rPr>
          <w:rFonts w:cstheme="minorBidi"/>
          <w:sz w:val="22"/>
          <w:szCs w:val="22"/>
          <w:rtl/>
        </w:rPr>
      </w:pPr>
      <w:hyperlink w:anchor="_Toc163505981" w:history="1">
        <w:r w:rsidRPr="007246E7">
          <w:rPr>
            <w:rStyle w:val="Hyperlink"/>
            <w:rtl/>
          </w:rPr>
          <w:t>אגלי טל חורש סקי"ב אות כ'</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Toc163505981 \h</w:instrText>
        </w:r>
        <w:r>
          <w:rPr>
            <w:webHidden/>
            <w:rtl/>
          </w:rPr>
          <w:instrText xml:space="preserve"> </w:instrText>
        </w:r>
        <w:r>
          <w:rPr>
            <w:rStyle w:val="Hyperlink"/>
            <w:rtl/>
          </w:rPr>
        </w:r>
        <w:r>
          <w:rPr>
            <w:rStyle w:val="Hyperlink"/>
            <w:rtl/>
          </w:rPr>
          <w:fldChar w:fldCharType="separate"/>
        </w:r>
        <w:r w:rsidR="00D82181">
          <w:rPr>
            <w:webHidden/>
            <w:rtl/>
          </w:rPr>
          <w:t>115</w:t>
        </w:r>
        <w:r>
          <w:rPr>
            <w:rStyle w:val="Hyperlink"/>
            <w:rtl/>
          </w:rPr>
          <w:fldChar w:fldCharType="end"/>
        </w:r>
      </w:hyperlink>
    </w:p>
    <w:p w14:paraId="1B0A28BB" w14:textId="063938F9" w:rsidR="008009AA" w:rsidRDefault="008009AA">
      <w:pPr>
        <w:pStyle w:val="TOC7"/>
        <w:rPr>
          <w:rFonts w:cstheme="minorBidi"/>
          <w:sz w:val="22"/>
          <w:szCs w:val="22"/>
          <w:rtl/>
        </w:rPr>
      </w:pPr>
      <w:hyperlink w:anchor="_Toc163505982" w:history="1">
        <w:r w:rsidRPr="007246E7">
          <w:rPr>
            <w:rStyle w:val="Hyperlink"/>
            <w:rtl/>
          </w:rPr>
          <w:t>תוספות שבת ל"א ע"ב ד"ה וסותר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Toc163505982 \h</w:instrText>
        </w:r>
        <w:r>
          <w:rPr>
            <w:webHidden/>
            <w:rtl/>
          </w:rPr>
          <w:instrText xml:space="preserve"> </w:instrText>
        </w:r>
        <w:r>
          <w:rPr>
            <w:rStyle w:val="Hyperlink"/>
            <w:rtl/>
          </w:rPr>
        </w:r>
        <w:r>
          <w:rPr>
            <w:rStyle w:val="Hyperlink"/>
            <w:rtl/>
          </w:rPr>
          <w:fldChar w:fldCharType="separate"/>
        </w:r>
        <w:r w:rsidR="00D82181">
          <w:rPr>
            <w:webHidden/>
            <w:rtl/>
          </w:rPr>
          <w:t>115</w:t>
        </w:r>
        <w:r>
          <w:rPr>
            <w:rStyle w:val="Hyperlink"/>
            <w:rtl/>
          </w:rPr>
          <w:fldChar w:fldCharType="end"/>
        </w:r>
      </w:hyperlink>
    </w:p>
    <w:p w14:paraId="6FC943BB" w14:textId="4F4F914F" w:rsidR="008009AA" w:rsidRDefault="008009AA">
      <w:pPr>
        <w:pStyle w:val="TOC7"/>
        <w:rPr>
          <w:rFonts w:cstheme="minorBidi"/>
          <w:sz w:val="22"/>
          <w:szCs w:val="22"/>
          <w:rtl/>
        </w:rPr>
      </w:pPr>
      <w:hyperlink w:anchor="_Toc163505983" w:history="1">
        <w:r w:rsidRPr="007246E7">
          <w:rPr>
            <w:rStyle w:val="Hyperlink"/>
            <w:rtl/>
          </w:rPr>
          <w:t>כפות תמרים סוכה ל"ג ע"ב ד"ה אמנם התוס'</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Toc163505983 \h</w:instrText>
        </w:r>
        <w:r>
          <w:rPr>
            <w:webHidden/>
            <w:rtl/>
          </w:rPr>
          <w:instrText xml:space="preserve"> </w:instrText>
        </w:r>
        <w:r>
          <w:rPr>
            <w:rStyle w:val="Hyperlink"/>
            <w:rtl/>
          </w:rPr>
        </w:r>
        <w:r>
          <w:rPr>
            <w:rStyle w:val="Hyperlink"/>
            <w:rtl/>
          </w:rPr>
          <w:fldChar w:fldCharType="separate"/>
        </w:r>
        <w:r w:rsidR="00D82181">
          <w:rPr>
            <w:webHidden/>
            <w:rtl/>
          </w:rPr>
          <w:t>115</w:t>
        </w:r>
        <w:r>
          <w:rPr>
            <w:rStyle w:val="Hyperlink"/>
            <w:rtl/>
          </w:rPr>
          <w:fldChar w:fldCharType="end"/>
        </w:r>
      </w:hyperlink>
    </w:p>
    <w:p w14:paraId="173846CF" w14:textId="5220AD63" w:rsidR="008009AA" w:rsidRDefault="008009AA">
      <w:pPr>
        <w:pStyle w:val="TOC7"/>
        <w:rPr>
          <w:rFonts w:cstheme="minorBidi"/>
          <w:sz w:val="22"/>
          <w:szCs w:val="22"/>
          <w:rtl/>
        </w:rPr>
      </w:pPr>
      <w:hyperlink w:anchor="_Toc163505984" w:history="1">
        <w:r w:rsidRPr="007246E7">
          <w:rPr>
            <w:rStyle w:val="Hyperlink"/>
            <w:rtl/>
          </w:rPr>
          <w:t>כפות תמרים סוכה ל"ג ע"ב ד"ה כתבו עוד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Toc163505984 \h</w:instrText>
        </w:r>
        <w:r>
          <w:rPr>
            <w:webHidden/>
            <w:rtl/>
          </w:rPr>
          <w:instrText xml:space="preserve"> </w:instrText>
        </w:r>
        <w:r>
          <w:rPr>
            <w:rStyle w:val="Hyperlink"/>
            <w:rtl/>
          </w:rPr>
        </w:r>
        <w:r>
          <w:rPr>
            <w:rStyle w:val="Hyperlink"/>
            <w:rtl/>
          </w:rPr>
          <w:fldChar w:fldCharType="separate"/>
        </w:r>
        <w:r w:rsidR="00D82181">
          <w:rPr>
            <w:webHidden/>
            <w:rtl/>
          </w:rPr>
          <w:t>115</w:t>
        </w:r>
        <w:r>
          <w:rPr>
            <w:rStyle w:val="Hyperlink"/>
            <w:rtl/>
          </w:rPr>
          <w:fldChar w:fldCharType="end"/>
        </w:r>
      </w:hyperlink>
    </w:p>
    <w:p w14:paraId="65014000" w14:textId="3FD14A48" w:rsidR="008009AA" w:rsidRDefault="008009AA">
      <w:pPr>
        <w:pStyle w:val="TOC7"/>
        <w:rPr>
          <w:rFonts w:cstheme="minorBidi"/>
          <w:sz w:val="22"/>
          <w:szCs w:val="22"/>
          <w:rtl/>
        </w:rPr>
      </w:pPr>
      <w:hyperlink w:anchor="_Toc163505985" w:history="1">
        <w:r w:rsidRPr="007246E7">
          <w:rPr>
            <w:rStyle w:val="Hyperlink"/>
            <w:rtl/>
          </w:rPr>
          <w:t>תוספות שבת צ"ד ע"ב ד"ה אבל</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Toc163505985 \h</w:instrText>
        </w:r>
        <w:r>
          <w:rPr>
            <w:webHidden/>
            <w:rtl/>
          </w:rPr>
          <w:instrText xml:space="preserve"> </w:instrText>
        </w:r>
        <w:r>
          <w:rPr>
            <w:rStyle w:val="Hyperlink"/>
            <w:rtl/>
          </w:rPr>
        </w:r>
        <w:r>
          <w:rPr>
            <w:rStyle w:val="Hyperlink"/>
            <w:rtl/>
          </w:rPr>
          <w:fldChar w:fldCharType="separate"/>
        </w:r>
        <w:r w:rsidR="00D82181">
          <w:rPr>
            <w:webHidden/>
            <w:rtl/>
          </w:rPr>
          <w:t>116</w:t>
        </w:r>
        <w:r>
          <w:rPr>
            <w:rStyle w:val="Hyperlink"/>
            <w:rtl/>
          </w:rPr>
          <w:fldChar w:fldCharType="end"/>
        </w:r>
      </w:hyperlink>
    </w:p>
    <w:p w14:paraId="7C0120CE" w14:textId="4AED4DED" w:rsidR="008009AA" w:rsidRDefault="008009AA">
      <w:pPr>
        <w:pStyle w:val="TOC7"/>
        <w:rPr>
          <w:rFonts w:cstheme="minorBidi"/>
          <w:sz w:val="22"/>
          <w:szCs w:val="22"/>
          <w:rtl/>
        </w:rPr>
      </w:pPr>
      <w:hyperlink w:anchor="_Toc163505986" w:history="1">
        <w:r w:rsidRPr="007246E7">
          <w:rPr>
            <w:rStyle w:val="Hyperlink"/>
            <w:rtl/>
          </w:rPr>
          <w:t>חתם סופר שבת צ"ד ע"ב על תוד"ה אבל</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Toc163505986 \h</w:instrText>
        </w:r>
        <w:r>
          <w:rPr>
            <w:webHidden/>
            <w:rtl/>
          </w:rPr>
          <w:instrText xml:space="preserve"> </w:instrText>
        </w:r>
        <w:r>
          <w:rPr>
            <w:rStyle w:val="Hyperlink"/>
            <w:rtl/>
          </w:rPr>
        </w:r>
        <w:r>
          <w:rPr>
            <w:rStyle w:val="Hyperlink"/>
            <w:rtl/>
          </w:rPr>
          <w:fldChar w:fldCharType="separate"/>
        </w:r>
        <w:r w:rsidR="00D82181">
          <w:rPr>
            <w:webHidden/>
            <w:rtl/>
          </w:rPr>
          <w:t>116</w:t>
        </w:r>
        <w:r>
          <w:rPr>
            <w:rStyle w:val="Hyperlink"/>
            <w:rtl/>
          </w:rPr>
          <w:fldChar w:fldCharType="end"/>
        </w:r>
      </w:hyperlink>
    </w:p>
    <w:p w14:paraId="525472C0" w14:textId="25CEA36D" w:rsidR="008009AA" w:rsidRDefault="008009AA">
      <w:pPr>
        <w:pStyle w:val="TOC7"/>
        <w:rPr>
          <w:rFonts w:cstheme="minorBidi"/>
          <w:sz w:val="22"/>
          <w:szCs w:val="22"/>
          <w:rtl/>
        </w:rPr>
      </w:pPr>
      <w:hyperlink w:anchor="_Toc163505987" w:history="1">
        <w:r w:rsidRPr="007246E7">
          <w:rPr>
            <w:rStyle w:val="Hyperlink"/>
            <w:rtl/>
          </w:rPr>
          <w:t>רש"י ביצה ל"ד ע"א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Toc163505987 \h</w:instrText>
        </w:r>
        <w:r>
          <w:rPr>
            <w:webHidden/>
            <w:rtl/>
          </w:rPr>
          <w:instrText xml:space="preserve"> </w:instrText>
        </w:r>
        <w:r>
          <w:rPr>
            <w:rStyle w:val="Hyperlink"/>
            <w:rtl/>
          </w:rPr>
        </w:r>
        <w:r>
          <w:rPr>
            <w:rStyle w:val="Hyperlink"/>
            <w:rtl/>
          </w:rPr>
          <w:fldChar w:fldCharType="separate"/>
        </w:r>
        <w:r w:rsidR="00D82181">
          <w:rPr>
            <w:webHidden/>
            <w:rtl/>
          </w:rPr>
          <w:t>116</w:t>
        </w:r>
        <w:r>
          <w:rPr>
            <w:rStyle w:val="Hyperlink"/>
            <w:rtl/>
          </w:rPr>
          <w:fldChar w:fldCharType="end"/>
        </w:r>
      </w:hyperlink>
    </w:p>
    <w:p w14:paraId="0CC30998" w14:textId="21B745D9" w:rsidR="008009AA" w:rsidRDefault="008009AA">
      <w:pPr>
        <w:pStyle w:val="TOC7"/>
        <w:rPr>
          <w:rFonts w:cstheme="minorBidi"/>
          <w:sz w:val="22"/>
          <w:szCs w:val="22"/>
          <w:rtl/>
        </w:rPr>
      </w:pPr>
      <w:hyperlink w:anchor="_Toc163505988" w:history="1">
        <w:r w:rsidRPr="007246E7">
          <w:rPr>
            <w:rStyle w:val="Hyperlink"/>
            <w:rtl/>
          </w:rPr>
          <w:t>גליוני הש"ס שבת צ"ד ע"ב על תוד"ה אבל</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Toc163505988 \h</w:instrText>
        </w:r>
        <w:r>
          <w:rPr>
            <w:webHidden/>
            <w:rtl/>
          </w:rPr>
          <w:instrText xml:space="preserve"> </w:instrText>
        </w:r>
        <w:r>
          <w:rPr>
            <w:rStyle w:val="Hyperlink"/>
            <w:rtl/>
          </w:rPr>
        </w:r>
        <w:r>
          <w:rPr>
            <w:rStyle w:val="Hyperlink"/>
            <w:rtl/>
          </w:rPr>
          <w:fldChar w:fldCharType="separate"/>
        </w:r>
        <w:r w:rsidR="00D82181">
          <w:rPr>
            <w:webHidden/>
            <w:rtl/>
          </w:rPr>
          <w:t>116</w:t>
        </w:r>
        <w:r>
          <w:rPr>
            <w:rStyle w:val="Hyperlink"/>
            <w:rtl/>
          </w:rPr>
          <w:fldChar w:fldCharType="end"/>
        </w:r>
      </w:hyperlink>
    </w:p>
    <w:p w14:paraId="3153B787" w14:textId="756F4D8E" w:rsidR="008009AA" w:rsidRDefault="008009AA">
      <w:pPr>
        <w:pStyle w:val="TOC7"/>
        <w:rPr>
          <w:rFonts w:cstheme="minorBidi"/>
          <w:sz w:val="22"/>
          <w:szCs w:val="22"/>
          <w:rtl/>
        </w:rPr>
      </w:pPr>
      <w:hyperlink w:anchor="_Toc163505989" w:history="1">
        <w:r w:rsidRPr="007246E7">
          <w:rPr>
            <w:rStyle w:val="Hyperlink"/>
            <w:rtl/>
          </w:rPr>
          <w:t>תוספות שבת צ"ד ע"א ד"ה את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Toc163505989 \h</w:instrText>
        </w:r>
        <w:r>
          <w:rPr>
            <w:webHidden/>
            <w:rtl/>
          </w:rPr>
          <w:instrText xml:space="preserve"> </w:instrText>
        </w:r>
        <w:r>
          <w:rPr>
            <w:rStyle w:val="Hyperlink"/>
            <w:rtl/>
          </w:rPr>
        </w:r>
        <w:r>
          <w:rPr>
            <w:rStyle w:val="Hyperlink"/>
            <w:rtl/>
          </w:rPr>
          <w:fldChar w:fldCharType="separate"/>
        </w:r>
        <w:r w:rsidR="00D82181">
          <w:rPr>
            <w:webHidden/>
            <w:rtl/>
          </w:rPr>
          <w:t>116</w:t>
        </w:r>
        <w:r>
          <w:rPr>
            <w:rStyle w:val="Hyperlink"/>
            <w:rtl/>
          </w:rPr>
          <w:fldChar w:fldCharType="end"/>
        </w:r>
      </w:hyperlink>
    </w:p>
    <w:p w14:paraId="73B48F6E" w14:textId="5DE17419" w:rsidR="008009AA" w:rsidRDefault="008009AA">
      <w:pPr>
        <w:pStyle w:val="TOC7"/>
        <w:rPr>
          <w:rFonts w:cstheme="minorBidi"/>
          <w:sz w:val="22"/>
          <w:szCs w:val="22"/>
          <w:rtl/>
        </w:rPr>
      </w:pPr>
      <w:hyperlink w:anchor="_Toc163505990" w:history="1">
        <w:r w:rsidRPr="007246E7">
          <w:rPr>
            <w:rStyle w:val="Hyperlink"/>
            <w:rtl/>
          </w:rPr>
          <w:t>תוספות הרא"ש שבת צ"ד ע"א ד"ה את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Toc163505990 \h</w:instrText>
        </w:r>
        <w:r>
          <w:rPr>
            <w:webHidden/>
            <w:rtl/>
          </w:rPr>
          <w:instrText xml:space="preserve"> </w:instrText>
        </w:r>
        <w:r>
          <w:rPr>
            <w:rStyle w:val="Hyperlink"/>
            <w:rtl/>
          </w:rPr>
        </w:r>
        <w:r>
          <w:rPr>
            <w:rStyle w:val="Hyperlink"/>
            <w:rtl/>
          </w:rPr>
          <w:fldChar w:fldCharType="separate"/>
        </w:r>
        <w:r w:rsidR="00D82181">
          <w:rPr>
            <w:webHidden/>
            <w:rtl/>
          </w:rPr>
          <w:t>116</w:t>
        </w:r>
        <w:r>
          <w:rPr>
            <w:rStyle w:val="Hyperlink"/>
            <w:rtl/>
          </w:rPr>
          <w:fldChar w:fldCharType="end"/>
        </w:r>
      </w:hyperlink>
    </w:p>
    <w:p w14:paraId="70EF638C" w14:textId="1CC58C05" w:rsidR="008009AA" w:rsidRDefault="008009AA">
      <w:pPr>
        <w:pStyle w:val="TOC7"/>
        <w:rPr>
          <w:rFonts w:cstheme="minorBidi"/>
          <w:sz w:val="22"/>
          <w:szCs w:val="22"/>
          <w:rtl/>
        </w:rPr>
      </w:pPr>
      <w:hyperlink w:anchor="_Toc163505991" w:history="1">
        <w:r w:rsidRPr="007246E7">
          <w:rPr>
            <w:rStyle w:val="Hyperlink"/>
            <w:rtl/>
          </w:rPr>
          <w:t>תוספות שבת ק"ו ע"א ד"ה בצריך</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Toc163505991 \h</w:instrText>
        </w:r>
        <w:r>
          <w:rPr>
            <w:webHidden/>
            <w:rtl/>
          </w:rPr>
          <w:instrText xml:space="preserve"> </w:instrText>
        </w:r>
        <w:r>
          <w:rPr>
            <w:rStyle w:val="Hyperlink"/>
            <w:rtl/>
          </w:rPr>
        </w:r>
        <w:r>
          <w:rPr>
            <w:rStyle w:val="Hyperlink"/>
            <w:rtl/>
          </w:rPr>
          <w:fldChar w:fldCharType="separate"/>
        </w:r>
        <w:r w:rsidR="00D82181">
          <w:rPr>
            <w:webHidden/>
            <w:rtl/>
          </w:rPr>
          <w:t>116</w:t>
        </w:r>
        <w:r>
          <w:rPr>
            <w:rStyle w:val="Hyperlink"/>
            <w:rtl/>
          </w:rPr>
          <w:fldChar w:fldCharType="end"/>
        </w:r>
      </w:hyperlink>
    </w:p>
    <w:p w14:paraId="2ACAE3FA" w14:textId="52B19457" w:rsidR="008009AA" w:rsidRDefault="008009AA">
      <w:pPr>
        <w:pStyle w:val="TOC7"/>
        <w:rPr>
          <w:rFonts w:cstheme="minorBidi"/>
          <w:sz w:val="22"/>
          <w:szCs w:val="22"/>
          <w:rtl/>
        </w:rPr>
      </w:pPr>
      <w:hyperlink w:anchor="_Toc163505992" w:history="1">
        <w:r w:rsidRPr="007246E7">
          <w:rPr>
            <w:rStyle w:val="Hyperlink"/>
            <w:rtl/>
          </w:rPr>
          <w:t>תוספות סנהדרין פ"ד ע"ב ד"ה מאן</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Toc163505992 \h</w:instrText>
        </w:r>
        <w:r>
          <w:rPr>
            <w:webHidden/>
            <w:rtl/>
          </w:rPr>
          <w:instrText xml:space="preserve"> </w:instrText>
        </w:r>
        <w:r>
          <w:rPr>
            <w:rStyle w:val="Hyperlink"/>
            <w:rtl/>
          </w:rPr>
        </w:r>
        <w:r>
          <w:rPr>
            <w:rStyle w:val="Hyperlink"/>
            <w:rtl/>
          </w:rPr>
          <w:fldChar w:fldCharType="separate"/>
        </w:r>
        <w:r w:rsidR="00D82181">
          <w:rPr>
            <w:webHidden/>
            <w:rtl/>
          </w:rPr>
          <w:t>116</w:t>
        </w:r>
        <w:r>
          <w:rPr>
            <w:rStyle w:val="Hyperlink"/>
            <w:rtl/>
          </w:rPr>
          <w:fldChar w:fldCharType="end"/>
        </w:r>
      </w:hyperlink>
    </w:p>
    <w:p w14:paraId="4498B9DF" w14:textId="3D3C455B" w:rsidR="008009AA" w:rsidRDefault="008009AA">
      <w:pPr>
        <w:pStyle w:val="TOC7"/>
        <w:rPr>
          <w:rFonts w:cstheme="minorBidi"/>
          <w:sz w:val="22"/>
          <w:szCs w:val="22"/>
          <w:rtl/>
        </w:rPr>
      </w:pPr>
      <w:hyperlink w:anchor="_Toc163505993" w:history="1">
        <w:r w:rsidRPr="007246E7">
          <w:rPr>
            <w:rStyle w:val="Hyperlink"/>
            <w:rtl/>
          </w:rPr>
          <w:t>תוספות ב"ק ל"ד ע"ב ד"ה חובל</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Toc163505993 \h</w:instrText>
        </w:r>
        <w:r>
          <w:rPr>
            <w:webHidden/>
            <w:rtl/>
          </w:rPr>
          <w:instrText xml:space="preserve"> </w:instrText>
        </w:r>
        <w:r>
          <w:rPr>
            <w:rStyle w:val="Hyperlink"/>
            <w:rtl/>
          </w:rPr>
        </w:r>
        <w:r>
          <w:rPr>
            <w:rStyle w:val="Hyperlink"/>
            <w:rtl/>
          </w:rPr>
          <w:fldChar w:fldCharType="separate"/>
        </w:r>
        <w:r w:rsidR="00D82181">
          <w:rPr>
            <w:webHidden/>
            <w:rtl/>
          </w:rPr>
          <w:t>116</w:t>
        </w:r>
        <w:r>
          <w:rPr>
            <w:rStyle w:val="Hyperlink"/>
            <w:rtl/>
          </w:rPr>
          <w:fldChar w:fldCharType="end"/>
        </w:r>
      </w:hyperlink>
    </w:p>
    <w:p w14:paraId="321F87DD" w14:textId="7070EE13" w:rsidR="008009AA" w:rsidRDefault="008009AA">
      <w:pPr>
        <w:pStyle w:val="TOC7"/>
        <w:rPr>
          <w:rFonts w:cstheme="minorBidi"/>
          <w:sz w:val="22"/>
          <w:szCs w:val="22"/>
          <w:rtl/>
        </w:rPr>
      </w:pPr>
      <w:hyperlink w:anchor="_Toc163505994" w:history="1">
        <w:r w:rsidRPr="007246E7">
          <w:rPr>
            <w:rStyle w:val="Hyperlink"/>
            <w:rtl/>
          </w:rPr>
          <w:t>מרכבת המשנה שבת פ"א ה"א ד"ה ומה שנראה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Toc163505994 \h</w:instrText>
        </w:r>
        <w:r>
          <w:rPr>
            <w:webHidden/>
            <w:rtl/>
          </w:rPr>
          <w:instrText xml:space="preserve"> </w:instrText>
        </w:r>
        <w:r>
          <w:rPr>
            <w:rStyle w:val="Hyperlink"/>
            <w:rtl/>
          </w:rPr>
        </w:r>
        <w:r>
          <w:rPr>
            <w:rStyle w:val="Hyperlink"/>
            <w:rtl/>
          </w:rPr>
          <w:fldChar w:fldCharType="separate"/>
        </w:r>
        <w:r w:rsidR="00D82181">
          <w:rPr>
            <w:webHidden/>
            <w:rtl/>
          </w:rPr>
          <w:t>116</w:t>
        </w:r>
        <w:r>
          <w:rPr>
            <w:rStyle w:val="Hyperlink"/>
            <w:rtl/>
          </w:rPr>
          <w:fldChar w:fldCharType="end"/>
        </w:r>
      </w:hyperlink>
    </w:p>
    <w:p w14:paraId="7EABF9AE" w14:textId="04FF09D6" w:rsidR="008009AA" w:rsidRDefault="008009AA">
      <w:pPr>
        <w:pStyle w:val="TOC7"/>
        <w:rPr>
          <w:rFonts w:cstheme="minorBidi"/>
          <w:sz w:val="22"/>
          <w:szCs w:val="22"/>
          <w:rtl/>
        </w:rPr>
      </w:pPr>
      <w:hyperlink w:anchor="_Toc163505995" w:history="1">
        <w:r w:rsidRPr="007246E7">
          <w:rPr>
            <w:rStyle w:val="Hyperlink"/>
            <w:rtl/>
          </w:rPr>
          <w:t>תוספות שבת ק"ו ע"א ד"ה חוץ</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Toc163505995 \h</w:instrText>
        </w:r>
        <w:r>
          <w:rPr>
            <w:webHidden/>
            <w:rtl/>
          </w:rPr>
          <w:instrText xml:space="preserve"> </w:instrText>
        </w:r>
        <w:r>
          <w:rPr>
            <w:rStyle w:val="Hyperlink"/>
            <w:rtl/>
          </w:rPr>
        </w:r>
        <w:r>
          <w:rPr>
            <w:rStyle w:val="Hyperlink"/>
            <w:rtl/>
          </w:rPr>
          <w:fldChar w:fldCharType="separate"/>
        </w:r>
        <w:r w:rsidR="00D82181">
          <w:rPr>
            <w:webHidden/>
            <w:rtl/>
          </w:rPr>
          <w:t>116</w:t>
        </w:r>
        <w:r>
          <w:rPr>
            <w:rStyle w:val="Hyperlink"/>
            <w:rtl/>
          </w:rPr>
          <w:fldChar w:fldCharType="end"/>
        </w:r>
      </w:hyperlink>
    </w:p>
    <w:p w14:paraId="26968498" w14:textId="0A159391" w:rsidR="008009AA" w:rsidRDefault="008009AA">
      <w:pPr>
        <w:pStyle w:val="TOC7"/>
        <w:rPr>
          <w:rFonts w:cstheme="minorBidi"/>
          <w:sz w:val="22"/>
          <w:szCs w:val="22"/>
          <w:rtl/>
        </w:rPr>
      </w:pPr>
      <w:hyperlink w:anchor="_Toc163505996" w:history="1">
        <w:r w:rsidRPr="007246E7">
          <w:rPr>
            <w:rStyle w:val="Hyperlink"/>
            <w:rtl/>
          </w:rPr>
          <w:t>תוספות שבת ק"ו ע"א ד"ה מה לי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Toc163505996 \h</w:instrText>
        </w:r>
        <w:r>
          <w:rPr>
            <w:webHidden/>
            <w:rtl/>
          </w:rPr>
          <w:instrText xml:space="preserve"> </w:instrText>
        </w:r>
        <w:r>
          <w:rPr>
            <w:rStyle w:val="Hyperlink"/>
            <w:rtl/>
          </w:rPr>
        </w:r>
        <w:r>
          <w:rPr>
            <w:rStyle w:val="Hyperlink"/>
            <w:rtl/>
          </w:rPr>
          <w:fldChar w:fldCharType="separate"/>
        </w:r>
        <w:r w:rsidR="00D82181">
          <w:rPr>
            <w:webHidden/>
            <w:rtl/>
          </w:rPr>
          <w:t>116</w:t>
        </w:r>
        <w:r>
          <w:rPr>
            <w:rStyle w:val="Hyperlink"/>
            <w:rtl/>
          </w:rPr>
          <w:fldChar w:fldCharType="end"/>
        </w:r>
      </w:hyperlink>
    </w:p>
    <w:p w14:paraId="776982C6" w14:textId="179F7382" w:rsidR="008009AA" w:rsidRDefault="008009AA">
      <w:pPr>
        <w:pStyle w:val="TOC7"/>
        <w:rPr>
          <w:rFonts w:cstheme="minorBidi"/>
          <w:sz w:val="22"/>
          <w:szCs w:val="22"/>
          <w:rtl/>
        </w:rPr>
      </w:pPr>
      <w:hyperlink w:anchor="_Toc163505997" w:history="1">
        <w:r w:rsidRPr="007246E7">
          <w:rPr>
            <w:rStyle w:val="Hyperlink"/>
            <w:rtl/>
          </w:rPr>
          <w:t>תוספות סנהדרין פ"ד ע"ב ד"ה מאן</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Toc163505997 \h</w:instrText>
        </w:r>
        <w:r>
          <w:rPr>
            <w:webHidden/>
            <w:rtl/>
          </w:rPr>
          <w:instrText xml:space="preserve"> </w:instrText>
        </w:r>
        <w:r>
          <w:rPr>
            <w:rStyle w:val="Hyperlink"/>
            <w:rtl/>
          </w:rPr>
        </w:r>
        <w:r>
          <w:rPr>
            <w:rStyle w:val="Hyperlink"/>
            <w:rtl/>
          </w:rPr>
          <w:fldChar w:fldCharType="separate"/>
        </w:r>
        <w:r w:rsidR="00D82181">
          <w:rPr>
            <w:webHidden/>
            <w:rtl/>
          </w:rPr>
          <w:t>116</w:t>
        </w:r>
        <w:r>
          <w:rPr>
            <w:rStyle w:val="Hyperlink"/>
            <w:rtl/>
          </w:rPr>
          <w:fldChar w:fldCharType="end"/>
        </w:r>
      </w:hyperlink>
    </w:p>
    <w:p w14:paraId="25CAD1AE" w14:textId="4ED8BFA6" w:rsidR="008009AA" w:rsidRDefault="008009AA">
      <w:pPr>
        <w:pStyle w:val="TOC7"/>
        <w:rPr>
          <w:rFonts w:cstheme="minorBidi"/>
          <w:sz w:val="22"/>
          <w:szCs w:val="22"/>
          <w:rtl/>
        </w:rPr>
      </w:pPr>
      <w:hyperlink w:anchor="_Toc163505998" w:history="1">
        <w:r w:rsidRPr="007246E7">
          <w:rPr>
            <w:rStyle w:val="Hyperlink"/>
            <w:rtl/>
          </w:rPr>
          <w:t>תוספות ב"ק ל"ד ע"ב ד"ה חובל</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Toc163505998 \h</w:instrText>
        </w:r>
        <w:r>
          <w:rPr>
            <w:webHidden/>
            <w:rtl/>
          </w:rPr>
          <w:instrText xml:space="preserve"> </w:instrText>
        </w:r>
        <w:r>
          <w:rPr>
            <w:rStyle w:val="Hyperlink"/>
            <w:rtl/>
          </w:rPr>
        </w:r>
        <w:r>
          <w:rPr>
            <w:rStyle w:val="Hyperlink"/>
            <w:rtl/>
          </w:rPr>
          <w:fldChar w:fldCharType="separate"/>
        </w:r>
        <w:r w:rsidR="00D82181">
          <w:rPr>
            <w:webHidden/>
            <w:rtl/>
          </w:rPr>
          <w:t>116</w:t>
        </w:r>
        <w:r>
          <w:rPr>
            <w:rStyle w:val="Hyperlink"/>
            <w:rtl/>
          </w:rPr>
          <w:fldChar w:fldCharType="end"/>
        </w:r>
      </w:hyperlink>
    </w:p>
    <w:p w14:paraId="70DABB7A" w14:textId="7DB6BB94" w:rsidR="008009AA" w:rsidRDefault="008009AA">
      <w:pPr>
        <w:pStyle w:val="TOC7"/>
        <w:rPr>
          <w:rFonts w:cstheme="minorBidi"/>
          <w:sz w:val="22"/>
          <w:szCs w:val="22"/>
          <w:rtl/>
        </w:rPr>
      </w:pPr>
      <w:hyperlink w:anchor="_Toc163505999" w:history="1">
        <w:r w:rsidRPr="007246E7">
          <w:rPr>
            <w:rStyle w:val="Hyperlink"/>
            <w:rtl/>
          </w:rPr>
          <w:t>חדושי הרמב"ן שבת ק"ו ע"א ד"ה ומזה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Toc163505999 \h</w:instrText>
        </w:r>
        <w:r>
          <w:rPr>
            <w:webHidden/>
            <w:rtl/>
          </w:rPr>
          <w:instrText xml:space="preserve"> </w:instrText>
        </w:r>
        <w:r>
          <w:rPr>
            <w:rStyle w:val="Hyperlink"/>
            <w:rtl/>
          </w:rPr>
        </w:r>
        <w:r>
          <w:rPr>
            <w:rStyle w:val="Hyperlink"/>
            <w:rtl/>
          </w:rPr>
          <w:fldChar w:fldCharType="separate"/>
        </w:r>
        <w:r w:rsidR="00D82181">
          <w:rPr>
            <w:webHidden/>
            <w:rtl/>
          </w:rPr>
          <w:t>117</w:t>
        </w:r>
        <w:r>
          <w:rPr>
            <w:rStyle w:val="Hyperlink"/>
            <w:rtl/>
          </w:rPr>
          <w:fldChar w:fldCharType="end"/>
        </w:r>
      </w:hyperlink>
    </w:p>
    <w:p w14:paraId="12572B2A" w14:textId="5026B3BD" w:rsidR="008009AA" w:rsidRDefault="008009AA">
      <w:pPr>
        <w:pStyle w:val="TOC7"/>
        <w:rPr>
          <w:rFonts w:cstheme="minorBidi"/>
          <w:sz w:val="22"/>
          <w:szCs w:val="22"/>
          <w:rtl/>
        </w:rPr>
      </w:pPr>
      <w:hyperlink w:anchor="_Toc163506000" w:history="1">
        <w:r w:rsidRPr="007246E7">
          <w:rPr>
            <w:rStyle w:val="Hyperlink"/>
            <w:rtl/>
          </w:rPr>
          <w:t>חדושי הר"ן שבת ק"ו ע"א ד"ה וכתב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Toc163506000 \h</w:instrText>
        </w:r>
        <w:r>
          <w:rPr>
            <w:webHidden/>
            <w:rtl/>
          </w:rPr>
          <w:instrText xml:space="preserve"> </w:instrText>
        </w:r>
        <w:r>
          <w:rPr>
            <w:rStyle w:val="Hyperlink"/>
            <w:rtl/>
          </w:rPr>
        </w:r>
        <w:r>
          <w:rPr>
            <w:rStyle w:val="Hyperlink"/>
            <w:rtl/>
          </w:rPr>
          <w:fldChar w:fldCharType="separate"/>
        </w:r>
        <w:r w:rsidR="00D82181">
          <w:rPr>
            <w:webHidden/>
            <w:rtl/>
          </w:rPr>
          <w:t>117</w:t>
        </w:r>
        <w:r>
          <w:rPr>
            <w:rStyle w:val="Hyperlink"/>
            <w:rtl/>
          </w:rPr>
          <w:fldChar w:fldCharType="end"/>
        </w:r>
      </w:hyperlink>
    </w:p>
    <w:p w14:paraId="351F96D7" w14:textId="237423AF" w:rsidR="008009AA" w:rsidRDefault="008009AA">
      <w:pPr>
        <w:pStyle w:val="TOC7"/>
        <w:rPr>
          <w:rFonts w:cstheme="minorBidi"/>
          <w:sz w:val="22"/>
          <w:szCs w:val="22"/>
          <w:rtl/>
        </w:rPr>
      </w:pPr>
      <w:hyperlink w:anchor="_Toc163506001" w:history="1">
        <w:r w:rsidRPr="007246E7">
          <w:rPr>
            <w:rStyle w:val="Hyperlink"/>
            <w:rtl/>
          </w:rPr>
          <w:t>חדושי הרמב"ן שבת ק"ו ע"א ד"ה ורש"י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Toc163506001 \h</w:instrText>
        </w:r>
        <w:r>
          <w:rPr>
            <w:webHidden/>
            <w:rtl/>
          </w:rPr>
          <w:instrText xml:space="preserve"> </w:instrText>
        </w:r>
        <w:r>
          <w:rPr>
            <w:rStyle w:val="Hyperlink"/>
            <w:rtl/>
          </w:rPr>
        </w:r>
        <w:r>
          <w:rPr>
            <w:rStyle w:val="Hyperlink"/>
            <w:rtl/>
          </w:rPr>
          <w:fldChar w:fldCharType="separate"/>
        </w:r>
        <w:r w:rsidR="00D82181">
          <w:rPr>
            <w:webHidden/>
            <w:rtl/>
          </w:rPr>
          <w:t>117</w:t>
        </w:r>
        <w:r>
          <w:rPr>
            <w:rStyle w:val="Hyperlink"/>
            <w:rtl/>
          </w:rPr>
          <w:fldChar w:fldCharType="end"/>
        </w:r>
      </w:hyperlink>
    </w:p>
    <w:p w14:paraId="17EA92DF" w14:textId="70EB9271" w:rsidR="008009AA" w:rsidRDefault="008009AA">
      <w:pPr>
        <w:pStyle w:val="TOC7"/>
        <w:rPr>
          <w:rFonts w:cstheme="minorBidi"/>
          <w:sz w:val="22"/>
          <w:szCs w:val="22"/>
          <w:rtl/>
        </w:rPr>
      </w:pPr>
      <w:hyperlink w:anchor="_Toc163506002" w:history="1">
        <w:r w:rsidRPr="007246E7">
          <w:rPr>
            <w:rStyle w:val="Hyperlink"/>
            <w:rtl/>
          </w:rPr>
          <w:t>תוספות שבת ק"ו ע"א ד"ה חוץ</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Toc163506002 \h</w:instrText>
        </w:r>
        <w:r>
          <w:rPr>
            <w:webHidden/>
            <w:rtl/>
          </w:rPr>
          <w:instrText xml:space="preserve"> </w:instrText>
        </w:r>
        <w:r>
          <w:rPr>
            <w:rStyle w:val="Hyperlink"/>
            <w:rtl/>
          </w:rPr>
        </w:r>
        <w:r>
          <w:rPr>
            <w:rStyle w:val="Hyperlink"/>
            <w:rtl/>
          </w:rPr>
          <w:fldChar w:fldCharType="separate"/>
        </w:r>
        <w:r w:rsidR="00D82181">
          <w:rPr>
            <w:webHidden/>
            <w:rtl/>
          </w:rPr>
          <w:t>117</w:t>
        </w:r>
        <w:r>
          <w:rPr>
            <w:rStyle w:val="Hyperlink"/>
            <w:rtl/>
          </w:rPr>
          <w:fldChar w:fldCharType="end"/>
        </w:r>
      </w:hyperlink>
    </w:p>
    <w:p w14:paraId="1D11238B" w14:textId="68750141" w:rsidR="008009AA" w:rsidRDefault="008009AA">
      <w:pPr>
        <w:pStyle w:val="TOC7"/>
        <w:rPr>
          <w:rFonts w:cstheme="minorBidi"/>
          <w:sz w:val="22"/>
          <w:szCs w:val="22"/>
          <w:rtl/>
        </w:rPr>
      </w:pPr>
      <w:hyperlink w:anchor="_Toc163506003" w:history="1">
        <w:r w:rsidRPr="007246E7">
          <w:rPr>
            <w:rStyle w:val="Hyperlink"/>
            <w:rtl/>
          </w:rPr>
          <w:t>חדושי הרמב"ן שבת ק"ו ע"א ד"ה וכאן</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Toc163506003 \h</w:instrText>
        </w:r>
        <w:r>
          <w:rPr>
            <w:webHidden/>
            <w:rtl/>
          </w:rPr>
          <w:instrText xml:space="preserve"> </w:instrText>
        </w:r>
        <w:r>
          <w:rPr>
            <w:rStyle w:val="Hyperlink"/>
            <w:rtl/>
          </w:rPr>
        </w:r>
        <w:r>
          <w:rPr>
            <w:rStyle w:val="Hyperlink"/>
            <w:rtl/>
          </w:rPr>
          <w:fldChar w:fldCharType="separate"/>
        </w:r>
        <w:r w:rsidR="00D82181">
          <w:rPr>
            <w:webHidden/>
            <w:rtl/>
          </w:rPr>
          <w:t>117</w:t>
        </w:r>
        <w:r>
          <w:rPr>
            <w:rStyle w:val="Hyperlink"/>
            <w:rtl/>
          </w:rPr>
          <w:fldChar w:fldCharType="end"/>
        </w:r>
      </w:hyperlink>
    </w:p>
    <w:p w14:paraId="358D5D9E" w14:textId="74BED0A0" w:rsidR="008009AA" w:rsidRDefault="008009AA">
      <w:pPr>
        <w:pStyle w:val="TOC7"/>
        <w:rPr>
          <w:rFonts w:cstheme="minorBidi"/>
          <w:sz w:val="22"/>
          <w:szCs w:val="22"/>
          <w:rtl/>
        </w:rPr>
      </w:pPr>
      <w:hyperlink w:anchor="_Toc163506004" w:history="1">
        <w:r w:rsidRPr="007246E7">
          <w:rPr>
            <w:rStyle w:val="Hyperlink"/>
            <w:rtl/>
          </w:rPr>
          <w:t>תוספות שבת ק"ו ע"א ד"ה מה לי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Toc163506004 \h</w:instrText>
        </w:r>
        <w:r>
          <w:rPr>
            <w:webHidden/>
            <w:rtl/>
          </w:rPr>
          <w:instrText xml:space="preserve"> </w:instrText>
        </w:r>
        <w:r>
          <w:rPr>
            <w:rStyle w:val="Hyperlink"/>
            <w:rtl/>
          </w:rPr>
        </w:r>
        <w:r>
          <w:rPr>
            <w:rStyle w:val="Hyperlink"/>
            <w:rtl/>
          </w:rPr>
          <w:fldChar w:fldCharType="separate"/>
        </w:r>
        <w:r w:rsidR="00D82181">
          <w:rPr>
            <w:webHidden/>
            <w:rtl/>
          </w:rPr>
          <w:t>117</w:t>
        </w:r>
        <w:r>
          <w:rPr>
            <w:rStyle w:val="Hyperlink"/>
            <w:rtl/>
          </w:rPr>
          <w:fldChar w:fldCharType="end"/>
        </w:r>
      </w:hyperlink>
    </w:p>
    <w:p w14:paraId="0B4D533D" w14:textId="2ACF6F40" w:rsidR="008009AA" w:rsidRDefault="008009AA">
      <w:pPr>
        <w:pStyle w:val="TOC7"/>
        <w:rPr>
          <w:rFonts w:cstheme="minorBidi"/>
          <w:sz w:val="22"/>
          <w:szCs w:val="22"/>
          <w:rtl/>
        </w:rPr>
      </w:pPr>
      <w:hyperlink w:anchor="_Toc163506005" w:history="1">
        <w:r w:rsidRPr="007246E7">
          <w:rPr>
            <w:rStyle w:val="Hyperlink"/>
            <w:rtl/>
          </w:rPr>
          <w:t>שיעורי רבי גרשון כתובות ה' ע"ב אות נ"ז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Toc163506005 \h</w:instrText>
        </w:r>
        <w:r>
          <w:rPr>
            <w:webHidden/>
            <w:rtl/>
          </w:rPr>
          <w:instrText xml:space="preserve"> </w:instrText>
        </w:r>
        <w:r>
          <w:rPr>
            <w:rStyle w:val="Hyperlink"/>
            <w:rtl/>
          </w:rPr>
        </w:r>
        <w:r>
          <w:rPr>
            <w:rStyle w:val="Hyperlink"/>
            <w:rtl/>
          </w:rPr>
          <w:fldChar w:fldCharType="separate"/>
        </w:r>
        <w:r w:rsidR="00D82181">
          <w:rPr>
            <w:webHidden/>
            <w:rtl/>
          </w:rPr>
          <w:t>118</w:t>
        </w:r>
        <w:r>
          <w:rPr>
            <w:rStyle w:val="Hyperlink"/>
            <w:rtl/>
          </w:rPr>
          <w:fldChar w:fldCharType="end"/>
        </w:r>
      </w:hyperlink>
    </w:p>
    <w:p w14:paraId="307F00A9" w14:textId="59305F24" w:rsidR="008009AA" w:rsidRDefault="008009AA">
      <w:pPr>
        <w:pStyle w:val="TOC7"/>
        <w:rPr>
          <w:rFonts w:cstheme="minorBidi"/>
          <w:sz w:val="22"/>
          <w:szCs w:val="22"/>
          <w:rtl/>
        </w:rPr>
      </w:pPr>
      <w:hyperlink w:anchor="_Toc163506006" w:history="1">
        <w:r w:rsidRPr="007246E7">
          <w:rPr>
            <w:rStyle w:val="Hyperlink"/>
            <w:rtl/>
          </w:rPr>
          <w:t>חידושי חזון יחזקאל שבת צ"ג ע"ב ד"ה והעלו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Toc163506006 \h</w:instrText>
        </w:r>
        <w:r>
          <w:rPr>
            <w:webHidden/>
            <w:rtl/>
          </w:rPr>
          <w:instrText xml:space="preserve"> </w:instrText>
        </w:r>
        <w:r>
          <w:rPr>
            <w:rStyle w:val="Hyperlink"/>
            <w:rtl/>
          </w:rPr>
        </w:r>
        <w:r>
          <w:rPr>
            <w:rStyle w:val="Hyperlink"/>
            <w:rtl/>
          </w:rPr>
          <w:fldChar w:fldCharType="separate"/>
        </w:r>
        <w:r w:rsidR="00D82181">
          <w:rPr>
            <w:webHidden/>
            <w:rtl/>
          </w:rPr>
          <w:t>118</w:t>
        </w:r>
        <w:r>
          <w:rPr>
            <w:rStyle w:val="Hyperlink"/>
            <w:rtl/>
          </w:rPr>
          <w:fldChar w:fldCharType="end"/>
        </w:r>
      </w:hyperlink>
    </w:p>
    <w:p w14:paraId="13492166" w14:textId="438CACC5" w:rsidR="008009AA" w:rsidRDefault="008009AA">
      <w:pPr>
        <w:pStyle w:val="TOC7"/>
        <w:rPr>
          <w:rFonts w:cstheme="minorBidi"/>
          <w:sz w:val="22"/>
          <w:szCs w:val="22"/>
          <w:rtl/>
        </w:rPr>
      </w:pPr>
      <w:hyperlink w:anchor="_Toc163506007" w:history="1">
        <w:r w:rsidRPr="007246E7">
          <w:rPr>
            <w:rStyle w:val="Hyperlink"/>
            <w:rtl/>
          </w:rPr>
          <w:t>חידושי חזון יחזקאל שבת צ"ג ע"ב ד"ה הרי הנחה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Toc163506007 \h</w:instrText>
        </w:r>
        <w:r>
          <w:rPr>
            <w:webHidden/>
            <w:rtl/>
          </w:rPr>
          <w:instrText xml:space="preserve"> </w:instrText>
        </w:r>
        <w:r>
          <w:rPr>
            <w:rStyle w:val="Hyperlink"/>
            <w:rtl/>
          </w:rPr>
        </w:r>
        <w:r>
          <w:rPr>
            <w:rStyle w:val="Hyperlink"/>
            <w:rtl/>
          </w:rPr>
          <w:fldChar w:fldCharType="separate"/>
        </w:r>
        <w:r w:rsidR="00D82181">
          <w:rPr>
            <w:webHidden/>
            <w:rtl/>
          </w:rPr>
          <w:t>118</w:t>
        </w:r>
        <w:r>
          <w:rPr>
            <w:rStyle w:val="Hyperlink"/>
            <w:rtl/>
          </w:rPr>
          <w:fldChar w:fldCharType="end"/>
        </w:r>
      </w:hyperlink>
    </w:p>
    <w:p w14:paraId="7792FCE6" w14:textId="799752A5" w:rsidR="008009AA" w:rsidRDefault="008009AA">
      <w:pPr>
        <w:pStyle w:val="TOC7"/>
        <w:rPr>
          <w:rFonts w:cstheme="minorBidi"/>
          <w:sz w:val="22"/>
          <w:szCs w:val="22"/>
          <w:rtl/>
        </w:rPr>
      </w:pPr>
      <w:hyperlink w:anchor="_Toc163506008" w:history="1">
        <w:r w:rsidRPr="007246E7">
          <w:rPr>
            <w:rStyle w:val="Hyperlink"/>
            <w:rtl/>
          </w:rPr>
          <w:t>חידושי חזון יחזקאל שבת צ"ג ע"ב ד"ה אמנם</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Toc163506008 \h</w:instrText>
        </w:r>
        <w:r>
          <w:rPr>
            <w:webHidden/>
            <w:rtl/>
          </w:rPr>
          <w:instrText xml:space="preserve"> </w:instrText>
        </w:r>
        <w:r>
          <w:rPr>
            <w:rStyle w:val="Hyperlink"/>
            <w:rtl/>
          </w:rPr>
        </w:r>
        <w:r>
          <w:rPr>
            <w:rStyle w:val="Hyperlink"/>
            <w:rtl/>
          </w:rPr>
          <w:fldChar w:fldCharType="separate"/>
        </w:r>
        <w:r w:rsidR="00D82181">
          <w:rPr>
            <w:webHidden/>
            <w:rtl/>
          </w:rPr>
          <w:t>119</w:t>
        </w:r>
        <w:r>
          <w:rPr>
            <w:rStyle w:val="Hyperlink"/>
            <w:rtl/>
          </w:rPr>
          <w:fldChar w:fldCharType="end"/>
        </w:r>
      </w:hyperlink>
    </w:p>
    <w:p w14:paraId="5CFD0242" w14:textId="6B527880" w:rsidR="008009AA" w:rsidRDefault="008009AA">
      <w:pPr>
        <w:pStyle w:val="TOC7"/>
        <w:rPr>
          <w:rFonts w:cstheme="minorBidi"/>
          <w:sz w:val="22"/>
          <w:szCs w:val="22"/>
          <w:rtl/>
        </w:rPr>
      </w:pPr>
      <w:hyperlink w:anchor="_Toc163506009" w:history="1">
        <w:r w:rsidRPr="007246E7">
          <w:rPr>
            <w:rStyle w:val="Hyperlink"/>
            <w:rtl/>
          </w:rPr>
          <w:t>הלכות גדולות שבת פכ"ד ד"ה ומלאכה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Toc163506009 \h</w:instrText>
        </w:r>
        <w:r>
          <w:rPr>
            <w:webHidden/>
            <w:rtl/>
          </w:rPr>
          <w:instrText xml:space="preserve"> </w:instrText>
        </w:r>
        <w:r>
          <w:rPr>
            <w:rStyle w:val="Hyperlink"/>
            <w:rtl/>
          </w:rPr>
        </w:r>
        <w:r>
          <w:rPr>
            <w:rStyle w:val="Hyperlink"/>
            <w:rtl/>
          </w:rPr>
          <w:fldChar w:fldCharType="separate"/>
        </w:r>
        <w:r w:rsidR="00D82181">
          <w:rPr>
            <w:webHidden/>
            <w:rtl/>
          </w:rPr>
          <w:t>123</w:t>
        </w:r>
        <w:r>
          <w:rPr>
            <w:rStyle w:val="Hyperlink"/>
            <w:rtl/>
          </w:rPr>
          <w:fldChar w:fldCharType="end"/>
        </w:r>
      </w:hyperlink>
    </w:p>
    <w:p w14:paraId="714C7DCF" w14:textId="6A04E4B8" w:rsidR="008009AA" w:rsidRDefault="008009AA">
      <w:pPr>
        <w:pStyle w:val="TOC7"/>
        <w:rPr>
          <w:rFonts w:cstheme="minorBidi"/>
          <w:sz w:val="22"/>
          <w:szCs w:val="22"/>
          <w:rtl/>
        </w:rPr>
      </w:pPr>
      <w:hyperlink w:anchor="_Toc163506010" w:history="1">
        <w:r w:rsidRPr="007246E7">
          <w:rPr>
            <w:rStyle w:val="Hyperlink"/>
            <w:rtl/>
          </w:rPr>
          <w:t>רבינו חננאל שבת ק"ה ע"ב ד"ה ושנינן</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Toc163506010 \h</w:instrText>
        </w:r>
        <w:r>
          <w:rPr>
            <w:webHidden/>
            <w:rtl/>
          </w:rPr>
          <w:instrText xml:space="preserve"> </w:instrText>
        </w:r>
        <w:r>
          <w:rPr>
            <w:rStyle w:val="Hyperlink"/>
            <w:rtl/>
          </w:rPr>
        </w:r>
        <w:r>
          <w:rPr>
            <w:rStyle w:val="Hyperlink"/>
            <w:rtl/>
          </w:rPr>
          <w:fldChar w:fldCharType="separate"/>
        </w:r>
        <w:r w:rsidR="00D82181">
          <w:rPr>
            <w:webHidden/>
            <w:rtl/>
          </w:rPr>
          <w:t>123</w:t>
        </w:r>
        <w:r>
          <w:rPr>
            <w:rStyle w:val="Hyperlink"/>
            <w:rtl/>
          </w:rPr>
          <w:fldChar w:fldCharType="end"/>
        </w:r>
      </w:hyperlink>
    </w:p>
    <w:p w14:paraId="1E835441" w14:textId="7447AED9" w:rsidR="008009AA" w:rsidRDefault="008009AA">
      <w:pPr>
        <w:pStyle w:val="TOC7"/>
        <w:rPr>
          <w:rFonts w:cstheme="minorBidi"/>
          <w:sz w:val="22"/>
          <w:szCs w:val="22"/>
          <w:rtl/>
        </w:rPr>
      </w:pPr>
      <w:hyperlink w:anchor="_Toc163506011" w:history="1">
        <w:r w:rsidRPr="007246E7">
          <w:rPr>
            <w:rStyle w:val="Hyperlink"/>
            <w:rtl/>
          </w:rPr>
          <w:t>רב ניסים גאון שבת י"ב ע"א ד"ה לא קשיא, והתנאי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Toc163506011 \h</w:instrText>
        </w:r>
        <w:r>
          <w:rPr>
            <w:webHidden/>
            <w:rtl/>
          </w:rPr>
          <w:instrText xml:space="preserve"> </w:instrText>
        </w:r>
        <w:r>
          <w:rPr>
            <w:rStyle w:val="Hyperlink"/>
            <w:rtl/>
          </w:rPr>
        </w:r>
        <w:r>
          <w:rPr>
            <w:rStyle w:val="Hyperlink"/>
            <w:rtl/>
          </w:rPr>
          <w:fldChar w:fldCharType="separate"/>
        </w:r>
        <w:r w:rsidR="00D82181">
          <w:rPr>
            <w:webHidden/>
            <w:rtl/>
          </w:rPr>
          <w:t>123</w:t>
        </w:r>
        <w:r>
          <w:rPr>
            <w:rStyle w:val="Hyperlink"/>
            <w:rtl/>
          </w:rPr>
          <w:fldChar w:fldCharType="end"/>
        </w:r>
      </w:hyperlink>
    </w:p>
    <w:p w14:paraId="2F440460" w14:textId="450D85B6" w:rsidR="008009AA" w:rsidRDefault="008009AA">
      <w:pPr>
        <w:pStyle w:val="TOC7"/>
        <w:rPr>
          <w:rFonts w:cstheme="minorBidi"/>
          <w:sz w:val="22"/>
          <w:szCs w:val="22"/>
          <w:rtl/>
        </w:rPr>
      </w:pPr>
      <w:hyperlink w:anchor="_Toc163506012" w:history="1">
        <w:r w:rsidRPr="007246E7">
          <w:rPr>
            <w:rStyle w:val="Hyperlink"/>
            <w:rtl/>
          </w:rPr>
          <w:t>רבינו חננאל שבת צ"ה ע"ב ד"ה וכן</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Toc163506012 \h</w:instrText>
        </w:r>
        <w:r>
          <w:rPr>
            <w:webHidden/>
            <w:rtl/>
          </w:rPr>
          <w:instrText xml:space="preserve"> </w:instrText>
        </w:r>
        <w:r>
          <w:rPr>
            <w:rStyle w:val="Hyperlink"/>
            <w:rtl/>
          </w:rPr>
        </w:r>
        <w:r>
          <w:rPr>
            <w:rStyle w:val="Hyperlink"/>
            <w:rtl/>
          </w:rPr>
          <w:fldChar w:fldCharType="separate"/>
        </w:r>
        <w:r w:rsidR="00D82181">
          <w:rPr>
            <w:webHidden/>
            <w:rtl/>
          </w:rPr>
          <w:t>123</w:t>
        </w:r>
        <w:r>
          <w:rPr>
            <w:rStyle w:val="Hyperlink"/>
            <w:rtl/>
          </w:rPr>
          <w:fldChar w:fldCharType="end"/>
        </w:r>
      </w:hyperlink>
    </w:p>
    <w:p w14:paraId="5F68AAA5" w14:textId="59D44832" w:rsidR="008009AA" w:rsidRDefault="008009AA">
      <w:pPr>
        <w:pStyle w:val="TOC7"/>
        <w:rPr>
          <w:rFonts w:cstheme="minorBidi"/>
          <w:sz w:val="22"/>
          <w:szCs w:val="22"/>
          <w:rtl/>
        </w:rPr>
      </w:pPr>
      <w:hyperlink w:anchor="_Toc163506013" w:history="1">
        <w:r w:rsidRPr="007246E7">
          <w:rPr>
            <w:rStyle w:val="Hyperlink"/>
            <w:rtl/>
          </w:rPr>
          <w:t>רי"ף עירובין ל"ב ע"ב מדה"ר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Toc163506013 \h</w:instrText>
        </w:r>
        <w:r>
          <w:rPr>
            <w:webHidden/>
            <w:rtl/>
          </w:rPr>
          <w:instrText xml:space="preserve"> </w:instrText>
        </w:r>
        <w:r>
          <w:rPr>
            <w:rStyle w:val="Hyperlink"/>
            <w:rtl/>
          </w:rPr>
        </w:r>
        <w:r>
          <w:rPr>
            <w:rStyle w:val="Hyperlink"/>
            <w:rtl/>
          </w:rPr>
          <w:fldChar w:fldCharType="separate"/>
        </w:r>
        <w:r w:rsidR="00D82181">
          <w:rPr>
            <w:webHidden/>
            <w:rtl/>
          </w:rPr>
          <w:t>123</w:t>
        </w:r>
        <w:r>
          <w:rPr>
            <w:rStyle w:val="Hyperlink"/>
            <w:rtl/>
          </w:rPr>
          <w:fldChar w:fldCharType="end"/>
        </w:r>
      </w:hyperlink>
    </w:p>
    <w:p w14:paraId="4D6758A1" w14:textId="6EA3400D" w:rsidR="008009AA" w:rsidRDefault="008009AA">
      <w:pPr>
        <w:pStyle w:val="TOC7"/>
        <w:rPr>
          <w:rFonts w:cstheme="minorBidi"/>
          <w:sz w:val="22"/>
          <w:szCs w:val="22"/>
          <w:rtl/>
        </w:rPr>
      </w:pPr>
      <w:hyperlink w:anchor="_Toc163506014" w:history="1">
        <w:r w:rsidRPr="007246E7">
          <w:rPr>
            <w:rStyle w:val="Hyperlink"/>
            <w:rtl/>
          </w:rPr>
          <w:t>מחצית השקל אורח חיים סימן שג ס"ק כב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Toc163506014 \h</w:instrText>
        </w:r>
        <w:r>
          <w:rPr>
            <w:webHidden/>
            <w:rtl/>
          </w:rPr>
          <w:instrText xml:space="preserve"> </w:instrText>
        </w:r>
        <w:r>
          <w:rPr>
            <w:rStyle w:val="Hyperlink"/>
            <w:rtl/>
          </w:rPr>
        </w:r>
        <w:r>
          <w:rPr>
            <w:rStyle w:val="Hyperlink"/>
            <w:rtl/>
          </w:rPr>
          <w:fldChar w:fldCharType="separate"/>
        </w:r>
        <w:r w:rsidR="00D82181">
          <w:rPr>
            <w:webHidden/>
            <w:rtl/>
          </w:rPr>
          <w:t>123</w:t>
        </w:r>
        <w:r>
          <w:rPr>
            <w:rStyle w:val="Hyperlink"/>
            <w:rtl/>
          </w:rPr>
          <w:fldChar w:fldCharType="end"/>
        </w:r>
      </w:hyperlink>
    </w:p>
    <w:p w14:paraId="10BFE66B" w14:textId="49F2171F" w:rsidR="008009AA" w:rsidRDefault="008009AA">
      <w:pPr>
        <w:pStyle w:val="TOC7"/>
        <w:rPr>
          <w:rFonts w:cstheme="minorBidi"/>
          <w:sz w:val="22"/>
          <w:szCs w:val="22"/>
          <w:rtl/>
        </w:rPr>
      </w:pPr>
      <w:hyperlink w:anchor="_Toc163506015" w:history="1">
        <w:r w:rsidRPr="007246E7">
          <w:rPr>
            <w:rStyle w:val="Hyperlink"/>
            <w:rtl/>
          </w:rPr>
          <w:t>המאור שבת ל"ח ע"א מדה"ר ד"ה נקוט</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Toc163506015 \h</w:instrText>
        </w:r>
        <w:r>
          <w:rPr>
            <w:webHidden/>
            <w:rtl/>
          </w:rPr>
          <w:instrText xml:space="preserve"> </w:instrText>
        </w:r>
        <w:r>
          <w:rPr>
            <w:rStyle w:val="Hyperlink"/>
            <w:rtl/>
          </w:rPr>
        </w:r>
        <w:r>
          <w:rPr>
            <w:rStyle w:val="Hyperlink"/>
            <w:rtl/>
          </w:rPr>
          <w:fldChar w:fldCharType="separate"/>
        </w:r>
        <w:r w:rsidR="00D82181">
          <w:rPr>
            <w:webHidden/>
            <w:rtl/>
          </w:rPr>
          <w:t>123</w:t>
        </w:r>
        <w:r>
          <w:rPr>
            <w:rStyle w:val="Hyperlink"/>
            <w:rtl/>
          </w:rPr>
          <w:fldChar w:fldCharType="end"/>
        </w:r>
      </w:hyperlink>
    </w:p>
    <w:p w14:paraId="2CF746C0" w14:textId="7F3D679E" w:rsidR="008009AA" w:rsidRDefault="008009AA">
      <w:pPr>
        <w:pStyle w:val="TOC7"/>
        <w:rPr>
          <w:rFonts w:cstheme="minorBidi"/>
          <w:sz w:val="22"/>
          <w:szCs w:val="22"/>
          <w:rtl/>
        </w:rPr>
      </w:pPr>
      <w:hyperlink w:anchor="_Toc163506016" w:history="1">
        <w:r w:rsidRPr="007246E7">
          <w:rPr>
            <w:rStyle w:val="Hyperlink"/>
            <w:rtl/>
          </w:rPr>
          <w:t>המאור שבת ל"ח ע"א מדה"ר ד"ה וחובל</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Toc163506016 \h</w:instrText>
        </w:r>
        <w:r>
          <w:rPr>
            <w:webHidden/>
            <w:rtl/>
          </w:rPr>
          <w:instrText xml:space="preserve"> </w:instrText>
        </w:r>
        <w:r>
          <w:rPr>
            <w:rStyle w:val="Hyperlink"/>
            <w:rtl/>
          </w:rPr>
        </w:r>
        <w:r>
          <w:rPr>
            <w:rStyle w:val="Hyperlink"/>
            <w:rtl/>
          </w:rPr>
          <w:fldChar w:fldCharType="separate"/>
        </w:r>
        <w:r w:rsidR="00D82181">
          <w:rPr>
            <w:webHidden/>
            <w:rtl/>
          </w:rPr>
          <w:t>123</w:t>
        </w:r>
        <w:r>
          <w:rPr>
            <w:rStyle w:val="Hyperlink"/>
            <w:rtl/>
          </w:rPr>
          <w:fldChar w:fldCharType="end"/>
        </w:r>
      </w:hyperlink>
    </w:p>
    <w:p w14:paraId="25621037" w14:textId="7F59F29F" w:rsidR="008009AA" w:rsidRDefault="008009AA">
      <w:pPr>
        <w:pStyle w:val="TOC7"/>
        <w:rPr>
          <w:rFonts w:cstheme="minorBidi"/>
          <w:sz w:val="22"/>
          <w:szCs w:val="22"/>
          <w:rtl/>
        </w:rPr>
      </w:pPr>
      <w:hyperlink w:anchor="_Toc163506017" w:history="1">
        <w:r w:rsidRPr="007246E7">
          <w:rPr>
            <w:rStyle w:val="Hyperlink"/>
            <w:rtl/>
          </w:rPr>
          <w:t>מרכבת המשנה שבת פ"א ה"א ד"ה והיוצא מדבריו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Toc163506017 \h</w:instrText>
        </w:r>
        <w:r>
          <w:rPr>
            <w:webHidden/>
            <w:rtl/>
          </w:rPr>
          <w:instrText xml:space="preserve"> </w:instrText>
        </w:r>
        <w:r>
          <w:rPr>
            <w:rStyle w:val="Hyperlink"/>
            <w:rtl/>
          </w:rPr>
        </w:r>
        <w:r>
          <w:rPr>
            <w:rStyle w:val="Hyperlink"/>
            <w:rtl/>
          </w:rPr>
          <w:fldChar w:fldCharType="separate"/>
        </w:r>
        <w:r w:rsidR="00D82181">
          <w:rPr>
            <w:webHidden/>
            <w:rtl/>
          </w:rPr>
          <w:t>123</w:t>
        </w:r>
        <w:r>
          <w:rPr>
            <w:rStyle w:val="Hyperlink"/>
            <w:rtl/>
          </w:rPr>
          <w:fldChar w:fldCharType="end"/>
        </w:r>
      </w:hyperlink>
    </w:p>
    <w:p w14:paraId="3E14C700" w14:textId="615E87C9" w:rsidR="008009AA" w:rsidRDefault="008009AA">
      <w:pPr>
        <w:pStyle w:val="TOC7"/>
        <w:rPr>
          <w:rFonts w:cstheme="minorBidi"/>
          <w:sz w:val="22"/>
          <w:szCs w:val="22"/>
          <w:rtl/>
        </w:rPr>
      </w:pPr>
      <w:hyperlink w:anchor="_Toc163506018" w:history="1">
        <w:r w:rsidRPr="007246E7">
          <w:rPr>
            <w:rStyle w:val="Hyperlink"/>
            <w:rtl/>
          </w:rPr>
          <w:t>המאור שבת ל"ז ע"ב מדה"ר ד"ה והא אנן</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Toc163506018 \h</w:instrText>
        </w:r>
        <w:r>
          <w:rPr>
            <w:webHidden/>
            <w:rtl/>
          </w:rPr>
          <w:instrText xml:space="preserve"> </w:instrText>
        </w:r>
        <w:r>
          <w:rPr>
            <w:rStyle w:val="Hyperlink"/>
            <w:rtl/>
          </w:rPr>
        </w:r>
        <w:r>
          <w:rPr>
            <w:rStyle w:val="Hyperlink"/>
            <w:rtl/>
          </w:rPr>
          <w:fldChar w:fldCharType="separate"/>
        </w:r>
        <w:r w:rsidR="00D82181">
          <w:rPr>
            <w:webHidden/>
            <w:rtl/>
          </w:rPr>
          <w:t>124</w:t>
        </w:r>
        <w:r>
          <w:rPr>
            <w:rStyle w:val="Hyperlink"/>
            <w:rtl/>
          </w:rPr>
          <w:fldChar w:fldCharType="end"/>
        </w:r>
      </w:hyperlink>
    </w:p>
    <w:p w14:paraId="3E232D9B" w14:textId="55AFC4B7" w:rsidR="008009AA" w:rsidRDefault="008009AA">
      <w:pPr>
        <w:pStyle w:val="TOC7"/>
        <w:rPr>
          <w:rFonts w:cstheme="minorBidi"/>
          <w:sz w:val="22"/>
          <w:szCs w:val="22"/>
          <w:rtl/>
        </w:rPr>
      </w:pPr>
      <w:hyperlink w:anchor="_Toc163506019" w:history="1">
        <w:r w:rsidRPr="007246E7">
          <w:rPr>
            <w:rStyle w:val="Hyperlink"/>
            <w:rtl/>
          </w:rPr>
          <w:t>המאור שבת ל"ח ע"א מדה"ר ד"ה הלכך</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Toc163506019 \h</w:instrText>
        </w:r>
        <w:r>
          <w:rPr>
            <w:webHidden/>
            <w:rtl/>
          </w:rPr>
          <w:instrText xml:space="preserve"> </w:instrText>
        </w:r>
        <w:r>
          <w:rPr>
            <w:rStyle w:val="Hyperlink"/>
            <w:rtl/>
          </w:rPr>
        </w:r>
        <w:r>
          <w:rPr>
            <w:rStyle w:val="Hyperlink"/>
            <w:rtl/>
          </w:rPr>
          <w:fldChar w:fldCharType="separate"/>
        </w:r>
        <w:r w:rsidR="00D82181">
          <w:rPr>
            <w:webHidden/>
            <w:rtl/>
          </w:rPr>
          <w:t>124</w:t>
        </w:r>
        <w:r>
          <w:rPr>
            <w:rStyle w:val="Hyperlink"/>
            <w:rtl/>
          </w:rPr>
          <w:fldChar w:fldCharType="end"/>
        </w:r>
      </w:hyperlink>
    </w:p>
    <w:p w14:paraId="66996EA5" w14:textId="3B4653C8" w:rsidR="008009AA" w:rsidRDefault="008009AA">
      <w:pPr>
        <w:pStyle w:val="TOC7"/>
        <w:rPr>
          <w:rFonts w:cstheme="minorBidi"/>
          <w:sz w:val="22"/>
          <w:szCs w:val="22"/>
          <w:rtl/>
        </w:rPr>
      </w:pPr>
      <w:hyperlink w:anchor="_Toc163506020" w:history="1">
        <w:r w:rsidRPr="007246E7">
          <w:rPr>
            <w:rStyle w:val="Hyperlink"/>
            <w:rtl/>
          </w:rPr>
          <w:t>המאור שבת ל"ח ע"א מדה"ר ד"ה כל זה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Toc163506020 \h</w:instrText>
        </w:r>
        <w:r>
          <w:rPr>
            <w:webHidden/>
            <w:rtl/>
          </w:rPr>
          <w:instrText xml:space="preserve"> </w:instrText>
        </w:r>
        <w:r>
          <w:rPr>
            <w:rStyle w:val="Hyperlink"/>
            <w:rtl/>
          </w:rPr>
        </w:r>
        <w:r>
          <w:rPr>
            <w:rStyle w:val="Hyperlink"/>
            <w:rtl/>
          </w:rPr>
          <w:fldChar w:fldCharType="separate"/>
        </w:r>
        <w:r w:rsidR="00D82181">
          <w:rPr>
            <w:webHidden/>
            <w:rtl/>
          </w:rPr>
          <w:t>124</w:t>
        </w:r>
        <w:r>
          <w:rPr>
            <w:rStyle w:val="Hyperlink"/>
            <w:rtl/>
          </w:rPr>
          <w:fldChar w:fldCharType="end"/>
        </w:r>
      </w:hyperlink>
    </w:p>
    <w:p w14:paraId="273699E4" w14:textId="36BD15CB" w:rsidR="008009AA" w:rsidRDefault="008009AA">
      <w:pPr>
        <w:pStyle w:val="TOC7"/>
        <w:rPr>
          <w:rFonts w:cstheme="minorBidi"/>
          <w:sz w:val="22"/>
          <w:szCs w:val="22"/>
          <w:rtl/>
        </w:rPr>
      </w:pPr>
      <w:hyperlink w:anchor="_Toc163506021" w:history="1">
        <w:r w:rsidRPr="007246E7">
          <w:rPr>
            <w:rStyle w:val="Hyperlink"/>
            <w:rtl/>
          </w:rPr>
          <w:t>המאור שבת ל"ח ע"א מדה"ר ד"ה ובהא פליגי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Toc163506021 \h</w:instrText>
        </w:r>
        <w:r>
          <w:rPr>
            <w:webHidden/>
            <w:rtl/>
          </w:rPr>
          <w:instrText xml:space="preserve"> </w:instrText>
        </w:r>
        <w:r>
          <w:rPr>
            <w:rStyle w:val="Hyperlink"/>
            <w:rtl/>
          </w:rPr>
        </w:r>
        <w:r>
          <w:rPr>
            <w:rStyle w:val="Hyperlink"/>
            <w:rtl/>
          </w:rPr>
          <w:fldChar w:fldCharType="separate"/>
        </w:r>
        <w:r w:rsidR="00D82181">
          <w:rPr>
            <w:webHidden/>
            <w:rtl/>
          </w:rPr>
          <w:t>124</w:t>
        </w:r>
        <w:r>
          <w:rPr>
            <w:rStyle w:val="Hyperlink"/>
            <w:rtl/>
          </w:rPr>
          <w:fldChar w:fldCharType="end"/>
        </w:r>
      </w:hyperlink>
    </w:p>
    <w:p w14:paraId="74BA9385" w14:textId="22D96822" w:rsidR="008009AA" w:rsidRDefault="008009AA">
      <w:pPr>
        <w:pStyle w:val="TOC7"/>
        <w:rPr>
          <w:rFonts w:cstheme="minorBidi"/>
          <w:sz w:val="22"/>
          <w:szCs w:val="22"/>
          <w:rtl/>
        </w:rPr>
      </w:pPr>
      <w:hyperlink w:anchor="_Toc163506022" w:history="1">
        <w:r w:rsidRPr="007246E7">
          <w:rPr>
            <w:rStyle w:val="Hyperlink"/>
            <w:rtl/>
          </w:rPr>
          <w:t>חדושי הרמב"ן שבת צ"ד ע"ב ד"ה פי' מלאכה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Toc163506022 \h</w:instrText>
        </w:r>
        <w:r>
          <w:rPr>
            <w:webHidden/>
            <w:rtl/>
          </w:rPr>
          <w:instrText xml:space="preserve"> </w:instrText>
        </w:r>
        <w:r>
          <w:rPr>
            <w:rStyle w:val="Hyperlink"/>
            <w:rtl/>
          </w:rPr>
        </w:r>
        <w:r>
          <w:rPr>
            <w:rStyle w:val="Hyperlink"/>
            <w:rtl/>
          </w:rPr>
          <w:fldChar w:fldCharType="separate"/>
        </w:r>
        <w:r w:rsidR="00D82181">
          <w:rPr>
            <w:webHidden/>
            <w:rtl/>
          </w:rPr>
          <w:t>125</w:t>
        </w:r>
        <w:r>
          <w:rPr>
            <w:rStyle w:val="Hyperlink"/>
            <w:rtl/>
          </w:rPr>
          <w:fldChar w:fldCharType="end"/>
        </w:r>
      </w:hyperlink>
    </w:p>
    <w:p w14:paraId="34BA5166" w14:textId="0EA416A2" w:rsidR="008009AA" w:rsidRDefault="008009AA">
      <w:pPr>
        <w:pStyle w:val="TOC7"/>
        <w:rPr>
          <w:rFonts w:cstheme="minorBidi"/>
          <w:sz w:val="22"/>
          <w:szCs w:val="22"/>
          <w:rtl/>
        </w:rPr>
      </w:pPr>
      <w:hyperlink w:anchor="_Toc163506023" w:history="1">
        <w:r w:rsidRPr="007246E7">
          <w:rPr>
            <w:rStyle w:val="Hyperlink"/>
            <w:rtl/>
          </w:rPr>
          <w:t>חדושי הרשב"א שבת צ"ד ע"א ד"ה פוטר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Toc163506023 \h</w:instrText>
        </w:r>
        <w:r>
          <w:rPr>
            <w:webHidden/>
            <w:rtl/>
          </w:rPr>
          <w:instrText xml:space="preserve"> </w:instrText>
        </w:r>
        <w:r>
          <w:rPr>
            <w:rStyle w:val="Hyperlink"/>
            <w:rtl/>
          </w:rPr>
        </w:r>
        <w:r>
          <w:rPr>
            <w:rStyle w:val="Hyperlink"/>
            <w:rtl/>
          </w:rPr>
          <w:fldChar w:fldCharType="separate"/>
        </w:r>
        <w:r w:rsidR="00D82181">
          <w:rPr>
            <w:webHidden/>
            <w:rtl/>
          </w:rPr>
          <w:t>125</w:t>
        </w:r>
        <w:r>
          <w:rPr>
            <w:rStyle w:val="Hyperlink"/>
            <w:rtl/>
          </w:rPr>
          <w:fldChar w:fldCharType="end"/>
        </w:r>
      </w:hyperlink>
    </w:p>
    <w:p w14:paraId="6AD18819" w14:textId="04DC5BFB" w:rsidR="008009AA" w:rsidRDefault="008009AA">
      <w:pPr>
        <w:pStyle w:val="TOC7"/>
        <w:rPr>
          <w:rFonts w:cstheme="minorBidi"/>
          <w:sz w:val="22"/>
          <w:szCs w:val="22"/>
          <w:rtl/>
        </w:rPr>
      </w:pPr>
      <w:hyperlink w:anchor="_Toc163506024" w:history="1">
        <w:r w:rsidRPr="007246E7">
          <w:rPr>
            <w:rStyle w:val="Hyperlink"/>
            <w:rtl/>
          </w:rPr>
          <w:t>חדושי הריטב"א שבת צ"ד ע"א ד"ה פוטר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Toc163506024 \h</w:instrText>
        </w:r>
        <w:r>
          <w:rPr>
            <w:webHidden/>
            <w:rtl/>
          </w:rPr>
          <w:instrText xml:space="preserve"> </w:instrText>
        </w:r>
        <w:r>
          <w:rPr>
            <w:rStyle w:val="Hyperlink"/>
            <w:rtl/>
          </w:rPr>
        </w:r>
        <w:r>
          <w:rPr>
            <w:rStyle w:val="Hyperlink"/>
            <w:rtl/>
          </w:rPr>
          <w:fldChar w:fldCharType="separate"/>
        </w:r>
        <w:r w:rsidR="00D82181">
          <w:rPr>
            <w:webHidden/>
            <w:rtl/>
          </w:rPr>
          <w:t>125</w:t>
        </w:r>
        <w:r>
          <w:rPr>
            <w:rStyle w:val="Hyperlink"/>
            <w:rtl/>
          </w:rPr>
          <w:fldChar w:fldCharType="end"/>
        </w:r>
      </w:hyperlink>
    </w:p>
    <w:p w14:paraId="035F2351" w14:textId="58FB6E04" w:rsidR="008009AA" w:rsidRDefault="008009AA">
      <w:pPr>
        <w:pStyle w:val="TOC7"/>
        <w:rPr>
          <w:rFonts w:cstheme="minorBidi"/>
          <w:sz w:val="22"/>
          <w:szCs w:val="22"/>
          <w:rtl/>
        </w:rPr>
      </w:pPr>
      <w:hyperlink w:anchor="_Toc163506025" w:history="1">
        <w:r w:rsidRPr="007246E7">
          <w:rPr>
            <w:rStyle w:val="Hyperlink"/>
            <w:rtl/>
          </w:rPr>
          <w:t>חדושי הר"ן שבת צ"ד ע"א ד"ה פוטר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Toc163506025 \h</w:instrText>
        </w:r>
        <w:r>
          <w:rPr>
            <w:webHidden/>
            <w:rtl/>
          </w:rPr>
          <w:instrText xml:space="preserve"> </w:instrText>
        </w:r>
        <w:r>
          <w:rPr>
            <w:rStyle w:val="Hyperlink"/>
            <w:rtl/>
          </w:rPr>
        </w:r>
        <w:r>
          <w:rPr>
            <w:rStyle w:val="Hyperlink"/>
            <w:rtl/>
          </w:rPr>
          <w:fldChar w:fldCharType="separate"/>
        </w:r>
        <w:r w:rsidR="00D82181">
          <w:rPr>
            <w:webHidden/>
            <w:rtl/>
          </w:rPr>
          <w:t>125</w:t>
        </w:r>
        <w:r>
          <w:rPr>
            <w:rStyle w:val="Hyperlink"/>
            <w:rtl/>
          </w:rPr>
          <w:fldChar w:fldCharType="end"/>
        </w:r>
      </w:hyperlink>
    </w:p>
    <w:p w14:paraId="73DA9431" w14:textId="7D44B892" w:rsidR="008009AA" w:rsidRDefault="008009AA">
      <w:pPr>
        <w:pStyle w:val="TOC7"/>
        <w:rPr>
          <w:rFonts w:cstheme="minorBidi"/>
          <w:sz w:val="22"/>
          <w:szCs w:val="22"/>
          <w:rtl/>
        </w:rPr>
      </w:pPr>
      <w:hyperlink w:anchor="_Toc163506026" w:history="1">
        <w:r w:rsidRPr="007246E7">
          <w:rPr>
            <w:rStyle w:val="Hyperlink"/>
            <w:rtl/>
          </w:rPr>
          <w:t>חדושי הריטב"א שבת ק"ג ע"א ד"ה ומיהו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Toc163506026 \h</w:instrText>
        </w:r>
        <w:r>
          <w:rPr>
            <w:webHidden/>
            <w:rtl/>
          </w:rPr>
          <w:instrText xml:space="preserve"> </w:instrText>
        </w:r>
        <w:r>
          <w:rPr>
            <w:rStyle w:val="Hyperlink"/>
            <w:rtl/>
          </w:rPr>
        </w:r>
        <w:r>
          <w:rPr>
            <w:rStyle w:val="Hyperlink"/>
            <w:rtl/>
          </w:rPr>
          <w:fldChar w:fldCharType="separate"/>
        </w:r>
        <w:r w:rsidR="00D82181">
          <w:rPr>
            <w:webHidden/>
            <w:rtl/>
          </w:rPr>
          <w:t>125</w:t>
        </w:r>
        <w:r>
          <w:rPr>
            <w:rStyle w:val="Hyperlink"/>
            <w:rtl/>
          </w:rPr>
          <w:fldChar w:fldCharType="end"/>
        </w:r>
      </w:hyperlink>
    </w:p>
    <w:p w14:paraId="23741DBB" w14:textId="021F9AD8" w:rsidR="008009AA" w:rsidRDefault="008009AA">
      <w:pPr>
        <w:pStyle w:val="TOC7"/>
        <w:rPr>
          <w:rFonts w:cstheme="minorBidi"/>
          <w:sz w:val="22"/>
          <w:szCs w:val="22"/>
          <w:rtl/>
        </w:rPr>
      </w:pPr>
      <w:hyperlink w:anchor="_Toc163506027" w:history="1">
        <w:r w:rsidRPr="007246E7">
          <w:rPr>
            <w:rStyle w:val="Hyperlink"/>
            <w:rtl/>
          </w:rPr>
          <w:t>מרכבת המשנה שבת פ"א ה"א ד"ה וי"ל לפי מ"ש</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Toc163506027 \h</w:instrText>
        </w:r>
        <w:r>
          <w:rPr>
            <w:webHidden/>
            <w:rtl/>
          </w:rPr>
          <w:instrText xml:space="preserve"> </w:instrText>
        </w:r>
        <w:r>
          <w:rPr>
            <w:rStyle w:val="Hyperlink"/>
            <w:rtl/>
          </w:rPr>
        </w:r>
        <w:r>
          <w:rPr>
            <w:rStyle w:val="Hyperlink"/>
            <w:rtl/>
          </w:rPr>
          <w:fldChar w:fldCharType="separate"/>
        </w:r>
        <w:r w:rsidR="00D82181">
          <w:rPr>
            <w:webHidden/>
            <w:rtl/>
          </w:rPr>
          <w:t>125</w:t>
        </w:r>
        <w:r>
          <w:rPr>
            <w:rStyle w:val="Hyperlink"/>
            <w:rtl/>
          </w:rPr>
          <w:fldChar w:fldCharType="end"/>
        </w:r>
      </w:hyperlink>
    </w:p>
    <w:p w14:paraId="38A54136" w14:textId="114784B4" w:rsidR="008009AA" w:rsidRDefault="008009AA">
      <w:pPr>
        <w:pStyle w:val="TOC7"/>
        <w:rPr>
          <w:rFonts w:cstheme="minorBidi"/>
          <w:sz w:val="22"/>
          <w:szCs w:val="22"/>
          <w:rtl/>
        </w:rPr>
      </w:pPr>
      <w:hyperlink w:anchor="_Toc163506028" w:history="1">
        <w:r w:rsidRPr="007246E7">
          <w:rPr>
            <w:rStyle w:val="Hyperlink"/>
            <w:rtl/>
          </w:rPr>
          <w:t>חדושי הרמב"ן שבת ק"ו ע"א ד"ה כל</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Toc163506028 \h</w:instrText>
        </w:r>
        <w:r>
          <w:rPr>
            <w:webHidden/>
            <w:rtl/>
          </w:rPr>
          <w:instrText xml:space="preserve"> </w:instrText>
        </w:r>
        <w:r>
          <w:rPr>
            <w:rStyle w:val="Hyperlink"/>
            <w:rtl/>
          </w:rPr>
        </w:r>
        <w:r>
          <w:rPr>
            <w:rStyle w:val="Hyperlink"/>
            <w:rtl/>
          </w:rPr>
          <w:fldChar w:fldCharType="separate"/>
        </w:r>
        <w:r w:rsidR="00D82181">
          <w:rPr>
            <w:webHidden/>
            <w:rtl/>
          </w:rPr>
          <w:t>125</w:t>
        </w:r>
        <w:r>
          <w:rPr>
            <w:rStyle w:val="Hyperlink"/>
            <w:rtl/>
          </w:rPr>
          <w:fldChar w:fldCharType="end"/>
        </w:r>
      </w:hyperlink>
    </w:p>
    <w:p w14:paraId="36C389E3" w14:textId="35EDF3FE" w:rsidR="008009AA" w:rsidRDefault="008009AA">
      <w:pPr>
        <w:pStyle w:val="TOC7"/>
        <w:rPr>
          <w:rFonts w:cstheme="minorBidi"/>
          <w:sz w:val="22"/>
          <w:szCs w:val="22"/>
          <w:rtl/>
        </w:rPr>
      </w:pPr>
      <w:hyperlink w:anchor="_Toc163506029" w:history="1">
        <w:r w:rsidRPr="007246E7">
          <w:rPr>
            <w:rStyle w:val="Hyperlink"/>
            <w:rtl/>
          </w:rPr>
          <w:t>חדושי הר"ן שבת ק"ו ע"א ד"ה מתני'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Toc163506029 \h</w:instrText>
        </w:r>
        <w:r>
          <w:rPr>
            <w:webHidden/>
            <w:rtl/>
          </w:rPr>
          <w:instrText xml:space="preserve"> </w:instrText>
        </w:r>
        <w:r>
          <w:rPr>
            <w:rStyle w:val="Hyperlink"/>
            <w:rtl/>
          </w:rPr>
        </w:r>
        <w:r>
          <w:rPr>
            <w:rStyle w:val="Hyperlink"/>
            <w:rtl/>
          </w:rPr>
          <w:fldChar w:fldCharType="separate"/>
        </w:r>
        <w:r w:rsidR="00D82181">
          <w:rPr>
            <w:webHidden/>
            <w:rtl/>
          </w:rPr>
          <w:t>125</w:t>
        </w:r>
        <w:r>
          <w:rPr>
            <w:rStyle w:val="Hyperlink"/>
            <w:rtl/>
          </w:rPr>
          <w:fldChar w:fldCharType="end"/>
        </w:r>
      </w:hyperlink>
    </w:p>
    <w:p w14:paraId="068D9812" w14:textId="5CD77396" w:rsidR="008009AA" w:rsidRDefault="008009AA">
      <w:pPr>
        <w:pStyle w:val="TOC7"/>
        <w:rPr>
          <w:rFonts w:cstheme="minorBidi"/>
          <w:sz w:val="22"/>
          <w:szCs w:val="22"/>
          <w:rtl/>
        </w:rPr>
      </w:pPr>
      <w:hyperlink w:anchor="_Toc163506030" w:history="1">
        <w:r w:rsidRPr="007246E7">
          <w:rPr>
            <w:rStyle w:val="Hyperlink"/>
            <w:rtl/>
          </w:rPr>
          <w:t>חדושי הרמב"ן שבת ק"ו ע"א ד"ה ומזה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Toc163506030 \h</w:instrText>
        </w:r>
        <w:r>
          <w:rPr>
            <w:webHidden/>
            <w:rtl/>
          </w:rPr>
          <w:instrText xml:space="preserve"> </w:instrText>
        </w:r>
        <w:r>
          <w:rPr>
            <w:rStyle w:val="Hyperlink"/>
            <w:rtl/>
          </w:rPr>
        </w:r>
        <w:r>
          <w:rPr>
            <w:rStyle w:val="Hyperlink"/>
            <w:rtl/>
          </w:rPr>
          <w:fldChar w:fldCharType="separate"/>
        </w:r>
        <w:r w:rsidR="00D82181">
          <w:rPr>
            <w:webHidden/>
            <w:rtl/>
          </w:rPr>
          <w:t>126</w:t>
        </w:r>
        <w:r>
          <w:rPr>
            <w:rStyle w:val="Hyperlink"/>
            <w:rtl/>
          </w:rPr>
          <w:fldChar w:fldCharType="end"/>
        </w:r>
      </w:hyperlink>
    </w:p>
    <w:p w14:paraId="010F8C69" w14:textId="775A9ED7" w:rsidR="008009AA" w:rsidRDefault="008009AA">
      <w:pPr>
        <w:pStyle w:val="TOC7"/>
        <w:rPr>
          <w:rFonts w:cstheme="minorBidi"/>
          <w:sz w:val="22"/>
          <w:szCs w:val="22"/>
          <w:rtl/>
        </w:rPr>
      </w:pPr>
      <w:hyperlink w:anchor="_Toc163506031" w:history="1">
        <w:r w:rsidRPr="007246E7">
          <w:rPr>
            <w:rStyle w:val="Hyperlink"/>
            <w:rtl/>
          </w:rPr>
          <w:t>חדושי הרמב"ן שבת ק"ו ע"א ד"ה ורש"י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Toc163506031 \h</w:instrText>
        </w:r>
        <w:r>
          <w:rPr>
            <w:webHidden/>
            <w:rtl/>
          </w:rPr>
          <w:instrText xml:space="preserve"> </w:instrText>
        </w:r>
        <w:r>
          <w:rPr>
            <w:rStyle w:val="Hyperlink"/>
            <w:rtl/>
          </w:rPr>
        </w:r>
        <w:r>
          <w:rPr>
            <w:rStyle w:val="Hyperlink"/>
            <w:rtl/>
          </w:rPr>
          <w:fldChar w:fldCharType="separate"/>
        </w:r>
        <w:r w:rsidR="00D82181">
          <w:rPr>
            <w:webHidden/>
            <w:rtl/>
          </w:rPr>
          <w:t>126</w:t>
        </w:r>
        <w:r>
          <w:rPr>
            <w:rStyle w:val="Hyperlink"/>
            <w:rtl/>
          </w:rPr>
          <w:fldChar w:fldCharType="end"/>
        </w:r>
      </w:hyperlink>
    </w:p>
    <w:p w14:paraId="4C8A4F84" w14:textId="2FFE0A4F" w:rsidR="008009AA" w:rsidRDefault="008009AA">
      <w:pPr>
        <w:pStyle w:val="TOC7"/>
        <w:rPr>
          <w:rFonts w:cstheme="minorBidi"/>
          <w:sz w:val="22"/>
          <w:szCs w:val="22"/>
          <w:rtl/>
        </w:rPr>
      </w:pPr>
      <w:hyperlink w:anchor="_Toc163506032" w:history="1">
        <w:r w:rsidRPr="007246E7">
          <w:rPr>
            <w:rStyle w:val="Hyperlink"/>
            <w:rtl/>
          </w:rPr>
          <w:t>חדושי הרמב"ן שבת ק"ו ע"א ד"ה ואין</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Toc163506032 \h</w:instrText>
        </w:r>
        <w:r>
          <w:rPr>
            <w:webHidden/>
            <w:rtl/>
          </w:rPr>
          <w:instrText xml:space="preserve"> </w:instrText>
        </w:r>
        <w:r>
          <w:rPr>
            <w:rStyle w:val="Hyperlink"/>
            <w:rtl/>
          </w:rPr>
        </w:r>
        <w:r>
          <w:rPr>
            <w:rStyle w:val="Hyperlink"/>
            <w:rtl/>
          </w:rPr>
          <w:fldChar w:fldCharType="separate"/>
        </w:r>
        <w:r w:rsidR="00D82181">
          <w:rPr>
            <w:webHidden/>
            <w:rtl/>
          </w:rPr>
          <w:t>126</w:t>
        </w:r>
        <w:r>
          <w:rPr>
            <w:rStyle w:val="Hyperlink"/>
            <w:rtl/>
          </w:rPr>
          <w:fldChar w:fldCharType="end"/>
        </w:r>
      </w:hyperlink>
    </w:p>
    <w:p w14:paraId="71195DB5" w14:textId="4D877B86" w:rsidR="008009AA" w:rsidRDefault="008009AA">
      <w:pPr>
        <w:pStyle w:val="TOC7"/>
        <w:rPr>
          <w:rFonts w:cstheme="minorBidi"/>
          <w:sz w:val="22"/>
          <w:szCs w:val="22"/>
          <w:rtl/>
        </w:rPr>
      </w:pPr>
      <w:hyperlink w:anchor="_Toc163506033" w:history="1">
        <w:r w:rsidRPr="007246E7">
          <w:rPr>
            <w:rStyle w:val="Hyperlink"/>
            <w:rtl/>
          </w:rPr>
          <w:t>חדושי הר"ן שבת ק"ו ע"א ד"ה לפיכך פי' הרמב"ן</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Toc163506033 \h</w:instrText>
        </w:r>
        <w:r>
          <w:rPr>
            <w:webHidden/>
            <w:rtl/>
          </w:rPr>
          <w:instrText xml:space="preserve"> </w:instrText>
        </w:r>
        <w:r>
          <w:rPr>
            <w:rStyle w:val="Hyperlink"/>
            <w:rtl/>
          </w:rPr>
        </w:r>
        <w:r>
          <w:rPr>
            <w:rStyle w:val="Hyperlink"/>
            <w:rtl/>
          </w:rPr>
          <w:fldChar w:fldCharType="separate"/>
        </w:r>
        <w:r w:rsidR="00D82181">
          <w:rPr>
            <w:webHidden/>
            <w:rtl/>
          </w:rPr>
          <w:t>126</w:t>
        </w:r>
        <w:r>
          <w:rPr>
            <w:rStyle w:val="Hyperlink"/>
            <w:rtl/>
          </w:rPr>
          <w:fldChar w:fldCharType="end"/>
        </w:r>
      </w:hyperlink>
    </w:p>
    <w:p w14:paraId="752CDD7D" w14:textId="01E7BC85" w:rsidR="008009AA" w:rsidRDefault="008009AA">
      <w:pPr>
        <w:pStyle w:val="TOC7"/>
        <w:rPr>
          <w:rFonts w:cstheme="minorBidi"/>
          <w:sz w:val="22"/>
          <w:szCs w:val="22"/>
          <w:rtl/>
        </w:rPr>
      </w:pPr>
      <w:hyperlink w:anchor="_Toc163506034" w:history="1">
        <w:r w:rsidRPr="007246E7">
          <w:rPr>
            <w:rStyle w:val="Hyperlink"/>
            <w:rtl/>
          </w:rPr>
          <w:t>חדושי הרמב"ן שבת ק"ו ע"א ד"ה וכאן</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Toc163506034 \h</w:instrText>
        </w:r>
        <w:r>
          <w:rPr>
            <w:webHidden/>
            <w:rtl/>
          </w:rPr>
          <w:instrText xml:space="preserve"> </w:instrText>
        </w:r>
        <w:r>
          <w:rPr>
            <w:rStyle w:val="Hyperlink"/>
            <w:rtl/>
          </w:rPr>
        </w:r>
        <w:r>
          <w:rPr>
            <w:rStyle w:val="Hyperlink"/>
            <w:rtl/>
          </w:rPr>
          <w:fldChar w:fldCharType="separate"/>
        </w:r>
        <w:r w:rsidR="00D82181">
          <w:rPr>
            <w:webHidden/>
            <w:rtl/>
          </w:rPr>
          <w:t>127</w:t>
        </w:r>
        <w:r>
          <w:rPr>
            <w:rStyle w:val="Hyperlink"/>
            <w:rtl/>
          </w:rPr>
          <w:fldChar w:fldCharType="end"/>
        </w:r>
      </w:hyperlink>
    </w:p>
    <w:p w14:paraId="553A049D" w14:textId="27DDE896" w:rsidR="008009AA" w:rsidRDefault="008009AA">
      <w:pPr>
        <w:pStyle w:val="TOC7"/>
        <w:rPr>
          <w:rFonts w:cstheme="minorBidi"/>
          <w:sz w:val="22"/>
          <w:szCs w:val="22"/>
          <w:rtl/>
        </w:rPr>
      </w:pPr>
      <w:hyperlink w:anchor="_Toc163506035" w:history="1">
        <w:r w:rsidRPr="007246E7">
          <w:rPr>
            <w:rStyle w:val="Hyperlink"/>
            <w:rtl/>
          </w:rPr>
          <w:t>חדושי הר"ן שבת ק"ו ע"א ד"ה ואני תמה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Toc163506035 \h</w:instrText>
        </w:r>
        <w:r>
          <w:rPr>
            <w:webHidden/>
            <w:rtl/>
          </w:rPr>
          <w:instrText xml:space="preserve"> </w:instrText>
        </w:r>
        <w:r>
          <w:rPr>
            <w:rStyle w:val="Hyperlink"/>
            <w:rtl/>
          </w:rPr>
        </w:r>
        <w:r>
          <w:rPr>
            <w:rStyle w:val="Hyperlink"/>
            <w:rtl/>
          </w:rPr>
          <w:fldChar w:fldCharType="separate"/>
        </w:r>
        <w:r w:rsidR="00D82181">
          <w:rPr>
            <w:webHidden/>
            <w:rtl/>
          </w:rPr>
          <w:t>127</w:t>
        </w:r>
        <w:r>
          <w:rPr>
            <w:rStyle w:val="Hyperlink"/>
            <w:rtl/>
          </w:rPr>
          <w:fldChar w:fldCharType="end"/>
        </w:r>
      </w:hyperlink>
    </w:p>
    <w:p w14:paraId="2DCFCCC9" w14:textId="69B4768E" w:rsidR="008009AA" w:rsidRDefault="008009AA">
      <w:pPr>
        <w:pStyle w:val="TOC7"/>
        <w:rPr>
          <w:rFonts w:cstheme="minorBidi"/>
          <w:sz w:val="22"/>
          <w:szCs w:val="22"/>
          <w:rtl/>
        </w:rPr>
      </w:pPr>
      <w:hyperlink w:anchor="_Toc163506036" w:history="1">
        <w:r w:rsidRPr="007246E7">
          <w:rPr>
            <w:rStyle w:val="Hyperlink"/>
            <w:rtl/>
          </w:rPr>
          <w:t>חדושי הרמב"ן שבת ק"ו ע"א ד"ה ואשוב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Toc163506036 \h</w:instrText>
        </w:r>
        <w:r>
          <w:rPr>
            <w:webHidden/>
            <w:rtl/>
          </w:rPr>
          <w:instrText xml:space="preserve"> </w:instrText>
        </w:r>
        <w:r>
          <w:rPr>
            <w:rStyle w:val="Hyperlink"/>
            <w:rtl/>
          </w:rPr>
        </w:r>
        <w:r>
          <w:rPr>
            <w:rStyle w:val="Hyperlink"/>
            <w:rtl/>
          </w:rPr>
          <w:fldChar w:fldCharType="separate"/>
        </w:r>
        <w:r w:rsidR="00D82181">
          <w:rPr>
            <w:webHidden/>
            <w:rtl/>
          </w:rPr>
          <w:t>127</w:t>
        </w:r>
        <w:r>
          <w:rPr>
            <w:rStyle w:val="Hyperlink"/>
            <w:rtl/>
          </w:rPr>
          <w:fldChar w:fldCharType="end"/>
        </w:r>
      </w:hyperlink>
    </w:p>
    <w:p w14:paraId="17EFF504" w14:textId="5000532D" w:rsidR="008009AA" w:rsidRDefault="008009AA">
      <w:pPr>
        <w:pStyle w:val="TOC7"/>
        <w:rPr>
          <w:rFonts w:cstheme="minorBidi"/>
          <w:sz w:val="22"/>
          <w:szCs w:val="22"/>
          <w:rtl/>
        </w:rPr>
      </w:pPr>
      <w:hyperlink w:anchor="_Toc163506037" w:history="1">
        <w:r w:rsidRPr="007246E7">
          <w:rPr>
            <w:rStyle w:val="Hyperlink"/>
            <w:rtl/>
          </w:rPr>
          <w:t>חדושי הרמב"ן שבת ק"ו ע"א ד"ה ועוד נ"ל</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Toc163506037 \h</w:instrText>
        </w:r>
        <w:r>
          <w:rPr>
            <w:webHidden/>
            <w:rtl/>
          </w:rPr>
          <w:instrText xml:space="preserve"> </w:instrText>
        </w:r>
        <w:r>
          <w:rPr>
            <w:rStyle w:val="Hyperlink"/>
            <w:rtl/>
          </w:rPr>
        </w:r>
        <w:r>
          <w:rPr>
            <w:rStyle w:val="Hyperlink"/>
            <w:rtl/>
          </w:rPr>
          <w:fldChar w:fldCharType="separate"/>
        </w:r>
        <w:r w:rsidR="00D82181">
          <w:rPr>
            <w:webHidden/>
            <w:rtl/>
          </w:rPr>
          <w:t>128</w:t>
        </w:r>
        <w:r>
          <w:rPr>
            <w:rStyle w:val="Hyperlink"/>
            <w:rtl/>
          </w:rPr>
          <w:fldChar w:fldCharType="end"/>
        </w:r>
      </w:hyperlink>
    </w:p>
    <w:p w14:paraId="6B97648E" w14:textId="5597D71B" w:rsidR="008009AA" w:rsidRDefault="008009AA">
      <w:pPr>
        <w:pStyle w:val="TOC7"/>
        <w:rPr>
          <w:rFonts w:cstheme="minorBidi"/>
          <w:sz w:val="22"/>
          <w:szCs w:val="22"/>
          <w:rtl/>
        </w:rPr>
      </w:pPr>
      <w:hyperlink w:anchor="_Toc163506038" w:history="1">
        <w:r w:rsidRPr="007246E7">
          <w:rPr>
            <w:rStyle w:val="Hyperlink"/>
            <w:rtl/>
          </w:rPr>
          <w:t>חדושי הר"ן שבת ק"ו ע"א ד"ה לפיכך</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Toc163506038 \h</w:instrText>
        </w:r>
        <w:r>
          <w:rPr>
            <w:webHidden/>
            <w:rtl/>
          </w:rPr>
          <w:instrText xml:space="preserve"> </w:instrText>
        </w:r>
        <w:r>
          <w:rPr>
            <w:rStyle w:val="Hyperlink"/>
            <w:rtl/>
          </w:rPr>
        </w:r>
        <w:r>
          <w:rPr>
            <w:rStyle w:val="Hyperlink"/>
            <w:rtl/>
          </w:rPr>
          <w:fldChar w:fldCharType="separate"/>
        </w:r>
        <w:r w:rsidR="00D82181">
          <w:rPr>
            <w:webHidden/>
            <w:rtl/>
          </w:rPr>
          <w:t>128</w:t>
        </w:r>
        <w:r>
          <w:rPr>
            <w:rStyle w:val="Hyperlink"/>
            <w:rtl/>
          </w:rPr>
          <w:fldChar w:fldCharType="end"/>
        </w:r>
      </w:hyperlink>
    </w:p>
    <w:p w14:paraId="29F98E14" w14:textId="2C41CF0F" w:rsidR="008009AA" w:rsidRDefault="008009AA">
      <w:pPr>
        <w:pStyle w:val="TOC7"/>
        <w:rPr>
          <w:rFonts w:cstheme="minorBidi"/>
          <w:sz w:val="22"/>
          <w:szCs w:val="22"/>
          <w:rtl/>
        </w:rPr>
      </w:pPr>
      <w:hyperlink w:anchor="_Toc163506039" w:history="1">
        <w:r w:rsidRPr="007246E7">
          <w:rPr>
            <w:rStyle w:val="Hyperlink"/>
            <w:rtl/>
          </w:rPr>
          <w:t>חדושי הרשב"א ב"ק ל"ד ע"ב ד"ה תני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Toc163506039 \h</w:instrText>
        </w:r>
        <w:r>
          <w:rPr>
            <w:webHidden/>
            <w:rtl/>
          </w:rPr>
          <w:instrText xml:space="preserve"> </w:instrText>
        </w:r>
        <w:r>
          <w:rPr>
            <w:rStyle w:val="Hyperlink"/>
            <w:rtl/>
          </w:rPr>
        </w:r>
        <w:r>
          <w:rPr>
            <w:rStyle w:val="Hyperlink"/>
            <w:rtl/>
          </w:rPr>
          <w:fldChar w:fldCharType="separate"/>
        </w:r>
        <w:r w:rsidR="00D82181">
          <w:rPr>
            <w:webHidden/>
            <w:rtl/>
          </w:rPr>
          <w:t>129</w:t>
        </w:r>
        <w:r>
          <w:rPr>
            <w:rStyle w:val="Hyperlink"/>
            <w:rtl/>
          </w:rPr>
          <w:fldChar w:fldCharType="end"/>
        </w:r>
      </w:hyperlink>
    </w:p>
    <w:p w14:paraId="65CC5DB8" w14:textId="73B18596" w:rsidR="008009AA" w:rsidRDefault="008009AA">
      <w:pPr>
        <w:pStyle w:val="TOC7"/>
        <w:rPr>
          <w:rFonts w:cstheme="minorBidi"/>
          <w:sz w:val="22"/>
          <w:szCs w:val="22"/>
          <w:rtl/>
        </w:rPr>
      </w:pPr>
      <w:hyperlink w:anchor="_Toc163506040" w:history="1">
        <w:r w:rsidRPr="007246E7">
          <w:rPr>
            <w:rStyle w:val="Hyperlink"/>
            <w:rtl/>
          </w:rPr>
          <w:t>חדושי הרשב"א ב"ק ל"ד ע"ב ד"ה ועכשיו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Toc163506040 \h</w:instrText>
        </w:r>
        <w:r>
          <w:rPr>
            <w:webHidden/>
            <w:rtl/>
          </w:rPr>
          <w:instrText xml:space="preserve"> </w:instrText>
        </w:r>
        <w:r>
          <w:rPr>
            <w:rStyle w:val="Hyperlink"/>
            <w:rtl/>
          </w:rPr>
        </w:r>
        <w:r>
          <w:rPr>
            <w:rStyle w:val="Hyperlink"/>
            <w:rtl/>
          </w:rPr>
          <w:fldChar w:fldCharType="separate"/>
        </w:r>
        <w:r w:rsidR="00D82181">
          <w:rPr>
            <w:webHidden/>
            <w:rtl/>
          </w:rPr>
          <w:t>129</w:t>
        </w:r>
        <w:r>
          <w:rPr>
            <w:rStyle w:val="Hyperlink"/>
            <w:rtl/>
          </w:rPr>
          <w:fldChar w:fldCharType="end"/>
        </w:r>
      </w:hyperlink>
    </w:p>
    <w:p w14:paraId="6C344E7B" w14:textId="5ADEC73D" w:rsidR="008009AA" w:rsidRDefault="008009AA">
      <w:pPr>
        <w:pStyle w:val="TOC7"/>
        <w:rPr>
          <w:rFonts w:cstheme="minorBidi"/>
          <w:sz w:val="22"/>
          <w:szCs w:val="22"/>
          <w:rtl/>
        </w:rPr>
      </w:pPr>
      <w:hyperlink w:anchor="_Toc163506041" w:history="1">
        <w:r w:rsidRPr="007246E7">
          <w:rPr>
            <w:rStyle w:val="Hyperlink"/>
            <w:rtl/>
          </w:rPr>
          <w:t>חדושי הרשב"א ב"ק ל"ד ע"ב ד"ה ור"י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Toc163506041 \h</w:instrText>
        </w:r>
        <w:r>
          <w:rPr>
            <w:webHidden/>
            <w:rtl/>
          </w:rPr>
          <w:instrText xml:space="preserve"> </w:instrText>
        </w:r>
        <w:r>
          <w:rPr>
            <w:rStyle w:val="Hyperlink"/>
            <w:rtl/>
          </w:rPr>
        </w:r>
        <w:r>
          <w:rPr>
            <w:rStyle w:val="Hyperlink"/>
            <w:rtl/>
          </w:rPr>
          <w:fldChar w:fldCharType="separate"/>
        </w:r>
        <w:r w:rsidR="00D82181">
          <w:rPr>
            <w:webHidden/>
            <w:rtl/>
          </w:rPr>
          <w:t>129</w:t>
        </w:r>
        <w:r>
          <w:rPr>
            <w:rStyle w:val="Hyperlink"/>
            <w:rtl/>
          </w:rPr>
          <w:fldChar w:fldCharType="end"/>
        </w:r>
      </w:hyperlink>
    </w:p>
    <w:p w14:paraId="2DB3C171" w14:textId="0281C06F" w:rsidR="008009AA" w:rsidRDefault="008009AA">
      <w:pPr>
        <w:pStyle w:val="TOC7"/>
        <w:rPr>
          <w:rFonts w:cstheme="minorBidi"/>
          <w:sz w:val="22"/>
          <w:szCs w:val="22"/>
          <w:rtl/>
        </w:rPr>
      </w:pPr>
      <w:hyperlink w:anchor="_Toc163506042" w:history="1">
        <w:r w:rsidRPr="007246E7">
          <w:rPr>
            <w:rStyle w:val="Hyperlink"/>
            <w:rtl/>
          </w:rPr>
          <w:t>חדושי הרשב"א ב"ק ל"ד ע"ב ד"ה והאי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Toc163506042 \h</w:instrText>
        </w:r>
        <w:r>
          <w:rPr>
            <w:webHidden/>
            <w:rtl/>
          </w:rPr>
          <w:instrText xml:space="preserve"> </w:instrText>
        </w:r>
        <w:r>
          <w:rPr>
            <w:rStyle w:val="Hyperlink"/>
            <w:rtl/>
          </w:rPr>
        </w:r>
        <w:r>
          <w:rPr>
            <w:rStyle w:val="Hyperlink"/>
            <w:rtl/>
          </w:rPr>
          <w:fldChar w:fldCharType="separate"/>
        </w:r>
        <w:r w:rsidR="00D82181">
          <w:rPr>
            <w:webHidden/>
            <w:rtl/>
          </w:rPr>
          <w:t>129</w:t>
        </w:r>
        <w:r>
          <w:rPr>
            <w:rStyle w:val="Hyperlink"/>
            <w:rtl/>
          </w:rPr>
          <w:fldChar w:fldCharType="end"/>
        </w:r>
      </w:hyperlink>
    </w:p>
    <w:p w14:paraId="6410D029" w14:textId="4F428B7A" w:rsidR="008009AA" w:rsidRDefault="008009AA">
      <w:pPr>
        <w:pStyle w:val="TOC7"/>
        <w:rPr>
          <w:rFonts w:cstheme="minorBidi"/>
          <w:sz w:val="22"/>
          <w:szCs w:val="22"/>
          <w:rtl/>
        </w:rPr>
      </w:pPr>
      <w:hyperlink w:anchor="_Toc163506043" w:history="1">
        <w:r w:rsidRPr="007246E7">
          <w:rPr>
            <w:rStyle w:val="Hyperlink"/>
            <w:rtl/>
          </w:rPr>
          <w:t>חדושי הראב"ד ב"ק ל"ד ע"ב ד"ה כגון</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Toc163506043 \h</w:instrText>
        </w:r>
        <w:r>
          <w:rPr>
            <w:webHidden/>
            <w:rtl/>
          </w:rPr>
          <w:instrText xml:space="preserve"> </w:instrText>
        </w:r>
        <w:r>
          <w:rPr>
            <w:rStyle w:val="Hyperlink"/>
            <w:rtl/>
          </w:rPr>
        </w:r>
        <w:r>
          <w:rPr>
            <w:rStyle w:val="Hyperlink"/>
            <w:rtl/>
          </w:rPr>
          <w:fldChar w:fldCharType="separate"/>
        </w:r>
        <w:r w:rsidR="00D82181">
          <w:rPr>
            <w:webHidden/>
            <w:rtl/>
          </w:rPr>
          <w:t>130</w:t>
        </w:r>
        <w:r>
          <w:rPr>
            <w:rStyle w:val="Hyperlink"/>
            <w:rtl/>
          </w:rPr>
          <w:fldChar w:fldCharType="end"/>
        </w:r>
      </w:hyperlink>
    </w:p>
    <w:p w14:paraId="740E9300" w14:textId="27D8F636" w:rsidR="008009AA" w:rsidRDefault="008009AA">
      <w:pPr>
        <w:pStyle w:val="TOC7"/>
        <w:rPr>
          <w:rFonts w:cstheme="minorBidi"/>
          <w:sz w:val="22"/>
          <w:szCs w:val="22"/>
          <w:rtl/>
        </w:rPr>
      </w:pPr>
      <w:hyperlink w:anchor="_Toc163506044" w:history="1">
        <w:r w:rsidRPr="007246E7">
          <w:rPr>
            <w:rStyle w:val="Hyperlink"/>
            <w:rtl/>
          </w:rPr>
          <w:t>חדושי הריטב"א שבת מ"ב ע"א ד"ה למימרא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Toc163506044 \h</w:instrText>
        </w:r>
        <w:r>
          <w:rPr>
            <w:webHidden/>
            <w:rtl/>
          </w:rPr>
          <w:instrText xml:space="preserve"> </w:instrText>
        </w:r>
        <w:r>
          <w:rPr>
            <w:rStyle w:val="Hyperlink"/>
            <w:rtl/>
          </w:rPr>
        </w:r>
        <w:r>
          <w:rPr>
            <w:rStyle w:val="Hyperlink"/>
            <w:rtl/>
          </w:rPr>
          <w:fldChar w:fldCharType="separate"/>
        </w:r>
        <w:r w:rsidR="00D82181">
          <w:rPr>
            <w:webHidden/>
            <w:rtl/>
          </w:rPr>
          <w:t>130</w:t>
        </w:r>
        <w:r>
          <w:rPr>
            <w:rStyle w:val="Hyperlink"/>
            <w:rtl/>
          </w:rPr>
          <w:fldChar w:fldCharType="end"/>
        </w:r>
      </w:hyperlink>
    </w:p>
    <w:p w14:paraId="6E2A6C98" w14:textId="0C2F876F" w:rsidR="008009AA" w:rsidRDefault="008009AA">
      <w:pPr>
        <w:pStyle w:val="TOC7"/>
        <w:rPr>
          <w:rFonts w:cstheme="minorBidi"/>
          <w:sz w:val="22"/>
          <w:szCs w:val="22"/>
          <w:rtl/>
        </w:rPr>
      </w:pPr>
      <w:hyperlink w:anchor="_Toc163506045" w:history="1">
        <w:r w:rsidRPr="007246E7">
          <w:rPr>
            <w:rStyle w:val="Hyperlink"/>
            <w:rtl/>
          </w:rPr>
          <w:t>חדושי הריטב"א שבת קי"ז ע"א ד"ה ומפרקינן</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Toc163506045 \h</w:instrText>
        </w:r>
        <w:r>
          <w:rPr>
            <w:webHidden/>
            <w:rtl/>
          </w:rPr>
          <w:instrText xml:space="preserve"> </w:instrText>
        </w:r>
        <w:r>
          <w:rPr>
            <w:rStyle w:val="Hyperlink"/>
            <w:rtl/>
          </w:rPr>
        </w:r>
        <w:r>
          <w:rPr>
            <w:rStyle w:val="Hyperlink"/>
            <w:rtl/>
          </w:rPr>
          <w:fldChar w:fldCharType="separate"/>
        </w:r>
        <w:r w:rsidR="00D82181">
          <w:rPr>
            <w:webHidden/>
            <w:rtl/>
          </w:rPr>
          <w:t>130</w:t>
        </w:r>
        <w:r>
          <w:rPr>
            <w:rStyle w:val="Hyperlink"/>
            <w:rtl/>
          </w:rPr>
          <w:fldChar w:fldCharType="end"/>
        </w:r>
      </w:hyperlink>
    </w:p>
    <w:p w14:paraId="6C94FE53" w14:textId="2F3F97BA" w:rsidR="008009AA" w:rsidRDefault="008009AA">
      <w:pPr>
        <w:pStyle w:val="TOC7"/>
        <w:rPr>
          <w:rFonts w:cstheme="minorBidi"/>
          <w:sz w:val="22"/>
          <w:szCs w:val="22"/>
          <w:rtl/>
        </w:rPr>
      </w:pPr>
      <w:hyperlink w:anchor="_Toc163506046" w:history="1">
        <w:r w:rsidRPr="007246E7">
          <w:rPr>
            <w:rStyle w:val="Hyperlink"/>
            <w:rtl/>
          </w:rPr>
          <w:t>חדושי הריטב"א שבת קל"ג ע"א ד"ה הא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Toc163506046 \h</w:instrText>
        </w:r>
        <w:r>
          <w:rPr>
            <w:webHidden/>
            <w:rtl/>
          </w:rPr>
          <w:instrText xml:space="preserve"> </w:instrText>
        </w:r>
        <w:r>
          <w:rPr>
            <w:rStyle w:val="Hyperlink"/>
            <w:rtl/>
          </w:rPr>
        </w:r>
        <w:r>
          <w:rPr>
            <w:rStyle w:val="Hyperlink"/>
            <w:rtl/>
          </w:rPr>
          <w:fldChar w:fldCharType="separate"/>
        </w:r>
        <w:r w:rsidR="00D82181">
          <w:rPr>
            <w:webHidden/>
            <w:rtl/>
          </w:rPr>
          <w:t>130</w:t>
        </w:r>
        <w:r>
          <w:rPr>
            <w:rStyle w:val="Hyperlink"/>
            <w:rtl/>
          </w:rPr>
          <w:fldChar w:fldCharType="end"/>
        </w:r>
      </w:hyperlink>
    </w:p>
    <w:p w14:paraId="2AEDA0C7" w14:textId="34906251" w:rsidR="008009AA" w:rsidRDefault="008009AA">
      <w:pPr>
        <w:pStyle w:val="TOC7"/>
        <w:rPr>
          <w:rFonts w:cstheme="minorBidi"/>
          <w:sz w:val="22"/>
          <w:szCs w:val="22"/>
          <w:rtl/>
        </w:rPr>
      </w:pPr>
      <w:hyperlink w:anchor="_Toc163506047" w:history="1">
        <w:r w:rsidRPr="007246E7">
          <w:rPr>
            <w:rStyle w:val="Hyperlink"/>
            <w:rtl/>
          </w:rPr>
          <w:t>שיטה מקובצת [רא"ה] ב"ק ל"ד ע"ב ד"ה תני רבי אבהו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Toc163506047 \h</w:instrText>
        </w:r>
        <w:r>
          <w:rPr>
            <w:webHidden/>
            <w:rtl/>
          </w:rPr>
          <w:instrText xml:space="preserve"> </w:instrText>
        </w:r>
        <w:r>
          <w:rPr>
            <w:rStyle w:val="Hyperlink"/>
            <w:rtl/>
          </w:rPr>
        </w:r>
        <w:r>
          <w:rPr>
            <w:rStyle w:val="Hyperlink"/>
            <w:rtl/>
          </w:rPr>
          <w:fldChar w:fldCharType="separate"/>
        </w:r>
        <w:r w:rsidR="00D82181">
          <w:rPr>
            <w:webHidden/>
            <w:rtl/>
          </w:rPr>
          <w:t>131</w:t>
        </w:r>
        <w:r>
          <w:rPr>
            <w:rStyle w:val="Hyperlink"/>
            <w:rtl/>
          </w:rPr>
          <w:fldChar w:fldCharType="end"/>
        </w:r>
      </w:hyperlink>
    </w:p>
    <w:p w14:paraId="793DB80C" w14:textId="203FAD9E" w:rsidR="008009AA" w:rsidRDefault="008009AA">
      <w:pPr>
        <w:pStyle w:val="TOC7"/>
        <w:rPr>
          <w:rFonts w:cstheme="minorBidi"/>
          <w:sz w:val="22"/>
          <w:szCs w:val="22"/>
          <w:rtl/>
        </w:rPr>
      </w:pPr>
      <w:hyperlink w:anchor="_Toc163506048" w:history="1">
        <w:r w:rsidRPr="007246E7">
          <w:rPr>
            <w:rStyle w:val="Hyperlink"/>
            <w:rtl/>
          </w:rPr>
          <w:t>שיטה מקובצת [רא"ה] ב"ק ל"ד ע"ב ד"ה והיינו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Toc163506048 \h</w:instrText>
        </w:r>
        <w:r>
          <w:rPr>
            <w:webHidden/>
            <w:rtl/>
          </w:rPr>
          <w:instrText xml:space="preserve"> </w:instrText>
        </w:r>
        <w:r>
          <w:rPr>
            <w:rStyle w:val="Hyperlink"/>
            <w:rtl/>
          </w:rPr>
        </w:r>
        <w:r>
          <w:rPr>
            <w:rStyle w:val="Hyperlink"/>
            <w:rtl/>
          </w:rPr>
          <w:fldChar w:fldCharType="separate"/>
        </w:r>
        <w:r w:rsidR="00D82181">
          <w:rPr>
            <w:webHidden/>
            <w:rtl/>
          </w:rPr>
          <w:t>131</w:t>
        </w:r>
        <w:r>
          <w:rPr>
            <w:rStyle w:val="Hyperlink"/>
            <w:rtl/>
          </w:rPr>
          <w:fldChar w:fldCharType="end"/>
        </w:r>
      </w:hyperlink>
    </w:p>
    <w:p w14:paraId="4FCAA8AF" w14:textId="45B0744C" w:rsidR="008009AA" w:rsidRDefault="008009AA">
      <w:pPr>
        <w:pStyle w:val="TOC7"/>
        <w:rPr>
          <w:rFonts w:cstheme="minorBidi"/>
          <w:sz w:val="22"/>
          <w:szCs w:val="22"/>
          <w:rtl/>
        </w:rPr>
      </w:pPr>
      <w:hyperlink w:anchor="_Toc163506049" w:history="1">
        <w:r w:rsidRPr="007246E7">
          <w:rPr>
            <w:rStyle w:val="Hyperlink"/>
            <w:rtl/>
          </w:rPr>
          <w:t>תוספות רי"ד שבת ק"ז ע"ב ד"ה אמר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Toc163506049 \h</w:instrText>
        </w:r>
        <w:r>
          <w:rPr>
            <w:webHidden/>
            <w:rtl/>
          </w:rPr>
          <w:instrText xml:space="preserve"> </w:instrText>
        </w:r>
        <w:r>
          <w:rPr>
            <w:rStyle w:val="Hyperlink"/>
            <w:rtl/>
          </w:rPr>
        </w:r>
        <w:r>
          <w:rPr>
            <w:rStyle w:val="Hyperlink"/>
            <w:rtl/>
          </w:rPr>
          <w:fldChar w:fldCharType="separate"/>
        </w:r>
        <w:r w:rsidR="00D82181">
          <w:rPr>
            <w:webHidden/>
            <w:rtl/>
          </w:rPr>
          <w:t>131</w:t>
        </w:r>
        <w:r>
          <w:rPr>
            <w:rStyle w:val="Hyperlink"/>
            <w:rtl/>
          </w:rPr>
          <w:fldChar w:fldCharType="end"/>
        </w:r>
      </w:hyperlink>
    </w:p>
    <w:p w14:paraId="2CB61306" w14:textId="146E72DC" w:rsidR="008009AA" w:rsidRDefault="008009AA">
      <w:pPr>
        <w:pStyle w:val="TOC7"/>
        <w:rPr>
          <w:rFonts w:cstheme="minorBidi"/>
          <w:sz w:val="22"/>
          <w:szCs w:val="22"/>
          <w:rtl/>
        </w:rPr>
      </w:pPr>
      <w:hyperlink w:anchor="_Toc163506050" w:history="1">
        <w:r w:rsidRPr="007246E7">
          <w:rPr>
            <w:rStyle w:val="Hyperlink"/>
            <w:rtl/>
          </w:rPr>
          <w:t>תוספות רי"ד שבת קכ"א ע"ב ד"ה מני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Toc163506050 \h</w:instrText>
        </w:r>
        <w:r>
          <w:rPr>
            <w:webHidden/>
            <w:rtl/>
          </w:rPr>
          <w:instrText xml:space="preserve"> </w:instrText>
        </w:r>
        <w:r>
          <w:rPr>
            <w:rStyle w:val="Hyperlink"/>
            <w:rtl/>
          </w:rPr>
        </w:r>
        <w:r>
          <w:rPr>
            <w:rStyle w:val="Hyperlink"/>
            <w:rtl/>
          </w:rPr>
          <w:fldChar w:fldCharType="separate"/>
        </w:r>
        <w:r w:rsidR="00D82181">
          <w:rPr>
            <w:webHidden/>
            <w:rtl/>
          </w:rPr>
          <w:t>131</w:t>
        </w:r>
        <w:r>
          <w:rPr>
            <w:rStyle w:val="Hyperlink"/>
            <w:rtl/>
          </w:rPr>
          <w:fldChar w:fldCharType="end"/>
        </w:r>
      </w:hyperlink>
    </w:p>
    <w:p w14:paraId="600491AA" w14:textId="64CB9DAA" w:rsidR="008009AA" w:rsidRDefault="008009AA">
      <w:pPr>
        <w:pStyle w:val="TOC7"/>
        <w:rPr>
          <w:rFonts w:cstheme="minorBidi"/>
          <w:sz w:val="22"/>
          <w:szCs w:val="22"/>
          <w:rtl/>
        </w:rPr>
      </w:pPr>
      <w:hyperlink w:anchor="_Toc163506051" w:history="1">
        <w:r w:rsidRPr="007246E7">
          <w:rPr>
            <w:rStyle w:val="Hyperlink"/>
            <w:rtl/>
          </w:rPr>
          <w:t>תוספות רי"ד שבת קכ"א ע"ב ד"ה ונראה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Toc163506051 \h</w:instrText>
        </w:r>
        <w:r>
          <w:rPr>
            <w:webHidden/>
            <w:rtl/>
          </w:rPr>
          <w:instrText xml:space="preserve"> </w:instrText>
        </w:r>
        <w:r>
          <w:rPr>
            <w:rStyle w:val="Hyperlink"/>
            <w:rtl/>
          </w:rPr>
        </w:r>
        <w:r>
          <w:rPr>
            <w:rStyle w:val="Hyperlink"/>
            <w:rtl/>
          </w:rPr>
          <w:fldChar w:fldCharType="separate"/>
        </w:r>
        <w:r w:rsidR="00D82181">
          <w:rPr>
            <w:webHidden/>
            <w:rtl/>
          </w:rPr>
          <w:t>131</w:t>
        </w:r>
        <w:r>
          <w:rPr>
            <w:rStyle w:val="Hyperlink"/>
            <w:rtl/>
          </w:rPr>
          <w:fldChar w:fldCharType="end"/>
        </w:r>
      </w:hyperlink>
    </w:p>
    <w:p w14:paraId="2A550159" w14:textId="459E836C" w:rsidR="008009AA" w:rsidRDefault="008009AA">
      <w:pPr>
        <w:pStyle w:val="TOC7"/>
        <w:rPr>
          <w:rFonts w:cstheme="minorBidi"/>
          <w:sz w:val="22"/>
          <w:szCs w:val="22"/>
          <w:rtl/>
        </w:rPr>
      </w:pPr>
      <w:hyperlink w:anchor="_Toc163506052" w:history="1">
        <w:r w:rsidRPr="007246E7">
          <w:rPr>
            <w:rStyle w:val="Hyperlink"/>
            <w:rtl/>
          </w:rPr>
          <w:t>תוספות רי"ד שבת קכ"א ע"ב ד"ה תשובה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Toc163506052 \h</w:instrText>
        </w:r>
        <w:r>
          <w:rPr>
            <w:webHidden/>
            <w:rtl/>
          </w:rPr>
          <w:instrText xml:space="preserve"> </w:instrText>
        </w:r>
        <w:r>
          <w:rPr>
            <w:rStyle w:val="Hyperlink"/>
            <w:rtl/>
          </w:rPr>
        </w:r>
        <w:r>
          <w:rPr>
            <w:rStyle w:val="Hyperlink"/>
            <w:rtl/>
          </w:rPr>
          <w:fldChar w:fldCharType="separate"/>
        </w:r>
        <w:r w:rsidR="00D82181">
          <w:rPr>
            <w:webHidden/>
            <w:rtl/>
          </w:rPr>
          <w:t>132</w:t>
        </w:r>
        <w:r>
          <w:rPr>
            <w:rStyle w:val="Hyperlink"/>
            <w:rtl/>
          </w:rPr>
          <w:fldChar w:fldCharType="end"/>
        </w:r>
      </w:hyperlink>
    </w:p>
    <w:p w14:paraId="1A217DF7" w14:textId="3093D0C8" w:rsidR="008009AA" w:rsidRDefault="008009AA">
      <w:pPr>
        <w:pStyle w:val="TOC7"/>
        <w:rPr>
          <w:rFonts w:cstheme="minorBidi"/>
          <w:sz w:val="22"/>
          <w:szCs w:val="22"/>
          <w:rtl/>
        </w:rPr>
      </w:pPr>
      <w:hyperlink w:anchor="_Toc163506053" w:history="1">
        <w:r w:rsidRPr="007246E7">
          <w:rPr>
            <w:rStyle w:val="Hyperlink"/>
            <w:rtl/>
          </w:rPr>
          <w:t>תוספות רי"ד שבת קכ"א ע"ב ד"ה ומאי דאמרן</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Toc163506053 \h</w:instrText>
        </w:r>
        <w:r>
          <w:rPr>
            <w:webHidden/>
            <w:rtl/>
          </w:rPr>
          <w:instrText xml:space="preserve"> </w:instrText>
        </w:r>
        <w:r>
          <w:rPr>
            <w:rStyle w:val="Hyperlink"/>
            <w:rtl/>
          </w:rPr>
        </w:r>
        <w:r>
          <w:rPr>
            <w:rStyle w:val="Hyperlink"/>
            <w:rtl/>
          </w:rPr>
          <w:fldChar w:fldCharType="separate"/>
        </w:r>
        <w:r w:rsidR="00D82181">
          <w:rPr>
            <w:webHidden/>
            <w:rtl/>
          </w:rPr>
          <w:t>132</w:t>
        </w:r>
        <w:r>
          <w:rPr>
            <w:rStyle w:val="Hyperlink"/>
            <w:rtl/>
          </w:rPr>
          <w:fldChar w:fldCharType="end"/>
        </w:r>
      </w:hyperlink>
    </w:p>
    <w:p w14:paraId="11EA1CEA" w14:textId="4A52E9FB" w:rsidR="008009AA" w:rsidRDefault="008009AA">
      <w:pPr>
        <w:pStyle w:val="TOC7"/>
        <w:rPr>
          <w:rFonts w:cstheme="minorBidi"/>
          <w:sz w:val="22"/>
          <w:szCs w:val="22"/>
          <w:rtl/>
        </w:rPr>
      </w:pPr>
      <w:hyperlink w:anchor="_Toc163506054" w:history="1">
        <w:r w:rsidRPr="007246E7">
          <w:rPr>
            <w:rStyle w:val="Hyperlink"/>
            <w:rtl/>
          </w:rPr>
          <w:t>ספר יראים סי' רע"ד ד"ה המכבה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Toc163506054 \h</w:instrText>
        </w:r>
        <w:r>
          <w:rPr>
            <w:webHidden/>
            <w:rtl/>
          </w:rPr>
          <w:instrText xml:space="preserve"> </w:instrText>
        </w:r>
        <w:r>
          <w:rPr>
            <w:rStyle w:val="Hyperlink"/>
            <w:rtl/>
          </w:rPr>
        </w:r>
        <w:r>
          <w:rPr>
            <w:rStyle w:val="Hyperlink"/>
            <w:rtl/>
          </w:rPr>
          <w:fldChar w:fldCharType="separate"/>
        </w:r>
        <w:r w:rsidR="00D82181">
          <w:rPr>
            <w:webHidden/>
            <w:rtl/>
          </w:rPr>
          <w:t>132</w:t>
        </w:r>
        <w:r>
          <w:rPr>
            <w:rStyle w:val="Hyperlink"/>
            <w:rtl/>
          </w:rPr>
          <w:fldChar w:fldCharType="end"/>
        </w:r>
      </w:hyperlink>
    </w:p>
    <w:p w14:paraId="5D63E89D" w14:textId="61282F7D" w:rsidR="008009AA" w:rsidRDefault="008009AA">
      <w:pPr>
        <w:pStyle w:val="TOC7"/>
        <w:rPr>
          <w:rFonts w:cstheme="minorBidi"/>
          <w:sz w:val="22"/>
          <w:szCs w:val="22"/>
          <w:rtl/>
        </w:rPr>
      </w:pPr>
      <w:hyperlink w:anchor="_Toc163506055" w:history="1">
        <w:r w:rsidRPr="007246E7">
          <w:rPr>
            <w:rStyle w:val="Hyperlink"/>
            <w:rtl/>
          </w:rPr>
          <w:t>מאירי שבת י"א ע"ב ד"ה אעפ"י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Toc163506055 \h</w:instrText>
        </w:r>
        <w:r>
          <w:rPr>
            <w:webHidden/>
            <w:rtl/>
          </w:rPr>
          <w:instrText xml:space="preserve"> </w:instrText>
        </w:r>
        <w:r>
          <w:rPr>
            <w:rStyle w:val="Hyperlink"/>
            <w:rtl/>
          </w:rPr>
        </w:r>
        <w:r>
          <w:rPr>
            <w:rStyle w:val="Hyperlink"/>
            <w:rtl/>
          </w:rPr>
          <w:fldChar w:fldCharType="separate"/>
        </w:r>
        <w:r w:rsidR="00D82181">
          <w:rPr>
            <w:webHidden/>
            <w:rtl/>
          </w:rPr>
          <w:t>132</w:t>
        </w:r>
        <w:r>
          <w:rPr>
            <w:rStyle w:val="Hyperlink"/>
            <w:rtl/>
          </w:rPr>
          <w:fldChar w:fldCharType="end"/>
        </w:r>
      </w:hyperlink>
    </w:p>
    <w:p w14:paraId="5CDFC44C" w14:textId="2DB34578" w:rsidR="008009AA" w:rsidRDefault="008009AA">
      <w:pPr>
        <w:pStyle w:val="TOC7"/>
        <w:rPr>
          <w:rFonts w:cstheme="minorBidi"/>
          <w:sz w:val="22"/>
          <w:szCs w:val="22"/>
          <w:rtl/>
        </w:rPr>
      </w:pPr>
      <w:hyperlink w:anchor="_Toc163506056" w:history="1">
        <w:r w:rsidRPr="007246E7">
          <w:rPr>
            <w:rStyle w:val="Hyperlink"/>
            <w:rtl/>
          </w:rPr>
          <w:t>רמב"ם שבת פ"י הי"ב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Toc163506056 \h</w:instrText>
        </w:r>
        <w:r>
          <w:rPr>
            <w:webHidden/>
            <w:rtl/>
          </w:rPr>
          <w:instrText xml:space="preserve"> </w:instrText>
        </w:r>
        <w:r>
          <w:rPr>
            <w:rStyle w:val="Hyperlink"/>
            <w:rtl/>
          </w:rPr>
        </w:r>
        <w:r>
          <w:rPr>
            <w:rStyle w:val="Hyperlink"/>
            <w:rtl/>
          </w:rPr>
          <w:fldChar w:fldCharType="separate"/>
        </w:r>
        <w:r w:rsidR="00D82181">
          <w:rPr>
            <w:webHidden/>
            <w:rtl/>
          </w:rPr>
          <w:t>135</w:t>
        </w:r>
        <w:r>
          <w:rPr>
            <w:rStyle w:val="Hyperlink"/>
            <w:rtl/>
          </w:rPr>
          <w:fldChar w:fldCharType="end"/>
        </w:r>
      </w:hyperlink>
    </w:p>
    <w:p w14:paraId="0F7A7BB8" w14:textId="3F05C8FB" w:rsidR="008009AA" w:rsidRDefault="008009AA">
      <w:pPr>
        <w:pStyle w:val="TOC7"/>
        <w:rPr>
          <w:rFonts w:cstheme="minorBidi"/>
          <w:sz w:val="22"/>
          <w:szCs w:val="22"/>
          <w:rtl/>
        </w:rPr>
      </w:pPr>
      <w:hyperlink w:anchor="_Toc163506057" w:history="1">
        <w:r w:rsidRPr="007246E7">
          <w:rPr>
            <w:rStyle w:val="Hyperlink"/>
            <w:rtl/>
          </w:rPr>
          <w:t>אור שמח שבת פ"י הי"ב ד"ה וכבר כתבתי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Toc163506057 \h</w:instrText>
        </w:r>
        <w:r>
          <w:rPr>
            <w:webHidden/>
            <w:rtl/>
          </w:rPr>
          <w:instrText xml:space="preserve"> </w:instrText>
        </w:r>
        <w:r>
          <w:rPr>
            <w:rStyle w:val="Hyperlink"/>
            <w:rtl/>
          </w:rPr>
        </w:r>
        <w:r>
          <w:rPr>
            <w:rStyle w:val="Hyperlink"/>
            <w:rtl/>
          </w:rPr>
          <w:fldChar w:fldCharType="separate"/>
        </w:r>
        <w:r w:rsidR="00D82181">
          <w:rPr>
            <w:webHidden/>
            <w:rtl/>
          </w:rPr>
          <w:t>135</w:t>
        </w:r>
        <w:r>
          <w:rPr>
            <w:rStyle w:val="Hyperlink"/>
            <w:rtl/>
          </w:rPr>
          <w:fldChar w:fldCharType="end"/>
        </w:r>
      </w:hyperlink>
    </w:p>
    <w:p w14:paraId="68E8E8BB" w14:textId="710888D1" w:rsidR="008009AA" w:rsidRDefault="008009AA">
      <w:pPr>
        <w:pStyle w:val="TOC7"/>
        <w:rPr>
          <w:rFonts w:cstheme="minorBidi"/>
          <w:sz w:val="22"/>
          <w:szCs w:val="22"/>
          <w:rtl/>
        </w:rPr>
      </w:pPr>
      <w:hyperlink w:anchor="_Toc163506058" w:history="1">
        <w:r w:rsidRPr="007246E7">
          <w:rPr>
            <w:rStyle w:val="Hyperlink"/>
            <w:rtl/>
          </w:rPr>
          <w:t>רש"י שבת ק"ב ע"ב ד"ה המצדד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Toc163506058 \h</w:instrText>
        </w:r>
        <w:r>
          <w:rPr>
            <w:webHidden/>
            <w:rtl/>
          </w:rPr>
          <w:instrText xml:space="preserve"> </w:instrText>
        </w:r>
        <w:r>
          <w:rPr>
            <w:rStyle w:val="Hyperlink"/>
            <w:rtl/>
          </w:rPr>
        </w:r>
        <w:r>
          <w:rPr>
            <w:rStyle w:val="Hyperlink"/>
            <w:rtl/>
          </w:rPr>
          <w:fldChar w:fldCharType="separate"/>
        </w:r>
        <w:r w:rsidR="00D82181">
          <w:rPr>
            <w:webHidden/>
            <w:rtl/>
          </w:rPr>
          <w:t>135</w:t>
        </w:r>
        <w:r>
          <w:rPr>
            <w:rStyle w:val="Hyperlink"/>
            <w:rtl/>
          </w:rPr>
          <w:fldChar w:fldCharType="end"/>
        </w:r>
      </w:hyperlink>
    </w:p>
    <w:p w14:paraId="4A353230" w14:textId="1016B0E6" w:rsidR="008009AA" w:rsidRDefault="008009AA">
      <w:pPr>
        <w:pStyle w:val="TOC7"/>
        <w:rPr>
          <w:rFonts w:cstheme="minorBidi"/>
          <w:sz w:val="22"/>
          <w:szCs w:val="22"/>
          <w:rtl/>
        </w:rPr>
      </w:pPr>
      <w:hyperlink w:anchor="_Toc163506059" w:history="1">
        <w:r w:rsidRPr="007246E7">
          <w:rPr>
            <w:rStyle w:val="Hyperlink"/>
            <w:rtl/>
          </w:rPr>
          <w:t>שו"ת רדב"ז ח"ה ללשונות הרמב"ם סימן י"אלף תקצ"ט</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Toc163506059 \h</w:instrText>
        </w:r>
        <w:r>
          <w:rPr>
            <w:webHidden/>
            <w:rtl/>
          </w:rPr>
          <w:instrText xml:space="preserve"> </w:instrText>
        </w:r>
        <w:r>
          <w:rPr>
            <w:rStyle w:val="Hyperlink"/>
            <w:rtl/>
          </w:rPr>
        </w:r>
        <w:r>
          <w:rPr>
            <w:rStyle w:val="Hyperlink"/>
            <w:rtl/>
          </w:rPr>
          <w:fldChar w:fldCharType="separate"/>
        </w:r>
        <w:r w:rsidR="00D82181">
          <w:rPr>
            <w:webHidden/>
            <w:rtl/>
          </w:rPr>
          <w:t>135</w:t>
        </w:r>
        <w:r>
          <w:rPr>
            <w:rStyle w:val="Hyperlink"/>
            <w:rtl/>
          </w:rPr>
          <w:fldChar w:fldCharType="end"/>
        </w:r>
      </w:hyperlink>
    </w:p>
    <w:p w14:paraId="75D3369F" w14:textId="2BC6256D" w:rsidR="008009AA" w:rsidRDefault="008009AA">
      <w:pPr>
        <w:pStyle w:val="TOC7"/>
        <w:rPr>
          <w:rFonts w:cstheme="minorBidi"/>
          <w:sz w:val="22"/>
          <w:szCs w:val="22"/>
          <w:rtl/>
        </w:rPr>
      </w:pPr>
      <w:hyperlink w:anchor="_Toc163506060" w:history="1">
        <w:r w:rsidRPr="007246E7">
          <w:rPr>
            <w:rStyle w:val="Hyperlink"/>
            <w:rtl/>
          </w:rPr>
          <w:t>רש"י עירובין ק"ב ע"ב ד"ה של</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Toc163506060 \h</w:instrText>
        </w:r>
        <w:r>
          <w:rPr>
            <w:webHidden/>
            <w:rtl/>
          </w:rPr>
          <w:instrText xml:space="preserve"> </w:instrText>
        </w:r>
        <w:r>
          <w:rPr>
            <w:rStyle w:val="Hyperlink"/>
            <w:rtl/>
          </w:rPr>
        </w:r>
        <w:r>
          <w:rPr>
            <w:rStyle w:val="Hyperlink"/>
            <w:rtl/>
          </w:rPr>
          <w:fldChar w:fldCharType="separate"/>
        </w:r>
        <w:r w:rsidR="00D82181">
          <w:rPr>
            <w:webHidden/>
            <w:rtl/>
          </w:rPr>
          <w:t>135</w:t>
        </w:r>
        <w:r>
          <w:rPr>
            <w:rStyle w:val="Hyperlink"/>
            <w:rtl/>
          </w:rPr>
          <w:fldChar w:fldCharType="end"/>
        </w:r>
      </w:hyperlink>
    </w:p>
    <w:p w14:paraId="42E37423" w14:textId="0B81C6C7" w:rsidR="008009AA" w:rsidRDefault="008009AA">
      <w:pPr>
        <w:pStyle w:val="TOC7"/>
        <w:rPr>
          <w:rFonts w:cstheme="minorBidi"/>
          <w:sz w:val="22"/>
          <w:szCs w:val="22"/>
          <w:rtl/>
        </w:rPr>
      </w:pPr>
      <w:hyperlink w:anchor="_Toc163506061" w:history="1">
        <w:r w:rsidRPr="007246E7">
          <w:rPr>
            <w:rStyle w:val="Hyperlink"/>
            <w:rtl/>
          </w:rPr>
          <w:t>תוספות שבת ק"ב ע"ב ד"ה כל שהוא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Toc163506061 \h</w:instrText>
        </w:r>
        <w:r>
          <w:rPr>
            <w:webHidden/>
            <w:rtl/>
          </w:rPr>
          <w:instrText xml:space="preserve"> </w:instrText>
        </w:r>
        <w:r>
          <w:rPr>
            <w:rStyle w:val="Hyperlink"/>
            <w:rtl/>
          </w:rPr>
        </w:r>
        <w:r>
          <w:rPr>
            <w:rStyle w:val="Hyperlink"/>
            <w:rtl/>
          </w:rPr>
          <w:fldChar w:fldCharType="separate"/>
        </w:r>
        <w:r w:rsidR="00D82181">
          <w:rPr>
            <w:webHidden/>
            <w:rtl/>
          </w:rPr>
          <w:t>135</w:t>
        </w:r>
        <w:r>
          <w:rPr>
            <w:rStyle w:val="Hyperlink"/>
            <w:rtl/>
          </w:rPr>
          <w:fldChar w:fldCharType="end"/>
        </w:r>
      </w:hyperlink>
    </w:p>
    <w:p w14:paraId="2AEB3EA7" w14:textId="5D2D8A10" w:rsidR="008009AA" w:rsidRDefault="008009AA">
      <w:pPr>
        <w:pStyle w:val="TOC7"/>
        <w:rPr>
          <w:rFonts w:cstheme="minorBidi"/>
          <w:sz w:val="22"/>
          <w:szCs w:val="22"/>
          <w:rtl/>
        </w:rPr>
      </w:pPr>
      <w:hyperlink w:anchor="_Toc163506062" w:history="1">
        <w:r w:rsidRPr="007246E7">
          <w:rPr>
            <w:rStyle w:val="Hyperlink"/>
            <w:rtl/>
          </w:rPr>
          <w:t>חדושי הריטב"א שבת ק"ב ע"ב ד"ה כל שהוא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Toc163506062 \h</w:instrText>
        </w:r>
        <w:r>
          <w:rPr>
            <w:webHidden/>
            <w:rtl/>
          </w:rPr>
          <w:instrText xml:space="preserve"> </w:instrText>
        </w:r>
        <w:r>
          <w:rPr>
            <w:rStyle w:val="Hyperlink"/>
            <w:rtl/>
          </w:rPr>
        </w:r>
        <w:r>
          <w:rPr>
            <w:rStyle w:val="Hyperlink"/>
            <w:rtl/>
          </w:rPr>
          <w:fldChar w:fldCharType="separate"/>
        </w:r>
        <w:r w:rsidR="00D82181">
          <w:rPr>
            <w:webHidden/>
            <w:rtl/>
          </w:rPr>
          <w:t>135</w:t>
        </w:r>
        <w:r>
          <w:rPr>
            <w:rStyle w:val="Hyperlink"/>
            <w:rtl/>
          </w:rPr>
          <w:fldChar w:fldCharType="end"/>
        </w:r>
      </w:hyperlink>
    </w:p>
    <w:p w14:paraId="1DCF61A4" w14:textId="72004614" w:rsidR="008009AA" w:rsidRDefault="008009AA">
      <w:pPr>
        <w:pStyle w:val="TOC7"/>
        <w:rPr>
          <w:rFonts w:cstheme="minorBidi"/>
          <w:sz w:val="22"/>
          <w:szCs w:val="22"/>
          <w:rtl/>
        </w:rPr>
      </w:pPr>
      <w:hyperlink w:anchor="_Toc163506063" w:history="1">
        <w:r w:rsidRPr="007246E7">
          <w:rPr>
            <w:rStyle w:val="Hyperlink"/>
            <w:rtl/>
          </w:rPr>
          <w:t>חידושי רבינו משה קזיס שבת ריש פ' הבונה ד"ה הא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Toc163506063 \h</w:instrText>
        </w:r>
        <w:r>
          <w:rPr>
            <w:webHidden/>
            <w:rtl/>
          </w:rPr>
          <w:instrText xml:space="preserve"> </w:instrText>
        </w:r>
        <w:r>
          <w:rPr>
            <w:rStyle w:val="Hyperlink"/>
            <w:rtl/>
          </w:rPr>
        </w:r>
        <w:r>
          <w:rPr>
            <w:rStyle w:val="Hyperlink"/>
            <w:rtl/>
          </w:rPr>
          <w:fldChar w:fldCharType="separate"/>
        </w:r>
        <w:r w:rsidR="00D82181">
          <w:rPr>
            <w:webHidden/>
            <w:rtl/>
          </w:rPr>
          <w:t>136</w:t>
        </w:r>
        <w:r>
          <w:rPr>
            <w:rStyle w:val="Hyperlink"/>
            <w:rtl/>
          </w:rPr>
          <w:fldChar w:fldCharType="end"/>
        </w:r>
      </w:hyperlink>
    </w:p>
    <w:p w14:paraId="37E1834E" w14:textId="3BB993DD" w:rsidR="008009AA" w:rsidRDefault="008009AA">
      <w:pPr>
        <w:pStyle w:val="TOC7"/>
        <w:rPr>
          <w:rFonts w:cstheme="minorBidi"/>
          <w:sz w:val="22"/>
          <w:szCs w:val="22"/>
          <w:rtl/>
        </w:rPr>
      </w:pPr>
      <w:hyperlink w:anchor="_Toc163506064" w:history="1">
        <w:r w:rsidRPr="007246E7">
          <w:rPr>
            <w:rStyle w:val="Hyperlink"/>
            <w:rtl/>
          </w:rPr>
          <w:t>כלכלת שבת לבעל התפארת ישראל בונה אות 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Toc163506064 \h</w:instrText>
        </w:r>
        <w:r>
          <w:rPr>
            <w:webHidden/>
            <w:rtl/>
          </w:rPr>
          <w:instrText xml:space="preserve"> </w:instrText>
        </w:r>
        <w:r>
          <w:rPr>
            <w:rStyle w:val="Hyperlink"/>
            <w:rtl/>
          </w:rPr>
        </w:r>
        <w:r>
          <w:rPr>
            <w:rStyle w:val="Hyperlink"/>
            <w:rtl/>
          </w:rPr>
          <w:fldChar w:fldCharType="separate"/>
        </w:r>
        <w:r w:rsidR="00D82181">
          <w:rPr>
            <w:webHidden/>
            <w:rtl/>
          </w:rPr>
          <w:t>136</w:t>
        </w:r>
        <w:r>
          <w:rPr>
            <w:rStyle w:val="Hyperlink"/>
            <w:rtl/>
          </w:rPr>
          <w:fldChar w:fldCharType="end"/>
        </w:r>
      </w:hyperlink>
    </w:p>
    <w:p w14:paraId="6177200D" w14:textId="60B64176" w:rsidR="008009AA" w:rsidRDefault="008009AA">
      <w:pPr>
        <w:pStyle w:val="TOC7"/>
        <w:rPr>
          <w:rFonts w:cstheme="minorBidi"/>
          <w:sz w:val="22"/>
          <w:szCs w:val="22"/>
          <w:rtl/>
        </w:rPr>
      </w:pPr>
      <w:hyperlink w:anchor="_Toc163506065" w:history="1">
        <w:r w:rsidRPr="007246E7">
          <w:rPr>
            <w:rStyle w:val="Hyperlink"/>
            <w:rtl/>
          </w:rPr>
          <w:t>רש"י שבת ע"ג ע"ב ד"ה גבשושית, בבית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Toc163506065 \h</w:instrText>
        </w:r>
        <w:r>
          <w:rPr>
            <w:webHidden/>
            <w:rtl/>
          </w:rPr>
          <w:instrText xml:space="preserve"> </w:instrText>
        </w:r>
        <w:r>
          <w:rPr>
            <w:rStyle w:val="Hyperlink"/>
            <w:rtl/>
          </w:rPr>
        </w:r>
        <w:r>
          <w:rPr>
            <w:rStyle w:val="Hyperlink"/>
            <w:rtl/>
          </w:rPr>
          <w:fldChar w:fldCharType="separate"/>
        </w:r>
        <w:r w:rsidR="00D82181">
          <w:rPr>
            <w:webHidden/>
            <w:rtl/>
          </w:rPr>
          <w:t>136</w:t>
        </w:r>
        <w:r>
          <w:rPr>
            <w:rStyle w:val="Hyperlink"/>
            <w:rtl/>
          </w:rPr>
          <w:fldChar w:fldCharType="end"/>
        </w:r>
      </w:hyperlink>
    </w:p>
    <w:p w14:paraId="32156EF6" w14:textId="79434566" w:rsidR="008009AA" w:rsidRDefault="008009AA">
      <w:pPr>
        <w:pStyle w:val="TOC7"/>
        <w:rPr>
          <w:rFonts w:cstheme="minorBidi"/>
          <w:sz w:val="22"/>
          <w:szCs w:val="22"/>
          <w:rtl/>
        </w:rPr>
      </w:pPr>
      <w:hyperlink w:anchor="_Toc163506066" w:history="1">
        <w:r w:rsidRPr="007246E7">
          <w:rPr>
            <w:rStyle w:val="Hyperlink"/>
            <w:rtl/>
          </w:rPr>
          <w:t>רש"י שבת פ"א ע"ב ד"ה בבית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Toc163506066 \h</w:instrText>
        </w:r>
        <w:r>
          <w:rPr>
            <w:webHidden/>
            <w:rtl/>
          </w:rPr>
          <w:instrText xml:space="preserve"> </w:instrText>
        </w:r>
        <w:r>
          <w:rPr>
            <w:rStyle w:val="Hyperlink"/>
            <w:rtl/>
          </w:rPr>
        </w:r>
        <w:r>
          <w:rPr>
            <w:rStyle w:val="Hyperlink"/>
            <w:rtl/>
          </w:rPr>
          <w:fldChar w:fldCharType="separate"/>
        </w:r>
        <w:r w:rsidR="00D82181">
          <w:rPr>
            <w:webHidden/>
            <w:rtl/>
          </w:rPr>
          <w:t>136</w:t>
        </w:r>
        <w:r>
          <w:rPr>
            <w:rStyle w:val="Hyperlink"/>
            <w:rtl/>
          </w:rPr>
          <w:fldChar w:fldCharType="end"/>
        </w:r>
      </w:hyperlink>
    </w:p>
    <w:p w14:paraId="7B4E9DD8" w14:textId="7ED92B9E" w:rsidR="008009AA" w:rsidRDefault="008009AA">
      <w:pPr>
        <w:pStyle w:val="TOC7"/>
        <w:rPr>
          <w:rFonts w:cstheme="minorBidi"/>
          <w:sz w:val="22"/>
          <w:szCs w:val="22"/>
          <w:rtl/>
        </w:rPr>
      </w:pPr>
      <w:hyperlink w:anchor="_Toc163506067" w:history="1">
        <w:r w:rsidRPr="007246E7">
          <w:rPr>
            <w:rStyle w:val="Hyperlink"/>
            <w:rtl/>
          </w:rPr>
          <w:t>שו"ת אבני נזר או"ח סי' רי"ז אות 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Toc163506067 \h</w:instrText>
        </w:r>
        <w:r>
          <w:rPr>
            <w:webHidden/>
            <w:rtl/>
          </w:rPr>
          <w:instrText xml:space="preserve"> </w:instrText>
        </w:r>
        <w:r>
          <w:rPr>
            <w:rStyle w:val="Hyperlink"/>
            <w:rtl/>
          </w:rPr>
        </w:r>
        <w:r>
          <w:rPr>
            <w:rStyle w:val="Hyperlink"/>
            <w:rtl/>
          </w:rPr>
          <w:fldChar w:fldCharType="separate"/>
        </w:r>
        <w:r w:rsidR="00D82181">
          <w:rPr>
            <w:webHidden/>
            <w:rtl/>
          </w:rPr>
          <w:t>136</w:t>
        </w:r>
        <w:r>
          <w:rPr>
            <w:rStyle w:val="Hyperlink"/>
            <w:rtl/>
          </w:rPr>
          <w:fldChar w:fldCharType="end"/>
        </w:r>
      </w:hyperlink>
    </w:p>
    <w:p w14:paraId="120A5671" w14:textId="6C049AA7" w:rsidR="008009AA" w:rsidRDefault="008009AA">
      <w:pPr>
        <w:pStyle w:val="TOC7"/>
        <w:rPr>
          <w:rFonts w:cstheme="minorBidi"/>
          <w:sz w:val="22"/>
          <w:szCs w:val="22"/>
          <w:rtl/>
        </w:rPr>
      </w:pPr>
      <w:hyperlink w:anchor="_Toc163506068" w:history="1">
        <w:r w:rsidRPr="007246E7">
          <w:rPr>
            <w:rStyle w:val="Hyperlink"/>
            <w:rtl/>
          </w:rPr>
          <w:t>מגן אברהם סימן שיג ס"ק י"ז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Toc163506068 \h</w:instrText>
        </w:r>
        <w:r>
          <w:rPr>
            <w:webHidden/>
            <w:rtl/>
          </w:rPr>
          <w:instrText xml:space="preserve"> </w:instrText>
        </w:r>
        <w:r>
          <w:rPr>
            <w:rStyle w:val="Hyperlink"/>
            <w:rtl/>
          </w:rPr>
        </w:r>
        <w:r>
          <w:rPr>
            <w:rStyle w:val="Hyperlink"/>
            <w:rtl/>
          </w:rPr>
          <w:fldChar w:fldCharType="separate"/>
        </w:r>
        <w:r w:rsidR="00D82181">
          <w:rPr>
            <w:webHidden/>
            <w:rtl/>
          </w:rPr>
          <w:t>136</w:t>
        </w:r>
        <w:r>
          <w:rPr>
            <w:rStyle w:val="Hyperlink"/>
            <w:rtl/>
          </w:rPr>
          <w:fldChar w:fldCharType="end"/>
        </w:r>
      </w:hyperlink>
    </w:p>
    <w:p w14:paraId="31A2E0FA" w14:textId="3500F97D" w:rsidR="008009AA" w:rsidRDefault="008009AA">
      <w:pPr>
        <w:pStyle w:val="TOC7"/>
        <w:rPr>
          <w:rFonts w:cstheme="minorBidi"/>
          <w:sz w:val="22"/>
          <w:szCs w:val="22"/>
          <w:rtl/>
        </w:rPr>
      </w:pPr>
      <w:hyperlink w:anchor="_Toc163506069" w:history="1">
        <w:r w:rsidRPr="007246E7">
          <w:rPr>
            <w:rStyle w:val="Hyperlink"/>
            <w:rtl/>
          </w:rPr>
          <w:t>מגן אברהם סימן רמד ס"ק 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Toc163506069 \h</w:instrText>
        </w:r>
        <w:r>
          <w:rPr>
            <w:webHidden/>
            <w:rtl/>
          </w:rPr>
          <w:instrText xml:space="preserve"> </w:instrText>
        </w:r>
        <w:r>
          <w:rPr>
            <w:rStyle w:val="Hyperlink"/>
            <w:rtl/>
          </w:rPr>
        </w:r>
        <w:r>
          <w:rPr>
            <w:rStyle w:val="Hyperlink"/>
            <w:rtl/>
          </w:rPr>
          <w:fldChar w:fldCharType="separate"/>
        </w:r>
        <w:r w:rsidR="00D82181">
          <w:rPr>
            <w:webHidden/>
            <w:rtl/>
          </w:rPr>
          <w:t>136</w:t>
        </w:r>
        <w:r>
          <w:rPr>
            <w:rStyle w:val="Hyperlink"/>
            <w:rtl/>
          </w:rPr>
          <w:fldChar w:fldCharType="end"/>
        </w:r>
      </w:hyperlink>
    </w:p>
    <w:p w14:paraId="509DABF0" w14:textId="406BC043" w:rsidR="008009AA" w:rsidRDefault="008009AA">
      <w:pPr>
        <w:pStyle w:val="TOC7"/>
        <w:rPr>
          <w:rFonts w:cstheme="minorBidi"/>
          <w:sz w:val="22"/>
          <w:szCs w:val="22"/>
          <w:rtl/>
        </w:rPr>
      </w:pPr>
      <w:hyperlink w:anchor="_Toc163506070" w:history="1">
        <w:r w:rsidRPr="007246E7">
          <w:rPr>
            <w:rStyle w:val="Hyperlink"/>
            <w:rtl/>
          </w:rPr>
          <w:t>אבן האזל שבת פ"ב הי"ח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Toc163506070 \h</w:instrText>
        </w:r>
        <w:r>
          <w:rPr>
            <w:webHidden/>
            <w:rtl/>
          </w:rPr>
          <w:instrText xml:space="preserve"> </w:instrText>
        </w:r>
        <w:r>
          <w:rPr>
            <w:rStyle w:val="Hyperlink"/>
            <w:rtl/>
          </w:rPr>
        </w:r>
        <w:r>
          <w:rPr>
            <w:rStyle w:val="Hyperlink"/>
            <w:rtl/>
          </w:rPr>
          <w:fldChar w:fldCharType="separate"/>
        </w:r>
        <w:r w:rsidR="00D82181">
          <w:rPr>
            <w:webHidden/>
            <w:rtl/>
          </w:rPr>
          <w:t>136</w:t>
        </w:r>
        <w:r>
          <w:rPr>
            <w:rStyle w:val="Hyperlink"/>
            <w:rtl/>
          </w:rPr>
          <w:fldChar w:fldCharType="end"/>
        </w:r>
      </w:hyperlink>
    </w:p>
    <w:p w14:paraId="4BD9FD37" w14:textId="37EFC8DC" w:rsidR="008009AA" w:rsidRDefault="008009AA">
      <w:pPr>
        <w:pStyle w:val="TOC7"/>
        <w:rPr>
          <w:rFonts w:cstheme="minorBidi"/>
          <w:sz w:val="22"/>
          <w:szCs w:val="22"/>
          <w:rtl/>
        </w:rPr>
      </w:pPr>
      <w:hyperlink w:anchor="_Toc163506071" w:history="1">
        <w:r w:rsidRPr="007246E7">
          <w:rPr>
            <w:rStyle w:val="Hyperlink"/>
            <w:rtl/>
          </w:rPr>
          <w:t>נשמת אדם כלל מ סעיף 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Toc163506071 \h</w:instrText>
        </w:r>
        <w:r>
          <w:rPr>
            <w:webHidden/>
            <w:rtl/>
          </w:rPr>
          <w:instrText xml:space="preserve"> </w:instrText>
        </w:r>
        <w:r>
          <w:rPr>
            <w:rStyle w:val="Hyperlink"/>
            <w:rtl/>
          </w:rPr>
        </w:r>
        <w:r>
          <w:rPr>
            <w:rStyle w:val="Hyperlink"/>
            <w:rtl/>
          </w:rPr>
          <w:fldChar w:fldCharType="separate"/>
        </w:r>
        <w:r w:rsidR="00D82181">
          <w:rPr>
            <w:webHidden/>
            <w:rtl/>
          </w:rPr>
          <w:t>136</w:t>
        </w:r>
        <w:r>
          <w:rPr>
            <w:rStyle w:val="Hyperlink"/>
            <w:rtl/>
          </w:rPr>
          <w:fldChar w:fldCharType="end"/>
        </w:r>
      </w:hyperlink>
    </w:p>
    <w:p w14:paraId="04D3F775" w14:textId="6F48A76D" w:rsidR="008009AA" w:rsidRDefault="008009AA">
      <w:pPr>
        <w:pStyle w:val="TOC7"/>
        <w:rPr>
          <w:rFonts w:cstheme="minorBidi"/>
          <w:sz w:val="22"/>
          <w:szCs w:val="22"/>
          <w:rtl/>
        </w:rPr>
      </w:pPr>
      <w:hyperlink w:anchor="_Toc163506072" w:history="1">
        <w:r w:rsidRPr="007246E7">
          <w:rPr>
            <w:rStyle w:val="Hyperlink"/>
            <w:rtl/>
          </w:rPr>
          <w:t>פני יהושע שבת ע"ג ע"ב ד"ה מכדי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Toc163506072 \h</w:instrText>
        </w:r>
        <w:r>
          <w:rPr>
            <w:webHidden/>
            <w:rtl/>
          </w:rPr>
          <w:instrText xml:space="preserve"> </w:instrText>
        </w:r>
        <w:r>
          <w:rPr>
            <w:rStyle w:val="Hyperlink"/>
            <w:rtl/>
          </w:rPr>
        </w:r>
        <w:r>
          <w:rPr>
            <w:rStyle w:val="Hyperlink"/>
            <w:rtl/>
          </w:rPr>
          <w:fldChar w:fldCharType="separate"/>
        </w:r>
        <w:r w:rsidR="00D82181">
          <w:rPr>
            <w:webHidden/>
            <w:rtl/>
          </w:rPr>
          <w:t>136</w:t>
        </w:r>
        <w:r>
          <w:rPr>
            <w:rStyle w:val="Hyperlink"/>
            <w:rtl/>
          </w:rPr>
          <w:fldChar w:fldCharType="end"/>
        </w:r>
      </w:hyperlink>
    </w:p>
    <w:p w14:paraId="52C8FA20" w14:textId="68665138" w:rsidR="008009AA" w:rsidRDefault="008009AA">
      <w:pPr>
        <w:pStyle w:val="TOC7"/>
        <w:rPr>
          <w:rFonts w:cstheme="minorBidi"/>
          <w:sz w:val="22"/>
          <w:szCs w:val="22"/>
          <w:rtl/>
        </w:rPr>
      </w:pPr>
      <w:hyperlink w:anchor="_Toc163506073" w:history="1">
        <w:r w:rsidRPr="007246E7">
          <w:rPr>
            <w:rStyle w:val="Hyperlink"/>
            <w:rtl/>
          </w:rPr>
          <w:t>רש"י שבת ע"ג ע"ב ד"ה פטור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Toc163506073 \h</w:instrText>
        </w:r>
        <w:r>
          <w:rPr>
            <w:webHidden/>
            <w:rtl/>
          </w:rPr>
          <w:instrText xml:space="preserve"> </w:instrText>
        </w:r>
        <w:r>
          <w:rPr>
            <w:rStyle w:val="Hyperlink"/>
            <w:rtl/>
          </w:rPr>
        </w:r>
        <w:r>
          <w:rPr>
            <w:rStyle w:val="Hyperlink"/>
            <w:rtl/>
          </w:rPr>
          <w:fldChar w:fldCharType="separate"/>
        </w:r>
        <w:r w:rsidR="00D82181">
          <w:rPr>
            <w:webHidden/>
            <w:rtl/>
          </w:rPr>
          <w:t>136</w:t>
        </w:r>
        <w:r>
          <w:rPr>
            <w:rStyle w:val="Hyperlink"/>
            <w:rtl/>
          </w:rPr>
          <w:fldChar w:fldCharType="end"/>
        </w:r>
      </w:hyperlink>
    </w:p>
    <w:p w14:paraId="0330876E" w14:textId="0E12EE5B" w:rsidR="008009AA" w:rsidRDefault="008009AA">
      <w:pPr>
        <w:pStyle w:val="TOC7"/>
        <w:rPr>
          <w:rFonts w:cstheme="minorBidi"/>
          <w:sz w:val="22"/>
          <w:szCs w:val="22"/>
          <w:rtl/>
        </w:rPr>
      </w:pPr>
      <w:hyperlink w:anchor="_Toc163506074" w:history="1">
        <w:r w:rsidRPr="007246E7">
          <w:rPr>
            <w:rStyle w:val="Hyperlink"/>
            <w:rtl/>
          </w:rPr>
          <w:t>רש"י ביצה ח' ע"א ד"ה פטור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Toc163506074 \h</w:instrText>
        </w:r>
        <w:r>
          <w:rPr>
            <w:webHidden/>
            <w:rtl/>
          </w:rPr>
          <w:instrText xml:space="preserve"> </w:instrText>
        </w:r>
        <w:r>
          <w:rPr>
            <w:rStyle w:val="Hyperlink"/>
            <w:rtl/>
          </w:rPr>
        </w:r>
        <w:r>
          <w:rPr>
            <w:rStyle w:val="Hyperlink"/>
            <w:rtl/>
          </w:rPr>
          <w:fldChar w:fldCharType="separate"/>
        </w:r>
        <w:r w:rsidR="00D82181">
          <w:rPr>
            <w:webHidden/>
            <w:rtl/>
          </w:rPr>
          <w:t>136</w:t>
        </w:r>
        <w:r>
          <w:rPr>
            <w:rStyle w:val="Hyperlink"/>
            <w:rtl/>
          </w:rPr>
          <w:fldChar w:fldCharType="end"/>
        </w:r>
      </w:hyperlink>
    </w:p>
    <w:p w14:paraId="77C8265A" w14:textId="76AA42B0" w:rsidR="008009AA" w:rsidRDefault="008009AA">
      <w:pPr>
        <w:pStyle w:val="TOC7"/>
        <w:rPr>
          <w:rFonts w:cstheme="minorBidi"/>
          <w:sz w:val="22"/>
          <w:szCs w:val="22"/>
          <w:rtl/>
        </w:rPr>
      </w:pPr>
      <w:hyperlink w:anchor="_Toc163506075" w:history="1">
        <w:r w:rsidRPr="007246E7">
          <w:rPr>
            <w:rStyle w:val="Hyperlink"/>
            <w:rtl/>
          </w:rPr>
          <w:t>רמב"ם שבת פ"א הי"ז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Toc163506075 \h</w:instrText>
        </w:r>
        <w:r>
          <w:rPr>
            <w:webHidden/>
            <w:rtl/>
          </w:rPr>
          <w:instrText xml:space="preserve"> </w:instrText>
        </w:r>
        <w:r>
          <w:rPr>
            <w:rStyle w:val="Hyperlink"/>
            <w:rtl/>
          </w:rPr>
        </w:r>
        <w:r>
          <w:rPr>
            <w:rStyle w:val="Hyperlink"/>
            <w:rtl/>
          </w:rPr>
          <w:fldChar w:fldCharType="separate"/>
        </w:r>
        <w:r w:rsidR="00D82181">
          <w:rPr>
            <w:webHidden/>
            <w:rtl/>
          </w:rPr>
          <w:t>136</w:t>
        </w:r>
        <w:r>
          <w:rPr>
            <w:rStyle w:val="Hyperlink"/>
            <w:rtl/>
          </w:rPr>
          <w:fldChar w:fldCharType="end"/>
        </w:r>
      </w:hyperlink>
    </w:p>
    <w:p w14:paraId="54744F05" w14:textId="69A6AFD3" w:rsidR="008009AA" w:rsidRDefault="008009AA">
      <w:pPr>
        <w:pStyle w:val="TOC7"/>
        <w:rPr>
          <w:rFonts w:cstheme="minorBidi"/>
          <w:sz w:val="22"/>
          <w:szCs w:val="22"/>
          <w:rtl/>
        </w:rPr>
      </w:pPr>
      <w:hyperlink w:anchor="_Toc163506076" w:history="1">
        <w:r w:rsidRPr="007246E7">
          <w:rPr>
            <w:rStyle w:val="Hyperlink"/>
            <w:rtl/>
          </w:rPr>
          <w:t>מגיד משנה שבת פ"א הי"ז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Toc163506076 \h</w:instrText>
        </w:r>
        <w:r>
          <w:rPr>
            <w:webHidden/>
            <w:rtl/>
          </w:rPr>
          <w:instrText xml:space="preserve"> </w:instrText>
        </w:r>
        <w:r>
          <w:rPr>
            <w:rStyle w:val="Hyperlink"/>
            <w:rtl/>
          </w:rPr>
        </w:r>
        <w:r>
          <w:rPr>
            <w:rStyle w:val="Hyperlink"/>
            <w:rtl/>
          </w:rPr>
          <w:fldChar w:fldCharType="separate"/>
        </w:r>
        <w:r w:rsidR="00D82181">
          <w:rPr>
            <w:webHidden/>
            <w:rtl/>
          </w:rPr>
          <w:t>136</w:t>
        </w:r>
        <w:r>
          <w:rPr>
            <w:rStyle w:val="Hyperlink"/>
            <w:rtl/>
          </w:rPr>
          <w:fldChar w:fldCharType="end"/>
        </w:r>
      </w:hyperlink>
    </w:p>
    <w:p w14:paraId="0D085B32" w14:textId="2C1D84ED" w:rsidR="008009AA" w:rsidRDefault="008009AA">
      <w:pPr>
        <w:pStyle w:val="TOC7"/>
        <w:rPr>
          <w:rFonts w:cstheme="minorBidi"/>
          <w:sz w:val="22"/>
          <w:szCs w:val="22"/>
          <w:rtl/>
        </w:rPr>
      </w:pPr>
      <w:hyperlink w:anchor="_Toc163506077" w:history="1">
        <w:r w:rsidRPr="007246E7">
          <w:rPr>
            <w:rStyle w:val="Hyperlink"/>
            <w:rtl/>
          </w:rPr>
          <w:t>תוספות רי"ד שבת ק"ו ע"א ד"ה תני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Toc163506077 \h</w:instrText>
        </w:r>
        <w:r>
          <w:rPr>
            <w:webHidden/>
            <w:rtl/>
          </w:rPr>
          <w:instrText xml:space="preserve"> </w:instrText>
        </w:r>
        <w:r>
          <w:rPr>
            <w:rStyle w:val="Hyperlink"/>
            <w:rtl/>
          </w:rPr>
        </w:r>
        <w:r>
          <w:rPr>
            <w:rStyle w:val="Hyperlink"/>
            <w:rtl/>
          </w:rPr>
          <w:fldChar w:fldCharType="separate"/>
        </w:r>
        <w:r w:rsidR="00D82181">
          <w:rPr>
            <w:webHidden/>
            <w:rtl/>
          </w:rPr>
          <w:t>137</w:t>
        </w:r>
        <w:r>
          <w:rPr>
            <w:rStyle w:val="Hyperlink"/>
            <w:rtl/>
          </w:rPr>
          <w:fldChar w:fldCharType="end"/>
        </w:r>
      </w:hyperlink>
    </w:p>
    <w:p w14:paraId="149F419E" w14:textId="0E742C70" w:rsidR="008009AA" w:rsidRDefault="008009AA">
      <w:pPr>
        <w:pStyle w:val="TOC7"/>
        <w:rPr>
          <w:rFonts w:cstheme="minorBidi"/>
          <w:sz w:val="22"/>
          <w:szCs w:val="22"/>
          <w:rtl/>
        </w:rPr>
      </w:pPr>
      <w:hyperlink w:anchor="_Toc163506078" w:history="1">
        <w:r w:rsidRPr="007246E7">
          <w:rPr>
            <w:rStyle w:val="Hyperlink"/>
            <w:rtl/>
          </w:rPr>
          <w:t>חזון איש או"ח סי' נ"א סקט"ז ד"ה ע"ג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Toc163506078 \h</w:instrText>
        </w:r>
        <w:r>
          <w:rPr>
            <w:webHidden/>
            <w:rtl/>
          </w:rPr>
          <w:instrText xml:space="preserve"> </w:instrText>
        </w:r>
        <w:r>
          <w:rPr>
            <w:rStyle w:val="Hyperlink"/>
            <w:rtl/>
          </w:rPr>
        </w:r>
        <w:r>
          <w:rPr>
            <w:rStyle w:val="Hyperlink"/>
            <w:rtl/>
          </w:rPr>
          <w:fldChar w:fldCharType="separate"/>
        </w:r>
        <w:r w:rsidR="00D82181">
          <w:rPr>
            <w:webHidden/>
            <w:rtl/>
          </w:rPr>
          <w:t>137</w:t>
        </w:r>
        <w:r>
          <w:rPr>
            <w:rStyle w:val="Hyperlink"/>
            <w:rtl/>
          </w:rPr>
          <w:fldChar w:fldCharType="end"/>
        </w:r>
      </w:hyperlink>
    </w:p>
    <w:p w14:paraId="3CA50392" w14:textId="48BB1FB8" w:rsidR="008009AA" w:rsidRDefault="008009AA">
      <w:pPr>
        <w:pStyle w:val="TOC7"/>
        <w:rPr>
          <w:rFonts w:cstheme="minorBidi"/>
          <w:sz w:val="22"/>
          <w:szCs w:val="22"/>
          <w:rtl/>
        </w:rPr>
      </w:pPr>
      <w:hyperlink w:anchor="_Toc163506079" w:history="1">
        <w:r w:rsidRPr="007246E7">
          <w:rPr>
            <w:rStyle w:val="Hyperlink"/>
            <w:rtl/>
          </w:rPr>
          <w:t>רש"י שבת ק"ב ע"ב ד"ה מסתת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Toc163506079 \h</w:instrText>
        </w:r>
        <w:r>
          <w:rPr>
            <w:webHidden/>
            <w:rtl/>
          </w:rPr>
          <w:instrText xml:space="preserve"> </w:instrText>
        </w:r>
        <w:r>
          <w:rPr>
            <w:rStyle w:val="Hyperlink"/>
            <w:rtl/>
          </w:rPr>
        </w:r>
        <w:r>
          <w:rPr>
            <w:rStyle w:val="Hyperlink"/>
            <w:rtl/>
          </w:rPr>
          <w:fldChar w:fldCharType="separate"/>
        </w:r>
        <w:r w:rsidR="00D82181">
          <w:rPr>
            <w:webHidden/>
            <w:rtl/>
          </w:rPr>
          <w:t>137</w:t>
        </w:r>
        <w:r>
          <w:rPr>
            <w:rStyle w:val="Hyperlink"/>
            <w:rtl/>
          </w:rPr>
          <w:fldChar w:fldCharType="end"/>
        </w:r>
      </w:hyperlink>
    </w:p>
    <w:p w14:paraId="2186C238" w14:textId="5CCEC5AC" w:rsidR="008009AA" w:rsidRDefault="008009AA">
      <w:pPr>
        <w:pStyle w:val="TOC7"/>
        <w:rPr>
          <w:rFonts w:cstheme="minorBidi"/>
          <w:sz w:val="22"/>
          <w:szCs w:val="22"/>
          <w:rtl/>
        </w:rPr>
      </w:pPr>
      <w:hyperlink w:anchor="_Toc163506080" w:history="1">
        <w:r w:rsidRPr="007246E7">
          <w:rPr>
            <w:rStyle w:val="Hyperlink"/>
            <w:rtl/>
          </w:rPr>
          <w:t>מאירי שבת ק"ב ע"ב ד"ה המסתת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Toc163506080 \h</w:instrText>
        </w:r>
        <w:r>
          <w:rPr>
            <w:webHidden/>
            <w:rtl/>
          </w:rPr>
          <w:instrText xml:space="preserve"> </w:instrText>
        </w:r>
        <w:r>
          <w:rPr>
            <w:rStyle w:val="Hyperlink"/>
            <w:rtl/>
          </w:rPr>
        </w:r>
        <w:r>
          <w:rPr>
            <w:rStyle w:val="Hyperlink"/>
            <w:rtl/>
          </w:rPr>
          <w:fldChar w:fldCharType="separate"/>
        </w:r>
        <w:r w:rsidR="00D82181">
          <w:rPr>
            <w:webHidden/>
            <w:rtl/>
          </w:rPr>
          <w:t>137</w:t>
        </w:r>
        <w:r>
          <w:rPr>
            <w:rStyle w:val="Hyperlink"/>
            <w:rtl/>
          </w:rPr>
          <w:fldChar w:fldCharType="end"/>
        </w:r>
      </w:hyperlink>
    </w:p>
    <w:p w14:paraId="49D5B170" w14:textId="37FDE88B" w:rsidR="008009AA" w:rsidRDefault="008009AA">
      <w:pPr>
        <w:pStyle w:val="TOC7"/>
        <w:rPr>
          <w:rFonts w:cstheme="minorBidi"/>
          <w:sz w:val="22"/>
          <w:szCs w:val="22"/>
          <w:rtl/>
        </w:rPr>
      </w:pPr>
      <w:hyperlink w:anchor="_Toc163506081" w:history="1">
        <w:r w:rsidRPr="007246E7">
          <w:rPr>
            <w:rStyle w:val="Hyperlink"/>
            <w:rtl/>
          </w:rPr>
          <w:t>רמב"ם שבת פ"י הי"ד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Toc163506081 \h</w:instrText>
        </w:r>
        <w:r>
          <w:rPr>
            <w:webHidden/>
            <w:rtl/>
          </w:rPr>
          <w:instrText xml:space="preserve"> </w:instrText>
        </w:r>
        <w:r>
          <w:rPr>
            <w:rStyle w:val="Hyperlink"/>
            <w:rtl/>
          </w:rPr>
        </w:r>
        <w:r>
          <w:rPr>
            <w:rStyle w:val="Hyperlink"/>
            <w:rtl/>
          </w:rPr>
          <w:fldChar w:fldCharType="separate"/>
        </w:r>
        <w:r w:rsidR="00D82181">
          <w:rPr>
            <w:webHidden/>
            <w:rtl/>
          </w:rPr>
          <w:t>137</w:t>
        </w:r>
        <w:r>
          <w:rPr>
            <w:rStyle w:val="Hyperlink"/>
            <w:rtl/>
          </w:rPr>
          <w:fldChar w:fldCharType="end"/>
        </w:r>
      </w:hyperlink>
    </w:p>
    <w:p w14:paraId="26050063" w14:textId="79E6C63D" w:rsidR="008009AA" w:rsidRDefault="008009AA">
      <w:pPr>
        <w:pStyle w:val="TOC7"/>
        <w:rPr>
          <w:rFonts w:cstheme="minorBidi"/>
          <w:sz w:val="22"/>
          <w:szCs w:val="22"/>
          <w:rtl/>
        </w:rPr>
      </w:pPr>
      <w:hyperlink w:anchor="_Toc163506082" w:history="1">
        <w:r w:rsidRPr="007246E7">
          <w:rPr>
            <w:rStyle w:val="Hyperlink"/>
            <w:rtl/>
          </w:rPr>
          <w:t>מגיד משנה שבת פ"י הי"ד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Toc163506082 \h</w:instrText>
        </w:r>
        <w:r>
          <w:rPr>
            <w:webHidden/>
            <w:rtl/>
          </w:rPr>
          <w:instrText xml:space="preserve"> </w:instrText>
        </w:r>
        <w:r>
          <w:rPr>
            <w:rStyle w:val="Hyperlink"/>
            <w:rtl/>
          </w:rPr>
        </w:r>
        <w:r>
          <w:rPr>
            <w:rStyle w:val="Hyperlink"/>
            <w:rtl/>
          </w:rPr>
          <w:fldChar w:fldCharType="separate"/>
        </w:r>
        <w:r w:rsidR="00D82181">
          <w:rPr>
            <w:webHidden/>
            <w:rtl/>
          </w:rPr>
          <w:t>137</w:t>
        </w:r>
        <w:r>
          <w:rPr>
            <w:rStyle w:val="Hyperlink"/>
            <w:rtl/>
          </w:rPr>
          <w:fldChar w:fldCharType="end"/>
        </w:r>
      </w:hyperlink>
    </w:p>
    <w:p w14:paraId="28ECA29E" w14:textId="08C3EF3B" w:rsidR="008009AA" w:rsidRDefault="008009AA">
      <w:pPr>
        <w:pStyle w:val="TOC7"/>
        <w:rPr>
          <w:rFonts w:cstheme="minorBidi"/>
          <w:sz w:val="22"/>
          <w:szCs w:val="22"/>
          <w:rtl/>
        </w:rPr>
      </w:pPr>
      <w:hyperlink w:anchor="_Toc163506083" w:history="1">
        <w:r w:rsidRPr="007246E7">
          <w:rPr>
            <w:rStyle w:val="Hyperlink"/>
            <w:rtl/>
          </w:rPr>
          <w:t>רמב"ם שבת פכ"ג ה"א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Toc163506083 \h</w:instrText>
        </w:r>
        <w:r>
          <w:rPr>
            <w:webHidden/>
            <w:rtl/>
          </w:rPr>
          <w:instrText xml:space="preserve"> </w:instrText>
        </w:r>
        <w:r>
          <w:rPr>
            <w:rStyle w:val="Hyperlink"/>
            <w:rtl/>
          </w:rPr>
        </w:r>
        <w:r>
          <w:rPr>
            <w:rStyle w:val="Hyperlink"/>
            <w:rtl/>
          </w:rPr>
          <w:fldChar w:fldCharType="separate"/>
        </w:r>
        <w:r w:rsidR="00D82181">
          <w:rPr>
            <w:webHidden/>
            <w:rtl/>
          </w:rPr>
          <w:t>137</w:t>
        </w:r>
        <w:r>
          <w:rPr>
            <w:rStyle w:val="Hyperlink"/>
            <w:rtl/>
          </w:rPr>
          <w:fldChar w:fldCharType="end"/>
        </w:r>
      </w:hyperlink>
    </w:p>
    <w:p w14:paraId="19275A46" w14:textId="7DBD3157" w:rsidR="008009AA" w:rsidRDefault="008009AA">
      <w:pPr>
        <w:pStyle w:val="TOC7"/>
        <w:rPr>
          <w:rFonts w:cstheme="minorBidi"/>
          <w:sz w:val="22"/>
          <w:szCs w:val="22"/>
          <w:rtl/>
        </w:rPr>
      </w:pPr>
      <w:hyperlink w:anchor="_Toc163506084" w:history="1">
        <w:r w:rsidRPr="007246E7">
          <w:rPr>
            <w:rStyle w:val="Hyperlink"/>
            <w:rtl/>
          </w:rPr>
          <w:t>רמב"ם שבת פ"י הט"ז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Toc163506084 \h</w:instrText>
        </w:r>
        <w:r>
          <w:rPr>
            <w:webHidden/>
            <w:rtl/>
          </w:rPr>
          <w:instrText xml:space="preserve"> </w:instrText>
        </w:r>
        <w:r>
          <w:rPr>
            <w:rStyle w:val="Hyperlink"/>
            <w:rtl/>
          </w:rPr>
        </w:r>
        <w:r>
          <w:rPr>
            <w:rStyle w:val="Hyperlink"/>
            <w:rtl/>
          </w:rPr>
          <w:fldChar w:fldCharType="separate"/>
        </w:r>
        <w:r w:rsidR="00D82181">
          <w:rPr>
            <w:webHidden/>
            <w:rtl/>
          </w:rPr>
          <w:t>137</w:t>
        </w:r>
        <w:r>
          <w:rPr>
            <w:rStyle w:val="Hyperlink"/>
            <w:rtl/>
          </w:rPr>
          <w:fldChar w:fldCharType="end"/>
        </w:r>
      </w:hyperlink>
    </w:p>
    <w:p w14:paraId="15BEDEDD" w14:textId="468FF64B" w:rsidR="008009AA" w:rsidRDefault="008009AA">
      <w:pPr>
        <w:pStyle w:val="TOC7"/>
        <w:rPr>
          <w:rFonts w:cstheme="minorBidi"/>
          <w:sz w:val="22"/>
          <w:szCs w:val="22"/>
          <w:rtl/>
        </w:rPr>
      </w:pPr>
      <w:hyperlink w:anchor="_Toc163506085" w:history="1">
        <w:r w:rsidRPr="007246E7">
          <w:rPr>
            <w:rStyle w:val="Hyperlink"/>
            <w:rtl/>
          </w:rPr>
          <w:t>כסף משנה שבת פ"י הי"ד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Toc163506085 \h</w:instrText>
        </w:r>
        <w:r>
          <w:rPr>
            <w:webHidden/>
            <w:rtl/>
          </w:rPr>
          <w:instrText xml:space="preserve"> </w:instrText>
        </w:r>
        <w:r>
          <w:rPr>
            <w:rStyle w:val="Hyperlink"/>
            <w:rtl/>
          </w:rPr>
        </w:r>
        <w:r>
          <w:rPr>
            <w:rStyle w:val="Hyperlink"/>
            <w:rtl/>
          </w:rPr>
          <w:fldChar w:fldCharType="separate"/>
        </w:r>
        <w:r w:rsidR="00D82181">
          <w:rPr>
            <w:webHidden/>
            <w:rtl/>
          </w:rPr>
          <w:t>137</w:t>
        </w:r>
        <w:r>
          <w:rPr>
            <w:rStyle w:val="Hyperlink"/>
            <w:rtl/>
          </w:rPr>
          <w:fldChar w:fldCharType="end"/>
        </w:r>
      </w:hyperlink>
    </w:p>
    <w:p w14:paraId="567876F0" w14:textId="40DAB36A" w:rsidR="008009AA" w:rsidRDefault="008009AA">
      <w:pPr>
        <w:pStyle w:val="TOC7"/>
        <w:rPr>
          <w:rFonts w:cstheme="minorBidi"/>
          <w:sz w:val="22"/>
          <w:szCs w:val="22"/>
          <w:rtl/>
        </w:rPr>
      </w:pPr>
      <w:hyperlink w:anchor="_Toc163506086" w:history="1">
        <w:r w:rsidRPr="007246E7">
          <w:rPr>
            <w:rStyle w:val="Hyperlink"/>
            <w:rtl/>
          </w:rPr>
          <w:t>לחם משנה שבת פ"י הי"ד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Toc163506086 \h</w:instrText>
        </w:r>
        <w:r>
          <w:rPr>
            <w:webHidden/>
            <w:rtl/>
          </w:rPr>
          <w:instrText xml:space="preserve"> </w:instrText>
        </w:r>
        <w:r>
          <w:rPr>
            <w:rStyle w:val="Hyperlink"/>
            <w:rtl/>
          </w:rPr>
        </w:r>
        <w:r>
          <w:rPr>
            <w:rStyle w:val="Hyperlink"/>
            <w:rtl/>
          </w:rPr>
          <w:fldChar w:fldCharType="separate"/>
        </w:r>
        <w:r w:rsidR="00D82181">
          <w:rPr>
            <w:webHidden/>
            <w:rtl/>
          </w:rPr>
          <w:t>137</w:t>
        </w:r>
        <w:r>
          <w:rPr>
            <w:rStyle w:val="Hyperlink"/>
            <w:rtl/>
          </w:rPr>
          <w:fldChar w:fldCharType="end"/>
        </w:r>
      </w:hyperlink>
    </w:p>
    <w:p w14:paraId="6677A6EF" w14:textId="2541F6AC" w:rsidR="008009AA" w:rsidRDefault="008009AA">
      <w:pPr>
        <w:pStyle w:val="TOC7"/>
        <w:rPr>
          <w:rFonts w:cstheme="minorBidi"/>
          <w:sz w:val="22"/>
          <w:szCs w:val="22"/>
          <w:rtl/>
        </w:rPr>
      </w:pPr>
      <w:hyperlink w:anchor="_Toc163506087" w:history="1">
        <w:r w:rsidRPr="007246E7">
          <w:rPr>
            <w:rStyle w:val="Hyperlink"/>
            <w:rtl/>
          </w:rPr>
          <w:t>מגן אברהם סימן שיד ס"ק 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Toc163506087 \h</w:instrText>
        </w:r>
        <w:r>
          <w:rPr>
            <w:webHidden/>
            <w:rtl/>
          </w:rPr>
          <w:instrText xml:space="preserve"> </w:instrText>
        </w:r>
        <w:r>
          <w:rPr>
            <w:rStyle w:val="Hyperlink"/>
            <w:rtl/>
          </w:rPr>
        </w:r>
        <w:r>
          <w:rPr>
            <w:rStyle w:val="Hyperlink"/>
            <w:rtl/>
          </w:rPr>
          <w:fldChar w:fldCharType="separate"/>
        </w:r>
        <w:r w:rsidR="00D82181">
          <w:rPr>
            <w:webHidden/>
            <w:rtl/>
          </w:rPr>
          <w:t>137</w:t>
        </w:r>
        <w:r>
          <w:rPr>
            <w:rStyle w:val="Hyperlink"/>
            <w:rtl/>
          </w:rPr>
          <w:fldChar w:fldCharType="end"/>
        </w:r>
      </w:hyperlink>
    </w:p>
    <w:p w14:paraId="174BFF2F" w14:textId="2F413F3C" w:rsidR="008009AA" w:rsidRDefault="008009AA">
      <w:pPr>
        <w:pStyle w:val="TOC7"/>
        <w:rPr>
          <w:rFonts w:cstheme="minorBidi"/>
          <w:sz w:val="22"/>
          <w:szCs w:val="22"/>
          <w:rtl/>
        </w:rPr>
      </w:pPr>
      <w:hyperlink w:anchor="_Toc163506088" w:history="1">
        <w:r w:rsidRPr="007246E7">
          <w:rPr>
            <w:rStyle w:val="Hyperlink"/>
            <w:rtl/>
          </w:rPr>
          <w:t>אור שמח שבת פ"י הי"ב ד"ה וכבר כתבתי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Toc163506088 \h</w:instrText>
        </w:r>
        <w:r>
          <w:rPr>
            <w:webHidden/>
            <w:rtl/>
          </w:rPr>
          <w:instrText xml:space="preserve"> </w:instrText>
        </w:r>
        <w:r>
          <w:rPr>
            <w:rStyle w:val="Hyperlink"/>
            <w:rtl/>
          </w:rPr>
        </w:r>
        <w:r>
          <w:rPr>
            <w:rStyle w:val="Hyperlink"/>
            <w:rtl/>
          </w:rPr>
          <w:fldChar w:fldCharType="separate"/>
        </w:r>
        <w:r w:rsidR="00D82181">
          <w:rPr>
            <w:webHidden/>
            <w:rtl/>
          </w:rPr>
          <w:t>137</w:t>
        </w:r>
        <w:r>
          <w:rPr>
            <w:rStyle w:val="Hyperlink"/>
            <w:rtl/>
          </w:rPr>
          <w:fldChar w:fldCharType="end"/>
        </w:r>
      </w:hyperlink>
    </w:p>
    <w:p w14:paraId="5989782D" w14:textId="737A3663" w:rsidR="008009AA" w:rsidRDefault="008009AA">
      <w:pPr>
        <w:pStyle w:val="TOC7"/>
        <w:rPr>
          <w:rFonts w:cstheme="minorBidi"/>
          <w:sz w:val="22"/>
          <w:szCs w:val="22"/>
          <w:rtl/>
        </w:rPr>
      </w:pPr>
      <w:hyperlink w:anchor="_Toc163506089" w:history="1">
        <w:r w:rsidRPr="007246E7">
          <w:rPr>
            <w:rStyle w:val="Hyperlink"/>
            <w:rtl/>
          </w:rPr>
          <w:t>רש"י שבת ק"ז ע"א ד"ה חייב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Toc163506089 \h</w:instrText>
        </w:r>
        <w:r>
          <w:rPr>
            <w:webHidden/>
            <w:rtl/>
          </w:rPr>
          <w:instrText xml:space="preserve"> </w:instrText>
        </w:r>
        <w:r>
          <w:rPr>
            <w:rStyle w:val="Hyperlink"/>
            <w:rtl/>
          </w:rPr>
        </w:r>
        <w:r>
          <w:rPr>
            <w:rStyle w:val="Hyperlink"/>
            <w:rtl/>
          </w:rPr>
          <w:fldChar w:fldCharType="separate"/>
        </w:r>
        <w:r w:rsidR="00D82181">
          <w:rPr>
            <w:webHidden/>
            <w:rtl/>
          </w:rPr>
          <w:t>137</w:t>
        </w:r>
        <w:r>
          <w:rPr>
            <w:rStyle w:val="Hyperlink"/>
            <w:rtl/>
          </w:rPr>
          <w:fldChar w:fldCharType="end"/>
        </w:r>
      </w:hyperlink>
    </w:p>
    <w:p w14:paraId="09D448D7" w14:textId="45955E0E" w:rsidR="008009AA" w:rsidRDefault="008009AA">
      <w:pPr>
        <w:pStyle w:val="TOC7"/>
        <w:rPr>
          <w:rFonts w:cstheme="minorBidi"/>
          <w:sz w:val="22"/>
          <w:szCs w:val="22"/>
          <w:rtl/>
        </w:rPr>
      </w:pPr>
      <w:hyperlink w:anchor="_Toc163506090" w:history="1">
        <w:r w:rsidRPr="007246E7">
          <w:rPr>
            <w:rStyle w:val="Hyperlink"/>
            <w:rtl/>
          </w:rPr>
          <w:t>רש"י כתובות ו' ע"ב ד"ה חייב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Toc163506090 \h</w:instrText>
        </w:r>
        <w:r>
          <w:rPr>
            <w:webHidden/>
            <w:rtl/>
          </w:rPr>
          <w:instrText xml:space="preserve"> </w:instrText>
        </w:r>
        <w:r>
          <w:rPr>
            <w:rStyle w:val="Hyperlink"/>
            <w:rtl/>
          </w:rPr>
        </w:r>
        <w:r>
          <w:rPr>
            <w:rStyle w:val="Hyperlink"/>
            <w:rtl/>
          </w:rPr>
          <w:fldChar w:fldCharType="separate"/>
        </w:r>
        <w:r w:rsidR="00D82181">
          <w:rPr>
            <w:webHidden/>
            <w:rtl/>
          </w:rPr>
          <w:t>137</w:t>
        </w:r>
        <w:r>
          <w:rPr>
            <w:rStyle w:val="Hyperlink"/>
            <w:rtl/>
          </w:rPr>
          <w:fldChar w:fldCharType="end"/>
        </w:r>
      </w:hyperlink>
    </w:p>
    <w:p w14:paraId="2FFB2890" w14:textId="34B810EE" w:rsidR="008009AA" w:rsidRDefault="008009AA">
      <w:pPr>
        <w:pStyle w:val="TOC7"/>
        <w:rPr>
          <w:rFonts w:cstheme="minorBidi"/>
          <w:sz w:val="22"/>
          <w:szCs w:val="22"/>
          <w:rtl/>
        </w:rPr>
      </w:pPr>
      <w:hyperlink w:anchor="_Toc163506091" w:history="1">
        <w:r w:rsidRPr="007246E7">
          <w:rPr>
            <w:rStyle w:val="Hyperlink"/>
            <w:rtl/>
          </w:rPr>
          <w:t>ראב"ד שבת פ"י הי"ז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Toc163506091 \h</w:instrText>
        </w:r>
        <w:r>
          <w:rPr>
            <w:webHidden/>
            <w:rtl/>
          </w:rPr>
          <w:instrText xml:space="preserve"> </w:instrText>
        </w:r>
        <w:r>
          <w:rPr>
            <w:rStyle w:val="Hyperlink"/>
            <w:rtl/>
          </w:rPr>
        </w:r>
        <w:r>
          <w:rPr>
            <w:rStyle w:val="Hyperlink"/>
            <w:rtl/>
          </w:rPr>
          <w:fldChar w:fldCharType="separate"/>
        </w:r>
        <w:r w:rsidR="00D82181">
          <w:rPr>
            <w:webHidden/>
            <w:rtl/>
          </w:rPr>
          <w:t>137</w:t>
        </w:r>
        <w:r>
          <w:rPr>
            <w:rStyle w:val="Hyperlink"/>
            <w:rtl/>
          </w:rPr>
          <w:fldChar w:fldCharType="end"/>
        </w:r>
      </w:hyperlink>
    </w:p>
    <w:p w14:paraId="514FE897" w14:textId="67D5BD72" w:rsidR="008009AA" w:rsidRDefault="008009AA">
      <w:pPr>
        <w:pStyle w:val="TOC7"/>
        <w:rPr>
          <w:rFonts w:cstheme="minorBidi"/>
          <w:sz w:val="22"/>
          <w:szCs w:val="22"/>
          <w:rtl/>
        </w:rPr>
      </w:pPr>
      <w:hyperlink w:anchor="_Toc163506092" w:history="1">
        <w:r w:rsidRPr="007246E7">
          <w:rPr>
            <w:rStyle w:val="Hyperlink"/>
            <w:rtl/>
          </w:rPr>
          <w:t>רמב"ם שבת פ"י הי"ז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Toc163506092 \h</w:instrText>
        </w:r>
        <w:r>
          <w:rPr>
            <w:webHidden/>
            <w:rtl/>
          </w:rPr>
          <w:instrText xml:space="preserve"> </w:instrText>
        </w:r>
        <w:r>
          <w:rPr>
            <w:rStyle w:val="Hyperlink"/>
            <w:rtl/>
          </w:rPr>
        </w:r>
        <w:r>
          <w:rPr>
            <w:rStyle w:val="Hyperlink"/>
            <w:rtl/>
          </w:rPr>
          <w:fldChar w:fldCharType="separate"/>
        </w:r>
        <w:r w:rsidR="00D82181">
          <w:rPr>
            <w:webHidden/>
            <w:rtl/>
          </w:rPr>
          <w:t>138</w:t>
        </w:r>
        <w:r>
          <w:rPr>
            <w:rStyle w:val="Hyperlink"/>
            <w:rtl/>
          </w:rPr>
          <w:fldChar w:fldCharType="end"/>
        </w:r>
      </w:hyperlink>
    </w:p>
    <w:p w14:paraId="019ABF40" w14:textId="3DB95C8D" w:rsidR="008009AA" w:rsidRDefault="008009AA">
      <w:pPr>
        <w:pStyle w:val="TOC7"/>
        <w:rPr>
          <w:rFonts w:cstheme="minorBidi"/>
          <w:sz w:val="22"/>
          <w:szCs w:val="22"/>
          <w:rtl/>
        </w:rPr>
      </w:pPr>
      <w:hyperlink w:anchor="_Toc163506093" w:history="1">
        <w:r w:rsidRPr="007246E7">
          <w:rPr>
            <w:rStyle w:val="Hyperlink"/>
            <w:rtl/>
          </w:rPr>
          <w:t>כסף משנה שבת פ"י הי"ז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Toc163506093 \h</w:instrText>
        </w:r>
        <w:r>
          <w:rPr>
            <w:webHidden/>
            <w:rtl/>
          </w:rPr>
          <w:instrText xml:space="preserve"> </w:instrText>
        </w:r>
        <w:r>
          <w:rPr>
            <w:rStyle w:val="Hyperlink"/>
            <w:rtl/>
          </w:rPr>
        </w:r>
        <w:r>
          <w:rPr>
            <w:rStyle w:val="Hyperlink"/>
            <w:rtl/>
          </w:rPr>
          <w:fldChar w:fldCharType="separate"/>
        </w:r>
        <w:r w:rsidR="00D82181">
          <w:rPr>
            <w:webHidden/>
            <w:rtl/>
          </w:rPr>
          <w:t>138</w:t>
        </w:r>
        <w:r>
          <w:rPr>
            <w:rStyle w:val="Hyperlink"/>
            <w:rtl/>
          </w:rPr>
          <w:fldChar w:fldCharType="end"/>
        </w:r>
      </w:hyperlink>
    </w:p>
    <w:p w14:paraId="28A7BE49" w14:textId="7588FDB2" w:rsidR="008009AA" w:rsidRDefault="008009AA">
      <w:pPr>
        <w:pStyle w:val="TOC7"/>
        <w:rPr>
          <w:rFonts w:cstheme="minorBidi"/>
          <w:sz w:val="22"/>
          <w:szCs w:val="22"/>
          <w:rtl/>
        </w:rPr>
      </w:pPr>
      <w:hyperlink w:anchor="_Toc163506094" w:history="1">
        <w:r w:rsidRPr="007246E7">
          <w:rPr>
            <w:rStyle w:val="Hyperlink"/>
            <w:rtl/>
          </w:rPr>
          <w:t>רמב"ם שבת פ"י הי"ג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Toc163506094 \h</w:instrText>
        </w:r>
        <w:r>
          <w:rPr>
            <w:webHidden/>
            <w:rtl/>
          </w:rPr>
          <w:instrText xml:space="preserve"> </w:instrText>
        </w:r>
        <w:r>
          <w:rPr>
            <w:rStyle w:val="Hyperlink"/>
            <w:rtl/>
          </w:rPr>
        </w:r>
        <w:r>
          <w:rPr>
            <w:rStyle w:val="Hyperlink"/>
            <w:rtl/>
          </w:rPr>
          <w:fldChar w:fldCharType="separate"/>
        </w:r>
        <w:r w:rsidR="00D82181">
          <w:rPr>
            <w:webHidden/>
            <w:rtl/>
          </w:rPr>
          <w:t>138</w:t>
        </w:r>
        <w:r>
          <w:rPr>
            <w:rStyle w:val="Hyperlink"/>
            <w:rtl/>
          </w:rPr>
          <w:fldChar w:fldCharType="end"/>
        </w:r>
      </w:hyperlink>
    </w:p>
    <w:p w14:paraId="463BCDAA" w14:textId="0A8B5692" w:rsidR="008009AA" w:rsidRDefault="008009AA">
      <w:pPr>
        <w:pStyle w:val="TOC7"/>
        <w:rPr>
          <w:rFonts w:cstheme="minorBidi"/>
          <w:sz w:val="22"/>
          <w:szCs w:val="22"/>
          <w:rtl/>
        </w:rPr>
      </w:pPr>
      <w:hyperlink w:anchor="_Toc163506095" w:history="1">
        <w:r w:rsidRPr="007246E7">
          <w:rPr>
            <w:rStyle w:val="Hyperlink"/>
            <w:rtl/>
          </w:rPr>
          <w:t>מגיד משנה שבת פ"י הי"ג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Toc163506095 \h</w:instrText>
        </w:r>
        <w:r>
          <w:rPr>
            <w:webHidden/>
            <w:rtl/>
          </w:rPr>
          <w:instrText xml:space="preserve"> </w:instrText>
        </w:r>
        <w:r>
          <w:rPr>
            <w:rStyle w:val="Hyperlink"/>
            <w:rtl/>
          </w:rPr>
        </w:r>
        <w:r>
          <w:rPr>
            <w:rStyle w:val="Hyperlink"/>
            <w:rtl/>
          </w:rPr>
          <w:fldChar w:fldCharType="separate"/>
        </w:r>
        <w:r w:rsidR="00D82181">
          <w:rPr>
            <w:webHidden/>
            <w:rtl/>
          </w:rPr>
          <w:t>138</w:t>
        </w:r>
        <w:r>
          <w:rPr>
            <w:rStyle w:val="Hyperlink"/>
            <w:rtl/>
          </w:rPr>
          <w:fldChar w:fldCharType="end"/>
        </w:r>
      </w:hyperlink>
    </w:p>
    <w:p w14:paraId="7F4DBB3F" w14:textId="663F9E22" w:rsidR="008009AA" w:rsidRDefault="008009AA">
      <w:pPr>
        <w:pStyle w:val="TOC7"/>
        <w:rPr>
          <w:rFonts w:cstheme="minorBidi"/>
          <w:sz w:val="22"/>
          <w:szCs w:val="22"/>
          <w:rtl/>
        </w:rPr>
      </w:pPr>
      <w:hyperlink w:anchor="_Toc163506096" w:history="1">
        <w:r w:rsidRPr="007246E7">
          <w:rPr>
            <w:rStyle w:val="Hyperlink"/>
            <w:rtl/>
          </w:rPr>
          <w:t>אור שמח שבת פ"י הי"ב ד"ה וכבר כתבתי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Toc163506096 \h</w:instrText>
        </w:r>
        <w:r>
          <w:rPr>
            <w:webHidden/>
            <w:rtl/>
          </w:rPr>
          <w:instrText xml:space="preserve"> </w:instrText>
        </w:r>
        <w:r>
          <w:rPr>
            <w:rStyle w:val="Hyperlink"/>
            <w:rtl/>
          </w:rPr>
        </w:r>
        <w:r>
          <w:rPr>
            <w:rStyle w:val="Hyperlink"/>
            <w:rtl/>
          </w:rPr>
          <w:fldChar w:fldCharType="separate"/>
        </w:r>
        <w:r w:rsidR="00D82181">
          <w:rPr>
            <w:webHidden/>
            <w:rtl/>
          </w:rPr>
          <w:t>138</w:t>
        </w:r>
        <w:r>
          <w:rPr>
            <w:rStyle w:val="Hyperlink"/>
            <w:rtl/>
          </w:rPr>
          <w:fldChar w:fldCharType="end"/>
        </w:r>
      </w:hyperlink>
    </w:p>
    <w:p w14:paraId="64156927" w14:textId="41EC3E9D" w:rsidR="008009AA" w:rsidRDefault="008009AA">
      <w:pPr>
        <w:pStyle w:val="TOC7"/>
        <w:rPr>
          <w:rFonts w:cstheme="minorBidi"/>
          <w:sz w:val="22"/>
          <w:szCs w:val="22"/>
          <w:rtl/>
        </w:rPr>
      </w:pPr>
      <w:hyperlink w:anchor="_Toc163506097" w:history="1">
        <w:r w:rsidRPr="007246E7">
          <w:rPr>
            <w:rStyle w:val="Hyperlink"/>
            <w:rtl/>
          </w:rPr>
          <w:t>רמב"ם שבת פ"י הי"ג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Toc163506097 \h</w:instrText>
        </w:r>
        <w:r>
          <w:rPr>
            <w:webHidden/>
            <w:rtl/>
          </w:rPr>
          <w:instrText xml:space="preserve"> </w:instrText>
        </w:r>
        <w:r>
          <w:rPr>
            <w:rStyle w:val="Hyperlink"/>
            <w:rtl/>
          </w:rPr>
        </w:r>
        <w:r>
          <w:rPr>
            <w:rStyle w:val="Hyperlink"/>
            <w:rtl/>
          </w:rPr>
          <w:fldChar w:fldCharType="separate"/>
        </w:r>
        <w:r w:rsidR="00D82181">
          <w:rPr>
            <w:webHidden/>
            <w:rtl/>
          </w:rPr>
          <w:t>138</w:t>
        </w:r>
        <w:r>
          <w:rPr>
            <w:rStyle w:val="Hyperlink"/>
            <w:rtl/>
          </w:rPr>
          <w:fldChar w:fldCharType="end"/>
        </w:r>
      </w:hyperlink>
    </w:p>
    <w:p w14:paraId="246FF462" w14:textId="48C03563" w:rsidR="008009AA" w:rsidRDefault="008009AA">
      <w:pPr>
        <w:pStyle w:val="TOC7"/>
        <w:rPr>
          <w:rFonts w:cstheme="minorBidi"/>
          <w:sz w:val="22"/>
          <w:szCs w:val="22"/>
          <w:rtl/>
        </w:rPr>
      </w:pPr>
      <w:hyperlink w:anchor="_Toc163506098" w:history="1">
        <w:r w:rsidRPr="007246E7">
          <w:rPr>
            <w:rStyle w:val="Hyperlink"/>
            <w:rtl/>
          </w:rPr>
          <w:t>רמב"ם שבת פ"ז ה"ו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Toc163506098 \h</w:instrText>
        </w:r>
        <w:r>
          <w:rPr>
            <w:webHidden/>
            <w:rtl/>
          </w:rPr>
          <w:instrText xml:space="preserve"> </w:instrText>
        </w:r>
        <w:r>
          <w:rPr>
            <w:rStyle w:val="Hyperlink"/>
            <w:rtl/>
          </w:rPr>
        </w:r>
        <w:r>
          <w:rPr>
            <w:rStyle w:val="Hyperlink"/>
            <w:rtl/>
          </w:rPr>
          <w:fldChar w:fldCharType="separate"/>
        </w:r>
        <w:r w:rsidR="00D82181">
          <w:rPr>
            <w:webHidden/>
            <w:rtl/>
          </w:rPr>
          <w:t>138</w:t>
        </w:r>
        <w:r>
          <w:rPr>
            <w:rStyle w:val="Hyperlink"/>
            <w:rtl/>
          </w:rPr>
          <w:fldChar w:fldCharType="end"/>
        </w:r>
      </w:hyperlink>
    </w:p>
    <w:p w14:paraId="75FF06B3" w14:textId="223EB500" w:rsidR="008009AA" w:rsidRDefault="008009AA">
      <w:pPr>
        <w:pStyle w:val="TOC7"/>
        <w:rPr>
          <w:rFonts w:cstheme="minorBidi"/>
          <w:sz w:val="22"/>
          <w:szCs w:val="22"/>
          <w:rtl/>
        </w:rPr>
      </w:pPr>
      <w:hyperlink w:anchor="_Toc163506099" w:history="1">
        <w:r w:rsidRPr="007246E7">
          <w:rPr>
            <w:rStyle w:val="Hyperlink"/>
            <w:rtl/>
          </w:rPr>
          <w:t>פני יהושע סוכה ט"ז ע"ב על תוד"ה פרסו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Toc163506099 \h</w:instrText>
        </w:r>
        <w:r>
          <w:rPr>
            <w:webHidden/>
            <w:rtl/>
          </w:rPr>
          <w:instrText xml:space="preserve"> </w:instrText>
        </w:r>
        <w:r>
          <w:rPr>
            <w:rStyle w:val="Hyperlink"/>
            <w:rtl/>
          </w:rPr>
        </w:r>
        <w:r>
          <w:rPr>
            <w:rStyle w:val="Hyperlink"/>
            <w:rtl/>
          </w:rPr>
          <w:fldChar w:fldCharType="separate"/>
        </w:r>
        <w:r w:rsidR="00D82181">
          <w:rPr>
            <w:webHidden/>
            <w:rtl/>
          </w:rPr>
          <w:t>138</w:t>
        </w:r>
        <w:r>
          <w:rPr>
            <w:rStyle w:val="Hyperlink"/>
            <w:rtl/>
          </w:rPr>
          <w:fldChar w:fldCharType="end"/>
        </w:r>
      </w:hyperlink>
    </w:p>
    <w:p w14:paraId="53B0FC95" w14:textId="0DA0C1AC" w:rsidR="008009AA" w:rsidRDefault="008009AA">
      <w:pPr>
        <w:pStyle w:val="TOC7"/>
        <w:rPr>
          <w:rFonts w:cstheme="minorBidi"/>
          <w:sz w:val="22"/>
          <w:szCs w:val="22"/>
          <w:rtl/>
        </w:rPr>
      </w:pPr>
      <w:hyperlink w:anchor="_Toc163506100" w:history="1">
        <w:r w:rsidRPr="007246E7">
          <w:rPr>
            <w:rStyle w:val="Hyperlink"/>
            <w:rtl/>
          </w:rPr>
          <w:t>רש"י שבת ע"ד ע"ב ד"ה ואי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Toc163506100 \h</w:instrText>
        </w:r>
        <w:r>
          <w:rPr>
            <w:webHidden/>
            <w:rtl/>
          </w:rPr>
          <w:instrText xml:space="preserve"> </w:instrText>
        </w:r>
        <w:r>
          <w:rPr>
            <w:rStyle w:val="Hyperlink"/>
            <w:rtl/>
          </w:rPr>
        </w:r>
        <w:r>
          <w:rPr>
            <w:rStyle w:val="Hyperlink"/>
            <w:rtl/>
          </w:rPr>
          <w:fldChar w:fldCharType="separate"/>
        </w:r>
        <w:r w:rsidR="00D82181">
          <w:rPr>
            <w:webHidden/>
            <w:rtl/>
          </w:rPr>
          <w:t>138</w:t>
        </w:r>
        <w:r>
          <w:rPr>
            <w:rStyle w:val="Hyperlink"/>
            <w:rtl/>
          </w:rPr>
          <w:fldChar w:fldCharType="end"/>
        </w:r>
      </w:hyperlink>
    </w:p>
    <w:p w14:paraId="47D6CE33" w14:textId="117F6E64" w:rsidR="008009AA" w:rsidRDefault="008009AA">
      <w:pPr>
        <w:pStyle w:val="TOC7"/>
        <w:rPr>
          <w:rFonts w:cstheme="minorBidi"/>
          <w:sz w:val="22"/>
          <w:szCs w:val="22"/>
          <w:rtl/>
        </w:rPr>
      </w:pPr>
      <w:hyperlink w:anchor="_Toc163506101" w:history="1">
        <w:r w:rsidRPr="007246E7">
          <w:rPr>
            <w:rStyle w:val="Hyperlink"/>
            <w:rtl/>
          </w:rPr>
          <w:t>תוספות שבת ע"ד ע"ב ד"ה חביתא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Toc163506101 \h</w:instrText>
        </w:r>
        <w:r>
          <w:rPr>
            <w:webHidden/>
            <w:rtl/>
          </w:rPr>
          <w:instrText xml:space="preserve"> </w:instrText>
        </w:r>
        <w:r>
          <w:rPr>
            <w:rStyle w:val="Hyperlink"/>
            <w:rtl/>
          </w:rPr>
        </w:r>
        <w:r>
          <w:rPr>
            <w:rStyle w:val="Hyperlink"/>
            <w:rtl/>
          </w:rPr>
          <w:fldChar w:fldCharType="separate"/>
        </w:r>
        <w:r w:rsidR="00D82181">
          <w:rPr>
            <w:webHidden/>
            <w:rtl/>
          </w:rPr>
          <w:t>138</w:t>
        </w:r>
        <w:r>
          <w:rPr>
            <w:rStyle w:val="Hyperlink"/>
            <w:rtl/>
          </w:rPr>
          <w:fldChar w:fldCharType="end"/>
        </w:r>
      </w:hyperlink>
    </w:p>
    <w:p w14:paraId="16B14DDA" w14:textId="76857E54" w:rsidR="008009AA" w:rsidRDefault="008009AA">
      <w:pPr>
        <w:pStyle w:val="TOC7"/>
        <w:rPr>
          <w:rFonts w:cstheme="minorBidi"/>
          <w:sz w:val="22"/>
          <w:szCs w:val="22"/>
          <w:rtl/>
        </w:rPr>
      </w:pPr>
      <w:hyperlink w:anchor="_Toc163506102" w:history="1">
        <w:r w:rsidRPr="007246E7">
          <w:rPr>
            <w:rStyle w:val="Hyperlink"/>
            <w:rtl/>
          </w:rPr>
          <w:t>תוספות שבת ק"ב ע"ב ד"ה האי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Toc163506102 \h</w:instrText>
        </w:r>
        <w:r>
          <w:rPr>
            <w:webHidden/>
            <w:rtl/>
          </w:rPr>
          <w:instrText xml:space="preserve"> </w:instrText>
        </w:r>
        <w:r>
          <w:rPr>
            <w:rStyle w:val="Hyperlink"/>
            <w:rtl/>
          </w:rPr>
        </w:r>
        <w:r>
          <w:rPr>
            <w:rStyle w:val="Hyperlink"/>
            <w:rtl/>
          </w:rPr>
          <w:fldChar w:fldCharType="separate"/>
        </w:r>
        <w:r w:rsidR="00D82181">
          <w:rPr>
            <w:webHidden/>
            <w:rtl/>
          </w:rPr>
          <w:t>138</w:t>
        </w:r>
        <w:r>
          <w:rPr>
            <w:rStyle w:val="Hyperlink"/>
            <w:rtl/>
          </w:rPr>
          <w:fldChar w:fldCharType="end"/>
        </w:r>
      </w:hyperlink>
    </w:p>
    <w:p w14:paraId="2B045713" w14:textId="5D3A9FD9" w:rsidR="008009AA" w:rsidRDefault="008009AA">
      <w:pPr>
        <w:pStyle w:val="TOC7"/>
        <w:rPr>
          <w:rFonts w:cstheme="minorBidi"/>
          <w:sz w:val="22"/>
          <w:szCs w:val="22"/>
          <w:rtl/>
        </w:rPr>
      </w:pPr>
      <w:hyperlink w:anchor="_Toc163506103" w:history="1">
        <w:r w:rsidRPr="007246E7">
          <w:rPr>
            <w:rStyle w:val="Hyperlink"/>
            <w:rtl/>
          </w:rPr>
          <w:t>מרומי שדה שבת נ"ז ע"א ד"ה במשנה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Toc163506103 \h</w:instrText>
        </w:r>
        <w:r>
          <w:rPr>
            <w:webHidden/>
            <w:rtl/>
          </w:rPr>
          <w:instrText xml:space="preserve"> </w:instrText>
        </w:r>
        <w:r>
          <w:rPr>
            <w:rStyle w:val="Hyperlink"/>
            <w:rtl/>
          </w:rPr>
        </w:r>
        <w:r>
          <w:rPr>
            <w:rStyle w:val="Hyperlink"/>
            <w:rtl/>
          </w:rPr>
          <w:fldChar w:fldCharType="separate"/>
        </w:r>
        <w:r w:rsidR="00D82181">
          <w:rPr>
            <w:webHidden/>
            <w:rtl/>
          </w:rPr>
          <w:t>138</w:t>
        </w:r>
        <w:r>
          <w:rPr>
            <w:rStyle w:val="Hyperlink"/>
            <w:rtl/>
          </w:rPr>
          <w:fldChar w:fldCharType="end"/>
        </w:r>
      </w:hyperlink>
    </w:p>
    <w:p w14:paraId="608D3430" w14:textId="56DF1D07" w:rsidR="008009AA" w:rsidRDefault="008009AA">
      <w:pPr>
        <w:pStyle w:val="TOC7"/>
        <w:rPr>
          <w:rFonts w:cstheme="minorBidi"/>
          <w:sz w:val="22"/>
          <w:szCs w:val="22"/>
          <w:rtl/>
        </w:rPr>
      </w:pPr>
      <w:hyperlink w:anchor="_Toc163506104" w:history="1">
        <w:r w:rsidRPr="007246E7">
          <w:rPr>
            <w:rStyle w:val="Hyperlink"/>
            <w:rtl/>
          </w:rPr>
          <w:t>קרבן העדה שבת פ"ז ה"ב ד"ה הנופח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Toc163506104 \h</w:instrText>
        </w:r>
        <w:r>
          <w:rPr>
            <w:webHidden/>
            <w:rtl/>
          </w:rPr>
          <w:instrText xml:space="preserve"> </w:instrText>
        </w:r>
        <w:r>
          <w:rPr>
            <w:rStyle w:val="Hyperlink"/>
            <w:rtl/>
          </w:rPr>
        </w:r>
        <w:r>
          <w:rPr>
            <w:rStyle w:val="Hyperlink"/>
            <w:rtl/>
          </w:rPr>
          <w:fldChar w:fldCharType="separate"/>
        </w:r>
        <w:r w:rsidR="00D82181">
          <w:rPr>
            <w:webHidden/>
            <w:rtl/>
          </w:rPr>
          <w:t>138</w:t>
        </w:r>
        <w:r>
          <w:rPr>
            <w:rStyle w:val="Hyperlink"/>
            <w:rtl/>
          </w:rPr>
          <w:fldChar w:fldCharType="end"/>
        </w:r>
      </w:hyperlink>
    </w:p>
    <w:p w14:paraId="24180FCC" w14:textId="11FF3BF7" w:rsidR="008009AA" w:rsidRDefault="008009AA">
      <w:pPr>
        <w:pStyle w:val="TOC7"/>
        <w:rPr>
          <w:rFonts w:cstheme="minorBidi"/>
          <w:sz w:val="22"/>
          <w:szCs w:val="22"/>
          <w:rtl/>
        </w:rPr>
      </w:pPr>
      <w:hyperlink w:anchor="_Toc163506105" w:history="1">
        <w:r w:rsidRPr="007246E7">
          <w:rPr>
            <w:rStyle w:val="Hyperlink"/>
            <w:rtl/>
          </w:rPr>
          <w:t>פני יהושע שבת ע"ד ע"ב על תוד"ה חביתא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Toc163506105 \h</w:instrText>
        </w:r>
        <w:r>
          <w:rPr>
            <w:webHidden/>
            <w:rtl/>
          </w:rPr>
          <w:instrText xml:space="preserve"> </w:instrText>
        </w:r>
        <w:r>
          <w:rPr>
            <w:rStyle w:val="Hyperlink"/>
            <w:rtl/>
          </w:rPr>
        </w:r>
        <w:r>
          <w:rPr>
            <w:rStyle w:val="Hyperlink"/>
            <w:rtl/>
          </w:rPr>
          <w:fldChar w:fldCharType="separate"/>
        </w:r>
        <w:r w:rsidR="00D82181">
          <w:rPr>
            <w:webHidden/>
            <w:rtl/>
          </w:rPr>
          <w:t>139</w:t>
        </w:r>
        <w:r>
          <w:rPr>
            <w:rStyle w:val="Hyperlink"/>
            <w:rtl/>
          </w:rPr>
          <w:fldChar w:fldCharType="end"/>
        </w:r>
      </w:hyperlink>
    </w:p>
    <w:p w14:paraId="4A22D056" w14:textId="7111DEA2" w:rsidR="008009AA" w:rsidRDefault="008009AA">
      <w:pPr>
        <w:pStyle w:val="TOC7"/>
        <w:rPr>
          <w:rFonts w:cstheme="minorBidi"/>
          <w:sz w:val="22"/>
          <w:szCs w:val="22"/>
          <w:rtl/>
        </w:rPr>
      </w:pPr>
      <w:hyperlink w:anchor="_Toc163506106" w:history="1">
        <w:r w:rsidRPr="007246E7">
          <w:rPr>
            <w:rStyle w:val="Hyperlink"/>
            <w:rtl/>
          </w:rPr>
          <w:t>חדושי ר' אלעזר משה הורוויץ שבת ע"ד ע"ב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Toc163506106 \h</w:instrText>
        </w:r>
        <w:r>
          <w:rPr>
            <w:webHidden/>
            <w:rtl/>
          </w:rPr>
          <w:instrText xml:space="preserve"> </w:instrText>
        </w:r>
        <w:r>
          <w:rPr>
            <w:rStyle w:val="Hyperlink"/>
            <w:rtl/>
          </w:rPr>
        </w:r>
        <w:r>
          <w:rPr>
            <w:rStyle w:val="Hyperlink"/>
            <w:rtl/>
          </w:rPr>
          <w:fldChar w:fldCharType="separate"/>
        </w:r>
        <w:r w:rsidR="00D82181">
          <w:rPr>
            <w:webHidden/>
            <w:rtl/>
          </w:rPr>
          <w:t>139</w:t>
        </w:r>
        <w:r>
          <w:rPr>
            <w:rStyle w:val="Hyperlink"/>
            <w:rtl/>
          </w:rPr>
          <w:fldChar w:fldCharType="end"/>
        </w:r>
      </w:hyperlink>
    </w:p>
    <w:p w14:paraId="349F5B2B" w14:textId="16792D38" w:rsidR="008009AA" w:rsidRDefault="008009AA">
      <w:pPr>
        <w:pStyle w:val="TOC7"/>
        <w:rPr>
          <w:rFonts w:cstheme="minorBidi"/>
          <w:sz w:val="22"/>
          <w:szCs w:val="22"/>
          <w:rtl/>
        </w:rPr>
      </w:pPr>
      <w:hyperlink w:anchor="_Toc163506107" w:history="1">
        <w:r w:rsidRPr="007246E7">
          <w:rPr>
            <w:rStyle w:val="Hyperlink"/>
            <w:rtl/>
          </w:rPr>
          <w:t>שפת אמת שבת ע"ד ע"ב על תוד"ה חביתא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Toc163506107 \h</w:instrText>
        </w:r>
        <w:r>
          <w:rPr>
            <w:webHidden/>
            <w:rtl/>
          </w:rPr>
          <w:instrText xml:space="preserve"> </w:instrText>
        </w:r>
        <w:r>
          <w:rPr>
            <w:rStyle w:val="Hyperlink"/>
            <w:rtl/>
          </w:rPr>
        </w:r>
        <w:r>
          <w:rPr>
            <w:rStyle w:val="Hyperlink"/>
            <w:rtl/>
          </w:rPr>
          <w:fldChar w:fldCharType="separate"/>
        </w:r>
        <w:r w:rsidR="00D82181">
          <w:rPr>
            <w:webHidden/>
            <w:rtl/>
          </w:rPr>
          <w:t>139</w:t>
        </w:r>
        <w:r>
          <w:rPr>
            <w:rStyle w:val="Hyperlink"/>
            <w:rtl/>
          </w:rPr>
          <w:fldChar w:fldCharType="end"/>
        </w:r>
      </w:hyperlink>
    </w:p>
    <w:p w14:paraId="607957FC" w14:textId="44BEF5E1" w:rsidR="008009AA" w:rsidRDefault="008009AA">
      <w:pPr>
        <w:pStyle w:val="TOC7"/>
        <w:rPr>
          <w:rFonts w:cstheme="minorBidi"/>
          <w:sz w:val="22"/>
          <w:szCs w:val="22"/>
          <w:rtl/>
        </w:rPr>
      </w:pPr>
      <w:hyperlink w:anchor="_Toc163506108" w:history="1">
        <w:r w:rsidRPr="007246E7">
          <w:rPr>
            <w:rStyle w:val="Hyperlink"/>
            <w:rtl/>
          </w:rPr>
          <w:t>אור שמח שבת פ"י הי"ב ד"ה עוד קאמר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Toc163506108 \h</w:instrText>
        </w:r>
        <w:r>
          <w:rPr>
            <w:webHidden/>
            <w:rtl/>
          </w:rPr>
          <w:instrText xml:space="preserve"> </w:instrText>
        </w:r>
        <w:r>
          <w:rPr>
            <w:rStyle w:val="Hyperlink"/>
            <w:rtl/>
          </w:rPr>
        </w:r>
        <w:r>
          <w:rPr>
            <w:rStyle w:val="Hyperlink"/>
            <w:rtl/>
          </w:rPr>
          <w:fldChar w:fldCharType="separate"/>
        </w:r>
        <w:r w:rsidR="00D82181">
          <w:rPr>
            <w:webHidden/>
            <w:rtl/>
          </w:rPr>
          <w:t>139</w:t>
        </w:r>
        <w:r>
          <w:rPr>
            <w:rStyle w:val="Hyperlink"/>
            <w:rtl/>
          </w:rPr>
          <w:fldChar w:fldCharType="end"/>
        </w:r>
      </w:hyperlink>
    </w:p>
    <w:p w14:paraId="2A3156CF" w14:textId="247CE847" w:rsidR="008009AA" w:rsidRDefault="008009AA">
      <w:pPr>
        <w:pStyle w:val="TOC7"/>
        <w:rPr>
          <w:rFonts w:cstheme="minorBidi"/>
          <w:sz w:val="22"/>
          <w:szCs w:val="22"/>
          <w:rtl/>
        </w:rPr>
      </w:pPr>
      <w:hyperlink w:anchor="_Toc163506109" w:history="1">
        <w:r w:rsidRPr="007246E7">
          <w:rPr>
            <w:rStyle w:val="Hyperlink"/>
            <w:rtl/>
          </w:rPr>
          <w:t>אור שמח שבת פ"י הי"ב ד"ה וכבר כתבתי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Toc163506109 \h</w:instrText>
        </w:r>
        <w:r>
          <w:rPr>
            <w:webHidden/>
            <w:rtl/>
          </w:rPr>
          <w:instrText xml:space="preserve"> </w:instrText>
        </w:r>
        <w:r>
          <w:rPr>
            <w:rStyle w:val="Hyperlink"/>
            <w:rtl/>
          </w:rPr>
        </w:r>
        <w:r>
          <w:rPr>
            <w:rStyle w:val="Hyperlink"/>
            <w:rtl/>
          </w:rPr>
          <w:fldChar w:fldCharType="separate"/>
        </w:r>
        <w:r w:rsidR="00D82181">
          <w:rPr>
            <w:webHidden/>
            <w:rtl/>
          </w:rPr>
          <w:t>139</w:t>
        </w:r>
        <w:r>
          <w:rPr>
            <w:rStyle w:val="Hyperlink"/>
            <w:rtl/>
          </w:rPr>
          <w:fldChar w:fldCharType="end"/>
        </w:r>
      </w:hyperlink>
    </w:p>
    <w:p w14:paraId="41DC0B21" w14:textId="5EF86A2F" w:rsidR="008009AA" w:rsidRDefault="008009AA">
      <w:pPr>
        <w:pStyle w:val="TOC7"/>
        <w:rPr>
          <w:rFonts w:cstheme="minorBidi"/>
          <w:sz w:val="22"/>
          <w:szCs w:val="22"/>
          <w:rtl/>
        </w:rPr>
      </w:pPr>
      <w:hyperlink w:anchor="_Toc163506110" w:history="1">
        <w:r w:rsidRPr="007246E7">
          <w:rPr>
            <w:rStyle w:val="Hyperlink"/>
            <w:rtl/>
          </w:rPr>
          <w:t>חזון איש או"ח סי' נ' סק"ט ד"ה והנה אמרו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Toc163506110 \h</w:instrText>
        </w:r>
        <w:r>
          <w:rPr>
            <w:webHidden/>
            <w:rtl/>
          </w:rPr>
          <w:instrText xml:space="preserve"> </w:instrText>
        </w:r>
        <w:r>
          <w:rPr>
            <w:rStyle w:val="Hyperlink"/>
            <w:rtl/>
          </w:rPr>
        </w:r>
        <w:r>
          <w:rPr>
            <w:rStyle w:val="Hyperlink"/>
            <w:rtl/>
          </w:rPr>
          <w:fldChar w:fldCharType="separate"/>
        </w:r>
        <w:r w:rsidR="00D82181">
          <w:rPr>
            <w:webHidden/>
            <w:rtl/>
          </w:rPr>
          <w:t>139</w:t>
        </w:r>
        <w:r>
          <w:rPr>
            <w:rStyle w:val="Hyperlink"/>
            <w:rtl/>
          </w:rPr>
          <w:fldChar w:fldCharType="end"/>
        </w:r>
      </w:hyperlink>
    </w:p>
    <w:p w14:paraId="31A3D937" w14:textId="76940261" w:rsidR="008009AA" w:rsidRDefault="008009AA">
      <w:pPr>
        <w:pStyle w:val="TOC7"/>
        <w:rPr>
          <w:rFonts w:cstheme="minorBidi"/>
          <w:sz w:val="22"/>
          <w:szCs w:val="22"/>
          <w:rtl/>
        </w:rPr>
      </w:pPr>
      <w:hyperlink w:anchor="_Toc163506111" w:history="1">
        <w:r w:rsidRPr="007246E7">
          <w:rPr>
            <w:rStyle w:val="Hyperlink"/>
            <w:rtl/>
          </w:rPr>
          <w:t>חזון איש או"ח סי' נ' סק"ט ד"ה ובפתיחת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Toc163506111 \h</w:instrText>
        </w:r>
        <w:r>
          <w:rPr>
            <w:webHidden/>
            <w:rtl/>
          </w:rPr>
          <w:instrText xml:space="preserve"> </w:instrText>
        </w:r>
        <w:r>
          <w:rPr>
            <w:rStyle w:val="Hyperlink"/>
            <w:rtl/>
          </w:rPr>
        </w:r>
        <w:r>
          <w:rPr>
            <w:rStyle w:val="Hyperlink"/>
            <w:rtl/>
          </w:rPr>
          <w:fldChar w:fldCharType="separate"/>
        </w:r>
        <w:r w:rsidR="00D82181">
          <w:rPr>
            <w:webHidden/>
            <w:rtl/>
          </w:rPr>
          <w:t>140</w:t>
        </w:r>
        <w:r>
          <w:rPr>
            <w:rStyle w:val="Hyperlink"/>
            <w:rtl/>
          </w:rPr>
          <w:fldChar w:fldCharType="end"/>
        </w:r>
      </w:hyperlink>
    </w:p>
    <w:p w14:paraId="75D0DFDB" w14:textId="657236D5" w:rsidR="008009AA" w:rsidRDefault="008009AA">
      <w:pPr>
        <w:pStyle w:val="TOC7"/>
        <w:rPr>
          <w:rFonts w:cstheme="minorBidi"/>
          <w:sz w:val="22"/>
          <w:szCs w:val="22"/>
          <w:rtl/>
        </w:rPr>
      </w:pPr>
      <w:hyperlink w:anchor="_Toc163506112" w:history="1">
        <w:r w:rsidRPr="007246E7">
          <w:rPr>
            <w:rStyle w:val="Hyperlink"/>
            <w:rtl/>
          </w:rPr>
          <w:t>חזון איש או"ח סי' נ' סק"ט ד"ה וכן</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Toc163506112 \h</w:instrText>
        </w:r>
        <w:r>
          <w:rPr>
            <w:webHidden/>
            <w:rtl/>
          </w:rPr>
          <w:instrText xml:space="preserve"> </w:instrText>
        </w:r>
        <w:r>
          <w:rPr>
            <w:rStyle w:val="Hyperlink"/>
            <w:rtl/>
          </w:rPr>
        </w:r>
        <w:r>
          <w:rPr>
            <w:rStyle w:val="Hyperlink"/>
            <w:rtl/>
          </w:rPr>
          <w:fldChar w:fldCharType="separate"/>
        </w:r>
        <w:r w:rsidR="00D82181">
          <w:rPr>
            <w:webHidden/>
            <w:rtl/>
          </w:rPr>
          <w:t>140</w:t>
        </w:r>
        <w:r>
          <w:rPr>
            <w:rStyle w:val="Hyperlink"/>
            <w:rtl/>
          </w:rPr>
          <w:fldChar w:fldCharType="end"/>
        </w:r>
      </w:hyperlink>
    </w:p>
    <w:p w14:paraId="6928BC55" w14:textId="67990E08" w:rsidR="008009AA" w:rsidRDefault="008009AA">
      <w:pPr>
        <w:pStyle w:val="TOC7"/>
        <w:rPr>
          <w:rFonts w:cstheme="minorBidi"/>
          <w:sz w:val="22"/>
          <w:szCs w:val="22"/>
          <w:rtl/>
        </w:rPr>
      </w:pPr>
      <w:hyperlink w:anchor="_Toc163506113" w:history="1">
        <w:r w:rsidRPr="007246E7">
          <w:rPr>
            <w:rStyle w:val="Hyperlink"/>
            <w:rtl/>
          </w:rPr>
          <w:t>חזון איש או"ח סי' נ' סק"ט ד"ה והא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Toc163506113 \h</w:instrText>
        </w:r>
        <w:r>
          <w:rPr>
            <w:webHidden/>
            <w:rtl/>
          </w:rPr>
          <w:instrText xml:space="preserve"> </w:instrText>
        </w:r>
        <w:r>
          <w:rPr>
            <w:rStyle w:val="Hyperlink"/>
            <w:rtl/>
          </w:rPr>
        </w:r>
        <w:r>
          <w:rPr>
            <w:rStyle w:val="Hyperlink"/>
            <w:rtl/>
          </w:rPr>
          <w:fldChar w:fldCharType="separate"/>
        </w:r>
        <w:r w:rsidR="00D82181">
          <w:rPr>
            <w:webHidden/>
            <w:rtl/>
          </w:rPr>
          <w:t>140</w:t>
        </w:r>
        <w:r>
          <w:rPr>
            <w:rStyle w:val="Hyperlink"/>
            <w:rtl/>
          </w:rPr>
          <w:fldChar w:fldCharType="end"/>
        </w:r>
      </w:hyperlink>
    </w:p>
    <w:p w14:paraId="5ACDF8BF" w14:textId="516D7E71" w:rsidR="008009AA" w:rsidRDefault="008009AA">
      <w:pPr>
        <w:pStyle w:val="TOC7"/>
        <w:rPr>
          <w:rFonts w:cstheme="minorBidi"/>
          <w:sz w:val="22"/>
          <w:szCs w:val="22"/>
          <w:rtl/>
        </w:rPr>
      </w:pPr>
      <w:hyperlink w:anchor="_Toc163506114" w:history="1">
        <w:r w:rsidRPr="007246E7">
          <w:rPr>
            <w:rStyle w:val="Hyperlink"/>
            <w:rtl/>
          </w:rPr>
          <w:t>חזון איש או"ח סי' קנ"ו השמטות לסי' שי"ג ד"ה יסוד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Toc163506114 \h</w:instrText>
        </w:r>
        <w:r>
          <w:rPr>
            <w:webHidden/>
            <w:rtl/>
          </w:rPr>
          <w:instrText xml:space="preserve"> </w:instrText>
        </w:r>
        <w:r>
          <w:rPr>
            <w:rStyle w:val="Hyperlink"/>
            <w:rtl/>
          </w:rPr>
        </w:r>
        <w:r>
          <w:rPr>
            <w:rStyle w:val="Hyperlink"/>
            <w:rtl/>
          </w:rPr>
          <w:fldChar w:fldCharType="separate"/>
        </w:r>
        <w:r w:rsidR="00D82181">
          <w:rPr>
            <w:webHidden/>
            <w:rtl/>
          </w:rPr>
          <w:t>140</w:t>
        </w:r>
        <w:r>
          <w:rPr>
            <w:rStyle w:val="Hyperlink"/>
            <w:rtl/>
          </w:rPr>
          <w:fldChar w:fldCharType="end"/>
        </w:r>
      </w:hyperlink>
    </w:p>
    <w:p w14:paraId="2ACC987F" w14:textId="27471728" w:rsidR="008009AA" w:rsidRDefault="008009AA">
      <w:pPr>
        <w:pStyle w:val="TOC7"/>
        <w:rPr>
          <w:rFonts w:cstheme="minorBidi"/>
          <w:sz w:val="22"/>
          <w:szCs w:val="22"/>
          <w:rtl/>
        </w:rPr>
      </w:pPr>
      <w:hyperlink w:anchor="_Toc163506115" w:history="1">
        <w:r w:rsidRPr="007246E7">
          <w:rPr>
            <w:rStyle w:val="Hyperlink"/>
            <w:rtl/>
          </w:rPr>
          <w:t>חזון איש או"ח סי' קנ"ו השמטות לסי' שי"ג ד"ה היתר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Toc163506115 \h</w:instrText>
        </w:r>
        <w:r>
          <w:rPr>
            <w:webHidden/>
            <w:rtl/>
          </w:rPr>
          <w:instrText xml:space="preserve"> </w:instrText>
        </w:r>
        <w:r>
          <w:rPr>
            <w:rStyle w:val="Hyperlink"/>
            <w:rtl/>
          </w:rPr>
        </w:r>
        <w:r>
          <w:rPr>
            <w:rStyle w:val="Hyperlink"/>
            <w:rtl/>
          </w:rPr>
          <w:fldChar w:fldCharType="separate"/>
        </w:r>
        <w:r w:rsidR="00D82181">
          <w:rPr>
            <w:webHidden/>
            <w:rtl/>
          </w:rPr>
          <w:t>140</w:t>
        </w:r>
        <w:r>
          <w:rPr>
            <w:rStyle w:val="Hyperlink"/>
            <w:rtl/>
          </w:rPr>
          <w:fldChar w:fldCharType="end"/>
        </w:r>
      </w:hyperlink>
    </w:p>
    <w:p w14:paraId="06030334" w14:textId="38009E7F" w:rsidR="008009AA" w:rsidRDefault="008009AA">
      <w:pPr>
        <w:pStyle w:val="TOC7"/>
        <w:rPr>
          <w:rFonts w:cstheme="minorBidi"/>
          <w:sz w:val="22"/>
          <w:szCs w:val="22"/>
          <w:rtl/>
        </w:rPr>
      </w:pPr>
      <w:hyperlink w:anchor="_Toc163506116" w:history="1">
        <w:r w:rsidRPr="007246E7">
          <w:rPr>
            <w:rStyle w:val="Hyperlink"/>
            <w:rtl/>
          </w:rPr>
          <w:t>שולחן ערוך הרב או"ח סי' שי"ג כ'</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Toc163506116 \h</w:instrText>
        </w:r>
        <w:r>
          <w:rPr>
            <w:webHidden/>
            <w:rtl/>
          </w:rPr>
          <w:instrText xml:space="preserve"> </w:instrText>
        </w:r>
        <w:r>
          <w:rPr>
            <w:rStyle w:val="Hyperlink"/>
            <w:rtl/>
          </w:rPr>
        </w:r>
        <w:r>
          <w:rPr>
            <w:rStyle w:val="Hyperlink"/>
            <w:rtl/>
          </w:rPr>
          <w:fldChar w:fldCharType="separate"/>
        </w:r>
        <w:r w:rsidR="00D82181">
          <w:rPr>
            <w:webHidden/>
            <w:rtl/>
          </w:rPr>
          <w:t>140</w:t>
        </w:r>
        <w:r>
          <w:rPr>
            <w:rStyle w:val="Hyperlink"/>
            <w:rtl/>
          </w:rPr>
          <w:fldChar w:fldCharType="end"/>
        </w:r>
      </w:hyperlink>
    </w:p>
    <w:p w14:paraId="3C9E84CF" w14:textId="7EBCA598" w:rsidR="008009AA" w:rsidRDefault="008009AA">
      <w:pPr>
        <w:pStyle w:val="TOC7"/>
        <w:rPr>
          <w:rFonts w:cstheme="minorBidi"/>
          <w:sz w:val="22"/>
          <w:szCs w:val="22"/>
          <w:rtl/>
        </w:rPr>
      </w:pPr>
      <w:hyperlink w:anchor="_Toc163506117" w:history="1">
        <w:r w:rsidRPr="007246E7">
          <w:rPr>
            <w:rStyle w:val="Hyperlink"/>
            <w:rtl/>
          </w:rPr>
          <w:t>שולחן ערוך הרב או"ח סי' שי"ג כ"א ד"ה אבל</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Toc163506117 \h</w:instrText>
        </w:r>
        <w:r>
          <w:rPr>
            <w:webHidden/>
            <w:rtl/>
          </w:rPr>
          <w:instrText xml:space="preserve"> </w:instrText>
        </w:r>
        <w:r>
          <w:rPr>
            <w:rStyle w:val="Hyperlink"/>
            <w:rtl/>
          </w:rPr>
        </w:r>
        <w:r>
          <w:rPr>
            <w:rStyle w:val="Hyperlink"/>
            <w:rtl/>
          </w:rPr>
          <w:fldChar w:fldCharType="separate"/>
        </w:r>
        <w:r w:rsidR="00D82181">
          <w:rPr>
            <w:webHidden/>
            <w:rtl/>
          </w:rPr>
          <w:t>140</w:t>
        </w:r>
        <w:r>
          <w:rPr>
            <w:rStyle w:val="Hyperlink"/>
            <w:rtl/>
          </w:rPr>
          <w:fldChar w:fldCharType="end"/>
        </w:r>
      </w:hyperlink>
    </w:p>
    <w:p w14:paraId="2859C567" w14:textId="29BD172C" w:rsidR="008009AA" w:rsidRDefault="008009AA">
      <w:pPr>
        <w:pStyle w:val="TOC7"/>
        <w:rPr>
          <w:rFonts w:cstheme="minorBidi"/>
          <w:sz w:val="22"/>
          <w:szCs w:val="22"/>
          <w:rtl/>
        </w:rPr>
      </w:pPr>
      <w:hyperlink w:anchor="_Toc163506118" w:history="1">
        <w:r w:rsidRPr="007246E7">
          <w:rPr>
            <w:rStyle w:val="Hyperlink"/>
            <w:rtl/>
          </w:rPr>
          <w:t>שולחן ערוך הרב הרב או"ח סי' שי"ד יט</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Toc163506118 \h</w:instrText>
        </w:r>
        <w:r>
          <w:rPr>
            <w:webHidden/>
            <w:rtl/>
          </w:rPr>
          <w:instrText xml:space="preserve"> </w:instrText>
        </w:r>
        <w:r>
          <w:rPr>
            <w:rStyle w:val="Hyperlink"/>
            <w:rtl/>
          </w:rPr>
        </w:r>
        <w:r>
          <w:rPr>
            <w:rStyle w:val="Hyperlink"/>
            <w:rtl/>
          </w:rPr>
          <w:fldChar w:fldCharType="separate"/>
        </w:r>
        <w:r w:rsidR="00D82181">
          <w:rPr>
            <w:webHidden/>
            <w:rtl/>
          </w:rPr>
          <w:t>140</w:t>
        </w:r>
        <w:r>
          <w:rPr>
            <w:rStyle w:val="Hyperlink"/>
            <w:rtl/>
          </w:rPr>
          <w:fldChar w:fldCharType="end"/>
        </w:r>
      </w:hyperlink>
    </w:p>
    <w:p w14:paraId="16F6CFD8" w14:textId="5A890270" w:rsidR="008009AA" w:rsidRDefault="008009AA">
      <w:pPr>
        <w:pStyle w:val="TOC7"/>
        <w:rPr>
          <w:rFonts w:cstheme="minorBidi"/>
          <w:sz w:val="22"/>
          <w:szCs w:val="22"/>
          <w:rtl/>
        </w:rPr>
      </w:pPr>
      <w:hyperlink w:anchor="_Toc163506119" w:history="1">
        <w:r w:rsidRPr="007246E7">
          <w:rPr>
            <w:rStyle w:val="Hyperlink"/>
            <w:rtl/>
          </w:rPr>
          <w:t>תהלה לדוד סי' שי"ד י"ז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Toc163506119 \h</w:instrText>
        </w:r>
        <w:r>
          <w:rPr>
            <w:webHidden/>
            <w:rtl/>
          </w:rPr>
          <w:instrText xml:space="preserve"> </w:instrText>
        </w:r>
        <w:r>
          <w:rPr>
            <w:rStyle w:val="Hyperlink"/>
            <w:rtl/>
          </w:rPr>
        </w:r>
        <w:r>
          <w:rPr>
            <w:rStyle w:val="Hyperlink"/>
            <w:rtl/>
          </w:rPr>
          <w:fldChar w:fldCharType="separate"/>
        </w:r>
        <w:r w:rsidR="00D82181">
          <w:rPr>
            <w:webHidden/>
            <w:rtl/>
          </w:rPr>
          <w:t>140</w:t>
        </w:r>
        <w:r>
          <w:rPr>
            <w:rStyle w:val="Hyperlink"/>
            <w:rtl/>
          </w:rPr>
          <w:fldChar w:fldCharType="end"/>
        </w:r>
      </w:hyperlink>
    </w:p>
    <w:p w14:paraId="159059A1" w14:textId="170B810D" w:rsidR="008009AA" w:rsidRDefault="008009AA">
      <w:pPr>
        <w:pStyle w:val="TOC7"/>
        <w:rPr>
          <w:rFonts w:cstheme="minorBidi"/>
          <w:sz w:val="22"/>
          <w:szCs w:val="22"/>
          <w:rtl/>
        </w:rPr>
      </w:pPr>
      <w:hyperlink w:anchor="_Toc163506120" w:history="1">
        <w:r w:rsidRPr="007246E7">
          <w:rPr>
            <w:rStyle w:val="Hyperlink"/>
            <w:rtl/>
          </w:rPr>
          <w:t>שו"ת מנחת שלמה ח"א סי' י"א ד"ה גם נראה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Toc163506120 \h</w:instrText>
        </w:r>
        <w:r>
          <w:rPr>
            <w:webHidden/>
            <w:rtl/>
          </w:rPr>
          <w:instrText xml:space="preserve"> </w:instrText>
        </w:r>
        <w:r>
          <w:rPr>
            <w:rStyle w:val="Hyperlink"/>
            <w:rtl/>
          </w:rPr>
        </w:r>
        <w:r>
          <w:rPr>
            <w:rStyle w:val="Hyperlink"/>
            <w:rtl/>
          </w:rPr>
          <w:fldChar w:fldCharType="separate"/>
        </w:r>
        <w:r w:rsidR="00D82181">
          <w:rPr>
            <w:webHidden/>
            <w:rtl/>
          </w:rPr>
          <w:t>140</w:t>
        </w:r>
        <w:r>
          <w:rPr>
            <w:rStyle w:val="Hyperlink"/>
            <w:rtl/>
          </w:rPr>
          <w:fldChar w:fldCharType="end"/>
        </w:r>
      </w:hyperlink>
    </w:p>
    <w:p w14:paraId="5DCB25E4" w14:textId="7335D757" w:rsidR="008009AA" w:rsidRDefault="008009AA">
      <w:pPr>
        <w:pStyle w:val="TOC7"/>
        <w:rPr>
          <w:rFonts w:cstheme="minorBidi"/>
          <w:sz w:val="22"/>
          <w:szCs w:val="22"/>
          <w:rtl/>
        </w:rPr>
      </w:pPr>
      <w:hyperlink w:anchor="_Toc163506121" w:history="1">
        <w:r w:rsidRPr="007246E7">
          <w:rPr>
            <w:rStyle w:val="Hyperlink"/>
            <w:rtl/>
          </w:rPr>
          <w:t>פרי מגדים או"ח משבצות זהב סי' שי"ג ס"ק 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Toc163506121 \h</w:instrText>
        </w:r>
        <w:r>
          <w:rPr>
            <w:webHidden/>
            <w:rtl/>
          </w:rPr>
          <w:instrText xml:space="preserve"> </w:instrText>
        </w:r>
        <w:r>
          <w:rPr>
            <w:rStyle w:val="Hyperlink"/>
            <w:rtl/>
          </w:rPr>
        </w:r>
        <w:r>
          <w:rPr>
            <w:rStyle w:val="Hyperlink"/>
            <w:rtl/>
          </w:rPr>
          <w:fldChar w:fldCharType="separate"/>
        </w:r>
        <w:r w:rsidR="00D82181">
          <w:rPr>
            <w:webHidden/>
            <w:rtl/>
          </w:rPr>
          <w:t>140</w:t>
        </w:r>
        <w:r>
          <w:rPr>
            <w:rStyle w:val="Hyperlink"/>
            <w:rtl/>
          </w:rPr>
          <w:fldChar w:fldCharType="end"/>
        </w:r>
      </w:hyperlink>
    </w:p>
    <w:p w14:paraId="557982B4" w14:textId="6E039603" w:rsidR="008009AA" w:rsidRDefault="008009AA">
      <w:pPr>
        <w:pStyle w:val="TOC7"/>
        <w:rPr>
          <w:rFonts w:cstheme="minorBidi"/>
          <w:sz w:val="22"/>
          <w:szCs w:val="22"/>
          <w:rtl/>
        </w:rPr>
      </w:pPr>
      <w:hyperlink w:anchor="_Toc163506122" w:history="1">
        <w:r w:rsidRPr="007246E7">
          <w:rPr>
            <w:rStyle w:val="Hyperlink"/>
            <w:rtl/>
          </w:rPr>
          <w:t>שו"ע או"ח סי' תקי"ט 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Toc163506122 \h</w:instrText>
        </w:r>
        <w:r>
          <w:rPr>
            <w:webHidden/>
            <w:rtl/>
          </w:rPr>
          <w:instrText xml:space="preserve"> </w:instrText>
        </w:r>
        <w:r>
          <w:rPr>
            <w:rStyle w:val="Hyperlink"/>
            <w:rtl/>
          </w:rPr>
        </w:r>
        <w:r>
          <w:rPr>
            <w:rStyle w:val="Hyperlink"/>
            <w:rtl/>
          </w:rPr>
          <w:fldChar w:fldCharType="separate"/>
        </w:r>
        <w:r w:rsidR="00D82181">
          <w:rPr>
            <w:webHidden/>
            <w:rtl/>
          </w:rPr>
          <w:t>140</w:t>
        </w:r>
        <w:r>
          <w:rPr>
            <w:rStyle w:val="Hyperlink"/>
            <w:rtl/>
          </w:rPr>
          <w:fldChar w:fldCharType="end"/>
        </w:r>
      </w:hyperlink>
    </w:p>
    <w:p w14:paraId="31981C4B" w14:textId="5BA4BE22" w:rsidR="008009AA" w:rsidRDefault="008009AA">
      <w:pPr>
        <w:pStyle w:val="TOC7"/>
        <w:rPr>
          <w:rFonts w:cstheme="minorBidi"/>
          <w:sz w:val="22"/>
          <w:szCs w:val="22"/>
          <w:rtl/>
        </w:rPr>
      </w:pPr>
      <w:hyperlink w:anchor="_Toc163506123" w:history="1">
        <w:r w:rsidRPr="007246E7">
          <w:rPr>
            <w:rStyle w:val="Hyperlink"/>
            <w:rtl/>
          </w:rPr>
          <w:t>חדושי הרשב"א שבת ק"ב ע"ב ד"ה ירושלמי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Toc163506123 \h</w:instrText>
        </w:r>
        <w:r>
          <w:rPr>
            <w:webHidden/>
            <w:rtl/>
          </w:rPr>
          <w:instrText xml:space="preserve"> </w:instrText>
        </w:r>
        <w:r>
          <w:rPr>
            <w:rStyle w:val="Hyperlink"/>
            <w:rtl/>
          </w:rPr>
        </w:r>
        <w:r>
          <w:rPr>
            <w:rStyle w:val="Hyperlink"/>
            <w:rtl/>
          </w:rPr>
          <w:fldChar w:fldCharType="separate"/>
        </w:r>
        <w:r w:rsidR="00D82181">
          <w:rPr>
            <w:webHidden/>
            <w:rtl/>
          </w:rPr>
          <w:t>141</w:t>
        </w:r>
        <w:r>
          <w:rPr>
            <w:rStyle w:val="Hyperlink"/>
            <w:rtl/>
          </w:rPr>
          <w:fldChar w:fldCharType="end"/>
        </w:r>
      </w:hyperlink>
    </w:p>
    <w:p w14:paraId="3382281D" w14:textId="742F3E6C" w:rsidR="008009AA" w:rsidRDefault="008009AA">
      <w:pPr>
        <w:pStyle w:val="TOC7"/>
        <w:rPr>
          <w:rFonts w:cstheme="minorBidi"/>
          <w:sz w:val="22"/>
          <w:szCs w:val="22"/>
          <w:rtl/>
        </w:rPr>
      </w:pPr>
      <w:hyperlink w:anchor="_Toc163506124" w:history="1">
        <w:r w:rsidRPr="007246E7">
          <w:rPr>
            <w:rStyle w:val="Hyperlink"/>
            <w:rtl/>
          </w:rPr>
          <w:t>מאירי שבת ק"ב ע"ב ד"ה אמר המאירי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Toc163506124 \h</w:instrText>
        </w:r>
        <w:r>
          <w:rPr>
            <w:webHidden/>
            <w:rtl/>
          </w:rPr>
          <w:instrText xml:space="preserve"> </w:instrText>
        </w:r>
        <w:r>
          <w:rPr>
            <w:rStyle w:val="Hyperlink"/>
            <w:rtl/>
          </w:rPr>
        </w:r>
        <w:r>
          <w:rPr>
            <w:rStyle w:val="Hyperlink"/>
            <w:rtl/>
          </w:rPr>
          <w:fldChar w:fldCharType="separate"/>
        </w:r>
        <w:r w:rsidR="00D82181">
          <w:rPr>
            <w:webHidden/>
            <w:rtl/>
          </w:rPr>
          <w:t>141</w:t>
        </w:r>
        <w:r>
          <w:rPr>
            <w:rStyle w:val="Hyperlink"/>
            <w:rtl/>
          </w:rPr>
          <w:fldChar w:fldCharType="end"/>
        </w:r>
      </w:hyperlink>
    </w:p>
    <w:p w14:paraId="2349A339" w14:textId="24DA4382" w:rsidR="008009AA" w:rsidRDefault="008009AA">
      <w:pPr>
        <w:pStyle w:val="TOC7"/>
        <w:rPr>
          <w:rFonts w:cstheme="minorBidi"/>
          <w:sz w:val="22"/>
          <w:szCs w:val="22"/>
          <w:rtl/>
        </w:rPr>
      </w:pPr>
      <w:hyperlink w:anchor="_Toc163506125" w:history="1">
        <w:r w:rsidRPr="007246E7">
          <w:rPr>
            <w:rStyle w:val="Hyperlink"/>
            <w:rtl/>
          </w:rPr>
          <w:t>אור זרוע שבת סי' ע"ח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Toc163506125 \h</w:instrText>
        </w:r>
        <w:r>
          <w:rPr>
            <w:webHidden/>
            <w:rtl/>
          </w:rPr>
          <w:instrText xml:space="preserve"> </w:instrText>
        </w:r>
        <w:r>
          <w:rPr>
            <w:rStyle w:val="Hyperlink"/>
            <w:rtl/>
          </w:rPr>
        </w:r>
        <w:r>
          <w:rPr>
            <w:rStyle w:val="Hyperlink"/>
            <w:rtl/>
          </w:rPr>
          <w:fldChar w:fldCharType="separate"/>
        </w:r>
        <w:r w:rsidR="00D82181">
          <w:rPr>
            <w:webHidden/>
            <w:rtl/>
          </w:rPr>
          <w:t>141</w:t>
        </w:r>
        <w:r>
          <w:rPr>
            <w:rStyle w:val="Hyperlink"/>
            <w:rtl/>
          </w:rPr>
          <w:fldChar w:fldCharType="end"/>
        </w:r>
      </w:hyperlink>
    </w:p>
    <w:p w14:paraId="5B078E82" w14:textId="50DA8A03" w:rsidR="008009AA" w:rsidRDefault="008009AA">
      <w:pPr>
        <w:pStyle w:val="TOC7"/>
        <w:rPr>
          <w:rFonts w:cstheme="minorBidi"/>
          <w:sz w:val="22"/>
          <w:szCs w:val="22"/>
          <w:rtl/>
        </w:rPr>
      </w:pPr>
      <w:hyperlink w:anchor="_Toc163506126" w:history="1">
        <w:r w:rsidRPr="007246E7">
          <w:rPr>
            <w:rStyle w:val="Hyperlink"/>
            <w:rtl/>
          </w:rPr>
          <w:t>ביאור הגרח"ק ירושלמי שבת פי"ב ה"א ד"ה ה"ג לעולם</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Toc163506126 \h</w:instrText>
        </w:r>
        <w:r>
          <w:rPr>
            <w:webHidden/>
            <w:rtl/>
          </w:rPr>
          <w:instrText xml:space="preserve"> </w:instrText>
        </w:r>
        <w:r>
          <w:rPr>
            <w:rStyle w:val="Hyperlink"/>
            <w:rtl/>
          </w:rPr>
        </w:r>
        <w:r>
          <w:rPr>
            <w:rStyle w:val="Hyperlink"/>
            <w:rtl/>
          </w:rPr>
          <w:fldChar w:fldCharType="separate"/>
        </w:r>
        <w:r w:rsidR="00D82181">
          <w:rPr>
            <w:webHidden/>
            <w:rtl/>
          </w:rPr>
          <w:t>141</w:t>
        </w:r>
        <w:r>
          <w:rPr>
            <w:rStyle w:val="Hyperlink"/>
            <w:rtl/>
          </w:rPr>
          <w:fldChar w:fldCharType="end"/>
        </w:r>
      </w:hyperlink>
    </w:p>
    <w:p w14:paraId="4BF2F209" w14:textId="3429B696" w:rsidR="008009AA" w:rsidRDefault="008009AA">
      <w:pPr>
        <w:pStyle w:val="TOC7"/>
        <w:rPr>
          <w:rFonts w:cstheme="minorBidi"/>
          <w:sz w:val="22"/>
          <w:szCs w:val="22"/>
          <w:rtl/>
        </w:rPr>
      </w:pPr>
      <w:hyperlink w:anchor="_Toc163506127" w:history="1">
        <w:r w:rsidRPr="007246E7">
          <w:rPr>
            <w:rStyle w:val="Hyperlink"/>
            <w:rtl/>
          </w:rPr>
          <w:t>שו"ת חתם סופר ח"א או"ח סי' ע"ב ד"ה ולמדתי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Toc163506127 \h</w:instrText>
        </w:r>
        <w:r>
          <w:rPr>
            <w:webHidden/>
            <w:rtl/>
          </w:rPr>
          <w:instrText xml:space="preserve"> </w:instrText>
        </w:r>
        <w:r>
          <w:rPr>
            <w:rStyle w:val="Hyperlink"/>
            <w:rtl/>
          </w:rPr>
        </w:r>
        <w:r>
          <w:rPr>
            <w:rStyle w:val="Hyperlink"/>
            <w:rtl/>
          </w:rPr>
          <w:fldChar w:fldCharType="separate"/>
        </w:r>
        <w:r w:rsidR="00D82181">
          <w:rPr>
            <w:webHidden/>
            <w:rtl/>
          </w:rPr>
          <w:t>141</w:t>
        </w:r>
        <w:r>
          <w:rPr>
            <w:rStyle w:val="Hyperlink"/>
            <w:rtl/>
          </w:rPr>
          <w:fldChar w:fldCharType="end"/>
        </w:r>
      </w:hyperlink>
    </w:p>
    <w:p w14:paraId="423C10D2" w14:textId="4025F14F" w:rsidR="008009AA" w:rsidRDefault="008009AA">
      <w:pPr>
        <w:pStyle w:val="TOC7"/>
        <w:rPr>
          <w:rFonts w:cstheme="minorBidi"/>
          <w:sz w:val="22"/>
          <w:szCs w:val="22"/>
          <w:rtl/>
        </w:rPr>
      </w:pPr>
      <w:hyperlink w:anchor="_Toc163506128" w:history="1">
        <w:r w:rsidRPr="007246E7">
          <w:rPr>
            <w:rStyle w:val="Hyperlink"/>
            <w:rtl/>
          </w:rPr>
          <w:t>כלכלת שבת לבעל התפארת ישראל בונה אות 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Toc163506128 \h</w:instrText>
        </w:r>
        <w:r>
          <w:rPr>
            <w:webHidden/>
            <w:rtl/>
          </w:rPr>
          <w:instrText xml:space="preserve"> </w:instrText>
        </w:r>
        <w:r>
          <w:rPr>
            <w:rStyle w:val="Hyperlink"/>
            <w:rtl/>
          </w:rPr>
        </w:r>
        <w:r>
          <w:rPr>
            <w:rStyle w:val="Hyperlink"/>
            <w:rtl/>
          </w:rPr>
          <w:fldChar w:fldCharType="separate"/>
        </w:r>
        <w:r w:rsidR="00D82181">
          <w:rPr>
            <w:webHidden/>
            <w:rtl/>
          </w:rPr>
          <w:t>141</w:t>
        </w:r>
        <w:r>
          <w:rPr>
            <w:rStyle w:val="Hyperlink"/>
            <w:rtl/>
          </w:rPr>
          <w:fldChar w:fldCharType="end"/>
        </w:r>
      </w:hyperlink>
    </w:p>
    <w:p w14:paraId="155E220E" w14:textId="4CC86A9D" w:rsidR="008009AA" w:rsidRDefault="008009AA">
      <w:pPr>
        <w:pStyle w:val="TOC7"/>
        <w:rPr>
          <w:rFonts w:cstheme="minorBidi"/>
          <w:sz w:val="22"/>
          <w:szCs w:val="22"/>
          <w:rtl/>
        </w:rPr>
      </w:pPr>
      <w:hyperlink w:anchor="_Toc163506129" w:history="1">
        <w:r w:rsidRPr="007246E7">
          <w:rPr>
            <w:rStyle w:val="Hyperlink"/>
            <w:rtl/>
          </w:rPr>
          <w:t>נודע ביהודה מהדורא תניינא או"ח סי' ל'</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Toc163506129 \h</w:instrText>
        </w:r>
        <w:r>
          <w:rPr>
            <w:webHidden/>
            <w:rtl/>
          </w:rPr>
          <w:instrText xml:space="preserve"> </w:instrText>
        </w:r>
        <w:r>
          <w:rPr>
            <w:rStyle w:val="Hyperlink"/>
            <w:rtl/>
          </w:rPr>
        </w:r>
        <w:r>
          <w:rPr>
            <w:rStyle w:val="Hyperlink"/>
            <w:rtl/>
          </w:rPr>
          <w:fldChar w:fldCharType="separate"/>
        </w:r>
        <w:r w:rsidR="00D82181">
          <w:rPr>
            <w:webHidden/>
            <w:rtl/>
          </w:rPr>
          <w:t>141</w:t>
        </w:r>
        <w:r>
          <w:rPr>
            <w:rStyle w:val="Hyperlink"/>
            <w:rtl/>
          </w:rPr>
          <w:fldChar w:fldCharType="end"/>
        </w:r>
      </w:hyperlink>
    </w:p>
    <w:p w14:paraId="574D3DCA" w14:textId="3616DC75" w:rsidR="008009AA" w:rsidRDefault="008009AA">
      <w:pPr>
        <w:pStyle w:val="TOC7"/>
        <w:rPr>
          <w:rFonts w:cstheme="minorBidi"/>
          <w:sz w:val="22"/>
          <w:szCs w:val="22"/>
          <w:rtl/>
        </w:rPr>
      </w:pPr>
      <w:hyperlink w:anchor="_Toc163506130" w:history="1">
        <w:r w:rsidRPr="007246E7">
          <w:rPr>
            <w:rStyle w:val="Hyperlink"/>
            <w:rtl/>
          </w:rPr>
          <w:t>שביתת השבת מעשה חושב פ"א מלאכה שאינה לקיום</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Toc163506130 \h</w:instrText>
        </w:r>
        <w:r>
          <w:rPr>
            <w:webHidden/>
            <w:rtl/>
          </w:rPr>
          <w:instrText xml:space="preserve"> </w:instrText>
        </w:r>
        <w:r>
          <w:rPr>
            <w:rStyle w:val="Hyperlink"/>
            <w:rtl/>
          </w:rPr>
        </w:r>
        <w:r>
          <w:rPr>
            <w:rStyle w:val="Hyperlink"/>
            <w:rtl/>
          </w:rPr>
          <w:fldChar w:fldCharType="separate"/>
        </w:r>
        <w:r w:rsidR="00D82181">
          <w:rPr>
            <w:webHidden/>
            <w:rtl/>
          </w:rPr>
          <w:t>141</w:t>
        </w:r>
        <w:r>
          <w:rPr>
            <w:rStyle w:val="Hyperlink"/>
            <w:rtl/>
          </w:rPr>
          <w:fldChar w:fldCharType="end"/>
        </w:r>
      </w:hyperlink>
    </w:p>
    <w:p w14:paraId="49484BE5" w14:textId="73959D12" w:rsidR="008009AA" w:rsidRDefault="008009AA">
      <w:pPr>
        <w:pStyle w:val="TOC7"/>
        <w:rPr>
          <w:rFonts w:cstheme="minorBidi"/>
          <w:sz w:val="22"/>
          <w:szCs w:val="22"/>
          <w:rtl/>
        </w:rPr>
      </w:pPr>
      <w:hyperlink w:anchor="_Toc163506131" w:history="1">
        <w:r w:rsidRPr="007246E7">
          <w:rPr>
            <w:rStyle w:val="Hyperlink"/>
            <w:rtl/>
          </w:rPr>
          <w:t>רש"י שבת קכ"ו ע"א ד"ה והמונח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Toc163506131 \h</w:instrText>
        </w:r>
        <w:r>
          <w:rPr>
            <w:webHidden/>
            <w:rtl/>
          </w:rPr>
          <w:instrText xml:space="preserve"> </w:instrText>
        </w:r>
        <w:r>
          <w:rPr>
            <w:rStyle w:val="Hyperlink"/>
            <w:rtl/>
          </w:rPr>
        </w:r>
        <w:r>
          <w:rPr>
            <w:rStyle w:val="Hyperlink"/>
            <w:rtl/>
          </w:rPr>
          <w:fldChar w:fldCharType="separate"/>
        </w:r>
        <w:r w:rsidR="00D82181">
          <w:rPr>
            <w:webHidden/>
            <w:rtl/>
          </w:rPr>
          <w:t>141</w:t>
        </w:r>
        <w:r>
          <w:rPr>
            <w:rStyle w:val="Hyperlink"/>
            <w:rtl/>
          </w:rPr>
          <w:fldChar w:fldCharType="end"/>
        </w:r>
      </w:hyperlink>
    </w:p>
    <w:p w14:paraId="75945E0A" w14:textId="19CA5AE1" w:rsidR="008009AA" w:rsidRDefault="008009AA">
      <w:pPr>
        <w:pStyle w:val="TOC7"/>
        <w:rPr>
          <w:rFonts w:cstheme="minorBidi"/>
          <w:sz w:val="22"/>
          <w:szCs w:val="22"/>
          <w:rtl/>
        </w:rPr>
      </w:pPr>
      <w:hyperlink w:anchor="_Toc163506132" w:history="1">
        <w:r w:rsidRPr="007246E7">
          <w:rPr>
            <w:rStyle w:val="Hyperlink"/>
            <w:rtl/>
          </w:rPr>
          <w:t>רש"י עירובין ק"ב ע"א ד"ה והמונח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Toc163506132 \h</w:instrText>
        </w:r>
        <w:r>
          <w:rPr>
            <w:webHidden/>
            <w:rtl/>
          </w:rPr>
          <w:instrText xml:space="preserve"> </w:instrText>
        </w:r>
        <w:r>
          <w:rPr>
            <w:rStyle w:val="Hyperlink"/>
            <w:rtl/>
          </w:rPr>
        </w:r>
        <w:r>
          <w:rPr>
            <w:rStyle w:val="Hyperlink"/>
            <w:rtl/>
          </w:rPr>
          <w:fldChar w:fldCharType="separate"/>
        </w:r>
        <w:r w:rsidR="00D82181">
          <w:rPr>
            <w:webHidden/>
            <w:rtl/>
          </w:rPr>
          <w:t>141</w:t>
        </w:r>
        <w:r>
          <w:rPr>
            <w:rStyle w:val="Hyperlink"/>
            <w:rtl/>
          </w:rPr>
          <w:fldChar w:fldCharType="end"/>
        </w:r>
      </w:hyperlink>
    </w:p>
    <w:p w14:paraId="57E89B45" w14:textId="2D008C4C" w:rsidR="008009AA" w:rsidRDefault="008009AA">
      <w:pPr>
        <w:pStyle w:val="TOC7"/>
        <w:rPr>
          <w:rFonts w:cstheme="minorBidi"/>
          <w:sz w:val="22"/>
          <w:szCs w:val="22"/>
          <w:rtl/>
        </w:rPr>
      </w:pPr>
      <w:hyperlink w:anchor="_Toc163506133" w:history="1">
        <w:r w:rsidRPr="007246E7">
          <w:rPr>
            <w:rStyle w:val="Hyperlink"/>
            <w:rtl/>
          </w:rPr>
          <w:t>תוספות שבת קכ"ו ע"א ד"ה והמונח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Toc163506133 \h</w:instrText>
        </w:r>
        <w:r>
          <w:rPr>
            <w:webHidden/>
            <w:rtl/>
          </w:rPr>
          <w:instrText xml:space="preserve"> </w:instrText>
        </w:r>
        <w:r>
          <w:rPr>
            <w:rStyle w:val="Hyperlink"/>
            <w:rtl/>
          </w:rPr>
        </w:r>
        <w:r>
          <w:rPr>
            <w:rStyle w:val="Hyperlink"/>
            <w:rtl/>
          </w:rPr>
          <w:fldChar w:fldCharType="separate"/>
        </w:r>
        <w:r w:rsidR="00D82181">
          <w:rPr>
            <w:webHidden/>
            <w:rtl/>
          </w:rPr>
          <w:t>141</w:t>
        </w:r>
        <w:r>
          <w:rPr>
            <w:rStyle w:val="Hyperlink"/>
            <w:rtl/>
          </w:rPr>
          <w:fldChar w:fldCharType="end"/>
        </w:r>
      </w:hyperlink>
    </w:p>
    <w:p w14:paraId="119986CD" w14:textId="37D6523A" w:rsidR="008009AA" w:rsidRDefault="008009AA">
      <w:pPr>
        <w:pStyle w:val="TOC7"/>
        <w:rPr>
          <w:rFonts w:cstheme="minorBidi"/>
          <w:sz w:val="22"/>
          <w:szCs w:val="22"/>
          <w:rtl/>
        </w:rPr>
      </w:pPr>
      <w:hyperlink w:anchor="_Toc163506134" w:history="1">
        <w:r w:rsidRPr="007246E7">
          <w:rPr>
            <w:rStyle w:val="Hyperlink"/>
            <w:rtl/>
          </w:rPr>
          <w:t>חדושי הריטב"א עירובין ק"ב ע"א ד"ה והמונח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Toc163506134 \h</w:instrText>
        </w:r>
        <w:r>
          <w:rPr>
            <w:webHidden/>
            <w:rtl/>
          </w:rPr>
          <w:instrText xml:space="preserve"> </w:instrText>
        </w:r>
        <w:r>
          <w:rPr>
            <w:rStyle w:val="Hyperlink"/>
            <w:rtl/>
          </w:rPr>
        </w:r>
        <w:r>
          <w:rPr>
            <w:rStyle w:val="Hyperlink"/>
            <w:rtl/>
          </w:rPr>
          <w:fldChar w:fldCharType="separate"/>
        </w:r>
        <w:r w:rsidR="00D82181">
          <w:rPr>
            <w:webHidden/>
            <w:rtl/>
          </w:rPr>
          <w:t>141</w:t>
        </w:r>
        <w:r>
          <w:rPr>
            <w:rStyle w:val="Hyperlink"/>
            <w:rtl/>
          </w:rPr>
          <w:fldChar w:fldCharType="end"/>
        </w:r>
      </w:hyperlink>
    </w:p>
    <w:p w14:paraId="49D52D0E" w14:textId="63CB0643" w:rsidR="008009AA" w:rsidRDefault="008009AA">
      <w:pPr>
        <w:pStyle w:val="TOC7"/>
        <w:rPr>
          <w:rFonts w:cstheme="minorBidi"/>
          <w:sz w:val="22"/>
          <w:szCs w:val="22"/>
          <w:rtl/>
        </w:rPr>
      </w:pPr>
      <w:hyperlink w:anchor="_Toc163506135" w:history="1">
        <w:r w:rsidRPr="007246E7">
          <w:rPr>
            <w:rStyle w:val="Hyperlink"/>
            <w:rtl/>
          </w:rPr>
          <w:t>שו"ת עטרת חכמים לבעל הברוך טעם או"ח סי' ו' ד"ה ודע דאי'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Toc163506135 \h</w:instrText>
        </w:r>
        <w:r>
          <w:rPr>
            <w:webHidden/>
            <w:rtl/>
          </w:rPr>
          <w:instrText xml:space="preserve"> </w:instrText>
        </w:r>
        <w:r>
          <w:rPr>
            <w:rStyle w:val="Hyperlink"/>
            <w:rtl/>
          </w:rPr>
        </w:r>
        <w:r>
          <w:rPr>
            <w:rStyle w:val="Hyperlink"/>
            <w:rtl/>
          </w:rPr>
          <w:fldChar w:fldCharType="separate"/>
        </w:r>
        <w:r w:rsidR="00D82181">
          <w:rPr>
            <w:webHidden/>
            <w:rtl/>
          </w:rPr>
          <w:t>141</w:t>
        </w:r>
        <w:r>
          <w:rPr>
            <w:rStyle w:val="Hyperlink"/>
            <w:rtl/>
          </w:rPr>
          <w:fldChar w:fldCharType="end"/>
        </w:r>
      </w:hyperlink>
    </w:p>
    <w:p w14:paraId="122E4FF9" w14:textId="156A82D4" w:rsidR="008009AA" w:rsidRDefault="008009AA">
      <w:pPr>
        <w:pStyle w:val="TOC7"/>
        <w:rPr>
          <w:rFonts w:cstheme="minorBidi"/>
          <w:sz w:val="22"/>
          <w:szCs w:val="22"/>
          <w:rtl/>
        </w:rPr>
      </w:pPr>
      <w:hyperlink w:anchor="_Toc163506136" w:history="1">
        <w:r w:rsidRPr="007246E7">
          <w:rPr>
            <w:rStyle w:val="Hyperlink"/>
            <w:rtl/>
          </w:rPr>
          <w:t>חזון איש או"ח סי' ס"א אות א ד"ה ובאותיות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Toc163506136 \h</w:instrText>
        </w:r>
        <w:r>
          <w:rPr>
            <w:webHidden/>
            <w:rtl/>
          </w:rPr>
          <w:instrText xml:space="preserve"> </w:instrText>
        </w:r>
        <w:r>
          <w:rPr>
            <w:rStyle w:val="Hyperlink"/>
            <w:rtl/>
          </w:rPr>
        </w:r>
        <w:r>
          <w:rPr>
            <w:rStyle w:val="Hyperlink"/>
            <w:rtl/>
          </w:rPr>
          <w:fldChar w:fldCharType="separate"/>
        </w:r>
        <w:r w:rsidR="00D82181">
          <w:rPr>
            <w:webHidden/>
            <w:rtl/>
          </w:rPr>
          <w:t>141</w:t>
        </w:r>
        <w:r>
          <w:rPr>
            <w:rStyle w:val="Hyperlink"/>
            <w:rtl/>
          </w:rPr>
          <w:fldChar w:fldCharType="end"/>
        </w:r>
      </w:hyperlink>
    </w:p>
    <w:p w14:paraId="15BECDCA" w14:textId="03E266C3" w:rsidR="008009AA" w:rsidRDefault="008009AA">
      <w:pPr>
        <w:pStyle w:val="TOC7"/>
        <w:rPr>
          <w:rFonts w:cstheme="minorBidi"/>
          <w:sz w:val="22"/>
          <w:szCs w:val="22"/>
          <w:rtl/>
        </w:rPr>
      </w:pPr>
      <w:hyperlink w:anchor="_Toc163506137" w:history="1">
        <w:r w:rsidRPr="007246E7">
          <w:rPr>
            <w:rStyle w:val="Hyperlink"/>
            <w:rtl/>
          </w:rPr>
          <w:t>רש"י שבת ק"ב ע"ב ד"ה כל</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Toc163506137 \h</w:instrText>
        </w:r>
        <w:r>
          <w:rPr>
            <w:webHidden/>
            <w:rtl/>
          </w:rPr>
          <w:instrText xml:space="preserve"> </w:instrText>
        </w:r>
        <w:r>
          <w:rPr>
            <w:rStyle w:val="Hyperlink"/>
            <w:rtl/>
          </w:rPr>
        </w:r>
        <w:r>
          <w:rPr>
            <w:rStyle w:val="Hyperlink"/>
            <w:rtl/>
          </w:rPr>
          <w:fldChar w:fldCharType="separate"/>
        </w:r>
        <w:r w:rsidR="00D82181">
          <w:rPr>
            <w:webHidden/>
            <w:rtl/>
          </w:rPr>
          <w:t>141</w:t>
        </w:r>
        <w:r>
          <w:rPr>
            <w:rStyle w:val="Hyperlink"/>
            <w:rtl/>
          </w:rPr>
          <w:fldChar w:fldCharType="end"/>
        </w:r>
      </w:hyperlink>
    </w:p>
    <w:p w14:paraId="53E9790D" w14:textId="7CD39975" w:rsidR="008009AA" w:rsidRDefault="008009AA">
      <w:pPr>
        <w:pStyle w:val="TOC7"/>
        <w:rPr>
          <w:rFonts w:cstheme="minorBidi"/>
          <w:sz w:val="22"/>
          <w:szCs w:val="22"/>
          <w:rtl/>
        </w:rPr>
      </w:pPr>
      <w:hyperlink w:anchor="_Toc163506138" w:history="1">
        <w:r w:rsidRPr="007246E7">
          <w:rPr>
            <w:rStyle w:val="Hyperlink"/>
            <w:rtl/>
          </w:rPr>
          <w:t>ר"ן - על הרי"ף שבת ל"ז ע"א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Toc163506138 \h</w:instrText>
        </w:r>
        <w:r>
          <w:rPr>
            <w:webHidden/>
            <w:rtl/>
          </w:rPr>
          <w:instrText xml:space="preserve"> </w:instrText>
        </w:r>
        <w:r>
          <w:rPr>
            <w:rStyle w:val="Hyperlink"/>
            <w:rtl/>
          </w:rPr>
        </w:r>
        <w:r>
          <w:rPr>
            <w:rStyle w:val="Hyperlink"/>
            <w:rtl/>
          </w:rPr>
          <w:fldChar w:fldCharType="separate"/>
        </w:r>
        <w:r w:rsidR="00D82181">
          <w:rPr>
            <w:webHidden/>
            <w:rtl/>
          </w:rPr>
          <w:t>141</w:t>
        </w:r>
        <w:r>
          <w:rPr>
            <w:rStyle w:val="Hyperlink"/>
            <w:rtl/>
          </w:rPr>
          <w:fldChar w:fldCharType="end"/>
        </w:r>
      </w:hyperlink>
    </w:p>
    <w:p w14:paraId="3ED5CA2E" w14:textId="5FEBEA76" w:rsidR="008009AA" w:rsidRDefault="008009AA">
      <w:pPr>
        <w:pStyle w:val="TOC7"/>
        <w:rPr>
          <w:rFonts w:cstheme="minorBidi"/>
          <w:sz w:val="22"/>
          <w:szCs w:val="22"/>
          <w:rtl/>
        </w:rPr>
      </w:pPr>
      <w:hyperlink w:anchor="_Toc163506139" w:history="1">
        <w:r w:rsidRPr="007246E7">
          <w:rPr>
            <w:rStyle w:val="Hyperlink"/>
            <w:rtl/>
          </w:rPr>
          <w:t>מאירי שבת ק"ב ע"ב ד"ה זה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Toc163506139 \h</w:instrText>
        </w:r>
        <w:r>
          <w:rPr>
            <w:webHidden/>
            <w:rtl/>
          </w:rPr>
          <w:instrText xml:space="preserve"> </w:instrText>
        </w:r>
        <w:r>
          <w:rPr>
            <w:rStyle w:val="Hyperlink"/>
            <w:rtl/>
          </w:rPr>
        </w:r>
        <w:r>
          <w:rPr>
            <w:rStyle w:val="Hyperlink"/>
            <w:rtl/>
          </w:rPr>
          <w:fldChar w:fldCharType="separate"/>
        </w:r>
        <w:r w:rsidR="00D82181">
          <w:rPr>
            <w:webHidden/>
            <w:rtl/>
          </w:rPr>
          <w:t>141</w:t>
        </w:r>
        <w:r>
          <w:rPr>
            <w:rStyle w:val="Hyperlink"/>
            <w:rtl/>
          </w:rPr>
          <w:fldChar w:fldCharType="end"/>
        </w:r>
      </w:hyperlink>
    </w:p>
    <w:p w14:paraId="2ABA141D" w14:textId="144E7B2C" w:rsidR="008009AA" w:rsidRDefault="008009AA">
      <w:pPr>
        <w:pStyle w:val="TOC7"/>
        <w:rPr>
          <w:rFonts w:cstheme="minorBidi"/>
          <w:sz w:val="22"/>
          <w:szCs w:val="22"/>
          <w:rtl/>
        </w:rPr>
      </w:pPr>
      <w:hyperlink w:anchor="_Toc163506140" w:history="1">
        <w:r w:rsidRPr="007246E7">
          <w:rPr>
            <w:rStyle w:val="Hyperlink"/>
            <w:rtl/>
          </w:rPr>
          <w:t>רש"י שבת ק"ג ע"א ד"ה דחק</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Toc163506140 \h</w:instrText>
        </w:r>
        <w:r>
          <w:rPr>
            <w:webHidden/>
            <w:rtl/>
          </w:rPr>
          <w:instrText xml:space="preserve"> </w:instrText>
        </w:r>
        <w:r>
          <w:rPr>
            <w:rStyle w:val="Hyperlink"/>
            <w:rtl/>
          </w:rPr>
        </w:r>
        <w:r>
          <w:rPr>
            <w:rStyle w:val="Hyperlink"/>
            <w:rtl/>
          </w:rPr>
          <w:fldChar w:fldCharType="separate"/>
        </w:r>
        <w:r w:rsidR="00D82181">
          <w:rPr>
            <w:webHidden/>
            <w:rtl/>
          </w:rPr>
          <w:t>142</w:t>
        </w:r>
        <w:r>
          <w:rPr>
            <w:rStyle w:val="Hyperlink"/>
            <w:rtl/>
          </w:rPr>
          <w:fldChar w:fldCharType="end"/>
        </w:r>
      </w:hyperlink>
    </w:p>
    <w:p w14:paraId="3FA2685D" w14:textId="77318135" w:rsidR="008009AA" w:rsidRDefault="008009AA">
      <w:pPr>
        <w:pStyle w:val="TOC7"/>
        <w:rPr>
          <w:rFonts w:cstheme="minorBidi"/>
          <w:sz w:val="22"/>
          <w:szCs w:val="22"/>
          <w:rtl/>
        </w:rPr>
      </w:pPr>
      <w:hyperlink w:anchor="_Toc163506141" w:history="1">
        <w:r w:rsidRPr="007246E7">
          <w:rPr>
            <w:rStyle w:val="Hyperlink"/>
            <w:rtl/>
          </w:rPr>
          <w:t>רש"י שבת ק"ב ע"ב ד"ה המצדד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Toc163506141 \h</w:instrText>
        </w:r>
        <w:r>
          <w:rPr>
            <w:webHidden/>
            <w:rtl/>
          </w:rPr>
          <w:instrText xml:space="preserve"> </w:instrText>
        </w:r>
        <w:r>
          <w:rPr>
            <w:rStyle w:val="Hyperlink"/>
            <w:rtl/>
          </w:rPr>
        </w:r>
        <w:r>
          <w:rPr>
            <w:rStyle w:val="Hyperlink"/>
            <w:rtl/>
          </w:rPr>
          <w:fldChar w:fldCharType="separate"/>
        </w:r>
        <w:r w:rsidR="00D82181">
          <w:rPr>
            <w:webHidden/>
            <w:rtl/>
          </w:rPr>
          <w:t>142</w:t>
        </w:r>
        <w:r>
          <w:rPr>
            <w:rStyle w:val="Hyperlink"/>
            <w:rtl/>
          </w:rPr>
          <w:fldChar w:fldCharType="end"/>
        </w:r>
      </w:hyperlink>
    </w:p>
    <w:p w14:paraId="548A8ABB" w14:textId="6C454B26" w:rsidR="008009AA" w:rsidRDefault="008009AA">
      <w:pPr>
        <w:pStyle w:val="TOC7"/>
        <w:rPr>
          <w:rFonts w:cstheme="minorBidi"/>
          <w:sz w:val="22"/>
          <w:szCs w:val="22"/>
          <w:rtl/>
        </w:rPr>
      </w:pPr>
      <w:hyperlink w:anchor="_Toc163506142" w:history="1">
        <w:r w:rsidRPr="007246E7">
          <w:rPr>
            <w:rStyle w:val="Hyperlink"/>
            <w:rtl/>
          </w:rPr>
          <w:t>רש"י שבת ק"ג ע"א ד"ה מצינו שם קטן</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Toc163506142 \h</w:instrText>
        </w:r>
        <w:r>
          <w:rPr>
            <w:webHidden/>
            <w:rtl/>
          </w:rPr>
          <w:instrText xml:space="preserve"> </w:instrText>
        </w:r>
        <w:r>
          <w:rPr>
            <w:rStyle w:val="Hyperlink"/>
            <w:rtl/>
          </w:rPr>
        </w:r>
        <w:r>
          <w:rPr>
            <w:rStyle w:val="Hyperlink"/>
            <w:rtl/>
          </w:rPr>
          <w:fldChar w:fldCharType="separate"/>
        </w:r>
        <w:r w:rsidR="00D82181">
          <w:rPr>
            <w:webHidden/>
            <w:rtl/>
          </w:rPr>
          <w:t>142</w:t>
        </w:r>
        <w:r>
          <w:rPr>
            <w:rStyle w:val="Hyperlink"/>
            <w:rtl/>
          </w:rPr>
          <w:fldChar w:fldCharType="end"/>
        </w:r>
      </w:hyperlink>
    </w:p>
    <w:p w14:paraId="61F904B1" w14:textId="543EEBC0" w:rsidR="008009AA" w:rsidRDefault="008009AA">
      <w:pPr>
        <w:pStyle w:val="TOC7"/>
        <w:rPr>
          <w:rFonts w:cstheme="minorBidi"/>
          <w:sz w:val="22"/>
          <w:szCs w:val="22"/>
          <w:rtl/>
        </w:rPr>
      </w:pPr>
      <w:hyperlink w:anchor="_Toc163506143" w:history="1">
        <w:r w:rsidRPr="007246E7">
          <w:rPr>
            <w:rStyle w:val="Hyperlink"/>
            <w:rtl/>
          </w:rPr>
          <w:t>רש"י שבת ק"ג ע"ב ד"ה שם משמעון</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Toc163506143 \h</w:instrText>
        </w:r>
        <w:r>
          <w:rPr>
            <w:webHidden/>
            <w:rtl/>
          </w:rPr>
          <w:instrText xml:space="preserve"> </w:instrText>
        </w:r>
        <w:r>
          <w:rPr>
            <w:rStyle w:val="Hyperlink"/>
            <w:rtl/>
          </w:rPr>
        </w:r>
        <w:r>
          <w:rPr>
            <w:rStyle w:val="Hyperlink"/>
            <w:rtl/>
          </w:rPr>
          <w:fldChar w:fldCharType="separate"/>
        </w:r>
        <w:r w:rsidR="00D82181">
          <w:rPr>
            <w:webHidden/>
            <w:rtl/>
          </w:rPr>
          <w:t>142</w:t>
        </w:r>
        <w:r>
          <w:rPr>
            <w:rStyle w:val="Hyperlink"/>
            <w:rtl/>
          </w:rPr>
          <w:fldChar w:fldCharType="end"/>
        </w:r>
      </w:hyperlink>
    </w:p>
    <w:p w14:paraId="2935F58F" w14:textId="155451EF" w:rsidR="008009AA" w:rsidRDefault="008009AA">
      <w:pPr>
        <w:pStyle w:val="TOC7"/>
        <w:rPr>
          <w:rFonts w:cstheme="minorBidi"/>
          <w:sz w:val="22"/>
          <w:szCs w:val="22"/>
          <w:rtl/>
        </w:rPr>
      </w:pPr>
      <w:hyperlink w:anchor="_Toc163506144" w:history="1">
        <w:r w:rsidRPr="007246E7">
          <w:rPr>
            <w:rStyle w:val="Hyperlink"/>
            <w:rtl/>
          </w:rPr>
          <w:t>רש"י שבת ע"ד ע"ב ד"ה והא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Toc163506144 \h</w:instrText>
        </w:r>
        <w:r>
          <w:rPr>
            <w:webHidden/>
            <w:rtl/>
          </w:rPr>
          <w:instrText xml:space="preserve"> </w:instrText>
        </w:r>
        <w:r>
          <w:rPr>
            <w:rStyle w:val="Hyperlink"/>
            <w:rtl/>
          </w:rPr>
        </w:r>
        <w:r>
          <w:rPr>
            <w:rStyle w:val="Hyperlink"/>
            <w:rtl/>
          </w:rPr>
          <w:fldChar w:fldCharType="separate"/>
        </w:r>
        <w:r w:rsidR="00D82181">
          <w:rPr>
            <w:webHidden/>
            <w:rtl/>
          </w:rPr>
          <w:t>142</w:t>
        </w:r>
        <w:r>
          <w:rPr>
            <w:rStyle w:val="Hyperlink"/>
            <w:rtl/>
          </w:rPr>
          <w:fldChar w:fldCharType="end"/>
        </w:r>
      </w:hyperlink>
    </w:p>
    <w:p w14:paraId="161A4113" w14:textId="203F26E5" w:rsidR="008009AA" w:rsidRDefault="008009AA">
      <w:pPr>
        <w:pStyle w:val="TOC7"/>
        <w:rPr>
          <w:rFonts w:cstheme="minorBidi"/>
          <w:sz w:val="22"/>
          <w:szCs w:val="22"/>
          <w:rtl/>
        </w:rPr>
      </w:pPr>
      <w:hyperlink w:anchor="_Toc163506145" w:history="1">
        <w:r w:rsidRPr="007246E7">
          <w:rPr>
            <w:rStyle w:val="Hyperlink"/>
            <w:rtl/>
          </w:rPr>
          <w:t>הג' מים חיים לבעל הפר"ח שבת ק"ב ע"ב ד"ה מתני'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Toc163506145 \h</w:instrText>
        </w:r>
        <w:r>
          <w:rPr>
            <w:webHidden/>
            <w:rtl/>
          </w:rPr>
          <w:instrText xml:space="preserve"> </w:instrText>
        </w:r>
        <w:r>
          <w:rPr>
            <w:rStyle w:val="Hyperlink"/>
            <w:rtl/>
          </w:rPr>
        </w:r>
        <w:r>
          <w:rPr>
            <w:rStyle w:val="Hyperlink"/>
            <w:rtl/>
          </w:rPr>
          <w:fldChar w:fldCharType="separate"/>
        </w:r>
        <w:r w:rsidR="00D82181">
          <w:rPr>
            <w:webHidden/>
            <w:rtl/>
          </w:rPr>
          <w:t>142</w:t>
        </w:r>
        <w:r>
          <w:rPr>
            <w:rStyle w:val="Hyperlink"/>
            <w:rtl/>
          </w:rPr>
          <w:fldChar w:fldCharType="end"/>
        </w:r>
      </w:hyperlink>
    </w:p>
    <w:p w14:paraId="083F2C61" w14:textId="402DDF07" w:rsidR="008009AA" w:rsidRDefault="008009AA">
      <w:pPr>
        <w:pStyle w:val="TOC7"/>
        <w:rPr>
          <w:rFonts w:cstheme="minorBidi"/>
          <w:sz w:val="22"/>
          <w:szCs w:val="22"/>
          <w:rtl/>
        </w:rPr>
      </w:pPr>
      <w:hyperlink w:anchor="_Toc163506146" w:history="1">
        <w:r w:rsidRPr="007246E7">
          <w:rPr>
            <w:rStyle w:val="Hyperlink"/>
            <w:rtl/>
          </w:rPr>
          <w:t>חידושי רבינו משה קזיס שבת ריש פ' הבונה ד"ה זה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Toc163506146 \h</w:instrText>
        </w:r>
        <w:r>
          <w:rPr>
            <w:webHidden/>
            <w:rtl/>
          </w:rPr>
          <w:instrText xml:space="preserve"> </w:instrText>
        </w:r>
        <w:r>
          <w:rPr>
            <w:rStyle w:val="Hyperlink"/>
            <w:rtl/>
          </w:rPr>
        </w:r>
        <w:r>
          <w:rPr>
            <w:rStyle w:val="Hyperlink"/>
            <w:rtl/>
          </w:rPr>
          <w:fldChar w:fldCharType="separate"/>
        </w:r>
        <w:r w:rsidR="00D82181">
          <w:rPr>
            <w:webHidden/>
            <w:rtl/>
          </w:rPr>
          <w:t>142</w:t>
        </w:r>
        <w:r>
          <w:rPr>
            <w:rStyle w:val="Hyperlink"/>
            <w:rtl/>
          </w:rPr>
          <w:fldChar w:fldCharType="end"/>
        </w:r>
      </w:hyperlink>
    </w:p>
    <w:p w14:paraId="7A963ABC" w14:textId="20131BE0" w:rsidR="008009AA" w:rsidRDefault="008009AA">
      <w:pPr>
        <w:pStyle w:val="TOC7"/>
        <w:rPr>
          <w:rFonts w:cstheme="minorBidi"/>
          <w:sz w:val="22"/>
          <w:szCs w:val="22"/>
          <w:rtl/>
        </w:rPr>
      </w:pPr>
      <w:hyperlink w:anchor="_Toc163506147" w:history="1">
        <w:r w:rsidRPr="007246E7">
          <w:rPr>
            <w:rStyle w:val="Hyperlink"/>
            <w:rtl/>
          </w:rPr>
          <w:t>שנות אליהו פי"ב מ"א ד"ה זה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Toc163506147 \h</w:instrText>
        </w:r>
        <w:r>
          <w:rPr>
            <w:webHidden/>
            <w:rtl/>
          </w:rPr>
          <w:instrText xml:space="preserve"> </w:instrText>
        </w:r>
        <w:r>
          <w:rPr>
            <w:rStyle w:val="Hyperlink"/>
            <w:rtl/>
          </w:rPr>
        </w:r>
        <w:r>
          <w:rPr>
            <w:rStyle w:val="Hyperlink"/>
            <w:rtl/>
          </w:rPr>
          <w:fldChar w:fldCharType="separate"/>
        </w:r>
        <w:r w:rsidR="00D82181">
          <w:rPr>
            <w:webHidden/>
            <w:rtl/>
          </w:rPr>
          <w:t>142</w:t>
        </w:r>
        <w:r>
          <w:rPr>
            <w:rStyle w:val="Hyperlink"/>
            <w:rtl/>
          </w:rPr>
          <w:fldChar w:fldCharType="end"/>
        </w:r>
      </w:hyperlink>
    </w:p>
    <w:p w14:paraId="705832A8" w14:textId="479908A7" w:rsidR="008009AA" w:rsidRDefault="008009AA">
      <w:pPr>
        <w:pStyle w:val="TOC7"/>
        <w:rPr>
          <w:rFonts w:cstheme="minorBidi"/>
          <w:sz w:val="22"/>
          <w:szCs w:val="22"/>
          <w:rtl/>
        </w:rPr>
      </w:pPr>
      <w:hyperlink w:anchor="_Toc163506148" w:history="1">
        <w:r w:rsidRPr="007246E7">
          <w:rPr>
            <w:rStyle w:val="Hyperlink"/>
            <w:rtl/>
          </w:rPr>
          <w:t>פסקי רי"ד מסכת שבת ק"ג ע"א ד"ה זה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Toc163506148 \h</w:instrText>
        </w:r>
        <w:r>
          <w:rPr>
            <w:webHidden/>
            <w:rtl/>
          </w:rPr>
          <w:instrText xml:space="preserve"> </w:instrText>
        </w:r>
        <w:r>
          <w:rPr>
            <w:rStyle w:val="Hyperlink"/>
            <w:rtl/>
          </w:rPr>
        </w:r>
        <w:r>
          <w:rPr>
            <w:rStyle w:val="Hyperlink"/>
            <w:rtl/>
          </w:rPr>
          <w:fldChar w:fldCharType="separate"/>
        </w:r>
        <w:r w:rsidR="00D82181">
          <w:rPr>
            <w:webHidden/>
            <w:rtl/>
          </w:rPr>
          <w:t>142</w:t>
        </w:r>
        <w:r>
          <w:rPr>
            <w:rStyle w:val="Hyperlink"/>
            <w:rtl/>
          </w:rPr>
          <w:fldChar w:fldCharType="end"/>
        </w:r>
      </w:hyperlink>
    </w:p>
    <w:p w14:paraId="029C5AAF" w14:textId="40FB575B" w:rsidR="008009AA" w:rsidRDefault="008009AA">
      <w:pPr>
        <w:pStyle w:val="TOC7"/>
        <w:rPr>
          <w:rFonts w:cstheme="minorBidi"/>
          <w:sz w:val="22"/>
          <w:szCs w:val="22"/>
          <w:rtl/>
        </w:rPr>
      </w:pPr>
      <w:hyperlink w:anchor="_Toc163506149" w:history="1">
        <w:r w:rsidRPr="007246E7">
          <w:rPr>
            <w:rStyle w:val="Hyperlink"/>
            <w:rtl/>
          </w:rPr>
          <w:t>חדושי הריטב"א שבת ק"ב ע"ב ד"ה זה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Toc163506149 \h</w:instrText>
        </w:r>
        <w:r>
          <w:rPr>
            <w:webHidden/>
            <w:rtl/>
          </w:rPr>
          <w:instrText xml:space="preserve"> </w:instrText>
        </w:r>
        <w:r>
          <w:rPr>
            <w:rStyle w:val="Hyperlink"/>
            <w:rtl/>
          </w:rPr>
        </w:r>
        <w:r>
          <w:rPr>
            <w:rStyle w:val="Hyperlink"/>
            <w:rtl/>
          </w:rPr>
          <w:fldChar w:fldCharType="separate"/>
        </w:r>
        <w:r w:rsidR="00D82181">
          <w:rPr>
            <w:webHidden/>
            <w:rtl/>
          </w:rPr>
          <w:t>142</w:t>
        </w:r>
        <w:r>
          <w:rPr>
            <w:rStyle w:val="Hyperlink"/>
            <w:rtl/>
          </w:rPr>
          <w:fldChar w:fldCharType="end"/>
        </w:r>
      </w:hyperlink>
    </w:p>
    <w:p w14:paraId="434FA498" w14:textId="5FF3C249" w:rsidR="008009AA" w:rsidRDefault="008009AA">
      <w:pPr>
        <w:pStyle w:val="TOC7"/>
        <w:rPr>
          <w:rFonts w:cstheme="minorBidi"/>
          <w:sz w:val="22"/>
          <w:szCs w:val="22"/>
          <w:rtl/>
        </w:rPr>
      </w:pPr>
      <w:hyperlink w:anchor="_Toc163506150" w:history="1">
        <w:r w:rsidRPr="007246E7">
          <w:rPr>
            <w:rStyle w:val="Hyperlink"/>
            <w:rtl/>
          </w:rPr>
          <w:t>רמב"ם שבת פ"ט הי"ג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Toc163506150 \h</w:instrText>
        </w:r>
        <w:r>
          <w:rPr>
            <w:webHidden/>
            <w:rtl/>
          </w:rPr>
          <w:instrText xml:space="preserve"> </w:instrText>
        </w:r>
        <w:r>
          <w:rPr>
            <w:rStyle w:val="Hyperlink"/>
            <w:rtl/>
          </w:rPr>
        </w:r>
        <w:r>
          <w:rPr>
            <w:rStyle w:val="Hyperlink"/>
            <w:rtl/>
          </w:rPr>
          <w:fldChar w:fldCharType="separate"/>
        </w:r>
        <w:r w:rsidR="00D82181">
          <w:rPr>
            <w:webHidden/>
            <w:rtl/>
          </w:rPr>
          <w:t>143</w:t>
        </w:r>
        <w:r>
          <w:rPr>
            <w:rStyle w:val="Hyperlink"/>
            <w:rtl/>
          </w:rPr>
          <w:fldChar w:fldCharType="end"/>
        </w:r>
      </w:hyperlink>
    </w:p>
    <w:p w14:paraId="616A3DD3" w14:textId="07831623" w:rsidR="008009AA" w:rsidRDefault="008009AA">
      <w:pPr>
        <w:pStyle w:val="TOC7"/>
        <w:rPr>
          <w:rFonts w:cstheme="minorBidi"/>
          <w:sz w:val="22"/>
          <w:szCs w:val="22"/>
          <w:rtl/>
        </w:rPr>
      </w:pPr>
      <w:hyperlink w:anchor="_Toc163506151" w:history="1">
        <w:r w:rsidRPr="007246E7">
          <w:rPr>
            <w:rStyle w:val="Hyperlink"/>
            <w:rtl/>
          </w:rPr>
          <w:t>מגיד משנה שבת פ"ט הי"ג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Toc163506151 \h</w:instrText>
        </w:r>
        <w:r>
          <w:rPr>
            <w:webHidden/>
            <w:rtl/>
          </w:rPr>
          <w:instrText xml:space="preserve"> </w:instrText>
        </w:r>
        <w:r>
          <w:rPr>
            <w:rStyle w:val="Hyperlink"/>
            <w:rtl/>
          </w:rPr>
        </w:r>
        <w:r>
          <w:rPr>
            <w:rStyle w:val="Hyperlink"/>
            <w:rtl/>
          </w:rPr>
          <w:fldChar w:fldCharType="separate"/>
        </w:r>
        <w:r w:rsidR="00D82181">
          <w:rPr>
            <w:webHidden/>
            <w:rtl/>
          </w:rPr>
          <w:t>143</w:t>
        </w:r>
        <w:r>
          <w:rPr>
            <w:rStyle w:val="Hyperlink"/>
            <w:rtl/>
          </w:rPr>
          <w:fldChar w:fldCharType="end"/>
        </w:r>
      </w:hyperlink>
    </w:p>
    <w:p w14:paraId="43D2B9FE" w14:textId="3327E888" w:rsidR="008009AA" w:rsidRDefault="008009AA">
      <w:pPr>
        <w:pStyle w:val="TOC7"/>
        <w:rPr>
          <w:rFonts w:cstheme="minorBidi"/>
          <w:sz w:val="22"/>
          <w:szCs w:val="22"/>
          <w:rtl/>
        </w:rPr>
      </w:pPr>
      <w:hyperlink w:anchor="_Toc163506152" w:history="1">
        <w:r w:rsidRPr="007246E7">
          <w:rPr>
            <w:rStyle w:val="Hyperlink"/>
            <w:rtl/>
          </w:rPr>
          <w:t>רמב"ם שבת פי"א הט"ו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Toc163506152 \h</w:instrText>
        </w:r>
        <w:r>
          <w:rPr>
            <w:webHidden/>
            <w:rtl/>
          </w:rPr>
          <w:instrText xml:space="preserve"> </w:instrText>
        </w:r>
        <w:r>
          <w:rPr>
            <w:rStyle w:val="Hyperlink"/>
            <w:rtl/>
          </w:rPr>
        </w:r>
        <w:r>
          <w:rPr>
            <w:rStyle w:val="Hyperlink"/>
            <w:rtl/>
          </w:rPr>
          <w:fldChar w:fldCharType="separate"/>
        </w:r>
        <w:r w:rsidR="00D82181">
          <w:rPr>
            <w:webHidden/>
            <w:rtl/>
          </w:rPr>
          <w:t>143</w:t>
        </w:r>
        <w:r>
          <w:rPr>
            <w:rStyle w:val="Hyperlink"/>
            <w:rtl/>
          </w:rPr>
          <w:fldChar w:fldCharType="end"/>
        </w:r>
      </w:hyperlink>
    </w:p>
    <w:p w14:paraId="06362629" w14:textId="1D0C3F1F" w:rsidR="008009AA" w:rsidRDefault="008009AA">
      <w:pPr>
        <w:pStyle w:val="TOC7"/>
        <w:rPr>
          <w:rFonts w:cstheme="minorBidi"/>
          <w:sz w:val="22"/>
          <w:szCs w:val="22"/>
          <w:rtl/>
        </w:rPr>
      </w:pPr>
      <w:hyperlink w:anchor="_Toc163506153" w:history="1">
        <w:r w:rsidRPr="007246E7">
          <w:rPr>
            <w:rStyle w:val="Hyperlink"/>
            <w:rtl/>
          </w:rPr>
          <w:t>מגיד משנה שבת פי"א הט"ו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Toc163506153 \h</w:instrText>
        </w:r>
        <w:r>
          <w:rPr>
            <w:webHidden/>
            <w:rtl/>
          </w:rPr>
          <w:instrText xml:space="preserve"> </w:instrText>
        </w:r>
        <w:r>
          <w:rPr>
            <w:rStyle w:val="Hyperlink"/>
            <w:rtl/>
          </w:rPr>
        </w:r>
        <w:r>
          <w:rPr>
            <w:rStyle w:val="Hyperlink"/>
            <w:rtl/>
          </w:rPr>
          <w:fldChar w:fldCharType="separate"/>
        </w:r>
        <w:r w:rsidR="00D82181">
          <w:rPr>
            <w:webHidden/>
            <w:rtl/>
          </w:rPr>
          <w:t>143</w:t>
        </w:r>
        <w:r>
          <w:rPr>
            <w:rStyle w:val="Hyperlink"/>
            <w:rtl/>
          </w:rPr>
          <w:fldChar w:fldCharType="end"/>
        </w:r>
      </w:hyperlink>
    </w:p>
    <w:p w14:paraId="6662A10C" w14:textId="61248B1C" w:rsidR="008009AA" w:rsidRDefault="008009AA">
      <w:pPr>
        <w:pStyle w:val="TOC7"/>
        <w:rPr>
          <w:rFonts w:cstheme="minorBidi"/>
          <w:sz w:val="22"/>
          <w:szCs w:val="22"/>
          <w:rtl/>
        </w:rPr>
      </w:pPr>
      <w:hyperlink w:anchor="_Toc163506154" w:history="1">
        <w:r w:rsidRPr="007246E7">
          <w:rPr>
            <w:rStyle w:val="Hyperlink"/>
            <w:rtl/>
          </w:rPr>
          <w:t>הג' ברוך טעם למשניות משנת רב פי"ב מ"א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Toc163506154 \h</w:instrText>
        </w:r>
        <w:r>
          <w:rPr>
            <w:webHidden/>
            <w:rtl/>
          </w:rPr>
          <w:instrText xml:space="preserve"> </w:instrText>
        </w:r>
        <w:r>
          <w:rPr>
            <w:rStyle w:val="Hyperlink"/>
            <w:rtl/>
          </w:rPr>
        </w:r>
        <w:r>
          <w:rPr>
            <w:rStyle w:val="Hyperlink"/>
            <w:rtl/>
          </w:rPr>
          <w:fldChar w:fldCharType="separate"/>
        </w:r>
        <w:r w:rsidR="00D82181">
          <w:rPr>
            <w:webHidden/>
            <w:rtl/>
          </w:rPr>
          <w:t>143</w:t>
        </w:r>
        <w:r>
          <w:rPr>
            <w:rStyle w:val="Hyperlink"/>
            <w:rtl/>
          </w:rPr>
          <w:fldChar w:fldCharType="end"/>
        </w:r>
      </w:hyperlink>
    </w:p>
    <w:p w14:paraId="70C9455D" w14:textId="70AF5D38" w:rsidR="008009AA" w:rsidRDefault="008009AA">
      <w:pPr>
        <w:pStyle w:val="TOC7"/>
        <w:rPr>
          <w:rFonts w:cstheme="minorBidi"/>
          <w:sz w:val="22"/>
          <w:szCs w:val="22"/>
          <w:rtl/>
        </w:rPr>
      </w:pPr>
      <w:hyperlink w:anchor="_Toc163506155" w:history="1">
        <w:r w:rsidRPr="007246E7">
          <w:rPr>
            <w:rStyle w:val="Hyperlink"/>
            <w:rtl/>
          </w:rPr>
          <w:t>שער הציון סי' ש"ג ס"ק ס"ח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Toc163506155 \h</w:instrText>
        </w:r>
        <w:r>
          <w:rPr>
            <w:webHidden/>
            <w:rtl/>
          </w:rPr>
          <w:instrText xml:space="preserve"> </w:instrText>
        </w:r>
        <w:r>
          <w:rPr>
            <w:rStyle w:val="Hyperlink"/>
            <w:rtl/>
          </w:rPr>
        </w:r>
        <w:r>
          <w:rPr>
            <w:rStyle w:val="Hyperlink"/>
            <w:rtl/>
          </w:rPr>
          <w:fldChar w:fldCharType="separate"/>
        </w:r>
        <w:r w:rsidR="00D82181">
          <w:rPr>
            <w:webHidden/>
            <w:rtl/>
          </w:rPr>
          <w:t>143</w:t>
        </w:r>
        <w:r>
          <w:rPr>
            <w:rStyle w:val="Hyperlink"/>
            <w:rtl/>
          </w:rPr>
          <w:fldChar w:fldCharType="end"/>
        </w:r>
      </w:hyperlink>
    </w:p>
    <w:p w14:paraId="7476F239" w14:textId="72F5A728" w:rsidR="008009AA" w:rsidRDefault="008009AA">
      <w:pPr>
        <w:pStyle w:val="TOC7"/>
        <w:rPr>
          <w:rFonts w:cstheme="minorBidi"/>
          <w:sz w:val="22"/>
          <w:szCs w:val="22"/>
          <w:rtl/>
        </w:rPr>
      </w:pPr>
      <w:hyperlink w:anchor="_Toc163506156" w:history="1">
        <w:r w:rsidRPr="007246E7">
          <w:rPr>
            <w:rStyle w:val="Hyperlink"/>
            <w:rtl/>
          </w:rPr>
          <w:t>תוספות שבת צ"ד ע"ב ד"ה וכי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Toc163506156 \h</w:instrText>
        </w:r>
        <w:r>
          <w:rPr>
            <w:webHidden/>
            <w:rtl/>
          </w:rPr>
          <w:instrText xml:space="preserve"> </w:instrText>
        </w:r>
        <w:r>
          <w:rPr>
            <w:rStyle w:val="Hyperlink"/>
            <w:rtl/>
          </w:rPr>
        </w:r>
        <w:r>
          <w:rPr>
            <w:rStyle w:val="Hyperlink"/>
            <w:rtl/>
          </w:rPr>
          <w:fldChar w:fldCharType="separate"/>
        </w:r>
        <w:r w:rsidR="00D82181">
          <w:rPr>
            <w:webHidden/>
            <w:rtl/>
          </w:rPr>
          <w:t>143</w:t>
        </w:r>
        <w:r>
          <w:rPr>
            <w:rStyle w:val="Hyperlink"/>
            <w:rtl/>
          </w:rPr>
          <w:fldChar w:fldCharType="end"/>
        </w:r>
      </w:hyperlink>
    </w:p>
    <w:p w14:paraId="12377536" w14:textId="77D226F0" w:rsidR="008009AA" w:rsidRDefault="008009AA">
      <w:pPr>
        <w:pStyle w:val="TOC7"/>
        <w:rPr>
          <w:rFonts w:cstheme="minorBidi"/>
          <w:sz w:val="22"/>
          <w:szCs w:val="22"/>
          <w:rtl/>
        </w:rPr>
      </w:pPr>
      <w:hyperlink w:anchor="_Toc163506157" w:history="1">
        <w:r w:rsidRPr="007246E7">
          <w:rPr>
            <w:rStyle w:val="Hyperlink"/>
            <w:rtl/>
          </w:rPr>
          <w:t>אבן האזל שבת פ"י הי"ז ד"ה והנה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Toc163506157 \h</w:instrText>
        </w:r>
        <w:r>
          <w:rPr>
            <w:webHidden/>
            <w:rtl/>
          </w:rPr>
          <w:instrText xml:space="preserve"> </w:instrText>
        </w:r>
        <w:r>
          <w:rPr>
            <w:rStyle w:val="Hyperlink"/>
            <w:rtl/>
          </w:rPr>
        </w:r>
        <w:r>
          <w:rPr>
            <w:rStyle w:val="Hyperlink"/>
            <w:rtl/>
          </w:rPr>
          <w:fldChar w:fldCharType="separate"/>
        </w:r>
        <w:r w:rsidR="00D82181">
          <w:rPr>
            <w:webHidden/>
            <w:rtl/>
          </w:rPr>
          <w:t>144</w:t>
        </w:r>
        <w:r>
          <w:rPr>
            <w:rStyle w:val="Hyperlink"/>
            <w:rtl/>
          </w:rPr>
          <w:fldChar w:fldCharType="end"/>
        </w:r>
      </w:hyperlink>
    </w:p>
    <w:p w14:paraId="74985FDF" w14:textId="553B7809" w:rsidR="008009AA" w:rsidRDefault="008009AA">
      <w:pPr>
        <w:pStyle w:val="TOC7"/>
        <w:rPr>
          <w:rFonts w:cstheme="minorBidi"/>
          <w:sz w:val="22"/>
          <w:szCs w:val="22"/>
          <w:rtl/>
        </w:rPr>
      </w:pPr>
      <w:hyperlink w:anchor="_Toc163506158" w:history="1">
        <w:r w:rsidRPr="007246E7">
          <w:rPr>
            <w:rStyle w:val="Hyperlink"/>
            <w:rtl/>
          </w:rPr>
          <w:t>אבן האזל שבת פ"י הי"ז ד"ה אכן</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Toc163506158 \h</w:instrText>
        </w:r>
        <w:r>
          <w:rPr>
            <w:webHidden/>
            <w:rtl/>
          </w:rPr>
          <w:instrText xml:space="preserve"> </w:instrText>
        </w:r>
        <w:r>
          <w:rPr>
            <w:rStyle w:val="Hyperlink"/>
            <w:rtl/>
          </w:rPr>
        </w:r>
        <w:r>
          <w:rPr>
            <w:rStyle w:val="Hyperlink"/>
            <w:rtl/>
          </w:rPr>
          <w:fldChar w:fldCharType="separate"/>
        </w:r>
        <w:r w:rsidR="00D82181">
          <w:rPr>
            <w:webHidden/>
            <w:rtl/>
          </w:rPr>
          <w:t>144</w:t>
        </w:r>
        <w:r>
          <w:rPr>
            <w:rStyle w:val="Hyperlink"/>
            <w:rtl/>
          </w:rPr>
          <w:fldChar w:fldCharType="end"/>
        </w:r>
      </w:hyperlink>
    </w:p>
    <w:p w14:paraId="14A2E440" w14:textId="68A1457C" w:rsidR="008009AA" w:rsidRDefault="008009AA">
      <w:pPr>
        <w:pStyle w:val="TOC7"/>
        <w:rPr>
          <w:rFonts w:cstheme="minorBidi"/>
          <w:sz w:val="22"/>
          <w:szCs w:val="22"/>
          <w:rtl/>
        </w:rPr>
      </w:pPr>
      <w:hyperlink w:anchor="_Toc163506159" w:history="1">
        <w:r w:rsidRPr="007246E7">
          <w:rPr>
            <w:rStyle w:val="Hyperlink"/>
            <w:rtl/>
          </w:rPr>
          <w:t>אבן האזל שבת פ"י הי"ז ד"ה אכן</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Toc163506159 \h</w:instrText>
        </w:r>
        <w:r>
          <w:rPr>
            <w:webHidden/>
            <w:rtl/>
          </w:rPr>
          <w:instrText xml:space="preserve"> </w:instrText>
        </w:r>
        <w:r>
          <w:rPr>
            <w:rStyle w:val="Hyperlink"/>
            <w:rtl/>
          </w:rPr>
        </w:r>
        <w:r>
          <w:rPr>
            <w:rStyle w:val="Hyperlink"/>
            <w:rtl/>
          </w:rPr>
          <w:fldChar w:fldCharType="separate"/>
        </w:r>
        <w:r w:rsidR="00D82181">
          <w:rPr>
            <w:webHidden/>
            <w:rtl/>
          </w:rPr>
          <w:t>144</w:t>
        </w:r>
        <w:r>
          <w:rPr>
            <w:rStyle w:val="Hyperlink"/>
            <w:rtl/>
          </w:rPr>
          <w:fldChar w:fldCharType="end"/>
        </w:r>
      </w:hyperlink>
    </w:p>
    <w:p w14:paraId="481B3701" w14:textId="54F6312D" w:rsidR="008009AA" w:rsidRDefault="008009AA">
      <w:pPr>
        <w:pStyle w:val="TOC7"/>
        <w:rPr>
          <w:rFonts w:cstheme="minorBidi"/>
          <w:sz w:val="22"/>
          <w:szCs w:val="22"/>
          <w:rtl/>
        </w:rPr>
      </w:pPr>
      <w:hyperlink w:anchor="_Toc163506160" w:history="1">
        <w:r w:rsidRPr="007246E7">
          <w:rPr>
            <w:rStyle w:val="Hyperlink"/>
            <w:rtl/>
          </w:rPr>
          <w:t>אבן האזל שבת פ"י הי"ז ד"ה איברא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Toc163506160 \h</w:instrText>
        </w:r>
        <w:r>
          <w:rPr>
            <w:webHidden/>
            <w:rtl/>
          </w:rPr>
          <w:instrText xml:space="preserve"> </w:instrText>
        </w:r>
        <w:r>
          <w:rPr>
            <w:rStyle w:val="Hyperlink"/>
            <w:rtl/>
          </w:rPr>
        </w:r>
        <w:r>
          <w:rPr>
            <w:rStyle w:val="Hyperlink"/>
            <w:rtl/>
          </w:rPr>
          <w:fldChar w:fldCharType="separate"/>
        </w:r>
        <w:r w:rsidR="00D82181">
          <w:rPr>
            <w:webHidden/>
            <w:rtl/>
          </w:rPr>
          <w:t>144</w:t>
        </w:r>
        <w:r>
          <w:rPr>
            <w:rStyle w:val="Hyperlink"/>
            <w:rtl/>
          </w:rPr>
          <w:fldChar w:fldCharType="end"/>
        </w:r>
      </w:hyperlink>
    </w:p>
    <w:p w14:paraId="5719ED57" w14:textId="5F0DE1B0" w:rsidR="008009AA" w:rsidRDefault="008009AA">
      <w:pPr>
        <w:pStyle w:val="TOC7"/>
        <w:rPr>
          <w:rFonts w:cstheme="minorBidi"/>
          <w:sz w:val="22"/>
          <w:szCs w:val="22"/>
          <w:rtl/>
        </w:rPr>
      </w:pPr>
      <w:hyperlink w:anchor="_Toc163506161" w:history="1">
        <w:r w:rsidRPr="007246E7">
          <w:rPr>
            <w:rStyle w:val="Hyperlink"/>
            <w:rtl/>
          </w:rPr>
          <w:t>אבן האזל שבת פ"י הי"ז ד"ה אכן הביאור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Toc163506161 \h</w:instrText>
        </w:r>
        <w:r>
          <w:rPr>
            <w:webHidden/>
            <w:rtl/>
          </w:rPr>
          <w:instrText xml:space="preserve"> </w:instrText>
        </w:r>
        <w:r>
          <w:rPr>
            <w:rStyle w:val="Hyperlink"/>
            <w:rtl/>
          </w:rPr>
        </w:r>
        <w:r>
          <w:rPr>
            <w:rStyle w:val="Hyperlink"/>
            <w:rtl/>
          </w:rPr>
          <w:fldChar w:fldCharType="separate"/>
        </w:r>
        <w:r w:rsidR="00D82181">
          <w:rPr>
            <w:webHidden/>
            <w:rtl/>
          </w:rPr>
          <w:t>144</w:t>
        </w:r>
        <w:r>
          <w:rPr>
            <w:rStyle w:val="Hyperlink"/>
            <w:rtl/>
          </w:rPr>
          <w:fldChar w:fldCharType="end"/>
        </w:r>
      </w:hyperlink>
    </w:p>
    <w:p w14:paraId="18B3037E" w14:textId="0C6CD040" w:rsidR="008009AA" w:rsidRDefault="008009AA">
      <w:pPr>
        <w:pStyle w:val="TOC7"/>
        <w:rPr>
          <w:rFonts w:cstheme="minorBidi"/>
          <w:sz w:val="22"/>
          <w:szCs w:val="22"/>
          <w:rtl/>
        </w:rPr>
      </w:pPr>
      <w:hyperlink w:anchor="_Toc163506162" w:history="1">
        <w:r w:rsidRPr="007246E7">
          <w:rPr>
            <w:rStyle w:val="Hyperlink"/>
            <w:rtl/>
          </w:rPr>
          <w:t>קהלות יעקב שבת סי' ל"ז ד"ה אלא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Toc163506162 \h</w:instrText>
        </w:r>
        <w:r>
          <w:rPr>
            <w:webHidden/>
            <w:rtl/>
          </w:rPr>
          <w:instrText xml:space="preserve"> </w:instrText>
        </w:r>
        <w:r>
          <w:rPr>
            <w:rStyle w:val="Hyperlink"/>
            <w:rtl/>
          </w:rPr>
        </w:r>
        <w:r>
          <w:rPr>
            <w:rStyle w:val="Hyperlink"/>
            <w:rtl/>
          </w:rPr>
          <w:fldChar w:fldCharType="separate"/>
        </w:r>
        <w:r w:rsidR="00D82181">
          <w:rPr>
            <w:webHidden/>
            <w:rtl/>
          </w:rPr>
          <w:t>144</w:t>
        </w:r>
        <w:r>
          <w:rPr>
            <w:rStyle w:val="Hyperlink"/>
            <w:rtl/>
          </w:rPr>
          <w:fldChar w:fldCharType="end"/>
        </w:r>
      </w:hyperlink>
    </w:p>
    <w:p w14:paraId="2699A6EE" w14:textId="09CC7145" w:rsidR="008009AA" w:rsidRDefault="008009AA">
      <w:pPr>
        <w:pStyle w:val="TOC7"/>
        <w:rPr>
          <w:rFonts w:cstheme="minorBidi"/>
          <w:sz w:val="22"/>
          <w:szCs w:val="22"/>
          <w:rtl/>
        </w:rPr>
      </w:pPr>
      <w:hyperlink w:anchor="_Toc163506163" w:history="1">
        <w:r w:rsidRPr="007246E7">
          <w:rPr>
            <w:rStyle w:val="Hyperlink"/>
            <w:rtl/>
          </w:rPr>
          <w:t>אבי עזרי שבת פ"ח הי"א ד"ה ואשר יראה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Toc163506163 \h</w:instrText>
        </w:r>
        <w:r>
          <w:rPr>
            <w:webHidden/>
            <w:rtl/>
          </w:rPr>
          <w:instrText xml:space="preserve"> </w:instrText>
        </w:r>
        <w:r>
          <w:rPr>
            <w:rStyle w:val="Hyperlink"/>
            <w:rtl/>
          </w:rPr>
        </w:r>
        <w:r>
          <w:rPr>
            <w:rStyle w:val="Hyperlink"/>
            <w:rtl/>
          </w:rPr>
          <w:fldChar w:fldCharType="separate"/>
        </w:r>
        <w:r w:rsidR="00D82181">
          <w:rPr>
            <w:webHidden/>
            <w:rtl/>
          </w:rPr>
          <w:t>145</w:t>
        </w:r>
        <w:r>
          <w:rPr>
            <w:rStyle w:val="Hyperlink"/>
            <w:rtl/>
          </w:rPr>
          <w:fldChar w:fldCharType="end"/>
        </w:r>
      </w:hyperlink>
    </w:p>
    <w:p w14:paraId="6FA5CE1A" w14:textId="4E415D6B" w:rsidR="008009AA" w:rsidRDefault="008009AA">
      <w:pPr>
        <w:pStyle w:val="TOC7"/>
        <w:rPr>
          <w:rFonts w:cstheme="minorBidi"/>
          <w:sz w:val="22"/>
          <w:szCs w:val="22"/>
          <w:rtl/>
        </w:rPr>
      </w:pPr>
      <w:hyperlink w:anchor="_Toc163506164" w:history="1">
        <w:r w:rsidRPr="007246E7">
          <w:rPr>
            <w:rStyle w:val="Hyperlink"/>
            <w:rtl/>
          </w:rPr>
          <w:t>אבן האזל שבת פ"י הי"ז ד"ה ועכשיו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Toc163506164 \h</w:instrText>
        </w:r>
        <w:r>
          <w:rPr>
            <w:webHidden/>
            <w:rtl/>
          </w:rPr>
          <w:instrText xml:space="preserve"> </w:instrText>
        </w:r>
        <w:r>
          <w:rPr>
            <w:rStyle w:val="Hyperlink"/>
            <w:rtl/>
          </w:rPr>
        </w:r>
        <w:r>
          <w:rPr>
            <w:rStyle w:val="Hyperlink"/>
            <w:rtl/>
          </w:rPr>
          <w:fldChar w:fldCharType="separate"/>
        </w:r>
        <w:r w:rsidR="00D82181">
          <w:rPr>
            <w:webHidden/>
            <w:rtl/>
          </w:rPr>
          <w:t>145</w:t>
        </w:r>
        <w:r>
          <w:rPr>
            <w:rStyle w:val="Hyperlink"/>
            <w:rtl/>
          </w:rPr>
          <w:fldChar w:fldCharType="end"/>
        </w:r>
      </w:hyperlink>
    </w:p>
    <w:p w14:paraId="46E0ACE3" w14:textId="53727633" w:rsidR="008009AA" w:rsidRDefault="008009AA">
      <w:pPr>
        <w:pStyle w:val="TOC7"/>
        <w:rPr>
          <w:rFonts w:cstheme="minorBidi"/>
          <w:sz w:val="22"/>
          <w:szCs w:val="22"/>
          <w:rtl/>
        </w:rPr>
      </w:pPr>
      <w:hyperlink w:anchor="_Toc163506165" w:history="1">
        <w:r w:rsidRPr="007246E7">
          <w:rPr>
            <w:rStyle w:val="Hyperlink"/>
            <w:rtl/>
          </w:rPr>
          <w:t>אבן האזל שבת פ"י הי"ז ד"ה ולפי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Toc163506165 \h</w:instrText>
        </w:r>
        <w:r>
          <w:rPr>
            <w:webHidden/>
            <w:rtl/>
          </w:rPr>
          <w:instrText xml:space="preserve"> </w:instrText>
        </w:r>
        <w:r>
          <w:rPr>
            <w:rStyle w:val="Hyperlink"/>
            <w:rtl/>
          </w:rPr>
        </w:r>
        <w:r>
          <w:rPr>
            <w:rStyle w:val="Hyperlink"/>
            <w:rtl/>
          </w:rPr>
          <w:fldChar w:fldCharType="separate"/>
        </w:r>
        <w:r w:rsidR="00D82181">
          <w:rPr>
            <w:webHidden/>
            <w:rtl/>
          </w:rPr>
          <w:t>145</w:t>
        </w:r>
        <w:r>
          <w:rPr>
            <w:rStyle w:val="Hyperlink"/>
            <w:rtl/>
          </w:rPr>
          <w:fldChar w:fldCharType="end"/>
        </w:r>
      </w:hyperlink>
    </w:p>
    <w:p w14:paraId="34555A9B" w14:textId="0AB6656A" w:rsidR="008009AA" w:rsidRDefault="008009AA">
      <w:pPr>
        <w:pStyle w:val="TOC7"/>
        <w:rPr>
          <w:rFonts w:cstheme="minorBidi"/>
          <w:sz w:val="22"/>
          <w:szCs w:val="22"/>
          <w:rtl/>
        </w:rPr>
      </w:pPr>
      <w:hyperlink w:anchor="_Toc163506166" w:history="1">
        <w:r w:rsidRPr="007246E7">
          <w:rPr>
            <w:rStyle w:val="Hyperlink"/>
            <w:rtl/>
          </w:rPr>
          <w:t>קהלות יעקב שבת סי' ל"ז ד"ה אבל לענ"ד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Toc163506166 \h</w:instrText>
        </w:r>
        <w:r>
          <w:rPr>
            <w:webHidden/>
            <w:rtl/>
          </w:rPr>
          <w:instrText xml:space="preserve"> </w:instrText>
        </w:r>
        <w:r>
          <w:rPr>
            <w:rStyle w:val="Hyperlink"/>
            <w:rtl/>
          </w:rPr>
        </w:r>
        <w:r>
          <w:rPr>
            <w:rStyle w:val="Hyperlink"/>
            <w:rtl/>
          </w:rPr>
          <w:fldChar w:fldCharType="separate"/>
        </w:r>
        <w:r w:rsidR="00D82181">
          <w:rPr>
            <w:webHidden/>
            <w:rtl/>
          </w:rPr>
          <w:t>145</w:t>
        </w:r>
        <w:r>
          <w:rPr>
            <w:rStyle w:val="Hyperlink"/>
            <w:rtl/>
          </w:rPr>
          <w:fldChar w:fldCharType="end"/>
        </w:r>
      </w:hyperlink>
    </w:p>
    <w:p w14:paraId="4981B37D" w14:textId="1D28DDDD" w:rsidR="008009AA" w:rsidRDefault="008009AA">
      <w:pPr>
        <w:pStyle w:val="TOC7"/>
        <w:rPr>
          <w:rFonts w:cstheme="minorBidi"/>
          <w:sz w:val="22"/>
          <w:szCs w:val="22"/>
          <w:rtl/>
        </w:rPr>
      </w:pPr>
      <w:hyperlink w:anchor="_Toc163506167" w:history="1">
        <w:r w:rsidRPr="007246E7">
          <w:rPr>
            <w:rStyle w:val="Hyperlink"/>
            <w:rtl/>
          </w:rPr>
          <w:t>קהלות יעקב שבת סי' ל"ז ד"ה אמנם</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Toc163506167 \h</w:instrText>
        </w:r>
        <w:r>
          <w:rPr>
            <w:webHidden/>
            <w:rtl/>
          </w:rPr>
          <w:instrText xml:space="preserve"> </w:instrText>
        </w:r>
        <w:r>
          <w:rPr>
            <w:rStyle w:val="Hyperlink"/>
            <w:rtl/>
          </w:rPr>
        </w:r>
        <w:r>
          <w:rPr>
            <w:rStyle w:val="Hyperlink"/>
            <w:rtl/>
          </w:rPr>
          <w:fldChar w:fldCharType="separate"/>
        </w:r>
        <w:r w:rsidR="00D82181">
          <w:rPr>
            <w:webHidden/>
            <w:rtl/>
          </w:rPr>
          <w:t>146</w:t>
        </w:r>
        <w:r>
          <w:rPr>
            <w:rStyle w:val="Hyperlink"/>
            <w:rtl/>
          </w:rPr>
          <w:fldChar w:fldCharType="end"/>
        </w:r>
      </w:hyperlink>
    </w:p>
    <w:p w14:paraId="0FCFB1AF" w14:textId="3BBFF4C1" w:rsidR="008009AA" w:rsidRDefault="008009AA">
      <w:pPr>
        <w:pStyle w:val="TOC7"/>
        <w:rPr>
          <w:rFonts w:cstheme="minorBidi"/>
          <w:sz w:val="22"/>
          <w:szCs w:val="22"/>
          <w:rtl/>
        </w:rPr>
      </w:pPr>
      <w:hyperlink w:anchor="_Toc163506168" w:history="1">
        <w:r w:rsidRPr="007246E7">
          <w:rPr>
            <w:rStyle w:val="Hyperlink"/>
            <w:rtl/>
          </w:rPr>
          <w:t>רש"י שבת ק"ב ע"ב ד"ה המכה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Toc163506168 \h</w:instrText>
        </w:r>
        <w:r>
          <w:rPr>
            <w:webHidden/>
            <w:rtl/>
          </w:rPr>
          <w:instrText xml:space="preserve"> </w:instrText>
        </w:r>
        <w:r>
          <w:rPr>
            <w:rStyle w:val="Hyperlink"/>
            <w:rtl/>
          </w:rPr>
        </w:r>
        <w:r>
          <w:rPr>
            <w:rStyle w:val="Hyperlink"/>
            <w:rtl/>
          </w:rPr>
          <w:fldChar w:fldCharType="separate"/>
        </w:r>
        <w:r w:rsidR="00D82181">
          <w:rPr>
            <w:webHidden/>
            <w:rtl/>
          </w:rPr>
          <w:t>149</w:t>
        </w:r>
        <w:r>
          <w:rPr>
            <w:rStyle w:val="Hyperlink"/>
            <w:rtl/>
          </w:rPr>
          <w:fldChar w:fldCharType="end"/>
        </w:r>
      </w:hyperlink>
    </w:p>
    <w:p w14:paraId="2DE02FF0" w14:textId="56D5E593" w:rsidR="008009AA" w:rsidRDefault="008009AA">
      <w:pPr>
        <w:pStyle w:val="TOC7"/>
        <w:rPr>
          <w:rFonts w:cstheme="minorBidi"/>
          <w:sz w:val="22"/>
          <w:szCs w:val="22"/>
          <w:rtl/>
        </w:rPr>
      </w:pPr>
      <w:hyperlink w:anchor="_Toc163506169" w:history="1">
        <w:r w:rsidRPr="007246E7">
          <w:rPr>
            <w:rStyle w:val="Hyperlink"/>
            <w:rtl/>
          </w:rPr>
          <w:t>מאירי שבת ק"ב ע"ב ד"ה והמכה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Toc163506169 \h</w:instrText>
        </w:r>
        <w:r>
          <w:rPr>
            <w:webHidden/>
            <w:rtl/>
          </w:rPr>
          <w:instrText xml:space="preserve"> </w:instrText>
        </w:r>
        <w:r>
          <w:rPr>
            <w:rStyle w:val="Hyperlink"/>
            <w:rtl/>
          </w:rPr>
        </w:r>
        <w:r>
          <w:rPr>
            <w:rStyle w:val="Hyperlink"/>
            <w:rtl/>
          </w:rPr>
          <w:fldChar w:fldCharType="separate"/>
        </w:r>
        <w:r w:rsidR="00D82181">
          <w:rPr>
            <w:webHidden/>
            <w:rtl/>
          </w:rPr>
          <w:t>149</w:t>
        </w:r>
        <w:r>
          <w:rPr>
            <w:rStyle w:val="Hyperlink"/>
            <w:rtl/>
          </w:rPr>
          <w:fldChar w:fldCharType="end"/>
        </w:r>
      </w:hyperlink>
    </w:p>
    <w:p w14:paraId="0C9BC7DB" w14:textId="17E19DEC" w:rsidR="008009AA" w:rsidRDefault="008009AA">
      <w:pPr>
        <w:pStyle w:val="TOC7"/>
        <w:rPr>
          <w:rFonts w:cstheme="minorBidi"/>
          <w:sz w:val="22"/>
          <w:szCs w:val="22"/>
          <w:rtl/>
        </w:rPr>
      </w:pPr>
      <w:hyperlink w:anchor="_Toc163506170" w:history="1">
        <w:r w:rsidRPr="007246E7">
          <w:rPr>
            <w:rStyle w:val="Hyperlink"/>
            <w:rtl/>
          </w:rPr>
          <w:t>תוספות שבת ק"ב ע"ב ד"ה מכה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Toc163506170 \h</w:instrText>
        </w:r>
        <w:r>
          <w:rPr>
            <w:webHidden/>
            <w:rtl/>
          </w:rPr>
          <w:instrText xml:space="preserve"> </w:instrText>
        </w:r>
        <w:r>
          <w:rPr>
            <w:rStyle w:val="Hyperlink"/>
            <w:rtl/>
          </w:rPr>
        </w:r>
        <w:r>
          <w:rPr>
            <w:rStyle w:val="Hyperlink"/>
            <w:rtl/>
          </w:rPr>
          <w:fldChar w:fldCharType="separate"/>
        </w:r>
        <w:r w:rsidR="00D82181">
          <w:rPr>
            <w:webHidden/>
            <w:rtl/>
          </w:rPr>
          <w:t>149</w:t>
        </w:r>
        <w:r>
          <w:rPr>
            <w:rStyle w:val="Hyperlink"/>
            <w:rtl/>
          </w:rPr>
          <w:fldChar w:fldCharType="end"/>
        </w:r>
      </w:hyperlink>
    </w:p>
    <w:p w14:paraId="4F4EE2D7" w14:textId="12C513CB" w:rsidR="008009AA" w:rsidRDefault="008009AA">
      <w:pPr>
        <w:pStyle w:val="TOC7"/>
        <w:rPr>
          <w:rFonts w:cstheme="minorBidi"/>
          <w:sz w:val="22"/>
          <w:szCs w:val="22"/>
          <w:rtl/>
        </w:rPr>
      </w:pPr>
      <w:hyperlink w:anchor="_Toc163506171" w:history="1">
        <w:r w:rsidRPr="007246E7">
          <w:rPr>
            <w:rStyle w:val="Hyperlink"/>
            <w:rtl/>
          </w:rPr>
          <w:t>חדושי הרמב"ן שבת ע"ג ע"א ד"ה מכה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Toc163506171 \h</w:instrText>
        </w:r>
        <w:r>
          <w:rPr>
            <w:webHidden/>
            <w:rtl/>
          </w:rPr>
          <w:instrText xml:space="preserve"> </w:instrText>
        </w:r>
        <w:r>
          <w:rPr>
            <w:rStyle w:val="Hyperlink"/>
            <w:rtl/>
          </w:rPr>
        </w:r>
        <w:r>
          <w:rPr>
            <w:rStyle w:val="Hyperlink"/>
            <w:rtl/>
          </w:rPr>
          <w:fldChar w:fldCharType="separate"/>
        </w:r>
        <w:r w:rsidR="00D82181">
          <w:rPr>
            <w:webHidden/>
            <w:rtl/>
          </w:rPr>
          <w:t>149</w:t>
        </w:r>
        <w:r>
          <w:rPr>
            <w:rStyle w:val="Hyperlink"/>
            <w:rtl/>
          </w:rPr>
          <w:fldChar w:fldCharType="end"/>
        </w:r>
      </w:hyperlink>
    </w:p>
    <w:p w14:paraId="20613A7C" w14:textId="47B81A6A" w:rsidR="008009AA" w:rsidRDefault="008009AA">
      <w:pPr>
        <w:pStyle w:val="TOC7"/>
        <w:rPr>
          <w:rFonts w:cstheme="minorBidi"/>
          <w:sz w:val="22"/>
          <w:szCs w:val="22"/>
          <w:rtl/>
        </w:rPr>
      </w:pPr>
      <w:hyperlink w:anchor="_Toc163506172" w:history="1">
        <w:r w:rsidRPr="007246E7">
          <w:rPr>
            <w:rStyle w:val="Hyperlink"/>
            <w:rtl/>
          </w:rPr>
          <w:t>חדושי הריטב"א שבת ע"ג ע"א ד"ה המכה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Toc163506172 \h</w:instrText>
        </w:r>
        <w:r>
          <w:rPr>
            <w:webHidden/>
            <w:rtl/>
          </w:rPr>
          <w:instrText xml:space="preserve"> </w:instrText>
        </w:r>
        <w:r>
          <w:rPr>
            <w:rStyle w:val="Hyperlink"/>
            <w:rtl/>
          </w:rPr>
        </w:r>
        <w:r>
          <w:rPr>
            <w:rStyle w:val="Hyperlink"/>
            <w:rtl/>
          </w:rPr>
          <w:fldChar w:fldCharType="separate"/>
        </w:r>
        <w:r w:rsidR="00D82181">
          <w:rPr>
            <w:webHidden/>
            <w:rtl/>
          </w:rPr>
          <w:t>149</w:t>
        </w:r>
        <w:r>
          <w:rPr>
            <w:rStyle w:val="Hyperlink"/>
            <w:rtl/>
          </w:rPr>
          <w:fldChar w:fldCharType="end"/>
        </w:r>
      </w:hyperlink>
    </w:p>
    <w:p w14:paraId="4D0D5B7F" w14:textId="5AF70992" w:rsidR="008009AA" w:rsidRDefault="008009AA">
      <w:pPr>
        <w:pStyle w:val="TOC7"/>
        <w:rPr>
          <w:rFonts w:cstheme="minorBidi"/>
          <w:sz w:val="22"/>
          <w:szCs w:val="22"/>
          <w:rtl/>
        </w:rPr>
      </w:pPr>
      <w:hyperlink w:anchor="_Toc163506173" w:history="1">
        <w:r w:rsidRPr="007246E7">
          <w:rPr>
            <w:rStyle w:val="Hyperlink"/>
            <w:rtl/>
          </w:rPr>
          <w:t>חדושי הר"ן שבת ע"ג ע"א ד"ה והמכה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Toc163506173 \h</w:instrText>
        </w:r>
        <w:r>
          <w:rPr>
            <w:webHidden/>
            <w:rtl/>
          </w:rPr>
          <w:instrText xml:space="preserve"> </w:instrText>
        </w:r>
        <w:r>
          <w:rPr>
            <w:rStyle w:val="Hyperlink"/>
            <w:rtl/>
          </w:rPr>
        </w:r>
        <w:r>
          <w:rPr>
            <w:rStyle w:val="Hyperlink"/>
            <w:rtl/>
          </w:rPr>
          <w:fldChar w:fldCharType="separate"/>
        </w:r>
        <w:r w:rsidR="00D82181">
          <w:rPr>
            <w:webHidden/>
            <w:rtl/>
          </w:rPr>
          <w:t>149</w:t>
        </w:r>
        <w:r>
          <w:rPr>
            <w:rStyle w:val="Hyperlink"/>
            <w:rtl/>
          </w:rPr>
          <w:fldChar w:fldCharType="end"/>
        </w:r>
      </w:hyperlink>
    </w:p>
    <w:p w14:paraId="147BF6AC" w14:textId="231A2B61" w:rsidR="008009AA" w:rsidRDefault="008009AA">
      <w:pPr>
        <w:pStyle w:val="TOC7"/>
        <w:rPr>
          <w:rFonts w:cstheme="minorBidi"/>
          <w:sz w:val="22"/>
          <w:szCs w:val="22"/>
          <w:rtl/>
        </w:rPr>
      </w:pPr>
      <w:hyperlink w:anchor="_Toc163506174" w:history="1">
        <w:r w:rsidRPr="007246E7">
          <w:rPr>
            <w:rStyle w:val="Hyperlink"/>
            <w:rtl/>
          </w:rPr>
          <w:t>חדושי הר"ן - מיוחס לו שבת ע"ג ע"א ד"ה המכה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Toc163506174 \h</w:instrText>
        </w:r>
        <w:r>
          <w:rPr>
            <w:webHidden/>
            <w:rtl/>
          </w:rPr>
          <w:instrText xml:space="preserve"> </w:instrText>
        </w:r>
        <w:r>
          <w:rPr>
            <w:rStyle w:val="Hyperlink"/>
            <w:rtl/>
          </w:rPr>
        </w:r>
        <w:r>
          <w:rPr>
            <w:rStyle w:val="Hyperlink"/>
            <w:rtl/>
          </w:rPr>
          <w:fldChar w:fldCharType="separate"/>
        </w:r>
        <w:r w:rsidR="00D82181">
          <w:rPr>
            <w:webHidden/>
            <w:rtl/>
          </w:rPr>
          <w:t>149</w:t>
        </w:r>
        <w:r>
          <w:rPr>
            <w:rStyle w:val="Hyperlink"/>
            <w:rtl/>
          </w:rPr>
          <w:fldChar w:fldCharType="end"/>
        </w:r>
      </w:hyperlink>
    </w:p>
    <w:p w14:paraId="72B2EEA9" w14:textId="75FD849D" w:rsidR="008009AA" w:rsidRDefault="008009AA">
      <w:pPr>
        <w:pStyle w:val="TOC7"/>
        <w:rPr>
          <w:rFonts w:cstheme="minorBidi"/>
          <w:sz w:val="22"/>
          <w:szCs w:val="22"/>
          <w:rtl/>
        </w:rPr>
      </w:pPr>
      <w:hyperlink w:anchor="_Toc163506175" w:history="1">
        <w:r w:rsidRPr="007246E7">
          <w:rPr>
            <w:rStyle w:val="Hyperlink"/>
            <w:rtl/>
          </w:rPr>
          <w:t>רבינו יהונתן מלוניל ע"ג ע"א ד"ה המכה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Toc163506175 \h</w:instrText>
        </w:r>
        <w:r>
          <w:rPr>
            <w:webHidden/>
            <w:rtl/>
          </w:rPr>
          <w:instrText xml:space="preserve"> </w:instrText>
        </w:r>
        <w:r>
          <w:rPr>
            <w:rStyle w:val="Hyperlink"/>
            <w:rtl/>
          </w:rPr>
        </w:r>
        <w:r>
          <w:rPr>
            <w:rStyle w:val="Hyperlink"/>
            <w:rtl/>
          </w:rPr>
          <w:fldChar w:fldCharType="separate"/>
        </w:r>
        <w:r w:rsidR="00D82181">
          <w:rPr>
            <w:webHidden/>
            <w:rtl/>
          </w:rPr>
          <w:t>149</w:t>
        </w:r>
        <w:r>
          <w:rPr>
            <w:rStyle w:val="Hyperlink"/>
            <w:rtl/>
          </w:rPr>
          <w:fldChar w:fldCharType="end"/>
        </w:r>
      </w:hyperlink>
    </w:p>
    <w:p w14:paraId="557AC2DA" w14:textId="2D502BA2" w:rsidR="008009AA" w:rsidRDefault="008009AA">
      <w:pPr>
        <w:pStyle w:val="TOC7"/>
        <w:rPr>
          <w:rFonts w:cstheme="minorBidi"/>
          <w:sz w:val="22"/>
          <w:szCs w:val="22"/>
          <w:rtl/>
        </w:rPr>
      </w:pPr>
      <w:hyperlink w:anchor="_Toc163506176" w:history="1">
        <w:r w:rsidRPr="007246E7">
          <w:rPr>
            <w:rStyle w:val="Hyperlink"/>
            <w:rtl/>
          </w:rPr>
          <w:t>רש"י שבת ע"ג ע"א ד"ה מכה בפטיש</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Toc163506176 \h</w:instrText>
        </w:r>
        <w:r>
          <w:rPr>
            <w:webHidden/>
            <w:rtl/>
          </w:rPr>
          <w:instrText xml:space="preserve"> </w:instrText>
        </w:r>
        <w:r>
          <w:rPr>
            <w:rStyle w:val="Hyperlink"/>
            <w:rtl/>
          </w:rPr>
        </w:r>
        <w:r>
          <w:rPr>
            <w:rStyle w:val="Hyperlink"/>
            <w:rtl/>
          </w:rPr>
          <w:fldChar w:fldCharType="separate"/>
        </w:r>
        <w:r w:rsidR="00D82181">
          <w:rPr>
            <w:webHidden/>
            <w:rtl/>
          </w:rPr>
          <w:t>149</w:t>
        </w:r>
        <w:r>
          <w:rPr>
            <w:rStyle w:val="Hyperlink"/>
            <w:rtl/>
          </w:rPr>
          <w:fldChar w:fldCharType="end"/>
        </w:r>
      </w:hyperlink>
    </w:p>
    <w:p w14:paraId="61920FF7" w14:textId="51AD6B23" w:rsidR="008009AA" w:rsidRDefault="008009AA">
      <w:pPr>
        <w:pStyle w:val="TOC7"/>
        <w:rPr>
          <w:rFonts w:cstheme="minorBidi"/>
          <w:sz w:val="22"/>
          <w:szCs w:val="22"/>
          <w:rtl/>
        </w:rPr>
      </w:pPr>
      <w:hyperlink w:anchor="_Toc163506177" w:history="1">
        <w:r w:rsidRPr="007246E7">
          <w:rPr>
            <w:rStyle w:val="Hyperlink"/>
            <w:rtl/>
          </w:rPr>
          <w:t>פסקי רי"ד שבת ע"ה ע"ב ד"ה והמסתת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Toc163506177 \h</w:instrText>
        </w:r>
        <w:r>
          <w:rPr>
            <w:webHidden/>
            <w:rtl/>
          </w:rPr>
          <w:instrText xml:space="preserve"> </w:instrText>
        </w:r>
        <w:r>
          <w:rPr>
            <w:rStyle w:val="Hyperlink"/>
            <w:rtl/>
          </w:rPr>
        </w:r>
        <w:r>
          <w:rPr>
            <w:rStyle w:val="Hyperlink"/>
            <w:rtl/>
          </w:rPr>
          <w:fldChar w:fldCharType="separate"/>
        </w:r>
        <w:r w:rsidR="00D82181">
          <w:rPr>
            <w:webHidden/>
            <w:rtl/>
          </w:rPr>
          <w:t>149</w:t>
        </w:r>
        <w:r>
          <w:rPr>
            <w:rStyle w:val="Hyperlink"/>
            <w:rtl/>
          </w:rPr>
          <w:fldChar w:fldCharType="end"/>
        </w:r>
      </w:hyperlink>
    </w:p>
    <w:p w14:paraId="3B7B70B7" w14:textId="20D3F896" w:rsidR="008009AA" w:rsidRDefault="008009AA">
      <w:pPr>
        <w:pStyle w:val="TOC7"/>
        <w:rPr>
          <w:rFonts w:cstheme="minorBidi"/>
          <w:sz w:val="22"/>
          <w:szCs w:val="22"/>
          <w:rtl/>
        </w:rPr>
      </w:pPr>
      <w:hyperlink w:anchor="_Toc163506178" w:history="1">
        <w:r w:rsidRPr="007246E7">
          <w:rPr>
            <w:rStyle w:val="Hyperlink"/>
            <w:rtl/>
          </w:rPr>
          <w:t>חתם סופר שבת ק"ב ע"ב ד"ה והנה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Toc163506178 \h</w:instrText>
        </w:r>
        <w:r>
          <w:rPr>
            <w:webHidden/>
            <w:rtl/>
          </w:rPr>
          <w:instrText xml:space="preserve"> </w:instrText>
        </w:r>
        <w:r>
          <w:rPr>
            <w:rStyle w:val="Hyperlink"/>
            <w:rtl/>
          </w:rPr>
        </w:r>
        <w:r>
          <w:rPr>
            <w:rStyle w:val="Hyperlink"/>
            <w:rtl/>
          </w:rPr>
          <w:fldChar w:fldCharType="separate"/>
        </w:r>
        <w:r w:rsidR="00D82181">
          <w:rPr>
            <w:webHidden/>
            <w:rtl/>
          </w:rPr>
          <w:t>149</w:t>
        </w:r>
        <w:r>
          <w:rPr>
            <w:rStyle w:val="Hyperlink"/>
            <w:rtl/>
          </w:rPr>
          <w:fldChar w:fldCharType="end"/>
        </w:r>
      </w:hyperlink>
    </w:p>
    <w:p w14:paraId="099FEB3C" w14:textId="7C2D0CC3" w:rsidR="008009AA" w:rsidRDefault="008009AA">
      <w:pPr>
        <w:pStyle w:val="TOC7"/>
        <w:rPr>
          <w:rFonts w:cstheme="minorBidi"/>
          <w:sz w:val="22"/>
          <w:szCs w:val="22"/>
          <w:rtl/>
        </w:rPr>
      </w:pPr>
      <w:hyperlink w:anchor="_Toc163506179" w:history="1">
        <w:r w:rsidRPr="007246E7">
          <w:rPr>
            <w:rStyle w:val="Hyperlink"/>
            <w:rtl/>
          </w:rPr>
          <w:t>רש"ש שבת ק"ב ע"ב ד"ה והנה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Toc163506179 \h</w:instrText>
        </w:r>
        <w:r>
          <w:rPr>
            <w:webHidden/>
            <w:rtl/>
          </w:rPr>
          <w:instrText xml:space="preserve"> </w:instrText>
        </w:r>
        <w:r>
          <w:rPr>
            <w:rStyle w:val="Hyperlink"/>
            <w:rtl/>
          </w:rPr>
        </w:r>
        <w:r>
          <w:rPr>
            <w:rStyle w:val="Hyperlink"/>
            <w:rtl/>
          </w:rPr>
          <w:fldChar w:fldCharType="separate"/>
        </w:r>
        <w:r w:rsidR="00D82181">
          <w:rPr>
            <w:webHidden/>
            <w:rtl/>
          </w:rPr>
          <w:t>149</w:t>
        </w:r>
        <w:r>
          <w:rPr>
            <w:rStyle w:val="Hyperlink"/>
            <w:rtl/>
          </w:rPr>
          <w:fldChar w:fldCharType="end"/>
        </w:r>
      </w:hyperlink>
    </w:p>
    <w:p w14:paraId="57100C9A" w14:textId="730A1942" w:rsidR="008009AA" w:rsidRDefault="008009AA">
      <w:pPr>
        <w:pStyle w:val="TOC7"/>
        <w:rPr>
          <w:rFonts w:cstheme="minorBidi"/>
          <w:sz w:val="22"/>
          <w:szCs w:val="22"/>
          <w:rtl/>
        </w:rPr>
      </w:pPr>
      <w:hyperlink w:anchor="_Toc163506180" w:history="1">
        <w:r w:rsidRPr="007246E7">
          <w:rPr>
            <w:rStyle w:val="Hyperlink"/>
            <w:rtl/>
          </w:rPr>
          <w:t>פירוש המשניות לרמב"ם שבת פ"ז מ"ב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Toc163506180 \h</w:instrText>
        </w:r>
        <w:r>
          <w:rPr>
            <w:webHidden/>
            <w:rtl/>
          </w:rPr>
          <w:instrText xml:space="preserve"> </w:instrText>
        </w:r>
        <w:r>
          <w:rPr>
            <w:rStyle w:val="Hyperlink"/>
            <w:rtl/>
          </w:rPr>
        </w:r>
        <w:r>
          <w:rPr>
            <w:rStyle w:val="Hyperlink"/>
            <w:rtl/>
          </w:rPr>
          <w:fldChar w:fldCharType="separate"/>
        </w:r>
        <w:r w:rsidR="00D82181">
          <w:rPr>
            <w:webHidden/>
            <w:rtl/>
          </w:rPr>
          <w:t>149</w:t>
        </w:r>
        <w:r>
          <w:rPr>
            <w:rStyle w:val="Hyperlink"/>
            <w:rtl/>
          </w:rPr>
          <w:fldChar w:fldCharType="end"/>
        </w:r>
      </w:hyperlink>
    </w:p>
    <w:p w14:paraId="1DC04571" w14:textId="4451E60B" w:rsidR="008009AA" w:rsidRDefault="008009AA">
      <w:pPr>
        <w:pStyle w:val="TOC7"/>
        <w:rPr>
          <w:rFonts w:cstheme="minorBidi"/>
          <w:sz w:val="22"/>
          <w:szCs w:val="22"/>
          <w:rtl/>
        </w:rPr>
      </w:pPr>
      <w:hyperlink w:anchor="_Toc163506181" w:history="1">
        <w:r w:rsidRPr="007246E7">
          <w:rPr>
            <w:rStyle w:val="Hyperlink"/>
            <w:rtl/>
          </w:rPr>
          <w:t>ערוך השולחן או"ח סי' שי"ג ט"ו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Toc163506181 \h</w:instrText>
        </w:r>
        <w:r>
          <w:rPr>
            <w:webHidden/>
            <w:rtl/>
          </w:rPr>
          <w:instrText xml:space="preserve"> </w:instrText>
        </w:r>
        <w:r>
          <w:rPr>
            <w:rStyle w:val="Hyperlink"/>
            <w:rtl/>
          </w:rPr>
        </w:r>
        <w:r>
          <w:rPr>
            <w:rStyle w:val="Hyperlink"/>
            <w:rtl/>
          </w:rPr>
          <w:fldChar w:fldCharType="separate"/>
        </w:r>
        <w:r w:rsidR="00D82181">
          <w:rPr>
            <w:webHidden/>
            <w:rtl/>
          </w:rPr>
          <w:t>149</w:t>
        </w:r>
        <w:r>
          <w:rPr>
            <w:rStyle w:val="Hyperlink"/>
            <w:rtl/>
          </w:rPr>
          <w:fldChar w:fldCharType="end"/>
        </w:r>
      </w:hyperlink>
    </w:p>
    <w:p w14:paraId="7434BD30" w14:textId="4D8BA3B6" w:rsidR="008009AA" w:rsidRDefault="008009AA">
      <w:pPr>
        <w:pStyle w:val="TOC7"/>
        <w:rPr>
          <w:rFonts w:cstheme="minorBidi"/>
          <w:sz w:val="22"/>
          <w:szCs w:val="22"/>
          <w:rtl/>
        </w:rPr>
      </w:pPr>
      <w:hyperlink w:anchor="_Toc163506182" w:history="1">
        <w:r w:rsidRPr="007246E7">
          <w:rPr>
            <w:rStyle w:val="Hyperlink"/>
            <w:rtl/>
          </w:rPr>
          <w:t>מאירי שבת ע"ג ע"א ד"ה הר"ם פי'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Toc163506182 \h</w:instrText>
        </w:r>
        <w:r>
          <w:rPr>
            <w:webHidden/>
            <w:rtl/>
          </w:rPr>
          <w:instrText xml:space="preserve"> </w:instrText>
        </w:r>
        <w:r>
          <w:rPr>
            <w:rStyle w:val="Hyperlink"/>
            <w:rtl/>
          </w:rPr>
        </w:r>
        <w:r>
          <w:rPr>
            <w:rStyle w:val="Hyperlink"/>
            <w:rtl/>
          </w:rPr>
          <w:fldChar w:fldCharType="separate"/>
        </w:r>
        <w:r w:rsidR="00D82181">
          <w:rPr>
            <w:webHidden/>
            <w:rtl/>
          </w:rPr>
          <w:t>149</w:t>
        </w:r>
        <w:r>
          <w:rPr>
            <w:rStyle w:val="Hyperlink"/>
            <w:rtl/>
          </w:rPr>
          <w:fldChar w:fldCharType="end"/>
        </w:r>
      </w:hyperlink>
    </w:p>
    <w:p w14:paraId="264AE309" w14:textId="070D8783" w:rsidR="008009AA" w:rsidRDefault="008009AA">
      <w:pPr>
        <w:pStyle w:val="TOC7"/>
        <w:rPr>
          <w:rFonts w:cstheme="minorBidi"/>
          <w:sz w:val="22"/>
          <w:szCs w:val="22"/>
          <w:rtl/>
        </w:rPr>
      </w:pPr>
      <w:hyperlink w:anchor="_Toc163506183" w:history="1">
        <w:r w:rsidRPr="007246E7">
          <w:rPr>
            <w:rStyle w:val="Hyperlink"/>
            <w:rtl/>
          </w:rPr>
          <w:t>כל בו הלכ' שבת סימן ל"א ד"ה המלאכות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Toc163506183 \h</w:instrText>
        </w:r>
        <w:r>
          <w:rPr>
            <w:webHidden/>
            <w:rtl/>
          </w:rPr>
          <w:instrText xml:space="preserve"> </w:instrText>
        </w:r>
        <w:r>
          <w:rPr>
            <w:rStyle w:val="Hyperlink"/>
            <w:rtl/>
          </w:rPr>
        </w:r>
        <w:r>
          <w:rPr>
            <w:rStyle w:val="Hyperlink"/>
            <w:rtl/>
          </w:rPr>
          <w:fldChar w:fldCharType="separate"/>
        </w:r>
        <w:r w:rsidR="00D82181">
          <w:rPr>
            <w:webHidden/>
            <w:rtl/>
          </w:rPr>
          <w:t>150</w:t>
        </w:r>
        <w:r>
          <w:rPr>
            <w:rStyle w:val="Hyperlink"/>
            <w:rtl/>
          </w:rPr>
          <w:fldChar w:fldCharType="end"/>
        </w:r>
      </w:hyperlink>
    </w:p>
    <w:p w14:paraId="21F488D8" w14:textId="0248E2C2" w:rsidR="008009AA" w:rsidRDefault="008009AA">
      <w:pPr>
        <w:pStyle w:val="TOC7"/>
        <w:rPr>
          <w:rFonts w:cstheme="minorBidi"/>
          <w:sz w:val="22"/>
          <w:szCs w:val="22"/>
          <w:rtl/>
        </w:rPr>
      </w:pPr>
      <w:hyperlink w:anchor="_Toc163506184" w:history="1">
        <w:r w:rsidRPr="007246E7">
          <w:rPr>
            <w:rStyle w:val="Hyperlink"/>
            <w:rtl/>
          </w:rPr>
          <w:t>פסקי רי"ד שבת ע"ה ע"ב ד"ה והמסתת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Toc163506184 \h</w:instrText>
        </w:r>
        <w:r>
          <w:rPr>
            <w:webHidden/>
            <w:rtl/>
          </w:rPr>
          <w:instrText xml:space="preserve"> </w:instrText>
        </w:r>
        <w:r>
          <w:rPr>
            <w:rStyle w:val="Hyperlink"/>
            <w:rtl/>
          </w:rPr>
        </w:r>
        <w:r>
          <w:rPr>
            <w:rStyle w:val="Hyperlink"/>
            <w:rtl/>
          </w:rPr>
          <w:fldChar w:fldCharType="separate"/>
        </w:r>
        <w:r w:rsidR="00D82181">
          <w:rPr>
            <w:webHidden/>
            <w:rtl/>
          </w:rPr>
          <w:t>150</w:t>
        </w:r>
        <w:r>
          <w:rPr>
            <w:rStyle w:val="Hyperlink"/>
            <w:rtl/>
          </w:rPr>
          <w:fldChar w:fldCharType="end"/>
        </w:r>
      </w:hyperlink>
    </w:p>
    <w:p w14:paraId="3D327F44" w14:textId="640FDC7E" w:rsidR="008009AA" w:rsidRDefault="008009AA">
      <w:pPr>
        <w:pStyle w:val="TOC7"/>
        <w:rPr>
          <w:rFonts w:cstheme="minorBidi"/>
          <w:sz w:val="22"/>
          <w:szCs w:val="22"/>
          <w:rtl/>
        </w:rPr>
      </w:pPr>
      <w:hyperlink w:anchor="_Toc163506185" w:history="1">
        <w:r w:rsidRPr="007246E7">
          <w:rPr>
            <w:rStyle w:val="Hyperlink"/>
            <w:rtl/>
          </w:rPr>
          <w:t>רש"י שבת ק"ב ע"ב ד"ה מכה בפטיש</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Toc163506185 \h</w:instrText>
        </w:r>
        <w:r>
          <w:rPr>
            <w:webHidden/>
            <w:rtl/>
          </w:rPr>
          <w:instrText xml:space="preserve"> </w:instrText>
        </w:r>
        <w:r>
          <w:rPr>
            <w:rStyle w:val="Hyperlink"/>
            <w:rtl/>
          </w:rPr>
        </w:r>
        <w:r>
          <w:rPr>
            <w:rStyle w:val="Hyperlink"/>
            <w:rtl/>
          </w:rPr>
          <w:fldChar w:fldCharType="separate"/>
        </w:r>
        <w:r w:rsidR="00D82181">
          <w:rPr>
            <w:webHidden/>
            <w:rtl/>
          </w:rPr>
          <w:t>150</w:t>
        </w:r>
        <w:r>
          <w:rPr>
            <w:rStyle w:val="Hyperlink"/>
            <w:rtl/>
          </w:rPr>
          <w:fldChar w:fldCharType="end"/>
        </w:r>
      </w:hyperlink>
    </w:p>
    <w:p w14:paraId="55492167" w14:textId="1594E07A" w:rsidR="008009AA" w:rsidRDefault="008009AA">
      <w:pPr>
        <w:pStyle w:val="TOC7"/>
        <w:rPr>
          <w:rFonts w:cstheme="minorBidi"/>
          <w:sz w:val="22"/>
          <w:szCs w:val="22"/>
          <w:rtl/>
        </w:rPr>
      </w:pPr>
      <w:hyperlink w:anchor="_Toc163506186" w:history="1">
        <w:r w:rsidRPr="007246E7">
          <w:rPr>
            <w:rStyle w:val="Hyperlink"/>
            <w:rtl/>
          </w:rPr>
          <w:t>רש"י שבת ע"ד ע"ב ד"ה תנור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Toc163506186 \h</w:instrText>
        </w:r>
        <w:r>
          <w:rPr>
            <w:webHidden/>
            <w:rtl/>
          </w:rPr>
          <w:instrText xml:space="preserve"> </w:instrText>
        </w:r>
        <w:r>
          <w:rPr>
            <w:rStyle w:val="Hyperlink"/>
            <w:rtl/>
          </w:rPr>
        </w:r>
        <w:r>
          <w:rPr>
            <w:rStyle w:val="Hyperlink"/>
            <w:rtl/>
          </w:rPr>
          <w:fldChar w:fldCharType="separate"/>
        </w:r>
        <w:r w:rsidR="00D82181">
          <w:rPr>
            <w:webHidden/>
            <w:rtl/>
          </w:rPr>
          <w:t>150</w:t>
        </w:r>
        <w:r>
          <w:rPr>
            <w:rStyle w:val="Hyperlink"/>
            <w:rtl/>
          </w:rPr>
          <w:fldChar w:fldCharType="end"/>
        </w:r>
      </w:hyperlink>
    </w:p>
    <w:p w14:paraId="7193541E" w14:textId="0BAFFEBD" w:rsidR="008009AA" w:rsidRDefault="008009AA">
      <w:pPr>
        <w:pStyle w:val="TOC7"/>
        <w:rPr>
          <w:rFonts w:cstheme="minorBidi"/>
          <w:sz w:val="22"/>
          <w:szCs w:val="22"/>
          <w:rtl/>
        </w:rPr>
      </w:pPr>
      <w:hyperlink w:anchor="_Toc163506187" w:history="1">
        <w:r w:rsidRPr="007246E7">
          <w:rPr>
            <w:rStyle w:val="Hyperlink"/>
            <w:rtl/>
          </w:rPr>
          <w:t>רש"י שבת ע"ה ע"ב ד"ה מסתת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Toc163506187 \h</w:instrText>
        </w:r>
        <w:r>
          <w:rPr>
            <w:webHidden/>
            <w:rtl/>
          </w:rPr>
          <w:instrText xml:space="preserve"> </w:instrText>
        </w:r>
        <w:r>
          <w:rPr>
            <w:rStyle w:val="Hyperlink"/>
            <w:rtl/>
          </w:rPr>
        </w:r>
        <w:r>
          <w:rPr>
            <w:rStyle w:val="Hyperlink"/>
            <w:rtl/>
          </w:rPr>
          <w:fldChar w:fldCharType="separate"/>
        </w:r>
        <w:r w:rsidR="00D82181">
          <w:rPr>
            <w:webHidden/>
            <w:rtl/>
          </w:rPr>
          <w:t>150</w:t>
        </w:r>
        <w:r>
          <w:rPr>
            <w:rStyle w:val="Hyperlink"/>
            <w:rtl/>
          </w:rPr>
          <w:fldChar w:fldCharType="end"/>
        </w:r>
      </w:hyperlink>
    </w:p>
    <w:p w14:paraId="3C0EEBB9" w14:textId="2F82F604" w:rsidR="008009AA" w:rsidRDefault="008009AA">
      <w:pPr>
        <w:pStyle w:val="TOC7"/>
        <w:rPr>
          <w:rFonts w:cstheme="minorBidi"/>
          <w:sz w:val="22"/>
          <w:szCs w:val="22"/>
          <w:rtl/>
        </w:rPr>
      </w:pPr>
      <w:hyperlink w:anchor="_Toc163506188" w:history="1">
        <w:r w:rsidRPr="007246E7">
          <w:rPr>
            <w:rStyle w:val="Hyperlink"/>
            <w:rtl/>
          </w:rPr>
          <w:t>רש"י שבת ע"ה ע"ב ד"ה הצר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Toc163506188 \h</w:instrText>
        </w:r>
        <w:r>
          <w:rPr>
            <w:webHidden/>
            <w:rtl/>
          </w:rPr>
          <w:instrText xml:space="preserve"> </w:instrText>
        </w:r>
        <w:r>
          <w:rPr>
            <w:rStyle w:val="Hyperlink"/>
            <w:rtl/>
          </w:rPr>
        </w:r>
        <w:r>
          <w:rPr>
            <w:rStyle w:val="Hyperlink"/>
            <w:rtl/>
          </w:rPr>
          <w:fldChar w:fldCharType="separate"/>
        </w:r>
        <w:r w:rsidR="00D82181">
          <w:rPr>
            <w:webHidden/>
            <w:rtl/>
          </w:rPr>
          <w:t>150</w:t>
        </w:r>
        <w:r>
          <w:rPr>
            <w:rStyle w:val="Hyperlink"/>
            <w:rtl/>
          </w:rPr>
          <w:fldChar w:fldCharType="end"/>
        </w:r>
      </w:hyperlink>
    </w:p>
    <w:p w14:paraId="2375F68B" w14:textId="7214233B" w:rsidR="008009AA" w:rsidRDefault="008009AA">
      <w:pPr>
        <w:pStyle w:val="TOC7"/>
        <w:rPr>
          <w:rFonts w:cstheme="minorBidi"/>
          <w:sz w:val="22"/>
          <w:szCs w:val="22"/>
          <w:rtl/>
        </w:rPr>
      </w:pPr>
      <w:hyperlink w:anchor="_Toc163506189" w:history="1">
        <w:r w:rsidRPr="007246E7">
          <w:rPr>
            <w:rStyle w:val="Hyperlink"/>
            <w:rtl/>
          </w:rPr>
          <w:t>רש"י שבת ע"ה ע"ב ד"ה מנפח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Toc163506189 \h</w:instrText>
        </w:r>
        <w:r>
          <w:rPr>
            <w:webHidden/>
            <w:rtl/>
          </w:rPr>
          <w:instrText xml:space="preserve"> </w:instrText>
        </w:r>
        <w:r>
          <w:rPr>
            <w:rStyle w:val="Hyperlink"/>
            <w:rtl/>
          </w:rPr>
        </w:r>
        <w:r>
          <w:rPr>
            <w:rStyle w:val="Hyperlink"/>
            <w:rtl/>
          </w:rPr>
          <w:fldChar w:fldCharType="separate"/>
        </w:r>
        <w:r w:rsidR="00D82181">
          <w:rPr>
            <w:webHidden/>
            <w:rtl/>
          </w:rPr>
          <w:t>150</w:t>
        </w:r>
        <w:r>
          <w:rPr>
            <w:rStyle w:val="Hyperlink"/>
            <w:rtl/>
          </w:rPr>
          <w:fldChar w:fldCharType="end"/>
        </w:r>
      </w:hyperlink>
    </w:p>
    <w:p w14:paraId="7F800045" w14:textId="3A99AC80" w:rsidR="008009AA" w:rsidRDefault="008009AA">
      <w:pPr>
        <w:pStyle w:val="TOC7"/>
        <w:rPr>
          <w:rFonts w:cstheme="minorBidi"/>
          <w:sz w:val="22"/>
          <w:szCs w:val="22"/>
          <w:rtl/>
        </w:rPr>
      </w:pPr>
      <w:hyperlink w:anchor="_Toc163506190" w:history="1">
        <w:r w:rsidRPr="007246E7">
          <w:rPr>
            <w:rStyle w:val="Hyperlink"/>
            <w:rtl/>
          </w:rPr>
          <w:t>רש"י שבת ע"ה ע"ב ד"ה דשקיל</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Toc163506190 \h</w:instrText>
        </w:r>
        <w:r>
          <w:rPr>
            <w:webHidden/>
            <w:rtl/>
          </w:rPr>
          <w:instrText xml:space="preserve"> </w:instrText>
        </w:r>
        <w:r>
          <w:rPr>
            <w:rStyle w:val="Hyperlink"/>
            <w:rtl/>
          </w:rPr>
        </w:r>
        <w:r>
          <w:rPr>
            <w:rStyle w:val="Hyperlink"/>
            <w:rtl/>
          </w:rPr>
          <w:fldChar w:fldCharType="separate"/>
        </w:r>
        <w:r w:rsidR="00D82181">
          <w:rPr>
            <w:webHidden/>
            <w:rtl/>
          </w:rPr>
          <w:t>150</w:t>
        </w:r>
        <w:r>
          <w:rPr>
            <w:rStyle w:val="Hyperlink"/>
            <w:rtl/>
          </w:rPr>
          <w:fldChar w:fldCharType="end"/>
        </w:r>
      </w:hyperlink>
    </w:p>
    <w:p w14:paraId="6C9745BC" w14:textId="7FF5C1C4" w:rsidR="008009AA" w:rsidRDefault="008009AA">
      <w:pPr>
        <w:pStyle w:val="TOC7"/>
        <w:rPr>
          <w:rFonts w:cstheme="minorBidi"/>
          <w:sz w:val="22"/>
          <w:szCs w:val="22"/>
          <w:rtl/>
        </w:rPr>
      </w:pPr>
      <w:hyperlink w:anchor="_Toc163506191" w:history="1">
        <w:r w:rsidRPr="007246E7">
          <w:rPr>
            <w:rStyle w:val="Hyperlink"/>
            <w:rtl/>
          </w:rPr>
          <w:t>רש"י ביצה י"א ע"ב ד"ה דאין</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Toc163506191 \h</w:instrText>
        </w:r>
        <w:r>
          <w:rPr>
            <w:webHidden/>
            <w:rtl/>
          </w:rPr>
          <w:instrText xml:space="preserve"> </w:instrText>
        </w:r>
        <w:r>
          <w:rPr>
            <w:rStyle w:val="Hyperlink"/>
            <w:rtl/>
          </w:rPr>
        </w:r>
        <w:r>
          <w:rPr>
            <w:rStyle w:val="Hyperlink"/>
            <w:rtl/>
          </w:rPr>
          <w:fldChar w:fldCharType="separate"/>
        </w:r>
        <w:r w:rsidR="00D82181">
          <w:rPr>
            <w:webHidden/>
            <w:rtl/>
          </w:rPr>
          <w:t>150</w:t>
        </w:r>
        <w:r>
          <w:rPr>
            <w:rStyle w:val="Hyperlink"/>
            <w:rtl/>
          </w:rPr>
          <w:fldChar w:fldCharType="end"/>
        </w:r>
      </w:hyperlink>
    </w:p>
    <w:p w14:paraId="025B2214" w14:textId="2C0EFC75" w:rsidR="008009AA" w:rsidRDefault="008009AA">
      <w:pPr>
        <w:pStyle w:val="TOC7"/>
        <w:rPr>
          <w:rFonts w:cstheme="minorBidi"/>
          <w:sz w:val="22"/>
          <w:szCs w:val="22"/>
          <w:rtl/>
        </w:rPr>
      </w:pPr>
      <w:hyperlink w:anchor="_Toc163506192" w:history="1">
        <w:r w:rsidRPr="007246E7">
          <w:rPr>
            <w:rStyle w:val="Hyperlink"/>
            <w:rtl/>
          </w:rPr>
          <w:t>רש"י שבת מ"ז ע"א ד"ה חייב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Toc163506192 \h</w:instrText>
        </w:r>
        <w:r>
          <w:rPr>
            <w:webHidden/>
            <w:rtl/>
          </w:rPr>
          <w:instrText xml:space="preserve"> </w:instrText>
        </w:r>
        <w:r>
          <w:rPr>
            <w:rStyle w:val="Hyperlink"/>
            <w:rtl/>
          </w:rPr>
        </w:r>
        <w:r>
          <w:rPr>
            <w:rStyle w:val="Hyperlink"/>
            <w:rtl/>
          </w:rPr>
          <w:fldChar w:fldCharType="separate"/>
        </w:r>
        <w:r w:rsidR="00D82181">
          <w:rPr>
            <w:webHidden/>
            <w:rtl/>
          </w:rPr>
          <w:t>150</w:t>
        </w:r>
        <w:r>
          <w:rPr>
            <w:rStyle w:val="Hyperlink"/>
            <w:rtl/>
          </w:rPr>
          <w:fldChar w:fldCharType="end"/>
        </w:r>
      </w:hyperlink>
    </w:p>
    <w:p w14:paraId="7D371894" w14:textId="1E74D1B6" w:rsidR="008009AA" w:rsidRDefault="008009AA">
      <w:pPr>
        <w:pStyle w:val="TOC7"/>
        <w:rPr>
          <w:rFonts w:cstheme="minorBidi"/>
          <w:sz w:val="22"/>
          <w:szCs w:val="22"/>
          <w:rtl/>
        </w:rPr>
      </w:pPr>
      <w:hyperlink w:anchor="_Toc163506193" w:history="1">
        <w:r w:rsidRPr="007246E7">
          <w:rPr>
            <w:rStyle w:val="Hyperlink"/>
            <w:rtl/>
          </w:rPr>
          <w:t>רש"י שבת מ"ח ע"א ד"ה חייב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Toc163506193 \h</w:instrText>
        </w:r>
        <w:r>
          <w:rPr>
            <w:webHidden/>
            <w:rtl/>
          </w:rPr>
          <w:instrText xml:space="preserve"> </w:instrText>
        </w:r>
        <w:r>
          <w:rPr>
            <w:rStyle w:val="Hyperlink"/>
            <w:rtl/>
          </w:rPr>
        </w:r>
        <w:r>
          <w:rPr>
            <w:rStyle w:val="Hyperlink"/>
            <w:rtl/>
          </w:rPr>
          <w:fldChar w:fldCharType="separate"/>
        </w:r>
        <w:r w:rsidR="00D82181">
          <w:rPr>
            <w:webHidden/>
            <w:rtl/>
          </w:rPr>
          <w:t>150</w:t>
        </w:r>
        <w:r>
          <w:rPr>
            <w:rStyle w:val="Hyperlink"/>
            <w:rtl/>
          </w:rPr>
          <w:fldChar w:fldCharType="end"/>
        </w:r>
      </w:hyperlink>
    </w:p>
    <w:p w14:paraId="45B6D244" w14:textId="7FE8F846" w:rsidR="008009AA" w:rsidRDefault="008009AA">
      <w:pPr>
        <w:pStyle w:val="TOC7"/>
        <w:rPr>
          <w:rFonts w:cstheme="minorBidi"/>
          <w:sz w:val="22"/>
          <w:szCs w:val="22"/>
          <w:rtl/>
        </w:rPr>
      </w:pPr>
      <w:hyperlink w:anchor="_Toc163506194" w:history="1">
        <w:r w:rsidRPr="007246E7">
          <w:rPr>
            <w:rStyle w:val="Hyperlink"/>
            <w:rtl/>
          </w:rPr>
          <w:t>רש"י שבת קכ"ב ע"ב ד"ה גזירה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Toc163506194 \h</w:instrText>
        </w:r>
        <w:r>
          <w:rPr>
            <w:webHidden/>
            <w:rtl/>
          </w:rPr>
          <w:instrText xml:space="preserve"> </w:instrText>
        </w:r>
        <w:r>
          <w:rPr>
            <w:rStyle w:val="Hyperlink"/>
            <w:rtl/>
          </w:rPr>
        </w:r>
        <w:r>
          <w:rPr>
            <w:rStyle w:val="Hyperlink"/>
            <w:rtl/>
          </w:rPr>
          <w:fldChar w:fldCharType="separate"/>
        </w:r>
        <w:r w:rsidR="00D82181">
          <w:rPr>
            <w:webHidden/>
            <w:rtl/>
          </w:rPr>
          <w:t>150</w:t>
        </w:r>
        <w:r>
          <w:rPr>
            <w:rStyle w:val="Hyperlink"/>
            <w:rtl/>
          </w:rPr>
          <w:fldChar w:fldCharType="end"/>
        </w:r>
      </w:hyperlink>
    </w:p>
    <w:p w14:paraId="11AD45DC" w14:textId="6360FA8F" w:rsidR="008009AA" w:rsidRDefault="008009AA">
      <w:pPr>
        <w:pStyle w:val="TOC7"/>
        <w:rPr>
          <w:rFonts w:cstheme="minorBidi"/>
          <w:sz w:val="22"/>
          <w:szCs w:val="22"/>
          <w:rtl/>
        </w:rPr>
      </w:pPr>
      <w:hyperlink w:anchor="_Toc163506195" w:history="1">
        <w:r w:rsidRPr="007246E7">
          <w:rPr>
            <w:rStyle w:val="Hyperlink"/>
            <w:rtl/>
          </w:rPr>
          <w:t>רש"י שבת קכ"ד ע"ב לא יספות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Toc163506195 \h</w:instrText>
        </w:r>
        <w:r>
          <w:rPr>
            <w:webHidden/>
            <w:rtl/>
          </w:rPr>
          <w:instrText xml:space="preserve"> </w:instrText>
        </w:r>
        <w:r>
          <w:rPr>
            <w:rStyle w:val="Hyperlink"/>
            <w:rtl/>
          </w:rPr>
        </w:r>
        <w:r>
          <w:rPr>
            <w:rStyle w:val="Hyperlink"/>
            <w:rtl/>
          </w:rPr>
          <w:fldChar w:fldCharType="separate"/>
        </w:r>
        <w:r w:rsidR="00D82181">
          <w:rPr>
            <w:webHidden/>
            <w:rtl/>
          </w:rPr>
          <w:t>150</w:t>
        </w:r>
        <w:r>
          <w:rPr>
            <w:rStyle w:val="Hyperlink"/>
            <w:rtl/>
          </w:rPr>
          <w:fldChar w:fldCharType="end"/>
        </w:r>
      </w:hyperlink>
    </w:p>
    <w:p w14:paraId="3F5DC384" w14:textId="340CFE7A" w:rsidR="008009AA" w:rsidRDefault="008009AA">
      <w:pPr>
        <w:pStyle w:val="TOC7"/>
        <w:rPr>
          <w:rFonts w:cstheme="minorBidi"/>
          <w:sz w:val="22"/>
          <w:szCs w:val="22"/>
          <w:rtl/>
        </w:rPr>
      </w:pPr>
      <w:hyperlink w:anchor="_Toc163506196" w:history="1">
        <w:r w:rsidRPr="007246E7">
          <w:rPr>
            <w:rStyle w:val="Hyperlink"/>
            <w:rtl/>
          </w:rPr>
          <w:t>רש"י שבת קכ"ה ע"ב ד"ה גזירה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Toc163506196 \h</w:instrText>
        </w:r>
        <w:r>
          <w:rPr>
            <w:webHidden/>
            <w:rtl/>
          </w:rPr>
          <w:instrText xml:space="preserve"> </w:instrText>
        </w:r>
        <w:r>
          <w:rPr>
            <w:rStyle w:val="Hyperlink"/>
            <w:rtl/>
          </w:rPr>
        </w:r>
        <w:r>
          <w:rPr>
            <w:rStyle w:val="Hyperlink"/>
            <w:rtl/>
          </w:rPr>
          <w:fldChar w:fldCharType="separate"/>
        </w:r>
        <w:r w:rsidR="00D82181">
          <w:rPr>
            <w:webHidden/>
            <w:rtl/>
          </w:rPr>
          <w:t>150</w:t>
        </w:r>
        <w:r>
          <w:rPr>
            <w:rStyle w:val="Hyperlink"/>
            <w:rtl/>
          </w:rPr>
          <w:fldChar w:fldCharType="end"/>
        </w:r>
      </w:hyperlink>
    </w:p>
    <w:p w14:paraId="0B227A72" w14:textId="0A7B71D7" w:rsidR="008009AA" w:rsidRDefault="008009AA">
      <w:pPr>
        <w:pStyle w:val="TOC7"/>
        <w:rPr>
          <w:rFonts w:cstheme="minorBidi"/>
          <w:sz w:val="22"/>
          <w:szCs w:val="22"/>
          <w:rtl/>
        </w:rPr>
      </w:pPr>
      <w:hyperlink w:anchor="_Toc163506197" w:history="1">
        <w:r w:rsidRPr="007246E7">
          <w:rPr>
            <w:rStyle w:val="Hyperlink"/>
            <w:rtl/>
          </w:rPr>
          <w:t>רש"י שבת ק"ג ע"א ד"ה אלא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Toc163506197 \h</w:instrText>
        </w:r>
        <w:r>
          <w:rPr>
            <w:webHidden/>
            <w:rtl/>
          </w:rPr>
          <w:instrText xml:space="preserve"> </w:instrText>
        </w:r>
        <w:r>
          <w:rPr>
            <w:rStyle w:val="Hyperlink"/>
            <w:rtl/>
          </w:rPr>
        </w:r>
        <w:r>
          <w:rPr>
            <w:rStyle w:val="Hyperlink"/>
            <w:rtl/>
          </w:rPr>
          <w:fldChar w:fldCharType="separate"/>
        </w:r>
        <w:r w:rsidR="00D82181">
          <w:rPr>
            <w:webHidden/>
            <w:rtl/>
          </w:rPr>
          <w:t>150</w:t>
        </w:r>
        <w:r>
          <w:rPr>
            <w:rStyle w:val="Hyperlink"/>
            <w:rtl/>
          </w:rPr>
          <w:fldChar w:fldCharType="end"/>
        </w:r>
      </w:hyperlink>
    </w:p>
    <w:p w14:paraId="44C01293" w14:textId="51A97E0F" w:rsidR="008009AA" w:rsidRDefault="008009AA">
      <w:pPr>
        <w:pStyle w:val="TOC7"/>
        <w:rPr>
          <w:rFonts w:cstheme="minorBidi"/>
          <w:sz w:val="22"/>
          <w:szCs w:val="22"/>
          <w:rtl/>
        </w:rPr>
      </w:pPr>
      <w:hyperlink w:anchor="_Toc163506198" w:history="1">
        <w:r w:rsidRPr="007246E7">
          <w:rPr>
            <w:rStyle w:val="Hyperlink"/>
            <w:rtl/>
          </w:rPr>
          <w:t>מאירי שבת ע"ה ע"ב ד"ה אף המנפח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Toc163506198 \h</w:instrText>
        </w:r>
        <w:r>
          <w:rPr>
            <w:webHidden/>
            <w:rtl/>
          </w:rPr>
          <w:instrText xml:space="preserve"> </w:instrText>
        </w:r>
        <w:r>
          <w:rPr>
            <w:rStyle w:val="Hyperlink"/>
            <w:rtl/>
          </w:rPr>
        </w:r>
        <w:r>
          <w:rPr>
            <w:rStyle w:val="Hyperlink"/>
            <w:rtl/>
          </w:rPr>
          <w:fldChar w:fldCharType="separate"/>
        </w:r>
        <w:r w:rsidR="00D82181">
          <w:rPr>
            <w:webHidden/>
            <w:rtl/>
          </w:rPr>
          <w:t>150</w:t>
        </w:r>
        <w:r>
          <w:rPr>
            <w:rStyle w:val="Hyperlink"/>
            <w:rtl/>
          </w:rPr>
          <w:fldChar w:fldCharType="end"/>
        </w:r>
      </w:hyperlink>
    </w:p>
    <w:p w14:paraId="17955CDC" w14:textId="708EDE1A" w:rsidR="008009AA" w:rsidRDefault="008009AA">
      <w:pPr>
        <w:pStyle w:val="TOC7"/>
        <w:rPr>
          <w:rFonts w:cstheme="minorBidi"/>
          <w:sz w:val="22"/>
          <w:szCs w:val="22"/>
          <w:rtl/>
        </w:rPr>
      </w:pPr>
      <w:hyperlink w:anchor="_Toc163506199" w:history="1">
        <w:r w:rsidRPr="007246E7">
          <w:rPr>
            <w:rStyle w:val="Hyperlink"/>
            <w:rtl/>
          </w:rPr>
          <w:t>מרכבת המשנה שבת פ"י הט"ז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Toc163506199 \h</w:instrText>
        </w:r>
        <w:r>
          <w:rPr>
            <w:webHidden/>
            <w:rtl/>
          </w:rPr>
          <w:instrText xml:space="preserve"> </w:instrText>
        </w:r>
        <w:r>
          <w:rPr>
            <w:rStyle w:val="Hyperlink"/>
            <w:rtl/>
          </w:rPr>
        </w:r>
        <w:r>
          <w:rPr>
            <w:rStyle w:val="Hyperlink"/>
            <w:rtl/>
          </w:rPr>
          <w:fldChar w:fldCharType="separate"/>
        </w:r>
        <w:r w:rsidR="00D82181">
          <w:rPr>
            <w:webHidden/>
            <w:rtl/>
          </w:rPr>
          <w:t>150</w:t>
        </w:r>
        <w:r>
          <w:rPr>
            <w:rStyle w:val="Hyperlink"/>
            <w:rtl/>
          </w:rPr>
          <w:fldChar w:fldCharType="end"/>
        </w:r>
      </w:hyperlink>
    </w:p>
    <w:p w14:paraId="58181406" w14:textId="6D50BCF2" w:rsidR="008009AA" w:rsidRDefault="008009AA">
      <w:pPr>
        <w:pStyle w:val="TOC7"/>
        <w:rPr>
          <w:rFonts w:cstheme="minorBidi"/>
          <w:sz w:val="22"/>
          <w:szCs w:val="22"/>
          <w:rtl/>
        </w:rPr>
      </w:pPr>
      <w:hyperlink w:anchor="_Toc163506200" w:history="1">
        <w:r w:rsidRPr="007246E7">
          <w:rPr>
            <w:rStyle w:val="Hyperlink"/>
            <w:rtl/>
          </w:rPr>
          <w:t>חדושי הר"ן - מיוחס לו שבת ע"ג ע"א ד"ה מכה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Toc163506200 \h</w:instrText>
        </w:r>
        <w:r>
          <w:rPr>
            <w:webHidden/>
            <w:rtl/>
          </w:rPr>
          <w:instrText xml:space="preserve"> </w:instrText>
        </w:r>
        <w:r>
          <w:rPr>
            <w:rStyle w:val="Hyperlink"/>
            <w:rtl/>
          </w:rPr>
        </w:r>
        <w:r>
          <w:rPr>
            <w:rStyle w:val="Hyperlink"/>
            <w:rtl/>
          </w:rPr>
          <w:fldChar w:fldCharType="separate"/>
        </w:r>
        <w:r w:rsidR="00D82181">
          <w:rPr>
            <w:webHidden/>
            <w:rtl/>
          </w:rPr>
          <w:t>151</w:t>
        </w:r>
        <w:r>
          <w:rPr>
            <w:rStyle w:val="Hyperlink"/>
            <w:rtl/>
          </w:rPr>
          <w:fldChar w:fldCharType="end"/>
        </w:r>
      </w:hyperlink>
    </w:p>
    <w:p w14:paraId="2EC51B8C" w14:textId="7F8C3D3A" w:rsidR="008009AA" w:rsidRDefault="008009AA">
      <w:pPr>
        <w:pStyle w:val="TOC7"/>
        <w:rPr>
          <w:rFonts w:cstheme="minorBidi"/>
          <w:sz w:val="22"/>
          <w:szCs w:val="22"/>
          <w:rtl/>
        </w:rPr>
      </w:pPr>
      <w:hyperlink w:anchor="_Toc163506201" w:history="1">
        <w:r w:rsidRPr="007246E7">
          <w:rPr>
            <w:rStyle w:val="Hyperlink"/>
            <w:rtl/>
          </w:rPr>
          <w:t>רבינו יהונתן מלוניל שבת עג. ד"ה והמנפח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Toc163506201 \h</w:instrText>
        </w:r>
        <w:r>
          <w:rPr>
            <w:webHidden/>
            <w:rtl/>
          </w:rPr>
          <w:instrText xml:space="preserve"> </w:instrText>
        </w:r>
        <w:r>
          <w:rPr>
            <w:rStyle w:val="Hyperlink"/>
            <w:rtl/>
          </w:rPr>
        </w:r>
        <w:r>
          <w:rPr>
            <w:rStyle w:val="Hyperlink"/>
            <w:rtl/>
          </w:rPr>
          <w:fldChar w:fldCharType="separate"/>
        </w:r>
        <w:r w:rsidR="00D82181">
          <w:rPr>
            <w:webHidden/>
            <w:rtl/>
          </w:rPr>
          <w:t>151</w:t>
        </w:r>
        <w:r>
          <w:rPr>
            <w:rStyle w:val="Hyperlink"/>
            <w:rtl/>
          </w:rPr>
          <w:fldChar w:fldCharType="end"/>
        </w:r>
      </w:hyperlink>
    </w:p>
    <w:p w14:paraId="5ABE9CE1" w14:textId="583BC597" w:rsidR="008009AA" w:rsidRDefault="008009AA">
      <w:pPr>
        <w:pStyle w:val="TOC7"/>
        <w:rPr>
          <w:rFonts w:cstheme="minorBidi"/>
          <w:sz w:val="22"/>
          <w:szCs w:val="22"/>
          <w:rtl/>
        </w:rPr>
      </w:pPr>
      <w:hyperlink w:anchor="_Toc163506202" w:history="1">
        <w:r w:rsidRPr="007246E7">
          <w:rPr>
            <w:rStyle w:val="Hyperlink"/>
            <w:rtl/>
          </w:rPr>
          <w:t>ערוך השולחן או"ח סי' שי"ג י"ג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Toc163506202 \h</w:instrText>
        </w:r>
        <w:r>
          <w:rPr>
            <w:webHidden/>
            <w:rtl/>
          </w:rPr>
          <w:instrText xml:space="preserve"> </w:instrText>
        </w:r>
        <w:r>
          <w:rPr>
            <w:rStyle w:val="Hyperlink"/>
            <w:rtl/>
          </w:rPr>
        </w:r>
        <w:r>
          <w:rPr>
            <w:rStyle w:val="Hyperlink"/>
            <w:rtl/>
          </w:rPr>
          <w:fldChar w:fldCharType="separate"/>
        </w:r>
        <w:r w:rsidR="00D82181">
          <w:rPr>
            <w:webHidden/>
            <w:rtl/>
          </w:rPr>
          <w:t>151</w:t>
        </w:r>
        <w:r>
          <w:rPr>
            <w:rStyle w:val="Hyperlink"/>
            <w:rtl/>
          </w:rPr>
          <w:fldChar w:fldCharType="end"/>
        </w:r>
      </w:hyperlink>
    </w:p>
    <w:p w14:paraId="5D954777" w14:textId="209BF9C6" w:rsidR="008009AA" w:rsidRDefault="008009AA">
      <w:pPr>
        <w:pStyle w:val="TOC7"/>
        <w:rPr>
          <w:rFonts w:cstheme="minorBidi"/>
          <w:sz w:val="22"/>
          <w:szCs w:val="22"/>
          <w:rtl/>
        </w:rPr>
      </w:pPr>
      <w:hyperlink w:anchor="_Toc163506203" w:history="1">
        <w:r w:rsidRPr="007246E7">
          <w:rPr>
            <w:rStyle w:val="Hyperlink"/>
            <w:rtl/>
          </w:rPr>
          <w:t>ערוך השולחן או"ח סי' שי"ג י"ד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Toc163506203 \h</w:instrText>
        </w:r>
        <w:r>
          <w:rPr>
            <w:webHidden/>
            <w:rtl/>
          </w:rPr>
          <w:instrText xml:space="preserve"> </w:instrText>
        </w:r>
        <w:r>
          <w:rPr>
            <w:rStyle w:val="Hyperlink"/>
            <w:rtl/>
          </w:rPr>
        </w:r>
        <w:r>
          <w:rPr>
            <w:rStyle w:val="Hyperlink"/>
            <w:rtl/>
          </w:rPr>
          <w:fldChar w:fldCharType="separate"/>
        </w:r>
        <w:r w:rsidR="00D82181">
          <w:rPr>
            <w:webHidden/>
            <w:rtl/>
          </w:rPr>
          <w:t>151</w:t>
        </w:r>
        <w:r>
          <w:rPr>
            <w:rStyle w:val="Hyperlink"/>
            <w:rtl/>
          </w:rPr>
          <w:fldChar w:fldCharType="end"/>
        </w:r>
      </w:hyperlink>
    </w:p>
    <w:p w14:paraId="42E3975E" w14:textId="4E78ADD6" w:rsidR="008009AA" w:rsidRDefault="008009AA">
      <w:pPr>
        <w:pStyle w:val="TOC7"/>
        <w:rPr>
          <w:rFonts w:cstheme="minorBidi"/>
          <w:sz w:val="22"/>
          <w:szCs w:val="22"/>
          <w:rtl/>
        </w:rPr>
      </w:pPr>
      <w:hyperlink w:anchor="_Toc163506204" w:history="1">
        <w:r w:rsidRPr="007246E7">
          <w:rPr>
            <w:rStyle w:val="Hyperlink"/>
            <w:rtl/>
          </w:rPr>
          <w:t>אגרות משה או"ח ח"א סי' קכ"ב ענף 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Toc163506204 \h</w:instrText>
        </w:r>
        <w:r>
          <w:rPr>
            <w:webHidden/>
            <w:rtl/>
          </w:rPr>
          <w:instrText xml:space="preserve"> </w:instrText>
        </w:r>
        <w:r>
          <w:rPr>
            <w:rStyle w:val="Hyperlink"/>
            <w:rtl/>
          </w:rPr>
        </w:r>
        <w:r>
          <w:rPr>
            <w:rStyle w:val="Hyperlink"/>
            <w:rtl/>
          </w:rPr>
          <w:fldChar w:fldCharType="separate"/>
        </w:r>
        <w:r w:rsidR="00D82181">
          <w:rPr>
            <w:webHidden/>
            <w:rtl/>
          </w:rPr>
          <w:t>151</w:t>
        </w:r>
        <w:r>
          <w:rPr>
            <w:rStyle w:val="Hyperlink"/>
            <w:rtl/>
          </w:rPr>
          <w:fldChar w:fldCharType="end"/>
        </w:r>
      </w:hyperlink>
    </w:p>
    <w:p w14:paraId="3032C3A5" w14:textId="6F0B6010" w:rsidR="008009AA" w:rsidRDefault="008009AA">
      <w:pPr>
        <w:pStyle w:val="TOC7"/>
        <w:rPr>
          <w:rFonts w:cstheme="minorBidi"/>
          <w:sz w:val="22"/>
          <w:szCs w:val="22"/>
          <w:rtl/>
        </w:rPr>
      </w:pPr>
      <w:hyperlink w:anchor="_Toc163506205" w:history="1">
        <w:r w:rsidRPr="007246E7">
          <w:rPr>
            <w:rStyle w:val="Hyperlink"/>
            <w:rtl/>
          </w:rPr>
          <w:t>אגרות משה או"ח ח"א סי' קכ"ב ענף ב' ד"ה וכיון שמלאכת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Toc163506205 \h</w:instrText>
        </w:r>
        <w:r>
          <w:rPr>
            <w:webHidden/>
            <w:rtl/>
          </w:rPr>
          <w:instrText xml:space="preserve"> </w:instrText>
        </w:r>
        <w:r>
          <w:rPr>
            <w:rStyle w:val="Hyperlink"/>
            <w:rtl/>
          </w:rPr>
        </w:r>
        <w:r>
          <w:rPr>
            <w:rStyle w:val="Hyperlink"/>
            <w:rtl/>
          </w:rPr>
          <w:fldChar w:fldCharType="separate"/>
        </w:r>
        <w:r w:rsidR="00D82181">
          <w:rPr>
            <w:webHidden/>
            <w:rtl/>
          </w:rPr>
          <w:t>151</w:t>
        </w:r>
        <w:r>
          <w:rPr>
            <w:rStyle w:val="Hyperlink"/>
            <w:rtl/>
          </w:rPr>
          <w:fldChar w:fldCharType="end"/>
        </w:r>
      </w:hyperlink>
    </w:p>
    <w:p w14:paraId="26886A42" w14:textId="6C5BD2DC" w:rsidR="008009AA" w:rsidRDefault="008009AA">
      <w:pPr>
        <w:pStyle w:val="TOC7"/>
        <w:rPr>
          <w:rFonts w:cstheme="minorBidi"/>
          <w:sz w:val="22"/>
          <w:szCs w:val="22"/>
          <w:rtl/>
        </w:rPr>
      </w:pPr>
      <w:hyperlink w:anchor="_Toc163506206" w:history="1">
        <w:r w:rsidRPr="007246E7">
          <w:rPr>
            <w:rStyle w:val="Hyperlink"/>
            <w:rtl/>
          </w:rPr>
          <w:t>תוספות שבת ע"ה ע"ב ד"ה והמסתת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Toc163506206 \h</w:instrText>
        </w:r>
        <w:r>
          <w:rPr>
            <w:webHidden/>
            <w:rtl/>
          </w:rPr>
          <w:instrText xml:space="preserve"> </w:instrText>
        </w:r>
        <w:r>
          <w:rPr>
            <w:rStyle w:val="Hyperlink"/>
            <w:rtl/>
          </w:rPr>
        </w:r>
        <w:r>
          <w:rPr>
            <w:rStyle w:val="Hyperlink"/>
            <w:rtl/>
          </w:rPr>
          <w:fldChar w:fldCharType="separate"/>
        </w:r>
        <w:r w:rsidR="00D82181">
          <w:rPr>
            <w:webHidden/>
            <w:rtl/>
          </w:rPr>
          <w:t>152</w:t>
        </w:r>
        <w:r>
          <w:rPr>
            <w:rStyle w:val="Hyperlink"/>
            <w:rtl/>
          </w:rPr>
          <w:fldChar w:fldCharType="end"/>
        </w:r>
      </w:hyperlink>
    </w:p>
    <w:p w14:paraId="5A612D3B" w14:textId="5610617A" w:rsidR="008009AA" w:rsidRDefault="008009AA">
      <w:pPr>
        <w:pStyle w:val="TOC7"/>
        <w:rPr>
          <w:rFonts w:cstheme="minorBidi"/>
          <w:sz w:val="22"/>
          <w:szCs w:val="22"/>
          <w:rtl/>
        </w:rPr>
      </w:pPr>
      <w:hyperlink w:anchor="_Toc163506207" w:history="1">
        <w:r w:rsidRPr="007246E7">
          <w:rPr>
            <w:rStyle w:val="Hyperlink"/>
            <w:rtl/>
          </w:rPr>
          <w:t>חדושי הר"ן - מיוחס לו שבת ע"ה ע"ב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Toc163506207 \h</w:instrText>
        </w:r>
        <w:r>
          <w:rPr>
            <w:webHidden/>
            <w:rtl/>
          </w:rPr>
          <w:instrText xml:space="preserve"> </w:instrText>
        </w:r>
        <w:r>
          <w:rPr>
            <w:rStyle w:val="Hyperlink"/>
            <w:rtl/>
          </w:rPr>
        </w:r>
        <w:r>
          <w:rPr>
            <w:rStyle w:val="Hyperlink"/>
            <w:rtl/>
          </w:rPr>
          <w:fldChar w:fldCharType="separate"/>
        </w:r>
        <w:r w:rsidR="00D82181">
          <w:rPr>
            <w:webHidden/>
            <w:rtl/>
          </w:rPr>
          <w:t>152</w:t>
        </w:r>
        <w:r>
          <w:rPr>
            <w:rStyle w:val="Hyperlink"/>
            <w:rtl/>
          </w:rPr>
          <w:fldChar w:fldCharType="end"/>
        </w:r>
      </w:hyperlink>
    </w:p>
    <w:p w14:paraId="5D1126AB" w14:textId="1F6B881C" w:rsidR="008009AA" w:rsidRDefault="008009AA">
      <w:pPr>
        <w:pStyle w:val="TOC7"/>
        <w:rPr>
          <w:rFonts w:cstheme="minorBidi"/>
          <w:sz w:val="22"/>
          <w:szCs w:val="22"/>
          <w:rtl/>
        </w:rPr>
      </w:pPr>
      <w:hyperlink w:anchor="_Toc163506208" w:history="1">
        <w:r w:rsidRPr="007246E7">
          <w:rPr>
            <w:rStyle w:val="Hyperlink"/>
            <w:rtl/>
          </w:rPr>
          <w:t>מאירי שבת ע"ה ע"ב ד"ה השף</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Toc163506208 \h</w:instrText>
        </w:r>
        <w:r>
          <w:rPr>
            <w:webHidden/>
            <w:rtl/>
          </w:rPr>
          <w:instrText xml:space="preserve"> </w:instrText>
        </w:r>
        <w:r>
          <w:rPr>
            <w:rStyle w:val="Hyperlink"/>
            <w:rtl/>
          </w:rPr>
        </w:r>
        <w:r>
          <w:rPr>
            <w:rStyle w:val="Hyperlink"/>
            <w:rtl/>
          </w:rPr>
          <w:fldChar w:fldCharType="separate"/>
        </w:r>
        <w:r w:rsidR="00D82181">
          <w:rPr>
            <w:webHidden/>
            <w:rtl/>
          </w:rPr>
          <w:t>152</w:t>
        </w:r>
        <w:r>
          <w:rPr>
            <w:rStyle w:val="Hyperlink"/>
            <w:rtl/>
          </w:rPr>
          <w:fldChar w:fldCharType="end"/>
        </w:r>
      </w:hyperlink>
    </w:p>
    <w:p w14:paraId="76056016" w14:textId="7BE86AC5" w:rsidR="008009AA" w:rsidRDefault="008009AA">
      <w:pPr>
        <w:pStyle w:val="TOC7"/>
        <w:rPr>
          <w:rFonts w:cstheme="minorBidi"/>
          <w:sz w:val="22"/>
          <w:szCs w:val="22"/>
          <w:rtl/>
        </w:rPr>
      </w:pPr>
      <w:hyperlink w:anchor="_Toc163506209" w:history="1">
        <w:r w:rsidRPr="007246E7">
          <w:rPr>
            <w:rStyle w:val="Hyperlink"/>
            <w:rtl/>
          </w:rPr>
          <w:t>הר"י מיגש ליקוטי מסכתות שבת ע"ה ע"ב ד"ה והמסתת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Toc163506209 \h</w:instrText>
        </w:r>
        <w:r>
          <w:rPr>
            <w:webHidden/>
            <w:rtl/>
          </w:rPr>
          <w:instrText xml:space="preserve"> </w:instrText>
        </w:r>
        <w:r>
          <w:rPr>
            <w:rStyle w:val="Hyperlink"/>
            <w:rtl/>
          </w:rPr>
        </w:r>
        <w:r>
          <w:rPr>
            <w:rStyle w:val="Hyperlink"/>
            <w:rtl/>
          </w:rPr>
          <w:fldChar w:fldCharType="separate"/>
        </w:r>
        <w:r w:rsidR="00D82181">
          <w:rPr>
            <w:webHidden/>
            <w:rtl/>
          </w:rPr>
          <w:t>152</w:t>
        </w:r>
        <w:r>
          <w:rPr>
            <w:rStyle w:val="Hyperlink"/>
            <w:rtl/>
          </w:rPr>
          <w:fldChar w:fldCharType="end"/>
        </w:r>
      </w:hyperlink>
    </w:p>
    <w:p w14:paraId="47441065" w14:textId="407C5247" w:rsidR="008009AA" w:rsidRDefault="008009AA">
      <w:pPr>
        <w:pStyle w:val="TOC7"/>
        <w:rPr>
          <w:rFonts w:cstheme="minorBidi"/>
          <w:sz w:val="22"/>
          <w:szCs w:val="22"/>
          <w:rtl/>
        </w:rPr>
      </w:pPr>
      <w:hyperlink w:anchor="_Toc163506210" w:history="1">
        <w:r w:rsidRPr="007246E7">
          <w:rPr>
            <w:rStyle w:val="Hyperlink"/>
            <w:rtl/>
          </w:rPr>
          <w:t>רמב"ם שבת פ"י הט"ז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Toc163506210 \h</w:instrText>
        </w:r>
        <w:r>
          <w:rPr>
            <w:webHidden/>
            <w:rtl/>
          </w:rPr>
          <w:instrText xml:space="preserve"> </w:instrText>
        </w:r>
        <w:r>
          <w:rPr>
            <w:rStyle w:val="Hyperlink"/>
            <w:rtl/>
          </w:rPr>
        </w:r>
        <w:r>
          <w:rPr>
            <w:rStyle w:val="Hyperlink"/>
            <w:rtl/>
          </w:rPr>
          <w:fldChar w:fldCharType="separate"/>
        </w:r>
        <w:r w:rsidR="00D82181">
          <w:rPr>
            <w:webHidden/>
            <w:rtl/>
          </w:rPr>
          <w:t>152</w:t>
        </w:r>
        <w:r>
          <w:rPr>
            <w:rStyle w:val="Hyperlink"/>
            <w:rtl/>
          </w:rPr>
          <w:fldChar w:fldCharType="end"/>
        </w:r>
      </w:hyperlink>
    </w:p>
    <w:p w14:paraId="1935DBD2" w14:textId="06848D7C" w:rsidR="008009AA" w:rsidRDefault="008009AA">
      <w:pPr>
        <w:pStyle w:val="TOC7"/>
        <w:rPr>
          <w:rFonts w:cstheme="minorBidi"/>
          <w:sz w:val="22"/>
          <w:szCs w:val="22"/>
          <w:rtl/>
        </w:rPr>
      </w:pPr>
      <w:hyperlink w:anchor="_Toc163506211" w:history="1">
        <w:r w:rsidRPr="007246E7">
          <w:rPr>
            <w:rStyle w:val="Hyperlink"/>
            <w:rtl/>
          </w:rPr>
          <w:t>רמב"ם שבת פ"י הי"ז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Toc163506211 \h</w:instrText>
        </w:r>
        <w:r>
          <w:rPr>
            <w:webHidden/>
            <w:rtl/>
          </w:rPr>
          <w:instrText xml:space="preserve"> </w:instrText>
        </w:r>
        <w:r>
          <w:rPr>
            <w:rStyle w:val="Hyperlink"/>
            <w:rtl/>
          </w:rPr>
        </w:r>
        <w:r>
          <w:rPr>
            <w:rStyle w:val="Hyperlink"/>
            <w:rtl/>
          </w:rPr>
          <w:fldChar w:fldCharType="separate"/>
        </w:r>
        <w:r w:rsidR="00D82181">
          <w:rPr>
            <w:webHidden/>
            <w:rtl/>
          </w:rPr>
          <w:t>152</w:t>
        </w:r>
        <w:r>
          <w:rPr>
            <w:rStyle w:val="Hyperlink"/>
            <w:rtl/>
          </w:rPr>
          <w:fldChar w:fldCharType="end"/>
        </w:r>
      </w:hyperlink>
    </w:p>
    <w:p w14:paraId="423EB4B2" w14:textId="48DAF206" w:rsidR="008009AA" w:rsidRDefault="008009AA">
      <w:pPr>
        <w:pStyle w:val="TOC7"/>
        <w:rPr>
          <w:rFonts w:cstheme="minorBidi"/>
          <w:sz w:val="22"/>
          <w:szCs w:val="22"/>
          <w:rtl/>
        </w:rPr>
      </w:pPr>
      <w:hyperlink w:anchor="_Toc163506212" w:history="1">
        <w:r w:rsidRPr="007246E7">
          <w:rPr>
            <w:rStyle w:val="Hyperlink"/>
            <w:rtl/>
          </w:rPr>
          <w:t>רמב"ם שבת פ"י הי"ח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Toc163506212 \h</w:instrText>
        </w:r>
        <w:r>
          <w:rPr>
            <w:webHidden/>
            <w:rtl/>
          </w:rPr>
          <w:instrText xml:space="preserve"> </w:instrText>
        </w:r>
        <w:r>
          <w:rPr>
            <w:rStyle w:val="Hyperlink"/>
            <w:rtl/>
          </w:rPr>
        </w:r>
        <w:r>
          <w:rPr>
            <w:rStyle w:val="Hyperlink"/>
            <w:rtl/>
          </w:rPr>
          <w:fldChar w:fldCharType="separate"/>
        </w:r>
        <w:r w:rsidR="00D82181">
          <w:rPr>
            <w:webHidden/>
            <w:rtl/>
          </w:rPr>
          <w:t>152</w:t>
        </w:r>
        <w:r>
          <w:rPr>
            <w:rStyle w:val="Hyperlink"/>
            <w:rtl/>
          </w:rPr>
          <w:fldChar w:fldCharType="end"/>
        </w:r>
      </w:hyperlink>
    </w:p>
    <w:p w14:paraId="7AA6ED59" w14:textId="5DC86E63" w:rsidR="008009AA" w:rsidRDefault="008009AA">
      <w:pPr>
        <w:pStyle w:val="TOC7"/>
        <w:rPr>
          <w:rFonts w:cstheme="minorBidi"/>
          <w:sz w:val="22"/>
          <w:szCs w:val="22"/>
          <w:rtl/>
        </w:rPr>
      </w:pPr>
      <w:hyperlink w:anchor="_Toc163506213" w:history="1">
        <w:r w:rsidRPr="007246E7">
          <w:rPr>
            <w:rStyle w:val="Hyperlink"/>
            <w:rtl/>
          </w:rPr>
          <w:t>רמב"ם שבת פ"י הי"ד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Toc163506213 \h</w:instrText>
        </w:r>
        <w:r>
          <w:rPr>
            <w:webHidden/>
            <w:rtl/>
          </w:rPr>
          <w:instrText xml:space="preserve"> </w:instrText>
        </w:r>
        <w:r>
          <w:rPr>
            <w:rStyle w:val="Hyperlink"/>
            <w:rtl/>
          </w:rPr>
        </w:r>
        <w:r>
          <w:rPr>
            <w:rStyle w:val="Hyperlink"/>
            <w:rtl/>
          </w:rPr>
          <w:fldChar w:fldCharType="separate"/>
        </w:r>
        <w:r w:rsidR="00D82181">
          <w:rPr>
            <w:webHidden/>
            <w:rtl/>
          </w:rPr>
          <w:t>152</w:t>
        </w:r>
        <w:r>
          <w:rPr>
            <w:rStyle w:val="Hyperlink"/>
            <w:rtl/>
          </w:rPr>
          <w:fldChar w:fldCharType="end"/>
        </w:r>
      </w:hyperlink>
    </w:p>
    <w:p w14:paraId="70EC639E" w14:textId="3FB14B86" w:rsidR="008009AA" w:rsidRDefault="008009AA">
      <w:pPr>
        <w:pStyle w:val="TOC7"/>
        <w:rPr>
          <w:rFonts w:cstheme="minorBidi"/>
          <w:sz w:val="22"/>
          <w:szCs w:val="22"/>
          <w:rtl/>
        </w:rPr>
      </w:pPr>
      <w:hyperlink w:anchor="_Toc163506214" w:history="1">
        <w:r w:rsidRPr="007246E7">
          <w:rPr>
            <w:rStyle w:val="Hyperlink"/>
            <w:rtl/>
          </w:rPr>
          <w:t>כסף משנה שבת פ"י הי"ד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Toc163506214 \h</w:instrText>
        </w:r>
        <w:r>
          <w:rPr>
            <w:webHidden/>
            <w:rtl/>
          </w:rPr>
          <w:instrText xml:space="preserve"> </w:instrText>
        </w:r>
        <w:r>
          <w:rPr>
            <w:rStyle w:val="Hyperlink"/>
            <w:rtl/>
          </w:rPr>
        </w:r>
        <w:r>
          <w:rPr>
            <w:rStyle w:val="Hyperlink"/>
            <w:rtl/>
          </w:rPr>
          <w:fldChar w:fldCharType="separate"/>
        </w:r>
        <w:r w:rsidR="00D82181">
          <w:rPr>
            <w:webHidden/>
            <w:rtl/>
          </w:rPr>
          <w:t>153</w:t>
        </w:r>
        <w:r>
          <w:rPr>
            <w:rStyle w:val="Hyperlink"/>
            <w:rtl/>
          </w:rPr>
          <w:fldChar w:fldCharType="end"/>
        </w:r>
      </w:hyperlink>
    </w:p>
    <w:p w14:paraId="37B6A101" w14:textId="336BAB18" w:rsidR="008009AA" w:rsidRDefault="008009AA">
      <w:pPr>
        <w:pStyle w:val="TOC7"/>
        <w:rPr>
          <w:rFonts w:cstheme="minorBidi"/>
          <w:sz w:val="22"/>
          <w:szCs w:val="22"/>
          <w:rtl/>
        </w:rPr>
      </w:pPr>
      <w:hyperlink w:anchor="_Toc163506215" w:history="1">
        <w:r w:rsidRPr="007246E7">
          <w:rPr>
            <w:rStyle w:val="Hyperlink"/>
            <w:rtl/>
          </w:rPr>
          <w:t>לחם משנה שבת פ"י הי"ד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Toc163506215 \h</w:instrText>
        </w:r>
        <w:r>
          <w:rPr>
            <w:webHidden/>
            <w:rtl/>
          </w:rPr>
          <w:instrText xml:space="preserve"> </w:instrText>
        </w:r>
        <w:r>
          <w:rPr>
            <w:rStyle w:val="Hyperlink"/>
            <w:rtl/>
          </w:rPr>
        </w:r>
        <w:r>
          <w:rPr>
            <w:rStyle w:val="Hyperlink"/>
            <w:rtl/>
          </w:rPr>
          <w:fldChar w:fldCharType="separate"/>
        </w:r>
        <w:r w:rsidR="00D82181">
          <w:rPr>
            <w:webHidden/>
            <w:rtl/>
          </w:rPr>
          <w:t>153</w:t>
        </w:r>
        <w:r>
          <w:rPr>
            <w:rStyle w:val="Hyperlink"/>
            <w:rtl/>
          </w:rPr>
          <w:fldChar w:fldCharType="end"/>
        </w:r>
      </w:hyperlink>
    </w:p>
    <w:p w14:paraId="744B7FE6" w14:textId="52F82ACF" w:rsidR="008009AA" w:rsidRDefault="008009AA">
      <w:pPr>
        <w:pStyle w:val="TOC7"/>
        <w:rPr>
          <w:rFonts w:cstheme="minorBidi"/>
          <w:sz w:val="22"/>
          <w:szCs w:val="22"/>
          <w:rtl/>
        </w:rPr>
      </w:pPr>
      <w:hyperlink w:anchor="_Toc163506216" w:history="1">
        <w:r w:rsidRPr="007246E7">
          <w:rPr>
            <w:rStyle w:val="Hyperlink"/>
            <w:rtl/>
          </w:rPr>
          <w:t>רמב"ם שבת פכ"ג ה"א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Toc163506216 \h</w:instrText>
        </w:r>
        <w:r>
          <w:rPr>
            <w:webHidden/>
            <w:rtl/>
          </w:rPr>
          <w:instrText xml:space="preserve"> </w:instrText>
        </w:r>
        <w:r>
          <w:rPr>
            <w:rStyle w:val="Hyperlink"/>
            <w:rtl/>
          </w:rPr>
        </w:r>
        <w:r>
          <w:rPr>
            <w:rStyle w:val="Hyperlink"/>
            <w:rtl/>
          </w:rPr>
          <w:fldChar w:fldCharType="separate"/>
        </w:r>
        <w:r w:rsidR="00D82181">
          <w:rPr>
            <w:webHidden/>
            <w:rtl/>
          </w:rPr>
          <w:t>153</w:t>
        </w:r>
        <w:r>
          <w:rPr>
            <w:rStyle w:val="Hyperlink"/>
            <w:rtl/>
          </w:rPr>
          <w:fldChar w:fldCharType="end"/>
        </w:r>
      </w:hyperlink>
    </w:p>
    <w:p w14:paraId="0F7680E9" w14:textId="31BC2E3C" w:rsidR="008009AA" w:rsidRDefault="008009AA">
      <w:pPr>
        <w:pStyle w:val="TOC7"/>
        <w:rPr>
          <w:rFonts w:cstheme="minorBidi"/>
          <w:sz w:val="22"/>
          <w:szCs w:val="22"/>
          <w:rtl/>
        </w:rPr>
      </w:pPr>
      <w:hyperlink w:anchor="_Toc163506217" w:history="1">
        <w:r w:rsidRPr="007246E7">
          <w:rPr>
            <w:rStyle w:val="Hyperlink"/>
            <w:rtl/>
          </w:rPr>
          <w:t>רמב"ם שבת פ"י הט"ז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Toc163506217 \h</w:instrText>
        </w:r>
        <w:r>
          <w:rPr>
            <w:webHidden/>
            <w:rtl/>
          </w:rPr>
          <w:instrText xml:space="preserve"> </w:instrText>
        </w:r>
        <w:r>
          <w:rPr>
            <w:rStyle w:val="Hyperlink"/>
            <w:rtl/>
          </w:rPr>
        </w:r>
        <w:r>
          <w:rPr>
            <w:rStyle w:val="Hyperlink"/>
            <w:rtl/>
          </w:rPr>
          <w:fldChar w:fldCharType="separate"/>
        </w:r>
        <w:r w:rsidR="00D82181">
          <w:rPr>
            <w:webHidden/>
            <w:rtl/>
          </w:rPr>
          <w:t>153</w:t>
        </w:r>
        <w:r>
          <w:rPr>
            <w:rStyle w:val="Hyperlink"/>
            <w:rtl/>
          </w:rPr>
          <w:fldChar w:fldCharType="end"/>
        </w:r>
      </w:hyperlink>
    </w:p>
    <w:p w14:paraId="503C22EA" w14:textId="78F46314" w:rsidR="008009AA" w:rsidRDefault="008009AA">
      <w:pPr>
        <w:pStyle w:val="TOC7"/>
        <w:rPr>
          <w:rFonts w:cstheme="minorBidi"/>
          <w:sz w:val="22"/>
          <w:szCs w:val="22"/>
          <w:rtl/>
        </w:rPr>
      </w:pPr>
      <w:hyperlink w:anchor="_Toc163506218" w:history="1">
        <w:r w:rsidRPr="007246E7">
          <w:rPr>
            <w:rStyle w:val="Hyperlink"/>
            <w:rtl/>
          </w:rPr>
          <w:t>מנחת מוסך השבת הבונה אות 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Toc163506218 \h</w:instrText>
        </w:r>
        <w:r>
          <w:rPr>
            <w:webHidden/>
            <w:rtl/>
          </w:rPr>
          <w:instrText xml:space="preserve"> </w:instrText>
        </w:r>
        <w:r>
          <w:rPr>
            <w:rStyle w:val="Hyperlink"/>
            <w:rtl/>
          </w:rPr>
        </w:r>
        <w:r>
          <w:rPr>
            <w:rStyle w:val="Hyperlink"/>
            <w:rtl/>
          </w:rPr>
          <w:fldChar w:fldCharType="separate"/>
        </w:r>
        <w:r w:rsidR="00D82181">
          <w:rPr>
            <w:webHidden/>
            <w:rtl/>
          </w:rPr>
          <w:t>153</w:t>
        </w:r>
        <w:r>
          <w:rPr>
            <w:rStyle w:val="Hyperlink"/>
            <w:rtl/>
          </w:rPr>
          <w:fldChar w:fldCharType="end"/>
        </w:r>
      </w:hyperlink>
    </w:p>
    <w:p w14:paraId="2E1454A8" w14:textId="10FDB423" w:rsidR="008009AA" w:rsidRDefault="008009AA">
      <w:pPr>
        <w:pStyle w:val="TOC7"/>
        <w:rPr>
          <w:rFonts w:cstheme="minorBidi"/>
          <w:sz w:val="22"/>
          <w:szCs w:val="22"/>
          <w:rtl/>
        </w:rPr>
      </w:pPr>
      <w:hyperlink w:anchor="_Toc163506219" w:history="1">
        <w:r w:rsidRPr="007246E7">
          <w:rPr>
            <w:rStyle w:val="Hyperlink"/>
            <w:rtl/>
          </w:rPr>
          <w:t>שנות אליהו הקצר שבת פי"ב מ"א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Toc163506219 \h</w:instrText>
        </w:r>
        <w:r>
          <w:rPr>
            <w:webHidden/>
            <w:rtl/>
          </w:rPr>
          <w:instrText xml:space="preserve"> </w:instrText>
        </w:r>
        <w:r>
          <w:rPr>
            <w:rStyle w:val="Hyperlink"/>
            <w:rtl/>
          </w:rPr>
        </w:r>
        <w:r>
          <w:rPr>
            <w:rStyle w:val="Hyperlink"/>
            <w:rtl/>
          </w:rPr>
          <w:fldChar w:fldCharType="separate"/>
        </w:r>
        <w:r w:rsidR="00D82181">
          <w:rPr>
            <w:webHidden/>
            <w:rtl/>
          </w:rPr>
          <w:t>153</w:t>
        </w:r>
        <w:r>
          <w:rPr>
            <w:rStyle w:val="Hyperlink"/>
            <w:rtl/>
          </w:rPr>
          <w:fldChar w:fldCharType="end"/>
        </w:r>
      </w:hyperlink>
    </w:p>
    <w:p w14:paraId="5D008F37" w14:textId="0E55E80D" w:rsidR="008009AA" w:rsidRDefault="008009AA">
      <w:pPr>
        <w:pStyle w:val="TOC7"/>
        <w:rPr>
          <w:rFonts w:cstheme="minorBidi"/>
          <w:sz w:val="22"/>
          <w:szCs w:val="22"/>
          <w:rtl/>
        </w:rPr>
      </w:pPr>
      <w:hyperlink w:anchor="_Toc163506220" w:history="1">
        <w:r w:rsidRPr="007246E7">
          <w:rPr>
            <w:rStyle w:val="Hyperlink"/>
            <w:rtl/>
          </w:rPr>
          <w:t>מרכבת המשנה שבת פ"י הי"ד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Toc163506220 \h</w:instrText>
        </w:r>
        <w:r>
          <w:rPr>
            <w:webHidden/>
            <w:rtl/>
          </w:rPr>
          <w:instrText xml:space="preserve"> </w:instrText>
        </w:r>
        <w:r>
          <w:rPr>
            <w:rStyle w:val="Hyperlink"/>
            <w:rtl/>
          </w:rPr>
        </w:r>
        <w:r>
          <w:rPr>
            <w:rStyle w:val="Hyperlink"/>
            <w:rtl/>
          </w:rPr>
          <w:fldChar w:fldCharType="separate"/>
        </w:r>
        <w:r w:rsidR="00D82181">
          <w:rPr>
            <w:webHidden/>
            <w:rtl/>
          </w:rPr>
          <w:t>153</w:t>
        </w:r>
        <w:r>
          <w:rPr>
            <w:rStyle w:val="Hyperlink"/>
            <w:rtl/>
          </w:rPr>
          <w:fldChar w:fldCharType="end"/>
        </w:r>
      </w:hyperlink>
    </w:p>
    <w:p w14:paraId="7983172E" w14:textId="611F33B3" w:rsidR="008009AA" w:rsidRDefault="008009AA">
      <w:pPr>
        <w:pStyle w:val="TOC7"/>
        <w:rPr>
          <w:rFonts w:cstheme="minorBidi"/>
          <w:sz w:val="22"/>
          <w:szCs w:val="22"/>
          <w:rtl/>
        </w:rPr>
      </w:pPr>
      <w:hyperlink w:anchor="_Toc163506221" w:history="1">
        <w:r w:rsidRPr="007246E7">
          <w:rPr>
            <w:rStyle w:val="Hyperlink"/>
            <w:rtl/>
          </w:rPr>
          <w:t>חדושי מים חיים שבת פ"י הי"ד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Toc163506221 \h</w:instrText>
        </w:r>
        <w:r>
          <w:rPr>
            <w:webHidden/>
            <w:rtl/>
          </w:rPr>
          <w:instrText xml:space="preserve"> </w:instrText>
        </w:r>
        <w:r>
          <w:rPr>
            <w:rStyle w:val="Hyperlink"/>
            <w:rtl/>
          </w:rPr>
        </w:r>
        <w:r>
          <w:rPr>
            <w:rStyle w:val="Hyperlink"/>
            <w:rtl/>
          </w:rPr>
          <w:fldChar w:fldCharType="separate"/>
        </w:r>
        <w:r w:rsidR="00D82181">
          <w:rPr>
            <w:webHidden/>
            <w:rtl/>
          </w:rPr>
          <w:t>153</w:t>
        </w:r>
        <w:r>
          <w:rPr>
            <w:rStyle w:val="Hyperlink"/>
            <w:rtl/>
          </w:rPr>
          <w:fldChar w:fldCharType="end"/>
        </w:r>
      </w:hyperlink>
    </w:p>
    <w:p w14:paraId="351D36A0" w14:textId="34878ED6" w:rsidR="008009AA" w:rsidRDefault="008009AA">
      <w:pPr>
        <w:pStyle w:val="TOC7"/>
        <w:rPr>
          <w:rFonts w:cstheme="minorBidi"/>
          <w:sz w:val="22"/>
          <w:szCs w:val="22"/>
          <w:rtl/>
        </w:rPr>
      </w:pPr>
      <w:hyperlink w:anchor="_Toc163506222" w:history="1">
        <w:r w:rsidRPr="007246E7">
          <w:rPr>
            <w:rStyle w:val="Hyperlink"/>
            <w:rtl/>
          </w:rPr>
          <w:t>מגן אברהם סימן שיד ס"ק 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Toc163506222 \h</w:instrText>
        </w:r>
        <w:r>
          <w:rPr>
            <w:webHidden/>
            <w:rtl/>
          </w:rPr>
          <w:instrText xml:space="preserve"> </w:instrText>
        </w:r>
        <w:r>
          <w:rPr>
            <w:rStyle w:val="Hyperlink"/>
            <w:rtl/>
          </w:rPr>
        </w:r>
        <w:r>
          <w:rPr>
            <w:rStyle w:val="Hyperlink"/>
            <w:rtl/>
          </w:rPr>
          <w:fldChar w:fldCharType="separate"/>
        </w:r>
        <w:r w:rsidR="00D82181">
          <w:rPr>
            <w:webHidden/>
            <w:rtl/>
          </w:rPr>
          <w:t>153</w:t>
        </w:r>
        <w:r>
          <w:rPr>
            <w:rStyle w:val="Hyperlink"/>
            <w:rtl/>
          </w:rPr>
          <w:fldChar w:fldCharType="end"/>
        </w:r>
      </w:hyperlink>
    </w:p>
    <w:p w14:paraId="3CC555CB" w14:textId="695BC5A5" w:rsidR="008009AA" w:rsidRDefault="008009AA">
      <w:pPr>
        <w:pStyle w:val="TOC7"/>
        <w:rPr>
          <w:rFonts w:cstheme="minorBidi"/>
          <w:sz w:val="22"/>
          <w:szCs w:val="22"/>
          <w:rtl/>
        </w:rPr>
      </w:pPr>
      <w:hyperlink w:anchor="_Toc163506223" w:history="1">
        <w:r w:rsidRPr="007246E7">
          <w:rPr>
            <w:rStyle w:val="Hyperlink"/>
            <w:rtl/>
          </w:rPr>
          <w:t>מאירי שבת ק"ה ע"א ד"ה אעפ"י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Toc163506223 \h</w:instrText>
        </w:r>
        <w:r>
          <w:rPr>
            <w:webHidden/>
            <w:rtl/>
          </w:rPr>
          <w:instrText xml:space="preserve"> </w:instrText>
        </w:r>
        <w:r>
          <w:rPr>
            <w:rStyle w:val="Hyperlink"/>
            <w:rtl/>
          </w:rPr>
        </w:r>
        <w:r>
          <w:rPr>
            <w:rStyle w:val="Hyperlink"/>
            <w:rtl/>
          </w:rPr>
          <w:fldChar w:fldCharType="separate"/>
        </w:r>
        <w:r w:rsidR="00D82181">
          <w:rPr>
            <w:webHidden/>
            <w:rtl/>
          </w:rPr>
          <w:t>153</w:t>
        </w:r>
        <w:r>
          <w:rPr>
            <w:rStyle w:val="Hyperlink"/>
            <w:rtl/>
          </w:rPr>
          <w:fldChar w:fldCharType="end"/>
        </w:r>
      </w:hyperlink>
    </w:p>
    <w:p w14:paraId="79791307" w14:textId="0227470E" w:rsidR="008009AA" w:rsidRDefault="008009AA">
      <w:pPr>
        <w:pStyle w:val="TOC7"/>
        <w:rPr>
          <w:rFonts w:cstheme="minorBidi"/>
          <w:sz w:val="22"/>
          <w:szCs w:val="22"/>
          <w:rtl/>
        </w:rPr>
      </w:pPr>
      <w:hyperlink w:anchor="_Toc163506224" w:history="1">
        <w:r w:rsidRPr="007246E7">
          <w:rPr>
            <w:rStyle w:val="Hyperlink"/>
            <w:rtl/>
          </w:rPr>
          <w:t>שפת אמת שבת ק"ד ע"ב ד"ה להשלים</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Toc163506224 \h</w:instrText>
        </w:r>
        <w:r>
          <w:rPr>
            <w:webHidden/>
            <w:rtl/>
          </w:rPr>
          <w:instrText xml:space="preserve"> </w:instrText>
        </w:r>
        <w:r>
          <w:rPr>
            <w:rStyle w:val="Hyperlink"/>
            <w:rtl/>
          </w:rPr>
        </w:r>
        <w:r>
          <w:rPr>
            <w:rStyle w:val="Hyperlink"/>
            <w:rtl/>
          </w:rPr>
          <w:fldChar w:fldCharType="separate"/>
        </w:r>
        <w:r w:rsidR="00D82181">
          <w:rPr>
            <w:webHidden/>
            <w:rtl/>
          </w:rPr>
          <w:t>153</w:t>
        </w:r>
        <w:r>
          <w:rPr>
            <w:rStyle w:val="Hyperlink"/>
            <w:rtl/>
          </w:rPr>
          <w:fldChar w:fldCharType="end"/>
        </w:r>
      </w:hyperlink>
    </w:p>
    <w:p w14:paraId="34DBDBEB" w14:textId="490CA381" w:rsidR="008009AA" w:rsidRDefault="008009AA">
      <w:pPr>
        <w:pStyle w:val="TOC7"/>
        <w:rPr>
          <w:rFonts w:cstheme="minorBidi"/>
          <w:sz w:val="22"/>
          <w:szCs w:val="22"/>
          <w:rtl/>
        </w:rPr>
      </w:pPr>
      <w:hyperlink w:anchor="_Toc163506225" w:history="1">
        <w:r w:rsidRPr="007246E7">
          <w:rPr>
            <w:rStyle w:val="Hyperlink"/>
            <w:rtl/>
          </w:rPr>
          <w:t>אמרי בינה דיני שבת סימן כ"א ד"ה כתב הרמ"א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Toc163506225 \h</w:instrText>
        </w:r>
        <w:r>
          <w:rPr>
            <w:webHidden/>
            <w:rtl/>
          </w:rPr>
          <w:instrText xml:space="preserve"> </w:instrText>
        </w:r>
        <w:r>
          <w:rPr>
            <w:rStyle w:val="Hyperlink"/>
            <w:rtl/>
          </w:rPr>
        </w:r>
        <w:r>
          <w:rPr>
            <w:rStyle w:val="Hyperlink"/>
            <w:rtl/>
          </w:rPr>
          <w:fldChar w:fldCharType="separate"/>
        </w:r>
        <w:r w:rsidR="00D82181">
          <w:rPr>
            <w:webHidden/>
            <w:rtl/>
          </w:rPr>
          <w:t>153</w:t>
        </w:r>
        <w:r>
          <w:rPr>
            <w:rStyle w:val="Hyperlink"/>
            <w:rtl/>
          </w:rPr>
          <w:fldChar w:fldCharType="end"/>
        </w:r>
      </w:hyperlink>
    </w:p>
    <w:p w14:paraId="7190A142" w14:textId="0851632E" w:rsidR="008009AA" w:rsidRDefault="008009AA">
      <w:pPr>
        <w:pStyle w:val="TOC7"/>
        <w:rPr>
          <w:rFonts w:cstheme="minorBidi"/>
          <w:sz w:val="22"/>
          <w:szCs w:val="22"/>
          <w:rtl/>
        </w:rPr>
      </w:pPr>
      <w:hyperlink w:anchor="_Toc163506226" w:history="1">
        <w:r w:rsidRPr="007246E7">
          <w:rPr>
            <w:rStyle w:val="Hyperlink"/>
            <w:rtl/>
          </w:rPr>
          <w:t>חידושי רבינו משה קזיס שבת פ"ז ד"ה כל מידי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Toc163506226 \h</w:instrText>
        </w:r>
        <w:r>
          <w:rPr>
            <w:webHidden/>
            <w:rtl/>
          </w:rPr>
          <w:instrText xml:space="preserve"> </w:instrText>
        </w:r>
        <w:r>
          <w:rPr>
            <w:rStyle w:val="Hyperlink"/>
            <w:rtl/>
          </w:rPr>
        </w:r>
        <w:r>
          <w:rPr>
            <w:rStyle w:val="Hyperlink"/>
            <w:rtl/>
          </w:rPr>
          <w:fldChar w:fldCharType="separate"/>
        </w:r>
        <w:r w:rsidR="00D82181">
          <w:rPr>
            <w:webHidden/>
            <w:rtl/>
          </w:rPr>
          <w:t>153</w:t>
        </w:r>
        <w:r>
          <w:rPr>
            <w:rStyle w:val="Hyperlink"/>
            <w:rtl/>
          </w:rPr>
          <w:fldChar w:fldCharType="end"/>
        </w:r>
      </w:hyperlink>
    </w:p>
    <w:p w14:paraId="5487477A" w14:textId="54279CF6" w:rsidR="008009AA" w:rsidRDefault="008009AA">
      <w:pPr>
        <w:pStyle w:val="TOC7"/>
        <w:rPr>
          <w:rFonts w:cstheme="minorBidi"/>
          <w:sz w:val="22"/>
          <w:szCs w:val="22"/>
          <w:rtl/>
        </w:rPr>
      </w:pPr>
      <w:hyperlink w:anchor="_Toc163506227" w:history="1">
        <w:r w:rsidRPr="007246E7">
          <w:rPr>
            <w:rStyle w:val="Hyperlink"/>
            <w:rtl/>
          </w:rPr>
          <w:t>חידושי רבינו משה קזיס שבת פ"ז ד"ה אבל הרמב"ם</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Toc163506227 \h</w:instrText>
        </w:r>
        <w:r>
          <w:rPr>
            <w:webHidden/>
            <w:rtl/>
          </w:rPr>
          <w:instrText xml:space="preserve"> </w:instrText>
        </w:r>
        <w:r>
          <w:rPr>
            <w:rStyle w:val="Hyperlink"/>
            <w:rtl/>
          </w:rPr>
        </w:r>
        <w:r>
          <w:rPr>
            <w:rStyle w:val="Hyperlink"/>
            <w:rtl/>
          </w:rPr>
          <w:fldChar w:fldCharType="separate"/>
        </w:r>
        <w:r w:rsidR="00D82181">
          <w:rPr>
            <w:webHidden/>
            <w:rtl/>
          </w:rPr>
          <w:t>154</w:t>
        </w:r>
        <w:r>
          <w:rPr>
            <w:rStyle w:val="Hyperlink"/>
            <w:rtl/>
          </w:rPr>
          <w:fldChar w:fldCharType="end"/>
        </w:r>
      </w:hyperlink>
    </w:p>
    <w:p w14:paraId="64CDFFBD" w14:textId="167EECCB" w:rsidR="008009AA" w:rsidRDefault="008009AA">
      <w:pPr>
        <w:pStyle w:val="TOC7"/>
        <w:rPr>
          <w:rFonts w:cstheme="minorBidi"/>
          <w:sz w:val="22"/>
          <w:szCs w:val="22"/>
          <w:rtl/>
        </w:rPr>
      </w:pPr>
      <w:hyperlink w:anchor="_Toc163506228" w:history="1">
        <w:r w:rsidRPr="007246E7">
          <w:rPr>
            <w:rStyle w:val="Hyperlink"/>
            <w:rtl/>
          </w:rPr>
          <w:t>יראים סימן רע"ד ד"ה הבונה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Toc163506228 \h</w:instrText>
        </w:r>
        <w:r>
          <w:rPr>
            <w:webHidden/>
            <w:rtl/>
          </w:rPr>
          <w:instrText xml:space="preserve"> </w:instrText>
        </w:r>
        <w:r>
          <w:rPr>
            <w:rStyle w:val="Hyperlink"/>
            <w:rtl/>
          </w:rPr>
        </w:r>
        <w:r>
          <w:rPr>
            <w:rStyle w:val="Hyperlink"/>
            <w:rtl/>
          </w:rPr>
          <w:fldChar w:fldCharType="separate"/>
        </w:r>
        <w:r w:rsidR="00D82181">
          <w:rPr>
            <w:webHidden/>
            <w:rtl/>
          </w:rPr>
          <w:t>154</w:t>
        </w:r>
        <w:r>
          <w:rPr>
            <w:rStyle w:val="Hyperlink"/>
            <w:rtl/>
          </w:rPr>
          <w:fldChar w:fldCharType="end"/>
        </w:r>
      </w:hyperlink>
    </w:p>
    <w:p w14:paraId="4DD8EF7E" w14:textId="5519EA66" w:rsidR="008009AA" w:rsidRDefault="008009AA">
      <w:pPr>
        <w:pStyle w:val="TOC7"/>
        <w:rPr>
          <w:rFonts w:cstheme="minorBidi"/>
          <w:sz w:val="22"/>
          <w:szCs w:val="22"/>
          <w:rtl/>
        </w:rPr>
      </w:pPr>
      <w:hyperlink w:anchor="_Toc163506229" w:history="1">
        <w:r w:rsidRPr="007246E7">
          <w:rPr>
            <w:rStyle w:val="Hyperlink"/>
            <w:rtl/>
          </w:rPr>
          <w:t>הגהות מרדכי שבת רמז תס"א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Toc163506229 \h</w:instrText>
        </w:r>
        <w:r>
          <w:rPr>
            <w:webHidden/>
            <w:rtl/>
          </w:rPr>
          <w:instrText xml:space="preserve"> </w:instrText>
        </w:r>
        <w:r>
          <w:rPr>
            <w:rStyle w:val="Hyperlink"/>
            <w:rtl/>
          </w:rPr>
        </w:r>
        <w:r>
          <w:rPr>
            <w:rStyle w:val="Hyperlink"/>
            <w:rtl/>
          </w:rPr>
          <w:fldChar w:fldCharType="separate"/>
        </w:r>
        <w:r w:rsidR="00D82181">
          <w:rPr>
            <w:webHidden/>
            <w:rtl/>
          </w:rPr>
          <w:t>154</w:t>
        </w:r>
        <w:r>
          <w:rPr>
            <w:rStyle w:val="Hyperlink"/>
            <w:rtl/>
          </w:rPr>
          <w:fldChar w:fldCharType="end"/>
        </w:r>
      </w:hyperlink>
    </w:p>
    <w:p w14:paraId="16689BF4" w14:textId="2DFAEF6C" w:rsidR="008009AA" w:rsidRDefault="008009AA">
      <w:pPr>
        <w:pStyle w:val="TOC7"/>
        <w:rPr>
          <w:rFonts w:cstheme="minorBidi"/>
          <w:sz w:val="22"/>
          <w:szCs w:val="22"/>
          <w:rtl/>
        </w:rPr>
      </w:pPr>
      <w:hyperlink w:anchor="_Toc163506230" w:history="1">
        <w:r w:rsidRPr="007246E7">
          <w:rPr>
            <w:rStyle w:val="Hyperlink"/>
            <w:rtl/>
          </w:rPr>
          <w:t>טל אורות</w:t>
        </w:r>
        <w:r w:rsidRPr="007246E7">
          <w:rPr>
            <w:rStyle w:val="Hyperlink"/>
            <w:rFonts w:cs="David"/>
            <w:rtl/>
          </w:rPr>
          <w:t xml:space="preserve"> </w:t>
        </w:r>
        <w:r w:rsidRPr="007246E7">
          <w:rPr>
            <w:rStyle w:val="Hyperlink"/>
            <w:rtl/>
          </w:rPr>
          <w:t>הספרדי</w:t>
        </w:r>
        <w:r w:rsidRPr="007246E7">
          <w:rPr>
            <w:rStyle w:val="Hyperlink"/>
            <w:rFonts w:cs="David"/>
            <w:rtl/>
          </w:rPr>
          <w:t xml:space="preserve"> </w:t>
        </w:r>
        <w:r w:rsidRPr="007246E7">
          <w:rPr>
            <w:rStyle w:val="Hyperlink"/>
            <w:rtl/>
          </w:rPr>
          <w:t>ריש הבונה ד"ה והיותר מתמיה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Toc163506230 \h</w:instrText>
        </w:r>
        <w:r>
          <w:rPr>
            <w:webHidden/>
            <w:rtl/>
          </w:rPr>
          <w:instrText xml:space="preserve"> </w:instrText>
        </w:r>
        <w:r>
          <w:rPr>
            <w:rStyle w:val="Hyperlink"/>
            <w:rtl/>
          </w:rPr>
        </w:r>
        <w:r>
          <w:rPr>
            <w:rStyle w:val="Hyperlink"/>
            <w:rtl/>
          </w:rPr>
          <w:fldChar w:fldCharType="separate"/>
        </w:r>
        <w:r w:rsidR="00D82181">
          <w:rPr>
            <w:webHidden/>
            <w:rtl/>
          </w:rPr>
          <w:t>154</w:t>
        </w:r>
        <w:r>
          <w:rPr>
            <w:rStyle w:val="Hyperlink"/>
            <w:rtl/>
          </w:rPr>
          <w:fldChar w:fldCharType="end"/>
        </w:r>
      </w:hyperlink>
    </w:p>
    <w:p w14:paraId="463397B0" w14:textId="6CF569EA" w:rsidR="008009AA" w:rsidRDefault="008009AA">
      <w:pPr>
        <w:pStyle w:val="TOC7"/>
        <w:rPr>
          <w:rFonts w:cstheme="minorBidi"/>
          <w:sz w:val="22"/>
          <w:szCs w:val="22"/>
          <w:rtl/>
        </w:rPr>
      </w:pPr>
      <w:hyperlink w:anchor="_Toc163506231" w:history="1">
        <w:r w:rsidRPr="007246E7">
          <w:rPr>
            <w:rStyle w:val="Hyperlink"/>
            <w:rtl/>
          </w:rPr>
          <w:t>ספר יראים סימן רעד ד"ה המכה בפטיש</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Toc163506231 \h</w:instrText>
        </w:r>
        <w:r>
          <w:rPr>
            <w:webHidden/>
            <w:rtl/>
          </w:rPr>
          <w:instrText xml:space="preserve"> </w:instrText>
        </w:r>
        <w:r>
          <w:rPr>
            <w:rStyle w:val="Hyperlink"/>
            <w:rtl/>
          </w:rPr>
        </w:r>
        <w:r>
          <w:rPr>
            <w:rStyle w:val="Hyperlink"/>
            <w:rtl/>
          </w:rPr>
          <w:fldChar w:fldCharType="separate"/>
        </w:r>
        <w:r w:rsidR="00D82181">
          <w:rPr>
            <w:webHidden/>
            <w:rtl/>
          </w:rPr>
          <w:t>154</w:t>
        </w:r>
        <w:r>
          <w:rPr>
            <w:rStyle w:val="Hyperlink"/>
            <w:rtl/>
          </w:rPr>
          <w:fldChar w:fldCharType="end"/>
        </w:r>
      </w:hyperlink>
    </w:p>
    <w:p w14:paraId="444F0FAE" w14:textId="2E2BFF79" w:rsidR="008009AA" w:rsidRDefault="008009AA">
      <w:pPr>
        <w:pStyle w:val="TOC7"/>
        <w:rPr>
          <w:rFonts w:cstheme="minorBidi"/>
          <w:sz w:val="22"/>
          <w:szCs w:val="22"/>
          <w:rtl/>
        </w:rPr>
      </w:pPr>
      <w:hyperlink w:anchor="_Toc163506232" w:history="1">
        <w:r w:rsidRPr="007246E7">
          <w:rPr>
            <w:rStyle w:val="Hyperlink"/>
            <w:rtl/>
          </w:rPr>
          <w:t>הגהות מרדכי שבת פרק במה טומנין רמז תנז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Toc163506232 \h</w:instrText>
        </w:r>
        <w:r>
          <w:rPr>
            <w:webHidden/>
            <w:rtl/>
          </w:rPr>
          <w:instrText xml:space="preserve"> </w:instrText>
        </w:r>
        <w:r>
          <w:rPr>
            <w:rStyle w:val="Hyperlink"/>
            <w:rtl/>
          </w:rPr>
        </w:r>
        <w:r>
          <w:rPr>
            <w:rStyle w:val="Hyperlink"/>
            <w:rtl/>
          </w:rPr>
          <w:fldChar w:fldCharType="separate"/>
        </w:r>
        <w:r w:rsidR="00D82181">
          <w:rPr>
            <w:webHidden/>
            <w:rtl/>
          </w:rPr>
          <w:t>154</w:t>
        </w:r>
        <w:r>
          <w:rPr>
            <w:rStyle w:val="Hyperlink"/>
            <w:rtl/>
          </w:rPr>
          <w:fldChar w:fldCharType="end"/>
        </w:r>
      </w:hyperlink>
    </w:p>
    <w:p w14:paraId="281970C3" w14:textId="0BECE4BE" w:rsidR="008009AA" w:rsidRDefault="008009AA">
      <w:pPr>
        <w:pStyle w:val="TOC7"/>
        <w:rPr>
          <w:rFonts w:cstheme="minorBidi"/>
          <w:sz w:val="22"/>
          <w:szCs w:val="22"/>
          <w:rtl/>
        </w:rPr>
      </w:pPr>
      <w:hyperlink w:anchor="_Toc163506233" w:history="1">
        <w:r w:rsidRPr="007246E7">
          <w:rPr>
            <w:rStyle w:val="Hyperlink"/>
            <w:rtl/>
          </w:rPr>
          <w:t>ספר יראים סימן רעד ד"ה המכבה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Toc163506233 \h</w:instrText>
        </w:r>
        <w:r>
          <w:rPr>
            <w:webHidden/>
            <w:rtl/>
          </w:rPr>
          <w:instrText xml:space="preserve"> </w:instrText>
        </w:r>
        <w:r>
          <w:rPr>
            <w:rStyle w:val="Hyperlink"/>
            <w:rtl/>
          </w:rPr>
        </w:r>
        <w:r>
          <w:rPr>
            <w:rStyle w:val="Hyperlink"/>
            <w:rtl/>
          </w:rPr>
          <w:fldChar w:fldCharType="separate"/>
        </w:r>
        <w:r w:rsidR="00D82181">
          <w:rPr>
            <w:webHidden/>
            <w:rtl/>
          </w:rPr>
          <w:t>154</w:t>
        </w:r>
        <w:r>
          <w:rPr>
            <w:rStyle w:val="Hyperlink"/>
            <w:rtl/>
          </w:rPr>
          <w:fldChar w:fldCharType="end"/>
        </w:r>
      </w:hyperlink>
    </w:p>
    <w:p w14:paraId="7307A78D" w14:textId="71C7ED7D" w:rsidR="008009AA" w:rsidRDefault="008009AA">
      <w:pPr>
        <w:pStyle w:val="TOC7"/>
        <w:rPr>
          <w:rFonts w:cstheme="minorBidi"/>
          <w:sz w:val="22"/>
          <w:szCs w:val="22"/>
          <w:rtl/>
        </w:rPr>
      </w:pPr>
      <w:hyperlink w:anchor="_Toc163506234" w:history="1">
        <w:r w:rsidRPr="007246E7">
          <w:rPr>
            <w:rStyle w:val="Hyperlink"/>
            <w:rtl/>
          </w:rPr>
          <w:t>רבינו חננאל שבת ע"ה ע"ב ד"ה וכן הצר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Toc163506234 \h</w:instrText>
        </w:r>
        <w:r>
          <w:rPr>
            <w:webHidden/>
            <w:rtl/>
          </w:rPr>
          <w:instrText xml:space="preserve"> </w:instrText>
        </w:r>
        <w:r>
          <w:rPr>
            <w:rStyle w:val="Hyperlink"/>
            <w:rtl/>
          </w:rPr>
        </w:r>
        <w:r>
          <w:rPr>
            <w:rStyle w:val="Hyperlink"/>
            <w:rtl/>
          </w:rPr>
          <w:fldChar w:fldCharType="separate"/>
        </w:r>
        <w:r w:rsidR="00D82181">
          <w:rPr>
            <w:webHidden/>
            <w:rtl/>
          </w:rPr>
          <w:t>154</w:t>
        </w:r>
        <w:r>
          <w:rPr>
            <w:rStyle w:val="Hyperlink"/>
            <w:rtl/>
          </w:rPr>
          <w:fldChar w:fldCharType="end"/>
        </w:r>
      </w:hyperlink>
    </w:p>
    <w:p w14:paraId="07B3CDB4" w14:textId="6EACF95D" w:rsidR="008009AA" w:rsidRDefault="008009AA">
      <w:pPr>
        <w:pStyle w:val="TOC7"/>
        <w:rPr>
          <w:rFonts w:cstheme="minorBidi"/>
          <w:sz w:val="22"/>
          <w:szCs w:val="22"/>
          <w:rtl/>
        </w:rPr>
      </w:pPr>
      <w:hyperlink w:anchor="_Toc163506235" w:history="1">
        <w:r w:rsidRPr="007246E7">
          <w:rPr>
            <w:rStyle w:val="Hyperlink"/>
            <w:rtl/>
          </w:rPr>
          <w:t>הערוך ערך צר ג שבת ע"ה ע"ב ד"ה אמר ר"ל</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Toc163506235 \h</w:instrText>
        </w:r>
        <w:r>
          <w:rPr>
            <w:webHidden/>
            <w:rtl/>
          </w:rPr>
          <w:instrText xml:space="preserve"> </w:instrText>
        </w:r>
        <w:r>
          <w:rPr>
            <w:rStyle w:val="Hyperlink"/>
            <w:rtl/>
          </w:rPr>
        </w:r>
        <w:r>
          <w:rPr>
            <w:rStyle w:val="Hyperlink"/>
            <w:rtl/>
          </w:rPr>
          <w:fldChar w:fldCharType="separate"/>
        </w:r>
        <w:r w:rsidR="00D82181">
          <w:rPr>
            <w:webHidden/>
            <w:rtl/>
          </w:rPr>
          <w:t>154</w:t>
        </w:r>
        <w:r>
          <w:rPr>
            <w:rStyle w:val="Hyperlink"/>
            <w:rtl/>
          </w:rPr>
          <w:fldChar w:fldCharType="end"/>
        </w:r>
      </w:hyperlink>
    </w:p>
    <w:p w14:paraId="17E72113" w14:textId="50F25412" w:rsidR="008009AA" w:rsidRDefault="008009AA">
      <w:pPr>
        <w:pStyle w:val="TOC7"/>
        <w:rPr>
          <w:rFonts w:cstheme="minorBidi"/>
          <w:sz w:val="22"/>
          <w:szCs w:val="22"/>
          <w:rtl/>
        </w:rPr>
      </w:pPr>
      <w:hyperlink w:anchor="_Toc163506236" w:history="1">
        <w:r w:rsidRPr="007246E7">
          <w:rPr>
            <w:rStyle w:val="Hyperlink"/>
            <w:rtl/>
          </w:rPr>
          <w:t>הערוך ערך פח א שבת ע"ה ע"ב ד"ה המנפח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Toc163506236 \h</w:instrText>
        </w:r>
        <w:r>
          <w:rPr>
            <w:webHidden/>
            <w:rtl/>
          </w:rPr>
          <w:instrText xml:space="preserve"> </w:instrText>
        </w:r>
        <w:r>
          <w:rPr>
            <w:rStyle w:val="Hyperlink"/>
            <w:rtl/>
          </w:rPr>
        </w:r>
        <w:r>
          <w:rPr>
            <w:rStyle w:val="Hyperlink"/>
            <w:rtl/>
          </w:rPr>
          <w:fldChar w:fldCharType="separate"/>
        </w:r>
        <w:r w:rsidR="00D82181">
          <w:rPr>
            <w:webHidden/>
            <w:rtl/>
          </w:rPr>
          <w:t>155</w:t>
        </w:r>
        <w:r>
          <w:rPr>
            <w:rStyle w:val="Hyperlink"/>
            <w:rtl/>
          </w:rPr>
          <w:fldChar w:fldCharType="end"/>
        </w:r>
      </w:hyperlink>
    </w:p>
    <w:p w14:paraId="18EC8F9A" w14:textId="63EA8737" w:rsidR="008009AA" w:rsidRDefault="008009AA">
      <w:pPr>
        <w:pStyle w:val="TOC7"/>
        <w:rPr>
          <w:rFonts w:cstheme="minorBidi"/>
          <w:sz w:val="22"/>
          <w:szCs w:val="22"/>
          <w:rtl/>
        </w:rPr>
      </w:pPr>
      <w:hyperlink w:anchor="_Toc163506237" w:history="1">
        <w:r w:rsidRPr="007246E7">
          <w:rPr>
            <w:rStyle w:val="Hyperlink"/>
            <w:rtl/>
          </w:rPr>
          <w:t>הערוך ערך אקופי, שבת ע"ה ע"ב ד"ה האי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Toc163506237 \h</w:instrText>
        </w:r>
        <w:r>
          <w:rPr>
            <w:webHidden/>
            <w:rtl/>
          </w:rPr>
          <w:instrText xml:space="preserve"> </w:instrText>
        </w:r>
        <w:r>
          <w:rPr>
            <w:rStyle w:val="Hyperlink"/>
            <w:rtl/>
          </w:rPr>
        </w:r>
        <w:r>
          <w:rPr>
            <w:rStyle w:val="Hyperlink"/>
            <w:rtl/>
          </w:rPr>
          <w:fldChar w:fldCharType="separate"/>
        </w:r>
        <w:r w:rsidR="00D82181">
          <w:rPr>
            <w:webHidden/>
            <w:rtl/>
          </w:rPr>
          <w:t>155</w:t>
        </w:r>
        <w:r>
          <w:rPr>
            <w:rStyle w:val="Hyperlink"/>
            <w:rtl/>
          </w:rPr>
          <w:fldChar w:fldCharType="end"/>
        </w:r>
      </w:hyperlink>
    </w:p>
    <w:p w14:paraId="464DB52D" w14:textId="67088D33" w:rsidR="008009AA" w:rsidRDefault="008009AA">
      <w:pPr>
        <w:pStyle w:val="TOC7"/>
        <w:rPr>
          <w:rFonts w:cstheme="minorBidi"/>
          <w:sz w:val="22"/>
          <w:szCs w:val="22"/>
          <w:rtl/>
        </w:rPr>
      </w:pPr>
      <w:hyperlink w:anchor="_Toc163506238" w:history="1">
        <w:r w:rsidRPr="007246E7">
          <w:rPr>
            <w:rStyle w:val="Hyperlink"/>
            <w:rtl/>
          </w:rPr>
          <w:t>מנחת חינוך מוסך השבת האופה אות ז ד"ה והנה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Toc163506238 \h</w:instrText>
        </w:r>
        <w:r>
          <w:rPr>
            <w:webHidden/>
            <w:rtl/>
          </w:rPr>
          <w:instrText xml:space="preserve"> </w:instrText>
        </w:r>
        <w:r>
          <w:rPr>
            <w:rStyle w:val="Hyperlink"/>
            <w:rtl/>
          </w:rPr>
        </w:r>
        <w:r>
          <w:rPr>
            <w:rStyle w:val="Hyperlink"/>
            <w:rtl/>
          </w:rPr>
          <w:fldChar w:fldCharType="separate"/>
        </w:r>
        <w:r w:rsidR="00D82181">
          <w:rPr>
            <w:webHidden/>
            <w:rtl/>
          </w:rPr>
          <w:t>155</w:t>
        </w:r>
        <w:r>
          <w:rPr>
            <w:rStyle w:val="Hyperlink"/>
            <w:rtl/>
          </w:rPr>
          <w:fldChar w:fldCharType="end"/>
        </w:r>
      </w:hyperlink>
    </w:p>
    <w:p w14:paraId="2E2C5BF6" w14:textId="65891D63" w:rsidR="008009AA" w:rsidRDefault="008009AA">
      <w:pPr>
        <w:pStyle w:val="TOC7"/>
        <w:rPr>
          <w:rFonts w:cstheme="minorBidi"/>
          <w:sz w:val="22"/>
          <w:szCs w:val="22"/>
          <w:rtl/>
        </w:rPr>
      </w:pPr>
      <w:hyperlink w:anchor="_Toc163506239" w:history="1">
        <w:r w:rsidRPr="007246E7">
          <w:rPr>
            <w:rStyle w:val="Hyperlink"/>
            <w:rtl/>
          </w:rPr>
          <w:t>אמרי בינה דיני שבת סימן כ"א ד"ה כתב הרמ"א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Toc163506239 \h</w:instrText>
        </w:r>
        <w:r>
          <w:rPr>
            <w:webHidden/>
            <w:rtl/>
          </w:rPr>
          <w:instrText xml:space="preserve"> </w:instrText>
        </w:r>
        <w:r>
          <w:rPr>
            <w:rStyle w:val="Hyperlink"/>
            <w:rtl/>
          </w:rPr>
        </w:r>
        <w:r>
          <w:rPr>
            <w:rStyle w:val="Hyperlink"/>
            <w:rtl/>
          </w:rPr>
          <w:fldChar w:fldCharType="separate"/>
        </w:r>
        <w:r w:rsidR="00D82181">
          <w:rPr>
            <w:webHidden/>
            <w:rtl/>
          </w:rPr>
          <w:t>155</w:t>
        </w:r>
        <w:r>
          <w:rPr>
            <w:rStyle w:val="Hyperlink"/>
            <w:rtl/>
          </w:rPr>
          <w:fldChar w:fldCharType="end"/>
        </w:r>
      </w:hyperlink>
    </w:p>
    <w:p w14:paraId="76D0B352" w14:textId="290268F4" w:rsidR="008009AA" w:rsidRDefault="008009AA">
      <w:pPr>
        <w:pStyle w:val="TOC7"/>
        <w:rPr>
          <w:rFonts w:cstheme="minorBidi"/>
          <w:sz w:val="22"/>
          <w:szCs w:val="22"/>
          <w:rtl/>
        </w:rPr>
      </w:pPr>
      <w:hyperlink w:anchor="_Toc163506240" w:history="1">
        <w:r w:rsidRPr="007246E7">
          <w:rPr>
            <w:rStyle w:val="Hyperlink"/>
            <w:rtl/>
          </w:rPr>
          <w:t>מנחת שלמה תניינא סי' מ' ד"ה והנה טעמא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Toc163506240 \h</w:instrText>
        </w:r>
        <w:r>
          <w:rPr>
            <w:webHidden/>
            <w:rtl/>
          </w:rPr>
          <w:instrText xml:space="preserve"> </w:instrText>
        </w:r>
        <w:r>
          <w:rPr>
            <w:rStyle w:val="Hyperlink"/>
            <w:rtl/>
          </w:rPr>
        </w:r>
        <w:r>
          <w:rPr>
            <w:rStyle w:val="Hyperlink"/>
            <w:rtl/>
          </w:rPr>
          <w:fldChar w:fldCharType="separate"/>
        </w:r>
        <w:r w:rsidR="00D82181">
          <w:rPr>
            <w:webHidden/>
            <w:rtl/>
          </w:rPr>
          <w:t>155</w:t>
        </w:r>
        <w:r>
          <w:rPr>
            <w:rStyle w:val="Hyperlink"/>
            <w:rtl/>
          </w:rPr>
          <w:fldChar w:fldCharType="end"/>
        </w:r>
      </w:hyperlink>
    </w:p>
    <w:p w14:paraId="3F7C5184" w14:textId="6232B919" w:rsidR="008009AA" w:rsidRDefault="008009AA">
      <w:pPr>
        <w:pStyle w:val="TOC7"/>
        <w:rPr>
          <w:rFonts w:cstheme="minorBidi"/>
          <w:sz w:val="22"/>
          <w:szCs w:val="22"/>
          <w:rtl/>
        </w:rPr>
      </w:pPr>
      <w:hyperlink w:anchor="_Toc163506241" w:history="1">
        <w:r w:rsidRPr="007246E7">
          <w:rPr>
            <w:rStyle w:val="Hyperlink"/>
            <w:rtl/>
          </w:rPr>
          <w:t>שפת אמת שבת ע"ד ע"ב ד"ה אמר ר"א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Toc163506241 \h</w:instrText>
        </w:r>
        <w:r>
          <w:rPr>
            <w:webHidden/>
            <w:rtl/>
          </w:rPr>
          <w:instrText xml:space="preserve"> </w:instrText>
        </w:r>
        <w:r>
          <w:rPr>
            <w:rStyle w:val="Hyperlink"/>
            <w:rtl/>
          </w:rPr>
        </w:r>
        <w:r>
          <w:rPr>
            <w:rStyle w:val="Hyperlink"/>
            <w:rtl/>
          </w:rPr>
          <w:fldChar w:fldCharType="separate"/>
        </w:r>
        <w:r w:rsidR="00D82181">
          <w:rPr>
            <w:webHidden/>
            <w:rtl/>
          </w:rPr>
          <w:t>155</w:t>
        </w:r>
        <w:r>
          <w:rPr>
            <w:rStyle w:val="Hyperlink"/>
            <w:rtl/>
          </w:rPr>
          <w:fldChar w:fldCharType="end"/>
        </w:r>
      </w:hyperlink>
    </w:p>
    <w:p w14:paraId="1F501131" w14:textId="7B8898E2" w:rsidR="008009AA" w:rsidRDefault="008009AA">
      <w:pPr>
        <w:pStyle w:val="TOC7"/>
        <w:rPr>
          <w:rFonts w:cstheme="minorBidi"/>
          <w:sz w:val="22"/>
          <w:szCs w:val="22"/>
          <w:rtl/>
        </w:rPr>
      </w:pPr>
      <w:hyperlink w:anchor="_Toc163506242" w:history="1">
        <w:r w:rsidRPr="007246E7">
          <w:rPr>
            <w:rStyle w:val="Hyperlink"/>
            <w:rtl/>
          </w:rPr>
          <w:t>אבן האזל שבת פ"י הי"ז ד"ה והנה הרמב"ם</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Toc163506242 \h</w:instrText>
        </w:r>
        <w:r>
          <w:rPr>
            <w:webHidden/>
            <w:rtl/>
          </w:rPr>
          <w:instrText xml:space="preserve"> </w:instrText>
        </w:r>
        <w:r>
          <w:rPr>
            <w:rStyle w:val="Hyperlink"/>
            <w:rtl/>
          </w:rPr>
        </w:r>
        <w:r>
          <w:rPr>
            <w:rStyle w:val="Hyperlink"/>
            <w:rtl/>
          </w:rPr>
          <w:fldChar w:fldCharType="separate"/>
        </w:r>
        <w:r w:rsidR="00D82181">
          <w:rPr>
            <w:webHidden/>
            <w:rtl/>
          </w:rPr>
          <w:t>156</w:t>
        </w:r>
        <w:r>
          <w:rPr>
            <w:rStyle w:val="Hyperlink"/>
            <w:rtl/>
          </w:rPr>
          <w:fldChar w:fldCharType="end"/>
        </w:r>
      </w:hyperlink>
    </w:p>
    <w:p w14:paraId="5DB04F47" w14:textId="2F1A399E" w:rsidR="008009AA" w:rsidRDefault="008009AA">
      <w:pPr>
        <w:pStyle w:val="TOC7"/>
        <w:rPr>
          <w:rFonts w:cstheme="minorBidi"/>
          <w:sz w:val="22"/>
          <w:szCs w:val="22"/>
          <w:rtl/>
        </w:rPr>
      </w:pPr>
      <w:hyperlink w:anchor="_Toc163506243" w:history="1">
        <w:r w:rsidRPr="007246E7">
          <w:rPr>
            <w:rStyle w:val="Hyperlink"/>
            <w:rtl/>
          </w:rPr>
          <w:t>אבן האזל שבת פ"י הי"ז ד"ה ולכן</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Toc163506243 \h</w:instrText>
        </w:r>
        <w:r>
          <w:rPr>
            <w:webHidden/>
            <w:rtl/>
          </w:rPr>
          <w:instrText xml:space="preserve"> </w:instrText>
        </w:r>
        <w:r>
          <w:rPr>
            <w:rStyle w:val="Hyperlink"/>
            <w:rtl/>
          </w:rPr>
        </w:r>
        <w:r>
          <w:rPr>
            <w:rStyle w:val="Hyperlink"/>
            <w:rtl/>
          </w:rPr>
          <w:fldChar w:fldCharType="separate"/>
        </w:r>
        <w:r w:rsidR="00D82181">
          <w:rPr>
            <w:webHidden/>
            <w:rtl/>
          </w:rPr>
          <w:t>156</w:t>
        </w:r>
        <w:r>
          <w:rPr>
            <w:rStyle w:val="Hyperlink"/>
            <w:rtl/>
          </w:rPr>
          <w:fldChar w:fldCharType="end"/>
        </w:r>
      </w:hyperlink>
    </w:p>
    <w:p w14:paraId="4FDE45C3" w14:textId="40E8AF27" w:rsidR="008009AA" w:rsidRDefault="008009AA">
      <w:pPr>
        <w:pStyle w:val="TOC7"/>
        <w:rPr>
          <w:rFonts w:cstheme="minorBidi"/>
          <w:sz w:val="22"/>
          <w:szCs w:val="22"/>
          <w:rtl/>
        </w:rPr>
      </w:pPr>
      <w:hyperlink w:anchor="_Toc163506244" w:history="1">
        <w:r w:rsidRPr="007246E7">
          <w:rPr>
            <w:rStyle w:val="Hyperlink"/>
            <w:rtl/>
          </w:rPr>
          <w:t>חידושי חזון יחזקאל שבת ק"ד ע"ב ד"ה והא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Toc163506244 \h</w:instrText>
        </w:r>
        <w:r>
          <w:rPr>
            <w:webHidden/>
            <w:rtl/>
          </w:rPr>
          <w:instrText xml:space="preserve"> </w:instrText>
        </w:r>
        <w:r>
          <w:rPr>
            <w:rStyle w:val="Hyperlink"/>
            <w:rtl/>
          </w:rPr>
        </w:r>
        <w:r>
          <w:rPr>
            <w:rStyle w:val="Hyperlink"/>
            <w:rtl/>
          </w:rPr>
          <w:fldChar w:fldCharType="separate"/>
        </w:r>
        <w:r w:rsidR="00D82181">
          <w:rPr>
            <w:webHidden/>
            <w:rtl/>
          </w:rPr>
          <w:t>156</w:t>
        </w:r>
        <w:r>
          <w:rPr>
            <w:rStyle w:val="Hyperlink"/>
            <w:rtl/>
          </w:rPr>
          <w:fldChar w:fldCharType="end"/>
        </w:r>
      </w:hyperlink>
    </w:p>
    <w:p w14:paraId="1D27240E" w14:textId="0875CBE9" w:rsidR="008009AA" w:rsidRDefault="008009AA">
      <w:pPr>
        <w:pStyle w:val="TOC7"/>
        <w:rPr>
          <w:rFonts w:cstheme="minorBidi"/>
          <w:sz w:val="22"/>
          <w:szCs w:val="22"/>
          <w:rtl/>
        </w:rPr>
      </w:pPr>
      <w:hyperlink w:anchor="_Toc163506245" w:history="1">
        <w:r w:rsidRPr="007246E7">
          <w:rPr>
            <w:rStyle w:val="Hyperlink"/>
            <w:rtl/>
          </w:rPr>
          <w:t>קהלות יעקב שבת סי' מ"א ד"ה אולם</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Toc163506245 \h</w:instrText>
        </w:r>
        <w:r>
          <w:rPr>
            <w:webHidden/>
            <w:rtl/>
          </w:rPr>
          <w:instrText xml:space="preserve"> </w:instrText>
        </w:r>
        <w:r>
          <w:rPr>
            <w:rStyle w:val="Hyperlink"/>
            <w:rtl/>
          </w:rPr>
        </w:r>
        <w:r>
          <w:rPr>
            <w:rStyle w:val="Hyperlink"/>
            <w:rtl/>
          </w:rPr>
          <w:fldChar w:fldCharType="separate"/>
        </w:r>
        <w:r w:rsidR="00D82181">
          <w:rPr>
            <w:webHidden/>
            <w:rtl/>
          </w:rPr>
          <w:t>156</w:t>
        </w:r>
        <w:r>
          <w:rPr>
            <w:rStyle w:val="Hyperlink"/>
            <w:rtl/>
          </w:rPr>
          <w:fldChar w:fldCharType="end"/>
        </w:r>
      </w:hyperlink>
    </w:p>
    <w:p w14:paraId="019EFB3E" w14:textId="1DAE9A1E" w:rsidR="008009AA" w:rsidRDefault="008009AA">
      <w:pPr>
        <w:pStyle w:val="TOC7"/>
        <w:rPr>
          <w:rFonts w:cstheme="minorBidi"/>
          <w:sz w:val="22"/>
          <w:szCs w:val="22"/>
          <w:rtl/>
        </w:rPr>
      </w:pPr>
      <w:hyperlink w:anchor="_Toc163506246" w:history="1">
        <w:r w:rsidRPr="007246E7">
          <w:rPr>
            <w:rStyle w:val="Hyperlink"/>
            <w:rtl/>
          </w:rPr>
          <w:t>קהלות יעקב שבת סי' מ"א ד"ה והיה נלענ"ד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Toc163506246 \h</w:instrText>
        </w:r>
        <w:r>
          <w:rPr>
            <w:webHidden/>
            <w:rtl/>
          </w:rPr>
          <w:instrText xml:space="preserve"> </w:instrText>
        </w:r>
        <w:r>
          <w:rPr>
            <w:rStyle w:val="Hyperlink"/>
            <w:rtl/>
          </w:rPr>
        </w:r>
        <w:r>
          <w:rPr>
            <w:rStyle w:val="Hyperlink"/>
            <w:rtl/>
          </w:rPr>
          <w:fldChar w:fldCharType="separate"/>
        </w:r>
        <w:r w:rsidR="00D82181">
          <w:rPr>
            <w:webHidden/>
            <w:rtl/>
          </w:rPr>
          <w:t>157</w:t>
        </w:r>
        <w:r>
          <w:rPr>
            <w:rStyle w:val="Hyperlink"/>
            <w:rtl/>
          </w:rPr>
          <w:fldChar w:fldCharType="end"/>
        </w:r>
      </w:hyperlink>
    </w:p>
    <w:p w14:paraId="4B1917F2" w14:textId="1A725E55" w:rsidR="008009AA" w:rsidRDefault="008009AA">
      <w:pPr>
        <w:pStyle w:val="TOC7"/>
        <w:rPr>
          <w:rFonts w:cstheme="minorBidi"/>
          <w:sz w:val="22"/>
          <w:szCs w:val="22"/>
          <w:rtl/>
        </w:rPr>
      </w:pPr>
      <w:hyperlink w:anchor="_Toc163506247" w:history="1">
        <w:r w:rsidRPr="007246E7">
          <w:rPr>
            <w:rStyle w:val="Hyperlink"/>
            <w:rtl/>
          </w:rPr>
          <w:t>קהלות יעקב שבת סי' מ"א ד"ה אבל זה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Toc163506247 \h</w:instrText>
        </w:r>
        <w:r>
          <w:rPr>
            <w:webHidden/>
            <w:rtl/>
          </w:rPr>
          <w:instrText xml:space="preserve"> </w:instrText>
        </w:r>
        <w:r>
          <w:rPr>
            <w:rStyle w:val="Hyperlink"/>
            <w:rtl/>
          </w:rPr>
        </w:r>
        <w:r>
          <w:rPr>
            <w:rStyle w:val="Hyperlink"/>
            <w:rtl/>
          </w:rPr>
          <w:fldChar w:fldCharType="separate"/>
        </w:r>
        <w:r w:rsidR="00D82181">
          <w:rPr>
            <w:webHidden/>
            <w:rtl/>
          </w:rPr>
          <w:t>157</w:t>
        </w:r>
        <w:r>
          <w:rPr>
            <w:rStyle w:val="Hyperlink"/>
            <w:rtl/>
          </w:rPr>
          <w:fldChar w:fldCharType="end"/>
        </w:r>
      </w:hyperlink>
    </w:p>
    <w:p w14:paraId="1CB86F04" w14:textId="120CB17F" w:rsidR="008009AA" w:rsidRDefault="008009AA">
      <w:pPr>
        <w:pStyle w:val="TOC7"/>
        <w:rPr>
          <w:rFonts w:cstheme="minorBidi"/>
          <w:sz w:val="22"/>
          <w:szCs w:val="22"/>
          <w:rtl/>
        </w:rPr>
      </w:pPr>
      <w:hyperlink w:anchor="_Toc163506248" w:history="1">
        <w:r w:rsidRPr="007246E7">
          <w:rPr>
            <w:rStyle w:val="Hyperlink"/>
            <w:rtl/>
          </w:rPr>
          <w:t>קהלות יעקב שבת סי' מ"א ד"ה ומ"מ נראה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Toc163506248 \h</w:instrText>
        </w:r>
        <w:r>
          <w:rPr>
            <w:webHidden/>
            <w:rtl/>
          </w:rPr>
          <w:instrText xml:space="preserve"> </w:instrText>
        </w:r>
        <w:r>
          <w:rPr>
            <w:rStyle w:val="Hyperlink"/>
            <w:rtl/>
          </w:rPr>
        </w:r>
        <w:r>
          <w:rPr>
            <w:rStyle w:val="Hyperlink"/>
            <w:rtl/>
          </w:rPr>
          <w:fldChar w:fldCharType="separate"/>
        </w:r>
        <w:r w:rsidR="00D82181">
          <w:rPr>
            <w:webHidden/>
            <w:rtl/>
          </w:rPr>
          <w:t>157</w:t>
        </w:r>
        <w:r>
          <w:rPr>
            <w:rStyle w:val="Hyperlink"/>
            <w:rtl/>
          </w:rPr>
          <w:fldChar w:fldCharType="end"/>
        </w:r>
      </w:hyperlink>
    </w:p>
    <w:p w14:paraId="6A87B20F" w14:textId="4741C77D" w:rsidR="008009AA" w:rsidRDefault="008009AA">
      <w:pPr>
        <w:pStyle w:val="TOC7"/>
        <w:rPr>
          <w:rFonts w:cstheme="minorBidi"/>
          <w:sz w:val="22"/>
          <w:szCs w:val="22"/>
          <w:rtl/>
        </w:rPr>
      </w:pPr>
      <w:hyperlink w:anchor="_Toc163506249" w:history="1">
        <w:r w:rsidRPr="007246E7">
          <w:rPr>
            <w:rStyle w:val="Hyperlink"/>
            <w:rtl/>
          </w:rPr>
          <w:t>קהלות יעקב שבת סי' מ"א ד"ה וכן יש</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Toc163506249 \h</w:instrText>
        </w:r>
        <w:r>
          <w:rPr>
            <w:webHidden/>
            <w:rtl/>
          </w:rPr>
          <w:instrText xml:space="preserve"> </w:instrText>
        </w:r>
        <w:r>
          <w:rPr>
            <w:rStyle w:val="Hyperlink"/>
            <w:rtl/>
          </w:rPr>
        </w:r>
        <w:r>
          <w:rPr>
            <w:rStyle w:val="Hyperlink"/>
            <w:rtl/>
          </w:rPr>
          <w:fldChar w:fldCharType="separate"/>
        </w:r>
        <w:r w:rsidR="00D82181">
          <w:rPr>
            <w:webHidden/>
            <w:rtl/>
          </w:rPr>
          <w:t>157</w:t>
        </w:r>
        <w:r>
          <w:rPr>
            <w:rStyle w:val="Hyperlink"/>
            <w:rtl/>
          </w:rPr>
          <w:fldChar w:fldCharType="end"/>
        </w:r>
      </w:hyperlink>
    </w:p>
    <w:p w14:paraId="72C6DFD5" w14:textId="217A2635" w:rsidR="008009AA" w:rsidRDefault="008009AA">
      <w:pPr>
        <w:pStyle w:val="TOC7"/>
        <w:rPr>
          <w:rFonts w:cstheme="minorBidi"/>
          <w:sz w:val="22"/>
          <w:szCs w:val="22"/>
          <w:rtl/>
        </w:rPr>
      </w:pPr>
      <w:hyperlink w:anchor="_Toc163506250" w:history="1">
        <w:r w:rsidRPr="007246E7">
          <w:rPr>
            <w:rStyle w:val="Hyperlink"/>
            <w:rtl/>
          </w:rPr>
          <w:t>דברי מרדכי שבת סי' י"ב סק"ב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Toc163506250 \h</w:instrText>
        </w:r>
        <w:r>
          <w:rPr>
            <w:webHidden/>
            <w:rtl/>
          </w:rPr>
          <w:instrText xml:space="preserve"> </w:instrText>
        </w:r>
        <w:r>
          <w:rPr>
            <w:rStyle w:val="Hyperlink"/>
            <w:rtl/>
          </w:rPr>
        </w:r>
        <w:r>
          <w:rPr>
            <w:rStyle w:val="Hyperlink"/>
            <w:rtl/>
          </w:rPr>
          <w:fldChar w:fldCharType="separate"/>
        </w:r>
        <w:r w:rsidR="00D82181">
          <w:rPr>
            <w:webHidden/>
            <w:rtl/>
          </w:rPr>
          <w:t>158</w:t>
        </w:r>
        <w:r>
          <w:rPr>
            <w:rStyle w:val="Hyperlink"/>
            <w:rtl/>
          </w:rPr>
          <w:fldChar w:fldCharType="end"/>
        </w:r>
      </w:hyperlink>
    </w:p>
    <w:p w14:paraId="5285EE48" w14:textId="572C311B" w:rsidR="008009AA" w:rsidRDefault="008009AA">
      <w:pPr>
        <w:pStyle w:val="TOC7"/>
        <w:rPr>
          <w:rFonts w:cstheme="minorBidi"/>
          <w:sz w:val="22"/>
          <w:szCs w:val="22"/>
          <w:rtl/>
        </w:rPr>
      </w:pPr>
      <w:hyperlink w:anchor="_Toc163506251" w:history="1">
        <w:r w:rsidRPr="007246E7">
          <w:rPr>
            <w:rStyle w:val="Hyperlink"/>
            <w:rtl/>
          </w:rPr>
          <w:t>דברי מרדכי שבת סי' י"ב סק"ד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Toc163506251 \h</w:instrText>
        </w:r>
        <w:r>
          <w:rPr>
            <w:webHidden/>
            <w:rtl/>
          </w:rPr>
          <w:instrText xml:space="preserve"> </w:instrText>
        </w:r>
        <w:r>
          <w:rPr>
            <w:rStyle w:val="Hyperlink"/>
            <w:rtl/>
          </w:rPr>
        </w:r>
        <w:r>
          <w:rPr>
            <w:rStyle w:val="Hyperlink"/>
            <w:rtl/>
          </w:rPr>
          <w:fldChar w:fldCharType="separate"/>
        </w:r>
        <w:r w:rsidR="00D82181">
          <w:rPr>
            <w:webHidden/>
            <w:rtl/>
          </w:rPr>
          <w:t>158</w:t>
        </w:r>
        <w:r>
          <w:rPr>
            <w:rStyle w:val="Hyperlink"/>
            <w:rtl/>
          </w:rPr>
          <w:fldChar w:fldCharType="end"/>
        </w:r>
      </w:hyperlink>
    </w:p>
    <w:p w14:paraId="77131C64" w14:textId="17340D4B" w:rsidR="008009AA" w:rsidRDefault="008009AA">
      <w:pPr>
        <w:pStyle w:val="TOC7"/>
        <w:rPr>
          <w:rFonts w:cstheme="minorBidi"/>
          <w:sz w:val="22"/>
          <w:szCs w:val="22"/>
          <w:rtl/>
        </w:rPr>
      </w:pPr>
      <w:hyperlink w:anchor="_Toc163506252" w:history="1">
        <w:r w:rsidRPr="007246E7">
          <w:rPr>
            <w:rStyle w:val="Hyperlink"/>
            <w:rtl/>
          </w:rPr>
          <w:t>דברי מרדכי שבת סי' י"ב סק"ה ד"ה האומנם</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Toc163506252 \h</w:instrText>
        </w:r>
        <w:r>
          <w:rPr>
            <w:webHidden/>
            <w:rtl/>
          </w:rPr>
          <w:instrText xml:space="preserve"> </w:instrText>
        </w:r>
        <w:r>
          <w:rPr>
            <w:rStyle w:val="Hyperlink"/>
            <w:rtl/>
          </w:rPr>
        </w:r>
        <w:r>
          <w:rPr>
            <w:rStyle w:val="Hyperlink"/>
            <w:rtl/>
          </w:rPr>
          <w:fldChar w:fldCharType="separate"/>
        </w:r>
        <w:r w:rsidR="00D82181">
          <w:rPr>
            <w:webHidden/>
            <w:rtl/>
          </w:rPr>
          <w:t>158</w:t>
        </w:r>
        <w:r>
          <w:rPr>
            <w:rStyle w:val="Hyperlink"/>
            <w:rtl/>
          </w:rPr>
          <w:fldChar w:fldCharType="end"/>
        </w:r>
      </w:hyperlink>
    </w:p>
    <w:p w14:paraId="3335192C" w14:textId="5A25820A" w:rsidR="008009AA" w:rsidRDefault="008009AA">
      <w:pPr>
        <w:pStyle w:val="TOC7"/>
        <w:rPr>
          <w:rFonts w:cstheme="minorBidi"/>
          <w:sz w:val="22"/>
          <w:szCs w:val="22"/>
          <w:rtl/>
        </w:rPr>
      </w:pPr>
      <w:hyperlink w:anchor="_Toc163506253" w:history="1">
        <w:r w:rsidRPr="007246E7">
          <w:rPr>
            <w:rStyle w:val="Hyperlink"/>
            <w:rtl/>
          </w:rPr>
          <w:t>רש"י שבת מ"ז ע"א ד"ה חייב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Toc163506253 \h</w:instrText>
        </w:r>
        <w:r>
          <w:rPr>
            <w:webHidden/>
            <w:rtl/>
          </w:rPr>
          <w:instrText xml:space="preserve"> </w:instrText>
        </w:r>
        <w:r>
          <w:rPr>
            <w:rStyle w:val="Hyperlink"/>
            <w:rtl/>
          </w:rPr>
        </w:r>
        <w:r>
          <w:rPr>
            <w:rStyle w:val="Hyperlink"/>
            <w:rtl/>
          </w:rPr>
          <w:fldChar w:fldCharType="separate"/>
        </w:r>
        <w:r w:rsidR="00D82181">
          <w:rPr>
            <w:webHidden/>
            <w:rtl/>
          </w:rPr>
          <w:t>161</w:t>
        </w:r>
        <w:r>
          <w:rPr>
            <w:rStyle w:val="Hyperlink"/>
            <w:rtl/>
          </w:rPr>
          <w:fldChar w:fldCharType="end"/>
        </w:r>
      </w:hyperlink>
    </w:p>
    <w:p w14:paraId="171375BE" w14:textId="09CF99EA" w:rsidR="008009AA" w:rsidRDefault="008009AA">
      <w:pPr>
        <w:pStyle w:val="TOC7"/>
        <w:rPr>
          <w:rFonts w:cstheme="minorBidi"/>
          <w:sz w:val="22"/>
          <w:szCs w:val="22"/>
          <w:rtl/>
        </w:rPr>
      </w:pPr>
      <w:hyperlink w:anchor="_Toc163506254" w:history="1">
        <w:r w:rsidRPr="007246E7">
          <w:rPr>
            <w:rStyle w:val="Hyperlink"/>
            <w:rtl/>
          </w:rPr>
          <w:t>רש"י שבת קכ"ב ע"ב ד"ה גזירה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Toc163506254 \h</w:instrText>
        </w:r>
        <w:r>
          <w:rPr>
            <w:webHidden/>
            <w:rtl/>
          </w:rPr>
          <w:instrText xml:space="preserve"> </w:instrText>
        </w:r>
        <w:r>
          <w:rPr>
            <w:rStyle w:val="Hyperlink"/>
            <w:rtl/>
          </w:rPr>
        </w:r>
        <w:r>
          <w:rPr>
            <w:rStyle w:val="Hyperlink"/>
            <w:rtl/>
          </w:rPr>
          <w:fldChar w:fldCharType="separate"/>
        </w:r>
        <w:r w:rsidR="00D82181">
          <w:rPr>
            <w:webHidden/>
            <w:rtl/>
          </w:rPr>
          <w:t>161</w:t>
        </w:r>
        <w:r>
          <w:rPr>
            <w:rStyle w:val="Hyperlink"/>
            <w:rtl/>
          </w:rPr>
          <w:fldChar w:fldCharType="end"/>
        </w:r>
      </w:hyperlink>
    </w:p>
    <w:p w14:paraId="6098BBCF" w14:textId="3071C823" w:rsidR="008009AA" w:rsidRDefault="008009AA">
      <w:pPr>
        <w:pStyle w:val="TOC7"/>
        <w:rPr>
          <w:rFonts w:cstheme="minorBidi"/>
          <w:sz w:val="22"/>
          <w:szCs w:val="22"/>
          <w:rtl/>
        </w:rPr>
      </w:pPr>
      <w:hyperlink w:anchor="_Toc163506255" w:history="1">
        <w:r w:rsidRPr="007246E7">
          <w:rPr>
            <w:rStyle w:val="Hyperlink"/>
            <w:rtl/>
          </w:rPr>
          <w:t>רש"י שבת מ"ח ע"א ד"ה חייב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Toc163506255 \h</w:instrText>
        </w:r>
        <w:r>
          <w:rPr>
            <w:webHidden/>
            <w:rtl/>
          </w:rPr>
          <w:instrText xml:space="preserve"> </w:instrText>
        </w:r>
        <w:r>
          <w:rPr>
            <w:rStyle w:val="Hyperlink"/>
            <w:rtl/>
          </w:rPr>
        </w:r>
        <w:r>
          <w:rPr>
            <w:rStyle w:val="Hyperlink"/>
            <w:rtl/>
          </w:rPr>
          <w:fldChar w:fldCharType="separate"/>
        </w:r>
        <w:r w:rsidR="00D82181">
          <w:rPr>
            <w:webHidden/>
            <w:rtl/>
          </w:rPr>
          <w:t>161</w:t>
        </w:r>
        <w:r>
          <w:rPr>
            <w:rStyle w:val="Hyperlink"/>
            <w:rtl/>
          </w:rPr>
          <w:fldChar w:fldCharType="end"/>
        </w:r>
      </w:hyperlink>
    </w:p>
    <w:p w14:paraId="5E69E078" w14:textId="5E43874C" w:rsidR="008009AA" w:rsidRDefault="008009AA">
      <w:pPr>
        <w:pStyle w:val="TOC7"/>
        <w:rPr>
          <w:rFonts w:cstheme="minorBidi"/>
          <w:sz w:val="22"/>
          <w:szCs w:val="22"/>
          <w:rtl/>
        </w:rPr>
      </w:pPr>
      <w:hyperlink w:anchor="_Toc163506256" w:history="1">
        <w:r w:rsidRPr="007246E7">
          <w:rPr>
            <w:rStyle w:val="Hyperlink"/>
            <w:rtl/>
          </w:rPr>
          <w:t>רש"י שבת קכ"ד ע"ב ד"ה לא יספות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Toc163506256 \h</w:instrText>
        </w:r>
        <w:r>
          <w:rPr>
            <w:webHidden/>
            <w:rtl/>
          </w:rPr>
          <w:instrText xml:space="preserve"> </w:instrText>
        </w:r>
        <w:r>
          <w:rPr>
            <w:rStyle w:val="Hyperlink"/>
            <w:rtl/>
          </w:rPr>
        </w:r>
        <w:r>
          <w:rPr>
            <w:rStyle w:val="Hyperlink"/>
            <w:rtl/>
          </w:rPr>
          <w:fldChar w:fldCharType="separate"/>
        </w:r>
        <w:r w:rsidR="00D82181">
          <w:rPr>
            <w:webHidden/>
            <w:rtl/>
          </w:rPr>
          <w:t>161</w:t>
        </w:r>
        <w:r>
          <w:rPr>
            <w:rStyle w:val="Hyperlink"/>
            <w:rtl/>
          </w:rPr>
          <w:fldChar w:fldCharType="end"/>
        </w:r>
      </w:hyperlink>
    </w:p>
    <w:p w14:paraId="1ED5477E" w14:textId="23FD6631" w:rsidR="008009AA" w:rsidRDefault="008009AA">
      <w:pPr>
        <w:pStyle w:val="TOC7"/>
        <w:rPr>
          <w:rFonts w:cstheme="minorBidi"/>
          <w:sz w:val="22"/>
          <w:szCs w:val="22"/>
          <w:rtl/>
        </w:rPr>
      </w:pPr>
      <w:hyperlink w:anchor="_Toc163506257" w:history="1">
        <w:r w:rsidRPr="007246E7">
          <w:rPr>
            <w:rStyle w:val="Hyperlink"/>
            <w:rtl/>
          </w:rPr>
          <w:t>רש"י ביצה י"א ע"ב ד"ה דאין</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Toc163506257 \h</w:instrText>
        </w:r>
        <w:r>
          <w:rPr>
            <w:webHidden/>
            <w:rtl/>
          </w:rPr>
          <w:instrText xml:space="preserve"> </w:instrText>
        </w:r>
        <w:r>
          <w:rPr>
            <w:rStyle w:val="Hyperlink"/>
            <w:rtl/>
          </w:rPr>
        </w:r>
        <w:r>
          <w:rPr>
            <w:rStyle w:val="Hyperlink"/>
            <w:rtl/>
          </w:rPr>
          <w:fldChar w:fldCharType="separate"/>
        </w:r>
        <w:r w:rsidR="00D82181">
          <w:rPr>
            <w:webHidden/>
            <w:rtl/>
          </w:rPr>
          <w:t>161</w:t>
        </w:r>
        <w:r>
          <w:rPr>
            <w:rStyle w:val="Hyperlink"/>
            <w:rtl/>
          </w:rPr>
          <w:fldChar w:fldCharType="end"/>
        </w:r>
      </w:hyperlink>
    </w:p>
    <w:p w14:paraId="772475D3" w14:textId="5D1075C5" w:rsidR="008009AA" w:rsidRDefault="008009AA">
      <w:pPr>
        <w:pStyle w:val="TOC7"/>
        <w:rPr>
          <w:rFonts w:cstheme="minorBidi"/>
          <w:sz w:val="22"/>
          <w:szCs w:val="22"/>
          <w:rtl/>
        </w:rPr>
      </w:pPr>
      <w:hyperlink w:anchor="_Toc163506258" w:history="1">
        <w:r w:rsidRPr="007246E7">
          <w:rPr>
            <w:rStyle w:val="Hyperlink"/>
            <w:rtl/>
          </w:rPr>
          <w:t>רש"י ביצה כ"ב ע"א ד"ה יש תורת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Toc163506258 \h</w:instrText>
        </w:r>
        <w:r>
          <w:rPr>
            <w:webHidden/>
            <w:rtl/>
          </w:rPr>
          <w:instrText xml:space="preserve"> </w:instrText>
        </w:r>
        <w:r>
          <w:rPr>
            <w:rStyle w:val="Hyperlink"/>
            <w:rtl/>
          </w:rPr>
        </w:r>
        <w:r>
          <w:rPr>
            <w:rStyle w:val="Hyperlink"/>
            <w:rtl/>
          </w:rPr>
          <w:fldChar w:fldCharType="separate"/>
        </w:r>
        <w:r w:rsidR="00D82181">
          <w:rPr>
            <w:webHidden/>
            <w:rtl/>
          </w:rPr>
          <w:t>161</w:t>
        </w:r>
        <w:r>
          <w:rPr>
            <w:rStyle w:val="Hyperlink"/>
            <w:rtl/>
          </w:rPr>
          <w:fldChar w:fldCharType="end"/>
        </w:r>
      </w:hyperlink>
    </w:p>
    <w:p w14:paraId="4CC923AD" w14:textId="4B82526E" w:rsidR="008009AA" w:rsidRDefault="008009AA">
      <w:pPr>
        <w:pStyle w:val="TOC7"/>
        <w:rPr>
          <w:rFonts w:cstheme="minorBidi"/>
          <w:sz w:val="22"/>
          <w:szCs w:val="22"/>
          <w:rtl/>
        </w:rPr>
      </w:pPr>
      <w:hyperlink w:anchor="_Toc163506259" w:history="1">
        <w:r w:rsidRPr="007246E7">
          <w:rPr>
            <w:rStyle w:val="Hyperlink"/>
            <w:rtl/>
          </w:rPr>
          <w:t>באור הגר"א או"ח סי' שי"ד סק"ד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Toc163506259 \h</w:instrText>
        </w:r>
        <w:r>
          <w:rPr>
            <w:webHidden/>
            <w:rtl/>
          </w:rPr>
          <w:instrText xml:space="preserve"> </w:instrText>
        </w:r>
        <w:r>
          <w:rPr>
            <w:rStyle w:val="Hyperlink"/>
            <w:rtl/>
          </w:rPr>
        </w:r>
        <w:r>
          <w:rPr>
            <w:rStyle w:val="Hyperlink"/>
            <w:rtl/>
          </w:rPr>
          <w:fldChar w:fldCharType="separate"/>
        </w:r>
        <w:r w:rsidR="00D82181">
          <w:rPr>
            <w:webHidden/>
            <w:rtl/>
          </w:rPr>
          <w:t>161</w:t>
        </w:r>
        <w:r>
          <w:rPr>
            <w:rStyle w:val="Hyperlink"/>
            <w:rtl/>
          </w:rPr>
          <w:fldChar w:fldCharType="end"/>
        </w:r>
      </w:hyperlink>
    </w:p>
    <w:p w14:paraId="5B6A7FC9" w14:textId="7CFD50C3" w:rsidR="008009AA" w:rsidRDefault="008009AA">
      <w:pPr>
        <w:pStyle w:val="TOC7"/>
        <w:rPr>
          <w:rFonts w:cstheme="minorBidi"/>
          <w:sz w:val="22"/>
          <w:szCs w:val="22"/>
          <w:rtl/>
        </w:rPr>
      </w:pPr>
      <w:hyperlink w:anchor="_Toc163506260" w:history="1">
        <w:r w:rsidRPr="007246E7">
          <w:rPr>
            <w:rStyle w:val="Hyperlink"/>
            <w:rtl/>
          </w:rPr>
          <w:t>רש"י שבת קל"ח ע"ב ד"ה שמא יתקע</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Toc163506260 \h</w:instrText>
        </w:r>
        <w:r>
          <w:rPr>
            <w:webHidden/>
            <w:rtl/>
          </w:rPr>
          <w:instrText xml:space="preserve"> </w:instrText>
        </w:r>
        <w:r>
          <w:rPr>
            <w:rStyle w:val="Hyperlink"/>
            <w:rtl/>
          </w:rPr>
        </w:r>
        <w:r>
          <w:rPr>
            <w:rStyle w:val="Hyperlink"/>
            <w:rtl/>
          </w:rPr>
          <w:fldChar w:fldCharType="separate"/>
        </w:r>
        <w:r w:rsidR="00D82181">
          <w:rPr>
            <w:webHidden/>
            <w:rtl/>
          </w:rPr>
          <w:t>161</w:t>
        </w:r>
        <w:r>
          <w:rPr>
            <w:rStyle w:val="Hyperlink"/>
            <w:rtl/>
          </w:rPr>
          <w:fldChar w:fldCharType="end"/>
        </w:r>
      </w:hyperlink>
    </w:p>
    <w:p w14:paraId="1FB516FE" w14:textId="14C93D01" w:rsidR="008009AA" w:rsidRDefault="008009AA">
      <w:pPr>
        <w:pStyle w:val="TOC7"/>
        <w:rPr>
          <w:rFonts w:cstheme="minorBidi"/>
          <w:sz w:val="22"/>
          <w:szCs w:val="22"/>
          <w:rtl/>
        </w:rPr>
      </w:pPr>
      <w:hyperlink w:anchor="_Toc163506261" w:history="1">
        <w:r w:rsidRPr="007246E7">
          <w:rPr>
            <w:rStyle w:val="Hyperlink"/>
            <w:rtl/>
          </w:rPr>
          <w:t>רש"י עירובין ק"ב ע"ב ד"ה והעליון</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Toc163506261 \h</w:instrText>
        </w:r>
        <w:r>
          <w:rPr>
            <w:webHidden/>
            <w:rtl/>
          </w:rPr>
          <w:instrText xml:space="preserve"> </w:instrText>
        </w:r>
        <w:r>
          <w:rPr>
            <w:rStyle w:val="Hyperlink"/>
            <w:rtl/>
          </w:rPr>
        </w:r>
        <w:r>
          <w:rPr>
            <w:rStyle w:val="Hyperlink"/>
            <w:rtl/>
          </w:rPr>
          <w:fldChar w:fldCharType="separate"/>
        </w:r>
        <w:r w:rsidR="00D82181">
          <w:rPr>
            <w:webHidden/>
            <w:rtl/>
          </w:rPr>
          <w:t>161</w:t>
        </w:r>
        <w:r>
          <w:rPr>
            <w:rStyle w:val="Hyperlink"/>
            <w:rtl/>
          </w:rPr>
          <w:fldChar w:fldCharType="end"/>
        </w:r>
      </w:hyperlink>
    </w:p>
    <w:p w14:paraId="013FC101" w14:textId="404E0A4D" w:rsidR="008009AA" w:rsidRDefault="008009AA">
      <w:pPr>
        <w:pStyle w:val="TOC7"/>
        <w:rPr>
          <w:rFonts w:cstheme="minorBidi"/>
          <w:sz w:val="22"/>
          <w:szCs w:val="22"/>
          <w:rtl/>
        </w:rPr>
      </w:pPr>
      <w:hyperlink w:anchor="_Toc163506262" w:history="1">
        <w:r w:rsidRPr="007246E7">
          <w:rPr>
            <w:rStyle w:val="Hyperlink"/>
            <w:rtl/>
          </w:rPr>
          <w:t>טל אורות הספרדי מלאכת בונה ד"ה אך מדברי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Toc163506262 \h</w:instrText>
        </w:r>
        <w:r>
          <w:rPr>
            <w:webHidden/>
            <w:rtl/>
          </w:rPr>
          <w:instrText xml:space="preserve"> </w:instrText>
        </w:r>
        <w:r>
          <w:rPr>
            <w:rStyle w:val="Hyperlink"/>
            <w:rtl/>
          </w:rPr>
        </w:r>
        <w:r>
          <w:rPr>
            <w:rStyle w:val="Hyperlink"/>
            <w:rtl/>
          </w:rPr>
          <w:fldChar w:fldCharType="separate"/>
        </w:r>
        <w:r w:rsidR="00D82181">
          <w:rPr>
            <w:webHidden/>
            <w:rtl/>
          </w:rPr>
          <w:t>161</w:t>
        </w:r>
        <w:r>
          <w:rPr>
            <w:rStyle w:val="Hyperlink"/>
            <w:rtl/>
          </w:rPr>
          <w:fldChar w:fldCharType="end"/>
        </w:r>
      </w:hyperlink>
    </w:p>
    <w:p w14:paraId="05DBF5B8" w14:textId="2161F9BF" w:rsidR="008009AA" w:rsidRDefault="008009AA">
      <w:pPr>
        <w:pStyle w:val="TOC7"/>
        <w:rPr>
          <w:rFonts w:cstheme="minorBidi"/>
          <w:sz w:val="22"/>
          <w:szCs w:val="22"/>
          <w:rtl/>
        </w:rPr>
      </w:pPr>
      <w:hyperlink w:anchor="_Toc163506263" w:history="1">
        <w:r w:rsidRPr="007246E7">
          <w:rPr>
            <w:rStyle w:val="Hyperlink"/>
            <w:rtl/>
          </w:rPr>
          <w:t>הגהות מיימוניות שבת פכ"ג ה"ב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Toc163506263 \h</w:instrText>
        </w:r>
        <w:r>
          <w:rPr>
            <w:webHidden/>
            <w:rtl/>
          </w:rPr>
          <w:instrText xml:space="preserve"> </w:instrText>
        </w:r>
        <w:r>
          <w:rPr>
            <w:rStyle w:val="Hyperlink"/>
            <w:rtl/>
          </w:rPr>
        </w:r>
        <w:r>
          <w:rPr>
            <w:rStyle w:val="Hyperlink"/>
            <w:rtl/>
          </w:rPr>
          <w:fldChar w:fldCharType="separate"/>
        </w:r>
        <w:r w:rsidR="00D82181">
          <w:rPr>
            <w:webHidden/>
            <w:rtl/>
          </w:rPr>
          <w:t>161</w:t>
        </w:r>
        <w:r>
          <w:rPr>
            <w:rStyle w:val="Hyperlink"/>
            <w:rtl/>
          </w:rPr>
          <w:fldChar w:fldCharType="end"/>
        </w:r>
      </w:hyperlink>
    </w:p>
    <w:p w14:paraId="626E49B7" w14:textId="7045F69D" w:rsidR="008009AA" w:rsidRDefault="008009AA">
      <w:pPr>
        <w:pStyle w:val="TOC7"/>
        <w:rPr>
          <w:rFonts w:cstheme="minorBidi"/>
          <w:sz w:val="22"/>
          <w:szCs w:val="22"/>
          <w:rtl/>
        </w:rPr>
      </w:pPr>
      <w:hyperlink w:anchor="_Toc163506264" w:history="1">
        <w:r w:rsidRPr="007246E7">
          <w:rPr>
            <w:rStyle w:val="Hyperlink"/>
            <w:rtl/>
          </w:rPr>
          <w:t>הגהות מרדכי שבת רמז תס"א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Toc163506264 \h</w:instrText>
        </w:r>
        <w:r>
          <w:rPr>
            <w:webHidden/>
            <w:rtl/>
          </w:rPr>
          <w:instrText xml:space="preserve"> </w:instrText>
        </w:r>
        <w:r>
          <w:rPr>
            <w:rStyle w:val="Hyperlink"/>
            <w:rtl/>
          </w:rPr>
        </w:r>
        <w:r>
          <w:rPr>
            <w:rStyle w:val="Hyperlink"/>
            <w:rtl/>
          </w:rPr>
          <w:fldChar w:fldCharType="separate"/>
        </w:r>
        <w:r w:rsidR="00D82181">
          <w:rPr>
            <w:webHidden/>
            <w:rtl/>
          </w:rPr>
          <w:t>162</w:t>
        </w:r>
        <w:r>
          <w:rPr>
            <w:rStyle w:val="Hyperlink"/>
            <w:rtl/>
          </w:rPr>
          <w:fldChar w:fldCharType="end"/>
        </w:r>
      </w:hyperlink>
    </w:p>
    <w:p w14:paraId="3C0EEDD2" w14:textId="39CED40B" w:rsidR="008009AA" w:rsidRDefault="008009AA">
      <w:pPr>
        <w:pStyle w:val="TOC7"/>
        <w:rPr>
          <w:rFonts w:cstheme="minorBidi"/>
          <w:sz w:val="22"/>
          <w:szCs w:val="22"/>
          <w:rtl/>
        </w:rPr>
      </w:pPr>
      <w:hyperlink w:anchor="_Toc163506265" w:history="1">
        <w:r w:rsidRPr="007246E7">
          <w:rPr>
            <w:rStyle w:val="Hyperlink"/>
            <w:rtl/>
          </w:rPr>
          <w:t>הגהות מיימוניות שבת פ"י הי"ג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Toc163506265 \h</w:instrText>
        </w:r>
        <w:r>
          <w:rPr>
            <w:webHidden/>
            <w:rtl/>
          </w:rPr>
          <w:instrText xml:space="preserve"> </w:instrText>
        </w:r>
        <w:r>
          <w:rPr>
            <w:rStyle w:val="Hyperlink"/>
            <w:rtl/>
          </w:rPr>
        </w:r>
        <w:r>
          <w:rPr>
            <w:rStyle w:val="Hyperlink"/>
            <w:rtl/>
          </w:rPr>
          <w:fldChar w:fldCharType="separate"/>
        </w:r>
        <w:r w:rsidR="00D82181">
          <w:rPr>
            <w:webHidden/>
            <w:rtl/>
          </w:rPr>
          <w:t>162</w:t>
        </w:r>
        <w:r>
          <w:rPr>
            <w:rStyle w:val="Hyperlink"/>
            <w:rtl/>
          </w:rPr>
          <w:fldChar w:fldCharType="end"/>
        </w:r>
      </w:hyperlink>
    </w:p>
    <w:p w14:paraId="23C660F1" w14:textId="595B8D18" w:rsidR="008009AA" w:rsidRDefault="008009AA">
      <w:pPr>
        <w:pStyle w:val="TOC7"/>
        <w:rPr>
          <w:rFonts w:cstheme="minorBidi"/>
          <w:sz w:val="22"/>
          <w:szCs w:val="22"/>
          <w:rtl/>
        </w:rPr>
      </w:pPr>
      <w:hyperlink w:anchor="_Toc163506266" w:history="1">
        <w:r w:rsidRPr="007246E7">
          <w:rPr>
            <w:rStyle w:val="Hyperlink"/>
            <w:rtl/>
          </w:rPr>
          <w:t>באור הגר"א או"ח סי' שי"ד סק"ד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Toc163506266 \h</w:instrText>
        </w:r>
        <w:r>
          <w:rPr>
            <w:webHidden/>
            <w:rtl/>
          </w:rPr>
          <w:instrText xml:space="preserve"> </w:instrText>
        </w:r>
        <w:r>
          <w:rPr>
            <w:rStyle w:val="Hyperlink"/>
            <w:rtl/>
          </w:rPr>
        </w:r>
        <w:r>
          <w:rPr>
            <w:rStyle w:val="Hyperlink"/>
            <w:rtl/>
          </w:rPr>
          <w:fldChar w:fldCharType="separate"/>
        </w:r>
        <w:r w:rsidR="00D82181">
          <w:rPr>
            <w:webHidden/>
            <w:rtl/>
          </w:rPr>
          <w:t>162</w:t>
        </w:r>
        <w:r>
          <w:rPr>
            <w:rStyle w:val="Hyperlink"/>
            <w:rtl/>
          </w:rPr>
          <w:fldChar w:fldCharType="end"/>
        </w:r>
      </w:hyperlink>
    </w:p>
    <w:p w14:paraId="0C81B440" w14:textId="539243AA" w:rsidR="008009AA" w:rsidRDefault="008009AA">
      <w:pPr>
        <w:pStyle w:val="TOC7"/>
        <w:rPr>
          <w:rFonts w:cstheme="minorBidi"/>
          <w:sz w:val="22"/>
          <w:szCs w:val="22"/>
          <w:rtl/>
        </w:rPr>
      </w:pPr>
      <w:hyperlink w:anchor="_Toc163506267" w:history="1">
        <w:r w:rsidRPr="007246E7">
          <w:rPr>
            <w:rStyle w:val="Hyperlink"/>
            <w:rtl/>
          </w:rPr>
          <w:t>מגן אברהם סי' תק"א ס"ק יג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Toc163506267 \h</w:instrText>
        </w:r>
        <w:r>
          <w:rPr>
            <w:webHidden/>
            <w:rtl/>
          </w:rPr>
          <w:instrText xml:space="preserve"> </w:instrText>
        </w:r>
        <w:r>
          <w:rPr>
            <w:rStyle w:val="Hyperlink"/>
            <w:rtl/>
          </w:rPr>
        </w:r>
        <w:r>
          <w:rPr>
            <w:rStyle w:val="Hyperlink"/>
            <w:rtl/>
          </w:rPr>
          <w:fldChar w:fldCharType="separate"/>
        </w:r>
        <w:r w:rsidR="00D82181">
          <w:rPr>
            <w:webHidden/>
            <w:rtl/>
          </w:rPr>
          <w:t>162</w:t>
        </w:r>
        <w:r>
          <w:rPr>
            <w:rStyle w:val="Hyperlink"/>
            <w:rtl/>
          </w:rPr>
          <w:fldChar w:fldCharType="end"/>
        </w:r>
      </w:hyperlink>
    </w:p>
    <w:p w14:paraId="66ECC5A7" w14:textId="3FB5157C" w:rsidR="008009AA" w:rsidRDefault="008009AA">
      <w:pPr>
        <w:pStyle w:val="TOC7"/>
        <w:rPr>
          <w:rFonts w:cstheme="minorBidi"/>
          <w:sz w:val="22"/>
          <w:szCs w:val="22"/>
          <w:rtl/>
        </w:rPr>
      </w:pPr>
      <w:hyperlink w:anchor="_Toc163506268" w:history="1">
        <w:r w:rsidRPr="007246E7">
          <w:rPr>
            <w:rStyle w:val="Hyperlink"/>
            <w:rtl/>
          </w:rPr>
          <w:t>טל אורות הקדמון מלאכת בונה ד"ה ולעניות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Toc163506268 \h</w:instrText>
        </w:r>
        <w:r>
          <w:rPr>
            <w:webHidden/>
            <w:rtl/>
          </w:rPr>
          <w:instrText xml:space="preserve"> </w:instrText>
        </w:r>
        <w:r>
          <w:rPr>
            <w:rStyle w:val="Hyperlink"/>
            <w:rtl/>
          </w:rPr>
        </w:r>
        <w:r>
          <w:rPr>
            <w:rStyle w:val="Hyperlink"/>
            <w:rtl/>
          </w:rPr>
          <w:fldChar w:fldCharType="separate"/>
        </w:r>
        <w:r w:rsidR="00D82181">
          <w:rPr>
            <w:webHidden/>
            <w:rtl/>
          </w:rPr>
          <w:t>162</w:t>
        </w:r>
        <w:r>
          <w:rPr>
            <w:rStyle w:val="Hyperlink"/>
            <w:rtl/>
          </w:rPr>
          <w:fldChar w:fldCharType="end"/>
        </w:r>
      </w:hyperlink>
    </w:p>
    <w:p w14:paraId="24677FAC" w14:textId="01D59B0B" w:rsidR="008009AA" w:rsidRDefault="008009AA">
      <w:pPr>
        <w:pStyle w:val="TOC7"/>
        <w:rPr>
          <w:rFonts w:cstheme="minorBidi"/>
          <w:sz w:val="22"/>
          <w:szCs w:val="22"/>
          <w:rtl/>
        </w:rPr>
      </w:pPr>
      <w:hyperlink w:anchor="_Toc163506269" w:history="1">
        <w:r w:rsidRPr="007246E7">
          <w:rPr>
            <w:rStyle w:val="Hyperlink"/>
            <w:rtl/>
          </w:rPr>
          <w:t>אור שמח שבת פכ"ג ה"ב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Toc163506269 \h</w:instrText>
        </w:r>
        <w:r>
          <w:rPr>
            <w:webHidden/>
            <w:rtl/>
          </w:rPr>
          <w:instrText xml:space="preserve"> </w:instrText>
        </w:r>
        <w:r>
          <w:rPr>
            <w:rStyle w:val="Hyperlink"/>
            <w:rtl/>
          </w:rPr>
        </w:r>
        <w:r>
          <w:rPr>
            <w:rStyle w:val="Hyperlink"/>
            <w:rtl/>
          </w:rPr>
          <w:fldChar w:fldCharType="separate"/>
        </w:r>
        <w:r w:rsidR="00D82181">
          <w:rPr>
            <w:webHidden/>
            <w:rtl/>
          </w:rPr>
          <w:t>162</w:t>
        </w:r>
        <w:r>
          <w:rPr>
            <w:rStyle w:val="Hyperlink"/>
            <w:rtl/>
          </w:rPr>
          <w:fldChar w:fldCharType="end"/>
        </w:r>
      </w:hyperlink>
    </w:p>
    <w:p w14:paraId="3199A175" w14:textId="5B4C0923" w:rsidR="008009AA" w:rsidRDefault="008009AA">
      <w:pPr>
        <w:pStyle w:val="TOC7"/>
        <w:rPr>
          <w:rFonts w:cstheme="minorBidi"/>
          <w:sz w:val="22"/>
          <w:szCs w:val="22"/>
          <w:rtl/>
        </w:rPr>
      </w:pPr>
      <w:hyperlink w:anchor="_Toc163506270" w:history="1">
        <w:r w:rsidRPr="007246E7">
          <w:rPr>
            <w:rStyle w:val="Hyperlink"/>
            <w:rtl/>
          </w:rPr>
          <w:t>רבינו חננאל שבת ק"ג ע"ב ד"ה וכן מכניס</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Toc163506270 \h</w:instrText>
        </w:r>
        <w:r>
          <w:rPr>
            <w:webHidden/>
            <w:rtl/>
          </w:rPr>
          <w:instrText xml:space="preserve"> </w:instrText>
        </w:r>
        <w:r>
          <w:rPr>
            <w:rStyle w:val="Hyperlink"/>
            <w:rtl/>
          </w:rPr>
        </w:r>
        <w:r>
          <w:rPr>
            <w:rStyle w:val="Hyperlink"/>
            <w:rtl/>
          </w:rPr>
          <w:fldChar w:fldCharType="separate"/>
        </w:r>
        <w:r w:rsidR="00D82181">
          <w:rPr>
            <w:webHidden/>
            <w:rtl/>
          </w:rPr>
          <w:t>162</w:t>
        </w:r>
        <w:r>
          <w:rPr>
            <w:rStyle w:val="Hyperlink"/>
            <w:rtl/>
          </w:rPr>
          <w:fldChar w:fldCharType="end"/>
        </w:r>
      </w:hyperlink>
    </w:p>
    <w:p w14:paraId="6DD3D347" w14:textId="29EA5342" w:rsidR="008009AA" w:rsidRDefault="008009AA">
      <w:pPr>
        <w:pStyle w:val="TOC7"/>
        <w:rPr>
          <w:rFonts w:cstheme="minorBidi"/>
          <w:sz w:val="22"/>
          <w:szCs w:val="22"/>
          <w:rtl/>
        </w:rPr>
      </w:pPr>
      <w:hyperlink w:anchor="_Toc163506271" w:history="1">
        <w:r w:rsidRPr="007246E7">
          <w:rPr>
            <w:rStyle w:val="Hyperlink"/>
            <w:rtl/>
          </w:rPr>
          <w:t>חדושי הרשב"א שבת ק"ב ע"ב ד"ה ורבינו האיי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Toc163506271 \h</w:instrText>
        </w:r>
        <w:r>
          <w:rPr>
            <w:webHidden/>
            <w:rtl/>
          </w:rPr>
          <w:instrText xml:space="preserve"> </w:instrText>
        </w:r>
        <w:r>
          <w:rPr>
            <w:rStyle w:val="Hyperlink"/>
            <w:rtl/>
          </w:rPr>
        </w:r>
        <w:r>
          <w:rPr>
            <w:rStyle w:val="Hyperlink"/>
            <w:rtl/>
          </w:rPr>
          <w:fldChar w:fldCharType="separate"/>
        </w:r>
        <w:r w:rsidR="00D82181">
          <w:rPr>
            <w:webHidden/>
            <w:rtl/>
          </w:rPr>
          <w:t>162</w:t>
        </w:r>
        <w:r>
          <w:rPr>
            <w:rStyle w:val="Hyperlink"/>
            <w:rtl/>
          </w:rPr>
          <w:fldChar w:fldCharType="end"/>
        </w:r>
      </w:hyperlink>
    </w:p>
    <w:p w14:paraId="725D3976" w14:textId="250756E5" w:rsidR="008009AA" w:rsidRDefault="008009AA">
      <w:pPr>
        <w:pStyle w:val="TOC7"/>
        <w:rPr>
          <w:rFonts w:cstheme="minorBidi"/>
          <w:sz w:val="22"/>
          <w:szCs w:val="22"/>
          <w:rtl/>
        </w:rPr>
      </w:pPr>
      <w:hyperlink w:anchor="_Toc163506272" w:history="1">
        <w:r w:rsidRPr="007246E7">
          <w:rPr>
            <w:rStyle w:val="Hyperlink"/>
            <w:rtl/>
          </w:rPr>
          <w:t>חדושי הר"ן - מיוחס לו שבת ק"ב ע"ב ד"ה האי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Toc163506272 \h</w:instrText>
        </w:r>
        <w:r>
          <w:rPr>
            <w:webHidden/>
            <w:rtl/>
          </w:rPr>
          <w:instrText xml:space="preserve"> </w:instrText>
        </w:r>
        <w:r>
          <w:rPr>
            <w:rStyle w:val="Hyperlink"/>
            <w:rtl/>
          </w:rPr>
        </w:r>
        <w:r>
          <w:rPr>
            <w:rStyle w:val="Hyperlink"/>
            <w:rtl/>
          </w:rPr>
          <w:fldChar w:fldCharType="separate"/>
        </w:r>
        <w:r w:rsidR="00D82181">
          <w:rPr>
            <w:webHidden/>
            <w:rtl/>
          </w:rPr>
          <w:t>163</w:t>
        </w:r>
        <w:r>
          <w:rPr>
            <w:rStyle w:val="Hyperlink"/>
            <w:rtl/>
          </w:rPr>
          <w:fldChar w:fldCharType="end"/>
        </w:r>
      </w:hyperlink>
    </w:p>
    <w:p w14:paraId="7D7248A4" w14:textId="22BC2A9D" w:rsidR="008009AA" w:rsidRDefault="008009AA">
      <w:pPr>
        <w:pStyle w:val="TOC7"/>
        <w:rPr>
          <w:rFonts w:cstheme="minorBidi"/>
          <w:sz w:val="22"/>
          <w:szCs w:val="22"/>
          <w:rtl/>
        </w:rPr>
      </w:pPr>
      <w:hyperlink w:anchor="_Toc163506273" w:history="1">
        <w:r w:rsidRPr="007246E7">
          <w:rPr>
            <w:rStyle w:val="Hyperlink"/>
            <w:rtl/>
          </w:rPr>
          <w:t>חדושי הר"ן שבת מ"ז ע"א ד"ה הא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Toc163506273 \h</w:instrText>
        </w:r>
        <w:r>
          <w:rPr>
            <w:webHidden/>
            <w:rtl/>
          </w:rPr>
          <w:instrText xml:space="preserve"> </w:instrText>
        </w:r>
        <w:r>
          <w:rPr>
            <w:rStyle w:val="Hyperlink"/>
            <w:rtl/>
          </w:rPr>
        </w:r>
        <w:r>
          <w:rPr>
            <w:rStyle w:val="Hyperlink"/>
            <w:rtl/>
          </w:rPr>
          <w:fldChar w:fldCharType="separate"/>
        </w:r>
        <w:r w:rsidR="00D82181">
          <w:rPr>
            <w:webHidden/>
            <w:rtl/>
          </w:rPr>
          <w:t>163</w:t>
        </w:r>
        <w:r>
          <w:rPr>
            <w:rStyle w:val="Hyperlink"/>
            <w:rtl/>
          </w:rPr>
          <w:fldChar w:fldCharType="end"/>
        </w:r>
      </w:hyperlink>
    </w:p>
    <w:p w14:paraId="2459C79F" w14:textId="63840722" w:rsidR="008009AA" w:rsidRDefault="008009AA">
      <w:pPr>
        <w:pStyle w:val="TOC7"/>
        <w:rPr>
          <w:rFonts w:cstheme="minorBidi"/>
          <w:sz w:val="22"/>
          <w:szCs w:val="22"/>
          <w:rtl/>
        </w:rPr>
      </w:pPr>
      <w:hyperlink w:anchor="_Toc163506274" w:history="1">
        <w:r w:rsidRPr="007246E7">
          <w:rPr>
            <w:rStyle w:val="Hyperlink"/>
            <w:rtl/>
          </w:rPr>
          <w:t>חדושי הר"ן שבת מ"ז ע"א ד"ה ולענין הלכה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Toc163506274 \h</w:instrText>
        </w:r>
        <w:r>
          <w:rPr>
            <w:webHidden/>
            <w:rtl/>
          </w:rPr>
          <w:instrText xml:space="preserve"> </w:instrText>
        </w:r>
        <w:r>
          <w:rPr>
            <w:rStyle w:val="Hyperlink"/>
            <w:rtl/>
          </w:rPr>
        </w:r>
        <w:r>
          <w:rPr>
            <w:rStyle w:val="Hyperlink"/>
            <w:rtl/>
          </w:rPr>
          <w:fldChar w:fldCharType="separate"/>
        </w:r>
        <w:r w:rsidR="00D82181">
          <w:rPr>
            <w:webHidden/>
            <w:rtl/>
          </w:rPr>
          <w:t>163</w:t>
        </w:r>
        <w:r>
          <w:rPr>
            <w:rStyle w:val="Hyperlink"/>
            <w:rtl/>
          </w:rPr>
          <w:fldChar w:fldCharType="end"/>
        </w:r>
      </w:hyperlink>
    </w:p>
    <w:p w14:paraId="234BE4F9" w14:textId="7175FA28" w:rsidR="008009AA" w:rsidRDefault="008009AA">
      <w:pPr>
        <w:pStyle w:val="TOC7"/>
        <w:rPr>
          <w:rFonts w:cstheme="minorBidi"/>
          <w:sz w:val="22"/>
          <w:szCs w:val="22"/>
          <w:rtl/>
        </w:rPr>
      </w:pPr>
      <w:hyperlink w:anchor="_Toc163506275" w:history="1">
        <w:r w:rsidRPr="007246E7">
          <w:rPr>
            <w:rStyle w:val="Hyperlink"/>
            <w:rtl/>
          </w:rPr>
          <w:t>תוספות שבת ק"ב ע"ב ד"ה האי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Toc163506275 \h</w:instrText>
        </w:r>
        <w:r>
          <w:rPr>
            <w:webHidden/>
            <w:rtl/>
          </w:rPr>
          <w:instrText xml:space="preserve"> </w:instrText>
        </w:r>
        <w:r>
          <w:rPr>
            <w:rStyle w:val="Hyperlink"/>
            <w:rtl/>
          </w:rPr>
        </w:r>
        <w:r>
          <w:rPr>
            <w:rStyle w:val="Hyperlink"/>
            <w:rtl/>
          </w:rPr>
          <w:fldChar w:fldCharType="separate"/>
        </w:r>
        <w:r w:rsidR="00D82181">
          <w:rPr>
            <w:webHidden/>
            <w:rtl/>
          </w:rPr>
          <w:t>163</w:t>
        </w:r>
        <w:r>
          <w:rPr>
            <w:rStyle w:val="Hyperlink"/>
            <w:rtl/>
          </w:rPr>
          <w:fldChar w:fldCharType="end"/>
        </w:r>
      </w:hyperlink>
    </w:p>
    <w:p w14:paraId="319BDF80" w14:textId="76C5DBC0" w:rsidR="008009AA" w:rsidRDefault="008009AA">
      <w:pPr>
        <w:pStyle w:val="TOC7"/>
        <w:rPr>
          <w:rFonts w:cstheme="minorBidi"/>
          <w:sz w:val="22"/>
          <w:szCs w:val="22"/>
          <w:rtl/>
        </w:rPr>
      </w:pPr>
      <w:hyperlink w:anchor="_Toc163506276" w:history="1">
        <w:r w:rsidRPr="007246E7">
          <w:rPr>
            <w:rStyle w:val="Hyperlink"/>
            <w:rtl/>
          </w:rPr>
          <w:t>תוספות הרא"ש שבת ק"ב ע"ב ד"ה עייל</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Toc163506276 \h</w:instrText>
        </w:r>
        <w:r>
          <w:rPr>
            <w:webHidden/>
            <w:rtl/>
          </w:rPr>
          <w:instrText xml:space="preserve"> </w:instrText>
        </w:r>
        <w:r>
          <w:rPr>
            <w:rStyle w:val="Hyperlink"/>
            <w:rtl/>
          </w:rPr>
        </w:r>
        <w:r>
          <w:rPr>
            <w:rStyle w:val="Hyperlink"/>
            <w:rtl/>
          </w:rPr>
          <w:fldChar w:fldCharType="separate"/>
        </w:r>
        <w:r w:rsidR="00D82181">
          <w:rPr>
            <w:webHidden/>
            <w:rtl/>
          </w:rPr>
          <w:t>163</w:t>
        </w:r>
        <w:r>
          <w:rPr>
            <w:rStyle w:val="Hyperlink"/>
            <w:rtl/>
          </w:rPr>
          <w:fldChar w:fldCharType="end"/>
        </w:r>
      </w:hyperlink>
    </w:p>
    <w:p w14:paraId="43DA106F" w14:textId="631763AB" w:rsidR="008009AA" w:rsidRDefault="008009AA">
      <w:pPr>
        <w:pStyle w:val="TOC7"/>
        <w:rPr>
          <w:rFonts w:cstheme="minorBidi"/>
          <w:sz w:val="22"/>
          <w:szCs w:val="22"/>
          <w:rtl/>
        </w:rPr>
      </w:pPr>
      <w:hyperlink w:anchor="_Toc163506277" w:history="1">
        <w:r w:rsidRPr="007246E7">
          <w:rPr>
            <w:rStyle w:val="Hyperlink"/>
            <w:rtl/>
          </w:rPr>
          <w:t>תוספות ביצה י"א ע"ב ד"ה מהו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Toc163506277 \h</w:instrText>
        </w:r>
        <w:r>
          <w:rPr>
            <w:webHidden/>
            <w:rtl/>
          </w:rPr>
          <w:instrText xml:space="preserve"> </w:instrText>
        </w:r>
        <w:r>
          <w:rPr>
            <w:rStyle w:val="Hyperlink"/>
            <w:rtl/>
          </w:rPr>
        </w:r>
        <w:r>
          <w:rPr>
            <w:rStyle w:val="Hyperlink"/>
            <w:rtl/>
          </w:rPr>
          <w:fldChar w:fldCharType="separate"/>
        </w:r>
        <w:r w:rsidR="00D82181">
          <w:rPr>
            <w:webHidden/>
            <w:rtl/>
          </w:rPr>
          <w:t>163</w:t>
        </w:r>
        <w:r>
          <w:rPr>
            <w:rStyle w:val="Hyperlink"/>
            <w:rtl/>
          </w:rPr>
          <w:fldChar w:fldCharType="end"/>
        </w:r>
      </w:hyperlink>
    </w:p>
    <w:p w14:paraId="1FB5517C" w14:textId="1EBA6657" w:rsidR="008009AA" w:rsidRDefault="008009AA">
      <w:pPr>
        <w:pStyle w:val="TOC7"/>
        <w:rPr>
          <w:rFonts w:cstheme="minorBidi"/>
          <w:sz w:val="22"/>
          <w:szCs w:val="22"/>
          <w:rtl/>
        </w:rPr>
      </w:pPr>
      <w:hyperlink w:anchor="_Toc163506278" w:history="1">
        <w:r w:rsidRPr="007246E7">
          <w:rPr>
            <w:rStyle w:val="Hyperlink"/>
            <w:rtl/>
          </w:rPr>
          <w:t>חדושי הרשב"א שבת ק"ב ע"ב ד"ה האי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Toc163506278 \h</w:instrText>
        </w:r>
        <w:r>
          <w:rPr>
            <w:webHidden/>
            <w:rtl/>
          </w:rPr>
          <w:instrText xml:space="preserve"> </w:instrText>
        </w:r>
        <w:r>
          <w:rPr>
            <w:rStyle w:val="Hyperlink"/>
            <w:rtl/>
          </w:rPr>
        </w:r>
        <w:r>
          <w:rPr>
            <w:rStyle w:val="Hyperlink"/>
            <w:rtl/>
          </w:rPr>
          <w:fldChar w:fldCharType="separate"/>
        </w:r>
        <w:r w:rsidR="00D82181">
          <w:rPr>
            <w:webHidden/>
            <w:rtl/>
          </w:rPr>
          <w:t>163</w:t>
        </w:r>
        <w:r>
          <w:rPr>
            <w:rStyle w:val="Hyperlink"/>
            <w:rtl/>
          </w:rPr>
          <w:fldChar w:fldCharType="end"/>
        </w:r>
      </w:hyperlink>
    </w:p>
    <w:p w14:paraId="0A03CFC0" w14:textId="1FD47723" w:rsidR="008009AA" w:rsidRDefault="008009AA">
      <w:pPr>
        <w:pStyle w:val="TOC7"/>
        <w:rPr>
          <w:rFonts w:cstheme="minorBidi"/>
          <w:sz w:val="22"/>
          <w:szCs w:val="22"/>
          <w:rtl/>
        </w:rPr>
      </w:pPr>
      <w:hyperlink w:anchor="_Toc163506279" w:history="1">
        <w:r w:rsidRPr="007246E7">
          <w:rPr>
            <w:rStyle w:val="Hyperlink"/>
            <w:rtl/>
          </w:rPr>
          <w:t>חדושי הריטב"א שבת ק"ב ע"ב ד"ה עייל</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Toc163506279 \h</w:instrText>
        </w:r>
        <w:r>
          <w:rPr>
            <w:webHidden/>
            <w:rtl/>
          </w:rPr>
          <w:instrText xml:space="preserve"> </w:instrText>
        </w:r>
        <w:r>
          <w:rPr>
            <w:rStyle w:val="Hyperlink"/>
            <w:rtl/>
          </w:rPr>
        </w:r>
        <w:r>
          <w:rPr>
            <w:rStyle w:val="Hyperlink"/>
            <w:rtl/>
          </w:rPr>
          <w:fldChar w:fldCharType="separate"/>
        </w:r>
        <w:r w:rsidR="00D82181">
          <w:rPr>
            <w:webHidden/>
            <w:rtl/>
          </w:rPr>
          <w:t>164</w:t>
        </w:r>
        <w:r>
          <w:rPr>
            <w:rStyle w:val="Hyperlink"/>
            <w:rtl/>
          </w:rPr>
          <w:fldChar w:fldCharType="end"/>
        </w:r>
      </w:hyperlink>
    </w:p>
    <w:p w14:paraId="4F45BA16" w14:textId="3DC6FBC0" w:rsidR="008009AA" w:rsidRDefault="008009AA">
      <w:pPr>
        <w:pStyle w:val="TOC7"/>
        <w:rPr>
          <w:rFonts w:cstheme="minorBidi"/>
          <w:sz w:val="22"/>
          <w:szCs w:val="22"/>
          <w:rtl/>
        </w:rPr>
      </w:pPr>
      <w:hyperlink w:anchor="_Toc163506280" w:history="1">
        <w:r w:rsidRPr="007246E7">
          <w:rPr>
            <w:rStyle w:val="Hyperlink"/>
            <w:rtl/>
          </w:rPr>
          <w:t>באור הגר"א או"ח סי' שי"ד סק"ב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Toc163506280 \h</w:instrText>
        </w:r>
        <w:r>
          <w:rPr>
            <w:webHidden/>
            <w:rtl/>
          </w:rPr>
          <w:instrText xml:space="preserve"> </w:instrText>
        </w:r>
        <w:r>
          <w:rPr>
            <w:rStyle w:val="Hyperlink"/>
            <w:rtl/>
          </w:rPr>
        </w:r>
        <w:r>
          <w:rPr>
            <w:rStyle w:val="Hyperlink"/>
            <w:rtl/>
          </w:rPr>
          <w:fldChar w:fldCharType="separate"/>
        </w:r>
        <w:r w:rsidR="00D82181">
          <w:rPr>
            <w:webHidden/>
            <w:rtl/>
          </w:rPr>
          <w:t>164</w:t>
        </w:r>
        <w:r>
          <w:rPr>
            <w:rStyle w:val="Hyperlink"/>
            <w:rtl/>
          </w:rPr>
          <w:fldChar w:fldCharType="end"/>
        </w:r>
      </w:hyperlink>
    </w:p>
    <w:p w14:paraId="4100C6D1" w14:textId="50F6B01A" w:rsidR="008009AA" w:rsidRDefault="008009AA">
      <w:pPr>
        <w:pStyle w:val="TOC7"/>
        <w:rPr>
          <w:rFonts w:cstheme="minorBidi"/>
          <w:sz w:val="22"/>
          <w:szCs w:val="22"/>
          <w:rtl/>
        </w:rPr>
      </w:pPr>
      <w:hyperlink w:anchor="_Toc163506281" w:history="1">
        <w:r w:rsidRPr="007246E7">
          <w:rPr>
            <w:rStyle w:val="Hyperlink"/>
            <w:rtl/>
          </w:rPr>
          <w:t>שו"ת באר יצחק או"ח סי' י"ג ענף ב' ד"ה אכן לכאורה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Toc163506281 \h</w:instrText>
        </w:r>
        <w:r>
          <w:rPr>
            <w:webHidden/>
            <w:rtl/>
          </w:rPr>
          <w:instrText xml:space="preserve"> </w:instrText>
        </w:r>
        <w:r>
          <w:rPr>
            <w:rStyle w:val="Hyperlink"/>
            <w:rtl/>
          </w:rPr>
        </w:r>
        <w:r>
          <w:rPr>
            <w:rStyle w:val="Hyperlink"/>
            <w:rtl/>
          </w:rPr>
          <w:fldChar w:fldCharType="separate"/>
        </w:r>
        <w:r w:rsidR="00D82181">
          <w:rPr>
            <w:webHidden/>
            <w:rtl/>
          </w:rPr>
          <w:t>164</w:t>
        </w:r>
        <w:r>
          <w:rPr>
            <w:rStyle w:val="Hyperlink"/>
            <w:rtl/>
          </w:rPr>
          <w:fldChar w:fldCharType="end"/>
        </w:r>
      </w:hyperlink>
    </w:p>
    <w:p w14:paraId="55D81E2F" w14:textId="6D585E80" w:rsidR="008009AA" w:rsidRDefault="008009AA">
      <w:pPr>
        <w:pStyle w:val="TOC7"/>
        <w:rPr>
          <w:rFonts w:cstheme="minorBidi"/>
          <w:sz w:val="22"/>
          <w:szCs w:val="22"/>
          <w:rtl/>
        </w:rPr>
      </w:pPr>
      <w:hyperlink w:anchor="_Toc163506282" w:history="1">
        <w:r w:rsidRPr="007246E7">
          <w:rPr>
            <w:rStyle w:val="Hyperlink"/>
            <w:rtl/>
          </w:rPr>
          <w:t>שו"ת באר יצחק או"ח סי' י"ג ענף ב' ד"ה ונחזור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Toc163506282 \h</w:instrText>
        </w:r>
        <w:r>
          <w:rPr>
            <w:webHidden/>
            <w:rtl/>
          </w:rPr>
          <w:instrText xml:space="preserve"> </w:instrText>
        </w:r>
        <w:r>
          <w:rPr>
            <w:rStyle w:val="Hyperlink"/>
            <w:rtl/>
          </w:rPr>
        </w:r>
        <w:r>
          <w:rPr>
            <w:rStyle w:val="Hyperlink"/>
            <w:rtl/>
          </w:rPr>
          <w:fldChar w:fldCharType="separate"/>
        </w:r>
        <w:r w:rsidR="00D82181">
          <w:rPr>
            <w:webHidden/>
            <w:rtl/>
          </w:rPr>
          <w:t>164</w:t>
        </w:r>
        <w:r>
          <w:rPr>
            <w:rStyle w:val="Hyperlink"/>
            <w:rtl/>
          </w:rPr>
          <w:fldChar w:fldCharType="end"/>
        </w:r>
      </w:hyperlink>
    </w:p>
    <w:p w14:paraId="5F0ADE3E" w14:textId="74DC2180" w:rsidR="008009AA" w:rsidRDefault="008009AA">
      <w:pPr>
        <w:pStyle w:val="TOC7"/>
        <w:rPr>
          <w:rFonts w:cstheme="minorBidi"/>
          <w:sz w:val="22"/>
          <w:szCs w:val="22"/>
          <w:rtl/>
        </w:rPr>
      </w:pPr>
      <w:hyperlink w:anchor="_Toc163506283" w:history="1">
        <w:r w:rsidRPr="007246E7">
          <w:rPr>
            <w:rStyle w:val="Hyperlink"/>
            <w:rtl/>
          </w:rPr>
          <w:t>תוספות שבת ע"ד ע"ב ד"ה חביתא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Toc163506283 \h</w:instrText>
        </w:r>
        <w:r>
          <w:rPr>
            <w:webHidden/>
            <w:rtl/>
          </w:rPr>
          <w:instrText xml:space="preserve"> </w:instrText>
        </w:r>
        <w:r>
          <w:rPr>
            <w:rStyle w:val="Hyperlink"/>
            <w:rtl/>
          </w:rPr>
        </w:r>
        <w:r>
          <w:rPr>
            <w:rStyle w:val="Hyperlink"/>
            <w:rtl/>
          </w:rPr>
          <w:fldChar w:fldCharType="separate"/>
        </w:r>
        <w:r w:rsidR="00D82181">
          <w:rPr>
            <w:webHidden/>
            <w:rtl/>
          </w:rPr>
          <w:t>164</w:t>
        </w:r>
        <w:r>
          <w:rPr>
            <w:rStyle w:val="Hyperlink"/>
            <w:rtl/>
          </w:rPr>
          <w:fldChar w:fldCharType="end"/>
        </w:r>
      </w:hyperlink>
    </w:p>
    <w:p w14:paraId="3EFCE350" w14:textId="1D925029" w:rsidR="008009AA" w:rsidRDefault="008009AA">
      <w:pPr>
        <w:pStyle w:val="TOC7"/>
        <w:rPr>
          <w:rFonts w:cstheme="minorBidi"/>
          <w:sz w:val="22"/>
          <w:szCs w:val="22"/>
          <w:rtl/>
        </w:rPr>
      </w:pPr>
      <w:hyperlink w:anchor="_Toc163506284" w:history="1">
        <w:r w:rsidRPr="007246E7">
          <w:rPr>
            <w:rStyle w:val="Hyperlink"/>
            <w:rtl/>
          </w:rPr>
          <w:t>מרומי שדה שבת נ"ז ע"א ד"ה במשנה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Toc163506284 \h</w:instrText>
        </w:r>
        <w:r>
          <w:rPr>
            <w:webHidden/>
            <w:rtl/>
          </w:rPr>
          <w:instrText xml:space="preserve"> </w:instrText>
        </w:r>
        <w:r>
          <w:rPr>
            <w:rStyle w:val="Hyperlink"/>
            <w:rtl/>
          </w:rPr>
        </w:r>
        <w:r>
          <w:rPr>
            <w:rStyle w:val="Hyperlink"/>
            <w:rtl/>
          </w:rPr>
          <w:fldChar w:fldCharType="separate"/>
        </w:r>
        <w:r w:rsidR="00D82181">
          <w:rPr>
            <w:webHidden/>
            <w:rtl/>
          </w:rPr>
          <w:t>164</w:t>
        </w:r>
        <w:r>
          <w:rPr>
            <w:rStyle w:val="Hyperlink"/>
            <w:rtl/>
          </w:rPr>
          <w:fldChar w:fldCharType="end"/>
        </w:r>
      </w:hyperlink>
    </w:p>
    <w:p w14:paraId="06A95865" w14:textId="2E470465" w:rsidR="008009AA" w:rsidRDefault="008009AA">
      <w:pPr>
        <w:pStyle w:val="TOC7"/>
        <w:rPr>
          <w:rFonts w:cstheme="minorBidi"/>
          <w:sz w:val="22"/>
          <w:szCs w:val="22"/>
          <w:rtl/>
        </w:rPr>
      </w:pPr>
      <w:hyperlink w:anchor="_Toc163506285" w:history="1">
        <w:r w:rsidRPr="007246E7">
          <w:rPr>
            <w:rStyle w:val="Hyperlink"/>
            <w:rtl/>
          </w:rPr>
          <w:t>קרבן העדה שבת פ"ז ה"ב ד"ה הנופח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Toc163506285 \h</w:instrText>
        </w:r>
        <w:r>
          <w:rPr>
            <w:webHidden/>
            <w:rtl/>
          </w:rPr>
          <w:instrText xml:space="preserve"> </w:instrText>
        </w:r>
        <w:r>
          <w:rPr>
            <w:rStyle w:val="Hyperlink"/>
            <w:rtl/>
          </w:rPr>
        </w:r>
        <w:r>
          <w:rPr>
            <w:rStyle w:val="Hyperlink"/>
            <w:rtl/>
          </w:rPr>
          <w:fldChar w:fldCharType="separate"/>
        </w:r>
        <w:r w:rsidR="00D82181">
          <w:rPr>
            <w:webHidden/>
            <w:rtl/>
          </w:rPr>
          <w:t>164</w:t>
        </w:r>
        <w:r>
          <w:rPr>
            <w:rStyle w:val="Hyperlink"/>
            <w:rtl/>
          </w:rPr>
          <w:fldChar w:fldCharType="end"/>
        </w:r>
      </w:hyperlink>
    </w:p>
    <w:p w14:paraId="29B0D67C" w14:textId="594A9B85" w:rsidR="008009AA" w:rsidRDefault="008009AA">
      <w:pPr>
        <w:pStyle w:val="TOC7"/>
        <w:rPr>
          <w:rFonts w:cstheme="minorBidi"/>
          <w:sz w:val="22"/>
          <w:szCs w:val="22"/>
          <w:rtl/>
        </w:rPr>
      </w:pPr>
      <w:hyperlink w:anchor="_Toc163506286" w:history="1">
        <w:r w:rsidRPr="007246E7">
          <w:rPr>
            <w:rStyle w:val="Hyperlink"/>
            <w:rtl/>
          </w:rPr>
          <w:t>פני יהושע שבת ע"ד ע"ב על תוד"ה חביתא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Toc163506286 \h</w:instrText>
        </w:r>
        <w:r>
          <w:rPr>
            <w:webHidden/>
            <w:rtl/>
          </w:rPr>
          <w:instrText xml:space="preserve"> </w:instrText>
        </w:r>
        <w:r>
          <w:rPr>
            <w:rStyle w:val="Hyperlink"/>
            <w:rtl/>
          </w:rPr>
        </w:r>
        <w:r>
          <w:rPr>
            <w:rStyle w:val="Hyperlink"/>
            <w:rtl/>
          </w:rPr>
          <w:fldChar w:fldCharType="separate"/>
        </w:r>
        <w:r w:rsidR="00D82181">
          <w:rPr>
            <w:webHidden/>
            <w:rtl/>
          </w:rPr>
          <w:t>164</w:t>
        </w:r>
        <w:r>
          <w:rPr>
            <w:rStyle w:val="Hyperlink"/>
            <w:rtl/>
          </w:rPr>
          <w:fldChar w:fldCharType="end"/>
        </w:r>
      </w:hyperlink>
    </w:p>
    <w:p w14:paraId="00212AF1" w14:textId="2A5D57CE" w:rsidR="008009AA" w:rsidRDefault="008009AA">
      <w:pPr>
        <w:pStyle w:val="TOC7"/>
        <w:rPr>
          <w:rFonts w:cstheme="minorBidi"/>
          <w:sz w:val="22"/>
          <w:szCs w:val="22"/>
          <w:rtl/>
        </w:rPr>
      </w:pPr>
      <w:hyperlink w:anchor="_Toc163506287" w:history="1">
        <w:r w:rsidRPr="007246E7">
          <w:rPr>
            <w:rStyle w:val="Hyperlink"/>
            <w:rtl/>
          </w:rPr>
          <w:t>רמב"ם שבת פ"י הי"ג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Toc163506287 \h</w:instrText>
        </w:r>
        <w:r>
          <w:rPr>
            <w:webHidden/>
            <w:rtl/>
          </w:rPr>
          <w:instrText xml:space="preserve"> </w:instrText>
        </w:r>
        <w:r>
          <w:rPr>
            <w:rStyle w:val="Hyperlink"/>
            <w:rtl/>
          </w:rPr>
        </w:r>
        <w:r>
          <w:rPr>
            <w:rStyle w:val="Hyperlink"/>
            <w:rtl/>
          </w:rPr>
          <w:fldChar w:fldCharType="separate"/>
        </w:r>
        <w:r w:rsidR="00D82181">
          <w:rPr>
            <w:webHidden/>
            <w:rtl/>
          </w:rPr>
          <w:t>164</w:t>
        </w:r>
        <w:r>
          <w:rPr>
            <w:rStyle w:val="Hyperlink"/>
            <w:rtl/>
          </w:rPr>
          <w:fldChar w:fldCharType="end"/>
        </w:r>
      </w:hyperlink>
    </w:p>
    <w:p w14:paraId="13791581" w14:textId="0C24EDCD" w:rsidR="008009AA" w:rsidRDefault="008009AA">
      <w:pPr>
        <w:pStyle w:val="TOC7"/>
        <w:rPr>
          <w:rFonts w:cstheme="minorBidi"/>
          <w:sz w:val="22"/>
          <w:szCs w:val="22"/>
          <w:rtl/>
        </w:rPr>
      </w:pPr>
      <w:hyperlink w:anchor="_Toc163506288" w:history="1">
        <w:r w:rsidRPr="007246E7">
          <w:rPr>
            <w:rStyle w:val="Hyperlink"/>
            <w:rtl/>
          </w:rPr>
          <w:t>מגיד משנה שבת פ"י הי"ג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Toc163506288 \h</w:instrText>
        </w:r>
        <w:r>
          <w:rPr>
            <w:webHidden/>
            <w:rtl/>
          </w:rPr>
          <w:instrText xml:space="preserve"> </w:instrText>
        </w:r>
        <w:r>
          <w:rPr>
            <w:rStyle w:val="Hyperlink"/>
            <w:rtl/>
          </w:rPr>
        </w:r>
        <w:r>
          <w:rPr>
            <w:rStyle w:val="Hyperlink"/>
            <w:rtl/>
          </w:rPr>
          <w:fldChar w:fldCharType="separate"/>
        </w:r>
        <w:r w:rsidR="00D82181">
          <w:rPr>
            <w:webHidden/>
            <w:rtl/>
          </w:rPr>
          <w:t>164</w:t>
        </w:r>
        <w:r>
          <w:rPr>
            <w:rStyle w:val="Hyperlink"/>
            <w:rtl/>
          </w:rPr>
          <w:fldChar w:fldCharType="end"/>
        </w:r>
      </w:hyperlink>
    </w:p>
    <w:p w14:paraId="273AA0F3" w14:textId="0A06F901" w:rsidR="008009AA" w:rsidRDefault="008009AA">
      <w:pPr>
        <w:pStyle w:val="TOC7"/>
        <w:rPr>
          <w:rFonts w:cstheme="minorBidi"/>
          <w:sz w:val="22"/>
          <w:szCs w:val="22"/>
          <w:rtl/>
        </w:rPr>
      </w:pPr>
      <w:hyperlink w:anchor="_Toc163506289" w:history="1">
        <w:r w:rsidRPr="007246E7">
          <w:rPr>
            <w:rStyle w:val="Hyperlink"/>
            <w:rtl/>
          </w:rPr>
          <w:t>אור שמח שבת פ"י הי"ב ד"ה וכבר כתבתי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Toc163506289 \h</w:instrText>
        </w:r>
        <w:r>
          <w:rPr>
            <w:webHidden/>
            <w:rtl/>
          </w:rPr>
          <w:instrText xml:space="preserve"> </w:instrText>
        </w:r>
        <w:r>
          <w:rPr>
            <w:rStyle w:val="Hyperlink"/>
            <w:rtl/>
          </w:rPr>
        </w:r>
        <w:r>
          <w:rPr>
            <w:rStyle w:val="Hyperlink"/>
            <w:rtl/>
          </w:rPr>
          <w:fldChar w:fldCharType="separate"/>
        </w:r>
        <w:r w:rsidR="00D82181">
          <w:rPr>
            <w:webHidden/>
            <w:rtl/>
          </w:rPr>
          <w:t>164</w:t>
        </w:r>
        <w:r>
          <w:rPr>
            <w:rStyle w:val="Hyperlink"/>
            <w:rtl/>
          </w:rPr>
          <w:fldChar w:fldCharType="end"/>
        </w:r>
      </w:hyperlink>
    </w:p>
    <w:p w14:paraId="0F3D5D22" w14:textId="2647BE28" w:rsidR="008009AA" w:rsidRDefault="008009AA">
      <w:pPr>
        <w:pStyle w:val="TOC7"/>
        <w:rPr>
          <w:rFonts w:cstheme="minorBidi"/>
          <w:sz w:val="22"/>
          <w:szCs w:val="22"/>
          <w:rtl/>
        </w:rPr>
      </w:pPr>
      <w:hyperlink w:anchor="_Toc163506290" w:history="1">
        <w:r w:rsidRPr="007246E7">
          <w:rPr>
            <w:rStyle w:val="Hyperlink"/>
            <w:rtl/>
          </w:rPr>
          <w:t>חדושי הרמב"ן שבת ק"ב ע"ב ד"ה ומשמע</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Toc163506290 \h</w:instrText>
        </w:r>
        <w:r>
          <w:rPr>
            <w:webHidden/>
            <w:rtl/>
          </w:rPr>
          <w:instrText xml:space="preserve"> </w:instrText>
        </w:r>
        <w:r>
          <w:rPr>
            <w:rStyle w:val="Hyperlink"/>
            <w:rtl/>
          </w:rPr>
        </w:r>
        <w:r>
          <w:rPr>
            <w:rStyle w:val="Hyperlink"/>
            <w:rtl/>
          </w:rPr>
          <w:fldChar w:fldCharType="separate"/>
        </w:r>
        <w:r w:rsidR="00D82181">
          <w:rPr>
            <w:webHidden/>
            <w:rtl/>
          </w:rPr>
          <w:t>165</w:t>
        </w:r>
        <w:r>
          <w:rPr>
            <w:rStyle w:val="Hyperlink"/>
            <w:rtl/>
          </w:rPr>
          <w:fldChar w:fldCharType="end"/>
        </w:r>
      </w:hyperlink>
    </w:p>
    <w:p w14:paraId="402A98A6" w14:textId="7F343284" w:rsidR="008009AA" w:rsidRDefault="008009AA">
      <w:pPr>
        <w:pStyle w:val="TOC7"/>
        <w:rPr>
          <w:rFonts w:cstheme="minorBidi"/>
          <w:sz w:val="22"/>
          <w:szCs w:val="22"/>
          <w:rtl/>
        </w:rPr>
      </w:pPr>
      <w:hyperlink w:anchor="_Toc163506291" w:history="1">
        <w:r w:rsidRPr="007246E7">
          <w:rPr>
            <w:rStyle w:val="Hyperlink"/>
            <w:rtl/>
          </w:rPr>
          <w:t>חדושי הרשב"א שבת ק"ב ע"ב ד"ה האי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Toc163506291 \h</w:instrText>
        </w:r>
        <w:r>
          <w:rPr>
            <w:webHidden/>
            <w:rtl/>
          </w:rPr>
          <w:instrText xml:space="preserve"> </w:instrText>
        </w:r>
        <w:r>
          <w:rPr>
            <w:rStyle w:val="Hyperlink"/>
            <w:rtl/>
          </w:rPr>
        </w:r>
        <w:r>
          <w:rPr>
            <w:rStyle w:val="Hyperlink"/>
            <w:rtl/>
          </w:rPr>
          <w:fldChar w:fldCharType="separate"/>
        </w:r>
        <w:r w:rsidR="00D82181">
          <w:rPr>
            <w:webHidden/>
            <w:rtl/>
          </w:rPr>
          <w:t>165</w:t>
        </w:r>
        <w:r>
          <w:rPr>
            <w:rStyle w:val="Hyperlink"/>
            <w:rtl/>
          </w:rPr>
          <w:fldChar w:fldCharType="end"/>
        </w:r>
      </w:hyperlink>
    </w:p>
    <w:p w14:paraId="3D2EF418" w14:textId="0937C9CD" w:rsidR="008009AA" w:rsidRDefault="008009AA">
      <w:pPr>
        <w:pStyle w:val="TOC7"/>
        <w:rPr>
          <w:rFonts w:cstheme="minorBidi"/>
          <w:sz w:val="22"/>
          <w:szCs w:val="22"/>
          <w:rtl/>
        </w:rPr>
      </w:pPr>
      <w:hyperlink w:anchor="_Toc163506292" w:history="1">
        <w:r w:rsidRPr="007246E7">
          <w:rPr>
            <w:rStyle w:val="Hyperlink"/>
            <w:rtl/>
          </w:rPr>
          <w:t>פסקי רי"ד עירובין ל"ה ע"א ד"ה רבה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Toc163506292 \h</w:instrText>
        </w:r>
        <w:r>
          <w:rPr>
            <w:webHidden/>
            <w:rtl/>
          </w:rPr>
          <w:instrText xml:space="preserve"> </w:instrText>
        </w:r>
        <w:r>
          <w:rPr>
            <w:rStyle w:val="Hyperlink"/>
            <w:rtl/>
          </w:rPr>
        </w:r>
        <w:r>
          <w:rPr>
            <w:rStyle w:val="Hyperlink"/>
            <w:rtl/>
          </w:rPr>
          <w:fldChar w:fldCharType="separate"/>
        </w:r>
        <w:r w:rsidR="00D82181">
          <w:rPr>
            <w:webHidden/>
            <w:rtl/>
          </w:rPr>
          <w:t>166</w:t>
        </w:r>
        <w:r>
          <w:rPr>
            <w:rStyle w:val="Hyperlink"/>
            <w:rtl/>
          </w:rPr>
          <w:fldChar w:fldCharType="end"/>
        </w:r>
      </w:hyperlink>
    </w:p>
    <w:p w14:paraId="4D5703C0" w14:textId="4F6407F1" w:rsidR="008009AA" w:rsidRDefault="008009AA">
      <w:pPr>
        <w:pStyle w:val="TOC7"/>
        <w:rPr>
          <w:rFonts w:cstheme="minorBidi"/>
          <w:sz w:val="22"/>
          <w:szCs w:val="22"/>
          <w:rtl/>
        </w:rPr>
      </w:pPr>
      <w:hyperlink w:anchor="_Toc163506293" w:history="1">
        <w:r w:rsidRPr="007246E7">
          <w:rPr>
            <w:rStyle w:val="Hyperlink"/>
            <w:rtl/>
          </w:rPr>
          <w:t>חידושי רבינו משה קזיס פרק חבית ד"ה ומצאתי שכתב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Toc163506293 \h</w:instrText>
        </w:r>
        <w:r>
          <w:rPr>
            <w:webHidden/>
            <w:rtl/>
          </w:rPr>
          <w:instrText xml:space="preserve"> </w:instrText>
        </w:r>
        <w:r>
          <w:rPr>
            <w:rStyle w:val="Hyperlink"/>
            <w:rtl/>
          </w:rPr>
        </w:r>
        <w:r>
          <w:rPr>
            <w:rStyle w:val="Hyperlink"/>
            <w:rtl/>
          </w:rPr>
          <w:fldChar w:fldCharType="separate"/>
        </w:r>
        <w:r w:rsidR="00D82181">
          <w:rPr>
            <w:webHidden/>
            <w:rtl/>
          </w:rPr>
          <w:t>166</w:t>
        </w:r>
        <w:r>
          <w:rPr>
            <w:rStyle w:val="Hyperlink"/>
            <w:rtl/>
          </w:rPr>
          <w:fldChar w:fldCharType="end"/>
        </w:r>
      </w:hyperlink>
    </w:p>
    <w:p w14:paraId="1E37BE16" w14:textId="264CFEA2" w:rsidR="008009AA" w:rsidRDefault="008009AA">
      <w:pPr>
        <w:pStyle w:val="TOC7"/>
        <w:rPr>
          <w:rFonts w:cstheme="minorBidi"/>
          <w:sz w:val="22"/>
          <w:szCs w:val="22"/>
          <w:rtl/>
        </w:rPr>
      </w:pPr>
      <w:hyperlink w:anchor="_Toc163506294" w:history="1">
        <w:r w:rsidRPr="007246E7">
          <w:rPr>
            <w:rStyle w:val="Hyperlink"/>
            <w:rtl/>
          </w:rPr>
          <w:t>תוספות רי"ד עירובין ל"ה ע"א ד"ה פיסקא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Toc163506294 \h</w:instrText>
        </w:r>
        <w:r>
          <w:rPr>
            <w:webHidden/>
            <w:rtl/>
          </w:rPr>
          <w:instrText xml:space="preserve"> </w:instrText>
        </w:r>
        <w:r>
          <w:rPr>
            <w:rStyle w:val="Hyperlink"/>
            <w:rtl/>
          </w:rPr>
        </w:r>
        <w:r>
          <w:rPr>
            <w:rStyle w:val="Hyperlink"/>
            <w:rtl/>
          </w:rPr>
          <w:fldChar w:fldCharType="separate"/>
        </w:r>
        <w:r w:rsidR="00D82181">
          <w:rPr>
            <w:webHidden/>
            <w:rtl/>
          </w:rPr>
          <w:t>166</w:t>
        </w:r>
        <w:r>
          <w:rPr>
            <w:rStyle w:val="Hyperlink"/>
            <w:rtl/>
          </w:rPr>
          <w:fldChar w:fldCharType="end"/>
        </w:r>
      </w:hyperlink>
    </w:p>
    <w:p w14:paraId="5B840398" w14:textId="65241411" w:rsidR="008009AA" w:rsidRDefault="008009AA">
      <w:pPr>
        <w:pStyle w:val="TOC7"/>
        <w:rPr>
          <w:rFonts w:cstheme="minorBidi"/>
          <w:sz w:val="22"/>
          <w:szCs w:val="22"/>
          <w:rtl/>
        </w:rPr>
      </w:pPr>
      <w:hyperlink w:anchor="_Toc163506295" w:history="1">
        <w:r w:rsidRPr="007246E7">
          <w:rPr>
            <w:rStyle w:val="Hyperlink"/>
            <w:rtl/>
          </w:rPr>
          <w:t>תוספות רי"ד עירובין ל"ה ע"א ד"ה אבל המורה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Toc163506295 \h</w:instrText>
        </w:r>
        <w:r>
          <w:rPr>
            <w:webHidden/>
            <w:rtl/>
          </w:rPr>
          <w:instrText xml:space="preserve"> </w:instrText>
        </w:r>
        <w:r>
          <w:rPr>
            <w:rStyle w:val="Hyperlink"/>
            <w:rtl/>
          </w:rPr>
        </w:r>
        <w:r>
          <w:rPr>
            <w:rStyle w:val="Hyperlink"/>
            <w:rtl/>
          </w:rPr>
          <w:fldChar w:fldCharType="separate"/>
        </w:r>
        <w:r w:rsidR="00D82181">
          <w:rPr>
            <w:webHidden/>
            <w:rtl/>
          </w:rPr>
          <w:t>166</w:t>
        </w:r>
        <w:r>
          <w:rPr>
            <w:rStyle w:val="Hyperlink"/>
            <w:rtl/>
          </w:rPr>
          <w:fldChar w:fldCharType="end"/>
        </w:r>
      </w:hyperlink>
    </w:p>
    <w:p w14:paraId="728AC17F" w14:textId="34E63ED4" w:rsidR="008009AA" w:rsidRDefault="008009AA">
      <w:pPr>
        <w:pStyle w:val="TOC7"/>
        <w:rPr>
          <w:rFonts w:cstheme="minorBidi"/>
          <w:sz w:val="22"/>
          <w:szCs w:val="22"/>
          <w:rtl/>
        </w:rPr>
      </w:pPr>
      <w:hyperlink w:anchor="_Toc163506296" w:history="1">
        <w:r w:rsidRPr="007246E7">
          <w:rPr>
            <w:rStyle w:val="Hyperlink"/>
            <w:rtl/>
          </w:rPr>
          <w:t>תוספות רי"ד עירובין ל"ה ע"א ד"ה וקשיא לי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Toc163506296 \h</w:instrText>
        </w:r>
        <w:r>
          <w:rPr>
            <w:webHidden/>
            <w:rtl/>
          </w:rPr>
          <w:instrText xml:space="preserve"> </w:instrText>
        </w:r>
        <w:r>
          <w:rPr>
            <w:rStyle w:val="Hyperlink"/>
            <w:rtl/>
          </w:rPr>
        </w:r>
        <w:r>
          <w:rPr>
            <w:rStyle w:val="Hyperlink"/>
            <w:rtl/>
          </w:rPr>
          <w:fldChar w:fldCharType="separate"/>
        </w:r>
        <w:r w:rsidR="00D82181">
          <w:rPr>
            <w:webHidden/>
            <w:rtl/>
          </w:rPr>
          <w:t>166</w:t>
        </w:r>
        <w:r>
          <w:rPr>
            <w:rStyle w:val="Hyperlink"/>
            <w:rtl/>
          </w:rPr>
          <w:fldChar w:fldCharType="end"/>
        </w:r>
      </w:hyperlink>
    </w:p>
    <w:p w14:paraId="502E18D3" w14:textId="5DB1D644" w:rsidR="008009AA" w:rsidRDefault="008009AA">
      <w:pPr>
        <w:pStyle w:val="TOC7"/>
        <w:rPr>
          <w:rFonts w:cstheme="minorBidi"/>
          <w:sz w:val="22"/>
          <w:szCs w:val="22"/>
          <w:rtl/>
        </w:rPr>
      </w:pPr>
      <w:hyperlink w:anchor="_Toc163506297" w:history="1">
        <w:r w:rsidRPr="007246E7">
          <w:rPr>
            <w:rStyle w:val="Hyperlink"/>
            <w:rtl/>
          </w:rPr>
          <w:t>תוספות רי"ד עירובין ל"ה ע"א ד"ה ונראה לי לתרץ</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Toc163506297 \h</w:instrText>
        </w:r>
        <w:r>
          <w:rPr>
            <w:webHidden/>
            <w:rtl/>
          </w:rPr>
          <w:instrText xml:space="preserve"> </w:instrText>
        </w:r>
        <w:r>
          <w:rPr>
            <w:rStyle w:val="Hyperlink"/>
            <w:rtl/>
          </w:rPr>
        </w:r>
        <w:r>
          <w:rPr>
            <w:rStyle w:val="Hyperlink"/>
            <w:rtl/>
          </w:rPr>
          <w:fldChar w:fldCharType="separate"/>
        </w:r>
        <w:r w:rsidR="00D82181">
          <w:rPr>
            <w:webHidden/>
            <w:rtl/>
          </w:rPr>
          <w:t>166</w:t>
        </w:r>
        <w:r>
          <w:rPr>
            <w:rStyle w:val="Hyperlink"/>
            <w:rtl/>
          </w:rPr>
          <w:fldChar w:fldCharType="end"/>
        </w:r>
      </w:hyperlink>
    </w:p>
    <w:p w14:paraId="137B41E1" w14:textId="6807E913" w:rsidR="008009AA" w:rsidRDefault="008009AA">
      <w:pPr>
        <w:pStyle w:val="TOC7"/>
        <w:rPr>
          <w:rFonts w:cstheme="minorBidi"/>
          <w:sz w:val="22"/>
          <w:szCs w:val="22"/>
          <w:rtl/>
        </w:rPr>
      </w:pPr>
      <w:hyperlink w:anchor="_Toc163506298" w:history="1">
        <w:r w:rsidRPr="007246E7">
          <w:rPr>
            <w:rStyle w:val="Hyperlink"/>
            <w:rtl/>
          </w:rPr>
          <w:t>תוספות רי"ד עירובין ל"ה ע"א ד"ה מ"מ</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Toc163506298 \h</w:instrText>
        </w:r>
        <w:r>
          <w:rPr>
            <w:webHidden/>
            <w:rtl/>
          </w:rPr>
          <w:instrText xml:space="preserve"> </w:instrText>
        </w:r>
        <w:r>
          <w:rPr>
            <w:rStyle w:val="Hyperlink"/>
            <w:rtl/>
          </w:rPr>
        </w:r>
        <w:r>
          <w:rPr>
            <w:rStyle w:val="Hyperlink"/>
            <w:rtl/>
          </w:rPr>
          <w:fldChar w:fldCharType="separate"/>
        </w:r>
        <w:r w:rsidR="00D82181">
          <w:rPr>
            <w:webHidden/>
            <w:rtl/>
          </w:rPr>
          <w:t>166</w:t>
        </w:r>
        <w:r>
          <w:rPr>
            <w:rStyle w:val="Hyperlink"/>
            <w:rtl/>
          </w:rPr>
          <w:fldChar w:fldCharType="end"/>
        </w:r>
      </w:hyperlink>
    </w:p>
    <w:p w14:paraId="7A9B0570" w14:textId="220DB3FB" w:rsidR="008009AA" w:rsidRDefault="008009AA">
      <w:pPr>
        <w:pStyle w:val="TOC7"/>
        <w:rPr>
          <w:rFonts w:cstheme="minorBidi"/>
          <w:sz w:val="22"/>
          <w:szCs w:val="22"/>
          <w:rtl/>
        </w:rPr>
      </w:pPr>
      <w:hyperlink w:anchor="_Toc163506299" w:history="1">
        <w:r w:rsidRPr="007246E7">
          <w:rPr>
            <w:rStyle w:val="Hyperlink"/>
            <w:rtl/>
          </w:rPr>
          <w:t>תוספות רי"ד עירובין ל"ה ע"א ד"ה ומפני שפתרון</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Toc163506299 \h</w:instrText>
        </w:r>
        <w:r>
          <w:rPr>
            <w:webHidden/>
            <w:rtl/>
          </w:rPr>
          <w:instrText xml:space="preserve"> </w:instrText>
        </w:r>
        <w:r>
          <w:rPr>
            <w:rStyle w:val="Hyperlink"/>
            <w:rtl/>
          </w:rPr>
        </w:r>
        <w:r>
          <w:rPr>
            <w:rStyle w:val="Hyperlink"/>
            <w:rtl/>
          </w:rPr>
          <w:fldChar w:fldCharType="separate"/>
        </w:r>
        <w:r w:rsidR="00D82181">
          <w:rPr>
            <w:webHidden/>
            <w:rtl/>
          </w:rPr>
          <w:t>166</w:t>
        </w:r>
        <w:r>
          <w:rPr>
            <w:rStyle w:val="Hyperlink"/>
            <w:rtl/>
          </w:rPr>
          <w:fldChar w:fldCharType="end"/>
        </w:r>
      </w:hyperlink>
    </w:p>
    <w:p w14:paraId="282C9C70" w14:textId="5CC54E17" w:rsidR="008009AA" w:rsidRDefault="008009AA">
      <w:pPr>
        <w:pStyle w:val="TOC7"/>
        <w:rPr>
          <w:rFonts w:cstheme="minorBidi"/>
          <w:sz w:val="22"/>
          <w:szCs w:val="22"/>
          <w:rtl/>
        </w:rPr>
      </w:pPr>
      <w:hyperlink w:anchor="_Toc163506300" w:history="1">
        <w:r w:rsidRPr="007246E7">
          <w:rPr>
            <w:rStyle w:val="Hyperlink"/>
            <w:rtl/>
          </w:rPr>
          <w:t>רש"י שבת קמ"ו ע"א ד"ה שובר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Toc163506300 \h</w:instrText>
        </w:r>
        <w:r>
          <w:rPr>
            <w:webHidden/>
            <w:rtl/>
          </w:rPr>
          <w:instrText xml:space="preserve"> </w:instrText>
        </w:r>
        <w:r>
          <w:rPr>
            <w:rStyle w:val="Hyperlink"/>
            <w:rtl/>
          </w:rPr>
        </w:r>
        <w:r>
          <w:rPr>
            <w:rStyle w:val="Hyperlink"/>
            <w:rtl/>
          </w:rPr>
          <w:fldChar w:fldCharType="separate"/>
        </w:r>
        <w:r w:rsidR="00D82181">
          <w:rPr>
            <w:webHidden/>
            <w:rtl/>
          </w:rPr>
          <w:t>167</w:t>
        </w:r>
        <w:r>
          <w:rPr>
            <w:rStyle w:val="Hyperlink"/>
            <w:rtl/>
          </w:rPr>
          <w:fldChar w:fldCharType="end"/>
        </w:r>
      </w:hyperlink>
    </w:p>
    <w:p w14:paraId="527A4D2D" w14:textId="0F1B9D17" w:rsidR="008009AA" w:rsidRDefault="008009AA">
      <w:pPr>
        <w:pStyle w:val="TOC7"/>
        <w:rPr>
          <w:rFonts w:cstheme="minorBidi"/>
          <w:sz w:val="22"/>
          <w:szCs w:val="22"/>
          <w:rtl/>
        </w:rPr>
      </w:pPr>
      <w:hyperlink w:anchor="_Toc163506301" w:history="1">
        <w:r w:rsidRPr="007246E7">
          <w:rPr>
            <w:rStyle w:val="Hyperlink"/>
            <w:rtl/>
          </w:rPr>
          <w:t>חדושי הרשב"א שבת קמ"ו ע"א ד"ה שובר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Toc163506301 \h</w:instrText>
        </w:r>
        <w:r>
          <w:rPr>
            <w:webHidden/>
            <w:rtl/>
          </w:rPr>
          <w:instrText xml:space="preserve"> </w:instrText>
        </w:r>
        <w:r>
          <w:rPr>
            <w:rStyle w:val="Hyperlink"/>
            <w:rtl/>
          </w:rPr>
        </w:r>
        <w:r>
          <w:rPr>
            <w:rStyle w:val="Hyperlink"/>
            <w:rtl/>
          </w:rPr>
          <w:fldChar w:fldCharType="separate"/>
        </w:r>
        <w:r w:rsidR="00D82181">
          <w:rPr>
            <w:webHidden/>
            <w:rtl/>
          </w:rPr>
          <w:t>167</w:t>
        </w:r>
        <w:r>
          <w:rPr>
            <w:rStyle w:val="Hyperlink"/>
            <w:rtl/>
          </w:rPr>
          <w:fldChar w:fldCharType="end"/>
        </w:r>
      </w:hyperlink>
    </w:p>
    <w:p w14:paraId="38EFA50B" w14:textId="3BC888E4" w:rsidR="008009AA" w:rsidRDefault="008009AA">
      <w:pPr>
        <w:pStyle w:val="TOC7"/>
        <w:rPr>
          <w:rFonts w:cstheme="minorBidi"/>
          <w:sz w:val="22"/>
          <w:szCs w:val="22"/>
          <w:rtl/>
        </w:rPr>
      </w:pPr>
      <w:hyperlink w:anchor="_Toc163506302" w:history="1">
        <w:r w:rsidRPr="007246E7">
          <w:rPr>
            <w:rStyle w:val="Hyperlink"/>
            <w:rtl/>
          </w:rPr>
          <w:t>חדושי הר"ן שבת קמ"ו ע"א ד</w:t>
        </w:r>
        <w:r w:rsidRPr="007246E7">
          <w:rPr>
            <w:rStyle w:val="Hyperlink"/>
            <w:rFonts w:cs="David"/>
            <w:rtl/>
          </w:rPr>
          <w:t>"</w:t>
        </w:r>
        <w:r w:rsidRPr="007246E7">
          <w:rPr>
            <w:rStyle w:val="Hyperlink"/>
            <w:rtl/>
          </w:rPr>
          <w:t>ה שובר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Toc163506302 \h</w:instrText>
        </w:r>
        <w:r>
          <w:rPr>
            <w:webHidden/>
            <w:rtl/>
          </w:rPr>
          <w:instrText xml:space="preserve"> </w:instrText>
        </w:r>
        <w:r>
          <w:rPr>
            <w:rStyle w:val="Hyperlink"/>
            <w:rtl/>
          </w:rPr>
        </w:r>
        <w:r>
          <w:rPr>
            <w:rStyle w:val="Hyperlink"/>
            <w:rtl/>
          </w:rPr>
          <w:fldChar w:fldCharType="separate"/>
        </w:r>
        <w:r w:rsidR="00D82181">
          <w:rPr>
            <w:webHidden/>
            <w:rtl/>
          </w:rPr>
          <w:t>167</w:t>
        </w:r>
        <w:r>
          <w:rPr>
            <w:rStyle w:val="Hyperlink"/>
            <w:rtl/>
          </w:rPr>
          <w:fldChar w:fldCharType="end"/>
        </w:r>
      </w:hyperlink>
    </w:p>
    <w:p w14:paraId="5C9B6DD6" w14:textId="6A7FAFDC" w:rsidR="008009AA" w:rsidRDefault="008009AA">
      <w:pPr>
        <w:pStyle w:val="TOC7"/>
        <w:rPr>
          <w:rFonts w:cstheme="minorBidi"/>
          <w:sz w:val="22"/>
          <w:szCs w:val="22"/>
          <w:rtl/>
        </w:rPr>
      </w:pPr>
      <w:hyperlink w:anchor="_Toc163506303" w:history="1">
        <w:r w:rsidRPr="007246E7">
          <w:rPr>
            <w:rStyle w:val="Hyperlink"/>
            <w:rtl/>
          </w:rPr>
          <w:t>חדושי הרשב"א שבת קמ"ו ע"א ד"ה ואף</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Toc163506303 \h</w:instrText>
        </w:r>
        <w:r>
          <w:rPr>
            <w:webHidden/>
            <w:rtl/>
          </w:rPr>
          <w:instrText xml:space="preserve"> </w:instrText>
        </w:r>
        <w:r>
          <w:rPr>
            <w:rStyle w:val="Hyperlink"/>
            <w:rtl/>
          </w:rPr>
        </w:r>
        <w:r>
          <w:rPr>
            <w:rStyle w:val="Hyperlink"/>
            <w:rtl/>
          </w:rPr>
          <w:fldChar w:fldCharType="separate"/>
        </w:r>
        <w:r w:rsidR="00D82181">
          <w:rPr>
            <w:webHidden/>
            <w:rtl/>
          </w:rPr>
          <w:t>167</w:t>
        </w:r>
        <w:r>
          <w:rPr>
            <w:rStyle w:val="Hyperlink"/>
            <w:rtl/>
          </w:rPr>
          <w:fldChar w:fldCharType="end"/>
        </w:r>
      </w:hyperlink>
    </w:p>
    <w:p w14:paraId="51D19896" w14:textId="3F58EFB2" w:rsidR="008009AA" w:rsidRDefault="008009AA">
      <w:pPr>
        <w:pStyle w:val="TOC7"/>
        <w:rPr>
          <w:rFonts w:cstheme="minorBidi"/>
          <w:sz w:val="22"/>
          <w:szCs w:val="22"/>
          <w:rtl/>
        </w:rPr>
      </w:pPr>
      <w:hyperlink w:anchor="_Toc163506304" w:history="1">
        <w:r w:rsidRPr="007246E7">
          <w:rPr>
            <w:rStyle w:val="Hyperlink"/>
            <w:rtl/>
          </w:rPr>
          <w:t>רש"י עירובין ל"ה ע"א ד"ה ומתניתין</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Toc163506304 \h</w:instrText>
        </w:r>
        <w:r>
          <w:rPr>
            <w:webHidden/>
            <w:rtl/>
          </w:rPr>
          <w:instrText xml:space="preserve"> </w:instrText>
        </w:r>
        <w:r>
          <w:rPr>
            <w:rStyle w:val="Hyperlink"/>
            <w:rtl/>
          </w:rPr>
        </w:r>
        <w:r>
          <w:rPr>
            <w:rStyle w:val="Hyperlink"/>
            <w:rtl/>
          </w:rPr>
          <w:fldChar w:fldCharType="separate"/>
        </w:r>
        <w:r w:rsidR="00D82181">
          <w:rPr>
            <w:webHidden/>
            <w:rtl/>
          </w:rPr>
          <w:t>167</w:t>
        </w:r>
        <w:r>
          <w:rPr>
            <w:rStyle w:val="Hyperlink"/>
            <w:rtl/>
          </w:rPr>
          <w:fldChar w:fldCharType="end"/>
        </w:r>
      </w:hyperlink>
    </w:p>
    <w:p w14:paraId="70D79745" w14:textId="0D3BF4D0" w:rsidR="008009AA" w:rsidRDefault="008009AA">
      <w:pPr>
        <w:pStyle w:val="TOC7"/>
        <w:rPr>
          <w:rFonts w:cstheme="minorBidi"/>
          <w:sz w:val="22"/>
          <w:szCs w:val="22"/>
          <w:rtl/>
        </w:rPr>
      </w:pPr>
      <w:hyperlink w:anchor="_Toc163506305" w:history="1">
        <w:r w:rsidRPr="007246E7">
          <w:rPr>
            <w:rStyle w:val="Hyperlink"/>
            <w:rtl/>
          </w:rPr>
          <w:t>טל אורות הספרדי מלאכת בונה ד"ה אך קשה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Toc163506305 \h</w:instrText>
        </w:r>
        <w:r>
          <w:rPr>
            <w:webHidden/>
            <w:rtl/>
          </w:rPr>
          <w:instrText xml:space="preserve"> </w:instrText>
        </w:r>
        <w:r>
          <w:rPr>
            <w:rStyle w:val="Hyperlink"/>
            <w:rtl/>
          </w:rPr>
        </w:r>
        <w:r>
          <w:rPr>
            <w:rStyle w:val="Hyperlink"/>
            <w:rtl/>
          </w:rPr>
          <w:fldChar w:fldCharType="separate"/>
        </w:r>
        <w:r w:rsidR="00D82181">
          <w:rPr>
            <w:webHidden/>
            <w:rtl/>
          </w:rPr>
          <w:t>167</w:t>
        </w:r>
        <w:r>
          <w:rPr>
            <w:rStyle w:val="Hyperlink"/>
            <w:rtl/>
          </w:rPr>
          <w:fldChar w:fldCharType="end"/>
        </w:r>
      </w:hyperlink>
    </w:p>
    <w:p w14:paraId="19D317AC" w14:textId="329F0DAA" w:rsidR="008009AA" w:rsidRDefault="008009AA">
      <w:pPr>
        <w:pStyle w:val="TOC7"/>
        <w:rPr>
          <w:rFonts w:cstheme="minorBidi"/>
          <w:sz w:val="22"/>
          <w:szCs w:val="22"/>
          <w:rtl/>
        </w:rPr>
      </w:pPr>
      <w:hyperlink w:anchor="_Toc163506306" w:history="1">
        <w:r w:rsidRPr="007246E7">
          <w:rPr>
            <w:rStyle w:val="Hyperlink"/>
            <w:rtl/>
          </w:rPr>
          <w:t>באור הגר"א או"ח סי' שי"ד סק"ד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Toc163506306 \h</w:instrText>
        </w:r>
        <w:r>
          <w:rPr>
            <w:webHidden/>
            <w:rtl/>
          </w:rPr>
          <w:instrText xml:space="preserve"> </w:instrText>
        </w:r>
        <w:r>
          <w:rPr>
            <w:rStyle w:val="Hyperlink"/>
            <w:rtl/>
          </w:rPr>
        </w:r>
        <w:r>
          <w:rPr>
            <w:rStyle w:val="Hyperlink"/>
            <w:rtl/>
          </w:rPr>
          <w:fldChar w:fldCharType="separate"/>
        </w:r>
        <w:r w:rsidR="00D82181">
          <w:rPr>
            <w:webHidden/>
            <w:rtl/>
          </w:rPr>
          <w:t>167</w:t>
        </w:r>
        <w:r>
          <w:rPr>
            <w:rStyle w:val="Hyperlink"/>
            <w:rtl/>
          </w:rPr>
          <w:fldChar w:fldCharType="end"/>
        </w:r>
      </w:hyperlink>
    </w:p>
    <w:p w14:paraId="523FE0A6" w14:textId="060D2492" w:rsidR="008009AA" w:rsidRDefault="008009AA">
      <w:pPr>
        <w:pStyle w:val="TOC7"/>
        <w:rPr>
          <w:rFonts w:cstheme="minorBidi"/>
          <w:sz w:val="22"/>
          <w:szCs w:val="22"/>
          <w:rtl/>
        </w:rPr>
      </w:pPr>
      <w:hyperlink w:anchor="_Toc163506307" w:history="1">
        <w:r w:rsidRPr="007246E7">
          <w:rPr>
            <w:rStyle w:val="Hyperlink"/>
            <w:rtl/>
          </w:rPr>
          <w:t>שלטי הגבורים שבת ס"א ע"ב מדה"ר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Toc163506307 \h</w:instrText>
        </w:r>
        <w:r>
          <w:rPr>
            <w:webHidden/>
            <w:rtl/>
          </w:rPr>
          <w:instrText xml:space="preserve"> </w:instrText>
        </w:r>
        <w:r>
          <w:rPr>
            <w:rStyle w:val="Hyperlink"/>
            <w:rtl/>
          </w:rPr>
        </w:r>
        <w:r>
          <w:rPr>
            <w:rStyle w:val="Hyperlink"/>
            <w:rtl/>
          </w:rPr>
          <w:fldChar w:fldCharType="separate"/>
        </w:r>
        <w:r w:rsidR="00D82181">
          <w:rPr>
            <w:webHidden/>
            <w:rtl/>
          </w:rPr>
          <w:t>167</w:t>
        </w:r>
        <w:r>
          <w:rPr>
            <w:rStyle w:val="Hyperlink"/>
            <w:rtl/>
          </w:rPr>
          <w:fldChar w:fldCharType="end"/>
        </w:r>
      </w:hyperlink>
    </w:p>
    <w:p w14:paraId="779A1EDC" w14:textId="66F573FD" w:rsidR="008009AA" w:rsidRDefault="008009AA">
      <w:pPr>
        <w:pStyle w:val="TOC7"/>
        <w:rPr>
          <w:rFonts w:cstheme="minorBidi"/>
          <w:sz w:val="22"/>
          <w:szCs w:val="22"/>
          <w:rtl/>
        </w:rPr>
      </w:pPr>
      <w:hyperlink w:anchor="_Toc163506308" w:history="1">
        <w:r w:rsidRPr="007246E7">
          <w:rPr>
            <w:rStyle w:val="Hyperlink"/>
            <w:rtl/>
          </w:rPr>
          <w:t>טל אורות הספרדי מלאכת בונה ד"ה ומן האמור בזה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Toc163506308 \h</w:instrText>
        </w:r>
        <w:r>
          <w:rPr>
            <w:webHidden/>
            <w:rtl/>
          </w:rPr>
          <w:instrText xml:space="preserve"> </w:instrText>
        </w:r>
        <w:r>
          <w:rPr>
            <w:rStyle w:val="Hyperlink"/>
            <w:rtl/>
          </w:rPr>
        </w:r>
        <w:r>
          <w:rPr>
            <w:rStyle w:val="Hyperlink"/>
            <w:rtl/>
          </w:rPr>
          <w:fldChar w:fldCharType="separate"/>
        </w:r>
        <w:r w:rsidR="00D82181">
          <w:rPr>
            <w:webHidden/>
            <w:rtl/>
          </w:rPr>
          <w:t>167</w:t>
        </w:r>
        <w:r>
          <w:rPr>
            <w:rStyle w:val="Hyperlink"/>
            <w:rtl/>
          </w:rPr>
          <w:fldChar w:fldCharType="end"/>
        </w:r>
      </w:hyperlink>
    </w:p>
    <w:p w14:paraId="6E9EE6F7" w14:textId="608F2962" w:rsidR="008009AA" w:rsidRDefault="008009AA">
      <w:pPr>
        <w:pStyle w:val="TOC7"/>
        <w:rPr>
          <w:rFonts w:cstheme="minorBidi"/>
          <w:sz w:val="22"/>
          <w:szCs w:val="22"/>
          <w:rtl/>
        </w:rPr>
      </w:pPr>
      <w:hyperlink w:anchor="_Toc163506309" w:history="1">
        <w:r w:rsidRPr="007246E7">
          <w:rPr>
            <w:rStyle w:val="Hyperlink"/>
            <w:rtl/>
          </w:rPr>
          <w:t>ר"ן על הרי"ף ביצה י"ט ע"א מדה"ר ד"ה ואע"ג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Toc163506309 \h</w:instrText>
        </w:r>
        <w:r>
          <w:rPr>
            <w:webHidden/>
            <w:rtl/>
          </w:rPr>
          <w:instrText xml:space="preserve"> </w:instrText>
        </w:r>
        <w:r>
          <w:rPr>
            <w:rStyle w:val="Hyperlink"/>
            <w:rtl/>
          </w:rPr>
        </w:r>
        <w:r>
          <w:rPr>
            <w:rStyle w:val="Hyperlink"/>
            <w:rtl/>
          </w:rPr>
          <w:fldChar w:fldCharType="separate"/>
        </w:r>
        <w:r w:rsidR="00D82181">
          <w:rPr>
            <w:webHidden/>
            <w:rtl/>
          </w:rPr>
          <w:t>167</w:t>
        </w:r>
        <w:r>
          <w:rPr>
            <w:rStyle w:val="Hyperlink"/>
            <w:rtl/>
          </w:rPr>
          <w:fldChar w:fldCharType="end"/>
        </w:r>
      </w:hyperlink>
    </w:p>
    <w:p w14:paraId="610F741C" w14:textId="26FD8A3D" w:rsidR="008009AA" w:rsidRDefault="008009AA">
      <w:pPr>
        <w:pStyle w:val="TOC7"/>
        <w:rPr>
          <w:rFonts w:cstheme="minorBidi"/>
          <w:sz w:val="22"/>
          <w:szCs w:val="22"/>
          <w:rtl/>
        </w:rPr>
      </w:pPr>
      <w:hyperlink w:anchor="_Toc163506310" w:history="1">
        <w:r w:rsidRPr="007246E7">
          <w:rPr>
            <w:rStyle w:val="Hyperlink"/>
            <w:rtl/>
          </w:rPr>
          <w:t>תוספות שבת קמ"ו ע"א ד"ה שובר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Toc163506310 \h</w:instrText>
        </w:r>
        <w:r>
          <w:rPr>
            <w:webHidden/>
            <w:rtl/>
          </w:rPr>
          <w:instrText xml:space="preserve"> </w:instrText>
        </w:r>
        <w:r>
          <w:rPr>
            <w:rStyle w:val="Hyperlink"/>
            <w:rtl/>
          </w:rPr>
        </w:r>
        <w:r>
          <w:rPr>
            <w:rStyle w:val="Hyperlink"/>
            <w:rtl/>
          </w:rPr>
          <w:fldChar w:fldCharType="separate"/>
        </w:r>
        <w:r w:rsidR="00D82181">
          <w:rPr>
            <w:webHidden/>
            <w:rtl/>
          </w:rPr>
          <w:t>167</w:t>
        </w:r>
        <w:r>
          <w:rPr>
            <w:rStyle w:val="Hyperlink"/>
            <w:rtl/>
          </w:rPr>
          <w:fldChar w:fldCharType="end"/>
        </w:r>
      </w:hyperlink>
    </w:p>
    <w:p w14:paraId="28E6430B" w14:textId="722B314C" w:rsidR="008009AA" w:rsidRDefault="008009AA">
      <w:pPr>
        <w:pStyle w:val="TOC7"/>
        <w:rPr>
          <w:rFonts w:cstheme="minorBidi"/>
          <w:sz w:val="22"/>
          <w:szCs w:val="22"/>
          <w:rtl/>
        </w:rPr>
      </w:pPr>
      <w:hyperlink w:anchor="_Toc163506311" w:history="1">
        <w:r w:rsidRPr="007246E7">
          <w:rPr>
            <w:rStyle w:val="Hyperlink"/>
            <w:rtl/>
          </w:rPr>
          <w:t>תוספות עירובין ל"ד ע"ב ד"ה ואמאי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Toc163506311 \h</w:instrText>
        </w:r>
        <w:r>
          <w:rPr>
            <w:webHidden/>
            <w:rtl/>
          </w:rPr>
          <w:instrText xml:space="preserve"> </w:instrText>
        </w:r>
        <w:r>
          <w:rPr>
            <w:rStyle w:val="Hyperlink"/>
            <w:rtl/>
          </w:rPr>
        </w:r>
        <w:r>
          <w:rPr>
            <w:rStyle w:val="Hyperlink"/>
            <w:rtl/>
          </w:rPr>
          <w:fldChar w:fldCharType="separate"/>
        </w:r>
        <w:r w:rsidR="00D82181">
          <w:rPr>
            <w:webHidden/>
            <w:rtl/>
          </w:rPr>
          <w:t>167</w:t>
        </w:r>
        <w:r>
          <w:rPr>
            <w:rStyle w:val="Hyperlink"/>
            <w:rtl/>
          </w:rPr>
          <w:fldChar w:fldCharType="end"/>
        </w:r>
      </w:hyperlink>
    </w:p>
    <w:p w14:paraId="24A6D3EA" w14:textId="26E4B7EA" w:rsidR="008009AA" w:rsidRDefault="008009AA">
      <w:pPr>
        <w:pStyle w:val="TOC7"/>
        <w:rPr>
          <w:rFonts w:cstheme="minorBidi"/>
          <w:sz w:val="22"/>
          <w:szCs w:val="22"/>
          <w:rtl/>
        </w:rPr>
      </w:pPr>
      <w:hyperlink w:anchor="_Toc163506312" w:history="1">
        <w:r w:rsidRPr="007246E7">
          <w:rPr>
            <w:rStyle w:val="Hyperlink"/>
            <w:rtl/>
          </w:rPr>
          <w:t>חדושי הרשב"א שבת קמ"ו ע"א ד"ה ובתוספות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Toc163506312 \h</w:instrText>
        </w:r>
        <w:r>
          <w:rPr>
            <w:webHidden/>
            <w:rtl/>
          </w:rPr>
          <w:instrText xml:space="preserve"> </w:instrText>
        </w:r>
        <w:r>
          <w:rPr>
            <w:rStyle w:val="Hyperlink"/>
            <w:rtl/>
          </w:rPr>
        </w:r>
        <w:r>
          <w:rPr>
            <w:rStyle w:val="Hyperlink"/>
            <w:rtl/>
          </w:rPr>
          <w:fldChar w:fldCharType="separate"/>
        </w:r>
        <w:r w:rsidR="00D82181">
          <w:rPr>
            <w:webHidden/>
            <w:rtl/>
          </w:rPr>
          <w:t>167</w:t>
        </w:r>
        <w:r>
          <w:rPr>
            <w:rStyle w:val="Hyperlink"/>
            <w:rtl/>
          </w:rPr>
          <w:fldChar w:fldCharType="end"/>
        </w:r>
      </w:hyperlink>
    </w:p>
    <w:p w14:paraId="2F1C8676" w14:textId="05E348CD" w:rsidR="008009AA" w:rsidRDefault="008009AA">
      <w:pPr>
        <w:pStyle w:val="TOC7"/>
        <w:rPr>
          <w:rFonts w:cstheme="minorBidi"/>
          <w:sz w:val="22"/>
          <w:szCs w:val="22"/>
          <w:rtl/>
        </w:rPr>
      </w:pPr>
      <w:hyperlink w:anchor="_Toc163506313" w:history="1">
        <w:r w:rsidRPr="007246E7">
          <w:rPr>
            <w:rStyle w:val="Hyperlink"/>
            <w:rtl/>
          </w:rPr>
          <w:t>חדושי הריטב"א שבת קמ"ו ע"א ד"ה ובתוספות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Toc163506313 \h</w:instrText>
        </w:r>
        <w:r>
          <w:rPr>
            <w:webHidden/>
            <w:rtl/>
          </w:rPr>
          <w:instrText xml:space="preserve"> </w:instrText>
        </w:r>
        <w:r>
          <w:rPr>
            <w:rStyle w:val="Hyperlink"/>
            <w:rtl/>
          </w:rPr>
        </w:r>
        <w:r>
          <w:rPr>
            <w:rStyle w:val="Hyperlink"/>
            <w:rtl/>
          </w:rPr>
          <w:fldChar w:fldCharType="separate"/>
        </w:r>
        <w:r w:rsidR="00D82181">
          <w:rPr>
            <w:webHidden/>
            <w:rtl/>
          </w:rPr>
          <w:t>167</w:t>
        </w:r>
        <w:r>
          <w:rPr>
            <w:rStyle w:val="Hyperlink"/>
            <w:rtl/>
          </w:rPr>
          <w:fldChar w:fldCharType="end"/>
        </w:r>
      </w:hyperlink>
    </w:p>
    <w:p w14:paraId="745F1729" w14:textId="0FD09ED0" w:rsidR="008009AA" w:rsidRDefault="008009AA">
      <w:pPr>
        <w:pStyle w:val="TOC7"/>
        <w:rPr>
          <w:rFonts w:cstheme="minorBidi"/>
          <w:sz w:val="22"/>
          <w:szCs w:val="22"/>
          <w:rtl/>
        </w:rPr>
      </w:pPr>
      <w:hyperlink w:anchor="_Toc163506314" w:history="1">
        <w:r w:rsidRPr="007246E7">
          <w:rPr>
            <w:rStyle w:val="Hyperlink"/>
            <w:rtl/>
          </w:rPr>
          <w:t>חדושי הר"ן עירובין ל"ד ע"ב ד"ה הכא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Toc163506314 \h</w:instrText>
        </w:r>
        <w:r>
          <w:rPr>
            <w:webHidden/>
            <w:rtl/>
          </w:rPr>
          <w:instrText xml:space="preserve"> </w:instrText>
        </w:r>
        <w:r>
          <w:rPr>
            <w:rStyle w:val="Hyperlink"/>
            <w:rtl/>
          </w:rPr>
        </w:r>
        <w:r>
          <w:rPr>
            <w:rStyle w:val="Hyperlink"/>
            <w:rtl/>
          </w:rPr>
          <w:fldChar w:fldCharType="separate"/>
        </w:r>
        <w:r w:rsidR="00D82181">
          <w:rPr>
            <w:webHidden/>
            <w:rtl/>
          </w:rPr>
          <w:t>167</w:t>
        </w:r>
        <w:r>
          <w:rPr>
            <w:rStyle w:val="Hyperlink"/>
            <w:rtl/>
          </w:rPr>
          <w:fldChar w:fldCharType="end"/>
        </w:r>
      </w:hyperlink>
    </w:p>
    <w:p w14:paraId="7F0865DE" w14:textId="51BABD93" w:rsidR="008009AA" w:rsidRDefault="008009AA">
      <w:pPr>
        <w:pStyle w:val="TOC7"/>
        <w:rPr>
          <w:rFonts w:cstheme="minorBidi"/>
          <w:sz w:val="22"/>
          <w:szCs w:val="22"/>
          <w:rtl/>
        </w:rPr>
      </w:pPr>
      <w:hyperlink w:anchor="_Toc163506315" w:history="1">
        <w:r w:rsidRPr="007246E7">
          <w:rPr>
            <w:rStyle w:val="Hyperlink"/>
            <w:rtl/>
          </w:rPr>
          <w:t>חדושי הרשב"א שבת קמ"ו ע"א ד"ה ואף</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Toc163506315 \h</w:instrText>
        </w:r>
        <w:r>
          <w:rPr>
            <w:webHidden/>
            <w:rtl/>
          </w:rPr>
          <w:instrText xml:space="preserve"> </w:instrText>
        </w:r>
        <w:r>
          <w:rPr>
            <w:rStyle w:val="Hyperlink"/>
            <w:rtl/>
          </w:rPr>
        </w:r>
        <w:r>
          <w:rPr>
            <w:rStyle w:val="Hyperlink"/>
            <w:rtl/>
          </w:rPr>
          <w:fldChar w:fldCharType="separate"/>
        </w:r>
        <w:r w:rsidR="00D82181">
          <w:rPr>
            <w:webHidden/>
            <w:rtl/>
          </w:rPr>
          <w:t>168</w:t>
        </w:r>
        <w:r>
          <w:rPr>
            <w:rStyle w:val="Hyperlink"/>
            <w:rtl/>
          </w:rPr>
          <w:fldChar w:fldCharType="end"/>
        </w:r>
      </w:hyperlink>
    </w:p>
    <w:p w14:paraId="0038FE19" w14:textId="33125E62" w:rsidR="008009AA" w:rsidRDefault="008009AA">
      <w:pPr>
        <w:pStyle w:val="TOC7"/>
        <w:rPr>
          <w:rFonts w:cstheme="minorBidi"/>
          <w:sz w:val="22"/>
          <w:szCs w:val="22"/>
          <w:rtl/>
        </w:rPr>
      </w:pPr>
      <w:hyperlink w:anchor="_Toc163506316" w:history="1">
        <w:r w:rsidRPr="007246E7">
          <w:rPr>
            <w:rStyle w:val="Hyperlink"/>
            <w:rtl/>
          </w:rPr>
          <w:t>חדושי הריטב"א עירובין ל"ה ע"א ד"ה ואיכא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Toc163506316 \h</w:instrText>
        </w:r>
        <w:r>
          <w:rPr>
            <w:webHidden/>
            <w:rtl/>
          </w:rPr>
          <w:instrText xml:space="preserve"> </w:instrText>
        </w:r>
        <w:r>
          <w:rPr>
            <w:rStyle w:val="Hyperlink"/>
            <w:rtl/>
          </w:rPr>
        </w:r>
        <w:r>
          <w:rPr>
            <w:rStyle w:val="Hyperlink"/>
            <w:rtl/>
          </w:rPr>
          <w:fldChar w:fldCharType="separate"/>
        </w:r>
        <w:r w:rsidR="00D82181">
          <w:rPr>
            <w:webHidden/>
            <w:rtl/>
          </w:rPr>
          <w:t>168</w:t>
        </w:r>
        <w:r>
          <w:rPr>
            <w:rStyle w:val="Hyperlink"/>
            <w:rtl/>
          </w:rPr>
          <w:fldChar w:fldCharType="end"/>
        </w:r>
      </w:hyperlink>
    </w:p>
    <w:p w14:paraId="2578AFB8" w14:textId="52C270B1" w:rsidR="008009AA" w:rsidRDefault="008009AA">
      <w:pPr>
        <w:pStyle w:val="TOC7"/>
        <w:rPr>
          <w:rFonts w:cstheme="minorBidi"/>
          <w:sz w:val="22"/>
          <w:szCs w:val="22"/>
          <w:rtl/>
        </w:rPr>
      </w:pPr>
      <w:hyperlink w:anchor="_Toc163506317" w:history="1">
        <w:r w:rsidRPr="007246E7">
          <w:rPr>
            <w:rStyle w:val="Hyperlink"/>
            <w:rtl/>
          </w:rPr>
          <w:t>חדושי הר"ן שבת קמ"ו ע"א ד"ה שובר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Toc163506317 \h</w:instrText>
        </w:r>
        <w:r>
          <w:rPr>
            <w:webHidden/>
            <w:rtl/>
          </w:rPr>
          <w:instrText xml:space="preserve"> </w:instrText>
        </w:r>
        <w:r>
          <w:rPr>
            <w:rStyle w:val="Hyperlink"/>
            <w:rtl/>
          </w:rPr>
        </w:r>
        <w:r>
          <w:rPr>
            <w:rStyle w:val="Hyperlink"/>
            <w:rtl/>
          </w:rPr>
          <w:fldChar w:fldCharType="separate"/>
        </w:r>
        <w:r w:rsidR="00D82181">
          <w:rPr>
            <w:webHidden/>
            <w:rtl/>
          </w:rPr>
          <w:t>168</w:t>
        </w:r>
        <w:r>
          <w:rPr>
            <w:rStyle w:val="Hyperlink"/>
            <w:rtl/>
          </w:rPr>
          <w:fldChar w:fldCharType="end"/>
        </w:r>
      </w:hyperlink>
    </w:p>
    <w:p w14:paraId="21F9E6E3" w14:textId="6844C363" w:rsidR="008009AA" w:rsidRDefault="008009AA">
      <w:pPr>
        <w:pStyle w:val="TOC7"/>
        <w:rPr>
          <w:rFonts w:cstheme="minorBidi"/>
          <w:sz w:val="22"/>
          <w:szCs w:val="22"/>
          <w:rtl/>
        </w:rPr>
      </w:pPr>
      <w:hyperlink w:anchor="_Toc163506318" w:history="1">
        <w:r w:rsidRPr="007246E7">
          <w:rPr>
            <w:rStyle w:val="Hyperlink"/>
            <w:rtl/>
          </w:rPr>
          <w:t>תוספות עירובין ל"ד ע"ב ד"ה ואמאי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Toc163506318 \h</w:instrText>
        </w:r>
        <w:r>
          <w:rPr>
            <w:webHidden/>
            <w:rtl/>
          </w:rPr>
          <w:instrText xml:space="preserve"> </w:instrText>
        </w:r>
        <w:r>
          <w:rPr>
            <w:rStyle w:val="Hyperlink"/>
            <w:rtl/>
          </w:rPr>
        </w:r>
        <w:r>
          <w:rPr>
            <w:rStyle w:val="Hyperlink"/>
            <w:rtl/>
          </w:rPr>
          <w:fldChar w:fldCharType="separate"/>
        </w:r>
        <w:r w:rsidR="00D82181">
          <w:rPr>
            <w:webHidden/>
            <w:rtl/>
          </w:rPr>
          <w:t>168</w:t>
        </w:r>
        <w:r>
          <w:rPr>
            <w:rStyle w:val="Hyperlink"/>
            <w:rtl/>
          </w:rPr>
          <w:fldChar w:fldCharType="end"/>
        </w:r>
      </w:hyperlink>
    </w:p>
    <w:p w14:paraId="0B1B4771" w14:textId="3047D194" w:rsidR="008009AA" w:rsidRDefault="008009AA">
      <w:pPr>
        <w:pStyle w:val="TOC7"/>
        <w:rPr>
          <w:rFonts w:cstheme="minorBidi"/>
          <w:sz w:val="22"/>
          <w:szCs w:val="22"/>
          <w:rtl/>
        </w:rPr>
      </w:pPr>
      <w:hyperlink w:anchor="_Toc163506319" w:history="1">
        <w:r w:rsidRPr="007246E7">
          <w:rPr>
            <w:rStyle w:val="Hyperlink"/>
            <w:rtl/>
          </w:rPr>
          <w:t>תוספות שבת קמ"ו ע"א ד"ה שובר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Toc163506319 \h</w:instrText>
        </w:r>
        <w:r>
          <w:rPr>
            <w:webHidden/>
            <w:rtl/>
          </w:rPr>
          <w:instrText xml:space="preserve"> </w:instrText>
        </w:r>
        <w:r>
          <w:rPr>
            <w:rStyle w:val="Hyperlink"/>
            <w:rtl/>
          </w:rPr>
        </w:r>
        <w:r>
          <w:rPr>
            <w:rStyle w:val="Hyperlink"/>
            <w:rtl/>
          </w:rPr>
          <w:fldChar w:fldCharType="separate"/>
        </w:r>
        <w:r w:rsidR="00D82181">
          <w:rPr>
            <w:webHidden/>
            <w:rtl/>
          </w:rPr>
          <w:t>168</w:t>
        </w:r>
        <w:r>
          <w:rPr>
            <w:rStyle w:val="Hyperlink"/>
            <w:rtl/>
          </w:rPr>
          <w:fldChar w:fldCharType="end"/>
        </w:r>
      </w:hyperlink>
    </w:p>
    <w:p w14:paraId="30907DA3" w14:textId="024221E8" w:rsidR="008009AA" w:rsidRDefault="008009AA">
      <w:pPr>
        <w:pStyle w:val="TOC7"/>
        <w:rPr>
          <w:rFonts w:cstheme="minorBidi"/>
          <w:sz w:val="22"/>
          <w:szCs w:val="22"/>
          <w:rtl/>
        </w:rPr>
      </w:pPr>
      <w:hyperlink w:anchor="_Toc163506320" w:history="1">
        <w:r w:rsidRPr="007246E7">
          <w:rPr>
            <w:rStyle w:val="Hyperlink"/>
            <w:rtl/>
          </w:rPr>
          <w:t>חדושי הרשב"א עירובין ל"ד ע"ב ד"ה הכא.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Toc163506320 \h</w:instrText>
        </w:r>
        <w:r>
          <w:rPr>
            <w:webHidden/>
            <w:rtl/>
          </w:rPr>
          <w:instrText xml:space="preserve"> </w:instrText>
        </w:r>
        <w:r>
          <w:rPr>
            <w:rStyle w:val="Hyperlink"/>
            <w:rtl/>
          </w:rPr>
        </w:r>
        <w:r>
          <w:rPr>
            <w:rStyle w:val="Hyperlink"/>
            <w:rtl/>
          </w:rPr>
          <w:fldChar w:fldCharType="separate"/>
        </w:r>
        <w:r w:rsidR="00D82181">
          <w:rPr>
            <w:webHidden/>
            <w:rtl/>
          </w:rPr>
          <w:t>168</w:t>
        </w:r>
        <w:r>
          <w:rPr>
            <w:rStyle w:val="Hyperlink"/>
            <w:rtl/>
          </w:rPr>
          <w:fldChar w:fldCharType="end"/>
        </w:r>
      </w:hyperlink>
    </w:p>
    <w:p w14:paraId="3230A9E9" w14:textId="3B362C5D" w:rsidR="008009AA" w:rsidRDefault="008009AA">
      <w:pPr>
        <w:pStyle w:val="TOC7"/>
        <w:rPr>
          <w:rFonts w:cstheme="minorBidi"/>
          <w:sz w:val="22"/>
          <w:szCs w:val="22"/>
          <w:rtl/>
        </w:rPr>
      </w:pPr>
      <w:hyperlink w:anchor="_Toc163506321" w:history="1">
        <w:r w:rsidRPr="007246E7">
          <w:rPr>
            <w:rStyle w:val="Hyperlink"/>
            <w:rtl/>
          </w:rPr>
          <w:t>חדושי הריטב"א עירובין ל"ה ע"א ד"ה ואיכא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Toc163506321 \h</w:instrText>
        </w:r>
        <w:r>
          <w:rPr>
            <w:webHidden/>
            <w:rtl/>
          </w:rPr>
          <w:instrText xml:space="preserve"> </w:instrText>
        </w:r>
        <w:r>
          <w:rPr>
            <w:rStyle w:val="Hyperlink"/>
            <w:rtl/>
          </w:rPr>
        </w:r>
        <w:r>
          <w:rPr>
            <w:rStyle w:val="Hyperlink"/>
            <w:rtl/>
          </w:rPr>
          <w:fldChar w:fldCharType="separate"/>
        </w:r>
        <w:r w:rsidR="00D82181">
          <w:rPr>
            <w:webHidden/>
            <w:rtl/>
          </w:rPr>
          <w:t>168</w:t>
        </w:r>
        <w:r>
          <w:rPr>
            <w:rStyle w:val="Hyperlink"/>
            <w:rtl/>
          </w:rPr>
          <w:fldChar w:fldCharType="end"/>
        </w:r>
      </w:hyperlink>
    </w:p>
    <w:p w14:paraId="0FF3255E" w14:textId="3BCED2EA" w:rsidR="008009AA" w:rsidRDefault="008009AA">
      <w:pPr>
        <w:pStyle w:val="TOC7"/>
        <w:rPr>
          <w:rFonts w:cstheme="minorBidi"/>
          <w:sz w:val="22"/>
          <w:szCs w:val="22"/>
          <w:rtl/>
        </w:rPr>
      </w:pPr>
      <w:hyperlink w:anchor="_Toc163506322" w:history="1">
        <w:r w:rsidRPr="007246E7">
          <w:rPr>
            <w:rStyle w:val="Hyperlink"/>
            <w:rtl/>
          </w:rPr>
          <w:t>תוספות הרא"ש עירובין ל"ד ע"ב ד"ה הכא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Toc163506322 \h</w:instrText>
        </w:r>
        <w:r>
          <w:rPr>
            <w:webHidden/>
            <w:rtl/>
          </w:rPr>
          <w:instrText xml:space="preserve"> </w:instrText>
        </w:r>
        <w:r>
          <w:rPr>
            <w:rStyle w:val="Hyperlink"/>
            <w:rtl/>
          </w:rPr>
        </w:r>
        <w:r>
          <w:rPr>
            <w:rStyle w:val="Hyperlink"/>
            <w:rtl/>
          </w:rPr>
          <w:fldChar w:fldCharType="separate"/>
        </w:r>
        <w:r w:rsidR="00D82181">
          <w:rPr>
            <w:webHidden/>
            <w:rtl/>
          </w:rPr>
          <w:t>168</w:t>
        </w:r>
        <w:r>
          <w:rPr>
            <w:rStyle w:val="Hyperlink"/>
            <w:rtl/>
          </w:rPr>
          <w:fldChar w:fldCharType="end"/>
        </w:r>
      </w:hyperlink>
    </w:p>
    <w:p w14:paraId="7DED32D4" w14:textId="690C850D" w:rsidR="008009AA" w:rsidRDefault="008009AA">
      <w:pPr>
        <w:pStyle w:val="TOC7"/>
        <w:rPr>
          <w:rFonts w:cstheme="minorBidi"/>
          <w:sz w:val="22"/>
          <w:szCs w:val="22"/>
          <w:rtl/>
        </w:rPr>
      </w:pPr>
      <w:hyperlink w:anchor="_Toc163506323" w:history="1">
        <w:r w:rsidRPr="007246E7">
          <w:rPr>
            <w:rStyle w:val="Hyperlink"/>
            <w:rtl/>
          </w:rPr>
          <w:t>תוספות רבינו פרץ עירובין ל"ד ע"ב ד"ה הכא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Toc163506323 \h</w:instrText>
        </w:r>
        <w:r>
          <w:rPr>
            <w:webHidden/>
            <w:rtl/>
          </w:rPr>
          <w:instrText xml:space="preserve"> </w:instrText>
        </w:r>
        <w:r>
          <w:rPr>
            <w:rStyle w:val="Hyperlink"/>
            <w:rtl/>
          </w:rPr>
        </w:r>
        <w:r>
          <w:rPr>
            <w:rStyle w:val="Hyperlink"/>
            <w:rtl/>
          </w:rPr>
          <w:fldChar w:fldCharType="separate"/>
        </w:r>
        <w:r w:rsidR="00D82181">
          <w:rPr>
            <w:webHidden/>
            <w:rtl/>
          </w:rPr>
          <w:t>168</w:t>
        </w:r>
        <w:r>
          <w:rPr>
            <w:rStyle w:val="Hyperlink"/>
            <w:rtl/>
          </w:rPr>
          <w:fldChar w:fldCharType="end"/>
        </w:r>
      </w:hyperlink>
    </w:p>
    <w:p w14:paraId="0FC3EB40" w14:textId="17B5B922" w:rsidR="008009AA" w:rsidRDefault="008009AA">
      <w:pPr>
        <w:pStyle w:val="TOC7"/>
        <w:rPr>
          <w:rFonts w:cstheme="minorBidi"/>
          <w:sz w:val="22"/>
          <w:szCs w:val="22"/>
          <w:rtl/>
        </w:rPr>
      </w:pPr>
      <w:hyperlink w:anchor="_Toc163506324" w:history="1">
        <w:r w:rsidRPr="007246E7">
          <w:rPr>
            <w:rStyle w:val="Hyperlink"/>
            <w:rtl/>
          </w:rPr>
          <w:t>בית יוסף או"ח סימן שי"ד א' ד"ה והר"ן</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Toc163506324 \h</w:instrText>
        </w:r>
        <w:r>
          <w:rPr>
            <w:webHidden/>
            <w:rtl/>
          </w:rPr>
          <w:instrText xml:space="preserve"> </w:instrText>
        </w:r>
        <w:r>
          <w:rPr>
            <w:rStyle w:val="Hyperlink"/>
            <w:rtl/>
          </w:rPr>
        </w:r>
        <w:r>
          <w:rPr>
            <w:rStyle w:val="Hyperlink"/>
            <w:rtl/>
          </w:rPr>
          <w:fldChar w:fldCharType="separate"/>
        </w:r>
        <w:r w:rsidR="00D82181">
          <w:rPr>
            <w:webHidden/>
            <w:rtl/>
          </w:rPr>
          <w:t>168</w:t>
        </w:r>
        <w:r>
          <w:rPr>
            <w:rStyle w:val="Hyperlink"/>
            <w:rtl/>
          </w:rPr>
          <w:fldChar w:fldCharType="end"/>
        </w:r>
      </w:hyperlink>
    </w:p>
    <w:p w14:paraId="6A24B004" w14:textId="621441AE" w:rsidR="008009AA" w:rsidRDefault="008009AA">
      <w:pPr>
        <w:pStyle w:val="TOC7"/>
        <w:rPr>
          <w:rFonts w:cstheme="minorBidi"/>
          <w:sz w:val="22"/>
          <w:szCs w:val="22"/>
          <w:rtl/>
        </w:rPr>
      </w:pPr>
      <w:hyperlink w:anchor="_Toc163506325" w:history="1">
        <w:r w:rsidRPr="007246E7">
          <w:rPr>
            <w:rStyle w:val="Hyperlink"/>
            <w:rtl/>
          </w:rPr>
          <w:t>שו"ת אגרות משה או"ח ח"א סי' קכ"ב ענף ה' ד"ה והנכון לע"ד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Toc163506325 \h</w:instrText>
        </w:r>
        <w:r>
          <w:rPr>
            <w:webHidden/>
            <w:rtl/>
          </w:rPr>
          <w:instrText xml:space="preserve"> </w:instrText>
        </w:r>
        <w:r>
          <w:rPr>
            <w:rStyle w:val="Hyperlink"/>
            <w:rtl/>
          </w:rPr>
        </w:r>
        <w:r>
          <w:rPr>
            <w:rStyle w:val="Hyperlink"/>
            <w:rtl/>
          </w:rPr>
          <w:fldChar w:fldCharType="separate"/>
        </w:r>
        <w:r w:rsidR="00D82181">
          <w:rPr>
            <w:webHidden/>
            <w:rtl/>
          </w:rPr>
          <w:t>169</w:t>
        </w:r>
        <w:r>
          <w:rPr>
            <w:rStyle w:val="Hyperlink"/>
            <w:rtl/>
          </w:rPr>
          <w:fldChar w:fldCharType="end"/>
        </w:r>
      </w:hyperlink>
    </w:p>
    <w:p w14:paraId="1C818B62" w14:textId="34F43E82" w:rsidR="008009AA" w:rsidRDefault="008009AA">
      <w:pPr>
        <w:pStyle w:val="TOC7"/>
        <w:rPr>
          <w:rFonts w:cstheme="minorBidi"/>
          <w:sz w:val="22"/>
          <w:szCs w:val="22"/>
          <w:rtl/>
        </w:rPr>
      </w:pPr>
      <w:hyperlink w:anchor="_Toc163506326" w:history="1">
        <w:r w:rsidRPr="007246E7">
          <w:rPr>
            <w:rStyle w:val="Hyperlink"/>
            <w:rtl/>
          </w:rPr>
          <w:t>חידושי רבינו משה קזיס פרק חבית ד"ה ולבאר דין זה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Toc163506326 \h</w:instrText>
        </w:r>
        <w:r>
          <w:rPr>
            <w:webHidden/>
            <w:rtl/>
          </w:rPr>
          <w:instrText xml:space="preserve"> </w:instrText>
        </w:r>
        <w:r>
          <w:rPr>
            <w:rStyle w:val="Hyperlink"/>
            <w:rtl/>
          </w:rPr>
        </w:r>
        <w:r>
          <w:rPr>
            <w:rStyle w:val="Hyperlink"/>
            <w:rtl/>
          </w:rPr>
          <w:fldChar w:fldCharType="separate"/>
        </w:r>
        <w:r w:rsidR="00D82181">
          <w:rPr>
            <w:webHidden/>
            <w:rtl/>
          </w:rPr>
          <w:t>169</w:t>
        </w:r>
        <w:r>
          <w:rPr>
            <w:rStyle w:val="Hyperlink"/>
            <w:rtl/>
          </w:rPr>
          <w:fldChar w:fldCharType="end"/>
        </w:r>
      </w:hyperlink>
    </w:p>
    <w:p w14:paraId="30CCE0BB" w14:textId="66B83239" w:rsidR="008009AA" w:rsidRDefault="008009AA">
      <w:pPr>
        <w:pStyle w:val="TOC7"/>
        <w:rPr>
          <w:rFonts w:cstheme="minorBidi"/>
          <w:sz w:val="22"/>
          <w:szCs w:val="22"/>
          <w:rtl/>
        </w:rPr>
      </w:pPr>
      <w:hyperlink w:anchor="_Toc163506327" w:history="1">
        <w:r w:rsidRPr="007246E7">
          <w:rPr>
            <w:rStyle w:val="Hyperlink"/>
            <w:rtl/>
          </w:rPr>
          <w:t>תהלה לדוד או"ח סי' שי"ד סק"א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Toc163506327 \h</w:instrText>
        </w:r>
        <w:r>
          <w:rPr>
            <w:webHidden/>
            <w:rtl/>
          </w:rPr>
          <w:instrText xml:space="preserve"> </w:instrText>
        </w:r>
        <w:r>
          <w:rPr>
            <w:rStyle w:val="Hyperlink"/>
            <w:rtl/>
          </w:rPr>
        </w:r>
        <w:r>
          <w:rPr>
            <w:rStyle w:val="Hyperlink"/>
            <w:rtl/>
          </w:rPr>
          <w:fldChar w:fldCharType="separate"/>
        </w:r>
        <w:r w:rsidR="00D82181">
          <w:rPr>
            <w:webHidden/>
            <w:rtl/>
          </w:rPr>
          <w:t>169</w:t>
        </w:r>
        <w:r>
          <w:rPr>
            <w:rStyle w:val="Hyperlink"/>
            <w:rtl/>
          </w:rPr>
          <w:fldChar w:fldCharType="end"/>
        </w:r>
      </w:hyperlink>
    </w:p>
    <w:p w14:paraId="3ED62D44" w14:textId="10794056" w:rsidR="008009AA" w:rsidRDefault="008009AA">
      <w:pPr>
        <w:pStyle w:val="TOC7"/>
        <w:rPr>
          <w:rFonts w:cstheme="minorBidi"/>
          <w:sz w:val="22"/>
          <w:szCs w:val="22"/>
          <w:rtl/>
        </w:rPr>
      </w:pPr>
      <w:hyperlink w:anchor="_Toc163506328" w:history="1">
        <w:r w:rsidRPr="007246E7">
          <w:rPr>
            <w:rStyle w:val="Hyperlink"/>
            <w:rtl/>
          </w:rPr>
          <w:t>רמב"ם שבת פ"י הט"ו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Toc163506328 \h</w:instrText>
        </w:r>
        <w:r>
          <w:rPr>
            <w:webHidden/>
            <w:rtl/>
          </w:rPr>
          <w:instrText xml:space="preserve"> </w:instrText>
        </w:r>
        <w:r>
          <w:rPr>
            <w:rStyle w:val="Hyperlink"/>
            <w:rtl/>
          </w:rPr>
        </w:r>
        <w:r>
          <w:rPr>
            <w:rStyle w:val="Hyperlink"/>
            <w:rtl/>
          </w:rPr>
          <w:fldChar w:fldCharType="separate"/>
        </w:r>
        <w:r w:rsidR="00D82181">
          <w:rPr>
            <w:webHidden/>
            <w:rtl/>
          </w:rPr>
          <w:t>169</w:t>
        </w:r>
        <w:r>
          <w:rPr>
            <w:rStyle w:val="Hyperlink"/>
            <w:rtl/>
          </w:rPr>
          <w:fldChar w:fldCharType="end"/>
        </w:r>
      </w:hyperlink>
    </w:p>
    <w:p w14:paraId="3993608C" w14:textId="7419B7C7" w:rsidR="008009AA" w:rsidRDefault="008009AA">
      <w:pPr>
        <w:pStyle w:val="TOC7"/>
        <w:rPr>
          <w:rFonts w:cstheme="minorBidi"/>
          <w:sz w:val="22"/>
          <w:szCs w:val="22"/>
          <w:rtl/>
        </w:rPr>
      </w:pPr>
      <w:hyperlink w:anchor="_Toc163506329" w:history="1">
        <w:r w:rsidRPr="007246E7">
          <w:rPr>
            <w:rStyle w:val="Hyperlink"/>
            <w:rtl/>
          </w:rPr>
          <w:t>לבוש או"ח סי' שי"ד סעיף 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Toc163506329 \h</w:instrText>
        </w:r>
        <w:r>
          <w:rPr>
            <w:webHidden/>
            <w:rtl/>
          </w:rPr>
          <w:instrText xml:space="preserve"> </w:instrText>
        </w:r>
        <w:r>
          <w:rPr>
            <w:rStyle w:val="Hyperlink"/>
            <w:rtl/>
          </w:rPr>
        </w:r>
        <w:r>
          <w:rPr>
            <w:rStyle w:val="Hyperlink"/>
            <w:rtl/>
          </w:rPr>
          <w:fldChar w:fldCharType="separate"/>
        </w:r>
        <w:r w:rsidR="00D82181">
          <w:rPr>
            <w:webHidden/>
            <w:rtl/>
          </w:rPr>
          <w:t>169</w:t>
        </w:r>
        <w:r>
          <w:rPr>
            <w:rStyle w:val="Hyperlink"/>
            <w:rtl/>
          </w:rPr>
          <w:fldChar w:fldCharType="end"/>
        </w:r>
      </w:hyperlink>
    </w:p>
    <w:p w14:paraId="65EBA257" w14:textId="02902E07" w:rsidR="008009AA" w:rsidRDefault="008009AA">
      <w:pPr>
        <w:pStyle w:val="TOC7"/>
        <w:rPr>
          <w:rFonts w:cstheme="minorBidi"/>
          <w:sz w:val="22"/>
          <w:szCs w:val="22"/>
          <w:rtl/>
        </w:rPr>
      </w:pPr>
      <w:hyperlink w:anchor="_Toc163506330" w:history="1">
        <w:r w:rsidRPr="007246E7">
          <w:rPr>
            <w:rStyle w:val="Hyperlink"/>
            <w:rtl/>
          </w:rPr>
          <w:t>פרי מגדים או"ח משבצות זהב סי' שי"ד סק"א ד"ה ואגב גררא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Toc163506330 \h</w:instrText>
        </w:r>
        <w:r>
          <w:rPr>
            <w:webHidden/>
            <w:rtl/>
          </w:rPr>
          <w:instrText xml:space="preserve"> </w:instrText>
        </w:r>
        <w:r>
          <w:rPr>
            <w:rStyle w:val="Hyperlink"/>
            <w:rtl/>
          </w:rPr>
        </w:r>
        <w:r>
          <w:rPr>
            <w:rStyle w:val="Hyperlink"/>
            <w:rtl/>
          </w:rPr>
          <w:fldChar w:fldCharType="separate"/>
        </w:r>
        <w:r w:rsidR="00D82181">
          <w:rPr>
            <w:webHidden/>
            <w:rtl/>
          </w:rPr>
          <w:t>169</w:t>
        </w:r>
        <w:r>
          <w:rPr>
            <w:rStyle w:val="Hyperlink"/>
            <w:rtl/>
          </w:rPr>
          <w:fldChar w:fldCharType="end"/>
        </w:r>
      </w:hyperlink>
    </w:p>
    <w:p w14:paraId="1BBFC863" w14:textId="40CA8E96" w:rsidR="008009AA" w:rsidRDefault="008009AA">
      <w:pPr>
        <w:pStyle w:val="TOC7"/>
        <w:rPr>
          <w:rFonts w:cstheme="minorBidi"/>
          <w:sz w:val="22"/>
          <w:szCs w:val="22"/>
          <w:rtl/>
        </w:rPr>
      </w:pPr>
      <w:hyperlink w:anchor="_Toc163506331" w:history="1">
        <w:r w:rsidRPr="007246E7">
          <w:rPr>
            <w:rStyle w:val="Hyperlink"/>
            <w:rtl/>
          </w:rPr>
          <w:t>פרי מגדים או"ח משבצות זהב סי' שי"ד סק"א ד"ה והנה בלבוש</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Toc163506331 \h</w:instrText>
        </w:r>
        <w:r>
          <w:rPr>
            <w:webHidden/>
            <w:rtl/>
          </w:rPr>
          <w:instrText xml:space="preserve"> </w:instrText>
        </w:r>
        <w:r>
          <w:rPr>
            <w:rStyle w:val="Hyperlink"/>
            <w:rtl/>
          </w:rPr>
        </w:r>
        <w:r>
          <w:rPr>
            <w:rStyle w:val="Hyperlink"/>
            <w:rtl/>
          </w:rPr>
          <w:fldChar w:fldCharType="separate"/>
        </w:r>
        <w:r w:rsidR="00D82181">
          <w:rPr>
            <w:webHidden/>
            <w:rtl/>
          </w:rPr>
          <w:t>169</w:t>
        </w:r>
        <w:r>
          <w:rPr>
            <w:rStyle w:val="Hyperlink"/>
            <w:rtl/>
          </w:rPr>
          <w:fldChar w:fldCharType="end"/>
        </w:r>
      </w:hyperlink>
    </w:p>
    <w:p w14:paraId="27773D35" w14:textId="10551B6B" w:rsidR="008009AA" w:rsidRDefault="008009AA">
      <w:pPr>
        <w:pStyle w:val="TOC7"/>
        <w:rPr>
          <w:rFonts w:cstheme="minorBidi"/>
          <w:sz w:val="22"/>
          <w:szCs w:val="22"/>
          <w:rtl/>
        </w:rPr>
      </w:pPr>
      <w:hyperlink w:anchor="_Toc163506332" w:history="1">
        <w:r w:rsidRPr="007246E7">
          <w:rPr>
            <w:rStyle w:val="Hyperlink"/>
            <w:rtl/>
          </w:rPr>
          <w:t>שו"ת אגרות משה או"ח ח"א סי' קכ"ב ענף ה' ד"ה ולפ"ז הוא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Toc163506332 \h</w:instrText>
        </w:r>
        <w:r>
          <w:rPr>
            <w:webHidden/>
            <w:rtl/>
          </w:rPr>
          <w:instrText xml:space="preserve"> </w:instrText>
        </w:r>
        <w:r>
          <w:rPr>
            <w:rStyle w:val="Hyperlink"/>
            <w:rtl/>
          </w:rPr>
        </w:r>
        <w:r>
          <w:rPr>
            <w:rStyle w:val="Hyperlink"/>
            <w:rtl/>
          </w:rPr>
          <w:fldChar w:fldCharType="separate"/>
        </w:r>
        <w:r w:rsidR="00D82181">
          <w:rPr>
            <w:webHidden/>
            <w:rtl/>
          </w:rPr>
          <w:t>170</w:t>
        </w:r>
        <w:r>
          <w:rPr>
            <w:rStyle w:val="Hyperlink"/>
            <w:rtl/>
          </w:rPr>
          <w:fldChar w:fldCharType="end"/>
        </w:r>
      </w:hyperlink>
    </w:p>
    <w:p w14:paraId="2473D96C" w14:textId="0544E63B" w:rsidR="008009AA" w:rsidRDefault="008009AA">
      <w:pPr>
        <w:pStyle w:val="TOC7"/>
        <w:rPr>
          <w:rFonts w:cstheme="minorBidi"/>
          <w:sz w:val="22"/>
          <w:szCs w:val="22"/>
          <w:rtl/>
        </w:rPr>
      </w:pPr>
      <w:hyperlink w:anchor="_Toc163506333" w:history="1">
        <w:r w:rsidRPr="007246E7">
          <w:rPr>
            <w:rStyle w:val="Hyperlink"/>
            <w:rtl/>
          </w:rPr>
          <w:t>חזון איש או"ח סי' נ"א סק"א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Toc163506333 \h</w:instrText>
        </w:r>
        <w:r>
          <w:rPr>
            <w:webHidden/>
            <w:rtl/>
          </w:rPr>
          <w:instrText xml:space="preserve"> </w:instrText>
        </w:r>
        <w:r>
          <w:rPr>
            <w:rStyle w:val="Hyperlink"/>
            <w:rtl/>
          </w:rPr>
        </w:r>
        <w:r>
          <w:rPr>
            <w:rStyle w:val="Hyperlink"/>
            <w:rtl/>
          </w:rPr>
          <w:fldChar w:fldCharType="separate"/>
        </w:r>
        <w:r w:rsidR="00D82181">
          <w:rPr>
            <w:webHidden/>
            <w:rtl/>
          </w:rPr>
          <w:t>170</w:t>
        </w:r>
        <w:r>
          <w:rPr>
            <w:rStyle w:val="Hyperlink"/>
            <w:rtl/>
          </w:rPr>
          <w:fldChar w:fldCharType="end"/>
        </w:r>
      </w:hyperlink>
    </w:p>
    <w:p w14:paraId="0B68BC6F" w14:textId="415F5D8E" w:rsidR="008009AA" w:rsidRDefault="008009AA">
      <w:pPr>
        <w:pStyle w:val="TOC7"/>
        <w:rPr>
          <w:rFonts w:cstheme="minorBidi"/>
          <w:sz w:val="22"/>
          <w:szCs w:val="22"/>
          <w:rtl/>
        </w:rPr>
      </w:pPr>
      <w:hyperlink w:anchor="_Toc163506334" w:history="1">
        <w:r w:rsidRPr="007246E7">
          <w:rPr>
            <w:rStyle w:val="Hyperlink"/>
            <w:rtl/>
          </w:rPr>
          <w:t>רא"ש עירובין פ"ג סי' 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Toc163506334 \h</w:instrText>
        </w:r>
        <w:r>
          <w:rPr>
            <w:webHidden/>
            <w:rtl/>
          </w:rPr>
          <w:instrText xml:space="preserve"> </w:instrText>
        </w:r>
        <w:r>
          <w:rPr>
            <w:rStyle w:val="Hyperlink"/>
            <w:rtl/>
          </w:rPr>
        </w:r>
        <w:r>
          <w:rPr>
            <w:rStyle w:val="Hyperlink"/>
            <w:rtl/>
          </w:rPr>
          <w:fldChar w:fldCharType="separate"/>
        </w:r>
        <w:r w:rsidR="00D82181">
          <w:rPr>
            <w:webHidden/>
            <w:rtl/>
          </w:rPr>
          <w:t>170</w:t>
        </w:r>
        <w:r>
          <w:rPr>
            <w:rStyle w:val="Hyperlink"/>
            <w:rtl/>
          </w:rPr>
          <w:fldChar w:fldCharType="end"/>
        </w:r>
      </w:hyperlink>
    </w:p>
    <w:p w14:paraId="4C11AAA4" w14:textId="266AE3D7" w:rsidR="008009AA" w:rsidRDefault="008009AA">
      <w:pPr>
        <w:pStyle w:val="TOC7"/>
        <w:rPr>
          <w:rFonts w:cstheme="minorBidi"/>
          <w:sz w:val="22"/>
          <w:szCs w:val="22"/>
          <w:rtl/>
        </w:rPr>
      </w:pPr>
      <w:hyperlink w:anchor="_Toc163506335" w:history="1">
        <w:r w:rsidRPr="007246E7">
          <w:rPr>
            <w:rStyle w:val="Hyperlink"/>
            <w:rtl/>
          </w:rPr>
          <w:t>רא"ש מסכת שבת פכ"ב סי' 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Toc163506335 \h</w:instrText>
        </w:r>
        <w:r>
          <w:rPr>
            <w:webHidden/>
            <w:rtl/>
          </w:rPr>
          <w:instrText xml:space="preserve"> </w:instrText>
        </w:r>
        <w:r>
          <w:rPr>
            <w:rStyle w:val="Hyperlink"/>
            <w:rtl/>
          </w:rPr>
        </w:r>
        <w:r>
          <w:rPr>
            <w:rStyle w:val="Hyperlink"/>
            <w:rtl/>
          </w:rPr>
          <w:fldChar w:fldCharType="separate"/>
        </w:r>
        <w:r w:rsidR="00D82181">
          <w:rPr>
            <w:webHidden/>
            <w:rtl/>
          </w:rPr>
          <w:t>170</w:t>
        </w:r>
        <w:r>
          <w:rPr>
            <w:rStyle w:val="Hyperlink"/>
            <w:rtl/>
          </w:rPr>
          <w:fldChar w:fldCharType="end"/>
        </w:r>
      </w:hyperlink>
    </w:p>
    <w:p w14:paraId="5CCC37E2" w14:textId="18973740" w:rsidR="008009AA" w:rsidRDefault="008009AA">
      <w:pPr>
        <w:pStyle w:val="TOC7"/>
        <w:rPr>
          <w:rFonts w:cstheme="minorBidi"/>
          <w:sz w:val="22"/>
          <w:szCs w:val="22"/>
          <w:rtl/>
        </w:rPr>
      </w:pPr>
      <w:hyperlink w:anchor="_Toc163506336" w:history="1">
        <w:r w:rsidRPr="007246E7">
          <w:rPr>
            <w:rStyle w:val="Hyperlink"/>
            <w:rtl/>
          </w:rPr>
          <w:t>רא"ש שבת פי"ז סי' 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Toc163506336 \h</w:instrText>
        </w:r>
        <w:r>
          <w:rPr>
            <w:webHidden/>
            <w:rtl/>
          </w:rPr>
          <w:instrText xml:space="preserve"> </w:instrText>
        </w:r>
        <w:r>
          <w:rPr>
            <w:rStyle w:val="Hyperlink"/>
            <w:rtl/>
          </w:rPr>
        </w:r>
        <w:r>
          <w:rPr>
            <w:rStyle w:val="Hyperlink"/>
            <w:rtl/>
          </w:rPr>
          <w:fldChar w:fldCharType="separate"/>
        </w:r>
        <w:r w:rsidR="00D82181">
          <w:rPr>
            <w:webHidden/>
            <w:rtl/>
          </w:rPr>
          <w:t>171</w:t>
        </w:r>
        <w:r>
          <w:rPr>
            <w:rStyle w:val="Hyperlink"/>
            <w:rtl/>
          </w:rPr>
          <w:fldChar w:fldCharType="end"/>
        </w:r>
      </w:hyperlink>
    </w:p>
    <w:p w14:paraId="2188BEEE" w14:textId="3FB1DE4A" w:rsidR="008009AA" w:rsidRDefault="008009AA">
      <w:pPr>
        <w:pStyle w:val="TOC7"/>
        <w:rPr>
          <w:rFonts w:cstheme="minorBidi"/>
          <w:sz w:val="22"/>
          <w:szCs w:val="22"/>
          <w:rtl/>
        </w:rPr>
      </w:pPr>
      <w:hyperlink w:anchor="_Toc163506337" w:history="1">
        <w:r w:rsidRPr="007246E7">
          <w:rPr>
            <w:rStyle w:val="Hyperlink"/>
            <w:rtl/>
          </w:rPr>
          <w:t>תוספות הרא"ש עירובין ק"ב ע"ב ד"ה מחזירין</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Toc163506337 \h</w:instrText>
        </w:r>
        <w:r>
          <w:rPr>
            <w:webHidden/>
            <w:rtl/>
          </w:rPr>
          <w:instrText xml:space="preserve"> </w:instrText>
        </w:r>
        <w:r>
          <w:rPr>
            <w:rStyle w:val="Hyperlink"/>
            <w:rtl/>
          </w:rPr>
        </w:r>
        <w:r>
          <w:rPr>
            <w:rStyle w:val="Hyperlink"/>
            <w:rtl/>
          </w:rPr>
          <w:fldChar w:fldCharType="separate"/>
        </w:r>
        <w:r w:rsidR="00D82181">
          <w:rPr>
            <w:webHidden/>
            <w:rtl/>
          </w:rPr>
          <w:t>171</w:t>
        </w:r>
        <w:r>
          <w:rPr>
            <w:rStyle w:val="Hyperlink"/>
            <w:rtl/>
          </w:rPr>
          <w:fldChar w:fldCharType="end"/>
        </w:r>
      </w:hyperlink>
    </w:p>
    <w:p w14:paraId="16118489" w14:textId="76C00099" w:rsidR="008009AA" w:rsidRDefault="008009AA">
      <w:pPr>
        <w:pStyle w:val="TOC7"/>
        <w:rPr>
          <w:rFonts w:cstheme="minorBidi"/>
          <w:sz w:val="22"/>
          <w:szCs w:val="22"/>
          <w:rtl/>
        </w:rPr>
      </w:pPr>
      <w:hyperlink w:anchor="_Toc163506338" w:history="1">
        <w:r w:rsidRPr="007246E7">
          <w:rPr>
            <w:rStyle w:val="Hyperlink"/>
            <w:rtl/>
          </w:rPr>
          <w:t>פרי מגדים או"ח משבצות זהב סי' שי"ד סק"א ד"ה ועיין רא"ש</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Toc163506338 \h</w:instrText>
        </w:r>
        <w:r>
          <w:rPr>
            <w:webHidden/>
            <w:rtl/>
          </w:rPr>
          <w:instrText xml:space="preserve"> </w:instrText>
        </w:r>
        <w:r>
          <w:rPr>
            <w:rStyle w:val="Hyperlink"/>
            <w:rtl/>
          </w:rPr>
        </w:r>
        <w:r>
          <w:rPr>
            <w:rStyle w:val="Hyperlink"/>
            <w:rtl/>
          </w:rPr>
          <w:fldChar w:fldCharType="separate"/>
        </w:r>
        <w:r w:rsidR="00D82181">
          <w:rPr>
            <w:webHidden/>
            <w:rtl/>
          </w:rPr>
          <w:t>171</w:t>
        </w:r>
        <w:r>
          <w:rPr>
            <w:rStyle w:val="Hyperlink"/>
            <w:rtl/>
          </w:rPr>
          <w:fldChar w:fldCharType="end"/>
        </w:r>
      </w:hyperlink>
    </w:p>
    <w:p w14:paraId="3916279A" w14:textId="49CCC244" w:rsidR="008009AA" w:rsidRDefault="008009AA">
      <w:pPr>
        <w:pStyle w:val="TOC7"/>
        <w:rPr>
          <w:rFonts w:cstheme="minorBidi"/>
          <w:sz w:val="22"/>
          <w:szCs w:val="22"/>
          <w:rtl/>
        </w:rPr>
      </w:pPr>
      <w:hyperlink w:anchor="_Toc163506339" w:history="1">
        <w:r w:rsidRPr="007246E7">
          <w:rPr>
            <w:rStyle w:val="Hyperlink"/>
            <w:rtl/>
          </w:rPr>
          <w:t>רמב"ם שבת פכ"ב הכ"ה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Toc163506339 \h</w:instrText>
        </w:r>
        <w:r>
          <w:rPr>
            <w:webHidden/>
            <w:rtl/>
          </w:rPr>
          <w:instrText xml:space="preserve"> </w:instrText>
        </w:r>
        <w:r>
          <w:rPr>
            <w:rStyle w:val="Hyperlink"/>
            <w:rtl/>
          </w:rPr>
        </w:r>
        <w:r>
          <w:rPr>
            <w:rStyle w:val="Hyperlink"/>
            <w:rtl/>
          </w:rPr>
          <w:fldChar w:fldCharType="separate"/>
        </w:r>
        <w:r w:rsidR="00D82181">
          <w:rPr>
            <w:webHidden/>
            <w:rtl/>
          </w:rPr>
          <w:t>175</w:t>
        </w:r>
        <w:r>
          <w:rPr>
            <w:rStyle w:val="Hyperlink"/>
            <w:rtl/>
          </w:rPr>
          <w:fldChar w:fldCharType="end"/>
        </w:r>
      </w:hyperlink>
    </w:p>
    <w:p w14:paraId="21FA22C1" w14:textId="38A17E2E" w:rsidR="008009AA" w:rsidRDefault="008009AA">
      <w:pPr>
        <w:pStyle w:val="TOC7"/>
        <w:rPr>
          <w:rFonts w:cstheme="minorBidi"/>
          <w:sz w:val="22"/>
          <w:szCs w:val="22"/>
          <w:rtl/>
        </w:rPr>
      </w:pPr>
      <w:hyperlink w:anchor="_Toc163506340" w:history="1">
        <w:r w:rsidRPr="007246E7">
          <w:rPr>
            <w:rStyle w:val="Hyperlink"/>
            <w:rtl/>
          </w:rPr>
          <w:t>מגיד משנה שבת פכ"ב הכ"ה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Toc163506340 \h</w:instrText>
        </w:r>
        <w:r>
          <w:rPr>
            <w:webHidden/>
            <w:rtl/>
          </w:rPr>
          <w:instrText xml:space="preserve"> </w:instrText>
        </w:r>
        <w:r>
          <w:rPr>
            <w:rStyle w:val="Hyperlink"/>
            <w:rtl/>
          </w:rPr>
        </w:r>
        <w:r>
          <w:rPr>
            <w:rStyle w:val="Hyperlink"/>
            <w:rtl/>
          </w:rPr>
          <w:fldChar w:fldCharType="separate"/>
        </w:r>
        <w:r w:rsidR="00D82181">
          <w:rPr>
            <w:webHidden/>
            <w:rtl/>
          </w:rPr>
          <w:t>175</w:t>
        </w:r>
        <w:r>
          <w:rPr>
            <w:rStyle w:val="Hyperlink"/>
            <w:rtl/>
          </w:rPr>
          <w:fldChar w:fldCharType="end"/>
        </w:r>
      </w:hyperlink>
    </w:p>
    <w:p w14:paraId="1413F77E" w14:textId="0E68B408" w:rsidR="008009AA" w:rsidRDefault="008009AA">
      <w:pPr>
        <w:pStyle w:val="TOC7"/>
        <w:rPr>
          <w:rFonts w:cstheme="minorBidi"/>
          <w:sz w:val="22"/>
          <w:szCs w:val="22"/>
          <w:rtl/>
        </w:rPr>
      </w:pPr>
      <w:hyperlink w:anchor="_Toc163506341" w:history="1">
        <w:r w:rsidRPr="007246E7">
          <w:rPr>
            <w:rStyle w:val="Hyperlink"/>
            <w:rtl/>
          </w:rPr>
          <w:t>רי"ף שבת מ"ז ע"א מדה"ר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Toc163506341 \h</w:instrText>
        </w:r>
        <w:r>
          <w:rPr>
            <w:webHidden/>
            <w:rtl/>
          </w:rPr>
          <w:instrText xml:space="preserve"> </w:instrText>
        </w:r>
        <w:r>
          <w:rPr>
            <w:rStyle w:val="Hyperlink"/>
            <w:rtl/>
          </w:rPr>
        </w:r>
        <w:r>
          <w:rPr>
            <w:rStyle w:val="Hyperlink"/>
            <w:rtl/>
          </w:rPr>
          <w:fldChar w:fldCharType="separate"/>
        </w:r>
        <w:r w:rsidR="00D82181">
          <w:rPr>
            <w:webHidden/>
            <w:rtl/>
          </w:rPr>
          <w:t>175</w:t>
        </w:r>
        <w:r>
          <w:rPr>
            <w:rStyle w:val="Hyperlink"/>
            <w:rtl/>
          </w:rPr>
          <w:fldChar w:fldCharType="end"/>
        </w:r>
      </w:hyperlink>
    </w:p>
    <w:p w14:paraId="5D0A6B26" w14:textId="6B25A396" w:rsidR="008009AA" w:rsidRDefault="008009AA">
      <w:pPr>
        <w:pStyle w:val="TOC7"/>
        <w:rPr>
          <w:rFonts w:cstheme="minorBidi"/>
          <w:sz w:val="22"/>
          <w:szCs w:val="22"/>
          <w:rtl/>
        </w:rPr>
      </w:pPr>
      <w:hyperlink w:anchor="_Toc163506342" w:history="1">
        <w:r w:rsidRPr="007246E7">
          <w:rPr>
            <w:rStyle w:val="Hyperlink"/>
            <w:rtl/>
          </w:rPr>
          <w:t>מאירי שבת קכ"ב ע"ב ד"ה גדולי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Toc163506342 \h</w:instrText>
        </w:r>
        <w:r>
          <w:rPr>
            <w:webHidden/>
            <w:rtl/>
          </w:rPr>
          <w:instrText xml:space="preserve"> </w:instrText>
        </w:r>
        <w:r>
          <w:rPr>
            <w:rStyle w:val="Hyperlink"/>
            <w:rtl/>
          </w:rPr>
        </w:r>
        <w:r>
          <w:rPr>
            <w:rStyle w:val="Hyperlink"/>
            <w:rtl/>
          </w:rPr>
          <w:fldChar w:fldCharType="separate"/>
        </w:r>
        <w:r w:rsidR="00D82181">
          <w:rPr>
            <w:webHidden/>
            <w:rtl/>
          </w:rPr>
          <w:t>175</w:t>
        </w:r>
        <w:r>
          <w:rPr>
            <w:rStyle w:val="Hyperlink"/>
            <w:rtl/>
          </w:rPr>
          <w:fldChar w:fldCharType="end"/>
        </w:r>
      </w:hyperlink>
    </w:p>
    <w:p w14:paraId="73BD6A7E" w14:textId="40250158" w:rsidR="008009AA" w:rsidRDefault="008009AA">
      <w:pPr>
        <w:pStyle w:val="TOC7"/>
        <w:rPr>
          <w:rFonts w:cstheme="minorBidi"/>
          <w:sz w:val="22"/>
          <w:szCs w:val="22"/>
          <w:rtl/>
        </w:rPr>
      </w:pPr>
      <w:hyperlink w:anchor="_Toc163506343" w:history="1">
        <w:r w:rsidRPr="007246E7">
          <w:rPr>
            <w:rStyle w:val="Hyperlink"/>
            <w:rtl/>
          </w:rPr>
          <w:t>בית יוסף או"ח סי' ש"ח ט' ד"ה גזירה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Toc163506343 \h</w:instrText>
        </w:r>
        <w:r>
          <w:rPr>
            <w:webHidden/>
            <w:rtl/>
          </w:rPr>
          <w:instrText xml:space="preserve"> </w:instrText>
        </w:r>
        <w:r>
          <w:rPr>
            <w:rStyle w:val="Hyperlink"/>
            <w:rtl/>
          </w:rPr>
        </w:r>
        <w:r>
          <w:rPr>
            <w:rStyle w:val="Hyperlink"/>
            <w:rtl/>
          </w:rPr>
          <w:fldChar w:fldCharType="separate"/>
        </w:r>
        <w:r w:rsidR="00D82181">
          <w:rPr>
            <w:webHidden/>
            <w:rtl/>
          </w:rPr>
          <w:t>175</w:t>
        </w:r>
        <w:r>
          <w:rPr>
            <w:rStyle w:val="Hyperlink"/>
            <w:rtl/>
          </w:rPr>
          <w:fldChar w:fldCharType="end"/>
        </w:r>
      </w:hyperlink>
    </w:p>
    <w:p w14:paraId="44AB4DDF" w14:textId="3BEAA597" w:rsidR="008009AA" w:rsidRDefault="008009AA">
      <w:pPr>
        <w:pStyle w:val="TOC7"/>
        <w:rPr>
          <w:rFonts w:cstheme="minorBidi"/>
          <w:sz w:val="22"/>
          <w:szCs w:val="22"/>
          <w:rtl/>
        </w:rPr>
      </w:pPr>
      <w:hyperlink w:anchor="_Toc163506344" w:history="1">
        <w:r w:rsidRPr="007246E7">
          <w:rPr>
            <w:rStyle w:val="Hyperlink"/>
            <w:rtl/>
          </w:rPr>
          <w:t>ר"ן על הרי"ף שבת מ"ז ע"א מדה"ר ד"ה גזירה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Toc163506344 \h</w:instrText>
        </w:r>
        <w:r>
          <w:rPr>
            <w:webHidden/>
            <w:rtl/>
          </w:rPr>
          <w:instrText xml:space="preserve"> </w:instrText>
        </w:r>
        <w:r>
          <w:rPr>
            <w:rStyle w:val="Hyperlink"/>
            <w:rtl/>
          </w:rPr>
        </w:r>
        <w:r>
          <w:rPr>
            <w:rStyle w:val="Hyperlink"/>
            <w:rtl/>
          </w:rPr>
          <w:fldChar w:fldCharType="separate"/>
        </w:r>
        <w:r w:rsidR="00D82181">
          <w:rPr>
            <w:webHidden/>
            <w:rtl/>
          </w:rPr>
          <w:t>175</w:t>
        </w:r>
        <w:r>
          <w:rPr>
            <w:rStyle w:val="Hyperlink"/>
            <w:rtl/>
          </w:rPr>
          <w:fldChar w:fldCharType="end"/>
        </w:r>
      </w:hyperlink>
    </w:p>
    <w:p w14:paraId="7AD745A4" w14:textId="1E27B258" w:rsidR="008009AA" w:rsidRDefault="008009AA">
      <w:pPr>
        <w:pStyle w:val="TOC7"/>
        <w:rPr>
          <w:rFonts w:cstheme="minorBidi"/>
          <w:sz w:val="22"/>
          <w:szCs w:val="22"/>
          <w:rtl/>
        </w:rPr>
      </w:pPr>
      <w:hyperlink w:anchor="_Toc163506345" w:history="1">
        <w:r w:rsidRPr="007246E7">
          <w:rPr>
            <w:rStyle w:val="Hyperlink"/>
            <w:rtl/>
          </w:rPr>
          <w:t>מרכבת המשנה שבת פ"י הי"ד ד"ה ומה שנראה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Toc163506345 \h</w:instrText>
        </w:r>
        <w:r>
          <w:rPr>
            <w:webHidden/>
            <w:rtl/>
          </w:rPr>
          <w:instrText xml:space="preserve"> </w:instrText>
        </w:r>
        <w:r>
          <w:rPr>
            <w:rStyle w:val="Hyperlink"/>
            <w:rtl/>
          </w:rPr>
        </w:r>
        <w:r>
          <w:rPr>
            <w:rStyle w:val="Hyperlink"/>
            <w:rtl/>
          </w:rPr>
          <w:fldChar w:fldCharType="separate"/>
        </w:r>
        <w:r w:rsidR="00D82181">
          <w:rPr>
            <w:webHidden/>
            <w:rtl/>
          </w:rPr>
          <w:t>175</w:t>
        </w:r>
        <w:r>
          <w:rPr>
            <w:rStyle w:val="Hyperlink"/>
            <w:rtl/>
          </w:rPr>
          <w:fldChar w:fldCharType="end"/>
        </w:r>
      </w:hyperlink>
    </w:p>
    <w:p w14:paraId="2F97986B" w14:textId="19BA0751" w:rsidR="008009AA" w:rsidRDefault="008009AA">
      <w:pPr>
        <w:pStyle w:val="TOC7"/>
        <w:rPr>
          <w:rFonts w:cstheme="minorBidi"/>
          <w:sz w:val="22"/>
          <w:szCs w:val="22"/>
          <w:rtl/>
        </w:rPr>
      </w:pPr>
      <w:hyperlink w:anchor="_Toc163506346" w:history="1">
        <w:r w:rsidRPr="007246E7">
          <w:rPr>
            <w:rStyle w:val="Hyperlink"/>
            <w:rtl/>
          </w:rPr>
          <w:t>ב"ח או"ח סי' ש"ח 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Toc163506346 \h</w:instrText>
        </w:r>
        <w:r>
          <w:rPr>
            <w:webHidden/>
            <w:rtl/>
          </w:rPr>
          <w:instrText xml:space="preserve"> </w:instrText>
        </w:r>
        <w:r>
          <w:rPr>
            <w:rStyle w:val="Hyperlink"/>
            <w:rtl/>
          </w:rPr>
        </w:r>
        <w:r>
          <w:rPr>
            <w:rStyle w:val="Hyperlink"/>
            <w:rtl/>
          </w:rPr>
          <w:fldChar w:fldCharType="separate"/>
        </w:r>
        <w:r w:rsidR="00D82181">
          <w:rPr>
            <w:webHidden/>
            <w:rtl/>
          </w:rPr>
          <w:t>175</w:t>
        </w:r>
        <w:r>
          <w:rPr>
            <w:rStyle w:val="Hyperlink"/>
            <w:rtl/>
          </w:rPr>
          <w:fldChar w:fldCharType="end"/>
        </w:r>
      </w:hyperlink>
    </w:p>
    <w:p w14:paraId="65BF13D1" w14:textId="653C77B6" w:rsidR="008009AA" w:rsidRDefault="008009AA">
      <w:pPr>
        <w:pStyle w:val="TOC7"/>
        <w:rPr>
          <w:rFonts w:cstheme="minorBidi"/>
          <w:sz w:val="22"/>
          <w:szCs w:val="22"/>
          <w:rtl/>
        </w:rPr>
      </w:pPr>
      <w:hyperlink w:anchor="_Toc163506347" w:history="1">
        <w:r w:rsidRPr="007246E7">
          <w:rPr>
            <w:rStyle w:val="Hyperlink"/>
            <w:rtl/>
          </w:rPr>
          <w:t>עולת שבת סי' ש"ח ס"ק כ"א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Toc163506347 \h</w:instrText>
        </w:r>
        <w:r>
          <w:rPr>
            <w:webHidden/>
            <w:rtl/>
          </w:rPr>
          <w:instrText xml:space="preserve"> </w:instrText>
        </w:r>
        <w:r>
          <w:rPr>
            <w:rStyle w:val="Hyperlink"/>
            <w:rtl/>
          </w:rPr>
        </w:r>
        <w:r>
          <w:rPr>
            <w:rStyle w:val="Hyperlink"/>
            <w:rtl/>
          </w:rPr>
          <w:fldChar w:fldCharType="separate"/>
        </w:r>
        <w:r w:rsidR="00D82181">
          <w:rPr>
            <w:webHidden/>
            <w:rtl/>
          </w:rPr>
          <w:t>175</w:t>
        </w:r>
        <w:r>
          <w:rPr>
            <w:rStyle w:val="Hyperlink"/>
            <w:rtl/>
          </w:rPr>
          <w:fldChar w:fldCharType="end"/>
        </w:r>
      </w:hyperlink>
    </w:p>
    <w:p w14:paraId="6E6815AF" w14:textId="5800ABAC" w:rsidR="008009AA" w:rsidRDefault="008009AA">
      <w:pPr>
        <w:pStyle w:val="TOC7"/>
        <w:rPr>
          <w:rFonts w:cstheme="minorBidi"/>
          <w:sz w:val="22"/>
          <w:szCs w:val="22"/>
          <w:rtl/>
        </w:rPr>
      </w:pPr>
      <w:hyperlink w:anchor="_Toc163506348" w:history="1">
        <w:r w:rsidRPr="007246E7">
          <w:rPr>
            <w:rStyle w:val="Hyperlink"/>
            <w:rtl/>
          </w:rPr>
          <w:t>מגן אברהם סי' ש"ח ס"ק כ"א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Toc163506348 \h</w:instrText>
        </w:r>
        <w:r>
          <w:rPr>
            <w:webHidden/>
            <w:rtl/>
          </w:rPr>
          <w:instrText xml:space="preserve"> </w:instrText>
        </w:r>
        <w:r>
          <w:rPr>
            <w:rStyle w:val="Hyperlink"/>
            <w:rtl/>
          </w:rPr>
        </w:r>
        <w:r>
          <w:rPr>
            <w:rStyle w:val="Hyperlink"/>
            <w:rtl/>
          </w:rPr>
          <w:fldChar w:fldCharType="separate"/>
        </w:r>
        <w:r w:rsidR="00D82181">
          <w:rPr>
            <w:webHidden/>
            <w:rtl/>
          </w:rPr>
          <w:t>175</w:t>
        </w:r>
        <w:r>
          <w:rPr>
            <w:rStyle w:val="Hyperlink"/>
            <w:rtl/>
          </w:rPr>
          <w:fldChar w:fldCharType="end"/>
        </w:r>
      </w:hyperlink>
    </w:p>
    <w:p w14:paraId="2A14D5D5" w14:textId="62AEC1E8" w:rsidR="008009AA" w:rsidRDefault="008009AA">
      <w:pPr>
        <w:pStyle w:val="TOC7"/>
        <w:rPr>
          <w:rFonts w:cstheme="minorBidi"/>
          <w:sz w:val="22"/>
          <w:szCs w:val="22"/>
          <w:rtl/>
        </w:rPr>
      </w:pPr>
      <w:hyperlink w:anchor="_Toc163506349" w:history="1">
        <w:r w:rsidRPr="007246E7">
          <w:rPr>
            <w:rStyle w:val="Hyperlink"/>
            <w:rtl/>
          </w:rPr>
          <w:t>חזון איש או"ח סי' נ' סק"י ד"ה ובר"מ פכ"ב הכ"ה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Toc163506349 \h</w:instrText>
        </w:r>
        <w:r>
          <w:rPr>
            <w:webHidden/>
            <w:rtl/>
          </w:rPr>
          <w:instrText xml:space="preserve"> </w:instrText>
        </w:r>
        <w:r>
          <w:rPr>
            <w:rStyle w:val="Hyperlink"/>
            <w:rtl/>
          </w:rPr>
        </w:r>
        <w:r>
          <w:rPr>
            <w:rStyle w:val="Hyperlink"/>
            <w:rtl/>
          </w:rPr>
          <w:fldChar w:fldCharType="separate"/>
        </w:r>
        <w:r w:rsidR="00D82181">
          <w:rPr>
            <w:webHidden/>
            <w:rtl/>
          </w:rPr>
          <w:t>175</w:t>
        </w:r>
        <w:r>
          <w:rPr>
            <w:rStyle w:val="Hyperlink"/>
            <w:rtl/>
          </w:rPr>
          <w:fldChar w:fldCharType="end"/>
        </w:r>
      </w:hyperlink>
    </w:p>
    <w:p w14:paraId="7C5C1E92" w14:textId="0B6D66F9" w:rsidR="008009AA" w:rsidRDefault="008009AA">
      <w:pPr>
        <w:pStyle w:val="TOC7"/>
        <w:rPr>
          <w:rFonts w:cstheme="minorBidi"/>
          <w:sz w:val="22"/>
          <w:szCs w:val="22"/>
          <w:rtl/>
        </w:rPr>
      </w:pPr>
      <w:hyperlink w:anchor="_Toc163506350" w:history="1">
        <w:r w:rsidRPr="007246E7">
          <w:rPr>
            <w:rStyle w:val="Hyperlink"/>
            <w:rtl/>
          </w:rPr>
          <w:t>רמב"ם שבת פכ"ב הכ"ו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Toc163506350 \h</w:instrText>
        </w:r>
        <w:r>
          <w:rPr>
            <w:webHidden/>
            <w:rtl/>
          </w:rPr>
          <w:instrText xml:space="preserve"> </w:instrText>
        </w:r>
        <w:r>
          <w:rPr>
            <w:rStyle w:val="Hyperlink"/>
            <w:rtl/>
          </w:rPr>
        </w:r>
        <w:r>
          <w:rPr>
            <w:rStyle w:val="Hyperlink"/>
            <w:rtl/>
          </w:rPr>
          <w:fldChar w:fldCharType="separate"/>
        </w:r>
        <w:r w:rsidR="00D82181">
          <w:rPr>
            <w:webHidden/>
            <w:rtl/>
          </w:rPr>
          <w:t>176</w:t>
        </w:r>
        <w:r>
          <w:rPr>
            <w:rStyle w:val="Hyperlink"/>
            <w:rtl/>
          </w:rPr>
          <w:fldChar w:fldCharType="end"/>
        </w:r>
      </w:hyperlink>
    </w:p>
    <w:p w14:paraId="750DD134" w14:textId="3F209995" w:rsidR="008009AA" w:rsidRDefault="008009AA">
      <w:pPr>
        <w:pStyle w:val="TOC7"/>
        <w:rPr>
          <w:rFonts w:cstheme="minorBidi"/>
          <w:sz w:val="22"/>
          <w:szCs w:val="22"/>
          <w:rtl/>
        </w:rPr>
      </w:pPr>
      <w:hyperlink w:anchor="_Toc163506351" w:history="1">
        <w:r w:rsidRPr="007246E7">
          <w:rPr>
            <w:rStyle w:val="Hyperlink"/>
            <w:rtl/>
          </w:rPr>
          <w:t>לחם משנה שבת פכ"ב הכ"ה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Toc163506351 \h</w:instrText>
        </w:r>
        <w:r>
          <w:rPr>
            <w:webHidden/>
            <w:rtl/>
          </w:rPr>
          <w:instrText xml:space="preserve"> </w:instrText>
        </w:r>
        <w:r>
          <w:rPr>
            <w:rStyle w:val="Hyperlink"/>
            <w:rtl/>
          </w:rPr>
        </w:r>
        <w:r>
          <w:rPr>
            <w:rStyle w:val="Hyperlink"/>
            <w:rtl/>
          </w:rPr>
          <w:fldChar w:fldCharType="separate"/>
        </w:r>
        <w:r w:rsidR="00D82181">
          <w:rPr>
            <w:webHidden/>
            <w:rtl/>
          </w:rPr>
          <w:t>176</w:t>
        </w:r>
        <w:r>
          <w:rPr>
            <w:rStyle w:val="Hyperlink"/>
            <w:rtl/>
          </w:rPr>
          <w:fldChar w:fldCharType="end"/>
        </w:r>
      </w:hyperlink>
    </w:p>
    <w:p w14:paraId="2E1FB5FF" w14:textId="7A50DD73" w:rsidR="008009AA" w:rsidRDefault="008009AA">
      <w:pPr>
        <w:pStyle w:val="TOC7"/>
        <w:rPr>
          <w:rFonts w:cstheme="minorBidi"/>
          <w:sz w:val="22"/>
          <w:szCs w:val="22"/>
          <w:rtl/>
        </w:rPr>
      </w:pPr>
      <w:hyperlink w:anchor="_Toc163506352" w:history="1">
        <w:r w:rsidRPr="007246E7">
          <w:rPr>
            <w:rStyle w:val="Hyperlink"/>
            <w:rtl/>
          </w:rPr>
          <w:t>רמב"ם שבת פכ"ו ה"ו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Toc163506352 \h</w:instrText>
        </w:r>
        <w:r>
          <w:rPr>
            <w:webHidden/>
            <w:rtl/>
          </w:rPr>
          <w:instrText xml:space="preserve"> </w:instrText>
        </w:r>
        <w:r>
          <w:rPr>
            <w:rStyle w:val="Hyperlink"/>
            <w:rtl/>
          </w:rPr>
        </w:r>
        <w:r>
          <w:rPr>
            <w:rStyle w:val="Hyperlink"/>
            <w:rtl/>
          </w:rPr>
          <w:fldChar w:fldCharType="separate"/>
        </w:r>
        <w:r w:rsidR="00D82181">
          <w:rPr>
            <w:webHidden/>
            <w:rtl/>
          </w:rPr>
          <w:t>176</w:t>
        </w:r>
        <w:r>
          <w:rPr>
            <w:rStyle w:val="Hyperlink"/>
            <w:rtl/>
          </w:rPr>
          <w:fldChar w:fldCharType="end"/>
        </w:r>
      </w:hyperlink>
    </w:p>
    <w:p w14:paraId="1195C617" w14:textId="1065B0A4" w:rsidR="008009AA" w:rsidRDefault="008009AA">
      <w:pPr>
        <w:pStyle w:val="TOC7"/>
        <w:rPr>
          <w:rFonts w:cstheme="minorBidi"/>
          <w:sz w:val="22"/>
          <w:szCs w:val="22"/>
          <w:rtl/>
        </w:rPr>
      </w:pPr>
      <w:hyperlink w:anchor="_Toc163506353" w:history="1">
        <w:r w:rsidRPr="007246E7">
          <w:rPr>
            <w:rStyle w:val="Hyperlink"/>
            <w:rtl/>
          </w:rPr>
          <w:t>רמב"ם שבת פכ"ו הי"א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Toc163506353 \h</w:instrText>
        </w:r>
        <w:r>
          <w:rPr>
            <w:webHidden/>
            <w:rtl/>
          </w:rPr>
          <w:instrText xml:space="preserve"> </w:instrText>
        </w:r>
        <w:r>
          <w:rPr>
            <w:rStyle w:val="Hyperlink"/>
            <w:rtl/>
          </w:rPr>
        </w:r>
        <w:r>
          <w:rPr>
            <w:rStyle w:val="Hyperlink"/>
            <w:rtl/>
          </w:rPr>
          <w:fldChar w:fldCharType="separate"/>
        </w:r>
        <w:r w:rsidR="00D82181">
          <w:rPr>
            <w:webHidden/>
            <w:rtl/>
          </w:rPr>
          <w:t>176</w:t>
        </w:r>
        <w:r>
          <w:rPr>
            <w:rStyle w:val="Hyperlink"/>
            <w:rtl/>
          </w:rPr>
          <w:fldChar w:fldCharType="end"/>
        </w:r>
      </w:hyperlink>
    </w:p>
    <w:p w14:paraId="39DD1AA6" w14:textId="461E20E6" w:rsidR="008009AA" w:rsidRDefault="008009AA">
      <w:pPr>
        <w:pStyle w:val="TOC7"/>
        <w:rPr>
          <w:rFonts w:cstheme="minorBidi"/>
          <w:sz w:val="22"/>
          <w:szCs w:val="22"/>
          <w:rtl/>
        </w:rPr>
      </w:pPr>
      <w:hyperlink w:anchor="_Toc163506354" w:history="1">
        <w:r w:rsidRPr="007246E7">
          <w:rPr>
            <w:rStyle w:val="Hyperlink"/>
            <w:rtl/>
          </w:rPr>
          <w:t>חזון איש או"ח סי' נ' סק"י ד"ה קל"ח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Toc163506354 \h</w:instrText>
        </w:r>
        <w:r>
          <w:rPr>
            <w:webHidden/>
            <w:rtl/>
          </w:rPr>
          <w:instrText xml:space="preserve"> </w:instrText>
        </w:r>
        <w:r>
          <w:rPr>
            <w:rStyle w:val="Hyperlink"/>
            <w:rtl/>
          </w:rPr>
        </w:r>
        <w:r>
          <w:rPr>
            <w:rStyle w:val="Hyperlink"/>
            <w:rtl/>
          </w:rPr>
          <w:fldChar w:fldCharType="separate"/>
        </w:r>
        <w:r w:rsidR="00D82181">
          <w:rPr>
            <w:webHidden/>
            <w:rtl/>
          </w:rPr>
          <w:t>176</w:t>
        </w:r>
        <w:r>
          <w:rPr>
            <w:rStyle w:val="Hyperlink"/>
            <w:rtl/>
          </w:rPr>
          <w:fldChar w:fldCharType="end"/>
        </w:r>
      </w:hyperlink>
    </w:p>
    <w:p w14:paraId="72543848" w14:textId="2EBE88AA" w:rsidR="008009AA" w:rsidRDefault="008009AA">
      <w:pPr>
        <w:pStyle w:val="TOC7"/>
        <w:rPr>
          <w:rFonts w:cstheme="minorBidi"/>
          <w:sz w:val="22"/>
          <w:szCs w:val="22"/>
          <w:rtl/>
        </w:rPr>
      </w:pPr>
      <w:hyperlink w:anchor="_Toc163506355" w:history="1">
        <w:r w:rsidRPr="007246E7">
          <w:rPr>
            <w:rStyle w:val="Hyperlink"/>
            <w:rtl/>
          </w:rPr>
          <w:t>רמב"ם שבת פ"י הי"ג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Toc163506355 \h</w:instrText>
        </w:r>
        <w:r>
          <w:rPr>
            <w:webHidden/>
            <w:rtl/>
          </w:rPr>
          <w:instrText xml:space="preserve"> </w:instrText>
        </w:r>
        <w:r>
          <w:rPr>
            <w:rStyle w:val="Hyperlink"/>
            <w:rtl/>
          </w:rPr>
        </w:r>
        <w:r>
          <w:rPr>
            <w:rStyle w:val="Hyperlink"/>
            <w:rtl/>
          </w:rPr>
          <w:fldChar w:fldCharType="separate"/>
        </w:r>
        <w:r w:rsidR="00D82181">
          <w:rPr>
            <w:webHidden/>
            <w:rtl/>
          </w:rPr>
          <w:t>176</w:t>
        </w:r>
        <w:r>
          <w:rPr>
            <w:rStyle w:val="Hyperlink"/>
            <w:rtl/>
          </w:rPr>
          <w:fldChar w:fldCharType="end"/>
        </w:r>
      </w:hyperlink>
    </w:p>
    <w:p w14:paraId="2400042A" w14:textId="7B57B14C" w:rsidR="008009AA" w:rsidRDefault="008009AA">
      <w:pPr>
        <w:pStyle w:val="TOC7"/>
        <w:rPr>
          <w:rFonts w:cstheme="minorBidi"/>
          <w:sz w:val="22"/>
          <w:szCs w:val="22"/>
          <w:rtl/>
        </w:rPr>
      </w:pPr>
      <w:hyperlink w:anchor="_Toc163506356" w:history="1">
        <w:r w:rsidRPr="007246E7">
          <w:rPr>
            <w:rStyle w:val="Hyperlink"/>
            <w:rtl/>
          </w:rPr>
          <w:t>מגיד משנה שבת פ"י הי"ג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Toc163506356 \h</w:instrText>
        </w:r>
        <w:r>
          <w:rPr>
            <w:webHidden/>
            <w:rtl/>
          </w:rPr>
          <w:instrText xml:space="preserve"> </w:instrText>
        </w:r>
        <w:r>
          <w:rPr>
            <w:rStyle w:val="Hyperlink"/>
            <w:rtl/>
          </w:rPr>
        </w:r>
        <w:r>
          <w:rPr>
            <w:rStyle w:val="Hyperlink"/>
            <w:rtl/>
          </w:rPr>
          <w:fldChar w:fldCharType="separate"/>
        </w:r>
        <w:r w:rsidR="00D82181">
          <w:rPr>
            <w:webHidden/>
            <w:rtl/>
          </w:rPr>
          <w:t>176</w:t>
        </w:r>
        <w:r>
          <w:rPr>
            <w:rStyle w:val="Hyperlink"/>
            <w:rtl/>
          </w:rPr>
          <w:fldChar w:fldCharType="end"/>
        </w:r>
      </w:hyperlink>
    </w:p>
    <w:p w14:paraId="2FAC8937" w14:textId="36D386CA" w:rsidR="008009AA" w:rsidRDefault="008009AA">
      <w:pPr>
        <w:pStyle w:val="TOC7"/>
        <w:rPr>
          <w:rFonts w:cstheme="minorBidi"/>
          <w:sz w:val="22"/>
          <w:szCs w:val="22"/>
          <w:rtl/>
        </w:rPr>
      </w:pPr>
      <w:hyperlink w:anchor="_Toc163506357" w:history="1">
        <w:r w:rsidRPr="007246E7">
          <w:rPr>
            <w:rStyle w:val="Hyperlink"/>
            <w:rtl/>
          </w:rPr>
          <w:t>תוספות שבת ק"ב ע"ב ד"ה האי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Toc163506357 \h</w:instrText>
        </w:r>
        <w:r>
          <w:rPr>
            <w:webHidden/>
            <w:rtl/>
          </w:rPr>
          <w:instrText xml:space="preserve"> </w:instrText>
        </w:r>
        <w:r>
          <w:rPr>
            <w:rStyle w:val="Hyperlink"/>
            <w:rtl/>
          </w:rPr>
        </w:r>
        <w:r>
          <w:rPr>
            <w:rStyle w:val="Hyperlink"/>
            <w:rtl/>
          </w:rPr>
          <w:fldChar w:fldCharType="separate"/>
        </w:r>
        <w:r w:rsidR="00D82181">
          <w:rPr>
            <w:webHidden/>
            <w:rtl/>
          </w:rPr>
          <w:t>176</w:t>
        </w:r>
        <w:r>
          <w:rPr>
            <w:rStyle w:val="Hyperlink"/>
            <w:rtl/>
          </w:rPr>
          <w:fldChar w:fldCharType="end"/>
        </w:r>
      </w:hyperlink>
    </w:p>
    <w:p w14:paraId="0918C12D" w14:textId="0FA3DDA9" w:rsidR="008009AA" w:rsidRDefault="008009AA">
      <w:pPr>
        <w:pStyle w:val="TOC7"/>
        <w:rPr>
          <w:rFonts w:cstheme="minorBidi"/>
          <w:sz w:val="22"/>
          <w:szCs w:val="22"/>
          <w:rtl/>
        </w:rPr>
      </w:pPr>
      <w:hyperlink w:anchor="_Toc163506358" w:history="1">
        <w:r w:rsidRPr="007246E7">
          <w:rPr>
            <w:rStyle w:val="Hyperlink"/>
            <w:rtl/>
          </w:rPr>
          <w:t>תוספות הרא"ש שבת ק"ב ע"ב ד"ה עייל</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Toc163506358 \h</w:instrText>
        </w:r>
        <w:r>
          <w:rPr>
            <w:webHidden/>
            <w:rtl/>
          </w:rPr>
          <w:instrText xml:space="preserve"> </w:instrText>
        </w:r>
        <w:r>
          <w:rPr>
            <w:rStyle w:val="Hyperlink"/>
            <w:rtl/>
          </w:rPr>
        </w:r>
        <w:r>
          <w:rPr>
            <w:rStyle w:val="Hyperlink"/>
            <w:rtl/>
          </w:rPr>
          <w:fldChar w:fldCharType="separate"/>
        </w:r>
        <w:r w:rsidR="00D82181">
          <w:rPr>
            <w:webHidden/>
            <w:rtl/>
          </w:rPr>
          <w:t>176</w:t>
        </w:r>
        <w:r>
          <w:rPr>
            <w:rStyle w:val="Hyperlink"/>
            <w:rtl/>
          </w:rPr>
          <w:fldChar w:fldCharType="end"/>
        </w:r>
      </w:hyperlink>
    </w:p>
    <w:p w14:paraId="15B785AF" w14:textId="40F0787A" w:rsidR="008009AA" w:rsidRDefault="008009AA">
      <w:pPr>
        <w:pStyle w:val="TOC7"/>
        <w:rPr>
          <w:rFonts w:cstheme="minorBidi"/>
          <w:sz w:val="22"/>
          <w:szCs w:val="22"/>
          <w:rtl/>
        </w:rPr>
      </w:pPr>
      <w:hyperlink w:anchor="_Toc163506359" w:history="1">
        <w:r w:rsidRPr="007246E7">
          <w:rPr>
            <w:rStyle w:val="Hyperlink"/>
            <w:rtl/>
          </w:rPr>
          <w:t>תוספות שבת ק"ב ע"ב ד"ה האי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Toc163506359 \h</w:instrText>
        </w:r>
        <w:r>
          <w:rPr>
            <w:webHidden/>
            <w:rtl/>
          </w:rPr>
          <w:instrText xml:space="preserve"> </w:instrText>
        </w:r>
        <w:r>
          <w:rPr>
            <w:rStyle w:val="Hyperlink"/>
            <w:rtl/>
          </w:rPr>
        </w:r>
        <w:r>
          <w:rPr>
            <w:rStyle w:val="Hyperlink"/>
            <w:rtl/>
          </w:rPr>
          <w:fldChar w:fldCharType="separate"/>
        </w:r>
        <w:r w:rsidR="00D82181">
          <w:rPr>
            <w:webHidden/>
            <w:rtl/>
          </w:rPr>
          <w:t>176</w:t>
        </w:r>
        <w:r>
          <w:rPr>
            <w:rStyle w:val="Hyperlink"/>
            <w:rtl/>
          </w:rPr>
          <w:fldChar w:fldCharType="end"/>
        </w:r>
      </w:hyperlink>
    </w:p>
    <w:p w14:paraId="3C90561A" w14:textId="2383B52B" w:rsidR="008009AA" w:rsidRDefault="008009AA">
      <w:pPr>
        <w:pStyle w:val="TOC7"/>
        <w:rPr>
          <w:rFonts w:cstheme="minorBidi"/>
          <w:sz w:val="22"/>
          <w:szCs w:val="22"/>
          <w:rtl/>
        </w:rPr>
      </w:pPr>
      <w:hyperlink w:anchor="_Toc163506360" w:history="1">
        <w:r w:rsidRPr="007246E7">
          <w:rPr>
            <w:rStyle w:val="Hyperlink"/>
            <w:rtl/>
          </w:rPr>
          <w:t>רמב"ם שבת פכ"ב הכ"ה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Toc163506360 \h</w:instrText>
        </w:r>
        <w:r>
          <w:rPr>
            <w:webHidden/>
            <w:rtl/>
          </w:rPr>
          <w:instrText xml:space="preserve"> </w:instrText>
        </w:r>
        <w:r>
          <w:rPr>
            <w:rStyle w:val="Hyperlink"/>
            <w:rtl/>
          </w:rPr>
        </w:r>
        <w:r>
          <w:rPr>
            <w:rStyle w:val="Hyperlink"/>
            <w:rtl/>
          </w:rPr>
          <w:fldChar w:fldCharType="separate"/>
        </w:r>
        <w:r w:rsidR="00D82181">
          <w:rPr>
            <w:webHidden/>
            <w:rtl/>
          </w:rPr>
          <w:t>176</w:t>
        </w:r>
        <w:r>
          <w:rPr>
            <w:rStyle w:val="Hyperlink"/>
            <w:rtl/>
          </w:rPr>
          <w:fldChar w:fldCharType="end"/>
        </w:r>
      </w:hyperlink>
    </w:p>
    <w:p w14:paraId="084400E2" w14:textId="7794E4D0" w:rsidR="008009AA" w:rsidRDefault="008009AA">
      <w:pPr>
        <w:pStyle w:val="TOC7"/>
        <w:rPr>
          <w:rFonts w:cstheme="minorBidi"/>
          <w:sz w:val="22"/>
          <w:szCs w:val="22"/>
          <w:rtl/>
        </w:rPr>
      </w:pPr>
      <w:hyperlink w:anchor="_Toc163506361" w:history="1">
        <w:r w:rsidRPr="007246E7">
          <w:rPr>
            <w:rStyle w:val="Hyperlink"/>
            <w:rtl/>
          </w:rPr>
          <w:t>רש"י שבת מ"ז ע"א ד"ה חייב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Toc163506361 \h</w:instrText>
        </w:r>
        <w:r>
          <w:rPr>
            <w:webHidden/>
            <w:rtl/>
          </w:rPr>
          <w:instrText xml:space="preserve"> </w:instrText>
        </w:r>
        <w:r>
          <w:rPr>
            <w:rStyle w:val="Hyperlink"/>
            <w:rtl/>
          </w:rPr>
        </w:r>
        <w:r>
          <w:rPr>
            <w:rStyle w:val="Hyperlink"/>
            <w:rtl/>
          </w:rPr>
          <w:fldChar w:fldCharType="separate"/>
        </w:r>
        <w:r w:rsidR="00D82181">
          <w:rPr>
            <w:webHidden/>
            <w:rtl/>
          </w:rPr>
          <w:t>176</w:t>
        </w:r>
        <w:r>
          <w:rPr>
            <w:rStyle w:val="Hyperlink"/>
            <w:rtl/>
          </w:rPr>
          <w:fldChar w:fldCharType="end"/>
        </w:r>
      </w:hyperlink>
    </w:p>
    <w:p w14:paraId="33E2A4FC" w14:textId="74099D00" w:rsidR="008009AA" w:rsidRDefault="008009AA">
      <w:pPr>
        <w:pStyle w:val="TOC7"/>
        <w:rPr>
          <w:rFonts w:cstheme="minorBidi"/>
          <w:sz w:val="22"/>
          <w:szCs w:val="22"/>
          <w:rtl/>
        </w:rPr>
      </w:pPr>
      <w:hyperlink w:anchor="_Toc163506362" w:history="1">
        <w:r w:rsidRPr="007246E7">
          <w:rPr>
            <w:rStyle w:val="Hyperlink"/>
            <w:rtl/>
          </w:rPr>
          <w:t>רש"י שבת מ"ח ע"א ד"ה חייב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Toc163506362 \h</w:instrText>
        </w:r>
        <w:r>
          <w:rPr>
            <w:webHidden/>
            <w:rtl/>
          </w:rPr>
          <w:instrText xml:space="preserve"> </w:instrText>
        </w:r>
        <w:r>
          <w:rPr>
            <w:rStyle w:val="Hyperlink"/>
            <w:rtl/>
          </w:rPr>
        </w:r>
        <w:r>
          <w:rPr>
            <w:rStyle w:val="Hyperlink"/>
            <w:rtl/>
          </w:rPr>
          <w:fldChar w:fldCharType="separate"/>
        </w:r>
        <w:r w:rsidR="00D82181">
          <w:rPr>
            <w:webHidden/>
            <w:rtl/>
          </w:rPr>
          <w:t>176</w:t>
        </w:r>
        <w:r>
          <w:rPr>
            <w:rStyle w:val="Hyperlink"/>
            <w:rtl/>
          </w:rPr>
          <w:fldChar w:fldCharType="end"/>
        </w:r>
      </w:hyperlink>
    </w:p>
    <w:p w14:paraId="18E02AF2" w14:textId="3279D620" w:rsidR="008009AA" w:rsidRDefault="008009AA">
      <w:pPr>
        <w:pStyle w:val="TOC7"/>
        <w:rPr>
          <w:rFonts w:cstheme="minorBidi"/>
          <w:sz w:val="22"/>
          <w:szCs w:val="22"/>
          <w:rtl/>
        </w:rPr>
      </w:pPr>
      <w:hyperlink w:anchor="_Toc163506363" w:history="1">
        <w:r w:rsidRPr="007246E7">
          <w:rPr>
            <w:rStyle w:val="Hyperlink"/>
            <w:rtl/>
          </w:rPr>
          <w:t>רש"י שבת קכ"ד ע"ב ד"ה לא יספות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Toc163506363 \h</w:instrText>
        </w:r>
        <w:r>
          <w:rPr>
            <w:webHidden/>
            <w:rtl/>
          </w:rPr>
          <w:instrText xml:space="preserve"> </w:instrText>
        </w:r>
        <w:r>
          <w:rPr>
            <w:rStyle w:val="Hyperlink"/>
            <w:rtl/>
          </w:rPr>
        </w:r>
        <w:r>
          <w:rPr>
            <w:rStyle w:val="Hyperlink"/>
            <w:rtl/>
          </w:rPr>
          <w:fldChar w:fldCharType="separate"/>
        </w:r>
        <w:r w:rsidR="00D82181">
          <w:rPr>
            <w:webHidden/>
            <w:rtl/>
          </w:rPr>
          <w:t>176</w:t>
        </w:r>
        <w:r>
          <w:rPr>
            <w:rStyle w:val="Hyperlink"/>
            <w:rtl/>
          </w:rPr>
          <w:fldChar w:fldCharType="end"/>
        </w:r>
      </w:hyperlink>
    </w:p>
    <w:p w14:paraId="6ADC3FC2" w14:textId="4E113960" w:rsidR="008009AA" w:rsidRDefault="008009AA">
      <w:pPr>
        <w:pStyle w:val="TOC7"/>
        <w:rPr>
          <w:rFonts w:cstheme="minorBidi"/>
          <w:sz w:val="22"/>
          <w:szCs w:val="22"/>
          <w:rtl/>
        </w:rPr>
      </w:pPr>
      <w:hyperlink w:anchor="_Toc163506364" w:history="1">
        <w:r w:rsidRPr="007246E7">
          <w:rPr>
            <w:rStyle w:val="Hyperlink"/>
            <w:rtl/>
          </w:rPr>
          <w:t>רש"י שבת קכ"ב ע"ב ד"ה גזירה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Toc163506364 \h</w:instrText>
        </w:r>
        <w:r>
          <w:rPr>
            <w:webHidden/>
            <w:rtl/>
          </w:rPr>
          <w:instrText xml:space="preserve"> </w:instrText>
        </w:r>
        <w:r>
          <w:rPr>
            <w:rStyle w:val="Hyperlink"/>
            <w:rtl/>
          </w:rPr>
        </w:r>
        <w:r>
          <w:rPr>
            <w:rStyle w:val="Hyperlink"/>
            <w:rtl/>
          </w:rPr>
          <w:fldChar w:fldCharType="separate"/>
        </w:r>
        <w:r w:rsidR="00D82181">
          <w:rPr>
            <w:webHidden/>
            <w:rtl/>
          </w:rPr>
          <w:t>177</w:t>
        </w:r>
        <w:r>
          <w:rPr>
            <w:rStyle w:val="Hyperlink"/>
            <w:rtl/>
          </w:rPr>
          <w:fldChar w:fldCharType="end"/>
        </w:r>
      </w:hyperlink>
    </w:p>
    <w:p w14:paraId="1E86D802" w14:textId="09E01C06" w:rsidR="008009AA" w:rsidRDefault="008009AA">
      <w:pPr>
        <w:pStyle w:val="TOC7"/>
        <w:rPr>
          <w:rFonts w:cstheme="minorBidi"/>
          <w:sz w:val="22"/>
          <w:szCs w:val="22"/>
          <w:rtl/>
        </w:rPr>
      </w:pPr>
      <w:hyperlink w:anchor="_Toc163506365" w:history="1">
        <w:r w:rsidRPr="007246E7">
          <w:rPr>
            <w:rStyle w:val="Hyperlink"/>
            <w:rtl/>
          </w:rPr>
          <w:t>רש"י שבת מ"ז ע"ב ד"ה יתקע</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Toc163506365 \h</w:instrText>
        </w:r>
        <w:r>
          <w:rPr>
            <w:webHidden/>
            <w:rtl/>
          </w:rPr>
          <w:instrText xml:space="preserve"> </w:instrText>
        </w:r>
        <w:r>
          <w:rPr>
            <w:rStyle w:val="Hyperlink"/>
            <w:rtl/>
          </w:rPr>
        </w:r>
        <w:r>
          <w:rPr>
            <w:rStyle w:val="Hyperlink"/>
            <w:rtl/>
          </w:rPr>
          <w:fldChar w:fldCharType="separate"/>
        </w:r>
        <w:r w:rsidR="00D82181">
          <w:rPr>
            <w:webHidden/>
            <w:rtl/>
          </w:rPr>
          <w:t>177</w:t>
        </w:r>
        <w:r>
          <w:rPr>
            <w:rStyle w:val="Hyperlink"/>
            <w:rtl/>
          </w:rPr>
          <w:fldChar w:fldCharType="end"/>
        </w:r>
      </w:hyperlink>
    </w:p>
    <w:p w14:paraId="3619992C" w14:textId="0FD893E7" w:rsidR="008009AA" w:rsidRDefault="008009AA">
      <w:pPr>
        <w:pStyle w:val="TOC7"/>
        <w:rPr>
          <w:rFonts w:cstheme="minorBidi"/>
          <w:sz w:val="22"/>
          <w:szCs w:val="22"/>
          <w:rtl/>
        </w:rPr>
      </w:pPr>
      <w:hyperlink w:anchor="_Toc163506366" w:history="1">
        <w:r w:rsidRPr="007246E7">
          <w:rPr>
            <w:rStyle w:val="Hyperlink"/>
            <w:rtl/>
          </w:rPr>
          <w:t>מלחמת ה' שבת ל"ז ע"א מדה"ר ד"ה אמר הכותב אעפ"י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Toc163506366 \h</w:instrText>
        </w:r>
        <w:r>
          <w:rPr>
            <w:webHidden/>
            <w:rtl/>
          </w:rPr>
          <w:instrText xml:space="preserve"> </w:instrText>
        </w:r>
        <w:r>
          <w:rPr>
            <w:rStyle w:val="Hyperlink"/>
            <w:rtl/>
          </w:rPr>
        </w:r>
        <w:r>
          <w:rPr>
            <w:rStyle w:val="Hyperlink"/>
            <w:rtl/>
          </w:rPr>
          <w:fldChar w:fldCharType="separate"/>
        </w:r>
        <w:r w:rsidR="00D82181">
          <w:rPr>
            <w:webHidden/>
            <w:rtl/>
          </w:rPr>
          <w:t>177</w:t>
        </w:r>
        <w:r>
          <w:rPr>
            <w:rStyle w:val="Hyperlink"/>
            <w:rtl/>
          </w:rPr>
          <w:fldChar w:fldCharType="end"/>
        </w:r>
      </w:hyperlink>
    </w:p>
    <w:p w14:paraId="0F15FBAA" w14:textId="0349935A" w:rsidR="008009AA" w:rsidRDefault="008009AA">
      <w:pPr>
        <w:pStyle w:val="TOC7"/>
        <w:rPr>
          <w:rFonts w:cstheme="minorBidi"/>
          <w:sz w:val="22"/>
          <w:szCs w:val="22"/>
          <w:rtl/>
        </w:rPr>
      </w:pPr>
      <w:hyperlink w:anchor="_Toc163506367" w:history="1">
        <w:r w:rsidRPr="007246E7">
          <w:rPr>
            <w:rStyle w:val="Hyperlink"/>
            <w:rtl/>
          </w:rPr>
          <w:t>רא"ש שבת פי"ז סי' 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Toc163506367 \h</w:instrText>
        </w:r>
        <w:r>
          <w:rPr>
            <w:webHidden/>
            <w:rtl/>
          </w:rPr>
          <w:instrText xml:space="preserve"> </w:instrText>
        </w:r>
        <w:r>
          <w:rPr>
            <w:rStyle w:val="Hyperlink"/>
            <w:rtl/>
          </w:rPr>
        </w:r>
        <w:r>
          <w:rPr>
            <w:rStyle w:val="Hyperlink"/>
            <w:rtl/>
          </w:rPr>
          <w:fldChar w:fldCharType="separate"/>
        </w:r>
        <w:r w:rsidR="00D82181">
          <w:rPr>
            <w:webHidden/>
            <w:rtl/>
          </w:rPr>
          <w:t>177</w:t>
        </w:r>
        <w:r>
          <w:rPr>
            <w:rStyle w:val="Hyperlink"/>
            <w:rtl/>
          </w:rPr>
          <w:fldChar w:fldCharType="end"/>
        </w:r>
      </w:hyperlink>
    </w:p>
    <w:p w14:paraId="59645198" w14:textId="68CBE99F" w:rsidR="008009AA" w:rsidRDefault="008009AA">
      <w:pPr>
        <w:pStyle w:val="TOC7"/>
        <w:rPr>
          <w:rFonts w:cstheme="minorBidi"/>
          <w:sz w:val="22"/>
          <w:szCs w:val="22"/>
          <w:rtl/>
        </w:rPr>
      </w:pPr>
      <w:hyperlink w:anchor="_Toc163506368" w:history="1">
        <w:r w:rsidRPr="007246E7">
          <w:rPr>
            <w:rStyle w:val="Hyperlink"/>
            <w:rtl/>
          </w:rPr>
          <w:t>תוספות הרא"ש עירובין ק"ב ע"ב ד"ה מחזירין</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Toc163506368 \h</w:instrText>
        </w:r>
        <w:r>
          <w:rPr>
            <w:webHidden/>
            <w:rtl/>
          </w:rPr>
          <w:instrText xml:space="preserve"> </w:instrText>
        </w:r>
        <w:r>
          <w:rPr>
            <w:rStyle w:val="Hyperlink"/>
            <w:rtl/>
          </w:rPr>
        </w:r>
        <w:r>
          <w:rPr>
            <w:rStyle w:val="Hyperlink"/>
            <w:rtl/>
          </w:rPr>
          <w:fldChar w:fldCharType="separate"/>
        </w:r>
        <w:r w:rsidR="00D82181">
          <w:rPr>
            <w:webHidden/>
            <w:rtl/>
          </w:rPr>
          <w:t>177</w:t>
        </w:r>
        <w:r>
          <w:rPr>
            <w:rStyle w:val="Hyperlink"/>
            <w:rtl/>
          </w:rPr>
          <w:fldChar w:fldCharType="end"/>
        </w:r>
      </w:hyperlink>
    </w:p>
    <w:p w14:paraId="789B0DD4" w14:textId="1426C567" w:rsidR="008009AA" w:rsidRDefault="008009AA">
      <w:pPr>
        <w:pStyle w:val="TOC7"/>
        <w:rPr>
          <w:rFonts w:cstheme="minorBidi"/>
          <w:sz w:val="22"/>
          <w:szCs w:val="22"/>
          <w:rtl/>
        </w:rPr>
      </w:pPr>
      <w:hyperlink w:anchor="_Toc163506369" w:history="1">
        <w:r w:rsidRPr="007246E7">
          <w:rPr>
            <w:rStyle w:val="Hyperlink"/>
            <w:rtl/>
          </w:rPr>
          <w:t>חדושי הר"ן - מיוחס לו שבת מ"ז ע"א ד"ה לא יחזיר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Toc163506369 \h</w:instrText>
        </w:r>
        <w:r>
          <w:rPr>
            <w:webHidden/>
            <w:rtl/>
          </w:rPr>
          <w:instrText xml:space="preserve"> </w:instrText>
        </w:r>
        <w:r>
          <w:rPr>
            <w:rStyle w:val="Hyperlink"/>
            <w:rtl/>
          </w:rPr>
        </w:r>
        <w:r>
          <w:rPr>
            <w:rStyle w:val="Hyperlink"/>
            <w:rtl/>
          </w:rPr>
          <w:fldChar w:fldCharType="separate"/>
        </w:r>
        <w:r w:rsidR="00D82181">
          <w:rPr>
            <w:webHidden/>
            <w:rtl/>
          </w:rPr>
          <w:t>177</w:t>
        </w:r>
        <w:r>
          <w:rPr>
            <w:rStyle w:val="Hyperlink"/>
            <w:rtl/>
          </w:rPr>
          <w:fldChar w:fldCharType="end"/>
        </w:r>
      </w:hyperlink>
    </w:p>
    <w:p w14:paraId="6F6E8782" w14:textId="113AC880" w:rsidR="008009AA" w:rsidRDefault="008009AA">
      <w:pPr>
        <w:pStyle w:val="TOC7"/>
        <w:rPr>
          <w:rFonts w:cstheme="minorBidi"/>
          <w:sz w:val="22"/>
          <w:szCs w:val="22"/>
          <w:rtl/>
        </w:rPr>
      </w:pPr>
      <w:hyperlink w:anchor="_Toc163506370" w:history="1">
        <w:r w:rsidRPr="007246E7">
          <w:rPr>
            <w:rStyle w:val="Hyperlink"/>
            <w:rtl/>
          </w:rPr>
          <w:t>באור הגר"א או"ח סי' שי"ד סק"ד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Toc163506370 \h</w:instrText>
        </w:r>
        <w:r>
          <w:rPr>
            <w:webHidden/>
            <w:rtl/>
          </w:rPr>
          <w:instrText xml:space="preserve"> </w:instrText>
        </w:r>
        <w:r>
          <w:rPr>
            <w:rStyle w:val="Hyperlink"/>
            <w:rtl/>
          </w:rPr>
        </w:r>
        <w:r>
          <w:rPr>
            <w:rStyle w:val="Hyperlink"/>
            <w:rtl/>
          </w:rPr>
          <w:fldChar w:fldCharType="separate"/>
        </w:r>
        <w:r w:rsidR="00D82181">
          <w:rPr>
            <w:webHidden/>
            <w:rtl/>
          </w:rPr>
          <w:t>177</w:t>
        </w:r>
        <w:r>
          <w:rPr>
            <w:rStyle w:val="Hyperlink"/>
            <w:rtl/>
          </w:rPr>
          <w:fldChar w:fldCharType="end"/>
        </w:r>
      </w:hyperlink>
    </w:p>
    <w:p w14:paraId="7E516C0D" w14:textId="578E7B63" w:rsidR="008009AA" w:rsidRDefault="008009AA">
      <w:pPr>
        <w:pStyle w:val="TOC7"/>
        <w:rPr>
          <w:rFonts w:cstheme="minorBidi"/>
          <w:sz w:val="22"/>
          <w:szCs w:val="22"/>
          <w:rtl/>
        </w:rPr>
      </w:pPr>
      <w:hyperlink w:anchor="_Toc163506371" w:history="1">
        <w:r w:rsidRPr="007246E7">
          <w:rPr>
            <w:rStyle w:val="Hyperlink"/>
            <w:rtl/>
          </w:rPr>
          <w:t>תוספות ביצה י"א ע"ב ד"ה מהו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Toc163506371 \h</w:instrText>
        </w:r>
        <w:r>
          <w:rPr>
            <w:webHidden/>
            <w:rtl/>
          </w:rPr>
          <w:instrText xml:space="preserve"> </w:instrText>
        </w:r>
        <w:r>
          <w:rPr>
            <w:rStyle w:val="Hyperlink"/>
            <w:rtl/>
          </w:rPr>
        </w:r>
        <w:r>
          <w:rPr>
            <w:rStyle w:val="Hyperlink"/>
            <w:rtl/>
          </w:rPr>
          <w:fldChar w:fldCharType="separate"/>
        </w:r>
        <w:r w:rsidR="00D82181">
          <w:rPr>
            <w:webHidden/>
            <w:rtl/>
          </w:rPr>
          <w:t>177</w:t>
        </w:r>
        <w:r>
          <w:rPr>
            <w:rStyle w:val="Hyperlink"/>
            <w:rtl/>
          </w:rPr>
          <w:fldChar w:fldCharType="end"/>
        </w:r>
      </w:hyperlink>
    </w:p>
    <w:p w14:paraId="14AB293C" w14:textId="449719DF" w:rsidR="008009AA" w:rsidRDefault="008009AA">
      <w:pPr>
        <w:pStyle w:val="TOC7"/>
        <w:rPr>
          <w:rFonts w:cstheme="minorBidi"/>
          <w:sz w:val="22"/>
          <w:szCs w:val="22"/>
          <w:rtl/>
        </w:rPr>
      </w:pPr>
      <w:hyperlink w:anchor="_Toc163506372" w:history="1">
        <w:r w:rsidRPr="007246E7">
          <w:rPr>
            <w:rStyle w:val="Hyperlink"/>
            <w:rtl/>
          </w:rPr>
          <w:t>תוספות שבת מ"ז ע"ב ד"ה רשב"ג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Toc163506372 \h</w:instrText>
        </w:r>
        <w:r>
          <w:rPr>
            <w:webHidden/>
            <w:rtl/>
          </w:rPr>
          <w:instrText xml:space="preserve"> </w:instrText>
        </w:r>
        <w:r>
          <w:rPr>
            <w:rStyle w:val="Hyperlink"/>
            <w:rtl/>
          </w:rPr>
        </w:r>
        <w:r>
          <w:rPr>
            <w:rStyle w:val="Hyperlink"/>
            <w:rtl/>
          </w:rPr>
          <w:fldChar w:fldCharType="separate"/>
        </w:r>
        <w:r w:rsidR="00D82181">
          <w:rPr>
            <w:webHidden/>
            <w:rtl/>
          </w:rPr>
          <w:t>177</w:t>
        </w:r>
        <w:r>
          <w:rPr>
            <w:rStyle w:val="Hyperlink"/>
            <w:rtl/>
          </w:rPr>
          <w:fldChar w:fldCharType="end"/>
        </w:r>
      </w:hyperlink>
    </w:p>
    <w:p w14:paraId="055995AD" w14:textId="66E9E05A" w:rsidR="008009AA" w:rsidRDefault="008009AA">
      <w:pPr>
        <w:pStyle w:val="TOC7"/>
        <w:rPr>
          <w:rFonts w:cstheme="minorBidi"/>
          <w:sz w:val="22"/>
          <w:szCs w:val="22"/>
          <w:rtl/>
        </w:rPr>
      </w:pPr>
      <w:hyperlink w:anchor="_Toc163506373" w:history="1">
        <w:r w:rsidRPr="007246E7">
          <w:rPr>
            <w:rStyle w:val="Hyperlink"/>
            <w:rtl/>
          </w:rPr>
          <w:t>חזון איש או"ח סי' נ' סק"י ד"ה ובתו' מ"ח 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Toc163506373 \h</w:instrText>
        </w:r>
        <w:r>
          <w:rPr>
            <w:webHidden/>
            <w:rtl/>
          </w:rPr>
          <w:instrText xml:space="preserve"> </w:instrText>
        </w:r>
        <w:r>
          <w:rPr>
            <w:rStyle w:val="Hyperlink"/>
            <w:rtl/>
          </w:rPr>
        </w:r>
        <w:r>
          <w:rPr>
            <w:rStyle w:val="Hyperlink"/>
            <w:rtl/>
          </w:rPr>
          <w:fldChar w:fldCharType="separate"/>
        </w:r>
        <w:r w:rsidR="00D82181">
          <w:rPr>
            <w:webHidden/>
            <w:rtl/>
          </w:rPr>
          <w:t>177</w:t>
        </w:r>
        <w:r>
          <w:rPr>
            <w:rStyle w:val="Hyperlink"/>
            <w:rtl/>
          </w:rPr>
          <w:fldChar w:fldCharType="end"/>
        </w:r>
      </w:hyperlink>
    </w:p>
    <w:p w14:paraId="58CFCE23" w14:textId="7499F5E3" w:rsidR="008009AA" w:rsidRDefault="008009AA">
      <w:pPr>
        <w:pStyle w:val="TOC7"/>
        <w:rPr>
          <w:rFonts w:cstheme="minorBidi"/>
          <w:sz w:val="22"/>
          <w:szCs w:val="22"/>
          <w:rtl/>
        </w:rPr>
      </w:pPr>
      <w:hyperlink w:anchor="_Toc163506374" w:history="1">
        <w:r w:rsidRPr="007246E7">
          <w:rPr>
            <w:rStyle w:val="Hyperlink"/>
            <w:rtl/>
          </w:rPr>
          <w:t>חדושי הרמב"ן שבת ק"ב ע"ב ד"ה ומשמע</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Toc163506374 \h</w:instrText>
        </w:r>
        <w:r>
          <w:rPr>
            <w:webHidden/>
            <w:rtl/>
          </w:rPr>
          <w:instrText xml:space="preserve"> </w:instrText>
        </w:r>
        <w:r>
          <w:rPr>
            <w:rStyle w:val="Hyperlink"/>
            <w:rtl/>
          </w:rPr>
        </w:r>
        <w:r>
          <w:rPr>
            <w:rStyle w:val="Hyperlink"/>
            <w:rtl/>
          </w:rPr>
          <w:fldChar w:fldCharType="separate"/>
        </w:r>
        <w:r w:rsidR="00D82181">
          <w:rPr>
            <w:webHidden/>
            <w:rtl/>
          </w:rPr>
          <w:t>177</w:t>
        </w:r>
        <w:r>
          <w:rPr>
            <w:rStyle w:val="Hyperlink"/>
            <w:rtl/>
          </w:rPr>
          <w:fldChar w:fldCharType="end"/>
        </w:r>
      </w:hyperlink>
    </w:p>
    <w:p w14:paraId="3723E8B6" w14:textId="75DA96C8" w:rsidR="008009AA" w:rsidRDefault="008009AA">
      <w:pPr>
        <w:pStyle w:val="TOC7"/>
        <w:rPr>
          <w:rFonts w:cstheme="minorBidi"/>
          <w:sz w:val="22"/>
          <w:szCs w:val="22"/>
          <w:rtl/>
        </w:rPr>
      </w:pPr>
      <w:hyperlink w:anchor="_Toc163506375" w:history="1">
        <w:r w:rsidRPr="007246E7">
          <w:rPr>
            <w:rStyle w:val="Hyperlink"/>
            <w:rtl/>
          </w:rPr>
          <w:t>מלחמת ה' שבת ל"ז ע"א מדה"ר ד"ה אמר הכותב אעפ"י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Toc163506375 \h</w:instrText>
        </w:r>
        <w:r>
          <w:rPr>
            <w:webHidden/>
            <w:rtl/>
          </w:rPr>
          <w:instrText xml:space="preserve"> </w:instrText>
        </w:r>
        <w:r>
          <w:rPr>
            <w:rStyle w:val="Hyperlink"/>
            <w:rtl/>
          </w:rPr>
        </w:r>
        <w:r>
          <w:rPr>
            <w:rStyle w:val="Hyperlink"/>
            <w:rtl/>
          </w:rPr>
          <w:fldChar w:fldCharType="separate"/>
        </w:r>
        <w:r w:rsidR="00D82181">
          <w:rPr>
            <w:webHidden/>
            <w:rtl/>
          </w:rPr>
          <w:t>178</w:t>
        </w:r>
        <w:r>
          <w:rPr>
            <w:rStyle w:val="Hyperlink"/>
            <w:rtl/>
          </w:rPr>
          <w:fldChar w:fldCharType="end"/>
        </w:r>
      </w:hyperlink>
    </w:p>
    <w:p w14:paraId="77A35958" w14:textId="2C511A9B" w:rsidR="008009AA" w:rsidRDefault="008009AA">
      <w:pPr>
        <w:pStyle w:val="TOC7"/>
        <w:rPr>
          <w:rFonts w:cstheme="minorBidi"/>
          <w:sz w:val="22"/>
          <w:szCs w:val="22"/>
          <w:rtl/>
        </w:rPr>
      </w:pPr>
      <w:hyperlink w:anchor="_Toc163506376" w:history="1">
        <w:r w:rsidRPr="007246E7">
          <w:rPr>
            <w:rStyle w:val="Hyperlink"/>
            <w:rtl/>
          </w:rPr>
          <w:t>עבודת הקודש בית מועד שער ג סימן 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Toc163506376 \h</w:instrText>
        </w:r>
        <w:r>
          <w:rPr>
            <w:webHidden/>
            <w:rtl/>
          </w:rPr>
          <w:instrText xml:space="preserve"> </w:instrText>
        </w:r>
        <w:r>
          <w:rPr>
            <w:rStyle w:val="Hyperlink"/>
            <w:rtl/>
          </w:rPr>
        </w:r>
        <w:r>
          <w:rPr>
            <w:rStyle w:val="Hyperlink"/>
            <w:rtl/>
          </w:rPr>
          <w:fldChar w:fldCharType="separate"/>
        </w:r>
        <w:r w:rsidR="00D82181">
          <w:rPr>
            <w:webHidden/>
            <w:rtl/>
          </w:rPr>
          <w:t>178</w:t>
        </w:r>
        <w:r>
          <w:rPr>
            <w:rStyle w:val="Hyperlink"/>
            <w:rtl/>
          </w:rPr>
          <w:fldChar w:fldCharType="end"/>
        </w:r>
      </w:hyperlink>
    </w:p>
    <w:p w14:paraId="50A76CE5" w14:textId="62C06017" w:rsidR="008009AA" w:rsidRDefault="008009AA">
      <w:pPr>
        <w:pStyle w:val="TOC7"/>
        <w:rPr>
          <w:rFonts w:cstheme="minorBidi"/>
          <w:sz w:val="22"/>
          <w:szCs w:val="22"/>
          <w:rtl/>
        </w:rPr>
      </w:pPr>
      <w:hyperlink w:anchor="_Toc163506377" w:history="1">
        <w:r w:rsidRPr="007246E7">
          <w:rPr>
            <w:rStyle w:val="Hyperlink"/>
            <w:rtl/>
          </w:rPr>
          <w:t>עבודת הקודש בית מועד שער א' סי' י"ב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Toc163506377 \h</w:instrText>
        </w:r>
        <w:r>
          <w:rPr>
            <w:webHidden/>
            <w:rtl/>
          </w:rPr>
          <w:instrText xml:space="preserve"> </w:instrText>
        </w:r>
        <w:r>
          <w:rPr>
            <w:rStyle w:val="Hyperlink"/>
            <w:rtl/>
          </w:rPr>
        </w:r>
        <w:r>
          <w:rPr>
            <w:rStyle w:val="Hyperlink"/>
            <w:rtl/>
          </w:rPr>
          <w:fldChar w:fldCharType="separate"/>
        </w:r>
        <w:r w:rsidR="00D82181">
          <w:rPr>
            <w:webHidden/>
            <w:rtl/>
          </w:rPr>
          <w:t>178</w:t>
        </w:r>
        <w:r>
          <w:rPr>
            <w:rStyle w:val="Hyperlink"/>
            <w:rtl/>
          </w:rPr>
          <w:fldChar w:fldCharType="end"/>
        </w:r>
      </w:hyperlink>
    </w:p>
    <w:p w14:paraId="420964A2" w14:textId="0BEE236F" w:rsidR="008009AA" w:rsidRDefault="008009AA">
      <w:pPr>
        <w:pStyle w:val="TOC7"/>
        <w:rPr>
          <w:rFonts w:cstheme="minorBidi"/>
          <w:sz w:val="22"/>
          <w:szCs w:val="22"/>
          <w:rtl/>
        </w:rPr>
      </w:pPr>
      <w:hyperlink w:anchor="_Toc163506378" w:history="1">
        <w:r w:rsidRPr="007246E7">
          <w:rPr>
            <w:rStyle w:val="Hyperlink"/>
            <w:rtl/>
          </w:rPr>
          <w:t>או"ז הלכ' שבת סימן ע"ח</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Toc163506378 \h</w:instrText>
        </w:r>
        <w:r>
          <w:rPr>
            <w:webHidden/>
            <w:rtl/>
          </w:rPr>
          <w:instrText xml:space="preserve"> </w:instrText>
        </w:r>
        <w:r>
          <w:rPr>
            <w:rStyle w:val="Hyperlink"/>
            <w:rtl/>
          </w:rPr>
        </w:r>
        <w:r>
          <w:rPr>
            <w:rStyle w:val="Hyperlink"/>
            <w:rtl/>
          </w:rPr>
          <w:fldChar w:fldCharType="separate"/>
        </w:r>
        <w:r w:rsidR="00D82181">
          <w:rPr>
            <w:webHidden/>
            <w:rtl/>
          </w:rPr>
          <w:t>178</w:t>
        </w:r>
        <w:r>
          <w:rPr>
            <w:rStyle w:val="Hyperlink"/>
            <w:rtl/>
          </w:rPr>
          <w:fldChar w:fldCharType="end"/>
        </w:r>
      </w:hyperlink>
    </w:p>
    <w:p w14:paraId="7D6673B7" w14:textId="1A4A85C2" w:rsidR="008009AA" w:rsidRDefault="008009AA">
      <w:pPr>
        <w:pStyle w:val="TOC7"/>
        <w:rPr>
          <w:rFonts w:cstheme="minorBidi"/>
          <w:sz w:val="22"/>
          <w:szCs w:val="22"/>
          <w:rtl/>
        </w:rPr>
      </w:pPr>
      <w:hyperlink w:anchor="_Toc163506379" w:history="1">
        <w:r w:rsidRPr="007246E7">
          <w:rPr>
            <w:rStyle w:val="Hyperlink"/>
            <w:rtl/>
          </w:rPr>
          <w:t>מאירי שבת מ"ז ע"א ד"ה מטה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Toc163506379 \h</w:instrText>
        </w:r>
        <w:r>
          <w:rPr>
            <w:webHidden/>
            <w:rtl/>
          </w:rPr>
          <w:instrText xml:space="preserve"> </w:instrText>
        </w:r>
        <w:r>
          <w:rPr>
            <w:rStyle w:val="Hyperlink"/>
            <w:rtl/>
          </w:rPr>
        </w:r>
        <w:r>
          <w:rPr>
            <w:rStyle w:val="Hyperlink"/>
            <w:rtl/>
          </w:rPr>
          <w:fldChar w:fldCharType="separate"/>
        </w:r>
        <w:r w:rsidR="00D82181">
          <w:rPr>
            <w:webHidden/>
            <w:rtl/>
          </w:rPr>
          <w:t>178</w:t>
        </w:r>
        <w:r>
          <w:rPr>
            <w:rStyle w:val="Hyperlink"/>
            <w:rtl/>
          </w:rPr>
          <w:fldChar w:fldCharType="end"/>
        </w:r>
      </w:hyperlink>
    </w:p>
    <w:p w14:paraId="5E721DA7" w14:textId="14239437" w:rsidR="008009AA" w:rsidRDefault="008009AA">
      <w:pPr>
        <w:pStyle w:val="TOC7"/>
        <w:rPr>
          <w:rFonts w:cstheme="minorBidi"/>
          <w:sz w:val="22"/>
          <w:szCs w:val="22"/>
          <w:rtl/>
        </w:rPr>
      </w:pPr>
      <w:hyperlink w:anchor="_Toc163506380" w:history="1">
        <w:r w:rsidRPr="007246E7">
          <w:rPr>
            <w:rStyle w:val="Hyperlink"/>
            <w:rtl/>
          </w:rPr>
          <w:t>מאירי שבת קכ"ב ע"ב ד"ה דלת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Toc163506380 \h</w:instrText>
        </w:r>
        <w:r>
          <w:rPr>
            <w:webHidden/>
            <w:rtl/>
          </w:rPr>
          <w:instrText xml:space="preserve"> </w:instrText>
        </w:r>
        <w:r>
          <w:rPr>
            <w:rStyle w:val="Hyperlink"/>
            <w:rtl/>
          </w:rPr>
        </w:r>
        <w:r>
          <w:rPr>
            <w:rStyle w:val="Hyperlink"/>
            <w:rtl/>
          </w:rPr>
          <w:fldChar w:fldCharType="separate"/>
        </w:r>
        <w:r w:rsidR="00D82181">
          <w:rPr>
            <w:webHidden/>
            <w:rtl/>
          </w:rPr>
          <w:t>178</w:t>
        </w:r>
        <w:r>
          <w:rPr>
            <w:rStyle w:val="Hyperlink"/>
            <w:rtl/>
          </w:rPr>
          <w:fldChar w:fldCharType="end"/>
        </w:r>
      </w:hyperlink>
    </w:p>
    <w:p w14:paraId="5AE87857" w14:textId="0FC12383" w:rsidR="008009AA" w:rsidRDefault="008009AA">
      <w:pPr>
        <w:pStyle w:val="TOC7"/>
        <w:rPr>
          <w:rFonts w:cstheme="minorBidi"/>
          <w:sz w:val="22"/>
          <w:szCs w:val="22"/>
          <w:rtl/>
        </w:rPr>
      </w:pPr>
      <w:hyperlink w:anchor="_Toc163506381" w:history="1">
        <w:r w:rsidRPr="007246E7">
          <w:rPr>
            <w:rStyle w:val="Hyperlink"/>
            <w:rtl/>
          </w:rPr>
          <w:t>ר"ן על הרי"ף שבת כ"א ע"ב ד"ה ואיכא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Toc163506381 \h</w:instrText>
        </w:r>
        <w:r>
          <w:rPr>
            <w:webHidden/>
            <w:rtl/>
          </w:rPr>
          <w:instrText xml:space="preserve"> </w:instrText>
        </w:r>
        <w:r>
          <w:rPr>
            <w:rStyle w:val="Hyperlink"/>
            <w:rtl/>
          </w:rPr>
        </w:r>
        <w:r>
          <w:rPr>
            <w:rStyle w:val="Hyperlink"/>
            <w:rtl/>
          </w:rPr>
          <w:fldChar w:fldCharType="separate"/>
        </w:r>
        <w:r w:rsidR="00D82181">
          <w:rPr>
            <w:webHidden/>
            <w:rtl/>
          </w:rPr>
          <w:t>179</w:t>
        </w:r>
        <w:r>
          <w:rPr>
            <w:rStyle w:val="Hyperlink"/>
            <w:rtl/>
          </w:rPr>
          <w:fldChar w:fldCharType="end"/>
        </w:r>
      </w:hyperlink>
    </w:p>
    <w:p w14:paraId="235D984B" w14:textId="56CD83FE" w:rsidR="008009AA" w:rsidRDefault="008009AA">
      <w:pPr>
        <w:pStyle w:val="TOC7"/>
        <w:rPr>
          <w:rFonts w:cstheme="minorBidi"/>
          <w:sz w:val="22"/>
          <w:szCs w:val="22"/>
          <w:rtl/>
        </w:rPr>
      </w:pPr>
      <w:hyperlink w:anchor="_Toc163506382" w:history="1">
        <w:r w:rsidRPr="007246E7">
          <w:rPr>
            <w:rStyle w:val="Hyperlink"/>
            <w:rtl/>
          </w:rPr>
          <w:t>שו"ת אבני או"ח סי' רי"א אות 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Toc163506382 \h</w:instrText>
        </w:r>
        <w:r>
          <w:rPr>
            <w:webHidden/>
            <w:rtl/>
          </w:rPr>
          <w:instrText xml:space="preserve"> </w:instrText>
        </w:r>
        <w:r>
          <w:rPr>
            <w:rStyle w:val="Hyperlink"/>
            <w:rtl/>
          </w:rPr>
        </w:r>
        <w:r>
          <w:rPr>
            <w:rStyle w:val="Hyperlink"/>
            <w:rtl/>
          </w:rPr>
          <w:fldChar w:fldCharType="separate"/>
        </w:r>
        <w:r w:rsidR="00D82181">
          <w:rPr>
            <w:webHidden/>
            <w:rtl/>
          </w:rPr>
          <w:t>179</w:t>
        </w:r>
        <w:r>
          <w:rPr>
            <w:rStyle w:val="Hyperlink"/>
            <w:rtl/>
          </w:rPr>
          <w:fldChar w:fldCharType="end"/>
        </w:r>
      </w:hyperlink>
    </w:p>
    <w:p w14:paraId="58A8444B" w14:textId="286D9212" w:rsidR="008009AA" w:rsidRDefault="008009AA">
      <w:pPr>
        <w:pStyle w:val="TOC7"/>
        <w:rPr>
          <w:rFonts w:cstheme="minorBidi"/>
          <w:sz w:val="22"/>
          <w:szCs w:val="22"/>
          <w:rtl/>
        </w:rPr>
      </w:pPr>
      <w:hyperlink w:anchor="_Toc163506383" w:history="1">
        <w:r w:rsidRPr="007246E7">
          <w:rPr>
            <w:rStyle w:val="Hyperlink"/>
            <w:rtl/>
          </w:rPr>
          <w:t>שו"ת אבני נזר או"ח סי' רי"א אות 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Toc163506383 \h</w:instrText>
        </w:r>
        <w:r>
          <w:rPr>
            <w:webHidden/>
            <w:rtl/>
          </w:rPr>
          <w:instrText xml:space="preserve"> </w:instrText>
        </w:r>
        <w:r>
          <w:rPr>
            <w:rStyle w:val="Hyperlink"/>
            <w:rtl/>
          </w:rPr>
        </w:r>
        <w:r>
          <w:rPr>
            <w:rStyle w:val="Hyperlink"/>
            <w:rtl/>
          </w:rPr>
          <w:fldChar w:fldCharType="separate"/>
        </w:r>
        <w:r w:rsidR="00D82181">
          <w:rPr>
            <w:webHidden/>
            <w:rtl/>
          </w:rPr>
          <w:t>179</w:t>
        </w:r>
        <w:r>
          <w:rPr>
            <w:rStyle w:val="Hyperlink"/>
            <w:rtl/>
          </w:rPr>
          <w:fldChar w:fldCharType="end"/>
        </w:r>
      </w:hyperlink>
    </w:p>
    <w:p w14:paraId="4A50E349" w14:textId="4F6C1822" w:rsidR="008009AA" w:rsidRDefault="008009AA">
      <w:pPr>
        <w:pStyle w:val="TOC7"/>
        <w:rPr>
          <w:rFonts w:cstheme="minorBidi"/>
          <w:sz w:val="22"/>
          <w:szCs w:val="22"/>
          <w:rtl/>
        </w:rPr>
      </w:pPr>
      <w:hyperlink w:anchor="_Toc163506384" w:history="1">
        <w:r w:rsidRPr="007246E7">
          <w:rPr>
            <w:rStyle w:val="Hyperlink"/>
            <w:rtl/>
          </w:rPr>
          <w:t>שו"ת אבני נזר או"ח סי' רי"א אות 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Toc163506384 \h</w:instrText>
        </w:r>
        <w:r>
          <w:rPr>
            <w:webHidden/>
            <w:rtl/>
          </w:rPr>
          <w:instrText xml:space="preserve"> </w:instrText>
        </w:r>
        <w:r>
          <w:rPr>
            <w:rStyle w:val="Hyperlink"/>
            <w:rtl/>
          </w:rPr>
        </w:r>
        <w:r>
          <w:rPr>
            <w:rStyle w:val="Hyperlink"/>
            <w:rtl/>
          </w:rPr>
          <w:fldChar w:fldCharType="separate"/>
        </w:r>
        <w:r w:rsidR="00D82181">
          <w:rPr>
            <w:webHidden/>
            <w:rtl/>
          </w:rPr>
          <w:t>179</w:t>
        </w:r>
        <w:r>
          <w:rPr>
            <w:rStyle w:val="Hyperlink"/>
            <w:rtl/>
          </w:rPr>
          <w:fldChar w:fldCharType="end"/>
        </w:r>
      </w:hyperlink>
    </w:p>
    <w:p w14:paraId="1C2C52E5" w14:textId="2E15D4B6" w:rsidR="008009AA" w:rsidRDefault="008009AA">
      <w:pPr>
        <w:pStyle w:val="TOC7"/>
        <w:rPr>
          <w:rFonts w:cstheme="minorBidi"/>
          <w:sz w:val="22"/>
          <w:szCs w:val="22"/>
          <w:rtl/>
        </w:rPr>
      </w:pPr>
      <w:hyperlink w:anchor="_Toc163506385" w:history="1">
        <w:r w:rsidRPr="007246E7">
          <w:rPr>
            <w:rStyle w:val="Hyperlink"/>
            <w:rtl/>
          </w:rPr>
          <w:t>חזון איש או"ח סי' נ' סק"י ד"ה שבת מ"ז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Toc163506385 \h</w:instrText>
        </w:r>
        <w:r>
          <w:rPr>
            <w:webHidden/>
            <w:rtl/>
          </w:rPr>
          <w:instrText xml:space="preserve"> </w:instrText>
        </w:r>
        <w:r>
          <w:rPr>
            <w:rStyle w:val="Hyperlink"/>
            <w:rtl/>
          </w:rPr>
        </w:r>
        <w:r>
          <w:rPr>
            <w:rStyle w:val="Hyperlink"/>
            <w:rtl/>
          </w:rPr>
          <w:fldChar w:fldCharType="separate"/>
        </w:r>
        <w:r w:rsidR="00D82181">
          <w:rPr>
            <w:webHidden/>
            <w:rtl/>
          </w:rPr>
          <w:t>179</w:t>
        </w:r>
        <w:r>
          <w:rPr>
            <w:rStyle w:val="Hyperlink"/>
            <w:rtl/>
          </w:rPr>
          <w:fldChar w:fldCharType="end"/>
        </w:r>
      </w:hyperlink>
    </w:p>
    <w:p w14:paraId="6B74D9D4" w14:textId="667F05BE" w:rsidR="008009AA" w:rsidRDefault="008009AA">
      <w:pPr>
        <w:pStyle w:val="TOC7"/>
        <w:rPr>
          <w:rFonts w:cstheme="minorBidi"/>
          <w:sz w:val="22"/>
          <w:szCs w:val="22"/>
          <w:rtl/>
        </w:rPr>
      </w:pPr>
      <w:hyperlink w:anchor="_Toc163506386" w:history="1">
        <w:r w:rsidRPr="007246E7">
          <w:rPr>
            <w:rStyle w:val="Hyperlink"/>
            <w:rtl/>
          </w:rPr>
          <w:t>ר"ן על הרי"ף שבת מ"ז ע"א מדה"ר ד"ה ת"ר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Toc163506386 \h</w:instrText>
        </w:r>
        <w:r>
          <w:rPr>
            <w:webHidden/>
            <w:rtl/>
          </w:rPr>
          <w:instrText xml:space="preserve"> </w:instrText>
        </w:r>
        <w:r>
          <w:rPr>
            <w:rStyle w:val="Hyperlink"/>
            <w:rtl/>
          </w:rPr>
        </w:r>
        <w:r>
          <w:rPr>
            <w:rStyle w:val="Hyperlink"/>
            <w:rtl/>
          </w:rPr>
          <w:fldChar w:fldCharType="separate"/>
        </w:r>
        <w:r w:rsidR="00D82181">
          <w:rPr>
            <w:webHidden/>
            <w:rtl/>
          </w:rPr>
          <w:t>179</w:t>
        </w:r>
        <w:r>
          <w:rPr>
            <w:rStyle w:val="Hyperlink"/>
            <w:rtl/>
          </w:rPr>
          <w:fldChar w:fldCharType="end"/>
        </w:r>
      </w:hyperlink>
    </w:p>
    <w:p w14:paraId="7CD59485" w14:textId="1BB7FE29" w:rsidR="008009AA" w:rsidRDefault="008009AA">
      <w:pPr>
        <w:pStyle w:val="TOC7"/>
        <w:rPr>
          <w:rFonts w:cstheme="minorBidi"/>
          <w:sz w:val="22"/>
          <w:szCs w:val="22"/>
          <w:rtl/>
        </w:rPr>
      </w:pPr>
      <w:hyperlink w:anchor="_Toc163506387" w:history="1">
        <w:r w:rsidRPr="007246E7">
          <w:rPr>
            <w:rStyle w:val="Hyperlink"/>
            <w:rtl/>
          </w:rPr>
          <w:t>מלחמת ה' ביצה ד' ע"א מדה"ר ד"ה ועוד אנו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Toc163506387 \h</w:instrText>
        </w:r>
        <w:r>
          <w:rPr>
            <w:webHidden/>
            <w:rtl/>
          </w:rPr>
          <w:instrText xml:space="preserve"> </w:instrText>
        </w:r>
        <w:r>
          <w:rPr>
            <w:rStyle w:val="Hyperlink"/>
            <w:rtl/>
          </w:rPr>
        </w:r>
        <w:r>
          <w:rPr>
            <w:rStyle w:val="Hyperlink"/>
            <w:rtl/>
          </w:rPr>
          <w:fldChar w:fldCharType="separate"/>
        </w:r>
        <w:r w:rsidR="00D82181">
          <w:rPr>
            <w:webHidden/>
            <w:rtl/>
          </w:rPr>
          <w:t>180</w:t>
        </w:r>
        <w:r>
          <w:rPr>
            <w:rStyle w:val="Hyperlink"/>
            <w:rtl/>
          </w:rPr>
          <w:fldChar w:fldCharType="end"/>
        </w:r>
      </w:hyperlink>
    </w:p>
    <w:p w14:paraId="28AFB1EC" w14:textId="583C7CFA" w:rsidR="008009AA" w:rsidRDefault="008009AA">
      <w:pPr>
        <w:pStyle w:val="TOC7"/>
        <w:rPr>
          <w:rFonts w:cstheme="minorBidi"/>
          <w:sz w:val="22"/>
          <w:szCs w:val="22"/>
          <w:rtl/>
        </w:rPr>
      </w:pPr>
      <w:hyperlink w:anchor="_Toc163506388" w:history="1">
        <w:r w:rsidRPr="007246E7">
          <w:rPr>
            <w:rStyle w:val="Hyperlink"/>
            <w:rtl/>
          </w:rPr>
          <w:t>חדושי הרשב"א ביצה י' ע"א ד"ה והרי"ף</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Toc163506388 \h</w:instrText>
        </w:r>
        <w:r>
          <w:rPr>
            <w:webHidden/>
            <w:rtl/>
          </w:rPr>
          <w:instrText xml:space="preserve"> </w:instrText>
        </w:r>
        <w:r>
          <w:rPr>
            <w:rStyle w:val="Hyperlink"/>
            <w:rtl/>
          </w:rPr>
        </w:r>
        <w:r>
          <w:rPr>
            <w:rStyle w:val="Hyperlink"/>
            <w:rtl/>
          </w:rPr>
          <w:fldChar w:fldCharType="separate"/>
        </w:r>
        <w:r w:rsidR="00D82181">
          <w:rPr>
            <w:webHidden/>
            <w:rtl/>
          </w:rPr>
          <w:t>180</w:t>
        </w:r>
        <w:r>
          <w:rPr>
            <w:rStyle w:val="Hyperlink"/>
            <w:rtl/>
          </w:rPr>
          <w:fldChar w:fldCharType="end"/>
        </w:r>
      </w:hyperlink>
    </w:p>
    <w:p w14:paraId="77496B18" w14:textId="690B7D68" w:rsidR="008009AA" w:rsidRDefault="008009AA">
      <w:pPr>
        <w:pStyle w:val="TOC7"/>
        <w:rPr>
          <w:rFonts w:cstheme="minorBidi"/>
          <w:sz w:val="22"/>
          <w:szCs w:val="22"/>
          <w:rtl/>
        </w:rPr>
      </w:pPr>
      <w:hyperlink w:anchor="_Toc163506389" w:history="1">
        <w:r w:rsidRPr="007246E7">
          <w:rPr>
            <w:rStyle w:val="Hyperlink"/>
            <w:rtl/>
          </w:rPr>
          <w:t>חדושי הרמב"ן שבת ק"ב ע"ב ד"ה רב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Toc163506389 \h</w:instrText>
        </w:r>
        <w:r>
          <w:rPr>
            <w:webHidden/>
            <w:rtl/>
          </w:rPr>
          <w:instrText xml:space="preserve"> </w:instrText>
        </w:r>
        <w:r>
          <w:rPr>
            <w:rStyle w:val="Hyperlink"/>
            <w:rtl/>
          </w:rPr>
        </w:r>
        <w:r>
          <w:rPr>
            <w:rStyle w:val="Hyperlink"/>
            <w:rtl/>
          </w:rPr>
          <w:fldChar w:fldCharType="separate"/>
        </w:r>
        <w:r w:rsidR="00D82181">
          <w:rPr>
            <w:webHidden/>
            <w:rtl/>
          </w:rPr>
          <w:t>180</w:t>
        </w:r>
        <w:r>
          <w:rPr>
            <w:rStyle w:val="Hyperlink"/>
            <w:rtl/>
          </w:rPr>
          <w:fldChar w:fldCharType="end"/>
        </w:r>
      </w:hyperlink>
    </w:p>
    <w:p w14:paraId="569E790B" w14:textId="690CB1B8" w:rsidR="008009AA" w:rsidRDefault="008009AA">
      <w:pPr>
        <w:pStyle w:val="TOC7"/>
        <w:rPr>
          <w:rFonts w:cstheme="minorBidi"/>
          <w:sz w:val="22"/>
          <w:szCs w:val="22"/>
          <w:rtl/>
        </w:rPr>
      </w:pPr>
      <w:hyperlink w:anchor="_Toc163506390" w:history="1">
        <w:r w:rsidRPr="007246E7">
          <w:rPr>
            <w:rStyle w:val="Hyperlink"/>
            <w:rtl/>
          </w:rPr>
          <w:t>מלחמת ה' ביצה ד' ע"א מדה"ר ד"ה ויש שמחזק</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Toc163506390 \h</w:instrText>
        </w:r>
        <w:r>
          <w:rPr>
            <w:webHidden/>
            <w:rtl/>
          </w:rPr>
          <w:instrText xml:space="preserve"> </w:instrText>
        </w:r>
        <w:r>
          <w:rPr>
            <w:rStyle w:val="Hyperlink"/>
            <w:rtl/>
          </w:rPr>
        </w:r>
        <w:r>
          <w:rPr>
            <w:rStyle w:val="Hyperlink"/>
            <w:rtl/>
          </w:rPr>
          <w:fldChar w:fldCharType="separate"/>
        </w:r>
        <w:r w:rsidR="00D82181">
          <w:rPr>
            <w:webHidden/>
            <w:rtl/>
          </w:rPr>
          <w:t>180</w:t>
        </w:r>
        <w:r>
          <w:rPr>
            <w:rStyle w:val="Hyperlink"/>
            <w:rtl/>
          </w:rPr>
          <w:fldChar w:fldCharType="end"/>
        </w:r>
      </w:hyperlink>
    </w:p>
    <w:p w14:paraId="1896889E" w14:textId="656A933D" w:rsidR="008009AA" w:rsidRDefault="008009AA">
      <w:pPr>
        <w:pStyle w:val="TOC7"/>
        <w:rPr>
          <w:rFonts w:cstheme="minorBidi"/>
          <w:sz w:val="22"/>
          <w:szCs w:val="22"/>
          <w:rtl/>
        </w:rPr>
      </w:pPr>
      <w:hyperlink w:anchor="_Toc163506391" w:history="1">
        <w:r w:rsidRPr="007246E7">
          <w:rPr>
            <w:rStyle w:val="Hyperlink"/>
            <w:rtl/>
          </w:rPr>
          <w:t>תוספות שבת מ"ח ע"א ד"ה הא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Toc163506391 \h</w:instrText>
        </w:r>
        <w:r>
          <w:rPr>
            <w:webHidden/>
            <w:rtl/>
          </w:rPr>
          <w:instrText xml:space="preserve"> </w:instrText>
        </w:r>
        <w:r>
          <w:rPr>
            <w:rStyle w:val="Hyperlink"/>
            <w:rtl/>
          </w:rPr>
        </w:r>
        <w:r>
          <w:rPr>
            <w:rStyle w:val="Hyperlink"/>
            <w:rtl/>
          </w:rPr>
          <w:fldChar w:fldCharType="separate"/>
        </w:r>
        <w:r w:rsidR="00D82181">
          <w:rPr>
            <w:webHidden/>
            <w:rtl/>
          </w:rPr>
          <w:t>180</w:t>
        </w:r>
        <w:r>
          <w:rPr>
            <w:rStyle w:val="Hyperlink"/>
            <w:rtl/>
          </w:rPr>
          <w:fldChar w:fldCharType="end"/>
        </w:r>
      </w:hyperlink>
    </w:p>
    <w:p w14:paraId="6203E545" w14:textId="356D9A95" w:rsidR="008009AA" w:rsidRDefault="008009AA">
      <w:pPr>
        <w:pStyle w:val="TOC7"/>
        <w:rPr>
          <w:rFonts w:cstheme="minorBidi"/>
          <w:sz w:val="22"/>
          <w:szCs w:val="22"/>
          <w:rtl/>
        </w:rPr>
      </w:pPr>
      <w:hyperlink w:anchor="_Toc163506392" w:history="1">
        <w:r w:rsidRPr="007246E7">
          <w:rPr>
            <w:rStyle w:val="Hyperlink"/>
            <w:rtl/>
          </w:rPr>
          <w:t>הגהות אשרי שבת פ"ד סי' 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Toc163506392 \h</w:instrText>
        </w:r>
        <w:r>
          <w:rPr>
            <w:webHidden/>
            <w:rtl/>
          </w:rPr>
          <w:instrText xml:space="preserve"> </w:instrText>
        </w:r>
        <w:r>
          <w:rPr>
            <w:rStyle w:val="Hyperlink"/>
            <w:rtl/>
          </w:rPr>
        </w:r>
        <w:r>
          <w:rPr>
            <w:rStyle w:val="Hyperlink"/>
            <w:rtl/>
          </w:rPr>
          <w:fldChar w:fldCharType="separate"/>
        </w:r>
        <w:r w:rsidR="00D82181">
          <w:rPr>
            <w:webHidden/>
            <w:rtl/>
          </w:rPr>
          <w:t>180</w:t>
        </w:r>
        <w:r>
          <w:rPr>
            <w:rStyle w:val="Hyperlink"/>
            <w:rtl/>
          </w:rPr>
          <w:fldChar w:fldCharType="end"/>
        </w:r>
      </w:hyperlink>
    </w:p>
    <w:p w14:paraId="4A7F7A08" w14:textId="719B5374" w:rsidR="008009AA" w:rsidRDefault="008009AA">
      <w:pPr>
        <w:pStyle w:val="TOC7"/>
        <w:rPr>
          <w:rFonts w:cstheme="minorBidi"/>
          <w:sz w:val="22"/>
          <w:szCs w:val="22"/>
          <w:rtl/>
        </w:rPr>
      </w:pPr>
      <w:hyperlink w:anchor="_Toc163506393" w:history="1">
        <w:r w:rsidRPr="007246E7">
          <w:rPr>
            <w:rStyle w:val="Hyperlink"/>
            <w:rtl/>
          </w:rPr>
          <w:t>הגהות אשרי שבת פ"ג סי' כ"ג</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Toc163506393 \h</w:instrText>
        </w:r>
        <w:r>
          <w:rPr>
            <w:webHidden/>
            <w:rtl/>
          </w:rPr>
          <w:instrText xml:space="preserve"> </w:instrText>
        </w:r>
        <w:r>
          <w:rPr>
            <w:rStyle w:val="Hyperlink"/>
            <w:rtl/>
          </w:rPr>
        </w:r>
        <w:r>
          <w:rPr>
            <w:rStyle w:val="Hyperlink"/>
            <w:rtl/>
          </w:rPr>
          <w:fldChar w:fldCharType="separate"/>
        </w:r>
        <w:r w:rsidR="00D82181">
          <w:rPr>
            <w:webHidden/>
            <w:rtl/>
          </w:rPr>
          <w:t>180</w:t>
        </w:r>
        <w:r>
          <w:rPr>
            <w:rStyle w:val="Hyperlink"/>
            <w:rtl/>
          </w:rPr>
          <w:fldChar w:fldCharType="end"/>
        </w:r>
      </w:hyperlink>
    </w:p>
    <w:p w14:paraId="17796950" w14:textId="44ED7B14" w:rsidR="008009AA" w:rsidRDefault="008009AA">
      <w:pPr>
        <w:pStyle w:val="TOC7"/>
        <w:rPr>
          <w:rFonts w:cstheme="minorBidi"/>
          <w:sz w:val="22"/>
          <w:szCs w:val="22"/>
          <w:rtl/>
        </w:rPr>
      </w:pPr>
      <w:hyperlink w:anchor="_Toc163506394" w:history="1">
        <w:r w:rsidRPr="007246E7">
          <w:rPr>
            <w:rStyle w:val="Hyperlink"/>
            <w:rtl/>
          </w:rPr>
          <w:t>חדושי הריטב"א שבת ק"ב ע"ב ד"ה ואי קשיא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Toc163506394 \h</w:instrText>
        </w:r>
        <w:r>
          <w:rPr>
            <w:webHidden/>
            <w:rtl/>
          </w:rPr>
          <w:instrText xml:space="preserve"> </w:instrText>
        </w:r>
        <w:r>
          <w:rPr>
            <w:rStyle w:val="Hyperlink"/>
            <w:rtl/>
          </w:rPr>
        </w:r>
        <w:r>
          <w:rPr>
            <w:rStyle w:val="Hyperlink"/>
            <w:rtl/>
          </w:rPr>
          <w:fldChar w:fldCharType="separate"/>
        </w:r>
        <w:r w:rsidR="00D82181">
          <w:rPr>
            <w:webHidden/>
            <w:rtl/>
          </w:rPr>
          <w:t>181</w:t>
        </w:r>
        <w:r>
          <w:rPr>
            <w:rStyle w:val="Hyperlink"/>
            <w:rtl/>
          </w:rPr>
          <w:fldChar w:fldCharType="end"/>
        </w:r>
      </w:hyperlink>
    </w:p>
    <w:p w14:paraId="27C9E4D3" w14:textId="7E732653" w:rsidR="008009AA" w:rsidRDefault="008009AA">
      <w:pPr>
        <w:pStyle w:val="TOC7"/>
        <w:rPr>
          <w:rFonts w:cstheme="minorBidi"/>
          <w:sz w:val="22"/>
          <w:szCs w:val="22"/>
          <w:rtl/>
        </w:rPr>
      </w:pPr>
      <w:hyperlink w:anchor="_Toc163506395" w:history="1">
        <w:r w:rsidRPr="007246E7">
          <w:rPr>
            <w:rStyle w:val="Hyperlink"/>
            <w:rtl/>
          </w:rPr>
          <w:t>מאירי שבת מ"ז ע"א ד"ה מטה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Toc163506395 \h</w:instrText>
        </w:r>
        <w:r>
          <w:rPr>
            <w:webHidden/>
            <w:rtl/>
          </w:rPr>
          <w:instrText xml:space="preserve"> </w:instrText>
        </w:r>
        <w:r>
          <w:rPr>
            <w:rStyle w:val="Hyperlink"/>
            <w:rtl/>
          </w:rPr>
        </w:r>
        <w:r>
          <w:rPr>
            <w:rStyle w:val="Hyperlink"/>
            <w:rtl/>
          </w:rPr>
          <w:fldChar w:fldCharType="separate"/>
        </w:r>
        <w:r w:rsidR="00D82181">
          <w:rPr>
            <w:webHidden/>
            <w:rtl/>
          </w:rPr>
          <w:t>181</w:t>
        </w:r>
        <w:r>
          <w:rPr>
            <w:rStyle w:val="Hyperlink"/>
            <w:rtl/>
          </w:rPr>
          <w:fldChar w:fldCharType="end"/>
        </w:r>
      </w:hyperlink>
    </w:p>
    <w:p w14:paraId="075C466D" w14:textId="610168B3" w:rsidR="008009AA" w:rsidRDefault="008009AA">
      <w:pPr>
        <w:pStyle w:val="TOC7"/>
        <w:rPr>
          <w:rFonts w:cstheme="minorBidi"/>
          <w:sz w:val="22"/>
          <w:szCs w:val="22"/>
          <w:rtl/>
        </w:rPr>
      </w:pPr>
      <w:hyperlink w:anchor="_Toc163506396" w:history="1">
        <w:r w:rsidRPr="007246E7">
          <w:rPr>
            <w:rStyle w:val="Hyperlink"/>
            <w:rtl/>
          </w:rPr>
          <w:t>כלבו סימן לא ד"ה העושה אוהל</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Toc163506396 \h</w:instrText>
        </w:r>
        <w:r>
          <w:rPr>
            <w:webHidden/>
            <w:rtl/>
          </w:rPr>
          <w:instrText xml:space="preserve"> </w:instrText>
        </w:r>
        <w:r>
          <w:rPr>
            <w:rStyle w:val="Hyperlink"/>
            <w:rtl/>
          </w:rPr>
        </w:r>
        <w:r>
          <w:rPr>
            <w:rStyle w:val="Hyperlink"/>
            <w:rtl/>
          </w:rPr>
          <w:fldChar w:fldCharType="separate"/>
        </w:r>
        <w:r w:rsidR="00D82181">
          <w:rPr>
            <w:webHidden/>
            <w:rtl/>
          </w:rPr>
          <w:t>181</w:t>
        </w:r>
        <w:r>
          <w:rPr>
            <w:rStyle w:val="Hyperlink"/>
            <w:rtl/>
          </w:rPr>
          <w:fldChar w:fldCharType="end"/>
        </w:r>
      </w:hyperlink>
    </w:p>
    <w:p w14:paraId="7A0679EB" w14:textId="28C2D1A8" w:rsidR="008009AA" w:rsidRDefault="008009AA">
      <w:pPr>
        <w:pStyle w:val="TOC7"/>
        <w:rPr>
          <w:rFonts w:cstheme="minorBidi"/>
          <w:sz w:val="22"/>
          <w:szCs w:val="22"/>
          <w:rtl/>
        </w:rPr>
      </w:pPr>
      <w:hyperlink w:anchor="_Toc163506397" w:history="1">
        <w:r w:rsidRPr="007246E7">
          <w:rPr>
            <w:rStyle w:val="Hyperlink"/>
            <w:rtl/>
          </w:rPr>
          <w:t>ספר מצוות גדול לאוין סימן סה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Toc163506397 \h</w:instrText>
        </w:r>
        <w:r>
          <w:rPr>
            <w:webHidden/>
            <w:rtl/>
          </w:rPr>
          <w:instrText xml:space="preserve"> </w:instrText>
        </w:r>
        <w:r>
          <w:rPr>
            <w:rStyle w:val="Hyperlink"/>
            <w:rtl/>
          </w:rPr>
        </w:r>
        <w:r>
          <w:rPr>
            <w:rStyle w:val="Hyperlink"/>
            <w:rtl/>
          </w:rPr>
          <w:fldChar w:fldCharType="separate"/>
        </w:r>
        <w:r w:rsidR="00D82181">
          <w:rPr>
            <w:webHidden/>
            <w:rtl/>
          </w:rPr>
          <w:t>181</w:t>
        </w:r>
        <w:r>
          <w:rPr>
            <w:rStyle w:val="Hyperlink"/>
            <w:rtl/>
          </w:rPr>
          <w:fldChar w:fldCharType="end"/>
        </w:r>
      </w:hyperlink>
    </w:p>
    <w:p w14:paraId="658020A8" w14:textId="5FF1F185" w:rsidR="008009AA" w:rsidRDefault="008009AA">
      <w:pPr>
        <w:pStyle w:val="TOC7"/>
        <w:rPr>
          <w:rFonts w:cstheme="minorBidi"/>
          <w:sz w:val="22"/>
          <w:szCs w:val="22"/>
          <w:rtl/>
        </w:rPr>
      </w:pPr>
      <w:hyperlink w:anchor="_Toc163506398" w:history="1">
        <w:r w:rsidRPr="007246E7">
          <w:rPr>
            <w:rStyle w:val="Hyperlink"/>
            <w:rtl/>
          </w:rPr>
          <w:t>שו"ע או"ח סי' שי"ג 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Toc163506398 \h</w:instrText>
        </w:r>
        <w:r>
          <w:rPr>
            <w:webHidden/>
            <w:rtl/>
          </w:rPr>
          <w:instrText xml:space="preserve"> </w:instrText>
        </w:r>
        <w:r>
          <w:rPr>
            <w:rStyle w:val="Hyperlink"/>
            <w:rtl/>
          </w:rPr>
        </w:r>
        <w:r>
          <w:rPr>
            <w:rStyle w:val="Hyperlink"/>
            <w:rtl/>
          </w:rPr>
          <w:fldChar w:fldCharType="separate"/>
        </w:r>
        <w:r w:rsidR="00D82181">
          <w:rPr>
            <w:webHidden/>
            <w:rtl/>
          </w:rPr>
          <w:t>181</w:t>
        </w:r>
        <w:r>
          <w:rPr>
            <w:rStyle w:val="Hyperlink"/>
            <w:rtl/>
          </w:rPr>
          <w:fldChar w:fldCharType="end"/>
        </w:r>
      </w:hyperlink>
    </w:p>
    <w:p w14:paraId="7F71C9A2" w14:textId="1954B143" w:rsidR="008009AA" w:rsidRDefault="008009AA">
      <w:pPr>
        <w:pStyle w:val="TOC7"/>
        <w:rPr>
          <w:rFonts w:cstheme="minorBidi"/>
          <w:sz w:val="22"/>
          <w:szCs w:val="22"/>
          <w:rtl/>
        </w:rPr>
      </w:pPr>
      <w:hyperlink w:anchor="_Toc163506399" w:history="1">
        <w:r w:rsidRPr="007246E7">
          <w:rPr>
            <w:rStyle w:val="Hyperlink"/>
            <w:rtl/>
          </w:rPr>
          <w:t>מגן אברהם או"ח סי' שי"ג סקי"א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Toc163506399 \h</w:instrText>
        </w:r>
        <w:r>
          <w:rPr>
            <w:webHidden/>
            <w:rtl/>
          </w:rPr>
          <w:instrText xml:space="preserve"> </w:instrText>
        </w:r>
        <w:r>
          <w:rPr>
            <w:rStyle w:val="Hyperlink"/>
            <w:rtl/>
          </w:rPr>
        </w:r>
        <w:r>
          <w:rPr>
            <w:rStyle w:val="Hyperlink"/>
            <w:rtl/>
          </w:rPr>
          <w:fldChar w:fldCharType="separate"/>
        </w:r>
        <w:r w:rsidR="00D82181">
          <w:rPr>
            <w:webHidden/>
            <w:rtl/>
          </w:rPr>
          <w:t>181</w:t>
        </w:r>
        <w:r>
          <w:rPr>
            <w:rStyle w:val="Hyperlink"/>
            <w:rtl/>
          </w:rPr>
          <w:fldChar w:fldCharType="end"/>
        </w:r>
      </w:hyperlink>
    </w:p>
    <w:p w14:paraId="4B514EAD" w14:textId="4E468777" w:rsidR="008009AA" w:rsidRDefault="008009AA">
      <w:pPr>
        <w:pStyle w:val="TOC7"/>
        <w:rPr>
          <w:rFonts w:cstheme="minorBidi"/>
          <w:sz w:val="22"/>
          <w:szCs w:val="22"/>
          <w:rtl/>
        </w:rPr>
      </w:pPr>
      <w:hyperlink w:anchor="_Toc163506400" w:history="1">
        <w:r w:rsidRPr="007246E7">
          <w:rPr>
            <w:rStyle w:val="Hyperlink"/>
            <w:rtl/>
          </w:rPr>
          <w:t>חזון איש או"ח סי' נ' סק"י ד"ה ובתו' מ"ח 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Toc163506400 \h</w:instrText>
        </w:r>
        <w:r>
          <w:rPr>
            <w:webHidden/>
            <w:rtl/>
          </w:rPr>
          <w:instrText xml:space="preserve"> </w:instrText>
        </w:r>
        <w:r>
          <w:rPr>
            <w:rStyle w:val="Hyperlink"/>
            <w:rtl/>
          </w:rPr>
        </w:r>
        <w:r>
          <w:rPr>
            <w:rStyle w:val="Hyperlink"/>
            <w:rtl/>
          </w:rPr>
          <w:fldChar w:fldCharType="separate"/>
        </w:r>
        <w:r w:rsidR="00D82181">
          <w:rPr>
            <w:webHidden/>
            <w:rtl/>
          </w:rPr>
          <w:t>181</w:t>
        </w:r>
        <w:r>
          <w:rPr>
            <w:rStyle w:val="Hyperlink"/>
            <w:rtl/>
          </w:rPr>
          <w:fldChar w:fldCharType="end"/>
        </w:r>
      </w:hyperlink>
    </w:p>
    <w:p w14:paraId="09442263" w14:textId="42FDB8ED" w:rsidR="008009AA" w:rsidRDefault="008009AA">
      <w:pPr>
        <w:pStyle w:val="TOC7"/>
        <w:rPr>
          <w:rFonts w:cstheme="minorBidi"/>
          <w:sz w:val="22"/>
          <w:szCs w:val="22"/>
          <w:rtl/>
        </w:rPr>
      </w:pPr>
      <w:hyperlink w:anchor="_Toc163506401" w:history="1">
        <w:r w:rsidRPr="007246E7">
          <w:rPr>
            <w:rStyle w:val="Hyperlink"/>
            <w:rtl/>
          </w:rPr>
          <w:t>טור או"ח סי' שי"ג 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Toc163506401 \h</w:instrText>
        </w:r>
        <w:r>
          <w:rPr>
            <w:webHidden/>
            <w:rtl/>
          </w:rPr>
          <w:instrText xml:space="preserve"> </w:instrText>
        </w:r>
        <w:r>
          <w:rPr>
            <w:rStyle w:val="Hyperlink"/>
            <w:rtl/>
          </w:rPr>
        </w:r>
        <w:r>
          <w:rPr>
            <w:rStyle w:val="Hyperlink"/>
            <w:rtl/>
          </w:rPr>
          <w:fldChar w:fldCharType="separate"/>
        </w:r>
        <w:r w:rsidR="00D82181">
          <w:rPr>
            <w:webHidden/>
            <w:rtl/>
          </w:rPr>
          <w:t>181</w:t>
        </w:r>
        <w:r>
          <w:rPr>
            <w:rStyle w:val="Hyperlink"/>
            <w:rtl/>
          </w:rPr>
          <w:fldChar w:fldCharType="end"/>
        </w:r>
      </w:hyperlink>
    </w:p>
    <w:p w14:paraId="15E7D3C9" w14:textId="5D0570B2" w:rsidR="008009AA" w:rsidRDefault="008009AA">
      <w:pPr>
        <w:pStyle w:val="TOC7"/>
        <w:rPr>
          <w:rFonts w:cstheme="minorBidi"/>
          <w:sz w:val="22"/>
          <w:szCs w:val="22"/>
          <w:rtl/>
        </w:rPr>
      </w:pPr>
      <w:hyperlink w:anchor="_Toc163506402" w:history="1">
        <w:r w:rsidRPr="007246E7">
          <w:rPr>
            <w:rStyle w:val="Hyperlink"/>
            <w:rtl/>
          </w:rPr>
          <w:t>בית יוסף או"ח סי' שי"ג 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Toc163506402 \h</w:instrText>
        </w:r>
        <w:r>
          <w:rPr>
            <w:webHidden/>
            <w:rtl/>
          </w:rPr>
          <w:instrText xml:space="preserve"> </w:instrText>
        </w:r>
        <w:r>
          <w:rPr>
            <w:rStyle w:val="Hyperlink"/>
            <w:rtl/>
          </w:rPr>
        </w:r>
        <w:r>
          <w:rPr>
            <w:rStyle w:val="Hyperlink"/>
            <w:rtl/>
          </w:rPr>
          <w:fldChar w:fldCharType="separate"/>
        </w:r>
        <w:r w:rsidR="00D82181">
          <w:rPr>
            <w:webHidden/>
            <w:rtl/>
          </w:rPr>
          <w:t>181</w:t>
        </w:r>
        <w:r>
          <w:rPr>
            <w:rStyle w:val="Hyperlink"/>
            <w:rtl/>
          </w:rPr>
          <w:fldChar w:fldCharType="end"/>
        </w:r>
      </w:hyperlink>
    </w:p>
    <w:p w14:paraId="79B472C0" w14:textId="7531EF10" w:rsidR="008009AA" w:rsidRDefault="008009AA">
      <w:pPr>
        <w:pStyle w:val="TOC7"/>
        <w:rPr>
          <w:rFonts w:cstheme="minorBidi"/>
          <w:sz w:val="22"/>
          <w:szCs w:val="22"/>
          <w:rtl/>
        </w:rPr>
      </w:pPr>
      <w:hyperlink w:anchor="_Toc163506403" w:history="1">
        <w:r w:rsidRPr="007246E7">
          <w:rPr>
            <w:rStyle w:val="Hyperlink"/>
            <w:rtl/>
          </w:rPr>
          <w:t>חזון איש או"ח סי' נ' סק"י ד"ה ובב"י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Toc163506403 \h</w:instrText>
        </w:r>
        <w:r>
          <w:rPr>
            <w:webHidden/>
            <w:rtl/>
          </w:rPr>
          <w:instrText xml:space="preserve"> </w:instrText>
        </w:r>
        <w:r>
          <w:rPr>
            <w:rStyle w:val="Hyperlink"/>
            <w:rtl/>
          </w:rPr>
        </w:r>
        <w:r>
          <w:rPr>
            <w:rStyle w:val="Hyperlink"/>
            <w:rtl/>
          </w:rPr>
          <w:fldChar w:fldCharType="separate"/>
        </w:r>
        <w:r w:rsidR="00D82181">
          <w:rPr>
            <w:webHidden/>
            <w:rtl/>
          </w:rPr>
          <w:t>181</w:t>
        </w:r>
        <w:r>
          <w:rPr>
            <w:rStyle w:val="Hyperlink"/>
            <w:rtl/>
          </w:rPr>
          <w:fldChar w:fldCharType="end"/>
        </w:r>
      </w:hyperlink>
    </w:p>
    <w:p w14:paraId="1AA31A73" w14:textId="6C5715DA" w:rsidR="008009AA" w:rsidRDefault="008009AA">
      <w:pPr>
        <w:pStyle w:val="TOC7"/>
        <w:rPr>
          <w:rFonts w:cstheme="minorBidi"/>
          <w:sz w:val="22"/>
          <w:szCs w:val="22"/>
          <w:rtl/>
        </w:rPr>
      </w:pPr>
      <w:hyperlink w:anchor="_Toc163506404" w:history="1">
        <w:r w:rsidRPr="007246E7">
          <w:rPr>
            <w:rStyle w:val="Hyperlink"/>
            <w:rtl/>
          </w:rPr>
          <w:t>חדושי הרמב"ן שבת מ"ז ע"א ד"ה הא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Toc163506404 \h</w:instrText>
        </w:r>
        <w:r>
          <w:rPr>
            <w:webHidden/>
            <w:rtl/>
          </w:rPr>
          <w:instrText xml:space="preserve"> </w:instrText>
        </w:r>
        <w:r>
          <w:rPr>
            <w:rStyle w:val="Hyperlink"/>
            <w:rtl/>
          </w:rPr>
        </w:r>
        <w:r>
          <w:rPr>
            <w:rStyle w:val="Hyperlink"/>
            <w:rtl/>
          </w:rPr>
          <w:fldChar w:fldCharType="separate"/>
        </w:r>
        <w:r w:rsidR="00D82181">
          <w:rPr>
            <w:webHidden/>
            <w:rtl/>
          </w:rPr>
          <w:t>182</w:t>
        </w:r>
        <w:r>
          <w:rPr>
            <w:rStyle w:val="Hyperlink"/>
            <w:rtl/>
          </w:rPr>
          <w:fldChar w:fldCharType="end"/>
        </w:r>
      </w:hyperlink>
    </w:p>
    <w:p w14:paraId="7E3A7A6D" w14:textId="4585F2F1" w:rsidR="008009AA" w:rsidRDefault="008009AA">
      <w:pPr>
        <w:pStyle w:val="TOC7"/>
        <w:rPr>
          <w:rFonts w:cstheme="minorBidi"/>
          <w:sz w:val="22"/>
          <w:szCs w:val="22"/>
          <w:rtl/>
        </w:rPr>
      </w:pPr>
      <w:hyperlink w:anchor="_Toc163506405" w:history="1">
        <w:r w:rsidRPr="007246E7">
          <w:rPr>
            <w:rStyle w:val="Hyperlink"/>
            <w:rtl/>
          </w:rPr>
          <w:t>חדושי הרשב"א שבת מ"ז ע"א ד"ה אינהו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Toc163506405 \h</w:instrText>
        </w:r>
        <w:r>
          <w:rPr>
            <w:webHidden/>
            <w:rtl/>
          </w:rPr>
          <w:instrText xml:space="preserve"> </w:instrText>
        </w:r>
        <w:r>
          <w:rPr>
            <w:rStyle w:val="Hyperlink"/>
            <w:rtl/>
          </w:rPr>
        </w:r>
        <w:r>
          <w:rPr>
            <w:rStyle w:val="Hyperlink"/>
            <w:rtl/>
          </w:rPr>
          <w:fldChar w:fldCharType="separate"/>
        </w:r>
        <w:r w:rsidR="00D82181">
          <w:rPr>
            <w:webHidden/>
            <w:rtl/>
          </w:rPr>
          <w:t>182</w:t>
        </w:r>
        <w:r>
          <w:rPr>
            <w:rStyle w:val="Hyperlink"/>
            <w:rtl/>
          </w:rPr>
          <w:fldChar w:fldCharType="end"/>
        </w:r>
      </w:hyperlink>
    </w:p>
    <w:p w14:paraId="2477A0D5" w14:textId="46734160" w:rsidR="008009AA" w:rsidRDefault="008009AA">
      <w:pPr>
        <w:pStyle w:val="TOC7"/>
        <w:rPr>
          <w:rFonts w:cstheme="minorBidi"/>
          <w:sz w:val="22"/>
          <w:szCs w:val="22"/>
          <w:rtl/>
        </w:rPr>
      </w:pPr>
      <w:hyperlink w:anchor="_Toc163506406" w:history="1">
        <w:r w:rsidRPr="007246E7">
          <w:rPr>
            <w:rStyle w:val="Hyperlink"/>
            <w:rtl/>
          </w:rPr>
          <w:t>חדושי הריטב"א שבת מ"ז ע"א ד"ה מהו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Toc163506406 \h</w:instrText>
        </w:r>
        <w:r>
          <w:rPr>
            <w:webHidden/>
            <w:rtl/>
          </w:rPr>
          <w:instrText xml:space="preserve"> </w:instrText>
        </w:r>
        <w:r>
          <w:rPr>
            <w:rStyle w:val="Hyperlink"/>
            <w:rtl/>
          </w:rPr>
        </w:r>
        <w:r>
          <w:rPr>
            <w:rStyle w:val="Hyperlink"/>
            <w:rtl/>
          </w:rPr>
          <w:fldChar w:fldCharType="separate"/>
        </w:r>
        <w:r w:rsidR="00D82181">
          <w:rPr>
            <w:webHidden/>
            <w:rtl/>
          </w:rPr>
          <w:t>182</w:t>
        </w:r>
        <w:r>
          <w:rPr>
            <w:rStyle w:val="Hyperlink"/>
            <w:rtl/>
          </w:rPr>
          <w:fldChar w:fldCharType="end"/>
        </w:r>
      </w:hyperlink>
    </w:p>
    <w:p w14:paraId="1C61E153" w14:textId="62FA8F79" w:rsidR="008009AA" w:rsidRDefault="008009AA">
      <w:pPr>
        <w:pStyle w:val="TOC7"/>
        <w:rPr>
          <w:rFonts w:cstheme="minorBidi"/>
          <w:sz w:val="22"/>
          <w:szCs w:val="22"/>
          <w:rtl/>
        </w:rPr>
      </w:pPr>
      <w:hyperlink w:anchor="_Toc163506407" w:history="1">
        <w:r w:rsidRPr="007246E7">
          <w:rPr>
            <w:rStyle w:val="Hyperlink"/>
            <w:rtl/>
          </w:rPr>
          <w:t>חדושי הר"ן שבת מ"ז ע"א ד"ה הא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Toc163506407 \h</w:instrText>
        </w:r>
        <w:r>
          <w:rPr>
            <w:webHidden/>
            <w:rtl/>
          </w:rPr>
          <w:instrText xml:space="preserve"> </w:instrText>
        </w:r>
        <w:r>
          <w:rPr>
            <w:rStyle w:val="Hyperlink"/>
            <w:rtl/>
          </w:rPr>
        </w:r>
        <w:r>
          <w:rPr>
            <w:rStyle w:val="Hyperlink"/>
            <w:rtl/>
          </w:rPr>
          <w:fldChar w:fldCharType="separate"/>
        </w:r>
        <w:r w:rsidR="00D82181">
          <w:rPr>
            <w:webHidden/>
            <w:rtl/>
          </w:rPr>
          <w:t>182</w:t>
        </w:r>
        <w:r>
          <w:rPr>
            <w:rStyle w:val="Hyperlink"/>
            <w:rtl/>
          </w:rPr>
          <w:fldChar w:fldCharType="end"/>
        </w:r>
      </w:hyperlink>
    </w:p>
    <w:p w14:paraId="720DEDBD" w14:textId="74EFD7C4" w:rsidR="008009AA" w:rsidRDefault="008009AA">
      <w:pPr>
        <w:pStyle w:val="TOC7"/>
        <w:rPr>
          <w:rFonts w:cstheme="minorBidi"/>
          <w:sz w:val="22"/>
          <w:szCs w:val="22"/>
          <w:rtl/>
        </w:rPr>
      </w:pPr>
      <w:hyperlink w:anchor="_Toc163506408" w:history="1">
        <w:r w:rsidRPr="007246E7">
          <w:rPr>
            <w:rStyle w:val="Hyperlink"/>
            <w:rtl/>
          </w:rPr>
          <w:t>חדושי הר"ן שבת מ"ז ע"א ד"ה ולענין הלכה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Toc163506408 \h</w:instrText>
        </w:r>
        <w:r>
          <w:rPr>
            <w:webHidden/>
            <w:rtl/>
          </w:rPr>
          <w:instrText xml:space="preserve"> </w:instrText>
        </w:r>
        <w:r>
          <w:rPr>
            <w:rStyle w:val="Hyperlink"/>
            <w:rtl/>
          </w:rPr>
        </w:r>
        <w:r>
          <w:rPr>
            <w:rStyle w:val="Hyperlink"/>
            <w:rtl/>
          </w:rPr>
          <w:fldChar w:fldCharType="separate"/>
        </w:r>
        <w:r w:rsidR="00D82181">
          <w:rPr>
            <w:webHidden/>
            <w:rtl/>
          </w:rPr>
          <w:t>183</w:t>
        </w:r>
        <w:r>
          <w:rPr>
            <w:rStyle w:val="Hyperlink"/>
            <w:rtl/>
          </w:rPr>
          <w:fldChar w:fldCharType="end"/>
        </w:r>
      </w:hyperlink>
    </w:p>
    <w:p w14:paraId="1B665B88" w14:textId="0D21AAEA" w:rsidR="008009AA" w:rsidRDefault="008009AA">
      <w:pPr>
        <w:pStyle w:val="TOC7"/>
        <w:rPr>
          <w:rFonts w:cstheme="minorBidi"/>
          <w:sz w:val="22"/>
          <w:szCs w:val="22"/>
          <w:rtl/>
        </w:rPr>
      </w:pPr>
      <w:hyperlink w:anchor="_Toc163506409" w:history="1">
        <w:r w:rsidRPr="007246E7">
          <w:rPr>
            <w:rStyle w:val="Hyperlink"/>
            <w:rtl/>
          </w:rPr>
          <w:t>תוספות שבת מ"ו ע"א ד"ה דחוליות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Toc163506409 \h</w:instrText>
        </w:r>
        <w:r>
          <w:rPr>
            <w:webHidden/>
            <w:rtl/>
          </w:rPr>
          <w:instrText xml:space="preserve"> </w:instrText>
        </w:r>
        <w:r>
          <w:rPr>
            <w:rStyle w:val="Hyperlink"/>
            <w:rtl/>
          </w:rPr>
        </w:r>
        <w:r>
          <w:rPr>
            <w:rStyle w:val="Hyperlink"/>
            <w:rtl/>
          </w:rPr>
          <w:fldChar w:fldCharType="separate"/>
        </w:r>
        <w:r w:rsidR="00D82181">
          <w:rPr>
            <w:webHidden/>
            <w:rtl/>
          </w:rPr>
          <w:t>183</w:t>
        </w:r>
        <w:r>
          <w:rPr>
            <w:rStyle w:val="Hyperlink"/>
            <w:rtl/>
          </w:rPr>
          <w:fldChar w:fldCharType="end"/>
        </w:r>
      </w:hyperlink>
    </w:p>
    <w:p w14:paraId="40D22B3A" w14:textId="15539443" w:rsidR="008009AA" w:rsidRDefault="008009AA">
      <w:pPr>
        <w:pStyle w:val="TOC7"/>
        <w:rPr>
          <w:rFonts w:cstheme="minorBidi"/>
          <w:sz w:val="22"/>
          <w:szCs w:val="22"/>
          <w:rtl/>
        </w:rPr>
      </w:pPr>
      <w:hyperlink w:anchor="_Toc163506410" w:history="1">
        <w:r w:rsidRPr="007246E7">
          <w:rPr>
            <w:rStyle w:val="Hyperlink"/>
            <w:rtl/>
          </w:rPr>
          <w:t>תוספות ביצה כ"ב ע"א ד"ה וב"ה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Toc163506410 \h</w:instrText>
        </w:r>
        <w:r>
          <w:rPr>
            <w:webHidden/>
            <w:rtl/>
          </w:rPr>
          <w:instrText xml:space="preserve"> </w:instrText>
        </w:r>
        <w:r>
          <w:rPr>
            <w:rStyle w:val="Hyperlink"/>
            <w:rtl/>
          </w:rPr>
        </w:r>
        <w:r>
          <w:rPr>
            <w:rStyle w:val="Hyperlink"/>
            <w:rtl/>
          </w:rPr>
          <w:fldChar w:fldCharType="separate"/>
        </w:r>
        <w:r w:rsidR="00D82181">
          <w:rPr>
            <w:webHidden/>
            <w:rtl/>
          </w:rPr>
          <w:t>183</w:t>
        </w:r>
        <w:r>
          <w:rPr>
            <w:rStyle w:val="Hyperlink"/>
            <w:rtl/>
          </w:rPr>
          <w:fldChar w:fldCharType="end"/>
        </w:r>
      </w:hyperlink>
    </w:p>
    <w:p w14:paraId="59D11A19" w14:textId="31855EEB" w:rsidR="008009AA" w:rsidRDefault="008009AA">
      <w:pPr>
        <w:pStyle w:val="TOC7"/>
        <w:rPr>
          <w:rFonts w:cstheme="minorBidi"/>
          <w:sz w:val="22"/>
          <w:szCs w:val="22"/>
          <w:rtl/>
        </w:rPr>
      </w:pPr>
      <w:hyperlink w:anchor="_Toc163506411" w:history="1">
        <w:r w:rsidRPr="007246E7">
          <w:rPr>
            <w:rStyle w:val="Hyperlink"/>
            <w:rtl/>
          </w:rPr>
          <w:t>חדושי הרשב"א שבת מ"ו ע"א ד"ה הלכך</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Toc163506411 \h</w:instrText>
        </w:r>
        <w:r>
          <w:rPr>
            <w:webHidden/>
            <w:rtl/>
          </w:rPr>
          <w:instrText xml:space="preserve"> </w:instrText>
        </w:r>
        <w:r>
          <w:rPr>
            <w:rStyle w:val="Hyperlink"/>
            <w:rtl/>
          </w:rPr>
        </w:r>
        <w:r>
          <w:rPr>
            <w:rStyle w:val="Hyperlink"/>
            <w:rtl/>
          </w:rPr>
          <w:fldChar w:fldCharType="separate"/>
        </w:r>
        <w:r w:rsidR="00D82181">
          <w:rPr>
            <w:webHidden/>
            <w:rtl/>
          </w:rPr>
          <w:t>183</w:t>
        </w:r>
        <w:r>
          <w:rPr>
            <w:rStyle w:val="Hyperlink"/>
            <w:rtl/>
          </w:rPr>
          <w:fldChar w:fldCharType="end"/>
        </w:r>
      </w:hyperlink>
    </w:p>
    <w:p w14:paraId="45E31C9B" w14:textId="15D51F52" w:rsidR="008009AA" w:rsidRDefault="008009AA">
      <w:pPr>
        <w:pStyle w:val="TOC7"/>
        <w:rPr>
          <w:rFonts w:cstheme="minorBidi"/>
          <w:sz w:val="22"/>
          <w:szCs w:val="22"/>
          <w:rtl/>
        </w:rPr>
      </w:pPr>
      <w:hyperlink w:anchor="_Toc163506412" w:history="1">
        <w:r w:rsidRPr="007246E7">
          <w:rPr>
            <w:rStyle w:val="Hyperlink"/>
            <w:rtl/>
          </w:rPr>
          <w:t>חדושי הריטב"א שבת ק"ב ע"ב ד"ה ואי קשיא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Toc163506412 \h</w:instrText>
        </w:r>
        <w:r>
          <w:rPr>
            <w:webHidden/>
            <w:rtl/>
          </w:rPr>
          <w:instrText xml:space="preserve"> </w:instrText>
        </w:r>
        <w:r>
          <w:rPr>
            <w:rStyle w:val="Hyperlink"/>
            <w:rtl/>
          </w:rPr>
        </w:r>
        <w:r>
          <w:rPr>
            <w:rStyle w:val="Hyperlink"/>
            <w:rtl/>
          </w:rPr>
          <w:fldChar w:fldCharType="separate"/>
        </w:r>
        <w:r w:rsidR="00D82181">
          <w:rPr>
            <w:webHidden/>
            <w:rtl/>
          </w:rPr>
          <w:t>183</w:t>
        </w:r>
        <w:r>
          <w:rPr>
            <w:rStyle w:val="Hyperlink"/>
            <w:rtl/>
          </w:rPr>
          <w:fldChar w:fldCharType="end"/>
        </w:r>
      </w:hyperlink>
    </w:p>
    <w:p w14:paraId="34CD32E3" w14:textId="48780547" w:rsidR="008009AA" w:rsidRDefault="008009AA">
      <w:pPr>
        <w:pStyle w:val="TOC7"/>
        <w:rPr>
          <w:rFonts w:cstheme="minorBidi"/>
          <w:sz w:val="22"/>
          <w:szCs w:val="22"/>
          <w:rtl/>
        </w:rPr>
      </w:pPr>
      <w:hyperlink w:anchor="_Toc163506413" w:history="1">
        <w:r w:rsidRPr="007246E7">
          <w:rPr>
            <w:rStyle w:val="Hyperlink"/>
            <w:rtl/>
          </w:rPr>
          <w:t>ר"ן על הרי"ף שבת כ"א ע"ב מדה"ר ד"ה ולפיכך</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Toc163506413 \h</w:instrText>
        </w:r>
        <w:r>
          <w:rPr>
            <w:webHidden/>
            <w:rtl/>
          </w:rPr>
          <w:instrText xml:space="preserve"> </w:instrText>
        </w:r>
        <w:r>
          <w:rPr>
            <w:rStyle w:val="Hyperlink"/>
            <w:rtl/>
          </w:rPr>
        </w:r>
        <w:r>
          <w:rPr>
            <w:rStyle w:val="Hyperlink"/>
            <w:rtl/>
          </w:rPr>
          <w:fldChar w:fldCharType="separate"/>
        </w:r>
        <w:r w:rsidR="00D82181">
          <w:rPr>
            <w:webHidden/>
            <w:rtl/>
          </w:rPr>
          <w:t>183</w:t>
        </w:r>
        <w:r>
          <w:rPr>
            <w:rStyle w:val="Hyperlink"/>
            <w:rtl/>
          </w:rPr>
          <w:fldChar w:fldCharType="end"/>
        </w:r>
      </w:hyperlink>
    </w:p>
    <w:p w14:paraId="3F25FA5E" w14:textId="2B1D1A8D" w:rsidR="008009AA" w:rsidRDefault="008009AA">
      <w:pPr>
        <w:pStyle w:val="TOC7"/>
        <w:rPr>
          <w:rFonts w:cstheme="minorBidi"/>
          <w:sz w:val="22"/>
          <w:szCs w:val="22"/>
          <w:rtl/>
        </w:rPr>
      </w:pPr>
      <w:hyperlink w:anchor="_Toc163506414" w:history="1">
        <w:r w:rsidRPr="007246E7">
          <w:rPr>
            <w:rStyle w:val="Hyperlink"/>
            <w:rtl/>
          </w:rPr>
          <w:t>חדושי הר"ן שבת מ"ז ע"א ד"ה ואחרים אומרים</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Toc163506414 \h</w:instrText>
        </w:r>
        <w:r>
          <w:rPr>
            <w:webHidden/>
            <w:rtl/>
          </w:rPr>
          <w:instrText xml:space="preserve"> </w:instrText>
        </w:r>
        <w:r>
          <w:rPr>
            <w:rStyle w:val="Hyperlink"/>
            <w:rtl/>
          </w:rPr>
        </w:r>
        <w:r>
          <w:rPr>
            <w:rStyle w:val="Hyperlink"/>
            <w:rtl/>
          </w:rPr>
          <w:fldChar w:fldCharType="separate"/>
        </w:r>
        <w:r w:rsidR="00D82181">
          <w:rPr>
            <w:webHidden/>
            <w:rtl/>
          </w:rPr>
          <w:t>183</w:t>
        </w:r>
        <w:r>
          <w:rPr>
            <w:rStyle w:val="Hyperlink"/>
            <w:rtl/>
          </w:rPr>
          <w:fldChar w:fldCharType="end"/>
        </w:r>
      </w:hyperlink>
    </w:p>
    <w:p w14:paraId="2F02C210" w14:textId="3D9531E8" w:rsidR="008009AA" w:rsidRDefault="008009AA">
      <w:pPr>
        <w:pStyle w:val="TOC7"/>
        <w:rPr>
          <w:rFonts w:cstheme="minorBidi"/>
          <w:sz w:val="22"/>
          <w:szCs w:val="22"/>
          <w:rtl/>
        </w:rPr>
      </w:pPr>
      <w:hyperlink w:anchor="_Toc163506415" w:history="1">
        <w:r w:rsidRPr="007246E7">
          <w:rPr>
            <w:rStyle w:val="Hyperlink"/>
            <w:rtl/>
          </w:rPr>
          <w:t>חדושי הרשב"א שבת ק"ב ע"ב ד"ה האי</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Toc163506415 \h</w:instrText>
        </w:r>
        <w:r>
          <w:rPr>
            <w:webHidden/>
            <w:rtl/>
          </w:rPr>
          <w:instrText xml:space="preserve"> </w:instrText>
        </w:r>
        <w:r>
          <w:rPr>
            <w:rStyle w:val="Hyperlink"/>
            <w:rtl/>
          </w:rPr>
        </w:r>
        <w:r>
          <w:rPr>
            <w:rStyle w:val="Hyperlink"/>
            <w:rtl/>
          </w:rPr>
          <w:fldChar w:fldCharType="separate"/>
        </w:r>
        <w:r w:rsidR="00D82181">
          <w:rPr>
            <w:webHidden/>
            <w:rtl/>
          </w:rPr>
          <w:t>183</w:t>
        </w:r>
        <w:r>
          <w:rPr>
            <w:rStyle w:val="Hyperlink"/>
            <w:rtl/>
          </w:rPr>
          <w:fldChar w:fldCharType="end"/>
        </w:r>
      </w:hyperlink>
    </w:p>
    <w:p w14:paraId="17DBB875" w14:textId="1C1C6AAF" w:rsidR="008009AA" w:rsidRDefault="008009AA">
      <w:pPr>
        <w:pStyle w:val="TOC7"/>
        <w:rPr>
          <w:rFonts w:cstheme="minorBidi"/>
          <w:sz w:val="22"/>
          <w:szCs w:val="22"/>
          <w:rtl/>
        </w:rPr>
      </w:pPr>
      <w:hyperlink w:anchor="_Toc163506416" w:history="1">
        <w:r w:rsidRPr="007246E7">
          <w:rPr>
            <w:rStyle w:val="Hyperlink"/>
            <w:rtl/>
          </w:rPr>
          <w:t>חדושי הריטב"א שבת ק"ב ע"ב ד"ה ואי קשיא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Toc163506416 \h</w:instrText>
        </w:r>
        <w:r>
          <w:rPr>
            <w:webHidden/>
            <w:rtl/>
          </w:rPr>
          <w:instrText xml:space="preserve"> </w:instrText>
        </w:r>
        <w:r>
          <w:rPr>
            <w:rStyle w:val="Hyperlink"/>
            <w:rtl/>
          </w:rPr>
        </w:r>
        <w:r>
          <w:rPr>
            <w:rStyle w:val="Hyperlink"/>
            <w:rtl/>
          </w:rPr>
          <w:fldChar w:fldCharType="separate"/>
        </w:r>
        <w:r w:rsidR="00D82181">
          <w:rPr>
            <w:webHidden/>
            <w:rtl/>
          </w:rPr>
          <w:t>183</w:t>
        </w:r>
        <w:r>
          <w:rPr>
            <w:rStyle w:val="Hyperlink"/>
            <w:rtl/>
          </w:rPr>
          <w:fldChar w:fldCharType="end"/>
        </w:r>
      </w:hyperlink>
    </w:p>
    <w:p w14:paraId="63400F68" w14:textId="65A3CCD8" w:rsidR="008009AA" w:rsidRDefault="008009AA">
      <w:pPr>
        <w:pStyle w:val="TOC7"/>
        <w:rPr>
          <w:rFonts w:cstheme="minorBidi"/>
          <w:sz w:val="22"/>
          <w:szCs w:val="22"/>
          <w:rtl/>
        </w:rPr>
      </w:pPr>
      <w:hyperlink w:anchor="_Toc163506417" w:history="1">
        <w:r w:rsidRPr="007246E7">
          <w:rPr>
            <w:rStyle w:val="Hyperlink"/>
            <w:rtl/>
          </w:rPr>
          <w:t>חדושי הרשב"א שבת מ"ו ע"א ד"ה הלכך</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Toc163506417 \h</w:instrText>
        </w:r>
        <w:r>
          <w:rPr>
            <w:webHidden/>
            <w:rtl/>
          </w:rPr>
          <w:instrText xml:space="preserve"> </w:instrText>
        </w:r>
        <w:r>
          <w:rPr>
            <w:rStyle w:val="Hyperlink"/>
            <w:rtl/>
          </w:rPr>
        </w:r>
        <w:r>
          <w:rPr>
            <w:rStyle w:val="Hyperlink"/>
            <w:rtl/>
          </w:rPr>
          <w:fldChar w:fldCharType="separate"/>
        </w:r>
        <w:r w:rsidR="00D82181">
          <w:rPr>
            <w:webHidden/>
            <w:rtl/>
          </w:rPr>
          <w:t>183</w:t>
        </w:r>
        <w:r>
          <w:rPr>
            <w:rStyle w:val="Hyperlink"/>
            <w:rtl/>
          </w:rPr>
          <w:fldChar w:fldCharType="end"/>
        </w:r>
      </w:hyperlink>
    </w:p>
    <w:p w14:paraId="2B9BFDBF" w14:textId="23C4A191" w:rsidR="008009AA" w:rsidRDefault="008009AA">
      <w:pPr>
        <w:pStyle w:val="TOC7"/>
        <w:rPr>
          <w:rFonts w:cstheme="minorBidi"/>
          <w:sz w:val="22"/>
          <w:szCs w:val="22"/>
          <w:rtl/>
        </w:rPr>
      </w:pPr>
      <w:hyperlink w:anchor="_Toc163506418" w:history="1">
        <w:r w:rsidRPr="007246E7">
          <w:rPr>
            <w:rStyle w:val="Hyperlink"/>
            <w:rtl/>
          </w:rPr>
          <w:t>חדושי הריטב"א שבת ק"ב ע"ב ד"ה אבל</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Toc163506418 \h</w:instrText>
        </w:r>
        <w:r>
          <w:rPr>
            <w:webHidden/>
            <w:rtl/>
          </w:rPr>
          <w:instrText xml:space="preserve"> </w:instrText>
        </w:r>
        <w:r>
          <w:rPr>
            <w:rStyle w:val="Hyperlink"/>
            <w:rtl/>
          </w:rPr>
        </w:r>
        <w:r>
          <w:rPr>
            <w:rStyle w:val="Hyperlink"/>
            <w:rtl/>
          </w:rPr>
          <w:fldChar w:fldCharType="separate"/>
        </w:r>
        <w:r w:rsidR="00D82181">
          <w:rPr>
            <w:webHidden/>
            <w:rtl/>
          </w:rPr>
          <w:t>184</w:t>
        </w:r>
        <w:r>
          <w:rPr>
            <w:rStyle w:val="Hyperlink"/>
            <w:rtl/>
          </w:rPr>
          <w:fldChar w:fldCharType="end"/>
        </w:r>
      </w:hyperlink>
    </w:p>
    <w:p w14:paraId="1A62509F" w14:textId="74A34C42" w:rsidR="008009AA" w:rsidRDefault="008009AA">
      <w:pPr>
        <w:pStyle w:val="TOC7"/>
        <w:rPr>
          <w:rFonts w:cstheme="minorBidi"/>
          <w:sz w:val="22"/>
          <w:szCs w:val="22"/>
          <w:rtl/>
        </w:rPr>
      </w:pPr>
      <w:hyperlink w:anchor="_Toc163506419" w:history="1">
        <w:r w:rsidRPr="007246E7">
          <w:rPr>
            <w:rStyle w:val="Hyperlink"/>
            <w:rtl/>
          </w:rPr>
          <w:t>שו"ת אבני נזר או"ח סי' רי"א אות 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Toc163506419 \h</w:instrText>
        </w:r>
        <w:r>
          <w:rPr>
            <w:webHidden/>
            <w:rtl/>
          </w:rPr>
          <w:instrText xml:space="preserve"> </w:instrText>
        </w:r>
        <w:r>
          <w:rPr>
            <w:rStyle w:val="Hyperlink"/>
            <w:rtl/>
          </w:rPr>
        </w:r>
        <w:r>
          <w:rPr>
            <w:rStyle w:val="Hyperlink"/>
            <w:rtl/>
          </w:rPr>
          <w:fldChar w:fldCharType="separate"/>
        </w:r>
        <w:r w:rsidR="00D82181">
          <w:rPr>
            <w:webHidden/>
            <w:rtl/>
          </w:rPr>
          <w:t>184</w:t>
        </w:r>
        <w:r>
          <w:rPr>
            <w:rStyle w:val="Hyperlink"/>
            <w:rtl/>
          </w:rPr>
          <w:fldChar w:fldCharType="end"/>
        </w:r>
      </w:hyperlink>
    </w:p>
    <w:p w14:paraId="48BB9B22" w14:textId="2B3C8853" w:rsidR="008009AA" w:rsidRDefault="008009AA">
      <w:pPr>
        <w:pStyle w:val="TOC7"/>
        <w:rPr>
          <w:rFonts w:cstheme="minorBidi"/>
          <w:sz w:val="22"/>
          <w:szCs w:val="22"/>
          <w:rtl/>
        </w:rPr>
      </w:pPr>
      <w:hyperlink w:anchor="_Toc163506420" w:history="1">
        <w:r w:rsidRPr="007246E7">
          <w:rPr>
            <w:rStyle w:val="Hyperlink"/>
            <w:rtl/>
          </w:rPr>
          <w:t>שו"ת אבני נזר או"ח סי' רי"א אות 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Toc163506420 \h</w:instrText>
        </w:r>
        <w:r>
          <w:rPr>
            <w:webHidden/>
            <w:rtl/>
          </w:rPr>
          <w:instrText xml:space="preserve"> </w:instrText>
        </w:r>
        <w:r>
          <w:rPr>
            <w:rStyle w:val="Hyperlink"/>
            <w:rtl/>
          </w:rPr>
        </w:r>
        <w:r>
          <w:rPr>
            <w:rStyle w:val="Hyperlink"/>
            <w:rtl/>
          </w:rPr>
          <w:fldChar w:fldCharType="separate"/>
        </w:r>
        <w:r w:rsidR="00D82181">
          <w:rPr>
            <w:webHidden/>
            <w:rtl/>
          </w:rPr>
          <w:t>184</w:t>
        </w:r>
        <w:r>
          <w:rPr>
            <w:rStyle w:val="Hyperlink"/>
            <w:rtl/>
          </w:rPr>
          <w:fldChar w:fldCharType="end"/>
        </w:r>
      </w:hyperlink>
    </w:p>
    <w:p w14:paraId="603B4A1B" w14:textId="4D7AE237" w:rsidR="008009AA" w:rsidRDefault="008009AA">
      <w:pPr>
        <w:pStyle w:val="TOC7"/>
        <w:rPr>
          <w:rFonts w:cstheme="minorBidi"/>
          <w:sz w:val="22"/>
          <w:szCs w:val="22"/>
          <w:rtl/>
        </w:rPr>
      </w:pPr>
      <w:hyperlink w:anchor="_Toc163506421" w:history="1">
        <w:r w:rsidRPr="007246E7">
          <w:rPr>
            <w:rStyle w:val="Hyperlink"/>
            <w:rtl/>
          </w:rPr>
          <w:t>חזון איש או"ח סי' נ' סק"ט ד"ה והנה אמרו</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Toc163506421 \h</w:instrText>
        </w:r>
        <w:r>
          <w:rPr>
            <w:webHidden/>
            <w:rtl/>
          </w:rPr>
          <w:instrText xml:space="preserve"> </w:instrText>
        </w:r>
        <w:r>
          <w:rPr>
            <w:rStyle w:val="Hyperlink"/>
            <w:rtl/>
          </w:rPr>
        </w:r>
        <w:r>
          <w:rPr>
            <w:rStyle w:val="Hyperlink"/>
            <w:rtl/>
          </w:rPr>
          <w:fldChar w:fldCharType="separate"/>
        </w:r>
        <w:r w:rsidR="00D82181">
          <w:rPr>
            <w:webHidden/>
            <w:rtl/>
          </w:rPr>
          <w:t>184</w:t>
        </w:r>
        <w:r>
          <w:rPr>
            <w:rStyle w:val="Hyperlink"/>
            <w:rtl/>
          </w:rPr>
          <w:fldChar w:fldCharType="end"/>
        </w:r>
      </w:hyperlink>
    </w:p>
    <w:p w14:paraId="5D96D715" w14:textId="3F8C7759" w:rsidR="008009AA" w:rsidRDefault="008009AA">
      <w:pPr>
        <w:pStyle w:val="TOC7"/>
        <w:rPr>
          <w:rFonts w:cstheme="minorBidi"/>
          <w:sz w:val="22"/>
          <w:szCs w:val="22"/>
          <w:rtl/>
        </w:rPr>
      </w:pPr>
      <w:hyperlink w:anchor="_Toc163506422" w:history="1">
        <w:r w:rsidRPr="007246E7">
          <w:rPr>
            <w:rStyle w:val="Hyperlink"/>
            <w:rtl/>
          </w:rPr>
          <w:t>חזון איש או"ח סי' נ' סק"ט ד"ה ובפתיחת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Toc163506422 \h</w:instrText>
        </w:r>
        <w:r>
          <w:rPr>
            <w:webHidden/>
            <w:rtl/>
          </w:rPr>
          <w:instrText xml:space="preserve"> </w:instrText>
        </w:r>
        <w:r>
          <w:rPr>
            <w:rStyle w:val="Hyperlink"/>
            <w:rtl/>
          </w:rPr>
        </w:r>
        <w:r>
          <w:rPr>
            <w:rStyle w:val="Hyperlink"/>
            <w:rtl/>
          </w:rPr>
          <w:fldChar w:fldCharType="separate"/>
        </w:r>
        <w:r w:rsidR="00D82181">
          <w:rPr>
            <w:webHidden/>
            <w:rtl/>
          </w:rPr>
          <w:t>184</w:t>
        </w:r>
        <w:r>
          <w:rPr>
            <w:rStyle w:val="Hyperlink"/>
            <w:rtl/>
          </w:rPr>
          <w:fldChar w:fldCharType="end"/>
        </w:r>
      </w:hyperlink>
    </w:p>
    <w:p w14:paraId="7EC62255" w14:textId="3AA733F7" w:rsidR="008009AA" w:rsidRDefault="008009AA">
      <w:pPr>
        <w:pStyle w:val="TOC7"/>
        <w:rPr>
          <w:rFonts w:cstheme="minorBidi"/>
          <w:sz w:val="22"/>
          <w:szCs w:val="22"/>
          <w:rtl/>
        </w:rPr>
      </w:pPr>
      <w:hyperlink w:anchor="_Toc163506423" w:history="1">
        <w:r w:rsidRPr="007246E7">
          <w:rPr>
            <w:rStyle w:val="Hyperlink"/>
            <w:rtl/>
          </w:rPr>
          <w:t>חזון איש או"ח סי' נ' סק"ט ד"ה וכן</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Toc163506423 \h</w:instrText>
        </w:r>
        <w:r>
          <w:rPr>
            <w:webHidden/>
            <w:rtl/>
          </w:rPr>
          <w:instrText xml:space="preserve"> </w:instrText>
        </w:r>
        <w:r>
          <w:rPr>
            <w:rStyle w:val="Hyperlink"/>
            <w:rtl/>
          </w:rPr>
        </w:r>
        <w:r>
          <w:rPr>
            <w:rStyle w:val="Hyperlink"/>
            <w:rtl/>
          </w:rPr>
          <w:fldChar w:fldCharType="separate"/>
        </w:r>
        <w:r w:rsidR="00D82181">
          <w:rPr>
            <w:webHidden/>
            <w:rtl/>
          </w:rPr>
          <w:t>184</w:t>
        </w:r>
        <w:r>
          <w:rPr>
            <w:rStyle w:val="Hyperlink"/>
            <w:rtl/>
          </w:rPr>
          <w:fldChar w:fldCharType="end"/>
        </w:r>
      </w:hyperlink>
    </w:p>
    <w:p w14:paraId="122011B1" w14:textId="6CD6D3E6" w:rsidR="008009AA" w:rsidRDefault="008009AA">
      <w:pPr>
        <w:pStyle w:val="TOC7"/>
        <w:rPr>
          <w:rFonts w:cstheme="minorBidi"/>
          <w:sz w:val="22"/>
          <w:szCs w:val="22"/>
          <w:rtl/>
        </w:rPr>
      </w:pPr>
      <w:hyperlink w:anchor="_Toc163506424" w:history="1">
        <w:r w:rsidRPr="007246E7">
          <w:rPr>
            <w:rStyle w:val="Hyperlink"/>
            <w:rtl/>
          </w:rPr>
          <w:t>חזון איש או"ח סי' נ' סק"ט ד"ה והא</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Toc163506424 \h</w:instrText>
        </w:r>
        <w:r>
          <w:rPr>
            <w:webHidden/>
            <w:rtl/>
          </w:rPr>
          <w:instrText xml:space="preserve"> </w:instrText>
        </w:r>
        <w:r>
          <w:rPr>
            <w:rStyle w:val="Hyperlink"/>
            <w:rtl/>
          </w:rPr>
        </w:r>
        <w:r>
          <w:rPr>
            <w:rStyle w:val="Hyperlink"/>
            <w:rtl/>
          </w:rPr>
          <w:fldChar w:fldCharType="separate"/>
        </w:r>
        <w:r w:rsidR="00D82181">
          <w:rPr>
            <w:webHidden/>
            <w:rtl/>
          </w:rPr>
          <w:t>185</w:t>
        </w:r>
        <w:r>
          <w:rPr>
            <w:rStyle w:val="Hyperlink"/>
            <w:rtl/>
          </w:rPr>
          <w:fldChar w:fldCharType="end"/>
        </w:r>
      </w:hyperlink>
    </w:p>
    <w:p w14:paraId="73535BAF" w14:textId="02344DD9" w:rsidR="008009AA" w:rsidRDefault="008009AA">
      <w:pPr>
        <w:pStyle w:val="TOC7"/>
        <w:rPr>
          <w:rFonts w:cstheme="minorBidi"/>
          <w:sz w:val="22"/>
          <w:szCs w:val="22"/>
          <w:rtl/>
        </w:rPr>
      </w:pPr>
      <w:hyperlink w:anchor="_Toc163506425" w:history="1">
        <w:r w:rsidRPr="007246E7">
          <w:rPr>
            <w:rStyle w:val="Hyperlink"/>
            <w:rtl/>
          </w:rPr>
          <w:t>חזון איש או"ח סי' קנ"ו השמטות לסי' שי"ג ד"ה יסוד</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Toc163506425 \h</w:instrText>
        </w:r>
        <w:r>
          <w:rPr>
            <w:webHidden/>
            <w:rtl/>
          </w:rPr>
          <w:instrText xml:space="preserve"> </w:instrText>
        </w:r>
        <w:r>
          <w:rPr>
            <w:rStyle w:val="Hyperlink"/>
            <w:rtl/>
          </w:rPr>
        </w:r>
        <w:r>
          <w:rPr>
            <w:rStyle w:val="Hyperlink"/>
            <w:rtl/>
          </w:rPr>
          <w:fldChar w:fldCharType="separate"/>
        </w:r>
        <w:r w:rsidR="00D82181">
          <w:rPr>
            <w:webHidden/>
            <w:rtl/>
          </w:rPr>
          <w:t>185</w:t>
        </w:r>
        <w:r>
          <w:rPr>
            <w:rStyle w:val="Hyperlink"/>
            <w:rtl/>
          </w:rPr>
          <w:fldChar w:fldCharType="end"/>
        </w:r>
      </w:hyperlink>
    </w:p>
    <w:p w14:paraId="5FF1451A" w14:textId="7CC5099A" w:rsidR="008009AA" w:rsidRDefault="008009AA">
      <w:pPr>
        <w:pStyle w:val="TOC7"/>
        <w:rPr>
          <w:rFonts w:cstheme="minorBidi"/>
          <w:sz w:val="22"/>
          <w:szCs w:val="22"/>
          <w:rtl/>
        </w:rPr>
      </w:pPr>
      <w:hyperlink w:anchor="_Toc163506426" w:history="1">
        <w:r w:rsidRPr="007246E7">
          <w:rPr>
            <w:rStyle w:val="Hyperlink"/>
            <w:rtl/>
          </w:rPr>
          <w:t>חזון איש או"ח סי' קנ"ו השמטות לסי' שי"ג ד"ה היתר</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Toc163506426 \h</w:instrText>
        </w:r>
        <w:r>
          <w:rPr>
            <w:webHidden/>
            <w:rtl/>
          </w:rPr>
          <w:instrText xml:space="preserve"> </w:instrText>
        </w:r>
        <w:r>
          <w:rPr>
            <w:rStyle w:val="Hyperlink"/>
            <w:rtl/>
          </w:rPr>
        </w:r>
        <w:r>
          <w:rPr>
            <w:rStyle w:val="Hyperlink"/>
            <w:rtl/>
          </w:rPr>
          <w:fldChar w:fldCharType="separate"/>
        </w:r>
        <w:r w:rsidR="00D82181">
          <w:rPr>
            <w:webHidden/>
            <w:rtl/>
          </w:rPr>
          <w:t>185</w:t>
        </w:r>
        <w:r>
          <w:rPr>
            <w:rStyle w:val="Hyperlink"/>
            <w:rtl/>
          </w:rPr>
          <w:fldChar w:fldCharType="end"/>
        </w:r>
      </w:hyperlink>
    </w:p>
    <w:p w14:paraId="45F4F274" w14:textId="766AE4F7" w:rsidR="008009AA" w:rsidRDefault="008009AA">
      <w:pPr>
        <w:pStyle w:val="TOC7"/>
        <w:rPr>
          <w:rFonts w:cstheme="minorBidi"/>
          <w:sz w:val="22"/>
          <w:szCs w:val="22"/>
          <w:rtl/>
        </w:rPr>
      </w:pPr>
      <w:hyperlink w:anchor="_Toc163506427" w:history="1">
        <w:r w:rsidRPr="007246E7">
          <w:rPr>
            <w:rStyle w:val="Hyperlink"/>
            <w:rtl/>
          </w:rPr>
          <w:t>שולחן ערוך הרב או"ח סי' שי"ג כ'</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Toc163506427 \h</w:instrText>
        </w:r>
        <w:r>
          <w:rPr>
            <w:webHidden/>
            <w:rtl/>
          </w:rPr>
          <w:instrText xml:space="preserve"> </w:instrText>
        </w:r>
        <w:r>
          <w:rPr>
            <w:rStyle w:val="Hyperlink"/>
            <w:rtl/>
          </w:rPr>
        </w:r>
        <w:r>
          <w:rPr>
            <w:rStyle w:val="Hyperlink"/>
            <w:rtl/>
          </w:rPr>
          <w:fldChar w:fldCharType="separate"/>
        </w:r>
        <w:r w:rsidR="00D82181">
          <w:rPr>
            <w:webHidden/>
            <w:rtl/>
          </w:rPr>
          <w:t>185</w:t>
        </w:r>
        <w:r>
          <w:rPr>
            <w:rStyle w:val="Hyperlink"/>
            <w:rtl/>
          </w:rPr>
          <w:fldChar w:fldCharType="end"/>
        </w:r>
      </w:hyperlink>
    </w:p>
    <w:p w14:paraId="61061738" w14:textId="6614FFEA" w:rsidR="008009AA" w:rsidRDefault="008009AA">
      <w:pPr>
        <w:pStyle w:val="TOC7"/>
        <w:rPr>
          <w:rFonts w:cstheme="minorBidi"/>
          <w:sz w:val="22"/>
          <w:szCs w:val="22"/>
          <w:rtl/>
        </w:rPr>
      </w:pPr>
      <w:hyperlink w:anchor="_Toc163506428" w:history="1">
        <w:r w:rsidRPr="007246E7">
          <w:rPr>
            <w:rStyle w:val="Hyperlink"/>
            <w:rtl/>
          </w:rPr>
          <w:t>שולחן ערוך הרב או"ח סי' שי"ג כ"א ד"ה אבל</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Toc163506428 \h</w:instrText>
        </w:r>
        <w:r>
          <w:rPr>
            <w:webHidden/>
            <w:rtl/>
          </w:rPr>
          <w:instrText xml:space="preserve"> </w:instrText>
        </w:r>
        <w:r>
          <w:rPr>
            <w:rStyle w:val="Hyperlink"/>
            <w:rtl/>
          </w:rPr>
        </w:r>
        <w:r>
          <w:rPr>
            <w:rStyle w:val="Hyperlink"/>
            <w:rtl/>
          </w:rPr>
          <w:fldChar w:fldCharType="separate"/>
        </w:r>
        <w:r w:rsidR="00D82181">
          <w:rPr>
            <w:webHidden/>
            <w:rtl/>
          </w:rPr>
          <w:t>185</w:t>
        </w:r>
        <w:r>
          <w:rPr>
            <w:rStyle w:val="Hyperlink"/>
            <w:rtl/>
          </w:rPr>
          <w:fldChar w:fldCharType="end"/>
        </w:r>
      </w:hyperlink>
    </w:p>
    <w:p w14:paraId="41B59955" w14:textId="04C7D931" w:rsidR="008009AA" w:rsidRDefault="008009AA">
      <w:pPr>
        <w:pStyle w:val="TOC7"/>
        <w:rPr>
          <w:rFonts w:cstheme="minorBidi"/>
          <w:sz w:val="22"/>
          <w:szCs w:val="22"/>
          <w:rtl/>
        </w:rPr>
      </w:pPr>
      <w:hyperlink w:anchor="_Toc163506429" w:history="1">
        <w:r w:rsidRPr="007246E7">
          <w:rPr>
            <w:rStyle w:val="Hyperlink"/>
            <w:rtl/>
          </w:rPr>
          <w:t>שולחן ערוך הרב הרב או"ח סי' שי"ד יט</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Toc163506429 \h</w:instrText>
        </w:r>
        <w:r>
          <w:rPr>
            <w:webHidden/>
            <w:rtl/>
          </w:rPr>
          <w:instrText xml:space="preserve"> </w:instrText>
        </w:r>
        <w:r>
          <w:rPr>
            <w:rStyle w:val="Hyperlink"/>
            <w:rtl/>
          </w:rPr>
        </w:r>
        <w:r>
          <w:rPr>
            <w:rStyle w:val="Hyperlink"/>
            <w:rtl/>
          </w:rPr>
          <w:fldChar w:fldCharType="separate"/>
        </w:r>
        <w:r w:rsidR="00D82181">
          <w:rPr>
            <w:webHidden/>
            <w:rtl/>
          </w:rPr>
          <w:t>185</w:t>
        </w:r>
        <w:r>
          <w:rPr>
            <w:rStyle w:val="Hyperlink"/>
            <w:rtl/>
          </w:rPr>
          <w:fldChar w:fldCharType="end"/>
        </w:r>
      </w:hyperlink>
    </w:p>
    <w:p w14:paraId="6EC8317C" w14:textId="1D621E01" w:rsidR="008009AA" w:rsidRDefault="008009AA">
      <w:pPr>
        <w:pStyle w:val="TOC7"/>
        <w:rPr>
          <w:rFonts w:cstheme="minorBidi"/>
          <w:sz w:val="22"/>
          <w:szCs w:val="22"/>
          <w:rtl/>
        </w:rPr>
      </w:pPr>
      <w:hyperlink w:anchor="_Toc163506430" w:history="1">
        <w:r w:rsidRPr="007246E7">
          <w:rPr>
            <w:rStyle w:val="Hyperlink"/>
            <w:rtl/>
          </w:rPr>
          <w:t>תהלה לדוד סי' שי"ד י"ז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Toc163506430 \h</w:instrText>
        </w:r>
        <w:r>
          <w:rPr>
            <w:webHidden/>
            <w:rtl/>
          </w:rPr>
          <w:instrText xml:space="preserve"> </w:instrText>
        </w:r>
        <w:r>
          <w:rPr>
            <w:rStyle w:val="Hyperlink"/>
            <w:rtl/>
          </w:rPr>
        </w:r>
        <w:r>
          <w:rPr>
            <w:rStyle w:val="Hyperlink"/>
            <w:rtl/>
          </w:rPr>
          <w:fldChar w:fldCharType="separate"/>
        </w:r>
        <w:r w:rsidR="00D82181">
          <w:rPr>
            <w:webHidden/>
            <w:rtl/>
          </w:rPr>
          <w:t>185</w:t>
        </w:r>
        <w:r>
          <w:rPr>
            <w:rStyle w:val="Hyperlink"/>
            <w:rtl/>
          </w:rPr>
          <w:fldChar w:fldCharType="end"/>
        </w:r>
      </w:hyperlink>
    </w:p>
    <w:p w14:paraId="111F5990" w14:textId="3BB07E9C" w:rsidR="008009AA" w:rsidRDefault="008009AA">
      <w:pPr>
        <w:pStyle w:val="TOC7"/>
        <w:rPr>
          <w:rFonts w:cstheme="minorBidi"/>
          <w:sz w:val="22"/>
          <w:szCs w:val="22"/>
          <w:rtl/>
        </w:rPr>
      </w:pPr>
      <w:hyperlink w:anchor="_Toc163506431" w:history="1">
        <w:r w:rsidRPr="007246E7">
          <w:rPr>
            <w:rStyle w:val="Hyperlink"/>
            <w:rtl/>
          </w:rPr>
          <w:t>שו"ת מנחת שלמה ח"א סי' י"א ד"ה גם נראה</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Toc163506431 \h</w:instrText>
        </w:r>
        <w:r>
          <w:rPr>
            <w:webHidden/>
            <w:rtl/>
          </w:rPr>
          <w:instrText xml:space="preserve"> </w:instrText>
        </w:r>
        <w:r>
          <w:rPr>
            <w:rStyle w:val="Hyperlink"/>
            <w:rtl/>
          </w:rPr>
        </w:r>
        <w:r>
          <w:rPr>
            <w:rStyle w:val="Hyperlink"/>
            <w:rtl/>
          </w:rPr>
          <w:fldChar w:fldCharType="separate"/>
        </w:r>
        <w:r w:rsidR="00D82181">
          <w:rPr>
            <w:webHidden/>
            <w:rtl/>
          </w:rPr>
          <w:t>185</w:t>
        </w:r>
        <w:r>
          <w:rPr>
            <w:rStyle w:val="Hyperlink"/>
            <w:rtl/>
          </w:rPr>
          <w:fldChar w:fldCharType="end"/>
        </w:r>
      </w:hyperlink>
    </w:p>
    <w:p w14:paraId="7ABB91FF" w14:textId="015C7759" w:rsidR="008009AA" w:rsidRDefault="008009AA">
      <w:pPr>
        <w:pStyle w:val="TOC7"/>
        <w:rPr>
          <w:rFonts w:cstheme="minorBidi"/>
          <w:sz w:val="22"/>
          <w:szCs w:val="22"/>
          <w:rtl/>
        </w:rPr>
      </w:pPr>
      <w:hyperlink w:anchor="_Toc163506432" w:history="1">
        <w:r w:rsidRPr="007246E7">
          <w:rPr>
            <w:rStyle w:val="Hyperlink"/>
            <w:rtl/>
          </w:rPr>
          <w:t>פרי מגדים או"ח משבצות זהב סי' שי"ג ס"ק ז</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Toc163506432 \h</w:instrText>
        </w:r>
        <w:r>
          <w:rPr>
            <w:webHidden/>
            <w:rtl/>
          </w:rPr>
          <w:instrText xml:space="preserve"> </w:instrText>
        </w:r>
        <w:r>
          <w:rPr>
            <w:rStyle w:val="Hyperlink"/>
            <w:rtl/>
          </w:rPr>
        </w:r>
        <w:r>
          <w:rPr>
            <w:rStyle w:val="Hyperlink"/>
            <w:rtl/>
          </w:rPr>
          <w:fldChar w:fldCharType="separate"/>
        </w:r>
        <w:r w:rsidR="00D82181">
          <w:rPr>
            <w:webHidden/>
            <w:rtl/>
          </w:rPr>
          <w:t>185</w:t>
        </w:r>
        <w:r>
          <w:rPr>
            <w:rStyle w:val="Hyperlink"/>
            <w:rtl/>
          </w:rPr>
          <w:fldChar w:fldCharType="end"/>
        </w:r>
      </w:hyperlink>
    </w:p>
    <w:p w14:paraId="08DCD5AE" w14:textId="6F320D75" w:rsidR="008009AA" w:rsidRDefault="008009AA">
      <w:pPr>
        <w:pStyle w:val="TOC7"/>
        <w:rPr>
          <w:rFonts w:cstheme="minorBidi"/>
          <w:sz w:val="22"/>
          <w:szCs w:val="22"/>
          <w:rtl/>
        </w:rPr>
      </w:pPr>
      <w:hyperlink w:anchor="_Toc163506433" w:history="1">
        <w:r w:rsidRPr="007246E7">
          <w:rPr>
            <w:rStyle w:val="Hyperlink"/>
            <w:rtl/>
          </w:rPr>
          <w:t>שו"ע או"ח סי' תקי"ט ב'</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Toc163506433 \h</w:instrText>
        </w:r>
        <w:r>
          <w:rPr>
            <w:webHidden/>
            <w:rtl/>
          </w:rPr>
          <w:instrText xml:space="preserve"> </w:instrText>
        </w:r>
        <w:r>
          <w:rPr>
            <w:rStyle w:val="Hyperlink"/>
            <w:rtl/>
          </w:rPr>
        </w:r>
        <w:r>
          <w:rPr>
            <w:rStyle w:val="Hyperlink"/>
            <w:rtl/>
          </w:rPr>
          <w:fldChar w:fldCharType="separate"/>
        </w:r>
        <w:r w:rsidR="00D82181">
          <w:rPr>
            <w:webHidden/>
            <w:rtl/>
          </w:rPr>
          <w:t>185</w:t>
        </w:r>
        <w:r>
          <w:rPr>
            <w:rStyle w:val="Hyperlink"/>
            <w:rtl/>
          </w:rPr>
          <w:fldChar w:fldCharType="end"/>
        </w:r>
      </w:hyperlink>
    </w:p>
    <w:p w14:paraId="3E8A733C" w14:textId="1AFE395F" w:rsidR="00570749" w:rsidRPr="00224A5A" w:rsidRDefault="00570749" w:rsidP="00570749">
      <w:pPr>
        <w:pStyle w:val="TOC7"/>
        <w:rPr>
          <w:rFonts w:ascii="Guttman Adii-Light" w:eastAsia="Guttman Adii-Light" w:hAnsi="Guttman Adii-Light"/>
          <w:b/>
          <w:bCs/>
          <w:sz w:val="18"/>
          <w:szCs w:val="28"/>
          <w:rtl/>
        </w:rPr>
        <w:sectPr w:rsidR="00570749" w:rsidRPr="00224A5A" w:rsidSect="00CA28B3">
          <w:footerReference w:type="default" r:id="rId203"/>
          <w:type w:val="continuous"/>
          <w:pgSz w:w="11906" w:h="16838"/>
          <w:pgMar w:top="720" w:right="720" w:bottom="720" w:left="720" w:header="283" w:footer="283" w:gutter="0"/>
          <w:cols w:num="3" w:space="113"/>
          <w:bidi/>
          <w:rtlGutter/>
        </w:sectPr>
      </w:pPr>
      <w:r w:rsidRPr="00224A5A">
        <w:rPr>
          <w:rtl/>
        </w:rPr>
        <w:fldChar w:fldCharType="end"/>
      </w:r>
    </w:p>
    <w:p w14:paraId="60308060" w14:textId="6411CB44" w:rsidR="00512288" w:rsidRPr="0047710D" w:rsidRDefault="00512288" w:rsidP="0047710D">
      <w:pPr>
        <w:rPr>
          <w:rStyle w:val="Hyperlink"/>
          <w:color w:val="auto"/>
          <w:u w:val="none"/>
          <w:rtl/>
        </w:rPr>
      </w:pPr>
    </w:p>
    <w:sectPr w:rsidR="00512288" w:rsidRPr="0047710D" w:rsidSect="005A5FBC">
      <w:footerReference w:type="default" r:id="rId204"/>
      <w:type w:val="continuous"/>
      <w:pgSz w:w="11906" w:h="16838"/>
      <w:pgMar w:top="720" w:right="720" w:bottom="720" w:left="720" w:header="283" w:footer="283" w:gutter="0"/>
      <w:cols w:num="3" w:space="170"/>
      <w:bidi/>
      <w:rtlGutter/>
    </w:sectPr>
  </w:body>
</w:document>
</file>

<file path=word/customizations.xml><?xml version="1.0" encoding="utf-8"?>
<wne:tcg xmlns:r="http://schemas.openxmlformats.org/officeDocument/2006/relationships" xmlns:wne="http://schemas.microsoft.com/office/word/2006/wordml">
  <wne:keymaps>
    <wne:keymap wne:kcmPrimary="0244">
      <wne:acd wne:acdName="acd1"/>
    </wne:keymap>
    <wne:keymap wne:kcmPrimary="0251">
      <wne:acd wne:acdName="acd10"/>
    </wne:keymap>
    <wne:keymap wne:kcmPrimary="0257">
      <wne:acd wne:acdName="acd3"/>
    </wne:keymap>
    <wne:keymap wne:kcmPrimary="02BC">
      <wne:acd wne:acdName="acd8"/>
    </wne:keymap>
    <wne:keymap wne:kcmPrimary="02BE">
      <wne:acd wne:acdName="acd6"/>
    </wne:keymap>
    <wne:keymap wne:kcmPrimary="02BF">
      <wne:acd wne:acdName="acd7"/>
    </wne:keymap>
    <wne:keymap wne:kcmPrimary="02FF" wne:kcmSecondary="0052">
      <wne:acd wne:acdName="acd11"/>
    </wne:keymap>
    <wne:keymap wne:kcmPrimary="0444">
      <wne:acd wne:acdName="acd4"/>
    </wne:keymap>
    <wne:keymap wne:kcmPrimary="0445">
      <wne:acd wne:acdName="acd5"/>
    </wne:keymap>
    <wne:keymap wne:kcmPrimary="0446">
      <wne:acd wne:acdName="acd2"/>
    </wne:keymap>
    <wne:keymap wne:kcmPrimary="0453">
      <wne:acd wne:acdName="acd0"/>
    </wne:keymap>
    <wne:keymap wne:kcmPrimary="0458">
      <wne:acd wne:acdName="acd9"/>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Manifest>
  </wne:toolbars>
  <wne:acds>
    <wne:acd wne:argValue="AgDUBeIF6AXVBeoF" wne:acdName="acd0" wne:fciIndexBasedOn="0065"/>
    <wne:acd wne:argValue="AgDeBdUF0wXSBekF" wne:acdName="acd1" wne:fciIndexBasedOn="0065"/>
    <wne:acd wne:argValue="AgDbBdUF6gUgAN4F5AUuAOEF0wXVBegF1AU=" wne:acdName="acd2" wne:fciIndexBasedOn="0065"/>
    <wne:acd wne:argValue="AgDeBSIA3gU=" wne:acdName="acd3" wne:fciIndexBasedOn="0065"/>
    <wne:acd wne:argValue="AgDRBdwF6QXVBeAF3QU=" wne:acdName="acd4" wne:fciIndexBasedOn="0065"/>
    <wne:acd wne:argValue="AgDRBdwF6QXVBSAA1AXeBekF2gU=" wne:acdName="acd5" wne:fciIndexBasedOn="0065"/>
    <wne:acd wne:argValue="AgDbBdUF6gXoBeoFIAAxACwA2wXVBeoFIADSBdMF" wne:acdName="acd6" wne:fciIndexBasedOn="0065"/>
    <wne:acd wne:argValue="AgDbBdUF6gUgAOcF2AU=" wne:acdName="acd7" wne:fciIndexBasedOn="0065"/>
    <wne:acd wne:argValue="AgDbBdUF6gUgAN4F5wUgAOQF4AU=" wne:acdName="acd8" wne:fciIndexBasedOn="0065"/>
    <wne:acd wne:argValue="AgDbBdUF6gUgANMF1AUgAOEF0wXVBegF1AU=" wne:acdName="acd9" wne:fciIndexBasedOn="0065"/>
    <wne:acd wne:argValue="AgDnBdgF4gUgAOgF0gXZBdwF" wne:acdName="acd10" wne:fciIndexBasedOn="0065"/>
    <wne:acd wne:argValue="AgDeBdUF5wXYBd8F" wne:acdName="acd11"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83064E" w14:textId="77777777" w:rsidR="00AD16A0" w:rsidRDefault="00AD16A0" w:rsidP="00541E2A">
      <w:pPr>
        <w:spacing w:after="0" w:line="240" w:lineRule="auto"/>
      </w:pPr>
      <w:r>
        <w:separator/>
      </w:r>
    </w:p>
  </w:endnote>
  <w:endnote w:type="continuationSeparator" w:id="0">
    <w:p w14:paraId="12DB3019" w14:textId="77777777" w:rsidR="00AD16A0" w:rsidRDefault="00AD16A0" w:rsidP="00541E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uttman Hodes">
    <w:panose1 w:val="02010401010101010101"/>
    <w:charset w:val="B1"/>
    <w:family w:val="auto"/>
    <w:pitch w:val="variable"/>
    <w:sig w:usb0="00000801" w:usb1="40000000" w:usb2="00000000" w:usb3="00000000" w:csb0="0000002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Ruehl">
    <w:panose1 w:val="020E0503060101010101"/>
    <w:charset w:val="00"/>
    <w:family w:val="swiss"/>
    <w:pitch w:val="variable"/>
    <w:sig w:usb0="00000803" w:usb1="00000000" w:usb2="00000000" w:usb3="00000000" w:csb0="00000021" w:csb1="00000000"/>
  </w:font>
  <w:font w:name="Guttman Adii-Light">
    <w:panose1 w:val="02010401010101010101"/>
    <w:charset w:val="B1"/>
    <w:family w:val="auto"/>
    <w:pitch w:val="variable"/>
    <w:sig w:usb0="00000801" w:usb1="40000000" w:usb2="00000000" w:usb3="00000000" w:csb0="00000020" w:csb1="00000000"/>
  </w:font>
  <w:font w:name="Calibri Light">
    <w:panose1 w:val="020F0302020204030204"/>
    <w:charset w:val="00"/>
    <w:family w:val="swiss"/>
    <w:pitch w:val="variable"/>
    <w:sig w:usb0="E4002EFF" w:usb1="C000247B" w:usb2="00000009" w:usb3="00000000" w:csb0="000001FF" w:csb1="00000000"/>
  </w:font>
  <w:font w:name="Guttman Rashi">
    <w:panose1 w:val="02010401010101010101"/>
    <w:charset w:val="B1"/>
    <w:family w:val="auto"/>
    <w:pitch w:val="variable"/>
    <w:sig w:usb0="00000801" w:usb1="40000000" w:usb2="00000000" w:usb3="00000000" w:csb0="0000002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David">
    <w:panose1 w:val="020E0502060401010101"/>
    <w:charset w:val="00"/>
    <w:family w:val="swiss"/>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Guttman Hodes"/>
        <w:rtl/>
      </w:rPr>
      <w:id w:val="-1370838360"/>
      <w:docPartObj>
        <w:docPartGallery w:val="Page Numbers (Bottom of Page)"/>
        <w:docPartUnique/>
      </w:docPartObj>
    </w:sdtPr>
    <w:sdtEndPr>
      <w:rPr>
        <w:cs/>
      </w:rPr>
    </w:sdtEndPr>
    <w:sdtContent>
      <w:p w14:paraId="4B7BEE13" w14:textId="77777777" w:rsidR="00B03577" w:rsidRPr="00A409A4" w:rsidRDefault="00B03577" w:rsidP="00323AB6">
        <w:pPr>
          <w:pStyle w:val="affe"/>
          <w:jc w:val="center"/>
          <w:rPr>
            <w:rFonts w:cs="Guttman Hodes"/>
            <w:rtl/>
            <w:cs/>
          </w:rPr>
        </w:pPr>
        <w:r w:rsidRPr="00A409A4">
          <w:rPr>
            <w:rFonts w:cs="Guttman Hodes"/>
          </w:rPr>
          <w:fldChar w:fldCharType="begin"/>
        </w:r>
        <w:r w:rsidRPr="00A409A4">
          <w:rPr>
            <w:rFonts w:cs="Guttman Hodes"/>
            <w:rtl/>
            <w:cs/>
          </w:rPr>
          <w:instrText>PAGE   \* MERGEFORMAT</w:instrText>
        </w:r>
        <w:r w:rsidRPr="00A409A4">
          <w:rPr>
            <w:rFonts w:cs="Guttman Hodes"/>
          </w:rPr>
          <w:fldChar w:fldCharType="separate"/>
        </w:r>
        <w:r w:rsidRPr="00E97488">
          <w:rPr>
            <w:rFonts w:cs="Guttman Hodes"/>
            <w:noProof/>
            <w:rtl/>
            <w:lang w:val="he-IL"/>
          </w:rPr>
          <w:t>9</w:t>
        </w:r>
        <w:r w:rsidRPr="00A409A4">
          <w:rPr>
            <w:rFonts w:cs="Guttman Hodes"/>
          </w:rPr>
          <w:fldChar w:fldCharType="end"/>
        </w:r>
      </w:p>
    </w:sdtContent>
  </w:sdt>
  <w:p w14:paraId="6C69279D" w14:textId="77777777" w:rsidR="00B03577" w:rsidRDefault="00B03577" w:rsidP="00323AB6">
    <w:pPr>
      <w:pStyle w:val="affe"/>
      <w:tabs>
        <w:tab w:val="clear" w:pos="4153"/>
        <w:tab w:val="clear" w:pos="8306"/>
        <w:tab w:val="right" w:pos="10466"/>
      </w:tabs>
      <w:rPr>
        <w:rt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FD07B" w14:textId="77777777" w:rsidR="00B03577" w:rsidRDefault="00B03577">
    <w:pPr>
      <w:pStyle w:val="aff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84FB2" w14:textId="77777777" w:rsidR="00B03577" w:rsidRDefault="00B03577">
    <w:pPr>
      <w:pStyle w:val="affe"/>
      <w:jc w:val="right"/>
      <w:rPr>
        <w:rtl/>
        <w:c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BEC2D" w14:textId="77777777" w:rsidR="00B03577" w:rsidRPr="0007367E" w:rsidRDefault="00B03577" w:rsidP="0007367E">
    <w:pPr>
      <w:pStyle w:val="aff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EB586" w14:textId="1D0258BF" w:rsidR="0047710D" w:rsidRDefault="00911969" w:rsidP="00C83122">
    <w:pPr>
      <w:pStyle w:val="affe"/>
    </w:pPr>
    <w:r>
      <w:rPr>
        <w:noProof/>
      </w:rPr>
      <mc:AlternateContent>
        <mc:Choice Requires="wps">
          <w:drawing>
            <wp:anchor distT="0" distB="0" distL="114300" distR="114300" simplePos="0" relativeHeight="251661312" behindDoc="0" locked="0" layoutInCell="1" allowOverlap="1" wp14:anchorId="5FF96ADA" wp14:editId="7E135114">
              <wp:simplePos x="0" y="0"/>
              <wp:positionH relativeFrom="margin">
                <wp:posOffset>2022878</wp:posOffset>
              </wp:positionH>
              <wp:positionV relativeFrom="paragraph">
                <wp:posOffset>3290</wp:posOffset>
              </wp:positionV>
              <wp:extent cx="4855120" cy="353202"/>
              <wp:effectExtent l="0" t="0" r="3175" b="8890"/>
              <wp:wrapNone/>
              <wp:docPr id="4" name="תיבת טקסט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5120" cy="353202"/>
                      </a:xfrm>
                      <a:prstGeom prst="rect">
                        <a:avLst/>
                      </a:prstGeom>
                      <a:solidFill>
                        <a:srgbClr val="FFFFFF"/>
                      </a:solidFill>
                      <a:ln w="19050">
                        <a:noFill/>
                        <a:miter lim="800000"/>
                        <a:headEnd/>
                        <a:tailEnd/>
                      </a:ln>
                    </wps:spPr>
                    <wps:txbx>
                      <w:txbxContent>
                        <w:p w14:paraId="73359AC9" w14:textId="7D05BE7F" w:rsidR="00911969" w:rsidRPr="002A07A0" w:rsidRDefault="00911969" w:rsidP="00911969">
                          <w:pPr>
                            <w:spacing w:line="240" w:lineRule="auto"/>
                            <w:contextualSpacing/>
                            <w:jc w:val="center"/>
                            <w:rPr>
                              <w:b/>
                              <w:bCs/>
                              <w:sz w:val="16"/>
                              <w:szCs w:val="16"/>
                              <w:rtl/>
                            </w:rPr>
                          </w:pPr>
                          <w:r>
                            <w:rPr>
                              <w:b/>
                              <w:bCs/>
                              <w:sz w:val="16"/>
                              <w:szCs w:val="16"/>
                              <w:rtl/>
                            </w:rPr>
                            <w:t xml:space="preserve">שלמה </w:t>
                          </w:r>
                          <w:r w:rsidRPr="00D348B7">
                            <w:rPr>
                              <w:b/>
                              <w:bCs/>
                              <w:sz w:val="16"/>
                              <w:szCs w:val="16"/>
                              <w:rtl/>
                            </w:rPr>
                            <w:t xml:space="preserve">הנדל </w:t>
                          </w:r>
                          <w:r>
                            <w:rPr>
                              <w:rFonts w:hint="cs"/>
                              <w:b/>
                              <w:bCs/>
                              <w:sz w:val="16"/>
                              <w:szCs w:val="16"/>
                              <w:rtl/>
                            </w:rPr>
                            <w:t xml:space="preserve">טל: </w:t>
                          </w:r>
                          <w:r w:rsidRPr="006C5697">
                            <w:rPr>
                              <w:b/>
                              <w:bCs/>
                              <w:sz w:val="16"/>
                              <w:szCs w:val="16"/>
                              <w:rtl/>
                            </w:rPr>
                            <w:t>052-7676412</w:t>
                          </w:r>
                          <w:r>
                            <w:rPr>
                              <w:rFonts w:hint="cs"/>
                              <w:b/>
                              <w:bCs/>
                              <w:sz w:val="16"/>
                              <w:szCs w:val="16"/>
                              <w:rtl/>
                            </w:rPr>
                            <w:t xml:space="preserve"> - </w:t>
                          </w:r>
                          <w:r w:rsidRPr="002A07A0">
                            <w:rPr>
                              <w:rFonts w:hint="cs"/>
                              <w:b/>
                              <w:bCs/>
                              <w:sz w:val="16"/>
                              <w:szCs w:val="16"/>
                              <w:rtl/>
                            </w:rPr>
                            <w:t xml:space="preserve">ניתן לקבל </w:t>
                          </w:r>
                          <w:r>
                            <w:rPr>
                              <w:rFonts w:hint="cs"/>
                              <w:b/>
                              <w:bCs/>
                              <w:sz w:val="16"/>
                              <w:szCs w:val="16"/>
                              <w:rtl/>
                            </w:rPr>
                            <w:t>את המ"מ</w:t>
                          </w:r>
                          <w:r w:rsidRPr="00134080">
                            <w:rPr>
                              <w:rFonts w:hint="cs"/>
                              <w:b/>
                              <w:bCs/>
                              <w:sz w:val="16"/>
                              <w:szCs w:val="16"/>
                              <w:rtl/>
                            </w:rPr>
                            <w:t xml:space="preserve"> </w:t>
                          </w:r>
                          <w:r w:rsidRPr="002A07A0">
                            <w:rPr>
                              <w:rFonts w:hint="cs"/>
                              <w:b/>
                              <w:bCs/>
                              <w:sz w:val="16"/>
                              <w:szCs w:val="16"/>
                              <w:rtl/>
                            </w:rPr>
                            <w:t>במייל:</w:t>
                          </w:r>
                          <w:r w:rsidR="006753EE">
                            <w:rPr>
                              <w:rFonts w:hint="cs"/>
                              <w:b/>
                              <w:bCs/>
                              <w:sz w:val="16"/>
                              <w:szCs w:val="16"/>
                              <w:rtl/>
                            </w:rPr>
                            <w:t xml:space="preserve"> </w:t>
                          </w:r>
                          <w:hyperlink r:id="rId1" w:history="1">
                            <w:r w:rsidRPr="002A07A0">
                              <w:rPr>
                                <w:rStyle w:val="Hyperlink"/>
                                <w:b/>
                                <w:bCs/>
                                <w:color w:val="auto"/>
                                <w:sz w:val="16"/>
                                <w:szCs w:val="16"/>
                                <w:u w:val="none"/>
                              </w:rPr>
                              <w:t>A05</w:t>
                            </w:r>
                            <w:r w:rsidRPr="002A07A0">
                              <w:rPr>
                                <w:rStyle w:val="Hyperlink"/>
                                <w:rFonts w:hint="cs"/>
                                <w:b/>
                                <w:bCs/>
                                <w:color w:val="auto"/>
                                <w:sz w:val="16"/>
                                <w:szCs w:val="16"/>
                                <w:u w:val="none"/>
                              </w:rPr>
                              <w:t>27676412</w:t>
                            </w:r>
                            <w:r w:rsidRPr="002A07A0">
                              <w:rPr>
                                <w:rStyle w:val="Hyperlink"/>
                                <w:b/>
                                <w:bCs/>
                                <w:color w:val="auto"/>
                                <w:sz w:val="16"/>
                                <w:szCs w:val="16"/>
                                <w:u w:val="none"/>
                              </w:rPr>
                              <w:t>@</w:t>
                            </w:r>
                            <w:r w:rsidRPr="002A07A0">
                              <w:rPr>
                                <w:rStyle w:val="Hyperlink"/>
                                <w:rFonts w:hint="cs"/>
                                <w:b/>
                                <w:bCs/>
                                <w:color w:val="auto"/>
                                <w:sz w:val="16"/>
                                <w:szCs w:val="16"/>
                                <w:u w:val="none"/>
                              </w:rPr>
                              <w:t>GMAIL.COM</w:t>
                            </w:r>
                          </w:hyperlink>
                          <w:r w:rsidRPr="002A07A0">
                            <w:rPr>
                              <w:rFonts w:hint="cs"/>
                              <w:b/>
                              <w:bCs/>
                              <w:sz w:val="16"/>
                              <w:szCs w:val="16"/>
                              <w:rtl/>
                            </w:rPr>
                            <w:t xml:space="preserve"> </w:t>
                          </w:r>
                        </w:p>
                        <w:p w14:paraId="6A8012F1" w14:textId="77777777" w:rsidR="00911969" w:rsidRPr="008D08BD" w:rsidRDefault="00911969" w:rsidP="00911969">
                          <w:pPr>
                            <w:spacing w:line="240" w:lineRule="auto"/>
                            <w:contextualSpacing/>
                            <w:jc w:val="center"/>
                            <w:rPr>
                              <w:b/>
                              <w:bCs/>
                              <w:sz w:val="16"/>
                              <w:szCs w:val="16"/>
                            </w:rPr>
                          </w:pPr>
                          <w:r w:rsidRPr="002A07A0">
                            <w:rPr>
                              <w:rFonts w:hint="cs"/>
                              <w:b/>
                              <w:bCs/>
                              <w:sz w:val="16"/>
                              <w:szCs w:val="16"/>
                              <w:rtl/>
                            </w:rPr>
                            <w:t xml:space="preserve">וכן </w:t>
                          </w:r>
                          <w:r>
                            <w:rPr>
                              <w:rFonts w:hint="cs"/>
                              <w:b/>
                              <w:bCs/>
                              <w:sz w:val="16"/>
                              <w:szCs w:val="16"/>
                              <w:rtl/>
                            </w:rPr>
                            <w:t xml:space="preserve">ניתן לקבל </w:t>
                          </w:r>
                          <w:r w:rsidRPr="002A07A0">
                            <w:rPr>
                              <w:rFonts w:hint="cs"/>
                              <w:b/>
                              <w:bCs/>
                              <w:sz w:val="16"/>
                              <w:szCs w:val="16"/>
                              <w:rtl/>
                            </w:rPr>
                            <w:t xml:space="preserve">את קובץ "משנתם בלשונם" </w:t>
                          </w:r>
                          <w:r>
                            <w:rPr>
                              <w:rFonts w:hint="cs"/>
                              <w:b/>
                              <w:bCs/>
                              <w:sz w:val="16"/>
                              <w:szCs w:val="16"/>
                              <w:rtl/>
                            </w:rPr>
                            <w:t>בו הובאו לשונות הראשונים והאחרונים,</w:t>
                          </w:r>
                          <w:r w:rsidRPr="008D08BD">
                            <w:rPr>
                              <w:b/>
                              <w:bCs/>
                              <w:sz w:val="16"/>
                              <w:szCs w:val="16"/>
                            </w:rPr>
                            <w:t xml:space="preserve"> </w:t>
                          </w:r>
                          <w:r>
                            <w:rPr>
                              <w:rFonts w:hint="cs"/>
                              <w:b/>
                              <w:bCs/>
                              <w:sz w:val="16"/>
                              <w:szCs w:val="16"/>
                              <w:rtl/>
                            </w:rPr>
                            <w:t>פתוחים להעתקה</w:t>
                          </w:r>
                          <w:r>
                            <w:rPr>
                              <w:b/>
                              <w:bCs/>
                              <w:sz w:val="16"/>
                              <w:szCs w:val="16"/>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FF96ADA" id="_x0000_t202" coordsize="21600,21600" o:spt="202" path="m,l,21600r21600,l21600,xe">
              <v:stroke joinstyle="miter"/>
              <v:path gradientshapeok="t" o:connecttype="rect"/>
            </v:shapetype>
            <v:shape id="תיבת טקסט 12" o:spid="_x0000_s1031" type="#_x0000_t202" style="position:absolute;left:0;text-align:left;margin-left:159.3pt;margin-top:.25pt;width:382.3pt;height:27.8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" stroked="f" strokeweight="1.5pt">
              <v:textbox>
                <w:txbxContent>
                  <w:p w14:paraId="73359AC9" w14:textId="7D05BE7F" w:rsidR="00911969" w:rsidRPr="002A07A0" w:rsidRDefault="00911969" w:rsidP="00911969">
                    <w:pPr>
                      <w:spacing w:line="240" w:lineRule="auto"/>
                      <w:contextualSpacing/>
                      <w:jc w:val="center"/>
                      <w:rPr>
                        <w:b/>
                        <w:bCs/>
                        <w:sz w:val="16"/>
                        <w:szCs w:val="16"/>
                        <w:rtl/>
                      </w:rPr>
                    </w:pPr>
                    <w:r>
                      <w:rPr>
                        <w:b/>
                        <w:bCs/>
                        <w:sz w:val="16"/>
                        <w:szCs w:val="16"/>
                        <w:rtl/>
                      </w:rPr>
                      <w:t xml:space="preserve">שלמה </w:t>
                    </w:r>
                    <w:r w:rsidRPr="00D348B7">
                      <w:rPr>
                        <w:b/>
                        <w:bCs/>
                        <w:sz w:val="16"/>
                        <w:szCs w:val="16"/>
                        <w:rtl/>
                      </w:rPr>
                      <w:t xml:space="preserve">הנדל </w:t>
                    </w:r>
                    <w:r>
                      <w:rPr>
                        <w:rFonts w:hint="cs"/>
                        <w:b/>
                        <w:bCs/>
                        <w:sz w:val="16"/>
                        <w:szCs w:val="16"/>
                        <w:rtl/>
                      </w:rPr>
                      <w:t xml:space="preserve">טל: </w:t>
                    </w:r>
                    <w:r w:rsidRPr="006C5697">
                      <w:rPr>
                        <w:b/>
                        <w:bCs/>
                        <w:sz w:val="16"/>
                        <w:szCs w:val="16"/>
                        <w:rtl/>
                      </w:rPr>
                      <w:t>052-7676412</w:t>
                    </w:r>
                    <w:r>
                      <w:rPr>
                        <w:rFonts w:hint="cs"/>
                        <w:b/>
                        <w:bCs/>
                        <w:sz w:val="16"/>
                        <w:szCs w:val="16"/>
                        <w:rtl/>
                      </w:rPr>
                      <w:t xml:space="preserve"> - </w:t>
                    </w:r>
                    <w:r w:rsidRPr="002A07A0">
                      <w:rPr>
                        <w:rFonts w:hint="cs"/>
                        <w:b/>
                        <w:bCs/>
                        <w:sz w:val="16"/>
                        <w:szCs w:val="16"/>
                        <w:rtl/>
                      </w:rPr>
                      <w:t xml:space="preserve">ניתן לקבל </w:t>
                    </w:r>
                    <w:r>
                      <w:rPr>
                        <w:rFonts w:hint="cs"/>
                        <w:b/>
                        <w:bCs/>
                        <w:sz w:val="16"/>
                        <w:szCs w:val="16"/>
                        <w:rtl/>
                      </w:rPr>
                      <w:t>את המ"מ</w:t>
                    </w:r>
                    <w:r w:rsidRPr="00134080">
                      <w:rPr>
                        <w:rFonts w:hint="cs"/>
                        <w:b/>
                        <w:bCs/>
                        <w:sz w:val="16"/>
                        <w:szCs w:val="16"/>
                        <w:rtl/>
                      </w:rPr>
                      <w:t xml:space="preserve"> </w:t>
                    </w:r>
                    <w:r w:rsidRPr="002A07A0">
                      <w:rPr>
                        <w:rFonts w:hint="cs"/>
                        <w:b/>
                        <w:bCs/>
                        <w:sz w:val="16"/>
                        <w:szCs w:val="16"/>
                        <w:rtl/>
                      </w:rPr>
                      <w:t>במייל:</w:t>
                    </w:r>
                    <w:r w:rsidR="006753EE">
                      <w:rPr>
                        <w:rFonts w:hint="cs"/>
                        <w:b/>
                        <w:bCs/>
                        <w:sz w:val="16"/>
                        <w:szCs w:val="16"/>
                        <w:rtl/>
                      </w:rPr>
                      <w:t xml:space="preserve"> </w:t>
                    </w:r>
                    <w:hyperlink r:id="rId2" w:history="1">
                      <w:r w:rsidRPr="002A07A0">
                        <w:rPr>
                          <w:rStyle w:val="Hyperlink"/>
                          <w:b/>
                          <w:bCs/>
                          <w:color w:val="auto"/>
                          <w:sz w:val="16"/>
                          <w:szCs w:val="16"/>
                          <w:u w:val="none"/>
                        </w:rPr>
                        <w:t>A05</w:t>
                      </w:r>
                      <w:r w:rsidRPr="002A07A0">
                        <w:rPr>
                          <w:rStyle w:val="Hyperlink"/>
                          <w:rFonts w:hint="cs"/>
                          <w:b/>
                          <w:bCs/>
                          <w:color w:val="auto"/>
                          <w:sz w:val="16"/>
                          <w:szCs w:val="16"/>
                          <w:u w:val="none"/>
                        </w:rPr>
                        <w:t>27676412</w:t>
                      </w:r>
                      <w:r w:rsidRPr="002A07A0">
                        <w:rPr>
                          <w:rStyle w:val="Hyperlink"/>
                          <w:b/>
                          <w:bCs/>
                          <w:color w:val="auto"/>
                          <w:sz w:val="16"/>
                          <w:szCs w:val="16"/>
                          <w:u w:val="none"/>
                        </w:rPr>
                        <w:t>@</w:t>
                      </w:r>
                      <w:r w:rsidRPr="002A07A0">
                        <w:rPr>
                          <w:rStyle w:val="Hyperlink"/>
                          <w:rFonts w:hint="cs"/>
                          <w:b/>
                          <w:bCs/>
                          <w:color w:val="auto"/>
                          <w:sz w:val="16"/>
                          <w:szCs w:val="16"/>
                          <w:u w:val="none"/>
                        </w:rPr>
                        <w:t>GMAIL.COM</w:t>
                      </w:r>
                    </w:hyperlink>
                    <w:r w:rsidRPr="002A07A0">
                      <w:rPr>
                        <w:rFonts w:hint="cs"/>
                        <w:b/>
                        <w:bCs/>
                        <w:sz w:val="16"/>
                        <w:szCs w:val="16"/>
                        <w:rtl/>
                      </w:rPr>
                      <w:t xml:space="preserve"> </w:t>
                    </w:r>
                  </w:p>
                  <w:p w14:paraId="6A8012F1" w14:textId="77777777" w:rsidR="00911969" w:rsidRPr="008D08BD" w:rsidRDefault="00911969" w:rsidP="00911969">
                    <w:pPr>
                      <w:spacing w:line="240" w:lineRule="auto"/>
                      <w:contextualSpacing/>
                      <w:jc w:val="center"/>
                      <w:rPr>
                        <w:b/>
                        <w:bCs/>
                        <w:sz w:val="16"/>
                        <w:szCs w:val="16"/>
                      </w:rPr>
                    </w:pPr>
                    <w:r w:rsidRPr="002A07A0">
                      <w:rPr>
                        <w:rFonts w:hint="cs"/>
                        <w:b/>
                        <w:bCs/>
                        <w:sz w:val="16"/>
                        <w:szCs w:val="16"/>
                        <w:rtl/>
                      </w:rPr>
                      <w:t xml:space="preserve">וכן </w:t>
                    </w:r>
                    <w:r>
                      <w:rPr>
                        <w:rFonts w:hint="cs"/>
                        <w:b/>
                        <w:bCs/>
                        <w:sz w:val="16"/>
                        <w:szCs w:val="16"/>
                        <w:rtl/>
                      </w:rPr>
                      <w:t xml:space="preserve">ניתן לקבל </w:t>
                    </w:r>
                    <w:r w:rsidRPr="002A07A0">
                      <w:rPr>
                        <w:rFonts w:hint="cs"/>
                        <w:b/>
                        <w:bCs/>
                        <w:sz w:val="16"/>
                        <w:szCs w:val="16"/>
                        <w:rtl/>
                      </w:rPr>
                      <w:t xml:space="preserve">את קובץ "משנתם בלשונם" </w:t>
                    </w:r>
                    <w:r>
                      <w:rPr>
                        <w:rFonts w:hint="cs"/>
                        <w:b/>
                        <w:bCs/>
                        <w:sz w:val="16"/>
                        <w:szCs w:val="16"/>
                        <w:rtl/>
                      </w:rPr>
                      <w:t>בו הובאו לשונות הראשונים והאחרונים,</w:t>
                    </w:r>
                    <w:r w:rsidRPr="008D08BD">
                      <w:rPr>
                        <w:b/>
                        <w:bCs/>
                        <w:sz w:val="16"/>
                        <w:szCs w:val="16"/>
                      </w:rPr>
                      <w:t xml:space="preserve"> </w:t>
                    </w:r>
                    <w:r>
                      <w:rPr>
                        <w:rFonts w:hint="cs"/>
                        <w:b/>
                        <w:bCs/>
                        <w:sz w:val="16"/>
                        <w:szCs w:val="16"/>
                        <w:rtl/>
                      </w:rPr>
                      <w:t>פתוחים להעתקה</w:t>
                    </w:r>
                    <w:r>
                      <w:rPr>
                        <w:b/>
                        <w:bCs/>
                        <w:sz w:val="16"/>
                        <w:szCs w:val="16"/>
                      </w:rPr>
                      <w:t>.</w:t>
                    </w:r>
                  </w:p>
                </w:txbxContent>
              </v:textbox>
              <w10:wrap anchorx="margin"/>
            </v:shape>
          </w:pict>
        </mc:Fallback>
      </mc:AlternateContent>
    </w:r>
  </w:p>
  <w:p w14:paraId="04E680B1" w14:textId="77777777" w:rsidR="0047710D" w:rsidRDefault="0047710D" w:rsidP="00C83122">
    <w:pPr>
      <w:pStyle w:val="aff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348214550"/>
      <w:docPartObj>
        <w:docPartGallery w:val="Page Numbers (Bottom of Page)"/>
        <w:docPartUnique/>
      </w:docPartObj>
    </w:sdtPr>
    <w:sdtEndPr>
      <w:rPr>
        <w:cs/>
      </w:rPr>
    </w:sdtEndPr>
    <w:sdtContent>
      <w:p w14:paraId="67F67033" w14:textId="77777777" w:rsidR="009623A2" w:rsidRDefault="009623A2">
        <w:pPr>
          <w:pStyle w:val="affe"/>
          <w:jc w:val="right"/>
          <w:rPr>
            <w:rtl/>
            <w:cs/>
          </w:rPr>
        </w:pPr>
        <w:r>
          <w:fldChar w:fldCharType="begin"/>
        </w:r>
        <w:r>
          <w:rPr>
            <w:rtl/>
            <w:cs/>
          </w:rPr>
          <w:instrText>PAGE   \* MERGEFORMAT</w:instrText>
        </w:r>
        <w:r>
          <w:fldChar w:fldCharType="separate"/>
        </w:r>
        <w:r w:rsidRPr="000D3787">
          <w:rPr>
            <w:noProof/>
            <w:rtl/>
            <w:lang w:val="he-IL"/>
          </w:rPr>
          <w:t>1</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54F24" w14:textId="77777777" w:rsidR="009623A2" w:rsidRDefault="009623A2" w:rsidP="00C83122">
    <w:pPr>
      <w:pStyle w:val="affe"/>
    </w:pPr>
    <w:r>
      <w:rPr>
        <w:noProof/>
      </w:rPr>
      <mc:AlternateContent>
        <mc:Choice Requires="wps">
          <w:drawing>
            <wp:anchor distT="0" distB="0" distL="114300" distR="114300" simplePos="0" relativeHeight="251679744" behindDoc="0" locked="0" layoutInCell="1" allowOverlap="1" wp14:anchorId="37D0FFFD" wp14:editId="67F968C5">
              <wp:simplePos x="0" y="0"/>
              <wp:positionH relativeFrom="margin">
                <wp:posOffset>3224530</wp:posOffset>
              </wp:positionH>
              <wp:positionV relativeFrom="paragraph">
                <wp:posOffset>52705</wp:posOffset>
              </wp:positionV>
              <wp:extent cx="3355975" cy="330200"/>
              <wp:effectExtent l="0" t="0" r="0" b="0"/>
              <wp:wrapNone/>
              <wp:docPr id="3" name="תיבת טקסט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5975" cy="330200"/>
                      </a:xfrm>
                      <a:prstGeom prst="rect">
                        <a:avLst/>
                      </a:prstGeom>
                      <a:solidFill>
                        <a:srgbClr val="FFFFFF"/>
                      </a:solidFill>
                      <a:ln w="19050">
                        <a:noFill/>
                        <a:miter lim="800000"/>
                        <a:headEnd/>
                        <a:tailEnd/>
                      </a:ln>
                    </wps:spPr>
                    <wps:txbx>
                      <w:txbxContent>
                        <w:p w14:paraId="076D9BE6" w14:textId="77777777" w:rsidR="009623A2" w:rsidRPr="00D348B7" w:rsidRDefault="009623A2" w:rsidP="00BA3ECC">
                          <w:pPr>
                            <w:spacing w:line="240" w:lineRule="auto"/>
                            <w:contextualSpacing/>
                            <w:jc w:val="center"/>
                            <w:rPr>
                              <w:b/>
                              <w:bCs/>
                              <w:sz w:val="16"/>
                              <w:szCs w:val="16"/>
                              <w:rtl/>
                            </w:rPr>
                          </w:pPr>
                          <w:r>
                            <w:rPr>
                              <w:b/>
                              <w:bCs/>
                              <w:sz w:val="16"/>
                              <w:szCs w:val="16"/>
                              <w:rtl/>
                            </w:rPr>
                            <w:t xml:space="preserve">שלמה </w:t>
                          </w:r>
                          <w:r w:rsidRPr="00D348B7">
                            <w:rPr>
                              <w:b/>
                              <w:bCs/>
                              <w:sz w:val="16"/>
                              <w:szCs w:val="16"/>
                              <w:rtl/>
                            </w:rPr>
                            <w:t xml:space="preserve">הנדל </w:t>
                          </w:r>
                          <w:r>
                            <w:rPr>
                              <w:rFonts w:hint="cs"/>
                              <w:b/>
                              <w:bCs/>
                              <w:sz w:val="16"/>
                              <w:szCs w:val="16"/>
                              <w:rtl/>
                            </w:rPr>
                            <w:t xml:space="preserve">טל: </w:t>
                          </w:r>
                          <w:r w:rsidRPr="006C5697">
                            <w:rPr>
                              <w:b/>
                              <w:bCs/>
                              <w:sz w:val="16"/>
                              <w:szCs w:val="16"/>
                              <w:rtl/>
                            </w:rPr>
                            <w:t>052-7676412</w:t>
                          </w:r>
                        </w:p>
                        <w:p w14:paraId="130278FC" w14:textId="77777777" w:rsidR="009623A2" w:rsidRPr="008D08BD" w:rsidRDefault="00AD16A0" w:rsidP="00BA3ECC">
                          <w:pPr>
                            <w:bidi w:val="0"/>
                            <w:spacing w:line="240" w:lineRule="auto"/>
                            <w:contextualSpacing/>
                            <w:jc w:val="center"/>
                            <w:rPr>
                              <w:b/>
                              <w:bCs/>
                              <w:sz w:val="16"/>
                              <w:szCs w:val="16"/>
                            </w:rPr>
                          </w:pPr>
                          <w:hyperlink r:id="rId1" w:history="1">
                            <w:r w:rsidR="009623A2" w:rsidRPr="008D08BD">
                              <w:rPr>
                                <w:b/>
                                <w:bCs/>
                                <w:sz w:val="16"/>
                                <w:szCs w:val="16"/>
                              </w:rPr>
                              <w:t>A05</w:t>
                            </w:r>
                            <w:r w:rsidR="009623A2" w:rsidRPr="008D08BD">
                              <w:rPr>
                                <w:rFonts w:hint="cs"/>
                                <w:b/>
                                <w:bCs/>
                                <w:sz w:val="16"/>
                                <w:szCs w:val="16"/>
                              </w:rPr>
                              <w:t>27676412</w:t>
                            </w:r>
                            <w:r w:rsidR="009623A2" w:rsidRPr="008D08BD">
                              <w:rPr>
                                <w:b/>
                                <w:bCs/>
                                <w:sz w:val="16"/>
                                <w:szCs w:val="16"/>
                              </w:rPr>
                              <w:t>@</w:t>
                            </w:r>
                            <w:r w:rsidR="009623A2" w:rsidRPr="008D08BD">
                              <w:rPr>
                                <w:rFonts w:hint="cs"/>
                                <w:b/>
                                <w:bCs/>
                                <w:sz w:val="16"/>
                                <w:szCs w:val="16"/>
                              </w:rPr>
                              <w:t>GMAIL.COM</w:t>
                            </w:r>
                          </w:hyperlink>
                          <w:r w:rsidR="009623A2">
                            <w:rPr>
                              <w:b/>
                              <w:bCs/>
                              <w:sz w:val="16"/>
                              <w:szCs w:val="16"/>
                            </w:rPr>
                            <w:t xml:space="preserve"> </w:t>
                          </w:r>
                          <w:r w:rsidR="009623A2" w:rsidRPr="008D08BD">
                            <w:rPr>
                              <w:rFonts w:hint="cs"/>
                              <w:b/>
                              <w:bCs/>
                              <w:sz w:val="16"/>
                              <w:szCs w:val="16"/>
                              <w:rtl/>
                            </w:rPr>
                            <w:t>לקבלת המ"מ ב</w:t>
                          </w:r>
                          <w:r w:rsidR="009623A2">
                            <w:rPr>
                              <w:rFonts w:hint="cs"/>
                              <w:b/>
                              <w:bCs/>
                              <w:sz w:val="16"/>
                              <w:szCs w:val="16"/>
                              <w:rtl/>
                            </w:rPr>
                            <w:t>קביעות ל</w:t>
                          </w:r>
                          <w:r w:rsidR="009623A2" w:rsidRPr="008D08BD">
                            <w:rPr>
                              <w:rFonts w:hint="cs"/>
                              <w:b/>
                              <w:bCs/>
                              <w:sz w:val="16"/>
                              <w:szCs w:val="16"/>
                              <w:rtl/>
                            </w:rPr>
                            <w:t>מייל נא לשלוח הודעה לכתובת:</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7D0FFFD" id="_x0000_t202" coordsize="21600,21600" o:spt="202" path="m,l,21600r21600,l21600,xe">
              <v:stroke joinstyle="miter"/>
              <v:path gradientshapeok="t" o:connecttype="rect"/>
            </v:shapetype>
            <v:shape id="תיבת טקסט 1" o:spid="_x0000_s1032" type="#_x0000_t202" style="position:absolute;left:0;text-align:left;margin-left:253.9pt;margin-top:4.15pt;width:264.25pt;height:26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" stroked="f" strokeweight="1.5pt">
              <v:textbox>
                <w:txbxContent>
                  <w:p w14:paraId="076D9BE6" w14:textId="77777777" w:rsidR="009623A2" w:rsidRPr="00D348B7" w:rsidRDefault="009623A2" w:rsidP="00BA3ECC">
                    <w:pPr>
                      <w:spacing w:line="240" w:lineRule="auto"/>
                      <w:contextualSpacing/>
                      <w:jc w:val="center"/>
                      <w:rPr>
                        <w:b/>
                        <w:bCs/>
                        <w:sz w:val="16"/>
                        <w:szCs w:val="16"/>
                        <w:rtl/>
                      </w:rPr>
                    </w:pPr>
                    <w:r>
                      <w:rPr>
                        <w:b/>
                        <w:bCs/>
                        <w:sz w:val="16"/>
                        <w:szCs w:val="16"/>
                        <w:rtl/>
                      </w:rPr>
                      <w:t xml:space="preserve">שלמה </w:t>
                    </w:r>
                    <w:r w:rsidRPr="00D348B7">
                      <w:rPr>
                        <w:b/>
                        <w:bCs/>
                        <w:sz w:val="16"/>
                        <w:szCs w:val="16"/>
                        <w:rtl/>
                      </w:rPr>
                      <w:t xml:space="preserve">הנדל </w:t>
                    </w:r>
                    <w:r>
                      <w:rPr>
                        <w:rFonts w:hint="cs"/>
                        <w:b/>
                        <w:bCs/>
                        <w:sz w:val="16"/>
                        <w:szCs w:val="16"/>
                        <w:rtl/>
                      </w:rPr>
                      <w:t xml:space="preserve">טל: </w:t>
                    </w:r>
                    <w:r w:rsidRPr="006C5697">
                      <w:rPr>
                        <w:b/>
                        <w:bCs/>
                        <w:sz w:val="16"/>
                        <w:szCs w:val="16"/>
                        <w:rtl/>
                      </w:rPr>
                      <w:t>052-7676412</w:t>
                    </w:r>
                  </w:p>
                  <w:p w14:paraId="130278FC" w14:textId="77777777" w:rsidR="009623A2" w:rsidRPr="008D08BD" w:rsidRDefault="00AD16A0" w:rsidP="00BA3ECC">
                    <w:pPr>
                      <w:bidi w:val="0"/>
                      <w:spacing w:line="240" w:lineRule="auto"/>
                      <w:contextualSpacing/>
                      <w:jc w:val="center"/>
                      <w:rPr>
                        <w:b/>
                        <w:bCs/>
                        <w:sz w:val="16"/>
                        <w:szCs w:val="16"/>
                      </w:rPr>
                    </w:pPr>
                    <w:hyperlink r:id="rId2" w:history="1">
                      <w:r w:rsidR="009623A2" w:rsidRPr="008D08BD">
                        <w:rPr>
                          <w:b/>
                          <w:bCs/>
                          <w:sz w:val="16"/>
                          <w:szCs w:val="16"/>
                        </w:rPr>
                        <w:t>A05</w:t>
                      </w:r>
                      <w:r w:rsidR="009623A2" w:rsidRPr="008D08BD">
                        <w:rPr>
                          <w:rFonts w:hint="cs"/>
                          <w:b/>
                          <w:bCs/>
                          <w:sz w:val="16"/>
                          <w:szCs w:val="16"/>
                        </w:rPr>
                        <w:t>27676412</w:t>
                      </w:r>
                      <w:r w:rsidR="009623A2" w:rsidRPr="008D08BD">
                        <w:rPr>
                          <w:b/>
                          <w:bCs/>
                          <w:sz w:val="16"/>
                          <w:szCs w:val="16"/>
                        </w:rPr>
                        <w:t>@</w:t>
                      </w:r>
                      <w:r w:rsidR="009623A2" w:rsidRPr="008D08BD">
                        <w:rPr>
                          <w:rFonts w:hint="cs"/>
                          <w:b/>
                          <w:bCs/>
                          <w:sz w:val="16"/>
                          <w:szCs w:val="16"/>
                        </w:rPr>
                        <w:t>GMAIL.COM</w:t>
                      </w:r>
                    </w:hyperlink>
                    <w:r w:rsidR="009623A2">
                      <w:rPr>
                        <w:b/>
                        <w:bCs/>
                        <w:sz w:val="16"/>
                        <w:szCs w:val="16"/>
                      </w:rPr>
                      <w:t xml:space="preserve"> </w:t>
                    </w:r>
                    <w:r w:rsidR="009623A2" w:rsidRPr="008D08BD">
                      <w:rPr>
                        <w:rFonts w:hint="cs"/>
                        <w:b/>
                        <w:bCs/>
                        <w:sz w:val="16"/>
                        <w:szCs w:val="16"/>
                        <w:rtl/>
                      </w:rPr>
                      <w:t>לקבלת המ"מ ב</w:t>
                    </w:r>
                    <w:r w:rsidR="009623A2">
                      <w:rPr>
                        <w:rFonts w:hint="cs"/>
                        <w:b/>
                        <w:bCs/>
                        <w:sz w:val="16"/>
                        <w:szCs w:val="16"/>
                        <w:rtl/>
                      </w:rPr>
                      <w:t>קביעות ל</w:t>
                    </w:r>
                    <w:r w:rsidR="009623A2" w:rsidRPr="008D08BD">
                      <w:rPr>
                        <w:rFonts w:hint="cs"/>
                        <w:b/>
                        <w:bCs/>
                        <w:sz w:val="16"/>
                        <w:szCs w:val="16"/>
                        <w:rtl/>
                      </w:rPr>
                      <w:t>מייל נא לשלוח הודעה לכתובת:</w:t>
                    </w:r>
                  </w:p>
                </w:txbxContent>
              </v:textbox>
              <w10:wrap anchorx="margin"/>
            </v:shape>
          </w:pict>
        </mc:Fallback>
      </mc:AlternateContent>
    </w:r>
    <w:r>
      <w:rPr>
        <w:noProof/>
      </w:rPr>
      <mc:AlternateContent>
        <mc:Choice Requires="wps">
          <w:drawing>
            <wp:anchor distT="0" distB="0" distL="114300" distR="114300" simplePos="0" relativeHeight="251678720" behindDoc="0" locked="0" layoutInCell="1" allowOverlap="1" wp14:anchorId="663541EE" wp14:editId="242F24AC">
              <wp:simplePos x="0" y="0"/>
              <wp:positionH relativeFrom="margin">
                <wp:posOffset>46355</wp:posOffset>
              </wp:positionH>
              <wp:positionV relativeFrom="paragraph">
                <wp:posOffset>34290</wp:posOffset>
              </wp:positionV>
              <wp:extent cx="1002665" cy="264160"/>
              <wp:effectExtent l="0" t="0" r="6985" b="2540"/>
              <wp:wrapNone/>
              <wp:docPr id="28"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2665" cy="264160"/>
                      </a:xfrm>
                      <a:prstGeom prst="rect">
                        <a:avLst/>
                      </a:prstGeom>
                      <a:solidFill>
                        <a:srgbClr val="FFFFFF"/>
                      </a:solidFill>
                      <a:ln w="15875">
                        <a:solidFill>
                          <a:srgbClr val="000000"/>
                        </a:solidFill>
                        <a:miter lim="800000"/>
                        <a:headEnd/>
                        <a:tailEnd/>
                      </a:ln>
                    </wps:spPr>
                    <wps:txbx>
                      <w:txbxContent>
                        <w:p w14:paraId="42FC7AB0" w14:textId="77777777" w:rsidR="009623A2" w:rsidRDefault="009623A2" w:rsidP="00C83122">
                          <w:pPr>
                            <w:rPr>
                              <w:b/>
                              <w:bCs/>
                              <w:sz w:val="18"/>
                              <w:szCs w:val="18"/>
                            </w:rPr>
                          </w:pPr>
                          <w:r>
                            <w:rPr>
                              <w:b/>
                              <w:bCs/>
                              <w:sz w:val="18"/>
                              <w:szCs w:val="18"/>
                              <w:rtl/>
                            </w:rPr>
                            <w:t>המשך בעמ' הבא</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63541EE" id="_x0000_s1033" type="#_x0000_t202" style="position:absolute;left:0;text-align:left;margin-left:3.65pt;margin-top:2.7pt;width:78.95pt;height:20.8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" strokeweight="1.25pt">
              <v:textbox>
                <w:txbxContent>
                  <w:p w14:paraId="42FC7AB0" w14:textId="77777777" w:rsidR="009623A2" w:rsidRDefault="009623A2" w:rsidP="00C83122">
                    <w:pPr>
                      <w:rPr>
                        <w:b/>
                        <w:bCs/>
                        <w:sz w:val="18"/>
                        <w:szCs w:val="18"/>
                      </w:rPr>
                    </w:pPr>
                    <w:r>
                      <w:rPr>
                        <w:b/>
                        <w:bCs/>
                        <w:sz w:val="18"/>
                        <w:szCs w:val="18"/>
                        <w:rtl/>
                      </w:rPr>
                      <w:t>המשך בעמ' הבא</w:t>
                    </w:r>
                  </w:p>
                </w:txbxContent>
              </v:textbox>
              <w10:wrap anchorx="margin"/>
            </v:shape>
          </w:pict>
        </mc:Fallback>
      </mc:AlternateContent>
    </w:r>
  </w:p>
  <w:p w14:paraId="1569DF0A" w14:textId="77777777" w:rsidR="009623A2" w:rsidRDefault="009623A2" w:rsidP="00C83122">
    <w:pPr>
      <w:pStyle w:val="affe"/>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15506" w14:textId="77777777" w:rsidR="009623A2" w:rsidRDefault="009623A2">
    <w:pPr>
      <w:pStyle w:val="affe"/>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097534128"/>
      <w:docPartObj>
        <w:docPartGallery w:val="Page Numbers (Bottom of Page)"/>
        <w:docPartUnique/>
      </w:docPartObj>
    </w:sdtPr>
    <w:sdtEndPr>
      <w:rPr>
        <w:cs/>
      </w:rPr>
    </w:sdtEndPr>
    <w:sdtContent>
      <w:p w14:paraId="572A7D9F" w14:textId="77777777" w:rsidR="009623A2" w:rsidRDefault="009623A2">
        <w:pPr>
          <w:pStyle w:val="affe"/>
          <w:jc w:val="right"/>
          <w:rPr>
            <w:rtl/>
            <w:cs/>
          </w:rPr>
        </w:pPr>
        <w:r>
          <w:fldChar w:fldCharType="begin"/>
        </w:r>
        <w:r>
          <w:rPr>
            <w:rtl/>
            <w:cs/>
          </w:rPr>
          <w:instrText>PAGE   \* MERGEFORMAT</w:instrText>
        </w:r>
        <w:r>
          <w:fldChar w:fldCharType="separate"/>
        </w:r>
        <w:r w:rsidRPr="006B3804">
          <w:rPr>
            <w:noProof/>
            <w:rtl/>
            <w:lang w:val="he-IL"/>
          </w:rPr>
          <w:t>2</w:t>
        </w:r>
        <w:r>
          <w:fldChar w:fldCharType="end"/>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D8F8A" w14:textId="77777777" w:rsidR="009623A2" w:rsidRDefault="009623A2" w:rsidP="00C83122">
    <w:pPr>
      <w:pStyle w:val="affe"/>
    </w:pPr>
    <w:r>
      <w:rPr>
        <w:noProof/>
      </w:rPr>
      <mc:AlternateContent>
        <mc:Choice Requires="wps">
          <w:drawing>
            <wp:anchor distT="0" distB="0" distL="114300" distR="114300" simplePos="0" relativeHeight="251677696" behindDoc="0" locked="0" layoutInCell="1" allowOverlap="1" wp14:anchorId="3F9EB2D3" wp14:editId="463F2869">
              <wp:simplePos x="0" y="0"/>
              <wp:positionH relativeFrom="margin">
                <wp:posOffset>3235960</wp:posOffset>
              </wp:positionH>
              <wp:positionV relativeFrom="paragraph">
                <wp:posOffset>64135</wp:posOffset>
              </wp:positionV>
              <wp:extent cx="3355975" cy="330200"/>
              <wp:effectExtent l="0" t="0" r="0" b="0"/>
              <wp:wrapNone/>
              <wp:docPr id="29" name="תיבת טקסט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5975" cy="330200"/>
                      </a:xfrm>
                      <a:prstGeom prst="rect">
                        <a:avLst/>
                      </a:prstGeom>
                      <a:solidFill>
                        <a:srgbClr val="FFFFFF"/>
                      </a:solidFill>
                      <a:ln w="19050">
                        <a:noFill/>
                        <a:miter lim="800000"/>
                        <a:headEnd/>
                        <a:tailEnd/>
                      </a:ln>
                    </wps:spPr>
                    <wps:txbx>
                      <w:txbxContent>
                        <w:p w14:paraId="4CA76010" w14:textId="77777777" w:rsidR="009623A2" w:rsidRPr="00D348B7" w:rsidRDefault="009623A2" w:rsidP="00C83122">
                          <w:pPr>
                            <w:spacing w:line="240" w:lineRule="auto"/>
                            <w:jc w:val="center"/>
                            <w:rPr>
                              <w:b/>
                              <w:bCs/>
                              <w:sz w:val="16"/>
                              <w:szCs w:val="16"/>
                              <w:rtl/>
                            </w:rPr>
                          </w:pPr>
                          <w:r>
                            <w:rPr>
                              <w:b/>
                              <w:bCs/>
                              <w:sz w:val="16"/>
                              <w:szCs w:val="16"/>
                              <w:rtl/>
                            </w:rPr>
                            <w:t xml:space="preserve">שלמה </w:t>
                          </w:r>
                          <w:r w:rsidRPr="00D348B7">
                            <w:rPr>
                              <w:b/>
                              <w:bCs/>
                              <w:sz w:val="16"/>
                              <w:szCs w:val="16"/>
                              <w:rtl/>
                            </w:rPr>
                            <w:t xml:space="preserve">הנדל </w:t>
                          </w:r>
                          <w:r w:rsidRPr="00D348B7">
                            <w:rPr>
                              <w:rFonts w:hint="cs"/>
                              <w:b/>
                              <w:bCs/>
                              <w:sz w:val="16"/>
                              <w:szCs w:val="16"/>
                              <w:rtl/>
                            </w:rPr>
                            <w:t xml:space="preserve">- </w:t>
                          </w:r>
                          <w:r w:rsidRPr="00D348B7">
                            <w:rPr>
                              <w:b/>
                              <w:bCs/>
                              <w:sz w:val="16"/>
                              <w:szCs w:val="16"/>
                              <w:rtl/>
                            </w:rPr>
                            <w:t>בית הלל</w:t>
                          </w:r>
                          <w:r>
                            <w:rPr>
                              <w:b/>
                              <w:bCs/>
                              <w:sz w:val="16"/>
                              <w:szCs w:val="16"/>
                              <w:rtl/>
                            </w:rPr>
                            <w:tab/>
                          </w:r>
                          <w:r>
                            <w:rPr>
                              <w:rFonts w:hint="cs"/>
                              <w:b/>
                              <w:bCs/>
                              <w:sz w:val="16"/>
                              <w:szCs w:val="16"/>
                              <w:rtl/>
                            </w:rPr>
                            <w:t xml:space="preserve">טל: </w:t>
                          </w:r>
                          <w:r w:rsidRPr="006C5697">
                            <w:rPr>
                              <w:b/>
                              <w:bCs/>
                              <w:sz w:val="16"/>
                              <w:szCs w:val="16"/>
                              <w:rtl/>
                            </w:rPr>
                            <w:t>052-7676412</w:t>
                          </w:r>
                        </w:p>
                        <w:p w14:paraId="4C1D25CC" w14:textId="77777777" w:rsidR="009623A2" w:rsidRPr="008D08BD" w:rsidRDefault="00AD16A0" w:rsidP="00C83122">
                          <w:pPr>
                            <w:bidi w:val="0"/>
                            <w:jc w:val="center"/>
                            <w:rPr>
                              <w:b/>
                              <w:bCs/>
                              <w:sz w:val="16"/>
                              <w:szCs w:val="16"/>
                            </w:rPr>
                          </w:pPr>
                          <w:hyperlink r:id="rId1" w:history="1">
                            <w:r w:rsidR="009623A2" w:rsidRPr="008D08BD">
                              <w:rPr>
                                <w:b/>
                                <w:bCs/>
                                <w:sz w:val="16"/>
                                <w:szCs w:val="16"/>
                              </w:rPr>
                              <w:t>A05</w:t>
                            </w:r>
                            <w:r w:rsidR="009623A2" w:rsidRPr="008D08BD">
                              <w:rPr>
                                <w:rFonts w:hint="cs"/>
                                <w:b/>
                                <w:bCs/>
                                <w:sz w:val="16"/>
                                <w:szCs w:val="16"/>
                              </w:rPr>
                              <w:t>27676412</w:t>
                            </w:r>
                            <w:r w:rsidR="009623A2" w:rsidRPr="008D08BD">
                              <w:rPr>
                                <w:b/>
                                <w:bCs/>
                                <w:sz w:val="16"/>
                                <w:szCs w:val="16"/>
                              </w:rPr>
                              <w:t>@</w:t>
                            </w:r>
                            <w:r w:rsidR="009623A2" w:rsidRPr="008D08BD">
                              <w:rPr>
                                <w:rFonts w:hint="cs"/>
                                <w:b/>
                                <w:bCs/>
                                <w:sz w:val="16"/>
                                <w:szCs w:val="16"/>
                              </w:rPr>
                              <w:t>GMAIL.COM</w:t>
                            </w:r>
                          </w:hyperlink>
                          <w:r w:rsidR="009623A2">
                            <w:rPr>
                              <w:b/>
                              <w:bCs/>
                              <w:sz w:val="16"/>
                              <w:szCs w:val="16"/>
                            </w:rPr>
                            <w:t xml:space="preserve"> </w:t>
                          </w:r>
                          <w:r w:rsidR="009623A2" w:rsidRPr="008D08BD">
                            <w:rPr>
                              <w:rFonts w:hint="cs"/>
                              <w:b/>
                              <w:bCs/>
                              <w:sz w:val="16"/>
                              <w:szCs w:val="16"/>
                              <w:rtl/>
                            </w:rPr>
                            <w:t>לקבלת המ"מ במייל נא לשלוח הודעה לכתובת:</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F9EB2D3" id="_x0000_t202" coordsize="21600,21600" o:spt="202" path="m,l,21600r21600,l21600,xe">
              <v:stroke joinstyle="miter"/>
              <v:path gradientshapeok="t" o:connecttype="rect"/>
            </v:shapetype>
            <v:shape id="תיבת טקסט 9" o:spid="_x0000_s1034" type="#_x0000_t202" style="position:absolute;left:0;text-align:left;margin-left:254.8pt;margin-top:5.05pt;width:264.25pt;height:26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" stroked="f" strokeweight="1.5pt">
              <v:textbox>
                <w:txbxContent>
                  <w:p w14:paraId="4CA76010" w14:textId="77777777" w:rsidR="009623A2" w:rsidRPr="00D348B7" w:rsidRDefault="009623A2" w:rsidP="00C83122">
                    <w:pPr>
                      <w:spacing w:line="240" w:lineRule="auto"/>
                      <w:jc w:val="center"/>
                      <w:rPr>
                        <w:b/>
                        <w:bCs/>
                        <w:sz w:val="16"/>
                        <w:szCs w:val="16"/>
                        <w:rtl/>
                      </w:rPr>
                    </w:pPr>
                    <w:r>
                      <w:rPr>
                        <w:b/>
                        <w:bCs/>
                        <w:sz w:val="16"/>
                        <w:szCs w:val="16"/>
                        <w:rtl/>
                      </w:rPr>
                      <w:t xml:space="preserve">שלמה </w:t>
                    </w:r>
                    <w:r w:rsidRPr="00D348B7">
                      <w:rPr>
                        <w:b/>
                        <w:bCs/>
                        <w:sz w:val="16"/>
                        <w:szCs w:val="16"/>
                        <w:rtl/>
                      </w:rPr>
                      <w:t xml:space="preserve">הנדל </w:t>
                    </w:r>
                    <w:r w:rsidRPr="00D348B7">
                      <w:rPr>
                        <w:rFonts w:hint="cs"/>
                        <w:b/>
                        <w:bCs/>
                        <w:sz w:val="16"/>
                        <w:szCs w:val="16"/>
                        <w:rtl/>
                      </w:rPr>
                      <w:t xml:space="preserve">- </w:t>
                    </w:r>
                    <w:r w:rsidRPr="00D348B7">
                      <w:rPr>
                        <w:b/>
                        <w:bCs/>
                        <w:sz w:val="16"/>
                        <w:szCs w:val="16"/>
                        <w:rtl/>
                      </w:rPr>
                      <w:t>בית הלל</w:t>
                    </w:r>
                    <w:r>
                      <w:rPr>
                        <w:b/>
                        <w:bCs/>
                        <w:sz w:val="16"/>
                        <w:szCs w:val="16"/>
                        <w:rtl/>
                      </w:rPr>
                      <w:tab/>
                    </w:r>
                    <w:r>
                      <w:rPr>
                        <w:rFonts w:hint="cs"/>
                        <w:b/>
                        <w:bCs/>
                        <w:sz w:val="16"/>
                        <w:szCs w:val="16"/>
                        <w:rtl/>
                      </w:rPr>
                      <w:t xml:space="preserve">טל: </w:t>
                    </w:r>
                    <w:r w:rsidRPr="006C5697">
                      <w:rPr>
                        <w:b/>
                        <w:bCs/>
                        <w:sz w:val="16"/>
                        <w:szCs w:val="16"/>
                        <w:rtl/>
                      </w:rPr>
                      <w:t>052-7676412</w:t>
                    </w:r>
                  </w:p>
                  <w:p w14:paraId="4C1D25CC" w14:textId="77777777" w:rsidR="009623A2" w:rsidRPr="008D08BD" w:rsidRDefault="00AD16A0" w:rsidP="00C83122">
                    <w:pPr>
                      <w:bidi w:val="0"/>
                      <w:jc w:val="center"/>
                      <w:rPr>
                        <w:b/>
                        <w:bCs/>
                        <w:sz w:val="16"/>
                        <w:szCs w:val="16"/>
                      </w:rPr>
                    </w:pPr>
                    <w:hyperlink r:id="rId2" w:history="1">
                      <w:r w:rsidR="009623A2" w:rsidRPr="008D08BD">
                        <w:rPr>
                          <w:b/>
                          <w:bCs/>
                          <w:sz w:val="16"/>
                          <w:szCs w:val="16"/>
                        </w:rPr>
                        <w:t>A05</w:t>
                      </w:r>
                      <w:r w:rsidR="009623A2" w:rsidRPr="008D08BD">
                        <w:rPr>
                          <w:rFonts w:hint="cs"/>
                          <w:b/>
                          <w:bCs/>
                          <w:sz w:val="16"/>
                          <w:szCs w:val="16"/>
                        </w:rPr>
                        <w:t>27676412</w:t>
                      </w:r>
                      <w:r w:rsidR="009623A2" w:rsidRPr="008D08BD">
                        <w:rPr>
                          <w:b/>
                          <w:bCs/>
                          <w:sz w:val="16"/>
                          <w:szCs w:val="16"/>
                        </w:rPr>
                        <w:t>@</w:t>
                      </w:r>
                      <w:r w:rsidR="009623A2" w:rsidRPr="008D08BD">
                        <w:rPr>
                          <w:rFonts w:hint="cs"/>
                          <w:b/>
                          <w:bCs/>
                          <w:sz w:val="16"/>
                          <w:szCs w:val="16"/>
                        </w:rPr>
                        <w:t>GMAIL.COM</w:t>
                      </w:r>
                    </w:hyperlink>
                    <w:r w:rsidR="009623A2">
                      <w:rPr>
                        <w:b/>
                        <w:bCs/>
                        <w:sz w:val="16"/>
                        <w:szCs w:val="16"/>
                      </w:rPr>
                      <w:t xml:space="preserve"> </w:t>
                    </w:r>
                    <w:r w:rsidR="009623A2" w:rsidRPr="008D08BD">
                      <w:rPr>
                        <w:rFonts w:hint="cs"/>
                        <w:b/>
                        <w:bCs/>
                        <w:sz w:val="16"/>
                        <w:szCs w:val="16"/>
                        <w:rtl/>
                      </w:rPr>
                      <w:t>לקבלת המ"מ במייל נא לשלוח הודעה לכתובת:</w:t>
                    </w:r>
                  </w:p>
                </w:txbxContent>
              </v:textbox>
              <w10:wrap anchorx="margin"/>
            </v:shape>
          </w:pict>
        </mc:Fallback>
      </mc:AlternateContent>
    </w:r>
    <w:r>
      <w:rPr>
        <w:noProof/>
      </w:rPr>
      <mc:AlternateContent>
        <mc:Choice Requires="wps">
          <w:drawing>
            <wp:anchor distT="0" distB="0" distL="114300" distR="114300" simplePos="0" relativeHeight="251676672" behindDoc="0" locked="0" layoutInCell="1" allowOverlap="1" wp14:anchorId="7FFE233A" wp14:editId="539A552A">
              <wp:simplePos x="0" y="0"/>
              <wp:positionH relativeFrom="margin">
                <wp:posOffset>46355</wp:posOffset>
              </wp:positionH>
              <wp:positionV relativeFrom="paragraph">
                <wp:posOffset>34290</wp:posOffset>
              </wp:positionV>
              <wp:extent cx="1002665" cy="264160"/>
              <wp:effectExtent l="0" t="0" r="6985" b="2540"/>
              <wp:wrapNone/>
              <wp:docPr id="31" name="תיבת טקסט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2665" cy="264160"/>
                      </a:xfrm>
                      <a:prstGeom prst="rect">
                        <a:avLst/>
                      </a:prstGeom>
                      <a:solidFill>
                        <a:srgbClr val="FFFFFF"/>
                      </a:solidFill>
                      <a:ln w="15875">
                        <a:solidFill>
                          <a:srgbClr val="000000"/>
                        </a:solidFill>
                        <a:miter lim="800000"/>
                        <a:headEnd/>
                        <a:tailEnd/>
                      </a:ln>
                    </wps:spPr>
                    <wps:txbx>
                      <w:txbxContent>
                        <w:p w14:paraId="4C379D07" w14:textId="77777777" w:rsidR="009623A2" w:rsidRDefault="009623A2" w:rsidP="00C83122">
                          <w:pPr>
                            <w:rPr>
                              <w:b/>
                              <w:bCs/>
                              <w:sz w:val="18"/>
                              <w:szCs w:val="18"/>
                            </w:rPr>
                          </w:pPr>
                          <w:r>
                            <w:rPr>
                              <w:b/>
                              <w:bCs/>
                              <w:sz w:val="18"/>
                              <w:szCs w:val="18"/>
                              <w:rtl/>
                            </w:rPr>
                            <w:t>המשך בעמ' הבא</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FFE233A" id="תיבת טקסט 8" o:spid="_x0000_s1035" type="#_x0000_t202" style="position:absolute;left:0;text-align:left;margin-left:3.65pt;margin-top:2.7pt;width:78.95pt;height:20.8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" strokeweight="1.25pt">
              <v:textbox>
                <w:txbxContent>
                  <w:p w14:paraId="4C379D07" w14:textId="77777777" w:rsidR="009623A2" w:rsidRDefault="009623A2" w:rsidP="00C83122">
                    <w:pPr>
                      <w:rPr>
                        <w:b/>
                        <w:bCs/>
                        <w:sz w:val="18"/>
                        <w:szCs w:val="18"/>
                      </w:rPr>
                    </w:pPr>
                    <w:r>
                      <w:rPr>
                        <w:b/>
                        <w:bCs/>
                        <w:sz w:val="18"/>
                        <w:szCs w:val="18"/>
                        <w:rtl/>
                      </w:rPr>
                      <w:t>המשך בעמ' הבא</w:t>
                    </w:r>
                  </w:p>
                </w:txbxContent>
              </v:textbox>
              <w10:wrap anchorx="margin"/>
            </v:shape>
          </w:pict>
        </mc:Fallback>
      </mc:AlternateContent>
    </w:r>
  </w:p>
  <w:p w14:paraId="3A4843D3" w14:textId="77777777" w:rsidR="009623A2" w:rsidRDefault="009623A2" w:rsidP="00C83122">
    <w:pPr>
      <w:pStyle w:val="affe"/>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070851503"/>
      <w:docPartObj>
        <w:docPartGallery w:val="Page Numbers (Bottom of Page)"/>
        <w:docPartUnique/>
      </w:docPartObj>
    </w:sdtPr>
    <w:sdtEndPr>
      <w:rPr>
        <w:cs/>
      </w:rPr>
    </w:sdtEndPr>
    <w:sdtContent>
      <w:p w14:paraId="2DDD96DB" w14:textId="77777777" w:rsidR="009623A2" w:rsidRDefault="009623A2">
        <w:pPr>
          <w:pStyle w:val="affe"/>
          <w:jc w:val="right"/>
          <w:rPr>
            <w:rtl/>
            <w:cs/>
          </w:rPr>
        </w:pPr>
        <w:r>
          <w:fldChar w:fldCharType="begin"/>
        </w:r>
        <w:r>
          <w:rPr>
            <w:rtl/>
            <w:cs/>
          </w:rPr>
          <w:instrText>PAGE   \* MERGEFORMAT</w:instrText>
        </w:r>
        <w:r>
          <w:fldChar w:fldCharType="separate"/>
        </w:r>
        <w:r w:rsidRPr="006B3804">
          <w:rPr>
            <w:noProof/>
            <w:rtl/>
            <w:lang w:val="he-IL"/>
          </w:rPr>
          <w:t>3</w:t>
        </w:r>
        <w:r>
          <w:fldChar w:fldCharType="end"/>
        </w:r>
      </w:p>
    </w:sdtContent>
  </w:sdt>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955332101"/>
      <w:docPartObj>
        <w:docPartGallery w:val="Page Numbers (Bottom of Page)"/>
        <w:docPartUnique/>
      </w:docPartObj>
    </w:sdtPr>
    <w:sdtEndPr>
      <w:rPr>
        <w:cs/>
      </w:rPr>
    </w:sdtEndPr>
    <w:sdtContent>
      <w:p w14:paraId="42A0BB56" w14:textId="77777777" w:rsidR="009623A2" w:rsidRDefault="009623A2">
        <w:pPr>
          <w:pStyle w:val="affe"/>
          <w:jc w:val="right"/>
          <w:rPr>
            <w:rtl/>
            <w:cs/>
          </w:rPr>
        </w:pPr>
        <w:r>
          <w:fldChar w:fldCharType="begin"/>
        </w:r>
        <w:r>
          <w:rPr>
            <w:rtl/>
            <w:cs/>
          </w:rPr>
          <w:instrText>PAGE   \* MERGEFORMAT</w:instrText>
        </w:r>
        <w:r>
          <w:fldChar w:fldCharType="separate"/>
        </w:r>
        <w:r w:rsidRPr="006B3804">
          <w:rPr>
            <w:noProof/>
            <w:rtl/>
            <w:lang w:val="he-IL"/>
          </w:rPr>
          <w:t>3</w:t>
        </w:r>
        <w:r>
          <w:fldChar w:fldCharType="end"/>
        </w:r>
      </w:p>
    </w:sdtContent>
  </w:sdt>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750261288"/>
      <w:docPartObj>
        <w:docPartGallery w:val="Page Numbers (Bottom of Page)"/>
        <w:docPartUnique/>
      </w:docPartObj>
    </w:sdtPr>
    <w:sdtEndPr>
      <w:rPr>
        <w:cs/>
      </w:rPr>
    </w:sdtEndPr>
    <w:sdtContent>
      <w:p w14:paraId="5C6B8289" w14:textId="77777777" w:rsidR="001C69A8" w:rsidRDefault="001C69A8">
        <w:pPr>
          <w:pStyle w:val="affe"/>
          <w:jc w:val="right"/>
          <w:rPr>
            <w:rtl/>
            <w:cs/>
          </w:rPr>
        </w:pPr>
        <w:r>
          <w:fldChar w:fldCharType="begin"/>
        </w:r>
        <w:r>
          <w:rPr>
            <w:rtl/>
            <w:cs/>
          </w:rPr>
          <w:instrText>PAGE   \* MERGEFORMAT</w:instrText>
        </w:r>
        <w:r>
          <w:fldChar w:fldCharType="separate"/>
        </w:r>
        <w:r w:rsidRPr="000D3787">
          <w:rPr>
            <w:noProof/>
            <w:rtl/>
            <w:lang w:val="he-IL"/>
          </w:rPr>
          <w:t>1</w:t>
        </w:r>
        <w:r>
          <w:fldChar w:fldCharType="end"/>
        </w:r>
      </w:p>
    </w:sdtContent>
  </w:sdt>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58B71" w14:textId="77777777" w:rsidR="001C69A8" w:rsidRDefault="001C69A8" w:rsidP="00C83122">
    <w:pPr>
      <w:pStyle w:val="affe"/>
    </w:pPr>
    <w:r>
      <w:rPr>
        <w:noProof/>
      </w:rPr>
      <mc:AlternateContent>
        <mc:Choice Requires="wps">
          <w:drawing>
            <wp:anchor distT="0" distB="0" distL="114300" distR="114300" simplePos="0" relativeHeight="251684864" behindDoc="0" locked="0" layoutInCell="1" allowOverlap="1" wp14:anchorId="4100A38D" wp14:editId="508F3BBA">
              <wp:simplePos x="0" y="0"/>
              <wp:positionH relativeFrom="margin">
                <wp:posOffset>3224530</wp:posOffset>
              </wp:positionH>
              <wp:positionV relativeFrom="paragraph">
                <wp:posOffset>52705</wp:posOffset>
              </wp:positionV>
              <wp:extent cx="3355975" cy="330200"/>
              <wp:effectExtent l="0" t="0" r="0" b="0"/>
              <wp:wrapNone/>
              <wp:docPr id="51" name="תיבת טקסט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5975" cy="330200"/>
                      </a:xfrm>
                      <a:prstGeom prst="rect">
                        <a:avLst/>
                      </a:prstGeom>
                      <a:solidFill>
                        <a:srgbClr val="FFFFFF"/>
                      </a:solidFill>
                      <a:ln w="19050">
                        <a:noFill/>
                        <a:miter lim="800000"/>
                        <a:headEnd/>
                        <a:tailEnd/>
                      </a:ln>
                    </wps:spPr>
                    <wps:txbx>
                      <w:txbxContent>
                        <w:p w14:paraId="1E98C88D" w14:textId="77777777" w:rsidR="001C69A8" w:rsidRPr="00D348B7" w:rsidRDefault="001C69A8" w:rsidP="00BA3ECC">
                          <w:pPr>
                            <w:spacing w:line="240" w:lineRule="auto"/>
                            <w:contextualSpacing/>
                            <w:jc w:val="center"/>
                            <w:rPr>
                              <w:b/>
                              <w:bCs/>
                              <w:sz w:val="16"/>
                              <w:szCs w:val="16"/>
                              <w:rtl/>
                            </w:rPr>
                          </w:pPr>
                          <w:r>
                            <w:rPr>
                              <w:b/>
                              <w:bCs/>
                              <w:sz w:val="16"/>
                              <w:szCs w:val="16"/>
                              <w:rtl/>
                            </w:rPr>
                            <w:t xml:space="preserve">שלמה </w:t>
                          </w:r>
                          <w:r w:rsidRPr="00D348B7">
                            <w:rPr>
                              <w:b/>
                              <w:bCs/>
                              <w:sz w:val="16"/>
                              <w:szCs w:val="16"/>
                              <w:rtl/>
                            </w:rPr>
                            <w:t xml:space="preserve">הנדל </w:t>
                          </w:r>
                          <w:r>
                            <w:rPr>
                              <w:rFonts w:hint="cs"/>
                              <w:b/>
                              <w:bCs/>
                              <w:sz w:val="16"/>
                              <w:szCs w:val="16"/>
                              <w:rtl/>
                            </w:rPr>
                            <w:t xml:space="preserve">טל: </w:t>
                          </w:r>
                          <w:r w:rsidRPr="006C5697">
                            <w:rPr>
                              <w:b/>
                              <w:bCs/>
                              <w:sz w:val="16"/>
                              <w:szCs w:val="16"/>
                              <w:rtl/>
                            </w:rPr>
                            <w:t>052-7676412</w:t>
                          </w:r>
                        </w:p>
                        <w:p w14:paraId="66529679" w14:textId="77777777" w:rsidR="001C69A8" w:rsidRPr="008D08BD" w:rsidRDefault="00AD16A0" w:rsidP="00BA3ECC">
                          <w:pPr>
                            <w:bidi w:val="0"/>
                            <w:spacing w:line="240" w:lineRule="auto"/>
                            <w:contextualSpacing/>
                            <w:jc w:val="center"/>
                            <w:rPr>
                              <w:b/>
                              <w:bCs/>
                              <w:sz w:val="16"/>
                              <w:szCs w:val="16"/>
                            </w:rPr>
                          </w:pPr>
                          <w:hyperlink r:id="rId1" w:history="1">
                            <w:r w:rsidR="001C69A8" w:rsidRPr="008D08BD">
                              <w:rPr>
                                <w:b/>
                                <w:bCs/>
                                <w:sz w:val="16"/>
                                <w:szCs w:val="16"/>
                              </w:rPr>
                              <w:t>A05</w:t>
                            </w:r>
                            <w:r w:rsidR="001C69A8" w:rsidRPr="008D08BD">
                              <w:rPr>
                                <w:rFonts w:hint="cs"/>
                                <w:b/>
                                <w:bCs/>
                                <w:sz w:val="16"/>
                                <w:szCs w:val="16"/>
                              </w:rPr>
                              <w:t>27676412</w:t>
                            </w:r>
                            <w:r w:rsidR="001C69A8" w:rsidRPr="008D08BD">
                              <w:rPr>
                                <w:b/>
                                <w:bCs/>
                                <w:sz w:val="16"/>
                                <w:szCs w:val="16"/>
                              </w:rPr>
                              <w:t>@</w:t>
                            </w:r>
                            <w:r w:rsidR="001C69A8" w:rsidRPr="008D08BD">
                              <w:rPr>
                                <w:rFonts w:hint="cs"/>
                                <w:b/>
                                <w:bCs/>
                                <w:sz w:val="16"/>
                                <w:szCs w:val="16"/>
                              </w:rPr>
                              <w:t>GMAIL.COM</w:t>
                            </w:r>
                          </w:hyperlink>
                          <w:r w:rsidR="001C69A8">
                            <w:rPr>
                              <w:b/>
                              <w:bCs/>
                              <w:sz w:val="16"/>
                              <w:szCs w:val="16"/>
                            </w:rPr>
                            <w:t xml:space="preserve"> </w:t>
                          </w:r>
                          <w:r w:rsidR="001C69A8" w:rsidRPr="008D08BD">
                            <w:rPr>
                              <w:rFonts w:hint="cs"/>
                              <w:b/>
                              <w:bCs/>
                              <w:sz w:val="16"/>
                              <w:szCs w:val="16"/>
                              <w:rtl/>
                            </w:rPr>
                            <w:t>לקבלת המ"מ ב</w:t>
                          </w:r>
                          <w:r w:rsidR="001C69A8">
                            <w:rPr>
                              <w:rFonts w:hint="cs"/>
                              <w:b/>
                              <w:bCs/>
                              <w:sz w:val="16"/>
                              <w:szCs w:val="16"/>
                              <w:rtl/>
                            </w:rPr>
                            <w:t>קביעות ל</w:t>
                          </w:r>
                          <w:r w:rsidR="001C69A8" w:rsidRPr="008D08BD">
                            <w:rPr>
                              <w:rFonts w:hint="cs"/>
                              <w:b/>
                              <w:bCs/>
                              <w:sz w:val="16"/>
                              <w:szCs w:val="16"/>
                              <w:rtl/>
                            </w:rPr>
                            <w:t>מייל נא לשלוח הודעה לכתובת:</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100A38D" id="_x0000_t202" coordsize="21600,21600" o:spt="202" path="m,l,21600r21600,l21600,xe">
              <v:stroke joinstyle="miter"/>
              <v:path gradientshapeok="t" o:connecttype="rect"/>
            </v:shapetype>
            <v:shape id="_x0000_s1036" type="#_x0000_t202" style="position:absolute;left:0;text-align:left;margin-left:253.9pt;margin-top:4.15pt;width:264.25pt;height:26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" stroked="f" strokeweight="1.5pt">
              <v:textbox>
                <w:txbxContent>
                  <w:p w14:paraId="1E98C88D" w14:textId="77777777" w:rsidR="001C69A8" w:rsidRPr="00D348B7" w:rsidRDefault="001C69A8" w:rsidP="00BA3ECC">
                    <w:pPr>
                      <w:spacing w:line="240" w:lineRule="auto"/>
                      <w:contextualSpacing/>
                      <w:jc w:val="center"/>
                      <w:rPr>
                        <w:b/>
                        <w:bCs/>
                        <w:sz w:val="16"/>
                        <w:szCs w:val="16"/>
                        <w:rtl/>
                      </w:rPr>
                    </w:pPr>
                    <w:r>
                      <w:rPr>
                        <w:b/>
                        <w:bCs/>
                        <w:sz w:val="16"/>
                        <w:szCs w:val="16"/>
                        <w:rtl/>
                      </w:rPr>
                      <w:t xml:space="preserve">שלמה </w:t>
                    </w:r>
                    <w:r w:rsidRPr="00D348B7">
                      <w:rPr>
                        <w:b/>
                        <w:bCs/>
                        <w:sz w:val="16"/>
                        <w:szCs w:val="16"/>
                        <w:rtl/>
                      </w:rPr>
                      <w:t xml:space="preserve">הנדל </w:t>
                    </w:r>
                    <w:r>
                      <w:rPr>
                        <w:rFonts w:hint="cs"/>
                        <w:b/>
                        <w:bCs/>
                        <w:sz w:val="16"/>
                        <w:szCs w:val="16"/>
                        <w:rtl/>
                      </w:rPr>
                      <w:t xml:space="preserve">טל: </w:t>
                    </w:r>
                    <w:r w:rsidRPr="006C5697">
                      <w:rPr>
                        <w:b/>
                        <w:bCs/>
                        <w:sz w:val="16"/>
                        <w:szCs w:val="16"/>
                        <w:rtl/>
                      </w:rPr>
                      <w:t>052-7676412</w:t>
                    </w:r>
                  </w:p>
                  <w:p w14:paraId="66529679" w14:textId="77777777" w:rsidR="001C69A8" w:rsidRPr="008D08BD" w:rsidRDefault="00AD16A0" w:rsidP="00BA3ECC">
                    <w:pPr>
                      <w:bidi w:val="0"/>
                      <w:spacing w:line="240" w:lineRule="auto"/>
                      <w:contextualSpacing/>
                      <w:jc w:val="center"/>
                      <w:rPr>
                        <w:b/>
                        <w:bCs/>
                        <w:sz w:val="16"/>
                        <w:szCs w:val="16"/>
                      </w:rPr>
                    </w:pPr>
                    <w:hyperlink r:id="rId2" w:history="1">
                      <w:r w:rsidR="001C69A8" w:rsidRPr="008D08BD">
                        <w:rPr>
                          <w:b/>
                          <w:bCs/>
                          <w:sz w:val="16"/>
                          <w:szCs w:val="16"/>
                        </w:rPr>
                        <w:t>A05</w:t>
                      </w:r>
                      <w:r w:rsidR="001C69A8" w:rsidRPr="008D08BD">
                        <w:rPr>
                          <w:rFonts w:hint="cs"/>
                          <w:b/>
                          <w:bCs/>
                          <w:sz w:val="16"/>
                          <w:szCs w:val="16"/>
                        </w:rPr>
                        <w:t>27676412</w:t>
                      </w:r>
                      <w:r w:rsidR="001C69A8" w:rsidRPr="008D08BD">
                        <w:rPr>
                          <w:b/>
                          <w:bCs/>
                          <w:sz w:val="16"/>
                          <w:szCs w:val="16"/>
                        </w:rPr>
                        <w:t>@</w:t>
                      </w:r>
                      <w:r w:rsidR="001C69A8" w:rsidRPr="008D08BD">
                        <w:rPr>
                          <w:rFonts w:hint="cs"/>
                          <w:b/>
                          <w:bCs/>
                          <w:sz w:val="16"/>
                          <w:szCs w:val="16"/>
                        </w:rPr>
                        <w:t>GMAIL.COM</w:t>
                      </w:r>
                    </w:hyperlink>
                    <w:r w:rsidR="001C69A8">
                      <w:rPr>
                        <w:b/>
                        <w:bCs/>
                        <w:sz w:val="16"/>
                        <w:szCs w:val="16"/>
                      </w:rPr>
                      <w:t xml:space="preserve"> </w:t>
                    </w:r>
                    <w:r w:rsidR="001C69A8" w:rsidRPr="008D08BD">
                      <w:rPr>
                        <w:rFonts w:hint="cs"/>
                        <w:b/>
                        <w:bCs/>
                        <w:sz w:val="16"/>
                        <w:szCs w:val="16"/>
                        <w:rtl/>
                      </w:rPr>
                      <w:t>לקבלת המ"מ ב</w:t>
                    </w:r>
                    <w:r w:rsidR="001C69A8">
                      <w:rPr>
                        <w:rFonts w:hint="cs"/>
                        <w:b/>
                        <w:bCs/>
                        <w:sz w:val="16"/>
                        <w:szCs w:val="16"/>
                        <w:rtl/>
                      </w:rPr>
                      <w:t>קביעות ל</w:t>
                    </w:r>
                    <w:r w:rsidR="001C69A8" w:rsidRPr="008D08BD">
                      <w:rPr>
                        <w:rFonts w:hint="cs"/>
                        <w:b/>
                        <w:bCs/>
                        <w:sz w:val="16"/>
                        <w:szCs w:val="16"/>
                        <w:rtl/>
                      </w:rPr>
                      <w:t>מייל נא לשלוח הודעה לכתובת:</w:t>
                    </w:r>
                  </w:p>
                </w:txbxContent>
              </v:textbox>
              <w10:wrap anchorx="margin"/>
            </v:shape>
          </w:pict>
        </mc:Fallback>
      </mc:AlternateContent>
    </w:r>
    <w:r>
      <w:rPr>
        <w:noProof/>
      </w:rPr>
      <mc:AlternateContent>
        <mc:Choice Requires="wps">
          <w:drawing>
            <wp:anchor distT="0" distB="0" distL="114300" distR="114300" simplePos="0" relativeHeight="251683840" behindDoc="0" locked="0" layoutInCell="1" allowOverlap="1" wp14:anchorId="21F330CE" wp14:editId="09A40756">
              <wp:simplePos x="0" y="0"/>
              <wp:positionH relativeFrom="margin">
                <wp:posOffset>46355</wp:posOffset>
              </wp:positionH>
              <wp:positionV relativeFrom="paragraph">
                <wp:posOffset>34290</wp:posOffset>
              </wp:positionV>
              <wp:extent cx="1002665" cy="264160"/>
              <wp:effectExtent l="0" t="0" r="6985" b="2540"/>
              <wp:wrapNone/>
              <wp:docPr id="5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2665" cy="264160"/>
                      </a:xfrm>
                      <a:prstGeom prst="rect">
                        <a:avLst/>
                      </a:prstGeom>
                      <a:solidFill>
                        <a:srgbClr val="FFFFFF"/>
                      </a:solidFill>
                      <a:ln w="15875">
                        <a:solidFill>
                          <a:srgbClr val="000000"/>
                        </a:solidFill>
                        <a:miter lim="800000"/>
                        <a:headEnd/>
                        <a:tailEnd/>
                      </a:ln>
                    </wps:spPr>
                    <wps:txbx>
                      <w:txbxContent>
                        <w:p w14:paraId="09638437" w14:textId="77777777" w:rsidR="001C69A8" w:rsidRDefault="001C69A8" w:rsidP="00C83122">
                          <w:pPr>
                            <w:rPr>
                              <w:b/>
                              <w:bCs/>
                              <w:sz w:val="18"/>
                              <w:szCs w:val="18"/>
                            </w:rPr>
                          </w:pPr>
                          <w:r>
                            <w:rPr>
                              <w:b/>
                              <w:bCs/>
                              <w:sz w:val="18"/>
                              <w:szCs w:val="18"/>
                              <w:rtl/>
                            </w:rPr>
                            <w:t>המשך בעמ' הבא</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1F330CE" id="_x0000_s1037" type="#_x0000_t202" style="position:absolute;left:0;text-align:left;margin-left:3.65pt;margin-top:2.7pt;width:78.95pt;height:20.8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" strokeweight="1.25pt">
              <v:textbox>
                <w:txbxContent>
                  <w:p w14:paraId="09638437" w14:textId="77777777" w:rsidR="001C69A8" w:rsidRDefault="001C69A8" w:rsidP="00C83122">
                    <w:pPr>
                      <w:rPr>
                        <w:b/>
                        <w:bCs/>
                        <w:sz w:val="18"/>
                        <w:szCs w:val="18"/>
                      </w:rPr>
                    </w:pPr>
                    <w:r>
                      <w:rPr>
                        <w:b/>
                        <w:bCs/>
                        <w:sz w:val="18"/>
                        <w:szCs w:val="18"/>
                        <w:rtl/>
                      </w:rPr>
                      <w:t>המשך בעמ' הבא</w:t>
                    </w:r>
                  </w:p>
                </w:txbxContent>
              </v:textbox>
              <w10:wrap anchorx="margin"/>
            </v:shape>
          </w:pict>
        </mc:Fallback>
      </mc:AlternateContent>
    </w:r>
  </w:p>
  <w:p w14:paraId="116351B5" w14:textId="77777777" w:rsidR="001C69A8" w:rsidRDefault="001C69A8" w:rsidP="00C83122">
    <w:pPr>
      <w:pStyle w:val="affe"/>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09686" w14:textId="77777777" w:rsidR="001C69A8" w:rsidRDefault="001C69A8">
    <w:pPr>
      <w:pStyle w:val="affe"/>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762142470"/>
      <w:docPartObj>
        <w:docPartGallery w:val="Page Numbers (Bottom of Page)"/>
        <w:docPartUnique/>
      </w:docPartObj>
    </w:sdtPr>
    <w:sdtEndPr>
      <w:rPr>
        <w:cs/>
      </w:rPr>
    </w:sdtEndPr>
    <w:sdtContent>
      <w:p w14:paraId="21D4B595" w14:textId="77777777" w:rsidR="001C69A8" w:rsidRDefault="001C69A8">
        <w:pPr>
          <w:pStyle w:val="affe"/>
          <w:jc w:val="right"/>
          <w:rPr>
            <w:rtl/>
            <w:cs/>
          </w:rPr>
        </w:pPr>
        <w:r>
          <w:fldChar w:fldCharType="begin"/>
        </w:r>
        <w:r>
          <w:rPr>
            <w:rtl/>
            <w:cs/>
          </w:rPr>
          <w:instrText>PAGE   \* MERGEFORMAT</w:instrText>
        </w:r>
        <w:r>
          <w:fldChar w:fldCharType="separate"/>
        </w:r>
        <w:r w:rsidRPr="006B3804">
          <w:rPr>
            <w:noProof/>
            <w:rtl/>
            <w:lang w:val="he-IL"/>
          </w:rPr>
          <w:t>2</w:t>
        </w:r>
        <w:r>
          <w:fldChar w:fldCharType="end"/>
        </w:r>
      </w:p>
    </w:sdtContent>
  </w:sdt>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EAD64" w14:textId="77777777" w:rsidR="001C69A8" w:rsidRDefault="001C69A8" w:rsidP="00C83122">
    <w:pPr>
      <w:pStyle w:val="affe"/>
    </w:pPr>
    <w:r>
      <w:rPr>
        <w:noProof/>
      </w:rPr>
      <mc:AlternateContent>
        <mc:Choice Requires="wps">
          <w:drawing>
            <wp:anchor distT="0" distB="0" distL="114300" distR="114300" simplePos="0" relativeHeight="251682816" behindDoc="0" locked="0" layoutInCell="1" allowOverlap="1" wp14:anchorId="74BA2011" wp14:editId="236D245D">
              <wp:simplePos x="0" y="0"/>
              <wp:positionH relativeFrom="margin">
                <wp:posOffset>3235960</wp:posOffset>
              </wp:positionH>
              <wp:positionV relativeFrom="paragraph">
                <wp:posOffset>64135</wp:posOffset>
              </wp:positionV>
              <wp:extent cx="3355975" cy="330200"/>
              <wp:effectExtent l="0" t="0" r="0" b="0"/>
              <wp:wrapNone/>
              <wp:docPr id="53" name="תיבת טקסט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5975" cy="330200"/>
                      </a:xfrm>
                      <a:prstGeom prst="rect">
                        <a:avLst/>
                      </a:prstGeom>
                      <a:solidFill>
                        <a:srgbClr val="FFFFFF"/>
                      </a:solidFill>
                      <a:ln w="19050">
                        <a:noFill/>
                        <a:miter lim="800000"/>
                        <a:headEnd/>
                        <a:tailEnd/>
                      </a:ln>
                    </wps:spPr>
                    <wps:txbx>
                      <w:txbxContent>
                        <w:p w14:paraId="49D3E6CE" w14:textId="77777777" w:rsidR="001C69A8" w:rsidRPr="00D348B7" w:rsidRDefault="001C69A8" w:rsidP="00C83122">
                          <w:pPr>
                            <w:spacing w:line="240" w:lineRule="auto"/>
                            <w:jc w:val="center"/>
                            <w:rPr>
                              <w:b/>
                              <w:bCs/>
                              <w:sz w:val="16"/>
                              <w:szCs w:val="16"/>
                              <w:rtl/>
                            </w:rPr>
                          </w:pPr>
                          <w:r>
                            <w:rPr>
                              <w:b/>
                              <w:bCs/>
                              <w:sz w:val="16"/>
                              <w:szCs w:val="16"/>
                              <w:rtl/>
                            </w:rPr>
                            <w:t xml:space="preserve">שלמה </w:t>
                          </w:r>
                          <w:r w:rsidRPr="00D348B7">
                            <w:rPr>
                              <w:b/>
                              <w:bCs/>
                              <w:sz w:val="16"/>
                              <w:szCs w:val="16"/>
                              <w:rtl/>
                            </w:rPr>
                            <w:t xml:space="preserve">הנדל </w:t>
                          </w:r>
                          <w:r w:rsidRPr="00D348B7">
                            <w:rPr>
                              <w:rFonts w:hint="cs"/>
                              <w:b/>
                              <w:bCs/>
                              <w:sz w:val="16"/>
                              <w:szCs w:val="16"/>
                              <w:rtl/>
                            </w:rPr>
                            <w:t xml:space="preserve">- </w:t>
                          </w:r>
                          <w:r w:rsidRPr="00D348B7">
                            <w:rPr>
                              <w:b/>
                              <w:bCs/>
                              <w:sz w:val="16"/>
                              <w:szCs w:val="16"/>
                              <w:rtl/>
                            </w:rPr>
                            <w:t>בית הלל</w:t>
                          </w:r>
                          <w:r>
                            <w:rPr>
                              <w:b/>
                              <w:bCs/>
                              <w:sz w:val="16"/>
                              <w:szCs w:val="16"/>
                              <w:rtl/>
                            </w:rPr>
                            <w:tab/>
                          </w:r>
                          <w:r>
                            <w:rPr>
                              <w:rFonts w:hint="cs"/>
                              <w:b/>
                              <w:bCs/>
                              <w:sz w:val="16"/>
                              <w:szCs w:val="16"/>
                              <w:rtl/>
                            </w:rPr>
                            <w:t xml:space="preserve">טל: </w:t>
                          </w:r>
                          <w:r w:rsidRPr="006C5697">
                            <w:rPr>
                              <w:b/>
                              <w:bCs/>
                              <w:sz w:val="16"/>
                              <w:szCs w:val="16"/>
                              <w:rtl/>
                            </w:rPr>
                            <w:t>052-7676412</w:t>
                          </w:r>
                        </w:p>
                        <w:p w14:paraId="614A48D9" w14:textId="77777777" w:rsidR="001C69A8" w:rsidRPr="008D08BD" w:rsidRDefault="00AD16A0" w:rsidP="00C83122">
                          <w:pPr>
                            <w:bidi w:val="0"/>
                            <w:jc w:val="center"/>
                            <w:rPr>
                              <w:b/>
                              <w:bCs/>
                              <w:sz w:val="16"/>
                              <w:szCs w:val="16"/>
                            </w:rPr>
                          </w:pPr>
                          <w:hyperlink r:id="rId1" w:history="1">
                            <w:r w:rsidR="001C69A8" w:rsidRPr="008D08BD">
                              <w:rPr>
                                <w:b/>
                                <w:bCs/>
                                <w:sz w:val="16"/>
                                <w:szCs w:val="16"/>
                              </w:rPr>
                              <w:t>A05</w:t>
                            </w:r>
                            <w:r w:rsidR="001C69A8" w:rsidRPr="008D08BD">
                              <w:rPr>
                                <w:rFonts w:hint="cs"/>
                                <w:b/>
                                <w:bCs/>
                                <w:sz w:val="16"/>
                                <w:szCs w:val="16"/>
                              </w:rPr>
                              <w:t>27676412</w:t>
                            </w:r>
                            <w:r w:rsidR="001C69A8" w:rsidRPr="008D08BD">
                              <w:rPr>
                                <w:b/>
                                <w:bCs/>
                                <w:sz w:val="16"/>
                                <w:szCs w:val="16"/>
                              </w:rPr>
                              <w:t>@</w:t>
                            </w:r>
                            <w:r w:rsidR="001C69A8" w:rsidRPr="008D08BD">
                              <w:rPr>
                                <w:rFonts w:hint="cs"/>
                                <w:b/>
                                <w:bCs/>
                                <w:sz w:val="16"/>
                                <w:szCs w:val="16"/>
                              </w:rPr>
                              <w:t>GMAIL.COM</w:t>
                            </w:r>
                          </w:hyperlink>
                          <w:r w:rsidR="001C69A8">
                            <w:rPr>
                              <w:b/>
                              <w:bCs/>
                              <w:sz w:val="16"/>
                              <w:szCs w:val="16"/>
                            </w:rPr>
                            <w:t xml:space="preserve"> </w:t>
                          </w:r>
                          <w:r w:rsidR="001C69A8" w:rsidRPr="008D08BD">
                            <w:rPr>
                              <w:rFonts w:hint="cs"/>
                              <w:b/>
                              <w:bCs/>
                              <w:sz w:val="16"/>
                              <w:szCs w:val="16"/>
                              <w:rtl/>
                            </w:rPr>
                            <w:t>לקבלת המ"מ במייל נא לשלוח הודעה לכתובת:</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4BA2011" id="_x0000_t202" coordsize="21600,21600" o:spt="202" path="m,l,21600r21600,l21600,xe">
              <v:stroke joinstyle="miter"/>
              <v:path gradientshapeok="t" o:connecttype="rect"/>
            </v:shapetype>
            <v:shape id="_x0000_s1038" type="#_x0000_t202" style="position:absolute;left:0;text-align:left;margin-left:254.8pt;margin-top:5.05pt;width:264.25pt;height:26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" stroked="f" strokeweight="1.5pt">
              <v:textbox>
                <w:txbxContent>
                  <w:p w14:paraId="49D3E6CE" w14:textId="77777777" w:rsidR="001C69A8" w:rsidRPr="00D348B7" w:rsidRDefault="001C69A8" w:rsidP="00C83122">
                    <w:pPr>
                      <w:spacing w:line="240" w:lineRule="auto"/>
                      <w:jc w:val="center"/>
                      <w:rPr>
                        <w:b/>
                        <w:bCs/>
                        <w:sz w:val="16"/>
                        <w:szCs w:val="16"/>
                        <w:rtl/>
                      </w:rPr>
                    </w:pPr>
                    <w:r>
                      <w:rPr>
                        <w:b/>
                        <w:bCs/>
                        <w:sz w:val="16"/>
                        <w:szCs w:val="16"/>
                        <w:rtl/>
                      </w:rPr>
                      <w:t xml:space="preserve">שלמה </w:t>
                    </w:r>
                    <w:r w:rsidRPr="00D348B7">
                      <w:rPr>
                        <w:b/>
                        <w:bCs/>
                        <w:sz w:val="16"/>
                        <w:szCs w:val="16"/>
                        <w:rtl/>
                      </w:rPr>
                      <w:t xml:space="preserve">הנדל </w:t>
                    </w:r>
                    <w:r w:rsidRPr="00D348B7">
                      <w:rPr>
                        <w:rFonts w:hint="cs"/>
                        <w:b/>
                        <w:bCs/>
                        <w:sz w:val="16"/>
                        <w:szCs w:val="16"/>
                        <w:rtl/>
                      </w:rPr>
                      <w:t xml:space="preserve">- </w:t>
                    </w:r>
                    <w:r w:rsidRPr="00D348B7">
                      <w:rPr>
                        <w:b/>
                        <w:bCs/>
                        <w:sz w:val="16"/>
                        <w:szCs w:val="16"/>
                        <w:rtl/>
                      </w:rPr>
                      <w:t>בית הלל</w:t>
                    </w:r>
                    <w:r>
                      <w:rPr>
                        <w:b/>
                        <w:bCs/>
                        <w:sz w:val="16"/>
                        <w:szCs w:val="16"/>
                        <w:rtl/>
                      </w:rPr>
                      <w:tab/>
                    </w:r>
                    <w:r>
                      <w:rPr>
                        <w:rFonts w:hint="cs"/>
                        <w:b/>
                        <w:bCs/>
                        <w:sz w:val="16"/>
                        <w:szCs w:val="16"/>
                        <w:rtl/>
                      </w:rPr>
                      <w:t xml:space="preserve">טל: </w:t>
                    </w:r>
                    <w:r w:rsidRPr="006C5697">
                      <w:rPr>
                        <w:b/>
                        <w:bCs/>
                        <w:sz w:val="16"/>
                        <w:szCs w:val="16"/>
                        <w:rtl/>
                      </w:rPr>
                      <w:t>052-7676412</w:t>
                    </w:r>
                  </w:p>
                  <w:p w14:paraId="614A48D9" w14:textId="77777777" w:rsidR="001C69A8" w:rsidRPr="008D08BD" w:rsidRDefault="00AD16A0" w:rsidP="00C83122">
                    <w:pPr>
                      <w:bidi w:val="0"/>
                      <w:jc w:val="center"/>
                      <w:rPr>
                        <w:b/>
                        <w:bCs/>
                        <w:sz w:val="16"/>
                        <w:szCs w:val="16"/>
                      </w:rPr>
                    </w:pPr>
                    <w:hyperlink r:id="rId2" w:history="1">
                      <w:r w:rsidR="001C69A8" w:rsidRPr="008D08BD">
                        <w:rPr>
                          <w:b/>
                          <w:bCs/>
                          <w:sz w:val="16"/>
                          <w:szCs w:val="16"/>
                        </w:rPr>
                        <w:t>A05</w:t>
                      </w:r>
                      <w:r w:rsidR="001C69A8" w:rsidRPr="008D08BD">
                        <w:rPr>
                          <w:rFonts w:hint="cs"/>
                          <w:b/>
                          <w:bCs/>
                          <w:sz w:val="16"/>
                          <w:szCs w:val="16"/>
                        </w:rPr>
                        <w:t>27676412</w:t>
                      </w:r>
                      <w:r w:rsidR="001C69A8" w:rsidRPr="008D08BD">
                        <w:rPr>
                          <w:b/>
                          <w:bCs/>
                          <w:sz w:val="16"/>
                          <w:szCs w:val="16"/>
                        </w:rPr>
                        <w:t>@</w:t>
                      </w:r>
                      <w:r w:rsidR="001C69A8" w:rsidRPr="008D08BD">
                        <w:rPr>
                          <w:rFonts w:hint="cs"/>
                          <w:b/>
                          <w:bCs/>
                          <w:sz w:val="16"/>
                          <w:szCs w:val="16"/>
                        </w:rPr>
                        <w:t>GMAIL.COM</w:t>
                      </w:r>
                    </w:hyperlink>
                    <w:r w:rsidR="001C69A8">
                      <w:rPr>
                        <w:b/>
                        <w:bCs/>
                        <w:sz w:val="16"/>
                        <w:szCs w:val="16"/>
                      </w:rPr>
                      <w:t xml:space="preserve"> </w:t>
                    </w:r>
                    <w:r w:rsidR="001C69A8" w:rsidRPr="008D08BD">
                      <w:rPr>
                        <w:rFonts w:hint="cs"/>
                        <w:b/>
                        <w:bCs/>
                        <w:sz w:val="16"/>
                        <w:szCs w:val="16"/>
                        <w:rtl/>
                      </w:rPr>
                      <w:t>לקבלת המ"מ במייל נא לשלוח הודעה לכתובת:</w:t>
                    </w:r>
                  </w:p>
                </w:txbxContent>
              </v:textbox>
              <w10:wrap anchorx="margin"/>
            </v:shape>
          </w:pict>
        </mc:Fallback>
      </mc:AlternateContent>
    </w:r>
    <w:r>
      <w:rPr>
        <w:noProof/>
      </w:rPr>
      <mc:AlternateContent>
        <mc:Choice Requires="wps">
          <w:drawing>
            <wp:anchor distT="0" distB="0" distL="114300" distR="114300" simplePos="0" relativeHeight="251681792" behindDoc="0" locked="0" layoutInCell="1" allowOverlap="1" wp14:anchorId="2D18C4C0" wp14:editId="2A40BFBC">
              <wp:simplePos x="0" y="0"/>
              <wp:positionH relativeFrom="margin">
                <wp:posOffset>46355</wp:posOffset>
              </wp:positionH>
              <wp:positionV relativeFrom="paragraph">
                <wp:posOffset>34290</wp:posOffset>
              </wp:positionV>
              <wp:extent cx="1002665" cy="264160"/>
              <wp:effectExtent l="0" t="0" r="6985" b="2540"/>
              <wp:wrapNone/>
              <wp:docPr id="54" name="תיבת טקסט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2665" cy="264160"/>
                      </a:xfrm>
                      <a:prstGeom prst="rect">
                        <a:avLst/>
                      </a:prstGeom>
                      <a:solidFill>
                        <a:srgbClr val="FFFFFF"/>
                      </a:solidFill>
                      <a:ln w="15875">
                        <a:solidFill>
                          <a:srgbClr val="000000"/>
                        </a:solidFill>
                        <a:miter lim="800000"/>
                        <a:headEnd/>
                        <a:tailEnd/>
                      </a:ln>
                    </wps:spPr>
                    <wps:txbx>
                      <w:txbxContent>
                        <w:p w14:paraId="79D988C4" w14:textId="77777777" w:rsidR="001C69A8" w:rsidRDefault="001C69A8" w:rsidP="00C83122">
                          <w:pPr>
                            <w:rPr>
                              <w:b/>
                              <w:bCs/>
                              <w:sz w:val="18"/>
                              <w:szCs w:val="18"/>
                            </w:rPr>
                          </w:pPr>
                          <w:r>
                            <w:rPr>
                              <w:b/>
                              <w:bCs/>
                              <w:sz w:val="18"/>
                              <w:szCs w:val="18"/>
                              <w:rtl/>
                            </w:rPr>
                            <w:t>המשך בעמ' הבא</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D18C4C0" id="_x0000_s1039" type="#_x0000_t202" style="position:absolute;left:0;text-align:left;margin-left:3.65pt;margin-top:2.7pt;width:78.95pt;height:20.8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" strokeweight="1.25pt">
              <v:textbox>
                <w:txbxContent>
                  <w:p w14:paraId="79D988C4" w14:textId="77777777" w:rsidR="001C69A8" w:rsidRDefault="001C69A8" w:rsidP="00C83122">
                    <w:pPr>
                      <w:rPr>
                        <w:b/>
                        <w:bCs/>
                        <w:sz w:val="18"/>
                        <w:szCs w:val="18"/>
                      </w:rPr>
                    </w:pPr>
                    <w:r>
                      <w:rPr>
                        <w:b/>
                        <w:bCs/>
                        <w:sz w:val="18"/>
                        <w:szCs w:val="18"/>
                        <w:rtl/>
                      </w:rPr>
                      <w:t>המשך בעמ' הבא</w:t>
                    </w:r>
                  </w:p>
                </w:txbxContent>
              </v:textbox>
              <w10:wrap anchorx="margin"/>
            </v:shape>
          </w:pict>
        </mc:Fallback>
      </mc:AlternateContent>
    </w:r>
  </w:p>
  <w:p w14:paraId="142EC5B9" w14:textId="77777777" w:rsidR="001C69A8" w:rsidRDefault="001C69A8" w:rsidP="00C83122">
    <w:pPr>
      <w:pStyle w:val="affe"/>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551919954"/>
      <w:docPartObj>
        <w:docPartGallery w:val="Page Numbers (Bottom of Page)"/>
        <w:docPartUnique/>
      </w:docPartObj>
    </w:sdtPr>
    <w:sdtEndPr>
      <w:rPr>
        <w:cs/>
      </w:rPr>
    </w:sdtEndPr>
    <w:sdtContent>
      <w:p w14:paraId="56AE55B9" w14:textId="77777777" w:rsidR="001C69A8" w:rsidRDefault="001C69A8">
        <w:pPr>
          <w:pStyle w:val="affe"/>
          <w:jc w:val="right"/>
          <w:rPr>
            <w:rtl/>
            <w:cs/>
          </w:rPr>
        </w:pPr>
        <w:r>
          <w:fldChar w:fldCharType="begin"/>
        </w:r>
        <w:r>
          <w:rPr>
            <w:rtl/>
            <w:cs/>
          </w:rPr>
          <w:instrText>PAGE   \* MERGEFORMAT</w:instrText>
        </w:r>
        <w:r>
          <w:fldChar w:fldCharType="separate"/>
        </w:r>
        <w:r w:rsidRPr="006B3804">
          <w:rPr>
            <w:noProof/>
            <w:rtl/>
            <w:lang w:val="he-IL"/>
          </w:rPr>
          <w:t>3</w:t>
        </w:r>
        <w:r>
          <w:fldChar w:fldCharType="end"/>
        </w:r>
      </w:p>
    </w:sdtContent>
  </w:sdt>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848219795"/>
      <w:docPartObj>
        <w:docPartGallery w:val="Page Numbers (Bottom of Page)"/>
        <w:docPartUnique/>
      </w:docPartObj>
    </w:sdtPr>
    <w:sdtEndPr>
      <w:rPr>
        <w:cs/>
      </w:rPr>
    </w:sdtEndPr>
    <w:sdtContent>
      <w:p w14:paraId="30E8D7DF" w14:textId="77777777" w:rsidR="001C69A8" w:rsidRDefault="001C69A8">
        <w:pPr>
          <w:pStyle w:val="affe"/>
          <w:jc w:val="right"/>
          <w:rPr>
            <w:rtl/>
            <w:cs/>
          </w:rPr>
        </w:pPr>
        <w:r>
          <w:fldChar w:fldCharType="begin"/>
        </w:r>
        <w:r>
          <w:rPr>
            <w:rtl/>
            <w:cs/>
          </w:rPr>
          <w:instrText>PAGE   \* MERGEFORMAT</w:instrText>
        </w:r>
        <w:r>
          <w:fldChar w:fldCharType="separate"/>
        </w:r>
        <w:r w:rsidRPr="006B3804">
          <w:rPr>
            <w:noProof/>
            <w:rtl/>
            <w:lang w:val="he-IL"/>
          </w:rPr>
          <w:t>3</w:t>
        </w:r>
        <w:r>
          <w:fldChar w:fldCharType="end"/>
        </w:r>
      </w:p>
    </w:sdtContent>
  </w:sdt>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420321585"/>
      <w:docPartObj>
        <w:docPartGallery w:val="Page Numbers (Bottom of Page)"/>
        <w:docPartUnique/>
      </w:docPartObj>
    </w:sdtPr>
    <w:sdtEndPr>
      <w:rPr>
        <w:cs/>
      </w:rPr>
    </w:sdtEndPr>
    <w:sdtContent>
      <w:p w14:paraId="0F7201F1" w14:textId="77777777" w:rsidR="001C69A8" w:rsidRDefault="001C69A8">
        <w:pPr>
          <w:pStyle w:val="affe"/>
          <w:jc w:val="right"/>
          <w:rPr>
            <w:rtl/>
            <w:cs/>
          </w:rPr>
        </w:pPr>
        <w:r>
          <w:fldChar w:fldCharType="begin"/>
        </w:r>
        <w:r>
          <w:rPr>
            <w:rtl/>
            <w:cs/>
          </w:rPr>
          <w:instrText>PAGE   \* MERGEFORMAT</w:instrText>
        </w:r>
        <w:r>
          <w:fldChar w:fldCharType="separate"/>
        </w:r>
        <w:r w:rsidRPr="006B3804">
          <w:rPr>
            <w:noProof/>
            <w:rtl/>
            <w:lang w:val="he-IL"/>
          </w:rPr>
          <w:t>3</w:t>
        </w:r>
        <w:r>
          <w:fldChar w:fldCharType="end"/>
        </w:r>
      </w:p>
    </w:sdtContent>
  </w:sdt>
  <w:p w14:paraId="23C122F0" w14:textId="77777777" w:rsidR="001C69A8" w:rsidRDefault="001C69A8"/>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ED567" w14:textId="77777777" w:rsidR="00D31714" w:rsidRDefault="00D31714">
    <w:pPr>
      <w:pStyle w:val="affe"/>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479427905"/>
      <w:docPartObj>
        <w:docPartGallery w:val="Page Numbers (Bottom of Page)"/>
        <w:docPartUnique/>
      </w:docPartObj>
    </w:sdtPr>
    <w:sdtEndPr>
      <w:rPr>
        <w:cs/>
      </w:rPr>
    </w:sdtEndPr>
    <w:sdtContent>
      <w:p w14:paraId="4F8979D6" w14:textId="77777777" w:rsidR="00D31714" w:rsidRDefault="00D31714">
        <w:pPr>
          <w:pStyle w:val="affe"/>
          <w:jc w:val="right"/>
          <w:rPr>
            <w:rtl/>
            <w:cs/>
          </w:rPr>
        </w:pPr>
        <w:r>
          <w:fldChar w:fldCharType="begin"/>
        </w:r>
        <w:r>
          <w:rPr>
            <w:rtl/>
            <w:cs/>
          </w:rPr>
          <w:instrText>PAGE   \* MERGEFORMAT</w:instrText>
        </w:r>
        <w:r>
          <w:fldChar w:fldCharType="separate"/>
        </w:r>
        <w:r w:rsidRPr="000D3787">
          <w:rPr>
            <w:noProof/>
            <w:rtl/>
            <w:lang w:val="he-IL"/>
          </w:rPr>
          <w:t>1</w:t>
        </w:r>
        <w:r>
          <w:fldChar w:fldCharType="end"/>
        </w:r>
      </w:p>
    </w:sdtContent>
  </w:sdt>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2F207" w14:textId="77777777" w:rsidR="00D31714" w:rsidRDefault="00D31714" w:rsidP="00C83122">
    <w:pPr>
      <w:pStyle w:val="affe"/>
    </w:pPr>
    <w:r>
      <w:rPr>
        <w:noProof/>
      </w:rPr>
      <mc:AlternateContent>
        <mc:Choice Requires="wps">
          <w:drawing>
            <wp:anchor distT="0" distB="0" distL="114300" distR="114300" simplePos="0" relativeHeight="251689984" behindDoc="0" locked="0" layoutInCell="1" allowOverlap="1" wp14:anchorId="6389CA97" wp14:editId="382DEB3B">
              <wp:simplePos x="0" y="0"/>
              <wp:positionH relativeFrom="margin">
                <wp:posOffset>3224530</wp:posOffset>
              </wp:positionH>
              <wp:positionV relativeFrom="paragraph">
                <wp:posOffset>52705</wp:posOffset>
              </wp:positionV>
              <wp:extent cx="3355975" cy="330200"/>
              <wp:effectExtent l="0" t="0" r="0" b="0"/>
              <wp:wrapNone/>
              <wp:docPr id="59" name="תיבת טקסט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5975" cy="330200"/>
                      </a:xfrm>
                      <a:prstGeom prst="rect">
                        <a:avLst/>
                      </a:prstGeom>
                      <a:solidFill>
                        <a:srgbClr val="FFFFFF"/>
                      </a:solidFill>
                      <a:ln w="19050">
                        <a:noFill/>
                        <a:miter lim="800000"/>
                        <a:headEnd/>
                        <a:tailEnd/>
                      </a:ln>
                    </wps:spPr>
                    <wps:txbx>
                      <w:txbxContent>
                        <w:p w14:paraId="3FAEE67C" w14:textId="77777777" w:rsidR="00D31714" w:rsidRPr="00D348B7" w:rsidRDefault="00D31714" w:rsidP="00BA3ECC">
                          <w:pPr>
                            <w:spacing w:line="240" w:lineRule="auto"/>
                            <w:contextualSpacing/>
                            <w:jc w:val="center"/>
                            <w:rPr>
                              <w:b/>
                              <w:bCs/>
                              <w:sz w:val="16"/>
                              <w:szCs w:val="16"/>
                              <w:rtl/>
                            </w:rPr>
                          </w:pPr>
                          <w:r>
                            <w:rPr>
                              <w:b/>
                              <w:bCs/>
                              <w:sz w:val="16"/>
                              <w:szCs w:val="16"/>
                              <w:rtl/>
                            </w:rPr>
                            <w:t xml:space="preserve">שלמה </w:t>
                          </w:r>
                          <w:r w:rsidRPr="00D348B7">
                            <w:rPr>
                              <w:b/>
                              <w:bCs/>
                              <w:sz w:val="16"/>
                              <w:szCs w:val="16"/>
                              <w:rtl/>
                            </w:rPr>
                            <w:t xml:space="preserve">הנדל </w:t>
                          </w:r>
                          <w:r>
                            <w:rPr>
                              <w:rFonts w:hint="cs"/>
                              <w:b/>
                              <w:bCs/>
                              <w:sz w:val="16"/>
                              <w:szCs w:val="16"/>
                              <w:rtl/>
                            </w:rPr>
                            <w:t xml:space="preserve">טל: </w:t>
                          </w:r>
                          <w:r w:rsidRPr="006C5697">
                            <w:rPr>
                              <w:b/>
                              <w:bCs/>
                              <w:sz w:val="16"/>
                              <w:szCs w:val="16"/>
                              <w:rtl/>
                            </w:rPr>
                            <w:t>052-7676412</w:t>
                          </w:r>
                        </w:p>
                        <w:p w14:paraId="33CCFE3D" w14:textId="77777777" w:rsidR="00D31714" w:rsidRPr="008D08BD" w:rsidRDefault="00AD16A0" w:rsidP="00BA3ECC">
                          <w:pPr>
                            <w:bidi w:val="0"/>
                            <w:spacing w:line="240" w:lineRule="auto"/>
                            <w:contextualSpacing/>
                            <w:jc w:val="center"/>
                            <w:rPr>
                              <w:b/>
                              <w:bCs/>
                              <w:sz w:val="16"/>
                              <w:szCs w:val="16"/>
                            </w:rPr>
                          </w:pPr>
                          <w:hyperlink r:id="rId1" w:history="1">
                            <w:r w:rsidR="00D31714" w:rsidRPr="008D08BD">
                              <w:rPr>
                                <w:b/>
                                <w:bCs/>
                                <w:sz w:val="16"/>
                                <w:szCs w:val="16"/>
                              </w:rPr>
                              <w:t>A05</w:t>
                            </w:r>
                            <w:r w:rsidR="00D31714" w:rsidRPr="008D08BD">
                              <w:rPr>
                                <w:rFonts w:hint="cs"/>
                                <w:b/>
                                <w:bCs/>
                                <w:sz w:val="16"/>
                                <w:szCs w:val="16"/>
                              </w:rPr>
                              <w:t>27676412</w:t>
                            </w:r>
                            <w:r w:rsidR="00D31714" w:rsidRPr="008D08BD">
                              <w:rPr>
                                <w:b/>
                                <w:bCs/>
                                <w:sz w:val="16"/>
                                <w:szCs w:val="16"/>
                              </w:rPr>
                              <w:t>@</w:t>
                            </w:r>
                            <w:r w:rsidR="00D31714" w:rsidRPr="008D08BD">
                              <w:rPr>
                                <w:rFonts w:hint="cs"/>
                                <w:b/>
                                <w:bCs/>
                                <w:sz w:val="16"/>
                                <w:szCs w:val="16"/>
                              </w:rPr>
                              <w:t>GMAIL.COM</w:t>
                            </w:r>
                          </w:hyperlink>
                          <w:r w:rsidR="00D31714">
                            <w:rPr>
                              <w:b/>
                              <w:bCs/>
                              <w:sz w:val="16"/>
                              <w:szCs w:val="16"/>
                            </w:rPr>
                            <w:t xml:space="preserve"> </w:t>
                          </w:r>
                          <w:r w:rsidR="00D31714" w:rsidRPr="008D08BD">
                            <w:rPr>
                              <w:rFonts w:hint="cs"/>
                              <w:b/>
                              <w:bCs/>
                              <w:sz w:val="16"/>
                              <w:szCs w:val="16"/>
                              <w:rtl/>
                            </w:rPr>
                            <w:t>לקבלת המ"מ ב</w:t>
                          </w:r>
                          <w:r w:rsidR="00D31714">
                            <w:rPr>
                              <w:rFonts w:hint="cs"/>
                              <w:b/>
                              <w:bCs/>
                              <w:sz w:val="16"/>
                              <w:szCs w:val="16"/>
                              <w:rtl/>
                            </w:rPr>
                            <w:t>קביעות ל</w:t>
                          </w:r>
                          <w:r w:rsidR="00D31714" w:rsidRPr="008D08BD">
                            <w:rPr>
                              <w:rFonts w:hint="cs"/>
                              <w:b/>
                              <w:bCs/>
                              <w:sz w:val="16"/>
                              <w:szCs w:val="16"/>
                              <w:rtl/>
                            </w:rPr>
                            <w:t>מייל נא לשלוח הודעה לכתובת:</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389CA97" id="_x0000_t202" coordsize="21600,21600" o:spt="202" path="m,l,21600r21600,l21600,xe">
              <v:stroke joinstyle="miter"/>
              <v:path gradientshapeok="t" o:connecttype="rect"/>
            </v:shapetype>
            <v:shape id="_x0000_s1040" type="#_x0000_t202" style="position:absolute;left:0;text-align:left;margin-left:253.9pt;margin-top:4.15pt;width:264.25pt;height:26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" stroked="f" strokeweight="1.5pt">
              <v:textbox>
                <w:txbxContent>
                  <w:p w14:paraId="3FAEE67C" w14:textId="77777777" w:rsidR="00D31714" w:rsidRPr="00D348B7" w:rsidRDefault="00D31714" w:rsidP="00BA3ECC">
                    <w:pPr>
                      <w:spacing w:line="240" w:lineRule="auto"/>
                      <w:contextualSpacing/>
                      <w:jc w:val="center"/>
                      <w:rPr>
                        <w:b/>
                        <w:bCs/>
                        <w:sz w:val="16"/>
                        <w:szCs w:val="16"/>
                        <w:rtl/>
                      </w:rPr>
                    </w:pPr>
                    <w:r>
                      <w:rPr>
                        <w:b/>
                        <w:bCs/>
                        <w:sz w:val="16"/>
                        <w:szCs w:val="16"/>
                        <w:rtl/>
                      </w:rPr>
                      <w:t xml:space="preserve">שלמה </w:t>
                    </w:r>
                    <w:r w:rsidRPr="00D348B7">
                      <w:rPr>
                        <w:b/>
                        <w:bCs/>
                        <w:sz w:val="16"/>
                        <w:szCs w:val="16"/>
                        <w:rtl/>
                      </w:rPr>
                      <w:t xml:space="preserve">הנדל </w:t>
                    </w:r>
                    <w:r>
                      <w:rPr>
                        <w:rFonts w:hint="cs"/>
                        <w:b/>
                        <w:bCs/>
                        <w:sz w:val="16"/>
                        <w:szCs w:val="16"/>
                        <w:rtl/>
                      </w:rPr>
                      <w:t xml:space="preserve">טל: </w:t>
                    </w:r>
                    <w:r w:rsidRPr="006C5697">
                      <w:rPr>
                        <w:b/>
                        <w:bCs/>
                        <w:sz w:val="16"/>
                        <w:szCs w:val="16"/>
                        <w:rtl/>
                      </w:rPr>
                      <w:t>052-7676412</w:t>
                    </w:r>
                  </w:p>
                  <w:p w14:paraId="33CCFE3D" w14:textId="77777777" w:rsidR="00D31714" w:rsidRPr="008D08BD" w:rsidRDefault="00AD16A0" w:rsidP="00BA3ECC">
                    <w:pPr>
                      <w:bidi w:val="0"/>
                      <w:spacing w:line="240" w:lineRule="auto"/>
                      <w:contextualSpacing/>
                      <w:jc w:val="center"/>
                      <w:rPr>
                        <w:b/>
                        <w:bCs/>
                        <w:sz w:val="16"/>
                        <w:szCs w:val="16"/>
                      </w:rPr>
                    </w:pPr>
                    <w:hyperlink r:id="rId2" w:history="1">
                      <w:r w:rsidR="00D31714" w:rsidRPr="008D08BD">
                        <w:rPr>
                          <w:b/>
                          <w:bCs/>
                          <w:sz w:val="16"/>
                          <w:szCs w:val="16"/>
                        </w:rPr>
                        <w:t>A05</w:t>
                      </w:r>
                      <w:r w:rsidR="00D31714" w:rsidRPr="008D08BD">
                        <w:rPr>
                          <w:rFonts w:hint="cs"/>
                          <w:b/>
                          <w:bCs/>
                          <w:sz w:val="16"/>
                          <w:szCs w:val="16"/>
                        </w:rPr>
                        <w:t>27676412</w:t>
                      </w:r>
                      <w:r w:rsidR="00D31714" w:rsidRPr="008D08BD">
                        <w:rPr>
                          <w:b/>
                          <w:bCs/>
                          <w:sz w:val="16"/>
                          <w:szCs w:val="16"/>
                        </w:rPr>
                        <w:t>@</w:t>
                      </w:r>
                      <w:r w:rsidR="00D31714" w:rsidRPr="008D08BD">
                        <w:rPr>
                          <w:rFonts w:hint="cs"/>
                          <w:b/>
                          <w:bCs/>
                          <w:sz w:val="16"/>
                          <w:szCs w:val="16"/>
                        </w:rPr>
                        <w:t>GMAIL.COM</w:t>
                      </w:r>
                    </w:hyperlink>
                    <w:r w:rsidR="00D31714">
                      <w:rPr>
                        <w:b/>
                        <w:bCs/>
                        <w:sz w:val="16"/>
                        <w:szCs w:val="16"/>
                      </w:rPr>
                      <w:t xml:space="preserve"> </w:t>
                    </w:r>
                    <w:r w:rsidR="00D31714" w:rsidRPr="008D08BD">
                      <w:rPr>
                        <w:rFonts w:hint="cs"/>
                        <w:b/>
                        <w:bCs/>
                        <w:sz w:val="16"/>
                        <w:szCs w:val="16"/>
                        <w:rtl/>
                      </w:rPr>
                      <w:t>לקבלת המ"מ ב</w:t>
                    </w:r>
                    <w:r w:rsidR="00D31714">
                      <w:rPr>
                        <w:rFonts w:hint="cs"/>
                        <w:b/>
                        <w:bCs/>
                        <w:sz w:val="16"/>
                        <w:szCs w:val="16"/>
                        <w:rtl/>
                      </w:rPr>
                      <w:t>קביעות ל</w:t>
                    </w:r>
                    <w:r w:rsidR="00D31714" w:rsidRPr="008D08BD">
                      <w:rPr>
                        <w:rFonts w:hint="cs"/>
                        <w:b/>
                        <w:bCs/>
                        <w:sz w:val="16"/>
                        <w:szCs w:val="16"/>
                        <w:rtl/>
                      </w:rPr>
                      <w:t>מייל נא לשלוח הודעה לכתובת:</w:t>
                    </w:r>
                  </w:p>
                </w:txbxContent>
              </v:textbox>
              <w10:wrap anchorx="margin"/>
            </v:shape>
          </w:pict>
        </mc:Fallback>
      </mc:AlternateContent>
    </w:r>
    <w:r>
      <w:rPr>
        <w:noProof/>
      </w:rPr>
      <mc:AlternateContent>
        <mc:Choice Requires="wps">
          <w:drawing>
            <wp:anchor distT="0" distB="0" distL="114300" distR="114300" simplePos="0" relativeHeight="251688960" behindDoc="0" locked="0" layoutInCell="1" allowOverlap="1" wp14:anchorId="54A6113F" wp14:editId="01F07D6D">
              <wp:simplePos x="0" y="0"/>
              <wp:positionH relativeFrom="margin">
                <wp:posOffset>46355</wp:posOffset>
              </wp:positionH>
              <wp:positionV relativeFrom="paragraph">
                <wp:posOffset>34290</wp:posOffset>
              </wp:positionV>
              <wp:extent cx="1002665" cy="264160"/>
              <wp:effectExtent l="0" t="0" r="6985" b="2540"/>
              <wp:wrapNone/>
              <wp:docPr id="60"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2665" cy="264160"/>
                      </a:xfrm>
                      <a:prstGeom prst="rect">
                        <a:avLst/>
                      </a:prstGeom>
                      <a:solidFill>
                        <a:srgbClr val="FFFFFF"/>
                      </a:solidFill>
                      <a:ln w="15875">
                        <a:solidFill>
                          <a:srgbClr val="000000"/>
                        </a:solidFill>
                        <a:miter lim="800000"/>
                        <a:headEnd/>
                        <a:tailEnd/>
                      </a:ln>
                    </wps:spPr>
                    <wps:txbx>
                      <w:txbxContent>
                        <w:p w14:paraId="393D9C6F" w14:textId="77777777" w:rsidR="00D31714" w:rsidRDefault="00D31714" w:rsidP="00C83122">
                          <w:pPr>
                            <w:rPr>
                              <w:b/>
                              <w:bCs/>
                              <w:sz w:val="18"/>
                              <w:szCs w:val="18"/>
                            </w:rPr>
                          </w:pPr>
                          <w:r>
                            <w:rPr>
                              <w:b/>
                              <w:bCs/>
                              <w:sz w:val="18"/>
                              <w:szCs w:val="18"/>
                              <w:rtl/>
                            </w:rPr>
                            <w:t>המשך בעמ' הבא</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4A6113F" id="_x0000_s1041" type="#_x0000_t202" style="position:absolute;left:0;text-align:left;margin-left:3.65pt;margin-top:2.7pt;width:78.95pt;height:20.8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" strokeweight="1.25pt">
              <v:textbox>
                <w:txbxContent>
                  <w:p w14:paraId="393D9C6F" w14:textId="77777777" w:rsidR="00D31714" w:rsidRDefault="00D31714" w:rsidP="00C83122">
                    <w:pPr>
                      <w:rPr>
                        <w:b/>
                        <w:bCs/>
                        <w:sz w:val="18"/>
                        <w:szCs w:val="18"/>
                      </w:rPr>
                    </w:pPr>
                    <w:r>
                      <w:rPr>
                        <w:b/>
                        <w:bCs/>
                        <w:sz w:val="18"/>
                        <w:szCs w:val="18"/>
                        <w:rtl/>
                      </w:rPr>
                      <w:t>המשך בעמ' הבא</w:t>
                    </w:r>
                  </w:p>
                </w:txbxContent>
              </v:textbox>
              <w10:wrap anchorx="margin"/>
            </v:shape>
          </w:pict>
        </mc:Fallback>
      </mc:AlternateContent>
    </w:r>
  </w:p>
  <w:p w14:paraId="7E0BBA93" w14:textId="77777777" w:rsidR="00D31714" w:rsidRDefault="00D31714" w:rsidP="00C83122">
    <w:pPr>
      <w:pStyle w:val="affe"/>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CFECFF" w14:textId="77777777" w:rsidR="00D31714" w:rsidRDefault="00D31714">
    <w:pPr>
      <w:pStyle w:val="affe"/>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2083524017"/>
      <w:docPartObj>
        <w:docPartGallery w:val="Page Numbers (Bottom of Page)"/>
        <w:docPartUnique/>
      </w:docPartObj>
    </w:sdtPr>
    <w:sdtEndPr>
      <w:rPr>
        <w:cs/>
      </w:rPr>
    </w:sdtEndPr>
    <w:sdtContent>
      <w:p w14:paraId="65658C08" w14:textId="77777777" w:rsidR="00D31714" w:rsidRDefault="00D31714">
        <w:pPr>
          <w:pStyle w:val="affe"/>
          <w:jc w:val="right"/>
          <w:rPr>
            <w:rtl/>
            <w:cs/>
          </w:rPr>
        </w:pPr>
        <w:r>
          <w:fldChar w:fldCharType="begin"/>
        </w:r>
        <w:r>
          <w:rPr>
            <w:rtl/>
            <w:cs/>
          </w:rPr>
          <w:instrText>PAGE   \* MERGEFORMAT</w:instrText>
        </w:r>
        <w:r>
          <w:fldChar w:fldCharType="separate"/>
        </w:r>
        <w:r w:rsidRPr="006B3804">
          <w:rPr>
            <w:noProof/>
            <w:rtl/>
            <w:lang w:val="he-IL"/>
          </w:rPr>
          <w:t>2</w:t>
        </w:r>
        <w:r>
          <w:fldChar w:fldCharType="end"/>
        </w:r>
      </w:p>
    </w:sdtContent>
  </w:sdt>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6D57A" w14:textId="77777777" w:rsidR="00D31714" w:rsidRDefault="00D31714" w:rsidP="00C83122">
    <w:pPr>
      <w:pStyle w:val="affe"/>
    </w:pPr>
    <w:r>
      <w:rPr>
        <w:noProof/>
      </w:rPr>
      <mc:AlternateContent>
        <mc:Choice Requires="wps">
          <w:drawing>
            <wp:anchor distT="0" distB="0" distL="114300" distR="114300" simplePos="0" relativeHeight="251687936" behindDoc="0" locked="0" layoutInCell="1" allowOverlap="1" wp14:anchorId="0208626B" wp14:editId="16B44F9C">
              <wp:simplePos x="0" y="0"/>
              <wp:positionH relativeFrom="margin">
                <wp:posOffset>3235960</wp:posOffset>
              </wp:positionH>
              <wp:positionV relativeFrom="paragraph">
                <wp:posOffset>64135</wp:posOffset>
              </wp:positionV>
              <wp:extent cx="3355975" cy="330200"/>
              <wp:effectExtent l="0" t="0" r="0" b="0"/>
              <wp:wrapNone/>
              <wp:docPr id="61" name="תיבת טקסט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5975" cy="330200"/>
                      </a:xfrm>
                      <a:prstGeom prst="rect">
                        <a:avLst/>
                      </a:prstGeom>
                      <a:solidFill>
                        <a:srgbClr val="FFFFFF"/>
                      </a:solidFill>
                      <a:ln w="19050">
                        <a:noFill/>
                        <a:miter lim="800000"/>
                        <a:headEnd/>
                        <a:tailEnd/>
                      </a:ln>
                    </wps:spPr>
                    <wps:txbx>
                      <w:txbxContent>
                        <w:p w14:paraId="26216BEA" w14:textId="77777777" w:rsidR="00D31714" w:rsidRPr="00D348B7" w:rsidRDefault="00D31714" w:rsidP="00C83122">
                          <w:pPr>
                            <w:spacing w:line="240" w:lineRule="auto"/>
                            <w:jc w:val="center"/>
                            <w:rPr>
                              <w:b/>
                              <w:bCs/>
                              <w:sz w:val="16"/>
                              <w:szCs w:val="16"/>
                              <w:rtl/>
                            </w:rPr>
                          </w:pPr>
                          <w:r>
                            <w:rPr>
                              <w:b/>
                              <w:bCs/>
                              <w:sz w:val="16"/>
                              <w:szCs w:val="16"/>
                              <w:rtl/>
                            </w:rPr>
                            <w:t xml:space="preserve">שלמה </w:t>
                          </w:r>
                          <w:r w:rsidRPr="00D348B7">
                            <w:rPr>
                              <w:b/>
                              <w:bCs/>
                              <w:sz w:val="16"/>
                              <w:szCs w:val="16"/>
                              <w:rtl/>
                            </w:rPr>
                            <w:t xml:space="preserve">הנדל </w:t>
                          </w:r>
                          <w:r w:rsidRPr="00D348B7">
                            <w:rPr>
                              <w:rFonts w:hint="cs"/>
                              <w:b/>
                              <w:bCs/>
                              <w:sz w:val="16"/>
                              <w:szCs w:val="16"/>
                              <w:rtl/>
                            </w:rPr>
                            <w:t xml:space="preserve">- </w:t>
                          </w:r>
                          <w:r w:rsidRPr="00D348B7">
                            <w:rPr>
                              <w:b/>
                              <w:bCs/>
                              <w:sz w:val="16"/>
                              <w:szCs w:val="16"/>
                              <w:rtl/>
                            </w:rPr>
                            <w:t>בית הלל</w:t>
                          </w:r>
                          <w:r>
                            <w:rPr>
                              <w:b/>
                              <w:bCs/>
                              <w:sz w:val="16"/>
                              <w:szCs w:val="16"/>
                              <w:rtl/>
                            </w:rPr>
                            <w:tab/>
                          </w:r>
                          <w:r>
                            <w:rPr>
                              <w:rFonts w:hint="cs"/>
                              <w:b/>
                              <w:bCs/>
                              <w:sz w:val="16"/>
                              <w:szCs w:val="16"/>
                              <w:rtl/>
                            </w:rPr>
                            <w:t xml:space="preserve">טל: </w:t>
                          </w:r>
                          <w:r w:rsidRPr="006C5697">
                            <w:rPr>
                              <w:b/>
                              <w:bCs/>
                              <w:sz w:val="16"/>
                              <w:szCs w:val="16"/>
                              <w:rtl/>
                            </w:rPr>
                            <w:t>052-7676412</w:t>
                          </w:r>
                        </w:p>
                        <w:p w14:paraId="6B35C1C1" w14:textId="77777777" w:rsidR="00D31714" w:rsidRPr="008D08BD" w:rsidRDefault="00AD16A0" w:rsidP="00C83122">
                          <w:pPr>
                            <w:bidi w:val="0"/>
                            <w:jc w:val="center"/>
                            <w:rPr>
                              <w:b/>
                              <w:bCs/>
                              <w:sz w:val="16"/>
                              <w:szCs w:val="16"/>
                            </w:rPr>
                          </w:pPr>
                          <w:hyperlink r:id="rId1" w:history="1">
                            <w:r w:rsidR="00D31714" w:rsidRPr="008D08BD">
                              <w:rPr>
                                <w:b/>
                                <w:bCs/>
                                <w:sz w:val="16"/>
                                <w:szCs w:val="16"/>
                              </w:rPr>
                              <w:t>A05</w:t>
                            </w:r>
                            <w:r w:rsidR="00D31714" w:rsidRPr="008D08BD">
                              <w:rPr>
                                <w:rFonts w:hint="cs"/>
                                <w:b/>
                                <w:bCs/>
                                <w:sz w:val="16"/>
                                <w:szCs w:val="16"/>
                              </w:rPr>
                              <w:t>27676412</w:t>
                            </w:r>
                            <w:r w:rsidR="00D31714" w:rsidRPr="008D08BD">
                              <w:rPr>
                                <w:b/>
                                <w:bCs/>
                                <w:sz w:val="16"/>
                                <w:szCs w:val="16"/>
                              </w:rPr>
                              <w:t>@</w:t>
                            </w:r>
                            <w:r w:rsidR="00D31714" w:rsidRPr="008D08BD">
                              <w:rPr>
                                <w:rFonts w:hint="cs"/>
                                <w:b/>
                                <w:bCs/>
                                <w:sz w:val="16"/>
                                <w:szCs w:val="16"/>
                              </w:rPr>
                              <w:t>GMAIL.COM</w:t>
                            </w:r>
                          </w:hyperlink>
                          <w:r w:rsidR="00D31714">
                            <w:rPr>
                              <w:b/>
                              <w:bCs/>
                              <w:sz w:val="16"/>
                              <w:szCs w:val="16"/>
                            </w:rPr>
                            <w:t xml:space="preserve"> </w:t>
                          </w:r>
                          <w:r w:rsidR="00D31714" w:rsidRPr="008D08BD">
                            <w:rPr>
                              <w:rFonts w:hint="cs"/>
                              <w:b/>
                              <w:bCs/>
                              <w:sz w:val="16"/>
                              <w:szCs w:val="16"/>
                              <w:rtl/>
                            </w:rPr>
                            <w:t>לקבלת המ"מ במייל נא לשלוח הודעה לכתובת:</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208626B" id="_x0000_t202" coordsize="21600,21600" o:spt="202" path="m,l,21600r21600,l21600,xe">
              <v:stroke joinstyle="miter"/>
              <v:path gradientshapeok="t" o:connecttype="rect"/>
            </v:shapetype>
            <v:shape id="_x0000_s1042" type="#_x0000_t202" style="position:absolute;left:0;text-align:left;margin-left:254.8pt;margin-top:5.05pt;width:264.25pt;height:26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" stroked="f" strokeweight="1.5pt">
              <v:textbox>
                <w:txbxContent>
                  <w:p w14:paraId="26216BEA" w14:textId="77777777" w:rsidR="00D31714" w:rsidRPr="00D348B7" w:rsidRDefault="00D31714" w:rsidP="00C83122">
                    <w:pPr>
                      <w:spacing w:line="240" w:lineRule="auto"/>
                      <w:jc w:val="center"/>
                      <w:rPr>
                        <w:b/>
                        <w:bCs/>
                        <w:sz w:val="16"/>
                        <w:szCs w:val="16"/>
                        <w:rtl/>
                      </w:rPr>
                    </w:pPr>
                    <w:r>
                      <w:rPr>
                        <w:b/>
                        <w:bCs/>
                        <w:sz w:val="16"/>
                        <w:szCs w:val="16"/>
                        <w:rtl/>
                      </w:rPr>
                      <w:t xml:space="preserve">שלמה </w:t>
                    </w:r>
                    <w:r w:rsidRPr="00D348B7">
                      <w:rPr>
                        <w:b/>
                        <w:bCs/>
                        <w:sz w:val="16"/>
                        <w:szCs w:val="16"/>
                        <w:rtl/>
                      </w:rPr>
                      <w:t xml:space="preserve">הנדל </w:t>
                    </w:r>
                    <w:r w:rsidRPr="00D348B7">
                      <w:rPr>
                        <w:rFonts w:hint="cs"/>
                        <w:b/>
                        <w:bCs/>
                        <w:sz w:val="16"/>
                        <w:szCs w:val="16"/>
                        <w:rtl/>
                      </w:rPr>
                      <w:t xml:space="preserve">- </w:t>
                    </w:r>
                    <w:r w:rsidRPr="00D348B7">
                      <w:rPr>
                        <w:b/>
                        <w:bCs/>
                        <w:sz w:val="16"/>
                        <w:szCs w:val="16"/>
                        <w:rtl/>
                      </w:rPr>
                      <w:t>בית הלל</w:t>
                    </w:r>
                    <w:r>
                      <w:rPr>
                        <w:b/>
                        <w:bCs/>
                        <w:sz w:val="16"/>
                        <w:szCs w:val="16"/>
                        <w:rtl/>
                      </w:rPr>
                      <w:tab/>
                    </w:r>
                    <w:r>
                      <w:rPr>
                        <w:rFonts w:hint="cs"/>
                        <w:b/>
                        <w:bCs/>
                        <w:sz w:val="16"/>
                        <w:szCs w:val="16"/>
                        <w:rtl/>
                      </w:rPr>
                      <w:t xml:space="preserve">טל: </w:t>
                    </w:r>
                    <w:r w:rsidRPr="006C5697">
                      <w:rPr>
                        <w:b/>
                        <w:bCs/>
                        <w:sz w:val="16"/>
                        <w:szCs w:val="16"/>
                        <w:rtl/>
                      </w:rPr>
                      <w:t>052-7676412</w:t>
                    </w:r>
                  </w:p>
                  <w:p w14:paraId="6B35C1C1" w14:textId="77777777" w:rsidR="00D31714" w:rsidRPr="008D08BD" w:rsidRDefault="00AD16A0" w:rsidP="00C83122">
                    <w:pPr>
                      <w:bidi w:val="0"/>
                      <w:jc w:val="center"/>
                      <w:rPr>
                        <w:b/>
                        <w:bCs/>
                        <w:sz w:val="16"/>
                        <w:szCs w:val="16"/>
                      </w:rPr>
                    </w:pPr>
                    <w:hyperlink r:id="rId2" w:history="1">
                      <w:r w:rsidR="00D31714" w:rsidRPr="008D08BD">
                        <w:rPr>
                          <w:b/>
                          <w:bCs/>
                          <w:sz w:val="16"/>
                          <w:szCs w:val="16"/>
                        </w:rPr>
                        <w:t>A05</w:t>
                      </w:r>
                      <w:r w:rsidR="00D31714" w:rsidRPr="008D08BD">
                        <w:rPr>
                          <w:rFonts w:hint="cs"/>
                          <w:b/>
                          <w:bCs/>
                          <w:sz w:val="16"/>
                          <w:szCs w:val="16"/>
                        </w:rPr>
                        <w:t>27676412</w:t>
                      </w:r>
                      <w:r w:rsidR="00D31714" w:rsidRPr="008D08BD">
                        <w:rPr>
                          <w:b/>
                          <w:bCs/>
                          <w:sz w:val="16"/>
                          <w:szCs w:val="16"/>
                        </w:rPr>
                        <w:t>@</w:t>
                      </w:r>
                      <w:r w:rsidR="00D31714" w:rsidRPr="008D08BD">
                        <w:rPr>
                          <w:rFonts w:hint="cs"/>
                          <w:b/>
                          <w:bCs/>
                          <w:sz w:val="16"/>
                          <w:szCs w:val="16"/>
                        </w:rPr>
                        <w:t>GMAIL.COM</w:t>
                      </w:r>
                    </w:hyperlink>
                    <w:r w:rsidR="00D31714">
                      <w:rPr>
                        <w:b/>
                        <w:bCs/>
                        <w:sz w:val="16"/>
                        <w:szCs w:val="16"/>
                      </w:rPr>
                      <w:t xml:space="preserve"> </w:t>
                    </w:r>
                    <w:r w:rsidR="00D31714" w:rsidRPr="008D08BD">
                      <w:rPr>
                        <w:rFonts w:hint="cs"/>
                        <w:b/>
                        <w:bCs/>
                        <w:sz w:val="16"/>
                        <w:szCs w:val="16"/>
                        <w:rtl/>
                      </w:rPr>
                      <w:t>לקבלת המ"מ במייל נא לשלוח הודעה לכתובת:</w:t>
                    </w:r>
                  </w:p>
                </w:txbxContent>
              </v:textbox>
              <w10:wrap anchorx="margin"/>
            </v:shape>
          </w:pict>
        </mc:Fallback>
      </mc:AlternateContent>
    </w:r>
    <w:r>
      <w:rPr>
        <w:noProof/>
      </w:rPr>
      <mc:AlternateContent>
        <mc:Choice Requires="wps">
          <w:drawing>
            <wp:anchor distT="0" distB="0" distL="114300" distR="114300" simplePos="0" relativeHeight="251686912" behindDoc="0" locked="0" layoutInCell="1" allowOverlap="1" wp14:anchorId="1E5EC8A5" wp14:editId="35441DE7">
              <wp:simplePos x="0" y="0"/>
              <wp:positionH relativeFrom="margin">
                <wp:posOffset>46355</wp:posOffset>
              </wp:positionH>
              <wp:positionV relativeFrom="paragraph">
                <wp:posOffset>34290</wp:posOffset>
              </wp:positionV>
              <wp:extent cx="1002665" cy="264160"/>
              <wp:effectExtent l="0" t="0" r="6985" b="2540"/>
              <wp:wrapNone/>
              <wp:docPr id="62" name="תיבת טקסט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2665" cy="264160"/>
                      </a:xfrm>
                      <a:prstGeom prst="rect">
                        <a:avLst/>
                      </a:prstGeom>
                      <a:solidFill>
                        <a:srgbClr val="FFFFFF"/>
                      </a:solidFill>
                      <a:ln w="15875">
                        <a:solidFill>
                          <a:srgbClr val="000000"/>
                        </a:solidFill>
                        <a:miter lim="800000"/>
                        <a:headEnd/>
                        <a:tailEnd/>
                      </a:ln>
                    </wps:spPr>
                    <wps:txbx>
                      <w:txbxContent>
                        <w:p w14:paraId="09479137" w14:textId="77777777" w:rsidR="00D31714" w:rsidRDefault="00D31714" w:rsidP="00C83122">
                          <w:pPr>
                            <w:rPr>
                              <w:b/>
                              <w:bCs/>
                              <w:sz w:val="18"/>
                              <w:szCs w:val="18"/>
                            </w:rPr>
                          </w:pPr>
                          <w:r>
                            <w:rPr>
                              <w:b/>
                              <w:bCs/>
                              <w:sz w:val="18"/>
                              <w:szCs w:val="18"/>
                              <w:rtl/>
                            </w:rPr>
                            <w:t>המשך בעמ' הבא</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5EC8A5" id="_x0000_s1043" type="#_x0000_t202" style="position:absolute;left:0;text-align:left;margin-left:3.65pt;margin-top:2.7pt;width:78.95pt;height:20.8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" strokeweight="1.25pt">
              <v:textbox>
                <w:txbxContent>
                  <w:p w14:paraId="09479137" w14:textId="77777777" w:rsidR="00D31714" w:rsidRDefault="00D31714" w:rsidP="00C83122">
                    <w:pPr>
                      <w:rPr>
                        <w:b/>
                        <w:bCs/>
                        <w:sz w:val="18"/>
                        <w:szCs w:val="18"/>
                      </w:rPr>
                    </w:pPr>
                    <w:r>
                      <w:rPr>
                        <w:b/>
                        <w:bCs/>
                        <w:sz w:val="18"/>
                        <w:szCs w:val="18"/>
                        <w:rtl/>
                      </w:rPr>
                      <w:t>המשך בעמ' הבא</w:t>
                    </w:r>
                  </w:p>
                </w:txbxContent>
              </v:textbox>
              <w10:wrap anchorx="margin"/>
            </v:shape>
          </w:pict>
        </mc:Fallback>
      </mc:AlternateContent>
    </w:r>
  </w:p>
  <w:p w14:paraId="1C486D0F" w14:textId="77777777" w:rsidR="00D31714" w:rsidRDefault="00D31714" w:rsidP="00C83122">
    <w:pPr>
      <w:pStyle w:val="affe"/>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665902254"/>
      <w:docPartObj>
        <w:docPartGallery w:val="Page Numbers (Bottom of Page)"/>
        <w:docPartUnique/>
      </w:docPartObj>
    </w:sdtPr>
    <w:sdtEndPr>
      <w:rPr>
        <w:cs/>
      </w:rPr>
    </w:sdtEndPr>
    <w:sdtContent>
      <w:p w14:paraId="290BC752" w14:textId="77777777" w:rsidR="00D31714" w:rsidRDefault="00D31714">
        <w:pPr>
          <w:pStyle w:val="affe"/>
          <w:jc w:val="right"/>
          <w:rPr>
            <w:rtl/>
            <w:cs/>
          </w:rPr>
        </w:pPr>
        <w:r>
          <w:fldChar w:fldCharType="begin"/>
        </w:r>
        <w:r>
          <w:rPr>
            <w:rtl/>
            <w:cs/>
          </w:rPr>
          <w:instrText>PAGE   \* MERGEFORMAT</w:instrText>
        </w:r>
        <w:r>
          <w:fldChar w:fldCharType="separate"/>
        </w:r>
        <w:r w:rsidRPr="006B3804">
          <w:rPr>
            <w:noProof/>
            <w:rtl/>
            <w:lang w:val="he-IL"/>
          </w:rPr>
          <w:t>3</w:t>
        </w:r>
        <w:r>
          <w:fldChar w:fldCharType="end"/>
        </w:r>
      </w:p>
    </w:sdtContent>
  </w:sdt>
  <w:p w14:paraId="43EA6796" w14:textId="77777777" w:rsidR="00D31714" w:rsidRDefault="00D31714"/>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553303241"/>
      <w:docPartObj>
        <w:docPartGallery w:val="Page Numbers (Bottom of Page)"/>
        <w:docPartUnique/>
      </w:docPartObj>
    </w:sdtPr>
    <w:sdtEndPr>
      <w:rPr>
        <w:cs/>
      </w:rPr>
    </w:sdtEndPr>
    <w:sdtContent>
      <w:p w14:paraId="5DAA157C" w14:textId="77777777" w:rsidR="000426DE" w:rsidRDefault="000426DE">
        <w:pPr>
          <w:pStyle w:val="affe"/>
          <w:jc w:val="right"/>
          <w:rPr>
            <w:rtl/>
            <w:cs/>
          </w:rPr>
        </w:pPr>
        <w:r>
          <w:fldChar w:fldCharType="begin"/>
        </w:r>
        <w:r>
          <w:rPr>
            <w:rtl/>
            <w:cs/>
          </w:rPr>
          <w:instrText>PAGE   \* MERGEFORMAT</w:instrText>
        </w:r>
        <w:r>
          <w:fldChar w:fldCharType="separate"/>
        </w:r>
        <w:r w:rsidRPr="000D3787">
          <w:rPr>
            <w:noProof/>
            <w:rtl/>
            <w:lang w:val="he-IL"/>
          </w:rPr>
          <w:t>1</w:t>
        </w:r>
        <w:r>
          <w:fldChar w:fldCharType="end"/>
        </w:r>
      </w:p>
    </w:sdtContent>
  </w:sdt>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A8055" w14:textId="77777777" w:rsidR="000426DE" w:rsidRDefault="000426DE" w:rsidP="00C83122">
    <w:pPr>
      <w:pStyle w:val="affe"/>
    </w:pPr>
    <w:r>
      <w:rPr>
        <w:noProof/>
      </w:rPr>
      <mc:AlternateContent>
        <mc:Choice Requires="wps">
          <w:drawing>
            <wp:anchor distT="0" distB="0" distL="114300" distR="114300" simplePos="0" relativeHeight="251692032" behindDoc="0" locked="0" layoutInCell="1" allowOverlap="1" wp14:anchorId="32B0B57A" wp14:editId="402EC6E9">
              <wp:simplePos x="0" y="0"/>
              <wp:positionH relativeFrom="margin">
                <wp:posOffset>3224530</wp:posOffset>
              </wp:positionH>
              <wp:positionV relativeFrom="paragraph">
                <wp:posOffset>52705</wp:posOffset>
              </wp:positionV>
              <wp:extent cx="3355975" cy="330200"/>
              <wp:effectExtent l="0" t="0" r="0" b="0"/>
              <wp:wrapNone/>
              <wp:docPr id="195" name="תיבת טקסט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5975" cy="330200"/>
                      </a:xfrm>
                      <a:prstGeom prst="rect">
                        <a:avLst/>
                      </a:prstGeom>
                      <a:solidFill>
                        <a:srgbClr val="FFFFFF"/>
                      </a:solidFill>
                      <a:ln w="19050">
                        <a:noFill/>
                        <a:miter lim="800000"/>
                        <a:headEnd/>
                        <a:tailEnd/>
                      </a:ln>
                    </wps:spPr>
                    <wps:txbx>
                      <w:txbxContent>
                        <w:p w14:paraId="4036E35B" w14:textId="77777777" w:rsidR="000426DE" w:rsidRPr="00D348B7" w:rsidRDefault="000426DE" w:rsidP="00BA3ECC">
                          <w:pPr>
                            <w:spacing w:line="240" w:lineRule="auto"/>
                            <w:contextualSpacing/>
                            <w:jc w:val="center"/>
                            <w:rPr>
                              <w:b/>
                              <w:bCs/>
                              <w:sz w:val="16"/>
                              <w:szCs w:val="16"/>
                              <w:rtl/>
                            </w:rPr>
                          </w:pPr>
                          <w:r>
                            <w:rPr>
                              <w:b/>
                              <w:bCs/>
                              <w:sz w:val="16"/>
                              <w:szCs w:val="16"/>
                              <w:rtl/>
                            </w:rPr>
                            <w:t xml:space="preserve">שלמה </w:t>
                          </w:r>
                          <w:r w:rsidRPr="00D348B7">
                            <w:rPr>
                              <w:b/>
                              <w:bCs/>
                              <w:sz w:val="16"/>
                              <w:szCs w:val="16"/>
                              <w:rtl/>
                            </w:rPr>
                            <w:t xml:space="preserve">הנדל </w:t>
                          </w:r>
                          <w:r>
                            <w:rPr>
                              <w:rFonts w:hint="cs"/>
                              <w:b/>
                              <w:bCs/>
                              <w:sz w:val="16"/>
                              <w:szCs w:val="16"/>
                              <w:rtl/>
                            </w:rPr>
                            <w:t xml:space="preserve">טל: </w:t>
                          </w:r>
                          <w:r w:rsidRPr="006C5697">
                            <w:rPr>
                              <w:b/>
                              <w:bCs/>
                              <w:sz w:val="16"/>
                              <w:szCs w:val="16"/>
                              <w:rtl/>
                            </w:rPr>
                            <w:t>052-7676412</w:t>
                          </w:r>
                        </w:p>
                        <w:p w14:paraId="14BCF852" w14:textId="77777777" w:rsidR="000426DE" w:rsidRPr="008D08BD" w:rsidRDefault="00AD16A0" w:rsidP="00BA3ECC">
                          <w:pPr>
                            <w:bidi w:val="0"/>
                            <w:spacing w:line="240" w:lineRule="auto"/>
                            <w:contextualSpacing/>
                            <w:jc w:val="center"/>
                            <w:rPr>
                              <w:b/>
                              <w:bCs/>
                              <w:sz w:val="16"/>
                              <w:szCs w:val="16"/>
                            </w:rPr>
                          </w:pPr>
                          <w:hyperlink r:id="rId1" w:history="1">
                            <w:r w:rsidR="000426DE" w:rsidRPr="008D08BD">
                              <w:rPr>
                                <w:b/>
                                <w:bCs/>
                                <w:sz w:val="16"/>
                                <w:szCs w:val="16"/>
                              </w:rPr>
                              <w:t>A05</w:t>
                            </w:r>
                            <w:r w:rsidR="000426DE" w:rsidRPr="008D08BD">
                              <w:rPr>
                                <w:rFonts w:hint="cs"/>
                                <w:b/>
                                <w:bCs/>
                                <w:sz w:val="16"/>
                                <w:szCs w:val="16"/>
                              </w:rPr>
                              <w:t>27676412</w:t>
                            </w:r>
                            <w:r w:rsidR="000426DE" w:rsidRPr="008D08BD">
                              <w:rPr>
                                <w:b/>
                                <w:bCs/>
                                <w:sz w:val="16"/>
                                <w:szCs w:val="16"/>
                              </w:rPr>
                              <w:t>@</w:t>
                            </w:r>
                            <w:r w:rsidR="000426DE" w:rsidRPr="008D08BD">
                              <w:rPr>
                                <w:rFonts w:hint="cs"/>
                                <w:b/>
                                <w:bCs/>
                                <w:sz w:val="16"/>
                                <w:szCs w:val="16"/>
                              </w:rPr>
                              <w:t>GMAIL.COM</w:t>
                            </w:r>
                          </w:hyperlink>
                          <w:r w:rsidR="000426DE">
                            <w:rPr>
                              <w:b/>
                              <w:bCs/>
                              <w:sz w:val="16"/>
                              <w:szCs w:val="16"/>
                            </w:rPr>
                            <w:t xml:space="preserve"> </w:t>
                          </w:r>
                          <w:r w:rsidR="000426DE" w:rsidRPr="008D08BD">
                            <w:rPr>
                              <w:rFonts w:hint="cs"/>
                              <w:b/>
                              <w:bCs/>
                              <w:sz w:val="16"/>
                              <w:szCs w:val="16"/>
                              <w:rtl/>
                            </w:rPr>
                            <w:t>לקבלת המ"מ ב</w:t>
                          </w:r>
                          <w:r w:rsidR="000426DE">
                            <w:rPr>
                              <w:rFonts w:hint="cs"/>
                              <w:b/>
                              <w:bCs/>
                              <w:sz w:val="16"/>
                              <w:szCs w:val="16"/>
                              <w:rtl/>
                            </w:rPr>
                            <w:t>קביעות ל</w:t>
                          </w:r>
                          <w:r w:rsidR="000426DE" w:rsidRPr="008D08BD">
                            <w:rPr>
                              <w:rFonts w:hint="cs"/>
                              <w:b/>
                              <w:bCs/>
                              <w:sz w:val="16"/>
                              <w:szCs w:val="16"/>
                              <w:rtl/>
                            </w:rPr>
                            <w:t>מייל נא לשלוח הודעה לכתובת:</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2B0B57A" id="_x0000_t202" coordsize="21600,21600" o:spt="202" path="m,l,21600r21600,l21600,xe">
              <v:stroke joinstyle="miter"/>
              <v:path gradientshapeok="t" o:connecttype="rect"/>
            </v:shapetype>
            <v:shape id="תיבת טקסט 195" o:spid="_x0000_s1044" type="#_x0000_t202" style="position:absolute;left:0;text-align:left;margin-left:253.9pt;margin-top:4.15pt;width:264.25pt;height:26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" stroked="f" strokeweight="1.5pt">
              <v:textbox>
                <w:txbxContent>
                  <w:p w14:paraId="4036E35B" w14:textId="77777777" w:rsidR="000426DE" w:rsidRPr="00D348B7" w:rsidRDefault="000426DE" w:rsidP="00BA3ECC">
                    <w:pPr>
                      <w:spacing w:line="240" w:lineRule="auto"/>
                      <w:contextualSpacing/>
                      <w:jc w:val="center"/>
                      <w:rPr>
                        <w:b/>
                        <w:bCs/>
                        <w:sz w:val="16"/>
                        <w:szCs w:val="16"/>
                        <w:rtl/>
                      </w:rPr>
                    </w:pPr>
                    <w:r>
                      <w:rPr>
                        <w:b/>
                        <w:bCs/>
                        <w:sz w:val="16"/>
                        <w:szCs w:val="16"/>
                        <w:rtl/>
                      </w:rPr>
                      <w:t xml:space="preserve">שלמה </w:t>
                    </w:r>
                    <w:r w:rsidRPr="00D348B7">
                      <w:rPr>
                        <w:b/>
                        <w:bCs/>
                        <w:sz w:val="16"/>
                        <w:szCs w:val="16"/>
                        <w:rtl/>
                      </w:rPr>
                      <w:t xml:space="preserve">הנדל </w:t>
                    </w:r>
                    <w:r>
                      <w:rPr>
                        <w:rFonts w:hint="cs"/>
                        <w:b/>
                        <w:bCs/>
                        <w:sz w:val="16"/>
                        <w:szCs w:val="16"/>
                        <w:rtl/>
                      </w:rPr>
                      <w:t xml:space="preserve">טל: </w:t>
                    </w:r>
                    <w:r w:rsidRPr="006C5697">
                      <w:rPr>
                        <w:b/>
                        <w:bCs/>
                        <w:sz w:val="16"/>
                        <w:szCs w:val="16"/>
                        <w:rtl/>
                      </w:rPr>
                      <w:t>052-7676412</w:t>
                    </w:r>
                  </w:p>
                  <w:p w14:paraId="14BCF852" w14:textId="77777777" w:rsidR="000426DE" w:rsidRPr="008D08BD" w:rsidRDefault="00AD16A0" w:rsidP="00BA3ECC">
                    <w:pPr>
                      <w:bidi w:val="0"/>
                      <w:spacing w:line="240" w:lineRule="auto"/>
                      <w:contextualSpacing/>
                      <w:jc w:val="center"/>
                      <w:rPr>
                        <w:b/>
                        <w:bCs/>
                        <w:sz w:val="16"/>
                        <w:szCs w:val="16"/>
                      </w:rPr>
                    </w:pPr>
                    <w:hyperlink r:id="rId2" w:history="1">
                      <w:r w:rsidR="000426DE" w:rsidRPr="008D08BD">
                        <w:rPr>
                          <w:b/>
                          <w:bCs/>
                          <w:sz w:val="16"/>
                          <w:szCs w:val="16"/>
                        </w:rPr>
                        <w:t>A05</w:t>
                      </w:r>
                      <w:r w:rsidR="000426DE" w:rsidRPr="008D08BD">
                        <w:rPr>
                          <w:rFonts w:hint="cs"/>
                          <w:b/>
                          <w:bCs/>
                          <w:sz w:val="16"/>
                          <w:szCs w:val="16"/>
                        </w:rPr>
                        <w:t>27676412</w:t>
                      </w:r>
                      <w:r w:rsidR="000426DE" w:rsidRPr="008D08BD">
                        <w:rPr>
                          <w:b/>
                          <w:bCs/>
                          <w:sz w:val="16"/>
                          <w:szCs w:val="16"/>
                        </w:rPr>
                        <w:t>@</w:t>
                      </w:r>
                      <w:r w:rsidR="000426DE" w:rsidRPr="008D08BD">
                        <w:rPr>
                          <w:rFonts w:hint="cs"/>
                          <w:b/>
                          <w:bCs/>
                          <w:sz w:val="16"/>
                          <w:szCs w:val="16"/>
                        </w:rPr>
                        <w:t>GMAIL.COM</w:t>
                      </w:r>
                    </w:hyperlink>
                    <w:r w:rsidR="000426DE">
                      <w:rPr>
                        <w:b/>
                        <w:bCs/>
                        <w:sz w:val="16"/>
                        <w:szCs w:val="16"/>
                      </w:rPr>
                      <w:t xml:space="preserve"> </w:t>
                    </w:r>
                    <w:r w:rsidR="000426DE" w:rsidRPr="008D08BD">
                      <w:rPr>
                        <w:rFonts w:hint="cs"/>
                        <w:b/>
                        <w:bCs/>
                        <w:sz w:val="16"/>
                        <w:szCs w:val="16"/>
                        <w:rtl/>
                      </w:rPr>
                      <w:t>לקבלת המ"מ ב</w:t>
                    </w:r>
                    <w:r w:rsidR="000426DE">
                      <w:rPr>
                        <w:rFonts w:hint="cs"/>
                        <w:b/>
                        <w:bCs/>
                        <w:sz w:val="16"/>
                        <w:szCs w:val="16"/>
                        <w:rtl/>
                      </w:rPr>
                      <w:t>קביעות ל</w:t>
                    </w:r>
                    <w:r w:rsidR="000426DE" w:rsidRPr="008D08BD">
                      <w:rPr>
                        <w:rFonts w:hint="cs"/>
                        <w:b/>
                        <w:bCs/>
                        <w:sz w:val="16"/>
                        <w:szCs w:val="16"/>
                        <w:rtl/>
                      </w:rPr>
                      <w:t>מייל נא לשלוח הודעה לכתובת:</w:t>
                    </w:r>
                  </w:p>
                </w:txbxContent>
              </v:textbox>
              <w10:wrap anchorx="margin"/>
            </v:shape>
          </w:pict>
        </mc:Fallback>
      </mc:AlternateContent>
    </w:r>
    <w:r>
      <w:rPr>
        <w:noProof/>
      </w:rPr>
      <mc:AlternateContent>
        <mc:Choice Requires="wps">
          <w:drawing>
            <wp:anchor distT="0" distB="0" distL="114300" distR="114300" simplePos="0" relativeHeight="251693056" behindDoc="0" locked="0" layoutInCell="1" allowOverlap="1" wp14:anchorId="5D91BE52" wp14:editId="3B3F3C49">
              <wp:simplePos x="0" y="0"/>
              <wp:positionH relativeFrom="margin">
                <wp:posOffset>46355</wp:posOffset>
              </wp:positionH>
              <wp:positionV relativeFrom="paragraph">
                <wp:posOffset>34290</wp:posOffset>
              </wp:positionV>
              <wp:extent cx="1002665" cy="264160"/>
              <wp:effectExtent l="0" t="0" r="26035" b="21590"/>
              <wp:wrapNone/>
              <wp:docPr id="196" name="תיבת טקסט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2665" cy="264160"/>
                      </a:xfrm>
                      <a:prstGeom prst="rect">
                        <a:avLst/>
                      </a:prstGeom>
                      <a:solidFill>
                        <a:srgbClr val="FFFFFF"/>
                      </a:solidFill>
                      <a:ln w="15875">
                        <a:solidFill>
                          <a:srgbClr val="000000"/>
                        </a:solidFill>
                        <a:miter lim="800000"/>
                        <a:headEnd/>
                        <a:tailEnd/>
                      </a:ln>
                    </wps:spPr>
                    <wps:txbx>
                      <w:txbxContent>
                        <w:p w14:paraId="7F154201" w14:textId="77777777" w:rsidR="000426DE" w:rsidRDefault="000426DE" w:rsidP="00C83122">
                          <w:pPr>
                            <w:rPr>
                              <w:b/>
                              <w:bCs/>
                              <w:sz w:val="18"/>
                              <w:szCs w:val="18"/>
                            </w:rPr>
                          </w:pPr>
                          <w:r>
                            <w:rPr>
                              <w:b/>
                              <w:bCs/>
                              <w:sz w:val="18"/>
                              <w:szCs w:val="18"/>
                              <w:rtl/>
                            </w:rPr>
                            <w:t>המשך בעמ' הבא</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D91BE52" id="תיבת טקסט 196" o:spid="_x0000_s1045" type="#_x0000_t202" style="position:absolute;left:0;text-align:left;margin-left:3.65pt;margin-top:2.7pt;width:78.95pt;height:20.8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" strokeweight="1.25pt">
              <v:textbox>
                <w:txbxContent>
                  <w:p w14:paraId="7F154201" w14:textId="77777777" w:rsidR="000426DE" w:rsidRDefault="000426DE" w:rsidP="00C83122">
                    <w:pPr>
                      <w:rPr>
                        <w:b/>
                        <w:bCs/>
                        <w:sz w:val="18"/>
                        <w:szCs w:val="18"/>
                      </w:rPr>
                    </w:pPr>
                    <w:r>
                      <w:rPr>
                        <w:b/>
                        <w:bCs/>
                        <w:sz w:val="18"/>
                        <w:szCs w:val="18"/>
                        <w:rtl/>
                      </w:rPr>
                      <w:t>המשך בעמ' הבא</w:t>
                    </w:r>
                  </w:p>
                </w:txbxContent>
              </v:textbox>
              <w10:wrap anchorx="margin"/>
            </v:shape>
          </w:pict>
        </mc:Fallback>
      </mc:AlternateContent>
    </w:r>
  </w:p>
  <w:p w14:paraId="39BA300B" w14:textId="77777777" w:rsidR="000426DE" w:rsidRDefault="000426DE" w:rsidP="00C83122">
    <w:pPr>
      <w:pStyle w:val="affe"/>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A6507" w14:textId="77777777" w:rsidR="000426DE" w:rsidRDefault="000426DE">
    <w:pPr>
      <w:pStyle w:val="affe"/>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896965407"/>
      <w:docPartObj>
        <w:docPartGallery w:val="Page Numbers (Bottom of Page)"/>
        <w:docPartUnique/>
      </w:docPartObj>
    </w:sdtPr>
    <w:sdtEndPr>
      <w:rPr>
        <w:cs/>
      </w:rPr>
    </w:sdtEndPr>
    <w:sdtContent>
      <w:p w14:paraId="32FD2B7A" w14:textId="77777777" w:rsidR="000426DE" w:rsidRDefault="000426DE">
        <w:pPr>
          <w:pStyle w:val="affe"/>
          <w:jc w:val="right"/>
          <w:rPr>
            <w:rtl/>
            <w:cs/>
          </w:rPr>
        </w:pPr>
        <w:r>
          <w:fldChar w:fldCharType="begin"/>
        </w:r>
        <w:r>
          <w:rPr>
            <w:rtl/>
            <w:cs/>
          </w:rPr>
          <w:instrText>PAGE   \* MERGEFORMAT</w:instrText>
        </w:r>
        <w:r>
          <w:fldChar w:fldCharType="separate"/>
        </w:r>
        <w:r w:rsidRPr="006B3804">
          <w:rPr>
            <w:noProof/>
            <w:rtl/>
            <w:lang w:val="he-IL"/>
          </w:rPr>
          <w:t>2</w:t>
        </w:r>
        <w:r>
          <w:fldChar w:fldCharType="end"/>
        </w:r>
      </w:p>
    </w:sdtContent>
  </w:sdt>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504EC" w14:textId="77777777" w:rsidR="000426DE" w:rsidRDefault="000426DE" w:rsidP="00C83122">
    <w:pPr>
      <w:pStyle w:val="affe"/>
    </w:pPr>
    <w:r>
      <w:rPr>
        <w:noProof/>
      </w:rPr>
      <mc:AlternateContent>
        <mc:Choice Requires="wps">
          <w:drawing>
            <wp:anchor distT="0" distB="0" distL="114300" distR="114300" simplePos="0" relativeHeight="251694080" behindDoc="0" locked="0" layoutInCell="1" allowOverlap="1" wp14:anchorId="03F896F6" wp14:editId="72C4180E">
              <wp:simplePos x="0" y="0"/>
              <wp:positionH relativeFrom="margin">
                <wp:posOffset>3235960</wp:posOffset>
              </wp:positionH>
              <wp:positionV relativeFrom="paragraph">
                <wp:posOffset>64135</wp:posOffset>
              </wp:positionV>
              <wp:extent cx="3355975" cy="330200"/>
              <wp:effectExtent l="0" t="0" r="0" b="0"/>
              <wp:wrapNone/>
              <wp:docPr id="197" name="תיבת טקסט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5975" cy="330200"/>
                      </a:xfrm>
                      <a:prstGeom prst="rect">
                        <a:avLst/>
                      </a:prstGeom>
                      <a:solidFill>
                        <a:srgbClr val="FFFFFF"/>
                      </a:solidFill>
                      <a:ln w="19050">
                        <a:noFill/>
                        <a:miter lim="800000"/>
                        <a:headEnd/>
                        <a:tailEnd/>
                      </a:ln>
                    </wps:spPr>
                    <wps:txbx>
                      <w:txbxContent>
                        <w:p w14:paraId="1B8A9A52" w14:textId="77777777" w:rsidR="000426DE" w:rsidRPr="00D348B7" w:rsidRDefault="000426DE" w:rsidP="00C83122">
                          <w:pPr>
                            <w:spacing w:line="240" w:lineRule="auto"/>
                            <w:jc w:val="center"/>
                            <w:rPr>
                              <w:b/>
                              <w:bCs/>
                              <w:sz w:val="16"/>
                              <w:szCs w:val="16"/>
                              <w:rtl/>
                            </w:rPr>
                          </w:pPr>
                          <w:r>
                            <w:rPr>
                              <w:b/>
                              <w:bCs/>
                              <w:sz w:val="16"/>
                              <w:szCs w:val="16"/>
                              <w:rtl/>
                            </w:rPr>
                            <w:t xml:space="preserve">שלמה </w:t>
                          </w:r>
                          <w:r w:rsidRPr="00D348B7">
                            <w:rPr>
                              <w:b/>
                              <w:bCs/>
                              <w:sz w:val="16"/>
                              <w:szCs w:val="16"/>
                              <w:rtl/>
                            </w:rPr>
                            <w:t xml:space="preserve">הנדל </w:t>
                          </w:r>
                          <w:r w:rsidRPr="00D348B7">
                            <w:rPr>
                              <w:rFonts w:hint="cs"/>
                              <w:b/>
                              <w:bCs/>
                              <w:sz w:val="16"/>
                              <w:szCs w:val="16"/>
                              <w:rtl/>
                            </w:rPr>
                            <w:t xml:space="preserve">- </w:t>
                          </w:r>
                          <w:r w:rsidRPr="00D348B7">
                            <w:rPr>
                              <w:b/>
                              <w:bCs/>
                              <w:sz w:val="16"/>
                              <w:szCs w:val="16"/>
                              <w:rtl/>
                            </w:rPr>
                            <w:t>בית הלל</w:t>
                          </w:r>
                          <w:r>
                            <w:rPr>
                              <w:b/>
                              <w:bCs/>
                              <w:sz w:val="16"/>
                              <w:szCs w:val="16"/>
                              <w:rtl/>
                            </w:rPr>
                            <w:tab/>
                          </w:r>
                          <w:r>
                            <w:rPr>
                              <w:rFonts w:hint="cs"/>
                              <w:b/>
                              <w:bCs/>
                              <w:sz w:val="16"/>
                              <w:szCs w:val="16"/>
                              <w:rtl/>
                            </w:rPr>
                            <w:t xml:space="preserve">טל: </w:t>
                          </w:r>
                          <w:r w:rsidRPr="006C5697">
                            <w:rPr>
                              <w:b/>
                              <w:bCs/>
                              <w:sz w:val="16"/>
                              <w:szCs w:val="16"/>
                              <w:rtl/>
                            </w:rPr>
                            <w:t>052-7676412</w:t>
                          </w:r>
                        </w:p>
                        <w:p w14:paraId="2F4EF45C" w14:textId="77777777" w:rsidR="000426DE" w:rsidRPr="008D08BD" w:rsidRDefault="00AD16A0" w:rsidP="00C83122">
                          <w:pPr>
                            <w:bidi w:val="0"/>
                            <w:jc w:val="center"/>
                            <w:rPr>
                              <w:b/>
                              <w:bCs/>
                              <w:sz w:val="16"/>
                              <w:szCs w:val="16"/>
                            </w:rPr>
                          </w:pPr>
                          <w:hyperlink r:id="rId1" w:history="1">
                            <w:r w:rsidR="000426DE" w:rsidRPr="008D08BD">
                              <w:rPr>
                                <w:b/>
                                <w:bCs/>
                                <w:sz w:val="16"/>
                                <w:szCs w:val="16"/>
                              </w:rPr>
                              <w:t>A05</w:t>
                            </w:r>
                            <w:r w:rsidR="000426DE" w:rsidRPr="008D08BD">
                              <w:rPr>
                                <w:rFonts w:hint="cs"/>
                                <w:b/>
                                <w:bCs/>
                                <w:sz w:val="16"/>
                                <w:szCs w:val="16"/>
                              </w:rPr>
                              <w:t>27676412</w:t>
                            </w:r>
                            <w:r w:rsidR="000426DE" w:rsidRPr="008D08BD">
                              <w:rPr>
                                <w:b/>
                                <w:bCs/>
                                <w:sz w:val="16"/>
                                <w:szCs w:val="16"/>
                              </w:rPr>
                              <w:t>@</w:t>
                            </w:r>
                            <w:r w:rsidR="000426DE" w:rsidRPr="008D08BD">
                              <w:rPr>
                                <w:rFonts w:hint="cs"/>
                                <w:b/>
                                <w:bCs/>
                                <w:sz w:val="16"/>
                                <w:szCs w:val="16"/>
                              </w:rPr>
                              <w:t>GMAIL.COM</w:t>
                            </w:r>
                          </w:hyperlink>
                          <w:r w:rsidR="000426DE">
                            <w:rPr>
                              <w:b/>
                              <w:bCs/>
                              <w:sz w:val="16"/>
                              <w:szCs w:val="16"/>
                            </w:rPr>
                            <w:t xml:space="preserve"> </w:t>
                          </w:r>
                          <w:r w:rsidR="000426DE" w:rsidRPr="008D08BD">
                            <w:rPr>
                              <w:rFonts w:hint="cs"/>
                              <w:b/>
                              <w:bCs/>
                              <w:sz w:val="16"/>
                              <w:szCs w:val="16"/>
                              <w:rtl/>
                            </w:rPr>
                            <w:t>לקבלת המ"מ במייל נא לשלוח הודעה לכתובת:</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3F896F6" id="_x0000_t202" coordsize="21600,21600" o:spt="202" path="m,l,21600r21600,l21600,xe">
              <v:stroke joinstyle="miter"/>
              <v:path gradientshapeok="t" o:connecttype="rect"/>
            </v:shapetype>
            <v:shape id="תיבת טקסט 197" o:spid="_x0000_s1046" type="#_x0000_t202" style="position:absolute;left:0;text-align:left;margin-left:254.8pt;margin-top:5.05pt;width:264.25pt;height:26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" stroked="f" strokeweight="1.5pt">
              <v:textbox>
                <w:txbxContent>
                  <w:p w14:paraId="1B8A9A52" w14:textId="77777777" w:rsidR="000426DE" w:rsidRPr="00D348B7" w:rsidRDefault="000426DE" w:rsidP="00C83122">
                    <w:pPr>
                      <w:spacing w:line="240" w:lineRule="auto"/>
                      <w:jc w:val="center"/>
                      <w:rPr>
                        <w:b/>
                        <w:bCs/>
                        <w:sz w:val="16"/>
                        <w:szCs w:val="16"/>
                        <w:rtl/>
                      </w:rPr>
                    </w:pPr>
                    <w:r>
                      <w:rPr>
                        <w:b/>
                        <w:bCs/>
                        <w:sz w:val="16"/>
                        <w:szCs w:val="16"/>
                        <w:rtl/>
                      </w:rPr>
                      <w:t xml:space="preserve">שלמה </w:t>
                    </w:r>
                    <w:r w:rsidRPr="00D348B7">
                      <w:rPr>
                        <w:b/>
                        <w:bCs/>
                        <w:sz w:val="16"/>
                        <w:szCs w:val="16"/>
                        <w:rtl/>
                      </w:rPr>
                      <w:t xml:space="preserve">הנדל </w:t>
                    </w:r>
                    <w:r w:rsidRPr="00D348B7">
                      <w:rPr>
                        <w:rFonts w:hint="cs"/>
                        <w:b/>
                        <w:bCs/>
                        <w:sz w:val="16"/>
                        <w:szCs w:val="16"/>
                        <w:rtl/>
                      </w:rPr>
                      <w:t xml:space="preserve">- </w:t>
                    </w:r>
                    <w:r w:rsidRPr="00D348B7">
                      <w:rPr>
                        <w:b/>
                        <w:bCs/>
                        <w:sz w:val="16"/>
                        <w:szCs w:val="16"/>
                        <w:rtl/>
                      </w:rPr>
                      <w:t>בית הלל</w:t>
                    </w:r>
                    <w:r>
                      <w:rPr>
                        <w:b/>
                        <w:bCs/>
                        <w:sz w:val="16"/>
                        <w:szCs w:val="16"/>
                        <w:rtl/>
                      </w:rPr>
                      <w:tab/>
                    </w:r>
                    <w:r>
                      <w:rPr>
                        <w:rFonts w:hint="cs"/>
                        <w:b/>
                        <w:bCs/>
                        <w:sz w:val="16"/>
                        <w:szCs w:val="16"/>
                        <w:rtl/>
                      </w:rPr>
                      <w:t xml:space="preserve">טל: </w:t>
                    </w:r>
                    <w:r w:rsidRPr="006C5697">
                      <w:rPr>
                        <w:b/>
                        <w:bCs/>
                        <w:sz w:val="16"/>
                        <w:szCs w:val="16"/>
                        <w:rtl/>
                      </w:rPr>
                      <w:t>052-7676412</w:t>
                    </w:r>
                  </w:p>
                  <w:p w14:paraId="2F4EF45C" w14:textId="77777777" w:rsidR="000426DE" w:rsidRPr="008D08BD" w:rsidRDefault="00AD16A0" w:rsidP="00C83122">
                    <w:pPr>
                      <w:bidi w:val="0"/>
                      <w:jc w:val="center"/>
                      <w:rPr>
                        <w:b/>
                        <w:bCs/>
                        <w:sz w:val="16"/>
                        <w:szCs w:val="16"/>
                      </w:rPr>
                    </w:pPr>
                    <w:hyperlink r:id="rId2" w:history="1">
                      <w:r w:rsidR="000426DE" w:rsidRPr="008D08BD">
                        <w:rPr>
                          <w:b/>
                          <w:bCs/>
                          <w:sz w:val="16"/>
                          <w:szCs w:val="16"/>
                        </w:rPr>
                        <w:t>A05</w:t>
                      </w:r>
                      <w:r w:rsidR="000426DE" w:rsidRPr="008D08BD">
                        <w:rPr>
                          <w:rFonts w:hint="cs"/>
                          <w:b/>
                          <w:bCs/>
                          <w:sz w:val="16"/>
                          <w:szCs w:val="16"/>
                        </w:rPr>
                        <w:t>27676412</w:t>
                      </w:r>
                      <w:r w:rsidR="000426DE" w:rsidRPr="008D08BD">
                        <w:rPr>
                          <w:b/>
                          <w:bCs/>
                          <w:sz w:val="16"/>
                          <w:szCs w:val="16"/>
                        </w:rPr>
                        <w:t>@</w:t>
                      </w:r>
                      <w:r w:rsidR="000426DE" w:rsidRPr="008D08BD">
                        <w:rPr>
                          <w:rFonts w:hint="cs"/>
                          <w:b/>
                          <w:bCs/>
                          <w:sz w:val="16"/>
                          <w:szCs w:val="16"/>
                        </w:rPr>
                        <w:t>GMAIL.COM</w:t>
                      </w:r>
                    </w:hyperlink>
                    <w:r w:rsidR="000426DE">
                      <w:rPr>
                        <w:b/>
                        <w:bCs/>
                        <w:sz w:val="16"/>
                        <w:szCs w:val="16"/>
                      </w:rPr>
                      <w:t xml:space="preserve"> </w:t>
                    </w:r>
                    <w:r w:rsidR="000426DE" w:rsidRPr="008D08BD">
                      <w:rPr>
                        <w:rFonts w:hint="cs"/>
                        <w:b/>
                        <w:bCs/>
                        <w:sz w:val="16"/>
                        <w:szCs w:val="16"/>
                        <w:rtl/>
                      </w:rPr>
                      <w:t>לקבלת המ"מ במייל נא לשלוח הודעה לכתובת:</w:t>
                    </w:r>
                  </w:p>
                </w:txbxContent>
              </v:textbox>
              <w10:wrap anchorx="margin"/>
            </v:shape>
          </w:pict>
        </mc:Fallback>
      </mc:AlternateContent>
    </w:r>
    <w:r>
      <w:rPr>
        <w:noProof/>
      </w:rPr>
      <mc:AlternateContent>
        <mc:Choice Requires="wps">
          <w:drawing>
            <wp:anchor distT="0" distB="0" distL="114300" distR="114300" simplePos="0" relativeHeight="251695104" behindDoc="0" locked="0" layoutInCell="1" allowOverlap="1" wp14:anchorId="67DBD63B" wp14:editId="77B68D17">
              <wp:simplePos x="0" y="0"/>
              <wp:positionH relativeFrom="margin">
                <wp:posOffset>46355</wp:posOffset>
              </wp:positionH>
              <wp:positionV relativeFrom="paragraph">
                <wp:posOffset>34290</wp:posOffset>
              </wp:positionV>
              <wp:extent cx="1002665" cy="264160"/>
              <wp:effectExtent l="0" t="0" r="26035" b="21590"/>
              <wp:wrapNone/>
              <wp:docPr id="198" name="תיבת טקסט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2665" cy="264160"/>
                      </a:xfrm>
                      <a:prstGeom prst="rect">
                        <a:avLst/>
                      </a:prstGeom>
                      <a:solidFill>
                        <a:srgbClr val="FFFFFF"/>
                      </a:solidFill>
                      <a:ln w="15875">
                        <a:solidFill>
                          <a:srgbClr val="000000"/>
                        </a:solidFill>
                        <a:miter lim="800000"/>
                        <a:headEnd/>
                        <a:tailEnd/>
                      </a:ln>
                    </wps:spPr>
                    <wps:txbx>
                      <w:txbxContent>
                        <w:p w14:paraId="63E3BDD4" w14:textId="77777777" w:rsidR="000426DE" w:rsidRDefault="000426DE" w:rsidP="00C83122">
                          <w:pPr>
                            <w:rPr>
                              <w:b/>
                              <w:bCs/>
                              <w:sz w:val="18"/>
                              <w:szCs w:val="18"/>
                            </w:rPr>
                          </w:pPr>
                          <w:r>
                            <w:rPr>
                              <w:b/>
                              <w:bCs/>
                              <w:sz w:val="18"/>
                              <w:szCs w:val="18"/>
                              <w:rtl/>
                            </w:rPr>
                            <w:t>המשך בעמ' הבא</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DBD63B" id="תיבת טקסט 198" o:spid="_x0000_s1047" type="#_x0000_t202" style="position:absolute;left:0;text-align:left;margin-left:3.65pt;margin-top:2.7pt;width:78.95pt;height:20.8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" strokeweight="1.25pt">
              <v:textbox>
                <w:txbxContent>
                  <w:p w14:paraId="63E3BDD4" w14:textId="77777777" w:rsidR="000426DE" w:rsidRDefault="000426DE" w:rsidP="00C83122">
                    <w:pPr>
                      <w:rPr>
                        <w:b/>
                        <w:bCs/>
                        <w:sz w:val="18"/>
                        <w:szCs w:val="18"/>
                      </w:rPr>
                    </w:pPr>
                    <w:r>
                      <w:rPr>
                        <w:b/>
                        <w:bCs/>
                        <w:sz w:val="18"/>
                        <w:szCs w:val="18"/>
                        <w:rtl/>
                      </w:rPr>
                      <w:t>המשך בעמ' הבא</w:t>
                    </w:r>
                  </w:p>
                </w:txbxContent>
              </v:textbox>
              <w10:wrap anchorx="margin"/>
            </v:shape>
          </w:pict>
        </mc:Fallback>
      </mc:AlternateContent>
    </w:r>
  </w:p>
  <w:p w14:paraId="123AC5E0" w14:textId="77777777" w:rsidR="000426DE" w:rsidRDefault="000426DE" w:rsidP="00C83122">
    <w:pPr>
      <w:pStyle w:val="affe"/>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06355635"/>
      <w:docPartObj>
        <w:docPartGallery w:val="Page Numbers (Bottom of Page)"/>
        <w:docPartUnique/>
      </w:docPartObj>
    </w:sdtPr>
    <w:sdtEndPr>
      <w:rPr>
        <w:cs/>
      </w:rPr>
    </w:sdtEndPr>
    <w:sdtContent>
      <w:p w14:paraId="0AC8F9EB" w14:textId="77777777" w:rsidR="000426DE" w:rsidRDefault="000426DE">
        <w:pPr>
          <w:pStyle w:val="affe"/>
          <w:jc w:val="right"/>
          <w:rPr>
            <w:rtl/>
            <w:cs/>
          </w:rPr>
        </w:pPr>
        <w:r>
          <w:fldChar w:fldCharType="begin"/>
        </w:r>
        <w:r>
          <w:rPr>
            <w:rtl/>
            <w:cs/>
          </w:rPr>
          <w:instrText>PAGE   \* MERGEFORMAT</w:instrText>
        </w:r>
        <w:r>
          <w:fldChar w:fldCharType="separate"/>
        </w:r>
        <w:r w:rsidRPr="006B3804">
          <w:rPr>
            <w:noProof/>
            <w:rtl/>
            <w:lang w:val="he-IL"/>
          </w:rPr>
          <w:t>3</w:t>
        </w:r>
        <w:r>
          <w:fldChar w:fldCharType="end"/>
        </w:r>
      </w:p>
    </w:sdtContent>
  </w:sdt>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1112524"/>
      <w:docPartObj>
        <w:docPartGallery w:val="Page Numbers (Bottom of Page)"/>
        <w:docPartUnique/>
      </w:docPartObj>
    </w:sdtPr>
    <w:sdtEndPr>
      <w:rPr>
        <w:cs/>
      </w:rPr>
    </w:sdtEndPr>
    <w:sdtContent>
      <w:p w14:paraId="5719DA2C" w14:textId="77777777" w:rsidR="00316453" w:rsidRDefault="00316453">
        <w:pPr>
          <w:pStyle w:val="affe"/>
          <w:jc w:val="right"/>
          <w:rPr>
            <w:rtl/>
            <w:cs/>
          </w:rPr>
        </w:pPr>
        <w:r>
          <w:fldChar w:fldCharType="begin"/>
        </w:r>
        <w:r>
          <w:rPr>
            <w:rtl/>
            <w:cs/>
          </w:rPr>
          <w:instrText>PAGE   \* MERGEFORMAT</w:instrText>
        </w:r>
        <w:r>
          <w:fldChar w:fldCharType="separate"/>
        </w:r>
        <w:r w:rsidRPr="000D3787">
          <w:rPr>
            <w:noProof/>
            <w:rtl/>
            <w:lang w:val="he-IL"/>
          </w:rPr>
          <w:t>1</w:t>
        </w:r>
        <w:r>
          <w:fldChar w:fldCharType="end"/>
        </w:r>
      </w:p>
    </w:sdtContent>
  </w:sdt>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DC095" w14:textId="77777777" w:rsidR="00316453" w:rsidRDefault="00316453" w:rsidP="00C83122">
    <w:pPr>
      <w:pStyle w:val="affe"/>
    </w:pPr>
    <w:r>
      <w:rPr>
        <w:noProof/>
      </w:rPr>
      <mc:AlternateContent>
        <mc:Choice Requires="wps">
          <w:drawing>
            <wp:anchor distT="0" distB="0" distL="114300" distR="114300" simplePos="0" relativeHeight="251697152" behindDoc="0" locked="0" layoutInCell="1" allowOverlap="1" wp14:anchorId="52869113" wp14:editId="0F785BB3">
              <wp:simplePos x="0" y="0"/>
              <wp:positionH relativeFrom="margin">
                <wp:posOffset>3224530</wp:posOffset>
              </wp:positionH>
              <wp:positionV relativeFrom="paragraph">
                <wp:posOffset>52705</wp:posOffset>
              </wp:positionV>
              <wp:extent cx="3355975" cy="330200"/>
              <wp:effectExtent l="0" t="0" r="0" b="0"/>
              <wp:wrapNone/>
              <wp:docPr id="205" name="תיבת טקסט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5975" cy="330200"/>
                      </a:xfrm>
                      <a:prstGeom prst="rect">
                        <a:avLst/>
                      </a:prstGeom>
                      <a:solidFill>
                        <a:srgbClr val="FFFFFF"/>
                      </a:solidFill>
                      <a:ln w="19050">
                        <a:noFill/>
                        <a:miter lim="800000"/>
                        <a:headEnd/>
                        <a:tailEnd/>
                      </a:ln>
                    </wps:spPr>
                    <wps:txbx>
                      <w:txbxContent>
                        <w:p w14:paraId="327AF44A" w14:textId="77777777" w:rsidR="00316453" w:rsidRPr="00D348B7" w:rsidRDefault="00316453" w:rsidP="00BA3ECC">
                          <w:pPr>
                            <w:spacing w:line="240" w:lineRule="auto"/>
                            <w:contextualSpacing/>
                            <w:jc w:val="center"/>
                            <w:rPr>
                              <w:b/>
                              <w:bCs/>
                              <w:sz w:val="16"/>
                              <w:szCs w:val="16"/>
                              <w:rtl/>
                            </w:rPr>
                          </w:pPr>
                          <w:r>
                            <w:rPr>
                              <w:b/>
                              <w:bCs/>
                              <w:sz w:val="16"/>
                              <w:szCs w:val="16"/>
                              <w:rtl/>
                            </w:rPr>
                            <w:t xml:space="preserve">שלמה </w:t>
                          </w:r>
                          <w:r w:rsidRPr="00D348B7">
                            <w:rPr>
                              <w:b/>
                              <w:bCs/>
                              <w:sz w:val="16"/>
                              <w:szCs w:val="16"/>
                              <w:rtl/>
                            </w:rPr>
                            <w:t xml:space="preserve">הנדל </w:t>
                          </w:r>
                          <w:r>
                            <w:rPr>
                              <w:rFonts w:hint="cs"/>
                              <w:b/>
                              <w:bCs/>
                              <w:sz w:val="16"/>
                              <w:szCs w:val="16"/>
                              <w:rtl/>
                            </w:rPr>
                            <w:t xml:space="preserve">טל: </w:t>
                          </w:r>
                          <w:r w:rsidRPr="006C5697">
                            <w:rPr>
                              <w:b/>
                              <w:bCs/>
                              <w:sz w:val="16"/>
                              <w:szCs w:val="16"/>
                              <w:rtl/>
                            </w:rPr>
                            <w:t>052-7676412</w:t>
                          </w:r>
                        </w:p>
                        <w:p w14:paraId="31FA81B1" w14:textId="77777777" w:rsidR="00316453" w:rsidRPr="008D08BD" w:rsidRDefault="00AD16A0" w:rsidP="00BA3ECC">
                          <w:pPr>
                            <w:bidi w:val="0"/>
                            <w:spacing w:line="240" w:lineRule="auto"/>
                            <w:contextualSpacing/>
                            <w:jc w:val="center"/>
                            <w:rPr>
                              <w:b/>
                              <w:bCs/>
                              <w:sz w:val="16"/>
                              <w:szCs w:val="16"/>
                            </w:rPr>
                          </w:pPr>
                          <w:hyperlink r:id="rId1" w:history="1">
                            <w:r w:rsidR="00316453" w:rsidRPr="008D08BD">
                              <w:rPr>
                                <w:b/>
                                <w:bCs/>
                                <w:sz w:val="16"/>
                                <w:szCs w:val="16"/>
                              </w:rPr>
                              <w:t>A05</w:t>
                            </w:r>
                            <w:r w:rsidR="00316453" w:rsidRPr="008D08BD">
                              <w:rPr>
                                <w:rFonts w:hint="cs"/>
                                <w:b/>
                                <w:bCs/>
                                <w:sz w:val="16"/>
                                <w:szCs w:val="16"/>
                              </w:rPr>
                              <w:t>27676412</w:t>
                            </w:r>
                            <w:r w:rsidR="00316453" w:rsidRPr="008D08BD">
                              <w:rPr>
                                <w:b/>
                                <w:bCs/>
                                <w:sz w:val="16"/>
                                <w:szCs w:val="16"/>
                              </w:rPr>
                              <w:t>@</w:t>
                            </w:r>
                            <w:r w:rsidR="00316453" w:rsidRPr="008D08BD">
                              <w:rPr>
                                <w:rFonts w:hint="cs"/>
                                <w:b/>
                                <w:bCs/>
                                <w:sz w:val="16"/>
                                <w:szCs w:val="16"/>
                              </w:rPr>
                              <w:t>GMAIL.COM</w:t>
                            </w:r>
                          </w:hyperlink>
                          <w:r w:rsidR="00316453">
                            <w:rPr>
                              <w:b/>
                              <w:bCs/>
                              <w:sz w:val="16"/>
                              <w:szCs w:val="16"/>
                            </w:rPr>
                            <w:t xml:space="preserve"> </w:t>
                          </w:r>
                          <w:r w:rsidR="00316453" w:rsidRPr="008D08BD">
                            <w:rPr>
                              <w:rFonts w:hint="cs"/>
                              <w:b/>
                              <w:bCs/>
                              <w:sz w:val="16"/>
                              <w:szCs w:val="16"/>
                              <w:rtl/>
                            </w:rPr>
                            <w:t>לקבלת המ"מ ב</w:t>
                          </w:r>
                          <w:r w:rsidR="00316453">
                            <w:rPr>
                              <w:rFonts w:hint="cs"/>
                              <w:b/>
                              <w:bCs/>
                              <w:sz w:val="16"/>
                              <w:szCs w:val="16"/>
                              <w:rtl/>
                            </w:rPr>
                            <w:t>קביעות ל</w:t>
                          </w:r>
                          <w:r w:rsidR="00316453" w:rsidRPr="008D08BD">
                            <w:rPr>
                              <w:rFonts w:hint="cs"/>
                              <w:b/>
                              <w:bCs/>
                              <w:sz w:val="16"/>
                              <w:szCs w:val="16"/>
                              <w:rtl/>
                            </w:rPr>
                            <w:t>מייל נא לשלוח הודעה לכתובת:</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2869113" id="_x0000_t202" coordsize="21600,21600" o:spt="202" path="m,l,21600r21600,l21600,xe">
              <v:stroke joinstyle="miter"/>
              <v:path gradientshapeok="t" o:connecttype="rect"/>
            </v:shapetype>
            <v:shape id="_x0000_s1048" type="#_x0000_t202" style="position:absolute;left:0;text-align:left;margin-left:253.9pt;margin-top:4.15pt;width:264.25pt;height:26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" stroked="f" strokeweight="1.5pt">
              <v:textbox>
                <w:txbxContent>
                  <w:p w14:paraId="327AF44A" w14:textId="77777777" w:rsidR="00316453" w:rsidRPr="00D348B7" w:rsidRDefault="00316453" w:rsidP="00BA3ECC">
                    <w:pPr>
                      <w:spacing w:line="240" w:lineRule="auto"/>
                      <w:contextualSpacing/>
                      <w:jc w:val="center"/>
                      <w:rPr>
                        <w:b/>
                        <w:bCs/>
                        <w:sz w:val="16"/>
                        <w:szCs w:val="16"/>
                        <w:rtl/>
                      </w:rPr>
                    </w:pPr>
                    <w:r>
                      <w:rPr>
                        <w:b/>
                        <w:bCs/>
                        <w:sz w:val="16"/>
                        <w:szCs w:val="16"/>
                        <w:rtl/>
                      </w:rPr>
                      <w:t xml:space="preserve">שלמה </w:t>
                    </w:r>
                    <w:r w:rsidRPr="00D348B7">
                      <w:rPr>
                        <w:b/>
                        <w:bCs/>
                        <w:sz w:val="16"/>
                        <w:szCs w:val="16"/>
                        <w:rtl/>
                      </w:rPr>
                      <w:t xml:space="preserve">הנדל </w:t>
                    </w:r>
                    <w:r>
                      <w:rPr>
                        <w:rFonts w:hint="cs"/>
                        <w:b/>
                        <w:bCs/>
                        <w:sz w:val="16"/>
                        <w:szCs w:val="16"/>
                        <w:rtl/>
                      </w:rPr>
                      <w:t xml:space="preserve">טל: </w:t>
                    </w:r>
                    <w:r w:rsidRPr="006C5697">
                      <w:rPr>
                        <w:b/>
                        <w:bCs/>
                        <w:sz w:val="16"/>
                        <w:szCs w:val="16"/>
                        <w:rtl/>
                      </w:rPr>
                      <w:t>052-7676412</w:t>
                    </w:r>
                  </w:p>
                  <w:p w14:paraId="31FA81B1" w14:textId="77777777" w:rsidR="00316453" w:rsidRPr="008D08BD" w:rsidRDefault="00AD16A0" w:rsidP="00BA3ECC">
                    <w:pPr>
                      <w:bidi w:val="0"/>
                      <w:spacing w:line="240" w:lineRule="auto"/>
                      <w:contextualSpacing/>
                      <w:jc w:val="center"/>
                      <w:rPr>
                        <w:b/>
                        <w:bCs/>
                        <w:sz w:val="16"/>
                        <w:szCs w:val="16"/>
                      </w:rPr>
                    </w:pPr>
                    <w:hyperlink r:id="rId2" w:history="1">
                      <w:r w:rsidR="00316453" w:rsidRPr="008D08BD">
                        <w:rPr>
                          <w:b/>
                          <w:bCs/>
                          <w:sz w:val="16"/>
                          <w:szCs w:val="16"/>
                        </w:rPr>
                        <w:t>A05</w:t>
                      </w:r>
                      <w:r w:rsidR="00316453" w:rsidRPr="008D08BD">
                        <w:rPr>
                          <w:rFonts w:hint="cs"/>
                          <w:b/>
                          <w:bCs/>
                          <w:sz w:val="16"/>
                          <w:szCs w:val="16"/>
                        </w:rPr>
                        <w:t>27676412</w:t>
                      </w:r>
                      <w:r w:rsidR="00316453" w:rsidRPr="008D08BD">
                        <w:rPr>
                          <w:b/>
                          <w:bCs/>
                          <w:sz w:val="16"/>
                          <w:szCs w:val="16"/>
                        </w:rPr>
                        <w:t>@</w:t>
                      </w:r>
                      <w:r w:rsidR="00316453" w:rsidRPr="008D08BD">
                        <w:rPr>
                          <w:rFonts w:hint="cs"/>
                          <w:b/>
                          <w:bCs/>
                          <w:sz w:val="16"/>
                          <w:szCs w:val="16"/>
                        </w:rPr>
                        <w:t>GMAIL.COM</w:t>
                      </w:r>
                    </w:hyperlink>
                    <w:r w:rsidR="00316453">
                      <w:rPr>
                        <w:b/>
                        <w:bCs/>
                        <w:sz w:val="16"/>
                        <w:szCs w:val="16"/>
                      </w:rPr>
                      <w:t xml:space="preserve"> </w:t>
                    </w:r>
                    <w:r w:rsidR="00316453" w:rsidRPr="008D08BD">
                      <w:rPr>
                        <w:rFonts w:hint="cs"/>
                        <w:b/>
                        <w:bCs/>
                        <w:sz w:val="16"/>
                        <w:szCs w:val="16"/>
                        <w:rtl/>
                      </w:rPr>
                      <w:t>לקבלת המ"מ ב</w:t>
                    </w:r>
                    <w:r w:rsidR="00316453">
                      <w:rPr>
                        <w:rFonts w:hint="cs"/>
                        <w:b/>
                        <w:bCs/>
                        <w:sz w:val="16"/>
                        <w:szCs w:val="16"/>
                        <w:rtl/>
                      </w:rPr>
                      <w:t>קביעות ל</w:t>
                    </w:r>
                    <w:r w:rsidR="00316453" w:rsidRPr="008D08BD">
                      <w:rPr>
                        <w:rFonts w:hint="cs"/>
                        <w:b/>
                        <w:bCs/>
                        <w:sz w:val="16"/>
                        <w:szCs w:val="16"/>
                        <w:rtl/>
                      </w:rPr>
                      <w:t>מייל נא לשלוח הודעה לכתובת:</w:t>
                    </w:r>
                  </w:p>
                </w:txbxContent>
              </v:textbox>
              <w10:wrap anchorx="margin"/>
            </v:shape>
          </w:pict>
        </mc:Fallback>
      </mc:AlternateContent>
    </w:r>
  </w:p>
  <w:p w14:paraId="4AF2026C" w14:textId="77777777" w:rsidR="00316453" w:rsidRDefault="00316453" w:rsidP="00C83122">
    <w:pPr>
      <w:pStyle w:val="affe"/>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7D48F" w14:textId="77777777" w:rsidR="00316453" w:rsidRDefault="00316453">
    <w:pPr>
      <w:pStyle w:val="affe"/>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550974977"/>
      <w:docPartObj>
        <w:docPartGallery w:val="Page Numbers (Bottom of Page)"/>
        <w:docPartUnique/>
      </w:docPartObj>
    </w:sdtPr>
    <w:sdtEndPr>
      <w:rPr>
        <w:cs/>
      </w:rPr>
    </w:sdtEndPr>
    <w:sdtContent>
      <w:p w14:paraId="78F6F7AD" w14:textId="77777777" w:rsidR="00316453" w:rsidRDefault="00316453">
        <w:pPr>
          <w:pStyle w:val="affe"/>
          <w:jc w:val="right"/>
          <w:rPr>
            <w:rtl/>
            <w:cs/>
          </w:rPr>
        </w:pPr>
        <w:r>
          <w:fldChar w:fldCharType="begin"/>
        </w:r>
        <w:r>
          <w:rPr>
            <w:rtl/>
            <w:cs/>
          </w:rPr>
          <w:instrText>PAGE   \* MERGEFORMAT</w:instrText>
        </w:r>
        <w:r>
          <w:fldChar w:fldCharType="separate"/>
        </w:r>
        <w:r w:rsidRPr="006B3804">
          <w:rPr>
            <w:noProof/>
            <w:rtl/>
            <w:lang w:val="he-IL"/>
          </w:rPr>
          <w:t>2</w:t>
        </w:r>
        <w:r>
          <w:fldChar w:fldCharType="end"/>
        </w:r>
      </w:p>
    </w:sdtContent>
  </w:sdt>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5BE03" w14:textId="77777777" w:rsidR="00316453" w:rsidRDefault="00316453" w:rsidP="00C83122">
    <w:pPr>
      <w:pStyle w:val="affe"/>
    </w:pPr>
    <w:r>
      <w:rPr>
        <w:noProof/>
      </w:rPr>
      <mc:AlternateContent>
        <mc:Choice Requires="wps">
          <w:drawing>
            <wp:anchor distT="0" distB="0" distL="114300" distR="114300" simplePos="0" relativeHeight="251698176" behindDoc="0" locked="0" layoutInCell="1" allowOverlap="1" wp14:anchorId="176294AF" wp14:editId="3BEEA8F5">
              <wp:simplePos x="0" y="0"/>
              <wp:positionH relativeFrom="margin">
                <wp:posOffset>3235960</wp:posOffset>
              </wp:positionH>
              <wp:positionV relativeFrom="paragraph">
                <wp:posOffset>64135</wp:posOffset>
              </wp:positionV>
              <wp:extent cx="3355975" cy="330200"/>
              <wp:effectExtent l="0" t="0" r="0" b="0"/>
              <wp:wrapNone/>
              <wp:docPr id="206" name="תיבת טקסט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5975" cy="330200"/>
                      </a:xfrm>
                      <a:prstGeom prst="rect">
                        <a:avLst/>
                      </a:prstGeom>
                      <a:solidFill>
                        <a:srgbClr val="FFFFFF"/>
                      </a:solidFill>
                      <a:ln w="19050">
                        <a:noFill/>
                        <a:miter lim="800000"/>
                        <a:headEnd/>
                        <a:tailEnd/>
                      </a:ln>
                    </wps:spPr>
                    <wps:txbx>
                      <w:txbxContent>
                        <w:p w14:paraId="3C89D6E6" w14:textId="77777777" w:rsidR="00316453" w:rsidRPr="00D348B7" w:rsidRDefault="00316453" w:rsidP="00C83122">
                          <w:pPr>
                            <w:spacing w:line="240" w:lineRule="auto"/>
                            <w:jc w:val="center"/>
                            <w:rPr>
                              <w:b/>
                              <w:bCs/>
                              <w:sz w:val="16"/>
                              <w:szCs w:val="16"/>
                              <w:rtl/>
                            </w:rPr>
                          </w:pPr>
                          <w:r>
                            <w:rPr>
                              <w:b/>
                              <w:bCs/>
                              <w:sz w:val="16"/>
                              <w:szCs w:val="16"/>
                              <w:rtl/>
                            </w:rPr>
                            <w:t xml:space="preserve">שלמה </w:t>
                          </w:r>
                          <w:r w:rsidRPr="00D348B7">
                            <w:rPr>
                              <w:b/>
                              <w:bCs/>
                              <w:sz w:val="16"/>
                              <w:szCs w:val="16"/>
                              <w:rtl/>
                            </w:rPr>
                            <w:t xml:space="preserve">הנדל </w:t>
                          </w:r>
                          <w:r w:rsidRPr="00D348B7">
                            <w:rPr>
                              <w:rFonts w:hint="cs"/>
                              <w:b/>
                              <w:bCs/>
                              <w:sz w:val="16"/>
                              <w:szCs w:val="16"/>
                              <w:rtl/>
                            </w:rPr>
                            <w:t xml:space="preserve">- </w:t>
                          </w:r>
                          <w:r w:rsidRPr="00D348B7">
                            <w:rPr>
                              <w:b/>
                              <w:bCs/>
                              <w:sz w:val="16"/>
                              <w:szCs w:val="16"/>
                              <w:rtl/>
                            </w:rPr>
                            <w:t>בית הלל</w:t>
                          </w:r>
                          <w:r>
                            <w:rPr>
                              <w:b/>
                              <w:bCs/>
                              <w:sz w:val="16"/>
                              <w:szCs w:val="16"/>
                              <w:rtl/>
                            </w:rPr>
                            <w:tab/>
                          </w:r>
                          <w:r>
                            <w:rPr>
                              <w:rFonts w:hint="cs"/>
                              <w:b/>
                              <w:bCs/>
                              <w:sz w:val="16"/>
                              <w:szCs w:val="16"/>
                              <w:rtl/>
                            </w:rPr>
                            <w:t xml:space="preserve">טל: </w:t>
                          </w:r>
                          <w:r w:rsidRPr="006C5697">
                            <w:rPr>
                              <w:b/>
                              <w:bCs/>
                              <w:sz w:val="16"/>
                              <w:szCs w:val="16"/>
                              <w:rtl/>
                            </w:rPr>
                            <w:t>052-7676412</w:t>
                          </w:r>
                        </w:p>
                        <w:p w14:paraId="0F0617CA" w14:textId="77777777" w:rsidR="00316453" w:rsidRPr="008D08BD" w:rsidRDefault="00AD16A0" w:rsidP="00C83122">
                          <w:pPr>
                            <w:bidi w:val="0"/>
                            <w:jc w:val="center"/>
                            <w:rPr>
                              <w:b/>
                              <w:bCs/>
                              <w:sz w:val="16"/>
                              <w:szCs w:val="16"/>
                            </w:rPr>
                          </w:pPr>
                          <w:hyperlink r:id="rId1" w:history="1">
                            <w:r w:rsidR="00316453" w:rsidRPr="008D08BD">
                              <w:rPr>
                                <w:b/>
                                <w:bCs/>
                                <w:sz w:val="16"/>
                                <w:szCs w:val="16"/>
                              </w:rPr>
                              <w:t>A05</w:t>
                            </w:r>
                            <w:r w:rsidR="00316453" w:rsidRPr="008D08BD">
                              <w:rPr>
                                <w:rFonts w:hint="cs"/>
                                <w:b/>
                                <w:bCs/>
                                <w:sz w:val="16"/>
                                <w:szCs w:val="16"/>
                              </w:rPr>
                              <w:t>27676412</w:t>
                            </w:r>
                            <w:r w:rsidR="00316453" w:rsidRPr="008D08BD">
                              <w:rPr>
                                <w:b/>
                                <w:bCs/>
                                <w:sz w:val="16"/>
                                <w:szCs w:val="16"/>
                              </w:rPr>
                              <w:t>@</w:t>
                            </w:r>
                            <w:r w:rsidR="00316453" w:rsidRPr="008D08BD">
                              <w:rPr>
                                <w:rFonts w:hint="cs"/>
                                <w:b/>
                                <w:bCs/>
                                <w:sz w:val="16"/>
                                <w:szCs w:val="16"/>
                              </w:rPr>
                              <w:t>GMAIL.COM</w:t>
                            </w:r>
                          </w:hyperlink>
                          <w:r w:rsidR="00316453">
                            <w:rPr>
                              <w:b/>
                              <w:bCs/>
                              <w:sz w:val="16"/>
                              <w:szCs w:val="16"/>
                            </w:rPr>
                            <w:t xml:space="preserve"> </w:t>
                          </w:r>
                          <w:r w:rsidR="00316453" w:rsidRPr="008D08BD">
                            <w:rPr>
                              <w:rFonts w:hint="cs"/>
                              <w:b/>
                              <w:bCs/>
                              <w:sz w:val="16"/>
                              <w:szCs w:val="16"/>
                              <w:rtl/>
                            </w:rPr>
                            <w:t>לקבלת המ"מ במייל נא לשלוח הודעה לכתובת:</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76294AF" id="_x0000_t202" coordsize="21600,21600" o:spt="202" path="m,l,21600r21600,l21600,xe">
              <v:stroke joinstyle="miter"/>
              <v:path gradientshapeok="t" o:connecttype="rect"/>
            </v:shapetype>
            <v:shape id="תיבת טקסט 10" o:spid="_x0000_s1049" type="#_x0000_t202" style="position:absolute;left:0;text-align:left;margin-left:254.8pt;margin-top:5.05pt;width:264.25pt;height:26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" stroked="f" strokeweight="1.5pt">
              <v:textbox>
                <w:txbxContent>
                  <w:p w14:paraId="3C89D6E6" w14:textId="77777777" w:rsidR="00316453" w:rsidRPr="00D348B7" w:rsidRDefault="00316453" w:rsidP="00C83122">
                    <w:pPr>
                      <w:spacing w:line="240" w:lineRule="auto"/>
                      <w:jc w:val="center"/>
                      <w:rPr>
                        <w:b/>
                        <w:bCs/>
                        <w:sz w:val="16"/>
                        <w:szCs w:val="16"/>
                        <w:rtl/>
                      </w:rPr>
                    </w:pPr>
                    <w:r>
                      <w:rPr>
                        <w:b/>
                        <w:bCs/>
                        <w:sz w:val="16"/>
                        <w:szCs w:val="16"/>
                        <w:rtl/>
                      </w:rPr>
                      <w:t xml:space="preserve">שלמה </w:t>
                    </w:r>
                    <w:r w:rsidRPr="00D348B7">
                      <w:rPr>
                        <w:b/>
                        <w:bCs/>
                        <w:sz w:val="16"/>
                        <w:szCs w:val="16"/>
                        <w:rtl/>
                      </w:rPr>
                      <w:t xml:space="preserve">הנדל </w:t>
                    </w:r>
                    <w:r w:rsidRPr="00D348B7">
                      <w:rPr>
                        <w:rFonts w:hint="cs"/>
                        <w:b/>
                        <w:bCs/>
                        <w:sz w:val="16"/>
                        <w:szCs w:val="16"/>
                        <w:rtl/>
                      </w:rPr>
                      <w:t xml:space="preserve">- </w:t>
                    </w:r>
                    <w:r w:rsidRPr="00D348B7">
                      <w:rPr>
                        <w:b/>
                        <w:bCs/>
                        <w:sz w:val="16"/>
                        <w:szCs w:val="16"/>
                        <w:rtl/>
                      </w:rPr>
                      <w:t>בית הלל</w:t>
                    </w:r>
                    <w:r>
                      <w:rPr>
                        <w:b/>
                        <w:bCs/>
                        <w:sz w:val="16"/>
                        <w:szCs w:val="16"/>
                        <w:rtl/>
                      </w:rPr>
                      <w:tab/>
                    </w:r>
                    <w:r>
                      <w:rPr>
                        <w:rFonts w:hint="cs"/>
                        <w:b/>
                        <w:bCs/>
                        <w:sz w:val="16"/>
                        <w:szCs w:val="16"/>
                        <w:rtl/>
                      </w:rPr>
                      <w:t xml:space="preserve">טל: </w:t>
                    </w:r>
                    <w:r w:rsidRPr="006C5697">
                      <w:rPr>
                        <w:b/>
                        <w:bCs/>
                        <w:sz w:val="16"/>
                        <w:szCs w:val="16"/>
                        <w:rtl/>
                      </w:rPr>
                      <w:t>052-7676412</w:t>
                    </w:r>
                  </w:p>
                  <w:p w14:paraId="0F0617CA" w14:textId="77777777" w:rsidR="00316453" w:rsidRPr="008D08BD" w:rsidRDefault="00AD16A0" w:rsidP="00C83122">
                    <w:pPr>
                      <w:bidi w:val="0"/>
                      <w:jc w:val="center"/>
                      <w:rPr>
                        <w:b/>
                        <w:bCs/>
                        <w:sz w:val="16"/>
                        <w:szCs w:val="16"/>
                      </w:rPr>
                    </w:pPr>
                    <w:hyperlink r:id="rId2" w:history="1">
                      <w:r w:rsidR="00316453" w:rsidRPr="008D08BD">
                        <w:rPr>
                          <w:b/>
                          <w:bCs/>
                          <w:sz w:val="16"/>
                          <w:szCs w:val="16"/>
                        </w:rPr>
                        <w:t>A05</w:t>
                      </w:r>
                      <w:r w:rsidR="00316453" w:rsidRPr="008D08BD">
                        <w:rPr>
                          <w:rFonts w:hint="cs"/>
                          <w:b/>
                          <w:bCs/>
                          <w:sz w:val="16"/>
                          <w:szCs w:val="16"/>
                        </w:rPr>
                        <w:t>27676412</w:t>
                      </w:r>
                      <w:r w:rsidR="00316453" w:rsidRPr="008D08BD">
                        <w:rPr>
                          <w:b/>
                          <w:bCs/>
                          <w:sz w:val="16"/>
                          <w:szCs w:val="16"/>
                        </w:rPr>
                        <w:t>@</w:t>
                      </w:r>
                      <w:r w:rsidR="00316453" w:rsidRPr="008D08BD">
                        <w:rPr>
                          <w:rFonts w:hint="cs"/>
                          <w:b/>
                          <w:bCs/>
                          <w:sz w:val="16"/>
                          <w:szCs w:val="16"/>
                        </w:rPr>
                        <w:t>GMAIL.COM</w:t>
                      </w:r>
                    </w:hyperlink>
                    <w:r w:rsidR="00316453">
                      <w:rPr>
                        <w:b/>
                        <w:bCs/>
                        <w:sz w:val="16"/>
                        <w:szCs w:val="16"/>
                      </w:rPr>
                      <w:t xml:space="preserve"> </w:t>
                    </w:r>
                    <w:r w:rsidR="00316453" w:rsidRPr="008D08BD">
                      <w:rPr>
                        <w:rFonts w:hint="cs"/>
                        <w:b/>
                        <w:bCs/>
                        <w:sz w:val="16"/>
                        <w:szCs w:val="16"/>
                        <w:rtl/>
                      </w:rPr>
                      <w:t>לקבלת המ"מ במייל נא לשלוח הודעה לכתובת:</w:t>
                    </w:r>
                  </w:p>
                </w:txbxContent>
              </v:textbox>
              <w10:wrap anchorx="margin"/>
            </v:shape>
          </w:pict>
        </mc:Fallback>
      </mc:AlternateContent>
    </w:r>
    <w:r>
      <w:rPr>
        <w:noProof/>
      </w:rPr>
      <mc:AlternateContent>
        <mc:Choice Requires="wps">
          <w:drawing>
            <wp:anchor distT="0" distB="0" distL="114300" distR="114300" simplePos="0" relativeHeight="251699200" behindDoc="0" locked="0" layoutInCell="1" allowOverlap="1" wp14:anchorId="4DD49F5C" wp14:editId="70F27CE3">
              <wp:simplePos x="0" y="0"/>
              <wp:positionH relativeFrom="margin">
                <wp:posOffset>46355</wp:posOffset>
              </wp:positionH>
              <wp:positionV relativeFrom="paragraph">
                <wp:posOffset>34290</wp:posOffset>
              </wp:positionV>
              <wp:extent cx="1002665" cy="264160"/>
              <wp:effectExtent l="0" t="0" r="6985" b="2540"/>
              <wp:wrapNone/>
              <wp:docPr id="207" name="תיבת טקסט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2665" cy="264160"/>
                      </a:xfrm>
                      <a:prstGeom prst="rect">
                        <a:avLst/>
                      </a:prstGeom>
                      <a:solidFill>
                        <a:srgbClr val="FFFFFF"/>
                      </a:solidFill>
                      <a:ln w="15875">
                        <a:solidFill>
                          <a:srgbClr val="000000"/>
                        </a:solidFill>
                        <a:miter lim="800000"/>
                        <a:headEnd/>
                        <a:tailEnd/>
                      </a:ln>
                    </wps:spPr>
                    <wps:txbx>
                      <w:txbxContent>
                        <w:p w14:paraId="4F1D87EE" w14:textId="77777777" w:rsidR="00316453" w:rsidRDefault="00316453" w:rsidP="00C83122">
                          <w:pPr>
                            <w:rPr>
                              <w:b/>
                              <w:bCs/>
                              <w:sz w:val="18"/>
                              <w:szCs w:val="18"/>
                            </w:rPr>
                          </w:pPr>
                          <w:r>
                            <w:rPr>
                              <w:b/>
                              <w:bCs/>
                              <w:sz w:val="18"/>
                              <w:szCs w:val="18"/>
                              <w:rtl/>
                            </w:rPr>
                            <w:t>המשך בעמ' הבא</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DD49F5C" id="_x0000_s1050" type="#_x0000_t202" style="position:absolute;left:0;text-align:left;margin-left:3.65pt;margin-top:2.7pt;width:78.95pt;height:20.8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" strokeweight="1.25pt">
              <v:textbox>
                <w:txbxContent>
                  <w:p w14:paraId="4F1D87EE" w14:textId="77777777" w:rsidR="00316453" w:rsidRDefault="00316453" w:rsidP="00C83122">
                    <w:pPr>
                      <w:rPr>
                        <w:b/>
                        <w:bCs/>
                        <w:sz w:val="18"/>
                        <w:szCs w:val="18"/>
                      </w:rPr>
                    </w:pPr>
                    <w:r>
                      <w:rPr>
                        <w:b/>
                        <w:bCs/>
                        <w:sz w:val="18"/>
                        <w:szCs w:val="18"/>
                        <w:rtl/>
                      </w:rPr>
                      <w:t>המשך בעמ' הבא</w:t>
                    </w:r>
                  </w:p>
                </w:txbxContent>
              </v:textbox>
              <w10:wrap anchorx="margin"/>
            </v:shape>
          </w:pict>
        </mc:Fallback>
      </mc:AlternateContent>
    </w:r>
  </w:p>
  <w:p w14:paraId="30073ACE" w14:textId="77777777" w:rsidR="00316453" w:rsidRDefault="00316453" w:rsidP="00C83122">
    <w:pPr>
      <w:pStyle w:val="affe"/>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599451319"/>
      <w:docPartObj>
        <w:docPartGallery w:val="Page Numbers (Bottom of Page)"/>
        <w:docPartUnique/>
      </w:docPartObj>
    </w:sdtPr>
    <w:sdtEndPr>
      <w:rPr>
        <w:cs/>
      </w:rPr>
    </w:sdtEndPr>
    <w:sdtContent>
      <w:p w14:paraId="44CF2EF3" w14:textId="77777777" w:rsidR="00316453" w:rsidRDefault="00316453">
        <w:pPr>
          <w:pStyle w:val="affe"/>
          <w:jc w:val="right"/>
          <w:rPr>
            <w:rtl/>
            <w:cs/>
          </w:rPr>
        </w:pPr>
        <w:r>
          <w:fldChar w:fldCharType="begin"/>
        </w:r>
        <w:r>
          <w:rPr>
            <w:rtl/>
            <w:cs/>
          </w:rPr>
          <w:instrText>PAGE   \* MERGEFORMAT</w:instrText>
        </w:r>
        <w:r>
          <w:fldChar w:fldCharType="separate"/>
        </w:r>
        <w:r w:rsidRPr="006B3804">
          <w:rPr>
            <w:noProof/>
            <w:rtl/>
            <w:lang w:val="he-IL"/>
          </w:rPr>
          <w:t>3</w:t>
        </w:r>
        <w:r>
          <w:fldChar w:fldCharType="end"/>
        </w:r>
      </w:p>
    </w:sdtContent>
  </w:sdt>
  <w:p w14:paraId="5B48E8F5" w14:textId="77777777" w:rsidR="00316453" w:rsidRDefault="00316453"/>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560010402"/>
      <w:docPartObj>
        <w:docPartGallery w:val="Page Numbers (Bottom of Page)"/>
        <w:docPartUnique/>
      </w:docPartObj>
    </w:sdtPr>
    <w:sdtEndPr>
      <w:rPr>
        <w:cs/>
      </w:rPr>
    </w:sdtEndPr>
    <w:sdtContent>
      <w:p w14:paraId="702E5B77" w14:textId="77777777" w:rsidR="00316453" w:rsidRDefault="00316453">
        <w:pPr>
          <w:pStyle w:val="affe"/>
          <w:jc w:val="right"/>
          <w:rPr>
            <w:rtl/>
            <w:cs/>
          </w:rPr>
        </w:pPr>
        <w:r>
          <w:fldChar w:fldCharType="begin"/>
        </w:r>
        <w:r>
          <w:rPr>
            <w:rtl/>
            <w:cs/>
          </w:rPr>
          <w:instrText>PAGE   \* MERGEFORMAT</w:instrText>
        </w:r>
        <w:r>
          <w:fldChar w:fldCharType="separate"/>
        </w:r>
        <w:r w:rsidRPr="006B3804">
          <w:rPr>
            <w:noProof/>
            <w:rtl/>
            <w:lang w:val="he-IL"/>
          </w:rPr>
          <w:t>3</w:t>
        </w:r>
        <w:r>
          <w:fldChar w:fldCharType="end"/>
        </w:r>
      </w:p>
    </w:sdtContent>
  </w:sdt>
  <w:p w14:paraId="3D77CFC1" w14:textId="77777777" w:rsidR="00316453" w:rsidRDefault="00316453"/>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741083266"/>
      <w:docPartObj>
        <w:docPartGallery w:val="Page Numbers (Bottom of Page)"/>
        <w:docPartUnique/>
      </w:docPartObj>
    </w:sdtPr>
    <w:sdtEndPr>
      <w:rPr>
        <w:cs/>
      </w:rPr>
    </w:sdtEndPr>
    <w:sdtContent>
      <w:p w14:paraId="0A8AF617" w14:textId="77777777" w:rsidR="00592982" w:rsidRDefault="00592982">
        <w:pPr>
          <w:pStyle w:val="affe"/>
          <w:jc w:val="right"/>
          <w:rPr>
            <w:rtl/>
            <w:cs/>
          </w:rPr>
        </w:pPr>
        <w:r>
          <w:fldChar w:fldCharType="begin"/>
        </w:r>
        <w:r>
          <w:rPr>
            <w:rtl/>
            <w:cs/>
          </w:rPr>
          <w:instrText>PAGE   \* MERGEFORMAT</w:instrText>
        </w:r>
        <w:r>
          <w:fldChar w:fldCharType="separate"/>
        </w:r>
        <w:r w:rsidRPr="000D3787">
          <w:rPr>
            <w:noProof/>
            <w:rtl/>
            <w:lang w:val="he-IL"/>
          </w:rPr>
          <w:t>1</w:t>
        </w:r>
        <w:r>
          <w:fldChar w:fldCharType="end"/>
        </w:r>
      </w:p>
    </w:sdtContent>
  </w:sdt>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7C75A" w14:textId="77777777" w:rsidR="00592982" w:rsidRDefault="00592982" w:rsidP="00C83122">
    <w:pPr>
      <w:pStyle w:val="affe"/>
    </w:pPr>
    <w:r>
      <w:rPr>
        <w:noProof/>
      </w:rPr>
      <mc:AlternateContent>
        <mc:Choice Requires="wps">
          <w:drawing>
            <wp:anchor distT="0" distB="0" distL="114300" distR="114300" simplePos="0" relativeHeight="251701248" behindDoc="0" locked="0" layoutInCell="1" allowOverlap="1" wp14:anchorId="0A62458F" wp14:editId="77134381">
              <wp:simplePos x="0" y="0"/>
              <wp:positionH relativeFrom="margin">
                <wp:posOffset>1724660</wp:posOffset>
              </wp:positionH>
              <wp:positionV relativeFrom="paragraph">
                <wp:posOffset>52070</wp:posOffset>
              </wp:positionV>
              <wp:extent cx="4855210" cy="353060"/>
              <wp:effectExtent l="0" t="0" r="0" b="0"/>
              <wp:wrapNone/>
              <wp:docPr id="208" name="תיבת טקסט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5210" cy="353060"/>
                      </a:xfrm>
                      <a:prstGeom prst="rect">
                        <a:avLst/>
                      </a:prstGeom>
                      <a:solidFill>
                        <a:srgbClr val="FFFFFF"/>
                      </a:solidFill>
                      <a:ln w="19050">
                        <a:noFill/>
                        <a:miter lim="800000"/>
                        <a:headEnd/>
                        <a:tailEnd/>
                      </a:ln>
                    </wps:spPr>
                    <wps:txbx>
                      <w:txbxContent>
                        <w:p w14:paraId="67F3713F" w14:textId="77777777" w:rsidR="00592982" w:rsidRPr="002A07A0" w:rsidRDefault="00592982" w:rsidP="009139C3">
                          <w:pPr>
                            <w:spacing w:line="240" w:lineRule="auto"/>
                            <w:contextualSpacing/>
                            <w:jc w:val="center"/>
                            <w:rPr>
                              <w:b/>
                              <w:bCs/>
                              <w:sz w:val="16"/>
                              <w:szCs w:val="16"/>
                              <w:rtl/>
                            </w:rPr>
                          </w:pPr>
                          <w:r>
                            <w:rPr>
                              <w:b/>
                              <w:bCs/>
                              <w:sz w:val="16"/>
                              <w:szCs w:val="16"/>
                              <w:rtl/>
                            </w:rPr>
                            <w:t xml:space="preserve">שלמה </w:t>
                          </w:r>
                          <w:r w:rsidRPr="00D348B7">
                            <w:rPr>
                              <w:b/>
                              <w:bCs/>
                              <w:sz w:val="16"/>
                              <w:szCs w:val="16"/>
                              <w:rtl/>
                            </w:rPr>
                            <w:t xml:space="preserve">הנדל </w:t>
                          </w:r>
                          <w:r>
                            <w:rPr>
                              <w:rFonts w:hint="cs"/>
                              <w:b/>
                              <w:bCs/>
                              <w:sz w:val="16"/>
                              <w:szCs w:val="16"/>
                              <w:rtl/>
                            </w:rPr>
                            <w:t xml:space="preserve">טל: </w:t>
                          </w:r>
                          <w:r w:rsidRPr="006C5697">
                            <w:rPr>
                              <w:b/>
                              <w:bCs/>
                              <w:sz w:val="16"/>
                              <w:szCs w:val="16"/>
                              <w:rtl/>
                            </w:rPr>
                            <w:t>052-7676412</w:t>
                          </w:r>
                          <w:r>
                            <w:rPr>
                              <w:rFonts w:hint="cs"/>
                              <w:b/>
                              <w:bCs/>
                              <w:sz w:val="16"/>
                              <w:szCs w:val="16"/>
                              <w:rtl/>
                            </w:rPr>
                            <w:t xml:space="preserve"> - </w:t>
                          </w:r>
                          <w:r w:rsidRPr="002A07A0">
                            <w:rPr>
                              <w:rFonts w:hint="cs"/>
                              <w:b/>
                              <w:bCs/>
                              <w:sz w:val="16"/>
                              <w:szCs w:val="16"/>
                              <w:rtl/>
                            </w:rPr>
                            <w:t xml:space="preserve">ניתן לקבל </w:t>
                          </w:r>
                          <w:r>
                            <w:rPr>
                              <w:rFonts w:hint="cs"/>
                              <w:b/>
                              <w:bCs/>
                              <w:sz w:val="16"/>
                              <w:szCs w:val="16"/>
                              <w:rtl/>
                            </w:rPr>
                            <w:t>את המ"מ</w:t>
                          </w:r>
                          <w:r w:rsidRPr="00134080">
                            <w:rPr>
                              <w:rFonts w:hint="cs"/>
                              <w:b/>
                              <w:bCs/>
                              <w:sz w:val="16"/>
                              <w:szCs w:val="16"/>
                              <w:rtl/>
                            </w:rPr>
                            <w:t xml:space="preserve"> </w:t>
                          </w:r>
                          <w:r w:rsidRPr="002A07A0">
                            <w:rPr>
                              <w:rFonts w:hint="cs"/>
                              <w:b/>
                              <w:bCs/>
                              <w:sz w:val="16"/>
                              <w:szCs w:val="16"/>
                              <w:rtl/>
                            </w:rPr>
                            <w:t xml:space="preserve">במייל: </w:t>
                          </w:r>
                          <w:r w:rsidRPr="002A07A0">
                            <w:t xml:space="preserve"> </w:t>
                          </w:r>
                          <w:hyperlink r:id="rId1" w:history="1">
                            <w:r w:rsidRPr="002A07A0">
                              <w:rPr>
                                <w:rStyle w:val="Hyperlink"/>
                                <w:b/>
                                <w:bCs/>
                                <w:color w:val="auto"/>
                                <w:sz w:val="16"/>
                                <w:szCs w:val="16"/>
                                <w:u w:val="none"/>
                              </w:rPr>
                              <w:t>A05</w:t>
                            </w:r>
                            <w:r w:rsidRPr="002A07A0">
                              <w:rPr>
                                <w:rStyle w:val="Hyperlink"/>
                                <w:rFonts w:hint="cs"/>
                                <w:b/>
                                <w:bCs/>
                                <w:color w:val="auto"/>
                                <w:sz w:val="16"/>
                                <w:szCs w:val="16"/>
                                <w:u w:val="none"/>
                              </w:rPr>
                              <w:t>27676412</w:t>
                            </w:r>
                            <w:r w:rsidRPr="002A07A0">
                              <w:rPr>
                                <w:rStyle w:val="Hyperlink"/>
                                <w:b/>
                                <w:bCs/>
                                <w:color w:val="auto"/>
                                <w:sz w:val="16"/>
                                <w:szCs w:val="16"/>
                                <w:u w:val="none"/>
                              </w:rPr>
                              <w:t>@</w:t>
                            </w:r>
                            <w:r w:rsidRPr="002A07A0">
                              <w:rPr>
                                <w:rStyle w:val="Hyperlink"/>
                                <w:rFonts w:hint="cs"/>
                                <w:b/>
                                <w:bCs/>
                                <w:color w:val="auto"/>
                                <w:sz w:val="16"/>
                                <w:szCs w:val="16"/>
                                <w:u w:val="none"/>
                              </w:rPr>
                              <w:t>GMAIL.COM</w:t>
                            </w:r>
                          </w:hyperlink>
                          <w:r w:rsidRPr="002A07A0">
                            <w:rPr>
                              <w:rFonts w:hint="cs"/>
                              <w:b/>
                              <w:bCs/>
                              <w:sz w:val="16"/>
                              <w:szCs w:val="16"/>
                              <w:rtl/>
                            </w:rPr>
                            <w:t xml:space="preserve"> </w:t>
                          </w:r>
                        </w:p>
                        <w:p w14:paraId="014C6B70" w14:textId="77777777" w:rsidR="00592982" w:rsidRPr="008D08BD" w:rsidRDefault="00592982" w:rsidP="009139C3">
                          <w:pPr>
                            <w:spacing w:line="240" w:lineRule="auto"/>
                            <w:contextualSpacing/>
                            <w:jc w:val="center"/>
                            <w:rPr>
                              <w:b/>
                              <w:bCs/>
                              <w:sz w:val="16"/>
                              <w:szCs w:val="16"/>
                            </w:rPr>
                          </w:pPr>
                          <w:r w:rsidRPr="002A07A0">
                            <w:rPr>
                              <w:rFonts w:hint="cs"/>
                              <w:b/>
                              <w:bCs/>
                              <w:sz w:val="16"/>
                              <w:szCs w:val="16"/>
                              <w:rtl/>
                            </w:rPr>
                            <w:t xml:space="preserve">וכן </w:t>
                          </w:r>
                          <w:r>
                            <w:rPr>
                              <w:rFonts w:hint="cs"/>
                              <w:b/>
                              <w:bCs/>
                              <w:sz w:val="16"/>
                              <w:szCs w:val="16"/>
                              <w:rtl/>
                            </w:rPr>
                            <w:t xml:space="preserve">ניתן לקבל </w:t>
                          </w:r>
                          <w:r w:rsidRPr="002A07A0">
                            <w:rPr>
                              <w:rFonts w:hint="cs"/>
                              <w:b/>
                              <w:bCs/>
                              <w:sz w:val="16"/>
                              <w:szCs w:val="16"/>
                              <w:rtl/>
                            </w:rPr>
                            <w:t xml:space="preserve">את קובץ "משנתם בלשונם" </w:t>
                          </w:r>
                          <w:r>
                            <w:rPr>
                              <w:rFonts w:hint="cs"/>
                              <w:b/>
                              <w:bCs/>
                              <w:sz w:val="16"/>
                              <w:szCs w:val="16"/>
                              <w:rtl/>
                            </w:rPr>
                            <w:t>בו הובאו לשונות הראשונים והאחרונים,</w:t>
                          </w:r>
                          <w:r w:rsidRPr="008D08BD">
                            <w:rPr>
                              <w:b/>
                              <w:bCs/>
                              <w:sz w:val="16"/>
                              <w:szCs w:val="16"/>
                            </w:rPr>
                            <w:t xml:space="preserve"> </w:t>
                          </w:r>
                          <w:r>
                            <w:rPr>
                              <w:rFonts w:hint="cs"/>
                              <w:b/>
                              <w:bCs/>
                              <w:sz w:val="16"/>
                              <w:szCs w:val="16"/>
                              <w:rtl/>
                            </w:rPr>
                            <w:t>פתוחים להעתקה</w:t>
                          </w:r>
                          <w:r>
                            <w:rPr>
                              <w:b/>
                              <w:bCs/>
                              <w:sz w:val="16"/>
                              <w:szCs w:val="16"/>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A62458F" id="_x0000_t202" coordsize="21600,21600" o:spt="202" path="m,l,21600r21600,l21600,xe">
              <v:stroke joinstyle="miter"/>
              <v:path gradientshapeok="t" o:connecttype="rect"/>
            </v:shapetype>
            <v:shape id="_x0000_s1051" type="#_x0000_t202" style="position:absolute;left:0;text-align:left;margin-left:135.8pt;margin-top:4.1pt;width:382.3pt;height:27.8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" stroked="f" strokeweight="1.5pt">
              <v:textbox>
                <w:txbxContent>
                  <w:p w14:paraId="67F3713F" w14:textId="77777777" w:rsidR="00592982" w:rsidRPr="002A07A0" w:rsidRDefault="00592982" w:rsidP="009139C3">
                    <w:pPr>
                      <w:spacing w:line="240" w:lineRule="auto"/>
                      <w:contextualSpacing/>
                      <w:jc w:val="center"/>
                      <w:rPr>
                        <w:b/>
                        <w:bCs/>
                        <w:sz w:val="16"/>
                        <w:szCs w:val="16"/>
                        <w:rtl/>
                      </w:rPr>
                    </w:pPr>
                    <w:r>
                      <w:rPr>
                        <w:b/>
                        <w:bCs/>
                        <w:sz w:val="16"/>
                        <w:szCs w:val="16"/>
                        <w:rtl/>
                      </w:rPr>
                      <w:t xml:space="preserve">שלמה </w:t>
                    </w:r>
                    <w:r w:rsidRPr="00D348B7">
                      <w:rPr>
                        <w:b/>
                        <w:bCs/>
                        <w:sz w:val="16"/>
                        <w:szCs w:val="16"/>
                        <w:rtl/>
                      </w:rPr>
                      <w:t xml:space="preserve">הנדל </w:t>
                    </w:r>
                    <w:r>
                      <w:rPr>
                        <w:rFonts w:hint="cs"/>
                        <w:b/>
                        <w:bCs/>
                        <w:sz w:val="16"/>
                        <w:szCs w:val="16"/>
                        <w:rtl/>
                      </w:rPr>
                      <w:t xml:space="preserve">טל: </w:t>
                    </w:r>
                    <w:r w:rsidRPr="006C5697">
                      <w:rPr>
                        <w:b/>
                        <w:bCs/>
                        <w:sz w:val="16"/>
                        <w:szCs w:val="16"/>
                        <w:rtl/>
                      </w:rPr>
                      <w:t>052-7676412</w:t>
                    </w:r>
                    <w:r>
                      <w:rPr>
                        <w:rFonts w:hint="cs"/>
                        <w:b/>
                        <w:bCs/>
                        <w:sz w:val="16"/>
                        <w:szCs w:val="16"/>
                        <w:rtl/>
                      </w:rPr>
                      <w:t xml:space="preserve"> - </w:t>
                    </w:r>
                    <w:r w:rsidRPr="002A07A0">
                      <w:rPr>
                        <w:rFonts w:hint="cs"/>
                        <w:b/>
                        <w:bCs/>
                        <w:sz w:val="16"/>
                        <w:szCs w:val="16"/>
                        <w:rtl/>
                      </w:rPr>
                      <w:t xml:space="preserve">ניתן לקבל </w:t>
                    </w:r>
                    <w:r>
                      <w:rPr>
                        <w:rFonts w:hint="cs"/>
                        <w:b/>
                        <w:bCs/>
                        <w:sz w:val="16"/>
                        <w:szCs w:val="16"/>
                        <w:rtl/>
                      </w:rPr>
                      <w:t>את המ"מ</w:t>
                    </w:r>
                    <w:r w:rsidRPr="00134080">
                      <w:rPr>
                        <w:rFonts w:hint="cs"/>
                        <w:b/>
                        <w:bCs/>
                        <w:sz w:val="16"/>
                        <w:szCs w:val="16"/>
                        <w:rtl/>
                      </w:rPr>
                      <w:t xml:space="preserve"> </w:t>
                    </w:r>
                    <w:r w:rsidRPr="002A07A0">
                      <w:rPr>
                        <w:rFonts w:hint="cs"/>
                        <w:b/>
                        <w:bCs/>
                        <w:sz w:val="16"/>
                        <w:szCs w:val="16"/>
                        <w:rtl/>
                      </w:rPr>
                      <w:t xml:space="preserve">במייל: </w:t>
                    </w:r>
                    <w:r w:rsidRPr="002A07A0">
                      <w:t xml:space="preserve"> </w:t>
                    </w:r>
                    <w:hyperlink r:id="rId2" w:history="1">
                      <w:r w:rsidRPr="002A07A0">
                        <w:rPr>
                          <w:rStyle w:val="Hyperlink"/>
                          <w:b/>
                          <w:bCs/>
                          <w:color w:val="auto"/>
                          <w:sz w:val="16"/>
                          <w:szCs w:val="16"/>
                          <w:u w:val="none"/>
                        </w:rPr>
                        <w:t>A05</w:t>
                      </w:r>
                      <w:r w:rsidRPr="002A07A0">
                        <w:rPr>
                          <w:rStyle w:val="Hyperlink"/>
                          <w:rFonts w:hint="cs"/>
                          <w:b/>
                          <w:bCs/>
                          <w:color w:val="auto"/>
                          <w:sz w:val="16"/>
                          <w:szCs w:val="16"/>
                          <w:u w:val="none"/>
                        </w:rPr>
                        <w:t>27676412</w:t>
                      </w:r>
                      <w:r w:rsidRPr="002A07A0">
                        <w:rPr>
                          <w:rStyle w:val="Hyperlink"/>
                          <w:b/>
                          <w:bCs/>
                          <w:color w:val="auto"/>
                          <w:sz w:val="16"/>
                          <w:szCs w:val="16"/>
                          <w:u w:val="none"/>
                        </w:rPr>
                        <w:t>@</w:t>
                      </w:r>
                      <w:r w:rsidRPr="002A07A0">
                        <w:rPr>
                          <w:rStyle w:val="Hyperlink"/>
                          <w:rFonts w:hint="cs"/>
                          <w:b/>
                          <w:bCs/>
                          <w:color w:val="auto"/>
                          <w:sz w:val="16"/>
                          <w:szCs w:val="16"/>
                          <w:u w:val="none"/>
                        </w:rPr>
                        <w:t>GMAIL.COM</w:t>
                      </w:r>
                    </w:hyperlink>
                    <w:r w:rsidRPr="002A07A0">
                      <w:rPr>
                        <w:rFonts w:hint="cs"/>
                        <w:b/>
                        <w:bCs/>
                        <w:sz w:val="16"/>
                        <w:szCs w:val="16"/>
                        <w:rtl/>
                      </w:rPr>
                      <w:t xml:space="preserve"> </w:t>
                    </w:r>
                  </w:p>
                  <w:p w14:paraId="014C6B70" w14:textId="77777777" w:rsidR="00592982" w:rsidRPr="008D08BD" w:rsidRDefault="00592982" w:rsidP="009139C3">
                    <w:pPr>
                      <w:spacing w:line="240" w:lineRule="auto"/>
                      <w:contextualSpacing/>
                      <w:jc w:val="center"/>
                      <w:rPr>
                        <w:b/>
                        <w:bCs/>
                        <w:sz w:val="16"/>
                        <w:szCs w:val="16"/>
                      </w:rPr>
                    </w:pPr>
                    <w:r w:rsidRPr="002A07A0">
                      <w:rPr>
                        <w:rFonts w:hint="cs"/>
                        <w:b/>
                        <w:bCs/>
                        <w:sz w:val="16"/>
                        <w:szCs w:val="16"/>
                        <w:rtl/>
                      </w:rPr>
                      <w:t xml:space="preserve">וכן </w:t>
                    </w:r>
                    <w:r>
                      <w:rPr>
                        <w:rFonts w:hint="cs"/>
                        <w:b/>
                        <w:bCs/>
                        <w:sz w:val="16"/>
                        <w:szCs w:val="16"/>
                        <w:rtl/>
                      </w:rPr>
                      <w:t xml:space="preserve">ניתן לקבל </w:t>
                    </w:r>
                    <w:r w:rsidRPr="002A07A0">
                      <w:rPr>
                        <w:rFonts w:hint="cs"/>
                        <w:b/>
                        <w:bCs/>
                        <w:sz w:val="16"/>
                        <w:szCs w:val="16"/>
                        <w:rtl/>
                      </w:rPr>
                      <w:t xml:space="preserve">את קובץ "משנתם בלשונם" </w:t>
                    </w:r>
                    <w:r>
                      <w:rPr>
                        <w:rFonts w:hint="cs"/>
                        <w:b/>
                        <w:bCs/>
                        <w:sz w:val="16"/>
                        <w:szCs w:val="16"/>
                        <w:rtl/>
                      </w:rPr>
                      <w:t>בו הובאו לשונות הראשונים והאחרונים,</w:t>
                    </w:r>
                    <w:r w:rsidRPr="008D08BD">
                      <w:rPr>
                        <w:b/>
                        <w:bCs/>
                        <w:sz w:val="16"/>
                        <w:szCs w:val="16"/>
                      </w:rPr>
                      <w:t xml:space="preserve"> </w:t>
                    </w:r>
                    <w:r>
                      <w:rPr>
                        <w:rFonts w:hint="cs"/>
                        <w:b/>
                        <w:bCs/>
                        <w:sz w:val="16"/>
                        <w:szCs w:val="16"/>
                        <w:rtl/>
                      </w:rPr>
                      <w:t>פתוחים להעתקה</w:t>
                    </w:r>
                    <w:r>
                      <w:rPr>
                        <w:b/>
                        <w:bCs/>
                        <w:sz w:val="16"/>
                        <w:szCs w:val="16"/>
                      </w:rPr>
                      <w:t>.</w:t>
                    </w:r>
                  </w:p>
                </w:txbxContent>
              </v:textbox>
              <w10:wrap anchorx="margin"/>
            </v:shape>
          </w:pict>
        </mc:Fallback>
      </mc:AlternateContent>
    </w:r>
  </w:p>
  <w:p w14:paraId="65D7B96F" w14:textId="77777777" w:rsidR="00592982" w:rsidRDefault="00592982" w:rsidP="00C83122">
    <w:pPr>
      <w:pStyle w:val="affe"/>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A06F7" w14:textId="77777777" w:rsidR="00592982" w:rsidRDefault="00592982">
    <w:pPr>
      <w:pStyle w:val="affe"/>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968272741"/>
      <w:docPartObj>
        <w:docPartGallery w:val="Page Numbers (Bottom of Page)"/>
        <w:docPartUnique/>
      </w:docPartObj>
    </w:sdtPr>
    <w:sdtEndPr>
      <w:rPr>
        <w:cs/>
      </w:rPr>
    </w:sdtEndPr>
    <w:sdtContent>
      <w:p w14:paraId="540D5BAB" w14:textId="77777777" w:rsidR="00592982" w:rsidRDefault="00592982">
        <w:pPr>
          <w:pStyle w:val="affe"/>
          <w:jc w:val="right"/>
          <w:rPr>
            <w:rtl/>
            <w:cs/>
          </w:rPr>
        </w:pPr>
        <w:r>
          <w:fldChar w:fldCharType="begin"/>
        </w:r>
        <w:r>
          <w:rPr>
            <w:rtl/>
            <w:cs/>
          </w:rPr>
          <w:instrText>PAGE   \* MERGEFORMAT</w:instrText>
        </w:r>
        <w:r>
          <w:fldChar w:fldCharType="separate"/>
        </w:r>
        <w:r w:rsidRPr="006B3804">
          <w:rPr>
            <w:noProof/>
            <w:rtl/>
            <w:lang w:val="he-IL"/>
          </w:rPr>
          <w:t>2</w:t>
        </w:r>
        <w:r>
          <w:fldChar w:fldCharType="end"/>
        </w:r>
      </w:p>
    </w:sdtContent>
  </w:sdt>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8BD4A" w14:textId="77777777" w:rsidR="00592982" w:rsidRDefault="00592982" w:rsidP="00C83122">
    <w:pPr>
      <w:pStyle w:val="affe"/>
    </w:pPr>
    <w:r>
      <w:rPr>
        <w:noProof/>
      </w:rPr>
      <mc:AlternateContent>
        <mc:Choice Requires="wps">
          <w:drawing>
            <wp:anchor distT="0" distB="0" distL="114300" distR="114300" simplePos="0" relativeHeight="251702272" behindDoc="0" locked="0" layoutInCell="1" allowOverlap="1" wp14:anchorId="3911B3C9" wp14:editId="772AECAD">
              <wp:simplePos x="0" y="0"/>
              <wp:positionH relativeFrom="margin">
                <wp:posOffset>3235960</wp:posOffset>
              </wp:positionH>
              <wp:positionV relativeFrom="paragraph">
                <wp:posOffset>64135</wp:posOffset>
              </wp:positionV>
              <wp:extent cx="3355975" cy="330200"/>
              <wp:effectExtent l="0" t="0" r="0" b="0"/>
              <wp:wrapNone/>
              <wp:docPr id="209" name="תיבת טקסט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5975" cy="330200"/>
                      </a:xfrm>
                      <a:prstGeom prst="rect">
                        <a:avLst/>
                      </a:prstGeom>
                      <a:solidFill>
                        <a:srgbClr val="FFFFFF"/>
                      </a:solidFill>
                      <a:ln w="19050">
                        <a:noFill/>
                        <a:miter lim="800000"/>
                        <a:headEnd/>
                        <a:tailEnd/>
                      </a:ln>
                    </wps:spPr>
                    <wps:txbx>
                      <w:txbxContent>
                        <w:p w14:paraId="17A68929" w14:textId="77777777" w:rsidR="00592982" w:rsidRPr="00D348B7" w:rsidRDefault="00592982" w:rsidP="00C83122">
                          <w:pPr>
                            <w:spacing w:line="240" w:lineRule="auto"/>
                            <w:jc w:val="center"/>
                            <w:rPr>
                              <w:b/>
                              <w:bCs/>
                              <w:sz w:val="16"/>
                              <w:szCs w:val="16"/>
                              <w:rtl/>
                            </w:rPr>
                          </w:pPr>
                          <w:r>
                            <w:rPr>
                              <w:b/>
                              <w:bCs/>
                              <w:sz w:val="16"/>
                              <w:szCs w:val="16"/>
                              <w:rtl/>
                            </w:rPr>
                            <w:t xml:space="preserve">שלמה </w:t>
                          </w:r>
                          <w:r w:rsidRPr="00D348B7">
                            <w:rPr>
                              <w:b/>
                              <w:bCs/>
                              <w:sz w:val="16"/>
                              <w:szCs w:val="16"/>
                              <w:rtl/>
                            </w:rPr>
                            <w:t xml:space="preserve">הנדל </w:t>
                          </w:r>
                          <w:r w:rsidRPr="00D348B7">
                            <w:rPr>
                              <w:rFonts w:hint="cs"/>
                              <w:b/>
                              <w:bCs/>
                              <w:sz w:val="16"/>
                              <w:szCs w:val="16"/>
                              <w:rtl/>
                            </w:rPr>
                            <w:t xml:space="preserve">- </w:t>
                          </w:r>
                          <w:r w:rsidRPr="00D348B7">
                            <w:rPr>
                              <w:b/>
                              <w:bCs/>
                              <w:sz w:val="16"/>
                              <w:szCs w:val="16"/>
                              <w:rtl/>
                            </w:rPr>
                            <w:t>בית הלל</w:t>
                          </w:r>
                          <w:r>
                            <w:rPr>
                              <w:b/>
                              <w:bCs/>
                              <w:sz w:val="16"/>
                              <w:szCs w:val="16"/>
                              <w:rtl/>
                            </w:rPr>
                            <w:tab/>
                          </w:r>
                          <w:r>
                            <w:rPr>
                              <w:rFonts w:hint="cs"/>
                              <w:b/>
                              <w:bCs/>
                              <w:sz w:val="16"/>
                              <w:szCs w:val="16"/>
                              <w:rtl/>
                            </w:rPr>
                            <w:t xml:space="preserve">טל: </w:t>
                          </w:r>
                          <w:r w:rsidRPr="006C5697">
                            <w:rPr>
                              <w:b/>
                              <w:bCs/>
                              <w:sz w:val="16"/>
                              <w:szCs w:val="16"/>
                              <w:rtl/>
                            </w:rPr>
                            <w:t>052-7676412</w:t>
                          </w:r>
                        </w:p>
                        <w:p w14:paraId="6AE8B319" w14:textId="77777777" w:rsidR="00592982" w:rsidRPr="008D08BD" w:rsidRDefault="00AD16A0" w:rsidP="00C83122">
                          <w:pPr>
                            <w:bidi w:val="0"/>
                            <w:jc w:val="center"/>
                            <w:rPr>
                              <w:b/>
                              <w:bCs/>
                              <w:sz w:val="16"/>
                              <w:szCs w:val="16"/>
                            </w:rPr>
                          </w:pPr>
                          <w:hyperlink r:id="rId1" w:history="1">
                            <w:r w:rsidR="00592982" w:rsidRPr="008D08BD">
                              <w:rPr>
                                <w:b/>
                                <w:bCs/>
                                <w:sz w:val="16"/>
                                <w:szCs w:val="16"/>
                              </w:rPr>
                              <w:t>A05</w:t>
                            </w:r>
                            <w:r w:rsidR="00592982" w:rsidRPr="008D08BD">
                              <w:rPr>
                                <w:rFonts w:hint="cs"/>
                                <w:b/>
                                <w:bCs/>
                                <w:sz w:val="16"/>
                                <w:szCs w:val="16"/>
                              </w:rPr>
                              <w:t>27676412</w:t>
                            </w:r>
                            <w:r w:rsidR="00592982" w:rsidRPr="008D08BD">
                              <w:rPr>
                                <w:b/>
                                <w:bCs/>
                                <w:sz w:val="16"/>
                                <w:szCs w:val="16"/>
                              </w:rPr>
                              <w:t>@</w:t>
                            </w:r>
                            <w:r w:rsidR="00592982" w:rsidRPr="008D08BD">
                              <w:rPr>
                                <w:rFonts w:hint="cs"/>
                                <w:b/>
                                <w:bCs/>
                                <w:sz w:val="16"/>
                                <w:szCs w:val="16"/>
                              </w:rPr>
                              <w:t>GMAIL.COM</w:t>
                            </w:r>
                          </w:hyperlink>
                          <w:r w:rsidR="00592982">
                            <w:rPr>
                              <w:b/>
                              <w:bCs/>
                              <w:sz w:val="16"/>
                              <w:szCs w:val="16"/>
                            </w:rPr>
                            <w:t xml:space="preserve"> </w:t>
                          </w:r>
                          <w:r w:rsidR="00592982" w:rsidRPr="008D08BD">
                            <w:rPr>
                              <w:rFonts w:hint="cs"/>
                              <w:b/>
                              <w:bCs/>
                              <w:sz w:val="16"/>
                              <w:szCs w:val="16"/>
                              <w:rtl/>
                            </w:rPr>
                            <w:t>לקבלת המ"מ במייל נא לשלוח הודעה לכתובת:</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911B3C9" id="_x0000_t202" coordsize="21600,21600" o:spt="202" path="m,l,21600r21600,l21600,xe">
              <v:stroke joinstyle="miter"/>
              <v:path gradientshapeok="t" o:connecttype="rect"/>
            </v:shapetype>
            <v:shape id="_x0000_s1052" type="#_x0000_t202" style="position:absolute;left:0;text-align:left;margin-left:254.8pt;margin-top:5.05pt;width:264.25pt;height:26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" stroked="f" strokeweight="1.5pt">
              <v:textbox>
                <w:txbxContent>
                  <w:p w14:paraId="17A68929" w14:textId="77777777" w:rsidR="00592982" w:rsidRPr="00D348B7" w:rsidRDefault="00592982" w:rsidP="00C83122">
                    <w:pPr>
                      <w:spacing w:line="240" w:lineRule="auto"/>
                      <w:jc w:val="center"/>
                      <w:rPr>
                        <w:b/>
                        <w:bCs/>
                        <w:sz w:val="16"/>
                        <w:szCs w:val="16"/>
                        <w:rtl/>
                      </w:rPr>
                    </w:pPr>
                    <w:r>
                      <w:rPr>
                        <w:b/>
                        <w:bCs/>
                        <w:sz w:val="16"/>
                        <w:szCs w:val="16"/>
                        <w:rtl/>
                      </w:rPr>
                      <w:t xml:space="preserve">שלמה </w:t>
                    </w:r>
                    <w:r w:rsidRPr="00D348B7">
                      <w:rPr>
                        <w:b/>
                        <w:bCs/>
                        <w:sz w:val="16"/>
                        <w:szCs w:val="16"/>
                        <w:rtl/>
                      </w:rPr>
                      <w:t xml:space="preserve">הנדל </w:t>
                    </w:r>
                    <w:r w:rsidRPr="00D348B7">
                      <w:rPr>
                        <w:rFonts w:hint="cs"/>
                        <w:b/>
                        <w:bCs/>
                        <w:sz w:val="16"/>
                        <w:szCs w:val="16"/>
                        <w:rtl/>
                      </w:rPr>
                      <w:t xml:space="preserve">- </w:t>
                    </w:r>
                    <w:r w:rsidRPr="00D348B7">
                      <w:rPr>
                        <w:b/>
                        <w:bCs/>
                        <w:sz w:val="16"/>
                        <w:szCs w:val="16"/>
                        <w:rtl/>
                      </w:rPr>
                      <w:t>בית הלל</w:t>
                    </w:r>
                    <w:r>
                      <w:rPr>
                        <w:b/>
                        <w:bCs/>
                        <w:sz w:val="16"/>
                        <w:szCs w:val="16"/>
                        <w:rtl/>
                      </w:rPr>
                      <w:tab/>
                    </w:r>
                    <w:r>
                      <w:rPr>
                        <w:rFonts w:hint="cs"/>
                        <w:b/>
                        <w:bCs/>
                        <w:sz w:val="16"/>
                        <w:szCs w:val="16"/>
                        <w:rtl/>
                      </w:rPr>
                      <w:t xml:space="preserve">טל: </w:t>
                    </w:r>
                    <w:r w:rsidRPr="006C5697">
                      <w:rPr>
                        <w:b/>
                        <w:bCs/>
                        <w:sz w:val="16"/>
                        <w:szCs w:val="16"/>
                        <w:rtl/>
                      </w:rPr>
                      <w:t>052-7676412</w:t>
                    </w:r>
                  </w:p>
                  <w:p w14:paraId="6AE8B319" w14:textId="77777777" w:rsidR="00592982" w:rsidRPr="008D08BD" w:rsidRDefault="00AD16A0" w:rsidP="00C83122">
                    <w:pPr>
                      <w:bidi w:val="0"/>
                      <w:jc w:val="center"/>
                      <w:rPr>
                        <w:b/>
                        <w:bCs/>
                        <w:sz w:val="16"/>
                        <w:szCs w:val="16"/>
                      </w:rPr>
                    </w:pPr>
                    <w:hyperlink r:id="rId2" w:history="1">
                      <w:r w:rsidR="00592982" w:rsidRPr="008D08BD">
                        <w:rPr>
                          <w:b/>
                          <w:bCs/>
                          <w:sz w:val="16"/>
                          <w:szCs w:val="16"/>
                        </w:rPr>
                        <w:t>A05</w:t>
                      </w:r>
                      <w:r w:rsidR="00592982" w:rsidRPr="008D08BD">
                        <w:rPr>
                          <w:rFonts w:hint="cs"/>
                          <w:b/>
                          <w:bCs/>
                          <w:sz w:val="16"/>
                          <w:szCs w:val="16"/>
                        </w:rPr>
                        <w:t>27676412</w:t>
                      </w:r>
                      <w:r w:rsidR="00592982" w:rsidRPr="008D08BD">
                        <w:rPr>
                          <w:b/>
                          <w:bCs/>
                          <w:sz w:val="16"/>
                          <w:szCs w:val="16"/>
                        </w:rPr>
                        <w:t>@</w:t>
                      </w:r>
                      <w:r w:rsidR="00592982" w:rsidRPr="008D08BD">
                        <w:rPr>
                          <w:rFonts w:hint="cs"/>
                          <w:b/>
                          <w:bCs/>
                          <w:sz w:val="16"/>
                          <w:szCs w:val="16"/>
                        </w:rPr>
                        <w:t>GMAIL.COM</w:t>
                      </w:r>
                    </w:hyperlink>
                    <w:r w:rsidR="00592982">
                      <w:rPr>
                        <w:b/>
                        <w:bCs/>
                        <w:sz w:val="16"/>
                        <w:szCs w:val="16"/>
                      </w:rPr>
                      <w:t xml:space="preserve"> </w:t>
                    </w:r>
                    <w:r w:rsidR="00592982" w:rsidRPr="008D08BD">
                      <w:rPr>
                        <w:rFonts w:hint="cs"/>
                        <w:b/>
                        <w:bCs/>
                        <w:sz w:val="16"/>
                        <w:szCs w:val="16"/>
                        <w:rtl/>
                      </w:rPr>
                      <w:t>לקבלת המ"מ במייל נא לשלוח הודעה לכתובת:</w:t>
                    </w:r>
                  </w:p>
                </w:txbxContent>
              </v:textbox>
              <w10:wrap anchorx="margin"/>
            </v:shape>
          </w:pict>
        </mc:Fallback>
      </mc:AlternateContent>
    </w:r>
    <w:r>
      <w:rPr>
        <w:noProof/>
      </w:rPr>
      <mc:AlternateContent>
        <mc:Choice Requires="wps">
          <w:drawing>
            <wp:anchor distT="0" distB="0" distL="114300" distR="114300" simplePos="0" relativeHeight="251703296" behindDoc="0" locked="0" layoutInCell="1" allowOverlap="1" wp14:anchorId="44C68DB4" wp14:editId="1036F8C0">
              <wp:simplePos x="0" y="0"/>
              <wp:positionH relativeFrom="margin">
                <wp:posOffset>46355</wp:posOffset>
              </wp:positionH>
              <wp:positionV relativeFrom="paragraph">
                <wp:posOffset>34290</wp:posOffset>
              </wp:positionV>
              <wp:extent cx="1002665" cy="264160"/>
              <wp:effectExtent l="0" t="0" r="6985" b="2540"/>
              <wp:wrapNone/>
              <wp:docPr id="210" name="תיבת טקסט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2665" cy="264160"/>
                      </a:xfrm>
                      <a:prstGeom prst="rect">
                        <a:avLst/>
                      </a:prstGeom>
                      <a:solidFill>
                        <a:srgbClr val="FFFFFF"/>
                      </a:solidFill>
                      <a:ln w="15875">
                        <a:solidFill>
                          <a:srgbClr val="000000"/>
                        </a:solidFill>
                        <a:miter lim="800000"/>
                        <a:headEnd/>
                        <a:tailEnd/>
                      </a:ln>
                    </wps:spPr>
                    <wps:txbx>
                      <w:txbxContent>
                        <w:p w14:paraId="334C33C2" w14:textId="77777777" w:rsidR="00592982" w:rsidRDefault="00592982" w:rsidP="00C83122">
                          <w:pPr>
                            <w:rPr>
                              <w:b/>
                              <w:bCs/>
                              <w:sz w:val="18"/>
                              <w:szCs w:val="18"/>
                            </w:rPr>
                          </w:pPr>
                          <w:r>
                            <w:rPr>
                              <w:b/>
                              <w:bCs/>
                              <w:sz w:val="18"/>
                              <w:szCs w:val="18"/>
                              <w:rtl/>
                            </w:rPr>
                            <w:t>המשך בעמ' הבא</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4C68DB4" id="_x0000_s1053" type="#_x0000_t202" style="position:absolute;left:0;text-align:left;margin-left:3.65pt;margin-top:2.7pt;width:78.95pt;height:20.8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" strokeweight="1.25pt">
              <v:textbox>
                <w:txbxContent>
                  <w:p w14:paraId="334C33C2" w14:textId="77777777" w:rsidR="00592982" w:rsidRDefault="00592982" w:rsidP="00C83122">
                    <w:pPr>
                      <w:rPr>
                        <w:b/>
                        <w:bCs/>
                        <w:sz w:val="18"/>
                        <w:szCs w:val="18"/>
                      </w:rPr>
                    </w:pPr>
                    <w:r>
                      <w:rPr>
                        <w:b/>
                        <w:bCs/>
                        <w:sz w:val="18"/>
                        <w:szCs w:val="18"/>
                        <w:rtl/>
                      </w:rPr>
                      <w:t>המשך בעמ' הבא</w:t>
                    </w:r>
                  </w:p>
                </w:txbxContent>
              </v:textbox>
              <w10:wrap anchorx="margin"/>
            </v:shape>
          </w:pict>
        </mc:Fallback>
      </mc:AlternateContent>
    </w:r>
  </w:p>
  <w:p w14:paraId="2552B90B" w14:textId="77777777" w:rsidR="00592982" w:rsidRDefault="00592982" w:rsidP="00C83122">
    <w:pPr>
      <w:pStyle w:val="affe"/>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942373785"/>
      <w:docPartObj>
        <w:docPartGallery w:val="Page Numbers (Bottom of Page)"/>
        <w:docPartUnique/>
      </w:docPartObj>
    </w:sdtPr>
    <w:sdtEndPr>
      <w:rPr>
        <w:cs/>
      </w:rPr>
    </w:sdtEndPr>
    <w:sdtContent>
      <w:p w14:paraId="7C2F9A4B" w14:textId="77777777" w:rsidR="00592982" w:rsidRDefault="00592982">
        <w:pPr>
          <w:pStyle w:val="affe"/>
          <w:jc w:val="right"/>
          <w:rPr>
            <w:rtl/>
            <w:cs/>
          </w:rPr>
        </w:pPr>
        <w:r>
          <w:fldChar w:fldCharType="begin"/>
        </w:r>
        <w:r>
          <w:rPr>
            <w:rtl/>
            <w:cs/>
          </w:rPr>
          <w:instrText>PAGE   \* MERGEFORMAT</w:instrText>
        </w:r>
        <w:r>
          <w:fldChar w:fldCharType="separate"/>
        </w:r>
        <w:r w:rsidRPr="006B3804">
          <w:rPr>
            <w:noProof/>
            <w:rtl/>
            <w:lang w:val="he-IL"/>
          </w:rPr>
          <w:t>3</w:t>
        </w:r>
        <w:r>
          <w:fldChar w:fldCharType="end"/>
        </w:r>
      </w:p>
    </w:sdtContent>
  </w:sdt>
  <w:p w14:paraId="493F22DC" w14:textId="77777777" w:rsidR="00592982" w:rsidRDefault="00592982"/>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376833959"/>
      <w:docPartObj>
        <w:docPartGallery w:val="Page Numbers (Bottom of Page)"/>
        <w:docPartUnique/>
      </w:docPartObj>
    </w:sdtPr>
    <w:sdtEndPr>
      <w:rPr>
        <w:cs/>
      </w:rPr>
    </w:sdtEndPr>
    <w:sdtContent>
      <w:p w14:paraId="6A119F45" w14:textId="77777777" w:rsidR="008925FD" w:rsidRDefault="008925FD">
        <w:pPr>
          <w:pStyle w:val="affe"/>
          <w:jc w:val="right"/>
          <w:rPr>
            <w:rtl/>
            <w:cs/>
          </w:rPr>
        </w:pPr>
        <w:r>
          <w:fldChar w:fldCharType="begin"/>
        </w:r>
        <w:r>
          <w:rPr>
            <w:rtl/>
            <w:cs/>
          </w:rPr>
          <w:instrText>PAGE   \* MERGEFORMAT</w:instrText>
        </w:r>
        <w:r>
          <w:fldChar w:fldCharType="separate"/>
        </w:r>
        <w:r w:rsidRPr="000D3787">
          <w:rPr>
            <w:noProof/>
            <w:rtl/>
            <w:lang w:val="he-IL"/>
          </w:rPr>
          <w:t>1</w:t>
        </w:r>
        <w:r>
          <w:fldChar w:fldCharType="end"/>
        </w:r>
      </w:p>
    </w:sdtContent>
  </w:sdt>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FB97D" w14:textId="77777777" w:rsidR="008925FD" w:rsidRDefault="008925FD" w:rsidP="00C83122">
    <w:pPr>
      <w:pStyle w:val="affe"/>
    </w:pPr>
    <w:r>
      <w:rPr>
        <w:noProof/>
      </w:rPr>
      <mc:AlternateContent>
        <mc:Choice Requires="wps">
          <w:drawing>
            <wp:anchor distT="0" distB="0" distL="114300" distR="114300" simplePos="0" relativeHeight="251708416" behindDoc="0" locked="0" layoutInCell="1" allowOverlap="1" wp14:anchorId="4582075C" wp14:editId="2861202D">
              <wp:simplePos x="0" y="0"/>
              <wp:positionH relativeFrom="margin">
                <wp:posOffset>2023110</wp:posOffset>
              </wp:positionH>
              <wp:positionV relativeFrom="paragraph">
                <wp:posOffset>3175</wp:posOffset>
              </wp:positionV>
              <wp:extent cx="4855210" cy="353060"/>
              <wp:effectExtent l="0" t="0" r="0" b="0"/>
              <wp:wrapNone/>
              <wp:docPr id="211" name="תיבת טקסט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5210" cy="353060"/>
                      </a:xfrm>
                      <a:prstGeom prst="rect">
                        <a:avLst/>
                      </a:prstGeom>
                      <a:solidFill>
                        <a:srgbClr val="FFFFFF"/>
                      </a:solidFill>
                      <a:ln w="19050">
                        <a:noFill/>
                        <a:miter lim="800000"/>
                        <a:headEnd/>
                        <a:tailEnd/>
                      </a:ln>
                    </wps:spPr>
                    <wps:txbx>
                      <w:txbxContent>
                        <w:p w14:paraId="6F60AB88" w14:textId="77777777" w:rsidR="008925FD" w:rsidRPr="002A07A0" w:rsidRDefault="008925FD" w:rsidP="00911969">
                          <w:pPr>
                            <w:spacing w:line="240" w:lineRule="auto"/>
                            <w:contextualSpacing/>
                            <w:jc w:val="center"/>
                            <w:rPr>
                              <w:b/>
                              <w:bCs/>
                              <w:sz w:val="16"/>
                              <w:szCs w:val="16"/>
                              <w:rtl/>
                            </w:rPr>
                          </w:pPr>
                          <w:r>
                            <w:rPr>
                              <w:b/>
                              <w:bCs/>
                              <w:sz w:val="16"/>
                              <w:szCs w:val="16"/>
                              <w:rtl/>
                            </w:rPr>
                            <w:t xml:space="preserve">שלמה </w:t>
                          </w:r>
                          <w:r w:rsidRPr="00D348B7">
                            <w:rPr>
                              <w:b/>
                              <w:bCs/>
                              <w:sz w:val="16"/>
                              <w:szCs w:val="16"/>
                              <w:rtl/>
                            </w:rPr>
                            <w:t xml:space="preserve">הנדל </w:t>
                          </w:r>
                          <w:r>
                            <w:rPr>
                              <w:rFonts w:hint="cs"/>
                              <w:b/>
                              <w:bCs/>
                              <w:sz w:val="16"/>
                              <w:szCs w:val="16"/>
                              <w:rtl/>
                            </w:rPr>
                            <w:t xml:space="preserve">טל: </w:t>
                          </w:r>
                          <w:r w:rsidRPr="006C5697">
                            <w:rPr>
                              <w:b/>
                              <w:bCs/>
                              <w:sz w:val="16"/>
                              <w:szCs w:val="16"/>
                              <w:rtl/>
                            </w:rPr>
                            <w:t>052-7676412</w:t>
                          </w:r>
                          <w:r>
                            <w:rPr>
                              <w:rFonts w:hint="cs"/>
                              <w:b/>
                              <w:bCs/>
                              <w:sz w:val="16"/>
                              <w:szCs w:val="16"/>
                              <w:rtl/>
                            </w:rPr>
                            <w:t xml:space="preserve"> - </w:t>
                          </w:r>
                          <w:r w:rsidRPr="002A07A0">
                            <w:rPr>
                              <w:rFonts w:hint="cs"/>
                              <w:b/>
                              <w:bCs/>
                              <w:sz w:val="16"/>
                              <w:szCs w:val="16"/>
                              <w:rtl/>
                            </w:rPr>
                            <w:t xml:space="preserve">ניתן לקבל </w:t>
                          </w:r>
                          <w:r>
                            <w:rPr>
                              <w:rFonts w:hint="cs"/>
                              <w:b/>
                              <w:bCs/>
                              <w:sz w:val="16"/>
                              <w:szCs w:val="16"/>
                              <w:rtl/>
                            </w:rPr>
                            <w:t>את המ"מ</w:t>
                          </w:r>
                          <w:r w:rsidRPr="00134080">
                            <w:rPr>
                              <w:rFonts w:hint="cs"/>
                              <w:b/>
                              <w:bCs/>
                              <w:sz w:val="16"/>
                              <w:szCs w:val="16"/>
                              <w:rtl/>
                            </w:rPr>
                            <w:t xml:space="preserve"> </w:t>
                          </w:r>
                          <w:r w:rsidRPr="002A07A0">
                            <w:rPr>
                              <w:rFonts w:hint="cs"/>
                              <w:b/>
                              <w:bCs/>
                              <w:sz w:val="16"/>
                              <w:szCs w:val="16"/>
                              <w:rtl/>
                            </w:rPr>
                            <w:t xml:space="preserve">במייל: </w:t>
                          </w:r>
                          <w:r w:rsidRPr="002A07A0">
                            <w:t xml:space="preserve"> </w:t>
                          </w:r>
                          <w:hyperlink r:id="rId1" w:history="1">
                            <w:r w:rsidRPr="002A07A0">
                              <w:rPr>
                                <w:rStyle w:val="Hyperlink"/>
                                <w:b/>
                                <w:bCs/>
                                <w:color w:val="auto"/>
                                <w:sz w:val="16"/>
                                <w:szCs w:val="16"/>
                                <w:u w:val="none"/>
                              </w:rPr>
                              <w:t>A05</w:t>
                            </w:r>
                            <w:r w:rsidRPr="002A07A0">
                              <w:rPr>
                                <w:rStyle w:val="Hyperlink"/>
                                <w:rFonts w:hint="cs"/>
                                <w:b/>
                                <w:bCs/>
                                <w:color w:val="auto"/>
                                <w:sz w:val="16"/>
                                <w:szCs w:val="16"/>
                                <w:u w:val="none"/>
                              </w:rPr>
                              <w:t>27676412</w:t>
                            </w:r>
                            <w:r w:rsidRPr="002A07A0">
                              <w:rPr>
                                <w:rStyle w:val="Hyperlink"/>
                                <w:b/>
                                <w:bCs/>
                                <w:color w:val="auto"/>
                                <w:sz w:val="16"/>
                                <w:szCs w:val="16"/>
                                <w:u w:val="none"/>
                              </w:rPr>
                              <w:t>@</w:t>
                            </w:r>
                            <w:r w:rsidRPr="002A07A0">
                              <w:rPr>
                                <w:rStyle w:val="Hyperlink"/>
                                <w:rFonts w:hint="cs"/>
                                <w:b/>
                                <w:bCs/>
                                <w:color w:val="auto"/>
                                <w:sz w:val="16"/>
                                <w:szCs w:val="16"/>
                                <w:u w:val="none"/>
                              </w:rPr>
                              <w:t>GMAIL.COM</w:t>
                            </w:r>
                          </w:hyperlink>
                          <w:r w:rsidRPr="002A07A0">
                            <w:rPr>
                              <w:rFonts w:hint="cs"/>
                              <w:b/>
                              <w:bCs/>
                              <w:sz w:val="16"/>
                              <w:szCs w:val="16"/>
                              <w:rtl/>
                            </w:rPr>
                            <w:t xml:space="preserve"> </w:t>
                          </w:r>
                        </w:p>
                        <w:p w14:paraId="6AA1634F" w14:textId="77777777" w:rsidR="008925FD" w:rsidRPr="008D08BD" w:rsidRDefault="008925FD" w:rsidP="00911969">
                          <w:pPr>
                            <w:spacing w:line="240" w:lineRule="auto"/>
                            <w:contextualSpacing/>
                            <w:jc w:val="center"/>
                            <w:rPr>
                              <w:b/>
                              <w:bCs/>
                              <w:sz w:val="16"/>
                              <w:szCs w:val="16"/>
                            </w:rPr>
                          </w:pPr>
                          <w:r w:rsidRPr="002A07A0">
                            <w:rPr>
                              <w:rFonts w:hint="cs"/>
                              <w:b/>
                              <w:bCs/>
                              <w:sz w:val="16"/>
                              <w:szCs w:val="16"/>
                              <w:rtl/>
                            </w:rPr>
                            <w:t xml:space="preserve">וכן </w:t>
                          </w:r>
                          <w:r>
                            <w:rPr>
                              <w:rFonts w:hint="cs"/>
                              <w:b/>
                              <w:bCs/>
                              <w:sz w:val="16"/>
                              <w:szCs w:val="16"/>
                              <w:rtl/>
                            </w:rPr>
                            <w:t xml:space="preserve">ניתן לקבל </w:t>
                          </w:r>
                          <w:r w:rsidRPr="002A07A0">
                            <w:rPr>
                              <w:rFonts w:hint="cs"/>
                              <w:b/>
                              <w:bCs/>
                              <w:sz w:val="16"/>
                              <w:szCs w:val="16"/>
                              <w:rtl/>
                            </w:rPr>
                            <w:t xml:space="preserve">את קובץ "משנתם בלשונם" </w:t>
                          </w:r>
                          <w:r>
                            <w:rPr>
                              <w:rFonts w:hint="cs"/>
                              <w:b/>
                              <w:bCs/>
                              <w:sz w:val="16"/>
                              <w:szCs w:val="16"/>
                              <w:rtl/>
                            </w:rPr>
                            <w:t>בו הובאו לשונות הראשונים והאחרונים,</w:t>
                          </w:r>
                          <w:r w:rsidRPr="008D08BD">
                            <w:rPr>
                              <w:b/>
                              <w:bCs/>
                              <w:sz w:val="16"/>
                              <w:szCs w:val="16"/>
                            </w:rPr>
                            <w:t xml:space="preserve"> </w:t>
                          </w:r>
                          <w:r>
                            <w:rPr>
                              <w:rFonts w:hint="cs"/>
                              <w:b/>
                              <w:bCs/>
                              <w:sz w:val="16"/>
                              <w:szCs w:val="16"/>
                              <w:rtl/>
                            </w:rPr>
                            <w:t>פתוחים להעתקה</w:t>
                          </w:r>
                          <w:r>
                            <w:rPr>
                              <w:b/>
                              <w:bCs/>
                              <w:sz w:val="16"/>
                              <w:szCs w:val="16"/>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582075C" id="_x0000_t202" coordsize="21600,21600" o:spt="202" path="m,l,21600r21600,l21600,xe">
              <v:stroke joinstyle="miter"/>
              <v:path gradientshapeok="t" o:connecttype="rect"/>
            </v:shapetype>
            <v:shape id="_x0000_s1054" type="#_x0000_t202" style="position:absolute;left:0;text-align:left;margin-left:159.3pt;margin-top:.25pt;width:382.3pt;height:27.8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" stroked="f" strokeweight="1.5pt">
              <v:textbox>
                <w:txbxContent>
                  <w:p w14:paraId="6F60AB88" w14:textId="77777777" w:rsidR="008925FD" w:rsidRPr="002A07A0" w:rsidRDefault="008925FD" w:rsidP="00911969">
                    <w:pPr>
                      <w:spacing w:line="240" w:lineRule="auto"/>
                      <w:contextualSpacing/>
                      <w:jc w:val="center"/>
                      <w:rPr>
                        <w:b/>
                        <w:bCs/>
                        <w:sz w:val="16"/>
                        <w:szCs w:val="16"/>
                        <w:rtl/>
                      </w:rPr>
                    </w:pPr>
                    <w:r>
                      <w:rPr>
                        <w:b/>
                        <w:bCs/>
                        <w:sz w:val="16"/>
                        <w:szCs w:val="16"/>
                        <w:rtl/>
                      </w:rPr>
                      <w:t xml:space="preserve">שלמה </w:t>
                    </w:r>
                    <w:r w:rsidRPr="00D348B7">
                      <w:rPr>
                        <w:b/>
                        <w:bCs/>
                        <w:sz w:val="16"/>
                        <w:szCs w:val="16"/>
                        <w:rtl/>
                      </w:rPr>
                      <w:t xml:space="preserve">הנדל </w:t>
                    </w:r>
                    <w:r>
                      <w:rPr>
                        <w:rFonts w:hint="cs"/>
                        <w:b/>
                        <w:bCs/>
                        <w:sz w:val="16"/>
                        <w:szCs w:val="16"/>
                        <w:rtl/>
                      </w:rPr>
                      <w:t xml:space="preserve">טל: </w:t>
                    </w:r>
                    <w:r w:rsidRPr="006C5697">
                      <w:rPr>
                        <w:b/>
                        <w:bCs/>
                        <w:sz w:val="16"/>
                        <w:szCs w:val="16"/>
                        <w:rtl/>
                      </w:rPr>
                      <w:t>052-7676412</w:t>
                    </w:r>
                    <w:r>
                      <w:rPr>
                        <w:rFonts w:hint="cs"/>
                        <w:b/>
                        <w:bCs/>
                        <w:sz w:val="16"/>
                        <w:szCs w:val="16"/>
                        <w:rtl/>
                      </w:rPr>
                      <w:t xml:space="preserve"> - </w:t>
                    </w:r>
                    <w:r w:rsidRPr="002A07A0">
                      <w:rPr>
                        <w:rFonts w:hint="cs"/>
                        <w:b/>
                        <w:bCs/>
                        <w:sz w:val="16"/>
                        <w:szCs w:val="16"/>
                        <w:rtl/>
                      </w:rPr>
                      <w:t xml:space="preserve">ניתן לקבל </w:t>
                    </w:r>
                    <w:r>
                      <w:rPr>
                        <w:rFonts w:hint="cs"/>
                        <w:b/>
                        <w:bCs/>
                        <w:sz w:val="16"/>
                        <w:szCs w:val="16"/>
                        <w:rtl/>
                      </w:rPr>
                      <w:t>את המ"מ</w:t>
                    </w:r>
                    <w:r w:rsidRPr="00134080">
                      <w:rPr>
                        <w:rFonts w:hint="cs"/>
                        <w:b/>
                        <w:bCs/>
                        <w:sz w:val="16"/>
                        <w:szCs w:val="16"/>
                        <w:rtl/>
                      </w:rPr>
                      <w:t xml:space="preserve"> </w:t>
                    </w:r>
                    <w:r w:rsidRPr="002A07A0">
                      <w:rPr>
                        <w:rFonts w:hint="cs"/>
                        <w:b/>
                        <w:bCs/>
                        <w:sz w:val="16"/>
                        <w:szCs w:val="16"/>
                        <w:rtl/>
                      </w:rPr>
                      <w:t xml:space="preserve">במייל: </w:t>
                    </w:r>
                    <w:r w:rsidRPr="002A07A0">
                      <w:t xml:space="preserve"> </w:t>
                    </w:r>
                    <w:hyperlink r:id="rId2" w:history="1">
                      <w:r w:rsidRPr="002A07A0">
                        <w:rPr>
                          <w:rStyle w:val="Hyperlink"/>
                          <w:b/>
                          <w:bCs/>
                          <w:color w:val="auto"/>
                          <w:sz w:val="16"/>
                          <w:szCs w:val="16"/>
                          <w:u w:val="none"/>
                        </w:rPr>
                        <w:t>A05</w:t>
                      </w:r>
                      <w:r w:rsidRPr="002A07A0">
                        <w:rPr>
                          <w:rStyle w:val="Hyperlink"/>
                          <w:rFonts w:hint="cs"/>
                          <w:b/>
                          <w:bCs/>
                          <w:color w:val="auto"/>
                          <w:sz w:val="16"/>
                          <w:szCs w:val="16"/>
                          <w:u w:val="none"/>
                        </w:rPr>
                        <w:t>27676412</w:t>
                      </w:r>
                      <w:r w:rsidRPr="002A07A0">
                        <w:rPr>
                          <w:rStyle w:val="Hyperlink"/>
                          <w:b/>
                          <w:bCs/>
                          <w:color w:val="auto"/>
                          <w:sz w:val="16"/>
                          <w:szCs w:val="16"/>
                          <w:u w:val="none"/>
                        </w:rPr>
                        <w:t>@</w:t>
                      </w:r>
                      <w:r w:rsidRPr="002A07A0">
                        <w:rPr>
                          <w:rStyle w:val="Hyperlink"/>
                          <w:rFonts w:hint="cs"/>
                          <w:b/>
                          <w:bCs/>
                          <w:color w:val="auto"/>
                          <w:sz w:val="16"/>
                          <w:szCs w:val="16"/>
                          <w:u w:val="none"/>
                        </w:rPr>
                        <w:t>GMAIL.COM</w:t>
                      </w:r>
                    </w:hyperlink>
                    <w:r w:rsidRPr="002A07A0">
                      <w:rPr>
                        <w:rFonts w:hint="cs"/>
                        <w:b/>
                        <w:bCs/>
                        <w:sz w:val="16"/>
                        <w:szCs w:val="16"/>
                        <w:rtl/>
                      </w:rPr>
                      <w:t xml:space="preserve"> </w:t>
                    </w:r>
                  </w:p>
                  <w:p w14:paraId="6AA1634F" w14:textId="77777777" w:rsidR="008925FD" w:rsidRPr="008D08BD" w:rsidRDefault="008925FD" w:rsidP="00911969">
                    <w:pPr>
                      <w:spacing w:line="240" w:lineRule="auto"/>
                      <w:contextualSpacing/>
                      <w:jc w:val="center"/>
                      <w:rPr>
                        <w:b/>
                        <w:bCs/>
                        <w:sz w:val="16"/>
                        <w:szCs w:val="16"/>
                      </w:rPr>
                    </w:pPr>
                    <w:r w:rsidRPr="002A07A0">
                      <w:rPr>
                        <w:rFonts w:hint="cs"/>
                        <w:b/>
                        <w:bCs/>
                        <w:sz w:val="16"/>
                        <w:szCs w:val="16"/>
                        <w:rtl/>
                      </w:rPr>
                      <w:t xml:space="preserve">וכן </w:t>
                    </w:r>
                    <w:r>
                      <w:rPr>
                        <w:rFonts w:hint="cs"/>
                        <w:b/>
                        <w:bCs/>
                        <w:sz w:val="16"/>
                        <w:szCs w:val="16"/>
                        <w:rtl/>
                      </w:rPr>
                      <w:t xml:space="preserve">ניתן לקבל </w:t>
                    </w:r>
                    <w:r w:rsidRPr="002A07A0">
                      <w:rPr>
                        <w:rFonts w:hint="cs"/>
                        <w:b/>
                        <w:bCs/>
                        <w:sz w:val="16"/>
                        <w:szCs w:val="16"/>
                        <w:rtl/>
                      </w:rPr>
                      <w:t xml:space="preserve">את קובץ "משנתם בלשונם" </w:t>
                    </w:r>
                    <w:r>
                      <w:rPr>
                        <w:rFonts w:hint="cs"/>
                        <w:b/>
                        <w:bCs/>
                        <w:sz w:val="16"/>
                        <w:szCs w:val="16"/>
                        <w:rtl/>
                      </w:rPr>
                      <w:t>בו הובאו לשונות הראשונים והאחרונים,</w:t>
                    </w:r>
                    <w:r w:rsidRPr="008D08BD">
                      <w:rPr>
                        <w:b/>
                        <w:bCs/>
                        <w:sz w:val="16"/>
                        <w:szCs w:val="16"/>
                      </w:rPr>
                      <w:t xml:space="preserve"> </w:t>
                    </w:r>
                    <w:r>
                      <w:rPr>
                        <w:rFonts w:hint="cs"/>
                        <w:b/>
                        <w:bCs/>
                        <w:sz w:val="16"/>
                        <w:szCs w:val="16"/>
                        <w:rtl/>
                      </w:rPr>
                      <w:t>פתוחים להעתקה</w:t>
                    </w:r>
                    <w:r>
                      <w:rPr>
                        <w:b/>
                        <w:bCs/>
                        <w:sz w:val="16"/>
                        <w:szCs w:val="16"/>
                      </w:rPr>
                      <w:t>.</w:t>
                    </w:r>
                  </w:p>
                </w:txbxContent>
              </v:textbox>
              <w10:wrap anchorx="margin"/>
            </v:shape>
          </w:pict>
        </mc:Fallback>
      </mc:AlternateContent>
    </w:r>
    <w:r>
      <w:rPr>
        <w:noProof/>
      </w:rPr>
      <mc:AlternateContent>
        <mc:Choice Requires="wps">
          <w:drawing>
            <wp:anchor distT="0" distB="0" distL="114300" distR="114300" simplePos="0" relativeHeight="251705344" behindDoc="0" locked="0" layoutInCell="1" allowOverlap="1" wp14:anchorId="311C2A54" wp14:editId="20909309">
              <wp:simplePos x="0" y="0"/>
              <wp:positionH relativeFrom="margin">
                <wp:posOffset>46355</wp:posOffset>
              </wp:positionH>
              <wp:positionV relativeFrom="paragraph">
                <wp:posOffset>34290</wp:posOffset>
              </wp:positionV>
              <wp:extent cx="1002665" cy="264160"/>
              <wp:effectExtent l="0" t="0" r="6985" b="2540"/>
              <wp:wrapNone/>
              <wp:docPr id="212" name="תיבת טקסט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2665" cy="264160"/>
                      </a:xfrm>
                      <a:prstGeom prst="rect">
                        <a:avLst/>
                      </a:prstGeom>
                      <a:solidFill>
                        <a:srgbClr val="FFFFFF"/>
                      </a:solidFill>
                      <a:ln w="15875">
                        <a:solidFill>
                          <a:srgbClr val="000000"/>
                        </a:solidFill>
                        <a:miter lim="800000"/>
                        <a:headEnd/>
                        <a:tailEnd/>
                      </a:ln>
                    </wps:spPr>
                    <wps:txbx>
                      <w:txbxContent>
                        <w:p w14:paraId="5D6DF81C" w14:textId="77777777" w:rsidR="008925FD" w:rsidRDefault="008925FD" w:rsidP="00C83122">
                          <w:pPr>
                            <w:rPr>
                              <w:b/>
                              <w:bCs/>
                              <w:sz w:val="18"/>
                              <w:szCs w:val="18"/>
                            </w:rPr>
                          </w:pPr>
                          <w:r>
                            <w:rPr>
                              <w:b/>
                              <w:bCs/>
                              <w:sz w:val="18"/>
                              <w:szCs w:val="18"/>
                              <w:rtl/>
                            </w:rPr>
                            <w:t>המשך בעמ' הבא</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11C2A54" id="תיבת טקסט 11" o:spid="_x0000_s1055" type="#_x0000_t202" style="position:absolute;left:0;text-align:left;margin-left:3.65pt;margin-top:2.7pt;width:78.95pt;height:20.8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" strokeweight="1.25pt">
              <v:textbox>
                <w:txbxContent>
                  <w:p w14:paraId="5D6DF81C" w14:textId="77777777" w:rsidR="008925FD" w:rsidRDefault="008925FD" w:rsidP="00C83122">
                    <w:pPr>
                      <w:rPr>
                        <w:b/>
                        <w:bCs/>
                        <w:sz w:val="18"/>
                        <w:szCs w:val="18"/>
                      </w:rPr>
                    </w:pPr>
                    <w:r>
                      <w:rPr>
                        <w:b/>
                        <w:bCs/>
                        <w:sz w:val="18"/>
                        <w:szCs w:val="18"/>
                        <w:rtl/>
                      </w:rPr>
                      <w:t>המשך בעמ' הבא</w:t>
                    </w:r>
                  </w:p>
                </w:txbxContent>
              </v:textbox>
              <w10:wrap anchorx="margin"/>
            </v:shape>
          </w:pict>
        </mc:Fallback>
      </mc:AlternateContent>
    </w:r>
  </w:p>
  <w:p w14:paraId="2CFBBFE9" w14:textId="77777777" w:rsidR="008925FD" w:rsidRDefault="008925FD" w:rsidP="00C83122">
    <w:pPr>
      <w:pStyle w:val="affe"/>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9DC51" w14:textId="77777777" w:rsidR="008925FD" w:rsidRDefault="008925FD">
    <w:pPr>
      <w:pStyle w:val="affe"/>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298535112"/>
      <w:docPartObj>
        <w:docPartGallery w:val="Page Numbers (Bottom of Page)"/>
        <w:docPartUnique/>
      </w:docPartObj>
    </w:sdtPr>
    <w:sdtEndPr>
      <w:rPr>
        <w:cs/>
      </w:rPr>
    </w:sdtEndPr>
    <w:sdtContent>
      <w:p w14:paraId="044D78E6" w14:textId="77777777" w:rsidR="008925FD" w:rsidRDefault="008925FD">
        <w:pPr>
          <w:pStyle w:val="affe"/>
          <w:jc w:val="right"/>
          <w:rPr>
            <w:rtl/>
            <w:cs/>
          </w:rPr>
        </w:pPr>
        <w:r>
          <w:fldChar w:fldCharType="begin"/>
        </w:r>
        <w:r>
          <w:rPr>
            <w:rtl/>
            <w:cs/>
          </w:rPr>
          <w:instrText>PAGE   \* MERGEFORMAT</w:instrText>
        </w:r>
        <w:r>
          <w:fldChar w:fldCharType="separate"/>
        </w:r>
        <w:r w:rsidRPr="006B3804">
          <w:rPr>
            <w:noProof/>
            <w:rtl/>
            <w:lang w:val="he-IL"/>
          </w:rPr>
          <w:t>2</w:t>
        </w:r>
        <w:r>
          <w:fldChar w:fldCharType="end"/>
        </w:r>
      </w:p>
    </w:sdtContent>
  </w:sdt>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06C13" w14:textId="77777777" w:rsidR="008925FD" w:rsidRDefault="008925FD" w:rsidP="00C83122">
    <w:pPr>
      <w:pStyle w:val="affe"/>
    </w:pPr>
    <w:r>
      <w:rPr>
        <w:noProof/>
      </w:rPr>
      <mc:AlternateContent>
        <mc:Choice Requires="wps">
          <w:drawing>
            <wp:anchor distT="0" distB="0" distL="114300" distR="114300" simplePos="0" relativeHeight="251706368" behindDoc="0" locked="0" layoutInCell="1" allowOverlap="1" wp14:anchorId="656594C9" wp14:editId="0509DF08">
              <wp:simplePos x="0" y="0"/>
              <wp:positionH relativeFrom="margin">
                <wp:posOffset>3235960</wp:posOffset>
              </wp:positionH>
              <wp:positionV relativeFrom="paragraph">
                <wp:posOffset>64135</wp:posOffset>
              </wp:positionV>
              <wp:extent cx="3355975" cy="330200"/>
              <wp:effectExtent l="0" t="0" r="0" b="0"/>
              <wp:wrapNone/>
              <wp:docPr id="213" name="תיבת טקסט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5975" cy="330200"/>
                      </a:xfrm>
                      <a:prstGeom prst="rect">
                        <a:avLst/>
                      </a:prstGeom>
                      <a:solidFill>
                        <a:srgbClr val="FFFFFF"/>
                      </a:solidFill>
                      <a:ln w="19050">
                        <a:noFill/>
                        <a:miter lim="800000"/>
                        <a:headEnd/>
                        <a:tailEnd/>
                      </a:ln>
                    </wps:spPr>
                    <wps:txbx>
                      <w:txbxContent>
                        <w:p w14:paraId="0AC420C9" w14:textId="77777777" w:rsidR="008925FD" w:rsidRPr="00D348B7" w:rsidRDefault="008925FD" w:rsidP="00C83122">
                          <w:pPr>
                            <w:spacing w:line="240" w:lineRule="auto"/>
                            <w:jc w:val="center"/>
                            <w:rPr>
                              <w:b/>
                              <w:bCs/>
                              <w:sz w:val="16"/>
                              <w:szCs w:val="16"/>
                              <w:rtl/>
                            </w:rPr>
                          </w:pPr>
                          <w:r>
                            <w:rPr>
                              <w:b/>
                              <w:bCs/>
                              <w:sz w:val="16"/>
                              <w:szCs w:val="16"/>
                              <w:rtl/>
                            </w:rPr>
                            <w:t xml:space="preserve">שלמה </w:t>
                          </w:r>
                          <w:r w:rsidRPr="00D348B7">
                            <w:rPr>
                              <w:b/>
                              <w:bCs/>
                              <w:sz w:val="16"/>
                              <w:szCs w:val="16"/>
                              <w:rtl/>
                            </w:rPr>
                            <w:t xml:space="preserve">הנדל </w:t>
                          </w:r>
                          <w:r w:rsidRPr="00D348B7">
                            <w:rPr>
                              <w:rFonts w:hint="cs"/>
                              <w:b/>
                              <w:bCs/>
                              <w:sz w:val="16"/>
                              <w:szCs w:val="16"/>
                              <w:rtl/>
                            </w:rPr>
                            <w:t xml:space="preserve">- </w:t>
                          </w:r>
                          <w:r w:rsidRPr="00D348B7">
                            <w:rPr>
                              <w:b/>
                              <w:bCs/>
                              <w:sz w:val="16"/>
                              <w:szCs w:val="16"/>
                              <w:rtl/>
                            </w:rPr>
                            <w:t>בית הלל</w:t>
                          </w:r>
                          <w:r>
                            <w:rPr>
                              <w:b/>
                              <w:bCs/>
                              <w:sz w:val="16"/>
                              <w:szCs w:val="16"/>
                              <w:rtl/>
                            </w:rPr>
                            <w:tab/>
                          </w:r>
                          <w:r>
                            <w:rPr>
                              <w:rFonts w:hint="cs"/>
                              <w:b/>
                              <w:bCs/>
                              <w:sz w:val="16"/>
                              <w:szCs w:val="16"/>
                              <w:rtl/>
                            </w:rPr>
                            <w:t xml:space="preserve">טל: </w:t>
                          </w:r>
                          <w:r w:rsidRPr="006C5697">
                            <w:rPr>
                              <w:b/>
                              <w:bCs/>
                              <w:sz w:val="16"/>
                              <w:szCs w:val="16"/>
                              <w:rtl/>
                            </w:rPr>
                            <w:t>052-7676412</w:t>
                          </w:r>
                        </w:p>
                        <w:p w14:paraId="212A6503" w14:textId="77777777" w:rsidR="008925FD" w:rsidRPr="008D08BD" w:rsidRDefault="00AD16A0" w:rsidP="00C83122">
                          <w:pPr>
                            <w:bidi w:val="0"/>
                            <w:jc w:val="center"/>
                            <w:rPr>
                              <w:b/>
                              <w:bCs/>
                              <w:sz w:val="16"/>
                              <w:szCs w:val="16"/>
                            </w:rPr>
                          </w:pPr>
                          <w:hyperlink r:id="rId1" w:history="1">
                            <w:r w:rsidR="008925FD" w:rsidRPr="008D08BD">
                              <w:rPr>
                                <w:b/>
                                <w:bCs/>
                                <w:sz w:val="16"/>
                                <w:szCs w:val="16"/>
                              </w:rPr>
                              <w:t>A05</w:t>
                            </w:r>
                            <w:r w:rsidR="008925FD" w:rsidRPr="008D08BD">
                              <w:rPr>
                                <w:rFonts w:hint="cs"/>
                                <w:b/>
                                <w:bCs/>
                                <w:sz w:val="16"/>
                                <w:szCs w:val="16"/>
                              </w:rPr>
                              <w:t>27676412</w:t>
                            </w:r>
                            <w:r w:rsidR="008925FD" w:rsidRPr="008D08BD">
                              <w:rPr>
                                <w:b/>
                                <w:bCs/>
                                <w:sz w:val="16"/>
                                <w:szCs w:val="16"/>
                              </w:rPr>
                              <w:t>@</w:t>
                            </w:r>
                            <w:r w:rsidR="008925FD" w:rsidRPr="008D08BD">
                              <w:rPr>
                                <w:rFonts w:hint="cs"/>
                                <w:b/>
                                <w:bCs/>
                                <w:sz w:val="16"/>
                                <w:szCs w:val="16"/>
                              </w:rPr>
                              <w:t>GMAIL.COM</w:t>
                            </w:r>
                          </w:hyperlink>
                          <w:r w:rsidR="008925FD">
                            <w:rPr>
                              <w:b/>
                              <w:bCs/>
                              <w:sz w:val="16"/>
                              <w:szCs w:val="16"/>
                            </w:rPr>
                            <w:t xml:space="preserve"> </w:t>
                          </w:r>
                          <w:r w:rsidR="008925FD" w:rsidRPr="008D08BD">
                            <w:rPr>
                              <w:rFonts w:hint="cs"/>
                              <w:b/>
                              <w:bCs/>
                              <w:sz w:val="16"/>
                              <w:szCs w:val="16"/>
                              <w:rtl/>
                            </w:rPr>
                            <w:t>לקבלת המ"מ במייל נא לשלוח הודעה לכתובת:</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56594C9" id="_x0000_t202" coordsize="21600,21600" o:spt="202" path="m,l,21600r21600,l21600,xe">
              <v:stroke joinstyle="miter"/>
              <v:path gradientshapeok="t" o:connecttype="rect"/>
            </v:shapetype>
            <v:shape id="_x0000_s1056" type="#_x0000_t202" style="position:absolute;left:0;text-align:left;margin-left:254.8pt;margin-top:5.05pt;width:264.25pt;height:26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" stroked="f" strokeweight="1.5pt">
              <v:textbox>
                <w:txbxContent>
                  <w:p w14:paraId="0AC420C9" w14:textId="77777777" w:rsidR="008925FD" w:rsidRPr="00D348B7" w:rsidRDefault="008925FD" w:rsidP="00C83122">
                    <w:pPr>
                      <w:spacing w:line="240" w:lineRule="auto"/>
                      <w:jc w:val="center"/>
                      <w:rPr>
                        <w:b/>
                        <w:bCs/>
                        <w:sz w:val="16"/>
                        <w:szCs w:val="16"/>
                        <w:rtl/>
                      </w:rPr>
                    </w:pPr>
                    <w:r>
                      <w:rPr>
                        <w:b/>
                        <w:bCs/>
                        <w:sz w:val="16"/>
                        <w:szCs w:val="16"/>
                        <w:rtl/>
                      </w:rPr>
                      <w:t xml:space="preserve">שלמה </w:t>
                    </w:r>
                    <w:r w:rsidRPr="00D348B7">
                      <w:rPr>
                        <w:b/>
                        <w:bCs/>
                        <w:sz w:val="16"/>
                        <w:szCs w:val="16"/>
                        <w:rtl/>
                      </w:rPr>
                      <w:t xml:space="preserve">הנדל </w:t>
                    </w:r>
                    <w:r w:rsidRPr="00D348B7">
                      <w:rPr>
                        <w:rFonts w:hint="cs"/>
                        <w:b/>
                        <w:bCs/>
                        <w:sz w:val="16"/>
                        <w:szCs w:val="16"/>
                        <w:rtl/>
                      </w:rPr>
                      <w:t xml:space="preserve">- </w:t>
                    </w:r>
                    <w:r w:rsidRPr="00D348B7">
                      <w:rPr>
                        <w:b/>
                        <w:bCs/>
                        <w:sz w:val="16"/>
                        <w:szCs w:val="16"/>
                        <w:rtl/>
                      </w:rPr>
                      <w:t>בית הלל</w:t>
                    </w:r>
                    <w:r>
                      <w:rPr>
                        <w:b/>
                        <w:bCs/>
                        <w:sz w:val="16"/>
                        <w:szCs w:val="16"/>
                        <w:rtl/>
                      </w:rPr>
                      <w:tab/>
                    </w:r>
                    <w:r>
                      <w:rPr>
                        <w:rFonts w:hint="cs"/>
                        <w:b/>
                        <w:bCs/>
                        <w:sz w:val="16"/>
                        <w:szCs w:val="16"/>
                        <w:rtl/>
                      </w:rPr>
                      <w:t xml:space="preserve">טל: </w:t>
                    </w:r>
                    <w:r w:rsidRPr="006C5697">
                      <w:rPr>
                        <w:b/>
                        <w:bCs/>
                        <w:sz w:val="16"/>
                        <w:szCs w:val="16"/>
                        <w:rtl/>
                      </w:rPr>
                      <w:t>052-7676412</w:t>
                    </w:r>
                  </w:p>
                  <w:p w14:paraId="212A6503" w14:textId="77777777" w:rsidR="008925FD" w:rsidRPr="008D08BD" w:rsidRDefault="00AD16A0" w:rsidP="00C83122">
                    <w:pPr>
                      <w:bidi w:val="0"/>
                      <w:jc w:val="center"/>
                      <w:rPr>
                        <w:b/>
                        <w:bCs/>
                        <w:sz w:val="16"/>
                        <w:szCs w:val="16"/>
                      </w:rPr>
                    </w:pPr>
                    <w:hyperlink r:id="rId2" w:history="1">
                      <w:r w:rsidR="008925FD" w:rsidRPr="008D08BD">
                        <w:rPr>
                          <w:b/>
                          <w:bCs/>
                          <w:sz w:val="16"/>
                          <w:szCs w:val="16"/>
                        </w:rPr>
                        <w:t>A05</w:t>
                      </w:r>
                      <w:r w:rsidR="008925FD" w:rsidRPr="008D08BD">
                        <w:rPr>
                          <w:rFonts w:hint="cs"/>
                          <w:b/>
                          <w:bCs/>
                          <w:sz w:val="16"/>
                          <w:szCs w:val="16"/>
                        </w:rPr>
                        <w:t>27676412</w:t>
                      </w:r>
                      <w:r w:rsidR="008925FD" w:rsidRPr="008D08BD">
                        <w:rPr>
                          <w:b/>
                          <w:bCs/>
                          <w:sz w:val="16"/>
                          <w:szCs w:val="16"/>
                        </w:rPr>
                        <w:t>@</w:t>
                      </w:r>
                      <w:r w:rsidR="008925FD" w:rsidRPr="008D08BD">
                        <w:rPr>
                          <w:rFonts w:hint="cs"/>
                          <w:b/>
                          <w:bCs/>
                          <w:sz w:val="16"/>
                          <w:szCs w:val="16"/>
                        </w:rPr>
                        <w:t>GMAIL.COM</w:t>
                      </w:r>
                    </w:hyperlink>
                    <w:r w:rsidR="008925FD">
                      <w:rPr>
                        <w:b/>
                        <w:bCs/>
                        <w:sz w:val="16"/>
                        <w:szCs w:val="16"/>
                      </w:rPr>
                      <w:t xml:space="preserve"> </w:t>
                    </w:r>
                    <w:r w:rsidR="008925FD" w:rsidRPr="008D08BD">
                      <w:rPr>
                        <w:rFonts w:hint="cs"/>
                        <w:b/>
                        <w:bCs/>
                        <w:sz w:val="16"/>
                        <w:szCs w:val="16"/>
                        <w:rtl/>
                      </w:rPr>
                      <w:t>לקבלת המ"מ במייל נא לשלוח הודעה לכתובת:</w:t>
                    </w:r>
                  </w:p>
                </w:txbxContent>
              </v:textbox>
              <w10:wrap anchorx="margin"/>
            </v:shape>
          </w:pict>
        </mc:Fallback>
      </mc:AlternateContent>
    </w:r>
    <w:r>
      <w:rPr>
        <w:noProof/>
      </w:rPr>
      <mc:AlternateContent>
        <mc:Choice Requires="wps">
          <w:drawing>
            <wp:anchor distT="0" distB="0" distL="114300" distR="114300" simplePos="0" relativeHeight="251707392" behindDoc="0" locked="0" layoutInCell="1" allowOverlap="1" wp14:anchorId="66BDDA9E" wp14:editId="1C78DFC1">
              <wp:simplePos x="0" y="0"/>
              <wp:positionH relativeFrom="margin">
                <wp:posOffset>46355</wp:posOffset>
              </wp:positionH>
              <wp:positionV relativeFrom="paragraph">
                <wp:posOffset>34290</wp:posOffset>
              </wp:positionV>
              <wp:extent cx="1002665" cy="264160"/>
              <wp:effectExtent l="0" t="0" r="6985" b="2540"/>
              <wp:wrapNone/>
              <wp:docPr id="214" name="תיבת טקסט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2665" cy="264160"/>
                      </a:xfrm>
                      <a:prstGeom prst="rect">
                        <a:avLst/>
                      </a:prstGeom>
                      <a:solidFill>
                        <a:srgbClr val="FFFFFF"/>
                      </a:solidFill>
                      <a:ln w="15875">
                        <a:solidFill>
                          <a:srgbClr val="000000"/>
                        </a:solidFill>
                        <a:miter lim="800000"/>
                        <a:headEnd/>
                        <a:tailEnd/>
                      </a:ln>
                    </wps:spPr>
                    <wps:txbx>
                      <w:txbxContent>
                        <w:p w14:paraId="14EEC146" w14:textId="77777777" w:rsidR="008925FD" w:rsidRDefault="008925FD" w:rsidP="00C83122">
                          <w:pPr>
                            <w:rPr>
                              <w:b/>
                              <w:bCs/>
                              <w:sz w:val="18"/>
                              <w:szCs w:val="18"/>
                            </w:rPr>
                          </w:pPr>
                          <w:r>
                            <w:rPr>
                              <w:b/>
                              <w:bCs/>
                              <w:sz w:val="18"/>
                              <w:szCs w:val="18"/>
                              <w:rtl/>
                            </w:rPr>
                            <w:t>המשך בעמ' הבא</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6BDDA9E" id="_x0000_s1057" type="#_x0000_t202" style="position:absolute;left:0;text-align:left;margin-left:3.65pt;margin-top:2.7pt;width:78.95pt;height:20.8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" strokeweight="1.25pt">
              <v:textbox>
                <w:txbxContent>
                  <w:p w14:paraId="14EEC146" w14:textId="77777777" w:rsidR="008925FD" w:rsidRDefault="008925FD" w:rsidP="00C83122">
                    <w:pPr>
                      <w:rPr>
                        <w:b/>
                        <w:bCs/>
                        <w:sz w:val="18"/>
                        <w:szCs w:val="18"/>
                      </w:rPr>
                    </w:pPr>
                    <w:r>
                      <w:rPr>
                        <w:b/>
                        <w:bCs/>
                        <w:sz w:val="18"/>
                        <w:szCs w:val="18"/>
                        <w:rtl/>
                      </w:rPr>
                      <w:t>המשך בעמ' הבא</w:t>
                    </w:r>
                  </w:p>
                </w:txbxContent>
              </v:textbox>
              <w10:wrap anchorx="margin"/>
            </v:shape>
          </w:pict>
        </mc:Fallback>
      </mc:AlternateContent>
    </w:r>
  </w:p>
  <w:p w14:paraId="3ADEDFC2" w14:textId="77777777" w:rsidR="008925FD" w:rsidRDefault="008925FD" w:rsidP="00C83122">
    <w:pPr>
      <w:pStyle w:val="affe"/>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336739709"/>
      <w:docPartObj>
        <w:docPartGallery w:val="Page Numbers (Bottom of Page)"/>
        <w:docPartUnique/>
      </w:docPartObj>
    </w:sdtPr>
    <w:sdtEndPr>
      <w:rPr>
        <w:cs/>
      </w:rPr>
    </w:sdtEndPr>
    <w:sdtContent>
      <w:p w14:paraId="53DF8BEC" w14:textId="77777777" w:rsidR="008925FD" w:rsidRDefault="008925FD">
        <w:pPr>
          <w:pStyle w:val="affe"/>
          <w:jc w:val="right"/>
          <w:rPr>
            <w:rtl/>
            <w:cs/>
          </w:rPr>
        </w:pPr>
        <w:r>
          <w:fldChar w:fldCharType="begin"/>
        </w:r>
        <w:r>
          <w:rPr>
            <w:rtl/>
            <w:cs/>
          </w:rPr>
          <w:instrText>PAGE   \* MERGEFORMAT</w:instrText>
        </w:r>
        <w:r>
          <w:fldChar w:fldCharType="separate"/>
        </w:r>
        <w:r w:rsidRPr="006B3804">
          <w:rPr>
            <w:noProof/>
            <w:rtl/>
            <w:lang w:val="he-IL"/>
          </w:rPr>
          <w:t>3</w:t>
        </w:r>
        <w:r>
          <w:fldChar w:fldCharType="end"/>
        </w:r>
      </w:p>
    </w:sdtContent>
  </w:sdt>
  <w:p w14:paraId="4207ACC2" w14:textId="77777777" w:rsidR="008925FD" w:rsidRDefault="008925FD"/>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613485901"/>
      <w:docPartObj>
        <w:docPartGallery w:val="Page Numbers (Bottom of Page)"/>
        <w:docPartUnique/>
      </w:docPartObj>
    </w:sdtPr>
    <w:sdtEndPr>
      <w:rPr>
        <w:cs/>
      </w:rPr>
    </w:sdtEndPr>
    <w:sdtContent>
      <w:p w14:paraId="08523D9E" w14:textId="77777777" w:rsidR="008925FD" w:rsidRDefault="008925FD">
        <w:pPr>
          <w:pStyle w:val="affe"/>
          <w:jc w:val="right"/>
          <w:rPr>
            <w:rtl/>
            <w:cs/>
          </w:rPr>
        </w:pPr>
        <w:r>
          <w:fldChar w:fldCharType="begin"/>
        </w:r>
        <w:r>
          <w:rPr>
            <w:rtl/>
            <w:cs/>
          </w:rPr>
          <w:instrText>PAGE   \* MERGEFORMAT</w:instrText>
        </w:r>
        <w:r>
          <w:fldChar w:fldCharType="separate"/>
        </w:r>
        <w:r w:rsidRPr="006B3804">
          <w:rPr>
            <w:noProof/>
            <w:rtl/>
            <w:lang w:val="he-IL"/>
          </w:rPr>
          <w:t>3</w:t>
        </w:r>
        <w:r>
          <w:fldChar w:fldCharType="end"/>
        </w:r>
      </w:p>
    </w:sdtContent>
  </w:sdt>
  <w:p w14:paraId="561299E8" w14:textId="77777777" w:rsidR="008925FD" w:rsidRDefault="008925FD"/>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2143530745"/>
      <w:docPartObj>
        <w:docPartGallery w:val="Page Numbers (Bottom of Page)"/>
        <w:docPartUnique/>
      </w:docPartObj>
    </w:sdtPr>
    <w:sdtEndPr>
      <w:rPr>
        <w:cs/>
      </w:rPr>
    </w:sdtEndPr>
    <w:sdtContent>
      <w:p w14:paraId="0729B25B" w14:textId="77777777" w:rsidR="008925FD" w:rsidRDefault="008925FD">
        <w:pPr>
          <w:pStyle w:val="affe"/>
          <w:jc w:val="right"/>
          <w:rPr>
            <w:rtl/>
            <w:cs/>
          </w:rPr>
        </w:pPr>
        <w:r>
          <w:fldChar w:fldCharType="begin"/>
        </w:r>
        <w:r>
          <w:rPr>
            <w:rtl/>
            <w:cs/>
          </w:rPr>
          <w:instrText>PAGE   \* MERGEFORMAT</w:instrText>
        </w:r>
        <w:r>
          <w:fldChar w:fldCharType="separate"/>
        </w:r>
        <w:r w:rsidRPr="006B3804">
          <w:rPr>
            <w:noProof/>
            <w:rtl/>
            <w:lang w:val="he-IL"/>
          </w:rPr>
          <w:t>3</w:t>
        </w:r>
        <w:r>
          <w:fldChar w:fldCharType="end"/>
        </w:r>
      </w:p>
    </w:sdtContent>
  </w:sdt>
  <w:p w14:paraId="65ABF85D" w14:textId="77777777" w:rsidR="008925FD" w:rsidRDefault="008925FD"/>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066642900"/>
      <w:docPartObj>
        <w:docPartGallery w:val="Page Numbers (Bottom of Page)"/>
        <w:docPartUnique/>
      </w:docPartObj>
    </w:sdtPr>
    <w:sdtEndPr>
      <w:rPr>
        <w:cs/>
      </w:rPr>
    </w:sdtEndPr>
    <w:sdtContent>
      <w:p w14:paraId="0338A989" w14:textId="77777777" w:rsidR="002748A5" w:rsidRDefault="002748A5">
        <w:pPr>
          <w:pStyle w:val="affe"/>
          <w:jc w:val="right"/>
          <w:rPr>
            <w:rtl/>
            <w:cs/>
          </w:rPr>
        </w:pPr>
        <w:r>
          <w:fldChar w:fldCharType="begin"/>
        </w:r>
        <w:r>
          <w:rPr>
            <w:rtl/>
            <w:cs/>
          </w:rPr>
          <w:instrText>PAGE   \* MERGEFORMAT</w:instrText>
        </w:r>
        <w:r>
          <w:fldChar w:fldCharType="separate"/>
        </w:r>
        <w:r w:rsidRPr="000D3787">
          <w:rPr>
            <w:noProof/>
            <w:rtl/>
            <w:lang w:val="he-IL"/>
          </w:rPr>
          <w:t>1</w:t>
        </w:r>
        <w:r>
          <w:fldChar w:fldCharType="end"/>
        </w:r>
      </w:p>
    </w:sdtContent>
  </w:sdt>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3A116" w14:textId="77777777" w:rsidR="002748A5" w:rsidRDefault="002748A5" w:rsidP="00C83122">
    <w:pPr>
      <w:pStyle w:val="affe"/>
    </w:pPr>
    <w:r>
      <w:rPr>
        <w:noProof/>
      </w:rPr>
      <mc:AlternateContent>
        <mc:Choice Requires="wps">
          <w:drawing>
            <wp:anchor distT="0" distB="0" distL="114300" distR="114300" simplePos="0" relativeHeight="251712512" behindDoc="0" locked="0" layoutInCell="1" allowOverlap="1" wp14:anchorId="4ACAB8D2" wp14:editId="5E212A20">
              <wp:simplePos x="0" y="0"/>
              <wp:positionH relativeFrom="margin">
                <wp:posOffset>2022878</wp:posOffset>
              </wp:positionH>
              <wp:positionV relativeFrom="paragraph">
                <wp:posOffset>3290</wp:posOffset>
              </wp:positionV>
              <wp:extent cx="4855120" cy="353202"/>
              <wp:effectExtent l="0" t="0" r="3175" b="8890"/>
              <wp:wrapNone/>
              <wp:docPr id="215" name="תיבת טקסט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5120" cy="353202"/>
                      </a:xfrm>
                      <a:prstGeom prst="rect">
                        <a:avLst/>
                      </a:prstGeom>
                      <a:solidFill>
                        <a:srgbClr val="FFFFFF"/>
                      </a:solidFill>
                      <a:ln w="19050">
                        <a:noFill/>
                        <a:miter lim="800000"/>
                        <a:headEnd/>
                        <a:tailEnd/>
                      </a:ln>
                    </wps:spPr>
                    <wps:txbx>
                      <w:txbxContent>
                        <w:p w14:paraId="57696F0A" w14:textId="77777777" w:rsidR="002748A5" w:rsidRPr="002A07A0" w:rsidRDefault="002748A5" w:rsidP="00911969">
                          <w:pPr>
                            <w:spacing w:line="240" w:lineRule="auto"/>
                            <w:contextualSpacing/>
                            <w:jc w:val="center"/>
                            <w:rPr>
                              <w:b/>
                              <w:bCs/>
                              <w:sz w:val="16"/>
                              <w:szCs w:val="16"/>
                              <w:rtl/>
                            </w:rPr>
                          </w:pPr>
                          <w:r>
                            <w:rPr>
                              <w:b/>
                              <w:bCs/>
                              <w:sz w:val="16"/>
                              <w:szCs w:val="16"/>
                              <w:rtl/>
                            </w:rPr>
                            <w:t xml:space="preserve">שלמה </w:t>
                          </w:r>
                          <w:r w:rsidRPr="00D348B7">
                            <w:rPr>
                              <w:b/>
                              <w:bCs/>
                              <w:sz w:val="16"/>
                              <w:szCs w:val="16"/>
                              <w:rtl/>
                            </w:rPr>
                            <w:t xml:space="preserve">הנדל </w:t>
                          </w:r>
                          <w:r>
                            <w:rPr>
                              <w:rFonts w:hint="cs"/>
                              <w:b/>
                              <w:bCs/>
                              <w:sz w:val="16"/>
                              <w:szCs w:val="16"/>
                              <w:rtl/>
                            </w:rPr>
                            <w:t xml:space="preserve">טל: </w:t>
                          </w:r>
                          <w:r w:rsidRPr="006C5697">
                            <w:rPr>
                              <w:b/>
                              <w:bCs/>
                              <w:sz w:val="16"/>
                              <w:szCs w:val="16"/>
                              <w:rtl/>
                            </w:rPr>
                            <w:t>052-7676412</w:t>
                          </w:r>
                          <w:r>
                            <w:rPr>
                              <w:rFonts w:hint="cs"/>
                              <w:b/>
                              <w:bCs/>
                              <w:sz w:val="16"/>
                              <w:szCs w:val="16"/>
                              <w:rtl/>
                            </w:rPr>
                            <w:t xml:space="preserve"> - </w:t>
                          </w:r>
                          <w:r w:rsidRPr="002A07A0">
                            <w:rPr>
                              <w:rFonts w:hint="cs"/>
                              <w:b/>
                              <w:bCs/>
                              <w:sz w:val="16"/>
                              <w:szCs w:val="16"/>
                              <w:rtl/>
                            </w:rPr>
                            <w:t xml:space="preserve">ניתן לקבל </w:t>
                          </w:r>
                          <w:r>
                            <w:rPr>
                              <w:rFonts w:hint="cs"/>
                              <w:b/>
                              <w:bCs/>
                              <w:sz w:val="16"/>
                              <w:szCs w:val="16"/>
                              <w:rtl/>
                            </w:rPr>
                            <w:t>את המ"מ</w:t>
                          </w:r>
                          <w:r w:rsidRPr="00134080">
                            <w:rPr>
                              <w:rFonts w:hint="cs"/>
                              <w:b/>
                              <w:bCs/>
                              <w:sz w:val="16"/>
                              <w:szCs w:val="16"/>
                              <w:rtl/>
                            </w:rPr>
                            <w:t xml:space="preserve"> </w:t>
                          </w:r>
                          <w:r w:rsidRPr="002A07A0">
                            <w:rPr>
                              <w:rFonts w:hint="cs"/>
                              <w:b/>
                              <w:bCs/>
                              <w:sz w:val="16"/>
                              <w:szCs w:val="16"/>
                              <w:rtl/>
                            </w:rPr>
                            <w:t xml:space="preserve">במייל: </w:t>
                          </w:r>
                          <w:r w:rsidRPr="002A07A0">
                            <w:t xml:space="preserve"> </w:t>
                          </w:r>
                          <w:hyperlink r:id="rId1" w:history="1">
                            <w:r w:rsidRPr="002A07A0">
                              <w:rPr>
                                <w:rStyle w:val="Hyperlink"/>
                                <w:b/>
                                <w:bCs/>
                                <w:color w:val="auto"/>
                                <w:sz w:val="16"/>
                                <w:szCs w:val="16"/>
                                <w:u w:val="none"/>
                              </w:rPr>
                              <w:t>A05</w:t>
                            </w:r>
                            <w:r w:rsidRPr="002A07A0">
                              <w:rPr>
                                <w:rStyle w:val="Hyperlink"/>
                                <w:rFonts w:hint="cs"/>
                                <w:b/>
                                <w:bCs/>
                                <w:color w:val="auto"/>
                                <w:sz w:val="16"/>
                                <w:szCs w:val="16"/>
                                <w:u w:val="none"/>
                              </w:rPr>
                              <w:t>27676412</w:t>
                            </w:r>
                            <w:r w:rsidRPr="002A07A0">
                              <w:rPr>
                                <w:rStyle w:val="Hyperlink"/>
                                <w:b/>
                                <w:bCs/>
                                <w:color w:val="auto"/>
                                <w:sz w:val="16"/>
                                <w:szCs w:val="16"/>
                                <w:u w:val="none"/>
                              </w:rPr>
                              <w:t>@</w:t>
                            </w:r>
                            <w:r w:rsidRPr="002A07A0">
                              <w:rPr>
                                <w:rStyle w:val="Hyperlink"/>
                                <w:rFonts w:hint="cs"/>
                                <w:b/>
                                <w:bCs/>
                                <w:color w:val="auto"/>
                                <w:sz w:val="16"/>
                                <w:szCs w:val="16"/>
                                <w:u w:val="none"/>
                              </w:rPr>
                              <w:t>GMAIL.COM</w:t>
                            </w:r>
                          </w:hyperlink>
                          <w:r w:rsidRPr="002A07A0">
                            <w:rPr>
                              <w:rFonts w:hint="cs"/>
                              <w:b/>
                              <w:bCs/>
                              <w:sz w:val="16"/>
                              <w:szCs w:val="16"/>
                              <w:rtl/>
                            </w:rPr>
                            <w:t xml:space="preserve"> </w:t>
                          </w:r>
                        </w:p>
                        <w:p w14:paraId="02D5AE6D" w14:textId="77777777" w:rsidR="002748A5" w:rsidRPr="008D08BD" w:rsidRDefault="002748A5" w:rsidP="00911969">
                          <w:pPr>
                            <w:spacing w:line="240" w:lineRule="auto"/>
                            <w:contextualSpacing/>
                            <w:jc w:val="center"/>
                            <w:rPr>
                              <w:b/>
                              <w:bCs/>
                              <w:sz w:val="16"/>
                              <w:szCs w:val="16"/>
                            </w:rPr>
                          </w:pPr>
                          <w:r w:rsidRPr="002A07A0">
                            <w:rPr>
                              <w:rFonts w:hint="cs"/>
                              <w:b/>
                              <w:bCs/>
                              <w:sz w:val="16"/>
                              <w:szCs w:val="16"/>
                              <w:rtl/>
                            </w:rPr>
                            <w:t xml:space="preserve">וכן </w:t>
                          </w:r>
                          <w:r>
                            <w:rPr>
                              <w:rFonts w:hint="cs"/>
                              <w:b/>
                              <w:bCs/>
                              <w:sz w:val="16"/>
                              <w:szCs w:val="16"/>
                              <w:rtl/>
                            </w:rPr>
                            <w:t xml:space="preserve">ניתן לקבל </w:t>
                          </w:r>
                          <w:r w:rsidRPr="002A07A0">
                            <w:rPr>
                              <w:rFonts w:hint="cs"/>
                              <w:b/>
                              <w:bCs/>
                              <w:sz w:val="16"/>
                              <w:szCs w:val="16"/>
                              <w:rtl/>
                            </w:rPr>
                            <w:t xml:space="preserve">את קובץ "משנתם בלשונם" </w:t>
                          </w:r>
                          <w:r>
                            <w:rPr>
                              <w:rFonts w:hint="cs"/>
                              <w:b/>
                              <w:bCs/>
                              <w:sz w:val="16"/>
                              <w:szCs w:val="16"/>
                              <w:rtl/>
                            </w:rPr>
                            <w:t>בו הובאו לשונות הראשונים והאחרונים,</w:t>
                          </w:r>
                          <w:r w:rsidRPr="008D08BD">
                            <w:rPr>
                              <w:b/>
                              <w:bCs/>
                              <w:sz w:val="16"/>
                              <w:szCs w:val="16"/>
                            </w:rPr>
                            <w:t xml:space="preserve"> </w:t>
                          </w:r>
                          <w:r>
                            <w:rPr>
                              <w:rFonts w:hint="cs"/>
                              <w:b/>
                              <w:bCs/>
                              <w:sz w:val="16"/>
                              <w:szCs w:val="16"/>
                              <w:rtl/>
                            </w:rPr>
                            <w:t>פתוחים להעתקה</w:t>
                          </w:r>
                          <w:r>
                            <w:rPr>
                              <w:b/>
                              <w:bCs/>
                              <w:sz w:val="16"/>
                              <w:szCs w:val="16"/>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ACAB8D2" id="_x0000_t202" coordsize="21600,21600" o:spt="202" path="m,l,21600r21600,l21600,xe">
              <v:stroke joinstyle="miter"/>
              <v:path gradientshapeok="t" o:connecttype="rect"/>
            </v:shapetype>
            <v:shape id="_x0000_s1058" type="#_x0000_t202" style="position:absolute;left:0;text-align:left;margin-left:159.3pt;margin-top:.25pt;width:382.3pt;height:27.8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" stroked="f" strokeweight="1.5pt">
              <v:textbox>
                <w:txbxContent>
                  <w:p w14:paraId="57696F0A" w14:textId="77777777" w:rsidR="002748A5" w:rsidRPr="002A07A0" w:rsidRDefault="002748A5" w:rsidP="00911969">
                    <w:pPr>
                      <w:spacing w:line="240" w:lineRule="auto"/>
                      <w:contextualSpacing/>
                      <w:jc w:val="center"/>
                      <w:rPr>
                        <w:b/>
                        <w:bCs/>
                        <w:sz w:val="16"/>
                        <w:szCs w:val="16"/>
                        <w:rtl/>
                      </w:rPr>
                    </w:pPr>
                    <w:r>
                      <w:rPr>
                        <w:b/>
                        <w:bCs/>
                        <w:sz w:val="16"/>
                        <w:szCs w:val="16"/>
                        <w:rtl/>
                      </w:rPr>
                      <w:t xml:space="preserve">שלמה </w:t>
                    </w:r>
                    <w:r w:rsidRPr="00D348B7">
                      <w:rPr>
                        <w:b/>
                        <w:bCs/>
                        <w:sz w:val="16"/>
                        <w:szCs w:val="16"/>
                        <w:rtl/>
                      </w:rPr>
                      <w:t xml:space="preserve">הנדל </w:t>
                    </w:r>
                    <w:r>
                      <w:rPr>
                        <w:rFonts w:hint="cs"/>
                        <w:b/>
                        <w:bCs/>
                        <w:sz w:val="16"/>
                        <w:szCs w:val="16"/>
                        <w:rtl/>
                      </w:rPr>
                      <w:t xml:space="preserve">טל: </w:t>
                    </w:r>
                    <w:r w:rsidRPr="006C5697">
                      <w:rPr>
                        <w:b/>
                        <w:bCs/>
                        <w:sz w:val="16"/>
                        <w:szCs w:val="16"/>
                        <w:rtl/>
                      </w:rPr>
                      <w:t>052-7676412</w:t>
                    </w:r>
                    <w:r>
                      <w:rPr>
                        <w:rFonts w:hint="cs"/>
                        <w:b/>
                        <w:bCs/>
                        <w:sz w:val="16"/>
                        <w:szCs w:val="16"/>
                        <w:rtl/>
                      </w:rPr>
                      <w:t xml:space="preserve"> - </w:t>
                    </w:r>
                    <w:r w:rsidRPr="002A07A0">
                      <w:rPr>
                        <w:rFonts w:hint="cs"/>
                        <w:b/>
                        <w:bCs/>
                        <w:sz w:val="16"/>
                        <w:szCs w:val="16"/>
                        <w:rtl/>
                      </w:rPr>
                      <w:t xml:space="preserve">ניתן לקבל </w:t>
                    </w:r>
                    <w:r>
                      <w:rPr>
                        <w:rFonts w:hint="cs"/>
                        <w:b/>
                        <w:bCs/>
                        <w:sz w:val="16"/>
                        <w:szCs w:val="16"/>
                        <w:rtl/>
                      </w:rPr>
                      <w:t>את המ"מ</w:t>
                    </w:r>
                    <w:r w:rsidRPr="00134080">
                      <w:rPr>
                        <w:rFonts w:hint="cs"/>
                        <w:b/>
                        <w:bCs/>
                        <w:sz w:val="16"/>
                        <w:szCs w:val="16"/>
                        <w:rtl/>
                      </w:rPr>
                      <w:t xml:space="preserve"> </w:t>
                    </w:r>
                    <w:r w:rsidRPr="002A07A0">
                      <w:rPr>
                        <w:rFonts w:hint="cs"/>
                        <w:b/>
                        <w:bCs/>
                        <w:sz w:val="16"/>
                        <w:szCs w:val="16"/>
                        <w:rtl/>
                      </w:rPr>
                      <w:t xml:space="preserve">במייל: </w:t>
                    </w:r>
                    <w:r w:rsidRPr="002A07A0">
                      <w:t xml:space="preserve"> </w:t>
                    </w:r>
                    <w:hyperlink r:id="rId2" w:history="1">
                      <w:r w:rsidRPr="002A07A0">
                        <w:rPr>
                          <w:rStyle w:val="Hyperlink"/>
                          <w:b/>
                          <w:bCs/>
                          <w:color w:val="auto"/>
                          <w:sz w:val="16"/>
                          <w:szCs w:val="16"/>
                          <w:u w:val="none"/>
                        </w:rPr>
                        <w:t>A05</w:t>
                      </w:r>
                      <w:r w:rsidRPr="002A07A0">
                        <w:rPr>
                          <w:rStyle w:val="Hyperlink"/>
                          <w:rFonts w:hint="cs"/>
                          <w:b/>
                          <w:bCs/>
                          <w:color w:val="auto"/>
                          <w:sz w:val="16"/>
                          <w:szCs w:val="16"/>
                          <w:u w:val="none"/>
                        </w:rPr>
                        <w:t>27676412</w:t>
                      </w:r>
                      <w:r w:rsidRPr="002A07A0">
                        <w:rPr>
                          <w:rStyle w:val="Hyperlink"/>
                          <w:b/>
                          <w:bCs/>
                          <w:color w:val="auto"/>
                          <w:sz w:val="16"/>
                          <w:szCs w:val="16"/>
                          <w:u w:val="none"/>
                        </w:rPr>
                        <w:t>@</w:t>
                      </w:r>
                      <w:r w:rsidRPr="002A07A0">
                        <w:rPr>
                          <w:rStyle w:val="Hyperlink"/>
                          <w:rFonts w:hint="cs"/>
                          <w:b/>
                          <w:bCs/>
                          <w:color w:val="auto"/>
                          <w:sz w:val="16"/>
                          <w:szCs w:val="16"/>
                          <w:u w:val="none"/>
                        </w:rPr>
                        <w:t>GMAIL.COM</w:t>
                      </w:r>
                    </w:hyperlink>
                    <w:r w:rsidRPr="002A07A0">
                      <w:rPr>
                        <w:rFonts w:hint="cs"/>
                        <w:b/>
                        <w:bCs/>
                        <w:sz w:val="16"/>
                        <w:szCs w:val="16"/>
                        <w:rtl/>
                      </w:rPr>
                      <w:t xml:space="preserve"> </w:t>
                    </w:r>
                  </w:p>
                  <w:p w14:paraId="02D5AE6D" w14:textId="77777777" w:rsidR="002748A5" w:rsidRPr="008D08BD" w:rsidRDefault="002748A5" w:rsidP="00911969">
                    <w:pPr>
                      <w:spacing w:line="240" w:lineRule="auto"/>
                      <w:contextualSpacing/>
                      <w:jc w:val="center"/>
                      <w:rPr>
                        <w:b/>
                        <w:bCs/>
                        <w:sz w:val="16"/>
                        <w:szCs w:val="16"/>
                      </w:rPr>
                    </w:pPr>
                    <w:r w:rsidRPr="002A07A0">
                      <w:rPr>
                        <w:rFonts w:hint="cs"/>
                        <w:b/>
                        <w:bCs/>
                        <w:sz w:val="16"/>
                        <w:szCs w:val="16"/>
                        <w:rtl/>
                      </w:rPr>
                      <w:t xml:space="preserve">וכן </w:t>
                    </w:r>
                    <w:r>
                      <w:rPr>
                        <w:rFonts w:hint="cs"/>
                        <w:b/>
                        <w:bCs/>
                        <w:sz w:val="16"/>
                        <w:szCs w:val="16"/>
                        <w:rtl/>
                      </w:rPr>
                      <w:t xml:space="preserve">ניתן לקבל </w:t>
                    </w:r>
                    <w:r w:rsidRPr="002A07A0">
                      <w:rPr>
                        <w:rFonts w:hint="cs"/>
                        <w:b/>
                        <w:bCs/>
                        <w:sz w:val="16"/>
                        <w:szCs w:val="16"/>
                        <w:rtl/>
                      </w:rPr>
                      <w:t xml:space="preserve">את קובץ "משנתם בלשונם" </w:t>
                    </w:r>
                    <w:r>
                      <w:rPr>
                        <w:rFonts w:hint="cs"/>
                        <w:b/>
                        <w:bCs/>
                        <w:sz w:val="16"/>
                        <w:szCs w:val="16"/>
                        <w:rtl/>
                      </w:rPr>
                      <w:t>בו הובאו לשונות הראשונים והאחרונים,</w:t>
                    </w:r>
                    <w:r w:rsidRPr="008D08BD">
                      <w:rPr>
                        <w:b/>
                        <w:bCs/>
                        <w:sz w:val="16"/>
                        <w:szCs w:val="16"/>
                      </w:rPr>
                      <w:t xml:space="preserve"> </w:t>
                    </w:r>
                    <w:r>
                      <w:rPr>
                        <w:rFonts w:hint="cs"/>
                        <w:b/>
                        <w:bCs/>
                        <w:sz w:val="16"/>
                        <w:szCs w:val="16"/>
                        <w:rtl/>
                      </w:rPr>
                      <w:t>פתוחים להעתקה</w:t>
                    </w:r>
                    <w:r>
                      <w:rPr>
                        <w:b/>
                        <w:bCs/>
                        <w:sz w:val="16"/>
                        <w:szCs w:val="16"/>
                      </w:rPr>
                      <w:t>.</w:t>
                    </w:r>
                  </w:p>
                </w:txbxContent>
              </v:textbox>
              <w10:wrap anchorx="margin"/>
            </v:shape>
          </w:pict>
        </mc:Fallback>
      </mc:AlternateContent>
    </w:r>
  </w:p>
  <w:p w14:paraId="68C78190" w14:textId="77777777" w:rsidR="002748A5" w:rsidRDefault="002748A5" w:rsidP="00C83122">
    <w:pPr>
      <w:pStyle w:val="affe"/>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7AB99" w14:textId="77777777" w:rsidR="002748A5" w:rsidRDefault="002748A5">
    <w:pPr>
      <w:pStyle w:val="affe"/>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983661546"/>
      <w:docPartObj>
        <w:docPartGallery w:val="Page Numbers (Bottom of Page)"/>
        <w:docPartUnique/>
      </w:docPartObj>
    </w:sdtPr>
    <w:sdtEndPr>
      <w:rPr>
        <w:cs/>
      </w:rPr>
    </w:sdtEndPr>
    <w:sdtContent>
      <w:p w14:paraId="01159204" w14:textId="77777777" w:rsidR="002748A5" w:rsidRDefault="002748A5">
        <w:pPr>
          <w:pStyle w:val="affe"/>
          <w:jc w:val="right"/>
          <w:rPr>
            <w:rtl/>
            <w:cs/>
          </w:rPr>
        </w:pPr>
        <w:r>
          <w:fldChar w:fldCharType="begin"/>
        </w:r>
        <w:r>
          <w:rPr>
            <w:rtl/>
            <w:cs/>
          </w:rPr>
          <w:instrText>PAGE   \* MERGEFORMAT</w:instrText>
        </w:r>
        <w:r>
          <w:fldChar w:fldCharType="separate"/>
        </w:r>
        <w:r w:rsidRPr="006B3804">
          <w:rPr>
            <w:noProof/>
            <w:rtl/>
            <w:lang w:val="he-IL"/>
          </w:rPr>
          <w:t>2</w:t>
        </w:r>
        <w:r>
          <w:fldChar w:fldCharType="end"/>
        </w:r>
      </w:p>
    </w:sdtContent>
  </w:sdt>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DD646" w14:textId="77777777" w:rsidR="002748A5" w:rsidRDefault="002748A5" w:rsidP="00C83122">
    <w:pPr>
      <w:pStyle w:val="affe"/>
    </w:pPr>
    <w:r>
      <w:rPr>
        <w:noProof/>
      </w:rPr>
      <mc:AlternateContent>
        <mc:Choice Requires="wps">
          <w:drawing>
            <wp:anchor distT="0" distB="0" distL="114300" distR="114300" simplePos="0" relativeHeight="251710464" behindDoc="0" locked="0" layoutInCell="1" allowOverlap="1" wp14:anchorId="395A05A9" wp14:editId="4D97FDC9">
              <wp:simplePos x="0" y="0"/>
              <wp:positionH relativeFrom="margin">
                <wp:posOffset>3235960</wp:posOffset>
              </wp:positionH>
              <wp:positionV relativeFrom="paragraph">
                <wp:posOffset>64135</wp:posOffset>
              </wp:positionV>
              <wp:extent cx="3355975" cy="330200"/>
              <wp:effectExtent l="0" t="0" r="0" b="0"/>
              <wp:wrapNone/>
              <wp:docPr id="2" name="תיבת טקסט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5975" cy="330200"/>
                      </a:xfrm>
                      <a:prstGeom prst="rect">
                        <a:avLst/>
                      </a:prstGeom>
                      <a:solidFill>
                        <a:srgbClr val="FFFFFF"/>
                      </a:solidFill>
                      <a:ln w="19050">
                        <a:noFill/>
                        <a:miter lim="800000"/>
                        <a:headEnd/>
                        <a:tailEnd/>
                      </a:ln>
                    </wps:spPr>
                    <wps:txbx>
                      <w:txbxContent>
                        <w:p w14:paraId="5A912C44" w14:textId="77777777" w:rsidR="002748A5" w:rsidRPr="00D348B7" w:rsidRDefault="002748A5" w:rsidP="00C83122">
                          <w:pPr>
                            <w:spacing w:line="240" w:lineRule="auto"/>
                            <w:jc w:val="center"/>
                            <w:rPr>
                              <w:b/>
                              <w:bCs/>
                              <w:sz w:val="16"/>
                              <w:szCs w:val="16"/>
                              <w:rtl/>
                            </w:rPr>
                          </w:pPr>
                          <w:r>
                            <w:rPr>
                              <w:b/>
                              <w:bCs/>
                              <w:sz w:val="16"/>
                              <w:szCs w:val="16"/>
                              <w:rtl/>
                            </w:rPr>
                            <w:t xml:space="preserve">שלמה </w:t>
                          </w:r>
                          <w:r w:rsidRPr="00D348B7">
                            <w:rPr>
                              <w:b/>
                              <w:bCs/>
                              <w:sz w:val="16"/>
                              <w:szCs w:val="16"/>
                              <w:rtl/>
                            </w:rPr>
                            <w:t xml:space="preserve">הנדל </w:t>
                          </w:r>
                          <w:r w:rsidRPr="00D348B7">
                            <w:rPr>
                              <w:rFonts w:hint="cs"/>
                              <w:b/>
                              <w:bCs/>
                              <w:sz w:val="16"/>
                              <w:szCs w:val="16"/>
                              <w:rtl/>
                            </w:rPr>
                            <w:t xml:space="preserve">- </w:t>
                          </w:r>
                          <w:r w:rsidRPr="00D348B7">
                            <w:rPr>
                              <w:b/>
                              <w:bCs/>
                              <w:sz w:val="16"/>
                              <w:szCs w:val="16"/>
                              <w:rtl/>
                            </w:rPr>
                            <w:t>בית הלל</w:t>
                          </w:r>
                          <w:r>
                            <w:rPr>
                              <w:b/>
                              <w:bCs/>
                              <w:sz w:val="16"/>
                              <w:szCs w:val="16"/>
                              <w:rtl/>
                            </w:rPr>
                            <w:tab/>
                          </w:r>
                          <w:r>
                            <w:rPr>
                              <w:rFonts w:hint="cs"/>
                              <w:b/>
                              <w:bCs/>
                              <w:sz w:val="16"/>
                              <w:szCs w:val="16"/>
                              <w:rtl/>
                            </w:rPr>
                            <w:t xml:space="preserve">טל: </w:t>
                          </w:r>
                          <w:r w:rsidRPr="006C5697">
                            <w:rPr>
                              <w:b/>
                              <w:bCs/>
                              <w:sz w:val="16"/>
                              <w:szCs w:val="16"/>
                              <w:rtl/>
                            </w:rPr>
                            <w:t>052-7676412</w:t>
                          </w:r>
                        </w:p>
                        <w:p w14:paraId="0E5C0E0A" w14:textId="77777777" w:rsidR="002748A5" w:rsidRPr="008D08BD" w:rsidRDefault="00AD16A0" w:rsidP="00C83122">
                          <w:pPr>
                            <w:bidi w:val="0"/>
                            <w:jc w:val="center"/>
                            <w:rPr>
                              <w:b/>
                              <w:bCs/>
                              <w:sz w:val="16"/>
                              <w:szCs w:val="16"/>
                            </w:rPr>
                          </w:pPr>
                          <w:hyperlink r:id="rId1" w:history="1">
                            <w:r w:rsidR="002748A5" w:rsidRPr="008D08BD">
                              <w:rPr>
                                <w:b/>
                                <w:bCs/>
                                <w:sz w:val="16"/>
                                <w:szCs w:val="16"/>
                              </w:rPr>
                              <w:t>A05</w:t>
                            </w:r>
                            <w:r w:rsidR="002748A5" w:rsidRPr="008D08BD">
                              <w:rPr>
                                <w:rFonts w:hint="cs"/>
                                <w:b/>
                                <w:bCs/>
                                <w:sz w:val="16"/>
                                <w:szCs w:val="16"/>
                              </w:rPr>
                              <w:t>27676412</w:t>
                            </w:r>
                            <w:r w:rsidR="002748A5" w:rsidRPr="008D08BD">
                              <w:rPr>
                                <w:b/>
                                <w:bCs/>
                                <w:sz w:val="16"/>
                                <w:szCs w:val="16"/>
                              </w:rPr>
                              <w:t>@</w:t>
                            </w:r>
                            <w:r w:rsidR="002748A5" w:rsidRPr="008D08BD">
                              <w:rPr>
                                <w:rFonts w:hint="cs"/>
                                <w:b/>
                                <w:bCs/>
                                <w:sz w:val="16"/>
                                <w:szCs w:val="16"/>
                              </w:rPr>
                              <w:t>GMAIL.COM</w:t>
                            </w:r>
                          </w:hyperlink>
                          <w:r w:rsidR="002748A5">
                            <w:rPr>
                              <w:b/>
                              <w:bCs/>
                              <w:sz w:val="16"/>
                              <w:szCs w:val="16"/>
                            </w:rPr>
                            <w:t xml:space="preserve"> </w:t>
                          </w:r>
                          <w:r w:rsidR="002748A5" w:rsidRPr="008D08BD">
                            <w:rPr>
                              <w:rFonts w:hint="cs"/>
                              <w:b/>
                              <w:bCs/>
                              <w:sz w:val="16"/>
                              <w:szCs w:val="16"/>
                              <w:rtl/>
                            </w:rPr>
                            <w:t>לקבלת המ"מ במייל נא לשלוח הודעה לכתובת:</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95A05A9" id="_x0000_t202" coordsize="21600,21600" o:spt="202" path="m,l,21600r21600,l21600,xe">
              <v:stroke joinstyle="miter"/>
              <v:path gradientshapeok="t" o:connecttype="rect"/>
            </v:shapetype>
            <v:shape id="_x0000_s1059" type="#_x0000_t202" style="position:absolute;left:0;text-align:left;margin-left:254.8pt;margin-top:5.05pt;width:264.25pt;height:26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" stroked="f" strokeweight="1.5pt">
              <v:textbox>
                <w:txbxContent>
                  <w:p w14:paraId="5A912C44" w14:textId="77777777" w:rsidR="002748A5" w:rsidRPr="00D348B7" w:rsidRDefault="002748A5" w:rsidP="00C83122">
                    <w:pPr>
                      <w:spacing w:line="240" w:lineRule="auto"/>
                      <w:jc w:val="center"/>
                      <w:rPr>
                        <w:b/>
                        <w:bCs/>
                        <w:sz w:val="16"/>
                        <w:szCs w:val="16"/>
                        <w:rtl/>
                      </w:rPr>
                    </w:pPr>
                    <w:r>
                      <w:rPr>
                        <w:b/>
                        <w:bCs/>
                        <w:sz w:val="16"/>
                        <w:szCs w:val="16"/>
                        <w:rtl/>
                      </w:rPr>
                      <w:t xml:space="preserve">שלמה </w:t>
                    </w:r>
                    <w:r w:rsidRPr="00D348B7">
                      <w:rPr>
                        <w:b/>
                        <w:bCs/>
                        <w:sz w:val="16"/>
                        <w:szCs w:val="16"/>
                        <w:rtl/>
                      </w:rPr>
                      <w:t xml:space="preserve">הנדל </w:t>
                    </w:r>
                    <w:r w:rsidRPr="00D348B7">
                      <w:rPr>
                        <w:rFonts w:hint="cs"/>
                        <w:b/>
                        <w:bCs/>
                        <w:sz w:val="16"/>
                        <w:szCs w:val="16"/>
                        <w:rtl/>
                      </w:rPr>
                      <w:t xml:space="preserve">- </w:t>
                    </w:r>
                    <w:r w:rsidRPr="00D348B7">
                      <w:rPr>
                        <w:b/>
                        <w:bCs/>
                        <w:sz w:val="16"/>
                        <w:szCs w:val="16"/>
                        <w:rtl/>
                      </w:rPr>
                      <w:t>בית הלל</w:t>
                    </w:r>
                    <w:r>
                      <w:rPr>
                        <w:b/>
                        <w:bCs/>
                        <w:sz w:val="16"/>
                        <w:szCs w:val="16"/>
                        <w:rtl/>
                      </w:rPr>
                      <w:tab/>
                    </w:r>
                    <w:r>
                      <w:rPr>
                        <w:rFonts w:hint="cs"/>
                        <w:b/>
                        <w:bCs/>
                        <w:sz w:val="16"/>
                        <w:szCs w:val="16"/>
                        <w:rtl/>
                      </w:rPr>
                      <w:t xml:space="preserve">טל: </w:t>
                    </w:r>
                    <w:r w:rsidRPr="006C5697">
                      <w:rPr>
                        <w:b/>
                        <w:bCs/>
                        <w:sz w:val="16"/>
                        <w:szCs w:val="16"/>
                        <w:rtl/>
                      </w:rPr>
                      <w:t>052-7676412</w:t>
                    </w:r>
                  </w:p>
                  <w:p w14:paraId="0E5C0E0A" w14:textId="77777777" w:rsidR="002748A5" w:rsidRPr="008D08BD" w:rsidRDefault="00AD16A0" w:rsidP="00C83122">
                    <w:pPr>
                      <w:bidi w:val="0"/>
                      <w:jc w:val="center"/>
                      <w:rPr>
                        <w:b/>
                        <w:bCs/>
                        <w:sz w:val="16"/>
                        <w:szCs w:val="16"/>
                      </w:rPr>
                    </w:pPr>
                    <w:hyperlink r:id="rId2" w:history="1">
                      <w:r w:rsidR="002748A5" w:rsidRPr="008D08BD">
                        <w:rPr>
                          <w:b/>
                          <w:bCs/>
                          <w:sz w:val="16"/>
                          <w:szCs w:val="16"/>
                        </w:rPr>
                        <w:t>A05</w:t>
                      </w:r>
                      <w:r w:rsidR="002748A5" w:rsidRPr="008D08BD">
                        <w:rPr>
                          <w:rFonts w:hint="cs"/>
                          <w:b/>
                          <w:bCs/>
                          <w:sz w:val="16"/>
                          <w:szCs w:val="16"/>
                        </w:rPr>
                        <w:t>27676412</w:t>
                      </w:r>
                      <w:r w:rsidR="002748A5" w:rsidRPr="008D08BD">
                        <w:rPr>
                          <w:b/>
                          <w:bCs/>
                          <w:sz w:val="16"/>
                          <w:szCs w:val="16"/>
                        </w:rPr>
                        <w:t>@</w:t>
                      </w:r>
                      <w:r w:rsidR="002748A5" w:rsidRPr="008D08BD">
                        <w:rPr>
                          <w:rFonts w:hint="cs"/>
                          <w:b/>
                          <w:bCs/>
                          <w:sz w:val="16"/>
                          <w:szCs w:val="16"/>
                        </w:rPr>
                        <w:t>GMAIL.COM</w:t>
                      </w:r>
                    </w:hyperlink>
                    <w:r w:rsidR="002748A5">
                      <w:rPr>
                        <w:b/>
                        <w:bCs/>
                        <w:sz w:val="16"/>
                        <w:szCs w:val="16"/>
                      </w:rPr>
                      <w:t xml:space="preserve"> </w:t>
                    </w:r>
                    <w:r w:rsidR="002748A5" w:rsidRPr="008D08BD">
                      <w:rPr>
                        <w:rFonts w:hint="cs"/>
                        <w:b/>
                        <w:bCs/>
                        <w:sz w:val="16"/>
                        <w:szCs w:val="16"/>
                        <w:rtl/>
                      </w:rPr>
                      <w:t>לקבלת המ"מ במייל נא לשלוח הודעה לכתובת:</w:t>
                    </w:r>
                  </w:p>
                </w:txbxContent>
              </v:textbox>
              <w10:wrap anchorx="margin"/>
            </v:shape>
          </w:pict>
        </mc:Fallback>
      </mc:AlternateContent>
    </w:r>
    <w:r>
      <w:rPr>
        <w:noProof/>
      </w:rPr>
      <mc:AlternateContent>
        <mc:Choice Requires="wps">
          <w:drawing>
            <wp:anchor distT="0" distB="0" distL="114300" distR="114300" simplePos="0" relativeHeight="251711488" behindDoc="0" locked="0" layoutInCell="1" allowOverlap="1" wp14:anchorId="5AEFD63E" wp14:editId="3DFAFAA4">
              <wp:simplePos x="0" y="0"/>
              <wp:positionH relativeFrom="margin">
                <wp:posOffset>46355</wp:posOffset>
              </wp:positionH>
              <wp:positionV relativeFrom="paragraph">
                <wp:posOffset>34290</wp:posOffset>
              </wp:positionV>
              <wp:extent cx="1002665" cy="264160"/>
              <wp:effectExtent l="0" t="0" r="6985" b="2540"/>
              <wp:wrapNone/>
              <wp:docPr id="1" name="תיבת טקסט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2665" cy="264160"/>
                      </a:xfrm>
                      <a:prstGeom prst="rect">
                        <a:avLst/>
                      </a:prstGeom>
                      <a:solidFill>
                        <a:srgbClr val="FFFFFF"/>
                      </a:solidFill>
                      <a:ln w="15875">
                        <a:solidFill>
                          <a:srgbClr val="000000"/>
                        </a:solidFill>
                        <a:miter lim="800000"/>
                        <a:headEnd/>
                        <a:tailEnd/>
                      </a:ln>
                    </wps:spPr>
                    <wps:txbx>
                      <w:txbxContent>
                        <w:p w14:paraId="7C935E3C" w14:textId="77777777" w:rsidR="002748A5" w:rsidRDefault="002748A5" w:rsidP="00C83122">
                          <w:pPr>
                            <w:rPr>
                              <w:b/>
                              <w:bCs/>
                              <w:sz w:val="18"/>
                              <w:szCs w:val="18"/>
                            </w:rPr>
                          </w:pPr>
                          <w:r>
                            <w:rPr>
                              <w:b/>
                              <w:bCs/>
                              <w:sz w:val="18"/>
                              <w:szCs w:val="18"/>
                              <w:rtl/>
                            </w:rPr>
                            <w:t>המשך בעמ' הבא</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EFD63E" id="_x0000_s1060" type="#_x0000_t202" style="position:absolute;left:0;text-align:left;margin-left:3.65pt;margin-top:2.7pt;width:78.95pt;height:20.8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" strokeweight="1.25pt">
              <v:textbox>
                <w:txbxContent>
                  <w:p w14:paraId="7C935E3C" w14:textId="77777777" w:rsidR="002748A5" w:rsidRDefault="002748A5" w:rsidP="00C83122">
                    <w:pPr>
                      <w:rPr>
                        <w:b/>
                        <w:bCs/>
                        <w:sz w:val="18"/>
                        <w:szCs w:val="18"/>
                      </w:rPr>
                    </w:pPr>
                    <w:r>
                      <w:rPr>
                        <w:b/>
                        <w:bCs/>
                        <w:sz w:val="18"/>
                        <w:szCs w:val="18"/>
                        <w:rtl/>
                      </w:rPr>
                      <w:t>המשך בעמ' הבא</w:t>
                    </w:r>
                  </w:p>
                </w:txbxContent>
              </v:textbox>
              <w10:wrap anchorx="margin"/>
            </v:shape>
          </w:pict>
        </mc:Fallback>
      </mc:AlternateContent>
    </w:r>
  </w:p>
  <w:p w14:paraId="6E621F15" w14:textId="77777777" w:rsidR="002748A5" w:rsidRDefault="002748A5" w:rsidP="00C83122">
    <w:pPr>
      <w:pStyle w:val="affe"/>
    </w:pP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2014991820"/>
      <w:docPartObj>
        <w:docPartGallery w:val="Page Numbers (Bottom of Page)"/>
        <w:docPartUnique/>
      </w:docPartObj>
    </w:sdtPr>
    <w:sdtEndPr>
      <w:rPr>
        <w:cs/>
      </w:rPr>
    </w:sdtEndPr>
    <w:sdtContent>
      <w:p w14:paraId="100E60CE" w14:textId="77777777" w:rsidR="002748A5" w:rsidRDefault="002748A5">
        <w:pPr>
          <w:pStyle w:val="affe"/>
          <w:jc w:val="right"/>
          <w:rPr>
            <w:rtl/>
            <w:cs/>
          </w:rPr>
        </w:pPr>
        <w:r>
          <w:fldChar w:fldCharType="begin"/>
        </w:r>
        <w:r>
          <w:rPr>
            <w:rtl/>
            <w:cs/>
          </w:rPr>
          <w:instrText>PAGE   \* MERGEFORMAT</w:instrText>
        </w:r>
        <w:r>
          <w:fldChar w:fldCharType="separate"/>
        </w:r>
        <w:r w:rsidRPr="006B3804">
          <w:rPr>
            <w:noProof/>
            <w:rtl/>
            <w:lang w:val="he-IL"/>
          </w:rPr>
          <w:t>3</w:t>
        </w:r>
        <w:r>
          <w:fldChar w:fldCharType="end"/>
        </w:r>
      </w:p>
    </w:sdtContent>
  </w:sdt>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804379252"/>
      <w:docPartObj>
        <w:docPartGallery w:val="Page Numbers (Bottom of Page)"/>
        <w:docPartUnique/>
      </w:docPartObj>
    </w:sdtPr>
    <w:sdtEndPr>
      <w:rPr>
        <w:cs/>
      </w:rPr>
    </w:sdtEndPr>
    <w:sdtContent>
      <w:p w14:paraId="4AAB0E42" w14:textId="77777777" w:rsidR="002748A5" w:rsidRDefault="002748A5">
        <w:pPr>
          <w:pStyle w:val="affe"/>
          <w:jc w:val="right"/>
          <w:rPr>
            <w:rtl/>
            <w:cs/>
          </w:rPr>
        </w:pPr>
        <w:r>
          <w:fldChar w:fldCharType="begin"/>
        </w:r>
        <w:r>
          <w:rPr>
            <w:rtl/>
            <w:cs/>
          </w:rPr>
          <w:instrText>PAGE   \* MERGEFORMAT</w:instrText>
        </w:r>
        <w:r>
          <w:fldChar w:fldCharType="separate"/>
        </w:r>
        <w:r w:rsidRPr="006B3804">
          <w:rPr>
            <w:noProof/>
            <w:rtl/>
            <w:lang w:val="he-IL"/>
          </w:rPr>
          <w:t>3</w:t>
        </w:r>
        <w:r>
          <w:fldChar w:fldCharType="end"/>
        </w:r>
      </w:p>
    </w:sdtContent>
  </w:sdt>
  <w:p w14:paraId="1F4EDED5" w14:textId="77777777" w:rsidR="002748A5" w:rsidRDefault="002748A5"/>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190605136"/>
      <w:docPartObj>
        <w:docPartGallery w:val="Page Numbers (Bottom of Page)"/>
        <w:docPartUnique/>
      </w:docPartObj>
    </w:sdtPr>
    <w:sdtEndPr>
      <w:rPr>
        <w:cs/>
      </w:rPr>
    </w:sdtEndPr>
    <w:sdtContent>
      <w:p w14:paraId="0D77F6E7" w14:textId="77777777" w:rsidR="002748A5" w:rsidRDefault="002748A5">
        <w:pPr>
          <w:pStyle w:val="affe"/>
          <w:jc w:val="right"/>
          <w:rPr>
            <w:rtl/>
            <w:cs/>
          </w:rPr>
        </w:pPr>
        <w:r>
          <w:fldChar w:fldCharType="begin"/>
        </w:r>
        <w:r>
          <w:rPr>
            <w:rtl/>
            <w:cs/>
          </w:rPr>
          <w:instrText>PAGE   \* MERGEFORMAT</w:instrText>
        </w:r>
        <w:r>
          <w:fldChar w:fldCharType="separate"/>
        </w:r>
        <w:r w:rsidRPr="006B3804">
          <w:rPr>
            <w:noProof/>
            <w:rtl/>
            <w:lang w:val="he-IL"/>
          </w:rPr>
          <w:t>3</w:t>
        </w:r>
        <w:r>
          <w:fldChar w:fldCharType="end"/>
        </w:r>
      </w:p>
    </w:sdtContent>
  </w:sdt>
  <w:p w14:paraId="4E47B47D" w14:textId="77777777" w:rsidR="002748A5" w:rsidRDefault="002748A5"/>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963228530"/>
      <w:docPartObj>
        <w:docPartGallery w:val="Page Numbers (Bottom of Page)"/>
        <w:docPartUnique/>
      </w:docPartObj>
    </w:sdtPr>
    <w:sdtEndPr>
      <w:rPr>
        <w:cs/>
      </w:rPr>
    </w:sdtEndPr>
    <w:sdtContent>
      <w:p w14:paraId="58A9F4BD" w14:textId="77777777" w:rsidR="002748A5" w:rsidRDefault="002748A5">
        <w:pPr>
          <w:pStyle w:val="affe"/>
          <w:jc w:val="right"/>
          <w:rPr>
            <w:rtl/>
            <w:cs/>
          </w:rPr>
        </w:pPr>
        <w:r>
          <w:fldChar w:fldCharType="begin"/>
        </w:r>
        <w:r>
          <w:rPr>
            <w:rtl/>
            <w:cs/>
          </w:rPr>
          <w:instrText>PAGE   \* MERGEFORMAT</w:instrText>
        </w:r>
        <w:r>
          <w:fldChar w:fldCharType="separate"/>
        </w:r>
        <w:r w:rsidRPr="006B3804">
          <w:rPr>
            <w:noProof/>
            <w:rtl/>
            <w:lang w:val="he-IL"/>
          </w:rPr>
          <w:t>3</w:t>
        </w:r>
        <w:r>
          <w:fldChar w:fldCharType="end"/>
        </w:r>
      </w:p>
    </w:sdtContent>
  </w:sdt>
  <w:p w14:paraId="0B1EDE5D" w14:textId="77777777" w:rsidR="002748A5" w:rsidRDefault="002748A5"/>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349096425"/>
      <w:docPartObj>
        <w:docPartGallery w:val="Page Numbers (Bottom of Page)"/>
        <w:docPartUnique/>
      </w:docPartObj>
    </w:sdtPr>
    <w:sdtEndPr>
      <w:rPr>
        <w:cs/>
      </w:rPr>
    </w:sdtEndPr>
    <w:sdtContent>
      <w:p w14:paraId="4422BEAE" w14:textId="77777777" w:rsidR="002748A5" w:rsidRDefault="002748A5">
        <w:pPr>
          <w:pStyle w:val="affe"/>
          <w:jc w:val="right"/>
          <w:rPr>
            <w:rtl/>
            <w:cs/>
          </w:rPr>
        </w:pPr>
        <w:r>
          <w:fldChar w:fldCharType="begin"/>
        </w:r>
        <w:r>
          <w:rPr>
            <w:rtl/>
            <w:cs/>
          </w:rPr>
          <w:instrText>PAGE   \* MERGEFORMAT</w:instrText>
        </w:r>
        <w:r>
          <w:fldChar w:fldCharType="separate"/>
        </w:r>
        <w:r w:rsidRPr="000D3787">
          <w:rPr>
            <w:noProof/>
            <w:rtl/>
            <w:lang w:val="he-IL"/>
          </w:rPr>
          <w:t>1</w:t>
        </w:r>
        <w:r>
          <w:fldChar w:fldCharType="end"/>
        </w:r>
      </w:p>
    </w:sdtContent>
  </w:sdt>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423F3" w14:textId="77777777" w:rsidR="002748A5" w:rsidRDefault="002748A5" w:rsidP="00C83122">
    <w:pPr>
      <w:pStyle w:val="affe"/>
    </w:pPr>
    <w:r>
      <w:rPr>
        <w:noProof/>
      </w:rPr>
      <mc:AlternateContent>
        <mc:Choice Requires="wps">
          <w:drawing>
            <wp:anchor distT="0" distB="0" distL="114300" distR="114300" simplePos="0" relativeHeight="251716608" behindDoc="0" locked="0" layoutInCell="1" allowOverlap="1" wp14:anchorId="606E318E" wp14:editId="7E6FF577">
              <wp:simplePos x="0" y="0"/>
              <wp:positionH relativeFrom="margin">
                <wp:posOffset>2023110</wp:posOffset>
              </wp:positionH>
              <wp:positionV relativeFrom="paragraph">
                <wp:posOffset>3175</wp:posOffset>
              </wp:positionV>
              <wp:extent cx="4855210" cy="353060"/>
              <wp:effectExtent l="0" t="0" r="0" b="0"/>
              <wp:wrapNone/>
              <wp:docPr id="216" name="תיבת טקסט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5210" cy="353060"/>
                      </a:xfrm>
                      <a:prstGeom prst="rect">
                        <a:avLst/>
                      </a:prstGeom>
                      <a:solidFill>
                        <a:srgbClr val="FFFFFF"/>
                      </a:solidFill>
                      <a:ln w="19050">
                        <a:noFill/>
                        <a:miter lim="800000"/>
                        <a:headEnd/>
                        <a:tailEnd/>
                      </a:ln>
                    </wps:spPr>
                    <wps:txbx>
                      <w:txbxContent>
                        <w:p w14:paraId="3C932460" w14:textId="77777777" w:rsidR="002748A5" w:rsidRPr="002A07A0" w:rsidRDefault="002748A5" w:rsidP="00911969">
                          <w:pPr>
                            <w:spacing w:line="240" w:lineRule="auto"/>
                            <w:contextualSpacing/>
                            <w:jc w:val="center"/>
                            <w:rPr>
                              <w:b/>
                              <w:bCs/>
                              <w:sz w:val="16"/>
                              <w:szCs w:val="16"/>
                              <w:rtl/>
                            </w:rPr>
                          </w:pPr>
                          <w:r>
                            <w:rPr>
                              <w:b/>
                              <w:bCs/>
                              <w:sz w:val="16"/>
                              <w:szCs w:val="16"/>
                              <w:rtl/>
                            </w:rPr>
                            <w:t xml:space="preserve">שלמה </w:t>
                          </w:r>
                          <w:r w:rsidRPr="00D348B7">
                            <w:rPr>
                              <w:b/>
                              <w:bCs/>
                              <w:sz w:val="16"/>
                              <w:szCs w:val="16"/>
                              <w:rtl/>
                            </w:rPr>
                            <w:t xml:space="preserve">הנדל </w:t>
                          </w:r>
                          <w:r>
                            <w:rPr>
                              <w:rFonts w:hint="cs"/>
                              <w:b/>
                              <w:bCs/>
                              <w:sz w:val="16"/>
                              <w:szCs w:val="16"/>
                              <w:rtl/>
                            </w:rPr>
                            <w:t xml:space="preserve">טל: </w:t>
                          </w:r>
                          <w:r w:rsidRPr="006C5697">
                            <w:rPr>
                              <w:b/>
                              <w:bCs/>
                              <w:sz w:val="16"/>
                              <w:szCs w:val="16"/>
                              <w:rtl/>
                            </w:rPr>
                            <w:t>052-7676412</w:t>
                          </w:r>
                          <w:r>
                            <w:rPr>
                              <w:rFonts w:hint="cs"/>
                              <w:b/>
                              <w:bCs/>
                              <w:sz w:val="16"/>
                              <w:szCs w:val="16"/>
                              <w:rtl/>
                            </w:rPr>
                            <w:t xml:space="preserve"> - </w:t>
                          </w:r>
                          <w:r w:rsidRPr="002A07A0">
                            <w:rPr>
                              <w:rFonts w:hint="cs"/>
                              <w:b/>
                              <w:bCs/>
                              <w:sz w:val="16"/>
                              <w:szCs w:val="16"/>
                              <w:rtl/>
                            </w:rPr>
                            <w:t xml:space="preserve">ניתן לקבל </w:t>
                          </w:r>
                          <w:r>
                            <w:rPr>
                              <w:rFonts w:hint="cs"/>
                              <w:b/>
                              <w:bCs/>
                              <w:sz w:val="16"/>
                              <w:szCs w:val="16"/>
                              <w:rtl/>
                            </w:rPr>
                            <w:t>את המ"מ</w:t>
                          </w:r>
                          <w:r w:rsidRPr="00134080">
                            <w:rPr>
                              <w:rFonts w:hint="cs"/>
                              <w:b/>
                              <w:bCs/>
                              <w:sz w:val="16"/>
                              <w:szCs w:val="16"/>
                              <w:rtl/>
                            </w:rPr>
                            <w:t xml:space="preserve"> </w:t>
                          </w:r>
                          <w:r w:rsidRPr="002A07A0">
                            <w:rPr>
                              <w:rFonts w:hint="cs"/>
                              <w:b/>
                              <w:bCs/>
                              <w:sz w:val="16"/>
                              <w:szCs w:val="16"/>
                              <w:rtl/>
                            </w:rPr>
                            <w:t>במייל:</w:t>
                          </w:r>
                          <w:r>
                            <w:rPr>
                              <w:rFonts w:hint="cs"/>
                              <w:b/>
                              <w:bCs/>
                              <w:sz w:val="16"/>
                              <w:szCs w:val="16"/>
                              <w:rtl/>
                            </w:rPr>
                            <w:t xml:space="preserve"> </w:t>
                          </w:r>
                          <w:hyperlink r:id="rId1" w:history="1">
                            <w:r w:rsidRPr="002A07A0">
                              <w:rPr>
                                <w:rStyle w:val="Hyperlink"/>
                                <w:b/>
                                <w:bCs/>
                                <w:color w:val="auto"/>
                                <w:sz w:val="16"/>
                                <w:szCs w:val="16"/>
                                <w:u w:val="none"/>
                              </w:rPr>
                              <w:t>A05</w:t>
                            </w:r>
                            <w:r w:rsidRPr="002A07A0">
                              <w:rPr>
                                <w:rStyle w:val="Hyperlink"/>
                                <w:rFonts w:hint="cs"/>
                                <w:b/>
                                <w:bCs/>
                                <w:color w:val="auto"/>
                                <w:sz w:val="16"/>
                                <w:szCs w:val="16"/>
                                <w:u w:val="none"/>
                              </w:rPr>
                              <w:t>27676412</w:t>
                            </w:r>
                            <w:r w:rsidRPr="002A07A0">
                              <w:rPr>
                                <w:rStyle w:val="Hyperlink"/>
                                <w:b/>
                                <w:bCs/>
                                <w:color w:val="auto"/>
                                <w:sz w:val="16"/>
                                <w:szCs w:val="16"/>
                                <w:u w:val="none"/>
                              </w:rPr>
                              <w:t>@</w:t>
                            </w:r>
                            <w:r w:rsidRPr="002A07A0">
                              <w:rPr>
                                <w:rStyle w:val="Hyperlink"/>
                                <w:rFonts w:hint="cs"/>
                                <w:b/>
                                <w:bCs/>
                                <w:color w:val="auto"/>
                                <w:sz w:val="16"/>
                                <w:szCs w:val="16"/>
                                <w:u w:val="none"/>
                              </w:rPr>
                              <w:t>GMAIL.COM</w:t>
                            </w:r>
                          </w:hyperlink>
                          <w:r w:rsidRPr="002A07A0">
                            <w:rPr>
                              <w:rFonts w:hint="cs"/>
                              <w:b/>
                              <w:bCs/>
                              <w:sz w:val="16"/>
                              <w:szCs w:val="16"/>
                              <w:rtl/>
                            </w:rPr>
                            <w:t xml:space="preserve"> </w:t>
                          </w:r>
                        </w:p>
                        <w:p w14:paraId="73E74506" w14:textId="77777777" w:rsidR="002748A5" w:rsidRPr="008D08BD" w:rsidRDefault="002748A5" w:rsidP="00911969">
                          <w:pPr>
                            <w:spacing w:line="240" w:lineRule="auto"/>
                            <w:contextualSpacing/>
                            <w:jc w:val="center"/>
                            <w:rPr>
                              <w:b/>
                              <w:bCs/>
                              <w:sz w:val="16"/>
                              <w:szCs w:val="16"/>
                            </w:rPr>
                          </w:pPr>
                          <w:r w:rsidRPr="002A07A0">
                            <w:rPr>
                              <w:rFonts w:hint="cs"/>
                              <w:b/>
                              <w:bCs/>
                              <w:sz w:val="16"/>
                              <w:szCs w:val="16"/>
                              <w:rtl/>
                            </w:rPr>
                            <w:t xml:space="preserve">וכן </w:t>
                          </w:r>
                          <w:r>
                            <w:rPr>
                              <w:rFonts w:hint="cs"/>
                              <w:b/>
                              <w:bCs/>
                              <w:sz w:val="16"/>
                              <w:szCs w:val="16"/>
                              <w:rtl/>
                            </w:rPr>
                            <w:t xml:space="preserve">ניתן לקבל </w:t>
                          </w:r>
                          <w:r w:rsidRPr="002A07A0">
                            <w:rPr>
                              <w:rFonts w:hint="cs"/>
                              <w:b/>
                              <w:bCs/>
                              <w:sz w:val="16"/>
                              <w:szCs w:val="16"/>
                              <w:rtl/>
                            </w:rPr>
                            <w:t xml:space="preserve">את קובץ "משנתם בלשונם" </w:t>
                          </w:r>
                          <w:r>
                            <w:rPr>
                              <w:rFonts w:hint="cs"/>
                              <w:b/>
                              <w:bCs/>
                              <w:sz w:val="16"/>
                              <w:szCs w:val="16"/>
                              <w:rtl/>
                            </w:rPr>
                            <w:t>בו הובאו לשונות הראשונים והאחרונים,</w:t>
                          </w:r>
                          <w:r w:rsidRPr="008D08BD">
                            <w:rPr>
                              <w:b/>
                              <w:bCs/>
                              <w:sz w:val="16"/>
                              <w:szCs w:val="16"/>
                            </w:rPr>
                            <w:t xml:space="preserve"> </w:t>
                          </w:r>
                          <w:r>
                            <w:rPr>
                              <w:rFonts w:hint="cs"/>
                              <w:b/>
                              <w:bCs/>
                              <w:sz w:val="16"/>
                              <w:szCs w:val="16"/>
                              <w:rtl/>
                            </w:rPr>
                            <w:t>פתוחים להעתקה</w:t>
                          </w:r>
                          <w:r>
                            <w:rPr>
                              <w:b/>
                              <w:bCs/>
                              <w:sz w:val="16"/>
                              <w:szCs w:val="16"/>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06E318E" id="_x0000_t202" coordsize="21600,21600" o:spt="202" path="m,l,21600r21600,l21600,xe">
              <v:stroke joinstyle="miter"/>
              <v:path gradientshapeok="t" o:connecttype="rect"/>
            </v:shapetype>
            <v:shape id="_x0000_s1061" type="#_x0000_t202" style="position:absolute;left:0;text-align:left;margin-left:159.3pt;margin-top:.25pt;width:382.3pt;height:27.8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" stroked="f" strokeweight="1.5pt">
              <v:textbox>
                <w:txbxContent>
                  <w:p w14:paraId="3C932460" w14:textId="77777777" w:rsidR="002748A5" w:rsidRPr="002A07A0" w:rsidRDefault="002748A5" w:rsidP="00911969">
                    <w:pPr>
                      <w:spacing w:line="240" w:lineRule="auto"/>
                      <w:contextualSpacing/>
                      <w:jc w:val="center"/>
                      <w:rPr>
                        <w:b/>
                        <w:bCs/>
                        <w:sz w:val="16"/>
                        <w:szCs w:val="16"/>
                        <w:rtl/>
                      </w:rPr>
                    </w:pPr>
                    <w:r>
                      <w:rPr>
                        <w:b/>
                        <w:bCs/>
                        <w:sz w:val="16"/>
                        <w:szCs w:val="16"/>
                        <w:rtl/>
                      </w:rPr>
                      <w:t xml:space="preserve">שלמה </w:t>
                    </w:r>
                    <w:r w:rsidRPr="00D348B7">
                      <w:rPr>
                        <w:b/>
                        <w:bCs/>
                        <w:sz w:val="16"/>
                        <w:szCs w:val="16"/>
                        <w:rtl/>
                      </w:rPr>
                      <w:t xml:space="preserve">הנדל </w:t>
                    </w:r>
                    <w:r>
                      <w:rPr>
                        <w:rFonts w:hint="cs"/>
                        <w:b/>
                        <w:bCs/>
                        <w:sz w:val="16"/>
                        <w:szCs w:val="16"/>
                        <w:rtl/>
                      </w:rPr>
                      <w:t xml:space="preserve">טל: </w:t>
                    </w:r>
                    <w:r w:rsidRPr="006C5697">
                      <w:rPr>
                        <w:b/>
                        <w:bCs/>
                        <w:sz w:val="16"/>
                        <w:szCs w:val="16"/>
                        <w:rtl/>
                      </w:rPr>
                      <w:t>052-7676412</w:t>
                    </w:r>
                    <w:r>
                      <w:rPr>
                        <w:rFonts w:hint="cs"/>
                        <w:b/>
                        <w:bCs/>
                        <w:sz w:val="16"/>
                        <w:szCs w:val="16"/>
                        <w:rtl/>
                      </w:rPr>
                      <w:t xml:space="preserve"> - </w:t>
                    </w:r>
                    <w:r w:rsidRPr="002A07A0">
                      <w:rPr>
                        <w:rFonts w:hint="cs"/>
                        <w:b/>
                        <w:bCs/>
                        <w:sz w:val="16"/>
                        <w:szCs w:val="16"/>
                        <w:rtl/>
                      </w:rPr>
                      <w:t xml:space="preserve">ניתן לקבל </w:t>
                    </w:r>
                    <w:r>
                      <w:rPr>
                        <w:rFonts w:hint="cs"/>
                        <w:b/>
                        <w:bCs/>
                        <w:sz w:val="16"/>
                        <w:szCs w:val="16"/>
                        <w:rtl/>
                      </w:rPr>
                      <w:t>את המ"מ</w:t>
                    </w:r>
                    <w:r w:rsidRPr="00134080">
                      <w:rPr>
                        <w:rFonts w:hint="cs"/>
                        <w:b/>
                        <w:bCs/>
                        <w:sz w:val="16"/>
                        <w:szCs w:val="16"/>
                        <w:rtl/>
                      </w:rPr>
                      <w:t xml:space="preserve"> </w:t>
                    </w:r>
                    <w:r w:rsidRPr="002A07A0">
                      <w:rPr>
                        <w:rFonts w:hint="cs"/>
                        <w:b/>
                        <w:bCs/>
                        <w:sz w:val="16"/>
                        <w:szCs w:val="16"/>
                        <w:rtl/>
                      </w:rPr>
                      <w:t>במייל:</w:t>
                    </w:r>
                    <w:r>
                      <w:rPr>
                        <w:rFonts w:hint="cs"/>
                        <w:b/>
                        <w:bCs/>
                        <w:sz w:val="16"/>
                        <w:szCs w:val="16"/>
                        <w:rtl/>
                      </w:rPr>
                      <w:t xml:space="preserve"> </w:t>
                    </w:r>
                    <w:hyperlink r:id="rId2" w:history="1">
                      <w:r w:rsidRPr="002A07A0">
                        <w:rPr>
                          <w:rStyle w:val="Hyperlink"/>
                          <w:b/>
                          <w:bCs/>
                          <w:color w:val="auto"/>
                          <w:sz w:val="16"/>
                          <w:szCs w:val="16"/>
                          <w:u w:val="none"/>
                        </w:rPr>
                        <w:t>A05</w:t>
                      </w:r>
                      <w:r w:rsidRPr="002A07A0">
                        <w:rPr>
                          <w:rStyle w:val="Hyperlink"/>
                          <w:rFonts w:hint="cs"/>
                          <w:b/>
                          <w:bCs/>
                          <w:color w:val="auto"/>
                          <w:sz w:val="16"/>
                          <w:szCs w:val="16"/>
                          <w:u w:val="none"/>
                        </w:rPr>
                        <w:t>27676412</w:t>
                      </w:r>
                      <w:r w:rsidRPr="002A07A0">
                        <w:rPr>
                          <w:rStyle w:val="Hyperlink"/>
                          <w:b/>
                          <w:bCs/>
                          <w:color w:val="auto"/>
                          <w:sz w:val="16"/>
                          <w:szCs w:val="16"/>
                          <w:u w:val="none"/>
                        </w:rPr>
                        <w:t>@</w:t>
                      </w:r>
                      <w:r w:rsidRPr="002A07A0">
                        <w:rPr>
                          <w:rStyle w:val="Hyperlink"/>
                          <w:rFonts w:hint="cs"/>
                          <w:b/>
                          <w:bCs/>
                          <w:color w:val="auto"/>
                          <w:sz w:val="16"/>
                          <w:szCs w:val="16"/>
                          <w:u w:val="none"/>
                        </w:rPr>
                        <w:t>GMAIL.COM</w:t>
                      </w:r>
                    </w:hyperlink>
                    <w:r w:rsidRPr="002A07A0">
                      <w:rPr>
                        <w:rFonts w:hint="cs"/>
                        <w:b/>
                        <w:bCs/>
                        <w:sz w:val="16"/>
                        <w:szCs w:val="16"/>
                        <w:rtl/>
                      </w:rPr>
                      <w:t xml:space="preserve"> </w:t>
                    </w:r>
                  </w:p>
                  <w:p w14:paraId="73E74506" w14:textId="77777777" w:rsidR="002748A5" w:rsidRPr="008D08BD" w:rsidRDefault="002748A5" w:rsidP="00911969">
                    <w:pPr>
                      <w:spacing w:line="240" w:lineRule="auto"/>
                      <w:contextualSpacing/>
                      <w:jc w:val="center"/>
                      <w:rPr>
                        <w:b/>
                        <w:bCs/>
                        <w:sz w:val="16"/>
                        <w:szCs w:val="16"/>
                      </w:rPr>
                    </w:pPr>
                    <w:r w:rsidRPr="002A07A0">
                      <w:rPr>
                        <w:rFonts w:hint="cs"/>
                        <w:b/>
                        <w:bCs/>
                        <w:sz w:val="16"/>
                        <w:szCs w:val="16"/>
                        <w:rtl/>
                      </w:rPr>
                      <w:t xml:space="preserve">וכן </w:t>
                    </w:r>
                    <w:r>
                      <w:rPr>
                        <w:rFonts w:hint="cs"/>
                        <w:b/>
                        <w:bCs/>
                        <w:sz w:val="16"/>
                        <w:szCs w:val="16"/>
                        <w:rtl/>
                      </w:rPr>
                      <w:t xml:space="preserve">ניתן לקבל </w:t>
                    </w:r>
                    <w:r w:rsidRPr="002A07A0">
                      <w:rPr>
                        <w:rFonts w:hint="cs"/>
                        <w:b/>
                        <w:bCs/>
                        <w:sz w:val="16"/>
                        <w:szCs w:val="16"/>
                        <w:rtl/>
                      </w:rPr>
                      <w:t xml:space="preserve">את קובץ "משנתם בלשונם" </w:t>
                    </w:r>
                    <w:r>
                      <w:rPr>
                        <w:rFonts w:hint="cs"/>
                        <w:b/>
                        <w:bCs/>
                        <w:sz w:val="16"/>
                        <w:szCs w:val="16"/>
                        <w:rtl/>
                      </w:rPr>
                      <w:t>בו הובאו לשונות הראשונים והאחרונים,</w:t>
                    </w:r>
                    <w:r w:rsidRPr="008D08BD">
                      <w:rPr>
                        <w:b/>
                        <w:bCs/>
                        <w:sz w:val="16"/>
                        <w:szCs w:val="16"/>
                      </w:rPr>
                      <w:t xml:space="preserve"> </w:t>
                    </w:r>
                    <w:r>
                      <w:rPr>
                        <w:rFonts w:hint="cs"/>
                        <w:b/>
                        <w:bCs/>
                        <w:sz w:val="16"/>
                        <w:szCs w:val="16"/>
                        <w:rtl/>
                      </w:rPr>
                      <w:t>פתוחים להעתקה</w:t>
                    </w:r>
                    <w:r>
                      <w:rPr>
                        <w:b/>
                        <w:bCs/>
                        <w:sz w:val="16"/>
                        <w:szCs w:val="16"/>
                      </w:rPr>
                      <w:t>.</w:t>
                    </w:r>
                  </w:p>
                </w:txbxContent>
              </v:textbox>
              <w10:wrap anchorx="margin"/>
            </v:shape>
          </w:pict>
        </mc:Fallback>
      </mc:AlternateContent>
    </w:r>
    <w:r>
      <w:rPr>
        <w:noProof/>
      </w:rPr>
      <mc:AlternateContent>
        <mc:Choice Requires="wps">
          <w:drawing>
            <wp:anchor distT="0" distB="0" distL="114300" distR="114300" simplePos="0" relativeHeight="251713536" behindDoc="0" locked="0" layoutInCell="1" allowOverlap="1" wp14:anchorId="2828D11D" wp14:editId="40EB1B2E">
              <wp:simplePos x="0" y="0"/>
              <wp:positionH relativeFrom="margin">
                <wp:posOffset>46355</wp:posOffset>
              </wp:positionH>
              <wp:positionV relativeFrom="paragraph">
                <wp:posOffset>34290</wp:posOffset>
              </wp:positionV>
              <wp:extent cx="1002665" cy="264160"/>
              <wp:effectExtent l="0" t="0" r="6985" b="2540"/>
              <wp:wrapNone/>
              <wp:docPr id="218" name="תיבת טקסט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2665" cy="264160"/>
                      </a:xfrm>
                      <a:prstGeom prst="rect">
                        <a:avLst/>
                      </a:prstGeom>
                      <a:solidFill>
                        <a:srgbClr val="FFFFFF"/>
                      </a:solidFill>
                      <a:ln w="15875">
                        <a:solidFill>
                          <a:srgbClr val="000000"/>
                        </a:solidFill>
                        <a:miter lim="800000"/>
                        <a:headEnd/>
                        <a:tailEnd/>
                      </a:ln>
                    </wps:spPr>
                    <wps:txbx>
                      <w:txbxContent>
                        <w:p w14:paraId="0A4FE255" w14:textId="77777777" w:rsidR="002748A5" w:rsidRDefault="002748A5" w:rsidP="00C83122">
                          <w:pPr>
                            <w:rPr>
                              <w:b/>
                              <w:bCs/>
                              <w:sz w:val="18"/>
                              <w:szCs w:val="18"/>
                            </w:rPr>
                          </w:pPr>
                          <w:r>
                            <w:rPr>
                              <w:b/>
                              <w:bCs/>
                              <w:sz w:val="18"/>
                              <w:szCs w:val="18"/>
                              <w:rtl/>
                            </w:rPr>
                            <w:t>המשך בעמ' הבא</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28D11D" id="_x0000_s1062" type="#_x0000_t202" style="position:absolute;left:0;text-align:left;margin-left:3.65pt;margin-top:2.7pt;width:78.95pt;height:20.8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" strokeweight="1.25pt">
              <v:textbox>
                <w:txbxContent>
                  <w:p w14:paraId="0A4FE255" w14:textId="77777777" w:rsidR="002748A5" w:rsidRDefault="002748A5" w:rsidP="00C83122">
                    <w:pPr>
                      <w:rPr>
                        <w:b/>
                        <w:bCs/>
                        <w:sz w:val="18"/>
                        <w:szCs w:val="18"/>
                      </w:rPr>
                    </w:pPr>
                    <w:r>
                      <w:rPr>
                        <w:b/>
                        <w:bCs/>
                        <w:sz w:val="18"/>
                        <w:szCs w:val="18"/>
                        <w:rtl/>
                      </w:rPr>
                      <w:t>המשך בעמ' הבא</w:t>
                    </w:r>
                  </w:p>
                </w:txbxContent>
              </v:textbox>
              <w10:wrap anchorx="margin"/>
            </v:shape>
          </w:pict>
        </mc:Fallback>
      </mc:AlternateContent>
    </w:r>
  </w:p>
  <w:p w14:paraId="242419B0" w14:textId="77777777" w:rsidR="002748A5" w:rsidRDefault="002748A5" w:rsidP="00C83122">
    <w:pPr>
      <w:pStyle w:val="affe"/>
    </w:pP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B36E2" w14:textId="77777777" w:rsidR="002748A5" w:rsidRDefault="002748A5">
    <w:pPr>
      <w:pStyle w:val="affe"/>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665694404"/>
      <w:docPartObj>
        <w:docPartGallery w:val="Page Numbers (Bottom of Page)"/>
        <w:docPartUnique/>
      </w:docPartObj>
    </w:sdtPr>
    <w:sdtContent>
      <w:p w14:paraId="356AFBE6" w14:textId="33E545C0" w:rsidR="002B2033" w:rsidRDefault="002B2033">
        <w:pPr>
          <w:pStyle w:val="affe"/>
          <w:jc w:val="right"/>
        </w:pPr>
        <w:r>
          <w:fldChar w:fldCharType="begin"/>
        </w:r>
        <w:r>
          <w:instrText>PAGE   \* MERGEFORMAT</w:instrText>
        </w:r>
        <w:r>
          <w:fldChar w:fldCharType="separate"/>
        </w:r>
        <w:r>
          <w:rPr>
            <w:rtl/>
            <w:lang w:val="he-IL"/>
          </w:rPr>
          <w:t>2</w:t>
        </w:r>
        <w:r>
          <w:fldChar w:fldCharType="end"/>
        </w:r>
      </w:p>
    </w:sdtContent>
  </w:sdt>
  <w:p w14:paraId="2D7EEF6F" w14:textId="2B519883" w:rsidR="002748A5" w:rsidRPr="00725DCB" w:rsidRDefault="002748A5" w:rsidP="00725DCB">
    <w:pPr>
      <w:pStyle w:val="affe"/>
      <w:rPr>
        <w:rtl/>
        <w:cs/>
      </w:rPr>
    </w:pP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65098" w14:textId="77777777" w:rsidR="002748A5" w:rsidRDefault="002748A5" w:rsidP="00C83122">
    <w:pPr>
      <w:pStyle w:val="affe"/>
    </w:pPr>
    <w:r>
      <w:rPr>
        <w:noProof/>
      </w:rPr>
      <mc:AlternateContent>
        <mc:Choice Requires="wps">
          <w:drawing>
            <wp:anchor distT="0" distB="0" distL="114300" distR="114300" simplePos="0" relativeHeight="251714560" behindDoc="0" locked="0" layoutInCell="1" allowOverlap="1" wp14:anchorId="167E7ECB" wp14:editId="0DD2E560">
              <wp:simplePos x="0" y="0"/>
              <wp:positionH relativeFrom="margin">
                <wp:posOffset>3235960</wp:posOffset>
              </wp:positionH>
              <wp:positionV relativeFrom="paragraph">
                <wp:posOffset>64135</wp:posOffset>
              </wp:positionV>
              <wp:extent cx="3355975" cy="330200"/>
              <wp:effectExtent l="0" t="0" r="0" b="0"/>
              <wp:wrapNone/>
              <wp:docPr id="6" name="תיבת טקסט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5975" cy="330200"/>
                      </a:xfrm>
                      <a:prstGeom prst="rect">
                        <a:avLst/>
                      </a:prstGeom>
                      <a:solidFill>
                        <a:srgbClr val="FFFFFF"/>
                      </a:solidFill>
                      <a:ln w="19050">
                        <a:noFill/>
                        <a:miter lim="800000"/>
                        <a:headEnd/>
                        <a:tailEnd/>
                      </a:ln>
                    </wps:spPr>
                    <wps:txbx>
                      <w:txbxContent>
                        <w:p w14:paraId="35AA80C4" w14:textId="77777777" w:rsidR="002748A5" w:rsidRPr="00D348B7" w:rsidRDefault="002748A5" w:rsidP="00C83122">
                          <w:pPr>
                            <w:spacing w:line="240" w:lineRule="auto"/>
                            <w:jc w:val="center"/>
                            <w:rPr>
                              <w:b/>
                              <w:bCs/>
                              <w:sz w:val="16"/>
                              <w:szCs w:val="16"/>
                              <w:rtl/>
                            </w:rPr>
                          </w:pPr>
                          <w:r>
                            <w:rPr>
                              <w:b/>
                              <w:bCs/>
                              <w:sz w:val="16"/>
                              <w:szCs w:val="16"/>
                              <w:rtl/>
                            </w:rPr>
                            <w:t xml:space="preserve">שלמה </w:t>
                          </w:r>
                          <w:r w:rsidRPr="00D348B7">
                            <w:rPr>
                              <w:b/>
                              <w:bCs/>
                              <w:sz w:val="16"/>
                              <w:szCs w:val="16"/>
                              <w:rtl/>
                            </w:rPr>
                            <w:t xml:space="preserve">הנדל </w:t>
                          </w:r>
                          <w:r w:rsidRPr="00D348B7">
                            <w:rPr>
                              <w:rFonts w:hint="cs"/>
                              <w:b/>
                              <w:bCs/>
                              <w:sz w:val="16"/>
                              <w:szCs w:val="16"/>
                              <w:rtl/>
                            </w:rPr>
                            <w:t xml:space="preserve">- </w:t>
                          </w:r>
                          <w:r w:rsidRPr="00D348B7">
                            <w:rPr>
                              <w:b/>
                              <w:bCs/>
                              <w:sz w:val="16"/>
                              <w:szCs w:val="16"/>
                              <w:rtl/>
                            </w:rPr>
                            <w:t>בית הלל</w:t>
                          </w:r>
                          <w:r>
                            <w:rPr>
                              <w:b/>
                              <w:bCs/>
                              <w:sz w:val="16"/>
                              <w:szCs w:val="16"/>
                              <w:rtl/>
                            </w:rPr>
                            <w:tab/>
                          </w:r>
                          <w:r>
                            <w:rPr>
                              <w:rFonts w:hint="cs"/>
                              <w:b/>
                              <w:bCs/>
                              <w:sz w:val="16"/>
                              <w:szCs w:val="16"/>
                              <w:rtl/>
                            </w:rPr>
                            <w:t xml:space="preserve">טל: </w:t>
                          </w:r>
                          <w:r w:rsidRPr="006C5697">
                            <w:rPr>
                              <w:b/>
                              <w:bCs/>
                              <w:sz w:val="16"/>
                              <w:szCs w:val="16"/>
                              <w:rtl/>
                            </w:rPr>
                            <w:t>052-7676412</w:t>
                          </w:r>
                        </w:p>
                        <w:p w14:paraId="691AA748" w14:textId="77777777" w:rsidR="002748A5" w:rsidRPr="008D08BD" w:rsidRDefault="00AD16A0" w:rsidP="00C83122">
                          <w:pPr>
                            <w:bidi w:val="0"/>
                            <w:jc w:val="center"/>
                            <w:rPr>
                              <w:b/>
                              <w:bCs/>
                              <w:sz w:val="16"/>
                              <w:szCs w:val="16"/>
                            </w:rPr>
                          </w:pPr>
                          <w:hyperlink r:id="rId1" w:history="1">
                            <w:r w:rsidR="002748A5" w:rsidRPr="008D08BD">
                              <w:rPr>
                                <w:b/>
                                <w:bCs/>
                                <w:sz w:val="16"/>
                                <w:szCs w:val="16"/>
                              </w:rPr>
                              <w:t>A05</w:t>
                            </w:r>
                            <w:r w:rsidR="002748A5" w:rsidRPr="008D08BD">
                              <w:rPr>
                                <w:rFonts w:hint="cs"/>
                                <w:b/>
                                <w:bCs/>
                                <w:sz w:val="16"/>
                                <w:szCs w:val="16"/>
                              </w:rPr>
                              <w:t>27676412</w:t>
                            </w:r>
                            <w:r w:rsidR="002748A5" w:rsidRPr="008D08BD">
                              <w:rPr>
                                <w:b/>
                                <w:bCs/>
                                <w:sz w:val="16"/>
                                <w:szCs w:val="16"/>
                              </w:rPr>
                              <w:t>@</w:t>
                            </w:r>
                            <w:r w:rsidR="002748A5" w:rsidRPr="008D08BD">
                              <w:rPr>
                                <w:rFonts w:hint="cs"/>
                                <w:b/>
                                <w:bCs/>
                                <w:sz w:val="16"/>
                                <w:szCs w:val="16"/>
                              </w:rPr>
                              <w:t>GMAIL.COM</w:t>
                            </w:r>
                          </w:hyperlink>
                          <w:r w:rsidR="002748A5">
                            <w:rPr>
                              <w:b/>
                              <w:bCs/>
                              <w:sz w:val="16"/>
                              <w:szCs w:val="16"/>
                            </w:rPr>
                            <w:t xml:space="preserve"> </w:t>
                          </w:r>
                          <w:r w:rsidR="002748A5" w:rsidRPr="008D08BD">
                            <w:rPr>
                              <w:rFonts w:hint="cs"/>
                              <w:b/>
                              <w:bCs/>
                              <w:sz w:val="16"/>
                              <w:szCs w:val="16"/>
                              <w:rtl/>
                            </w:rPr>
                            <w:t>לקבלת המ"מ במייל נא לשלוח הודעה לכתובת:</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67E7ECB" id="_x0000_t202" coordsize="21600,21600" o:spt="202" path="m,l,21600r21600,l21600,xe">
              <v:stroke joinstyle="miter"/>
              <v:path gradientshapeok="t" o:connecttype="rect"/>
            </v:shapetype>
            <v:shape id="_x0000_s1063" type="#_x0000_t202" style="position:absolute;left:0;text-align:left;margin-left:254.8pt;margin-top:5.05pt;width:264.25pt;height:26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" stroked="f" strokeweight="1.5pt">
              <v:textbox>
                <w:txbxContent>
                  <w:p w14:paraId="35AA80C4" w14:textId="77777777" w:rsidR="002748A5" w:rsidRPr="00D348B7" w:rsidRDefault="002748A5" w:rsidP="00C83122">
                    <w:pPr>
                      <w:spacing w:line="240" w:lineRule="auto"/>
                      <w:jc w:val="center"/>
                      <w:rPr>
                        <w:b/>
                        <w:bCs/>
                        <w:sz w:val="16"/>
                        <w:szCs w:val="16"/>
                        <w:rtl/>
                      </w:rPr>
                    </w:pPr>
                    <w:r>
                      <w:rPr>
                        <w:b/>
                        <w:bCs/>
                        <w:sz w:val="16"/>
                        <w:szCs w:val="16"/>
                        <w:rtl/>
                      </w:rPr>
                      <w:t xml:space="preserve">שלמה </w:t>
                    </w:r>
                    <w:r w:rsidRPr="00D348B7">
                      <w:rPr>
                        <w:b/>
                        <w:bCs/>
                        <w:sz w:val="16"/>
                        <w:szCs w:val="16"/>
                        <w:rtl/>
                      </w:rPr>
                      <w:t xml:space="preserve">הנדל </w:t>
                    </w:r>
                    <w:r w:rsidRPr="00D348B7">
                      <w:rPr>
                        <w:rFonts w:hint="cs"/>
                        <w:b/>
                        <w:bCs/>
                        <w:sz w:val="16"/>
                        <w:szCs w:val="16"/>
                        <w:rtl/>
                      </w:rPr>
                      <w:t xml:space="preserve">- </w:t>
                    </w:r>
                    <w:r w:rsidRPr="00D348B7">
                      <w:rPr>
                        <w:b/>
                        <w:bCs/>
                        <w:sz w:val="16"/>
                        <w:szCs w:val="16"/>
                        <w:rtl/>
                      </w:rPr>
                      <w:t>בית הלל</w:t>
                    </w:r>
                    <w:r>
                      <w:rPr>
                        <w:b/>
                        <w:bCs/>
                        <w:sz w:val="16"/>
                        <w:szCs w:val="16"/>
                        <w:rtl/>
                      </w:rPr>
                      <w:tab/>
                    </w:r>
                    <w:r>
                      <w:rPr>
                        <w:rFonts w:hint="cs"/>
                        <w:b/>
                        <w:bCs/>
                        <w:sz w:val="16"/>
                        <w:szCs w:val="16"/>
                        <w:rtl/>
                      </w:rPr>
                      <w:t xml:space="preserve">טל: </w:t>
                    </w:r>
                    <w:r w:rsidRPr="006C5697">
                      <w:rPr>
                        <w:b/>
                        <w:bCs/>
                        <w:sz w:val="16"/>
                        <w:szCs w:val="16"/>
                        <w:rtl/>
                      </w:rPr>
                      <w:t>052-7676412</w:t>
                    </w:r>
                  </w:p>
                  <w:p w14:paraId="691AA748" w14:textId="77777777" w:rsidR="002748A5" w:rsidRPr="008D08BD" w:rsidRDefault="00AD16A0" w:rsidP="00C83122">
                    <w:pPr>
                      <w:bidi w:val="0"/>
                      <w:jc w:val="center"/>
                      <w:rPr>
                        <w:b/>
                        <w:bCs/>
                        <w:sz w:val="16"/>
                        <w:szCs w:val="16"/>
                      </w:rPr>
                    </w:pPr>
                    <w:hyperlink r:id="rId2" w:history="1">
                      <w:r w:rsidR="002748A5" w:rsidRPr="008D08BD">
                        <w:rPr>
                          <w:b/>
                          <w:bCs/>
                          <w:sz w:val="16"/>
                          <w:szCs w:val="16"/>
                        </w:rPr>
                        <w:t>A05</w:t>
                      </w:r>
                      <w:r w:rsidR="002748A5" w:rsidRPr="008D08BD">
                        <w:rPr>
                          <w:rFonts w:hint="cs"/>
                          <w:b/>
                          <w:bCs/>
                          <w:sz w:val="16"/>
                          <w:szCs w:val="16"/>
                        </w:rPr>
                        <w:t>27676412</w:t>
                      </w:r>
                      <w:r w:rsidR="002748A5" w:rsidRPr="008D08BD">
                        <w:rPr>
                          <w:b/>
                          <w:bCs/>
                          <w:sz w:val="16"/>
                          <w:szCs w:val="16"/>
                        </w:rPr>
                        <w:t>@</w:t>
                      </w:r>
                      <w:r w:rsidR="002748A5" w:rsidRPr="008D08BD">
                        <w:rPr>
                          <w:rFonts w:hint="cs"/>
                          <w:b/>
                          <w:bCs/>
                          <w:sz w:val="16"/>
                          <w:szCs w:val="16"/>
                        </w:rPr>
                        <w:t>GMAIL.COM</w:t>
                      </w:r>
                    </w:hyperlink>
                    <w:r w:rsidR="002748A5">
                      <w:rPr>
                        <w:b/>
                        <w:bCs/>
                        <w:sz w:val="16"/>
                        <w:szCs w:val="16"/>
                      </w:rPr>
                      <w:t xml:space="preserve"> </w:t>
                    </w:r>
                    <w:r w:rsidR="002748A5" w:rsidRPr="008D08BD">
                      <w:rPr>
                        <w:rFonts w:hint="cs"/>
                        <w:b/>
                        <w:bCs/>
                        <w:sz w:val="16"/>
                        <w:szCs w:val="16"/>
                        <w:rtl/>
                      </w:rPr>
                      <w:t>לקבלת המ"מ במייל נא לשלוח הודעה לכתובת:</w:t>
                    </w:r>
                  </w:p>
                </w:txbxContent>
              </v:textbox>
              <w10:wrap anchorx="margin"/>
            </v:shape>
          </w:pict>
        </mc:Fallback>
      </mc:AlternateContent>
    </w:r>
    <w:r>
      <w:rPr>
        <w:noProof/>
      </w:rPr>
      <mc:AlternateContent>
        <mc:Choice Requires="wps">
          <w:drawing>
            <wp:anchor distT="0" distB="0" distL="114300" distR="114300" simplePos="0" relativeHeight="251715584" behindDoc="0" locked="0" layoutInCell="1" allowOverlap="1" wp14:anchorId="6EB64D1E" wp14:editId="62B96F68">
              <wp:simplePos x="0" y="0"/>
              <wp:positionH relativeFrom="margin">
                <wp:posOffset>46355</wp:posOffset>
              </wp:positionH>
              <wp:positionV relativeFrom="paragraph">
                <wp:posOffset>34290</wp:posOffset>
              </wp:positionV>
              <wp:extent cx="1002665" cy="264160"/>
              <wp:effectExtent l="0" t="0" r="6985" b="2540"/>
              <wp:wrapNone/>
              <wp:docPr id="5" name="תיבת טקסט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2665" cy="264160"/>
                      </a:xfrm>
                      <a:prstGeom prst="rect">
                        <a:avLst/>
                      </a:prstGeom>
                      <a:solidFill>
                        <a:srgbClr val="FFFFFF"/>
                      </a:solidFill>
                      <a:ln w="15875">
                        <a:solidFill>
                          <a:srgbClr val="000000"/>
                        </a:solidFill>
                        <a:miter lim="800000"/>
                        <a:headEnd/>
                        <a:tailEnd/>
                      </a:ln>
                    </wps:spPr>
                    <wps:txbx>
                      <w:txbxContent>
                        <w:p w14:paraId="3E906B52" w14:textId="77777777" w:rsidR="002748A5" w:rsidRDefault="002748A5" w:rsidP="00C83122">
                          <w:pPr>
                            <w:rPr>
                              <w:b/>
                              <w:bCs/>
                              <w:sz w:val="18"/>
                              <w:szCs w:val="18"/>
                            </w:rPr>
                          </w:pPr>
                          <w:r>
                            <w:rPr>
                              <w:b/>
                              <w:bCs/>
                              <w:sz w:val="18"/>
                              <w:szCs w:val="18"/>
                              <w:rtl/>
                            </w:rPr>
                            <w:t>המשך בעמ' הבא</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64D1E" id="_x0000_s1064" type="#_x0000_t202" style="position:absolute;left:0;text-align:left;margin-left:3.65pt;margin-top:2.7pt;width:78.95pt;height:20.8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" strokeweight="1.25pt">
              <v:textbox>
                <w:txbxContent>
                  <w:p w14:paraId="3E906B52" w14:textId="77777777" w:rsidR="002748A5" w:rsidRDefault="002748A5" w:rsidP="00C83122">
                    <w:pPr>
                      <w:rPr>
                        <w:b/>
                        <w:bCs/>
                        <w:sz w:val="18"/>
                        <w:szCs w:val="18"/>
                      </w:rPr>
                    </w:pPr>
                    <w:r>
                      <w:rPr>
                        <w:b/>
                        <w:bCs/>
                        <w:sz w:val="18"/>
                        <w:szCs w:val="18"/>
                        <w:rtl/>
                      </w:rPr>
                      <w:t>המשך בעמ' הבא</w:t>
                    </w:r>
                  </w:p>
                </w:txbxContent>
              </v:textbox>
              <w10:wrap anchorx="margin"/>
            </v:shape>
          </w:pict>
        </mc:Fallback>
      </mc:AlternateContent>
    </w:r>
  </w:p>
  <w:p w14:paraId="07FEC046" w14:textId="77777777" w:rsidR="002748A5" w:rsidRDefault="002748A5" w:rsidP="00C83122">
    <w:pPr>
      <w:pStyle w:val="affe"/>
    </w:pP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315959771"/>
      <w:docPartObj>
        <w:docPartGallery w:val="Page Numbers (Bottom of Page)"/>
        <w:docPartUnique/>
      </w:docPartObj>
    </w:sdtPr>
    <w:sdtEndPr>
      <w:rPr>
        <w:cs/>
      </w:rPr>
    </w:sdtEndPr>
    <w:sdtContent>
      <w:p w14:paraId="7C8C9C74" w14:textId="77777777" w:rsidR="002748A5" w:rsidRDefault="002748A5">
        <w:pPr>
          <w:pStyle w:val="affe"/>
          <w:jc w:val="right"/>
          <w:rPr>
            <w:rtl/>
            <w:cs/>
          </w:rPr>
        </w:pPr>
        <w:r>
          <w:fldChar w:fldCharType="begin"/>
        </w:r>
        <w:r>
          <w:rPr>
            <w:rtl/>
            <w:cs/>
          </w:rPr>
          <w:instrText>PAGE   \* MERGEFORMAT</w:instrText>
        </w:r>
        <w:r>
          <w:fldChar w:fldCharType="separate"/>
        </w:r>
        <w:r w:rsidRPr="006B3804">
          <w:rPr>
            <w:noProof/>
            <w:rtl/>
            <w:lang w:val="he-IL"/>
          </w:rPr>
          <w:t>3</w:t>
        </w:r>
        <w:r>
          <w:fldChar w:fldCharType="end"/>
        </w:r>
      </w:p>
    </w:sdtContent>
  </w:sdt>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752853694"/>
      <w:docPartObj>
        <w:docPartGallery w:val="Page Numbers (Bottom of Page)"/>
        <w:docPartUnique/>
      </w:docPartObj>
    </w:sdtPr>
    <w:sdtEndPr>
      <w:rPr>
        <w:cs/>
      </w:rPr>
    </w:sdtEndPr>
    <w:sdtContent>
      <w:p w14:paraId="736AACEC" w14:textId="77777777" w:rsidR="002748A5" w:rsidRDefault="002748A5">
        <w:pPr>
          <w:pStyle w:val="affe"/>
          <w:jc w:val="right"/>
          <w:rPr>
            <w:rtl/>
            <w:cs/>
          </w:rPr>
        </w:pPr>
        <w:r>
          <w:fldChar w:fldCharType="begin"/>
        </w:r>
        <w:r>
          <w:rPr>
            <w:rtl/>
            <w:cs/>
          </w:rPr>
          <w:instrText>PAGE   \* MERGEFORMAT</w:instrText>
        </w:r>
        <w:r>
          <w:fldChar w:fldCharType="separate"/>
        </w:r>
        <w:r w:rsidRPr="006B3804">
          <w:rPr>
            <w:noProof/>
            <w:rtl/>
            <w:lang w:val="he-IL"/>
          </w:rPr>
          <w:t>3</w:t>
        </w:r>
        <w:r>
          <w:fldChar w:fldCharType="end"/>
        </w:r>
      </w:p>
    </w:sdtContent>
  </w:sdt>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328634985"/>
      <w:docPartObj>
        <w:docPartGallery w:val="Page Numbers (Bottom of Page)"/>
        <w:docPartUnique/>
      </w:docPartObj>
    </w:sdtPr>
    <w:sdtEndPr>
      <w:rPr>
        <w:cs/>
      </w:rPr>
    </w:sdtEndPr>
    <w:sdtContent>
      <w:p w14:paraId="3668C2B1" w14:textId="77777777" w:rsidR="00274E65" w:rsidRDefault="00274E65">
        <w:pPr>
          <w:pStyle w:val="affe"/>
          <w:jc w:val="right"/>
          <w:rPr>
            <w:rtl/>
            <w:cs/>
          </w:rPr>
        </w:pPr>
        <w:r>
          <w:fldChar w:fldCharType="begin"/>
        </w:r>
        <w:r>
          <w:rPr>
            <w:rtl/>
            <w:cs/>
          </w:rPr>
          <w:instrText>PAGE   \* MERGEFORMAT</w:instrText>
        </w:r>
        <w:r>
          <w:fldChar w:fldCharType="separate"/>
        </w:r>
        <w:r w:rsidRPr="000D3787">
          <w:rPr>
            <w:noProof/>
            <w:rtl/>
            <w:lang w:val="he-IL"/>
          </w:rPr>
          <w:t>1</w:t>
        </w:r>
        <w:r>
          <w:fldChar w:fldCharType="end"/>
        </w:r>
      </w:p>
    </w:sdtContent>
  </w:sdt>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0BBD0" w14:textId="77777777" w:rsidR="00274E65" w:rsidRDefault="00274E65" w:rsidP="00C83122">
    <w:pPr>
      <w:pStyle w:val="affe"/>
    </w:pPr>
    <w:r>
      <w:rPr>
        <w:noProof/>
      </w:rPr>
      <mc:AlternateContent>
        <mc:Choice Requires="wps">
          <w:drawing>
            <wp:anchor distT="0" distB="0" distL="114300" distR="114300" simplePos="0" relativeHeight="251721728" behindDoc="0" locked="0" layoutInCell="1" allowOverlap="1" wp14:anchorId="2D070FF0" wp14:editId="02FB2FA6">
              <wp:simplePos x="0" y="0"/>
              <wp:positionH relativeFrom="margin">
                <wp:posOffset>2022878</wp:posOffset>
              </wp:positionH>
              <wp:positionV relativeFrom="paragraph">
                <wp:posOffset>3290</wp:posOffset>
              </wp:positionV>
              <wp:extent cx="4855120" cy="353202"/>
              <wp:effectExtent l="0" t="0" r="3175" b="8890"/>
              <wp:wrapNone/>
              <wp:docPr id="219" name="תיבת טקסט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5120" cy="353202"/>
                      </a:xfrm>
                      <a:prstGeom prst="rect">
                        <a:avLst/>
                      </a:prstGeom>
                      <a:solidFill>
                        <a:srgbClr val="FFFFFF"/>
                      </a:solidFill>
                      <a:ln w="19050">
                        <a:noFill/>
                        <a:miter lim="800000"/>
                        <a:headEnd/>
                        <a:tailEnd/>
                      </a:ln>
                    </wps:spPr>
                    <wps:txbx>
                      <w:txbxContent>
                        <w:p w14:paraId="37D590AE" w14:textId="77777777" w:rsidR="00274E65" w:rsidRPr="002A07A0" w:rsidRDefault="00274E65" w:rsidP="00911969">
                          <w:pPr>
                            <w:spacing w:line="240" w:lineRule="auto"/>
                            <w:contextualSpacing/>
                            <w:jc w:val="center"/>
                            <w:rPr>
                              <w:b/>
                              <w:bCs/>
                              <w:sz w:val="16"/>
                              <w:szCs w:val="16"/>
                              <w:rtl/>
                            </w:rPr>
                          </w:pPr>
                          <w:r>
                            <w:rPr>
                              <w:b/>
                              <w:bCs/>
                              <w:sz w:val="16"/>
                              <w:szCs w:val="16"/>
                              <w:rtl/>
                            </w:rPr>
                            <w:t xml:space="preserve">שלמה </w:t>
                          </w:r>
                          <w:r w:rsidRPr="00D348B7">
                            <w:rPr>
                              <w:b/>
                              <w:bCs/>
                              <w:sz w:val="16"/>
                              <w:szCs w:val="16"/>
                              <w:rtl/>
                            </w:rPr>
                            <w:t xml:space="preserve">הנדל </w:t>
                          </w:r>
                          <w:r>
                            <w:rPr>
                              <w:rFonts w:hint="cs"/>
                              <w:b/>
                              <w:bCs/>
                              <w:sz w:val="16"/>
                              <w:szCs w:val="16"/>
                              <w:rtl/>
                            </w:rPr>
                            <w:t xml:space="preserve">טל: </w:t>
                          </w:r>
                          <w:r w:rsidRPr="006C5697">
                            <w:rPr>
                              <w:b/>
                              <w:bCs/>
                              <w:sz w:val="16"/>
                              <w:szCs w:val="16"/>
                              <w:rtl/>
                            </w:rPr>
                            <w:t>052-7676412</w:t>
                          </w:r>
                          <w:r>
                            <w:rPr>
                              <w:rFonts w:hint="cs"/>
                              <w:b/>
                              <w:bCs/>
                              <w:sz w:val="16"/>
                              <w:szCs w:val="16"/>
                              <w:rtl/>
                            </w:rPr>
                            <w:t xml:space="preserve"> - </w:t>
                          </w:r>
                          <w:r w:rsidRPr="002A07A0">
                            <w:rPr>
                              <w:rFonts w:hint="cs"/>
                              <w:b/>
                              <w:bCs/>
                              <w:sz w:val="16"/>
                              <w:szCs w:val="16"/>
                              <w:rtl/>
                            </w:rPr>
                            <w:t xml:space="preserve">ניתן לקבל </w:t>
                          </w:r>
                          <w:r>
                            <w:rPr>
                              <w:rFonts w:hint="cs"/>
                              <w:b/>
                              <w:bCs/>
                              <w:sz w:val="16"/>
                              <w:szCs w:val="16"/>
                              <w:rtl/>
                            </w:rPr>
                            <w:t>את המ"מ</w:t>
                          </w:r>
                          <w:r w:rsidRPr="00134080">
                            <w:rPr>
                              <w:rFonts w:hint="cs"/>
                              <w:b/>
                              <w:bCs/>
                              <w:sz w:val="16"/>
                              <w:szCs w:val="16"/>
                              <w:rtl/>
                            </w:rPr>
                            <w:t xml:space="preserve"> </w:t>
                          </w:r>
                          <w:r w:rsidRPr="002A07A0">
                            <w:rPr>
                              <w:rFonts w:hint="cs"/>
                              <w:b/>
                              <w:bCs/>
                              <w:sz w:val="16"/>
                              <w:szCs w:val="16"/>
                              <w:rtl/>
                            </w:rPr>
                            <w:t>במייל:</w:t>
                          </w:r>
                          <w:r>
                            <w:rPr>
                              <w:rFonts w:hint="cs"/>
                              <w:b/>
                              <w:bCs/>
                              <w:sz w:val="16"/>
                              <w:szCs w:val="16"/>
                              <w:rtl/>
                            </w:rPr>
                            <w:t xml:space="preserve"> </w:t>
                          </w:r>
                          <w:hyperlink r:id="rId1" w:history="1">
                            <w:r w:rsidRPr="002A07A0">
                              <w:rPr>
                                <w:rStyle w:val="Hyperlink"/>
                                <w:b/>
                                <w:bCs/>
                                <w:color w:val="auto"/>
                                <w:sz w:val="16"/>
                                <w:szCs w:val="16"/>
                                <w:u w:val="none"/>
                              </w:rPr>
                              <w:t>A05</w:t>
                            </w:r>
                            <w:r w:rsidRPr="002A07A0">
                              <w:rPr>
                                <w:rStyle w:val="Hyperlink"/>
                                <w:rFonts w:hint="cs"/>
                                <w:b/>
                                <w:bCs/>
                                <w:color w:val="auto"/>
                                <w:sz w:val="16"/>
                                <w:szCs w:val="16"/>
                                <w:u w:val="none"/>
                              </w:rPr>
                              <w:t>27676412</w:t>
                            </w:r>
                            <w:r w:rsidRPr="002A07A0">
                              <w:rPr>
                                <w:rStyle w:val="Hyperlink"/>
                                <w:b/>
                                <w:bCs/>
                                <w:color w:val="auto"/>
                                <w:sz w:val="16"/>
                                <w:szCs w:val="16"/>
                                <w:u w:val="none"/>
                              </w:rPr>
                              <w:t>@</w:t>
                            </w:r>
                            <w:r w:rsidRPr="002A07A0">
                              <w:rPr>
                                <w:rStyle w:val="Hyperlink"/>
                                <w:rFonts w:hint="cs"/>
                                <w:b/>
                                <w:bCs/>
                                <w:color w:val="auto"/>
                                <w:sz w:val="16"/>
                                <w:szCs w:val="16"/>
                                <w:u w:val="none"/>
                              </w:rPr>
                              <w:t>GMAIL.COM</w:t>
                            </w:r>
                          </w:hyperlink>
                          <w:r w:rsidRPr="002A07A0">
                            <w:rPr>
                              <w:rFonts w:hint="cs"/>
                              <w:b/>
                              <w:bCs/>
                              <w:sz w:val="16"/>
                              <w:szCs w:val="16"/>
                              <w:rtl/>
                            </w:rPr>
                            <w:t xml:space="preserve"> </w:t>
                          </w:r>
                        </w:p>
                        <w:p w14:paraId="171C3110" w14:textId="77777777" w:rsidR="00274E65" w:rsidRPr="008D08BD" w:rsidRDefault="00274E65" w:rsidP="00911969">
                          <w:pPr>
                            <w:spacing w:line="240" w:lineRule="auto"/>
                            <w:contextualSpacing/>
                            <w:jc w:val="center"/>
                            <w:rPr>
                              <w:b/>
                              <w:bCs/>
                              <w:sz w:val="16"/>
                              <w:szCs w:val="16"/>
                            </w:rPr>
                          </w:pPr>
                          <w:r w:rsidRPr="002A07A0">
                            <w:rPr>
                              <w:rFonts w:hint="cs"/>
                              <w:b/>
                              <w:bCs/>
                              <w:sz w:val="16"/>
                              <w:szCs w:val="16"/>
                              <w:rtl/>
                            </w:rPr>
                            <w:t xml:space="preserve">וכן </w:t>
                          </w:r>
                          <w:r>
                            <w:rPr>
                              <w:rFonts w:hint="cs"/>
                              <w:b/>
                              <w:bCs/>
                              <w:sz w:val="16"/>
                              <w:szCs w:val="16"/>
                              <w:rtl/>
                            </w:rPr>
                            <w:t xml:space="preserve">ניתן לקבל </w:t>
                          </w:r>
                          <w:r w:rsidRPr="002A07A0">
                            <w:rPr>
                              <w:rFonts w:hint="cs"/>
                              <w:b/>
                              <w:bCs/>
                              <w:sz w:val="16"/>
                              <w:szCs w:val="16"/>
                              <w:rtl/>
                            </w:rPr>
                            <w:t xml:space="preserve">את קובץ "משנתם בלשונם" </w:t>
                          </w:r>
                          <w:r>
                            <w:rPr>
                              <w:rFonts w:hint="cs"/>
                              <w:b/>
                              <w:bCs/>
                              <w:sz w:val="16"/>
                              <w:szCs w:val="16"/>
                              <w:rtl/>
                            </w:rPr>
                            <w:t>בו הובאו לשונות הראשונים והאחרונים,</w:t>
                          </w:r>
                          <w:r w:rsidRPr="008D08BD">
                            <w:rPr>
                              <w:b/>
                              <w:bCs/>
                              <w:sz w:val="16"/>
                              <w:szCs w:val="16"/>
                            </w:rPr>
                            <w:t xml:space="preserve"> </w:t>
                          </w:r>
                          <w:r>
                            <w:rPr>
                              <w:rFonts w:hint="cs"/>
                              <w:b/>
                              <w:bCs/>
                              <w:sz w:val="16"/>
                              <w:szCs w:val="16"/>
                              <w:rtl/>
                            </w:rPr>
                            <w:t>פתוחים להעתקה</w:t>
                          </w:r>
                          <w:r>
                            <w:rPr>
                              <w:b/>
                              <w:bCs/>
                              <w:sz w:val="16"/>
                              <w:szCs w:val="16"/>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D070FF0" id="_x0000_t202" coordsize="21600,21600" o:spt="202" path="m,l,21600r21600,l21600,xe">
              <v:stroke joinstyle="miter"/>
              <v:path gradientshapeok="t" o:connecttype="rect"/>
            </v:shapetype>
            <v:shape id="_x0000_s1065" type="#_x0000_t202" style="position:absolute;left:0;text-align:left;margin-left:159.3pt;margin-top:.25pt;width:382.3pt;height:27.8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" stroked="f" strokeweight="1.5pt">
              <v:textbox>
                <w:txbxContent>
                  <w:p w14:paraId="37D590AE" w14:textId="77777777" w:rsidR="00274E65" w:rsidRPr="002A07A0" w:rsidRDefault="00274E65" w:rsidP="00911969">
                    <w:pPr>
                      <w:spacing w:line="240" w:lineRule="auto"/>
                      <w:contextualSpacing/>
                      <w:jc w:val="center"/>
                      <w:rPr>
                        <w:b/>
                        <w:bCs/>
                        <w:sz w:val="16"/>
                        <w:szCs w:val="16"/>
                        <w:rtl/>
                      </w:rPr>
                    </w:pPr>
                    <w:r>
                      <w:rPr>
                        <w:b/>
                        <w:bCs/>
                        <w:sz w:val="16"/>
                        <w:szCs w:val="16"/>
                        <w:rtl/>
                      </w:rPr>
                      <w:t xml:space="preserve">שלמה </w:t>
                    </w:r>
                    <w:r w:rsidRPr="00D348B7">
                      <w:rPr>
                        <w:b/>
                        <w:bCs/>
                        <w:sz w:val="16"/>
                        <w:szCs w:val="16"/>
                        <w:rtl/>
                      </w:rPr>
                      <w:t xml:space="preserve">הנדל </w:t>
                    </w:r>
                    <w:r>
                      <w:rPr>
                        <w:rFonts w:hint="cs"/>
                        <w:b/>
                        <w:bCs/>
                        <w:sz w:val="16"/>
                        <w:szCs w:val="16"/>
                        <w:rtl/>
                      </w:rPr>
                      <w:t xml:space="preserve">טל: </w:t>
                    </w:r>
                    <w:r w:rsidRPr="006C5697">
                      <w:rPr>
                        <w:b/>
                        <w:bCs/>
                        <w:sz w:val="16"/>
                        <w:szCs w:val="16"/>
                        <w:rtl/>
                      </w:rPr>
                      <w:t>052-7676412</w:t>
                    </w:r>
                    <w:r>
                      <w:rPr>
                        <w:rFonts w:hint="cs"/>
                        <w:b/>
                        <w:bCs/>
                        <w:sz w:val="16"/>
                        <w:szCs w:val="16"/>
                        <w:rtl/>
                      </w:rPr>
                      <w:t xml:space="preserve"> - </w:t>
                    </w:r>
                    <w:r w:rsidRPr="002A07A0">
                      <w:rPr>
                        <w:rFonts w:hint="cs"/>
                        <w:b/>
                        <w:bCs/>
                        <w:sz w:val="16"/>
                        <w:szCs w:val="16"/>
                        <w:rtl/>
                      </w:rPr>
                      <w:t xml:space="preserve">ניתן לקבל </w:t>
                    </w:r>
                    <w:r>
                      <w:rPr>
                        <w:rFonts w:hint="cs"/>
                        <w:b/>
                        <w:bCs/>
                        <w:sz w:val="16"/>
                        <w:szCs w:val="16"/>
                        <w:rtl/>
                      </w:rPr>
                      <w:t>את המ"מ</w:t>
                    </w:r>
                    <w:r w:rsidRPr="00134080">
                      <w:rPr>
                        <w:rFonts w:hint="cs"/>
                        <w:b/>
                        <w:bCs/>
                        <w:sz w:val="16"/>
                        <w:szCs w:val="16"/>
                        <w:rtl/>
                      </w:rPr>
                      <w:t xml:space="preserve"> </w:t>
                    </w:r>
                    <w:r w:rsidRPr="002A07A0">
                      <w:rPr>
                        <w:rFonts w:hint="cs"/>
                        <w:b/>
                        <w:bCs/>
                        <w:sz w:val="16"/>
                        <w:szCs w:val="16"/>
                        <w:rtl/>
                      </w:rPr>
                      <w:t>במייל:</w:t>
                    </w:r>
                    <w:r>
                      <w:rPr>
                        <w:rFonts w:hint="cs"/>
                        <w:b/>
                        <w:bCs/>
                        <w:sz w:val="16"/>
                        <w:szCs w:val="16"/>
                        <w:rtl/>
                      </w:rPr>
                      <w:t xml:space="preserve"> </w:t>
                    </w:r>
                    <w:hyperlink r:id="rId2" w:history="1">
                      <w:r w:rsidRPr="002A07A0">
                        <w:rPr>
                          <w:rStyle w:val="Hyperlink"/>
                          <w:b/>
                          <w:bCs/>
                          <w:color w:val="auto"/>
                          <w:sz w:val="16"/>
                          <w:szCs w:val="16"/>
                          <w:u w:val="none"/>
                        </w:rPr>
                        <w:t>A05</w:t>
                      </w:r>
                      <w:r w:rsidRPr="002A07A0">
                        <w:rPr>
                          <w:rStyle w:val="Hyperlink"/>
                          <w:rFonts w:hint="cs"/>
                          <w:b/>
                          <w:bCs/>
                          <w:color w:val="auto"/>
                          <w:sz w:val="16"/>
                          <w:szCs w:val="16"/>
                          <w:u w:val="none"/>
                        </w:rPr>
                        <w:t>27676412</w:t>
                      </w:r>
                      <w:r w:rsidRPr="002A07A0">
                        <w:rPr>
                          <w:rStyle w:val="Hyperlink"/>
                          <w:b/>
                          <w:bCs/>
                          <w:color w:val="auto"/>
                          <w:sz w:val="16"/>
                          <w:szCs w:val="16"/>
                          <w:u w:val="none"/>
                        </w:rPr>
                        <w:t>@</w:t>
                      </w:r>
                      <w:r w:rsidRPr="002A07A0">
                        <w:rPr>
                          <w:rStyle w:val="Hyperlink"/>
                          <w:rFonts w:hint="cs"/>
                          <w:b/>
                          <w:bCs/>
                          <w:color w:val="auto"/>
                          <w:sz w:val="16"/>
                          <w:szCs w:val="16"/>
                          <w:u w:val="none"/>
                        </w:rPr>
                        <w:t>GMAIL.COM</w:t>
                      </w:r>
                    </w:hyperlink>
                    <w:r w:rsidRPr="002A07A0">
                      <w:rPr>
                        <w:rFonts w:hint="cs"/>
                        <w:b/>
                        <w:bCs/>
                        <w:sz w:val="16"/>
                        <w:szCs w:val="16"/>
                        <w:rtl/>
                      </w:rPr>
                      <w:t xml:space="preserve"> </w:t>
                    </w:r>
                  </w:p>
                  <w:p w14:paraId="171C3110" w14:textId="77777777" w:rsidR="00274E65" w:rsidRPr="008D08BD" w:rsidRDefault="00274E65" w:rsidP="00911969">
                    <w:pPr>
                      <w:spacing w:line="240" w:lineRule="auto"/>
                      <w:contextualSpacing/>
                      <w:jc w:val="center"/>
                      <w:rPr>
                        <w:b/>
                        <w:bCs/>
                        <w:sz w:val="16"/>
                        <w:szCs w:val="16"/>
                      </w:rPr>
                    </w:pPr>
                    <w:r w:rsidRPr="002A07A0">
                      <w:rPr>
                        <w:rFonts w:hint="cs"/>
                        <w:b/>
                        <w:bCs/>
                        <w:sz w:val="16"/>
                        <w:szCs w:val="16"/>
                        <w:rtl/>
                      </w:rPr>
                      <w:t xml:space="preserve">וכן </w:t>
                    </w:r>
                    <w:r>
                      <w:rPr>
                        <w:rFonts w:hint="cs"/>
                        <w:b/>
                        <w:bCs/>
                        <w:sz w:val="16"/>
                        <w:szCs w:val="16"/>
                        <w:rtl/>
                      </w:rPr>
                      <w:t xml:space="preserve">ניתן לקבל </w:t>
                    </w:r>
                    <w:r w:rsidRPr="002A07A0">
                      <w:rPr>
                        <w:rFonts w:hint="cs"/>
                        <w:b/>
                        <w:bCs/>
                        <w:sz w:val="16"/>
                        <w:szCs w:val="16"/>
                        <w:rtl/>
                      </w:rPr>
                      <w:t xml:space="preserve">את קובץ "משנתם בלשונם" </w:t>
                    </w:r>
                    <w:r>
                      <w:rPr>
                        <w:rFonts w:hint="cs"/>
                        <w:b/>
                        <w:bCs/>
                        <w:sz w:val="16"/>
                        <w:szCs w:val="16"/>
                        <w:rtl/>
                      </w:rPr>
                      <w:t>בו הובאו לשונות הראשונים והאחרונים,</w:t>
                    </w:r>
                    <w:r w:rsidRPr="008D08BD">
                      <w:rPr>
                        <w:b/>
                        <w:bCs/>
                        <w:sz w:val="16"/>
                        <w:szCs w:val="16"/>
                      </w:rPr>
                      <w:t xml:space="preserve"> </w:t>
                    </w:r>
                    <w:r>
                      <w:rPr>
                        <w:rFonts w:hint="cs"/>
                        <w:b/>
                        <w:bCs/>
                        <w:sz w:val="16"/>
                        <w:szCs w:val="16"/>
                        <w:rtl/>
                      </w:rPr>
                      <w:t>פתוחים להעתקה</w:t>
                    </w:r>
                    <w:r>
                      <w:rPr>
                        <w:b/>
                        <w:bCs/>
                        <w:sz w:val="16"/>
                        <w:szCs w:val="16"/>
                      </w:rPr>
                      <w:t>.</w:t>
                    </w:r>
                  </w:p>
                </w:txbxContent>
              </v:textbox>
              <w10:wrap anchorx="margin"/>
            </v:shape>
          </w:pict>
        </mc:Fallback>
      </mc:AlternateContent>
    </w:r>
    <w:r>
      <w:rPr>
        <w:noProof/>
      </w:rPr>
      <mc:AlternateContent>
        <mc:Choice Requires="wps">
          <w:drawing>
            <wp:anchor distT="0" distB="0" distL="114300" distR="114300" simplePos="0" relativeHeight="251718656" behindDoc="0" locked="0" layoutInCell="1" allowOverlap="1" wp14:anchorId="795FB563" wp14:editId="67BE9F1C">
              <wp:simplePos x="0" y="0"/>
              <wp:positionH relativeFrom="margin">
                <wp:posOffset>46355</wp:posOffset>
              </wp:positionH>
              <wp:positionV relativeFrom="paragraph">
                <wp:posOffset>34290</wp:posOffset>
              </wp:positionV>
              <wp:extent cx="1002665" cy="264160"/>
              <wp:effectExtent l="0" t="0" r="6985" b="2540"/>
              <wp:wrapNone/>
              <wp:docPr id="220" name="תיבת טקסט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2665" cy="264160"/>
                      </a:xfrm>
                      <a:prstGeom prst="rect">
                        <a:avLst/>
                      </a:prstGeom>
                      <a:solidFill>
                        <a:srgbClr val="FFFFFF"/>
                      </a:solidFill>
                      <a:ln w="15875">
                        <a:solidFill>
                          <a:srgbClr val="000000"/>
                        </a:solidFill>
                        <a:miter lim="800000"/>
                        <a:headEnd/>
                        <a:tailEnd/>
                      </a:ln>
                    </wps:spPr>
                    <wps:txbx>
                      <w:txbxContent>
                        <w:p w14:paraId="2F930217" w14:textId="77777777" w:rsidR="00274E65" w:rsidRDefault="00274E65" w:rsidP="00C83122">
                          <w:pPr>
                            <w:rPr>
                              <w:b/>
                              <w:bCs/>
                              <w:sz w:val="18"/>
                              <w:szCs w:val="18"/>
                            </w:rPr>
                          </w:pPr>
                          <w:r>
                            <w:rPr>
                              <w:b/>
                              <w:bCs/>
                              <w:sz w:val="18"/>
                              <w:szCs w:val="18"/>
                              <w:rtl/>
                            </w:rPr>
                            <w:t>המשך בעמ' הבא</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95FB563" id="_x0000_s1066" type="#_x0000_t202" style="position:absolute;left:0;text-align:left;margin-left:3.65pt;margin-top:2.7pt;width:78.95pt;height:20.8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" strokeweight="1.25pt">
              <v:textbox>
                <w:txbxContent>
                  <w:p w14:paraId="2F930217" w14:textId="77777777" w:rsidR="00274E65" w:rsidRDefault="00274E65" w:rsidP="00C83122">
                    <w:pPr>
                      <w:rPr>
                        <w:b/>
                        <w:bCs/>
                        <w:sz w:val="18"/>
                        <w:szCs w:val="18"/>
                      </w:rPr>
                    </w:pPr>
                    <w:r>
                      <w:rPr>
                        <w:b/>
                        <w:bCs/>
                        <w:sz w:val="18"/>
                        <w:szCs w:val="18"/>
                        <w:rtl/>
                      </w:rPr>
                      <w:t>המשך בעמ' הבא</w:t>
                    </w:r>
                  </w:p>
                </w:txbxContent>
              </v:textbox>
              <w10:wrap anchorx="margin"/>
            </v:shape>
          </w:pict>
        </mc:Fallback>
      </mc:AlternateContent>
    </w:r>
  </w:p>
  <w:p w14:paraId="50E1D8FA" w14:textId="77777777" w:rsidR="00274E65" w:rsidRDefault="00274E65" w:rsidP="00C83122">
    <w:pPr>
      <w:pStyle w:val="affe"/>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F4C47" w14:textId="77777777" w:rsidR="00274E65" w:rsidRDefault="00274E65">
    <w:pPr>
      <w:pStyle w:val="affe"/>
    </w:pP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2040965693"/>
      <w:docPartObj>
        <w:docPartGallery w:val="Page Numbers (Bottom of Page)"/>
        <w:docPartUnique/>
      </w:docPartObj>
    </w:sdtPr>
    <w:sdtEndPr>
      <w:rPr>
        <w:cs/>
      </w:rPr>
    </w:sdtEndPr>
    <w:sdtContent>
      <w:p w14:paraId="0EB2EE8B" w14:textId="77777777" w:rsidR="00274E65" w:rsidRDefault="00274E65">
        <w:pPr>
          <w:pStyle w:val="affe"/>
          <w:jc w:val="right"/>
          <w:rPr>
            <w:rtl/>
            <w:cs/>
          </w:rPr>
        </w:pPr>
        <w:r>
          <w:fldChar w:fldCharType="begin"/>
        </w:r>
        <w:r>
          <w:rPr>
            <w:rtl/>
            <w:cs/>
          </w:rPr>
          <w:instrText>PAGE   \* MERGEFORMAT</w:instrText>
        </w:r>
        <w:r>
          <w:fldChar w:fldCharType="separate"/>
        </w:r>
        <w:r w:rsidRPr="006B3804">
          <w:rPr>
            <w:noProof/>
            <w:rtl/>
            <w:lang w:val="he-IL"/>
          </w:rPr>
          <w:t>2</w:t>
        </w:r>
        <w:r>
          <w:fldChar w:fldCharType="end"/>
        </w:r>
      </w:p>
    </w:sdtContent>
  </w:sdt>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93384" w14:textId="77777777" w:rsidR="00274E65" w:rsidRDefault="00274E65" w:rsidP="00C83122">
    <w:pPr>
      <w:pStyle w:val="affe"/>
    </w:pPr>
    <w:r>
      <w:rPr>
        <w:noProof/>
      </w:rPr>
      <mc:AlternateContent>
        <mc:Choice Requires="wps">
          <w:drawing>
            <wp:anchor distT="0" distB="0" distL="114300" distR="114300" simplePos="0" relativeHeight="251719680" behindDoc="0" locked="0" layoutInCell="1" allowOverlap="1" wp14:anchorId="16EAE797" wp14:editId="4CC34D58">
              <wp:simplePos x="0" y="0"/>
              <wp:positionH relativeFrom="margin">
                <wp:posOffset>3235960</wp:posOffset>
              </wp:positionH>
              <wp:positionV relativeFrom="paragraph">
                <wp:posOffset>64135</wp:posOffset>
              </wp:positionV>
              <wp:extent cx="3355975" cy="330200"/>
              <wp:effectExtent l="0" t="0" r="0" b="0"/>
              <wp:wrapNone/>
              <wp:docPr id="221" name="תיבת טקסט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5975" cy="330200"/>
                      </a:xfrm>
                      <a:prstGeom prst="rect">
                        <a:avLst/>
                      </a:prstGeom>
                      <a:solidFill>
                        <a:srgbClr val="FFFFFF"/>
                      </a:solidFill>
                      <a:ln w="19050">
                        <a:noFill/>
                        <a:miter lim="800000"/>
                        <a:headEnd/>
                        <a:tailEnd/>
                      </a:ln>
                    </wps:spPr>
                    <wps:txbx>
                      <w:txbxContent>
                        <w:p w14:paraId="3771746A" w14:textId="77777777" w:rsidR="00274E65" w:rsidRPr="00D348B7" w:rsidRDefault="00274E65" w:rsidP="00C83122">
                          <w:pPr>
                            <w:spacing w:line="240" w:lineRule="auto"/>
                            <w:jc w:val="center"/>
                            <w:rPr>
                              <w:b/>
                              <w:bCs/>
                              <w:sz w:val="16"/>
                              <w:szCs w:val="16"/>
                              <w:rtl/>
                            </w:rPr>
                          </w:pPr>
                          <w:r>
                            <w:rPr>
                              <w:b/>
                              <w:bCs/>
                              <w:sz w:val="16"/>
                              <w:szCs w:val="16"/>
                              <w:rtl/>
                            </w:rPr>
                            <w:t xml:space="preserve">שלמה </w:t>
                          </w:r>
                          <w:r w:rsidRPr="00D348B7">
                            <w:rPr>
                              <w:b/>
                              <w:bCs/>
                              <w:sz w:val="16"/>
                              <w:szCs w:val="16"/>
                              <w:rtl/>
                            </w:rPr>
                            <w:t xml:space="preserve">הנדל </w:t>
                          </w:r>
                          <w:r w:rsidRPr="00D348B7">
                            <w:rPr>
                              <w:rFonts w:hint="cs"/>
                              <w:b/>
                              <w:bCs/>
                              <w:sz w:val="16"/>
                              <w:szCs w:val="16"/>
                              <w:rtl/>
                            </w:rPr>
                            <w:t xml:space="preserve">- </w:t>
                          </w:r>
                          <w:r w:rsidRPr="00D348B7">
                            <w:rPr>
                              <w:b/>
                              <w:bCs/>
                              <w:sz w:val="16"/>
                              <w:szCs w:val="16"/>
                              <w:rtl/>
                            </w:rPr>
                            <w:t>בית הלל</w:t>
                          </w:r>
                          <w:r>
                            <w:rPr>
                              <w:b/>
                              <w:bCs/>
                              <w:sz w:val="16"/>
                              <w:szCs w:val="16"/>
                              <w:rtl/>
                            </w:rPr>
                            <w:tab/>
                          </w:r>
                          <w:r>
                            <w:rPr>
                              <w:rFonts w:hint="cs"/>
                              <w:b/>
                              <w:bCs/>
                              <w:sz w:val="16"/>
                              <w:szCs w:val="16"/>
                              <w:rtl/>
                            </w:rPr>
                            <w:t xml:space="preserve">טל: </w:t>
                          </w:r>
                          <w:r w:rsidRPr="006C5697">
                            <w:rPr>
                              <w:b/>
                              <w:bCs/>
                              <w:sz w:val="16"/>
                              <w:szCs w:val="16"/>
                              <w:rtl/>
                            </w:rPr>
                            <w:t>052-7676412</w:t>
                          </w:r>
                        </w:p>
                        <w:p w14:paraId="168BC646" w14:textId="77777777" w:rsidR="00274E65" w:rsidRPr="008D08BD" w:rsidRDefault="00AD16A0" w:rsidP="00C83122">
                          <w:pPr>
                            <w:bidi w:val="0"/>
                            <w:jc w:val="center"/>
                            <w:rPr>
                              <w:b/>
                              <w:bCs/>
                              <w:sz w:val="16"/>
                              <w:szCs w:val="16"/>
                            </w:rPr>
                          </w:pPr>
                          <w:hyperlink r:id="rId1" w:history="1">
                            <w:r w:rsidR="00274E65" w:rsidRPr="008D08BD">
                              <w:rPr>
                                <w:b/>
                                <w:bCs/>
                                <w:sz w:val="16"/>
                                <w:szCs w:val="16"/>
                              </w:rPr>
                              <w:t>A05</w:t>
                            </w:r>
                            <w:r w:rsidR="00274E65" w:rsidRPr="008D08BD">
                              <w:rPr>
                                <w:rFonts w:hint="cs"/>
                                <w:b/>
                                <w:bCs/>
                                <w:sz w:val="16"/>
                                <w:szCs w:val="16"/>
                              </w:rPr>
                              <w:t>27676412</w:t>
                            </w:r>
                            <w:r w:rsidR="00274E65" w:rsidRPr="008D08BD">
                              <w:rPr>
                                <w:b/>
                                <w:bCs/>
                                <w:sz w:val="16"/>
                                <w:szCs w:val="16"/>
                              </w:rPr>
                              <w:t>@</w:t>
                            </w:r>
                            <w:r w:rsidR="00274E65" w:rsidRPr="008D08BD">
                              <w:rPr>
                                <w:rFonts w:hint="cs"/>
                                <w:b/>
                                <w:bCs/>
                                <w:sz w:val="16"/>
                                <w:szCs w:val="16"/>
                              </w:rPr>
                              <w:t>GMAIL.COM</w:t>
                            </w:r>
                          </w:hyperlink>
                          <w:r w:rsidR="00274E65">
                            <w:rPr>
                              <w:b/>
                              <w:bCs/>
                              <w:sz w:val="16"/>
                              <w:szCs w:val="16"/>
                            </w:rPr>
                            <w:t xml:space="preserve"> </w:t>
                          </w:r>
                          <w:r w:rsidR="00274E65" w:rsidRPr="008D08BD">
                            <w:rPr>
                              <w:rFonts w:hint="cs"/>
                              <w:b/>
                              <w:bCs/>
                              <w:sz w:val="16"/>
                              <w:szCs w:val="16"/>
                              <w:rtl/>
                            </w:rPr>
                            <w:t>לקבלת המ"מ במייל נא לשלוח הודעה לכתובת:</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6EAE797" id="_x0000_t202" coordsize="21600,21600" o:spt="202" path="m,l,21600r21600,l21600,xe">
              <v:stroke joinstyle="miter"/>
              <v:path gradientshapeok="t" o:connecttype="rect"/>
            </v:shapetype>
            <v:shape id="_x0000_s1067" type="#_x0000_t202" style="position:absolute;left:0;text-align:left;margin-left:254.8pt;margin-top:5.05pt;width:264.25pt;height:26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" stroked="f" strokeweight="1.5pt">
              <v:textbox>
                <w:txbxContent>
                  <w:p w14:paraId="3771746A" w14:textId="77777777" w:rsidR="00274E65" w:rsidRPr="00D348B7" w:rsidRDefault="00274E65" w:rsidP="00C83122">
                    <w:pPr>
                      <w:spacing w:line="240" w:lineRule="auto"/>
                      <w:jc w:val="center"/>
                      <w:rPr>
                        <w:b/>
                        <w:bCs/>
                        <w:sz w:val="16"/>
                        <w:szCs w:val="16"/>
                        <w:rtl/>
                      </w:rPr>
                    </w:pPr>
                    <w:r>
                      <w:rPr>
                        <w:b/>
                        <w:bCs/>
                        <w:sz w:val="16"/>
                        <w:szCs w:val="16"/>
                        <w:rtl/>
                      </w:rPr>
                      <w:t xml:space="preserve">שלמה </w:t>
                    </w:r>
                    <w:r w:rsidRPr="00D348B7">
                      <w:rPr>
                        <w:b/>
                        <w:bCs/>
                        <w:sz w:val="16"/>
                        <w:szCs w:val="16"/>
                        <w:rtl/>
                      </w:rPr>
                      <w:t xml:space="preserve">הנדל </w:t>
                    </w:r>
                    <w:r w:rsidRPr="00D348B7">
                      <w:rPr>
                        <w:rFonts w:hint="cs"/>
                        <w:b/>
                        <w:bCs/>
                        <w:sz w:val="16"/>
                        <w:szCs w:val="16"/>
                        <w:rtl/>
                      </w:rPr>
                      <w:t xml:space="preserve">- </w:t>
                    </w:r>
                    <w:r w:rsidRPr="00D348B7">
                      <w:rPr>
                        <w:b/>
                        <w:bCs/>
                        <w:sz w:val="16"/>
                        <w:szCs w:val="16"/>
                        <w:rtl/>
                      </w:rPr>
                      <w:t>בית הלל</w:t>
                    </w:r>
                    <w:r>
                      <w:rPr>
                        <w:b/>
                        <w:bCs/>
                        <w:sz w:val="16"/>
                        <w:szCs w:val="16"/>
                        <w:rtl/>
                      </w:rPr>
                      <w:tab/>
                    </w:r>
                    <w:r>
                      <w:rPr>
                        <w:rFonts w:hint="cs"/>
                        <w:b/>
                        <w:bCs/>
                        <w:sz w:val="16"/>
                        <w:szCs w:val="16"/>
                        <w:rtl/>
                      </w:rPr>
                      <w:t xml:space="preserve">טל: </w:t>
                    </w:r>
                    <w:r w:rsidRPr="006C5697">
                      <w:rPr>
                        <w:b/>
                        <w:bCs/>
                        <w:sz w:val="16"/>
                        <w:szCs w:val="16"/>
                        <w:rtl/>
                      </w:rPr>
                      <w:t>052-7676412</w:t>
                    </w:r>
                  </w:p>
                  <w:p w14:paraId="168BC646" w14:textId="77777777" w:rsidR="00274E65" w:rsidRPr="008D08BD" w:rsidRDefault="00AD16A0" w:rsidP="00C83122">
                    <w:pPr>
                      <w:bidi w:val="0"/>
                      <w:jc w:val="center"/>
                      <w:rPr>
                        <w:b/>
                        <w:bCs/>
                        <w:sz w:val="16"/>
                        <w:szCs w:val="16"/>
                      </w:rPr>
                    </w:pPr>
                    <w:hyperlink r:id="rId2" w:history="1">
                      <w:r w:rsidR="00274E65" w:rsidRPr="008D08BD">
                        <w:rPr>
                          <w:b/>
                          <w:bCs/>
                          <w:sz w:val="16"/>
                          <w:szCs w:val="16"/>
                        </w:rPr>
                        <w:t>A05</w:t>
                      </w:r>
                      <w:r w:rsidR="00274E65" w:rsidRPr="008D08BD">
                        <w:rPr>
                          <w:rFonts w:hint="cs"/>
                          <w:b/>
                          <w:bCs/>
                          <w:sz w:val="16"/>
                          <w:szCs w:val="16"/>
                        </w:rPr>
                        <w:t>27676412</w:t>
                      </w:r>
                      <w:r w:rsidR="00274E65" w:rsidRPr="008D08BD">
                        <w:rPr>
                          <w:b/>
                          <w:bCs/>
                          <w:sz w:val="16"/>
                          <w:szCs w:val="16"/>
                        </w:rPr>
                        <w:t>@</w:t>
                      </w:r>
                      <w:r w:rsidR="00274E65" w:rsidRPr="008D08BD">
                        <w:rPr>
                          <w:rFonts w:hint="cs"/>
                          <w:b/>
                          <w:bCs/>
                          <w:sz w:val="16"/>
                          <w:szCs w:val="16"/>
                        </w:rPr>
                        <w:t>GMAIL.COM</w:t>
                      </w:r>
                    </w:hyperlink>
                    <w:r w:rsidR="00274E65">
                      <w:rPr>
                        <w:b/>
                        <w:bCs/>
                        <w:sz w:val="16"/>
                        <w:szCs w:val="16"/>
                      </w:rPr>
                      <w:t xml:space="preserve"> </w:t>
                    </w:r>
                    <w:r w:rsidR="00274E65" w:rsidRPr="008D08BD">
                      <w:rPr>
                        <w:rFonts w:hint="cs"/>
                        <w:b/>
                        <w:bCs/>
                        <w:sz w:val="16"/>
                        <w:szCs w:val="16"/>
                        <w:rtl/>
                      </w:rPr>
                      <w:t>לקבלת המ"מ במייל נא לשלוח הודעה לכתובת:</w:t>
                    </w:r>
                  </w:p>
                </w:txbxContent>
              </v:textbox>
              <w10:wrap anchorx="margin"/>
            </v:shape>
          </w:pict>
        </mc:Fallback>
      </mc:AlternateContent>
    </w:r>
    <w:r>
      <w:rPr>
        <w:noProof/>
      </w:rPr>
      <mc:AlternateContent>
        <mc:Choice Requires="wps">
          <w:drawing>
            <wp:anchor distT="0" distB="0" distL="114300" distR="114300" simplePos="0" relativeHeight="251720704" behindDoc="0" locked="0" layoutInCell="1" allowOverlap="1" wp14:anchorId="7B7AF95D" wp14:editId="37BD612B">
              <wp:simplePos x="0" y="0"/>
              <wp:positionH relativeFrom="margin">
                <wp:posOffset>46355</wp:posOffset>
              </wp:positionH>
              <wp:positionV relativeFrom="paragraph">
                <wp:posOffset>34290</wp:posOffset>
              </wp:positionV>
              <wp:extent cx="1002665" cy="264160"/>
              <wp:effectExtent l="0" t="0" r="6985" b="2540"/>
              <wp:wrapNone/>
              <wp:docPr id="222" name="תיבת טקסט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2665" cy="264160"/>
                      </a:xfrm>
                      <a:prstGeom prst="rect">
                        <a:avLst/>
                      </a:prstGeom>
                      <a:solidFill>
                        <a:srgbClr val="FFFFFF"/>
                      </a:solidFill>
                      <a:ln w="15875">
                        <a:solidFill>
                          <a:srgbClr val="000000"/>
                        </a:solidFill>
                        <a:miter lim="800000"/>
                        <a:headEnd/>
                        <a:tailEnd/>
                      </a:ln>
                    </wps:spPr>
                    <wps:txbx>
                      <w:txbxContent>
                        <w:p w14:paraId="05F875CE" w14:textId="77777777" w:rsidR="00274E65" w:rsidRDefault="00274E65" w:rsidP="00C83122">
                          <w:pPr>
                            <w:rPr>
                              <w:b/>
                              <w:bCs/>
                              <w:sz w:val="18"/>
                              <w:szCs w:val="18"/>
                            </w:rPr>
                          </w:pPr>
                          <w:r>
                            <w:rPr>
                              <w:b/>
                              <w:bCs/>
                              <w:sz w:val="18"/>
                              <w:szCs w:val="18"/>
                              <w:rtl/>
                            </w:rPr>
                            <w:t>המשך בעמ' הבא</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B7AF95D" id="_x0000_s1068" type="#_x0000_t202" style="position:absolute;left:0;text-align:left;margin-left:3.65pt;margin-top:2.7pt;width:78.95pt;height:20.8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" strokeweight="1.25pt">
              <v:textbox>
                <w:txbxContent>
                  <w:p w14:paraId="05F875CE" w14:textId="77777777" w:rsidR="00274E65" w:rsidRDefault="00274E65" w:rsidP="00C83122">
                    <w:pPr>
                      <w:rPr>
                        <w:b/>
                        <w:bCs/>
                        <w:sz w:val="18"/>
                        <w:szCs w:val="18"/>
                      </w:rPr>
                    </w:pPr>
                    <w:r>
                      <w:rPr>
                        <w:b/>
                        <w:bCs/>
                        <w:sz w:val="18"/>
                        <w:szCs w:val="18"/>
                        <w:rtl/>
                      </w:rPr>
                      <w:t>המשך בעמ' הבא</w:t>
                    </w:r>
                  </w:p>
                </w:txbxContent>
              </v:textbox>
              <w10:wrap anchorx="margin"/>
            </v:shape>
          </w:pict>
        </mc:Fallback>
      </mc:AlternateContent>
    </w:r>
  </w:p>
  <w:p w14:paraId="1A2A53BB" w14:textId="77777777" w:rsidR="00274E65" w:rsidRDefault="00274E65" w:rsidP="00C83122">
    <w:pPr>
      <w:pStyle w:val="affe"/>
    </w:pP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938560781"/>
      <w:docPartObj>
        <w:docPartGallery w:val="Page Numbers (Bottom of Page)"/>
        <w:docPartUnique/>
      </w:docPartObj>
    </w:sdtPr>
    <w:sdtEndPr>
      <w:rPr>
        <w:cs/>
      </w:rPr>
    </w:sdtEndPr>
    <w:sdtContent>
      <w:p w14:paraId="3B1C769C" w14:textId="77777777" w:rsidR="00274E65" w:rsidRDefault="00274E65">
        <w:pPr>
          <w:pStyle w:val="affe"/>
          <w:jc w:val="right"/>
          <w:rPr>
            <w:rtl/>
            <w:cs/>
          </w:rPr>
        </w:pPr>
        <w:r>
          <w:fldChar w:fldCharType="begin"/>
        </w:r>
        <w:r>
          <w:rPr>
            <w:rtl/>
            <w:cs/>
          </w:rPr>
          <w:instrText>PAGE   \* MERGEFORMAT</w:instrText>
        </w:r>
        <w:r>
          <w:fldChar w:fldCharType="separate"/>
        </w:r>
        <w:r w:rsidRPr="006B3804">
          <w:rPr>
            <w:noProof/>
            <w:rtl/>
            <w:lang w:val="he-IL"/>
          </w:rPr>
          <w:t>3</w:t>
        </w:r>
        <w:r>
          <w:fldChar w:fldCharType="end"/>
        </w:r>
      </w:p>
    </w:sdtContent>
  </w:sdt>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321864279"/>
      <w:docPartObj>
        <w:docPartGallery w:val="Page Numbers (Bottom of Page)"/>
        <w:docPartUnique/>
      </w:docPartObj>
    </w:sdtPr>
    <w:sdtEndPr>
      <w:rPr>
        <w:cs/>
      </w:rPr>
    </w:sdtEndPr>
    <w:sdtContent>
      <w:p w14:paraId="7FCD334F" w14:textId="77777777" w:rsidR="00376F67" w:rsidRDefault="00376F67">
        <w:pPr>
          <w:pStyle w:val="affe"/>
          <w:jc w:val="right"/>
          <w:rPr>
            <w:rtl/>
            <w:cs/>
          </w:rPr>
        </w:pPr>
        <w:r>
          <w:fldChar w:fldCharType="begin"/>
        </w:r>
        <w:r>
          <w:rPr>
            <w:rtl/>
            <w:cs/>
          </w:rPr>
          <w:instrText>PAGE   \* MERGEFORMAT</w:instrText>
        </w:r>
        <w:r>
          <w:fldChar w:fldCharType="separate"/>
        </w:r>
        <w:r w:rsidRPr="000D3787">
          <w:rPr>
            <w:noProof/>
            <w:rtl/>
            <w:lang w:val="he-IL"/>
          </w:rPr>
          <w:t>1</w:t>
        </w:r>
        <w:r>
          <w:fldChar w:fldCharType="end"/>
        </w:r>
      </w:p>
    </w:sdtContent>
  </w:sdt>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94068" w14:textId="77777777" w:rsidR="00376F67" w:rsidRDefault="00376F67" w:rsidP="00C83122">
    <w:pPr>
      <w:pStyle w:val="affe"/>
    </w:pPr>
    <w:r>
      <w:rPr>
        <w:noProof/>
      </w:rPr>
      <mc:AlternateContent>
        <mc:Choice Requires="wps">
          <w:drawing>
            <wp:anchor distT="0" distB="0" distL="114300" distR="114300" simplePos="0" relativeHeight="251726848" behindDoc="0" locked="0" layoutInCell="1" allowOverlap="1" wp14:anchorId="32E4816A" wp14:editId="03458DE3">
              <wp:simplePos x="0" y="0"/>
              <wp:positionH relativeFrom="margin">
                <wp:posOffset>2023110</wp:posOffset>
              </wp:positionH>
              <wp:positionV relativeFrom="paragraph">
                <wp:posOffset>3175</wp:posOffset>
              </wp:positionV>
              <wp:extent cx="4855210" cy="353060"/>
              <wp:effectExtent l="0" t="0" r="0" b="0"/>
              <wp:wrapNone/>
              <wp:docPr id="9" name="תיבת טקסט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5210" cy="353060"/>
                      </a:xfrm>
                      <a:prstGeom prst="rect">
                        <a:avLst/>
                      </a:prstGeom>
                      <a:solidFill>
                        <a:srgbClr val="FFFFFF"/>
                      </a:solidFill>
                      <a:ln w="19050">
                        <a:noFill/>
                        <a:miter lim="800000"/>
                        <a:headEnd/>
                        <a:tailEnd/>
                      </a:ln>
                    </wps:spPr>
                    <wps:txbx>
                      <w:txbxContent>
                        <w:p w14:paraId="715BEEE9" w14:textId="77777777" w:rsidR="00376F67" w:rsidRPr="002A07A0" w:rsidRDefault="00376F67" w:rsidP="00911969">
                          <w:pPr>
                            <w:spacing w:line="240" w:lineRule="auto"/>
                            <w:contextualSpacing/>
                            <w:jc w:val="center"/>
                            <w:rPr>
                              <w:b/>
                              <w:bCs/>
                              <w:sz w:val="16"/>
                              <w:szCs w:val="16"/>
                              <w:rtl/>
                            </w:rPr>
                          </w:pPr>
                          <w:r>
                            <w:rPr>
                              <w:b/>
                              <w:bCs/>
                              <w:sz w:val="16"/>
                              <w:szCs w:val="16"/>
                              <w:rtl/>
                            </w:rPr>
                            <w:t xml:space="preserve">שלמה </w:t>
                          </w:r>
                          <w:r w:rsidRPr="00D348B7">
                            <w:rPr>
                              <w:b/>
                              <w:bCs/>
                              <w:sz w:val="16"/>
                              <w:szCs w:val="16"/>
                              <w:rtl/>
                            </w:rPr>
                            <w:t xml:space="preserve">הנדל </w:t>
                          </w:r>
                          <w:r>
                            <w:rPr>
                              <w:rFonts w:hint="cs"/>
                              <w:b/>
                              <w:bCs/>
                              <w:sz w:val="16"/>
                              <w:szCs w:val="16"/>
                              <w:rtl/>
                            </w:rPr>
                            <w:t xml:space="preserve">טל: </w:t>
                          </w:r>
                          <w:r w:rsidRPr="006C5697">
                            <w:rPr>
                              <w:b/>
                              <w:bCs/>
                              <w:sz w:val="16"/>
                              <w:szCs w:val="16"/>
                              <w:rtl/>
                            </w:rPr>
                            <w:t>052-7676412</w:t>
                          </w:r>
                          <w:r>
                            <w:rPr>
                              <w:rFonts w:hint="cs"/>
                              <w:b/>
                              <w:bCs/>
                              <w:sz w:val="16"/>
                              <w:szCs w:val="16"/>
                              <w:rtl/>
                            </w:rPr>
                            <w:t xml:space="preserve"> - </w:t>
                          </w:r>
                          <w:r w:rsidRPr="002A07A0">
                            <w:rPr>
                              <w:rFonts w:hint="cs"/>
                              <w:b/>
                              <w:bCs/>
                              <w:sz w:val="16"/>
                              <w:szCs w:val="16"/>
                              <w:rtl/>
                            </w:rPr>
                            <w:t xml:space="preserve">ניתן לקבל </w:t>
                          </w:r>
                          <w:r>
                            <w:rPr>
                              <w:rFonts w:hint="cs"/>
                              <w:b/>
                              <w:bCs/>
                              <w:sz w:val="16"/>
                              <w:szCs w:val="16"/>
                              <w:rtl/>
                            </w:rPr>
                            <w:t>את המ"מ</w:t>
                          </w:r>
                          <w:r w:rsidRPr="00134080">
                            <w:rPr>
                              <w:rFonts w:hint="cs"/>
                              <w:b/>
                              <w:bCs/>
                              <w:sz w:val="16"/>
                              <w:szCs w:val="16"/>
                              <w:rtl/>
                            </w:rPr>
                            <w:t xml:space="preserve"> </w:t>
                          </w:r>
                          <w:r w:rsidRPr="002A07A0">
                            <w:rPr>
                              <w:rFonts w:hint="cs"/>
                              <w:b/>
                              <w:bCs/>
                              <w:sz w:val="16"/>
                              <w:szCs w:val="16"/>
                              <w:rtl/>
                            </w:rPr>
                            <w:t>במייל:</w:t>
                          </w:r>
                          <w:r>
                            <w:rPr>
                              <w:rFonts w:hint="cs"/>
                              <w:b/>
                              <w:bCs/>
                              <w:sz w:val="16"/>
                              <w:szCs w:val="16"/>
                              <w:rtl/>
                            </w:rPr>
                            <w:t xml:space="preserve"> </w:t>
                          </w:r>
                          <w:hyperlink r:id="rId1" w:history="1">
                            <w:r w:rsidRPr="002A07A0">
                              <w:rPr>
                                <w:rStyle w:val="Hyperlink"/>
                                <w:b/>
                                <w:bCs/>
                                <w:color w:val="auto"/>
                                <w:sz w:val="16"/>
                                <w:szCs w:val="16"/>
                                <w:u w:val="none"/>
                              </w:rPr>
                              <w:t>A05</w:t>
                            </w:r>
                            <w:r w:rsidRPr="002A07A0">
                              <w:rPr>
                                <w:rStyle w:val="Hyperlink"/>
                                <w:rFonts w:hint="cs"/>
                                <w:b/>
                                <w:bCs/>
                                <w:color w:val="auto"/>
                                <w:sz w:val="16"/>
                                <w:szCs w:val="16"/>
                                <w:u w:val="none"/>
                              </w:rPr>
                              <w:t>27676412</w:t>
                            </w:r>
                            <w:r w:rsidRPr="002A07A0">
                              <w:rPr>
                                <w:rStyle w:val="Hyperlink"/>
                                <w:b/>
                                <w:bCs/>
                                <w:color w:val="auto"/>
                                <w:sz w:val="16"/>
                                <w:szCs w:val="16"/>
                                <w:u w:val="none"/>
                              </w:rPr>
                              <w:t>@</w:t>
                            </w:r>
                            <w:r w:rsidRPr="002A07A0">
                              <w:rPr>
                                <w:rStyle w:val="Hyperlink"/>
                                <w:rFonts w:hint="cs"/>
                                <w:b/>
                                <w:bCs/>
                                <w:color w:val="auto"/>
                                <w:sz w:val="16"/>
                                <w:szCs w:val="16"/>
                                <w:u w:val="none"/>
                              </w:rPr>
                              <w:t>GMAIL.COM</w:t>
                            </w:r>
                          </w:hyperlink>
                          <w:r w:rsidRPr="002A07A0">
                            <w:rPr>
                              <w:rFonts w:hint="cs"/>
                              <w:b/>
                              <w:bCs/>
                              <w:sz w:val="16"/>
                              <w:szCs w:val="16"/>
                              <w:rtl/>
                            </w:rPr>
                            <w:t xml:space="preserve"> </w:t>
                          </w:r>
                        </w:p>
                        <w:p w14:paraId="6EE9451F" w14:textId="77777777" w:rsidR="00376F67" w:rsidRPr="008D08BD" w:rsidRDefault="00376F67" w:rsidP="00911969">
                          <w:pPr>
                            <w:spacing w:line="240" w:lineRule="auto"/>
                            <w:contextualSpacing/>
                            <w:jc w:val="center"/>
                            <w:rPr>
                              <w:b/>
                              <w:bCs/>
                              <w:sz w:val="16"/>
                              <w:szCs w:val="16"/>
                            </w:rPr>
                          </w:pPr>
                          <w:r w:rsidRPr="002A07A0">
                            <w:rPr>
                              <w:rFonts w:hint="cs"/>
                              <w:b/>
                              <w:bCs/>
                              <w:sz w:val="16"/>
                              <w:szCs w:val="16"/>
                              <w:rtl/>
                            </w:rPr>
                            <w:t xml:space="preserve">וכן </w:t>
                          </w:r>
                          <w:r>
                            <w:rPr>
                              <w:rFonts w:hint="cs"/>
                              <w:b/>
                              <w:bCs/>
                              <w:sz w:val="16"/>
                              <w:szCs w:val="16"/>
                              <w:rtl/>
                            </w:rPr>
                            <w:t xml:space="preserve">ניתן לקבל </w:t>
                          </w:r>
                          <w:r w:rsidRPr="002A07A0">
                            <w:rPr>
                              <w:rFonts w:hint="cs"/>
                              <w:b/>
                              <w:bCs/>
                              <w:sz w:val="16"/>
                              <w:szCs w:val="16"/>
                              <w:rtl/>
                            </w:rPr>
                            <w:t xml:space="preserve">את קובץ "משנתם בלשונם" </w:t>
                          </w:r>
                          <w:r>
                            <w:rPr>
                              <w:rFonts w:hint="cs"/>
                              <w:b/>
                              <w:bCs/>
                              <w:sz w:val="16"/>
                              <w:szCs w:val="16"/>
                              <w:rtl/>
                            </w:rPr>
                            <w:t>בו הובאו לשונות הראשונים והאחרונים,</w:t>
                          </w:r>
                          <w:r w:rsidRPr="008D08BD">
                            <w:rPr>
                              <w:b/>
                              <w:bCs/>
                              <w:sz w:val="16"/>
                              <w:szCs w:val="16"/>
                            </w:rPr>
                            <w:t xml:space="preserve"> </w:t>
                          </w:r>
                          <w:r>
                            <w:rPr>
                              <w:rFonts w:hint="cs"/>
                              <w:b/>
                              <w:bCs/>
                              <w:sz w:val="16"/>
                              <w:szCs w:val="16"/>
                              <w:rtl/>
                            </w:rPr>
                            <w:t>פתוחים להעתקה</w:t>
                          </w:r>
                          <w:r>
                            <w:rPr>
                              <w:b/>
                              <w:bCs/>
                              <w:sz w:val="16"/>
                              <w:szCs w:val="16"/>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2E4816A" id="_x0000_t202" coordsize="21600,21600" o:spt="202" path="m,l,21600r21600,l21600,xe">
              <v:stroke joinstyle="miter"/>
              <v:path gradientshapeok="t" o:connecttype="rect"/>
            </v:shapetype>
            <v:shape id="_x0000_s1069" type="#_x0000_t202" style="position:absolute;left:0;text-align:left;margin-left:159.3pt;margin-top:.25pt;width:382.3pt;height:27.8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" stroked="f" strokeweight="1.5pt">
              <v:textbox>
                <w:txbxContent>
                  <w:p w14:paraId="715BEEE9" w14:textId="77777777" w:rsidR="00376F67" w:rsidRPr="002A07A0" w:rsidRDefault="00376F67" w:rsidP="00911969">
                    <w:pPr>
                      <w:spacing w:line="240" w:lineRule="auto"/>
                      <w:contextualSpacing/>
                      <w:jc w:val="center"/>
                      <w:rPr>
                        <w:b/>
                        <w:bCs/>
                        <w:sz w:val="16"/>
                        <w:szCs w:val="16"/>
                        <w:rtl/>
                      </w:rPr>
                    </w:pPr>
                    <w:r>
                      <w:rPr>
                        <w:b/>
                        <w:bCs/>
                        <w:sz w:val="16"/>
                        <w:szCs w:val="16"/>
                        <w:rtl/>
                      </w:rPr>
                      <w:t xml:space="preserve">שלמה </w:t>
                    </w:r>
                    <w:r w:rsidRPr="00D348B7">
                      <w:rPr>
                        <w:b/>
                        <w:bCs/>
                        <w:sz w:val="16"/>
                        <w:szCs w:val="16"/>
                        <w:rtl/>
                      </w:rPr>
                      <w:t xml:space="preserve">הנדל </w:t>
                    </w:r>
                    <w:r>
                      <w:rPr>
                        <w:rFonts w:hint="cs"/>
                        <w:b/>
                        <w:bCs/>
                        <w:sz w:val="16"/>
                        <w:szCs w:val="16"/>
                        <w:rtl/>
                      </w:rPr>
                      <w:t xml:space="preserve">טל: </w:t>
                    </w:r>
                    <w:r w:rsidRPr="006C5697">
                      <w:rPr>
                        <w:b/>
                        <w:bCs/>
                        <w:sz w:val="16"/>
                        <w:szCs w:val="16"/>
                        <w:rtl/>
                      </w:rPr>
                      <w:t>052-7676412</w:t>
                    </w:r>
                    <w:r>
                      <w:rPr>
                        <w:rFonts w:hint="cs"/>
                        <w:b/>
                        <w:bCs/>
                        <w:sz w:val="16"/>
                        <w:szCs w:val="16"/>
                        <w:rtl/>
                      </w:rPr>
                      <w:t xml:space="preserve"> - </w:t>
                    </w:r>
                    <w:r w:rsidRPr="002A07A0">
                      <w:rPr>
                        <w:rFonts w:hint="cs"/>
                        <w:b/>
                        <w:bCs/>
                        <w:sz w:val="16"/>
                        <w:szCs w:val="16"/>
                        <w:rtl/>
                      </w:rPr>
                      <w:t xml:space="preserve">ניתן לקבל </w:t>
                    </w:r>
                    <w:r>
                      <w:rPr>
                        <w:rFonts w:hint="cs"/>
                        <w:b/>
                        <w:bCs/>
                        <w:sz w:val="16"/>
                        <w:szCs w:val="16"/>
                        <w:rtl/>
                      </w:rPr>
                      <w:t>את המ"מ</w:t>
                    </w:r>
                    <w:r w:rsidRPr="00134080">
                      <w:rPr>
                        <w:rFonts w:hint="cs"/>
                        <w:b/>
                        <w:bCs/>
                        <w:sz w:val="16"/>
                        <w:szCs w:val="16"/>
                        <w:rtl/>
                      </w:rPr>
                      <w:t xml:space="preserve"> </w:t>
                    </w:r>
                    <w:r w:rsidRPr="002A07A0">
                      <w:rPr>
                        <w:rFonts w:hint="cs"/>
                        <w:b/>
                        <w:bCs/>
                        <w:sz w:val="16"/>
                        <w:szCs w:val="16"/>
                        <w:rtl/>
                      </w:rPr>
                      <w:t>במייל:</w:t>
                    </w:r>
                    <w:r>
                      <w:rPr>
                        <w:rFonts w:hint="cs"/>
                        <w:b/>
                        <w:bCs/>
                        <w:sz w:val="16"/>
                        <w:szCs w:val="16"/>
                        <w:rtl/>
                      </w:rPr>
                      <w:t xml:space="preserve"> </w:t>
                    </w:r>
                    <w:hyperlink r:id="rId2" w:history="1">
                      <w:r w:rsidRPr="002A07A0">
                        <w:rPr>
                          <w:rStyle w:val="Hyperlink"/>
                          <w:b/>
                          <w:bCs/>
                          <w:color w:val="auto"/>
                          <w:sz w:val="16"/>
                          <w:szCs w:val="16"/>
                          <w:u w:val="none"/>
                        </w:rPr>
                        <w:t>A05</w:t>
                      </w:r>
                      <w:r w:rsidRPr="002A07A0">
                        <w:rPr>
                          <w:rStyle w:val="Hyperlink"/>
                          <w:rFonts w:hint="cs"/>
                          <w:b/>
                          <w:bCs/>
                          <w:color w:val="auto"/>
                          <w:sz w:val="16"/>
                          <w:szCs w:val="16"/>
                          <w:u w:val="none"/>
                        </w:rPr>
                        <w:t>27676412</w:t>
                      </w:r>
                      <w:r w:rsidRPr="002A07A0">
                        <w:rPr>
                          <w:rStyle w:val="Hyperlink"/>
                          <w:b/>
                          <w:bCs/>
                          <w:color w:val="auto"/>
                          <w:sz w:val="16"/>
                          <w:szCs w:val="16"/>
                          <w:u w:val="none"/>
                        </w:rPr>
                        <w:t>@</w:t>
                      </w:r>
                      <w:r w:rsidRPr="002A07A0">
                        <w:rPr>
                          <w:rStyle w:val="Hyperlink"/>
                          <w:rFonts w:hint="cs"/>
                          <w:b/>
                          <w:bCs/>
                          <w:color w:val="auto"/>
                          <w:sz w:val="16"/>
                          <w:szCs w:val="16"/>
                          <w:u w:val="none"/>
                        </w:rPr>
                        <w:t>GMAIL.COM</w:t>
                      </w:r>
                    </w:hyperlink>
                    <w:r w:rsidRPr="002A07A0">
                      <w:rPr>
                        <w:rFonts w:hint="cs"/>
                        <w:b/>
                        <w:bCs/>
                        <w:sz w:val="16"/>
                        <w:szCs w:val="16"/>
                        <w:rtl/>
                      </w:rPr>
                      <w:t xml:space="preserve"> </w:t>
                    </w:r>
                  </w:p>
                  <w:p w14:paraId="6EE9451F" w14:textId="77777777" w:rsidR="00376F67" w:rsidRPr="008D08BD" w:rsidRDefault="00376F67" w:rsidP="00911969">
                    <w:pPr>
                      <w:spacing w:line="240" w:lineRule="auto"/>
                      <w:contextualSpacing/>
                      <w:jc w:val="center"/>
                      <w:rPr>
                        <w:b/>
                        <w:bCs/>
                        <w:sz w:val="16"/>
                        <w:szCs w:val="16"/>
                      </w:rPr>
                    </w:pPr>
                    <w:r w:rsidRPr="002A07A0">
                      <w:rPr>
                        <w:rFonts w:hint="cs"/>
                        <w:b/>
                        <w:bCs/>
                        <w:sz w:val="16"/>
                        <w:szCs w:val="16"/>
                        <w:rtl/>
                      </w:rPr>
                      <w:t xml:space="preserve">וכן </w:t>
                    </w:r>
                    <w:r>
                      <w:rPr>
                        <w:rFonts w:hint="cs"/>
                        <w:b/>
                        <w:bCs/>
                        <w:sz w:val="16"/>
                        <w:szCs w:val="16"/>
                        <w:rtl/>
                      </w:rPr>
                      <w:t xml:space="preserve">ניתן לקבל </w:t>
                    </w:r>
                    <w:r w:rsidRPr="002A07A0">
                      <w:rPr>
                        <w:rFonts w:hint="cs"/>
                        <w:b/>
                        <w:bCs/>
                        <w:sz w:val="16"/>
                        <w:szCs w:val="16"/>
                        <w:rtl/>
                      </w:rPr>
                      <w:t xml:space="preserve">את קובץ "משנתם בלשונם" </w:t>
                    </w:r>
                    <w:r>
                      <w:rPr>
                        <w:rFonts w:hint="cs"/>
                        <w:b/>
                        <w:bCs/>
                        <w:sz w:val="16"/>
                        <w:szCs w:val="16"/>
                        <w:rtl/>
                      </w:rPr>
                      <w:t>בו הובאו לשונות הראשונים והאחרונים,</w:t>
                    </w:r>
                    <w:r w:rsidRPr="008D08BD">
                      <w:rPr>
                        <w:b/>
                        <w:bCs/>
                        <w:sz w:val="16"/>
                        <w:szCs w:val="16"/>
                      </w:rPr>
                      <w:t xml:space="preserve"> </w:t>
                    </w:r>
                    <w:r>
                      <w:rPr>
                        <w:rFonts w:hint="cs"/>
                        <w:b/>
                        <w:bCs/>
                        <w:sz w:val="16"/>
                        <w:szCs w:val="16"/>
                        <w:rtl/>
                      </w:rPr>
                      <w:t>פתוחים להעתקה</w:t>
                    </w:r>
                    <w:r>
                      <w:rPr>
                        <w:b/>
                        <w:bCs/>
                        <w:sz w:val="16"/>
                        <w:szCs w:val="16"/>
                      </w:rPr>
                      <w:t>.</w:t>
                    </w:r>
                  </w:p>
                </w:txbxContent>
              </v:textbox>
              <w10:wrap anchorx="margin"/>
            </v:shape>
          </w:pict>
        </mc:Fallback>
      </mc:AlternateContent>
    </w:r>
    <w:r>
      <w:rPr>
        <w:noProof/>
      </w:rPr>
      <mc:AlternateContent>
        <mc:Choice Requires="wps">
          <w:drawing>
            <wp:anchor distT="0" distB="0" distL="114300" distR="114300" simplePos="0" relativeHeight="251723776" behindDoc="0" locked="0" layoutInCell="1" allowOverlap="1" wp14:anchorId="1E60F0CB" wp14:editId="08025F7D">
              <wp:simplePos x="0" y="0"/>
              <wp:positionH relativeFrom="margin">
                <wp:posOffset>46355</wp:posOffset>
              </wp:positionH>
              <wp:positionV relativeFrom="paragraph">
                <wp:posOffset>34290</wp:posOffset>
              </wp:positionV>
              <wp:extent cx="1002665" cy="264160"/>
              <wp:effectExtent l="0" t="0" r="6985" b="2540"/>
              <wp:wrapNone/>
              <wp:docPr id="10" name="תיבת טקסט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2665" cy="264160"/>
                      </a:xfrm>
                      <a:prstGeom prst="rect">
                        <a:avLst/>
                      </a:prstGeom>
                      <a:solidFill>
                        <a:srgbClr val="FFFFFF"/>
                      </a:solidFill>
                      <a:ln w="15875">
                        <a:solidFill>
                          <a:srgbClr val="000000"/>
                        </a:solidFill>
                        <a:miter lim="800000"/>
                        <a:headEnd/>
                        <a:tailEnd/>
                      </a:ln>
                    </wps:spPr>
                    <wps:txbx>
                      <w:txbxContent>
                        <w:p w14:paraId="54B6A0A7" w14:textId="77777777" w:rsidR="00376F67" w:rsidRDefault="00376F67" w:rsidP="00C83122">
                          <w:pPr>
                            <w:rPr>
                              <w:b/>
                              <w:bCs/>
                              <w:sz w:val="18"/>
                              <w:szCs w:val="18"/>
                            </w:rPr>
                          </w:pPr>
                          <w:r>
                            <w:rPr>
                              <w:b/>
                              <w:bCs/>
                              <w:sz w:val="18"/>
                              <w:szCs w:val="18"/>
                              <w:rtl/>
                            </w:rPr>
                            <w:t>המשך בעמ' הבא</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60F0CB" id="_x0000_s1070" type="#_x0000_t202" style="position:absolute;left:0;text-align:left;margin-left:3.65pt;margin-top:2.7pt;width:78.95pt;height:20.8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" strokeweight="1.25pt">
              <v:textbox>
                <w:txbxContent>
                  <w:p w14:paraId="54B6A0A7" w14:textId="77777777" w:rsidR="00376F67" w:rsidRDefault="00376F67" w:rsidP="00C83122">
                    <w:pPr>
                      <w:rPr>
                        <w:b/>
                        <w:bCs/>
                        <w:sz w:val="18"/>
                        <w:szCs w:val="18"/>
                      </w:rPr>
                    </w:pPr>
                    <w:r>
                      <w:rPr>
                        <w:b/>
                        <w:bCs/>
                        <w:sz w:val="18"/>
                        <w:szCs w:val="18"/>
                        <w:rtl/>
                      </w:rPr>
                      <w:t>המשך בעמ' הבא</w:t>
                    </w:r>
                  </w:p>
                </w:txbxContent>
              </v:textbox>
              <w10:wrap anchorx="margin"/>
            </v:shape>
          </w:pict>
        </mc:Fallback>
      </mc:AlternateContent>
    </w:r>
  </w:p>
  <w:p w14:paraId="58389A31" w14:textId="77777777" w:rsidR="00376F67" w:rsidRDefault="00376F67" w:rsidP="00C83122">
    <w:pPr>
      <w:pStyle w:val="affe"/>
    </w:pP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90D6D" w14:textId="77777777" w:rsidR="00376F67" w:rsidRDefault="00376F67">
    <w:pPr>
      <w:pStyle w:val="affe"/>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493823943"/>
      <w:docPartObj>
        <w:docPartGallery w:val="Page Numbers (Bottom of Page)"/>
        <w:docPartUnique/>
      </w:docPartObj>
    </w:sdtPr>
    <w:sdtEndPr>
      <w:rPr>
        <w:cs/>
      </w:rPr>
    </w:sdtEndPr>
    <w:sdtContent>
      <w:p w14:paraId="0F07237D" w14:textId="77777777" w:rsidR="00376F67" w:rsidRDefault="00376F67">
        <w:pPr>
          <w:pStyle w:val="affe"/>
          <w:jc w:val="right"/>
          <w:rPr>
            <w:rtl/>
            <w:cs/>
          </w:rPr>
        </w:pPr>
        <w:r>
          <w:fldChar w:fldCharType="begin"/>
        </w:r>
        <w:r>
          <w:rPr>
            <w:rtl/>
            <w:cs/>
          </w:rPr>
          <w:instrText>PAGE   \* MERGEFORMAT</w:instrText>
        </w:r>
        <w:r>
          <w:fldChar w:fldCharType="separate"/>
        </w:r>
        <w:r w:rsidRPr="006B3804">
          <w:rPr>
            <w:noProof/>
            <w:rtl/>
            <w:lang w:val="he-IL"/>
          </w:rPr>
          <w:t>2</w:t>
        </w:r>
        <w:r>
          <w:fldChar w:fldCharType="end"/>
        </w:r>
      </w:p>
    </w:sdtContent>
  </w:sdt>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E1100" w14:textId="77777777" w:rsidR="00376F67" w:rsidRDefault="00376F67" w:rsidP="00C83122">
    <w:pPr>
      <w:pStyle w:val="affe"/>
    </w:pPr>
    <w:r>
      <w:rPr>
        <w:noProof/>
      </w:rPr>
      <mc:AlternateContent>
        <mc:Choice Requires="wps">
          <w:drawing>
            <wp:anchor distT="0" distB="0" distL="114300" distR="114300" simplePos="0" relativeHeight="251724800" behindDoc="0" locked="0" layoutInCell="1" allowOverlap="1" wp14:anchorId="5E15EA51" wp14:editId="09CB1034">
              <wp:simplePos x="0" y="0"/>
              <wp:positionH relativeFrom="margin">
                <wp:posOffset>3235960</wp:posOffset>
              </wp:positionH>
              <wp:positionV relativeFrom="paragraph">
                <wp:posOffset>64135</wp:posOffset>
              </wp:positionV>
              <wp:extent cx="3355975" cy="330200"/>
              <wp:effectExtent l="0" t="0" r="0" b="0"/>
              <wp:wrapNone/>
              <wp:docPr id="11" name="תיבת טקסט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5975" cy="330200"/>
                      </a:xfrm>
                      <a:prstGeom prst="rect">
                        <a:avLst/>
                      </a:prstGeom>
                      <a:solidFill>
                        <a:srgbClr val="FFFFFF"/>
                      </a:solidFill>
                      <a:ln w="19050">
                        <a:noFill/>
                        <a:miter lim="800000"/>
                        <a:headEnd/>
                        <a:tailEnd/>
                      </a:ln>
                    </wps:spPr>
                    <wps:txbx>
                      <w:txbxContent>
                        <w:p w14:paraId="4F8F226C" w14:textId="77777777" w:rsidR="00376F67" w:rsidRPr="00D348B7" w:rsidRDefault="00376F67" w:rsidP="00C83122">
                          <w:pPr>
                            <w:spacing w:line="240" w:lineRule="auto"/>
                            <w:jc w:val="center"/>
                            <w:rPr>
                              <w:b/>
                              <w:bCs/>
                              <w:sz w:val="16"/>
                              <w:szCs w:val="16"/>
                              <w:rtl/>
                            </w:rPr>
                          </w:pPr>
                          <w:r>
                            <w:rPr>
                              <w:b/>
                              <w:bCs/>
                              <w:sz w:val="16"/>
                              <w:szCs w:val="16"/>
                              <w:rtl/>
                            </w:rPr>
                            <w:t xml:space="preserve">שלמה </w:t>
                          </w:r>
                          <w:r w:rsidRPr="00D348B7">
                            <w:rPr>
                              <w:b/>
                              <w:bCs/>
                              <w:sz w:val="16"/>
                              <w:szCs w:val="16"/>
                              <w:rtl/>
                            </w:rPr>
                            <w:t xml:space="preserve">הנדל </w:t>
                          </w:r>
                          <w:r w:rsidRPr="00D348B7">
                            <w:rPr>
                              <w:rFonts w:hint="cs"/>
                              <w:b/>
                              <w:bCs/>
                              <w:sz w:val="16"/>
                              <w:szCs w:val="16"/>
                              <w:rtl/>
                            </w:rPr>
                            <w:t xml:space="preserve">- </w:t>
                          </w:r>
                          <w:r w:rsidRPr="00D348B7">
                            <w:rPr>
                              <w:b/>
                              <w:bCs/>
                              <w:sz w:val="16"/>
                              <w:szCs w:val="16"/>
                              <w:rtl/>
                            </w:rPr>
                            <w:t>בית הלל</w:t>
                          </w:r>
                          <w:r>
                            <w:rPr>
                              <w:b/>
                              <w:bCs/>
                              <w:sz w:val="16"/>
                              <w:szCs w:val="16"/>
                              <w:rtl/>
                            </w:rPr>
                            <w:tab/>
                          </w:r>
                          <w:r>
                            <w:rPr>
                              <w:rFonts w:hint="cs"/>
                              <w:b/>
                              <w:bCs/>
                              <w:sz w:val="16"/>
                              <w:szCs w:val="16"/>
                              <w:rtl/>
                            </w:rPr>
                            <w:t xml:space="preserve">טל: </w:t>
                          </w:r>
                          <w:r w:rsidRPr="006C5697">
                            <w:rPr>
                              <w:b/>
                              <w:bCs/>
                              <w:sz w:val="16"/>
                              <w:szCs w:val="16"/>
                              <w:rtl/>
                            </w:rPr>
                            <w:t>052-7676412</w:t>
                          </w:r>
                        </w:p>
                        <w:p w14:paraId="41286E2A" w14:textId="77777777" w:rsidR="00376F67" w:rsidRPr="008D08BD" w:rsidRDefault="00376F67" w:rsidP="00C83122">
                          <w:pPr>
                            <w:bidi w:val="0"/>
                            <w:jc w:val="center"/>
                            <w:rPr>
                              <w:b/>
                              <w:bCs/>
                              <w:sz w:val="16"/>
                              <w:szCs w:val="16"/>
                            </w:rPr>
                          </w:pPr>
                          <w:hyperlink r:id="rId1" w:history="1">
                            <w:r w:rsidRPr="008D08BD">
                              <w:rPr>
                                <w:b/>
                                <w:bCs/>
                                <w:sz w:val="16"/>
                                <w:szCs w:val="16"/>
                              </w:rPr>
                              <w:t>A05</w:t>
                            </w:r>
                            <w:r w:rsidRPr="008D08BD">
                              <w:rPr>
                                <w:rFonts w:hint="cs"/>
                                <w:b/>
                                <w:bCs/>
                                <w:sz w:val="16"/>
                                <w:szCs w:val="16"/>
                              </w:rPr>
                              <w:t>27676412</w:t>
                            </w:r>
                            <w:r w:rsidRPr="008D08BD">
                              <w:rPr>
                                <w:b/>
                                <w:bCs/>
                                <w:sz w:val="16"/>
                                <w:szCs w:val="16"/>
                              </w:rPr>
                              <w:t>@</w:t>
                            </w:r>
                            <w:r w:rsidRPr="008D08BD">
                              <w:rPr>
                                <w:rFonts w:hint="cs"/>
                                <w:b/>
                                <w:bCs/>
                                <w:sz w:val="16"/>
                                <w:szCs w:val="16"/>
                              </w:rPr>
                              <w:t>GMAIL.COM</w:t>
                            </w:r>
                          </w:hyperlink>
                          <w:r>
                            <w:rPr>
                              <w:b/>
                              <w:bCs/>
                              <w:sz w:val="16"/>
                              <w:szCs w:val="16"/>
                            </w:rPr>
                            <w:t xml:space="preserve"> </w:t>
                          </w:r>
                          <w:r w:rsidRPr="008D08BD">
                            <w:rPr>
                              <w:rFonts w:hint="cs"/>
                              <w:b/>
                              <w:bCs/>
                              <w:sz w:val="16"/>
                              <w:szCs w:val="16"/>
                              <w:rtl/>
                            </w:rPr>
                            <w:t>לקבלת המ"מ במייל נא לשלוח הודעה לכתובת:</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E15EA51" id="_x0000_t202" coordsize="21600,21600" o:spt="202" path="m,l,21600r21600,l21600,xe">
              <v:stroke joinstyle="miter"/>
              <v:path gradientshapeok="t" o:connecttype="rect"/>
            </v:shapetype>
            <v:shape id="_x0000_s1071" type="#_x0000_t202" style="position:absolute;left:0;text-align:left;margin-left:254.8pt;margin-top:5.05pt;width:264.25pt;height:26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" stroked="f" strokeweight="1.5pt">
              <v:textbox>
                <w:txbxContent>
                  <w:p w14:paraId="4F8F226C" w14:textId="77777777" w:rsidR="00376F67" w:rsidRPr="00D348B7" w:rsidRDefault="00376F67" w:rsidP="00C83122">
                    <w:pPr>
                      <w:spacing w:line="240" w:lineRule="auto"/>
                      <w:jc w:val="center"/>
                      <w:rPr>
                        <w:b/>
                        <w:bCs/>
                        <w:sz w:val="16"/>
                        <w:szCs w:val="16"/>
                        <w:rtl/>
                      </w:rPr>
                    </w:pPr>
                    <w:r>
                      <w:rPr>
                        <w:b/>
                        <w:bCs/>
                        <w:sz w:val="16"/>
                        <w:szCs w:val="16"/>
                        <w:rtl/>
                      </w:rPr>
                      <w:t xml:space="preserve">שלמה </w:t>
                    </w:r>
                    <w:r w:rsidRPr="00D348B7">
                      <w:rPr>
                        <w:b/>
                        <w:bCs/>
                        <w:sz w:val="16"/>
                        <w:szCs w:val="16"/>
                        <w:rtl/>
                      </w:rPr>
                      <w:t xml:space="preserve">הנדל </w:t>
                    </w:r>
                    <w:r w:rsidRPr="00D348B7">
                      <w:rPr>
                        <w:rFonts w:hint="cs"/>
                        <w:b/>
                        <w:bCs/>
                        <w:sz w:val="16"/>
                        <w:szCs w:val="16"/>
                        <w:rtl/>
                      </w:rPr>
                      <w:t xml:space="preserve">- </w:t>
                    </w:r>
                    <w:r w:rsidRPr="00D348B7">
                      <w:rPr>
                        <w:b/>
                        <w:bCs/>
                        <w:sz w:val="16"/>
                        <w:szCs w:val="16"/>
                        <w:rtl/>
                      </w:rPr>
                      <w:t>בית הלל</w:t>
                    </w:r>
                    <w:r>
                      <w:rPr>
                        <w:b/>
                        <w:bCs/>
                        <w:sz w:val="16"/>
                        <w:szCs w:val="16"/>
                        <w:rtl/>
                      </w:rPr>
                      <w:tab/>
                    </w:r>
                    <w:r>
                      <w:rPr>
                        <w:rFonts w:hint="cs"/>
                        <w:b/>
                        <w:bCs/>
                        <w:sz w:val="16"/>
                        <w:szCs w:val="16"/>
                        <w:rtl/>
                      </w:rPr>
                      <w:t xml:space="preserve">טל: </w:t>
                    </w:r>
                    <w:r w:rsidRPr="006C5697">
                      <w:rPr>
                        <w:b/>
                        <w:bCs/>
                        <w:sz w:val="16"/>
                        <w:szCs w:val="16"/>
                        <w:rtl/>
                      </w:rPr>
                      <w:t>052-7676412</w:t>
                    </w:r>
                  </w:p>
                  <w:p w14:paraId="41286E2A" w14:textId="77777777" w:rsidR="00376F67" w:rsidRPr="008D08BD" w:rsidRDefault="00376F67" w:rsidP="00C83122">
                    <w:pPr>
                      <w:bidi w:val="0"/>
                      <w:jc w:val="center"/>
                      <w:rPr>
                        <w:b/>
                        <w:bCs/>
                        <w:sz w:val="16"/>
                        <w:szCs w:val="16"/>
                      </w:rPr>
                    </w:pPr>
                    <w:hyperlink r:id="rId2" w:history="1">
                      <w:r w:rsidRPr="008D08BD">
                        <w:rPr>
                          <w:b/>
                          <w:bCs/>
                          <w:sz w:val="16"/>
                          <w:szCs w:val="16"/>
                        </w:rPr>
                        <w:t>A05</w:t>
                      </w:r>
                      <w:r w:rsidRPr="008D08BD">
                        <w:rPr>
                          <w:rFonts w:hint="cs"/>
                          <w:b/>
                          <w:bCs/>
                          <w:sz w:val="16"/>
                          <w:szCs w:val="16"/>
                        </w:rPr>
                        <w:t>27676412</w:t>
                      </w:r>
                      <w:r w:rsidRPr="008D08BD">
                        <w:rPr>
                          <w:b/>
                          <w:bCs/>
                          <w:sz w:val="16"/>
                          <w:szCs w:val="16"/>
                        </w:rPr>
                        <w:t>@</w:t>
                      </w:r>
                      <w:r w:rsidRPr="008D08BD">
                        <w:rPr>
                          <w:rFonts w:hint="cs"/>
                          <w:b/>
                          <w:bCs/>
                          <w:sz w:val="16"/>
                          <w:szCs w:val="16"/>
                        </w:rPr>
                        <w:t>GMAIL.COM</w:t>
                      </w:r>
                    </w:hyperlink>
                    <w:r>
                      <w:rPr>
                        <w:b/>
                        <w:bCs/>
                        <w:sz w:val="16"/>
                        <w:szCs w:val="16"/>
                      </w:rPr>
                      <w:t xml:space="preserve"> </w:t>
                    </w:r>
                    <w:r w:rsidRPr="008D08BD">
                      <w:rPr>
                        <w:rFonts w:hint="cs"/>
                        <w:b/>
                        <w:bCs/>
                        <w:sz w:val="16"/>
                        <w:szCs w:val="16"/>
                        <w:rtl/>
                      </w:rPr>
                      <w:t>לקבלת המ"מ במייל נא לשלוח הודעה לכתובת:</w:t>
                    </w:r>
                  </w:p>
                </w:txbxContent>
              </v:textbox>
              <w10:wrap anchorx="margin"/>
            </v:shape>
          </w:pict>
        </mc:Fallback>
      </mc:AlternateContent>
    </w:r>
    <w:r>
      <w:rPr>
        <w:noProof/>
      </w:rPr>
      <mc:AlternateContent>
        <mc:Choice Requires="wps">
          <w:drawing>
            <wp:anchor distT="0" distB="0" distL="114300" distR="114300" simplePos="0" relativeHeight="251725824" behindDoc="0" locked="0" layoutInCell="1" allowOverlap="1" wp14:anchorId="4E394826" wp14:editId="0691A88F">
              <wp:simplePos x="0" y="0"/>
              <wp:positionH relativeFrom="margin">
                <wp:posOffset>46355</wp:posOffset>
              </wp:positionH>
              <wp:positionV relativeFrom="paragraph">
                <wp:posOffset>34290</wp:posOffset>
              </wp:positionV>
              <wp:extent cx="1002665" cy="264160"/>
              <wp:effectExtent l="0" t="0" r="6985" b="2540"/>
              <wp:wrapNone/>
              <wp:docPr id="12" name="תיבת טקסט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2665" cy="264160"/>
                      </a:xfrm>
                      <a:prstGeom prst="rect">
                        <a:avLst/>
                      </a:prstGeom>
                      <a:solidFill>
                        <a:srgbClr val="FFFFFF"/>
                      </a:solidFill>
                      <a:ln w="15875">
                        <a:solidFill>
                          <a:srgbClr val="000000"/>
                        </a:solidFill>
                        <a:miter lim="800000"/>
                        <a:headEnd/>
                        <a:tailEnd/>
                      </a:ln>
                    </wps:spPr>
                    <wps:txbx>
                      <w:txbxContent>
                        <w:p w14:paraId="5A91959C" w14:textId="77777777" w:rsidR="00376F67" w:rsidRDefault="00376F67" w:rsidP="00C83122">
                          <w:pPr>
                            <w:rPr>
                              <w:b/>
                              <w:bCs/>
                              <w:sz w:val="18"/>
                              <w:szCs w:val="18"/>
                            </w:rPr>
                          </w:pPr>
                          <w:r>
                            <w:rPr>
                              <w:b/>
                              <w:bCs/>
                              <w:sz w:val="18"/>
                              <w:szCs w:val="18"/>
                              <w:rtl/>
                            </w:rPr>
                            <w:t>המשך בעמ' הבא</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E394826" id="_x0000_s1072" type="#_x0000_t202" style="position:absolute;left:0;text-align:left;margin-left:3.65pt;margin-top:2.7pt;width:78.95pt;height:20.8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" strokeweight="1.25pt">
              <v:textbox>
                <w:txbxContent>
                  <w:p w14:paraId="5A91959C" w14:textId="77777777" w:rsidR="00376F67" w:rsidRDefault="00376F67" w:rsidP="00C83122">
                    <w:pPr>
                      <w:rPr>
                        <w:b/>
                        <w:bCs/>
                        <w:sz w:val="18"/>
                        <w:szCs w:val="18"/>
                      </w:rPr>
                    </w:pPr>
                    <w:r>
                      <w:rPr>
                        <w:b/>
                        <w:bCs/>
                        <w:sz w:val="18"/>
                        <w:szCs w:val="18"/>
                        <w:rtl/>
                      </w:rPr>
                      <w:t>המשך בעמ' הבא</w:t>
                    </w:r>
                  </w:p>
                </w:txbxContent>
              </v:textbox>
              <w10:wrap anchorx="margin"/>
            </v:shape>
          </w:pict>
        </mc:Fallback>
      </mc:AlternateContent>
    </w:r>
  </w:p>
  <w:p w14:paraId="48BEE6FF" w14:textId="77777777" w:rsidR="00376F67" w:rsidRDefault="00376F67" w:rsidP="00C83122">
    <w:pPr>
      <w:pStyle w:val="affe"/>
    </w:pP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733086018"/>
      <w:docPartObj>
        <w:docPartGallery w:val="Page Numbers (Bottom of Page)"/>
        <w:docPartUnique/>
      </w:docPartObj>
    </w:sdtPr>
    <w:sdtEndPr>
      <w:rPr>
        <w:cs/>
      </w:rPr>
    </w:sdtEndPr>
    <w:sdtContent>
      <w:p w14:paraId="3660DB27" w14:textId="77777777" w:rsidR="00376F67" w:rsidRDefault="00376F67">
        <w:pPr>
          <w:pStyle w:val="affe"/>
          <w:jc w:val="right"/>
          <w:rPr>
            <w:rtl/>
            <w:cs/>
          </w:rPr>
        </w:pPr>
        <w:r>
          <w:fldChar w:fldCharType="begin"/>
        </w:r>
        <w:r>
          <w:rPr>
            <w:rtl/>
            <w:cs/>
          </w:rPr>
          <w:instrText>PAGE   \* MERGEFORMAT</w:instrText>
        </w:r>
        <w:r>
          <w:fldChar w:fldCharType="separate"/>
        </w:r>
        <w:r w:rsidRPr="006B3804">
          <w:rPr>
            <w:noProof/>
            <w:rtl/>
            <w:lang w:val="he-IL"/>
          </w:rPr>
          <w:t>3</w:t>
        </w:r>
        <w:r>
          <w:fldChar w:fldCharType="end"/>
        </w:r>
      </w:p>
    </w:sdtContent>
  </w:sdt>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556658470"/>
      <w:docPartObj>
        <w:docPartGallery w:val="Page Numbers (Bottom of Page)"/>
        <w:docPartUnique/>
      </w:docPartObj>
    </w:sdtPr>
    <w:sdtEndPr>
      <w:rPr>
        <w:cs/>
      </w:rPr>
    </w:sdtEndPr>
    <w:sdtContent>
      <w:p w14:paraId="1A937F35" w14:textId="77777777" w:rsidR="00A14FDA" w:rsidRDefault="00A14FDA">
        <w:pPr>
          <w:pStyle w:val="affe"/>
          <w:jc w:val="right"/>
          <w:rPr>
            <w:rtl/>
            <w:cs/>
          </w:rPr>
        </w:pPr>
        <w:r>
          <w:fldChar w:fldCharType="begin"/>
        </w:r>
        <w:r>
          <w:rPr>
            <w:rtl/>
            <w:cs/>
          </w:rPr>
          <w:instrText>PAGE   \* MERGEFORMAT</w:instrText>
        </w:r>
        <w:r>
          <w:fldChar w:fldCharType="separate"/>
        </w:r>
        <w:r w:rsidRPr="000D3787">
          <w:rPr>
            <w:noProof/>
            <w:rtl/>
            <w:lang w:val="he-IL"/>
          </w:rPr>
          <w:t>1</w:t>
        </w:r>
        <w:r>
          <w:fldChar w:fldCharType="end"/>
        </w:r>
      </w:p>
    </w:sdtContent>
  </w:sdt>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ADCA9" w14:textId="48C32D83" w:rsidR="00A14FDA" w:rsidRDefault="00A14FDA" w:rsidP="00C83122">
    <w:pPr>
      <w:pStyle w:val="affe"/>
    </w:pPr>
    <w:r>
      <w:rPr>
        <w:noProof/>
      </w:rPr>
      <mc:AlternateContent>
        <mc:Choice Requires="wps">
          <w:drawing>
            <wp:anchor distT="0" distB="0" distL="114300" distR="114300" simplePos="0" relativeHeight="251731968" behindDoc="0" locked="0" layoutInCell="1" allowOverlap="1" wp14:anchorId="092C4F32" wp14:editId="170F808C">
              <wp:simplePos x="0" y="0"/>
              <wp:positionH relativeFrom="margin">
                <wp:posOffset>2023110</wp:posOffset>
              </wp:positionH>
              <wp:positionV relativeFrom="paragraph">
                <wp:posOffset>3175</wp:posOffset>
              </wp:positionV>
              <wp:extent cx="4855210" cy="353060"/>
              <wp:effectExtent l="0" t="0" r="2540" b="8890"/>
              <wp:wrapNone/>
              <wp:docPr id="25" name="תיבת טקסט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5210" cy="353060"/>
                      </a:xfrm>
                      <a:prstGeom prst="rect">
                        <a:avLst/>
                      </a:prstGeom>
                      <a:solidFill>
                        <a:srgbClr val="FFFFFF"/>
                      </a:solidFill>
                      <a:ln w="19050">
                        <a:noFill/>
                        <a:miter lim="800000"/>
                        <a:headEnd/>
                        <a:tailEnd/>
                      </a:ln>
                    </wps:spPr>
                    <wps:txbx>
                      <w:txbxContent>
                        <w:p w14:paraId="3DA9CE6C" w14:textId="77777777" w:rsidR="00A14FDA" w:rsidRPr="002A07A0" w:rsidRDefault="00A14FDA" w:rsidP="00911969">
                          <w:pPr>
                            <w:spacing w:line="240" w:lineRule="auto"/>
                            <w:contextualSpacing/>
                            <w:jc w:val="center"/>
                            <w:rPr>
                              <w:b/>
                              <w:bCs/>
                              <w:sz w:val="16"/>
                              <w:szCs w:val="16"/>
                              <w:rtl/>
                            </w:rPr>
                          </w:pPr>
                          <w:r>
                            <w:rPr>
                              <w:b/>
                              <w:bCs/>
                              <w:sz w:val="16"/>
                              <w:szCs w:val="16"/>
                              <w:rtl/>
                            </w:rPr>
                            <w:t xml:space="preserve">שלמה </w:t>
                          </w:r>
                          <w:r w:rsidRPr="00D348B7">
                            <w:rPr>
                              <w:b/>
                              <w:bCs/>
                              <w:sz w:val="16"/>
                              <w:szCs w:val="16"/>
                              <w:rtl/>
                            </w:rPr>
                            <w:t xml:space="preserve">הנדל </w:t>
                          </w:r>
                          <w:r>
                            <w:rPr>
                              <w:rFonts w:hint="cs"/>
                              <w:b/>
                              <w:bCs/>
                              <w:sz w:val="16"/>
                              <w:szCs w:val="16"/>
                              <w:rtl/>
                            </w:rPr>
                            <w:t xml:space="preserve">טל: </w:t>
                          </w:r>
                          <w:r w:rsidRPr="006C5697">
                            <w:rPr>
                              <w:b/>
                              <w:bCs/>
                              <w:sz w:val="16"/>
                              <w:szCs w:val="16"/>
                              <w:rtl/>
                            </w:rPr>
                            <w:t>052-7676412</w:t>
                          </w:r>
                          <w:r>
                            <w:rPr>
                              <w:rFonts w:hint="cs"/>
                              <w:b/>
                              <w:bCs/>
                              <w:sz w:val="16"/>
                              <w:szCs w:val="16"/>
                              <w:rtl/>
                            </w:rPr>
                            <w:t xml:space="preserve"> - </w:t>
                          </w:r>
                          <w:r w:rsidRPr="002A07A0">
                            <w:rPr>
                              <w:rFonts w:hint="cs"/>
                              <w:b/>
                              <w:bCs/>
                              <w:sz w:val="16"/>
                              <w:szCs w:val="16"/>
                              <w:rtl/>
                            </w:rPr>
                            <w:t xml:space="preserve">ניתן לקבל </w:t>
                          </w:r>
                          <w:r>
                            <w:rPr>
                              <w:rFonts w:hint="cs"/>
                              <w:b/>
                              <w:bCs/>
                              <w:sz w:val="16"/>
                              <w:szCs w:val="16"/>
                              <w:rtl/>
                            </w:rPr>
                            <w:t>את המ"מ</w:t>
                          </w:r>
                          <w:r w:rsidRPr="00134080">
                            <w:rPr>
                              <w:rFonts w:hint="cs"/>
                              <w:b/>
                              <w:bCs/>
                              <w:sz w:val="16"/>
                              <w:szCs w:val="16"/>
                              <w:rtl/>
                            </w:rPr>
                            <w:t xml:space="preserve"> </w:t>
                          </w:r>
                          <w:r w:rsidRPr="002A07A0">
                            <w:rPr>
                              <w:rFonts w:hint="cs"/>
                              <w:b/>
                              <w:bCs/>
                              <w:sz w:val="16"/>
                              <w:szCs w:val="16"/>
                              <w:rtl/>
                            </w:rPr>
                            <w:t>במייל:</w:t>
                          </w:r>
                          <w:r>
                            <w:rPr>
                              <w:rFonts w:hint="cs"/>
                              <w:b/>
                              <w:bCs/>
                              <w:sz w:val="16"/>
                              <w:szCs w:val="16"/>
                              <w:rtl/>
                            </w:rPr>
                            <w:t xml:space="preserve"> </w:t>
                          </w:r>
                          <w:hyperlink r:id="rId1" w:history="1">
                            <w:r w:rsidRPr="002A07A0">
                              <w:rPr>
                                <w:rStyle w:val="Hyperlink"/>
                                <w:b/>
                                <w:bCs/>
                                <w:color w:val="auto"/>
                                <w:sz w:val="16"/>
                                <w:szCs w:val="16"/>
                                <w:u w:val="none"/>
                              </w:rPr>
                              <w:t>A05</w:t>
                            </w:r>
                            <w:r w:rsidRPr="002A07A0">
                              <w:rPr>
                                <w:rStyle w:val="Hyperlink"/>
                                <w:rFonts w:hint="cs"/>
                                <w:b/>
                                <w:bCs/>
                                <w:color w:val="auto"/>
                                <w:sz w:val="16"/>
                                <w:szCs w:val="16"/>
                                <w:u w:val="none"/>
                              </w:rPr>
                              <w:t>27676412</w:t>
                            </w:r>
                            <w:r w:rsidRPr="002A07A0">
                              <w:rPr>
                                <w:rStyle w:val="Hyperlink"/>
                                <w:b/>
                                <w:bCs/>
                                <w:color w:val="auto"/>
                                <w:sz w:val="16"/>
                                <w:szCs w:val="16"/>
                                <w:u w:val="none"/>
                              </w:rPr>
                              <w:t>@</w:t>
                            </w:r>
                            <w:r w:rsidRPr="002A07A0">
                              <w:rPr>
                                <w:rStyle w:val="Hyperlink"/>
                                <w:rFonts w:hint="cs"/>
                                <w:b/>
                                <w:bCs/>
                                <w:color w:val="auto"/>
                                <w:sz w:val="16"/>
                                <w:szCs w:val="16"/>
                                <w:u w:val="none"/>
                              </w:rPr>
                              <w:t>GMAIL.COM</w:t>
                            </w:r>
                          </w:hyperlink>
                          <w:r w:rsidRPr="002A07A0">
                            <w:rPr>
                              <w:rFonts w:hint="cs"/>
                              <w:b/>
                              <w:bCs/>
                              <w:sz w:val="16"/>
                              <w:szCs w:val="16"/>
                              <w:rtl/>
                            </w:rPr>
                            <w:t xml:space="preserve"> </w:t>
                          </w:r>
                        </w:p>
                        <w:p w14:paraId="3660E31F" w14:textId="77777777" w:rsidR="00A14FDA" w:rsidRPr="008D08BD" w:rsidRDefault="00A14FDA" w:rsidP="00911969">
                          <w:pPr>
                            <w:spacing w:line="240" w:lineRule="auto"/>
                            <w:contextualSpacing/>
                            <w:jc w:val="center"/>
                            <w:rPr>
                              <w:b/>
                              <w:bCs/>
                              <w:sz w:val="16"/>
                              <w:szCs w:val="16"/>
                            </w:rPr>
                          </w:pPr>
                          <w:r w:rsidRPr="002A07A0">
                            <w:rPr>
                              <w:rFonts w:hint="cs"/>
                              <w:b/>
                              <w:bCs/>
                              <w:sz w:val="16"/>
                              <w:szCs w:val="16"/>
                              <w:rtl/>
                            </w:rPr>
                            <w:t xml:space="preserve">וכן </w:t>
                          </w:r>
                          <w:r>
                            <w:rPr>
                              <w:rFonts w:hint="cs"/>
                              <w:b/>
                              <w:bCs/>
                              <w:sz w:val="16"/>
                              <w:szCs w:val="16"/>
                              <w:rtl/>
                            </w:rPr>
                            <w:t xml:space="preserve">ניתן לקבל </w:t>
                          </w:r>
                          <w:r w:rsidRPr="002A07A0">
                            <w:rPr>
                              <w:rFonts w:hint="cs"/>
                              <w:b/>
                              <w:bCs/>
                              <w:sz w:val="16"/>
                              <w:szCs w:val="16"/>
                              <w:rtl/>
                            </w:rPr>
                            <w:t xml:space="preserve">את קובץ "משנתם בלשונם" </w:t>
                          </w:r>
                          <w:r>
                            <w:rPr>
                              <w:rFonts w:hint="cs"/>
                              <w:b/>
                              <w:bCs/>
                              <w:sz w:val="16"/>
                              <w:szCs w:val="16"/>
                              <w:rtl/>
                            </w:rPr>
                            <w:t>בו הובאו לשונות הראשונים והאחרונים,</w:t>
                          </w:r>
                          <w:r w:rsidRPr="008D08BD">
                            <w:rPr>
                              <w:b/>
                              <w:bCs/>
                              <w:sz w:val="16"/>
                              <w:szCs w:val="16"/>
                            </w:rPr>
                            <w:t xml:space="preserve"> </w:t>
                          </w:r>
                          <w:r>
                            <w:rPr>
                              <w:rFonts w:hint="cs"/>
                              <w:b/>
                              <w:bCs/>
                              <w:sz w:val="16"/>
                              <w:szCs w:val="16"/>
                              <w:rtl/>
                            </w:rPr>
                            <w:t>פתוחים להעתקה</w:t>
                          </w:r>
                          <w:r>
                            <w:rPr>
                              <w:b/>
                              <w:bCs/>
                              <w:sz w:val="16"/>
                              <w:szCs w:val="16"/>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92C4F32" id="_x0000_t202" coordsize="21600,21600" o:spt="202" path="m,l,21600r21600,l21600,xe">
              <v:stroke joinstyle="miter"/>
              <v:path gradientshapeok="t" o:connecttype="rect"/>
            </v:shapetype>
            <v:shape id="תיבת טקסט 25" o:spid="_x0000_s1073" type="#_x0000_t202" style="position:absolute;left:0;text-align:left;margin-left:159.3pt;margin-top:.25pt;width:382.3pt;height:27.8pt;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" stroked="f" strokeweight="1.5pt">
              <v:textbox>
                <w:txbxContent>
                  <w:p w14:paraId="3DA9CE6C" w14:textId="77777777" w:rsidR="00A14FDA" w:rsidRPr="002A07A0" w:rsidRDefault="00A14FDA" w:rsidP="00911969">
                    <w:pPr>
                      <w:spacing w:line="240" w:lineRule="auto"/>
                      <w:contextualSpacing/>
                      <w:jc w:val="center"/>
                      <w:rPr>
                        <w:b/>
                        <w:bCs/>
                        <w:sz w:val="16"/>
                        <w:szCs w:val="16"/>
                        <w:rtl/>
                      </w:rPr>
                    </w:pPr>
                    <w:r>
                      <w:rPr>
                        <w:b/>
                        <w:bCs/>
                        <w:sz w:val="16"/>
                        <w:szCs w:val="16"/>
                        <w:rtl/>
                      </w:rPr>
                      <w:t xml:space="preserve">שלמה </w:t>
                    </w:r>
                    <w:r w:rsidRPr="00D348B7">
                      <w:rPr>
                        <w:b/>
                        <w:bCs/>
                        <w:sz w:val="16"/>
                        <w:szCs w:val="16"/>
                        <w:rtl/>
                      </w:rPr>
                      <w:t xml:space="preserve">הנדל </w:t>
                    </w:r>
                    <w:r>
                      <w:rPr>
                        <w:rFonts w:hint="cs"/>
                        <w:b/>
                        <w:bCs/>
                        <w:sz w:val="16"/>
                        <w:szCs w:val="16"/>
                        <w:rtl/>
                      </w:rPr>
                      <w:t xml:space="preserve">טל: </w:t>
                    </w:r>
                    <w:r w:rsidRPr="006C5697">
                      <w:rPr>
                        <w:b/>
                        <w:bCs/>
                        <w:sz w:val="16"/>
                        <w:szCs w:val="16"/>
                        <w:rtl/>
                      </w:rPr>
                      <w:t>052-7676412</w:t>
                    </w:r>
                    <w:r>
                      <w:rPr>
                        <w:rFonts w:hint="cs"/>
                        <w:b/>
                        <w:bCs/>
                        <w:sz w:val="16"/>
                        <w:szCs w:val="16"/>
                        <w:rtl/>
                      </w:rPr>
                      <w:t xml:space="preserve"> - </w:t>
                    </w:r>
                    <w:r w:rsidRPr="002A07A0">
                      <w:rPr>
                        <w:rFonts w:hint="cs"/>
                        <w:b/>
                        <w:bCs/>
                        <w:sz w:val="16"/>
                        <w:szCs w:val="16"/>
                        <w:rtl/>
                      </w:rPr>
                      <w:t xml:space="preserve">ניתן לקבל </w:t>
                    </w:r>
                    <w:r>
                      <w:rPr>
                        <w:rFonts w:hint="cs"/>
                        <w:b/>
                        <w:bCs/>
                        <w:sz w:val="16"/>
                        <w:szCs w:val="16"/>
                        <w:rtl/>
                      </w:rPr>
                      <w:t>את המ"מ</w:t>
                    </w:r>
                    <w:r w:rsidRPr="00134080">
                      <w:rPr>
                        <w:rFonts w:hint="cs"/>
                        <w:b/>
                        <w:bCs/>
                        <w:sz w:val="16"/>
                        <w:szCs w:val="16"/>
                        <w:rtl/>
                      </w:rPr>
                      <w:t xml:space="preserve"> </w:t>
                    </w:r>
                    <w:r w:rsidRPr="002A07A0">
                      <w:rPr>
                        <w:rFonts w:hint="cs"/>
                        <w:b/>
                        <w:bCs/>
                        <w:sz w:val="16"/>
                        <w:szCs w:val="16"/>
                        <w:rtl/>
                      </w:rPr>
                      <w:t>במייל:</w:t>
                    </w:r>
                    <w:r>
                      <w:rPr>
                        <w:rFonts w:hint="cs"/>
                        <w:b/>
                        <w:bCs/>
                        <w:sz w:val="16"/>
                        <w:szCs w:val="16"/>
                        <w:rtl/>
                      </w:rPr>
                      <w:t xml:space="preserve"> </w:t>
                    </w:r>
                    <w:hyperlink r:id="rId2" w:history="1">
                      <w:r w:rsidRPr="002A07A0">
                        <w:rPr>
                          <w:rStyle w:val="Hyperlink"/>
                          <w:b/>
                          <w:bCs/>
                          <w:color w:val="auto"/>
                          <w:sz w:val="16"/>
                          <w:szCs w:val="16"/>
                          <w:u w:val="none"/>
                        </w:rPr>
                        <w:t>A05</w:t>
                      </w:r>
                      <w:r w:rsidRPr="002A07A0">
                        <w:rPr>
                          <w:rStyle w:val="Hyperlink"/>
                          <w:rFonts w:hint="cs"/>
                          <w:b/>
                          <w:bCs/>
                          <w:color w:val="auto"/>
                          <w:sz w:val="16"/>
                          <w:szCs w:val="16"/>
                          <w:u w:val="none"/>
                        </w:rPr>
                        <w:t>27676412</w:t>
                      </w:r>
                      <w:r w:rsidRPr="002A07A0">
                        <w:rPr>
                          <w:rStyle w:val="Hyperlink"/>
                          <w:b/>
                          <w:bCs/>
                          <w:color w:val="auto"/>
                          <w:sz w:val="16"/>
                          <w:szCs w:val="16"/>
                          <w:u w:val="none"/>
                        </w:rPr>
                        <w:t>@</w:t>
                      </w:r>
                      <w:r w:rsidRPr="002A07A0">
                        <w:rPr>
                          <w:rStyle w:val="Hyperlink"/>
                          <w:rFonts w:hint="cs"/>
                          <w:b/>
                          <w:bCs/>
                          <w:color w:val="auto"/>
                          <w:sz w:val="16"/>
                          <w:szCs w:val="16"/>
                          <w:u w:val="none"/>
                        </w:rPr>
                        <w:t>GMAIL.COM</w:t>
                      </w:r>
                    </w:hyperlink>
                    <w:r w:rsidRPr="002A07A0">
                      <w:rPr>
                        <w:rFonts w:hint="cs"/>
                        <w:b/>
                        <w:bCs/>
                        <w:sz w:val="16"/>
                        <w:szCs w:val="16"/>
                        <w:rtl/>
                      </w:rPr>
                      <w:t xml:space="preserve"> </w:t>
                    </w:r>
                  </w:p>
                  <w:p w14:paraId="3660E31F" w14:textId="77777777" w:rsidR="00A14FDA" w:rsidRPr="008D08BD" w:rsidRDefault="00A14FDA" w:rsidP="00911969">
                    <w:pPr>
                      <w:spacing w:line="240" w:lineRule="auto"/>
                      <w:contextualSpacing/>
                      <w:jc w:val="center"/>
                      <w:rPr>
                        <w:b/>
                        <w:bCs/>
                        <w:sz w:val="16"/>
                        <w:szCs w:val="16"/>
                      </w:rPr>
                    </w:pPr>
                    <w:r w:rsidRPr="002A07A0">
                      <w:rPr>
                        <w:rFonts w:hint="cs"/>
                        <w:b/>
                        <w:bCs/>
                        <w:sz w:val="16"/>
                        <w:szCs w:val="16"/>
                        <w:rtl/>
                      </w:rPr>
                      <w:t xml:space="preserve">וכן </w:t>
                    </w:r>
                    <w:r>
                      <w:rPr>
                        <w:rFonts w:hint="cs"/>
                        <w:b/>
                        <w:bCs/>
                        <w:sz w:val="16"/>
                        <w:szCs w:val="16"/>
                        <w:rtl/>
                      </w:rPr>
                      <w:t xml:space="preserve">ניתן לקבל </w:t>
                    </w:r>
                    <w:r w:rsidRPr="002A07A0">
                      <w:rPr>
                        <w:rFonts w:hint="cs"/>
                        <w:b/>
                        <w:bCs/>
                        <w:sz w:val="16"/>
                        <w:szCs w:val="16"/>
                        <w:rtl/>
                      </w:rPr>
                      <w:t xml:space="preserve">את קובץ "משנתם בלשונם" </w:t>
                    </w:r>
                    <w:r>
                      <w:rPr>
                        <w:rFonts w:hint="cs"/>
                        <w:b/>
                        <w:bCs/>
                        <w:sz w:val="16"/>
                        <w:szCs w:val="16"/>
                        <w:rtl/>
                      </w:rPr>
                      <w:t>בו הובאו לשונות הראשונים והאחרונים,</w:t>
                    </w:r>
                    <w:r w:rsidRPr="008D08BD">
                      <w:rPr>
                        <w:b/>
                        <w:bCs/>
                        <w:sz w:val="16"/>
                        <w:szCs w:val="16"/>
                      </w:rPr>
                      <w:t xml:space="preserve"> </w:t>
                    </w:r>
                    <w:r>
                      <w:rPr>
                        <w:rFonts w:hint="cs"/>
                        <w:b/>
                        <w:bCs/>
                        <w:sz w:val="16"/>
                        <w:szCs w:val="16"/>
                        <w:rtl/>
                      </w:rPr>
                      <w:t>פתוחים להעתקה</w:t>
                    </w:r>
                    <w:r>
                      <w:rPr>
                        <w:b/>
                        <w:bCs/>
                        <w:sz w:val="16"/>
                        <w:szCs w:val="16"/>
                      </w:rPr>
                      <w:t>.</w:t>
                    </w:r>
                  </w:p>
                </w:txbxContent>
              </v:textbox>
              <w10:wrap anchorx="margin"/>
            </v:shape>
          </w:pict>
        </mc:Fallback>
      </mc:AlternateContent>
    </w:r>
    <w:r>
      <w:rPr>
        <w:noProof/>
      </w:rPr>
      <mc:AlternateContent>
        <mc:Choice Requires="wps">
          <w:drawing>
            <wp:anchor distT="0" distB="0" distL="114300" distR="114300" simplePos="0" relativeHeight="251728896" behindDoc="0" locked="0" layoutInCell="1" allowOverlap="1" wp14:anchorId="03E6E924" wp14:editId="76EE003B">
              <wp:simplePos x="0" y="0"/>
              <wp:positionH relativeFrom="margin">
                <wp:posOffset>46355</wp:posOffset>
              </wp:positionH>
              <wp:positionV relativeFrom="paragraph">
                <wp:posOffset>34290</wp:posOffset>
              </wp:positionV>
              <wp:extent cx="1002665" cy="264160"/>
              <wp:effectExtent l="0" t="0" r="26035" b="21590"/>
              <wp:wrapNone/>
              <wp:docPr id="20" name="תיבת טקסט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2665" cy="264160"/>
                      </a:xfrm>
                      <a:prstGeom prst="rect">
                        <a:avLst/>
                      </a:prstGeom>
                      <a:solidFill>
                        <a:srgbClr val="FFFFFF"/>
                      </a:solidFill>
                      <a:ln w="15875">
                        <a:solidFill>
                          <a:srgbClr val="000000"/>
                        </a:solidFill>
                        <a:miter lim="800000"/>
                        <a:headEnd/>
                        <a:tailEnd/>
                      </a:ln>
                    </wps:spPr>
                    <wps:txbx>
                      <w:txbxContent>
                        <w:p w14:paraId="1D9C0FE4" w14:textId="77777777" w:rsidR="00A14FDA" w:rsidRDefault="00A14FDA" w:rsidP="00C83122">
                          <w:pPr>
                            <w:rPr>
                              <w:b/>
                              <w:bCs/>
                              <w:sz w:val="18"/>
                              <w:szCs w:val="18"/>
                            </w:rPr>
                          </w:pPr>
                          <w:r>
                            <w:rPr>
                              <w:b/>
                              <w:bCs/>
                              <w:sz w:val="18"/>
                              <w:szCs w:val="18"/>
                              <w:rtl/>
                            </w:rPr>
                            <w:t>המשך בעמ' הבא</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6E924" id="תיבת טקסט 20" o:spid="_x0000_s1074" type="#_x0000_t202" style="position:absolute;left:0;text-align:left;margin-left:3.65pt;margin-top:2.7pt;width:78.95pt;height:20.8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" strokeweight="1.25pt">
              <v:textbox>
                <w:txbxContent>
                  <w:p w14:paraId="1D9C0FE4" w14:textId="77777777" w:rsidR="00A14FDA" w:rsidRDefault="00A14FDA" w:rsidP="00C83122">
                    <w:pPr>
                      <w:rPr>
                        <w:b/>
                        <w:bCs/>
                        <w:sz w:val="18"/>
                        <w:szCs w:val="18"/>
                      </w:rPr>
                    </w:pPr>
                    <w:r>
                      <w:rPr>
                        <w:b/>
                        <w:bCs/>
                        <w:sz w:val="18"/>
                        <w:szCs w:val="18"/>
                        <w:rtl/>
                      </w:rPr>
                      <w:t>המשך בעמ' הבא</w:t>
                    </w:r>
                  </w:p>
                </w:txbxContent>
              </v:textbox>
              <w10:wrap anchorx="margin"/>
            </v:shape>
          </w:pict>
        </mc:Fallback>
      </mc:AlternateContent>
    </w:r>
  </w:p>
  <w:p w14:paraId="2C203F39" w14:textId="77777777" w:rsidR="00A14FDA" w:rsidRDefault="00A14FDA" w:rsidP="00C83122">
    <w:pPr>
      <w:pStyle w:val="affe"/>
    </w:pP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B87E9" w14:textId="77777777" w:rsidR="00A14FDA" w:rsidRDefault="00A14FDA">
    <w:pPr>
      <w:pStyle w:val="affe"/>
    </w:pP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574245166"/>
      <w:docPartObj>
        <w:docPartGallery w:val="Page Numbers (Bottom of Page)"/>
        <w:docPartUnique/>
      </w:docPartObj>
    </w:sdtPr>
    <w:sdtEndPr>
      <w:rPr>
        <w:cs/>
      </w:rPr>
    </w:sdtEndPr>
    <w:sdtContent>
      <w:p w14:paraId="1E11767D" w14:textId="77777777" w:rsidR="00A14FDA" w:rsidRDefault="00A14FDA">
        <w:pPr>
          <w:pStyle w:val="affe"/>
          <w:jc w:val="right"/>
          <w:rPr>
            <w:rtl/>
            <w:cs/>
          </w:rPr>
        </w:pPr>
        <w:r>
          <w:fldChar w:fldCharType="begin"/>
        </w:r>
        <w:r>
          <w:rPr>
            <w:rtl/>
            <w:cs/>
          </w:rPr>
          <w:instrText>PAGE   \* MERGEFORMAT</w:instrText>
        </w:r>
        <w:r>
          <w:fldChar w:fldCharType="separate"/>
        </w:r>
        <w:r w:rsidRPr="006B3804">
          <w:rPr>
            <w:noProof/>
            <w:rtl/>
            <w:lang w:val="he-IL"/>
          </w:rPr>
          <w:t>2</w:t>
        </w:r>
        <w:r>
          <w:fldChar w:fldCharType="end"/>
        </w:r>
      </w:p>
    </w:sdtContent>
  </w:sdt>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5525B" w14:textId="24D66D9A" w:rsidR="00A14FDA" w:rsidRDefault="00A14FDA" w:rsidP="00C83122">
    <w:pPr>
      <w:pStyle w:val="affe"/>
    </w:pPr>
    <w:r>
      <w:rPr>
        <w:noProof/>
      </w:rPr>
      <mc:AlternateContent>
        <mc:Choice Requires="wps">
          <w:drawing>
            <wp:anchor distT="0" distB="0" distL="114300" distR="114300" simplePos="0" relativeHeight="251729920" behindDoc="0" locked="0" layoutInCell="1" allowOverlap="1" wp14:anchorId="4C8AB17D" wp14:editId="0684845C">
              <wp:simplePos x="0" y="0"/>
              <wp:positionH relativeFrom="margin">
                <wp:posOffset>3235960</wp:posOffset>
              </wp:positionH>
              <wp:positionV relativeFrom="paragraph">
                <wp:posOffset>64135</wp:posOffset>
              </wp:positionV>
              <wp:extent cx="3355975" cy="330200"/>
              <wp:effectExtent l="0" t="0" r="0" b="0"/>
              <wp:wrapNone/>
              <wp:docPr id="18" name="תיבת טקסט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5975" cy="330200"/>
                      </a:xfrm>
                      <a:prstGeom prst="rect">
                        <a:avLst/>
                      </a:prstGeom>
                      <a:solidFill>
                        <a:srgbClr val="FFFFFF"/>
                      </a:solidFill>
                      <a:ln w="19050">
                        <a:noFill/>
                        <a:miter lim="800000"/>
                        <a:headEnd/>
                        <a:tailEnd/>
                      </a:ln>
                    </wps:spPr>
                    <wps:txbx>
                      <w:txbxContent>
                        <w:p w14:paraId="18F88023" w14:textId="77777777" w:rsidR="00A14FDA" w:rsidRPr="00D348B7" w:rsidRDefault="00A14FDA" w:rsidP="00C83122">
                          <w:pPr>
                            <w:spacing w:line="240" w:lineRule="auto"/>
                            <w:jc w:val="center"/>
                            <w:rPr>
                              <w:b/>
                              <w:bCs/>
                              <w:sz w:val="16"/>
                              <w:szCs w:val="16"/>
                              <w:rtl/>
                            </w:rPr>
                          </w:pPr>
                          <w:r>
                            <w:rPr>
                              <w:b/>
                              <w:bCs/>
                              <w:sz w:val="16"/>
                              <w:szCs w:val="16"/>
                              <w:rtl/>
                            </w:rPr>
                            <w:t xml:space="preserve">שלמה </w:t>
                          </w:r>
                          <w:r w:rsidRPr="00D348B7">
                            <w:rPr>
                              <w:b/>
                              <w:bCs/>
                              <w:sz w:val="16"/>
                              <w:szCs w:val="16"/>
                              <w:rtl/>
                            </w:rPr>
                            <w:t xml:space="preserve">הנדל </w:t>
                          </w:r>
                          <w:r w:rsidRPr="00D348B7">
                            <w:rPr>
                              <w:rFonts w:hint="cs"/>
                              <w:b/>
                              <w:bCs/>
                              <w:sz w:val="16"/>
                              <w:szCs w:val="16"/>
                              <w:rtl/>
                            </w:rPr>
                            <w:t xml:space="preserve">- </w:t>
                          </w:r>
                          <w:r w:rsidRPr="00D348B7">
                            <w:rPr>
                              <w:b/>
                              <w:bCs/>
                              <w:sz w:val="16"/>
                              <w:szCs w:val="16"/>
                              <w:rtl/>
                            </w:rPr>
                            <w:t>בית הלל</w:t>
                          </w:r>
                          <w:r>
                            <w:rPr>
                              <w:b/>
                              <w:bCs/>
                              <w:sz w:val="16"/>
                              <w:szCs w:val="16"/>
                              <w:rtl/>
                            </w:rPr>
                            <w:tab/>
                          </w:r>
                          <w:r>
                            <w:rPr>
                              <w:rFonts w:hint="cs"/>
                              <w:b/>
                              <w:bCs/>
                              <w:sz w:val="16"/>
                              <w:szCs w:val="16"/>
                              <w:rtl/>
                            </w:rPr>
                            <w:t xml:space="preserve">טל: </w:t>
                          </w:r>
                          <w:r w:rsidRPr="006C5697">
                            <w:rPr>
                              <w:b/>
                              <w:bCs/>
                              <w:sz w:val="16"/>
                              <w:szCs w:val="16"/>
                              <w:rtl/>
                            </w:rPr>
                            <w:t>052-7676412</w:t>
                          </w:r>
                        </w:p>
                        <w:p w14:paraId="10588A8C" w14:textId="77777777" w:rsidR="00A14FDA" w:rsidRPr="008D08BD" w:rsidRDefault="00A14FDA" w:rsidP="00C83122">
                          <w:pPr>
                            <w:bidi w:val="0"/>
                            <w:jc w:val="center"/>
                            <w:rPr>
                              <w:b/>
                              <w:bCs/>
                              <w:sz w:val="16"/>
                              <w:szCs w:val="16"/>
                            </w:rPr>
                          </w:pPr>
                          <w:hyperlink r:id="rId1" w:history="1">
                            <w:r w:rsidRPr="008D08BD">
                              <w:rPr>
                                <w:b/>
                                <w:bCs/>
                                <w:sz w:val="16"/>
                                <w:szCs w:val="16"/>
                              </w:rPr>
                              <w:t>A05</w:t>
                            </w:r>
                            <w:r w:rsidRPr="008D08BD">
                              <w:rPr>
                                <w:rFonts w:hint="cs"/>
                                <w:b/>
                                <w:bCs/>
                                <w:sz w:val="16"/>
                                <w:szCs w:val="16"/>
                              </w:rPr>
                              <w:t>27676412</w:t>
                            </w:r>
                            <w:r w:rsidRPr="008D08BD">
                              <w:rPr>
                                <w:b/>
                                <w:bCs/>
                                <w:sz w:val="16"/>
                                <w:szCs w:val="16"/>
                              </w:rPr>
                              <w:t>@</w:t>
                            </w:r>
                            <w:r w:rsidRPr="008D08BD">
                              <w:rPr>
                                <w:rFonts w:hint="cs"/>
                                <w:b/>
                                <w:bCs/>
                                <w:sz w:val="16"/>
                                <w:szCs w:val="16"/>
                              </w:rPr>
                              <w:t>GMAIL.COM</w:t>
                            </w:r>
                          </w:hyperlink>
                          <w:r>
                            <w:rPr>
                              <w:b/>
                              <w:bCs/>
                              <w:sz w:val="16"/>
                              <w:szCs w:val="16"/>
                            </w:rPr>
                            <w:t xml:space="preserve"> </w:t>
                          </w:r>
                          <w:r w:rsidRPr="008D08BD">
                            <w:rPr>
                              <w:rFonts w:hint="cs"/>
                              <w:b/>
                              <w:bCs/>
                              <w:sz w:val="16"/>
                              <w:szCs w:val="16"/>
                              <w:rtl/>
                            </w:rPr>
                            <w:t>לקבלת המ"מ במייל נא לשלוח הודעה לכתובת:</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C8AB17D" id="_x0000_t202" coordsize="21600,21600" o:spt="202" path="m,l,21600r21600,l21600,xe">
              <v:stroke joinstyle="miter"/>
              <v:path gradientshapeok="t" o:connecttype="rect"/>
            </v:shapetype>
            <v:shape id="תיבת טקסט 18" o:spid="_x0000_s1075" type="#_x0000_t202" style="position:absolute;left:0;text-align:left;margin-left:254.8pt;margin-top:5.05pt;width:264.25pt;height:26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" stroked="f" strokeweight="1.5pt">
              <v:textbox>
                <w:txbxContent>
                  <w:p w14:paraId="18F88023" w14:textId="77777777" w:rsidR="00A14FDA" w:rsidRPr="00D348B7" w:rsidRDefault="00A14FDA" w:rsidP="00C83122">
                    <w:pPr>
                      <w:spacing w:line="240" w:lineRule="auto"/>
                      <w:jc w:val="center"/>
                      <w:rPr>
                        <w:b/>
                        <w:bCs/>
                        <w:sz w:val="16"/>
                        <w:szCs w:val="16"/>
                        <w:rtl/>
                      </w:rPr>
                    </w:pPr>
                    <w:r>
                      <w:rPr>
                        <w:b/>
                        <w:bCs/>
                        <w:sz w:val="16"/>
                        <w:szCs w:val="16"/>
                        <w:rtl/>
                      </w:rPr>
                      <w:t xml:space="preserve">שלמה </w:t>
                    </w:r>
                    <w:r w:rsidRPr="00D348B7">
                      <w:rPr>
                        <w:b/>
                        <w:bCs/>
                        <w:sz w:val="16"/>
                        <w:szCs w:val="16"/>
                        <w:rtl/>
                      </w:rPr>
                      <w:t xml:space="preserve">הנדל </w:t>
                    </w:r>
                    <w:r w:rsidRPr="00D348B7">
                      <w:rPr>
                        <w:rFonts w:hint="cs"/>
                        <w:b/>
                        <w:bCs/>
                        <w:sz w:val="16"/>
                        <w:szCs w:val="16"/>
                        <w:rtl/>
                      </w:rPr>
                      <w:t xml:space="preserve">- </w:t>
                    </w:r>
                    <w:r w:rsidRPr="00D348B7">
                      <w:rPr>
                        <w:b/>
                        <w:bCs/>
                        <w:sz w:val="16"/>
                        <w:szCs w:val="16"/>
                        <w:rtl/>
                      </w:rPr>
                      <w:t>בית הלל</w:t>
                    </w:r>
                    <w:r>
                      <w:rPr>
                        <w:b/>
                        <w:bCs/>
                        <w:sz w:val="16"/>
                        <w:szCs w:val="16"/>
                        <w:rtl/>
                      </w:rPr>
                      <w:tab/>
                    </w:r>
                    <w:r>
                      <w:rPr>
                        <w:rFonts w:hint="cs"/>
                        <w:b/>
                        <w:bCs/>
                        <w:sz w:val="16"/>
                        <w:szCs w:val="16"/>
                        <w:rtl/>
                      </w:rPr>
                      <w:t xml:space="preserve">טל: </w:t>
                    </w:r>
                    <w:r w:rsidRPr="006C5697">
                      <w:rPr>
                        <w:b/>
                        <w:bCs/>
                        <w:sz w:val="16"/>
                        <w:szCs w:val="16"/>
                        <w:rtl/>
                      </w:rPr>
                      <w:t>052-7676412</w:t>
                    </w:r>
                  </w:p>
                  <w:p w14:paraId="10588A8C" w14:textId="77777777" w:rsidR="00A14FDA" w:rsidRPr="008D08BD" w:rsidRDefault="00A14FDA" w:rsidP="00C83122">
                    <w:pPr>
                      <w:bidi w:val="0"/>
                      <w:jc w:val="center"/>
                      <w:rPr>
                        <w:b/>
                        <w:bCs/>
                        <w:sz w:val="16"/>
                        <w:szCs w:val="16"/>
                      </w:rPr>
                    </w:pPr>
                    <w:hyperlink r:id="rId2" w:history="1">
                      <w:r w:rsidRPr="008D08BD">
                        <w:rPr>
                          <w:b/>
                          <w:bCs/>
                          <w:sz w:val="16"/>
                          <w:szCs w:val="16"/>
                        </w:rPr>
                        <w:t>A05</w:t>
                      </w:r>
                      <w:r w:rsidRPr="008D08BD">
                        <w:rPr>
                          <w:rFonts w:hint="cs"/>
                          <w:b/>
                          <w:bCs/>
                          <w:sz w:val="16"/>
                          <w:szCs w:val="16"/>
                        </w:rPr>
                        <w:t>27676412</w:t>
                      </w:r>
                      <w:r w:rsidRPr="008D08BD">
                        <w:rPr>
                          <w:b/>
                          <w:bCs/>
                          <w:sz w:val="16"/>
                          <w:szCs w:val="16"/>
                        </w:rPr>
                        <w:t>@</w:t>
                      </w:r>
                      <w:r w:rsidRPr="008D08BD">
                        <w:rPr>
                          <w:rFonts w:hint="cs"/>
                          <w:b/>
                          <w:bCs/>
                          <w:sz w:val="16"/>
                          <w:szCs w:val="16"/>
                        </w:rPr>
                        <w:t>GMAIL.COM</w:t>
                      </w:r>
                    </w:hyperlink>
                    <w:r>
                      <w:rPr>
                        <w:b/>
                        <w:bCs/>
                        <w:sz w:val="16"/>
                        <w:szCs w:val="16"/>
                      </w:rPr>
                      <w:t xml:space="preserve"> </w:t>
                    </w:r>
                    <w:r w:rsidRPr="008D08BD">
                      <w:rPr>
                        <w:rFonts w:hint="cs"/>
                        <w:b/>
                        <w:bCs/>
                        <w:sz w:val="16"/>
                        <w:szCs w:val="16"/>
                        <w:rtl/>
                      </w:rPr>
                      <w:t>לקבלת המ"מ במייל נא לשלוח הודעה לכתובת:</w:t>
                    </w:r>
                  </w:p>
                </w:txbxContent>
              </v:textbox>
              <w10:wrap anchorx="margin"/>
            </v:shape>
          </w:pict>
        </mc:Fallback>
      </mc:AlternateContent>
    </w:r>
    <w:r>
      <w:rPr>
        <w:noProof/>
      </w:rPr>
      <mc:AlternateContent>
        <mc:Choice Requires="wps">
          <w:drawing>
            <wp:anchor distT="0" distB="0" distL="114300" distR="114300" simplePos="0" relativeHeight="251730944" behindDoc="0" locked="0" layoutInCell="1" allowOverlap="1" wp14:anchorId="7FC7F713" wp14:editId="0ABEBB7F">
              <wp:simplePos x="0" y="0"/>
              <wp:positionH relativeFrom="margin">
                <wp:posOffset>46355</wp:posOffset>
              </wp:positionH>
              <wp:positionV relativeFrom="paragraph">
                <wp:posOffset>34290</wp:posOffset>
              </wp:positionV>
              <wp:extent cx="1002665" cy="264160"/>
              <wp:effectExtent l="0" t="0" r="26035" b="21590"/>
              <wp:wrapNone/>
              <wp:docPr id="14" name="תיבת טקסט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2665" cy="264160"/>
                      </a:xfrm>
                      <a:prstGeom prst="rect">
                        <a:avLst/>
                      </a:prstGeom>
                      <a:solidFill>
                        <a:srgbClr val="FFFFFF"/>
                      </a:solidFill>
                      <a:ln w="15875">
                        <a:solidFill>
                          <a:srgbClr val="000000"/>
                        </a:solidFill>
                        <a:miter lim="800000"/>
                        <a:headEnd/>
                        <a:tailEnd/>
                      </a:ln>
                    </wps:spPr>
                    <wps:txbx>
                      <w:txbxContent>
                        <w:p w14:paraId="1E87D0D0" w14:textId="77777777" w:rsidR="00A14FDA" w:rsidRDefault="00A14FDA" w:rsidP="00C83122">
                          <w:pPr>
                            <w:rPr>
                              <w:b/>
                              <w:bCs/>
                              <w:sz w:val="18"/>
                              <w:szCs w:val="18"/>
                            </w:rPr>
                          </w:pPr>
                          <w:r>
                            <w:rPr>
                              <w:b/>
                              <w:bCs/>
                              <w:sz w:val="18"/>
                              <w:szCs w:val="18"/>
                              <w:rtl/>
                            </w:rPr>
                            <w:t>המשך בעמ' הבא</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FC7F713" id="תיבת טקסט 14" o:spid="_x0000_s1076" type="#_x0000_t202" style="position:absolute;left:0;text-align:left;margin-left:3.65pt;margin-top:2.7pt;width:78.95pt;height:20.8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" strokeweight="1.25pt">
              <v:textbox>
                <w:txbxContent>
                  <w:p w14:paraId="1E87D0D0" w14:textId="77777777" w:rsidR="00A14FDA" w:rsidRDefault="00A14FDA" w:rsidP="00C83122">
                    <w:pPr>
                      <w:rPr>
                        <w:b/>
                        <w:bCs/>
                        <w:sz w:val="18"/>
                        <w:szCs w:val="18"/>
                      </w:rPr>
                    </w:pPr>
                    <w:r>
                      <w:rPr>
                        <w:b/>
                        <w:bCs/>
                        <w:sz w:val="18"/>
                        <w:szCs w:val="18"/>
                        <w:rtl/>
                      </w:rPr>
                      <w:t>המשך בעמ' הבא</w:t>
                    </w:r>
                  </w:p>
                </w:txbxContent>
              </v:textbox>
              <w10:wrap anchorx="margin"/>
            </v:shape>
          </w:pict>
        </mc:Fallback>
      </mc:AlternateContent>
    </w:r>
  </w:p>
  <w:p w14:paraId="30453C1C" w14:textId="77777777" w:rsidR="00A14FDA" w:rsidRDefault="00A14FDA" w:rsidP="00C83122">
    <w:pPr>
      <w:pStyle w:val="affe"/>
    </w:pP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958492866"/>
      <w:docPartObj>
        <w:docPartGallery w:val="Page Numbers (Bottom of Page)"/>
        <w:docPartUnique/>
      </w:docPartObj>
    </w:sdtPr>
    <w:sdtEndPr>
      <w:rPr>
        <w:cs/>
      </w:rPr>
    </w:sdtEndPr>
    <w:sdtContent>
      <w:p w14:paraId="3D8F7534" w14:textId="77777777" w:rsidR="00A14FDA" w:rsidRDefault="00A14FDA">
        <w:pPr>
          <w:pStyle w:val="affe"/>
          <w:jc w:val="right"/>
          <w:rPr>
            <w:rtl/>
            <w:cs/>
          </w:rPr>
        </w:pPr>
        <w:r>
          <w:fldChar w:fldCharType="begin"/>
        </w:r>
        <w:r>
          <w:rPr>
            <w:rtl/>
            <w:cs/>
          </w:rPr>
          <w:instrText>PAGE   \* MERGEFORMAT</w:instrText>
        </w:r>
        <w:r>
          <w:fldChar w:fldCharType="separate"/>
        </w:r>
        <w:r w:rsidRPr="006B3804">
          <w:rPr>
            <w:noProof/>
            <w:rtl/>
            <w:lang w:val="he-IL"/>
          </w:rPr>
          <w:t>3</w:t>
        </w:r>
        <w:r>
          <w:fldChar w:fldCharType="end"/>
        </w:r>
      </w:p>
    </w:sdtContent>
  </w:sdt>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594448903"/>
      <w:docPartObj>
        <w:docPartGallery w:val="Page Numbers (Bottom of Page)"/>
        <w:docPartUnique/>
      </w:docPartObj>
    </w:sdtPr>
    <w:sdtEndPr>
      <w:rPr>
        <w:cs/>
      </w:rPr>
    </w:sdtEndPr>
    <w:sdtContent>
      <w:p w14:paraId="0DB37536" w14:textId="77777777" w:rsidR="00A14FDA" w:rsidRDefault="00A14FDA">
        <w:pPr>
          <w:pStyle w:val="affe"/>
          <w:jc w:val="right"/>
          <w:rPr>
            <w:rtl/>
            <w:cs/>
          </w:rPr>
        </w:pPr>
        <w:r>
          <w:fldChar w:fldCharType="begin"/>
        </w:r>
        <w:r>
          <w:rPr>
            <w:rtl/>
            <w:cs/>
          </w:rPr>
          <w:instrText>PAGE   \* MERGEFORMAT</w:instrText>
        </w:r>
        <w:r>
          <w:fldChar w:fldCharType="separate"/>
        </w:r>
        <w:r w:rsidRPr="006B3804">
          <w:rPr>
            <w:noProof/>
            <w:rtl/>
            <w:lang w:val="he-IL"/>
          </w:rPr>
          <w:t>3</w:t>
        </w:r>
        <w:r>
          <w:fldChar w:fldCharType="end"/>
        </w:r>
      </w:p>
    </w:sdtContent>
  </w:sdt>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673837464"/>
      <w:docPartObj>
        <w:docPartGallery w:val="Page Numbers (Bottom of Page)"/>
        <w:docPartUnique/>
      </w:docPartObj>
    </w:sdtPr>
    <w:sdtEndPr>
      <w:rPr>
        <w:cs/>
      </w:rPr>
    </w:sdtEndPr>
    <w:sdtContent>
      <w:p w14:paraId="11500EAC" w14:textId="77777777" w:rsidR="00A14FDA" w:rsidRDefault="00A14FDA">
        <w:pPr>
          <w:pStyle w:val="affe"/>
          <w:jc w:val="right"/>
          <w:rPr>
            <w:rtl/>
            <w:cs/>
          </w:rPr>
        </w:pPr>
        <w:r>
          <w:fldChar w:fldCharType="begin"/>
        </w:r>
        <w:r>
          <w:rPr>
            <w:rtl/>
            <w:cs/>
          </w:rPr>
          <w:instrText>PAGE   \* MERGEFORMAT</w:instrText>
        </w:r>
        <w:r>
          <w:fldChar w:fldCharType="separate"/>
        </w:r>
        <w:r w:rsidRPr="006B3804">
          <w:rPr>
            <w:noProof/>
            <w:rtl/>
            <w:lang w:val="he-IL"/>
          </w:rPr>
          <w:t>3</w:t>
        </w:r>
        <w:r>
          <w:fldChar w:fldCharType="end"/>
        </w:r>
      </w:p>
    </w:sdtContent>
  </w:sdt>
  <w:p w14:paraId="474F8AB7" w14:textId="77777777" w:rsidR="00A14FDA" w:rsidRDefault="00A14FDA"/>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2013026822"/>
      <w:docPartObj>
        <w:docPartGallery w:val="Page Numbers (Bottom of Page)"/>
        <w:docPartUnique/>
      </w:docPartObj>
    </w:sdtPr>
    <w:sdtEndPr>
      <w:rPr>
        <w:cs/>
      </w:rPr>
    </w:sdtEndPr>
    <w:sdtContent>
      <w:p w14:paraId="74E12410" w14:textId="77777777" w:rsidR="003E1AA3" w:rsidRDefault="003E1AA3">
        <w:pPr>
          <w:pStyle w:val="affe"/>
          <w:jc w:val="right"/>
          <w:rPr>
            <w:rtl/>
            <w:cs/>
          </w:rPr>
        </w:pPr>
        <w:r>
          <w:fldChar w:fldCharType="begin"/>
        </w:r>
        <w:r>
          <w:rPr>
            <w:rtl/>
            <w:cs/>
          </w:rPr>
          <w:instrText>PAGE   \* MERGEFORMAT</w:instrText>
        </w:r>
        <w:r>
          <w:fldChar w:fldCharType="separate"/>
        </w:r>
        <w:r w:rsidRPr="000D3787">
          <w:rPr>
            <w:noProof/>
            <w:rtl/>
            <w:lang w:val="he-IL"/>
          </w:rPr>
          <w:t>1</w:t>
        </w:r>
        <w:r>
          <w:fldChar w:fldCharType="end"/>
        </w:r>
      </w:p>
    </w:sdtContent>
  </w:sdt>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E08E9" w14:textId="77777777" w:rsidR="003E1AA3" w:rsidRDefault="003E1AA3" w:rsidP="00C83122">
    <w:pPr>
      <w:pStyle w:val="affe"/>
    </w:pPr>
    <w:r>
      <w:rPr>
        <w:noProof/>
      </w:rPr>
      <mc:AlternateContent>
        <mc:Choice Requires="wps">
          <w:drawing>
            <wp:anchor distT="0" distB="0" distL="114300" distR="114300" simplePos="0" relativeHeight="251737088" behindDoc="0" locked="0" layoutInCell="1" allowOverlap="1" wp14:anchorId="6FDF070E" wp14:editId="5A1E99B9">
              <wp:simplePos x="0" y="0"/>
              <wp:positionH relativeFrom="margin">
                <wp:posOffset>2022878</wp:posOffset>
              </wp:positionH>
              <wp:positionV relativeFrom="paragraph">
                <wp:posOffset>3290</wp:posOffset>
              </wp:positionV>
              <wp:extent cx="4855120" cy="353202"/>
              <wp:effectExtent l="0" t="0" r="3175" b="8890"/>
              <wp:wrapNone/>
              <wp:docPr id="26" name="תיבת טקסט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5120" cy="353202"/>
                      </a:xfrm>
                      <a:prstGeom prst="rect">
                        <a:avLst/>
                      </a:prstGeom>
                      <a:solidFill>
                        <a:srgbClr val="FFFFFF"/>
                      </a:solidFill>
                      <a:ln w="19050">
                        <a:noFill/>
                        <a:miter lim="800000"/>
                        <a:headEnd/>
                        <a:tailEnd/>
                      </a:ln>
                    </wps:spPr>
                    <wps:txbx>
                      <w:txbxContent>
                        <w:p w14:paraId="395B48EA" w14:textId="77777777" w:rsidR="003E1AA3" w:rsidRPr="002A07A0" w:rsidRDefault="003E1AA3" w:rsidP="00911969">
                          <w:pPr>
                            <w:spacing w:line="240" w:lineRule="auto"/>
                            <w:contextualSpacing/>
                            <w:jc w:val="center"/>
                            <w:rPr>
                              <w:b/>
                              <w:bCs/>
                              <w:sz w:val="16"/>
                              <w:szCs w:val="16"/>
                              <w:rtl/>
                            </w:rPr>
                          </w:pPr>
                          <w:r>
                            <w:rPr>
                              <w:b/>
                              <w:bCs/>
                              <w:sz w:val="16"/>
                              <w:szCs w:val="16"/>
                              <w:rtl/>
                            </w:rPr>
                            <w:t xml:space="preserve">שלמה </w:t>
                          </w:r>
                          <w:r w:rsidRPr="00D348B7">
                            <w:rPr>
                              <w:b/>
                              <w:bCs/>
                              <w:sz w:val="16"/>
                              <w:szCs w:val="16"/>
                              <w:rtl/>
                            </w:rPr>
                            <w:t xml:space="preserve">הנדל </w:t>
                          </w:r>
                          <w:r>
                            <w:rPr>
                              <w:rFonts w:hint="cs"/>
                              <w:b/>
                              <w:bCs/>
                              <w:sz w:val="16"/>
                              <w:szCs w:val="16"/>
                              <w:rtl/>
                            </w:rPr>
                            <w:t xml:space="preserve">טל: </w:t>
                          </w:r>
                          <w:r w:rsidRPr="006C5697">
                            <w:rPr>
                              <w:b/>
                              <w:bCs/>
                              <w:sz w:val="16"/>
                              <w:szCs w:val="16"/>
                              <w:rtl/>
                            </w:rPr>
                            <w:t>052-7676412</w:t>
                          </w:r>
                          <w:r>
                            <w:rPr>
                              <w:rFonts w:hint="cs"/>
                              <w:b/>
                              <w:bCs/>
                              <w:sz w:val="16"/>
                              <w:szCs w:val="16"/>
                              <w:rtl/>
                            </w:rPr>
                            <w:t xml:space="preserve"> - </w:t>
                          </w:r>
                          <w:r w:rsidRPr="002A07A0">
                            <w:rPr>
                              <w:rFonts w:hint="cs"/>
                              <w:b/>
                              <w:bCs/>
                              <w:sz w:val="16"/>
                              <w:szCs w:val="16"/>
                              <w:rtl/>
                            </w:rPr>
                            <w:t xml:space="preserve">ניתן לקבל </w:t>
                          </w:r>
                          <w:r>
                            <w:rPr>
                              <w:rFonts w:hint="cs"/>
                              <w:b/>
                              <w:bCs/>
                              <w:sz w:val="16"/>
                              <w:szCs w:val="16"/>
                              <w:rtl/>
                            </w:rPr>
                            <w:t>את המ"מ</w:t>
                          </w:r>
                          <w:r w:rsidRPr="00134080">
                            <w:rPr>
                              <w:rFonts w:hint="cs"/>
                              <w:b/>
                              <w:bCs/>
                              <w:sz w:val="16"/>
                              <w:szCs w:val="16"/>
                              <w:rtl/>
                            </w:rPr>
                            <w:t xml:space="preserve"> </w:t>
                          </w:r>
                          <w:r w:rsidRPr="002A07A0">
                            <w:rPr>
                              <w:rFonts w:hint="cs"/>
                              <w:b/>
                              <w:bCs/>
                              <w:sz w:val="16"/>
                              <w:szCs w:val="16"/>
                              <w:rtl/>
                            </w:rPr>
                            <w:t>במייל:</w:t>
                          </w:r>
                          <w:r>
                            <w:rPr>
                              <w:rFonts w:hint="cs"/>
                              <w:b/>
                              <w:bCs/>
                              <w:sz w:val="16"/>
                              <w:szCs w:val="16"/>
                              <w:rtl/>
                            </w:rPr>
                            <w:t xml:space="preserve"> </w:t>
                          </w:r>
                          <w:hyperlink r:id="rId1" w:history="1">
                            <w:r w:rsidRPr="002A07A0">
                              <w:rPr>
                                <w:rStyle w:val="Hyperlink"/>
                                <w:b/>
                                <w:bCs/>
                                <w:color w:val="auto"/>
                                <w:sz w:val="16"/>
                                <w:szCs w:val="16"/>
                                <w:u w:val="none"/>
                              </w:rPr>
                              <w:t>A05</w:t>
                            </w:r>
                            <w:r w:rsidRPr="002A07A0">
                              <w:rPr>
                                <w:rStyle w:val="Hyperlink"/>
                                <w:rFonts w:hint="cs"/>
                                <w:b/>
                                <w:bCs/>
                                <w:color w:val="auto"/>
                                <w:sz w:val="16"/>
                                <w:szCs w:val="16"/>
                                <w:u w:val="none"/>
                              </w:rPr>
                              <w:t>27676412</w:t>
                            </w:r>
                            <w:r w:rsidRPr="002A07A0">
                              <w:rPr>
                                <w:rStyle w:val="Hyperlink"/>
                                <w:b/>
                                <w:bCs/>
                                <w:color w:val="auto"/>
                                <w:sz w:val="16"/>
                                <w:szCs w:val="16"/>
                                <w:u w:val="none"/>
                              </w:rPr>
                              <w:t>@</w:t>
                            </w:r>
                            <w:r w:rsidRPr="002A07A0">
                              <w:rPr>
                                <w:rStyle w:val="Hyperlink"/>
                                <w:rFonts w:hint="cs"/>
                                <w:b/>
                                <w:bCs/>
                                <w:color w:val="auto"/>
                                <w:sz w:val="16"/>
                                <w:szCs w:val="16"/>
                                <w:u w:val="none"/>
                              </w:rPr>
                              <w:t>GMAIL.COM</w:t>
                            </w:r>
                          </w:hyperlink>
                          <w:r w:rsidRPr="002A07A0">
                            <w:rPr>
                              <w:rFonts w:hint="cs"/>
                              <w:b/>
                              <w:bCs/>
                              <w:sz w:val="16"/>
                              <w:szCs w:val="16"/>
                              <w:rtl/>
                            </w:rPr>
                            <w:t xml:space="preserve"> </w:t>
                          </w:r>
                        </w:p>
                        <w:p w14:paraId="7E09020F" w14:textId="77777777" w:rsidR="003E1AA3" w:rsidRPr="008D08BD" w:rsidRDefault="003E1AA3" w:rsidP="00911969">
                          <w:pPr>
                            <w:spacing w:line="240" w:lineRule="auto"/>
                            <w:contextualSpacing/>
                            <w:jc w:val="center"/>
                            <w:rPr>
                              <w:b/>
                              <w:bCs/>
                              <w:sz w:val="16"/>
                              <w:szCs w:val="16"/>
                            </w:rPr>
                          </w:pPr>
                          <w:r w:rsidRPr="002A07A0">
                            <w:rPr>
                              <w:rFonts w:hint="cs"/>
                              <w:b/>
                              <w:bCs/>
                              <w:sz w:val="16"/>
                              <w:szCs w:val="16"/>
                              <w:rtl/>
                            </w:rPr>
                            <w:t xml:space="preserve">וכן </w:t>
                          </w:r>
                          <w:r>
                            <w:rPr>
                              <w:rFonts w:hint="cs"/>
                              <w:b/>
                              <w:bCs/>
                              <w:sz w:val="16"/>
                              <w:szCs w:val="16"/>
                              <w:rtl/>
                            </w:rPr>
                            <w:t xml:space="preserve">ניתן לקבל </w:t>
                          </w:r>
                          <w:r w:rsidRPr="002A07A0">
                            <w:rPr>
                              <w:rFonts w:hint="cs"/>
                              <w:b/>
                              <w:bCs/>
                              <w:sz w:val="16"/>
                              <w:szCs w:val="16"/>
                              <w:rtl/>
                            </w:rPr>
                            <w:t xml:space="preserve">את קובץ "משנתם בלשונם" </w:t>
                          </w:r>
                          <w:r>
                            <w:rPr>
                              <w:rFonts w:hint="cs"/>
                              <w:b/>
                              <w:bCs/>
                              <w:sz w:val="16"/>
                              <w:szCs w:val="16"/>
                              <w:rtl/>
                            </w:rPr>
                            <w:t>בו הובאו לשונות הראשונים והאחרונים,</w:t>
                          </w:r>
                          <w:r w:rsidRPr="008D08BD">
                            <w:rPr>
                              <w:b/>
                              <w:bCs/>
                              <w:sz w:val="16"/>
                              <w:szCs w:val="16"/>
                            </w:rPr>
                            <w:t xml:space="preserve"> </w:t>
                          </w:r>
                          <w:r>
                            <w:rPr>
                              <w:rFonts w:hint="cs"/>
                              <w:b/>
                              <w:bCs/>
                              <w:sz w:val="16"/>
                              <w:szCs w:val="16"/>
                              <w:rtl/>
                            </w:rPr>
                            <w:t>פתוחים להעתקה</w:t>
                          </w:r>
                          <w:r>
                            <w:rPr>
                              <w:b/>
                              <w:bCs/>
                              <w:sz w:val="16"/>
                              <w:szCs w:val="16"/>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FDF070E" id="_x0000_t202" coordsize="21600,21600" o:spt="202" path="m,l,21600r21600,l21600,xe">
              <v:stroke joinstyle="miter"/>
              <v:path gradientshapeok="t" o:connecttype="rect"/>
            </v:shapetype>
            <v:shape id="_x0000_s1077" type="#_x0000_t202" style="position:absolute;left:0;text-align:left;margin-left:159.3pt;margin-top:.25pt;width:382.3pt;height:27.8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" stroked="f" strokeweight="1.5pt">
              <v:textbox>
                <w:txbxContent>
                  <w:p w14:paraId="395B48EA" w14:textId="77777777" w:rsidR="003E1AA3" w:rsidRPr="002A07A0" w:rsidRDefault="003E1AA3" w:rsidP="00911969">
                    <w:pPr>
                      <w:spacing w:line="240" w:lineRule="auto"/>
                      <w:contextualSpacing/>
                      <w:jc w:val="center"/>
                      <w:rPr>
                        <w:b/>
                        <w:bCs/>
                        <w:sz w:val="16"/>
                        <w:szCs w:val="16"/>
                        <w:rtl/>
                      </w:rPr>
                    </w:pPr>
                    <w:r>
                      <w:rPr>
                        <w:b/>
                        <w:bCs/>
                        <w:sz w:val="16"/>
                        <w:szCs w:val="16"/>
                        <w:rtl/>
                      </w:rPr>
                      <w:t xml:space="preserve">שלמה </w:t>
                    </w:r>
                    <w:r w:rsidRPr="00D348B7">
                      <w:rPr>
                        <w:b/>
                        <w:bCs/>
                        <w:sz w:val="16"/>
                        <w:szCs w:val="16"/>
                        <w:rtl/>
                      </w:rPr>
                      <w:t xml:space="preserve">הנדל </w:t>
                    </w:r>
                    <w:r>
                      <w:rPr>
                        <w:rFonts w:hint="cs"/>
                        <w:b/>
                        <w:bCs/>
                        <w:sz w:val="16"/>
                        <w:szCs w:val="16"/>
                        <w:rtl/>
                      </w:rPr>
                      <w:t xml:space="preserve">טל: </w:t>
                    </w:r>
                    <w:r w:rsidRPr="006C5697">
                      <w:rPr>
                        <w:b/>
                        <w:bCs/>
                        <w:sz w:val="16"/>
                        <w:szCs w:val="16"/>
                        <w:rtl/>
                      </w:rPr>
                      <w:t>052-7676412</w:t>
                    </w:r>
                    <w:r>
                      <w:rPr>
                        <w:rFonts w:hint="cs"/>
                        <w:b/>
                        <w:bCs/>
                        <w:sz w:val="16"/>
                        <w:szCs w:val="16"/>
                        <w:rtl/>
                      </w:rPr>
                      <w:t xml:space="preserve"> - </w:t>
                    </w:r>
                    <w:r w:rsidRPr="002A07A0">
                      <w:rPr>
                        <w:rFonts w:hint="cs"/>
                        <w:b/>
                        <w:bCs/>
                        <w:sz w:val="16"/>
                        <w:szCs w:val="16"/>
                        <w:rtl/>
                      </w:rPr>
                      <w:t xml:space="preserve">ניתן לקבל </w:t>
                    </w:r>
                    <w:r>
                      <w:rPr>
                        <w:rFonts w:hint="cs"/>
                        <w:b/>
                        <w:bCs/>
                        <w:sz w:val="16"/>
                        <w:szCs w:val="16"/>
                        <w:rtl/>
                      </w:rPr>
                      <w:t>את המ"מ</w:t>
                    </w:r>
                    <w:r w:rsidRPr="00134080">
                      <w:rPr>
                        <w:rFonts w:hint="cs"/>
                        <w:b/>
                        <w:bCs/>
                        <w:sz w:val="16"/>
                        <w:szCs w:val="16"/>
                        <w:rtl/>
                      </w:rPr>
                      <w:t xml:space="preserve"> </w:t>
                    </w:r>
                    <w:r w:rsidRPr="002A07A0">
                      <w:rPr>
                        <w:rFonts w:hint="cs"/>
                        <w:b/>
                        <w:bCs/>
                        <w:sz w:val="16"/>
                        <w:szCs w:val="16"/>
                        <w:rtl/>
                      </w:rPr>
                      <w:t>במייל:</w:t>
                    </w:r>
                    <w:r>
                      <w:rPr>
                        <w:rFonts w:hint="cs"/>
                        <w:b/>
                        <w:bCs/>
                        <w:sz w:val="16"/>
                        <w:szCs w:val="16"/>
                        <w:rtl/>
                      </w:rPr>
                      <w:t xml:space="preserve"> </w:t>
                    </w:r>
                    <w:hyperlink r:id="rId2" w:history="1">
                      <w:r w:rsidRPr="002A07A0">
                        <w:rPr>
                          <w:rStyle w:val="Hyperlink"/>
                          <w:b/>
                          <w:bCs/>
                          <w:color w:val="auto"/>
                          <w:sz w:val="16"/>
                          <w:szCs w:val="16"/>
                          <w:u w:val="none"/>
                        </w:rPr>
                        <w:t>A05</w:t>
                      </w:r>
                      <w:r w:rsidRPr="002A07A0">
                        <w:rPr>
                          <w:rStyle w:val="Hyperlink"/>
                          <w:rFonts w:hint="cs"/>
                          <w:b/>
                          <w:bCs/>
                          <w:color w:val="auto"/>
                          <w:sz w:val="16"/>
                          <w:szCs w:val="16"/>
                          <w:u w:val="none"/>
                        </w:rPr>
                        <w:t>27676412</w:t>
                      </w:r>
                      <w:r w:rsidRPr="002A07A0">
                        <w:rPr>
                          <w:rStyle w:val="Hyperlink"/>
                          <w:b/>
                          <w:bCs/>
                          <w:color w:val="auto"/>
                          <w:sz w:val="16"/>
                          <w:szCs w:val="16"/>
                          <w:u w:val="none"/>
                        </w:rPr>
                        <w:t>@</w:t>
                      </w:r>
                      <w:r w:rsidRPr="002A07A0">
                        <w:rPr>
                          <w:rStyle w:val="Hyperlink"/>
                          <w:rFonts w:hint="cs"/>
                          <w:b/>
                          <w:bCs/>
                          <w:color w:val="auto"/>
                          <w:sz w:val="16"/>
                          <w:szCs w:val="16"/>
                          <w:u w:val="none"/>
                        </w:rPr>
                        <w:t>GMAIL.COM</w:t>
                      </w:r>
                    </w:hyperlink>
                    <w:r w:rsidRPr="002A07A0">
                      <w:rPr>
                        <w:rFonts w:hint="cs"/>
                        <w:b/>
                        <w:bCs/>
                        <w:sz w:val="16"/>
                        <w:szCs w:val="16"/>
                        <w:rtl/>
                      </w:rPr>
                      <w:t xml:space="preserve"> </w:t>
                    </w:r>
                  </w:p>
                  <w:p w14:paraId="7E09020F" w14:textId="77777777" w:rsidR="003E1AA3" w:rsidRPr="008D08BD" w:rsidRDefault="003E1AA3" w:rsidP="00911969">
                    <w:pPr>
                      <w:spacing w:line="240" w:lineRule="auto"/>
                      <w:contextualSpacing/>
                      <w:jc w:val="center"/>
                      <w:rPr>
                        <w:b/>
                        <w:bCs/>
                        <w:sz w:val="16"/>
                        <w:szCs w:val="16"/>
                      </w:rPr>
                    </w:pPr>
                    <w:r w:rsidRPr="002A07A0">
                      <w:rPr>
                        <w:rFonts w:hint="cs"/>
                        <w:b/>
                        <w:bCs/>
                        <w:sz w:val="16"/>
                        <w:szCs w:val="16"/>
                        <w:rtl/>
                      </w:rPr>
                      <w:t xml:space="preserve">וכן </w:t>
                    </w:r>
                    <w:r>
                      <w:rPr>
                        <w:rFonts w:hint="cs"/>
                        <w:b/>
                        <w:bCs/>
                        <w:sz w:val="16"/>
                        <w:szCs w:val="16"/>
                        <w:rtl/>
                      </w:rPr>
                      <w:t xml:space="preserve">ניתן לקבל </w:t>
                    </w:r>
                    <w:r w:rsidRPr="002A07A0">
                      <w:rPr>
                        <w:rFonts w:hint="cs"/>
                        <w:b/>
                        <w:bCs/>
                        <w:sz w:val="16"/>
                        <w:szCs w:val="16"/>
                        <w:rtl/>
                      </w:rPr>
                      <w:t xml:space="preserve">את קובץ "משנתם בלשונם" </w:t>
                    </w:r>
                    <w:r>
                      <w:rPr>
                        <w:rFonts w:hint="cs"/>
                        <w:b/>
                        <w:bCs/>
                        <w:sz w:val="16"/>
                        <w:szCs w:val="16"/>
                        <w:rtl/>
                      </w:rPr>
                      <w:t>בו הובאו לשונות הראשונים והאחרונים,</w:t>
                    </w:r>
                    <w:r w:rsidRPr="008D08BD">
                      <w:rPr>
                        <w:b/>
                        <w:bCs/>
                        <w:sz w:val="16"/>
                        <w:szCs w:val="16"/>
                      </w:rPr>
                      <w:t xml:space="preserve"> </w:t>
                    </w:r>
                    <w:r>
                      <w:rPr>
                        <w:rFonts w:hint="cs"/>
                        <w:b/>
                        <w:bCs/>
                        <w:sz w:val="16"/>
                        <w:szCs w:val="16"/>
                        <w:rtl/>
                      </w:rPr>
                      <w:t>פתוחים להעתקה</w:t>
                    </w:r>
                    <w:r>
                      <w:rPr>
                        <w:b/>
                        <w:bCs/>
                        <w:sz w:val="16"/>
                        <w:szCs w:val="16"/>
                      </w:rPr>
                      <w:t>.</w:t>
                    </w:r>
                  </w:p>
                </w:txbxContent>
              </v:textbox>
              <w10:wrap anchorx="margin"/>
            </v:shape>
          </w:pict>
        </mc:Fallback>
      </mc:AlternateContent>
    </w:r>
    <w:r>
      <w:rPr>
        <w:noProof/>
      </w:rPr>
      <mc:AlternateContent>
        <mc:Choice Requires="wps">
          <w:drawing>
            <wp:anchor distT="0" distB="0" distL="114300" distR="114300" simplePos="0" relativeHeight="251734016" behindDoc="0" locked="0" layoutInCell="1" allowOverlap="1" wp14:anchorId="62FC2EF0" wp14:editId="7FA19A21">
              <wp:simplePos x="0" y="0"/>
              <wp:positionH relativeFrom="margin">
                <wp:posOffset>46355</wp:posOffset>
              </wp:positionH>
              <wp:positionV relativeFrom="paragraph">
                <wp:posOffset>34290</wp:posOffset>
              </wp:positionV>
              <wp:extent cx="1002665" cy="264160"/>
              <wp:effectExtent l="0" t="0" r="6985" b="2540"/>
              <wp:wrapNone/>
              <wp:docPr id="27" name="תיבת טקסט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2665" cy="264160"/>
                      </a:xfrm>
                      <a:prstGeom prst="rect">
                        <a:avLst/>
                      </a:prstGeom>
                      <a:solidFill>
                        <a:srgbClr val="FFFFFF"/>
                      </a:solidFill>
                      <a:ln w="15875">
                        <a:solidFill>
                          <a:srgbClr val="000000"/>
                        </a:solidFill>
                        <a:miter lim="800000"/>
                        <a:headEnd/>
                        <a:tailEnd/>
                      </a:ln>
                    </wps:spPr>
                    <wps:txbx>
                      <w:txbxContent>
                        <w:p w14:paraId="4D28E6E5" w14:textId="77777777" w:rsidR="003E1AA3" w:rsidRDefault="003E1AA3" w:rsidP="00C83122">
                          <w:pPr>
                            <w:rPr>
                              <w:b/>
                              <w:bCs/>
                              <w:sz w:val="18"/>
                              <w:szCs w:val="18"/>
                            </w:rPr>
                          </w:pPr>
                          <w:r>
                            <w:rPr>
                              <w:b/>
                              <w:bCs/>
                              <w:sz w:val="18"/>
                              <w:szCs w:val="18"/>
                              <w:rtl/>
                            </w:rPr>
                            <w:t>המשך בעמ' הבא</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2FC2EF0" id="_x0000_s1078" type="#_x0000_t202" style="position:absolute;left:0;text-align:left;margin-left:3.65pt;margin-top:2.7pt;width:78.95pt;height:20.8pt;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" strokeweight="1.25pt">
              <v:textbox>
                <w:txbxContent>
                  <w:p w14:paraId="4D28E6E5" w14:textId="77777777" w:rsidR="003E1AA3" w:rsidRDefault="003E1AA3" w:rsidP="00C83122">
                    <w:pPr>
                      <w:rPr>
                        <w:b/>
                        <w:bCs/>
                        <w:sz w:val="18"/>
                        <w:szCs w:val="18"/>
                      </w:rPr>
                    </w:pPr>
                    <w:r>
                      <w:rPr>
                        <w:b/>
                        <w:bCs/>
                        <w:sz w:val="18"/>
                        <w:szCs w:val="18"/>
                        <w:rtl/>
                      </w:rPr>
                      <w:t>המשך בעמ' הבא</w:t>
                    </w:r>
                  </w:p>
                </w:txbxContent>
              </v:textbox>
              <w10:wrap anchorx="margin"/>
            </v:shape>
          </w:pict>
        </mc:Fallback>
      </mc:AlternateContent>
    </w:r>
  </w:p>
  <w:p w14:paraId="44189DA6" w14:textId="77777777" w:rsidR="003E1AA3" w:rsidRDefault="003E1AA3" w:rsidP="00C83122">
    <w:pPr>
      <w:pStyle w:val="affe"/>
    </w:pP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91773" w14:textId="77777777" w:rsidR="003E1AA3" w:rsidRDefault="003E1AA3">
    <w:pPr>
      <w:pStyle w:val="affe"/>
    </w:pP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71260825"/>
      <w:docPartObj>
        <w:docPartGallery w:val="Page Numbers (Bottom of Page)"/>
        <w:docPartUnique/>
      </w:docPartObj>
    </w:sdtPr>
    <w:sdtEndPr>
      <w:rPr>
        <w:cs/>
      </w:rPr>
    </w:sdtEndPr>
    <w:sdtContent>
      <w:p w14:paraId="04B3B8E7" w14:textId="77777777" w:rsidR="003E1AA3" w:rsidRDefault="003E1AA3">
        <w:pPr>
          <w:pStyle w:val="affe"/>
          <w:jc w:val="right"/>
          <w:rPr>
            <w:rtl/>
            <w:cs/>
          </w:rPr>
        </w:pPr>
        <w:r>
          <w:fldChar w:fldCharType="begin"/>
        </w:r>
        <w:r>
          <w:rPr>
            <w:rtl/>
            <w:cs/>
          </w:rPr>
          <w:instrText>PAGE   \* MERGEFORMAT</w:instrText>
        </w:r>
        <w:r>
          <w:fldChar w:fldCharType="separate"/>
        </w:r>
        <w:r w:rsidRPr="006B3804">
          <w:rPr>
            <w:noProof/>
            <w:rtl/>
            <w:lang w:val="he-IL"/>
          </w:rPr>
          <w:t>2</w:t>
        </w:r>
        <w:r>
          <w:fldChar w:fldCharType="end"/>
        </w:r>
      </w:p>
    </w:sdtContent>
  </w:sdt>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5AF28" w14:textId="77777777" w:rsidR="003E1AA3" w:rsidRDefault="003E1AA3" w:rsidP="00C83122">
    <w:pPr>
      <w:pStyle w:val="affe"/>
    </w:pPr>
    <w:r>
      <w:rPr>
        <w:noProof/>
      </w:rPr>
      <mc:AlternateContent>
        <mc:Choice Requires="wps">
          <w:drawing>
            <wp:anchor distT="0" distB="0" distL="114300" distR="114300" simplePos="0" relativeHeight="251735040" behindDoc="0" locked="0" layoutInCell="1" allowOverlap="1" wp14:anchorId="75A2E83C" wp14:editId="05B43691">
              <wp:simplePos x="0" y="0"/>
              <wp:positionH relativeFrom="margin">
                <wp:posOffset>3235960</wp:posOffset>
              </wp:positionH>
              <wp:positionV relativeFrom="paragraph">
                <wp:posOffset>64135</wp:posOffset>
              </wp:positionV>
              <wp:extent cx="3355975" cy="330200"/>
              <wp:effectExtent l="0" t="0" r="0" b="0"/>
              <wp:wrapNone/>
              <wp:docPr id="35" name="תיבת טקסט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5975" cy="330200"/>
                      </a:xfrm>
                      <a:prstGeom prst="rect">
                        <a:avLst/>
                      </a:prstGeom>
                      <a:solidFill>
                        <a:srgbClr val="FFFFFF"/>
                      </a:solidFill>
                      <a:ln w="19050">
                        <a:noFill/>
                        <a:miter lim="800000"/>
                        <a:headEnd/>
                        <a:tailEnd/>
                      </a:ln>
                    </wps:spPr>
                    <wps:txbx>
                      <w:txbxContent>
                        <w:p w14:paraId="5BC261FC" w14:textId="77777777" w:rsidR="003E1AA3" w:rsidRPr="00D348B7" w:rsidRDefault="003E1AA3" w:rsidP="00C83122">
                          <w:pPr>
                            <w:spacing w:line="240" w:lineRule="auto"/>
                            <w:jc w:val="center"/>
                            <w:rPr>
                              <w:b/>
                              <w:bCs/>
                              <w:sz w:val="16"/>
                              <w:szCs w:val="16"/>
                              <w:rtl/>
                            </w:rPr>
                          </w:pPr>
                          <w:r>
                            <w:rPr>
                              <w:b/>
                              <w:bCs/>
                              <w:sz w:val="16"/>
                              <w:szCs w:val="16"/>
                              <w:rtl/>
                            </w:rPr>
                            <w:t xml:space="preserve">שלמה </w:t>
                          </w:r>
                          <w:r w:rsidRPr="00D348B7">
                            <w:rPr>
                              <w:b/>
                              <w:bCs/>
                              <w:sz w:val="16"/>
                              <w:szCs w:val="16"/>
                              <w:rtl/>
                            </w:rPr>
                            <w:t xml:space="preserve">הנדל </w:t>
                          </w:r>
                          <w:r w:rsidRPr="00D348B7">
                            <w:rPr>
                              <w:rFonts w:hint="cs"/>
                              <w:b/>
                              <w:bCs/>
                              <w:sz w:val="16"/>
                              <w:szCs w:val="16"/>
                              <w:rtl/>
                            </w:rPr>
                            <w:t xml:space="preserve">- </w:t>
                          </w:r>
                          <w:r w:rsidRPr="00D348B7">
                            <w:rPr>
                              <w:b/>
                              <w:bCs/>
                              <w:sz w:val="16"/>
                              <w:szCs w:val="16"/>
                              <w:rtl/>
                            </w:rPr>
                            <w:t>בית הלל</w:t>
                          </w:r>
                          <w:r>
                            <w:rPr>
                              <w:b/>
                              <w:bCs/>
                              <w:sz w:val="16"/>
                              <w:szCs w:val="16"/>
                              <w:rtl/>
                            </w:rPr>
                            <w:tab/>
                          </w:r>
                          <w:r>
                            <w:rPr>
                              <w:rFonts w:hint="cs"/>
                              <w:b/>
                              <w:bCs/>
                              <w:sz w:val="16"/>
                              <w:szCs w:val="16"/>
                              <w:rtl/>
                            </w:rPr>
                            <w:t xml:space="preserve">טל: </w:t>
                          </w:r>
                          <w:r w:rsidRPr="006C5697">
                            <w:rPr>
                              <w:b/>
                              <w:bCs/>
                              <w:sz w:val="16"/>
                              <w:szCs w:val="16"/>
                              <w:rtl/>
                            </w:rPr>
                            <w:t>052-7676412</w:t>
                          </w:r>
                        </w:p>
                        <w:p w14:paraId="4B35D943" w14:textId="77777777" w:rsidR="003E1AA3" w:rsidRPr="008D08BD" w:rsidRDefault="003E1AA3" w:rsidP="00C83122">
                          <w:pPr>
                            <w:bidi w:val="0"/>
                            <w:jc w:val="center"/>
                            <w:rPr>
                              <w:b/>
                              <w:bCs/>
                              <w:sz w:val="16"/>
                              <w:szCs w:val="16"/>
                            </w:rPr>
                          </w:pPr>
                          <w:hyperlink r:id="rId1" w:history="1">
                            <w:r w:rsidRPr="008D08BD">
                              <w:rPr>
                                <w:b/>
                                <w:bCs/>
                                <w:sz w:val="16"/>
                                <w:szCs w:val="16"/>
                              </w:rPr>
                              <w:t>A05</w:t>
                            </w:r>
                            <w:r w:rsidRPr="008D08BD">
                              <w:rPr>
                                <w:rFonts w:hint="cs"/>
                                <w:b/>
                                <w:bCs/>
                                <w:sz w:val="16"/>
                                <w:szCs w:val="16"/>
                              </w:rPr>
                              <w:t>27676412</w:t>
                            </w:r>
                            <w:r w:rsidRPr="008D08BD">
                              <w:rPr>
                                <w:b/>
                                <w:bCs/>
                                <w:sz w:val="16"/>
                                <w:szCs w:val="16"/>
                              </w:rPr>
                              <w:t>@</w:t>
                            </w:r>
                            <w:r w:rsidRPr="008D08BD">
                              <w:rPr>
                                <w:rFonts w:hint="cs"/>
                                <w:b/>
                                <w:bCs/>
                                <w:sz w:val="16"/>
                                <w:szCs w:val="16"/>
                              </w:rPr>
                              <w:t>GMAIL.COM</w:t>
                            </w:r>
                          </w:hyperlink>
                          <w:r>
                            <w:rPr>
                              <w:b/>
                              <w:bCs/>
                              <w:sz w:val="16"/>
                              <w:szCs w:val="16"/>
                            </w:rPr>
                            <w:t xml:space="preserve"> </w:t>
                          </w:r>
                          <w:r w:rsidRPr="008D08BD">
                            <w:rPr>
                              <w:rFonts w:hint="cs"/>
                              <w:b/>
                              <w:bCs/>
                              <w:sz w:val="16"/>
                              <w:szCs w:val="16"/>
                              <w:rtl/>
                            </w:rPr>
                            <w:t>לקבלת המ"מ במייל נא לשלוח הודעה לכתובת:</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5A2E83C" id="_x0000_t202" coordsize="21600,21600" o:spt="202" path="m,l,21600r21600,l21600,xe">
              <v:stroke joinstyle="miter"/>
              <v:path gradientshapeok="t" o:connecttype="rect"/>
            </v:shapetype>
            <v:shape id="_x0000_s1079" type="#_x0000_t202" style="position:absolute;left:0;text-align:left;margin-left:254.8pt;margin-top:5.05pt;width:264.25pt;height:26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" stroked="f" strokeweight="1.5pt">
              <v:textbox>
                <w:txbxContent>
                  <w:p w14:paraId="5BC261FC" w14:textId="77777777" w:rsidR="003E1AA3" w:rsidRPr="00D348B7" w:rsidRDefault="003E1AA3" w:rsidP="00C83122">
                    <w:pPr>
                      <w:spacing w:line="240" w:lineRule="auto"/>
                      <w:jc w:val="center"/>
                      <w:rPr>
                        <w:b/>
                        <w:bCs/>
                        <w:sz w:val="16"/>
                        <w:szCs w:val="16"/>
                        <w:rtl/>
                      </w:rPr>
                    </w:pPr>
                    <w:r>
                      <w:rPr>
                        <w:b/>
                        <w:bCs/>
                        <w:sz w:val="16"/>
                        <w:szCs w:val="16"/>
                        <w:rtl/>
                      </w:rPr>
                      <w:t xml:space="preserve">שלמה </w:t>
                    </w:r>
                    <w:r w:rsidRPr="00D348B7">
                      <w:rPr>
                        <w:b/>
                        <w:bCs/>
                        <w:sz w:val="16"/>
                        <w:szCs w:val="16"/>
                        <w:rtl/>
                      </w:rPr>
                      <w:t xml:space="preserve">הנדל </w:t>
                    </w:r>
                    <w:r w:rsidRPr="00D348B7">
                      <w:rPr>
                        <w:rFonts w:hint="cs"/>
                        <w:b/>
                        <w:bCs/>
                        <w:sz w:val="16"/>
                        <w:szCs w:val="16"/>
                        <w:rtl/>
                      </w:rPr>
                      <w:t xml:space="preserve">- </w:t>
                    </w:r>
                    <w:r w:rsidRPr="00D348B7">
                      <w:rPr>
                        <w:b/>
                        <w:bCs/>
                        <w:sz w:val="16"/>
                        <w:szCs w:val="16"/>
                        <w:rtl/>
                      </w:rPr>
                      <w:t>בית הלל</w:t>
                    </w:r>
                    <w:r>
                      <w:rPr>
                        <w:b/>
                        <w:bCs/>
                        <w:sz w:val="16"/>
                        <w:szCs w:val="16"/>
                        <w:rtl/>
                      </w:rPr>
                      <w:tab/>
                    </w:r>
                    <w:r>
                      <w:rPr>
                        <w:rFonts w:hint="cs"/>
                        <w:b/>
                        <w:bCs/>
                        <w:sz w:val="16"/>
                        <w:szCs w:val="16"/>
                        <w:rtl/>
                      </w:rPr>
                      <w:t xml:space="preserve">טל: </w:t>
                    </w:r>
                    <w:r w:rsidRPr="006C5697">
                      <w:rPr>
                        <w:b/>
                        <w:bCs/>
                        <w:sz w:val="16"/>
                        <w:szCs w:val="16"/>
                        <w:rtl/>
                      </w:rPr>
                      <w:t>052-7676412</w:t>
                    </w:r>
                  </w:p>
                  <w:p w14:paraId="4B35D943" w14:textId="77777777" w:rsidR="003E1AA3" w:rsidRPr="008D08BD" w:rsidRDefault="003E1AA3" w:rsidP="00C83122">
                    <w:pPr>
                      <w:bidi w:val="0"/>
                      <w:jc w:val="center"/>
                      <w:rPr>
                        <w:b/>
                        <w:bCs/>
                        <w:sz w:val="16"/>
                        <w:szCs w:val="16"/>
                      </w:rPr>
                    </w:pPr>
                    <w:hyperlink r:id="rId2" w:history="1">
                      <w:r w:rsidRPr="008D08BD">
                        <w:rPr>
                          <w:b/>
                          <w:bCs/>
                          <w:sz w:val="16"/>
                          <w:szCs w:val="16"/>
                        </w:rPr>
                        <w:t>A05</w:t>
                      </w:r>
                      <w:r w:rsidRPr="008D08BD">
                        <w:rPr>
                          <w:rFonts w:hint="cs"/>
                          <w:b/>
                          <w:bCs/>
                          <w:sz w:val="16"/>
                          <w:szCs w:val="16"/>
                        </w:rPr>
                        <w:t>27676412</w:t>
                      </w:r>
                      <w:r w:rsidRPr="008D08BD">
                        <w:rPr>
                          <w:b/>
                          <w:bCs/>
                          <w:sz w:val="16"/>
                          <w:szCs w:val="16"/>
                        </w:rPr>
                        <w:t>@</w:t>
                      </w:r>
                      <w:r w:rsidRPr="008D08BD">
                        <w:rPr>
                          <w:rFonts w:hint="cs"/>
                          <w:b/>
                          <w:bCs/>
                          <w:sz w:val="16"/>
                          <w:szCs w:val="16"/>
                        </w:rPr>
                        <w:t>GMAIL.COM</w:t>
                      </w:r>
                    </w:hyperlink>
                    <w:r>
                      <w:rPr>
                        <w:b/>
                        <w:bCs/>
                        <w:sz w:val="16"/>
                        <w:szCs w:val="16"/>
                      </w:rPr>
                      <w:t xml:space="preserve"> </w:t>
                    </w:r>
                    <w:r w:rsidRPr="008D08BD">
                      <w:rPr>
                        <w:rFonts w:hint="cs"/>
                        <w:b/>
                        <w:bCs/>
                        <w:sz w:val="16"/>
                        <w:szCs w:val="16"/>
                        <w:rtl/>
                      </w:rPr>
                      <w:t>לקבלת המ"מ במייל נא לשלוח הודעה לכתובת:</w:t>
                    </w:r>
                  </w:p>
                </w:txbxContent>
              </v:textbox>
              <w10:wrap anchorx="margin"/>
            </v:shape>
          </w:pict>
        </mc:Fallback>
      </mc:AlternateContent>
    </w:r>
    <w:r>
      <w:rPr>
        <w:noProof/>
      </w:rPr>
      <mc:AlternateContent>
        <mc:Choice Requires="wps">
          <w:drawing>
            <wp:anchor distT="0" distB="0" distL="114300" distR="114300" simplePos="0" relativeHeight="251736064" behindDoc="0" locked="0" layoutInCell="1" allowOverlap="1" wp14:anchorId="6D9E1A63" wp14:editId="65672D44">
              <wp:simplePos x="0" y="0"/>
              <wp:positionH relativeFrom="margin">
                <wp:posOffset>46355</wp:posOffset>
              </wp:positionH>
              <wp:positionV relativeFrom="paragraph">
                <wp:posOffset>34290</wp:posOffset>
              </wp:positionV>
              <wp:extent cx="1002665" cy="264160"/>
              <wp:effectExtent l="0" t="0" r="6985" b="2540"/>
              <wp:wrapNone/>
              <wp:docPr id="36" name="תיבת טקסט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2665" cy="264160"/>
                      </a:xfrm>
                      <a:prstGeom prst="rect">
                        <a:avLst/>
                      </a:prstGeom>
                      <a:solidFill>
                        <a:srgbClr val="FFFFFF"/>
                      </a:solidFill>
                      <a:ln w="15875">
                        <a:solidFill>
                          <a:srgbClr val="000000"/>
                        </a:solidFill>
                        <a:miter lim="800000"/>
                        <a:headEnd/>
                        <a:tailEnd/>
                      </a:ln>
                    </wps:spPr>
                    <wps:txbx>
                      <w:txbxContent>
                        <w:p w14:paraId="0E14E73F" w14:textId="77777777" w:rsidR="003E1AA3" w:rsidRDefault="003E1AA3" w:rsidP="00C83122">
                          <w:pPr>
                            <w:rPr>
                              <w:b/>
                              <w:bCs/>
                              <w:sz w:val="18"/>
                              <w:szCs w:val="18"/>
                            </w:rPr>
                          </w:pPr>
                          <w:r>
                            <w:rPr>
                              <w:b/>
                              <w:bCs/>
                              <w:sz w:val="18"/>
                              <w:szCs w:val="18"/>
                              <w:rtl/>
                            </w:rPr>
                            <w:t>המשך בעמ' הבא</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D9E1A63" id="_x0000_s1080" type="#_x0000_t202" style="position:absolute;left:0;text-align:left;margin-left:3.65pt;margin-top:2.7pt;width:78.95pt;height:20.8pt;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" strokeweight="1.25pt">
              <v:textbox>
                <w:txbxContent>
                  <w:p w14:paraId="0E14E73F" w14:textId="77777777" w:rsidR="003E1AA3" w:rsidRDefault="003E1AA3" w:rsidP="00C83122">
                    <w:pPr>
                      <w:rPr>
                        <w:b/>
                        <w:bCs/>
                        <w:sz w:val="18"/>
                        <w:szCs w:val="18"/>
                      </w:rPr>
                    </w:pPr>
                    <w:r>
                      <w:rPr>
                        <w:b/>
                        <w:bCs/>
                        <w:sz w:val="18"/>
                        <w:szCs w:val="18"/>
                        <w:rtl/>
                      </w:rPr>
                      <w:t>המשך בעמ' הבא</w:t>
                    </w:r>
                  </w:p>
                </w:txbxContent>
              </v:textbox>
              <w10:wrap anchorx="margin"/>
            </v:shape>
          </w:pict>
        </mc:Fallback>
      </mc:AlternateContent>
    </w:r>
  </w:p>
  <w:p w14:paraId="7D7D6DB1" w14:textId="77777777" w:rsidR="003E1AA3" w:rsidRDefault="003E1AA3" w:rsidP="00C83122">
    <w:pPr>
      <w:pStyle w:val="affe"/>
    </w:pP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73927797"/>
      <w:docPartObj>
        <w:docPartGallery w:val="Page Numbers (Bottom of Page)"/>
        <w:docPartUnique/>
      </w:docPartObj>
    </w:sdtPr>
    <w:sdtEndPr>
      <w:rPr>
        <w:cs/>
      </w:rPr>
    </w:sdtEndPr>
    <w:sdtContent>
      <w:p w14:paraId="46FAD026" w14:textId="77777777" w:rsidR="003E1AA3" w:rsidRDefault="003E1AA3">
        <w:pPr>
          <w:pStyle w:val="affe"/>
          <w:jc w:val="right"/>
          <w:rPr>
            <w:rtl/>
            <w:cs/>
          </w:rPr>
        </w:pPr>
        <w:r>
          <w:fldChar w:fldCharType="begin"/>
        </w:r>
        <w:r>
          <w:rPr>
            <w:rtl/>
            <w:cs/>
          </w:rPr>
          <w:instrText>PAGE   \* MERGEFORMAT</w:instrText>
        </w:r>
        <w:r>
          <w:fldChar w:fldCharType="separate"/>
        </w:r>
        <w:r w:rsidRPr="006B3804">
          <w:rPr>
            <w:noProof/>
            <w:rtl/>
            <w:lang w:val="he-IL"/>
          </w:rPr>
          <w:t>3</w:t>
        </w:r>
        <w:r>
          <w:fldChar w:fldCharType="end"/>
        </w:r>
      </w:p>
    </w:sdtContent>
  </w:sdt>
  <w:p w14:paraId="1F10229D" w14:textId="77777777" w:rsidR="003E1AA3" w:rsidRDefault="003E1AA3"/>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316029120"/>
      <w:docPartObj>
        <w:docPartGallery w:val="Page Numbers (Bottom of Page)"/>
        <w:docPartUnique/>
      </w:docPartObj>
    </w:sdtPr>
    <w:sdtEndPr>
      <w:rPr>
        <w:cs/>
      </w:rPr>
    </w:sdtEndPr>
    <w:sdtContent>
      <w:p w14:paraId="3E9FBEC8" w14:textId="77777777" w:rsidR="000F6808" w:rsidRDefault="000F6808">
        <w:pPr>
          <w:pStyle w:val="affe"/>
          <w:jc w:val="right"/>
          <w:rPr>
            <w:rtl/>
            <w:cs/>
          </w:rPr>
        </w:pPr>
        <w:r>
          <w:fldChar w:fldCharType="begin"/>
        </w:r>
        <w:r>
          <w:rPr>
            <w:rtl/>
            <w:cs/>
          </w:rPr>
          <w:instrText>PAGE   \* MERGEFORMAT</w:instrText>
        </w:r>
        <w:r>
          <w:fldChar w:fldCharType="separate"/>
        </w:r>
        <w:r w:rsidRPr="000D3787">
          <w:rPr>
            <w:noProof/>
            <w:rtl/>
            <w:lang w:val="he-IL"/>
          </w:rPr>
          <w:t>1</w:t>
        </w:r>
        <w:r>
          <w:fldChar w:fldCharType="end"/>
        </w:r>
      </w:p>
    </w:sdtContent>
  </w:sdt>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4833C" w14:textId="77777777" w:rsidR="000F6808" w:rsidRDefault="000F6808" w:rsidP="00C83122">
    <w:pPr>
      <w:pStyle w:val="affe"/>
    </w:pPr>
    <w:r>
      <w:rPr>
        <w:noProof/>
      </w:rPr>
      <mc:AlternateContent>
        <mc:Choice Requires="wps">
          <w:drawing>
            <wp:anchor distT="0" distB="0" distL="114300" distR="114300" simplePos="0" relativeHeight="251742208" behindDoc="0" locked="0" layoutInCell="1" allowOverlap="1" wp14:anchorId="43B27AA6" wp14:editId="31180ED8">
              <wp:simplePos x="0" y="0"/>
              <wp:positionH relativeFrom="margin">
                <wp:posOffset>2022878</wp:posOffset>
              </wp:positionH>
              <wp:positionV relativeFrom="paragraph">
                <wp:posOffset>3290</wp:posOffset>
              </wp:positionV>
              <wp:extent cx="4855120" cy="353202"/>
              <wp:effectExtent l="0" t="0" r="3175" b="8890"/>
              <wp:wrapNone/>
              <wp:docPr id="37" name="תיבת טקסט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5120" cy="353202"/>
                      </a:xfrm>
                      <a:prstGeom prst="rect">
                        <a:avLst/>
                      </a:prstGeom>
                      <a:solidFill>
                        <a:srgbClr val="FFFFFF"/>
                      </a:solidFill>
                      <a:ln w="19050">
                        <a:noFill/>
                        <a:miter lim="800000"/>
                        <a:headEnd/>
                        <a:tailEnd/>
                      </a:ln>
                    </wps:spPr>
                    <wps:txbx>
                      <w:txbxContent>
                        <w:p w14:paraId="79004F31" w14:textId="77777777" w:rsidR="000F6808" w:rsidRPr="002A07A0" w:rsidRDefault="000F6808" w:rsidP="00911969">
                          <w:pPr>
                            <w:spacing w:line="240" w:lineRule="auto"/>
                            <w:contextualSpacing/>
                            <w:jc w:val="center"/>
                            <w:rPr>
                              <w:b/>
                              <w:bCs/>
                              <w:sz w:val="16"/>
                              <w:szCs w:val="16"/>
                              <w:rtl/>
                            </w:rPr>
                          </w:pPr>
                          <w:r>
                            <w:rPr>
                              <w:b/>
                              <w:bCs/>
                              <w:sz w:val="16"/>
                              <w:szCs w:val="16"/>
                              <w:rtl/>
                            </w:rPr>
                            <w:t xml:space="preserve">שלמה </w:t>
                          </w:r>
                          <w:r w:rsidRPr="00D348B7">
                            <w:rPr>
                              <w:b/>
                              <w:bCs/>
                              <w:sz w:val="16"/>
                              <w:szCs w:val="16"/>
                              <w:rtl/>
                            </w:rPr>
                            <w:t xml:space="preserve">הנדל </w:t>
                          </w:r>
                          <w:r>
                            <w:rPr>
                              <w:rFonts w:hint="cs"/>
                              <w:b/>
                              <w:bCs/>
                              <w:sz w:val="16"/>
                              <w:szCs w:val="16"/>
                              <w:rtl/>
                            </w:rPr>
                            <w:t xml:space="preserve">טל: </w:t>
                          </w:r>
                          <w:r w:rsidRPr="006C5697">
                            <w:rPr>
                              <w:b/>
                              <w:bCs/>
                              <w:sz w:val="16"/>
                              <w:szCs w:val="16"/>
                              <w:rtl/>
                            </w:rPr>
                            <w:t>052-7676412</w:t>
                          </w:r>
                          <w:r>
                            <w:rPr>
                              <w:rFonts w:hint="cs"/>
                              <w:b/>
                              <w:bCs/>
                              <w:sz w:val="16"/>
                              <w:szCs w:val="16"/>
                              <w:rtl/>
                            </w:rPr>
                            <w:t xml:space="preserve"> - </w:t>
                          </w:r>
                          <w:r w:rsidRPr="002A07A0">
                            <w:rPr>
                              <w:rFonts w:hint="cs"/>
                              <w:b/>
                              <w:bCs/>
                              <w:sz w:val="16"/>
                              <w:szCs w:val="16"/>
                              <w:rtl/>
                            </w:rPr>
                            <w:t xml:space="preserve">ניתן לקבל </w:t>
                          </w:r>
                          <w:r>
                            <w:rPr>
                              <w:rFonts w:hint="cs"/>
                              <w:b/>
                              <w:bCs/>
                              <w:sz w:val="16"/>
                              <w:szCs w:val="16"/>
                              <w:rtl/>
                            </w:rPr>
                            <w:t>את המ"מ</w:t>
                          </w:r>
                          <w:r w:rsidRPr="00134080">
                            <w:rPr>
                              <w:rFonts w:hint="cs"/>
                              <w:b/>
                              <w:bCs/>
                              <w:sz w:val="16"/>
                              <w:szCs w:val="16"/>
                              <w:rtl/>
                            </w:rPr>
                            <w:t xml:space="preserve"> </w:t>
                          </w:r>
                          <w:r w:rsidRPr="002A07A0">
                            <w:rPr>
                              <w:rFonts w:hint="cs"/>
                              <w:b/>
                              <w:bCs/>
                              <w:sz w:val="16"/>
                              <w:szCs w:val="16"/>
                              <w:rtl/>
                            </w:rPr>
                            <w:t>במייל:</w:t>
                          </w:r>
                          <w:r>
                            <w:rPr>
                              <w:rFonts w:hint="cs"/>
                              <w:b/>
                              <w:bCs/>
                              <w:sz w:val="16"/>
                              <w:szCs w:val="16"/>
                              <w:rtl/>
                            </w:rPr>
                            <w:t xml:space="preserve"> </w:t>
                          </w:r>
                          <w:hyperlink r:id="rId1" w:history="1">
                            <w:r w:rsidRPr="002A07A0">
                              <w:rPr>
                                <w:rStyle w:val="Hyperlink"/>
                                <w:b/>
                                <w:bCs/>
                                <w:color w:val="auto"/>
                                <w:sz w:val="16"/>
                                <w:szCs w:val="16"/>
                                <w:u w:val="none"/>
                              </w:rPr>
                              <w:t>A05</w:t>
                            </w:r>
                            <w:r w:rsidRPr="002A07A0">
                              <w:rPr>
                                <w:rStyle w:val="Hyperlink"/>
                                <w:rFonts w:hint="cs"/>
                                <w:b/>
                                <w:bCs/>
                                <w:color w:val="auto"/>
                                <w:sz w:val="16"/>
                                <w:szCs w:val="16"/>
                                <w:u w:val="none"/>
                              </w:rPr>
                              <w:t>27676412</w:t>
                            </w:r>
                            <w:r w:rsidRPr="002A07A0">
                              <w:rPr>
                                <w:rStyle w:val="Hyperlink"/>
                                <w:b/>
                                <w:bCs/>
                                <w:color w:val="auto"/>
                                <w:sz w:val="16"/>
                                <w:szCs w:val="16"/>
                                <w:u w:val="none"/>
                              </w:rPr>
                              <w:t>@</w:t>
                            </w:r>
                            <w:r w:rsidRPr="002A07A0">
                              <w:rPr>
                                <w:rStyle w:val="Hyperlink"/>
                                <w:rFonts w:hint="cs"/>
                                <w:b/>
                                <w:bCs/>
                                <w:color w:val="auto"/>
                                <w:sz w:val="16"/>
                                <w:szCs w:val="16"/>
                                <w:u w:val="none"/>
                              </w:rPr>
                              <w:t>GMAIL.COM</w:t>
                            </w:r>
                          </w:hyperlink>
                          <w:r w:rsidRPr="002A07A0">
                            <w:rPr>
                              <w:rFonts w:hint="cs"/>
                              <w:b/>
                              <w:bCs/>
                              <w:sz w:val="16"/>
                              <w:szCs w:val="16"/>
                              <w:rtl/>
                            </w:rPr>
                            <w:t xml:space="preserve"> </w:t>
                          </w:r>
                        </w:p>
                        <w:p w14:paraId="1BEB0CBB" w14:textId="77777777" w:rsidR="000F6808" w:rsidRPr="008D08BD" w:rsidRDefault="000F6808" w:rsidP="00911969">
                          <w:pPr>
                            <w:spacing w:line="240" w:lineRule="auto"/>
                            <w:contextualSpacing/>
                            <w:jc w:val="center"/>
                            <w:rPr>
                              <w:b/>
                              <w:bCs/>
                              <w:sz w:val="16"/>
                              <w:szCs w:val="16"/>
                            </w:rPr>
                          </w:pPr>
                          <w:r w:rsidRPr="002A07A0">
                            <w:rPr>
                              <w:rFonts w:hint="cs"/>
                              <w:b/>
                              <w:bCs/>
                              <w:sz w:val="16"/>
                              <w:szCs w:val="16"/>
                              <w:rtl/>
                            </w:rPr>
                            <w:t xml:space="preserve">וכן </w:t>
                          </w:r>
                          <w:r>
                            <w:rPr>
                              <w:rFonts w:hint="cs"/>
                              <w:b/>
                              <w:bCs/>
                              <w:sz w:val="16"/>
                              <w:szCs w:val="16"/>
                              <w:rtl/>
                            </w:rPr>
                            <w:t xml:space="preserve">ניתן לקבל </w:t>
                          </w:r>
                          <w:r w:rsidRPr="002A07A0">
                            <w:rPr>
                              <w:rFonts w:hint="cs"/>
                              <w:b/>
                              <w:bCs/>
                              <w:sz w:val="16"/>
                              <w:szCs w:val="16"/>
                              <w:rtl/>
                            </w:rPr>
                            <w:t xml:space="preserve">את קובץ "משנתם בלשונם" </w:t>
                          </w:r>
                          <w:r>
                            <w:rPr>
                              <w:rFonts w:hint="cs"/>
                              <w:b/>
                              <w:bCs/>
                              <w:sz w:val="16"/>
                              <w:szCs w:val="16"/>
                              <w:rtl/>
                            </w:rPr>
                            <w:t>בו הובאו לשונות הראשונים והאחרונים,</w:t>
                          </w:r>
                          <w:r w:rsidRPr="008D08BD">
                            <w:rPr>
                              <w:b/>
                              <w:bCs/>
                              <w:sz w:val="16"/>
                              <w:szCs w:val="16"/>
                            </w:rPr>
                            <w:t xml:space="preserve"> </w:t>
                          </w:r>
                          <w:r>
                            <w:rPr>
                              <w:rFonts w:hint="cs"/>
                              <w:b/>
                              <w:bCs/>
                              <w:sz w:val="16"/>
                              <w:szCs w:val="16"/>
                              <w:rtl/>
                            </w:rPr>
                            <w:t>פתוחים להעתקה</w:t>
                          </w:r>
                          <w:r>
                            <w:rPr>
                              <w:b/>
                              <w:bCs/>
                              <w:sz w:val="16"/>
                              <w:szCs w:val="16"/>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3B27AA6" id="_x0000_t202" coordsize="21600,21600" o:spt="202" path="m,l,21600r21600,l21600,xe">
              <v:stroke joinstyle="miter"/>
              <v:path gradientshapeok="t" o:connecttype="rect"/>
            </v:shapetype>
            <v:shape id="_x0000_s1081" type="#_x0000_t202" style="position:absolute;left:0;text-align:left;margin-left:159.3pt;margin-top:.25pt;width:382.3pt;height:27.8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" stroked="f" strokeweight="1.5pt">
              <v:textbox>
                <w:txbxContent>
                  <w:p w14:paraId="79004F31" w14:textId="77777777" w:rsidR="000F6808" w:rsidRPr="002A07A0" w:rsidRDefault="000F6808" w:rsidP="00911969">
                    <w:pPr>
                      <w:spacing w:line="240" w:lineRule="auto"/>
                      <w:contextualSpacing/>
                      <w:jc w:val="center"/>
                      <w:rPr>
                        <w:b/>
                        <w:bCs/>
                        <w:sz w:val="16"/>
                        <w:szCs w:val="16"/>
                        <w:rtl/>
                      </w:rPr>
                    </w:pPr>
                    <w:r>
                      <w:rPr>
                        <w:b/>
                        <w:bCs/>
                        <w:sz w:val="16"/>
                        <w:szCs w:val="16"/>
                        <w:rtl/>
                      </w:rPr>
                      <w:t xml:space="preserve">שלמה </w:t>
                    </w:r>
                    <w:r w:rsidRPr="00D348B7">
                      <w:rPr>
                        <w:b/>
                        <w:bCs/>
                        <w:sz w:val="16"/>
                        <w:szCs w:val="16"/>
                        <w:rtl/>
                      </w:rPr>
                      <w:t xml:space="preserve">הנדל </w:t>
                    </w:r>
                    <w:r>
                      <w:rPr>
                        <w:rFonts w:hint="cs"/>
                        <w:b/>
                        <w:bCs/>
                        <w:sz w:val="16"/>
                        <w:szCs w:val="16"/>
                        <w:rtl/>
                      </w:rPr>
                      <w:t xml:space="preserve">טל: </w:t>
                    </w:r>
                    <w:r w:rsidRPr="006C5697">
                      <w:rPr>
                        <w:b/>
                        <w:bCs/>
                        <w:sz w:val="16"/>
                        <w:szCs w:val="16"/>
                        <w:rtl/>
                      </w:rPr>
                      <w:t>052-7676412</w:t>
                    </w:r>
                    <w:r>
                      <w:rPr>
                        <w:rFonts w:hint="cs"/>
                        <w:b/>
                        <w:bCs/>
                        <w:sz w:val="16"/>
                        <w:szCs w:val="16"/>
                        <w:rtl/>
                      </w:rPr>
                      <w:t xml:space="preserve"> - </w:t>
                    </w:r>
                    <w:r w:rsidRPr="002A07A0">
                      <w:rPr>
                        <w:rFonts w:hint="cs"/>
                        <w:b/>
                        <w:bCs/>
                        <w:sz w:val="16"/>
                        <w:szCs w:val="16"/>
                        <w:rtl/>
                      </w:rPr>
                      <w:t xml:space="preserve">ניתן לקבל </w:t>
                    </w:r>
                    <w:r>
                      <w:rPr>
                        <w:rFonts w:hint="cs"/>
                        <w:b/>
                        <w:bCs/>
                        <w:sz w:val="16"/>
                        <w:szCs w:val="16"/>
                        <w:rtl/>
                      </w:rPr>
                      <w:t>את המ"מ</w:t>
                    </w:r>
                    <w:r w:rsidRPr="00134080">
                      <w:rPr>
                        <w:rFonts w:hint="cs"/>
                        <w:b/>
                        <w:bCs/>
                        <w:sz w:val="16"/>
                        <w:szCs w:val="16"/>
                        <w:rtl/>
                      </w:rPr>
                      <w:t xml:space="preserve"> </w:t>
                    </w:r>
                    <w:r w:rsidRPr="002A07A0">
                      <w:rPr>
                        <w:rFonts w:hint="cs"/>
                        <w:b/>
                        <w:bCs/>
                        <w:sz w:val="16"/>
                        <w:szCs w:val="16"/>
                        <w:rtl/>
                      </w:rPr>
                      <w:t>במייל:</w:t>
                    </w:r>
                    <w:r>
                      <w:rPr>
                        <w:rFonts w:hint="cs"/>
                        <w:b/>
                        <w:bCs/>
                        <w:sz w:val="16"/>
                        <w:szCs w:val="16"/>
                        <w:rtl/>
                      </w:rPr>
                      <w:t xml:space="preserve"> </w:t>
                    </w:r>
                    <w:hyperlink r:id="rId2" w:history="1">
                      <w:r w:rsidRPr="002A07A0">
                        <w:rPr>
                          <w:rStyle w:val="Hyperlink"/>
                          <w:b/>
                          <w:bCs/>
                          <w:color w:val="auto"/>
                          <w:sz w:val="16"/>
                          <w:szCs w:val="16"/>
                          <w:u w:val="none"/>
                        </w:rPr>
                        <w:t>A05</w:t>
                      </w:r>
                      <w:r w:rsidRPr="002A07A0">
                        <w:rPr>
                          <w:rStyle w:val="Hyperlink"/>
                          <w:rFonts w:hint="cs"/>
                          <w:b/>
                          <w:bCs/>
                          <w:color w:val="auto"/>
                          <w:sz w:val="16"/>
                          <w:szCs w:val="16"/>
                          <w:u w:val="none"/>
                        </w:rPr>
                        <w:t>27676412</w:t>
                      </w:r>
                      <w:r w:rsidRPr="002A07A0">
                        <w:rPr>
                          <w:rStyle w:val="Hyperlink"/>
                          <w:b/>
                          <w:bCs/>
                          <w:color w:val="auto"/>
                          <w:sz w:val="16"/>
                          <w:szCs w:val="16"/>
                          <w:u w:val="none"/>
                        </w:rPr>
                        <w:t>@</w:t>
                      </w:r>
                      <w:r w:rsidRPr="002A07A0">
                        <w:rPr>
                          <w:rStyle w:val="Hyperlink"/>
                          <w:rFonts w:hint="cs"/>
                          <w:b/>
                          <w:bCs/>
                          <w:color w:val="auto"/>
                          <w:sz w:val="16"/>
                          <w:szCs w:val="16"/>
                          <w:u w:val="none"/>
                        </w:rPr>
                        <w:t>GMAIL.COM</w:t>
                      </w:r>
                    </w:hyperlink>
                    <w:r w:rsidRPr="002A07A0">
                      <w:rPr>
                        <w:rFonts w:hint="cs"/>
                        <w:b/>
                        <w:bCs/>
                        <w:sz w:val="16"/>
                        <w:szCs w:val="16"/>
                        <w:rtl/>
                      </w:rPr>
                      <w:t xml:space="preserve"> </w:t>
                    </w:r>
                  </w:p>
                  <w:p w14:paraId="1BEB0CBB" w14:textId="77777777" w:rsidR="000F6808" w:rsidRPr="008D08BD" w:rsidRDefault="000F6808" w:rsidP="00911969">
                    <w:pPr>
                      <w:spacing w:line="240" w:lineRule="auto"/>
                      <w:contextualSpacing/>
                      <w:jc w:val="center"/>
                      <w:rPr>
                        <w:b/>
                        <w:bCs/>
                        <w:sz w:val="16"/>
                        <w:szCs w:val="16"/>
                      </w:rPr>
                    </w:pPr>
                    <w:r w:rsidRPr="002A07A0">
                      <w:rPr>
                        <w:rFonts w:hint="cs"/>
                        <w:b/>
                        <w:bCs/>
                        <w:sz w:val="16"/>
                        <w:szCs w:val="16"/>
                        <w:rtl/>
                      </w:rPr>
                      <w:t xml:space="preserve">וכן </w:t>
                    </w:r>
                    <w:r>
                      <w:rPr>
                        <w:rFonts w:hint="cs"/>
                        <w:b/>
                        <w:bCs/>
                        <w:sz w:val="16"/>
                        <w:szCs w:val="16"/>
                        <w:rtl/>
                      </w:rPr>
                      <w:t xml:space="preserve">ניתן לקבל </w:t>
                    </w:r>
                    <w:r w:rsidRPr="002A07A0">
                      <w:rPr>
                        <w:rFonts w:hint="cs"/>
                        <w:b/>
                        <w:bCs/>
                        <w:sz w:val="16"/>
                        <w:szCs w:val="16"/>
                        <w:rtl/>
                      </w:rPr>
                      <w:t xml:space="preserve">את קובץ "משנתם בלשונם" </w:t>
                    </w:r>
                    <w:r>
                      <w:rPr>
                        <w:rFonts w:hint="cs"/>
                        <w:b/>
                        <w:bCs/>
                        <w:sz w:val="16"/>
                        <w:szCs w:val="16"/>
                        <w:rtl/>
                      </w:rPr>
                      <w:t>בו הובאו לשונות הראשונים והאחרונים,</w:t>
                    </w:r>
                    <w:r w:rsidRPr="008D08BD">
                      <w:rPr>
                        <w:b/>
                        <w:bCs/>
                        <w:sz w:val="16"/>
                        <w:szCs w:val="16"/>
                      </w:rPr>
                      <w:t xml:space="preserve"> </w:t>
                    </w:r>
                    <w:r>
                      <w:rPr>
                        <w:rFonts w:hint="cs"/>
                        <w:b/>
                        <w:bCs/>
                        <w:sz w:val="16"/>
                        <w:szCs w:val="16"/>
                        <w:rtl/>
                      </w:rPr>
                      <w:t>פתוחים להעתקה</w:t>
                    </w:r>
                    <w:r>
                      <w:rPr>
                        <w:b/>
                        <w:bCs/>
                        <w:sz w:val="16"/>
                        <w:szCs w:val="16"/>
                      </w:rPr>
                      <w:t>.</w:t>
                    </w:r>
                  </w:p>
                </w:txbxContent>
              </v:textbox>
              <w10:wrap anchorx="margin"/>
            </v:shape>
          </w:pict>
        </mc:Fallback>
      </mc:AlternateContent>
    </w:r>
    <w:r>
      <w:rPr>
        <w:noProof/>
      </w:rPr>
      <mc:AlternateContent>
        <mc:Choice Requires="wps">
          <w:drawing>
            <wp:anchor distT="0" distB="0" distL="114300" distR="114300" simplePos="0" relativeHeight="251739136" behindDoc="0" locked="0" layoutInCell="1" allowOverlap="1" wp14:anchorId="02FE3476" wp14:editId="6D2F4AFC">
              <wp:simplePos x="0" y="0"/>
              <wp:positionH relativeFrom="margin">
                <wp:posOffset>46355</wp:posOffset>
              </wp:positionH>
              <wp:positionV relativeFrom="paragraph">
                <wp:posOffset>34290</wp:posOffset>
              </wp:positionV>
              <wp:extent cx="1002665" cy="264160"/>
              <wp:effectExtent l="0" t="0" r="6985" b="2540"/>
              <wp:wrapNone/>
              <wp:docPr id="38" name="תיבת טקסט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2665" cy="264160"/>
                      </a:xfrm>
                      <a:prstGeom prst="rect">
                        <a:avLst/>
                      </a:prstGeom>
                      <a:solidFill>
                        <a:srgbClr val="FFFFFF"/>
                      </a:solidFill>
                      <a:ln w="15875">
                        <a:solidFill>
                          <a:srgbClr val="000000"/>
                        </a:solidFill>
                        <a:miter lim="800000"/>
                        <a:headEnd/>
                        <a:tailEnd/>
                      </a:ln>
                    </wps:spPr>
                    <wps:txbx>
                      <w:txbxContent>
                        <w:p w14:paraId="6B9830E2" w14:textId="77777777" w:rsidR="000F6808" w:rsidRDefault="000F6808" w:rsidP="00C83122">
                          <w:pPr>
                            <w:rPr>
                              <w:b/>
                              <w:bCs/>
                              <w:sz w:val="18"/>
                              <w:szCs w:val="18"/>
                            </w:rPr>
                          </w:pPr>
                          <w:r>
                            <w:rPr>
                              <w:b/>
                              <w:bCs/>
                              <w:sz w:val="18"/>
                              <w:szCs w:val="18"/>
                              <w:rtl/>
                            </w:rPr>
                            <w:t>המשך בעמ' הבא</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2FE3476" id="_x0000_s1082" type="#_x0000_t202" style="position:absolute;left:0;text-align:left;margin-left:3.65pt;margin-top:2.7pt;width:78.95pt;height:20.8pt;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" strokeweight="1.25pt">
              <v:textbox>
                <w:txbxContent>
                  <w:p w14:paraId="6B9830E2" w14:textId="77777777" w:rsidR="000F6808" w:rsidRDefault="000F6808" w:rsidP="00C83122">
                    <w:pPr>
                      <w:rPr>
                        <w:b/>
                        <w:bCs/>
                        <w:sz w:val="18"/>
                        <w:szCs w:val="18"/>
                      </w:rPr>
                    </w:pPr>
                    <w:r>
                      <w:rPr>
                        <w:b/>
                        <w:bCs/>
                        <w:sz w:val="18"/>
                        <w:szCs w:val="18"/>
                        <w:rtl/>
                      </w:rPr>
                      <w:t>המשך בעמ' הבא</w:t>
                    </w:r>
                  </w:p>
                </w:txbxContent>
              </v:textbox>
              <w10:wrap anchorx="margin"/>
            </v:shape>
          </w:pict>
        </mc:Fallback>
      </mc:AlternateContent>
    </w:r>
  </w:p>
  <w:p w14:paraId="760B75FA" w14:textId="77777777" w:rsidR="000F6808" w:rsidRDefault="000F6808" w:rsidP="00C83122">
    <w:pPr>
      <w:pStyle w:val="affe"/>
    </w:pP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F2899" w14:textId="77777777" w:rsidR="000F6808" w:rsidRDefault="000F6808">
    <w:pPr>
      <w:pStyle w:val="affe"/>
    </w:pP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341548049"/>
      <w:docPartObj>
        <w:docPartGallery w:val="Page Numbers (Bottom of Page)"/>
        <w:docPartUnique/>
      </w:docPartObj>
    </w:sdtPr>
    <w:sdtEndPr>
      <w:rPr>
        <w:cs/>
      </w:rPr>
    </w:sdtEndPr>
    <w:sdtContent>
      <w:p w14:paraId="242DFB69" w14:textId="77777777" w:rsidR="000F6808" w:rsidRDefault="000F6808">
        <w:pPr>
          <w:pStyle w:val="affe"/>
          <w:jc w:val="right"/>
          <w:rPr>
            <w:rtl/>
            <w:cs/>
          </w:rPr>
        </w:pPr>
        <w:r>
          <w:fldChar w:fldCharType="begin"/>
        </w:r>
        <w:r>
          <w:rPr>
            <w:rtl/>
            <w:cs/>
          </w:rPr>
          <w:instrText>PAGE   \* MERGEFORMAT</w:instrText>
        </w:r>
        <w:r>
          <w:fldChar w:fldCharType="separate"/>
        </w:r>
        <w:r w:rsidRPr="006B3804">
          <w:rPr>
            <w:noProof/>
            <w:rtl/>
            <w:lang w:val="he-IL"/>
          </w:rPr>
          <w:t>2</w:t>
        </w:r>
        <w:r>
          <w:fldChar w:fldCharType="end"/>
        </w:r>
      </w:p>
    </w:sdtContent>
  </w:sdt>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4C713" w14:textId="77777777" w:rsidR="000F6808" w:rsidRDefault="000F6808" w:rsidP="00C83122">
    <w:pPr>
      <w:pStyle w:val="affe"/>
    </w:pPr>
    <w:r>
      <w:rPr>
        <w:noProof/>
      </w:rPr>
      <mc:AlternateContent>
        <mc:Choice Requires="wps">
          <w:drawing>
            <wp:anchor distT="0" distB="0" distL="114300" distR="114300" simplePos="0" relativeHeight="251740160" behindDoc="0" locked="0" layoutInCell="1" allowOverlap="1" wp14:anchorId="4A5CA7A0" wp14:editId="5F977C44">
              <wp:simplePos x="0" y="0"/>
              <wp:positionH relativeFrom="margin">
                <wp:posOffset>3235960</wp:posOffset>
              </wp:positionH>
              <wp:positionV relativeFrom="paragraph">
                <wp:posOffset>64135</wp:posOffset>
              </wp:positionV>
              <wp:extent cx="3355975" cy="330200"/>
              <wp:effectExtent l="0" t="0" r="0" b="0"/>
              <wp:wrapNone/>
              <wp:docPr id="39" name="תיבת טקסט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5975" cy="330200"/>
                      </a:xfrm>
                      <a:prstGeom prst="rect">
                        <a:avLst/>
                      </a:prstGeom>
                      <a:solidFill>
                        <a:srgbClr val="FFFFFF"/>
                      </a:solidFill>
                      <a:ln w="19050">
                        <a:noFill/>
                        <a:miter lim="800000"/>
                        <a:headEnd/>
                        <a:tailEnd/>
                      </a:ln>
                    </wps:spPr>
                    <wps:txbx>
                      <w:txbxContent>
                        <w:p w14:paraId="1451AB7C" w14:textId="77777777" w:rsidR="000F6808" w:rsidRPr="00D348B7" w:rsidRDefault="000F6808" w:rsidP="00C83122">
                          <w:pPr>
                            <w:spacing w:line="240" w:lineRule="auto"/>
                            <w:jc w:val="center"/>
                            <w:rPr>
                              <w:b/>
                              <w:bCs/>
                              <w:sz w:val="16"/>
                              <w:szCs w:val="16"/>
                              <w:rtl/>
                            </w:rPr>
                          </w:pPr>
                          <w:r>
                            <w:rPr>
                              <w:b/>
                              <w:bCs/>
                              <w:sz w:val="16"/>
                              <w:szCs w:val="16"/>
                              <w:rtl/>
                            </w:rPr>
                            <w:t xml:space="preserve">שלמה </w:t>
                          </w:r>
                          <w:r w:rsidRPr="00D348B7">
                            <w:rPr>
                              <w:b/>
                              <w:bCs/>
                              <w:sz w:val="16"/>
                              <w:szCs w:val="16"/>
                              <w:rtl/>
                            </w:rPr>
                            <w:t xml:space="preserve">הנדל </w:t>
                          </w:r>
                          <w:r w:rsidRPr="00D348B7">
                            <w:rPr>
                              <w:rFonts w:hint="cs"/>
                              <w:b/>
                              <w:bCs/>
                              <w:sz w:val="16"/>
                              <w:szCs w:val="16"/>
                              <w:rtl/>
                            </w:rPr>
                            <w:t xml:space="preserve">- </w:t>
                          </w:r>
                          <w:r w:rsidRPr="00D348B7">
                            <w:rPr>
                              <w:b/>
                              <w:bCs/>
                              <w:sz w:val="16"/>
                              <w:szCs w:val="16"/>
                              <w:rtl/>
                            </w:rPr>
                            <w:t>בית הלל</w:t>
                          </w:r>
                          <w:r>
                            <w:rPr>
                              <w:b/>
                              <w:bCs/>
                              <w:sz w:val="16"/>
                              <w:szCs w:val="16"/>
                              <w:rtl/>
                            </w:rPr>
                            <w:tab/>
                          </w:r>
                          <w:r>
                            <w:rPr>
                              <w:rFonts w:hint="cs"/>
                              <w:b/>
                              <w:bCs/>
                              <w:sz w:val="16"/>
                              <w:szCs w:val="16"/>
                              <w:rtl/>
                            </w:rPr>
                            <w:t xml:space="preserve">טל: </w:t>
                          </w:r>
                          <w:r w:rsidRPr="006C5697">
                            <w:rPr>
                              <w:b/>
                              <w:bCs/>
                              <w:sz w:val="16"/>
                              <w:szCs w:val="16"/>
                              <w:rtl/>
                            </w:rPr>
                            <w:t>052-7676412</w:t>
                          </w:r>
                        </w:p>
                        <w:p w14:paraId="1C2C7264" w14:textId="77777777" w:rsidR="000F6808" w:rsidRPr="008D08BD" w:rsidRDefault="000F6808" w:rsidP="00C83122">
                          <w:pPr>
                            <w:bidi w:val="0"/>
                            <w:jc w:val="center"/>
                            <w:rPr>
                              <w:b/>
                              <w:bCs/>
                              <w:sz w:val="16"/>
                              <w:szCs w:val="16"/>
                            </w:rPr>
                          </w:pPr>
                          <w:hyperlink r:id="rId1" w:history="1">
                            <w:r w:rsidRPr="008D08BD">
                              <w:rPr>
                                <w:b/>
                                <w:bCs/>
                                <w:sz w:val="16"/>
                                <w:szCs w:val="16"/>
                              </w:rPr>
                              <w:t>A05</w:t>
                            </w:r>
                            <w:r w:rsidRPr="008D08BD">
                              <w:rPr>
                                <w:rFonts w:hint="cs"/>
                                <w:b/>
                                <w:bCs/>
                                <w:sz w:val="16"/>
                                <w:szCs w:val="16"/>
                              </w:rPr>
                              <w:t>27676412</w:t>
                            </w:r>
                            <w:r w:rsidRPr="008D08BD">
                              <w:rPr>
                                <w:b/>
                                <w:bCs/>
                                <w:sz w:val="16"/>
                                <w:szCs w:val="16"/>
                              </w:rPr>
                              <w:t>@</w:t>
                            </w:r>
                            <w:r w:rsidRPr="008D08BD">
                              <w:rPr>
                                <w:rFonts w:hint="cs"/>
                                <w:b/>
                                <w:bCs/>
                                <w:sz w:val="16"/>
                                <w:szCs w:val="16"/>
                              </w:rPr>
                              <w:t>GMAIL.COM</w:t>
                            </w:r>
                          </w:hyperlink>
                          <w:r>
                            <w:rPr>
                              <w:b/>
                              <w:bCs/>
                              <w:sz w:val="16"/>
                              <w:szCs w:val="16"/>
                            </w:rPr>
                            <w:t xml:space="preserve"> </w:t>
                          </w:r>
                          <w:r w:rsidRPr="008D08BD">
                            <w:rPr>
                              <w:rFonts w:hint="cs"/>
                              <w:b/>
                              <w:bCs/>
                              <w:sz w:val="16"/>
                              <w:szCs w:val="16"/>
                              <w:rtl/>
                            </w:rPr>
                            <w:t>לקבלת המ"מ במייל נא לשלוח הודעה לכתובת:</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A5CA7A0" id="_x0000_t202" coordsize="21600,21600" o:spt="202" path="m,l,21600r21600,l21600,xe">
              <v:stroke joinstyle="miter"/>
              <v:path gradientshapeok="t" o:connecttype="rect"/>
            </v:shapetype>
            <v:shape id="_x0000_s1083" type="#_x0000_t202" style="position:absolute;left:0;text-align:left;margin-left:254.8pt;margin-top:5.05pt;width:264.25pt;height:26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" stroked="f" strokeweight="1.5pt">
              <v:textbox>
                <w:txbxContent>
                  <w:p w14:paraId="1451AB7C" w14:textId="77777777" w:rsidR="000F6808" w:rsidRPr="00D348B7" w:rsidRDefault="000F6808" w:rsidP="00C83122">
                    <w:pPr>
                      <w:spacing w:line="240" w:lineRule="auto"/>
                      <w:jc w:val="center"/>
                      <w:rPr>
                        <w:b/>
                        <w:bCs/>
                        <w:sz w:val="16"/>
                        <w:szCs w:val="16"/>
                        <w:rtl/>
                      </w:rPr>
                    </w:pPr>
                    <w:r>
                      <w:rPr>
                        <w:b/>
                        <w:bCs/>
                        <w:sz w:val="16"/>
                        <w:szCs w:val="16"/>
                        <w:rtl/>
                      </w:rPr>
                      <w:t xml:space="preserve">שלמה </w:t>
                    </w:r>
                    <w:r w:rsidRPr="00D348B7">
                      <w:rPr>
                        <w:b/>
                        <w:bCs/>
                        <w:sz w:val="16"/>
                        <w:szCs w:val="16"/>
                        <w:rtl/>
                      </w:rPr>
                      <w:t xml:space="preserve">הנדל </w:t>
                    </w:r>
                    <w:r w:rsidRPr="00D348B7">
                      <w:rPr>
                        <w:rFonts w:hint="cs"/>
                        <w:b/>
                        <w:bCs/>
                        <w:sz w:val="16"/>
                        <w:szCs w:val="16"/>
                        <w:rtl/>
                      </w:rPr>
                      <w:t xml:space="preserve">- </w:t>
                    </w:r>
                    <w:r w:rsidRPr="00D348B7">
                      <w:rPr>
                        <w:b/>
                        <w:bCs/>
                        <w:sz w:val="16"/>
                        <w:szCs w:val="16"/>
                        <w:rtl/>
                      </w:rPr>
                      <w:t>בית הלל</w:t>
                    </w:r>
                    <w:r>
                      <w:rPr>
                        <w:b/>
                        <w:bCs/>
                        <w:sz w:val="16"/>
                        <w:szCs w:val="16"/>
                        <w:rtl/>
                      </w:rPr>
                      <w:tab/>
                    </w:r>
                    <w:r>
                      <w:rPr>
                        <w:rFonts w:hint="cs"/>
                        <w:b/>
                        <w:bCs/>
                        <w:sz w:val="16"/>
                        <w:szCs w:val="16"/>
                        <w:rtl/>
                      </w:rPr>
                      <w:t xml:space="preserve">טל: </w:t>
                    </w:r>
                    <w:r w:rsidRPr="006C5697">
                      <w:rPr>
                        <w:b/>
                        <w:bCs/>
                        <w:sz w:val="16"/>
                        <w:szCs w:val="16"/>
                        <w:rtl/>
                      </w:rPr>
                      <w:t>052-7676412</w:t>
                    </w:r>
                  </w:p>
                  <w:p w14:paraId="1C2C7264" w14:textId="77777777" w:rsidR="000F6808" w:rsidRPr="008D08BD" w:rsidRDefault="000F6808" w:rsidP="00C83122">
                    <w:pPr>
                      <w:bidi w:val="0"/>
                      <w:jc w:val="center"/>
                      <w:rPr>
                        <w:b/>
                        <w:bCs/>
                        <w:sz w:val="16"/>
                        <w:szCs w:val="16"/>
                      </w:rPr>
                    </w:pPr>
                    <w:hyperlink r:id="rId2" w:history="1">
                      <w:r w:rsidRPr="008D08BD">
                        <w:rPr>
                          <w:b/>
                          <w:bCs/>
                          <w:sz w:val="16"/>
                          <w:szCs w:val="16"/>
                        </w:rPr>
                        <w:t>A05</w:t>
                      </w:r>
                      <w:r w:rsidRPr="008D08BD">
                        <w:rPr>
                          <w:rFonts w:hint="cs"/>
                          <w:b/>
                          <w:bCs/>
                          <w:sz w:val="16"/>
                          <w:szCs w:val="16"/>
                        </w:rPr>
                        <w:t>27676412</w:t>
                      </w:r>
                      <w:r w:rsidRPr="008D08BD">
                        <w:rPr>
                          <w:b/>
                          <w:bCs/>
                          <w:sz w:val="16"/>
                          <w:szCs w:val="16"/>
                        </w:rPr>
                        <w:t>@</w:t>
                      </w:r>
                      <w:r w:rsidRPr="008D08BD">
                        <w:rPr>
                          <w:rFonts w:hint="cs"/>
                          <w:b/>
                          <w:bCs/>
                          <w:sz w:val="16"/>
                          <w:szCs w:val="16"/>
                        </w:rPr>
                        <w:t>GMAIL.COM</w:t>
                      </w:r>
                    </w:hyperlink>
                    <w:r>
                      <w:rPr>
                        <w:b/>
                        <w:bCs/>
                        <w:sz w:val="16"/>
                        <w:szCs w:val="16"/>
                      </w:rPr>
                      <w:t xml:space="preserve"> </w:t>
                    </w:r>
                    <w:r w:rsidRPr="008D08BD">
                      <w:rPr>
                        <w:rFonts w:hint="cs"/>
                        <w:b/>
                        <w:bCs/>
                        <w:sz w:val="16"/>
                        <w:szCs w:val="16"/>
                        <w:rtl/>
                      </w:rPr>
                      <w:t>לקבלת המ"מ במייל נא לשלוח הודעה לכתובת:</w:t>
                    </w:r>
                  </w:p>
                </w:txbxContent>
              </v:textbox>
              <w10:wrap anchorx="margin"/>
            </v:shape>
          </w:pict>
        </mc:Fallback>
      </mc:AlternateContent>
    </w:r>
    <w:r>
      <w:rPr>
        <w:noProof/>
      </w:rPr>
      <mc:AlternateContent>
        <mc:Choice Requires="wps">
          <w:drawing>
            <wp:anchor distT="0" distB="0" distL="114300" distR="114300" simplePos="0" relativeHeight="251741184" behindDoc="0" locked="0" layoutInCell="1" allowOverlap="1" wp14:anchorId="5187200F" wp14:editId="47E5B3BE">
              <wp:simplePos x="0" y="0"/>
              <wp:positionH relativeFrom="margin">
                <wp:posOffset>46355</wp:posOffset>
              </wp:positionH>
              <wp:positionV relativeFrom="paragraph">
                <wp:posOffset>34290</wp:posOffset>
              </wp:positionV>
              <wp:extent cx="1002665" cy="264160"/>
              <wp:effectExtent l="0" t="0" r="6985" b="2540"/>
              <wp:wrapNone/>
              <wp:docPr id="41" name="תיבת טקסט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2665" cy="264160"/>
                      </a:xfrm>
                      <a:prstGeom prst="rect">
                        <a:avLst/>
                      </a:prstGeom>
                      <a:solidFill>
                        <a:srgbClr val="FFFFFF"/>
                      </a:solidFill>
                      <a:ln w="15875">
                        <a:solidFill>
                          <a:srgbClr val="000000"/>
                        </a:solidFill>
                        <a:miter lim="800000"/>
                        <a:headEnd/>
                        <a:tailEnd/>
                      </a:ln>
                    </wps:spPr>
                    <wps:txbx>
                      <w:txbxContent>
                        <w:p w14:paraId="0DFBBD3C" w14:textId="77777777" w:rsidR="000F6808" w:rsidRDefault="000F6808" w:rsidP="00C83122">
                          <w:pPr>
                            <w:rPr>
                              <w:b/>
                              <w:bCs/>
                              <w:sz w:val="18"/>
                              <w:szCs w:val="18"/>
                            </w:rPr>
                          </w:pPr>
                          <w:r>
                            <w:rPr>
                              <w:b/>
                              <w:bCs/>
                              <w:sz w:val="18"/>
                              <w:szCs w:val="18"/>
                              <w:rtl/>
                            </w:rPr>
                            <w:t>המשך בעמ' הבא</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87200F" id="_x0000_s1084" type="#_x0000_t202" style="position:absolute;left:0;text-align:left;margin-left:3.65pt;margin-top:2.7pt;width:78.95pt;height:20.8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" strokeweight="1.25pt">
              <v:textbox>
                <w:txbxContent>
                  <w:p w14:paraId="0DFBBD3C" w14:textId="77777777" w:rsidR="000F6808" w:rsidRDefault="000F6808" w:rsidP="00C83122">
                    <w:pPr>
                      <w:rPr>
                        <w:b/>
                        <w:bCs/>
                        <w:sz w:val="18"/>
                        <w:szCs w:val="18"/>
                      </w:rPr>
                    </w:pPr>
                    <w:r>
                      <w:rPr>
                        <w:b/>
                        <w:bCs/>
                        <w:sz w:val="18"/>
                        <w:szCs w:val="18"/>
                        <w:rtl/>
                      </w:rPr>
                      <w:t>המשך בעמ' הבא</w:t>
                    </w:r>
                  </w:p>
                </w:txbxContent>
              </v:textbox>
              <w10:wrap anchorx="margin"/>
            </v:shape>
          </w:pict>
        </mc:Fallback>
      </mc:AlternateContent>
    </w:r>
  </w:p>
  <w:p w14:paraId="46C5E8D6" w14:textId="77777777" w:rsidR="000F6808" w:rsidRDefault="000F6808" w:rsidP="00C83122">
    <w:pPr>
      <w:pStyle w:val="affe"/>
    </w:pP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469091783"/>
      <w:docPartObj>
        <w:docPartGallery w:val="Page Numbers (Bottom of Page)"/>
        <w:docPartUnique/>
      </w:docPartObj>
    </w:sdtPr>
    <w:sdtEndPr>
      <w:rPr>
        <w:cs/>
      </w:rPr>
    </w:sdtEndPr>
    <w:sdtContent>
      <w:p w14:paraId="6BA2A58E" w14:textId="77777777" w:rsidR="000F6808" w:rsidRDefault="000F6808">
        <w:pPr>
          <w:pStyle w:val="affe"/>
          <w:jc w:val="right"/>
          <w:rPr>
            <w:rtl/>
            <w:cs/>
          </w:rPr>
        </w:pPr>
        <w:r>
          <w:fldChar w:fldCharType="begin"/>
        </w:r>
        <w:r>
          <w:rPr>
            <w:rtl/>
            <w:cs/>
          </w:rPr>
          <w:instrText>PAGE   \* MERGEFORMAT</w:instrText>
        </w:r>
        <w:r>
          <w:fldChar w:fldCharType="separate"/>
        </w:r>
        <w:r w:rsidRPr="006B3804">
          <w:rPr>
            <w:noProof/>
            <w:rtl/>
            <w:lang w:val="he-IL"/>
          </w:rPr>
          <w:t>3</w:t>
        </w:r>
        <w:r>
          <w:fldChar w:fldCharType="end"/>
        </w:r>
      </w:p>
    </w:sdtContent>
  </w:sdt>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269464915"/>
      <w:docPartObj>
        <w:docPartGallery w:val="Page Numbers (Bottom of Page)"/>
        <w:docPartUnique/>
      </w:docPartObj>
    </w:sdtPr>
    <w:sdtEndPr>
      <w:rPr>
        <w:cs/>
      </w:rPr>
    </w:sdtEndPr>
    <w:sdtContent>
      <w:p w14:paraId="4ACB8F67" w14:textId="77777777" w:rsidR="00570749" w:rsidRDefault="00570749">
        <w:pPr>
          <w:pStyle w:val="affe"/>
          <w:jc w:val="right"/>
          <w:rPr>
            <w:rtl/>
            <w:cs/>
          </w:rPr>
        </w:pPr>
        <w:r>
          <w:fldChar w:fldCharType="begin"/>
        </w:r>
        <w:r>
          <w:rPr>
            <w:rtl/>
            <w:cs/>
          </w:rPr>
          <w:instrText>PAGE   \* MERGEFORMAT</w:instrText>
        </w:r>
        <w:r>
          <w:fldChar w:fldCharType="separate"/>
        </w:r>
        <w:r w:rsidRPr="006B3804">
          <w:rPr>
            <w:noProof/>
            <w:rtl/>
            <w:lang w:val="he-IL"/>
          </w:rPr>
          <w:t>3</w:t>
        </w:r>
        <w:r>
          <w:fldChar w:fldCharType="end"/>
        </w:r>
      </w:p>
    </w:sdtContent>
  </w:sdt>
  <w:p w14:paraId="7E494326" w14:textId="77777777" w:rsidR="00570749" w:rsidRDefault="00570749"/>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2084211977"/>
      <w:docPartObj>
        <w:docPartGallery w:val="Page Numbers (Bottom of Page)"/>
        <w:docPartUnique/>
      </w:docPartObj>
    </w:sdtPr>
    <w:sdtEndPr>
      <w:rPr>
        <w:cs/>
      </w:rPr>
    </w:sdtEndPr>
    <w:sdtContent>
      <w:p w14:paraId="6F5DA4C8" w14:textId="77777777" w:rsidR="00570749" w:rsidRDefault="00570749">
        <w:pPr>
          <w:pStyle w:val="affe"/>
          <w:jc w:val="right"/>
          <w:rPr>
            <w:rtl/>
            <w:cs/>
          </w:rPr>
        </w:pPr>
        <w:r>
          <w:fldChar w:fldCharType="begin"/>
        </w:r>
        <w:r>
          <w:rPr>
            <w:rtl/>
            <w:cs/>
          </w:rPr>
          <w:instrText>PAGE   \* MERGEFORMAT</w:instrText>
        </w:r>
        <w:r>
          <w:fldChar w:fldCharType="separate"/>
        </w:r>
        <w:r w:rsidRPr="006B3804">
          <w:rPr>
            <w:noProof/>
            <w:rtl/>
            <w:lang w:val="he-IL"/>
          </w:rPr>
          <w:t>3</w:t>
        </w:r>
        <w:r>
          <w:fldChar w:fldCharType="end"/>
        </w:r>
      </w:p>
    </w:sdtContent>
  </w:sdt>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373465884"/>
      <w:docPartObj>
        <w:docPartGallery w:val="Page Numbers (Bottom of Page)"/>
        <w:docPartUnique/>
      </w:docPartObj>
    </w:sdtPr>
    <w:sdtEndPr>
      <w:rPr>
        <w:cs/>
      </w:rPr>
    </w:sdtEndPr>
    <w:sdtContent>
      <w:p w14:paraId="793D53B9" w14:textId="77777777" w:rsidR="00BE76DE" w:rsidRDefault="00BE76DE">
        <w:pPr>
          <w:pStyle w:val="affe"/>
          <w:jc w:val="right"/>
          <w:rPr>
            <w:rtl/>
            <w:cs/>
          </w:rPr>
        </w:pPr>
        <w:r>
          <w:fldChar w:fldCharType="begin"/>
        </w:r>
        <w:r>
          <w:rPr>
            <w:rtl/>
            <w:cs/>
          </w:rPr>
          <w:instrText>PAGE   \* MERGEFORMAT</w:instrText>
        </w:r>
        <w:r>
          <w:fldChar w:fldCharType="separate"/>
        </w:r>
        <w:r w:rsidRPr="006B3804">
          <w:rPr>
            <w:noProof/>
            <w:rtl/>
            <w:lang w:val="he-IL"/>
          </w:rPr>
          <w:t>3</w:t>
        </w:r>
        <w:r>
          <w:fldChar w:fldCharType="end"/>
        </w:r>
      </w:p>
    </w:sdtContent>
  </w:sdt>
  <w:p w14:paraId="40C1EA3A" w14:textId="77777777" w:rsidR="00E61F4F" w:rsidRDefault="00E61F4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959558" w14:textId="77777777" w:rsidR="00AD16A0" w:rsidRDefault="00AD16A0" w:rsidP="00541E2A">
      <w:pPr>
        <w:spacing w:after="0" w:line="240" w:lineRule="auto"/>
      </w:pPr>
      <w:r>
        <w:separator/>
      </w:r>
    </w:p>
  </w:footnote>
  <w:footnote w:type="continuationSeparator" w:id="0">
    <w:p w14:paraId="0CCCAE07" w14:textId="77777777" w:rsidR="00AD16A0" w:rsidRDefault="00AD16A0" w:rsidP="00541E2A">
      <w:pPr>
        <w:spacing w:after="0" w:line="240" w:lineRule="auto"/>
      </w:pPr>
      <w:r>
        <w:continuationSeparator/>
      </w:r>
    </w:p>
  </w:footnote>
  <w:footnote w:id="1">
    <w:p w14:paraId="3407010A" w14:textId="77777777" w:rsidR="009623A2" w:rsidRDefault="009623A2" w:rsidP="009623A2">
      <w:pPr>
        <w:pStyle w:val="ae"/>
        <w:rPr>
          <w:rtl/>
        </w:rPr>
      </w:pPr>
      <w:r>
        <w:rPr>
          <w:rStyle w:val="afff0"/>
        </w:rPr>
        <w:footnoteRef/>
      </w:r>
      <w:r>
        <w:rPr>
          <w:rtl/>
        </w:rPr>
        <w:t xml:space="preserve"> </w:t>
      </w:r>
      <w:r>
        <w:rPr>
          <w:rFonts w:hint="cs"/>
          <w:rtl/>
        </w:rPr>
        <w:t xml:space="preserve">ביאור זה בדברי </w:t>
      </w:r>
      <w:r w:rsidRPr="009D5904">
        <w:rPr>
          <w:rStyle w:val="aff9"/>
          <w:rFonts w:hint="cs"/>
          <w:vanish/>
          <w:rtl/>
        </w:rPr>
        <w:t>-</w:t>
      </w:r>
      <w:r w:rsidRPr="009D5904">
        <w:rPr>
          <w:rStyle w:val="aff9"/>
          <w:rFonts w:hint="cs"/>
          <w:rtl/>
        </w:rPr>
        <w:t>הרמב"ם בתשו'</w:t>
      </w:r>
      <w:r w:rsidRPr="009D5904">
        <w:rPr>
          <w:rStyle w:val="aff9"/>
          <w:rFonts w:hint="cs"/>
          <w:vanish/>
          <w:rtl/>
        </w:rPr>
        <w:t>-</w:t>
      </w:r>
      <w:r>
        <w:rPr>
          <w:rFonts w:hint="cs"/>
          <w:rtl/>
        </w:rPr>
        <w:t xml:space="preserve"> הוא לפי מהדו' מכון ירושלים לפי התרגום החדש של הרב קורח, אבל לפי הנדפס </w:t>
      </w:r>
      <w:r w:rsidRPr="009D5904">
        <w:rPr>
          <w:rStyle w:val="aff9"/>
          <w:rFonts w:hint="cs"/>
          <w:vanish/>
          <w:rtl/>
        </w:rPr>
        <w:t>-</w:t>
      </w:r>
      <w:r w:rsidRPr="009D5904">
        <w:rPr>
          <w:rStyle w:val="aff9"/>
          <w:rFonts w:hint="cs"/>
          <w:rtl/>
        </w:rPr>
        <w:t>בפי' קדמון ממצרים ובתשו' הרמב"ם</w:t>
      </w:r>
      <w:r w:rsidRPr="009D5904">
        <w:rPr>
          <w:rStyle w:val="aff9"/>
          <w:rFonts w:hint="cs"/>
          <w:vanish/>
          <w:rtl/>
        </w:rPr>
        <w:t>-</w:t>
      </w:r>
      <w:r>
        <w:rPr>
          <w:rFonts w:hint="cs"/>
          <w:rtl/>
        </w:rPr>
        <w:t xml:space="preserve"> משמע דכוונתו לומר </w:t>
      </w:r>
      <w:r w:rsidRPr="00C444C9">
        <w:rPr>
          <w:rStyle w:val="aff4"/>
          <w:rFonts w:hint="cs"/>
          <w:vanish/>
          <w:rtl/>
        </w:rPr>
        <w:t>-</w:t>
      </w:r>
      <w:r>
        <w:rPr>
          <w:rFonts w:hint="cs"/>
          <w:rtl/>
        </w:rPr>
        <w:t xml:space="preserve">דא"א לדמות שורה חיטין במים, לתולש מעציץ שאינו נקוב, כיון דדבר שזורע בעציץ שאינו נקוב, חשיב כתלוש כבר דהא אין לו קיום, והזריעה בעציץ שאינו נקוב אינה מאפשרת לזרע לצמוח עד שיגיע לתכליתו, ולכן אף זריעה בעציץ שאינה נקוב לא חשיבא זריעה ופטור עליה, אבל בשורה חיטין במים, מתחילת הזמן שגרגיר מתחיל לצמוח בדבר מועט חייב עליו. </w:t>
      </w:r>
      <w:r w:rsidRPr="002A0D0C">
        <w:rPr>
          <w:rStyle w:val="af"/>
          <w:rFonts w:hint="cs"/>
          <w:rtl/>
        </w:rPr>
        <w:t>[והיינו כיון דאח"כ הוא יכול להעביר את הזרע חיטין לקרקע ויצמחו לגמרי, ולכן מתחילת צמיחת הזרע כבר חייב עליו</w:t>
      </w:r>
      <w:r>
        <w:rPr>
          <w:rFonts w:hint="cs"/>
          <w:rtl/>
        </w:rPr>
        <w:t>].</w:t>
      </w:r>
    </w:p>
    <w:p w14:paraId="0BBFB354" w14:textId="77777777" w:rsidR="009623A2" w:rsidRDefault="009623A2" w:rsidP="009623A2">
      <w:pPr>
        <w:pStyle w:val="ae"/>
        <w:rPr>
          <w:rtl/>
        </w:rPr>
      </w:pPr>
      <w:r>
        <w:rPr>
          <w:rFonts w:hint="cs"/>
          <w:rtl/>
        </w:rPr>
        <w:t xml:space="preserve">וא"כ אפשר לבאר בב' ביאורים או דחילק </w:t>
      </w:r>
      <w:r w:rsidRPr="009D5904">
        <w:rPr>
          <w:rStyle w:val="aff9"/>
          <w:rFonts w:hint="cs"/>
          <w:vanish/>
          <w:rtl/>
        </w:rPr>
        <w:t>-</w:t>
      </w:r>
      <w:r w:rsidRPr="009D5904">
        <w:rPr>
          <w:rStyle w:val="aff9"/>
          <w:rFonts w:hint="cs"/>
          <w:rtl/>
        </w:rPr>
        <w:t>הרמב"ם בתשו'</w:t>
      </w:r>
      <w:r w:rsidRPr="009D5904">
        <w:rPr>
          <w:rStyle w:val="aff9"/>
          <w:rFonts w:hint="cs"/>
          <w:vanish/>
          <w:rtl/>
        </w:rPr>
        <w:t>-</w:t>
      </w:r>
      <w:r>
        <w:rPr>
          <w:rFonts w:hint="cs"/>
          <w:rtl/>
        </w:rPr>
        <w:t xml:space="preserve"> בין תולש מעציץ שאינו נקוב, לזורע דחייב על כל צמיחה, לפי מהדו' מכון ירושלים, או דחילק </w:t>
      </w:r>
      <w:r w:rsidRPr="009D5904">
        <w:rPr>
          <w:rStyle w:val="aff9"/>
          <w:rFonts w:hint="cs"/>
          <w:vanish/>
          <w:rtl/>
        </w:rPr>
        <w:t>-</w:t>
      </w:r>
      <w:r w:rsidRPr="009D5904">
        <w:rPr>
          <w:rStyle w:val="aff9"/>
          <w:rFonts w:hint="cs"/>
          <w:rtl/>
        </w:rPr>
        <w:t>הרמב"ם בתשו'</w:t>
      </w:r>
      <w:r w:rsidRPr="009D5904">
        <w:rPr>
          <w:rStyle w:val="aff9"/>
          <w:rFonts w:hint="cs"/>
          <w:vanish/>
          <w:rtl/>
        </w:rPr>
        <w:t>-</w:t>
      </w:r>
      <w:r>
        <w:rPr>
          <w:rFonts w:hint="cs"/>
          <w:rtl/>
        </w:rPr>
        <w:t xml:space="preserve"> בין זורע ותולש מעציץ שאינו נקוב, דאין בו תלישה וזריעה, לבין שורה חיטין במים דהוא תחילת צמיחתן, ויכולים להמשיך לצמוח בקרקע.</w:t>
      </w:r>
    </w:p>
    <w:p w14:paraId="544F570F" w14:textId="77777777" w:rsidR="009623A2" w:rsidRDefault="009623A2" w:rsidP="009623A2">
      <w:pPr>
        <w:pStyle w:val="ae"/>
        <w:rPr>
          <w:rtl/>
        </w:rPr>
      </w:pPr>
      <w:r>
        <w:rPr>
          <w:rFonts w:hint="cs"/>
          <w:rtl/>
        </w:rPr>
        <w:t xml:space="preserve">אמנם גם בנוסח </w:t>
      </w:r>
      <w:r w:rsidRPr="009D5904">
        <w:rPr>
          <w:rStyle w:val="aff9"/>
          <w:rFonts w:hint="cs"/>
          <w:vanish/>
          <w:rtl/>
        </w:rPr>
        <w:t>-</w:t>
      </w:r>
      <w:r w:rsidRPr="009D5904">
        <w:rPr>
          <w:rStyle w:val="aff9"/>
          <w:rFonts w:hint="cs"/>
          <w:rtl/>
        </w:rPr>
        <w:t>שבפי' קדמון ממצרים</w:t>
      </w:r>
      <w:r w:rsidRPr="009D5904">
        <w:rPr>
          <w:rStyle w:val="aff9"/>
          <w:rFonts w:hint="cs"/>
          <w:vanish/>
          <w:rtl/>
        </w:rPr>
        <w:t>-</w:t>
      </w:r>
      <w:r>
        <w:rPr>
          <w:rFonts w:hint="cs"/>
          <w:rtl/>
        </w:rPr>
        <w:t xml:space="preserve"> אפשר לבאר כמו הביאור הראשון, ויל"ע בזה.</w:t>
      </w:r>
    </w:p>
    <w:p w14:paraId="02CBC779" w14:textId="77777777" w:rsidR="009623A2" w:rsidRDefault="009623A2" w:rsidP="009623A2">
      <w:pPr>
        <w:pStyle w:val="ae"/>
        <w:rPr>
          <w:rtl/>
        </w:rPr>
      </w:pPr>
      <w:r w:rsidRPr="005E7960">
        <w:rPr>
          <w:rFonts w:hint="cs"/>
          <w:b/>
          <w:bCs/>
          <w:rtl/>
        </w:rPr>
        <w:t xml:space="preserve">הנוסח </w:t>
      </w:r>
      <w:r w:rsidRPr="005E7960">
        <w:rPr>
          <w:b/>
          <w:bCs/>
          <w:rtl/>
        </w:rPr>
        <w:t>בפי' קדמון ממצרים:</w:t>
      </w:r>
      <w:r>
        <w:rPr>
          <w:rtl/>
        </w:rPr>
        <w:t xml:space="preserve"> ואין להקיש שורה לתלש מעציץ שאינו נקוב לפי שהדבר שנזרע בעציץ שאינו נקוב דינו כדין הדבר שכבר נתלש להיות שאין לו קיום והזורע לא נתנה בו שיצמח על כל פנים ויגיע לתכליתו</w:t>
      </w:r>
      <w:r>
        <w:rPr>
          <w:rFonts w:hint="cs"/>
          <w:rtl/>
        </w:rPr>
        <w:t>,</w:t>
      </w:r>
      <w:r>
        <w:rPr>
          <w:rtl/>
        </w:rPr>
        <w:t xml:space="preserve"> אבל מעת שנתפשט הגרגיר לצמוח בדבר מועט נתחייב.</w:t>
      </w:r>
    </w:p>
    <w:p w14:paraId="5EB02B72" w14:textId="77777777" w:rsidR="009623A2" w:rsidRDefault="009623A2" w:rsidP="009623A2">
      <w:pPr>
        <w:pStyle w:val="ae"/>
        <w:rPr>
          <w:rtl/>
        </w:rPr>
      </w:pPr>
      <w:r w:rsidRPr="005E7960">
        <w:rPr>
          <w:rFonts w:hint="cs"/>
          <w:b/>
          <w:bCs/>
          <w:rtl/>
        </w:rPr>
        <w:t xml:space="preserve">הנוסח בתרגום הרב קורח </w:t>
      </w:r>
      <w:r w:rsidRPr="005E7960">
        <w:rPr>
          <w:b/>
          <w:bCs/>
          <w:rtl/>
        </w:rPr>
        <w:t>מהדו' מכון ירושלים:</w:t>
      </w:r>
      <w:r>
        <w:rPr>
          <w:rtl/>
        </w:rPr>
        <w:t xml:space="preserve"> ואין להקיש שורה לתולש מעציץ שאינו נקוב לפי שהדבר הזרוע בעציץ שאינו נקוב כדין הדבר התלוש אשר אין לו קיום</w:t>
      </w:r>
      <w:r>
        <w:rPr>
          <w:rFonts w:hint="cs"/>
          <w:rtl/>
        </w:rPr>
        <w:t>,</w:t>
      </w:r>
      <w:r>
        <w:rPr>
          <w:rtl/>
        </w:rPr>
        <w:t xml:space="preserve"> והזורע אין אנו מתנים בו שיצמח דוקא ויגיע לתכליתו אלא כיון שהתחיל הזרע לצמוח כל שהוא נתחייב.</w:t>
      </w:r>
    </w:p>
    <w:p w14:paraId="277FA0FD" w14:textId="77777777" w:rsidR="009623A2" w:rsidRDefault="009623A2" w:rsidP="009623A2">
      <w:pPr>
        <w:pStyle w:val="ae"/>
        <w:rPr>
          <w:rtl/>
        </w:rPr>
      </w:pPr>
      <w:r w:rsidRPr="005E7960">
        <w:rPr>
          <w:rFonts w:hint="cs"/>
          <w:b/>
          <w:bCs/>
          <w:rtl/>
        </w:rPr>
        <w:t>השינויים בין הנוסחאות, הנוסח הנדפס מוקף בסוגריים:</w:t>
      </w:r>
      <w:r>
        <w:rPr>
          <w:rFonts w:hint="cs"/>
          <w:rtl/>
        </w:rPr>
        <w:t xml:space="preserve"> </w:t>
      </w:r>
      <w:r>
        <w:rPr>
          <w:rtl/>
        </w:rPr>
        <w:t>ואין להקיש שורה לתלש מעציץ שאינו נקוב לפי שהדבר (שנזרע) [הזרוע] בעציץ שאינו נקוב (דינו) כדין הדבר (שכבר נתלש) [התלוש] (להיות שאין) [אשר אין] לו קיום, והזורע (לא נתנה) [אין אנו מתנים] בו שיצמח (על כל פנים) [דוקא] ויגיע לתכליתו, (אבל מעת שנתפשט הגרגיר) [אלא כיון שהתחיל הזרע] לצמוח (בדבר מועט) [כל שהוא] נתחייב.</w:t>
      </w:r>
    </w:p>
    <w:p w14:paraId="664FDBF4" w14:textId="77777777" w:rsidR="009623A2" w:rsidRDefault="009623A2" w:rsidP="009623A2">
      <w:pPr>
        <w:pStyle w:val="ae"/>
        <w:rPr>
          <w:rtl/>
        </w:rPr>
      </w:pPr>
    </w:p>
  </w:footnote>
  <w:footnote w:id="2">
    <w:p w14:paraId="01C87390" w14:textId="77777777" w:rsidR="001C69A8" w:rsidRDefault="001C69A8" w:rsidP="001C69A8">
      <w:pPr>
        <w:pStyle w:val="ae"/>
        <w:rPr>
          <w:rtl/>
        </w:rPr>
      </w:pPr>
      <w:r>
        <w:rPr>
          <w:rStyle w:val="afff0"/>
        </w:rPr>
        <w:footnoteRef/>
      </w:r>
      <w:r>
        <w:rPr>
          <w:rtl/>
        </w:rPr>
        <w:t xml:space="preserve"> </w:t>
      </w:r>
    </w:p>
    <w:p w14:paraId="020604FB" w14:textId="77777777" w:rsidR="001C69A8" w:rsidRDefault="001C69A8" w:rsidP="001C69A8">
      <w:pPr>
        <w:pStyle w:val="afffffb"/>
        <w:rPr>
          <w:rtl/>
        </w:rPr>
      </w:pPr>
      <w:r>
        <w:rPr>
          <w:rtl/>
        </w:rPr>
        <w:t>רבי עקיבא איגר גיטין ל"ג ע"א</w:t>
      </w:r>
      <w:r>
        <w:rPr>
          <w:rFonts w:hint="cs"/>
          <w:rtl/>
        </w:rPr>
        <w:t xml:space="preserve"> ד"ה כעת</w:t>
      </w:r>
    </w:p>
    <w:p w14:paraId="3BF9B4FF" w14:textId="77777777" w:rsidR="001C69A8" w:rsidRPr="00842459" w:rsidRDefault="001C69A8" w:rsidP="001C69A8">
      <w:pPr>
        <w:pStyle w:val="ad"/>
        <w:rPr>
          <w:rtl/>
        </w:rPr>
      </w:pPr>
      <w:r>
        <w:rPr>
          <w:rFonts w:hint="cs"/>
          <w:rtl/>
        </w:rPr>
        <w:t xml:space="preserve">ועי' במ"ש </w:t>
      </w:r>
      <w:r w:rsidRPr="006855C5">
        <w:rPr>
          <w:rStyle w:val="aff9"/>
          <w:rFonts w:hint="cs"/>
          <w:vanish/>
          <w:rtl/>
        </w:rPr>
        <w:t>-</w:t>
      </w:r>
      <w:r w:rsidRPr="006855C5">
        <w:rPr>
          <w:rStyle w:val="aff9"/>
          <w:rFonts w:hint="cs"/>
          <w:rtl/>
        </w:rPr>
        <w:t>הגרעק"א בגיטין</w:t>
      </w:r>
      <w:r w:rsidRPr="006855C5">
        <w:rPr>
          <w:rStyle w:val="aff9"/>
          <w:rFonts w:hint="cs"/>
          <w:vanish/>
          <w:rtl/>
        </w:rPr>
        <w:t>-</w:t>
      </w:r>
      <w:r>
        <w:rPr>
          <w:rFonts w:hint="cs"/>
          <w:rtl/>
        </w:rPr>
        <w:t xml:space="preserve"> </w:t>
      </w:r>
      <w:r w:rsidRPr="00702D7B">
        <w:rPr>
          <w:rStyle w:val="aff0"/>
          <w:rFonts w:hint="cs"/>
          <w:rtl/>
        </w:rPr>
        <w:t>(לג. ד"ה כעת)</w:t>
      </w:r>
      <w:r>
        <w:rPr>
          <w:rFonts w:hint="cs"/>
          <w:rtl/>
        </w:rPr>
        <w:t xml:space="preserve"> דאם היו מלקין בשבת על אופה, לא היה אפשר להלקות את המדביק פת בתנור, כיון שיתכן שירדה את הפת לפני האפיה, ומשמע מדבריו דבנתינה כלולה כל האפיה, ואם נאפית לבסוף היה אפשר להלקותו מתחילה.</w:t>
      </w:r>
    </w:p>
    <w:p w14:paraId="75A1661A" w14:textId="77777777" w:rsidR="001C69A8" w:rsidRPr="00BF05DB" w:rsidRDefault="001C69A8" w:rsidP="001C69A8">
      <w:pPr>
        <w:pStyle w:val="ae"/>
        <w:rPr>
          <w:vanish/>
        </w:rPr>
      </w:pPr>
      <w:r w:rsidRPr="00BF05DB">
        <w:rPr>
          <w:vanish/>
          <w:rtl/>
        </w:rPr>
        <w:t>ובהדביק פת למ"ד לאו שניתן לאזהרת מיתת בי"ד לוקין ואתרו בי' למלקות אם הי' הדין דמלקין בשבת וכי היינו רשאים להלקותו קודם שתאפה הא אולי ירדה הפת ולא תאפה,</w:t>
      </w:r>
      <w:r w:rsidRPr="00BF05DB">
        <w:rPr>
          <w:rFonts w:hint="cs"/>
          <w:vanish/>
          <w:rtl/>
        </w:rPr>
        <w:t xml:space="preserve"> וכו'</w:t>
      </w:r>
      <w:r w:rsidRPr="00BF05DB">
        <w:rPr>
          <w:vanish/>
          <w:rtl/>
        </w:rPr>
        <w:t>.</w:t>
      </w:r>
    </w:p>
  </w:footnote>
  <w:footnote w:id="3">
    <w:p w14:paraId="33EA4D54" w14:textId="77777777" w:rsidR="000426DE" w:rsidRDefault="000426DE" w:rsidP="000426DE">
      <w:pPr>
        <w:pStyle w:val="ae"/>
        <w:rPr>
          <w:rtl/>
        </w:rPr>
      </w:pPr>
      <w:r>
        <w:rPr>
          <w:rStyle w:val="afff0"/>
        </w:rPr>
        <w:footnoteRef/>
      </w:r>
    </w:p>
    <w:p w14:paraId="3EA55E1E" w14:textId="77777777" w:rsidR="000426DE" w:rsidRDefault="000426DE" w:rsidP="000426DE">
      <w:pPr>
        <w:pStyle w:val="afffffb"/>
        <w:rPr>
          <w:rtl/>
        </w:rPr>
      </w:pPr>
      <w:r>
        <w:rPr>
          <w:rtl/>
        </w:rPr>
        <w:t>דברי יחזקאל סי' ב' אות ז' ד"ה ועדיין</w:t>
      </w:r>
    </w:p>
    <w:p w14:paraId="69186D21" w14:textId="77777777" w:rsidR="000426DE" w:rsidRDefault="000426DE" w:rsidP="000426DE">
      <w:pPr>
        <w:pStyle w:val="ae"/>
        <w:rPr>
          <w:rtl/>
        </w:rPr>
      </w:pPr>
    </w:p>
    <w:p w14:paraId="691F68B9" w14:textId="10431544" w:rsidR="000426DE" w:rsidRDefault="000426DE" w:rsidP="000426DE">
      <w:pPr>
        <w:pStyle w:val="ae"/>
        <w:rPr>
          <w:rtl/>
        </w:rPr>
      </w:pPr>
      <w:r>
        <w:rPr>
          <w:rtl/>
        </w:rPr>
        <w:t xml:space="preserve">כתב </w:t>
      </w:r>
      <w:r w:rsidRPr="008A5FD4">
        <w:rPr>
          <w:rStyle w:val="aff9"/>
          <w:vanish/>
          <w:rtl/>
        </w:rPr>
        <w:t>-</w:t>
      </w:r>
      <w:r w:rsidRPr="008A5FD4">
        <w:rPr>
          <w:rStyle w:val="aff9"/>
          <w:rtl/>
        </w:rPr>
        <w:t>הדברי יחזקאל</w:t>
      </w:r>
      <w:r w:rsidRPr="008A5FD4">
        <w:rPr>
          <w:rStyle w:val="aff9"/>
          <w:vanish/>
          <w:rtl/>
        </w:rPr>
        <w:t>-</w:t>
      </w:r>
      <w:r>
        <w:rPr>
          <w:rtl/>
        </w:rPr>
        <w:t xml:space="preserve"> </w:t>
      </w:r>
      <w:r w:rsidRPr="008A5FD4">
        <w:rPr>
          <w:rStyle w:val="aff0"/>
          <w:rtl/>
        </w:rPr>
        <w:t>(סי' ב' אות ז' ד"ה ועדיין)</w:t>
      </w:r>
      <w:r>
        <w:rPr>
          <w:rtl/>
        </w:rPr>
        <w:t xml:space="preserve"> דהיה אפשר לבאר דהא דס"ל </w:t>
      </w:r>
      <w:r w:rsidRPr="008A5FD4">
        <w:rPr>
          <w:rStyle w:val="aff9"/>
          <w:vanish/>
          <w:rtl/>
        </w:rPr>
        <w:t>-</w:t>
      </w:r>
      <w:r w:rsidRPr="008A5FD4">
        <w:rPr>
          <w:rStyle w:val="aff9"/>
          <w:rtl/>
        </w:rPr>
        <w:t>להרמב"ם</w:t>
      </w:r>
      <w:r w:rsidRPr="008A5FD4">
        <w:rPr>
          <w:rStyle w:val="aff9"/>
          <w:vanish/>
          <w:rtl/>
        </w:rPr>
        <w:t>-</w:t>
      </w:r>
      <w:r>
        <w:rPr>
          <w:rtl/>
        </w:rPr>
        <w:t xml:space="preserve"> </w:t>
      </w:r>
      <w:r w:rsidRPr="008A5FD4">
        <w:rPr>
          <w:rStyle w:val="aff0"/>
          <w:rtl/>
        </w:rPr>
        <w:t xml:space="preserve">(עי' אות </w:t>
      </w:r>
      <w:r>
        <w:rPr>
          <w:rStyle w:val="aff0"/>
          <w:rtl/>
        </w:rPr>
        <w:fldChar w:fldCharType="begin"/>
      </w:r>
      <w:r>
        <w:rPr>
          <w:rStyle w:val="aff0"/>
          <w:rtl/>
        </w:rPr>
        <w:instrText xml:space="preserve"> </w:instrText>
      </w:r>
      <w:r>
        <w:rPr>
          <w:rStyle w:val="aff0"/>
        </w:rPr>
        <w:instrText>REF</w:instrText>
      </w:r>
      <w:r>
        <w:rPr>
          <w:rStyle w:val="aff0"/>
          <w:rtl/>
        </w:rPr>
        <w:instrText xml:space="preserve"> _</w:instrText>
      </w:r>
      <w:r>
        <w:rPr>
          <w:rStyle w:val="aff0"/>
        </w:rPr>
        <w:instrText>Ref134736415 \r \h</w:instrText>
      </w:r>
      <w:r>
        <w:rPr>
          <w:rStyle w:val="aff0"/>
          <w:rtl/>
        </w:rPr>
        <w:instrText xml:space="preserve"> </w:instrText>
      </w:r>
      <w:r>
        <w:rPr>
          <w:rStyle w:val="aff0"/>
          <w:rtl/>
        </w:rPr>
      </w:r>
      <w:r>
        <w:rPr>
          <w:rStyle w:val="aff0"/>
          <w:rtl/>
        </w:rPr>
        <w:fldChar w:fldCharType="separate"/>
      </w:r>
      <w:r w:rsidR="00D82181">
        <w:rPr>
          <w:rStyle w:val="aff0"/>
          <w:cs/>
        </w:rPr>
        <w:t>‎</w:t>
      </w:r>
      <w:r w:rsidR="00D82181">
        <w:rPr>
          <w:rStyle w:val="aff0"/>
          <w:rtl/>
        </w:rPr>
        <w:t>מ)</w:t>
      </w:r>
      <w:r>
        <w:rPr>
          <w:rStyle w:val="aff0"/>
          <w:rtl/>
        </w:rPr>
        <w:fldChar w:fldCharType="end"/>
      </w:r>
      <w:r>
        <w:rPr>
          <w:rtl/>
        </w:rPr>
        <w:t xml:space="preserve"> דהמגביה גבשושית הוי תולש דאו', אינו כיון דממעט את היניקה, אלא דס"ל כדברי </w:t>
      </w:r>
      <w:r w:rsidRPr="008A5FD4">
        <w:rPr>
          <w:rStyle w:val="aff9"/>
          <w:rFonts w:hint="cs"/>
          <w:vanish/>
          <w:rtl/>
        </w:rPr>
        <w:t>-</w:t>
      </w:r>
      <w:r w:rsidRPr="008A5FD4">
        <w:rPr>
          <w:rStyle w:val="aff9"/>
          <w:rtl/>
        </w:rPr>
        <w:t>המאירי לקמן</w:t>
      </w:r>
      <w:r w:rsidRPr="008A5FD4">
        <w:rPr>
          <w:rStyle w:val="aff9"/>
          <w:rFonts w:hint="cs"/>
          <w:vanish/>
          <w:rtl/>
        </w:rPr>
        <w:t>-</w:t>
      </w:r>
      <w:r>
        <w:rPr>
          <w:rtl/>
        </w:rPr>
        <w:t xml:space="preserve"> </w:t>
      </w:r>
      <w:r w:rsidRPr="008A5FD4">
        <w:rPr>
          <w:rStyle w:val="aff0"/>
          <w:rtl/>
        </w:rPr>
        <w:t xml:space="preserve">(עי' אות </w:t>
      </w:r>
      <w:r w:rsidRPr="008A5FD4">
        <w:rPr>
          <w:rStyle w:val="aff0"/>
          <w:cs/>
        </w:rPr>
        <w:t>‎</w:t>
      </w:r>
      <w:r w:rsidRPr="008A5FD4">
        <w:rPr>
          <w:rStyle w:val="aff0"/>
          <w:rtl/>
        </w:rPr>
        <w:fldChar w:fldCharType="begin"/>
      </w:r>
      <w:r w:rsidRPr="008A5FD4">
        <w:rPr>
          <w:rStyle w:val="aff0"/>
          <w:rtl/>
        </w:rPr>
        <w:instrText xml:space="preserve"> </w:instrText>
      </w:r>
      <w:r w:rsidRPr="008A5FD4">
        <w:rPr>
          <w:rStyle w:val="aff0"/>
        </w:rPr>
        <w:instrText>REF</w:instrText>
      </w:r>
      <w:r w:rsidRPr="008A5FD4">
        <w:rPr>
          <w:rStyle w:val="aff0"/>
          <w:rtl/>
        </w:rPr>
        <w:instrText xml:space="preserve"> _</w:instrText>
      </w:r>
      <w:r w:rsidRPr="008A5FD4">
        <w:rPr>
          <w:rStyle w:val="aff0"/>
        </w:rPr>
        <w:instrText>Ref134978528 \r \h</w:instrText>
      </w:r>
      <w:r w:rsidRPr="008A5FD4">
        <w:rPr>
          <w:rStyle w:val="aff0"/>
          <w:rtl/>
        </w:rPr>
        <w:instrText xml:space="preserve"> </w:instrText>
      </w:r>
      <w:r w:rsidRPr="008A5FD4">
        <w:rPr>
          <w:rStyle w:val="aff0"/>
          <w:rtl/>
        </w:rPr>
      </w:r>
      <w:r w:rsidRPr="008A5FD4">
        <w:rPr>
          <w:rStyle w:val="aff0"/>
          <w:rtl/>
        </w:rPr>
        <w:fldChar w:fldCharType="separate"/>
      </w:r>
      <w:r w:rsidR="00D82181">
        <w:rPr>
          <w:rStyle w:val="aff0"/>
          <w:cs/>
        </w:rPr>
        <w:t>‎</w:t>
      </w:r>
      <w:r w:rsidR="00D82181">
        <w:rPr>
          <w:rStyle w:val="aff0"/>
          <w:rtl/>
        </w:rPr>
        <w:t>סב)</w:t>
      </w:r>
      <w:r w:rsidRPr="008A5FD4">
        <w:rPr>
          <w:rStyle w:val="aff0"/>
          <w:rtl/>
        </w:rPr>
        <w:fldChar w:fldCharType="end"/>
      </w:r>
      <w:r>
        <w:rPr>
          <w:rtl/>
        </w:rPr>
        <w:t xml:space="preserve"> דהמעביר עציץ נקוב ממקום למקום חייב משום קוצר, וכשמניחו במקום אחר, הוא נקרא זורע, וביאר </w:t>
      </w:r>
      <w:r w:rsidRPr="008A5FD4">
        <w:rPr>
          <w:rStyle w:val="aff9"/>
          <w:vanish/>
          <w:rtl/>
        </w:rPr>
        <w:t>-</w:t>
      </w:r>
      <w:r w:rsidRPr="008A5FD4">
        <w:rPr>
          <w:rStyle w:val="aff9"/>
          <w:rtl/>
        </w:rPr>
        <w:t>הדברי יחזקאל</w:t>
      </w:r>
      <w:r w:rsidRPr="008A5FD4">
        <w:rPr>
          <w:rStyle w:val="aff9"/>
          <w:vanish/>
          <w:rtl/>
        </w:rPr>
        <w:t>-</w:t>
      </w:r>
      <w:r>
        <w:rPr>
          <w:rtl/>
        </w:rPr>
        <w:t xml:space="preserve"> דאף שחזר והעמידו במקום יניקה, מ"מ חשיב קוצר כיון שאינו יונק מהמקום הראשון שינק, והוא זריעה חדשה, וה"ה במגביה גבשושית מע"ג הקרקע ומניחה ע"ג יתדות, או להיפך, דהוא קוצר אותו מהמקום הראשון וזורעו במקום השני, אך דחה </w:t>
      </w:r>
      <w:r w:rsidRPr="008A5FD4">
        <w:rPr>
          <w:rStyle w:val="aff9"/>
          <w:vanish/>
          <w:rtl/>
        </w:rPr>
        <w:t>-</w:t>
      </w:r>
      <w:r w:rsidRPr="008A5FD4">
        <w:rPr>
          <w:rStyle w:val="aff9"/>
          <w:rtl/>
        </w:rPr>
        <w:t>הדברי יחזקאל</w:t>
      </w:r>
      <w:r w:rsidRPr="008A5FD4">
        <w:rPr>
          <w:rStyle w:val="aff9"/>
          <w:vanish/>
          <w:rtl/>
        </w:rPr>
        <w:t>-</w:t>
      </w:r>
      <w:r>
        <w:rPr>
          <w:rtl/>
        </w:rPr>
        <w:t xml:space="preserve"> דא"כ היה </w:t>
      </w:r>
      <w:r w:rsidRPr="008A5FD4">
        <w:rPr>
          <w:rStyle w:val="aff9"/>
          <w:vanish/>
          <w:rtl/>
        </w:rPr>
        <w:t>-</w:t>
      </w:r>
      <w:r w:rsidRPr="008A5FD4">
        <w:rPr>
          <w:rStyle w:val="aff9"/>
          <w:rtl/>
        </w:rPr>
        <w:t>להרמב"ם</w:t>
      </w:r>
      <w:r w:rsidRPr="008A5FD4">
        <w:rPr>
          <w:rStyle w:val="aff9"/>
          <w:vanish/>
          <w:rtl/>
        </w:rPr>
        <w:t>-</w:t>
      </w:r>
      <w:r>
        <w:rPr>
          <w:rtl/>
        </w:rPr>
        <w:t xml:space="preserve"> לחייב בגבשושית גם משום נוטע.</w:t>
      </w:r>
    </w:p>
    <w:p w14:paraId="750163F6" w14:textId="77777777" w:rsidR="000426DE" w:rsidRPr="009F3082" w:rsidRDefault="000426DE" w:rsidP="000426DE">
      <w:pPr>
        <w:pStyle w:val="ae"/>
        <w:rPr>
          <w:vanish/>
          <w:rtl/>
        </w:rPr>
      </w:pPr>
      <w:r w:rsidRPr="009F3082">
        <w:rPr>
          <w:vanish/>
          <w:rtl/>
        </w:rPr>
        <w:t>[ז] ועדיין אפשר לצדד בדעת הרמב"ם דמה שמחייב משום תולש דאורייתא אין הטעם משום מיעוט יניקה, אלא ע"פ דברי המאירי שכתבנו לעיל דבהעתקת עציץ נקוב ממקום למקום מיקרי קוצר מאחר שאינו יונק ממקומו הראשון עוד, ואף על פי שהעמידו במקום יניקה זהו זריעה חדשה, ולפ"ז בהניחו ע"ג יתדות או ע"ג קרקע ודאי דעי"ז נעתק הנקב ממקום למקום, ונמצא שיונק עכשיו ממקום חדש ופסקה יניקתו ממקומו הראשון, דהא לא מיירי בצמצם במכוון שלא יזוז הפרפיסא ממקום למקום אף משהו, ומשו"ה מחייב הרמב"ם בהניחו ע"ג יתדות משום תולשו ממקום למקום, דבכה"ג שפסקה יניקתו לגמרי ממקומו הראשון עדיף לחייבו מאם היה ממעט יניקתו.</w:t>
      </w:r>
    </w:p>
    <w:p w14:paraId="5164BDA4" w14:textId="77777777" w:rsidR="000426DE" w:rsidRPr="009F3082" w:rsidRDefault="000426DE" w:rsidP="000426DE">
      <w:pPr>
        <w:pStyle w:val="ae"/>
        <w:rPr>
          <w:vanish/>
        </w:rPr>
      </w:pPr>
      <w:r w:rsidRPr="009F3082">
        <w:rPr>
          <w:vanish/>
          <w:rtl/>
        </w:rPr>
        <w:t>אלא דאין להעמיס זה בדברי הרמב"ם דלפ"ז תיקשי בהניחו ע"ג יתדות אמאי חייב משום תולש לבד, יתחייב גם משום נוטע כמו בהעתיקו ממקום למקום, וכן בהניחו ע"ג קרקע אמאי חייב משום נוטע בלבד ולא משום תולש, ואף דבכמה דוכתי כתב הרמב"ם חייב דיש במשמע שאינו אלא אחת ובאמת חייב שתים, כמו שביאר המנחת חינוך (מצוה ל"ב) בשם המ"מ יעו"ש, מ"מ כאן דכתב בהניחו ע"ג יתדות לחייבו משום תולש ובהניחו ע"ג קרקע משום נוטע משמע דחלוקין מהדדי ובכל אחד אינו חייב אלא אחת, וע"כ דלא ס"ל דברי המאירי, אלא דכל שהיניקות שוות לא מתחייב בהעתיקו ממקום למקום דאין כאן מלאכה כלל, אלא היכא דאין היניקות שוות מחויב בכל אחד לפי דרכו, במיעוט יניקה משום תולש ובהוספת יניקה משום נוטע. ולדעת המאירי יקשה לשון הש"ס דמשמע דאינו חייב שתים בכל אחד ואחד, ואם דעתו כשיטת רש"י ותוס' דהאי חייב אינו אלא דרבנן א"ש דל"ש כאן לשון חייב שתים רק דנקט הש"ס בכל חדא וחדא איסור הפשוט, ולדעת הרמב"ם צריך לדחוק דכאן הו"ל דבר שאינו מתכוון במה שנעתק ממקום למקום, ופסיק רישא לא הוי דס"ל אפשר לצמצם, או דס"ל כדעת הערוך דפס"ר דלא ניחא ליה שרי.</w:t>
      </w:r>
    </w:p>
  </w:footnote>
  <w:footnote w:id="4">
    <w:p w14:paraId="20CC1E5D" w14:textId="77777777" w:rsidR="000426DE" w:rsidRDefault="000426DE" w:rsidP="000426DE">
      <w:pPr>
        <w:pStyle w:val="ae"/>
        <w:rPr>
          <w:rtl/>
        </w:rPr>
      </w:pPr>
      <w:r>
        <w:rPr>
          <w:rStyle w:val="afff0"/>
        </w:rPr>
        <w:footnoteRef/>
      </w:r>
      <w:r>
        <w:rPr>
          <w:rtl/>
        </w:rPr>
        <w:t xml:space="preserve"> </w:t>
      </w:r>
      <w:r>
        <w:rPr>
          <w:rFonts w:hint="cs"/>
          <w:rtl/>
        </w:rPr>
        <w:t xml:space="preserve">בסימן שנדפס בכתבי בית ישראל, לא הזכיר </w:t>
      </w:r>
      <w:r w:rsidRPr="00E61127">
        <w:rPr>
          <w:rStyle w:val="aff9"/>
          <w:rFonts w:hint="cs"/>
          <w:vanish/>
          <w:rtl/>
        </w:rPr>
        <w:t>-</w:t>
      </w:r>
      <w:r w:rsidRPr="00E61127">
        <w:rPr>
          <w:rStyle w:val="aff9"/>
          <w:rFonts w:hint="cs"/>
          <w:rtl/>
        </w:rPr>
        <w:t>הדברי יחזקאל</w:t>
      </w:r>
      <w:r w:rsidRPr="00E61127">
        <w:rPr>
          <w:rStyle w:val="aff9"/>
          <w:rFonts w:hint="cs"/>
          <w:vanish/>
          <w:rtl/>
        </w:rPr>
        <w:t>-</w:t>
      </w:r>
      <w:r>
        <w:rPr>
          <w:rFonts w:hint="cs"/>
          <w:rtl/>
        </w:rPr>
        <w:t xml:space="preserve"> כלל את הגמ' בעירובין, וע"ז הקשה </w:t>
      </w:r>
      <w:r w:rsidRPr="00E61127">
        <w:rPr>
          <w:rStyle w:val="aff9"/>
          <w:rFonts w:hint="cs"/>
          <w:vanish/>
          <w:rtl/>
        </w:rPr>
        <w:t>-</w:t>
      </w:r>
      <w:r w:rsidRPr="00E61127">
        <w:rPr>
          <w:rStyle w:val="aff9"/>
          <w:rFonts w:hint="cs"/>
          <w:rtl/>
        </w:rPr>
        <w:t>החזו"א בהג' לכתבי בית ישראל</w:t>
      </w:r>
      <w:r w:rsidRPr="00E61127">
        <w:rPr>
          <w:rStyle w:val="aff9"/>
          <w:rFonts w:hint="cs"/>
          <w:vanish/>
          <w:rtl/>
        </w:rPr>
        <w:t>-</w:t>
      </w:r>
      <w:r>
        <w:rPr>
          <w:rFonts w:hint="cs"/>
          <w:rtl/>
        </w:rPr>
        <w:t xml:space="preserve"> מהגמ' בעירובין, ובספר </w:t>
      </w:r>
      <w:r w:rsidRPr="00E61127">
        <w:rPr>
          <w:rStyle w:val="aff9"/>
          <w:rFonts w:hint="cs"/>
          <w:vanish/>
          <w:rtl/>
        </w:rPr>
        <w:t>-</w:t>
      </w:r>
      <w:r w:rsidRPr="00E61127">
        <w:rPr>
          <w:rStyle w:val="aff9"/>
          <w:rFonts w:hint="cs"/>
          <w:rtl/>
        </w:rPr>
        <w:t>דברי יחזקאל</w:t>
      </w:r>
      <w:r w:rsidRPr="00E61127">
        <w:rPr>
          <w:rStyle w:val="aff9"/>
          <w:rFonts w:hint="cs"/>
          <w:vanish/>
          <w:rtl/>
        </w:rPr>
        <w:t>-</w:t>
      </w:r>
      <w:r>
        <w:rPr>
          <w:rFonts w:hint="cs"/>
          <w:rtl/>
        </w:rPr>
        <w:t xml:space="preserve"> ביאר את הגמ' בעירובין, כנראה כתשובה לקושית </w:t>
      </w:r>
      <w:r w:rsidRPr="00E61127">
        <w:rPr>
          <w:rStyle w:val="aff9"/>
          <w:rFonts w:hint="cs"/>
          <w:vanish/>
          <w:rtl/>
        </w:rPr>
        <w:t>-</w:t>
      </w:r>
      <w:r w:rsidRPr="00E61127">
        <w:rPr>
          <w:rStyle w:val="aff9"/>
          <w:rFonts w:hint="cs"/>
          <w:rtl/>
        </w:rPr>
        <w:t>החזו"א</w:t>
      </w:r>
      <w:r w:rsidRPr="009144F1">
        <w:rPr>
          <w:rStyle w:val="af"/>
          <w:rFonts w:hint="cs"/>
          <w:vanish/>
          <w:rtl/>
        </w:rPr>
        <w:t>-</w:t>
      </w:r>
      <w:r w:rsidRPr="009144F1">
        <w:rPr>
          <w:rStyle w:val="af"/>
          <w:rFonts w:hint="cs"/>
          <w:rtl/>
        </w:rPr>
        <w:t>.</w:t>
      </w:r>
    </w:p>
  </w:footnote>
  <w:footnote w:id="5">
    <w:p w14:paraId="485BBE6F" w14:textId="77777777" w:rsidR="00316453" w:rsidRDefault="00316453" w:rsidP="00316453">
      <w:pPr>
        <w:pStyle w:val="ae"/>
      </w:pPr>
      <w:r>
        <w:rPr>
          <w:rStyle w:val="afff0"/>
        </w:rPr>
        <w:footnoteRef/>
      </w:r>
      <w:r>
        <w:rPr>
          <w:rtl/>
        </w:rPr>
        <w:t xml:space="preserve"> </w:t>
      </w:r>
      <w:r>
        <w:rPr>
          <w:rFonts w:hint="cs"/>
          <w:rtl/>
        </w:rPr>
        <w:t xml:space="preserve">אמנם </w:t>
      </w:r>
      <w:r w:rsidRPr="00303155">
        <w:rPr>
          <w:rStyle w:val="aff9"/>
          <w:rFonts w:hint="cs"/>
          <w:vanish/>
          <w:rtl/>
        </w:rPr>
        <w:t>-</w:t>
      </w:r>
      <w:r w:rsidRPr="00303155">
        <w:rPr>
          <w:rStyle w:val="aff9"/>
          <w:rFonts w:hint="cs"/>
          <w:rtl/>
        </w:rPr>
        <w:t>בבעה"מ</w:t>
      </w:r>
      <w:r w:rsidRPr="00303155">
        <w:rPr>
          <w:rStyle w:val="aff9"/>
          <w:rFonts w:hint="cs"/>
          <w:vanish/>
          <w:rtl/>
        </w:rPr>
        <w:t>-</w:t>
      </w:r>
      <w:r>
        <w:rPr>
          <w:rFonts w:hint="cs"/>
          <w:rtl/>
        </w:rPr>
        <w:t xml:space="preserve"> לפנינו לא כתב "מרקד", כדהביא </w:t>
      </w:r>
      <w:r w:rsidRPr="00303155">
        <w:rPr>
          <w:rStyle w:val="aff9"/>
          <w:rFonts w:hint="cs"/>
          <w:vanish/>
          <w:rtl/>
        </w:rPr>
        <w:t>-</w:t>
      </w:r>
      <w:r w:rsidRPr="00303155">
        <w:rPr>
          <w:rStyle w:val="aff9"/>
          <w:rFonts w:hint="cs"/>
          <w:rtl/>
        </w:rPr>
        <w:t>הישועות יעקב</w:t>
      </w:r>
      <w:r w:rsidRPr="00303155">
        <w:rPr>
          <w:rStyle w:val="aff9"/>
          <w:rFonts w:hint="cs"/>
          <w:vanish/>
          <w:rtl/>
        </w:rPr>
        <w:t>-</w:t>
      </w:r>
      <w:r>
        <w:rPr>
          <w:rFonts w:hint="cs"/>
          <w:rtl/>
        </w:rPr>
        <w:t xml:space="preserve"> בשמו.</w:t>
      </w:r>
    </w:p>
  </w:footnote>
  <w:footnote w:id="6">
    <w:p w14:paraId="02A579C6" w14:textId="77777777" w:rsidR="00316453" w:rsidRDefault="00316453" w:rsidP="00316453">
      <w:pPr>
        <w:pStyle w:val="ae"/>
        <w:rPr>
          <w:rtl/>
        </w:rPr>
      </w:pPr>
      <w:r>
        <w:rPr>
          <w:rStyle w:val="afff0"/>
        </w:rPr>
        <w:footnoteRef/>
      </w:r>
      <w:r>
        <w:rPr>
          <w:rtl/>
        </w:rPr>
        <w:t xml:space="preserve"> </w:t>
      </w:r>
      <w:r>
        <w:rPr>
          <w:rFonts w:hint="cs"/>
          <w:rtl/>
        </w:rPr>
        <w:t xml:space="preserve">וכתב </w:t>
      </w:r>
      <w:r w:rsidRPr="00303155">
        <w:rPr>
          <w:rStyle w:val="aff9"/>
          <w:rFonts w:hint="cs"/>
          <w:vanish/>
          <w:rtl/>
        </w:rPr>
        <w:t>-</w:t>
      </w:r>
      <w:r w:rsidRPr="00303155">
        <w:rPr>
          <w:rStyle w:val="aff9"/>
          <w:rFonts w:hint="cs"/>
          <w:rtl/>
        </w:rPr>
        <w:t>הישועות יעקב</w:t>
      </w:r>
      <w:r w:rsidRPr="00303155">
        <w:rPr>
          <w:rStyle w:val="aff9"/>
          <w:rFonts w:hint="cs"/>
          <w:vanish/>
          <w:rtl/>
        </w:rPr>
        <w:t>-</w:t>
      </w:r>
      <w:r>
        <w:rPr>
          <w:rFonts w:hint="cs"/>
          <w:rtl/>
        </w:rPr>
        <w:t xml:space="preserve"> דלכן שיעור בורר הוא כגרוגרת מהאוכל והפסולת יחד, דהמלאכה היא בשניהם.</w:t>
      </w:r>
    </w:p>
  </w:footnote>
  <w:footnote w:id="7">
    <w:p w14:paraId="213D656B" w14:textId="77777777" w:rsidR="00316453" w:rsidRDefault="00316453" w:rsidP="00316453">
      <w:pPr>
        <w:pStyle w:val="ae"/>
        <w:rPr>
          <w:rtl/>
        </w:rPr>
      </w:pPr>
      <w:r>
        <w:rPr>
          <w:rStyle w:val="afff0"/>
        </w:rPr>
        <w:footnoteRef/>
      </w:r>
      <w:r>
        <w:rPr>
          <w:rtl/>
        </w:rPr>
        <w:t xml:space="preserve"> </w:t>
      </w:r>
      <w:r>
        <w:rPr>
          <w:rFonts w:hint="cs"/>
          <w:rtl/>
        </w:rPr>
        <w:t xml:space="preserve">אך הקשה </w:t>
      </w:r>
      <w:r w:rsidRPr="00303155">
        <w:rPr>
          <w:rStyle w:val="aff9"/>
          <w:rFonts w:hint="cs"/>
          <w:vanish/>
          <w:rtl/>
        </w:rPr>
        <w:t>-</w:t>
      </w:r>
      <w:r w:rsidRPr="00303155">
        <w:rPr>
          <w:rStyle w:val="aff9"/>
          <w:rFonts w:hint="cs"/>
          <w:rtl/>
        </w:rPr>
        <w:t>בהג' הגרא"ז לרמב"ן</w:t>
      </w:r>
      <w:r w:rsidRPr="00303155">
        <w:rPr>
          <w:rStyle w:val="aff9"/>
          <w:rFonts w:hint="cs"/>
          <w:vanish/>
          <w:rtl/>
        </w:rPr>
        <w:t>-</w:t>
      </w:r>
      <w:r>
        <w:rPr>
          <w:rFonts w:hint="cs"/>
          <w:rtl/>
        </w:rPr>
        <w:t xml:space="preserve"> דמ"ש נטילת שיער וצפורנים דחייב משום גוזז, מזומר וא"צ לעצים דאינו חייב משום קוצר, וכתב </w:t>
      </w:r>
      <w:r w:rsidRPr="00303155">
        <w:rPr>
          <w:rStyle w:val="aff9"/>
          <w:rFonts w:hint="cs"/>
          <w:vanish/>
          <w:rtl/>
        </w:rPr>
        <w:t>-</w:t>
      </w:r>
      <w:r w:rsidRPr="00303155">
        <w:rPr>
          <w:rStyle w:val="aff9"/>
          <w:rFonts w:hint="cs"/>
          <w:rtl/>
        </w:rPr>
        <w:t>הגרא"ז</w:t>
      </w:r>
      <w:r w:rsidRPr="00303155">
        <w:rPr>
          <w:rStyle w:val="aff9"/>
          <w:rFonts w:hint="cs"/>
          <w:vanish/>
          <w:rtl/>
        </w:rPr>
        <w:t>-</w:t>
      </w:r>
      <w:r>
        <w:rPr>
          <w:rFonts w:hint="cs"/>
          <w:rtl/>
        </w:rPr>
        <w:t xml:space="preserve"> דלדברי </w:t>
      </w:r>
      <w:r w:rsidRPr="00303155">
        <w:rPr>
          <w:rStyle w:val="aff9"/>
          <w:rFonts w:hint="cs"/>
          <w:vanish/>
          <w:rtl/>
        </w:rPr>
        <w:t>-</w:t>
      </w:r>
      <w:r w:rsidRPr="00303155">
        <w:rPr>
          <w:rStyle w:val="aff9"/>
          <w:rFonts w:hint="cs"/>
          <w:rtl/>
        </w:rPr>
        <w:t>התוס'</w:t>
      </w:r>
      <w:r w:rsidRPr="00303155">
        <w:rPr>
          <w:rStyle w:val="aff9"/>
          <w:rFonts w:hint="cs"/>
          <w:vanish/>
          <w:rtl/>
        </w:rPr>
        <w:t>-</w:t>
      </w:r>
      <w:r>
        <w:rPr>
          <w:rFonts w:hint="cs"/>
          <w:rtl/>
        </w:rPr>
        <w:t xml:space="preserve"> </w:t>
      </w:r>
      <w:r w:rsidRPr="00303155">
        <w:rPr>
          <w:rStyle w:val="aff0"/>
          <w:rFonts w:hint="cs"/>
          <w:rtl/>
        </w:rPr>
        <w:t>(ד"ה וצריך)</w:t>
      </w:r>
      <w:r>
        <w:rPr>
          <w:rFonts w:hint="cs"/>
          <w:rtl/>
        </w:rPr>
        <w:t xml:space="preserve"> דכתבו דאין דרך קצירה בעצים כשא"צ להם, מבואר דלא שייך חיוב קוצר בזה, אך עדיין קשה מ"ש גוזז מקוצר, ועי' במה שתירץ </w:t>
      </w:r>
      <w:r w:rsidRPr="00303155">
        <w:rPr>
          <w:rStyle w:val="aff9"/>
          <w:rFonts w:hint="cs"/>
          <w:vanish/>
          <w:rtl/>
        </w:rPr>
        <w:t>-</w:t>
      </w:r>
      <w:r w:rsidRPr="00303155">
        <w:rPr>
          <w:rStyle w:val="aff9"/>
          <w:rFonts w:hint="cs"/>
          <w:rtl/>
        </w:rPr>
        <w:t>הקה"י</w:t>
      </w:r>
      <w:r w:rsidRPr="00303155">
        <w:rPr>
          <w:rStyle w:val="aff9"/>
          <w:rFonts w:hint="cs"/>
          <w:vanish/>
          <w:rtl/>
        </w:rPr>
        <w:t>-</w:t>
      </w:r>
      <w:r>
        <w:rPr>
          <w:rFonts w:hint="cs"/>
          <w:rtl/>
        </w:rPr>
        <w:t xml:space="preserve"> </w:t>
      </w:r>
      <w:r w:rsidRPr="00303155">
        <w:rPr>
          <w:rStyle w:val="aff0"/>
          <w:rFonts w:hint="cs"/>
          <w:rtl/>
        </w:rPr>
        <w:t>(סי' מ"ט ד"ה וע"ד)</w:t>
      </w:r>
      <w:r>
        <w:rPr>
          <w:rFonts w:hint="cs"/>
          <w:rtl/>
        </w:rPr>
        <w:t>.</w:t>
      </w:r>
    </w:p>
  </w:footnote>
  <w:footnote w:id="8">
    <w:p w14:paraId="4B686E19" w14:textId="77777777" w:rsidR="00316453" w:rsidRDefault="00316453" w:rsidP="00316453">
      <w:pPr>
        <w:pStyle w:val="ae"/>
        <w:rPr>
          <w:rtl/>
        </w:rPr>
      </w:pPr>
      <w:r>
        <w:rPr>
          <w:rStyle w:val="afff0"/>
        </w:rPr>
        <w:footnoteRef/>
      </w:r>
      <w:r>
        <w:rPr>
          <w:rtl/>
        </w:rPr>
        <w:t xml:space="preserve"> </w:t>
      </w:r>
      <w:r>
        <w:rPr>
          <w:rFonts w:hint="cs"/>
          <w:rtl/>
        </w:rPr>
        <w:t xml:space="preserve">וכתב </w:t>
      </w:r>
      <w:r w:rsidRPr="00657049">
        <w:rPr>
          <w:rStyle w:val="aff9"/>
          <w:rFonts w:hint="cs"/>
          <w:vanish/>
          <w:rtl/>
        </w:rPr>
        <w:t>-</w:t>
      </w:r>
      <w:r w:rsidRPr="00657049">
        <w:rPr>
          <w:rStyle w:val="aff9"/>
          <w:rFonts w:hint="cs"/>
          <w:rtl/>
        </w:rPr>
        <w:t>האגלי טל</w:t>
      </w:r>
      <w:r w:rsidRPr="00657049">
        <w:rPr>
          <w:rStyle w:val="aff9"/>
          <w:rFonts w:hint="cs"/>
          <w:vanish/>
          <w:rtl/>
        </w:rPr>
        <w:t>-</w:t>
      </w:r>
      <w:r>
        <w:rPr>
          <w:rFonts w:hint="cs"/>
          <w:rtl/>
        </w:rPr>
        <w:t xml:space="preserve"> דאעפ"י דמלאכת זורה היא בקשין, ובגמר הזרייה גמר לברר את כל הקשין, מ"מ מבואר בגמ' דזורה ובורר הם מלאכה אחת, וא"כ כיון שיש עדיין צרורות באוכל א"א לומר דהאוכל הוא מבורר.</w:t>
      </w:r>
    </w:p>
  </w:footnote>
  <w:footnote w:id="9">
    <w:p w14:paraId="36D50F6C" w14:textId="77777777" w:rsidR="00592982" w:rsidRDefault="00592982" w:rsidP="00592982">
      <w:pPr>
        <w:pStyle w:val="ae"/>
        <w:rPr>
          <w:rtl/>
        </w:rPr>
      </w:pPr>
      <w:r>
        <w:rPr>
          <w:rStyle w:val="afff0"/>
        </w:rPr>
        <w:footnoteRef/>
      </w:r>
      <w:r>
        <w:rPr>
          <w:rtl/>
        </w:rPr>
        <w:t xml:space="preserve"> </w:t>
      </w:r>
      <w:r>
        <w:rPr>
          <w:rFonts w:hint="cs"/>
          <w:rtl/>
        </w:rPr>
        <w:t>עיי"ש במ"ש</w:t>
      </w:r>
      <w:r>
        <w:rPr>
          <w:rtl/>
        </w:rPr>
        <w:t xml:space="preserve"> </w:t>
      </w:r>
      <w:r w:rsidRPr="00D14465">
        <w:rPr>
          <w:rStyle w:val="aff9"/>
          <w:rFonts w:hint="cs"/>
          <w:vanish/>
          <w:rtl/>
        </w:rPr>
        <w:t>-</w:t>
      </w:r>
      <w:r w:rsidRPr="00D14465">
        <w:rPr>
          <w:rStyle w:val="aff9"/>
          <w:rtl/>
        </w:rPr>
        <w:t>האגלי טל</w:t>
      </w:r>
      <w:r w:rsidRPr="00D14465">
        <w:rPr>
          <w:rStyle w:val="aff9"/>
          <w:rFonts w:hint="cs"/>
          <w:vanish/>
          <w:rtl/>
        </w:rPr>
        <w:t>-</w:t>
      </w:r>
      <w:r>
        <w:rPr>
          <w:rtl/>
        </w:rPr>
        <w:t xml:space="preserve"> </w:t>
      </w:r>
      <w:r w:rsidRPr="00D14465">
        <w:rPr>
          <w:rStyle w:val="aff0"/>
          <w:rtl/>
        </w:rPr>
        <w:t>(זורה סק"א אות ד'</w:t>
      </w:r>
      <w:r w:rsidRPr="00D14465">
        <w:rPr>
          <w:rStyle w:val="aff0"/>
          <w:rFonts w:hint="cs"/>
          <w:rtl/>
        </w:rPr>
        <w:t>, הובא בסימן ה' אות ל"ג)</w:t>
      </w:r>
      <w:r>
        <w:rPr>
          <w:rtl/>
        </w:rPr>
        <w:t xml:space="preserve"> דס"ל לירושלמי דחיוב בורר בהפרדת אוכל מפסולת הוא רק כשהאוכל נקי לגמרי, כדמוכח מדברי </w:t>
      </w:r>
      <w:r>
        <w:rPr>
          <w:rFonts w:hint="cs"/>
          <w:rtl/>
        </w:rPr>
        <w:t xml:space="preserve">בירושלמי </w:t>
      </w:r>
      <w:r w:rsidRPr="00D14465">
        <w:rPr>
          <w:rStyle w:val="aff0"/>
          <w:rFonts w:hint="cs"/>
          <w:rtl/>
        </w:rPr>
        <w:t>(פ"ז ה"ב, מט:)</w:t>
      </w:r>
      <w:r>
        <w:rPr>
          <w:rFonts w:hint="cs"/>
          <w:rtl/>
        </w:rPr>
        <w:t xml:space="preserve"> דאם בירר צרורות כל היום מתוך כרי פטור, </w:t>
      </w:r>
      <w:r w:rsidRPr="00D4778B">
        <w:rPr>
          <w:rStyle w:val="af"/>
          <w:rFonts w:hint="cs"/>
          <w:rtl/>
        </w:rPr>
        <w:t>[דעדיין נשארו בו צרורות ולא תיקן את הכרי]</w:t>
      </w:r>
      <w:r>
        <w:rPr>
          <w:rFonts w:hint="cs"/>
          <w:rtl/>
        </w:rPr>
        <w:t>, ואם נטל בידו כגרוגרת וברר חייב</w:t>
      </w:r>
      <w:r>
        <w:rPr>
          <w:rtl/>
        </w:rPr>
        <w:t>, ו</w:t>
      </w:r>
      <w:r>
        <w:rPr>
          <w:rFonts w:hint="cs"/>
          <w:rtl/>
        </w:rPr>
        <w:t>לכן ס"ל ד</w:t>
      </w:r>
      <w:r>
        <w:rPr>
          <w:rtl/>
        </w:rPr>
        <w:t xml:space="preserve">בזורה </w:t>
      </w:r>
      <w:r>
        <w:rPr>
          <w:rFonts w:hint="cs"/>
          <w:rtl/>
        </w:rPr>
        <w:t xml:space="preserve">המלאכה אינה הפרדת אוכל מפסולת, </w:t>
      </w:r>
      <w:r>
        <w:rPr>
          <w:rtl/>
        </w:rPr>
        <w:t>ד</w:t>
      </w:r>
      <w:r>
        <w:rPr>
          <w:rFonts w:hint="cs"/>
          <w:rtl/>
        </w:rPr>
        <w:t xml:space="preserve">הא </w:t>
      </w:r>
      <w:r>
        <w:rPr>
          <w:rtl/>
        </w:rPr>
        <w:t>אחר הזרייה עדיין יש צרורות בכרי, א"א לומר דהוא הפרדת פסולת מאוכל , ולכן ס"ל לירושלמי דגדר זורה הוא הפרדת חלקים</w:t>
      </w:r>
      <w:r>
        <w:rPr>
          <w:rFonts w:hint="cs"/>
          <w:rtl/>
        </w:rPr>
        <w:t>, ולכן ס"ל לירושלמי דהרוקק ברוח חייב משום זורה</w:t>
      </w:r>
      <w:r>
        <w:rPr>
          <w:rtl/>
        </w:rPr>
        <w:t>, אבל לדעת הבבלי דזורה דמי לבורר</w:t>
      </w:r>
      <w:r>
        <w:rPr>
          <w:rFonts w:hint="cs"/>
          <w:rtl/>
        </w:rPr>
        <w:t xml:space="preserve"> דהוא הפרדת פסולת מאוכל</w:t>
      </w:r>
      <w:r>
        <w:rPr>
          <w:rtl/>
        </w:rPr>
        <w:t>, א"כ פשיטא דהפרדת אוכל מפסולת היא אף כשעדיין יש פסולת באוכל כמו לאחר הזרייה, ופליג הבבלי על רב יודן דפוטר בזה, ולכן השמיטו הפוסקים את דברי רב יודן וכן את חיוב הירושלמי ברוקק לרוח</w:t>
      </w:r>
      <w:r>
        <w:rPr>
          <w:rFonts w:hint="cs"/>
          <w:rtl/>
        </w:rPr>
        <w:t xml:space="preserve">, </w:t>
      </w:r>
      <w:r>
        <w:rPr>
          <w:rtl/>
        </w:rPr>
        <w:t xml:space="preserve">וכתב </w:t>
      </w:r>
      <w:r w:rsidRPr="00D14465">
        <w:rPr>
          <w:rStyle w:val="aff9"/>
          <w:rFonts w:hint="cs"/>
          <w:vanish/>
          <w:rtl/>
        </w:rPr>
        <w:t>-</w:t>
      </w:r>
      <w:r w:rsidRPr="00D14465">
        <w:rPr>
          <w:rStyle w:val="aff9"/>
          <w:rtl/>
        </w:rPr>
        <w:t>האגלי טל</w:t>
      </w:r>
      <w:r w:rsidRPr="00D14465">
        <w:rPr>
          <w:rStyle w:val="aff9"/>
          <w:rFonts w:hint="cs"/>
          <w:vanish/>
          <w:rtl/>
        </w:rPr>
        <w:t>-</w:t>
      </w:r>
      <w:r>
        <w:rPr>
          <w:rFonts w:hint="cs"/>
          <w:rtl/>
        </w:rPr>
        <w:t xml:space="preserve"> </w:t>
      </w:r>
      <w:r>
        <w:rPr>
          <w:rtl/>
        </w:rPr>
        <w:t>דלדעת הירושלמי כ"ז שלא בירר את כל הכרי לא חשיב מלאכה כלל, כיון דס"ל לירושלמי דבברירת פסולת מאוכל המלאכה היא באוכל ולא בפסולת, וכל שהאוכל לא מבורר אי"ז מלאכה</w:t>
      </w:r>
      <w:r>
        <w:rPr>
          <w:rFonts w:hint="cs"/>
          <w:rtl/>
        </w:rPr>
        <w:t>.</w:t>
      </w:r>
    </w:p>
    <w:p w14:paraId="26BD6D77" w14:textId="77777777" w:rsidR="00592982" w:rsidRDefault="00592982" w:rsidP="00592982">
      <w:pPr>
        <w:pStyle w:val="ae"/>
        <w:widowControl w:val="0"/>
        <w:rPr>
          <w:rtl/>
        </w:rPr>
      </w:pPr>
      <w:r>
        <w:rPr>
          <w:rFonts w:hint="cs"/>
          <w:rtl/>
        </w:rPr>
        <w:t xml:space="preserve">וע"ע במ"ש </w:t>
      </w:r>
      <w:r w:rsidRPr="00D14465">
        <w:rPr>
          <w:rStyle w:val="aff9"/>
          <w:rFonts w:hint="cs"/>
          <w:vanish/>
          <w:rtl/>
        </w:rPr>
        <w:t>-</w:t>
      </w:r>
      <w:r w:rsidRPr="00D14465">
        <w:rPr>
          <w:rStyle w:val="aff9"/>
          <w:rtl/>
        </w:rPr>
        <w:t>האגלי טל</w:t>
      </w:r>
      <w:r w:rsidRPr="00D14465">
        <w:rPr>
          <w:rStyle w:val="aff9"/>
          <w:rFonts w:hint="cs"/>
          <w:vanish/>
          <w:rtl/>
        </w:rPr>
        <w:t>-</w:t>
      </w:r>
      <w:r w:rsidRPr="00281366">
        <w:rPr>
          <w:rtl/>
        </w:rPr>
        <w:t xml:space="preserve"> </w:t>
      </w:r>
      <w:r w:rsidRPr="00D14465">
        <w:rPr>
          <w:rStyle w:val="aff0"/>
          <w:rtl/>
        </w:rPr>
        <w:t>(זורה סק"א אות ו'</w:t>
      </w:r>
      <w:r w:rsidRPr="00D14465">
        <w:rPr>
          <w:rStyle w:val="aff0"/>
          <w:rFonts w:hint="cs"/>
          <w:rtl/>
        </w:rPr>
        <w:t>, הובא בסימן ה' אות י"ג)</w:t>
      </w:r>
      <w:r>
        <w:rPr>
          <w:rFonts w:hint="cs"/>
          <w:rtl/>
        </w:rPr>
        <w:t xml:space="preserve"> דלדעת </w:t>
      </w:r>
      <w:r w:rsidRPr="00D14465">
        <w:rPr>
          <w:rStyle w:val="aff9"/>
          <w:rFonts w:hint="cs"/>
          <w:vanish/>
          <w:rtl/>
        </w:rPr>
        <w:t>-</w:t>
      </w:r>
      <w:r w:rsidRPr="00D14465">
        <w:rPr>
          <w:rStyle w:val="aff9"/>
          <w:rtl/>
        </w:rPr>
        <w:t>הבעה"מ והרמב"ן</w:t>
      </w:r>
      <w:r w:rsidRPr="00D14465">
        <w:rPr>
          <w:rStyle w:val="aff9"/>
          <w:rFonts w:hint="cs"/>
          <w:vanish/>
          <w:rtl/>
        </w:rPr>
        <w:t>-</w:t>
      </w:r>
      <w:r>
        <w:rPr>
          <w:rtl/>
        </w:rPr>
        <w:t xml:space="preserve"> </w:t>
      </w:r>
      <w:r>
        <w:rPr>
          <w:rFonts w:hint="cs"/>
          <w:rtl/>
        </w:rPr>
        <w:t>דנחלקו אי בורר הוא מלאכה שא"צ לגופה, ד</w:t>
      </w:r>
      <w:r>
        <w:rPr>
          <w:rtl/>
        </w:rPr>
        <w:t xml:space="preserve">המלאכה </w:t>
      </w:r>
      <w:r>
        <w:rPr>
          <w:rFonts w:hint="cs"/>
          <w:rtl/>
        </w:rPr>
        <w:t xml:space="preserve">בבורר </w:t>
      </w:r>
      <w:r>
        <w:rPr>
          <w:rtl/>
        </w:rPr>
        <w:t xml:space="preserve">היא בפסולת, </w:t>
      </w:r>
      <w:r>
        <w:rPr>
          <w:rFonts w:hint="cs"/>
          <w:rtl/>
        </w:rPr>
        <w:t>ו</w:t>
      </w:r>
      <w:r>
        <w:rPr>
          <w:rtl/>
        </w:rPr>
        <w:t>א"כ אף כשבירר מקצת מהצרורות הוי מלאכה בפסולת שביררה לעצמ</w:t>
      </w:r>
      <w:r>
        <w:rPr>
          <w:rFonts w:hint="cs"/>
          <w:rtl/>
        </w:rPr>
        <w:t xml:space="preserve">ה, ועוד </w:t>
      </w:r>
      <w:r>
        <w:rPr>
          <w:rtl/>
        </w:rPr>
        <w:t xml:space="preserve">כתב האגלי טל </w:t>
      </w:r>
      <w:r w:rsidRPr="00D14465">
        <w:rPr>
          <w:rStyle w:val="aff0"/>
          <w:rtl/>
        </w:rPr>
        <w:t>(זורה סק"א אות ז' ד"ה וצ"ל</w:t>
      </w:r>
      <w:r w:rsidRPr="00D14465">
        <w:rPr>
          <w:rStyle w:val="aff0"/>
          <w:rFonts w:hint="cs"/>
          <w:rtl/>
        </w:rPr>
        <w:t>, הובא בסימן ה' אות י"ט)</w:t>
      </w:r>
      <w:r>
        <w:rPr>
          <w:rtl/>
        </w:rPr>
        <w:t xml:space="preserve"> דלדעת </w:t>
      </w:r>
      <w:r w:rsidRPr="00D14465">
        <w:rPr>
          <w:rStyle w:val="aff9"/>
          <w:rFonts w:hint="cs"/>
          <w:vanish/>
          <w:rtl/>
        </w:rPr>
        <w:t>-</w:t>
      </w:r>
      <w:r w:rsidRPr="00D14465">
        <w:rPr>
          <w:rStyle w:val="aff9"/>
          <w:rtl/>
        </w:rPr>
        <w:t>התוס' לקמן</w:t>
      </w:r>
      <w:r w:rsidRPr="00D14465">
        <w:rPr>
          <w:rStyle w:val="aff9"/>
          <w:rFonts w:hint="cs"/>
          <w:vanish/>
          <w:rtl/>
        </w:rPr>
        <w:t>-</w:t>
      </w:r>
      <w:r w:rsidRPr="007D4110">
        <w:rPr>
          <w:rtl/>
        </w:rPr>
        <w:t xml:space="preserve"> </w:t>
      </w:r>
      <w:r w:rsidRPr="00D14465">
        <w:rPr>
          <w:rStyle w:val="aff0"/>
          <w:rtl/>
        </w:rPr>
        <w:t>(צד: ד"ה אבל)</w:t>
      </w:r>
      <w:r w:rsidRPr="007D4110">
        <w:rPr>
          <w:rtl/>
        </w:rPr>
        <w:t xml:space="preserve"> דכתבו דחיוב בנטילת שיער וצפורנים הוא לדעת ר"י דמחייב במלאכה שא"צ לגופה, מוכח דס"ל ד</w:t>
      </w:r>
      <w:r>
        <w:rPr>
          <w:rFonts w:hint="cs"/>
          <w:rtl/>
        </w:rPr>
        <w:t xml:space="preserve">בורר </w:t>
      </w:r>
      <w:r w:rsidRPr="007D4110">
        <w:rPr>
          <w:rtl/>
        </w:rPr>
        <w:t xml:space="preserve">הוא מלאכה הצריכה לגופה, </w:t>
      </w:r>
      <w:r>
        <w:rPr>
          <w:rFonts w:hint="cs"/>
          <w:rtl/>
        </w:rPr>
        <w:t>ד</w:t>
      </w:r>
      <w:r>
        <w:rPr>
          <w:rtl/>
        </w:rPr>
        <w:t xml:space="preserve">המלאכה היא באוכל ולא בפסולת, </w:t>
      </w:r>
      <w:r w:rsidRPr="00126D8D">
        <w:rPr>
          <w:rtl/>
        </w:rPr>
        <w:t xml:space="preserve">וכתב </w:t>
      </w:r>
      <w:r w:rsidRPr="00D14465">
        <w:rPr>
          <w:rStyle w:val="aff9"/>
          <w:rFonts w:hint="cs"/>
          <w:vanish/>
          <w:rtl/>
        </w:rPr>
        <w:t>-</w:t>
      </w:r>
      <w:r w:rsidRPr="00D14465">
        <w:rPr>
          <w:rStyle w:val="aff9"/>
          <w:rtl/>
        </w:rPr>
        <w:t>האגלי טל</w:t>
      </w:r>
      <w:r w:rsidRPr="00D14465">
        <w:rPr>
          <w:rStyle w:val="aff9"/>
          <w:rFonts w:hint="cs"/>
          <w:vanish/>
          <w:rtl/>
        </w:rPr>
        <w:t>-</w:t>
      </w:r>
      <w:r w:rsidRPr="00126D8D">
        <w:rPr>
          <w:rtl/>
        </w:rPr>
        <w:t xml:space="preserve"> </w:t>
      </w:r>
      <w:r w:rsidRPr="00D14465">
        <w:rPr>
          <w:rStyle w:val="aff0"/>
          <w:rtl/>
        </w:rPr>
        <w:t>(זורה סק"א אות ז' ד"ה וצ"ל</w:t>
      </w:r>
      <w:r w:rsidRPr="00D14465">
        <w:rPr>
          <w:rStyle w:val="aff0"/>
          <w:rFonts w:hint="cs"/>
          <w:rtl/>
        </w:rPr>
        <w:t>, הובא בסימן ה' אות ל"ה)</w:t>
      </w:r>
      <w:r w:rsidRPr="00126D8D">
        <w:rPr>
          <w:rtl/>
        </w:rPr>
        <w:t xml:space="preserve"> </w:t>
      </w:r>
      <w:r>
        <w:rPr>
          <w:rFonts w:hint="cs"/>
          <w:rtl/>
        </w:rPr>
        <w:t xml:space="preserve">דא"כ </w:t>
      </w:r>
      <w:r>
        <w:rPr>
          <w:rtl/>
        </w:rPr>
        <w:t xml:space="preserve">צ"ל דהא דלדעת הבבלי ברירת חלק מהפסולת הוי ברירה אף שהאוכל עדיין אינו מתוקן, היינו כיון דיש קצת ברירה באוכל שאין בו כ"כ הרבה פסולת כמו שהיה בו, ועוד דכיון שאם יברר את שאר הפסולת, יהיה האוכל מבורר גם ע"י </w:t>
      </w:r>
      <w:r>
        <w:rPr>
          <w:rFonts w:hint="cs"/>
          <w:rtl/>
        </w:rPr>
        <w:t>.</w:t>
      </w:r>
      <w:r>
        <w:rPr>
          <w:rtl/>
        </w:rPr>
        <w:t>הפסולת שנטל בתחילה לכן חשיב מלאכה. [</w:t>
      </w:r>
      <w:r w:rsidRPr="00126D8D">
        <w:rPr>
          <w:rtl/>
        </w:rPr>
        <w:t xml:space="preserve">וכתב </w:t>
      </w:r>
      <w:r w:rsidRPr="00D14465">
        <w:rPr>
          <w:rStyle w:val="aff9"/>
          <w:rFonts w:hint="cs"/>
          <w:vanish/>
          <w:rtl/>
        </w:rPr>
        <w:t>-</w:t>
      </w:r>
      <w:r w:rsidRPr="00D14465">
        <w:rPr>
          <w:rStyle w:val="aff9"/>
          <w:rtl/>
        </w:rPr>
        <w:t>האגלי טל</w:t>
      </w:r>
      <w:r w:rsidRPr="00D14465">
        <w:rPr>
          <w:rStyle w:val="aff9"/>
          <w:rFonts w:hint="cs"/>
          <w:vanish/>
          <w:rtl/>
        </w:rPr>
        <w:t>-</w:t>
      </w:r>
      <w:r w:rsidRPr="00126D8D">
        <w:rPr>
          <w:rtl/>
        </w:rPr>
        <w:t xml:space="preserve"> </w:t>
      </w:r>
      <w:r>
        <w:rPr>
          <w:rtl/>
        </w:rPr>
        <w:t xml:space="preserve">דדמי לב' זיתי מת בבית אחד והוציא את אחד מהם, דמבואר בגמ' לקמן </w:t>
      </w:r>
      <w:r w:rsidRPr="00D14465">
        <w:rPr>
          <w:rStyle w:val="aff0"/>
          <w:rtl/>
        </w:rPr>
        <w:t>(צד:)</w:t>
      </w:r>
      <w:r>
        <w:rPr>
          <w:rtl/>
        </w:rPr>
        <w:t xml:space="preserve"> דחשיב דאהנו מעשיו]. </w:t>
      </w:r>
    </w:p>
  </w:footnote>
  <w:footnote w:id="10">
    <w:p w14:paraId="7B17A8A9" w14:textId="77777777" w:rsidR="00274E65" w:rsidRDefault="00274E65" w:rsidP="00274E65">
      <w:pPr>
        <w:pStyle w:val="ae"/>
        <w:rPr>
          <w:rtl/>
        </w:rPr>
      </w:pPr>
      <w:r>
        <w:rPr>
          <w:rStyle w:val="afff0"/>
        </w:rPr>
        <w:footnoteRef/>
      </w:r>
      <w:r>
        <w:rPr>
          <w:rtl/>
        </w:rPr>
        <w:t xml:space="preserve"> </w:t>
      </w:r>
      <w:r>
        <w:rPr>
          <w:rFonts w:hint="cs"/>
          <w:rtl/>
        </w:rPr>
        <w:t xml:space="preserve">במהדו' "מערבא" הגי' </w:t>
      </w:r>
      <w:r w:rsidRPr="00573218">
        <w:rPr>
          <w:rStyle w:val="aff9"/>
          <w:rFonts w:hint="cs"/>
          <w:vanish/>
          <w:rtl/>
        </w:rPr>
        <w:t>-</w:t>
      </w:r>
      <w:r w:rsidRPr="008E4BCC">
        <w:rPr>
          <w:rStyle w:val="aff9"/>
          <w:rFonts w:hint="cs"/>
          <w:rtl/>
        </w:rPr>
        <w:t>ב</w:t>
      </w:r>
      <w:r w:rsidRPr="00573218">
        <w:rPr>
          <w:rStyle w:val="aff9"/>
          <w:rFonts w:hint="cs"/>
          <w:rtl/>
        </w:rPr>
        <w:t>רמב"ן</w:t>
      </w:r>
      <w:r w:rsidRPr="00573218">
        <w:rPr>
          <w:rStyle w:val="aff9"/>
          <w:rFonts w:hint="cs"/>
          <w:vanish/>
          <w:rtl/>
        </w:rPr>
        <w:t>-</w:t>
      </w:r>
      <w:r w:rsidRPr="00573218">
        <w:rPr>
          <w:rStyle w:val="aff9"/>
          <w:rFonts w:hint="cs"/>
          <w:rtl/>
        </w:rPr>
        <w:t xml:space="preserve"> </w:t>
      </w:r>
      <w:r>
        <w:rPr>
          <w:rFonts w:hint="cs"/>
          <w:rtl/>
        </w:rPr>
        <w:t>היא "</w:t>
      </w:r>
      <w:r>
        <w:rPr>
          <w:rtl/>
        </w:rPr>
        <w:t xml:space="preserve">הלכך לר' שמעון כל מלאכה </w:t>
      </w:r>
      <w:r>
        <w:rPr>
          <w:rFonts w:hint="cs"/>
          <w:rtl/>
        </w:rPr>
        <w:t>שא"צ</w:t>
      </w:r>
      <w:r>
        <w:rPr>
          <w:rtl/>
        </w:rPr>
        <w:t xml:space="preserve"> </w:t>
      </w:r>
      <w:r>
        <w:rPr>
          <w:rFonts w:hint="cs"/>
          <w:rtl/>
        </w:rPr>
        <w:t>[</w:t>
      </w:r>
      <w:r>
        <w:rPr>
          <w:rtl/>
        </w:rPr>
        <w:t>לגופה</w:t>
      </w:r>
      <w:r>
        <w:rPr>
          <w:rFonts w:hint="cs"/>
          <w:rtl/>
        </w:rPr>
        <w:t>]</w:t>
      </w:r>
      <w:r>
        <w:rPr>
          <w:rtl/>
        </w:rPr>
        <w:t xml:space="preserve"> לא מחמת </w:t>
      </w:r>
      <w:r>
        <w:rPr>
          <w:rFonts w:hint="cs"/>
          <w:rtl/>
        </w:rPr>
        <w:t xml:space="preserve">גופה [נ"א- מחמת </w:t>
      </w:r>
      <w:r>
        <w:rPr>
          <w:rtl/>
        </w:rPr>
        <w:t>קלקול</w:t>
      </w:r>
      <w:r>
        <w:rPr>
          <w:rFonts w:hint="cs"/>
          <w:rtl/>
        </w:rPr>
        <w:t>]</w:t>
      </w:r>
      <w:r>
        <w:rPr>
          <w:rtl/>
        </w:rPr>
        <w:t xml:space="preserve"> ולא מחמת תיקון פטור עליה</w:t>
      </w:r>
      <w:r>
        <w:rPr>
          <w:rFonts w:hint="cs"/>
          <w:rtl/>
        </w:rPr>
        <w:t>, (</w:t>
      </w:r>
      <w:r>
        <w:rPr>
          <w:rtl/>
        </w:rPr>
        <w:t>ו</w:t>
      </w:r>
      <w:r>
        <w:rPr>
          <w:rFonts w:hint="cs"/>
          <w:rtl/>
        </w:rPr>
        <w:t>)</w:t>
      </w:r>
      <w:r>
        <w:rPr>
          <w:rtl/>
        </w:rPr>
        <w:t xml:space="preserve">אפילו </w:t>
      </w:r>
      <w:r>
        <w:rPr>
          <w:rFonts w:hint="cs"/>
          <w:rtl/>
        </w:rPr>
        <w:t>[ב]</w:t>
      </w:r>
      <w:r>
        <w:rPr>
          <w:rtl/>
        </w:rPr>
        <w:t xml:space="preserve">חובל ומבעיר </w:t>
      </w:r>
      <w:r>
        <w:rPr>
          <w:rFonts w:hint="cs"/>
          <w:rtl/>
        </w:rPr>
        <w:t>(</w:t>
      </w:r>
      <w:r>
        <w:rPr>
          <w:rtl/>
        </w:rPr>
        <w:t>ו</w:t>
      </w:r>
      <w:r>
        <w:rPr>
          <w:rFonts w:hint="cs"/>
          <w:rtl/>
        </w:rPr>
        <w:t>)</w:t>
      </w:r>
      <w:r>
        <w:rPr>
          <w:rtl/>
        </w:rPr>
        <w:t>היינו</w:t>
      </w:r>
      <w:r>
        <w:rPr>
          <w:rFonts w:hint="cs"/>
          <w:rtl/>
        </w:rPr>
        <w:t xml:space="preserve"> </w:t>
      </w:r>
      <w:r>
        <w:rPr>
          <w:rtl/>
        </w:rPr>
        <w:t>נוטל קוצו וחובל בעצמו ומקלקל [נ"א דמקלקל] גמור וא"צ לכלום היינו מלאכה שאינה צריכה לגופה ופטור עליה</w:t>
      </w:r>
      <w:r>
        <w:rPr>
          <w:rFonts w:hint="cs"/>
          <w:rtl/>
        </w:rPr>
        <w:t>"</w:t>
      </w:r>
      <w:r>
        <w:rPr>
          <w:rtl/>
        </w:rPr>
        <w:t xml:space="preserve">. </w:t>
      </w:r>
    </w:p>
    <w:p w14:paraId="55AE4C4F" w14:textId="77777777" w:rsidR="00274E65" w:rsidRDefault="00274E65" w:rsidP="00274E65">
      <w:pPr>
        <w:pStyle w:val="ae"/>
      </w:pPr>
      <w:r>
        <w:rPr>
          <w:rFonts w:hint="cs"/>
          <w:rtl/>
        </w:rPr>
        <w:t xml:space="preserve">ולפי"ז כוונת </w:t>
      </w:r>
      <w:r w:rsidRPr="00573218">
        <w:rPr>
          <w:rStyle w:val="aff9"/>
          <w:rFonts w:hint="cs"/>
          <w:vanish/>
          <w:rtl/>
        </w:rPr>
        <w:t>-</w:t>
      </w:r>
      <w:r w:rsidRPr="00573218">
        <w:rPr>
          <w:rStyle w:val="aff9"/>
          <w:rFonts w:hint="cs"/>
          <w:rtl/>
        </w:rPr>
        <w:t>הרמב"ן</w:t>
      </w:r>
      <w:r w:rsidRPr="00573218">
        <w:rPr>
          <w:rStyle w:val="aff9"/>
          <w:rFonts w:hint="cs"/>
          <w:vanish/>
          <w:rtl/>
        </w:rPr>
        <w:t>-</w:t>
      </w:r>
      <w:r w:rsidRPr="00573218">
        <w:rPr>
          <w:rStyle w:val="aff9"/>
          <w:rFonts w:hint="cs"/>
          <w:rtl/>
        </w:rPr>
        <w:t xml:space="preserve"> </w:t>
      </w:r>
      <w:r>
        <w:rPr>
          <w:rFonts w:hint="cs"/>
          <w:rtl/>
        </w:rPr>
        <w:t>לומר דכיון דחיוב מקלקל בחבורה נלמד ממילה ובת כהן דהם מלאכה שצריכה לגופה, א"כ במלאכה שאין לו בה צורך מחמת גוף המלאכה וכן אין לו תיקון, פטור אף בחובל ומבעיר, וזהו הביאור בנוטל קוץ וחובל בעצמו דהוא מקלקל גמור בחבלה, ואין לו צורך במלאכה, ולכן הוא מלאכה שאינה צריכה לגופה ופטור.</w:t>
      </w:r>
    </w:p>
  </w:footnote>
  <w:footnote w:id="11">
    <w:p w14:paraId="1AB268B7" w14:textId="77777777" w:rsidR="00274E65" w:rsidRDefault="00274E65" w:rsidP="00274E65">
      <w:pPr>
        <w:pStyle w:val="ae"/>
        <w:rPr>
          <w:rtl/>
        </w:rPr>
      </w:pPr>
      <w:r>
        <w:rPr>
          <w:rStyle w:val="afff0"/>
        </w:rPr>
        <w:footnoteRef/>
      </w:r>
      <w:r>
        <w:rPr>
          <w:rtl/>
        </w:rPr>
        <w:t xml:space="preserve"> </w:t>
      </w:r>
    </w:p>
    <w:p w14:paraId="4967EB2E" w14:textId="77777777" w:rsidR="00274E65" w:rsidRDefault="00274E65" w:rsidP="00274E65">
      <w:pPr>
        <w:pStyle w:val="afffffb"/>
        <w:rPr>
          <w:rtl/>
        </w:rPr>
      </w:pPr>
      <w:r>
        <w:rPr>
          <w:rtl/>
        </w:rPr>
        <w:t>חדושי ר' אלעזר משה הורוויץ שבת ע"ה ע"א ד"ה סד"ה טפי</w:t>
      </w:r>
    </w:p>
    <w:p w14:paraId="32B60E1E" w14:textId="77777777" w:rsidR="00274E65" w:rsidRDefault="00274E65" w:rsidP="00274E65">
      <w:pPr>
        <w:pStyle w:val="ae"/>
        <w:rPr>
          <w:rtl/>
        </w:rPr>
      </w:pPr>
      <w:r>
        <w:rPr>
          <w:rtl/>
        </w:rPr>
        <w:t xml:space="preserve">עי' במה שהקשו </w:t>
      </w:r>
      <w:r w:rsidRPr="006E5346">
        <w:rPr>
          <w:rStyle w:val="aff9"/>
          <w:rFonts w:hint="cs"/>
          <w:vanish/>
          <w:rtl/>
        </w:rPr>
        <w:t>-</w:t>
      </w:r>
      <w:r w:rsidRPr="006E5346">
        <w:rPr>
          <w:rStyle w:val="aff9"/>
          <w:rtl/>
        </w:rPr>
        <w:t>התוס'</w:t>
      </w:r>
      <w:r w:rsidRPr="006E5346">
        <w:rPr>
          <w:rStyle w:val="aff9"/>
          <w:rFonts w:hint="cs"/>
          <w:vanish/>
          <w:rtl/>
        </w:rPr>
        <w:t>-</w:t>
      </w:r>
      <w:r>
        <w:rPr>
          <w:rtl/>
        </w:rPr>
        <w:t xml:space="preserve"> </w:t>
      </w:r>
      <w:r w:rsidRPr="006E5346">
        <w:rPr>
          <w:rStyle w:val="aff0"/>
          <w:rtl/>
        </w:rPr>
        <w:t>(עה. ד"ה טפי, הובא בסימן ט אות א')</w:t>
      </w:r>
      <w:r>
        <w:rPr>
          <w:rtl/>
        </w:rPr>
        <w:t xml:space="preserve"> דבגמ' בחגיגה </w:t>
      </w:r>
      <w:r w:rsidRPr="00AA6561">
        <w:rPr>
          <w:rStyle w:val="aff0"/>
          <w:rtl/>
        </w:rPr>
        <w:t>(י:)</w:t>
      </w:r>
      <w:r>
        <w:rPr>
          <w:rtl/>
        </w:rPr>
        <w:t xml:space="preserve"> משמע דר"ש פוטר במלאכה שאינה צריכה לגופה כיון דצריך מלאכת מחשבת, וא"כ במקלקל בחבורה דא"צ מלאכת מחשבת יתחייב לר"ש אף במלאכה שאינה צריכה לגופה, ותירץ </w:t>
      </w:r>
      <w:r w:rsidRPr="006E5346">
        <w:rPr>
          <w:rStyle w:val="aff9"/>
          <w:rFonts w:hint="cs"/>
          <w:vanish/>
          <w:rtl/>
        </w:rPr>
        <w:t>-</w:t>
      </w:r>
      <w:r w:rsidRPr="006E5346">
        <w:rPr>
          <w:rStyle w:val="aff9"/>
          <w:rtl/>
        </w:rPr>
        <w:t>בחי' רבי אלעזר משה</w:t>
      </w:r>
      <w:r w:rsidRPr="006E5346">
        <w:rPr>
          <w:rStyle w:val="aff9"/>
          <w:rFonts w:hint="cs"/>
          <w:vanish/>
          <w:rtl/>
        </w:rPr>
        <w:t>-</w:t>
      </w:r>
      <w:r>
        <w:rPr>
          <w:rtl/>
        </w:rPr>
        <w:t xml:space="preserve"> </w:t>
      </w:r>
      <w:r w:rsidRPr="006E5346">
        <w:rPr>
          <w:rStyle w:val="aff0"/>
          <w:rtl/>
        </w:rPr>
        <w:t>(עה. ד"ה סד"ה טפי)</w:t>
      </w:r>
      <w:r>
        <w:rPr>
          <w:rtl/>
        </w:rPr>
        <w:t xml:space="preserve"> דמהילפותא דמילה אפשר ללמוד או דאזילנן בתר הגברא דבו נעשה תיקון, וא"כ הוי מלאכה שצריכה לגופה ואינו מקלקל, ואין כל ילפותא, או דאזלינן בתר הדם והערלה, וא"כ הוא מקלקל אך הוי מלאכה שאינה צריכה לגופה דהא התורה חייבתו בזה, לכן ילפינן דמלאכה שאינה צריכה לגופה היא כמתעסק לר"ש ופטור אבל מקלקל חייב, אבל במקום שהוא גם מלאכה שאינה צריכה לגופה וגם מקלקל כמו בחובל בכדי ליטול קוץ, דהוא מקלקל את הדם ואין לו צורך בגוף ההוצאה של הקוץ, לא מצינו שום מקור לחייב בזה. </w:t>
      </w:r>
    </w:p>
    <w:p w14:paraId="0D48568A" w14:textId="77777777" w:rsidR="00274E65" w:rsidRPr="00623BA4" w:rsidRDefault="00274E65" w:rsidP="00274E65">
      <w:pPr>
        <w:pStyle w:val="ae"/>
        <w:rPr>
          <w:vanish/>
          <w:rtl/>
        </w:rPr>
      </w:pPr>
      <w:r w:rsidRPr="00623BA4">
        <w:rPr>
          <w:vanish/>
          <w:rtl/>
        </w:rPr>
        <w:t>סד"ה טפי וא"כ בחבורה כו'. וצ"ל דלא אהני קרא דמילה לרבויי אלא כגון מילה דאי ניזיל בתר תיקון גברא הויא משאצ"ל ולא מקלקל. ואי ניזיל בתר הנעשה בדם וערלה גופא הוי מקלקל וצריך לגופו שהרי התורה חייבתו בנטילת הערלה והטפת הדם. להכי מרבינן שנים דהי מנייהו מפקת. משאצ"ל דהיינו כמתעסק לר"ש ומקלקל. אבל תרוייהו בהדדי משאצ"ל ומקלקל כמו נטילת הקוץ שמקלקל הדם וא"צ לגוף הוצאה כלל לא אשכחן דנחייב עלה:</w:t>
      </w:r>
    </w:p>
    <w:p w14:paraId="2B2CA41B" w14:textId="77777777" w:rsidR="00274E65" w:rsidRDefault="00274E65" w:rsidP="00274E65">
      <w:pPr>
        <w:pStyle w:val="ae"/>
      </w:pPr>
    </w:p>
  </w:footnote>
  <w:footnote w:id="12">
    <w:p w14:paraId="6AA06D95" w14:textId="77777777" w:rsidR="00274E65" w:rsidRDefault="00274E65" w:rsidP="00274E65">
      <w:pPr>
        <w:pStyle w:val="ae"/>
        <w:rPr>
          <w:rtl/>
        </w:rPr>
      </w:pPr>
      <w:r>
        <w:rPr>
          <w:rStyle w:val="afff0"/>
        </w:rPr>
        <w:footnoteRef/>
      </w:r>
      <w:r>
        <w:rPr>
          <w:rtl/>
        </w:rPr>
        <w:t xml:space="preserve"> </w:t>
      </w:r>
      <w:r>
        <w:rPr>
          <w:rFonts w:hint="cs"/>
          <w:rtl/>
        </w:rPr>
        <w:t xml:space="preserve">ומשמע מדברי </w:t>
      </w:r>
      <w:r w:rsidRPr="00175ABB">
        <w:rPr>
          <w:rStyle w:val="aff9"/>
          <w:rFonts w:hint="cs"/>
          <w:vanish/>
          <w:rtl/>
        </w:rPr>
        <w:t>-</w:t>
      </w:r>
      <w:r w:rsidRPr="00175ABB">
        <w:rPr>
          <w:rStyle w:val="aff9"/>
          <w:rFonts w:hint="cs"/>
          <w:rtl/>
        </w:rPr>
        <w:t>הראב"ד בב"ק</w:t>
      </w:r>
      <w:r w:rsidRPr="00175ABB">
        <w:rPr>
          <w:rStyle w:val="aff9"/>
          <w:rFonts w:hint="cs"/>
          <w:vanish/>
          <w:rtl/>
        </w:rPr>
        <w:t>-</w:t>
      </w:r>
      <w:r>
        <w:rPr>
          <w:rFonts w:hint="cs"/>
          <w:rtl/>
        </w:rPr>
        <w:t xml:space="preserve"> דרבי אבהו וריו"ח לא פליגי, אלא דרבי אבהו העמיד את המשניות כר"ש, וריו"ח ביאר דאיירי במלאכה שצריכה לגופה, ולא במלאכה שאינה צריכה לגופה.</w:t>
      </w:r>
    </w:p>
  </w:footnote>
  <w:footnote w:id="13">
    <w:p w14:paraId="196906CE" w14:textId="77777777" w:rsidR="00376F67" w:rsidRDefault="00376F67" w:rsidP="00376F67">
      <w:pPr>
        <w:pStyle w:val="ae"/>
      </w:pPr>
      <w:r>
        <w:rPr>
          <w:rStyle w:val="afff0"/>
        </w:rPr>
        <w:footnoteRef/>
      </w:r>
      <w:r>
        <w:rPr>
          <w:rtl/>
        </w:rPr>
        <w:t xml:space="preserve"> </w:t>
      </w:r>
      <w:r>
        <w:rPr>
          <w:rStyle w:val="af"/>
          <w:rFonts w:hint="cs"/>
          <w:rtl/>
        </w:rPr>
        <w:t>ה</w:t>
      </w:r>
      <w:r w:rsidRPr="008E51B6">
        <w:rPr>
          <w:rStyle w:val="af"/>
          <w:rFonts w:hint="cs"/>
          <w:rtl/>
        </w:rPr>
        <w:t xml:space="preserve">גירסא דלפנינו בירושלמי לעיל </w:t>
      </w:r>
      <w:r w:rsidRPr="006D3537">
        <w:rPr>
          <w:rStyle w:val="aff0"/>
          <w:rtl/>
        </w:rPr>
        <w:t>(פ"ז ה"ב</w:t>
      </w:r>
      <w:r w:rsidRPr="006D3537">
        <w:rPr>
          <w:rStyle w:val="aff0"/>
          <w:rFonts w:hint="cs"/>
          <w:rtl/>
        </w:rPr>
        <w:t>, נב:)</w:t>
      </w:r>
      <w:r w:rsidRPr="008E51B6">
        <w:rPr>
          <w:rStyle w:val="af"/>
          <w:rFonts w:hint="cs"/>
          <w:rtl/>
        </w:rPr>
        <w:t xml:space="preserve"> אמר רבי יוסי בר בון דכמי שהוא "לשעה", אבל גי</w:t>
      </w:r>
      <w:r>
        <w:rPr>
          <w:rStyle w:val="af"/>
          <w:rFonts w:hint="cs"/>
          <w:rtl/>
        </w:rPr>
        <w:t>רסת</w:t>
      </w:r>
      <w:r w:rsidRPr="008E51B6">
        <w:rPr>
          <w:rStyle w:val="af"/>
          <w:rFonts w:hint="cs"/>
          <w:rtl/>
        </w:rPr>
        <w:t xml:space="preserve"> </w:t>
      </w:r>
      <w:r w:rsidRPr="006D3537">
        <w:rPr>
          <w:rStyle w:val="aff9"/>
          <w:rFonts w:hint="cs"/>
          <w:vanish/>
          <w:rtl/>
        </w:rPr>
        <w:t>-</w:t>
      </w:r>
      <w:r w:rsidRPr="006D3537">
        <w:rPr>
          <w:rStyle w:val="aff9"/>
          <w:rFonts w:hint="cs"/>
          <w:rtl/>
        </w:rPr>
        <w:t>הראשונים</w:t>
      </w:r>
      <w:r w:rsidRPr="006D3537">
        <w:rPr>
          <w:rStyle w:val="aff9"/>
          <w:rFonts w:hint="cs"/>
          <w:vanish/>
          <w:rtl/>
        </w:rPr>
        <w:t>-</w:t>
      </w:r>
      <w:r>
        <w:rPr>
          <w:rStyle w:val="af"/>
          <w:rFonts w:hint="cs"/>
          <w:rtl/>
        </w:rPr>
        <w:t xml:space="preserve"> </w:t>
      </w:r>
      <w:r w:rsidRPr="008E51B6">
        <w:rPr>
          <w:rStyle w:val="af"/>
          <w:rFonts w:hint="cs"/>
          <w:rtl/>
        </w:rPr>
        <w:t xml:space="preserve">היא כמי שהוא "לעולם", </w:t>
      </w:r>
      <w:r>
        <w:rPr>
          <w:rStyle w:val="af"/>
          <w:rFonts w:hint="cs"/>
          <w:rtl/>
        </w:rPr>
        <w:t>[</w:t>
      </w:r>
      <w:r w:rsidRPr="00055F38">
        <w:rPr>
          <w:rStyle w:val="af"/>
          <w:rFonts w:hint="cs"/>
          <w:rtl/>
        </w:rPr>
        <w:t>ובמהדו' עוז והדר הגיהו לפנינו עפ"י כת"י כגי' הראשונים</w:t>
      </w:r>
      <w:r>
        <w:rPr>
          <w:rStyle w:val="af"/>
          <w:rFonts w:hint="cs"/>
          <w:rtl/>
        </w:rPr>
        <w:t>]</w:t>
      </w:r>
      <w:r w:rsidRPr="00055F38">
        <w:rPr>
          <w:rStyle w:val="af"/>
          <w:rFonts w:hint="cs"/>
          <w:rtl/>
        </w:rPr>
        <w:t>,</w:t>
      </w:r>
      <w:r w:rsidRPr="008E51B6">
        <w:rPr>
          <w:rStyle w:val="af"/>
          <w:rFonts w:hint="cs"/>
          <w:rtl/>
        </w:rPr>
        <w:t xml:space="preserve"> ובירושלמי בפירקין </w:t>
      </w:r>
      <w:r w:rsidRPr="006D3537">
        <w:rPr>
          <w:rStyle w:val="aff0"/>
          <w:rFonts w:hint="cs"/>
          <w:rtl/>
        </w:rPr>
        <w:t>(</w:t>
      </w:r>
      <w:r w:rsidRPr="006D3537">
        <w:rPr>
          <w:rStyle w:val="aff0"/>
          <w:rtl/>
        </w:rPr>
        <w:t>פי"ב ה"א</w:t>
      </w:r>
      <w:r w:rsidRPr="006D3537">
        <w:rPr>
          <w:rStyle w:val="aff0"/>
          <w:rFonts w:hint="cs"/>
          <w:rtl/>
        </w:rPr>
        <w:t>, סח.</w:t>
      </w:r>
      <w:r w:rsidRPr="006D3537">
        <w:rPr>
          <w:rStyle w:val="aff0"/>
          <w:rtl/>
        </w:rPr>
        <w:t>)</w:t>
      </w:r>
      <w:r w:rsidRPr="008E51B6">
        <w:rPr>
          <w:rStyle w:val="af"/>
          <w:rFonts w:hint="cs"/>
          <w:rtl/>
        </w:rPr>
        <w:t xml:space="preserve"> הגי</w:t>
      </w:r>
      <w:r>
        <w:rPr>
          <w:rStyle w:val="af"/>
          <w:rFonts w:hint="cs"/>
          <w:rtl/>
        </w:rPr>
        <w:t>רסא</w:t>
      </w:r>
      <w:r w:rsidRPr="008E51B6">
        <w:rPr>
          <w:rStyle w:val="af"/>
          <w:rFonts w:hint="cs"/>
          <w:rtl/>
        </w:rPr>
        <w:t xml:space="preserve"> היא </w:t>
      </w:r>
      <w:r w:rsidRPr="006D3537">
        <w:rPr>
          <w:rStyle w:val="aff9"/>
          <w:rFonts w:hint="cs"/>
          <w:vanish/>
          <w:rtl/>
        </w:rPr>
        <w:t>-</w:t>
      </w:r>
      <w:r w:rsidRPr="006D3537">
        <w:rPr>
          <w:rStyle w:val="aff9"/>
          <w:rFonts w:hint="cs"/>
          <w:rtl/>
        </w:rPr>
        <w:t>כראשונים</w:t>
      </w:r>
      <w:r w:rsidRPr="006D3537">
        <w:rPr>
          <w:rStyle w:val="aff9"/>
          <w:rFonts w:hint="cs"/>
          <w:vanish/>
          <w:rtl/>
        </w:rPr>
        <w:t>-</w:t>
      </w:r>
      <w:r w:rsidRPr="008E51B6">
        <w:rPr>
          <w:rStyle w:val="af"/>
          <w:rFonts w:hint="cs"/>
          <w:rtl/>
        </w:rPr>
        <w:t xml:space="preserve"> כמי שהוא "לעולם", אך לא אמרינן דמוכח מזה דבנין לשעה הוי בנין, וביאר </w:t>
      </w:r>
      <w:r w:rsidRPr="006D3537">
        <w:rPr>
          <w:rStyle w:val="aff9"/>
          <w:rFonts w:hint="cs"/>
          <w:vanish/>
          <w:rtl/>
        </w:rPr>
        <w:t>-</w:t>
      </w:r>
      <w:r w:rsidRPr="006D3537">
        <w:rPr>
          <w:rStyle w:val="aff9"/>
          <w:rFonts w:hint="cs"/>
          <w:rtl/>
        </w:rPr>
        <w:t>בביאור הגרח"ק</w:t>
      </w:r>
      <w:r w:rsidRPr="006D3537">
        <w:rPr>
          <w:rStyle w:val="aff9"/>
          <w:rFonts w:hint="cs"/>
          <w:vanish/>
          <w:rtl/>
        </w:rPr>
        <w:t>-</w:t>
      </w:r>
      <w:r w:rsidRPr="008E51B6">
        <w:rPr>
          <w:rStyle w:val="af"/>
          <w:rFonts w:hint="cs"/>
          <w:rtl/>
        </w:rPr>
        <w:t xml:space="preserve"> </w:t>
      </w:r>
      <w:r w:rsidRPr="006D3537">
        <w:rPr>
          <w:rStyle w:val="aff0"/>
          <w:rFonts w:hint="cs"/>
          <w:rtl/>
        </w:rPr>
        <w:t>(פי"ב ה"א)</w:t>
      </w:r>
      <w:r w:rsidRPr="008E51B6">
        <w:rPr>
          <w:rStyle w:val="af"/>
          <w:rFonts w:hint="cs"/>
          <w:rtl/>
        </w:rPr>
        <w:t xml:space="preserve"> דהגירסא היא כגירסת </w:t>
      </w:r>
      <w:r w:rsidRPr="006D3537">
        <w:rPr>
          <w:rStyle w:val="aff9"/>
          <w:rFonts w:hint="cs"/>
          <w:vanish/>
          <w:rtl/>
        </w:rPr>
        <w:t>-</w:t>
      </w:r>
      <w:r w:rsidRPr="006D3537">
        <w:rPr>
          <w:rStyle w:val="aff9"/>
          <w:rFonts w:hint="cs"/>
          <w:rtl/>
        </w:rPr>
        <w:t>הראשונים</w:t>
      </w:r>
      <w:r w:rsidRPr="006D3537">
        <w:rPr>
          <w:rStyle w:val="aff9"/>
          <w:rFonts w:hint="cs"/>
          <w:vanish/>
          <w:rtl/>
        </w:rPr>
        <w:t>-</w:t>
      </w:r>
      <w:r w:rsidRPr="008E51B6">
        <w:rPr>
          <w:rStyle w:val="af"/>
          <w:rFonts w:hint="cs"/>
          <w:rtl/>
        </w:rPr>
        <w:t xml:space="preserve"> </w:t>
      </w:r>
      <w:r>
        <w:rPr>
          <w:rStyle w:val="af"/>
          <w:rFonts w:hint="cs"/>
          <w:rtl/>
        </w:rPr>
        <w:t>ו</w:t>
      </w:r>
      <w:r w:rsidRPr="008E51B6">
        <w:rPr>
          <w:rStyle w:val="af"/>
          <w:rFonts w:hint="cs"/>
          <w:rtl/>
        </w:rPr>
        <w:t>כוונת רבי יוסי בר בון להקשות דכיון שהקב"ה הבטיח שיכנסו לארץ א"א לומר דהוא בנין לעולם, ומזה הוכיח הירושלמי דבנין לשעה הוי בנין</w:t>
      </w:r>
      <w:r>
        <w:rPr>
          <w:rStyle w:val="af"/>
          <w:rFonts w:hint="cs"/>
          <w:rtl/>
        </w:rPr>
        <w:t>.</w:t>
      </w:r>
    </w:p>
  </w:footnote>
  <w:footnote w:id="14">
    <w:p w14:paraId="6D36D597" w14:textId="77777777" w:rsidR="00376F67" w:rsidRDefault="00376F67" w:rsidP="00376F67">
      <w:pPr>
        <w:pStyle w:val="ae"/>
      </w:pPr>
      <w:r>
        <w:rPr>
          <w:rStyle w:val="afff0"/>
        </w:rPr>
        <w:footnoteRef/>
      </w:r>
    </w:p>
    <w:p w14:paraId="6BACEA01" w14:textId="77777777" w:rsidR="00376F67" w:rsidRPr="004D400D" w:rsidRDefault="00376F67" w:rsidP="00376F67">
      <w:pPr>
        <w:pStyle w:val="afffffb"/>
        <w:rPr>
          <w:rtl/>
        </w:rPr>
      </w:pPr>
      <w:r w:rsidRPr="004D400D">
        <w:rPr>
          <w:rtl/>
        </w:rPr>
        <w:t>רש"י שבת צ"ד ע"ב</w:t>
      </w:r>
      <w:r w:rsidRPr="004D400D">
        <w:rPr>
          <w:rFonts w:hint="cs"/>
          <w:rtl/>
        </w:rPr>
        <w:t xml:space="preserve"> ד"ה וכן הפוקסת</w:t>
      </w:r>
    </w:p>
    <w:p w14:paraId="639A14C8" w14:textId="77777777" w:rsidR="00376F67" w:rsidRPr="00D87397" w:rsidRDefault="00376F67" w:rsidP="00376F67">
      <w:pPr>
        <w:pStyle w:val="afff6"/>
      </w:pPr>
      <w:r w:rsidRPr="00D87397">
        <w:rPr>
          <w:rFonts w:hint="cs"/>
          <w:rtl/>
        </w:rPr>
        <w:t xml:space="preserve">כתב </w:t>
      </w:r>
      <w:r w:rsidRPr="000042A6">
        <w:rPr>
          <w:rStyle w:val="aff9"/>
          <w:rFonts w:hint="cs"/>
          <w:vanish/>
          <w:rtl/>
        </w:rPr>
        <w:t>-</w:t>
      </w:r>
      <w:r w:rsidRPr="00D87397">
        <w:rPr>
          <w:rStyle w:val="aff9"/>
          <w:rFonts w:hint="cs"/>
          <w:rtl/>
        </w:rPr>
        <w:t>רש"י לקמן</w:t>
      </w:r>
      <w:r w:rsidRPr="000042A6">
        <w:rPr>
          <w:rStyle w:val="aff9"/>
          <w:rFonts w:hint="cs"/>
          <w:vanish/>
          <w:rtl/>
        </w:rPr>
        <w:t>-</w:t>
      </w:r>
      <w:r w:rsidRPr="00D87397">
        <w:rPr>
          <w:rStyle w:val="aff9"/>
          <w:rFonts w:hint="cs"/>
          <w:rtl/>
        </w:rPr>
        <w:t xml:space="preserve"> </w:t>
      </w:r>
      <w:r w:rsidRPr="00D87397">
        <w:rPr>
          <w:rFonts w:hint="cs"/>
          <w:rtl/>
        </w:rPr>
        <w:t xml:space="preserve">בשם רבותיו דפוקסת היינו מתקנת שערה במסרק, והקשה </w:t>
      </w:r>
      <w:r w:rsidRPr="000042A6">
        <w:rPr>
          <w:rStyle w:val="aff9"/>
          <w:rFonts w:hint="cs"/>
          <w:vanish/>
          <w:rtl/>
        </w:rPr>
        <w:t>-</w:t>
      </w:r>
      <w:r w:rsidRPr="00D87397">
        <w:rPr>
          <w:rStyle w:val="aff9"/>
          <w:rFonts w:hint="cs"/>
          <w:rtl/>
        </w:rPr>
        <w:t>הריב"ש</w:t>
      </w:r>
      <w:r w:rsidRPr="000042A6">
        <w:rPr>
          <w:rStyle w:val="aff9"/>
          <w:rFonts w:hint="cs"/>
          <w:vanish/>
          <w:rtl/>
        </w:rPr>
        <w:t>-</w:t>
      </w:r>
      <w:r w:rsidRPr="00D87397">
        <w:rPr>
          <w:rStyle w:val="aff9"/>
          <w:rFonts w:hint="cs"/>
          <w:rtl/>
        </w:rPr>
        <w:t xml:space="preserve"> </w:t>
      </w:r>
      <w:r w:rsidRPr="00D87397">
        <w:rPr>
          <w:rFonts w:hint="cs"/>
          <w:rtl/>
        </w:rPr>
        <w:t xml:space="preserve">דסריקה לא דמי כלל לבונה, וצ"ל דהוא תיקון אחר שנעשה אחר הסריקה ודמי לגודלת דאסורה משום בונה, ועוד ביאר </w:t>
      </w:r>
      <w:r w:rsidRPr="000042A6">
        <w:rPr>
          <w:rStyle w:val="aff9"/>
          <w:rFonts w:hint="cs"/>
          <w:vanish/>
          <w:rtl/>
        </w:rPr>
        <w:t>-</w:t>
      </w:r>
      <w:r w:rsidRPr="00D87397">
        <w:rPr>
          <w:rStyle w:val="aff9"/>
          <w:rFonts w:hint="cs"/>
          <w:rtl/>
        </w:rPr>
        <w:t>הריב"ש</w:t>
      </w:r>
      <w:r w:rsidRPr="000042A6">
        <w:rPr>
          <w:rStyle w:val="aff9"/>
          <w:rFonts w:hint="cs"/>
          <w:vanish/>
          <w:rtl/>
        </w:rPr>
        <w:t>-</w:t>
      </w:r>
      <w:r w:rsidRPr="00D87397">
        <w:rPr>
          <w:rStyle w:val="aff9"/>
          <w:rFonts w:hint="cs"/>
          <w:rtl/>
        </w:rPr>
        <w:t xml:space="preserve"> </w:t>
      </w:r>
      <w:r w:rsidRPr="00D87397">
        <w:rPr>
          <w:rFonts w:hint="cs"/>
          <w:rtl/>
        </w:rPr>
        <w:t>דאפש"ל דהוא תיקון אחר הסריקה דרוחצת את המסקת בשמן ומים ומעבירה על ראשה להדביק את השערות זו לזו להשכיבן על הראש, דדמי לגודלת.</w:t>
      </w:r>
    </w:p>
    <w:p w14:paraId="291C3691" w14:textId="77777777" w:rsidR="00376F67" w:rsidRPr="00882FB1" w:rsidRDefault="00376F67" w:rsidP="00376F67">
      <w:pPr>
        <w:pStyle w:val="afff6"/>
        <w:rPr>
          <w:vanish/>
          <w:rtl/>
        </w:rPr>
      </w:pPr>
      <w:r w:rsidRPr="00882FB1">
        <w:rPr>
          <w:vanish/>
          <w:rtl/>
        </w:rPr>
        <w:t>וכן הפוקסת - יש מרבותי אומרים: מתקנת שערה במסרק או בידיה</w:t>
      </w:r>
      <w:r w:rsidRPr="00882FB1">
        <w:rPr>
          <w:rFonts w:hint="cs"/>
          <w:vanish/>
          <w:rtl/>
        </w:rPr>
        <w:t>.</w:t>
      </w:r>
    </w:p>
    <w:p w14:paraId="3A662075" w14:textId="77777777" w:rsidR="00376F67" w:rsidRPr="004D400D" w:rsidRDefault="00376F67" w:rsidP="00376F67">
      <w:pPr>
        <w:pStyle w:val="afffffb"/>
        <w:rPr>
          <w:rtl/>
        </w:rPr>
      </w:pPr>
      <w:r w:rsidRPr="004D400D">
        <w:rPr>
          <w:rFonts w:hint="cs"/>
          <w:rtl/>
        </w:rPr>
        <w:t>שו"ת הריב"ש סי' שצ"ד ד"ה וכבר ידמה</w:t>
      </w:r>
    </w:p>
    <w:p w14:paraId="7AF802CA" w14:textId="77777777" w:rsidR="00376F67" w:rsidRPr="00882FB1" w:rsidRDefault="00376F67" w:rsidP="00376F67">
      <w:pPr>
        <w:pStyle w:val="afff6"/>
        <w:rPr>
          <w:vanish/>
          <w:rtl/>
        </w:rPr>
      </w:pPr>
      <w:r w:rsidRPr="00882FB1">
        <w:rPr>
          <w:rFonts w:hint="cs"/>
          <w:vanish/>
          <w:rtl/>
        </w:rPr>
        <w:t xml:space="preserve">וכבר ידמה שיקשה לרש"י מה שפירש הוא עצמו בשם רבותיו בפ' המצניע (צ"ד:) פוקסת מתקנת שערה במסרק. ואמרו שם בגמ' שאסורו משום בונה, ולא אמרו משום גוזז, אם הוא פסיק רישיה, אלא שאין כונתם בזה בסריקה, שהרי לא אמרו סורקת במסרק. ועוד דסריקה לא דמיא לבונה כלל אלא הוא תקון אחר נעשה במסרק דומה לגודלת, שאמרו שם שאסורו משום בונה. ואפשר שהוא התקון שעושין הנערות שאחר שראשן סרוק יפה ואין בו חשש השרת נימין רוחצין המסרק בשמן טרוף במים ומעבירין המסרק על ראשן להדביק השערות זו בזו ולהשכיבן על הראש. וזה דומה לבנין, אבל הסריקה היא משום גוזז, והויא פסיק רישיה </w:t>
      </w:r>
      <w:r w:rsidRPr="00882FB1">
        <w:rPr>
          <w:vanish/>
          <w:rtl/>
        </w:rPr>
        <w:t>ואסורה בשבת, כדקיי"ל דמודה ר"ש =רבי שמעון= בפסיק רישיה.</w:t>
      </w:r>
    </w:p>
    <w:p w14:paraId="178FFADE" w14:textId="77777777" w:rsidR="00376F67" w:rsidRPr="00B20E7F" w:rsidRDefault="00376F67" w:rsidP="00376F67">
      <w:pPr>
        <w:pStyle w:val="ae"/>
      </w:pPr>
    </w:p>
  </w:footnote>
  <w:footnote w:id="15">
    <w:p w14:paraId="3591E808" w14:textId="77777777" w:rsidR="003E1AA3" w:rsidRDefault="003E1AA3" w:rsidP="003E1AA3">
      <w:pPr>
        <w:pStyle w:val="ae"/>
      </w:pPr>
      <w:r>
        <w:rPr>
          <w:rStyle w:val="afff0"/>
        </w:rPr>
        <w:footnoteRef/>
      </w:r>
      <w:r>
        <w:rPr>
          <w:rtl/>
        </w:rPr>
        <w:t xml:space="preserve"> </w:t>
      </w:r>
      <w:r>
        <w:rPr>
          <w:rFonts w:hint="cs"/>
          <w:sz w:val="12"/>
          <w:rtl/>
        </w:rPr>
        <w:t xml:space="preserve">ועי' במ"ש </w:t>
      </w:r>
      <w:r w:rsidRPr="00F73BEE">
        <w:rPr>
          <w:rStyle w:val="aff9"/>
          <w:rFonts w:hint="cs"/>
          <w:rtl/>
        </w:rPr>
        <w:t>האבני</w:t>
      </w:r>
      <w:r>
        <w:rPr>
          <w:rFonts w:hint="cs"/>
          <w:sz w:val="12"/>
          <w:rtl/>
        </w:rPr>
        <w:t xml:space="preserve"> </w:t>
      </w:r>
      <w:r w:rsidRPr="00F73BEE">
        <w:rPr>
          <w:rStyle w:val="aff9"/>
          <w:rFonts w:hint="cs"/>
          <w:rtl/>
        </w:rPr>
        <w:t>נזר</w:t>
      </w:r>
      <w:r>
        <w:rPr>
          <w:rFonts w:hint="cs"/>
          <w:sz w:val="12"/>
          <w:rtl/>
        </w:rPr>
        <w:t xml:space="preserve"> </w:t>
      </w:r>
      <w:r w:rsidRPr="00A35826">
        <w:rPr>
          <w:rStyle w:val="aff0"/>
          <w:rFonts w:hint="cs"/>
          <w:rtl/>
        </w:rPr>
        <w:t>(</w:t>
      </w:r>
      <w:r w:rsidRPr="00F73BEE">
        <w:rPr>
          <w:rStyle w:val="aff0"/>
          <w:rFonts w:hint="cs"/>
          <w:rtl/>
        </w:rPr>
        <w:t>או"ח סי' רי"ח)</w:t>
      </w:r>
      <w:r>
        <w:rPr>
          <w:rFonts w:hint="cs"/>
          <w:sz w:val="12"/>
          <w:rtl/>
        </w:rPr>
        <w:t xml:space="preserve"> </w:t>
      </w:r>
      <w:r w:rsidRPr="00023933">
        <w:rPr>
          <w:sz w:val="12"/>
          <w:rtl/>
        </w:rPr>
        <w:t>ד</w:t>
      </w:r>
      <w:r>
        <w:rPr>
          <w:rFonts w:hint="cs"/>
          <w:sz w:val="12"/>
          <w:rtl/>
        </w:rPr>
        <w:t xml:space="preserve">לדעת </w:t>
      </w:r>
      <w:r w:rsidRPr="00F73BEE">
        <w:rPr>
          <w:rStyle w:val="aff9"/>
          <w:rFonts w:hint="cs"/>
          <w:rtl/>
        </w:rPr>
        <w:t>היראים</w:t>
      </w:r>
      <w:r>
        <w:rPr>
          <w:rFonts w:hint="cs"/>
          <w:sz w:val="12"/>
          <w:rtl/>
        </w:rPr>
        <w:t xml:space="preserve"> הא דאיתא</w:t>
      </w:r>
      <w:r w:rsidRPr="00023933">
        <w:rPr>
          <w:sz w:val="12"/>
          <w:rtl/>
        </w:rPr>
        <w:t xml:space="preserve"> ב</w:t>
      </w:r>
      <w:r>
        <w:rPr>
          <w:rFonts w:hint="cs"/>
          <w:sz w:val="12"/>
          <w:rtl/>
        </w:rPr>
        <w:t xml:space="preserve">גמ' </w:t>
      </w:r>
      <w:r w:rsidRPr="00023933">
        <w:rPr>
          <w:sz w:val="12"/>
          <w:rtl/>
        </w:rPr>
        <w:t xml:space="preserve">ביצה </w:t>
      </w:r>
      <w:r w:rsidRPr="00F73BEE">
        <w:rPr>
          <w:rStyle w:val="aff0"/>
          <w:rtl/>
        </w:rPr>
        <w:t>(ל"ג</w:t>
      </w:r>
      <w:r>
        <w:rPr>
          <w:rStyle w:val="aff0"/>
          <w:rFonts w:hint="cs"/>
          <w:rtl/>
        </w:rPr>
        <w:t>:</w:t>
      </w:r>
      <w:r w:rsidRPr="00F73BEE">
        <w:rPr>
          <w:rStyle w:val="aff0"/>
          <w:rtl/>
        </w:rPr>
        <w:t>)</w:t>
      </w:r>
      <w:r w:rsidRPr="00023933">
        <w:rPr>
          <w:sz w:val="12"/>
          <w:rtl/>
        </w:rPr>
        <w:t xml:space="preserve"> </w:t>
      </w:r>
      <w:r>
        <w:rPr>
          <w:rFonts w:hint="cs"/>
          <w:sz w:val="12"/>
          <w:rtl/>
        </w:rPr>
        <w:t>דה</w:t>
      </w:r>
      <w:r w:rsidRPr="00023933">
        <w:rPr>
          <w:sz w:val="12"/>
          <w:rtl/>
        </w:rPr>
        <w:t>קוטם קיסם לחצות בו שיניו</w:t>
      </w:r>
      <w:r>
        <w:rPr>
          <w:rFonts w:hint="cs"/>
          <w:sz w:val="12"/>
          <w:rtl/>
        </w:rPr>
        <w:t xml:space="preserve"> חייב, א"א לומר דהוא בונה דאין בנין בכלים, וא"א לומר דהוא מכה בפטיש, כיון שהיה ראוי לזה מתחילה, אלא חייב משום מחתך, </w:t>
      </w:r>
      <w:r>
        <w:rPr>
          <w:rFonts w:hint="cs"/>
          <w:rtl/>
        </w:rPr>
        <w:t xml:space="preserve">ועיי"ש במ"ש </w:t>
      </w:r>
      <w:r w:rsidRPr="00F73BEE">
        <w:rPr>
          <w:rStyle w:val="aff9"/>
          <w:rFonts w:hint="cs"/>
          <w:rtl/>
        </w:rPr>
        <w:t>האבני נזר</w:t>
      </w:r>
      <w:r>
        <w:rPr>
          <w:rFonts w:hint="cs"/>
          <w:rtl/>
        </w:rPr>
        <w:t xml:space="preserve"> לענין מסתת.</w:t>
      </w:r>
    </w:p>
  </w:footnote>
  <w:footnote w:id="16">
    <w:p w14:paraId="397F3AE5" w14:textId="77777777" w:rsidR="003E1AA3" w:rsidRDefault="003E1AA3" w:rsidP="003E1AA3">
      <w:pPr>
        <w:pStyle w:val="ae"/>
        <w:rPr>
          <w:rtl/>
        </w:rPr>
      </w:pPr>
      <w:r>
        <w:rPr>
          <w:rStyle w:val="afff0"/>
        </w:rPr>
        <w:footnoteRef/>
      </w:r>
      <w:r>
        <w:rPr>
          <w:rtl/>
        </w:rPr>
        <w:t xml:space="preserve"> </w:t>
      </w:r>
      <w:r w:rsidRPr="00FA69ED">
        <w:rPr>
          <w:rStyle w:val="af"/>
          <w:rFonts w:hint="cs"/>
          <w:rtl/>
        </w:rPr>
        <w:t xml:space="preserve">ובהא דתני בברייתא לקמן </w:t>
      </w:r>
      <w:r w:rsidRPr="00B01373">
        <w:rPr>
          <w:rStyle w:val="aff0"/>
          <w:rFonts w:hint="cs"/>
          <w:rtl/>
        </w:rPr>
        <w:t>(קכב:)</w:t>
      </w:r>
      <w:r w:rsidRPr="00FA69ED">
        <w:rPr>
          <w:rStyle w:val="af"/>
          <w:rFonts w:hint="cs"/>
          <w:rtl/>
        </w:rPr>
        <w:t xml:space="preserve"> דאסור להחזיר דלתות של שידה תיבה ומגדל, כתב </w:t>
      </w:r>
      <w:r w:rsidRPr="00B01373">
        <w:rPr>
          <w:rStyle w:val="aff9"/>
          <w:rFonts w:hint="cs"/>
          <w:vanish/>
          <w:rtl/>
        </w:rPr>
        <w:t>-</w:t>
      </w:r>
      <w:r w:rsidRPr="00236C71">
        <w:rPr>
          <w:rStyle w:val="aff9"/>
          <w:rFonts w:hint="cs"/>
          <w:rtl/>
        </w:rPr>
        <w:t xml:space="preserve">הרמב"ן </w:t>
      </w:r>
      <w:r w:rsidRPr="00B01373">
        <w:rPr>
          <w:rStyle w:val="aff9"/>
          <w:rFonts w:hint="cs"/>
          <w:rtl/>
        </w:rPr>
        <w:t>במלחמות</w:t>
      </w:r>
      <w:r w:rsidRPr="00B01373">
        <w:rPr>
          <w:rStyle w:val="aff9"/>
          <w:rFonts w:hint="cs"/>
          <w:vanish/>
          <w:rtl/>
        </w:rPr>
        <w:t>-</w:t>
      </w:r>
      <w:r w:rsidRPr="00FA69ED">
        <w:rPr>
          <w:rStyle w:val="af"/>
          <w:rFonts w:hint="cs"/>
          <w:rtl/>
        </w:rPr>
        <w:t xml:space="preserve"> דהיה אפש"ל דהברייתא כת"ק לעיל </w:t>
      </w:r>
      <w:r w:rsidRPr="00B01373">
        <w:rPr>
          <w:rStyle w:val="aff0"/>
          <w:rFonts w:hint="cs"/>
          <w:rtl/>
        </w:rPr>
        <w:t>(מז.)</w:t>
      </w:r>
      <w:r w:rsidRPr="00FA69ED">
        <w:rPr>
          <w:rStyle w:val="af"/>
          <w:rFonts w:hint="cs"/>
          <w:rtl/>
        </w:rPr>
        <w:t xml:space="preserve"> דאוסר להחזיר אף ברפוי אבל לרשב"ג מותר ברפוי, אך כיון </w:t>
      </w:r>
      <w:r w:rsidRPr="00B01373">
        <w:rPr>
          <w:rStyle w:val="aff9"/>
          <w:rFonts w:hint="cs"/>
          <w:vanish/>
          <w:rtl/>
        </w:rPr>
        <w:t>-</w:t>
      </w:r>
      <w:r w:rsidRPr="00B01373">
        <w:rPr>
          <w:rStyle w:val="aff9"/>
          <w:rFonts w:hint="cs"/>
          <w:rtl/>
        </w:rPr>
        <w:t>דהרי"ף</w:t>
      </w:r>
      <w:r w:rsidRPr="00B01373">
        <w:rPr>
          <w:rStyle w:val="aff9"/>
          <w:rFonts w:hint="cs"/>
          <w:vanish/>
          <w:rtl/>
        </w:rPr>
        <w:t>-</w:t>
      </w:r>
      <w:r w:rsidRPr="00FA69ED">
        <w:rPr>
          <w:rStyle w:val="af"/>
          <w:rFonts w:hint="cs"/>
          <w:rtl/>
        </w:rPr>
        <w:t xml:space="preserve"> </w:t>
      </w:r>
      <w:r w:rsidRPr="00B01373">
        <w:rPr>
          <w:rStyle w:val="aff0"/>
          <w:rFonts w:hint="cs"/>
          <w:rtl/>
        </w:rPr>
        <w:t>(מז. מדה"ר)</w:t>
      </w:r>
      <w:r w:rsidRPr="00FA69ED">
        <w:rPr>
          <w:rStyle w:val="af"/>
          <w:rFonts w:hint="cs"/>
          <w:rtl/>
        </w:rPr>
        <w:t xml:space="preserve"> הביא את הברייתא מוכח דאתיא אף לרשב"ג, וצ"ל דגזרו בדלתות כיון דדרכם לתקוע, וכן בגמ' בביצה </w:t>
      </w:r>
      <w:r w:rsidRPr="00B01373">
        <w:rPr>
          <w:rStyle w:val="aff0"/>
          <w:rFonts w:hint="cs"/>
          <w:rtl/>
        </w:rPr>
        <w:t>(כב.)</w:t>
      </w:r>
      <w:r w:rsidRPr="00FA69ED">
        <w:rPr>
          <w:rStyle w:val="af"/>
          <w:rFonts w:hint="cs"/>
          <w:rtl/>
        </w:rPr>
        <w:t xml:space="preserve"> אסרו בתריסי החנויות שיש להם ציר באמצע אטו ציר מן הצד, שאף זה אסור מגזירה שמא יתקע</w:t>
      </w:r>
      <w:r>
        <w:rPr>
          <w:rStyle w:val="af"/>
          <w:rFonts w:hint="cs"/>
          <w:rtl/>
        </w:rPr>
        <w:t>.</w:t>
      </w:r>
    </w:p>
  </w:footnote>
  <w:footnote w:id="17">
    <w:p w14:paraId="610341AD" w14:textId="77777777" w:rsidR="003E1AA3" w:rsidRDefault="003E1AA3" w:rsidP="003E1AA3">
      <w:pPr>
        <w:pStyle w:val="ae"/>
        <w:rPr>
          <w:rtl/>
        </w:rPr>
      </w:pPr>
      <w:r>
        <w:rPr>
          <w:rStyle w:val="afff0"/>
        </w:rPr>
        <w:footnoteRef/>
      </w:r>
      <w:r>
        <w:rPr>
          <w:rtl/>
        </w:rPr>
        <w:t xml:space="preserve"> </w:t>
      </w:r>
      <w:r>
        <w:rPr>
          <w:rFonts w:hint="cs"/>
          <w:rtl/>
        </w:rPr>
        <w:t xml:space="preserve">בלשון לפנינו כתוב </w:t>
      </w:r>
      <w:r w:rsidRPr="00915891">
        <w:rPr>
          <w:rtl/>
        </w:rPr>
        <w:t>וכגון כלים שאינן של חוליות</w:t>
      </w:r>
      <w:r>
        <w:rPr>
          <w:rFonts w:hint="cs"/>
          <w:rtl/>
        </w:rPr>
        <w:t>, ולכאורה "</w:t>
      </w:r>
      <w:r w:rsidRPr="00915891">
        <w:rPr>
          <w:rtl/>
        </w:rPr>
        <w:t>שאינן</w:t>
      </w:r>
      <w:r>
        <w:rPr>
          <w:rFonts w:hint="cs"/>
          <w:rtl/>
        </w:rPr>
        <w:t>" הוא טעות סופר</w:t>
      </w:r>
      <w:r>
        <w:rPr>
          <w:rFonts w:cs="David" w:hint="cs"/>
          <w:rtl/>
        </w:rPr>
        <w:t>.</w:t>
      </w:r>
    </w:p>
  </w:footnote>
  <w:footnote w:id="18">
    <w:p w14:paraId="54FB658F" w14:textId="77777777" w:rsidR="003E1AA3" w:rsidRPr="007527B4" w:rsidRDefault="003E1AA3" w:rsidP="003E1AA3">
      <w:pPr>
        <w:spacing w:after="0" w:line="240" w:lineRule="auto"/>
        <w:jc w:val="both"/>
        <w:rPr>
          <w:rFonts w:cs="Guttman Hodes"/>
          <w:sz w:val="20"/>
          <w:szCs w:val="14"/>
          <w:rtl/>
        </w:rPr>
      </w:pPr>
      <w:r>
        <w:rPr>
          <w:rStyle w:val="afff0"/>
        </w:rPr>
        <w:footnoteRef/>
      </w:r>
      <w:r>
        <w:rPr>
          <w:rFonts w:hint="cs"/>
          <w:rtl/>
        </w:rPr>
        <w:t xml:space="preserve"> </w:t>
      </w:r>
      <w:r w:rsidRPr="00193B27">
        <w:rPr>
          <w:rFonts w:cs="Guttman Hodes"/>
          <w:sz w:val="20"/>
          <w:szCs w:val="14"/>
          <w:rtl/>
        </w:rPr>
        <w:t xml:space="preserve">וכתב </w:t>
      </w:r>
      <w:r w:rsidRPr="00236C71">
        <w:rPr>
          <w:rStyle w:val="aff9"/>
          <w:rtl/>
        </w:rPr>
        <w:t xml:space="preserve">הרמב"ן </w:t>
      </w:r>
      <w:r w:rsidRPr="00193B27">
        <w:rPr>
          <w:rFonts w:cs="Guttman Hodes"/>
          <w:sz w:val="20"/>
          <w:szCs w:val="14"/>
          <w:rtl/>
        </w:rPr>
        <w:t xml:space="preserve">דהא דאיתא בגמ' בביצה </w:t>
      </w:r>
      <w:r w:rsidRPr="00236C71">
        <w:rPr>
          <w:rStyle w:val="aff0"/>
          <w:rtl/>
        </w:rPr>
        <w:t>(יא:)</w:t>
      </w:r>
      <w:r w:rsidRPr="00193B27">
        <w:rPr>
          <w:rFonts w:cs="Guttman Hodes"/>
          <w:sz w:val="20"/>
          <w:szCs w:val="14"/>
          <w:rtl/>
        </w:rPr>
        <w:t xml:space="preserve"> דב"ה התירו החזרת תריסין, היינו כיון דס"ל דאין בנין וכלים, ואפ"ה התירו רק בתריסי החנויות משום שמחת יו"ט התירו, אבל תריסי הכלים שבבתים אסור מדרבנן, דגזרו צין מן האמצע אטו ציר מן הצד, וביאר </w:t>
      </w:r>
      <w:r w:rsidRPr="00236C71">
        <w:rPr>
          <w:rStyle w:val="aff9"/>
          <w:rtl/>
        </w:rPr>
        <w:t xml:space="preserve">הרמב"ן </w:t>
      </w:r>
      <w:r w:rsidRPr="00193B27">
        <w:rPr>
          <w:rFonts w:cs="Guttman Hodes"/>
          <w:sz w:val="20"/>
          <w:szCs w:val="14"/>
          <w:rtl/>
        </w:rPr>
        <w:t>דהחזרת ציר מן הצד היא מעשה אומן, והוא כעושה כלי מתחילתו דחייב בבונה</w:t>
      </w:r>
      <w:r w:rsidRPr="007527B4">
        <w:rPr>
          <w:rFonts w:cs="Guttman Hodes" w:hint="cs"/>
          <w:sz w:val="20"/>
          <w:szCs w:val="14"/>
          <w:rtl/>
        </w:rPr>
        <w:t>.</w:t>
      </w:r>
    </w:p>
    <w:p w14:paraId="4B740560" w14:textId="77777777" w:rsidR="003E1AA3" w:rsidRPr="00A504C9" w:rsidRDefault="003E1AA3" w:rsidP="003E1AA3">
      <w:pPr>
        <w:pStyle w:val="a2"/>
        <w:numPr>
          <w:ilvl w:val="0"/>
          <w:numId w:val="0"/>
        </w:numPr>
        <w:rPr>
          <w:rFonts w:asciiTheme="minorHAnsi" w:eastAsiaTheme="minorEastAsia" w:hAnsiTheme="minorHAnsi" w:cs="Guttman Hodes"/>
          <w:sz w:val="20"/>
          <w:szCs w:val="14"/>
        </w:rPr>
      </w:pPr>
      <w:r w:rsidRPr="00A504C9">
        <w:rPr>
          <w:rFonts w:asciiTheme="minorHAnsi" w:eastAsiaTheme="minorEastAsia" w:hAnsiTheme="minorHAnsi" w:cs="Guttman Hodes"/>
          <w:sz w:val="20"/>
          <w:szCs w:val="14"/>
          <w:rtl/>
        </w:rPr>
        <w:t>וההיא דאמרי' במס' ביצה (י"א ב') גבי תריסי חנויות מהו דתימא טעמא דב"ה משום דאין בנין בכלים ואין סתירה בכלים ואפי' דבתים נמי קמ"ל הותרו סופן משום תחלתן דחנויות אין דבתים לא, לאו למימרא דסברי ב"ה יש בנין בכלים ויש סתירה בכלים, אלא ה"ק מהו דתימא טעמייהו דב"ה לאו משום שמחת י"ט כלל אלא משום דסברי אין בנין בכלים וגזירה לא סבירא להו למגזר הכא, קמ"ל דטעמייהו משום שמחת יום טוב שאלמלא כן היו גוזרין עליהן בשיש להן ציר באמצע אטו מן הצד, ומן הצד אסור דהו"ל מלאכת אומן וכעושה כלי לכתחלה דמי, ומשום שמחת י"ט הוא דלא גזרי הלכך בדבתים דליכא משום שמחת י"ט גזרי' ואסירי.</w:t>
      </w:r>
    </w:p>
    <w:p w14:paraId="3CFF1954" w14:textId="77777777" w:rsidR="003E1AA3" w:rsidRDefault="003E1AA3" w:rsidP="003E1AA3">
      <w:pPr>
        <w:pStyle w:val="ae"/>
        <w:rPr>
          <w:rtl/>
        </w:rPr>
      </w:pPr>
      <w:r>
        <w:rPr>
          <w:rtl/>
        </w:rPr>
        <w:t xml:space="preserve">ועוד הביא </w:t>
      </w:r>
      <w:r w:rsidRPr="00236C71">
        <w:rPr>
          <w:rStyle w:val="aff9"/>
          <w:rtl/>
        </w:rPr>
        <w:t xml:space="preserve">הרמב"ן </w:t>
      </w:r>
      <w:r>
        <w:rPr>
          <w:rtl/>
        </w:rPr>
        <w:t xml:space="preserve">בשם </w:t>
      </w:r>
      <w:r w:rsidRPr="00371918">
        <w:rPr>
          <w:rStyle w:val="aff9"/>
          <w:rtl/>
        </w:rPr>
        <w:t>י"א</w:t>
      </w:r>
      <w:r>
        <w:rPr>
          <w:rtl/>
        </w:rPr>
        <w:t xml:space="preserve"> דהאיסור בציר מן הצד הוא מגזירה שמא יתקע, דאף אחר שיתקע יכול לפתוח דהדלת תסוב על צירה, [ולא מחמת דהוא מעשה אומן], אבל בציר מן האמצע לא חששו שמא יתקע דאם יתקע לא יוכל לפתוח אח"כ ביו"ט, ובציר מן האמצע הדלת אינה סבה על צירה, ומ"מ אסרו אטו ציר מן הצד, וכתב </w:t>
      </w:r>
      <w:r w:rsidRPr="00236C71">
        <w:rPr>
          <w:rStyle w:val="aff9"/>
          <w:rtl/>
        </w:rPr>
        <w:t xml:space="preserve">הרמב"ן </w:t>
      </w:r>
      <w:r>
        <w:rPr>
          <w:rtl/>
        </w:rPr>
        <w:t>דאעפ"י שהוא גזירה לגזירה מ"מ כיון שהוא שכיח גזרו בו.</w:t>
      </w:r>
    </w:p>
    <w:p w14:paraId="217B831C" w14:textId="77777777" w:rsidR="003E1AA3" w:rsidRPr="004E54B1" w:rsidRDefault="003E1AA3" w:rsidP="003E1AA3">
      <w:pPr>
        <w:pStyle w:val="ae"/>
        <w:rPr>
          <w:vanish/>
          <w:rtl/>
        </w:rPr>
      </w:pPr>
      <w:r w:rsidRPr="004E54B1">
        <w:rPr>
          <w:vanish/>
          <w:rtl/>
        </w:rPr>
        <w:t>וי"א דכשיש להן ציר מן הצד אסור משום גזירה שמא יתקע שהרי הדלת תסוב על צירה, אבל בשיש להן ציר באמצע אינו תוקע שהרי יש לו לפתוח כל היום ואינה סובבת לפיכך לא אסרוה אלא משום גזירה דמן הצד, ואף על גב דגזירה לגזירה לא גזרינן, בכל כה"ג דשכיחא גזרינן גזירה כדמוכח בפ' יום טוב שחל (ביצה י"ח א').</w:t>
      </w:r>
    </w:p>
    <w:p w14:paraId="1A61899D" w14:textId="77777777" w:rsidR="003E1AA3" w:rsidRDefault="003E1AA3" w:rsidP="003E1AA3">
      <w:pPr>
        <w:pStyle w:val="ae"/>
        <w:rPr>
          <w:rtl/>
        </w:rPr>
      </w:pPr>
      <w:r>
        <w:rPr>
          <w:rtl/>
        </w:rPr>
        <w:t xml:space="preserve">ועוד ביאר </w:t>
      </w:r>
      <w:r w:rsidRPr="00236C71">
        <w:rPr>
          <w:rStyle w:val="aff9"/>
          <w:rtl/>
        </w:rPr>
        <w:t xml:space="preserve">הרמב"ן </w:t>
      </w:r>
      <w:r>
        <w:rPr>
          <w:rtl/>
        </w:rPr>
        <w:t xml:space="preserve">דאפש"ל דהאיסור בחזרת תריסין הוא משום בנין בכלים, ואעפ"י דלב"ה אין בנין בכלים, מ"מ עולא ס"ל בדעת ב"ה דיש בנין בכלים, והא דמותר לזקוף מנורה לב"ה, הוא כיון דס"ל דזקיפת המנורה מצד עצמה לא נראית כבנין, כיון שהמנורה לא התפרקה כלל, וכתב </w:t>
      </w:r>
      <w:r w:rsidRPr="00236C71">
        <w:rPr>
          <w:rStyle w:val="aff9"/>
          <w:rtl/>
        </w:rPr>
        <w:t xml:space="preserve">הרמב"ן </w:t>
      </w:r>
      <w:r>
        <w:rPr>
          <w:rtl/>
        </w:rPr>
        <w:t xml:space="preserve">דזהו הביאור בדברי ריו"ח בגמ' בביצה </w:t>
      </w:r>
      <w:r w:rsidRPr="00236C71">
        <w:rPr>
          <w:rStyle w:val="aff0"/>
          <w:rtl/>
        </w:rPr>
        <w:t>(י.)</w:t>
      </w:r>
      <w:r>
        <w:rPr>
          <w:rtl/>
        </w:rPr>
        <w:t xml:space="preserve"> דאמר דמוחלפת השיטה, והיינו דריו"ח ס"ל כעולא בדעת ב"ה דיש בנין בכלים, אבל לדידן דקיי"ל דאין בנין בכלים א"צ להפוך את המשנה.</w:t>
      </w:r>
    </w:p>
    <w:p w14:paraId="2AE9079B" w14:textId="77777777" w:rsidR="003E1AA3" w:rsidRPr="004E54B1" w:rsidRDefault="003E1AA3" w:rsidP="003E1AA3">
      <w:pPr>
        <w:pStyle w:val="ae"/>
        <w:rPr>
          <w:vanish/>
          <w:rtl/>
        </w:rPr>
      </w:pPr>
      <w:r w:rsidRPr="004E54B1">
        <w:rPr>
          <w:vanish/>
          <w:rtl/>
        </w:rPr>
        <w:t>ויש לפרש דהני נמי בנין בכלים הוא וסברי ב"ה אליבא דעולא יש בנין בכלים, והא דאמרי' גבי מנורה זוקפין מנורה משום דלא מיחזי להו זקיפתה בלחוד כבנין כיון שלא נתפרקה כלל, והיינו נמי דאמר ר' יוחנן גבי מתני' דתריסין (י' א') מוחלפת השיטה, דסבר לה כעולא אבל אנן דקי"ל אין בנין בכלים לא מפכינן לה.</w:t>
      </w:r>
    </w:p>
    <w:p w14:paraId="48D5884B" w14:textId="77777777" w:rsidR="003E1AA3" w:rsidRDefault="003E1AA3" w:rsidP="003E1AA3">
      <w:pPr>
        <w:pStyle w:val="ae"/>
        <w:rPr>
          <w:rtl/>
        </w:rPr>
      </w:pPr>
    </w:p>
  </w:footnote>
  <w:footnote w:id="19">
    <w:p w14:paraId="42DA8DEC" w14:textId="77777777" w:rsidR="003E1AA3" w:rsidRDefault="003E1AA3" w:rsidP="003E1AA3">
      <w:pPr>
        <w:pStyle w:val="ae"/>
      </w:pPr>
      <w:r>
        <w:rPr>
          <w:rStyle w:val="afff0"/>
        </w:rPr>
        <w:footnoteRef/>
      </w:r>
      <w:r>
        <w:rPr>
          <w:rtl/>
        </w:rPr>
        <w:t xml:space="preserve"> </w:t>
      </w:r>
      <w:r>
        <w:rPr>
          <w:rFonts w:hint="cs"/>
          <w:rtl/>
        </w:rPr>
        <w:t xml:space="preserve">ולכאורה הוא סברא ביסוד החיוב בכל מלאכות שבת, דהא משמע דכוונת </w:t>
      </w:r>
      <w:r w:rsidRPr="00C82EE7">
        <w:rPr>
          <w:rStyle w:val="aff9"/>
          <w:rFonts w:hint="cs"/>
          <w:rtl/>
        </w:rPr>
        <w:t>התוס' רי"ד</w:t>
      </w:r>
      <w:r>
        <w:rPr>
          <w:rFonts w:hint="cs"/>
          <w:rtl/>
        </w:rPr>
        <w:t xml:space="preserve"> בסברא לומר דכיון דפשיטא מסברא דאומן שמתקן כלי הוא מלאכה, א"כ מוכח דכל תיקון שצריך אומן חייב בו חטאת, אף דאין כל מקור או ילפותא לזה, ומצד גדר המלאכה היה אפש"ל דאין בנין בכלים אף בכה"ג, רק כיון דפשיטא דלא יתכן שמעשה אומן כזה מותר בשבת, א"כ מוכח שיש בזה חיוב חטאת.</w:t>
      </w:r>
    </w:p>
  </w:footnote>
  <w:footnote w:id="20">
    <w:p w14:paraId="5583670E" w14:textId="77777777" w:rsidR="003E1AA3" w:rsidRDefault="003E1AA3" w:rsidP="003E1AA3">
      <w:pPr>
        <w:pStyle w:val="ae"/>
        <w:rPr>
          <w:rtl/>
        </w:rPr>
      </w:pPr>
      <w:r>
        <w:rPr>
          <w:rStyle w:val="afff0"/>
        </w:rPr>
        <w:footnoteRef/>
      </w:r>
      <w:r>
        <w:rPr>
          <w:rtl/>
        </w:rPr>
        <w:t xml:space="preserve"> </w:t>
      </w:r>
      <w:r>
        <w:rPr>
          <w:rFonts w:hint="cs"/>
          <w:rtl/>
        </w:rPr>
        <w:t xml:space="preserve">כדביאר </w:t>
      </w:r>
      <w:r w:rsidRPr="00A736E9">
        <w:rPr>
          <w:rStyle w:val="aff9"/>
          <w:rFonts w:hint="cs"/>
          <w:rtl/>
        </w:rPr>
        <w:t>בפסקי הרי"ד בסוגיין</w:t>
      </w:r>
      <w:r>
        <w:rPr>
          <w:rFonts w:hint="cs"/>
          <w:rtl/>
        </w:rPr>
        <w:t xml:space="preserve"> </w:t>
      </w:r>
      <w:r w:rsidRPr="00A736E9">
        <w:rPr>
          <w:rStyle w:val="aff0"/>
          <w:rFonts w:hint="cs"/>
          <w:rtl/>
        </w:rPr>
        <w:t>(סוד"ה אמר שמואל)</w:t>
      </w:r>
      <w:r>
        <w:rPr>
          <w:rFonts w:hint="cs"/>
          <w:rtl/>
        </w:rPr>
        <w:t xml:space="preserve"> דשופתא הוא יתד קטן, וקופינא הוא החור שבמרא, ואחר שמכניס את העץ שהוא היד של המרא לתוך החור, תוקע בו את היתד כדי להדקו שלא תפול היד מהמרא.</w:t>
      </w:r>
    </w:p>
    <w:p w14:paraId="2D157980" w14:textId="77777777" w:rsidR="003E1AA3" w:rsidRPr="00AD079E" w:rsidRDefault="003E1AA3" w:rsidP="003E1AA3">
      <w:pPr>
        <w:pStyle w:val="afffffb"/>
        <w:rPr>
          <w:vanish/>
          <w:rtl/>
        </w:rPr>
      </w:pPr>
      <w:r w:rsidRPr="00AD079E">
        <w:rPr>
          <w:vanish/>
          <w:rtl/>
        </w:rPr>
        <w:t xml:space="preserve">פסקי רי"ד שבת </w:t>
      </w:r>
      <w:r w:rsidRPr="00AD079E">
        <w:rPr>
          <w:rFonts w:hint="cs"/>
          <w:vanish/>
          <w:rtl/>
        </w:rPr>
        <w:t>ק"</w:t>
      </w:r>
      <w:r w:rsidRPr="00AD079E">
        <w:rPr>
          <w:vanish/>
          <w:rtl/>
        </w:rPr>
        <w:t>ב ע</w:t>
      </w:r>
      <w:r w:rsidRPr="00AD079E">
        <w:rPr>
          <w:rFonts w:hint="cs"/>
          <w:vanish/>
          <w:rtl/>
        </w:rPr>
        <w:t>"</w:t>
      </w:r>
      <w:r w:rsidRPr="00AD079E">
        <w:rPr>
          <w:vanish/>
          <w:rtl/>
        </w:rPr>
        <w:t>ב</w:t>
      </w:r>
      <w:r w:rsidRPr="00AD079E">
        <w:rPr>
          <w:rFonts w:hint="cs"/>
          <w:vanish/>
          <w:rtl/>
        </w:rPr>
        <w:t xml:space="preserve"> ד"ה אמר שמואל</w:t>
      </w:r>
    </w:p>
    <w:p w14:paraId="2BE2EF2E" w14:textId="77777777" w:rsidR="003E1AA3" w:rsidRPr="00B22C30" w:rsidRDefault="003E1AA3" w:rsidP="003E1AA3">
      <w:pPr>
        <w:pStyle w:val="ae"/>
        <w:rPr>
          <w:vanish/>
        </w:rPr>
      </w:pPr>
      <w:r w:rsidRPr="00B22C30">
        <w:rPr>
          <w:vanish/>
          <w:rtl/>
        </w:rPr>
        <w:t>פי' שופתא הוא יתד קטן, וקופינא הוא חור המר[א], ולאחר שהכניס העץ, שהוא בית יד שלמר, בתוך חור הברזל, תוקע בו יתד אחד כדי לחברו ולהדקו יפה שלא יפול</w:t>
      </w:r>
      <w:r w:rsidRPr="00B22C30">
        <w:rPr>
          <w:rFonts w:hint="cs"/>
          <w:vanish/>
          <w:rtl/>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F0A65" w14:textId="77777777" w:rsidR="00B03577" w:rsidRPr="00A96632" w:rsidRDefault="00B03577" w:rsidP="00323AB6">
    <w:pPr>
      <w:pStyle w:val="affc"/>
      <w:jc w:val="right"/>
      <w:rPr>
        <w:rFonts w:cs="Guttman Hodes"/>
        <w:sz w:val="14"/>
        <w:szCs w:val="14"/>
        <w:rtl/>
      </w:rPr>
    </w:pPr>
    <w:r>
      <w:rPr>
        <w:rFonts w:cs="Guttman Hodes" w:hint="cs"/>
        <w:sz w:val="14"/>
        <w:szCs w:val="14"/>
        <w:rtl/>
      </w:rPr>
      <w:t xml:space="preserve">חולין </w:t>
    </w:r>
    <w:r w:rsidRPr="00835326">
      <w:rPr>
        <w:rFonts w:cs="Guttman Hodes" w:hint="cs"/>
        <w:sz w:val="14"/>
        <w:szCs w:val="14"/>
        <w:rtl/>
      </w:rPr>
      <w:t xml:space="preserve">דף </w:t>
    </w:r>
    <w:r w:rsidRPr="00A96632">
      <w:rPr>
        <w:rFonts w:cs="Guttman Hodes" w:hint="cs"/>
        <w:sz w:val="14"/>
        <w:szCs w:val="14"/>
        <w:rtl/>
      </w:rPr>
      <w:t>ט ע"א</w:t>
    </w:r>
  </w:p>
  <w:p w14:paraId="174EC7E5" w14:textId="77777777" w:rsidR="00B03577" w:rsidRDefault="00B03577" w:rsidP="00323AB6">
    <w:pPr>
      <w:pStyle w:val="affc"/>
      <w:jc w:val="center"/>
      <w:rPr>
        <w:rFonts w:cs="Guttman Hodes"/>
        <w:b/>
        <w:bCs/>
        <w:sz w:val="28"/>
        <w:szCs w:val="28"/>
        <w:rtl/>
      </w:rPr>
    </w:pPr>
    <w:r>
      <w:rPr>
        <w:rFonts w:cs="Guttman Hodes" w:hint="cs"/>
        <w:b/>
        <w:bCs/>
        <w:sz w:val="28"/>
        <w:szCs w:val="28"/>
        <w:rtl/>
      </w:rPr>
      <w:t>משנת</w:t>
    </w:r>
    <w:r w:rsidRPr="00C05FC5">
      <w:rPr>
        <w:rFonts w:cs="Guttman Hodes" w:hint="cs"/>
        <w:b/>
        <w:bCs/>
        <w:sz w:val="28"/>
        <w:szCs w:val="28"/>
        <w:rtl/>
      </w:rPr>
      <w:t>ם</w:t>
    </w:r>
    <w:r w:rsidRPr="00990C7A">
      <w:rPr>
        <w:rFonts w:cs="Guttman Hodes"/>
        <w:b/>
        <w:bCs/>
        <w:color w:val="FFFFFF"/>
        <w:sz w:val="28"/>
        <w:szCs w:val="28"/>
        <w:rtl/>
      </w:rPr>
      <w:ptab w:relativeTo="margin" w:alignment="center" w:leader="middleDot"/>
    </w:r>
    <w:r>
      <w:rPr>
        <w:rFonts w:cs="Guttman Hodes"/>
        <w:b/>
        <w:bCs/>
        <w:sz w:val="28"/>
        <w:szCs w:val="28"/>
        <w:rtl/>
      </w:rPr>
      <w:ptab w:relativeTo="margin" w:alignment="center" w:leader="middleDot"/>
    </w:r>
    <w:r>
      <w:rPr>
        <w:rFonts w:cs="Guttman Hodes" w:hint="cs"/>
        <w:b/>
        <w:bCs/>
        <w:sz w:val="28"/>
        <w:szCs w:val="28"/>
        <w:rtl/>
      </w:rPr>
      <w:t>סדורה</w:t>
    </w:r>
  </w:p>
  <w:p w14:paraId="445751C4" w14:textId="577FBA03" w:rsidR="00B03577" w:rsidRDefault="005956F3" w:rsidP="00323AB6">
    <w:pPr>
      <w:pStyle w:val="affc"/>
      <w:jc w:val="center"/>
    </w:pPr>
    <w:r>
      <w:rPr>
        <w:rFonts w:cs="Guttman Hodes" w:hint="cs"/>
        <w:sz w:val="14"/>
        <w:szCs w:val="14"/>
        <w:rtl/>
      </w:rPr>
      <w:t>סימן ח</w:t>
    </w:r>
    <w:r w:rsidR="00B03577" w:rsidRPr="003F64F2">
      <w:rPr>
        <w:rFonts w:cs="Guttman Hodes"/>
        <w:sz w:val="14"/>
        <w:szCs w:val="14"/>
        <w:rtl/>
      </w:rPr>
      <w:t>'</w:t>
    </w:r>
    <w:r w:rsidR="00B03577">
      <w:rPr>
        <w:rFonts w:cs="Guttman Hodes" w:hint="cs"/>
        <w:sz w:val="14"/>
        <w:szCs w:val="14"/>
        <w:rtl/>
      </w:rPr>
      <w:t xml:space="preserve"> </w:t>
    </w:r>
    <w:r w:rsidR="00B03577" w:rsidRPr="00D87A29">
      <w:rPr>
        <w:rFonts w:cs="Guttman Hodes"/>
        <w:sz w:val="14"/>
        <w:szCs w:val="14"/>
        <w:rtl/>
      </w:rPr>
      <w:t>בענין בהמה בחייה בחזקת איסור עומדת</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B9BC5" w14:textId="77777777" w:rsidR="00B03577" w:rsidRDefault="00B03577" w:rsidP="00323AB6">
    <w:pPr>
      <w:pStyle w:val="affc"/>
      <w:jc w:val="center"/>
      <w:rPr>
        <w:rFonts w:cs="Guttman Hodes"/>
        <w:b/>
        <w:bCs/>
        <w:sz w:val="28"/>
        <w:szCs w:val="28"/>
        <w:rtl/>
      </w:rPr>
    </w:pPr>
    <w:r>
      <w:rPr>
        <w:rFonts w:cs="Guttman Hodes" w:hint="cs"/>
        <w:b/>
        <w:bCs/>
        <w:sz w:val="28"/>
        <w:szCs w:val="28"/>
        <w:rtl/>
      </w:rPr>
      <w:t>משנת</w:t>
    </w:r>
    <w:r w:rsidRPr="00C05FC5">
      <w:rPr>
        <w:rFonts w:cs="Guttman Hodes" w:hint="cs"/>
        <w:b/>
        <w:bCs/>
        <w:sz w:val="28"/>
        <w:szCs w:val="28"/>
        <w:rtl/>
      </w:rPr>
      <w:t>ם</w:t>
    </w:r>
    <w:r>
      <w:rPr>
        <w:rFonts w:cs="Guttman Hodes"/>
        <w:b/>
        <w:bCs/>
        <w:color w:val="FFFFFF" w:themeColor="background1"/>
        <w:sz w:val="28"/>
        <w:szCs w:val="28"/>
        <w:rtl/>
      </w:rPr>
      <w:ptab w:relativeTo="margin" w:alignment="center" w:leader="middleDot"/>
    </w:r>
    <w:r>
      <w:rPr>
        <w:rFonts w:cs="Guttman Hodes"/>
        <w:b/>
        <w:bCs/>
        <w:sz w:val="28"/>
        <w:szCs w:val="28"/>
        <w:rtl/>
      </w:rPr>
      <w:ptab w:relativeTo="margin" w:alignment="center" w:leader="middleDot"/>
    </w:r>
    <w:r>
      <w:rPr>
        <w:rFonts w:cs="Guttman Hodes" w:hint="cs"/>
        <w:b/>
        <w:bCs/>
        <w:sz w:val="28"/>
        <w:szCs w:val="28"/>
        <w:rtl/>
      </w:rPr>
      <w:t>סדורה</w:t>
    </w:r>
  </w:p>
  <w:p w14:paraId="6733A423" w14:textId="77777777" w:rsidR="00B03577" w:rsidRDefault="00B03577" w:rsidP="00323AB6">
    <w:pPr>
      <w:pStyle w:val="affc"/>
      <w:jc w:val="center"/>
      <w:rPr>
        <w:rFonts w:cs="Guttman Hodes"/>
        <w:sz w:val="14"/>
        <w:szCs w:val="14"/>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9E480D" w14:textId="77777777" w:rsidR="00B03577" w:rsidRDefault="00B03577">
    <w:pPr>
      <w:pStyle w:val="aff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0BB3D" w14:textId="77777777" w:rsidR="00B03577" w:rsidRDefault="00B03577" w:rsidP="00323AB6">
    <w:pPr>
      <w:pStyle w:val="affc"/>
      <w:jc w:val="center"/>
      <w:rPr>
        <w:rFonts w:cs="Guttman Hodes"/>
        <w:b/>
        <w:bCs/>
        <w:sz w:val="28"/>
        <w:szCs w:val="28"/>
      </w:rPr>
    </w:pPr>
    <w:r>
      <w:rPr>
        <w:rFonts w:cs="Guttman Hodes" w:hint="cs"/>
        <w:b/>
        <w:bCs/>
        <w:sz w:val="28"/>
        <w:szCs w:val="28"/>
        <w:rtl/>
      </w:rPr>
      <w:t>משנתם</w:t>
    </w:r>
    <w:r>
      <w:rPr>
        <w:rFonts w:cs="Guttman Hodes" w:hint="cs"/>
        <w:b/>
        <w:bCs/>
        <w:color w:val="FFFFFF" w:themeColor="background1"/>
        <w:sz w:val="28"/>
        <w:szCs w:val="28"/>
        <w:rtl/>
      </w:rPr>
      <w:ptab w:relativeTo="margin" w:alignment="center" w:leader="middleDot"/>
    </w:r>
    <w:r>
      <w:rPr>
        <w:rFonts w:cs="Guttman Hodes" w:hint="cs"/>
        <w:b/>
        <w:bCs/>
        <w:color w:val="FFFFFF" w:themeColor="background1"/>
        <w:sz w:val="28"/>
        <w:szCs w:val="28"/>
        <w:rtl/>
      </w:rPr>
      <w:t xml:space="preserve"> </w:t>
    </w:r>
    <w:r>
      <w:rPr>
        <w:rFonts w:cs="Guttman Hodes" w:hint="cs"/>
        <w:b/>
        <w:bCs/>
        <w:sz w:val="28"/>
        <w:szCs w:val="28"/>
        <w:rtl/>
      </w:rPr>
      <w:t>סדורה</w:t>
    </w:r>
  </w:p>
  <w:p w14:paraId="749C0978" w14:textId="77777777" w:rsidR="00B03577" w:rsidRDefault="00B03577" w:rsidP="00323AB6">
    <w:pPr>
      <w:pStyle w:val="affc"/>
      <w:jc w:val="center"/>
      <w:rPr>
        <w:rFonts w:cs="Guttman Hodes"/>
        <w:sz w:val="14"/>
        <w:szCs w:val="14"/>
        <w:rtl/>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C16AE" w14:textId="77777777" w:rsidR="00B03577" w:rsidRDefault="00B03577" w:rsidP="00976B17">
    <w:pPr>
      <w:pStyle w:val="affc"/>
      <w:jc w:val="center"/>
      <w:rPr>
        <w:rFonts w:cs="Guttman Hodes"/>
        <w:b/>
        <w:bCs/>
        <w:sz w:val="28"/>
        <w:szCs w:val="28"/>
      </w:rPr>
    </w:pPr>
    <w:r>
      <w:rPr>
        <w:rFonts w:cs="Guttman Hodes" w:hint="cs"/>
        <w:b/>
        <w:bCs/>
        <w:sz w:val="28"/>
        <w:szCs w:val="28"/>
        <w:rtl/>
      </w:rPr>
      <w:t>משנתם</w:t>
    </w:r>
    <w:r>
      <w:rPr>
        <w:rFonts w:cs="Guttman Hodes" w:hint="cs"/>
        <w:b/>
        <w:bCs/>
        <w:color w:val="FFFFFF" w:themeColor="background1"/>
        <w:sz w:val="28"/>
        <w:szCs w:val="28"/>
        <w:rtl/>
      </w:rPr>
      <w:ptab w:relativeTo="margin" w:alignment="center" w:leader="middleDot"/>
    </w:r>
    <w:r>
      <w:rPr>
        <w:rFonts w:cs="Guttman Hodes" w:hint="cs"/>
        <w:b/>
        <w:bCs/>
        <w:color w:val="FFFFFF" w:themeColor="background1"/>
        <w:sz w:val="28"/>
        <w:szCs w:val="28"/>
        <w:rtl/>
      </w:rPr>
      <w:t xml:space="preserve"> </w:t>
    </w:r>
    <w:r>
      <w:rPr>
        <w:rFonts w:cs="Guttman Hodes" w:hint="cs"/>
        <w:b/>
        <w:bCs/>
        <w:sz w:val="28"/>
        <w:szCs w:val="28"/>
        <w:rtl/>
      </w:rPr>
      <w:t>סדורה</w:t>
    </w:r>
  </w:p>
  <w:p w14:paraId="04EED300" w14:textId="77777777" w:rsidR="00B03577" w:rsidRDefault="00B03577" w:rsidP="00EB1FA7">
    <w:pPr>
      <w:pStyle w:val="affc"/>
      <w:jc w:val="center"/>
      <w:rPr>
        <w:rFonts w:cs="Guttman Hodes"/>
        <w:sz w:val="14"/>
        <w:szCs w:val="14"/>
        <w:rtl/>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63BD59" w14:textId="77777777" w:rsidR="007B11C1" w:rsidRDefault="007B11C1" w:rsidP="007B11C1">
    <w:pPr>
      <w:pStyle w:val="affc"/>
      <w:jc w:val="center"/>
      <w:rPr>
        <w:rFonts w:cs="Guttman Hodes"/>
        <w:b/>
        <w:bCs/>
        <w:sz w:val="28"/>
        <w:szCs w:val="28"/>
      </w:rPr>
    </w:pPr>
    <w:r>
      <w:rPr>
        <w:rFonts w:cs="Guttman Hodes" w:hint="cs"/>
        <w:b/>
        <w:bCs/>
        <w:sz w:val="28"/>
        <w:szCs w:val="28"/>
        <w:rtl/>
      </w:rPr>
      <w:t>משנתם</w:t>
    </w:r>
    <w:r>
      <w:rPr>
        <w:rFonts w:cs="Guttman Hodes" w:hint="cs"/>
        <w:b/>
        <w:bCs/>
        <w:color w:val="FFFFFF" w:themeColor="background1"/>
        <w:sz w:val="28"/>
        <w:szCs w:val="28"/>
        <w:rtl/>
      </w:rPr>
      <w:ptab w:relativeTo="margin" w:alignment="center" w:leader="middleDot"/>
    </w:r>
    <w:r>
      <w:rPr>
        <w:rFonts w:cs="Guttman Hodes" w:hint="cs"/>
        <w:b/>
        <w:bCs/>
        <w:color w:val="FFFFFF" w:themeColor="background1"/>
        <w:sz w:val="28"/>
        <w:szCs w:val="28"/>
        <w:rtl/>
      </w:rPr>
      <w:t xml:space="preserve"> </w:t>
    </w:r>
    <w:r>
      <w:rPr>
        <w:rFonts w:cs="Guttman Hodes" w:hint="cs"/>
        <w:b/>
        <w:bCs/>
        <w:sz w:val="28"/>
        <w:szCs w:val="28"/>
        <w:rtl/>
      </w:rPr>
      <w:t>סדורה</w:t>
    </w:r>
  </w:p>
  <w:p w14:paraId="7736A531" w14:textId="77777777" w:rsidR="007B11C1" w:rsidRDefault="007B11C1" w:rsidP="007B11C1">
    <w:pPr>
      <w:pStyle w:val="affc"/>
      <w:jc w:val="center"/>
      <w:rPr>
        <w:rFonts w:cs="Guttman Hodes"/>
        <w:sz w:val="14"/>
        <w:szCs w:val="14"/>
        <w:rtl/>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113F2" w14:textId="36655348" w:rsidR="00F23118" w:rsidRPr="00181149" w:rsidRDefault="00F23118" w:rsidP="00F23118">
    <w:pPr>
      <w:pStyle w:val="affc"/>
      <w:jc w:val="right"/>
      <w:rPr>
        <w:rFonts w:cs="Guttman Hodes"/>
        <w:sz w:val="14"/>
        <w:szCs w:val="14"/>
        <w:rtl/>
      </w:rPr>
    </w:pPr>
    <w:r>
      <w:rPr>
        <w:rFonts w:cs="Guttman Hodes" w:hint="cs"/>
        <w:sz w:val="14"/>
        <w:szCs w:val="14"/>
        <w:rtl/>
      </w:rPr>
      <w:t>שבת</w:t>
    </w:r>
    <w:r w:rsidRPr="00BB0C9F">
      <w:rPr>
        <w:rFonts w:cs="Guttman Hodes"/>
        <w:sz w:val="14"/>
        <w:szCs w:val="14"/>
        <w:rtl/>
      </w:rPr>
      <w:t xml:space="preserve"> דף</w:t>
    </w:r>
    <w:r w:rsidR="006753EE">
      <w:rPr>
        <w:rFonts w:cs="Guttman Hodes" w:hint="cs"/>
        <w:sz w:val="14"/>
        <w:szCs w:val="14"/>
        <w:rtl/>
      </w:rPr>
      <w:t xml:space="preserve"> </w:t>
    </w:r>
    <w:r>
      <w:rPr>
        <w:rFonts w:cs="Guttman Hodes" w:hint="cs"/>
        <w:sz w:val="14"/>
        <w:szCs w:val="14"/>
        <w:rtl/>
      </w:rPr>
      <w:t>צ"ג ע"ב ק"ו ע"א ק"ז ע"ב</w:t>
    </w:r>
  </w:p>
  <w:p w14:paraId="48E52F83" w14:textId="77777777" w:rsidR="0047710D" w:rsidRDefault="0047710D" w:rsidP="00C83122">
    <w:pPr>
      <w:pStyle w:val="affc"/>
      <w:jc w:val="center"/>
      <w:rPr>
        <w:rFonts w:cs="Guttman Hodes"/>
        <w:b/>
        <w:bCs/>
        <w:sz w:val="28"/>
        <w:szCs w:val="28"/>
      </w:rPr>
    </w:pPr>
    <w:r>
      <w:rPr>
        <w:rFonts w:cs="Guttman Hodes" w:hint="cs"/>
        <w:b/>
        <w:bCs/>
        <w:sz w:val="28"/>
        <w:szCs w:val="28"/>
        <w:rtl/>
      </w:rPr>
      <w:t>משנתם</w:t>
    </w:r>
    <w:r w:rsidRPr="005B62A6">
      <w:rPr>
        <w:rFonts w:cs="Guttman Hodes" w:hint="cs"/>
        <w:b/>
        <w:bCs/>
        <w:color w:val="FFFFFF"/>
        <w:sz w:val="28"/>
        <w:szCs w:val="28"/>
        <w:rtl/>
      </w:rPr>
      <w:ptab w:relativeTo="margin" w:alignment="center" w:leader="middleDot"/>
    </w:r>
    <w:r w:rsidRPr="005B62A6">
      <w:rPr>
        <w:rFonts w:cs="Guttman Hodes" w:hint="cs"/>
        <w:b/>
        <w:bCs/>
        <w:color w:val="FFFFFF"/>
        <w:sz w:val="28"/>
        <w:szCs w:val="28"/>
        <w:rtl/>
      </w:rPr>
      <w:t xml:space="preserve"> </w:t>
    </w:r>
    <w:r>
      <w:rPr>
        <w:rFonts w:cs="Guttman Hodes" w:hint="cs"/>
        <w:b/>
        <w:bCs/>
        <w:sz w:val="28"/>
        <w:szCs w:val="28"/>
        <w:rtl/>
      </w:rPr>
      <w:t>סדורה</w:t>
    </w:r>
  </w:p>
  <w:p w14:paraId="1B5C8763" w14:textId="77777777" w:rsidR="0047710D" w:rsidRDefault="0047710D" w:rsidP="00C83122">
    <w:pPr>
      <w:pStyle w:val="affc"/>
      <w:jc w:val="center"/>
      <w:rPr>
        <w:rFonts w:cs="Guttman Hodes"/>
        <w:sz w:val="14"/>
        <w:szCs w:val="14"/>
        <w:rtl/>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56973" w14:textId="77777777" w:rsidR="00CF7733" w:rsidRPr="00181149" w:rsidRDefault="00CF7733" w:rsidP="00CF7733">
    <w:pPr>
      <w:pStyle w:val="affc"/>
      <w:jc w:val="right"/>
      <w:rPr>
        <w:rFonts w:cs="Guttman Hodes"/>
        <w:sz w:val="14"/>
        <w:szCs w:val="14"/>
        <w:rtl/>
      </w:rPr>
    </w:pPr>
    <w:r>
      <w:rPr>
        <w:rFonts w:cs="Guttman Hodes" w:hint="cs"/>
        <w:sz w:val="14"/>
        <w:szCs w:val="14"/>
        <w:rtl/>
      </w:rPr>
      <w:t>שבת</w:t>
    </w:r>
    <w:r w:rsidRPr="00BB0C9F">
      <w:rPr>
        <w:rFonts w:cs="Guttman Hodes"/>
        <w:sz w:val="14"/>
        <w:szCs w:val="14"/>
        <w:rtl/>
      </w:rPr>
      <w:t xml:space="preserve"> דף</w:t>
    </w:r>
    <w:r>
      <w:rPr>
        <w:rFonts w:cs="Guttman Hodes" w:hint="cs"/>
        <w:sz w:val="14"/>
        <w:szCs w:val="14"/>
        <w:rtl/>
      </w:rPr>
      <w:t xml:space="preserve"> עג ע"א </w:t>
    </w:r>
    <w:r>
      <w:rPr>
        <w:rFonts w:cs="Guttman Hodes"/>
        <w:sz w:val="14"/>
        <w:szCs w:val="14"/>
        <w:rtl/>
      </w:rPr>
      <w:t>–</w:t>
    </w:r>
    <w:r>
      <w:rPr>
        <w:rFonts w:cs="Guttman Hodes" w:hint="cs"/>
        <w:sz w:val="14"/>
        <w:szCs w:val="14"/>
        <w:rtl/>
      </w:rPr>
      <w:t xml:space="preserve"> ע"ג ע"ב</w:t>
    </w:r>
  </w:p>
  <w:p w14:paraId="160B3A05" w14:textId="77777777" w:rsidR="00CF7733" w:rsidRDefault="00CF7733" w:rsidP="00CF7733">
    <w:pPr>
      <w:pStyle w:val="affc"/>
      <w:jc w:val="center"/>
      <w:rPr>
        <w:rFonts w:cs="Guttman Hodes"/>
        <w:b/>
        <w:bCs/>
        <w:sz w:val="28"/>
        <w:szCs w:val="28"/>
      </w:rPr>
    </w:pPr>
    <w:r>
      <w:rPr>
        <w:rFonts w:cs="Guttman Hodes" w:hint="cs"/>
        <w:b/>
        <w:bCs/>
        <w:sz w:val="28"/>
        <w:szCs w:val="28"/>
        <w:rtl/>
      </w:rPr>
      <w:t>משנתם</w:t>
    </w:r>
    <w:r>
      <w:rPr>
        <w:rFonts w:cs="Guttman Hodes" w:hint="cs"/>
        <w:b/>
        <w:bCs/>
        <w:color w:val="FFFFFF" w:themeColor="background1"/>
        <w:sz w:val="28"/>
        <w:szCs w:val="28"/>
        <w:rtl/>
      </w:rPr>
      <w:ptab w:relativeTo="margin" w:alignment="center" w:leader="middleDot"/>
    </w:r>
    <w:r>
      <w:rPr>
        <w:rFonts w:cs="Guttman Hodes" w:hint="cs"/>
        <w:b/>
        <w:bCs/>
        <w:color w:val="FFFFFF" w:themeColor="background1"/>
        <w:sz w:val="28"/>
        <w:szCs w:val="28"/>
        <w:rtl/>
      </w:rPr>
      <w:t xml:space="preserve"> </w:t>
    </w:r>
    <w:r>
      <w:rPr>
        <w:rFonts w:cs="Guttman Hodes" w:hint="cs"/>
        <w:b/>
        <w:bCs/>
        <w:sz w:val="28"/>
        <w:szCs w:val="28"/>
        <w:rtl/>
      </w:rPr>
      <w:t>סדורה</w:t>
    </w:r>
  </w:p>
  <w:p w14:paraId="47BD921B" w14:textId="77777777" w:rsidR="00CF7733" w:rsidRDefault="00CF7733" w:rsidP="00CF7733">
    <w:pPr>
      <w:pStyle w:val="affc"/>
      <w:jc w:val="center"/>
      <w:rPr>
        <w:rFonts w:cs="Guttman Hodes"/>
        <w:sz w:val="14"/>
        <w:szCs w:val="14"/>
        <w:rtl/>
      </w:rPr>
    </w:pPr>
    <w:r w:rsidRPr="005478A5">
      <w:rPr>
        <w:rFonts w:cs="Guttman Hodes"/>
        <w:sz w:val="14"/>
        <w:szCs w:val="14"/>
        <w:rtl/>
      </w:rPr>
      <w:t xml:space="preserve">סימן א' במלאכת זורע (א') - בגדרי האב והתולדה </w:t>
    </w:r>
    <w:r w:rsidRPr="0038451B">
      <w:rPr>
        <w:rFonts w:cs="Guttman Hodes"/>
        <w:sz w:val="14"/>
        <w:szCs w:val="14"/>
        <w:rtl/>
      </w:rPr>
      <w:t>בזורע / בדין שורה חיטין במים ובעציץ שאינו נקוב</w:t>
    </w:r>
  </w:p>
  <w:p w14:paraId="4E9AE9CD" w14:textId="77777777" w:rsidR="00CF7733" w:rsidRDefault="00CF7733" w:rsidP="00CF7733">
    <w:pPr>
      <w:pStyle w:val="affc"/>
      <w:jc w:val="center"/>
      <w:rPr>
        <w:rFonts w:cs="Guttman Hodes"/>
        <w:sz w:val="14"/>
        <w:szCs w:val="14"/>
        <w:rtl/>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5E781" w14:textId="77777777" w:rsidR="009623A2" w:rsidRPr="00181149" w:rsidRDefault="009623A2" w:rsidP="00A65234">
    <w:pPr>
      <w:pStyle w:val="affc"/>
      <w:jc w:val="right"/>
      <w:rPr>
        <w:rFonts w:cs="Guttman Hodes"/>
        <w:sz w:val="14"/>
        <w:szCs w:val="14"/>
        <w:rtl/>
      </w:rPr>
    </w:pPr>
    <w:r>
      <w:rPr>
        <w:rFonts w:cs="Guttman Hodes" w:hint="cs"/>
        <w:sz w:val="14"/>
        <w:szCs w:val="14"/>
        <w:rtl/>
      </w:rPr>
      <w:t>שבת</w:t>
    </w:r>
    <w:r w:rsidRPr="00BB0C9F">
      <w:rPr>
        <w:rFonts w:cs="Guttman Hodes"/>
        <w:sz w:val="14"/>
        <w:szCs w:val="14"/>
        <w:rtl/>
      </w:rPr>
      <w:t xml:space="preserve"> דף</w:t>
    </w:r>
    <w:r>
      <w:rPr>
        <w:rFonts w:cs="Guttman Hodes" w:hint="cs"/>
        <w:sz w:val="14"/>
        <w:szCs w:val="14"/>
        <w:rtl/>
      </w:rPr>
      <w:t xml:space="preserve"> ע"ג ע"א </w:t>
    </w:r>
    <w:r>
      <w:rPr>
        <w:rFonts w:cs="Guttman Hodes"/>
        <w:sz w:val="14"/>
        <w:szCs w:val="14"/>
        <w:rtl/>
      </w:rPr>
      <w:t>–</w:t>
    </w:r>
    <w:r>
      <w:rPr>
        <w:rFonts w:cs="Guttman Hodes" w:hint="cs"/>
        <w:sz w:val="14"/>
        <w:szCs w:val="14"/>
        <w:rtl/>
      </w:rPr>
      <w:t xml:space="preserve"> ע"ב</w:t>
    </w:r>
  </w:p>
  <w:p w14:paraId="232F14E9" w14:textId="77777777" w:rsidR="009623A2" w:rsidRDefault="009623A2" w:rsidP="00C83122">
    <w:pPr>
      <w:pStyle w:val="affc"/>
      <w:jc w:val="center"/>
      <w:rPr>
        <w:rFonts w:cs="Guttman Hodes"/>
        <w:b/>
        <w:bCs/>
        <w:sz w:val="28"/>
        <w:szCs w:val="28"/>
      </w:rPr>
    </w:pPr>
    <w:r>
      <w:rPr>
        <w:rFonts w:cs="Guttman Hodes" w:hint="cs"/>
        <w:b/>
        <w:bCs/>
        <w:sz w:val="28"/>
        <w:szCs w:val="28"/>
        <w:rtl/>
      </w:rPr>
      <w:t>משנתם</w:t>
    </w:r>
    <w:r w:rsidRPr="005B62A6">
      <w:rPr>
        <w:rFonts w:cs="Guttman Hodes" w:hint="cs"/>
        <w:b/>
        <w:bCs/>
        <w:color w:val="FFFFFF"/>
        <w:sz w:val="28"/>
        <w:szCs w:val="28"/>
        <w:rtl/>
      </w:rPr>
      <w:ptab w:relativeTo="margin" w:alignment="center" w:leader="middleDot"/>
    </w:r>
    <w:r w:rsidRPr="005B62A6">
      <w:rPr>
        <w:rFonts w:cs="Guttman Hodes" w:hint="cs"/>
        <w:b/>
        <w:bCs/>
        <w:color w:val="FFFFFF"/>
        <w:sz w:val="28"/>
        <w:szCs w:val="28"/>
        <w:rtl/>
      </w:rPr>
      <w:t xml:space="preserve"> </w:t>
    </w:r>
    <w:r>
      <w:rPr>
        <w:rFonts w:cs="Guttman Hodes" w:hint="cs"/>
        <w:b/>
        <w:bCs/>
        <w:sz w:val="28"/>
        <w:szCs w:val="28"/>
        <w:rtl/>
      </w:rPr>
      <w:t>סדורה</w:t>
    </w:r>
  </w:p>
  <w:p w14:paraId="6041E856" w14:textId="77777777" w:rsidR="009623A2" w:rsidRDefault="009623A2" w:rsidP="00C83122">
    <w:pPr>
      <w:pStyle w:val="affc"/>
      <w:jc w:val="center"/>
      <w:rPr>
        <w:rFonts w:cs="Guttman Hodes"/>
        <w:sz w:val="14"/>
        <w:szCs w:val="14"/>
        <w:rtl/>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2C0F0" w14:textId="77777777" w:rsidR="009623A2" w:rsidRDefault="009623A2">
    <w:pPr>
      <w:pStyle w:val="affc"/>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5D953" w14:textId="77777777" w:rsidR="009623A2" w:rsidRPr="00181149" w:rsidRDefault="009623A2" w:rsidP="00C83122">
    <w:pPr>
      <w:pStyle w:val="affc"/>
      <w:jc w:val="right"/>
      <w:rPr>
        <w:rFonts w:cs="Guttman Hodes"/>
        <w:sz w:val="14"/>
        <w:szCs w:val="14"/>
        <w:rtl/>
      </w:rPr>
    </w:pPr>
    <w:r>
      <w:rPr>
        <w:rFonts w:cs="Guttman Hodes" w:hint="cs"/>
        <w:sz w:val="14"/>
        <w:szCs w:val="14"/>
        <w:rtl/>
      </w:rPr>
      <w:t>ב"ב</w:t>
    </w:r>
    <w:r w:rsidRPr="00BB0C9F">
      <w:rPr>
        <w:rFonts w:cs="Guttman Hodes"/>
        <w:sz w:val="14"/>
        <w:szCs w:val="14"/>
        <w:rtl/>
      </w:rPr>
      <w:t xml:space="preserve"> דף</w:t>
    </w:r>
    <w:r>
      <w:rPr>
        <w:rFonts w:cs="Guttman Hodes"/>
        <w:sz w:val="14"/>
        <w:szCs w:val="14"/>
        <w:rtl/>
      </w:rPr>
      <w:t xml:space="preserve"> </w:t>
    </w:r>
  </w:p>
  <w:p w14:paraId="0A1F400A" w14:textId="77777777" w:rsidR="009623A2" w:rsidRDefault="009623A2" w:rsidP="00C83122">
    <w:pPr>
      <w:pStyle w:val="affc"/>
      <w:jc w:val="center"/>
      <w:rPr>
        <w:rFonts w:cs="Guttman Hodes"/>
        <w:b/>
        <w:bCs/>
        <w:sz w:val="28"/>
        <w:szCs w:val="28"/>
      </w:rPr>
    </w:pPr>
    <w:r>
      <w:rPr>
        <w:rFonts w:cs="Guttman Hodes" w:hint="cs"/>
        <w:b/>
        <w:bCs/>
        <w:sz w:val="28"/>
        <w:szCs w:val="28"/>
        <w:rtl/>
      </w:rPr>
      <w:t>משנתם</w:t>
    </w:r>
    <w:r>
      <w:rPr>
        <w:rFonts w:cs="Guttman Hodes" w:hint="cs"/>
        <w:b/>
        <w:bCs/>
        <w:color w:val="FFFFFF" w:themeColor="background1"/>
        <w:sz w:val="28"/>
        <w:szCs w:val="28"/>
        <w:rtl/>
      </w:rPr>
      <w:ptab w:relativeTo="margin" w:alignment="center" w:leader="middleDot"/>
    </w:r>
    <w:r>
      <w:rPr>
        <w:rFonts w:cs="Guttman Hodes" w:hint="cs"/>
        <w:b/>
        <w:bCs/>
        <w:color w:val="FFFFFF" w:themeColor="background1"/>
        <w:sz w:val="28"/>
        <w:szCs w:val="28"/>
        <w:rtl/>
      </w:rPr>
      <w:t xml:space="preserve"> </w:t>
    </w:r>
    <w:r>
      <w:rPr>
        <w:rFonts w:cs="Guttman Hodes" w:hint="cs"/>
        <w:b/>
        <w:bCs/>
        <w:sz w:val="28"/>
        <w:szCs w:val="28"/>
        <w:rtl/>
      </w:rPr>
      <w:t>סדורה</w:t>
    </w:r>
  </w:p>
  <w:p w14:paraId="6BE86EE9" w14:textId="77777777" w:rsidR="009623A2" w:rsidRDefault="009623A2" w:rsidP="00C83122">
    <w:pPr>
      <w:pStyle w:val="affc"/>
      <w:jc w:val="center"/>
      <w:rPr>
        <w:rFonts w:cs="Guttman Hodes"/>
        <w:sz w:val="14"/>
        <w:szCs w:val="14"/>
        <w:rtl/>
      </w:rPr>
    </w:pPr>
  </w:p>
  <w:p w14:paraId="4EF3D216" w14:textId="77777777" w:rsidR="009623A2" w:rsidRDefault="009623A2" w:rsidP="00C83122">
    <w:pPr>
      <w:pStyle w:val="affc"/>
      <w:jc w:val="center"/>
      <w:rPr>
        <w:rFonts w:cs="Guttman Hodes"/>
        <w:sz w:val="14"/>
        <w:szCs w:val="14"/>
        <w:rtl/>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ECA7A" w14:textId="77777777" w:rsidR="001C69A8" w:rsidRPr="00181149" w:rsidRDefault="001C69A8" w:rsidP="00A65234">
    <w:pPr>
      <w:pStyle w:val="affc"/>
      <w:jc w:val="right"/>
      <w:rPr>
        <w:rFonts w:cs="Guttman Hodes"/>
        <w:sz w:val="14"/>
        <w:szCs w:val="14"/>
        <w:rtl/>
      </w:rPr>
    </w:pPr>
    <w:r>
      <w:rPr>
        <w:rFonts w:cs="Guttman Hodes" w:hint="cs"/>
        <w:sz w:val="14"/>
        <w:szCs w:val="14"/>
        <w:rtl/>
      </w:rPr>
      <w:t>שבת</w:t>
    </w:r>
    <w:r w:rsidRPr="00BB0C9F">
      <w:rPr>
        <w:rFonts w:cs="Guttman Hodes"/>
        <w:sz w:val="14"/>
        <w:szCs w:val="14"/>
        <w:rtl/>
      </w:rPr>
      <w:t xml:space="preserve"> דף</w:t>
    </w:r>
    <w:r>
      <w:rPr>
        <w:rFonts w:cs="Guttman Hodes" w:hint="cs"/>
        <w:sz w:val="14"/>
        <w:szCs w:val="14"/>
        <w:rtl/>
      </w:rPr>
      <w:t xml:space="preserve"> ע"ג ע"ב</w:t>
    </w:r>
  </w:p>
  <w:p w14:paraId="244A8549" w14:textId="77777777" w:rsidR="001C69A8" w:rsidRDefault="001C69A8" w:rsidP="00C83122">
    <w:pPr>
      <w:pStyle w:val="affc"/>
      <w:jc w:val="center"/>
      <w:rPr>
        <w:rFonts w:cs="Guttman Hodes"/>
        <w:b/>
        <w:bCs/>
        <w:sz w:val="28"/>
        <w:szCs w:val="28"/>
      </w:rPr>
    </w:pPr>
    <w:r>
      <w:rPr>
        <w:rFonts w:cs="Guttman Hodes" w:hint="cs"/>
        <w:b/>
        <w:bCs/>
        <w:sz w:val="28"/>
        <w:szCs w:val="28"/>
        <w:rtl/>
      </w:rPr>
      <w:t>משנתם</w:t>
    </w:r>
    <w:r w:rsidRPr="005B62A6">
      <w:rPr>
        <w:rFonts w:cs="Guttman Hodes" w:hint="cs"/>
        <w:b/>
        <w:bCs/>
        <w:color w:val="FFFFFF"/>
        <w:sz w:val="28"/>
        <w:szCs w:val="28"/>
        <w:rtl/>
      </w:rPr>
      <w:ptab w:relativeTo="margin" w:alignment="center" w:leader="middleDot"/>
    </w:r>
    <w:r w:rsidRPr="005B62A6">
      <w:rPr>
        <w:rFonts w:cs="Guttman Hodes" w:hint="cs"/>
        <w:b/>
        <w:bCs/>
        <w:color w:val="FFFFFF"/>
        <w:sz w:val="28"/>
        <w:szCs w:val="28"/>
        <w:rtl/>
      </w:rPr>
      <w:t xml:space="preserve"> </w:t>
    </w:r>
    <w:r>
      <w:rPr>
        <w:rFonts w:cs="Guttman Hodes" w:hint="cs"/>
        <w:b/>
        <w:bCs/>
        <w:sz w:val="28"/>
        <w:szCs w:val="28"/>
        <w:rtl/>
      </w:rPr>
      <w:t>סדורה</w:t>
    </w:r>
  </w:p>
  <w:p w14:paraId="59E808A0" w14:textId="77777777" w:rsidR="001C69A8" w:rsidRDefault="001C69A8" w:rsidP="00C83122">
    <w:pPr>
      <w:pStyle w:val="affc"/>
      <w:jc w:val="center"/>
      <w:rPr>
        <w:rFonts w:cs="Guttman Hodes"/>
        <w:sz w:val="14"/>
        <w:szCs w:val="14"/>
        <w:rtl/>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F8291" w14:textId="77777777" w:rsidR="001C69A8" w:rsidRDefault="001C69A8">
    <w:pPr>
      <w:pStyle w:val="affc"/>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CF12D" w14:textId="77777777" w:rsidR="001C69A8" w:rsidRPr="00181149" w:rsidRDefault="001C69A8" w:rsidP="00A65234">
    <w:pPr>
      <w:pStyle w:val="affc"/>
      <w:jc w:val="right"/>
      <w:rPr>
        <w:rFonts w:cs="Guttman Hodes"/>
        <w:sz w:val="14"/>
        <w:szCs w:val="14"/>
        <w:rtl/>
      </w:rPr>
    </w:pPr>
    <w:r>
      <w:rPr>
        <w:rFonts w:cs="Guttman Hodes" w:hint="cs"/>
        <w:sz w:val="14"/>
        <w:szCs w:val="14"/>
        <w:rtl/>
      </w:rPr>
      <w:t>שבת דף ע"ג ע"ב</w:t>
    </w:r>
  </w:p>
  <w:p w14:paraId="2C5D2FD4" w14:textId="77777777" w:rsidR="001C69A8" w:rsidRDefault="001C69A8" w:rsidP="00C83122">
    <w:pPr>
      <w:pStyle w:val="affc"/>
      <w:jc w:val="center"/>
      <w:rPr>
        <w:rFonts w:cs="Guttman Hodes"/>
        <w:b/>
        <w:bCs/>
        <w:sz w:val="28"/>
        <w:szCs w:val="28"/>
      </w:rPr>
    </w:pPr>
    <w:r>
      <w:rPr>
        <w:rFonts w:cs="Guttman Hodes" w:hint="cs"/>
        <w:b/>
        <w:bCs/>
        <w:sz w:val="28"/>
        <w:szCs w:val="28"/>
        <w:rtl/>
      </w:rPr>
      <w:t>משנתם</w:t>
    </w:r>
    <w:r>
      <w:rPr>
        <w:rFonts w:cs="Guttman Hodes" w:hint="cs"/>
        <w:b/>
        <w:bCs/>
        <w:color w:val="FFFFFF" w:themeColor="background1"/>
        <w:sz w:val="28"/>
        <w:szCs w:val="28"/>
        <w:rtl/>
      </w:rPr>
      <w:ptab w:relativeTo="margin" w:alignment="center" w:leader="middleDot"/>
    </w:r>
    <w:r>
      <w:rPr>
        <w:rFonts w:cs="Guttman Hodes" w:hint="cs"/>
        <w:b/>
        <w:bCs/>
        <w:color w:val="FFFFFF" w:themeColor="background1"/>
        <w:sz w:val="28"/>
        <w:szCs w:val="28"/>
        <w:rtl/>
      </w:rPr>
      <w:t xml:space="preserve"> </w:t>
    </w:r>
    <w:r>
      <w:rPr>
        <w:rFonts w:cs="Guttman Hodes" w:hint="cs"/>
        <w:b/>
        <w:bCs/>
        <w:sz w:val="28"/>
        <w:szCs w:val="28"/>
        <w:rtl/>
      </w:rPr>
      <w:t>סדורה</w:t>
    </w:r>
  </w:p>
  <w:p w14:paraId="0E00A1D3" w14:textId="77777777" w:rsidR="001C69A8" w:rsidRPr="00E92866" w:rsidRDefault="001C69A8" w:rsidP="00E92866">
    <w:pPr>
      <w:pStyle w:val="affc"/>
      <w:tabs>
        <w:tab w:val="center" w:pos="5233"/>
        <w:tab w:val="left" w:pos="6283"/>
      </w:tabs>
      <w:jc w:val="center"/>
      <w:rPr>
        <w:rFonts w:cs="Guttman Hodes"/>
        <w:sz w:val="14"/>
        <w:szCs w:val="14"/>
        <w:rtl/>
      </w:rPr>
    </w:pPr>
    <w:bookmarkStart w:id="553" w:name="_Hlk134350556"/>
    <w:r w:rsidRPr="00E92866">
      <w:rPr>
        <w:rFonts w:cs="Guttman Hodes"/>
        <w:sz w:val="14"/>
        <w:szCs w:val="14"/>
        <w:rtl/>
      </w:rPr>
      <w:t xml:space="preserve">סימן ב' </w:t>
    </w:r>
    <w:r w:rsidRPr="00E51EA1">
      <w:rPr>
        <w:rFonts w:cs="Guttman Hodes"/>
        <w:sz w:val="14"/>
        <w:szCs w:val="14"/>
        <w:rtl/>
      </w:rPr>
      <w:t>במלאכת זורע (ב')</w:t>
    </w:r>
    <w:r>
      <w:rPr>
        <w:rFonts w:cs="Guttman Hodes" w:hint="cs"/>
        <w:sz w:val="14"/>
        <w:szCs w:val="14"/>
        <w:rtl/>
      </w:rPr>
      <w:t xml:space="preserve"> - </w:t>
    </w:r>
    <w:r w:rsidRPr="00E92866">
      <w:rPr>
        <w:rFonts w:cs="Guttman Hodes"/>
        <w:sz w:val="14"/>
        <w:szCs w:val="14"/>
        <w:rtl/>
      </w:rPr>
      <w:t>בפלוגתת הרש"ש והמנ"ח אי חיוב זורע בנתינה או בהשרשה כאופה ומבשל</w:t>
    </w:r>
  </w:p>
  <w:bookmarkEnd w:id="553"/>
  <w:p w14:paraId="22375C39" w14:textId="77777777" w:rsidR="001C69A8" w:rsidRDefault="001C69A8" w:rsidP="00C83122">
    <w:pPr>
      <w:pStyle w:val="affc"/>
      <w:jc w:val="center"/>
      <w:rPr>
        <w:rFonts w:cs="Guttman Hodes"/>
        <w:sz w:val="14"/>
        <w:szCs w:val="14"/>
        <w:rtl/>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64E6B" w14:textId="77777777" w:rsidR="001C69A8" w:rsidRPr="00181149" w:rsidRDefault="001C69A8" w:rsidP="00C83122">
    <w:pPr>
      <w:pStyle w:val="affc"/>
      <w:jc w:val="right"/>
      <w:rPr>
        <w:rFonts w:cs="Guttman Hodes"/>
        <w:sz w:val="14"/>
        <w:szCs w:val="14"/>
        <w:rtl/>
      </w:rPr>
    </w:pPr>
    <w:r>
      <w:rPr>
        <w:rFonts w:cs="Guttman Hodes" w:hint="cs"/>
        <w:sz w:val="14"/>
        <w:szCs w:val="14"/>
        <w:rtl/>
      </w:rPr>
      <w:t>ב"ב</w:t>
    </w:r>
    <w:r w:rsidRPr="00BB0C9F">
      <w:rPr>
        <w:rFonts w:cs="Guttman Hodes"/>
        <w:sz w:val="14"/>
        <w:szCs w:val="14"/>
        <w:rtl/>
      </w:rPr>
      <w:t xml:space="preserve"> דף</w:t>
    </w:r>
    <w:r>
      <w:rPr>
        <w:rFonts w:cs="Guttman Hodes"/>
        <w:sz w:val="14"/>
        <w:szCs w:val="14"/>
        <w:rtl/>
      </w:rPr>
      <w:t xml:space="preserve"> </w:t>
    </w:r>
  </w:p>
  <w:p w14:paraId="3FFB46F2" w14:textId="77777777" w:rsidR="001C69A8" w:rsidRDefault="001C69A8" w:rsidP="00C83122">
    <w:pPr>
      <w:pStyle w:val="affc"/>
      <w:jc w:val="center"/>
      <w:rPr>
        <w:rFonts w:cs="Guttman Hodes"/>
        <w:b/>
        <w:bCs/>
        <w:sz w:val="28"/>
        <w:szCs w:val="28"/>
      </w:rPr>
    </w:pPr>
    <w:r>
      <w:rPr>
        <w:rFonts w:cs="Guttman Hodes" w:hint="cs"/>
        <w:b/>
        <w:bCs/>
        <w:sz w:val="28"/>
        <w:szCs w:val="28"/>
        <w:rtl/>
      </w:rPr>
      <w:t>משנתם</w:t>
    </w:r>
    <w:r>
      <w:rPr>
        <w:rFonts w:cs="Guttman Hodes" w:hint="cs"/>
        <w:b/>
        <w:bCs/>
        <w:color w:val="FFFFFF" w:themeColor="background1"/>
        <w:sz w:val="28"/>
        <w:szCs w:val="28"/>
        <w:rtl/>
      </w:rPr>
      <w:ptab w:relativeTo="margin" w:alignment="center" w:leader="middleDot"/>
    </w:r>
    <w:r>
      <w:rPr>
        <w:rFonts w:cs="Guttman Hodes" w:hint="cs"/>
        <w:b/>
        <w:bCs/>
        <w:color w:val="FFFFFF" w:themeColor="background1"/>
        <w:sz w:val="28"/>
        <w:szCs w:val="28"/>
        <w:rtl/>
      </w:rPr>
      <w:t xml:space="preserve"> </w:t>
    </w:r>
    <w:r>
      <w:rPr>
        <w:rFonts w:cs="Guttman Hodes" w:hint="cs"/>
        <w:b/>
        <w:bCs/>
        <w:sz w:val="28"/>
        <w:szCs w:val="28"/>
        <w:rtl/>
      </w:rPr>
      <w:t>סדורה</w:t>
    </w:r>
  </w:p>
  <w:p w14:paraId="25DD9738" w14:textId="77777777" w:rsidR="001C69A8" w:rsidRDefault="001C69A8" w:rsidP="00C83122">
    <w:pPr>
      <w:pStyle w:val="affc"/>
      <w:jc w:val="center"/>
      <w:rPr>
        <w:rFonts w:cs="Guttman Hodes"/>
        <w:sz w:val="14"/>
        <w:szCs w:val="14"/>
        <w:rtl/>
      </w:rPr>
    </w:pPr>
  </w:p>
  <w:p w14:paraId="40FF0900" w14:textId="77777777" w:rsidR="001C69A8" w:rsidRDefault="001C69A8" w:rsidP="00C83122">
    <w:pPr>
      <w:pStyle w:val="affc"/>
      <w:jc w:val="center"/>
      <w:rPr>
        <w:rFonts w:cs="Guttman Hodes"/>
        <w:sz w:val="14"/>
        <w:szCs w:val="14"/>
        <w:rtl/>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65FC9" w14:textId="77777777" w:rsidR="00D31714" w:rsidRDefault="00D31714">
    <w:pPr>
      <w:pStyle w:val="affc"/>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6487E" w14:textId="77777777" w:rsidR="00803DD0" w:rsidRPr="00181149" w:rsidRDefault="00803DD0" w:rsidP="00803DD0">
    <w:pPr>
      <w:pStyle w:val="affc"/>
      <w:jc w:val="right"/>
      <w:rPr>
        <w:rFonts w:cs="Guttman Hodes"/>
        <w:sz w:val="14"/>
        <w:szCs w:val="14"/>
        <w:rtl/>
      </w:rPr>
    </w:pPr>
    <w:r>
      <w:rPr>
        <w:rFonts w:cs="Guttman Hodes" w:hint="cs"/>
        <w:sz w:val="14"/>
        <w:szCs w:val="14"/>
        <w:rtl/>
      </w:rPr>
      <w:t>שבת</w:t>
    </w:r>
    <w:r w:rsidRPr="00BB0C9F">
      <w:rPr>
        <w:rFonts w:cs="Guttman Hodes"/>
        <w:sz w:val="14"/>
        <w:szCs w:val="14"/>
        <w:rtl/>
      </w:rPr>
      <w:t xml:space="preserve"> דף</w:t>
    </w:r>
    <w:r>
      <w:rPr>
        <w:rFonts w:cs="Guttman Hodes" w:hint="cs"/>
        <w:sz w:val="14"/>
        <w:szCs w:val="14"/>
        <w:rtl/>
      </w:rPr>
      <w:t xml:space="preserve"> עג ע"א </w:t>
    </w:r>
    <w:r>
      <w:rPr>
        <w:rFonts w:cs="Guttman Hodes"/>
        <w:sz w:val="14"/>
        <w:szCs w:val="14"/>
        <w:rtl/>
      </w:rPr>
      <w:t>–</w:t>
    </w:r>
    <w:r>
      <w:rPr>
        <w:rFonts w:cs="Guttman Hodes" w:hint="cs"/>
        <w:sz w:val="14"/>
        <w:szCs w:val="14"/>
        <w:rtl/>
      </w:rPr>
      <w:t xml:space="preserve"> ע"ג ע"ב</w:t>
    </w:r>
  </w:p>
  <w:p w14:paraId="1937C9FD" w14:textId="77777777" w:rsidR="00803DD0" w:rsidRDefault="00803DD0" w:rsidP="00803DD0">
    <w:pPr>
      <w:pStyle w:val="affc"/>
      <w:jc w:val="center"/>
      <w:rPr>
        <w:rFonts w:cs="Guttman Hodes"/>
        <w:b/>
        <w:bCs/>
        <w:sz w:val="28"/>
        <w:szCs w:val="28"/>
      </w:rPr>
    </w:pPr>
    <w:r>
      <w:rPr>
        <w:rFonts w:cs="Guttman Hodes" w:hint="cs"/>
        <w:b/>
        <w:bCs/>
        <w:sz w:val="28"/>
        <w:szCs w:val="28"/>
        <w:rtl/>
      </w:rPr>
      <w:t>משנתם</w:t>
    </w:r>
    <w:r>
      <w:rPr>
        <w:rFonts w:cs="Guttman Hodes" w:hint="cs"/>
        <w:b/>
        <w:bCs/>
        <w:color w:val="FFFFFF" w:themeColor="background1"/>
        <w:sz w:val="28"/>
        <w:szCs w:val="28"/>
        <w:rtl/>
      </w:rPr>
      <w:ptab w:relativeTo="margin" w:alignment="center" w:leader="middleDot"/>
    </w:r>
    <w:r>
      <w:rPr>
        <w:rFonts w:cs="Guttman Hodes" w:hint="cs"/>
        <w:b/>
        <w:bCs/>
        <w:color w:val="FFFFFF" w:themeColor="background1"/>
        <w:sz w:val="28"/>
        <w:szCs w:val="28"/>
        <w:rtl/>
      </w:rPr>
      <w:t xml:space="preserve"> </w:t>
    </w:r>
    <w:r>
      <w:rPr>
        <w:rFonts w:cs="Guttman Hodes" w:hint="cs"/>
        <w:b/>
        <w:bCs/>
        <w:sz w:val="28"/>
        <w:szCs w:val="28"/>
        <w:rtl/>
      </w:rPr>
      <w:t>סדורה</w:t>
    </w:r>
  </w:p>
  <w:p w14:paraId="0C4CBBF1" w14:textId="77777777" w:rsidR="00803DD0" w:rsidRDefault="00803DD0" w:rsidP="00803DD0">
    <w:pPr>
      <w:pStyle w:val="affc"/>
      <w:jc w:val="center"/>
      <w:rPr>
        <w:rFonts w:cs="Guttman Hodes"/>
        <w:sz w:val="14"/>
        <w:szCs w:val="14"/>
        <w:rtl/>
      </w:rPr>
    </w:pPr>
    <w:r w:rsidRPr="00ED4717">
      <w:rPr>
        <w:rFonts w:cs="Guttman Hodes"/>
        <w:sz w:val="14"/>
        <w:szCs w:val="14"/>
        <w:rtl/>
      </w:rPr>
      <w:t xml:space="preserve">סימן </w:t>
    </w:r>
    <w:r w:rsidRPr="00F82778">
      <w:rPr>
        <w:rFonts w:cs="Guttman Hodes"/>
        <w:sz w:val="14"/>
        <w:szCs w:val="14"/>
        <w:rtl/>
      </w:rPr>
      <w:t>ג' במלאכת קוצר (</w:t>
    </w:r>
    <w:r>
      <w:rPr>
        <w:rFonts w:cs="Guttman Hodes" w:hint="cs"/>
        <w:sz w:val="14"/>
        <w:szCs w:val="14"/>
        <w:rtl/>
      </w:rPr>
      <w:t>א</w:t>
    </w:r>
    <w:r w:rsidRPr="00F82778">
      <w:rPr>
        <w:rFonts w:cs="Guttman Hodes"/>
        <w:sz w:val="14"/>
        <w:szCs w:val="14"/>
        <w:rtl/>
      </w:rPr>
      <w:t xml:space="preserve">') - באבות ותולדות דקוצר / אי קוצר רק בגידו"ק / בגדר חיבור עציץ נקוב בשבת  </w:t>
    </w:r>
  </w:p>
  <w:p w14:paraId="76D2B589" w14:textId="77777777" w:rsidR="00803DD0" w:rsidRDefault="00803DD0" w:rsidP="00803DD0">
    <w:pPr>
      <w:pStyle w:val="affc"/>
      <w:jc w:val="center"/>
      <w:rPr>
        <w:rFonts w:cs="Guttman Hodes"/>
        <w:sz w:val="14"/>
        <w:szCs w:val="14"/>
        <w:rtl/>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30662" w14:textId="77777777" w:rsidR="00D31714" w:rsidRPr="00181149" w:rsidRDefault="00D31714" w:rsidP="00A65234">
    <w:pPr>
      <w:pStyle w:val="affc"/>
      <w:jc w:val="right"/>
      <w:rPr>
        <w:rFonts w:cs="Guttman Hodes"/>
        <w:sz w:val="14"/>
        <w:szCs w:val="14"/>
        <w:rtl/>
      </w:rPr>
    </w:pPr>
    <w:r>
      <w:rPr>
        <w:rFonts w:cs="Guttman Hodes" w:hint="cs"/>
        <w:sz w:val="14"/>
        <w:szCs w:val="14"/>
        <w:rtl/>
      </w:rPr>
      <w:t>שבת</w:t>
    </w:r>
    <w:r w:rsidRPr="00BB0C9F">
      <w:rPr>
        <w:rFonts w:cs="Guttman Hodes"/>
        <w:sz w:val="14"/>
        <w:szCs w:val="14"/>
        <w:rtl/>
      </w:rPr>
      <w:t xml:space="preserve"> דף</w:t>
    </w:r>
    <w:r>
      <w:rPr>
        <w:rFonts w:cs="Guttman Hodes" w:hint="cs"/>
        <w:sz w:val="14"/>
        <w:szCs w:val="14"/>
        <w:rtl/>
      </w:rPr>
      <w:t xml:space="preserve"> ע"ג ע"א </w:t>
    </w:r>
    <w:r>
      <w:rPr>
        <w:rFonts w:cs="Guttman Hodes"/>
        <w:sz w:val="14"/>
        <w:szCs w:val="14"/>
        <w:rtl/>
      </w:rPr>
      <w:t>–</w:t>
    </w:r>
    <w:r>
      <w:rPr>
        <w:rFonts w:cs="Guttman Hodes" w:hint="cs"/>
        <w:sz w:val="14"/>
        <w:szCs w:val="14"/>
        <w:rtl/>
      </w:rPr>
      <w:t xml:space="preserve"> ע"ב</w:t>
    </w:r>
  </w:p>
  <w:p w14:paraId="2C48C0BC" w14:textId="77777777" w:rsidR="00D31714" w:rsidRDefault="00D31714" w:rsidP="00C83122">
    <w:pPr>
      <w:pStyle w:val="affc"/>
      <w:jc w:val="center"/>
      <w:rPr>
        <w:rFonts w:cs="Guttman Hodes"/>
        <w:b/>
        <w:bCs/>
        <w:sz w:val="28"/>
        <w:szCs w:val="28"/>
      </w:rPr>
    </w:pPr>
    <w:r>
      <w:rPr>
        <w:rFonts w:cs="Guttman Hodes" w:hint="cs"/>
        <w:b/>
        <w:bCs/>
        <w:sz w:val="28"/>
        <w:szCs w:val="28"/>
        <w:rtl/>
      </w:rPr>
      <w:t>משנתם</w:t>
    </w:r>
    <w:r w:rsidRPr="005B62A6">
      <w:rPr>
        <w:rFonts w:cs="Guttman Hodes" w:hint="cs"/>
        <w:b/>
        <w:bCs/>
        <w:color w:val="FFFFFF"/>
        <w:sz w:val="28"/>
        <w:szCs w:val="28"/>
        <w:rtl/>
      </w:rPr>
      <w:ptab w:relativeTo="margin" w:alignment="center" w:leader="middleDot"/>
    </w:r>
    <w:r w:rsidRPr="005B62A6">
      <w:rPr>
        <w:rFonts w:cs="Guttman Hodes" w:hint="cs"/>
        <w:b/>
        <w:bCs/>
        <w:color w:val="FFFFFF"/>
        <w:sz w:val="28"/>
        <w:szCs w:val="28"/>
        <w:rtl/>
      </w:rPr>
      <w:t xml:space="preserve"> </w:t>
    </w:r>
    <w:r>
      <w:rPr>
        <w:rFonts w:cs="Guttman Hodes" w:hint="cs"/>
        <w:b/>
        <w:bCs/>
        <w:sz w:val="28"/>
        <w:szCs w:val="28"/>
        <w:rtl/>
      </w:rPr>
      <w:t>סדורה</w:t>
    </w:r>
  </w:p>
  <w:p w14:paraId="7E16ABAF" w14:textId="77777777" w:rsidR="00D31714" w:rsidRDefault="00D31714" w:rsidP="00C83122">
    <w:pPr>
      <w:pStyle w:val="affc"/>
      <w:jc w:val="center"/>
      <w:rPr>
        <w:rFonts w:cs="Guttman Hodes"/>
        <w:sz w:val="14"/>
        <w:szCs w:val="14"/>
        <w:rtl/>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725B7" w14:textId="77777777" w:rsidR="00D31714" w:rsidRDefault="00D31714">
    <w:pPr>
      <w:pStyle w:val="affc"/>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27639" w14:textId="77777777" w:rsidR="00D31714" w:rsidRPr="00181149" w:rsidRDefault="00D31714" w:rsidP="00A65234">
    <w:pPr>
      <w:pStyle w:val="affc"/>
      <w:jc w:val="right"/>
      <w:rPr>
        <w:rFonts w:cs="Guttman Hodes"/>
        <w:sz w:val="14"/>
        <w:szCs w:val="14"/>
        <w:rtl/>
      </w:rPr>
    </w:pPr>
    <w:r>
      <w:rPr>
        <w:rFonts w:cs="Guttman Hodes" w:hint="cs"/>
        <w:sz w:val="14"/>
        <w:szCs w:val="14"/>
        <w:rtl/>
      </w:rPr>
      <w:t>שבת</w:t>
    </w:r>
    <w:r w:rsidRPr="00BB0C9F">
      <w:rPr>
        <w:rFonts w:cs="Guttman Hodes"/>
        <w:sz w:val="14"/>
        <w:szCs w:val="14"/>
        <w:rtl/>
      </w:rPr>
      <w:t xml:space="preserve"> דף</w:t>
    </w:r>
    <w:r>
      <w:rPr>
        <w:rFonts w:cs="Guttman Hodes" w:hint="cs"/>
        <w:sz w:val="14"/>
        <w:szCs w:val="14"/>
        <w:rtl/>
      </w:rPr>
      <w:t xml:space="preserve"> עג ע"א </w:t>
    </w:r>
    <w:r>
      <w:rPr>
        <w:rFonts w:cs="Guttman Hodes"/>
        <w:sz w:val="14"/>
        <w:szCs w:val="14"/>
        <w:rtl/>
      </w:rPr>
      <w:t>–</w:t>
    </w:r>
    <w:r>
      <w:rPr>
        <w:rFonts w:cs="Guttman Hodes" w:hint="cs"/>
        <w:sz w:val="14"/>
        <w:szCs w:val="14"/>
        <w:rtl/>
      </w:rPr>
      <w:t xml:space="preserve"> ע"ג ע"ב</w:t>
    </w:r>
  </w:p>
  <w:p w14:paraId="76FE1A28" w14:textId="77777777" w:rsidR="00D31714" w:rsidRDefault="00D31714" w:rsidP="00C83122">
    <w:pPr>
      <w:pStyle w:val="affc"/>
      <w:jc w:val="center"/>
      <w:rPr>
        <w:rFonts w:cs="Guttman Hodes"/>
        <w:b/>
        <w:bCs/>
        <w:sz w:val="28"/>
        <w:szCs w:val="28"/>
      </w:rPr>
    </w:pPr>
    <w:r>
      <w:rPr>
        <w:rFonts w:cs="Guttman Hodes" w:hint="cs"/>
        <w:b/>
        <w:bCs/>
        <w:sz w:val="28"/>
        <w:szCs w:val="28"/>
        <w:rtl/>
      </w:rPr>
      <w:t>משנתם</w:t>
    </w:r>
    <w:r>
      <w:rPr>
        <w:rFonts w:cs="Guttman Hodes" w:hint="cs"/>
        <w:b/>
        <w:bCs/>
        <w:color w:val="FFFFFF" w:themeColor="background1"/>
        <w:sz w:val="28"/>
        <w:szCs w:val="28"/>
        <w:rtl/>
      </w:rPr>
      <w:ptab w:relativeTo="margin" w:alignment="center" w:leader="middleDot"/>
    </w:r>
    <w:r>
      <w:rPr>
        <w:rFonts w:cs="Guttman Hodes" w:hint="cs"/>
        <w:b/>
        <w:bCs/>
        <w:color w:val="FFFFFF" w:themeColor="background1"/>
        <w:sz w:val="28"/>
        <w:szCs w:val="28"/>
        <w:rtl/>
      </w:rPr>
      <w:t xml:space="preserve"> </w:t>
    </w:r>
    <w:r>
      <w:rPr>
        <w:rFonts w:cs="Guttman Hodes" w:hint="cs"/>
        <w:b/>
        <w:bCs/>
        <w:sz w:val="28"/>
        <w:szCs w:val="28"/>
        <w:rtl/>
      </w:rPr>
      <w:t>סדורה</w:t>
    </w:r>
  </w:p>
  <w:p w14:paraId="0D3E6C3E" w14:textId="77777777" w:rsidR="00D31714" w:rsidRDefault="00D31714" w:rsidP="00C83122">
    <w:pPr>
      <w:pStyle w:val="affc"/>
      <w:jc w:val="center"/>
      <w:rPr>
        <w:rFonts w:cs="Guttman Hodes"/>
        <w:sz w:val="14"/>
        <w:szCs w:val="14"/>
        <w:rtl/>
      </w:rPr>
    </w:pPr>
    <w:r w:rsidRPr="00ED4717">
      <w:rPr>
        <w:rFonts w:cs="Guttman Hodes"/>
        <w:sz w:val="14"/>
        <w:szCs w:val="14"/>
        <w:rtl/>
      </w:rPr>
      <w:t xml:space="preserve">סימן </w:t>
    </w:r>
    <w:r w:rsidRPr="00F82778">
      <w:rPr>
        <w:rFonts w:cs="Guttman Hodes"/>
        <w:sz w:val="14"/>
        <w:szCs w:val="14"/>
        <w:rtl/>
      </w:rPr>
      <w:t>ג' במלאכת קוצר (</w:t>
    </w:r>
    <w:r>
      <w:rPr>
        <w:rFonts w:cs="Guttman Hodes" w:hint="cs"/>
        <w:sz w:val="14"/>
        <w:szCs w:val="14"/>
        <w:rtl/>
      </w:rPr>
      <w:t>א</w:t>
    </w:r>
    <w:r w:rsidRPr="00F82778">
      <w:rPr>
        <w:rFonts w:cs="Guttman Hodes"/>
        <w:sz w:val="14"/>
        <w:szCs w:val="14"/>
        <w:rtl/>
      </w:rPr>
      <w:t xml:space="preserve">') - באבות ותולדות דקוצר / אי קוצר רק בגידו"ק / בגדר חיבור עציץ נקוב בשבת  </w:t>
    </w:r>
  </w:p>
  <w:p w14:paraId="2ECB35CE" w14:textId="77777777" w:rsidR="00D31714" w:rsidRDefault="00D31714" w:rsidP="00C83122">
    <w:pPr>
      <w:pStyle w:val="affc"/>
      <w:jc w:val="center"/>
      <w:rPr>
        <w:rFonts w:cs="Guttman Hodes"/>
        <w:sz w:val="14"/>
        <w:szCs w:val="14"/>
        <w:rtl/>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1A999" w14:textId="77777777" w:rsidR="00D31714" w:rsidRPr="00181149" w:rsidRDefault="00D31714" w:rsidP="00C83122">
    <w:pPr>
      <w:pStyle w:val="affc"/>
      <w:jc w:val="right"/>
      <w:rPr>
        <w:rFonts w:cs="Guttman Hodes"/>
        <w:sz w:val="14"/>
        <w:szCs w:val="14"/>
        <w:rtl/>
      </w:rPr>
    </w:pPr>
    <w:r>
      <w:rPr>
        <w:rFonts w:cs="Guttman Hodes" w:hint="cs"/>
        <w:sz w:val="14"/>
        <w:szCs w:val="14"/>
        <w:rtl/>
      </w:rPr>
      <w:t>ב"ב</w:t>
    </w:r>
    <w:r w:rsidRPr="00BB0C9F">
      <w:rPr>
        <w:rFonts w:cs="Guttman Hodes"/>
        <w:sz w:val="14"/>
        <w:szCs w:val="14"/>
        <w:rtl/>
      </w:rPr>
      <w:t xml:space="preserve"> דף</w:t>
    </w:r>
    <w:r>
      <w:rPr>
        <w:rFonts w:cs="Guttman Hodes"/>
        <w:sz w:val="14"/>
        <w:szCs w:val="14"/>
        <w:rtl/>
      </w:rPr>
      <w:t xml:space="preserve"> </w:t>
    </w:r>
  </w:p>
  <w:p w14:paraId="7C141BB5" w14:textId="77777777" w:rsidR="00D31714" w:rsidRDefault="00D31714" w:rsidP="00C83122">
    <w:pPr>
      <w:pStyle w:val="affc"/>
      <w:jc w:val="center"/>
      <w:rPr>
        <w:rFonts w:cs="Guttman Hodes"/>
        <w:b/>
        <w:bCs/>
        <w:sz w:val="28"/>
        <w:szCs w:val="28"/>
      </w:rPr>
    </w:pPr>
    <w:r>
      <w:rPr>
        <w:rFonts w:cs="Guttman Hodes" w:hint="cs"/>
        <w:b/>
        <w:bCs/>
        <w:sz w:val="28"/>
        <w:szCs w:val="28"/>
        <w:rtl/>
      </w:rPr>
      <w:t>משנתם</w:t>
    </w:r>
    <w:r>
      <w:rPr>
        <w:rFonts w:cs="Guttman Hodes" w:hint="cs"/>
        <w:b/>
        <w:bCs/>
        <w:color w:val="FFFFFF" w:themeColor="background1"/>
        <w:sz w:val="28"/>
        <w:szCs w:val="28"/>
        <w:rtl/>
      </w:rPr>
      <w:ptab w:relativeTo="margin" w:alignment="center" w:leader="middleDot"/>
    </w:r>
    <w:r>
      <w:rPr>
        <w:rFonts w:cs="Guttman Hodes" w:hint="cs"/>
        <w:b/>
        <w:bCs/>
        <w:color w:val="FFFFFF" w:themeColor="background1"/>
        <w:sz w:val="28"/>
        <w:szCs w:val="28"/>
        <w:rtl/>
      </w:rPr>
      <w:t xml:space="preserve"> </w:t>
    </w:r>
    <w:r>
      <w:rPr>
        <w:rFonts w:cs="Guttman Hodes" w:hint="cs"/>
        <w:b/>
        <w:bCs/>
        <w:sz w:val="28"/>
        <w:szCs w:val="28"/>
        <w:rtl/>
      </w:rPr>
      <w:t>סדורה</w:t>
    </w:r>
  </w:p>
  <w:p w14:paraId="2A77F9BF" w14:textId="77777777" w:rsidR="00D31714" w:rsidRDefault="00D31714" w:rsidP="00C83122">
    <w:pPr>
      <w:pStyle w:val="affc"/>
      <w:jc w:val="center"/>
      <w:rPr>
        <w:rFonts w:cs="Guttman Hodes"/>
        <w:sz w:val="14"/>
        <w:szCs w:val="14"/>
        <w:rtl/>
      </w:rPr>
    </w:pPr>
  </w:p>
  <w:p w14:paraId="57B4EC20" w14:textId="77777777" w:rsidR="00D31714" w:rsidRDefault="00D31714" w:rsidP="00C83122">
    <w:pPr>
      <w:pStyle w:val="affc"/>
      <w:jc w:val="center"/>
      <w:rPr>
        <w:rFonts w:cs="Guttman Hodes"/>
        <w:sz w:val="14"/>
        <w:szCs w:val="14"/>
        <w:rtl/>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2DE9E" w14:textId="77777777" w:rsidR="000426DE" w:rsidRPr="00181149" w:rsidRDefault="000426DE" w:rsidP="000426DE">
    <w:pPr>
      <w:pStyle w:val="affc"/>
      <w:jc w:val="right"/>
      <w:rPr>
        <w:rFonts w:cs="Guttman Hodes"/>
        <w:sz w:val="14"/>
        <w:szCs w:val="14"/>
        <w:rtl/>
      </w:rPr>
    </w:pPr>
    <w:r>
      <w:rPr>
        <w:rFonts w:cs="Guttman Hodes" w:hint="cs"/>
        <w:sz w:val="14"/>
        <w:szCs w:val="14"/>
        <w:rtl/>
      </w:rPr>
      <w:t>שבת</w:t>
    </w:r>
    <w:r w:rsidRPr="00BB0C9F">
      <w:rPr>
        <w:rFonts w:cs="Guttman Hodes"/>
        <w:sz w:val="14"/>
        <w:szCs w:val="14"/>
        <w:rtl/>
      </w:rPr>
      <w:t xml:space="preserve"> דף</w:t>
    </w:r>
    <w:r>
      <w:rPr>
        <w:rFonts w:cs="Guttman Hodes" w:hint="cs"/>
        <w:sz w:val="14"/>
        <w:szCs w:val="14"/>
        <w:rtl/>
      </w:rPr>
      <w:t xml:space="preserve"> עג ע"ב</w:t>
    </w:r>
  </w:p>
  <w:p w14:paraId="25731EA1" w14:textId="77777777" w:rsidR="000426DE" w:rsidRDefault="000426DE" w:rsidP="000426DE">
    <w:pPr>
      <w:pStyle w:val="affc"/>
      <w:jc w:val="center"/>
      <w:rPr>
        <w:rFonts w:cs="Guttman Hodes"/>
        <w:b/>
        <w:bCs/>
        <w:sz w:val="28"/>
        <w:szCs w:val="28"/>
      </w:rPr>
    </w:pPr>
    <w:r>
      <w:rPr>
        <w:rFonts w:cs="Guttman Hodes" w:hint="cs"/>
        <w:b/>
        <w:bCs/>
        <w:sz w:val="28"/>
        <w:szCs w:val="28"/>
        <w:rtl/>
      </w:rPr>
      <w:t>משנתם</w:t>
    </w:r>
    <w:r>
      <w:rPr>
        <w:rFonts w:cs="Guttman Hodes" w:hint="cs"/>
        <w:b/>
        <w:bCs/>
        <w:color w:val="FFFFFF" w:themeColor="background1"/>
        <w:sz w:val="28"/>
        <w:szCs w:val="28"/>
        <w:rtl/>
      </w:rPr>
      <w:ptab w:relativeTo="margin" w:alignment="center" w:leader="middleDot"/>
    </w:r>
    <w:r>
      <w:rPr>
        <w:rFonts w:cs="Guttman Hodes" w:hint="cs"/>
        <w:b/>
        <w:bCs/>
        <w:color w:val="FFFFFF" w:themeColor="background1"/>
        <w:sz w:val="28"/>
        <w:szCs w:val="28"/>
        <w:rtl/>
      </w:rPr>
      <w:t xml:space="preserve"> </w:t>
    </w:r>
    <w:r>
      <w:rPr>
        <w:rFonts w:cs="Guttman Hodes" w:hint="cs"/>
        <w:b/>
        <w:bCs/>
        <w:sz w:val="28"/>
        <w:szCs w:val="28"/>
        <w:rtl/>
      </w:rPr>
      <w:t>סדורה</w:t>
    </w:r>
  </w:p>
  <w:p w14:paraId="4C6AC80D" w14:textId="34C6ABB9" w:rsidR="000426DE" w:rsidRDefault="000426DE" w:rsidP="000426DE">
    <w:pPr>
      <w:pStyle w:val="affc"/>
      <w:jc w:val="center"/>
      <w:rPr>
        <w:rFonts w:cs="Guttman Hodes"/>
        <w:sz w:val="14"/>
        <w:szCs w:val="14"/>
        <w:rtl/>
      </w:rPr>
    </w:pPr>
    <w:r w:rsidRPr="005478A5">
      <w:rPr>
        <w:rFonts w:cs="Guttman Hodes"/>
        <w:sz w:val="14"/>
        <w:szCs w:val="14"/>
        <w:rtl/>
      </w:rPr>
      <w:t xml:space="preserve">סימן </w:t>
    </w:r>
    <w:r>
      <w:rPr>
        <w:rFonts w:cs="Guttman Hodes" w:hint="cs"/>
        <w:sz w:val="14"/>
        <w:szCs w:val="14"/>
        <w:rtl/>
      </w:rPr>
      <w:t>ד</w:t>
    </w:r>
    <w:r w:rsidRPr="005478A5">
      <w:rPr>
        <w:rFonts w:cs="Guttman Hodes"/>
        <w:sz w:val="14"/>
        <w:szCs w:val="14"/>
        <w:rtl/>
      </w:rPr>
      <w:t xml:space="preserve">' במלאכת </w:t>
    </w:r>
    <w:r>
      <w:rPr>
        <w:rFonts w:cs="Guttman Hodes" w:hint="cs"/>
        <w:sz w:val="14"/>
        <w:szCs w:val="14"/>
        <w:rtl/>
      </w:rPr>
      <w:t>קוצר</w:t>
    </w:r>
    <w:r w:rsidRPr="005478A5">
      <w:rPr>
        <w:rFonts w:cs="Guttman Hodes"/>
        <w:sz w:val="14"/>
        <w:szCs w:val="14"/>
        <w:rtl/>
      </w:rPr>
      <w:t xml:space="preserve"> (</w:t>
    </w:r>
    <w:r>
      <w:rPr>
        <w:rFonts w:cs="Guttman Hodes" w:hint="cs"/>
        <w:sz w:val="14"/>
        <w:szCs w:val="14"/>
        <w:rtl/>
      </w:rPr>
      <w:t>ב</w:t>
    </w:r>
    <w:r w:rsidRPr="005478A5">
      <w:rPr>
        <w:rFonts w:cs="Guttman Hodes"/>
        <w:sz w:val="14"/>
        <w:szCs w:val="14"/>
        <w:rtl/>
      </w:rPr>
      <w:t xml:space="preserve">') </w:t>
    </w:r>
    <w:r>
      <w:rPr>
        <w:rFonts w:cs="Guttman Hodes"/>
        <w:sz w:val="14"/>
        <w:szCs w:val="14"/>
        <w:rtl/>
      </w:rPr>
      <w:t>–</w:t>
    </w:r>
    <w:r w:rsidRPr="005478A5">
      <w:rPr>
        <w:rFonts w:cs="Guttman Hodes"/>
        <w:sz w:val="14"/>
        <w:szCs w:val="14"/>
        <w:rtl/>
      </w:rPr>
      <w:t xml:space="preserve"> </w:t>
    </w:r>
    <w:r>
      <w:rPr>
        <w:rFonts w:cs="Guttman Hodes" w:hint="cs"/>
        <w:sz w:val="14"/>
        <w:szCs w:val="14"/>
        <w:rtl/>
      </w:rPr>
      <w:t>בגדרי קוצר אי הוי תלישה ממחובר או הפסקת החיות</w:t>
    </w:r>
    <w:r w:rsidRPr="007627EC">
      <w:rPr>
        <w:rFonts w:cs="Guttman Hodes" w:hint="cs"/>
        <w:sz w:val="14"/>
        <w:szCs w:val="14"/>
        <w:rtl/>
      </w:rPr>
      <w:t xml:space="preserve"> ובדין</w:t>
    </w:r>
    <w:r>
      <w:rPr>
        <w:rFonts w:cs="Guttman Hodes" w:hint="cs"/>
        <w:sz w:val="14"/>
        <w:szCs w:val="14"/>
        <w:rtl/>
      </w:rPr>
      <w:t xml:space="preserve"> </w:t>
    </w:r>
    <w:r w:rsidRPr="006E6B9C">
      <w:rPr>
        <w:rFonts w:cs="Guttman Hodes"/>
        <w:sz w:val="14"/>
        <w:szCs w:val="14"/>
        <w:rtl/>
      </w:rPr>
      <w:t>מיעוט יניקה</w:t>
    </w:r>
  </w:p>
  <w:p w14:paraId="44B6A529" w14:textId="77777777" w:rsidR="000426DE" w:rsidRDefault="000426DE" w:rsidP="000426DE">
    <w:pPr>
      <w:pStyle w:val="affc"/>
      <w:jc w:val="center"/>
      <w:rPr>
        <w:rFonts w:cs="Guttman Hodes"/>
        <w:sz w:val="14"/>
        <w:szCs w:val="14"/>
        <w:rtl/>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2A571" w14:textId="77777777" w:rsidR="000426DE" w:rsidRPr="00181149" w:rsidRDefault="000426DE" w:rsidP="00A65234">
    <w:pPr>
      <w:pStyle w:val="affc"/>
      <w:jc w:val="right"/>
      <w:rPr>
        <w:rFonts w:cs="Guttman Hodes"/>
        <w:sz w:val="14"/>
        <w:szCs w:val="14"/>
        <w:rtl/>
      </w:rPr>
    </w:pPr>
    <w:r>
      <w:rPr>
        <w:rFonts w:cs="Guttman Hodes" w:hint="cs"/>
        <w:sz w:val="14"/>
        <w:szCs w:val="14"/>
        <w:rtl/>
      </w:rPr>
      <w:t>שבת</w:t>
    </w:r>
    <w:r w:rsidRPr="00BB0C9F">
      <w:rPr>
        <w:rFonts w:cs="Guttman Hodes"/>
        <w:sz w:val="14"/>
        <w:szCs w:val="14"/>
        <w:rtl/>
      </w:rPr>
      <w:t xml:space="preserve"> דף</w:t>
    </w:r>
    <w:r>
      <w:rPr>
        <w:rFonts w:cs="Guttman Hodes" w:hint="cs"/>
        <w:sz w:val="14"/>
        <w:szCs w:val="14"/>
        <w:rtl/>
      </w:rPr>
      <w:t xml:space="preserve"> ע"ג ע"ב</w:t>
    </w:r>
  </w:p>
  <w:p w14:paraId="6861C6ED" w14:textId="77777777" w:rsidR="000426DE" w:rsidRDefault="000426DE" w:rsidP="00C83122">
    <w:pPr>
      <w:pStyle w:val="affc"/>
      <w:jc w:val="center"/>
      <w:rPr>
        <w:rFonts w:cs="Guttman Hodes"/>
        <w:b/>
        <w:bCs/>
        <w:sz w:val="28"/>
        <w:szCs w:val="28"/>
      </w:rPr>
    </w:pPr>
    <w:r>
      <w:rPr>
        <w:rFonts w:cs="Guttman Hodes" w:hint="cs"/>
        <w:b/>
        <w:bCs/>
        <w:sz w:val="28"/>
        <w:szCs w:val="28"/>
        <w:rtl/>
      </w:rPr>
      <w:t>משנתם</w:t>
    </w:r>
    <w:r w:rsidRPr="005B62A6">
      <w:rPr>
        <w:rFonts w:cs="Guttman Hodes" w:hint="cs"/>
        <w:b/>
        <w:bCs/>
        <w:color w:val="FFFFFF"/>
        <w:sz w:val="28"/>
        <w:szCs w:val="28"/>
        <w:rtl/>
      </w:rPr>
      <w:ptab w:relativeTo="margin" w:alignment="center" w:leader="middleDot"/>
    </w:r>
    <w:r w:rsidRPr="005B62A6">
      <w:rPr>
        <w:rFonts w:cs="Guttman Hodes" w:hint="cs"/>
        <w:b/>
        <w:bCs/>
        <w:color w:val="FFFFFF"/>
        <w:sz w:val="28"/>
        <w:szCs w:val="28"/>
        <w:rtl/>
      </w:rPr>
      <w:t xml:space="preserve"> </w:t>
    </w:r>
    <w:r>
      <w:rPr>
        <w:rFonts w:cs="Guttman Hodes" w:hint="cs"/>
        <w:b/>
        <w:bCs/>
        <w:sz w:val="28"/>
        <w:szCs w:val="28"/>
        <w:rtl/>
      </w:rPr>
      <w:t>סדורה</w:t>
    </w:r>
  </w:p>
  <w:p w14:paraId="0A195B00" w14:textId="77777777" w:rsidR="000426DE" w:rsidRDefault="000426DE" w:rsidP="00C83122">
    <w:pPr>
      <w:pStyle w:val="affc"/>
      <w:jc w:val="center"/>
      <w:rPr>
        <w:rFonts w:cs="Guttman Hodes"/>
        <w:sz w:val="14"/>
        <w:szCs w:val="14"/>
        <w:rtl/>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60A63" w14:textId="77777777" w:rsidR="000426DE" w:rsidRDefault="000426DE">
    <w:pPr>
      <w:pStyle w:val="affc"/>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66682" w14:textId="77777777" w:rsidR="000426DE" w:rsidRPr="00181149" w:rsidRDefault="000426DE" w:rsidP="00C83122">
    <w:pPr>
      <w:pStyle w:val="affc"/>
      <w:jc w:val="right"/>
      <w:rPr>
        <w:rFonts w:cs="Guttman Hodes"/>
        <w:sz w:val="14"/>
        <w:szCs w:val="14"/>
        <w:rtl/>
      </w:rPr>
    </w:pPr>
    <w:r>
      <w:rPr>
        <w:rFonts w:cs="Guttman Hodes" w:hint="cs"/>
        <w:sz w:val="14"/>
        <w:szCs w:val="14"/>
        <w:rtl/>
      </w:rPr>
      <w:t>ב"ב</w:t>
    </w:r>
    <w:r w:rsidRPr="00BB0C9F">
      <w:rPr>
        <w:rFonts w:cs="Guttman Hodes"/>
        <w:sz w:val="14"/>
        <w:szCs w:val="14"/>
        <w:rtl/>
      </w:rPr>
      <w:t xml:space="preserve"> דף</w:t>
    </w:r>
    <w:r>
      <w:rPr>
        <w:rFonts w:cs="Guttman Hodes"/>
        <w:sz w:val="14"/>
        <w:szCs w:val="14"/>
        <w:rtl/>
      </w:rPr>
      <w:t xml:space="preserve"> </w:t>
    </w:r>
  </w:p>
  <w:p w14:paraId="22674206" w14:textId="77777777" w:rsidR="000426DE" w:rsidRDefault="000426DE" w:rsidP="00C83122">
    <w:pPr>
      <w:pStyle w:val="affc"/>
      <w:jc w:val="center"/>
      <w:rPr>
        <w:rFonts w:cs="Guttman Hodes"/>
        <w:b/>
        <w:bCs/>
        <w:sz w:val="28"/>
        <w:szCs w:val="28"/>
      </w:rPr>
    </w:pPr>
    <w:r>
      <w:rPr>
        <w:rFonts w:cs="Guttman Hodes" w:hint="cs"/>
        <w:b/>
        <w:bCs/>
        <w:sz w:val="28"/>
        <w:szCs w:val="28"/>
        <w:rtl/>
      </w:rPr>
      <w:t>משנתם</w:t>
    </w:r>
    <w:r>
      <w:rPr>
        <w:rFonts w:cs="Guttman Hodes" w:hint="cs"/>
        <w:b/>
        <w:bCs/>
        <w:color w:val="FFFFFF" w:themeColor="background1"/>
        <w:sz w:val="28"/>
        <w:szCs w:val="28"/>
        <w:rtl/>
      </w:rPr>
      <w:ptab w:relativeTo="margin" w:alignment="center" w:leader="middleDot"/>
    </w:r>
    <w:r>
      <w:rPr>
        <w:rFonts w:cs="Guttman Hodes" w:hint="cs"/>
        <w:b/>
        <w:bCs/>
        <w:color w:val="FFFFFF" w:themeColor="background1"/>
        <w:sz w:val="28"/>
        <w:szCs w:val="28"/>
        <w:rtl/>
      </w:rPr>
      <w:t xml:space="preserve"> </w:t>
    </w:r>
    <w:r>
      <w:rPr>
        <w:rFonts w:cs="Guttman Hodes" w:hint="cs"/>
        <w:b/>
        <w:bCs/>
        <w:sz w:val="28"/>
        <w:szCs w:val="28"/>
        <w:rtl/>
      </w:rPr>
      <w:t>סדורה</w:t>
    </w:r>
  </w:p>
  <w:p w14:paraId="6E5CADE1" w14:textId="77777777" w:rsidR="000426DE" w:rsidRDefault="000426DE" w:rsidP="00C83122">
    <w:pPr>
      <w:pStyle w:val="affc"/>
      <w:jc w:val="center"/>
      <w:rPr>
        <w:rFonts w:cs="Guttman Hodes"/>
        <w:sz w:val="14"/>
        <w:szCs w:val="14"/>
        <w:rtl/>
      </w:rPr>
    </w:pPr>
  </w:p>
  <w:p w14:paraId="74877870" w14:textId="77777777" w:rsidR="000426DE" w:rsidRDefault="000426DE" w:rsidP="00C83122">
    <w:pPr>
      <w:pStyle w:val="affc"/>
      <w:jc w:val="center"/>
      <w:rPr>
        <w:rFonts w:cs="Guttman Hodes"/>
        <w:sz w:val="14"/>
        <w:szCs w:val="14"/>
        <w:rtl/>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DE3E5" w14:textId="77777777" w:rsidR="00316453" w:rsidRPr="00181149" w:rsidRDefault="00316453" w:rsidP="00316453">
    <w:pPr>
      <w:pStyle w:val="affc"/>
      <w:jc w:val="right"/>
      <w:rPr>
        <w:rFonts w:cs="Guttman Hodes"/>
        <w:sz w:val="14"/>
        <w:szCs w:val="14"/>
        <w:rtl/>
      </w:rPr>
    </w:pPr>
    <w:r>
      <w:rPr>
        <w:rFonts w:cs="Guttman Hodes" w:hint="cs"/>
        <w:sz w:val="14"/>
        <w:szCs w:val="14"/>
        <w:rtl/>
      </w:rPr>
      <w:t>שבת</w:t>
    </w:r>
    <w:r w:rsidRPr="00BB0C9F">
      <w:rPr>
        <w:rFonts w:cs="Guttman Hodes"/>
        <w:sz w:val="14"/>
        <w:szCs w:val="14"/>
        <w:rtl/>
      </w:rPr>
      <w:t xml:space="preserve"> דף</w:t>
    </w:r>
    <w:r>
      <w:rPr>
        <w:rFonts w:cs="Guttman Hodes" w:hint="cs"/>
        <w:sz w:val="14"/>
        <w:szCs w:val="14"/>
        <w:rtl/>
      </w:rPr>
      <w:t xml:space="preserve"> עג ע"ב</w:t>
    </w:r>
  </w:p>
  <w:p w14:paraId="4C5CC3BF" w14:textId="77777777" w:rsidR="00316453" w:rsidRDefault="00316453" w:rsidP="00316453">
    <w:pPr>
      <w:pStyle w:val="affc"/>
      <w:jc w:val="center"/>
      <w:rPr>
        <w:rFonts w:cs="Guttman Hodes"/>
        <w:b/>
        <w:bCs/>
        <w:sz w:val="28"/>
        <w:szCs w:val="28"/>
      </w:rPr>
    </w:pPr>
    <w:r>
      <w:rPr>
        <w:rFonts w:cs="Guttman Hodes" w:hint="cs"/>
        <w:b/>
        <w:bCs/>
        <w:sz w:val="28"/>
        <w:szCs w:val="28"/>
        <w:rtl/>
      </w:rPr>
      <w:t>משנתם</w:t>
    </w:r>
    <w:r>
      <w:rPr>
        <w:rFonts w:cs="Guttman Hodes" w:hint="cs"/>
        <w:b/>
        <w:bCs/>
        <w:color w:val="FFFFFF" w:themeColor="background1"/>
        <w:sz w:val="28"/>
        <w:szCs w:val="28"/>
        <w:rtl/>
      </w:rPr>
      <w:ptab w:relativeTo="margin" w:alignment="center" w:leader="middleDot"/>
    </w:r>
    <w:r>
      <w:rPr>
        <w:rFonts w:cs="Guttman Hodes" w:hint="cs"/>
        <w:b/>
        <w:bCs/>
        <w:color w:val="FFFFFF" w:themeColor="background1"/>
        <w:sz w:val="28"/>
        <w:szCs w:val="28"/>
        <w:rtl/>
      </w:rPr>
      <w:t xml:space="preserve"> </w:t>
    </w:r>
    <w:r>
      <w:rPr>
        <w:rFonts w:cs="Guttman Hodes" w:hint="cs"/>
        <w:b/>
        <w:bCs/>
        <w:sz w:val="28"/>
        <w:szCs w:val="28"/>
        <w:rtl/>
      </w:rPr>
      <w:t>סדורה</w:t>
    </w:r>
  </w:p>
  <w:p w14:paraId="1DCE6462" w14:textId="77777777" w:rsidR="00316453" w:rsidRDefault="00316453" w:rsidP="00316453">
    <w:pPr>
      <w:pStyle w:val="affc"/>
      <w:jc w:val="center"/>
      <w:rPr>
        <w:rFonts w:cs="Guttman Hodes"/>
        <w:sz w:val="14"/>
        <w:szCs w:val="14"/>
        <w:rtl/>
      </w:rPr>
    </w:pPr>
    <w:r w:rsidRPr="004A705E">
      <w:rPr>
        <w:rFonts w:cs="Guttman Hodes"/>
        <w:sz w:val="14"/>
        <w:szCs w:val="14"/>
        <w:rtl/>
      </w:rPr>
      <w:t>סי' ה' בסוגיא דבורר (א') - בגדר זורה ובורר אי המלאכה באוכל או בפסולת ובגדר הפרדת חלקים לירושלמי</w:t>
    </w:r>
  </w:p>
  <w:p w14:paraId="11EDCFF5" w14:textId="77777777" w:rsidR="00316453" w:rsidRDefault="00316453" w:rsidP="00316453">
    <w:pPr>
      <w:pStyle w:val="affc"/>
      <w:jc w:val="center"/>
      <w:rPr>
        <w:rFonts w:cs="Guttman Hodes"/>
        <w:sz w:val="14"/>
        <w:szCs w:val="14"/>
        <w:rtl/>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6BC0C" w14:textId="77777777" w:rsidR="00316453" w:rsidRPr="00181149" w:rsidRDefault="00316453" w:rsidP="00316453">
    <w:pPr>
      <w:pStyle w:val="affc"/>
      <w:jc w:val="right"/>
      <w:rPr>
        <w:rFonts w:cs="Guttman Hodes"/>
        <w:sz w:val="14"/>
        <w:szCs w:val="14"/>
        <w:rtl/>
      </w:rPr>
    </w:pPr>
    <w:r>
      <w:rPr>
        <w:rFonts w:cs="Guttman Hodes" w:hint="cs"/>
        <w:sz w:val="14"/>
        <w:szCs w:val="14"/>
        <w:rtl/>
      </w:rPr>
      <w:t>שבת</w:t>
    </w:r>
    <w:r w:rsidRPr="00BB0C9F">
      <w:rPr>
        <w:rFonts w:cs="Guttman Hodes"/>
        <w:sz w:val="14"/>
        <w:szCs w:val="14"/>
        <w:rtl/>
      </w:rPr>
      <w:t xml:space="preserve"> דף</w:t>
    </w:r>
    <w:r>
      <w:rPr>
        <w:rFonts w:cs="Guttman Hodes" w:hint="cs"/>
        <w:sz w:val="14"/>
        <w:szCs w:val="14"/>
        <w:rtl/>
      </w:rPr>
      <w:t xml:space="preserve"> עג ע"ב</w:t>
    </w:r>
  </w:p>
  <w:p w14:paraId="2D990E39" w14:textId="77777777" w:rsidR="00316453" w:rsidRDefault="00316453" w:rsidP="00316453">
    <w:pPr>
      <w:pStyle w:val="affc"/>
      <w:jc w:val="center"/>
      <w:rPr>
        <w:rFonts w:cs="Guttman Hodes"/>
        <w:b/>
        <w:bCs/>
        <w:sz w:val="28"/>
        <w:szCs w:val="28"/>
      </w:rPr>
    </w:pPr>
    <w:r>
      <w:rPr>
        <w:rFonts w:cs="Guttman Hodes" w:hint="cs"/>
        <w:b/>
        <w:bCs/>
        <w:sz w:val="28"/>
        <w:szCs w:val="28"/>
        <w:rtl/>
      </w:rPr>
      <w:t>משנתם</w:t>
    </w:r>
    <w:r>
      <w:rPr>
        <w:rFonts w:cs="Guttman Hodes" w:hint="cs"/>
        <w:b/>
        <w:bCs/>
        <w:color w:val="FFFFFF" w:themeColor="background1"/>
        <w:sz w:val="28"/>
        <w:szCs w:val="28"/>
        <w:rtl/>
      </w:rPr>
      <w:ptab w:relativeTo="margin" w:alignment="center" w:leader="middleDot"/>
    </w:r>
    <w:r>
      <w:rPr>
        <w:rFonts w:cs="Guttman Hodes" w:hint="cs"/>
        <w:b/>
        <w:bCs/>
        <w:color w:val="FFFFFF" w:themeColor="background1"/>
        <w:sz w:val="28"/>
        <w:szCs w:val="28"/>
        <w:rtl/>
      </w:rPr>
      <w:t xml:space="preserve"> </w:t>
    </w:r>
    <w:r>
      <w:rPr>
        <w:rFonts w:cs="Guttman Hodes" w:hint="cs"/>
        <w:b/>
        <w:bCs/>
        <w:sz w:val="28"/>
        <w:szCs w:val="28"/>
        <w:rtl/>
      </w:rPr>
      <w:t>סדורה</w:t>
    </w:r>
  </w:p>
  <w:p w14:paraId="63C36FE8" w14:textId="77777777" w:rsidR="00316453" w:rsidRDefault="00316453" w:rsidP="00316453">
    <w:pPr>
      <w:pStyle w:val="affc"/>
      <w:jc w:val="center"/>
      <w:rPr>
        <w:rFonts w:cs="Guttman Hodes"/>
        <w:sz w:val="14"/>
        <w:szCs w:val="14"/>
        <w:rtl/>
      </w:rPr>
    </w:pPr>
    <w:r w:rsidRPr="004A705E">
      <w:rPr>
        <w:rFonts w:cs="Guttman Hodes"/>
        <w:sz w:val="14"/>
        <w:szCs w:val="14"/>
        <w:rtl/>
      </w:rPr>
      <w:t>סי' ה' בסוגיא דבורר (א') - בגדר זורה ובורר אי המלאכה באוכל או בפסולת ובגדר הפרדת חלקים לירושלמי</w:t>
    </w:r>
  </w:p>
  <w:p w14:paraId="5BA8F0E5" w14:textId="77777777" w:rsidR="00316453" w:rsidRDefault="00316453" w:rsidP="00316453">
    <w:pPr>
      <w:pStyle w:val="affc"/>
      <w:jc w:val="center"/>
      <w:rPr>
        <w:rFonts w:cs="Guttman Hodes"/>
        <w:sz w:val="14"/>
        <w:szCs w:val="14"/>
        <w:rtl/>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768BE" w14:textId="77777777" w:rsidR="00316453" w:rsidRDefault="00316453">
    <w:pPr>
      <w:pStyle w:val="affc"/>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C09E7" w14:textId="77777777" w:rsidR="00316453" w:rsidRPr="00181149" w:rsidRDefault="00316453" w:rsidP="00A65234">
    <w:pPr>
      <w:pStyle w:val="affc"/>
      <w:jc w:val="right"/>
      <w:rPr>
        <w:rFonts w:cs="Guttman Hodes"/>
        <w:sz w:val="14"/>
        <w:szCs w:val="14"/>
        <w:rtl/>
      </w:rPr>
    </w:pPr>
    <w:r>
      <w:rPr>
        <w:rFonts w:cs="Guttman Hodes" w:hint="cs"/>
        <w:sz w:val="14"/>
        <w:szCs w:val="14"/>
        <w:rtl/>
      </w:rPr>
      <w:t>שבת</w:t>
    </w:r>
    <w:r w:rsidRPr="00BB0C9F">
      <w:rPr>
        <w:rFonts w:cs="Guttman Hodes"/>
        <w:sz w:val="14"/>
        <w:szCs w:val="14"/>
        <w:rtl/>
      </w:rPr>
      <w:t xml:space="preserve"> דף</w:t>
    </w:r>
    <w:r>
      <w:rPr>
        <w:rFonts w:cs="Guttman Hodes" w:hint="cs"/>
        <w:sz w:val="14"/>
        <w:szCs w:val="14"/>
        <w:rtl/>
      </w:rPr>
      <w:t xml:space="preserve"> עג ע"ב</w:t>
    </w:r>
  </w:p>
  <w:p w14:paraId="55B4BD0E" w14:textId="77777777" w:rsidR="00316453" w:rsidRDefault="00316453" w:rsidP="00C83122">
    <w:pPr>
      <w:pStyle w:val="affc"/>
      <w:jc w:val="center"/>
      <w:rPr>
        <w:rFonts w:cs="Guttman Hodes"/>
        <w:b/>
        <w:bCs/>
        <w:sz w:val="28"/>
        <w:szCs w:val="28"/>
      </w:rPr>
    </w:pPr>
    <w:r>
      <w:rPr>
        <w:rFonts w:cs="Guttman Hodes" w:hint="cs"/>
        <w:b/>
        <w:bCs/>
        <w:sz w:val="28"/>
        <w:szCs w:val="28"/>
        <w:rtl/>
      </w:rPr>
      <w:t>משנתם</w:t>
    </w:r>
    <w:r>
      <w:rPr>
        <w:rFonts w:cs="Guttman Hodes" w:hint="cs"/>
        <w:b/>
        <w:bCs/>
        <w:color w:val="FFFFFF" w:themeColor="background1"/>
        <w:sz w:val="28"/>
        <w:szCs w:val="28"/>
        <w:rtl/>
      </w:rPr>
      <w:ptab w:relativeTo="margin" w:alignment="center" w:leader="middleDot"/>
    </w:r>
    <w:r>
      <w:rPr>
        <w:rFonts w:cs="Guttman Hodes" w:hint="cs"/>
        <w:b/>
        <w:bCs/>
        <w:color w:val="FFFFFF" w:themeColor="background1"/>
        <w:sz w:val="28"/>
        <w:szCs w:val="28"/>
        <w:rtl/>
      </w:rPr>
      <w:t xml:space="preserve"> </w:t>
    </w:r>
    <w:r>
      <w:rPr>
        <w:rFonts w:cs="Guttman Hodes" w:hint="cs"/>
        <w:b/>
        <w:bCs/>
        <w:sz w:val="28"/>
        <w:szCs w:val="28"/>
        <w:rtl/>
      </w:rPr>
      <w:t>סדורה</w:t>
    </w:r>
  </w:p>
  <w:p w14:paraId="11C5AFA2" w14:textId="7E76A4F3" w:rsidR="00316453" w:rsidRDefault="008009AA" w:rsidP="00C83122">
    <w:pPr>
      <w:pStyle w:val="affc"/>
      <w:jc w:val="center"/>
      <w:rPr>
        <w:rFonts w:cs="Guttman Hodes"/>
        <w:sz w:val="14"/>
        <w:szCs w:val="14"/>
        <w:rtl/>
      </w:rPr>
    </w:pPr>
    <w:r>
      <w:rPr>
        <w:rFonts w:cs="Guttman Hodes"/>
        <w:sz w:val="14"/>
        <w:szCs w:val="14"/>
        <w:rtl/>
      </w:rPr>
      <w:t xml:space="preserve">סימן ה' בסוגיא </w:t>
    </w:r>
    <w:r w:rsidR="00316453" w:rsidRPr="004A705E">
      <w:rPr>
        <w:rFonts w:cs="Guttman Hodes"/>
        <w:sz w:val="14"/>
        <w:szCs w:val="14"/>
        <w:rtl/>
      </w:rPr>
      <w:t>דבורר (א') - בגדר זורה ובורר אי המלאכה באוכל או בפסולת ובגדר הפרדת חלקים לירושלמי</w:t>
    </w:r>
  </w:p>
  <w:p w14:paraId="67EFA2C1" w14:textId="77777777" w:rsidR="00316453" w:rsidRDefault="00316453" w:rsidP="00C83122">
    <w:pPr>
      <w:pStyle w:val="affc"/>
      <w:jc w:val="center"/>
      <w:rPr>
        <w:rFonts w:cs="Guttman Hodes"/>
        <w:sz w:val="14"/>
        <w:szCs w:val="14"/>
        <w:rtl/>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B11E6" w14:textId="77777777" w:rsidR="00316453" w:rsidRPr="00181149" w:rsidRDefault="00316453" w:rsidP="00C83122">
    <w:pPr>
      <w:pStyle w:val="affc"/>
      <w:jc w:val="right"/>
      <w:rPr>
        <w:rFonts w:cs="Guttman Hodes"/>
        <w:sz w:val="14"/>
        <w:szCs w:val="14"/>
        <w:rtl/>
      </w:rPr>
    </w:pPr>
    <w:r>
      <w:rPr>
        <w:rFonts w:cs="Guttman Hodes" w:hint="cs"/>
        <w:sz w:val="14"/>
        <w:szCs w:val="14"/>
        <w:rtl/>
      </w:rPr>
      <w:t>ב"ב</w:t>
    </w:r>
    <w:r w:rsidRPr="00BB0C9F">
      <w:rPr>
        <w:rFonts w:cs="Guttman Hodes"/>
        <w:sz w:val="14"/>
        <w:szCs w:val="14"/>
        <w:rtl/>
      </w:rPr>
      <w:t xml:space="preserve"> דף</w:t>
    </w:r>
    <w:r>
      <w:rPr>
        <w:rFonts w:cs="Guttman Hodes"/>
        <w:sz w:val="14"/>
        <w:szCs w:val="14"/>
        <w:rtl/>
      </w:rPr>
      <w:t xml:space="preserve"> </w:t>
    </w:r>
  </w:p>
  <w:p w14:paraId="4D5A988B" w14:textId="77777777" w:rsidR="00316453" w:rsidRDefault="00316453" w:rsidP="00C83122">
    <w:pPr>
      <w:pStyle w:val="affc"/>
      <w:jc w:val="center"/>
      <w:rPr>
        <w:rFonts w:cs="Guttman Hodes"/>
        <w:b/>
        <w:bCs/>
        <w:sz w:val="28"/>
        <w:szCs w:val="28"/>
      </w:rPr>
    </w:pPr>
    <w:r>
      <w:rPr>
        <w:rFonts w:cs="Guttman Hodes" w:hint="cs"/>
        <w:b/>
        <w:bCs/>
        <w:sz w:val="28"/>
        <w:szCs w:val="28"/>
        <w:rtl/>
      </w:rPr>
      <w:t>משנתם</w:t>
    </w:r>
    <w:r>
      <w:rPr>
        <w:rFonts w:cs="Guttman Hodes" w:hint="cs"/>
        <w:b/>
        <w:bCs/>
        <w:color w:val="FFFFFF" w:themeColor="background1"/>
        <w:sz w:val="28"/>
        <w:szCs w:val="28"/>
        <w:rtl/>
      </w:rPr>
      <w:ptab w:relativeTo="margin" w:alignment="center" w:leader="middleDot"/>
    </w:r>
    <w:r>
      <w:rPr>
        <w:rFonts w:cs="Guttman Hodes" w:hint="cs"/>
        <w:b/>
        <w:bCs/>
        <w:color w:val="FFFFFF" w:themeColor="background1"/>
        <w:sz w:val="28"/>
        <w:szCs w:val="28"/>
        <w:rtl/>
      </w:rPr>
      <w:t xml:space="preserve"> </w:t>
    </w:r>
    <w:r>
      <w:rPr>
        <w:rFonts w:cs="Guttman Hodes" w:hint="cs"/>
        <w:b/>
        <w:bCs/>
        <w:sz w:val="28"/>
        <w:szCs w:val="28"/>
        <w:rtl/>
      </w:rPr>
      <w:t>סדורה</w:t>
    </w:r>
  </w:p>
  <w:p w14:paraId="279AED3B" w14:textId="77777777" w:rsidR="00316453" w:rsidRDefault="00316453" w:rsidP="00C83122">
    <w:pPr>
      <w:pStyle w:val="affc"/>
      <w:jc w:val="center"/>
      <w:rPr>
        <w:rFonts w:cs="Guttman Hodes"/>
        <w:sz w:val="14"/>
        <w:szCs w:val="14"/>
        <w:rtl/>
      </w:rPr>
    </w:pPr>
  </w:p>
  <w:p w14:paraId="7D8BB703" w14:textId="77777777" w:rsidR="00316453" w:rsidRDefault="00316453" w:rsidP="00C83122">
    <w:pPr>
      <w:pStyle w:val="affc"/>
      <w:jc w:val="center"/>
      <w:rPr>
        <w:rFonts w:cs="Guttman Hodes"/>
        <w:sz w:val="14"/>
        <w:szCs w:val="14"/>
        <w:rtl/>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3DC11" w14:textId="77777777" w:rsidR="00592982" w:rsidRPr="00181149" w:rsidRDefault="00592982" w:rsidP="00592982">
    <w:pPr>
      <w:pStyle w:val="affc"/>
      <w:jc w:val="right"/>
      <w:rPr>
        <w:rFonts w:cs="Guttman Hodes"/>
        <w:sz w:val="14"/>
        <w:szCs w:val="14"/>
        <w:rtl/>
      </w:rPr>
    </w:pPr>
    <w:r>
      <w:rPr>
        <w:rFonts w:cs="Guttman Hodes" w:hint="cs"/>
        <w:sz w:val="14"/>
        <w:szCs w:val="14"/>
        <w:rtl/>
      </w:rPr>
      <w:t>שבת</w:t>
    </w:r>
    <w:r w:rsidRPr="00BB0C9F">
      <w:rPr>
        <w:rFonts w:cs="Guttman Hodes"/>
        <w:sz w:val="14"/>
        <w:szCs w:val="14"/>
        <w:rtl/>
      </w:rPr>
      <w:t xml:space="preserve"> דף</w:t>
    </w:r>
    <w:r>
      <w:rPr>
        <w:rFonts w:cs="Guttman Hodes" w:hint="cs"/>
        <w:sz w:val="14"/>
        <w:szCs w:val="14"/>
        <w:rtl/>
      </w:rPr>
      <w:t xml:space="preserve">  ע"ד ע"א</w:t>
    </w:r>
  </w:p>
  <w:p w14:paraId="31AE5071" w14:textId="77777777" w:rsidR="00592982" w:rsidRDefault="00592982" w:rsidP="00592982">
    <w:pPr>
      <w:pStyle w:val="affc"/>
      <w:jc w:val="center"/>
      <w:rPr>
        <w:rFonts w:cs="Guttman Hodes"/>
        <w:b/>
        <w:bCs/>
        <w:sz w:val="28"/>
        <w:szCs w:val="28"/>
      </w:rPr>
    </w:pPr>
    <w:r>
      <w:rPr>
        <w:rFonts w:cs="Guttman Hodes" w:hint="cs"/>
        <w:b/>
        <w:bCs/>
        <w:sz w:val="28"/>
        <w:szCs w:val="28"/>
        <w:rtl/>
      </w:rPr>
      <w:t>משנתם</w:t>
    </w:r>
    <w:r>
      <w:rPr>
        <w:rFonts w:cs="Guttman Hodes" w:hint="cs"/>
        <w:b/>
        <w:bCs/>
        <w:color w:val="FFFFFF" w:themeColor="background1"/>
        <w:sz w:val="28"/>
        <w:szCs w:val="28"/>
        <w:rtl/>
      </w:rPr>
      <w:ptab w:relativeTo="margin" w:alignment="center" w:leader="middleDot"/>
    </w:r>
    <w:r>
      <w:rPr>
        <w:rFonts w:cs="Guttman Hodes" w:hint="cs"/>
        <w:b/>
        <w:bCs/>
        <w:color w:val="FFFFFF" w:themeColor="background1"/>
        <w:sz w:val="28"/>
        <w:szCs w:val="28"/>
        <w:rtl/>
      </w:rPr>
      <w:t xml:space="preserve"> </w:t>
    </w:r>
    <w:r>
      <w:rPr>
        <w:rFonts w:cs="Guttman Hodes" w:hint="cs"/>
        <w:b/>
        <w:bCs/>
        <w:sz w:val="28"/>
        <w:szCs w:val="28"/>
        <w:rtl/>
      </w:rPr>
      <w:t>סדורה</w:t>
    </w:r>
  </w:p>
  <w:p w14:paraId="0750D7D8" w14:textId="77777777" w:rsidR="00592982" w:rsidRDefault="00592982" w:rsidP="00592982">
    <w:pPr>
      <w:pStyle w:val="affc"/>
      <w:jc w:val="center"/>
      <w:rPr>
        <w:rFonts w:cs="Guttman Hodes"/>
        <w:sz w:val="14"/>
        <w:szCs w:val="14"/>
        <w:rtl/>
      </w:rPr>
    </w:pPr>
    <w:r w:rsidRPr="00686723">
      <w:rPr>
        <w:rFonts w:cs="Guttman Hodes"/>
        <w:sz w:val="14"/>
        <w:szCs w:val="14"/>
        <w:rtl/>
      </w:rPr>
      <w:t>סימן ו' בסוגיא דבורר (ב') - בגדר בורר באוכל מאוכל</w:t>
    </w:r>
  </w:p>
  <w:p w14:paraId="43753650" w14:textId="77777777" w:rsidR="00592982" w:rsidRDefault="00592982" w:rsidP="00592982">
    <w:pPr>
      <w:pStyle w:val="affc"/>
      <w:jc w:val="center"/>
      <w:rPr>
        <w:rFonts w:cs="Guttman Hodes"/>
        <w:sz w:val="14"/>
        <w:szCs w:val="14"/>
        <w:rtl/>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B32E3" w14:textId="77777777" w:rsidR="00592982" w:rsidRPr="00181149" w:rsidRDefault="00592982" w:rsidP="00E715EF">
    <w:pPr>
      <w:pStyle w:val="affc"/>
      <w:jc w:val="right"/>
      <w:rPr>
        <w:rFonts w:cs="Guttman Hodes"/>
        <w:sz w:val="14"/>
        <w:szCs w:val="14"/>
        <w:rtl/>
      </w:rPr>
    </w:pPr>
    <w:r>
      <w:rPr>
        <w:rFonts w:cs="Guttman Hodes" w:hint="cs"/>
        <w:sz w:val="14"/>
        <w:szCs w:val="14"/>
        <w:rtl/>
      </w:rPr>
      <w:t>שבת</w:t>
    </w:r>
    <w:r w:rsidRPr="00BB0C9F">
      <w:rPr>
        <w:rFonts w:cs="Guttman Hodes"/>
        <w:sz w:val="14"/>
        <w:szCs w:val="14"/>
        <w:rtl/>
      </w:rPr>
      <w:t xml:space="preserve"> דף</w:t>
    </w:r>
    <w:r>
      <w:rPr>
        <w:rFonts w:cs="Guttman Hodes" w:hint="cs"/>
        <w:sz w:val="14"/>
        <w:szCs w:val="14"/>
        <w:rtl/>
      </w:rPr>
      <w:t xml:space="preserve">  ע"ד ע"א</w:t>
    </w:r>
  </w:p>
  <w:p w14:paraId="4BBC0921" w14:textId="77777777" w:rsidR="00592982" w:rsidRDefault="00592982" w:rsidP="00C83122">
    <w:pPr>
      <w:pStyle w:val="affc"/>
      <w:jc w:val="center"/>
      <w:rPr>
        <w:rFonts w:cs="Guttman Hodes"/>
        <w:b/>
        <w:bCs/>
        <w:sz w:val="28"/>
        <w:szCs w:val="28"/>
      </w:rPr>
    </w:pPr>
    <w:r>
      <w:rPr>
        <w:rFonts w:cs="Guttman Hodes" w:hint="cs"/>
        <w:b/>
        <w:bCs/>
        <w:sz w:val="28"/>
        <w:szCs w:val="28"/>
        <w:rtl/>
      </w:rPr>
      <w:t>משנתם</w:t>
    </w:r>
    <w:r w:rsidRPr="005B62A6">
      <w:rPr>
        <w:rFonts w:cs="Guttman Hodes" w:hint="cs"/>
        <w:b/>
        <w:bCs/>
        <w:color w:val="FFFFFF"/>
        <w:sz w:val="28"/>
        <w:szCs w:val="28"/>
        <w:rtl/>
      </w:rPr>
      <w:ptab w:relativeTo="margin" w:alignment="center" w:leader="middleDot"/>
    </w:r>
    <w:r w:rsidRPr="005B62A6">
      <w:rPr>
        <w:rFonts w:cs="Guttman Hodes" w:hint="cs"/>
        <w:b/>
        <w:bCs/>
        <w:color w:val="FFFFFF"/>
        <w:sz w:val="28"/>
        <w:szCs w:val="28"/>
        <w:rtl/>
      </w:rPr>
      <w:t xml:space="preserve"> </w:t>
    </w:r>
    <w:r>
      <w:rPr>
        <w:rFonts w:cs="Guttman Hodes" w:hint="cs"/>
        <w:b/>
        <w:bCs/>
        <w:sz w:val="28"/>
        <w:szCs w:val="28"/>
        <w:rtl/>
      </w:rPr>
      <w:t>סדורה</w:t>
    </w:r>
  </w:p>
  <w:p w14:paraId="07B70897" w14:textId="77777777" w:rsidR="00592982" w:rsidRDefault="00592982" w:rsidP="00C83122">
    <w:pPr>
      <w:pStyle w:val="affc"/>
      <w:jc w:val="center"/>
      <w:rPr>
        <w:rFonts w:cs="Guttman Hodes"/>
        <w:sz w:val="14"/>
        <w:szCs w:val="14"/>
        <w:rtl/>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97990" w14:textId="77777777" w:rsidR="00592982" w:rsidRDefault="00592982">
    <w:pPr>
      <w:pStyle w:val="affc"/>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9AD42" w14:textId="77777777" w:rsidR="00592982" w:rsidRPr="00181149" w:rsidRDefault="00592982" w:rsidP="00A65234">
    <w:pPr>
      <w:pStyle w:val="affc"/>
      <w:jc w:val="right"/>
      <w:rPr>
        <w:rFonts w:cs="Guttman Hodes"/>
        <w:sz w:val="14"/>
        <w:szCs w:val="14"/>
        <w:rtl/>
      </w:rPr>
    </w:pPr>
    <w:r>
      <w:rPr>
        <w:rFonts w:cs="Guttman Hodes" w:hint="cs"/>
        <w:sz w:val="14"/>
        <w:szCs w:val="14"/>
        <w:rtl/>
      </w:rPr>
      <w:t>שבת</w:t>
    </w:r>
    <w:r w:rsidRPr="00BB0C9F">
      <w:rPr>
        <w:rFonts w:cs="Guttman Hodes"/>
        <w:sz w:val="14"/>
        <w:szCs w:val="14"/>
        <w:rtl/>
      </w:rPr>
      <w:t xml:space="preserve"> דף</w:t>
    </w:r>
    <w:r>
      <w:rPr>
        <w:rFonts w:cs="Guttman Hodes" w:hint="cs"/>
        <w:sz w:val="14"/>
        <w:szCs w:val="14"/>
        <w:rtl/>
      </w:rPr>
      <w:t xml:space="preserve">  ע"ד ע"א</w:t>
    </w:r>
  </w:p>
  <w:p w14:paraId="4C287C24" w14:textId="77777777" w:rsidR="00592982" w:rsidRDefault="00592982" w:rsidP="00C83122">
    <w:pPr>
      <w:pStyle w:val="affc"/>
      <w:jc w:val="center"/>
      <w:rPr>
        <w:rFonts w:cs="Guttman Hodes"/>
        <w:b/>
        <w:bCs/>
        <w:sz w:val="28"/>
        <w:szCs w:val="28"/>
      </w:rPr>
    </w:pPr>
    <w:r>
      <w:rPr>
        <w:rFonts w:cs="Guttman Hodes" w:hint="cs"/>
        <w:b/>
        <w:bCs/>
        <w:sz w:val="28"/>
        <w:szCs w:val="28"/>
        <w:rtl/>
      </w:rPr>
      <w:t>משנתם</w:t>
    </w:r>
    <w:r>
      <w:rPr>
        <w:rFonts w:cs="Guttman Hodes" w:hint="cs"/>
        <w:b/>
        <w:bCs/>
        <w:color w:val="FFFFFF" w:themeColor="background1"/>
        <w:sz w:val="28"/>
        <w:szCs w:val="28"/>
        <w:rtl/>
      </w:rPr>
      <w:ptab w:relativeTo="margin" w:alignment="center" w:leader="middleDot"/>
    </w:r>
    <w:r>
      <w:rPr>
        <w:rFonts w:cs="Guttman Hodes" w:hint="cs"/>
        <w:b/>
        <w:bCs/>
        <w:color w:val="FFFFFF" w:themeColor="background1"/>
        <w:sz w:val="28"/>
        <w:szCs w:val="28"/>
        <w:rtl/>
      </w:rPr>
      <w:t xml:space="preserve"> </w:t>
    </w:r>
    <w:r>
      <w:rPr>
        <w:rFonts w:cs="Guttman Hodes" w:hint="cs"/>
        <w:b/>
        <w:bCs/>
        <w:sz w:val="28"/>
        <w:szCs w:val="28"/>
        <w:rtl/>
      </w:rPr>
      <w:t>סדורה</w:t>
    </w:r>
  </w:p>
  <w:p w14:paraId="482F4FA3" w14:textId="77777777" w:rsidR="00592982" w:rsidRDefault="00592982" w:rsidP="00C83122">
    <w:pPr>
      <w:pStyle w:val="affc"/>
      <w:jc w:val="center"/>
      <w:rPr>
        <w:rFonts w:cs="Guttman Hodes"/>
        <w:sz w:val="14"/>
        <w:szCs w:val="14"/>
        <w:rtl/>
      </w:rPr>
    </w:pPr>
    <w:r w:rsidRPr="00686723">
      <w:rPr>
        <w:rFonts w:cs="Guttman Hodes"/>
        <w:sz w:val="14"/>
        <w:szCs w:val="14"/>
        <w:rtl/>
      </w:rPr>
      <w:t>סימן ו' בסוגיא דבורר (ב') - בגדר בורר באוכל מאוכל</w:t>
    </w:r>
  </w:p>
  <w:p w14:paraId="5A0F02E5" w14:textId="77777777" w:rsidR="00592982" w:rsidRDefault="00592982" w:rsidP="00C83122">
    <w:pPr>
      <w:pStyle w:val="affc"/>
      <w:jc w:val="center"/>
      <w:rPr>
        <w:rFonts w:cs="Guttman Hodes"/>
        <w:sz w:val="14"/>
        <w:szCs w:val="14"/>
        <w:rtl/>
      </w:rP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B65D6" w14:textId="77777777" w:rsidR="00592982" w:rsidRPr="00181149" w:rsidRDefault="00592982" w:rsidP="00C83122">
    <w:pPr>
      <w:pStyle w:val="affc"/>
      <w:jc w:val="right"/>
      <w:rPr>
        <w:rFonts w:cs="Guttman Hodes"/>
        <w:sz w:val="14"/>
        <w:szCs w:val="14"/>
        <w:rtl/>
      </w:rPr>
    </w:pPr>
    <w:r>
      <w:rPr>
        <w:rFonts w:cs="Guttman Hodes" w:hint="cs"/>
        <w:sz w:val="14"/>
        <w:szCs w:val="14"/>
        <w:rtl/>
      </w:rPr>
      <w:t>ב"ב</w:t>
    </w:r>
    <w:r w:rsidRPr="00BB0C9F">
      <w:rPr>
        <w:rFonts w:cs="Guttman Hodes"/>
        <w:sz w:val="14"/>
        <w:szCs w:val="14"/>
        <w:rtl/>
      </w:rPr>
      <w:t xml:space="preserve"> דף</w:t>
    </w:r>
    <w:r>
      <w:rPr>
        <w:rFonts w:cs="Guttman Hodes"/>
        <w:sz w:val="14"/>
        <w:szCs w:val="14"/>
        <w:rtl/>
      </w:rPr>
      <w:t xml:space="preserve"> </w:t>
    </w:r>
  </w:p>
  <w:p w14:paraId="3A8EB77B" w14:textId="77777777" w:rsidR="00592982" w:rsidRDefault="00592982" w:rsidP="00C83122">
    <w:pPr>
      <w:pStyle w:val="affc"/>
      <w:jc w:val="center"/>
      <w:rPr>
        <w:rFonts w:cs="Guttman Hodes"/>
        <w:b/>
        <w:bCs/>
        <w:sz w:val="28"/>
        <w:szCs w:val="28"/>
      </w:rPr>
    </w:pPr>
    <w:r>
      <w:rPr>
        <w:rFonts w:cs="Guttman Hodes" w:hint="cs"/>
        <w:b/>
        <w:bCs/>
        <w:sz w:val="28"/>
        <w:szCs w:val="28"/>
        <w:rtl/>
      </w:rPr>
      <w:t>משנתם</w:t>
    </w:r>
    <w:r>
      <w:rPr>
        <w:rFonts w:cs="Guttman Hodes" w:hint="cs"/>
        <w:b/>
        <w:bCs/>
        <w:color w:val="FFFFFF" w:themeColor="background1"/>
        <w:sz w:val="28"/>
        <w:szCs w:val="28"/>
        <w:rtl/>
      </w:rPr>
      <w:ptab w:relativeTo="margin" w:alignment="center" w:leader="middleDot"/>
    </w:r>
    <w:r>
      <w:rPr>
        <w:rFonts w:cs="Guttman Hodes" w:hint="cs"/>
        <w:b/>
        <w:bCs/>
        <w:color w:val="FFFFFF" w:themeColor="background1"/>
        <w:sz w:val="28"/>
        <w:szCs w:val="28"/>
        <w:rtl/>
      </w:rPr>
      <w:t xml:space="preserve"> </w:t>
    </w:r>
    <w:r>
      <w:rPr>
        <w:rFonts w:cs="Guttman Hodes" w:hint="cs"/>
        <w:b/>
        <w:bCs/>
        <w:sz w:val="28"/>
        <w:szCs w:val="28"/>
        <w:rtl/>
      </w:rPr>
      <w:t>סדורה</w:t>
    </w:r>
  </w:p>
  <w:p w14:paraId="1021C387" w14:textId="77777777" w:rsidR="00592982" w:rsidRDefault="00592982" w:rsidP="00C83122">
    <w:pPr>
      <w:pStyle w:val="affc"/>
      <w:jc w:val="center"/>
      <w:rPr>
        <w:rFonts w:cs="Guttman Hodes"/>
        <w:sz w:val="14"/>
        <w:szCs w:val="14"/>
        <w:rtl/>
      </w:rPr>
    </w:pPr>
  </w:p>
  <w:p w14:paraId="7A56BD59" w14:textId="77777777" w:rsidR="00592982" w:rsidRDefault="00592982" w:rsidP="00C83122">
    <w:pPr>
      <w:pStyle w:val="affc"/>
      <w:jc w:val="center"/>
      <w:rPr>
        <w:rFonts w:cs="Guttman Hodes"/>
        <w:sz w:val="14"/>
        <w:szCs w:val="14"/>
        <w:rtl/>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14A15" w14:textId="77777777" w:rsidR="00517541" w:rsidRPr="00181149" w:rsidRDefault="00517541" w:rsidP="00517541">
    <w:pPr>
      <w:pStyle w:val="affc"/>
      <w:jc w:val="right"/>
      <w:rPr>
        <w:rFonts w:cs="Guttman Hodes"/>
        <w:sz w:val="14"/>
        <w:szCs w:val="14"/>
        <w:rtl/>
      </w:rPr>
    </w:pPr>
    <w:r>
      <w:rPr>
        <w:rFonts w:cs="Guttman Hodes" w:hint="cs"/>
        <w:sz w:val="14"/>
        <w:szCs w:val="14"/>
        <w:rtl/>
      </w:rPr>
      <w:t>שבת</w:t>
    </w:r>
    <w:r w:rsidRPr="00BB0C9F">
      <w:rPr>
        <w:rFonts w:cs="Guttman Hodes"/>
        <w:sz w:val="14"/>
        <w:szCs w:val="14"/>
        <w:rtl/>
      </w:rPr>
      <w:t xml:space="preserve"> דף</w:t>
    </w:r>
    <w:r>
      <w:rPr>
        <w:rFonts w:cs="Guttman Hodes" w:hint="cs"/>
        <w:sz w:val="14"/>
        <w:szCs w:val="14"/>
        <w:rtl/>
      </w:rPr>
      <w:t xml:space="preserve">  ע"ד ע"א</w:t>
    </w:r>
  </w:p>
  <w:p w14:paraId="3653DC4C" w14:textId="77777777" w:rsidR="00517541" w:rsidRDefault="00517541" w:rsidP="00517541">
    <w:pPr>
      <w:pStyle w:val="affc"/>
      <w:jc w:val="center"/>
      <w:rPr>
        <w:rFonts w:cs="Guttman Hodes"/>
        <w:b/>
        <w:bCs/>
        <w:sz w:val="28"/>
        <w:szCs w:val="28"/>
      </w:rPr>
    </w:pPr>
    <w:r>
      <w:rPr>
        <w:rFonts w:cs="Guttman Hodes" w:hint="cs"/>
        <w:b/>
        <w:bCs/>
        <w:sz w:val="28"/>
        <w:szCs w:val="28"/>
        <w:rtl/>
      </w:rPr>
      <w:t>משנתם</w:t>
    </w:r>
    <w:r>
      <w:rPr>
        <w:rFonts w:cs="Guttman Hodes" w:hint="cs"/>
        <w:b/>
        <w:bCs/>
        <w:color w:val="FFFFFF" w:themeColor="background1"/>
        <w:sz w:val="28"/>
        <w:szCs w:val="28"/>
        <w:rtl/>
      </w:rPr>
      <w:ptab w:relativeTo="margin" w:alignment="center" w:leader="middleDot"/>
    </w:r>
    <w:r>
      <w:rPr>
        <w:rFonts w:cs="Guttman Hodes" w:hint="cs"/>
        <w:b/>
        <w:bCs/>
        <w:color w:val="FFFFFF" w:themeColor="background1"/>
        <w:sz w:val="28"/>
        <w:szCs w:val="28"/>
        <w:rtl/>
      </w:rPr>
      <w:t xml:space="preserve"> </w:t>
    </w:r>
    <w:r>
      <w:rPr>
        <w:rFonts w:cs="Guttman Hodes" w:hint="cs"/>
        <w:b/>
        <w:bCs/>
        <w:sz w:val="28"/>
        <w:szCs w:val="28"/>
        <w:rtl/>
      </w:rPr>
      <w:t>סדורה</w:t>
    </w:r>
  </w:p>
  <w:p w14:paraId="4A373330" w14:textId="77777777" w:rsidR="00517541" w:rsidRDefault="00517541" w:rsidP="00517541">
    <w:pPr>
      <w:pStyle w:val="affc"/>
      <w:jc w:val="center"/>
      <w:rPr>
        <w:rFonts w:cs="Guttman Hodes"/>
        <w:sz w:val="14"/>
        <w:szCs w:val="14"/>
        <w:rtl/>
      </w:rPr>
    </w:pPr>
    <w:r w:rsidRPr="00AE69C9">
      <w:rPr>
        <w:rFonts w:cs="Guttman Hodes"/>
        <w:sz w:val="14"/>
        <w:szCs w:val="14"/>
        <w:rtl/>
      </w:rPr>
      <w:t>סימן ז' בסוגיא דבורר (ג') - סיכום עיקרי שיטות הראשונים בהיתרים בבורר</w:t>
    </w:r>
  </w:p>
  <w:p w14:paraId="42B3A1A3" w14:textId="77777777" w:rsidR="00517541" w:rsidRDefault="00517541" w:rsidP="00517541">
    <w:pPr>
      <w:pStyle w:val="affc"/>
      <w:jc w:val="center"/>
      <w:rPr>
        <w:rFonts w:cs="Guttman Hodes"/>
        <w:sz w:val="14"/>
        <w:szCs w:val="14"/>
        <w:rtl/>
      </w:rP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80DB1" w14:textId="77777777" w:rsidR="008925FD" w:rsidRPr="00181149" w:rsidRDefault="008925FD" w:rsidP="00E715EF">
    <w:pPr>
      <w:pStyle w:val="affc"/>
      <w:jc w:val="right"/>
      <w:rPr>
        <w:rFonts w:cs="Guttman Hodes"/>
        <w:sz w:val="14"/>
        <w:szCs w:val="14"/>
        <w:rtl/>
      </w:rPr>
    </w:pPr>
    <w:r>
      <w:rPr>
        <w:rFonts w:cs="Guttman Hodes" w:hint="cs"/>
        <w:sz w:val="14"/>
        <w:szCs w:val="14"/>
        <w:rtl/>
      </w:rPr>
      <w:t>שבת</w:t>
    </w:r>
    <w:r w:rsidRPr="00BB0C9F">
      <w:rPr>
        <w:rFonts w:cs="Guttman Hodes"/>
        <w:sz w:val="14"/>
        <w:szCs w:val="14"/>
        <w:rtl/>
      </w:rPr>
      <w:t xml:space="preserve"> דף</w:t>
    </w:r>
    <w:r>
      <w:rPr>
        <w:rFonts w:cs="Guttman Hodes" w:hint="cs"/>
        <w:sz w:val="14"/>
        <w:szCs w:val="14"/>
        <w:rtl/>
      </w:rPr>
      <w:t xml:space="preserve">  ע"ד ע"א</w:t>
    </w:r>
  </w:p>
  <w:p w14:paraId="77422520" w14:textId="77777777" w:rsidR="008925FD" w:rsidRDefault="008925FD" w:rsidP="00C83122">
    <w:pPr>
      <w:pStyle w:val="affc"/>
      <w:jc w:val="center"/>
      <w:rPr>
        <w:rFonts w:cs="Guttman Hodes"/>
        <w:b/>
        <w:bCs/>
        <w:sz w:val="28"/>
        <w:szCs w:val="28"/>
      </w:rPr>
    </w:pPr>
    <w:r>
      <w:rPr>
        <w:rFonts w:cs="Guttman Hodes" w:hint="cs"/>
        <w:b/>
        <w:bCs/>
        <w:sz w:val="28"/>
        <w:szCs w:val="28"/>
        <w:rtl/>
      </w:rPr>
      <w:t>משנתם</w:t>
    </w:r>
    <w:r w:rsidRPr="005B62A6">
      <w:rPr>
        <w:rFonts w:cs="Guttman Hodes" w:hint="cs"/>
        <w:b/>
        <w:bCs/>
        <w:color w:val="FFFFFF"/>
        <w:sz w:val="28"/>
        <w:szCs w:val="28"/>
        <w:rtl/>
      </w:rPr>
      <w:ptab w:relativeTo="margin" w:alignment="center" w:leader="middleDot"/>
    </w:r>
    <w:r w:rsidRPr="005B62A6">
      <w:rPr>
        <w:rFonts w:cs="Guttman Hodes" w:hint="cs"/>
        <w:b/>
        <w:bCs/>
        <w:color w:val="FFFFFF"/>
        <w:sz w:val="28"/>
        <w:szCs w:val="28"/>
        <w:rtl/>
      </w:rPr>
      <w:t xml:space="preserve"> </w:t>
    </w:r>
    <w:r>
      <w:rPr>
        <w:rFonts w:cs="Guttman Hodes" w:hint="cs"/>
        <w:b/>
        <w:bCs/>
        <w:sz w:val="28"/>
        <w:szCs w:val="28"/>
        <w:rtl/>
      </w:rPr>
      <w:t>סדורה</w:t>
    </w:r>
  </w:p>
  <w:p w14:paraId="3F97370F" w14:textId="77777777" w:rsidR="008925FD" w:rsidRDefault="008925FD" w:rsidP="00C83122">
    <w:pPr>
      <w:pStyle w:val="affc"/>
      <w:jc w:val="center"/>
      <w:rPr>
        <w:rFonts w:cs="Guttman Hodes"/>
        <w:sz w:val="14"/>
        <w:szCs w:val="14"/>
        <w:rtl/>
      </w:rP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28436" w14:textId="77777777" w:rsidR="008925FD" w:rsidRDefault="008925FD">
    <w:pPr>
      <w:pStyle w:val="affc"/>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01406" w14:textId="77777777" w:rsidR="008925FD" w:rsidRPr="00181149" w:rsidRDefault="008925FD" w:rsidP="00A65234">
    <w:pPr>
      <w:pStyle w:val="affc"/>
      <w:jc w:val="right"/>
      <w:rPr>
        <w:rFonts w:cs="Guttman Hodes"/>
        <w:sz w:val="14"/>
        <w:szCs w:val="14"/>
        <w:rtl/>
      </w:rPr>
    </w:pPr>
    <w:r>
      <w:rPr>
        <w:rFonts w:cs="Guttman Hodes" w:hint="cs"/>
        <w:sz w:val="14"/>
        <w:szCs w:val="14"/>
        <w:rtl/>
      </w:rPr>
      <w:t>שבת</w:t>
    </w:r>
    <w:r w:rsidRPr="00BB0C9F">
      <w:rPr>
        <w:rFonts w:cs="Guttman Hodes"/>
        <w:sz w:val="14"/>
        <w:szCs w:val="14"/>
        <w:rtl/>
      </w:rPr>
      <w:t xml:space="preserve"> דף</w:t>
    </w:r>
    <w:r>
      <w:rPr>
        <w:rFonts w:cs="Guttman Hodes" w:hint="cs"/>
        <w:sz w:val="14"/>
        <w:szCs w:val="14"/>
        <w:rtl/>
      </w:rPr>
      <w:t xml:space="preserve">  ע"ד ע"א</w:t>
    </w:r>
  </w:p>
  <w:p w14:paraId="1B5D212B" w14:textId="77777777" w:rsidR="008925FD" w:rsidRDefault="008925FD" w:rsidP="00C83122">
    <w:pPr>
      <w:pStyle w:val="affc"/>
      <w:jc w:val="center"/>
      <w:rPr>
        <w:rFonts w:cs="Guttman Hodes"/>
        <w:b/>
        <w:bCs/>
        <w:sz w:val="28"/>
        <w:szCs w:val="28"/>
      </w:rPr>
    </w:pPr>
    <w:r>
      <w:rPr>
        <w:rFonts w:cs="Guttman Hodes" w:hint="cs"/>
        <w:b/>
        <w:bCs/>
        <w:sz w:val="28"/>
        <w:szCs w:val="28"/>
        <w:rtl/>
      </w:rPr>
      <w:t>משנתם</w:t>
    </w:r>
    <w:r>
      <w:rPr>
        <w:rFonts w:cs="Guttman Hodes" w:hint="cs"/>
        <w:b/>
        <w:bCs/>
        <w:color w:val="FFFFFF" w:themeColor="background1"/>
        <w:sz w:val="28"/>
        <w:szCs w:val="28"/>
        <w:rtl/>
      </w:rPr>
      <w:ptab w:relativeTo="margin" w:alignment="center" w:leader="middleDot"/>
    </w:r>
    <w:r>
      <w:rPr>
        <w:rFonts w:cs="Guttman Hodes" w:hint="cs"/>
        <w:b/>
        <w:bCs/>
        <w:color w:val="FFFFFF" w:themeColor="background1"/>
        <w:sz w:val="28"/>
        <w:szCs w:val="28"/>
        <w:rtl/>
      </w:rPr>
      <w:t xml:space="preserve"> </w:t>
    </w:r>
    <w:r>
      <w:rPr>
        <w:rFonts w:cs="Guttman Hodes" w:hint="cs"/>
        <w:b/>
        <w:bCs/>
        <w:sz w:val="28"/>
        <w:szCs w:val="28"/>
        <w:rtl/>
      </w:rPr>
      <w:t>סדורה</w:t>
    </w:r>
  </w:p>
  <w:p w14:paraId="5ECE332E" w14:textId="77777777" w:rsidR="008925FD" w:rsidRDefault="008925FD" w:rsidP="00C83122">
    <w:pPr>
      <w:pStyle w:val="affc"/>
      <w:jc w:val="center"/>
      <w:rPr>
        <w:rFonts w:cs="Guttman Hodes"/>
        <w:sz w:val="14"/>
        <w:szCs w:val="14"/>
        <w:rtl/>
      </w:rPr>
    </w:pPr>
    <w:r w:rsidRPr="00AE69C9">
      <w:rPr>
        <w:rFonts w:cs="Guttman Hodes"/>
        <w:sz w:val="14"/>
        <w:szCs w:val="14"/>
        <w:rtl/>
      </w:rPr>
      <w:t>סימן ז' בסוגיא דבורר (ג') - סיכום עיקרי שיטות הראשונים בהיתרים בבורר</w:t>
    </w:r>
  </w:p>
  <w:p w14:paraId="278E4D45" w14:textId="77777777" w:rsidR="008925FD" w:rsidRDefault="008925FD" w:rsidP="00C83122">
    <w:pPr>
      <w:pStyle w:val="affc"/>
      <w:jc w:val="center"/>
      <w:rPr>
        <w:rFonts w:cs="Guttman Hodes"/>
        <w:sz w:val="14"/>
        <w:szCs w:val="14"/>
        <w:rtl/>
      </w:rP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B1CD1" w14:textId="77777777" w:rsidR="008925FD" w:rsidRPr="00181149" w:rsidRDefault="008925FD" w:rsidP="00C83122">
    <w:pPr>
      <w:pStyle w:val="affc"/>
      <w:jc w:val="right"/>
      <w:rPr>
        <w:rFonts w:cs="Guttman Hodes"/>
        <w:sz w:val="14"/>
        <w:szCs w:val="14"/>
        <w:rtl/>
      </w:rPr>
    </w:pPr>
    <w:r>
      <w:rPr>
        <w:rFonts w:cs="Guttman Hodes" w:hint="cs"/>
        <w:sz w:val="14"/>
        <w:szCs w:val="14"/>
        <w:rtl/>
      </w:rPr>
      <w:t>ב"ב</w:t>
    </w:r>
    <w:r w:rsidRPr="00BB0C9F">
      <w:rPr>
        <w:rFonts w:cs="Guttman Hodes"/>
        <w:sz w:val="14"/>
        <w:szCs w:val="14"/>
        <w:rtl/>
      </w:rPr>
      <w:t xml:space="preserve"> דף</w:t>
    </w:r>
    <w:r>
      <w:rPr>
        <w:rFonts w:cs="Guttman Hodes"/>
        <w:sz w:val="14"/>
        <w:szCs w:val="14"/>
        <w:rtl/>
      </w:rPr>
      <w:t xml:space="preserve"> </w:t>
    </w:r>
  </w:p>
  <w:p w14:paraId="122D4842" w14:textId="77777777" w:rsidR="008925FD" w:rsidRDefault="008925FD" w:rsidP="00C83122">
    <w:pPr>
      <w:pStyle w:val="affc"/>
      <w:jc w:val="center"/>
      <w:rPr>
        <w:rFonts w:cs="Guttman Hodes"/>
        <w:b/>
        <w:bCs/>
        <w:sz w:val="28"/>
        <w:szCs w:val="28"/>
      </w:rPr>
    </w:pPr>
    <w:r>
      <w:rPr>
        <w:rFonts w:cs="Guttman Hodes" w:hint="cs"/>
        <w:b/>
        <w:bCs/>
        <w:sz w:val="28"/>
        <w:szCs w:val="28"/>
        <w:rtl/>
      </w:rPr>
      <w:t>משנתם</w:t>
    </w:r>
    <w:r>
      <w:rPr>
        <w:rFonts w:cs="Guttman Hodes" w:hint="cs"/>
        <w:b/>
        <w:bCs/>
        <w:color w:val="FFFFFF" w:themeColor="background1"/>
        <w:sz w:val="28"/>
        <w:szCs w:val="28"/>
        <w:rtl/>
      </w:rPr>
      <w:ptab w:relativeTo="margin" w:alignment="center" w:leader="middleDot"/>
    </w:r>
    <w:r>
      <w:rPr>
        <w:rFonts w:cs="Guttman Hodes" w:hint="cs"/>
        <w:b/>
        <w:bCs/>
        <w:color w:val="FFFFFF" w:themeColor="background1"/>
        <w:sz w:val="28"/>
        <w:szCs w:val="28"/>
        <w:rtl/>
      </w:rPr>
      <w:t xml:space="preserve"> </w:t>
    </w:r>
    <w:r>
      <w:rPr>
        <w:rFonts w:cs="Guttman Hodes" w:hint="cs"/>
        <w:b/>
        <w:bCs/>
        <w:sz w:val="28"/>
        <w:szCs w:val="28"/>
        <w:rtl/>
      </w:rPr>
      <w:t>סדורה</w:t>
    </w:r>
  </w:p>
  <w:p w14:paraId="6E39C6A5" w14:textId="77777777" w:rsidR="008925FD" w:rsidRDefault="008925FD" w:rsidP="00C83122">
    <w:pPr>
      <w:pStyle w:val="affc"/>
      <w:jc w:val="center"/>
      <w:rPr>
        <w:rFonts w:cs="Guttman Hodes"/>
        <w:sz w:val="14"/>
        <w:szCs w:val="14"/>
        <w:rtl/>
      </w:rPr>
    </w:pPr>
  </w:p>
  <w:p w14:paraId="39868A66" w14:textId="77777777" w:rsidR="008925FD" w:rsidRDefault="008925FD" w:rsidP="00C83122">
    <w:pPr>
      <w:pStyle w:val="affc"/>
      <w:jc w:val="center"/>
      <w:rPr>
        <w:rFonts w:cs="Guttman Hodes"/>
        <w:sz w:val="14"/>
        <w:szCs w:val="14"/>
        <w:rtl/>
      </w:rP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17E5E" w14:textId="77777777" w:rsidR="00E625A4" w:rsidRPr="00181149" w:rsidRDefault="00E625A4" w:rsidP="00E625A4">
    <w:pPr>
      <w:pStyle w:val="affc"/>
      <w:jc w:val="right"/>
      <w:rPr>
        <w:rFonts w:cs="Guttman Hodes"/>
        <w:sz w:val="14"/>
        <w:szCs w:val="14"/>
        <w:rtl/>
      </w:rPr>
    </w:pPr>
    <w:r>
      <w:rPr>
        <w:rFonts w:cs="Guttman Hodes" w:hint="cs"/>
        <w:sz w:val="14"/>
        <w:szCs w:val="14"/>
        <w:rtl/>
      </w:rPr>
      <w:t>שבת</w:t>
    </w:r>
    <w:r w:rsidRPr="00BB0C9F">
      <w:rPr>
        <w:rFonts w:cs="Guttman Hodes"/>
        <w:sz w:val="14"/>
        <w:szCs w:val="14"/>
        <w:rtl/>
      </w:rPr>
      <w:t xml:space="preserve"> דף</w:t>
    </w:r>
    <w:r>
      <w:rPr>
        <w:rFonts w:cs="Guttman Hodes" w:hint="cs"/>
        <w:sz w:val="14"/>
        <w:szCs w:val="14"/>
        <w:rtl/>
      </w:rPr>
      <w:t xml:space="preserve">  צ"ג ע"ב ק"ו ע"א ק"ז ע"ב</w:t>
    </w:r>
  </w:p>
  <w:p w14:paraId="7399B1B7" w14:textId="77777777" w:rsidR="00E625A4" w:rsidRDefault="00E625A4" w:rsidP="00E625A4">
    <w:pPr>
      <w:pStyle w:val="affc"/>
      <w:jc w:val="center"/>
      <w:rPr>
        <w:rFonts w:cs="Guttman Hodes"/>
        <w:b/>
        <w:bCs/>
        <w:sz w:val="28"/>
        <w:szCs w:val="28"/>
      </w:rPr>
    </w:pPr>
    <w:r>
      <w:rPr>
        <w:rFonts w:cs="Guttman Hodes" w:hint="cs"/>
        <w:b/>
        <w:bCs/>
        <w:sz w:val="28"/>
        <w:szCs w:val="28"/>
        <w:rtl/>
      </w:rPr>
      <w:t>משנתם</w:t>
    </w:r>
    <w:r>
      <w:rPr>
        <w:rFonts w:cs="Guttman Hodes" w:hint="cs"/>
        <w:b/>
        <w:bCs/>
        <w:color w:val="FFFFFF" w:themeColor="background1"/>
        <w:sz w:val="28"/>
        <w:szCs w:val="28"/>
        <w:rtl/>
      </w:rPr>
      <w:ptab w:relativeTo="margin" w:alignment="center" w:leader="middleDot"/>
    </w:r>
    <w:r>
      <w:rPr>
        <w:rFonts w:cs="Guttman Hodes" w:hint="cs"/>
        <w:b/>
        <w:bCs/>
        <w:color w:val="FFFFFF" w:themeColor="background1"/>
        <w:sz w:val="28"/>
        <w:szCs w:val="28"/>
        <w:rtl/>
      </w:rPr>
      <w:t xml:space="preserve"> </w:t>
    </w:r>
    <w:r>
      <w:rPr>
        <w:rFonts w:cs="Guttman Hodes" w:hint="cs"/>
        <w:b/>
        <w:bCs/>
        <w:sz w:val="28"/>
        <w:szCs w:val="28"/>
        <w:rtl/>
      </w:rPr>
      <w:t>סדורה</w:t>
    </w:r>
  </w:p>
  <w:p w14:paraId="6A43A3F4" w14:textId="77777777" w:rsidR="00E625A4" w:rsidRDefault="00E625A4" w:rsidP="00E625A4">
    <w:pPr>
      <w:pStyle w:val="affc"/>
      <w:jc w:val="center"/>
      <w:rPr>
        <w:rFonts w:cs="Guttman Hodes"/>
        <w:sz w:val="14"/>
        <w:szCs w:val="14"/>
        <w:rtl/>
      </w:rPr>
    </w:pPr>
    <w:r w:rsidRPr="00F23118">
      <w:rPr>
        <w:rFonts w:cs="Guttman Hodes"/>
        <w:sz w:val="14"/>
        <w:szCs w:val="14"/>
        <w:rtl/>
      </w:rPr>
      <w:t>סימן ח' בסוגיא דמלאכה שאינה צריכה לגופה (א') - בביאור ד' רש"י אי אינו רוצה במלאכה או דא"צ שתשאר ההנאה ממנה</w:t>
    </w:r>
  </w:p>
  <w:p w14:paraId="3FF5A5D3" w14:textId="77777777" w:rsidR="00E625A4" w:rsidRDefault="00E625A4" w:rsidP="00E625A4">
    <w:pPr>
      <w:pStyle w:val="affc"/>
      <w:jc w:val="center"/>
      <w:rPr>
        <w:rFonts w:cs="Guttman Hodes"/>
        <w:sz w:val="14"/>
        <w:szCs w:val="14"/>
        <w:rtl/>
      </w:rP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5EA60" w14:textId="77777777" w:rsidR="002748A5" w:rsidRPr="00181149" w:rsidRDefault="002748A5" w:rsidP="00F23118">
    <w:pPr>
      <w:pStyle w:val="affc"/>
      <w:jc w:val="right"/>
      <w:rPr>
        <w:rFonts w:cs="Guttman Hodes"/>
        <w:sz w:val="14"/>
        <w:szCs w:val="14"/>
        <w:rtl/>
      </w:rPr>
    </w:pPr>
    <w:r>
      <w:rPr>
        <w:rFonts w:cs="Guttman Hodes" w:hint="cs"/>
        <w:sz w:val="14"/>
        <w:szCs w:val="14"/>
        <w:rtl/>
      </w:rPr>
      <w:t>שבת</w:t>
    </w:r>
    <w:r w:rsidRPr="00BB0C9F">
      <w:rPr>
        <w:rFonts w:cs="Guttman Hodes"/>
        <w:sz w:val="14"/>
        <w:szCs w:val="14"/>
        <w:rtl/>
      </w:rPr>
      <w:t xml:space="preserve"> דף</w:t>
    </w:r>
    <w:r>
      <w:rPr>
        <w:rFonts w:cs="Guttman Hodes" w:hint="cs"/>
        <w:sz w:val="14"/>
        <w:szCs w:val="14"/>
        <w:rtl/>
      </w:rPr>
      <w:t xml:space="preserve">  צ"ג ע"ב ק"ו ע"א ק"ז ע"ב</w:t>
    </w:r>
  </w:p>
  <w:p w14:paraId="473D51E5" w14:textId="77777777" w:rsidR="002748A5" w:rsidRDefault="002748A5" w:rsidP="00C83122">
    <w:pPr>
      <w:pStyle w:val="affc"/>
      <w:jc w:val="center"/>
      <w:rPr>
        <w:rFonts w:cs="Guttman Hodes"/>
        <w:b/>
        <w:bCs/>
        <w:sz w:val="28"/>
        <w:szCs w:val="28"/>
      </w:rPr>
    </w:pPr>
    <w:r>
      <w:rPr>
        <w:rFonts w:cs="Guttman Hodes" w:hint="cs"/>
        <w:b/>
        <w:bCs/>
        <w:sz w:val="28"/>
        <w:szCs w:val="28"/>
        <w:rtl/>
      </w:rPr>
      <w:t>משנתם</w:t>
    </w:r>
    <w:r w:rsidRPr="005B62A6">
      <w:rPr>
        <w:rFonts w:cs="Guttman Hodes" w:hint="cs"/>
        <w:b/>
        <w:bCs/>
        <w:color w:val="FFFFFF"/>
        <w:sz w:val="28"/>
        <w:szCs w:val="28"/>
        <w:rtl/>
      </w:rPr>
      <w:ptab w:relativeTo="margin" w:alignment="center" w:leader="middleDot"/>
    </w:r>
    <w:r w:rsidRPr="005B62A6">
      <w:rPr>
        <w:rFonts w:cs="Guttman Hodes" w:hint="cs"/>
        <w:b/>
        <w:bCs/>
        <w:color w:val="FFFFFF"/>
        <w:sz w:val="28"/>
        <w:szCs w:val="28"/>
        <w:rtl/>
      </w:rPr>
      <w:t xml:space="preserve"> </w:t>
    </w:r>
    <w:r>
      <w:rPr>
        <w:rFonts w:cs="Guttman Hodes" w:hint="cs"/>
        <w:b/>
        <w:bCs/>
        <w:sz w:val="28"/>
        <w:szCs w:val="28"/>
        <w:rtl/>
      </w:rPr>
      <w:t>סדורה</w:t>
    </w:r>
  </w:p>
  <w:p w14:paraId="167BA30C" w14:textId="77777777" w:rsidR="002748A5" w:rsidRDefault="002748A5" w:rsidP="00C83122">
    <w:pPr>
      <w:pStyle w:val="affc"/>
      <w:jc w:val="center"/>
      <w:rPr>
        <w:rFonts w:cs="Guttman Hodes"/>
        <w:sz w:val="14"/>
        <w:szCs w:val="14"/>
        <w:rtl/>
      </w:rP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95FFA8" w14:textId="77777777" w:rsidR="002748A5" w:rsidRDefault="002748A5">
    <w:pPr>
      <w:pStyle w:val="affc"/>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E69C2" w14:textId="77777777" w:rsidR="002748A5" w:rsidRPr="00181149" w:rsidRDefault="002748A5" w:rsidP="00F23118">
    <w:pPr>
      <w:pStyle w:val="affc"/>
      <w:jc w:val="right"/>
      <w:rPr>
        <w:rFonts w:cs="Guttman Hodes"/>
        <w:sz w:val="14"/>
        <w:szCs w:val="14"/>
        <w:rtl/>
      </w:rPr>
    </w:pPr>
    <w:bookmarkStart w:id="2887" w:name="_Hlk119255784"/>
    <w:bookmarkStart w:id="2888" w:name="_Hlk119255785"/>
    <w:r>
      <w:rPr>
        <w:rFonts w:cs="Guttman Hodes" w:hint="cs"/>
        <w:sz w:val="14"/>
        <w:szCs w:val="14"/>
        <w:rtl/>
      </w:rPr>
      <w:t>שבת</w:t>
    </w:r>
    <w:r w:rsidRPr="00BB0C9F">
      <w:rPr>
        <w:rFonts w:cs="Guttman Hodes"/>
        <w:sz w:val="14"/>
        <w:szCs w:val="14"/>
        <w:rtl/>
      </w:rPr>
      <w:t xml:space="preserve"> דף</w:t>
    </w:r>
    <w:r>
      <w:rPr>
        <w:rFonts w:cs="Guttman Hodes" w:hint="cs"/>
        <w:sz w:val="14"/>
        <w:szCs w:val="14"/>
        <w:rtl/>
      </w:rPr>
      <w:t xml:space="preserve">  צ"ג ע"ב ק"ו ע"א ק"ז ע"ב</w:t>
    </w:r>
  </w:p>
  <w:p w14:paraId="2A2C15BD" w14:textId="77777777" w:rsidR="002748A5" w:rsidRDefault="002748A5" w:rsidP="00C83122">
    <w:pPr>
      <w:pStyle w:val="affc"/>
      <w:jc w:val="center"/>
      <w:rPr>
        <w:rFonts w:cs="Guttman Hodes"/>
        <w:b/>
        <w:bCs/>
        <w:sz w:val="28"/>
        <w:szCs w:val="28"/>
      </w:rPr>
    </w:pPr>
    <w:r>
      <w:rPr>
        <w:rFonts w:cs="Guttman Hodes" w:hint="cs"/>
        <w:b/>
        <w:bCs/>
        <w:sz w:val="28"/>
        <w:szCs w:val="28"/>
        <w:rtl/>
      </w:rPr>
      <w:t>משנתם</w:t>
    </w:r>
    <w:r>
      <w:rPr>
        <w:rFonts w:cs="Guttman Hodes" w:hint="cs"/>
        <w:b/>
        <w:bCs/>
        <w:color w:val="FFFFFF" w:themeColor="background1"/>
        <w:sz w:val="28"/>
        <w:szCs w:val="28"/>
        <w:rtl/>
      </w:rPr>
      <w:ptab w:relativeTo="margin" w:alignment="center" w:leader="middleDot"/>
    </w:r>
    <w:r>
      <w:rPr>
        <w:rFonts w:cs="Guttman Hodes" w:hint="cs"/>
        <w:b/>
        <w:bCs/>
        <w:color w:val="FFFFFF" w:themeColor="background1"/>
        <w:sz w:val="28"/>
        <w:szCs w:val="28"/>
        <w:rtl/>
      </w:rPr>
      <w:t xml:space="preserve"> </w:t>
    </w:r>
    <w:r>
      <w:rPr>
        <w:rFonts w:cs="Guttman Hodes" w:hint="cs"/>
        <w:b/>
        <w:bCs/>
        <w:sz w:val="28"/>
        <w:szCs w:val="28"/>
        <w:rtl/>
      </w:rPr>
      <w:t>סדורה</w:t>
    </w:r>
  </w:p>
  <w:bookmarkEnd w:id="2887"/>
  <w:bookmarkEnd w:id="2888"/>
  <w:p w14:paraId="784ABA77" w14:textId="77777777" w:rsidR="002748A5" w:rsidRDefault="002748A5" w:rsidP="00C83122">
    <w:pPr>
      <w:pStyle w:val="affc"/>
      <w:jc w:val="center"/>
      <w:rPr>
        <w:rFonts w:cs="Guttman Hodes"/>
        <w:sz w:val="14"/>
        <w:szCs w:val="14"/>
        <w:rtl/>
      </w:rPr>
    </w:pPr>
    <w:r w:rsidRPr="00F23118">
      <w:rPr>
        <w:rFonts w:cs="Guttman Hodes"/>
        <w:sz w:val="14"/>
        <w:szCs w:val="14"/>
        <w:rtl/>
      </w:rPr>
      <w:t>סימן ח' בסוגיא דמלאכה שאינה צריכה לגופה (א') - בביאור ד' רש"י אי אינו רוצה במלאכה או דא"צ שתשאר ההנאה ממנה</w:t>
    </w:r>
  </w:p>
  <w:p w14:paraId="65E05A05" w14:textId="77777777" w:rsidR="002748A5" w:rsidRDefault="002748A5" w:rsidP="00C83122">
    <w:pPr>
      <w:pStyle w:val="affc"/>
      <w:jc w:val="center"/>
      <w:rPr>
        <w:rFonts w:cs="Guttman Hodes"/>
        <w:sz w:val="14"/>
        <w:szCs w:val="14"/>
        <w:rtl/>
      </w:rP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896D9" w14:textId="77777777" w:rsidR="002748A5" w:rsidRPr="00181149" w:rsidRDefault="002748A5" w:rsidP="00C83122">
    <w:pPr>
      <w:pStyle w:val="affc"/>
      <w:jc w:val="right"/>
      <w:rPr>
        <w:rFonts w:cs="Guttman Hodes"/>
        <w:sz w:val="14"/>
        <w:szCs w:val="14"/>
        <w:rtl/>
      </w:rPr>
    </w:pPr>
    <w:r>
      <w:rPr>
        <w:rFonts w:cs="Guttman Hodes" w:hint="cs"/>
        <w:sz w:val="14"/>
        <w:szCs w:val="14"/>
        <w:rtl/>
      </w:rPr>
      <w:t>ב"ב</w:t>
    </w:r>
    <w:r w:rsidRPr="00BB0C9F">
      <w:rPr>
        <w:rFonts w:cs="Guttman Hodes"/>
        <w:sz w:val="14"/>
        <w:szCs w:val="14"/>
        <w:rtl/>
      </w:rPr>
      <w:t xml:space="preserve"> דף</w:t>
    </w:r>
    <w:r>
      <w:rPr>
        <w:rFonts w:cs="Guttman Hodes"/>
        <w:sz w:val="14"/>
        <w:szCs w:val="14"/>
        <w:rtl/>
      </w:rPr>
      <w:t xml:space="preserve"> </w:t>
    </w:r>
  </w:p>
  <w:p w14:paraId="050FBB85" w14:textId="77777777" w:rsidR="002748A5" w:rsidRDefault="002748A5" w:rsidP="00C83122">
    <w:pPr>
      <w:pStyle w:val="affc"/>
      <w:jc w:val="center"/>
      <w:rPr>
        <w:rFonts w:cs="Guttman Hodes"/>
        <w:b/>
        <w:bCs/>
        <w:sz w:val="28"/>
        <w:szCs w:val="28"/>
      </w:rPr>
    </w:pPr>
    <w:r>
      <w:rPr>
        <w:rFonts w:cs="Guttman Hodes" w:hint="cs"/>
        <w:b/>
        <w:bCs/>
        <w:sz w:val="28"/>
        <w:szCs w:val="28"/>
        <w:rtl/>
      </w:rPr>
      <w:t>משנתם</w:t>
    </w:r>
    <w:r>
      <w:rPr>
        <w:rFonts w:cs="Guttman Hodes" w:hint="cs"/>
        <w:b/>
        <w:bCs/>
        <w:color w:val="FFFFFF" w:themeColor="background1"/>
        <w:sz w:val="28"/>
        <w:szCs w:val="28"/>
        <w:rtl/>
      </w:rPr>
      <w:ptab w:relativeTo="margin" w:alignment="center" w:leader="middleDot"/>
    </w:r>
    <w:r>
      <w:rPr>
        <w:rFonts w:cs="Guttman Hodes" w:hint="cs"/>
        <w:b/>
        <w:bCs/>
        <w:color w:val="FFFFFF" w:themeColor="background1"/>
        <w:sz w:val="28"/>
        <w:szCs w:val="28"/>
        <w:rtl/>
      </w:rPr>
      <w:t xml:space="preserve"> </w:t>
    </w:r>
    <w:r>
      <w:rPr>
        <w:rFonts w:cs="Guttman Hodes" w:hint="cs"/>
        <w:b/>
        <w:bCs/>
        <w:sz w:val="28"/>
        <w:szCs w:val="28"/>
        <w:rtl/>
      </w:rPr>
      <w:t>סדורה</w:t>
    </w:r>
  </w:p>
  <w:p w14:paraId="47998D62" w14:textId="77777777" w:rsidR="002748A5" w:rsidRDefault="002748A5" w:rsidP="00C83122">
    <w:pPr>
      <w:pStyle w:val="affc"/>
      <w:jc w:val="center"/>
      <w:rPr>
        <w:rFonts w:cs="Guttman Hodes"/>
        <w:sz w:val="14"/>
        <w:szCs w:val="14"/>
        <w:rtl/>
      </w:rPr>
    </w:pPr>
  </w:p>
  <w:p w14:paraId="68D1C34D" w14:textId="77777777" w:rsidR="002748A5" w:rsidRDefault="002748A5" w:rsidP="00C83122">
    <w:pPr>
      <w:pStyle w:val="affc"/>
      <w:jc w:val="center"/>
      <w:rPr>
        <w:rFonts w:cs="Guttman Hodes"/>
        <w:sz w:val="14"/>
        <w:szCs w:val="14"/>
        <w:rtl/>
      </w:rP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6BED4" w14:textId="77777777" w:rsidR="00E625A4" w:rsidRPr="00181149" w:rsidRDefault="00E625A4" w:rsidP="00F23118">
    <w:pPr>
      <w:pStyle w:val="affc"/>
      <w:jc w:val="right"/>
      <w:rPr>
        <w:rFonts w:cs="Guttman Hodes"/>
        <w:sz w:val="14"/>
        <w:szCs w:val="14"/>
        <w:rtl/>
      </w:rPr>
    </w:pPr>
    <w:r>
      <w:rPr>
        <w:rFonts w:cs="Guttman Hodes" w:hint="cs"/>
        <w:sz w:val="14"/>
        <w:szCs w:val="14"/>
        <w:rtl/>
      </w:rPr>
      <w:t>שבת</w:t>
    </w:r>
    <w:r w:rsidRPr="00BB0C9F">
      <w:rPr>
        <w:rFonts w:cs="Guttman Hodes"/>
        <w:sz w:val="14"/>
        <w:szCs w:val="14"/>
        <w:rtl/>
      </w:rPr>
      <w:t xml:space="preserve"> דף</w:t>
    </w:r>
    <w:r>
      <w:rPr>
        <w:rFonts w:cs="Guttman Hodes" w:hint="cs"/>
        <w:sz w:val="14"/>
        <w:szCs w:val="14"/>
        <w:rtl/>
      </w:rPr>
      <w:t xml:space="preserve">  צ"ג ע"ב ק"ו ע"א ק"ז ע"ב</w:t>
    </w:r>
  </w:p>
  <w:p w14:paraId="0FC390ED" w14:textId="77777777" w:rsidR="00E625A4" w:rsidRDefault="00E625A4" w:rsidP="00C83122">
    <w:pPr>
      <w:pStyle w:val="affc"/>
      <w:jc w:val="center"/>
      <w:rPr>
        <w:rFonts w:cs="Guttman Hodes"/>
        <w:b/>
        <w:bCs/>
        <w:sz w:val="28"/>
        <w:szCs w:val="28"/>
      </w:rPr>
    </w:pPr>
    <w:r>
      <w:rPr>
        <w:rFonts w:cs="Guttman Hodes" w:hint="cs"/>
        <w:b/>
        <w:bCs/>
        <w:sz w:val="28"/>
        <w:szCs w:val="28"/>
        <w:rtl/>
      </w:rPr>
      <w:t>משנתם</w:t>
    </w:r>
    <w:r>
      <w:rPr>
        <w:rFonts w:cs="Guttman Hodes" w:hint="cs"/>
        <w:b/>
        <w:bCs/>
        <w:color w:val="FFFFFF" w:themeColor="background1"/>
        <w:sz w:val="28"/>
        <w:szCs w:val="28"/>
        <w:rtl/>
      </w:rPr>
      <w:ptab w:relativeTo="margin" w:alignment="center" w:leader="middleDot"/>
    </w:r>
    <w:r>
      <w:rPr>
        <w:rFonts w:cs="Guttman Hodes" w:hint="cs"/>
        <w:b/>
        <w:bCs/>
        <w:color w:val="FFFFFF" w:themeColor="background1"/>
        <w:sz w:val="28"/>
        <w:szCs w:val="28"/>
        <w:rtl/>
      </w:rPr>
      <w:t xml:space="preserve"> </w:t>
    </w:r>
    <w:r>
      <w:rPr>
        <w:rFonts w:cs="Guttman Hodes" w:hint="cs"/>
        <w:b/>
        <w:bCs/>
        <w:sz w:val="28"/>
        <w:szCs w:val="28"/>
        <w:rtl/>
      </w:rPr>
      <w:t>סדורה</w:t>
    </w:r>
  </w:p>
  <w:p w14:paraId="5C9B99A1" w14:textId="77777777" w:rsidR="00E625A4" w:rsidRDefault="00E625A4" w:rsidP="00C83122">
    <w:pPr>
      <w:pStyle w:val="affc"/>
      <w:jc w:val="center"/>
      <w:rPr>
        <w:rFonts w:cs="Guttman Hodes"/>
        <w:sz w:val="14"/>
        <w:szCs w:val="14"/>
        <w:rtl/>
      </w:rPr>
    </w:pPr>
    <w:r w:rsidRPr="00F23118">
      <w:rPr>
        <w:rFonts w:cs="Guttman Hodes"/>
        <w:sz w:val="14"/>
        <w:szCs w:val="14"/>
        <w:rtl/>
      </w:rPr>
      <w:t>סימן ח' בסוגיא דמלאכה שאינה צריכה לגופה (א') - בביאור ד' רש"י אי אינו רוצה במלאכה או דא"צ שתשאר ההנאה ממנה</w:t>
    </w:r>
  </w:p>
  <w:p w14:paraId="5861A4E8" w14:textId="77777777" w:rsidR="00E625A4" w:rsidRDefault="00E625A4" w:rsidP="00C83122">
    <w:pPr>
      <w:pStyle w:val="affc"/>
      <w:jc w:val="center"/>
      <w:rPr>
        <w:rFonts w:cs="Guttman Hodes"/>
        <w:sz w:val="14"/>
        <w:szCs w:val="14"/>
        <w:rtl/>
      </w:rP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08263" w14:textId="77777777" w:rsidR="00274E65" w:rsidRPr="00181149" w:rsidRDefault="00274E65" w:rsidP="00274E65">
    <w:pPr>
      <w:pStyle w:val="affc"/>
      <w:jc w:val="right"/>
      <w:rPr>
        <w:rFonts w:cs="Guttman Hodes"/>
        <w:sz w:val="14"/>
        <w:szCs w:val="14"/>
        <w:rtl/>
      </w:rPr>
    </w:pPr>
    <w:r>
      <w:rPr>
        <w:rFonts w:cs="Guttman Hodes" w:hint="cs"/>
        <w:sz w:val="14"/>
        <w:szCs w:val="14"/>
        <w:rtl/>
      </w:rPr>
      <w:t>שבת</w:t>
    </w:r>
    <w:r w:rsidRPr="00BB0C9F">
      <w:rPr>
        <w:rFonts w:cs="Guttman Hodes"/>
        <w:sz w:val="14"/>
        <w:szCs w:val="14"/>
        <w:rtl/>
      </w:rPr>
      <w:t xml:space="preserve"> דף</w:t>
    </w:r>
    <w:r>
      <w:rPr>
        <w:rFonts w:cs="Guttman Hodes" w:hint="cs"/>
        <w:sz w:val="14"/>
        <w:szCs w:val="14"/>
        <w:rtl/>
      </w:rPr>
      <w:t xml:space="preserve">  צ"ג ע"ב ק"ו ע"א ק"ז ע"ב</w:t>
    </w:r>
  </w:p>
  <w:p w14:paraId="25A6F412" w14:textId="77777777" w:rsidR="00274E65" w:rsidRDefault="00274E65" w:rsidP="00274E65">
    <w:pPr>
      <w:pStyle w:val="affc"/>
      <w:jc w:val="center"/>
      <w:rPr>
        <w:rFonts w:cs="Guttman Hodes"/>
        <w:b/>
        <w:bCs/>
        <w:sz w:val="28"/>
        <w:szCs w:val="28"/>
      </w:rPr>
    </w:pPr>
    <w:r>
      <w:rPr>
        <w:rFonts w:cs="Guttman Hodes" w:hint="cs"/>
        <w:b/>
        <w:bCs/>
        <w:sz w:val="28"/>
        <w:szCs w:val="28"/>
        <w:rtl/>
      </w:rPr>
      <w:t>משנתם</w:t>
    </w:r>
    <w:r>
      <w:rPr>
        <w:rFonts w:cs="Guttman Hodes" w:hint="cs"/>
        <w:b/>
        <w:bCs/>
        <w:color w:val="FFFFFF" w:themeColor="background1"/>
        <w:sz w:val="28"/>
        <w:szCs w:val="28"/>
        <w:rtl/>
      </w:rPr>
      <w:ptab w:relativeTo="margin" w:alignment="center" w:leader="middleDot"/>
    </w:r>
    <w:r>
      <w:rPr>
        <w:rFonts w:cs="Guttman Hodes" w:hint="cs"/>
        <w:b/>
        <w:bCs/>
        <w:color w:val="FFFFFF" w:themeColor="background1"/>
        <w:sz w:val="28"/>
        <w:szCs w:val="28"/>
        <w:rtl/>
      </w:rPr>
      <w:t xml:space="preserve"> </w:t>
    </w:r>
    <w:r>
      <w:rPr>
        <w:rFonts w:cs="Guttman Hodes" w:hint="cs"/>
        <w:b/>
        <w:bCs/>
        <w:sz w:val="28"/>
        <w:szCs w:val="28"/>
        <w:rtl/>
      </w:rPr>
      <w:t>סדורה</w:t>
    </w:r>
  </w:p>
  <w:p w14:paraId="10EE23CB" w14:textId="77777777" w:rsidR="00274E65" w:rsidRDefault="00274E65" w:rsidP="00274E65">
    <w:pPr>
      <w:pStyle w:val="affc"/>
      <w:jc w:val="center"/>
      <w:rPr>
        <w:rFonts w:cs="Guttman Hodes"/>
        <w:sz w:val="14"/>
        <w:szCs w:val="14"/>
        <w:rtl/>
      </w:rPr>
    </w:pPr>
    <w:r w:rsidRPr="00F23118">
      <w:rPr>
        <w:rFonts w:cs="Guttman Hodes"/>
        <w:sz w:val="14"/>
        <w:szCs w:val="14"/>
        <w:rtl/>
      </w:rPr>
      <w:t xml:space="preserve">סימן </w:t>
    </w:r>
    <w:r>
      <w:rPr>
        <w:rFonts w:cs="Guttman Hodes" w:hint="cs"/>
        <w:sz w:val="14"/>
        <w:szCs w:val="14"/>
        <w:rtl/>
      </w:rPr>
      <w:t>ט</w:t>
    </w:r>
    <w:r w:rsidRPr="00F23118">
      <w:rPr>
        <w:rFonts w:cs="Guttman Hodes"/>
        <w:sz w:val="14"/>
        <w:szCs w:val="14"/>
        <w:rtl/>
      </w:rPr>
      <w:t>' בסוגיא דמלאכה שאינה צריכה לגופה (</w:t>
    </w:r>
    <w:r>
      <w:rPr>
        <w:rFonts w:cs="Guttman Hodes" w:hint="cs"/>
        <w:sz w:val="14"/>
        <w:szCs w:val="14"/>
        <w:rtl/>
      </w:rPr>
      <w:t>ב'</w:t>
    </w:r>
    <w:r w:rsidRPr="00F23118">
      <w:rPr>
        <w:rFonts w:cs="Guttman Hodes"/>
        <w:sz w:val="14"/>
        <w:szCs w:val="14"/>
        <w:rtl/>
      </w:rPr>
      <w:t xml:space="preserve">) - </w:t>
    </w:r>
    <w:r w:rsidRPr="00274E65">
      <w:rPr>
        <w:rFonts w:cs="Guttman Hodes"/>
        <w:sz w:val="14"/>
        <w:szCs w:val="14"/>
        <w:rtl/>
      </w:rPr>
      <w:t>בביאור דעת התוס' דמשאצל"ג הוא בלא דמי לצורך שהיה במשכן</w:t>
    </w:r>
  </w:p>
  <w:p w14:paraId="1ADFE0A4" w14:textId="77777777" w:rsidR="00274E65" w:rsidRDefault="00274E65" w:rsidP="00274E65">
    <w:pPr>
      <w:pStyle w:val="affc"/>
      <w:jc w:val="center"/>
      <w:rPr>
        <w:rFonts w:cs="Guttman Hodes"/>
        <w:sz w:val="14"/>
        <w:szCs w:val="14"/>
        <w:rtl/>
      </w:rP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CE721" w14:textId="77777777" w:rsidR="002748A5" w:rsidRPr="00181149" w:rsidRDefault="002748A5" w:rsidP="0037578E">
    <w:pPr>
      <w:pStyle w:val="affc"/>
      <w:jc w:val="right"/>
      <w:rPr>
        <w:rFonts w:cs="Guttman Hodes"/>
        <w:sz w:val="14"/>
        <w:szCs w:val="14"/>
        <w:rtl/>
      </w:rPr>
    </w:pPr>
    <w:r>
      <w:rPr>
        <w:rFonts w:cs="Guttman Hodes" w:hint="cs"/>
        <w:sz w:val="14"/>
        <w:szCs w:val="14"/>
        <w:rtl/>
      </w:rPr>
      <w:t>שבת</w:t>
    </w:r>
    <w:r w:rsidRPr="00BB0C9F">
      <w:rPr>
        <w:rFonts w:cs="Guttman Hodes"/>
        <w:sz w:val="14"/>
        <w:szCs w:val="14"/>
        <w:rtl/>
      </w:rPr>
      <w:t xml:space="preserve"> דף</w:t>
    </w:r>
    <w:r>
      <w:rPr>
        <w:rFonts w:cs="Guttman Hodes" w:hint="cs"/>
        <w:sz w:val="14"/>
        <w:szCs w:val="14"/>
        <w:rtl/>
      </w:rPr>
      <w:t xml:space="preserve">  ע"ה ע"א צ"ד ע"א ק"ו ע"א ק"ז ע"ב</w:t>
    </w:r>
  </w:p>
  <w:p w14:paraId="4C4BA179" w14:textId="77777777" w:rsidR="002748A5" w:rsidRDefault="002748A5" w:rsidP="00C83122">
    <w:pPr>
      <w:pStyle w:val="affc"/>
      <w:jc w:val="center"/>
      <w:rPr>
        <w:rFonts w:cs="Guttman Hodes"/>
        <w:b/>
        <w:bCs/>
        <w:sz w:val="28"/>
        <w:szCs w:val="28"/>
      </w:rPr>
    </w:pPr>
    <w:r>
      <w:rPr>
        <w:rFonts w:cs="Guttman Hodes" w:hint="cs"/>
        <w:b/>
        <w:bCs/>
        <w:sz w:val="28"/>
        <w:szCs w:val="28"/>
        <w:rtl/>
      </w:rPr>
      <w:t>משנתם</w:t>
    </w:r>
    <w:r w:rsidRPr="005B62A6">
      <w:rPr>
        <w:rFonts w:cs="Guttman Hodes" w:hint="cs"/>
        <w:b/>
        <w:bCs/>
        <w:color w:val="FFFFFF"/>
        <w:sz w:val="28"/>
        <w:szCs w:val="28"/>
        <w:rtl/>
      </w:rPr>
      <w:ptab w:relativeTo="margin" w:alignment="center" w:leader="middleDot"/>
    </w:r>
    <w:r w:rsidRPr="005B62A6">
      <w:rPr>
        <w:rFonts w:cs="Guttman Hodes" w:hint="cs"/>
        <w:b/>
        <w:bCs/>
        <w:color w:val="FFFFFF"/>
        <w:sz w:val="28"/>
        <w:szCs w:val="28"/>
        <w:rtl/>
      </w:rPr>
      <w:t xml:space="preserve"> </w:t>
    </w:r>
    <w:r>
      <w:rPr>
        <w:rFonts w:cs="Guttman Hodes" w:hint="cs"/>
        <w:b/>
        <w:bCs/>
        <w:sz w:val="28"/>
        <w:szCs w:val="28"/>
        <w:rtl/>
      </w:rPr>
      <w:t>סדורה</w:t>
    </w:r>
  </w:p>
  <w:p w14:paraId="0C7E798C" w14:textId="77777777" w:rsidR="002748A5" w:rsidRDefault="002748A5" w:rsidP="00C83122">
    <w:pPr>
      <w:pStyle w:val="affc"/>
      <w:jc w:val="center"/>
      <w:rPr>
        <w:rFonts w:cs="Guttman Hodes"/>
        <w:sz w:val="14"/>
        <w:szCs w:val="14"/>
        <w:rtl/>
      </w:rP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780B0" w14:textId="77777777" w:rsidR="002748A5" w:rsidRDefault="002748A5">
    <w:pPr>
      <w:pStyle w:val="affc"/>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05AEA" w14:textId="77777777" w:rsidR="00E625A4" w:rsidRPr="00181149" w:rsidRDefault="00E625A4" w:rsidP="00E625A4">
    <w:pPr>
      <w:pStyle w:val="affc"/>
      <w:jc w:val="right"/>
      <w:rPr>
        <w:rFonts w:cs="Guttman Hodes"/>
        <w:sz w:val="14"/>
        <w:szCs w:val="14"/>
        <w:rtl/>
      </w:rPr>
    </w:pPr>
    <w:r>
      <w:rPr>
        <w:rFonts w:cs="Guttman Hodes" w:hint="cs"/>
        <w:sz w:val="14"/>
        <w:szCs w:val="14"/>
        <w:rtl/>
      </w:rPr>
      <w:t>שבת</w:t>
    </w:r>
    <w:r w:rsidRPr="00BB0C9F">
      <w:rPr>
        <w:rFonts w:cs="Guttman Hodes"/>
        <w:sz w:val="14"/>
        <w:szCs w:val="14"/>
        <w:rtl/>
      </w:rPr>
      <w:t xml:space="preserve"> דף</w:t>
    </w:r>
    <w:r>
      <w:rPr>
        <w:rFonts w:cs="Guttman Hodes" w:hint="cs"/>
        <w:sz w:val="14"/>
        <w:szCs w:val="14"/>
        <w:rtl/>
      </w:rPr>
      <w:t xml:space="preserve">  צ"ג ע"ב ק"ו ע"א ק"ז ע"ב</w:t>
    </w:r>
  </w:p>
  <w:p w14:paraId="5CBC86AB" w14:textId="77777777" w:rsidR="00E625A4" w:rsidRDefault="00E625A4" w:rsidP="00E625A4">
    <w:pPr>
      <w:pStyle w:val="affc"/>
      <w:jc w:val="center"/>
      <w:rPr>
        <w:rFonts w:cs="Guttman Hodes"/>
        <w:b/>
        <w:bCs/>
        <w:sz w:val="28"/>
        <w:szCs w:val="28"/>
      </w:rPr>
    </w:pPr>
    <w:r>
      <w:rPr>
        <w:rFonts w:cs="Guttman Hodes" w:hint="cs"/>
        <w:b/>
        <w:bCs/>
        <w:sz w:val="28"/>
        <w:szCs w:val="28"/>
        <w:rtl/>
      </w:rPr>
      <w:t>משנתם</w:t>
    </w:r>
    <w:r>
      <w:rPr>
        <w:rFonts w:cs="Guttman Hodes" w:hint="cs"/>
        <w:b/>
        <w:bCs/>
        <w:color w:val="FFFFFF" w:themeColor="background1"/>
        <w:sz w:val="28"/>
        <w:szCs w:val="28"/>
        <w:rtl/>
      </w:rPr>
      <w:ptab w:relativeTo="margin" w:alignment="center" w:leader="middleDot"/>
    </w:r>
    <w:r>
      <w:rPr>
        <w:rFonts w:cs="Guttman Hodes" w:hint="cs"/>
        <w:b/>
        <w:bCs/>
        <w:color w:val="FFFFFF" w:themeColor="background1"/>
        <w:sz w:val="28"/>
        <w:szCs w:val="28"/>
        <w:rtl/>
      </w:rPr>
      <w:t xml:space="preserve"> </w:t>
    </w:r>
    <w:r>
      <w:rPr>
        <w:rFonts w:cs="Guttman Hodes" w:hint="cs"/>
        <w:b/>
        <w:bCs/>
        <w:sz w:val="28"/>
        <w:szCs w:val="28"/>
        <w:rtl/>
      </w:rPr>
      <w:t>סדורה</w:t>
    </w:r>
  </w:p>
  <w:p w14:paraId="478728C9" w14:textId="765AC931" w:rsidR="00E625A4" w:rsidRDefault="00E625A4" w:rsidP="00E625A4">
    <w:pPr>
      <w:pStyle w:val="affc"/>
      <w:jc w:val="center"/>
      <w:rPr>
        <w:rFonts w:cs="Guttman Hodes"/>
        <w:sz w:val="14"/>
        <w:szCs w:val="14"/>
        <w:rtl/>
      </w:rPr>
    </w:pPr>
    <w:r w:rsidRPr="00F23118">
      <w:rPr>
        <w:rFonts w:cs="Guttman Hodes"/>
        <w:sz w:val="14"/>
        <w:szCs w:val="14"/>
        <w:rtl/>
      </w:rPr>
      <w:t xml:space="preserve">סימן </w:t>
    </w:r>
    <w:r w:rsidR="00274E65">
      <w:rPr>
        <w:rFonts w:cs="Guttman Hodes" w:hint="cs"/>
        <w:sz w:val="14"/>
        <w:szCs w:val="14"/>
        <w:rtl/>
      </w:rPr>
      <w:t>ט</w:t>
    </w:r>
    <w:r w:rsidRPr="00F23118">
      <w:rPr>
        <w:rFonts w:cs="Guttman Hodes"/>
        <w:sz w:val="14"/>
        <w:szCs w:val="14"/>
        <w:rtl/>
      </w:rPr>
      <w:t>' בסוגיא דמלאכה שאינה צריכה לגופה (</w:t>
    </w:r>
    <w:r w:rsidR="00274E65">
      <w:rPr>
        <w:rFonts w:cs="Guttman Hodes" w:hint="cs"/>
        <w:sz w:val="14"/>
        <w:szCs w:val="14"/>
        <w:rtl/>
      </w:rPr>
      <w:t>ב'</w:t>
    </w:r>
    <w:r w:rsidRPr="00F23118">
      <w:rPr>
        <w:rFonts w:cs="Guttman Hodes"/>
        <w:sz w:val="14"/>
        <w:szCs w:val="14"/>
        <w:rtl/>
      </w:rPr>
      <w:t xml:space="preserve">) - </w:t>
    </w:r>
    <w:r w:rsidR="00274E65" w:rsidRPr="00274E65">
      <w:rPr>
        <w:rFonts w:cs="Guttman Hodes"/>
        <w:sz w:val="14"/>
        <w:szCs w:val="14"/>
        <w:rtl/>
      </w:rPr>
      <w:t>בביאור דעת התוס' דמשאצל"ג הוא בלא דמי לצורך שהיה במשכן</w:t>
    </w:r>
  </w:p>
  <w:p w14:paraId="2734789E" w14:textId="77777777" w:rsidR="00E625A4" w:rsidRDefault="00E625A4" w:rsidP="00E625A4">
    <w:pPr>
      <w:pStyle w:val="affc"/>
      <w:jc w:val="center"/>
      <w:rPr>
        <w:rFonts w:cs="Guttman Hodes"/>
        <w:sz w:val="14"/>
        <w:szCs w:val="14"/>
        <w:rtl/>
      </w:rP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B06C4" w14:textId="77777777" w:rsidR="002748A5" w:rsidRPr="00181149" w:rsidRDefault="002748A5" w:rsidP="00C83122">
    <w:pPr>
      <w:pStyle w:val="affc"/>
      <w:jc w:val="right"/>
      <w:rPr>
        <w:rFonts w:cs="Guttman Hodes"/>
        <w:sz w:val="14"/>
        <w:szCs w:val="14"/>
        <w:rtl/>
      </w:rPr>
    </w:pPr>
    <w:r>
      <w:rPr>
        <w:rFonts w:cs="Guttman Hodes" w:hint="cs"/>
        <w:sz w:val="14"/>
        <w:szCs w:val="14"/>
        <w:rtl/>
      </w:rPr>
      <w:t>ב"ב</w:t>
    </w:r>
    <w:r w:rsidRPr="00BB0C9F">
      <w:rPr>
        <w:rFonts w:cs="Guttman Hodes"/>
        <w:sz w:val="14"/>
        <w:szCs w:val="14"/>
        <w:rtl/>
      </w:rPr>
      <w:t xml:space="preserve"> דף</w:t>
    </w:r>
    <w:r>
      <w:rPr>
        <w:rFonts w:cs="Guttman Hodes"/>
        <w:sz w:val="14"/>
        <w:szCs w:val="14"/>
        <w:rtl/>
      </w:rPr>
      <w:t xml:space="preserve"> </w:t>
    </w:r>
  </w:p>
  <w:p w14:paraId="408F555C" w14:textId="77777777" w:rsidR="002748A5" w:rsidRDefault="002748A5" w:rsidP="00C83122">
    <w:pPr>
      <w:pStyle w:val="affc"/>
      <w:jc w:val="center"/>
      <w:rPr>
        <w:rFonts w:cs="Guttman Hodes"/>
        <w:b/>
        <w:bCs/>
        <w:sz w:val="28"/>
        <w:szCs w:val="28"/>
      </w:rPr>
    </w:pPr>
    <w:r>
      <w:rPr>
        <w:rFonts w:cs="Guttman Hodes" w:hint="cs"/>
        <w:b/>
        <w:bCs/>
        <w:sz w:val="28"/>
        <w:szCs w:val="28"/>
        <w:rtl/>
      </w:rPr>
      <w:t>משנתם</w:t>
    </w:r>
    <w:r>
      <w:rPr>
        <w:rFonts w:cs="Guttman Hodes" w:hint="cs"/>
        <w:b/>
        <w:bCs/>
        <w:color w:val="FFFFFF" w:themeColor="background1"/>
        <w:sz w:val="28"/>
        <w:szCs w:val="28"/>
        <w:rtl/>
      </w:rPr>
      <w:ptab w:relativeTo="margin" w:alignment="center" w:leader="middleDot"/>
    </w:r>
    <w:r>
      <w:rPr>
        <w:rFonts w:cs="Guttman Hodes" w:hint="cs"/>
        <w:b/>
        <w:bCs/>
        <w:color w:val="FFFFFF" w:themeColor="background1"/>
        <w:sz w:val="28"/>
        <w:szCs w:val="28"/>
        <w:rtl/>
      </w:rPr>
      <w:t xml:space="preserve"> </w:t>
    </w:r>
    <w:r>
      <w:rPr>
        <w:rFonts w:cs="Guttman Hodes" w:hint="cs"/>
        <w:b/>
        <w:bCs/>
        <w:sz w:val="28"/>
        <w:szCs w:val="28"/>
        <w:rtl/>
      </w:rPr>
      <w:t>סדורה</w:t>
    </w:r>
  </w:p>
  <w:p w14:paraId="55CA8130" w14:textId="77777777" w:rsidR="002748A5" w:rsidRDefault="002748A5" w:rsidP="00C83122">
    <w:pPr>
      <w:pStyle w:val="affc"/>
      <w:jc w:val="center"/>
      <w:rPr>
        <w:rFonts w:cs="Guttman Hodes"/>
        <w:sz w:val="14"/>
        <w:szCs w:val="14"/>
        <w:rtl/>
      </w:rPr>
    </w:pPr>
  </w:p>
  <w:p w14:paraId="54CAF550" w14:textId="77777777" w:rsidR="002748A5" w:rsidRDefault="002748A5" w:rsidP="00C83122">
    <w:pPr>
      <w:pStyle w:val="affc"/>
      <w:jc w:val="center"/>
      <w:rPr>
        <w:rFonts w:cs="Guttman Hodes"/>
        <w:sz w:val="14"/>
        <w:szCs w:val="14"/>
        <w:rtl/>
      </w:rP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E4BA" w14:textId="77777777" w:rsidR="00725DCB" w:rsidRPr="00181149" w:rsidRDefault="00725DCB" w:rsidP="00725DCB">
    <w:pPr>
      <w:pStyle w:val="affc"/>
      <w:jc w:val="right"/>
      <w:rPr>
        <w:rFonts w:cs="Guttman Hodes"/>
        <w:sz w:val="14"/>
        <w:szCs w:val="14"/>
        <w:rtl/>
      </w:rPr>
    </w:pPr>
    <w:r>
      <w:rPr>
        <w:rFonts w:cs="Guttman Hodes" w:hint="cs"/>
        <w:sz w:val="14"/>
        <w:szCs w:val="14"/>
        <w:rtl/>
      </w:rPr>
      <w:t>שבת</w:t>
    </w:r>
    <w:r w:rsidRPr="00BB0C9F">
      <w:rPr>
        <w:rFonts w:cs="Guttman Hodes"/>
        <w:sz w:val="14"/>
        <w:szCs w:val="14"/>
        <w:rtl/>
      </w:rPr>
      <w:t xml:space="preserve"> דף</w:t>
    </w:r>
    <w:r>
      <w:rPr>
        <w:rFonts w:cs="Guttman Hodes" w:hint="cs"/>
        <w:sz w:val="14"/>
        <w:szCs w:val="14"/>
        <w:rtl/>
      </w:rPr>
      <w:t xml:space="preserve"> צ"ד ע"א </w:t>
    </w:r>
    <w:r>
      <w:rPr>
        <w:rFonts w:cs="Guttman Hodes"/>
        <w:sz w:val="14"/>
        <w:szCs w:val="14"/>
        <w:rtl/>
      </w:rPr>
      <w:t>–</w:t>
    </w:r>
    <w:r>
      <w:rPr>
        <w:rFonts w:cs="Guttman Hodes" w:hint="cs"/>
        <w:sz w:val="14"/>
        <w:szCs w:val="14"/>
        <w:rtl/>
      </w:rPr>
      <w:t xml:space="preserve"> ק"ו ע"א</w:t>
    </w:r>
  </w:p>
  <w:p w14:paraId="7F748790" w14:textId="77777777" w:rsidR="00725DCB" w:rsidRDefault="00725DCB" w:rsidP="00725DCB">
    <w:pPr>
      <w:pStyle w:val="affc"/>
      <w:jc w:val="center"/>
      <w:rPr>
        <w:rFonts w:cs="Guttman Hodes"/>
        <w:b/>
        <w:bCs/>
        <w:sz w:val="28"/>
        <w:szCs w:val="28"/>
      </w:rPr>
    </w:pPr>
    <w:r>
      <w:rPr>
        <w:rFonts w:cs="Guttman Hodes" w:hint="cs"/>
        <w:b/>
        <w:bCs/>
        <w:sz w:val="28"/>
        <w:szCs w:val="28"/>
        <w:rtl/>
      </w:rPr>
      <w:t>משנתם</w:t>
    </w:r>
    <w:r>
      <w:rPr>
        <w:rFonts w:cs="Guttman Hodes" w:hint="cs"/>
        <w:b/>
        <w:bCs/>
        <w:color w:val="FFFFFF" w:themeColor="background1"/>
        <w:sz w:val="28"/>
        <w:szCs w:val="28"/>
        <w:rtl/>
      </w:rPr>
      <w:ptab w:relativeTo="margin" w:alignment="center" w:leader="middleDot"/>
    </w:r>
    <w:r>
      <w:rPr>
        <w:rFonts w:cs="Guttman Hodes" w:hint="cs"/>
        <w:b/>
        <w:bCs/>
        <w:color w:val="FFFFFF" w:themeColor="background1"/>
        <w:sz w:val="28"/>
        <w:szCs w:val="28"/>
        <w:rtl/>
      </w:rPr>
      <w:t xml:space="preserve"> </w:t>
    </w:r>
    <w:r>
      <w:rPr>
        <w:rFonts w:cs="Guttman Hodes" w:hint="cs"/>
        <w:b/>
        <w:bCs/>
        <w:sz w:val="28"/>
        <w:szCs w:val="28"/>
        <w:rtl/>
      </w:rPr>
      <w:t>סדורה</w:t>
    </w:r>
  </w:p>
  <w:p w14:paraId="348190E8" w14:textId="77777777" w:rsidR="00725DCB" w:rsidRDefault="00725DCB" w:rsidP="00725DCB">
    <w:pPr>
      <w:pStyle w:val="affc"/>
      <w:jc w:val="center"/>
      <w:rPr>
        <w:rFonts w:cs="Guttman Hodes"/>
        <w:sz w:val="14"/>
        <w:szCs w:val="14"/>
        <w:rtl/>
      </w:rPr>
    </w:pPr>
    <w:r w:rsidRPr="00904171">
      <w:rPr>
        <w:rFonts w:cs="Guttman Hodes"/>
        <w:sz w:val="14"/>
        <w:szCs w:val="14"/>
        <w:rtl/>
      </w:rPr>
      <w:t>סימן י' בסוגיא דמלאכה שאינה צריכה לגופה (ג') - בי' הראשונים במשאצל"ג והמתבאר בגדרי משאצל"ג מסוגיא דמקלקל בחבורה</w:t>
    </w:r>
    <w:r w:rsidRPr="004A705E">
      <w:rPr>
        <w:rFonts w:cs="Guttman Hodes"/>
        <w:sz w:val="14"/>
        <w:szCs w:val="14"/>
        <w:rtl/>
      </w:rPr>
      <w:t xml:space="preserve"> </w:t>
    </w:r>
  </w:p>
  <w:p w14:paraId="69A0D5D7" w14:textId="77777777" w:rsidR="00725DCB" w:rsidRDefault="00725DCB" w:rsidP="00725DCB">
    <w:pPr>
      <w:pStyle w:val="affc"/>
      <w:jc w:val="center"/>
      <w:rPr>
        <w:rFonts w:cs="Guttman Hodes"/>
        <w:sz w:val="14"/>
        <w:szCs w:val="14"/>
        <w:rtl/>
      </w:rP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3C0CF" w14:textId="77777777" w:rsidR="00274E65" w:rsidRPr="00181149" w:rsidRDefault="00274E65" w:rsidP="00E715EF">
    <w:pPr>
      <w:pStyle w:val="affc"/>
      <w:jc w:val="right"/>
      <w:rPr>
        <w:rFonts w:cs="Guttman Hodes"/>
        <w:sz w:val="14"/>
        <w:szCs w:val="14"/>
        <w:rtl/>
      </w:rPr>
    </w:pPr>
    <w:r>
      <w:rPr>
        <w:rFonts w:cs="Guttman Hodes" w:hint="cs"/>
        <w:sz w:val="14"/>
        <w:szCs w:val="14"/>
        <w:rtl/>
      </w:rPr>
      <w:t>שבת</w:t>
    </w:r>
    <w:r w:rsidRPr="00BB0C9F">
      <w:rPr>
        <w:rFonts w:cs="Guttman Hodes"/>
        <w:sz w:val="14"/>
        <w:szCs w:val="14"/>
        <w:rtl/>
      </w:rPr>
      <w:t xml:space="preserve"> דף</w:t>
    </w:r>
    <w:r>
      <w:rPr>
        <w:rFonts w:cs="Guttman Hodes" w:hint="cs"/>
        <w:sz w:val="14"/>
        <w:szCs w:val="14"/>
        <w:rtl/>
      </w:rPr>
      <w:t xml:space="preserve"> צ"ד ע"א </w:t>
    </w:r>
    <w:r>
      <w:rPr>
        <w:rFonts w:cs="Guttman Hodes"/>
        <w:sz w:val="14"/>
        <w:szCs w:val="14"/>
        <w:rtl/>
      </w:rPr>
      <w:t>–</w:t>
    </w:r>
    <w:r>
      <w:rPr>
        <w:rFonts w:cs="Guttman Hodes" w:hint="cs"/>
        <w:sz w:val="14"/>
        <w:szCs w:val="14"/>
        <w:rtl/>
      </w:rPr>
      <w:t xml:space="preserve"> ק"ו ע"א</w:t>
    </w:r>
  </w:p>
  <w:p w14:paraId="5708777A" w14:textId="77777777" w:rsidR="00274E65" w:rsidRDefault="00274E65" w:rsidP="00C83122">
    <w:pPr>
      <w:pStyle w:val="affc"/>
      <w:jc w:val="center"/>
      <w:rPr>
        <w:rFonts w:cs="Guttman Hodes"/>
        <w:b/>
        <w:bCs/>
        <w:sz w:val="28"/>
        <w:szCs w:val="28"/>
      </w:rPr>
    </w:pPr>
    <w:r>
      <w:rPr>
        <w:rFonts w:cs="Guttman Hodes" w:hint="cs"/>
        <w:b/>
        <w:bCs/>
        <w:sz w:val="28"/>
        <w:szCs w:val="28"/>
        <w:rtl/>
      </w:rPr>
      <w:t>משנתם</w:t>
    </w:r>
    <w:r w:rsidRPr="005B62A6">
      <w:rPr>
        <w:rFonts w:cs="Guttman Hodes" w:hint="cs"/>
        <w:b/>
        <w:bCs/>
        <w:color w:val="FFFFFF"/>
        <w:sz w:val="28"/>
        <w:szCs w:val="28"/>
        <w:rtl/>
      </w:rPr>
      <w:ptab w:relativeTo="margin" w:alignment="center" w:leader="middleDot"/>
    </w:r>
    <w:r w:rsidRPr="005B62A6">
      <w:rPr>
        <w:rFonts w:cs="Guttman Hodes" w:hint="cs"/>
        <w:b/>
        <w:bCs/>
        <w:color w:val="FFFFFF"/>
        <w:sz w:val="28"/>
        <w:szCs w:val="28"/>
        <w:rtl/>
      </w:rPr>
      <w:t xml:space="preserve"> </w:t>
    </w:r>
    <w:r>
      <w:rPr>
        <w:rFonts w:cs="Guttman Hodes" w:hint="cs"/>
        <w:b/>
        <w:bCs/>
        <w:sz w:val="28"/>
        <w:szCs w:val="28"/>
        <w:rtl/>
      </w:rPr>
      <w:t>סדורה</w:t>
    </w:r>
  </w:p>
  <w:p w14:paraId="7ADC5896" w14:textId="77777777" w:rsidR="00274E65" w:rsidRDefault="00274E65" w:rsidP="00C83122">
    <w:pPr>
      <w:pStyle w:val="affc"/>
      <w:jc w:val="center"/>
      <w:rPr>
        <w:rFonts w:cs="Guttman Hodes"/>
        <w:sz w:val="14"/>
        <w:szCs w:val="14"/>
        <w:rtl/>
      </w:rP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B18C3" w14:textId="77777777" w:rsidR="00274E65" w:rsidRDefault="00274E65">
    <w:pPr>
      <w:pStyle w:val="affc"/>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E8AAB" w14:textId="77777777" w:rsidR="00274E65" w:rsidRPr="00181149" w:rsidRDefault="00274E65" w:rsidP="00C83122">
    <w:pPr>
      <w:pStyle w:val="affc"/>
      <w:jc w:val="right"/>
      <w:rPr>
        <w:rFonts w:cs="Guttman Hodes"/>
        <w:sz w:val="14"/>
        <w:szCs w:val="14"/>
        <w:rtl/>
      </w:rPr>
    </w:pPr>
    <w:r>
      <w:rPr>
        <w:rFonts w:cs="Guttman Hodes" w:hint="cs"/>
        <w:sz w:val="14"/>
        <w:szCs w:val="14"/>
        <w:rtl/>
      </w:rPr>
      <w:t>ב"ב</w:t>
    </w:r>
    <w:r w:rsidRPr="00BB0C9F">
      <w:rPr>
        <w:rFonts w:cs="Guttman Hodes"/>
        <w:sz w:val="14"/>
        <w:szCs w:val="14"/>
        <w:rtl/>
      </w:rPr>
      <w:t xml:space="preserve"> דף</w:t>
    </w:r>
    <w:r>
      <w:rPr>
        <w:rFonts w:cs="Guttman Hodes"/>
        <w:sz w:val="14"/>
        <w:szCs w:val="14"/>
        <w:rtl/>
      </w:rPr>
      <w:t xml:space="preserve"> </w:t>
    </w:r>
  </w:p>
  <w:p w14:paraId="10CA9CF0" w14:textId="77777777" w:rsidR="00274E65" w:rsidRDefault="00274E65" w:rsidP="00C83122">
    <w:pPr>
      <w:pStyle w:val="affc"/>
      <w:jc w:val="center"/>
      <w:rPr>
        <w:rFonts w:cs="Guttman Hodes"/>
        <w:b/>
        <w:bCs/>
        <w:sz w:val="28"/>
        <w:szCs w:val="28"/>
      </w:rPr>
    </w:pPr>
    <w:r>
      <w:rPr>
        <w:rFonts w:cs="Guttman Hodes" w:hint="cs"/>
        <w:b/>
        <w:bCs/>
        <w:sz w:val="28"/>
        <w:szCs w:val="28"/>
        <w:rtl/>
      </w:rPr>
      <w:t>משנתם</w:t>
    </w:r>
    <w:r>
      <w:rPr>
        <w:rFonts w:cs="Guttman Hodes" w:hint="cs"/>
        <w:b/>
        <w:bCs/>
        <w:color w:val="FFFFFF" w:themeColor="background1"/>
        <w:sz w:val="28"/>
        <w:szCs w:val="28"/>
        <w:rtl/>
      </w:rPr>
      <w:ptab w:relativeTo="margin" w:alignment="center" w:leader="middleDot"/>
    </w:r>
    <w:r>
      <w:rPr>
        <w:rFonts w:cs="Guttman Hodes" w:hint="cs"/>
        <w:b/>
        <w:bCs/>
        <w:color w:val="FFFFFF" w:themeColor="background1"/>
        <w:sz w:val="28"/>
        <w:szCs w:val="28"/>
        <w:rtl/>
      </w:rPr>
      <w:t xml:space="preserve"> </w:t>
    </w:r>
    <w:r>
      <w:rPr>
        <w:rFonts w:cs="Guttman Hodes" w:hint="cs"/>
        <w:b/>
        <w:bCs/>
        <w:sz w:val="28"/>
        <w:szCs w:val="28"/>
        <w:rtl/>
      </w:rPr>
      <w:t>סדורה</w:t>
    </w:r>
  </w:p>
  <w:p w14:paraId="47F367DC" w14:textId="77777777" w:rsidR="00274E65" w:rsidRDefault="00274E65" w:rsidP="00C83122">
    <w:pPr>
      <w:pStyle w:val="affc"/>
      <w:jc w:val="center"/>
      <w:rPr>
        <w:rFonts w:cs="Guttman Hodes"/>
        <w:sz w:val="14"/>
        <w:szCs w:val="14"/>
        <w:rtl/>
      </w:rPr>
    </w:pPr>
  </w:p>
  <w:p w14:paraId="5FE43BBF" w14:textId="77777777" w:rsidR="00274E65" w:rsidRDefault="00274E65" w:rsidP="00C83122">
    <w:pPr>
      <w:pStyle w:val="affc"/>
      <w:jc w:val="center"/>
      <w:rPr>
        <w:rFonts w:cs="Guttman Hodes"/>
        <w:sz w:val="14"/>
        <w:szCs w:val="14"/>
        <w:rtl/>
      </w:rP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1ABCA" w14:textId="77777777" w:rsidR="001218AD" w:rsidRPr="00181149" w:rsidRDefault="001218AD" w:rsidP="001218AD">
    <w:pPr>
      <w:pStyle w:val="affc"/>
      <w:jc w:val="right"/>
      <w:rPr>
        <w:rFonts w:cs="Guttman Hodes"/>
        <w:sz w:val="14"/>
        <w:szCs w:val="14"/>
        <w:rtl/>
      </w:rPr>
    </w:pPr>
    <w:r>
      <w:rPr>
        <w:rFonts w:cs="Guttman Hodes" w:hint="cs"/>
        <w:sz w:val="14"/>
        <w:szCs w:val="14"/>
        <w:rtl/>
      </w:rPr>
      <w:t>שבת</w:t>
    </w:r>
    <w:r w:rsidRPr="00BB0C9F">
      <w:rPr>
        <w:rFonts w:cs="Guttman Hodes"/>
        <w:sz w:val="14"/>
        <w:szCs w:val="14"/>
        <w:rtl/>
      </w:rPr>
      <w:t xml:space="preserve"> דף</w:t>
    </w:r>
    <w:r>
      <w:rPr>
        <w:rFonts w:cs="Guttman Hodes" w:hint="cs"/>
        <w:sz w:val="14"/>
        <w:szCs w:val="14"/>
        <w:rtl/>
      </w:rPr>
      <w:t xml:space="preserve"> ק"ב ע"ב</w:t>
    </w:r>
  </w:p>
  <w:p w14:paraId="7B085E5D" w14:textId="77777777" w:rsidR="001218AD" w:rsidRDefault="001218AD" w:rsidP="001218AD">
    <w:pPr>
      <w:pStyle w:val="affc"/>
      <w:jc w:val="center"/>
      <w:rPr>
        <w:rFonts w:cs="Guttman Hodes"/>
        <w:b/>
        <w:bCs/>
        <w:sz w:val="28"/>
        <w:szCs w:val="28"/>
      </w:rPr>
    </w:pPr>
    <w:r>
      <w:rPr>
        <w:rFonts w:cs="Guttman Hodes" w:hint="cs"/>
        <w:b/>
        <w:bCs/>
        <w:sz w:val="28"/>
        <w:szCs w:val="28"/>
        <w:rtl/>
      </w:rPr>
      <w:t>משנתם</w:t>
    </w:r>
    <w:r>
      <w:rPr>
        <w:rFonts w:cs="Guttman Hodes" w:hint="cs"/>
        <w:b/>
        <w:bCs/>
        <w:color w:val="FFFFFF" w:themeColor="background1"/>
        <w:sz w:val="28"/>
        <w:szCs w:val="28"/>
        <w:rtl/>
      </w:rPr>
      <w:ptab w:relativeTo="margin" w:alignment="center" w:leader="middleDot"/>
    </w:r>
    <w:r>
      <w:rPr>
        <w:rFonts w:cs="Guttman Hodes" w:hint="cs"/>
        <w:b/>
        <w:bCs/>
        <w:color w:val="FFFFFF" w:themeColor="background1"/>
        <w:sz w:val="28"/>
        <w:szCs w:val="28"/>
        <w:rtl/>
      </w:rPr>
      <w:t xml:space="preserve"> </w:t>
    </w:r>
    <w:r>
      <w:rPr>
        <w:rFonts w:cs="Guttman Hodes" w:hint="cs"/>
        <w:b/>
        <w:bCs/>
        <w:sz w:val="28"/>
        <w:szCs w:val="28"/>
        <w:rtl/>
      </w:rPr>
      <w:t>סדורה</w:t>
    </w:r>
  </w:p>
  <w:p w14:paraId="0B190AE7" w14:textId="77777777" w:rsidR="001218AD" w:rsidRDefault="001218AD" w:rsidP="001218AD">
    <w:pPr>
      <w:pStyle w:val="affc"/>
      <w:jc w:val="center"/>
      <w:rPr>
        <w:rFonts w:cs="Guttman Hodes"/>
        <w:sz w:val="14"/>
        <w:szCs w:val="14"/>
        <w:rtl/>
      </w:rPr>
    </w:pPr>
    <w:r>
      <w:rPr>
        <w:rFonts w:cs="Guttman Hodes"/>
        <w:sz w:val="14"/>
        <w:szCs w:val="14"/>
        <w:rtl/>
      </w:rPr>
      <w:t>סימן י"א</w:t>
    </w:r>
    <w:r w:rsidRPr="00D40E70">
      <w:rPr>
        <w:rFonts w:cs="Guttman Hodes"/>
        <w:sz w:val="14"/>
        <w:szCs w:val="14"/>
        <w:rtl/>
      </w:rPr>
      <w:t xml:space="preserve"> בגדר מלאכת בונה - </w:t>
    </w:r>
    <w:r w:rsidRPr="00C05359">
      <w:rPr>
        <w:rFonts w:cs="Guttman Hodes"/>
        <w:sz w:val="14"/>
        <w:szCs w:val="14"/>
        <w:rtl/>
      </w:rPr>
      <w:t>בדרך בנין / באוהל וקיבוץ חלקים / בבנין דיצירה / בארעי וקבוע / במלאכה מתקיימת</w:t>
    </w:r>
  </w:p>
  <w:p w14:paraId="5AC3EFCC" w14:textId="77777777" w:rsidR="001218AD" w:rsidRDefault="001218AD" w:rsidP="001218AD">
    <w:pPr>
      <w:pStyle w:val="affc"/>
      <w:jc w:val="center"/>
      <w:rPr>
        <w:rFonts w:cs="Guttman Hodes"/>
        <w:sz w:val="14"/>
        <w:szCs w:val="14"/>
        <w:rtl/>
      </w:rP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86122" w14:textId="77777777" w:rsidR="00376F67" w:rsidRPr="00181149" w:rsidRDefault="00376F67" w:rsidP="00E14572">
    <w:pPr>
      <w:pStyle w:val="affc"/>
      <w:jc w:val="right"/>
      <w:rPr>
        <w:rFonts w:cs="Guttman Hodes"/>
        <w:sz w:val="14"/>
        <w:szCs w:val="14"/>
        <w:rtl/>
      </w:rPr>
    </w:pPr>
    <w:r>
      <w:rPr>
        <w:rFonts w:cs="Guttman Hodes" w:hint="cs"/>
        <w:sz w:val="14"/>
        <w:szCs w:val="14"/>
        <w:rtl/>
      </w:rPr>
      <w:t>שבת</w:t>
    </w:r>
    <w:r w:rsidRPr="00BB0C9F">
      <w:rPr>
        <w:rFonts w:cs="Guttman Hodes"/>
        <w:sz w:val="14"/>
        <w:szCs w:val="14"/>
        <w:rtl/>
      </w:rPr>
      <w:t xml:space="preserve"> דף</w:t>
    </w:r>
    <w:r>
      <w:rPr>
        <w:rFonts w:cs="Guttman Hodes" w:hint="cs"/>
        <w:sz w:val="14"/>
        <w:szCs w:val="14"/>
        <w:rtl/>
      </w:rPr>
      <w:t xml:space="preserve"> ק"ב ע"ב</w:t>
    </w:r>
  </w:p>
  <w:p w14:paraId="0A42FA4B" w14:textId="77777777" w:rsidR="00376F67" w:rsidRDefault="00376F67" w:rsidP="00C83122">
    <w:pPr>
      <w:pStyle w:val="affc"/>
      <w:jc w:val="center"/>
      <w:rPr>
        <w:rFonts w:cs="Guttman Hodes"/>
        <w:b/>
        <w:bCs/>
        <w:sz w:val="28"/>
        <w:szCs w:val="28"/>
      </w:rPr>
    </w:pPr>
    <w:r>
      <w:rPr>
        <w:rFonts w:cs="Guttman Hodes" w:hint="cs"/>
        <w:b/>
        <w:bCs/>
        <w:sz w:val="28"/>
        <w:szCs w:val="28"/>
        <w:rtl/>
      </w:rPr>
      <w:t>משנתם</w:t>
    </w:r>
    <w:r w:rsidRPr="005B62A6">
      <w:rPr>
        <w:rFonts w:cs="Guttman Hodes" w:hint="cs"/>
        <w:b/>
        <w:bCs/>
        <w:color w:val="FFFFFF"/>
        <w:sz w:val="28"/>
        <w:szCs w:val="28"/>
        <w:rtl/>
      </w:rPr>
      <w:ptab w:relativeTo="margin" w:alignment="center" w:leader="middleDot"/>
    </w:r>
    <w:r w:rsidRPr="005B62A6">
      <w:rPr>
        <w:rFonts w:cs="Guttman Hodes" w:hint="cs"/>
        <w:b/>
        <w:bCs/>
        <w:color w:val="FFFFFF"/>
        <w:sz w:val="28"/>
        <w:szCs w:val="28"/>
        <w:rtl/>
      </w:rPr>
      <w:t xml:space="preserve"> </w:t>
    </w:r>
    <w:r>
      <w:rPr>
        <w:rFonts w:cs="Guttman Hodes" w:hint="cs"/>
        <w:b/>
        <w:bCs/>
        <w:sz w:val="28"/>
        <w:szCs w:val="28"/>
        <w:rtl/>
      </w:rPr>
      <w:t>סדורה</w:t>
    </w:r>
  </w:p>
  <w:p w14:paraId="4688D7C7" w14:textId="77777777" w:rsidR="00376F67" w:rsidRDefault="00376F67" w:rsidP="00C83122">
    <w:pPr>
      <w:pStyle w:val="affc"/>
      <w:jc w:val="center"/>
      <w:rPr>
        <w:rFonts w:cs="Guttman Hodes"/>
        <w:sz w:val="14"/>
        <w:szCs w:val="14"/>
        <w:rtl/>
      </w:rP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586FB" w14:textId="77777777" w:rsidR="00376F67" w:rsidRDefault="00376F67">
    <w:pPr>
      <w:pStyle w:val="affc"/>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70DD61" w14:textId="77777777" w:rsidR="00376F67" w:rsidRPr="00181149" w:rsidRDefault="00376F67" w:rsidP="00C83122">
    <w:pPr>
      <w:pStyle w:val="affc"/>
      <w:jc w:val="right"/>
      <w:rPr>
        <w:rFonts w:cs="Guttman Hodes"/>
        <w:sz w:val="14"/>
        <w:szCs w:val="14"/>
        <w:rtl/>
      </w:rPr>
    </w:pPr>
    <w:r>
      <w:rPr>
        <w:rFonts w:cs="Guttman Hodes" w:hint="cs"/>
        <w:sz w:val="14"/>
        <w:szCs w:val="14"/>
        <w:rtl/>
      </w:rPr>
      <w:t>ב"ב</w:t>
    </w:r>
    <w:r w:rsidRPr="00BB0C9F">
      <w:rPr>
        <w:rFonts w:cs="Guttman Hodes"/>
        <w:sz w:val="14"/>
        <w:szCs w:val="14"/>
        <w:rtl/>
      </w:rPr>
      <w:t xml:space="preserve"> דף</w:t>
    </w:r>
    <w:r>
      <w:rPr>
        <w:rFonts w:cs="Guttman Hodes"/>
        <w:sz w:val="14"/>
        <w:szCs w:val="14"/>
        <w:rtl/>
      </w:rPr>
      <w:t xml:space="preserve"> </w:t>
    </w:r>
  </w:p>
  <w:p w14:paraId="20E9BDEA" w14:textId="77777777" w:rsidR="00376F67" w:rsidRDefault="00376F67" w:rsidP="00C83122">
    <w:pPr>
      <w:pStyle w:val="affc"/>
      <w:jc w:val="center"/>
      <w:rPr>
        <w:rFonts w:cs="Guttman Hodes"/>
        <w:b/>
        <w:bCs/>
        <w:sz w:val="28"/>
        <w:szCs w:val="28"/>
      </w:rPr>
    </w:pPr>
    <w:r>
      <w:rPr>
        <w:rFonts w:cs="Guttman Hodes" w:hint="cs"/>
        <w:b/>
        <w:bCs/>
        <w:sz w:val="28"/>
        <w:szCs w:val="28"/>
        <w:rtl/>
      </w:rPr>
      <w:t>משנתם</w:t>
    </w:r>
    <w:r>
      <w:rPr>
        <w:rFonts w:cs="Guttman Hodes" w:hint="cs"/>
        <w:b/>
        <w:bCs/>
        <w:color w:val="FFFFFF" w:themeColor="background1"/>
        <w:sz w:val="28"/>
        <w:szCs w:val="28"/>
        <w:rtl/>
      </w:rPr>
      <w:ptab w:relativeTo="margin" w:alignment="center" w:leader="middleDot"/>
    </w:r>
    <w:r>
      <w:rPr>
        <w:rFonts w:cs="Guttman Hodes" w:hint="cs"/>
        <w:b/>
        <w:bCs/>
        <w:color w:val="FFFFFF" w:themeColor="background1"/>
        <w:sz w:val="28"/>
        <w:szCs w:val="28"/>
        <w:rtl/>
      </w:rPr>
      <w:t xml:space="preserve"> </w:t>
    </w:r>
    <w:r>
      <w:rPr>
        <w:rFonts w:cs="Guttman Hodes" w:hint="cs"/>
        <w:b/>
        <w:bCs/>
        <w:sz w:val="28"/>
        <w:szCs w:val="28"/>
        <w:rtl/>
      </w:rPr>
      <w:t>סדורה</w:t>
    </w:r>
  </w:p>
  <w:p w14:paraId="42276E28" w14:textId="77777777" w:rsidR="00376F67" w:rsidRDefault="00376F67" w:rsidP="00C83122">
    <w:pPr>
      <w:pStyle w:val="affc"/>
      <w:jc w:val="center"/>
      <w:rPr>
        <w:rFonts w:cs="Guttman Hodes"/>
        <w:sz w:val="14"/>
        <w:szCs w:val="14"/>
        <w:rtl/>
      </w:rPr>
    </w:pPr>
  </w:p>
  <w:p w14:paraId="7DB9DE8D" w14:textId="77777777" w:rsidR="00376F67" w:rsidRDefault="00376F67" w:rsidP="00C83122">
    <w:pPr>
      <w:pStyle w:val="affc"/>
      <w:jc w:val="center"/>
      <w:rPr>
        <w:rFonts w:cs="Guttman Hodes"/>
        <w:sz w:val="14"/>
        <w:szCs w:val="14"/>
        <w:rtl/>
      </w:rP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7E5CD" w14:textId="77777777" w:rsidR="00A14FDA" w:rsidRPr="00181149" w:rsidRDefault="00A14FDA" w:rsidP="00A14FDA">
    <w:pPr>
      <w:pStyle w:val="affc"/>
      <w:jc w:val="right"/>
      <w:rPr>
        <w:rFonts w:cs="Guttman Hodes"/>
        <w:sz w:val="14"/>
        <w:szCs w:val="14"/>
        <w:rtl/>
      </w:rPr>
    </w:pPr>
    <w:r>
      <w:rPr>
        <w:rFonts w:cs="Guttman Hodes" w:hint="cs"/>
        <w:sz w:val="14"/>
        <w:szCs w:val="14"/>
        <w:rtl/>
      </w:rPr>
      <w:t>שבת</w:t>
    </w:r>
    <w:r w:rsidRPr="00BB0C9F">
      <w:rPr>
        <w:rFonts w:cs="Guttman Hodes"/>
        <w:sz w:val="14"/>
        <w:szCs w:val="14"/>
        <w:rtl/>
      </w:rPr>
      <w:t xml:space="preserve"> דף</w:t>
    </w:r>
    <w:r>
      <w:rPr>
        <w:rFonts w:cs="Guttman Hodes" w:hint="cs"/>
        <w:sz w:val="14"/>
        <w:szCs w:val="14"/>
        <w:rtl/>
      </w:rPr>
      <w:t xml:space="preserve"> ק"ב ע"ב</w:t>
    </w:r>
  </w:p>
  <w:p w14:paraId="0F67D081" w14:textId="77777777" w:rsidR="00A14FDA" w:rsidRDefault="00A14FDA" w:rsidP="00A14FDA">
    <w:pPr>
      <w:pStyle w:val="affc"/>
      <w:jc w:val="center"/>
      <w:rPr>
        <w:rFonts w:cs="Guttman Hodes"/>
        <w:b/>
        <w:bCs/>
        <w:sz w:val="28"/>
        <w:szCs w:val="28"/>
      </w:rPr>
    </w:pPr>
    <w:r>
      <w:rPr>
        <w:rFonts w:cs="Guttman Hodes" w:hint="cs"/>
        <w:b/>
        <w:bCs/>
        <w:sz w:val="28"/>
        <w:szCs w:val="28"/>
        <w:rtl/>
      </w:rPr>
      <w:t>משנתם</w:t>
    </w:r>
    <w:r>
      <w:rPr>
        <w:rFonts w:cs="Guttman Hodes" w:hint="cs"/>
        <w:b/>
        <w:bCs/>
        <w:color w:val="FFFFFF" w:themeColor="background1"/>
        <w:sz w:val="28"/>
        <w:szCs w:val="28"/>
        <w:rtl/>
      </w:rPr>
      <w:ptab w:relativeTo="margin" w:alignment="center" w:leader="middleDot"/>
    </w:r>
    <w:r>
      <w:rPr>
        <w:rFonts w:cs="Guttman Hodes" w:hint="cs"/>
        <w:b/>
        <w:bCs/>
        <w:color w:val="FFFFFF" w:themeColor="background1"/>
        <w:sz w:val="28"/>
        <w:szCs w:val="28"/>
        <w:rtl/>
      </w:rPr>
      <w:t xml:space="preserve"> </w:t>
    </w:r>
    <w:r>
      <w:rPr>
        <w:rFonts w:cs="Guttman Hodes" w:hint="cs"/>
        <w:b/>
        <w:bCs/>
        <w:sz w:val="28"/>
        <w:szCs w:val="28"/>
        <w:rtl/>
      </w:rPr>
      <w:t>סדורה</w:t>
    </w:r>
  </w:p>
  <w:p w14:paraId="1CB68EFA" w14:textId="77777777" w:rsidR="00A14FDA" w:rsidRDefault="00A14FDA" w:rsidP="00A14FDA">
    <w:pPr>
      <w:pStyle w:val="affc"/>
      <w:jc w:val="center"/>
      <w:rPr>
        <w:rFonts w:cs="Guttman Hodes"/>
        <w:sz w:val="14"/>
        <w:szCs w:val="14"/>
        <w:rtl/>
      </w:rPr>
    </w:pPr>
    <w:r>
      <w:rPr>
        <w:rFonts w:cs="Guttman Hodes"/>
        <w:sz w:val="14"/>
        <w:szCs w:val="14"/>
        <w:rtl/>
      </w:rPr>
      <w:t>סימן י"ב</w:t>
    </w:r>
    <w:r>
      <w:rPr>
        <w:rFonts w:cs="Guttman Hodes" w:hint="cs"/>
        <w:sz w:val="14"/>
        <w:szCs w:val="14"/>
        <w:rtl/>
      </w:rPr>
      <w:t xml:space="preserve"> </w:t>
    </w:r>
    <w:r w:rsidRPr="00A546D8">
      <w:rPr>
        <w:rFonts w:cs="Guttman Hodes"/>
        <w:sz w:val="14"/>
        <w:szCs w:val="14"/>
        <w:rtl/>
      </w:rPr>
      <w:t>בגדר המעשה המחייב במכה בפטיש ובחיובו במקום מלאכה אחרת</w:t>
    </w:r>
  </w:p>
  <w:p w14:paraId="2297C372" w14:textId="77777777" w:rsidR="00A14FDA" w:rsidRDefault="00A14FDA" w:rsidP="00A14FDA">
    <w:pPr>
      <w:pStyle w:val="affc"/>
      <w:jc w:val="center"/>
      <w:rPr>
        <w:rFonts w:cs="Guttman Hodes"/>
        <w:sz w:val="14"/>
        <w:szCs w:val="14"/>
        <w:rtl/>
      </w:rP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FC7DD3" w14:textId="77777777" w:rsidR="00A14FDA" w:rsidRPr="00181149" w:rsidRDefault="00A14FDA" w:rsidP="009D59E5">
    <w:pPr>
      <w:pStyle w:val="affc"/>
      <w:jc w:val="right"/>
      <w:rPr>
        <w:rFonts w:cs="Guttman Hodes"/>
        <w:sz w:val="14"/>
        <w:szCs w:val="14"/>
        <w:rtl/>
      </w:rPr>
    </w:pPr>
    <w:r>
      <w:rPr>
        <w:rFonts w:cs="Guttman Hodes" w:hint="cs"/>
        <w:sz w:val="14"/>
        <w:szCs w:val="14"/>
        <w:rtl/>
      </w:rPr>
      <w:t>שבת</w:t>
    </w:r>
    <w:r w:rsidRPr="00BB0C9F">
      <w:rPr>
        <w:rFonts w:cs="Guttman Hodes"/>
        <w:sz w:val="14"/>
        <w:szCs w:val="14"/>
        <w:rtl/>
      </w:rPr>
      <w:t xml:space="preserve"> דף</w:t>
    </w:r>
    <w:r>
      <w:rPr>
        <w:rFonts w:cs="Guttman Hodes" w:hint="cs"/>
        <w:sz w:val="14"/>
        <w:szCs w:val="14"/>
        <w:rtl/>
      </w:rPr>
      <w:t xml:space="preserve"> ק"ב ע"ב</w:t>
    </w:r>
  </w:p>
  <w:p w14:paraId="4273BBA7" w14:textId="77777777" w:rsidR="00A14FDA" w:rsidRDefault="00A14FDA" w:rsidP="00C83122">
    <w:pPr>
      <w:pStyle w:val="affc"/>
      <w:jc w:val="center"/>
      <w:rPr>
        <w:rFonts w:cs="Guttman Hodes"/>
        <w:b/>
        <w:bCs/>
        <w:sz w:val="28"/>
        <w:szCs w:val="28"/>
      </w:rPr>
    </w:pPr>
    <w:r>
      <w:rPr>
        <w:rFonts w:cs="Guttman Hodes" w:hint="cs"/>
        <w:b/>
        <w:bCs/>
        <w:sz w:val="28"/>
        <w:szCs w:val="28"/>
        <w:rtl/>
      </w:rPr>
      <w:t>משנתם</w:t>
    </w:r>
    <w:r w:rsidRPr="005B62A6">
      <w:rPr>
        <w:rFonts w:cs="Guttman Hodes" w:hint="cs"/>
        <w:b/>
        <w:bCs/>
        <w:color w:val="FFFFFF"/>
        <w:sz w:val="28"/>
        <w:szCs w:val="28"/>
        <w:rtl/>
      </w:rPr>
      <w:ptab w:relativeTo="margin" w:alignment="center" w:leader="middleDot"/>
    </w:r>
    <w:r w:rsidRPr="005B62A6">
      <w:rPr>
        <w:rFonts w:cs="Guttman Hodes" w:hint="cs"/>
        <w:b/>
        <w:bCs/>
        <w:color w:val="FFFFFF"/>
        <w:sz w:val="28"/>
        <w:szCs w:val="28"/>
        <w:rtl/>
      </w:rPr>
      <w:t xml:space="preserve"> </w:t>
    </w:r>
    <w:r>
      <w:rPr>
        <w:rFonts w:cs="Guttman Hodes" w:hint="cs"/>
        <w:b/>
        <w:bCs/>
        <w:sz w:val="28"/>
        <w:szCs w:val="28"/>
        <w:rtl/>
      </w:rPr>
      <w:t>סדורה</w:t>
    </w:r>
  </w:p>
  <w:p w14:paraId="6CF2D1C1" w14:textId="77777777" w:rsidR="00A14FDA" w:rsidRDefault="00A14FDA" w:rsidP="00C83122">
    <w:pPr>
      <w:pStyle w:val="affc"/>
      <w:jc w:val="center"/>
      <w:rPr>
        <w:rFonts w:cs="Guttman Hodes"/>
        <w:sz w:val="14"/>
        <w:szCs w:val="14"/>
        <w:rtl/>
      </w:rP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71F4B" w14:textId="77777777" w:rsidR="00A14FDA" w:rsidRDefault="00A14FDA">
    <w:pPr>
      <w:pStyle w:val="affc"/>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EFE18" w14:textId="77777777" w:rsidR="00A14FDA" w:rsidRPr="00181149" w:rsidRDefault="00A14FDA" w:rsidP="00C83122">
    <w:pPr>
      <w:pStyle w:val="affc"/>
      <w:jc w:val="right"/>
      <w:rPr>
        <w:rFonts w:cs="Guttman Hodes"/>
        <w:sz w:val="14"/>
        <w:szCs w:val="14"/>
        <w:rtl/>
      </w:rPr>
    </w:pPr>
    <w:r>
      <w:rPr>
        <w:rFonts w:cs="Guttman Hodes" w:hint="cs"/>
        <w:sz w:val="14"/>
        <w:szCs w:val="14"/>
        <w:rtl/>
      </w:rPr>
      <w:t>ב"ב</w:t>
    </w:r>
    <w:r w:rsidRPr="00BB0C9F">
      <w:rPr>
        <w:rFonts w:cs="Guttman Hodes"/>
        <w:sz w:val="14"/>
        <w:szCs w:val="14"/>
        <w:rtl/>
      </w:rPr>
      <w:t xml:space="preserve"> דף</w:t>
    </w:r>
    <w:r>
      <w:rPr>
        <w:rFonts w:cs="Guttman Hodes"/>
        <w:sz w:val="14"/>
        <w:szCs w:val="14"/>
        <w:rtl/>
      </w:rPr>
      <w:t xml:space="preserve"> </w:t>
    </w:r>
  </w:p>
  <w:p w14:paraId="41E69F28" w14:textId="77777777" w:rsidR="00A14FDA" w:rsidRDefault="00A14FDA" w:rsidP="00C83122">
    <w:pPr>
      <w:pStyle w:val="affc"/>
      <w:jc w:val="center"/>
      <w:rPr>
        <w:rFonts w:cs="Guttman Hodes"/>
        <w:b/>
        <w:bCs/>
        <w:sz w:val="28"/>
        <w:szCs w:val="28"/>
      </w:rPr>
    </w:pPr>
    <w:r>
      <w:rPr>
        <w:rFonts w:cs="Guttman Hodes" w:hint="cs"/>
        <w:b/>
        <w:bCs/>
        <w:sz w:val="28"/>
        <w:szCs w:val="28"/>
        <w:rtl/>
      </w:rPr>
      <w:t>משנתם</w:t>
    </w:r>
    <w:r>
      <w:rPr>
        <w:rFonts w:cs="Guttman Hodes" w:hint="cs"/>
        <w:b/>
        <w:bCs/>
        <w:color w:val="FFFFFF" w:themeColor="background1"/>
        <w:sz w:val="28"/>
        <w:szCs w:val="28"/>
        <w:rtl/>
      </w:rPr>
      <w:ptab w:relativeTo="margin" w:alignment="center" w:leader="middleDot"/>
    </w:r>
    <w:r>
      <w:rPr>
        <w:rFonts w:cs="Guttman Hodes" w:hint="cs"/>
        <w:b/>
        <w:bCs/>
        <w:color w:val="FFFFFF" w:themeColor="background1"/>
        <w:sz w:val="28"/>
        <w:szCs w:val="28"/>
        <w:rtl/>
      </w:rPr>
      <w:t xml:space="preserve"> </w:t>
    </w:r>
    <w:r>
      <w:rPr>
        <w:rFonts w:cs="Guttman Hodes" w:hint="cs"/>
        <w:b/>
        <w:bCs/>
        <w:sz w:val="28"/>
        <w:szCs w:val="28"/>
        <w:rtl/>
      </w:rPr>
      <w:t>סדורה</w:t>
    </w:r>
  </w:p>
  <w:p w14:paraId="4774A376" w14:textId="77777777" w:rsidR="00A14FDA" w:rsidRDefault="00A14FDA" w:rsidP="00C83122">
    <w:pPr>
      <w:pStyle w:val="affc"/>
      <w:jc w:val="center"/>
      <w:rPr>
        <w:rFonts w:cs="Guttman Hodes"/>
        <w:sz w:val="14"/>
        <w:szCs w:val="14"/>
        <w:rtl/>
      </w:rPr>
    </w:pPr>
  </w:p>
  <w:p w14:paraId="60AFCF37" w14:textId="77777777" w:rsidR="00A14FDA" w:rsidRDefault="00A14FDA" w:rsidP="00C83122">
    <w:pPr>
      <w:pStyle w:val="affc"/>
      <w:jc w:val="center"/>
      <w:rPr>
        <w:rFonts w:cs="Guttman Hodes"/>
        <w:sz w:val="14"/>
        <w:szCs w:val="14"/>
        <w:rtl/>
      </w:rP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C7F41" w14:textId="77777777" w:rsidR="00BC7DC8" w:rsidRPr="00181149" w:rsidRDefault="00BC7DC8" w:rsidP="00BC7DC8">
    <w:pPr>
      <w:pStyle w:val="affc"/>
      <w:jc w:val="right"/>
      <w:rPr>
        <w:rFonts w:cs="Guttman Hodes"/>
        <w:sz w:val="14"/>
        <w:szCs w:val="14"/>
        <w:rtl/>
      </w:rPr>
    </w:pPr>
    <w:r>
      <w:rPr>
        <w:rFonts w:cs="Guttman Hodes" w:hint="cs"/>
        <w:sz w:val="14"/>
        <w:szCs w:val="14"/>
        <w:rtl/>
      </w:rPr>
      <w:t>שבת</w:t>
    </w:r>
    <w:r w:rsidRPr="00BB0C9F">
      <w:rPr>
        <w:rFonts w:cs="Guttman Hodes"/>
        <w:sz w:val="14"/>
        <w:szCs w:val="14"/>
        <w:rtl/>
      </w:rPr>
      <w:t xml:space="preserve"> דף</w:t>
    </w:r>
    <w:r>
      <w:rPr>
        <w:rFonts w:cs="Guttman Hodes" w:hint="cs"/>
        <w:sz w:val="14"/>
        <w:szCs w:val="14"/>
        <w:rtl/>
      </w:rPr>
      <w:t xml:space="preserve"> ק"ב ע"ב</w:t>
    </w:r>
  </w:p>
  <w:p w14:paraId="2E6AC5D8" w14:textId="77777777" w:rsidR="00BC7DC8" w:rsidRDefault="00BC7DC8" w:rsidP="00BC7DC8">
    <w:pPr>
      <w:pStyle w:val="affc"/>
      <w:jc w:val="center"/>
      <w:rPr>
        <w:rFonts w:cs="Guttman Hodes"/>
        <w:b/>
        <w:bCs/>
        <w:sz w:val="28"/>
        <w:szCs w:val="28"/>
      </w:rPr>
    </w:pPr>
    <w:r>
      <w:rPr>
        <w:rFonts w:cs="Guttman Hodes" w:hint="cs"/>
        <w:b/>
        <w:bCs/>
        <w:sz w:val="28"/>
        <w:szCs w:val="28"/>
        <w:rtl/>
      </w:rPr>
      <w:t>משנתם</w:t>
    </w:r>
    <w:r>
      <w:rPr>
        <w:rFonts w:cs="Guttman Hodes" w:hint="cs"/>
        <w:b/>
        <w:bCs/>
        <w:color w:val="FFFFFF" w:themeColor="background1"/>
        <w:sz w:val="28"/>
        <w:szCs w:val="28"/>
        <w:rtl/>
      </w:rPr>
      <w:ptab w:relativeTo="margin" w:alignment="center" w:leader="middleDot"/>
    </w:r>
    <w:r>
      <w:rPr>
        <w:rFonts w:cs="Guttman Hodes" w:hint="cs"/>
        <w:b/>
        <w:bCs/>
        <w:color w:val="FFFFFF" w:themeColor="background1"/>
        <w:sz w:val="28"/>
        <w:szCs w:val="28"/>
        <w:rtl/>
      </w:rPr>
      <w:t xml:space="preserve"> </w:t>
    </w:r>
    <w:r>
      <w:rPr>
        <w:rFonts w:cs="Guttman Hodes" w:hint="cs"/>
        <w:b/>
        <w:bCs/>
        <w:sz w:val="28"/>
        <w:szCs w:val="28"/>
        <w:rtl/>
      </w:rPr>
      <w:t>סדורה</w:t>
    </w:r>
  </w:p>
  <w:p w14:paraId="5134B227" w14:textId="77777777" w:rsidR="00BC7DC8" w:rsidRDefault="00BC7DC8" w:rsidP="00BC7DC8">
    <w:pPr>
      <w:pStyle w:val="affc"/>
      <w:jc w:val="center"/>
      <w:rPr>
        <w:rFonts w:cs="Guttman Hodes"/>
        <w:sz w:val="14"/>
        <w:szCs w:val="14"/>
        <w:rtl/>
      </w:rPr>
    </w:pPr>
    <w:r>
      <w:rPr>
        <w:rFonts w:cs="Guttman Hodes"/>
        <w:sz w:val="14"/>
        <w:szCs w:val="14"/>
        <w:rtl/>
      </w:rPr>
      <w:t>סימן י"ג</w:t>
    </w:r>
    <w:r w:rsidRPr="00E26C6C">
      <w:rPr>
        <w:rFonts w:cs="Guttman Hodes"/>
        <w:sz w:val="14"/>
        <w:szCs w:val="14"/>
        <w:rtl/>
      </w:rPr>
      <w:t xml:space="preserve"> בענין בנין בכלים</w:t>
    </w:r>
    <w:r>
      <w:rPr>
        <w:rFonts w:cs="Guttman Hodes" w:hint="cs"/>
        <w:sz w:val="14"/>
        <w:szCs w:val="14"/>
        <w:rtl/>
      </w:rPr>
      <w:t xml:space="preserve"> (א')</w:t>
    </w:r>
  </w:p>
  <w:p w14:paraId="6DA37555" w14:textId="77777777" w:rsidR="00BC7DC8" w:rsidRDefault="00BC7DC8" w:rsidP="00BC7DC8">
    <w:pPr>
      <w:pStyle w:val="affc"/>
      <w:jc w:val="center"/>
      <w:rPr>
        <w:rFonts w:cs="Guttman Hodes"/>
        <w:sz w:val="14"/>
        <w:szCs w:val="14"/>
        <w:rtl/>
      </w:rP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324C7" w14:textId="77777777" w:rsidR="003E1AA3" w:rsidRPr="00181149" w:rsidRDefault="003E1AA3" w:rsidP="00E26C6C">
    <w:pPr>
      <w:pStyle w:val="affc"/>
      <w:jc w:val="right"/>
      <w:rPr>
        <w:rFonts w:cs="Guttman Hodes"/>
        <w:sz w:val="14"/>
        <w:szCs w:val="14"/>
        <w:rtl/>
      </w:rPr>
    </w:pPr>
    <w:r>
      <w:rPr>
        <w:rFonts w:cs="Guttman Hodes" w:hint="cs"/>
        <w:sz w:val="14"/>
        <w:szCs w:val="14"/>
        <w:rtl/>
      </w:rPr>
      <w:t>שבת</w:t>
    </w:r>
    <w:r w:rsidRPr="00BB0C9F">
      <w:rPr>
        <w:rFonts w:cs="Guttman Hodes"/>
        <w:sz w:val="14"/>
        <w:szCs w:val="14"/>
        <w:rtl/>
      </w:rPr>
      <w:t xml:space="preserve"> דף</w:t>
    </w:r>
    <w:r>
      <w:rPr>
        <w:rFonts w:cs="Guttman Hodes" w:hint="cs"/>
        <w:sz w:val="14"/>
        <w:szCs w:val="14"/>
        <w:rtl/>
      </w:rPr>
      <w:t xml:space="preserve"> ק"ב ע"ב</w:t>
    </w:r>
  </w:p>
  <w:p w14:paraId="2C969B6B" w14:textId="77777777" w:rsidR="003E1AA3" w:rsidRDefault="003E1AA3" w:rsidP="00C83122">
    <w:pPr>
      <w:pStyle w:val="affc"/>
      <w:jc w:val="center"/>
      <w:rPr>
        <w:rFonts w:cs="Guttman Hodes"/>
        <w:b/>
        <w:bCs/>
        <w:sz w:val="28"/>
        <w:szCs w:val="28"/>
      </w:rPr>
    </w:pPr>
    <w:r>
      <w:rPr>
        <w:rFonts w:cs="Guttman Hodes" w:hint="cs"/>
        <w:b/>
        <w:bCs/>
        <w:sz w:val="28"/>
        <w:szCs w:val="28"/>
        <w:rtl/>
      </w:rPr>
      <w:t>משנתם</w:t>
    </w:r>
    <w:r w:rsidRPr="005B62A6">
      <w:rPr>
        <w:rFonts w:cs="Guttman Hodes" w:hint="cs"/>
        <w:b/>
        <w:bCs/>
        <w:color w:val="FFFFFF"/>
        <w:sz w:val="28"/>
        <w:szCs w:val="28"/>
        <w:rtl/>
      </w:rPr>
      <w:ptab w:relativeTo="margin" w:alignment="center" w:leader="middleDot"/>
    </w:r>
    <w:r w:rsidRPr="005B62A6">
      <w:rPr>
        <w:rFonts w:cs="Guttman Hodes" w:hint="cs"/>
        <w:b/>
        <w:bCs/>
        <w:color w:val="FFFFFF"/>
        <w:sz w:val="28"/>
        <w:szCs w:val="28"/>
        <w:rtl/>
      </w:rPr>
      <w:t xml:space="preserve"> </w:t>
    </w:r>
    <w:r>
      <w:rPr>
        <w:rFonts w:cs="Guttman Hodes" w:hint="cs"/>
        <w:b/>
        <w:bCs/>
        <w:sz w:val="28"/>
        <w:szCs w:val="28"/>
        <w:rtl/>
      </w:rPr>
      <w:t>סדורה</w:t>
    </w:r>
  </w:p>
  <w:p w14:paraId="28D52965" w14:textId="77777777" w:rsidR="003E1AA3" w:rsidRDefault="003E1AA3" w:rsidP="00C83122">
    <w:pPr>
      <w:pStyle w:val="affc"/>
      <w:jc w:val="center"/>
      <w:rPr>
        <w:rFonts w:cs="Guttman Hodes"/>
        <w:sz w:val="14"/>
        <w:szCs w:val="14"/>
        <w:rtl/>
      </w:rP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99FE1" w14:textId="77777777" w:rsidR="003E1AA3" w:rsidRDefault="003E1AA3">
    <w:pPr>
      <w:pStyle w:val="affc"/>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B50BD" w14:textId="77777777" w:rsidR="003E1AA3" w:rsidRPr="00181149" w:rsidRDefault="003E1AA3" w:rsidP="00A65234">
    <w:pPr>
      <w:pStyle w:val="affc"/>
      <w:jc w:val="right"/>
      <w:rPr>
        <w:rFonts w:cs="Guttman Hodes"/>
        <w:sz w:val="14"/>
        <w:szCs w:val="14"/>
        <w:rtl/>
      </w:rPr>
    </w:pPr>
    <w:r>
      <w:rPr>
        <w:rFonts w:cs="Guttman Hodes" w:hint="cs"/>
        <w:sz w:val="14"/>
        <w:szCs w:val="14"/>
        <w:rtl/>
      </w:rPr>
      <w:t>שבת</w:t>
    </w:r>
    <w:r w:rsidRPr="00BB0C9F">
      <w:rPr>
        <w:rFonts w:cs="Guttman Hodes"/>
        <w:sz w:val="14"/>
        <w:szCs w:val="14"/>
        <w:rtl/>
      </w:rPr>
      <w:t xml:space="preserve"> דף</w:t>
    </w:r>
    <w:r>
      <w:rPr>
        <w:rFonts w:cs="Guttman Hodes" w:hint="cs"/>
        <w:sz w:val="14"/>
        <w:szCs w:val="14"/>
        <w:rtl/>
      </w:rPr>
      <w:t xml:space="preserve"> ק"ב ע"ב</w:t>
    </w:r>
  </w:p>
  <w:p w14:paraId="2E555E38" w14:textId="77777777" w:rsidR="003E1AA3" w:rsidRDefault="003E1AA3" w:rsidP="00C83122">
    <w:pPr>
      <w:pStyle w:val="affc"/>
      <w:jc w:val="center"/>
      <w:rPr>
        <w:rFonts w:cs="Guttman Hodes"/>
        <w:b/>
        <w:bCs/>
        <w:sz w:val="28"/>
        <w:szCs w:val="28"/>
      </w:rPr>
    </w:pPr>
    <w:r>
      <w:rPr>
        <w:rFonts w:cs="Guttman Hodes" w:hint="cs"/>
        <w:b/>
        <w:bCs/>
        <w:sz w:val="28"/>
        <w:szCs w:val="28"/>
        <w:rtl/>
      </w:rPr>
      <w:t>משנתם</w:t>
    </w:r>
    <w:r>
      <w:rPr>
        <w:rFonts w:cs="Guttman Hodes" w:hint="cs"/>
        <w:b/>
        <w:bCs/>
        <w:color w:val="FFFFFF" w:themeColor="background1"/>
        <w:sz w:val="28"/>
        <w:szCs w:val="28"/>
        <w:rtl/>
      </w:rPr>
      <w:ptab w:relativeTo="margin" w:alignment="center" w:leader="middleDot"/>
    </w:r>
    <w:r>
      <w:rPr>
        <w:rFonts w:cs="Guttman Hodes" w:hint="cs"/>
        <w:b/>
        <w:bCs/>
        <w:color w:val="FFFFFF" w:themeColor="background1"/>
        <w:sz w:val="28"/>
        <w:szCs w:val="28"/>
        <w:rtl/>
      </w:rPr>
      <w:t xml:space="preserve"> </w:t>
    </w:r>
    <w:r>
      <w:rPr>
        <w:rFonts w:cs="Guttman Hodes" w:hint="cs"/>
        <w:b/>
        <w:bCs/>
        <w:sz w:val="28"/>
        <w:szCs w:val="28"/>
        <w:rtl/>
      </w:rPr>
      <w:t>סדורה</w:t>
    </w:r>
  </w:p>
  <w:p w14:paraId="1C0C520D" w14:textId="77777777" w:rsidR="003E1AA3" w:rsidRDefault="003E1AA3" w:rsidP="00C83122">
    <w:pPr>
      <w:pStyle w:val="affc"/>
      <w:jc w:val="center"/>
      <w:rPr>
        <w:rFonts w:cs="Guttman Hodes"/>
        <w:sz w:val="14"/>
        <w:szCs w:val="14"/>
        <w:rtl/>
      </w:rPr>
    </w:pPr>
    <w:r>
      <w:rPr>
        <w:rFonts w:cs="Guttman Hodes"/>
        <w:sz w:val="14"/>
        <w:szCs w:val="14"/>
        <w:rtl/>
      </w:rPr>
      <w:t>סימן י"ג</w:t>
    </w:r>
    <w:r w:rsidRPr="00E26C6C">
      <w:rPr>
        <w:rFonts w:cs="Guttman Hodes"/>
        <w:sz w:val="14"/>
        <w:szCs w:val="14"/>
        <w:rtl/>
      </w:rPr>
      <w:t xml:space="preserve"> בענין בנין בכלים</w:t>
    </w:r>
    <w:r>
      <w:rPr>
        <w:rFonts w:cs="Guttman Hodes" w:hint="cs"/>
        <w:sz w:val="14"/>
        <w:szCs w:val="14"/>
        <w:rtl/>
      </w:rPr>
      <w:t xml:space="preserve"> (א')</w:t>
    </w:r>
  </w:p>
  <w:p w14:paraId="1FB4900C" w14:textId="77777777" w:rsidR="003E1AA3" w:rsidRDefault="003E1AA3" w:rsidP="00C83122">
    <w:pPr>
      <w:pStyle w:val="affc"/>
      <w:jc w:val="center"/>
      <w:rPr>
        <w:rFonts w:cs="Guttman Hodes"/>
        <w:sz w:val="14"/>
        <w:szCs w:val="14"/>
        <w:rtl/>
      </w:rPr>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260F47" w14:textId="77777777" w:rsidR="003E1AA3" w:rsidRPr="00181149" w:rsidRDefault="003E1AA3" w:rsidP="00C83122">
    <w:pPr>
      <w:pStyle w:val="affc"/>
      <w:jc w:val="right"/>
      <w:rPr>
        <w:rFonts w:cs="Guttman Hodes"/>
        <w:sz w:val="14"/>
        <w:szCs w:val="14"/>
        <w:rtl/>
      </w:rPr>
    </w:pPr>
    <w:r>
      <w:rPr>
        <w:rFonts w:cs="Guttman Hodes" w:hint="cs"/>
        <w:sz w:val="14"/>
        <w:szCs w:val="14"/>
        <w:rtl/>
      </w:rPr>
      <w:t>ב"ב</w:t>
    </w:r>
    <w:r w:rsidRPr="00BB0C9F">
      <w:rPr>
        <w:rFonts w:cs="Guttman Hodes"/>
        <w:sz w:val="14"/>
        <w:szCs w:val="14"/>
        <w:rtl/>
      </w:rPr>
      <w:t xml:space="preserve"> דף</w:t>
    </w:r>
    <w:r>
      <w:rPr>
        <w:rFonts w:cs="Guttman Hodes"/>
        <w:sz w:val="14"/>
        <w:szCs w:val="14"/>
        <w:rtl/>
      </w:rPr>
      <w:t xml:space="preserve"> </w:t>
    </w:r>
  </w:p>
  <w:p w14:paraId="1124E1A6" w14:textId="77777777" w:rsidR="003E1AA3" w:rsidRDefault="003E1AA3" w:rsidP="00C83122">
    <w:pPr>
      <w:pStyle w:val="affc"/>
      <w:jc w:val="center"/>
      <w:rPr>
        <w:rFonts w:cs="Guttman Hodes"/>
        <w:b/>
        <w:bCs/>
        <w:sz w:val="28"/>
        <w:szCs w:val="28"/>
      </w:rPr>
    </w:pPr>
    <w:r>
      <w:rPr>
        <w:rFonts w:cs="Guttman Hodes" w:hint="cs"/>
        <w:b/>
        <w:bCs/>
        <w:sz w:val="28"/>
        <w:szCs w:val="28"/>
        <w:rtl/>
      </w:rPr>
      <w:t>משנתם</w:t>
    </w:r>
    <w:r>
      <w:rPr>
        <w:rFonts w:cs="Guttman Hodes" w:hint="cs"/>
        <w:b/>
        <w:bCs/>
        <w:color w:val="FFFFFF" w:themeColor="background1"/>
        <w:sz w:val="28"/>
        <w:szCs w:val="28"/>
        <w:rtl/>
      </w:rPr>
      <w:ptab w:relativeTo="margin" w:alignment="center" w:leader="middleDot"/>
    </w:r>
    <w:r>
      <w:rPr>
        <w:rFonts w:cs="Guttman Hodes" w:hint="cs"/>
        <w:b/>
        <w:bCs/>
        <w:color w:val="FFFFFF" w:themeColor="background1"/>
        <w:sz w:val="28"/>
        <w:szCs w:val="28"/>
        <w:rtl/>
      </w:rPr>
      <w:t xml:space="preserve"> </w:t>
    </w:r>
    <w:r>
      <w:rPr>
        <w:rFonts w:cs="Guttman Hodes" w:hint="cs"/>
        <w:b/>
        <w:bCs/>
        <w:sz w:val="28"/>
        <w:szCs w:val="28"/>
        <w:rtl/>
      </w:rPr>
      <w:t>סדורה</w:t>
    </w:r>
  </w:p>
  <w:p w14:paraId="4EF16263" w14:textId="77777777" w:rsidR="003E1AA3" w:rsidRDefault="003E1AA3" w:rsidP="00C83122">
    <w:pPr>
      <w:pStyle w:val="affc"/>
      <w:jc w:val="center"/>
      <w:rPr>
        <w:rFonts w:cs="Guttman Hodes"/>
        <w:sz w:val="14"/>
        <w:szCs w:val="14"/>
        <w:rtl/>
      </w:rPr>
    </w:pPr>
  </w:p>
  <w:p w14:paraId="1D585BF0" w14:textId="77777777" w:rsidR="003E1AA3" w:rsidRDefault="003E1AA3" w:rsidP="00C83122">
    <w:pPr>
      <w:pStyle w:val="affc"/>
      <w:jc w:val="center"/>
      <w:rPr>
        <w:rFonts w:cs="Guttman Hodes"/>
        <w:sz w:val="14"/>
        <w:szCs w:val="14"/>
        <w:rtl/>
      </w:rPr>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B7959" w14:textId="77777777" w:rsidR="000F6808" w:rsidRPr="00181149" w:rsidRDefault="000F6808" w:rsidP="00C83122">
    <w:pPr>
      <w:pStyle w:val="affc"/>
      <w:jc w:val="right"/>
      <w:rPr>
        <w:rFonts w:cs="Guttman Hodes"/>
        <w:sz w:val="14"/>
        <w:szCs w:val="14"/>
        <w:rtl/>
      </w:rPr>
    </w:pPr>
    <w:r>
      <w:rPr>
        <w:rFonts w:cs="Guttman Hodes" w:hint="cs"/>
        <w:sz w:val="14"/>
        <w:szCs w:val="14"/>
        <w:rtl/>
      </w:rPr>
      <w:t>ב"ב</w:t>
    </w:r>
    <w:r w:rsidRPr="00BB0C9F">
      <w:rPr>
        <w:rFonts w:cs="Guttman Hodes"/>
        <w:sz w:val="14"/>
        <w:szCs w:val="14"/>
        <w:rtl/>
      </w:rPr>
      <w:t xml:space="preserve"> דף </w:t>
    </w:r>
  </w:p>
  <w:p w14:paraId="500AED46" w14:textId="77777777" w:rsidR="000F6808" w:rsidRDefault="000F6808" w:rsidP="00C83122">
    <w:pPr>
      <w:pStyle w:val="affc"/>
      <w:jc w:val="center"/>
      <w:rPr>
        <w:rFonts w:cs="Guttman Hodes"/>
        <w:b/>
        <w:bCs/>
        <w:sz w:val="28"/>
        <w:szCs w:val="28"/>
      </w:rPr>
    </w:pPr>
    <w:r>
      <w:rPr>
        <w:rFonts w:cs="Guttman Hodes" w:hint="cs"/>
        <w:b/>
        <w:bCs/>
        <w:sz w:val="28"/>
        <w:szCs w:val="28"/>
        <w:rtl/>
      </w:rPr>
      <w:t>משנתם</w:t>
    </w:r>
    <w:r w:rsidRPr="005B62A6">
      <w:rPr>
        <w:rFonts w:cs="Guttman Hodes" w:hint="cs"/>
        <w:b/>
        <w:bCs/>
        <w:color w:val="FFFFFF"/>
        <w:sz w:val="28"/>
        <w:szCs w:val="28"/>
        <w:rtl/>
      </w:rPr>
      <w:ptab w:relativeTo="margin" w:alignment="center" w:leader="middleDot"/>
    </w:r>
    <w:r w:rsidRPr="005B62A6">
      <w:rPr>
        <w:rFonts w:cs="Guttman Hodes" w:hint="cs"/>
        <w:b/>
        <w:bCs/>
        <w:color w:val="FFFFFF"/>
        <w:sz w:val="28"/>
        <w:szCs w:val="28"/>
        <w:rtl/>
      </w:rPr>
      <w:t xml:space="preserve"> </w:t>
    </w:r>
    <w:r>
      <w:rPr>
        <w:rFonts w:cs="Guttman Hodes" w:hint="cs"/>
        <w:b/>
        <w:bCs/>
        <w:sz w:val="28"/>
        <w:szCs w:val="28"/>
        <w:rtl/>
      </w:rPr>
      <w:t>סדורה</w:t>
    </w:r>
  </w:p>
  <w:p w14:paraId="4E3D7B23" w14:textId="77777777" w:rsidR="000F6808" w:rsidRDefault="000F6808" w:rsidP="00C83122">
    <w:pPr>
      <w:pStyle w:val="affc"/>
      <w:jc w:val="center"/>
      <w:rPr>
        <w:rFonts w:cs="Guttman Hodes"/>
        <w:sz w:val="14"/>
        <w:szCs w:val="14"/>
        <w:rtl/>
      </w:rPr>
    </w:pPr>
    <w:r w:rsidRPr="00BB0C9F">
      <w:rPr>
        <w:rFonts w:cs="Guttman Hodes"/>
        <w:sz w:val="14"/>
        <w:szCs w:val="14"/>
        <w:rtl/>
      </w:rPr>
      <w:t xml:space="preserve">סימן </w:t>
    </w:r>
  </w:p>
  <w:p w14:paraId="27A9BCFE" w14:textId="77777777" w:rsidR="000F6808" w:rsidRDefault="000F6808" w:rsidP="00C83122">
    <w:pPr>
      <w:pStyle w:val="affc"/>
      <w:jc w:val="center"/>
      <w:rPr>
        <w:rFonts w:cs="Guttman Hodes"/>
        <w:sz w:val="14"/>
        <w:szCs w:val="14"/>
        <w:rtl/>
      </w:rP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3BC9A" w14:textId="77777777" w:rsidR="000F6808" w:rsidRPr="00181149" w:rsidRDefault="000F6808" w:rsidP="00E715EF">
    <w:pPr>
      <w:pStyle w:val="affc"/>
      <w:jc w:val="right"/>
      <w:rPr>
        <w:rFonts w:cs="Guttman Hodes"/>
        <w:sz w:val="14"/>
        <w:szCs w:val="14"/>
        <w:rtl/>
      </w:rPr>
    </w:pPr>
    <w:r>
      <w:rPr>
        <w:rFonts w:cs="Guttman Hodes" w:hint="cs"/>
        <w:sz w:val="14"/>
        <w:szCs w:val="14"/>
        <w:rtl/>
      </w:rPr>
      <w:t>שבת</w:t>
    </w:r>
    <w:r w:rsidRPr="00BB0C9F">
      <w:rPr>
        <w:rFonts w:cs="Guttman Hodes"/>
        <w:sz w:val="14"/>
        <w:szCs w:val="14"/>
        <w:rtl/>
      </w:rPr>
      <w:t xml:space="preserve"> דף</w:t>
    </w:r>
    <w:r>
      <w:rPr>
        <w:rFonts w:cs="Guttman Hodes" w:hint="cs"/>
        <w:sz w:val="14"/>
        <w:szCs w:val="14"/>
        <w:rtl/>
      </w:rPr>
      <w:t xml:space="preserve"> ק"ב ע"ב</w:t>
    </w:r>
  </w:p>
  <w:p w14:paraId="144721A9" w14:textId="77777777" w:rsidR="000F6808" w:rsidRDefault="000F6808" w:rsidP="00C83122">
    <w:pPr>
      <w:pStyle w:val="affc"/>
      <w:jc w:val="center"/>
      <w:rPr>
        <w:rFonts w:cs="Guttman Hodes"/>
        <w:b/>
        <w:bCs/>
        <w:sz w:val="28"/>
        <w:szCs w:val="28"/>
      </w:rPr>
    </w:pPr>
    <w:r>
      <w:rPr>
        <w:rFonts w:cs="Guttman Hodes" w:hint="cs"/>
        <w:b/>
        <w:bCs/>
        <w:sz w:val="28"/>
        <w:szCs w:val="28"/>
        <w:rtl/>
      </w:rPr>
      <w:t>משנתם</w:t>
    </w:r>
    <w:r w:rsidRPr="005B62A6">
      <w:rPr>
        <w:rFonts w:cs="Guttman Hodes" w:hint="cs"/>
        <w:b/>
        <w:bCs/>
        <w:color w:val="FFFFFF"/>
        <w:sz w:val="28"/>
        <w:szCs w:val="28"/>
        <w:rtl/>
      </w:rPr>
      <w:ptab w:relativeTo="margin" w:alignment="center" w:leader="middleDot"/>
    </w:r>
    <w:r w:rsidRPr="005B62A6">
      <w:rPr>
        <w:rFonts w:cs="Guttman Hodes" w:hint="cs"/>
        <w:b/>
        <w:bCs/>
        <w:color w:val="FFFFFF"/>
        <w:sz w:val="28"/>
        <w:szCs w:val="28"/>
        <w:rtl/>
      </w:rPr>
      <w:t xml:space="preserve"> </w:t>
    </w:r>
    <w:r>
      <w:rPr>
        <w:rFonts w:cs="Guttman Hodes" w:hint="cs"/>
        <w:b/>
        <w:bCs/>
        <w:sz w:val="28"/>
        <w:szCs w:val="28"/>
        <w:rtl/>
      </w:rPr>
      <w:t>סדורה</w:t>
    </w:r>
  </w:p>
  <w:p w14:paraId="07E30F57" w14:textId="77777777" w:rsidR="000F6808" w:rsidRDefault="000F6808" w:rsidP="00C83122">
    <w:pPr>
      <w:pStyle w:val="affc"/>
      <w:jc w:val="center"/>
      <w:rPr>
        <w:rFonts w:cs="Guttman Hodes"/>
        <w:sz w:val="14"/>
        <w:szCs w:val="14"/>
        <w:rtl/>
      </w:rP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E4B23" w14:textId="77777777" w:rsidR="000F6808" w:rsidRDefault="000F6808">
    <w:pPr>
      <w:pStyle w:val="affc"/>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FA8F0" w14:textId="77777777" w:rsidR="000F6808" w:rsidRPr="00181149" w:rsidRDefault="000F6808" w:rsidP="00A65234">
    <w:pPr>
      <w:pStyle w:val="affc"/>
      <w:jc w:val="right"/>
      <w:rPr>
        <w:rFonts w:cs="Guttman Hodes"/>
        <w:sz w:val="14"/>
        <w:szCs w:val="14"/>
        <w:rtl/>
      </w:rPr>
    </w:pPr>
    <w:r>
      <w:rPr>
        <w:rFonts w:cs="Guttman Hodes" w:hint="cs"/>
        <w:sz w:val="14"/>
        <w:szCs w:val="14"/>
        <w:rtl/>
      </w:rPr>
      <w:t>שבת</w:t>
    </w:r>
    <w:r w:rsidRPr="00BB0C9F">
      <w:rPr>
        <w:rFonts w:cs="Guttman Hodes"/>
        <w:sz w:val="14"/>
        <w:szCs w:val="14"/>
        <w:rtl/>
      </w:rPr>
      <w:t xml:space="preserve"> דף</w:t>
    </w:r>
    <w:r>
      <w:rPr>
        <w:rFonts w:cs="Guttman Hodes" w:hint="cs"/>
        <w:sz w:val="14"/>
        <w:szCs w:val="14"/>
        <w:rtl/>
      </w:rPr>
      <w:t xml:space="preserve"> ק"ב ע"ב</w:t>
    </w:r>
  </w:p>
  <w:p w14:paraId="5820B2BD" w14:textId="77777777" w:rsidR="000F6808" w:rsidRDefault="000F6808" w:rsidP="00C83122">
    <w:pPr>
      <w:pStyle w:val="affc"/>
      <w:jc w:val="center"/>
      <w:rPr>
        <w:rFonts w:cs="Guttman Hodes"/>
        <w:b/>
        <w:bCs/>
        <w:sz w:val="28"/>
        <w:szCs w:val="28"/>
      </w:rPr>
    </w:pPr>
    <w:r>
      <w:rPr>
        <w:rFonts w:cs="Guttman Hodes" w:hint="cs"/>
        <w:b/>
        <w:bCs/>
        <w:sz w:val="28"/>
        <w:szCs w:val="28"/>
        <w:rtl/>
      </w:rPr>
      <w:t>משנתם</w:t>
    </w:r>
    <w:r>
      <w:rPr>
        <w:rFonts w:cs="Guttman Hodes" w:hint="cs"/>
        <w:b/>
        <w:bCs/>
        <w:color w:val="FFFFFF" w:themeColor="background1"/>
        <w:sz w:val="28"/>
        <w:szCs w:val="28"/>
        <w:rtl/>
      </w:rPr>
      <w:ptab w:relativeTo="margin" w:alignment="center" w:leader="middleDot"/>
    </w:r>
    <w:r>
      <w:rPr>
        <w:rFonts w:cs="Guttman Hodes" w:hint="cs"/>
        <w:b/>
        <w:bCs/>
        <w:color w:val="FFFFFF" w:themeColor="background1"/>
        <w:sz w:val="28"/>
        <w:szCs w:val="28"/>
        <w:rtl/>
      </w:rPr>
      <w:t xml:space="preserve"> </w:t>
    </w:r>
    <w:r>
      <w:rPr>
        <w:rFonts w:cs="Guttman Hodes" w:hint="cs"/>
        <w:b/>
        <w:bCs/>
        <w:sz w:val="28"/>
        <w:szCs w:val="28"/>
        <w:rtl/>
      </w:rPr>
      <w:t>סדורה</w:t>
    </w:r>
  </w:p>
  <w:p w14:paraId="7975D54C" w14:textId="77777777" w:rsidR="000F6808" w:rsidRDefault="000F6808" w:rsidP="00C83122">
    <w:pPr>
      <w:pStyle w:val="affc"/>
      <w:jc w:val="center"/>
      <w:rPr>
        <w:rFonts w:cs="Guttman Hodes"/>
        <w:sz w:val="14"/>
        <w:szCs w:val="14"/>
        <w:rtl/>
      </w:rPr>
    </w:pPr>
    <w:r>
      <w:rPr>
        <w:rFonts w:cs="Guttman Hodes"/>
        <w:sz w:val="14"/>
        <w:szCs w:val="14"/>
        <w:rtl/>
      </w:rPr>
      <w:t>סימן י"ד</w:t>
    </w:r>
    <w:r w:rsidRPr="0042443F">
      <w:rPr>
        <w:rFonts w:cs="Guttman Hodes"/>
        <w:sz w:val="14"/>
        <w:szCs w:val="14"/>
        <w:rtl/>
      </w:rPr>
      <w:t xml:space="preserve"> בענין בנין בכלים (ב') בדיני תוקע ומהדק ורפוי</w:t>
    </w:r>
  </w:p>
  <w:p w14:paraId="3884C03E" w14:textId="77777777" w:rsidR="000F6808" w:rsidRDefault="000F6808" w:rsidP="00C83122">
    <w:pPr>
      <w:pStyle w:val="affc"/>
      <w:jc w:val="center"/>
      <w:rPr>
        <w:rFonts w:cs="Guttman Hodes"/>
        <w:sz w:val="14"/>
        <w:szCs w:val="14"/>
        <w:rtl/>
      </w:rPr>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DFCF3" w14:textId="77777777" w:rsidR="000F6808" w:rsidRPr="00181149" w:rsidRDefault="000F6808" w:rsidP="00C83122">
    <w:pPr>
      <w:pStyle w:val="affc"/>
      <w:jc w:val="right"/>
      <w:rPr>
        <w:rFonts w:cs="Guttman Hodes"/>
        <w:sz w:val="14"/>
        <w:szCs w:val="14"/>
        <w:rtl/>
      </w:rPr>
    </w:pPr>
    <w:r>
      <w:rPr>
        <w:rFonts w:cs="Guttman Hodes" w:hint="cs"/>
        <w:sz w:val="14"/>
        <w:szCs w:val="14"/>
        <w:rtl/>
      </w:rPr>
      <w:t>ב"ב</w:t>
    </w:r>
    <w:r w:rsidRPr="00BB0C9F">
      <w:rPr>
        <w:rFonts w:cs="Guttman Hodes"/>
        <w:sz w:val="14"/>
        <w:szCs w:val="14"/>
        <w:rtl/>
      </w:rPr>
      <w:t xml:space="preserve"> דף</w:t>
    </w:r>
    <w:r>
      <w:rPr>
        <w:rFonts w:cs="Guttman Hodes"/>
        <w:sz w:val="14"/>
        <w:szCs w:val="14"/>
        <w:rtl/>
      </w:rPr>
      <w:t xml:space="preserve"> </w:t>
    </w:r>
  </w:p>
  <w:p w14:paraId="40FDCE78" w14:textId="77777777" w:rsidR="000F6808" w:rsidRDefault="000F6808" w:rsidP="00C83122">
    <w:pPr>
      <w:pStyle w:val="affc"/>
      <w:jc w:val="center"/>
      <w:rPr>
        <w:rFonts w:cs="Guttman Hodes"/>
        <w:b/>
        <w:bCs/>
        <w:sz w:val="28"/>
        <w:szCs w:val="28"/>
      </w:rPr>
    </w:pPr>
    <w:r>
      <w:rPr>
        <w:rFonts w:cs="Guttman Hodes" w:hint="cs"/>
        <w:b/>
        <w:bCs/>
        <w:sz w:val="28"/>
        <w:szCs w:val="28"/>
        <w:rtl/>
      </w:rPr>
      <w:t>משנתם</w:t>
    </w:r>
    <w:r>
      <w:rPr>
        <w:rFonts w:cs="Guttman Hodes" w:hint="cs"/>
        <w:b/>
        <w:bCs/>
        <w:color w:val="FFFFFF" w:themeColor="background1"/>
        <w:sz w:val="28"/>
        <w:szCs w:val="28"/>
        <w:rtl/>
      </w:rPr>
      <w:ptab w:relativeTo="margin" w:alignment="center" w:leader="middleDot"/>
    </w:r>
    <w:r>
      <w:rPr>
        <w:rFonts w:cs="Guttman Hodes" w:hint="cs"/>
        <w:b/>
        <w:bCs/>
        <w:color w:val="FFFFFF" w:themeColor="background1"/>
        <w:sz w:val="28"/>
        <w:szCs w:val="28"/>
        <w:rtl/>
      </w:rPr>
      <w:t xml:space="preserve"> </w:t>
    </w:r>
    <w:r>
      <w:rPr>
        <w:rFonts w:cs="Guttman Hodes" w:hint="cs"/>
        <w:b/>
        <w:bCs/>
        <w:sz w:val="28"/>
        <w:szCs w:val="28"/>
        <w:rtl/>
      </w:rPr>
      <w:t>סדורה</w:t>
    </w:r>
  </w:p>
  <w:p w14:paraId="63E6A36A" w14:textId="77777777" w:rsidR="000F6808" w:rsidRDefault="000F6808" w:rsidP="00C83122">
    <w:pPr>
      <w:pStyle w:val="affc"/>
      <w:jc w:val="center"/>
      <w:rPr>
        <w:rFonts w:cs="Guttman Hodes"/>
        <w:sz w:val="14"/>
        <w:szCs w:val="14"/>
        <w:rtl/>
      </w:rPr>
    </w:pPr>
  </w:p>
  <w:p w14:paraId="221800D6" w14:textId="77777777" w:rsidR="000F6808" w:rsidRDefault="000F6808" w:rsidP="00C83122">
    <w:pPr>
      <w:pStyle w:val="affc"/>
      <w:jc w:val="center"/>
      <w:rPr>
        <w:rFonts w:cs="Guttman Hodes"/>
        <w:sz w:val="14"/>
        <w:szCs w:val="14"/>
        <w:rtl/>
      </w:rPr>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96C504" w14:textId="77777777" w:rsidR="00570749" w:rsidRDefault="00570749" w:rsidP="000008ED">
    <w:pPr>
      <w:pStyle w:val="affc"/>
      <w:jc w:val="center"/>
      <w:rPr>
        <w:rFonts w:cs="Guttman Hodes"/>
        <w:b/>
        <w:bCs/>
        <w:sz w:val="28"/>
        <w:szCs w:val="28"/>
      </w:rPr>
    </w:pPr>
    <w:r>
      <w:rPr>
        <w:rFonts w:cs="Guttman Hodes" w:hint="cs"/>
        <w:b/>
        <w:bCs/>
        <w:sz w:val="28"/>
        <w:szCs w:val="28"/>
        <w:rtl/>
      </w:rPr>
      <w:t>משנתם</w:t>
    </w:r>
    <w:r>
      <w:rPr>
        <w:rFonts w:cs="Guttman Hodes" w:hint="cs"/>
        <w:b/>
        <w:bCs/>
        <w:color w:val="FFFFFF" w:themeColor="background1"/>
        <w:sz w:val="28"/>
        <w:szCs w:val="28"/>
        <w:rtl/>
      </w:rPr>
      <w:ptab w:relativeTo="margin" w:alignment="center" w:leader="middleDot"/>
    </w:r>
    <w:r>
      <w:rPr>
        <w:rFonts w:cs="Guttman Hodes" w:hint="cs"/>
        <w:b/>
        <w:bCs/>
        <w:color w:val="FFFFFF" w:themeColor="background1"/>
        <w:sz w:val="28"/>
        <w:szCs w:val="28"/>
        <w:rtl/>
      </w:rPr>
      <w:t xml:space="preserve"> </w:t>
    </w:r>
    <w:r>
      <w:rPr>
        <w:rFonts w:cs="Guttman Hodes" w:hint="cs"/>
        <w:b/>
        <w:bCs/>
        <w:sz w:val="28"/>
        <w:szCs w:val="28"/>
        <w:rtl/>
      </w:rPr>
      <w:t>בלשונם</w:t>
    </w:r>
  </w:p>
  <w:p w14:paraId="091107F8" w14:textId="77777777" w:rsidR="00570749" w:rsidRDefault="00570749" w:rsidP="000008ED">
    <w:pPr>
      <w:pStyle w:val="affc"/>
      <w:jc w:val="center"/>
      <w:rPr>
        <w:rFonts w:cs="Guttman Hodes"/>
        <w:sz w:val="14"/>
        <w:szCs w:val="14"/>
        <w:rtl/>
      </w:rPr>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D498A" w14:textId="419270D6" w:rsidR="00570749" w:rsidRDefault="00570749" w:rsidP="0063266F">
    <w:pPr>
      <w:pStyle w:val="affc"/>
      <w:jc w:val="center"/>
      <w:rPr>
        <w:rFonts w:cs="Guttman Hodes"/>
        <w:b/>
        <w:bCs/>
        <w:sz w:val="28"/>
        <w:szCs w:val="28"/>
      </w:rPr>
    </w:pPr>
    <w:r>
      <w:rPr>
        <w:rFonts w:cs="Guttman Hodes" w:hint="cs"/>
        <w:b/>
        <w:bCs/>
        <w:sz w:val="28"/>
        <w:szCs w:val="28"/>
        <w:rtl/>
      </w:rPr>
      <w:t>משנתם</w:t>
    </w:r>
    <w:r>
      <w:rPr>
        <w:rFonts w:cs="Guttman Hodes" w:hint="cs"/>
        <w:b/>
        <w:bCs/>
        <w:color w:val="FFFFFF" w:themeColor="background1"/>
        <w:sz w:val="28"/>
        <w:szCs w:val="28"/>
        <w:rtl/>
      </w:rPr>
      <w:ptab w:relativeTo="margin" w:alignment="center" w:leader="middleDot"/>
    </w:r>
    <w:r>
      <w:rPr>
        <w:rFonts w:cs="Guttman Hodes" w:hint="cs"/>
        <w:b/>
        <w:bCs/>
        <w:color w:val="FFFFFF" w:themeColor="background1"/>
        <w:sz w:val="28"/>
        <w:szCs w:val="28"/>
        <w:rtl/>
      </w:rPr>
      <w:t xml:space="preserve"> </w:t>
    </w:r>
    <w:r w:rsidR="00301FE5">
      <w:rPr>
        <w:rFonts w:cs="Guttman Hodes" w:hint="cs"/>
        <w:b/>
        <w:bCs/>
        <w:sz w:val="28"/>
        <w:szCs w:val="28"/>
        <w:rtl/>
      </w:rPr>
      <w:t>סדורה</w:t>
    </w:r>
  </w:p>
  <w:p w14:paraId="1B583684" w14:textId="77777777" w:rsidR="00570749" w:rsidRDefault="00570749" w:rsidP="0063266F">
    <w:pPr>
      <w:pStyle w:val="affc"/>
      <w:jc w:val="center"/>
      <w:rPr>
        <w:rFonts w:cs="Guttman Hodes"/>
        <w:sz w:val="14"/>
        <w:szCs w:val="14"/>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3A05E10"/>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3350150E"/>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5266A6AA"/>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334C38B6"/>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1C1E2E7E"/>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B74BBD4"/>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8841722"/>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94A26D0"/>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090CC66"/>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08064A68"/>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1C2F7F8B"/>
    <w:multiLevelType w:val="hybridMultilevel"/>
    <w:tmpl w:val="7DBE6CA6"/>
    <w:lvl w:ilvl="0" w:tplc="7FF43050">
      <w:start w:val="1"/>
      <w:numFmt w:val="hebrew1"/>
      <w:pStyle w:val="TOC3"/>
      <w:suff w:val="space"/>
      <w:lvlText w:val="%1)"/>
      <w:lvlJc w:val="left"/>
      <w:pPr>
        <w:ind w:left="0" w:firstLine="0"/>
      </w:pPr>
      <w:rPr>
        <w:rFonts w:cs="Guttman Hodes" w:hint="default"/>
        <w:sz w:val="12"/>
        <w:szCs w:val="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0B072D"/>
    <w:multiLevelType w:val="hybridMultilevel"/>
    <w:tmpl w:val="55540F04"/>
    <w:lvl w:ilvl="0" w:tplc="8D101E08">
      <w:start w:val="1"/>
      <w:numFmt w:val="hebrew1"/>
      <w:pStyle w:val="a1"/>
      <w:suff w:val="space"/>
      <w:lvlText w:val="%1)"/>
      <w:lvlJc w:val="left"/>
      <w:pPr>
        <w:ind w:left="0" w:firstLine="0"/>
      </w:pPr>
      <w:rPr>
        <w:rFonts w:cs="Guttman Hodes" w:hint="default"/>
        <w:sz w:val="12"/>
        <w:szCs w:val="1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BA85FC2"/>
    <w:multiLevelType w:val="hybridMultilevel"/>
    <w:tmpl w:val="5D643886"/>
    <w:lvl w:ilvl="0" w:tplc="F00C7C96">
      <w:start w:val="1"/>
      <w:numFmt w:val="hebrew1"/>
      <w:pStyle w:val="a2"/>
      <w:suff w:val="space"/>
      <w:lvlText w:val="%1]"/>
      <w:lvlJc w:val="left"/>
      <w:pPr>
        <w:ind w:left="0" w:firstLine="0"/>
      </w:pPr>
      <w:rPr>
        <w:rFonts w:hint="default"/>
        <w:b w:val="0"/>
        <w:bCs w:val="0"/>
        <w:vanish/>
        <w:sz w:val="22"/>
        <w:szCs w:val="24"/>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8E6754"/>
    <w:multiLevelType w:val="hybridMultilevel"/>
    <w:tmpl w:val="C590A5F2"/>
    <w:lvl w:ilvl="0" w:tplc="A9D00F72">
      <w:start w:val="1"/>
      <w:numFmt w:val="hebrew1"/>
      <w:suff w:val="space"/>
      <w:lvlText w:val="%1)"/>
      <w:lvlJc w:val="left"/>
      <w:pPr>
        <w:ind w:left="0" w:firstLine="0"/>
      </w:pPr>
      <w:rPr>
        <w:rFonts w:cs="Guttman Hodes" w:hint="default"/>
        <w:sz w:val="12"/>
        <w:szCs w:val="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5763DF"/>
    <w:multiLevelType w:val="hybridMultilevel"/>
    <w:tmpl w:val="C4603358"/>
    <w:lvl w:ilvl="0" w:tplc="44469274">
      <w:start w:val="1"/>
      <w:numFmt w:val="hebrew1"/>
      <w:pStyle w:val="a3"/>
      <w:suff w:val="space"/>
      <w:lvlText w:val="%1)"/>
      <w:lvlJc w:val="left"/>
      <w:pPr>
        <w:ind w:left="0" w:firstLine="0"/>
      </w:pPr>
      <w:rPr>
        <w:rFonts w:cs="Guttman Hodes" w:hint="default"/>
        <w:b w:val="0"/>
        <w:bCs w:val="0"/>
        <w:sz w:val="16"/>
        <w:szCs w:val="18"/>
        <w:lang w:val="en-US"/>
      </w:rPr>
    </w:lvl>
    <w:lvl w:ilvl="1" w:tplc="04090019">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5" w15:restartNumberingAfterBreak="0">
    <w:nsid w:val="4E1E25C0"/>
    <w:multiLevelType w:val="multilevel"/>
    <w:tmpl w:val="FA8C64A6"/>
    <w:lvl w:ilvl="0">
      <w:start w:val="1"/>
      <w:numFmt w:val="decimal"/>
      <w:pStyle w:val="a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58F320A6"/>
    <w:multiLevelType w:val="multilevel"/>
    <w:tmpl w:val="887456F8"/>
    <w:lvl w:ilvl="0">
      <w:start w:val="1"/>
      <w:numFmt w:val="decimal"/>
      <w:pStyle w:val="a5"/>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4"/>
  </w:num>
  <w:num w:numId="2">
    <w:abstractNumId w:val="15"/>
  </w:num>
  <w:num w:numId="3">
    <w:abstractNumId w:val="16"/>
  </w:num>
  <w:num w:numId="4">
    <w:abstractNumId w:val="12"/>
  </w:num>
  <w:num w:numId="5">
    <w:abstractNumId w:val="13"/>
  </w:num>
  <w:num w:numId="6">
    <w:abstractNumId w:val="8"/>
  </w:num>
  <w:num w:numId="7">
    <w:abstractNumId w:val="3"/>
  </w:num>
  <w:num w:numId="8">
    <w:abstractNumId w:val="2"/>
  </w:num>
  <w:num w:numId="9">
    <w:abstractNumId w:val="1"/>
  </w:num>
  <w:num w:numId="10">
    <w:abstractNumId w:val="0"/>
  </w:num>
  <w:num w:numId="11">
    <w:abstractNumId w:val="9"/>
  </w:num>
  <w:num w:numId="12">
    <w:abstractNumId w:val="7"/>
  </w:num>
  <w:num w:numId="13">
    <w:abstractNumId w:val="6"/>
  </w:num>
  <w:num w:numId="14">
    <w:abstractNumId w:val="5"/>
  </w:num>
  <w:num w:numId="15">
    <w:abstractNumId w:val="4"/>
  </w:num>
  <w:num w:numId="16">
    <w:abstractNumId w:val="14"/>
    <w:lvlOverride w:ilvl="0">
      <w:startOverride w:val="1"/>
    </w:lvlOverride>
  </w:num>
  <w:num w:numId="17">
    <w:abstractNumId w:val="13"/>
    <w:lvlOverride w:ilvl="0">
      <w:startOverride w:val="1"/>
    </w:lvlOverride>
  </w:num>
  <w:num w:numId="18">
    <w:abstractNumId w:val="11"/>
  </w:num>
  <w:num w:numId="19">
    <w:abstractNumId w:val="14"/>
    <w:lvlOverride w:ilvl="0">
      <w:startOverride w:val="1"/>
    </w:lvlOverride>
  </w:num>
  <w:num w:numId="20">
    <w:abstractNumId w:val="14"/>
    <w:lvlOverride w:ilvl="0">
      <w:startOverride w:val="1"/>
    </w:lvlOverride>
  </w:num>
  <w:num w:numId="21">
    <w:abstractNumId w:val="14"/>
    <w:lvlOverride w:ilvl="0">
      <w:startOverride w:val="1"/>
    </w:lvlOverride>
  </w:num>
  <w:num w:numId="22">
    <w:abstractNumId w:val="14"/>
    <w:lvlOverride w:ilvl="0">
      <w:startOverride w:val="1"/>
    </w:lvlOverride>
  </w:num>
  <w:num w:numId="23">
    <w:abstractNumId w:val="14"/>
    <w:lvlOverride w:ilvl="0">
      <w:startOverride w:val="1"/>
    </w:lvlOverride>
  </w:num>
  <w:num w:numId="24">
    <w:abstractNumId w:val="14"/>
    <w:lvlOverride w:ilvl="0">
      <w:startOverride w:val="1"/>
    </w:lvlOverride>
  </w:num>
  <w:num w:numId="25">
    <w:abstractNumId w:val="14"/>
    <w:lvlOverride w:ilvl="0">
      <w:startOverride w:val="1"/>
    </w:lvlOverride>
  </w:num>
  <w:num w:numId="26">
    <w:abstractNumId w:val="14"/>
    <w:lvlOverride w:ilvl="0">
      <w:startOverride w:val="1"/>
    </w:lvlOverride>
  </w:num>
  <w:num w:numId="27">
    <w:abstractNumId w:val="12"/>
    <w:lvlOverride w:ilvl="0">
      <w:startOverride w:val="1"/>
    </w:lvlOverride>
  </w:num>
  <w:num w:numId="28">
    <w:abstractNumId w:val="14"/>
    <w:lvlOverride w:ilvl="0">
      <w:startOverride w:val="1"/>
    </w:lvlOverride>
  </w:num>
  <w:num w:numId="29">
    <w:abstractNumId w:val="14"/>
    <w:lvlOverride w:ilvl="0">
      <w:startOverride w:val="1"/>
    </w:lvlOverride>
  </w:num>
  <w:num w:numId="30">
    <w:abstractNumId w:val="14"/>
    <w:lvlOverride w:ilvl="0">
      <w:startOverride w:val="1"/>
    </w:lvlOverride>
  </w:num>
  <w:num w:numId="31">
    <w:abstractNumId w:val="10"/>
  </w:num>
  <w:num w:numId="32">
    <w:abstractNumId w:val="10"/>
    <w:lvlOverride w:ilvl="0">
      <w:startOverride w:val="1"/>
    </w:lvlOverride>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1"/>
  <w:gutterAtTop/>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F35"/>
    <w:rsid w:val="00000247"/>
    <w:rsid w:val="000003D5"/>
    <w:rsid w:val="000008ED"/>
    <w:rsid w:val="0000095C"/>
    <w:rsid w:val="00000E4B"/>
    <w:rsid w:val="00001062"/>
    <w:rsid w:val="000011AE"/>
    <w:rsid w:val="00001D35"/>
    <w:rsid w:val="00001D93"/>
    <w:rsid w:val="00001F42"/>
    <w:rsid w:val="000024F3"/>
    <w:rsid w:val="000026F5"/>
    <w:rsid w:val="00002C00"/>
    <w:rsid w:val="00002E05"/>
    <w:rsid w:val="0000340A"/>
    <w:rsid w:val="000036AD"/>
    <w:rsid w:val="00003C59"/>
    <w:rsid w:val="00003DDA"/>
    <w:rsid w:val="0000431F"/>
    <w:rsid w:val="000045A9"/>
    <w:rsid w:val="00004621"/>
    <w:rsid w:val="00004CD4"/>
    <w:rsid w:val="0000598E"/>
    <w:rsid w:val="00005B3F"/>
    <w:rsid w:val="00006082"/>
    <w:rsid w:val="000060C8"/>
    <w:rsid w:val="0000669C"/>
    <w:rsid w:val="00006774"/>
    <w:rsid w:val="00006D60"/>
    <w:rsid w:val="00006EA2"/>
    <w:rsid w:val="0000745F"/>
    <w:rsid w:val="0000750E"/>
    <w:rsid w:val="00007580"/>
    <w:rsid w:val="000075A6"/>
    <w:rsid w:val="0000778D"/>
    <w:rsid w:val="000077D6"/>
    <w:rsid w:val="00007834"/>
    <w:rsid w:val="000078DF"/>
    <w:rsid w:val="00007B34"/>
    <w:rsid w:val="00007F5D"/>
    <w:rsid w:val="00007F94"/>
    <w:rsid w:val="0001002D"/>
    <w:rsid w:val="00010654"/>
    <w:rsid w:val="0001066F"/>
    <w:rsid w:val="00010768"/>
    <w:rsid w:val="0001096C"/>
    <w:rsid w:val="00010C59"/>
    <w:rsid w:val="00010F24"/>
    <w:rsid w:val="000113FB"/>
    <w:rsid w:val="00011A90"/>
    <w:rsid w:val="00011AB5"/>
    <w:rsid w:val="00011ACC"/>
    <w:rsid w:val="00011D1F"/>
    <w:rsid w:val="00011F3E"/>
    <w:rsid w:val="00012A53"/>
    <w:rsid w:val="0001321B"/>
    <w:rsid w:val="00013271"/>
    <w:rsid w:val="000134DC"/>
    <w:rsid w:val="000136B1"/>
    <w:rsid w:val="000136EA"/>
    <w:rsid w:val="00013759"/>
    <w:rsid w:val="00013B68"/>
    <w:rsid w:val="0001428D"/>
    <w:rsid w:val="0001461E"/>
    <w:rsid w:val="000149D6"/>
    <w:rsid w:val="000151A6"/>
    <w:rsid w:val="0001537D"/>
    <w:rsid w:val="000153B9"/>
    <w:rsid w:val="00015666"/>
    <w:rsid w:val="000158CA"/>
    <w:rsid w:val="00015A4B"/>
    <w:rsid w:val="00015ACF"/>
    <w:rsid w:val="00015B19"/>
    <w:rsid w:val="00016554"/>
    <w:rsid w:val="000169D5"/>
    <w:rsid w:val="00016B4F"/>
    <w:rsid w:val="00016CAF"/>
    <w:rsid w:val="00017000"/>
    <w:rsid w:val="00017593"/>
    <w:rsid w:val="00017919"/>
    <w:rsid w:val="00017CD8"/>
    <w:rsid w:val="000202BB"/>
    <w:rsid w:val="0002051B"/>
    <w:rsid w:val="00020567"/>
    <w:rsid w:val="0002056E"/>
    <w:rsid w:val="000206F4"/>
    <w:rsid w:val="00021EDB"/>
    <w:rsid w:val="000224D4"/>
    <w:rsid w:val="0002321A"/>
    <w:rsid w:val="0002337A"/>
    <w:rsid w:val="000233BE"/>
    <w:rsid w:val="00023438"/>
    <w:rsid w:val="00023812"/>
    <w:rsid w:val="00023A57"/>
    <w:rsid w:val="00023A92"/>
    <w:rsid w:val="00023F1F"/>
    <w:rsid w:val="00024699"/>
    <w:rsid w:val="000247ED"/>
    <w:rsid w:val="00024BD2"/>
    <w:rsid w:val="00024D09"/>
    <w:rsid w:val="000253A7"/>
    <w:rsid w:val="00025494"/>
    <w:rsid w:val="000255BC"/>
    <w:rsid w:val="000255E9"/>
    <w:rsid w:val="0002580D"/>
    <w:rsid w:val="00025942"/>
    <w:rsid w:val="00025ADD"/>
    <w:rsid w:val="00025FF3"/>
    <w:rsid w:val="00026C46"/>
    <w:rsid w:val="00026F41"/>
    <w:rsid w:val="0002735B"/>
    <w:rsid w:val="00030F00"/>
    <w:rsid w:val="00031374"/>
    <w:rsid w:val="0003154C"/>
    <w:rsid w:val="00031578"/>
    <w:rsid w:val="0003167A"/>
    <w:rsid w:val="00031E34"/>
    <w:rsid w:val="0003204D"/>
    <w:rsid w:val="00033C78"/>
    <w:rsid w:val="00033F93"/>
    <w:rsid w:val="000345EE"/>
    <w:rsid w:val="00035052"/>
    <w:rsid w:val="0003536C"/>
    <w:rsid w:val="00035720"/>
    <w:rsid w:val="000359BC"/>
    <w:rsid w:val="00036CBA"/>
    <w:rsid w:val="00036DC6"/>
    <w:rsid w:val="0003744A"/>
    <w:rsid w:val="00037D96"/>
    <w:rsid w:val="000405CC"/>
    <w:rsid w:val="000409E9"/>
    <w:rsid w:val="00040A25"/>
    <w:rsid w:val="00041509"/>
    <w:rsid w:val="000415EB"/>
    <w:rsid w:val="00041AD3"/>
    <w:rsid w:val="00041F80"/>
    <w:rsid w:val="00042434"/>
    <w:rsid w:val="000426DE"/>
    <w:rsid w:val="00042ACD"/>
    <w:rsid w:val="00042E10"/>
    <w:rsid w:val="00042FD1"/>
    <w:rsid w:val="0004325C"/>
    <w:rsid w:val="0004353D"/>
    <w:rsid w:val="0004366D"/>
    <w:rsid w:val="00043BBC"/>
    <w:rsid w:val="00043BC8"/>
    <w:rsid w:val="00043DFB"/>
    <w:rsid w:val="00043E3A"/>
    <w:rsid w:val="00044281"/>
    <w:rsid w:val="0004440C"/>
    <w:rsid w:val="0004474C"/>
    <w:rsid w:val="000451BD"/>
    <w:rsid w:val="00045B25"/>
    <w:rsid w:val="00045ECD"/>
    <w:rsid w:val="0004600D"/>
    <w:rsid w:val="0004609C"/>
    <w:rsid w:val="000460E6"/>
    <w:rsid w:val="000461E1"/>
    <w:rsid w:val="000463EF"/>
    <w:rsid w:val="000466EC"/>
    <w:rsid w:val="00046930"/>
    <w:rsid w:val="00046B16"/>
    <w:rsid w:val="00046CDA"/>
    <w:rsid w:val="000471A7"/>
    <w:rsid w:val="0004748C"/>
    <w:rsid w:val="00047EBC"/>
    <w:rsid w:val="000509FD"/>
    <w:rsid w:val="00050B89"/>
    <w:rsid w:val="00050C6B"/>
    <w:rsid w:val="00050EA8"/>
    <w:rsid w:val="0005166F"/>
    <w:rsid w:val="00051C36"/>
    <w:rsid w:val="0005303F"/>
    <w:rsid w:val="0005333E"/>
    <w:rsid w:val="0005345D"/>
    <w:rsid w:val="000534BD"/>
    <w:rsid w:val="00053C64"/>
    <w:rsid w:val="00053CC6"/>
    <w:rsid w:val="00054274"/>
    <w:rsid w:val="000543C3"/>
    <w:rsid w:val="00055034"/>
    <w:rsid w:val="000557B1"/>
    <w:rsid w:val="000557ED"/>
    <w:rsid w:val="000558F0"/>
    <w:rsid w:val="00055D15"/>
    <w:rsid w:val="000561D0"/>
    <w:rsid w:val="00056320"/>
    <w:rsid w:val="00056399"/>
    <w:rsid w:val="00056611"/>
    <w:rsid w:val="0005698C"/>
    <w:rsid w:val="00056BE9"/>
    <w:rsid w:val="00056CDE"/>
    <w:rsid w:val="000571A7"/>
    <w:rsid w:val="00057264"/>
    <w:rsid w:val="000572BC"/>
    <w:rsid w:val="0005759C"/>
    <w:rsid w:val="00057AD0"/>
    <w:rsid w:val="00057C50"/>
    <w:rsid w:val="00057D21"/>
    <w:rsid w:val="0006038C"/>
    <w:rsid w:val="00060957"/>
    <w:rsid w:val="000610AE"/>
    <w:rsid w:val="00061278"/>
    <w:rsid w:val="000612AC"/>
    <w:rsid w:val="000612E8"/>
    <w:rsid w:val="00061463"/>
    <w:rsid w:val="000614F7"/>
    <w:rsid w:val="00061839"/>
    <w:rsid w:val="00061848"/>
    <w:rsid w:val="00061F90"/>
    <w:rsid w:val="00062839"/>
    <w:rsid w:val="00062DFD"/>
    <w:rsid w:val="000631F7"/>
    <w:rsid w:val="00063BC5"/>
    <w:rsid w:val="00063E05"/>
    <w:rsid w:val="00063EBA"/>
    <w:rsid w:val="00063FF2"/>
    <w:rsid w:val="0006413D"/>
    <w:rsid w:val="00064709"/>
    <w:rsid w:val="00064F5C"/>
    <w:rsid w:val="0006594C"/>
    <w:rsid w:val="00065BC8"/>
    <w:rsid w:val="00065BDB"/>
    <w:rsid w:val="00065C2D"/>
    <w:rsid w:val="00065DA8"/>
    <w:rsid w:val="000664CD"/>
    <w:rsid w:val="00066793"/>
    <w:rsid w:val="000667AE"/>
    <w:rsid w:val="000669B4"/>
    <w:rsid w:val="00066CB8"/>
    <w:rsid w:val="000672CD"/>
    <w:rsid w:val="00067400"/>
    <w:rsid w:val="000675CF"/>
    <w:rsid w:val="00067B7C"/>
    <w:rsid w:val="00067D62"/>
    <w:rsid w:val="00067E49"/>
    <w:rsid w:val="00070019"/>
    <w:rsid w:val="00070D61"/>
    <w:rsid w:val="0007136A"/>
    <w:rsid w:val="000717A5"/>
    <w:rsid w:val="00071AFC"/>
    <w:rsid w:val="00071BDA"/>
    <w:rsid w:val="00071C01"/>
    <w:rsid w:val="00071C70"/>
    <w:rsid w:val="00071E59"/>
    <w:rsid w:val="00071F7D"/>
    <w:rsid w:val="00072083"/>
    <w:rsid w:val="00072342"/>
    <w:rsid w:val="00072BB3"/>
    <w:rsid w:val="00072CF3"/>
    <w:rsid w:val="00072E7B"/>
    <w:rsid w:val="00073101"/>
    <w:rsid w:val="00073572"/>
    <w:rsid w:val="00073C89"/>
    <w:rsid w:val="00073F8F"/>
    <w:rsid w:val="00074072"/>
    <w:rsid w:val="000744FC"/>
    <w:rsid w:val="00074D44"/>
    <w:rsid w:val="00074DC0"/>
    <w:rsid w:val="00075184"/>
    <w:rsid w:val="0007522A"/>
    <w:rsid w:val="00075273"/>
    <w:rsid w:val="00075381"/>
    <w:rsid w:val="000753B6"/>
    <w:rsid w:val="000755B0"/>
    <w:rsid w:val="00075769"/>
    <w:rsid w:val="00075A92"/>
    <w:rsid w:val="00075F4C"/>
    <w:rsid w:val="000765EC"/>
    <w:rsid w:val="0007698F"/>
    <w:rsid w:val="00077059"/>
    <w:rsid w:val="00077087"/>
    <w:rsid w:val="0007718E"/>
    <w:rsid w:val="000771F9"/>
    <w:rsid w:val="000773EA"/>
    <w:rsid w:val="00077579"/>
    <w:rsid w:val="00077A98"/>
    <w:rsid w:val="0008020F"/>
    <w:rsid w:val="000807D4"/>
    <w:rsid w:val="00080C73"/>
    <w:rsid w:val="00080D4B"/>
    <w:rsid w:val="00080F8A"/>
    <w:rsid w:val="00081719"/>
    <w:rsid w:val="000817EA"/>
    <w:rsid w:val="00081D0D"/>
    <w:rsid w:val="00081D76"/>
    <w:rsid w:val="00081DE7"/>
    <w:rsid w:val="000821EE"/>
    <w:rsid w:val="000822C7"/>
    <w:rsid w:val="00082563"/>
    <w:rsid w:val="000825BD"/>
    <w:rsid w:val="0008265A"/>
    <w:rsid w:val="0008288F"/>
    <w:rsid w:val="000829DF"/>
    <w:rsid w:val="00082C78"/>
    <w:rsid w:val="0008313E"/>
    <w:rsid w:val="0008366E"/>
    <w:rsid w:val="000836AB"/>
    <w:rsid w:val="00083789"/>
    <w:rsid w:val="00084329"/>
    <w:rsid w:val="0008465D"/>
    <w:rsid w:val="00084B96"/>
    <w:rsid w:val="000856FB"/>
    <w:rsid w:val="00085957"/>
    <w:rsid w:val="000861C9"/>
    <w:rsid w:val="00086C99"/>
    <w:rsid w:val="000870A9"/>
    <w:rsid w:val="000870C7"/>
    <w:rsid w:val="0008726E"/>
    <w:rsid w:val="00087578"/>
    <w:rsid w:val="000876F5"/>
    <w:rsid w:val="0008777F"/>
    <w:rsid w:val="00087B24"/>
    <w:rsid w:val="00087C47"/>
    <w:rsid w:val="00087F5B"/>
    <w:rsid w:val="0009036F"/>
    <w:rsid w:val="00090ED9"/>
    <w:rsid w:val="000911C4"/>
    <w:rsid w:val="0009159E"/>
    <w:rsid w:val="000917D7"/>
    <w:rsid w:val="0009182A"/>
    <w:rsid w:val="00091940"/>
    <w:rsid w:val="00091965"/>
    <w:rsid w:val="00091AF3"/>
    <w:rsid w:val="00091EFC"/>
    <w:rsid w:val="000928AE"/>
    <w:rsid w:val="00093322"/>
    <w:rsid w:val="000933FE"/>
    <w:rsid w:val="000937D3"/>
    <w:rsid w:val="00093B00"/>
    <w:rsid w:val="00093BC7"/>
    <w:rsid w:val="00093F76"/>
    <w:rsid w:val="000947EC"/>
    <w:rsid w:val="00094889"/>
    <w:rsid w:val="00094BC6"/>
    <w:rsid w:val="00094BE2"/>
    <w:rsid w:val="000952DA"/>
    <w:rsid w:val="00095C71"/>
    <w:rsid w:val="00095C8F"/>
    <w:rsid w:val="00095D15"/>
    <w:rsid w:val="00096148"/>
    <w:rsid w:val="00096517"/>
    <w:rsid w:val="00096BE7"/>
    <w:rsid w:val="00096BF3"/>
    <w:rsid w:val="000976DD"/>
    <w:rsid w:val="00097724"/>
    <w:rsid w:val="00097932"/>
    <w:rsid w:val="000A0063"/>
    <w:rsid w:val="000A0A51"/>
    <w:rsid w:val="000A0B02"/>
    <w:rsid w:val="000A0DC6"/>
    <w:rsid w:val="000A0ECF"/>
    <w:rsid w:val="000A0FBF"/>
    <w:rsid w:val="000A11B8"/>
    <w:rsid w:val="000A174B"/>
    <w:rsid w:val="000A1857"/>
    <w:rsid w:val="000A18D0"/>
    <w:rsid w:val="000A1BEA"/>
    <w:rsid w:val="000A21C5"/>
    <w:rsid w:val="000A23A9"/>
    <w:rsid w:val="000A2435"/>
    <w:rsid w:val="000A290F"/>
    <w:rsid w:val="000A3189"/>
    <w:rsid w:val="000A34B7"/>
    <w:rsid w:val="000A37EA"/>
    <w:rsid w:val="000A3915"/>
    <w:rsid w:val="000A3C15"/>
    <w:rsid w:val="000A3FCD"/>
    <w:rsid w:val="000A442C"/>
    <w:rsid w:val="000A4812"/>
    <w:rsid w:val="000A4CCD"/>
    <w:rsid w:val="000A5805"/>
    <w:rsid w:val="000A64A1"/>
    <w:rsid w:val="000A65A3"/>
    <w:rsid w:val="000A6642"/>
    <w:rsid w:val="000A6802"/>
    <w:rsid w:val="000A6849"/>
    <w:rsid w:val="000A6871"/>
    <w:rsid w:val="000A6C74"/>
    <w:rsid w:val="000A6DC2"/>
    <w:rsid w:val="000A6E79"/>
    <w:rsid w:val="000A781D"/>
    <w:rsid w:val="000A7C38"/>
    <w:rsid w:val="000A7C8B"/>
    <w:rsid w:val="000A7D9D"/>
    <w:rsid w:val="000B0125"/>
    <w:rsid w:val="000B07FC"/>
    <w:rsid w:val="000B0F29"/>
    <w:rsid w:val="000B1152"/>
    <w:rsid w:val="000B1B1E"/>
    <w:rsid w:val="000B1F38"/>
    <w:rsid w:val="000B222F"/>
    <w:rsid w:val="000B2231"/>
    <w:rsid w:val="000B293E"/>
    <w:rsid w:val="000B2DCF"/>
    <w:rsid w:val="000B2E60"/>
    <w:rsid w:val="000B34B3"/>
    <w:rsid w:val="000B366F"/>
    <w:rsid w:val="000B376C"/>
    <w:rsid w:val="000B3C6F"/>
    <w:rsid w:val="000B3D4C"/>
    <w:rsid w:val="000B3DC5"/>
    <w:rsid w:val="000B442C"/>
    <w:rsid w:val="000B460B"/>
    <w:rsid w:val="000B47BA"/>
    <w:rsid w:val="000B4937"/>
    <w:rsid w:val="000B4A1B"/>
    <w:rsid w:val="000B4D91"/>
    <w:rsid w:val="000B55C6"/>
    <w:rsid w:val="000B6419"/>
    <w:rsid w:val="000B66E5"/>
    <w:rsid w:val="000B6CA5"/>
    <w:rsid w:val="000B71E8"/>
    <w:rsid w:val="000B7595"/>
    <w:rsid w:val="000B75FE"/>
    <w:rsid w:val="000B763D"/>
    <w:rsid w:val="000B77F7"/>
    <w:rsid w:val="000C02D4"/>
    <w:rsid w:val="000C034D"/>
    <w:rsid w:val="000C0438"/>
    <w:rsid w:val="000C0995"/>
    <w:rsid w:val="000C0ECE"/>
    <w:rsid w:val="000C1022"/>
    <w:rsid w:val="000C18F6"/>
    <w:rsid w:val="000C19FF"/>
    <w:rsid w:val="000C1A9E"/>
    <w:rsid w:val="000C1BED"/>
    <w:rsid w:val="000C1D26"/>
    <w:rsid w:val="000C1DD8"/>
    <w:rsid w:val="000C1ECE"/>
    <w:rsid w:val="000C1ED4"/>
    <w:rsid w:val="000C2780"/>
    <w:rsid w:val="000C28FF"/>
    <w:rsid w:val="000C2956"/>
    <w:rsid w:val="000C2988"/>
    <w:rsid w:val="000C3260"/>
    <w:rsid w:val="000C34F5"/>
    <w:rsid w:val="000C366B"/>
    <w:rsid w:val="000C3B8E"/>
    <w:rsid w:val="000C3C7E"/>
    <w:rsid w:val="000C3D5E"/>
    <w:rsid w:val="000C40EE"/>
    <w:rsid w:val="000C41E6"/>
    <w:rsid w:val="000C41E9"/>
    <w:rsid w:val="000C42E0"/>
    <w:rsid w:val="000C4396"/>
    <w:rsid w:val="000C44DE"/>
    <w:rsid w:val="000C494D"/>
    <w:rsid w:val="000C4C65"/>
    <w:rsid w:val="000C52A4"/>
    <w:rsid w:val="000C5369"/>
    <w:rsid w:val="000C546A"/>
    <w:rsid w:val="000C5EED"/>
    <w:rsid w:val="000C6362"/>
    <w:rsid w:val="000C66BB"/>
    <w:rsid w:val="000C6972"/>
    <w:rsid w:val="000C6B1A"/>
    <w:rsid w:val="000C6DEF"/>
    <w:rsid w:val="000C727C"/>
    <w:rsid w:val="000C72F6"/>
    <w:rsid w:val="000C78C1"/>
    <w:rsid w:val="000C7CCF"/>
    <w:rsid w:val="000C7EBF"/>
    <w:rsid w:val="000C7FB4"/>
    <w:rsid w:val="000D0220"/>
    <w:rsid w:val="000D084A"/>
    <w:rsid w:val="000D096A"/>
    <w:rsid w:val="000D0FA6"/>
    <w:rsid w:val="000D1081"/>
    <w:rsid w:val="000D19B3"/>
    <w:rsid w:val="000D1AF4"/>
    <w:rsid w:val="000D1CC1"/>
    <w:rsid w:val="000D2193"/>
    <w:rsid w:val="000D2313"/>
    <w:rsid w:val="000D23D0"/>
    <w:rsid w:val="000D2A28"/>
    <w:rsid w:val="000D30B7"/>
    <w:rsid w:val="000D3176"/>
    <w:rsid w:val="000D3669"/>
    <w:rsid w:val="000D39E4"/>
    <w:rsid w:val="000D3BE4"/>
    <w:rsid w:val="000D3C9B"/>
    <w:rsid w:val="000D43D0"/>
    <w:rsid w:val="000D4469"/>
    <w:rsid w:val="000D48A0"/>
    <w:rsid w:val="000D4AF9"/>
    <w:rsid w:val="000D4E5E"/>
    <w:rsid w:val="000D4EF0"/>
    <w:rsid w:val="000D504B"/>
    <w:rsid w:val="000D5652"/>
    <w:rsid w:val="000D5954"/>
    <w:rsid w:val="000D5A7E"/>
    <w:rsid w:val="000D5C16"/>
    <w:rsid w:val="000D6246"/>
    <w:rsid w:val="000D6291"/>
    <w:rsid w:val="000D63ED"/>
    <w:rsid w:val="000D657D"/>
    <w:rsid w:val="000D660A"/>
    <w:rsid w:val="000D6775"/>
    <w:rsid w:val="000D6B40"/>
    <w:rsid w:val="000D6E7A"/>
    <w:rsid w:val="000D6F0B"/>
    <w:rsid w:val="000D716F"/>
    <w:rsid w:val="000D7894"/>
    <w:rsid w:val="000D7C9D"/>
    <w:rsid w:val="000E02F5"/>
    <w:rsid w:val="000E0643"/>
    <w:rsid w:val="000E093E"/>
    <w:rsid w:val="000E0AAE"/>
    <w:rsid w:val="000E0F84"/>
    <w:rsid w:val="000E0F94"/>
    <w:rsid w:val="000E13F3"/>
    <w:rsid w:val="000E145C"/>
    <w:rsid w:val="000E15BD"/>
    <w:rsid w:val="000E171D"/>
    <w:rsid w:val="000E1A96"/>
    <w:rsid w:val="000E1DA2"/>
    <w:rsid w:val="000E1F6B"/>
    <w:rsid w:val="000E20C0"/>
    <w:rsid w:val="000E2965"/>
    <w:rsid w:val="000E2A0D"/>
    <w:rsid w:val="000E2AB2"/>
    <w:rsid w:val="000E2B71"/>
    <w:rsid w:val="000E2DC2"/>
    <w:rsid w:val="000E3A96"/>
    <w:rsid w:val="000E3BC4"/>
    <w:rsid w:val="000E3EE5"/>
    <w:rsid w:val="000E4100"/>
    <w:rsid w:val="000E41A6"/>
    <w:rsid w:val="000E488F"/>
    <w:rsid w:val="000E4B35"/>
    <w:rsid w:val="000E4C07"/>
    <w:rsid w:val="000E4FA5"/>
    <w:rsid w:val="000E5079"/>
    <w:rsid w:val="000E559B"/>
    <w:rsid w:val="000E5636"/>
    <w:rsid w:val="000E5C21"/>
    <w:rsid w:val="000E6451"/>
    <w:rsid w:val="000E652E"/>
    <w:rsid w:val="000E6D75"/>
    <w:rsid w:val="000E7293"/>
    <w:rsid w:val="000E74AA"/>
    <w:rsid w:val="000E757D"/>
    <w:rsid w:val="000E7A76"/>
    <w:rsid w:val="000E7A9A"/>
    <w:rsid w:val="000E7B30"/>
    <w:rsid w:val="000F0255"/>
    <w:rsid w:val="000F02A3"/>
    <w:rsid w:val="000F05F6"/>
    <w:rsid w:val="000F0F71"/>
    <w:rsid w:val="000F1309"/>
    <w:rsid w:val="000F171F"/>
    <w:rsid w:val="000F1DE8"/>
    <w:rsid w:val="000F1ED4"/>
    <w:rsid w:val="000F22B9"/>
    <w:rsid w:val="000F29F5"/>
    <w:rsid w:val="000F3160"/>
    <w:rsid w:val="000F35AB"/>
    <w:rsid w:val="000F3702"/>
    <w:rsid w:val="000F3882"/>
    <w:rsid w:val="000F4A3F"/>
    <w:rsid w:val="000F4F1D"/>
    <w:rsid w:val="000F551D"/>
    <w:rsid w:val="000F5695"/>
    <w:rsid w:val="000F5897"/>
    <w:rsid w:val="000F5A4E"/>
    <w:rsid w:val="000F5CA6"/>
    <w:rsid w:val="000F603E"/>
    <w:rsid w:val="000F6176"/>
    <w:rsid w:val="000F622D"/>
    <w:rsid w:val="000F6380"/>
    <w:rsid w:val="000F6808"/>
    <w:rsid w:val="000F6BD2"/>
    <w:rsid w:val="000F6C79"/>
    <w:rsid w:val="000F6D82"/>
    <w:rsid w:val="000F7326"/>
    <w:rsid w:val="000F76A8"/>
    <w:rsid w:val="000F784C"/>
    <w:rsid w:val="000F78AD"/>
    <w:rsid w:val="000F7BD7"/>
    <w:rsid w:val="000F7C5F"/>
    <w:rsid w:val="001000F8"/>
    <w:rsid w:val="0010025B"/>
    <w:rsid w:val="00100495"/>
    <w:rsid w:val="00100B35"/>
    <w:rsid w:val="00100B8E"/>
    <w:rsid w:val="00100E3E"/>
    <w:rsid w:val="00100EA7"/>
    <w:rsid w:val="00101382"/>
    <w:rsid w:val="00101B8A"/>
    <w:rsid w:val="00101E7F"/>
    <w:rsid w:val="00102099"/>
    <w:rsid w:val="0010217D"/>
    <w:rsid w:val="0010240D"/>
    <w:rsid w:val="0010268E"/>
    <w:rsid w:val="001027BA"/>
    <w:rsid w:val="0010297F"/>
    <w:rsid w:val="00102A32"/>
    <w:rsid w:val="00102AE9"/>
    <w:rsid w:val="00102D2A"/>
    <w:rsid w:val="00102F35"/>
    <w:rsid w:val="00102FDB"/>
    <w:rsid w:val="001031A9"/>
    <w:rsid w:val="00103A11"/>
    <w:rsid w:val="00103CC8"/>
    <w:rsid w:val="00104035"/>
    <w:rsid w:val="001041EC"/>
    <w:rsid w:val="00104238"/>
    <w:rsid w:val="001042C8"/>
    <w:rsid w:val="0010485F"/>
    <w:rsid w:val="00104B84"/>
    <w:rsid w:val="00104D76"/>
    <w:rsid w:val="00104DEA"/>
    <w:rsid w:val="00104F45"/>
    <w:rsid w:val="001052D4"/>
    <w:rsid w:val="001056BF"/>
    <w:rsid w:val="00105BEF"/>
    <w:rsid w:val="00106515"/>
    <w:rsid w:val="0010667C"/>
    <w:rsid w:val="0010673C"/>
    <w:rsid w:val="0010687D"/>
    <w:rsid w:val="00106977"/>
    <w:rsid w:val="0010699F"/>
    <w:rsid w:val="00106BE0"/>
    <w:rsid w:val="00106CC9"/>
    <w:rsid w:val="00106E66"/>
    <w:rsid w:val="001071CD"/>
    <w:rsid w:val="00107778"/>
    <w:rsid w:val="0010785F"/>
    <w:rsid w:val="00107892"/>
    <w:rsid w:val="00107B76"/>
    <w:rsid w:val="00107C7C"/>
    <w:rsid w:val="00110048"/>
    <w:rsid w:val="001102A3"/>
    <w:rsid w:val="0011038C"/>
    <w:rsid w:val="0011039D"/>
    <w:rsid w:val="001106E4"/>
    <w:rsid w:val="00110776"/>
    <w:rsid w:val="0011101B"/>
    <w:rsid w:val="001110B6"/>
    <w:rsid w:val="00111138"/>
    <w:rsid w:val="00111989"/>
    <w:rsid w:val="001119AD"/>
    <w:rsid w:val="00111EBA"/>
    <w:rsid w:val="00112649"/>
    <w:rsid w:val="00112A45"/>
    <w:rsid w:val="00112C74"/>
    <w:rsid w:val="00112CCE"/>
    <w:rsid w:val="00112FEC"/>
    <w:rsid w:val="001131BF"/>
    <w:rsid w:val="001137E5"/>
    <w:rsid w:val="001138BF"/>
    <w:rsid w:val="001139C2"/>
    <w:rsid w:val="00113D3F"/>
    <w:rsid w:val="0011403D"/>
    <w:rsid w:val="001145E2"/>
    <w:rsid w:val="00114773"/>
    <w:rsid w:val="0011494E"/>
    <w:rsid w:val="001149DF"/>
    <w:rsid w:val="00114A1B"/>
    <w:rsid w:val="00114A4D"/>
    <w:rsid w:val="0011523D"/>
    <w:rsid w:val="001152D3"/>
    <w:rsid w:val="00115381"/>
    <w:rsid w:val="0011544B"/>
    <w:rsid w:val="001155D9"/>
    <w:rsid w:val="00115FAD"/>
    <w:rsid w:val="00116760"/>
    <w:rsid w:val="00116B79"/>
    <w:rsid w:val="00116E7E"/>
    <w:rsid w:val="001172AF"/>
    <w:rsid w:val="0011742B"/>
    <w:rsid w:val="0011745B"/>
    <w:rsid w:val="001175B0"/>
    <w:rsid w:val="0011785F"/>
    <w:rsid w:val="00117E00"/>
    <w:rsid w:val="00117FB8"/>
    <w:rsid w:val="001201ED"/>
    <w:rsid w:val="0012027F"/>
    <w:rsid w:val="00120C23"/>
    <w:rsid w:val="00120D8A"/>
    <w:rsid w:val="00120DD1"/>
    <w:rsid w:val="00120EC1"/>
    <w:rsid w:val="00120F0C"/>
    <w:rsid w:val="00121110"/>
    <w:rsid w:val="0012171B"/>
    <w:rsid w:val="001218AD"/>
    <w:rsid w:val="0012195E"/>
    <w:rsid w:val="00121D14"/>
    <w:rsid w:val="00121D84"/>
    <w:rsid w:val="00121E42"/>
    <w:rsid w:val="0012208C"/>
    <w:rsid w:val="0012210A"/>
    <w:rsid w:val="00122846"/>
    <w:rsid w:val="00122C0C"/>
    <w:rsid w:val="00122FAE"/>
    <w:rsid w:val="00123615"/>
    <w:rsid w:val="001237B0"/>
    <w:rsid w:val="00123966"/>
    <w:rsid w:val="00123A6D"/>
    <w:rsid w:val="00123CEE"/>
    <w:rsid w:val="00123F5F"/>
    <w:rsid w:val="001248DF"/>
    <w:rsid w:val="00124988"/>
    <w:rsid w:val="00124E0C"/>
    <w:rsid w:val="00125200"/>
    <w:rsid w:val="001253B0"/>
    <w:rsid w:val="0012553A"/>
    <w:rsid w:val="0012586A"/>
    <w:rsid w:val="001259D4"/>
    <w:rsid w:val="00125B84"/>
    <w:rsid w:val="00125BB1"/>
    <w:rsid w:val="00125C42"/>
    <w:rsid w:val="00125E35"/>
    <w:rsid w:val="001261AA"/>
    <w:rsid w:val="00126564"/>
    <w:rsid w:val="001269B6"/>
    <w:rsid w:val="00126ADD"/>
    <w:rsid w:val="00126CCB"/>
    <w:rsid w:val="00126F48"/>
    <w:rsid w:val="00126F71"/>
    <w:rsid w:val="001270A9"/>
    <w:rsid w:val="0012751A"/>
    <w:rsid w:val="00127866"/>
    <w:rsid w:val="001301DA"/>
    <w:rsid w:val="001308CE"/>
    <w:rsid w:val="00131149"/>
    <w:rsid w:val="0013124B"/>
    <w:rsid w:val="00131366"/>
    <w:rsid w:val="0013182C"/>
    <w:rsid w:val="001318D4"/>
    <w:rsid w:val="00131D08"/>
    <w:rsid w:val="0013245A"/>
    <w:rsid w:val="00132CD5"/>
    <w:rsid w:val="001330E0"/>
    <w:rsid w:val="00133557"/>
    <w:rsid w:val="00133696"/>
    <w:rsid w:val="0013396A"/>
    <w:rsid w:val="00133999"/>
    <w:rsid w:val="00133CA5"/>
    <w:rsid w:val="00133DDB"/>
    <w:rsid w:val="00133F86"/>
    <w:rsid w:val="0013456F"/>
    <w:rsid w:val="00134671"/>
    <w:rsid w:val="00134816"/>
    <w:rsid w:val="00135AF9"/>
    <w:rsid w:val="00135C9D"/>
    <w:rsid w:val="00135CA4"/>
    <w:rsid w:val="00135E7F"/>
    <w:rsid w:val="00135EF6"/>
    <w:rsid w:val="001362AE"/>
    <w:rsid w:val="001363C3"/>
    <w:rsid w:val="00136445"/>
    <w:rsid w:val="00136686"/>
    <w:rsid w:val="00136E7D"/>
    <w:rsid w:val="00137090"/>
    <w:rsid w:val="00137563"/>
    <w:rsid w:val="0013767C"/>
    <w:rsid w:val="001379AD"/>
    <w:rsid w:val="001408A6"/>
    <w:rsid w:val="0014100E"/>
    <w:rsid w:val="001414E0"/>
    <w:rsid w:val="0014151D"/>
    <w:rsid w:val="00141C26"/>
    <w:rsid w:val="0014208E"/>
    <w:rsid w:val="0014212D"/>
    <w:rsid w:val="00142A7D"/>
    <w:rsid w:val="00142E40"/>
    <w:rsid w:val="001432E6"/>
    <w:rsid w:val="00143369"/>
    <w:rsid w:val="00143878"/>
    <w:rsid w:val="00143AAD"/>
    <w:rsid w:val="00143B6F"/>
    <w:rsid w:val="001440AB"/>
    <w:rsid w:val="001445B2"/>
    <w:rsid w:val="00144D69"/>
    <w:rsid w:val="00144F86"/>
    <w:rsid w:val="001454AB"/>
    <w:rsid w:val="001458AB"/>
    <w:rsid w:val="00145C0B"/>
    <w:rsid w:val="00145F57"/>
    <w:rsid w:val="001461C9"/>
    <w:rsid w:val="00146758"/>
    <w:rsid w:val="0014690D"/>
    <w:rsid w:val="00147166"/>
    <w:rsid w:val="0014724F"/>
    <w:rsid w:val="00147C97"/>
    <w:rsid w:val="00147D28"/>
    <w:rsid w:val="00150097"/>
    <w:rsid w:val="0015012B"/>
    <w:rsid w:val="00150376"/>
    <w:rsid w:val="00150377"/>
    <w:rsid w:val="00150466"/>
    <w:rsid w:val="00150670"/>
    <w:rsid w:val="00150677"/>
    <w:rsid w:val="0015080D"/>
    <w:rsid w:val="00150D36"/>
    <w:rsid w:val="00150D93"/>
    <w:rsid w:val="00151178"/>
    <w:rsid w:val="00151262"/>
    <w:rsid w:val="001512E9"/>
    <w:rsid w:val="0015137D"/>
    <w:rsid w:val="0015151A"/>
    <w:rsid w:val="00151584"/>
    <w:rsid w:val="0015177B"/>
    <w:rsid w:val="0015236F"/>
    <w:rsid w:val="00152511"/>
    <w:rsid w:val="00152B26"/>
    <w:rsid w:val="00152E07"/>
    <w:rsid w:val="001534CC"/>
    <w:rsid w:val="001536C7"/>
    <w:rsid w:val="00153A52"/>
    <w:rsid w:val="00153B9F"/>
    <w:rsid w:val="00153E64"/>
    <w:rsid w:val="00154194"/>
    <w:rsid w:val="001542F4"/>
    <w:rsid w:val="00154300"/>
    <w:rsid w:val="00154D7B"/>
    <w:rsid w:val="00154E1D"/>
    <w:rsid w:val="001550B5"/>
    <w:rsid w:val="001555A7"/>
    <w:rsid w:val="00155817"/>
    <w:rsid w:val="00155994"/>
    <w:rsid w:val="00155A32"/>
    <w:rsid w:val="00155A34"/>
    <w:rsid w:val="00156249"/>
    <w:rsid w:val="00156319"/>
    <w:rsid w:val="00156A09"/>
    <w:rsid w:val="00156D78"/>
    <w:rsid w:val="00156F87"/>
    <w:rsid w:val="00157233"/>
    <w:rsid w:val="001573AA"/>
    <w:rsid w:val="00157766"/>
    <w:rsid w:val="00157F10"/>
    <w:rsid w:val="00160026"/>
    <w:rsid w:val="0016003C"/>
    <w:rsid w:val="00160087"/>
    <w:rsid w:val="00160115"/>
    <w:rsid w:val="001601B4"/>
    <w:rsid w:val="00160DB6"/>
    <w:rsid w:val="00160DFB"/>
    <w:rsid w:val="00160E32"/>
    <w:rsid w:val="00161046"/>
    <w:rsid w:val="001611F6"/>
    <w:rsid w:val="00161C48"/>
    <w:rsid w:val="00161D1F"/>
    <w:rsid w:val="0016209A"/>
    <w:rsid w:val="001620F6"/>
    <w:rsid w:val="001625A4"/>
    <w:rsid w:val="00162973"/>
    <w:rsid w:val="00162A7C"/>
    <w:rsid w:val="00162F09"/>
    <w:rsid w:val="00163126"/>
    <w:rsid w:val="001634B9"/>
    <w:rsid w:val="001634C2"/>
    <w:rsid w:val="001635AE"/>
    <w:rsid w:val="001637A8"/>
    <w:rsid w:val="001639A3"/>
    <w:rsid w:val="00163AF6"/>
    <w:rsid w:val="001644AC"/>
    <w:rsid w:val="001647FC"/>
    <w:rsid w:val="0016486F"/>
    <w:rsid w:val="00164CD4"/>
    <w:rsid w:val="00164D56"/>
    <w:rsid w:val="00165016"/>
    <w:rsid w:val="00165E39"/>
    <w:rsid w:val="00165F7D"/>
    <w:rsid w:val="00165FAA"/>
    <w:rsid w:val="001666AB"/>
    <w:rsid w:val="00166B99"/>
    <w:rsid w:val="00166D4C"/>
    <w:rsid w:val="00166E39"/>
    <w:rsid w:val="00166EB5"/>
    <w:rsid w:val="0016707B"/>
    <w:rsid w:val="00167362"/>
    <w:rsid w:val="0017021E"/>
    <w:rsid w:val="00170699"/>
    <w:rsid w:val="00170705"/>
    <w:rsid w:val="00171006"/>
    <w:rsid w:val="001710F7"/>
    <w:rsid w:val="00171471"/>
    <w:rsid w:val="001714B3"/>
    <w:rsid w:val="0017165B"/>
    <w:rsid w:val="00171949"/>
    <w:rsid w:val="00171956"/>
    <w:rsid w:val="00171995"/>
    <w:rsid w:val="00171B41"/>
    <w:rsid w:val="00171B52"/>
    <w:rsid w:val="00171C6A"/>
    <w:rsid w:val="00171D95"/>
    <w:rsid w:val="00171F45"/>
    <w:rsid w:val="00171F46"/>
    <w:rsid w:val="00171FE8"/>
    <w:rsid w:val="00172090"/>
    <w:rsid w:val="001721DD"/>
    <w:rsid w:val="0017220F"/>
    <w:rsid w:val="0017225C"/>
    <w:rsid w:val="0017245C"/>
    <w:rsid w:val="00172681"/>
    <w:rsid w:val="0017281A"/>
    <w:rsid w:val="0017289B"/>
    <w:rsid w:val="00172AAF"/>
    <w:rsid w:val="00172BE4"/>
    <w:rsid w:val="00172E88"/>
    <w:rsid w:val="00172EB5"/>
    <w:rsid w:val="001730CE"/>
    <w:rsid w:val="00173396"/>
    <w:rsid w:val="00173951"/>
    <w:rsid w:val="00173B5F"/>
    <w:rsid w:val="00174090"/>
    <w:rsid w:val="00174141"/>
    <w:rsid w:val="001741B7"/>
    <w:rsid w:val="001747E1"/>
    <w:rsid w:val="00174B66"/>
    <w:rsid w:val="00174BEF"/>
    <w:rsid w:val="0017509B"/>
    <w:rsid w:val="0017550C"/>
    <w:rsid w:val="00175A05"/>
    <w:rsid w:val="00175BB5"/>
    <w:rsid w:val="00175F30"/>
    <w:rsid w:val="00176151"/>
    <w:rsid w:val="001761EF"/>
    <w:rsid w:val="00176487"/>
    <w:rsid w:val="00176559"/>
    <w:rsid w:val="0017671A"/>
    <w:rsid w:val="0017688C"/>
    <w:rsid w:val="00176B73"/>
    <w:rsid w:val="00176D67"/>
    <w:rsid w:val="0017725A"/>
    <w:rsid w:val="00177471"/>
    <w:rsid w:val="001779A4"/>
    <w:rsid w:val="001779CD"/>
    <w:rsid w:val="00177C9E"/>
    <w:rsid w:val="001800E6"/>
    <w:rsid w:val="00180C0B"/>
    <w:rsid w:val="0018127C"/>
    <w:rsid w:val="00181B00"/>
    <w:rsid w:val="00181B4E"/>
    <w:rsid w:val="00181E7E"/>
    <w:rsid w:val="00181F2F"/>
    <w:rsid w:val="00182143"/>
    <w:rsid w:val="0018218B"/>
    <w:rsid w:val="00182F67"/>
    <w:rsid w:val="00182F7E"/>
    <w:rsid w:val="001831B4"/>
    <w:rsid w:val="0018336D"/>
    <w:rsid w:val="0018378F"/>
    <w:rsid w:val="00183CE3"/>
    <w:rsid w:val="00184055"/>
    <w:rsid w:val="001840DA"/>
    <w:rsid w:val="001843F2"/>
    <w:rsid w:val="0018453F"/>
    <w:rsid w:val="00184602"/>
    <w:rsid w:val="00184696"/>
    <w:rsid w:val="00184759"/>
    <w:rsid w:val="00184EAC"/>
    <w:rsid w:val="001850D1"/>
    <w:rsid w:val="0018540F"/>
    <w:rsid w:val="00185482"/>
    <w:rsid w:val="0018580D"/>
    <w:rsid w:val="00185A1F"/>
    <w:rsid w:val="00186247"/>
    <w:rsid w:val="00186998"/>
    <w:rsid w:val="00186A4B"/>
    <w:rsid w:val="00186B02"/>
    <w:rsid w:val="00186BC1"/>
    <w:rsid w:val="00187260"/>
    <w:rsid w:val="001874EE"/>
    <w:rsid w:val="00187920"/>
    <w:rsid w:val="001900A7"/>
    <w:rsid w:val="001909B2"/>
    <w:rsid w:val="00190A9F"/>
    <w:rsid w:val="00190E7D"/>
    <w:rsid w:val="001912E3"/>
    <w:rsid w:val="00191308"/>
    <w:rsid w:val="00191511"/>
    <w:rsid w:val="00191B43"/>
    <w:rsid w:val="00191C8B"/>
    <w:rsid w:val="00192053"/>
    <w:rsid w:val="00192124"/>
    <w:rsid w:val="00192356"/>
    <w:rsid w:val="0019273D"/>
    <w:rsid w:val="00192F54"/>
    <w:rsid w:val="001930B8"/>
    <w:rsid w:val="00193220"/>
    <w:rsid w:val="0019389D"/>
    <w:rsid w:val="00193EF9"/>
    <w:rsid w:val="001941CC"/>
    <w:rsid w:val="00194624"/>
    <w:rsid w:val="00194906"/>
    <w:rsid w:val="00194A54"/>
    <w:rsid w:val="00194A73"/>
    <w:rsid w:val="00194DF7"/>
    <w:rsid w:val="00195015"/>
    <w:rsid w:val="0019558C"/>
    <w:rsid w:val="00195730"/>
    <w:rsid w:val="0019597E"/>
    <w:rsid w:val="00195CAC"/>
    <w:rsid w:val="00195E99"/>
    <w:rsid w:val="00195F1A"/>
    <w:rsid w:val="00195F5A"/>
    <w:rsid w:val="00196BA3"/>
    <w:rsid w:val="00197507"/>
    <w:rsid w:val="00197522"/>
    <w:rsid w:val="001975C7"/>
    <w:rsid w:val="00197BC0"/>
    <w:rsid w:val="001A024D"/>
    <w:rsid w:val="001A0E68"/>
    <w:rsid w:val="001A0FEB"/>
    <w:rsid w:val="001A1795"/>
    <w:rsid w:val="001A1A15"/>
    <w:rsid w:val="001A1B0B"/>
    <w:rsid w:val="001A1E61"/>
    <w:rsid w:val="001A1EB5"/>
    <w:rsid w:val="001A215D"/>
    <w:rsid w:val="001A22A2"/>
    <w:rsid w:val="001A2567"/>
    <w:rsid w:val="001A2624"/>
    <w:rsid w:val="001A2B4F"/>
    <w:rsid w:val="001A2B87"/>
    <w:rsid w:val="001A2F3B"/>
    <w:rsid w:val="001A35F9"/>
    <w:rsid w:val="001A37C4"/>
    <w:rsid w:val="001A3A44"/>
    <w:rsid w:val="001A3B5D"/>
    <w:rsid w:val="001A3C06"/>
    <w:rsid w:val="001A3C42"/>
    <w:rsid w:val="001A486B"/>
    <w:rsid w:val="001A4CC4"/>
    <w:rsid w:val="001A5504"/>
    <w:rsid w:val="001A5EBC"/>
    <w:rsid w:val="001A6128"/>
    <w:rsid w:val="001A61AC"/>
    <w:rsid w:val="001A7138"/>
    <w:rsid w:val="001A72D8"/>
    <w:rsid w:val="001A74E5"/>
    <w:rsid w:val="001A7A29"/>
    <w:rsid w:val="001A7ADF"/>
    <w:rsid w:val="001A7AFE"/>
    <w:rsid w:val="001A7D08"/>
    <w:rsid w:val="001A7FDF"/>
    <w:rsid w:val="001B012E"/>
    <w:rsid w:val="001B07C7"/>
    <w:rsid w:val="001B0980"/>
    <w:rsid w:val="001B09DB"/>
    <w:rsid w:val="001B0BC9"/>
    <w:rsid w:val="001B0F60"/>
    <w:rsid w:val="001B1778"/>
    <w:rsid w:val="001B1FD3"/>
    <w:rsid w:val="001B2009"/>
    <w:rsid w:val="001B2331"/>
    <w:rsid w:val="001B2430"/>
    <w:rsid w:val="001B255C"/>
    <w:rsid w:val="001B285E"/>
    <w:rsid w:val="001B2894"/>
    <w:rsid w:val="001B2B75"/>
    <w:rsid w:val="001B2D0E"/>
    <w:rsid w:val="001B2EA8"/>
    <w:rsid w:val="001B3621"/>
    <w:rsid w:val="001B3948"/>
    <w:rsid w:val="001B39B0"/>
    <w:rsid w:val="001B39B4"/>
    <w:rsid w:val="001B3BEC"/>
    <w:rsid w:val="001B3DF6"/>
    <w:rsid w:val="001B3F50"/>
    <w:rsid w:val="001B495B"/>
    <w:rsid w:val="001B51D4"/>
    <w:rsid w:val="001B5624"/>
    <w:rsid w:val="001B5B5B"/>
    <w:rsid w:val="001B5EEE"/>
    <w:rsid w:val="001B650E"/>
    <w:rsid w:val="001B6549"/>
    <w:rsid w:val="001B6763"/>
    <w:rsid w:val="001B6E72"/>
    <w:rsid w:val="001B7720"/>
    <w:rsid w:val="001B7880"/>
    <w:rsid w:val="001B78E4"/>
    <w:rsid w:val="001B79E4"/>
    <w:rsid w:val="001B79FB"/>
    <w:rsid w:val="001B7F14"/>
    <w:rsid w:val="001C005B"/>
    <w:rsid w:val="001C0105"/>
    <w:rsid w:val="001C0579"/>
    <w:rsid w:val="001C058B"/>
    <w:rsid w:val="001C0887"/>
    <w:rsid w:val="001C0959"/>
    <w:rsid w:val="001C097F"/>
    <w:rsid w:val="001C09F6"/>
    <w:rsid w:val="001C0A5E"/>
    <w:rsid w:val="001C0C1B"/>
    <w:rsid w:val="001C111B"/>
    <w:rsid w:val="001C118E"/>
    <w:rsid w:val="001C1209"/>
    <w:rsid w:val="001C1252"/>
    <w:rsid w:val="001C15B4"/>
    <w:rsid w:val="001C1CD9"/>
    <w:rsid w:val="001C1D42"/>
    <w:rsid w:val="001C1F3A"/>
    <w:rsid w:val="001C2B6E"/>
    <w:rsid w:val="001C2DFA"/>
    <w:rsid w:val="001C2E69"/>
    <w:rsid w:val="001C3194"/>
    <w:rsid w:val="001C3215"/>
    <w:rsid w:val="001C3657"/>
    <w:rsid w:val="001C3D7C"/>
    <w:rsid w:val="001C3EAA"/>
    <w:rsid w:val="001C405B"/>
    <w:rsid w:val="001C467D"/>
    <w:rsid w:val="001C4741"/>
    <w:rsid w:val="001C5644"/>
    <w:rsid w:val="001C6078"/>
    <w:rsid w:val="001C682D"/>
    <w:rsid w:val="001C69A8"/>
    <w:rsid w:val="001C7104"/>
    <w:rsid w:val="001C7305"/>
    <w:rsid w:val="001C79E2"/>
    <w:rsid w:val="001C7EA7"/>
    <w:rsid w:val="001C7FB6"/>
    <w:rsid w:val="001D024F"/>
    <w:rsid w:val="001D02F4"/>
    <w:rsid w:val="001D0C63"/>
    <w:rsid w:val="001D0CBC"/>
    <w:rsid w:val="001D0D3D"/>
    <w:rsid w:val="001D0D91"/>
    <w:rsid w:val="001D0E2D"/>
    <w:rsid w:val="001D0E7A"/>
    <w:rsid w:val="001D1AB7"/>
    <w:rsid w:val="001D1D97"/>
    <w:rsid w:val="001D2290"/>
    <w:rsid w:val="001D272C"/>
    <w:rsid w:val="001D2758"/>
    <w:rsid w:val="001D28FD"/>
    <w:rsid w:val="001D2CF4"/>
    <w:rsid w:val="001D3C62"/>
    <w:rsid w:val="001D3D91"/>
    <w:rsid w:val="001D3E86"/>
    <w:rsid w:val="001D4793"/>
    <w:rsid w:val="001D4EBC"/>
    <w:rsid w:val="001D4EDC"/>
    <w:rsid w:val="001D54CF"/>
    <w:rsid w:val="001D5614"/>
    <w:rsid w:val="001D56C8"/>
    <w:rsid w:val="001D5949"/>
    <w:rsid w:val="001D5AE2"/>
    <w:rsid w:val="001D5B06"/>
    <w:rsid w:val="001D5CB4"/>
    <w:rsid w:val="001D622A"/>
    <w:rsid w:val="001D750A"/>
    <w:rsid w:val="001D75F6"/>
    <w:rsid w:val="001D76EC"/>
    <w:rsid w:val="001D79B9"/>
    <w:rsid w:val="001D7EBF"/>
    <w:rsid w:val="001D7FE8"/>
    <w:rsid w:val="001E00B7"/>
    <w:rsid w:val="001E0709"/>
    <w:rsid w:val="001E07E1"/>
    <w:rsid w:val="001E1155"/>
    <w:rsid w:val="001E12EB"/>
    <w:rsid w:val="001E1351"/>
    <w:rsid w:val="001E1354"/>
    <w:rsid w:val="001E1448"/>
    <w:rsid w:val="001E190E"/>
    <w:rsid w:val="001E2E63"/>
    <w:rsid w:val="001E3544"/>
    <w:rsid w:val="001E3706"/>
    <w:rsid w:val="001E3DA2"/>
    <w:rsid w:val="001E4444"/>
    <w:rsid w:val="001E4750"/>
    <w:rsid w:val="001E4832"/>
    <w:rsid w:val="001E4952"/>
    <w:rsid w:val="001E4986"/>
    <w:rsid w:val="001E4A92"/>
    <w:rsid w:val="001E4AC0"/>
    <w:rsid w:val="001E5112"/>
    <w:rsid w:val="001E51DB"/>
    <w:rsid w:val="001E53BF"/>
    <w:rsid w:val="001E5966"/>
    <w:rsid w:val="001E645F"/>
    <w:rsid w:val="001E67DB"/>
    <w:rsid w:val="001E68B1"/>
    <w:rsid w:val="001E6D09"/>
    <w:rsid w:val="001E7818"/>
    <w:rsid w:val="001E7E33"/>
    <w:rsid w:val="001F00F7"/>
    <w:rsid w:val="001F02FD"/>
    <w:rsid w:val="001F04F1"/>
    <w:rsid w:val="001F0575"/>
    <w:rsid w:val="001F0666"/>
    <w:rsid w:val="001F0DF7"/>
    <w:rsid w:val="001F1045"/>
    <w:rsid w:val="001F17DE"/>
    <w:rsid w:val="001F26CC"/>
    <w:rsid w:val="001F27EC"/>
    <w:rsid w:val="001F2C2E"/>
    <w:rsid w:val="001F3085"/>
    <w:rsid w:val="001F3D8A"/>
    <w:rsid w:val="001F46DD"/>
    <w:rsid w:val="001F49B0"/>
    <w:rsid w:val="001F4A97"/>
    <w:rsid w:val="001F4CC3"/>
    <w:rsid w:val="001F4D9B"/>
    <w:rsid w:val="001F4DEC"/>
    <w:rsid w:val="001F578B"/>
    <w:rsid w:val="001F5816"/>
    <w:rsid w:val="001F5856"/>
    <w:rsid w:val="001F5D7D"/>
    <w:rsid w:val="001F5F89"/>
    <w:rsid w:val="001F60E8"/>
    <w:rsid w:val="001F618C"/>
    <w:rsid w:val="001F6442"/>
    <w:rsid w:val="001F6875"/>
    <w:rsid w:val="001F6C04"/>
    <w:rsid w:val="001F6EE9"/>
    <w:rsid w:val="001F72A8"/>
    <w:rsid w:val="001F741F"/>
    <w:rsid w:val="001F78F4"/>
    <w:rsid w:val="002002B7"/>
    <w:rsid w:val="00200716"/>
    <w:rsid w:val="002008BC"/>
    <w:rsid w:val="00200B9D"/>
    <w:rsid w:val="00200D92"/>
    <w:rsid w:val="00200E7A"/>
    <w:rsid w:val="00201095"/>
    <w:rsid w:val="002014E9"/>
    <w:rsid w:val="002015C2"/>
    <w:rsid w:val="002015D4"/>
    <w:rsid w:val="002015DE"/>
    <w:rsid w:val="00201862"/>
    <w:rsid w:val="00201BBA"/>
    <w:rsid w:val="00202113"/>
    <w:rsid w:val="0020240D"/>
    <w:rsid w:val="00202517"/>
    <w:rsid w:val="00202937"/>
    <w:rsid w:val="00202A47"/>
    <w:rsid w:val="00202F12"/>
    <w:rsid w:val="002036F1"/>
    <w:rsid w:val="002036F8"/>
    <w:rsid w:val="00203DC2"/>
    <w:rsid w:val="00203FFC"/>
    <w:rsid w:val="002040E6"/>
    <w:rsid w:val="00204520"/>
    <w:rsid w:val="00204685"/>
    <w:rsid w:val="00204777"/>
    <w:rsid w:val="002047F0"/>
    <w:rsid w:val="002051A4"/>
    <w:rsid w:val="00205283"/>
    <w:rsid w:val="00205C5C"/>
    <w:rsid w:val="00206058"/>
    <w:rsid w:val="0020661E"/>
    <w:rsid w:val="00206C26"/>
    <w:rsid w:val="00206F0C"/>
    <w:rsid w:val="002074B7"/>
    <w:rsid w:val="0020751F"/>
    <w:rsid w:val="00207639"/>
    <w:rsid w:val="0020765F"/>
    <w:rsid w:val="00207764"/>
    <w:rsid w:val="002078FC"/>
    <w:rsid w:val="00207A71"/>
    <w:rsid w:val="00207D61"/>
    <w:rsid w:val="00207FDA"/>
    <w:rsid w:val="00210145"/>
    <w:rsid w:val="00210314"/>
    <w:rsid w:val="0021063C"/>
    <w:rsid w:val="0021065D"/>
    <w:rsid w:val="002107C0"/>
    <w:rsid w:val="00210B27"/>
    <w:rsid w:val="00210C59"/>
    <w:rsid w:val="00210C9C"/>
    <w:rsid w:val="00210D91"/>
    <w:rsid w:val="0021157E"/>
    <w:rsid w:val="0021179E"/>
    <w:rsid w:val="002117E6"/>
    <w:rsid w:val="00211AB8"/>
    <w:rsid w:val="00211C31"/>
    <w:rsid w:val="00211F13"/>
    <w:rsid w:val="002120B2"/>
    <w:rsid w:val="002124C6"/>
    <w:rsid w:val="0021276E"/>
    <w:rsid w:val="00212B3A"/>
    <w:rsid w:val="00212EEC"/>
    <w:rsid w:val="00212F28"/>
    <w:rsid w:val="002133F6"/>
    <w:rsid w:val="002135B8"/>
    <w:rsid w:val="0021423A"/>
    <w:rsid w:val="002146DD"/>
    <w:rsid w:val="00214C50"/>
    <w:rsid w:val="00214D01"/>
    <w:rsid w:val="00214D6D"/>
    <w:rsid w:val="0021500D"/>
    <w:rsid w:val="0021541D"/>
    <w:rsid w:val="00215EAE"/>
    <w:rsid w:val="002169AE"/>
    <w:rsid w:val="00217078"/>
    <w:rsid w:val="002174C7"/>
    <w:rsid w:val="00217C3B"/>
    <w:rsid w:val="00217E83"/>
    <w:rsid w:val="00217EED"/>
    <w:rsid w:val="00220318"/>
    <w:rsid w:val="002208C5"/>
    <w:rsid w:val="00220A58"/>
    <w:rsid w:val="00220C0C"/>
    <w:rsid w:val="002219FC"/>
    <w:rsid w:val="00222473"/>
    <w:rsid w:val="002227C0"/>
    <w:rsid w:val="00222D99"/>
    <w:rsid w:val="00222F59"/>
    <w:rsid w:val="002231A9"/>
    <w:rsid w:val="00223322"/>
    <w:rsid w:val="002233C3"/>
    <w:rsid w:val="00223649"/>
    <w:rsid w:val="002236DA"/>
    <w:rsid w:val="00223722"/>
    <w:rsid w:val="00223B1C"/>
    <w:rsid w:val="00223CEA"/>
    <w:rsid w:val="00224037"/>
    <w:rsid w:val="002241EC"/>
    <w:rsid w:val="00224554"/>
    <w:rsid w:val="0022482F"/>
    <w:rsid w:val="002248B1"/>
    <w:rsid w:val="00224A5A"/>
    <w:rsid w:val="00224BC3"/>
    <w:rsid w:val="002253D7"/>
    <w:rsid w:val="00225817"/>
    <w:rsid w:val="00225A27"/>
    <w:rsid w:val="00225D3D"/>
    <w:rsid w:val="00226436"/>
    <w:rsid w:val="00226C93"/>
    <w:rsid w:val="00226FA5"/>
    <w:rsid w:val="002270FD"/>
    <w:rsid w:val="002272E5"/>
    <w:rsid w:val="00227811"/>
    <w:rsid w:val="00227982"/>
    <w:rsid w:val="002279C7"/>
    <w:rsid w:val="00227CBC"/>
    <w:rsid w:val="00227D38"/>
    <w:rsid w:val="00227D80"/>
    <w:rsid w:val="00230998"/>
    <w:rsid w:val="00230AA0"/>
    <w:rsid w:val="002310A0"/>
    <w:rsid w:val="00231877"/>
    <w:rsid w:val="00231C12"/>
    <w:rsid w:val="00231C29"/>
    <w:rsid w:val="00232933"/>
    <w:rsid w:val="00232BDA"/>
    <w:rsid w:val="00232BE2"/>
    <w:rsid w:val="00232BF7"/>
    <w:rsid w:val="00233146"/>
    <w:rsid w:val="002338F0"/>
    <w:rsid w:val="00233952"/>
    <w:rsid w:val="00233A8C"/>
    <w:rsid w:val="0023415B"/>
    <w:rsid w:val="0023439D"/>
    <w:rsid w:val="002343C4"/>
    <w:rsid w:val="0023445D"/>
    <w:rsid w:val="00234684"/>
    <w:rsid w:val="002357F6"/>
    <w:rsid w:val="00235873"/>
    <w:rsid w:val="00235CB1"/>
    <w:rsid w:val="00235D2F"/>
    <w:rsid w:val="0023611D"/>
    <w:rsid w:val="00236144"/>
    <w:rsid w:val="00236217"/>
    <w:rsid w:val="00236360"/>
    <w:rsid w:val="002363D2"/>
    <w:rsid w:val="002364A1"/>
    <w:rsid w:val="0023663E"/>
    <w:rsid w:val="002366E4"/>
    <w:rsid w:val="00236A1C"/>
    <w:rsid w:val="00236D12"/>
    <w:rsid w:val="00236D3C"/>
    <w:rsid w:val="00237B09"/>
    <w:rsid w:val="002407AA"/>
    <w:rsid w:val="0024089D"/>
    <w:rsid w:val="00240A45"/>
    <w:rsid w:val="00240AB1"/>
    <w:rsid w:val="0024116F"/>
    <w:rsid w:val="002411BC"/>
    <w:rsid w:val="00241209"/>
    <w:rsid w:val="00241532"/>
    <w:rsid w:val="002417FC"/>
    <w:rsid w:val="00241ACF"/>
    <w:rsid w:val="00241BB3"/>
    <w:rsid w:val="00241CEC"/>
    <w:rsid w:val="00242548"/>
    <w:rsid w:val="00242EDD"/>
    <w:rsid w:val="00242F5D"/>
    <w:rsid w:val="00242FD9"/>
    <w:rsid w:val="002430F0"/>
    <w:rsid w:val="00243150"/>
    <w:rsid w:val="00243425"/>
    <w:rsid w:val="00243626"/>
    <w:rsid w:val="0024379F"/>
    <w:rsid w:val="00243A6B"/>
    <w:rsid w:val="00243C82"/>
    <w:rsid w:val="002444E7"/>
    <w:rsid w:val="0024457D"/>
    <w:rsid w:val="00244A5B"/>
    <w:rsid w:val="00244A65"/>
    <w:rsid w:val="00245336"/>
    <w:rsid w:val="00245519"/>
    <w:rsid w:val="00245FD2"/>
    <w:rsid w:val="002466F9"/>
    <w:rsid w:val="00246B83"/>
    <w:rsid w:val="00246F31"/>
    <w:rsid w:val="00247468"/>
    <w:rsid w:val="00247520"/>
    <w:rsid w:val="00247C9D"/>
    <w:rsid w:val="002503BE"/>
    <w:rsid w:val="00250547"/>
    <w:rsid w:val="0025058F"/>
    <w:rsid w:val="002506FA"/>
    <w:rsid w:val="00250E2B"/>
    <w:rsid w:val="0025177A"/>
    <w:rsid w:val="00251B2F"/>
    <w:rsid w:val="00251FAA"/>
    <w:rsid w:val="00252141"/>
    <w:rsid w:val="002524CC"/>
    <w:rsid w:val="0025254E"/>
    <w:rsid w:val="0025284E"/>
    <w:rsid w:val="002528F8"/>
    <w:rsid w:val="00252A0A"/>
    <w:rsid w:val="00252B5A"/>
    <w:rsid w:val="00252BFE"/>
    <w:rsid w:val="00252CE3"/>
    <w:rsid w:val="00252E3B"/>
    <w:rsid w:val="00253008"/>
    <w:rsid w:val="00253399"/>
    <w:rsid w:val="002534F4"/>
    <w:rsid w:val="0025359B"/>
    <w:rsid w:val="00253692"/>
    <w:rsid w:val="0025386B"/>
    <w:rsid w:val="00253B08"/>
    <w:rsid w:val="00253B11"/>
    <w:rsid w:val="00254019"/>
    <w:rsid w:val="0025406A"/>
    <w:rsid w:val="002545DB"/>
    <w:rsid w:val="002548AA"/>
    <w:rsid w:val="00254B36"/>
    <w:rsid w:val="00254C23"/>
    <w:rsid w:val="002551AD"/>
    <w:rsid w:val="0025575E"/>
    <w:rsid w:val="0025580A"/>
    <w:rsid w:val="002559CB"/>
    <w:rsid w:val="002559D1"/>
    <w:rsid w:val="00255B7C"/>
    <w:rsid w:val="00255F2B"/>
    <w:rsid w:val="00256694"/>
    <w:rsid w:val="00256EEF"/>
    <w:rsid w:val="00257527"/>
    <w:rsid w:val="00257DC9"/>
    <w:rsid w:val="00257DFD"/>
    <w:rsid w:val="00257E10"/>
    <w:rsid w:val="002602A4"/>
    <w:rsid w:val="00260415"/>
    <w:rsid w:val="00260457"/>
    <w:rsid w:val="00260661"/>
    <w:rsid w:val="002606BA"/>
    <w:rsid w:val="00260979"/>
    <w:rsid w:val="00260A92"/>
    <w:rsid w:val="00260C5D"/>
    <w:rsid w:val="00260E0E"/>
    <w:rsid w:val="0026140A"/>
    <w:rsid w:val="0026158F"/>
    <w:rsid w:val="00261BD6"/>
    <w:rsid w:val="002623B7"/>
    <w:rsid w:val="0026242F"/>
    <w:rsid w:val="0026269C"/>
    <w:rsid w:val="00262B24"/>
    <w:rsid w:val="00263993"/>
    <w:rsid w:val="00263DD5"/>
    <w:rsid w:val="00263FE6"/>
    <w:rsid w:val="0026406D"/>
    <w:rsid w:val="0026461B"/>
    <w:rsid w:val="00264E94"/>
    <w:rsid w:val="00265266"/>
    <w:rsid w:val="0026587C"/>
    <w:rsid w:val="00265AA3"/>
    <w:rsid w:val="00266225"/>
    <w:rsid w:val="002665B8"/>
    <w:rsid w:val="00266716"/>
    <w:rsid w:val="0026672B"/>
    <w:rsid w:val="002667A9"/>
    <w:rsid w:val="002667D3"/>
    <w:rsid w:val="00266E37"/>
    <w:rsid w:val="00266F1C"/>
    <w:rsid w:val="00267730"/>
    <w:rsid w:val="002679B7"/>
    <w:rsid w:val="00270704"/>
    <w:rsid w:val="00270728"/>
    <w:rsid w:val="00271AD3"/>
    <w:rsid w:val="002721F9"/>
    <w:rsid w:val="00272A5B"/>
    <w:rsid w:val="00272A6F"/>
    <w:rsid w:val="00272B49"/>
    <w:rsid w:val="0027306A"/>
    <w:rsid w:val="00273386"/>
    <w:rsid w:val="002735BC"/>
    <w:rsid w:val="00273B53"/>
    <w:rsid w:val="002748A5"/>
    <w:rsid w:val="00274E65"/>
    <w:rsid w:val="0027508C"/>
    <w:rsid w:val="00275D05"/>
    <w:rsid w:val="00275FD2"/>
    <w:rsid w:val="00276305"/>
    <w:rsid w:val="00276AAF"/>
    <w:rsid w:val="00276C8C"/>
    <w:rsid w:val="00276F35"/>
    <w:rsid w:val="00277310"/>
    <w:rsid w:val="0027759D"/>
    <w:rsid w:val="00277B8E"/>
    <w:rsid w:val="00277C3E"/>
    <w:rsid w:val="00277E41"/>
    <w:rsid w:val="00277E8C"/>
    <w:rsid w:val="00280057"/>
    <w:rsid w:val="00280702"/>
    <w:rsid w:val="00280784"/>
    <w:rsid w:val="002807E4"/>
    <w:rsid w:val="00280977"/>
    <w:rsid w:val="00280B45"/>
    <w:rsid w:val="00280FBE"/>
    <w:rsid w:val="00281572"/>
    <w:rsid w:val="002817C0"/>
    <w:rsid w:val="002818F2"/>
    <w:rsid w:val="00281A6A"/>
    <w:rsid w:val="00281E05"/>
    <w:rsid w:val="0028217A"/>
    <w:rsid w:val="002822E5"/>
    <w:rsid w:val="002822F9"/>
    <w:rsid w:val="0028310D"/>
    <w:rsid w:val="002831E8"/>
    <w:rsid w:val="0028368A"/>
    <w:rsid w:val="002839BE"/>
    <w:rsid w:val="00283B6B"/>
    <w:rsid w:val="0028464B"/>
    <w:rsid w:val="00285147"/>
    <w:rsid w:val="002852B7"/>
    <w:rsid w:val="00285A76"/>
    <w:rsid w:val="00285CC6"/>
    <w:rsid w:val="00285CD2"/>
    <w:rsid w:val="00285FB4"/>
    <w:rsid w:val="00286235"/>
    <w:rsid w:val="00286369"/>
    <w:rsid w:val="00286474"/>
    <w:rsid w:val="00286A8C"/>
    <w:rsid w:val="00287048"/>
    <w:rsid w:val="0028731B"/>
    <w:rsid w:val="00287342"/>
    <w:rsid w:val="0028764A"/>
    <w:rsid w:val="0028790B"/>
    <w:rsid w:val="00287942"/>
    <w:rsid w:val="00287CE6"/>
    <w:rsid w:val="002901E6"/>
    <w:rsid w:val="002901F7"/>
    <w:rsid w:val="0029064A"/>
    <w:rsid w:val="00290B4E"/>
    <w:rsid w:val="002912EA"/>
    <w:rsid w:val="002913E2"/>
    <w:rsid w:val="0029140D"/>
    <w:rsid w:val="0029164D"/>
    <w:rsid w:val="0029166E"/>
    <w:rsid w:val="002917CD"/>
    <w:rsid w:val="00292213"/>
    <w:rsid w:val="002926EC"/>
    <w:rsid w:val="0029280A"/>
    <w:rsid w:val="00294170"/>
    <w:rsid w:val="00294A07"/>
    <w:rsid w:val="00294A8C"/>
    <w:rsid w:val="00294D86"/>
    <w:rsid w:val="0029548B"/>
    <w:rsid w:val="00295722"/>
    <w:rsid w:val="00295C98"/>
    <w:rsid w:val="00295E68"/>
    <w:rsid w:val="00296162"/>
    <w:rsid w:val="00296354"/>
    <w:rsid w:val="00296B06"/>
    <w:rsid w:val="00296DAE"/>
    <w:rsid w:val="00296F18"/>
    <w:rsid w:val="002972F8"/>
    <w:rsid w:val="00297380"/>
    <w:rsid w:val="00297B73"/>
    <w:rsid w:val="00297D39"/>
    <w:rsid w:val="002A026F"/>
    <w:rsid w:val="002A040A"/>
    <w:rsid w:val="002A0638"/>
    <w:rsid w:val="002A0906"/>
    <w:rsid w:val="002A0A3C"/>
    <w:rsid w:val="002A0ACD"/>
    <w:rsid w:val="002A0D0C"/>
    <w:rsid w:val="002A0D11"/>
    <w:rsid w:val="002A124A"/>
    <w:rsid w:val="002A12F6"/>
    <w:rsid w:val="002A1B6E"/>
    <w:rsid w:val="002A1DF0"/>
    <w:rsid w:val="002A2129"/>
    <w:rsid w:val="002A21C5"/>
    <w:rsid w:val="002A2995"/>
    <w:rsid w:val="002A2AD3"/>
    <w:rsid w:val="002A2D4A"/>
    <w:rsid w:val="002A3362"/>
    <w:rsid w:val="002A346F"/>
    <w:rsid w:val="002A3AB4"/>
    <w:rsid w:val="002A3ACD"/>
    <w:rsid w:val="002A3F8A"/>
    <w:rsid w:val="002A4109"/>
    <w:rsid w:val="002A47AF"/>
    <w:rsid w:val="002A4E45"/>
    <w:rsid w:val="002A5078"/>
    <w:rsid w:val="002A510E"/>
    <w:rsid w:val="002A5140"/>
    <w:rsid w:val="002A5324"/>
    <w:rsid w:val="002A542D"/>
    <w:rsid w:val="002A55E0"/>
    <w:rsid w:val="002A5656"/>
    <w:rsid w:val="002A5A4F"/>
    <w:rsid w:val="002A5E82"/>
    <w:rsid w:val="002A5ECF"/>
    <w:rsid w:val="002A5F74"/>
    <w:rsid w:val="002A6596"/>
    <w:rsid w:val="002A66E0"/>
    <w:rsid w:val="002A695E"/>
    <w:rsid w:val="002A6971"/>
    <w:rsid w:val="002A6AB0"/>
    <w:rsid w:val="002A7088"/>
    <w:rsid w:val="002A744B"/>
    <w:rsid w:val="002A7DAE"/>
    <w:rsid w:val="002A7DB4"/>
    <w:rsid w:val="002B0047"/>
    <w:rsid w:val="002B015A"/>
    <w:rsid w:val="002B0308"/>
    <w:rsid w:val="002B03D8"/>
    <w:rsid w:val="002B03F3"/>
    <w:rsid w:val="002B04F1"/>
    <w:rsid w:val="002B07DD"/>
    <w:rsid w:val="002B0945"/>
    <w:rsid w:val="002B0BD5"/>
    <w:rsid w:val="002B0DC0"/>
    <w:rsid w:val="002B0ED2"/>
    <w:rsid w:val="002B1165"/>
    <w:rsid w:val="002B1978"/>
    <w:rsid w:val="002B1BC0"/>
    <w:rsid w:val="002B1C66"/>
    <w:rsid w:val="002B1F3B"/>
    <w:rsid w:val="002B1F90"/>
    <w:rsid w:val="002B2033"/>
    <w:rsid w:val="002B2333"/>
    <w:rsid w:val="002B25E6"/>
    <w:rsid w:val="002B2687"/>
    <w:rsid w:val="002B2A61"/>
    <w:rsid w:val="002B2AC5"/>
    <w:rsid w:val="002B2BE5"/>
    <w:rsid w:val="002B2DD9"/>
    <w:rsid w:val="002B2F0A"/>
    <w:rsid w:val="002B2F6E"/>
    <w:rsid w:val="002B30BF"/>
    <w:rsid w:val="002B342D"/>
    <w:rsid w:val="002B3813"/>
    <w:rsid w:val="002B3C0A"/>
    <w:rsid w:val="002B400C"/>
    <w:rsid w:val="002B41B7"/>
    <w:rsid w:val="002B4323"/>
    <w:rsid w:val="002B43DC"/>
    <w:rsid w:val="002B4A5B"/>
    <w:rsid w:val="002B4A67"/>
    <w:rsid w:val="002B4AE2"/>
    <w:rsid w:val="002B4D83"/>
    <w:rsid w:val="002B5203"/>
    <w:rsid w:val="002B549F"/>
    <w:rsid w:val="002B585D"/>
    <w:rsid w:val="002B5D7F"/>
    <w:rsid w:val="002B5E76"/>
    <w:rsid w:val="002B6094"/>
    <w:rsid w:val="002B6105"/>
    <w:rsid w:val="002B6219"/>
    <w:rsid w:val="002B658F"/>
    <w:rsid w:val="002B6699"/>
    <w:rsid w:val="002B6CB5"/>
    <w:rsid w:val="002B6D1D"/>
    <w:rsid w:val="002B6DB5"/>
    <w:rsid w:val="002B6E28"/>
    <w:rsid w:val="002B7659"/>
    <w:rsid w:val="002B7706"/>
    <w:rsid w:val="002C0754"/>
    <w:rsid w:val="002C0A18"/>
    <w:rsid w:val="002C0B27"/>
    <w:rsid w:val="002C0CA1"/>
    <w:rsid w:val="002C1138"/>
    <w:rsid w:val="002C1612"/>
    <w:rsid w:val="002C171D"/>
    <w:rsid w:val="002C19A9"/>
    <w:rsid w:val="002C1CE8"/>
    <w:rsid w:val="002C1D0B"/>
    <w:rsid w:val="002C22B5"/>
    <w:rsid w:val="002C283A"/>
    <w:rsid w:val="002C285B"/>
    <w:rsid w:val="002C2C57"/>
    <w:rsid w:val="002C37B4"/>
    <w:rsid w:val="002C399E"/>
    <w:rsid w:val="002C3A48"/>
    <w:rsid w:val="002C4721"/>
    <w:rsid w:val="002C4A23"/>
    <w:rsid w:val="002C4A98"/>
    <w:rsid w:val="002C50EA"/>
    <w:rsid w:val="002C5CF0"/>
    <w:rsid w:val="002C5E3D"/>
    <w:rsid w:val="002C6601"/>
    <w:rsid w:val="002C7171"/>
    <w:rsid w:val="002C7384"/>
    <w:rsid w:val="002C7475"/>
    <w:rsid w:val="002C7952"/>
    <w:rsid w:val="002C7B9F"/>
    <w:rsid w:val="002C7EF8"/>
    <w:rsid w:val="002C7FC8"/>
    <w:rsid w:val="002D02D7"/>
    <w:rsid w:val="002D03A4"/>
    <w:rsid w:val="002D0504"/>
    <w:rsid w:val="002D08E5"/>
    <w:rsid w:val="002D0C19"/>
    <w:rsid w:val="002D0C34"/>
    <w:rsid w:val="002D0F84"/>
    <w:rsid w:val="002D13E1"/>
    <w:rsid w:val="002D1518"/>
    <w:rsid w:val="002D194D"/>
    <w:rsid w:val="002D2040"/>
    <w:rsid w:val="002D20E3"/>
    <w:rsid w:val="002D2968"/>
    <w:rsid w:val="002D2B39"/>
    <w:rsid w:val="002D2E7D"/>
    <w:rsid w:val="002D2FE3"/>
    <w:rsid w:val="002D307A"/>
    <w:rsid w:val="002D340F"/>
    <w:rsid w:val="002D382A"/>
    <w:rsid w:val="002D40F0"/>
    <w:rsid w:val="002D412A"/>
    <w:rsid w:val="002D41AF"/>
    <w:rsid w:val="002D4C1F"/>
    <w:rsid w:val="002D4F9B"/>
    <w:rsid w:val="002D50F6"/>
    <w:rsid w:val="002D5134"/>
    <w:rsid w:val="002D5394"/>
    <w:rsid w:val="002D53F7"/>
    <w:rsid w:val="002D548B"/>
    <w:rsid w:val="002D5709"/>
    <w:rsid w:val="002D5C84"/>
    <w:rsid w:val="002D5CEE"/>
    <w:rsid w:val="002D5F1C"/>
    <w:rsid w:val="002D606B"/>
    <w:rsid w:val="002D6383"/>
    <w:rsid w:val="002D66F3"/>
    <w:rsid w:val="002D675D"/>
    <w:rsid w:val="002D6EB6"/>
    <w:rsid w:val="002D73DC"/>
    <w:rsid w:val="002E0422"/>
    <w:rsid w:val="002E0AC8"/>
    <w:rsid w:val="002E10F0"/>
    <w:rsid w:val="002E1646"/>
    <w:rsid w:val="002E1715"/>
    <w:rsid w:val="002E18DC"/>
    <w:rsid w:val="002E1FDA"/>
    <w:rsid w:val="002E22C3"/>
    <w:rsid w:val="002E2569"/>
    <w:rsid w:val="002E2665"/>
    <w:rsid w:val="002E28CB"/>
    <w:rsid w:val="002E2D49"/>
    <w:rsid w:val="002E2FDF"/>
    <w:rsid w:val="002E34C6"/>
    <w:rsid w:val="002E35B0"/>
    <w:rsid w:val="002E3ABB"/>
    <w:rsid w:val="002E421A"/>
    <w:rsid w:val="002E46BB"/>
    <w:rsid w:val="002E49B7"/>
    <w:rsid w:val="002E4B37"/>
    <w:rsid w:val="002E4C61"/>
    <w:rsid w:val="002E4C7E"/>
    <w:rsid w:val="002E5077"/>
    <w:rsid w:val="002E508C"/>
    <w:rsid w:val="002E5155"/>
    <w:rsid w:val="002E52BB"/>
    <w:rsid w:val="002E52CE"/>
    <w:rsid w:val="002E56DE"/>
    <w:rsid w:val="002E5DF9"/>
    <w:rsid w:val="002E691E"/>
    <w:rsid w:val="002E6987"/>
    <w:rsid w:val="002E6E6A"/>
    <w:rsid w:val="002E7173"/>
    <w:rsid w:val="002E75CD"/>
    <w:rsid w:val="002E7C2E"/>
    <w:rsid w:val="002E7CDC"/>
    <w:rsid w:val="002E7DD5"/>
    <w:rsid w:val="002E7E1F"/>
    <w:rsid w:val="002F03D1"/>
    <w:rsid w:val="002F09FC"/>
    <w:rsid w:val="002F105E"/>
    <w:rsid w:val="002F175B"/>
    <w:rsid w:val="002F1990"/>
    <w:rsid w:val="002F1B1C"/>
    <w:rsid w:val="002F1F15"/>
    <w:rsid w:val="002F1FE8"/>
    <w:rsid w:val="002F22FB"/>
    <w:rsid w:val="002F2423"/>
    <w:rsid w:val="002F2682"/>
    <w:rsid w:val="002F2867"/>
    <w:rsid w:val="002F29C0"/>
    <w:rsid w:val="002F29F7"/>
    <w:rsid w:val="002F2AFB"/>
    <w:rsid w:val="002F2C4F"/>
    <w:rsid w:val="002F2F62"/>
    <w:rsid w:val="002F304D"/>
    <w:rsid w:val="002F3116"/>
    <w:rsid w:val="002F3128"/>
    <w:rsid w:val="002F3183"/>
    <w:rsid w:val="002F31CF"/>
    <w:rsid w:val="002F339B"/>
    <w:rsid w:val="002F33E6"/>
    <w:rsid w:val="002F3A78"/>
    <w:rsid w:val="002F3BC0"/>
    <w:rsid w:val="002F3D0D"/>
    <w:rsid w:val="002F4196"/>
    <w:rsid w:val="002F4458"/>
    <w:rsid w:val="002F46C8"/>
    <w:rsid w:val="002F4716"/>
    <w:rsid w:val="002F4A99"/>
    <w:rsid w:val="002F4D3F"/>
    <w:rsid w:val="002F5481"/>
    <w:rsid w:val="002F5629"/>
    <w:rsid w:val="002F56F0"/>
    <w:rsid w:val="002F57D0"/>
    <w:rsid w:val="002F57FE"/>
    <w:rsid w:val="002F59C1"/>
    <w:rsid w:val="002F642E"/>
    <w:rsid w:val="002F650B"/>
    <w:rsid w:val="002F6916"/>
    <w:rsid w:val="002F6993"/>
    <w:rsid w:val="002F69A2"/>
    <w:rsid w:val="002F742F"/>
    <w:rsid w:val="002F76CA"/>
    <w:rsid w:val="002F7A77"/>
    <w:rsid w:val="002F7DA2"/>
    <w:rsid w:val="002F7F11"/>
    <w:rsid w:val="002F7F1C"/>
    <w:rsid w:val="00300770"/>
    <w:rsid w:val="00300B1B"/>
    <w:rsid w:val="00300B59"/>
    <w:rsid w:val="00300F0D"/>
    <w:rsid w:val="00301375"/>
    <w:rsid w:val="0030138D"/>
    <w:rsid w:val="0030165C"/>
    <w:rsid w:val="003016FF"/>
    <w:rsid w:val="00301D46"/>
    <w:rsid w:val="00301E09"/>
    <w:rsid w:val="00301FE5"/>
    <w:rsid w:val="00302367"/>
    <w:rsid w:val="0030246B"/>
    <w:rsid w:val="00302DC7"/>
    <w:rsid w:val="00303155"/>
    <w:rsid w:val="00303796"/>
    <w:rsid w:val="0030384C"/>
    <w:rsid w:val="00303A43"/>
    <w:rsid w:val="00303A62"/>
    <w:rsid w:val="00303CC3"/>
    <w:rsid w:val="00303FD1"/>
    <w:rsid w:val="00304370"/>
    <w:rsid w:val="00304856"/>
    <w:rsid w:val="00304991"/>
    <w:rsid w:val="00304F8A"/>
    <w:rsid w:val="003051DB"/>
    <w:rsid w:val="0030530C"/>
    <w:rsid w:val="00305535"/>
    <w:rsid w:val="003058A0"/>
    <w:rsid w:val="00305EA9"/>
    <w:rsid w:val="00306012"/>
    <w:rsid w:val="00306555"/>
    <w:rsid w:val="00306DFA"/>
    <w:rsid w:val="0030755E"/>
    <w:rsid w:val="00307AC8"/>
    <w:rsid w:val="00307DE9"/>
    <w:rsid w:val="0031015B"/>
    <w:rsid w:val="0031022E"/>
    <w:rsid w:val="00310461"/>
    <w:rsid w:val="003107C8"/>
    <w:rsid w:val="003108F0"/>
    <w:rsid w:val="00310A74"/>
    <w:rsid w:val="00310D12"/>
    <w:rsid w:val="00310F7E"/>
    <w:rsid w:val="00310F93"/>
    <w:rsid w:val="00311081"/>
    <w:rsid w:val="003110A7"/>
    <w:rsid w:val="003111BF"/>
    <w:rsid w:val="00311E8E"/>
    <w:rsid w:val="0031264D"/>
    <w:rsid w:val="00312875"/>
    <w:rsid w:val="003132D5"/>
    <w:rsid w:val="00313421"/>
    <w:rsid w:val="0031393B"/>
    <w:rsid w:val="00313B42"/>
    <w:rsid w:val="00314411"/>
    <w:rsid w:val="003144B8"/>
    <w:rsid w:val="0031478E"/>
    <w:rsid w:val="00314BC3"/>
    <w:rsid w:val="0031581C"/>
    <w:rsid w:val="00315AA3"/>
    <w:rsid w:val="00315BB0"/>
    <w:rsid w:val="00315CC2"/>
    <w:rsid w:val="00316055"/>
    <w:rsid w:val="00316193"/>
    <w:rsid w:val="0031630F"/>
    <w:rsid w:val="00316453"/>
    <w:rsid w:val="003167A3"/>
    <w:rsid w:val="00316D5D"/>
    <w:rsid w:val="00316F1B"/>
    <w:rsid w:val="00317063"/>
    <w:rsid w:val="003171B7"/>
    <w:rsid w:val="003171E0"/>
    <w:rsid w:val="003177F9"/>
    <w:rsid w:val="00317869"/>
    <w:rsid w:val="00317DBB"/>
    <w:rsid w:val="003210FB"/>
    <w:rsid w:val="00321179"/>
    <w:rsid w:val="00321296"/>
    <w:rsid w:val="003216E8"/>
    <w:rsid w:val="00321F9E"/>
    <w:rsid w:val="003221B7"/>
    <w:rsid w:val="003225D8"/>
    <w:rsid w:val="00322649"/>
    <w:rsid w:val="00322887"/>
    <w:rsid w:val="0032298B"/>
    <w:rsid w:val="00322E9D"/>
    <w:rsid w:val="0032314A"/>
    <w:rsid w:val="003239F9"/>
    <w:rsid w:val="00323ADF"/>
    <w:rsid w:val="00323BBB"/>
    <w:rsid w:val="00323DBF"/>
    <w:rsid w:val="0032448C"/>
    <w:rsid w:val="00324F64"/>
    <w:rsid w:val="00325407"/>
    <w:rsid w:val="00325A7B"/>
    <w:rsid w:val="00325BCD"/>
    <w:rsid w:val="00325C2E"/>
    <w:rsid w:val="00325E8F"/>
    <w:rsid w:val="003264C4"/>
    <w:rsid w:val="003276F9"/>
    <w:rsid w:val="00327F05"/>
    <w:rsid w:val="00327F2A"/>
    <w:rsid w:val="00330060"/>
    <w:rsid w:val="003300D8"/>
    <w:rsid w:val="00330450"/>
    <w:rsid w:val="003305C5"/>
    <w:rsid w:val="00330699"/>
    <w:rsid w:val="003309C2"/>
    <w:rsid w:val="00330A3A"/>
    <w:rsid w:val="00330AB8"/>
    <w:rsid w:val="00330F4C"/>
    <w:rsid w:val="003316A3"/>
    <w:rsid w:val="00331883"/>
    <w:rsid w:val="00331FCC"/>
    <w:rsid w:val="003329F6"/>
    <w:rsid w:val="0033343D"/>
    <w:rsid w:val="003335E7"/>
    <w:rsid w:val="0033375C"/>
    <w:rsid w:val="003337EB"/>
    <w:rsid w:val="003338DC"/>
    <w:rsid w:val="00333D04"/>
    <w:rsid w:val="00333EF0"/>
    <w:rsid w:val="00334934"/>
    <w:rsid w:val="00335092"/>
    <w:rsid w:val="0033527C"/>
    <w:rsid w:val="00335304"/>
    <w:rsid w:val="00335565"/>
    <w:rsid w:val="003359CD"/>
    <w:rsid w:val="00335C9B"/>
    <w:rsid w:val="003363E8"/>
    <w:rsid w:val="003366CF"/>
    <w:rsid w:val="003368EA"/>
    <w:rsid w:val="00336C40"/>
    <w:rsid w:val="00336CB7"/>
    <w:rsid w:val="00337055"/>
    <w:rsid w:val="0033708A"/>
    <w:rsid w:val="00337247"/>
    <w:rsid w:val="0033761A"/>
    <w:rsid w:val="003376AE"/>
    <w:rsid w:val="00337BC4"/>
    <w:rsid w:val="00340486"/>
    <w:rsid w:val="00340514"/>
    <w:rsid w:val="00340576"/>
    <w:rsid w:val="00340686"/>
    <w:rsid w:val="00340708"/>
    <w:rsid w:val="0034082E"/>
    <w:rsid w:val="00341197"/>
    <w:rsid w:val="0034136B"/>
    <w:rsid w:val="003419C5"/>
    <w:rsid w:val="00341C5E"/>
    <w:rsid w:val="00342412"/>
    <w:rsid w:val="00342BF9"/>
    <w:rsid w:val="003430E5"/>
    <w:rsid w:val="003431D4"/>
    <w:rsid w:val="0034358B"/>
    <w:rsid w:val="003435C9"/>
    <w:rsid w:val="0034362A"/>
    <w:rsid w:val="00343771"/>
    <w:rsid w:val="003439C0"/>
    <w:rsid w:val="003439CD"/>
    <w:rsid w:val="00343AB8"/>
    <w:rsid w:val="00343F96"/>
    <w:rsid w:val="0034448D"/>
    <w:rsid w:val="00344520"/>
    <w:rsid w:val="00344571"/>
    <w:rsid w:val="00344684"/>
    <w:rsid w:val="0034483C"/>
    <w:rsid w:val="00344B6E"/>
    <w:rsid w:val="00344F15"/>
    <w:rsid w:val="00344FF3"/>
    <w:rsid w:val="00345017"/>
    <w:rsid w:val="0034508F"/>
    <w:rsid w:val="00345222"/>
    <w:rsid w:val="00345411"/>
    <w:rsid w:val="00345748"/>
    <w:rsid w:val="00345A6B"/>
    <w:rsid w:val="00345FD6"/>
    <w:rsid w:val="003461A3"/>
    <w:rsid w:val="0034668A"/>
    <w:rsid w:val="00346A5D"/>
    <w:rsid w:val="00346CC8"/>
    <w:rsid w:val="00346F6C"/>
    <w:rsid w:val="00347387"/>
    <w:rsid w:val="003473B8"/>
    <w:rsid w:val="003477B8"/>
    <w:rsid w:val="00347889"/>
    <w:rsid w:val="00347A0B"/>
    <w:rsid w:val="00347F66"/>
    <w:rsid w:val="00350359"/>
    <w:rsid w:val="00350663"/>
    <w:rsid w:val="00350A80"/>
    <w:rsid w:val="00350AC9"/>
    <w:rsid w:val="00350CB1"/>
    <w:rsid w:val="00350FE4"/>
    <w:rsid w:val="003511BB"/>
    <w:rsid w:val="00351472"/>
    <w:rsid w:val="003516C4"/>
    <w:rsid w:val="003519B3"/>
    <w:rsid w:val="00351E66"/>
    <w:rsid w:val="00351EFF"/>
    <w:rsid w:val="003521DB"/>
    <w:rsid w:val="00352552"/>
    <w:rsid w:val="0035278F"/>
    <w:rsid w:val="00352A54"/>
    <w:rsid w:val="00352C84"/>
    <w:rsid w:val="00352D70"/>
    <w:rsid w:val="003534D2"/>
    <w:rsid w:val="003535FE"/>
    <w:rsid w:val="00353601"/>
    <w:rsid w:val="003539C7"/>
    <w:rsid w:val="00353BEF"/>
    <w:rsid w:val="00353ED3"/>
    <w:rsid w:val="003540BA"/>
    <w:rsid w:val="00354117"/>
    <w:rsid w:val="003546B0"/>
    <w:rsid w:val="00354B5C"/>
    <w:rsid w:val="00354EA3"/>
    <w:rsid w:val="00354FB7"/>
    <w:rsid w:val="003550CA"/>
    <w:rsid w:val="00355463"/>
    <w:rsid w:val="003554D9"/>
    <w:rsid w:val="00355652"/>
    <w:rsid w:val="00355866"/>
    <w:rsid w:val="00355884"/>
    <w:rsid w:val="00355A0A"/>
    <w:rsid w:val="00355C4F"/>
    <w:rsid w:val="00355C74"/>
    <w:rsid w:val="00355D73"/>
    <w:rsid w:val="00355EBB"/>
    <w:rsid w:val="0035631D"/>
    <w:rsid w:val="0035642F"/>
    <w:rsid w:val="00356D31"/>
    <w:rsid w:val="0035701D"/>
    <w:rsid w:val="00357363"/>
    <w:rsid w:val="00357672"/>
    <w:rsid w:val="00360492"/>
    <w:rsid w:val="00360857"/>
    <w:rsid w:val="00360CBA"/>
    <w:rsid w:val="00361B9E"/>
    <w:rsid w:val="00361BDD"/>
    <w:rsid w:val="00361C51"/>
    <w:rsid w:val="00362097"/>
    <w:rsid w:val="003626C0"/>
    <w:rsid w:val="00362A51"/>
    <w:rsid w:val="00362A78"/>
    <w:rsid w:val="00362D4D"/>
    <w:rsid w:val="00362E9A"/>
    <w:rsid w:val="003633CC"/>
    <w:rsid w:val="003638C1"/>
    <w:rsid w:val="00363904"/>
    <w:rsid w:val="00363A1B"/>
    <w:rsid w:val="00363F1C"/>
    <w:rsid w:val="00364994"/>
    <w:rsid w:val="00364EB3"/>
    <w:rsid w:val="00365431"/>
    <w:rsid w:val="003662BC"/>
    <w:rsid w:val="00366988"/>
    <w:rsid w:val="00366A34"/>
    <w:rsid w:val="00367395"/>
    <w:rsid w:val="00367811"/>
    <w:rsid w:val="00367968"/>
    <w:rsid w:val="00367BD0"/>
    <w:rsid w:val="00370289"/>
    <w:rsid w:val="003702D4"/>
    <w:rsid w:val="003706A3"/>
    <w:rsid w:val="00370771"/>
    <w:rsid w:val="00370AFF"/>
    <w:rsid w:val="00370B92"/>
    <w:rsid w:val="00370C95"/>
    <w:rsid w:val="00371272"/>
    <w:rsid w:val="00371DD6"/>
    <w:rsid w:val="00371EE1"/>
    <w:rsid w:val="003722BA"/>
    <w:rsid w:val="00372F8B"/>
    <w:rsid w:val="00373006"/>
    <w:rsid w:val="00373262"/>
    <w:rsid w:val="0037352A"/>
    <w:rsid w:val="0037397C"/>
    <w:rsid w:val="00373A24"/>
    <w:rsid w:val="00373B7B"/>
    <w:rsid w:val="00373BB3"/>
    <w:rsid w:val="00373C7B"/>
    <w:rsid w:val="00374145"/>
    <w:rsid w:val="003744E6"/>
    <w:rsid w:val="0037490B"/>
    <w:rsid w:val="00374C81"/>
    <w:rsid w:val="00375751"/>
    <w:rsid w:val="00375774"/>
    <w:rsid w:val="0037578E"/>
    <w:rsid w:val="00375910"/>
    <w:rsid w:val="00375CA2"/>
    <w:rsid w:val="00375DBE"/>
    <w:rsid w:val="003763A4"/>
    <w:rsid w:val="003764F0"/>
    <w:rsid w:val="00376C0E"/>
    <w:rsid w:val="00376F67"/>
    <w:rsid w:val="00377021"/>
    <w:rsid w:val="0037754B"/>
    <w:rsid w:val="0037796C"/>
    <w:rsid w:val="00377A8A"/>
    <w:rsid w:val="0038017C"/>
    <w:rsid w:val="003806CA"/>
    <w:rsid w:val="00380CAA"/>
    <w:rsid w:val="00380D99"/>
    <w:rsid w:val="00380DB9"/>
    <w:rsid w:val="00380F4F"/>
    <w:rsid w:val="003812FA"/>
    <w:rsid w:val="0038139B"/>
    <w:rsid w:val="003813E8"/>
    <w:rsid w:val="00381491"/>
    <w:rsid w:val="003814BA"/>
    <w:rsid w:val="00381569"/>
    <w:rsid w:val="00381F63"/>
    <w:rsid w:val="00382023"/>
    <w:rsid w:val="0038245C"/>
    <w:rsid w:val="00382710"/>
    <w:rsid w:val="00382824"/>
    <w:rsid w:val="003828A8"/>
    <w:rsid w:val="003828AD"/>
    <w:rsid w:val="00382938"/>
    <w:rsid w:val="00382985"/>
    <w:rsid w:val="00382DFF"/>
    <w:rsid w:val="00382F51"/>
    <w:rsid w:val="003831BF"/>
    <w:rsid w:val="003834F4"/>
    <w:rsid w:val="00384130"/>
    <w:rsid w:val="0038451B"/>
    <w:rsid w:val="003846BC"/>
    <w:rsid w:val="00384BA7"/>
    <w:rsid w:val="00385331"/>
    <w:rsid w:val="0038538C"/>
    <w:rsid w:val="0038555B"/>
    <w:rsid w:val="003857B6"/>
    <w:rsid w:val="003857FF"/>
    <w:rsid w:val="00385C4F"/>
    <w:rsid w:val="00385C79"/>
    <w:rsid w:val="00385FDB"/>
    <w:rsid w:val="00386A90"/>
    <w:rsid w:val="00386B99"/>
    <w:rsid w:val="00386EF0"/>
    <w:rsid w:val="00387156"/>
    <w:rsid w:val="00387390"/>
    <w:rsid w:val="003874B6"/>
    <w:rsid w:val="003874DC"/>
    <w:rsid w:val="00387529"/>
    <w:rsid w:val="003876B9"/>
    <w:rsid w:val="00387957"/>
    <w:rsid w:val="00387A7A"/>
    <w:rsid w:val="00387BA8"/>
    <w:rsid w:val="00387EF9"/>
    <w:rsid w:val="00390491"/>
    <w:rsid w:val="0039098E"/>
    <w:rsid w:val="00390C23"/>
    <w:rsid w:val="00390D12"/>
    <w:rsid w:val="00390E42"/>
    <w:rsid w:val="0039117A"/>
    <w:rsid w:val="00391242"/>
    <w:rsid w:val="003917C3"/>
    <w:rsid w:val="00391AAB"/>
    <w:rsid w:val="00392186"/>
    <w:rsid w:val="00392600"/>
    <w:rsid w:val="00392833"/>
    <w:rsid w:val="00392C16"/>
    <w:rsid w:val="00392D03"/>
    <w:rsid w:val="00393628"/>
    <w:rsid w:val="00393932"/>
    <w:rsid w:val="00393DF2"/>
    <w:rsid w:val="003940D6"/>
    <w:rsid w:val="0039420E"/>
    <w:rsid w:val="0039483A"/>
    <w:rsid w:val="0039529D"/>
    <w:rsid w:val="00395986"/>
    <w:rsid w:val="00395A22"/>
    <w:rsid w:val="00395C68"/>
    <w:rsid w:val="00395F78"/>
    <w:rsid w:val="00396068"/>
    <w:rsid w:val="00396A76"/>
    <w:rsid w:val="003970DB"/>
    <w:rsid w:val="00397445"/>
    <w:rsid w:val="00397772"/>
    <w:rsid w:val="00397931"/>
    <w:rsid w:val="00397A23"/>
    <w:rsid w:val="00397CDA"/>
    <w:rsid w:val="00397D0F"/>
    <w:rsid w:val="00397E60"/>
    <w:rsid w:val="003A09A6"/>
    <w:rsid w:val="003A09CC"/>
    <w:rsid w:val="003A0ECB"/>
    <w:rsid w:val="003A13AB"/>
    <w:rsid w:val="003A1576"/>
    <w:rsid w:val="003A15B8"/>
    <w:rsid w:val="003A15B9"/>
    <w:rsid w:val="003A1C82"/>
    <w:rsid w:val="003A1FAB"/>
    <w:rsid w:val="003A2328"/>
    <w:rsid w:val="003A2934"/>
    <w:rsid w:val="003A2ECC"/>
    <w:rsid w:val="003A32A4"/>
    <w:rsid w:val="003A3309"/>
    <w:rsid w:val="003A39FD"/>
    <w:rsid w:val="003A3D6B"/>
    <w:rsid w:val="003A4329"/>
    <w:rsid w:val="003A497D"/>
    <w:rsid w:val="003A4AFC"/>
    <w:rsid w:val="003A4B32"/>
    <w:rsid w:val="003A4C71"/>
    <w:rsid w:val="003A5079"/>
    <w:rsid w:val="003A50D4"/>
    <w:rsid w:val="003A514A"/>
    <w:rsid w:val="003A5269"/>
    <w:rsid w:val="003A5410"/>
    <w:rsid w:val="003A57D5"/>
    <w:rsid w:val="003A5C8B"/>
    <w:rsid w:val="003A5E37"/>
    <w:rsid w:val="003A610B"/>
    <w:rsid w:val="003A656E"/>
    <w:rsid w:val="003A66E8"/>
    <w:rsid w:val="003A691A"/>
    <w:rsid w:val="003A69F1"/>
    <w:rsid w:val="003A6BBD"/>
    <w:rsid w:val="003A6DAA"/>
    <w:rsid w:val="003A6E80"/>
    <w:rsid w:val="003A6EA6"/>
    <w:rsid w:val="003A7091"/>
    <w:rsid w:val="003A7146"/>
    <w:rsid w:val="003A73BB"/>
    <w:rsid w:val="003A73C6"/>
    <w:rsid w:val="003A74C1"/>
    <w:rsid w:val="003A7866"/>
    <w:rsid w:val="003A7D7A"/>
    <w:rsid w:val="003A7F9C"/>
    <w:rsid w:val="003B021D"/>
    <w:rsid w:val="003B0520"/>
    <w:rsid w:val="003B0682"/>
    <w:rsid w:val="003B0AF2"/>
    <w:rsid w:val="003B0C63"/>
    <w:rsid w:val="003B0D7B"/>
    <w:rsid w:val="003B0EDF"/>
    <w:rsid w:val="003B1093"/>
    <w:rsid w:val="003B10CD"/>
    <w:rsid w:val="003B26DE"/>
    <w:rsid w:val="003B26EF"/>
    <w:rsid w:val="003B2951"/>
    <w:rsid w:val="003B2A30"/>
    <w:rsid w:val="003B2E8D"/>
    <w:rsid w:val="003B307E"/>
    <w:rsid w:val="003B3320"/>
    <w:rsid w:val="003B36C4"/>
    <w:rsid w:val="003B37E2"/>
    <w:rsid w:val="003B3AA6"/>
    <w:rsid w:val="003B3D7E"/>
    <w:rsid w:val="003B4050"/>
    <w:rsid w:val="003B4325"/>
    <w:rsid w:val="003B46A4"/>
    <w:rsid w:val="003B4BB9"/>
    <w:rsid w:val="003B4BFB"/>
    <w:rsid w:val="003B4DAA"/>
    <w:rsid w:val="003B4E24"/>
    <w:rsid w:val="003B5062"/>
    <w:rsid w:val="003B5250"/>
    <w:rsid w:val="003B53A0"/>
    <w:rsid w:val="003B544C"/>
    <w:rsid w:val="003B5811"/>
    <w:rsid w:val="003B5864"/>
    <w:rsid w:val="003B5DBB"/>
    <w:rsid w:val="003B5E46"/>
    <w:rsid w:val="003B6015"/>
    <w:rsid w:val="003B7095"/>
    <w:rsid w:val="003B777A"/>
    <w:rsid w:val="003B7961"/>
    <w:rsid w:val="003B7AC0"/>
    <w:rsid w:val="003B7B9B"/>
    <w:rsid w:val="003B7D54"/>
    <w:rsid w:val="003B7E00"/>
    <w:rsid w:val="003B7EE5"/>
    <w:rsid w:val="003C00E5"/>
    <w:rsid w:val="003C0C4F"/>
    <w:rsid w:val="003C11FF"/>
    <w:rsid w:val="003C144C"/>
    <w:rsid w:val="003C1801"/>
    <w:rsid w:val="003C1A7C"/>
    <w:rsid w:val="003C1B07"/>
    <w:rsid w:val="003C1DC2"/>
    <w:rsid w:val="003C1E0E"/>
    <w:rsid w:val="003C2227"/>
    <w:rsid w:val="003C222C"/>
    <w:rsid w:val="003C2400"/>
    <w:rsid w:val="003C2BDE"/>
    <w:rsid w:val="003C2D2E"/>
    <w:rsid w:val="003C2E44"/>
    <w:rsid w:val="003C2F7A"/>
    <w:rsid w:val="003C315D"/>
    <w:rsid w:val="003C317F"/>
    <w:rsid w:val="003C3648"/>
    <w:rsid w:val="003C379A"/>
    <w:rsid w:val="003C3AC3"/>
    <w:rsid w:val="003C3B97"/>
    <w:rsid w:val="003C45FC"/>
    <w:rsid w:val="003C4772"/>
    <w:rsid w:val="003C5F63"/>
    <w:rsid w:val="003C671F"/>
    <w:rsid w:val="003C6785"/>
    <w:rsid w:val="003C6F4D"/>
    <w:rsid w:val="003C7026"/>
    <w:rsid w:val="003C772E"/>
    <w:rsid w:val="003D0035"/>
    <w:rsid w:val="003D02F1"/>
    <w:rsid w:val="003D0E26"/>
    <w:rsid w:val="003D160C"/>
    <w:rsid w:val="003D1A64"/>
    <w:rsid w:val="003D20EC"/>
    <w:rsid w:val="003D2518"/>
    <w:rsid w:val="003D2593"/>
    <w:rsid w:val="003D2610"/>
    <w:rsid w:val="003D2624"/>
    <w:rsid w:val="003D2F0F"/>
    <w:rsid w:val="003D4170"/>
    <w:rsid w:val="003D417B"/>
    <w:rsid w:val="003D4649"/>
    <w:rsid w:val="003D5085"/>
    <w:rsid w:val="003D5183"/>
    <w:rsid w:val="003D519D"/>
    <w:rsid w:val="003D531F"/>
    <w:rsid w:val="003D5614"/>
    <w:rsid w:val="003D58E5"/>
    <w:rsid w:val="003D5B09"/>
    <w:rsid w:val="003D5D3C"/>
    <w:rsid w:val="003D5DAE"/>
    <w:rsid w:val="003D62F7"/>
    <w:rsid w:val="003D62FD"/>
    <w:rsid w:val="003D6569"/>
    <w:rsid w:val="003D6B78"/>
    <w:rsid w:val="003D6E52"/>
    <w:rsid w:val="003D6F41"/>
    <w:rsid w:val="003D7126"/>
    <w:rsid w:val="003D7D67"/>
    <w:rsid w:val="003E06CE"/>
    <w:rsid w:val="003E06DC"/>
    <w:rsid w:val="003E07CB"/>
    <w:rsid w:val="003E119A"/>
    <w:rsid w:val="003E14AF"/>
    <w:rsid w:val="003E1523"/>
    <w:rsid w:val="003E164C"/>
    <w:rsid w:val="003E1848"/>
    <w:rsid w:val="003E1AA3"/>
    <w:rsid w:val="003E1D6E"/>
    <w:rsid w:val="003E1EE8"/>
    <w:rsid w:val="003E1F38"/>
    <w:rsid w:val="003E1F7E"/>
    <w:rsid w:val="003E1F9D"/>
    <w:rsid w:val="003E206C"/>
    <w:rsid w:val="003E223F"/>
    <w:rsid w:val="003E31C6"/>
    <w:rsid w:val="003E37CA"/>
    <w:rsid w:val="003E3854"/>
    <w:rsid w:val="003E3978"/>
    <w:rsid w:val="003E3998"/>
    <w:rsid w:val="003E3E16"/>
    <w:rsid w:val="003E3F6C"/>
    <w:rsid w:val="003E4003"/>
    <w:rsid w:val="003E4537"/>
    <w:rsid w:val="003E55F4"/>
    <w:rsid w:val="003E57D2"/>
    <w:rsid w:val="003E5B11"/>
    <w:rsid w:val="003E5B9D"/>
    <w:rsid w:val="003E783F"/>
    <w:rsid w:val="003E7F42"/>
    <w:rsid w:val="003F016A"/>
    <w:rsid w:val="003F02A8"/>
    <w:rsid w:val="003F034B"/>
    <w:rsid w:val="003F04F0"/>
    <w:rsid w:val="003F0656"/>
    <w:rsid w:val="003F19DC"/>
    <w:rsid w:val="003F1A26"/>
    <w:rsid w:val="003F1EFD"/>
    <w:rsid w:val="003F21F4"/>
    <w:rsid w:val="003F252A"/>
    <w:rsid w:val="003F29DB"/>
    <w:rsid w:val="003F2E87"/>
    <w:rsid w:val="003F38B1"/>
    <w:rsid w:val="003F391A"/>
    <w:rsid w:val="003F3B3A"/>
    <w:rsid w:val="003F3E88"/>
    <w:rsid w:val="003F4067"/>
    <w:rsid w:val="003F450E"/>
    <w:rsid w:val="003F4868"/>
    <w:rsid w:val="003F4DF6"/>
    <w:rsid w:val="003F4F0D"/>
    <w:rsid w:val="003F4FEF"/>
    <w:rsid w:val="003F50B6"/>
    <w:rsid w:val="003F51CC"/>
    <w:rsid w:val="003F5690"/>
    <w:rsid w:val="003F5840"/>
    <w:rsid w:val="003F5A4E"/>
    <w:rsid w:val="003F5B34"/>
    <w:rsid w:val="003F5BA6"/>
    <w:rsid w:val="003F5C78"/>
    <w:rsid w:val="003F5CF3"/>
    <w:rsid w:val="003F5F49"/>
    <w:rsid w:val="003F662E"/>
    <w:rsid w:val="003F6A7C"/>
    <w:rsid w:val="003F6F38"/>
    <w:rsid w:val="003F701D"/>
    <w:rsid w:val="003F709C"/>
    <w:rsid w:val="003F72F5"/>
    <w:rsid w:val="003F7396"/>
    <w:rsid w:val="003F74A7"/>
    <w:rsid w:val="003F78C0"/>
    <w:rsid w:val="003F7922"/>
    <w:rsid w:val="003F79B0"/>
    <w:rsid w:val="003F7C13"/>
    <w:rsid w:val="003F7CE9"/>
    <w:rsid w:val="00400282"/>
    <w:rsid w:val="00400614"/>
    <w:rsid w:val="00400905"/>
    <w:rsid w:val="00400CD5"/>
    <w:rsid w:val="00400D08"/>
    <w:rsid w:val="00400F2D"/>
    <w:rsid w:val="004015ED"/>
    <w:rsid w:val="00401699"/>
    <w:rsid w:val="00401BDE"/>
    <w:rsid w:val="00401C59"/>
    <w:rsid w:val="00401D53"/>
    <w:rsid w:val="00401D94"/>
    <w:rsid w:val="00401DC1"/>
    <w:rsid w:val="00402C41"/>
    <w:rsid w:val="00402E0E"/>
    <w:rsid w:val="00402E65"/>
    <w:rsid w:val="00402FC0"/>
    <w:rsid w:val="00403830"/>
    <w:rsid w:val="00403A8D"/>
    <w:rsid w:val="00403C67"/>
    <w:rsid w:val="004040A6"/>
    <w:rsid w:val="00404E41"/>
    <w:rsid w:val="0040510C"/>
    <w:rsid w:val="004051F4"/>
    <w:rsid w:val="00405899"/>
    <w:rsid w:val="00405F1B"/>
    <w:rsid w:val="00406089"/>
    <w:rsid w:val="004062F0"/>
    <w:rsid w:val="004065B1"/>
    <w:rsid w:val="004067CB"/>
    <w:rsid w:val="00406834"/>
    <w:rsid w:val="00406912"/>
    <w:rsid w:val="00406A1A"/>
    <w:rsid w:val="00406C9D"/>
    <w:rsid w:val="00406CE7"/>
    <w:rsid w:val="00407119"/>
    <w:rsid w:val="004072F1"/>
    <w:rsid w:val="00407414"/>
    <w:rsid w:val="00407429"/>
    <w:rsid w:val="00407619"/>
    <w:rsid w:val="00407A10"/>
    <w:rsid w:val="004101EA"/>
    <w:rsid w:val="0041036A"/>
    <w:rsid w:val="00410449"/>
    <w:rsid w:val="00410828"/>
    <w:rsid w:val="00410A3E"/>
    <w:rsid w:val="00410B24"/>
    <w:rsid w:val="00411002"/>
    <w:rsid w:val="00411276"/>
    <w:rsid w:val="0041149D"/>
    <w:rsid w:val="00411663"/>
    <w:rsid w:val="00411685"/>
    <w:rsid w:val="00412209"/>
    <w:rsid w:val="004122D2"/>
    <w:rsid w:val="004126AF"/>
    <w:rsid w:val="004129D5"/>
    <w:rsid w:val="00413018"/>
    <w:rsid w:val="00413C57"/>
    <w:rsid w:val="004142FE"/>
    <w:rsid w:val="00414382"/>
    <w:rsid w:val="004145D7"/>
    <w:rsid w:val="00414745"/>
    <w:rsid w:val="004148B6"/>
    <w:rsid w:val="00414AE0"/>
    <w:rsid w:val="00414D11"/>
    <w:rsid w:val="00415416"/>
    <w:rsid w:val="00415432"/>
    <w:rsid w:val="00415496"/>
    <w:rsid w:val="0041556A"/>
    <w:rsid w:val="00416157"/>
    <w:rsid w:val="004167C5"/>
    <w:rsid w:val="00416899"/>
    <w:rsid w:val="00416A11"/>
    <w:rsid w:val="00416D74"/>
    <w:rsid w:val="00416F30"/>
    <w:rsid w:val="004171CA"/>
    <w:rsid w:val="0041766A"/>
    <w:rsid w:val="0041799D"/>
    <w:rsid w:val="00417A36"/>
    <w:rsid w:val="00417E43"/>
    <w:rsid w:val="00417E7A"/>
    <w:rsid w:val="00417FBE"/>
    <w:rsid w:val="0042006E"/>
    <w:rsid w:val="0042041D"/>
    <w:rsid w:val="004205D0"/>
    <w:rsid w:val="004208D8"/>
    <w:rsid w:val="00420A81"/>
    <w:rsid w:val="00420CCA"/>
    <w:rsid w:val="004214BA"/>
    <w:rsid w:val="0042194D"/>
    <w:rsid w:val="00421C67"/>
    <w:rsid w:val="00421DE6"/>
    <w:rsid w:val="00421E74"/>
    <w:rsid w:val="00422118"/>
    <w:rsid w:val="00422133"/>
    <w:rsid w:val="004222F6"/>
    <w:rsid w:val="0042276C"/>
    <w:rsid w:val="00422934"/>
    <w:rsid w:val="004229E1"/>
    <w:rsid w:val="00422B4A"/>
    <w:rsid w:val="00422E0F"/>
    <w:rsid w:val="0042328F"/>
    <w:rsid w:val="004237E5"/>
    <w:rsid w:val="0042393E"/>
    <w:rsid w:val="00423E8E"/>
    <w:rsid w:val="00423FD5"/>
    <w:rsid w:val="00424997"/>
    <w:rsid w:val="00425278"/>
    <w:rsid w:val="00425553"/>
    <w:rsid w:val="00425CE8"/>
    <w:rsid w:val="0042617B"/>
    <w:rsid w:val="004266B7"/>
    <w:rsid w:val="004266D4"/>
    <w:rsid w:val="004268E9"/>
    <w:rsid w:val="00426E76"/>
    <w:rsid w:val="0042766B"/>
    <w:rsid w:val="00427AC3"/>
    <w:rsid w:val="00430106"/>
    <w:rsid w:val="00430726"/>
    <w:rsid w:val="0043076D"/>
    <w:rsid w:val="004307D0"/>
    <w:rsid w:val="00430CB3"/>
    <w:rsid w:val="00430D28"/>
    <w:rsid w:val="00430FE5"/>
    <w:rsid w:val="004310FF"/>
    <w:rsid w:val="0043112B"/>
    <w:rsid w:val="004316A6"/>
    <w:rsid w:val="004316F6"/>
    <w:rsid w:val="0043193F"/>
    <w:rsid w:val="00431E77"/>
    <w:rsid w:val="00432089"/>
    <w:rsid w:val="0043231B"/>
    <w:rsid w:val="004325BF"/>
    <w:rsid w:val="0043288D"/>
    <w:rsid w:val="00432E58"/>
    <w:rsid w:val="00433614"/>
    <w:rsid w:val="00433729"/>
    <w:rsid w:val="0043407D"/>
    <w:rsid w:val="00434637"/>
    <w:rsid w:val="00434929"/>
    <w:rsid w:val="004349F9"/>
    <w:rsid w:val="00434E60"/>
    <w:rsid w:val="00434F19"/>
    <w:rsid w:val="00434F32"/>
    <w:rsid w:val="004350E2"/>
    <w:rsid w:val="0043533F"/>
    <w:rsid w:val="00435828"/>
    <w:rsid w:val="004358D0"/>
    <w:rsid w:val="00435DFB"/>
    <w:rsid w:val="0043608B"/>
    <w:rsid w:val="004362FD"/>
    <w:rsid w:val="0043682D"/>
    <w:rsid w:val="00436A4C"/>
    <w:rsid w:val="00436C38"/>
    <w:rsid w:val="00436D7A"/>
    <w:rsid w:val="00436DAE"/>
    <w:rsid w:val="00436F3F"/>
    <w:rsid w:val="00436FC1"/>
    <w:rsid w:val="0043706E"/>
    <w:rsid w:val="00437360"/>
    <w:rsid w:val="004373BE"/>
    <w:rsid w:val="0043744E"/>
    <w:rsid w:val="004374EA"/>
    <w:rsid w:val="00437605"/>
    <w:rsid w:val="00437878"/>
    <w:rsid w:val="00437C4D"/>
    <w:rsid w:val="004401E4"/>
    <w:rsid w:val="0044026C"/>
    <w:rsid w:val="004403E6"/>
    <w:rsid w:val="004403E8"/>
    <w:rsid w:val="00440728"/>
    <w:rsid w:val="00440E35"/>
    <w:rsid w:val="00440E3D"/>
    <w:rsid w:val="004414C8"/>
    <w:rsid w:val="004416A4"/>
    <w:rsid w:val="004418EF"/>
    <w:rsid w:val="00441A6A"/>
    <w:rsid w:val="00441A85"/>
    <w:rsid w:val="00441A92"/>
    <w:rsid w:val="00441B7A"/>
    <w:rsid w:val="00441C49"/>
    <w:rsid w:val="00441C7F"/>
    <w:rsid w:val="00441CB9"/>
    <w:rsid w:val="00441CCB"/>
    <w:rsid w:val="00442157"/>
    <w:rsid w:val="00442189"/>
    <w:rsid w:val="00442AC1"/>
    <w:rsid w:val="00442C36"/>
    <w:rsid w:val="00442CB8"/>
    <w:rsid w:val="00442DE8"/>
    <w:rsid w:val="00442EB4"/>
    <w:rsid w:val="00442F73"/>
    <w:rsid w:val="00442F74"/>
    <w:rsid w:val="004431F1"/>
    <w:rsid w:val="0044378B"/>
    <w:rsid w:val="00443925"/>
    <w:rsid w:val="00443E8D"/>
    <w:rsid w:val="00443FAB"/>
    <w:rsid w:val="00444882"/>
    <w:rsid w:val="00444A00"/>
    <w:rsid w:val="00444A7C"/>
    <w:rsid w:val="004450C5"/>
    <w:rsid w:val="004451E5"/>
    <w:rsid w:val="004456E0"/>
    <w:rsid w:val="00445783"/>
    <w:rsid w:val="00445D64"/>
    <w:rsid w:val="004461C9"/>
    <w:rsid w:val="004468C5"/>
    <w:rsid w:val="004469F2"/>
    <w:rsid w:val="00446ACF"/>
    <w:rsid w:val="00446E87"/>
    <w:rsid w:val="00446E89"/>
    <w:rsid w:val="00446ECC"/>
    <w:rsid w:val="00446F19"/>
    <w:rsid w:val="004471F8"/>
    <w:rsid w:val="00447657"/>
    <w:rsid w:val="00447817"/>
    <w:rsid w:val="0045045C"/>
    <w:rsid w:val="00450511"/>
    <w:rsid w:val="00450C2F"/>
    <w:rsid w:val="00450C43"/>
    <w:rsid w:val="00450ED9"/>
    <w:rsid w:val="0045103F"/>
    <w:rsid w:val="0045120F"/>
    <w:rsid w:val="004512AD"/>
    <w:rsid w:val="0045142D"/>
    <w:rsid w:val="00451640"/>
    <w:rsid w:val="00451761"/>
    <w:rsid w:val="00451798"/>
    <w:rsid w:val="004519C6"/>
    <w:rsid w:val="00451AD8"/>
    <w:rsid w:val="00451B27"/>
    <w:rsid w:val="00452C05"/>
    <w:rsid w:val="00452F34"/>
    <w:rsid w:val="004532BB"/>
    <w:rsid w:val="00453CD7"/>
    <w:rsid w:val="00453D75"/>
    <w:rsid w:val="00453DC9"/>
    <w:rsid w:val="004540F7"/>
    <w:rsid w:val="00454294"/>
    <w:rsid w:val="00454652"/>
    <w:rsid w:val="004550BE"/>
    <w:rsid w:val="004552EE"/>
    <w:rsid w:val="004555E2"/>
    <w:rsid w:val="0045575C"/>
    <w:rsid w:val="004559C4"/>
    <w:rsid w:val="00455BF2"/>
    <w:rsid w:val="00455C03"/>
    <w:rsid w:val="00455DEF"/>
    <w:rsid w:val="00456190"/>
    <w:rsid w:val="0045623D"/>
    <w:rsid w:val="00456330"/>
    <w:rsid w:val="00456642"/>
    <w:rsid w:val="0045666A"/>
    <w:rsid w:val="004566CC"/>
    <w:rsid w:val="0045675A"/>
    <w:rsid w:val="00456AC9"/>
    <w:rsid w:val="00456AE7"/>
    <w:rsid w:val="0045710E"/>
    <w:rsid w:val="00457423"/>
    <w:rsid w:val="00457424"/>
    <w:rsid w:val="0045766F"/>
    <w:rsid w:val="00457907"/>
    <w:rsid w:val="0045796E"/>
    <w:rsid w:val="00457E6A"/>
    <w:rsid w:val="00457FDC"/>
    <w:rsid w:val="00460761"/>
    <w:rsid w:val="00460D2A"/>
    <w:rsid w:val="00460DBF"/>
    <w:rsid w:val="00460DD5"/>
    <w:rsid w:val="004613F1"/>
    <w:rsid w:val="0046143D"/>
    <w:rsid w:val="0046178D"/>
    <w:rsid w:val="00461F2E"/>
    <w:rsid w:val="00462645"/>
    <w:rsid w:val="0046282F"/>
    <w:rsid w:val="00462ADE"/>
    <w:rsid w:val="00462CFD"/>
    <w:rsid w:val="00462EBF"/>
    <w:rsid w:val="00463397"/>
    <w:rsid w:val="0046398A"/>
    <w:rsid w:val="00463CA9"/>
    <w:rsid w:val="00463DA4"/>
    <w:rsid w:val="0046422C"/>
    <w:rsid w:val="00464A2C"/>
    <w:rsid w:val="00464FBF"/>
    <w:rsid w:val="0046522B"/>
    <w:rsid w:val="00465280"/>
    <w:rsid w:val="004659B8"/>
    <w:rsid w:val="00465D7C"/>
    <w:rsid w:val="004661C5"/>
    <w:rsid w:val="00466AB9"/>
    <w:rsid w:val="00467175"/>
    <w:rsid w:val="004674CB"/>
    <w:rsid w:val="00467A48"/>
    <w:rsid w:val="004700B1"/>
    <w:rsid w:val="00470F11"/>
    <w:rsid w:val="0047179E"/>
    <w:rsid w:val="00471B67"/>
    <w:rsid w:val="0047239E"/>
    <w:rsid w:val="004728DD"/>
    <w:rsid w:val="00472AFD"/>
    <w:rsid w:val="0047303A"/>
    <w:rsid w:val="00473705"/>
    <w:rsid w:val="0047382E"/>
    <w:rsid w:val="00473C9B"/>
    <w:rsid w:val="00474141"/>
    <w:rsid w:val="00474E75"/>
    <w:rsid w:val="00474F3B"/>
    <w:rsid w:val="00475366"/>
    <w:rsid w:val="00475885"/>
    <w:rsid w:val="00476186"/>
    <w:rsid w:val="00476456"/>
    <w:rsid w:val="0047658A"/>
    <w:rsid w:val="00476599"/>
    <w:rsid w:val="0047670F"/>
    <w:rsid w:val="00476C65"/>
    <w:rsid w:val="00476DD4"/>
    <w:rsid w:val="00476EC9"/>
    <w:rsid w:val="00476F98"/>
    <w:rsid w:val="00476FFD"/>
    <w:rsid w:val="00477065"/>
    <w:rsid w:val="0047710D"/>
    <w:rsid w:val="004772FB"/>
    <w:rsid w:val="00480244"/>
    <w:rsid w:val="004804F0"/>
    <w:rsid w:val="00480730"/>
    <w:rsid w:val="00480917"/>
    <w:rsid w:val="00480D9B"/>
    <w:rsid w:val="00481160"/>
    <w:rsid w:val="0048148D"/>
    <w:rsid w:val="004814A3"/>
    <w:rsid w:val="004816C9"/>
    <w:rsid w:val="004817C5"/>
    <w:rsid w:val="004819CD"/>
    <w:rsid w:val="0048237B"/>
    <w:rsid w:val="0048238A"/>
    <w:rsid w:val="00482E99"/>
    <w:rsid w:val="00482F2D"/>
    <w:rsid w:val="004831CE"/>
    <w:rsid w:val="0048346E"/>
    <w:rsid w:val="00483678"/>
    <w:rsid w:val="00483687"/>
    <w:rsid w:val="00483AC3"/>
    <w:rsid w:val="00484147"/>
    <w:rsid w:val="00484AE6"/>
    <w:rsid w:val="00484B47"/>
    <w:rsid w:val="00484C01"/>
    <w:rsid w:val="00484C11"/>
    <w:rsid w:val="00484DB1"/>
    <w:rsid w:val="00484EFC"/>
    <w:rsid w:val="004855A3"/>
    <w:rsid w:val="004855CE"/>
    <w:rsid w:val="00485AE7"/>
    <w:rsid w:val="00485DB7"/>
    <w:rsid w:val="0048633F"/>
    <w:rsid w:val="004863FE"/>
    <w:rsid w:val="0048698E"/>
    <w:rsid w:val="00487084"/>
    <w:rsid w:val="00487435"/>
    <w:rsid w:val="0049035A"/>
    <w:rsid w:val="00490B73"/>
    <w:rsid w:val="00491098"/>
    <w:rsid w:val="00491BBB"/>
    <w:rsid w:val="00491FB9"/>
    <w:rsid w:val="00492161"/>
    <w:rsid w:val="00492230"/>
    <w:rsid w:val="00492650"/>
    <w:rsid w:val="004928F8"/>
    <w:rsid w:val="00492CB5"/>
    <w:rsid w:val="00493050"/>
    <w:rsid w:val="00493CE7"/>
    <w:rsid w:val="00493E27"/>
    <w:rsid w:val="00494472"/>
    <w:rsid w:val="00494921"/>
    <w:rsid w:val="00494C0E"/>
    <w:rsid w:val="00494DD2"/>
    <w:rsid w:val="00495280"/>
    <w:rsid w:val="004954DB"/>
    <w:rsid w:val="00495644"/>
    <w:rsid w:val="00496051"/>
    <w:rsid w:val="00496142"/>
    <w:rsid w:val="00496270"/>
    <w:rsid w:val="004963C0"/>
    <w:rsid w:val="0049674A"/>
    <w:rsid w:val="0049698B"/>
    <w:rsid w:val="00497237"/>
    <w:rsid w:val="004979B3"/>
    <w:rsid w:val="004A0419"/>
    <w:rsid w:val="004A0568"/>
    <w:rsid w:val="004A09EE"/>
    <w:rsid w:val="004A0B8F"/>
    <w:rsid w:val="004A0C2D"/>
    <w:rsid w:val="004A0EF8"/>
    <w:rsid w:val="004A1014"/>
    <w:rsid w:val="004A11D6"/>
    <w:rsid w:val="004A125C"/>
    <w:rsid w:val="004A1300"/>
    <w:rsid w:val="004A1A26"/>
    <w:rsid w:val="004A2827"/>
    <w:rsid w:val="004A284E"/>
    <w:rsid w:val="004A287F"/>
    <w:rsid w:val="004A2DC7"/>
    <w:rsid w:val="004A2EBC"/>
    <w:rsid w:val="004A3020"/>
    <w:rsid w:val="004A331A"/>
    <w:rsid w:val="004A33CD"/>
    <w:rsid w:val="004A408A"/>
    <w:rsid w:val="004A40DA"/>
    <w:rsid w:val="004A42C9"/>
    <w:rsid w:val="004A45E3"/>
    <w:rsid w:val="004A49D5"/>
    <w:rsid w:val="004A4EDF"/>
    <w:rsid w:val="004A4F1E"/>
    <w:rsid w:val="004A4FA4"/>
    <w:rsid w:val="004A53C5"/>
    <w:rsid w:val="004A5780"/>
    <w:rsid w:val="004A58CC"/>
    <w:rsid w:val="004A5956"/>
    <w:rsid w:val="004A6104"/>
    <w:rsid w:val="004A63DE"/>
    <w:rsid w:val="004A6CC3"/>
    <w:rsid w:val="004A6EE7"/>
    <w:rsid w:val="004A6F18"/>
    <w:rsid w:val="004A705E"/>
    <w:rsid w:val="004A72CC"/>
    <w:rsid w:val="004A7379"/>
    <w:rsid w:val="004A74F1"/>
    <w:rsid w:val="004A76D8"/>
    <w:rsid w:val="004A7E8F"/>
    <w:rsid w:val="004A7ED9"/>
    <w:rsid w:val="004B059E"/>
    <w:rsid w:val="004B08D9"/>
    <w:rsid w:val="004B0C10"/>
    <w:rsid w:val="004B14AA"/>
    <w:rsid w:val="004B1556"/>
    <w:rsid w:val="004B174E"/>
    <w:rsid w:val="004B1A8A"/>
    <w:rsid w:val="004B1AC5"/>
    <w:rsid w:val="004B1BAB"/>
    <w:rsid w:val="004B1D98"/>
    <w:rsid w:val="004B20DC"/>
    <w:rsid w:val="004B20EF"/>
    <w:rsid w:val="004B2797"/>
    <w:rsid w:val="004B2B09"/>
    <w:rsid w:val="004B2F62"/>
    <w:rsid w:val="004B319D"/>
    <w:rsid w:val="004B32AF"/>
    <w:rsid w:val="004B330F"/>
    <w:rsid w:val="004B3354"/>
    <w:rsid w:val="004B34D8"/>
    <w:rsid w:val="004B368D"/>
    <w:rsid w:val="004B3A0A"/>
    <w:rsid w:val="004B3C21"/>
    <w:rsid w:val="004B3E4E"/>
    <w:rsid w:val="004B42F5"/>
    <w:rsid w:val="004B4C31"/>
    <w:rsid w:val="004B4F1C"/>
    <w:rsid w:val="004B5903"/>
    <w:rsid w:val="004B59C2"/>
    <w:rsid w:val="004B5BD6"/>
    <w:rsid w:val="004B5D18"/>
    <w:rsid w:val="004B5F7B"/>
    <w:rsid w:val="004B6107"/>
    <w:rsid w:val="004B6279"/>
    <w:rsid w:val="004B681C"/>
    <w:rsid w:val="004B684E"/>
    <w:rsid w:val="004B6955"/>
    <w:rsid w:val="004B6C19"/>
    <w:rsid w:val="004B6C9F"/>
    <w:rsid w:val="004B6FF6"/>
    <w:rsid w:val="004B7374"/>
    <w:rsid w:val="004B74DC"/>
    <w:rsid w:val="004B76A2"/>
    <w:rsid w:val="004B79F6"/>
    <w:rsid w:val="004B7EA3"/>
    <w:rsid w:val="004C00E3"/>
    <w:rsid w:val="004C052B"/>
    <w:rsid w:val="004C0686"/>
    <w:rsid w:val="004C0975"/>
    <w:rsid w:val="004C0B67"/>
    <w:rsid w:val="004C0EFC"/>
    <w:rsid w:val="004C0F1C"/>
    <w:rsid w:val="004C0FBB"/>
    <w:rsid w:val="004C1340"/>
    <w:rsid w:val="004C1952"/>
    <w:rsid w:val="004C1E1B"/>
    <w:rsid w:val="004C20A4"/>
    <w:rsid w:val="004C228A"/>
    <w:rsid w:val="004C2613"/>
    <w:rsid w:val="004C2BBB"/>
    <w:rsid w:val="004C2FC9"/>
    <w:rsid w:val="004C3430"/>
    <w:rsid w:val="004C3706"/>
    <w:rsid w:val="004C3743"/>
    <w:rsid w:val="004C39E6"/>
    <w:rsid w:val="004C42BC"/>
    <w:rsid w:val="004C42EE"/>
    <w:rsid w:val="004C4950"/>
    <w:rsid w:val="004C4D92"/>
    <w:rsid w:val="004C4DAE"/>
    <w:rsid w:val="004C5030"/>
    <w:rsid w:val="004C5135"/>
    <w:rsid w:val="004C5409"/>
    <w:rsid w:val="004C54AF"/>
    <w:rsid w:val="004C5675"/>
    <w:rsid w:val="004C5934"/>
    <w:rsid w:val="004C5B50"/>
    <w:rsid w:val="004C5BA3"/>
    <w:rsid w:val="004C5F0A"/>
    <w:rsid w:val="004C6A73"/>
    <w:rsid w:val="004C6C04"/>
    <w:rsid w:val="004C7007"/>
    <w:rsid w:val="004C76B0"/>
    <w:rsid w:val="004C7736"/>
    <w:rsid w:val="004C785A"/>
    <w:rsid w:val="004C7988"/>
    <w:rsid w:val="004D04A7"/>
    <w:rsid w:val="004D04DB"/>
    <w:rsid w:val="004D07A3"/>
    <w:rsid w:val="004D0B6B"/>
    <w:rsid w:val="004D0F0B"/>
    <w:rsid w:val="004D1168"/>
    <w:rsid w:val="004D11A5"/>
    <w:rsid w:val="004D13F4"/>
    <w:rsid w:val="004D1783"/>
    <w:rsid w:val="004D183E"/>
    <w:rsid w:val="004D19BA"/>
    <w:rsid w:val="004D1E60"/>
    <w:rsid w:val="004D213D"/>
    <w:rsid w:val="004D2355"/>
    <w:rsid w:val="004D2443"/>
    <w:rsid w:val="004D2D9F"/>
    <w:rsid w:val="004D2FF6"/>
    <w:rsid w:val="004D3592"/>
    <w:rsid w:val="004D378B"/>
    <w:rsid w:val="004D3A13"/>
    <w:rsid w:val="004D4647"/>
    <w:rsid w:val="004D465B"/>
    <w:rsid w:val="004D4A3C"/>
    <w:rsid w:val="004D4FD6"/>
    <w:rsid w:val="004D50BA"/>
    <w:rsid w:val="004D5349"/>
    <w:rsid w:val="004D5546"/>
    <w:rsid w:val="004D5769"/>
    <w:rsid w:val="004D58D5"/>
    <w:rsid w:val="004D5911"/>
    <w:rsid w:val="004D5BB0"/>
    <w:rsid w:val="004D5DC8"/>
    <w:rsid w:val="004D690B"/>
    <w:rsid w:val="004D6D5D"/>
    <w:rsid w:val="004D7109"/>
    <w:rsid w:val="004D7945"/>
    <w:rsid w:val="004E056E"/>
    <w:rsid w:val="004E05CD"/>
    <w:rsid w:val="004E0626"/>
    <w:rsid w:val="004E0FAD"/>
    <w:rsid w:val="004E0FCE"/>
    <w:rsid w:val="004E14E0"/>
    <w:rsid w:val="004E1547"/>
    <w:rsid w:val="004E1FEB"/>
    <w:rsid w:val="004E231B"/>
    <w:rsid w:val="004E27C8"/>
    <w:rsid w:val="004E28D7"/>
    <w:rsid w:val="004E2C83"/>
    <w:rsid w:val="004E30C6"/>
    <w:rsid w:val="004E38C7"/>
    <w:rsid w:val="004E3DAE"/>
    <w:rsid w:val="004E3DC0"/>
    <w:rsid w:val="004E4148"/>
    <w:rsid w:val="004E4919"/>
    <w:rsid w:val="004E4C15"/>
    <w:rsid w:val="004E4F1A"/>
    <w:rsid w:val="004E506B"/>
    <w:rsid w:val="004E5087"/>
    <w:rsid w:val="004E50BC"/>
    <w:rsid w:val="004E539E"/>
    <w:rsid w:val="004E55D7"/>
    <w:rsid w:val="004E5654"/>
    <w:rsid w:val="004E5EDF"/>
    <w:rsid w:val="004E6608"/>
    <w:rsid w:val="004E666E"/>
    <w:rsid w:val="004E6839"/>
    <w:rsid w:val="004E703F"/>
    <w:rsid w:val="004E7263"/>
    <w:rsid w:val="004E7265"/>
    <w:rsid w:val="004E731A"/>
    <w:rsid w:val="004E7388"/>
    <w:rsid w:val="004E7447"/>
    <w:rsid w:val="004F026A"/>
    <w:rsid w:val="004F0310"/>
    <w:rsid w:val="004F06C4"/>
    <w:rsid w:val="004F0786"/>
    <w:rsid w:val="004F090E"/>
    <w:rsid w:val="004F0947"/>
    <w:rsid w:val="004F0959"/>
    <w:rsid w:val="004F098C"/>
    <w:rsid w:val="004F0A1B"/>
    <w:rsid w:val="004F0CC7"/>
    <w:rsid w:val="004F0D0A"/>
    <w:rsid w:val="004F101D"/>
    <w:rsid w:val="004F109F"/>
    <w:rsid w:val="004F11DD"/>
    <w:rsid w:val="004F1586"/>
    <w:rsid w:val="004F16C9"/>
    <w:rsid w:val="004F17FF"/>
    <w:rsid w:val="004F1A0F"/>
    <w:rsid w:val="004F1CD9"/>
    <w:rsid w:val="004F2427"/>
    <w:rsid w:val="004F287E"/>
    <w:rsid w:val="004F28A4"/>
    <w:rsid w:val="004F29E2"/>
    <w:rsid w:val="004F2A85"/>
    <w:rsid w:val="004F329C"/>
    <w:rsid w:val="004F32D2"/>
    <w:rsid w:val="004F3368"/>
    <w:rsid w:val="004F33B2"/>
    <w:rsid w:val="004F345F"/>
    <w:rsid w:val="004F395D"/>
    <w:rsid w:val="004F39CC"/>
    <w:rsid w:val="004F3B6E"/>
    <w:rsid w:val="004F3C52"/>
    <w:rsid w:val="004F403E"/>
    <w:rsid w:val="004F4050"/>
    <w:rsid w:val="004F4148"/>
    <w:rsid w:val="004F4207"/>
    <w:rsid w:val="004F42FC"/>
    <w:rsid w:val="004F4836"/>
    <w:rsid w:val="004F483A"/>
    <w:rsid w:val="004F4A0A"/>
    <w:rsid w:val="004F4CC7"/>
    <w:rsid w:val="004F4FB4"/>
    <w:rsid w:val="004F589A"/>
    <w:rsid w:val="004F58B8"/>
    <w:rsid w:val="004F5912"/>
    <w:rsid w:val="004F597A"/>
    <w:rsid w:val="004F5B8D"/>
    <w:rsid w:val="004F5CC4"/>
    <w:rsid w:val="004F5D42"/>
    <w:rsid w:val="004F5EF6"/>
    <w:rsid w:val="004F5F10"/>
    <w:rsid w:val="004F5F25"/>
    <w:rsid w:val="004F61C4"/>
    <w:rsid w:val="004F6494"/>
    <w:rsid w:val="004F6993"/>
    <w:rsid w:val="004F6F03"/>
    <w:rsid w:val="004F70D6"/>
    <w:rsid w:val="004F71C7"/>
    <w:rsid w:val="004F75E2"/>
    <w:rsid w:val="004F7DAF"/>
    <w:rsid w:val="004F7E15"/>
    <w:rsid w:val="004F7F06"/>
    <w:rsid w:val="004F7FB8"/>
    <w:rsid w:val="004F7FC2"/>
    <w:rsid w:val="00500453"/>
    <w:rsid w:val="00500868"/>
    <w:rsid w:val="005008BC"/>
    <w:rsid w:val="00500ABC"/>
    <w:rsid w:val="00500F3C"/>
    <w:rsid w:val="005010DB"/>
    <w:rsid w:val="00501297"/>
    <w:rsid w:val="005029EE"/>
    <w:rsid w:val="00502DD6"/>
    <w:rsid w:val="00503089"/>
    <w:rsid w:val="005038CC"/>
    <w:rsid w:val="00503BF7"/>
    <w:rsid w:val="00503C79"/>
    <w:rsid w:val="00503C8F"/>
    <w:rsid w:val="00503C95"/>
    <w:rsid w:val="00504482"/>
    <w:rsid w:val="00504A7B"/>
    <w:rsid w:val="00504D50"/>
    <w:rsid w:val="00504F20"/>
    <w:rsid w:val="0050553E"/>
    <w:rsid w:val="0050556D"/>
    <w:rsid w:val="00505B4A"/>
    <w:rsid w:val="00505CEA"/>
    <w:rsid w:val="00505F02"/>
    <w:rsid w:val="00505F4F"/>
    <w:rsid w:val="00505F73"/>
    <w:rsid w:val="0050619C"/>
    <w:rsid w:val="005065B0"/>
    <w:rsid w:val="00506797"/>
    <w:rsid w:val="00506D71"/>
    <w:rsid w:val="00506E5E"/>
    <w:rsid w:val="00507238"/>
    <w:rsid w:val="0050751D"/>
    <w:rsid w:val="005075F9"/>
    <w:rsid w:val="0050796C"/>
    <w:rsid w:val="00507A70"/>
    <w:rsid w:val="00507C82"/>
    <w:rsid w:val="00507D98"/>
    <w:rsid w:val="005103D1"/>
    <w:rsid w:val="00510438"/>
    <w:rsid w:val="00510494"/>
    <w:rsid w:val="0051064F"/>
    <w:rsid w:val="00510964"/>
    <w:rsid w:val="00510DDC"/>
    <w:rsid w:val="00510F73"/>
    <w:rsid w:val="00510F7D"/>
    <w:rsid w:val="00510F90"/>
    <w:rsid w:val="00511605"/>
    <w:rsid w:val="0051171D"/>
    <w:rsid w:val="00511A30"/>
    <w:rsid w:val="00511CC8"/>
    <w:rsid w:val="00511CD4"/>
    <w:rsid w:val="00511E5B"/>
    <w:rsid w:val="00512288"/>
    <w:rsid w:val="005122D3"/>
    <w:rsid w:val="005126CE"/>
    <w:rsid w:val="0051270C"/>
    <w:rsid w:val="00512815"/>
    <w:rsid w:val="005128D3"/>
    <w:rsid w:val="00512A9B"/>
    <w:rsid w:val="00512E5B"/>
    <w:rsid w:val="0051399C"/>
    <w:rsid w:val="005143F6"/>
    <w:rsid w:val="0051448D"/>
    <w:rsid w:val="00514571"/>
    <w:rsid w:val="00514F11"/>
    <w:rsid w:val="00515211"/>
    <w:rsid w:val="005152AA"/>
    <w:rsid w:val="005153F4"/>
    <w:rsid w:val="005154BA"/>
    <w:rsid w:val="005155E9"/>
    <w:rsid w:val="00515C42"/>
    <w:rsid w:val="00515CF4"/>
    <w:rsid w:val="00515E7D"/>
    <w:rsid w:val="005165BA"/>
    <w:rsid w:val="00516799"/>
    <w:rsid w:val="00516823"/>
    <w:rsid w:val="005169A6"/>
    <w:rsid w:val="0051708A"/>
    <w:rsid w:val="005170BE"/>
    <w:rsid w:val="005171EE"/>
    <w:rsid w:val="00517541"/>
    <w:rsid w:val="00517BDE"/>
    <w:rsid w:val="0052045C"/>
    <w:rsid w:val="005209D5"/>
    <w:rsid w:val="00520AD7"/>
    <w:rsid w:val="00520C93"/>
    <w:rsid w:val="00521179"/>
    <w:rsid w:val="00521251"/>
    <w:rsid w:val="00521300"/>
    <w:rsid w:val="005218FD"/>
    <w:rsid w:val="00521A1B"/>
    <w:rsid w:val="00521B05"/>
    <w:rsid w:val="00521E19"/>
    <w:rsid w:val="0052212B"/>
    <w:rsid w:val="005223EE"/>
    <w:rsid w:val="005226BA"/>
    <w:rsid w:val="00522AF5"/>
    <w:rsid w:val="00522CB6"/>
    <w:rsid w:val="00523192"/>
    <w:rsid w:val="00523411"/>
    <w:rsid w:val="005234AD"/>
    <w:rsid w:val="005236E6"/>
    <w:rsid w:val="00523918"/>
    <w:rsid w:val="00523946"/>
    <w:rsid w:val="00523ED3"/>
    <w:rsid w:val="00523FD4"/>
    <w:rsid w:val="00524022"/>
    <w:rsid w:val="005241D2"/>
    <w:rsid w:val="00524250"/>
    <w:rsid w:val="005242AC"/>
    <w:rsid w:val="0052439C"/>
    <w:rsid w:val="00524C04"/>
    <w:rsid w:val="0052561F"/>
    <w:rsid w:val="005256FE"/>
    <w:rsid w:val="00525782"/>
    <w:rsid w:val="00525BE7"/>
    <w:rsid w:val="0052607B"/>
    <w:rsid w:val="0052641D"/>
    <w:rsid w:val="005264E4"/>
    <w:rsid w:val="005269CD"/>
    <w:rsid w:val="00526DA3"/>
    <w:rsid w:val="00527573"/>
    <w:rsid w:val="005278CE"/>
    <w:rsid w:val="00527ADA"/>
    <w:rsid w:val="00527BD6"/>
    <w:rsid w:val="00527F77"/>
    <w:rsid w:val="00530A71"/>
    <w:rsid w:val="00530CFC"/>
    <w:rsid w:val="00530D1D"/>
    <w:rsid w:val="0053149D"/>
    <w:rsid w:val="00531668"/>
    <w:rsid w:val="00531975"/>
    <w:rsid w:val="00531C33"/>
    <w:rsid w:val="00532140"/>
    <w:rsid w:val="00532D90"/>
    <w:rsid w:val="0053366F"/>
    <w:rsid w:val="0053367D"/>
    <w:rsid w:val="00533BFF"/>
    <w:rsid w:val="005340A6"/>
    <w:rsid w:val="0053413F"/>
    <w:rsid w:val="00534730"/>
    <w:rsid w:val="005347B5"/>
    <w:rsid w:val="00534C31"/>
    <w:rsid w:val="00534C78"/>
    <w:rsid w:val="00534CBA"/>
    <w:rsid w:val="005350C2"/>
    <w:rsid w:val="00535223"/>
    <w:rsid w:val="0053529D"/>
    <w:rsid w:val="00535695"/>
    <w:rsid w:val="005356DD"/>
    <w:rsid w:val="005358F6"/>
    <w:rsid w:val="00535DA7"/>
    <w:rsid w:val="0053632F"/>
    <w:rsid w:val="0053642B"/>
    <w:rsid w:val="005367A3"/>
    <w:rsid w:val="00536998"/>
    <w:rsid w:val="00536CCC"/>
    <w:rsid w:val="00537164"/>
    <w:rsid w:val="005375F2"/>
    <w:rsid w:val="00537A3E"/>
    <w:rsid w:val="00537CA2"/>
    <w:rsid w:val="00537EEC"/>
    <w:rsid w:val="00537EEE"/>
    <w:rsid w:val="00540C2A"/>
    <w:rsid w:val="00540DE2"/>
    <w:rsid w:val="00540F65"/>
    <w:rsid w:val="00541AF1"/>
    <w:rsid w:val="00541C1C"/>
    <w:rsid w:val="00541CCE"/>
    <w:rsid w:val="00541D5F"/>
    <w:rsid w:val="00541E07"/>
    <w:rsid w:val="00541E2A"/>
    <w:rsid w:val="005421CD"/>
    <w:rsid w:val="00543622"/>
    <w:rsid w:val="005436C7"/>
    <w:rsid w:val="00543B0C"/>
    <w:rsid w:val="00543B88"/>
    <w:rsid w:val="00543D2F"/>
    <w:rsid w:val="00543DD6"/>
    <w:rsid w:val="0054508E"/>
    <w:rsid w:val="005455CB"/>
    <w:rsid w:val="00545A24"/>
    <w:rsid w:val="00545A57"/>
    <w:rsid w:val="00545EFF"/>
    <w:rsid w:val="005462E1"/>
    <w:rsid w:val="00546355"/>
    <w:rsid w:val="00546B3F"/>
    <w:rsid w:val="00546CEB"/>
    <w:rsid w:val="00546E87"/>
    <w:rsid w:val="00546FF9"/>
    <w:rsid w:val="00547319"/>
    <w:rsid w:val="005474CA"/>
    <w:rsid w:val="005474FD"/>
    <w:rsid w:val="005475D4"/>
    <w:rsid w:val="005478A5"/>
    <w:rsid w:val="00547C9B"/>
    <w:rsid w:val="005503F9"/>
    <w:rsid w:val="005505FE"/>
    <w:rsid w:val="00550A2B"/>
    <w:rsid w:val="00550F8E"/>
    <w:rsid w:val="00551292"/>
    <w:rsid w:val="0055135E"/>
    <w:rsid w:val="00551382"/>
    <w:rsid w:val="00551455"/>
    <w:rsid w:val="0055168A"/>
    <w:rsid w:val="00551805"/>
    <w:rsid w:val="00551C0D"/>
    <w:rsid w:val="00551F7B"/>
    <w:rsid w:val="0055231E"/>
    <w:rsid w:val="005523F5"/>
    <w:rsid w:val="005524FA"/>
    <w:rsid w:val="00552B6A"/>
    <w:rsid w:val="00552BFD"/>
    <w:rsid w:val="00552DD6"/>
    <w:rsid w:val="00552DE8"/>
    <w:rsid w:val="00552E0E"/>
    <w:rsid w:val="00552F29"/>
    <w:rsid w:val="0055346A"/>
    <w:rsid w:val="00553607"/>
    <w:rsid w:val="00553728"/>
    <w:rsid w:val="0055393C"/>
    <w:rsid w:val="00553AD5"/>
    <w:rsid w:val="00553C56"/>
    <w:rsid w:val="0055420E"/>
    <w:rsid w:val="005544B5"/>
    <w:rsid w:val="0055456C"/>
    <w:rsid w:val="00554922"/>
    <w:rsid w:val="0055494A"/>
    <w:rsid w:val="00554A1C"/>
    <w:rsid w:val="005552AB"/>
    <w:rsid w:val="00555374"/>
    <w:rsid w:val="00556488"/>
    <w:rsid w:val="005565F0"/>
    <w:rsid w:val="00556684"/>
    <w:rsid w:val="0055684A"/>
    <w:rsid w:val="005568F7"/>
    <w:rsid w:val="00556B45"/>
    <w:rsid w:val="00556DB9"/>
    <w:rsid w:val="00556E2E"/>
    <w:rsid w:val="005570DC"/>
    <w:rsid w:val="005575A5"/>
    <w:rsid w:val="00557ABD"/>
    <w:rsid w:val="00557B3B"/>
    <w:rsid w:val="00557BA1"/>
    <w:rsid w:val="00557DCB"/>
    <w:rsid w:val="00560051"/>
    <w:rsid w:val="00560608"/>
    <w:rsid w:val="005606DC"/>
    <w:rsid w:val="00560B5F"/>
    <w:rsid w:val="00561127"/>
    <w:rsid w:val="00561864"/>
    <w:rsid w:val="00561BDD"/>
    <w:rsid w:val="00562002"/>
    <w:rsid w:val="005631DA"/>
    <w:rsid w:val="005633E9"/>
    <w:rsid w:val="005635E7"/>
    <w:rsid w:val="00563B22"/>
    <w:rsid w:val="00563C23"/>
    <w:rsid w:val="00563C2A"/>
    <w:rsid w:val="00563C6B"/>
    <w:rsid w:val="0056433C"/>
    <w:rsid w:val="005647BC"/>
    <w:rsid w:val="00564B81"/>
    <w:rsid w:val="0056503C"/>
    <w:rsid w:val="00565192"/>
    <w:rsid w:val="005654C9"/>
    <w:rsid w:val="005654F1"/>
    <w:rsid w:val="00565516"/>
    <w:rsid w:val="0056580B"/>
    <w:rsid w:val="005658B6"/>
    <w:rsid w:val="00565BA0"/>
    <w:rsid w:val="005663EE"/>
    <w:rsid w:val="00566428"/>
    <w:rsid w:val="00566488"/>
    <w:rsid w:val="0056650A"/>
    <w:rsid w:val="00566BB1"/>
    <w:rsid w:val="00566FEB"/>
    <w:rsid w:val="005670BC"/>
    <w:rsid w:val="0056737C"/>
    <w:rsid w:val="0056761F"/>
    <w:rsid w:val="0056782D"/>
    <w:rsid w:val="00567877"/>
    <w:rsid w:val="005678B9"/>
    <w:rsid w:val="00567EAF"/>
    <w:rsid w:val="005701EF"/>
    <w:rsid w:val="005703C8"/>
    <w:rsid w:val="00570635"/>
    <w:rsid w:val="00570749"/>
    <w:rsid w:val="00570EDD"/>
    <w:rsid w:val="0057100C"/>
    <w:rsid w:val="00571258"/>
    <w:rsid w:val="00571AC5"/>
    <w:rsid w:val="00571BC5"/>
    <w:rsid w:val="00571F21"/>
    <w:rsid w:val="00572398"/>
    <w:rsid w:val="005725D3"/>
    <w:rsid w:val="00572846"/>
    <w:rsid w:val="00572920"/>
    <w:rsid w:val="00573257"/>
    <w:rsid w:val="00573285"/>
    <w:rsid w:val="00573807"/>
    <w:rsid w:val="00573FA2"/>
    <w:rsid w:val="00573FF7"/>
    <w:rsid w:val="00575291"/>
    <w:rsid w:val="00576723"/>
    <w:rsid w:val="005767F7"/>
    <w:rsid w:val="00576C50"/>
    <w:rsid w:val="00576E33"/>
    <w:rsid w:val="005775A8"/>
    <w:rsid w:val="005777D1"/>
    <w:rsid w:val="00577DE7"/>
    <w:rsid w:val="0058025E"/>
    <w:rsid w:val="00580E04"/>
    <w:rsid w:val="00580ECB"/>
    <w:rsid w:val="005813EC"/>
    <w:rsid w:val="0058171A"/>
    <w:rsid w:val="00581757"/>
    <w:rsid w:val="00581973"/>
    <w:rsid w:val="00582085"/>
    <w:rsid w:val="0058296E"/>
    <w:rsid w:val="00582C6A"/>
    <w:rsid w:val="00582C6E"/>
    <w:rsid w:val="00582EA3"/>
    <w:rsid w:val="005831D1"/>
    <w:rsid w:val="0058320E"/>
    <w:rsid w:val="005833F7"/>
    <w:rsid w:val="00583822"/>
    <w:rsid w:val="00583ABA"/>
    <w:rsid w:val="00583C84"/>
    <w:rsid w:val="00583D3E"/>
    <w:rsid w:val="00584016"/>
    <w:rsid w:val="005843A5"/>
    <w:rsid w:val="00584434"/>
    <w:rsid w:val="00584507"/>
    <w:rsid w:val="00584555"/>
    <w:rsid w:val="00584FDA"/>
    <w:rsid w:val="00585115"/>
    <w:rsid w:val="005851CD"/>
    <w:rsid w:val="005857B4"/>
    <w:rsid w:val="00585BB9"/>
    <w:rsid w:val="00586214"/>
    <w:rsid w:val="005864F9"/>
    <w:rsid w:val="0058660F"/>
    <w:rsid w:val="00586649"/>
    <w:rsid w:val="0058665F"/>
    <w:rsid w:val="005866B2"/>
    <w:rsid w:val="005868E0"/>
    <w:rsid w:val="00586C05"/>
    <w:rsid w:val="00586D4B"/>
    <w:rsid w:val="00586E3A"/>
    <w:rsid w:val="005901C9"/>
    <w:rsid w:val="005906AB"/>
    <w:rsid w:val="00590708"/>
    <w:rsid w:val="0059097F"/>
    <w:rsid w:val="00590F7D"/>
    <w:rsid w:val="00590FF2"/>
    <w:rsid w:val="0059135D"/>
    <w:rsid w:val="00591590"/>
    <w:rsid w:val="00591744"/>
    <w:rsid w:val="0059198E"/>
    <w:rsid w:val="00591A9A"/>
    <w:rsid w:val="00591EEE"/>
    <w:rsid w:val="00592982"/>
    <w:rsid w:val="005929FB"/>
    <w:rsid w:val="00592BD4"/>
    <w:rsid w:val="00592BEF"/>
    <w:rsid w:val="00592C96"/>
    <w:rsid w:val="00593101"/>
    <w:rsid w:val="005931F1"/>
    <w:rsid w:val="0059356A"/>
    <w:rsid w:val="00594595"/>
    <w:rsid w:val="00594609"/>
    <w:rsid w:val="0059480C"/>
    <w:rsid w:val="00594997"/>
    <w:rsid w:val="00594AA0"/>
    <w:rsid w:val="00594C7D"/>
    <w:rsid w:val="00594E50"/>
    <w:rsid w:val="005956F3"/>
    <w:rsid w:val="00595C1F"/>
    <w:rsid w:val="00595D76"/>
    <w:rsid w:val="0059651C"/>
    <w:rsid w:val="00596A87"/>
    <w:rsid w:val="00596B51"/>
    <w:rsid w:val="00596C3D"/>
    <w:rsid w:val="00596E56"/>
    <w:rsid w:val="0059709E"/>
    <w:rsid w:val="0059753D"/>
    <w:rsid w:val="00597656"/>
    <w:rsid w:val="0059772F"/>
    <w:rsid w:val="00597781"/>
    <w:rsid w:val="00597A48"/>
    <w:rsid w:val="00597BC3"/>
    <w:rsid w:val="005A0110"/>
    <w:rsid w:val="005A0670"/>
    <w:rsid w:val="005A0D10"/>
    <w:rsid w:val="005A1E0D"/>
    <w:rsid w:val="005A1E22"/>
    <w:rsid w:val="005A2347"/>
    <w:rsid w:val="005A26F0"/>
    <w:rsid w:val="005A2B02"/>
    <w:rsid w:val="005A2BCC"/>
    <w:rsid w:val="005A2CD1"/>
    <w:rsid w:val="005A2F9F"/>
    <w:rsid w:val="005A2FCD"/>
    <w:rsid w:val="005A312D"/>
    <w:rsid w:val="005A32B5"/>
    <w:rsid w:val="005A33B8"/>
    <w:rsid w:val="005A3CEE"/>
    <w:rsid w:val="005A4048"/>
    <w:rsid w:val="005A423A"/>
    <w:rsid w:val="005A426B"/>
    <w:rsid w:val="005A4A6C"/>
    <w:rsid w:val="005A5141"/>
    <w:rsid w:val="005A52A9"/>
    <w:rsid w:val="005A579C"/>
    <w:rsid w:val="005A57D2"/>
    <w:rsid w:val="005A5945"/>
    <w:rsid w:val="005A5D1B"/>
    <w:rsid w:val="005A5FBC"/>
    <w:rsid w:val="005A6066"/>
    <w:rsid w:val="005A634E"/>
    <w:rsid w:val="005A63BF"/>
    <w:rsid w:val="005A66B1"/>
    <w:rsid w:val="005A66CD"/>
    <w:rsid w:val="005A698A"/>
    <w:rsid w:val="005A6C33"/>
    <w:rsid w:val="005A6CD0"/>
    <w:rsid w:val="005A6D27"/>
    <w:rsid w:val="005A6F55"/>
    <w:rsid w:val="005A7223"/>
    <w:rsid w:val="005A73E4"/>
    <w:rsid w:val="005A760C"/>
    <w:rsid w:val="005B020E"/>
    <w:rsid w:val="005B0420"/>
    <w:rsid w:val="005B0B1D"/>
    <w:rsid w:val="005B0B82"/>
    <w:rsid w:val="005B0E59"/>
    <w:rsid w:val="005B1167"/>
    <w:rsid w:val="005B19C4"/>
    <w:rsid w:val="005B1A64"/>
    <w:rsid w:val="005B1C39"/>
    <w:rsid w:val="005B2515"/>
    <w:rsid w:val="005B286D"/>
    <w:rsid w:val="005B293F"/>
    <w:rsid w:val="005B2AD0"/>
    <w:rsid w:val="005B2B45"/>
    <w:rsid w:val="005B3292"/>
    <w:rsid w:val="005B33A6"/>
    <w:rsid w:val="005B40F5"/>
    <w:rsid w:val="005B4113"/>
    <w:rsid w:val="005B42BB"/>
    <w:rsid w:val="005B5246"/>
    <w:rsid w:val="005B5465"/>
    <w:rsid w:val="005B55D1"/>
    <w:rsid w:val="005B60D6"/>
    <w:rsid w:val="005B62A6"/>
    <w:rsid w:val="005B630E"/>
    <w:rsid w:val="005B64BB"/>
    <w:rsid w:val="005B757B"/>
    <w:rsid w:val="005B7B65"/>
    <w:rsid w:val="005B7F14"/>
    <w:rsid w:val="005C1231"/>
    <w:rsid w:val="005C1424"/>
    <w:rsid w:val="005C18EF"/>
    <w:rsid w:val="005C1B22"/>
    <w:rsid w:val="005C2275"/>
    <w:rsid w:val="005C3135"/>
    <w:rsid w:val="005C3266"/>
    <w:rsid w:val="005C33B8"/>
    <w:rsid w:val="005C37B3"/>
    <w:rsid w:val="005C392D"/>
    <w:rsid w:val="005C3952"/>
    <w:rsid w:val="005C3B34"/>
    <w:rsid w:val="005C3B53"/>
    <w:rsid w:val="005C3C6D"/>
    <w:rsid w:val="005C3E3A"/>
    <w:rsid w:val="005C3E7B"/>
    <w:rsid w:val="005C4013"/>
    <w:rsid w:val="005C432D"/>
    <w:rsid w:val="005C4396"/>
    <w:rsid w:val="005C457C"/>
    <w:rsid w:val="005C46F7"/>
    <w:rsid w:val="005C4DFA"/>
    <w:rsid w:val="005C521F"/>
    <w:rsid w:val="005C5514"/>
    <w:rsid w:val="005C56D1"/>
    <w:rsid w:val="005C5AA0"/>
    <w:rsid w:val="005C5B19"/>
    <w:rsid w:val="005C629D"/>
    <w:rsid w:val="005C62F0"/>
    <w:rsid w:val="005C655B"/>
    <w:rsid w:val="005C68EB"/>
    <w:rsid w:val="005C6CAD"/>
    <w:rsid w:val="005C73A0"/>
    <w:rsid w:val="005C7D43"/>
    <w:rsid w:val="005C7F35"/>
    <w:rsid w:val="005D040E"/>
    <w:rsid w:val="005D07E8"/>
    <w:rsid w:val="005D0964"/>
    <w:rsid w:val="005D1201"/>
    <w:rsid w:val="005D1507"/>
    <w:rsid w:val="005D15AB"/>
    <w:rsid w:val="005D170A"/>
    <w:rsid w:val="005D1805"/>
    <w:rsid w:val="005D1F20"/>
    <w:rsid w:val="005D214F"/>
    <w:rsid w:val="005D2204"/>
    <w:rsid w:val="005D237F"/>
    <w:rsid w:val="005D23DF"/>
    <w:rsid w:val="005D245C"/>
    <w:rsid w:val="005D2634"/>
    <w:rsid w:val="005D2B37"/>
    <w:rsid w:val="005D2B3A"/>
    <w:rsid w:val="005D2BA8"/>
    <w:rsid w:val="005D2DFF"/>
    <w:rsid w:val="005D31A0"/>
    <w:rsid w:val="005D3272"/>
    <w:rsid w:val="005D335B"/>
    <w:rsid w:val="005D34CB"/>
    <w:rsid w:val="005D3B81"/>
    <w:rsid w:val="005D40AA"/>
    <w:rsid w:val="005D40BF"/>
    <w:rsid w:val="005D445F"/>
    <w:rsid w:val="005D4804"/>
    <w:rsid w:val="005D499F"/>
    <w:rsid w:val="005D4A68"/>
    <w:rsid w:val="005D4E64"/>
    <w:rsid w:val="005D4FE5"/>
    <w:rsid w:val="005D502B"/>
    <w:rsid w:val="005D574D"/>
    <w:rsid w:val="005D582C"/>
    <w:rsid w:val="005D5897"/>
    <w:rsid w:val="005D5CA4"/>
    <w:rsid w:val="005D6548"/>
    <w:rsid w:val="005D6820"/>
    <w:rsid w:val="005D6899"/>
    <w:rsid w:val="005D6E06"/>
    <w:rsid w:val="005D77CA"/>
    <w:rsid w:val="005D78BD"/>
    <w:rsid w:val="005D799E"/>
    <w:rsid w:val="005D7ABA"/>
    <w:rsid w:val="005E05CC"/>
    <w:rsid w:val="005E05D5"/>
    <w:rsid w:val="005E09D8"/>
    <w:rsid w:val="005E0AF5"/>
    <w:rsid w:val="005E0F7E"/>
    <w:rsid w:val="005E121D"/>
    <w:rsid w:val="005E14F0"/>
    <w:rsid w:val="005E15B1"/>
    <w:rsid w:val="005E17F4"/>
    <w:rsid w:val="005E1A12"/>
    <w:rsid w:val="005E2154"/>
    <w:rsid w:val="005E2264"/>
    <w:rsid w:val="005E2831"/>
    <w:rsid w:val="005E2D08"/>
    <w:rsid w:val="005E2D68"/>
    <w:rsid w:val="005E2DBC"/>
    <w:rsid w:val="005E2F11"/>
    <w:rsid w:val="005E2FE0"/>
    <w:rsid w:val="005E308D"/>
    <w:rsid w:val="005E32D9"/>
    <w:rsid w:val="005E32DA"/>
    <w:rsid w:val="005E35E2"/>
    <w:rsid w:val="005E36CF"/>
    <w:rsid w:val="005E37C7"/>
    <w:rsid w:val="005E39CB"/>
    <w:rsid w:val="005E3EFE"/>
    <w:rsid w:val="005E3F7F"/>
    <w:rsid w:val="005E3FE9"/>
    <w:rsid w:val="005E406A"/>
    <w:rsid w:val="005E4A51"/>
    <w:rsid w:val="005E4A6E"/>
    <w:rsid w:val="005E4E7D"/>
    <w:rsid w:val="005E5161"/>
    <w:rsid w:val="005E52B7"/>
    <w:rsid w:val="005E5D64"/>
    <w:rsid w:val="005E6971"/>
    <w:rsid w:val="005E6990"/>
    <w:rsid w:val="005E6E4E"/>
    <w:rsid w:val="005E6E8F"/>
    <w:rsid w:val="005E71D7"/>
    <w:rsid w:val="005E73B5"/>
    <w:rsid w:val="005E7579"/>
    <w:rsid w:val="005E75CE"/>
    <w:rsid w:val="005E77D4"/>
    <w:rsid w:val="005E7960"/>
    <w:rsid w:val="005E7A8B"/>
    <w:rsid w:val="005F04DD"/>
    <w:rsid w:val="005F0830"/>
    <w:rsid w:val="005F0A5C"/>
    <w:rsid w:val="005F0B38"/>
    <w:rsid w:val="005F0DFD"/>
    <w:rsid w:val="005F0E60"/>
    <w:rsid w:val="005F13CF"/>
    <w:rsid w:val="005F219D"/>
    <w:rsid w:val="005F2951"/>
    <w:rsid w:val="005F2BC9"/>
    <w:rsid w:val="005F3034"/>
    <w:rsid w:val="005F3315"/>
    <w:rsid w:val="005F3351"/>
    <w:rsid w:val="005F33B7"/>
    <w:rsid w:val="005F3C9E"/>
    <w:rsid w:val="005F46A4"/>
    <w:rsid w:val="005F48EC"/>
    <w:rsid w:val="005F4996"/>
    <w:rsid w:val="005F544A"/>
    <w:rsid w:val="005F5889"/>
    <w:rsid w:val="005F5909"/>
    <w:rsid w:val="005F5B48"/>
    <w:rsid w:val="005F5C30"/>
    <w:rsid w:val="005F5F13"/>
    <w:rsid w:val="005F6165"/>
    <w:rsid w:val="005F6338"/>
    <w:rsid w:val="005F658B"/>
    <w:rsid w:val="005F69AF"/>
    <w:rsid w:val="005F6A46"/>
    <w:rsid w:val="005F6FDD"/>
    <w:rsid w:val="005F700B"/>
    <w:rsid w:val="005F7446"/>
    <w:rsid w:val="005F74BD"/>
    <w:rsid w:val="005F7729"/>
    <w:rsid w:val="005F7DDC"/>
    <w:rsid w:val="006000EF"/>
    <w:rsid w:val="00600A5C"/>
    <w:rsid w:val="00601668"/>
    <w:rsid w:val="00601946"/>
    <w:rsid w:val="00601C62"/>
    <w:rsid w:val="00601DC5"/>
    <w:rsid w:val="00601F9E"/>
    <w:rsid w:val="00602052"/>
    <w:rsid w:val="006023F5"/>
    <w:rsid w:val="0060266D"/>
    <w:rsid w:val="00602821"/>
    <w:rsid w:val="00602AB9"/>
    <w:rsid w:val="00602B0B"/>
    <w:rsid w:val="00602F46"/>
    <w:rsid w:val="006032F0"/>
    <w:rsid w:val="006036B6"/>
    <w:rsid w:val="00603B2D"/>
    <w:rsid w:val="00603BB4"/>
    <w:rsid w:val="00603C49"/>
    <w:rsid w:val="00604991"/>
    <w:rsid w:val="006054BD"/>
    <w:rsid w:val="006059D9"/>
    <w:rsid w:val="00605D48"/>
    <w:rsid w:val="00605E20"/>
    <w:rsid w:val="00605F98"/>
    <w:rsid w:val="0060627F"/>
    <w:rsid w:val="0060633B"/>
    <w:rsid w:val="00606514"/>
    <w:rsid w:val="0060656A"/>
    <w:rsid w:val="006067B2"/>
    <w:rsid w:val="006068E5"/>
    <w:rsid w:val="00606C1C"/>
    <w:rsid w:val="006075A1"/>
    <w:rsid w:val="00607D08"/>
    <w:rsid w:val="00607D52"/>
    <w:rsid w:val="00610487"/>
    <w:rsid w:val="0061070A"/>
    <w:rsid w:val="00610826"/>
    <w:rsid w:val="00611129"/>
    <w:rsid w:val="006113B2"/>
    <w:rsid w:val="00611756"/>
    <w:rsid w:val="0061193E"/>
    <w:rsid w:val="00611CB2"/>
    <w:rsid w:val="00611CC9"/>
    <w:rsid w:val="00612739"/>
    <w:rsid w:val="00612D23"/>
    <w:rsid w:val="0061318D"/>
    <w:rsid w:val="0061387F"/>
    <w:rsid w:val="00613B4B"/>
    <w:rsid w:val="00613C50"/>
    <w:rsid w:val="00613E3B"/>
    <w:rsid w:val="00613F43"/>
    <w:rsid w:val="00614190"/>
    <w:rsid w:val="0061440B"/>
    <w:rsid w:val="00614FD1"/>
    <w:rsid w:val="006152C5"/>
    <w:rsid w:val="00615325"/>
    <w:rsid w:val="006157E7"/>
    <w:rsid w:val="00615A15"/>
    <w:rsid w:val="00615A9E"/>
    <w:rsid w:val="006160DA"/>
    <w:rsid w:val="006160DF"/>
    <w:rsid w:val="0061660E"/>
    <w:rsid w:val="00616B5D"/>
    <w:rsid w:val="006174EB"/>
    <w:rsid w:val="006177B0"/>
    <w:rsid w:val="00617BC5"/>
    <w:rsid w:val="006201A1"/>
    <w:rsid w:val="0062036E"/>
    <w:rsid w:val="00620738"/>
    <w:rsid w:val="00620C9E"/>
    <w:rsid w:val="00620D45"/>
    <w:rsid w:val="006212E9"/>
    <w:rsid w:val="006214CD"/>
    <w:rsid w:val="006215C4"/>
    <w:rsid w:val="006217A8"/>
    <w:rsid w:val="0062195F"/>
    <w:rsid w:val="00621A92"/>
    <w:rsid w:val="00621B98"/>
    <w:rsid w:val="00621EE5"/>
    <w:rsid w:val="00621F0B"/>
    <w:rsid w:val="00621F98"/>
    <w:rsid w:val="006221FF"/>
    <w:rsid w:val="006225AF"/>
    <w:rsid w:val="0062296F"/>
    <w:rsid w:val="00622C57"/>
    <w:rsid w:val="00622E6D"/>
    <w:rsid w:val="00623730"/>
    <w:rsid w:val="00623CAA"/>
    <w:rsid w:val="006242ED"/>
    <w:rsid w:val="00624641"/>
    <w:rsid w:val="00624978"/>
    <w:rsid w:val="00624AFC"/>
    <w:rsid w:val="00624D58"/>
    <w:rsid w:val="00625059"/>
    <w:rsid w:val="00625398"/>
    <w:rsid w:val="00625A93"/>
    <w:rsid w:val="00625EA5"/>
    <w:rsid w:val="00626C08"/>
    <w:rsid w:val="00626E1C"/>
    <w:rsid w:val="006274BA"/>
    <w:rsid w:val="00627648"/>
    <w:rsid w:val="0062777A"/>
    <w:rsid w:val="006279AD"/>
    <w:rsid w:val="00627CE1"/>
    <w:rsid w:val="00627D57"/>
    <w:rsid w:val="00627F73"/>
    <w:rsid w:val="00630132"/>
    <w:rsid w:val="00630E72"/>
    <w:rsid w:val="00630EE8"/>
    <w:rsid w:val="006311F3"/>
    <w:rsid w:val="00631299"/>
    <w:rsid w:val="0063152C"/>
    <w:rsid w:val="0063185D"/>
    <w:rsid w:val="00631F69"/>
    <w:rsid w:val="006322FF"/>
    <w:rsid w:val="006323F7"/>
    <w:rsid w:val="0063266F"/>
    <w:rsid w:val="0063280F"/>
    <w:rsid w:val="0063283D"/>
    <w:rsid w:val="00632FE2"/>
    <w:rsid w:val="0063319B"/>
    <w:rsid w:val="0063355A"/>
    <w:rsid w:val="006338F0"/>
    <w:rsid w:val="00633A1B"/>
    <w:rsid w:val="00634586"/>
    <w:rsid w:val="0063471E"/>
    <w:rsid w:val="00634B7D"/>
    <w:rsid w:val="00634B9A"/>
    <w:rsid w:val="00634BA6"/>
    <w:rsid w:val="0063546C"/>
    <w:rsid w:val="00635775"/>
    <w:rsid w:val="006369BD"/>
    <w:rsid w:val="00636BE3"/>
    <w:rsid w:val="00636F21"/>
    <w:rsid w:val="006371CA"/>
    <w:rsid w:val="00637209"/>
    <w:rsid w:val="00637378"/>
    <w:rsid w:val="00637725"/>
    <w:rsid w:val="006377F3"/>
    <w:rsid w:val="00637C2D"/>
    <w:rsid w:val="00637FB3"/>
    <w:rsid w:val="006400B4"/>
    <w:rsid w:val="0064040F"/>
    <w:rsid w:val="0064051B"/>
    <w:rsid w:val="00640B6D"/>
    <w:rsid w:val="00640C44"/>
    <w:rsid w:val="00640CFE"/>
    <w:rsid w:val="00640DBD"/>
    <w:rsid w:val="00640FD3"/>
    <w:rsid w:val="0064139C"/>
    <w:rsid w:val="0064169B"/>
    <w:rsid w:val="006418ED"/>
    <w:rsid w:val="006419A6"/>
    <w:rsid w:val="00641A7F"/>
    <w:rsid w:val="00641B97"/>
    <w:rsid w:val="00641BCD"/>
    <w:rsid w:val="00641FFF"/>
    <w:rsid w:val="0064212D"/>
    <w:rsid w:val="00642279"/>
    <w:rsid w:val="00642ABD"/>
    <w:rsid w:val="00643034"/>
    <w:rsid w:val="006435C3"/>
    <w:rsid w:val="006437CB"/>
    <w:rsid w:val="00643A36"/>
    <w:rsid w:val="00643E25"/>
    <w:rsid w:val="00643E35"/>
    <w:rsid w:val="006448F2"/>
    <w:rsid w:val="00645091"/>
    <w:rsid w:val="00645E57"/>
    <w:rsid w:val="00645E81"/>
    <w:rsid w:val="006460BB"/>
    <w:rsid w:val="006466A2"/>
    <w:rsid w:val="00646F5E"/>
    <w:rsid w:val="0064720E"/>
    <w:rsid w:val="00647266"/>
    <w:rsid w:val="00647654"/>
    <w:rsid w:val="006477DA"/>
    <w:rsid w:val="006479D7"/>
    <w:rsid w:val="00647A80"/>
    <w:rsid w:val="00647D16"/>
    <w:rsid w:val="00647F73"/>
    <w:rsid w:val="00647FE0"/>
    <w:rsid w:val="0065018B"/>
    <w:rsid w:val="00650240"/>
    <w:rsid w:val="006502F5"/>
    <w:rsid w:val="00650A07"/>
    <w:rsid w:val="00650D9C"/>
    <w:rsid w:val="006519B3"/>
    <w:rsid w:val="00651D0D"/>
    <w:rsid w:val="006527E3"/>
    <w:rsid w:val="00652F32"/>
    <w:rsid w:val="0065338E"/>
    <w:rsid w:val="006537D8"/>
    <w:rsid w:val="00653C08"/>
    <w:rsid w:val="00653C4A"/>
    <w:rsid w:val="00653CC7"/>
    <w:rsid w:val="00653DED"/>
    <w:rsid w:val="006542A3"/>
    <w:rsid w:val="006542DA"/>
    <w:rsid w:val="00654ABC"/>
    <w:rsid w:val="00654EB6"/>
    <w:rsid w:val="00655047"/>
    <w:rsid w:val="00655090"/>
    <w:rsid w:val="006550BC"/>
    <w:rsid w:val="006555EA"/>
    <w:rsid w:val="00655ED8"/>
    <w:rsid w:val="00655EED"/>
    <w:rsid w:val="0065624C"/>
    <w:rsid w:val="0065628C"/>
    <w:rsid w:val="006567FB"/>
    <w:rsid w:val="0065684A"/>
    <w:rsid w:val="0065687E"/>
    <w:rsid w:val="00656A5B"/>
    <w:rsid w:val="00657049"/>
    <w:rsid w:val="00657078"/>
    <w:rsid w:val="00657162"/>
    <w:rsid w:val="006571CF"/>
    <w:rsid w:val="006572DC"/>
    <w:rsid w:val="0065743C"/>
    <w:rsid w:val="006574CC"/>
    <w:rsid w:val="00657587"/>
    <w:rsid w:val="00657928"/>
    <w:rsid w:val="006579F7"/>
    <w:rsid w:val="00657AB1"/>
    <w:rsid w:val="00657EB4"/>
    <w:rsid w:val="00660582"/>
    <w:rsid w:val="006606E8"/>
    <w:rsid w:val="00660A30"/>
    <w:rsid w:val="00660B61"/>
    <w:rsid w:val="00660CED"/>
    <w:rsid w:val="006611EE"/>
    <w:rsid w:val="006612D5"/>
    <w:rsid w:val="0066179B"/>
    <w:rsid w:val="0066194A"/>
    <w:rsid w:val="00661D53"/>
    <w:rsid w:val="00661D7E"/>
    <w:rsid w:val="0066202A"/>
    <w:rsid w:val="006621B0"/>
    <w:rsid w:val="00662271"/>
    <w:rsid w:val="006622BC"/>
    <w:rsid w:val="00662ADB"/>
    <w:rsid w:val="00662D81"/>
    <w:rsid w:val="00662E26"/>
    <w:rsid w:val="00663891"/>
    <w:rsid w:val="0066392A"/>
    <w:rsid w:val="00663B28"/>
    <w:rsid w:val="00663CB1"/>
    <w:rsid w:val="00663D06"/>
    <w:rsid w:val="0066467B"/>
    <w:rsid w:val="006646FE"/>
    <w:rsid w:val="0066494D"/>
    <w:rsid w:val="00664CAE"/>
    <w:rsid w:val="0066518E"/>
    <w:rsid w:val="006651F5"/>
    <w:rsid w:val="0066521A"/>
    <w:rsid w:val="0066523E"/>
    <w:rsid w:val="006654CA"/>
    <w:rsid w:val="0066564D"/>
    <w:rsid w:val="006656BC"/>
    <w:rsid w:val="006656E7"/>
    <w:rsid w:val="00665719"/>
    <w:rsid w:val="006666B0"/>
    <w:rsid w:val="006666FD"/>
    <w:rsid w:val="00666D21"/>
    <w:rsid w:val="00666FE0"/>
    <w:rsid w:val="0066724F"/>
    <w:rsid w:val="00667643"/>
    <w:rsid w:val="006676D0"/>
    <w:rsid w:val="006679AE"/>
    <w:rsid w:val="00667B0E"/>
    <w:rsid w:val="00667E18"/>
    <w:rsid w:val="00667E23"/>
    <w:rsid w:val="00667F84"/>
    <w:rsid w:val="00670162"/>
    <w:rsid w:val="00670615"/>
    <w:rsid w:val="00670AEB"/>
    <w:rsid w:val="00670FF3"/>
    <w:rsid w:val="0067107C"/>
    <w:rsid w:val="00671092"/>
    <w:rsid w:val="006716C3"/>
    <w:rsid w:val="0067173D"/>
    <w:rsid w:val="0067174B"/>
    <w:rsid w:val="0067192C"/>
    <w:rsid w:val="00671A81"/>
    <w:rsid w:val="00671B48"/>
    <w:rsid w:val="00671B4C"/>
    <w:rsid w:val="00671E71"/>
    <w:rsid w:val="00671F0A"/>
    <w:rsid w:val="0067214B"/>
    <w:rsid w:val="006722B7"/>
    <w:rsid w:val="00672483"/>
    <w:rsid w:val="006724D2"/>
    <w:rsid w:val="00672D54"/>
    <w:rsid w:val="00672E1F"/>
    <w:rsid w:val="0067318F"/>
    <w:rsid w:val="006731CF"/>
    <w:rsid w:val="006737C2"/>
    <w:rsid w:val="0067390C"/>
    <w:rsid w:val="00673C08"/>
    <w:rsid w:val="00673C90"/>
    <w:rsid w:val="00673E70"/>
    <w:rsid w:val="00673EA2"/>
    <w:rsid w:val="0067423C"/>
    <w:rsid w:val="0067441C"/>
    <w:rsid w:val="006745DB"/>
    <w:rsid w:val="00674666"/>
    <w:rsid w:val="00674AD8"/>
    <w:rsid w:val="00674F8D"/>
    <w:rsid w:val="006752AD"/>
    <w:rsid w:val="006752D5"/>
    <w:rsid w:val="006753EE"/>
    <w:rsid w:val="006755BA"/>
    <w:rsid w:val="006755CE"/>
    <w:rsid w:val="006758F2"/>
    <w:rsid w:val="00675C65"/>
    <w:rsid w:val="00675DC0"/>
    <w:rsid w:val="00675EF7"/>
    <w:rsid w:val="00675FBD"/>
    <w:rsid w:val="00676210"/>
    <w:rsid w:val="00676277"/>
    <w:rsid w:val="006763F2"/>
    <w:rsid w:val="00676707"/>
    <w:rsid w:val="00676D32"/>
    <w:rsid w:val="00676E67"/>
    <w:rsid w:val="006774F7"/>
    <w:rsid w:val="00677568"/>
    <w:rsid w:val="00677616"/>
    <w:rsid w:val="006776C5"/>
    <w:rsid w:val="00677941"/>
    <w:rsid w:val="00677A6E"/>
    <w:rsid w:val="006803C4"/>
    <w:rsid w:val="006808B8"/>
    <w:rsid w:val="0068094C"/>
    <w:rsid w:val="00680CB5"/>
    <w:rsid w:val="00681B25"/>
    <w:rsid w:val="00681F76"/>
    <w:rsid w:val="00681F97"/>
    <w:rsid w:val="00682400"/>
    <w:rsid w:val="006824C3"/>
    <w:rsid w:val="006826F6"/>
    <w:rsid w:val="006829D9"/>
    <w:rsid w:val="006832DA"/>
    <w:rsid w:val="0068425A"/>
    <w:rsid w:val="00684369"/>
    <w:rsid w:val="00684AA2"/>
    <w:rsid w:val="00684DED"/>
    <w:rsid w:val="0068504B"/>
    <w:rsid w:val="00685213"/>
    <w:rsid w:val="006855DA"/>
    <w:rsid w:val="00685916"/>
    <w:rsid w:val="006859F3"/>
    <w:rsid w:val="006859FE"/>
    <w:rsid w:val="00685C42"/>
    <w:rsid w:val="00685EFA"/>
    <w:rsid w:val="00685F0A"/>
    <w:rsid w:val="00686019"/>
    <w:rsid w:val="006860C5"/>
    <w:rsid w:val="00686332"/>
    <w:rsid w:val="00686C6E"/>
    <w:rsid w:val="00686DC8"/>
    <w:rsid w:val="00686E39"/>
    <w:rsid w:val="00686F6C"/>
    <w:rsid w:val="00687758"/>
    <w:rsid w:val="00687789"/>
    <w:rsid w:val="00687F01"/>
    <w:rsid w:val="00690068"/>
    <w:rsid w:val="00690633"/>
    <w:rsid w:val="0069071A"/>
    <w:rsid w:val="00690BAF"/>
    <w:rsid w:val="006914DD"/>
    <w:rsid w:val="0069161B"/>
    <w:rsid w:val="00691E32"/>
    <w:rsid w:val="00691FAC"/>
    <w:rsid w:val="006921B4"/>
    <w:rsid w:val="006924A7"/>
    <w:rsid w:val="00692939"/>
    <w:rsid w:val="00692BF5"/>
    <w:rsid w:val="00692E10"/>
    <w:rsid w:val="006934CE"/>
    <w:rsid w:val="006938D0"/>
    <w:rsid w:val="00693CB9"/>
    <w:rsid w:val="00693E03"/>
    <w:rsid w:val="0069472A"/>
    <w:rsid w:val="006956F0"/>
    <w:rsid w:val="00695703"/>
    <w:rsid w:val="00695B80"/>
    <w:rsid w:val="006960D4"/>
    <w:rsid w:val="006963D6"/>
    <w:rsid w:val="00696549"/>
    <w:rsid w:val="0069657E"/>
    <w:rsid w:val="0069697A"/>
    <w:rsid w:val="006974E4"/>
    <w:rsid w:val="00697540"/>
    <w:rsid w:val="006975FD"/>
    <w:rsid w:val="00697D44"/>
    <w:rsid w:val="006A044E"/>
    <w:rsid w:val="006A05AF"/>
    <w:rsid w:val="006A0AFC"/>
    <w:rsid w:val="006A0C46"/>
    <w:rsid w:val="006A0D6C"/>
    <w:rsid w:val="006A0FE2"/>
    <w:rsid w:val="006A1174"/>
    <w:rsid w:val="006A1304"/>
    <w:rsid w:val="006A1316"/>
    <w:rsid w:val="006A14A6"/>
    <w:rsid w:val="006A22AF"/>
    <w:rsid w:val="006A267A"/>
    <w:rsid w:val="006A26C0"/>
    <w:rsid w:val="006A27F1"/>
    <w:rsid w:val="006A2FD3"/>
    <w:rsid w:val="006A352F"/>
    <w:rsid w:val="006A3FF0"/>
    <w:rsid w:val="006A420E"/>
    <w:rsid w:val="006A42D1"/>
    <w:rsid w:val="006A4819"/>
    <w:rsid w:val="006A4BA2"/>
    <w:rsid w:val="006A4C90"/>
    <w:rsid w:val="006A4D79"/>
    <w:rsid w:val="006A4EB7"/>
    <w:rsid w:val="006A5039"/>
    <w:rsid w:val="006A5502"/>
    <w:rsid w:val="006A5909"/>
    <w:rsid w:val="006A5B72"/>
    <w:rsid w:val="006A674C"/>
    <w:rsid w:val="006A68A7"/>
    <w:rsid w:val="006A6BE2"/>
    <w:rsid w:val="006A6F6D"/>
    <w:rsid w:val="006A754D"/>
    <w:rsid w:val="006A77E5"/>
    <w:rsid w:val="006A78A3"/>
    <w:rsid w:val="006A78C8"/>
    <w:rsid w:val="006A798A"/>
    <w:rsid w:val="006B0062"/>
    <w:rsid w:val="006B04FB"/>
    <w:rsid w:val="006B06CE"/>
    <w:rsid w:val="006B0FB5"/>
    <w:rsid w:val="006B10B8"/>
    <w:rsid w:val="006B1429"/>
    <w:rsid w:val="006B16D7"/>
    <w:rsid w:val="006B2216"/>
    <w:rsid w:val="006B297D"/>
    <w:rsid w:val="006B29BC"/>
    <w:rsid w:val="006B2B44"/>
    <w:rsid w:val="006B30AF"/>
    <w:rsid w:val="006B3519"/>
    <w:rsid w:val="006B3A84"/>
    <w:rsid w:val="006B3B06"/>
    <w:rsid w:val="006B3D02"/>
    <w:rsid w:val="006B3E42"/>
    <w:rsid w:val="006B4121"/>
    <w:rsid w:val="006B4283"/>
    <w:rsid w:val="006B44E3"/>
    <w:rsid w:val="006B476F"/>
    <w:rsid w:val="006B4F26"/>
    <w:rsid w:val="006B5267"/>
    <w:rsid w:val="006B5433"/>
    <w:rsid w:val="006B5719"/>
    <w:rsid w:val="006B5A55"/>
    <w:rsid w:val="006B5F91"/>
    <w:rsid w:val="006B6385"/>
    <w:rsid w:val="006B69F7"/>
    <w:rsid w:val="006B6BE7"/>
    <w:rsid w:val="006B6C46"/>
    <w:rsid w:val="006B6EB3"/>
    <w:rsid w:val="006B70FF"/>
    <w:rsid w:val="006B75FA"/>
    <w:rsid w:val="006B76D5"/>
    <w:rsid w:val="006B784A"/>
    <w:rsid w:val="006B7B2A"/>
    <w:rsid w:val="006C014B"/>
    <w:rsid w:val="006C04B2"/>
    <w:rsid w:val="006C070B"/>
    <w:rsid w:val="006C0C1B"/>
    <w:rsid w:val="006C16C7"/>
    <w:rsid w:val="006C1952"/>
    <w:rsid w:val="006C1F48"/>
    <w:rsid w:val="006C22BB"/>
    <w:rsid w:val="006C24B5"/>
    <w:rsid w:val="006C271A"/>
    <w:rsid w:val="006C2994"/>
    <w:rsid w:val="006C2E45"/>
    <w:rsid w:val="006C3AB8"/>
    <w:rsid w:val="006C4017"/>
    <w:rsid w:val="006C4563"/>
    <w:rsid w:val="006C457A"/>
    <w:rsid w:val="006C4939"/>
    <w:rsid w:val="006C49EA"/>
    <w:rsid w:val="006C4B3D"/>
    <w:rsid w:val="006C4DDC"/>
    <w:rsid w:val="006C523F"/>
    <w:rsid w:val="006C5496"/>
    <w:rsid w:val="006C5669"/>
    <w:rsid w:val="006C5CBC"/>
    <w:rsid w:val="006C5D75"/>
    <w:rsid w:val="006C5DDE"/>
    <w:rsid w:val="006C5E0C"/>
    <w:rsid w:val="006C5EB7"/>
    <w:rsid w:val="006C6278"/>
    <w:rsid w:val="006C660D"/>
    <w:rsid w:val="006C6914"/>
    <w:rsid w:val="006C6B5C"/>
    <w:rsid w:val="006C6BC4"/>
    <w:rsid w:val="006C6BCB"/>
    <w:rsid w:val="006C6C7B"/>
    <w:rsid w:val="006C6DE2"/>
    <w:rsid w:val="006C7134"/>
    <w:rsid w:val="006C7152"/>
    <w:rsid w:val="006C7167"/>
    <w:rsid w:val="006C7298"/>
    <w:rsid w:val="006C7504"/>
    <w:rsid w:val="006C7783"/>
    <w:rsid w:val="006C7ADB"/>
    <w:rsid w:val="006C7F86"/>
    <w:rsid w:val="006D02D7"/>
    <w:rsid w:val="006D03FC"/>
    <w:rsid w:val="006D086C"/>
    <w:rsid w:val="006D0A3B"/>
    <w:rsid w:val="006D0A7C"/>
    <w:rsid w:val="006D0AE3"/>
    <w:rsid w:val="006D14D8"/>
    <w:rsid w:val="006D15A9"/>
    <w:rsid w:val="006D15F5"/>
    <w:rsid w:val="006D1791"/>
    <w:rsid w:val="006D1855"/>
    <w:rsid w:val="006D1DBB"/>
    <w:rsid w:val="006D1DD2"/>
    <w:rsid w:val="006D243A"/>
    <w:rsid w:val="006D258D"/>
    <w:rsid w:val="006D2717"/>
    <w:rsid w:val="006D284B"/>
    <w:rsid w:val="006D2C3D"/>
    <w:rsid w:val="006D2ECD"/>
    <w:rsid w:val="006D3368"/>
    <w:rsid w:val="006D37AE"/>
    <w:rsid w:val="006D3C86"/>
    <w:rsid w:val="006D464E"/>
    <w:rsid w:val="006D47BB"/>
    <w:rsid w:val="006D493F"/>
    <w:rsid w:val="006D4D9E"/>
    <w:rsid w:val="006D4EE2"/>
    <w:rsid w:val="006D5184"/>
    <w:rsid w:val="006D558A"/>
    <w:rsid w:val="006D564F"/>
    <w:rsid w:val="006D57B6"/>
    <w:rsid w:val="006D582B"/>
    <w:rsid w:val="006D5909"/>
    <w:rsid w:val="006D5B3F"/>
    <w:rsid w:val="006D6111"/>
    <w:rsid w:val="006D67F1"/>
    <w:rsid w:val="006D6947"/>
    <w:rsid w:val="006D6BE1"/>
    <w:rsid w:val="006D6E05"/>
    <w:rsid w:val="006D6E14"/>
    <w:rsid w:val="006D73D1"/>
    <w:rsid w:val="006D7FC8"/>
    <w:rsid w:val="006E03B0"/>
    <w:rsid w:val="006E0441"/>
    <w:rsid w:val="006E059B"/>
    <w:rsid w:val="006E14EE"/>
    <w:rsid w:val="006E17D2"/>
    <w:rsid w:val="006E1AF2"/>
    <w:rsid w:val="006E1DA1"/>
    <w:rsid w:val="006E20A5"/>
    <w:rsid w:val="006E23A1"/>
    <w:rsid w:val="006E26C7"/>
    <w:rsid w:val="006E2758"/>
    <w:rsid w:val="006E2AB2"/>
    <w:rsid w:val="006E2BBB"/>
    <w:rsid w:val="006E2EDC"/>
    <w:rsid w:val="006E312F"/>
    <w:rsid w:val="006E35B7"/>
    <w:rsid w:val="006E400A"/>
    <w:rsid w:val="006E478D"/>
    <w:rsid w:val="006E47C0"/>
    <w:rsid w:val="006E4920"/>
    <w:rsid w:val="006E5432"/>
    <w:rsid w:val="006E5647"/>
    <w:rsid w:val="006E59C9"/>
    <w:rsid w:val="006E5C03"/>
    <w:rsid w:val="006E6211"/>
    <w:rsid w:val="006E65D0"/>
    <w:rsid w:val="006E66A8"/>
    <w:rsid w:val="006E690D"/>
    <w:rsid w:val="006E6B9C"/>
    <w:rsid w:val="006E6CD8"/>
    <w:rsid w:val="006E78DB"/>
    <w:rsid w:val="006E79C5"/>
    <w:rsid w:val="006E7A9E"/>
    <w:rsid w:val="006E7BD1"/>
    <w:rsid w:val="006E7C57"/>
    <w:rsid w:val="006E7FB7"/>
    <w:rsid w:val="006F02F3"/>
    <w:rsid w:val="006F090A"/>
    <w:rsid w:val="006F0954"/>
    <w:rsid w:val="006F0A18"/>
    <w:rsid w:val="006F0BCD"/>
    <w:rsid w:val="006F108C"/>
    <w:rsid w:val="006F1132"/>
    <w:rsid w:val="006F17B1"/>
    <w:rsid w:val="006F1FC7"/>
    <w:rsid w:val="006F2016"/>
    <w:rsid w:val="006F2228"/>
    <w:rsid w:val="006F2A4F"/>
    <w:rsid w:val="006F2BD6"/>
    <w:rsid w:val="006F32D4"/>
    <w:rsid w:val="006F3583"/>
    <w:rsid w:val="006F359C"/>
    <w:rsid w:val="006F37CB"/>
    <w:rsid w:val="006F3884"/>
    <w:rsid w:val="006F389A"/>
    <w:rsid w:val="006F38BE"/>
    <w:rsid w:val="006F3B97"/>
    <w:rsid w:val="006F416B"/>
    <w:rsid w:val="006F417B"/>
    <w:rsid w:val="006F4219"/>
    <w:rsid w:val="006F468F"/>
    <w:rsid w:val="006F4EA8"/>
    <w:rsid w:val="006F4EB3"/>
    <w:rsid w:val="006F5250"/>
    <w:rsid w:val="006F548E"/>
    <w:rsid w:val="006F5589"/>
    <w:rsid w:val="006F59E2"/>
    <w:rsid w:val="006F5A7E"/>
    <w:rsid w:val="006F5BD7"/>
    <w:rsid w:val="006F5DEA"/>
    <w:rsid w:val="006F607A"/>
    <w:rsid w:val="006F6334"/>
    <w:rsid w:val="006F673C"/>
    <w:rsid w:val="006F68DB"/>
    <w:rsid w:val="006F6DC1"/>
    <w:rsid w:val="006F6E7D"/>
    <w:rsid w:val="006F7274"/>
    <w:rsid w:val="006F7331"/>
    <w:rsid w:val="006F78AE"/>
    <w:rsid w:val="006F7BFF"/>
    <w:rsid w:val="006F7D66"/>
    <w:rsid w:val="0070067A"/>
    <w:rsid w:val="00700797"/>
    <w:rsid w:val="00700857"/>
    <w:rsid w:val="007009BD"/>
    <w:rsid w:val="00701530"/>
    <w:rsid w:val="0070177E"/>
    <w:rsid w:val="0070202A"/>
    <w:rsid w:val="007021D2"/>
    <w:rsid w:val="007023A6"/>
    <w:rsid w:val="007023CB"/>
    <w:rsid w:val="007027D4"/>
    <w:rsid w:val="00702BBE"/>
    <w:rsid w:val="00702FC6"/>
    <w:rsid w:val="007034A7"/>
    <w:rsid w:val="00703561"/>
    <w:rsid w:val="00703C00"/>
    <w:rsid w:val="00703EB7"/>
    <w:rsid w:val="0070401F"/>
    <w:rsid w:val="00704212"/>
    <w:rsid w:val="0070483A"/>
    <w:rsid w:val="00704D2F"/>
    <w:rsid w:val="00704DC5"/>
    <w:rsid w:val="00704E3E"/>
    <w:rsid w:val="00704EC9"/>
    <w:rsid w:val="00704F15"/>
    <w:rsid w:val="00705452"/>
    <w:rsid w:val="007056A4"/>
    <w:rsid w:val="007067B2"/>
    <w:rsid w:val="007068D9"/>
    <w:rsid w:val="00706F37"/>
    <w:rsid w:val="007070E2"/>
    <w:rsid w:val="00707345"/>
    <w:rsid w:val="0070768D"/>
    <w:rsid w:val="007078BE"/>
    <w:rsid w:val="007079A0"/>
    <w:rsid w:val="00707A95"/>
    <w:rsid w:val="00707BB2"/>
    <w:rsid w:val="00707BFF"/>
    <w:rsid w:val="00707C56"/>
    <w:rsid w:val="00707C72"/>
    <w:rsid w:val="007100B2"/>
    <w:rsid w:val="007101A5"/>
    <w:rsid w:val="007106A7"/>
    <w:rsid w:val="00710A82"/>
    <w:rsid w:val="00710C40"/>
    <w:rsid w:val="00710CA8"/>
    <w:rsid w:val="00710EB3"/>
    <w:rsid w:val="00710FD2"/>
    <w:rsid w:val="0071132D"/>
    <w:rsid w:val="00711533"/>
    <w:rsid w:val="00711922"/>
    <w:rsid w:val="0071194F"/>
    <w:rsid w:val="0071196B"/>
    <w:rsid w:val="00711C9B"/>
    <w:rsid w:val="00711E65"/>
    <w:rsid w:val="00712175"/>
    <w:rsid w:val="00712506"/>
    <w:rsid w:val="0071261D"/>
    <w:rsid w:val="00712A54"/>
    <w:rsid w:val="00712E40"/>
    <w:rsid w:val="00712F16"/>
    <w:rsid w:val="00713B7B"/>
    <w:rsid w:val="00714028"/>
    <w:rsid w:val="007142FC"/>
    <w:rsid w:val="00714C57"/>
    <w:rsid w:val="00714C76"/>
    <w:rsid w:val="00714F96"/>
    <w:rsid w:val="00715116"/>
    <w:rsid w:val="00715199"/>
    <w:rsid w:val="0071574C"/>
    <w:rsid w:val="00715CF1"/>
    <w:rsid w:val="0071643C"/>
    <w:rsid w:val="00716484"/>
    <w:rsid w:val="00716517"/>
    <w:rsid w:val="0071684B"/>
    <w:rsid w:val="00716B06"/>
    <w:rsid w:val="00716BC9"/>
    <w:rsid w:val="007172E9"/>
    <w:rsid w:val="007175B2"/>
    <w:rsid w:val="0071775D"/>
    <w:rsid w:val="00717A84"/>
    <w:rsid w:val="00717B50"/>
    <w:rsid w:val="00720F80"/>
    <w:rsid w:val="007216A5"/>
    <w:rsid w:val="007219E6"/>
    <w:rsid w:val="00721E20"/>
    <w:rsid w:val="00722156"/>
    <w:rsid w:val="00722166"/>
    <w:rsid w:val="00722429"/>
    <w:rsid w:val="00722D43"/>
    <w:rsid w:val="00723536"/>
    <w:rsid w:val="00723928"/>
    <w:rsid w:val="00723A73"/>
    <w:rsid w:val="00723ADF"/>
    <w:rsid w:val="00723B79"/>
    <w:rsid w:val="00723FFA"/>
    <w:rsid w:val="007241D3"/>
    <w:rsid w:val="00724564"/>
    <w:rsid w:val="00724661"/>
    <w:rsid w:val="007253CD"/>
    <w:rsid w:val="0072549E"/>
    <w:rsid w:val="007257BF"/>
    <w:rsid w:val="0072599D"/>
    <w:rsid w:val="00725ADE"/>
    <w:rsid w:val="00725B70"/>
    <w:rsid w:val="00725DCB"/>
    <w:rsid w:val="0072602B"/>
    <w:rsid w:val="0072665C"/>
    <w:rsid w:val="0072676D"/>
    <w:rsid w:val="00726BA7"/>
    <w:rsid w:val="0072750C"/>
    <w:rsid w:val="0072763D"/>
    <w:rsid w:val="00727BCD"/>
    <w:rsid w:val="00727E69"/>
    <w:rsid w:val="007306F4"/>
    <w:rsid w:val="00730714"/>
    <w:rsid w:val="007308C9"/>
    <w:rsid w:val="00730A1A"/>
    <w:rsid w:val="00730ED2"/>
    <w:rsid w:val="00730FE2"/>
    <w:rsid w:val="007311D2"/>
    <w:rsid w:val="00731352"/>
    <w:rsid w:val="007319C7"/>
    <w:rsid w:val="00731B3E"/>
    <w:rsid w:val="00731F00"/>
    <w:rsid w:val="007322D3"/>
    <w:rsid w:val="0073244A"/>
    <w:rsid w:val="0073272E"/>
    <w:rsid w:val="00732F1D"/>
    <w:rsid w:val="00734421"/>
    <w:rsid w:val="007345F2"/>
    <w:rsid w:val="00734634"/>
    <w:rsid w:val="00734763"/>
    <w:rsid w:val="00734766"/>
    <w:rsid w:val="0073489B"/>
    <w:rsid w:val="007349EF"/>
    <w:rsid w:val="007350C0"/>
    <w:rsid w:val="00735793"/>
    <w:rsid w:val="00735A6B"/>
    <w:rsid w:val="00735C31"/>
    <w:rsid w:val="00735D75"/>
    <w:rsid w:val="00735F10"/>
    <w:rsid w:val="007360E3"/>
    <w:rsid w:val="0073664C"/>
    <w:rsid w:val="00736877"/>
    <w:rsid w:val="00736C5E"/>
    <w:rsid w:val="00736D7D"/>
    <w:rsid w:val="00737023"/>
    <w:rsid w:val="00737871"/>
    <w:rsid w:val="00737B8A"/>
    <w:rsid w:val="0074040A"/>
    <w:rsid w:val="00740473"/>
    <w:rsid w:val="007405F3"/>
    <w:rsid w:val="00740968"/>
    <w:rsid w:val="00740C11"/>
    <w:rsid w:val="00740CF8"/>
    <w:rsid w:val="007410D9"/>
    <w:rsid w:val="007410DC"/>
    <w:rsid w:val="007410E4"/>
    <w:rsid w:val="00741297"/>
    <w:rsid w:val="00741645"/>
    <w:rsid w:val="00741A12"/>
    <w:rsid w:val="00741AA6"/>
    <w:rsid w:val="00741B74"/>
    <w:rsid w:val="00741C7F"/>
    <w:rsid w:val="00741EAB"/>
    <w:rsid w:val="00741EBF"/>
    <w:rsid w:val="00741ED5"/>
    <w:rsid w:val="00742A8D"/>
    <w:rsid w:val="00742AC2"/>
    <w:rsid w:val="00742B3D"/>
    <w:rsid w:val="00742BB9"/>
    <w:rsid w:val="0074322E"/>
    <w:rsid w:val="00744085"/>
    <w:rsid w:val="00744DA3"/>
    <w:rsid w:val="007450F9"/>
    <w:rsid w:val="00745563"/>
    <w:rsid w:val="007456E6"/>
    <w:rsid w:val="00745E71"/>
    <w:rsid w:val="00745EA1"/>
    <w:rsid w:val="007465F8"/>
    <w:rsid w:val="007469A0"/>
    <w:rsid w:val="00746E07"/>
    <w:rsid w:val="00746EAB"/>
    <w:rsid w:val="0074710D"/>
    <w:rsid w:val="00747170"/>
    <w:rsid w:val="007472F9"/>
    <w:rsid w:val="007473B3"/>
    <w:rsid w:val="00747832"/>
    <w:rsid w:val="00747EEC"/>
    <w:rsid w:val="0075017F"/>
    <w:rsid w:val="007503AE"/>
    <w:rsid w:val="0075045D"/>
    <w:rsid w:val="00750A3C"/>
    <w:rsid w:val="00750B1D"/>
    <w:rsid w:val="00750C1D"/>
    <w:rsid w:val="00750E59"/>
    <w:rsid w:val="0075109A"/>
    <w:rsid w:val="007511B7"/>
    <w:rsid w:val="00751C6B"/>
    <w:rsid w:val="00751E2B"/>
    <w:rsid w:val="00751E7C"/>
    <w:rsid w:val="00751EDA"/>
    <w:rsid w:val="00752266"/>
    <w:rsid w:val="0075263E"/>
    <w:rsid w:val="007527B3"/>
    <w:rsid w:val="00752D48"/>
    <w:rsid w:val="00753437"/>
    <w:rsid w:val="00753625"/>
    <w:rsid w:val="00753628"/>
    <w:rsid w:val="00753705"/>
    <w:rsid w:val="00753979"/>
    <w:rsid w:val="00753D14"/>
    <w:rsid w:val="0075404B"/>
    <w:rsid w:val="007547C3"/>
    <w:rsid w:val="0075490C"/>
    <w:rsid w:val="00754D04"/>
    <w:rsid w:val="0075505F"/>
    <w:rsid w:val="0075549C"/>
    <w:rsid w:val="00755A2B"/>
    <w:rsid w:val="00755FB3"/>
    <w:rsid w:val="00755FF0"/>
    <w:rsid w:val="0075641F"/>
    <w:rsid w:val="007568F1"/>
    <w:rsid w:val="007569AC"/>
    <w:rsid w:val="00756B28"/>
    <w:rsid w:val="00756DD8"/>
    <w:rsid w:val="00757106"/>
    <w:rsid w:val="0075747A"/>
    <w:rsid w:val="0075761E"/>
    <w:rsid w:val="007578E3"/>
    <w:rsid w:val="00757A1A"/>
    <w:rsid w:val="00757B6F"/>
    <w:rsid w:val="00757BD0"/>
    <w:rsid w:val="00757CCD"/>
    <w:rsid w:val="00757F52"/>
    <w:rsid w:val="00760183"/>
    <w:rsid w:val="0076039D"/>
    <w:rsid w:val="0076092E"/>
    <w:rsid w:val="00760C6B"/>
    <w:rsid w:val="00760E2D"/>
    <w:rsid w:val="007611AA"/>
    <w:rsid w:val="007611F6"/>
    <w:rsid w:val="0076124B"/>
    <w:rsid w:val="007612A3"/>
    <w:rsid w:val="0076139D"/>
    <w:rsid w:val="00761A3A"/>
    <w:rsid w:val="00761BCE"/>
    <w:rsid w:val="00761C35"/>
    <w:rsid w:val="00761C6A"/>
    <w:rsid w:val="00761E73"/>
    <w:rsid w:val="0076207A"/>
    <w:rsid w:val="00762083"/>
    <w:rsid w:val="00762256"/>
    <w:rsid w:val="00762264"/>
    <w:rsid w:val="00762442"/>
    <w:rsid w:val="007624B5"/>
    <w:rsid w:val="00762B04"/>
    <w:rsid w:val="00762D73"/>
    <w:rsid w:val="007630A7"/>
    <w:rsid w:val="00763BD8"/>
    <w:rsid w:val="00763C38"/>
    <w:rsid w:val="0076427A"/>
    <w:rsid w:val="00764709"/>
    <w:rsid w:val="007647B5"/>
    <w:rsid w:val="007649BD"/>
    <w:rsid w:val="007649DE"/>
    <w:rsid w:val="00764B02"/>
    <w:rsid w:val="00764B6E"/>
    <w:rsid w:val="00765A68"/>
    <w:rsid w:val="00765C26"/>
    <w:rsid w:val="00765C55"/>
    <w:rsid w:val="00765D48"/>
    <w:rsid w:val="00765E85"/>
    <w:rsid w:val="00765EFC"/>
    <w:rsid w:val="00766043"/>
    <w:rsid w:val="007665AA"/>
    <w:rsid w:val="00766703"/>
    <w:rsid w:val="00766B97"/>
    <w:rsid w:val="00766F49"/>
    <w:rsid w:val="00767125"/>
    <w:rsid w:val="00767426"/>
    <w:rsid w:val="00767586"/>
    <w:rsid w:val="0076770D"/>
    <w:rsid w:val="00767A26"/>
    <w:rsid w:val="00767AF5"/>
    <w:rsid w:val="00767BAC"/>
    <w:rsid w:val="00767D45"/>
    <w:rsid w:val="007704F4"/>
    <w:rsid w:val="0077083C"/>
    <w:rsid w:val="00770924"/>
    <w:rsid w:val="00770D3F"/>
    <w:rsid w:val="00770F2B"/>
    <w:rsid w:val="00770F76"/>
    <w:rsid w:val="007710FA"/>
    <w:rsid w:val="007711B9"/>
    <w:rsid w:val="007715C3"/>
    <w:rsid w:val="007715D4"/>
    <w:rsid w:val="00771747"/>
    <w:rsid w:val="00771918"/>
    <w:rsid w:val="00771A62"/>
    <w:rsid w:val="00771C5D"/>
    <w:rsid w:val="00772473"/>
    <w:rsid w:val="0077288A"/>
    <w:rsid w:val="00772E62"/>
    <w:rsid w:val="00772F88"/>
    <w:rsid w:val="00772FC3"/>
    <w:rsid w:val="0077356E"/>
    <w:rsid w:val="00773650"/>
    <w:rsid w:val="00773771"/>
    <w:rsid w:val="00773E6E"/>
    <w:rsid w:val="00773F3C"/>
    <w:rsid w:val="0077404C"/>
    <w:rsid w:val="00774208"/>
    <w:rsid w:val="00775180"/>
    <w:rsid w:val="0077522D"/>
    <w:rsid w:val="00775659"/>
    <w:rsid w:val="00775867"/>
    <w:rsid w:val="0077590D"/>
    <w:rsid w:val="00775F9A"/>
    <w:rsid w:val="00776AB9"/>
    <w:rsid w:val="00776D77"/>
    <w:rsid w:val="00776F35"/>
    <w:rsid w:val="00776F62"/>
    <w:rsid w:val="007770D9"/>
    <w:rsid w:val="007777A6"/>
    <w:rsid w:val="00777805"/>
    <w:rsid w:val="00777827"/>
    <w:rsid w:val="00777FA2"/>
    <w:rsid w:val="00780409"/>
    <w:rsid w:val="007809A9"/>
    <w:rsid w:val="00780B95"/>
    <w:rsid w:val="00780EAE"/>
    <w:rsid w:val="00780EC4"/>
    <w:rsid w:val="0078128C"/>
    <w:rsid w:val="00781851"/>
    <w:rsid w:val="00781F37"/>
    <w:rsid w:val="00782001"/>
    <w:rsid w:val="00782590"/>
    <w:rsid w:val="00782FC9"/>
    <w:rsid w:val="007832DB"/>
    <w:rsid w:val="00783417"/>
    <w:rsid w:val="00783802"/>
    <w:rsid w:val="00783BCC"/>
    <w:rsid w:val="00783D9F"/>
    <w:rsid w:val="00783EA0"/>
    <w:rsid w:val="00783EE8"/>
    <w:rsid w:val="007844DB"/>
    <w:rsid w:val="00784550"/>
    <w:rsid w:val="0078474F"/>
    <w:rsid w:val="007847F2"/>
    <w:rsid w:val="007849E7"/>
    <w:rsid w:val="00784A00"/>
    <w:rsid w:val="00784A23"/>
    <w:rsid w:val="00784B53"/>
    <w:rsid w:val="00785F71"/>
    <w:rsid w:val="00785FF4"/>
    <w:rsid w:val="0078613E"/>
    <w:rsid w:val="00786515"/>
    <w:rsid w:val="00786B33"/>
    <w:rsid w:val="00786D54"/>
    <w:rsid w:val="00786D5C"/>
    <w:rsid w:val="00786E5D"/>
    <w:rsid w:val="00787134"/>
    <w:rsid w:val="0078770B"/>
    <w:rsid w:val="00787862"/>
    <w:rsid w:val="007878FA"/>
    <w:rsid w:val="007903B0"/>
    <w:rsid w:val="00790CEE"/>
    <w:rsid w:val="00790D3F"/>
    <w:rsid w:val="00790F8D"/>
    <w:rsid w:val="00791336"/>
    <w:rsid w:val="00791431"/>
    <w:rsid w:val="00791696"/>
    <w:rsid w:val="007916CD"/>
    <w:rsid w:val="00791A64"/>
    <w:rsid w:val="007920DB"/>
    <w:rsid w:val="0079256F"/>
    <w:rsid w:val="007926AB"/>
    <w:rsid w:val="007926B8"/>
    <w:rsid w:val="0079283C"/>
    <w:rsid w:val="00792936"/>
    <w:rsid w:val="007929FD"/>
    <w:rsid w:val="00792FB0"/>
    <w:rsid w:val="0079304C"/>
    <w:rsid w:val="007932A0"/>
    <w:rsid w:val="00793313"/>
    <w:rsid w:val="0079360E"/>
    <w:rsid w:val="0079414F"/>
    <w:rsid w:val="0079463E"/>
    <w:rsid w:val="0079479D"/>
    <w:rsid w:val="00794BB3"/>
    <w:rsid w:val="00795093"/>
    <w:rsid w:val="007950E7"/>
    <w:rsid w:val="007950F1"/>
    <w:rsid w:val="007952DD"/>
    <w:rsid w:val="00795A89"/>
    <w:rsid w:val="00795D47"/>
    <w:rsid w:val="00796FCB"/>
    <w:rsid w:val="00797A4D"/>
    <w:rsid w:val="00797A55"/>
    <w:rsid w:val="00797AB3"/>
    <w:rsid w:val="00797F76"/>
    <w:rsid w:val="007A00B6"/>
    <w:rsid w:val="007A07A8"/>
    <w:rsid w:val="007A090E"/>
    <w:rsid w:val="007A097A"/>
    <w:rsid w:val="007A18B4"/>
    <w:rsid w:val="007A1CDA"/>
    <w:rsid w:val="007A1CEF"/>
    <w:rsid w:val="007A23EF"/>
    <w:rsid w:val="007A3227"/>
    <w:rsid w:val="007A3273"/>
    <w:rsid w:val="007A33AC"/>
    <w:rsid w:val="007A33CB"/>
    <w:rsid w:val="007A37CC"/>
    <w:rsid w:val="007A3973"/>
    <w:rsid w:val="007A3F72"/>
    <w:rsid w:val="007A4234"/>
    <w:rsid w:val="007A49DF"/>
    <w:rsid w:val="007A4A8A"/>
    <w:rsid w:val="007A4BCE"/>
    <w:rsid w:val="007A4E7E"/>
    <w:rsid w:val="007A4FB5"/>
    <w:rsid w:val="007A52F7"/>
    <w:rsid w:val="007A6976"/>
    <w:rsid w:val="007A6A6C"/>
    <w:rsid w:val="007A6A6F"/>
    <w:rsid w:val="007A6BB7"/>
    <w:rsid w:val="007A6E03"/>
    <w:rsid w:val="007A70F2"/>
    <w:rsid w:val="007A7127"/>
    <w:rsid w:val="007A7333"/>
    <w:rsid w:val="007A747F"/>
    <w:rsid w:val="007A78B4"/>
    <w:rsid w:val="007A7A07"/>
    <w:rsid w:val="007A7D6C"/>
    <w:rsid w:val="007A7F3F"/>
    <w:rsid w:val="007B01E5"/>
    <w:rsid w:val="007B06DD"/>
    <w:rsid w:val="007B0DE1"/>
    <w:rsid w:val="007B0F1D"/>
    <w:rsid w:val="007B11C1"/>
    <w:rsid w:val="007B126E"/>
    <w:rsid w:val="007B15F0"/>
    <w:rsid w:val="007B23CD"/>
    <w:rsid w:val="007B2A8C"/>
    <w:rsid w:val="007B2DA3"/>
    <w:rsid w:val="007B31E4"/>
    <w:rsid w:val="007B37B5"/>
    <w:rsid w:val="007B38C7"/>
    <w:rsid w:val="007B3DEF"/>
    <w:rsid w:val="007B415D"/>
    <w:rsid w:val="007B436D"/>
    <w:rsid w:val="007B4578"/>
    <w:rsid w:val="007B56C2"/>
    <w:rsid w:val="007B58B5"/>
    <w:rsid w:val="007B5A81"/>
    <w:rsid w:val="007B5F8F"/>
    <w:rsid w:val="007B62A1"/>
    <w:rsid w:val="007B66AB"/>
    <w:rsid w:val="007B6AAA"/>
    <w:rsid w:val="007B7430"/>
    <w:rsid w:val="007B774C"/>
    <w:rsid w:val="007B7753"/>
    <w:rsid w:val="007B7788"/>
    <w:rsid w:val="007B791E"/>
    <w:rsid w:val="007B7A98"/>
    <w:rsid w:val="007B7D9C"/>
    <w:rsid w:val="007B7EA4"/>
    <w:rsid w:val="007B7FB9"/>
    <w:rsid w:val="007C0179"/>
    <w:rsid w:val="007C042D"/>
    <w:rsid w:val="007C0489"/>
    <w:rsid w:val="007C07DB"/>
    <w:rsid w:val="007C08FD"/>
    <w:rsid w:val="007C0CB4"/>
    <w:rsid w:val="007C1402"/>
    <w:rsid w:val="007C1BED"/>
    <w:rsid w:val="007C1C79"/>
    <w:rsid w:val="007C1DF5"/>
    <w:rsid w:val="007C20AA"/>
    <w:rsid w:val="007C28F1"/>
    <w:rsid w:val="007C2D18"/>
    <w:rsid w:val="007C34FC"/>
    <w:rsid w:val="007C3638"/>
    <w:rsid w:val="007C39D5"/>
    <w:rsid w:val="007C3C30"/>
    <w:rsid w:val="007C44FC"/>
    <w:rsid w:val="007C4842"/>
    <w:rsid w:val="007C4C79"/>
    <w:rsid w:val="007C5E8F"/>
    <w:rsid w:val="007C68A2"/>
    <w:rsid w:val="007C6F09"/>
    <w:rsid w:val="007C6FA1"/>
    <w:rsid w:val="007C78EE"/>
    <w:rsid w:val="007C7998"/>
    <w:rsid w:val="007C7EB5"/>
    <w:rsid w:val="007D025E"/>
    <w:rsid w:val="007D03F5"/>
    <w:rsid w:val="007D0919"/>
    <w:rsid w:val="007D092A"/>
    <w:rsid w:val="007D0C56"/>
    <w:rsid w:val="007D0D5A"/>
    <w:rsid w:val="007D0D66"/>
    <w:rsid w:val="007D1674"/>
    <w:rsid w:val="007D175E"/>
    <w:rsid w:val="007D19DD"/>
    <w:rsid w:val="007D1C58"/>
    <w:rsid w:val="007D226B"/>
    <w:rsid w:val="007D2493"/>
    <w:rsid w:val="007D269F"/>
    <w:rsid w:val="007D276B"/>
    <w:rsid w:val="007D2BAB"/>
    <w:rsid w:val="007D2C6D"/>
    <w:rsid w:val="007D2F7B"/>
    <w:rsid w:val="007D365A"/>
    <w:rsid w:val="007D3D4F"/>
    <w:rsid w:val="007D3DC7"/>
    <w:rsid w:val="007D3DD8"/>
    <w:rsid w:val="007D4270"/>
    <w:rsid w:val="007D47A5"/>
    <w:rsid w:val="007D570A"/>
    <w:rsid w:val="007D58DA"/>
    <w:rsid w:val="007D5916"/>
    <w:rsid w:val="007D5C46"/>
    <w:rsid w:val="007D5FE1"/>
    <w:rsid w:val="007D603B"/>
    <w:rsid w:val="007D6042"/>
    <w:rsid w:val="007D60C3"/>
    <w:rsid w:val="007D6600"/>
    <w:rsid w:val="007D6689"/>
    <w:rsid w:val="007D6896"/>
    <w:rsid w:val="007D6F23"/>
    <w:rsid w:val="007D7971"/>
    <w:rsid w:val="007E06B4"/>
    <w:rsid w:val="007E131D"/>
    <w:rsid w:val="007E167F"/>
    <w:rsid w:val="007E187C"/>
    <w:rsid w:val="007E1DC3"/>
    <w:rsid w:val="007E1EE8"/>
    <w:rsid w:val="007E215E"/>
    <w:rsid w:val="007E26F1"/>
    <w:rsid w:val="007E26F4"/>
    <w:rsid w:val="007E2832"/>
    <w:rsid w:val="007E2A8D"/>
    <w:rsid w:val="007E2B2B"/>
    <w:rsid w:val="007E2D7A"/>
    <w:rsid w:val="007E2DEC"/>
    <w:rsid w:val="007E2F7E"/>
    <w:rsid w:val="007E3108"/>
    <w:rsid w:val="007E3218"/>
    <w:rsid w:val="007E3CCE"/>
    <w:rsid w:val="007E3CF0"/>
    <w:rsid w:val="007E3DC1"/>
    <w:rsid w:val="007E3E69"/>
    <w:rsid w:val="007E42DF"/>
    <w:rsid w:val="007E4392"/>
    <w:rsid w:val="007E4A0E"/>
    <w:rsid w:val="007E54B2"/>
    <w:rsid w:val="007E5A0F"/>
    <w:rsid w:val="007E5AFA"/>
    <w:rsid w:val="007E5E8B"/>
    <w:rsid w:val="007E63BE"/>
    <w:rsid w:val="007E647E"/>
    <w:rsid w:val="007E6964"/>
    <w:rsid w:val="007E6972"/>
    <w:rsid w:val="007E701F"/>
    <w:rsid w:val="007E7314"/>
    <w:rsid w:val="007E7330"/>
    <w:rsid w:val="007E787E"/>
    <w:rsid w:val="007E7918"/>
    <w:rsid w:val="007E79AE"/>
    <w:rsid w:val="007E7A28"/>
    <w:rsid w:val="007F01C0"/>
    <w:rsid w:val="007F0242"/>
    <w:rsid w:val="007F04F9"/>
    <w:rsid w:val="007F081E"/>
    <w:rsid w:val="007F0B37"/>
    <w:rsid w:val="007F0D5A"/>
    <w:rsid w:val="007F1002"/>
    <w:rsid w:val="007F1131"/>
    <w:rsid w:val="007F1269"/>
    <w:rsid w:val="007F12E1"/>
    <w:rsid w:val="007F1413"/>
    <w:rsid w:val="007F1464"/>
    <w:rsid w:val="007F1489"/>
    <w:rsid w:val="007F1553"/>
    <w:rsid w:val="007F1A37"/>
    <w:rsid w:val="007F1B3A"/>
    <w:rsid w:val="007F1F7E"/>
    <w:rsid w:val="007F2222"/>
    <w:rsid w:val="007F2336"/>
    <w:rsid w:val="007F2386"/>
    <w:rsid w:val="007F2819"/>
    <w:rsid w:val="007F2DA1"/>
    <w:rsid w:val="007F337E"/>
    <w:rsid w:val="007F356E"/>
    <w:rsid w:val="007F35B8"/>
    <w:rsid w:val="007F399F"/>
    <w:rsid w:val="007F40FF"/>
    <w:rsid w:val="007F4C6F"/>
    <w:rsid w:val="007F4CC2"/>
    <w:rsid w:val="007F4CD5"/>
    <w:rsid w:val="007F4EC0"/>
    <w:rsid w:val="007F5551"/>
    <w:rsid w:val="007F58B8"/>
    <w:rsid w:val="007F61C3"/>
    <w:rsid w:val="007F653B"/>
    <w:rsid w:val="007F6583"/>
    <w:rsid w:val="007F6D23"/>
    <w:rsid w:val="007F6D33"/>
    <w:rsid w:val="007F7073"/>
    <w:rsid w:val="007F71B0"/>
    <w:rsid w:val="007F7292"/>
    <w:rsid w:val="007F7344"/>
    <w:rsid w:val="007F7683"/>
    <w:rsid w:val="007F7849"/>
    <w:rsid w:val="007F7EC2"/>
    <w:rsid w:val="00800118"/>
    <w:rsid w:val="0080020F"/>
    <w:rsid w:val="0080073F"/>
    <w:rsid w:val="008009AA"/>
    <w:rsid w:val="00800DC1"/>
    <w:rsid w:val="00800F41"/>
    <w:rsid w:val="00801204"/>
    <w:rsid w:val="0080172D"/>
    <w:rsid w:val="00801848"/>
    <w:rsid w:val="00802901"/>
    <w:rsid w:val="00802DD2"/>
    <w:rsid w:val="00802F97"/>
    <w:rsid w:val="00803358"/>
    <w:rsid w:val="00803534"/>
    <w:rsid w:val="00803943"/>
    <w:rsid w:val="00803A34"/>
    <w:rsid w:val="00803DD0"/>
    <w:rsid w:val="00803F0F"/>
    <w:rsid w:val="0080457F"/>
    <w:rsid w:val="0080485F"/>
    <w:rsid w:val="008048CD"/>
    <w:rsid w:val="008048D1"/>
    <w:rsid w:val="008049F7"/>
    <w:rsid w:val="00805380"/>
    <w:rsid w:val="008053F7"/>
    <w:rsid w:val="008062CC"/>
    <w:rsid w:val="008063F2"/>
    <w:rsid w:val="00806839"/>
    <w:rsid w:val="00807012"/>
    <w:rsid w:val="008072EA"/>
    <w:rsid w:val="00807ADD"/>
    <w:rsid w:val="00810106"/>
    <w:rsid w:val="008106A2"/>
    <w:rsid w:val="00810D7A"/>
    <w:rsid w:val="00811486"/>
    <w:rsid w:val="0081160F"/>
    <w:rsid w:val="008116F7"/>
    <w:rsid w:val="00811D88"/>
    <w:rsid w:val="00811F34"/>
    <w:rsid w:val="008120E3"/>
    <w:rsid w:val="00812353"/>
    <w:rsid w:val="00812388"/>
    <w:rsid w:val="0081257E"/>
    <w:rsid w:val="00812DCC"/>
    <w:rsid w:val="0081305B"/>
    <w:rsid w:val="0081309B"/>
    <w:rsid w:val="008132B5"/>
    <w:rsid w:val="008134BC"/>
    <w:rsid w:val="008137D3"/>
    <w:rsid w:val="00813A21"/>
    <w:rsid w:val="00814D75"/>
    <w:rsid w:val="00814DC3"/>
    <w:rsid w:val="00814FB6"/>
    <w:rsid w:val="008150CB"/>
    <w:rsid w:val="00815264"/>
    <w:rsid w:val="008152CF"/>
    <w:rsid w:val="0081640A"/>
    <w:rsid w:val="00816D48"/>
    <w:rsid w:val="00817223"/>
    <w:rsid w:val="00820090"/>
    <w:rsid w:val="008200B6"/>
    <w:rsid w:val="00820109"/>
    <w:rsid w:val="008202EC"/>
    <w:rsid w:val="008205DB"/>
    <w:rsid w:val="00820E3C"/>
    <w:rsid w:val="00820F3A"/>
    <w:rsid w:val="0082100A"/>
    <w:rsid w:val="00821E1C"/>
    <w:rsid w:val="00821F8A"/>
    <w:rsid w:val="00822419"/>
    <w:rsid w:val="00822585"/>
    <w:rsid w:val="008229A0"/>
    <w:rsid w:val="00822FD0"/>
    <w:rsid w:val="0082319E"/>
    <w:rsid w:val="00823862"/>
    <w:rsid w:val="0082394C"/>
    <w:rsid w:val="00823AA0"/>
    <w:rsid w:val="00824375"/>
    <w:rsid w:val="008243C7"/>
    <w:rsid w:val="008243CE"/>
    <w:rsid w:val="00824510"/>
    <w:rsid w:val="0082464B"/>
    <w:rsid w:val="00824EB3"/>
    <w:rsid w:val="00825ACE"/>
    <w:rsid w:val="0082685A"/>
    <w:rsid w:val="00826910"/>
    <w:rsid w:val="00826BD9"/>
    <w:rsid w:val="00826EAF"/>
    <w:rsid w:val="00827470"/>
    <w:rsid w:val="00827877"/>
    <w:rsid w:val="0082791B"/>
    <w:rsid w:val="00827B9E"/>
    <w:rsid w:val="008301D9"/>
    <w:rsid w:val="00830480"/>
    <w:rsid w:val="008306E8"/>
    <w:rsid w:val="0083074C"/>
    <w:rsid w:val="00830768"/>
    <w:rsid w:val="00830D18"/>
    <w:rsid w:val="00830DAC"/>
    <w:rsid w:val="00830E7E"/>
    <w:rsid w:val="008310B7"/>
    <w:rsid w:val="0083167C"/>
    <w:rsid w:val="00831719"/>
    <w:rsid w:val="00831ABF"/>
    <w:rsid w:val="00831BA4"/>
    <w:rsid w:val="00831BB9"/>
    <w:rsid w:val="00831C36"/>
    <w:rsid w:val="0083330C"/>
    <w:rsid w:val="0083333B"/>
    <w:rsid w:val="00833842"/>
    <w:rsid w:val="00833A01"/>
    <w:rsid w:val="008347F4"/>
    <w:rsid w:val="00834AE4"/>
    <w:rsid w:val="00834E6E"/>
    <w:rsid w:val="00834FFB"/>
    <w:rsid w:val="00835603"/>
    <w:rsid w:val="00835760"/>
    <w:rsid w:val="00835870"/>
    <w:rsid w:val="008360BC"/>
    <w:rsid w:val="008361C7"/>
    <w:rsid w:val="008361FB"/>
    <w:rsid w:val="008363BE"/>
    <w:rsid w:val="008364D4"/>
    <w:rsid w:val="008369CA"/>
    <w:rsid w:val="00836AA4"/>
    <w:rsid w:val="00837511"/>
    <w:rsid w:val="008377AB"/>
    <w:rsid w:val="008378F0"/>
    <w:rsid w:val="00837DD8"/>
    <w:rsid w:val="00837E26"/>
    <w:rsid w:val="00837F6D"/>
    <w:rsid w:val="00837F76"/>
    <w:rsid w:val="0084037D"/>
    <w:rsid w:val="00840442"/>
    <w:rsid w:val="0084044D"/>
    <w:rsid w:val="00840471"/>
    <w:rsid w:val="008404A2"/>
    <w:rsid w:val="00840612"/>
    <w:rsid w:val="00840A99"/>
    <w:rsid w:val="00840B05"/>
    <w:rsid w:val="00840DEE"/>
    <w:rsid w:val="00840EE0"/>
    <w:rsid w:val="00840F14"/>
    <w:rsid w:val="00840F7E"/>
    <w:rsid w:val="00840FA8"/>
    <w:rsid w:val="008411D9"/>
    <w:rsid w:val="0084138F"/>
    <w:rsid w:val="008413CD"/>
    <w:rsid w:val="008414F7"/>
    <w:rsid w:val="0084192D"/>
    <w:rsid w:val="0084213D"/>
    <w:rsid w:val="0084240A"/>
    <w:rsid w:val="008425B2"/>
    <w:rsid w:val="00842658"/>
    <w:rsid w:val="008427BE"/>
    <w:rsid w:val="008433FC"/>
    <w:rsid w:val="00843465"/>
    <w:rsid w:val="008436BA"/>
    <w:rsid w:val="00843EC3"/>
    <w:rsid w:val="00843F48"/>
    <w:rsid w:val="008442B1"/>
    <w:rsid w:val="008443F7"/>
    <w:rsid w:val="00844491"/>
    <w:rsid w:val="00844771"/>
    <w:rsid w:val="00844D3D"/>
    <w:rsid w:val="00845795"/>
    <w:rsid w:val="008458FA"/>
    <w:rsid w:val="00845950"/>
    <w:rsid w:val="00845A2A"/>
    <w:rsid w:val="00845AB0"/>
    <w:rsid w:val="00846426"/>
    <w:rsid w:val="00846889"/>
    <w:rsid w:val="00846997"/>
    <w:rsid w:val="00846D91"/>
    <w:rsid w:val="00846EB0"/>
    <w:rsid w:val="00847437"/>
    <w:rsid w:val="008478F8"/>
    <w:rsid w:val="008479A0"/>
    <w:rsid w:val="00847E17"/>
    <w:rsid w:val="00847FC9"/>
    <w:rsid w:val="0085006F"/>
    <w:rsid w:val="00850921"/>
    <w:rsid w:val="008511D4"/>
    <w:rsid w:val="00851E28"/>
    <w:rsid w:val="0085208C"/>
    <w:rsid w:val="00852263"/>
    <w:rsid w:val="00852443"/>
    <w:rsid w:val="0085251C"/>
    <w:rsid w:val="00852779"/>
    <w:rsid w:val="0085288E"/>
    <w:rsid w:val="00852E00"/>
    <w:rsid w:val="008532AE"/>
    <w:rsid w:val="008534E2"/>
    <w:rsid w:val="00853613"/>
    <w:rsid w:val="00853660"/>
    <w:rsid w:val="00853ABC"/>
    <w:rsid w:val="00853BC8"/>
    <w:rsid w:val="00853D49"/>
    <w:rsid w:val="008541B3"/>
    <w:rsid w:val="00854894"/>
    <w:rsid w:val="008548E1"/>
    <w:rsid w:val="00854A97"/>
    <w:rsid w:val="00854CE0"/>
    <w:rsid w:val="00854D36"/>
    <w:rsid w:val="00854E1C"/>
    <w:rsid w:val="00855090"/>
    <w:rsid w:val="00855483"/>
    <w:rsid w:val="00855508"/>
    <w:rsid w:val="0085567C"/>
    <w:rsid w:val="00855743"/>
    <w:rsid w:val="00855A2A"/>
    <w:rsid w:val="00855B21"/>
    <w:rsid w:val="00855BF4"/>
    <w:rsid w:val="00855CEB"/>
    <w:rsid w:val="0085656C"/>
    <w:rsid w:val="00857069"/>
    <w:rsid w:val="00857314"/>
    <w:rsid w:val="00857372"/>
    <w:rsid w:val="008573A2"/>
    <w:rsid w:val="0085765C"/>
    <w:rsid w:val="0085796A"/>
    <w:rsid w:val="00857B37"/>
    <w:rsid w:val="00857E6A"/>
    <w:rsid w:val="008603F4"/>
    <w:rsid w:val="00860CB2"/>
    <w:rsid w:val="00860E4F"/>
    <w:rsid w:val="008611F9"/>
    <w:rsid w:val="0086197A"/>
    <w:rsid w:val="0086202D"/>
    <w:rsid w:val="0086208C"/>
    <w:rsid w:val="008626D1"/>
    <w:rsid w:val="00862BD2"/>
    <w:rsid w:val="00862C5F"/>
    <w:rsid w:val="00862D65"/>
    <w:rsid w:val="00862F1B"/>
    <w:rsid w:val="00863552"/>
    <w:rsid w:val="008640AD"/>
    <w:rsid w:val="00864139"/>
    <w:rsid w:val="00864306"/>
    <w:rsid w:val="008649BD"/>
    <w:rsid w:val="00864FE5"/>
    <w:rsid w:val="0086509D"/>
    <w:rsid w:val="00865240"/>
    <w:rsid w:val="00865580"/>
    <w:rsid w:val="0086562A"/>
    <w:rsid w:val="008658E3"/>
    <w:rsid w:val="008662CA"/>
    <w:rsid w:val="008663EC"/>
    <w:rsid w:val="00866457"/>
    <w:rsid w:val="0086658A"/>
    <w:rsid w:val="00866712"/>
    <w:rsid w:val="00866890"/>
    <w:rsid w:val="0086702D"/>
    <w:rsid w:val="00867057"/>
    <w:rsid w:val="008671A5"/>
    <w:rsid w:val="008671B8"/>
    <w:rsid w:val="008674D5"/>
    <w:rsid w:val="00867C48"/>
    <w:rsid w:val="00867D95"/>
    <w:rsid w:val="00867DC9"/>
    <w:rsid w:val="00867EDB"/>
    <w:rsid w:val="00867FD1"/>
    <w:rsid w:val="0087014B"/>
    <w:rsid w:val="00870170"/>
    <w:rsid w:val="008707C7"/>
    <w:rsid w:val="00870CD2"/>
    <w:rsid w:val="00870CF4"/>
    <w:rsid w:val="00870E3E"/>
    <w:rsid w:val="00871045"/>
    <w:rsid w:val="008710BC"/>
    <w:rsid w:val="008711A4"/>
    <w:rsid w:val="00871411"/>
    <w:rsid w:val="008714F2"/>
    <w:rsid w:val="0087160D"/>
    <w:rsid w:val="008718DE"/>
    <w:rsid w:val="00871907"/>
    <w:rsid w:val="00871D87"/>
    <w:rsid w:val="00872273"/>
    <w:rsid w:val="0087240B"/>
    <w:rsid w:val="00872C25"/>
    <w:rsid w:val="00872C44"/>
    <w:rsid w:val="00872DA1"/>
    <w:rsid w:val="008739EC"/>
    <w:rsid w:val="00873F2E"/>
    <w:rsid w:val="00874407"/>
    <w:rsid w:val="008744BA"/>
    <w:rsid w:val="008746B3"/>
    <w:rsid w:val="00874855"/>
    <w:rsid w:val="00874C3A"/>
    <w:rsid w:val="00874E1E"/>
    <w:rsid w:val="00875025"/>
    <w:rsid w:val="0087525F"/>
    <w:rsid w:val="008752FF"/>
    <w:rsid w:val="0087530F"/>
    <w:rsid w:val="00875339"/>
    <w:rsid w:val="00875532"/>
    <w:rsid w:val="008757D0"/>
    <w:rsid w:val="0087586E"/>
    <w:rsid w:val="008758F6"/>
    <w:rsid w:val="008759B3"/>
    <w:rsid w:val="00875E0E"/>
    <w:rsid w:val="0087626B"/>
    <w:rsid w:val="008764A3"/>
    <w:rsid w:val="00876661"/>
    <w:rsid w:val="00876C18"/>
    <w:rsid w:val="00876E95"/>
    <w:rsid w:val="00876F51"/>
    <w:rsid w:val="0087717F"/>
    <w:rsid w:val="008775D3"/>
    <w:rsid w:val="00877668"/>
    <w:rsid w:val="00877861"/>
    <w:rsid w:val="00877A13"/>
    <w:rsid w:val="00877ADF"/>
    <w:rsid w:val="00877D6A"/>
    <w:rsid w:val="00877F60"/>
    <w:rsid w:val="008803AD"/>
    <w:rsid w:val="00880F1B"/>
    <w:rsid w:val="00880F82"/>
    <w:rsid w:val="00881758"/>
    <w:rsid w:val="008819B3"/>
    <w:rsid w:val="00881A49"/>
    <w:rsid w:val="00881D89"/>
    <w:rsid w:val="00881F7C"/>
    <w:rsid w:val="008821BF"/>
    <w:rsid w:val="008823F8"/>
    <w:rsid w:val="00882A70"/>
    <w:rsid w:val="00882AF5"/>
    <w:rsid w:val="0088376B"/>
    <w:rsid w:val="00883A29"/>
    <w:rsid w:val="008846CE"/>
    <w:rsid w:val="00884CB7"/>
    <w:rsid w:val="00884F1E"/>
    <w:rsid w:val="0088505C"/>
    <w:rsid w:val="00885489"/>
    <w:rsid w:val="00885562"/>
    <w:rsid w:val="00885578"/>
    <w:rsid w:val="00885989"/>
    <w:rsid w:val="00885BE7"/>
    <w:rsid w:val="00885D87"/>
    <w:rsid w:val="00885F5F"/>
    <w:rsid w:val="00886216"/>
    <w:rsid w:val="008862D1"/>
    <w:rsid w:val="008864EF"/>
    <w:rsid w:val="0088710B"/>
    <w:rsid w:val="00887A53"/>
    <w:rsid w:val="00887A93"/>
    <w:rsid w:val="00887AFE"/>
    <w:rsid w:val="00887BD5"/>
    <w:rsid w:val="00887DC2"/>
    <w:rsid w:val="00887E39"/>
    <w:rsid w:val="00887F4E"/>
    <w:rsid w:val="0089031F"/>
    <w:rsid w:val="0089045F"/>
    <w:rsid w:val="0089064D"/>
    <w:rsid w:val="00890B55"/>
    <w:rsid w:val="00890C30"/>
    <w:rsid w:val="00890CB6"/>
    <w:rsid w:val="00890D1A"/>
    <w:rsid w:val="00891097"/>
    <w:rsid w:val="008910DD"/>
    <w:rsid w:val="008913B7"/>
    <w:rsid w:val="0089149F"/>
    <w:rsid w:val="008914AC"/>
    <w:rsid w:val="008925FD"/>
    <w:rsid w:val="00892764"/>
    <w:rsid w:val="00892BE4"/>
    <w:rsid w:val="00892FE4"/>
    <w:rsid w:val="00893137"/>
    <w:rsid w:val="00893618"/>
    <w:rsid w:val="0089386E"/>
    <w:rsid w:val="008938E6"/>
    <w:rsid w:val="00893C53"/>
    <w:rsid w:val="00893F5B"/>
    <w:rsid w:val="0089425E"/>
    <w:rsid w:val="00894827"/>
    <w:rsid w:val="00894AAD"/>
    <w:rsid w:val="00894DA6"/>
    <w:rsid w:val="008951F0"/>
    <w:rsid w:val="008956D0"/>
    <w:rsid w:val="00895E27"/>
    <w:rsid w:val="00895FD7"/>
    <w:rsid w:val="0089631F"/>
    <w:rsid w:val="00896CB5"/>
    <w:rsid w:val="00896D09"/>
    <w:rsid w:val="00896F17"/>
    <w:rsid w:val="008977D5"/>
    <w:rsid w:val="0089787D"/>
    <w:rsid w:val="00897D79"/>
    <w:rsid w:val="008A0420"/>
    <w:rsid w:val="008A04E9"/>
    <w:rsid w:val="008A057C"/>
    <w:rsid w:val="008A0AAC"/>
    <w:rsid w:val="008A0B3A"/>
    <w:rsid w:val="008A0B6C"/>
    <w:rsid w:val="008A0CB9"/>
    <w:rsid w:val="008A0DB1"/>
    <w:rsid w:val="008A126C"/>
    <w:rsid w:val="008A1631"/>
    <w:rsid w:val="008A172F"/>
    <w:rsid w:val="008A1B3B"/>
    <w:rsid w:val="008A1BAA"/>
    <w:rsid w:val="008A1E57"/>
    <w:rsid w:val="008A2861"/>
    <w:rsid w:val="008A29D8"/>
    <w:rsid w:val="008A2E28"/>
    <w:rsid w:val="008A30F3"/>
    <w:rsid w:val="008A3572"/>
    <w:rsid w:val="008A37AC"/>
    <w:rsid w:val="008A391C"/>
    <w:rsid w:val="008A3A47"/>
    <w:rsid w:val="008A415F"/>
    <w:rsid w:val="008A4338"/>
    <w:rsid w:val="008A4449"/>
    <w:rsid w:val="008A4873"/>
    <w:rsid w:val="008A48CB"/>
    <w:rsid w:val="008A4A3C"/>
    <w:rsid w:val="008A509C"/>
    <w:rsid w:val="008A560F"/>
    <w:rsid w:val="008A5A03"/>
    <w:rsid w:val="008A5FD4"/>
    <w:rsid w:val="008A611A"/>
    <w:rsid w:val="008A63C5"/>
    <w:rsid w:val="008A656E"/>
    <w:rsid w:val="008A6738"/>
    <w:rsid w:val="008A684B"/>
    <w:rsid w:val="008A6AF0"/>
    <w:rsid w:val="008A6C7A"/>
    <w:rsid w:val="008A6D91"/>
    <w:rsid w:val="008A6EAD"/>
    <w:rsid w:val="008A7865"/>
    <w:rsid w:val="008A79BF"/>
    <w:rsid w:val="008A7E94"/>
    <w:rsid w:val="008B08C7"/>
    <w:rsid w:val="008B1217"/>
    <w:rsid w:val="008B1533"/>
    <w:rsid w:val="008B1648"/>
    <w:rsid w:val="008B1D7E"/>
    <w:rsid w:val="008B1DCA"/>
    <w:rsid w:val="008B1DFB"/>
    <w:rsid w:val="008B1EB5"/>
    <w:rsid w:val="008B2295"/>
    <w:rsid w:val="008B2616"/>
    <w:rsid w:val="008B28D4"/>
    <w:rsid w:val="008B2B1E"/>
    <w:rsid w:val="008B2D6C"/>
    <w:rsid w:val="008B36AD"/>
    <w:rsid w:val="008B4661"/>
    <w:rsid w:val="008B4719"/>
    <w:rsid w:val="008B4B57"/>
    <w:rsid w:val="008B4B5F"/>
    <w:rsid w:val="008B4D9F"/>
    <w:rsid w:val="008B4E06"/>
    <w:rsid w:val="008B4FC1"/>
    <w:rsid w:val="008B51D7"/>
    <w:rsid w:val="008B529F"/>
    <w:rsid w:val="008B54FA"/>
    <w:rsid w:val="008B55F0"/>
    <w:rsid w:val="008B6194"/>
    <w:rsid w:val="008B669D"/>
    <w:rsid w:val="008B69E6"/>
    <w:rsid w:val="008B6A3E"/>
    <w:rsid w:val="008B711C"/>
    <w:rsid w:val="008B7393"/>
    <w:rsid w:val="008B7DD6"/>
    <w:rsid w:val="008C0018"/>
    <w:rsid w:val="008C030B"/>
    <w:rsid w:val="008C0334"/>
    <w:rsid w:val="008C054D"/>
    <w:rsid w:val="008C05FB"/>
    <w:rsid w:val="008C0A24"/>
    <w:rsid w:val="008C0C2F"/>
    <w:rsid w:val="008C0E7B"/>
    <w:rsid w:val="008C0F95"/>
    <w:rsid w:val="008C1004"/>
    <w:rsid w:val="008C1297"/>
    <w:rsid w:val="008C142B"/>
    <w:rsid w:val="008C1696"/>
    <w:rsid w:val="008C1986"/>
    <w:rsid w:val="008C1BD6"/>
    <w:rsid w:val="008C1BF5"/>
    <w:rsid w:val="008C1F76"/>
    <w:rsid w:val="008C212B"/>
    <w:rsid w:val="008C2326"/>
    <w:rsid w:val="008C23F0"/>
    <w:rsid w:val="008C29D9"/>
    <w:rsid w:val="008C2ABB"/>
    <w:rsid w:val="008C3112"/>
    <w:rsid w:val="008C3193"/>
    <w:rsid w:val="008C3287"/>
    <w:rsid w:val="008C348C"/>
    <w:rsid w:val="008C34D6"/>
    <w:rsid w:val="008C36E3"/>
    <w:rsid w:val="008C3AF1"/>
    <w:rsid w:val="008C4062"/>
    <w:rsid w:val="008C43D6"/>
    <w:rsid w:val="008C44B8"/>
    <w:rsid w:val="008C4CBC"/>
    <w:rsid w:val="008C4ED7"/>
    <w:rsid w:val="008C5490"/>
    <w:rsid w:val="008C54ED"/>
    <w:rsid w:val="008C587E"/>
    <w:rsid w:val="008C58EC"/>
    <w:rsid w:val="008C5F68"/>
    <w:rsid w:val="008C6280"/>
    <w:rsid w:val="008C63B1"/>
    <w:rsid w:val="008C65BF"/>
    <w:rsid w:val="008C6662"/>
    <w:rsid w:val="008C67FC"/>
    <w:rsid w:val="008C6E0A"/>
    <w:rsid w:val="008C7407"/>
    <w:rsid w:val="008C76D6"/>
    <w:rsid w:val="008C77E8"/>
    <w:rsid w:val="008C77F6"/>
    <w:rsid w:val="008C7850"/>
    <w:rsid w:val="008C785D"/>
    <w:rsid w:val="008C7AB9"/>
    <w:rsid w:val="008C7B4E"/>
    <w:rsid w:val="008C7C7D"/>
    <w:rsid w:val="008C7E42"/>
    <w:rsid w:val="008C7E48"/>
    <w:rsid w:val="008D001C"/>
    <w:rsid w:val="008D005B"/>
    <w:rsid w:val="008D0210"/>
    <w:rsid w:val="008D04E4"/>
    <w:rsid w:val="008D09FB"/>
    <w:rsid w:val="008D0C34"/>
    <w:rsid w:val="008D113A"/>
    <w:rsid w:val="008D1332"/>
    <w:rsid w:val="008D14D9"/>
    <w:rsid w:val="008D1B42"/>
    <w:rsid w:val="008D25FF"/>
    <w:rsid w:val="008D2673"/>
    <w:rsid w:val="008D2686"/>
    <w:rsid w:val="008D2C53"/>
    <w:rsid w:val="008D2C60"/>
    <w:rsid w:val="008D2E89"/>
    <w:rsid w:val="008D2F7E"/>
    <w:rsid w:val="008D3636"/>
    <w:rsid w:val="008D3928"/>
    <w:rsid w:val="008D3B3E"/>
    <w:rsid w:val="008D3E02"/>
    <w:rsid w:val="008D3FFC"/>
    <w:rsid w:val="008D40EE"/>
    <w:rsid w:val="008D41DF"/>
    <w:rsid w:val="008D4218"/>
    <w:rsid w:val="008D48F8"/>
    <w:rsid w:val="008D4BD2"/>
    <w:rsid w:val="008D4E07"/>
    <w:rsid w:val="008D4ED4"/>
    <w:rsid w:val="008D50E5"/>
    <w:rsid w:val="008D52B1"/>
    <w:rsid w:val="008D5A0C"/>
    <w:rsid w:val="008D5A70"/>
    <w:rsid w:val="008D5AB8"/>
    <w:rsid w:val="008D5DB4"/>
    <w:rsid w:val="008D5EBF"/>
    <w:rsid w:val="008D62A2"/>
    <w:rsid w:val="008D66D0"/>
    <w:rsid w:val="008D6984"/>
    <w:rsid w:val="008D6A85"/>
    <w:rsid w:val="008D6B5B"/>
    <w:rsid w:val="008D6DD8"/>
    <w:rsid w:val="008D6E7F"/>
    <w:rsid w:val="008D6ECA"/>
    <w:rsid w:val="008D73FE"/>
    <w:rsid w:val="008D7D43"/>
    <w:rsid w:val="008E0471"/>
    <w:rsid w:val="008E0A3F"/>
    <w:rsid w:val="008E0AFE"/>
    <w:rsid w:val="008E13B9"/>
    <w:rsid w:val="008E1907"/>
    <w:rsid w:val="008E1922"/>
    <w:rsid w:val="008E1A9E"/>
    <w:rsid w:val="008E1B37"/>
    <w:rsid w:val="008E1CF4"/>
    <w:rsid w:val="008E1F8B"/>
    <w:rsid w:val="008E2591"/>
    <w:rsid w:val="008E25EF"/>
    <w:rsid w:val="008E2681"/>
    <w:rsid w:val="008E328F"/>
    <w:rsid w:val="008E3584"/>
    <w:rsid w:val="008E36E9"/>
    <w:rsid w:val="008E37E7"/>
    <w:rsid w:val="008E38EC"/>
    <w:rsid w:val="008E3BEA"/>
    <w:rsid w:val="008E3CD4"/>
    <w:rsid w:val="008E3D65"/>
    <w:rsid w:val="008E40B7"/>
    <w:rsid w:val="008E4246"/>
    <w:rsid w:val="008E4927"/>
    <w:rsid w:val="008E5DBB"/>
    <w:rsid w:val="008E6103"/>
    <w:rsid w:val="008E6171"/>
    <w:rsid w:val="008E61CA"/>
    <w:rsid w:val="008E621A"/>
    <w:rsid w:val="008E7028"/>
    <w:rsid w:val="008E7178"/>
    <w:rsid w:val="008E71DC"/>
    <w:rsid w:val="008E7252"/>
    <w:rsid w:val="008E7410"/>
    <w:rsid w:val="008E75FD"/>
    <w:rsid w:val="008E772E"/>
    <w:rsid w:val="008E7971"/>
    <w:rsid w:val="008E7BD2"/>
    <w:rsid w:val="008E7D82"/>
    <w:rsid w:val="008F00AC"/>
    <w:rsid w:val="008F0965"/>
    <w:rsid w:val="008F0F79"/>
    <w:rsid w:val="008F12DC"/>
    <w:rsid w:val="008F183E"/>
    <w:rsid w:val="008F2194"/>
    <w:rsid w:val="008F24F2"/>
    <w:rsid w:val="008F2540"/>
    <w:rsid w:val="008F2CE2"/>
    <w:rsid w:val="008F2FAA"/>
    <w:rsid w:val="008F3045"/>
    <w:rsid w:val="008F3362"/>
    <w:rsid w:val="008F355A"/>
    <w:rsid w:val="008F35F7"/>
    <w:rsid w:val="008F37EA"/>
    <w:rsid w:val="008F4057"/>
    <w:rsid w:val="008F4180"/>
    <w:rsid w:val="008F4A22"/>
    <w:rsid w:val="008F4D92"/>
    <w:rsid w:val="008F4F42"/>
    <w:rsid w:val="008F54D9"/>
    <w:rsid w:val="008F5512"/>
    <w:rsid w:val="008F5827"/>
    <w:rsid w:val="008F5956"/>
    <w:rsid w:val="008F6BB7"/>
    <w:rsid w:val="008F720B"/>
    <w:rsid w:val="008F720D"/>
    <w:rsid w:val="008F74F5"/>
    <w:rsid w:val="008F7603"/>
    <w:rsid w:val="008F7ABB"/>
    <w:rsid w:val="008F7D69"/>
    <w:rsid w:val="008F7DA8"/>
    <w:rsid w:val="008F7E7F"/>
    <w:rsid w:val="00900BBF"/>
    <w:rsid w:val="009012E1"/>
    <w:rsid w:val="00901428"/>
    <w:rsid w:val="009018F6"/>
    <w:rsid w:val="00901AE3"/>
    <w:rsid w:val="00901CCC"/>
    <w:rsid w:val="00901D32"/>
    <w:rsid w:val="00902040"/>
    <w:rsid w:val="00902445"/>
    <w:rsid w:val="00902885"/>
    <w:rsid w:val="0090293C"/>
    <w:rsid w:val="0090326C"/>
    <w:rsid w:val="009034E4"/>
    <w:rsid w:val="0090366B"/>
    <w:rsid w:val="00903919"/>
    <w:rsid w:val="00903985"/>
    <w:rsid w:val="0090424B"/>
    <w:rsid w:val="0090427E"/>
    <w:rsid w:val="009042CB"/>
    <w:rsid w:val="009043C0"/>
    <w:rsid w:val="00904B8B"/>
    <w:rsid w:val="00904D64"/>
    <w:rsid w:val="00904DEA"/>
    <w:rsid w:val="00905058"/>
    <w:rsid w:val="009052A1"/>
    <w:rsid w:val="009052AE"/>
    <w:rsid w:val="009057A8"/>
    <w:rsid w:val="00905DD9"/>
    <w:rsid w:val="00905FF5"/>
    <w:rsid w:val="00906304"/>
    <w:rsid w:val="00907061"/>
    <w:rsid w:val="00907063"/>
    <w:rsid w:val="009070CE"/>
    <w:rsid w:val="009077C3"/>
    <w:rsid w:val="00907A3B"/>
    <w:rsid w:val="00907E96"/>
    <w:rsid w:val="00910641"/>
    <w:rsid w:val="00910887"/>
    <w:rsid w:val="00910DF6"/>
    <w:rsid w:val="00910F8A"/>
    <w:rsid w:val="00911186"/>
    <w:rsid w:val="009113AB"/>
    <w:rsid w:val="0091148E"/>
    <w:rsid w:val="00911733"/>
    <w:rsid w:val="00911969"/>
    <w:rsid w:val="00911B99"/>
    <w:rsid w:val="00911EA4"/>
    <w:rsid w:val="0091216D"/>
    <w:rsid w:val="00912237"/>
    <w:rsid w:val="0091231F"/>
    <w:rsid w:val="0091235A"/>
    <w:rsid w:val="009124CD"/>
    <w:rsid w:val="0091291E"/>
    <w:rsid w:val="0091317F"/>
    <w:rsid w:val="00913517"/>
    <w:rsid w:val="00913A6B"/>
    <w:rsid w:val="00913AE3"/>
    <w:rsid w:val="00914021"/>
    <w:rsid w:val="009140F0"/>
    <w:rsid w:val="0091487D"/>
    <w:rsid w:val="0091492F"/>
    <w:rsid w:val="00914CD0"/>
    <w:rsid w:val="00914CD7"/>
    <w:rsid w:val="00914F3F"/>
    <w:rsid w:val="00914FB9"/>
    <w:rsid w:val="0091588B"/>
    <w:rsid w:val="00915B51"/>
    <w:rsid w:val="00915BF0"/>
    <w:rsid w:val="00916B50"/>
    <w:rsid w:val="00916F30"/>
    <w:rsid w:val="009170AE"/>
    <w:rsid w:val="0091712A"/>
    <w:rsid w:val="009171B7"/>
    <w:rsid w:val="009174B6"/>
    <w:rsid w:val="009176ED"/>
    <w:rsid w:val="00917767"/>
    <w:rsid w:val="00917E3E"/>
    <w:rsid w:val="00920031"/>
    <w:rsid w:val="00920072"/>
    <w:rsid w:val="0092016A"/>
    <w:rsid w:val="009204BB"/>
    <w:rsid w:val="009209F8"/>
    <w:rsid w:val="009211F8"/>
    <w:rsid w:val="00921721"/>
    <w:rsid w:val="00921C76"/>
    <w:rsid w:val="00922238"/>
    <w:rsid w:val="00922250"/>
    <w:rsid w:val="0092290D"/>
    <w:rsid w:val="009229FE"/>
    <w:rsid w:val="009230EB"/>
    <w:rsid w:val="0092331C"/>
    <w:rsid w:val="009234B8"/>
    <w:rsid w:val="00923843"/>
    <w:rsid w:val="009238AA"/>
    <w:rsid w:val="009238B4"/>
    <w:rsid w:val="00923955"/>
    <w:rsid w:val="009239BB"/>
    <w:rsid w:val="00923B31"/>
    <w:rsid w:val="00923E3C"/>
    <w:rsid w:val="0092439B"/>
    <w:rsid w:val="00924850"/>
    <w:rsid w:val="00924894"/>
    <w:rsid w:val="00924B52"/>
    <w:rsid w:val="0092503F"/>
    <w:rsid w:val="009254DC"/>
    <w:rsid w:val="00925E5E"/>
    <w:rsid w:val="00926017"/>
    <w:rsid w:val="0092689E"/>
    <w:rsid w:val="00926D27"/>
    <w:rsid w:val="00926FD3"/>
    <w:rsid w:val="00927130"/>
    <w:rsid w:val="00927234"/>
    <w:rsid w:val="00927272"/>
    <w:rsid w:val="0092732C"/>
    <w:rsid w:val="0092736A"/>
    <w:rsid w:val="0092764B"/>
    <w:rsid w:val="00927EF6"/>
    <w:rsid w:val="009304C4"/>
    <w:rsid w:val="009310A2"/>
    <w:rsid w:val="0093110F"/>
    <w:rsid w:val="00931674"/>
    <w:rsid w:val="0093216E"/>
    <w:rsid w:val="00932E77"/>
    <w:rsid w:val="00932EB9"/>
    <w:rsid w:val="00933059"/>
    <w:rsid w:val="009332ED"/>
    <w:rsid w:val="009337F9"/>
    <w:rsid w:val="009338D3"/>
    <w:rsid w:val="00933E36"/>
    <w:rsid w:val="00933F26"/>
    <w:rsid w:val="0093474C"/>
    <w:rsid w:val="00934774"/>
    <w:rsid w:val="009349EC"/>
    <w:rsid w:val="00934DE5"/>
    <w:rsid w:val="00935225"/>
    <w:rsid w:val="00935248"/>
    <w:rsid w:val="009352B6"/>
    <w:rsid w:val="009357E4"/>
    <w:rsid w:val="00935CCA"/>
    <w:rsid w:val="009361AF"/>
    <w:rsid w:val="0093635D"/>
    <w:rsid w:val="009366EB"/>
    <w:rsid w:val="00936BF0"/>
    <w:rsid w:val="00936D45"/>
    <w:rsid w:val="00936EFD"/>
    <w:rsid w:val="009370D3"/>
    <w:rsid w:val="00937260"/>
    <w:rsid w:val="009373DD"/>
    <w:rsid w:val="009374B5"/>
    <w:rsid w:val="00937811"/>
    <w:rsid w:val="00937AA6"/>
    <w:rsid w:val="00937B1B"/>
    <w:rsid w:val="00937B61"/>
    <w:rsid w:val="009402F8"/>
    <w:rsid w:val="009403DB"/>
    <w:rsid w:val="009406A0"/>
    <w:rsid w:val="00940AFA"/>
    <w:rsid w:val="00940E14"/>
    <w:rsid w:val="00941895"/>
    <w:rsid w:val="00941C1D"/>
    <w:rsid w:val="009421CF"/>
    <w:rsid w:val="009426A7"/>
    <w:rsid w:val="00942D90"/>
    <w:rsid w:val="009434C2"/>
    <w:rsid w:val="009434C8"/>
    <w:rsid w:val="00943C0B"/>
    <w:rsid w:val="00943D16"/>
    <w:rsid w:val="00944360"/>
    <w:rsid w:val="009447A1"/>
    <w:rsid w:val="00944809"/>
    <w:rsid w:val="009448A7"/>
    <w:rsid w:val="00944CAB"/>
    <w:rsid w:val="009452C3"/>
    <w:rsid w:val="00945318"/>
    <w:rsid w:val="00945683"/>
    <w:rsid w:val="00945AEF"/>
    <w:rsid w:val="00945C6D"/>
    <w:rsid w:val="00946CC0"/>
    <w:rsid w:val="00946D30"/>
    <w:rsid w:val="00946EB4"/>
    <w:rsid w:val="00947005"/>
    <w:rsid w:val="009472CD"/>
    <w:rsid w:val="009472DC"/>
    <w:rsid w:val="00947669"/>
    <w:rsid w:val="00947845"/>
    <w:rsid w:val="0095080C"/>
    <w:rsid w:val="009508AE"/>
    <w:rsid w:val="00950F49"/>
    <w:rsid w:val="00951387"/>
    <w:rsid w:val="0095141F"/>
    <w:rsid w:val="009519BC"/>
    <w:rsid w:val="0095211E"/>
    <w:rsid w:val="0095296F"/>
    <w:rsid w:val="00952A4F"/>
    <w:rsid w:val="00952B29"/>
    <w:rsid w:val="00952E18"/>
    <w:rsid w:val="00952F57"/>
    <w:rsid w:val="009534B8"/>
    <w:rsid w:val="0095388C"/>
    <w:rsid w:val="00953914"/>
    <w:rsid w:val="0095440D"/>
    <w:rsid w:val="00954484"/>
    <w:rsid w:val="00954CE1"/>
    <w:rsid w:val="00954F94"/>
    <w:rsid w:val="00955126"/>
    <w:rsid w:val="00955331"/>
    <w:rsid w:val="009556E0"/>
    <w:rsid w:val="009559DD"/>
    <w:rsid w:val="00955AAA"/>
    <w:rsid w:val="00955B77"/>
    <w:rsid w:val="00955BA8"/>
    <w:rsid w:val="00955D96"/>
    <w:rsid w:val="00955DA2"/>
    <w:rsid w:val="00955F5F"/>
    <w:rsid w:val="0095614B"/>
    <w:rsid w:val="00956161"/>
    <w:rsid w:val="009569F0"/>
    <w:rsid w:val="00956C7E"/>
    <w:rsid w:val="00956EF5"/>
    <w:rsid w:val="0095729E"/>
    <w:rsid w:val="00957877"/>
    <w:rsid w:val="00957A2B"/>
    <w:rsid w:val="00957DDD"/>
    <w:rsid w:val="00957E53"/>
    <w:rsid w:val="00957FB1"/>
    <w:rsid w:val="0096056E"/>
    <w:rsid w:val="009606B1"/>
    <w:rsid w:val="009606D9"/>
    <w:rsid w:val="00960AAE"/>
    <w:rsid w:val="00960B83"/>
    <w:rsid w:val="00960F07"/>
    <w:rsid w:val="00960FCB"/>
    <w:rsid w:val="0096131E"/>
    <w:rsid w:val="009614A5"/>
    <w:rsid w:val="009615EC"/>
    <w:rsid w:val="00962036"/>
    <w:rsid w:val="009623A2"/>
    <w:rsid w:val="0096294B"/>
    <w:rsid w:val="00962D43"/>
    <w:rsid w:val="00963374"/>
    <w:rsid w:val="009633AE"/>
    <w:rsid w:val="00963589"/>
    <w:rsid w:val="00963619"/>
    <w:rsid w:val="009636DB"/>
    <w:rsid w:val="00963AED"/>
    <w:rsid w:val="00963C27"/>
    <w:rsid w:val="00963CB9"/>
    <w:rsid w:val="00963F1A"/>
    <w:rsid w:val="00963FFA"/>
    <w:rsid w:val="0096402A"/>
    <w:rsid w:val="009641D0"/>
    <w:rsid w:val="00964247"/>
    <w:rsid w:val="0096434F"/>
    <w:rsid w:val="0096498F"/>
    <w:rsid w:val="00964993"/>
    <w:rsid w:val="00964A58"/>
    <w:rsid w:val="00965748"/>
    <w:rsid w:val="009658AF"/>
    <w:rsid w:val="00965A38"/>
    <w:rsid w:val="00965CCB"/>
    <w:rsid w:val="00965DC6"/>
    <w:rsid w:val="0096612E"/>
    <w:rsid w:val="00966259"/>
    <w:rsid w:val="00966A8F"/>
    <w:rsid w:val="00966BBA"/>
    <w:rsid w:val="00966FE1"/>
    <w:rsid w:val="0096709B"/>
    <w:rsid w:val="0096725C"/>
    <w:rsid w:val="009675D5"/>
    <w:rsid w:val="009679B8"/>
    <w:rsid w:val="00967BE2"/>
    <w:rsid w:val="00967EDC"/>
    <w:rsid w:val="00967FBE"/>
    <w:rsid w:val="0097005F"/>
    <w:rsid w:val="009702B5"/>
    <w:rsid w:val="00970B21"/>
    <w:rsid w:val="009713F4"/>
    <w:rsid w:val="00971712"/>
    <w:rsid w:val="00971736"/>
    <w:rsid w:val="00972106"/>
    <w:rsid w:val="009721C1"/>
    <w:rsid w:val="00972A39"/>
    <w:rsid w:val="00972AC5"/>
    <w:rsid w:val="00972D7E"/>
    <w:rsid w:val="0097362C"/>
    <w:rsid w:val="00973751"/>
    <w:rsid w:val="009737F2"/>
    <w:rsid w:val="00973B4E"/>
    <w:rsid w:val="00973E6B"/>
    <w:rsid w:val="009744DA"/>
    <w:rsid w:val="009745D8"/>
    <w:rsid w:val="00974607"/>
    <w:rsid w:val="00974620"/>
    <w:rsid w:val="009746E4"/>
    <w:rsid w:val="0097531E"/>
    <w:rsid w:val="009755F1"/>
    <w:rsid w:val="00975D7C"/>
    <w:rsid w:val="00975E78"/>
    <w:rsid w:val="0097659E"/>
    <w:rsid w:val="009765A9"/>
    <w:rsid w:val="009765DB"/>
    <w:rsid w:val="0097690C"/>
    <w:rsid w:val="00976F38"/>
    <w:rsid w:val="009773F3"/>
    <w:rsid w:val="0097773D"/>
    <w:rsid w:val="0097792F"/>
    <w:rsid w:val="009779AA"/>
    <w:rsid w:val="00977B1C"/>
    <w:rsid w:val="00977E39"/>
    <w:rsid w:val="00977F0A"/>
    <w:rsid w:val="009805A6"/>
    <w:rsid w:val="009809C1"/>
    <w:rsid w:val="00980A1A"/>
    <w:rsid w:val="00980FE2"/>
    <w:rsid w:val="00981386"/>
    <w:rsid w:val="009818D0"/>
    <w:rsid w:val="00981939"/>
    <w:rsid w:val="00981E1E"/>
    <w:rsid w:val="00981E44"/>
    <w:rsid w:val="00982081"/>
    <w:rsid w:val="009822C4"/>
    <w:rsid w:val="0098280A"/>
    <w:rsid w:val="00982B4C"/>
    <w:rsid w:val="00982E38"/>
    <w:rsid w:val="00982EEF"/>
    <w:rsid w:val="00983350"/>
    <w:rsid w:val="00983422"/>
    <w:rsid w:val="00983FBE"/>
    <w:rsid w:val="00984748"/>
    <w:rsid w:val="0098540A"/>
    <w:rsid w:val="00985A53"/>
    <w:rsid w:val="00985BA4"/>
    <w:rsid w:val="00986094"/>
    <w:rsid w:val="00986B36"/>
    <w:rsid w:val="009871BF"/>
    <w:rsid w:val="009875BB"/>
    <w:rsid w:val="009877C4"/>
    <w:rsid w:val="00987B3E"/>
    <w:rsid w:val="00987C5C"/>
    <w:rsid w:val="009901AC"/>
    <w:rsid w:val="00990343"/>
    <w:rsid w:val="00990E39"/>
    <w:rsid w:val="009910EB"/>
    <w:rsid w:val="00991AD3"/>
    <w:rsid w:val="00991D54"/>
    <w:rsid w:val="00991FEE"/>
    <w:rsid w:val="0099250A"/>
    <w:rsid w:val="009927DF"/>
    <w:rsid w:val="00992B6E"/>
    <w:rsid w:val="00993070"/>
    <w:rsid w:val="009933AE"/>
    <w:rsid w:val="0099377D"/>
    <w:rsid w:val="00993B1D"/>
    <w:rsid w:val="00993CB0"/>
    <w:rsid w:val="009940AF"/>
    <w:rsid w:val="00994495"/>
    <w:rsid w:val="00994AB7"/>
    <w:rsid w:val="00994C1E"/>
    <w:rsid w:val="00994D43"/>
    <w:rsid w:val="00994E46"/>
    <w:rsid w:val="00995088"/>
    <w:rsid w:val="009955AE"/>
    <w:rsid w:val="0099575D"/>
    <w:rsid w:val="009957C1"/>
    <w:rsid w:val="009959EA"/>
    <w:rsid w:val="00995B60"/>
    <w:rsid w:val="00995C1B"/>
    <w:rsid w:val="00995C94"/>
    <w:rsid w:val="00995F48"/>
    <w:rsid w:val="0099609A"/>
    <w:rsid w:val="00996495"/>
    <w:rsid w:val="00996507"/>
    <w:rsid w:val="00996695"/>
    <w:rsid w:val="009967B8"/>
    <w:rsid w:val="0099681B"/>
    <w:rsid w:val="00996868"/>
    <w:rsid w:val="00996918"/>
    <w:rsid w:val="0099696A"/>
    <w:rsid w:val="00996ABD"/>
    <w:rsid w:val="00996ADA"/>
    <w:rsid w:val="00997576"/>
    <w:rsid w:val="009979A6"/>
    <w:rsid w:val="00997C24"/>
    <w:rsid w:val="00997C6C"/>
    <w:rsid w:val="00997C86"/>
    <w:rsid w:val="00997CDD"/>
    <w:rsid w:val="00997EF0"/>
    <w:rsid w:val="009A05EC"/>
    <w:rsid w:val="009A0A2C"/>
    <w:rsid w:val="009A0E3B"/>
    <w:rsid w:val="009A1A93"/>
    <w:rsid w:val="009A1FA2"/>
    <w:rsid w:val="009A2367"/>
    <w:rsid w:val="009A2545"/>
    <w:rsid w:val="009A293D"/>
    <w:rsid w:val="009A2B7B"/>
    <w:rsid w:val="009A2F32"/>
    <w:rsid w:val="009A30AC"/>
    <w:rsid w:val="009A34E0"/>
    <w:rsid w:val="009A3554"/>
    <w:rsid w:val="009A35DF"/>
    <w:rsid w:val="009A3DF6"/>
    <w:rsid w:val="009A411D"/>
    <w:rsid w:val="009A44E4"/>
    <w:rsid w:val="009A477B"/>
    <w:rsid w:val="009A4842"/>
    <w:rsid w:val="009A4CDF"/>
    <w:rsid w:val="009A4DB1"/>
    <w:rsid w:val="009A5356"/>
    <w:rsid w:val="009A54BD"/>
    <w:rsid w:val="009A5501"/>
    <w:rsid w:val="009A55BE"/>
    <w:rsid w:val="009A59A6"/>
    <w:rsid w:val="009A59C8"/>
    <w:rsid w:val="009A5B7E"/>
    <w:rsid w:val="009A69DA"/>
    <w:rsid w:val="009A6AC4"/>
    <w:rsid w:val="009A6DC5"/>
    <w:rsid w:val="009A6F7C"/>
    <w:rsid w:val="009A7325"/>
    <w:rsid w:val="009A741C"/>
    <w:rsid w:val="009A77A1"/>
    <w:rsid w:val="009A7CAC"/>
    <w:rsid w:val="009A7E6F"/>
    <w:rsid w:val="009A7FE7"/>
    <w:rsid w:val="009B018F"/>
    <w:rsid w:val="009B026C"/>
    <w:rsid w:val="009B0295"/>
    <w:rsid w:val="009B0748"/>
    <w:rsid w:val="009B0794"/>
    <w:rsid w:val="009B079C"/>
    <w:rsid w:val="009B0A9F"/>
    <w:rsid w:val="009B0AAD"/>
    <w:rsid w:val="009B0C09"/>
    <w:rsid w:val="009B0F0A"/>
    <w:rsid w:val="009B1289"/>
    <w:rsid w:val="009B13DA"/>
    <w:rsid w:val="009B151A"/>
    <w:rsid w:val="009B161B"/>
    <w:rsid w:val="009B17B7"/>
    <w:rsid w:val="009B197A"/>
    <w:rsid w:val="009B1BCA"/>
    <w:rsid w:val="009B21DF"/>
    <w:rsid w:val="009B2654"/>
    <w:rsid w:val="009B2850"/>
    <w:rsid w:val="009B2A32"/>
    <w:rsid w:val="009B2DBA"/>
    <w:rsid w:val="009B386D"/>
    <w:rsid w:val="009B38AE"/>
    <w:rsid w:val="009B3913"/>
    <w:rsid w:val="009B4569"/>
    <w:rsid w:val="009B473E"/>
    <w:rsid w:val="009B48DA"/>
    <w:rsid w:val="009B4E62"/>
    <w:rsid w:val="009B51F0"/>
    <w:rsid w:val="009B52E9"/>
    <w:rsid w:val="009B5532"/>
    <w:rsid w:val="009B5545"/>
    <w:rsid w:val="009B5793"/>
    <w:rsid w:val="009B59F4"/>
    <w:rsid w:val="009B6284"/>
    <w:rsid w:val="009B64DA"/>
    <w:rsid w:val="009B6696"/>
    <w:rsid w:val="009B68A6"/>
    <w:rsid w:val="009B6D92"/>
    <w:rsid w:val="009B6E2F"/>
    <w:rsid w:val="009B720A"/>
    <w:rsid w:val="009B74B9"/>
    <w:rsid w:val="009B7603"/>
    <w:rsid w:val="009B76B6"/>
    <w:rsid w:val="009B7743"/>
    <w:rsid w:val="009B7F8F"/>
    <w:rsid w:val="009C01A5"/>
    <w:rsid w:val="009C10B8"/>
    <w:rsid w:val="009C125E"/>
    <w:rsid w:val="009C1791"/>
    <w:rsid w:val="009C1BBA"/>
    <w:rsid w:val="009C1DA1"/>
    <w:rsid w:val="009C21C6"/>
    <w:rsid w:val="009C2231"/>
    <w:rsid w:val="009C246D"/>
    <w:rsid w:val="009C2491"/>
    <w:rsid w:val="009C2A92"/>
    <w:rsid w:val="009C2E3D"/>
    <w:rsid w:val="009C2FBD"/>
    <w:rsid w:val="009C36F5"/>
    <w:rsid w:val="009C39BD"/>
    <w:rsid w:val="009C3A70"/>
    <w:rsid w:val="009C3C5D"/>
    <w:rsid w:val="009C4002"/>
    <w:rsid w:val="009C4066"/>
    <w:rsid w:val="009C4152"/>
    <w:rsid w:val="009C429F"/>
    <w:rsid w:val="009C453C"/>
    <w:rsid w:val="009C455A"/>
    <w:rsid w:val="009C4B76"/>
    <w:rsid w:val="009C4C31"/>
    <w:rsid w:val="009C4D29"/>
    <w:rsid w:val="009C4DD5"/>
    <w:rsid w:val="009C4F9B"/>
    <w:rsid w:val="009C500C"/>
    <w:rsid w:val="009C50F3"/>
    <w:rsid w:val="009C5247"/>
    <w:rsid w:val="009C56DB"/>
    <w:rsid w:val="009C56FA"/>
    <w:rsid w:val="009C5B10"/>
    <w:rsid w:val="009C5B46"/>
    <w:rsid w:val="009C5BE6"/>
    <w:rsid w:val="009C5D33"/>
    <w:rsid w:val="009C5E0B"/>
    <w:rsid w:val="009C5F60"/>
    <w:rsid w:val="009C5FF3"/>
    <w:rsid w:val="009C6D1D"/>
    <w:rsid w:val="009C75AA"/>
    <w:rsid w:val="009C7639"/>
    <w:rsid w:val="009D0143"/>
    <w:rsid w:val="009D014A"/>
    <w:rsid w:val="009D0389"/>
    <w:rsid w:val="009D07EE"/>
    <w:rsid w:val="009D0B20"/>
    <w:rsid w:val="009D0BA9"/>
    <w:rsid w:val="009D0BB4"/>
    <w:rsid w:val="009D0E95"/>
    <w:rsid w:val="009D120F"/>
    <w:rsid w:val="009D143B"/>
    <w:rsid w:val="009D1477"/>
    <w:rsid w:val="009D1694"/>
    <w:rsid w:val="009D1B7A"/>
    <w:rsid w:val="009D1D77"/>
    <w:rsid w:val="009D20FC"/>
    <w:rsid w:val="009D21C8"/>
    <w:rsid w:val="009D2E1F"/>
    <w:rsid w:val="009D2EBC"/>
    <w:rsid w:val="009D3373"/>
    <w:rsid w:val="009D3386"/>
    <w:rsid w:val="009D35A6"/>
    <w:rsid w:val="009D3625"/>
    <w:rsid w:val="009D37B5"/>
    <w:rsid w:val="009D3B1D"/>
    <w:rsid w:val="009D3D55"/>
    <w:rsid w:val="009D437F"/>
    <w:rsid w:val="009D43FC"/>
    <w:rsid w:val="009D44C4"/>
    <w:rsid w:val="009D4553"/>
    <w:rsid w:val="009D4834"/>
    <w:rsid w:val="009D4AC7"/>
    <w:rsid w:val="009D4B4B"/>
    <w:rsid w:val="009D4C13"/>
    <w:rsid w:val="009D5128"/>
    <w:rsid w:val="009D5190"/>
    <w:rsid w:val="009D5904"/>
    <w:rsid w:val="009D6134"/>
    <w:rsid w:val="009D62C6"/>
    <w:rsid w:val="009D697C"/>
    <w:rsid w:val="009D6992"/>
    <w:rsid w:val="009D6FCC"/>
    <w:rsid w:val="009D7074"/>
    <w:rsid w:val="009D7115"/>
    <w:rsid w:val="009D74C7"/>
    <w:rsid w:val="009D7609"/>
    <w:rsid w:val="009D7718"/>
    <w:rsid w:val="009D7773"/>
    <w:rsid w:val="009D7A08"/>
    <w:rsid w:val="009D7E0D"/>
    <w:rsid w:val="009D7E39"/>
    <w:rsid w:val="009D7E6A"/>
    <w:rsid w:val="009D7F7B"/>
    <w:rsid w:val="009E01E8"/>
    <w:rsid w:val="009E049A"/>
    <w:rsid w:val="009E0507"/>
    <w:rsid w:val="009E0587"/>
    <w:rsid w:val="009E0D41"/>
    <w:rsid w:val="009E0F82"/>
    <w:rsid w:val="009E1041"/>
    <w:rsid w:val="009E1139"/>
    <w:rsid w:val="009E1CAF"/>
    <w:rsid w:val="009E1DB3"/>
    <w:rsid w:val="009E2029"/>
    <w:rsid w:val="009E2312"/>
    <w:rsid w:val="009E291E"/>
    <w:rsid w:val="009E2945"/>
    <w:rsid w:val="009E2A45"/>
    <w:rsid w:val="009E2CD8"/>
    <w:rsid w:val="009E2DCC"/>
    <w:rsid w:val="009E2DD3"/>
    <w:rsid w:val="009E2E63"/>
    <w:rsid w:val="009E323F"/>
    <w:rsid w:val="009E357B"/>
    <w:rsid w:val="009E3865"/>
    <w:rsid w:val="009E3885"/>
    <w:rsid w:val="009E4216"/>
    <w:rsid w:val="009E4739"/>
    <w:rsid w:val="009E49C7"/>
    <w:rsid w:val="009E4C32"/>
    <w:rsid w:val="009E50CF"/>
    <w:rsid w:val="009E55C5"/>
    <w:rsid w:val="009E55FF"/>
    <w:rsid w:val="009E577A"/>
    <w:rsid w:val="009E5A3D"/>
    <w:rsid w:val="009E6B74"/>
    <w:rsid w:val="009E6CCE"/>
    <w:rsid w:val="009E6D8E"/>
    <w:rsid w:val="009E6FDF"/>
    <w:rsid w:val="009E7100"/>
    <w:rsid w:val="009E72D1"/>
    <w:rsid w:val="009E7412"/>
    <w:rsid w:val="009E7C56"/>
    <w:rsid w:val="009E7E56"/>
    <w:rsid w:val="009F0290"/>
    <w:rsid w:val="009F0527"/>
    <w:rsid w:val="009F088C"/>
    <w:rsid w:val="009F0924"/>
    <w:rsid w:val="009F0E32"/>
    <w:rsid w:val="009F0F97"/>
    <w:rsid w:val="009F1193"/>
    <w:rsid w:val="009F121C"/>
    <w:rsid w:val="009F22F4"/>
    <w:rsid w:val="009F235C"/>
    <w:rsid w:val="009F29D0"/>
    <w:rsid w:val="009F2A6D"/>
    <w:rsid w:val="009F2A77"/>
    <w:rsid w:val="009F2AFC"/>
    <w:rsid w:val="009F2F5C"/>
    <w:rsid w:val="009F3264"/>
    <w:rsid w:val="009F3418"/>
    <w:rsid w:val="009F38A2"/>
    <w:rsid w:val="009F3D10"/>
    <w:rsid w:val="009F425A"/>
    <w:rsid w:val="009F427C"/>
    <w:rsid w:val="009F4322"/>
    <w:rsid w:val="009F432F"/>
    <w:rsid w:val="009F477A"/>
    <w:rsid w:val="009F4878"/>
    <w:rsid w:val="009F48F1"/>
    <w:rsid w:val="009F4971"/>
    <w:rsid w:val="009F4DD0"/>
    <w:rsid w:val="009F5379"/>
    <w:rsid w:val="009F53DE"/>
    <w:rsid w:val="009F5806"/>
    <w:rsid w:val="009F5CAB"/>
    <w:rsid w:val="009F5F52"/>
    <w:rsid w:val="009F65E5"/>
    <w:rsid w:val="009F660C"/>
    <w:rsid w:val="009F663F"/>
    <w:rsid w:val="009F6947"/>
    <w:rsid w:val="009F6A69"/>
    <w:rsid w:val="009F71F3"/>
    <w:rsid w:val="009F733E"/>
    <w:rsid w:val="009F76EB"/>
    <w:rsid w:val="009F7CCA"/>
    <w:rsid w:val="009F7DDA"/>
    <w:rsid w:val="009F7E16"/>
    <w:rsid w:val="00A00532"/>
    <w:rsid w:val="00A00584"/>
    <w:rsid w:val="00A00690"/>
    <w:rsid w:val="00A00840"/>
    <w:rsid w:val="00A011C3"/>
    <w:rsid w:val="00A0156F"/>
    <w:rsid w:val="00A01B49"/>
    <w:rsid w:val="00A02014"/>
    <w:rsid w:val="00A02096"/>
    <w:rsid w:val="00A022D9"/>
    <w:rsid w:val="00A0248A"/>
    <w:rsid w:val="00A0248D"/>
    <w:rsid w:val="00A028C6"/>
    <w:rsid w:val="00A028CD"/>
    <w:rsid w:val="00A02CC2"/>
    <w:rsid w:val="00A034C2"/>
    <w:rsid w:val="00A036BE"/>
    <w:rsid w:val="00A03882"/>
    <w:rsid w:val="00A03E23"/>
    <w:rsid w:val="00A03FE8"/>
    <w:rsid w:val="00A04445"/>
    <w:rsid w:val="00A045DB"/>
    <w:rsid w:val="00A046F3"/>
    <w:rsid w:val="00A047D7"/>
    <w:rsid w:val="00A050A3"/>
    <w:rsid w:val="00A054C0"/>
    <w:rsid w:val="00A0569B"/>
    <w:rsid w:val="00A057A1"/>
    <w:rsid w:val="00A05E3F"/>
    <w:rsid w:val="00A05E90"/>
    <w:rsid w:val="00A05F23"/>
    <w:rsid w:val="00A05FF1"/>
    <w:rsid w:val="00A0686B"/>
    <w:rsid w:val="00A072EF"/>
    <w:rsid w:val="00A07869"/>
    <w:rsid w:val="00A07946"/>
    <w:rsid w:val="00A07A85"/>
    <w:rsid w:val="00A101C5"/>
    <w:rsid w:val="00A101FC"/>
    <w:rsid w:val="00A104F7"/>
    <w:rsid w:val="00A108F0"/>
    <w:rsid w:val="00A10A29"/>
    <w:rsid w:val="00A10A69"/>
    <w:rsid w:val="00A10AE6"/>
    <w:rsid w:val="00A10AF6"/>
    <w:rsid w:val="00A10C29"/>
    <w:rsid w:val="00A10D3A"/>
    <w:rsid w:val="00A11518"/>
    <w:rsid w:val="00A115AA"/>
    <w:rsid w:val="00A11782"/>
    <w:rsid w:val="00A11B6F"/>
    <w:rsid w:val="00A11BC1"/>
    <w:rsid w:val="00A11C19"/>
    <w:rsid w:val="00A11CA7"/>
    <w:rsid w:val="00A11F0C"/>
    <w:rsid w:val="00A120D3"/>
    <w:rsid w:val="00A125E3"/>
    <w:rsid w:val="00A12AD2"/>
    <w:rsid w:val="00A12BDA"/>
    <w:rsid w:val="00A132C9"/>
    <w:rsid w:val="00A133A6"/>
    <w:rsid w:val="00A1364D"/>
    <w:rsid w:val="00A13B40"/>
    <w:rsid w:val="00A14469"/>
    <w:rsid w:val="00A14495"/>
    <w:rsid w:val="00A14665"/>
    <w:rsid w:val="00A1482E"/>
    <w:rsid w:val="00A14BAD"/>
    <w:rsid w:val="00A14D37"/>
    <w:rsid w:val="00A14DDE"/>
    <w:rsid w:val="00A14DEA"/>
    <w:rsid w:val="00A14FC1"/>
    <w:rsid w:val="00A14FDA"/>
    <w:rsid w:val="00A1506F"/>
    <w:rsid w:val="00A1544F"/>
    <w:rsid w:val="00A15511"/>
    <w:rsid w:val="00A15AB4"/>
    <w:rsid w:val="00A15E53"/>
    <w:rsid w:val="00A1609C"/>
    <w:rsid w:val="00A16B56"/>
    <w:rsid w:val="00A16F70"/>
    <w:rsid w:val="00A171BD"/>
    <w:rsid w:val="00A173C0"/>
    <w:rsid w:val="00A178EF"/>
    <w:rsid w:val="00A17C35"/>
    <w:rsid w:val="00A17C78"/>
    <w:rsid w:val="00A20331"/>
    <w:rsid w:val="00A20871"/>
    <w:rsid w:val="00A20B9D"/>
    <w:rsid w:val="00A20E74"/>
    <w:rsid w:val="00A212BE"/>
    <w:rsid w:val="00A2131E"/>
    <w:rsid w:val="00A21322"/>
    <w:rsid w:val="00A21494"/>
    <w:rsid w:val="00A22065"/>
    <w:rsid w:val="00A22359"/>
    <w:rsid w:val="00A2281D"/>
    <w:rsid w:val="00A229FE"/>
    <w:rsid w:val="00A23294"/>
    <w:rsid w:val="00A2331A"/>
    <w:rsid w:val="00A237DC"/>
    <w:rsid w:val="00A238FE"/>
    <w:rsid w:val="00A23B19"/>
    <w:rsid w:val="00A23FC0"/>
    <w:rsid w:val="00A24562"/>
    <w:rsid w:val="00A24779"/>
    <w:rsid w:val="00A247BE"/>
    <w:rsid w:val="00A24958"/>
    <w:rsid w:val="00A24A24"/>
    <w:rsid w:val="00A24C55"/>
    <w:rsid w:val="00A2508C"/>
    <w:rsid w:val="00A2549C"/>
    <w:rsid w:val="00A25787"/>
    <w:rsid w:val="00A25B8B"/>
    <w:rsid w:val="00A25DB5"/>
    <w:rsid w:val="00A25DBD"/>
    <w:rsid w:val="00A25EAE"/>
    <w:rsid w:val="00A26CDC"/>
    <w:rsid w:val="00A26FD2"/>
    <w:rsid w:val="00A2750E"/>
    <w:rsid w:val="00A2764A"/>
    <w:rsid w:val="00A27703"/>
    <w:rsid w:val="00A278E3"/>
    <w:rsid w:val="00A27919"/>
    <w:rsid w:val="00A2792D"/>
    <w:rsid w:val="00A27A15"/>
    <w:rsid w:val="00A27AD5"/>
    <w:rsid w:val="00A27D97"/>
    <w:rsid w:val="00A27EB8"/>
    <w:rsid w:val="00A30814"/>
    <w:rsid w:val="00A30B20"/>
    <w:rsid w:val="00A30D36"/>
    <w:rsid w:val="00A30EF2"/>
    <w:rsid w:val="00A31243"/>
    <w:rsid w:val="00A313E2"/>
    <w:rsid w:val="00A31467"/>
    <w:rsid w:val="00A3173D"/>
    <w:rsid w:val="00A317A0"/>
    <w:rsid w:val="00A31B0E"/>
    <w:rsid w:val="00A31C43"/>
    <w:rsid w:val="00A32158"/>
    <w:rsid w:val="00A322E1"/>
    <w:rsid w:val="00A3250B"/>
    <w:rsid w:val="00A32548"/>
    <w:rsid w:val="00A327B8"/>
    <w:rsid w:val="00A328F5"/>
    <w:rsid w:val="00A3297E"/>
    <w:rsid w:val="00A330BA"/>
    <w:rsid w:val="00A3316C"/>
    <w:rsid w:val="00A332B2"/>
    <w:rsid w:val="00A33399"/>
    <w:rsid w:val="00A33663"/>
    <w:rsid w:val="00A336C8"/>
    <w:rsid w:val="00A33DA2"/>
    <w:rsid w:val="00A33E62"/>
    <w:rsid w:val="00A34210"/>
    <w:rsid w:val="00A34827"/>
    <w:rsid w:val="00A348EF"/>
    <w:rsid w:val="00A3578B"/>
    <w:rsid w:val="00A35851"/>
    <w:rsid w:val="00A35D29"/>
    <w:rsid w:val="00A35F7F"/>
    <w:rsid w:val="00A360C7"/>
    <w:rsid w:val="00A362E8"/>
    <w:rsid w:val="00A36410"/>
    <w:rsid w:val="00A365E2"/>
    <w:rsid w:val="00A36DE6"/>
    <w:rsid w:val="00A36F48"/>
    <w:rsid w:val="00A3708E"/>
    <w:rsid w:val="00A373A4"/>
    <w:rsid w:val="00A37615"/>
    <w:rsid w:val="00A37670"/>
    <w:rsid w:val="00A3792B"/>
    <w:rsid w:val="00A37DA6"/>
    <w:rsid w:val="00A40225"/>
    <w:rsid w:val="00A405A5"/>
    <w:rsid w:val="00A406AB"/>
    <w:rsid w:val="00A40E53"/>
    <w:rsid w:val="00A40E64"/>
    <w:rsid w:val="00A41324"/>
    <w:rsid w:val="00A4154D"/>
    <w:rsid w:val="00A41595"/>
    <w:rsid w:val="00A41632"/>
    <w:rsid w:val="00A416B8"/>
    <w:rsid w:val="00A41925"/>
    <w:rsid w:val="00A41C91"/>
    <w:rsid w:val="00A42727"/>
    <w:rsid w:val="00A427BB"/>
    <w:rsid w:val="00A42957"/>
    <w:rsid w:val="00A42989"/>
    <w:rsid w:val="00A42A44"/>
    <w:rsid w:val="00A42E55"/>
    <w:rsid w:val="00A4307C"/>
    <w:rsid w:val="00A435BB"/>
    <w:rsid w:val="00A43D9A"/>
    <w:rsid w:val="00A44014"/>
    <w:rsid w:val="00A4410A"/>
    <w:rsid w:val="00A4413A"/>
    <w:rsid w:val="00A4419C"/>
    <w:rsid w:val="00A44249"/>
    <w:rsid w:val="00A44743"/>
    <w:rsid w:val="00A447FF"/>
    <w:rsid w:val="00A44DC3"/>
    <w:rsid w:val="00A44EE3"/>
    <w:rsid w:val="00A44F39"/>
    <w:rsid w:val="00A44FE7"/>
    <w:rsid w:val="00A44FF5"/>
    <w:rsid w:val="00A4516C"/>
    <w:rsid w:val="00A45234"/>
    <w:rsid w:val="00A45CD8"/>
    <w:rsid w:val="00A45D1F"/>
    <w:rsid w:val="00A45E73"/>
    <w:rsid w:val="00A4642A"/>
    <w:rsid w:val="00A46691"/>
    <w:rsid w:val="00A466D6"/>
    <w:rsid w:val="00A4684F"/>
    <w:rsid w:val="00A46AD9"/>
    <w:rsid w:val="00A46EDF"/>
    <w:rsid w:val="00A47008"/>
    <w:rsid w:val="00A47803"/>
    <w:rsid w:val="00A47A8B"/>
    <w:rsid w:val="00A50088"/>
    <w:rsid w:val="00A500B9"/>
    <w:rsid w:val="00A500C0"/>
    <w:rsid w:val="00A501F5"/>
    <w:rsid w:val="00A50574"/>
    <w:rsid w:val="00A50753"/>
    <w:rsid w:val="00A50D30"/>
    <w:rsid w:val="00A50FAA"/>
    <w:rsid w:val="00A5140E"/>
    <w:rsid w:val="00A51438"/>
    <w:rsid w:val="00A515EF"/>
    <w:rsid w:val="00A5191C"/>
    <w:rsid w:val="00A524B7"/>
    <w:rsid w:val="00A526EE"/>
    <w:rsid w:val="00A5297F"/>
    <w:rsid w:val="00A53749"/>
    <w:rsid w:val="00A538B5"/>
    <w:rsid w:val="00A5390A"/>
    <w:rsid w:val="00A53DE2"/>
    <w:rsid w:val="00A53E43"/>
    <w:rsid w:val="00A542F9"/>
    <w:rsid w:val="00A54310"/>
    <w:rsid w:val="00A54659"/>
    <w:rsid w:val="00A54A90"/>
    <w:rsid w:val="00A54AC1"/>
    <w:rsid w:val="00A55338"/>
    <w:rsid w:val="00A558A5"/>
    <w:rsid w:val="00A55918"/>
    <w:rsid w:val="00A5596D"/>
    <w:rsid w:val="00A55A6B"/>
    <w:rsid w:val="00A56513"/>
    <w:rsid w:val="00A568A5"/>
    <w:rsid w:val="00A56C80"/>
    <w:rsid w:val="00A56E6B"/>
    <w:rsid w:val="00A57059"/>
    <w:rsid w:val="00A57328"/>
    <w:rsid w:val="00A5745D"/>
    <w:rsid w:val="00A57D11"/>
    <w:rsid w:val="00A57DD2"/>
    <w:rsid w:val="00A57E83"/>
    <w:rsid w:val="00A57E8A"/>
    <w:rsid w:val="00A603C5"/>
    <w:rsid w:val="00A6060B"/>
    <w:rsid w:val="00A606FD"/>
    <w:rsid w:val="00A60813"/>
    <w:rsid w:val="00A61AC6"/>
    <w:rsid w:val="00A61BAD"/>
    <w:rsid w:val="00A61E8E"/>
    <w:rsid w:val="00A626CD"/>
    <w:rsid w:val="00A6275E"/>
    <w:rsid w:val="00A627DD"/>
    <w:rsid w:val="00A62800"/>
    <w:rsid w:val="00A6380E"/>
    <w:rsid w:val="00A638B3"/>
    <w:rsid w:val="00A6394B"/>
    <w:rsid w:val="00A63C95"/>
    <w:rsid w:val="00A63D1A"/>
    <w:rsid w:val="00A63EC0"/>
    <w:rsid w:val="00A63F5E"/>
    <w:rsid w:val="00A64704"/>
    <w:rsid w:val="00A64939"/>
    <w:rsid w:val="00A64BD6"/>
    <w:rsid w:val="00A64E67"/>
    <w:rsid w:val="00A65120"/>
    <w:rsid w:val="00A65234"/>
    <w:rsid w:val="00A6542B"/>
    <w:rsid w:val="00A65997"/>
    <w:rsid w:val="00A66A9A"/>
    <w:rsid w:val="00A66C9C"/>
    <w:rsid w:val="00A67010"/>
    <w:rsid w:val="00A67116"/>
    <w:rsid w:val="00A67515"/>
    <w:rsid w:val="00A67653"/>
    <w:rsid w:val="00A677DD"/>
    <w:rsid w:val="00A70434"/>
    <w:rsid w:val="00A7080D"/>
    <w:rsid w:val="00A709F1"/>
    <w:rsid w:val="00A70CBA"/>
    <w:rsid w:val="00A70CF1"/>
    <w:rsid w:val="00A7101C"/>
    <w:rsid w:val="00A71398"/>
    <w:rsid w:val="00A71435"/>
    <w:rsid w:val="00A715CB"/>
    <w:rsid w:val="00A71AFF"/>
    <w:rsid w:val="00A720C5"/>
    <w:rsid w:val="00A72424"/>
    <w:rsid w:val="00A724F3"/>
    <w:rsid w:val="00A72584"/>
    <w:rsid w:val="00A725A2"/>
    <w:rsid w:val="00A726A1"/>
    <w:rsid w:val="00A7272E"/>
    <w:rsid w:val="00A72972"/>
    <w:rsid w:val="00A7318E"/>
    <w:rsid w:val="00A733B3"/>
    <w:rsid w:val="00A7349F"/>
    <w:rsid w:val="00A73791"/>
    <w:rsid w:val="00A73923"/>
    <w:rsid w:val="00A73D57"/>
    <w:rsid w:val="00A744BF"/>
    <w:rsid w:val="00A74E4C"/>
    <w:rsid w:val="00A752C3"/>
    <w:rsid w:val="00A75891"/>
    <w:rsid w:val="00A75AA1"/>
    <w:rsid w:val="00A75C79"/>
    <w:rsid w:val="00A75C80"/>
    <w:rsid w:val="00A76702"/>
    <w:rsid w:val="00A7683B"/>
    <w:rsid w:val="00A7689F"/>
    <w:rsid w:val="00A77112"/>
    <w:rsid w:val="00A77467"/>
    <w:rsid w:val="00A776E7"/>
    <w:rsid w:val="00A77946"/>
    <w:rsid w:val="00A80DA8"/>
    <w:rsid w:val="00A810CD"/>
    <w:rsid w:val="00A81152"/>
    <w:rsid w:val="00A816F6"/>
    <w:rsid w:val="00A81EC8"/>
    <w:rsid w:val="00A82197"/>
    <w:rsid w:val="00A823DE"/>
    <w:rsid w:val="00A82659"/>
    <w:rsid w:val="00A829A4"/>
    <w:rsid w:val="00A82E38"/>
    <w:rsid w:val="00A82E65"/>
    <w:rsid w:val="00A8393D"/>
    <w:rsid w:val="00A83D28"/>
    <w:rsid w:val="00A83EEA"/>
    <w:rsid w:val="00A84113"/>
    <w:rsid w:val="00A84547"/>
    <w:rsid w:val="00A84552"/>
    <w:rsid w:val="00A845B1"/>
    <w:rsid w:val="00A847C6"/>
    <w:rsid w:val="00A85404"/>
    <w:rsid w:val="00A85506"/>
    <w:rsid w:val="00A856D0"/>
    <w:rsid w:val="00A8599F"/>
    <w:rsid w:val="00A859C8"/>
    <w:rsid w:val="00A85AB7"/>
    <w:rsid w:val="00A85ACA"/>
    <w:rsid w:val="00A85AF8"/>
    <w:rsid w:val="00A85E71"/>
    <w:rsid w:val="00A86045"/>
    <w:rsid w:val="00A86790"/>
    <w:rsid w:val="00A868D4"/>
    <w:rsid w:val="00A86B71"/>
    <w:rsid w:val="00A86BDF"/>
    <w:rsid w:val="00A86D77"/>
    <w:rsid w:val="00A86E69"/>
    <w:rsid w:val="00A870BF"/>
    <w:rsid w:val="00A871F5"/>
    <w:rsid w:val="00A87B99"/>
    <w:rsid w:val="00A87C7A"/>
    <w:rsid w:val="00A90347"/>
    <w:rsid w:val="00A9044C"/>
    <w:rsid w:val="00A905E4"/>
    <w:rsid w:val="00A9069B"/>
    <w:rsid w:val="00A90804"/>
    <w:rsid w:val="00A90B96"/>
    <w:rsid w:val="00A90EB9"/>
    <w:rsid w:val="00A90EC7"/>
    <w:rsid w:val="00A90F2E"/>
    <w:rsid w:val="00A91865"/>
    <w:rsid w:val="00A91B6B"/>
    <w:rsid w:val="00A92032"/>
    <w:rsid w:val="00A92123"/>
    <w:rsid w:val="00A92410"/>
    <w:rsid w:val="00A92766"/>
    <w:rsid w:val="00A9295D"/>
    <w:rsid w:val="00A92CA8"/>
    <w:rsid w:val="00A92E16"/>
    <w:rsid w:val="00A92E1F"/>
    <w:rsid w:val="00A93065"/>
    <w:rsid w:val="00A936A1"/>
    <w:rsid w:val="00A939F8"/>
    <w:rsid w:val="00A93BD9"/>
    <w:rsid w:val="00A940AB"/>
    <w:rsid w:val="00A94249"/>
    <w:rsid w:val="00A943CE"/>
    <w:rsid w:val="00A946D6"/>
    <w:rsid w:val="00A94C4E"/>
    <w:rsid w:val="00A94CBE"/>
    <w:rsid w:val="00A94EA6"/>
    <w:rsid w:val="00A9531F"/>
    <w:rsid w:val="00A9534A"/>
    <w:rsid w:val="00A95615"/>
    <w:rsid w:val="00A95865"/>
    <w:rsid w:val="00A958AC"/>
    <w:rsid w:val="00A9592B"/>
    <w:rsid w:val="00A95BC0"/>
    <w:rsid w:val="00A95E2F"/>
    <w:rsid w:val="00A96391"/>
    <w:rsid w:val="00A96564"/>
    <w:rsid w:val="00A96A9B"/>
    <w:rsid w:val="00A96CFC"/>
    <w:rsid w:val="00A96DB5"/>
    <w:rsid w:val="00A96F67"/>
    <w:rsid w:val="00A9734C"/>
    <w:rsid w:val="00A976F6"/>
    <w:rsid w:val="00A97B09"/>
    <w:rsid w:val="00AA042A"/>
    <w:rsid w:val="00AA0569"/>
    <w:rsid w:val="00AA066C"/>
    <w:rsid w:val="00AA08C6"/>
    <w:rsid w:val="00AA0CA4"/>
    <w:rsid w:val="00AA11D6"/>
    <w:rsid w:val="00AA14EC"/>
    <w:rsid w:val="00AA16FF"/>
    <w:rsid w:val="00AA17B7"/>
    <w:rsid w:val="00AA1E45"/>
    <w:rsid w:val="00AA1FEF"/>
    <w:rsid w:val="00AA2A6F"/>
    <w:rsid w:val="00AA2C3A"/>
    <w:rsid w:val="00AA2E02"/>
    <w:rsid w:val="00AA2E84"/>
    <w:rsid w:val="00AA2F39"/>
    <w:rsid w:val="00AA3961"/>
    <w:rsid w:val="00AA3B82"/>
    <w:rsid w:val="00AA480C"/>
    <w:rsid w:val="00AA4FB5"/>
    <w:rsid w:val="00AA53CC"/>
    <w:rsid w:val="00AA5429"/>
    <w:rsid w:val="00AA56B1"/>
    <w:rsid w:val="00AA5CF2"/>
    <w:rsid w:val="00AA5EF4"/>
    <w:rsid w:val="00AA6031"/>
    <w:rsid w:val="00AA6129"/>
    <w:rsid w:val="00AA63BF"/>
    <w:rsid w:val="00AA669D"/>
    <w:rsid w:val="00AA6AD5"/>
    <w:rsid w:val="00AA6BA5"/>
    <w:rsid w:val="00AA6F25"/>
    <w:rsid w:val="00AA6F7D"/>
    <w:rsid w:val="00AA725C"/>
    <w:rsid w:val="00AA74B7"/>
    <w:rsid w:val="00AA7700"/>
    <w:rsid w:val="00AA78DD"/>
    <w:rsid w:val="00AA7FAE"/>
    <w:rsid w:val="00AB0384"/>
    <w:rsid w:val="00AB04B9"/>
    <w:rsid w:val="00AB055E"/>
    <w:rsid w:val="00AB068C"/>
    <w:rsid w:val="00AB087F"/>
    <w:rsid w:val="00AB0CDD"/>
    <w:rsid w:val="00AB1751"/>
    <w:rsid w:val="00AB19C7"/>
    <w:rsid w:val="00AB1CAE"/>
    <w:rsid w:val="00AB20BE"/>
    <w:rsid w:val="00AB2213"/>
    <w:rsid w:val="00AB22D9"/>
    <w:rsid w:val="00AB28B4"/>
    <w:rsid w:val="00AB28CD"/>
    <w:rsid w:val="00AB2EF8"/>
    <w:rsid w:val="00AB3426"/>
    <w:rsid w:val="00AB348D"/>
    <w:rsid w:val="00AB36DB"/>
    <w:rsid w:val="00AB389A"/>
    <w:rsid w:val="00AB3903"/>
    <w:rsid w:val="00AB3DF7"/>
    <w:rsid w:val="00AB3EBD"/>
    <w:rsid w:val="00AB4056"/>
    <w:rsid w:val="00AB445D"/>
    <w:rsid w:val="00AB46BC"/>
    <w:rsid w:val="00AB4823"/>
    <w:rsid w:val="00AB48CA"/>
    <w:rsid w:val="00AB4D0F"/>
    <w:rsid w:val="00AB5AD4"/>
    <w:rsid w:val="00AB5C9B"/>
    <w:rsid w:val="00AB6048"/>
    <w:rsid w:val="00AB60C0"/>
    <w:rsid w:val="00AB6337"/>
    <w:rsid w:val="00AB64EB"/>
    <w:rsid w:val="00AB68AC"/>
    <w:rsid w:val="00AB6AF7"/>
    <w:rsid w:val="00AB6D96"/>
    <w:rsid w:val="00AB72D2"/>
    <w:rsid w:val="00AB73DD"/>
    <w:rsid w:val="00AB7B9E"/>
    <w:rsid w:val="00AB7BBA"/>
    <w:rsid w:val="00AB7C3C"/>
    <w:rsid w:val="00AC0207"/>
    <w:rsid w:val="00AC021A"/>
    <w:rsid w:val="00AC030C"/>
    <w:rsid w:val="00AC0491"/>
    <w:rsid w:val="00AC0FAA"/>
    <w:rsid w:val="00AC1142"/>
    <w:rsid w:val="00AC1321"/>
    <w:rsid w:val="00AC1790"/>
    <w:rsid w:val="00AC1866"/>
    <w:rsid w:val="00AC1D8B"/>
    <w:rsid w:val="00AC20F6"/>
    <w:rsid w:val="00AC2301"/>
    <w:rsid w:val="00AC23B8"/>
    <w:rsid w:val="00AC2519"/>
    <w:rsid w:val="00AC2598"/>
    <w:rsid w:val="00AC265A"/>
    <w:rsid w:val="00AC2748"/>
    <w:rsid w:val="00AC2918"/>
    <w:rsid w:val="00AC2E8D"/>
    <w:rsid w:val="00AC2FFF"/>
    <w:rsid w:val="00AC35EE"/>
    <w:rsid w:val="00AC3666"/>
    <w:rsid w:val="00AC3BA9"/>
    <w:rsid w:val="00AC3C5E"/>
    <w:rsid w:val="00AC3FD5"/>
    <w:rsid w:val="00AC46D8"/>
    <w:rsid w:val="00AC48AE"/>
    <w:rsid w:val="00AC49AA"/>
    <w:rsid w:val="00AC49FA"/>
    <w:rsid w:val="00AC4C38"/>
    <w:rsid w:val="00AC5053"/>
    <w:rsid w:val="00AC5100"/>
    <w:rsid w:val="00AC5326"/>
    <w:rsid w:val="00AC557A"/>
    <w:rsid w:val="00AC5637"/>
    <w:rsid w:val="00AC5C0F"/>
    <w:rsid w:val="00AC5E63"/>
    <w:rsid w:val="00AC5F64"/>
    <w:rsid w:val="00AC6817"/>
    <w:rsid w:val="00AC6A93"/>
    <w:rsid w:val="00AC6FF4"/>
    <w:rsid w:val="00AC70D3"/>
    <w:rsid w:val="00AC72DA"/>
    <w:rsid w:val="00AC7720"/>
    <w:rsid w:val="00AD0088"/>
    <w:rsid w:val="00AD0633"/>
    <w:rsid w:val="00AD0803"/>
    <w:rsid w:val="00AD0C6C"/>
    <w:rsid w:val="00AD0DB4"/>
    <w:rsid w:val="00AD16A0"/>
    <w:rsid w:val="00AD193C"/>
    <w:rsid w:val="00AD1C0A"/>
    <w:rsid w:val="00AD1ECA"/>
    <w:rsid w:val="00AD2B7B"/>
    <w:rsid w:val="00AD2F32"/>
    <w:rsid w:val="00AD3221"/>
    <w:rsid w:val="00AD39FA"/>
    <w:rsid w:val="00AD43C9"/>
    <w:rsid w:val="00AD4D5D"/>
    <w:rsid w:val="00AD55FC"/>
    <w:rsid w:val="00AD58F9"/>
    <w:rsid w:val="00AD5C53"/>
    <w:rsid w:val="00AD5F65"/>
    <w:rsid w:val="00AD6A81"/>
    <w:rsid w:val="00AD6D97"/>
    <w:rsid w:val="00AD6F01"/>
    <w:rsid w:val="00AD708F"/>
    <w:rsid w:val="00AD7429"/>
    <w:rsid w:val="00AD7876"/>
    <w:rsid w:val="00AD7BDA"/>
    <w:rsid w:val="00AD7C4D"/>
    <w:rsid w:val="00AE03A2"/>
    <w:rsid w:val="00AE06AF"/>
    <w:rsid w:val="00AE077C"/>
    <w:rsid w:val="00AE09CD"/>
    <w:rsid w:val="00AE0CAD"/>
    <w:rsid w:val="00AE11E4"/>
    <w:rsid w:val="00AE12A4"/>
    <w:rsid w:val="00AE136E"/>
    <w:rsid w:val="00AE18E7"/>
    <w:rsid w:val="00AE19F5"/>
    <w:rsid w:val="00AE1AF3"/>
    <w:rsid w:val="00AE1D27"/>
    <w:rsid w:val="00AE2063"/>
    <w:rsid w:val="00AE2D2A"/>
    <w:rsid w:val="00AE2E87"/>
    <w:rsid w:val="00AE2F3E"/>
    <w:rsid w:val="00AE3108"/>
    <w:rsid w:val="00AE3277"/>
    <w:rsid w:val="00AE35B5"/>
    <w:rsid w:val="00AE3742"/>
    <w:rsid w:val="00AE37AA"/>
    <w:rsid w:val="00AE37B6"/>
    <w:rsid w:val="00AE38AD"/>
    <w:rsid w:val="00AE38F8"/>
    <w:rsid w:val="00AE393E"/>
    <w:rsid w:val="00AE3F6E"/>
    <w:rsid w:val="00AE3F80"/>
    <w:rsid w:val="00AE4103"/>
    <w:rsid w:val="00AE4368"/>
    <w:rsid w:val="00AE4E43"/>
    <w:rsid w:val="00AE50C9"/>
    <w:rsid w:val="00AE53DD"/>
    <w:rsid w:val="00AE5416"/>
    <w:rsid w:val="00AE5753"/>
    <w:rsid w:val="00AE5CE8"/>
    <w:rsid w:val="00AE5CEE"/>
    <w:rsid w:val="00AE63A9"/>
    <w:rsid w:val="00AE655C"/>
    <w:rsid w:val="00AE6660"/>
    <w:rsid w:val="00AE6E14"/>
    <w:rsid w:val="00AE6FE8"/>
    <w:rsid w:val="00AE72D6"/>
    <w:rsid w:val="00AE746B"/>
    <w:rsid w:val="00AE7862"/>
    <w:rsid w:val="00AE7A02"/>
    <w:rsid w:val="00AE7E9E"/>
    <w:rsid w:val="00AF0648"/>
    <w:rsid w:val="00AF0B4F"/>
    <w:rsid w:val="00AF0D09"/>
    <w:rsid w:val="00AF14AF"/>
    <w:rsid w:val="00AF1527"/>
    <w:rsid w:val="00AF1590"/>
    <w:rsid w:val="00AF1BD1"/>
    <w:rsid w:val="00AF1BDD"/>
    <w:rsid w:val="00AF2CF3"/>
    <w:rsid w:val="00AF2FA2"/>
    <w:rsid w:val="00AF34FF"/>
    <w:rsid w:val="00AF3E3A"/>
    <w:rsid w:val="00AF431C"/>
    <w:rsid w:val="00AF4329"/>
    <w:rsid w:val="00AF49EA"/>
    <w:rsid w:val="00AF4D20"/>
    <w:rsid w:val="00AF4D54"/>
    <w:rsid w:val="00AF5464"/>
    <w:rsid w:val="00AF6386"/>
    <w:rsid w:val="00AF6A8B"/>
    <w:rsid w:val="00AF7B87"/>
    <w:rsid w:val="00B00108"/>
    <w:rsid w:val="00B003FB"/>
    <w:rsid w:val="00B0042D"/>
    <w:rsid w:val="00B008CB"/>
    <w:rsid w:val="00B0097F"/>
    <w:rsid w:val="00B00A78"/>
    <w:rsid w:val="00B01011"/>
    <w:rsid w:val="00B01982"/>
    <w:rsid w:val="00B01983"/>
    <w:rsid w:val="00B01EC6"/>
    <w:rsid w:val="00B02669"/>
    <w:rsid w:val="00B02789"/>
    <w:rsid w:val="00B032A5"/>
    <w:rsid w:val="00B0334A"/>
    <w:rsid w:val="00B03577"/>
    <w:rsid w:val="00B0370A"/>
    <w:rsid w:val="00B038DC"/>
    <w:rsid w:val="00B03C8A"/>
    <w:rsid w:val="00B03FC5"/>
    <w:rsid w:val="00B04155"/>
    <w:rsid w:val="00B0446E"/>
    <w:rsid w:val="00B044C8"/>
    <w:rsid w:val="00B0483E"/>
    <w:rsid w:val="00B049D5"/>
    <w:rsid w:val="00B04C67"/>
    <w:rsid w:val="00B04CDD"/>
    <w:rsid w:val="00B04D32"/>
    <w:rsid w:val="00B04DCF"/>
    <w:rsid w:val="00B052BF"/>
    <w:rsid w:val="00B05516"/>
    <w:rsid w:val="00B055B4"/>
    <w:rsid w:val="00B056FC"/>
    <w:rsid w:val="00B0576B"/>
    <w:rsid w:val="00B05829"/>
    <w:rsid w:val="00B05C06"/>
    <w:rsid w:val="00B05C26"/>
    <w:rsid w:val="00B0617A"/>
    <w:rsid w:val="00B06183"/>
    <w:rsid w:val="00B0639D"/>
    <w:rsid w:val="00B06655"/>
    <w:rsid w:val="00B06721"/>
    <w:rsid w:val="00B06A34"/>
    <w:rsid w:val="00B06CE8"/>
    <w:rsid w:val="00B07376"/>
    <w:rsid w:val="00B073B3"/>
    <w:rsid w:val="00B07634"/>
    <w:rsid w:val="00B07674"/>
    <w:rsid w:val="00B07729"/>
    <w:rsid w:val="00B07780"/>
    <w:rsid w:val="00B077E2"/>
    <w:rsid w:val="00B07C38"/>
    <w:rsid w:val="00B10257"/>
    <w:rsid w:val="00B10276"/>
    <w:rsid w:val="00B10BA1"/>
    <w:rsid w:val="00B10BBC"/>
    <w:rsid w:val="00B11157"/>
    <w:rsid w:val="00B1123F"/>
    <w:rsid w:val="00B1129D"/>
    <w:rsid w:val="00B11551"/>
    <w:rsid w:val="00B11736"/>
    <w:rsid w:val="00B11B58"/>
    <w:rsid w:val="00B11D95"/>
    <w:rsid w:val="00B11E87"/>
    <w:rsid w:val="00B12116"/>
    <w:rsid w:val="00B12298"/>
    <w:rsid w:val="00B12780"/>
    <w:rsid w:val="00B139A0"/>
    <w:rsid w:val="00B1479B"/>
    <w:rsid w:val="00B149A4"/>
    <w:rsid w:val="00B14A64"/>
    <w:rsid w:val="00B14B3E"/>
    <w:rsid w:val="00B14BD9"/>
    <w:rsid w:val="00B14D68"/>
    <w:rsid w:val="00B1504E"/>
    <w:rsid w:val="00B1505D"/>
    <w:rsid w:val="00B1515B"/>
    <w:rsid w:val="00B15C8D"/>
    <w:rsid w:val="00B15E14"/>
    <w:rsid w:val="00B168A2"/>
    <w:rsid w:val="00B16AF2"/>
    <w:rsid w:val="00B16BDC"/>
    <w:rsid w:val="00B172F3"/>
    <w:rsid w:val="00B17616"/>
    <w:rsid w:val="00B176D9"/>
    <w:rsid w:val="00B17B8C"/>
    <w:rsid w:val="00B2056C"/>
    <w:rsid w:val="00B208B7"/>
    <w:rsid w:val="00B20961"/>
    <w:rsid w:val="00B209E0"/>
    <w:rsid w:val="00B2106F"/>
    <w:rsid w:val="00B2129E"/>
    <w:rsid w:val="00B2134C"/>
    <w:rsid w:val="00B214BF"/>
    <w:rsid w:val="00B21A47"/>
    <w:rsid w:val="00B21C13"/>
    <w:rsid w:val="00B21C9F"/>
    <w:rsid w:val="00B21E8D"/>
    <w:rsid w:val="00B21FDE"/>
    <w:rsid w:val="00B22408"/>
    <w:rsid w:val="00B22A88"/>
    <w:rsid w:val="00B22F08"/>
    <w:rsid w:val="00B2330F"/>
    <w:rsid w:val="00B23B70"/>
    <w:rsid w:val="00B23C09"/>
    <w:rsid w:val="00B23E8B"/>
    <w:rsid w:val="00B2428D"/>
    <w:rsid w:val="00B24464"/>
    <w:rsid w:val="00B2453B"/>
    <w:rsid w:val="00B24819"/>
    <w:rsid w:val="00B2489A"/>
    <w:rsid w:val="00B24C53"/>
    <w:rsid w:val="00B2523C"/>
    <w:rsid w:val="00B2537C"/>
    <w:rsid w:val="00B25465"/>
    <w:rsid w:val="00B2556B"/>
    <w:rsid w:val="00B2560C"/>
    <w:rsid w:val="00B25B6C"/>
    <w:rsid w:val="00B25BA7"/>
    <w:rsid w:val="00B25F27"/>
    <w:rsid w:val="00B26293"/>
    <w:rsid w:val="00B263C7"/>
    <w:rsid w:val="00B26EB3"/>
    <w:rsid w:val="00B271D4"/>
    <w:rsid w:val="00B27798"/>
    <w:rsid w:val="00B27824"/>
    <w:rsid w:val="00B27F78"/>
    <w:rsid w:val="00B30193"/>
    <w:rsid w:val="00B30DC2"/>
    <w:rsid w:val="00B310B6"/>
    <w:rsid w:val="00B31104"/>
    <w:rsid w:val="00B31233"/>
    <w:rsid w:val="00B31276"/>
    <w:rsid w:val="00B31598"/>
    <w:rsid w:val="00B31690"/>
    <w:rsid w:val="00B319C6"/>
    <w:rsid w:val="00B31A37"/>
    <w:rsid w:val="00B31BFE"/>
    <w:rsid w:val="00B31FF4"/>
    <w:rsid w:val="00B3213A"/>
    <w:rsid w:val="00B32159"/>
    <w:rsid w:val="00B32B50"/>
    <w:rsid w:val="00B32D57"/>
    <w:rsid w:val="00B33261"/>
    <w:rsid w:val="00B3326A"/>
    <w:rsid w:val="00B337E0"/>
    <w:rsid w:val="00B338CB"/>
    <w:rsid w:val="00B34854"/>
    <w:rsid w:val="00B3487D"/>
    <w:rsid w:val="00B3495B"/>
    <w:rsid w:val="00B34DE7"/>
    <w:rsid w:val="00B35CC9"/>
    <w:rsid w:val="00B35CF5"/>
    <w:rsid w:val="00B35D74"/>
    <w:rsid w:val="00B35F44"/>
    <w:rsid w:val="00B36714"/>
    <w:rsid w:val="00B368C4"/>
    <w:rsid w:val="00B36B6C"/>
    <w:rsid w:val="00B36D04"/>
    <w:rsid w:val="00B36F97"/>
    <w:rsid w:val="00B37554"/>
    <w:rsid w:val="00B37789"/>
    <w:rsid w:val="00B378F5"/>
    <w:rsid w:val="00B378F9"/>
    <w:rsid w:val="00B40556"/>
    <w:rsid w:val="00B406DD"/>
    <w:rsid w:val="00B4110C"/>
    <w:rsid w:val="00B41507"/>
    <w:rsid w:val="00B41B16"/>
    <w:rsid w:val="00B41F3B"/>
    <w:rsid w:val="00B420FC"/>
    <w:rsid w:val="00B4257A"/>
    <w:rsid w:val="00B425BD"/>
    <w:rsid w:val="00B426C1"/>
    <w:rsid w:val="00B429A2"/>
    <w:rsid w:val="00B42B2C"/>
    <w:rsid w:val="00B42BA5"/>
    <w:rsid w:val="00B42D08"/>
    <w:rsid w:val="00B42ED1"/>
    <w:rsid w:val="00B435AB"/>
    <w:rsid w:val="00B436A5"/>
    <w:rsid w:val="00B437E3"/>
    <w:rsid w:val="00B43DA7"/>
    <w:rsid w:val="00B4411F"/>
    <w:rsid w:val="00B442FC"/>
    <w:rsid w:val="00B44522"/>
    <w:rsid w:val="00B4470D"/>
    <w:rsid w:val="00B449A5"/>
    <w:rsid w:val="00B4538B"/>
    <w:rsid w:val="00B4564C"/>
    <w:rsid w:val="00B45673"/>
    <w:rsid w:val="00B45ABE"/>
    <w:rsid w:val="00B45D57"/>
    <w:rsid w:val="00B45D9A"/>
    <w:rsid w:val="00B465FD"/>
    <w:rsid w:val="00B4663C"/>
    <w:rsid w:val="00B46774"/>
    <w:rsid w:val="00B46C38"/>
    <w:rsid w:val="00B47A87"/>
    <w:rsid w:val="00B50254"/>
    <w:rsid w:val="00B503AC"/>
    <w:rsid w:val="00B50D61"/>
    <w:rsid w:val="00B514DB"/>
    <w:rsid w:val="00B51814"/>
    <w:rsid w:val="00B51C97"/>
    <w:rsid w:val="00B52264"/>
    <w:rsid w:val="00B525C8"/>
    <w:rsid w:val="00B5296D"/>
    <w:rsid w:val="00B529C4"/>
    <w:rsid w:val="00B52C86"/>
    <w:rsid w:val="00B53221"/>
    <w:rsid w:val="00B5322B"/>
    <w:rsid w:val="00B53404"/>
    <w:rsid w:val="00B537C4"/>
    <w:rsid w:val="00B5387B"/>
    <w:rsid w:val="00B53AE3"/>
    <w:rsid w:val="00B54B73"/>
    <w:rsid w:val="00B5548E"/>
    <w:rsid w:val="00B55A94"/>
    <w:rsid w:val="00B55B23"/>
    <w:rsid w:val="00B560A8"/>
    <w:rsid w:val="00B5631F"/>
    <w:rsid w:val="00B56673"/>
    <w:rsid w:val="00B56D11"/>
    <w:rsid w:val="00B5713A"/>
    <w:rsid w:val="00B575D3"/>
    <w:rsid w:val="00B575D7"/>
    <w:rsid w:val="00B57BB3"/>
    <w:rsid w:val="00B601D0"/>
    <w:rsid w:val="00B606B7"/>
    <w:rsid w:val="00B613B1"/>
    <w:rsid w:val="00B618B9"/>
    <w:rsid w:val="00B61976"/>
    <w:rsid w:val="00B61C18"/>
    <w:rsid w:val="00B61DD4"/>
    <w:rsid w:val="00B61FFF"/>
    <w:rsid w:val="00B62000"/>
    <w:rsid w:val="00B6213B"/>
    <w:rsid w:val="00B621D2"/>
    <w:rsid w:val="00B627BC"/>
    <w:rsid w:val="00B62E40"/>
    <w:rsid w:val="00B640E2"/>
    <w:rsid w:val="00B64597"/>
    <w:rsid w:val="00B645A5"/>
    <w:rsid w:val="00B64957"/>
    <w:rsid w:val="00B65006"/>
    <w:rsid w:val="00B65126"/>
    <w:rsid w:val="00B6554D"/>
    <w:rsid w:val="00B6561B"/>
    <w:rsid w:val="00B65676"/>
    <w:rsid w:val="00B65F0A"/>
    <w:rsid w:val="00B65F48"/>
    <w:rsid w:val="00B66959"/>
    <w:rsid w:val="00B66A42"/>
    <w:rsid w:val="00B66CD4"/>
    <w:rsid w:val="00B670F0"/>
    <w:rsid w:val="00B67357"/>
    <w:rsid w:val="00B67F57"/>
    <w:rsid w:val="00B7027C"/>
    <w:rsid w:val="00B70789"/>
    <w:rsid w:val="00B708A1"/>
    <w:rsid w:val="00B70AFF"/>
    <w:rsid w:val="00B71831"/>
    <w:rsid w:val="00B71A0C"/>
    <w:rsid w:val="00B71A1C"/>
    <w:rsid w:val="00B71A4F"/>
    <w:rsid w:val="00B71C66"/>
    <w:rsid w:val="00B71D5E"/>
    <w:rsid w:val="00B72153"/>
    <w:rsid w:val="00B72572"/>
    <w:rsid w:val="00B726CB"/>
    <w:rsid w:val="00B73CF4"/>
    <w:rsid w:val="00B73E2E"/>
    <w:rsid w:val="00B74929"/>
    <w:rsid w:val="00B74A0C"/>
    <w:rsid w:val="00B74B06"/>
    <w:rsid w:val="00B74F45"/>
    <w:rsid w:val="00B7546F"/>
    <w:rsid w:val="00B7564E"/>
    <w:rsid w:val="00B75B6B"/>
    <w:rsid w:val="00B75FE8"/>
    <w:rsid w:val="00B765E3"/>
    <w:rsid w:val="00B76ADE"/>
    <w:rsid w:val="00B770C7"/>
    <w:rsid w:val="00B77172"/>
    <w:rsid w:val="00B7732C"/>
    <w:rsid w:val="00B77920"/>
    <w:rsid w:val="00B77938"/>
    <w:rsid w:val="00B77A7E"/>
    <w:rsid w:val="00B77F22"/>
    <w:rsid w:val="00B80183"/>
    <w:rsid w:val="00B806D6"/>
    <w:rsid w:val="00B8119C"/>
    <w:rsid w:val="00B8160D"/>
    <w:rsid w:val="00B81E64"/>
    <w:rsid w:val="00B822EC"/>
    <w:rsid w:val="00B82503"/>
    <w:rsid w:val="00B829AC"/>
    <w:rsid w:val="00B829BE"/>
    <w:rsid w:val="00B829E2"/>
    <w:rsid w:val="00B82AF0"/>
    <w:rsid w:val="00B82FE4"/>
    <w:rsid w:val="00B83716"/>
    <w:rsid w:val="00B838EF"/>
    <w:rsid w:val="00B83974"/>
    <w:rsid w:val="00B83C16"/>
    <w:rsid w:val="00B83EBC"/>
    <w:rsid w:val="00B8457B"/>
    <w:rsid w:val="00B847A8"/>
    <w:rsid w:val="00B84812"/>
    <w:rsid w:val="00B84830"/>
    <w:rsid w:val="00B84C00"/>
    <w:rsid w:val="00B84DCD"/>
    <w:rsid w:val="00B85742"/>
    <w:rsid w:val="00B85BB9"/>
    <w:rsid w:val="00B86034"/>
    <w:rsid w:val="00B860EF"/>
    <w:rsid w:val="00B860FD"/>
    <w:rsid w:val="00B865C4"/>
    <w:rsid w:val="00B86770"/>
    <w:rsid w:val="00B86A7D"/>
    <w:rsid w:val="00B86AB0"/>
    <w:rsid w:val="00B86CE5"/>
    <w:rsid w:val="00B86F4E"/>
    <w:rsid w:val="00B871BE"/>
    <w:rsid w:val="00B87376"/>
    <w:rsid w:val="00B874D6"/>
    <w:rsid w:val="00B87B21"/>
    <w:rsid w:val="00B902B9"/>
    <w:rsid w:val="00B90453"/>
    <w:rsid w:val="00B90ABE"/>
    <w:rsid w:val="00B910D8"/>
    <w:rsid w:val="00B911B3"/>
    <w:rsid w:val="00B912D7"/>
    <w:rsid w:val="00B91B69"/>
    <w:rsid w:val="00B91FA4"/>
    <w:rsid w:val="00B9254B"/>
    <w:rsid w:val="00B92705"/>
    <w:rsid w:val="00B92A54"/>
    <w:rsid w:val="00B92B72"/>
    <w:rsid w:val="00B92FB0"/>
    <w:rsid w:val="00B9329E"/>
    <w:rsid w:val="00B93357"/>
    <w:rsid w:val="00B934EE"/>
    <w:rsid w:val="00B937ED"/>
    <w:rsid w:val="00B939A8"/>
    <w:rsid w:val="00B93AD8"/>
    <w:rsid w:val="00B93BCE"/>
    <w:rsid w:val="00B94050"/>
    <w:rsid w:val="00B94070"/>
    <w:rsid w:val="00B94460"/>
    <w:rsid w:val="00B94601"/>
    <w:rsid w:val="00B94B88"/>
    <w:rsid w:val="00B94E48"/>
    <w:rsid w:val="00B9551E"/>
    <w:rsid w:val="00B9567A"/>
    <w:rsid w:val="00B95A7A"/>
    <w:rsid w:val="00B95D48"/>
    <w:rsid w:val="00B963F4"/>
    <w:rsid w:val="00B969C3"/>
    <w:rsid w:val="00B96F5C"/>
    <w:rsid w:val="00B971E7"/>
    <w:rsid w:val="00B974DB"/>
    <w:rsid w:val="00B97702"/>
    <w:rsid w:val="00B97AF1"/>
    <w:rsid w:val="00B97B33"/>
    <w:rsid w:val="00BA01AC"/>
    <w:rsid w:val="00BA0225"/>
    <w:rsid w:val="00BA056D"/>
    <w:rsid w:val="00BA0AE3"/>
    <w:rsid w:val="00BA1BC9"/>
    <w:rsid w:val="00BA1EBB"/>
    <w:rsid w:val="00BA2202"/>
    <w:rsid w:val="00BA2278"/>
    <w:rsid w:val="00BA257B"/>
    <w:rsid w:val="00BA28A5"/>
    <w:rsid w:val="00BA2DCD"/>
    <w:rsid w:val="00BA2DD4"/>
    <w:rsid w:val="00BA37F7"/>
    <w:rsid w:val="00BA38FE"/>
    <w:rsid w:val="00BA3AC5"/>
    <w:rsid w:val="00BA3E1C"/>
    <w:rsid w:val="00BA3ECC"/>
    <w:rsid w:val="00BA40EF"/>
    <w:rsid w:val="00BA4273"/>
    <w:rsid w:val="00BA479E"/>
    <w:rsid w:val="00BA4A12"/>
    <w:rsid w:val="00BA4BFE"/>
    <w:rsid w:val="00BA4F4F"/>
    <w:rsid w:val="00BA53B5"/>
    <w:rsid w:val="00BA6741"/>
    <w:rsid w:val="00BA68A5"/>
    <w:rsid w:val="00BA71A9"/>
    <w:rsid w:val="00BA7892"/>
    <w:rsid w:val="00BA793D"/>
    <w:rsid w:val="00BA7A10"/>
    <w:rsid w:val="00BA7AE9"/>
    <w:rsid w:val="00BB01E4"/>
    <w:rsid w:val="00BB0932"/>
    <w:rsid w:val="00BB0E3D"/>
    <w:rsid w:val="00BB1101"/>
    <w:rsid w:val="00BB1491"/>
    <w:rsid w:val="00BB1573"/>
    <w:rsid w:val="00BB16A3"/>
    <w:rsid w:val="00BB18AE"/>
    <w:rsid w:val="00BB1C11"/>
    <w:rsid w:val="00BB1C94"/>
    <w:rsid w:val="00BB1FCA"/>
    <w:rsid w:val="00BB2233"/>
    <w:rsid w:val="00BB2467"/>
    <w:rsid w:val="00BB2848"/>
    <w:rsid w:val="00BB2C6D"/>
    <w:rsid w:val="00BB2D8D"/>
    <w:rsid w:val="00BB304F"/>
    <w:rsid w:val="00BB32E5"/>
    <w:rsid w:val="00BB3348"/>
    <w:rsid w:val="00BB33B3"/>
    <w:rsid w:val="00BB373A"/>
    <w:rsid w:val="00BB3A09"/>
    <w:rsid w:val="00BB3E4A"/>
    <w:rsid w:val="00BB4171"/>
    <w:rsid w:val="00BB43EC"/>
    <w:rsid w:val="00BB4413"/>
    <w:rsid w:val="00BB4669"/>
    <w:rsid w:val="00BB49F2"/>
    <w:rsid w:val="00BB4F8B"/>
    <w:rsid w:val="00BB5274"/>
    <w:rsid w:val="00BB5F31"/>
    <w:rsid w:val="00BB5FE4"/>
    <w:rsid w:val="00BB6365"/>
    <w:rsid w:val="00BB6459"/>
    <w:rsid w:val="00BB6A2B"/>
    <w:rsid w:val="00BB6A94"/>
    <w:rsid w:val="00BB6DFE"/>
    <w:rsid w:val="00BB7593"/>
    <w:rsid w:val="00BB75D8"/>
    <w:rsid w:val="00BB7621"/>
    <w:rsid w:val="00BB7B85"/>
    <w:rsid w:val="00BB7F85"/>
    <w:rsid w:val="00BC022F"/>
    <w:rsid w:val="00BC042A"/>
    <w:rsid w:val="00BC055E"/>
    <w:rsid w:val="00BC09D7"/>
    <w:rsid w:val="00BC0CE1"/>
    <w:rsid w:val="00BC0DB6"/>
    <w:rsid w:val="00BC1102"/>
    <w:rsid w:val="00BC1846"/>
    <w:rsid w:val="00BC1D17"/>
    <w:rsid w:val="00BC2000"/>
    <w:rsid w:val="00BC2339"/>
    <w:rsid w:val="00BC24E7"/>
    <w:rsid w:val="00BC2D7B"/>
    <w:rsid w:val="00BC34DB"/>
    <w:rsid w:val="00BC350B"/>
    <w:rsid w:val="00BC3683"/>
    <w:rsid w:val="00BC380A"/>
    <w:rsid w:val="00BC38D1"/>
    <w:rsid w:val="00BC399C"/>
    <w:rsid w:val="00BC3A72"/>
    <w:rsid w:val="00BC3C4F"/>
    <w:rsid w:val="00BC3D47"/>
    <w:rsid w:val="00BC3E24"/>
    <w:rsid w:val="00BC45A5"/>
    <w:rsid w:val="00BC4A56"/>
    <w:rsid w:val="00BC4B8C"/>
    <w:rsid w:val="00BC4E09"/>
    <w:rsid w:val="00BC5093"/>
    <w:rsid w:val="00BC5204"/>
    <w:rsid w:val="00BC5300"/>
    <w:rsid w:val="00BC56B0"/>
    <w:rsid w:val="00BC5B58"/>
    <w:rsid w:val="00BC5B6D"/>
    <w:rsid w:val="00BC5F57"/>
    <w:rsid w:val="00BC6055"/>
    <w:rsid w:val="00BC60AF"/>
    <w:rsid w:val="00BC7DC8"/>
    <w:rsid w:val="00BC7DFB"/>
    <w:rsid w:val="00BD000E"/>
    <w:rsid w:val="00BD01FC"/>
    <w:rsid w:val="00BD03E7"/>
    <w:rsid w:val="00BD07DD"/>
    <w:rsid w:val="00BD0AF0"/>
    <w:rsid w:val="00BD0AF6"/>
    <w:rsid w:val="00BD0C4B"/>
    <w:rsid w:val="00BD0E3B"/>
    <w:rsid w:val="00BD116C"/>
    <w:rsid w:val="00BD158B"/>
    <w:rsid w:val="00BD15C7"/>
    <w:rsid w:val="00BD19A0"/>
    <w:rsid w:val="00BD1B65"/>
    <w:rsid w:val="00BD26B4"/>
    <w:rsid w:val="00BD2C82"/>
    <w:rsid w:val="00BD2FF6"/>
    <w:rsid w:val="00BD31CD"/>
    <w:rsid w:val="00BD38C7"/>
    <w:rsid w:val="00BD394E"/>
    <w:rsid w:val="00BD4007"/>
    <w:rsid w:val="00BD434D"/>
    <w:rsid w:val="00BD441F"/>
    <w:rsid w:val="00BD4690"/>
    <w:rsid w:val="00BD4A8A"/>
    <w:rsid w:val="00BD4BB4"/>
    <w:rsid w:val="00BD4E5C"/>
    <w:rsid w:val="00BD5057"/>
    <w:rsid w:val="00BD5433"/>
    <w:rsid w:val="00BD5D6A"/>
    <w:rsid w:val="00BD602F"/>
    <w:rsid w:val="00BD627A"/>
    <w:rsid w:val="00BD6597"/>
    <w:rsid w:val="00BD661E"/>
    <w:rsid w:val="00BD689F"/>
    <w:rsid w:val="00BD70B8"/>
    <w:rsid w:val="00BD7254"/>
    <w:rsid w:val="00BD79A2"/>
    <w:rsid w:val="00BD7A50"/>
    <w:rsid w:val="00BD7EC7"/>
    <w:rsid w:val="00BE00AE"/>
    <w:rsid w:val="00BE05AA"/>
    <w:rsid w:val="00BE0A22"/>
    <w:rsid w:val="00BE130A"/>
    <w:rsid w:val="00BE14FC"/>
    <w:rsid w:val="00BE208D"/>
    <w:rsid w:val="00BE23B0"/>
    <w:rsid w:val="00BE2673"/>
    <w:rsid w:val="00BE269C"/>
    <w:rsid w:val="00BE276F"/>
    <w:rsid w:val="00BE29A4"/>
    <w:rsid w:val="00BE2E49"/>
    <w:rsid w:val="00BE3061"/>
    <w:rsid w:val="00BE31FE"/>
    <w:rsid w:val="00BE324E"/>
    <w:rsid w:val="00BE36DA"/>
    <w:rsid w:val="00BE38A8"/>
    <w:rsid w:val="00BE3972"/>
    <w:rsid w:val="00BE3B8D"/>
    <w:rsid w:val="00BE3BD7"/>
    <w:rsid w:val="00BE3D18"/>
    <w:rsid w:val="00BE40CE"/>
    <w:rsid w:val="00BE488B"/>
    <w:rsid w:val="00BE4A9B"/>
    <w:rsid w:val="00BE4D6E"/>
    <w:rsid w:val="00BE4F29"/>
    <w:rsid w:val="00BE50C1"/>
    <w:rsid w:val="00BE54B4"/>
    <w:rsid w:val="00BE5723"/>
    <w:rsid w:val="00BE5C05"/>
    <w:rsid w:val="00BE5D05"/>
    <w:rsid w:val="00BE65DD"/>
    <w:rsid w:val="00BE6D86"/>
    <w:rsid w:val="00BE6DDE"/>
    <w:rsid w:val="00BE70B4"/>
    <w:rsid w:val="00BE753E"/>
    <w:rsid w:val="00BE763C"/>
    <w:rsid w:val="00BE76DE"/>
    <w:rsid w:val="00BF01CA"/>
    <w:rsid w:val="00BF0280"/>
    <w:rsid w:val="00BF04BB"/>
    <w:rsid w:val="00BF05CB"/>
    <w:rsid w:val="00BF0920"/>
    <w:rsid w:val="00BF0D6D"/>
    <w:rsid w:val="00BF0F4D"/>
    <w:rsid w:val="00BF12DC"/>
    <w:rsid w:val="00BF1759"/>
    <w:rsid w:val="00BF1835"/>
    <w:rsid w:val="00BF1BE9"/>
    <w:rsid w:val="00BF1E9F"/>
    <w:rsid w:val="00BF20D4"/>
    <w:rsid w:val="00BF2155"/>
    <w:rsid w:val="00BF2408"/>
    <w:rsid w:val="00BF2642"/>
    <w:rsid w:val="00BF26B4"/>
    <w:rsid w:val="00BF2962"/>
    <w:rsid w:val="00BF2EED"/>
    <w:rsid w:val="00BF32D3"/>
    <w:rsid w:val="00BF380C"/>
    <w:rsid w:val="00BF3A33"/>
    <w:rsid w:val="00BF3CB0"/>
    <w:rsid w:val="00BF3EAE"/>
    <w:rsid w:val="00BF3FE7"/>
    <w:rsid w:val="00BF4192"/>
    <w:rsid w:val="00BF4224"/>
    <w:rsid w:val="00BF4249"/>
    <w:rsid w:val="00BF46FD"/>
    <w:rsid w:val="00BF4707"/>
    <w:rsid w:val="00BF47EF"/>
    <w:rsid w:val="00BF4C10"/>
    <w:rsid w:val="00BF4DAE"/>
    <w:rsid w:val="00BF5CA5"/>
    <w:rsid w:val="00BF612F"/>
    <w:rsid w:val="00BF6336"/>
    <w:rsid w:val="00BF642C"/>
    <w:rsid w:val="00BF671D"/>
    <w:rsid w:val="00BF6B0A"/>
    <w:rsid w:val="00BF6DAF"/>
    <w:rsid w:val="00BF6F68"/>
    <w:rsid w:val="00BF7517"/>
    <w:rsid w:val="00BF7A77"/>
    <w:rsid w:val="00C0008D"/>
    <w:rsid w:val="00C009F5"/>
    <w:rsid w:val="00C00B57"/>
    <w:rsid w:val="00C00B85"/>
    <w:rsid w:val="00C00DC1"/>
    <w:rsid w:val="00C01134"/>
    <w:rsid w:val="00C01602"/>
    <w:rsid w:val="00C0189C"/>
    <w:rsid w:val="00C018E5"/>
    <w:rsid w:val="00C01AC7"/>
    <w:rsid w:val="00C01FF3"/>
    <w:rsid w:val="00C0214A"/>
    <w:rsid w:val="00C02D43"/>
    <w:rsid w:val="00C02FDC"/>
    <w:rsid w:val="00C030C2"/>
    <w:rsid w:val="00C03128"/>
    <w:rsid w:val="00C03297"/>
    <w:rsid w:val="00C03DC4"/>
    <w:rsid w:val="00C03E32"/>
    <w:rsid w:val="00C03FCF"/>
    <w:rsid w:val="00C0410A"/>
    <w:rsid w:val="00C04487"/>
    <w:rsid w:val="00C04966"/>
    <w:rsid w:val="00C04DA9"/>
    <w:rsid w:val="00C04E0D"/>
    <w:rsid w:val="00C04E7D"/>
    <w:rsid w:val="00C05642"/>
    <w:rsid w:val="00C056B2"/>
    <w:rsid w:val="00C0590C"/>
    <w:rsid w:val="00C05BCB"/>
    <w:rsid w:val="00C05F41"/>
    <w:rsid w:val="00C06879"/>
    <w:rsid w:val="00C06F90"/>
    <w:rsid w:val="00C072B9"/>
    <w:rsid w:val="00C07314"/>
    <w:rsid w:val="00C076E0"/>
    <w:rsid w:val="00C0775F"/>
    <w:rsid w:val="00C07F76"/>
    <w:rsid w:val="00C10000"/>
    <w:rsid w:val="00C10059"/>
    <w:rsid w:val="00C102A2"/>
    <w:rsid w:val="00C1049F"/>
    <w:rsid w:val="00C10A5A"/>
    <w:rsid w:val="00C10E0E"/>
    <w:rsid w:val="00C10ECE"/>
    <w:rsid w:val="00C110DD"/>
    <w:rsid w:val="00C11144"/>
    <w:rsid w:val="00C11D2D"/>
    <w:rsid w:val="00C11D3A"/>
    <w:rsid w:val="00C12678"/>
    <w:rsid w:val="00C12E29"/>
    <w:rsid w:val="00C12F78"/>
    <w:rsid w:val="00C13C86"/>
    <w:rsid w:val="00C14073"/>
    <w:rsid w:val="00C1407B"/>
    <w:rsid w:val="00C142A0"/>
    <w:rsid w:val="00C142AC"/>
    <w:rsid w:val="00C143D0"/>
    <w:rsid w:val="00C14AC2"/>
    <w:rsid w:val="00C14E14"/>
    <w:rsid w:val="00C14EB3"/>
    <w:rsid w:val="00C162B8"/>
    <w:rsid w:val="00C16D45"/>
    <w:rsid w:val="00C170DF"/>
    <w:rsid w:val="00C17729"/>
    <w:rsid w:val="00C179C0"/>
    <w:rsid w:val="00C17CC7"/>
    <w:rsid w:val="00C17D98"/>
    <w:rsid w:val="00C17E1F"/>
    <w:rsid w:val="00C17EA2"/>
    <w:rsid w:val="00C201C5"/>
    <w:rsid w:val="00C2072D"/>
    <w:rsid w:val="00C2087E"/>
    <w:rsid w:val="00C20CDA"/>
    <w:rsid w:val="00C20F0B"/>
    <w:rsid w:val="00C21171"/>
    <w:rsid w:val="00C212C4"/>
    <w:rsid w:val="00C218AF"/>
    <w:rsid w:val="00C21A80"/>
    <w:rsid w:val="00C21AA7"/>
    <w:rsid w:val="00C223A2"/>
    <w:rsid w:val="00C22439"/>
    <w:rsid w:val="00C22EAC"/>
    <w:rsid w:val="00C23567"/>
    <w:rsid w:val="00C2385F"/>
    <w:rsid w:val="00C23A29"/>
    <w:rsid w:val="00C23C4B"/>
    <w:rsid w:val="00C23DD6"/>
    <w:rsid w:val="00C251F8"/>
    <w:rsid w:val="00C252D9"/>
    <w:rsid w:val="00C2545A"/>
    <w:rsid w:val="00C25785"/>
    <w:rsid w:val="00C26767"/>
    <w:rsid w:val="00C26CBB"/>
    <w:rsid w:val="00C2729E"/>
    <w:rsid w:val="00C27974"/>
    <w:rsid w:val="00C27B42"/>
    <w:rsid w:val="00C27D9B"/>
    <w:rsid w:val="00C3002A"/>
    <w:rsid w:val="00C30360"/>
    <w:rsid w:val="00C306C7"/>
    <w:rsid w:val="00C306EF"/>
    <w:rsid w:val="00C30AB7"/>
    <w:rsid w:val="00C316EE"/>
    <w:rsid w:val="00C3176C"/>
    <w:rsid w:val="00C31D74"/>
    <w:rsid w:val="00C322CA"/>
    <w:rsid w:val="00C324B3"/>
    <w:rsid w:val="00C32C08"/>
    <w:rsid w:val="00C32C1C"/>
    <w:rsid w:val="00C32D3C"/>
    <w:rsid w:val="00C32FF7"/>
    <w:rsid w:val="00C3311A"/>
    <w:rsid w:val="00C3336E"/>
    <w:rsid w:val="00C333A3"/>
    <w:rsid w:val="00C3356D"/>
    <w:rsid w:val="00C33848"/>
    <w:rsid w:val="00C33B89"/>
    <w:rsid w:val="00C33DD6"/>
    <w:rsid w:val="00C33E03"/>
    <w:rsid w:val="00C340F0"/>
    <w:rsid w:val="00C34390"/>
    <w:rsid w:val="00C34601"/>
    <w:rsid w:val="00C3465F"/>
    <w:rsid w:val="00C34A47"/>
    <w:rsid w:val="00C34CDB"/>
    <w:rsid w:val="00C34D85"/>
    <w:rsid w:val="00C34E4A"/>
    <w:rsid w:val="00C34EE2"/>
    <w:rsid w:val="00C352A5"/>
    <w:rsid w:val="00C35673"/>
    <w:rsid w:val="00C3588F"/>
    <w:rsid w:val="00C35F17"/>
    <w:rsid w:val="00C360B9"/>
    <w:rsid w:val="00C36796"/>
    <w:rsid w:val="00C36AEA"/>
    <w:rsid w:val="00C36B9E"/>
    <w:rsid w:val="00C36BC7"/>
    <w:rsid w:val="00C36D1B"/>
    <w:rsid w:val="00C37EBF"/>
    <w:rsid w:val="00C400C5"/>
    <w:rsid w:val="00C400ED"/>
    <w:rsid w:val="00C40145"/>
    <w:rsid w:val="00C40C53"/>
    <w:rsid w:val="00C40CC4"/>
    <w:rsid w:val="00C413DE"/>
    <w:rsid w:val="00C41834"/>
    <w:rsid w:val="00C41954"/>
    <w:rsid w:val="00C41969"/>
    <w:rsid w:val="00C41F53"/>
    <w:rsid w:val="00C4228A"/>
    <w:rsid w:val="00C4236A"/>
    <w:rsid w:val="00C430ED"/>
    <w:rsid w:val="00C435E0"/>
    <w:rsid w:val="00C43761"/>
    <w:rsid w:val="00C441D9"/>
    <w:rsid w:val="00C4434A"/>
    <w:rsid w:val="00C44417"/>
    <w:rsid w:val="00C444C9"/>
    <w:rsid w:val="00C445AE"/>
    <w:rsid w:val="00C448E1"/>
    <w:rsid w:val="00C44A4C"/>
    <w:rsid w:val="00C44AB3"/>
    <w:rsid w:val="00C4578D"/>
    <w:rsid w:val="00C45F75"/>
    <w:rsid w:val="00C46420"/>
    <w:rsid w:val="00C465DC"/>
    <w:rsid w:val="00C46654"/>
    <w:rsid w:val="00C470D8"/>
    <w:rsid w:val="00C476D4"/>
    <w:rsid w:val="00C477A4"/>
    <w:rsid w:val="00C47AE1"/>
    <w:rsid w:val="00C47C2F"/>
    <w:rsid w:val="00C502B6"/>
    <w:rsid w:val="00C50734"/>
    <w:rsid w:val="00C50813"/>
    <w:rsid w:val="00C50D5F"/>
    <w:rsid w:val="00C50D8F"/>
    <w:rsid w:val="00C50FD2"/>
    <w:rsid w:val="00C5150A"/>
    <w:rsid w:val="00C517A6"/>
    <w:rsid w:val="00C519AE"/>
    <w:rsid w:val="00C51AB6"/>
    <w:rsid w:val="00C51B31"/>
    <w:rsid w:val="00C51E6E"/>
    <w:rsid w:val="00C51FD7"/>
    <w:rsid w:val="00C52462"/>
    <w:rsid w:val="00C5277F"/>
    <w:rsid w:val="00C5278D"/>
    <w:rsid w:val="00C52C6D"/>
    <w:rsid w:val="00C53168"/>
    <w:rsid w:val="00C531D2"/>
    <w:rsid w:val="00C537BA"/>
    <w:rsid w:val="00C5380B"/>
    <w:rsid w:val="00C53E00"/>
    <w:rsid w:val="00C54461"/>
    <w:rsid w:val="00C544AA"/>
    <w:rsid w:val="00C54605"/>
    <w:rsid w:val="00C54658"/>
    <w:rsid w:val="00C54694"/>
    <w:rsid w:val="00C546B4"/>
    <w:rsid w:val="00C54750"/>
    <w:rsid w:val="00C54AB3"/>
    <w:rsid w:val="00C54BA2"/>
    <w:rsid w:val="00C55A37"/>
    <w:rsid w:val="00C56060"/>
    <w:rsid w:val="00C56163"/>
    <w:rsid w:val="00C564C6"/>
    <w:rsid w:val="00C564D3"/>
    <w:rsid w:val="00C567F4"/>
    <w:rsid w:val="00C56BB9"/>
    <w:rsid w:val="00C5796F"/>
    <w:rsid w:val="00C579C6"/>
    <w:rsid w:val="00C57E6E"/>
    <w:rsid w:val="00C57F98"/>
    <w:rsid w:val="00C60EAE"/>
    <w:rsid w:val="00C61365"/>
    <w:rsid w:val="00C618FD"/>
    <w:rsid w:val="00C61A0E"/>
    <w:rsid w:val="00C61E64"/>
    <w:rsid w:val="00C62026"/>
    <w:rsid w:val="00C623E0"/>
    <w:rsid w:val="00C62667"/>
    <w:rsid w:val="00C62885"/>
    <w:rsid w:val="00C62890"/>
    <w:rsid w:val="00C628A9"/>
    <w:rsid w:val="00C63011"/>
    <w:rsid w:val="00C631BC"/>
    <w:rsid w:val="00C6353E"/>
    <w:rsid w:val="00C635E9"/>
    <w:rsid w:val="00C639A8"/>
    <w:rsid w:val="00C63E78"/>
    <w:rsid w:val="00C64155"/>
    <w:rsid w:val="00C64263"/>
    <w:rsid w:val="00C6445D"/>
    <w:rsid w:val="00C645AB"/>
    <w:rsid w:val="00C64693"/>
    <w:rsid w:val="00C649CE"/>
    <w:rsid w:val="00C64A18"/>
    <w:rsid w:val="00C64EB2"/>
    <w:rsid w:val="00C6511A"/>
    <w:rsid w:val="00C65357"/>
    <w:rsid w:val="00C65641"/>
    <w:rsid w:val="00C65748"/>
    <w:rsid w:val="00C65847"/>
    <w:rsid w:val="00C65BED"/>
    <w:rsid w:val="00C65C80"/>
    <w:rsid w:val="00C65D8D"/>
    <w:rsid w:val="00C65E20"/>
    <w:rsid w:val="00C6607A"/>
    <w:rsid w:val="00C66525"/>
    <w:rsid w:val="00C66BA1"/>
    <w:rsid w:val="00C67394"/>
    <w:rsid w:val="00C676B9"/>
    <w:rsid w:val="00C676FC"/>
    <w:rsid w:val="00C67B79"/>
    <w:rsid w:val="00C67BDB"/>
    <w:rsid w:val="00C67C6C"/>
    <w:rsid w:val="00C67E65"/>
    <w:rsid w:val="00C67FC6"/>
    <w:rsid w:val="00C67FE1"/>
    <w:rsid w:val="00C702FE"/>
    <w:rsid w:val="00C7083E"/>
    <w:rsid w:val="00C70B94"/>
    <w:rsid w:val="00C70EB9"/>
    <w:rsid w:val="00C715F5"/>
    <w:rsid w:val="00C716E7"/>
    <w:rsid w:val="00C718A4"/>
    <w:rsid w:val="00C7199B"/>
    <w:rsid w:val="00C71E8A"/>
    <w:rsid w:val="00C721AA"/>
    <w:rsid w:val="00C722F7"/>
    <w:rsid w:val="00C7231B"/>
    <w:rsid w:val="00C7238E"/>
    <w:rsid w:val="00C72D17"/>
    <w:rsid w:val="00C730CD"/>
    <w:rsid w:val="00C731B2"/>
    <w:rsid w:val="00C73254"/>
    <w:rsid w:val="00C733B8"/>
    <w:rsid w:val="00C7353C"/>
    <w:rsid w:val="00C73A4C"/>
    <w:rsid w:val="00C73A93"/>
    <w:rsid w:val="00C73BC4"/>
    <w:rsid w:val="00C73C95"/>
    <w:rsid w:val="00C73CB3"/>
    <w:rsid w:val="00C73D61"/>
    <w:rsid w:val="00C74505"/>
    <w:rsid w:val="00C74733"/>
    <w:rsid w:val="00C747C3"/>
    <w:rsid w:val="00C74CA8"/>
    <w:rsid w:val="00C74D45"/>
    <w:rsid w:val="00C74D76"/>
    <w:rsid w:val="00C74DD7"/>
    <w:rsid w:val="00C74E07"/>
    <w:rsid w:val="00C74E2D"/>
    <w:rsid w:val="00C754DA"/>
    <w:rsid w:val="00C75AEF"/>
    <w:rsid w:val="00C75C76"/>
    <w:rsid w:val="00C75DE0"/>
    <w:rsid w:val="00C75E75"/>
    <w:rsid w:val="00C75FD5"/>
    <w:rsid w:val="00C76245"/>
    <w:rsid w:val="00C763DA"/>
    <w:rsid w:val="00C76C90"/>
    <w:rsid w:val="00C76E03"/>
    <w:rsid w:val="00C770CF"/>
    <w:rsid w:val="00C77125"/>
    <w:rsid w:val="00C772C6"/>
    <w:rsid w:val="00C778EB"/>
    <w:rsid w:val="00C800A5"/>
    <w:rsid w:val="00C80347"/>
    <w:rsid w:val="00C80412"/>
    <w:rsid w:val="00C805A0"/>
    <w:rsid w:val="00C80948"/>
    <w:rsid w:val="00C80BCF"/>
    <w:rsid w:val="00C80DCA"/>
    <w:rsid w:val="00C81454"/>
    <w:rsid w:val="00C81995"/>
    <w:rsid w:val="00C81B5C"/>
    <w:rsid w:val="00C81D57"/>
    <w:rsid w:val="00C81EFA"/>
    <w:rsid w:val="00C82A55"/>
    <w:rsid w:val="00C82F53"/>
    <w:rsid w:val="00C82F9E"/>
    <w:rsid w:val="00C82FDC"/>
    <w:rsid w:val="00C83119"/>
    <w:rsid w:val="00C83122"/>
    <w:rsid w:val="00C83308"/>
    <w:rsid w:val="00C836BC"/>
    <w:rsid w:val="00C83CED"/>
    <w:rsid w:val="00C84194"/>
    <w:rsid w:val="00C84657"/>
    <w:rsid w:val="00C84E2C"/>
    <w:rsid w:val="00C8501F"/>
    <w:rsid w:val="00C855FC"/>
    <w:rsid w:val="00C858A1"/>
    <w:rsid w:val="00C86120"/>
    <w:rsid w:val="00C86935"/>
    <w:rsid w:val="00C86E1E"/>
    <w:rsid w:val="00C871CE"/>
    <w:rsid w:val="00C874FC"/>
    <w:rsid w:val="00C87C05"/>
    <w:rsid w:val="00C87D4C"/>
    <w:rsid w:val="00C87E91"/>
    <w:rsid w:val="00C87F66"/>
    <w:rsid w:val="00C900DF"/>
    <w:rsid w:val="00C90172"/>
    <w:rsid w:val="00C90776"/>
    <w:rsid w:val="00C907D4"/>
    <w:rsid w:val="00C90CE8"/>
    <w:rsid w:val="00C90D50"/>
    <w:rsid w:val="00C90EE5"/>
    <w:rsid w:val="00C90F8E"/>
    <w:rsid w:val="00C91A29"/>
    <w:rsid w:val="00C91B6A"/>
    <w:rsid w:val="00C91DD2"/>
    <w:rsid w:val="00C91F8C"/>
    <w:rsid w:val="00C92101"/>
    <w:rsid w:val="00C9261F"/>
    <w:rsid w:val="00C92633"/>
    <w:rsid w:val="00C92A06"/>
    <w:rsid w:val="00C92BE9"/>
    <w:rsid w:val="00C92BFE"/>
    <w:rsid w:val="00C92EB5"/>
    <w:rsid w:val="00C931EF"/>
    <w:rsid w:val="00C93201"/>
    <w:rsid w:val="00C933EA"/>
    <w:rsid w:val="00C93659"/>
    <w:rsid w:val="00C93AC3"/>
    <w:rsid w:val="00C93B01"/>
    <w:rsid w:val="00C93BF2"/>
    <w:rsid w:val="00C94200"/>
    <w:rsid w:val="00C94430"/>
    <w:rsid w:val="00C9448E"/>
    <w:rsid w:val="00C94759"/>
    <w:rsid w:val="00C94851"/>
    <w:rsid w:val="00C94D0C"/>
    <w:rsid w:val="00C94DD1"/>
    <w:rsid w:val="00C9516A"/>
    <w:rsid w:val="00C953CA"/>
    <w:rsid w:val="00C95524"/>
    <w:rsid w:val="00C9557F"/>
    <w:rsid w:val="00C95EA7"/>
    <w:rsid w:val="00C962AB"/>
    <w:rsid w:val="00C962D8"/>
    <w:rsid w:val="00C96453"/>
    <w:rsid w:val="00C965C8"/>
    <w:rsid w:val="00C9666A"/>
    <w:rsid w:val="00C966EB"/>
    <w:rsid w:val="00C96AC5"/>
    <w:rsid w:val="00C96EA9"/>
    <w:rsid w:val="00C970B5"/>
    <w:rsid w:val="00C9745D"/>
    <w:rsid w:val="00C9752F"/>
    <w:rsid w:val="00C97598"/>
    <w:rsid w:val="00C97D5D"/>
    <w:rsid w:val="00C97DD5"/>
    <w:rsid w:val="00CA095B"/>
    <w:rsid w:val="00CA0BCD"/>
    <w:rsid w:val="00CA0C44"/>
    <w:rsid w:val="00CA0D08"/>
    <w:rsid w:val="00CA0DB4"/>
    <w:rsid w:val="00CA0F10"/>
    <w:rsid w:val="00CA101F"/>
    <w:rsid w:val="00CA1152"/>
    <w:rsid w:val="00CA1159"/>
    <w:rsid w:val="00CA1186"/>
    <w:rsid w:val="00CA11CA"/>
    <w:rsid w:val="00CA14F9"/>
    <w:rsid w:val="00CA18FA"/>
    <w:rsid w:val="00CA1A9B"/>
    <w:rsid w:val="00CA1D00"/>
    <w:rsid w:val="00CA1FC6"/>
    <w:rsid w:val="00CA22B6"/>
    <w:rsid w:val="00CA28B3"/>
    <w:rsid w:val="00CA2D34"/>
    <w:rsid w:val="00CA2D62"/>
    <w:rsid w:val="00CA34AD"/>
    <w:rsid w:val="00CA3866"/>
    <w:rsid w:val="00CA3C24"/>
    <w:rsid w:val="00CA3DCA"/>
    <w:rsid w:val="00CA4106"/>
    <w:rsid w:val="00CA422E"/>
    <w:rsid w:val="00CA4284"/>
    <w:rsid w:val="00CA4A48"/>
    <w:rsid w:val="00CA4E55"/>
    <w:rsid w:val="00CA5013"/>
    <w:rsid w:val="00CA5375"/>
    <w:rsid w:val="00CA56CA"/>
    <w:rsid w:val="00CA5741"/>
    <w:rsid w:val="00CA5B79"/>
    <w:rsid w:val="00CA5BDE"/>
    <w:rsid w:val="00CA60D5"/>
    <w:rsid w:val="00CA63A9"/>
    <w:rsid w:val="00CA64EF"/>
    <w:rsid w:val="00CA653D"/>
    <w:rsid w:val="00CA6DA1"/>
    <w:rsid w:val="00CA7226"/>
    <w:rsid w:val="00CA74CE"/>
    <w:rsid w:val="00CA7858"/>
    <w:rsid w:val="00CA7907"/>
    <w:rsid w:val="00CA7C15"/>
    <w:rsid w:val="00CB0069"/>
    <w:rsid w:val="00CB0BE8"/>
    <w:rsid w:val="00CB0DEA"/>
    <w:rsid w:val="00CB106D"/>
    <w:rsid w:val="00CB1240"/>
    <w:rsid w:val="00CB14D3"/>
    <w:rsid w:val="00CB201B"/>
    <w:rsid w:val="00CB2628"/>
    <w:rsid w:val="00CB293F"/>
    <w:rsid w:val="00CB2A70"/>
    <w:rsid w:val="00CB2B18"/>
    <w:rsid w:val="00CB2B4F"/>
    <w:rsid w:val="00CB2DD2"/>
    <w:rsid w:val="00CB321C"/>
    <w:rsid w:val="00CB333B"/>
    <w:rsid w:val="00CB33DB"/>
    <w:rsid w:val="00CB430A"/>
    <w:rsid w:val="00CB4666"/>
    <w:rsid w:val="00CB48AD"/>
    <w:rsid w:val="00CB4903"/>
    <w:rsid w:val="00CB4AD5"/>
    <w:rsid w:val="00CB4BBE"/>
    <w:rsid w:val="00CB4BE2"/>
    <w:rsid w:val="00CB5421"/>
    <w:rsid w:val="00CB555A"/>
    <w:rsid w:val="00CB5734"/>
    <w:rsid w:val="00CB575A"/>
    <w:rsid w:val="00CB5956"/>
    <w:rsid w:val="00CB5BF0"/>
    <w:rsid w:val="00CB5F7B"/>
    <w:rsid w:val="00CB6058"/>
    <w:rsid w:val="00CB65AA"/>
    <w:rsid w:val="00CB6913"/>
    <w:rsid w:val="00CB6DDD"/>
    <w:rsid w:val="00CB727B"/>
    <w:rsid w:val="00CB73BF"/>
    <w:rsid w:val="00CB7CC9"/>
    <w:rsid w:val="00CB7DC6"/>
    <w:rsid w:val="00CB7EA1"/>
    <w:rsid w:val="00CB7EDA"/>
    <w:rsid w:val="00CC0570"/>
    <w:rsid w:val="00CC08CD"/>
    <w:rsid w:val="00CC0964"/>
    <w:rsid w:val="00CC0A1D"/>
    <w:rsid w:val="00CC0DF6"/>
    <w:rsid w:val="00CC1004"/>
    <w:rsid w:val="00CC10FE"/>
    <w:rsid w:val="00CC175B"/>
    <w:rsid w:val="00CC19D9"/>
    <w:rsid w:val="00CC1C9A"/>
    <w:rsid w:val="00CC21DB"/>
    <w:rsid w:val="00CC231B"/>
    <w:rsid w:val="00CC24B8"/>
    <w:rsid w:val="00CC250A"/>
    <w:rsid w:val="00CC27ED"/>
    <w:rsid w:val="00CC2C03"/>
    <w:rsid w:val="00CC2D31"/>
    <w:rsid w:val="00CC2D50"/>
    <w:rsid w:val="00CC311C"/>
    <w:rsid w:val="00CC38BE"/>
    <w:rsid w:val="00CC38D7"/>
    <w:rsid w:val="00CC3A1F"/>
    <w:rsid w:val="00CC3A61"/>
    <w:rsid w:val="00CC3F51"/>
    <w:rsid w:val="00CC4135"/>
    <w:rsid w:val="00CC4440"/>
    <w:rsid w:val="00CC44C0"/>
    <w:rsid w:val="00CC44DD"/>
    <w:rsid w:val="00CC460B"/>
    <w:rsid w:val="00CC4876"/>
    <w:rsid w:val="00CC4B22"/>
    <w:rsid w:val="00CC4E2A"/>
    <w:rsid w:val="00CC5091"/>
    <w:rsid w:val="00CC5146"/>
    <w:rsid w:val="00CC569F"/>
    <w:rsid w:val="00CC5736"/>
    <w:rsid w:val="00CC5841"/>
    <w:rsid w:val="00CC5FFA"/>
    <w:rsid w:val="00CC694B"/>
    <w:rsid w:val="00CC6DE8"/>
    <w:rsid w:val="00CC7056"/>
    <w:rsid w:val="00CC754C"/>
    <w:rsid w:val="00CC76CF"/>
    <w:rsid w:val="00CD06CC"/>
    <w:rsid w:val="00CD0A33"/>
    <w:rsid w:val="00CD0AF7"/>
    <w:rsid w:val="00CD0B35"/>
    <w:rsid w:val="00CD0B64"/>
    <w:rsid w:val="00CD0BA1"/>
    <w:rsid w:val="00CD0C0E"/>
    <w:rsid w:val="00CD0FFE"/>
    <w:rsid w:val="00CD1152"/>
    <w:rsid w:val="00CD1162"/>
    <w:rsid w:val="00CD1480"/>
    <w:rsid w:val="00CD16A0"/>
    <w:rsid w:val="00CD1F5C"/>
    <w:rsid w:val="00CD20C9"/>
    <w:rsid w:val="00CD2397"/>
    <w:rsid w:val="00CD2642"/>
    <w:rsid w:val="00CD27BA"/>
    <w:rsid w:val="00CD2E59"/>
    <w:rsid w:val="00CD2E82"/>
    <w:rsid w:val="00CD2E9D"/>
    <w:rsid w:val="00CD309E"/>
    <w:rsid w:val="00CD3838"/>
    <w:rsid w:val="00CD38EF"/>
    <w:rsid w:val="00CD3E68"/>
    <w:rsid w:val="00CD3F59"/>
    <w:rsid w:val="00CD4182"/>
    <w:rsid w:val="00CD4632"/>
    <w:rsid w:val="00CD4AFB"/>
    <w:rsid w:val="00CD4BB4"/>
    <w:rsid w:val="00CD4E6B"/>
    <w:rsid w:val="00CD5063"/>
    <w:rsid w:val="00CD55F7"/>
    <w:rsid w:val="00CD5666"/>
    <w:rsid w:val="00CD5804"/>
    <w:rsid w:val="00CD586D"/>
    <w:rsid w:val="00CD5F1F"/>
    <w:rsid w:val="00CD60C0"/>
    <w:rsid w:val="00CD65B4"/>
    <w:rsid w:val="00CD65B9"/>
    <w:rsid w:val="00CD6739"/>
    <w:rsid w:val="00CD675B"/>
    <w:rsid w:val="00CD6A20"/>
    <w:rsid w:val="00CD6A67"/>
    <w:rsid w:val="00CD6C26"/>
    <w:rsid w:val="00CD6E44"/>
    <w:rsid w:val="00CD7809"/>
    <w:rsid w:val="00CD7B5C"/>
    <w:rsid w:val="00CD7E7D"/>
    <w:rsid w:val="00CD7F7B"/>
    <w:rsid w:val="00CE02A4"/>
    <w:rsid w:val="00CE035E"/>
    <w:rsid w:val="00CE0831"/>
    <w:rsid w:val="00CE091F"/>
    <w:rsid w:val="00CE1011"/>
    <w:rsid w:val="00CE1093"/>
    <w:rsid w:val="00CE1AA2"/>
    <w:rsid w:val="00CE1AE7"/>
    <w:rsid w:val="00CE1C12"/>
    <w:rsid w:val="00CE2F7B"/>
    <w:rsid w:val="00CE2F8B"/>
    <w:rsid w:val="00CE311F"/>
    <w:rsid w:val="00CE332A"/>
    <w:rsid w:val="00CE3A3D"/>
    <w:rsid w:val="00CE3C65"/>
    <w:rsid w:val="00CE438A"/>
    <w:rsid w:val="00CE4C4E"/>
    <w:rsid w:val="00CE509F"/>
    <w:rsid w:val="00CE5418"/>
    <w:rsid w:val="00CE5590"/>
    <w:rsid w:val="00CE5C3D"/>
    <w:rsid w:val="00CE636C"/>
    <w:rsid w:val="00CE645C"/>
    <w:rsid w:val="00CE6883"/>
    <w:rsid w:val="00CE6B1F"/>
    <w:rsid w:val="00CE6D31"/>
    <w:rsid w:val="00CE724A"/>
    <w:rsid w:val="00CE7C03"/>
    <w:rsid w:val="00CF028D"/>
    <w:rsid w:val="00CF08DE"/>
    <w:rsid w:val="00CF0965"/>
    <w:rsid w:val="00CF0BB7"/>
    <w:rsid w:val="00CF0FF2"/>
    <w:rsid w:val="00CF152C"/>
    <w:rsid w:val="00CF1801"/>
    <w:rsid w:val="00CF1EE8"/>
    <w:rsid w:val="00CF20CB"/>
    <w:rsid w:val="00CF22A3"/>
    <w:rsid w:val="00CF25BD"/>
    <w:rsid w:val="00CF279D"/>
    <w:rsid w:val="00CF2DFA"/>
    <w:rsid w:val="00CF3140"/>
    <w:rsid w:val="00CF35F0"/>
    <w:rsid w:val="00CF3BDA"/>
    <w:rsid w:val="00CF4802"/>
    <w:rsid w:val="00CF4B50"/>
    <w:rsid w:val="00CF4D68"/>
    <w:rsid w:val="00CF4E2E"/>
    <w:rsid w:val="00CF51CF"/>
    <w:rsid w:val="00CF566D"/>
    <w:rsid w:val="00CF598B"/>
    <w:rsid w:val="00CF5B7E"/>
    <w:rsid w:val="00CF5DED"/>
    <w:rsid w:val="00CF5F6D"/>
    <w:rsid w:val="00CF5FF9"/>
    <w:rsid w:val="00CF6017"/>
    <w:rsid w:val="00CF6209"/>
    <w:rsid w:val="00CF624F"/>
    <w:rsid w:val="00CF6922"/>
    <w:rsid w:val="00CF6B05"/>
    <w:rsid w:val="00CF70F8"/>
    <w:rsid w:val="00CF721F"/>
    <w:rsid w:val="00CF7733"/>
    <w:rsid w:val="00CF7A0B"/>
    <w:rsid w:val="00CF7DD1"/>
    <w:rsid w:val="00D003C4"/>
    <w:rsid w:val="00D00775"/>
    <w:rsid w:val="00D00781"/>
    <w:rsid w:val="00D00D07"/>
    <w:rsid w:val="00D018E3"/>
    <w:rsid w:val="00D01977"/>
    <w:rsid w:val="00D01BA5"/>
    <w:rsid w:val="00D01BE5"/>
    <w:rsid w:val="00D01F53"/>
    <w:rsid w:val="00D0200B"/>
    <w:rsid w:val="00D02368"/>
    <w:rsid w:val="00D025C1"/>
    <w:rsid w:val="00D02B80"/>
    <w:rsid w:val="00D02BB0"/>
    <w:rsid w:val="00D02BF1"/>
    <w:rsid w:val="00D0315E"/>
    <w:rsid w:val="00D033D1"/>
    <w:rsid w:val="00D03423"/>
    <w:rsid w:val="00D03685"/>
    <w:rsid w:val="00D0388B"/>
    <w:rsid w:val="00D03964"/>
    <w:rsid w:val="00D03C1C"/>
    <w:rsid w:val="00D04235"/>
    <w:rsid w:val="00D0470C"/>
    <w:rsid w:val="00D0484B"/>
    <w:rsid w:val="00D05673"/>
    <w:rsid w:val="00D05ACE"/>
    <w:rsid w:val="00D06D7C"/>
    <w:rsid w:val="00D07082"/>
    <w:rsid w:val="00D071A8"/>
    <w:rsid w:val="00D072FF"/>
    <w:rsid w:val="00D073E5"/>
    <w:rsid w:val="00D07428"/>
    <w:rsid w:val="00D076F8"/>
    <w:rsid w:val="00D0781F"/>
    <w:rsid w:val="00D07BE3"/>
    <w:rsid w:val="00D07E6F"/>
    <w:rsid w:val="00D07E9D"/>
    <w:rsid w:val="00D07EC0"/>
    <w:rsid w:val="00D105CC"/>
    <w:rsid w:val="00D10684"/>
    <w:rsid w:val="00D10813"/>
    <w:rsid w:val="00D10841"/>
    <w:rsid w:val="00D10AC8"/>
    <w:rsid w:val="00D1106E"/>
    <w:rsid w:val="00D11576"/>
    <w:rsid w:val="00D117E3"/>
    <w:rsid w:val="00D11A45"/>
    <w:rsid w:val="00D11C7B"/>
    <w:rsid w:val="00D120D5"/>
    <w:rsid w:val="00D121BC"/>
    <w:rsid w:val="00D1236B"/>
    <w:rsid w:val="00D124A8"/>
    <w:rsid w:val="00D12913"/>
    <w:rsid w:val="00D129FC"/>
    <w:rsid w:val="00D12D55"/>
    <w:rsid w:val="00D13245"/>
    <w:rsid w:val="00D133B2"/>
    <w:rsid w:val="00D133DF"/>
    <w:rsid w:val="00D136AE"/>
    <w:rsid w:val="00D13AFB"/>
    <w:rsid w:val="00D13D19"/>
    <w:rsid w:val="00D14131"/>
    <w:rsid w:val="00D146B2"/>
    <w:rsid w:val="00D15500"/>
    <w:rsid w:val="00D1558B"/>
    <w:rsid w:val="00D15A03"/>
    <w:rsid w:val="00D15B06"/>
    <w:rsid w:val="00D15CAE"/>
    <w:rsid w:val="00D15F12"/>
    <w:rsid w:val="00D160D3"/>
    <w:rsid w:val="00D161B0"/>
    <w:rsid w:val="00D161D5"/>
    <w:rsid w:val="00D163FB"/>
    <w:rsid w:val="00D16604"/>
    <w:rsid w:val="00D1696F"/>
    <w:rsid w:val="00D16C7B"/>
    <w:rsid w:val="00D1745D"/>
    <w:rsid w:val="00D177B7"/>
    <w:rsid w:val="00D177EC"/>
    <w:rsid w:val="00D17AB2"/>
    <w:rsid w:val="00D17E08"/>
    <w:rsid w:val="00D17FF2"/>
    <w:rsid w:val="00D20043"/>
    <w:rsid w:val="00D20528"/>
    <w:rsid w:val="00D207C9"/>
    <w:rsid w:val="00D20CCA"/>
    <w:rsid w:val="00D211D2"/>
    <w:rsid w:val="00D21232"/>
    <w:rsid w:val="00D2145A"/>
    <w:rsid w:val="00D215D1"/>
    <w:rsid w:val="00D215EE"/>
    <w:rsid w:val="00D21702"/>
    <w:rsid w:val="00D2170C"/>
    <w:rsid w:val="00D21BE8"/>
    <w:rsid w:val="00D21C46"/>
    <w:rsid w:val="00D21CF9"/>
    <w:rsid w:val="00D21F60"/>
    <w:rsid w:val="00D229B3"/>
    <w:rsid w:val="00D22CF5"/>
    <w:rsid w:val="00D22F70"/>
    <w:rsid w:val="00D233F5"/>
    <w:rsid w:val="00D23994"/>
    <w:rsid w:val="00D239B4"/>
    <w:rsid w:val="00D23A4B"/>
    <w:rsid w:val="00D23A93"/>
    <w:rsid w:val="00D23EA9"/>
    <w:rsid w:val="00D24113"/>
    <w:rsid w:val="00D241EB"/>
    <w:rsid w:val="00D24832"/>
    <w:rsid w:val="00D24861"/>
    <w:rsid w:val="00D24CF6"/>
    <w:rsid w:val="00D24DC3"/>
    <w:rsid w:val="00D251A0"/>
    <w:rsid w:val="00D25206"/>
    <w:rsid w:val="00D2540D"/>
    <w:rsid w:val="00D25760"/>
    <w:rsid w:val="00D25ABF"/>
    <w:rsid w:val="00D25C46"/>
    <w:rsid w:val="00D25C58"/>
    <w:rsid w:val="00D2619E"/>
    <w:rsid w:val="00D2707B"/>
    <w:rsid w:val="00D27340"/>
    <w:rsid w:val="00D275A4"/>
    <w:rsid w:val="00D276A0"/>
    <w:rsid w:val="00D27AAC"/>
    <w:rsid w:val="00D27B5C"/>
    <w:rsid w:val="00D27EEE"/>
    <w:rsid w:val="00D3023F"/>
    <w:rsid w:val="00D303D3"/>
    <w:rsid w:val="00D30675"/>
    <w:rsid w:val="00D306AA"/>
    <w:rsid w:val="00D30728"/>
    <w:rsid w:val="00D30984"/>
    <w:rsid w:val="00D3099B"/>
    <w:rsid w:val="00D30D56"/>
    <w:rsid w:val="00D30FAD"/>
    <w:rsid w:val="00D315C2"/>
    <w:rsid w:val="00D31714"/>
    <w:rsid w:val="00D31863"/>
    <w:rsid w:val="00D31EFD"/>
    <w:rsid w:val="00D326C9"/>
    <w:rsid w:val="00D329DC"/>
    <w:rsid w:val="00D33255"/>
    <w:rsid w:val="00D3338F"/>
    <w:rsid w:val="00D337A9"/>
    <w:rsid w:val="00D34530"/>
    <w:rsid w:val="00D3463D"/>
    <w:rsid w:val="00D347A9"/>
    <w:rsid w:val="00D348FA"/>
    <w:rsid w:val="00D349D9"/>
    <w:rsid w:val="00D34ADD"/>
    <w:rsid w:val="00D34C18"/>
    <w:rsid w:val="00D34F0C"/>
    <w:rsid w:val="00D34F7F"/>
    <w:rsid w:val="00D35037"/>
    <w:rsid w:val="00D35488"/>
    <w:rsid w:val="00D357E4"/>
    <w:rsid w:val="00D35B67"/>
    <w:rsid w:val="00D35ED7"/>
    <w:rsid w:val="00D366CF"/>
    <w:rsid w:val="00D3685A"/>
    <w:rsid w:val="00D3698F"/>
    <w:rsid w:val="00D36A99"/>
    <w:rsid w:val="00D36B19"/>
    <w:rsid w:val="00D373FC"/>
    <w:rsid w:val="00D3755E"/>
    <w:rsid w:val="00D378CD"/>
    <w:rsid w:val="00D37C44"/>
    <w:rsid w:val="00D37C47"/>
    <w:rsid w:val="00D40394"/>
    <w:rsid w:val="00D405B7"/>
    <w:rsid w:val="00D408D7"/>
    <w:rsid w:val="00D40B77"/>
    <w:rsid w:val="00D40BEF"/>
    <w:rsid w:val="00D40C72"/>
    <w:rsid w:val="00D41066"/>
    <w:rsid w:val="00D416A1"/>
    <w:rsid w:val="00D416C9"/>
    <w:rsid w:val="00D41B69"/>
    <w:rsid w:val="00D4212B"/>
    <w:rsid w:val="00D422BF"/>
    <w:rsid w:val="00D424AA"/>
    <w:rsid w:val="00D42D32"/>
    <w:rsid w:val="00D42E7E"/>
    <w:rsid w:val="00D43C1F"/>
    <w:rsid w:val="00D4407C"/>
    <w:rsid w:val="00D44172"/>
    <w:rsid w:val="00D444CD"/>
    <w:rsid w:val="00D445F7"/>
    <w:rsid w:val="00D44845"/>
    <w:rsid w:val="00D4493E"/>
    <w:rsid w:val="00D44AF4"/>
    <w:rsid w:val="00D44C44"/>
    <w:rsid w:val="00D45009"/>
    <w:rsid w:val="00D450FD"/>
    <w:rsid w:val="00D45119"/>
    <w:rsid w:val="00D452F1"/>
    <w:rsid w:val="00D452F7"/>
    <w:rsid w:val="00D455B9"/>
    <w:rsid w:val="00D456CF"/>
    <w:rsid w:val="00D45A06"/>
    <w:rsid w:val="00D45E2D"/>
    <w:rsid w:val="00D45EC5"/>
    <w:rsid w:val="00D4605F"/>
    <w:rsid w:val="00D462C2"/>
    <w:rsid w:val="00D46775"/>
    <w:rsid w:val="00D468A7"/>
    <w:rsid w:val="00D46989"/>
    <w:rsid w:val="00D46DEC"/>
    <w:rsid w:val="00D46EE6"/>
    <w:rsid w:val="00D471D5"/>
    <w:rsid w:val="00D47335"/>
    <w:rsid w:val="00D473C1"/>
    <w:rsid w:val="00D47401"/>
    <w:rsid w:val="00D4778B"/>
    <w:rsid w:val="00D47AF3"/>
    <w:rsid w:val="00D47B0F"/>
    <w:rsid w:val="00D47DAF"/>
    <w:rsid w:val="00D47E22"/>
    <w:rsid w:val="00D50F73"/>
    <w:rsid w:val="00D5175C"/>
    <w:rsid w:val="00D51877"/>
    <w:rsid w:val="00D51D96"/>
    <w:rsid w:val="00D51E65"/>
    <w:rsid w:val="00D52178"/>
    <w:rsid w:val="00D52192"/>
    <w:rsid w:val="00D5249E"/>
    <w:rsid w:val="00D52648"/>
    <w:rsid w:val="00D52848"/>
    <w:rsid w:val="00D52865"/>
    <w:rsid w:val="00D528D1"/>
    <w:rsid w:val="00D531EB"/>
    <w:rsid w:val="00D53484"/>
    <w:rsid w:val="00D54210"/>
    <w:rsid w:val="00D54241"/>
    <w:rsid w:val="00D545E6"/>
    <w:rsid w:val="00D54817"/>
    <w:rsid w:val="00D54B2A"/>
    <w:rsid w:val="00D54F44"/>
    <w:rsid w:val="00D554F0"/>
    <w:rsid w:val="00D55823"/>
    <w:rsid w:val="00D55A0F"/>
    <w:rsid w:val="00D56013"/>
    <w:rsid w:val="00D560DB"/>
    <w:rsid w:val="00D567BE"/>
    <w:rsid w:val="00D56939"/>
    <w:rsid w:val="00D56B75"/>
    <w:rsid w:val="00D56D9B"/>
    <w:rsid w:val="00D574F0"/>
    <w:rsid w:val="00D57525"/>
    <w:rsid w:val="00D5775A"/>
    <w:rsid w:val="00D57942"/>
    <w:rsid w:val="00D57F1F"/>
    <w:rsid w:val="00D600EB"/>
    <w:rsid w:val="00D6049B"/>
    <w:rsid w:val="00D613B9"/>
    <w:rsid w:val="00D613BE"/>
    <w:rsid w:val="00D616C4"/>
    <w:rsid w:val="00D61883"/>
    <w:rsid w:val="00D61AE9"/>
    <w:rsid w:val="00D61DF7"/>
    <w:rsid w:val="00D61E7B"/>
    <w:rsid w:val="00D61FDE"/>
    <w:rsid w:val="00D62D38"/>
    <w:rsid w:val="00D62D81"/>
    <w:rsid w:val="00D62E0C"/>
    <w:rsid w:val="00D62FC0"/>
    <w:rsid w:val="00D63400"/>
    <w:rsid w:val="00D634FC"/>
    <w:rsid w:val="00D636AB"/>
    <w:rsid w:val="00D636FB"/>
    <w:rsid w:val="00D637EE"/>
    <w:rsid w:val="00D6389C"/>
    <w:rsid w:val="00D6395D"/>
    <w:rsid w:val="00D63D1E"/>
    <w:rsid w:val="00D63FC4"/>
    <w:rsid w:val="00D64194"/>
    <w:rsid w:val="00D64676"/>
    <w:rsid w:val="00D6476F"/>
    <w:rsid w:val="00D64D68"/>
    <w:rsid w:val="00D64EA7"/>
    <w:rsid w:val="00D65024"/>
    <w:rsid w:val="00D651F6"/>
    <w:rsid w:val="00D660D4"/>
    <w:rsid w:val="00D6637A"/>
    <w:rsid w:val="00D66476"/>
    <w:rsid w:val="00D66924"/>
    <w:rsid w:val="00D66C2D"/>
    <w:rsid w:val="00D66DF3"/>
    <w:rsid w:val="00D66E43"/>
    <w:rsid w:val="00D6744D"/>
    <w:rsid w:val="00D67992"/>
    <w:rsid w:val="00D67C2B"/>
    <w:rsid w:val="00D70024"/>
    <w:rsid w:val="00D70C1E"/>
    <w:rsid w:val="00D70E89"/>
    <w:rsid w:val="00D7109B"/>
    <w:rsid w:val="00D710A9"/>
    <w:rsid w:val="00D712FD"/>
    <w:rsid w:val="00D71521"/>
    <w:rsid w:val="00D718FF"/>
    <w:rsid w:val="00D71B1F"/>
    <w:rsid w:val="00D722E5"/>
    <w:rsid w:val="00D72618"/>
    <w:rsid w:val="00D7274F"/>
    <w:rsid w:val="00D727AD"/>
    <w:rsid w:val="00D7299A"/>
    <w:rsid w:val="00D72A99"/>
    <w:rsid w:val="00D72EAB"/>
    <w:rsid w:val="00D740C3"/>
    <w:rsid w:val="00D7447C"/>
    <w:rsid w:val="00D74497"/>
    <w:rsid w:val="00D744CB"/>
    <w:rsid w:val="00D74773"/>
    <w:rsid w:val="00D74BB5"/>
    <w:rsid w:val="00D74E51"/>
    <w:rsid w:val="00D752FE"/>
    <w:rsid w:val="00D753A6"/>
    <w:rsid w:val="00D75DAC"/>
    <w:rsid w:val="00D75DFE"/>
    <w:rsid w:val="00D75E3D"/>
    <w:rsid w:val="00D76040"/>
    <w:rsid w:val="00D76094"/>
    <w:rsid w:val="00D76228"/>
    <w:rsid w:val="00D768F4"/>
    <w:rsid w:val="00D77016"/>
    <w:rsid w:val="00D775FE"/>
    <w:rsid w:val="00D778EC"/>
    <w:rsid w:val="00D77C4F"/>
    <w:rsid w:val="00D801C4"/>
    <w:rsid w:val="00D80AD9"/>
    <w:rsid w:val="00D80E8A"/>
    <w:rsid w:val="00D82181"/>
    <w:rsid w:val="00D823F8"/>
    <w:rsid w:val="00D82607"/>
    <w:rsid w:val="00D8278C"/>
    <w:rsid w:val="00D83314"/>
    <w:rsid w:val="00D8339C"/>
    <w:rsid w:val="00D833D3"/>
    <w:rsid w:val="00D83941"/>
    <w:rsid w:val="00D83A6F"/>
    <w:rsid w:val="00D83EA2"/>
    <w:rsid w:val="00D83EAD"/>
    <w:rsid w:val="00D8403F"/>
    <w:rsid w:val="00D8425C"/>
    <w:rsid w:val="00D8442E"/>
    <w:rsid w:val="00D84957"/>
    <w:rsid w:val="00D84A92"/>
    <w:rsid w:val="00D84AE5"/>
    <w:rsid w:val="00D84F5A"/>
    <w:rsid w:val="00D85568"/>
    <w:rsid w:val="00D858B6"/>
    <w:rsid w:val="00D858D0"/>
    <w:rsid w:val="00D85EF3"/>
    <w:rsid w:val="00D863F9"/>
    <w:rsid w:val="00D86698"/>
    <w:rsid w:val="00D86E6A"/>
    <w:rsid w:val="00D86ED0"/>
    <w:rsid w:val="00D874DF"/>
    <w:rsid w:val="00D875E7"/>
    <w:rsid w:val="00D877AE"/>
    <w:rsid w:val="00D87BCE"/>
    <w:rsid w:val="00D90324"/>
    <w:rsid w:val="00D904A5"/>
    <w:rsid w:val="00D906BF"/>
    <w:rsid w:val="00D907E6"/>
    <w:rsid w:val="00D9099F"/>
    <w:rsid w:val="00D909F7"/>
    <w:rsid w:val="00D91A9E"/>
    <w:rsid w:val="00D91C34"/>
    <w:rsid w:val="00D91D94"/>
    <w:rsid w:val="00D921E7"/>
    <w:rsid w:val="00D9231E"/>
    <w:rsid w:val="00D9232B"/>
    <w:rsid w:val="00D92839"/>
    <w:rsid w:val="00D92A33"/>
    <w:rsid w:val="00D92D15"/>
    <w:rsid w:val="00D92DB5"/>
    <w:rsid w:val="00D92DC3"/>
    <w:rsid w:val="00D9337E"/>
    <w:rsid w:val="00D93697"/>
    <w:rsid w:val="00D93EF5"/>
    <w:rsid w:val="00D94641"/>
    <w:rsid w:val="00D94761"/>
    <w:rsid w:val="00D953DF"/>
    <w:rsid w:val="00D95892"/>
    <w:rsid w:val="00D958FB"/>
    <w:rsid w:val="00D95C64"/>
    <w:rsid w:val="00D95E2F"/>
    <w:rsid w:val="00D95EFA"/>
    <w:rsid w:val="00D95F1D"/>
    <w:rsid w:val="00D961B9"/>
    <w:rsid w:val="00D96519"/>
    <w:rsid w:val="00D96726"/>
    <w:rsid w:val="00D96A61"/>
    <w:rsid w:val="00D96AE0"/>
    <w:rsid w:val="00D9752D"/>
    <w:rsid w:val="00D97B06"/>
    <w:rsid w:val="00D97D93"/>
    <w:rsid w:val="00DA00CA"/>
    <w:rsid w:val="00DA01A8"/>
    <w:rsid w:val="00DA05D6"/>
    <w:rsid w:val="00DA0631"/>
    <w:rsid w:val="00DA0953"/>
    <w:rsid w:val="00DA1063"/>
    <w:rsid w:val="00DA1143"/>
    <w:rsid w:val="00DA1392"/>
    <w:rsid w:val="00DA14FA"/>
    <w:rsid w:val="00DA151D"/>
    <w:rsid w:val="00DA1870"/>
    <w:rsid w:val="00DA1D3E"/>
    <w:rsid w:val="00DA24C3"/>
    <w:rsid w:val="00DA28B4"/>
    <w:rsid w:val="00DA2A94"/>
    <w:rsid w:val="00DA2CDE"/>
    <w:rsid w:val="00DA2F00"/>
    <w:rsid w:val="00DA2FD3"/>
    <w:rsid w:val="00DA3542"/>
    <w:rsid w:val="00DA3B6D"/>
    <w:rsid w:val="00DA3BE2"/>
    <w:rsid w:val="00DA40D8"/>
    <w:rsid w:val="00DA4325"/>
    <w:rsid w:val="00DA46E8"/>
    <w:rsid w:val="00DA479E"/>
    <w:rsid w:val="00DA54A5"/>
    <w:rsid w:val="00DA5986"/>
    <w:rsid w:val="00DA598C"/>
    <w:rsid w:val="00DA5B68"/>
    <w:rsid w:val="00DA5F41"/>
    <w:rsid w:val="00DA6109"/>
    <w:rsid w:val="00DA62DC"/>
    <w:rsid w:val="00DA639E"/>
    <w:rsid w:val="00DA66E0"/>
    <w:rsid w:val="00DA717A"/>
    <w:rsid w:val="00DA7915"/>
    <w:rsid w:val="00DA7AE4"/>
    <w:rsid w:val="00DA7D64"/>
    <w:rsid w:val="00DA7E13"/>
    <w:rsid w:val="00DB03CD"/>
    <w:rsid w:val="00DB03D6"/>
    <w:rsid w:val="00DB0837"/>
    <w:rsid w:val="00DB0F61"/>
    <w:rsid w:val="00DB11B0"/>
    <w:rsid w:val="00DB23AE"/>
    <w:rsid w:val="00DB27BD"/>
    <w:rsid w:val="00DB2ACD"/>
    <w:rsid w:val="00DB2F7D"/>
    <w:rsid w:val="00DB30EB"/>
    <w:rsid w:val="00DB378C"/>
    <w:rsid w:val="00DB390F"/>
    <w:rsid w:val="00DB41C4"/>
    <w:rsid w:val="00DB4BBE"/>
    <w:rsid w:val="00DB4C9D"/>
    <w:rsid w:val="00DB4D34"/>
    <w:rsid w:val="00DB4EB1"/>
    <w:rsid w:val="00DB5022"/>
    <w:rsid w:val="00DB5D2E"/>
    <w:rsid w:val="00DB6189"/>
    <w:rsid w:val="00DB64CF"/>
    <w:rsid w:val="00DB6925"/>
    <w:rsid w:val="00DB6A76"/>
    <w:rsid w:val="00DB6BF0"/>
    <w:rsid w:val="00DB6D07"/>
    <w:rsid w:val="00DB7471"/>
    <w:rsid w:val="00DB75F7"/>
    <w:rsid w:val="00DB7AAC"/>
    <w:rsid w:val="00DC0B8C"/>
    <w:rsid w:val="00DC0DB5"/>
    <w:rsid w:val="00DC155D"/>
    <w:rsid w:val="00DC2009"/>
    <w:rsid w:val="00DC255F"/>
    <w:rsid w:val="00DC2B71"/>
    <w:rsid w:val="00DC2B91"/>
    <w:rsid w:val="00DC2BB8"/>
    <w:rsid w:val="00DC3044"/>
    <w:rsid w:val="00DC3196"/>
    <w:rsid w:val="00DC3552"/>
    <w:rsid w:val="00DC358E"/>
    <w:rsid w:val="00DC35A7"/>
    <w:rsid w:val="00DC3C74"/>
    <w:rsid w:val="00DC3DAA"/>
    <w:rsid w:val="00DC4372"/>
    <w:rsid w:val="00DC464B"/>
    <w:rsid w:val="00DC4682"/>
    <w:rsid w:val="00DC4A45"/>
    <w:rsid w:val="00DC4A60"/>
    <w:rsid w:val="00DC4DC0"/>
    <w:rsid w:val="00DC4EE3"/>
    <w:rsid w:val="00DC4FBA"/>
    <w:rsid w:val="00DC52F9"/>
    <w:rsid w:val="00DC53A5"/>
    <w:rsid w:val="00DC57A9"/>
    <w:rsid w:val="00DC59D7"/>
    <w:rsid w:val="00DC5A0C"/>
    <w:rsid w:val="00DC5A63"/>
    <w:rsid w:val="00DC5BD9"/>
    <w:rsid w:val="00DC5DF6"/>
    <w:rsid w:val="00DC5E24"/>
    <w:rsid w:val="00DC61F3"/>
    <w:rsid w:val="00DC71F3"/>
    <w:rsid w:val="00DC72C0"/>
    <w:rsid w:val="00DC7423"/>
    <w:rsid w:val="00DC7495"/>
    <w:rsid w:val="00DC7642"/>
    <w:rsid w:val="00DC7F97"/>
    <w:rsid w:val="00DD0068"/>
    <w:rsid w:val="00DD0188"/>
    <w:rsid w:val="00DD02F1"/>
    <w:rsid w:val="00DD059C"/>
    <w:rsid w:val="00DD08B8"/>
    <w:rsid w:val="00DD0B7D"/>
    <w:rsid w:val="00DD1205"/>
    <w:rsid w:val="00DD1237"/>
    <w:rsid w:val="00DD1811"/>
    <w:rsid w:val="00DD2042"/>
    <w:rsid w:val="00DD204A"/>
    <w:rsid w:val="00DD245E"/>
    <w:rsid w:val="00DD2986"/>
    <w:rsid w:val="00DD29CE"/>
    <w:rsid w:val="00DD30D8"/>
    <w:rsid w:val="00DD36EF"/>
    <w:rsid w:val="00DD379C"/>
    <w:rsid w:val="00DD533D"/>
    <w:rsid w:val="00DD572D"/>
    <w:rsid w:val="00DD5850"/>
    <w:rsid w:val="00DD5D1B"/>
    <w:rsid w:val="00DD5DEF"/>
    <w:rsid w:val="00DD5F42"/>
    <w:rsid w:val="00DD6148"/>
    <w:rsid w:val="00DD6356"/>
    <w:rsid w:val="00DD6BAC"/>
    <w:rsid w:val="00DD6E24"/>
    <w:rsid w:val="00DD6EDC"/>
    <w:rsid w:val="00DD79E4"/>
    <w:rsid w:val="00DD7D7F"/>
    <w:rsid w:val="00DE00C3"/>
    <w:rsid w:val="00DE0151"/>
    <w:rsid w:val="00DE0382"/>
    <w:rsid w:val="00DE0622"/>
    <w:rsid w:val="00DE073A"/>
    <w:rsid w:val="00DE0ED9"/>
    <w:rsid w:val="00DE148D"/>
    <w:rsid w:val="00DE1501"/>
    <w:rsid w:val="00DE189F"/>
    <w:rsid w:val="00DE18C6"/>
    <w:rsid w:val="00DE1AA0"/>
    <w:rsid w:val="00DE22AA"/>
    <w:rsid w:val="00DE28D5"/>
    <w:rsid w:val="00DE2C7A"/>
    <w:rsid w:val="00DE3014"/>
    <w:rsid w:val="00DE3678"/>
    <w:rsid w:val="00DE37AD"/>
    <w:rsid w:val="00DE4143"/>
    <w:rsid w:val="00DE49D7"/>
    <w:rsid w:val="00DE4C08"/>
    <w:rsid w:val="00DE4CF0"/>
    <w:rsid w:val="00DE55C4"/>
    <w:rsid w:val="00DE56A0"/>
    <w:rsid w:val="00DE5743"/>
    <w:rsid w:val="00DE587E"/>
    <w:rsid w:val="00DE5EDE"/>
    <w:rsid w:val="00DE6035"/>
    <w:rsid w:val="00DE60C1"/>
    <w:rsid w:val="00DE6287"/>
    <w:rsid w:val="00DE6318"/>
    <w:rsid w:val="00DE66E2"/>
    <w:rsid w:val="00DE681F"/>
    <w:rsid w:val="00DE6916"/>
    <w:rsid w:val="00DE6C71"/>
    <w:rsid w:val="00DE6F5B"/>
    <w:rsid w:val="00DE6F61"/>
    <w:rsid w:val="00DE7245"/>
    <w:rsid w:val="00DE7D03"/>
    <w:rsid w:val="00DE7FA9"/>
    <w:rsid w:val="00DF066F"/>
    <w:rsid w:val="00DF0AB5"/>
    <w:rsid w:val="00DF0B46"/>
    <w:rsid w:val="00DF0E66"/>
    <w:rsid w:val="00DF0EE9"/>
    <w:rsid w:val="00DF1A28"/>
    <w:rsid w:val="00DF1A3B"/>
    <w:rsid w:val="00DF1D10"/>
    <w:rsid w:val="00DF214B"/>
    <w:rsid w:val="00DF21CF"/>
    <w:rsid w:val="00DF27E4"/>
    <w:rsid w:val="00DF287B"/>
    <w:rsid w:val="00DF2AA8"/>
    <w:rsid w:val="00DF2DC4"/>
    <w:rsid w:val="00DF2DCE"/>
    <w:rsid w:val="00DF2FFB"/>
    <w:rsid w:val="00DF33C6"/>
    <w:rsid w:val="00DF369D"/>
    <w:rsid w:val="00DF3770"/>
    <w:rsid w:val="00DF3885"/>
    <w:rsid w:val="00DF3B1E"/>
    <w:rsid w:val="00DF3DA2"/>
    <w:rsid w:val="00DF3ED0"/>
    <w:rsid w:val="00DF4071"/>
    <w:rsid w:val="00DF4624"/>
    <w:rsid w:val="00DF4A05"/>
    <w:rsid w:val="00DF4CCE"/>
    <w:rsid w:val="00DF4F3A"/>
    <w:rsid w:val="00DF4F51"/>
    <w:rsid w:val="00DF5074"/>
    <w:rsid w:val="00DF538C"/>
    <w:rsid w:val="00DF5AFD"/>
    <w:rsid w:val="00DF5E33"/>
    <w:rsid w:val="00DF5E83"/>
    <w:rsid w:val="00DF610C"/>
    <w:rsid w:val="00DF6188"/>
    <w:rsid w:val="00DF6772"/>
    <w:rsid w:val="00DF69D2"/>
    <w:rsid w:val="00DF6CE0"/>
    <w:rsid w:val="00DF6DB1"/>
    <w:rsid w:val="00DF7025"/>
    <w:rsid w:val="00DF7235"/>
    <w:rsid w:val="00DF796B"/>
    <w:rsid w:val="00DF7B31"/>
    <w:rsid w:val="00E002AA"/>
    <w:rsid w:val="00E00C48"/>
    <w:rsid w:val="00E0124A"/>
    <w:rsid w:val="00E0133D"/>
    <w:rsid w:val="00E01353"/>
    <w:rsid w:val="00E016A8"/>
    <w:rsid w:val="00E01A71"/>
    <w:rsid w:val="00E01D4F"/>
    <w:rsid w:val="00E0249F"/>
    <w:rsid w:val="00E024D6"/>
    <w:rsid w:val="00E02788"/>
    <w:rsid w:val="00E02F81"/>
    <w:rsid w:val="00E03FAD"/>
    <w:rsid w:val="00E0465B"/>
    <w:rsid w:val="00E046AE"/>
    <w:rsid w:val="00E04CC1"/>
    <w:rsid w:val="00E050D3"/>
    <w:rsid w:val="00E05513"/>
    <w:rsid w:val="00E05750"/>
    <w:rsid w:val="00E05BF4"/>
    <w:rsid w:val="00E060A1"/>
    <w:rsid w:val="00E06369"/>
    <w:rsid w:val="00E064CF"/>
    <w:rsid w:val="00E0699C"/>
    <w:rsid w:val="00E06B13"/>
    <w:rsid w:val="00E06DBD"/>
    <w:rsid w:val="00E06E38"/>
    <w:rsid w:val="00E06F01"/>
    <w:rsid w:val="00E074DF"/>
    <w:rsid w:val="00E07C5A"/>
    <w:rsid w:val="00E07D80"/>
    <w:rsid w:val="00E101E3"/>
    <w:rsid w:val="00E10845"/>
    <w:rsid w:val="00E11081"/>
    <w:rsid w:val="00E113C6"/>
    <w:rsid w:val="00E11BE7"/>
    <w:rsid w:val="00E11BF3"/>
    <w:rsid w:val="00E125EB"/>
    <w:rsid w:val="00E13118"/>
    <w:rsid w:val="00E13296"/>
    <w:rsid w:val="00E13325"/>
    <w:rsid w:val="00E14932"/>
    <w:rsid w:val="00E14A45"/>
    <w:rsid w:val="00E14B0A"/>
    <w:rsid w:val="00E14BBD"/>
    <w:rsid w:val="00E14E39"/>
    <w:rsid w:val="00E151F5"/>
    <w:rsid w:val="00E159DF"/>
    <w:rsid w:val="00E15EB8"/>
    <w:rsid w:val="00E15FEB"/>
    <w:rsid w:val="00E16616"/>
    <w:rsid w:val="00E167BA"/>
    <w:rsid w:val="00E16AC8"/>
    <w:rsid w:val="00E16B05"/>
    <w:rsid w:val="00E16D0E"/>
    <w:rsid w:val="00E16D81"/>
    <w:rsid w:val="00E17EB6"/>
    <w:rsid w:val="00E17F78"/>
    <w:rsid w:val="00E2000F"/>
    <w:rsid w:val="00E20567"/>
    <w:rsid w:val="00E20B7C"/>
    <w:rsid w:val="00E2151F"/>
    <w:rsid w:val="00E215F8"/>
    <w:rsid w:val="00E217E9"/>
    <w:rsid w:val="00E21903"/>
    <w:rsid w:val="00E225EF"/>
    <w:rsid w:val="00E22CE5"/>
    <w:rsid w:val="00E232BD"/>
    <w:rsid w:val="00E233DB"/>
    <w:rsid w:val="00E2396B"/>
    <w:rsid w:val="00E23996"/>
    <w:rsid w:val="00E23CAB"/>
    <w:rsid w:val="00E24134"/>
    <w:rsid w:val="00E2413B"/>
    <w:rsid w:val="00E24702"/>
    <w:rsid w:val="00E247E9"/>
    <w:rsid w:val="00E24877"/>
    <w:rsid w:val="00E24AC6"/>
    <w:rsid w:val="00E24BBB"/>
    <w:rsid w:val="00E24BD9"/>
    <w:rsid w:val="00E24C6A"/>
    <w:rsid w:val="00E24F75"/>
    <w:rsid w:val="00E252A6"/>
    <w:rsid w:val="00E255D6"/>
    <w:rsid w:val="00E25737"/>
    <w:rsid w:val="00E25A30"/>
    <w:rsid w:val="00E25AE9"/>
    <w:rsid w:val="00E25E18"/>
    <w:rsid w:val="00E2685F"/>
    <w:rsid w:val="00E26966"/>
    <w:rsid w:val="00E26A8A"/>
    <w:rsid w:val="00E26CFB"/>
    <w:rsid w:val="00E26EA1"/>
    <w:rsid w:val="00E26FC6"/>
    <w:rsid w:val="00E277A4"/>
    <w:rsid w:val="00E278CC"/>
    <w:rsid w:val="00E27C06"/>
    <w:rsid w:val="00E27EB8"/>
    <w:rsid w:val="00E27EEF"/>
    <w:rsid w:val="00E27FC9"/>
    <w:rsid w:val="00E3003D"/>
    <w:rsid w:val="00E30438"/>
    <w:rsid w:val="00E307AE"/>
    <w:rsid w:val="00E30AC1"/>
    <w:rsid w:val="00E30AE5"/>
    <w:rsid w:val="00E31310"/>
    <w:rsid w:val="00E31716"/>
    <w:rsid w:val="00E318A7"/>
    <w:rsid w:val="00E319A3"/>
    <w:rsid w:val="00E31D4B"/>
    <w:rsid w:val="00E31E00"/>
    <w:rsid w:val="00E31EB3"/>
    <w:rsid w:val="00E31EB7"/>
    <w:rsid w:val="00E3232B"/>
    <w:rsid w:val="00E324CE"/>
    <w:rsid w:val="00E324F3"/>
    <w:rsid w:val="00E325F9"/>
    <w:rsid w:val="00E32A12"/>
    <w:rsid w:val="00E330DB"/>
    <w:rsid w:val="00E335E5"/>
    <w:rsid w:val="00E336C9"/>
    <w:rsid w:val="00E33925"/>
    <w:rsid w:val="00E33C44"/>
    <w:rsid w:val="00E33E94"/>
    <w:rsid w:val="00E34228"/>
    <w:rsid w:val="00E3457D"/>
    <w:rsid w:val="00E347C4"/>
    <w:rsid w:val="00E347DC"/>
    <w:rsid w:val="00E35D56"/>
    <w:rsid w:val="00E36751"/>
    <w:rsid w:val="00E36917"/>
    <w:rsid w:val="00E370EA"/>
    <w:rsid w:val="00E3725F"/>
    <w:rsid w:val="00E37E13"/>
    <w:rsid w:val="00E37E94"/>
    <w:rsid w:val="00E404CA"/>
    <w:rsid w:val="00E40C59"/>
    <w:rsid w:val="00E40D0F"/>
    <w:rsid w:val="00E40D2B"/>
    <w:rsid w:val="00E410DC"/>
    <w:rsid w:val="00E41105"/>
    <w:rsid w:val="00E41209"/>
    <w:rsid w:val="00E415ED"/>
    <w:rsid w:val="00E41F1B"/>
    <w:rsid w:val="00E421DC"/>
    <w:rsid w:val="00E4246D"/>
    <w:rsid w:val="00E4279D"/>
    <w:rsid w:val="00E42A0D"/>
    <w:rsid w:val="00E43104"/>
    <w:rsid w:val="00E43634"/>
    <w:rsid w:val="00E439A1"/>
    <w:rsid w:val="00E43C23"/>
    <w:rsid w:val="00E43D70"/>
    <w:rsid w:val="00E4407A"/>
    <w:rsid w:val="00E4409F"/>
    <w:rsid w:val="00E442D8"/>
    <w:rsid w:val="00E44814"/>
    <w:rsid w:val="00E44913"/>
    <w:rsid w:val="00E452B7"/>
    <w:rsid w:val="00E45750"/>
    <w:rsid w:val="00E458BA"/>
    <w:rsid w:val="00E45A9D"/>
    <w:rsid w:val="00E45EF9"/>
    <w:rsid w:val="00E45EFC"/>
    <w:rsid w:val="00E460C4"/>
    <w:rsid w:val="00E46100"/>
    <w:rsid w:val="00E467CB"/>
    <w:rsid w:val="00E46B7F"/>
    <w:rsid w:val="00E46F6D"/>
    <w:rsid w:val="00E473A2"/>
    <w:rsid w:val="00E47501"/>
    <w:rsid w:val="00E475D0"/>
    <w:rsid w:val="00E47610"/>
    <w:rsid w:val="00E479DE"/>
    <w:rsid w:val="00E47A5F"/>
    <w:rsid w:val="00E47A64"/>
    <w:rsid w:val="00E47BB4"/>
    <w:rsid w:val="00E5019A"/>
    <w:rsid w:val="00E502E8"/>
    <w:rsid w:val="00E50334"/>
    <w:rsid w:val="00E503B8"/>
    <w:rsid w:val="00E50915"/>
    <w:rsid w:val="00E50A0F"/>
    <w:rsid w:val="00E51755"/>
    <w:rsid w:val="00E5177C"/>
    <w:rsid w:val="00E51997"/>
    <w:rsid w:val="00E51FED"/>
    <w:rsid w:val="00E5203A"/>
    <w:rsid w:val="00E521BF"/>
    <w:rsid w:val="00E526A0"/>
    <w:rsid w:val="00E528D1"/>
    <w:rsid w:val="00E52AB5"/>
    <w:rsid w:val="00E530A8"/>
    <w:rsid w:val="00E53208"/>
    <w:rsid w:val="00E532A4"/>
    <w:rsid w:val="00E5348A"/>
    <w:rsid w:val="00E53746"/>
    <w:rsid w:val="00E54087"/>
    <w:rsid w:val="00E54C58"/>
    <w:rsid w:val="00E55076"/>
    <w:rsid w:val="00E5513D"/>
    <w:rsid w:val="00E55491"/>
    <w:rsid w:val="00E55578"/>
    <w:rsid w:val="00E56236"/>
    <w:rsid w:val="00E56292"/>
    <w:rsid w:val="00E565CD"/>
    <w:rsid w:val="00E56E42"/>
    <w:rsid w:val="00E56F56"/>
    <w:rsid w:val="00E5706E"/>
    <w:rsid w:val="00E570AF"/>
    <w:rsid w:val="00E577B3"/>
    <w:rsid w:val="00E579AD"/>
    <w:rsid w:val="00E57BA7"/>
    <w:rsid w:val="00E6012F"/>
    <w:rsid w:val="00E604ED"/>
    <w:rsid w:val="00E60557"/>
    <w:rsid w:val="00E60D5E"/>
    <w:rsid w:val="00E61127"/>
    <w:rsid w:val="00E612A9"/>
    <w:rsid w:val="00E618C7"/>
    <w:rsid w:val="00E6196C"/>
    <w:rsid w:val="00E61ABC"/>
    <w:rsid w:val="00E61EC6"/>
    <w:rsid w:val="00E61F4F"/>
    <w:rsid w:val="00E61FDD"/>
    <w:rsid w:val="00E62167"/>
    <w:rsid w:val="00E62186"/>
    <w:rsid w:val="00E625A4"/>
    <w:rsid w:val="00E625C1"/>
    <w:rsid w:val="00E628E6"/>
    <w:rsid w:val="00E62ADA"/>
    <w:rsid w:val="00E62C6A"/>
    <w:rsid w:val="00E62DC6"/>
    <w:rsid w:val="00E62EC3"/>
    <w:rsid w:val="00E6300C"/>
    <w:rsid w:val="00E6328C"/>
    <w:rsid w:val="00E6337B"/>
    <w:rsid w:val="00E633DC"/>
    <w:rsid w:val="00E63686"/>
    <w:rsid w:val="00E63C73"/>
    <w:rsid w:val="00E64093"/>
    <w:rsid w:val="00E6446A"/>
    <w:rsid w:val="00E64695"/>
    <w:rsid w:val="00E64F13"/>
    <w:rsid w:val="00E650F1"/>
    <w:rsid w:val="00E653A7"/>
    <w:rsid w:val="00E65421"/>
    <w:rsid w:val="00E655D9"/>
    <w:rsid w:val="00E65821"/>
    <w:rsid w:val="00E65B33"/>
    <w:rsid w:val="00E65C6F"/>
    <w:rsid w:val="00E65CCB"/>
    <w:rsid w:val="00E66375"/>
    <w:rsid w:val="00E66574"/>
    <w:rsid w:val="00E66B4C"/>
    <w:rsid w:val="00E66D85"/>
    <w:rsid w:val="00E67382"/>
    <w:rsid w:val="00E67491"/>
    <w:rsid w:val="00E67494"/>
    <w:rsid w:val="00E6768B"/>
    <w:rsid w:val="00E678C7"/>
    <w:rsid w:val="00E6797A"/>
    <w:rsid w:val="00E70551"/>
    <w:rsid w:val="00E70870"/>
    <w:rsid w:val="00E70B0A"/>
    <w:rsid w:val="00E70B17"/>
    <w:rsid w:val="00E712D4"/>
    <w:rsid w:val="00E71317"/>
    <w:rsid w:val="00E7133D"/>
    <w:rsid w:val="00E715EF"/>
    <w:rsid w:val="00E71EE5"/>
    <w:rsid w:val="00E7221B"/>
    <w:rsid w:val="00E72297"/>
    <w:rsid w:val="00E725C3"/>
    <w:rsid w:val="00E72953"/>
    <w:rsid w:val="00E72D90"/>
    <w:rsid w:val="00E72EC9"/>
    <w:rsid w:val="00E7343D"/>
    <w:rsid w:val="00E73452"/>
    <w:rsid w:val="00E73C3B"/>
    <w:rsid w:val="00E73DD4"/>
    <w:rsid w:val="00E73DF5"/>
    <w:rsid w:val="00E74261"/>
    <w:rsid w:val="00E747D2"/>
    <w:rsid w:val="00E748C4"/>
    <w:rsid w:val="00E74985"/>
    <w:rsid w:val="00E7515F"/>
    <w:rsid w:val="00E75173"/>
    <w:rsid w:val="00E75453"/>
    <w:rsid w:val="00E7548E"/>
    <w:rsid w:val="00E754AA"/>
    <w:rsid w:val="00E75A6D"/>
    <w:rsid w:val="00E75A71"/>
    <w:rsid w:val="00E75C73"/>
    <w:rsid w:val="00E75DCC"/>
    <w:rsid w:val="00E75EE0"/>
    <w:rsid w:val="00E7640B"/>
    <w:rsid w:val="00E76576"/>
    <w:rsid w:val="00E7686C"/>
    <w:rsid w:val="00E772F1"/>
    <w:rsid w:val="00E77341"/>
    <w:rsid w:val="00E7752A"/>
    <w:rsid w:val="00E77660"/>
    <w:rsid w:val="00E77DC8"/>
    <w:rsid w:val="00E77E30"/>
    <w:rsid w:val="00E800FF"/>
    <w:rsid w:val="00E80382"/>
    <w:rsid w:val="00E805B2"/>
    <w:rsid w:val="00E8083B"/>
    <w:rsid w:val="00E80AD0"/>
    <w:rsid w:val="00E80CF2"/>
    <w:rsid w:val="00E8108C"/>
    <w:rsid w:val="00E81098"/>
    <w:rsid w:val="00E81834"/>
    <w:rsid w:val="00E8199D"/>
    <w:rsid w:val="00E81EB3"/>
    <w:rsid w:val="00E82087"/>
    <w:rsid w:val="00E82A74"/>
    <w:rsid w:val="00E82CC5"/>
    <w:rsid w:val="00E836A6"/>
    <w:rsid w:val="00E83B4D"/>
    <w:rsid w:val="00E83D2C"/>
    <w:rsid w:val="00E84472"/>
    <w:rsid w:val="00E845BD"/>
    <w:rsid w:val="00E849C3"/>
    <w:rsid w:val="00E852EC"/>
    <w:rsid w:val="00E8550D"/>
    <w:rsid w:val="00E85807"/>
    <w:rsid w:val="00E85FE3"/>
    <w:rsid w:val="00E86320"/>
    <w:rsid w:val="00E86B79"/>
    <w:rsid w:val="00E86DF7"/>
    <w:rsid w:val="00E870A1"/>
    <w:rsid w:val="00E87573"/>
    <w:rsid w:val="00E878F0"/>
    <w:rsid w:val="00E87CC9"/>
    <w:rsid w:val="00E900AE"/>
    <w:rsid w:val="00E9011D"/>
    <w:rsid w:val="00E905EF"/>
    <w:rsid w:val="00E90CA7"/>
    <w:rsid w:val="00E9104C"/>
    <w:rsid w:val="00E913A4"/>
    <w:rsid w:val="00E915EC"/>
    <w:rsid w:val="00E91C4B"/>
    <w:rsid w:val="00E91CD6"/>
    <w:rsid w:val="00E92176"/>
    <w:rsid w:val="00E92305"/>
    <w:rsid w:val="00E92829"/>
    <w:rsid w:val="00E92D2D"/>
    <w:rsid w:val="00E92DE5"/>
    <w:rsid w:val="00E93356"/>
    <w:rsid w:val="00E933B6"/>
    <w:rsid w:val="00E9358D"/>
    <w:rsid w:val="00E93671"/>
    <w:rsid w:val="00E93FF6"/>
    <w:rsid w:val="00E94A7B"/>
    <w:rsid w:val="00E94BA3"/>
    <w:rsid w:val="00E95084"/>
    <w:rsid w:val="00E95156"/>
    <w:rsid w:val="00E95469"/>
    <w:rsid w:val="00E958FC"/>
    <w:rsid w:val="00E95C04"/>
    <w:rsid w:val="00E95FB8"/>
    <w:rsid w:val="00E966D0"/>
    <w:rsid w:val="00E96ABE"/>
    <w:rsid w:val="00E97208"/>
    <w:rsid w:val="00E97328"/>
    <w:rsid w:val="00E97D51"/>
    <w:rsid w:val="00E97EB8"/>
    <w:rsid w:val="00EA04F3"/>
    <w:rsid w:val="00EA057E"/>
    <w:rsid w:val="00EA0626"/>
    <w:rsid w:val="00EA09CF"/>
    <w:rsid w:val="00EA0C44"/>
    <w:rsid w:val="00EA118A"/>
    <w:rsid w:val="00EA1478"/>
    <w:rsid w:val="00EA188E"/>
    <w:rsid w:val="00EA1CD0"/>
    <w:rsid w:val="00EA1CFF"/>
    <w:rsid w:val="00EA20BA"/>
    <w:rsid w:val="00EA23C9"/>
    <w:rsid w:val="00EA270D"/>
    <w:rsid w:val="00EA287F"/>
    <w:rsid w:val="00EA29DC"/>
    <w:rsid w:val="00EA2CAF"/>
    <w:rsid w:val="00EA3295"/>
    <w:rsid w:val="00EA3717"/>
    <w:rsid w:val="00EA3753"/>
    <w:rsid w:val="00EA3D26"/>
    <w:rsid w:val="00EA3EC0"/>
    <w:rsid w:val="00EA3FB5"/>
    <w:rsid w:val="00EA457F"/>
    <w:rsid w:val="00EA48D3"/>
    <w:rsid w:val="00EA543D"/>
    <w:rsid w:val="00EA55DE"/>
    <w:rsid w:val="00EA5EB9"/>
    <w:rsid w:val="00EA6340"/>
    <w:rsid w:val="00EA65A4"/>
    <w:rsid w:val="00EA67B8"/>
    <w:rsid w:val="00EA6F7F"/>
    <w:rsid w:val="00EA729A"/>
    <w:rsid w:val="00EA76E9"/>
    <w:rsid w:val="00EA785B"/>
    <w:rsid w:val="00EA7E54"/>
    <w:rsid w:val="00EA7F1C"/>
    <w:rsid w:val="00EB040A"/>
    <w:rsid w:val="00EB0486"/>
    <w:rsid w:val="00EB0531"/>
    <w:rsid w:val="00EB053F"/>
    <w:rsid w:val="00EB07E8"/>
    <w:rsid w:val="00EB118C"/>
    <w:rsid w:val="00EB1645"/>
    <w:rsid w:val="00EB1A7E"/>
    <w:rsid w:val="00EB1B90"/>
    <w:rsid w:val="00EB1BF6"/>
    <w:rsid w:val="00EB219E"/>
    <w:rsid w:val="00EB230E"/>
    <w:rsid w:val="00EB254B"/>
    <w:rsid w:val="00EB26A7"/>
    <w:rsid w:val="00EB2763"/>
    <w:rsid w:val="00EB2C01"/>
    <w:rsid w:val="00EB2CC1"/>
    <w:rsid w:val="00EB2F7E"/>
    <w:rsid w:val="00EB2FB9"/>
    <w:rsid w:val="00EB318E"/>
    <w:rsid w:val="00EB31B9"/>
    <w:rsid w:val="00EB33EB"/>
    <w:rsid w:val="00EB3508"/>
    <w:rsid w:val="00EB3683"/>
    <w:rsid w:val="00EB3A05"/>
    <w:rsid w:val="00EB413A"/>
    <w:rsid w:val="00EB4B17"/>
    <w:rsid w:val="00EB50E7"/>
    <w:rsid w:val="00EB5124"/>
    <w:rsid w:val="00EB55F0"/>
    <w:rsid w:val="00EB5947"/>
    <w:rsid w:val="00EB59C1"/>
    <w:rsid w:val="00EB5A0B"/>
    <w:rsid w:val="00EB5BD6"/>
    <w:rsid w:val="00EB5F07"/>
    <w:rsid w:val="00EB5F8B"/>
    <w:rsid w:val="00EB6488"/>
    <w:rsid w:val="00EB6767"/>
    <w:rsid w:val="00EB6822"/>
    <w:rsid w:val="00EB6C3C"/>
    <w:rsid w:val="00EB6F53"/>
    <w:rsid w:val="00EB72C0"/>
    <w:rsid w:val="00EB7A68"/>
    <w:rsid w:val="00EB7B63"/>
    <w:rsid w:val="00EB7C94"/>
    <w:rsid w:val="00EB7DA3"/>
    <w:rsid w:val="00EC0415"/>
    <w:rsid w:val="00EC0504"/>
    <w:rsid w:val="00EC05F1"/>
    <w:rsid w:val="00EC08B5"/>
    <w:rsid w:val="00EC08B7"/>
    <w:rsid w:val="00EC09CF"/>
    <w:rsid w:val="00EC0DB4"/>
    <w:rsid w:val="00EC0F4A"/>
    <w:rsid w:val="00EC1271"/>
    <w:rsid w:val="00EC18E1"/>
    <w:rsid w:val="00EC1E38"/>
    <w:rsid w:val="00EC21B4"/>
    <w:rsid w:val="00EC21D1"/>
    <w:rsid w:val="00EC259A"/>
    <w:rsid w:val="00EC25FD"/>
    <w:rsid w:val="00EC2730"/>
    <w:rsid w:val="00EC2D76"/>
    <w:rsid w:val="00EC2EC4"/>
    <w:rsid w:val="00EC37E5"/>
    <w:rsid w:val="00EC385D"/>
    <w:rsid w:val="00EC3A23"/>
    <w:rsid w:val="00EC44DA"/>
    <w:rsid w:val="00EC4593"/>
    <w:rsid w:val="00EC4A72"/>
    <w:rsid w:val="00EC4AC3"/>
    <w:rsid w:val="00EC4DA1"/>
    <w:rsid w:val="00EC4EA6"/>
    <w:rsid w:val="00EC5285"/>
    <w:rsid w:val="00EC5479"/>
    <w:rsid w:val="00EC54AC"/>
    <w:rsid w:val="00EC5855"/>
    <w:rsid w:val="00EC5DB4"/>
    <w:rsid w:val="00EC6021"/>
    <w:rsid w:val="00EC62F1"/>
    <w:rsid w:val="00EC647D"/>
    <w:rsid w:val="00EC662F"/>
    <w:rsid w:val="00EC6D34"/>
    <w:rsid w:val="00EC6F51"/>
    <w:rsid w:val="00EC7374"/>
    <w:rsid w:val="00EC7FCC"/>
    <w:rsid w:val="00ED0025"/>
    <w:rsid w:val="00ED0045"/>
    <w:rsid w:val="00ED0276"/>
    <w:rsid w:val="00ED0524"/>
    <w:rsid w:val="00ED06EA"/>
    <w:rsid w:val="00ED0819"/>
    <w:rsid w:val="00ED09BB"/>
    <w:rsid w:val="00ED0C69"/>
    <w:rsid w:val="00ED0C84"/>
    <w:rsid w:val="00ED0D90"/>
    <w:rsid w:val="00ED0FB3"/>
    <w:rsid w:val="00ED1409"/>
    <w:rsid w:val="00ED1BCA"/>
    <w:rsid w:val="00ED1D94"/>
    <w:rsid w:val="00ED1EFA"/>
    <w:rsid w:val="00ED2E94"/>
    <w:rsid w:val="00ED323F"/>
    <w:rsid w:val="00ED334B"/>
    <w:rsid w:val="00ED33C0"/>
    <w:rsid w:val="00ED373F"/>
    <w:rsid w:val="00ED3A22"/>
    <w:rsid w:val="00ED3F63"/>
    <w:rsid w:val="00ED4671"/>
    <w:rsid w:val="00ED4769"/>
    <w:rsid w:val="00ED496C"/>
    <w:rsid w:val="00ED4E59"/>
    <w:rsid w:val="00ED4FFD"/>
    <w:rsid w:val="00ED551A"/>
    <w:rsid w:val="00ED5754"/>
    <w:rsid w:val="00ED591A"/>
    <w:rsid w:val="00ED5D5E"/>
    <w:rsid w:val="00ED6106"/>
    <w:rsid w:val="00ED6198"/>
    <w:rsid w:val="00ED6585"/>
    <w:rsid w:val="00ED6BBF"/>
    <w:rsid w:val="00ED704E"/>
    <w:rsid w:val="00ED7149"/>
    <w:rsid w:val="00ED7248"/>
    <w:rsid w:val="00ED72BC"/>
    <w:rsid w:val="00ED743F"/>
    <w:rsid w:val="00ED7459"/>
    <w:rsid w:val="00ED74BB"/>
    <w:rsid w:val="00ED76BA"/>
    <w:rsid w:val="00ED76EE"/>
    <w:rsid w:val="00ED7766"/>
    <w:rsid w:val="00ED79BA"/>
    <w:rsid w:val="00ED7C5C"/>
    <w:rsid w:val="00ED7D8A"/>
    <w:rsid w:val="00ED7FE6"/>
    <w:rsid w:val="00EE027E"/>
    <w:rsid w:val="00EE0D68"/>
    <w:rsid w:val="00EE0FB6"/>
    <w:rsid w:val="00EE1360"/>
    <w:rsid w:val="00EE13D8"/>
    <w:rsid w:val="00EE1622"/>
    <w:rsid w:val="00EE17BC"/>
    <w:rsid w:val="00EE21A9"/>
    <w:rsid w:val="00EE228E"/>
    <w:rsid w:val="00EE2346"/>
    <w:rsid w:val="00EE25E0"/>
    <w:rsid w:val="00EE29CD"/>
    <w:rsid w:val="00EE29E6"/>
    <w:rsid w:val="00EE2A58"/>
    <w:rsid w:val="00EE3027"/>
    <w:rsid w:val="00EE3598"/>
    <w:rsid w:val="00EE35A9"/>
    <w:rsid w:val="00EE39A5"/>
    <w:rsid w:val="00EE3AB7"/>
    <w:rsid w:val="00EE3ADD"/>
    <w:rsid w:val="00EE46E7"/>
    <w:rsid w:val="00EE47E0"/>
    <w:rsid w:val="00EE4BE6"/>
    <w:rsid w:val="00EE5727"/>
    <w:rsid w:val="00EE595B"/>
    <w:rsid w:val="00EE624F"/>
    <w:rsid w:val="00EE628C"/>
    <w:rsid w:val="00EE6B00"/>
    <w:rsid w:val="00EE6BD9"/>
    <w:rsid w:val="00EE6C39"/>
    <w:rsid w:val="00EE6C89"/>
    <w:rsid w:val="00EE6DF7"/>
    <w:rsid w:val="00EE788C"/>
    <w:rsid w:val="00EE7933"/>
    <w:rsid w:val="00EE7BF8"/>
    <w:rsid w:val="00EE7C2A"/>
    <w:rsid w:val="00EE7C2B"/>
    <w:rsid w:val="00EE7FB0"/>
    <w:rsid w:val="00EF0317"/>
    <w:rsid w:val="00EF0AB4"/>
    <w:rsid w:val="00EF0FAA"/>
    <w:rsid w:val="00EF1149"/>
    <w:rsid w:val="00EF1C32"/>
    <w:rsid w:val="00EF1D38"/>
    <w:rsid w:val="00EF1F66"/>
    <w:rsid w:val="00EF2A37"/>
    <w:rsid w:val="00EF330A"/>
    <w:rsid w:val="00EF3349"/>
    <w:rsid w:val="00EF3414"/>
    <w:rsid w:val="00EF3608"/>
    <w:rsid w:val="00EF38AE"/>
    <w:rsid w:val="00EF394E"/>
    <w:rsid w:val="00EF3B45"/>
    <w:rsid w:val="00EF3EA2"/>
    <w:rsid w:val="00EF4101"/>
    <w:rsid w:val="00EF47D0"/>
    <w:rsid w:val="00EF4B00"/>
    <w:rsid w:val="00EF5664"/>
    <w:rsid w:val="00EF566C"/>
    <w:rsid w:val="00EF5ACF"/>
    <w:rsid w:val="00EF5B4A"/>
    <w:rsid w:val="00EF5C75"/>
    <w:rsid w:val="00EF5F5E"/>
    <w:rsid w:val="00EF61E3"/>
    <w:rsid w:val="00EF62DA"/>
    <w:rsid w:val="00EF639E"/>
    <w:rsid w:val="00EF6405"/>
    <w:rsid w:val="00EF661B"/>
    <w:rsid w:val="00EF6654"/>
    <w:rsid w:val="00EF6945"/>
    <w:rsid w:val="00EF6F71"/>
    <w:rsid w:val="00EF7040"/>
    <w:rsid w:val="00EF70F6"/>
    <w:rsid w:val="00EF71FA"/>
    <w:rsid w:val="00EF768C"/>
    <w:rsid w:val="00EF7722"/>
    <w:rsid w:val="00F0013C"/>
    <w:rsid w:val="00F001AD"/>
    <w:rsid w:val="00F003FA"/>
    <w:rsid w:val="00F0077F"/>
    <w:rsid w:val="00F0093F"/>
    <w:rsid w:val="00F00D00"/>
    <w:rsid w:val="00F00D96"/>
    <w:rsid w:val="00F00EBC"/>
    <w:rsid w:val="00F0158B"/>
    <w:rsid w:val="00F016CA"/>
    <w:rsid w:val="00F0207B"/>
    <w:rsid w:val="00F02098"/>
    <w:rsid w:val="00F02593"/>
    <w:rsid w:val="00F02F11"/>
    <w:rsid w:val="00F0307C"/>
    <w:rsid w:val="00F0397A"/>
    <w:rsid w:val="00F03D32"/>
    <w:rsid w:val="00F03DC2"/>
    <w:rsid w:val="00F03F64"/>
    <w:rsid w:val="00F04AB6"/>
    <w:rsid w:val="00F04B7D"/>
    <w:rsid w:val="00F052C7"/>
    <w:rsid w:val="00F053E2"/>
    <w:rsid w:val="00F0552F"/>
    <w:rsid w:val="00F05551"/>
    <w:rsid w:val="00F0581E"/>
    <w:rsid w:val="00F05C3F"/>
    <w:rsid w:val="00F05D90"/>
    <w:rsid w:val="00F06335"/>
    <w:rsid w:val="00F067DB"/>
    <w:rsid w:val="00F070E7"/>
    <w:rsid w:val="00F07354"/>
    <w:rsid w:val="00F0739F"/>
    <w:rsid w:val="00F07575"/>
    <w:rsid w:val="00F07A39"/>
    <w:rsid w:val="00F07A70"/>
    <w:rsid w:val="00F07C0E"/>
    <w:rsid w:val="00F07ECE"/>
    <w:rsid w:val="00F1006D"/>
    <w:rsid w:val="00F102E3"/>
    <w:rsid w:val="00F1037A"/>
    <w:rsid w:val="00F10951"/>
    <w:rsid w:val="00F10A6E"/>
    <w:rsid w:val="00F10CFB"/>
    <w:rsid w:val="00F111D5"/>
    <w:rsid w:val="00F113D0"/>
    <w:rsid w:val="00F11426"/>
    <w:rsid w:val="00F115DD"/>
    <w:rsid w:val="00F117AD"/>
    <w:rsid w:val="00F117E1"/>
    <w:rsid w:val="00F11C3B"/>
    <w:rsid w:val="00F122EF"/>
    <w:rsid w:val="00F12544"/>
    <w:rsid w:val="00F12719"/>
    <w:rsid w:val="00F12C83"/>
    <w:rsid w:val="00F1308C"/>
    <w:rsid w:val="00F1315A"/>
    <w:rsid w:val="00F1345C"/>
    <w:rsid w:val="00F13939"/>
    <w:rsid w:val="00F13C77"/>
    <w:rsid w:val="00F13CA4"/>
    <w:rsid w:val="00F13F35"/>
    <w:rsid w:val="00F13FB0"/>
    <w:rsid w:val="00F14347"/>
    <w:rsid w:val="00F14459"/>
    <w:rsid w:val="00F144CE"/>
    <w:rsid w:val="00F1458B"/>
    <w:rsid w:val="00F148BE"/>
    <w:rsid w:val="00F14BB1"/>
    <w:rsid w:val="00F15714"/>
    <w:rsid w:val="00F157F8"/>
    <w:rsid w:val="00F1596B"/>
    <w:rsid w:val="00F15A5E"/>
    <w:rsid w:val="00F160DF"/>
    <w:rsid w:val="00F16809"/>
    <w:rsid w:val="00F169A2"/>
    <w:rsid w:val="00F16D96"/>
    <w:rsid w:val="00F16E7A"/>
    <w:rsid w:val="00F16F18"/>
    <w:rsid w:val="00F175D5"/>
    <w:rsid w:val="00F179E2"/>
    <w:rsid w:val="00F17AD0"/>
    <w:rsid w:val="00F17B8F"/>
    <w:rsid w:val="00F17DE0"/>
    <w:rsid w:val="00F17E15"/>
    <w:rsid w:val="00F20338"/>
    <w:rsid w:val="00F20481"/>
    <w:rsid w:val="00F20D01"/>
    <w:rsid w:val="00F21333"/>
    <w:rsid w:val="00F219A2"/>
    <w:rsid w:val="00F22462"/>
    <w:rsid w:val="00F22612"/>
    <w:rsid w:val="00F22CB9"/>
    <w:rsid w:val="00F22FE8"/>
    <w:rsid w:val="00F23118"/>
    <w:rsid w:val="00F236D5"/>
    <w:rsid w:val="00F237B3"/>
    <w:rsid w:val="00F2449C"/>
    <w:rsid w:val="00F24602"/>
    <w:rsid w:val="00F24792"/>
    <w:rsid w:val="00F24970"/>
    <w:rsid w:val="00F24A40"/>
    <w:rsid w:val="00F24EC3"/>
    <w:rsid w:val="00F2503B"/>
    <w:rsid w:val="00F25099"/>
    <w:rsid w:val="00F25A13"/>
    <w:rsid w:val="00F25A20"/>
    <w:rsid w:val="00F25A94"/>
    <w:rsid w:val="00F26328"/>
    <w:rsid w:val="00F265E4"/>
    <w:rsid w:val="00F266BA"/>
    <w:rsid w:val="00F268D1"/>
    <w:rsid w:val="00F26BC4"/>
    <w:rsid w:val="00F26C44"/>
    <w:rsid w:val="00F26D42"/>
    <w:rsid w:val="00F26EE1"/>
    <w:rsid w:val="00F273E6"/>
    <w:rsid w:val="00F27519"/>
    <w:rsid w:val="00F2774F"/>
    <w:rsid w:val="00F2781A"/>
    <w:rsid w:val="00F2791F"/>
    <w:rsid w:val="00F27E8D"/>
    <w:rsid w:val="00F302AB"/>
    <w:rsid w:val="00F30346"/>
    <w:rsid w:val="00F30588"/>
    <w:rsid w:val="00F30B19"/>
    <w:rsid w:val="00F30D24"/>
    <w:rsid w:val="00F30D2C"/>
    <w:rsid w:val="00F30E79"/>
    <w:rsid w:val="00F30EB9"/>
    <w:rsid w:val="00F312AC"/>
    <w:rsid w:val="00F31466"/>
    <w:rsid w:val="00F316EC"/>
    <w:rsid w:val="00F31887"/>
    <w:rsid w:val="00F31D2C"/>
    <w:rsid w:val="00F31F1D"/>
    <w:rsid w:val="00F320B7"/>
    <w:rsid w:val="00F3228E"/>
    <w:rsid w:val="00F32525"/>
    <w:rsid w:val="00F3255D"/>
    <w:rsid w:val="00F32CDC"/>
    <w:rsid w:val="00F32E0B"/>
    <w:rsid w:val="00F32F71"/>
    <w:rsid w:val="00F335E5"/>
    <w:rsid w:val="00F33E40"/>
    <w:rsid w:val="00F3417C"/>
    <w:rsid w:val="00F3463E"/>
    <w:rsid w:val="00F34B3D"/>
    <w:rsid w:val="00F359DD"/>
    <w:rsid w:val="00F35A10"/>
    <w:rsid w:val="00F35EC7"/>
    <w:rsid w:val="00F361D1"/>
    <w:rsid w:val="00F36369"/>
    <w:rsid w:val="00F36648"/>
    <w:rsid w:val="00F36F92"/>
    <w:rsid w:val="00F370B4"/>
    <w:rsid w:val="00F370FD"/>
    <w:rsid w:val="00F371FC"/>
    <w:rsid w:val="00F37321"/>
    <w:rsid w:val="00F3784D"/>
    <w:rsid w:val="00F37B7C"/>
    <w:rsid w:val="00F37E4B"/>
    <w:rsid w:val="00F401DF"/>
    <w:rsid w:val="00F402A4"/>
    <w:rsid w:val="00F402CB"/>
    <w:rsid w:val="00F40382"/>
    <w:rsid w:val="00F409CD"/>
    <w:rsid w:val="00F41251"/>
    <w:rsid w:val="00F413B6"/>
    <w:rsid w:val="00F413E6"/>
    <w:rsid w:val="00F41FA0"/>
    <w:rsid w:val="00F42165"/>
    <w:rsid w:val="00F422AF"/>
    <w:rsid w:val="00F423BA"/>
    <w:rsid w:val="00F4241C"/>
    <w:rsid w:val="00F4263C"/>
    <w:rsid w:val="00F4299C"/>
    <w:rsid w:val="00F42F62"/>
    <w:rsid w:val="00F43327"/>
    <w:rsid w:val="00F433F3"/>
    <w:rsid w:val="00F4360F"/>
    <w:rsid w:val="00F43737"/>
    <w:rsid w:val="00F44128"/>
    <w:rsid w:val="00F44451"/>
    <w:rsid w:val="00F444ED"/>
    <w:rsid w:val="00F449A7"/>
    <w:rsid w:val="00F44B07"/>
    <w:rsid w:val="00F44B19"/>
    <w:rsid w:val="00F44DFA"/>
    <w:rsid w:val="00F45B2D"/>
    <w:rsid w:val="00F45FCD"/>
    <w:rsid w:val="00F462C2"/>
    <w:rsid w:val="00F46420"/>
    <w:rsid w:val="00F46C3F"/>
    <w:rsid w:val="00F46CC9"/>
    <w:rsid w:val="00F46E74"/>
    <w:rsid w:val="00F47611"/>
    <w:rsid w:val="00F47B55"/>
    <w:rsid w:val="00F50235"/>
    <w:rsid w:val="00F502D2"/>
    <w:rsid w:val="00F507C2"/>
    <w:rsid w:val="00F50840"/>
    <w:rsid w:val="00F508E3"/>
    <w:rsid w:val="00F50B61"/>
    <w:rsid w:val="00F50DF8"/>
    <w:rsid w:val="00F50E86"/>
    <w:rsid w:val="00F5160D"/>
    <w:rsid w:val="00F51C45"/>
    <w:rsid w:val="00F52467"/>
    <w:rsid w:val="00F526AF"/>
    <w:rsid w:val="00F5270C"/>
    <w:rsid w:val="00F5288D"/>
    <w:rsid w:val="00F52A25"/>
    <w:rsid w:val="00F52A5A"/>
    <w:rsid w:val="00F52D2B"/>
    <w:rsid w:val="00F53144"/>
    <w:rsid w:val="00F53272"/>
    <w:rsid w:val="00F53404"/>
    <w:rsid w:val="00F5351D"/>
    <w:rsid w:val="00F53828"/>
    <w:rsid w:val="00F5408F"/>
    <w:rsid w:val="00F549C0"/>
    <w:rsid w:val="00F550CB"/>
    <w:rsid w:val="00F551FE"/>
    <w:rsid w:val="00F553E8"/>
    <w:rsid w:val="00F559FA"/>
    <w:rsid w:val="00F55B36"/>
    <w:rsid w:val="00F55C8D"/>
    <w:rsid w:val="00F56548"/>
    <w:rsid w:val="00F56708"/>
    <w:rsid w:val="00F56EE6"/>
    <w:rsid w:val="00F56FF2"/>
    <w:rsid w:val="00F57020"/>
    <w:rsid w:val="00F573D4"/>
    <w:rsid w:val="00F57550"/>
    <w:rsid w:val="00F57578"/>
    <w:rsid w:val="00F575F8"/>
    <w:rsid w:val="00F57BAE"/>
    <w:rsid w:val="00F57BBC"/>
    <w:rsid w:val="00F57E06"/>
    <w:rsid w:val="00F57EF8"/>
    <w:rsid w:val="00F57FF9"/>
    <w:rsid w:val="00F612AF"/>
    <w:rsid w:val="00F6167F"/>
    <w:rsid w:val="00F61824"/>
    <w:rsid w:val="00F618AF"/>
    <w:rsid w:val="00F61B24"/>
    <w:rsid w:val="00F61D01"/>
    <w:rsid w:val="00F61D8A"/>
    <w:rsid w:val="00F61DE1"/>
    <w:rsid w:val="00F62CC3"/>
    <w:rsid w:val="00F62D07"/>
    <w:rsid w:val="00F62D0D"/>
    <w:rsid w:val="00F633EC"/>
    <w:rsid w:val="00F63C3B"/>
    <w:rsid w:val="00F63EFA"/>
    <w:rsid w:val="00F641E5"/>
    <w:rsid w:val="00F6438D"/>
    <w:rsid w:val="00F644F9"/>
    <w:rsid w:val="00F6479C"/>
    <w:rsid w:val="00F64E06"/>
    <w:rsid w:val="00F64E54"/>
    <w:rsid w:val="00F64F92"/>
    <w:rsid w:val="00F65039"/>
    <w:rsid w:val="00F65764"/>
    <w:rsid w:val="00F659C5"/>
    <w:rsid w:val="00F65A3C"/>
    <w:rsid w:val="00F6631D"/>
    <w:rsid w:val="00F666D2"/>
    <w:rsid w:val="00F6675F"/>
    <w:rsid w:val="00F66861"/>
    <w:rsid w:val="00F66878"/>
    <w:rsid w:val="00F66B4C"/>
    <w:rsid w:val="00F67248"/>
    <w:rsid w:val="00F675C7"/>
    <w:rsid w:val="00F6767D"/>
    <w:rsid w:val="00F67AB5"/>
    <w:rsid w:val="00F67E31"/>
    <w:rsid w:val="00F704ED"/>
    <w:rsid w:val="00F7058C"/>
    <w:rsid w:val="00F705EA"/>
    <w:rsid w:val="00F706B8"/>
    <w:rsid w:val="00F71B0A"/>
    <w:rsid w:val="00F71B60"/>
    <w:rsid w:val="00F71BD7"/>
    <w:rsid w:val="00F71C45"/>
    <w:rsid w:val="00F71F6C"/>
    <w:rsid w:val="00F724B3"/>
    <w:rsid w:val="00F726C8"/>
    <w:rsid w:val="00F727DD"/>
    <w:rsid w:val="00F7298F"/>
    <w:rsid w:val="00F72A11"/>
    <w:rsid w:val="00F72EF1"/>
    <w:rsid w:val="00F730A6"/>
    <w:rsid w:val="00F731E1"/>
    <w:rsid w:val="00F733DB"/>
    <w:rsid w:val="00F737BD"/>
    <w:rsid w:val="00F73903"/>
    <w:rsid w:val="00F741CB"/>
    <w:rsid w:val="00F744DB"/>
    <w:rsid w:val="00F745CE"/>
    <w:rsid w:val="00F74B1C"/>
    <w:rsid w:val="00F750B6"/>
    <w:rsid w:val="00F7561F"/>
    <w:rsid w:val="00F7605C"/>
    <w:rsid w:val="00F768FE"/>
    <w:rsid w:val="00F7698C"/>
    <w:rsid w:val="00F76BC1"/>
    <w:rsid w:val="00F7704F"/>
    <w:rsid w:val="00F77164"/>
    <w:rsid w:val="00F77459"/>
    <w:rsid w:val="00F775A5"/>
    <w:rsid w:val="00F7779A"/>
    <w:rsid w:val="00F77CC6"/>
    <w:rsid w:val="00F77D5B"/>
    <w:rsid w:val="00F8001A"/>
    <w:rsid w:val="00F80039"/>
    <w:rsid w:val="00F800B3"/>
    <w:rsid w:val="00F80185"/>
    <w:rsid w:val="00F8074E"/>
    <w:rsid w:val="00F80C0F"/>
    <w:rsid w:val="00F80C94"/>
    <w:rsid w:val="00F80D9C"/>
    <w:rsid w:val="00F817E5"/>
    <w:rsid w:val="00F821E8"/>
    <w:rsid w:val="00F82284"/>
    <w:rsid w:val="00F827EB"/>
    <w:rsid w:val="00F82D1B"/>
    <w:rsid w:val="00F832C0"/>
    <w:rsid w:val="00F83F0C"/>
    <w:rsid w:val="00F84259"/>
    <w:rsid w:val="00F84B5E"/>
    <w:rsid w:val="00F84F5C"/>
    <w:rsid w:val="00F84FD3"/>
    <w:rsid w:val="00F85060"/>
    <w:rsid w:val="00F85091"/>
    <w:rsid w:val="00F85531"/>
    <w:rsid w:val="00F855F8"/>
    <w:rsid w:val="00F85BB5"/>
    <w:rsid w:val="00F85DE3"/>
    <w:rsid w:val="00F86160"/>
    <w:rsid w:val="00F86222"/>
    <w:rsid w:val="00F86A12"/>
    <w:rsid w:val="00F86A80"/>
    <w:rsid w:val="00F86CDC"/>
    <w:rsid w:val="00F86E91"/>
    <w:rsid w:val="00F87025"/>
    <w:rsid w:val="00F873B5"/>
    <w:rsid w:val="00F876AE"/>
    <w:rsid w:val="00F901BB"/>
    <w:rsid w:val="00F90830"/>
    <w:rsid w:val="00F90DDB"/>
    <w:rsid w:val="00F910F1"/>
    <w:rsid w:val="00F91362"/>
    <w:rsid w:val="00F914E6"/>
    <w:rsid w:val="00F919AC"/>
    <w:rsid w:val="00F92367"/>
    <w:rsid w:val="00F924E7"/>
    <w:rsid w:val="00F925FF"/>
    <w:rsid w:val="00F926E2"/>
    <w:rsid w:val="00F93CD3"/>
    <w:rsid w:val="00F93F91"/>
    <w:rsid w:val="00F9424F"/>
    <w:rsid w:val="00F94A38"/>
    <w:rsid w:val="00F94CA1"/>
    <w:rsid w:val="00F94CEF"/>
    <w:rsid w:val="00F94DC6"/>
    <w:rsid w:val="00F94DE4"/>
    <w:rsid w:val="00F94E98"/>
    <w:rsid w:val="00F953B7"/>
    <w:rsid w:val="00F95415"/>
    <w:rsid w:val="00F95769"/>
    <w:rsid w:val="00F95814"/>
    <w:rsid w:val="00F959C0"/>
    <w:rsid w:val="00F95BAC"/>
    <w:rsid w:val="00F95C1B"/>
    <w:rsid w:val="00F96023"/>
    <w:rsid w:val="00F96306"/>
    <w:rsid w:val="00F96375"/>
    <w:rsid w:val="00F963E7"/>
    <w:rsid w:val="00F9641D"/>
    <w:rsid w:val="00F966F3"/>
    <w:rsid w:val="00F96BF0"/>
    <w:rsid w:val="00F96DED"/>
    <w:rsid w:val="00F96F2A"/>
    <w:rsid w:val="00F96F4A"/>
    <w:rsid w:val="00F97094"/>
    <w:rsid w:val="00F97190"/>
    <w:rsid w:val="00F97195"/>
    <w:rsid w:val="00F9744E"/>
    <w:rsid w:val="00F97472"/>
    <w:rsid w:val="00F9788B"/>
    <w:rsid w:val="00F97934"/>
    <w:rsid w:val="00F979C7"/>
    <w:rsid w:val="00F979D9"/>
    <w:rsid w:val="00F97CA1"/>
    <w:rsid w:val="00F97DF5"/>
    <w:rsid w:val="00FA075D"/>
    <w:rsid w:val="00FA0AD0"/>
    <w:rsid w:val="00FA0C2A"/>
    <w:rsid w:val="00FA0CB7"/>
    <w:rsid w:val="00FA182F"/>
    <w:rsid w:val="00FA1B95"/>
    <w:rsid w:val="00FA1D4B"/>
    <w:rsid w:val="00FA20D5"/>
    <w:rsid w:val="00FA2120"/>
    <w:rsid w:val="00FA24EA"/>
    <w:rsid w:val="00FA2C38"/>
    <w:rsid w:val="00FA2EE1"/>
    <w:rsid w:val="00FA2F28"/>
    <w:rsid w:val="00FA3126"/>
    <w:rsid w:val="00FA3245"/>
    <w:rsid w:val="00FA35C5"/>
    <w:rsid w:val="00FA3FFF"/>
    <w:rsid w:val="00FA4136"/>
    <w:rsid w:val="00FA4E40"/>
    <w:rsid w:val="00FA50BB"/>
    <w:rsid w:val="00FA5514"/>
    <w:rsid w:val="00FA56D7"/>
    <w:rsid w:val="00FA592C"/>
    <w:rsid w:val="00FA5A7E"/>
    <w:rsid w:val="00FA6121"/>
    <w:rsid w:val="00FA680C"/>
    <w:rsid w:val="00FA707B"/>
    <w:rsid w:val="00FA7340"/>
    <w:rsid w:val="00FA73F2"/>
    <w:rsid w:val="00FA74E8"/>
    <w:rsid w:val="00FA76B5"/>
    <w:rsid w:val="00FA7716"/>
    <w:rsid w:val="00FA7836"/>
    <w:rsid w:val="00FA7B1A"/>
    <w:rsid w:val="00FB1466"/>
    <w:rsid w:val="00FB16D8"/>
    <w:rsid w:val="00FB17D8"/>
    <w:rsid w:val="00FB1C32"/>
    <w:rsid w:val="00FB2347"/>
    <w:rsid w:val="00FB294F"/>
    <w:rsid w:val="00FB2AA6"/>
    <w:rsid w:val="00FB2CAA"/>
    <w:rsid w:val="00FB2D53"/>
    <w:rsid w:val="00FB30F5"/>
    <w:rsid w:val="00FB3139"/>
    <w:rsid w:val="00FB3761"/>
    <w:rsid w:val="00FB4457"/>
    <w:rsid w:val="00FB462D"/>
    <w:rsid w:val="00FB48C6"/>
    <w:rsid w:val="00FB511B"/>
    <w:rsid w:val="00FB544A"/>
    <w:rsid w:val="00FB5476"/>
    <w:rsid w:val="00FB5594"/>
    <w:rsid w:val="00FB5885"/>
    <w:rsid w:val="00FB60B8"/>
    <w:rsid w:val="00FB6257"/>
    <w:rsid w:val="00FB6350"/>
    <w:rsid w:val="00FB68B1"/>
    <w:rsid w:val="00FB6B40"/>
    <w:rsid w:val="00FB6C89"/>
    <w:rsid w:val="00FB78ED"/>
    <w:rsid w:val="00FC029E"/>
    <w:rsid w:val="00FC0356"/>
    <w:rsid w:val="00FC03E9"/>
    <w:rsid w:val="00FC0666"/>
    <w:rsid w:val="00FC0ACD"/>
    <w:rsid w:val="00FC0D90"/>
    <w:rsid w:val="00FC17AF"/>
    <w:rsid w:val="00FC197F"/>
    <w:rsid w:val="00FC1ACC"/>
    <w:rsid w:val="00FC1B65"/>
    <w:rsid w:val="00FC21AA"/>
    <w:rsid w:val="00FC234C"/>
    <w:rsid w:val="00FC26EA"/>
    <w:rsid w:val="00FC28A8"/>
    <w:rsid w:val="00FC2A05"/>
    <w:rsid w:val="00FC2B4B"/>
    <w:rsid w:val="00FC2E77"/>
    <w:rsid w:val="00FC301C"/>
    <w:rsid w:val="00FC36FE"/>
    <w:rsid w:val="00FC392C"/>
    <w:rsid w:val="00FC3BA6"/>
    <w:rsid w:val="00FC424C"/>
    <w:rsid w:val="00FC47CD"/>
    <w:rsid w:val="00FC4851"/>
    <w:rsid w:val="00FC4998"/>
    <w:rsid w:val="00FC4A80"/>
    <w:rsid w:val="00FC4ADE"/>
    <w:rsid w:val="00FC4F24"/>
    <w:rsid w:val="00FC5812"/>
    <w:rsid w:val="00FC5AEE"/>
    <w:rsid w:val="00FC5B0F"/>
    <w:rsid w:val="00FC61D0"/>
    <w:rsid w:val="00FC6242"/>
    <w:rsid w:val="00FC65DA"/>
    <w:rsid w:val="00FC7011"/>
    <w:rsid w:val="00FC7062"/>
    <w:rsid w:val="00FC7651"/>
    <w:rsid w:val="00FC7E4B"/>
    <w:rsid w:val="00FC7FD1"/>
    <w:rsid w:val="00FD03EA"/>
    <w:rsid w:val="00FD0DDC"/>
    <w:rsid w:val="00FD10B2"/>
    <w:rsid w:val="00FD1166"/>
    <w:rsid w:val="00FD1B4A"/>
    <w:rsid w:val="00FD1D60"/>
    <w:rsid w:val="00FD21DD"/>
    <w:rsid w:val="00FD2561"/>
    <w:rsid w:val="00FD2747"/>
    <w:rsid w:val="00FD2B1F"/>
    <w:rsid w:val="00FD2C6A"/>
    <w:rsid w:val="00FD2DFE"/>
    <w:rsid w:val="00FD2F3D"/>
    <w:rsid w:val="00FD2F53"/>
    <w:rsid w:val="00FD3194"/>
    <w:rsid w:val="00FD32AC"/>
    <w:rsid w:val="00FD3628"/>
    <w:rsid w:val="00FD3856"/>
    <w:rsid w:val="00FD3F73"/>
    <w:rsid w:val="00FD4261"/>
    <w:rsid w:val="00FD42B4"/>
    <w:rsid w:val="00FD4585"/>
    <w:rsid w:val="00FD4694"/>
    <w:rsid w:val="00FD4BCA"/>
    <w:rsid w:val="00FD53AF"/>
    <w:rsid w:val="00FD5604"/>
    <w:rsid w:val="00FD56E3"/>
    <w:rsid w:val="00FD57B1"/>
    <w:rsid w:val="00FD5874"/>
    <w:rsid w:val="00FD5955"/>
    <w:rsid w:val="00FD59AC"/>
    <w:rsid w:val="00FD5BF1"/>
    <w:rsid w:val="00FD5EA0"/>
    <w:rsid w:val="00FD5EE8"/>
    <w:rsid w:val="00FD5F76"/>
    <w:rsid w:val="00FD5FCB"/>
    <w:rsid w:val="00FD60E0"/>
    <w:rsid w:val="00FD63F0"/>
    <w:rsid w:val="00FD67B7"/>
    <w:rsid w:val="00FD6902"/>
    <w:rsid w:val="00FD6F6F"/>
    <w:rsid w:val="00FD7058"/>
    <w:rsid w:val="00FD724D"/>
    <w:rsid w:val="00FD732D"/>
    <w:rsid w:val="00FD74FA"/>
    <w:rsid w:val="00FD75D9"/>
    <w:rsid w:val="00FD762B"/>
    <w:rsid w:val="00FD77F6"/>
    <w:rsid w:val="00FD7880"/>
    <w:rsid w:val="00FD7CA3"/>
    <w:rsid w:val="00FD7E2A"/>
    <w:rsid w:val="00FE00B0"/>
    <w:rsid w:val="00FE033D"/>
    <w:rsid w:val="00FE03F0"/>
    <w:rsid w:val="00FE0458"/>
    <w:rsid w:val="00FE0906"/>
    <w:rsid w:val="00FE0D44"/>
    <w:rsid w:val="00FE1153"/>
    <w:rsid w:val="00FE1644"/>
    <w:rsid w:val="00FE1EBA"/>
    <w:rsid w:val="00FE27B4"/>
    <w:rsid w:val="00FE2D14"/>
    <w:rsid w:val="00FE3227"/>
    <w:rsid w:val="00FE35C6"/>
    <w:rsid w:val="00FE37B3"/>
    <w:rsid w:val="00FE3A00"/>
    <w:rsid w:val="00FE3E30"/>
    <w:rsid w:val="00FE4013"/>
    <w:rsid w:val="00FE4038"/>
    <w:rsid w:val="00FE4528"/>
    <w:rsid w:val="00FE59FC"/>
    <w:rsid w:val="00FE5B62"/>
    <w:rsid w:val="00FE5CCF"/>
    <w:rsid w:val="00FE5DA1"/>
    <w:rsid w:val="00FE5E5C"/>
    <w:rsid w:val="00FE6560"/>
    <w:rsid w:val="00FE6599"/>
    <w:rsid w:val="00FE6B4D"/>
    <w:rsid w:val="00FE7738"/>
    <w:rsid w:val="00FE79A8"/>
    <w:rsid w:val="00FE79F6"/>
    <w:rsid w:val="00FE7C70"/>
    <w:rsid w:val="00FE7E15"/>
    <w:rsid w:val="00FE7F03"/>
    <w:rsid w:val="00FF0236"/>
    <w:rsid w:val="00FF0446"/>
    <w:rsid w:val="00FF04C5"/>
    <w:rsid w:val="00FF0B63"/>
    <w:rsid w:val="00FF0B6E"/>
    <w:rsid w:val="00FF0F38"/>
    <w:rsid w:val="00FF10DB"/>
    <w:rsid w:val="00FF110E"/>
    <w:rsid w:val="00FF19A4"/>
    <w:rsid w:val="00FF1C11"/>
    <w:rsid w:val="00FF253B"/>
    <w:rsid w:val="00FF27B2"/>
    <w:rsid w:val="00FF2DD0"/>
    <w:rsid w:val="00FF2F9D"/>
    <w:rsid w:val="00FF3926"/>
    <w:rsid w:val="00FF3D6D"/>
    <w:rsid w:val="00FF443F"/>
    <w:rsid w:val="00FF4D6D"/>
    <w:rsid w:val="00FF4D6E"/>
    <w:rsid w:val="00FF4E86"/>
    <w:rsid w:val="00FF4FF8"/>
    <w:rsid w:val="00FF5335"/>
    <w:rsid w:val="00FF553C"/>
    <w:rsid w:val="00FF5638"/>
    <w:rsid w:val="00FF574D"/>
    <w:rsid w:val="00FF5E28"/>
    <w:rsid w:val="00FF6392"/>
    <w:rsid w:val="00FF6BE2"/>
    <w:rsid w:val="00FF7158"/>
    <w:rsid w:val="00FF791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1E7BDF"/>
  <w15:docId w15:val="{100B9442-E7A6-430B-9C9B-520F18A28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qFormat/>
    <w:rsid w:val="00096BF3"/>
    <w:pPr>
      <w:bidi/>
      <w:spacing w:after="200" w:line="276" w:lineRule="auto"/>
    </w:pPr>
    <w:rPr>
      <w:rFonts w:eastAsiaTheme="minorEastAsia"/>
    </w:rPr>
  </w:style>
  <w:style w:type="paragraph" w:styleId="1">
    <w:name w:val="heading 1"/>
    <w:aliases w:val="כות גד"/>
    <w:basedOn w:val="a6"/>
    <w:next w:val="a7"/>
    <w:link w:val="10"/>
    <w:autoRedefine/>
    <w:uiPriority w:val="9"/>
    <w:qFormat/>
    <w:rsid w:val="00AC0491"/>
    <w:pPr>
      <w:keepNext/>
      <w:keepLines/>
      <w:spacing w:before="480" w:after="0" w:line="360" w:lineRule="auto"/>
      <w:jc w:val="center"/>
      <w:outlineLvl w:val="0"/>
    </w:pPr>
    <w:rPr>
      <w:rFonts w:ascii="Guttman Hodes" w:eastAsia="Guttman Hodes" w:hAnsi="Guttman Hodes" w:cs="Guttman Hodes"/>
      <w:b/>
      <w:bCs/>
      <w:sz w:val="12"/>
      <w:szCs w:val="18"/>
    </w:rPr>
  </w:style>
  <w:style w:type="paragraph" w:styleId="21">
    <w:name w:val="heading 2"/>
    <w:basedOn w:val="a6"/>
    <w:next w:val="a6"/>
    <w:link w:val="22"/>
    <w:uiPriority w:val="9"/>
    <w:unhideWhenUsed/>
    <w:qFormat/>
    <w:rsid w:val="00F0077F"/>
    <w:pPr>
      <w:keepNext/>
      <w:keepLines/>
      <w:spacing w:after="0" w:line="240" w:lineRule="auto"/>
      <w:jc w:val="center"/>
      <w:outlineLvl w:val="1"/>
    </w:pPr>
    <w:rPr>
      <w:rFonts w:ascii="FrankRuehl" w:eastAsia="Guttman Adii-Light" w:hAnsi="FrankRuehl" w:cs="Guttman Hodes"/>
      <w:b/>
      <w:bCs/>
      <w:noProof/>
      <w:sz w:val="24"/>
      <w:szCs w:val="24"/>
    </w:rPr>
  </w:style>
  <w:style w:type="paragraph" w:styleId="31">
    <w:name w:val="heading 3"/>
    <w:basedOn w:val="a6"/>
    <w:next w:val="a6"/>
    <w:link w:val="32"/>
    <w:uiPriority w:val="9"/>
    <w:semiHidden/>
    <w:unhideWhenUsed/>
    <w:qFormat/>
    <w:rsid w:val="005D6820"/>
    <w:pPr>
      <w:keepNext/>
      <w:keepLines/>
      <w:spacing w:before="40" w:after="0" w:line="360" w:lineRule="auto"/>
      <w:ind w:left="851"/>
      <w:jc w:val="both"/>
      <w:outlineLvl w:val="2"/>
    </w:pPr>
    <w:rPr>
      <w:rFonts w:asciiTheme="majorHAnsi" w:eastAsiaTheme="majorEastAsia" w:hAnsiTheme="majorHAnsi" w:cstheme="majorBidi"/>
      <w:color w:val="1F4D78" w:themeColor="accent1" w:themeShade="7F"/>
      <w:sz w:val="24"/>
      <w:szCs w:val="24"/>
    </w:rPr>
  </w:style>
  <w:style w:type="paragraph" w:styleId="41">
    <w:name w:val="heading 4"/>
    <w:basedOn w:val="a6"/>
    <w:next w:val="a6"/>
    <w:link w:val="42"/>
    <w:uiPriority w:val="9"/>
    <w:semiHidden/>
    <w:unhideWhenUsed/>
    <w:qFormat/>
    <w:rsid w:val="005D6820"/>
    <w:pPr>
      <w:keepNext/>
      <w:keepLines/>
      <w:spacing w:before="40" w:after="0" w:line="360" w:lineRule="auto"/>
      <w:ind w:left="851"/>
      <w:jc w:val="both"/>
      <w:outlineLvl w:val="3"/>
    </w:pPr>
    <w:rPr>
      <w:rFonts w:asciiTheme="majorHAnsi" w:eastAsiaTheme="majorEastAsia" w:hAnsiTheme="majorHAnsi" w:cstheme="majorBidi"/>
      <w:i/>
      <w:iCs/>
      <w:color w:val="2E74B5" w:themeColor="accent1" w:themeShade="BF"/>
    </w:rPr>
  </w:style>
  <w:style w:type="paragraph" w:styleId="51">
    <w:name w:val="heading 5"/>
    <w:basedOn w:val="a6"/>
    <w:next w:val="a6"/>
    <w:link w:val="52"/>
    <w:uiPriority w:val="9"/>
    <w:semiHidden/>
    <w:unhideWhenUsed/>
    <w:qFormat/>
    <w:rsid w:val="005D6820"/>
    <w:pPr>
      <w:keepNext/>
      <w:keepLines/>
      <w:spacing w:before="40" w:after="0" w:line="360" w:lineRule="auto"/>
      <w:ind w:left="851"/>
      <w:jc w:val="both"/>
      <w:outlineLvl w:val="4"/>
    </w:pPr>
    <w:rPr>
      <w:rFonts w:asciiTheme="majorHAnsi" w:eastAsiaTheme="majorEastAsia" w:hAnsiTheme="majorHAnsi" w:cstheme="majorBidi"/>
      <w:color w:val="2E74B5" w:themeColor="accent1" w:themeShade="BF"/>
    </w:rPr>
  </w:style>
  <w:style w:type="paragraph" w:styleId="6">
    <w:name w:val="heading 6"/>
    <w:basedOn w:val="a6"/>
    <w:next w:val="a6"/>
    <w:link w:val="60"/>
    <w:uiPriority w:val="9"/>
    <w:semiHidden/>
    <w:unhideWhenUsed/>
    <w:qFormat/>
    <w:rsid w:val="005D6820"/>
    <w:pPr>
      <w:keepNext/>
      <w:keepLines/>
      <w:spacing w:before="40" w:after="0" w:line="360" w:lineRule="auto"/>
      <w:ind w:left="851"/>
      <w:jc w:val="both"/>
      <w:outlineLvl w:val="5"/>
    </w:pPr>
    <w:rPr>
      <w:rFonts w:asciiTheme="majorHAnsi" w:eastAsiaTheme="majorEastAsia" w:hAnsiTheme="majorHAnsi" w:cstheme="majorBidi"/>
      <w:color w:val="1F4D78" w:themeColor="accent1" w:themeShade="7F"/>
    </w:rPr>
  </w:style>
  <w:style w:type="paragraph" w:styleId="7">
    <w:name w:val="heading 7"/>
    <w:basedOn w:val="a6"/>
    <w:next w:val="a6"/>
    <w:link w:val="70"/>
    <w:uiPriority w:val="9"/>
    <w:semiHidden/>
    <w:unhideWhenUsed/>
    <w:qFormat/>
    <w:rsid w:val="005D6820"/>
    <w:pPr>
      <w:keepNext/>
      <w:keepLines/>
      <w:spacing w:before="40" w:after="0" w:line="360" w:lineRule="auto"/>
      <w:ind w:left="851"/>
      <w:jc w:val="both"/>
      <w:outlineLvl w:val="6"/>
    </w:pPr>
    <w:rPr>
      <w:rFonts w:asciiTheme="majorHAnsi" w:eastAsiaTheme="majorEastAsia" w:hAnsiTheme="majorHAnsi" w:cstheme="majorBidi"/>
      <w:i/>
      <w:iCs/>
      <w:color w:val="1F4D78" w:themeColor="accent1" w:themeShade="7F"/>
    </w:rPr>
  </w:style>
  <w:style w:type="paragraph" w:styleId="8">
    <w:name w:val="heading 8"/>
    <w:basedOn w:val="a6"/>
    <w:next w:val="a6"/>
    <w:link w:val="80"/>
    <w:uiPriority w:val="9"/>
    <w:semiHidden/>
    <w:unhideWhenUsed/>
    <w:qFormat/>
    <w:rsid w:val="005D6820"/>
    <w:pPr>
      <w:keepNext/>
      <w:keepLines/>
      <w:spacing w:before="40" w:after="0" w:line="360" w:lineRule="auto"/>
      <w:ind w:left="851"/>
      <w:jc w:val="both"/>
      <w:outlineLvl w:val="7"/>
    </w:pPr>
    <w:rPr>
      <w:rFonts w:asciiTheme="majorHAnsi" w:eastAsiaTheme="majorEastAsia" w:hAnsiTheme="majorHAnsi" w:cstheme="majorBidi"/>
      <w:color w:val="272727" w:themeColor="text1" w:themeTint="D8"/>
      <w:sz w:val="21"/>
      <w:szCs w:val="21"/>
    </w:rPr>
  </w:style>
  <w:style w:type="paragraph" w:styleId="9">
    <w:name w:val="heading 9"/>
    <w:basedOn w:val="a6"/>
    <w:next w:val="a6"/>
    <w:link w:val="90"/>
    <w:uiPriority w:val="9"/>
    <w:semiHidden/>
    <w:unhideWhenUsed/>
    <w:qFormat/>
    <w:rsid w:val="005D6820"/>
    <w:pPr>
      <w:keepNext/>
      <w:keepLines/>
      <w:spacing w:before="40" w:after="0" w:line="360" w:lineRule="auto"/>
      <w:ind w:left="851"/>
      <w:jc w:val="both"/>
      <w:outlineLvl w:val="8"/>
    </w:pPr>
    <w:rPr>
      <w:rFonts w:asciiTheme="majorHAnsi" w:eastAsiaTheme="majorEastAsia" w:hAnsiTheme="majorHAnsi" w:cstheme="majorBidi"/>
      <w:i/>
      <w:iCs/>
      <w:color w:val="272727" w:themeColor="text1" w:themeTint="D8"/>
      <w:sz w:val="21"/>
      <w:szCs w:val="21"/>
    </w:rPr>
  </w:style>
  <w:style w:type="character" w:default="1" w:styleId="a8">
    <w:name w:val="Default Paragraph Font"/>
    <w:uiPriority w:val="1"/>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customStyle="1" w:styleId="a7">
    <w:name w:val="כות קט"/>
    <w:basedOn w:val="a6"/>
    <w:next w:val="a3"/>
    <w:link w:val="ab"/>
    <w:autoRedefine/>
    <w:qFormat/>
    <w:rsid w:val="00B07729"/>
    <w:pPr>
      <w:spacing w:before="200" w:after="0" w:line="360" w:lineRule="auto"/>
      <w:jc w:val="center"/>
      <w:outlineLvl w:val="1"/>
    </w:pPr>
    <w:rPr>
      <w:rFonts w:ascii="Guttman Hodes" w:eastAsia="Guttman Hodes" w:hAnsi="Guttman Hodes" w:cs="Guttman Hodes"/>
      <w:bCs/>
      <w:sz w:val="12"/>
      <w:szCs w:val="12"/>
    </w:rPr>
  </w:style>
  <w:style w:type="paragraph" w:customStyle="1" w:styleId="a3">
    <w:name w:val="קטע רגיל"/>
    <w:basedOn w:val="a6"/>
    <w:next w:val="a7"/>
    <w:link w:val="ac"/>
    <w:autoRedefine/>
    <w:qFormat/>
    <w:rsid w:val="00BC7DC8"/>
    <w:pPr>
      <w:numPr>
        <w:numId w:val="1"/>
      </w:numPr>
      <w:tabs>
        <w:tab w:val="left" w:pos="1163"/>
      </w:tabs>
      <w:spacing w:after="120" w:line="280" w:lineRule="exact"/>
      <w:jc w:val="both"/>
    </w:pPr>
    <w:rPr>
      <w:rFonts w:ascii="Guttman Hodes" w:eastAsia="Guttman Hodes" w:hAnsi="Guttman Hodes" w:cs="Guttman Hodes"/>
      <w:noProof/>
      <w:sz w:val="18"/>
      <w:szCs w:val="18"/>
    </w:rPr>
  </w:style>
  <w:style w:type="character" w:customStyle="1" w:styleId="ac">
    <w:name w:val="קטע רגיל תו"/>
    <w:basedOn w:val="a8"/>
    <w:link w:val="a3"/>
    <w:locked/>
    <w:rsid w:val="00BC7DC8"/>
    <w:rPr>
      <w:rFonts w:ascii="Guttman Hodes" w:eastAsia="Guttman Hodes" w:hAnsi="Guttman Hodes" w:cs="Guttman Hodes"/>
      <w:noProof/>
      <w:sz w:val="18"/>
      <w:szCs w:val="18"/>
    </w:rPr>
  </w:style>
  <w:style w:type="character" w:customStyle="1" w:styleId="ab">
    <w:name w:val="כות קט תו"/>
    <w:basedOn w:val="a8"/>
    <w:link w:val="a7"/>
    <w:rsid w:val="00B07729"/>
    <w:rPr>
      <w:rFonts w:ascii="Guttman Hodes" w:eastAsia="Guttman Hodes" w:hAnsi="Guttman Hodes" w:cs="Guttman Hodes"/>
      <w:bCs/>
      <w:sz w:val="12"/>
      <w:szCs w:val="12"/>
    </w:rPr>
  </w:style>
  <w:style w:type="character" w:customStyle="1" w:styleId="10">
    <w:name w:val="כותרת 1 תו"/>
    <w:aliases w:val="כות גד תו"/>
    <w:basedOn w:val="a8"/>
    <w:link w:val="1"/>
    <w:uiPriority w:val="9"/>
    <w:rsid w:val="00AC0491"/>
    <w:rPr>
      <w:rFonts w:ascii="Guttman Hodes" w:eastAsia="Guttman Hodes" w:hAnsi="Guttman Hodes" w:cs="Guttman Hodes"/>
      <w:b/>
      <w:bCs/>
      <w:sz w:val="12"/>
      <w:szCs w:val="18"/>
    </w:rPr>
  </w:style>
  <w:style w:type="character" w:customStyle="1" w:styleId="22">
    <w:name w:val="כותרת 2 תו"/>
    <w:basedOn w:val="a8"/>
    <w:link w:val="21"/>
    <w:uiPriority w:val="9"/>
    <w:rsid w:val="00F0077F"/>
    <w:rPr>
      <w:rFonts w:ascii="FrankRuehl" w:eastAsia="Guttman Adii-Light" w:hAnsi="FrankRuehl" w:cs="Guttman Hodes"/>
      <w:b/>
      <w:bCs/>
      <w:noProof/>
      <w:sz w:val="24"/>
      <w:szCs w:val="24"/>
    </w:rPr>
  </w:style>
  <w:style w:type="character" w:customStyle="1" w:styleId="32">
    <w:name w:val="כותרת 3 תו"/>
    <w:basedOn w:val="a8"/>
    <w:link w:val="31"/>
    <w:uiPriority w:val="9"/>
    <w:semiHidden/>
    <w:rsid w:val="005D6820"/>
    <w:rPr>
      <w:rFonts w:asciiTheme="majorHAnsi" w:eastAsiaTheme="majorEastAsia" w:hAnsiTheme="majorHAnsi" w:cstheme="majorBidi"/>
      <w:color w:val="1F4D78" w:themeColor="accent1" w:themeShade="7F"/>
      <w:sz w:val="24"/>
      <w:szCs w:val="24"/>
    </w:rPr>
  </w:style>
  <w:style w:type="character" w:customStyle="1" w:styleId="42">
    <w:name w:val="כותרת 4 תו"/>
    <w:basedOn w:val="a8"/>
    <w:link w:val="41"/>
    <w:uiPriority w:val="9"/>
    <w:semiHidden/>
    <w:rsid w:val="005D6820"/>
    <w:rPr>
      <w:rFonts w:asciiTheme="majorHAnsi" w:eastAsiaTheme="majorEastAsia" w:hAnsiTheme="majorHAnsi" w:cstheme="majorBidi"/>
      <w:i/>
      <w:iCs/>
      <w:color w:val="2E74B5" w:themeColor="accent1" w:themeShade="BF"/>
    </w:rPr>
  </w:style>
  <w:style w:type="character" w:customStyle="1" w:styleId="52">
    <w:name w:val="כותרת 5 תו"/>
    <w:basedOn w:val="a8"/>
    <w:link w:val="51"/>
    <w:uiPriority w:val="9"/>
    <w:semiHidden/>
    <w:rsid w:val="005D6820"/>
    <w:rPr>
      <w:rFonts w:asciiTheme="majorHAnsi" w:eastAsiaTheme="majorEastAsia" w:hAnsiTheme="majorHAnsi" w:cstheme="majorBidi"/>
      <w:color w:val="2E74B5" w:themeColor="accent1" w:themeShade="BF"/>
    </w:rPr>
  </w:style>
  <w:style w:type="character" w:customStyle="1" w:styleId="60">
    <w:name w:val="כותרת 6 תו"/>
    <w:basedOn w:val="a8"/>
    <w:link w:val="6"/>
    <w:uiPriority w:val="9"/>
    <w:semiHidden/>
    <w:rsid w:val="005D6820"/>
    <w:rPr>
      <w:rFonts w:asciiTheme="majorHAnsi" w:eastAsiaTheme="majorEastAsia" w:hAnsiTheme="majorHAnsi" w:cstheme="majorBidi"/>
      <w:color w:val="1F4D78" w:themeColor="accent1" w:themeShade="7F"/>
    </w:rPr>
  </w:style>
  <w:style w:type="character" w:customStyle="1" w:styleId="70">
    <w:name w:val="כותרת 7 תו"/>
    <w:basedOn w:val="a8"/>
    <w:link w:val="7"/>
    <w:uiPriority w:val="9"/>
    <w:semiHidden/>
    <w:rsid w:val="005D6820"/>
    <w:rPr>
      <w:rFonts w:asciiTheme="majorHAnsi" w:eastAsiaTheme="majorEastAsia" w:hAnsiTheme="majorHAnsi" w:cstheme="majorBidi"/>
      <w:i/>
      <w:iCs/>
      <w:color w:val="1F4D78" w:themeColor="accent1" w:themeShade="7F"/>
    </w:rPr>
  </w:style>
  <w:style w:type="character" w:customStyle="1" w:styleId="80">
    <w:name w:val="כותרת 8 תו"/>
    <w:basedOn w:val="a8"/>
    <w:link w:val="8"/>
    <w:uiPriority w:val="9"/>
    <w:semiHidden/>
    <w:rsid w:val="005D6820"/>
    <w:rPr>
      <w:rFonts w:asciiTheme="majorHAnsi" w:eastAsiaTheme="majorEastAsia" w:hAnsiTheme="majorHAnsi" w:cstheme="majorBidi"/>
      <w:color w:val="272727" w:themeColor="text1" w:themeTint="D8"/>
      <w:sz w:val="21"/>
      <w:szCs w:val="21"/>
    </w:rPr>
  </w:style>
  <w:style w:type="character" w:customStyle="1" w:styleId="90">
    <w:name w:val="כותרת 9 תו"/>
    <w:basedOn w:val="a8"/>
    <w:link w:val="9"/>
    <w:uiPriority w:val="9"/>
    <w:semiHidden/>
    <w:rsid w:val="005D6820"/>
    <w:rPr>
      <w:rFonts w:asciiTheme="majorHAnsi" w:eastAsiaTheme="majorEastAsia" w:hAnsiTheme="majorHAnsi" w:cstheme="majorBidi"/>
      <w:i/>
      <w:iCs/>
      <w:color w:val="272727" w:themeColor="text1" w:themeTint="D8"/>
      <w:sz w:val="21"/>
      <w:szCs w:val="21"/>
    </w:rPr>
  </w:style>
  <w:style w:type="paragraph" w:customStyle="1" w:styleId="ad">
    <w:name w:val="מוקטן"/>
    <w:basedOn w:val="ae"/>
    <w:next w:val="a7"/>
    <w:link w:val="af"/>
    <w:autoRedefine/>
    <w:qFormat/>
    <w:rsid w:val="00AF0648"/>
    <w:rPr>
      <w:rFonts w:ascii="Guttman Hodes" w:eastAsia="Guttman Hodes" w:hAnsi="Guttman Hodes"/>
      <w:noProof/>
      <w:sz w:val="12"/>
    </w:rPr>
  </w:style>
  <w:style w:type="paragraph" w:styleId="ae">
    <w:name w:val="footnote text"/>
    <w:basedOn w:val="a6"/>
    <w:link w:val="af0"/>
    <w:autoRedefine/>
    <w:uiPriority w:val="99"/>
    <w:unhideWhenUsed/>
    <w:qFormat/>
    <w:rsid w:val="00B75FE8"/>
    <w:pPr>
      <w:keepNext/>
      <w:spacing w:after="0" w:line="240" w:lineRule="auto"/>
      <w:jc w:val="both"/>
      <w:textboxTightWrap w:val="allLines"/>
    </w:pPr>
    <w:rPr>
      <w:rFonts w:cs="Guttman Hodes"/>
      <w:sz w:val="20"/>
      <w:szCs w:val="14"/>
    </w:rPr>
  </w:style>
  <w:style w:type="character" w:customStyle="1" w:styleId="af0">
    <w:name w:val="טקסט הערת שוליים תו"/>
    <w:basedOn w:val="a8"/>
    <w:link w:val="ae"/>
    <w:uiPriority w:val="99"/>
    <w:rsid w:val="00B75FE8"/>
    <w:rPr>
      <w:rFonts w:eastAsiaTheme="minorEastAsia" w:cs="Guttman Hodes"/>
      <w:sz w:val="20"/>
      <w:szCs w:val="14"/>
    </w:rPr>
  </w:style>
  <w:style w:type="character" w:customStyle="1" w:styleId="af">
    <w:name w:val="מוקטן תו"/>
    <w:basedOn w:val="ac"/>
    <w:link w:val="ad"/>
    <w:rsid w:val="00AF0648"/>
    <w:rPr>
      <w:rFonts w:ascii="Guttman Hodes" w:eastAsia="Guttman Hodes" w:hAnsi="Guttman Hodes" w:cs="Guttman Hodes"/>
      <w:noProof/>
      <w:sz w:val="12"/>
      <w:szCs w:val="14"/>
    </w:rPr>
  </w:style>
  <w:style w:type="paragraph" w:customStyle="1" w:styleId="af1">
    <w:name w:val="מ&quot;מ"/>
    <w:basedOn w:val="a6"/>
    <w:link w:val="af2"/>
    <w:autoRedefine/>
    <w:qFormat/>
    <w:rsid w:val="00906304"/>
    <w:pPr>
      <w:tabs>
        <w:tab w:val="left" w:pos="1163"/>
      </w:tabs>
      <w:spacing w:after="120" w:line="240" w:lineRule="auto"/>
      <w:ind w:left="1163" w:hanging="1163"/>
      <w:jc w:val="both"/>
    </w:pPr>
    <w:rPr>
      <w:rFonts w:ascii="Calibri" w:eastAsia="Times New Roman" w:hAnsi="Calibri" w:cs="Guttman Rashi"/>
      <w:sz w:val="10"/>
      <w:szCs w:val="12"/>
    </w:rPr>
  </w:style>
  <w:style w:type="character" w:customStyle="1" w:styleId="af2">
    <w:name w:val="מ&quot;מ תו"/>
    <w:basedOn w:val="a8"/>
    <w:link w:val="af1"/>
    <w:rsid w:val="00906304"/>
    <w:rPr>
      <w:rFonts w:ascii="Calibri" w:eastAsia="Times New Roman" w:hAnsi="Calibri" w:cs="Guttman Rashi"/>
      <w:sz w:val="10"/>
      <w:szCs w:val="12"/>
    </w:rPr>
  </w:style>
  <w:style w:type="paragraph" w:customStyle="1" w:styleId="af3">
    <w:name w:val="כות מק"/>
    <w:basedOn w:val="af4"/>
    <w:next w:val="a6"/>
    <w:link w:val="af5"/>
    <w:autoRedefine/>
    <w:qFormat/>
    <w:rsid w:val="009556E0"/>
    <w:pPr>
      <w:spacing w:after="240" w:line="240" w:lineRule="auto"/>
      <w:ind w:left="0"/>
      <w:contextualSpacing w:val="0"/>
      <w:jc w:val="center"/>
    </w:pPr>
    <w:rPr>
      <w:rFonts w:ascii="Guttman Adii-Light" w:eastAsia="Guttman Adii-Light" w:hAnsi="Guttman Adii-Light" w:cs="Guttman Adii-Light"/>
      <w:b/>
      <w:bCs/>
    </w:rPr>
  </w:style>
  <w:style w:type="paragraph" w:styleId="af4">
    <w:name w:val="List Paragraph"/>
    <w:basedOn w:val="a6"/>
    <w:link w:val="af6"/>
    <w:uiPriority w:val="34"/>
    <w:qFormat/>
    <w:rsid w:val="009556E0"/>
    <w:pPr>
      <w:ind w:left="720"/>
      <w:contextualSpacing/>
    </w:pPr>
  </w:style>
  <w:style w:type="character" w:customStyle="1" w:styleId="af6">
    <w:name w:val="פיסקת רשימה תו"/>
    <w:basedOn w:val="a8"/>
    <w:link w:val="af4"/>
    <w:uiPriority w:val="34"/>
    <w:rsid w:val="005D6820"/>
    <w:rPr>
      <w:rFonts w:eastAsiaTheme="minorEastAsia"/>
    </w:rPr>
  </w:style>
  <w:style w:type="character" w:customStyle="1" w:styleId="af5">
    <w:name w:val="כות מק תו"/>
    <w:basedOn w:val="a8"/>
    <w:link w:val="af3"/>
    <w:rsid w:val="009556E0"/>
    <w:rPr>
      <w:rFonts w:ascii="Guttman Adii-Light" w:eastAsia="Guttman Adii-Light" w:hAnsi="Guttman Adii-Light" w:cs="Guttman Adii-Light"/>
      <w:b/>
      <w:bCs/>
    </w:rPr>
  </w:style>
  <w:style w:type="paragraph" w:customStyle="1" w:styleId="af7">
    <w:name w:val="כו תו מק"/>
    <w:basedOn w:val="TOC3"/>
    <w:next w:val="a6"/>
    <w:link w:val="af8"/>
    <w:autoRedefine/>
    <w:qFormat/>
    <w:rsid w:val="009556E0"/>
    <w:pPr>
      <w:tabs>
        <w:tab w:val="right" w:pos="5081"/>
      </w:tabs>
    </w:pPr>
    <w:rPr>
      <w:rFonts w:ascii="Guttman Adii-Light" w:eastAsia="Guttman Adii-Light" w:hAnsi="Guttman Adii-Light" w:cs="Guttman Adii-Light"/>
      <w:b/>
      <w:bCs/>
      <w:sz w:val="20"/>
      <w:szCs w:val="20"/>
    </w:rPr>
  </w:style>
  <w:style w:type="paragraph" w:styleId="TOC3">
    <w:name w:val="toc 3"/>
    <w:basedOn w:val="a1"/>
    <w:next w:val="a6"/>
    <w:autoRedefine/>
    <w:uiPriority w:val="39"/>
    <w:unhideWhenUsed/>
    <w:rsid w:val="00ED704E"/>
    <w:pPr>
      <w:numPr>
        <w:numId w:val="31"/>
      </w:numPr>
      <w:tabs>
        <w:tab w:val="right" w:leader="dot" w:pos="5166"/>
      </w:tabs>
    </w:pPr>
    <w:rPr>
      <w:noProof/>
    </w:rPr>
  </w:style>
  <w:style w:type="character" w:customStyle="1" w:styleId="af8">
    <w:name w:val="כו תו מק תו"/>
    <w:basedOn w:val="a8"/>
    <w:link w:val="af7"/>
    <w:rsid w:val="009556E0"/>
    <w:rPr>
      <w:rFonts w:ascii="Guttman Adii-Light" w:eastAsia="Guttman Adii-Light" w:hAnsi="Guttman Adii-Light" w:cs="Guttman Adii-Light"/>
      <w:b/>
      <w:bCs/>
      <w:noProof/>
      <w:sz w:val="20"/>
      <w:szCs w:val="20"/>
    </w:rPr>
  </w:style>
  <w:style w:type="paragraph" w:styleId="Index1">
    <w:name w:val="index 1"/>
    <w:basedOn w:val="a6"/>
    <w:next w:val="a6"/>
    <w:autoRedefine/>
    <w:uiPriority w:val="99"/>
    <w:semiHidden/>
    <w:unhideWhenUsed/>
    <w:rsid w:val="009556E0"/>
    <w:pPr>
      <w:tabs>
        <w:tab w:val="num" w:pos="340"/>
        <w:tab w:val="num" w:pos="720"/>
      </w:tabs>
      <w:spacing w:after="0" w:line="240" w:lineRule="auto"/>
      <w:ind w:left="220" w:hanging="220"/>
    </w:pPr>
    <w:rPr>
      <w:rFonts w:ascii="Guttman Hodes" w:eastAsia="Guttman Hodes" w:hAnsi="Guttman Hodes" w:cs="Guttman Hodes"/>
      <w:sz w:val="12"/>
      <w:szCs w:val="12"/>
    </w:rPr>
  </w:style>
  <w:style w:type="paragraph" w:customStyle="1" w:styleId="af9">
    <w:name w:val="כות מקטע"/>
    <w:basedOn w:val="a6"/>
    <w:next w:val="afa"/>
    <w:link w:val="afb"/>
    <w:autoRedefine/>
    <w:qFormat/>
    <w:rsid w:val="006B3E42"/>
    <w:pPr>
      <w:spacing w:before="240" w:after="0" w:line="240" w:lineRule="auto"/>
      <w:jc w:val="center"/>
      <w:outlineLvl w:val="1"/>
    </w:pPr>
    <w:rPr>
      <w:rFonts w:ascii="Guttman Adii-Light" w:eastAsia="Guttman Adii-Light" w:hAnsi="Guttman Adii-Light" w:cs="Guttman Hodes"/>
      <w:bCs/>
      <w:szCs w:val="28"/>
    </w:rPr>
  </w:style>
  <w:style w:type="paragraph" w:customStyle="1" w:styleId="afa">
    <w:name w:val="לא להעתקה"/>
    <w:basedOn w:val="a6"/>
    <w:next w:val="afc"/>
    <w:link w:val="afd"/>
    <w:autoRedefine/>
    <w:qFormat/>
    <w:rsid w:val="00E24BD9"/>
    <w:pPr>
      <w:spacing w:after="0" w:line="240" w:lineRule="auto"/>
      <w:jc w:val="center"/>
    </w:pPr>
    <w:rPr>
      <w:rFonts w:ascii="Guttman Hodes" w:eastAsia="Guttman Hodes" w:hAnsi="Guttman Hodes" w:cs="Guttman Hodes"/>
      <w:color w:val="00B0F0"/>
      <w:sz w:val="8"/>
      <w:szCs w:val="8"/>
    </w:rPr>
  </w:style>
  <w:style w:type="paragraph" w:customStyle="1" w:styleId="afc">
    <w:name w:val="מפרשים מועתק"/>
    <w:basedOn w:val="a6"/>
    <w:link w:val="afe"/>
    <w:autoRedefine/>
    <w:qFormat/>
    <w:rsid w:val="004F0A1B"/>
    <w:pPr>
      <w:spacing w:after="0" w:line="240" w:lineRule="auto"/>
      <w:jc w:val="both"/>
    </w:pPr>
    <w:rPr>
      <w:rFonts w:ascii="Guttman Hodes" w:eastAsia="Guttman Hodes" w:hAnsi="Guttman Hodes" w:cs="Guttman Hodes"/>
      <w:color w:val="7030A0"/>
      <w:sz w:val="16"/>
      <w:szCs w:val="16"/>
    </w:rPr>
  </w:style>
  <w:style w:type="character" w:customStyle="1" w:styleId="afe">
    <w:name w:val="מפרשים מועתק תו"/>
    <w:basedOn w:val="a8"/>
    <w:link w:val="afc"/>
    <w:rsid w:val="004F0A1B"/>
    <w:rPr>
      <w:rFonts w:ascii="Guttman Hodes" w:eastAsia="Guttman Hodes" w:hAnsi="Guttman Hodes" w:cs="Guttman Hodes"/>
      <w:color w:val="7030A0"/>
      <w:sz w:val="16"/>
      <w:szCs w:val="16"/>
    </w:rPr>
  </w:style>
  <w:style w:type="character" w:customStyle="1" w:styleId="afd">
    <w:name w:val="לא להעתקה תו"/>
    <w:basedOn w:val="10"/>
    <w:link w:val="afa"/>
    <w:rsid w:val="00E24BD9"/>
    <w:rPr>
      <w:rFonts w:ascii="Guttman Hodes" w:eastAsia="Guttman Hodes" w:hAnsi="Guttman Hodes" w:cs="Guttman Hodes"/>
      <w:b w:val="0"/>
      <w:bCs w:val="0"/>
      <w:color w:val="00B0F0"/>
      <w:sz w:val="8"/>
      <w:szCs w:val="8"/>
    </w:rPr>
  </w:style>
  <w:style w:type="character" w:customStyle="1" w:styleId="afb">
    <w:name w:val="כות מקטע תו"/>
    <w:basedOn w:val="a8"/>
    <w:link w:val="af9"/>
    <w:rsid w:val="006B3E42"/>
    <w:rPr>
      <w:rFonts w:ascii="Guttman Adii-Light" w:eastAsia="Guttman Adii-Light" w:hAnsi="Guttman Adii-Light" w:cs="Guttman Hodes"/>
      <w:bCs/>
      <w:szCs w:val="28"/>
    </w:rPr>
  </w:style>
  <w:style w:type="paragraph" w:customStyle="1" w:styleId="aff">
    <w:name w:val="מ&quot;מ מוקטן"/>
    <w:basedOn w:val="a3"/>
    <w:next w:val="a3"/>
    <w:link w:val="aff0"/>
    <w:autoRedefine/>
    <w:qFormat/>
    <w:rsid w:val="006A0AFC"/>
    <w:rPr>
      <w:rFonts w:ascii="Guttman Rashi" w:eastAsia="Guttman Rashi" w:hAnsi="Guttman Rashi" w:cs="Guttman Rashi"/>
      <w:sz w:val="10"/>
      <w:szCs w:val="10"/>
    </w:rPr>
  </w:style>
  <w:style w:type="character" w:customStyle="1" w:styleId="aff0">
    <w:name w:val="מ&quot;מ מוקטן תו"/>
    <w:basedOn w:val="ac"/>
    <w:link w:val="aff"/>
    <w:rsid w:val="006A0AFC"/>
    <w:rPr>
      <w:rFonts w:ascii="Guttman Rashi" w:eastAsia="Guttman Rashi" w:hAnsi="Guttman Rashi" w:cs="Guttman Rashi"/>
      <w:noProof/>
      <w:sz w:val="10"/>
      <w:szCs w:val="10"/>
    </w:rPr>
  </w:style>
  <w:style w:type="paragraph" w:customStyle="1" w:styleId="a1">
    <w:name w:val="תוכן"/>
    <w:basedOn w:val="aff1"/>
    <w:link w:val="aff2"/>
    <w:autoRedefine/>
    <w:qFormat/>
    <w:rsid w:val="000A1BEA"/>
    <w:pPr>
      <w:keepNext w:val="0"/>
      <w:keepLines w:val="0"/>
      <w:numPr>
        <w:numId w:val="18"/>
      </w:numPr>
      <w:spacing w:line="360" w:lineRule="auto"/>
      <w:outlineLvl w:val="9"/>
    </w:pPr>
  </w:style>
  <w:style w:type="paragraph" w:customStyle="1" w:styleId="aff1">
    <w:name w:val="זמני"/>
    <w:basedOn w:val="a6"/>
    <w:link w:val="aff3"/>
    <w:qFormat/>
    <w:rsid w:val="00C030C2"/>
    <w:pPr>
      <w:keepNext/>
      <w:keepLines/>
      <w:spacing w:after="0" w:line="240" w:lineRule="auto"/>
      <w:outlineLvl w:val="0"/>
    </w:pPr>
    <w:rPr>
      <w:rFonts w:ascii="Guttman Hodes" w:eastAsia="Guttman Hodes" w:hAnsi="Guttman Hodes" w:cs="Guttman Hodes"/>
      <w:sz w:val="12"/>
      <w:szCs w:val="12"/>
    </w:rPr>
  </w:style>
  <w:style w:type="character" w:customStyle="1" w:styleId="aff3">
    <w:name w:val="זמני תו"/>
    <w:basedOn w:val="a8"/>
    <w:link w:val="aff1"/>
    <w:rsid w:val="00C030C2"/>
    <w:rPr>
      <w:rFonts w:ascii="Guttman Hodes" w:eastAsia="Guttman Hodes" w:hAnsi="Guttman Hodes" w:cs="Guttman Hodes"/>
      <w:sz w:val="12"/>
      <w:szCs w:val="12"/>
    </w:rPr>
  </w:style>
  <w:style w:type="character" w:customStyle="1" w:styleId="aff2">
    <w:name w:val="תוכן תו"/>
    <w:basedOn w:val="a8"/>
    <w:link w:val="a1"/>
    <w:rsid w:val="000A1BEA"/>
    <w:rPr>
      <w:rFonts w:ascii="Guttman Hodes" w:eastAsia="Guttman Hodes" w:hAnsi="Guttman Hodes" w:cs="Guttman Hodes"/>
      <w:sz w:val="12"/>
      <w:szCs w:val="12"/>
    </w:rPr>
  </w:style>
  <w:style w:type="paragraph" w:customStyle="1" w:styleId="a4">
    <w:name w:val="מודגש"/>
    <w:basedOn w:val="a3"/>
    <w:link w:val="aff4"/>
    <w:autoRedefine/>
    <w:qFormat/>
    <w:rsid w:val="00CC6DE8"/>
    <w:pPr>
      <w:numPr>
        <w:numId w:val="2"/>
      </w:numPr>
    </w:pPr>
    <w:rPr>
      <w:b/>
      <w:bCs/>
    </w:rPr>
  </w:style>
  <w:style w:type="character" w:customStyle="1" w:styleId="aff4">
    <w:name w:val="מודגש תו"/>
    <w:basedOn w:val="ac"/>
    <w:link w:val="a4"/>
    <w:rsid w:val="00CC6DE8"/>
    <w:rPr>
      <w:rFonts w:ascii="Guttman Hodes" w:eastAsia="Guttman Hodes" w:hAnsi="Guttman Hodes" w:cs="Guttman Hodes"/>
      <w:b/>
      <w:bCs/>
      <w:noProof/>
      <w:sz w:val="18"/>
      <w:szCs w:val="18"/>
    </w:rPr>
  </w:style>
  <w:style w:type="paragraph" w:customStyle="1" w:styleId="a5">
    <w:name w:val="מ''מ מוקטן"/>
    <w:basedOn w:val="a3"/>
    <w:next w:val="a7"/>
    <w:link w:val="aff5"/>
    <w:autoRedefine/>
    <w:qFormat/>
    <w:rsid w:val="005F0B38"/>
    <w:pPr>
      <w:numPr>
        <w:numId w:val="3"/>
      </w:numPr>
    </w:pPr>
    <w:rPr>
      <w:rFonts w:ascii="Guttman Rashi" w:eastAsia="Guttman Rashi" w:hAnsi="Guttman Rashi" w:cs="Guttman Rashi"/>
      <w:sz w:val="10"/>
      <w:szCs w:val="10"/>
    </w:rPr>
  </w:style>
  <w:style w:type="character" w:customStyle="1" w:styleId="aff5">
    <w:name w:val="מ''מ מוקטן תו"/>
    <w:basedOn w:val="ac"/>
    <w:link w:val="a5"/>
    <w:rsid w:val="005F0B38"/>
    <w:rPr>
      <w:rFonts w:ascii="Guttman Rashi" w:eastAsia="Guttman Rashi" w:hAnsi="Guttman Rashi" w:cs="Guttman Rashi"/>
      <w:noProof/>
      <w:sz w:val="10"/>
      <w:szCs w:val="10"/>
    </w:rPr>
  </w:style>
  <w:style w:type="paragraph" w:customStyle="1" w:styleId="aff6">
    <w:name w:val="כות מקטע חד"/>
    <w:basedOn w:val="1"/>
    <w:next w:val="a7"/>
    <w:link w:val="aff7"/>
    <w:autoRedefine/>
    <w:qFormat/>
    <w:rsid w:val="00C43761"/>
    <w:pPr>
      <w:spacing w:before="360" w:after="120"/>
    </w:pPr>
    <w:rPr>
      <w:rFonts w:ascii="Guttman Adii-Light" w:eastAsia="Guttman Adii-Light" w:hAnsi="Guttman Adii-Light" w:cs="Guttman Adii-Light"/>
      <w:b w:val="0"/>
      <w:bCs w:val="0"/>
    </w:rPr>
  </w:style>
  <w:style w:type="character" w:customStyle="1" w:styleId="aff7">
    <w:name w:val="כות מקטע חד תו"/>
    <w:basedOn w:val="a8"/>
    <w:link w:val="aff6"/>
    <w:rsid w:val="00C43761"/>
    <w:rPr>
      <w:rFonts w:ascii="Guttman Adii-Light" w:eastAsia="Guttman Adii-Light" w:hAnsi="Guttman Adii-Light" w:cs="Guttman Adii-Light"/>
      <w:sz w:val="18"/>
      <w:szCs w:val="18"/>
    </w:rPr>
  </w:style>
  <w:style w:type="paragraph" w:customStyle="1" w:styleId="aff8">
    <w:name w:val="מוקט מודגש"/>
    <w:basedOn w:val="a3"/>
    <w:link w:val="aff9"/>
    <w:autoRedefine/>
    <w:qFormat/>
    <w:rsid w:val="00A03FE8"/>
    <w:pPr>
      <w:tabs>
        <w:tab w:val="num" w:pos="720"/>
      </w:tabs>
      <w:ind w:left="720" w:hanging="720"/>
    </w:pPr>
    <w:rPr>
      <w:b/>
      <w:bCs/>
      <w:szCs w:val="14"/>
    </w:rPr>
  </w:style>
  <w:style w:type="character" w:customStyle="1" w:styleId="aff9">
    <w:name w:val="מוקט מודגש תו"/>
    <w:basedOn w:val="ac"/>
    <w:link w:val="aff8"/>
    <w:rsid w:val="00A03FE8"/>
    <w:rPr>
      <w:rFonts w:ascii="Guttman Hodes" w:eastAsia="Guttman Hodes" w:hAnsi="Guttman Hodes" w:cs="Guttman Hodes"/>
      <w:b/>
      <w:bCs/>
      <w:noProof/>
      <w:sz w:val="18"/>
      <w:szCs w:val="14"/>
    </w:rPr>
  </w:style>
  <w:style w:type="paragraph" w:customStyle="1" w:styleId="affa">
    <w:name w:val="מועתק"/>
    <w:basedOn w:val="a3"/>
    <w:link w:val="affb"/>
    <w:autoRedefine/>
    <w:qFormat/>
    <w:rsid w:val="00107778"/>
    <w:pPr>
      <w:numPr>
        <w:numId w:val="0"/>
      </w:numPr>
    </w:pPr>
    <w:rPr>
      <w:color w:val="7030A0"/>
      <w:sz w:val="12"/>
      <w:szCs w:val="12"/>
    </w:rPr>
  </w:style>
  <w:style w:type="character" w:customStyle="1" w:styleId="affb">
    <w:name w:val="מועתק תו"/>
    <w:basedOn w:val="ac"/>
    <w:link w:val="affa"/>
    <w:rsid w:val="00107778"/>
    <w:rPr>
      <w:rFonts w:ascii="Guttman Hodes" w:eastAsia="Guttman Hodes" w:hAnsi="Guttman Hodes" w:cs="Guttman Hodes"/>
      <w:noProof/>
      <w:color w:val="7030A0"/>
      <w:sz w:val="12"/>
      <w:szCs w:val="12"/>
    </w:rPr>
  </w:style>
  <w:style w:type="paragraph" w:styleId="affc">
    <w:name w:val="header"/>
    <w:basedOn w:val="a6"/>
    <w:link w:val="affd"/>
    <w:uiPriority w:val="99"/>
    <w:unhideWhenUsed/>
    <w:rsid w:val="00541E2A"/>
    <w:pPr>
      <w:tabs>
        <w:tab w:val="center" w:pos="4153"/>
        <w:tab w:val="right" w:pos="8306"/>
      </w:tabs>
      <w:spacing w:after="0" w:line="240" w:lineRule="auto"/>
    </w:pPr>
  </w:style>
  <w:style w:type="character" w:customStyle="1" w:styleId="affd">
    <w:name w:val="כותרת עליונה תו"/>
    <w:basedOn w:val="a8"/>
    <w:link w:val="affc"/>
    <w:uiPriority w:val="99"/>
    <w:rsid w:val="00541E2A"/>
    <w:rPr>
      <w:rFonts w:eastAsiaTheme="minorEastAsia"/>
    </w:rPr>
  </w:style>
  <w:style w:type="paragraph" w:styleId="affe">
    <w:name w:val="footer"/>
    <w:basedOn w:val="a6"/>
    <w:link w:val="afff"/>
    <w:uiPriority w:val="99"/>
    <w:unhideWhenUsed/>
    <w:rsid w:val="00541E2A"/>
    <w:pPr>
      <w:tabs>
        <w:tab w:val="center" w:pos="4153"/>
        <w:tab w:val="right" w:pos="8306"/>
      </w:tabs>
      <w:spacing w:after="0" w:line="240" w:lineRule="auto"/>
    </w:pPr>
  </w:style>
  <w:style w:type="character" w:customStyle="1" w:styleId="afff">
    <w:name w:val="כותרת תחתונה תו"/>
    <w:basedOn w:val="a8"/>
    <w:link w:val="affe"/>
    <w:uiPriority w:val="99"/>
    <w:rsid w:val="00541E2A"/>
    <w:rPr>
      <w:rFonts w:eastAsiaTheme="minorEastAsia"/>
    </w:rPr>
  </w:style>
  <w:style w:type="character" w:styleId="afff0">
    <w:name w:val="footnote reference"/>
    <w:basedOn w:val="a8"/>
    <w:uiPriority w:val="99"/>
    <w:unhideWhenUsed/>
    <w:rsid w:val="00194906"/>
    <w:rPr>
      <w:vertAlign w:val="superscript"/>
    </w:rPr>
  </w:style>
  <w:style w:type="paragraph" w:customStyle="1" w:styleId="11">
    <w:name w:val="מפרשים 1"/>
    <w:basedOn w:val="afc"/>
    <w:link w:val="12"/>
    <w:autoRedefine/>
    <w:qFormat/>
    <w:rsid w:val="0031478E"/>
    <w:rPr>
      <w:b/>
      <w:bCs/>
      <w:color w:val="auto"/>
      <w:sz w:val="18"/>
      <w:szCs w:val="18"/>
    </w:rPr>
  </w:style>
  <w:style w:type="character" w:customStyle="1" w:styleId="12">
    <w:name w:val="מפרשים 1 תו"/>
    <w:basedOn w:val="afe"/>
    <w:link w:val="11"/>
    <w:rsid w:val="0031478E"/>
    <w:rPr>
      <w:rFonts w:ascii="Guttman Hodes" w:eastAsia="Guttman Hodes" w:hAnsi="Guttman Hodes" w:cs="Guttman Hodes"/>
      <w:b/>
      <w:bCs/>
      <w:color w:val="7030A0"/>
      <w:sz w:val="18"/>
      <w:szCs w:val="18"/>
    </w:rPr>
  </w:style>
  <w:style w:type="paragraph" w:styleId="afff1">
    <w:name w:val="Balloon Text"/>
    <w:basedOn w:val="a6"/>
    <w:link w:val="afff2"/>
    <w:uiPriority w:val="99"/>
    <w:semiHidden/>
    <w:unhideWhenUsed/>
    <w:rsid w:val="00FD6F6F"/>
    <w:pPr>
      <w:spacing w:after="0" w:line="240" w:lineRule="auto"/>
    </w:pPr>
    <w:rPr>
      <w:rFonts w:ascii="Tahoma" w:hAnsi="Tahoma" w:cs="Tahoma"/>
      <w:sz w:val="18"/>
      <w:szCs w:val="18"/>
    </w:rPr>
  </w:style>
  <w:style w:type="character" w:customStyle="1" w:styleId="afff2">
    <w:name w:val="טקסט בלונים תו"/>
    <w:basedOn w:val="a8"/>
    <w:link w:val="afff1"/>
    <w:uiPriority w:val="99"/>
    <w:semiHidden/>
    <w:rsid w:val="00FD6F6F"/>
    <w:rPr>
      <w:rFonts w:ascii="Tahoma" w:eastAsiaTheme="minorEastAsia" w:hAnsi="Tahoma" w:cs="Tahoma"/>
      <w:sz w:val="18"/>
      <w:szCs w:val="18"/>
    </w:rPr>
  </w:style>
  <w:style w:type="paragraph" w:styleId="afff3">
    <w:name w:val="endnote text"/>
    <w:basedOn w:val="a6"/>
    <w:link w:val="afff4"/>
    <w:uiPriority w:val="99"/>
    <w:semiHidden/>
    <w:unhideWhenUsed/>
    <w:rsid w:val="006E5647"/>
    <w:pPr>
      <w:spacing w:after="0" w:line="240" w:lineRule="auto"/>
    </w:pPr>
    <w:rPr>
      <w:sz w:val="20"/>
      <w:szCs w:val="20"/>
    </w:rPr>
  </w:style>
  <w:style w:type="character" w:customStyle="1" w:styleId="afff4">
    <w:name w:val="טקסט הערת סיום תו"/>
    <w:basedOn w:val="a8"/>
    <w:link w:val="afff3"/>
    <w:uiPriority w:val="99"/>
    <w:semiHidden/>
    <w:rsid w:val="006E5647"/>
    <w:rPr>
      <w:rFonts w:eastAsiaTheme="minorEastAsia"/>
      <w:sz w:val="20"/>
      <w:szCs w:val="20"/>
    </w:rPr>
  </w:style>
  <w:style w:type="character" w:styleId="afff5">
    <w:name w:val="endnote reference"/>
    <w:basedOn w:val="a8"/>
    <w:uiPriority w:val="99"/>
    <w:semiHidden/>
    <w:unhideWhenUsed/>
    <w:rsid w:val="006E5647"/>
    <w:rPr>
      <w:vertAlign w:val="superscript"/>
    </w:rPr>
  </w:style>
  <w:style w:type="paragraph" w:customStyle="1" w:styleId="afff6">
    <w:name w:val="עברתי"/>
    <w:basedOn w:val="a6"/>
    <w:link w:val="afff7"/>
    <w:autoRedefine/>
    <w:qFormat/>
    <w:rsid w:val="007547C3"/>
    <w:pPr>
      <w:spacing w:after="0" w:line="240" w:lineRule="auto"/>
      <w:jc w:val="both"/>
    </w:pPr>
    <w:rPr>
      <w:rFonts w:ascii="Guttman Hodes" w:eastAsia="Guttman Hodes" w:hAnsi="Guttman Hodes" w:cs="Guttman Hodes"/>
      <w:color w:val="000000" w:themeColor="text1"/>
      <w:sz w:val="14"/>
      <w:szCs w:val="14"/>
    </w:rPr>
  </w:style>
  <w:style w:type="character" w:customStyle="1" w:styleId="afff7">
    <w:name w:val="עברתי תו"/>
    <w:basedOn w:val="a8"/>
    <w:link w:val="afff6"/>
    <w:rsid w:val="007547C3"/>
    <w:rPr>
      <w:rFonts w:ascii="Guttman Hodes" w:eastAsia="Guttman Hodes" w:hAnsi="Guttman Hodes" w:cs="Guttman Hodes"/>
      <w:color w:val="000000" w:themeColor="text1"/>
      <w:sz w:val="14"/>
      <w:szCs w:val="14"/>
    </w:rPr>
  </w:style>
  <w:style w:type="paragraph" w:customStyle="1" w:styleId="afff8">
    <w:name w:val="הערות"/>
    <w:basedOn w:val="a6"/>
    <w:link w:val="afff9"/>
    <w:autoRedefine/>
    <w:qFormat/>
    <w:rsid w:val="00853BC8"/>
    <w:pPr>
      <w:tabs>
        <w:tab w:val="left" w:pos="1163"/>
      </w:tabs>
      <w:spacing w:after="120" w:line="240" w:lineRule="auto"/>
      <w:jc w:val="both"/>
    </w:pPr>
    <w:rPr>
      <w:rFonts w:ascii="Guttman Hodes" w:eastAsia="Guttman Hodes" w:hAnsi="Guttman Hodes" w:cs="Guttman Hodes"/>
      <w:bCs/>
      <w:noProof/>
      <w:color w:val="FF0000"/>
      <w:sz w:val="18"/>
      <w:szCs w:val="18"/>
      <w:u w:val="single"/>
    </w:rPr>
  </w:style>
  <w:style w:type="character" w:customStyle="1" w:styleId="afff9">
    <w:name w:val="הערות תו"/>
    <w:basedOn w:val="a8"/>
    <w:link w:val="afff8"/>
    <w:rsid w:val="00853BC8"/>
    <w:rPr>
      <w:rFonts w:ascii="Guttman Hodes" w:eastAsia="Guttman Hodes" w:hAnsi="Guttman Hodes" w:cs="Guttman Hodes"/>
      <w:bCs/>
      <w:noProof/>
      <w:color w:val="FF0000"/>
      <w:sz w:val="18"/>
      <w:szCs w:val="18"/>
      <w:u w:val="single"/>
    </w:rPr>
  </w:style>
  <w:style w:type="paragraph" w:customStyle="1" w:styleId="afffa">
    <w:name w:val="מ להמשך"/>
    <w:basedOn w:val="11"/>
    <w:link w:val="afffb"/>
    <w:qFormat/>
    <w:rsid w:val="00B70789"/>
    <w:rPr>
      <w:color w:val="FF0000"/>
    </w:rPr>
  </w:style>
  <w:style w:type="character" w:customStyle="1" w:styleId="afffb">
    <w:name w:val="מ להמשך תו"/>
    <w:basedOn w:val="12"/>
    <w:link w:val="afffa"/>
    <w:rsid w:val="00B70789"/>
    <w:rPr>
      <w:rFonts w:ascii="Guttman Hodes" w:eastAsia="Guttman Hodes" w:hAnsi="Guttman Hodes" w:cs="Guttman Hodes"/>
      <w:b/>
      <w:bCs/>
      <w:color w:val="FF0000"/>
      <w:sz w:val="16"/>
      <w:szCs w:val="16"/>
    </w:rPr>
  </w:style>
  <w:style w:type="paragraph" w:customStyle="1" w:styleId="afffc">
    <w:name w:val="כותרת מפרשים"/>
    <w:basedOn w:val="21"/>
    <w:next w:val="a7"/>
    <w:link w:val="afffd"/>
    <w:autoRedefine/>
    <w:qFormat/>
    <w:rsid w:val="006612D5"/>
    <w:pPr>
      <w:ind w:left="-284"/>
      <w:jc w:val="both"/>
    </w:pPr>
    <w:rPr>
      <w:rFonts w:eastAsia="Guttman Hodes"/>
      <w:sz w:val="14"/>
      <w:szCs w:val="18"/>
    </w:rPr>
  </w:style>
  <w:style w:type="character" w:customStyle="1" w:styleId="afffd">
    <w:name w:val="כותרת מפרשים תו"/>
    <w:basedOn w:val="a8"/>
    <w:link w:val="afffc"/>
    <w:rsid w:val="006612D5"/>
    <w:rPr>
      <w:rFonts w:ascii="FrankRuehl" w:eastAsia="Guttman Hodes" w:hAnsi="FrankRuehl" w:cs="Guttman Hodes"/>
      <w:b/>
      <w:bCs/>
      <w:noProof/>
      <w:sz w:val="14"/>
      <w:szCs w:val="18"/>
    </w:rPr>
  </w:style>
  <w:style w:type="paragraph" w:customStyle="1" w:styleId="a2">
    <w:name w:val="בלשונם"/>
    <w:basedOn w:val="a6"/>
    <w:next w:val="a7"/>
    <w:link w:val="afffe"/>
    <w:autoRedefine/>
    <w:qFormat/>
    <w:rsid w:val="00DB30EB"/>
    <w:pPr>
      <w:numPr>
        <w:numId w:val="4"/>
      </w:numPr>
      <w:spacing w:after="0" w:line="240" w:lineRule="auto"/>
      <w:jc w:val="both"/>
    </w:pPr>
    <w:rPr>
      <w:rFonts w:ascii="FrankRuehl" w:eastAsia="Guttman Hodes" w:hAnsi="FrankRuehl" w:cs="FrankRuehl"/>
      <w:vanish/>
      <w:sz w:val="24"/>
      <w:szCs w:val="24"/>
    </w:rPr>
  </w:style>
  <w:style w:type="character" w:customStyle="1" w:styleId="afffe">
    <w:name w:val="בלשונם תו"/>
    <w:basedOn w:val="a8"/>
    <w:link w:val="a2"/>
    <w:rsid w:val="00DB30EB"/>
    <w:rPr>
      <w:rFonts w:ascii="FrankRuehl" w:eastAsia="Guttman Hodes" w:hAnsi="FrankRuehl" w:cs="FrankRuehl"/>
      <w:vanish/>
      <w:sz w:val="24"/>
      <w:szCs w:val="24"/>
    </w:rPr>
  </w:style>
  <w:style w:type="paragraph" w:customStyle="1" w:styleId="affff">
    <w:name w:val="כות דה"/>
    <w:basedOn w:val="a6"/>
    <w:next w:val="a6"/>
    <w:link w:val="affff0"/>
    <w:autoRedefine/>
    <w:qFormat/>
    <w:rsid w:val="005F13CF"/>
    <w:pPr>
      <w:keepNext/>
      <w:keepLines/>
      <w:spacing w:after="0" w:line="240" w:lineRule="auto"/>
      <w:ind w:left="-284"/>
      <w:jc w:val="both"/>
      <w:outlineLvl w:val="1"/>
    </w:pPr>
    <w:rPr>
      <w:rFonts w:ascii="Guttman Hodes" w:eastAsia="Guttman Hodes" w:hAnsi="Guttman Hodes" w:cs="Guttman Hodes"/>
      <w:b/>
      <w:bCs/>
      <w:noProof/>
      <w:sz w:val="12"/>
      <w:szCs w:val="12"/>
    </w:rPr>
  </w:style>
  <w:style w:type="character" w:customStyle="1" w:styleId="affff0">
    <w:name w:val="כות דה תו"/>
    <w:basedOn w:val="a8"/>
    <w:link w:val="affff"/>
    <w:rsid w:val="005F13CF"/>
    <w:rPr>
      <w:rFonts w:ascii="Guttman Hodes" w:eastAsia="Guttman Hodes" w:hAnsi="Guttman Hodes" w:cs="Guttman Hodes"/>
      <w:b/>
      <w:bCs/>
      <w:noProof/>
      <w:sz w:val="12"/>
      <w:szCs w:val="12"/>
    </w:rPr>
  </w:style>
  <w:style w:type="paragraph" w:customStyle="1" w:styleId="affff1">
    <w:name w:val="כות מש רהי"/>
    <w:basedOn w:val="af4"/>
    <w:link w:val="affff2"/>
    <w:rsid w:val="005D6820"/>
    <w:pPr>
      <w:widowControl w:val="0"/>
      <w:spacing w:after="0" w:line="240" w:lineRule="auto"/>
      <w:ind w:left="0"/>
      <w:jc w:val="center"/>
    </w:pPr>
    <w:rPr>
      <w:rFonts w:ascii="Arial" w:eastAsia="Times New Roman" w:hAnsi="Arial" w:cs="Guttman Hodes"/>
      <w:sz w:val="12"/>
      <w:szCs w:val="12"/>
    </w:rPr>
  </w:style>
  <w:style w:type="character" w:customStyle="1" w:styleId="affff2">
    <w:name w:val="כות מש רהי תו"/>
    <w:basedOn w:val="a8"/>
    <w:link w:val="affff1"/>
    <w:rsid w:val="005D6820"/>
    <w:rPr>
      <w:rFonts w:ascii="Arial" w:eastAsia="Times New Roman" w:hAnsi="Arial" w:cs="Guttman Hodes"/>
      <w:sz w:val="12"/>
      <w:szCs w:val="12"/>
    </w:rPr>
  </w:style>
  <w:style w:type="paragraph" w:styleId="affff3">
    <w:name w:val="TOC Heading"/>
    <w:basedOn w:val="1"/>
    <w:next w:val="a6"/>
    <w:uiPriority w:val="39"/>
    <w:unhideWhenUsed/>
    <w:qFormat/>
    <w:rsid w:val="005D6820"/>
    <w:pPr>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tl/>
      <w:cs/>
    </w:rPr>
  </w:style>
  <w:style w:type="paragraph" w:styleId="TOC1">
    <w:name w:val="toc 1"/>
    <w:basedOn w:val="a6"/>
    <w:next w:val="a6"/>
    <w:autoRedefine/>
    <w:uiPriority w:val="39"/>
    <w:unhideWhenUsed/>
    <w:qFormat/>
    <w:rsid w:val="002524CC"/>
    <w:pPr>
      <w:tabs>
        <w:tab w:val="right" w:leader="dot" w:pos="5166"/>
      </w:tabs>
      <w:spacing w:after="0" w:line="240" w:lineRule="auto"/>
      <w:jc w:val="center"/>
    </w:pPr>
    <w:rPr>
      <w:rFonts w:asciiTheme="majorHAnsi" w:hAnsiTheme="majorHAnsi" w:cs="Guttman Hodes"/>
      <w:b/>
      <w:bCs/>
      <w:caps/>
      <w:noProof/>
      <w:sz w:val="24"/>
      <w:szCs w:val="24"/>
    </w:rPr>
  </w:style>
  <w:style w:type="paragraph" w:styleId="TOC2">
    <w:name w:val="toc 2"/>
    <w:basedOn w:val="affff4"/>
    <w:next w:val="a6"/>
    <w:link w:val="TOC20"/>
    <w:autoRedefine/>
    <w:uiPriority w:val="39"/>
    <w:unhideWhenUsed/>
    <w:rsid w:val="002524CC"/>
    <w:pPr>
      <w:tabs>
        <w:tab w:val="right" w:leader="dot" w:pos="5166"/>
      </w:tabs>
      <w:outlineLvl w:val="9"/>
    </w:pPr>
    <w:rPr>
      <w:rFonts w:asciiTheme="minorHAnsi" w:eastAsiaTheme="minorEastAsia" w:hAnsiTheme="minorHAnsi"/>
      <w:noProof/>
      <w:sz w:val="20"/>
    </w:rPr>
  </w:style>
  <w:style w:type="character" w:customStyle="1" w:styleId="TOC20">
    <w:name w:val="TOC 2 תו"/>
    <w:basedOn w:val="a8"/>
    <w:link w:val="TOC2"/>
    <w:uiPriority w:val="39"/>
    <w:rsid w:val="002524CC"/>
    <w:rPr>
      <w:rFonts w:eastAsiaTheme="minorEastAsia" w:cs="Guttman Hodes"/>
      <w:b/>
      <w:bCs/>
      <w:noProof/>
      <w:sz w:val="20"/>
      <w:szCs w:val="18"/>
    </w:rPr>
  </w:style>
  <w:style w:type="character" w:styleId="Hyperlink">
    <w:name w:val="Hyperlink"/>
    <w:basedOn w:val="a8"/>
    <w:uiPriority w:val="99"/>
    <w:unhideWhenUsed/>
    <w:rsid w:val="005D6820"/>
    <w:rPr>
      <w:color w:val="0563C1" w:themeColor="hyperlink"/>
      <w:u w:val="single"/>
    </w:rPr>
  </w:style>
  <w:style w:type="paragraph" w:customStyle="1" w:styleId="affff5">
    <w:name w:val="כות מק פנ"/>
    <w:basedOn w:val="a7"/>
    <w:next w:val="1"/>
    <w:link w:val="affff6"/>
    <w:autoRedefine/>
    <w:qFormat/>
    <w:rsid w:val="00CE3C65"/>
    <w:pPr>
      <w:spacing w:before="240"/>
    </w:pPr>
    <w:rPr>
      <w:rFonts w:ascii="Guttman Adii-Light" w:eastAsia="Guttman Adii-Light" w:hAnsi="Guttman Adii-Light"/>
      <w:b/>
      <w:sz w:val="18"/>
      <w:szCs w:val="28"/>
    </w:rPr>
  </w:style>
  <w:style w:type="character" w:customStyle="1" w:styleId="affff6">
    <w:name w:val="כות מק פנ תו"/>
    <w:basedOn w:val="10"/>
    <w:link w:val="affff5"/>
    <w:rsid w:val="00CE3C65"/>
    <w:rPr>
      <w:rFonts w:ascii="Guttman Adii-Light" w:eastAsia="Guttman Adii-Light" w:hAnsi="Guttman Adii-Light" w:cs="Guttman Hodes"/>
      <w:b/>
      <w:bCs/>
      <w:sz w:val="18"/>
      <w:szCs w:val="28"/>
    </w:rPr>
  </w:style>
  <w:style w:type="paragraph" w:styleId="TOC4">
    <w:name w:val="toc 4"/>
    <w:basedOn w:val="a6"/>
    <w:next w:val="a6"/>
    <w:autoRedefine/>
    <w:uiPriority w:val="39"/>
    <w:unhideWhenUsed/>
    <w:rsid w:val="005D6820"/>
    <w:pPr>
      <w:spacing w:after="0"/>
      <w:ind w:left="440"/>
    </w:pPr>
    <w:rPr>
      <w:rFonts w:cstheme="minorHAnsi"/>
      <w:sz w:val="20"/>
      <w:szCs w:val="20"/>
    </w:rPr>
  </w:style>
  <w:style w:type="paragraph" w:styleId="TOC5">
    <w:name w:val="toc 5"/>
    <w:basedOn w:val="TOC9"/>
    <w:next w:val="a6"/>
    <w:autoRedefine/>
    <w:uiPriority w:val="39"/>
    <w:unhideWhenUsed/>
    <w:rsid w:val="00CC10FE"/>
    <w:pPr>
      <w:ind w:left="660"/>
    </w:pPr>
  </w:style>
  <w:style w:type="paragraph" w:styleId="TOC6">
    <w:name w:val="toc 6"/>
    <w:basedOn w:val="a6"/>
    <w:next w:val="a6"/>
    <w:autoRedefine/>
    <w:uiPriority w:val="39"/>
    <w:unhideWhenUsed/>
    <w:rsid w:val="005D6820"/>
    <w:pPr>
      <w:spacing w:after="0"/>
      <w:ind w:left="880"/>
    </w:pPr>
    <w:rPr>
      <w:rFonts w:cstheme="minorHAnsi"/>
      <w:sz w:val="20"/>
      <w:szCs w:val="20"/>
    </w:rPr>
  </w:style>
  <w:style w:type="paragraph" w:styleId="TOC7">
    <w:name w:val="toc 7"/>
    <w:basedOn w:val="a6"/>
    <w:next w:val="a6"/>
    <w:autoRedefine/>
    <w:uiPriority w:val="39"/>
    <w:unhideWhenUsed/>
    <w:rsid w:val="005A5FBC"/>
    <w:pPr>
      <w:tabs>
        <w:tab w:val="right" w:leader="dot" w:pos="3365"/>
      </w:tabs>
      <w:spacing w:after="0" w:line="240" w:lineRule="auto"/>
    </w:pPr>
    <w:rPr>
      <w:rFonts w:cs="Guttman Hodes"/>
      <w:noProof/>
      <w:sz w:val="14"/>
      <w:szCs w:val="14"/>
    </w:rPr>
  </w:style>
  <w:style w:type="paragraph" w:styleId="TOC8">
    <w:name w:val="toc 8"/>
    <w:basedOn w:val="a6"/>
    <w:next w:val="a6"/>
    <w:autoRedefine/>
    <w:uiPriority w:val="39"/>
    <w:unhideWhenUsed/>
    <w:rsid w:val="005A5FBC"/>
    <w:pPr>
      <w:spacing w:after="0" w:line="240" w:lineRule="auto"/>
    </w:pPr>
    <w:rPr>
      <w:rFonts w:cstheme="minorHAnsi"/>
      <w:sz w:val="20"/>
      <w:szCs w:val="20"/>
    </w:rPr>
  </w:style>
  <w:style w:type="paragraph" w:styleId="TOC9">
    <w:name w:val="toc 9"/>
    <w:basedOn w:val="TOC1"/>
    <w:next w:val="a6"/>
    <w:autoRedefine/>
    <w:uiPriority w:val="39"/>
    <w:unhideWhenUsed/>
    <w:rsid w:val="005A5FBC"/>
    <w:rPr>
      <w:rFonts w:asciiTheme="minorHAnsi" w:hAnsiTheme="minorHAnsi" w:cstheme="minorHAnsi"/>
      <w:b w:val="0"/>
      <w:bCs w:val="0"/>
      <w:caps w:val="0"/>
      <w:sz w:val="20"/>
      <w:szCs w:val="20"/>
    </w:rPr>
  </w:style>
  <w:style w:type="paragraph" w:customStyle="1" w:styleId="affff4">
    <w:name w:val="כות תוכן"/>
    <w:basedOn w:val="a6"/>
    <w:link w:val="affff7"/>
    <w:autoRedefine/>
    <w:qFormat/>
    <w:rsid w:val="00F80C0F"/>
    <w:pPr>
      <w:spacing w:after="0" w:line="360" w:lineRule="auto"/>
      <w:jc w:val="center"/>
      <w:outlineLvl w:val="2"/>
    </w:pPr>
    <w:rPr>
      <w:rFonts w:ascii="Guttman Hodes" w:eastAsia="Guttman Hodes" w:hAnsi="Guttman Hodes" w:cs="Guttman Hodes"/>
      <w:b/>
      <w:bCs/>
      <w:sz w:val="18"/>
      <w:szCs w:val="18"/>
    </w:rPr>
  </w:style>
  <w:style w:type="character" w:customStyle="1" w:styleId="affff7">
    <w:name w:val="כות תוכן תו"/>
    <w:basedOn w:val="a8"/>
    <w:link w:val="affff4"/>
    <w:rsid w:val="00F80C0F"/>
    <w:rPr>
      <w:rFonts w:ascii="Guttman Hodes" w:eastAsia="Guttman Hodes" w:hAnsi="Guttman Hodes" w:cs="Guttman Hodes"/>
      <w:b/>
      <w:bCs/>
      <w:sz w:val="18"/>
      <w:szCs w:val="18"/>
    </w:rPr>
  </w:style>
  <w:style w:type="paragraph" w:customStyle="1" w:styleId="affff8">
    <w:name w:val="כותרת מקטעים"/>
    <w:basedOn w:val="affc"/>
    <w:next w:val="1"/>
    <w:autoRedefine/>
    <w:qFormat/>
    <w:rsid w:val="005D6820"/>
    <w:pPr>
      <w:spacing w:before="360"/>
      <w:jc w:val="center"/>
    </w:pPr>
    <w:rPr>
      <w:rFonts w:ascii="Guttman Hodes" w:eastAsia="Guttman Hodes" w:hAnsi="Guttman Hodes" w:cs="Guttman Hodes"/>
      <w:b/>
      <w:bCs/>
      <w:sz w:val="23"/>
      <w:szCs w:val="23"/>
    </w:rPr>
  </w:style>
  <w:style w:type="character" w:styleId="FollowedHyperlink">
    <w:name w:val="FollowedHyperlink"/>
    <w:basedOn w:val="a8"/>
    <w:uiPriority w:val="99"/>
    <w:unhideWhenUsed/>
    <w:rsid w:val="005D6820"/>
    <w:rPr>
      <w:color w:val="954F72" w:themeColor="followedHyperlink"/>
      <w:u w:val="single"/>
    </w:rPr>
  </w:style>
  <w:style w:type="paragraph" w:customStyle="1" w:styleId="affff9">
    <w:name w:val="כות קטע"/>
    <w:basedOn w:val="affff5"/>
    <w:link w:val="affffa"/>
    <w:rsid w:val="005D6820"/>
  </w:style>
  <w:style w:type="character" w:customStyle="1" w:styleId="affffa">
    <w:name w:val="כות קטע תו"/>
    <w:basedOn w:val="affff6"/>
    <w:link w:val="affff9"/>
    <w:rsid w:val="005D6820"/>
    <w:rPr>
      <w:rFonts w:ascii="Guttman Adii-Light" w:eastAsia="Guttman Adii-Light" w:hAnsi="Guttman Adii-Light" w:cs="Guttman Hodes"/>
      <w:b/>
      <w:bCs/>
      <w:sz w:val="18"/>
      <w:szCs w:val="28"/>
    </w:rPr>
  </w:style>
  <w:style w:type="paragraph" w:customStyle="1" w:styleId="affffb">
    <w:name w:val="מראי"/>
    <w:basedOn w:val="affff9"/>
    <w:link w:val="affffc"/>
    <w:qFormat/>
    <w:rsid w:val="005D6820"/>
  </w:style>
  <w:style w:type="character" w:customStyle="1" w:styleId="affffc">
    <w:name w:val="מראי תו"/>
    <w:basedOn w:val="affffa"/>
    <w:link w:val="affffb"/>
    <w:rsid w:val="005D6820"/>
    <w:rPr>
      <w:rFonts w:ascii="Guttman Adii-Light" w:eastAsia="Guttman Adii-Light" w:hAnsi="Guttman Adii-Light" w:cs="Guttman Hodes"/>
      <w:b/>
      <w:bCs/>
      <w:sz w:val="18"/>
      <w:szCs w:val="28"/>
    </w:rPr>
  </w:style>
  <w:style w:type="character" w:styleId="affffd">
    <w:name w:val="annotation reference"/>
    <w:basedOn w:val="a8"/>
    <w:uiPriority w:val="99"/>
    <w:semiHidden/>
    <w:unhideWhenUsed/>
    <w:rsid w:val="005D6820"/>
    <w:rPr>
      <w:sz w:val="16"/>
      <w:szCs w:val="16"/>
    </w:rPr>
  </w:style>
  <w:style w:type="paragraph" w:styleId="affffe">
    <w:name w:val="annotation text"/>
    <w:basedOn w:val="a6"/>
    <w:link w:val="afffff"/>
    <w:uiPriority w:val="99"/>
    <w:semiHidden/>
    <w:unhideWhenUsed/>
    <w:rsid w:val="005D6820"/>
    <w:pPr>
      <w:spacing w:after="0" w:line="240" w:lineRule="auto"/>
      <w:ind w:left="851"/>
      <w:jc w:val="both"/>
    </w:pPr>
    <w:rPr>
      <w:rFonts w:eastAsiaTheme="minorHAnsi"/>
      <w:sz w:val="20"/>
      <w:szCs w:val="20"/>
    </w:rPr>
  </w:style>
  <w:style w:type="character" w:customStyle="1" w:styleId="afffff">
    <w:name w:val="טקסט הערה תו"/>
    <w:basedOn w:val="a8"/>
    <w:link w:val="affffe"/>
    <w:uiPriority w:val="99"/>
    <w:semiHidden/>
    <w:rsid w:val="005D6820"/>
    <w:rPr>
      <w:sz w:val="20"/>
      <w:szCs w:val="20"/>
    </w:rPr>
  </w:style>
  <w:style w:type="paragraph" w:styleId="afffff0">
    <w:name w:val="annotation subject"/>
    <w:basedOn w:val="affffe"/>
    <w:next w:val="affffe"/>
    <w:link w:val="afffff1"/>
    <w:uiPriority w:val="99"/>
    <w:semiHidden/>
    <w:unhideWhenUsed/>
    <w:rsid w:val="005D6820"/>
    <w:rPr>
      <w:b/>
      <w:bCs/>
    </w:rPr>
  </w:style>
  <w:style w:type="character" w:customStyle="1" w:styleId="afffff1">
    <w:name w:val="נושא הערה תו"/>
    <w:basedOn w:val="afffff"/>
    <w:link w:val="afffff0"/>
    <w:uiPriority w:val="99"/>
    <w:semiHidden/>
    <w:rsid w:val="005D6820"/>
    <w:rPr>
      <w:b/>
      <w:bCs/>
      <w:sz w:val="20"/>
      <w:szCs w:val="20"/>
    </w:rPr>
  </w:style>
  <w:style w:type="character" w:styleId="afffff2">
    <w:name w:val="Unresolved Mention"/>
    <w:basedOn w:val="a8"/>
    <w:uiPriority w:val="99"/>
    <w:semiHidden/>
    <w:unhideWhenUsed/>
    <w:rsid w:val="00F0077F"/>
    <w:rPr>
      <w:color w:val="605E5C"/>
      <w:shd w:val="clear" w:color="auto" w:fill="E1DFDD"/>
    </w:rPr>
  </w:style>
  <w:style w:type="paragraph" w:customStyle="1" w:styleId="afffff3">
    <w:name w:val="תו מפרשים"/>
    <w:basedOn w:val="TOC2"/>
    <w:link w:val="afffff4"/>
    <w:autoRedefine/>
    <w:qFormat/>
    <w:rsid w:val="0019597E"/>
    <w:pPr>
      <w:tabs>
        <w:tab w:val="right" w:pos="4939"/>
      </w:tabs>
    </w:pPr>
    <w:rPr>
      <w:i/>
      <w:iCs/>
    </w:rPr>
  </w:style>
  <w:style w:type="character" w:customStyle="1" w:styleId="afffff4">
    <w:name w:val="תו מפרשים תו"/>
    <w:basedOn w:val="TOC20"/>
    <w:link w:val="afffff3"/>
    <w:rsid w:val="0019597E"/>
    <w:rPr>
      <w:rFonts w:ascii="Guttman Hodes" w:eastAsia="Guttman Hodes" w:hAnsi="Guttman Hodes" w:cs="Guttman Hodes"/>
      <w:b/>
      <w:bCs/>
      <w:i/>
      <w:iCs/>
      <w:noProof/>
      <w:sz w:val="14"/>
      <w:szCs w:val="14"/>
    </w:rPr>
  </w:style>
  <w:style w:type="paragraph" w:customStyle="1" w:styleId="afffff5">
    <w:name w:val="בלשו המשך"/>
    <w:basedOn w:val="a2"/>
    <w:next w:val="a7"/>
    <w:link w:val="afffff6"/>
    <w:autoRedefine/>
    <w:qFormat/>
    <w:rsid w:val="00DB30EB"/>
    <w:pPr>
      <w:numPr>
        <w:numId w:val="0"/>
      </w:numPr>
    </w:pPr>
  </w:style>
  <w:style w:type="character" w:customStyle="1" w:styleId="afffff6">
    <w:name w:val="בלשו המשך תו"/>
    <w:basedOn w:val="afffe"/>
    <w:link w:val="afffff5"/>
    <w:rsid w:val="00DB30EB"/>
    <w:rPr>
      <w:rFonts w:ascii="FrankRuehl" w:eastAsia="Guttman Hodes" w:hAnsi="FrankRuehl" w:cs="FrankRuehl"/>
      <w:vanish/>
      <w:sz w:val="24"/>
      <w:szCs w:val="24"/>
    </w:rPr>
  </w:style>
  <w:style w:type="paragraph" w:customStyle="1" w:styleId="afffff7">
    <w:name w:val="כות מפ.סדורה"/>
    <w:basedOn w:val="afffff8"/>
    <w:next w:val="a7"/>
    <w:link w:val="afffff9"/>
    <w:autoRedefine/>
    <w:qFormat/>
    <w:rsid w:val="00C12F78"/>
  </w:style>
  <w:style w:type="paragraph" w:customStyle="1" w:styleId="afffff8">
    <w:name w:val="כות מפ סדורה"/>
    <w:basedOn w:val="afffc"/>
    <w:next w:val="a3"/>
    <w:link w:val="afffffa"/>
    <w:autoRedefine/>
    <w:rsid w:val="005B33A6"/>
    <w:rPr>
      <w:rFonts w:cs="Guttman Rashi"/>
      <w:b w:val="0"/>
      <w:sz w:val="16"/>
      <w:szCs w:val="16"/>
    </w:rPr>
  </w:style>
  <w:style w:type="character" w:customStyle="1" w:styleId="afffffa">
    <w:name w:val="כות מפ סדורה תו"/>
    <w:basedOn w:val="afffd"/>
    <w:link w:val="afffff8"/>
    <w:rsid w:val="005B33A6"/>
    <w:rPr>
      <w:rFonts w:ascii="FrankRuehl" w:eastAsia="Guttman Hodes" w:hAnsi="FrankRuehl" w:cs="Guttman Rashi"/>
      <w:b w:val="0"/>
      <w:bCs/>
      <w:noProof/>
      <w:sz w:val="16"/>
      <w:szCs w:val="16"/>
    </w:rPr>
  </w:style>
  <w:style w:type="character" w:customStyle="1" w:styleId="afffff9">
    <w:name w:val="כות מפ.סדורה תו"/>
    <w:basedOn w:val="afffd"/>
    <w:link w:val="afffff7"/>
    <w:rsid w:val="00C12F78"/>
    <w:rPr>
      <w:rFonts w:ascii="FrankRuehl" w:eastAsia="Guttman Hodes" w:hAnsi="FrankRuehl" w:cs="Guttman Rashi"/>
      <w:b w:val="0"/>
      <w:bCs/>
      <w:noProof/>
      <w:sz w:val="16"/>
      <w:szCs w:val="16"/>
    </w:rPr>
  </w:style>
  <w:style w:type="paragraph" w:customStyle="1" w:styleId="afffffb">
    <w:name w:val="כות דה סדורה"/>
    <w:basedOn w:val="afffff7"/>
    <w:next w:val="a3"/>
    <w:link w:val="afffffc"/>
    <w:autoRedefine/>
    <w:qFormat/>
    <w:rsid w:val="00EB3508"/>
    <w:rPr>
      <w:b/>
      <w:bCs w:val="0"/>
      <w:sz w:val="12"/>
      <w:szCs w:val="12"/>
    </w:rPr>
  </w:style>
  <w:style w:type="character" w:customStyle="1" w:styleId="afffffc">
    <w:name w:val="כות דה סדורה תו"/>
    <w:basedOn w:val="afffd"/>
    <w:link w:val="afffffb"/>
    <w:rsid w:val="00EB3508"/>
    <w:rPr>
      <w:rFonts w:ascii="FrankRuehl" w:eastAsia="Guttman Hodes" w:hAnsi="FrankRuehl" w:cs="Guttman Rashi"/>
      <w:b/>
      <w:bCs w:val="0"/>
      <w:noProof/>
      <w:sz w:val="12"/>
      <w:szCs w:val="12"/>
    </w:rPr>
  </w:style>
  <w:style w:type="character" w:customStyle="1" w:styleId="afffffd">
    <w:name w:val="כות מפר בלשו תו"/>
    <w:basedOn w:val="afffff9"/>
    <w:link w:val="afffffe"/>
    <w:locked/>
    <w:rsid w:val="00255F2B"/>
    <w:rPr>
      <w:rFonts w:ascii="FrankRuehl" w:eastAsia="Guttman Hodes" w:hAnsi="FrankRuehl" w:cs="Guttman Rashi"/>
      <w:b/>
      <w:bCs/>
      <w:noProof/>
      <w:sz w:val="18"/>
      <w:szCs w:val="18"/>
    </w:rPr>
  </w:style>
  <w:style w:type="paragraph" w:customStyle="1" w:styleId="afffffe">
    <w:name w:val="כות מפר בלשו"/>
    <w:basedOn w:val="afffff7"/>
    <w:next w:val="a7"/>
    <w:link w:val="afffffd"/>
    <w:autoRedefine/>
    <w:qFormat/>
    <w:rsid w:val="00255F2B"/>
    <w:pPr>
      <w:spacing w:before="120" w:after="120"/>
    </w:pPr>
    <w:rPr>
      <w:b/>
      <w:sz w:val="18"/>
      <w:szCs w:val="18"/>
    </w:rPr>
  </w:style>
  <w:style w:type="numbering" w:customStyle="1" w:styleId="13">
    <w:name w:val="ללא רשימה1"/>
    <w:next w:val="aa"/>
    <w:uiPriority w:val="99"/>
    <w:semiHidden/>
    <w:unhideWhenUsed/>
    <w:rsid w:val="00DE6318"/>
  </w:style>
  <w:style w:type="paragraph" w:customStyle="1" w:styleId="affffff">
    <w:name w:val="מוסתר"/>
    <w:basedOn w:val="a6"/>
    <w:next w:val="a6"/>
    <w:link w:val="affffff0"/>
    <w:autoRedefine/>
    <w:qFormat/>
    <w:rsid w:val="00DE6318"/>
    <w:pPr>
      <w:keepNext/>
      <w:keepLines/>
      <w:spacing w:after="0" w:line="240" w:lineRule="auto"/>
      <w:ind w:left="-284"/>
      <w:jc w:val="both"/>
      <w:outlineLvl w:val="1"/>
    </w:pPr>
    <w:rPr>
      <w:rFonts w:ascii="FrankRuehl" w:eastAsia="Guttman Hodes" w:hAnsi="FrankRuehl" w:cs="Guttman Rashi"/>
      <w:bCs/>
      <w:noProof/>
      <w:vanish/>
      <w:sz w:val="16"/>
      <w:szCs w:val="16"/>
    </w:rPr>
  </w:style>
  <w:style w:type="character" w:customStyle="1" w:styleId="affffff0">
    <w:name w:val="מוסתר תו"/>
    <w:basedOn w:val="a8"/>
    <w:link w:val="affffff"/>
    <w:rsid w:val="00DE6318"/>
    <w:rPr>
      <w:rFonts w:ascii="FrankRuehl" w:eastAsia="Guttman Hodes" w:hAnsi="FrankRuehl" w:cs="Guttman Rashi"/>
      <w:bCs/>
      <w:noProof/>
      <w:vanish/>
      <w:sz w:val="16"/>
      <w:szCs w:val="16"/>
    </w:rPr>
  </w:style>
  <w:style w:type="paragraph" w:styleId="HTML">
    <w:name w:val="HTML Preformatted"/>
    <w:basedOn w:val="a6"/>
    <w:link w:val="HTML0"/>
    <w:uiPriority w:val="99"/>
    <w:semiHidden/>
    <w:unhideWhenUsed/>
    <w:rsid w:val="007E3CF0"/>
    <w:pPr>
      <w:spacing w:after="0" w:line="240" w:lineRule="auto"/>
    </w:pPr>
    <w:rPr>
      <w:rFonts w:ascii="Consolas" w:hAnsi="Consolas"/>
      <w:sz w:val="20"/>
      <w:szCs w:val="20"/>
    </w:rPr>
  </w:style>
  <w:style w:type="character" w:customStyle="1" w:styleId="HTML0">
    <w:name w:val="HTML מעוצב מראש תו"/>
    <w:basedOn w:val="a8"/>
    <w:link w:val="HTML"/>
    <w:uiPriority w:val="99"/>
    <w:semiHidden/>
    <w:rsid w:val="007E3CF0"/>
    <w:rPr>
      <w:rFonts w:ascii="Consolas" w:eastAsiaTheme="minorEastAsia" w:hAnsi="Consolas"/>
      <w:sz w:val="20"/>
      <w:szCs w:val="20"/>
    </w:rPr>
  </w:style>
  <w:style w:type="paragraph" w:styleId="Index2">
    <w:name w:val="index 2"/>
    <w:basedOn w:val="a6"/>
    <w:next w:val="a6"/>
    <w:autoRedefine/>
    <w:uiPriority w:val="99"/>
    <w:semiHidden/>
    <w:unhideWhenUsed/>
    <w:rsid w:val="007E3CF0"/>
    <w:pPr>
      <w:spacing w:after="0" w:line="240" w:lineRule="auto"/>
      <w:ind w:left="440" w:hanging="220"/>
    </w:pPr>
  </w:style>
  <w:style w:type="paragraph" w:styleId="Index3">
    <w:name w:val="index 3"/>
    <w:basedOn w:val="a6"/>
    <w:next w:val="a6"/>
    <w:autoRedefine/>
    <w:uiPriority w:val="99"/>
    <w:semiHidden/>
    <w:unhideWhenUsed/>
    <w:rsid w:val="007E3CF0"/>
    <w:pPr>
      <w:spacing w:after="0" w:line="240" w:lineRule="auto"/>
      <w:ind w:left="660" w:hanging="220"/>
    </w:pPr>
  </w:style>
  <w:style w:type="paragraph" w:styleId="Index4">
    <w:name w:val="index 4"/>
    <w:basedOn w:val="a6"/>
    <w:next w:val="a6"/>
    <w:autoRedefine/>
    <w:uiPriority w:val="99"/>
    <w:semiHidden/>
    <w:unhideWhenUsed/>
    <w:rsid w:val="007E3CF0"/>
    <w:pPr>
      <w:spacing w:after="0" w:line="240" w:lineRule="auto"/>
      <w:ind w:left="880" w:hanging="220"/>
    </w:pPr>
  </w:style>
  <w:style w:type="paragraph" w:styleId="Index5">
    <w:name w:val="index 5"/>
    <w:basedOn w:val="a6"/>
    <w:next w:val="a6"/>
    <w:autoRedefine/>
    <w:uiPriority w:val="99"/>
    <w:semiHidden/>
    <w:unhideWhenUsed/>
    <w:rsid w:val="007E3CF0"/>
    <w:pPr>
      <w:spacing w:after="0" w:line="240" w:lineRule="auto"/>
      <w:ind w:left="1100" w:hanging="220"/>
    </w:pPr>
  </w:style>
  <w:style w:type="paragraph" w:styleId="Index6">
    <w:name w:val="index 6"/>
    <w:basedOn w:val="a6"/>
    <w:next w:val="a6"/>
    <w:autoRedefine/>
    <w:uiPriority w:val="99"/>
    <w:semiHidden/>
    <w:unhideWhenUsed/>
    <w:rsid w:val="007E3CF0"/>
    <w:pPr>
      <w:spacing w:after="0" w:line="240" w:lineRule="auto"/>
      <w:ind w:left="1320" w:hanging="220"/>
    </w:pPr>
  </w:style>
  <w:style w:type="paragraph" w:styleId="Index7">
    <w:name w:val="index 7"/>
    <w:basedOn w:val="a6"/>
    <w:next w:val="a6"/>
    <w:autoRedefine/>
    <w:uiPriority w:val="99"/>
    <w:semiHidden/>
    <w:unhideWhenUsed/>
    <w:rsid w:val="007E3CF0"/>
    <w:pPr>
      <w:spacing w:after="0" w:line="240" w:lineRule="auto"/>
      <w:ind w:left="1540" w:hanging="220"/>
    </w:pPr>
  </w:style>
  <w:style w:type="paragraph" w:styleId="Index8">
    <w:name w:val="index 8"/>
    <w:basedOn w:val="a6"/>
    <w:next w:val="a6"/>
    <w:autoRedefine/>
    <w:uiPriority w:val="99"/>
    <w:semiHidden/>
    <w:unhideWhenUsed/>
    <w:rsid w:val="007E3CF0"/>
    <w:pPr>
      <w:spacing w:after="0" w:line="240" w:lineRule="auto"/>
      <w:ind w:left="1760" w:hanging="220"/>
    </w:pPr>
  </w:style>
  <w:style w:type="paragraph" w:styleId="Index9">
    <w:name w:val="index 9"/>
    <w:basedOn w:val="a6"/>
    <w:next w:val="a6"/>
    <w:autoRedefine/>
    <w:uiPriority w:val="99"/>
    <w:semiHidden/>
    <w:unhideWhenUsed/>
    <w:rsid w:val="007E3CF0"/>
    <w:pPr>
      <w:spacing w:after="0" w:line="240" w:lineRule="auto"/>
      <w:ind w:left="1980" w:hanging="220"/>
    </w:pPr>
  </w:style>
  <w:style w:type="paragraph" w:styleId="NormalWeb">
    <w:name w:val="Normal (Web)"/>
    <w:basedOn w:val="a6"/>
    <w:uiPriority w:val="99"/>
    <w:semiHidden/>
    <w:unhideWhenUsed/>
    <w:rsid w:val="007E3CF0"/>
    <w:rPr>
      <w:rFonts w:ascii="Times New Roman" w:hAnsi="Times New Roman" w:cs="Times New Roman"/>
      <w:sz w:val="24"/>
      <w:szCs w:val="24"/>
    </w:rPr>
  </w:style>
  <w:style w:type="paragraph" w:styleId="affffff1">
    <w:name w:val="Bibliography"/>
    <w:basedOn w:val="a6"/>
    <w:next w:val="a6"/>
    <w:uiPriority w:val="37"/>
    <w:semiHidden/>
    <w:unhideWhenUsed/>
    <w:rsid w:val="007E3CF0"/>
  </w:style>
  <w:style w:type="paragraph" w:styleId="affffff2">
    <w:name w:val="Salutation"/>
    <w:basedOn w:val="a6"/>
    <w:next w:val="a6"/>
    <w:link w:val="affffff3"/>
    <w:uiPriority w:val="99"/>
    <w:semiHidden/>
    <w:unhideWhenUsed/>
    <w:rsid w:val="007E3CF0"/>
  </w:style>
  <w:style w:type="character" w:customStyle="1" w:styleId="affffff3">
    <w:name w:val="ברכה תו"/>
    <w:basedOn w:val="a8"/>
    <w:link w:val="affffff2"/>
    <w:uiPriority w:val="99"/>
    <w:semiHidden/>
    <w:rsid w:val="007E3CF0"/>
    <w:rPr>
      <w:rFonts w:eastAsiaTheme="minorEastAsia"/>
    </w:rPr>
  </w:style>
  <w:style w:type="paragraph" w:styleId="affffff4">
    <w:name w:val="Body Text"/>
    <w:basedOn w:val="a6"/>
    <w:link w:val="affffff5"/>
    <w:uiPriority w:val="99"/>
    <w:semiHidden/>
    <w:unhideWhenUsed/>
    <w:rsid w:val="007E3CF0"/>
    <w:pPr>
      <w:spacing w:after="120"/>
    </w:pPr>
  </w:style>
  <w:style w:type="character" w:customStyle="1" w:styleId="affffff5">
    <w:name w:val="גוף טקסט תו"/>
    <w:basedOn w:val="a8"/>
    <w:link w:val="affffff4"/>
    <w:uiPriority w:val="99"/>
    <w:semiHidden/>
    <w:rsid w:val="007E3CF0"/>
    <w:rPr>
      <w:rFonts w:eastAsiaTheme="minorEastAsia"/>
    </w:rPr>
  </w:style>
  <w:style w:type="paragraph" w:styleId="23">
    <w:name w:val="Body Text 2"/>
    <w:basedOn w:val="a6"/>
    <w:link w:val="24"/>
    <w:uiPriority w:val="99"/>
    <w:semiHidden/>
    <w:unhideWhenUsed/>
    <w:rsid w:val="007E3CF0"/>
    <w:pPr>
      <w:spacing w:after="120" w:line="480" w:lineRule="auto"/>
    </w:pPr>
  </w:style>
  <w:style w:type="character" w:customStyle="1" w:styleId="24">
    <w:name w:val="גוף טקסט 2 תו"/>
    <w:basedOn w:val="a8"/>
    <w:link w:val="23"/>
    <w:uiPriority w:val="99"/>
    <w:semiHidden/>
    <w:rsid w:val="007E3CF0"/>
    <w:rPr>
      <w:rFonts w:eastAsiaTheme="minorEastAsia"/>
    </w:rPr>
  </w:style>
  <w:style w:type="paragraph" w:styleId="33">
    <w:name w:val="Body Text 3"/>
    <w:basedOn w:val="a6"/>
    <w:link w:val="34"/>
    <w:uiPriority w:val="99"/>
    <w:semiHidden/>
    <w:unhideWhenUsed/>
    <w:rsid w:val="007E3CF0"/>
    <w:pPr>
      <w:spacing w:after="120"/>
    </w:pPr>
    <w:rPr>
      <w:sz w:val="16"/>
      <w:szCs w:val="16"/>
    </w:rPr>
  </w:style>
  <w:style w:type="character" w:customStyle="1" w:styleId="34">
    <w:name w:val="גוף טקסט 3 תו"/>
    <w:basedOn w:val="a8"/>
    <w:link w:val="33"/>
    <w:uiPriority w:val="99"/>
    <w:semiHidden/>
    <w:rsid w:val="007E3CF0"/>
    <w:rPr>
      <w:rFonts w:eastAsiaTheme="minorEastAsia"/>
      <w:sz w:val="16"/>
      <w:szCs w:val="16"/>
    </w:rPr>
  </w:style>
  <w:style w:type="paragraph" w:styleId="affffff6">
    <w:name w:val="List Continue"/>
    <w:basedOn w:val="a6"/>
    <w:uiPriority w:val="99"/>
    <w:semiHidden/>
    <w:unhideWhenUsed/>
    <w:rsid w:val="007E3CF0"/>
    <w:pPr>
      <w:spacing w:after="120"/>
      <w:ind w:left="283"/>
      <w:contextualSpacing/>
    </w:pPr>
  </w:style>
  <w:style w:type="paragraph" w:styleId="25">
    <w:name w:val="List Continue 2"/>
    <w:basedOn w:val="a6"/>
    <w:uiPriority w:val="99"/>
    <w:semiHidden/>
    <w:unhideWhenUsed/>
    <w:rsid w:val="007E3CF0"/>
    <w:pPr>
      <w:spacing w:after="120"/>
      <w:ind w:left="566"/>
      <w:contextualSpacing/>
    </w:pPr>
  </w:style>
  <w:style w:type="paragraph" w:styleId="35">
    <w:name w:val="List Continue 3"/>
    <w:basedOn w:val="a6"/>
    <w:uiPriority w:val="99"/>
    <w:semiHidden/>
    <w:unhideWhenUsed/>
    <w:rsid w:val="007E3CF0"/>
    <w:pPr>
      <w:spacing w:after="120"/>
      <w:ind w:left="849"/>
      <w:contextualSpacing/>
    </w:pPr>
  </w:style>
  <w:style w:type="paragraph" w:styleId="43">
    <w:name w:val="List Continue 4"/>
    <w:basedOn w:val="a6"/>
    <w:uiPriority w:val="99"/>
    <w:semiHidden/>
    <w:unhideWhenUsed/>
    <w:rsid w:val="007E3CF0"/>
    <w:pPr>
      <w:spacing w:after="120"/>
      <w:ind w:left="1132"/>
      <w:contextualSpacing/>
    </w:pPr>
  </w:style>
  <w:style w:type="paragraph" w:styleId="53">
    <w:name w:val="List Continue 5"/>
    <w:basedOn w:val="a6"/>
    <w:uiPriority w:val="99"/>
    <w:semiHidden/>
    <w:unhideWhenUsed/>
    <w:rsid w:val="007E3CF0"/>
    <w:pPr>
      <w:spacing w:after="120"/>
      <w:ind w:left="1415"/>
      <w:contextualSpacing/>
    </w:pPr>
  </w:style>
  <w:style w:type="paragraph" w:styleId="affffff7">
    <w:name w:val="Signature"/>
    <w:basedOn w:val="a6"/>
    <w:link w:val="affffff8"/>
    <w:uiPriority w:val="99"/>
    <w:semiHidden/>
    <w:unhideWhenUsed/>
    <w:rsid w:val="007E3CF0"/>
    <w:pPr>
      <w:spacing w:after="0" w:line="240" w:lineRule="auto"/>
      <w:ind w:left="4252"/>
    </w:pPr>
  </w:style>
  <w:style w:type="character" w:customStyle="1" w:styleId="affffff8">
    <w:name w:val="חתימה תו"/>
    <w:basedOn w:val="a8"/>
    <w:link w:val="affffff7"/>
    <w:uiPriority w:val="99"/>
    <w:semiHidden/>
    <w:rsid w:val="007E3CF0"/>
    <w:rPr>
      <w:rFonts w:eastAsiaTheme="minorEastAsia"/>
    </w:rPr>
  </w:style>
  <w:style w:type="paragraph" w:styleId="affffff9">
    <w:name w:val="E-mail Signature"/>
    <w:basedOn w:val="a6"/>
    <w:link w:val="affffffa"/>
    <w:uiPriority w:val="99"/>
    <w:semiHidden/>
    <w:unhideWhenUsed/>
    <w:rsid w:val="007E3CF0"/>
    <w:pPr>
      <w:spacing w:after="0" w:line="240" w:lineRule="auto"/>
    </w:pPr>
  </w:style>
  <w:style w:type="character" w:customStyle="1" w:styleId="affffffa">
    <w:name w:val="חתימת דואר אלקטרוני תו"/>
    <w:basedOn w:val="a8"/>
    <w:link w:val="affffff9"/>
    <w:uiPriority w:val="99"/>
    <w:semiHidden/>
    <w:rsid w:val="007E3CF0"/>
    <w:rPr>
      <w:rFonts w:eastAsiaTheme="minorEastAsia"/>
    </w:rPr>
  </w:style>
  <w:style w:type="paragraph" w:styleId="affffffb">
    <w:name w:val="Block Text"/>
    <w:basedOn w:val="a6"/>
    <w:uiPriority w:val="99"/>
    <w:semiHidden/>
    <w:unhideWhenUsed/>
    <w:rsid w:val="007E3CF0"/>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i/>
      <w:iCs/>
      <w:color w:val="5B9BD5" w:themeColor="accent1"/>
    </w:rPr>
  </w:style>
  <w:style w:type="paragraph" w:styleId="affffffc">
    <w:name w:val="macro"/>
    <w:link w:val="affffffd"/>
    <w:uiPriority w:val="99"/>
    <w:semiHidden/>
    <w:unhideWhenUsed/>
    <w:rsid w:val="007E3CF0"/>
    <w:pPr>
      <w:tabs>
        <w:tab w:val="left" w:pos="480"/>
        <w:tab w:val="left" w:pos="960"/>
        <w:tab w:val="left" w:pos="1440"/>
        <w:tab w:val="left" w:pos="1920"/>
        <w:tab w:val="left" w:pos="2400"/>
        <w:tab w:val="left" w:pos="2880"/>
        <w:tab w:val="left" w:pos="3360"/>
        <w:tab w:val="left" w:pos="3840"/>
        <w:tab w:val="left" w:pos="4320"/>
      </w:tabs>
      <w:bidi/>
      <w:spacing w:after="0" w:line="276" w:lineRule="auto"/>
    </w:pPr>
    <w:rPr>
      <w:rFonts w:ascii="Consolas" w:eastAsiaTheme="minorEastAsia" w:hAnsi="Consolas"/>
      <w:sz w:val="20"/>
      <w:szCs w:val="20"/>
    </w:rPr>
  </w:style>
  <w:style w:type="character" w:customStyle="1" w:styleId="affffffd">
    <w:name w:val="טקסט מאקרו תו"/>
    <w:basedOn w:val="a8"/>
    <w:link w:val="affffffc"/>
    <w:uiPriority w:val="99"/>
    <w:semiHidden/>
    <w:rsid w:val="007E3CF0"/>
    <w:rPr>
      <w:rFonts w:ascii="Consolas" w:eastAsiaTheme="minorEastAsia" w:hAnsi="Consolas"/>
      <w:sz w:val="20"/>
      <w:szCs w:val="20"/>
    </w:rPr>
  </w:style>
  <w:style w:type="paragraph" w:styleId="affffffe">
    <w:name w:val="Plain Text"/>
    <w:basedOn w:val="a6"/>
    <w:link w:val="afffffff"/>
    <w:uiPriority w:val="99"/>
    <w:semiHidden/>
    <w:unhideWhenUsed/>
    <w:rsid w:val="007E3CF0"/>
    <w:pPr>
      <w:spacing w:after="0" w:line="240" w:lineRule="auto"/>
    </w:pPr>
    <w:rPr>
      <w:rFonts w:ascii="Consolas" w:hAnsi="Consolas"/>
      <w:sz w:val="21"/>
      <w:szCs w:val="21"/>
    </w:rPr>
  </w:style>
  <w:style w:type="character" w:customStyle="1" w:styleId="afffffff">
    <w:name w:val="טקסט רגיל תו"/>
    <w:basedOn w:val="a8"/>
    <w:link w:val="affffffe"/>
    <w:uiPriority w:val="99"/>
    <w:semiHidden/>
    <w:rsid w:val="007E3CF0"/>
    <w:rPr>
      <w:rFonts w:ascii="Consolas" w:eastAsiaTheme="minorEastAsia" w:hAnsi="Consolas"/>
      <w:sz w:val="21"/>
      <w:szCs w:val="21"/>
    </w:rPr>
  </w:style>
  <w:style w:type="paragraph" w:styleId="afffffff0">
    <w:name w:val="index heading"/>
    <w:basedOn w:val="a6"/>
    <w:next w:val="Index1"/>
    <w:uiPriority w:val="99"/>
    <w:semiHidden/>
    <w:unhideWhenUsed/>
    <w:rsid w:val="007E3CF0"/>
    <w:rPr>
      <w:rFonts w:asciiTheme="majorHAnsi" w:eastAsiaTheme="majorEastAsia" w:hAnsiTheme="majorHAnsi" w:cstheme="majorBidi"/>
      <w:b/>
      <w:bCs/>
    </w:rPr>
  </w:style>
  <w:style w:type="paragraph" w:styleId="afffffff1">
    <w:name w:val="Note Heading"/>
    <w:basedOn w:val="a6"/>
    <w:next w:val="a6"/>
    <w:link w:val="afffffff2"/>
    <w:uiPriority w:val="99"/>
    <w:semiHidden/>
    <w:unhideWhenUsed/>
    <w:rsid w:val="007E3CF0"/>
    <w:pPr>
      <w:spacing w:after="0" w:line="240" w:lineRule="auto"/>
    </w:pPr>
  </w:style>
  <w:style w:type="character" w:customStyle="1" w:styleId="afffffff2">
    <w:name w:val="כותרת הערות תו"/>
    <w:basedOn w:val="a8"/>
    <w:link w:val="afffffff1"/>
    <w:uiPriority w:val="99"/>
    <w:semiHidden/>
    <w:rsid w:val="007E3CF0"/>
    <w:rPr>
      <w:rFonts w:eastAsiaTheme="minorEastAsia"/>
    </w:rPr>
  </w:style>
  <w:style w:type="paragraph" w:styleId="afffffff3">
    <w:name w:val="Title"/>
    <w:basedOn w:val="a6"/>
    <w:next w:val="a6"/>
    <w:link w:val="afffffff4"/>
    <w:uiPriority w:val="10"/>
    <w:qFormat/>
    <w:rsid w:val="007E3CF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fffffff4">
    <w:name w:val="כותרת טקסט תו"/>
    <w:basedOn w:val="a8"/>
    <w:link w:val="afffffff3"/>
    <w:uiPriority w:val="10"/>
    <w:rsid w:val="007E3CF0"/>
    <w:rPr>
      <w:rFonts w:asciiTheme="majorHAnsi" w:eastAsiaTheme="majorEastAsia" w:hAnsiTheme="majorHAnsi" w:cstheme="majorBidi"/>
      <w:spacing w:val="-10"/>
      <w:kern w:val="28"/>
      <w:sz w:val="56"/>
      <w:szCs w:val="56"/>
    </w:rPr>
  </w:style>
  <w:style w:type="paragraph" w:styleId="afffffff5">
    <w:name w:val="Subtitle"/>
    <w:basedOn w:val="a6"/>
    <w:next w:val="a6"/>
    <w:link w:val="afffffff6"/>
    <w:uiPriority w:val="11"/>
    <w:qFormat/>
    <w:rsid w:val="007E3CF0"/>
    <w:pPr>
      <w:numPr>
        <w:ilvl w:val="1"/>
      </w:numPr>
      <w:spacing w:after="160"/>
    </w:pPr>
    <w:rPr>
      <w:color w:val="5A5A5A" w:themeColor="text1" w:themeTint="A5"/>
      <w:spacing w:val="15"/>
    </w:rPr>
  </w:style>
  <w:style w:type="character" w:customStyle="1" w:styleId="afffffff6">
    <w:name w:val="כותרת משנה תו"/>
    <w:basedOn w:val="a8"/>
    <w:link w:val="afffffff5"/>
    <w:uiPriority w:val="11"/>
    <w:rsid w:val="007E3CF0"/>
    <w:rPr>
      <w:rFonts w:eastAsiaTheme="minorEastAsia"/>
      <w:color w:val="5A5A5A" w:themeColor="text1" w:themeTint="A5"/>
      <w:spacing w:val="15"/>
    </w:rPr>
  </w:style>
  <w:style w:type="paragraph" w:styleId="afffffff7">
    <w:name w:val="Message Header"/>
    <w:basedOn w:val="a6"/>
    <w:link w:val="afffffff8"/>
    <w:uiPriority w:val="99"/>
    <w:semiHidden/>
    <w:unhideWhenUsed/>
    <w:rsid w:val="007E3CF0"/>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afffffff8">
    <w:name w:val="כותרת עליונה של הודעה תו"/>
    <w:basedOn w:val="a8"/>
    <w:link w:val="afffffff7"/>
    <w:uiPriority w:val="99"/>
    <w:semiHidden/>
    <w:rsid w:val="007E3CF0"/>
    <w:rPr>
      <w:rFonts w:asciiTheme="majorHAnsi" w:eastAsiaTheme="majorEastAsia" w:hAnsiTheme="majorHAnsi" w:cstheme="majorBidi"/>
      <w:sz w:val="24"/>
      <w:szCs w:val="24"/>
      <w:shd w:val="pct20" w:color="auto" w:fill="auto"/>
    </w:rPr>
  </w:style>
  <w:style w:type="paragraph" w:styleId="afffffff9">
    <w:name w:val="toa heading"/>
    <w:basedOn w:val="a6"/>
    <w:next w:val="a6"/>
    <w:uiPriority w:val="99"/>
    <w:semiHidden/>
    <w:unhideWhenUsed/>
    <w:rsid w:val="007E3CF0"/>
    <w:pPr>
      <w:spacing w:before="120"/>
    </w:pPr>
    <w:rPr>
      <w:rFonts w:asciiTheme="majorHAnsi" w:eastAsiaTheme="majorEastAsia" w:hAnsiTheme="majorHAnsi" w:cstheme="majorBidi"/>
      <w:b/>
      <w:bCs/>
      <w:sz w:val="24"/>
      <w:szCs w:val="24"/>
    </w:rPr>
  </w:style>
  <w:style w:type="paragraph" w:styleId="afffffffa">
    <w:name w:val="caption"/>
    <w:basedOn w:val="a6"/>
    <w:next w:val="a6"/>
    <w:uiPriority w:val="35"/>
    <w:semiHidden/>
    <w:unhideWhenUsed/>
    <w:qFormat/>
    <w:rsid w:val="007E3CF0"/>
    <w:pPr>
      <w:spacing w:line="240" w:lineRule="auto"/>
    </w:pPr>
    <w:rPr>
      <w:i/>
      <w:iCs/>
      <w:color w:val="44546A" w:themeColor="text2"/>
      <w:sz w:val="18"/>
      <w:szCs w:val="18"/>
    </w:rPr>
  </w:style>
  <w:style w:type="paragraph" w:styleId="afffffffb">
    <w:name w:val="Body Text Indent"/>
    <w:basedOn w:val="a6"/>
    <w:link w:val="afffffffc"/>
    <w:uiPriority w:val="99"/>
    <w:semiHidden/>
    <w:unhideWhenUsed/>
    <w:rsid w:val="007E3CF0"/>
    <w:pPr>
      <w:spacing w:after="120"/>
      <w:ind w:left="283"/>
    </w:pPr>
  </w:style>
  <w:style w:type="character" w:customStyle="1" w:styleId="afffffffc">
    <w:name w:val="כניסה בגוף טקסט תו"/>
    <w:basedOn w:val="a8"/>
    <w:link w:val="afffffffb"/>
    <w:uiPriority w:val="99"/>
    <w:semiHidden/>
    <w:rsid w:val="007E3CF0"/>
    <w:rPr>
      <w:rFonts w:eastAsiaTheme="minorEastAsia"/>
    </w:rPr>
  </w:style>
  <w:style w:type="paragraph" w:styleId="26">
    <w:name w:val="Body Text Indent 2"/>
    <w:basedOn w:val="a6"/>
    <w:link w:val="27"/>
    <w:uiPriority w:val="99"/>
    <w:semiHidden/>
    <w:unhideWhenUsed/>
    <w:rsid w:val="007E3CF0"/>
    <w:pPr>
      <w:spacing w:after="120" w:line="480" w:lineRule="auto"/>
      <w:ind w:left="283"/>
    </w:pPr>
  </w:style>
  <w:style w:type="character" w:customStyle="1" w:styleId="27">
    <w:name w:val="כניסה בגוף טקסט 2 תו"/>
    <w:basedOn w:val="a8"/>
    <w:link w:val="26"/>
    <w:uiPriority w:val="99"/>
    <w:semiHidden/>
    <w:rsid w:val="007E3CF0"/>
    <w:rPr>
      <w:rFonts w:eastAsiaTheme="minorEastAsia"/>
    </w:rPr>
  </w:style>
  <w:style w:type="paragraph" w:styleId="36">
    <w:name w:val="Body Text Indent 3"/>
    <w:basedOn w:val="a6"/>
    <w:link w:val="37"/>
    <w:uiPriority w:val="99"/>
    <w:semiHidden/>
    <w:unhideWhenUsed/>
    <w:rsid w:val="007E3CF0"/>
    <w:pPr>
      <w:spacing w:after="120"/>
      <w:ind w:left="283"/>
    </w:pPr>
    <w:rPr>
      <w:sz w:val="16"/>
      <w:szCs w:val="16"/>
    </w:rPr>
  </w:style>
  <w:style w:type="character" w:customStyle="1" w:styleId="37">
    <w:name w:val="כניסה בגוף טקסט 3 תו"/>
    <w:basedOn w:val="a8"/>
    <w:link w:val="36"/>
    <w:uiPriority w:val="99"/>
    <w:semiHidden/>
    <w:rsid w:val="007E3CF0"/>
    <w:rPr>
      <w:rFonts w:eastAsiaTheme="minorEastAsia"/>
      <w:sz w:val="16"/>
      <w:szCs w:val="16"/>
    </w:rPr>
  </w:style>
  <w:style w:type="paragraph" w:styleId="afffffffd">
    <w:name w:val="Normal Indent"/>
    <w:basedOn w:val="a6"/>
    <w:uiPriority w:val="99"/>
    <w:semiHidden/>
    <w:unhideWhenUsed/>
    <w:rsid w:val="007E3CF0"/>
    <w:pPr>
      <w:ind w:left="720"/>
    </w:pPr>
  </w:style>
  <w:style w:type="paragraph" w:styleId="afffffffe">
    <w:name w:val="Body Text First Indent"/>
    <w:basedOn w:val="affffff4"/>
    <w:link w:val="affffffff"/>
    <w:uiPriority w:val="99"/>
    <w:semiHidden/>
    <w:unhideWhenUsed/>
    <w:rsid w:val="007E3CF0"/>
    <w:pPr>
      <w:spacing w:after="200"/>
      <w:ind w:firstLine="360"/>
    </w:pPr>
  </w:style>
  <w:style w:type="character" w:customStyle="1" w:styleId="affffffff">
    <w:name w:val="כניסת שורה ראשונה בגוף טקסט תו"/>
    <w:basedOn w:val="affffff5"/>
    <w:link w:val="afffffffe"/>
    <w:uiPriority w:val="99"/>
    <w:semiHidden/>
    <w:rsid w:val="007E3CF0"/>
    <w:rPr>
      <w:rFonts w:eastAsiaTheme="minorEastAsia"/>
    </w:rPr>
  </w:style>
  <w:style w:type="paragraph" w:styleId="28">
    <w:name w:val="Body Text First Indent 2"/>
    <w:basedOn w:val="afffffffb"/>
    <w:link w:val="29"/>
    <w:uiPriority w:val="99"/>
    <w:semiHidden/>
    <w:unhideWhenUsed/>
    <w:rsid w:val="007E3CF0"/>
    <w:pPr>
      <w:spacing w:after="200"/>
      <w:ind w:left="360" w:firstLine="360"/>
    </w:pPr>
  </w:style>
  <w:style w:type="character" w:customStyle="1" w:styleId="29">
    <w:name w:val="כניסת שורה ראשונה בגוף טקסט 2 תו"/>
    <w:basedOn w:val="afffffffc"/>
    <w:link w:val="28"/>
    <w:uiPriority w:val="99"/>
    <w:semiHidden/>
    <w:rsid w:val="007E3CF0"/>
    <w:rPr>
      <w:rFonts w:eastAsiaTheme="minorEastAsia"/>
    </w:rPr>
  </w:style>
  <w:style w:type="paragraph" w:styleId="HTML1">
    <w:name w:val="HTML Address"/>
    <w:basedOn w:val="a6"/>
    <w:link w:val="HTML2"/>
    <w:uiPriority w:val="99"/>
    <w:semiHidden/>
    <w:unhideWhenUsed/>
    <w:rsid w:val="007E3CF0"/>
    <w:pPr>
      <w:spacing w:after="0" w:line="240" w:lineRule="auto"/>
    </w:pPr>
    <w:rPr>
      <w:i/>
      <w:iCs/>
    </w:rPr>
  </w:style>
  <w:style w:type="character" w:customStyle="1" w:styleId="HTML2">
    <w:name w:val="כתובת HTML תו"/>
    <w:basedOn w:val="a8"/>
    <w:link w:val="HTML1"/>
    <w:uiPriority w:val="99"/>
    <w:semiHidden/>
    <w:rsid w:val="007E3CF0"/>
    <w:rPr>
      <w:rFonts w:eastAsiaTheme="minorEastAsia"/>
      <w:i/>
      <w:iCs/>
    </w:rPr>
  </w:style>
  <w:style w:type="paragraph" w:styleId="affffffff0">
    <w:name w:val="envelope address"/>
    <w:basedOn w:val="a6"/>
    <w:uiPriority w:val="99"/>
    <w:semiHidden/>
    <w:unhideWhenUsed/>
    <w:rsid w:val="007E3CF0"/>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affffffff1">
    <w:name w:val="envelope return"/>
    <w:basedOn w:val="a6"/>
    <w:uiPriority w:val="99"/>
    <w:semiHidden/>
    <w:unhideWhenUsed/>
    <w:rsid w:val="007E3CF0"/>
    <w:pPr>
      <w:spacing w:after="0" w:line="240" w:lineRule="auto"/>
    </w:pPr>
    <w:rPr>
      <w:rFonts w:asciiTheme="majorHAnsi" w:eastAsiaTheme="majorEastAsia" w:hAnsiTheme="majorHAnsi" w:cstheme="majorBidi"/>
      <w:sz w:val="20"/>
      <w:szCs w:val="20"/>
    </w:rPr>
  </w:style>
  <w:style w:type="paragraph" w:styleId="affffffff2">
    <w:name w:val="No Spacing"/>
    <w:uiPriority w:val="1"/>
    <w:qFormat/>
    <w:rsid w:val="007E3CF0"/>
    <w:pPr>
      <w:bidi/>
      <w:spacing w:after="0" w:line="240" w:lineRule="auto"/>
    </w:pPr>
    <w:rPr>
      <w:rFonts w:eastAsiaTheme="minorEastAsia"/>
    </w:rPr>
  </w:style>
  <w:style w:type="paragraph" w:styleId="affffffff3">
    <w:name w:val="Document Map"/>
    <w:basedOn w:val="a6"/>
    <w:link w:val="affffffff4"/>
    <w:uiPriority w:val="99"/>
    <w:semiHidden/>
    <w:unhideWhenUsed/>
    <w:rsid w:val="007E3CF0"/>
    <w:pPr>
      <w:spacing w:after="0" w:line="240" w:lineRule="auto"/>
    </w:pPr>
    <w:rPr>
      <w:rFonts w:ascii="Tahoma" w:hAnsi="Tahoma" w:cs="Tahoma"/>
      <w:sz w:val="16"/>
      <w:szCs w:val="16"/>
    </w:rPr>
  </w:style>
  <w:style w:type="character" w:customStyle="1" w:styleId="affffffff4">
    <w:name w:val="מפת מסמך תו"/>
    <w:basedOn w:val="a8"/>
    <w:link w:val="affffffff3"/>
    <w:uiPriority w:val="99"/>
    <w:semiHidden/>
    <w:rsid w:val="007E3CF0"/>
    <w:rPr>
      <w:rFonts w:ascii="Tahoma" w:eastAsiaTheme="minorEastAsia" w:hAnsi="Tahoma" w:cs="Tahoma"/>
      <w:sz w:val="16"/>
      <w:szCs w:val="16"/>
    </w:rPr>
  </w:style>
  <w:style w:type="paragraph" w:styleId="affffffff5">
    <w:name w:val="Closing"/>
    <w:basedOn w:val="a6"/>
    <w:link w:val="affffffff6"/>
    <w:uiPriority w:val="99"/>
    <w:semiHidden/>
    <w:unhideWhenUsed/>
    <w:rsid w:val="007E3CF0"/>
    <w:pPr>
      <w:spacing w:after="0" w:line="240" w:lineRule="auto"/>
      <w:ind w:left="4252"/>
    </w:pPr>
  </w:style>
  <w:style w:type="character" w:customStyle="1" w:styleId="affffffff6">
    <w:name w:val="סיום תו"/>
    <w:basedOn w:val="a8"/>
    <w:link w:val="affffffff5"/>
    <w:uiPriority w:val="99"/>
    <w:semiHidden/>
    <w:rsid w:val="007E3CF0"/>
    <w:rPr>
      <w:rFonts w:eastAsiaTheme="minorEastAsia"/>
    </w:rPr>
  </w:style>
  <w:style w:type="paragraph" w:styleId="affffffff7">
    <w:name w:val="Quote"/>
    <w:basedOn w:val="a6"/>
    <w:next w:val="a6"/>
    <w:link w:val="affffffff8"/>
    <w:uiPriority w:val="29"/>
    <w:qFormat/>
    <w:rsid w:val="007E3CF0"/>
    <w:pPr>
      <w:spacing w:before="200" w:after="160"/>
      <w:ind w:left="864" w:right="864"/>
      <w:jc w:val="center"/>
    </w:pPr>
    <w:rPr>
      <w:i/>
      <w:iCs/>
      <w:color w:val="404040" w:themeColor="text1" w:themeTint="BF"/>
    </w:rPr>
  </w:style>
  <w:style w:type="character" w:customStyle="1" w:styleId="affffffff8">
    <w:name w:val="ציטוט תו"/>
    <w:basedOn w:val="a8"/>
    <w:link w:val="affffffff7"/>
    <w:uiPriority w:val="29"/>
    <w:rsid w:val="007E3CF0"/>
    <w:rPr>
      <w:rFonts w:eastAsiaTheme="minorEastAsia"/>
      <w:i/>
      <w:iCs/>
      <w:color w:val="404040" w:themeColor="text1" w:themeTint="BF"/>
    </w:rPr>
  </w:style>
  <w:style w:type="paragraph" w:styleId="affffffff9">
    <w:name w:val="Intense Quote"/>
    <w:basedOn w:val="a6"/>
    <w:next w:val="a6"/>
    <w:link w:val="affffffffa"/>
    <w:uiPriority w:val="30"/>
    <w:rsid w:val="007E3CF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ffffffffa">
    <w:name w:val="ציטוט חזק תו"/>
    <w:basedOn w:val="a8"/>
    <w:link w:val="affffffff9"/>
    <w:uiPriority w:val="30"/>
    <w:rsid w:val="007E3CF0"/>
    <w:rPr>
      <w:rFonts w:eastAsiaTheme="minorEastAsia"/>
      <w:i/>
      <w:iCs/>
      <w:color w:val="5B9BD5" w:themeColor="accent1"/>
    </w:rPr>
  </w:style>
  <w:style w:type="paragraph" w:styleId="affffffffb">
    <w:name w:val="List"/>
    <w:basedOn w:val="a6"/>
    <w:uiPriority w:val="99"/>
    <w:semiHidden/>
    <w:unhideWhenUsed/>
    <w:rsid w:val="007E3CF0"/>
    <w:pPr>
      <w:ind w:left="283" w:hanging="283"/>
      <w:contextualSpacing/>
    </w:pPr>
  </w:style>
  <w:style w:type="paragraph" w:styleId="2a">
    <w:name w:val="List 2"/>
    <w:basedOn w:val="a6"/>
    <w:uiPriority w:val="99"/>
    <w:semiHidden/>
    <w:unhideWhenUsed/>
    <w:rsid w:val="007E3CF0"/>
    <w:pPr>
      <w:ind w:left="566" w:hanging="283"/>
      <w:contextualSpacing/>
    </w:pPr>
  </w:style>
  <w:style w:type="paragraph" w:styleId="38">
    <w:name w:val="List 3"/>
    <w:basedOn w:val="a6"/>
    <w:uiPriority w:val="99"/>
    <w:semiHidden/>
    <w:unhideWhenUsed/>
    <w:rsid w:val="007E3CF0"/>
    <w:pPr>
      <w:ind w:left="849" w:hanging="283"/>
      <w:contextualSpacing/>
    </w:pPr>
  </w:style>
  <w:style w:type="paragraph" w:styleId="44">
    <w:name w:val="List 4"/>
    <w:basedOn w:val="a6"/>
    <w:uiPriority w:val="99"/>
    <w:semiHidden/>
    <w:unhideWhenUsed/>
    <w:rsid w:val="007E3CF0"/>
    <w:pPr>
      <w:ind w:left="1132" w:hanging="283"/>
      <w:contextualSpacing/>
    </w:pPr>
  </w:style>
  <w:style w:type="paragraph" w:styleId="54">
    <w:name w:val="List 5"/>
    <w:basedOn w:val="a6"/>
    <w:uiPriority w:val="99"/>
    <w:semiHidden/>
    <w:unhideWhenUsed/>
    <w:rsid w:val="007E3CF0"/>
    <w:pPr>
      <w:ind w:left="1415" w:hanging="283"/>
      <w:contextualSpacing/>
    </w:pPr>
  </w:style>
  <w:style w:type="paragraph" w:styleId="a">
    <w:name w:val="List Number"/>
    <w:basedOn w:val="a6"/>
    <w:uiPriority w:val="99"/>
    <w:semiHidden/>
    <w:unhideWhenUsed/>
    <w:rsid w:val="007E3CF0"/>
    <w:pPr>
      <w:numPr>
        <w:numId w:val="6"/>
      </w:numPr>
      <w:contextualSpacing/>
    </w:pPr>
  </w:style>
  <w:style w:type="paragraph" w:styleId="2">
    <w:name w:val="List Number 2"/>
    <w:basedOn w:val="a6"/>
    <w:uiPriority w:val="99"/>
    <w:semiHidden/>
    <w:unhideWhenUsed/>
    <w:rsid w:val="007E3CF0"/>
    <w:pPr>
      <w:numPr>
        <w:numId w:val="7"/>
      </w:numPr>
      <w:contextualSpacing/>
    </w:pPr>
  </w:style>
  <w:style w:type="paragraph" w:styleId="3">
    <w:name w:val="List Number 3"/>
    <w:basedOn w:val="a6"/>
    <w:uiPriority w:val="99"/>
    <w:semiHidden/>
    <w:unhideWhenUsed/>
    <w:rsid w:val="007E3CF0"/>
    <w:pPr>
      <w:numPr>
        <w:numId w:val="8"/>
      </w:numPr>
      <w:contextualSpacing/>
    </w:pPr>
  </w:style>
  <w:style w:type="paragraph" w:styleId="4">
    <w:name w:val="List Number 4"/>
    <w:basedOn w:val="a6"/>
    <w:uiPriority w:val="99"/>
    <w:semiHidden/>
    <w:unhideWhenUsed/>
    <w:rsid w:val="007E3CF0"/>
    <w:pPr>
      <w:numPr>
        <w:numId w:val="9"/>
      </w:numPr>
      <w:contextualSpacing/>
    </w:pPr>
  </w:style>
  <w:style w:type="paragraph" w:styleId="5">
    <w:name w:val="List Number 5"/>
    <w:basedOn w:val="a6"/>
    <w:uiPriority w:val="99"/>
    <w:semiHidden/>
    <w:unhideWhenUsed/>
    <w:rsid w:val="007E3CF0"/>
    <w:pPr>
      <w:numPr>
        <w:numId w:val="10"/>
      </w:numPr>
      <w:contextualSpacing/>
    </w:pPr>
  </w:style>
  <w:style w:type="paragraph" w:styleId="a0">
    <w:name w:val="List Bullet"/>
    <w:basedOn w:val="a6"/>
    <w:uiPriority w:val="99"/>
    <w:semiHidden/>
    <w:unhideWhenUsed/>
    <w:rsid w:val="007E3CF0"/>
    <w:pPr>
      <w:numPr>
        <w:numId w:val="11"/>
      </w:numPr>
      <w:contextualSpacing/>
    </w:pPr>
  </w:style>
  <w:style w:type="paragraph" w:styleId="20">
    <w:name w:val="List Bullet 2"/>
    <w:basedOn w:val="a6"/>
    <w:uiPriority w:val="99"/>
    <w:semiHidden/>
    <w:unhideWhenUsed/>
    <w:rsid w:val="007E3CF0"/>
    <w:pPr>
      <w:numPr>
        <w:numId w:val="12"/>
      </w:numPr>
      <w:contextualSpacing/>
    </w:pPr>
  </w:style>
  <w:style w:type="paragraph" w:styleId="30">
    <w:name w:val="List Bullet 3"/>
    <w:basedOn w:val="a6"/>
    <w:uiPriority w:val="99"/>
    <w:semiHidden/>
    <w:unhideWhenUsed/>
    <w:rsid w:val="007E3CF0"/>
    <w:pPr>
      <w:numPr>
        <w:numId w:val="13"/>
      </w:numPr>
      <w:contextualSpacing/>
    </w:pPr>
  </w:style>
  <w:style w:type="paragraph" w:styleId="40">
    <w:name w:val="List Bullet 4"/>
    <w:basedOn w:val="a6"/>
    <w:uiPriority w:val="99"/>
    <w:semiHidden/>
    <w:unhideWhenUsed/>
    <w:rsid w:val="007E3CF0"/>
    <w:pPr>
      <w:numPr>
        <w:numId w:val="14"/>
      </w:numPr>
      <w:contextualSpacing/>
    </w:pPr>
  </w:style>
  <w:style w:type="paragraph" w:styleId="50">
    <w:name w:val="List Bullet 5"/>
    <w:basedOn w:val="a6"/>
    <w:uiPriority w:val="99"/>
    <w:semiHidden/>
    <w:unhideWhenUsed/>
    <w:rsid w:val="007E3CF0"/>
    <w:pPr>
      <w:numPr>
        <w:numId w:val="15"/>
      </w:numPr>
      <w:contextualSpacing/>
    </w:pPr>
  </w:style>
  <w:style w:type="paragraph" w:styleId="affffffffc">
    <w:name w:val="table of figures"/>
    <w:basedOn w:val="a6"/>
    <w:next w:val="a6"/>
    <w:uiPriority w:val="99"/>
    <w:semiHidden/>
    <w:unhideWhenUsed/>
    <w:rsid w:val="007E3CF0"/>
    <w:pPr>
      <w:spacing w:after="0"/>
    </w:pPr>
  </w:style>
  <w:style w:type="paragraph" w:styleId="affffffffd">
    <w:name w:val="table of authorities"/>
    <w:basedOn w:val="a6"/>
    <w:next w:val="a6"/>
    <w:uiPriority w:val="99"/>
    <w:semiHidden/>
    <w:unhideWhenUsed/>
    <w:rsid w:val="007E3CF0"/>
    <w:pPr>
      <w:spacing w:after="0"/>
      <w:ind w:left="220" w:hanging="220"/>
    </w:pPr>
  </w:style>
  <w:style w:type="paragraph" w:styleId="affffffffe">
    <w:name w:val="Date"/>
    <w:basedOn w:val="a6"/>
    <w:next w:val="a6"/>
    <w:link w:val="afffffffff"/>
    <w:uiPriority w:val="99"/>
    <w:semiHidden/>
    <w:unhideWhenUsed/>
    <w:rsid w:val="007E3CF0"/>
  </w:style>
  <w:style w:type="character" w:customStyle="1" w:styleId="afffffffff">
    <w:name w:val="תאריך תו"/>
    <w:basedOn w:val="a8"/>
    <w:link w:val="affffffffe"/>
    <w:uiPriority w:val="99"/>
    <w:semiHidden/>
    <w:rsid w:val="007E3CF0"/>
    <w:rPr>
      <w:rFonts w:eastAsiaTheme="minorEastAsia"/>
    </w:rPr>
  </w:style>
  <w:style w:type="paragraph" w:customStyle="1" w:styleId="TOC70">
    <w:name w:val="סגנון TOC 7 + לפני:  0  ס''מ מרווח בין שורות:  בודד"/>
    <w:basedOn w:val="TOC7"/>
    <w:autoRedefine/>
    <w:rsid w:val="005A5FBC"/>
    <w:rPr>
      <w:rFonts w:eastAsia="Times New Roman"/>
    </w:rPr>
  </w:style>
  <w:style w:type="paragraph" w:customStyle="1" w:styleId="afffffffff0">
    <w:name w:val="מקוצר"/>
    <w:basedOn w:val="a6"/>
    <w:link w:val="afffffffff1"/>
    <w:autoRedefine/>
    <w:qFormat/>
    <w:rsid w:val="00D907E6"/>
    <w:pPr>
      <w:spacing w:before="120" w:after="120" w:line="240" w:lineRule="auto"/>
      <w:jc w:val="both"/>
    </w:pPr>
    <w:rPr>
      <w:rFonts w:ascii="David" w:hAnsi="David" w:cs="David"/>
      <w:sz w:val="16"/>
      <w:szCs w:val="16"/>
    </w:rPr>
  </w:style>
  <w:style w:type="character" w:customStyle="1" w:styleId="afffffffff1">
    <w:name w:val="מקוצר תו"/>
    <w:basedOn w:val="a8"/>
    <w:link w:val="afffffffff0"/>
    <w:rsid w:val="00D907E6"/>
    <w:rPr>
      <w:rFonts w:ascii="David" w:eastAsiaTheme="minorEastAsia" w:hAnsi="David" w:cs="David"/>
      <w:sz w:val="16"/>
      <w:szCs w:val="16"/>
    </w:rPr>
  </w:style>
  <w:style w:type="paragraph" w:customStyle="1" w:styleId="afffffffff2">
    <w:name w:val="מקוצ מ''מ"/>
    <w:basedOn w:val="afffffffff0"/>
    <w:next w:val="afffffffff0"/>
    <w:link w:val="afffffffff3"/>
    <w:autoRedefine/>
    <w:qFormat/>
    <w:rsid w:val="00D907E6"/>
    <w:rPr>
      <w:sz w:val="8"/>
      <w:szCs w:val="10"/>
    </w:rPr>
  </w:style>
  <w:style w:type="character" w:customStyle="1" w:styleId="afffffffff3">
    <w:name w:val="מקוצ מ''מ תו"/>
    <w:basedOn w:val="afffffffff1"/>
    <w:link w:val="afffffffff2"/>
    <w:rsid w:val="00D907E6"/>
    <w:rPr>
      <w:rFonts w:ascii="David" w:eastAsiaTheme="minorEastAsia" w:hAnsi="David" w:cs="David"/>
      <w:sz w:val="8"/>
      <w:szCs w:val="10"/>
    </w:rPr>
  </w:style>
  <w:style w:type="paragraph" w:customStyle="1" w:styleId="afffffffff4">
    <w:name w:val="כו תו לבלשונם בלבד"/>
    <w:basedOn w:val="a6"/>
    <w:next w:val="a6"/>
    <w:link w:val="afffffffff5"/>
    <w:autoRedefine/>
    <w:qFormat/>
    <w:rsid w:val="00376F67"/>
    <w:pPr>
      <w:keepNext/>
      <w:keepLines/>
      <w:spacing w:after="0" w:line="240" w:lineRule="auto"/>
      <w:ind w:left="-284"/>
      <w:jc w:val="both"/>
      <w:outlineLvl w:val="1"/>
    </w:pPr>
    <w:rPr>
      <w:rFonts w:ascii="FrankRuehl" w:eastAsia="Guttman Hodes" w:hAnsi="FrankRuehl" w:cs="Guttman Rashi"/>
      <w:bCs/>
      <w:noProof/>
      <w:sz w:val="16"/>
      <w:szCs w:val="16"/>
    </w:rPr>
  </w:style>
  <w:style w:type="character" w:customStyle="1" w:styleId="afffffffff5">
    <w:name w:val="כו תו לבלשונם בלבד תו"/>
    <w:basedOn w:val="a8"/>
    <w:link w:val="afffffffff4"/>
    <w:rsid w:val="00376F67"/>
    <w:rPr>
      <w:rFonts w:ascii="FrankRuehl" w:eastAsia="Guttman Hodes" w:hAnsi="FrankRuehl" w:cs="Guttman Rashi"/>
      <w:bCs/>
      <w:noProof/>
      <w:sz w:val="16"/>
      <w:szCs w:val="16"/>
    </w:rPr>
  </w:style>
  <w:style w:type="paragraph" w:customStyle="1" w:styleId="afffffffff6">
    <w:name w:val="כות דה לסדורה בלבד"/>
    <w:basedOn w:val="a6"/>
    <w:next w:val="a6"/>
    <w:link w:val="afffffffff7"/>
    <w:autoRedefine/>
    <w:qFormat/>
    <w:rsid w:val="00376F67"/>
    <w:pPr>
      <w:keepNext/>
      <w:keepLines/>
      <w:spacing w:after="0" w:line="240" w:lineRule="auto"/>
      <w:ind w:left="-284"/>
      <w:jc w:val="both"/>
      <w:outlineLvl w:val="1"/>
    </w:pPr>
    <w:rPr>
      <w:rFonts w:ascii="FrankRuehl" w:eastAsia="Guttman Hodes" w:hAnsi="FrankRuehl" w:cs="Guttman Rashi"/>
      <w:bCs/>
      <w:noProof/>
      <w:sz w:val="16"/>
      <w:szCs w:val="16"/>
    </w:rPr>
  </w:style>
  <w:style w:type="character" w:customStyle="1" w:styleId="afffffffff7">
    <w:name w:val="כות דה לסדורה בלבד תו"/>
    <w:basedOn w:val="a8"/>
    <w:link w:val="afffffffff6"/>
    <w:rsid w:val="00376F67"/>
    <w:rPr>
      <w:rFonts w:ascii="FrankRuehl" w:eastAsia="Guttman Hodes" w:hAnsi="FrankRuehl" w:cs="Guttman Rashi"/>
      <w:bCs/>
      <w:noProof/>
      <w:sz w:val="16"/>
      <w:szCs w:val="16"/>
    </w:rPr>
  </w:style>
  <w:style w:type="paragraph" w:customStyle="1" w:styleId="afffffffff8">
    <w:name w:val="בלשו מוקטן"/>
    <w:basedOn w:val="a6"/>
    <w:link w:val="afffffffff9"/>
    <w:autoRedefine/>
    <w:qFormat/>
    <w:rsid w:val="00A14FDA"/>
    <w:pPr>
      <w:spacing w:after="0" w:line="240" w:lineRule="auto"/>
      <w:jc w:val="both"/>
    </w:pPr>
    <w:rPr>
      <w:rFonts w:ascii="Guttman Hodes" w:eastAsia="Guttman Hodes" w:hAnsi="Guttman Hodes" w:cs="Guttman Hodes"/>
      <w:color w:val="000000" w:themeColor="text1"/>
      <w:sz w:val="14"/>
      <w:szCs w:val="14"/>
    </w:rPr>
  </w:style>
  <w:style w:type="character" w:customStyle="1" w:styleId="afffffffff9">
    <w:name w:val="בלשו מוקטן תו"/>
    <w:basedOn w:val="a8"/>
    <w:link w:val="afffffffff8"/>
    <w:rsid w:val="00A14FDA"/>
    <w:rPr>
      <w:rFonts w:ascii="Guttman Hodes" w:eastAsia="Guttman Hodes" w:hAnsi="Guttman Hodes" w:cs="Guttman Hodes"/>
      <w:color w:val="000000" w:themeColor="text1"/>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5986">
      <w:bodyDiv w:val="1"/>
      <w:marLeft w:val="0"/>
      <w:marRight w:val="0"/>
      <w:marTop w:val="0"/>
      <w:marBottom w:val="0"/>
      <w:divBdr>
        <w:top w:val="none" w:sz="0" w:space="0" w:color="auto"/>
        <w:left w:val="none" w:sz="0" w:space="0" w:color="auto"/>
        <w:bottom w:val="none" w:sz="0" w:space="0" w:color="auto"/>
        <w:right w:val="none" w:sz="0" w:space="0" w:color="auto"/>
      </w:divBdr>
    </w:div>
    <w:div w:id="16784646">
      <w:bodyDiv w:val="1"/>
      <w:marLeft w:val="0"/>
      <w:marRight w:val="0"/>
      <w:marTop w:val="0"/>
      <w:marBottom w:val="0"/>
      <w:divBdr>
        <w:top w:val="none" w:sz="0" w:space="0" w:color="auto"/>
        <w:left w:val="none" w:sz="0" w:space="0" w:color="auto"/>
        <w:bottom w:val="none" w:sz="0" w:space="0" w:color="auto"/>
        <w:right w:val="none" w:sz="0" w:space="0" w:color="auto"/>
      </w:divBdr>
    </w:div>
    <w:div w:id="19089796">
      <w:bodyDiv w:val="1"/>
      <w:marLeft w:val="0"/>
      <w:marRight w:val="0"/>
      <w:marTop w:val="0"/>
      <w:marBottom w:val="0"/>
      <w:divBdr>
        <w:top w:val="none" w:sz="0" w:space="0" w:color="auto"/>
        <w:left w:val="none" w:sz="0" w:space="0" w:color="auto"/>
        <w:bottom w:val="none" w:sz="0" w:space="0" w:color="auto"/>
        <w:right w:val="none" w:sz="0" w:space="0" w:color="auto"/>
      </w:divBdr>
    </w:div>
    <w:div w:id="50886804">
      <w:bodyDiv w:val="1"/>
      <w:marLeft w:val="0"/>
      <w:marRight w:val="0"/>
      <w:marTop w:val="0"/>
      <w:marBottom w:val="0"/>
      <w:divBdr>
        <w:top w:val="none" w:sz="0" w:space="0" w:color="auto"/>
        <w:left w:val="none" w:sz="0" w:space="0" w:color="auto"/>
        <w:bottom w:val="none" w:sz="0" w:space="0" w:color="auto"/>
        <w:right w:val="none" w:sz="0" w:space="0" w:color="auto"/>
      </w:divBdr>
    </w:div>
    <w:div w:id="71391985">
      <w:bodyDiv w:val="1"/>
      <w:marLeft w:val="0"/>
      <w:marRight w:val="0"/>
      <w:marTop w:val="0"/>
      <w:marBottom w:val="0"/>
      <w:divBdr>
        <w:top w:val="none" w:sz="0" w:space="0" w:color="auto"/>
        <w:left w:val="none" w:sz="0" w:space="0" w:color="auto"/>
        <w:bottom w:val="none" w:sz="0" w:space="0" w:color="auto"/>
        <w:right w:val="none" w:sz="0" w:space="0" w:color="auto"/>
      </w:divBdr>
    </w:div>
    <w:div w:id="203911320">
      <w:bodyDiv w:val="1"/>
      <w:marLeft w:val="0"/>
      <w:marRight w:val="0"/>
      <w:marTop w:val="0"/>
      <w:marBottom w:val="0"/>
      <w:divBdr>
        <w:top w:val="none" w:sz="0" w:space="0" w:color="auto"/>
        <w:left w:val="none" w:sz="0" w:space="0" w:color="auto"/>
        <w:bottom w:val="none" w:sz="0" w:space="0" w:color="auto"/>
        <w:right w:val="none" w:sz="0" w:space="0" w:color="auto"/>
      </w:divBdr>
    </w:div>
    <w:div w:id="230047467">
      <w:bodyDiv w:val="1"/>
      <w:marLeft w:val="0"/>
      <w:marRight w:val="0"/>
      <w:marTop w:val="0"/>
      <w:marBottom w:val="0"/>
      <w:divBdr>
        <w:top w:val="none" w:sz="0" w:space="0" w:color="auto"/>
        <w:left w:val="none" w:sz="0" w:space="0" w:color="auto"/>
        <w:bottom w:val="none" w:sz="0" w:space="0" w:color="auto"/>
        <w:right w:val="none" w:sz="0" w:space="0" w:color="auto"/>
      </w:divBdr>
    </w:div>
    <w:div w:id="271208054">
      <w:bodyDiv w:val="1"/>
      <w:marLeft w:val="0"/>
      <w:marRight w:val="0"/>
      <w:marTop w:val="0"/>
      <w:marBottom w:val="0"/>
      <w:divBdr>
        <w:top w:val="none" w:sz="0" w:space="0" w:color="auto"/>
        <w:left w:val="none" w:sz="0" w:space="0" w:color="auto"/>
        <w:bottom w:val="none" w:sz="0" w:space="0" w:color="auto"/>
        <w:right w:val="none" w:sz="0" w:space="0" w:color="auto"/>
      </w:divBdr>
    </w:div>
    <w:div w:id="338049208">
      <w:bodyDiv w:val="1"/>
      <w:marLeft w:val="0"/>
      <w:marRight w:val="0"/>
      <w:marTop w:val="0"/>
      <w:marBottom w:val="0"/>
      <w:divBdr>
        <w:top w:val="none" w:sz="0" w:space="0" w:color="auto"/>
        <w:left w:val="none" w:sz="0" w:space="0" w:color="auto"/>
        <w:bottom w:val="none" w:sz="0" w:space="0" w:color="auto"/>
        <w:right w:val="none" w:sz="0" w:space="0" w:color="auto"/>
      </w:divBdr>
    </w:div>
    <w:div w:id="363483508">
      <w:bodyDiv w:val="1"/>
      <w:marLeft w:val="0"/>
      <w:marRight w:val="0"/>
      <w:marTop w:val="0"/>
      <w:marBottom w:val="0"/>
      <w:divBdr>
        <w:top w:val="none" w:sz="0" w:space="0" w:color="auto"/>
        <w:left w:val="none" w:sz="0" w:space="0" w:color="auto"/>
        <w:bottom w:val="none" w:sz="0" w:space="0" w:color="auto"/>
        <w:right w:val="none" w:sz="0" w:space="0" w:color="auto"/>
      </w:divBdr>
    </w:div>
    <w:div w:id="449325389">
      <w:bodyDiv w:val="1"/>
      <w:marLeft w:val="0"/>
      <w:marRight w:val="0"/>
      <w:marTop w:val="0"/>
      <w:marBottom w:val="0"/>
      <w:divBdr>
        <w:top w:val="none" w:sz="0" w:space="0" w:color="auto"/>
        <w:left w:val="none" w:sz="0" w:space="0" w:color="auto"/>
        <w:bottom w:val="none" w:sz="0" w:space="0" w:color="auto"/>
        <w:right w:val="none" w:sz="0" w:space="0" w:color="auto"/>
      </w:divBdr>
    </w:div>
    <w:div w:id="635334156">
      <w:bodyDiv w:val="1"/>
      <w:marLeft w:val="0"/>
      <w:marRight w:val="0"/>
      <w:marTop w:val="0"/>
      <w:marBottom w:val="0"/>
      <w:divBdr>
        <w:top w:val="none" w:sz="0" w:space="0" w:color="auto"/>
        <w:left w:val="none" w:sz="0" w:space="0" w:color="auto"/>
        <w:bottom w:val="none" w:sz="0" w:space="0" w:color="auto"/>
        <w:right w:val="none" w:sz="0" w:space="0" w:color="auto"/>
      </w:divBdr>
    </w:div>
    <w:div w:id="650525806">
      <w:bodyDiv w:val="1"/>
      <w:marLeft w:val="0"/>
      <w:marRight w:val="0"/>
      <w:marTop w:val="0"/>
      <w:marBottom w:val="0"/>
      <w:divBdr>
        <w:top w:val="none" w:sz="0" w:space="0" w:color="auto"/>
        <w:left w:val="none" w:sz="0" w:space="0" w:color="auto"/>
        <w:bottom w:val="none" w:sz="0" w:space="0" w:color="auto"/>
        <w:right w:val="none" w:sz="0" w:space="0" w:color="auto"/>
      </w:divBdr>
    </w:div>
    <w:div w:id="703334780">
      <w:bodyDiv w:val="1"/>
      <w:marLeft w:val="0"/>
      <w:marRight w:val="0"/>
      <w:marTop w:val="0"/>
      <w:marBottom w:val="0"/>
      <w:divBdr>
        <w:top w:val="none" w:sz="0" w:space="0" w:color="auto"/>
        <w:left w:val="none" w:sz="0" w:space="0" w:color="auto"/>
        <w:bottom w:val="none" w:sz="0" w:space="0" w:color="auto"/>
        <w:right w:val="none" w:sz="0" w:space="0" w:color="auto"/>
      </w:divBdr>
      <w:divsChild>
        <w:div w:id="1067414265">
          <w:marLeft w:val="0"/>
          <w:marRight w:val="0"/>
          <w:marTop w:val="0"/>
          <w:marBottom w:val="0"/>
          <w:divBdr>
            <w:top w:val="none" w:sz="0" w:space="0" w:color="auto"/>
            <w:left w:val="none" w:sz="0" w:space="0" w:color="auto"/>
            <w:bottom w:val="none" w:sz="0" w:space="0" w:color="auto"/>
            <w:right w:val="none" w:sz="0" w:space="0" w:color="auto"/>
          </w:divBdr>
        </w:div>
        <w:div w:id="1727683928">
          <w:marLeft w:val="0"/>
          <w:marRight w:val="0"/>
          <w:marTop w:val="0"/>
          <w:marBottom w:val="0"/>
          <w:divBdr>
            <w:top w:val="none" w:sz="0" w:space="0" w:color="auto"/>
            <w:left w:val="none" w:sz="0" w:space="0" w:color="auto"/>
            <w:bottom w:val="none" w:sz="0" w:space="0" w:color="auto"/>
            <w:right w:val="none" w:sz="0" w:space="0" w:color="auto"/>
          </w:divBdr>
        </w:div>
      </w:divsChild>
    </w:div>
    <w:div w:id="736322274">
      <w:bodyDiv w:val="1"/>
      <w:marLeft w:val="0"/>
      <w:marRight w:val="0"/>
      <w:marTop w:val="0"/>
      <w:marBottom w:val="0"/>
      <w:divBdr>
        <w:top w:val="none" w:sz="0" w:space="0" w:color="auto"/>
        <w:left w:val="none" w:sz="0" w:space="0" w:color="auto"/>
        <w:bottom w:val="none" w:sz="0" w:space="0" w:color="auto"/>
        <w:right w:val="none" w:sz="0" w:space="0" w:color="auto"/>
      </w:divBdr>
    </w:div>
    <w:div w:id="742416635">
      <w:bodyDiv w:val="1"/>
      <w:marLeft w:val="0"/>
      <w:marRight w:val="0"/>
      <w:marTop w:val="0"/>
      <w:marBottom w:val="0"/>
      <w:divBdr>
        <w:top w:val="none" w:sz="0" w:space="0" w:color="auto"/>
        <w:left w:val="none" w:sz="0" w:space="0" w:color="auto"/>
        <w:bottom w:val="none" w:sz="0" w:space="0" w:color="auto"/>
        <w:right w:val="none" w:sz="0" w:space="0" w:color="auto"/>
      </w:divBdr>
    </w:div>
    <w:div w:id="890190842">
      <w:bodyDiv w:val="1"/>
      <w:marLeft w:val="0"/>
      <w:marRight w:val="0"/>
      <w:marTop w:val="0"/>
      <w:marBottom w:val="0"/>
      <w:divBdr>
        <w:top w:val="none" w:sz="0" w:space="0" w:color="auto"/>
        <w:left w:val="none" w:sz="0" w:space="0" w:color="auto"/>
        <w:bottom w:val="none" w:sz="0" w:space="0" w:color="auto"/>
        <w:right w:val="none" w:sz="0" w:space="0" w:color="auto"/>
      </w:divBdr>
    </w:div>
    <w:div w:id="985861144">
      <w:bodyDiv w:val="1"/>
      <w:marLeft w:val="0"/>
      <w:marRight w:val="0"/>
      <w:marTop w:val="0"/>
      <w:marBottom w:val="0"/>
      <w:divBdr>
        <w:top w:val="none" w:sz="0" w:space="0" w:color="auto"/>
        <w:left w:val="none" w:sz="0" w:space="0" w:color="auto"/>
        <w:bottom w:val="none" w:sz="0" w:space="0" w:color="auto"/>
        <w:right w:val="none" w:sz="0" w:space="0" w:color="auto"/>
      </w:divBdr>
    </w:div>
    <w:div w:id="1012951025">
      <w:bodyDiv w:val="1"/>
      <w:marLeft w:val="0"/>
      <w:marRight w:val="0"/>
      <w:marTop w:val="0"/>
      <w:marBottom w:val="0"/>
      <w:divBdr>
        <w:top w:val="none" w:sz="0" w:space="0" w:color="auto"/>
        <w:left w:val="none" w:sz="0" w:space="0" w:color="auto"/>
        <w:bottom w:val="none" w:sz="0" w:space="0" w:color="auto"/>
        <w:right w:val="none" w:sz="0" w:space="0" w:color="auto"/>
      </w:divBdr>
    </w:div>
    <w:div w:id="1168246889">
      <w:bodyDiv w:val="1"/>
      <w:marLeft w:val="0"/>
      <w:marRight w:val="0"/>
      <w:marTop w:val="0"/>
      <w:marBottom w:val="0"/>
      <w:divBdr>
        <w:top w:val="none" w:sz="0" w:space="0" w:color="auto"/>
        <w:left w:val="none" w:sz="0" w:space="0" w:color="auto"/>
        <w:bottom w:val="none" w:sz="0" w:space="0" w:color="auto"/>
        <w:right w:val="none" w:sz="0" w:space="0" w:color="auto"/>
      </w:divBdr>
    </w:div>
    <w:div w:id="1169448749">
      <w:bodyDiv w:val="1"/>
      <w:marLeft w:val="0"/>
      <w:marRight w:val="0"/>
      <w:marTop w:val="0"/>
      <w:marBottom w:val="0"/>
      <w:divBdr>
        <w:top w:val="none" w:sz="0" w:space="0" w:color="auto"/>
        <w:left w:val="none" w:sz="0" w:space="0" w:color="auto"/>
        <w:bottom w:val="none" w:sz="0" w:space="0" w:color="auto"/>
        <w:right w:val="none" w:sz="0" w:space="0" w:color="auto"/>
      </w:divBdr>
    </w:div>
    <w:div w:id="1252663788">
      <w:bodyDiv w:val="1"/>
      <w:marLeft w:val="0"/>
      <w:marRight w:val="0"/>
      <w:marTop w:val="0"/>
      <w:marBottom w:val="0"/>
      <w:divBdr>
        <w:top w:val="none" w:sz="0" w:space="0" w:color="auto"/>
        <w:left w:val="none" w:sz="0" w:space="0" w:color="auto"/>
        <w:bottom w:val="none" w:sz="0" w:space="0" w:color="auto"/>
        <w:right w:val="none" w:sz="0" w:space="0" w:color="auto"/>
      </w:divBdr>
    </w:div>
    <w:div w:id="1266886152">
      <w:bodyDiv w:val="1"/>
      <w:marLeft w:val="0"/>
      <w:marRight w:val="0"/>
      <w:marTop w:val="0"/>
      <w:marBottom w:val="0"/>
      <w:divBdr>
        <w:top w:val="none" w:sz="0" w:space="0" w:color="auto"/>
        <w:left w:val="none" w:sz="0" w:space="0" w:color="auto"/>
        <w:bottom w:val="none" w:sz="0" w:space="0" w:color="auto"/>
        <w:right w:val="none" w:sz="0" w:space="0" w:color="auto"/>
      </w:divBdr>
    </w:div>
    <w:div w:id="1369531221">
      <w:bodyDiv w:val="1"/>
      <w:marLeft w:val="0"/>
      <w:marRight w:val="0"/>
      <w:marTop w:val="0"/>
      <w:marBottom w:val="0"/>
      <w:divBdr>
        <w:top w:val="none" w:sz="0" w:space="0" w:color="auto"/>
        <w:left w:val="none" w:sz="0" w:space="0" w:color="auto"/>
        <w:bottom w:val="none" w:sz="0" w:space="0" w:color="auto"/>
        <w:right w:val="none" w:sz="0" w:space="0" w:color="auto"/>
      </w:divBdr>
    </w:div>
    <w:div w:id="1447852359">
      <w:bodyDiv w:val="1"/>
      <w:marLeft w:val="0"/>
      <w:marRight w:val="0"/>
      <w:marTop w:val="0"/>
      <w:marBottom w:val="0"/>
      <w:divBdr>
        <w:top w:val="none" w:sz="0" w:space="0" w:color="auto"/>
        <w:left w:val="none" w:sz="0" w:space="0" w:color="auto"/>
        <w:bottom w:val="none" w:sz="0" w:space="0" w:color="auto"/>
        <w:right w:val="none" w:sz="0" w:space="0" w:color="auto"/>
      </w:divBdr>
    </w:div>
    <w:div w:id="1513757835">
      <w:bodyDiv w:val="1"/>
      <w:marLeft w:val="0"/>
      <w:marRight w:val="0"/>
      <w:marTop w:val="0"/>
      <w:marBottom w:val="0"/>
      <w:divBdr>
        <w:top w:val="none" w:sz="0" w:space="0" w:color="auto"/>
        <w:left w:val="none" w:sz="0" w:space="0" w:color="auto"/>
        <w:bottom w:val="none" w:sz="0" w:space="0" w:color="auto"/>
        <w:right w:val="none" w:sz="0" w:space="0" w:color="auto"/>
      </w:divBdr>
    </w:div>
    <w:div w:id="1564103201">
      <w:bodyDiv w:val="1"/>
      <w:marLeft w:val="0"/>
      <w:marRight w:val="0"/>
      <w:marTop w:val="0"/>
      <w:marBottom w:val="0"/>
      <w:divBdr>
        <w:top w:val="none" w:sz="0" w:space="0" w:color="auto"/>
        <w:left w:val="none" w:sz="0" w:space="0" w:color="auto"/>
        <w:bottom w:val="none" w:sz="0" w:space="0" w:color="auto"/>
        <w:right w:val="none" w:sz="0" w:space="0" w:color="auto"/>
      </w:divBdr>
    </w:div>
    <w:div w:id="1584604451">
      <w:bodyDiv w:val="1"/>
      <w:marLeft w:val="0"/>
      <w:marRight w:val="0"/>
      <w:marTop w:val="0"/>
      <w:marBottom w:val="0"/>
      <w:divBdr>
        <w:top w:val="none" w:sz="0" w:space="0" w:color="auto"/>
        <w:left w:val="none" w:sz="0" w:space="0" w:color="auto"/>
        <w:bottom w:val="none" w:sz="0" w:space="0" w:color="auto"/>
        <w:right w:val="none" w:sz="0" w:space="0" w:color="auto"/>
      </w:divBdr>
    </w:div>
    <w:div w:id="1708792328">
      <w:bodyDiv w:val="1"/>
      <w:marLeft w:val="0"/>
      <w:marRight w:val="0"/>
      <w:marTop w:val="0"/>
      <w:marBottom w:val="0"/>
      <w:divBdr>
        <w:top w:val="none" w:sz="0" w:space="0" w:color="auto"/>
        <w:left w:val="none" w:sz="0" w:space="0" w:color="auto"/>
        <w:bottom w:val="none" w:sz="0" w:space="0" w:color="auto"/>
        <w:right w:val="none" w:sz="0" w:space="0" w:color="auto"/>
      </w:divBdr>
    </w:div>
    <w:div w:id="1713919483">
      <w:bodyDiv w:val="1"/>
      <w:marLeft w:val="0"/>
      <w:marRight w:val="0"/>
      <w:marTop w:val="0"/>
      <w:marBottom w:val="0"/>
      <w:divBdr>
        <w:top w:val="none" w:sz="0" w:space="0" w:color="auto"/>
        <w:left w:val="none" w:sz="0" w:space="0" w:color="auto"/>
        <w:bottom w:val="none" w:sz="0" w:space="0" w:color="auto"/>
        <w:right w:val="none" w:sz="0" w:space="0" w:color="auto"/>
      </w:divBdr>
    </w:div>
    <w:div w:id="1726639650">
      <w:bodyDiv w:val="1"/>
      <w:marLeft w:val="0"/>
      <w:marRight w:val="0"/>
      <w:marTop w:val="0"/>
      <w:marBottom w:val="0"/>
      <w:divBdr>
        <w:top w:val="none" w:sz="0" w:space="0" w:color="auto"/>
        <w:left w:val="none" w:sz="0" w:space="0" w:color="auto"/>
        <w:bottom w:val="none" w:sz="0" w:space="0" w:color="auto"/>
        <w:right w:val="none" w:sz="0" w:space="0" w:color="auto"/>
      </w:divBdr>
    </w:div>
    <w:div w:id="1755589777">
      <w:bodyDiv w:val="1"/>
      <w:marLeft w:val="0"/>
      <w:marRight w:val="0"/>
      <w:marTop w:val="0"/>
      <w:marBottom w:val="0"/>
      <w:divBdr>
        <w:top w:val="none" w:sz="0" w:space="0" w:color="auto"/>
        <w:left w:val="none" w:sz="0" w:space="0" w:color="auto"/>
        <w:bottom w:val="none" w:sz="0" w:space="0" w:color="auto"/>
        <w:right w:val="none" w:sz="0" w:space="0" w:color="auto"/>
      </w:divBdr>
    </w:div>
    <w:div w:id="1766220070">
      <w:bodyDiv w:val="1"/>
      <w:marLeft w:val="0"/>
      <w:marRight w:val="0"/>
      <w:marTop w:val="0"/>
      <w:marBottom w:val="0"/>
      <w:divBdr>
        <w:top w:val="none" w:sz="0" w:space="0" w:color="auto"/>
        <w:left w:val="none" w:sz="0" w:space="0" w:color="auto"/>
        <w:bottom w:val="none" w:sz="0" w:space="0" w:color="auto"/>
        <w:right w:val="none" w:sz="0" w:space="0" w:color="auto"/>
      </w:divBdr>
    </w:div>
    <w:div w:id="1769277597">
      <w:bodyDiv w:val="1"/>
      <w:marLeft w:val="0"/>
      <w:marRight w:val="0"/>
      <w:marTop w:val="0"/>
      <w:marBottom w:val="0"/>
      <w:divBdr>
        <w:top w:val="none" w:sz="0" w:space="0" w:color="auto"/>
        <w:left w:val="none" w:sz="0" w:space="0" w:color="auto"/>
        <w:bottom w:val="none" w:sz="0" w:space="0" w:color="auto"/>
        <w:right w:val="none" w:sz="0" w:space="0" w:color="auto"/>
      </w:divBdr>
    </w:div>
    <w:div w:id="1770003089">
      <w:bodyDiv w:val="1"/>
      <w:marLeft w:val="0"/>
      <w:marRight w:val="0"/>
      <w:marTop w:val="0"/>
      <w:marBottom w:val="0"/>
      <w:divBdr>
        <w:top w:val="none" w:sz="0" w:space="0" w:color="auto"/>
        <w:left w:val="none" w:sz="0" w:space="0" w:color="auto"/>
        <w:bottom w:val="none" w:sz="0" w:space="0" w:color="auto"/>
        <w:right w:val="none" w:sz="0" w:space="0" w:color="auto"/>
      </w:divBdr>
    </w:div>
    <w:div w:id="1821464429">
      <w:bodyDiv w:val="1"/>
      <w:marLeft w:val="0"/>
      <w:marRight w:val="0"/>
      <w:marTop w:val="0"/>
      <w:marBottom w:val="0"/>
      <w:divBdr>
        <w:top w:val="none" w:sz="0" w:space="0" w:color="auto"/>
        <w:left w:val="none" w:sz="0" w:space="0" w:color="auto"/>
        <w:bottom w:val="none" w:sz="0" w:space="0" w:color="auto"/>
        <w:right w:val="none" w:sz="0" w:space="0" w:color="auto"/>
      </w:divBdr>
    </w:div>
    <w:div w:id="1839467804">
      <w:bodyDiv w:val="1"/>
      <w:marLeft w:val="0"/>
      <w:marRight w:val="0"/>
      <w:marTop w:val="0"/>
      <w:marBottom w:val="0"/>
      <w:divBdr>
        <w:top w:val="none" w:sz="0" w:space="0" w:color="auto"/>
        <w:left w:val="none" w:sz="0" w:space="0" w:color="auto"/>
        <w:bottom w:val="none" w:sz="0" w:space="0" w:color="auto"/>
        <w:right w:val="none" w:sz="0" w:space="0" w:color="auto"/>
      </w:divBdr>
    </w:div>
    <w:div w:id="1881239283">
      <w:bodyDiv w:val="1"/>
      <w:marLeft w:val="0"/>
      <w:marRight w:val="0"/>
      <w:marTop w:val="0"/>
      <w:marBottom w:val="0"/>
      <w:divBdr>
        <w:top w:val="none" w:sz="0" w:space="0" w:color="auto"/>
        <w:left w:val="none" w:sz="0" w:space="0" w:color="auto"/>
        <w:bottom w:val="none" w:sz="0" w:space="0" w:color="auto"/>
        <w:right w:val="none" w:sz="0" w:space="0" w:color="auto"/>
      </w:divBdr>
    </w:div>
    <w:div w:id="1892185118">
      <w:bodyDiv w:val="1"/>
      <w:marLeft w:val="0"/>
      <w:marRight w:val="0"/>
      <w:marTop w:val="0"/>
      <w:marBottom w:val="0"/>
      <w:divBdr>
        <w:top w:val="none" w:sz="0" w:space="0" w:color="auto"/>
        <w:left w:val="none" w:sz="0" w:space="0" w:color="auto"/>
        <w:bottom w:val="none" w:sz="0" w:space="0" w:color="auto"/>
        <w:right w:val="none" w:sz="0" w:space="0" w:color="auto"/>
      </w:divBdr>
    </w:div>
    <w:div w:id="2012874240">
      <w:bodyDiv w:val="1"/>
      <w:marLeft w:val="0"/>
      <w:marRight w:val="0"/>
      <w:marTop w:val="0"/>
      <w:marBottom w:val="0"/>
      <w:divBdr>
        <w:top w:val="none" w:sz="0" w:space="0" w:color="auto"/>
        <w:left w:val="none" w:sz="0" w:space="0" w:color="auto"/>
        <w:bottom w:val="none" w:sz="0" w:space="0" w:color="auto"/>
        <w:right w:val="none" w:sz="0" w:space="0" w:color="auto"/>
      </w:divBdr>
    </w:div>
    <w:div w:id="20413941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footer" Target="footer53.xml"/><Relationship Id="rId21" Type="http://schemas.openxmlformats.org/officeDocument/2006/relationships/footer" Target="footer5.xml"/><Relationship Id="rId42" Type="http://schemas.openxmlformats.org/officeDocument/2006/relationships/header" Target="header14.xml"/><Relationship Id="rId63" Type="http://schemas.openxmlformats.org/officeDocument/2006/relationships/image" Target="media/image8.png"/><Relationship Id="rId84" Type="http://schemas.openxmlformats.org/officeDocument/2006/relationships/footer" Target="footer34.xml"/><Relationship Id="rId138" Type="http://schemas.openxmlformats.org/officeDocument/2006/relationships/header" Target="header49.xml"/><Relationship Id="rId159" Type="http://schemas.openxmlformats.org/officeDocument/2006/relationships/footer" Target="footer78.xml"/><Relationship Id="rId170" Type="http://schemas.openxmlformats.org/officeDocument/2006/relationships/header" Target="header62.xml"/><Relationship Id="rId191" Type="http://schemas.openxmlformats.org/officeDocument/2006/relationships/header" Target="header70.xml"/><Relationship Id="rId205" Type="http://schemas.openxmlformats.org/officeDocument/2006/relationships/fontTable" Target="fontTable.xml"/><Relationship Id="rId107" Type="http://schemas.openxmlformats.org/officeDocument/2006/relationships/footer" Target="footer47.xml"/><Relationship Id="rId11" Type="http://schemas.openxmlformats.org/officeDocument/2006/relationships/header" Target="header2.xml"/><Relationship Id="rId32" Type="http://schemas.openxmlformats.org/officeDocument/2006/relationships/footer" Target="footer10.xml"/><Relationship Id="rId53" Type="http://schemas.openxmlformats.org/officeDocument/2006/relationships/footer" Target="footer21.xml"/><Relationship Id="rId74" Type="http://schemas.openxmlformats.org/officeDocument/2006/relationships/footer" Target="footer29.xml"/><Relationship Id="rId128" Type="http://schemas.openxmlformats.org/officeDocument/2006/relationships/footer" Target="footer59.xml"/><Relationship Id="rId149" Type="http://schemas.openxmlformats.org/officeDocument/2006/relationships/footer" Target="footer72.xml"/><Relationship Id="rId5" Type="http://schemas.openxmlformats.org/officeDocument/2006/relationships/settings" Target="settings.xml"/><Relationship Id="rId95" Type="http://schemas.openxmlformats.org/officeDocument/2006/relationships/header" Target="header31.xml"/><Relationship Id="rId160" Type="http://schemas.openxmlformats.org/officeDocument/2006/relationships/header" Target="header58.xml"/><Relationship Id="rId181" Type="http://schemas.openxmlformats.org/officeDocument/2006/relationships/footer" Target="footer92.xml"/><Relationship Id="rId22" Type="http://schemas.openxmlformats.org/officeDocument/2006/relationships/image" Target="media/image2.png"/><Relationship Id="rId43" Type="http://schemas.openxmlformats.org/officeDocument/2006/relationships/footer" Target="footer15.xml"/><Relationship Id="rId64" Type="http://schemas.openxmlformats.org/officeDocument/2006/relationships/image" Target="media/image9.png"/><Relationship Id="rId118" Type="http://schemas.openxmlformats.org/officeDocument/2006/relationships/footer" Target="footer54.xml"/><Relationship Id="rId139" Type="http://schemas.openxmlformats.org/officeDocument/2006/relationships/header" Target="header50.xml"/><Relationship Id="rId85" Type="http://schemas.openxmlformats.org/officeDocument/2006/relationships/header" Target="header27.xml"/><Relationship Id="rId150" Type="http://schemas.openxmlformats.org/officeDocument/2006/relationships/header" Target="header54.xml"/><Relationship Id="rId171" Type="http://schemas.openxmlformats.org/officeDocument/2006/relationships/footer" Target="footer85.xml"/><Relationship Id="rId192" Type="http://schemas.openxmlformats.org/officeDocument/2006/relationships/footer" Target="footer98.xml"/><Relationship Id="rId206" Type="http://schemas.openxmlformats.org/officeDocument/2006/relationships/theme" Target="theme/theme1.xml"/><Relationship Id="rId12" Type="http://schemas.openxmlformats.org/officeDocument/2006/relationships/header" Target="header3.xml"/><Relationship Id="rId33" Type="http://schemas.openxmlformats.org/officeDocument/2006/relationships/image" Target="media/image4.png"/><Relationship Id="rId108" Type="http://schemas.openxmlformats.org/officeDocument/2006/relationships/header" Target="header37.xml"/><Relationship Id="rId129" Type="http://schemas.openxmlformats.org/officeDocument/2006/relationships/header" Target="header46.xml"/><Relationship Id="rId54" Type="http://schemas.openxmlformats.org/officeDocument/2006/relationships/footer" Target="footer22.xml"/><Relationship Id="rId75" Type="http://schemas.openxmlformats.org/officeDocument/2006/relationships/header" Target="header24.xml"/><Relationship Id="rId96" Type="http://schemas.openxmlformats.org/officeDocument/2006/relationships/footer" Target="footer41.xml"/><Relationship Id="rId140" Type="http://schemas.openxmlformats.org/officeDocument/2006/relationships/footer" Target="footer66.xml"/><Relationship Id="rId161" Type="http://schemas.openxmlformats.org/officeDocument/2006/relationships/footer" Target="footer79.xml"/><Relationship Id="rId182" Type="http://schemas.openxmlformats.org/officeDocument/2006/relationships/header" Target="header66.xml"/><Relationship Id="rId6" Type="http://schemas.openxmlformats.org/officeDocument/2006/relationships/webSettings" Target="webSettings.xml"/><Relationship Id="rId23" Type="http://schemas.openxmlformats.org/officeDocument/2006/relationships/image" Target="media/image3.png"/><Relationship Id="rId119" Type="http://schemas.openxmlformats.org/officeDocument/2006/relationships/header" Target="header41.xml"/><Relationship Id="rId44" Type="http://schemas.openxmlformats.org/officeDocument/2006/relationships/footer" Target="footer16.xml"/><Relationship Id="rId65" Type="http://schemas.openxmlformats.org/officeDocument/2006/relationships/image" Target="media/image10.png"/><Relationship Id="rId86" Type="http://schemas.openxmlformats.org/officeDocument/2006/relationships/footer" Target="footer35.xml"/><Relationship Id="rId130" Type="http://schemas.openxmlformats.org/officeDocument/2006/relationships/footer" Target="footer60.xml"/><Relationship Id="rId151" Type="http://schemas.openxmlformats.org/officeDocument/2006/relationships/footer" Target="footer73.xml"/><Relationship Id="rId172" Type="http://schemas.openxmlformats.org/officeDocument/2006/relationships/footer" Target="footer86.xml"/><Relationship Id="rId193" Type="http://schemas.openxmlformats.org/officeDocument/2006/relationships/header" Target="header71.xml"/><Relationship Id="rId13" Type="http://schemas.openxmlformats.org/officeDocument/2006/relationships/header" Target="header4.xml"/><Relationship Id="rId109" Type="http://schemas.openxmlformats.org/officeDocument/2006/relationships/footer" Target="footer48.xml"/><Relationship Id="rId34" Type="http://schemas.openxmlformats.org/officeDocument/2006/relationships/image" Target="media/image5.png"/><Relationship Id="rId55" Type="http://schemas.openxmlformats.org/officeDocument/2006/relationships/header" Target="header18.xml"/><Relationship Id="rId76" Type="http://schemas.openxmlformats.org/officeDocument/2006/relationships/footer" Target="footer30.xml"/><Relationship Id="rId97" Type="http://schemas.openxmlformats.org/officeDocument/2006/relationships/header" Target="header32.xml"/><Relationship Id="rId120" Type="http://schemas.openxmlformats.org/officeDocument/2006/relationships/footer" Target="footer55.xml"/><Relationship Id="rId141" Type="http://schemas.openxmlformats.org/officeDocument/2006/relationships/footer" Target="footer67.xml"/><Relationship Id="rId7" Type="http://schemas.openxmlformats.org/officeDocument/2006/relationships/footnotes" Target="footnotes.xml"/><Relationship Id="rId162" Type="http://schemas.openxmlformats.org/officeDocument/2006/relationships/footer" Target="footer80.xml"/><Relationship Id="rId183" Type="http://schemas.openxmlformats.org/officeDocument/2006/relationships/header" Target="header67.xml"/><Relationship Id="rId24" Type="http://schemas.openxmlformats.org/officeDocument/2006/relationships/header" Target="header8.xml"/><Relationship Id="rId40" Type="http://schemas.openxmlformats.org/officeDocument/2006/relationships/footer" Target="footer14.xml"/><Relationship Id="rId45" Type="http://schemas.openxmlformats.org/officeDocument/2006/relationships/header" Target="header15.xml"/><Relationship Id="rId66" Type="http://schemas.openxmlformats.org/officeDocument/2006/relationships/image" Target="media/image11.png"/><Relationship Id="rId87" Type="http://schemas.openxmlformats.org/officeDocument/2006/relationships/header" Target="header28.xml"/><Relationship Id="rId110" Type="http://schemas.openxmlformats.org/officeDocument/2006/relationships/header" Target="header38.xml"/><Relationship Id="rId115" Type="http://schemas.openxmlformats.org/officeDocument/2006/relationships/footer" Target="footer51.xml"/><Relationship Id="rId131" Type="http://schemas.openxmlformats.org/officeDocument/2006/relationships/footer" Target="footer61.xml"/><Relationship Id="rId136" Type="http://schemas.openxmlformats.org/officeDocument/2006/relationships/header" Target="header48.xml"/><Relationship Id="rId157" Type="http://schemas.openxmlformats.org/officeDocument/2006/relationships/footer" Target="footer77.xml"/><Relationship Id="rId178" Type="http://schemas.openxmlformats.org/officeDocument/2006/relationships/header" Target="header64.xml"/><Relationship Id="rId61" Type="http://schemas.openxmlformats.org/officeDocument/2006/relationships/header" Target="header21.xml"/><Relationship Id="rId82" Type="http://schemas.openxmlformats.org/officeDocument/2006/relationships/footer" Target="footer33.xml"/><Relationship Id="rId152" Type="http://schemas.openxmlformats.org/officeDocument/2006/relationships/footer" Target="footer74.xml"/><Relationship Id="rId173" Type="http://schemas.openxmlformats.org/officeDocument/2006/relationships/header" Target="header63.xml"/><Relationship Id="rId194" Type="http://schemas.openxmlformats.org/officeDocument/2006/relationships/header" Target="header72.xml"/><Relationship Id="rId199" Type="http://schemas.openxmlformats.org/officeDocument/2006/relationships/footer" Target="footer102.xml"/><Relationship Id="rId203" Type="http://schemas.openxmlformats.org/officeDocument/2006/relationships/footer" Target="footer104.xml"/><Relationship Id="rId19" Type="http://schemas.openxmlformats.org/officeDocument/2006/relationships/header" Target="header6.xml"/><Relationship Id="rId14" Type="http://schemas.openxmlformats.org/officeDocument/2006/relationships/footer" Target="footer2.xml"/><Relationship Id="rId30" Type="http://schemas.openxmlformats.org/officeDocument/2006/relationships/footer" Target="footer9.xml"/><Relationship Id="rId35" Type="http://schemas.openxmlformats.org/officeDocument/2006/relationships/footer" Target="footer11.xml"/><Relationship Id="rId56" Type="http://schemas.openxmlformats.org/officeDocument/2006/relationships/footer" Target="footer23.xml"/><Relationship Id="rId77" Type="http://schemas.openxmlformats.org/officeDocument/2006/relationships/footer" Target="footer31.xml"/><Relationship Id="rId100" Type="http://schemas.openxmlformats.org/officeDocument/2006/relationships/header" Target="header34.xml"/><Relationship Id="rId105" Type="http://schemas.openxmlformats.org/officeDocument/2006/relationships/footer" Target="footer46.xml"/><Relationship Id="rId126" Type="http://schemas.openxmlformats.org/officeDocument/2006/relationships/footer" Target="footer58.xml"/><Relationship Id="rId147" Type="http://schemas.openxmlformats.org/officeDocument/2006/relationships/footer" Target="footer71.xml"/><Relationship Id="rId168" Type="http://schemas.openxmlformats.org/officeDocument/2006/relationships/header" Target="header61.xml"/><Relationship Id="rId8" Type="http://schemas.openxmlformats.org/officeDocument/2006/relationships/endnotes" Target="endnotes.xml"/><Relationship Id="rId51" Type="http://schemas.openxmlformats.org/officeDocument/2006/relationships/header" Target="header16.xml"/><Relationship Id="rId72" Type="http://schemas.openxmlformats.org/officeDocument/2006/relationships/footer" Target="footer28.xml"/><Relationship Id="rId93" Type="http://schemas.openxmlformats.org/officeDocument/2006/relationships/footer" Target="footer39.xml"/><Relationship Id="rId98" Type="http://schemas.openxmlformats.org/officeDocument/2006/relationships/footer" Target="footer42.xml"/><Relationship Id="rId121" Type="http://schemas.openxmlformats.org/officeDocument/2006/relationships/header" Target="header42.xml"/><Relationship Id="rId142" Type="http://schemas.openxmlformats.org/officeDocument/2006/relationships/header" Target="header51.xml"/><Relationship Id="rId163" Type="http://schemas.openxmlformats.org/officeDocument/2006/relationships/header" Target="header59.xml"/><Relationship Id="rId184" Type="http://schemas.openxmlformats.org/officeDocument/2006/relationships/footer" Target="footer93.xml"/><Relationship Id="rId189" Type="http://schemas.openxmlformats.org/officeDocument/2006/relationships/header" Target="header69.xml"/><Relationship Id="rId3" Type="http://schemas.openxmlformats.org/officeDocument/2006/relationships/numbering" Target="numbering.xml"/><Relationship Id="rId25" Type="http://schemas.openxmlformats.org/officeDocument/2006/relationships/footer" Target="footer6.xml"/><Relationship Id="rId46" Type="http://schemas.openxmlformats.org/officeDocument/2006/relationships/footer" Target="footer17.xml"/><Relationship Id="rId67" Type="http://schemas.openxmlformats.org/officeDocument/2006/relationships/image" Target="media/image12.png"/><Relationship Id="rId116" Type="http://schemas.openxmlformats.org/officeDocument/2006/relationships/footer" Target="footer52.xml"/><Relationship Id="rId137" Type="http://schemas.openxmlformats.org/officeDocument/2006/relationships/footer" Target="footer65.xml"/><Relationship Id="rId158" Type="http://schemas.openxmlformats.org/officeDocument/2006/relationships/header" Target="header57.xml"/><Relationship Id="rId20" Type="http://schemas.openxmlformats.org/officeDocument/2006/relationships/header" Target="header7.xml"/><Relationship Id="rId41" Type="http://schemas.openxmlformats.org/officeDocument/2006/relationships/header" Target="header13.xml"/><Relationship Id="rId62" Type="http://schemas.openxmlformats.org/officeDocument/2006/relationships/footer" Target="footer26.xml"/><Relationship Id="rId83" Type="http://schemas.openxmlformats.org/officeDocument/2006/relationships/header" Target="header26.xml"/><Relationship Id="rId88" Type="http://schemas.openxmlformats.org/officeDocument/2006/relationships/header" Target="header29.xml"/><Relationship Id="rId111" Type="http://schemas.openxmlformats.org/officeDocument/2006/relationships/header" Target="header39.xml"/><Relationship Id="rId132" Type="http://schemas.openxmlformats.org/officeDocument/2006/relationships/footer" Target="footer62.xml"/><Relationship Id="rId153" Type="http://schemas.openxmlformats.org/officeDocument/2006/relationships/header" Target="header55.xml"/><Relationship Id="rId174" Type="http://schemas.openxmlformats.org/officeDocument/2006/relationships/footer" Target="footer87.xml"/><Relationship Id="rId179" Type="http://schemas.openxmlformats.org/officeDocument/2006/relationships/footer" Target="footer91.xml"/><Relationship Id="rId195" Type="http://schemas.openxmlformats.org/officeDocument/2006/relationships/footer" Target="footer99.xml"/><Relationship Id="rId190" Type="http://schemas.openxmlformats.org/officeDocument/2006/relationships/footer" Target="footer97.xml"/><Relationship Id="rId204" Type="http://schemas.openxmlformats.org/officeDocument/2006/relationships/footer" Target="footer105.xml"/><Relationship Id="rId15" Type="http://schemas.openxmlformats.org/officeDocument/2006/relationships/footer" Target="footer3.xml"/><Relationship Id="rId36" Type="http://schemas.openxmlformats.org/officeDocument/2006/relationships/image" Target="media/image6.png"/><Relationship Id="rId57" Type="http://schemas.openxmlformats.org/officeDocument/2006/relationships/header" Target="header19.xml"/><Relationship Id="rId106" Type="http://schemas.openxmlformats.org/officeDocument/2006/relationships/header" Target="header36.xml"/><Relationship Id="rId127" Type="http://schemas.openxmlformats.org/officeDocument/2006/relationships/header" Target="header45.xml"/><Relationship Id="rId10" Type="http://schemas.openxmlformats.org/officeDocument/2006/relationships/footer" Target="footer1.xml"/><Relationship Id="rId31" Type="http://schemas.openxmlformats.org/officeDocument/2006/relationships/header" Target="header11.xml"/><Relationship Id="rId52" Type="http://schemas.openxmlformats.org/officeDocument/2006/relationships/header" Target="header17.xml"/><Relationship Id="rId73" Type="http://schemas.openxmlformats.org/officeDocument/2006/relationships/header" Target="header23.xml"/><Relationship Id="rId78" Type="http://schemas.openxmlformats.org/officeDocument/2006/relationships/header" Target="header25.xml"/><Relationship Id="rId94" Type="http://schemas.openxmlformats.org/officeDocument/2006/relationships/footer" Target="footer40.xml"/><Relationship Id="rId99" Type="http://schemas.openxmlformats.org/officeDocument/2006/relationships/header" Target="header33.xml"/><Relationship Id="rId101" Type="http://schemas.openxmlformats.org/officeDocument/2006/relationships/footer" Target="footer43.xml"/><Relationship Id="rId122" Type="http://schemas.openxmlformats.org/officeDocument/2006/relationships/footer" Target="footer56.xml"/><Relationship Id="rId143" Type="http://schemas.openxmlformats.org/officeDocument/2006/relationships/footer" Target="footer68.xml"/><Relationship Id="rId148" Type="http://schemas.openxmlformats.org/officeDocument/2006/relationships/header" Target="header53.xml"/><Relationship Id="rId164" Type="http://schemas.openxmlformats.org/officeDocument/2006/relationships/footer" Target="footer81.xml"/><Relationship Id="rId169" Type="http://schemas.openxmlformats.org/officeDocument/2006/relationships/footer" Target="footer84.xml"/><Relationship Id="rId185" Type="http://schemas.openxmlformats.org/officeDocument/2006/relationships/footer" Target="footer94.xml"/><Relationship Id="rId4" Type="http://schemas.openxmlformats.org/officeDocument/2006/relationships/styles" Target="styles.xml"/><Relationship Id="rId9" Type="http://schemas.openxmlformats.org/officeDocument/2006/relationships/header" Target="header1.xml"/><Relationship Id="rId180" Type="http://schemas.openxmlformats.org/officeDocument/2006/relationships/header" Target="header65.xml"/><Relationship Id="rId26" Type="http://schemas.openxmlformats.org/officeDocument/2006/relationships/header" Target="header9.xml"/><Relationship Id="rId47" Type="http://schemas.openxmlformats.org/officeDocument/2006/relationships/image" Target="media/image7.png"/><Relationship Id="rId68" Type="http://schemas.openxmlformats.org/officeDocument/2006/relationships/image" Target="media/image13.png"/><Relationship Id="rId89" Type="http://schemas.openxmlformats.org/officeDocument/2006/relationships/footer" Target="footer36.xml"/><Relationship Id="rId112" Type="http://schemas.openxmlformats.org/officeDocument/2006/relationships/footer" Target="footer49.xml"/><Relationship Id="rId133" Type="http://schemas.openxmlformats.org/officeDocument/2006/relationships/footer" Target="footer63.xml"/><Relationship Id="rId154" Type="http://schemas.openxmlformats.org/officeDocument/2006/relationships/footer" Target="footer75.xml"/><Relationship Id="rId175" Type="http://schemas.openxmlformats.org/officeDocument/2006/relationships/footer" Target="footer88.xml"/><Relationship Id="rId196" Type="http://schemas.openxmlformats.org/officeDocument/2006/relationships/footer" Target="footer100.xml"/><Relationship Id="rId200" Type="http://schemas.openxmlformats.org/officeDocument/2006/relationships/header" Target="header74.xml"/><Relationship Id="rId16" Type="http://schemas.openxmlformats.org/officeDocument/2006/relationships/header" Target="header5.xml"/><Relationship Id="rId37" Type="http://schemas.openxmlformats.org/officeDocument/2006/relationships/footer" Target="footer12.xml"/><Relationship Id="rId58" Type="http://schemas.openxmlformats.org/officeDocument/2006/relationships/header" Target="header20.xml"/><Relationship Id="rId79" Type="http://schemas.openxmlformats.org/officeDocument/2006/relationships/footer" Target="footer32.xml"/><Relationship Id="rId102" Type="http://schemas.openxmlformats.org/officeDocument/2006/relationships/footer" Target="footer44.xml"/><Relationship Id="rId123" Type="http://schemas.openxmlformats.org/officeDocument/2006/relationships/header" Target="header43.xml"/><Relationship Id="rId144" Type="http://schemas.openxmlformats.org/officeDocument/2006/relationships/footer" Target="footer69.xml"/><Relationship Id="rId90" Type="http://schemas.openxmlformats.org/officeDocument/2006/relationships/footer" Target="footer37.xml"/><Relationship Id="rId165" Type="http://schemas.openxmlformats.org/officeDocument/2006/relationships/footer" Target="footer82.xml"/><Relationship Id="rId186" Type="http://schemas.openxmlformats.org/officeDocument/2006/relationships/header" Target="header68.xml"/><Relationship Id="rId27" Type="http://schemas.openxmlformats.org/officeDocument/2006/relationships/footer" Target="footer7.xml"/><Relationship Id="rId48" Type="http://schemas.openxmlformats.org/officeDocument/2006/relationships/footer" Target="footer18.xml"/><Relationship Id="rId69" Type="http://schemas.openxmlformats.org/officeDocument/2006/relationships/image" Target="media/image14.png"/><Relationship Id="rId113" Type="http://schemas.openxmlformats.org/officeDocument/2006/relationships/footer" Target="footer50.xml"/><Relationship Id="rId134" Type="http://schemas.openxmlformats.org/officeDocument/2006/relationships/header" Target="header47.xml"/><Relationship Id="rId80" Type="http://schemas.openxmlformats.org/officeDocument/2006/relationships/image" Target="media/image15.png"/><Relationship Id="rId155" Type="http://schemas.openxmlformats.org/officeDocument/2006/relationships/footer" Target="footer76.xml"/><Relationship Id="rId176" Type="http://schemas.openxmlformats.org/officeDocument/2006/relationships/footer" Target="footer89.xml"/><Relationship Id="rId197" Type="http://schemas.openxmlformats.org/officeDocument/2006/relationships/header" Target="header73.xml"/><Relationship Id="rId201" Type="http://schemas.openxmlformats.org/officeDocument/2006/relationships/header" Target="header75.xml"/><Relationship Id="rId17" Type="http://schemas.openxmlformats.org/officeDocument/2006/relationships/footer" Target="footer4.xml"/><Relationship Id="rId38" Type="http://schemas.openxmlformats.org/officeDocument/2006/relationships/footer" Target="footer13.xml"/><Relationship Id="rId59" Type="http://schemas.openxmlformats.org/officeDocument/2006/relationships/footer" Target="footer24.xml"/><Relationship Id="rId103" Type="http://schemas.openxmlformats.org/officeDocument/2006/relationships/header" Target="header35.xml"/><Relationship Id="rId124" Type="http://schemas.openxmlformats.org/officeDocument/2006/relationships/header" Target="header44.xml"/><Relationship Id="rId70" Type="http://schemas.openxmlformats.org/officeDocument/2006/relationships/footer" Target="footer27.xml"/><Relationship Id="rId91" Type="http://schemas.openxmlformats.org/officeDocument/2006/relationships/header" Target="header30.xml"/><Relationship Id="rId145" Type="http://schemas.openxmlformats.org/officeDocument/2006/relationships/footer" Target="footer70.xml"/><Relationship Id="rId166" Type="http://schemas.openxmlformats.org/officeDocument/2006/relationships/header" Target="header60.xml"/><Relationship Id="rId187" Type="http://schemas.openxmlformats.org/officeDocument/2006/relationships/footer" Target="footer95.xml"/><Relationship Id="rId1" Type="http://schemas.microsoft.com/office/2006/relationships/keyMapCustomizations" Target="customizations.xml"/><Relationship Id="rId28" Type="http://schemas.openxmlformats.org/officeDocument/2006/relationships/header" Target="header10.xml"/><Relationship Id="rId49" Type="http://schemas.openxmlformats.org/officeDocument/2006/relationships/footer" Target="footer19.xml"/><Relationship Id="rId114" Type="http://schemas.openxmlformats.org/officeDocument/2006/relationships/header" Target="header40.xml"/><Relationship Id="rId60" Type="http://schemas.openxmlformats.org/officeDocument/2006/relationships/footer" Target="footer25.xml"/><Relationship Id="rId81" Type="http://schemas.openxmlformats.org/officeDocument/2006/relationships/image" Target="media/image16.png"/><Relationship Id="rId135" Type="http://schemas.openxmlformats.org/officeDocument/2006/relationships/footer" Target="footer64.xml"/><Relationship Id="rId156" Type="http://schemas.openxmlformats.org/officeDocument/2006/relationships/header" Target="header56.xml"/><Relationship Id="rId177" Type="http://schemas.openxmlformats.org/officeDocument/2006/relationships/footer" Target="footer90.xml"/><Relationship Id="rId198" Type="http://schemas.openxmlformats.org/officeDocument/2006/relationships/footer" Target="footer101.xml"/><Relationship Id="rId202" Type="http://schemas.openxmlformats.org/officeDocument/2006/relationships/footer" Target="footer103.xml"/><Relationship Id="rId18" Type="http://schemas.openxmlformats.org/officeDocument/2006/relationships/image" Target="media/image1.jpeg"/><Relationship Id="rId39" Type="http://schemas.openxmlformats.org/officeDocument/2006/relationships/header" Target="header12.xml"/><Relationship Id="rId50" Type="http://schemas.openxmlformats.org/officeDocument/2006/relationships/footer" Target="footer20.xml"/><Relationship Id="rId104" Type="http://schemas.openxmlformats.org/officeDocument/2006/relationships/footer" Target="footer45.xml"/><Relationship Id="rId125" Type="http://schemas.openxmlformats.org/officeDocument/2006/relationships/footer" Target="footer57.xml"/><Relationship Id="rId146" Type="http://schemas.openxmlformats.org/officeDocument/2006/relationships/header" Target="header52.xml"/><Relationship Id="rId167" Type="http://schemas.openxmlformats.org/officeDocument/2006/relationships/footer" Target="footer83.xml"/><Relationship Id="rId188" Type="http://schemas.openxmlformats.org/officeDocument/2006/relationships/footer" Target="footer96.xml"/><Relationship Id="rId71" Type="http://schemas.openxmlformats.org/officeDocument/2006/relationships/header" Target="header22.xml"/><Relationship Id="rId92" Type="http://schemas.openxmlformats.org/officeDocument/2006/relationships/footer" Target="footer38.xml"/><Relationship Id="rId2" Type="http://schemas.openxmlformats.org/officeDocument/2006/relationships/customXml" Target="../customXml/item1.xml"/><Relationship Id="rId29" Type="http://schemas.openxmlformats.org/officeDocument/2006/relationships/footer" Target="footer8.xml"/></Relationships>
</file>

<file path=word/_rels/footer5.xml.rels><?xml version="1.0" encoding="UTF-8" standalone="yes"?>
<Relationships xmlns="http://schemas.openxmlformats.org/package/2006/relationships"><Relationship Id="rId2" Type="http://schemas.openxmlformats.org/officeDocument/2006/relationships/hyperlink" Target="mailto:A0527676412@GMAIL.COM" TargetMode="External"/><Relationship Id="rId1" Type="http://schemas.openxmlformats.org/officeDocument/2006/relationships/hyperlink" Target="mailto:A0527676412@GMAIL.COM" TargetMode="External"/></Relationships>
</file>

<file path=word/_rels/footer7.xml.rels><?xml version="1.0" encoding="UTF-8" standalone="yes"?>
<Relationships xmlns="http://schemas.openxmlformats.org/package/2006/relationships"><Relationship Id="rId2" Type="http://schemas.openxmlformats.org/officeDocument/2006/relationships/hyperlink" Target="mailto:A0527676412@GMAIL.COM" TargetMode="External"/><Relationship Id="rId1" Type="http://schemas.openxmlformats.org/officeDocument/2006/relationships/hyperlink" Target="mailto:A0527676412@GMAIL.COM" TargetMode="External"/></Relationships>
</file>

<file path=word/_rels/footer10.xml.rels><?xml version="1.0" encoding="UTF-8" standalone="yes"?>
<Relationships xmlns="http://schemas.openxmlformats.org/package/2006/relationships"><Relationship Id="rId2" Type="http://schemas.openxmlformats.org/officeDocument/2006/relationships/hyperlink" Target="mailto:A0527676412@GMAIL.COM" TargetMode="External"/><Relationship Id="rId1" Type="http://schemas.openxmlformats.org/officeDocument/2006/relationships/hyperlink" Target="mailto:A0527676412@GMAIL.COM" TargetMode="External"/></Relationships>
</file>

<file path=word/_rels/footer14.xml.rels><?xml version="1.0" encoding="UTF-8" standalone="yes"?>
<Relationships xmlns="http://schemas.openxmlformats.org/package/2006/relationships"><Relationship Id="rId2" Type="http://schemas.openxmlformats.org/officeDocument/2006/relationships/hyperlink" Target="mailto:A0527676412@GMAIL.COM" TargetMode="External"/><Relationship Id="rId1" Type="http://schemas.openxmlformats.org/officeDocument/2006/relationships/hyperlink" Target="mailto:A0527676412@GMAIL.COM" TargetMode="External"/></Relationships>
</file>

<file path=word/_rels/footer17.xml.rels><?xml version="1.0" encoding="UTF-8" standalone="yes"?>
<Relationships xmlns="http://schemas.openxmlformats.org/package/2006/relationships"><Relationship Id="rId2" Type="http://schemas.openxmlformats.org/officeDocument/2006/relationships/hyperlink" Target="mailto:A0527676412@GMAIL.COM" TargetMode="External"/><Relationship Id="rId1" Type="http://schemas.openxmlformats.org/officeDocument/2006/relationships/hyperlink" Target="mailto:A0527676412@GMAIL.COM" TargetMode="External"/></Relationships>
</file>

<file path=word/_rels/footer23.xml.rels><?xml version="1.0" encoding="UTF-8" standalone="yes"?>
<Relationships xmlns="http://schemas.openxmlformats.org/package/2006/relationships"><Relationship Id="rId2" Type="http://schemas.openxmlformats.org/officeDocument/2006/relationships/hyperlink" Target="mailto:A0527676412@GMAIL.COM" TargetMode="External"/><Relationship Id="rId1" Type="http://schemas.openxmlformats.org/officeDocument/2006/relationships/hyperlink" Target="mailto:A0527676412@GMAIL.COM" TargetMode="External"/></Relationships>
</file>

<file path=word/_rels/footer26.xml.rels><?xml version="1.0" encoding="UTF-8" standalone="yes"?>
<Relationships xmlns="http://schemas.openxmlformats.org/package/2006/relationships"><Relationship Id="rId2" Type="http://schemas.openxmlformats.org/officeDocument/2006/relationships/hyperlink" Target="mailto:A0527676412@GMAIL.COM" TargetMode="External"/><Relationship Id="rId1" Type="http://schemas.openxmlformats.org/officeDocument/2006/relationships/hyperlink" Target="mailto:A0527676412@GMAIL.COM" TargetMode="External"/></Relationships>
</file>

<file path=word/_rels/footer29.xml.rels><?xml version="1.0" encoding="UTF-8" standalone="yes"?>
<Relationships xmlns="http://schemas.openxmlformats.org/package/2006/relationships"><Relationship Id="rId2" Type="http://schemas.openxmlformats.org/officeDocument/2006/relationships/hyperlink" Target="mailto:A0527676412@GMAIL.COM" TargetMode="External"/><Relationship Id="rId1" Type="http://schemas.openxmlformats.org/officeDocument/2006/relationships/hyperlink" Target="mailto:A0527676412@GMAIL.COM" TargetMode="External"/></Relationships>
</file>

<file path=word/_rels/footer32.xml.rels><?xml version="1.0" encoding="UTF-8" standalone="yes"?>
<Relationships xmlns="http://schemas.openxmlformats.org/package/2006/relationships"><Relationship Id="rId2" Type="http://schemas.openxmlformats.org/officeDocument/2006/relationships/hyperlink" Target="mailto:A0527676412@GMAIL.COM" TargetMode="External"/><Relationship Id="rId1" Type="http://schemas.openxmlformats.org/officeDocument/2006/relationships/hyperlink" Target="mailto:A0527676412@GMAIL.COM" TargetMode="External"/></Relationships>
</file>

<file path=word/_rels/footer35.xml.rels><?xml version="1.0" encoding="UTF-8" standalone="yes"?>
<Relationships xmlns="http://schemas.openxmlformats.org/package/2006/relationships"><Relationship Id="rId2" Type="http://schemas.openxmlformats.org/officeDocument/2006/relationships/hyperlink" Target="mailto:A0527676412@GMAIL.COM" TargetMode="External"/><Relationship Id="rId1" Type="http://schemas.openxmlformats.org/officeDocument/2006/relationships/hyperlink" Target="mailto:A0527676412@GMAIL.COM" TargetMode="External"/></Relationships>
</file>

<file path=word/_rels/footer38.xml.rels><?xml version="1.0" encoding="UTF-8" standalone="yes"?>
<Relationships xmlns="http://schemas.openxmlformats.org/package/2006/relationships"><Relationship Id="rId2" Type="http://schemas.openxmlformats.org/officeDocument/2006/relationships/hyperlink" Target="mailto:A0527676412@GMAIL.COM" TargetMode="External"/><Relationship Id="rId1" Type="http://schemas.openxmlformats.org/officeDocument/2006/relationships/hyperlink" Target="mailto:A0527676412@GMAIL.COM" TargetMode="External"/></Relationships>
</file>

<file path=word/_rels/footer42.xml.rels><?xml version="1.0" encoding="UTF-8" standalone="yes"?>
<Relationships xmlns="http://schemas.openxmlformats.org/package/2006/relationships"><Relationship Id="rId2" Type="http://schemas.openxmlformats.org/officeDocument/2006/relationships/hyperlink" Target="mailto:A0527676412@GMAIL.COM" TargetMode="External"/><Relationship Id="rId1" Type="http://schemas.openxmlformats.org/officeDocument/2006/relationships/hyperlink" Target="mailto:A0527676412@GMAIL.COM" TargetMode="External"/></Relationships>
</file>

<file path=word/_rels/footer45.xml.rels><?xml version="1.0" encoding="UTF-8" standalone="yes"?>
<Relationships xmlns="http://schemas.openxmlformats.org/package/2006/relationships"><Relationship Id="rId2" Type="http://schemas.openxmlformats.org/officeDocument/2006/relationships/hyperlink" Target="mailto:A0527676412@GMAIL.COM" TargetMode="External"/><Relationship Id="rId1" Type="http://schemas.openxmlformats.org/officeDocument/2006/relationships/hyperlink" Target="mailto:A0527676412@GMAIL.COM" TargetMode="External"/></Relationships>
</file>

<file path=word/_rels/footer48.xml.rels><?xml version="1.0" encoding="UTF-8" standalone="yes"?>
<Relationships xmlns="http://schemas.openxmlformats.org/package/2006/relationships"><Relationship Id="rId2" Type="http://schemas.openxmlformats.org/officeDocument/2006/relationships/hyperlink" Target="mailto:A0527676412@GMAIL.COM" TargetMode="External"/><Relationship Id="rId1" Type="http://schemas.openxmlformats.org/officeDocument/2006/relationships/hyperlink" Target="mailto:A0527676412@GMAIL.COM" TargetMode="External"/></Relationships>
</file>

<file path=word/_rels/footer51.xml.rels><?xml version="1.0" encoding="UTF-8" standalone="yes"?>
<Relationships xmlns="http://schemas.openxmlformats.org/package/2006/relationships"><Relationship Id="rId2" Type="http://schemas.openxmlformats.org/officeDocument/2006/relationships/hyperlink" Target="mailto:A0527676412@GMAIL.COM" TargetMode="External"/><Relationship Id="rId1" Type="http://schemas.openxmlformats.org/officeDocument/2006/relationships/hyperlink" Target="mailto:A0527676412@GMAIL.COM" TargetMode="External"/></Relationships>
</file>

<file path=word/_rels/footer56.xml.rels><?xml version="1.0" encoding="UTF-8" standalone="yes"?>
<Relationships xmlns="http://schemas.openxmlformats.org/package/2006/relationships"><Relationship Id="rId2" Type="http://schemas.openxmlformats.org/officeDocument/2006/relationships/hyperlink" Target="mailto:A0527676412@GMAIL.COM" TargetMode="External"/><Relationship Id="rId1" Type="http://schemas.openxmlformats.org/officeDocument/2006/relationships/hyperlink" Target="mailto:A0527676412@GMAIL.COM" TargetMode="External"/></Relationships>
</file>

<file path=word/_rels/footer59.xml.rels><?xml version="1.0" encoding="UTF-8" standalone="yes"?>
<Relationships xmlns="http://schemas.openxmlformats.org/package/2006/relationships"><Relationship Id="rId2" Type="http://schemas.openxmlformats.org/officeDocument/2006/relationships/hyperlink" Target="mailto:A0527676412@GMAIL.COM" TargetMode="External"/><Relationship Id="rId1" Type="http://schemas.openxmlformats.org/officeDocument/2006/relationships/hyperlink" Target="mailto:A0527676412@GMAIL.COM" TargetMode="External"/></Relationships>
</file>

<file path=word/_rels/footer65.xml.rels><?xml version="1.0" encoding="UTF-8" standalone="yes"?>
<Relationships xmlns="http://schemas.openxmlformats.org/package/2006/relationships"><Relationship Id="rId2" Type="http://schemas.openxmlformats.org/officeDocument/2006/relationships/hyperlink" Target="mailto:A0527676412@GMAIL.COM" TargetMode="External"/><Relationship Id="rId1" Type="http://schemas.openxmlformats.org/officeDocument/2006/relationships/hyperlink" Target="mailto:A0527676412@GMAIL.COM" TargetMode="External"/></Relationships>
</file>

<file path=word/_rels/footer68.xml.rels><?xml version="1.0" encoding="UTF-8" standalone="yes"?>
<Relationships xmlns="http://schemas.openxmlformats.org/package/2006/relationships"><Relationship Id="rId2" Type="http://schemas.openxmlformats.org/officeDocument/2006/relationships/hyperlink" Target="mailto:A0527676412@GMAIL.COM" TargetMode="External"/><Relationship Id="rId1" Type="http://schemas.openxmlformats.org/officeDocument/2006/relationships/hyperlink" Target="mailto:A0527676412@GMAIL.COM" TargetMode="External"/></Relationships>
</file>

<file path=word/_rels/footer72.xml.rels><?xml version="1.0" encoding="UTF-8" standalone="yes"?>
<Relationships xmlns="http://schemas.openxmlformats.org/package/2006/relationships"><Relationship Id="rId2" Type="http://schemas.openxmlformats.org/officeDocument/2006/relationships/hyperlink" Target="mailto:A0527676412@GMAIL.COM" TargetMode="External"/><Relationship Id="rId1" Type="http://schemas.openxmlformats.org/officeDocument/2006/relationships/hyperlink" Target="mailto:A0527676412@GMAIL.COM" TargetMode="External"/></Relationships>
</file>

<file path=word/_rels/footer75.xml.rels><?xml version="1.0" encoding="UTF-8" standalone="yes"?>
<Relationships xmlns="http://schemas.openxmlformats.org/package/2006/relationships"><Relationship Id="rId2" Type="http://schemas.openxmlformats.org/officeDocument/2006/relationships/hyperlink" Target="mailto:A0527676412@GMAIL.COM" TargetMode="External"/><Relationship Id="rId1" Type="http://schemas.openxmlformats.org/officeDocument/2006/relationships/hyperlink" Target="mailto:A0527676412@GMAIL.COM" TargetMode="External"/></Relationships>
</file>

<file path=word/_rels/footer78.xml.rels><?xml version="1.0" encoding="UTF-8" standalone="yes"?>
<Relationships xmlns="http://schemas.openxmlformats.org/package/2006/relationships"><Relationship Id="rId2" Type="http://schemas.openxmlformats.org/officeDocument/2006/relationships/hyperlink" Target="mailto:A0527676412@GMAIL.COM" TargetMode="External"/><Relationship Id="rId1" Type="http://schemas.openxmlformats.org/officeDocument/2006/relationships/hyperlink" Target="mailto:A0527676412@GMAIL.COM" TargetMode="External"/></Relationships>
</file>

<file path=word/_rels/footer81.xml.rels><?xml version="1.0" encoding="UTF-8" standalone="yes"?>
<Relationships xmlns="http://schemas.openxmlformats.org/package/2006/relationships"><Relationship Id="rId2" Type="http://schemas.openxmlformats.org/officeDocument/2006/relationships/hyperlink" Target="mailto:A0527676412@GMAIL.COM" TargetMode="External"/><Relationship Id="rId1" Type="http://schemas.openxmlformats.org/officeDocument/2006/relationships/hyperlink" Target="mailto:A0527676412@GMAIL.COM" TargetMode="External"/></Relationships>
</file>

<file path=word/_rels/footer84.xml.rels><?xml version="1.0" encoding="UTF-8" standalone="yes"?>
<Relationships xmlns="http://schemas.openxmlformats.org/package/2006/relationships"><Relationship Id="rId2" Type="http://schemas.openxmlformats.org/officeDocument/2006/relationships/hyperlink" Target="mailto:A0527676412@GMAIL.COM" TargetMode="External"/><Relationship Id="rId1" Type="http://schemas.openxmlformats.org/officeDocument/2006/relationships/hyperlink" Target="mailto:A0527676412@GMAIL.COM" TargetMode="External"/></Relationships>
</file>

<file path=word/_rels/footer87.xml.rels><?xml version="1.0" encoding="UTF-8" standalone="yes"?>
<Relationships xmlns="http://schemas.openxmlformats.org/package/2006/relationships"><Relationship Id="rId2" Type="http://schemas.openxmlformats.org/officeDocument/2006/relationships/hyperlink" Target="mailto:A0527676412@GMAIL.COM" TargetMode="External"/><Relationship Id="rId1" Type="http://schemas.openxmlformats.org/officeDocument/2006/relationships/hyperlink" Target="mailto:A0527676412@GMAIL.COM" TargetMode="External"/></Relationships>
</file>

<file path=word/_rels/footer92.xml.rels><?xml version="1.0" encoding="UTF-8" standalone="yes"?>
<Relationships xmlns="http://schemas.openxmlformats.org/package/2006/relationships"><Relationship Id="rId2" Type="http://schemas.openxmlformats.org/officeDocument/2006/relationships/hyperlink" Target="mailto:A0527676412@GMAIL.COM" TargetMode="External"/><Relationship Id="rId1" Type="http://schemas.openxmlformats.org/officeDocument/2006/relationships/hyperlink" Target="mailto:A0527676412@GMAIL.COM" TargetMode="External"/></Relationships>
</file>

<file path=word/_rels/footer95.xml.rels><?xml version="1.0" encoding="UTF-8" standalone="yes"?>
<Relationships xmlns="http://schemas.openxmlformats.org/package/2006/relationships"><Relationship Id="rId2" Type="http://schemas.openxmlformats.org/officeDocument/2006/relationships/hyperlink" Target="mailto:A0527676412@GMAIL.COM" TargetMode="External"/><Relationship Id="rId1" Type="http://schemas.openxmlformats.org/officeDocument/2006/relationships/hyperlink" Target="mailto:A0527676412@GMAIL.COM" TargetMode="External"/></Relationships>
</file>

<file path=word/_rels/footer98.xml.rels><?xml version="1.0" encoding="UTF-8" standalone="yes"?>
<Relationships xmlns="http://schemas.openxmlformats.org/package/2006/relationships"><Relationship Id="rId2" Type="http://schemas.openxmlformats.org/officeDocument/2006/relationships/hyperlink" Target="mailto:A0527676412@GMAIL.COM" TargetMode="External"/><Relationship Id="rId1" Type="http://schemas.openxmlformats.org/officeDocument/2006/relationships/hyperlink" Target="mailto:A0527676412@GMAIL.COM" TargetMode="External"/></Relationships>
</file>

<file path=word/_rels/footer101.xml.rels><?xml version="1.0" encoding="UTF-8" standalone="yes"?>
<Relationships xmlns="http://schemas.openxmlformats.org/package/2006/relationships"><Relationship Id="rId2" Type="http://schemas.openxmlformats.org/officeDocument/2006/relationships/hyperlink" Target="mailto:A0527676412@GMAIL.COM" TargetMode="External"/><Relationship Id="rId1" Type="http://schemas.openxmlformats.org/officeDocument/2006/relationships/hyperlink" Target="mailto:A0527676412@GMAIL.COM"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3B9B01-5133-4DEE-AFEC-6DCC22368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765</TotalTime>
  <Pages>191</Pages>
  <Words>319323</Words>
  <Characters>1596616</Characters>
  <Application>Microsoft Office Word</Application>
  <DocSecurity>0</DocSecurity>
  <Lines>13305</Lines>
  <Paragraphs>3824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1912115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‏‏משתמש Windows</dc:creator>
  <cp:keywords/>
  <dc:description/>
  <cp:lastModifiedBy>שלמה הנדל</cp:lastModifiedBy>
  <cp:revision>14</cp:revision>
  <cp:lastPrinted>2024-04-08T19:54:00Z</cp:lastPrinted>
  <dcterms:created xsi:type="dcterms:W3CDTF">2024-04-07T19:40:00Z</dcterms:created>
  <dcterms:modified xsi:type="dcterms:W3CDTF">2024-04-08T19:55:00Z</dcterms:modified>
</cp:coreProperties>
</file>